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0A65A1" w14:textId="77777777" w:rsidR="000218BD" w:rsidRDefault="000218BD" w:rsidP="000218BD">
      <w:pPr>
        <w:ind w:firstLine="720"/>
        <w:jc w:val="both"/>
        <w:rPr>
          <w:rFonts w:ascii="Abadi" w:hAnsi="Abadi"/>
          <w:color w:val="FFFFFF" w:themeColor="background1"/>
          <w:sz w:val="22"/>
          <w:szCs w:val="22"/>
          <w14:textFill>
            <w14:noFill/>
          </w14:textFill>
        </w:rPr>
      </w:pPr>
      <w:bookmarkStart w:id="0" w:name="_Hlk115982977"/>
      <w:bookmarkEnd w:id="0"/>
    </w:p>
    <w:p w14:paraId="40E99526" w14:textId="77777777" w:rsidR="000218BD" w:rsidRPr="00FA1003" w:rsidRDefault="000218BD" w:rsidP="000218BD">
      <w:pPr>
        <w:ind w:firstLine="720"/>
        <w:jc w:val="both"/>
        <w:rPr>
          <w:rFonts w:ascii="Abadi" w:hAnsi="Abadi"/>
          <w:color w:val="FFFFFF" w:themeColor="background1"/>
          <w:sz w:val="22"/>
          <w:szCs w:val="22"/>
          <w14:textFill>
            <w14:noFill/>
          </w14:textFill>
        </w:rPr>
      </w:pPr>
    </w:p>
    <w:p w14:paraId="5C0BAD78" w14:textId="77777777" w:rsidR="000218BD" w:rsidRPr="0056537E" w:rsidRDefault="000218BD" w:rsidP="000218BD">
      <w:pPr>
        <w:ind w:left="720"/>
        <w:jc w:val="both"/>
        <w:rPr>
          <w:rFonts w:ascii="Abadi" w:hAnsi="Abadi"/>
          <w:b/>
          <w:sz w:val="22"/>
          <w:szCs w:val="22"/>
        </w:rPr>
        <w:sectPr w:rsidR="000218BD" w:rsidRPr="0056537E" w:rsidSect="000218BD">
          <w:headerReference w:type="even" r:id="rId8"/>
          <w:headerReference w:type="default" r:id="rId9"/>
          <w:footerReference w:type="even" r:id="rId10"/>
          <w:footerReference w:type="default" r:id="rId11"/>
          <w:headerReference w:type="first" r:id="rId12"/>
          <w:footerReference w:type="first" r:id="rId13"/>
          <w:footnotePr>
            <w:pos w:val="beneathText"/>
            <w:numStart w:val="2"/>
          </w:footnotePr>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r>
        <w:rPr>
          <w:rFonts w:ascii="Abadi" w:hAnsi="Abadi"/>
          <w:b/>
          <w:sz w:val="22"/>
          <w:szCs w:val="22"/>
        </w:rPr>
        <w:tab/>
      </w:r>
      <w:r>
        <w:rPr>
          <w:rFonts w:ascii="Abadi" w:hAnsi="Abadi"/>
          <w:b/>
          <w:sz w:val="22"/>
          <w:szCs w:val="22"/>
        </w:rPr>
        <w:tab/>
      </w:r>
      <w:r>
        <w:rPr>
          <w:rFonts w:ascii="Abadi" w:hAnsi="Abadi"/>
          <w:b/>
          <w:sz w:val="22"/>
          <w:szCs w:val="22"/>
        </w:rPr>
        <w:tab/>
      </w:r>
    </w:p>
    <w:p w14:paraId="470ABD32" w14:textId="0234F585" w:rsidR="000218BD" w:rsidRPr="0066249B" w:rsidRDefault="000218BD" w:rsidP="000218BD">
      <w:pPr>
        <w:ind w:firstLine="709"/>
        <w:jc w:val="both"/>
        <w:rPr>
          <w:rFonts w:ascii="Abadi" w:hAnsi="Abadi"/>
          <w:b/>
          <w:sz w:val="21"/>
          <w:szCs w:val="21"/>
        </w:rPr>
      </w:pPr>
      <w:r w:rsidRPr="0066249B">
        <w:rPr>
          <w:rFonts w:ascii="Abadi" w:hAnsi="Abadi"/>
          <w:b/>
          <w:sz w:val="21"/>
          <w:szCs w:val="21"/>
        </w:rPr>
        <w:t xml:space="preserve">PODER LEGISLATIVO. SEXAGÉSIMA </w:t>
      </w:r>
      <w:r>
        <w:rPr>
          <w:rFonts w:ascii="Abadi" w:hAnsi="Abadi"/>
          <w:b/>
          <w:sz w:val="21"/>
          <w:szCs w:val="21"/>
        </w:rPr>
        <w:t>QUINTA</w:t>
      </w:r>
      <w:r w:rsidRPr="0066249B">
        <w:rPr>
          <w:rFonts w:ascii="Abadi" w:hAnsi="Abadi"/>
          <w:b/>
          <w:sz w:val="21"/>
          <w:szCs w:val="21"/>
        </w:rPr>
        <w:t xml:space="preserve"> LEGISLATURA DEL CONGRESO DEL ESTADO DE GUANAJUATO. </w:t>
      </w:r>
      <w:r>
        <w:rPr>
          <w:rFonts w:ascii="Abadi" w:hAnsi="Abadi"/>
          <w:b/>
          <w:sz w:val="21"/>
          <w:szCs w:val="21"/>
        </w:rPr>
        <w:t>SESIÓN ORDINARIA</w:t>
      </w:r>
      <w:r w:rsidRPr="0066249B">
        <w:rPr>
          <w:rFonts w:ascii="Abadi" w:hAnsi="Abadi"/>
          <w:b/>
          <w:sz w:val="21"/>
          <w:szCs w:val="21"/>
        </w:rPr>
        <w:t xml:space="preserve">. </w:t>
      </w:r>
      <w:r w:rsidR="007B5B39">
        <w:rPr>
          <w:rFonts w:ascii="Abadi" w:hAnsi="Abadi"/>
          <w:b/>
          <w:sz w:val="21"/>
          <w:szCs w:val="21"/>
        </w:rPr>
        <w:t>SEGUNDO</w:t>
      </w:r>
      <w:r w:rsidRPr="0066249B">
        <w:rPr>
          <w:rFonts w:ascii="Abadi" w:hAnsi="Abadi"/>
          <w:b/>
          <w:sz w:val="21"/>
          <w:szCs w:val="21"/>
        </w:rPr>
        <w:t xml:space="preserve"> AÑO DE EJERCICIO CONSTITUCIONAL. </w:t>
      </w:r>
      <w:r w:rsidR="007B5B39">
        <w:rPr>
          <w:rFonts w:ascii="Abadi" w:hAnsi="Abadi"/>
          <w:b/>
          <w:sz w:val="21"/>
          <w:szCs w:val="21"/>
        </w:rPr>
        <w:t xml:space="preserve">PRIMER </w:t>
      </w:r>
      <w:r>
        <w:rPr>
          <w:rFonts w:ascii="Abadi" w:hAnsi="Abadi"/>
          <w:b/>
          <w:sz w:val="21"/>
          <w:szCs w:val="21"/>
        </w:rPr>
        <w:t>PERIODO</w:t>
      </w:r>
      <w:r w:rsidRPr="0066249B">
        <w:rPr>
          <w:rFonts w:ascii="Abadi" w:hAnsi="Abadi"/>
          <w:b/>
          <w:sz w:val="21"/>
          <w:szCs w:val="21"/>
        </w:rPr>
        <w:t>.</w:t>
      </w:r>
      <w:r>
        <w:rPr>
          <w:rFonts w:ascii="Abadi" w:hAnsi="Abadi"/>
          <w:b/>
          <w:sz w:val="21"/>
          <w:szCs w:val="21"/>
        </w:rPr>
        <w:t xml:space="preserve"> PRESIDENCIA DE</w:t>
      </w:r>
      <w:r w:rsidR="007B5B39">
        <w:rPr>
          <w:rFonts w:ascii="Abadi" w:hAnsi="Abadi"/>
          <w:b/>
          <w:sz w:val="21"/>
          <w:szCs w:val="21"/>
        </w:rPr>
        <w:t xml:space="preserve">L DIPUTADO MARTÍN LÓPEZ CAMACHO. </w:t>
      </w:r>
      <w:r w:rsidR="004D4359">
        <w:rPr>
          <w:rFonts w:ascii="Abadi" w:hAnsi="Abadi"/>
          <w:b/>
          <w:sz w:val="21"/>
          <w:szCs w:val="21"/>
        </w:rPr>
        <w:t>13</w:t>
      </w:r>
      <w:r>
        <w:rPr>
          <w:rFonts w:ascii="Abadi" w:hAnsi="Abadi"/>
          <w:b/>
          <w:sz w:val="21"/>
          <w:szCs w:val="21"/>
        </w:rPr>
        <w:t xml:space="preserve"> DE </w:t>
      </w:r>
      <w:r w:rsidR="008D34D3">
        <w:rPr>
          <w:rFonts w:ascii="Abadi" w:hAnsi="Abadi"/>
          <w:b/>
          <w:sz w:val="21"/>
          <w:szCs w:val="21"/>
        </w:rPr>
        <w:t xml:space="preserve">OCTUBRE </w:t>
      </w:r>
      <w:r>
        <w:rPr>
          <w:rFonts w:ascii="Abadi" w:hAnsi="Abadi"/>
          <w:b/>
          <w:sz w:val="21"/>
          <w:szCs w:val="21"/>
        </w:rPr>
        <w:t>DE 2022.</w:t>
      </w:r>
      <w:r w:rsidRPr="0066249B">
        <w:rPr>
          <w:rFonts w:ascii="Abadi" w:hAnsi="Abadi"/>
          <w:b/>
          <w:sz w:val="21"/>
          <w:szCs w:val="21"/>
        </w:rPr>
        <w:t xml:space="preserve"> [</w:t>
      </w:r>
      <w:r>
        <w:rPr>
          <w:rFonts w:ascii="Abadi" w:hAnsi="Abadi"/>
          <w:b/>
          <w:sz w:val="21"/>
          <w:szCs w:val="21"/>
        </w:rPr>
        <w:t>1</w:t>
      </w:r>
      <w:r w:rsidRPr="0066249B">
        <w:rPr>
          <w:rFonts w:ascii="Abadi" w:hAnsi="Abadi"/>
          <w:b/>
          <w:sz w:val="21"/>
          <w:szCs w:val="21"/>
        </w:rPr>
        <w:t>]</w:t>
      </w:r>
    </w:p>
    <w:p w14:paraId="0208F086" w14:textId="77777777" w:rsidR="000218BD" w:rsidRPr="0066249B" w:rsidRDefault="000218BD" w:rsidP="000218BD">
      <w:pPr>
        <w:jc w:val="both"/>
        <w:rPr>
          <w:rFonts w:ascii="Abadi" w:hAnsi="Abadi"/>
          <w:b/>
          <w:sz w:val="21"/>
          <w:szCs w:val="21"/>
        </w:rPr>
      </w:pPr>
    </w:p>
    <w:p w14:paraId="6B19AFEB" w14:textId="44C970C5" w:rsidR="0096035C" w:rsidRDefault="0096035C">
      <w:pPr>
        <w:pStyle w:val="Prrafodelista"/>
        <w:numPr>
          <w:ilvl w:val="0"/>
          <w:numId w:val="12"/>
        </w:numPr>
        <w:autoSpaceDE w:val="0"/>
        <w:autoSpaceDN w:val="0"/>
        <w:adjustRightInd w:val="0"/>
        <w:ind w:right="709"/>
        <w:contextualSpacing/>
        <w:jc w:val="both"/>
        <w:rPr>
          <w:rFonts w:ascii="Abadi" w:hAnsi="Abadi" w:cs="ArialMT"/>
          <w:b/>
          <w:bCs/>
          <w:sz w:val="21"/>
          <w:szCs w:val="21"/>
        </w:rPr>
      </w:pPr>
      <w:r w:rsidRPr="005570FE">
        <w:rPr>
          <w:rFonts w:ascii="Abadi" w:hAnsi="Abadi" w:cs="ArialMT"/>
          <w:b/>
          <w:bCs/>
          <w:sz w:val="21"/>
          <w:szCs w:val="21"/>
        </w:rPr>
        <w:t>Lectura y, en su caso, aprobación del orden del día.</w:t>
      </w:r>
    </w:p>
    <w:p w14:paraId="1E33594F" w14:textId="77777777" w:rsidR="00AD27E9" w:rsidRDefault="00881EB2" w:rsidP="00881EB2">
      <w:pPr>
        <w:pStyle w:val="Prrafodelista"/>
        <w:spacing w:after="160" w:line="256" w:lineRule="auto"/>
        <w:ind w:left="720"/>
        <w:contextualSpacing/>
        <w:rPr>
          <w:rFonts w:ascii="Abadi" w:hAnsi="Abadi"/>
          <w:b/>
          <w:bCs/>
          <w:sz w:val="21"/>
          <w:szCs w:val="21"/>
        </w:rPr>
      </w:pPr>
      <w:r>
        <w:rPr>
          <w:rFonts w:ascii="Abadi" w:hAnsi="Abadi"/>
          <w:b/>
          <w:bCs/>
          <w:sz w:val="21"/>
          <w:szCs w:val="21"/>
        </w:rPr>
        <w:t xml:space="preserve"> </w:t>
      </w:r>
      <w:r w:rsidR="00AD27E9">
        <w:rPr>
          <w:rFonts w:ascii="Abadi" w:hAnsi="Abadi"/>
          <w:b/>
          <w:bCs/>
          <w:sz w:val="21"/>
          <w:szCs w:val="21"/>
        </w:rPr>
        <w:tab/>
      </w:r>
      <w:r w:rsidR="00AD27E9">
        <w:rPr>
          <w:rFonts w:ascii="Abadi" w:hAnsi="Abadi"/>
          <w:b/>
          <w:bCs/>
          <w:sz w:val="21"/>
          <w:szCs w:val="21"/>
        </w:rPr>
        <w:tab/>
      </w:r>
      <w:r w:rsidR="00AD27E9">
        <w:rPr>
          <w:rFonts w:ascii="Abadi" w:hAnsi="Abadi"/>
          <w:b/>
          <w:bCs/>
          <w:sz w:val="21"/>
          <w:szCs w:val="21"/>
        </w:rPr>
        <w:tab/>
      </w:r>
    </w:p>
    <w:p w14:paraId="50FA5999" w14:textId="7E96BFB7" w:rsidR="00881EB2" w:rsidRDefault="00AD27E9" w:rsidP="00AD27E9">
      <w:pPr>
        <w:pStyle w:val="Prrafodelista"/>
        <w:spacing w:after="160" w:line="256" w:lineRule="auto"/>
        <w:ind w:left="720" w:right="-284"/>
        <w:contextualSpacing/>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881EB2">
        <w:rPr>
          <w:rFonts w:ascii="Abadi" w:hAnsi="Abadi"/>
          <w:b/>
          <w:bCs/>
          <w:sz w:val="21"/>
          <w:szCs w:val="21"/>
        </w:rPr>
        <w:t xml:space="preserve">Pág. </w:t>
      </w:r>
      <w:r w:rsidR="00B07424">
        <w:rPr>
          <w:rFonts w:ascii="Abadi" w:hAnsi="Abadi"/>
          <w:b/>
          <w:bCs/>
          <w:sz w:val="21"/>
          <w:szCs w:val="21"/>
        </w:rPr>
        <w:t>13</w:t>
      </w:r>
      <w:r w:rsidR="00881EB2">
        <w:rPr>
          <w:rFonts w:ascii="Abadi" w:hAnsi="Abadi"/>
          <w:b/>
          <w:bCs/>
          <w:sz w:val="21"/>
          <w:szCs w:val="21"/>
        </w:rPr>
        <w:t xml:space="preserve"> </w:t>
      </w:r>
    </w:p>
    <w:p w14:paraId="537EBC43" w14:textId="77777777" w:rsidR="0096035C" w:rsidRPr="005570FE" w:rsidRDefault="0096035C" w:rsidP="0096035C">
      <w:pPr>
        <w:pStyle w:val="Prrafodelista"/>
        <w:autoSpaceDE w:val="0"/>
        <w:autoSpaceDN w:val="0"/>
        <w:adjustRightInd w:val="0"/>
        <w:ind w:right="709"/>
        <w:jc w:val="both"/>
        <w:rPr>
          <w:rFonts w:ascii="Abadi" w:hAnsi="Abadi" w:cs="ArialMT"/>
          <w:b/>
          <w:bCs/>
          <w:sz w:val="21"/>
          <w:szCs w:val="21"/>
        </w:rPr>
      </w:pPr>
    </w:p>
    <w:p w14:paraId="15EC67AD" w14:textId="77777777" w:rsidR="008A0613" w:rsidRPr="000F1534" w:rsidRDefault="008A0613">
      <w:pPr>
        <w:pStyle w:val="Prrafodelista"/>
        <w:numPr>
          <w:ilvl w:val="0"/>
          <w:numId w:val="13"/>
        </w:numPr>
        <w:autoSpaceDE w:val="0"/>
        <w:autoSpaceDN w:val="0"/>
        <w:adjustRightInd w:val="0"/>
        <w:ind w:right="709"/>
        <w:contextualSpacing/>
        <w:jc w:val="both"/>
        <w:rPr>
          <w:rFonts w:ascii="Abadi" w:hAnsi="Abadi" w:cs="ArialMT"/>
          <w:b/>
          <w:bCs/>
          <w:sz w:val="21"/>
          <w:szCs w:val="21"/>
        </w:rPr>
      </w:pPr>
      <w:r w:rsidRPr="000F1534">
        <w:rPr>
          <w:rFonts w:ascii="Abadi" w:hAnsi="Abadi" w:cs="ArialMT"/>
          <w:b/>
          <w:bCs/>
          <w:sz w:val="21"/>
          <w:szCs w:val="21"/>
        </w:rPr>
        <w:t>Lectura y, en su caso, aprobación del acta de la sesión ordinaria celebrada el 6 de octubre del año en curso.</w:t>
      </w:r>
    </w:p>
    <w:p w14:paraId="025DCB99" w14:textId="77777777" w:rsidR="00AD27E9" w:rsidRPr="005570FE" w:rsidRDefault="00AD27E9" w:rsidP="00AD27E9">
      <w:pPr>
        <w:pStyle w:val="Prrafodelista"/>
        <w:autoSpaceDE w:val="0"/>
        <w:autoSpaceDN w:val="0"/>
        <w:adjustRightInd w:val="0"/>
        <w:ind w:left="720" w:right="709"/>
        <w:contextualSpacing/>
        <w:jc w:val="both"/>
        <w:rPr>
          <w:rFonts w:ascii="Abadi" w:hAnsi="Abadi" w:cs="ArialMT"/>
          <w:b/>
          <w:bCs/>
          <w:sz w:val="21"/>
          <w:szCs w:val="21"/>
        </w:rPr>
      </w:pPr>
    </w:p>
    <w:p w14:paraId="0EB47653" w14:textId="25E1C4EB" w:rsidR="00AD27E9" w:rsidRDefault="007400F1" w:rsidP="00AD27E9">
      <w:pPr>
        <w:pStyle w:val="Prrafodelista"/>
        <w:spacing w:after="160" w:line="256" w:lineRule="auto"/>
        <w:ind w:left="720" w:right="-284"/>
        <w:contextualSpacing/>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AD27E9">
        <w:rPr>
          <w:rFonts w:ascii="Abadi" w:hAnsi="Abadi"/>
          <w:b/>
          <w:bCs/>
          <w:sz w:val="21"/>
          <w:szCs w:val="21"/>
        </w:rPr>
        <w:t xml:space="preserve">Pág. </w:t>
      </w:r>
      <w:r w:rsidR="00B07424">
        <w:rPr>
          <w:rFonts w:ascii="Abadi" w:hAnsi="Abadi"/>
          <w:b/>
          <w:bCs/>
          <w:sz w:val="21"/>
          <w:szCs w:val="21"/>
        </w:rPr>
        <w:t>19</w:t>
      </w:r>
      <w:r w:rsidR="00AD27E9">
        <w:rPr>
          <w:rFonts w:ascii="Abadi" w:hAnsi="Abadi"/>
          <w:b/>
          <w:bCs/>
          <w:sz w:val="21"/>
          <w:szCs w:val="21"/>
        </w:rPr>
        <w:t xml:space="preserve"> </w:t>
      </w:r>
    </w:p>
    <w:p w14:paraId="3C14202D" w14:textId="77777777" w:rsidR="0096035C" w:rsidRPr="005570FE" w:rsidRDefault="0096035C" w:rsidP="0096035C">
      <w:pPr>
        <w:autoSpaceDE w:val="0"/>
        <w:autoSpaceDN w:val="0"/>
        <w:adjustRightInd w:val="0"/>
        <w:ind w:right="709"/>
        <w:jc w:val="both"/>
        <w:rPr>
          <w:rFonts w:ascii="Abadi" w:hAnsi="Abadi" w:cs="ArialMT"/>
          <w:b/>
          <w:bCs/>
          <w:sz w:val="21"/>
          <w:szCs w:val="21"/>
        </w:rPr>
      </w:pPr>
    </w:p>
    <w:p w14:paraId="6B2331BE" w14:textId="7B35AD14" w:rsidR="0096035C" w:rsidRDefault="0096035C">
      <w:pPr>
        <w:pStyle w:val="Prrafodelista"/>
        <w:numPr>
          <w:ilvl w:val="0"/>
          <w:numId w:val="12"/>
        </w:numPr>
        <w:autoSpaceDE w:val="0"/>
        <w:autoSpaceDN w:val="0"/>
        <w:adjustRightInd w:val="0"/>
        <w:ind w:right="709"/>
        <w:contextualSpacing/>
        <w:jc w:val="both"/>
        <w:rPr>
          <w:rFonts w:ascii="Abadi" w:hAnsi="Abadi" w:cs="ArialMT"/>
          <w:b/>
          <w:bCs/>
          <w:sz w:val="21"/>
          <w:szCs w:val="21"/>
        </w:rPr>
      </w:pPr>
      <w:r w:rsidRPr="005570FE">
        <w:rPr>
          <w:rFonts w:ascii="Abadi" w:hAnsi="Abadi" w:cs="ArialMT"/>
          <w:b/>
          <w:bCs/>
          <w:sz w:val="21"/>
          <w:szCs w:val="21"/>
        </w:rPr>
        <w:t>Dar cuenta con las comunicaciones y correspondencia recibidas.</w:t>
      </w:r>
    </w:p>
    <w:p w14:paraId="451CF6F0" w14:textId="77777777" w:rsidR="007400F1" w:rsidRDefault="007400F1" w:rsidP="007400F1">
      <w:pPr>
        <w:pStyle w:val="Prrafodelista"/>
        <w:spacing w:after="160" w:line="256" w:lineRule="auto"/>
        <w:ind w:left="720" w:right="-284"/>
        <w:contextualSpacing/>
        <w:rPr>
          <w:rFonts w:ascii="Abadi" w:hAnsi="Abadi"/>
          <w:b/>
          <w:bCs/>
          <w:sz w:val="21"/>
          <w:szCs w:val="21"/>
        </w:rPr>
      </w:pPr>
    </w:p>
    <w:p w14:paraId="09E83A14" w14:textId="40E93543" w:rsidR="007400F1" w:rsidRDefault="007400F1" w:rsidP="007400F1">
      <w:pPr>
        <w:pStyle w:val="Prrafodelista"/>
        <w:spacing w:after="160" w:line="256" w:lineRule="auto"/>
        <w:ind w:left="720" w:right="-284"/>
        <w:contextualSpacing/>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 xml:space="preserve">Pág. </w:t>
      </w:r>
      <w:r w:rsidR="00B07424">
        <w:rPr>
          <w:rFonts w:ascii="Abadi" w:hAnsi="Abadi"/>
          <w:b/>
          <w:bCs/>
          <w:sz w:val="21"/>
          <w:szCs w:val="21"/>
        </w:rPr>
        <w:t>26</w:t>
      </w:r>
      <w:r>
        <w:rPr>
          <w:rFonts w:ascii="Abadi" w:hAnsi="Abadi"/>
          <w:b/>
          <w:bCs/>
          <w:sz w:val="21"/>
          <w:szCs w:val="21"/>
        </w:rPr>
        <w:t xml:space="preserve"> </w:t>
      </w:r>
    </w:p>
    <w:p w14:paraId="553DC044" w14:textId="77777777" w:rsidR="007400F1" w:rsidRPr="007400F1" w:rsidRDefault="007400F1" w:rsidP="007400F1">
      <w:pPr>
        <w:autoSpaceDE w:val="0"/>
        <w:autoSpaceDN w:val="0"/>
        <w:adjustRightInd w:val="0"/>
        <w:ind w:right="709"/>
        <w:contextualSpacing/>
        <w:jc w:val="both"/>
        <w:rPr>
          <w:rFonts w:ascii="Abadi" w:hAnsi="Abadi" w:cs="ArialMT"/>
          <w:b/>
          <w:bCs/>
          <w:sz w:val="21"/>
          <w:szCs w:val="21"/>
        </w:rPr>
      </w:pPr>
    </w:p>
    <w:p w14:paraId="4038263B" w14:textId="77777777" w:rsidR="0096035C" w:rsidRPr="005570FE" w:rsidRDefault="0096035C" w:rsidP="0096035C">
      <w:pPr>
        <w:autoSpaceDE w:val="0"/>
        <w:autoSpaceDN w:val="0"/>
        <w:adjustRightInd w:val="0"/>
        <w:ind w:right="709"/>
        <w:jc w:val="both"/>
        <w:rPr>
          <w:rFonts w:ascii="Abadi" w:hAnsi="Abadi" w:cs="ArialMT"/>
          <w:b/>
          <w:bCs/>
          <w:sz w:val="21"/>
          <w:szCs w:val="21"/>
        </w:rPr>
      </w:pPr>
    </w:p>
    <w:p w14:paraId="417E3A1C" w14:textId="77777777" w:rsidR="00292E1B" w:rsidRPr="00D5452D" w:rsidRDefault="00292E1B">
      <w:pPr>
        <w:pStyle w:val="Prrafodelista"/>
        <w:numPr>
          <w:ilvl w:val="0"/>
          <w:numId w:val="13"/>
        </w:numPr>
        <w:autoSpaceDE w:val="0"/>
        <w:autoSpaceDN w:val="0"/>
        <w:adjustRightInd w:val="0"/>
        <w:ind w:right="709"/>
        <w:contextualSpacing/>
        <w:jc w:val="both"/>
        <w:rPr>
          <w:rFonts w:ascii="Abadi" w:hAnsi="Abadi" w:cs="ArialMT"/>
          <w:b/>
          <w:bCs/>
          <w:sz w:val="21"/>
          <w:szCs w:val="21"/>
        </w:rPr>
      </w:pPr>
      <w:r w:rsidRPr="00D5452D">
        <w:rPr>
          <w:rFonts w:ascii="Abadi" w:hAnsi="Abadi" w:cs="ArialMT"/>
          <w:b/>
          <w:bCs/>
          <w:sz w:val="21"/>
          <w:szCs w:val="21"/>
        </w:rPr>
        <w:t xml:space="preserve">Presentación de la iniciativa suscrita por el diputado David Martínez Mendizábal y la diputada Hades Berenice Aguilar Castillo integrantes del Grupo Parlamentario del Partido MORENA a efecto de </w:t>
      </w:r>
      <w:r w:rsidRPr="00D5452D">
        <w:rPr>
          <w:rFonts w:ascii="Abadi" w:hAnsi="Abadi" w:cs="ArialMT"/>
          <w:b/>
          <w:bCs/>
          <w:sz w:val="21"/>
          <w:szCs w:val="21"/>
        </w:rPr>
        <w:t>adicionar un cuarto párrafo al artículo 7 de la Constitución Política para el Estado de Guanajuato.</w:t>
      </w:r>
    </w:p>
    <w:p w14:paraId="77E1F9BD" w14:textId="77777777" w:rsidR="004C3B54" w:rsidRDefault="004C3B54" w:rsidP="004C3B54">
      <w:pPr>
        <w:pStyle w:val="Prrafodelista"/>
        <w:spacing w:after="160" w:line="256" w:lineRule="auto"/>
        <w:ind w:left="720" w:right="-284"/>
        <w:contextualSpacing/>
        <w:rPr>
          <w:rFonts w:ascii="Abadi" w:hAnsi="Abadi"/>
          <w:b/>
          <w:bCs/>
          <w:sz w:val="21"/>
          <w:szCs w:val="21"/>
        </w:rPr>
      </w:pPr>
    </w:p>
    <w:p w14:paraId="3C3E8BAF" w14:textId="064FE932" w:rsidR="004C3B54" w:rsidRDefault="004C3B54" w:rsidP="004C3B54">
      <w:pPr>
        <w:pStyle w:val="Prrafodelista"/>
        <w:spacing w:after="160" w:line="256" w:lineRule="auto"/>
        <w:ind w:left="720" w:right="-284"/>
        <w:contextualSpacing/>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 xml:space="preserve">Pág. </w:t>
      </w:r>
      <w:r w:rsidR="00B07424">
        <w:rPr>
          <w:rFonts w:ascii="Abadi" w:hAnsi="Abadi"/>
          <w:b/>
          <w:bCs/>
          <w:sz w:val="21"/>
          <w:szCs w:val="21"/>
        </w:rPr>
        <w:t>33</w:t>
      </w:r>
      <w:r>
        <w:rPr>
          <w:rFonts w:ascii="Abadi" w:hAnsi="Abadi"/>
          <w:b/>
          <w:bCs/>
          <w:sz w:val="21"/>
          <w:szCs w:val="21"/>
        </w:rPr>
        <w:t xml:space="preserve"> </w:t>
      </w:r>
    </w:p>
    <w:p w14:paraId="6EEE10B6" w14:textId="7D8C258E" w:rsidR="00BC4BAC" w:rsidRPr="00AA7107" w:rsidRDefault="00BC4BAC" w:rsidP="00BC4BAC">
      <w:pPr>
        <w:ind w:left="709" w:right="709"/>
        <w:jc w:val="both"/>
        <w:rPr>
          <w:rFonts w:ascii="Abadi" w:hAnsi="Abadi"/>
          <w:b/>
          <w:bCs/>
          <w:sz w:val="21"/>
          <w:szCs w:val="21"/>
        </w:rPr>
      </w:pPr>
      <w:r w:rsidRPr="00AA7107">
        <w:rPr>
          <w:rFonts w:ascii="Abadi" w:hAnsi="Abadi"/>
          <w:b/>
          <w:bCs/>
          <w:sz w:val="21"/>
          <w:szCs w:val="21"/>
        </w:rPr>
        <w:t xml:space="preserve">(Sube a tribuna el diputado David Martínez Mendizábal, para dar lectura a la exposición de motivos de la iniciativa </w:t>
      </w:r>
      <w:r w:rsidR="001D52ED">
        <w:rPr>
          <w:rFonts w:ascii="Abadi" w:hAnsi="Abadi"/>
          <w:b/>
          <w:bCs/>
          <w:sz w:val="21"/>
          <w:szCs w:val="21"/>
        </w:rPr>
        <w:t>en referencia</w:t>
      </w:r>
      <w:r w:rsidRPr="00AA7107">
        <w:rPr>
          <w:rFonts w:ascii="Abadi" w:hAnsi="Abadi"/>
          <w:b/>
          <w:bCs/>
          <w:sz w:val="21"/>
          <w:szCs w:val="21"/>
        </w:rPr>
        <w:t>)</w:t>
      </w:r>
    </w:p>
    <w:p w14:paraId="6D9B03CF" w14:textId="2FE52D57" w:rsidR="00BC4BAC" w:rsidRDefault="00BC4BAC" w:rsidP="004C3B54">
      <w:pPr>
        <w:pStyle w:val="Prrafodelista"/>
        <w:spacing w:after="160" w:line="256" w:lineRule="auto"/>
        <w:ind w:left="720" w:right="-284"/>
        <w:contextualSpacing/>
        <w:rPr>
          <w:rFonts w:ascii="Abadi" w:hAnsi="Abadi"/>
          <w:b/>
          <w:bCs/>
          <w:sz w:val="21"/>
          <w:szCs w:val="21"/>
        </w:rPr>
      </w:pPr>
    </w:p>
    <w:p w14:paraId="060924B2" w14:textId="459F1D80" w:rsidR="001D52ED" w:rsidRDefault="001D52ED" w:rsidP="001D52ED">
      <w:pPr>
        <w:pStyle w:val="Prrafodelista"/>
        <w:spacing w:after="160" w:line="256" w:lineRule="auto"/>
        <w:ind w:left="2844" w:right="-284" w:firstLine="696"/>
        <w:contextualSpacing/>
        <w:rPr>
          <w:rFonts w:ascii="Abadi" w:hAnsi="Abadi"/>
          <w:b/>
          <w:bCs/>
          <w:sz w:val="21"/>
          <w:szCs w:val="21"/>
        </w:rPr>
      </w:pPr>
      <w:r>
        <w:rPr>
          <w:rFonts w:ascii="Abadi" w:hAnsi="Abadi"/>
          <w:b/>
          <w:bCs/>
          <w:sz w:val="21"/>
          <w:szCs w:val="21"/>
        </w:rPr>
        <w:t>Pág.</w:t>
      </w:r>
      <w:r w:rsidR="00DB1725">
        <w:rPr>
          <w:rFonts w:ascii="Abadi" w:hAnsi="Abadi"/>
          <w:b/>
          <w:bCs/>
          <w:sz w:val="21"/>
          <w:szCs w:val="21"/>
        </w:rPr>
        <w:t xml:space="preserve"> 41</w:t>
      </w:r>
    </w:p>
    <w:p w14:paraId="451F87F7" w14:textId="46819E8D" w:rsidR="0096035C" w:rsidRPr="005570FE" w:rsidRDefault="0096035C" w:rsidP="004C3B54">
      <w:pPr>
        <w:pStyle w:val="Prrafodelista"/>
        <w:autoSpaceDE w:val="0"/>
        <w:autoSpaceDN w:val="0"/>
        <w:adjustRightInd w:val="0"/>
        <w:ind w:left="720" w:right="709"/>
        <w:contextualSpacing/>
        <w:jc w:val="both"/>
        <w:rPr>
          <w:rFonts w:ascii="Abadi" w:hAnsi="Abadi" w:cs="ArialMT"/>
          <w:b/>
          <w:bCs/>
          <w:sz w:val="21"/>
          <w:szCs w:val="21"/>
        </w:rPr>
      </w:pPr>
    </w:p>
    <w:p w14:paraId="65AFE319" w14:textId="77777777" w:rsidR="0096035C" w:rsidRPr="005570FE" w:rsidRDefault="0096035C" w:rsidP="0096035C">
      <w:pPr>
        <w:autoSpaceDE w:val="0"/>
        <w:autoSpaceDN w:val="0"/>
        <w:adjustRightInd w:val="0"/>
        <w:ind w:right="709"/>
        <w:jc w:val="both"/>
        <w:rPr>
          <w:rFonts w:ascii="Abadi" w:hAnsi="Abadi" w:cs="ArialMT"/>
          <w:b/>
          <w:bCs/>
          <w:sz w:val="21"/>
          <w:szCs w:val="21"/>
        </w:rPr>
      </w:pPr>
    </w:p>
    <w:p w14:paraId="47C0AE3C" w14:textId="77777777" w:rsidR="00150213" w:rsidRPr="000F1534" w:rsidRDefault="00150213">
      <w:pPr>
        <w:pStyle w:val="Prrafodelista"/>
        <w:numPr>
          <w:ilvl w:val="0"/>
          <w:numId w:val="13"/>
        </w:numPr>
        <w:autoSpaceDE w:val="0"/>
        <w:autoSpaceDN w:val="0"/>
        <w:adjustRightInd w:val="0"/>
        <w:ind w:right="709"/>
        <w:contextualSpacing/>
        <w:jc w:val="both"/>
        <w:rPr>
          <w:rFonts w:ascii="Abadi" w:hAnsi="Abadi" w:cs="ArialMT"/>
          <w:b/>
          <w:bCs/>
          <w:sz w:val="21"/>
          <w:szCs w:val="21"/>
        </w:rPr>
      </w:pPr>
      <w:r w:rsidRPr="000F1534">
        <w:rPr>
          <w:rFonts w:ascii="Abadi" w:hAnsi="Abadi" w:cs="ArialMT"/>
          <w:b/>
          <w:bCs/>
          <w:sz w:val="21"/>
          <w:szCs w:val="21"/>
        </w:rPr>
        <w:t>Presentación de la iniciativa formulada por la diputada Hades Berenice Aguilar Castillo integrante del Grupo Parlamentario del Partido MORENA a efecto de reformar y derogar diversas disposiciones de la Ley de Justicia Cívica del Estado de Guanajuato.</w:t>
      </w:r>
    </w:p>
    <w:p w14:paraId="437686A4" w14:textId="77777777" w:rsidR="004C3B54" w:rsidRDefault="004C3B54" w:rsidP="004C3B54">
      <w:pPr>
        <w:pStyle w:val="Prrafodelista"/>
        <w:spacing w:after="160" w:line="256" w:lineRule="auto"/>
        <w:ind w:left="720" w:right="-284"/>
        <w:contextualSpacing/>
        <w:rPr>
          <w:rFonts w:ascii="Abadi" w:hAnsi="Abadi"/>
          <w:b/>
          <w:bCs/>
          <w:sz w:val="21"/>
          <w:szCs w:val="21"/>
        </w:rPr>
      </w:pPr>
    </w:p>
    <w:p w14:paraId="140D4529" w14:textId="7B5D929F" w:rsidR="004C3B54" w:rsidRDefault="004C3B54" w:rsidP="004C3B54">
      <w:pPr>
        <w:pStyle w:val="Prrafodelista"/>
        <w:spacing w:after="160" w:line="256" w:lineRule="auto"/>
        <w:ind w:left="720" w:right="-284"/>
        <w:contextualSpacing/>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 xml:space="preserve">Pág. </w:t>
      </w:r>
      <w:r w:rsidR="00DB1725">
        <w:rPr>
          <w:rFonts w:ascii="Abadi" w:hAnsi="Abadi"/>
          <w:b/>
          <w:bCs/>
          <w:sz w:val="21"/>
          <w:szCs w:val="21"/>
        </w:rPr>
        <w:t>44</w:t>
      </w:r>
      <w:r>
        <w:rPr>
          <w:rFonts w:ascii="Abadi" w:hAnsi="Abadi"/>
          <w:b/>
          <w:bCs/>
          <w:sz w:val="21"/>
          <w:szCs w:val="21"/>
        </w:rPr>
        <w:t xml:space="preserve"> </w:t>
      </w:r>
    </w:p>
    <w:p w14:paraId="462DFB3A" w14:textId="2931A9BE" w:rsidR="001D2D83" w:rsidRDefault="001D2D83" w:rsidP="001D2D83">
      <w:pPr>
        <w:ind w:left="709" w:right="709"/>
        <w:jc w:val="both"/>
        <w:rPr>
          <w:rFonts w:ascii="Abadi" w:hAnsi="Abadi"/>
          <w:b/>
          <w:bCs/>
          <w:sz w:val="21"/>
          <w:szCs w:val="21"/>
        </w:rPr>
      </w:pPr>
      <w:r w:rsidRPr="00AA7107">
        <w:rPr>
          <w:rFonts w:ascii="Abadi" w:hAnsi="Abadi"/>
          <w:b/>
          <w:bCs/>
          <w:sz w:val="21"/>
          <w:szCs w:val="21"/>
        </w:rPr>
        <w:t xml:space="preserve">(Sube a tribuna la diputada Hades </w:t>
      </w:r>
      <w:r>
        <w:rPr>
          <w:rFonts w:ascii="Abadi" w:hAnsi="Abadi"/>
          <w:b/>
          <w:bCs/>
          <w:sz w:val="21"/>
          <w:szCs w:val="21"/>
        </w:rPr>
        <w:t xml:space="preserve">Berenice </w:t>
      </w:r>
      <w:r w:rsidRPr="00AA7107">
        <w:rPr>
          <w:rFonts w:ascii="Abadi" w:hAnsi="Abadi"/>
          <w:b/>
          <w:bCs/>
          <w:sz w:val="21"/>
          <w:szCs w:val="21"/>
        </w:rPr>
        <w:t xml:space="preserve">Aguilar Castillo, para hablar de la iniciativa </w:t>
      </w:r>
      <w:r>
        <w:rPr>
          <w:rFonts w:ascii="Abadi" w:hAnsi="Abadi"/>
          <w:b/>
          <w:bCs/>
          <w:sz w:val="21"/>
          <w:szCs w:val="21"/>
        </w:rPr>
        <w:t>en referencia)</w:t>
      </w:r>
    </w:p>
    <w:p w14:paraId="71499804" w14:textId="53B5C784" w:rsidR="001D2D83" w:rsidRPr="00AA7107" w:rsidRDefault="001D2D83" w:rsidP="00DB1725">
      <w:pPr>
        <w:ind w:left="2977" w:right="-142" w:firstLine="563"/>
        <w:jc w:val="both"/>
        <w:rPr>
          <w:rFonts w:ascii="Abadi" w:hAnsi="Abadi"/>
          <w:b/>
          <w:bCs/>
          <w:sz w:val="21"/>
          <w:szCs w:val="21"/>
        </w:rPr>
      </w:pPr>
      <w:r>
        <w:rPr>
          <w:rFonts w:ascii="Abadi" w:hAnsi="Abadi"/>
          <w:b/>
          <w:bCs/>
          <w:sz w:val="21"/>
          <w:szCs w:val="21"/>
        </w:rPr>
        <w:t>Pá</w:t>
      </w:r>
      <w:r w:rsidR="00DB1725">
        <w:rPr>
          <w:rFonts w:ascii="Abadi" w:hAnsi="Abadi"/>
          <w:b/>
          <w:bCs/>
          <w:sz w:val="21"/>
          <w:szCs w:val="21"/>
        </w:rPr>
        <w:t>g. 50</w:t>
      </w:r>
      <w:r>
        <w:rPr>
          <w:rFonts w:ascii="Abadi" w:hAnsi="Abadi"/>
          <w:b/>
          <w:bCs/>
          <w:sz w:val="21"/>
          <w:szCs w:val="21"/>
        </w:rPr>
        <w:t xml:space="preserve"> </w:t>
      </w:r>
    </w:p>
    <w:p w14:paraId="3AC22C65" w14:textId="77777777" w:rsidR="001D2D83" w:rsidRDefault="001D2D83" w:rsidP="004C3B54">
      <w:pPr>
        <w:pStyle w:val="Prrafodelista"/>
        <w:spacing w:after="160" w:line="256" w:lineRule="auto"/>
        <w:ind w:left="720" w:right="-284"/>
        <w:contextualSpacing/>
        <w:rPr>
          <w:rFonts w:ascii="Abadi" w:hAnsi="Abadi"/>
          <w:b/>
          <w:bCs/>
          <w:sz w:val="21"/>
          <w:szCs w:val="21"/>
        </w:rPr>
      </w:pPr>
    </w:p>
    <w:p w14:paraId="787FBF7C" w14:textId="77777777" w:rsidR="0096035C" w:rsidRPr="005570FE" w:rsidRDefault="0096035C" w:rsidP="0096035C">
      <w:pPr>
        <w:autoSpaceDE w:val="0"/>
        <w:autoSpaceDN w:val="0"/>
        <w:adjustRightInd w:val="0"/>
        <w:jc w:val="both"/>
        <w:rPr>
          <w:rFonts w:ascii="Abadi" w:hAnsi="Abadi" w:cs="ArialMT"/>
          <w:b/>
          <w:bCs/>
          <w:sz w:val="21"/>
          <w:szCs w:val="21"/>
        </w:rPr>
      </w:pPr>
    </w:p>
    <w:p w14:paraId="6A8A5B10" w14:textId="77777777" w:rsidR="00C00965" w:rsidRPr="000F1534" w:rsidRDefault="00C00965">
      <w:pPr>
        <w:pStyle w:val="Prrafodelista"/>
        <w:numPr>
          <w:ilvl w:val="0"/>
          <w:numId w:val="13"/>
        </w:numPr>
        <w:autoSpaceDE w:val="0"/>
        <w:autoSpaceDN w:val="0"/>
        <w:adjustRightInd w:val="0"/>
        <w:ind w:right="709"/>
        <w:contextualSpacing/>
        <w:jc w:val="both"/>
        <w:rPr>
          <w:rFonts w:ascii="Abadi" w:hAnsi="Abadi" w:cs="ArialMT"/>
          <w:b/>
          <w:bCs/>
          <w:sz w:val="21"/>
          <w:szCs w:val="21"/>
        </w:rPr>
      </w:pPr>
      <w:r w:rsidRPr="000F1534">
        <w:rPr>
          <w:rFonts w:ascii="Abadi" w:hAnsi="Abadi" w:cs="ArialMT"/>
          <w:b/>
          <w:bCs/>
          <w:sz w:val="21"/>
          <w:szCs w:val="21"/>
        </w:rPr>
        <w:t>Presentación de la iniciativa suscrita por diputadas y diputados integrantes del Grupo Parlamentario del Partido Acción Nacional a efecto de adicionar diversas disposiciones a la Ley de Fomento a la Agricultura Familiar del Estado de Guanajuato.</w:t>
      </w:r>
    </w:p>
    <w:p w14:paraId="064228E5" w14:textId="33EC9F6B" w:rsidR="004C3B54" w:rsidRDefault="004C3B54" w:rsidP="004C3B54">
      <w:pPr>
        <w:pStyle w:val="Prrafodelista"/>
        <w:spacing w:after="160" w:line="256" w:lineRule="auto"/>
        <w:ind w:left="720" w:right="-284"/>
        <w:contextualSpacing/>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Pág.</w:t>
      </w:r>
      <w:r w:rsidR="00DB1725">
        <w:rPr>
          <w:rFonts w:ascii="Abadi" w:hAnsi="Abadi"/>
          <w:b/>
          <w:bCs/>
          <w:sz w:val="21"/>
          <w:szCs w:val="21"/>
        </w:rPr>
        <w:t xml:space="preserve"> 52</w:t>
      </w:r>
      <w:r>
        <w:rPr>
          <w:rFonts w:ascii="Abadi" w:hAnsi="Abadi"/>
          <w:b/>
          <w:bCs/>
          <w:sz w:val="21"/>
          <w:szCs w:val="21"/>
        </w:rPr>
        <w:t xml:space="preserve">  </w:t>
      </w:r>
    </w:p>
    <w:p w14:paraId="2BC451F7" w14:textId="77777777" w:rsidR="0044141D" w:rsidRPr="00AA7107" w:rsidRDefault="0044141D" w:rsidP="0044141D">
      <w:pPr>
        <w:ind w:left="709" w:right="709"/>
        <w:jc w:val="both"/>
        <w:rPr>
          <w:rFonts w:ascii="Abadi" w:hAnsi="Abadi"/>
          <w:b/>
          <w:bCs/>
          <w:sz w:val="21"/>
          <w:szCs w:val="21"/>
        </w:rPr>
      </w:pPr>
      <w:r w:rsidRPr="00AA7107">
        <w:rPr>
          <w:rFonts w:ascii="Abadi" w:hAnsi="Abadi"/>
          <w:b/>
          <w:bCs/>
          <w:sz w:val="21"/>
          <w:szCs w:val="21"/>
        </w:rPr>
        <w:t xml:space="preserve">(Sube a tribuna la diputada Briseida Anabel Magdaleno González, para hablar de la iniciativa </w:t>
      </w:r>
      <w:r>
        <w:rPr>
          <w:rFonts w:ascii="Abadi" w:hAnsi="Abadi"/>
          <w:b/>
          <w:bCs/>
          <w:sz w:val="21"/>
          <w:szCs w:val="21"/>
        </w:rPr>
        <w:t>en referencia</w:t>
      </w:r>
      <w:r w:rsidRPr="00AA7107">
        <w:rPr>
          <w:rFonts w:ascii="Abadi" w:hAnsi="Abadi"/>
          <w:b/>
          <w:bCs/>
          <w:sz w:val="21"/>
          <w:szCs w:val="21"/>
        </w:rPr>
        <w:t>)</w:t>
      </w:r>
    </w:p>
    <w:p w14:paraId="4BEDB62E" w14:textId="77777777" w:rsidR="0044141D" w:rsidRDefault="0044141D" w:rsidP="0044141D">
      <w:pPr>
        <w:pStyle w:val="Prrafodelista"/>
        <w:spacing w:after="160" w:line="256" w:lineRule="auto"/>
        <w:ind w:left="2844" w:right="-284" w:firstLine="696"/>
        <w:contextualSpacing/>
        <w:rPr>
          <w:rFonts w:ascii="Abadi" w:hAnsi="Abadi"/>
          <w:b/>
          <w:bCs/>
          <w:sz w:val="21"/>
          <w:szCs w:val="21"/>
        </w:rPr>
      </w:pPr>
    </w:p>
    <w:p w14:paraId="2F5D5CF8" w14:textId="759F6301" w:rsidR="0044141D" w:rsidRDefault="0044141D" w:rsidP="0044141D">
      <w:pPr>
        <w:pStyle w:val="Prrafodelista"/>
        <w:spacing w:after="160" w:line="256" w:lineRule="auto"/>
        <w:ind w:left="2844" w:right="-284" w:firstLine="696"/>
        <w:contextualSpacing/>
        <w:rPr>
          <w:rFonts w:ascii="Abadi" w:hAnsi="Abadi"/>
          <w:b/>
          <w:bCs/>
          <w:sz w:val="21"/>
          <w:szCs w:val="21"/>
        </w:rPr>
      </w:pPr>
      <w:r>
        <w:rPr>
          <w:rFonts w:ascii="Abadi" w:hAnsi="Abadi"/>
          <w:b/>
          <w:bCs/>
          <w:sz w:val="21"/>
          <w:szCs w:val="21"/>
        </w:rPr>
        <w:t xml:space="preserve">Pág. </w:t>
      </w:r>
      <w:r w:rsidR="00975BF2">
        <w:rPr>
          <w:rFonts w:ascii="Abadi" w:hAnsi="Abadi"/>
          <w:b/>
          <w:bCs/>
          <w:sz w:val="21"/>
          <w:szCs w:val="21"/>
        </w:rPr>
        <w:t>60</w:t>
      </w:r>
      <w:r>
        <w:rPr>
          <w:rFonts w:ascii="Abadi" w:hAnsi="Abadi"/>
          <w:b/>
          <w:bCs/>
          <w:sz w:val="21"/>
          <w:szCs w:val="21"/>
        </w:rPr>
        <w:t xml:space="preserve"> </w:t>
      </w:r>
    </w:p>
    <w:p w14:paraId="12E68209" w14:textId="77777777" w:rsidR="0096035C" w:rsidRPr="005570FE" w:rsidRDefault="0096035C" w:rsidP="000270AC">
      <w:pPr>
        <w:autoSpaceDE w:val="0"/>
        <w:autoSpaceDN w:val="0"/>
        <w:adjustRightInd w:val="0"/>
        <w:ind w:right="709"/>
        <w:jc w:val="both"/>
        <w:rPr>
          <w:rFonts w:ascii="Abadi" w:hAnsi="Abadi" w:cs="ArialMT"/>
          <w:b/>
          <w:bCs/>
          <w:sz w:val="21"/>
          <w:szCs w:val="21"/>
        </w:rPr>
      </w:pPr>
    </w:p>
    <w:p w14:paraId="2FD2B10D" w14:textId="77777777" w:rsidR="00111778" w:rsidRPr="000F1534" w:rsidRDefault="00111778">
      <w:pPr>
        <w:pStyle w:val="Prrafodelista"/>
        <w:numPr>
          <w:ilvl w:val="0"/>
          <w:numId w:val="13"/>
        </w:numPr>
        <w:autoSpaceDE w:val="0"/>
        <w:autoSpaceDN w:val="0"/>
        <w:adjustRightInd w:val="0"/>
        <w:ind w:right="709"/>
        <w:contextualSpacing/>
        <w:jc w:val="both"/>
        <w:rPr>
          <w:rFonts w:ascii="Abadi" w:hAnsi="Abadi" w:cs="ArialMT"/>
          <w:b/>
          <w:bCs/>
          <w:sz w:val="21"/>
          <w:szCs w:val="21"/>
        </w:rPr>
      </w:pPr>
      <w:r w:rsidRPr="000F1534">
        <w:rPr>
          <w:rFonts w:ascii="Abadi" w:hAnsi="Abadi" w:cs="ArialMT"/>
          <w:b/>
          <w:bCs/>
          <w:sz w:val="21"/>
          <w:szCs w:val="21"/>
        </w:rPr>
        <w:t>Presentación de la iniciativa formulada por la diputada Irma Leticia González Sánchez integrante del Grupo Parlamentario del Partido MORENA a efecto de reformar y adicionar diversas disposiciones de la Ley de Salud del Estado de Guanajuato.</w:t>
      </w:r>
    </w:p>
    <w:p w14:paraId="5914FBEF" w14:textId="6A3B89DD" w:rsidR="0044141D" w:rsidRDefault="004C3B54" w:rsidP="004C3B54">
      <w:pPr>
        <w:pStyle w:val="Prrafodelista"/>
        <w:spacing w:after="160" w:line="256" w:lineRule="auto"/>
        <w:ind w:left="720" w:right="-284"/>
        <w:contextualSpacing/>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Pág.</w:t>
      </w:r>
      <w:r w:rsidR="00975BF2">
        <w:rPr>
          <w:rFonts w:ascii="Abadi" w:hAnsi="Abadi"/>
          <w:b/>
          <w:bCs/>
          <w:sz w:val="21"/>
          <w:szCs w:val="21"/>
        </w:rPr>
        <w:t xml:space="preserve"> 62</w:t>
      </w:r>
    </w:p>
    <w:p w14:paraId="697ED8ED" w14:textId="77777777" w:rsidR="0044141D" w:rsidRDefault="0044141D" w:rsidP="004C3B54">
      <w:pPr>
        <w:pStyle w:val="Prrafodelista"/>
        <w:spacing w:after="160" w:line="256" w:lineRule="auto"/>
        <w:ind w:left="720" w:right="-284"/>
        <w:contextualSpacing/>
        <w:rPr>
          <w:rFonts w:ascii="Abadi" w:hAnsi="Abadi"/>
          <w:b/>
          <w:bCs/>
          <w:sz w:val="21"/>
          <w:szCs w:val="21"/>
        </w:rPr>
      </w:pPr>
    </w:p>
    <w:p w14:paraId="71921801" w14:textId="267821C7" w:rsidR="004C3B54" w:rsidRDefault="0044141D" w:rsidP="0044141D">
      <w:pPr>
        <w:pStyle w:val="Prrafodelista"/>
        <w:spacing w:after="160" w:line="256" w:lineRule="auto"/>
        <w:ind w:left="720" w:right="709"/>
        <w:contextualSpacing/>
        <w:jc w:val="both"/>
        <w:rPr>
          <w:rFonts w:ascii="Abadi" w:hAnsi="Abadi"/>
          <w:b/>
          <w:bCs/>
          <w:sz w:val="21"/>
          <w:szCs w:val="21"/>
        </w:rPr>
      </w:pPr>
      <w:r>
        <w:rPr>
          <w:rFonts w:ascii="Abadi" w:hAnsi="Abadi"/>
          <w:b/>
          <w:bCs/>
          <w:sz w:val="21"/>
          <w:szCs w:val="21"/>
        </w:rPr>
        <w:t>(</w:t>
      </w:r>
      <w:r w:rsidRPr="00AA7107">
        <w:rPr>
          <w:rFonts w:ascii="Abadi" w:hAnsi="Abadi"/>
          <w:b/>
          <w:bCs/>
          <w:sz w:val="21"/>
          <w:szCs w:val="21"/>
        </w:rPr>
        <w:t>Sube a tribuna a diputada Irma Leticia González Sánchez, para hablar de a iniciativa en referencia)</w:t>
      </w:r>
      <w:r w:rsidR="004C3B54">
        <w:rPr>
          <w:rFonts w:ascii="Abadi" w:hAnsi="Abadi"/>
          <w:b/>
          <w:bCs/>
          <w:sz w:val="21"/>
          <w:szCs w:val="21"/>
        </w:rPr>
        <w:t xml:space="preserve">  </w:t>
      </w:r>
    </w:p>
    <w:p w14:paraId="3CC174C9" w14:textId="77777777" w:rsidR="0044141D" w:rsidRDefault="0044141D" w:rsidP="0044141D">
      <w:pPr>
        <w:pStyle w:val="Prrafodelista"/>
        <w:spacing w:after="160" w:line="256" w:lineRule="auto"/>
        <w:ind w:left="2844" w:right="-284" w:firstLine="696"/>
        <w:contextualSpacing/>
        <w:rPr>
          <w:rFonts w:ascii="Abadi" w:hAnsi="Abadi"/>
          <w:b/>
          <w:bCs/>
          <w:sz w:val="21"/>
          <w:szCs w:val="21"/>
        </w:rPr>
      </w:pPr>
    </w:p>
    <w:p w14:paraId="51A6FC16" w14:textId="5B6CFB2F" w:rsidR="0044141D" w:rsidRDefault="0044141D" w:rsidP="0044141D">
      <w:pPr>
        <w:pStyle w:val="Prrafodelista"/>
        <w:spacing w:after="160" w:line="256" w:lineRule="auto"/>
        <w:ind w:left="2844" w:right="-284" w:firstLine="696"/>
        <w:contextualSpacing/>
        <w:rPr>
          <w:rFonts w:ascii="Abadi" w:hAnsi="Abadi"/>
          <w:b/>
          <w:bCs/>
          <w:sz w:val="21"/>
          <w:szCs w:val="21"/>
        </w:rPr>
      </w:pPr>
      <w:r>
        <w:rPr>
          <w:rFonts w:ascii="Abadi" w:hAnsi="Abadi"/>
          <w:b/>
          <w:bCs/>
          <w:sz w:val="21"/>
          <w:szCs w:val="21"/>
        </w:rPr>
        <w:t>Pág.</w:t>
      </w:r>
      <w:r w:rsidR="00975BF2">
        <w:rPr>
          <w:rFonts w:ascii="Abadi" w:hAnsi="Abadi"/>
          <w:b/>
          <w:bCs/>
          <w:sz w:val="21"/>
          <w:szCs w:val="21"/>
        </w:rPr>
        <w:t xml:space="preserve"> 65</w:t>
      </w:r>
    </w:p>
    <w:p w14:paraId="69B4A190" w14:textId="77777777" w:rsidR="0044141D" w:rsidRDefault="0044141D" w:rsidP="0044141D">
      <w:pPr>
        <w:pStyle w:val="Prrafodelista"/>
        <w:spacing w:after="160" w:line="256" w:lineRule="auto"/>
        <w:ind w:left="720" w:right="709"/>
        <w:contextualSpacing/>
        <w:jc w:val="both"/>
        <w:rPr>
          <w:rFonts w:ascii="Abadi" w:hAnsi="Abadi"/>
          <w:b/>
          <w:bCs/>
          <w:sz w:val="21"/>
          <w:szCs w:val="21"/>
        </w:rPr>
      </w:pPr>
    </w:p>
    <w:p w14:paraId="638509CE" w14:textId="77777777" w:rsidR="000B763C" w:rsidRPr="000F1534" w:rsidRDefault="000B763C">
      <w:pPr>
        <w:pStyle w:val="Prrafodelista"/>
        <w:numPr>
          <w:ilvl w:val="0"/>
          <w:numId w:val="13"/>
        </w:numPr>
        <w:autoSpaceDE w:val="0"/>
        <w:autoSpaceDN w:val="0"/>
        <w:adjustRightInd w:val="0"/>
        <w:ind w:right="709"/>
        <w:contextualSpacing/>
        <w:jc w:val="both"/>
        <w:rPr>
          <w:rFonts w:ascii="Abadi" w:hAnsi="Abadi" w:cs="ArialMT"/>
          <w:b/>
          <w:bCs/>
          <w:sz w:val="21"/>
          <w:szCs w:val="21"/>
        </w:rPr>
      </w:pPr>
      <w:r w:rsidRPr="000F1534">
        <w:rPr>
          <w:rFonts w:ascii="Abadi" w:hAnsi="Abadi" w:cs="ArialMT"/>
          <w:b/>
          <w:bCs/>
          <w:sz w:val="21"/>
          <w:szCs w:val="21"/>
        </w:rPr>
        <w:t>Presentación de la iniciativa por la que se adicionan diversas disposiciones a la Ley de Instituciones y Procedimientos Electorales para el Estado de Guanajuato y a la Ley de los Derechos de Niñas, Niños y Adolescentes del Estado de Guanajuato suscrita por diputada y los diputados integrantes del Grupo Parlamentario del Partido Revolucionario Institucional.</w:t>
      </w:r>
    </w:p>
    <w:p w14:paraId="26AE8C22" w14:textId="77777777" w:rsidR="004C3B54" w:rsidRDefault="004C3B54" w:rsidP="004C3B54">
      <w:pPr>
        <w:pStyle w:val="Prrafodelista"/>
        <w:spacing w:after="160" w:line="256" w:lineRule="auto"/>
        <w:ind w:left="720" w:right="-284"/>
        <w:contextualSpacing/>
        <w:rPr>
          <w:rFonts w:ascii="Abadi" w:hAnsi="Abadi"/>
          <w:b/>
          <w:bCs/>
          <w:sz w:val="21"/>
          <w:szCs w:val="21"/>
        </w:rPr>
      </w:pPr>
    </w:p>
    <w:p w14:paraId="310EEBB0" w14:textId="6CAB156E" w:rsidR="004C3B54" w:rsidRDefault="004C3B54" w:rsidP="004C3B54">
      <w:pPr>
        <w:pStyle w:val="Prrafodelista"/>
        <w:spacing w:after="160" w:line="256" w:lineRule="auto"/>
        <w:ind w:left="720" w:right="-284"/>
        <w:contextualSpacing/>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 xml:space="preserve">Pág. </w:t>
      </w:r>
      <w:r w:rsidR="00975BF2">
        <w:rPr>
          <w:rFonts w:ascii="Abadi" w:hAnsi="Abadi"/>
          <w:b/>
          <w:bCs/>
          <w:sz w:val="21"/>
          <w:szCs w:val="21"/>
        </w:rPr>
        <w:t>67</w:t>
      </w:r>
      <w:r>
        <w:rPr>
          <w:rFonts w:ascii="Abadi" w:hAnsi="Abadi"/>
          <w:b/>
          <w:bCs/>
          <w:sz w:val="21"/>
          <w:szCs w:val="21"/>
        </w:rPr>
        <w:t xml:space="preserve"> </w:t>
      </w:r>
    </w:p>
    <w:p w14:paraId="1202E4F9" w14:textId="1416DD08" w:rsidR="00313712" w:rsidRDefault="00313712" w:rsidP="004C3B54">
      <w:pPr>
        <w:pStyle w:val="Prrafodelista"/>
        <w:spacing w:after="160" w:line="256" w:lineRule="auto"/>
        <w:ind w:left="720" w:right="-284"/>
        <w:contextualSpacing/>
        <w:rPr>
          <w:rFonts w:ascii="Abadi" w:hAnsi="Abadi"/>
          <w:b/>
          <w:bCs/>
          <w:sz w:val="21"/>
          <w:szCs w:val="21"/>
        </w:rPr>
      </w:pPr>
    </w:p>
    <w:p w14:paraId="0A34AB18" w14:textId="03E4C1C7" w:rsidR="00313712" w:rsidRDefault="00313712" w:rsidP="00313712">
      <w:pPr>
        <w:ind w:left="709" w:right="709"/>
        <w:jc w:val="both"/>
        <w:rPr>
          <w:rFonts w:ascii="Abadi" w:hAnsi="Abadi"/>
          <w:b/>
          <w:bCs/>
          <w:sz w:val="21"/>
          <w:szCs w:val="21"/>
        </w:rPr>
      </w:pPr>
      <w:r w:rsidRPr="00AA7107">
        <w:rPr>
          <w:rFonts w:ascii="Abadi" w:hAnsi="Abadi"/>
          <w:b/>
          <w:bCs/>
          <w:sz w:val="21"/>
          <w:szCs w:val="21"/>
        </w:rPr>
        <w:t>(Sube a tribuna el diputado Gustavo Adolfo Alfaro Reyes, para dar lectura a la iniciativa en referencia)</w:t>
      </w:r>
    </w:p>
    <w:p w14:paraId="79EAA4B7" w14:textId="39BDEDE0" w:rsidR="00313712" w:rsidRDefault="00313712" w:rsidP="00313712">
      <w:pPr>
        <w:ind w:left="709" w:right="709"/>
        <w:jc w:val="both"/>
        <w:rPr>
          <w:rFonts w:ascii="Abadi" w:hAnsi="Abadi"/>
          <w:b/>
          <w:bCs/>
          <w:sz w:val="21"/>
          <w:szCs w:val="21"/>
        </w:rPr>
      </w:pPr>
    </w:p>
    <w:p w14:paraId="465B8BB5" w14:textId="43B45D26" w:rsidR="00313712" w:rsidRDefault="00313712" w:rsidP="006D26E3">
      <w:pPr>
        <w:ind w:left="2833" w:right="-142" w:firstLine="707"/>
        <w:jc w:val="both"/>
        <w:rPr>
          <w:rFonts w:ascii="Abadi" w:hAnsi="Abadi"/>
          <w:b/>
          <w:bCs/>
          <w:sz w:val="21"/>
          <w:szCs w:val="21"/>
        </w:rPr>
      </w:pPr>
      <w:r>
        <w:rPr>
          <w:rFonts w:ascii="Abadi" w:hAnsi="Abadi"/>
          <w:b/>
          <w:bCs/>
          <w:sz w:val="21"/>
          <w:szCs w:val="21"/>
        </w:rPr>
        <w:t>Pág.</w:t>
      </w:r>
      <w:r w:rsidR="006D26E3">
        <w:rPr>
          <w:rFonts w:ascii="Abadi" w:hAnsi="Abadi"/>
          <w:b/>
          <w:bCs/>
          <w:sz w:val="21"/>
          <w:szCs w:val="21"/>
        </w:rPr>
        <w:t xml:space="preserve"> 80</w:t>
      </w:r>
    </w:p>
    <w:p w14:paraId="4C2A34B4" w14:textId="77777777" w:rsidR="00313712" w:rsidRDefault="00313712" w:rsidP="004C3B54">
      <w:pPr>
        <w:pStyle w:val="Prrafodelista"/>
        <w:spacing w:after="160" w:line="256" w:lineRule="auto"/>
        <w:ind w:left="720" w:right="-284"/>
        <w:contextualSpacing/>
        <w:rPr>
          <w:rFonts w:ascii="Abadi" w:hAnsi="Abadi"/>
          <w:b/>
          <w:bCs/>
          <w:sz w:val="21"/>
          <w:szCs w:val="21"/>
        </w:rPr>
      </w:pPr>
    </w:p>
    <w:p w14:paraId="454A5DF8" w14:textId="4950056A" w:rsidR="00B27C97" w:rsidRPr="000F1534" w:rsidRDefault="00B27C97">
      <w:pPr>
        <w:pStyle w:val="Prrafodelista"/>
        <w:numPr>
          <w:ilvl w:val="0"/>
          <w:numId w:val="13"/>
        </w:numPr>
        <w:autoSpaceDE w:val="0"/>
        <w:autoSpaceDN w:val="0"/>
        <w:adjustRightInd w:val="0"/>
        <w:ind w:right="709"/>
        <w:contextualSpacing/>
        <w:jc w:val="both"/>
        <w:rPr>
          <w:rFonts w:ascii="Abadi" w:hAnsi="Abadi" w:cs="ArialMT"/>
          <w:b/>
          <w:bCs/>
          <w:sz w:val="21"/>
          <w:szCs w:val="21"/>
        </w:rPr>
      </w:pPr>
      <w:r w:rsidRPr="000F1534">
        <w:rPr>
          <w:rFonts w:ascii="Abadi" w:hAnsi="Abadi" w:cs="ArialMT"/>
          <w:b/>
          <w:bCs/>
          <w:sz w:val="21"/>
          <w:szCs w:val="21"/>
        </w:rPr>
        <w:t>Presentación de la iniciativa formulada por diputadas y diputado integrantes del Grupo Parlamentario del Partido MORENA a efecto de adicionar los artículos 63-1 y 63-2 a la Ley de Responsabilidades</w:t>
      </w:r>
      <w:r w:rsidR="006D07B6">
        <w:rPr>
          <w:rFonts w:ascii="Abadi" w:hAnsi="Abadi" w:cs="ArialMT"/>
          <w:b/>
          <w:bCs/>
          <w:sz w:val="21"/>
          <w:szCs w:val="21"/>
        </w:rPr>
        <w:t xml:space="preserve"> </w:t>
      </w:r>
      <w:r w:rsidRPr="000F1534">
        <w:rPr>
          <w:rFonts w:ascii="Abadi" w:hAnsi="Abadi" w:cs="ArialMT"/>
          <w:b/>
          <w:bCs/>
          <w:sz w:val="21"/>
          <w:szCs w:val="21"/>
        </w:rPr>
        <w:t>Administrativas para el Estado de Guanajuato.</w:t>
      </w:r>
    </w:p>
    <w:p w14:paraId="4DACA393" w14:textId="77777777" w:rsidR="0096035C" w:rsidRPr="005570FE" w:rsidRDefault="0096035C" w:rsidP="000270AC">
      <w:pPr>
        <w:autoSpaceDE w:val="0"/>
        <w:autoSpaceDN w:val="0"/>
        <w:adjustRightInd w:val="0"/>
        <w:ind w:right="709"/>
        <w:jc w:val="both"/>
        <w:rPr>
          <w:rFonts w:ascii="Abadi" w:hAnsi="Abadi" w:cs="ArialMT"/>
          <w:b/>
          <w:bCs/>
          <w:sz w:val="21"/>
          <w:szCs w:val="21"/>
        </w:rPr>
      </w:pPr>
    </w:p>
    <w:p w14:paraId="69BD944B" w14:textId="24BBB00B" w:rsidR="00BC52FE" w:rsidRDefault="004C3B54" w:rsidP="004C3B54">
      <w:pPr>
        <w:pStyle w:val="Prrafodelista"/>
        <w:spacing w:after="160" w:line="256" w:lineRule="auto"/>
        <w:ind w:left="720" w:right="-284"/>
        <w:contextualSpacing/>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Pág.</w:t>
      </w:r>
      <w:r w:rsidR="006D26E3">
        <w:rPr>
          <w:rFonts w:ascii="Abadi" w:hAnsi="Abadi"/>
          <w:b/>
          <w:bCs/>
          <w:sz w:val="21"/>
          <w:szCs w:val="21"/>
        </w:rPr>
        <w:t xml:space="preserve"> 82</w:t>
      </w:r>
      <w:r>
        <w:rPr>
          <w:rFonts w:ascii="Abadi" w:hAnsi="Abadi"/>
          <w:b/>
          <w:bCs/>
          <w:sz w:val="21"/>
          <w:szCs w:val="21"/>
        </w:rPr>
        <w:t xml:space="preserve"> </w:t>
      </w:r>
    </w:p>
    <w:p w14:paraId="71139D35" w14:textId="77777777" w:rsidR="00BC52FE" w:rsidRDefault="00BC52FE" w:rsidP="004C3B54">
      <w:pPr>
        <w:pStyle w:val="Prrafodelista"/>
        <w:spacing w:after="160" w:line="256" w:lineRule="auto"/>
        <w:ind w:left="720" w:right="-284"/>
        <w:contextualSpacing/>
        <w:rPr>
          <w:rFonts w:ascii="Abadi" w:hAnsi="Abadi"/>
          <w:b/>
          <w:bCs/>
          <w:sz w:val="21"/>
          <w:szCs w:val="21"/>
        </w:rPr>
      </w:pPr>
    </w:p>
    <w:p w14:paraId="1882F776" w14:textId="77777777" w:rsidR="00BC52FE" w:rsidRPr="00AA7107" w:rsidRDefault="00BC52FE" w:rsidP="00BC52FE">
      <w:pPr>
        <w:ind w:left="709" w:right="709"/>
        <w:jc w:val="both"/>
        <w:rPr>
          <w:rFonts w:ascii="Abadi" w:hAnsi="Abadi"/>
          <w:b/>
          <w:bCs/>
          <w:sz w:val="21"/>
          <w:szCs w:val="21"/>
        </w:rPr>
      </w:pPr>
      <w:r w:rsidRPr="00AA7107">
        <w:rPr>
          <w:rFonts w:ascii="Abadi" w:hAnsi="Abadi"/>
          <w:b/>
          <w:bCs/>
          <w:sz w:val="21"/>
          <w:szCs w:val="21"/>
        </w:rPr>
        <w:t>(Sube a tribuna el diputado Ernesto Millán Soberanes, para dar lectura a la iniciativa en referencia)</w:t>
      </w:r>
    </w:p>
    <w:p w14:paraId="1159AB87" w14:textId="28EEED55" w:rsidR="004C3B54" w:rsidRDefault="004C3B54" w:rsidP="004C3B54">
      <w:pPr>
        <w:pStyle w:val="Prrafodelista"/>
        <w:spacing w:after="160" w:line="256" w:lineRule="auto"/>
        <w:ind w:left="720" w:right="-284"/>
        <w:contextualSpacing/>
        <w:rPr>
          <w:rFonts w:ascii="Abadi" w:hAnsi="Abadi"/>
          <w:b/>
          <w:bCs/>
          <w:sz w:val="21"/>
          <w:szCs w:val="21"/>
        </w:rPr>
      </w:pPr>
      <w:r>
        <w:rPr>
          <w:rFonts w:ascii="Abadi" w:hAnsi="Abadi"/>
          <w:b/>
          <w:bCs/>
          <w:sz w:val="21"/>
          <w:szCs w:val="21"/>
        </w:rPr>
        <w:t xml:space="preserve"> </w:t>
      </w:r>
    </w:p>
    <w:p w14:paraId="0860B708" w14:textId="75F6738B" w:rsidR="005915CA" w:rsidRDefault="005915CA" w:rsidP="005915CA">
      <w:pPr>
        <w:pStyle w:val="Prrafodelista"/>
        <w:spacing w:after="160" w:line="256" w:lineRule="auto"/>
        <w:ind w:left="2844" w:right="-284" w:firstLine="696"/>
        <w:contextualSpacing/>
        <w:rPr>
          <w:rFonts w:ascii="Abadi" w:hAnsi="Abadi"/>
          <w:b/>
          <w:bCs/>
          <w:sz w:val="21"/>
          <w:szCs w:val="21"/>
        </w:rPr>
      </w:pPr>
      <w:r>
        <w:rPr>
          <w:rFonts w:ascii="Abadi" w:hAnsi="Abadi"/>
          <w:b/>
          <w:bCs/>
          <w:sz w:val="21"/>
          <w:szCs w:val="21"/>
        </w:rPr>
        <w:t>Pág.</w:t>
      </w:r>
      <w:r w:rsidR="006D26E3">
        <w:rPr>
          <w:rFonts w:ascii="Abadi" w:hAnsi="Abadi"/>
          <w:b/>
          <w:bCs/>
          <w:sz w:val="21"/>
          <w:szCs w:val="21"/>
        </w:rPr>
        <w:t xml:space="preserve"> 85</w:t>
      </w:r>
      <w:r>
        <w:rPr>
          <w:rFonts w:ascii="Abadi" w:hAnsi="Abadi"/>
          <w:b/>
          <w:bCs/>
          <w:sz w:val="21"/>
          <w:szCs w:val="21"/>
        </w:rPr>
        <w:t xml:space="preserve"> </w:t>
      </w:r>
    </w:p>
    <w:p w14:paraId="4B5EDD39" w14:textId="77777777" w:rsidR="004C3B54" w:rsidRDefault="004C3B54" w:rsidP="004C3B54">
      <w:pPr>
        <w:pStyle w:val="Prrafodelista"/>
        <w:autoSpaceDE w:val="0"/>
        <w:autoSpaceDN w:val="0"/>
        <w:adjustRightInd w:val="0"/>
        <w:ind w:left="720" w:right="709"/>
        <w:contextualSpacing/>
        <w:jc w:val="both"/>
        <w:rPr>
          <w:rFonts w:ascii="Abadi" w:hAnsi="Abadi" w:cs="ArialMT"/>
          <w:b/>
          <w:bCs/>
          <w:sz w:val="21"/>
          <w:szCs w:val="21"/>
        </w:rPr>
      </w:pPr>
    </w:p>
    <w:p w14:paraId="6A5058D5" w14:textId="77777777" w:rsidR="0063344F" w:rsidRPr="000F1534" w:rsidRDefault="0063344F">
      <w:pPr>
        <w:pStyle w:val="Prrafodelista"/>
        <w:numPr>
          <w:ilvl w:val="0"/>
          <w:numId w:val="13"/>
        </w:numPr>
        <w:autoSpaceDE w:val="0"/>
        <w:autoSpaceDN w:val="0"/>
        <w:adjustRightInd w:val="0"/>
        <w:ind w:right="709"/>
        <w:contextualSpacing/>
        <w:jc w:val="both"/>
        <w:rPr>
          <w:rFonts w:ascii="Abadi" w:hAnsi="Abadi" w:cs="ArialMT"/>
          <w:b/>
          <w:bCs/>
          <w:sz w:val="21"/>
          <w:szCs w:val="21"/>
        </w:rPr>
      </w:pPr>
      <w:r w:rsidRPr="000F1534">
        <w:rPr>
          <w:rFonts w:ascii="Abadi" w:hAnsi="Abadi" w:cs="ArialMT"/>
          <w:b/>
          <w:bCs/>
          <w:sz w:val="21"/>
          <w:szCs w:val="21"/>
        </w:rPr>
        <w:t>Presentación de la iniciativa suscrita por las diputadas Yulma Rocha Aguilar, Martha Lourdes Ortega Roque y Dessire Angel Rocha, a efecto de reformar diversos artículos de la Ley Orgánica del Poder Ejecutivo para el Estado de Guanajuato y de la Ley Orgánica Municipal para el Estado de Guanajuato.</w:t>
      </w:r>
    </w:p>
    <w:p w14:paraId="39BF8939" w14:textId="77777777" w:rsidR="004C3B54" w:rsidRDefault="004C3B54" w:rsidP="004C3B54">
      <w:pPr>
        <w:pStyle w:val="Prrafodelista"/>
        <w:spacing w:after="160" w:line="256" w:lineRule="auto"/>
        <w:ind w:left="720" w:right="-284"/>
        <w:contextualSpacing/>
        <w:rPr>
          <w:rFonts w:ascii="Abadi" w:hAnsi="Abadi"/>
          <w:b/>
          <w:bCs/>
          <w:sz w:val="21"/>
          <w:szCs w:val="21"/>
        </w:rPr>
      </w:pPr>
    </w:p>
    <w:p w14:paraId="39BECD01" w14:textId="4F5FA663" w:rsidR="004C3B54" w:rsidRDefault="004C3B54" w:rsidP="004C3B54">
      <w:pPr>
        <w:pStyle w:val="Prrafodelista"/>
        <w:spacing w:after="160" w:line="256" w:lineRule="auto"/>
        <w:ind w:left="720" w:right="-284"/>
        <w:contextualSpacing/>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Pág.</w:t>
      </w:r>
      <w:r w:rsidR="006D26E3">
        <w:rPr>
          <w:rFonts w:ascii="Abadi" w:hAnsi="Abadi"/>
          <w:b/>
          <w:bCs/>
          <w:sz w:val="21"/>
          <w:szCs w:val="21"/>
        </w:rPr>
        <w:t xml:space="preserve"> 87</w:t>
      </w:r>
      <w:r>
        <w:rPr>
          <w:rFonts w:ascii="Abadi" w:hAnsi="Abadi"/>
          <w:b/>
          <w:bCs/>
          <w:sz w:val="21"/>
          <w:szCs w:val="21"/>
        </w:rPr>
        <w:t xml:space="preserve">  </w:t>
      </w:r>
    </w:p>
    <w:p w14:paraId="53357C7B" w14:textId="77777777" w:rsidR="00791178" w:rsidRPr="00AA7107" w:rsidRDefault="00791178" w:rsidP="00791178">
      <w:pPr>
        <w:ind w:left="709" w:right="709"/>
        <w:jc w:val="both"/>
        <w:rPr>
          <w:rFonts w:ascii="Abadi" w:hAnsi="Abadi"/>
          <w:b/>
          <w:bCs/>
          <w:sz w:val="21"/>
          <w:szCs w:val="21"/>
        </w:rPr>
      </w:pPr>
      <w:r w:rsidRPr="00AA7107">
        <w:rPr>
          <w:rFonts w:ascii="Abadi" w:hAnsi="Abadi"/>
          <w:b/>
          <w:bCs/>
          <w:sz w:val="21"/>
          <w:szCs w:val="21"/>
        </w:rPr>
        <w:t>(Sube a tribuna la diputada Yulma Rocha Aguilar, para dar lectura a la iniciativa en referencia)</w:t>
      </w:r>
    </w:p>
    <w:p w14:paraId="1B8EE009" w14:textId="6D6E03BD" w:rsidR="00791178" w:rsidRDefault="00791178" w:rsidP="004C3B54">
      <w:pPr>
        <w:pStyle w:val="Prrafodelista"/>
        <w:spacing w:after="160" w:line="256" w:lineRule="auto"/>
        <w:ind w:left="720" w:right="-284"/>
        <w:contextualSpacing/>
        <w:rPr>
          <w:rFonts w:ascii="Abadi" w:hAnsi="Abadi"/>
          <w:b/>
          <w:bCs/>
          <w:sz w:val="21"/>
          <w:szCs w:val="21"/>
        </w:rPr>
      </w:pPr>
    </w:p>
    <w:p w14:paraId="30926D03" w14:textId="59EE3748" w:rsidR="00791178" w:rsidRDefault="00791178" w:rsidP="004C3B54">
      <w:pPr>
        <w:pStyle w:val="Prrafodelista"/>
        <w:spacing w:after="160" w:line="256" w:lineRule="auto"/>
        <w:ind w:left="720" w:right="-284"/>
        <w:contextualSpacing/>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Pág.</w:t>
      </w:r>
      <w:r w:rsidR="00602C50">
        <w:rPr>
          <w:rFonts w:ascii="Abadi" w:hAnsi="Abadi"/>
          <w:b/>
          <w:bCs/>
          <w:sz w:val="21"/>
          <w:szCs w:val="21"/>
        </w:rPr>
        <w:t xml:space="preserve"> 118</w:t>
      </w:r>
    </w:p>
    <w:p w14:paraId="33A5E1B4" w14:textId="77777777" w:rsidR="0096035C" w:rsidRPr="005570FE" w:rsidRDefault="0096035C" w:rsidP="000270AC">
      <w:pPr>
        <w:autoSpaceDE w:val="0"/>
        <w:autoSpaceDN w:val="0"/>
        <w:adjustRightInd w:val="0"/>
        <w:ind w:right="709"/>
        <w:jc w:val="both"/>
        <w:rPr>
          <w:rFonts w:ascii="Abadi" w:hAnsi="Abadi" w:cs="ArialMT"/>
          <w:b/>
          <w:bCs/>
          <w:sz w:val="21"/>
          <w:szCs w:val="21"/>
        </w:rPr>
      </w:pPr>
    </w:p>
    <w:p w14:paraId="48669533" w14:textId="77777777" w:rsidR="003D6D2D" w:rsidRPr="000F1534" w:rsidRDefault="003D6D2D">
      <w:pPr>
        <w:pStyle w:val="Prrafodelista"/>
        <w:numPr>
          <w:ilvl w:val="0"/>
          <w:numId w:val="13"/>
        </w:numPr>
        <w:autoSpaceDE w:val="0"/>
        <w:autoSpaceDN w:val="0"/>
        <w:adjustRightInd w:val="0"/>
        <w:ind w:right="709"/>
        <w:contextualSpacing/>
        <w:jc w:val="both"/>
        <w:rPr>
          <w:rFonts w:ascii="Abadi" w:hAnsi="Abadi" w:cs="ArialMT"/>
          <w:b/>
          <w:bCs/>
          <w:sz w:val="21"/>
          <w:szCs w:val="21"/>
        </w:rPr>
      </w:pPr>
      <w:r w:rsidRPr="000F1534">
        <w:rPr>
          <w:rFonts w:ascii="Abadi" w:hAnsi="Abadi" w:cs="ArialMT"/>
          <w:b/>
          <w:bCs/>
          <w:sz w:val="21"/>
          <w:szCs w:val="21"/>
        </w:rPr>
        <w:t xml:space="preserve">Presentación de la propuesta de punto de acuerdo suscrita por la diputada Hades </w:t>
      </w:r>
      <w:r w:rsidRPr="000F1534">
        <w:rPr>
          <w:rFonts w:ascii="Abadi" w:hAnsi="Abadi" w:cs="ArialMT"/>
          <w:b/>
          <w:bCs/>
          <w:sz w:val="21"/>
          <w:szCs w:val="21"/>
        </w:rPr>
        <w:lastRenderedPageBreak/>
        <w:t>Berenice Aguilar Castillo integrante del Grupo Parlamentario del Partido MORENA a efecto de exhortar a la presidenta municipal de León, Alejandra Gutiérrez Campos, para que informe a este Congreso acerca de las acciones y programas que se implementaron durante el 2022 para la atención de las personas jornaleras agrícolas indígenas migrantes de León; así como al Gobernador del Estado de Guanajuato, Diego Sinhue Rodríguez Vallejo, para que, en el ámbito de sus atribuciones, incorpore las recomendaciones del Centro de Desarrollo Indígena Loyola en el diseño, implementación y evaluación de la política pública de atención a personas jornaleras agrícolas migrantes.</w:t>
      </w:r>
    </w:p>
    <w:p w14:paraId="11D240FD" w14:textId="77777777" w:rsidR="004C3B54" w:rsidRDefault="004C3B54" w:rsidP="004C3B54">
      <w:pPr>
        <w:pStyle w:val="Prrafodelista"/>
        <w:spacing w:after="160" w:line="256" w:lineRule="auto"/>
        <w:ind w:left="720" w:right="-284"/>
        <w:contextualSpacing/>
        <w:rPr>
          <w:rFonts w:ascii="Abadi" w:hAnsi="Abadi"/>
          <w:b/>
          <w:bCs/>
          <w:sz w:val="21"/>
          <w:szCs w:val="21"/>
        </w:rPr>
      </w:pPr>
    </w:p>
    <w:p w14:paraId="5F761799" w14:textId="1D2B6F64" w:rsidR="004C3B54" w:rsidRDefault="004C3B54" w:rsidP="004C3B54">
      <w:pPr>
        <w:pStyle w:val="Prrafodelista"/>
        <w:spacing w:after="160" w:line="256" w:lineRule="auto"/>
        <w:ind w:left="720" w:right="-284"/>
        <w:contextualSpacing/>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 xml:space="preserve">Pág. </w:t>
      </w:r>
      <w:r w:rsidR="00602C50">
        <w:rPr>
          <w:rFonts w:ascii="Abadi" w:hAnsi="Abadi"/>
          <w:b/>
          <w:bCs/>
          <w:sz w:val="21"/>
          <w:szCs w:val="21"/>
        </w:rPr>
        <w:t>120</w:t>
      </w:r>
      <w:r>
        <w:rPr>
          <w:rFonts w:ascii="Abadi" w:hAnsi="Abadi"/>
          <w:b/>
          <w:bCs/>
          <w:sz w:val="21"/>
          <w:szCs w:val="21"/>
        </w:rPr>
        <w:t xml:space="preserve"> </w:t>
      </w:r>
    </w:p>
    <w:p w14:paraId="21FB2FF8" w14:textId="77777777" w:rsidR="00EC3153" w:rsidRPr="00113E54" w:rsidRDefault="00EC3153" w:rsidP="00EC3153">
      <w:pPr>
        <w:ind w:left="709" w:right="709"/>
        <w:jc w:val="both"/>
        <w:rPr>
          <w:rFonts w:ascii="Abadi" w:hAnsi="Abadi"/>
          <w:b/>
          <w:bCs/>
          <w:sz w:val="21"/>
          <w:szCs w:val="21"/>
        </w:rPr>
      </w:pPr>
      <w:r w:rsidRPr="00113E54">
        <w:rPr>
          <w:rFonts w:ascii="Abadi" w:hAnsi="Abadi"/>
          <w:b/>
          <w:bCs/>
          <w:sz w:val="21"/>
          <w:szCs w:val="21"/>
        </w:rPr>
        <w:t>(Sube a tribuna la diputada Hades Berenice Aguilar Castillo, para hablar del punto de acuerdo en referencia)</w:t>
      </w:r>
    </w:p>
    <w:p w14:paraId="215055E0" w14:textId="26F7562D" w:rsidR="00EC3153" w:rsidRDefault="00EC3153" w:rsidP="004C3B54">
      <w:pPr>
        <w:pStyle w:val="Prrafodelista"/>
        <w:spacing w:after="160" w:line="256" w:lineRule="auto"/>
        <w:ind w:left="720" w:right="-284"/>
        <w:contextualSpacing/>
        <w:rPr>
          <w:rFonts w:ascii="Abadi" w:hAnsi="Abadi"/>
          <w:b/>
          <w:bCs/>
          <w:sz w:val="21"/>
          <w:szCs w:val="21"/>
        </w:rPr>
      </w:pPr>
    </w:p>
    <w:p w14:paraId="79B1D07D" w14:textId="7B0095FC" w:rsidR="00EC3153" w:rsidRDefault="00EC3153" w:rsidP="004C3B54">
      <w:pPr>
        <w:pStyle w:val="Prrafodelista"/>
        <w:spacing w:after="160" w:line="256" w:lineRule="auto"/>
        <w:ind w:left="720" w:right="-284"/>
        <w:contextualSpacing/>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Pág.</w:t>
      </w:r>
      <w:r w:rsidR="00602C50">
        <w:rPr>
          <w:rFonts w:ascii="Abadi" w:hAnsi="Abadi"/>
          <w:b/>
          <w:bCs/>
          <w:sz w:val="21"/>
          <w:szCs w:val="21"/>
        </w:rPr>
        <w:t xml:space="preserve"> </w:t>
      </w:r>
      <w:r w:rsidR="003D694B">
        <w:rPr>
          <w:rFonts w:ascii="Abadi" w:hAnsi="Abadi"/>
          <w:b/>
          <w:bCs/>
          <w:sz w:val="21"/>
          <w:szCs w:val="21"/>
        </w:rPr>
        <w:t>123</w:t>
      </w:r>
      <w:r>
        <w:rPr>
          <w:rFonts w:ascii="Abadi" w:hAnsi="Abadi"/>
          <w:b/>
          <w:bCs/>
          <w:sz w:val="21"/>
          <w:szCs w:val="21"/>
        </w:rPr>
        <w:t xml:space="preserve">  </w:t>
      </w:r>
    </w:p>
    <w:p w14:paraId="4317D1AD" w14:textId="77777777" w:rsidR="0096035C" w:rsidRPr="005570FE" w:rsidRDefault="0096035C" w:rsidP="000270AC">
      <w:pPr>
        <w:autoSpaceDE w:val="0"/>
        <w:autoSpaceDN w:val="0"/>
        <w:adjustRightInd w:val="0"/>
        <w:ind w:right="709"/>
        <w:jc w:val="both"/>
        <w:rPr>
          <w:rFonts w:ascii="Abadi" w:hAnsi="Abadi" w:cs="ArialMT"/>
          <w:b/>
          <w:bCs/>
          <w:sz w:val="21"/>
          <w:szCs w:val="21"/>
        </w:rPr>
      </w:pPr>
    </w:p>
    <w:p w14:paraId="4820BF25" w14:textId="77777777" w:rsidR="009814FC" w:rsidRPr="00D5452D" w:rsidRDefault="009814FC">
      <w:pPr>
        <w:pStyle w:val="Prrafodelista"/>
        <w:numPr>
          <w:ilvl w:val="0"/>
          <w:numId w:val="13"/>
        </w:numPr>
        <w:autoSpaceDE w:val="0"/>
        <w:autoSpaceDN w:val="0"/>
        <w:adjustRightInd w:val="0"/>
        <w:ind w:right="709"/>
        <w:contextualSpacing/>
        <w:jc w:val="both"/>
        <w:rPr>
          <w:rFonts w:ascii="Abadi" w:hAnsi="Abadi" w:cs="ArialMT"/>
          <w:b/>
          <w:bCs/>
          <w:sz w:val="21"/>
          <w:szCs w:val="21"/>
        </w:rPr>
      </w:pPr>
      <w:r w:rsidRPr="00D5452D">
        <w:rPr>
          <w:rFonts w:ascii="Abadi" w:hAnsi="Abadi" w:cs="ArialMT"/>
          <w:b/>
          <w:bCs/>
          <w:sz w:val="21"/>
          <w:szCs w:val="21"/>
        </w:rPr>
        <w:t xml:space="preserve">Presentación de la propuesta de punto de acuerdo formulada por la diputada Alma Edwviges Alcaraz Hernández integrante del Grupo Parlamentario del Partido MORENA a efecto de exhortar al titular del Poder Ejecutivo, Diego Sinhue Rodríguez Vallejo, para que realice las acciones necesarias para llevar a cabo una evaluación integral del programa </w:t>
      </w:r>
      <w:r w:rsidRPr="00D5452D">
        <w:rPr>
          <w:rFonts w:ascii="Abadi" w:hAnsi="Abadi" w:cs="Arial-ItalicMT"/>
          <w:b/>
          <w:bCs/>
          <w:i/>
          <w:iCs/>
          <w:sz w:val="21"/>
          <w:szCs w:val="21"/>
        </w:rPr>
        <w:t>E045 Acceso Equitativo y Oportunidades de Desarrollo para Mujeres y Hombres</w:t>
      </w:r>
      <w:r w:rsidRPr="00D5452D">
        <w:rPr>
          <w:rFonts w:ascii="Abadi" w:hAnsi="Abadi" w:cs="ArialMT"/>
          <w:b/>
          <w:bCs/>
          <w:sz w:val="21"/>
          <w:szCs w:val="21"/>
        </w:rPr>
        <w:t xml:space="preserve">, así como para que investigue, incorpore e implemente las mejores prácticas en materia de </w:t>
      </w:r>
      <w:r w:rsidRPr="00D5452D">
        <w:rPr>
          <w:rFonts w:ascii="Abadi" w:hAnsi="Abadi" w:cs="ArialMT"/>
          <w:b/>
          <w:bCs/>
          <w:sz w:val="21"/>
          <w:szCs w:val="21"/>
        </w:rPr>
        <w:t xml:space="preserve">combate a la violencia de género utilizando el máximo de recursos disponibles. </w:t>
      </w:r>
    </w:p>
    <w:p w14:paraId="30D90945" w14:textId="77777777" w:rsidR="004C3B54" w:rsidRDefault="004C3B54" w:rsidP="004C3B54">
      <w:pPr>
        <w:pStyle w:val="Prrafodelista"/>
        <w:spacing w:after="160" w:line="256" w:lineRule="auto"/>
        <w:ind w:left="720" w:right="-284"/>
        <w:contextualSpacing/>
        <w:rPr>
          <w:rFonts w:ascii="Abadi" w:hAnsi="Abadi"/>
          <w:b/>
          <w:bCs/>
          <w:sz w:val="21"/>
          <w:szCs w:val="21"/>
        </w:rPr>
      </w:pPr>
    </w:p>
    <w:p w14:paraId="043874C1" w14:textId="6C785ACE" w:rsidR="004C3B54" w:rsidRDefault="004C3B54" w:rsidP="004C3B54">
      <w:pPr>
        <w:pStyle w:val="Prrafodelista"/>
        <w:spacing w:after="160" w:line="256" w:lineRule="auto"/>
        <w:ind w:left="720" w:right="-284"/>
        <w:contextualSpacing/>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Pág.</w:t>
      </w:r>
      <w:r w:rsidR="003D694B">
        <w:rPr>
          <w:rFonts w:ascii="Abadi" w:hAnsi="Abadi"/>
          <w:b/>
          <w:bCs/>
          <w:sz w:val="21"/>
          <w:szCs w:val="21"/>
        </w:rPr>
        <w:t xml:space="preserve"> 125</w:t>
      </w:r>
      <w:r>
        <w:rPr>
          <w:rFonts w:ascii="Abadi" w:hAnsi="Abadi"/>
          <w:b/>
          <w:bCs/>
          <w:sz w:val="21"/>
          <w:szCs w:val="21"/>
        </w:rPr>
        <w:t xml:space="preserve">  </w:t>
      </w:r>
    </w:p>
    <w:p w14:paraId="7C0708C4" w14:textId="77777777" w:rsidR="000D4625" w:rsidRPr="00AA7107" w:rsidRDefault="000D4625" w:rsidP="000D4625">
      <w:pPr>
        <w:ind w:left="709" w:right="709"/>
        <w:jc w:val="both"/>
        <w:rPr>
          <w:rFonts w:ascii="Abadi" w:hAnsi="Abadi"/>
          <w:b/>
          <w:bCs/>
          <w:sz w:val="21"/>
          <w:szCs w:val="21"/>
        </w:rPr>
      </w:pPr>
      <w:r w:rsidRPr="00AA7107">
        <w:rPr>
          <w:rFonts w:ascii="Abadi" w:hAnsi="Abadi"/>
          <w:b/>
          <w:bCs/>
          <w:sz w:val="21"/>
          <w:szCs w:val="21"/>
        </w:rPr>
        <w:t>(Sube a tribuna la diputada Alma Edwviges Alcaraz Hernández, para hablar del punto de acuerdo presentado)</w:t>
      </w:r>
    </w:p>
    <w:p w14:paraId="5D861601" w14:textId="77777777" w:rsidR="000D4625" w:rsidRDefault="000D4625" w:rsidP="004C3B54">
      <w:pPr>
        <w:pStyle w:val="Prrafodelista"/>
        <w:spacing w:after="160" w:line="256" w:lineRule="auto"/>
        <w:ind w:left="720" w:right="-284"/>
        <w:contextualSpacing/>
        <w:rPr>
          <w:rFonts w:ascii="Abadi" w:hAnsi="Abadi"/>
          <w:b/>
          <w:bCs/>
          <w:sz w:val="21"/>
          <w:szCs w:val="21"/>
        </w:rPr>
      </w:pPr>
    </w:p>
    <w:p w14:paraId="6DEB9E39" w14:textId="7A5DA6CF" w:rsidR="0096035C" w:rsidRDefault="000D4625" w:rsidP="00DC34DC">
      <w:pPr>
        <w:autoSpaceDE w:val="0"/>
        <w:autoSpaceDN w:val="0"/>
        <w:adjustRightInd w:val="0"/>
        <w:ind w:right="-284"/>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Pág.</w:t>
      </w:r>
      <w:r w:rsidR="003D694B">
        <w:rPr>
          <w:rFonts w:ascii="Abadi" w:hAnsi="Abadi"/>
          <w:b/>
          <w:bCs/>
          <w:sz w:val="21"/>
          <w:szCs w:val="21"/>
        </w:rPr>
        <w:t xml:space="preserve"> </w:t>
      </w:r>
      <w:r w:rsidR="00DC34DC">
        <w:rPr>
          <w:rFonts w:ascii="Abadi" w:hAnsi="Abadi"/>
          <w:b/>
          <w:bCs/>
          <w:sz w:val="21"/>
          <w:szCs w:val="21"/>
        </w:rPr>
        <w:t>128</w:t>
      </w:r>
      <w:r>
        <w:rPr>
          <w:rFonts w:ascii="Abadi" w:hAnsi="Abadi"/>
          <w:b/>
          <w:bCs/>
          <w:sz w:val="21"/>
          <w:szCs w:val="21"/>
        </w:rPr>
        <w:t xml:space="preserve">  </w:t>
      </w:r>
    </w:p>
    <w:p w14:paraId="1EF2B743" w14:textId="77777777" w:rsidR="000D4625" w:rsidRPr="005570FE" w:rsidRDefault="000D4625" w:rsidP="0096035C">
      <w:pPr>
        <w:autoSpaceDE w:val="0"/>
        <w:autoSpaceDN w:val="0"/>
        <w:adjustRightInd w:val="0"/>
        <w:jc w:val="both"/>
        <w:rPr>
          <w:rFonts w:ascii="Abadi" w:hAnsi="Abadi" w:cs="ArialMT"/>
          <w:b/>
          <w:bCs/>
          <w:sz w:val="21"/>
          <w:szCs w:val="21"/>
        </w:rPr>
      </w:pPr>
    </w:p>
    <w:p w14:paraId="2C1D5F3F" w14:textId="77777777" w:rsidR="00C20D39" w:rsidRPr="00D5452D" w:rsidRDefault="00C20D39">
      <w:pPr>
        <w:pStyle w:val="Prrafodelista"/>
        <w:numPr>
          <w:ilvl w:val="0"/>
          <w:numId w:val="13"/>
        </w:numPr>
        <w:autoSpaceDE w:val="0"/>
        <w:autoSpaceDN w:val="0"/>
        <w:adjustRightInd w:val="0"/>
        <w:ind w:right="709"/>
        <w:contextualSpacing/>
        <w:jc w:val="both"/>
        <w:rPr>
          <w:rFonts w:ascii="Abadi" w:hAnsi="Abadi" w:cs="ArialMT"/>
          <w:b/>
          <w:bCs/>
          <w:sz w:val="21"/>
          <w:szCs w:val="21"/>
        </w:rPr>
      </w:pPr>
      <w:r w:rsidRPr="00D5452D">
        <w:rPr>
          <w:rFonts w:ascii="Abadi" w:hAnsi="Abadi" w:cs="ArialMT"/>
          <w:b/>
          <w:bCs/>
          <w:sz w:val="21"/>
          <w:szCs w:val="21"/>
        </w:rPr>
        <w:t xml:space="preserve">Presentación de la propuesta de punto de acuerdo de obvia resolución formulada por diputada y los diputados integrantes del Grupo Parlamentario del Partido Revolucionario Institucional a efecto de exhortar al titular del Poder Ejecutivo Estatal, Gobernador Diego Sinhue Rodríguez Vallejo para que, en el uso de sus atribuciones, en especial de las señaladas en los artículos 5-Bis y 6 de la Ley del Patrimonio Cultural del Estado de Guanajuato, declare como patrimonio cultural intangible de los guanajuatenses las manifestaciones culturales que por su valor y significado así como relevancia artística, tradicional, intelectual y lingüística representan el Teatro Universitario de Guanajuato; la escenificación de los entremeses cervantinos y las representaciones de los juglares de Guanajuato; para que en el marco del 50 aniversario del Festival Internacional Cervantino se deje un testimonio perenne e indeleble de la contribución de la gente de esta tierra a esta fiesta del espíritu universal y que en consecuencia, dicha declaratoria se publique en el Periódico Oficial del Gobierno del Estado de Guanajuato y, </w:t>
      </w:r>
      <w:r w:rsidRPr="00D5452D">
        <w:rPr>
          <w:rFonts w:ascii="Abadi" w:hAnsi="Abadi" w:cs="ArialMT"/>
          <w:b/>
          <w:bCs/>
          <w:sz w:val="21"/>
          <w:szCs w:val="21"/>
        </w:rPr>
        <w:lastRenderedPageBreak/>
        <w:t>en su caso, aprobación de la misma.</w:t>
      </w:r>
    </w:p>
    <w:p w14:paraId="4891277A" w14:textId="77777777" w:rsidR="0096035C" w:rsidRPr="005570FE" w:rsidRDefault="0096035C" w:rsidP="000270AC">
      <w:pPr>
        <w:autoSpaceDE w:val="0"/>
        <w:autoSpaceDN w:val="0"/>
        <w:adjustRightInd w:val="0"/>
        <w:ind w:right="709"/>
        <w:jc w:val="both"/>
        <w:rPr>
          <w:rFonts w:ascii="Abadi" w:hAnsi="Abadi" w:cs="ArialMT"/>
          <w:b/>
          <w:bCs/>
          <w:sz w:val="21"/>
          <w:szCs w:val="21"/>
        </w:rPr>
      </w:pPr>
    </w:p>
    <w:p w14:paraId="0B4EE111" w14:textId="48650B52" w:rsidR="00B52D03" w:rsidRDefault="00B52D03" w:rsidP="00B52D03">
      <w:pPr>
        <w:pStyle w:val="Prrafodelista"/>
        <w:spacing w:after="160" w:line="256" w:lineRule="auto"/>
        <w:ind w:left="720" w:right="-284"/>
        <w:contextualSpacing/>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 xml:space="preserve">Pág. </w:t>
      </w:r>
      <w:r w:rsidR="00DC34DC">
        <w:rPr>
          <w:rFonts w:ascii="Abadi" w:hAnsi="Abadi"/>
          <w:b/>
          <w:bCs/>
          <w:sz w:val="21"/>
          <w:szCs w:val="21"/>
        </w:rPr>
        <w:t>131</w:t>
      </w:r>
      <w:r>
        <w:rPr>
          <w:rFonts w:ascii="Abadi" w:hAnsi="Abadi"/>
          <w:b/>
          <w:bCs/>
          <w:sz w:val="21"/>
          <w:szCs w:val="21"/>
        </w:rPr>
        <w:t xml:space="preserve"> </w:t>
      </w:r>
    </w:p>
    <w:p w14:paraId="61FE3279" w14:textId="6FE33095" w:rsidR="00061CAB" w:rsidRDefault="00061CAB" w:rsidP="00B52D03">
      <w:pPr>
        <w:pStyle w:val="Prrafodelista"/>
        <w:spacing w:after="160" w:line="256" w:lineRule="auto"/>
        <w:ind w:left="720" w:right="-284"/>
        <w:contextualSpacing/>
        <w:rPr>
          <w:rFonts w:ascii="Abadi" w:hAnsi="Abadi"/>
          <w:b/>
          <w:bCs/>
          <w:sz w:val="21"/>
          <w:szCs w:val="21"/>
        </w:rPr>
      </w:pPr>
    </w:p>
    <w:p w14:paraId="18E46674" w14:textId="20BBF8E7" w:rsidR="00061CAB" w:rsidRDefault="00061CAB" w:rsidP="00061CAB">
      <w:pPr>
        <w:ind w:left="709" w:right="709"/>
        <w:jc w:val="both"/>
        <w:rPr>
          <w:rFonts w:ascii="Abadi" w:hAnsi="Abadi"/>
          <w:b/>
          <w:bCs/>
          <w:sz w:val="21"/>
          <w:szCs w:val="21"/>
        </w:rPr>
      </w:pPr>
      <w:r w:rsidRPr="00AA7107">
        <w:rPr>
          <w:rFonts w:ascii="Abadi" w:hAnsi="Abadi"/>
          <w:b/>
          <w:bCs/>
          <w:sz w:val="21"/>
          <w:szCs w:val="21"/>
        </w:rPr>
        <w:t>(Sube a tribuna la diputada Ruth Noemí Tiscareño, a dar lectura a la propuesta de punto de acuerdo de obvia resolución al respecto)</w:t>
      </w:r>
    </w:p>
    <w:p w14:paraId="66486D70" w14:textId="039B5262" w:rsidR="00061CAB" w:rsidRDefault="00061CAB" w:rsidP="00061CAB">
      <w:pPr>
        <w:jc w:val="both"/>
        <w:rPr>
          <w:rFonts w:ascii="Abadi" w:hAnsi="Abadi"/>
          <w:b/>
          <w:bCs/>
          <w:sz w:val="21"/>
          <w:szCs w:val="21"/>
        </w:rPr>
      </w:pPr>
    </w:p>
    <w:p w14:paraId="78B43444" w14:textId="198480FD" w:rsidR="00061CAB" w:rsidRPr="00AA7107" w:rsidRDefault="00061CAB" w:rsidP="00DC34DC">
      <w:pPr>
        <w:ind w:right="-425"/>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Pág.</w:t>
      </w:r>
      <w:r w:rsidR="00DC34DC">
        <w:rPr>
          <w:rFonts w:ascii="Abadi" w:hAnsi="Abadi"/>
          <w:b/>
          <w:bCs/>
          <w:sz w:val="21"/>
          <w:szCs w:val="21"/>
        </w:rPr>
        <w:t xml:space="preserve"> 134</w:t>
      </w:r>
    </w:p>
    <w:p w14:paraId="79CBC228" w14:textId="77777777" w:rsidR="00061CAB" w:rsidRDefault="00061CAB" w:rsidP="00B52D03">
      <w:pPr>
        <w:pStyle w:val="Prrafodelista"/>
        <w:spacing w:after="160" w:line="256" w:lineRule="auto"/>
        <w:ind w:left="720" w:right="-284"/>
        <w:contextualSpacing/>
        <w:rPr>
          <w:rFonts w:ascii="Abadi" w:hAnsi="Abadi"/>
          <w:b/>
          <w:bCs/>
          <w:sz w:val="21"/>
          <w:szCs w:val="21"/>
        </w:rPr>
      </w:pPr>
    </w:p>
    <w:p w14:paraId="7D323CAE" w14:textId="77777777" w:rsidR="00B52D03" w:rsidRDefault="00B52D03" w:rsidP="00B52D03">
      <w:pPr>
        <w:pStyle w:val="Prrafodelista"/>
        <w:autoSpaceDE w:val="0"/>
        <w:autoSpaceDN w:val="0"/>
        <w:adjustRightInd w:val="0"/>
        <w:ind w:left="720" w:right="709"/>
        <w:contextualSpacing/>
        <w:jc w:val="both"/>
        <w:rPr>
          <w:rFonts w:ascii="Abadi" w:hAnsi="Abadi" w:cs="ArialMT"/>
          <w:b/>
          <w:bCs/>
          <w:sz w:val="21"/>
          <w:szCs w:val="21"/>
        </w:rPr>
      </w:pPr>
    </w:p>
    <w:p w14:paraId="13C8B736" w14:textId="77777777" w:rsidR="005D1CE3" w:rsidRPr="00D5452D" w:rsidRDefault="005D1CE3">
      <w:pPr>
        <w:pStyle w:val="Prrafodelista"/>
        <w:numPr>
          <w:ilvl w:val="0"/>
          <w:numId w:val="13"/>
        </w:numPr>
        <w:autoSpaceDE w:val="0"/>
        <w:autoSpaceDN w:val="0"/>
        <w:adjustRightInd w:val="0"/>
        <w:ind w:right="709"/>
        <w:contextualSpacing/>
        <w:jc w:val="both"/>
        <w:rPr>
          <w:rFonts w:ascii="Abadi" w:hAnsi="Abadi" w:cs="ArialMT"/>
          <w:b/>
          <w:bCs/>
          <w:sz w:val="21"/>
          <w:szCs w:val="21"/>
        </w:rPr>
      </w:pPr>
      <w:r w:rsidRPr="00D5452D">
        <w:rPr>
          <w:rFonts w:ascii="Abadi" w:hAnsi="Abadi" w:cs="ArialMT"/>
          <w:b/>
          <w:bCs/>
          <w:sz w:val="21"/>
          <w:szCs w:val="21"/>
        </w:rPr>
        <w:t>Presentación de la propuesta de punto de acuerdo de obvia resolución suscrita por el diputado Cuauhtémoc Becerra González integrante del Grupo Parlamentario del Partido MORENA a efecto de exhortar al Gobernador del Estado, Diego Sinhue Rodríguez Vallejo, para que, en el ámbito de sus atribuciones, complemente las acciones implementadas desde el Gobierno Federal con la finalidad de reducir los costos de los productos que integran la canasta básica y, de esta manera, garantizar la seguridad alimentaria de la población guanajuatense y, en su caso, aprobación de la misma.</w:t>
      </w:r>
    </w:p>
    <w:p w14:paraId="64216BD5" w14:textId="77777777" w:rsidR="00B52D03" w:rsidRDefault="00B52D03" w:rsidP="00B52D03">
      <w:pPr>
        <w:pStyle w:val="Prrafodelista"/>
        <w:spacing w:after="160" w:line="256" w:lineRule="auto"/>
        <w:ind w:left="720" w:right="-284"/>
        <w:contextualSpacing/>
        <w:rPr>
          <w:rFonts w:ascii="Abadi" w:hAnsi="Abadi"/>
          <w:b/>
          <w:bCs/>
          <w:sz w:val="21"/>
          <w:szCs w:val="21"/>
        </w:rPr>
      </w:pPr>
    </w:p>
    <w:p w14:paraId="424DCB5E" w14:textId="676804AF" w:rsidR="00B52D03" w:rsidRDefault="00B52D03" w:rsidP="00B52D03">
      <w:pPr>
        <w:pStyle w:val="Prrafodelista"/>
        <w:spacing w:after="160" w:line="256" w:lineRule="auto"/>
        <w:ind w:left="720" w:right="-284"/>
        <w:contextualSpacing/>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 xml:space="preserve">Pág. </w:t>
      </w:r>
      <w:r w:rsidR="00DC34DC">
        <w:rPr>
          <w:rFonts w:ascii="Abadi" w:hAnsi="Abadi"/>
          <w:b/>
          <w:bCs/>
          <w:sz w:val="21"/>
          <w:szCs w:val="21"/>
        </w:rPr>
        <w:t>138</w:t>
      </w:r>
      <w:r>
        <w:rPr>
          <w:rFonts w:ascii="Abadi" w:hAnsi="Abadi"/>
          <w:b/>
          <w:bCs/>
          <w:sz w:val="21"/>
          <w:szCs w:val="21"/>
        </w:rPr>
        <w:t xml:space="preserve"> </w:t>
      </w:r>
    </w:p>
    <w:p w14:paraId="782A0E0F" w14:textId="006A3D9B" w:rsidR="00E34775" w:rsidRDefault="00E34775" w:rsidP="00B52D03">
      <w:pPr>
        <w:pStyle w:val="Prrafodelista"/>
        <w:spacing w:after="160" w:line="256" w:lineRule="auto"/>
        <w:ind w:left="720" w:right="-284"/>
        <w:contextualSpacing/>
        <w:rPr>
          <w:rFonts w:ascii="Abadi" w:hAnsi="Abadi"/>
          <w:b/>
          <w:bCs/>
          <w:sz w:val="21"/>
          <w:szCs w:val="21"/>
        </w:rPr>
      </w:pPr>
    </w:p>
    <w:p w14:paraId="0EE210D7" w14:textId="77777777" w:rsidR="00E34775" w:rsidRPr="006813AA" w:rsidRDefault="00E34775" w:rsidP="00E34775">
      <w:pPr>
        <w:ind w:left="709" w:right="709"/>
        <w:jc w:val="both"/>
        <w:rPr>
          <w:rFonts w:ascii="Abadi" w:hAnsi="Abadi"/>
          <w:b/>
          <w:bCs/>
          <w:sz w:val="21"/>
          <w:szCs w:val="21"/>
        </w:rPr>
      </w:pPr>
      <w:r w:rsidRPr="006813AA">
        <w:rPr>
          <w:rFonts w:ascii="Abadi" w:hAnsi="Abadi"/>
          <w:b/>
          <w:bCs/>
          <w:sz w:val="21"/>
          <w:szCs w:val="21"/>
        </w:rPr>
        <w:t>(Sube a tribuna el diputado Cuauhtémoc Becerra González, para dar lectura</w:t>
      </w:r>
      <w:r>
        <w:rPr>
          <w:rFonts w:ascii="Abadi" w:hAnsi="Abadi"/>
          <w:b/>
          <w:bCs/>
          <w:sz w:val="21"/>
          <w:szCs w:val="21"/>
        </w:rPr>
        <w:t xml:space="preserve"> al punto de acuerdo de o</w:t>
      </w:r>
      <w:r w:rsidRPr="006813AA">
        <w:rPr>
          <w:rFonts w:ascii="Abadi" w:hAnsi="Abadi"/>
          <w:b/>
          <w:bCs/>
          <w:sz w:val="21"/>
          <w:szCs w:val="21"/>
        </w:rPr>
        <w:t>bvia resolución en referencia)</w:t>
      </w:r>
    </w:p>
    <w:p w14:paraId="06CA0302" w14:textId="382F6F9F" w:rsidR="00E34775" w:rsidRDefault="00E34775" w:rsidP="00B52D03">
      <w:pPr>
        <w:pStyle w:val="Prrafodelista"/>
        <w:spacing w:after="160" w:line="256" w:lineRule="auto"/>
        <w:ind w:left="720" w:right="-284"/>
        <w:contextualSpacing/>
        <w:rPr>
          <w:rFonts w:ascii="Abadi" w:hAnsi="Abadi"/>
          <w:b/>
          <w:bCs/>
          <w:sz w:val="21"/>
          <w:szCs w:val="21"/>
        </w:rPr>
      </w:pPr>
    </w:p>
    <w:p w14:paraId="0EDA076C" w14:textId="60C0A94A" w:rsidR="00E34775" w:rsidRDefault="00E34775" w:rsidP="00B52D03">
      <w:pPr>
        <w:pStyle w:val="Prrafodelista"/>
        <w:spacing w:after="160" w:line="256" w:lineRule="auto"/>
        <w:ind w:left="720" w:right="-284"/>
        <w:contextualSpacing/>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Pág.</w:t>
      </w:r>
      <w:r w:rsidR="00DC34DC">
        <w:rPr>
          <w:rFonts w:ascii="Abadi" w:hAnsi="Abadi"/>
          <w:b/>
          <w:bCs/>
          <w:sz w:val="21"/>
          <w:szCs w:val="21"/>
        </w:rPr>
        <w:t xml:space="preserve"> </w:t>
      </w:r>
      <w:r w:rsidR="00D234D0">
        <w:rPr>
          <w:rFonts w:ascii="Abadi" w:hAnsi="Abadi"/>
          <w:b/>
          <w:bCs/>
          <w:sz w:val="21"/>
          <w:szCs w:val="21"/>
        </w:rPr>
        <w:t>139</w:t>
      </w:r>
      <w:r>
        <w:rPr>
          <w:rFonts w:ascii="Abadi" w:hAnsi="Abadi"/>
          <w:b/>
          <w:bCs/>
          <w:sz w:val="21"/>
          <w:szCs w:val="21"/>
        </w:rPr>
        <w:t xml:space="preserve">  </w:t>
      </w:r>
    </w:p>
    <w:p w14:paraId="5757D7AF" w14:textId="5FFA45A4" w:rsidR="00CE58AB" w:rsidRDefault="00CE58AB" w:rsidP="00B52D03">
      <w:pPr>
        <w:pStyle w:val="Prrafodelista"/>
        <w:spacing w:after="160" w:line="256" w:lineRule="auto"/>
        <w:ind w:left="720" w:right="-284"/>
        <w:contextualSpacing/>
        <w:rPr>
          <w:rFonts w:ascii="Abadi" w:hAnsi="Abadi"/>
          <w:b/>
          <w:bCs/>
          <w:sz w:val="21"/>
          <w:szCs w:val="21"/>
        </w:rPr>
      </w:pPr>
    </w:p>
    <w:p w14:paraId="21E17A35" w14:textId="124720AD" w:rsidR="00CE58AB" w:rsidRDefault="00CE58AB" w:rsidP="00CE58AB">
      <w:pPr>
        <w:ind w:left="709" w:right="709"/>
        <w:jc w:val="both"/>
        <w:rPr>
          <w:rFonts w:ascii="Abadi" w:hAnsi="Abadi"/>
          <w:b/>
          <w:bCs/>
          <w:sz w:val="21"/>
          <w:szCs w:val="21"/>
        </w:rPr>
      </w:pPr>
      <w:r w:rsidRPr="006813AA">
        <w:rPr>
          <w:rFonts w:ascii="Abadi" w:hAnsi="Abadi"/>
          <w:b/>
          <w:bCs/>
          <w:sz w:val="21"/>
          <w:szCs w:val="21"/>
        </w:rPr>
        <w:t>(Sube a tribuna la diputada Susana Bermúdez Cano, para hab</w:t>
      </w:r>
      <w:r>
        <w:rPr>
          <w:rFonts w:ascii="Abadi" w:hAnsi="Abadi"/>
          <w:b/>
          <w:bCs/>
          <w:sz w:val="21"/>
          <w:szCs w:val="21"/>
        </w:rPr>
        <w:t>l</w:t>
      </w:r>
      <w:r w:rsidRPr="006813AA">
        <w:rPr>
          <w:rFonts w:ascii="Abadi" w:hAnsi="Abadi"/>
          <w:b/>
          <w:bCs/>
          <w:sz w:val="21"/>
          <w:szCs w:val="21"/>
        </w:rPr>
        <w:t xml:space="preserve">ar en contra del punto de acuerdo en referencia) </w:t>
      </w:r>
    </w:p>
    <w:p w14:paraId="6F9BCA5B" w14:textId="23A4109D" w:rsidR="002C7601" w:rsidRDefault="002C7601" w:rsidP="002C7601">
      <w:pPr>
        <w:pStyle w:val="Prrafodelista"/>
        <w:spacing w:after="160" w:line="256" w:lineRule="auto"/>
        <w:ind w:left="720" w:right="-284"/>
        <w:contextualSpacing/>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 xml:space="preserve">Pág. </w:t>
      </w:r>
      <w:r w:rsidR="00D234D0">
        <w:rPr>
          <w:rFonts w:ascii="Abadi" w:hAnsi="Abadi"/>
          <w:b/>
          <w:bCs/>
          <w:sz w:val="21"/>
          <w:szCs w:val="21"/>
        </w:rPr>
        <w:t>141</w:t>
      </w:r>
      <w:r>
        <w:rPr>
          <w:rFonts w:ascii="Abadi" w:hAnsi="Abadi"/>
          <w:b/>
          <w:bCs/>
          <w:sz w:val="21"/>
          <w:szCs w:val="21"/>
        </w:rPr>
        <w:t xml:space="preserve"> </w:t>
      </w:r>
    </w:p>
    <w:p w14:paraId="4DBD3B61" w14:textId="77777777" w:rsidR="002C7601" w:rsidRDefault="002C7601" w:rsidP="00CE58AB">
      <w:pPr>
        <w:ind w:left="709" w:right="709"/>
        <w:jc w:val="both"/>
        <w:rPr>
          <w:rFonts w:ascii="Abadi" w:hAnsi="Abadi"/>
          <w:b/>
          <w:bCs/>
          <w:sz w:val="21"/>
          <w:szCs w:val="21"/>
        </w:rPr>
      </w:pPr>
    </w:p>
    <w:p w14:paraId="0B4DADD2" w14:textId="77777777" w:rsidR="00ED4E53" w:rsidRDefault="00ED4E53" w:rsidP="00ED4E53">
      <w:pPr>
        <w:ind w:left="709" w:right="709"/>
        <w:jc w:val="both"/>
        <w:rPr>
          <w:rFonts w:ascii="Abadi" w:hAnsi="Abadi"/>
          <w:sz w:val="21"/>
          <w:szCs w:val="21"/>
        </w:rPr>
      </w:pPr>
      <w:r w:rsidRPr="006813AA">
        <w:rPr>
          <w:rFonts w:ascii="Abadi" w:hAnsi="Abadi"/>
          <w:b/>
          <w:bCs/>
          <w:sz w:val="21"/>
          <w:szCs w:val="21"/>
        </w:rPr>
        <w:t>(Sube a tribuna el diputado David Martínez Mendizábal, para hablar a favor del punto de acuerdo en referencia)</w:t>
      </w:r>
      <w:r w:rsidRPr="006813AA">
        <w:rPr>
          <w:rFonts w:ascii="Abadi" w:hAnsi="Abadi"/>
          <w:sz w:val="21"/>
          <w:szCs w:val="21"/>
        </w:rPr>
        <w:t xml:space="preserve"> </w:t>
      </w:r>
    </w:p>
    <w:p w14:paraId="1F4E8217" w14:textId="77777777" w:rsidR="00CE58AB" w:rsidRDefault="00CE58AB" w:rsidP="00B52D03">
      <w:pPr>
        <w:pStyle w:val="Prrafodelista"/>
        <w:spacing w:after="160" w:line="256" w:lineRule="auto"/>
        <w:ind w:left="720" w:right="-284"/>
        <w:contextualSpacing/>
        <w:rPr>
          <w:rFonts w:ascii="Abadi" w:hAnsi="Abadi"/>
          <w:b/>
          <w:bCs/>
          <w:sz w:val="21"/>
          <w:szCs w:val="21"/>
        </w:rPr>
      </w:pPr>
    </w:p>
    <w:p w14:paraId="51B260C0" w14:textId="3A38B018" w:rsidR="0096035C" w:rsidRDefault="00ED4E53" w:rsidP="00D234D0">
      <w:pPr>
        <w:autoSpaceDE w:val="0"/>
        <w:autoSpaceDN w:val="0"/>
        <w:adjustRightInd w:val="0"/>
        <w:ind w:right="-425"/>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D234D0">
        <w:rPr>
          <w:rFonts w:ascii="Abadi" w:hAnsi="Abadi"/>
          <w:b/>
          <w:bCs/>
          <w:sz w:val="21"/>
          <w:szCs w:val="21"/>
        </w:rPr>
        <w:t xml:space="preserve">         </w:t>
      </w:r>
      <w:r>
        <w:rPr>
          <w:rFonts w:ascii="Abadi" w:hAnsi="Abadi"/>
          <w:b/>
          <w:bCs/>
          <w:sz w:val="21"/>
          <w:szCs w:val="21"/>
        </w:rPr>
        <w:t>Pág.</w:t>
      </w:r>
      <w:r w:rsidR="00D234D0">
        <w:rPr>
          <w:rFonts w:ascii="Abadi" w:hAnsi="Abadi"/>
          <w:b/>
          <w:bCs/>
          <w:sz w:val="21"/>
          <w:szCs w:val="21"/>
        </w:rPr>
        <w:t xml:space="preserve"> 143</w:t>
      </w:r>
    </w:p>
    <w:p w14:paraId="05C671ED" w14:textId="77777777" w:rsidR="00ED4E53" w:rsidRPr="005570FE" w:rsidRDefault="00ED4E53" w:rsidP="000270AC">
      <w:pPr>
        <w:autoSpaceDE w:val="0"/>
        <w:autoSpaceDN w:val="0"/>
        <w:adjustRightInd w:val="0"/>
        <w:ind w:right="709"/>
        <w:jc w:val="both"/>
        <w:rPr>
          <w:rFonts w:ascii="Abadi" w:hAnsi="Abadi" w:cs="ArialMT"/>
          <w:b/>
          <w:bCs/>
          <w:sz w:val="21"/>
          <w:szCs w:val="21"/>
        </w:rPr>
      </w:pPr>
    </w:p>
    <w:p w14:paraId="11DF06FC" w14:textId="77777777" w:rsidR="00EA5168" w:rsidRPr="000F1534" w:rsidRDefault="00EA5168">
      <w:pPr>
        <w:pStyle w:val="Prrafodelista"/>
        <w:numPr>
          <w:ilvl w:val="0"/>
          <w:numId w:val="13"/>
        </w:numPr>
        <w:autoSpaceDE w:val="0"/>
        <w:autoSpaceDN w:val="0"/>
        <w:adjustRightInd w:val="0"/>
        <w:ind w:right="709"/>
        <w:contextualSpacing/>
        <w:jc w:val="both"/>
        <w:rPr>
          <w:rFonts w:ascii="Abadi" w:hAnsi="Abadi" w:cs="ArialMT"/>
          <w:b/>
          <w:bCs/>
          <w:sz w:val="21"/>
          <w:szCs w:val="21"/>
        </w:rPr>
      </w:pPr>
      <w:r w:rsidRPr="000F1534">
        <w:rPr>
          <w:rFonts w:ascii="Abadi" w:hAnsi="Abadi" w:cs="ArialMT"/>
          <w:b/>
          <w:bCs/>
          <w:sz w:val="21"/>
          <w:szCs w:val="21"/>
        </w:rPr>
        <w:t>Presentación de la propuesta formulada por la diputada y los diputados integrantes de la Junta de Gobierno y Coordinación Política relativa a la modificación de la integración de las comisiones de Turismo, Administración y Medio Ambiente; así como de la Comisión Especial para dar seguimiento a la implementación de la Agenda 2030 y, en su caso, aprobación de la misma.</w:t>
      </w:r>
    </w:p>
    <w:p w14:paraId="76171C9B" w14:textId="77777777" w:rsidR="00B52D03" w:rsidRDefault="00B52D03" w:rsidP="00B52D03">
      <w:pPr>
        <w:pStyle w:val="Prrafodelista"/>
        <w:spacing w:after="160" w:line="256" w:lineRule="auto"/>
        <w:ind w:left="720" w:right="-284"/>
        <w:contextualSpacing/>
        <w:rPr>
          <w:rFonts w:ascii="Abadi" w:hAnsi="Abadi"/>
          <w:b/>
          <w:bCs/>
          <w:sz w:val="21"/>
          <w:szCs w:val="21"/>
        </w:rPr>
      </w:pPr>
    </w:p>
    <w:p w14:paraId="4DC7CBF9" w14:textId="5CC07B23" w:rsidR="00B52D03" w:rsidRDefault="00B52D03" w:rsidP="00B52D03">
      <w:pPr>
        <w:pStyle w:val="Prrafodelista"/>
        <w:spacing w:after="160" w:line="256" w:lineRule="auto"/>
        <w:ind w:left="720" w:right="-284"/>
        <w:contextualSpacing/>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Pág.</w:t>
      </w:r>
      <w:r w:rsidR="00D234D0">
        <w:rPr>
          <w:rFonts w:ascii="Abadi" w:hAnsi="Abadi"/>
          <w:b/>
          <w:bCs/>
          <w:sz w:val="21"/>
          <w:szCs w:val="21"/>
        </w:rPr>
        <w:t xml:space="preserve"> 146</w:t>
      </w:r>
      <w:r>
        <w:rPr>
          <w:rFonts w:ascii="Abadi" w:hAnsi="Abadi"/>
          <w:b/>
          <w:bCs/>
          <w:sz w:val="21"/>
          <w:szCs w:val="21"/>
        </w:rPr>
        <w:t xml:space="preserve">  </w:t>
      </w:r>
    </w:p>
    <w:p w14:paraId="1C50DAF6" w14:textId="77777777" w:rsidR="0096035C" w:rsidRPr="005570FE" w:rsidRDefault="0096035C" w:rsidP="000270AC">
      <w:pPr>
        <w:autoSpaceDE w:val="0"/>
        <w:autoSpaceDN w:val="0"/>
        <w:adjustRightInd w:val="0"/>
        <w:ind w:right="709"/>
        <w:jc w:val="both"/>
        <w:rPr>
          <w:rFonts w:ascii="Abadi" w:hAnsi="Abadi" w:cs="ArialMT"/>
          <w:b/>
          <w:bCs/>
          <w:sz w:val="21"/>
          <w:szCs w:val="21"/>
        </w:rPr>
      </w:pPr>
    </w:p>
    <w:p w14:paraId="6F578E64" w14:textId="77777777" w:rsidR="00176A23" w:rsidRPr="000F1534" w:rsidRDefault="00176A23">
      <w:pPr>
        <w:pStyle w:val="Prrafodelista"/>
        <w:numPr>
          <w:ilvl w:val="0"/>
          <w:numId w:val="13"/>
        </w:numPr>
        <w:autoSpaceDE w:val="0"/>
        <w:autoSpaceDN w:val="0"/>
        <w:adjustRightInd w:val="0"/>
        <w:ind w:right="709"/>
        <w:contextualSpacing/>
        <w:jc w:val="both"/>
        <w:rPr>
          <w:rFonts w:ascii="Abadi" w:hAnsi="Abadi" w:cs="ArialMT"/>
          <w:b/>
          <w:bCs/>
          <w:sz w:val="21"/>
          <w:szCs w:val="21"/>
        </w:rPr>
      </w:pPr>
      <w:r w:rsidRPr="000F1534">
        <w:rPr>
          <w:rFonts w:ascii="Abadi" w:hAnsi="Abadi" w:cs="ArialMT"/>
          <w:b/>
          <w:bCs/>
          <w:sz w:val="21"/>
          <w:szCs w:val="21"/>
        </w:rPr>
        <w:t>Presentación de la propuesta de punto de acuerdo de obvia resolución suscrita por las diputadas y los diputados integrantes de la Comisión de Hacienda y Fiscalización que contiene la recomendación sobre los montos máximos de las remuneraciones de los integrantes de los ayuntamientos del estado de Guanajuato, para el ejercicio fiscal del año 2023 y, en su caso, aprobación de la misma.</w:t>
      </w:r>
    </w:p>
    <w:p w14:paraId="7C2F0F68" w14:textId="77777777" w:rsidR="00B52D03" w:rsidRDefault="00B52D03" w:rsidP="00B52D03">
      <w:pPr>
        <w:pStyle w:val="Prrafodelista"/>
        <w:spacing w:after="160" w:line="256" w:lineRule="auto"/>
        <w:ind w:left="720" w:right="-284"/>
        <w:contextualSpacing/>
        <w:rPr>
          <w:rFonts w:ascii="Abadi" w:hAnsi="Abadi"/>
          <w:b/>
          <w:bCs/>
          <w:sz w:val="21"/>
          <w:szCs w:val="21"/>
        </w:rPr>
      </w:pPr>
    </w:p>
    <w:p w14:paraId="394F3BE5" w14:textId="660FA065" w:rsidR="00B52D03" w:rsidRDefault="00B52D03" w:rsidP="00B52D03">
      <w:pPr>
        <w:pStyle w:val="Prrafodelista"/>
        <w:spacing w:after="160" w:line="256" w:lineRule="auto"/>
        <w:ind w:left="720" w:right="-284"/>
        <w:contextualSpacing/>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 xml:space="preserve">Pág. </w:t>
      </w:r>
      <w:r w:rsidR="00D234D0">
        <w:rPr>
          <w:rFonts w:ascii="Abadi" w:hAnsi="Abadi"/>
          <w:b/>
          <w:bCs/>
          <w:sz w:val="21"/>
          <w:szCs w:val="21"/>
        </w:rPr>
        <w:t>148</w:t>
      </w:r>
      <w:r>
        <w:rPr>
          <w:rFonts w:ascii="Abadi" w:hAnsi="Abadi"/>
          <w:b/>
          <w:bCs/>
          <w:sz w:val="21"/>
          <w:szCs w:val="21"/>
        </w:rPr>
        <w:t xml:space="preserve"> </w:t>
      </w:r>
    </w:p>
    <w:p w14:paraId="7DB6A663" w14:textId="5A9092A2" w:rsidR="00DA2796" w:rsidRDefault="00DA2796" w:rsidP="00DA2796">
      <w:pPr>
        <w:ind w:left="709" w:right="709"/>
        <w:jc w:val="both"/>
        <w:rPr>
          <w:rFonts w:ascii="Abadi" w:hAnsi="Abadi"/>
          <w:b/>
          <w:bCs/>
          <w:sz w:val="21"/>
          <w:szCs w:val="21"/>
        </w:rPr>
      </w:pPr>
      <w:r w:rsidRPr="008875DF">
        <w:rPr>
          <w:rFonts w:ascii="Abadi" w:hAnsi="Abadi"/>
          <w:b/>
          <w:bCs/>
          <w:sz w:val="21"/>
          <w:szCs w:val="21"/>
        </w:rPr>
        <w:t>(Sube a tribuna la diputada Alma Edwviges Alcaraz Hernández, para hablar en contra de la propuesta</w:t>
      </w:r>
      <w:r>
        <w:rPr>
          <w:rFonts w:ascii="Abadi" w:hAnsi="Abadi"/>
          <w:b/>
          <w:bCs/>
          <w:sz w:val="21"/>
          <w:szCs w:val="21"/>
        </w:rPr>
        <w:t xml:space="preserve"> del punto de acuerdo en referencia</w:t>
      </w:r>
      <w:r w:rsidRPr="008875DF">
        <w:rPr>
          <w:rFonts w:ascii="Abadi" w:hAnsi="Abadi"/>
          <w:b/>
          <w:bCs/>
          <w:sz w:val="21"/>
          <w:szCs w:val="21"/>
        </w:rPr>
        <w:t>)</w:t>
      </w:r>
    </w:p>
    <w:p w14:paraId="77563879" w14:textId="41C1822D" w:rsidR="00DA2796" w:rsidRDefault="00DA2796" w:rsidP="00DA2796">
      <w:pPr>
        <w:ind w:left="709" w:right="709"/>
        <w:jc w:val="both"/>
        <w:rPr>
          <w:rFonts w:ascii="Abadi" w:hAnsi="Abadi"/>
          <w:b/>
          <w:bCs/>
          <w:sz w:val="21"/>
          <w:szCs w:val="21"/>
        </w:rPr>
      </w:pPr>
    </w:p>
    <w:p w14:paraId="37ABDAE1" w14:textId="4B0645CE" w:rsidR="00DA2796" w:rsidRDefault="00DA2796" w:rsidP="006F1928">
      <w:pPr>
        <w:ind w:left="2977" w:right="-425"/>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t xml:space="preserve">Pág. </w:t>
      </w:r>
      <w:r w:rsidR="006F1928">
        <w:rPr>
          <w:rFonts w:ascii="Abadi" w:hAnsi="Abadi"/>
          <w:b/>
          <w:bCs/>
          <w:sz w:val="21"/>
          <w:szCs w:val="21"/>
        </w:rPr>
        <w:t>156</w:t>
      </w:r>
      <w:r>
        <w:rPr>
          <w:rFonts w:ascii="Abadi" w:hAnsi="Abadi"/>
          <w:b/>
          <w:bCs/>
          <w:sz w:val="21"/>
          <w:szCs w:val="21"/>
        </w:rPr>
        <w:t xml:space="preserve"> </w:t>
      </w:r>
    </w:p>
    <w:p w14:paraId="2ECA3654" w14:textId="77777777" w:rsidR="006F1928" w:rsidRDefault="006F1928" w:rsidP="00216C2D">
      <w:pPr>
        <w:ind w:left="709" w:right="709"/>
        <w:jc w:val="both"/>
        <w:rPr>
          <w:rFonts w:ascii="Abadi" w:hAnsi="Abadi"/>
          <w:b/>
          <w:bCs/>
          <w:sz w:val="21"/>
          <w:szCs w:val="21"/>
        </w:rPr>
      </w:pPr>
    </w:p>
    <w:p w14:paraId="2452422C" w14:textId="2DBFB687" w:rsidR="00216C2D" w:rsidRDefault="00216C2D" w:rsidP="00216C2D">
      <w:pPr>
        <w:ind w:left="709" w:right="709"/>
        <w:jc w:val="both"/>
        <w:rPr>
          <w:rFonts w:ascii="Abadi" w:hAnsi="Abadi"/>
          <w:b/>
          <w:bCs/>
          <w:sz w:val="21"/>
          <w:szCs w:val="21"/>
        </w:rPr>
      </w:pPr>
      <w:r w:rsidRPr="00604DA5">
        <w:rPr>
          <w:rFonts w:ascii="Abadi" w:hAnsi="Abadi"/>
          <w:b/>
          <w:bCs/>
          <w:sz w:val="21"/>
          <w:szCs w:val="21"/>
        </w:rPr>
        <w:lastRenderedPageBreak/>
        <w:t>(Sube a tribuna el diputado Víctor Manuel Zanella Huerta, para hablar a favor, de la propuesta del punto de acuerdo)</w:t>
      </w:r>
    </w:p>
    <w:p w14:paraId="2441980A" w14:textId="77777777" w:rsidR="00403C6D" w:rsidRDefault="00403C6D" w:rsidP="00DA2796">
      <w:pPr>
        <w:ind w:left="2410"/>
        <w:jc w:val="both"/>
        <w:rPr>
          <w:rFonts w:ascii="Abadi" w:hAnsi="Abadi"/>
          <w:b/>
          <w:bCs/>
          <w:sz w:val="21"/>
          <w:szCs w:val="21"/>
        </w:rPr>
      </w:pPr>
    </w:p>
    <w:p w14:paraId="6CDB8908" w14:textId="33C3AD48" w:rsidR="0096035C" w:rsidRDefault="00216C2D" w:rsidP="00EF29A1">
      <w:pPr>
        <w:autoSpaceDE w:val="0"/>
        <w:autoSpaceDN w:val="0"/>
        <w:adjustRightInd w:val="0"/>
        <w:ind w:right="-284"/>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 xml:space="preserve">Pág. </w:t>
      </w:r>
      <w:r w:rsidR="00EF29A1">
        <w:rPr>
          <w:rFonts w:ascii="Abadi" w:hAnsi="Abadi"/>
          <w:b/>
          <w:bCs/>
          <w:sz w:val="21"/>
          <w:szCs w:val="21"/>
        </w:rPr>
        <w:t>157</w:t>
      </w:r>
      <w:r>
        <w:rPr>
          <w:rFonts w:ascii="Abadi" w:hAnsi="Abadi"/>
          <w:b/>
          <w:bCs/>
          <w:sz w:val="21"/>
          <w:szCs w:val="21"/>
        </w:rPr>
        <w:t xml:space="preserve"> </w:t>
      </w:r>
    </w:p>
    <w:p w14:paraId="3F124EFB" w14:textId="3C6CC84D" w:rsidR="009A1979" w:rsidRDefault="009A1979" w:rsidP="00216C2D">
      <w:pPr>
        <w:autoSpaceDE w:val="0"/>
        <w:autoSpaceDN w:val="0"/>
        <w:adjustRightInd w:val="0"/>
        <w:ind w:right="-142"/>
        <w:jc w:val="both"/>
        <w:rPr>
          <w:rFonts w:ascii="Abadi" w:hAnsi="Abadi"/>
          <w:b/>
          <w:bCs/>
          <w:sz w:val="21"/>
          <w:szCs w:val="21"/>
        </w:rPr>
      </w:pPr>
    </w:p>
    <w:p w14:paraId="0CC4E57A" w14:textId="77777777" w:rsidR="009A1979" w:rsidRDefault="009A1979" w:rsidP="009A1979">
      <w:pPr>
        <w:ind w:left="709" w:right="709"/>
        <w:jc w:val="both"/>
        <w:rPr>
          <w:rFonts w:ascii="Abadi" w:hAnsi="Abadi"/>
          <w:b/>
          <w:bCs/>
          <w:sz w:val="21"/>
          <w:szCs w:val="21"/>
        </w:rPr>
      </w:pPr>
      <w:r w:rsidRPr="004B7D4A">
        <w:rPr>
          <w:rFonts w:ascii="Abadi" w:hAnsi="Abadi"/>
          <w:b/>
          <w:bCs/>
          <w:sz w:val="21"/>
          <w:szCs w:val="21"/>
        </w:rPr>
        <w:t>(Sube a la tribuna, la diputada Alma Edwviges Alcaraz Hernández, para solicitar el apoyo y el voto a favor de la propuesta de punto de acuerdo)</w:t>
      </w:r>
    </w:p>
    <w:p w14:paraId="344D1900" w14:textId="2814E1C8" w:rsidR="009A1979" w:rsidRDefault="009A1979" w:rsidP="00216C2D">
      <w:pPr>
        <w:autoSpaceDE w:val="0"/>
        <w:autoSpaceDN w:val="0"/>
        <w:adjustRightInd w:val="0"/>
        <w:ind w:right="-142"/>
        <w:jc w:val="both"/>
        <w:rPr>
          <w:rFonts w:ascii="Abadi" w:hAnsi="Abadi"/>
          <w:b/>
          <w:bCs/>
          <w:sz w:val="21"/>
          <w:szCs w:val="21"/>
        </w:rPr>
      </w:pPr>
    </w:p>
    <w:p w14:paraId="44266F0D" w14:textId="5178AAE4" w:rsidR="009A1979" w:rsidRDefault="009A1979" w:rsidP="009A1979">
      <w:pPr>
        <w:autoSpaceDE w:val="0"/>
        <w:autoSpaceDN w:val="0"/>
        <w:adjustRightInd w:val="0"/>
        <w:ind w:left="3402" w:right="-142"/>
        <w:jc w:val="both"/>
        <w:rPr>
          <w:rFonts w:ascii="Abadi" w:hAnsi="Abadi"/>
          <w:b/>
          <w:bCs/>
          <w:sz w:val="21"/>
          <w:szCs w:val="21"/>
        </w:rPr>
      </w:pPr>
      <w:r>
        <w:rPr>
          <w:rFonts w:ascii="Abadi" w:hAnsi="Abadi"/>
          <w:b/>
          <w:bCs/>
          <w:sz w:val="21"/>
          <w:szCs w:val="21"/>
        </w:rPr>
        <w:t xml:space="preserve">Pág. </w:t>
      </w:r>
      <w:r w:rsidR="00EF29A1">
        <w:rPr>
          <w:rFonts w:ascii="Abadi" w:hAnsi="Abadi"/>
          <w:b/>
          <w:bCs/>
          <w:sz w:val="21"/>
          <w:szCs w:val="21"/>
        </w:rPr>
        <w:t>159</w:t>
      </w:r>
      <w:r>
        <w:rPr>
          <w:rFonts w:ascii="Abadi" w:hAnsi="Abadi"/>
          <w:b/>
          <w:bCs/>
          <w:sz w:val="21"/>
          <w:szCs w:val="21"/>
        </w:rPr>
        <w:t xml:space="preserve"> </w:t>
      </w:r>
    </w:p>
    <w:p w14:paraId="4BA6B011" w14:textId="77777777" w:rsidR="00216C2D" w:rsidRPr="005570FE" w:rsidRDefault="00216C2D" w:rsidP="000270AC">
      <w:pPr>
        <w:autoSpaceDE w:val="0"/>
        <w:autoSpaceDN w:val="0"/>
        <w:adjustRightInd w:val="0"/>
        <w:ind w:right="709"/>
        <w:jc w:val="both"/>
        <w:rPr>
          <w:rFonts w:ascii="Abadi" w:hAnsi="Abadi" w:cs="ArialMT"/>
          <w:b/>
          <w:bCs/>
          <w:sz w:val="21"/>
          <w:szCs w:val="21"/>
        </w:rPr>
      </w:pPr>
    </w:p>
    <w:p w14:paraId="25D79884" w14:textId="77777777" w:rsidR="004A552F" w:rsidRPr="000F1534" w:rsidRDefault="004A552F">
      <w:pPr>
        <w:pStyle w:val="Prrafodelista"/>
        <w:numPr>
          <w:ilvl w:val="0"/>
          <w:numId w:val="13"/>
        </w:numPr>
        <w:autoSpaceDE w:val="0"/>
        <w:autoSpaceDN w:val="0"/>
        <w:adjustRightInd w:val="0"/>
        <w:ind w:right="709"/>
        <w:contextualSpacing/>
        <w:jc w:val="both"/>
        <w:rPr>
          <w:rFonts w:ascii="Abadi" w:hAnsi="Abadi" w:cs="ArialMT"/>
          <w:b/>
          <w:bCs/>
          <w:sz w:val="21"/>
          <w:szCs w:val="21"/>
        </w:rPr>
      </w:pPr>
      <w:r w:rsidRPr="000F1534">
        <w:rPr>
          <w:rFonts w:ascii="Abadi" w:hAnsi="Abadi" w:cs="ArialMT"/>
          <w:b/>
          <w:bCs/>
          <w:sz w:val="21"/>
          <w:szCs w:val="21"/>
        </w:rPr>
        <w:t>Presentación del informe de los conceptos generales de los estados financieros de los recursos presupuestales y las transferencias y ajustes presupuestales, correspondiente al periodo comprendido del 1 al 31 de agosto del año en curso, formulado por la Comisión de Administración y, en su caso, aprobación del mismo.</w:t>
      </w:r>
    </w:p>
    <w:p w14:paraId="31C6AF75" w14:textId="77777777" w:rsidR="00B52D03" w:rsidRDefault="00B52D03" w:rsidP="00B52D03">
      <w:pPr>
        <w:pStyle w:val="Prrafodelista"/>
        <w:spacing w:after="160" w:line="256" w:lineRule="auto"/>
        <w:ind w:left="720" w:right="-284"/>
        <w:contextualSpacing/>
        <w:rPr>
          <w:rFonts w:ascii="Abadi" w:hAnsi="Abadi"/>
          <w:b/>
          <w:bCs/>
          <w:sz w:val="21"/>
          <w:szCs w:val="21"/>
        </w:rPr>
      </w:pPr>
    </w:p>
    <w:p w14:paraId="11916E33" w14:textId="5C3EBED2" w:rsidR="00B52D03" w:rsidRDefault="00B52D03" w:rsidP="00B52D03">
      <w:pPr>
        <w:pStyle w:val="Prrafodelista"/>
        <w:spacing w:after="160" w:line="256" w:lineRule="auto"/>
        <w:ind w:left="720" w:right="-284"/>
        <w:contextualSpacing/>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 xml:space="preserve">Pág. </w:t>
      </w:r>
      <w:r w:rsidR="00EF29A1">
        <w:rPr>
          <w:rFonts w:ascii="Abadi" w:hAnsi="Abadi"/>
          <w:b/>
          <w:bCs/>
          <w:sz w:val="21"/>
          <w:szCs w:val="21"/>
        </w:rPr>
        <w:t>160</w:t>
      </w:r>
      <w:r>
        <w:rPr>
          <w:rFonts w:ascii="Abadi" w:hAnsi="Abadi"/>
          <w:b/>
          <w:bCs/>
          <w:sz w:val="21"/>
          <w:szCs w:val="21"/>
        </w:rPr>
        <w:t xml:space="preserve"> </w:t>
      </w:r>
    </w:p>
    <w:p w14:paraId="4B5DFDCD" w14:textId="77777777" w:rsidR="0096035C" w:rsidRPr="005570FE" w:rsidRDefault="0096035C" w:rsidP="0096035C">
      <w:pPr>
        <w:autoSpaceDE w:val="0"/>
        <w:autoSpaceDN w:val="0"/>
        <w:adjustRightInd w:val="0"/>
        <w:jc w:val="both"/>
        <w:rPr>
          <w:rFonts w:ascii="Abadi" w:hAnsi="Abadi" w:cs="Arial-BoldMT"/>
          <w:b/>
          <w:bCs/>
          <w:sz w:val="21"/>
          <w:szCs w:val="21"/>
        </w:rPr>
      </w:pPr>
    </w:p>
    <w:p w14:paraId="355B43F5" w14:textId="77777777" w:rsidR="00641E73" w:rsidRPr="000F1534" w:rsidRDefault="00641E73">
      <w:pPr>
        <w:pStyle w:val="Prrafodelista"/>
        <w:numPr>
          <w:ilvl w:val="0"/>
          <w:numId w:val="13"/>
        </w:numPr>
        <w:autoSpaceDE w:val="0"/>
        <w:autoSpaceDN w:val="0"/>
        <w:adjustRightInd w:val="0"/>
        <w:ind w:right="709"/>
        <w:contextualSpacing/>
        <w:jc w:val="both"/>
        <w:rPr>
          <w:rFonts w:ascii="Abadi" w:hAnsi="Abadi" w:cs="ArialMT"/>
          <w:b/>
          <w:bCs/>
          <w:sz w:val="21"/>
          <w:szCs w:val="21"/>
        </w:rPr>
      </w:pPr>
      <w:r w:rsidRPr="000F1534">
        <w:rPr>
          <w:rFonts w:ascii="Abadi" w:hAnsi="Abadi" w:cs="ArialMT"/>
          <w:b/>
          <w:bCs/>
          <w:sz w:val="21"/>
          <w:szCs w:val="21"/>
        </w:rPr>
        <w:t>Presentación de las transferencias y ajustes presupuestales, correspondiente al periodo comprendido del 1 al 31 de julio del año en curso, formulado por la Comisión de Administración y, en su caso, aprobación del mismo.</w:t>
      </w:r>
    </w:p>
    <w:p w14:paraId="02B739F0" w14:textId="77777777" w:rsidR="00B52D03" w:rsidRDefault="00B52D03" w:rsidP="00B52D03">
      <w:pPr>
        <w:pStyle w:val="Prrafodelista"/>
        <w:spacing w:after="160" w:line="256" w:lineRule="auto"/>
        <w:ind w:left="720" w:right="-284"/>
        <w:contextualSpacing/>
        <w:rPr>
          <w:rFonts w:ascii="Abadi" w:hAnsi="Abadi"/>
          <w:b/>
          <w:bCs/>
          <w:sz w:val="21"/>
          <w:szCs w:val="21"/>
        </w:rPr>
      </w:pPr>
    </w:p>
    <w:p w14:paraId="48DD7455" w14:textId="5C3E9844" w:rsidR="00B52D03" w:rsidRDefault="00B52D03" w:rsidP="00B52D03">
      <w:pPr>
        <w:pStyle w:val="Prrafodelista"/>
        <w:spacing w:after="160" w:line="256" w:lineRule="auto"/>
        <w:ind w:left="720" w:right="-284"/>
        <w:contextualSpacing/>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 xml:space="preserve">Pág. </w:t>
      </w:r>
      <w:r w:rsidR="00EF29A1">
        <w:rPr>
          <w:rFonts w:ascii="Abadi" w:hAnsi="Abadi"/>
          <w:b/>
          <w:bCs/>
          <w:sz w:val="21"/>
          <w:szCs w:val="21"/>
        </w:rPr>
        <w:t>161</w:t>
      </w:r>
      <w:r>
        <w:rPr>
          <w:rFonts w:ascii="Abadi" w:hAnsi="Abadi"/>
          <w:b/>
          <w:bCs/>
          <w:sz w:val="21"/>
          <w:szCs w:val="21"/>
        </w:rPr>
        <w:t xml:space="preserve"> </w:t>
      </w:r>
    </w:p>
    <w:p w14:paraId="46FC48EA" w14:textId="77777777" w:rsidR="0096035C" w:rsidRPr="005570FE" w:rsidRDefault="0096035C" w:rsidP="000270AC">
      <w:pPr>
        <w:autoSpaceDE w:val="0"/>
        <w:autoSpaceDN w:val="0"/>
        <w:adjustRightInd w:val="0"/>
        <w:ind w:right="709"/>
        <w:jc w:val="both"/>
        <w:rPr>
          <w:rFonts w:ascii="Abadi" w:hAnsi="Abadi" w:cs="ArialMT"/>
          <w:b/>
          <w:bCs/>
          <w:sz w:val="21"/>
          <w:szCs w:val="21"/>
        </w:rPr>
      </w:pPr>
    </w:p>
    <w:p w14:paraId="7B7A7A1C" w14:textId="77777777" w:rsidR="00BD30F8" w:rsidRPr="00D5452D" w:rsidRDefault="00BD30F8">
      <w:pPr>
        <w:pStyle w:val="Prrafodelista"/>
        <w:numPr>
          <w:ilvl w:val="0"/>
          <w:numId w:val="13"/>
        </w:numPr>
        <w:autoSpaceDE w:val="0"/>
        <w:autoSpaceDN w:val="0"/>
        <w:adjustRightInd w:val="0"/>
        <w:ind w:right="709"/>
        <w:contextualSpacing/>
        <w:jc w:val="both"/>
        <w:rPr>
          <w:rFonts w:ascii="Abadi" w:hAnsi="Abadi" w:cs="ArialMT"/>
          <w:b/>
          <w:bCs/>
          <w:sz w:val="21"/>
          <w:szCs w:val="21"/>
        </w:rPr>
      </w:pPr>
      <w:r w:rsidRPr="00D5452D">
        <w:rPr>
          <w:rFonts w:ascii="Abadi" w:hAnsi="Abadi" w:cs="ArialMT"/>
          <w:b/>
          <w:bCs/>
          <w:sz w:val="21"/>
          <w:szCs w:val="21"/>
        </w:rPr>
        <w:t xml:space="preserve">Discusión y, en su caso, aprobación del dictamen suscrito por la Comisión de Derechos Humanos y Atención a Grupos Vulnerables relativo a la iniciativa de Ley de los Derechos de las Personas Usuarias de Perros Guía o de Asistencia Médica para el </w:t>
      </w:r>
      <w:r w:rsidRPr="00D5452D">
        <w:rPr>
          <w:rFonts w:ascii="Abadi" w:hAnsi="Abadi" w:cs="ArialMT"/>
          <w:b/>
          <w:bCs/>
          <w:sz w:val="21"/>
          <w:szCs w:val="21"/>
        </w:rPr>
        <w:t>Estado de Guanajuato formulada por la diputada María de Jesús Eunices Reveles Conejo, de la Representación Parlamentaria del Partido del Trabajo ante la Sexagésima Cuarta Legislatura.</w:t>
      </w:r>
    </w:p>
    <w:p w14:paraId="21642ECA" w14:textId="77777777" w:rsidR="00B52D03" w:rsidRDefault="00B52D03" w:rsidP="00B52D03">
      <w:pPr>
        <w:pStyle w:val="Prrafodelista"/>
        <w:spacing w:after="160" w:line="256" w:lineRule="auto"/>
        <w:ind w:left="720" w:right="-284"/>
        <w:contextualSpacing/>
        <w:rPr>
          <w:rFonts w:ascii="Abadi" w:hAnsi="Abadi"/>
          <w:b/>
          <w:bCs/>
          <w:sz w:val="21"/>
          <w:szCs w:val="21"/>
        </w:rPr>
      </w:pPr>
    </w:p>
    <w:p w14:paraId="5724FFA9" w14:textId="698213BE" w:rsidR="00B52D03" w:rsidRDefault="00B52D03" w:rsidP="00B52D03">
      <w:pPr>
        <w:pStyle w:val="Prrafodelista"/>
        <w:spacing w:after="160" w:line="256" w:lineRule="auto"/>
        <w:ind w:left="720" w:right="-284"/>
        <w:contextualSpacing/>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 xml:space="preserve">Pág. </w:t>
      </w:r>
      <w:r w:rsidR="00EF29A1">
        <w:rPr>
          <w:rFonts w:ascii="Abadi" w:hAnsi="Abadi"/>
          <w:b/>
          <w:bCs/>
          <w:sz w:val="21"/>
          <w:szCs w:val="21"/>
        </w:rPr>
        <w:t>162</w:t>
      </w:r>
      <w:r>
        <w:rPr>
          <w:rFonts w:ascii="Abadi" w:hAnsi="Abadi"/>
          <w:b/>
          <w:bCs/>
          <w:sz w:val="21"/>
          <w:szCs w:val="21"/>
        </w:rPr>
        <w:t xml:space="preserve"> </w:t>
      </w:r>
    </w:p>
    <w:p w14:paraId="4BCD74AE" w14:textId="77777777" w:rsidR="0096035C" w:rsidRPr="005570FE" w:rsidRDefault="0096035C" w:rsidP="0096035C">
      <w:pPr>
        <w:autoSpaceDE w:val="0"/>
        <w:autoSpaceDN w:val="0"/>
        <w:adjustRightInd w:val="0"/>
        <w:jc w:val="both"/>
        <w:rPr>
          <w:rFonts w:ascii="Abadi" w:hAnsi="Abadi" w:cs="ArialMT"/>
          <w:b/>
          <w:bCs/>
          <w:sz w:val="21"/>
          <w:szCs w:val="21"/>
        </w:rPr>
      </w:pPr>
    </w:p>
    <w:p w14:paraId="0AE78C30" w14:textId="77777777" w:rsidR="00BA3895" w:rsidRPr="000F1534" w:rsidRDefault="00BA3895">
      <w:pPr>
        <w:pStyle w:val="Prrafodelista"/>
        <w:numPr>
          <w:ilvl w:val="0"/>
          <w:numId w:val="13"/>
        </w:numPr>
        <w:autoSpaceDE w:val="0"/>
        <w:autoSpaceDN w:val="0"/>
        <w:adjustRightInd w:val="0"/>
        <w:ind w:right="709"/>
        <w:contextualSpacing/>
        <w:jc w:val="both"/>
        <w:rPr>
          <w:rFonts w:ascii="Abadi" w:hAnsi="Abadi" w:cs="ArialMT"/>
          <w:b/>
          <w:bCs/>
          <w:sz w:val="21"/>
          <w:szCs w:val="21"/>
        </w:rPr>
      </w:pPr>
      <w:r w:rsidRPr="000F1534">
        <w:rPr>
          <w:rFonts w:ascii="Abadi" w:hAnsi="Abadi" w:cs="ArialMT"/>
          <w:b/>
          <w:bCs/>
          <w:sz w:val="21"/>
          <w:szCs w:val="21"/>
        </w:rPr>
        <w:t>Discusión y, en su caso, aprobación del dictamen signado por la Comisión de Derechos Humanos y Atención a Grupos Vulnerables relativo a la iniciativa suscrita por la diputada María de Jesús Eunices Reveles Conejo de la Representación Parlamentaria del Partido del Trabajo ante la Sexagésima Cuarta Legislatura, a efecto de adicionar las fracciones XVI y XVII recorriéndose en su orden la subsecuente, al artículo 6 de la Ley de Inclusión para las Personas con Discapacidad en el Estado de Guanajuato.</w:t>
      </w:r>
    </w:p>
    <w:p w14:paraId="4497D9F3" w14:textId="77777777" w:rsidR="00B52D03" w:rsidRDefault="00B52D03" w:rsidP="00B52D03">
      <w:pPr>
        <w:pStyle w:val="Prrafodelista"/>
        <w:spacing w:after="160" w:line="256" w:lineRule="auto"/>
        <w:ind w:left="720" w:right="-284"/>
        <w:contextualSpacing/>
        <w:rPr>
          <w:rFonts w:ascii="Abadi" w:hAnsi="Abadi"/>
          <w:b/>
          <w:bCs/>
          <w:sz w:val="21"/>
          <w:szCs w:val="21"/>
        </w:rPr>
      </w:pPr>
    </w:p>
    <w:p w14:paraId="2B2DAB4D" w14:textId="16891B08" w:rsidR="00B52D03" w:rsidRDefault="00B52D03" w:rsidP="00B52D03">
      <w:pPr>
        <w:pStyle w:val="Prrafodelista"/>
        <w:spacing w:after="160" w:line="256" w:lineRule="auto"/>
        <w:ind w:left="720" w:right="-284"/>
        <w:contextualSpacing/>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 xml:space="preserve">Pág. </w:t>
      </w:r>
      <w:r w:rsidR="00EF29A1">
        <w:rPr>
          <w:rFonts w:ascii="Abadi" w:hAnsi="Abadi"/>
          <w:b/>
          <w:bCs/>
          <w:sz w:val="21"/>
          <w:szCs w:val="21"/>
        </w:rPr>
        <w:t>203</w:t>
      </w:r>
      <w:r>
        <w:rPr>
          <w:rFonts w:ascii="Abadi" w:hAnsi="Abadi"/>
          <w:b/>
          <w:bCs/>
          <w:sz w:val="21"/>
          <w:szCs w:val="21"/>
        </w:rPr>
        <w:t xml:space="preserve"> </w:t>
      </w:r>
    </w:p>
    <w:p w14:paraId="7CDF4234" w14:textId="77777777" w:rsidR="0096035C" w:rsidRPr="005570FE" w:rsidRDefault="0096035C" w:rsidP="0096035C">
      <w:pPr>
        <w:autoSpaceDE w:val="0"/>
        <w:autoSpaceDN w:val="0"/>
        <w:adjustRightInd w:val="0"/>
        <w:jc w:val="both"/>
        <w:rPr>
          <w:rFonts w:ascii="Abadi" w:hAnsi="Abadi" w:cs="ArialMT"/>
          <w:b/>
          <w:bCs/>
          <w:sz w:val="21"/>
          <w:szCs w:val="21"/>
        </w:rPr>
      </w:pPr>
    </w:p>
    <w:p w14:paraId="024F04A6" w14:textId="77777777" w:rsidR="00A57A67" w:rsidRPr="00D5452D" w:rsidRDefault="00A57A67">
      <w:pPr>
        <w:pStyle w:val="Prrafodelista"/>
        <w:numPr>
          <w:ilvl w:val="0"/>
          <w:numId w:val="13"/>
        </w:numPr>
        <w:autoSpaceDE w:val="0"/>
        <w:autoSpaceDN w:val="0"/>
        <w:adjustRightInd w:val="0"/>
        <w:ind w:right="709"/>
        <w:contextualSpacing/>
        <w:jc w:val="both"/>
        <w:rPr>
          <w:rFonts w:ascii="Abadi" w:hAnsi="Abadi" w:cs="ArialMT"/>
          <w:b/>
          <w:bCs/>
          <w:sz w:val="21"/>
          <w:szCs w:val="21"/>
        </w:rPr>
      </w:pPr>
      <w:r w:rsidRPr="00D5452D">
        <w:rPr>
          <w:rFonts w:ascii="Abadi" w:hAnsi="Abadi" w:cs="ArialMT"/>
          <w:b/>
          <w:bCs/>
          <w:sz w:val="21"/>
          <w:szCs w:val="21"/>
        </w:rPr>
        <w:t xml:space="preserve">Discusión y, en su caso, aprobación del dictamen emitido por la Comisión de Derechos Humanos y Atención a Grupos Vulnerables relativo a la propuesta de punto de acuerdo suscrita por la diputada Ma. Guadalupe Josefina Salas Bustamante, ante la Sexagésima Cuarta Legislatura, por la cual se exhorta al titular de la Procuraduría de Derechos Humanos en el Estado, a efecto de que se implemente un mecanismo de identificación de empresas que discriminan aspirantes que han colaborado en las </w:t>
      </w:r>
      <w:r w:rsidRPr="00D5452D">
        <w:rPr>
          <w:rFonts w:ascii="Abadi" w:hAnsi="Abadi" w:cs="ArialMT"/>
          <w:b/>
          <w:bCs/>
          <w:sz w:val="21"/>
          <w:szCs w:val="21"/>
        </w:rPr>
        <w:lastRenderedPageBreak/>
        <w:t>Fuerzas de Seguridad Pública del Estado.</w:t>
      </w:r>
    </w:p>
    <w:p w14:paraId="6D606B04" w14:textId="77777777" w:rsidR="00B52D03" w:rsidRDefault="00B52D03" w:rsidP="00B52D03">
      <w:pPr>
        <w:pStyle w:val="Prrafodelista"/>
        <w:spacing w:after="160" w:line="256" w:lineRule="auto"/>
        <w:ind w:left="720" w:right="-284"/>
        <w:contextualSpacing/>
        <w:rPr>
          <w:rFonts w:ascii="Abadi" w:hAnsi="Abadi"/>
          <w:b/>
          <w:bCs/>
          <w:sz w:val="21"/>
          <w:szCs w:val="21"/>
        </w:rPr>
      </w:pPr>
    </w:p>
    <w:p w14:paraId="3D0A8842" w14:textId="655762A9" w:rsidR="00772520" w:rsidRDefault="00B52D03" w:rsidP="00772520">
      <w:pPr>
        <w:pStyle w:val="Prrafodelista"/>
        <w:spacing w:after="160" w:line="256" w:lineRule="auto"/>
        <w:ind w:left="720" w:right="-284"/>
        <w:contextualSpacing/>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Pág.</w:t>
      </w:r>
      <w:r w:rsidR="00EF29A1">
        <w:rPr>
          <w:rFonts w:ascii="Abadi" w:hAnsi="Abadi"/>
          <w:b/>
          <w:bCs/>
          <w:sz w:val="21"/>
          <w:szCs w:val="21"/>
        </w:rPr>
        <w:t xml:space="preserve"> 228</w:t>
      </w:r>
    </w:p>
    <w:p w14:paraId="7D605DA6" w14:textId="77777777" w:rsidR="00772520" w:rsidRDefault="00772520" w:rsidP="00772520">
      <w:pPr>
        <w:pStyle w:val="Prrafodelista"/>
        <w:spacing w:after="160" w:line="256" w:lineRule="auto"/>
        <w:ind w:left="720" w:right="-284"/>
        <w:contextualSpacing/>
        <w:jc w:val="both"/>
        <w:rPr>
          <w:rFonts w:ascii="Abadi" w:hAnsi="Abadi" w:cs="ArialMT"/>
          <w:b/>
          <w:bCs/>
          <w:sz w:val="21"/>
          <w:szCs w:val="21"/>
        </w:rPr>
      </w:pPr>
    </w:p>
    <w:p w14:paraId="2FB22DCE" w14:textId="581A2092" w:rsidR="00B52D03" w:rsidRDefault="00BD77B2">
      <w:pPr>
        <w:pStyle w:val="Prrafodelista"/>
        <w:numPr>
          <w:ilvl w:val="0"/>
          <w:numId w:val="17"/>
        </w:numPr>
        <w:spacing w:after="160" w:line="256" w:lineRule="auto"/>
        <w:ind w:left="709" w:right="709"/>
        <w:contextualSpacing/>
        <w:jc w:val="both"/>
        <w:rPr>
          <w:rFonts w:ascii="Abadi" w:hAnsi="Abadi"/>
          <w:b/>
          <w:bCs/>
          <w:sz w:val="21"/>
          <w:szCs w:val="21"/>
        </w:rPr>
      </w:pPr>
      <w:r w:rsidRPr="00D5452D">
        <w:rPr>
          <w:rFonts w:ascii="Abadi" w:hAnsi="Abadi" w:cs="ArialMT"/>
          <w:b/>
          <w:bCs/>
          <w:sz w:val="21"/>
          <w:szCs w:val="21"/>
        </w:rPr>
        <w:t>Discusión y, en su caso, aprobación del dictamen formulado por la Comisión de Derechos Humanos y Atención a Grupos Vulnerables relativo a la propuesta de punto de acuerdo suscrita por el diputado Ernesto Alejandro Prieto Gallardo integrante del Grupo Parlamentario del Partido Morena, en la Sexagésima Cuarta Legislatura, a efecto de exhortar al Gobernador Constitucional del Estado de Guanajuato el C. DIEGO SINHUE RODRÍGUEZ VALLEJO a fin de que, en el ámbito de sus facultades dé instrucciones a la Procuraduría de Protección de Niñas, Niños y Adolescentes del Estado de Guanajuato a observar el interés superior de la  niñez; al PODER JUDICIAL DEL ESTADO DE GUANAJUATO a fin de que cumpla con el artículo 102 fracción VI de la Ley Nacional del Sistema Integral de Justicia Penal para Adolescentes; y al Fiscal General del Estado de Guanajuato, CARLOS ZAMARRIPA AGUIRRE, para la pronta procuración de justicia. Todo lo anterior respecto a los menores de edad que se encontraban en el Instituto Transformacional PRINUVI en Irapuato, Guanajuato y que ilegalmente se les regresó a sus hogares, con sus padres, yendo contra la suspensión condicional del proceso.</w:t>
      </w:r>
    </w:p>
    <w:p w14:paraId="48F31A09" w14:textId="6A521BE1" w:rsidR="00B52D03" w:rsidRDefault="00B52D03" w:rsidP="00B52D03">
      <w:pPr>
        <w:pStyle w:val="Prrafodelista"/>
        <w:spacing w:after="160" w:line="256" w:lineRule="auto"/>
        <w:ind w:left="720" w:right="-284"/>
        <w:contextualSpacing/>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 xml:space="preserve">Pág. </w:t>
      </w:r>
      <w:r w:rsidR="00EF29A1">
        <w:rPr>
          <w:rFonts w:ascii="Abadi" w:hAnsi="Abadi"/>
          <w:b/>
          <w:bCs/>
          <w:sz w:val="21"/>
          <w:szCs w:val="21"/>
        </w:rPr>
        <w:t>231</w:t>
      </w:r>
      <w:r>
        <w:rPr>
          <w:rFonts w:ascii="Abadi" w:hAnsi="Abadi"/>
          <w:b/>
          <w:bCs/>
          <w:sz w:val="21"/>
          <w:szCs w:val="21"/>
        </w:rPr>
        <w:t xml:space="preserve"> </w:t>
      </w:r>
    </w:p>
    <w:p w14:paraId="45F9BA18" w14:textId="77777777" w:rsidR="0096035C" w:rsidRPr="005570FE" w:rsidRDefault="0096035C" w:rsidP="0096035C">
      <w:pPr>
        <w:autoSpaceDE w:val="0"/>
        <w:autoSpaceDN w:val="0"/>
        <w:adjustRightInd w:val="0"/>
        <w:jc w:val="both"/>
        <w:rPr>
          <w:rFonts w:ascii="Abadi" w:hAnsi="Abadi" w:cs="ArialMT"/>
          <w:b/>
          <w:bCs/>
          <w:sz w:val="21"/>
          <w:szCs w:val="21"/>
        </w:rPr>
      </w:pPr>
    </w:p>
    <w:p w14:paraId="793DD13C" w14:textId="77777777" w:rsidR="00B0523A" w:rsidRPr="000F1534" w:rsidRDefault="00B0523A">
      <w:pPr>
        <w:pStyle w:val="Prrafodelista"/>
        <w:numPr>
          <w:ilvl w:val="0"/>
          <w:numId w:val="13"/>
        </w:numPr>
        <w:autoSpaceDE w:val="0"/>
        <w:autoSpaceDN w:val="0"/>
        <w:adjustRightInd w:val="0"/>
        <w:ind w:right="709"/>
        <w:contextualSpacing/>
        <w:jc w:val="both"/>
        <w:rPr>
          <w:rFonts w:ascii="Abadi" w:hAnsi="Abadi" w:cs="ArialMT"/>
          <w:b/>
          <w:bCs/>
          <w:sz w:val="21"/>
          <w:szCs w:val="21"/>
        </w:rPr>
      </w:pPr>
      <w:r w:rsidRPr="000F1534">
        <w:rPr>
          <w:rFonts w:ascii="Abadi" w:hAnsi="Abadi" w:cs="ArialMT"/>
          <w:b/>
          <w:bCs/>
          <w:sz w:val="21"/>
          <w:szCs w:val="21"/>
        </w:rPr>
        <w:t>Discusión y, en su caso, aprobación del dictamen suscrito por la Comisión de Derechos Humanos y Atención a Grupos Vulnerables relativo a la propuesta de punto de acuerdo signada por la diputada y el diputado integrantes del Grupo Parlamentario del Partido Verde Ecologista de México ante la Sexagésima Cuarta Legislatura, a efecto de exhortar al titular del Poder Ejecutivo del Estado de Guanajuato para que por su conducto se diseñen, implementen, ejecuten y evalúen políticas públicas efectivas de no discriminación.</w:t>
      </w:r>
    </w:p>
    <w:p w14:paraId="2A4B4B8A" w14:textId="77777777" w:rsidR="00B52D03" w:rsidRDefault="00B52D03" w:rsidP="00B52D03">
      <w:pPr>
        <w:pStyle w:val="Prrafodelista"/>
        <w:spacing w:after="160" w:line="256" w:lineRule="auto"/>
        <w:ind w:left="720" w:right="-284"/>
        <w:contextualSpacing/>
        <w:rPr>
          <w:rFonts w:ascii="Abadi" w:hAnsi="Abadi"/>
          <w:b/>
          <w:bCs/>
          <w:sz w:val="21"/>
          <w:szCs w:val="21"/>
        </w:rPr>
      </w:pPr>
    </w:p>
    <w:p w14:paraId="6FE1FE8B" w14:textId="3DA83E57" w:rsidR="00B52D03" w:rsidRDefault="00B52D03" w:rsidP="00B52D03">
      <w:pPr>
        <w:pStyle w:val="Prrafodelista"/>
        <w:spacing w:after="160" w:line="256" w:lineRule="auto"/>
        <w:ind w:left="720" w:right="-284"/>
        <w:contextualSpacing/>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 xml:space="preserve">Pág. </w:t>
      </w:r>
      <w:r w:rsidR="0090185F">
        <w:rPr>
          <w:rFonts w:ascii="Abadi" w:hAnsi="Abadi"/>
          <w:b/>
          <w:bCs/>
          <w:sz w:val="21"/>
          <w:szCs w:val="21"/>
        </w:rPr>
        <w:t>238</w:t>
      </w:r>
      <w:r>
        <w:rPr>
          <w:rFonts w:ascii="Abadi" w:hAnsi="Abadi"/>
          <w:b/>
          <w:bCs/>
          <w:sz w:val="21"/>
          <w:szCs w:val="21"/>
        </w:rPr>
        <w:t xml:space="preserve"> </w:t>
      </w:r>
    </w:p>
    <w:p w14:paraId="75899DD6" w14:textId="77777777" w:rsidR="0096035C" w:rsidRPr="005570FE" w:rsidRDefault="0096035C" w:rsidP="000270AC">
      <w:pPr>
        <w:autoSpaceDE w:val="0"/>
        <w:autoSpaceDN w:val="0"/>
        <w:adjustRightInd w:val="0"/>
        <w:ind w:right="709"/>
        <w:jc w:val="both"/>
        <w:rPr>
          <w:rFonts w:ascii="Abadi" w:hAnsi="Abadi" w:cs="ArialMT"/>
          <w:b/>
          <w:bCs/>
          <w:sz w:val="21"/>
          <w:szCs w:val="21"/>
        </w:rPr>
      </w:pPr>
    </w:p>
    <w:p w14:paraId="195EF1A9" w14:textId="77777777" w:rsidR="004E4C46" w:rsidRPr="00D5452D" w:rsidRDefault="004E4C46">
      <w:pPr>
        <w:pStyle w:val="Prrafodelista"/>
        <w:numPr>
          <w:ilvl w:val="0"/>
          <w:numId w:val="13"/>
        </w:numPr>
        <w:autoSpaceDE w:val="0"/>
        <w:autoSpaceDN w:val="0"/>
        <w:adjustRightInd w:val="0"/>
        <w:ind w:right="709"/>
        <w:contextualSpacing/>
        <w:jc w:val="both"/>
        <w:rPr>
          <w:rFonts w:ascii="Abadi" w:hAnsi="Abadi" w:cs="ArialMT"/>
          <w:b/>
          <w:bCs/>
          <w:sz w:val="21"/>
          <w:szCs w:val="21"/>
        </w:rPr>
      </w:pPr>
      <w:r w:rsidRPr="00D5452D">
        <w:rPr>
          <w:rFonts w:ascii="Abadi" w:hAnsi="Abadi" w:cs="ArialMT"/>
          <w:b/>
          <w:bCs/>
          <w:sz w:val="21"/>
          <w:szCs w:val="21"/>
        </w:rPr>
        <w:t>Discusión y, en su caso, aprobación del dictamen signado por la Comisión de Derechos Humanos y Atención a Grupos Vulnerables relativo a la propuesta de punto de acuerdo a efecto de exhortar al titular del Poder Ejecutivo del Estado y a los 46 ayuntamientos del estado de Guanajuato para que diseñen, implementen, ejecuten y evalúen un programa de capacitación con perspectiva de diversidad sexual a todos sus servidores públicos, así como a toda la población del Estado, suscrita por la diputada y el diputado integrantes del Grupo Parlamentario del Partido Verde Ecologista de México ante la Sexagésima Cuarta Legislatura.</w:t>
      </w:r>
    </w:p>
    <w:p w14:paraId="3602B611" w14:textId="77777777" w:rsidR="00B4676C" w:rsidRDefault="00B4676C" w:rsidP="00B4676C">
      <w:pPr>
        <w:pStyle w:val="Prrafodelista"/>
        <w:spacing w:after="160" w:line="256" w:lineRule="auto"/>
        <w:ind w:left="720" w:right="-284"/>
        <w:contextualSpacing/>
        <w:rPr>
          <w:rFonts w:ascii="Abadi" w:hAnsi="Abadi"/>
          <w:b/>
          <w:bCs/>
          <w:sz w:val="21"/>
          <w:szCs w:val="21"/>
        </w:rPr>
      </w:pPr>
    </w:p>
    <w:p w14:paraId="63FCD74F" w14:textId="74F68F36" w:rsidR="00B4676C" w:rsidRDefault="00B4676C" w:rsidP="00B4676C">
      <w:pPr>
        <w:pStyle w:val="Prrafodelista"/>
        <w:spacing w:after="160" w:line="256" w:lineRule="auto"/>
        <w:ind w:left="720" w:right="-284"/>
        <w:contextualSpacing/>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Pág.</w:t>
      </w:r>
      <w:r w:rsidR="0090185F">
        <w:rPr>
          <w:rFonts w:ascii="Abadi" w:hAnsi="Abadi"/>
          <w:b/>
          <w:bCs/>
          <w:sz w:val="21"/>
          <w:szCs w:val="21"/>
        </w:rPr>
        <w:t xml:space="preserve"> 243</w:t>
      </w:r>
      <w:r>
        <w:rPr>
          <w:rFonts w:ascii="Abadi" w:hAnsi="Abadi"/>
          <w:b/>
          <w:bCs/>
          <w:sz w:val="21"/>
          <w:szCs w:val="21"/>
        </w:rPr>
        <w:t xml:space="preserve">  </w:t>
      </w:r>
    </w:p>
    <w:p w14:paraId="2D064A87" w14:textId="77777777" w:rsidR="0096035C" w:rsidRPr="005570FE" w:rsidRDefault="0096035C" w:rsidP="0096035C">
      <w:pPr>
        <w:autoSpaceDE w:val="0"/>
        <w:autoSpaceDN w:val="0"/>
        <w:adjustRightInd w:val="0"/>
        <w:jc w:val="both"/>
        <w:rPr>
          <w:rFonts w:ascii="Abadi" w:hAnsi="Abadi" w:cs="ArialMT"/>
          <w:b/>
          <w:bCs/>
          <w:sz w:val="21"/>
          <w:szCs w:val="21"/>
        </w:rPr>
      </w:pPr>
    </w:p>
    <w:p w14:paraId="62EDE6BC" w14:textId="77777777" w:rsidR="00C42797" w:rsidRPr="000F1534" w:rsidRDefault="00C42797">
      <w:pPr>
        <w:pStyle w:val="Prrafodelista"/>
        <w:numPr>
          <w:ilvl w:val="0"/>
          <w:numId w:val="13"/>
        </w:numPr>
        <w:autoSpaceDE w:val="0"/>
        <w:autoSpaceDN w:val="0"/>
        <w:adjustRightInd w:val="0"/>
        <w:ind w:right="709"/>
        <w:contextualSpacing/>
        <w:jc w:val="both"/>
        <w:rPr>
          <w:rFonts w:ascii="Abadi" w:hAnsi="Abadi" w:cs="ArialMT"/>
          <w:b/>
          <w:bCs/>
          <w:sz w:val="21"/>
          <w:szCs w:val="21"/>
        </w:rPr>
      </w:pPr>
      <w:r w:rsidRPr="000F1534">
        <w:rPr>
          <w:rFonts w:ascii="Abadi" w:hAnsi="Abadi" w:cs="ArialMT"/>
          <w:b/>
          <w:bCs/>
          <w:sz w:val="21"/>
          <w:szCs w:val="21"/>
        </w:rPr>
        <w:lastRenderedPageBreak/>
        <w:t>Discusión y, en su caso, aprobación del dictamen emitido por la Comisión de Derechos Humanos y Atención a Grupos Vulnerables relativo a la iniciativa de reformas y adiciones a diversas leyes estatales para el cumplimiento y seguimiento de las recomendaciones en materia de derechos humanos, suscrita por la diputada y el diputado integrantes del Grupo Parlamentario del Partido Verde Ecologista de México ante la Sexagésima Cuarta Legislatura.</w:t>
      </w:r>
    </w:p>
    <w:p w14:paraId="68A7154E" w14:textId="77777777" w:rsidR="00B4676C" w:rsidRDefault="00B4676C" w:rsidP="00B4676C">
      <w:pPr>
        <w:pStyle w:val="Prrafodelista"/>
        <w:spacing w:after="160" w:line="256" w:lineRule="auto"/>
        <w:ind w:left="720" w:right="-284"/>
        <w:contextualSpacing/>
        <w:rPr>
          <w:rFonts w:ascii="Abadi" w:hAnsi="Abadi"/>
          <w:b/>
          <w:bCs/>
          <w:sz w:val="21"/>
          <w:szCs w:val="21"/>
        </w:rPr>
      </w:pPr>
    </w:p>
    <w:p w14:paraId="19D5C92D" w14:textId="68041DC4" w:rsidR="00B4676C" w:rsidRDefault="00B4676C" w:rsidP="00B4676C">
      <w:pPr>
        <w:pStyle w:val="Prrafodelista"/>
        <w:spacing w:after="160" w:line="256" w:lineRule="auto"/>
        <w:ind w:left="720" w:right="-284"/>
        <w:contextualSpacing/>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 xml:space="preserve">Pág. </w:t>
      </w:r>
      <w:r w:rsidR="00EF29A1">
        <w:rPr>
          <w:rFonts w:ascii="Abadi" w:hAnsi="Abadi"/>
          <w:b/>
          <w:bCs/>
          <w:sz w:val="21"/>
          <w:szCs w:val="21"/>
        </w:rPr>
        <w:t>2</w:t>
      </w:r>
      <w:r w:rsidR="0090185F">
        <w:rPr>
          <w:rFonts w:ascii="Abadi" w:hAnsi="Abadi"/>
          <w:b/>
          <w:bCs/>
          <w:sz w:val="21"/>
          <w:szCs w:val="21"/>
        </w:rPr>
        <w:t>47</w:t>
      </w:r>
      <w:r>
        <w:rPr>
          <w:rFonts w:ascii="Abadi" w:hAnsi="Abadi"/>
          <w:b/>
          <w:bCs/>
          <w:sz w:val="21"/>
          <w:szCs w:val="21"/>
        </w:rPr>
        <w:t xml:space="preserve"> </w:t>
      </w:r>
    </w:p>
    <w:p w14:paraId="0F6A5F91" w14:textId="77777777" w:rsidR="0096035C" w:rsidRPr="005570FE" w:rsidRDefault="0096035C" w:rsidP="000270AC">
      <w:pPr>
        <w:autoSpaceDE w:val="0"/>
        <w:autoSpaceDN w:val="0"/>
        <w:adjustRightInd w:val="0"/>
        <w:ind w:right="709"/>
        <w:jc w:val="both"/>
        <w:rPr>
          <w:rFonts w:ascii="Abadi" w:hAnsi="Abadi" w:cs="ArialMT"/>
          <w:b/>
          <w:bCs/>
          <w:sz w:val="21"/>
          <w:szCs w:val="21"/>
        </w:rPr>
      </w:pPr>
    </w:p>
    <w:p w14:paraId="632D7762" w14:textId="77777777" w:rsidR="00F035CD" w:rsidRPr="000F1534" w:rsidRDefault="00F035CD">
      <w:pPr>
        <w:pStyle w:val="Prrafodelista"/>
        <w:numPr>
          <w:ilvl w:val="0"/>
          <w:numId w:val="13"/>
        </w:numPr>
        <w:autoSpaceDE w:val="0"/>
        <w:autoSpaceDN w:val="0"/>
        <w:adjustRightInd w:val="0"/>
        <w:ind w:right="709"/>
        <w:contextualSpacing/>
        <w:jc w:val="both"/>
        <w:rPr>
          <w:rFonts w:ascii="Abadi" w:hAnsi="Abadi" w:cs="ArialMT"/>
          <w:b/>
          <w:bCs/>
          <w:sz w:val="21"/>
          <w:szCs w:val="21"/>
        </w:rPr>
      </w:pPr>
      <w:r w:rsidRPr="000F1534">
        <w:rPr>
          <w:rFonts w:ascii="Abadi" w:hAnsi="Abadi" w:cs="ArialMT"/>
          <w:b/>
          <w:bCs/>
          <w:sz w:val="21"/>
          <w:szCs w:val="21"/>
        </w:rPr>
        <w:t>Discusión y, en su caso, aprobación del dictamen suscrito por la Comisión de Derechos Humanos y Atención a Grupos Vulnerables relativo a la iniciativa de reformas y adiciones a diversas disposiciones de la Ley para Prevenir, Atender y Erradicar la Discriminación en el Estado de Guanajuato, de la Ley de Inclusión para las Personas con Discapacidad en el Estado de Guanajuato y de la Ley de Protección Civil para el Estado de Guanajuato, suscrita por la diputada y el diputado integrantes del Grupo Parlamentario del Partido Verde Ecologista de México ante la Sexagésima Cuarta Legislatura.</w:t>
      </w:r>
    </w:p>
    <w:p w14:paraId="0E6D05EC" w14:textId="77777777" w:rsidR="00B4676C" w:rsidRDefault="00B4676C" w:rsidP="00B4676C">
      <w:pPr>
        <w:pStyle w:val="Prrafodelista"/>
        <w:spacing w:after="160" w:line="256" w:lineRule="auto"/>
        <w:ind w:left="720" w:right="-284"/>
        <w:contextualSpacing/>
        <w:rPr>
          <w:rFonts w:ascii="Abadi" w:hAnsi="Abadi"/>
          <w:b/>
          <w:bCs/>
          <w:sz w:val="21"/>
          <w:szCs w:val="21"/>
        </w:rPr>
      </w:pPr>
    </w:p>
    <w:p w14:paraId="7A7E3045" w14:textId="294751DF" w:rsidR="00B4676C" w:rsidRDefault="00B4676C" w:rsidP="00B4676C">
      <w:pPr>
        <w:pStyle w:val="Prrafodelista"/>
        <w:spacing w:after="160" w:line="256" w:lineRule="auto"/>
        <w:ind w:left="720" w:right="-284"/>
        <w:contextualSpacing/>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 xml:space="preserve">Pág. </w:t>
      </w:r>
      <w:r w:rsidR="00EF29A1">
        <w:rPr>
          <w:rFonts w:ascii="Abadi" w:hAnsi="Abadi"/>
          <w:b/>
          <w:bCs/>
          <w:sz w:val="21"/>
          <w:szCs w:val="21"/>
        </w:rPr>
        <w:t>2</w:t>
      </w:r>
      <w:r w:rsidR="0090185F">
        <w:rPr>
          <w:rFonts w:ascii="Abadi" w:hAnsi="Abadi"/>
          <w:b/>
          <w:bCs/>
          <w:sz w:val="21"/>
          <w:szCs w:val="21"/>
        </w:rPr>
        <w:t>76</w:t>
      </w:r>
      <w:r>
        <w:rPr>
          <w:rFonts w:ascii="Abadi" w:hAnsi="Abadi"/>
          <w:b/>
          <w:bCs/>
          <w:sz w:val="21"/>
          <w:szCs w:val="21"/>
        </w:rPr>
        <w:t xml:space="preserve"> </w:t>
      </w:r>
    </w:p>
    <w:p w14:paraId="188CFFF4" w14:textId="77777777" w:rsidR="0096035C" w:rsidRPr="005570FE" w:rsidRDefault="0096035C" w:rsidP="000270AC">
      <w:pPr>
        <w:autoSpaceDE w:val="0"/>
        <w:autoSpaceDN w:val="0"/>
        <w:adjustRightInd w:val="0"/>
        <w:ind w:right="709"/>
        <w:jc w:val="both"/>
        <w:rPr>
          <w:rFonts w:ascii="Abadi" w:hAnsi="Abadi" w:cs="ArialMT"/>
          <w:b/>
          <w:bCs/>
          <w:sz w:val="21"/>
          <w:szCs w:val="21"/>
        </w:rPr>
      </w:pPr>
    </w:p>
    <w:p w14:paraId="762A8C0C" w14:textId="77777777" w:rsidR="00BE35F9" w:rsidRPr="00D5452D" w:rsidRDefault="00BE35F9">
      <w:pPr>
        <w:pStyle w:val="Prrafodelista"/>
        <w:numPr>
          <w:ilvl w:val="0"/>
          <w:numId w:val="13"/>
        </w:numPr>
        <w:autoSpaceDE w:val="0"/>
        <w:autoSpaceDN w:val="0"/>
        <w:adjustRightInd w:val="0"/>
        <w:ind w:right="709"/>
        <w:contextualSpacing/>
        <w:jc w:val="both"/>
        <w:rPr>
          <w:rFonts w:ascii="Abadi" w:hAnsi="Abadi" w:cs="ArialMT"/>
          <w:b/>
          <w:bCs/>
          <w:sz w:val="21"/>
          <w:szCs w:val="21"/>
        </w:rPr>
      </w:pPr>
      <w:r w:rsidRPr="00D5452D">
        <w:rPr>
          <w:rFonts w:ascii="Abadi" w:hAnsi="Abadi" w:cs="ArialMT"/>
          <w:b/>
          <w:bCs/>
          <w:sz w:val="21"/>
          <w:szCs w:val="21"/>
        </w:rPr>
        <w:t xml:space="preserve">Discusión y, en su caso, aprobación del dictamen emitido por la Comisión de Seguridad Pública y Comunicaciones relativo a la iniciativa que reforma el </w:t>
      </w:r>
      <w:r w:rsidRPr="00D5452D">
        <w:rPr>
          <w:rFonts w:ascii="Abadi" w:hAnsi="Abadi" w:cs="ArialMT"/>
          <w:b/>
          <w:bCs/>
          <w:sz w:val="21"/>
          <w:szCs w:val="21"/>
        </w:rPr>
        <w:t>artículo 36-6 de la Ley del Sistema Estatal de Seguridad Pública del Estado de Guanajuato formulada ante la Sexagésima Cuarta Legislatura, por diputadas y diputados integrantes del Grupo Parlamentario del Partido Acción Nacional.</w:t>
      </w:r>
    </w:p>
    <w:p w14:paraId="5686AC9B" w14:textId="77777777" w:rsidR="00B4676C" w:rsidRDefault="00B4676C" w:rsidP="00B4676C">
      <w:pPr>
        <w:pStyle w:val="Prrafodelista"/>
        <w:spacing w:after="160" w:line="256" w:lineRule="auto"/>
        <w:ind w:left="720" w:right="-284"/>
        <w:contextualSpacing/>
        <w:rPr>
          <w:rFonts w:ascii="Abadi" w:hAnsi="Abadi"/>
          <w:b/>
          <w:bCs/>
          <w:sz w:val="21"/>
          <w:szCs w:val="21"/>
        </w:rPr>
      </w:pPr>
    </w:p>
    <w:p w14:paraId="16A6FFFD" w14:textId="5FA8411F" w:rsidR="00B4676C" w:rsidRDefault="00B4676C" w:rsidP="00B4676C">
      <w:pPr>
        <w:pStyle w:val="Prrafodelista"/>
        <w:spacing w:after="160" w:line="256" w:lineRule="auto"/>
        <w:ind w:left="720" w:right="-284"/>
        <w:contextualSpacing/>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 xml:space="preserve">Pág. </w:t>
      </w:r>
      <w:r w:rsidR="00290AA1">
        <w:rPr>
          <w:rFonts w:ascii="Abadi" w:hAnsi="Abadi"/>
          <w:b/>
          <w:bCs/>
          <w:sz w:val="21"/>
          <w:szCs w:val="21"/>
        </w:rPr>
        <w:t>301</w:t>
      </w:r>
      <w:r>
        <w:rPr>
          <w:rFonts w:ascii="Abadi" w:hAnsi="Abadi"/>
          <w:b/>
          <w:bCs/>
          <w:sz w:val="21"/>
          <w:szCs w:val="21"/>
        </w:rPr>
        <w:t xml:space="preserve"> </w:t>
      </w:r>
    </w:p>
    <w:p w14:paraId="6BE3BD1F" w14:textId="77777777" w:rsidR="0096035C" w:rsidRPr="005570FE" w:rsidRDefault="0096035C" w:rsidP="0096035C">
      <w:pPr>
        <w:autoSpaceDE w:val="0"/>
        <w:autoSpaceDN w:val="0"/>
        <w:adjustRightInd w:val="0"/>
        <w:jc w:val="both"/>
        <w:rPr>
          <w:rFonts w:ascii="Abadi" w:hAnsi="Abadi" w:cs="ArialMT"/>
          <w:b/>
          <w:bCs/>
          <w:sz w:val="21"/>
          <w:szCs w:val="21"/>
        </w:rPr>
      </w:pPr>
    </w:p>
    <w:p w14:paraId="6CB317A1" w14:textId="77777777" w:rsidR="0091706A" w:rsidRPr="000F1534" w:rsidRDefault="0091706A">
      <w:pPr>
        <w:pStyle w:val="Prrafodelista"/>
        <w:numPr>
          <w:ilvl w:val="0"/>
          <w:numId w:val="13"/>
        </w:numPr>
        <w:autoSpaceDE w:val="0"/>
        <w:autoSpaceDN w:val="0"/>
        <w:adjustRightInd w:val="0"/>
        <w:ind w:right="709"/>
        <w:contextualSpacing/>
        <w:jc w:val="both"/>
        <w:rPr>
          <w:rFonts w:ascii="Abadi" w:hAnsi="Abadi" w:cs="ArialMT"/>
          <w:b/>
          <w:bCs/>
          <w:sz w:val="21"/>
          <w:szCs w:val="21"/>
        </w:rPr>
      </w:pPr>
      <w:r w:rsidRPr="000F1534">
        <w:rPr>
          <w:rFonts w:ascii="Abadi" w:hAnsi="Abadi" w:cs="ArialMT"/>
          <w:b/>
          <w:bCs/>
          <w:sz w:val="21"/>
          <w:szCs w:val="21"/>
        </w:rPr>
        <w:t>Discusión y, en su caso, aprobación del dictamen signado por la Comisión de Seguridad Pública y Comunicaciones relativo a la iniciativa que reforma y adiciona diversos artículos de la Ley de Movilidad del Estado de Guanajuato y sus Municipios formulada ante la Sexagésima Cuarta Legislatura, por la diputada y el diputado integrantes del Grupo Parlamentario del Partido Verde Ecologista de México.</w:t>
      </w:r>
    </w:p>
    <w:p w14:paraId="58C95C3F" w14:textId="77777777" w:rsidR="00B4676C" w:rsidRDefault="00B4676C" w:rsidP="00B4676C">
      <w:pPr>
        <w:pStyle w:val="Prrafodelista"/>
        <w:spacing w:after="160" w:line="256" w:lineRule="auto"/>
        <w:ind w:left="720" w:right="-284"/>
        <w:contextualSpacing/>
        <w:rPr>
          <w:rFonts w:ascii="Abadi" w:hAnsi="Abadi"/>
          <w:b/>
          <w:bCs/>
          <w:sz w:val="21"/>
          <w:szCs w:val="21"/>
        </w:rPr>
      </w:pPr>
    </w:p>
    <w:p w14:paraId="55232F74" w14:textId="6CCC6EDF" w:rsidR="00B4676C" w:rsidRDefault="00B4676C" w:rsidP="00B4676C">
      <w:pPr>
        <w:pStyle w:val="Prrafodelista"/>
        <w:spacing w:after="160" w:line="256" w:lineRule="auto"/>
        <w:ind w:left="720" w:right="-284"/>
        <w:contextualSpacing/>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 xml:space="preserve">Pág. </w:t>
      </w:r>
      <w:r w:rsidR="00290AA1">
        <w:rPr>
          <w:rFonts w:ascii="Abadi" w:hAnsi="Abadi"/>
          <w:b/>
          <w:bCs/>
          <w:sz w:val="21"/>
          <w:szCs w:val="21"/>
        </w:rPr>
        <w:t>304</w:t>
      </w:r>
    </w:p>
    <w:p w14:paraId="663C2C91" w14:textId="77777777" w:rsidR="0096035C" w:rsidRPr="005570FE" w:rsidRDefault="0096035C" w:rsidP="000270AC">
      <w:pPr>
        <w:autoSpaceDE w:val="0"/>
        <w:autoSpaceDN w:val="0"/>
        <w:adjustRightInd w:val="0"/>
        <w:ind w:right="709"/>
        <w:jc w:val="both"/>
        <w:rPr>
          <w:rFonts w:ascii="Abadi" w:hAnsi="Abadi" w:cs="ArialMT"/>
          <w:b/>
          <w:bCs/>
          <w:sz w:val="21"/>
          <w:szCs w:val="21"/>
        </w:rPr>
      </w:pPr>
    </w:p>
    <w:p w14:paraId="7C38CAFE" w14:textId="77777777" w:rsidR="003044E5" w:rsidRPr="00D5452D" w:rsidRDefault="003044E5">
      <w:pPr>
        <w:pStyle w:val="Prrafodelista"/>
        <w:numPr>
          <w:ilvl w:val="0"/>
          <w:numId w:val="13"/>
        </w:numPr>
        <w:autoSpaceDE w:val="0"/>
        <w:autoSpaceDN w:val="0"/>
        <w:adjustRightInd w:val="0"/>
        <w:ind w:right="709"/>
        <w:contextualSpacing/>
        <w:jc w:val="both"/>
        <w:rPr>
          <w:rFonts w:ascii="Abadi" w:hAnsi="Abadi" w:cs="ArialMT"/>
          <w:b/>
          <w:bCs/>
          <w:sz w:val="21"/>
          <w:szCs w:val="21"/>
        </w:rPr>
      </w:pPr>
      <w:r w:rsidRPr="00D5452D">
        <w:rPr>
          <w:rFonts w:ascii="Abadi" w:hAnsi="Abadi" w:cs="ArialMT"/>
          <w:b/>
          <w:bCs/>
          <w:sz w:val="21"/>
          <w:szCs w:val="21"/>
        </w:rPr>
        <w:t xml:space="preserve">Discusión y, en su caso, aprobación del dictamen emitido por la Comisión de Seguridad Pública y Comunicaciones relativo a la propuesta de punto de acuerdo formulada, ante la Sexagésima Cuarta Legislatura, por la diputada y el diputado integrantes del Grupo Parlamentario del Partido Verde Ecologista de México para exhortar al titular del Poder Ejecutivo del Estado de Guanajuato, por conducto de las dependencias correspondientes para que de forma urgente remita a esta Asamblea el diagnóstico integral del contrato relacionado con el llamado </w:t>
      </w:r>
      <w:r w:rsidRPr="00D5452D">
        <w:rPr>
          <w:rFonts w:ascii="Abadi" w:hAnsi="Abadi" w:cs="Arial-ItalicMT"/>
          <w:b/>
          <w:bCs/>
          <w:i/>
          <w:iCs/>
          <w:sz w:val="21"/>
          <w:szCs w:val="21"/>
        </w:rPr>
        <w:t>programa ESCUDO</w:t>
      </w:r>
      <w:r w:rsidRPr="00D5452D">
        <w:rPr>
          <w:rFonts w:ascii="Abadi" w:hAnsi="Abadi" w:cs="ArialMT"/>
          <w:b/>
          <w:bCs/>
          <w:sz w:val="21"/>
          <w:szCs w:val="21"/>
        </w:rPr>
        <w:t xml:space="preserve">, e informe el estado que guarda el </w:t>
      </w:r>
      <w:r w:rsidRPr="00D5452D">
        <w:rPr>
          <w:rFonts w:ascii="Abadi" w:hAnsi="Abadi" w:cs="ArialMT"/>
          <w:b/>
          <w:bCs/>
          <w:sz w:val="21"/>
          <w:szCs w:val="21"/>
        </w:rPr>
        <w:lastRenderedPageBreak/>
        <w:t>equipamiento relacionado con el mismo, así también informe sobre la estrategia en materia de Seguridad para inhibir la delincuencia y la pertinencia de la continuidad de dicha estrategia.</w:t>
      </w:r>
    </w:p>
    <w:p w14:paraId="072BBA84" w14:textId="77777777" w:rsidR="00B4676C" w:rsidRDefault="00B4676C" w:rsidP="00B4676C">
      <w:pPr>
        <w:pStyle w:val="Prrafodelista"/>
        <w:spacing w:after="160" w:line="256" w:lineRule="auto"/>
        <w:ind w:left="720" w:right="-284"/>
        <w:contextualSpacing/>
        <w:rPr>
          <w:rFonts w:ascii="Abadi" w:hAnsi="Abadi"/>
          <w:b/>
          <w:bCs/>
          <w:sz w:val="21"/>
          <w:szCs w:val="21"/>
        </w:rPr>
      </w:pPr>
    </w:p>
    <w:p w14:paraId="3B7036DA" w14:textId="3CA31F93" w:rsidR="00B4676C" w:rsidRDefault="00B4676C" w:rsidP="00B4676C">
      <w:pPr>
        <w:pStyle w:val="Prrafodelista"/>
        <w:spacing w:after="160" w:line="256" w:lineRule="auto"/>
        <w:ind w:left="720" w:right="-284"/>
        <w:contextualSpacing/>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Pág.</w:t>
      </w:r>
      <w:r w:rsidR="00290AA1">
        <w:rPr>
          <w:rFonts w:ascii="Abadi" w:hAnsi="Abadi"/>
          <w:b/>
          <w:bCs/>
          <w:sz w:val="21"/>
          <w:szCs w:val="21"/>
        </w:rPr>
        <w:t xml:space="preserve"> 309</w:t>
      </w:r>
      <w:r>
        <w:rPr>
          <w:rFonts w:ascii="Abadi" w:hAnsi="Abadi"/>
          <w:b/>
          <w:bCs/>
          <w:sz w:val="21"/>
          <w:szCs w:val="21"/>
        </w:rPr>
        <w:t xml:space="preserve">  </w:t>
      </w:r>
    </w:p>
    <w:p w14:paraId="226ADB33" w14:textId="77777777" w:rsidR="0096035C" w:rsidRPr="005570FE" w:rsidRDefault="0096035C" w:rsidP="0096035C">
      <w:pPr>
        <w:autoSpaceDE w:val="0"/>
        <w:autoSpaceDN w:val="0"/>
        <w:adjustRightInd w:val="0"/>
        <w:jc w:val="both"/>
        <w:rPr>
          <w:rFonts w:ascii="Abadi" w:hAnsi="Abadi" w:cs="ArialMT"/>
          <w:b/>
          <w:bCs/>
          <w:sz w:val="21"/>
          <w:szCs w:val="21"/>
        </w:rPr>
      </w:pPr>
    </w:p>
    <w:p w14:paraId="2A60B841" w14:textId="77777777" w:rsidR="000901AF" w:rsidRPr="00D5452D" w:rsidRDefault="000901AF">
      <w:pPr>
        <w:pStyle w:val="Prrafodelista"/>
        <w:numPr>
          <w:ilvl w:val="0"/>
          <w:numId w:val="13"/>
        </w:numPr>
        <w:autoSpaceDE w:val="0"/>
        <w:autoSpaceDN w:val="0"/>
        <w:adjustRightInd w:val="0"/>
        <w:ind w:right="709"/>
        <w:contextualSpacing/>
        <w:jc w:val="both"/>
        <w:rPr>
          <w:rFonts w:ascii="Abadi" w:hAnsi="Abadi" w:cs="ArialMT"/>
          <w:b/>
          <w:bCs/>
          <w:sz w:val="21"/>
          <w:szCs w:val="21"/>
        </w:rPr>
      </w:pPr>
      <w:r w:rsidRPr="00D5452D">
        <w:rPr>
          <w:rFonts w:ascii="Abadi" w:hAnsi="Abadi" w:cs="ArialMT"/>
          <w:b/>
          <w:bCs/>
          <w:sz w:val="21"/>
          <w:szCs w:val="21"/>
        </w:rPr>
        <w:t>Discusión y, en su caso, aprobación del dictamen suscrito por la Comisión de Seguridad Pública y Comunicaciones relativo a la propuesta de punto de acuerdo formulada ante la Sexagésima Cuarta Legislatura, por la diputada María Magdalena Rosales Cruz, integrante del Grupo Parlamentario del Partido MORENA para exhortar al Gobernador del Estado de Guanajuato, al Ciudadano Diego Sinhue Rodríguez Vallejo, y a la Presidenta Municipal de Celaya, Guanajuato, la C. Elvira Paniagua Rodríguez, para que informen a este Congreso el diagnóstico y el programa que están realizando para el fortalecimiento del estado de fuerza y las capacidades institucionales de sus respectivos cuerpos policiales estatales y municipales.</w:t>
      </w:r>
    </w:p>
    <w:p w14:paraId="573FDD1C" w14:textId="77777777" w:rsidR="00B4676C" w:rsidRDefault="00B4676C" w:rsidP="00B4676C">
      <w:pPr>
        <w:pStyle w:val="Prrafodelista"/>
        <w:spacing w:after="160" w:line="256" w:lineRule="auto"/>
        <w:ind w:left="720" w:right="-284"/>
        <w:contextualSpacing/>
        <w:rPr>
          <w:rFonts w:ascii="Abadi" w:hAnsi="Abadi"/>
          <w:b/>
          <w:bCs/>
          <w:sz w:val="21"/>
          <w:szCs w:val="21"/>
        </w:rPr>
      </w:pPr>
    </w:p>
    <w:p w14:paraId="23FFE6A6" w14:textId="22EA4005" w:rsidR="00B4676C" w:rsidRDefault="00B4676C" w:rsidP="00B4676C">
      <w:pPr>
        <w:pStyle w:val="Prrafodelista"/>
        <w:spacing w:after="160" w:line="256" w:lineRule="auto"/>
        <w:ind w:left="720" w:right="-284"/>
        <w:contextualSpacing/>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Pág.</w:t>
      </w:r>
      <w:r w:rsidR="00290AA1">
        <w:rPr>
          <w:rFonts w:ascii="Abadi" w:hAnsi="Abadi"/>
          <w:b/>
          <w:bCs/>
          <w:sz w:val="21"/>
          <w:szCs w:val="21"/>
        </w:rPr>
        <w:t xml:space="preserve"> 313</w:t>
      </w:r>
      <w:r>
        <w:rPr>
          <w:rFonts w:ascii="Abadi" w:hAnsi="Abadi"/>
          <w:b/>
          <w:bCs/>
          <w:sz w:val="21"/>
          <w:szCs w:val="21"/>
        </w:rPr>
        <w:t xml:space="preserve"> </w:t>
      </w:r>
    </w:p>
    <w:p w14:paraId="4785A6F9" w14:textId="77777777" w:rsidR="0096035C" w:rsidRPr="005570FE" w:rsidRDefault="0096035C" w:rsidP="000270AC">
      <w:pPr>
        <w:autoSpaceDE w:val="0"/>
        <w:autoSpaceDN w:val="0"/>
        <w:adjustRightInd w:val="0"/>
        <w:ind w:right="709"/>
        <w:jc w:val="both"/>
        <w:rPr>
          <w:rFonts w:ascii="Abadi" w:hAnsi="Abadi" w:cs="ArialMT"/>
          <w:b/>
          <w:bCs/>
          <w:sz w:val="21"/>
          <w:szCs w:val="21"/>
        </w:rPr>
      </w:pPr>
    </w:p>
    <w:p w14:paraId="220F5801" w14:textId="77777777" w:rsidR="00BD5845" w:rsidRPr="000F1534" w:rsidRDefault="00BD5845">
      <w:pPr>
        <w:pStyle w:val="Prrafodelista"/>
        <w:numPr>
          <w:ilvl w:val="0"/>
          <w:numId w:val="13"/>
        </w:numPr>
        <w:autoSpaceDE w:val="0"/>
        <w:autoSpaceDN w:val="0"/>
        <w:adjustRightInd w:val="0"/>
        <w:ind w:right="709"/>
        <w:contextualSpacing/>
        <w:jc w:val="both"/>
        <w:rPr>
          <w:rFonts w:ascii="Abadi" w:hAnsi="Abadi" w:cs="ArialMT"/>
          <w:b/>
          <w:bCs/>
          <w:sz w:val="21"/>
          <w:szCs w:val="21"/>
        </w:rPr>
      </w:pPr>
      <w:r w:rsidRPr="000F1534">
        <w:rPr>
          <w:rFonts w:ascii="Abadi" w:hAnsi="Abadi" w:cs="ArialMT"/>
          <w:b/>
          <w:bCs/>
          <w:sz w:val="21"/>
          <w:szCs w:val="21"/>
        </w:rPr>
        <w:t xml:space="preserve">Discusión y, en su caso, aprobación del dictamen signado por la Comisión de Seguridad Pública y Comunicaciones relativo a la propuesta de punto de acuerdo formulada ante la Sexagésima Cuarta Legislatura, por el diputado Ernesto Alejandro Prieto Gallardo, integrante del Grupo Parlamentario del Partido MORENA, para exhortar al </w:t>
      </w:r>
      <w:r w:rsidRPr="000F1534">
        <w:rPr>
          <w:rFonts w:ascii="Abadi" w:hAnsi="Abadi" w:cs="ArialMT"/>
          <w:b/>
          <w:bCs/>
          <w:sz w:val="21"/>
          <w:szCs w:val="21"/>
        </w:rPr>
        <w:t>Gobernador del Estado de Guanajuato el C. Diego Sinhue Rodríguez Vallejo a fin de que, en el ámbito de sus facultades, remueva al actual titular de la Secretaría de Seguridad Pública del Estado de Guanajuato el C. Alvar Cabeza De Vaca Appendini, debido a sus nulos resultados en la prevención social de la violencia y la delincuencia, seguridad, reinserción social y protección ciudadana, y como consecuencia de lo anterior, en ejercicio de sus facultades, designe a un nuevo Secretario de Seguridad Pública del Estado de Guanajuato.</w:t>
      </w:r>
    </w:p>
    <w:p w14:paraId="42E9ACE4" w14:textId="77777777" w:rsidR="00B4676C" w:rsidRDefault="00B4676C" w:rsidP="00B4676C">
      <w:pPr>
        <w:pStyle w:val="Prrafodelista"/>
        <w:spacing w:after="160" w:line="256" w:lineRule="auto"/>
        <w:ind w:left="720" w:right="-284"/>
        <w:contextualSpacing/>
        <w:rPr>
          <w:rFonts w:ascii="Abadi" w:hAnsi="Abadi"/>
          <w:b/>
          <w:bCs/>
          <w:sz w:val="21"/>
          <w:szCs w:val="21"/>
        </w:rPr>
      </w:pPr>
    </w:p>
    <w:p w14:paraId="467607BD" w14:textId="7B3BD119" w:rsidR="00B4676C" w:rsidRDefault="00B4676C" w:rsidP="00B4676C">
      <w:pPr>
        <w:pStyle w:val="Prrafodelista"/>
        <w:spacing w:after="160" w:line="256" w:lineRule="auto"/>
        <w:ind w:left="720" w:right="-284"/>
        <w:contextualSpacing/>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 xml:space="preserve">Pág. </w:t>
      </w:r>
      <w:r w:rsidR="00290AA1">
        <w:rPr>
          <w:rFonts w:ascii="Abadi" w:hAnsi="Abadi"/>
          <w:b/>
          <w:bCs/>
          <w:sz w:val="21"/>
          <w:szCs w:val="21"/>
        </w:rPr>
        <w:t>316</w:t>
      </w:r>
      <w:r>
        <w:rPr>
          <w:rFonts w:ascii="Abadi" w:hAnsi="Abadi"/>
          <w:b/>
          <w:bCs/>
          <w:sz w:val="21"/>
          <w:szCs w:val="21"/>
        </w:rPr>
        <w:t xml:space="preserve"> </w:t>
      </w:r>
    </w:p>
    <w:p w14:paraId="1A33627E" w14:textId="77777777" w:rsidR="0096035C" w:rsidRPr="005570FE" w:rsidRDefault="0096035C" w:rsidP="000270AC">
      <w:pPr>
        <w:autoSpaceDE w:val="0"/>
        <w:autoSpaceDN w:val="0"/>
        <w:adjustRightInd w:val="0"/>
        <w:ind w:right="709"/>
        <w:jc w:val="both"/>
        <w:rPr>
          <w:rFonts w:ascii="Abadi" w:hAnsi="Abadi" w:cs="ArialMT"/>
          <w:b/>
          <w:bCs/>
          <w:sz w:val="21"/>
          <w:szCs w:val="21"/>
        </w:rPr>
      </w:pPr>
    </w:p>
    <w:p w14:paraId="739E43C9" w14:textId="77777777" w:rsidR="00B25C90" w:rsidRPr="000F1534" w:rsidRDefault="00B25C90">
      <w:pPr>
        <w:pStyle w:val="Prrafodelista"/>
        <w:numPr>
          <w:ilvl w:val="0"/>
          <w:numId w:val="12"/>
        </w:numPr>
        <w:autoSpaceDE w:val="0"/>
        <w:autoSpaceDN w:val="0"/>
        <w:adjustRightInd w:val="0"/>
        <w:ind w:right="709"/>
        <w:contextualSpacing/>
        <w:jc w:val="both"/>
        <w:rPr>
          <w:rFonts w:ascii="Abadi" w:hAnsi="Abadi" w:cs="ArialMT"/>
          <w:b/>
          <w:bCs/>
          <w:sz w:val="21"/>
          <w:szCs w:val="21"/>
        </w:rPr>
      </w:pPr>
      <w:r w:rsidRPr="000F1534">
        <w:rPr>
          <w:rFonts w:ascii="Abadi" w:hAnsi="Abadi" w:cs="ArialMT"/>
          <w:b/>
          <w:bCs/>
          <w:sz w:val="21"/>
          <w:szCs w:val="21"/>
        </w:rPr>
        <w:t>Discusión y, en su caso, aprobación del dictamen presentado por la Comisión de Seguridad Pública y Comunicaciones relativo a la propuesta de punto de acuerdo formulada ante la Sexagésima Cuarta Legislatura, por el Diputado Ernesto Alejandro Prieto Gallardo, integrante del Grupo Parlamentario del Partido MORENA, para exhortar al C. Presidente Municipal Héctor López Santillana del municipio de León a fin de que se les exija a los concesionarios del Sistema Integrado de Transporte (SIT) a no reducir la movilidad de las unidades, esto con la finalidad de que los usuarios a pesar de esta contingencia puedan seguir teniendo un transporte de calidad manteniendo la sana distancia de un metro y medio necesaria para evitar contagios de Covid-19.</w:t>
      </w:r>
    </w:p>
    <w:p w14:paraId="405646A1" w14:textId="45BCB5FB" w:rsidR="0096035C" w:rsidRPr="005570FE" w:rsidRDefault="0096035C" w:rsidP="00B25C90">
      <w:pPr>
        <w:pStyle w:val="Prrafodelista"/>
        <w:autoSpaceDE w:val="0"/>
        <w:autoSpaceDN w:val="0"/>
        <w:adjustRightInd w:val="0"/>
        <w:ind w:left="720" w:right="709"/>
        <w:contextualSpacing/>
        <w:jc w:val="both"/>
        <w:rPr>
          <w:rFonts w:ascii="Abadi" w:hAnsi="Abadi" w:cs="ArialMT"/>
          <w:b/>
          <w:bCs/>
          <w:sz w:val="21"/>
          <w:szCs w:val="21"/>
        </w:rPr>
      </w:pPr>
    </w:p>
    <w:p w14:paraId="1392810C" w14:textId="77777777" w:rsidR="00B4676C" w:rsidRDefault="00B4676C" w:rsidP="00B4676C">
      <w:pPr>
        <w:pStyle w:val="Prrafodelista"/>
        <w:spacing w:after="160" w:line="256" w:lineRule="auto"/>
        <w:ind w:left="720" w:right="-284"/>
        <w:contextualSpacing/>
        <w:rPr>
          <w:rFonts w:ascii="Abadi" w:hAnsi="Abadi"/>
          <w:b/>
          <w:bCs/>
          <w:sz w:val="21"/>
          <w:szCs w:val="21"/>
        </w:rPr>
      </w:pPr>
    </w:p>
    <w:p w14:paraId="32CB3071" w14:textId="54F8BEA6" w:rsidR="00B4676C" w:rsidRDefault="00B4676C" w:rsidP="00B4676C">
      <w:pPr>
        <w:pStyle w:val="Prrafodelista"/>
        <w:spacing w:after="160" w:line="256" w:lineRule="auto"/>
        <w:ind w:left="720" w:right="-284"/>
        <w:contextualSpacing/>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 xml:space="preserve">Pág. </w:t>
      </w:r>
      <w:r w:rsidR="00290AA1">
        <w:rPr>
          <w:rFonts w:ascii="Abadi" w:hAnsi="Abadi"/>
          <w:b/>
          <w:bCs/>
          <w:sz w:val="21"/>
          <w:szCs w:val="21"/>
        </w:rPr>
        <w:t>320</w:t>
      </w:r>
      <w:r>
        <w:rPr>
          <w:rFonts w:ascii="Abadi" w:hAnsi="Abadi"/>
          <w:b/>
          <w:bCs/>
          <w:sz w:val="21"/>
          <w:szCs w:val="21"/>
        </w:rPr>
        <w:t xml:space="preserve"> </w:t>
      </w:r>
    </w:p>
    <w:p w14:paraId="48E05392" w14:textId="77777777" w:rsidR="0096035C" w:rsidRPr="005570FE" w:rsidRDefault="0096035C" w:rsidP="0096035C">
      <w:pPr>
        <w:autoSpaceDE w:val="0"/>
        <w:autoSpaceDN w:val="0"/>
        <w:adjustRightInd w:val="0"/>
        <w:jc w:val="both"/>
        <w:rPr>
          <w:rFonts w:ascii="Abadi" w:hAnsi="Abadi" w:cs="ArialMT"/>
          <w:b/>
          <w:bCs/>
          <w:sz w:val="21"/>
          <w:szCs w:val="21"/>
        </w:rPr>
      </w:pPr>
    </w:p>
    <w:p w14:paraId="2C74014D" w14:textId="77777777" w:rsidR="00C64759" w:rsidRPr="004C6C2E" w:rsidRDefault="00C64759">
      <w:pPr>
        <w:pStyle w:val="Prrafodelista"/>
        <w:numPr>
          <w:ilvl w:val="0"/>
          <w:numId w:val="13"/>
        </w:numPr>
        <w:autoSpaceDE w:val="0"/>
        <w:autoSpaceDN w:val="0"/>
        <w:adjustRightInd w:val="0"/>
        <w:ind w:right="709"/>
        <w:contextualSpacing/>
        <w:jc w:val="both"/>
        <w:rPr>
          <w:rFonts w:ascii="Abadi" w:hAnsi="Abadi" w:cs="ArialMT"/>
          <w:b/>
          <w:bCs/>
          <w:sz w:val="21"/>
          <w:szCs w:val="21"/>
        </w:rPr>
      </w:pPr>
      <w:r w:rsidRPr="000F1534">
        <w:rPr>
          <w:rFonts w:ascii="Abadi" w:hAnsi="Abadi" w:cs="ArialMT"/>
          <w:b/>
          <w:bCs/>
          <w:sz w:val="21"/>
          <w:szCs w:val="21"/>
        </w:rPr>
        <w:t>Discusión y, en su caso, aprobación del dictamen suscrito por la Comisión de Seguridad Pública y Comunicaciones relativo a la propuesta de punto de acuerdo formulada ante la Sexagésima Cuarta Legislatura, por el diputado Ernesto Alejandro Prieto Gallardo, integrante del Grupo Parlamentario del Partido MORENA, para exhortar al Gobernador del Estado de Guanajuato el C. Diego Sinhue Rodríguez Vallejo a fin de que acuda a todas y cada una de mesas de seguridad que se realizan en conjunto con la Secretaría de Seguridad y Protección Ciudadana del Gobierno de México, asimismo, para que implemente una estrategia efectiva para combatir la incidencia delictiva cumpliendo con su obligación constitucional de brindar seguridad a los guanajuatenses y dentro de dicha estrategia se contemple, con base en las estadísticas reales sobre los resultados en materia de seguridad, la</w:t>
      </w:r>
      <w:r>
        <w:rPr>
          <w:rFonts w:ascii="Abadi" w:hAnsi="Abadi" w:cs="ArialMT"/>
          <w:b/>
          <w:bCs/>
          <w:sz w:val="21"/>
          <w:szCs w:val="21"/>
        </w:rPr>
        <w:t xml:space="preserve"> </w:t>
      </w:r>
      <w:r w:rsidRPr="004C6C2E">
        <w:rPr>
          <w:rFonts w:ascii="Abadi" w:hAnsi="Abadi" w:cs="ArialMT"/>
          <w:b/>
          <w:bCs/>
          <w:sz w:val="21"/>
          <w:szCs w:val="21"/>
        </w:rPr>
        <w:t>permanencia o remoción del Titular de la Secretaría de Seguridad Pública del Estado, el C. Alvar Cabeza De Vaca Appendini y, a su vez, ejecute los trámites pertinentes para remover al Fiscal General del Estado de Guanajuato, el C. Carlos Zamarripa Aguirre, de acuerdo con la facultad conferida en el artículo 77 fracción XI de la Constitución Local que posee el Poder Ejecutivo del Estado.</w:t>
      </w:r>
    </w:p>
    <w:p w14:paraId="45D75574" w14:textId="77777777" w:rsidR="00B4676C" w:rsidRDefault="00B4676C" w:rsidP="00CC6461">
      <w:pPr>
        <w:pStyle w:val="Prrafodelista"/>
        <w:spacing w:after="160" w:line="256" w:lineRule="auto"/>
        <w:ind w:left="720" w:right="709"/>
        <w:contextualSpacing/>
        <w:rPr>
          <w:rFonts w:ascii="Abadi" w:hAnsi="Abadi"/>
          <w:b/>
          <w:bCs/>
          <w:sz w:val="21"/>
          <w:szCs w:val="21"/>
        </w:rPr>
      </w:pPr>
    </w:p>
    <w:p w14:paraId="11C144CC" w14:textId="08E533E0" w:rsidR="00B4676C" w:rsidRDefault="00B4676C" w:rsidP="00B4676C">
      <w:pPr>
        <w:pStyle w:val="Prrafodelista"/>
        <w:spacing w:after="160" w:line="256" w:lineRule="auto"/>
        <w:ind w:left="720" w:right="-284"/>
        <w:contextualSpacing/>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 xml:space="preserve">Pág. </w:t>
      </w:r>
      <w:r w:rsidR="00290AA1">
        <w:rPr>
          <w:rFonts w:ascii="Abadi" w:hAnsi="Abadi"/>
          <w:b/>
          <w:bCs/>
          <w:sz w:val="21"/>
          <w:szCs w:val="21"/>
        </w:rPr>
        <w:t>324</w:t>
      </w:r>
      <w:r>
        <w:rPr>
          <w:rFonts w:ascii="Abadi" w:hAnsi="Abadi"/>
          <w:b/>
          <w:bCs/>
          <w:sz w:val="21"/>
          <w:szCs w:val="21"/>
        </w:rPr>
        <w:t xml:space="preserve"> </w:t>
      </w:r>
    </w:p>
    <w:p w14:paraId="6387E71D" w14:textId="5DAEB0CB" w:rsidR="0096035C" w:rsidRPr="005570FE" w:rsidRDefault="0096035C" w:rsidP="000270AC">
      <w:pPr>
        <w:autoSpaceDE w:val="0"/>
        <w:autoSpaceDN w:val="0"/>
        <w:adjustRightInd w:val="0"/>
        <w:ind w:right="709"/>
        <w:jc w:val="both"/>
        <w:rPr>
          <w:rFonts w:ascii="Abadi" w:hAnsi="Abadi" w:cs="ArialMT"/>
          <w:b/>
          <w:bCs/>
          <w:sz w:val="21"/>
          <w:szCs w:val="21"/>
        </w:rPr>
      </w:pPr>
    </w:p>
    <w:p w14:paraId="6FBA1D12" w14:textId="49196127" w:rsidR="0096035C" w:rsidRPr="00A4454E" w:rsidRDefault="007F43C3">
      <w:pPr>
        <w:pStyle w:val="Prrafodelista"/>
        <w:numPr>
          <w:ilvl w:val="0"/>
          <w:numId w:val="12"/>
        </w:numPr>
        <w:autoSpaceDE w:val="0"/>
        <w:autoSpaceDN w:val="0"/>
        <w:adjustRightInd w:val="0"/>
        <w:ind w:right="709"/>
        <w:contextualSpacing/>
        <w:jc w:val="both"/>
        <w:rPr>
          <w:rFonts w:ascii="Abadi" w:hAnsi="Abadi" w:cs="ArialMT"/>
          <w:b/>
          <w:bCs/>
          <w:sz w:val="21"/>
          <w:szCs w:val="21"/>
        </w:rPr>
      </w:pPr>
      <w:r w:rsidRPr="000F1534">
        <w:rPr>
          <w:rFonts w:ascii="Abadi" w:hAnsi="Abadi" w:cs="ArialMT"/>
          <w:b/>
          <w:bCs/>
          <w:sz w:val="21"/>
          <w:szCs w:val="21"/>
        </w:rPr>
        <w:t xml:space="preserve">Discusión y, en su caso, aprobación del dictamen emitido por la Comisión de </w:t>
      </w:r>
      <w:r w:rsidRPr="000F1534">
        <w:rPr>
          <w:rFonts w:ascii="Abadi" w:hAnsi="Abadi" w:cs="ArialMT"/>
          <w:b/>
          <w:bCs/>
          <w:sz w:val="21"/>
          <w:szCs w:val="21"/>
        </w:rPr>
        <w:t>Seguridad Pública y Comunicaciones relativo a la propuesta de punto de acuerdo formulada en la Sexagésima Cuarta Legislatura, por el diputado Ernesto Alejandro Prieto Gallardo, integrante del Grupo Parlamentario del Partido MORENA, para exhortar al Gobernador del Estado de Guanajuato el C. Diego Sinhue Rodríguez Vallejo a fin de que, en el ámbito de sus facultades, remueva al actual titular de la Secretaría de Seguridad Pública del Estado de Guanajuato el C. Alvar Cabeza De Vaca Appendini, así como dar inicio al proceso de remoción al titular de la Fiscalía General del Estado de Guanajuato Carlos Zamarripa Aguirre debido a sus nulos resultados en la prevención social de la violencia y la delincuencia, seguridad, reinserción social y protección ciudadana, así como de la procuración de justicia en el Estado.</w:t>
      </w:r>
    </w:p>
    <w:p w14:paraId="3C53C16C" w14:textId="77777777" w:rsidR="00B4676C" w:rsidRDefault="00B4676C" w:rsidP="00B4676C">
      <w:pPr>
        <w:pStyle w:val="Prrafodelista"/>
        <w:spacing w:after="160" w:line="256" w:lineRule="auto"/>
        <w:ind w:left="720" w:right="-284"/>
        <w:contextualSpacing/>
        <w:rPr>
          <w:rFonts w:ascii="Abadi" w:hAnsi="Abadi"/>
          <w:b/>
          <w:bCs/>
          <w:sz w:val="21"/>
          <w:szCs w:val="21"/>
        </w:rPr>
      </w:pPr>
    </w:p>
    <w:p w14:paraId="412CE120" w14:textId="710807B9" w:rsidR="00B4676C" w:rsidRDefault="00B4676C" w:rsidP="00B4676C">
      <w:pPr>
        <w:pStyle w:val="Prrafodelista"/>
        <w:spacing w:after="160" w:line="256" w:lineRule="auto"/>
        <w:ind w:left="720" w:right="-284"/>
        <w:contextualSpacing/>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Pág.</w:t>
      </w:r>
      <w:r w:rsidR="00290AA1">
        <w:rPr>
          <w:rFonts w:ascii="Abadi" w:hAnsi="Abadi"/>
          <w:b/>
          <w:bCs/>
          <w:sz w:val="21"/>
          <w:szCs w:val="21"/>
        </w:rPr>
        <w:t xml:space="preserve"> 328</w:t>
      </w:r>
      <w:r>
        <w:rPr>
          <w:rFonts w:ascii="Abadi" w:hAnsi="Abadi"/>
          <w:b/>
          <w:bCs/>
          <w:sz w:val="21"/>
          <w:szCs w:val="21"/>
        </w:rPr>
        <w:t xml:space="preserve">  </w:t>
      </w:r>
    </w:p>
    <w:p w14:paraId="51FA3E10" w14:textId="77777777" w:rsidR="0096035C" w:rsidRPr="005570FE" w:rsidRDefault="0096035C" w:rsidP="000270AC">
      <w:pPr>
        <w:autoSpaceDE w:val="0"/>
        <w:autoSpaceDN w:val="0"/>
        <w:adjustRightInd w:val="0"/>
        <w:ind w:right="709"/>
        <w:jc w:val="both"/>
        <w:rPr>
          <w:rFonts w:ascii="Abadi" w:hAnsi="Abadi" w:cs="ArialMT"/>
          <w:b/>
          <w:bCs/>
          <w:sz w:val="21"/>
          <w:szCs w:val="21"/>
        </w:rPr>
      </w:pPr>
    </w:p>
    <w:p w14:paraId="60B42D5E" w14:textId="77777777" w:rsidR="00DB6D90" w:rsidRPr="000F1534" w:rsidRDefault="00DB6D90">
      <w:pPr>
        <w:pStyle w:val="Prrafodelista"/>
        <w:numPr>
          <w:ilvl w:val="0"/>
          <w:numId w:val="13"/>
        </w:numPr>
        <w:autoSpaceDE w:val="0"/>
        <w:autoSpaceDN w:val="0"/>
        <w:adjustRightInd w:val="0"/>
        <w:ind w:right="709"/>
        <w:contextualSpacing/>
        <w:jc w:val="both"/>
        <w:rPr>
          <w:rFonts w:ascii="Abadi" w:hAnsi="Abadi" w:cs="ArialMT"/>
          <w:b/>
          <w:bCs/>
          <w:sz w:val="21"/>
          <w:szCs w:val="21"/>
        </w:rPr>
      </w:pPr>
      <w:r w:rsidRPr="000F1534">
        <w:rPr>
          <w:rFonts w:ascii="Abadi" w:hAnsi="Abadi" w:cs="ArialMT"/>
          <w:b/>
          <w:bCs/>
          <w:sz w:val="21"/>
          <w:szCs w:val="21"/>
        </w:rPr>
        <w:t xml:space="preserve">Discusión y, en su caso, aprobación del dictamen presentado por la Comisión de Seguridad Pública y Comunicaciones relativo a la propuesta de punto de acuerdo formulada ante la Sexagésima Cuarta Legislatura, por la diputada María Magdalena Rosales Cruz, integrante del Grupo Parlamentario del Partido MORENA, para exhortar al Presidente Municipal de la Ciudad de Guanajuato, C. Mario Alejandro Navarro Saldaña, para que se investiguen las denuncias ciudadanas y resuelvan las faltas graves en que incurran los elementos de la Policía </w:t>
      </w:r>
      <w:r w:rsidRPr="000F1534">
        <w:rPr>
          <w:rFonts w:ascii="Abadi" w:hAnsi="Abadi" w:cs="ArialMT"/>
          <w:b/>
          <w:bCs/>
          <w:sz w:val="21"/>
          <w:szCs w:val="21"/>
        </w:rPr>
        <w:lastRenderedPageBreak/>
        <w:t>Municipal en contra los principios de actuación previstos en el Reglamento de Policía Preventiva del Municipio de Guanajuato y normas disciplinas del cuerpo policial; así mismo para que establezca mecanismos de vigilancia que garanticen que el correcto actuar de los elementos de la Policía Municipal.</w:t>
      </w:r>
    </w:p>
    <w:p w14:paraId="51CFD50D" w14:textId="77777777" w:rsidR="00846FFC" w:rsidRDefault="00846FFC" w:rsidP="00846FFC">
      <w:pPr>
        <w:pStyle w:val="Prrafodelista"/>
        <w:spacing w:after="160" w:line="256" w:lineRule="auto"/>
        <w:ind w:left="720" w:right="-284"/>
        <w:contextualSpacing/>
        <w:rPr>
          <w:rFonts w:ascii="Abadi" w:hAnsi="Abadi"/>
          <w:b/>
          <w:bCs/>
          <w:sz w:val="21"/>
          <w:szCs w:val="21"/>
        </w:rPr>
      </w:pPr>
    </w:p>
    <w:p w14:paraId="11164E77" w14:textId="12E9F6C2" w:rsidR="00E02A18" w:rsidRDefault="00846FFC" w:rsidP="00E02A18">
      <w:pPr>
        <w:pStyle w:val="Prrafodelista"/>
        <w:spacing w:after="160" w:line="256" w:lineRule="auto"/>
        <w:ind w:left="720" w:right="-284"/>
        <w:contextualSpacing/>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 xml:space="preserve">Pág. </w:t>
      </w:r>
      <w:r w:rsidR="00290AA1">
        <w:rPr>
          <w:rFonts w:ascii="Abadi" w:hAnsi="Abadi"/>
          <w:b/>
          <w:bCs/>
          <w:sz w:val="21"/>
          <w:szCs w:val="21"/>
        </w:rPr>
        <w:t>332</w:t>
      </w:r>
    </w:p>
    <w:p w14:paraId="34AC3DCE" w14:textId="77777777" w:rsidR="00290AA1" w:rsidRDefault="00290AA1" w:rsidP="00E02A18">
      <w:pPr>
        <w:pStyle w:val="Prrafodelista"/>
        <w:spacing w:after="160" w:line="256" w:lineRule="auto"/>
        <w:ind w:left="720" w:right="-284"/>
        <w:contextualSpacing/>
        <w:rPr>
          <w:rFonts w:ascii="Abadi" w:hAnsi="Abadi"/>
          <w:b/>
          <w:bCs/>
          <w:sz w:val="21"/>
          <w:szCs w:val="21"/>
        </w:rPr>
      </w:pPr>
    </w:p>
    <w:p w14:paraId="4133E995" w14:textId="77777777" w:rsidR="00F457B7" w:rsidRDefault="00F457B7">
      <w:pPr>
        <w:pStyle w:val="Prrafodelista"/>
        <w:numPr>
          <w:ilvl w:val="0"/>
          <w:numId w:val="13"/>
        </w:numPr>
        <w:autoSpaceDE w:val="0"/>
        <w:autoSpaceDN w:val="0"/>
        <w:adjustRightInd w:val="0"/>
        <w:ind w:right="709"/>
        <w:contextualSpacing/>
        <w:jc w:val="both"/>
        <w:rPr>
          <w:rFonts w:ascii="Abadi" w:hAnsi="Abadi" w:cs="ArialMT"/>
          <w:b/>
          <w:bCs/>
          <w:sz w:val="21"/>
          <w:szCs w:val="21"/>
        </w:rPr>
      </w:pPr>
      <w:r w:rsidRPr="000F1534">
        <w:rPr>
          <w:rFonts w:ascii="Abadi" w:hAnsi="Abadi" w:cs="ArialMT"/>
          <w:b/>
          <w:bCs/>
          <w:sz w:val="21"/>
          <w:szCs w:val="21"/>
        </w:rPr>
        <w:t>Discusión y, en su caso, aprobación del dictamen suscrito por la Comisión de Gobernación y Puntos Constitucionales relativo a la iniciativa formulada por el diputado Ernesto Alejandro Prieto Gallardo integrante del Grupo Parlamentario del Partido MORENA, a fin de reformar los artículos 20 y 21 de la Constitución Política para el Estado de Guanajuato, ante la Sexagésima Cuarta Legislatura.</w:t>
      </w:r>
    </w:p>
    <w:p w14:paraId="129D6278" w14:textId="77777777" w:rsidR="005B7E09" w:rsidRDefault="005B7E09" w:rsidP="0055195D">
      <w:pPr>
        <w:pStyle w:val="Prrafodelista"/>
        <w:autoSpaceDE w:val="0"/>
        <w:autoSpaceDN w:val="0"/>
        <w:adjustRightInd w:val="0"/>
        <w:ind w:left="720"/>
        <w:contextualSpacing/>
        <w:jc w:val="right"/>
        <w:rPr>
          <w:rFonts w:ascii="Abadi" w:hAnsi="Abadi" w:cs="ArialMT"/>
          <w:b/>
          <w:bCs/>
          <w:sz w:val="21"/>
          <w:szCs w:val="21"/>
        </w:rPr>
      </w:pPr>
    </w:p>
    <w:p w14:paraId="2C9C2F5A" w14:textId="2A971348" w:rsidR="00CC4540" w:rsidRDefault="00CC4540" w:rsidP="00290AA1">
      <w:pPr>
        <w:pStyle w:val="Prrafodelista"/>
        <w:autoSpaceDE w:val="0"/>
        <w:autoSpaceDN w:val="0"/>
        <w:adjustRightInd w:val="0"/>
        <w:ind w:left="720" w:right="-284"/>
        <w:contextualSpacing/>
        <w:jc w:val="right"/>
        <w:rPr>
          <w:rFonts w:ascii="Abadi" w:hAnsi="Abadi" w:cs="ArialMT"/>
          <w:b/>
          <w:bCs/>
          <w:sz w:val="21"/>
          <w:szCs w:val="21"/>
        </w:rPr>
      </w:pPr>
      <w:r>
        <w:rPr>
          <w:rFonts w:ascii="Abadi" w:hAnsi="Abadi" w:cs="ArialMT"/>
          <w:b/>
          <w:bCs/>
          <w:sz w:val="21"/>
          <w:szCs w:val="21"/>
        </w:rPr>
        <w:t>Pág.</w:t>
      </w:r>
      <w:r w:rsidR="00290AA1">
        <w:rPr>
          <w:rFonts w:ascii="Abadi" w:hAnsi="Abadi" w:cs="ArialMT"/>
          <w:b/>
          <w:bCs/>
          <w:sz w:val="21"/>
          <w:szCs w:val="21"/>
        </w:rPr>
        <w:t xml:space="preserve"> 336</w:t>
      </w:r>
    </w:p>
    <w:p w14:paraId="5BBF8ECA" w14:textId="77777777" w:rsidR="00CC4540" w:rsidRPr="000F1534" w:rsidRDefault="00CC4540" w:rsidP="00CC4540">
      <w:pPr>
        <w:pStyle w:val="Prrafodelista"/>
        <w:autoSpaceDE w:val="0"/>
        <w:autoSpaceDN w:val="0"/>
        <w:adjustRightInd w:val="0"/>
        <w:ind w:left="720" w:right="142"/>
        <w:contextualSpacing/>
        <w:jc w:val="right"/>
        <w:rPr>
          <w:rFonts w:ascii="Abadi" w:hAnsi="Abadi" w:cs="ArialMT"/>
          <w:b/>
          <w:bCs/>
          <w:sz w:val="21"/>
          <w:szCs w:val="21"/>
        </w:rPr>
      </w:pPr>
    </w:p>
    <w:p w14:paraId="14B74D69" w14:textId="5E953435" w:rsidR="0096035C" w:rsidRDefault="00CC4540">
      <w:pPr>
        <w:pStyle w:val="Prrafodelista"/>
        <w:numPr>
          <w:ilvl w:val="0"/>
          <w:numId w:val="13"/>
        </w:numPr>
        <w:autoSpaceDE w:val="0"/>
        <w:autoSpaceDN w:val="0"/>
        <w:adjustRightInd w:val="0"/>
        <w:ind w:right="709"/>
        <w:contextualSpacing/>
        <w:jc w:val="both"/>
        <w:rPr>
          <w:rFonts w:ascii="Abadi" w:hAnsi="Abadi" w:cs="Arial-ItalicMT"/>
          <w:b/>
          <w:bCs/>
          <w:i/>
          <w:iCs/>
          <w:sz w:val="21"/>
          <w:szCs w:val="21"/>
        </w:rPr>
      </w:pPr>
      <w:r w:rsidRPr="000F1534">
        <w:rPr>
          <w:rFonts w:ascii="Abadi" w:hAnsi="Abadi" w:cs="ArialMT"/>
          <w:b/>
          <w:bCs/>
          <w:sz w:val="21"/>
          <w:szCs w:val="21"/>
        </w:rPr>
        <w:t xml:space="preserve">Discusión y, en su caso, aprobación del dictamen suscrito por la Comisión de Gobernación y Puntos Constitucionales relativo a las iniciativas, la primera suscrita por diputadas y diputados integrantes del Grupo Parlamentario del Partido Acción Nacional, a efecto de reformar el artículo 24 bis y adicionar una fracción VI al artículo 4, recorriéndose las subsecuentes de la Ley de Planeación para el Estado de Guanajuato; así como reformar los artículos 5 y 48; adicionar el artículo 45 bis y modificar la nomenclatura del Capítulo IV, para que se denomine “De la Perspectiva de Familia y el </w:t>
      </w:r>
      <w:r w:rsidRPr="000F1534">
        <w:rPr>
          <w:rFonts w:ascii="Abadi" w:hAnsi="Abadi" w:cs="ArialMT"/>
          <w:b/>
          <w:bCs/>
          <w:sz w:val="21"/>
          <w:szCs w:val="21"/>
        </w:rPr>
        <w:t xml:space="preserve">Fortalecimiento Familiar” de la Ley Sobre el Sistema Estatal de Asistencia Social </w:t>
      </w:r>
      <w:r w:rsidRPr="000F1534">
        <w:rPr>
          <w:rFonts w:ascii="Abadi" w:hAnsi="Abadi" w:cs="Arial-ItalicMT"/>
          <w:b/>
          <w:bCs/>
          <w:i/>
          <w:iCs/>
          <w:sz w:val="21"/>
          <w:szCs w:val="21"/>
        </w:rPr>
        <w:t xml:space="preserve">en lo que corresponde al primero de los ordenamientos, </w:t>
      </w:r>
      <w:r w:rsidRPr="000F1534">
        <w:rPr>
          <w:rFonts w:ascii="Abadi" w:hAnsi="Abadi" w:cs="ArialMT"/>
          <w:b/>
          <w:bCs/>
          <w:sz w:val="21"/>
          <w:szCs w:val="21"/>
        </w:rPr>
        <w:t xml:space="preserve">ante la Sexagésima Cuarta Legislatura y, la segunda formulada por las diputadas y los diputados integrantes del Grupo Parlamentario del Partido Acción Nacional a efecto de reformar el artículo 24 bis de la Ley de Planeación para el Estado de Guanajuato y el artículo 38 de la Ley para la Igualdad entre Hombres y Mujeres del Estado de Guanajuato, </w:t>
      </w:r>
      <w:r w:rsidRPr="000F1534">
        <w:rPr>
          <w:rFonts w:ascii="Abadi" w:hAnsi="Abadi" w:cs="Arial-ItalicMT"/>
          <w:b/>
          <w:bCs/>
          <w:i/>
          <w:iCs/>
          <w:sz w:val="21"/>
          <w:szCs w:val="21"/>
        </w:rPr>
        <w:t>en la parte correspondiente al primero de los ordenamientos.</w:t>
      </w:r>
    </w:p>
    <w:p w14:paraId="430706D1" w14:textId="77777777" w:rsidR="00FB0C42" w:rsidRDefault="00FB0C42" w:rsidP="00D31E7D">
      <w:pPr>
        <w:pStyle w:val="Prrafodelista"/>
        <w:autoSpaceDE w:val="0"/>
        <w:autoSpaceDN w:val="0"/>
        <w:adjustRightInd w:val="0"/>
        <w:ind w:left="720"/>
        <w:contextualSpacing/>
        <w:jc w:val="both"/>
        <w:rPr>
          <w:rFonts w:ascii="Abadi" w:hAnsi="Abadi" w:cs="ArialMT"/>
          <w:b/>
          <w:bCs/>
          <w:sz w:val="21"/>
          <w:szCs w:val="21"/>
        </w:rPr>
      </w:pPr>
    </w:p>
    <w:p w14:paraId="05C112BB" w14:textId="10DAB8D6" w:rsidR="00D31E7D" w:rsidRDefault="00D31E7D" w:rsidP="00290AA1">
      <w:pPr>
        <w:pStyle w:val="Prrafodelista"/>
        <w:autoSpaceDE w:val="0"/>
        <w:autoSpaceDN w:val="0"/>
        <w:adjustRightInd w:val="0"/>
        <w:ind w:left="720" w:right="-284"/>
        <w:contextualSpacing/>
        <w:jc w:val="right"/>
        <w:rPr>
          <w:rFonts w:ascii="Abadi" w:hAnsi="Abadi" w:cs="ArialMT"/>
          <w:b/>
          <w:bCs/>
          <w:sz w:val="21"/>
          <w:szCs w:val="21"/>
        </w:rPr>
      </w:pPr>
      <w:r>
        <w:rPr>
          <w:rFonts w:ascii="Abadi" w:hAnsi="Abadi" w:cs="ArialMT"/>
          <w:b/>
          <w:bCs/>
          <w:sz w:val="21"/>
          <w:szCs w:val="21"/>
        </w:rPr>
        <w:t>Pág.</w:t>
      </w:r>
      <w:r w:rsidR="00290AA1">
        <w:rPr>
          <w:rFonts w:ascii="Abadi" w:hAnsi="Abadi" w:cs="ArialMT"/>
          <w:b/>
          <w:bCs/>
          <w:sz w:val="21"/>
          <w:szCs w:val="21"/>
        </w:rPr>
        <w:t xml:space="preserve"> 348</w:t>
      </w:r>
    </w:p>
    <w:p w14:paraId="7BA688F5" w14:textId="3EE11338" w:rsidR="00215D77" w:rsidRDefault="00215D77" w:rsidP="00D31E7D">
      <w:pPr>
        <w:pStyle w:val="Prrafodelista"/>
        <w:autoSpaceDE w:val="0"/>
        <w:autoSpaceDN w:val="0"/>
        <w:adjustRightInd w:val="0"/>
        <w:ind w:left="720" w:right="142"/>
        <w:contextualSpacing/>
        <w:jc w:val="right"/>
        <w:rPr>
          <w:rFonts w:ascii="Abadi" w:hAnsi="Abadi" w:cs="ArialMT"/>
          <w:b/>
          <w:bCs/>
          <w:sz w:val="21"/>
          <w:szCs w:val="21"/>
        </w:rPr>
      </w:pPr>
    </w:p>
    <w:p w14:paraId="4E2BDFDA" w14:textId="08C6EB70" w:rsidR="00215D77" w:rsidRDefault="00215D77" w:rsidP="00215D77">
      <w:pPr>
        <w:ind w:left="709" w:right="709"/>
        <w:jc w:val="both"/>
        <w:rPr>
          <w:rFonts w:ascii="Abadi" w:hAnsi="Abadi"/>
          <w:b/>
          <w:bCs/>
          <w:sz w:val="21"/>
          <w:szCs w:val="21"/>
        </w:rPr>
      </w:pPr>
      <w:r w:rsidRPr="00330283">
        <w:rPr>
          <w:rFonts w:ascii="Abadi" w:hAnsi="Abadi"/>
          <w:b/>
          <w:bCs/>
          <w:sz w:val="21"/>
          <w:szCs w:val="21"/>
        </w:rPr>
        <w:t>(Sube a tribuna la diputada Lilia Margarita Rionda Salas, para hablar a favor del dictamen en referencia)</w:t>
      </w:r>
    </w:p>
    <w:p w14:paraId="5242CC07" w14:textId="679A060D" w:rsidR="00215D77" w:rsidRDefault="00215D77" w:rsidP="00215D77">
      <w:pPr>
        <w:ind w:left="709" w:right="709"/>
        <w:jc w:val="both"/>
        <w:rPr>
          <w:rFonts w:ascii="Abadi" w:hAnsi="Abadi"/>
          <w:b/>
          <w:bCs/>
          <w:sz w:val="21"/>
          <w:szCs w:val="21"/>
        </w:rPr>
      </w:pPr>
    </w:p>
    <w:p w14:paraId="2E1B0A77" w14:textId="7BF797A6" w:rsidR="00215D77" w:rsidRDefault="00215D77" w:rsidP="00846ED2">
      <w:pPr>
        <w:pStyle w:val="Prrafodelista"/>
        <w:autoSpaceDE w:val="0"/>
        <w:autoSpaceDN w:val="0"/>
        <w:adjustRightInd w:val="0"/>
        <w:ind w:left="720" w:right="-284"/>
        <w:contextualSpacing/>
        <w:jc w:val="right"/>
        <w:rPr>
          <w:rFonts w:ascii="Abadi" w:hAnsi="Abadi" w:cs="ArialMT"/>
          <w:b/>
          <w:bCs/>
          <w:sz w:val="21"/>
          <w:szCs w:val="21"/>
        </w:rPr>
      </w:pPr>
      <w:r>
        <w:rPr>
          <w:rFonts w:ascii="Abadi" w:hAnsi="Abadi" w:cs="ArialMT"/>
          <w:b/>
          <w:bCs/>
          <w:sz w:val="21"/>
          <w:szCs w:val="21"/>
        </w:rPr>
        <w:t>Pág.</w:t>
      </w:r>
      <w:r w:rsidR="00290AA1">
        <w:rPr>
          <w:rFonts w:ascii="Abadi" w:hAnsi="Abadi" w:cs="ArialMT"/>
          <w:b/>
          <w:bCs/>
          <w:sz w:val="21"/>
          <w:szCs w:val="21"/>
        </w:rPr>
        <w:t xml:space="preserve"> </w:t>
      </w:r>
      <w:r w:rsidR="00846ED2">
        <w:rPr>
          <w:rFonts w:ascii="Abadi" w:hAnsi="Abadi" w:cs="ArialMT"/>
          <w:b/>
          <w:bCs/>
          <w:sz w:val="21"/>
          <w:szCs w:val="21"/>
        </w:rPr>
        <w:t>367</w:t>
      </w:r>
    </w:p>
    <w:p w14:paraId="1AE714F0" w14:textId="77777777" w:rsidR="00215D77" w:rsidRDefault="00215D77" w:rsidP="00215D77">
      <w:pPr>
        <w:ind w:left="709" w:right="709"/>
        <w:jc w:val="both"/>
        <w:rPr>
          <w:rFonts w:ascii="Abadi" w:hAnsi="Abadi"/>
          <w:b/>
          <w:bCs/>
          <w:sz w:val="21"/>
          <w:szCs w:val="21"/>
        </w:rPr>
      </w:pPr>
    </w:p>
    <w:p w14:paraId="5BAB1AB1" w14:textId="77777777" w:rsidR="00215D77" w:rsidRPr="00FB0C42" w:rsidRDefault="00215D77" w:rsidP="00D31E7D">
      <w:pPr>
        <w:pStyle w:val="Prrafodelista"/>
        <w:autoSpaceDE w:val="0"/>
        <w:autoSpaceDN w:val="0"/>
        <w:adjustRightInd w:val="0"/>
        <w:ind w:left="720" w:right="142"/>
        <w:contextualSpacing/>
        <w:jc w:val="right"/>
        <w:rPr>
          <w:rFonts w:ascii="Abadi" w:hAnsi="Abadi" w:cs="Arial-ItalicMT"/>
          <w:b/>
          <w:bCs/>
          <w:i/>
          <w:iCs/>
          <w:sz w:val="21"/>
          <w:szCs w:val="21"/>
        </w:rPr>
      </w:pPr>
    </w:p>
    <w:p w14:paraId="71AACB2E" w14:textId="528FFE44" w:rsidR="00D31E7D" w:rsidRPr="000F1534" w:rsidRDefault="00D31E7D">
      <w:pPr>
        <w:pStyle w:val="Prrafodelista"/>
        <w:numPr>
          <w:ilvl w:val="0"/>
          <w:numId w:val="13"/>
        </w:numPr>
        <w:autoSpaceDE w:val="0"/>
        <w:autoSpaceDN w:val="0"/>
        <w:adjustRightInd w:val="0"/>
        <w:ind w:right="709"/>
        <w:contextualSpacing/>
        <w:jc w:val="both"/>
        <w:rPr>
          <w:rFonts w:ascii="Abadi" w:hAnsi="Abadi" w:cs="ArialMT"/>
          <w:b/>
          <w:bCs/>
          <w:sz w:val="21"/>
          <w:szCs w:val="21"/>
        </w:rPr>
      </w:pPr>
      <w:r w:rsidRPr="000F1534">
        <w:rPr>
          <w:rFonts w:ascii="Abadi" w:hAnsi="Abadi" w:cs="ArialMT"/>
          <w:b/>
          <w:bCs/>
          <w:sz w:val="21"/>
          <w:szCs w:val="21"/>
        </w:rPr>
        <w:t xml:space="preserve">Discusión y, en su caso, aprobación del dictamen suscrito por la Comisión de Gobernación y Puntos Constitucionales relativo a las iniciativas, la primera suscrita por el diputado Juan </w:t>
      </w:r>
      <w:r w:rsidR="004B58C9" w:rsidRPr="000F1534">
        <w:rPr>
          <w:rFonts w:ascii="Abadi" w:hAnsi="Abadi" w:cs="ArialMT"/>
          <w:b/>
          <w:bCs/>
          <w:sz w:val="21"/>
          <w:szCs w:val="21"/>
        </w:rPr>
        <w:t>Elías</w:t>
      </w:r>
      <w:r w:rsidRPr="000F1534">
        <w:rPr>
          <w:rFonts w:ascii="Abadi" w:hAnsi="Abadi" w:cs="ArialMT"/>
          <w:b/>
          <w:bCs/>
          <w:sz w:val="21"/>
          <w:szCs w:val="21"/>
        </w:rPr>
        <w:t xml:space="preserve"> Chávez de la Representación Parlamentaria del Partido Nueva Alianza, a efecto de reformar la fracción II del artículo 23, y adicionar los artículos 23 Quáter, 23 Quinquies, recorriéndose en su orden el actual artículo 23 Quáter para pasar a ser 23 Sexies, las fracciones XII y XIII del artículo 46 de la Ley del Trabajo de los Servidores Públicos al Servicio del Estado y de los Municipios ante la Sexagésima Cuarta Legislatura, y, la segunda suscrita por diputadas y diputados integrantes del </w:t>
      </w:r>
      <w:r w:rsidRPr="000F1534">
        <w:rPr>
          <w:rFonts w:ascii="Abadi" w:hAnsi="Abadi" w:cs="ArialMT"/>
          <w:b/>
          <w:bCs/>
          <w:sz w:val="21"/>
          <w:szCs w:val="21"/>
        </w:rPr>
        <w:lastRenderedPageBreak/>
        <w:t>Grupo Parlamentario del Partido Acción Nacional por la que se adiciona un artículo 22 BIS y una fracción XII al artículo 46 de la Ley del Trabajo de los Servidores Públicos al Servicio del Estado y de los Municipios.</w:t>
      </w:r>
    </w:p>
    <w:p w14:paraId="2021A4C4" w14:textId="77777777" w:rsidR="000D3E3B" w:rsidRDefault="000D3E3B" w:rsidP="005A630A">
      <w:pPr>
        <w:autoSpaceDE w:val="0"/>
        <w:autoSpaceDN w:val="0"/>
        <w:adjustRightInd w:val="0"/>
        <w:ind w:right="709"/>
        <w:jc w:val="right"/>
        <w:rPr>
          <w:rFonts w:ascii="Abadi" w:hAnsi="Abadi" w:cs="ArialMT"/>
          <w:b/>
          <w:bCs/>
          <w:sz w:val="21"/>
          <w:szCs w:val="21"/>
        </w:rPr>
      </w:pPr>
    </w:p>
    <w:p w14:paraId="2459F5BB" w14:textId="6BE98DD4" w:rsidR="000D3E3B" w:rsidRDefault="005A630A" w:rsidP="00846ED2">
      <w:pPr>
        <w:autoSpaceDE w:val="0"/>
        <w:autoSpaceDN w:val="0"/>
        <w:adjustRightInd w:val="0"/>
        <w:ind w:right="-284"/>
        <w:jc w:val="right"/>
        <w:rPr>
          <w:rFonts w:ascii="Abadi" w:hAnsi="Abadi" w:cs="ArialMT"/>
          <w:b/>
          <w:bCs/>
          <w:sz w:val="21"/>
          <w:szCs w:val="21"/>
        </w:rPr>
      </w:pPr>
      <w:r>
        <w:rPr>
          <w:rFonts w:ascii="Abadi" w:hAnsi="Abadi" w:cs="ArialMT"/>
          <w:b/>
          <w:bCs/>
          <w:sz w:val="21"/>
          <w:szCs w:val="21"/>
        </w:rPr>
        <w:t>Pág.</w:t>
      </w:r>
      <w:r w:rsidR="00846ED2">
        <w:rPr>
          <w:rFonts w:ascii="Abadi" w:hAnsi="Abadi" w:cs="ArialMT"/>
          <w:b/>
          <w:bCs/>
          <w:sz w:val="21"/>
          <w:szCs w:val="21"/>
        </w:rPr>
        <w:t xml:space="preserve"> 369</w:t>
      </w:r>
      <w:r>
        <w:rPr>
          <w:rFonts w:ascii="Abadi" w:hAnsi="Abadi" w:cs="ArialMT"/>
          <w:b/>
          <w:bCs/>
          <w:sz w:val="21"/>
          <w:szCs w:val="21"/>
        </w:rPr>
        <w:t xml:space="preserve"> </w:t>
      </w:r>
    </w:p>
    <w:p w14:paraId="169C56E6" w14:textId="06BE8342" w:rsidR="00A64410" w:rsidRDefault="00A64410" w:rsidP="005A630A">
      <w:pPr>
        <w:autoSpaceDE w:val="0"/>
        <w:autoSpaceDN w:val="0"/>
        <w:adjustRightInd w:val="0"/>
        <w:ind w:right="142"/>
        <w:jc w:val="right"/>
        <w:rPr>
          <w:rFonts w:ascii="Abadi" w:hAnsi="Abadi" w:cs="ArialMT"/>
          <w:b/>
          <w:bCs/>
          <w:sz w:val="21"/>
          <w:szCs w:val="21"/>
        </w:rPr>
      </w:pPr>
    </w:p>
    <w:p w14:paraId="7E1CB1E2" w14:textId="77777777" w:rsidR="00A64410" w:rsidRDefault="00A64410" w:rsidP="00A64410">
      <w:pPr>
        <w:ind w:left="709" w:right="709"/>
        <w:jc w:val="both"/>
        <w:rPr>
          <w:rFonts w:ascii="Abadi" w:hAnsi="Abadi"/>
          <w:b/>
          <w:bCs/>
          <w:sz w:val="21"/>
          <w:szCs w:val="21"/>
        </w:rPr>
      </w:pPr>
      <w:r w:rsidRPr="00792178">
        <w:rPr>
          <w:rFonts w:ascii="Abadi" w:hAnsi="Abadi"/>
          <w:b/>
          <w:bCs/>
          <w:sz w:val="21"/>
          <w:szCs w:val="21"/>
        </w:rPr>
        <w:t>(Sube a tribuna la diputada Ma. de la luz Hernández Martínez, para hablar a favor del dictamen</w:t>
      </w:r>
      <w:r>
        <w:rPr>
          <w:rFonts w:ascii="Abadi" w:hAnsi="Abadi"/>
          <w:b/>
          <w:bCs/>
          <w:sz w:val="21"/>
          <w:szCs w:val="21"/>
        </w:rPr>
        <w:t xml:space="preserve"> en referencia</w:t>
      </w:r>
      <w:r w:rsidRPr="00792178">
        <w:rPr>
          <w:rFonts w:ascii="Abadi" w:hAnsi="Abadi"/>
          <w:b/>
          <w:bCs/>
          <w:sz w:val="21"/>
          <w:szCs w:val="21"/>
        </w:rPr>
        <w:t>)</w:t>
      </w:r>
    </w:p>
    <w:p w14:paraId="55BE3C50" w14:textId="77777777" w:rsidR="00A64410" w:rsidRDefault="00A64410" w:rsidP="005A630A">
      <w:pPr>
        <w:autoSpaceDE w:val="0"/>
        <w:autoSpaceDN w:val="0"/>
        <w:adjustRightInd w:val="0"/>
        <w:ind w:right="142"/>
        <w:jc w:val="right"/>
        <w:rPr>
          <w:rFonts w:ascii="Abadi" w:hAnsi="Abadi" w:cs="ArialMT"/>
          <w:b/>
          <w:bCs/>
          <w:sz w:val="21"/>
          <w:szCs w:val="21"/>
        </w:rPr>
      </w:pPr>
    </w:p>
    <w:p w14:paraId="38128148" w14:textId="7F098420" w:rsidR="00A64410" w:rsidRDefault="00A64410" w:rsidP="00846ED2">
      <w:pPr>
        <w:autoSpaceDE w:val="0"/>
        <w:autoSpaceDN w:val="0"/>
        <w:adjustRightInd w:val="0"/>
        <w:ind w:right="-284"/>
        <w:jc w:val="right"/>
        <w:rPr>
          <w:rFonts w:ascii="Abadi" w:hAnsi="Abadi" w:cs="ArialMT"/>
          <w:b/>
          <w:bCs/>
          <w:sz w:val="21"/>
          <w:szCs w:val="21"/>
        </w:rPr>
      </w:pPr>
      <w:r>
        <w:rPr>
          <w:rFonts w:ascii="Abadi" w:hAnsi="Abadi" w:cs="ArialMT"/>
          <w:b/>
          <w:bCs/>
          <w:sz w:val="21"/>
          <w:szCs w:val="21"/>
        </w:rPr>
        <w:t xml:space="preserve">Pág. </w:t>
      </w:r>
      <w:r w:rsidR="007A52C5">
        <w:rPr>
          <w:rFonts w:ascii="Abadi" w:hAnsi="Abadi" w:cs="ArialMT"/>
          <w:b/>
          <w:bCs/>
          <w:sz w:val="21"/>
          <w:szCs w:val="21"/>
        </w:rPr>
        <w:t>393</w:t>
      </w:r>
    </w:p>
    <w:p w14:paraId="45E5888A" w14:textId="77777777" w:rsidR="000D3E3B" w:rsidRDefault="000D3E3B" w:rsidP="000270AC">
      <w:pPr>
        <w:autoSpaceDE w:val="0"/>
        <w:autoSpaceDN w:val="0"/>
        <w:adjustRightInd w:val="0"/>
        <w:ind w:right="709"/>
        <w:jc w:val="both"/>
        <w:rPr>
          <w:rFonts w:ascii="Abadi" w:hAnsi="Abadi" w:cs="ArialMT"/>
          <w:b/>
          <w:bCs/>
          <w:sz w:val="21"/>
          <w:szCs w:val="21"/>
        </w:rPr>
      </w:pPr>
    </w:p>
    <w:p w14:paraId="40732D38" w14:textId="77777777" w:rsidR="005A630A" w:rsidRPr="000F1534" w:rsidRDefault="005A630A">
      <w:pPr>
        <w:pStyle w:val="Prrafodelista"/>
        <w:numPr>
          <w:ilvl w:val="0"/>
          <w:numId w:val="13"/>
        </w:numPr>
        <w:autoSpaceDE w:val="0"/>
        <w:autoSpaceDN w:val="0"/>
        <w:adjustRightInd w:val="0"/>
        <w:ind w:right="709"/>
        <w:contextualSpacing/>
        <w:jc w:val="both"/>
        <w:rPr>
          <w:rFonts w:ascii="Abadi" w:hAnsi="Abadi" w:cs="ArialMT"/>
          <w:b/>
          <w:bCs/>
          <w:sz w:val="21"/>
          <w:szCs w:val="21"/>
        </w:rPr>
      </w:pPr>
      <w:r w:rsidRPr="000F1534">
        <w:rPr>
          <w:rFonts w:ascii="Abadi" w:hAnsi="Abadi" w:cs="ArialMT"/>
          <w:b/>
          <w:bCs/>
          <w:sz w:val="21"/>
          <w:szCs w:val="21"/>
        </w:rPr>
        <w:t>Discusión y, en su caso, aprobación del dictamen signado por la Comisión de Salud Pública relativo a la propuesta de punto de acuerdo suscrita por diputadas y diputados integrantes del Grupo Parlamentario del Partido Acción Nacional ante la Sexagésima Cuarta Legislatura, por la que se formula un respetuoso exhorto al titular del Poder Ejecutivo Federal, Licenciado Andrés Manuel López Obrador, para que instruya a las autoridades competentes a efecto de que estas lleven a cabo todas las acciones necesarias para agilizar los procesos de compra de medicamentos para tratamientos oncológicos y garantizar el suministro de medicamentos en beneficio de las niñas, niños y adolescentes con cáncer.</w:t>
      </w:r>
    </w:p>
    <w:p w14:paraId="3D0A4C26" w14:textId="77777777" w:rsidR="000D3E3B" w:rsidRDefault="000D3E3B" w:rsidP="000270AC">
      <w:pPr>
        <w:autoSpaceDE w:val="0"/>
        <w:autoSpaceDN w:val="0"/>
        <w:adjustRightInd w:val="0"/>
        <w:ind w:right="709"/>
        <w:jc w:val="both"/>
        <w:rPr>
          <w:rFonts w:ascii="Abadi" w:hAnsi="Abadi" w:cs="ArialMT"/>
          <w:b/>
          <w:bCs/>
          <w:sz w:val="21"/>
          <w:szCs w:val="21"/>
        </w:rPr>
      </w:pPr>
    </w:p>
    <w:p w14:paraId="432F9A78" w14:textId="2466B6A7" w:rsidR="005A630A" w:rsidRDefault="005A630A" w:rsidP="007A52C5">
      <w:pPr>
        <w:autoSpaceDE w:val="0"/>
        <w:autoSpaceDN w:val="0"/>
        <w:adjustRightInd w:val="0"/>
        <w:ind w:right="-284"/>
        <w:jc w:val="right"/>
        <w:rPr>
          <w:rFonts w:ascii="Abadi" w:hAnsi="Abadi" w:cs="ArialMT"/>
          <w:b/>
          <w:bCs/>
          <w:sz w:val="21"/>
          <w:szCs w:val="21"/>
        </w:rPr>
      </w:pPr>
      <w:r>
        <w:rPr>
          <w:rFonts w:ascii="Abadi" w:hAnsi="Abadi" w:cs="ArialMT"/>
          <w:b/>
          <w:bCs/>
          <w:sz w:val="21"/>
          <w:szCs w:val="21"/>
        </w:rPr>
        <w:t>Pág.</w:t>
      </w:r>
      <w:r w:rsidR="007A52C5">
        <w:rPr>
          <w:rFonts w:ascii="Abadi" w:hAnsi="Abadi" w:cs="ArialMT"/>
          <w:b/>
          <w:bCs/>
          <w:sz w:val="21"/>
          <w:szCs w:val="21"/>
        </w:rPr>
        <w:t xml:space="preserve"> 395</w:t>
      </w:r>
    </w:p>
    <w:p w14:paraId="58FFABD5" w14:textId="77777777" w:rsidR="005A630A" w:rsidRDefault="005A630A" w:rsidP="005A630A">
      <w:pPr>
        <w:autoSpaceDE w:val="0"/>
        <w:autoSpaceDN w:val="0"/>
        <w:adjustRightInd w:val="0"/>
        <w:ind w:right="142"/>
        <w:jc w:val="right"/>
        <w:rPr>
          <w:rFonts w:ascii="Abadi" w:hAnsi="Abadi" w:cs="ArialMT"/>
          <w:b/>
          <w:bCs/>
          <w:sz w:val="21"/>
          <w:szCs w:val="21"/>
        </w:rPr>
      </w:pPr>
    </w:p>
    <w:p w14:paraId="2C20C7CB" w14:textId="77777777" w:rsidR="00447BF1" w:rsidRPr="000F1534" w:rsidRDefault="00447BF1">
      <w:pPr>
        <w:pStyle w:val="Prrafodelista"/>
        <w:numPr>
          <w:ilvl w:val="0"/>
          <w:numId w:val="13"/>
        </w:numPr>
        <w:autoSpaceDE w:val="0"/>
        <w:autoSpaceDN w:val="0"/>
        <w:adjustRightInd w:val="0"/>
        <w:ind w:right="709"/>
        <w:contextualSpacing/>
        <w:jc w:val="both"/>
        <w:rPr>
          <w:rFonts w:ascii="Abadi" w:hAnsi="Abadi" w:cs="ArialMT"/>
          <w:b/>
          <w:bCs/>
          <w:sz w:val="21"/>
          <w:szCs w:val="21"/>
        </w:rPr>
      </w:pPr>
      <w:r w:rsidRPr="000F1534">
        <w:rPr>
          <w:rFonts w:ascii="Abadi" w:hAnsi="Abadi" w:cs="ArialMT"/>
          <w:b/>
          <w:bCs/>
          <w:sz w:val="21"/>
          <w:szCs w:val="21"/>
        </w:rPr>
        <w:t xml:space="preserve">Discusión y, en su caso, aprobación del dictamen suscrito por la Comisión de Salud Pública relativo a la propuesta de punto de acuerdo formulada por diputadas y diputados </w:t>
      </w:r>
      <w:r w:rsidRPr="000F1534">
        <w:rPr>
          <w:rFonts w:ascii="Abadi" w:hAnsi="Abadi" w:cs="ArialMT"/>
          <w:b/>
          <w:bCs/>
          <w:sz w:val="21"/>
          <w:szCs w:val="21"/>
        </w:rPr>
        <w:t xml:space="preserve">integrantes del Grupo Parlamentario del Partido Acción Nacional ante la Sexagésima Cuarta Legislatura, por el cual se exhorta al Poder Ejecutivo Federal para que a la brevedad posible dé solución al desabasto de medicinas en el sector salud. </w:t>
      </w:r>
    </w:p>
    <w:p w14:paraId="009D7B4F" w14:textId="77777777" w:rsidR="00447BF1" w:rsidRPr="000F1534" w:rsidRDefault="00447BF1" w:rsidP="00447BF1">
      <w:pPr>
        <w:autoSpaceDE w:val="0"/>
        <w:autoSpaceDN w:val="0"/>
        <w:adjustRightInd w:val="0"/>
        <w:jc w:val="both"/>
        <w:rPr>
          <w:rFonts w:ascii="Abadi" w:hAnsi="Abadi" w:cs="ArialMT"/>
          <w:b/>
          <w:bCs/>
          <w:sz w:val="21"/>
          <w:szCs w:val="21"/>
        </w:rPr>
      </w:pPr>
    </w:p>
    <w:p w14:paraId="0240DC7C" w14:textId="77777777" w:rsidR="005A630A" w:rsidRDefault="005A630A" w:rsidP="005A630A">
      <w:pPr>
        <w:autoSpaceDE w:val="0"/>
        <w:autoSpaceDN w:val="0"/>
        <w:adjustRightInd w:val="0"/>
        <w:ind w:right="142"/>
        <w:jc w:val="right"/>
        <w:rPr>
          <w:rFonts w:ascii="Abadi" w:hAnsi="Abadi" w:cs="ArialMT"/>
          <w:b/>
          <w:bCs/>
          <w:sz w:val="21"/>
          <w:szCs w:val="21"/>
        </w:rPr>
      </w:pPr>
    </w:p>
    <w:p w14:paraId="626A8E2D" w14:textId="572718A2" w:rsidR="005A630A" w:rsidRDefault="005A630A" w:rsidP="007A52C5">
      <w:pPr>
        <w:autoSpaceDE w:val="0"/>
        <w:autoSpaceDN w:val="0"/>
        <w:adjustRightInd w:val="0"/>
        <w:ind w:right="-284"/>
        <w:jc w:val="right"/>
        <w:rPr>
          <w:rFonts w:ascii="Abadi" w:hAnsi="Abadi" w:cs="ArialMT"/>
          <w:b/>
          <w:bCs/>
          <w:sz w:val="21"/>
          <w:szCs w:val="21"/>
        </w:rPr>
      </w:pPr>
      <w:r>
        <w:rPr>
          <w:rFonts w:ascii="Abadi" w:hAnsi="Abadi" w:cs="ArialMT"/>
          <w:b/>
          <w:bCs/>
          <w:sz w:val="21"/>
          <w:szCs w:val="21"/>
        </w:rPr>
        <w:t>Pág.</w:t>
      </w:r>
      <w:r w:rsidR="007A52C5">
        <w:rPr>
          <w:rFonts w:ascii="Abadi" w:hAnsi="Abadi" w:cs="ArialMT"/>
          <w:b/>
          <w:bCs/>
          <w:sz w:val="21"/>
          <w:szCs w:val="21"/>
        </w:rPr>
        <w:t xml:space="preserve"> 402</w:t>
      </w:r>
    </w:p>
    <w:p w14:paraId="790052B7" w14:textId="77777777" w:rsidR="00A113BD" w:rsidRDefault="00A113BD" w:rsidP="005A630A">
      <w:pPr>
        <w:autoSpaceDE w:val="0"/>
        <w:autoSpaceDN w:val="0"/>
        <w:adjustRightInd w:val="0"/>
        <w:ind w:right="142"/>
        <w:jc w:val="right"/>
        <w:rPr>
          <w:rFonts w:ascii="Abadi" w:hAnsi="Abadi" w:cs="ArialMT"/>
          <w:b/>
          <w:bCs/>
          <w:sz w:val="21"/>
          <w:szCs w:val="21"/>
        </w:rPr>
      </w:pPr>
    </w:p>
    <w:p w14:paraId="39645441" w14:textId="77777777" w:rsidR="00A113BD" w:rsidRDefault="00A113BD">
      <w:pPr>
        <w:pStyle w:val="Prrafodelista"/>
        <w:numPr>
          <w:ilvl w:val="0"/>
          <w:numId w:val="13"/>
        </w:numPr>
        <w:autoSpaceDE w:val="0"/>
        <w:autoSpaceDN w:val="0"/>
        <w:adjustRightInd w:val="0"/>
        <w:ind w:right="709"/>
        <w:contextualSpacing/>
        <w:jc w:val="both"/>
        <w:rPr>
          <w:rFonts w:ascii="Abadi" w:hAnsi="Abadi" w:cs="ArialMT"/>
          <w:b/>
          <w:bCs/>
          <w:sz w:val="21"/>
          <w:szCs w:val="21"/>
        </w:rPr>
      </w:pPr>
      <w:r w:rsidRPr="000F1534">
        <w:rPr>
          <w:rFonts w:ascii="Abadi" w:hAnsi="Abadi" w:cs="ArialMT"/>
          <w:b/>
          <w:bCs/>
          <w:sz w:val="21"/>
          <w:szCs w:val="21"/>
        </w:rPr>
        <w:t>Discusión y, en su caso, aprobación del dictamen signado por la Comisión de Salud Pública relativo a dos iniciativas; la primera, de Ley de Prevención y Atención del Suicidio para el Estado y los Municipios de Guanajuato, y de adición al artículo 27, fracción I un inciso h de la Ley Orgánica del Poder Ejecutivo para el Estado de Guanajuato, suscrita por la diputada y el diputado integrantes del Grupo Parlamentario del Partido Verde Ecologista de México; y, la segunda, de Ley de Prevención del Suicidio y de las Acciones de Posvención en el Estado de Guanajuato, formulada por diputadas y diputados integrantes del Grupo Parlamentario del Partido Revolucionario Institucional, ante la Sexagésima Cuarta Legislatura del Congreso del Estado.</w:t>
      </w:r>
    </w:p>
    <w:p w14:paraId="0A703784" w14:textId="77777777" w:rsidR="00FA2721" w:rsidRDefault="00FA2721" w:rsidP="00FA2721">
      <w:pPr>
        <w:pStyle w:val="Prrafodelista"/>
        <w:autoSpaceDE w:val="0"/>
        <w:autoSpaceDN w:val="0"/>
        <w:adjustRightInd w:val="0"/>
        <w:ind w:left="720"/>
        <w:contextualSpacing/>
        <w:jc w:val="both"/>
        <w:rPr>
          <w:rFonts w:ascii="Abadi" w:hAnsi="Abadi" w:cs="ArialMT"/>
          <w:b/>
          <w:bCs/>
          <w:sz w:val="21"/>
          <w:szCs w:val="21"/>
        </w:rPr>
      </w:pPr>
    </w:p>
    <w:p w14:paraId="5A050119" w14:textId="3E98D504" w:rsidR="00FA2721" w:rsidRDefault="00FA2721" w:rsidP="007A52C5">
      <w:pPr>
        <w:pStyle w:val="Prrafodelista"/>
        <w:autoSpaceDE w:val="0"/>
        <w:autoSpaceDN w:val="0"/>
        <w:adjustRightInd w:val="0"/>
        <w:ind w:left="720" w:right="-284"/>
        <w:contextualSpacing/>
        <w:jc w:val="right"/>
        <w:rPr>
          <w:rFonts w:ascii="Abadi" w:hAnsi="Abadi"/>
          <w:b/>
          <w:bCs/>
          <w:sz w:val="21"/>
          <w:szCs w:val="21"/>
        </w:rPr>
      </w:pPr>
      <w:r>
        <w:rPr>
          <w:rFonts w:ascii="Abadi" w:hAnsi="Abadi"/>
          <w:b/>
          <w:bCs/>
          <w:sz w:val="21"/>
          <w:szCs w:val="21"/>
        </w:rPr>
        <w:t>Pág.</w:t>
      </w:r>
      <w:r w:rsidR="007A52C5">
        <w:rPr>
          <w:rFonts w:ascii="Abadi" w:hAnsi="Abadi"/>
          <w:b/>
          <w:bCs/>
          <w:sz w:val="21"/>
          <w:szCs w:val="21"/>
        </w:rPr>
        <w:t xml:space="preserve"> 410</w:t>
      </w:r>
      <w:r>
        <w:rPr>
          <w:rFonts w:ascii="Abadi" w:hAnsi="Abadi"/>
          <w:b/>
          <w:bCs/>
          <w:sz w:val="21"/>
          <w:szCs w:val="21"/>
        </w:rPr>
        <w:t xml:space="preserve"> </w:t>
      </w:r>
    </w:p>
    <w:p w14:paraId="3D3829F3" w14:textId="77777777" w:rsidR="00D92268" w:rsidRDefault="00D92268" w:rsidP="00FA2721">
      <w:pPr>
        <w:pStyle w:val="Prrafodelista"/>
        <w:autoSpaceDE w:val="0"/>
        <w:autoSpaceDN w:val="0"/>
        <w:adjustRightInd w:val="0"/>
        <w:ind w:left="720"/>
        <w:contextualSpacing/>
        <w:jc w:val="right"/>
        <w:rPr>
          <w:rFonts w:ascii="Abadi" w:hAnsi="Abadi"/>
          <w:b/>
          <w:bCs/>
          <w:sz w:val="21"/>
          <w:szCs w:val="21"/>
        </w:rPr>
      </w:pPr>
    </w:p>
    <w:p w14:paraId="4E1EDACF" w14:textId="77777777" w:rsidR="00D92268" w:rsidRPr="000F1534" w:rsidRDefault="00D92268">
      <w:pPr>
        <w:pStyle w:val="Prrafodelista"/>
        <w:numPr>
          <w:ilvl w:val="0"/>
          <w:numId w:val="13"/>
        </w:numPr>
        <w:autoSpaceDE w:val="0"/>
        <w:autoSpaceDN w:val="0"/>
        <w:adjustRightInd w:val="0"/>
        <w:ind w:right="709"/>
        <w:contextualSpacing/>
        <w:jc w:val="both"/>
        <w:rPr>
          <w:rFonts w:ascii="Abadi" w:hAnsi="Abadi" w:cs="ArialMT"/>
          <w:b/>
          <w:bCs/>
          <w:sz w:val="21"/>
          <w:szCs w:val="21"/>
        </w:rPr>
      </w:pPr>
      <w:r w:rsidRPr="000F1534">
        <w:rPr>
          <w:rFonts w:ascii="Abadi" w:hAnsi="Abadi" w:cs="ArialMT"/>
          <w:b/>
          <w:bCs/>
          <w:sz w:val="21"/>
          <w:szCs w:val="21"/>
        </w:rPr>
        <w:t xml:space="preserve">Discusión y, en su caso, aprobación del dictamen formulado por la Comisión de Justicia relativo a dos iniciativas a efecto de adicionar una fracción XIII al artículo 194 del Código Penal del Estado de Guanajuato: la primera, presentada por el diputado Juan Elías Chávez de la Representación </w:t>
      </w:r>
      <w:r w:rsidRPr="000F1534">
        <w:rPr>
          <w:rFonts w:ascii="Abadi" w:hAnsi="Abadi" w:cs="ArialMT"/>
          <w:b/>
          <w:bCs/>
          <w:sz w:val="21"/>
          <w:szCs w:val="21"/>
        </w:rPr>
        <w:lastRenderedPageBreak/>
        <w:t>Parlamentaria del Partido Nueva Alianza de la Sexagésima Cuarta Legislatura; y la segunda, por diputadas y diputados integrantes del Grupo Parlamentario del Partido Revolucionario Institucional de la presente Legislatura.</w:t>
      </w:r>
    </w:p>
    <w:p w14:paraId="6C2121E9" w14:textId="77777777" w:rsidR="00D92268" w:rsidRPr="000F1534" w:rsidRDefault="00D92268" w:rsidP="00D92268">
      <w:pPr>
        <w:pStyle w:val="Prrafodelista"/>
        <w:autoSpaceDE w:val="0"/>
        <w:autoSpaceDN w:val="0"/>
        <w:adjustRightInd w:val="0"/>
        <w:ind w:left="720"/>
        <w:contextualSpacing/>
        <w:rPr>
          <w:rFonts w:ascii="Abadi" w:hAnsi="Abadi" w:cs="ArialMT"/>
          <w:b/>
          <w:bCs/>
          <w:sz w:val="21"/>
          <w:szCs w:val="21"/>
        </w:rPr>
      </w:pPr>
    </w:p>
    <w:p w14:paraId="702E28F2" w14:textId="1C239248" w:rsidR="00767252" w:rsidRDefault="00767252" w:rsidP="007A52C5">
      <w:pPr>
        <w:autoSpaceDE w:val="0"/>
        <w:autoSpaceDN w:val="0"/>
        <w:adjustRightInd w:val="0"/>
        <w:ind w:right="-284"/>
        <w:jc w:val="right"/>
        <w:rPr>
          <w:rFonts w:ascii="Abadi" w:hAnsi="Abadi"/>
          <w:b/>
          <w:bCs/>
          <w:sz w:val="21"/>
          <w:szCs w:val="21"/>
        </w:rPr>
      </w:pPr>
      <w:r>
        <w:rPr>
          <w:rFonts w:ascii="Abadi" w:hAnsi="Abadi"/>
          <w:b/>
          <w:bCs/>
          <w:sz w:val="21"/>
          <w:szCs w:val="21"/>
        </w:rPr>
        <w:t>Pág.</w:t>
      </w:r>
      <w:r w:rsidR="007A52C5">
        <w:rPr>
          <w:rFonts w:ascii="Abadi" w:hAnsi="Abadi"/>
          <w:b/>
          <w:bCs/>
          <w:sz w:val="21"/>
          <w:szCs w:val="21"/>
        </w:rPr>
        <w:t xml:space="preserve"> 463</w:t>
      </w:r>
    </w:p>
    <w:p w14:paraId="29EF249C" w14:textId="565C42E5" w:rsidR="009D0F8C" w:rsidRDefault="009D0F8C" w:rsidP="00767252">
      <w:pPr>
        <w:autoSpaceDE w:val="0"/>
        <w:autoSpaceDN w:val="0"/>
        <w:adjustRightInd w:val="0"/>
        <w:ind w:right="142"/>
        <w:jc w:val="right"/>
        <w:rPr>
          <w:rFonts w:ascii="Abadi" w:hAnsi="Abadi"/>
          <w:b/>
          <w:bCs/>
          <w:sz w:val="21"/>
          <w:szCs w:val="21"/>
        </w:rPr>
      </w:pPr>
    </w:p>
    <w:p w14:paraId="285FCBAE" w14:textId="77777777" w:rsidR="009D0F8C" w:rsidRDefault="009D0F8C" w:rsidP="009D0F8C">
      <w:pPr>
        <w:ind w:left="709" w:right="709"/>
        <w:jc w:val="both"/>
        <w:rPr>
          <w:rFonts w:ascii="Abadi" w:hAnsi="Abadi"/>
          <w:b/>
          <w:bCs/>
          <w:sz w:val="21"/>
          <w:szCs w:val="21"/>
        </w:rPr>
      </w:pPr>
      <w:r w:rsidRPr="008F3429">
        <w:rPr>
          <w:rFonts w:ascii="Abadi" w:hAnsi="Abadi"/>
          <w:b/>
          <w:bCs/>
          <w:sz w:val="21"/>
          <w:szCs w:val="21"/>
        </w:rPr>
        <w:t>(Sube a tribuna el diputado Alejandro Arias Ávila, para hablar a favor del dictamen en referencia)</w:t>
      </w:r>
    </w:p>
    <w:p w14:paraId="2C7F3D4F" w14:textId="77777777" w:rsidR="009D0F8C" w:rsidRDefault="009D0F8C" w:rsidP="00767252">
      <w:pPr>
        <w:autoSpaceDE w:val="0"/>
        <w:autoSpaceDN w:val="0"/>
        <w:adjustRightInd w:val="0"/>
        <w:ind w:right="142"/>
        <w:jc w:val="right"/>
        <w:rPr>
          <w:rFonts w:ascii="Abadi" w:hAnsi="Abadi"/>
          <w:b/>
          <w:bCs/>
          <w:sz w:val="21"/>
          <w:szCs w:val="21"/>
        </w:rPr>
      </w:pPr>
    </w:p>
    <w:p w14:paraId="6DD44A64" w14:textId="39BCF7D3" w:rsidR="009D0F8C" w:rsidRDefault="009D0F8C" w:rsidP="00547CE6">
      <w:pPr>
        <w:autoSpaceDE w:val="0"/>
        <w:autoSpaceDN w:val="0"/>
        <w:adjustRightInd w:val="0"/>
        <w:ind w:right="-284"/>
        <w:jc w:val="right"/>
        <w:rPr>
          <w:rFonts w:ascii="Abadi" w:hAnsi="Abadi"/>
          <w:b/>
          <w:bCs/>
          <w:sz w:val="21"/>
          <w:szCs w:val="21"/>
        </w:rPr>
      </w:pPr>
      <w:r>
        <w:rPr>
          <w:rFonts w:ascii="Abadi" w:hAnsi="Abadi"/>
          <w:b/>
          <w:bCs/>
          <w:sz w:val="21"/>
          <w:szCs w:val="21"/>
        </w:rPr>
        <w:t>Pág.</w:t>
      </w:r>
      <w:r w:rsidR="00FF40FC">
        <w:rPr>
          <w:rFonts w:ascii="Abadi" w:hAnsi="Abadi"/>
          <w:b/>
          <w:bCs/>
          <w:sz w:val="21"/>
          <w:szCs w:val="21"/>
        </w:rPr>
        <w:t xml:space="preserve"> </w:t>
      </w:r>
      <w:r w:rsidR="00547CE6">
        <w:rPr>
          <w:rFonts w:ascii="Abadi" w:hAnsi="Abadi"/>
          <w:b/>
          <w:bCs/>
          <w:sz w:val="21"/>
          <w:szCs w:val="21"/>
        </w:rPr>
        <w:t>473</w:t>
      </w:r>
    </w:p>
    <w:p w14:paraId="4F9621EE" w14:textId="04BC5E8A" w:rsidR="00FA7C2F" w:rsidRDefault="00FA7C2F" w:rsidP="009D0F8C">
      <w:pPr>
        <w:autoSpaceDE w:val="0"/>
        <w:autoSpaceDN w:val="0"/>
        <w:adjustRightInd w:val="0"/>
        <w:ind w:right="142"/>
        <w:jc w:val="right"/>
        <w:rPr>
          <w:rFonts w:ascii="Abadi" w:hAnsi="Abadi"/>
          <w:b/>
          <w:bCs/>
          <w:sz w:val="21"/>
          <w:szCs w:val="21"/>
        </w:rPr>
      </w:pPr>
    </w:p>
    <w:p w14:paraId="539A9880" w14:textId="77777777" w:rsidR="00FA7C2F" w:rsidRDefault="00FA7C2F" w:rsidP="00FA7C2F">
      <w:pPr>
        <w:ind w:left="709" w:right="709"/>
        <w:jc w:val="both"/>
        <w:rPr>
          <w:rFonts w:ascii="Abadi" w:hAnsi="Abadi"/>
          <w:b/>
          <w:bCs/>
          <w:sz w:val="21"/>
          <w:szCs w:val="21"/>
        </w:rPr>
      </w:pPr>
      <w:r w:rsidRPr="001E6933">
        <w:rPr>
          <w:rFonts w:ascii="Abadi" w:hAnsi="Abadi"/>
          <w:b/>
          <w:bCs/>
          <w:sz w:val="21"/>
          <w:szCs w:val="21"/>
        </w:rPr>
        <w:t>(Sube a tribuna el Diputado Bricio Balderas Álvarez, para hablar a favor del dictamen en referencia)</w:t>
      </w:r>
    </w:p>
    <w:p w14:paraId="498377E0" w14:textId="77777777" w:rsidR="00FA7C2F" w:rsidRDefault="00FA7C2F" w:rsidP="009D0F8C">
      <w:pPr>
        <w:autoSpaceDE w:val="0"/>
        <w:autoSpaceDN w:val="0"/>
        <w:adjustRightInd w:val="0"/>
        <w:ind w:right="142"/>
        <w:jc w:val="right"/>
        <w:rPr>
          <w:rFonts w:ascii="Abadi" w:hAnsi="Abadi"/>
          <w:b/>
          <w:bCs/>
          <w:sz w:val="21"/>
          <w:szCs w:val="21"/>
        </w:rPr>
      </w:pPr>
    </w:p>
    <w:p w14:paraId="3B11A46E" w14:textId="34C539FA" w:rsidR="00FA7C2F" w:rsidRDefault="00FA7C2F" w:rsidP="00547CE6">
      <w:pPr>
        <w:autoSpaceDE w:val="0"/>
        <w:autoSpaceDN w:val="0"/>
        <w:adjustRightInd w:val="0"/>
        <w:ind w:right="-284"/>
        <w:jc w:val="right"/>
        <w:rPr>
          <w:rFonts w:ascii="Abadi" w:hAnsi="Abadi"/>
          <w:b/>
          <w:bCs/>
          <w:sz w:val="21"/>
          <w:szCs w:val="21"/>
        </w:rPr>
      </w:pPr>
      <w:r>
        <w:rPr>
          <w:rFonts w:ascii="Abadi" w:hAnsi="Abadi"/>
          <w:b/>
          <w:bCs/>
          <w:sz w:val="21"/>
          <w:szCs w:val="21"/>
        </w:rPr>
        <w:t>Pág.</w:t>
      </w:r>
      <w:r w:rsidR="00547CE6">
        <w:rPr>
          <w:rFonts w:ascii="Abadi" w:hAnsi="Abadi"/>
          <w:b/>
          <w:bCs/>
          <w:sz w:val="21"/>
          <w:szCs w:val="21"/>
        </w:rPr>
        <w:t xml:space="preserve"> 474</w:t>
      </w:r>
    </w:p>
    <w:p w14:paraId="52941B92" w14:textId="77777777" w:rsidR="00767252" w:rsidRDefault="00767252" w:rsidP="00767252">
      <w:pPr>
        <w:autoSpaceDE w:val="0"/>
        <w:autoSpaceDN w:val="0"/>
        <w:adjustRightInd w:val="0"/>
        <w:ind w:right="142"/>
        <w:jc w:val="right"/>
        <w:rPr>
          <w:rFonts w:ascii="Abadi" w:hAnsi="Abadi"/>
          <w:b/>
          <w:bCs/>
          <w:sz w:val="21"/>
          <w:szCs w:val="21"/>
        </w:rPr>
      </w:pPr>
    </w:p>
    <w:p w14:paraId="225D6C6E" w14:textId="77777777" w:rsidR="0092077E" w:rsidRPr="000F1534" w:rsidRDefault="0092077E">
      <w:pPr>
        <w:pStyle w:val="Prrafodelista"/>
        <w:numPr>
          <w:ilvl w:val="0"/>
          <w:numId w:val="13"/>
        </w:numPr>
        <w:autoSpaceDE w:val="0"/>
        <w:autoSpaceDN w:val="0"/>
        <w:adjustRightInd w:val="0"/>
        <w:ind w:right="709"/>
        <w:contextualSpacing/>
        <w:jc w:val="both"/>
        <w:rPr>
          <w:rFonts w:ascii="Abadi" w:hAnsi="Abadi" w:cs="ArialMT"/>
          <w:b/>
          <w:bCs/>
          <w:sz w:val="21"/>
          <w:szCs w:val="21"/>
        </w:rPr>
      </w:pPr>
      <w:r w:rsidRPr="000F1534">
        <w:rPr>
          <w:rFonts w:ascii="Abadi" w:hAnsi="Abadi" w:cs="ArialMT"/>
          <w:b/>
          <w:bCs/>
          <w:sz w:val="21"/>
          <w:szCs w:val="21"/>
        </w:rPr>
        <w:t xml:space="preserve">Discusión y, en su caso, aprobación del dictamen suscrito por la Comisión de Educación, Ciencia y Tecnología y Cultura relativo a la iniciativa a efecto de reformar y adicionar diversos artículos de la Ley de los Derechos de Niñas, Niños y Adolescentes del Estado de Guanajuato, de la Ley para una Convivencia Libre de Violencia en el Entorno Escolar para el Estado de Guanajuato y sus Municipios y de la Ley para Prevenir, Atender y Erradicar la Violencia en el Estado de Guanajuato, formulada por las diputadas y los diputados integrantes del Grupo Parlamentario del Partido Acción Nacional en la Sexagésima Cuarta Legislatura, </w:t>
      </w:r>
      <w:r w:rsidRPr="000F1534">
        <w:rPr>
          <w:rFonts w:ascii="Abadi" w:hAnsi="Abadi" w:cs="Arial-ItalicMT"/>
          <w:b/>
          <w:bCs/>
          <w:i/>
          <w:iCs/>
          <w:sz w:val="21"/>
          <w:szCs w:val="21"/>
        </w:rPr>
        <w:t>en lo correspondiente a la segunda de las leyes referidas</w:t>
      </w:r>
      <w:r w:rsidRPr="000F1534">
        <w:rPr>
          <w:rFonts w:ascii="Abadi" w:hAnsi="Abadi" w:cs="ArialMT"/>
          <w:b/>
          <w:bCs/>
          <w:sz w:val="21"/>
          <w:szCs w:val="21"/>
        </w:rPr>
        <w:t>.</w:t>
      </w:r>
    </w:p>
    <w:p w14:paraId="73D3B50F" w14:textId="362F3289" w:rsidR="00767252" w:rsidRDefault="0092077E" w:rsidP="00216BD0">
      <w:pPr>
        <w:autoSpaceDE w:val="0"/>
        <w:autoSpaceDN w:val="0"/>
        <w:adjustRightInd w:val="0"/>
        <w:ind w:right="-284"/>
        <w:jc w:val="right"/>
        <w:rPr>
          <w:rFonts w:ascii="Abadi" w:hAnsi="Abadi"/>
          <w:b/>
          <w:bCs/>
          <w:sz w:val="21"/>
          <w:szCs w:val="21"/>
        </w:rPr>
      </w:pPr>
      <w:r>
        <w:rPr>
          <w:rFonts w:ascii="Abadi" w:hAnsi="Abadi"/>
          <w:b/>
          <w:bCs/>
          <w:sz w:val="21"/>
          <w:szCs w:val="21"/>
        </w:rPr>
        <w:t xml:space="preserve">Pág. </w:t>
      </w:r>
      <w:r w:rsidR="00216BD0">
        <w:rPr>
          <w:rFonts w:ascii="Abadi" w:hAnsi="Abadi"/>
          <w:b/>
          <w:bCs/>
          <w:sz w:val="21"/>
          <w:szCs w:val="21"/>
        </w:rPr>
        <w:t>475</w:t>
      </w:r>
    </w:p>
    <w:p w14:paraId="15FD8CA4" w14:textId="3B0925C0" w:rsidR="00857FA2" w:rsidRDefault="00857FA2" w:rsidP="0092077E">
      <w:pPr>
        <w:autoSpaceDE w:val="0"/>
        <w:autoSpaceDN w:val="0"/>
        <w:adjustRightInd w:val="0"/>
        <w:ind w:right="142"/>
        <w:jc w:val="right"/>
        <w:rPr>
          <w:rFonts w:ascii="Abadi" w:hAnsi="Abadi"/>
          <w:b/>
          <w:bCs/>
          <w:sz w:val="21"/>
          <w:szCs w:val="21"/>
        </w:rPr>
      </w:pPr>
    </w:p>
    <w:p w14:paraId="5E3B4CEE" w14:textId="77777777" w:rsidR="00857FA2" w:rsidRDefault="00857FA2" w:rsidP="00857FA2">
      <w:pPr>
        <w:ind w:left="709" w:right="709"/>
        <w:jc w:val="both"/>
        <w:rPr>
          <w:rFonts w:ascii="Abadi" w:hAnsi="Abadi"/>
          <w:b/>
          <w:bCs/>
          <w:sz w:val="21"/>
          <w:szCs w:val="21"/>
        </w:rPr>
      </w:pPr>
      <w:r w:rsidRPr="00204CEB">
        <w:rPr>
          <w:rFonts w:ascii="Abadi" w:hAnsi="Abadi"/>
          <w:b/>
          <w:bCs/>
          <w:sz w:val="21"/>
          <w:szCs w:val="21"/>
        </w:rPr>
        <w:t>(Sube a tribuna la diputada Katya Cristina Soto Escamilla, para hablar a favor del dictamen)</w:t>
      </w:r>
    </w:p>
    <w:p w14:paraId="68FA1D1A" w14:textId="77777777" w:rsidR="00857FA2" w:rsidRDefault="00857FA2" w:rsidP="0092077E">
      <w:pPr>
        <w:autoSpaceDE w:val="0"/>
        <w:autoSpaceDN w:val="0"/>
        <w:adjustRightInd w:val="0"/>
        <w:ind w:right="142"/>
        <w:jc w:val="right"/>
        <w:rPr>
          <w:rFonts w:ascii="Abadi" w:hAnsi="Abadi"/>
          <w:b/>
          <w:bCs/>
          <w:sz w:val="21"/>
          <w:szCs w:val="21"/>
        </w:rPr>
      </w:pPr>
    </w:p>
    <w:p w14:paraId="7AE26256" w14:textId="027CCA1C" w:rsidR="00EA36DA" w:rsidRDefault="00EA36DA" w:rsidP="00216BD0">
      <w:pPr>
        <w:autoSpaceDE w:val="0"/>
        <w:autoSpaceDN w:val="0"/>
        <w:adjustRightInd w:val="0"/>
        <w:ind w:right="-425"/>
        <w:jc w:val="right"/>
        <w:rPr>
          <w:rFonts w:ascii="Abadi" w:hAnsi="Abadi"/>
          <w:b/>
          <w:bCs/>
          <w:sz w:val="21"/>
          <w:szCs w:val="21"/>
        </w:rPr>
      </w:pPr>
      <w:r>
        <w:rPr>
          <w:rFonts w:ascii="Abadi" w:hAnsi="Abadi"/>
          <w:b/>
          <w:bCs/>
          <w:sz w:val="21"/>
          <w:szCs w:val="21"/>
        </w:rPr>
        <w:t>Pág.</w:t>
      </w:r>
      <w:r w:rsidR="00216BD0">
        <w:rPr>
          <w:rFonts w:ascii="Abadi" w:hAnsi="Abadi"/>
          <w:b/>
          <w:bCs/>
          <w:sz w:val="21"/>
          <w:szCs w:val="21"/>
        </w:rPr>
        <w:t xml:space="preserve"> </w:t>
      </w:r>
      <w:r w:rsidR="002273ED">
        <w:rPr>
          <w:rFonts w:ascii="Abadi" w:hAnsi="Abadi"/>
          <w:b/>
          <w:bCs/>
          <w:sz w:val="21"/>
          <w:szCs w:val="21"/>
        </w:rPr>
        <w:t>483</w:t>
      </w:r>
    </w:p>
    <w:p w14:paraId="58ADFFBC" w14:textId="77777777" w:rsidR="00CD1B72" w:rsidRDefault="00CD1B72" w:rsidP="00EA36DA">
      <w:pPr>
        <w:autoSpaceDE w:val="0"/>
        <w:autoSpaceDN w:val="0"/>
        <w:adjustRightInd w:val="0"/>
        <w:ind w:right="142"/>
        <w:jc w:val="right"/>
        <w:rPr>
          <w:rFonts w:ascii="Abadi" w:hAnsi="Abadi"/>
          <w:b/>
          <w:bCs/>
          <w:sz w:val="21"/>
          <w:szCs w:val="21"/>
        </w:rPr>
      </w:pPr>
    </w:p>
    <w:p w14:paraId="18FABC6F" w14:textId="77777777" w:rsidR="00CD1B72" w:rsidRPr="00AB1D88" w:rsidRDefault="00CD1B72" w:rsidP="00CD1B72">
      <w:pPr>
        <w:ind w:left="709" w:right="709"/>
        <w:jc w:val="both"/>
        <w:rPr>
          <w:rFonts w:ascii="Abadi" w:hAnsi="Abadi"/>
          <w:b/>
          <w:bCs/>
          <w:sz w:val="21"/>
          <w:szCs w:val="21"/>
        </w:rPr>
      </w:pPr>
      <w:r w:rsidRPr="00AB1D88">
        <w:rPr>
          <w:rFonts w:ascii="Abadi" w:hAnsi="Abadi"/>
          <w:b/>
          <w:bCs/>
          <w:sz w:val="21"/>
          <w:szCs w:val="21"/>
        </w:rPr>
        <w:t xml:space="preserve">(Sube a tribuna la diputada </w:t>
      </w:r>
      <w:r w:rsidRPr="00CF559A">
        <w:rPr>
          <w:rFonts w:ascii="Abadi" w:hAnsi="Abadi"/>
          <w:b/>
          <w:bCs/>
          <w:sz w:val="21"/>
          <w:szCs w:val="21"/>
        </w:rPr>
        <w:t>Irma Leticia González Sánchez</w:t>
      </w:r>
      <w:r w:rsidRPr="00AB1D88">
        <w:rPr>
          <w:rFonts w:ascii="Abadi" w:hAnsi="Abadi"/>
          <w:b/>
          <w:bCs/>
          <w:sz w:val="21"/>
          <w:szCs w:val="21"/>
        </w:rPr>
        <w:t>, para hablar a favor del dictamen en referencia)</w:t>
      </w:r>
    </w:p>
    <w:p w14:paraId="31ED44A0" w14:textId="77777777" w:rsidR="00CD1B72" w:rsidRDefault="00CD1B72" w:rsidP="00CD1B72">
      <w:pPr>
        <w:autoSpaceDE w:val="0"/>
        <w:autoSpaceDN w:val="0"/>
        <w:adjustRightInd w:val="0"/>
        <w:ind w:right="142"/>
        <w:jc w:val="right"/>
        <w:rPr>
          <w:rFonts w:ascii="Abadi" w:hAnsi="Abadi"/>
          <w:b/>
          <w:bCs/>
          <w:sz w:val="21"/>
          <w:szCs w:val="21"/>
        </w:rPr>
      </w:pPr>
    </w:p>
    <w:p w14:paraId="242F8CAE" w14:textId="1B32CCF8" w:rsidR="00CD1B72" w:rsidRDefault="00CD1B72" w:rsidP="002273ED">
      <w:pPr>
        <w:autoSpaceDE w:val="0"/>
        <w:autoSpaceDN w:val="0"/>
        <w:adjustRightInd w:val="0"/>
        <w:ind w:right="-425"/>
        <w:jc w:val="right"/>
        <w:rPr>
          <w:rFonts w:ascii="Abadi" w:hAnsi="Abadi"/>
          <w:b/>
          <w:bCs/>
          <w:sz w:val="21"/>
          <w:szCs w:val="21"/>
        </w:rPr>
      </w:pPr>
      <w:r>
        <w:rPr>
          <w:rFonts w:ascii="Abadi" w:hAnsi="Abadi"/>
          <w:b/>
          <w:bCs/>
          <w:sz w:val="21"/>
          <w:szCs w:val="21"/>
        </w:rPr>
        <w:t>Pág.</w:t>
      </w:r>
      <w:r w:rsidR="002273ED">
        <w:rPr>
          <w:rFonts w:ascii="Abadi" w:hAnsi="Abadi"/>
          <w:b/>
          <w:bCs/>
          <w:sz w:val="21"/>
          <w:szCs w:val="21"/>
        </w:rPr>
        <w:t xml:space="preserve"> 484</w:t>
      </w:r>
    </w:p>
    <w:p w14:paraId="06227DD2" w14:textId="77777777" w:rsidR="00EA36DA" w:rsidRDefault="00EA36DA" w:rsidP="00EA36DA">
      <w:pPr>
        <w:autoSpaceDE w:val="0"/>
        <w:autoSpaceDN w:val="0"/>
        <w:adjustRightInd w:val="0"/>
        <w:ind w:right="142"/>
        <w:jc w:val="right"/>
        <w:rPr>
          <w:rFonts w:ascii="Abadi" w:hAnsi="Abadi"/>
          <w:b/>
          <w:bCs/>
          <w:sz w:val="21"/>
          <w:szCs w:val="21"/>
        </w:rPr>
      </w:pPr>
    </w:p>
    <w:p w14:paraId="01F53C6D" w14:textId="77777777" w:rsidR="0091346B" w:rsidRDefault="0091346B" w:rsidP="0092077E">
      <w:pPr>
        <w:autoSpaceDE w:val="0"/>
        <w:autoSpaceDN w:val="0"/>
        <w:adjustRightInd w:val="0"/>
        <w:ind w:right="142"/>
        <w:jc w:val="right"/>
        <w:rPr>
          <w:rFonts w:ascii="Abadi" w:hAnsi="Abadi"/>
          <w:b/>
          <w:bCs/>
          <w:sz w:val="21"/>
          <w:szCs w:val="21"/>
        </w:rPr>
      </w:pPr>
    </w:p>
    <w:p w14:paraId="796AD3E3" w14:textId="54045BF8" w:rsidR="0091346B" w:rsidRDefault="0091346B">
      <w:pPr>
        <w:pStyle w:val="Prrafodelista"/>
        <w:numPr>
          <w:ilvl w:val="0"/>
          <w:numId w:val="13"/>
        </w:numPr>
        <w:autoSpaceDE w:val="0"/>
        <w:autoSpaceDN w:val="0"/>
        <w:adjustRightInd w:val="0"/>
        <w:ind w:right="709"/>
        <w:contextualSpacing/>
        <w:jc w:val="both"/>
        <w:rPr>
          <w:rFonts w:ascii="Abadi" w:hAnsi="Abadi" w:cs="ArialMT"/>
          <w:b/>
          <w:bCs/>
          <w:sz w:val="21"/>
          <w:szCs w:val="21"/>
        </w:rPr>
      </w:pPr>
      <w:r w:rsidRPr="000F1534">
        <w:rPr>
          <w:rFonts w:ascii="Abadi" w:hAnsi="Abadi" w:cs="ArialMT"/>
          <w:b/>
          <w:bCs/>
          <w:sz w:val="21"/>
          <w:szCs w:val="21"/>
        </w:rPr>
        <w:t>Discusión y, en su caso, aprobación del dictamen presentado por la Comisión de Desarrollo Urbano y Obra Pública relativo a la iniciativa formulada por diputadas y diputados integrantes del Grupo Parlamentario</w:t>
      </w:r>
      <w:r w:rsidR="0074712C">
        <w:rPr>
          <w:rFonts w:ascii="Abadi" w:hAnsi="Abadi" w:cs="ArialMT"/>
          <w:b/>
          <w:bCs/>
          <w:sz w:val="21"/>
          <w:szCs w:val="21"/>
        </w:rPr>
        <w:t xml:space="preserve"> </w:t>
      </w:r>
      <w:r w:rsidR="0074712C" w:rsidRPr="00BD2ACC">
        <w:rPr>
          <w:rFonts w:ascii="Abadi" w:hAnsi="Abadi" w:cs="ArialMT"/>
          <w:b/>
          <w:bCs/>
          <w:sz w:val="21"/>
          <w:szCs w:val="21"/>
        </w:rPr>
        <w:t>del Partido Acción Nacional a efecto de reformar el párrafo tercero del artículo 104 de la Ley de Obra Pública y Servicios relacionados con la misma para el Estado y los Municipios de Guanajuato</w:t>
      </w:r>
      <w:r w:rsidR="0074712C">
        <w:rPr>
          <w:rFonts w:ascii="Abadi" w:hAnsi="Abadi" w:cs="ArialMT"/>
          <w:b/>
          <w:bCs/>
          <w:sz w:val="21"/>
          <w:szCs w:val="21"/>
        </w:rPr>
        <w:t>.</w:t>
      </w:r>
    </w:p>
    <w:p w14:paraId="0871B0F2" w14:textId="77777777" w:rsidR="0091346B" w:rsidRDefault="0091346B" w:rsidP="0091346B">
      <w:pPr>
        <w:pStyle w:val="Prrafodelista"/>
        <w:autoSpaceDE w:val="0"/>
        <w:autoSpaceDN w:val="0"/>
        <w:adjustRightInd w:val="0"/>
        <w:ind w:left="720"/>
        <w:contextualSpacing/>
        <w:jc w:val="both"/>
        <w:rPr>
          <w:rFonts w:ascii="Abadi" w:hAnsi="Abadi" w:cs="ArialMT"/>
          <w:b/>
          <w:bCs/>
          <w:sz w:val="21"/>
          <w:szCs w:val="21"/>
        </w:rPr>
      </w:pPr>
    </w:p>
    <w:p w14:paraId="1EA09193" w14:textId="6E7FEB54" w:rsidR="0091346B" w:rsidRPr="000F1534" w:rsidRDefault="0091346B" w:rsidP="002273ED">
      <w:pPr>
        <w:pStyle w:val="Prrafodelista"/>
        <w:autoSpaceDE w:val="0"/>
        <w:autoSpaceDN w:val="0"/>
        <w:adjustRightInd w:val="0"/>
        <w:ind w:left="720" w:right="-425"/>
        <w:contextualSpacing/>
        <w:jc w:val="right"/>
        <w:rPr>
          <w:rFonts w:ascii="Abadi" w:hAnsi="Abadi" w:cs="ArialMT"/>
          <w:b/>
          <w:bCs/>
          <w:sz w:val="21"/>
          <w:szCs w:val="21"/>
        </w:rPr>
      </w:pPr>
      <w:r>
        <w:rPr>
          <w:rFonts w:ascii="Abadi" w:hAnsi="Abadi"/>
          <w:b/>
          <w:bCs/>
          <w:sz w:val="21"/>
          <w:szCs w:val="21"/>
        </w:rPr>
        <w:t xml:space="preserve">Pág. </w:t>
      </w:r>
      <w:r w:rsidR="002273ED">
        <w:rPr>
          <w:rFonts w:ascii="Abadi" w:hAnsi="Abadi"/>
          <w:b/>
          <w:bCs/>
          <w:sz w:val="21"/>
          <w:szCs w:val="21"/>
        </w:rPr>
        <w:t>485</w:t>
      </w:r>
      <w:r>
        <w:rPr>
          <w:rFonts w:ascii="Abadi" w:hAnsi="Abadi"/>
          <w:b/>
          <w:bCs/>
          <w:sz w:val="21"/>
          <w:szCs w:val="21"/>
        </w:rPr>
        <w:t xml:space="preserve"> </w:t>
      </w:r>
    </w:p>
    <w:p w14:paraId="7B7D85FF" w14:textId="77777777" w:rsidR="0092077E" w:rsidRPr="005570FE" w:rsidRDefault="0092077E" w:rsidP="000270AC">
      <w:pPr>
        <w:autoSpaceDE w:val="0"/>
        <w:autoSpaceDN w:val="0"/>
        <w:adjustRightInd w:val="0"/>
        <w:ind w:right="709"/>
        <w:jc w:val="both"/>
        <w:rPr>
          <w:rFonts w:ascii="Abadi" w:hAnsi="Abadi" w:cs="ArialMT"/>
          <w:b/>
          <w:bCs/>
          <w:sz w:val="21"/>
          <w:szCs w:val="21"/>
        </w:rPr>
      </w:pPr>
    </w:p>
    <w:p w14:paraId="68CAF90C" w14:textId="77777777" w:rsidR="0074712C" w:rsidRDefault="0096035C">
      <w:pPr>
        <w:pStyle w:val="Prrafodelista"/>
        <w:numPr>
          <w:ilvl w:val="0"/>
          <w:numId w:val="12"/>
        </w:numPr>
        <w:spacing w:after="160" w:line="259" w:lineRule="auto"/>
        <w:ind w:right="709"/>
        <w:contextualSpacing/>
        <w:jc w:val="both"/>
        <w:rPr>
          <w:rFonts w:ascii="Abadi" w:hAnsi="Abadi" w:cs="ArialMT"/>
          <w:b/>
          <w:bCs/>
          <w:sz w:val="21"/>
          <w:szCs w:val="21"/>
        </w:rPr>
      </w:pPr>
      <w:r w:rsidRPr="005570FE">
        <w:rPr>
          <w:rFonts w:ascii="Abadi" w:hAnsi="Abadi" w:cs="ArialMT"/>
          <w:b/>
          <w:bCs/>
          <w:sz w:val="21"/>
          <w:szCs w:val="21"/>
        </w:rPr>
        <w:t>Asuntos generales.</w:t>
      </w:r>
    </w:p>
    <w:p w14:paraId="4FCBF42C" w14:textId="19D68F6C" w:rsidR="00846FFC" w:rsidRDefault="00846FFC" w:rsidP="002273ED">
      <w:pPr>
        <w:pStyle w:val="Prrafodelista"/>
        <w:spacing w:after="160" w:line="259" w:lineRule="auto"/>
        <w:ind w:left="720" w:right="-425"/>
        <w:contextualSpacing/>
        <w:jc w:val="right"/>
        <w:rPr>
          <w:rFonts w:ascii="Abadi" w:hAnsi="Abadi"/>
          <w:b/>
          <w:bCs/>
          <w:sz w:val="21"/>
          <w:szCs w:val="21"/>
        </w:rPr>
      </w:pPr>
      <w:r w:rsidRPr="0074712C">
        <w:rPr>
          <w:rFonts w:ascii="Abadi" w:hAnsi="Abadi"/>
          <w:b/>
          <w:bCs/>
          <w:sz w:val="21"/>
          <w:szCs w:val="21"/>
        </w:rPr>
        <w:t xml:space="preserve"> </w:t>
      </w:r>
      <w:r w:rsidR="0074712C">
        <w:rPr>
          <w:rFonts w:ascii="Abadi" w:hAnsi="Abadi"/>
          <w:b/>
          <w:bCs/>
          <w:sz w:val="21"/>
          <w:szCs w:val="21"/>
        </w:rPr>
        <w:t xml:space="preserve">Pág. </w:t>
      </w:r>
      <w:r w:rsidR="002273ED">
        <w:rPr>
          <w:rFonts w:ascii="Abadi" w:hAnsi="Abadi"/>
          <w:b/>
          <w:bCs/>
          <w:sz w:val="21"/>
          <w:szCs w:val="21"/>
        </w:rPr>
        <w:t>496</w:t>
      </w:r>
    </w:p>
    <w:p w14:paraId="605A2C22" w14:textId="7E5C0D35" w:rsidR="000E427C" w:rsidRDefault="000E427C" w:rsidP="0074712C">
      <w:pPr>
        <w:pStyle w:val="Prrafodelista"/>
        <w:spacing w:after="160" w:line="259" w:lineRule="auto"/>
        <w:ind w:left="720"/>
        <w:contextualSpacing/>
        <w:jc w:val="right"/>
        <w:rPr>
          <w:rFonts w:ascii="Abadi" w:hAnsi="Abadi"/>
          <w:b/>
          <w:bCs/>
          <w:sz w:val="21"/>
          <w:szCs w:val="21"/>
        </w:rPr>
      </w:pPr>
    </w:p>
    <w:p w14:paraId="6C4AFD14" w14:textId="5EA5C32B" w:rsidR="000E427C" w:rsidRDefault="000E427C" w:rsidP="009267A1">
      <w:pPr>
        <w:ind w:left="709" w:right="709"/>
        <w:jc w:val="both"/>
        <w:rPr>
          <w:rFonts w:ascii="Abadi" w:hAnsi="Abadi"/>
          <w:b/>
          <w:bCs/>
          <w:sz w:val="21"/>
          <w:szCs w:val="21"/>
        </w:rPr>
      </w:pPr>
      <w:r w:rsidRPr="00602722">
        <w:rPr>
          <w:rFonts w:ascii="Abadi" w:hAnsi="Abadi"/>
          <w:b/>
          <w:bCs/>
          <w:sz w:val="21"/>
          <w:szCs w:val="21"/>
        </w:rPr>
        <w:t xml:space="preserve">(Sube a tribuna la diputada Martha Guadalupe Camarena Hernández Camarena, para hablar </w:t>
      </w:r>
      <w:r>
        <w:rPr>
          <w:rFonts w:ascii="Abadi" w:hAnsi="Abadi"/>
          <w:b/>
          <w:bCs/>
          <w:sz w:val="21"/>
          <w:szCs w:val="21"/>
        </w:rPr>
        <w:t>asuntos</w:t>
      </w:r>
      <w:r w:rsidRPr="00602722">
        <w:rPr>
          <w:rFonts w:ascii="Abadi" w:hAnsi="Abadi"/>
          <w:b/>
          <w:bCs/>
          <w:sz w:val="21"/>
          <w:szCs w:val="21"/>
        </w:rPr>
        <w:t xml:space="preserve"> de interés general, con el tema: «Cáncer de Mama»</w:t>
      </w:r>
      <w:r>
        <w:rPr>
          <w:rFonts w:ascii="Abadi" w:hAnsi="Abadi"/>
          <w:b/>
          <w:bCs/>
          <w:sz w:val="21"/>
          <w:szCs w:val="21"/>
        </w:rPr>
        <w:t>)</w:t>
      </w:r>
    </w:p>
    <w:p w14:paraId="37181EE3" w14:textId="0AEC0A68" w:rsidR="00357464" w:rsidRDefault="00357464" w:rsidP="00814909">
      <w:pPr>
        <w:pStyle w:val="Prrafodelista"/>
        <w:spacing w:after="160" w:line="259" w:lineRule="auto"/>
        <w:ind w:left="720" w:right="-425"/>
        <w:contextualSpacing/>
        <w:jc w:val="right"/>
        <w:rPr>
          <w:rFonts w:ascii="Abadi" w:hAnsi="Abadi"/>
          <w:b/>
          <w:bCs/>
          <w:sz w:val="21"/>
          <w:szCs w:val="21"/>
        </w:rPr>
      </w:pPr>
      <w:r>
        <w:rPr>
          <w:rFonts w:ascii="Abadi" w:hAnsi="Abadi"/>
          <w:b/>
          <w:bCs/>
          <w:sz w:val="21"/>
          <w:szCs w:val="21"/>
        </w:rPr>
        <w:t>Pág.</w:t>
      </w:r>
      <w:r w:rsidR="00035293">
        <w:rPr>
          <w:rFonts w:ascii="Abadi" w:hAnsi="Abadi"/>
          <w:b/>
          <w:bCs/>
          <w:sz w:val="21"/>
          <w:szCs w:val="21"/>
        </w:rPr>
        <w:t xml:space="preserve"> </w:t>
      </w:r>
      <w:r w:rsidR="00814909">
        <w:rPr>
          <w:rFonts w:ascii="Abadi" w:hAnsi="Abadi"/>
          <w:b/>
          <w:bCs/>
          <w:sz w:val="21"/>
          <w:szCs w:val="21"/>
        </w:rPr>
        <w:t>496</w:t>
      </w:r>
      <w:r>
        <w:rPr>
          <w:rFonts w:ascii="Abadi" w:hAnsi="Abadi"/>
          <w:b/>
          <w:bCs/>
          <w:sz w:val="21"/>
          <w:szCs w:val="21"/>
        </w:rPr>
        <w:t xml:space="preserve">  </w:t>
      </w:r>
    </w:p>
    <w:p w14:paraId="183D42FB" w14:textId="013F626A" w:rsidR="00357464" w:rsidRDefault="00357464" w:rsidP="000E427C">
      <w:pPr>
        <w:jc w:val="both"/>
        <w:rPr>
          <w:rFonts w:ascii="Abadi" w:hAnsi="Abadi"/>
          <w:b/>
          <w:bCs/>
          <w:sz w:val="21"/>
          <w:szCs w:val="21"/>
        </w:rPr>
      </w:pPr>
    </w:p>
    <w:p w14:paraId="18ED0FE9" w14:textId="128E14FE" w:rsidR="00357464" w:rsidRDefault="00357464" w:rsidP="009267A1">
      <w:pPr>
        <w:ind w:left="709" w:right="709"/>
        <w:jc w:val="both"/>
        <w:rPr>
          <w:rFonts w:ascii="Abadi" w:hAnsi="Abadi"/>
          <w:b/>
          <w:bCs/>
          <w:sz w:val="21"/>
          <w:szCs w:val="21"/>
        </w:rPr>
      </w:pPr>
      <w:r w:rsidRPr="000578BA">
        <w:rPr>
          <w:rFonts w:ascii="Abadi" w:hAnsi="Abadi"/>
          <w:b/>
          <w:bCs/>
          <w:sz w:val="21"/>
          <w:szCs w:val="21"/>
        </w:rPr>
        <w:t>(Sube a tribuna la diputada Laura Cristina Márquez Alcalá, para hablar en asuntos de interés general, con el tema: «Reflexión»)</w:t>
      </w:r>
    </w:p>
    <w:p w14:paraId="6FC8129C" w14:textId="77777777" w:rsidR="006D3384" w:rsidRDefault="006D3384" w:rsidP="00357464">
      <w:pPr>
        <w:jc w:val="both"/>
        <w:rPr>
          <w:rFonts w:ascii="Abadi" w:hAnsi="Abadi"/>
          <w:b/>
          <w:bCs/>
          <w:sz w:val="21"/>
          <w:szCs w:val="21"/>
        </w:rPr>
      </w:pPr>
    </w:p>
    <w:p w14:paraId="20C0767B" w14:textId="7B7162EF" w:rsidR="006D3384" w:rsidRDefault="006D3384" w:rsidP="00814909">
      <w:pPr>
        <w:pStyle w:val="Prrafodelista"/>
        <w:spacing w:after="160" w:line="259" w:lineRule="auto"/>
        <w:ind w:left="720" w:right="-425"/>
        <w:contextualSpacing/>
        <w:jc w:val="right"/>
        <w:rPr>
          <w:rFonts w:ascii="Abadi" w:hAnsi="Abadi"/>
          <w:b/>
          <w:bCs/>
          <w:sz w:val="21"/>
          <w:szCs w:val="21"/>
        </w:rPr>
      </w:pPr>
      <w:r>
        <w:rPr>
          <w:rFonts w:ascii="Abadi" w:hAnsi="Abadi"/>
          <w:b/>
          <w:bCs/>
          <w:sz w:val="21"/>
          <w:szCs w:val="21"/>
        </w:rPr>
        <w:t xml:space="preserve">Pág. </w:t>
      </w:r>
      <w:r w:rsidR="00814909">
        <w:rPr>
          <w:rFonts w:ascii="Abadi" w:hAnsi="Abadi"/>
          <w:b/>
          <w:bCs/>
          <w:sz w:val="21"/>
          <w:szCs w:val="21"/>
        </w:rPr>
        <w:t>497</w:t>
      </w:r>
      <w:r>
        <w:rPr>
          <w:rFonts w:ascii="Abadi" w:hAnsi="Abadi"/>
          <w:b/>
          <w:bCs/>
          <w:sz w:val="21"/>
          <w:szCs w:val="21"/>
        </w:rPr>
        <w:t xml:space="preserve"> </w:t>
      </w:r>
    </w:p>
    <w:p w14:paraId="14E1A6C7" w14:textId="77777777" w:rsidR="006D3384" w:rsidRDefault="006D3384" w:rsidP="00357464">
      <w:pPr>
        <w:jc w:val="both"/>
        <w:rPr>
          <w:rFonts w:ascii="Abadi" w:hAnsi="Abadi"/>
          <w:b/>
          <w:bCs/>
          <w:sz w:val="21"/>
          <w:szCs w:val="21"/>
        </w:rPr>
      </w:pPr>
    </w:p>
    <w:p w14:paraId="5D6A6A02" w14:textId="6D1EA73B" w:rsidR="006D3384" w:rsidRDefault="006D3384" w:rsidP="009267A1">
      <w:pPr>
        <w:ind w:left="709" w:right="709"/>
        <w:jc w:val="both"/>
        <w:rPr>
          <w:rFonts w:ascii="Abadi" w:hAnsi="Abadi"/>
          <w:b/>
          <w:bCs/>
          <w:sz w:val="21"/>
          <w:szCs w:val="21"/>
        </w:rPr>
      </w:pPr>
      <w:r w:rsidRPr="001C683F">
        <w:rPr>
          <w:rFonts w:ascii="Abadi" w:hAnsi="Abadi"/>
          <w:b/>
          <w:bCs/>
          <w:sz w:val="21"/>
          <w:szCs w:val="21"/>
        </w:rPr>
        <w:lastRenderedPageBreak/>
        <w:t>(Sube a tribuna la diputada Martha Lourdes Ortega Roque, para hablar en asuntos de interés general, con el tema: «Cunas Vacías»)</w:t>
      </w:r>
    </w:p>
    <w:p w14:paraId="4C0286C2" w14:textId="77777777" w:rsidR="009267A1" w:rsidRDefault="009267A1" w:rsidP="006D3384">
      <w:pPr>
        <w:jc w:val="both"/>
        <w:rPr>
          <w:rFonts w:ascii="Abadi" w:hAnsi="Abadi"/>
          <w:b/>
          <w:bCs/>
          <w:sz w:val="21"/>
          <w:szCs w:val="21"/>
        </w:rPr>
      </w:pPr>
    </w:p>
    <w:p w14:paraId="34FD1BC2" w14:textId="4F01CE9D" w:rsidR="009267A1" w:rsidRDefault="009267A1" w:rsidP="00215179">
      <w:pPr>
        <w:pStyle w:val="Prrafodelista"/>
        <w:spacing w:after="160" w:line="259" w:lineRule="auto"/>
        <w:ind w:left="720" w:right="-284"/>
        <w:contextualSpacing/>
        <w:jc w:val="right"/>
        <w:rPr>
          <w:rFonts w:ascii="Abadi" w:hAnsi="Abadi"/>
          <w:b/>
          <w:bCs/>
          <w:sz w:val="21"/>
          <w:szCs w:val="21"/>
        </w:rPr>
      </w:pPr>
      <w:r>
        <w:rPr>
          <w:rFonts w:ascii="Abadi" w:hAnsi="Abadi"/>
          <w:b/>
          <w:bCs/>
          <w:sz w:val="21"/>
          <w:szCs w:val="21"/>
        </w:rPr>
        <w:t xml:space="preserve">Pág. </w:t>
      </w:r>
      <w:r w:rsidR="00215179">
        <w:rPr>
          <w:rFonts w:ascii="Abadi" w:hAnsi="Abadi"/>
          <w:b/>
          <w:bCs/>
          <w:sz w:val="21"/>
          <w:szCs w:val="21"/>
        </w:rPr>
        <w:t>499</w:t>
      </w:r>
      <w:r>
        <w:rPr>
          <w:rFonts w:ascii="Abadi" w:hAnsi="Abadi"/>
          <w:b/>
          <w:bCs/>
          <w:sz w:val="21"/>
          <w:szCs w:val="21"/>
        </w:rPr>
        <w:t xml:space="preserve"> </w:t>
      </w:r>
    </w:p>
    <w:p w14:paraId="0A5049CA" w14:textId="452B802E" w:rsidR="009267A1" w:rsidRDefault="009267A1" w:rsidP="006D3384">
      <w:pPr>
        <w:jc w:val="both"/>
        <w:rPr>
          <w:rFonts w:ascii="Abadi" w:hAnsi="Abadi"/>
          <w:b/>
          <w:bCs/>
          <w:sz w:val="21"/>
          <w:szCs w:val="21"/>
        </w:rPr>
      </w:pPr>
    </w:p>
    <w:p w14:paraId="4E909D38" w14:textId="0004AE26" w:rsidR="009267A1" w:rsidRDefault="009267A1" w:rsidP="009267A1">
      <w:pPr>
        <w:ind w:left="709" w:right="709"/>
        <w:jc w:val="both"/>
        <w:rPr>
          <w:rFonts w:ascii="Abadi" w:hAnsi="Abadi"/>
          <w:b/>
          <w:bCs/>
          <w:sz w:val="21"/>
          <w:szCs w:val="21"/>
        </w:rPr>
      </w:pPr>
      <w:r w:rsidRPr="005B5DE0">
        <w:rPr>
          <w:rFonts w:ascii="Abadi" w:hAnsi="Abadi"/>
          <w:b/>
          <w:bCs/>
          <w:sz w:val="21"/>
          <w:szCs w:val="21"/>
        </w:rPr>
        <w:t>(Sube a tribuna el diputado Gerardo Fernández González, para hablar en asuntos de interés general, con el tema: «Justicia para Pedro»)</w:t>
      </w:r>
    </w:p>
    <w:p w14:paraId="72503A89" w14:textId="2B619548" w:rsidR="00E05CFE" w:rsidRDefault="00E05CFE" w:rsidP="00215179">
      <w:pPr>
        <w:pStyle w:val="Prrafodelista"/>
        <w:spacing w:after="160" w:line="259" w:lineRule="auto"/>
        <w:ind w:left="720" w:right="-284"/>
        <w:contextualSpacing/>
        <w:jc w:val="right"/>
        <w:rPr>
          <w:rFonts w:ascii="Abadi" w:hAnsi="Abadi"/>
          <w:b/>
          <w:bCs/>
          <w:sz w:val="21"/>
          <w:szCs w:val="21"/>
        </w:rPr>
      </w:pPr>
      <w:r>
        <w:rPr>
          <w:rFonts w:ascii="Abadi" w:hAnsi="Abadi"/>
          <w:b/>
          <w:bCs/>
          <w:sz w:val="21"/>
          <w:szCs w:val="21"/>
        </w:rPr>
        <w:t xml:space="preserve">Pág. </w:t>
      </w:r>
      <w:r w:rsidR="00215179">
        <w:rPr>
          <w:rFonts w:ascii="Abadi" w:hAnsi="Abadi"/>
          <w:b/>
          <w:bCs/>
          <w:sz w:val="21"/>
          <w:szCs w:val="21"/>
        </w:rPr>
        <w:t>500</w:t>
      </w:r>
    </w:p>
    <w:p w14:paraId="4E9993DD" w14:textId="77777777" w:rsidR="00E05CFE" w:rsidRDefault="00E05CFE" w:rsidP="009267A1">
      <w:pPr>
        <w:ind w:left="709" w:right="709"/>
        <w:jc w:val="both"/>
        <w:rPr>
          <w:rFonts w:ascii="Abadi" w:hAnsi="Abadi"/>
          <w:b/>
          <w:bCs/>
          <w:sz w:val="21"/>
          <w:szCs w:val="21"/>
        </w:rPr>
      </w:pPr>
    </w:p>
    <w:p w14:paraId="551A8186" w14:textId="5BDA5369" w:rsidR="00E05CFE" w:rsidRDefault="00E05CFE" w:rsidP="00E05CFE">
      <w:pPr>
        <w:ind w:left="709" w:right="709"/>
        <w:jc w:val="both"/>
        <w:rPr>
          <w:rFonts w:ascii="Abadi" w:hAnsi="Abadi"/>
          <w:b/>
          <w:bCs/>
          <w:sz w:val="21"/>
          <w:szCs w:val="21"/>
        </w:rPr>
      </w:pPr>
      <w:r w:rsidRPr="0011068A">
        <w:rPr>
          <w:rFonts w:ascii="Abadi" w:hAnsi="Abadi"/>
          <w:b/>
          <w:bCs/>
          <w:sz w:val="21"/>
          <w:szCs w:val="21"/>
        </w:rPr>
        <w:t>(Sube a tribuna la diputada Angelica Casillas, para rectificación de hechos de quien le antecedió en el uso de la voz)</w:t>
      </w:r>
    </w:p>
    <w:p w14:paraId="61BECE25" w14:textId="77777777" w:rsidR="00214EFD" w:rsidRDefault="00214EFD" w:rsidP="00E05CFE">
      <w:pPr>
        <w:ind w:left="709" w:right="709"/>
        <w:jc w:val="both"/>
        <w:rPr>
          <w:rFonts w:ascii="Abadi" w:hAnsi="Abadi"/>
          <w:b/>
          <w:bCs/>
          <w:sz w:val="21"/>
          <w:szCs w:val="21"/>
        </w:rPr>
      </w:pPr>
    </w:p>
    <w:p w14:paraId="7A902BFD" w14:textId="5040AE44" w:rsidR="00214EFD" w:rsidRDefault="00214EFD" w:rsidP="00027B74">
      <w:pPr>
        <w:pStyle w:val="Prrafodelista"/>
        <w:spacing w:after="160" w:line="259" w:lineRule="auto"/>
        <w:ind w:left="720" w:right="-284"/>
        <w:contextualSpacing/>
        <w:jc w:val="right"/>
        <w:rPr>
          <w:rFonts w:ascii="Abadi" w:hAnsi="Abadi"/>
          <w:b/>
          <w:bCs/>
          <w:sz w:val="21"/>
          <w:szCs w:val="21"/>
        </w:rPr>
      </w:pPr>
      <w:r>
        <w:rPr>
          <w:rFonts w:ascii="Abadi" w:hAnsi="Abadi"/>
          <w:b/>
          <w:bCs/>
          <w:sz w:val="21"/>
          <w:szCs w:val="21"/>
        </w:rPr>
        <w:t xml:space="preserve">Pág. </w:t>
      </w:r>
      <w:r w:rsidR="00027B74">
        <w:rPr>
          <w:rFonts w:ascii="Abadi" w:hAnsi="Abadi"/>
          <w:b/>
          <w:bCs/>
          <w:sz w:val="21"/>
          <w:szCs w:val="21"/>
        </w:rPr>
        <w:t>502</w:t>
      </w:r>
      <w:r>
        <w:rPr>
          <w:rFonts w:ascii="Abadi" w:hAnsi="Abadi"/>
          <w:b/>
          <w:bCs/>
          <w:sz w:val="21"/>
          <w:szCs w:val="21"/>
        </w:rPr>
        <w:t xml:space="preserve"> </w:t>
      </w:r>
    </w:p>
    <w:p w14:paraId="54BC411B" w14:textId="47CB4429" w:rsidR="00E05CFE" w:rsidRDefault="00E05CFE" w:rsidP="009267A1">
      <w:pPr>
        <w:ind w:left="709" w:right="709"/>
        <w:jc w:val="both"/>
        <w:rPr>
          <w:rFonts w:ascii="Abadi" w:hAnsi="Abadi"/>
          <w:b/>
          <w:bCs/>
          <w:sz w:val="21"/>
          <w:szCs w:val="21"/>
        </w:rPr>
      </w:pPr>
    </w:p>
    <w:p w14:paraId="6C032553" w14:textId="010C164E" w:rsidR="00214EFD" w:rsidRDefault="00214EFD" w:rsidP="00214EFD">
      <w:pPr>
        <w:ind w:left="709" w:right="709"/>
        <w:jc w:val="both"/>
        <w:rPr>
          <w:rFonts w:ascii="Abadi" w:hAnsi="Abadi"/>
          <w:b/>
          <w:bCs/>
          <w:sz w:val="21"/>
          <w:szCs w:val="21"/>
        </w:rPr>
      </w:pPr>
      <w:r w:rsidRPr="00600829">
        <w:rPr>
          <w:rFonts w:ascii="Abadi" w:hAnsi="Abadi"/>
          <w:b/>
          <w:bCs/>
          <w:sz w:val="21"/>
          <w:szCs w:val="21"/>
        </w:rPr>
        <w:t xml:space="preserve">(Sube a tribuna el diputado Gerardo Fernández González, para rectificación de hechos de la </w:t>
      </w:r>
      <w:r>
        <w:rPr>
          <w:rFonts w:ascii="Abadi" w:hAnsi="Abadi"/>
          <w:b/>
          <w:bCs/>
          <w:sz w:val="21"/>
          <w:szCs w:val="21"/>
        </w:rPr>
        <w:t>diputada q</w:t>
      </w:r>
      <w:r w:rsidRPr="00600829">
        <w:rPr>
          <w:rFonts w:ascii="Abadi" w:hAnsi="Abadi"/>
          <w:b/>
          <w:bCs/>
          <w:sz w:val="21"/>
          <w:szCs w:val="21"/>
        </w:rPr>
        <w:t>ue le antecedió en el uso de la voz)</w:t>
      </w:r>
    </w:p>
    <w:p w14:paraId="6BE3BFB7" w14:textId="77777777" w:rsidR="00AE5865" w:rsidRDefault="00AE5865" w:rsidP="00AE5865">
      <w:pPr>
        <w:pStyle w:val="Prrafodelista"/>
        <w:spacing w:after="160" w:line="259" w:lineRule="auto"/>
        <w:ind w:left="720" w:right="-284"/>
        <w:contextualSpacing/>
        <w:jc w:val="right"/>
        <w:rPr>
          <w:rFonts w:ascii="Abadi" w:hAnsi="Abadi"/>
          <w:b/>
          <w:bCs/>
          <w:sz w:val="21"/>
          <w:szCs w:val="21"/>
        </w:rPr>
      </w:pPr>
    </w:p>
    <w:p w14:paraId="2051E6B3" w14:textId="31C4F47A" w:rsidR="009253B3" w:rsidRDefault="009253B3" w:rsidP="00AE5865">
      <w:pPr>
        <w:pStyle w:val="Prrafodelista"/>
        <w:spacing w:after="160" w:line="259" w:lineRule="auto"/>
        <w:ind w:left="720" w:right="-284"/>
        <w:contextualSpacing/>
        <w:jc w:val="right"/>
        <w:rPr>
          <w:rFonts w:ascii="Abadi" w:hAnsi="Abadi"/>
          <w:b/>
          <w:bCs/>
          <w:sz w:val="21"/>
          <w:szCs w:val="21"/>
        </w:rPr>
      </w:pPr>
      <w:r>
        <w:rPr>
          <w:rFonts w:ascii="Abadi" w:hAnsi="Abadi"/>
          <w:b/>
          <w:bCs/>
          <w:sz w:val="21"/>
          <w:szCs w:val="21"/>
        </w:rPr>
        <w:t xml:space="preserve">Pág. </w:t>
      </w:r>
      <w:r w:rsidR="00AE5865">
        <w:rPr>
          <w:rFonts w:ascii="Abadi" w:hAnsi="Abadi"/>
          <w:b/>
          <w:bCs/>
          <w:sz w:val="21"/>
          <w:szCs w:val="21"/>
        </w:rPr>
        <w:t>502</w:t>
      </w:r>
      <w:r>
        <w:rPr>
          <w:rFonts w:ascii="Abadi" w:hAnsi="Abadi"/>
          <w:b/>
          <w:bCs/>
          <w:sz w:val="21"/>
          <w:szCs w:val="21"/>
        </w:rPr>
        <w:t xml:space="preserve"> </w:t>
      </w:r>
    </w:p>
    <w:p w14:paraId="5BFA7A61" w14:textId="3335CE41" w:rsidR="009253B3" w:rsidRDefault="009253B3" w:rsidP="00214EFD">
      <w:pPr>
        <w:ind w:left="709" w:right="709"/>
        <w:jc w:val="both"/>
        <w:rPr>
          <w:rFonts w:ascii="Abadi" w:hAnsi="Abadi"/>
          <w:b/>
          <w:bCs/>
          <w:sz w:val="21"/>
          <w:szCs w:val="21"/>
        </w:rPr>
      </w:pPr>
    </w:p>
    <w:p w14:paraId="3236667C" w14:textId="77A8F543" w:rsidR="009253B3" w:rsidRPr="00600829" w:rsidRDefault="00EE7F8E" w:rsidP="00214EFD">
      <w:pPr>
        <w:ind w:left="709" w:right="709"/>
        <w:jc w:val="both"/>
        <w:rPr>
          <w:rFonts w:ascii="Abadi" w:hAnsi="Abadi"/>
          <w:b/>
          <w:bCs/>
          <w:sz w:val="21"/>
          <w:szCs w:val="21"/>
        </w:rPr>
      </w:pPr>
      <w:r>
        <w:rPr>
          <w:rFonts w:ascii="Abadi" w:hAnsi="Abadi"/>
          <w:b/>
          <w:bCs/>
          <w:sz w:val="21"/>
          <w:szCs w:val="21"/>
        </w:rPr>
        <w:t>(</w:t>
      </w:r>
      <w:r w:rsidR="009253B3" w:rsidRPr="00E841B6">
        <w:rPr>
          <w:rFonts w:ascii="Abadi" w:hAnsi="Abadi"/>
          <w:b/>
          <w:bCs/>
          <w:sz w:val="21"/>
          <w:szCs w:val="21"/>
        </w:rPr>
        <w:t>Sube a tribuna el diputado Javier Torres Mereles, para hablar en asuntos de interés general, con el tema: «Día Internacional para la reducción del riesgo de desastre</w:t>
      </w:r>
      <w:r w:rsidR="009253B3">
        <w:rPr>
          <w:rFonts w:ascii="Abadi" w:hAnsi="Abadi"/>
          <w:b/>
          <w:bCs/>
          <w:sz w:val="21"/>
          <w:szCs w:val="21"/>
        </w:rPr>
        <w:t>s</w:t>
      </w:r>
      <w:r w:rsidR="009253B3" w:rsidRPr="00E841B6">
        <w:rPr>
          <w:rFonts w:ascii="Abadi" w:hAnsi="Abadi"/>
          <w:b/>
          <w:bCs/>
          <w:sz w:val="21"/>
          <w:szCs w:val="21"/>
        </w:rPr>
        <w:t>»)</w:t>
      </w:r>
    </w:p>
    <w:p w14:paraId="5C02A1B9" w14:textId="519B3B70" w:rsidR="00214EFD" w:rsidRDefault="00214EFD" w:rsidP="009267A1">
      <w:pPr>
        <w:ind w:left="709" w:right="709"/>
        <w:jc w:val="both"/>
        <w:rPr>
          <w:rFonts w:ascii="Abadi" w:hAnsi="Abadi"/>
          <w:b/>
          <w:bCs/>
          <w:sz w:val="21"/>
          <w:szCs w:val="21"/>
        </w:rPr>
      </w:pPr>
    </w:p>
    <w:p w14:paraId="4B440B02" w14:textId="69AA6F69" w:rsidR="00AE5865" w:rsidRDefault="00AE5865" w:rsidP="00AE5865">
      <w:pPr>
        <w:pStyle w:val="Prrafodelista"/>
        <w:spacing w:after="160" w:line="259" w:lineRule="auto"/>
        <w:ind w:left="720" w:right="-284"/>
        <w:contextualSpacing/>
        <w:jc w:val="right"/>
        <w:rPr>
          <w:rFonts w:ascii="Abadi" w:hAnsi="Abadi"/>
          <w:b/>
          <w:bCs/>
          <w:sz w:val="21"/>
          <w:szCs w:val="21"/>
        </w:rPr>
      </w:pPr>
      <w:r>
        <w:rPr>
          <w:rFonts w:ascii="Abadi" w:hAnsi="Abadi"/>
          <w:b/>
          <w:bCs/>
          <w:sz w:val="21"/>
          <w:szCs w:val="21"/>
        </w:rPr>
        <w:t>Pág. 50</w:t>
      </w:r>
      <w:r w:rsidR="0065789D">
        <w:rPr>
          <w:rFonts w:ascii="Abadi" w:hAnsi="Abadi"/>
          <w:b/>
          <w:bCs/>
          <w:sz w:val="21"/>
          <w:szCs w:val="21"/>
        </w:rPr>
        <w:t>3</w:t>
      </w:r>
      <w:r>
        <w:rPr>
          <w:rFonts w:ascii="Abadi" w:hAnsi="Abadi"/>
          <w:b/>
          <w:bCs/>
          <w:sz w:val="21"/>
          <w:szCs w:val="21"/>
        </w:rPr>
        <w:t xml:space="preserve"> </w:t>
      </w:r>
    </w:p>
    <w:p w14:paraId="1714531D" w14:textId="77777777" w:rsidR="000218BD" w:rsidRPr="009839D7" w:rsidRDefault="000218BD" w:rsidP="000218BD">
      <w:pPr>
        <w:ind w:left="993" w:right="709" w:hanging="360"/>
        <w:jc w:val="both"/>
        <w:rPr>
          <w:rFonts w:ascii="Abadi" w:hAnsi="Abadi" w:cs="ArialMT"/>
          <w:b/>
          <w:bCs/>
          <w:sz w:val="21"/>
          <w:szCs w:val="21"/>
        </w:rPr>
      </w:pPr>
    </w:p>
    <w:p w14:paraId="05374C48" w14:textId="109515C3" w:rsidR="000218BD" w:rsidRDefault="000218BD" w:rsidP="000218BD">
      <w:pPr>
        <w:jc w:val="center"/>
        <w:rPr>
          <w:rFonts w:ascii="Abadi" w:hAnsi="Abadi"/>
          <w:b/>
          <w:bCs/>
          <w:iCs/>
          <w:sz w:val="21"/>
          <w:szCs w:val="21"/>
        </w:rPr>
      </w:pPr>
      <w:r w:rsidRPr="0066249B">
        <w:rPr>
          <w:rFonts w:ascii="Abadi" w:hAnsi="Abadi"/>
          <w:b/>
          <w:bCs/>
          <w:iCs/>
          <w:sz w:val="21"/>
          <w:szCs w:val="21"/>
        </w:rPr>
        <w:t>PRESIDENCIA D</w:t>
      </w:r>
      <w:r w:rsidR="00412271">
        <w:rPr>
          <w:rFonts w:ascii="Abadi" w:hAnsi="Abadi"/>
          <w:b/>
          <w:bCs/>
          <w:iCs/>
          <w:sz w:val="21"/>
          <w:szCs w:val="21"/>
        </w:rPr>
        <w:t>EL DIPUTADO MARTÍ</w:t>
      </w:r>
      <w:r w:rsidR="003070F5">
        <w:rPr>
          <w:rFonts w:ascii="Abadi" w:hAnsi="Abadi"/>
          <w:b/>
          <w:bCs/>
          <w:iCs/>
          <w:sz w:val="21"/>
          <w:szCs w:val="21"/>
        </w:rPr>
        <w:t xml:space="preserve">N </w:t>
      </w:r>
      <w:r w:rsidR="00412271">
        <w:rPr>
          <w:rFonts w:ascii="Abadi" w:hAnsi="Abadi"/>
          <w:b/>
          <w:bCs/>
          <w:iCs/>
          <w:sz w:val="21"/>
          <w:szCs w:val="21"/>
        </w:rPr>
        <w:t>LÓPEZ CAMACHO</w:t>
      </w:r>
    </w:p>
    <w:p w14:paraId="42709B54" w14:textId="7503B5E9" w:rsidR="00945F03" w:rsidRDefault="00945F03" w:rsidP="000218BD">
      <w:pPr>
        <w:jc w:val="center"/>
        <w:rPr>
          <w:rFonts w:ascii="Abadi" w:hAnsi="Abadi"/>
          <w:b/>
          <w:bCs/>
          <w:iCs/>
          <w:sz w:val="21"/>
          <w:szCs w:val="21"/>
        </w:rPr>
      </w:pPr>
    </w:p>
    <w:p w14:paraId="3F48DC1A" w14:textId="0BB72794" w:rsidR="00945F03" w:rsidRDefault="00945F03" w:rsidP="00945F03">
      <w:pPr>
        <w:jc w:val="both"/>
        <w:rPr>
          <w:rFonts w:ascii="Abadi" w:hAnsi="Abadi"/>
          <w:b/>
          <w:bCs/>
          <w:sz w:val="28"/>
          <w:szCs w:val="28"/>
        </w:rPr>
      </w:pPr>
    </w:p>
    <w:p w14:paraId="0C7605A7" w14:textId="4DB0429B" w:rsidR="00945F03" w:rsidRDefault="00945F03" w:rsidP="00945F03">
      <w:pPr>
        <w:jc w:val="both"/>
        <w:rPr>
          <w:rFonts w:ascii="Abadi" w:hAnsi="Abadi"/>
          <w:b/>
          <w:bCs/>
          <w:sz w:val="28"/>
          <w:szCs w:val="28"/>
        </w:rPr>
      </w:pPr>
      <w:r>
        <w:rPr>
          <w:noProof/>
        </w:rPr>
        <w:drawing>
          <wp:anchor distT="0" distB="0" distL="114300" distR="114300" simplePos="0" relativeHeight="251664384" behindDoc="1" locked="0" layoutInCell="1" allowOverlap="1" wp14:anchorId="18692E1A" wp14:editId="54A45329">
            <wp:simplePos x="0" y="0"/>
            <wp:positionH relativeFrom="column">
              <wp:posOffset>807085</wp:posOffset>
            </wp:positionH>
            <wp:positionV relativeFrom="paragraph">
              <wp:posOffset>88265</wp:posOffset>
            </wp:positionV>
            <wp:extent cx="1284932" cy="647700"/>
            <wp:effectExtent l="247650" t="228600" r="239395" b="723900"/>
            <wp:wrapTight wrapText="bothSides">
              <wp:wrapPolygon edited="0">
                <wp:start x="-4164" y="-7624"/>
                <wp:lineTo x="-4164" y="45106"/>
                <wp:lineTo x="25305" y="45106"/>
                <wp:lineTo x="25305" y="-7624"/>
                <wp:lineTo x="-4164" y="-7624"/>
              </wp:wrapPolygon>
            </wp:wrapTight>
            <wp:docPr id="8" name="Imagen 8" descr="Pantalla de celular con imagen de hombre con traj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Pantalla de celular con imagen de hombre con traje&#10;&#10;Descripción generada automáticamente"/>
                    <pic:cNvPicPr/>
                  </pic:nvPicPr>
                  <pic:blipFill rotWithShape="1">
                    <a:blip r:embed="rId14" cstate="print">
                      <a:extLst>
                        <a:ext uri="{28A0092B-C50C-407E-A947-70E740481C1C}">
                          <a14:useLocalDpi xmlns:a14="http://schemas.microsoft.com/office/drawing/2010/main" val="0"/>
                        </a:ext>
                      </a:extLst>
                    </a:blip>
                    <a:srcRect b="10344"/>
                    <a:stretch/>
                  </pic:blipFill>
                  <pic:spPr bwMode="auto">
                    <a:xfrm>
                      <a:off x="0" y="0"/>
                      <a:ext cx="1284932" cy="64770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3754C553" w14:textId="399301B3" w:rsidR="00945F03" w:rsidRDefault="00945F03" w:rsidP="00945F03">
      <w:pPr>
        <w:jc w:val="both"/>
        <w:rPr>
          <w:rFonts w:ascii="Abadi" w:hAnsi="Abadi"/>
          <w:b/>
          <w:bCs/>
          <w:sz w:val="28"/>
          <w:szCs w:val="28"/>
        </w:rPr>
      </w:pPr>
    </w:p>
    <w:p w14:paraId="35594DEE" w14:textId="2D1A7797" w:rsidR="00945F03" w:rsidRDefault="00945F03" w:rsidP="00945F03">
      <w:pPr>
        <w:jc w:val="both"/>
        <w:rPr>
          <w:rFonts w:ascii="Abadi" w:hAnsi="Abadi"/>
          <w:b/>
          <w:bCs/>
          <w:sz w:val="28"/>
          <w:szCs w:val="28"/>
        </w:rPr>
      </w:pPr>
    </w:p>
    <w:p w14:paraId="748E75E6" w14:textId="77777777" w:rsidR="00945F03" w:rsidRDefault="00945F03" w:rsidP="00945F03">
      <w:pPr>
        <w:jc w:val="both"/>
        <w:rPr>
          <w:rFonts w:ascii="Abadi" w:hAnsi="Abadi"/>
          <w:b/>
          <w:bCs/>
          <w:sz w:val="28"/>
          <w:szCs w:val="28"/>
        </w:rPr>
      </w:pPr>
    </w:p>
    <w:p w14:paraId="693096D4" w14:textId="3603DFDF" w:rsidR="00945F03" w:rsidRDefault="00945F03" w:rsidP="00945F03">
      <w:pPr>
        <w:jc w:val="both"/>
        <w:rPr>
          <w:rFonts w:ascii="Abadi" w:hAnsi="Abadi"/>
          <w:b/>
          <w:bCs/>
          <w:sz w:val="28"/>
          <w:szCs w:val="28"/>
        </w:rPr>
      </w:pPr>
    </w:p>
    <w:p w14:paraId="08172480" w14:textId="77777777" w:rsidR="00945F03" w:rsidRDefault="00945F03" w:rsidP="00945F03">
      <w:pPr>
        <w:jc w:val="both"/>
        <w:rPr>
          <w:rFonts w:ascii="Abadi" w:hAnsi="Abadi"/>
          <w:b/>
          <w:bCs/>
          <w:sz w:val="28"/>
          <w:szCs w:val="28"/>
        </w:rPr>
      </w:pPr>
    </w:p>
    <w:p w14:paraId="30ADF4B1" w14:textId="77777777" w:rsidR="00945F03" w:rsidRDefault="00945F03" w:rsidP="00945F03">
      <w:pPr>
        <w:jc w:val="both"/>
        <w:rPr>
          <w:rFonts w:ascii="Abadi" w:hAnsi="Abadi"/>
          <w:sz w:val="21"/>
          <w:szCs w:val="21"/>
        </w:rPr>
      </w:pPr>
      <w:r>
        <w:rPr>
          <w:rFonts w:ascii="Abadi" w:hAnsi="Abadi"/>
          <w:sz w:val="21"/>
          <w:szCs w:val="21"/>
        </w:rPr>
        <w:tab/>
      </w:r>
    </w:p>
    <w:p w14:paraId="026FA9B8" w14:textId="77777777" w:rsidR="00945F03" w:rsidRDefault="00945F03" w:rsidP="00945F03">
      <w:pPr>
        <w:jc w:val="both"/>
        <w:rPr>
          <w:rFonts w:ascii="Abadi" w:hAnsi="Abadi"/>
          <w:sz w:val="21"/>
          <w:szCs w:val="21"/>
        </w:rPr>
      </w:pPr>
    </w:p>
    <w:p w14:paraId="7AE00209" w14:textId="7CBBAA89" w:rsidR="00945F03" w:rsidRDefault="00945F03" w:rsidP="00945F03">
      <w:pPr>
        <w:ind w:firstLine="708"/>
        <w:jc w:val="both"/>
        <w:rPr>
          <w:rFonts w:ascii="Abadi" w:hAnsi="Abadi"/>
          <w:sz w:val="21"/>
          <w:szCs w:val="21"/>
        </w:rPr>
      </w:pPr>
      <w:r>
        <w:rPr>
          <w:rFonts w:ascii="Abadi" w:hAnsi="Abadi"/>
          <w:sz w:val="21"/>
          <w:szCs w:val="21"/>
        </w:rPr>
        <w:t xml:space="preserve">- </w:t>
      </w:r>
      <w:r w:rsidRPr="00681F97">
        <w:rPr>
          <w:rFonts w:ascii="Abadi" w:hAnsi="Abadi"/>
          <w:sz w:val="21"/>
          <w:szCs w:val="21"/>
        </w:rPr>
        <w:t>Buenos días diputados les pido de favor ocupar sus lugares para dar inicio, incluso por respeto al público que hoy nos acompaña</w:t>
      </w:r>
      <w:r>
        <w:rPr>
          <w:rFonts w:ascii="Abadi" w:hAnsi="Abadi"/>
          <w:sz w:val="21"/>
          <w:szCs w:val="21"/>
        </w:rPr>
        <w:t xml:space="preserve">. </w:t>
      </w:r>
    </w:p>
    <w:p w14:paraId="644CF1ED" w14:textId="77777777" w:rsidR="00945F03" w:rsidRPr="00681F97" w:rsidRDefault="00945F03" w:rsidP="00945F03">
      <w:pPr>
        <w:jc w:val="both"/>
        <w:rPr>
          <w:rFonts w:ascii="Abadi" w:hAnsi="Abadi"/>
          <w:sz w:val="21"/>
          <w:szCs w:val="21"/>
        </w:rPr>
      </w:pPr>
    </w:p>
    <w:p w14:paraId="7EBB14AB" w14:textId="468A3870" w:rsidR="00945F03" w:rsidRDefault="00945F03" w:rsidP="00945F03">
      <w:pPr>
        <w:ind w:firstLine="708"/>
        <w:jc w:val="both"/>
        <w:rPr>
          <w:rFonts w:ascii="Abadi" w:hAnsi="Abadi"/>
          <w:sz w:val="21"/>
          <w:szCs w:val="21"/>
        </w:rPr>
      </w:pPr>
      <w:r w:rsidRPr="00252286">
        <w:rPr>
          <w:rFonts w:ascii="Abadi" w:hAnsi="Abadi"/>
          <w:b/>
          <w:bCs/>
          <w:sz w:val="21"/>
          <w:szCs w:val="21"/>
        </w:rPr>
        <w:t>- El Secretario.-</w:t>
      </w:r>
      <w:r>
        <w:rPr>
          <w:rFonts w:ascii="Abadi" w:hAnsi="Abadi"/>
          <w:sz w:val="21"/>
          <w:szCs w:val="21"/>
        </w:rPr>
        <w:t xml:space="preserve"> S</w:t>
      </w:r>
      <w:r w:rsidRPr="00373C86">
        <w:rPr>
          <w:rFonts w:ascii="Abadi" w:hAnsi="Abadi"/>
          <w:sz w:val="21"/>
          <w:szCs w:val="21"/>
        </w:rPr>
        <w:t xml:space="preserve">e pide a la </w:t>
      </w:r>
      <w:r>
        <w:rPr>
          <w:rFonts w:ascii="Abadi" w:hAnsi="Abadi"/>
          <w:sz w:val="21"/>
          <w:szCs w:val="21"/>
        </w:rPr>
        <w:t>S</w:t>
      </w:r>
      <w:r w:rsidRPr="00373C86">
        <w:rPr>
          <w:rFonts w:ascii="Abadi" w:hAnsi="Abadi"/>
          <w:sz w:val="21"/>
          <w:szCs w:val="21"/>
        </w:rPr>
        <w:t xml:space="preserve">ecretaría certificar el </w:t>
      </w:r>
      <w:r>
        <w:rPr>
          <w:rFonts w:ascii="Abadi" w:hAnsi="Abadi"/>
          <w:sz w:val="21"/>
          <w:szCs w:val="21"/>
        </w:rPr>
        <w:t>cuórum</w:t>
      </w:r>
      <w:r w:rsidRPr="00373C86">
        <w:rPr>
          <w:rFonts w:ascii="Abadi" w:hAnsi="Abadi"/>
          <w:sz w:val="21"/>
          <w:szCs w:val="21"/>
        </w:rPr>
        <w:t xml:space="preserve"> conforme al registro de asistencia del sistema electrónico</w:t>
      </w:r>
      <w:r>
        <w:rPr>
          <w:rFonts w:ascii="Abadi" w:hAnsi="Abadi"/>
          <w:sz w:val="21"/>
          <w:szCs w:val="21"/>
        </w:rPr>
        <w:t>.</w:t>
      </w:r>
    </w:p>
    <w:p w14:paraId="3FA40577" w14:textId="77777777" w:rsidR="00945F03" w:rsidRDefault="00945F03" w:rsidP="00945F03">
      <w:pPr>
        <w:ind w:firstLine="708"/>
        <w:jc w:val="both"/>
        <w:rPr>
          <w:rFonts w:ascii="Abadi" w:hAnsi="Abadi"/>
          <w:sz w:val="21"/>
          <w:szCs w:val="21"/>
        </w:rPr>
      </w:pPr>
    </w:p>
    <w:p w14:paraId="6A14D8A2" w14:textId="12728BD6" w:rsidR="00945F03" w:rsidRDefault="00945F03" w:rsidP="00945F03">
      <w:pPr>
        <w:ind w:firstLine="708"/>
        <w:jc w:val="both"/>
        <w:rPr>
          <w:rFonts w:ascii="Abadi" w:hAnsi="Abadi"/>
          <w:sz w:val="21"/>
          <w:szCs w:val="21"/>
        </w:rPr>
      </w:pPr>
      <w:r w:rsidRPr="00753161">
        <w:rPr>
          <w:rFonts w:ascii="Abadi" w:hAnsi="Abadi"/>
          <w:b/>
          <w:bCs/>
          <w:sz w:val="21"/>
          <w:szCs w:val="21"/>
        </w:rPr>
        <w:t>- El Presidente.-</w:t>
      </w:r>
      <w:r>
        <w:rPr>
          <w:rFonts w:ascii="Abadi" w:hAnsi="Abadi"/>
          <w:sz w:val="21"/>
          <w:szCs w:val="21"/>
        </w:rPr>
        <w:t xml:space="preserve"> M</w:t>
      </w:r>
      <w:r w:rsidRPr="00EF6BEC">
        <w:rPr>
          <w:rFonts w:ascii="Abadi" w:hAnsi="Abadi"/>
          <w:sz w:val="21"/>
          <w:szCs w:val="21"/>
        </w:rPr>
        <w:t>e permito informarles que el diputado Ernesto Alejandro Prieto Gallardo no esta</w:t>
      </w:r>
      <w:r>
        <w:rPr>
          <w:rFonts w:ascii="Abadi" w:hAnsi="Abadi"/>
          <w:sz w:val="21"/>
          <w:szCs w:val="21"/>
        </w:rPr>
        <w:t>rá</w:t>
      </w:r>
      <w:r w:rsidRPr="00EF6BEC">
        <w:rPr>
          <w:rFonts w:ascii="Abadi" w:hAnsi="Abadi"/>
          <w:sz w:val="21"/>
          <w:szCs w:val="21"/>
        </w:rPr>
        <w:t xml:space="preserve"> presente en esta </w:t>
      </w:r>
      <w:r>
        <w:rPr>
          <w:rFonts w:ascii="Abadi" w:hAnsi="Abadi"/>
          <w:sz w:val="21"/>
          <w:szCs w:val="21"/>
        </w:rPr>
        <w:t>S</w:t>
      </w:r>
      <w:r w:rsidRPr="00EF6BEC">
        <w:rPr>
          <w:rFonts w:ascii="Abadi" w:hAnsi="Abadi"/>
          <w:sz w:val="21"/>
          <w:szCs w:val="21"/>
        </w:rPr>
        <w:t>esión tal como se manifestó en el escrito remitido previamente a esta presidencia de conformidad con el artículo 28 de nuestra Ley Orgánica y en consecuencia se le tiene por justificada su inasistencia</w:t>
      </w:r>
      <w:r>
        <w:rPr>
          <w:rFonts w:ascii="Abadi" w:hAnsi="Abadi"/>
          <w:sz w:val="21"/>
          <w:szCs w:val="21"/>
        </w:rPr>
        <w:t>.</w:t>
      </w:r>
    </w:p>
    <w:p w14:paraId="4F6B4FE8" w14:textId="77777777" w:rsidR="00945F03" w:rsidRDefault="00945F03" w:rsidP="00945F03">
      <w:pPr>
        <w:ind w:firstLine="708"/>
        <w:jc w:val="both"/>
        <w:rPr>
          <w:rFonts w:ascii="Abadi" w:hAnsi="Abadi"/>
          <w:sz w:val="21"/>
          <w:szCs w:val="21"/>
        </w:rPr>
      </w:pPr>
    </w:p>
    <w:p w14:paraId="3CC7AA13" w14:textId="62E555D7" w:rsidR="00945F03" w:rsidRDefault="00945F03" w:rsidP="00945F03">
      <w:pPr>
        <w:ind w:firstLine="708"/>
        <w:jc w:val="both"/>
        <w:rPr>
          <w:rFonts w:ascii="Abadi" w:hAnsi="Abadi"/>
          <w:sz w:val="21"/>
          <w:szCs w:val="21"/>
        </w:rPr>
      </w:pPr>
      <w:r>
        <w:rPr>
          <w:rFonts w:ascii="Abadi" w:hAnsi="Abadi"/>
          <w:b/>
          <w:bCs/>
          <w:sz w:val="21"/>
          <w:szCs w:val="21"/>
        </w:rPr>
        <w:t>-</w:t>
      </w:r>
      <w:r w:rsidRPr="0010240D">
        <w:rPr>
          <w:rFonts w:ascii="Abadi" w:hAnsi="Abadi"/>
          <w:b/>
          <w:bCs/>
          <w:sz w:val="21"/>
          <w:szCs w:val="21"/>
        </w:rPr>
        <w:t xml:space="preserve"> El Secretario.-</w:t>
      </w:r>
      <w:r>
        <w:rPr>
          <w:rFonts w:ascii="Abadi" w:hAnsi="Abadi"/>
          <w:sz w:val="21"/>
          <w:szCs w:val="21"/>
        </w:rPr>
        <w:t xml:space="preserve"> </w:t>
      </w:r>
      <w:r w:rsidRPr="00373C86">
        <w:rPr>
          <w:rFonts w:ascii="Abadi" w:hAnsi="Abadi"/>
          <w:sz w:val="21"/>
          <w:szCs w:val="21"/>
        </w:rPr>
        <w:t xml:space="preserve"> </w:t>
      </w:r>
      <w:r>
        <w:rPr>
          <w:rFonts w:ascii="Abadi" w:hAnsi="Abadi"/>
          <w:sz w:val="21"/>
          <w:szCs w:val="21"/>
        </w:rPr>
        <w:t>La</w:t>
      </w:r>
      <w:r w:rsidRPr="00373C86">
        <w:rPr>
          <w:rFonts w:ascii="Abadi" w:hAnsi="Abadi"/>
          <w:sz w:val="21"/>
          <w:szCs w:val="21"/>
        </w:rPr>
        <w:t xml:space="preserve"> asistencia </w:t>
      </w:r>
      <w:r>
        <w:rPr>
          <w:rFonts w:ascii="Abadi" w:hAnsi="Abadi"/>
          <w:sz w:val="21"/>
          <w:szCs w:val="21"/>
        </w:rPr>
        <w:t xml:space="preserve">es </w:t>
      </w:r>
      <w:r w:rsidRPr="00373C86">
        <w:rPr>
          <w:rFonts w:ascii="Abadi" w:hAnsi="Abadi"/>
          <w:sz w:val="21"/>
          <w:szCs w:val="21"/>
        </w:rPr>
        <w:t xml:space="preserve">de </w:t>
      </w:r>
      <w:r>
        <w:rPr>
          <w:rFonts w:ascii="Abadi" w:hAnsi="Abadi"/>
          <w:sz w:val="21"/>
          <w:szCs w:val="21"/>
        </w:rPr>
        <w:t>22</w:t>
      </w:r>
      <w:r w:rsidRPr="00373C86">
        <w:rPr>
          <w:rFonts w:ascii="Abadi" w:hAnsi="Abadi"/>
          <w:sz w:val="21"/>
          <w:szCs w:val="21"/>
        </w:rPr>
        <w:t xml:space="preserve"> diputadas y diputados hay </w:t>
      </w:r>
      <w:r>
        <w:rPr>
          <w:rFonts w:ascii="Abadi" w:hAnsi="Abadi"/>
          <w:sz w:val="21"/>
          <w:szCs w:val="21"/>
        </w:rPr>
        <w:t>c</w:t>
      </w:r>
      <w:r w:rsidRPr="00373C86">
        <w:rPr>
          <w:rFonts w:ascii="Abadi" w:hAnsi="Abadi"/>
          <w:sz w:val="21"/>
          <w:szCs w:val="21"/>
        </w:rPr>
        <w:t>uórum</w:t>
      </w:r>
      <w:r>
        <w:rPr>
          <w:rFonts w:ascii="Abadi" w:hAnsi="Abadi"/>
          <w:sz w:val="21"/>
          <w:szCs w:val="21"/>
        </w:rPr>
        <w:t>.</w:t>
      </w:r>
      <w:r w:rsidRPr="00373C86">
        <w:rPr>
          <w:rFonts w:ascii="Abadi" w:hAnsi="Abadi"/>
          <w:sz w:val="21"/>
          <w:szCs w:val="21"/>
        </w:rPr>
        <w:t xml:space="preserve"> </w:t>
      </w:r>
    </w:p>
    <w:p w14:paraId="131AFBCA" w14:textId="77777777" w:rsidR="00945F03" w:rsidRDefault="00945F03" w:rsidP="00945F03">
      <w:pPr>
        <w:ind w:firstLine="708"/>
        <w:jc w:val="both"/>
        <w:rPr>
          <w:rFonts w:ascii="Abadi" w:hAnsi="Abadi"/>
          <w:sz w:val="21"/>
          <w:szCs w:val="21"/>
        </w:rPr>
      </w:pPr>
    </w:p>
    <w:p w14:paraId="52D471F8" w14:textId="10587E30" w:rsidR="00945F03" w:rsidRDefault="00945F03" w:rsidP="00945F03">
      <w:pPr>
        <w:ind w:firstLine="708"/>
        <w:jc w:val="both"/>
        <w:rPr>
          <w:rFonts w:ascii="Abadi" w:hAnsi="Abadi"/>
          <w:sz w:val="21"/>
          <w:szCs w:val="21"/>
        </w:rPr>
      </w:pPr>
      <w:r w:rsidRPr="00252286">
        <w:rPr>
          <w:rFonts w:ascii="Abadi" w:hAnsi="Abadi"/>
          <w:b/>
          <w:bCs/>
          <w:sz w:val="21"/>
          <w:szCs w:val="21"/>
        </w:rPr>
        <w:t>- El Presidente.-</w:t>
      </w:r>
      <w:r>
        <w:rPr>
          <w:rFonts w:ascii="Abadi" w:hAnsi="Abadi"/>
          <w:sz w:val="21"/>
          <w:szCs w:val="21"/>
        </w:rPr>
        <w:t xml:space="preserve"> S</w:t>
      </w:r>
      <w:r w:rsidRPr="00373C86">
        <w:rPr>
          <w:rFonts w:ascii="Abadi" w:hAnsi="Abadi"/>
          <w:sz w:val="21"/>
          <w:szCs w:val="21"/>
        </w:rPr>
        <w:t>iendo las 10:</w:t>
      </w:r>
      <w:r>
        <w:rPr>
          <w:rFonts w:ascii="Abadi" w:hAnsi="Abadi"/>
          <w:sz w:val="21"/>
          <w:szCs w:val="21"/>
        </w:rPr>
        <w:t xml:space="preserve">07 </w:t>
      </w:r>
      <w:r w:rsidRPr="00733B83">
        <w:rPr>
          <w:rFonts w:ascii="Abadi" w:hAnsi="Abadi"/>
          <w:b/>
          <w:bCs/>
          <w:sz w:val="21"/>
          <w:szCs w:val="21"/>
        </w:rPr>
        <w:t xml:space="preserve">(diez horas con </w:t>
      </w:r>
      <w:r>
        <w:rPr>
          <w:rFonts w:ascii="Abadi" w:hAnsi="Abadi"/>
          <w:b/>
          <w:bCs/>
          <w:sz w:val="21"/>
          <w:szCs w:val="21"/>
        </w:rPr>
        <w:t xml:space="preserve">siete </w:t>
      </w:r>
      <w:r w:rsidRPr="00733B83">
        <w:rPr>
          <w:rFonts w:ascii="Abadi" w:hAnsi="Abadi"/>
          <w:b/>
          <w:bCs/>
          <w:sz w:val="21"/>
          <w:szCs w:val="21"/>
        </w:rPr>
        <w:t>minutos)</w:t>
      </w:r>
      <w:r>
        <w:rPr>
          <w:rFonts w:ascii="Abadi" w:hAnsi="Abadi"/>
          <w:b/>
          <w:bCs/>
          <w:sz w:val="21"/>
          <w:szCs w:val="21"/>
        </w:rPr>
        <w:t xml:space="preserve"> </w:t>
      </w:r>
      <w:r>
        <w:rPr>
          <w:rFonts w:ascii="Abadi" w:hAnsi="Abadi"/>
          <w:sz w:val="21"/>
          <w:szCs w:val="21"/>
        </w:rPr>
        <w:t>abrimos nuestra Sesión.</w:t>
      </w:r>
    </w:p>
    <w:p w14:paraId="2DEDAAC4" w14:textId="77777777" w:rsidR="00945F03" w:rsidRDefault="00945F03" w:rsidP="00945F03">
      <w:pPr>
        <w:ind w:firstLine="708"/>
        <w:jc w:val="both"/>
        <w:rPr>
          <w:rFonts w:ascii="Abadi" w:hAnsi="Abadi"/>
          <w:sz w:val="21"/>
          <w:szCs w:val="21"/>
        </w:rPr>
      </w:pPr>
    </w:p>
    <w:p w14:paraId="77FC243E" w14:textId="77777777" w:rsidR="003070F5" w:rsidRPr="00A36854" w:rsidRDefault="003070F5" w:rsidP="003070F5">
      <w:pPr>
        <w:ind w:firstLine="708"/>
        <w:jc w:val="both"/>
        <w:rPr>
          <w:rFonts w:ascii="Abadi" w:hAnsi="Abadi"/>
          <w:sz w:val="21"/>
          <w:szCs w:val="21"/>
        </w:rPr>
      </w:pPr>
    </w:p>
    <w:p w14:paraId="0D57AF7F" w14:textId="58299F4A" w:rsidR="003070F5" w:rsidRDefault="003070F5" w:rsidP="003070F5">
      <w:pPr>
        <w:jc w:val="both"/>
        <w:rPr>
          <w:rFonts w:ascii="Abadi" w:hAnsi="Abadi"/>
          <w:b/>
          <w:bCs/>
          <w:sz w:val="21"/>
          <w:szCs w:val="21"/>
        </w:rPr>
      </w:pPr>
      <w:r w:rsidRPr="00A36854">
        <w:rPr>
          <w:rFonts w:ascii="Abadi" w:hAnsi="Abadi"/>
          <w:b/>
          <w:bCs/>
          <w:sz w:val="21"/>
          <w:szCs w:val="21"/>
        </w:rPr>
        <w:t>(Se instruye a la Secretaría a dar lectura del orden día)</w:t>
      </w:r>
    </w:p>
    <w:p w14:paraId="4FD0C182" w14:textId="398F4815" w:rsidR="00077684" w:rsidRPr="00A36854" w:rsidRDefault="00077684" w:rsidP="003070F5">
      <w:pPr>
        <w:jc w:val="both"/>
        <w:rPr>
          <w:rFonts w:ascii="Abadi" w:hAnsi="Abadi"/>
          <w:b/>
          <w:bCs/>
          <w:sz w:val="21"/>
          <w:szCs w:val="21"/>
        </w:rPr>
      </w:pPr>
    </w:p>
    <w:p w14:paraId="1B081BDC" w14:textId="48CD121D" w:rsidR="003070F5" w:rsidRDefault="00077684" w:rsidP="000218BD">
      <w:pPr>
        <w:jc w:val="center"/>
        <w:rPr>
          <w:rFonts w:ascii="Abadi" w:hAnsi="Abadi"/>
          <w:b/>
          <w:bCs/>
          <w:iCs/>
          <w:sz w:val="21"/>
          <w:szCs w:val="21"/>
        </w:rPr>
      </w:pPr>
      <w:r>
        <w:rPr>
          <w:noProof/>
        </w:rPr>
        <w:drawing>
          <wp:anchor distT="0" distB="0" distL="114300" distR="114300" simplePos="0" relativeHeight="251665408" behindDoc="1" locked="0" layoutInCell="1" allowOverlap="1" wp14:anchorId="0C045A03" wp14:editId="6611BD6E">
            <wp:simplePos x="0" y="0"/>
            <wp:positionH relativeFrom="column">
              <wp:posOffset>721360</wp:posOffset>
            </wp:positionH>
            <wp:positionV relativeFrom="paragraph">
              <wp:posOffset>196215</wp:posOffset>
            </wp:positionV>
            <wp:extent cx="1276350" cy="658537"/>
            <wp:effectExtent l="247650" t="228600" r="247650" b="732155"/>
            <wp:wrapTight wrapText="bothSides">
              <wp:wrapPolygon edited="0">
                <wp:start x="-4191" y="-7499"/>
                <wp:lineTo x="-4191" y="44991"/>
                <wp:lineTo x="25469" y="44991"/>
                <wp:lineTo x="25469" y="-7499"/>
                <wp:lineTo x="-4191" y="-7499"/>
              </wp:wrapPolygon>
            </wp:wrapTight>
            <wp:docPr id="10" name="Imagen 10" descr="Imagen que contiene hombre, traje, ventana, fren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magen que contiene hombre, traje, ventana, frente&#10;&#10;Descripción generada automáticamente"/>
                    <pic:cNvPicPr/>
                  </pic:nvPicPr>
                  <pic:blipFill rotWithShape="1">
                    <a:blip r:embed="rId15" cstate="print">
                      <a:extLst>
                        <a:ext uri="{28A0092B-C50C-407E-A947-70E740481C1C}">
                          <a14:useLocalDpi xmlns:a14="http://schemas.microsoft.com/office/drawing/2010/main" val="0"/>
                        </a:ext>
                      </a:extLst>
                    </a:blip>
                    <a:srcRect b="8231"/>
                    <a:stretch/>
                  </pic:blipFill>
                  <pic:spPr bwMode="auto">
                    <a:xfrm>
                      <a:off x="0" y="0"/>
                      <a:ext cx="1276350" cy="658537"/>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029A3A92" w14:textId="3D3367CF" w:rsidR="000218BD" w:rsidRDefault="000218BD" w:rsidP="003070F5">
      <w:pPr>
        <w:pStyle w:val="Textoindependiente"/>
        <w:numPr>
          <w:ilvl w:val="0"/>
          <w:numId w:val="4"/>
        </w:numPr>
        <w:spacing w:before="214"/>
        <w:ind w:left="284" w:right="-142" w:hanging="284"/>
        <w:rPr>
          <w:rFonts w:ascii="Abadi" w:hAnsi="Abadi"/>
          <w:sz w:val="21"/>
          <w:szCs w:val="21"/>
        </w:rPr>
      </w:pPr>
      <w:r w:rsidRPr="006F59BB">
        <w:rPr>
          <w:rFonts w:ascii="Abadi" w:hAnsi="Abadi"/>
          <w:sz w:val="21"/>
          <w:szCs w:val="21"/>
        </w:rPr>
        <w:lastRenderedPageBreak/>
        <w:t>LECTURA</w:t>
      </w:r>
      <w:r w:rsidRPr="006F59BB">
        <w:rPr>
          <w:rFonts w:ascii="Abadi" w:hAnsi="Abadi"/>
          <w:spacing w:val="-2"/>
          <w:sz w:val="21"/>
          <w:szCs w:val="21"/>
        </w:rPr>
        <w:t xml:space="preserve"> </w:t>
      </w:r>
      <w:r w:rsidRPr="006F59BB">
        <w:rPr>
          <w:rFonts w:ascii="Abadi" w:hAnsi="Abadi"/>
          <w:sz w:val="21"/>
          <w:szCs w:val="21"/>
        </w:rPr>
        <w:t>Y,</w:t>
      </w:r>
      <w:r w:rsidRPr="006F59BB">
        <w:rPr>
          <w:rFonts w:ascii="Abadi" w:hAnsi="Abadi"/>
          <w:spacing w:val="-2"/>
          <w:sz w:val="21"/>
          <w:szCs w:val="21"/>
        </w:rPr>
        <w:t xml:space="preserve"> </w:t>
      </w:r>
      <w:r w:rsidRPr="006F59BB">
        <w:rPr>
          <w:rFonts w:ascii="Abadi" w:hAnsi="Abadi"/>
          <w:sz w:val="21"/>
          <w:szCs w:val="21"/>
        </w:rPr>
        <w:t>EN</w:t>
      </w:r>
      <w:r w:rsidRPr="006F59BB">
        <w:rPr>
          <w:rFonts w:ascii="Abadi" w:hAnsi="Abadi"/>
          <w:spacing w:val="-1"/>
          <w:sz w:val="21"/>
          <w:szCs w:val="21"/>
        </w:rPr>
        <w:t xml:space="preserve"> </w:t>
      </w:r>
      <w:r w:rsidRPr="006F59BB">
        <w:rPr>
          <w:rFonts w:ascii="Abadi" w:hAnsi="Abadi"/>
          <w:sz w:val="21"/>
          <w:szCs w:val="21"/>
        </w:rPr>
        <w:t>SU</w:t>
      </w:r>
      <w:r w:rsidRPr="006F59BB">
        <w:rPr>
          <w:rFonts w:ascii="Abadi" w:hAnsi="Abadi"/>
          <w:spacing w:val="-2"/>
          <w:sz w:val="21"/>
          <w:szCs w:val="21"/>
        </w:rPr>
        <w:t xml:space="preserve"> </w:t>
      </w:r>
      <w:r w:rsidRPr="006F59BB">
        <w:rPr>
          <w:rFonts w:ascii="Abadi" w:hAnsi="Abadi"/>
          <w:sz w:val="21"/>
          <w:szCs w:val="21"/>
        </w:rPr>
        <w:t>CASO,</w:t>
      </w:r>
      <w:r w:rsidRPr="006F59BB">
        <w:rPr>
          <w:rFonts w:ascii="Abadi" w:hAnsi="Abadi"/>
          <w:spacing w:val="-2"/>
          <w:sz w:val="21"/>
          <w:szCs w:val="21"/>
        </w:rPr>
        <w:t xml:space="preserve"> </w:t>
      </w:r>
      <w:r w:rsidRPr="006F59BB">
        <w:rPr>
          <w:rFonts w:ascii="Abadi" w:hAnsi="Abadi"/>
          <w:sz w:val="21"/>
          <w:szCs w:val="21"/>
        </w:rPr>
        <w:t>APROBACIÓN</w:t>
      </w:r>
      <w:r w:rsidRPr="006F59BB">
        <w:rPr>
          <w:rFonts w:ascii="Abadi" w:hAnsi="Abadi"/>
          <w:spacing w:val="-1"/>
          <w:sz w:val="21"/>
          <w:szCs w:val="21"/>
        </w:rPr>
        <w:t xml:space="preserve"> </w:t>
      </w:r>
      <w:r w:rsidRPr="006F59BB">
        <w:rPr>
          <w:rFonts w:ascii="Abadi" w:hAnsi="Abadi"/>
          <w:sz w:val="21"/>
          <w:szCs w:val="21"/>
        </w:rPr>
        <w:t>DEL</w:t>
      </w:r>
      <w:r w:rsidRPr="006F59BB">
        <w:rPr>
          <w:rFonts w:ascii="Abadi" w:hAnsi="Abadi"/>
          <w:spacing w:val="-2"/>
          <w:sz w:val="21"/>
          <w:szCs w:val="21"/>
        </w:rPr>
        <w:t xml:space="preserve"> </w:t>
      </w:r>
      <w:r w:rsidRPr="006F59BB">
        <w:rPr>
          <w:rFonts w:ascii="Abadi" w:hAnsi="Abadi"/>
          <w:sz w:val="21"/>
          <w:szCs w:val="21"/>
        </w:rPr>
        <w:t>ORDEN</w:t>
      </w:r>
      <w:r w:rsidRPr="006F59BB">
        <w:rPr>
          <w:rFonts w:ascii="Abadi" w:hAnsi="Abadi"/>
          <w:spacing w:val="-1"/>
          <w:sz w:val="21"/>
          <w:szCs w:val="21"/>
        </w:rPr>
        <w:t xml:space="preserve"> </w:t>
      </w:r>
      <w:r w:rsidRPr="006F59BB">
        <w:rPr>
          <w:rFonts w:ascii="Abadi" w:hAnsi="Abadi"/>
          <w:sz w:val="21"/>
          <w:szCs w:val="21"/>
        </w:rPr>
        <w:t>DEL</w:t>
      </w:r>
      <w:r w:rsidRPr="006F59BB">
        <w:rPr>
          <w:rFonts w:ascii="Abadi" w:hAnsi="Abadi"/>
          <w:spacing w:val="-2"/>
          <w:sz w:val="21"/>
          <w:szCs w:val="21"/>
        </w:rPr>
        <w:t xml:space="preserve"> </w:t>
      </w:r>
      <w:r w:rsidRPr="006F59BB">
        <w:rPr>
          <w:rFonts w:ascii="Abadi" w:hAnsi="Abadi"/>
          <w:sz w:val="21"/>
          <w:szCs w:val="21"/>
        </w:rPr>
        <w:t>DÍA.</w:t>
      </w:r>
    </w:p>
    <w:p w14:paraId="71C5A670" w14:textId="77777777" w:rsidR="000218BD" w:rsidRPr="005C35F6" w:rsidRDefault="000218BD" w:rsidP="000218BD">
      <w:pPr>
        <w:ind w:firstLine="720"/>
        <w:jc w:val="both"/>
        <w:rPr>
          <w:rFonts w:ascii="Abadi" w:hAnsi="Abadi"/>
          <w:iCs/>
          <w:sz w:val="21"/>
          <w:szCs w:val="21"/>
        </w:rPr>
      </w:pPr>
    </w:p>
    <w:p w14:paraId="468F07C2" w14:textId="4A818B65" w:rsidR="000218BD" w:rsidRDefault="000218BD" w:rsidP="000218BD">
      <w:pPr>
        <w:jc w:val="both"/>
        <w:rPr>
          <w:rFonts w:ascii="Abadi" w:hAnsi="Abadi"/>
          <w:b/>
          <w:bCs/>
          <w:iCs/>
          <w:sz w:val="21"/>
          <w:szCs w:val="21"/>
        </w:rPr>
      </w:pPr>
      <w:r>
        <w:rPr>
          <w:rFonts w:ascii="Abadi" w:hAnsi="Abadi"/>
          <w:b/>
          <w:bCs/>
          <w:iCs/>
          <w:sz w:val="21"/>
          <w:szCs w:val="21"/>
        </w:rPr>
        <w:t xml:space="preserve">«SEXAGÉSIMA </w:t>
      </w:r>
      <w:r>
        <w:rPr>
          <w:rFonts w:ascii="Abadi" w:hAnsi="Abadi"/>
          <w:b/>
          <w:sz w:val="21"/>
          <w:szCs w:val="21"/>
        </w:rPr>
        <w:t>QUINTA</w:t>
      </w:r>
      <w:r w:rsidRPr="0066249B">
        <w:rPr>
          <w:rFonts w:ascii="Abadi" w:hAnsi="Abadi"/>
          <w:b/>
          <w:sz w:val="21"/>
          <w:szCs w:val="21"/>
        </w:rPr>
        <w:t xml:space="preserve"> LEGISLATURA DEL CONGRESO DEL ESTADO DE GUANAJUATO. </w:t>
      </w:r>
      <w:r>
        <w:rPr>
          <w:rFonts w:ascii="Abadi" w:hAnsi="Abadi"/>
          <w:b/>
          <w:sz w:val="21"/>
          <w:szCs w:val="21"/>
        </w:rPr>
        <w:t>SESIÓN ORDINARIA DEL</w:t>
      </w:r>
      <w:r w:rsidRPr="0066249B">
        <w:rPr>
          <w:rFonts w:ascii="Abadi" w:hAnsi="Abadi"/>
          <w:b/>
          <w:sz w:val="21"/>
          <w:szCs w:val="21"/>
        </w:rPr>
        <w:t xml:space="preserve"> </w:t>
      </w:r>
      <w:r w:rsidR="00412271">
        <w:rPr>
          <w:rFonts w:ascii="Abadi" w:hAnsi="Abadi"/>
          <w:b/>
          <w:sz w:val="21"/>
          <w:szCs w:val="21"/>
        </w:rPr>
        <w:t>SEGUNDO</w:t>
      </w:r>
      <w:r w:rsidRPr="0066249B">
        <w:rPr>
          <w:rFonts w:ascii="Abadi" w:hAnsi="Abadi"/>
          <w:b/>
          <w:sz w:val="21"/>
          <w:szCs w:val="21"/>
        </w:rPr>
        <w:t xml:space="preserve"> AÑO DE EJERCICIO</w:t>
      </w:r>
      <w:r>
        <w:rPr>
          <w:rFonts w:ascii="Abadi" w:hAnsi="Abadi"/>
          <w:b/>
          <w:sz w:val="21"/>
          <w:szCs w:val="21"/>
        </w:rPr>
        <w:t xml:space="preserve"> </w:t>
      </w:r>
      <w:r w:rsidRPr="0066249B">
        <w:rPr>
          <w:rFonts w:ascii="Abadi" w:hAnsi="Abadi"/>
          <w:b/>
          <w:sz w:val="21"/>
          <w:szCs w:val="21"/>
        </w:rPr>
        <w:t>CONSTITUCIONAL</w:t>
      </w:r>
      <w:r>
        <w:rPr>
          <w:rFonts w:ascii="Abadi" w:hAnsi="Abadi"/>
          <w:b/>
          <w:bCs/>
          <w:iCs/>
          <w:sz w:val="21"/>
          <w:szCs w:val="21"/>
        </w:rPr>
        <w:t xml:space="preserve">. </w:t>
      </w:r>
      <w:r w:rsidR="00412271">
        <w:rPr>
          <w:rFonts w:ascii="Abadi" w:hAnsi="Abadi"/>
          <w:b/>
          <w:bCs/>
          <w:iCs/>
          <w:sz w:val="21"/>
          <w:szCs w:val="21"/>
        </w:rPr>
        <w:t>PRIMER</w:t>
      </w:r>
      <w:r>
        <w:rPr>
          <w:rFonts w:ascii="Abadi" w:hAnsi="Abadi"/>
          <w:b/>
          <w:bCs/>
          <w:iCs/>
          <w:sz w:val="21"/>
          <w:szCs w:val="21"/>
        </w:rPr>
        <w:t xml:space="preserve">. </w:t>
      </w:r>
      <w:r w:rsidR="003070F5">
        <w:rPr>
          <w:rFonts w:ascii="Abadi" w:hAnsi="Abadi"/>
          <w:b/>
          <w:bCs/>
          <w:iCs/>
          <w:sz w:val="21"/>
          <w:szCs w:val="21"/>
        </w:rPr>
        <w:t xml:space="preserve">PERIODO </w:t>
      </w:r>
      <w:r w:rsidR="000C29ED">
        <w:rPr>
          <w:rFonts w:ascii="Abadi" w:hAnsi="Abadi"/>
          <w:b/>
          <w:bCs/>
          <w:iCs/>
          <w:sz w:val="21"/>
          <w:szCs w:val="21"/>
        </w:rPr>
        <w:t>06</w:t>
      </w:r>
      <w:r w:rsidR="00412271">
        <w:rPr>
          <w:rFonts w:ascii="Abadi" w:hAnsi="Abadi"/>
          <w:b/>
          <w:bCs/>
          <w:iCs/>
          <w:sz w:val="21"/>
          <w:szCs w:val="21"/>
        </w:rPr>
        <w:t xml:space="preserve"> </w:t>
      </w:r>
      <w:r>
        <w:rPr>
          <w:rFonts w:ascii="Abadi" w:hAnsi="Abadi"/>
          <w:b/>
          <w:bCs/>
          <w:iCs/>
          <w:sz w:val="21"/>
          <w:szCs w:val="21"/>
        </w:rPr>
        <w:t>DE</w:t>
      </w:r>
      <w:r w:rsidR="000C29ED">
        <w:rPr>
          <w:rFonts w:ascii="Abadi" w:hAnsi="Abadi"/>
          <w:b/>
          <w:bCs/>
          <w:iCs/>
          <w:sz w:val="21"/>
          <w:szCs w:val="21"/>
        </w:rPr>
        <w:t xml:space="preserve"> OCTUBRE</w:t>
      </w:r>
      <w:r>
        <w:rPr>
          <w:rFonts w:ascii="Abadi" w:hAnsi="Abadi"/>
          <w:b/>
          <w:bCs/>
          <w:iCs/>
          <w:sz w:val="21"/>
          <w:szCs w:val="21"/>
        </w:rPr>
        <w:t xml:space="preserve"> DE 2022.</w:t>
      </w:r>
    </w:p>
    <w:p w14:paraId="78296BA0" w14:textId="77777777" w:rsidR="000218BD" w:rsidRDefault="000218BD" w:rsidP="000218BD">
      <w:pPr>
        <w:pStyle w:val="Estilo1"/>
        <w:numPr>
          <w:ilvl w:val="0"/>
          <w:numId w:val="0"/>
        </w:numPr>
        <w:tabs>
          <w:tab w:val="clear" w:pos="4059"/>
        </w:tabs>
        <w:ind w:left="2848" w:right="-25" w:hanging="579"/>
        <w:rPr>
          <w:rFonts w:ascii="Abadi" w:hAnsi="Abadi"/>
          <w:sz w:val="21"/>
          <w:szCs w:val="21"/>
        </w:rPr>
      </w:pPr>
    </w:p>
    <w:p w14:paraId="357BB84B" w14:textId="77777777" w:rsidR="000218BD" w:rsidRDefault="000218BD" w:rsidP="000218BD">
      <w:pPr>
        <w:jc w:val="center"/>
        <w:rPr>
          <w:rFonts w:ascii="Abadi" w:hAnsi="Abadi"/>
          <w:b/>
          <w:bCs/>
          <w:iCs/>
          <w:sz w:val="21"/>
          <w:szCs w:val="21"/>
        </w:rPr>
      </w:pPr>
      <w:r>
        <w:rPr>
          <w:rFonts w:ascii="Abadi" w:hAnsi="Abadi"/>
          <w:b/>
          <w:bCs/>
          <w:iCs/>
          <w:sz w:val="21"/>
          <w:szCs w:val="21"/>
        </w:rPr>
        <w:t>-Orden del día-</w:t>
      </w:r>
    </w:p>
    <w:p w14:paraId="6659E50B" w14:textId="77777777" w:rsidR="000218BD" w:rsidRDefault="000218BD" w:rsidP="000218BD">
      <w:pPr>
        <w:jc w:val="center"/>
        <w:rPr>
          <w:rFonts w:ascii="Abadi" w:hAnsi="Abadi"/>
          <w:b/>
          <w:bCs/>
          <w:iCs/>
          <w:sz w:val="21"/>
          <w:szCs w:val="21"/>
        </w:rPr>
      </w:pPr>
    </w:p>
    <w:p w14:paraId="66FC26DD" w14:textId="77777777" w:rsidR="0085055B" w:rsidRPr="00C40978" w:rsidRDefault="0085055B" w:rsidP="0085055B">
      <w:pPr>
        <w:autoSpaceDE w:val="0"/>
        <w:autoSpaceDN w:val="0"/>
        <w:adjustRightInd w:val="0"/>
        <w:jc w:val="both"/>
        <w:rPr>
          <w:rFonts w:ascii="Abadi" w:hAnsi="Abadi" w:cs="ArialMT"/>
          <w:sz w:val="21"/>
          <w:szCs w:val="21"/>
        </w:rPr>
      </w:pPr>
      <w:r w:rsidRPr="00526E0B">
        <w:rPr>
          <w:rFonts w:ascii="Abadi" w:hAnsi="Abadi" w:cs="ArialMT"/>
          <w:b/>
          <w:bCs/>
          <w:sz w:val="21"/>
          <w:szCs w:val="21"/>
        </w:rPr>
        <w:t>I.-</w:t>
      </w:r>
      <w:r>
        <w:rPr>
          <w:rFonts w:ascii="Abadi" w:hAnsi="Abadi" w:cs="ArialMT"/>
          <w:sz w:val="21"/>
          <w:szCs w:val="21"/>
        </w:rPr>
        <w:t xml:space="preserve"> </w:t>
      </w:r>
      <w:r w:rsidRPr="00C40978">
        <w:rPr>
          <w:rFonts w:ascii="Abadi" w:hAnsi="Abadi" w:cs="ArialMT"/>
          <w:sz w:val="21"/>
          <w:szCs w:val="21"/>
        </w:rPr>
        <w:t>Lectura y, en su caso, aprobación del orden del día.</w:t>
      </w:r>
      <w:r>
        <w:rPr>
          <w:rFonts w:ascii="Abadi" w:hAnsi="Abadi" w:cs="ArialMT"/>
          <w:sz w:val="21"/>
          <w:szCs w:val="21"/>
        </w:rPr>
        <w:t xml:space="preserve"> </w:t>
      </w:r>
      <w:r w:rsidRPr="00526E0B">
        <w:rPr>
          <w:rFonts w:ascii="Abadi" w:hAnsi="Abadi" w:cs="ArialMT"/>
          <w:b/>
          <w:bCs/>
          <w:sz w:val="21"/>
          <w:szCs w:val="21"/>
        </w:rPr>
        <w:t>II.-</w:t>
      </w:r>
      <w:r>
        <w:rPr>
          <w:rFonts w:ascii="Abadi" w:hAnsi="Abadi" w:cs="ArialMT"/>
          <w:sz w:val="21"/>
          <w:szCs w:val="21"/>
        </w:rPr>
        <w:t xml:space="preserve"> </w:t>
      </w:r>
      <w:r w:rsidRPr="00C40978">
        <w:rPr>
          <w:rFonts w:ascii="Abadi" w:hAnsi="Abadi" w:cs="ArialMT"/>
          <w:sz w:val="21"/>
          <w:szCs w:val="21"/>
        </w:rPr>
        <w:t>Lectura y, en su caso, aprobación del acta de la sesión ordinaria celebrada</w:t>
      </w:r>
      <w:r>
        <w:rPr>
          <w:rFonts w:ascii="Abadi" w:hAnsi="Abadi" w:cs="ArialMT"/>
          <w:sz w:val="21"/>
          <w:szCs w:val="21"/>
        </w:rPr>
        <w:t xml:space="preserve"> </w:t>
      </w:r>
      <w:r w:rsidRPr="00C40978">
        <w:rPr>
          <w:rFonts w:ascii="Abadi" w:hAnsi="Abadi" w:cs="ArialMT"/>
          <w:sz w:val="21"/>
          <w:szCs w:val="21"/>
        </w:rPr>
        <w:t>el 6 de octubre del año en curso.</w:t>
      </w:r>
      <w:r>
        <w:rPr>
          <w:rFonts w:ascii="Abadi" w:hAnsi="Abadi" w:cs="ArialMT"/>
          <w:sz w:val="21"/>
          <w:szCs w:val="21"/>
        </w:rPr>
        <w:t xml:space="preserve"> </w:t>
      </w:r>
      <w:r w:rsidRPr="00526E0B">
        <w:rPr>
          <w:rFonts w:ascii="Abadi" w:hAnsi="Abadi" w:cs="ArialMT"/>
          <w:b/>
          <w:bCs/>
          <w:sz w:val="21"/>
          <w:szCs w:val="21"/>
        </w:rPr>
        <w:t>III.-</w:t>
      </w:r>
      <w:r>
        <w:rPr>
          <w:rFonts w:ascii="Abadi" w:hAnsi="Abadi" w:cs="ArialMT"/>
          <w:sz w:val="21"/>
          <w:szCs w:val="21"/>
        </w:rPr>
        <w:t xml:space="preserve"> </w:t>
      </w:r>
      <w:r w:rsidRPr="00C40978">
        <w:rPr>
          <w:rFonts w:ascii="Abadi" w:hAnsi="Abadi" w:cs="ArialMT"/>
          <w:sz w:val="21"/>
          <w:szCs w:val="21"/>
        </w:rPr>
        <w:t>Dar cuenta con las comunicaciones y correspondencia recibidas.</w:t>
      </w:r>
      <w:r>
        <w:rPr>
          <w:rFonts w:ascii="Abadi" w:hAnsi="Abadi" w:cs="ArialMT"/>
          <w:sz w:val="21"/>
          <w:szCs w:val="21"/>
        </w:rPr>
        <w:t xml:space="preserve"> </w:t>
      </w:r>
      <w:r w:rsidRPr="00526E0B">
        <w:rPr>
          <w:rFonts w:ascii="Abadi" w:hAnsi="Abadi" w:cs="ArialMT"/>
          <w:b/>
          <w:bCs/>
          <w:sz w:val="21"/>
          <w:szCs w:val="21"/>
        </w:rPr>
        <w:t>IV.-</w:t>
      </w:r>
      <w:r>
        <w:rPr>
          <w:rFonts w:ascii="Abadi" w:hAnsi="Abadi" w:cs="ArialMT"/>
          <w:sz w:val="21"/>
          <w:szCs w:val="21"/>
        </w:rPr>
        <w:t xml:space="preserve"> </w:t>
      </w:r>
      <w:r w:rsidRPr="00C40978">
        <w:rPr>
          <w:rFonts w:ascii="Abadi" w:hAnsi="Abadi" w:cs="ArialMT"/>
          <w:sz w:val="21"/>
          <w:szCs w:val="21"/>
        </w:rPr>
        <w:t>Presentación de la iniciativa suscrita por el diputado David Martínez</w:t>
      </w:r>
      <w:r>
        <w:rPr>
          <w:rFonts w:ascii="Abadi" w:hAnsi="Abadi" w:cs="ArialMT"/>
          <w:sz w:val="21"/>
          <w:szCs w:val="21"/>
        </w:rPr>
        <w:t xml:space="preserve"> </w:t>
      </w:r>
      <w:r w:rsidRPr="00C40978">
        <w:rPr>
          <w:rFonts w:ascii="Abadi" w:hAnsi="Abadi" w:cs="ArialMT"/>
          <w:sz w:val="21"/>
          <w:szCs w:val="21"/>
        </w:rPr>
        <w:t>Mendizábal y la diputada Hades Berenice Aguilar Castillo integrantes del</w:t>
      </w:r>
      <w:r>
        <w:rPr>
          <w:rFonts w:ascii="Abadi" w:hAnsi="Abadi" w:cs="ArialMT"/>
          <w:sz w:val="21"/>
          <w:szCs w:val="21"/>
        </w:rPr>
        <w:t xml:space="preserve"> </w:t>
      </w:r>
      <w:r w:rsidRPr="00C40978">
        <w:rPr>
          <w:rFonts w:ascii="Abadi" w:hAnsi="Abadi" w:cs="ArialMT"/>
          <w:sz w:val="21"/>
          <w:szCs w:val="21"/>
        </w:rPr>
        <w:t>Grupo Parlamentario del Partido MORENA a efecto de adicionar un cuarto</w:t>
      </w:r>
      <w:r>
        <w:rPr>
          <w:rFonts w:ascii="Abadi" w:hAnsi="Abadi" w:cs="ArialMT"/>
          <w:sz w:val="21"/>
          <w:szCs w:val="21"/>
        </w:rPr>
        <w:t xml:space="preserve"> </w:t>
      </w:r>
      <w:r w:rsidRPr="00C40978">
        <w:rPr>
          <w:rFonts w:ascii="Abadi" w:hAnsi="Abadi" w:cs="ArialMT"/>
          <w:sz w:val="21"/>
          <w:szCs w:val="21"/>
        </w:rPr>
        <w:t>párrafo al artículo 7 de la Constitución Política para el Estado de</w:t>
      </w:r>
      <w:r>
        <w:rPr>
          <w:rFonts w:ascii="Abadi" w:hAnsi="Abadi" w:cs="ArialMT"/>
          <w:sz w:val="21"/>
          <w:szCs w:val="21"/>
        </w:rPr>
        <w:t xml:space="preserve"> </w:t>
      </w:r>
      <w:r w:rsidRPr="00C40978">
        <w:rPr>
          <w:rFonts w:ascii="Abadi" w:hAnsi="Abadi" w:cs="ArialMT"/>
          <w:sz w:val="21"/>
          <w:szCs w:val="21"/>
        </w:rPr>
        <w:t>Guanajuato.</w:t>
      </w:r>
      <w:r>
        <w:rPr>
          <w:rFonts w:ascii="Abadi" w:hAnsi="Abadi" w:cs="ArialMT"/>
          <w:sz w:val="21"/>
          <w:szCs w:val="21"/>
        </w:rPr>
        <w:t xml:space="preserve"> </w:t>
      </w:r>
      <w:r w:rsidRPr="00526E0B">
        <w:rPr>
          <w:rFonts w:ascii="Abadi" w:hAnsi="Abadi" w:cs="ArialMT"/>
          <w:b/>
          <w:bCs/>
          <w:sz w:val="21"/>
          <w:szCs w:val="21"/>
        </w:rPr>
        <w:t>V.-</w:t>
      </w:r>
      <w:r>
        <w:rPr>
          <w:rFonts w:ascii="Abadi" w:hAnsi="Abadi" w:cs="ArialMT"/>
          <w:sz w:val="21"/>
          <w:szCs w:val="21"/>
        </w:rPr>
        <w:t xml:space="preserve"> </w:t>
      </w:r>
      <w:r w:rsidRPr="00C40978">
        <w:rPr>
          <w:rFonts w:ascii="Abadi" w:hAnsi="Abadi" w:cs="ArialMT"/>
          <w:sz w:val="21"/>
          <w:szCs w:val="21"/>
        </w:rPr>
        <w:t>Presentación de la iniciativa formulada por la diputada Hades Berenice</w:t>
      </w:r>
      <w:r>
        <w:rPr>
          <w:rFonts w:ascii="Abadi" w:hAnsi="Abadi" w:cs="ArialMT"/>
          <w:sz w:val="21"/>
          <w:szCs w:val="21"/>
        </w:rPr>
        <w:t xml:space="preserve"> </w:t>
      </w:r>
      <w:r w:rsidRPr="00C40978">
        <w:rPr>
          <w:rFonts w:ascii="Abadi" w:hAnsi="Abadi" w:cs="ArialMT"/>
          <w:sz w:val="21"/>
          <w:szCs w:val="21"/>
        </w:rPr>
        <w:t>Aguilar Castillo integrante del Grupo Parlamentario del Partido MORENA a</w:t>
      </w:r>
      <w:r>
        <w:rPr>
          <w:rFonts w:ascii="Abadi" w:hAnsi="Abadi" w:cs="ArialMT"/>
          <w:sz w:val="21"/>
          <w:szCs w:val="21"/>
        </w:rPr>
        <w:t xml:space="preserve"> </w:t>
      </w:r>
      <w:r w:rsidRPr="00C40978">
        <w:rPr>
          <w:rFonts w:ascii="Abadi" w:hAnsi="Abadi" w:cs="ArialMT"/>
          <w:sz w:val="21"/>
          <w:szCs w:val="21"/>
        </w:rPr>
        <w:t>efecto de reformar y derogar diversas disposiciones de la Ley de Justicia</w:t>
      </w:r>
      <w:r>
        <w:rPr>
          <w:rFonts w:ascii="Abadi" w:hAnsi="Abadi" w:cs="ArialMT"/>
          <w:sz w:val="21"/>
          <w:szCs w:val="21"/>
        </w:rPr>
        <w:t xml:space="preserve"> </w:t>
      </w:r>
      <w:r w:rsidRPr="00C40978">
        <w:rPr>
          <w:rFonts w:ascii="Abadi" w:hAnsi="Abadi" w:cs="ArialMT"/>
          <w:sz w:val="21"/>
          <w:szCs w:val="21"/>
        </w:rPr>
        <w:t>Cívica del Estado de Guanajuato.</w:t>
      </w:r>
      <w:r>
        <w:rPr>
          <w:rFonts w:ascii="Abadi" w:hAnsi="Abadi" w:cs="ArialMT"/>
          <w:sz w:val="21"/>
          <w:szCs w:val="21"/>
        </w:rPr>
        <w:t xml:space="preserve"> </w:t>
      </w:r>
      <w:r w:rsidRPr="00526E0B">
        <w:rPr>
          <w:rFonts w:ascii="Abadi" w:hAnsi="Abadi" w:cs="ArialMT"/>
          <w:b/>
          <w:bCs/>
          <w:sz w:val="21"/>
          <w:szCs w:val="21"/>
        </w:rPr>
        <w:t>VI.-</w:t>
      </w:r>
      <w:r>
        <w:rPr>
          <w:rFonts w:ascii="Abadi" w:hAnsi="Abadi" w:cs="ArialMT"/>
          <w:sz w:val="21"/>
          <w:szCs w:val="21"/>
        </w:rPr>
        <w:t xml:space="preserve"> </w:t>
      </w:r>
      <w:r w:rsidRPr="00C40978">
        <w:rPr>
          <w:rFonts w:ascii="Abadi" w:hAnsi="Abadi" w:cs="ArialMT"/>
          <w:sz w:val="21"/>
          <w:szCs w:val="21"/>
        </w:rPr>
        <w:t>Presentación de la iniciativa suscrita por diputadas y diputados integrantes</w:t>
      </w:r>
      <w:r>
        <w:rPr>
          <w:rFonts w:ascii="Abadi" w:hAnsi="Abadi" w:cs="ArialMT"/>
          <w:sz w:val="21"/>
          <w:szCs w:val="21"/>
        </w:rPr>
        <w:t xml:space="preserve"> </w:t>
      </w:r>
      <w:r w:rsidRPr="00C40978">
        <w:rPr>
          <w:rFonts w:ascii="Abadi" w:hAnsi="Abadi" w:cs="ArialMT"/>
          <w:sz w:val="21"/>
          <w:szCs w:val="21"/>
        </w:rPr>
        <w:t>del Grupo Parlamentario del Partido Acción Nacional a efecto de adicionar</w:t>
      </w:r>
      <w:r>
        <w:rPr>
          <w:rFonts w:ascii="Abadi" w:hAnsi="Abadi" w:cs="ArialMT"/>
          <w:sz w:val="21"/>
          <w:szCs w:val="21"/>
        </w:rPr>
        <w:t xml:space="preserve"> </w:t>
      </w:r>
      <w:r w:rsidRPr="00C40978">
        <w:rPr>
          <w:rFonts w:ascii="Abadi" w:hAnsi="Abadi" w:cs="ArialMT"/>
          <w:sz w:val="21"/>
          <w:szCs w:val="21"/>
        </w:rPr>
        <w:t>diversas disposiciones a la Ley de Fomento a la Agricultura Familiar del</w:t>
      </w:r>
      <w:r>
        <w:rPr>
          <w:rFonts w:ascii="Abadi" w:hAnsi="Abadi" w:cs="ArialMT"/>
          <w:sz w:val="21"/>
          <w:szCs w:val="21"/>
        </w:rPr>
        <w:t xml:space="preserve"> </w:t>
      </w:r>
      <w:r w:rsidRPr="00C40978">
        <w:rPr>
          <w:rFonts w:ascii="Abadi" w:hAnsi="Abadi" w:cs="ArialMT"/>
          <w:sz w:val="21"/>
          <w:szCs w:val="21"/>
        </w:rPr>
        <w:t>Estado de Guanajuato.</w:t>
      </w:r>
      <w:r>
        <w:rPr>
          <w:rFonts w:ascii="Abadi" w:hAnsi="Abadi" w:cs="ArialMT"/>
          <w:sz w:val="21"/>
          <w:szCs w:val="21"/>
        </w:rPr>
        <w:t xml:space="preserve"> </w:t>
      </w:r>
      <w:r w:rsidRPr="00EB7D91">
        <w:rPr>
          <w:rFonts w:ascii="Abadi" w:hAnsi="Abadi" w:cs="ArialMT"/>
          <w:b/>
          <w:bCs/>
          <w:sz w:val="21"/>
          <w:szCs w:val="21"/>
        </w:rPr>
        <w:t>VII.-</w:t>
      </w:r>
      <w:r>
        <w:rPr>
          <w:rFonts w:ascii="Abadi" w:hAnsi="Abadi" w:cs="ArialMT"/>
          <w:sz w:val="21"/>
          <w:szCs w:val="21"/>
        </w:rPr>
        <w:t xml:space="preserve"> </w:t>
      </w:r>
      <w:r w:rsidRPr="00C40978">
        <w:rPr>
          <w:rFonts w:ascii="Abadi" w:hAnsi="Abadi" w:cs="ArialMT"/>
          <w:sz w:val="21"/>
          <w:szCs w:val="21"/>
        </w:rPr>
        <w:t>Presentación de la iniciativa formulada por la diputada Irma Leticia González</w:t>
      </w:r>
      <w:r>
        <w:rPr>
          <w:rFonts w:ascii="Abadi" w:hAnsi="Abadi" w:cs="ArialMT"/>
          <w:sz w:val="21"/>
          <w:szCs w:val="21"/>
        </w:rPr>
        <w:t xml:space="preserve"> </w:t>
      </w:r>
      <w:r w:rsidRPr="00C40978">
        <w:rPr>
          <w:rFonts w:ascii="Abadi" w:hAnsi="Abadi" w:cs="ArialMT"/>
          <w:sz w:val="21"/>
          <w:szCs w:val="21"/>
        </w:rPr>
        <w:t>Sánchez integrante del Grupo Parlamentario del Partido MORENA a efecto</w:t>
      </w:r>
      <w:r>
        <w:rPr>
          <w:rFonts w:ascii="Abadi" w:hAnsi="Abadi" w:cs="ArialMT"/>
          <w:sz w:val="21"/>
          <w:szCs w:val="21"/>
        </w:rPr>
        <w:t xml:space="preserve"> </w:t>
      </w:r>
      <w:r w:rsidRPr="00C40978">
        <w:rPr>
          <w:rFonts w:ascii="Abadi" w:hAnsi="Abadi" w:cs="ArialMT"/>
          <w:sz w:val="21"/>
          <w:szCs w:val="21"/>
        </w:rPr>
        <w:t>de reformar y adicionar diversas disposiciones de la Ley de Salud del Estado</w:t>
      </w:r>
      <w:r>
        <w:rPr>
          <w:rFonts w:ascii="Abadi" w:hAnsi="Abadi" w:cs="ArialMT"/>
          <w:sz w:val="21"/>
          <w:szCs w:val="21"/>
        </w:rPr>
        <w:t xml:space="preserve"> </w:t>
      </w:r>
      <w:r w:rsidRPr="00C40978">
        <w:rPr>
          <w:rFonts w:ascii="Abadi" w:hAnsi="Abadi" w:cs="ArialMT"/>
          <w:sz w:val="21"/>
          <w:szCs w:val="21"/>
        </w:rPr>
        <w:t>de Guanajuato.</w:t>
      </w:r>
      <w:r>
        <w:rPr>
          <w:rFonts w:ascii="Abadi" w:hAnsi="Abadi" w:cs="ArialMT"/>
          <w:sz w:val="21"/>
          <w:szCs w:val="21"/>
        </w:rPr>
        <w:t xml:space="preserve"> </w:t>
      </w:r>
      <w:r w:rsidRPr="00EB7D91">
        <w:rPr>
          <w:rFonts w:ascii="Abadi" w:hAnsi="Abadi" w:cs="ArialMT"/>
          <w:b/>
          <w:bCs/>
          <w:sz w:val="21"/>
          <w:szCs w:val="21"/>
        </w:rPr>
        <w:t>VIII.-</w:t>
      </w:r>
      <w:r>
        <w:rPr>
          <w:rFonts w:ascii="Abadi" w:hAnsi="Abadi" w:cs="ArialMT"/>
          <w:sz w:val="21"/>
          <w:szCs w:val="21"/>
        </w:rPr>
        <w:t xml:space="preserve"> </w:t>
      </w:r>
      <w:r w:rsidRPr="00C40978">
        <w:rPr>
          <w:rFonts w:ascii="Abadi" w:hAnsi="Abadi" w:cs="ArialMT"/>
          <w:sz w:val="21"/>
          <w:szCs w:val="21"/>
        </w:rPr>
        <w:t>Presentación de la iniciativa por la que se adicionan diversas disposiciones</w:t>
      </w:r>
      <w:r>
        <w:rPr>
          <w:rFonts w:ascii="Abadi" w:hAnsi="Abadi" w:cs="ArialMT"/>
          <w:sz w:val="21"/>
          <w:szCs w:val="21"/>
        </w:rPr>
        <w:t xml:space="preserve"> </w:t>
      </w:r>
      <w:r w:rsidRPr="00C40978">
        <w:rPr>
          <w:rFonts w:ascii="Abadi" w:hAnsi="Abadi" w:cs="ArialMT"/>
          <w:sz w:val="21"/>
          <w:szCs w:val="21"/>
        </w:rPr>
        <w:t>a la Ley de Instituciones y Procedimientos Electorales para el Estado de</w:t>
      </w:r>
      <w:r>
        <w:rPr>
          <w:rFonts w:ascii="Abadi" w:hAnsi="Abadi" w:cs="ArialMT"/>
          <w:sz w:val="21"/>
          <w:szCs w:val="21"/>
        </w:rPr>
        <w:t xml:space="preserve"> </w:t>
      </w:r>
      <w:r w:rsidRPr="00C40978">
        <w:rPr>
          <w:rFonts w:ascii="Abadi" w:hAnsi="Abadi" w:cs="ArialMT"/>
          <w:sz w:val="21"/>
          <w:szCs w:val="21"/>
        </w:rPr>
        <w:t>Guanajuato y a la Ley de los Derechos de Niñas, Niños y Adolescentes del</w:t>
      </w:r>
      <w:r>
        <w:rPr>
          <w:rFonts w:ascii="Abadi" w:hAnsi="Abadi" w:cs="ArialMT"/>
          <w:sz w:val="21"/>
          <w:szCs w:val="21"/>
        </w:rPr>
        <w:t xml:space="preserve"> </w:t>
      </w:r>
      <w:r w:rsidRPr="00C40978">
        <w:rPr>
          <w:rFonts w:ascii="Abadi" w:hAnsi="Abadi" w:cs="ArialMT"/>
          <w:sz w:val="21"/>
          <w:szCs w:val="21"/>
        </w:rPr>
        <w:t>Estado de Guanajuato suscrita por diputada y los diputados integrantes del</w:t>
      </w:r>
      <w:r>
        <w:rPr>
          <w:rFonts w:ascii="Abadi" w:hAnsi="Abadi" w:cs="ArialMT"/>
          <w:sz w:val="21"/>
          <w:szCs w:val="21"/>
        </w:rPr>
        <w:t xml:space="preserve"> </w:t>
      </w:r>
      <w:r w:rsidRPr="00C40978">
        <w:rPr>
          <w:rFonts w:ascii="Abadi" w:hAnsi="Abadi" w:cs="ArialMT"/>
          <w:sz w:val="21"/>
          <w:szCs w:val="21"/>
        </w:rPr>
        <w:t>Grupo Parlamentario del Partido Revolucionario Institucional.</w:t>
      </w:r>
      <w:r>
        <w:rPr>
          <w:rFonts w:ascii="Abadi" w:hAnsi="Abadi" w:cs="ArialMT"/>
          <w:sz w:val="21"/>
          <w:szCs w:val="21"/>
        </w:rPr>
        <w:t xml:space="preserve"> </w:t>
      </w:r>
      <w:r w:rsidRPr="00EB7D91">
        <w:rPr>
          <w:rFonts w:ascii="Abadi" w:hAnsi="Abadi" w:cs="ArialMT"/>
          <w:b/>
          <w:bCs/>
          <w:sz w:val="21"/>
          <w:szCs w:val="21"/>
        </w:rPr>
        <w:t>IX.-</w:t>
      </w:r>
      <w:r>
        <w:rPr>
          <w:rFonts w:ascii="Abadi" w:hAnsi="Abadi" w:cs="ArialMT"/>
          <w:sz w:val="21"/>
          <w:szCs w:val="21"/>
        </w:rPr>
        <w:t xml:space="preserve"> </w:t>
      </w:r>
      <w:r w:rsidRPr="00C40978">
        <w:rPr>
          <w:rFonts w:ascii="Abadi" w:hAnsi="Abadi" w:cs="ArialMT"/>
          <w:sz w:val="21"/>
          <w:szCs w:val="21"/>
        </w:rPr>
        <w:t>Presentación de la iniciativa formulada por diputadas y diputado integrantes</w:t>
      </w:r>
      <w:r>
        <w:rPr>
          <w:rFonts w:ascii="Abadi" w:hAnsi="Abadi" w:cs="ArialMT"/>
          <w:sz w:val="21"/>
          <w:szCs w:val="21"/>
        </w:rPr>
        <w:t xml:space="preserve"> </w:t>
      </w:r>
      <w:r w:rsidRPr="00C40978">
        <w:rPr>
          <w:rFonts w:ascii="Abadi" w:hAnsi="Abadi" w:cs="ArialMT"/>
          <w:sz w:val="21"/>
          <w:szCs w:val="21"/>
        </w:rPr>
        <w:t>del Grupo Parlamentario del Partido MORENA a efecto de adicionar los</w:t>
      </w:r>
      <w:r>
        <w:rPr>
          <w:rFonts w:ascii="Abadi" w:hAnsi="Abadi" w:cs="ArialMT"/>
          <w:sz w:val="21"/>
          <w:szCs w:val="21"/>
        </w:rPr>
        <w:t xml:space="preserve"> </w:t>
      </w:r>
      <w:r w:rsidRPr="00C40978">
        <w:rPr>
          <w:rFonts w:ascii="Abadi" w:hAnsi="Abadi" w:cs="ArialMT"/>
          <w:sz w:val="21"/>
          <w:szCs w:val="21"/>
        </w:rPr>
        <w:t>artículos 63-1 y 63-2 a la Ley de Responsabilidades Administrativas para el</w:t>
      </w:r>
      <w:r>
        <w:rPr>
          <w:rFonts w:ascii="Abadi" w:hAnsi="Abadi" w:cs="ArialMT"/>
          <w:sz w:val="21"/>
          <w:szCs w:val="21"/>
        </w:rPr>
        <w:t xml:space="preserve"> </w:t>
      </w:r>
      <w:r w:rsidRPr="00C40978">
        <w:rPr>
          <w:rFonts w:ascii="Abadi" w:hAnsi="Abadi" w:cs="ArialMT"/>
          <w:sz w:val="21"/>
          <w:szCs w:val="21"/>
        </w:rPr>
        <w:t>Estado de Guanajuato.</w:t>
      </w:r>
      <w:r>
        <w:rPr>
          <w:rFonts w:ascii="Abadi" w:hAnsi="Abadi" w:cs="ArialMT"/>
          <w:sz w:val="21"/>
          <w:szCs w:val="21"/>
        </w:rPr>
        <w:t xml:space="preserve"> </w:t>
      </w:r>
      <w:r w:rsidRPr="00EB7D91">
        <w:rPr>
          <w:rFonts w:ascii="Abadi" w:hAnsi="Abadi" w:cs="ArialMT"/>
          <w:b/>
          <w:bCs/>
          <w:sz w:val="21"/>
          <w:szCs w:val="21"/>
        </w:rPr>
        <w:t>X.-</w:t>
      </w:r>
      <w:r>
        <w:rPr>
          <w:rFonts w:ascii="Abadi" w:hAnsi="Abadi" w:cs="ArialMT"/>
          <w:sz w:val="21"/>
          <w:szCs w:val="21"/>
        </w:rPr>
        <w:t xml:space="preserve"> </w:t>
      </w:r>
      <w:r w:rsidRPr="00C40978">
        <w:rPr>
          <w:rFonts w:ascii="Abadi" w:hAnsi="Abadi" w:cs="ArialMT"/>
          <w:sz w:val="21"/>
          <w:szCs w:val="21"/>
        </w:rPr>
        <w:t>Presentación de la iniciativa suscrita por las diputadas Yulma Rocha Aguilar,</w:t>
      </w:r>
      <w:r>
        <w:rPr>
          <w:rFonts w:ascii="Abadi" w:hAnsi="Abadi" w:cs="ArialMT"/>
          <w:sz w:val="21"/>
          <w:szCs w:val="21"/>
        </w:rPr>
        <w:t xml:space="preserve"> </w:t>
      </w:r>
      <w:r w:rsidRPr="00C40978">
        <w:rPr>
          <w:rFonts w:ascii="Abadi" w:hAnsi="Abadi" w:cs="ArialMT"/>
          <w:sz w:val="21"/>
          <w:szCs w:val="21"/>
        </w:rPr>
        <w:t>Martha Lourdes Ortega Roque y Dessire Angel Rocha, a efecto de reformar</w:t>
      </w:r>
      <w:r>
        <w:rPr>
          <w:rFonts w:ascii="Abadi" w:hAnsi="Abadi" w:cs="ArialMT"/>
          <w:sz w:val="21"/>
          <w:szCs w:val="21"/>
        </w:rPr>
        <w:t xml:space="preserve"> </w:t>
      </w:r>
      <w:r w:rsidRPr="00C40978">
        <w:rPr>
          <w:rFonts w:ascii="Abadi" w:hAnsi="Abadi" w:cs="ArialMT"/>
          <w:sz w:val="21"/>
          <w:szCs w:val="21"/>
        </w:rPr>
        <w:t>diversos artículos de la Ley Orgánica del Poder Ejecutivo para el Estado de</w:t>
      </w:r>
      <w:r>
        <w:rPr>
          <w:rFonts w:ascii="Abadi" w:hAnsi="Abadi" w:cs="ArialMT"/>
          <w:sz w:val="21"/>
          <w:szCs w:val="21"/>
        </w:rPr>
        <w:t xml:space="preserve"> </w:t>
      </w:r>
      <w:r w:rsidRPr="00C40978">
        <w:rPr>
          <w:rFonts w:ascii="Abadi" w:hAnsi="Abadi" w:cs="ArialMT"/>
          <w:sz w:val="21"/>
          <w:szCs w:val="21"/>
        </w:rPr>
        <w:t>Guanajuato y de la Ley Orgánica Municipal para el Estado de Guanajuato.</w:t>
      </w:r>
      <w:r>
        <w:rPr>
          <w:rFonts w:ascii="Abadi" w:hAnsi="Abadi" w:cs="ArialMT"/>
          <w:sz w:val="21"/>
          <w:szCs w:val="21"/>
        </w:rPr>
        <w:t xml:space="preserve"> </w:t>
      </w:r>
      <w:r w:rsidRPr="005E460D">
        <w:rPr>
          <w:rFonts w:ascii="Abadi" w:hAnsi="Abadi" w:cs="ArialMT"/>
          <w:b/>
          <w:bCs/>
          <w:sz w:val="21"/>
          <w:szCs w:val="21"/>
        </w:rPr>
        <w:t>XI.-</w:t>
      </w:r>
      <w:r>
        <w:rPr>
          <w:rFonts w:ascii="Abadi" w:hAnsi="Abadi" w:cs="ArialMT"/>
          <w:sz w:val="21"/>
          <w:szCs w:val="21"/>
        </w:rPr>
        <w:t xml:space="preserve"> </w:t>
      </w:r>
      <w:r w:rsidRPr="00C40978">
        <w:rPr>
          <w:rFonts w:ascii="Abadi" w:hAnsi="Abadi" w:cs="ArialMT"/>
          <w:sz w:val="21"/>
          <w:szCs w:val="21"/>
        </w:rPr>
        <w:t>Presentación de la propuesta de punto de acuerdo suscrita por la diputada</w:t>
      </w:r>
      <w:r>
        <w:rPr>
          <w:rFonts w:ascii="Abadi" w:hAnsi="Abadi" w:cs="ArialMT"/>
          <w:sz w:val="21"/>
          <w:szCs w:val="21"/>
        </w:rPr>
        <w:t xml:space="preserve"> </w:t>
      </w:r>
      <w:r w:rsidRPr="00C40978">
        <w:rPr>
          <w:rFonts w:ascii="Abadi" w:hAnsi="Abadi" w:cs="ArialMT"/>
          <w:sz w:val="21"/>
          <w:szCs w:val="21"/>
        </w:rPr>
        <w:t>Hades Berenice Aguilar Castillo integrante del Grupo Parlamentario del</w:t>
      </w:r>
      <w:r>
        <w:rPr>
          <w:rFonts w:ascii="Abadi" w:hAnsi="Abadi" w:cs="ArialMT"/>
          <w:sz w:val="21"/>
          <w:szCs w:val="21"/>
        </w:rPr>
        <w:t xml:space="preserve"> </w:t>
      </w:r>
      <w:r w:rsidRPr="00C40978">
        <w:rPr>
          <w:rFonts w:ascii="Abadi" w:hAnsi="Abadi" w:cs="ArialMT"/>
          <w:sz w:val="21"/>
          <w:szCs w:val="21"/>
        </w:rPr>
        <w:t>Partido MORENA a efecto de exhortar a la presidenta municipal de León,</w:t>
      </w:r>
      <w:r>
        <w:rPr>
          <w:rFonts w:ascii="Abadi" w:hAnsi="Abadi" w:cs="ArialMT"/>
          <w:sz w:val="21"/>
          <w:szCs w:val="21"/>
        </w:rPr>
        <w:t xml:space="preserve"> </w:t>
      </w:r>
      <w:r w:rsidRPr="00C40978">
        <w:rPr>
          <w:rFonts w:ascii="Abadi" w:hAnsi="Abadi" w:cs="ArialMT"/>
          <w:sz w:val="21"/>
          <w:szCs w:val="21"/>
        </w:rPr>
        <w:t>Alejandra Gutiérrez Campos, para que informe a este Congreso acerca de</w:t>
      </w:r>
      <w:r>
        <w:rPr>
          <w:rFonts w:ascii="Abadi" w:hAnsi="Abadi" w:cs="ArialMT"/>
          <w:sz w:val="21"/>
          <w:szCs w:val="21"/>
        </w:rPr>
        <w:t xml:space="preserve"> </w:t>
      </w:r>
      <w:r w:rsidRPr="00C40978">
        <w:rPr>
          <w:rFonts w:ascii="Abadi" w:hAnsi="Abadi" w:cs="ArialMT"/>
          <w:sz w:val="21"/>
          <w:szCs w:val="21"/>
        </w:rPr>
        <w:t>las acciones y programas que se implementaron durante el 2022 para la</w:t>
      </w:r>
      <w:r>
        <w:rPr>
          <w:rFonts w:ascii="Abadi" w:hAnsi="Abadi" w:cs="ArialMT"/>
          <w:sz w:val="21"/>
          <w:szCs w:val="21"/>
        </w:rPr>
        <w:t xml:space="preserve"> </w:t>
      </w:r>
      <w:r w:rsidRPr="00C40978">
        <w:rPr>
          <w:rFonts w:ascii="Abadi" w:hAnsi="Abadi" w:cs="ArialMT"/>
          <w:sz w:val="21"/>
          <w:szCs w:val="21"/>
        </w:rPr>
        <w:t>atención de las personas jornaleras agrícolas indígenas migrantes de León;</w:t>
      </w:r>
      <w:r>
        <w:rPr>
          <w:rFonts w:ascii="Abadi" w:hAnsi="Abadi" w:cs="ArialMT"/>
          <w:sz w:val="21"/>
          <w:szCs w:val="21"/>
        </w:rPr>
        <w:t xml:space="preserve"> </w:t>
      </w:r>
      <w:r w:rsidRPr="00C40978">
        <w:rPr>
          <w:rFonts w:ascii="Abadi" w:hAnsi="Abadi" w:cs="ArialMT"/>
          <w:sz w:val="21"/>
          <w:szCs w:val="21"/>
        </w:rPr>
        <w:t>así como al Gobernador del Estado de Guanajuato, Diego Sinhue Rodríguez</w:t>
      </w:r>
      <w:r>
        <w:rPr>
          <w:rFonts w:ascii="Abadi" w:hAnsi="Abadi" w:cs="ArialMT"/>
          <w:sz w:val="21"/>
          <w:szCs w:val="21"/>
        </w:rPr>
        <w:t xml:space="preserve"> </w:t>
      </w:r>
      <w:r w:rsidRPr="00C40978">
        <w:rPr>
          <w:rFonts w:ascii="Abadi" w:hAnsi="Abadi" w:cs="ArialMT"/>
          <w:sz w:val="21"/>
          <w:szCs w:val="21"/>
        </w:rPr>
        <w:t>Vallejo, para que, en el ámbito de sus atribuciones, incorpore las</w:t>
      </w:r>
      <w:r>
        <w:rPr>
          <w:rFonts w:ascii="Abadi" w:hAnsi="Abadi" w:cs="ArialMT"/>
          <w:sz w:val="21"/>
          <w:szCs w:val="21"/>
        </w:rPr>
        <w:t xml:space="preserve"> </w:t>
      </w:r>
      <w:r w:rsidRPr="00C40978">
        <w:rPr>
          <w:rFonts w:ascii="Abadi" w:hAnsi="Abadi" w:cs="ArialMT"/>
          <w:sz w:val="21"/>
          <w:szCs w:val="21"/>
        </w:rPr>
        <w:t>recomendaciones del Centro de Desarrollo Indígena Loyola en el diseño,</w:t>
      </w:r>
      <w:r>
        <w:rPr>
          <w:rFonts w:ascii="Abadi" w:hAnsi="Abadi" w:cs="ArialMT"/>
          <w:sz w:val="21"/>
          <w:szCs w:val="21"/>
        </w:rPr>
        <w:t xml:space="preserve"> </w:t>
      </w:r>
      <w:r w:rsidRPr="00C40978">
        <w:rPr>
          <w:rFonts w:ascii="Abadi" w:hAnsi="Abadi" w:cs="ArialMT"/>
          <w:sz w:val="21"/>
          <w:szCs w:val="21"/>
        </w:rPr>
        <w:t>implementación y evaluación de la política pública de atención a personas</w:t>
      </w:r>
      <w:r>
        <w:rPr>
          <w:rFonts w:ascii="Abadi" w:hAnsi="Abadi" w:cs="ArialMT"/>
          <w:sz w:val="21"/>
          <w:szCs w:val="21"/>
        </w:rPr>
        <w:t xml:space="preserve"> </w:t>
      </w:r>
      <w:r w:rsidRPr="00C40978">
        <w:rPr>
          <w:rFonts w:ascii="Abadi" w:hAnsi="Abadi" w:cs="ArialMT"/>
          <w:sz w:val="21"/>
          <w:szCs w:val="21"/>
        </w:rPr>
        <w:t>jornaleras agrícolas migrantes.</w:t>
      </w:r>
      <w:r>
        <w:rPr>
          <w:rFonts w:ascii="Abadi" w:hAnsi="Abadi" w:cs="ArialMT"/>
          <w:sz w:val="21"/>
          <w:szCs w:val="21"/>
        </w:rPr>
        <w:t xml:space="preserve"> </w:t>
      </w:r>
      <w:r w:rsidRPr="00892AAF">
        <w:rPr>
          <w:rFonts w:ascii="Abadi" w:hAnsi="Abadi" w:cs="ArialMT"/>
          <w:b/>
          <w:bCs/>
          <w:sz w:val="21"/>
          <w:szCs w:val="21"/>
        </w:rPr>
        <w:t>XII.-</w:t>
      </w:r>
      <w:r>
        <w:rPr>
          <w:rFonts w:ascii="Abadi" w:hAnsi="Abadi" w:cs="ArialMT"/>
          <w:sz w:val="21"/>
          <w:szCs w:val="21"/>
        </w:rPr>
        <w:t xml:space="preserve"> </w:t>
      </w:r>
      <w:r w:rsidRPr="00C40978">
        <w:rPr>
          <w:rFonts w:ascii="Abadi" w:hAnsi="Abadi" w:cs="ArialMT"/>
          <w:sz w:val="21"/>
          <w:szCs w:val="21"/>
        </w:rPr>
        <w:t>Presentación de la propuesta de punto de acuerdo formulada por la diputada</w:t>
      </w:r>
      <w:r>
        <w:rPr>
          <w:rFonts w:ascii="Abadi" w:hAnsi="Abadi" w:cs="ArialMT"/>
          <w:sz w:val="21"/>
          <w:szCs w:val="21"/>
        </w:rPr>
        <w:t xml:space="preserve"> </w:t>
      </w:r>
      <w:r w:rsidRPr="00C40978">
        <w:rPr>
          <w:rFonts w:ascii="Abadi" w:hAnsi="Abadi" w:cs="ArialMT"/>
          <w:sz w:val="21"/>
          <w:szCs w:val="21"/>
        </w:rPr>
        <w:t>Alma Edwviges Alcaraz Hernández integrante del Grupo Parlamentario del</w:t>
      </w:r>
      <w:r>
        <w:rPr>
          <w:rFonts w:ascii="Abadi" w:hAnsi="Abadi" w:cs="ArialMT"/>
          <w:sz w:val="21"/>
          <w:szCs w:val="21"/>
        </w:rPr>
        <w:t xml:space="preserve"> </w:t>
      </w:r>
      <w:r w:rsidRPr="00C40978">
        <w:rPr>
          <w:rFonts w:ascii="Abadi" w:hAnsi="Abadi" w:cs="ArialMT"/>
          <w:sz w:val="21"/>
          <w:szCs w:val="21"/>
        </w:rPr>
        <w:t>Partido MORENA a efecto de exhortar al titular del Poder Ejecutivo, Diego</w:t>
      </w:r>
      <w:r>
        <w:rPr>
          <w:rFonts w:ascii="Abadi" w:hAnsi="Abadi" w:cs="ArialMT"/>
          <w:sz w:val="21"/>
          <w:szCs w:val="21"/>
        </w:rPr>
        <w:t xml:space="preserve"> </w:t>
      </w:r>
      <w:r w:rsidRPr="00C40978">
        <w:rPr>
          <w:rFonts w:ascii="Abadi" w:hAnsi="Abadi" w:cs="ArialMT"/>
          <w:sz w:val="21"/>
          <w:szCs w:val="21"/>
        </w:rPr>
        <w:t>Sinhue Rodríguez Vallejo, para que realice las acciones necesarias para</w:t>
      </w:r>
      <w:r>
        <w:rPr>
          <w:rFonts w:ascii="Abadi" w:hAnsi="Abadi" w:cs="ArialMT"/>
          <w:sz w:val="21"/>
          <w:szCs w:val="21"/>
        </w:rPr>
        <w:t xml:space="preserve"> </w:t>
      </w:r>
      <w:r w:rsidRPr="00C40978">
        <w:rPr>
          <w:rFonts w:ascii="Abadi" w:hAnsi="Abadi" w:cs="ArialMT"/>
          <w:sz w:val="21"/>
          <w:szCs w:val="21"/>
        </w:rPr>
        <w:t xml:space="preserve">llevar a cabo una evaluación integral del programa </w:t>
      </w:r>
      <w:r w:rsidRPr="00C40978">
        <w:rPr>
          <w:rFonts w:ascii="Abadi" w:hAnsi="Abadi" w:cs="Arial-ItalicMT"/>
          <w:i/>
          <w:iCs/>
          <w:sz w:val="21"/>
          <w:szCs w:val="21"/>
        </w:rPr>
        <w:t>E045 Acceso Equitativo</w:t>
      </w:r>
      <w:r>
        <w:rPr>
          <w:rFonts w:ascii="Abadi" w:hAnsi="Abadi" w:cs="Arial-ItalicMT"/>
          <w:i/>
          <w:iCs/>
          <w:sz w:val="21"/>
          <w:szCs w:val="21"/>
        </w:rPr>
        <w:t xml:space="preserve"> </w:t>
      </w:r>
      <w:r w:rsidRPr="00C40978">
        <w:rPr>
          <w:rFonts w:ascii="Abadi" w:hAnsi="Abadi" w:cs="Arial-ItalicMT"/>
          <w:i/>
          <w:iCs/>
          <w:sz w:val="21"/>
          <w:szCs w:val="21"/>
        </w:rPr>
        <w:t>y Oportunidades de Desarrollo para Mujeres y Hombres</w:t>
      </w:r>
      <w:r w:rsidRPr="00C40978">
        <w:rPr>
          <w:rFonts w:ascii="Abadi" w:hAnsi="Abadi" w:cs="ArialMT"/>
          <w:sz w:val="21"/>
          <w:szCs w:val="21"/>
        </w:rPr>
        <w:t>, así como para que</w:t>
      </w:r>
      <w:r>
        <w:rPr>
          <w:rFonts w:ascii="Abadi" w:hAnsi="Abadi" w:cs="ArialMT"/>
          <w:sz w:val="21"/>
          <w:szCs w:val="21"/>
        </w:rPr>
        <w:t xml:space="preserve"> </w:t>
      </w:r>
      <w:r w:rsidRPr="00C40978">
        <w:rPr>
          <w:rFonts w:ascii="Abadi" w:hAnsi="Abadi" w:cs="ArialMT"/>
          <w:sz w:val="21"/>
          <w:szCs w:val="21"/>
        </w:rPr>
        <w:t>investigue, incorpore e implemente las mejores prácticas en materia de</w:t>
      </w:r>
      <w:r>
        <w:rPr>
          <w:rFonts w:ascii="Abadi" w:hAnsi="Abadi" w:cs="ArialMT"/>
          <w:sz w:val="21"/>
          <w:szCs w:val="21"/>
        </w:rPr>
        <w:t xml:space="preserve"> </w:t>
      </w:r>
      <w:r w:rsidRPr="00C40978">
        <w:rPr>
          <w:rFonts w:ascii="Abadi" w:hAnsi="Abadi" w:cs="ArialMT"/>
          <w:sz w:val="21"/>
          <w:szCs w:val="21"/>
        </w:rPr>
        <w:t>combate a la violencia de género utilizando el máximo de recursos</w:t>
      </w:r>
      <w:r>
        <w:rPr>
          <w:rFonts w:ascii="Abadi" w:hAnsi="Abadi" w:cs="ArialMT"/>
          <w:sz w:val="21"/>
          <w:szCs w:val="21"/>
        </w:rPr>
        <w:t xml:space="preserve"> </w:t>
      </w:r>
      <w:r w:rsidRPr="00C40978">
        <w:rPr>
          <w:rFonts w:ascii="Abadi" w:hAnsi="Abadi" w:cs="ArialMT"/>
          <w:sz w:val="21"/>
          <w:szCs w:val="21"/>
        </w:rPr>
        <w:t>disponibles.</w:t>
      </w:r>
      <w:r>
        <w:rPr>
          <w:rFonts w:ascii="Abadi" w:hAnsi="Abadi" w:cs="ArialMT"/>
          <w:sz w:val="21"/>
          <w:szCs w:val="21"/>
        </w:rPr>
        <w:t xml:space="preserve">   </w:t>
      </w:r>
      <w:r w:rsidRPr="00892AAF">
        <w:rPr>
          <w:rFonts w:ascii="Abadi" w:hAnsi="Abadi" w:cs="ArialMT"/>
          <w:b/>
          <w:bCs/>
          <w:sz w:val="21"/>
          <w:szCs w:val="21"/>
        </w:rPr>
        <w:t>XIII.-</w:t>
      </w:r>
      <w:r>
        <w:rPr>
          <w:rFonts w:ascii="Abadi" w:hAnsi="Abadi" w:cs="ArialMT"/>
          <w:sz w:val="21"/>
          <w:szCs w:val="21"/>
        </w:rPr>
        <w:t xml:space="preserve"> </w:t>
      </w:r>
      <w:r w:rsidRPr="00C40978">
        <w:rPr>
          <w:rFonts w:ascii="Abadi" w:hAnsi="Abadi" w:cs="ArialMT"/>
          <w:sz w:val="21"/>
          <w:szCs w:val="21"/>
        </w:rPr>
        <w:t>Presentación de la propuesta de punto de acuerdo de obvia resolución</w:t>
      </w:r>
      <w:r>
        <w:rPr>
          <w:rFonts w:ascii="Abadi" w:hAnsi="Abadi" w:cs="ArialMT"/>
          <w:sz w:val="21"/>
          <w:szCs w:val="21"/>
        </w:rPr>
        <w:t xml:space="preserve"> </w:t>
      </w:r>
      <w:r w:rsidRPr="00C40978">
        <w:rPr>
          <w:rFonts w:ascii="Abadi" w:hAnsi="Abadi" w:cs="ArialMT"/>
          <w:sz w:val="21"/>
          <w:szCs w:val="21"/>
        </w:rPr>
        <w:t>formulada por diputada y los diputados integrantes del Grupo Parlamentario</w:t>
      </w:r>
      <w:r>
        <w:rPr>
          <w:rFonts w:ascii="Abadi" w:hAnsi="Abadi" w:cs="ArialMT"/>
          <w:sz w:val="21"/>
          <w:szCs w:val="21"/>
        </w:rPr>
        <w:t xml:space="preserve"> </w:t>
      </w:r>
      <w:r w:rsidRPr="00C40978">
        <w:rPr>
          <w:rFonts w:ascii="Abadi" w:hAnsi="Abadi" w:cs="ArialMT"/>
          <w:sz w:val="21"/>
          <w:szCs w:val="21"/>
        </w:rPr>
        <w:t>del Partido Revolucionario Institucional a efecto de exhortar al titular del</w:t>
      </w:r>
      <w:r>
        <w:rPr>
          <w:rFonts w:ascii="Abadi" w:hAnsi="Abadi" w:cs="ArialMT"/>
          <w:sz w:val="21"/>
          <w:szCs w:val="21"/>
        </w:rPr>
        <w:t xml:space="preserve"> </w:t>
      </w:r>
      <w:r w:rsidRPr="00C40978">
        <w:rPr>
          <w:rFonts w:ascii="Abadi" w:hAnsi="Abadi" w:cs="ArialMT"/>
          <w:sz w:val="21"/>
          <w:szCs w:val="21"/>
        </w:rPr>
        <w:t>Poder Ejecutivo Estatal, Gobernador Diego Sinhue Rodríguez Vallejo para</w:t>
      </w:r>
      <w:r>
        <w:rPr>
          <w:rFonts w:ascii="Abadi" w:hAnsi="Abadi" w:cs="ArialMT"/>
          <w:sz w:val="21"/>
          <w:szCs w:val="21"/>
        </w:rPr>
        <w:t xml:space="preserve"> </w:t>
      </w:r>
      <w:r w:rsidRPr="00C40978">
        <w:rPr>
          <w:rFonts w:ascii="Abadi" w:hAnsi="Abadi" w:cs="ArialMT"/>
          <w:sz w:val="21"/>
          <w:szCs w:val="21"/>
        </w:rPr>
        <w:t>que, en el uso de sus atribuciones, en especial de las señaladas en los</w:t>
      </w:r>
      <w:r>
        <w:rPr>
          <w:rFonts w:ascii="Abadi" w:hAnsi="Abadi" w:cs="ArialMT"/>
          <w:sz w:val="21"/>
          <w:szCs w:val="21"/>
        </w:rPr>
        <w:t xml:space="preserve"> </w:t>
      </w:r>
      <w:r w:rsidRPr="00C40978">
        <w:rPr>
          <w:rFonts w:ascii="Abadi" w:hAnsi="Abadi" w:cs="ArialMT"/>
          <w:sz w:val="21"/>
          <w:szCs w:val="21"/>
        </w:rPr>
        <w:t>artículos 5-Bis y 6 de la Ley del Patrimonio Cultural del Estado de</w:t>
      </w:r>
      <w:r>
        <w:rPr>
          <w:rFonts w:ascii="Abadi" w:hAnsi="Abadi" w:cs="ArialMT"/>
          <w:sz w:val="21"/>
          <w:szCs w:val="21"/>
        </w:rPr>
        <w:t xml:space="preserve"> </w:t>
      </w:r>
      <w:r w:rsidRPr="00C40978">
        <w:rPr>
          <w:rFonts w:ascii="Abadi" w:hAnsi="Abadi" w:cs="ArialMT"/>
          <w:sz w:val="21"/>
          <w:szCs w:val="21"/>
        </w:rPr>
        <w:t>Guanajuato, declare como patrimonio cultural intangible de los</w:t>
      </w:r>
      <w:r>
        <w:rPr>
          <w:rFonts w:ascii="Abadi" w:hAnsi="Abadi" w:cs="ArialMT"/>
          <w:sz w:val="21"/>
          <w:szCs w:val="21"/>
        </w:rPr>
        <w:t xml:space="preserve"> </w:t>
      </w:r>
      <w:r w:rsidRPr="00C40978">
        <w:rPr>
          <w:rFonts w:ascii="Abadi" w:hAnsi="Abadi" w:cs="ArialMT"/>
          <w:sz w:val="21"/>
          <w:szCs w:val="21"/>
        </w:rPr>
        <w:t>guanajuatenses las manifestaciones culturales que por su valor y significado</w:t>
      </w:r>
      <w:r>
        <w:rPr>
          <w:rFonts w:ascii="Abadi" w:hAnsi="Abadi" w:cs="ArialMT"/>
          <w:sz w:val="21"/>
          <w:szCs w:val="21"/>
        </w:rPr>
        <w:t xml:space="preserve"> </w:t>
      </w:r>
      <w:r w:rsidRPr="00C40978">
        <w:rPr>
          <w:rFonts w:ascii="Abadi" w:hAnsi="Abadi" w:cs="ArialMT"/>
          <w:sz w:val="21"/>
          <w:szCs w:val="21"/>
        </w:rPr>
        <w:t>así como relevancia artística, tradicional, intelectual y lingüística</w:t>
      </w:r>
      <w:r>
        <w:rPr>
          <w:rFonts w:ascii="Abadi" w:hAnsi="Abadi" w:cs="ArialMT"/>
          <w:sz w:val="21"/>
          <w:szCs w:val="21"/>
        </w:rPr>
        <w:t xml:space="preserve"> </w:t>
      </w:r>
      <w:r w:rsidRPr="00C40978">
        <w:rPr>
          <w:rFonts w:ascii="Abadi" w:hAnsi="Abadi" w:cs="ArialMT"/>
          <w:sz w:val="21"/>
          <w:szCs w:val="21"/>
        </w:rPr>
        <w:t xml:space="preserve">representan el Teatro Universitario de </w:t>
      </w:r>
      <w:r w:rsidRPr="00C40978">
        <w:rPr>
          <w:rFonts w:ascii="Abadi" w:hAnsi="Abadi" w:cs="ArialMT"/>
          <w:sz w:val="21"/>
          <w:szCs w:val="21"/>
        </w:rPr>
        <w:lastRenderedPageBreak/>
        <w:t>Guanajuato; la escenificación de los</w:t>
      </w:r>
      <w:r>
        <w:rPr>
          <w:rFonts w:ascii="Abadi" w:hAnsi="Abadi" w:cs="ArialMT"/>
          <w:sz w:val="21"/>
          <w:szCs w:val="21"/>
        </w:rPr>
        <w:t xml:space="preserve"> </w:t>
      </w:r>
      <w:r w:rsidRPr="00C40978">
        <w:rPr>
          <w:rFonts w:ascii="Abadi" w:hAnsi="Abadi" w:cs="ArialMT"/>
          <w:sz w:val="21"/>
          <w:szCs w:val="21"/>
        </w:rPr>
        <w:t>entremeses cervantinos y las representaciones de los juglares de</w:t>
      </w:r>
      <w:r>
        <w:rPr>
          <w:rFonts w:ascii="Abadi" w:hAnsi="Abadi" w:cs="ArialMT"/>
          <w:sz w:val="21"/>
          <w:szCs w:val="21"/>
        </w:rPr>
        <w:t xml:space="preserve"> </w:t>
      </w:r>
      <w:r w:rsidRPr="00C40978">
        <w:rPr>
          <w:rFonts w:ascii="Abadi" w:hAnsi="Abadi" w:cs="ArialMT"/>
          <w:sz w:val="21"/>
          <w:szCs w:val="21"/>
        </w:rPr>
        <w:t>Guanajuato; para que en el marco del 50 aniversario del Festival</w:t>
      </w:r>
      <w:r>
        <w:rPr>
          <w:rFonts w:ascii="Abadi" w:hAnsi="Abadi" w:cs="ArialMT"/>
          <w:sz w:val="21"/>
          <w:szCs w:val="21"/>
        </w:rPr>
        <w:t xml:space="preserve"> </w:t>
      </w:r>
      <w:r w:rsidRPr="00C40978">
        <w:rPr>
          <w:rFonts w:ascii="Abadi" w:hAnsi="Abadi" w:cs="ArialMT"/>
          <w:sz w:val="21"/>
          <w:szCs w:val="21"/>
        </w:rPr>
        <w:t>Internacional Cervantino se deje un testimonio perenne e indeleble de la</w:t>
      </w:r>
      <w:r>
        <w:rPr>
          <w:rFonts w:ascii="Abadi" w:hAnsi="Abadi" w:cs="ArialMT"/>
          <w:sz w:val="21"/>
          <w:szCs w:val="21"/>
        </w:rPr>
        <w:t xml:space="preserve"> </w:t>
      </w:r>
      <w:r w:rsidRPr="00C40978">
        <w:rPr>
          <w:rFonts w:ascii="Abadi" w:hAnsi="Abadi" w:cs="ArialMT"/>
          <w:sz w:val="21"/>
          <w:szCs w:val="21"/>
        </w:rPr>
        <w:t>contribución de la gente de esta tierra a esta fiesta del espíritu universal y</w:t>
      </w:r>
      <w:r>
        <w:rPr>
          <w:rFonts w:ascii="Abadi" w:hAnsi="Abadi" w:cs="ArialMT"/>
          <w:sz w:val="21"/>
          <w:szCs w:val="21"/>
        </w:rPr>
        <w:t xml:space="preserve"> </w:t>
      </w:r>
      <w:r w:rsidRPr="00C40978">
        <w:rPr>
          <w:rFonts w:ascii="Abadi" w:hAnsi="Abadi" w:cs="ArialMT"/>
          <w:sz w:val="21"/>
          <w:szCs w:val="21"/>
        </w:rPr>
        <w:t>que en consecuencia, dicha declaratoria se publique en el Periódico Oficial</w:t>
      </w:r>
      <w:r>
        <w:rPr>
          <w:rFonts w:ascii="Abadi" w:hAnsi="Abadi" w:cs="ArialMT"/>
          <w:sz w:val="21"/>
          <w:szCs w:val="21"/>
        </w:rPr>
        <w:t xml:space="preserve"> </w:t>
      </w:r>
      <w:r w:rsidRPr="00C40978">
        <w:rPr>
          <w:rFonts w:ascii="Abadi" w:hAnsi="Abadi" w:cs="ArialMT"/>
          <w:sz w:val="21"/>
          <w:szCs w:val="21"/>
        </w:rPr>
        <w:t>del Gobierno del Estado de Guanajuato y, en su caso, aprobación de la</w:t>
      </w:r>
      <w:r>
        <w:rPr>
          <w:rFonts w:ascii="Abadi" w:hAnsi="Abadi" w:cs="ArialMT"/>
          <w:sz w:val="21"/>
          <w:szCs w:val="21"/>
        </w:rPr>
        <w:t xml:space="preserve"> </w:t>
      </w:r>
      <w:r w:rsidRPr="00C40978">
        <w:rPr>
          <w:rFonts w:ascii="Abadi" w:hAnsi="Abadi" w:cs="ArialMT"/>
          <w:sz w:val="21"/>
          <w:szCs w:val="21"/>
        </w:rPr>
        <w:t>misma.</w:t>
      </w:r>
      <w:r>
        <w:rPr>
          <w:rFonts w:ascii="Abadi" w:hAnsi="Abadi" w:cs="ArialMT"/>
          <w:sz w:val="21"/>
          <w:szCs w:val="21"/>
        </w:rPr>
        <w:t xml:space="preserve"> </w:t>
      </w:r>
      <w:r w:rsidRPr="00892AAF">
        <w:rPr>
          <w:rFonts w:ascii="Abadi" w:hAnsi="Abadi" w:cs="ArialMT"/>
          <w:b/>
          <w:bCs/>
          <w:sz w:val="21"/>
          <w:szCs w:val="21"/>
        </w:rPr>
        <w:t>XIV.-</w:t>
      </w:r>
      <w:r>
        <w:rPr>
          <w:rFonts w:ascii="Abadi" w:hAnsi="Abadi" w:cs="ArialMT"/>
          <w:sz w:val="21"/>
          <w:szCs w:val="21"/>
        </w:rPr>
        <w:t xml:space="preserve"> </w:t>
      </w:r>
      <w:r w:rsidRPr="00C40978">
        <w:rPr>
          <w:rFonts w:ascii="Abadi" w:hAnsi="Abadi" w:cs="ArialMT"/>
          <w:sz w:val="21"/>
          <w:szCs w:val="21"/>
        </w:rPr>
        <w:t>Presentación de la propuesta de punto de acuerdo de obvia resolución</w:t>
      </w:r>
      <w:r>
        <w:rPr>
          <w:rFonts w:ascii="Abadi" w:hAnsi="Abadi" w:cs="ArialMT"/>
          <w:sz w:val="21"/>
          <w:szCs w:val="21"/>
        </w:rPr>
        <w:t xml:space="preserve"> </w:t>
      </w:r>
      <w:r w:rsidRPr="00C40978">
        <w:rPr>
          <w:rFonts w:ascii="Abadi" w:hAnsi="Abadi" w:cs="ArialMT"/>
          <w:sz w:val="21"/>
          <w:szCs w:val="21"/>
        </w:rPr>
        <w:t>suscrita por el diputado Cuauhtémoc Becerra González integrante del Grupo</w:t>
      </w:r>
      <w:r>
        <w:rPr>
          <w:rFonts w:ascii="Abadi" w:hAnsi="Abadi" w:cs="ArialMT"/>
          <w:sz w:val="21"/>
          <w:szCs w:val="21"/>
        </w:rPr>
        <w:t xml:space="preserve"> </w:t>
      </w:r>
      <w:r w:rsidRPr="00C40978">
        <w:rPr>
          <w:rFonts w:ascii="Abadi" w:hAnsi="Abadi" w:cs="ArialMT"/>
          <w:sz w:val="21"/>
          <w:szCs w:val="21"/>
        </w:rPr>
        <w:t>Parlamentario del Partido MORENA a efecto de exhortar al Gobernador del</w:t>
      </w:r>
      <w:r>
        <w:rPr>
          <w:rFonts w:ascii="Abadi" w:hAnsi="Abadi" w:cs="ArialMT"/>
          <w:sz w:val="21"/>
          <w:szCs w:val="21"/>
        </w:rPr>
        <w:t xml:space="preserve"> </w:t>
      </w:r>
      <w:r w:rsidRPr="00C40978">
        <w:rPr>
          <w:rFonts w:ascii="Abadi" w:hAnsi="Abadi" w:cs="ArialMT"/>
          <w:sz w:val="21"/>
          <w:szCs w:val="21"/>
        </w:rPr>
        <w:t>Estado, Diego Sinhue Rodríguez Vallejo, para que, en el ámbito de sus</w:t>
      </w:r>
    </w:p>
    <w:p w14:paraId="726BD209" w14:textId="77777777" w:rsidR="0085055B" w:rsidRPr="00C40978" w:rsidRDefault="0085055B" w:rsidP="0085055B">
      <w:pPr>
        <w:autoSpaceDE w:val="0"/>
        <w:autoSpaceDN w:val="0"/>
        <w:adjustRightInd w:val="0"/>
        <w:jc w:val="both"/>
        <w:rPr>
          <w:rFonts w:ascii="Abadi" w:hAnsi="Abadi" w:cs="ArialMT"/>
          <w:sz w:val="21"/>
          <w:szCs w:val="21"/>
        </w:rPr>
      </w:pPr>
      <w:r w:rsidRPr="00C40978">
        <w:rPr>
          <w:rFonts w:ascii="Abadi" w:hAnsi="Abadi" w:cs="ArialMT"/>
          <w:sz w:val="21"/>
          <w:szCs w:val="21"/>
        </w:rPr>
        <w:t>atribuciones, complemente las acciones implementadas desde el Gobierno</w:t>
      </w:r>
      <w:r>
        <w:rPr>
          <w:rFonts w:ascii="Abadi" w:hAnsi="Abadi" w:cs="ArialMT"/>
          <w:sz w:val="21"/>
          <w:szCs w:val="21"/>
        </w:rPr>
        <w:t xml:space="preserve"> </w:t>
      </w:r>
      <w:r w:rsidRPr="00C40978">
        <w:rPr>
          <w:rFonts w:ascii="Abadi" w:hAnsi="Abadi" w:cs="ArialMT"/>
          <w:sz w:val="21"/>
          <w:szCs w:val="21"/>
        </w:rPr>
        <w:t>Federal con la finalidad de reducir los costos de los productos que integran</w:t>
      </w:r>
      <w:r>
        <w:rPr>
          <w:rFonts w:ascii="Abadi" w:hAnsi="Abadi" w:cs="ArialMT"/>
          <w:sz w:val="21"/>
          <w:szCs w:val="21"/>
        </w:rPr>
        <w:t xml:space="preserve"> </w:t>
      </w:r>
      <w:r w:rsidRPr="00C40978">
        <w:rPr>
          <w:rFonts w:ascii="Abadi" w:hAnsi="Abadi" w:cs="ArialMT"/>
          <w:sz w:val="21"/>
          <w:szCs w:val="21"/>
        </w:rPr>
        <w:t>la canasta básica y, de esta manera, garantizar la seguridad alimentaria de</w:t>
      </w:r>
      <w:r>
        <w:rPr>
          <w:rFonts w:ascii="Abadi" w:hAnsi="Abadi" w:cs="ArialMT"/>
          <w:sz w:val="21"/>
          <w:szCs w:val="21"/>
        </w:rPr>
        <w:t xml:space="preserve"> </w:t>
      </w:r>
      <w:r w:rsidRPr="00C40978">
        <w:rPr>
          <w:rFonts w:ascii="Abadi" w:hAnsi="Abadi" w:cs="ArialMT"/>
          <w:sz w:val="21"/>
          <w:szCs w:val="21"/>
        </w:rPr>
        <w:t>la población guanajuatense y, en su caso, aprobación de la misma.</w:t>
      </w:r>
      <w:r>
        <w:rPr>
          <w:rFonts w:ascii="Abadi" w:hAnsi="Abadi" w:cs="ArialMT"/>
          <w:sz w:val="21"/>
          <w:szCs w:val="21"/>
        </w:rPr>
        <w:t xml:space="preserve"> </w:t>
      </w:r>
      <w:r w:rsidRPr="00892AAF">
        <w:rPr>
          <w:rFonts w:ascii="Abadi" w:hAnsi="Abadi" w:cs="ArialMT"/>
          <w:b/>
          <w:bCs/>
          <w:sz w:val="21"/>
          <w:szCs w:val="21"/>
        </w:rPr>
        <w:t>XV.</w:t>
      </w:r>
      <w:r>
        <w:rPr>
          <w:rFonts w:ascii="Abadi" w:hAnsi="Abadi" w:cs="ArialMT"/>
          <w:sz w:val="21"/>
          <w:szCs w:val="21"/>
        </w:rPr>
        <w:t xml:space="preserve"> </w:t>
      </w:r>
      <w:r w:rsidRPr="00C40978">
        <w:rPr>
          <w:rFonts w:ascii="Abadi" w:hAnsi="Abadi" w:cs="ArialMT"/>
          <w:sz w:val="21"/>
          <w:szCs w:val="21"/>
        </w:rPr>
        <w:t>Presentación de la propuesta formulada por la diputada y los diputados</w:t>
      </w:r>
      <w:r>
        <w:rPr>
          <w:rFonts w:ascii="Abadi" w:hAnsi="Abadi" w:cs="ArialMT"/>
          <w:sz w:val="21"/>
          <w:szCs w:val="21"/>
        </w:rPr>
        <w:t xml:space="preserve"> </w:t>
      </w:r>
      <w:r w:rsidRPr="00C40978">
        <w:rPr>
          <w:rFonts w:ascii="Abadi" w:hAnsi="Abadi" w:cs="ArialMT"/>
          <w:sz w:val="21"/>
          <w:szCs w:val="21"/>
        </w:rPr>
        <w:t>integrantes de la Junta de Gobierno y Coordinación Política relativa a la</w:t>
      </w:r>
      <w:r>
        <w:rPr>
          <w:rFonts w:ascii="Abadi" w:hAnsi="Abadi" w:cs="ArialMT"/>
          <w:sz w:val="21"/>
          <w:szCs w:val="21"/>
        </w:rPr>
        <w:t xml:space="preserve"> </w:t>
      </w:r>
      <w:r w:rsidRPr="00C40978">
        <w:rPr>
          <w:rFonts w:ascii="Abadi" w:hAnsi="Abadi" w:cs="ArialMT"/>
          <w:sz w:val="21"/>
          <w:szCs w:val="21"/>
        </w:rPr>
        <w:t>modificación de la integración de las comisiones de Turismo, Administración</w:t>
      </w:r>
      <w:r>
        <w:rPr>
          <w:rFonts w:ascii="Abadi" w:hAnsi="Abadi" w:cs="ArialMT"/>
          <w:sz w:val="21"/>
          <w:szCs w:val="21"/>
        </w:rPr>
        <w:t xml:space="preserve"> </w:t>
      </w:r>
      <w:r w:rsidRPr="00C40978">
        <w:rPr>
          <w:rFonts w:ascii="Abadi" w:hAnsi="Abadi" w:cs="ArialMT"/>
          <w:sz w:val="21"/>
          <w:szCs w:val="21"/>
        </w:rPr>
        <w:t>y Medio Ambiente; así como de la Comisión Especial para dar seguimiento</w:t>
      </w:r>
      <w:r>
        <w:rPr>
          <w:rFonts w:ascii="Abadi" w:hAnsi="Abadi" w:cs="ArialMT"/>
          <w:sz w:val="21"/>
          <w:szCs w:val="21"/>
        </w:rPr>
        <w:t xml:space="preserve"> </w:t>
      </w:r>
      <w:r w:rsidRPr="00C40978">
        <w:rPr>
          <w:rFonts w:ascii="Abadi" w:hAnsi="Abadi" w:cs="ArialMT"/>
          <w:sz w:val="21"/>
          <w:szCs w:val="21"/>
        </w:rPr>
        <w:t>a la implementación de la Agenda 2030 y, en su caso, aprobación de la</w:t>
      </w:r>
      <w:r>
        <w:rPr>
          <w:rFonts w:ascii="Abadi" w:hAnsi="Abadi" w:cs="ArialMT"/>
          <w:sz w:val="21"/>
          <w:szCs w:val="21"/>
        </w:rPr>
        <w:t xml:space="preserve"> </w:t>
      </w:r>
      <w:r w:rsidRPr="00C40978">
        <w:rPr>
          <w:rFonts w:ascii="Abadi" w:hAnsi="Abadi" w:cs="ArialMT"/>
          <w:sz w:val="21"/>
          <w:szCs w:val="21"/>
        </w:rPr>
        <w:t>misma.</w:t>
      </w:r>
      <w:r>
        <w:rPr>
          <w:rFonts w:ascii="Abadi" w:hAnsi="Abadi" w:cs="ArialMT"/>
          <w:sz w:val="21"/>
          <w:szCs w:val="21"/>
        </w:rPr>
        <w:t xml:space="preserve"> </w:t>
      </w:r>
      <w:r w:rsidRPr="00892AAF">
        <w:rPr>
          <w:rFonts w:ascii="Abadi" w:hAnsi="Abadi" w:cs="ArialMT"/>
          <w:b/>
          <w:bCs/>
          <w:sz w:val="21"/>
          <w:szCs w:val="21"/>
        </w:rPr>
        <w:t>XVI.-</w:t>
      </w:r>
      <w:r>
        <w:rPr>
          <w:rFonts w:ascii="Abadi" w:hAnsi="Abadi" w:cs="ArialMT"/>
          <w:sz w:val="21"/>
          <w:szCs w:val="21"/>
        </w:rPr>
        <w:t xml:space="preserve"> </w:t>
      </w:r>
      <w:r w:rsidRPr="00C40978">
        <w:rPr>
          <w:rFonts w:ascii="Abadi" w:hAnsi="Abadi" w:cs="ArialMT"/>
          <w:sz w:val="21"/>
          <w:szCs w:val="21"/>
        </w:rPr>
        <w:t>Presentación de la propuesta de punto de acuerdo de obvia resolución</w:t>
      </w:r>
      <w:r>
        <w:rPr>
          <w:rFonts w:ascii="Abadi" w:hAnsi="Abadi" w:cs="ArialMT"/>
          <w:sz w:val="21"/>
          <w:szCs w:val="21"/>
        </w:rPr>
        <w:t xml:space="preserve"> </w:t>
      </w:r>
      <w:r w:rsidRPr="00C40978">
        <w:rPr>
          <w:rFonts w:ascii="Abadi" w:hAnsi="Abadi" w:cs="ArialMT"/>
          <w:sz w:val="21"/>
          <w:szCs w:val="21"/>
        </w:rPr>
        <w:t>suscrita por las diputadas y los diputados integrantes de la Comisión de</w:t>
      </w:r>
      <w:r>
        <w:rPr>
          <w:rFonts w:ascii="Abadi" w:hAnsi="Abadi" w:cs="ArialMT"/>
          <w:sz w:val="21"/>
          <w:szCs w:val="21"/>
        </w:rPr>
        <w:t xml:space="preserve"> </w:t>
      </w:r>
      <w:r w:rsidRPr="00C40978">
        <w:rPr>
          <w:rFonts w:ascii="Abadi" w:hAnsi="Abadi" w:cs="ArialMT"/>
          <w:sz w:val="21"/>
          <w:szCs w:val="21"/>
        </w:rPr>
        <w:t>Hacienda y Fiscalización que contiene la recomendación sobre los montos</w:t>
      </w:r>
      <w:r>
        <w:rPr>
          <w:rFonts w:ascii="Abadi" w:hAnsi="Abadi" w:cs="ArialMT"/>
          <w:sz w:val="21"/>
          <w:szCs w:val="21"/>
        </w:rPr>
        <w:t xml:space="preserve"> </w:t>
      </w:r>
      <w:r w:rsidRPr="00C40978">
        <w:rPr>
          <w:rFonts w:ascii="Abadi" w:hAnsi="Abadi" w:cs="ArialMT"/>
          <w:sz w:val="21"/>
          <w:szCs w:val="21"/>
        </w:rPr>
        <w:t>máximos de las remuneraciones de los integrantes de los ayuntamientos del</w:t>
      </w:r>
      <w:r>
        <w:rPr>
          <w:rFonts w:ascii="Abadi" w:hAnsi="Abadi" w:cs="ArialMT"/>
          <w:sz w:val="21"/>
          <w:szCs w:val="21"/>
        </w:rPr>
        <w:t xml:space="preserve"> </w:t>
      </w:r>
      <w:r w:rsidRPr="00C40978">
        <w:rPr>
          <w:rFonts w:ascii="Abadi" w:hAnsi="Abadi" w:cs="ArialMT"/>
          <w:sz w:val="21"/>
          <w:szCs w:val="21"/>
        </w:rPr>
        <w:t>estado de Guanajuato, para el ejercicio fiscal del año 2023 y, en su caso,</w:t>
      </w:r>
      <w:r>
        <w:rPr>
          <w:rFonts w:ascii="Abadi" w:hAnsi="Abadi" w:cs="ArialMT"/>
          <w:sz w:val="21"/>
          <w:szCs w:val="21"/>
        </w:rPr>
        <w:t xml:space="preserve"> </w:t>
      </w:r>
      <w:r w:rsidRPr="00C40978">
        <w:rPr>
          <w:rFonts w:ascii="Abadi" w:hAnsi="Abadi" w:cs="ArialMT"/>
          <w:sz w:val="21"/>
          <w:szCs w:val="21"/>
        </w:rPr>
        <w:t>aprobación de la misma.</w:t>
      </w:r>
      <w:r>
        <w:rPr>
          <w:rFonts w:ascii="Abadi" w:hAnsi="Abadi" w:cs="ArialMT"/>
          <w:sz w:val="21"/>
          <w:szCs w:val="21"/>
        </w:rPr>
        <w:t xml:space="preserve"> </w:t>
      </w:r>
      <w:r w:rsidRPr="00892AAF">
        <w:rPr>
          <w:rFonts w:ascii="Abadi" w:hAnsi="Abadi" w:cs="ArialMT"/>
          <w:b/>
          <w:bCs/>
          <w:sz w:val="21"/>
          <w:szCs w:val="21"/>
        </w:rPr>
        <w:t>XVII.-</w:t>
      </w:r>
      <w:r>
        <w:rPr>
          <w:rFonts w:ascii="Abadi" w:hAnsi="Abadi" w:cs="ArialMT"/>
          <w:sz w:val="21"/>
          <w:szCs w:val="21"/>
        </w:rPr>
        <w:t xml:space="preserve"> </w:t>
      </w:r>
      <w:r w:rsidRPr="00C40978">
        <w:rPr>
          <w:rFonts w:ascii="Abadi" w:hAnsi="Abadi" w:cs="ArialMT"/>
          <w:sz w:val="21"/>
          <w:szCs w:val="21"/>
        </w:rPr>
        <w:t>Presentación del informe de los conceptos generales de los estados</w:t>
      </w:r>
      <w:r>
        <w:rPr>
          <w:rFonts w:ascii="Abadi" w:hAnsi="Abadi" w:cs="ArialMT"/>
          <w:sz w:val="21"/>
          <w:szCs w:val="21"/>
        </w:rPr>
        <w:t xml:space="preserve"> </w:t>
      </w:r>
      <w:r w:rsidRPr="00C40978">
        <w:rPr>
          <w:rFonts w:ascii="Abadi" w:hAnsi="Abadi" w:cs="ArialMT"/>
          <w:sz w:val="21"/>
          <w:szCs w:val="21"/>
        </w:rPr>
        <w:t>financieros de los recursos presupuestales y las transferencias y ajustes</w:t>
      </w:r>
      <w:r>
        <w:rPr>
          <w:rFonts w:ascii="Abadi" w:hAnsi="Abadi" w:cs="ArialMT"/>
          <w:sz w:val="21"/>
          <w:szCs w:val="21"/>
        </w:rPr>
        <w:t xml:space="preserve"> </w:t>
      </w:r>
      <w:r w:rsidRPr="00C40978">
        <w:rPr>
          <w:rFonts w:ascii="Abadi" w:hAnsi="Abadi" w:cs="ArialMT"/>
          <w:sz w:val="21"/>
          <w:szCs w:val="21"/>
        </w:rPr>
        <w:t>presupuestales, correspondiente al periodo comprendido del 1 al 31 de</w:t>
      </w:r>
      <w:r>
        <w:rPr>
          <w:rFonts w:ascii="Abadi" w:hAnsi="Abadi" w:cs="ArialMT"/>
          <w:sz w:val="21"/>
          <w:szCs w:val="21"/>
        </w:rPr>
        <w:t xml:space="preserve"> </w:t>
      </w:r>
      <w:r w:rsidRPr="00C40978">
        <w:rPr>
          <w:rFonts w:ascii="Abadi" w:hAnsi="Abadi" w:cs="ArialMT"/>
          <w:sz w:val="21"/>
          <w:szCs w:val="21"/>
        </w:rPr>
        <w:t>agosto del año en curso, formulado por la Comisión de Administración y, en</w:t>
      </w:r>
      <w:r>
        <w:rPr>
          <w:rFonts w:ascii="Abadi" w:hAnsi="Abadi" w:cs="ArialMT"/>
          <w:sz w:val="21"/>
          <w:szCs w:val="21"/>
        </w:rPr>
        <w:t xml:space="preserve"> </w:t>
      </w:r>
      <w:r w:rsidRPr="00C40978">
        <w:rPr>
          <w:rFonts w:ascii="Abadi" w:hAnsi="Abadi" w:cs="ArialMT"/>
          <w:sz w:val="21"/>
          <w:szCs w:val="21"/>
        </w:rPr>
        <w:t>su caso, aprobación del mismo.</w:t>
      </w:r>
      <w:r>
        <w:rPr>
          <w:rFonts w:ascii="Abadi" w:hAnsi="Abadi" w:cs="ArialMT"/>
          <w:sz w:val="21"/>
          <w:szCs w:val="21"/>
        </w:rPr>
        <w:t xml:space="preserve"> </w:t>
      </w:r>
      <w:r w:rsidRPr="00892AAF">
        <w:rPr>
          <w:rFonts w:ascii="Abadi" w:hAnsi="Abadi" w:cs="ArialMT"/>
          <w:b/>
          <w:bCs/>
          <w:sz w:val="21"/>
          <w:szCs w:val="21"/>
        </w:rPr>
        <w:t>XVIII.-</w:t>
      </w:r>
      <w:r w:rsidRPr="00C40978">
        <w:rPr>
          <w:rFonts w:ascii="Abadi" w:hAnsi="Abadi" w:cs="ArialMT"/>
          <w:sz w:val="21"/>
          <w:szCs w:val="21"/>
        </w:rPr>
        <w:t>Presentación de las transferencias y ajustes presupuestales,</w:t>
      </w:r>
      <w:r>
        <w:rPr>
          <w:rFonts w:ascii="Abadi" w:hAnsi="Abadi" w:cs="ArialMT"/>
          <w:sz w:val="21"/>
          <w:szCs w:val="21"/>
        </w:rPr>
        <w:t xml:space="preserve"> </w:t>
      </w:r>
      <w:r w:rsidRPr="00C40978">
        <w:rPr>
          <w:rFonts w:ascii="Abadi" w:hAnsi="Abadi" w:cs="ArialMT"/>
          <w:sz w:val="21"/>
          <w:szCs w:val="21"/>
        </w:rPr>
        <w:t>correspondiente al periodo comprendido del 1 al 31 de julio del año en curso,</w:t>
      </w:r>
      <w:r>
        <w:rPr>
          <w:rFonts w:ascii="Abadi" w:hAnsi="Abadi" w:cs="ArialMT"/>
          <w:sz w:val="21"/>
          <w:szCs w:val="21"/>
        </w:rPr>
        <w:t xml:space="preserve"> </w:t>
      </w:r>
      <w:r w:rsidRPr="00C40978">
        <w:rPr>
          <w:rFonts w:ascii="Abadi" w:hAnsi="Abadi" w:cs="ArialMT"/>
          <w:sz w:val="21"/>
          <w:szCs w:val="21"/>
        </w:rPr>
        <w:t xml:space="preserve">formulado por la Comisión de </w:t>
      </w:r>
      <w:r w:rsidRPr="00C40978">
        <w:rPr>
          <w:rFonts w:ascii="Abadi" w:hAnsi="Abadi" w:cs="ArialMT"/>
          <w:sz w:val="21"/>
          <w:szCs w:val="21"/>
        </w:rPr>
        <w:t>Administración y, en su caso, aprobación del</w:t>
      </w:r>
      <w:r>
        <w:rPr>
          <w:rFonts w:ascii="Abadi" w:hAnsi="Abadi" w:cs="ArialMT"/>
          <w:sz w:val="21"/>
          <w:szCs w:val="21"/>
        </w:rPr>
        <w:t xml:space="preserve"> </w:t>
      </w:r>
      <w:r w:rsidRPr="00C40978">
        <w:rPr>
          <w:rFonts w:ascii="Abadi" w:hAnsi="Abadi" w:cs="ArialMT"/>
          <w:sz w:val="21"/>
          <w:szCs w:val="21"/>
        </w:rPr>
        <w:t>mismo.</w:t>
      </w:r>
      <w:r>
        <w:rPr>
          <w:rFonts w:ascii="Abadi" w:hAnsi="Abadi" w:cs="ArialMT"/>
          <w:sz w:val="21"/>
          <w:szCs w:val="21"/>
        </w:rPr>
        <w:t xml:space="preserve"> </w:t>
      </w:r>
      <w:r w:rsidRPr="00892AAF">
        <w:rPr>
          <w:rFonts w:ascii="Abadi" w:hAnsi="Abadi" w:cs="ArialMT"/>
          <w:b/>
          <w:bCs/>
          <w:sz w:val="21"/>
          <w:szCs w:val="21"/>
        </w:rPr>
        <w:t>XIX.-</w:t>
      </w:r>
      <w:r>
        <w:rPr>
          <w:rFonts w:ascii="Abadi" w:hAnsi="Abadi" w:cs="ArialMT"/>
          <w:sz w:val="21"/>
          <w:szCs w:val="21"/>
        </w:rPr>
        <w:t xml:space="preserve"> </w:t>
      </w:r>
      <w:r w:rsidRPr="00C40978">
        <w:rPr>
          <w:rFonts w:ascii="Abadi" w:hAnsi="Abadi" w:cs="ArialMT"/>
          <w:sz w:val="21"/>
          <w:szCs w:val="21"/>
        </w:rPr>
        <w:t>Discusión y, en su caso, aprobación del dictamen suscrito por la Comisión</w:t>
      </w:r>
      <w:r>
        <w:rPr>
          <w:rFonts w:ascii="Abadi" w:hAnsi="Abadi" w:cs="ArialMT"/>
          <w:sz w:val="21"/>
          <w:szCs w:val="21"/>
        </w:rPr>
        <w:t xml:space="preserve"> </w:t>
      </w:r>
      <w:r w:rsidRPr="00C40978">
        <w:rPr>
          <w:rFonts w:ascii="Abadi" w:hAnsi="Abadi" w:cs="ArialMT"/>
          <w:sz w:val="21"/>
          <w:szCs w:val="21"/>
        </w:rPr>
        <w:t>de Derechos Humanos y Atención a Grupos Vulnerables relativo a la</w:t>
      </w:r>
      <w:r>
        <w:rPr>
          <w:rFonts w:ascii="Abadi" w:hAnsi="Abadi" w:cs="ArialMT"/>
          <w:sz w:val="21"/>
          <w:szCs w:val="21"/>
        </w:rPr>
        <w:t xml:space="preserve"> </w:t>
      </w:r>
      <w:r w:rsidRPr="00C40978">
        <w:rPr>
          <w:rFonts w:ascii="Abadi" w:hAnsi="Abadi" w:cs="ArialMT"/>
          <w:sz w:val="21"/>
          <w:szCs w:val="21"/>
        </w:rPr>
        <w:t>iniciativa de Ley de los Derechos de las Personas Usuarias de Perros Guía</w:t>
      </w:r>
      <w:r>
        <w:rPr>
          <w:rFonts w:ascii="Abadi" w:hAnsi="Abadi" w:cs="ArialMT"/>
          <w:sz w:val="21"/>
          <w:szCs w:val="21"/>
        </w:rPr>
        <w:t xml:space="preserve"> </w:t>
      </w:r>
      <w:r w:rsidRPr="00C40978">
        <w:rPr>
          <w:rFonts w:ascii="Abadi" w:hAnsi="Abadi" w:cs="ArialMT"/>
          <w:sz w:val="21"/>
          <w:szCs w:val="21"/>
        </w:rPr>
        <w:t>o de Asistencia Médica para el Estado de Guanajuato formulada por la</w:t>
      </w:r>
      <w:r>
        <w:rPr>
          <w:rFonts w:ascii="Abadi" w:hAnsi="Abadi" w:cs="ArialMT"/>
          <w:sz w:val="21"/>
          <w:szCs w:val="21"/>
        </w:rPr>
        <w:t xml:space="preserve"> </w:t>
      </w:r>
      <w:r w:rsidRPr="00C40978">
        <w:rPr>
          <w:rFonts w:ascii="Abadi" w:hAnsi="Abadi" w:cs="ArialMT"/>
          <w:sz w:val="21"/>
          <w:szCs w:val="21"/>
        </w:rPr>
        <w:t>diputada María de Jesús Eunices Reveles Conejo, de la Representación</w:t>
      </w:r>
      <w:r>
        <w:rPr>
          <w:rFonts w:ascii="Abadi" w:hAnsi="Abadi" w:cs="ArialMT"/>
          <w:sz w:val="21"/>
          <w:szCs w:val="21"/>
        </w:rPr>
        <w:t xml:space="preserve"> </w:t>
      </w:r>
      <w:r w:rsidRPr="00C40978">
        <w:rPr>
          <w:rFonts w:ascii="Abadi" w:hAnsi="Abadi" w:cs="ArialMT"/>
          <w:sz w:val="21"/>
          <w:szCs w:val="21"/>
        </w:rPr>
        <w:t>Parlamentaria del Partido del Trabajo ante la Sexagésima Cuarta</w:t>
      </w:r>
      <w:r>
        <w:rPr>
          <w:rFonts w:ascii="Abadi" w:hAnsi="Abadi" w:cs="ArialMT"/>
          <w:sz w:val="21"/>
          <w:szCs w:val="21"/>
        </w:rPr>
        <w:t xml:space="preserve"> </w:t>
      </w:r>
      <w:r w:rsidRPr="00C40978">
        <w:rPr>
          <w:rFonts w:ascii="Abadi" w:hAnsi="Abadi" w:cs="ArialMT"/>
          <w:sz w:val="21"/>
          <w:szCs w:val="21"/>
        </w:rPr>
        <w:t>Legislatura.</w:t>
      </w:r>
      <w:r>
        <w:rPr>
          <w:rFonts w:ascii="Abadi" w:hAnsi="Abadi" w:cs="ArialMT"/>
          <w:sz w:val="21"/>
          <w:szCs w:val="21"/>
        </w:rPr>
        <w:t xml:space="preserve"> </w:t>
      </w:r>
      <w:r w:rsidRPr="00892AAF">
        <w:rPr>
          <w:rFonts w:ascii="Abadi" w:hAnsi="Abadi" w:cs="ArialMT"/>
          <w:b/>
          <w:bCs/>
          <w:sz w:val="21"/>
          <w:szCs w:val="21"/>
        </w:rPr>
        <w:t>XX.-</w:t>
      </w:r>
      <w:r>
        <w:rPr>
          <w:rFonts w:ascii="Abadi" w:hAnsi="Abadi" w:cs="ArialMT"/>
          <w:sz w:val="21"/>
          <w:szCs w:val="21"/>
        </w:rPr>
        <w:t xml:space="preserve"> </w:t>
      </w:r>
      <w:r w:rsidRPr="00C40978">
        <w:rPr>
          <w:rFonts w:ascii="Abadi" w:hAnsi="Abadi" w:cs="ArialMT"/>
          <w:sz w:val="21"/>
          <w:szCs w:val="21"/>
        </w:rPr>
        <w:t>Discusión y, en su caso, aprobación del dictamen signado por la Comisión</w:t>
      </w:r>
      <w:r>
        <w:rPr>
          <w:rFonts w:ascii="Abadi" w:hAnsi="Abadi" w:cs="ArialMT"/>
          <w:sz w:val="21"/>
          <w:szCs w:val="21"/>
        </w:rPr>
        <w:t xml:space="preserve"> </w:t>
      </w:r>
      <w:r w:rsidRPr="00C40978">
        <w:rPr>
          <w:rFonts w:ascii="Abadi" w:hAnsi="Abadi" w:cs="ArialMT"/>
          <w:sz w:val="21"/>
          <w:szCs w:val="21"/>
        </w:rPr>
        <w:t>de Derechos Humanos y Atención a Grupos Vulnerables relativo a la</w:t>
      </w:r>
      <w:r>
        <w:rPr>
          <w:rFonts w:ascii="Abadi" w:hAnsi="Abadi" w:cs="ArialMT"/>
          <w:sz w:val="21"/>
          <w:szCs w:val="21"/>
        </w:rPr>
        <w:t xml:space="preserve"> </w:t>
      </w:r>
      <w:r w:rsidRPr="00C40978">
        <w:rPr>
          <w:rFonts w:ascii="Abadi" w:hAnsi="Abadi" w:cs="ArialMT"/>
          <w:sz w:val="21"/>
          <w:szCs w:val="21"/>
        </w:rPr>
        <w:t>iniciativa suscrita por la diputada María de Jesús Eunices Reveles Conejo</w:t>
      </w:r>
      <w:r>
        <w:rPr>
          <w:rFonts w:ascii="Abadi" w:hAnsi="Abadi" w:cs="ArialMT"/>
          <w:sz w:val="21"/>
          <w:szCs w:val="21"/>
        </w:rPr>
        <w:t xml:space="preserve"> </w:t>
      </w:r>
      <w:r w:rsidRPr="00C40978">
        <w:rPr>
          <w:rFonts w:ascii="Abadi" w:hAnsi="Abadi" w:cs="ArialMT"/>
          <w:sz w:val="21"/>
          <w:szCs w:val="21"/>
        </w:rPr>
        <w:t>de la Representación Parlamentaria del Partido del Trabajo ante la</w:t>
      </w:r>
      <w:r>
        <w:rPr>
          <w:rFonts w:ascii="Abadi" w:hAnsi="Abadi" w:cs="ArialMT"/>
          <w:sz w:val="21"/>
          <w:szCs w:val="21"/>
        </w:rPr>
        <w:t xml:space="preserve"> </w:t>
      </w:r>
      <w:r w:rsidRPr="00C40978">
        <w:rPr>
          <w:rFonts w:ascii="Abadi" w:hAnsi="Abadi" w:cs="ArialMT"/>
          <w:sz w:val="21"/>
          <w:szCs w:val="21"/>
        </w:rPr>
        <w:t>Sexagésima Cuarta Legislatura, a efecto de adicionar las fracciones XVI y</w:t>
      </w:r>
      <w:r>
        <w:rPr>
          <w:rFonts w:ascii="Abadi" w:hAnsi="Abadi" w:cs="ArialMT"/>
          <w:sz w:val="21"/>
          <w:szCs w:val="21"/>
        </w:rPr>
        <w:t xml:space="preserve"> </w:t>
      </w:r>
      <w:r w:rsidRPr="00C40978">
        <w:rPr>
          <w:rFonts w:ascii="Abadi" w:hAnsi="Abadi" w:cs="ArialMT"/>
          <w:sz w:val="21"/>
          <w:szCs w:val="21"/>
        </w:rPr>
        <w:t>XVII recorriéndose en su orden la subsecuente, al artículo 6 de la Ley de</w:t>
      </w:r>
      <w:r>
        <w:rPr>
          <w:rFonts w:ascii="Abadi" w:hAnsi="Abadi" w:cs="ArialMT"/>
          <w:sz w:val="21"/>
          <w:szCs w:val="21"/>
        </w:rPr>
        <w:t xml:space="preserve"> </w:t>
      </w:r>
      <w:r w:rsidRPr="00C40978">
        <w:rPr>
          <w:rFonts w:ascii="Abadi" w:hAnsi="Abadi" w:cs="ArialMT"/>
          <w:sz w:val="21"/>
          <w:szCs w:val="21"/>
        </w:rPr>
        <w:t>Inclusión para las Personas con Discapacidad en el Estado de Guanajuato.</w:t>
      </w:r>
      <w:r>
        <w:rPr>
          <w:rFonts w:ascii="Abadi" w:hAnsi="Abadi" w:cs="ArialMT"/>
          <w:sz w:val="21"/>
          <w:szCs w:val="21"/>
        </w:rPr>
        <w:t xml:space="preserve"> </w:t>
      </w:r>
      <w:r w:rsidRPr="00D33FD7">
        <w:rPr>
          <w:rFonts w:ascii="Abadi" w:hAnsi="Abadi" w:cs="ArialMT"/>
          <w:b/>
          <w:bCs/>
          <w:sz w:val="21"/>
          <w:szCs w:val="21"/>
        </w:rPr>
        <w:t>XXI.-</w:t>
      </w:r>
      <w:r>
        <w:rPr>
          <w:rFonts w:ascii="Abadi" w:hAnsi="Abadi" w:cs="ArialMT"/>
          <w:sz w:val="21"/>
          <w:szCs w:val="21"/>
        </w:rPr>
        <w:t xml:space="preserve"> </w:t>
      </w:r>
      <w:r w:rsidRPr="00C40978">
        <w:rPr>
          <w:rFonts w:ascii="Abadi" w:hAnsi="Abadi" w:cs="ArialMT"/>
          <w:sz w:val="21"/>
          <w:szCs w:val="21"/>
        </w:rPr>
        <w:t>Discusión y, en su caso, aprobación del dictamen emitido por la Comisión</w:t>
      </w:r>
      <w:r>
        <w:rPr>
          <w:rFonts w:ascii="Abadi" w:hAnsi="Abadi" w:cs="ArialMT"/>
          <w:sz w:val="21"/>
          <w:szCs w:val="21"/>
        </w:rPr>
        <w:t xml:space="preserve"> </w:t>
      </w:r>
      <w:r w:rsidRPr="00C40978">
        <w:rPr>
          <w:rFonts w:ascii="Abadi" w:hAnsi="Abadi" w:cs="ArialMT"/>
          <w:sz w:val="21"/>
          <w:szCs w:val="21"/>
        </w:rPr>
        <w:t>de Derechos Humanos y Atención a Grupos Vulnerables relativo a la</w:t>
      </w:r>
      <w:r>
        <w:rPr>
          <w:rFonts w:ascii="Abadi" w:hAnsi="Abadi" w:cs="ArialMT"/>
          <w:sz w:val="21"/>
          <w:szCs w:val="21"/>
        </w:rPr>
        <w:t xml:space="preserve"> </w:t>
      </w:r>
      <w:r w:rsidRPr="00C40978">
        <w:rPr>
          <w:rFonts w:ascii="Abadi" w:hAnsi="Abadi" w:cs="ArialMT"/>
          <w:sz w:val="21"/>
          <w:szCs w:val="21"/>
        </w:rPr>
        <w:t>propuesta de punto de acuerdo suscrita por la diputada Ma. Guadalupe</w:t>
      </w:r>
      <w:r>
        <w:rPr>
          <w:rFonts w:ascii="Abadi" w:hAnsi="Abadi" w:cs="ArialMT"/>
          <w:sz w:val="21"/>
          <w:szCs w:val="21"/>
        </w:rPr>
        <w:t xml:space="preserve"> </w:t>
      </w:r>
      <w:r w:rsidRPr="00C40978">
        <w:rPr>
          <w:rFonts w:ascii="Abadi" w:hAnsi="Abadi" w:cs="ArialMT"/>
          <w:sz w:val="21"/>
          <w:szCs w:val="21"/>
        </w:rPr>
        <w:t>Josefina Salas Bustamante, ante la Sexagésima Cuarta Legislatura, por la</w:t>
      </w:r>
      <w:r>
        <w:rPr>
          <w:rFonts w:ascii="Abadi" w:hAnsi="Abadi" w:cs="ArialMT"/>
          <w:sz w:val="21"/>
          <w:szCs w:val="21"/>
        </w:rPr>
        <w:t xml:space="preserve"> </w:t>
      </w:r>
      <w:r w:rsidRPr="00C40978">
        <w:rPr>
          <w:rFonts w:ascii="Abadi" w:hAnsi="Abadi" w:cs="ArialMT"/>
          <w:sz w:val="21"/>
          <w:szCs w:val="21"/>
        </w:rPr>
        <w:t>cual se exhorta al titular de la Procuraduría de Derechos Humanos en el</w:t>
      </w:r>
      <w:r>
        <w:rPr>
          <w:rFonts w:ascii="Abadi" w:hAnsi="Abadi" w:cs="ArialMT"/>
          <w:sz w:val="21"/>
          <w:szCs w:val="21"/>
        </w:rPr>
        <w:t xml:space="preserve"> </w:t>
      </w:r>
      <w:r w:rsidRPr="00C40978">
        <w:rPr>
          <w:rFonts w:ascii="Abadi" w:hAnsi="Abadi" w:cs="ArialMT"/>
          <w:sz w:val="21"/>
          <w:szCs w:val="21"/>
        </w:rPr>
        <w:t>Estado, a efecto de que se implemente un mecanismo de identificación de</w:t>
      </w:r>
      <w:r>
        <w:rPr>
          <w:rFonts w:ascii="Abadi" w:hAnsi="Abadi" w:cs="ArialMT"/>
          <w:sz w:val="21"/>
          <w:szCs w:val="21"/>
        </w:rPr>
        <w:t xml:space="preserve"> </w:t>
      </w:r>
      <w:r w:rsidRPr="00C40978">
        <w:rPr>
          <w:rFonts w:ascii="Abadi" w:hAnsi="Abadi" w:cs="ArialMT"/>
          <w:sz w:val="21"/>
          <w:szCs w:val="21"/>
        </w:rPr>
        <w:t>empresas que discriminan aspirantes que han colaborado en las Fuerzas</w:t>
      </w:r>
      <w:r>
        <w:rPr>
          <w:rFonts w:ascii="Abadi" w:hAnsi="Abadi" w:cs="ArialMT"/>
          <w:sz w:val="21"/>
          <w:szCs w:val="21"/>
        </w:rPr>
        <w:t xml:space="preserve"> </w:t>
      </w:r>
      <w:r w:rsidRPr="00C40978">
        <w:rPr>
          <w:rFonts w:ascii="Abadi" w:hAnsi="Abadi" w:cs="ArialMT"/>
          <w:sz w:val="21"/>
          <w:szCs w:val="21"/>
        </w:rPr>
        <w:t>de Seguridad Pública del Estado.</w:t>
      </w:r>
      <w:r>
        <w:rPr>
          <w:rFonts w:ascii="Abadi" w:hAnsi="Abadi" w:cs="ArialMT"/>
          <w:sz w:val="21"/>
          <w:szCs w:val="21"/>
        </w:rPr>
        <w:t xml:space="preserve"> </w:t>
      </w:r>
      <w:r w:rsidRPr="00D33FD7">
        <w:rPr>
          <w:rFonts w:ascii="Abadi" w:hAnsi="Abadi" w:cs="ArialMT"/>
          <w:b/>
          <w:bCs/>
          <w:sz w:val="21"/>
          <w:szCs w:val="21"/>
        </w:rPr>
        <w:t>XXII.-</w:t>
      </w:r>
      <w:r>
        <w:rPr>
          <w:rFonts w:ascii="Abadi" w:hAnsi="Abadi" w:cs="ArialMT"/>
          <w:sz w:val="21"/>
          <w:szCs w:val="21"/>
        </w:rPr>
        <w:t xml:space="preserve"> </w:t>
      </w:r>
      <w:r w:rsidRPr="00C40978">
        <w:rPr>
          <w:rFonts w:ascii="Abadi" w:hAnsi="Abadi" w:cs="ArialMT"/>
          <w:sz w:val="21"/>
          <w:szCs w:val="21"/>
        </w:rPr>
        <w:t>Discusión y, en su caso, aprobación del dictamen formulado por la Comisión</w:t>
      </w:r>
      <w:r>
        <w:rPr>
          <w:rFonts w:ascii="Abadi" w:hAnsi="Abadi" w:cs="ArialMT"/>
          <w:sz w:val="21"/>
          <w:szCs w:val="21"/>
        </w:rPr>
        <w:t xml:space="preserve"> </w:t>
      </w:r>
      <w:r w:rsidRPr="00C40978">
        <w:rPr>
          <w:rFonts w:ascii="Abadi" w:hAnsi="Abadi" w:cs="ArialMT"/>
          <w:sz w:val="21"/>
          <w:szCs w:val="21"/>
        </w:rPr>
        <w:t>de Derechos Humanos y Atención a Grupos Vulnerables relativo a la</w:t>
      </w:r>
      <w:r>
        <w:rPr>
          <w:rFonts w:ascii="Abadi" w:hAnsi="Abadi" w:cs="ArialMT"/>
          <w:sz w:val="21"/>
          <w:szCs w:val="21"/>
        </w:rPr>
        <w:t xml:space="preserve"> </w:t>
      </w:r>
      <w:r w:rsidRPr="00C40978">
        <w:rPr>
          <w:rFonts w:ascii="Abadi" w:hAnsi="Abadi" w:cs="ArialMT"/>
          <w:sz w:val="21"/>
          <w:szCs w:val="21"/>
        </w:rPr>
        <w:t>propuesta de punto de acuerdo suscrita por el diputado Ernesto Alejandro</w:t>
      </w:r>
      <w:r>
        <w:rPr>
          <w:rFonts w:ascii="Abadi" w:hAnsi="Abadi" w:cs="ArialMT"/>
          <w:sz w:val="21"/>
          <w:szCs w:val="21"/>
        </w:rPr>
        <w:t xml:space="preserve"> </w:t>
      </w:r>
      <w:r w:rsidRPr="00C40978">
        <w:rPr>
          <w:rFonts w:ascii="Abadi" w:hAnsi="Abadi" w:cs="ArialMT"/>
          <w:sz w:val="21"/>
          <w:szCs w:val="21"/>
        </w:rPr>
        <w:t>Prieto Gallardo integrante del Grupo Parlamentario del Partido Morena, en</w:t>
      </w:r>
      <w:r>
        <w:rPr>
          <w:rFonts w:ascii="Abadi" w:hAnsi="Abadi" w:cs="ArialMT"/>
          <w:sz w:val="21"/>
          <w:szCs w:val="21"/>
        </w:rPr>
        <w:t xml:space="preserve"> </w:t>
      </w:r>
      <w:r w:rsidRPr="00C40978">
        <w:rPr>
          <w:rFonts w:ascii="Abadi" w:hAnsi="Abadi" w:cs="ArialMT"/>
          <w:sz w:val="21"/>
          <w:szCs w:val="21"/>
        </w:rPr>
        <w:t>la Sexagésima Cuarta Legislatura, a efecto de exhortar al Gobernador</w:t>
      </w:r>
      <w:r>
        <w:rPr>
          <w:rFonts w:ascii="Abadi" w:hAnsi="Abadi" w:cs="ArialMT"/>
          <w:sz w:val="21"/>
          <w:szCs w:val="21"/>
        </w:rPr>
        <w:t xml:space="preserve"> </w:t>
      </w:r>
      <w:r w:rsidRPr="00C40978">
        <w:rPr>
          <w:rFonts w:ascii="Abadi" w:hAnsi="Abadi" w:cs="ArialMT"/>
          <w:sz w:val="21"/>
          <w:szCs w:val="21"/>
        </w:rPr>
        <w:t>Constitucional del Estado de Guanajuato el C. DIEGO SINHUE</w:t>
      </w:r>
      <w:r>
        <w:rPr>
          <w:rFonts w:ascii="Abadi" w:hAnsi="Abadi" w:cs="ArialMT"/>
          <w:sz w:val="21"/>
          <w:szCs w:val="21"/>
        </w:rPr>
        <w:t xml:space="preserve"> </w:t>
      </w:r>
      <w:r w:rsidRPr="00C40978">
        <w:rPr>
          <w:rFonts w:ascii="Abadi" w:hAnsi="Abadi" w:cs="ArialMT"/>
          <w:sz w:val="21"/>
          <w:szCs w:val="21"/>
        </w:rPr>
        <w:t>RODRÍGUEZ VALLEJO a fin de que, en el ámbito de sus facultades dé</w:t>
      </w:r>
      <w:r>
        <w:rPr>
          <w:rFonts w:ascii="Abadi" w:hAnsi="Abadi" w:cs="ArialMT"/>
          <w:sz w:val="21"/>
          <w:szCs w:val="21"/>
        </w:rPr>
        <w:t xml:space="preserve"> </w:t>
      </w:r>
      <w:r w:rsidRPr="00C40978">
        <w:rPr>
          <w:rFonts w:ascii="Abadi" w:hAnsi="Abadi" w:cs="ArialMT"/>
          <w:sz w:val="21"/>
          <w:szCs w:val="21"/>
        </w:rPr>
        <w:t>instrucciones a la Procuraduría de Protección de Niñas, Niños y</w:t>
      </w:r>
      <w:r>
        <w:rPr>
          <w:rFonts w:ascii="Abadi" w:hAnsi="Abadi" w:cs="ArialMT"/>
          <w:sz w:val="21"/>
          <w:szCs w:val="21"/>
        </w:rPr>
        <w:t xml:space="preserve"> </w:t>
      </w:r>
      <w:r w:rsidRPr="00C40978">
        <w:rPr>
          <w:rFonts w:ascii="Abadi" w:hAnsi="Abadi" w:cs="ArialMT"/>
          <w:sz w:val="21"/>
          <w:szCs w:val="21"/>
        </w:rPr>
        <w:t>Adolescentes del Estado de Guanajuato a observar el interés superior de la</w:t>
      </w:r>
      <w:r>
        <w:rPr>
          <w:rFonts w:ascii="Abadi" w:hAnsi="Abadi" w:cs="ArialMT"/>
          <w:sz w:val="21"/>
          <w:szCs w:val="21"/>
        </w:rPr>
        <w:t xml:space="preserve">  </w:t>
      </w:r>
      <w:r w:rsidRPr="00C40978">
        <w:rPr>
          <w:rFonts w:ascii="Abadi" w:hAnsi="Abadi" w:cs="ArialMT"/>
          <w:sz w:val="21"/>
          <w:szCs w:val="21"/>
        </w:rPr>
        <w:t>niñez; al PODER JUDICIAL DEL ESTADO DE GUANAJUATO a fin de que</w:t>
      </w:r>
      <w:r>
        <w:rPr>
          <w:rFonts w:ascii="Abadi" w:hAnsi="Abadi" w:cs="ArialMT"/>
          <w:sz w:val="21"/>
          <w:szCs w:val="21"/>
        </w:rPr>
        <w:t xml:space="preserve"> </w:t>
      </w:r>
      <w:r w:rsidRPr="00C40978">
        <w:rPr>
          <w:rFonts w:ascii="Abadi" w:hAnsi="Abadi" w:cs="ArialMT"/>
          <w:sz w:val="21"/>
          <w:szCs w:val="21"/>
        </w:rPr>
        <w:t>cumpla con el artículo 102 fracción VI de la Ley Nacional del Sistema</w:t>
      </w:r>
      <w:r>
        <w:rPr>
          <w:rFonts w:ascii="Abadi" w:hAnsi="Abadi" w:cs="ArialMT"/>
          <w:sz w:val="21"/>
          <w:szCs w:val="21"/>
        </w:rPr>
        <w:t xml:space="preserve"> </w:t>
      </w:r>
      <w:r w:rsidRPr="00C40978">
        <w:rPr>
          <w:rFonts w:ascii="Abadi" w:hAnsi="Abadi" w:cs="ArialMT"/>
          <w:sz w:val="21"/>
          <w:szCs w:val="21"/>
        </w:rPr>
        <w:t>Integral de Justicia Penal para Adolescentes; y al Fiscal General del Estado</w:t>
      </w:r>
      <w:r>
        <w:rPr>
          <w:rFonts w:ascii="Abadi" w:hAnsi="Abadi" w:cs="ArialMT"/>
          <w:sz w:val="21"/>
          <w:szCs w:val="21"/>
        </w:rPr>
        <w:t xml:space="preserve"> </w:t>
      </w:r>
      <w:r w:rsidRPr="00C40978">
        <w:rPr>
          <w:rFonts w:ascii="Abadi" w:hAnsi="Abadi" w:cs="ArialMT"/>
          <w:sz w:val="21"/>
          <w:szCs w:val="21"/>
        </w:rPr>
        <w:t xml:space="preserve">de </w:t>
      </w:r>
      <w:r w:rsidRPr="00C40978">
        <w:rPr>
          <w:rFonts w:ascii="Abadi" w:hAnsi="Abadi" w:cs="ArialMT"/>
          <w:sz w:val="21"/>
          <w:szCs w:val="21"/>
        </w:rPr>
        <w:lastRenderedPageBreak/>
        <w:t>Guanajuato, CARLOS ZAMARRIPA AGUIRRE, para la pronta</w:t>
      </w:r>
      <w:r>
        <w:rPr>
          <w:rFonts w:ascii="Abadi" w:hAnsi="Abadi" w:cs="ArialMT"/>
          <w:sz w:val="21"/>
          <w:szCs w:val="21"/>
        </w:rPr>
        <w:t xml:space="preserve"> </w:t>
      </w:r>
      <w:r w:rsidRPr="00C40978">
        <w:rPr>
          <w:rFonts w:ascii="Abadi" w:hAnsi="Abadi" w:cs="ArialMT"/>
          <w:sz w:val="21"/>
          <w:szCs w:val="21"/>
        </w:rPr>
        <w:t>procuración de justicia. Todo lo anterior respecto a los menores de edad que</w:t>
      </w:r>
      <w:r>
        <w:rPr>
          <w:rFonts w:ascii="Abadi" w:hAnsi="Abadi" w:cs="ArialMT"/>
          <w:sz w:val="21"/>
          <w:szCs w:val="21"/>
        </w:rPr>
        <w:t xml:space="preserve"> </w:t>
      </w:r>
      <w:r w:rsidRPr="00C40978">
        <w:rPr>
          <w:rFonts w:ascii="Abadi" w:hAnsi="Abadi" w:cs="ArialMT"/>
          <w:sz w:val="21"/>
          <w:szCs w:val="21"/>
        </w:rPr>
        <w:t>se encontraban en el Instituto Transformacional PRINUVI en Irapuato,</w:t>
      </w:r>
      <w:r>
        <w:rPr>
          <w:rFonts w:ascii="Abadi" w:hAnsi="Abadi" w:cs="ArialMT"/>
          <w:sz w:val="21"/>
          <w:szCs w:val="21"/>
        </w:rPr>
        <w:t xml:space="preserve"> </w:t>
      </w:r>
      <w:r w:rsidRPr="00C40978">
        <w:rPr>
          <w:rFonts w:ascii="Abadi" w:hAnsi="Abadi" w:cs="ArialMT"/>
          <w:sz w:val="21"/>
          <w:szCs w:val="21"/>
        </w:rPr>
        <w:t>Guanajuato y que ilegalmente se les regresó a sus hogares, con sus padres,</w:t>
      </w:r>
      <w:r>
        <w:rPr>
          <w:rFonts w:ascii="Abadi" w:hAnsi="Abadi" w:cs="ArialMT"/>
          <w:sz w:val="21"/>
          <w:szCs w:val="21"/>
        </w:rPr>
        <w:t xml:space="preserve"> </w:t>
      </w:r>
      <w:r w:rsidRPr="00C40978">
        <w:rPr>
          <w:rFonts w:ascii="Abadi" w:hAnsi="Abadi" w:cs="ArialMT"/>
          <w:sz w:val="21"/>
          <w:szCs w:val="21"/>
        </w:rPr>
        <w:t>yendo contra la suspensión condicional del proceso.</w:t>
      </w:r>
      <w:r>
        <w:rPr>
          <w:rFonts w:ascii="Abadi" w:hAnsi="Abadi" w:cs="ArialMT"/>
          <w:sz w:val="21"/>
          <w:szCs w:val="21"/>
        </w:rPr>
        <w:t xml:space="preserve"> </w:t>
      </w:r>
      <w:r w:rsidRPr="00D33FD7">
        <w:rPr>
          <w:rFonts w:ascii="Abadi" w:hAnsi="Abadi" w:cs="ArialMT"/>
          <w:b/>
          <w:bCs/>
          <w:sz w:val="21"/>
          <w:szCs w:val="21"/>
        </w:rPr>
        <w:t>XXIII.</w:t>
      </w:r>
      <w:r>
        <w:rPr>
          <w:rFonts w:ascii="Abadi" w:hAnsi="Abadi" w:cs="ArialMT"/>
          <w:sz w:val="21"/>
          <w:szCs w:val="21"/>
        </w:rPr>
        <w:t>-</w:t>
      </w:r>
      <w:r w:rsidRPr="00C40978">
        <w:rPr>
          <w:rFonts w:ascii="Abadi" w:hAnsi="Abadi" w:cs="ArialMT"/>
          <w:sz w:val="21"/>
          <w:szCs w:val="21"/>
        </w:rPr>
        <w:t>Discusión y, en su caso, aprobación del dictamen suscrito por la Comisión</w:t>
      </w:r>
      <w:r>
        <w:rPr>
          <w:rFonts w:ascii="Abadi" w:hAnsi="Abadi" w:cs="ArialMT"/>
          <w:sz w:val="21"/>
          <w:szCs w:val="21"/>
        </w:rPr>
        <w:t xml:space="preserve"> </w:t>
      </w:r>
      <w:r w:rsidRPr="00C40978">
        <w:rPr>
          <w:rFonts w:ascii="Abadi" w:hAnsi="Abadi" w:cs="ArialMT"/>
          <w:sz w:val="21"/>
          <w:szCs w:val="21"/>
        </w:rPr>
        <w:t>de Derechos Humanos y Atención a Grupos Vulnerables relativo a la</w:t>
      </w:r>
      <w:r>
        <w:rPr>
          <w:rFonts w:ascii="Abadi" w:hAnsi="Abadi" w:cs="ArialMT"/>
          <w:sz w:val="21"/>
          <w:szCs w:val="21"/>
        </w:rPr>
        <w:t xml:space="preserve"> </w:t>
      </w:r>
      <w:r w:rsidRPr="00C40978">
        <w:rPr>
          <w:rFonts w:ascii="Abadi" w:hAnsi="Abadi" w:cs="ArialMT"/>
          <w:sz w:val="21"/>
          <w:szCs w:val="21"/>
        </w:rPr>
        <w:t>propuesta de punto de acuerdo signada por la diputada y el diputado</w:t>
      </w:r>
      <w:r>
        <w:rPr>
          <w:rFonts w:ascii="Abadi" w:hAnsi="Abadi" w:cs="ArialMT"/>
          <w:sz w:val="21"/>
          <w:szCs w:val="21"/>
        </w:rPr>
        <w:t xml:space="preserve"> </w:t>
      </w:r>
      <w:r w:rsidRPr="00C40978">
        <w:rPr>
          <w:rFonts w:ascii="Abadi" w:hAnsi="Abadi" w:cs="ArialMT"/>
          <w:sz w:val="21"/>
          <w:szCs w:val="21"/>
        </w:rPr>
        <w:t>integrantes del Grupo Parlamentario del Partido Verde Ecologista de México</w:t>
      </w:r>
      <w:r>
        <w:rPr>
          <w:rFonts w:ascii="Abadi" w:hAnsi="Abadi" w:cs="ArialMT"/>
          <w:sz w:val="21"/>
          <w:szCs w:val="21"/>
        </w:rPr>
        <w:t xml:space="preserve"> </w:t>
      </w:r>
      <w:r w:rsidRPr="00C40978">
        <w:rPr>
          <w:rFonts w:ascii="Abadi" w:hAnsi="Abadi" w:cs="ArialMT"/>
          <w:sz w:val="21"/>
          <w:szCs w:val="21"/>
        </w:rPr>
        <w:t>ante la Sexagésima Cuarta Legislatura, a efecto de exhortar al titular del</w:t>
      </w:r>
      <w:r>
        <w:rPr>
          <w:rFonts w:ascii="Abadi" w:hAnsi="Abadi" w:cs="ArialMT"/>
          <w:sz w:val="21"/>
          <w:szCs w:val="21"/>
        </w:rPr>
        <w:t xml:space="preserve"> </w:t>
      </w:r>
      <w:r w:rsidRPr="00C40978">
        <w:rPr>
          <w:rFonts w:ascii="Abadi" w:hAnsi="Abadi" w:cs="ArialMT"/>
          <w:sz w:val="21"/>
          <w:szCs w:val="21"/>
        </w:rPr>
        <w:t>Poder Ejecutivo del Estado de Guanajuato para que por su conducto se</w:t>
      </w:r>
      <w:r>
        <w:rPr>
          <w:rFonts w:ascii="Abadi" w:hAnsi="Abadi" w:cs="ArialMT"/>
          <w:sz w:val="21"/>
          <w:szCs w:val="21"/>
        </w:rPr>
        <w:t xml:space="preserve"> </w:t>
      </w:r>
      <w:r w:rsidRPr="00C40978">
        <w:rPr>
          <w:rFonts w:ascii="Abadi" w:hAnsi="Abadi" w:cs="ArialMT"/>
          <w:sz w:val="21"/>
          <w:szCs w:val="21"/>
        </w:rPr>
        <w:t>diseñen, implementen, ejecuten y evalúen políticas públicas efectivas de no</w:t>
      </w:r>
      <w:r>
        <w:rPr>
          <w:rFonts w:ascii="Abadi" w:hAnsi="Abadi" w:cs="ArialMT"/>
          <w:sz w:val="21"/>
          <w:szCs w:val="21"/>
        </w:rPr>
        <w:t xml:space="preserve"> </w:t>
      </w:r>
      <w:r w:rsidRPr="00C40978">
        <w:rPr>
          <w:rFonts w:ascii="Abadi" w:hAnsi="Abadi" w:cs="ArialMT"/>
          <w:sz w:val="21"/>
          <w:szCs w:val="21"/>
        </w:rPr>
        <w:t>discriminación.</w:t>
      </w:r>
      <w:r>
        <w:rPr>
          <w:rFonts w:ascii="Abadi" w:hAnsi="Abadi" w:cs="ArialMT"/>
          <w:sz w:val="21"/>
          <w:szCs w:val="21"/>
        </w:rPr>
        <w:t xml:space="preserve"> </w:t>
      </w:r>
      <w:r w:rsidRPr="00D33FD7">
        <w:rPr>
          <w:rFonts w:ascii="Abadi" w:hAnsi="Abadi" w:cs="ArialMT"/>
          <w:b/>
          <w:bCs/>
          <w:sz w:val="21"/>
          <w:szCs w:val="21"/>
        </w:rPr>
        <w:t>XXIV.-</w:t>
      </w:r>
      <w:r>
        <w:rPr>
          <w:rFonts w:ascii="Abadi" w:hAnsi="Abadi" w:cs="ArialMT"/>
          <w:sz w:val="21"/>
          <w:szCs w:val="21"/>
        </w:rPr>
        <w:t xml:space="preserve"> </w:t>
      </w:r>
      <w:r w:rsidRPr="00C40978">
        <w:rPr>
          <w:rFonts w:ascii="Abadi" w:hAnsi="Abadi" w:cs="ArialMT"/>
          <w:sz w:val="21"/>
          <w:szCs w:val="21"/>
        </w:rPr>
        <w:t>Discusión y, en su caso, aprobación del dictamen signado por la Comisión</w:t>
      </w:r>
      <w:r>
        <w:rPr>
          <w:rFonts w:ascii="Abadi" w:hAnsi="Abadi" w:cs="ArialMT"/>
          <w:sz w:val="21"/>
          <w:szCs w:val="21"/>
        </w:rPr>
        <w:t xml:space="preserve"> </w:t>
      </w:r>
      <w:r w:rsidRPr="00C40978">
        <w:rPr>
          <w:rFonts w:ascii="Abadi" w:hAnsi="Abadi" w:cs="ArialMT"/>
          <w:sz w:val="21"/>
          <w:szCs w:val="21"/>
        </w:rPr>
        <w:t>de Derechos Humanos y Atención a Grupos Vulnerables relativo a la</w:t>
      </w:r>
      <w:r>
        <w:rPr>
          <w:rFonts w:ascii="Abadi" w:hAnsi="Abadi" w:cs="ArialMT"/>
          <w:sz w:val="21"/>
          <w:szCs w:val="21"/>
        </w:rPr>
        <w:t xml:space="preserve"> </w:t>
      </w:r>
      <w:r w:rsidRPr="00C40978">
        <w:rPr>
          <w:rFonts w:ascii="Abadi" w:hAnsi="Abadi" w:cs="ArialMT"/>
          <w:sz w:val="21"/>
          <w:szCs w:val="21"/>
        </w:rPr>
        <w:t>propuesta de punto de acuerdo a efecto de exhortar al titular del Poder</w:t>
      </w:r>
      <w:r>
        <w:rPr>
          <w:rFonts w:ascii="Abadi" w:hAnsi="Abadi" w:cs="ArialMT"/>
          <w:sz w:val="21"/>
          <w:szCs w:val="21"/>
        </w:rPr>
        <w:t xml:space="preserve"> </w:t>
      </w:r>
      <w:r w:rsidRPr="00C40978">
        <w:rPr>
          <w:rFonts w:ascii="Abadi" w:hAnsi="Abadi" w:cs="ArialMT"/>
          <w:sz w:val="21"/>
          <w:szCs w:val="21"/>
        </w:rPr>
        <w:t>Ejecutivo del Estado y a los 46 ayuntamientos del estado de Guanajuato</w:t>
      </w:r>
      <w:r>
        <w:rPr>
          <w:rFonts w:ascii="Abadi" w:hAnsi="Abadi" w:cs="ArialMT"/>
          <w:sz w:val="21"/>
          <w:szCs w:val="21"/>
        </w:rPr>
        <w:t xml:space="preserve"> </w:t>
      </w:r>
      <w:r w:rsidRPr="00C40978">
        <w:rPr>
          <w:rFonts w:ascii="Abadi" w:hAnsi="Abadi" w:cs="ArialMT"/>
          <w:sz w:val="21"/>
          <w:szCs w:val="21"/>
        </w:rPr>
        <w:t>para que diseñen, implementen, ejecuten y evalúen un programa de</w:t>
      </w:r>
      <w:r>
        <w:rPr>
          <w:rFonts w:ascii="Abadi" w:hAnsi="Abadi" w:cs="ArialMT"/>
          <w:sz w:val="21"/>
          <w:szCs w:val="21"/>
        </w:rPr>
        <w:t xml:space="preserve"> </w:t>
      </w:r>
      <w:r w:rsidRPr="00C40978">
        <w:rPr>
          <w:rFonts w:ascii="Abadi" w:hAnsi="Abadi" w:cs="ArialMT"/>
          <w:sz w:val="21"/>
          <w:szCs w:val="21"/>
        </w:rPr>
        <w:t>capacitación con perspectiva de diversidad sexual a todos sus servidores</w:t>
      </w:r>
      <w:r>
        <w:rPr>
          <w:rFonts w:ascii="Abadi" w:hAnsi="Abadi" w:cs="ArialMT"/>
          <w:sz w:val="21"/>
          <w:szCs w:val="21"/>
        </w:rPr>
        <w:t xml:space="preserve"> </w:t>
      </w:r>
      <w:r w:rsidRPr="00C40978">
        <w:rPr>
          <w:rFonts w:ascii="Abadi" w:hAnsi="Abadi" w:cs="ArialMT"/>
          <w:sz w:val="21"/>
          <w:szCs w:val="21"/>
        </w:rPr>
        <w:t>públicos, así como a toda la población del Estado, suscrita por la diputada y</w:t>
      </w:r>
      <w:r>
        <w:rPr>
          <w:rFonts w:ascii="Abadi" w:hAnsi="Abadi" w:cs="ArialMT"/>
          <w:sz w:val="21"/>
          <w:szCs w:val="21"/>
        </w:rPr>
        <w:t xml:space="preserve"> </w:t>
      </w:r>
      <w:r w:rsidRPr="00C40978">
        <w:rPr>
          <w:rFonts w:ascii="Abadi" w:hAnsi="Abadi" w:cs="ArialMT"/>
          <w:sz w:val="21"/>
          <w:szCs w:val="21"/>
        </w:rPr>
        <w:t>el diputado integrantes del Grupo Parlamentario del Partido Verde</w:t>
      </w:r>
      <w:r>
        <w:rPr>
          <w:rFonts w:ascii="Abadi" w:hAnsi="Abadi" w:cs="ArialMT"/>
          <w:sz w:val="21"/>
          <w:szCs w:val="21"/>
        </w:rPr>
        <w:t xml:space="preserve"> </w:t>
      </w:r>
      <w:r w:rsidRPr="00C40978">
        <w:rPr>
          <w:rFonts w:ascii="Abadi" w:hAnsi="Abadi" w:cs="ArialMT"/>
          <w:sz w:val="21"/>
          <w:szCs w:val="21"/>
        </w:rPr>
        <w:t>Ecologista de México ante la Sexagésima Cuarta Legislatura.</w:t>
      </w:r>
      <w:r>
        <w:rPr>
          <w:rFonts w:ascii="Abadi" w:hAnsi="Abadi" w:cs="ArialMT"/>
          <w:sz w:val="21"/>
          <w:szCs w:val="21"/>
        </w:rPr>
        <w:t xml:space="preserve"> </w:t>
      </w:r>
      <w:r w:rsidRPr="00D33FD7">
        <w:rPr>
          <w:rFonts w:ascii="Abadi" w:hAnsi="Abadi" w:cs="ArialMT"/>
          <w:b/>
          <w:bCs/>
          <w:sz w:val="21"/>
          <w:szCs w:val="21"/>
        </w:rPr>
        <w:t>XXV.-</w:t>
      </w:r>
      <w:r>
        <w:rPr>
          <w:rFonts w:ascii="Abadi" w:hAnsi="Abadi" w:cs="ArialMT"/>
          <w:sz w:val="21"/>
          <w:szCs w:val="21"/>
        </w:rPr>
        <w:t xml:space="preserve"> </w:t>
      </w:r>
      <w:r w:rsidRPr="00C40978">
        <w:rPr>
          <w:rFonts w:ascii="Abadi" w:hAnsi="Abadi" w:cs="ArialMT"/>
          <w:sz w:val="21"/>
          <w:szCs w:val="21"/>
        </w:rPr>
        <w:t>Discusión y, en su caso, aprobación del dictamen emitido por la Comisión</w:t>
      </w:r>
      <w:r>
        <w:rPr>
          <w:rFonts w:ascii="Abadi" w:hAnsi="Abadi" w:cs="ArialMT"/>
          <w:sz w:val="21"/>
          <w:szCs w:val="21"/>
        </w:rPr>
        <w:t xml:space="preserve"> </w:t>
      </w:r>
      <w:r w:rsidRPr="00C40978">
        <w:rPr>
          <w:rFonts w:ascii="Abadi" w:hAnsi="Abadi" w:cs="ArialMT"/>
          <w:sz w:val="21"/>
          <w:szCs w:val="21"/>
        </w:rPr>
        <w:t>de Derechos Humanos y Atención a Grupos Vulnerables relativo a la</w:t>
      </w:r>
      <w:r>
        <w:rPr>
          <w:rFonts w:ascii="Abadi" w:hAnsi="Abadi" w:cs="ArialMT"/>
          <w:sz w:val="21"/>
          <w:szCs w:val="21"/>
        </w:rPr>
        <w:t xml:space="preserve"> </w:t>
      </w:r>
      <w:r w:rsidRPr="00C40978">
        <w:rPr>
          <w:rFonts w:ascii="Abadi" w:hAnsi="Abadi" w:cs="ArialMT"/>
          <w:sz w:val="21"/>
          <w:szCs w:val="21"/>
        </w:rPr>
        <w:t>iniciativa de reformas y adiciones a diversas leyes estatales para el</w:t>
      </w:r>
      <w:r>
        <w:rPr>
          <w:rFonts w:ascii="Abadi" w:hAnsi="Abadi" w:cs="ArialMT"/>
          <w:sz w:val="21"/>
          <w:szCs w:val="21"/>
        </w:rPr>
        <w:t xml:space="preserve"> </w:t>
      </w:r>
      <w:r w:rsidRPr="00C40978">
        <w:rPr>
          <w:rFonts w:ascii="Abadi" w:hAnsi="Abadi" w:cs="ArialMT"/>
          <w:sz w:val="21"/>
          <w:szCs w:val="21"/>
        </w:rPr>
        <w:t>cumplimiento y seguimiento de las recomendaciones en materia de</w:t>
      </w:r>
      <w:r>
        <w:rPr>
          <w:rFonts w:ascii="Abadi" w:hAnsi="Abadi" w:cs="ArialMT"/>
          <w:sz w:val="21"/>
          <w:szCs w:val="21"/>
        </w:rPr>
        <w:t xml:space="preserve"> </w:t>
      </w:r>
      <w:r w:rsidRPr="00C40978">
        <w:rPr>
          <w:rFonts w:ascii="Abadi" w:hAnsi="Abadi" w:cs="ArialMT"/>
          <w:sz w:val="21"/>
          <w:szCs w:val="21"/>
        </w:rPr>
        <w:t>derechos humanos, suscrita por la diputada y el diputado integrantes del</w:t>
      </w:r>
      <w:r>
        <w:rPr>
          <w:rFonts w:ascii="Abadi" w:hAnsi="Abadi" w:cs="ArialMT"/>
          <w:sz w:val="21"/>
          <w:szCs w:val="21"/>
        </w:rPr>
        <w:t xml:space="preserve"> </w:t>
      </w:r>
      <w:r w:rsidRPr="00C40978">
        <w:rPr>
          <w:rFonts w:ascii="Abadi" w:hAnsi="Abadi" w:cs="ArialMT"/>
          <w:sz w:val="21"/>
          <w:szCs w:val="21"/>
        </w:rPr>
        <w:t>Grupo Parlamentario del Partido Verde Ecologista de México ante la</w:t>
      </w:r>
      <w:r>
        <w:rPr>
          <w:rFonts w:ascii="Abadi" w:hAnsi="Abadi" w:cs="ArialMT"/>
          <w:sz w:val="21"/>
          <w:szCs w:val="21"/>
        </w:rPr>
        <w:t xml:space="preserve"> </w:t>
      </w:r>
      <w:r w:rsidRPr="00C40978">
        <w:rPr>
          <w:rFonts w:ascii="Abadi" w:hAnsi="Abadi" w:cs="ArialMT"/>
          <w:sz w:val="21"/>
          <w:szCs w:val="21"/>
        </w:rPr>
        <w:t>Sexagésima Cuarta Legislatura.</w:t>
      </w:r>
      <w:r>
        <w:rPr>
          <w:rFonts w:ascii="Abadi" w:hAnsi="Abadi" w:cs="ArialMT"/>
          <w:sz w:val="21"/>
          <w:szCs w:val="21"/>
        </w:rPr>
        <w:t xml:space="preserve"> </w:t>
      </w:r>
      <w:r w:rsidRPr="00D33FD7">
        <w:rPr>
          <w:rFonts w:ascii="Abadi" w:hAnsi="Abadi" w:cs="ArialMT"/>
          <w:b/>
          <w:bCs/>
          <w:sz w:val="21"/>
          <w:szCs w:val="21"/>
        </w:rPr>
        <w:t>XXVI.-</w:t>
      </w:r>
      <w:r w:rsidRPr="00C40978">
        <w:rPr>
          <w:rFonts w:ascii="Abadi" w:hAnsi="Abadi" w:cs="ArialMT"/>
          <w:sz w:val="21"/>
          <w:szCs w:val="21"/>
        </w:rPr>
        <w:t>Discusión y, en su caso, aprobación del dictamen suscrito por la Comisión</w:t>
      </w:r>
      <w:r>
        <w:rPr>
          <w:rFonts w:ascii="Abadi" w:hAnsi="Abadi" w:cs="ArialMT"/>
          <w:sz w:val="21"/>
          <w:szCs w:val="21"/>
        </w:rPr>
        <w:t xml:space="preserve"> </w:t>
      </w:r>
      <w:r w:rsidRPr="00C40978">
        <w:rPr>
          <w:rFonts w:ascii="Abadi" w:hAnsi="Abadi" w:cs="ArialMT"/>
          <w:sz w:val="21"/>
          <w:szCs w:val="21"/>
        </w:rPr>
        <w:t>de Derechos Humanos y Atención a Grupos Vulnerables relativo a la</w:t>
      </w:r>
      <w:r>
        <w:rPr>
          <w:rFonts w:ascii="Abadi" w:hAnsi="Abadi" w:cs="ArialMT"/>
          <w:sz w:val="21"/>
          <w:szCs w:val="21"/>
        </w:rPr>
        <w:t xml:space="preserve"> </w:t>
      </w:r>
      <w:r w:rsidRPr="00C40978">
        <w:rPr>
          <w:rFonts w:ascii="Abadi" w:hAnsi="Abadi" w:cs="ArialMT"/>
          <w:sz w:val="21"/>
          <w:szCs w:val="21"/>
        </w:rPr>
        <w:t>iniciativa de reformas y adiciones a diversas disposiciones de la Ley para</w:t>
      </w:r>
      <w:r>
        <w:rPr>
          <w:rFonts w:ascii="Abadi" w:hAnsi="Abadi" w:cs="ArialMT"/>
          <w:sz w:val="21"/>
          <w:szCs w:val="21"/>
        </w:rPr>
        <w:t xml:space="preserve"> </w:t>
      </w:r>
      <w:r w:rsidRPr="00C40978">
        <w:rPr>
          <w:rFonts w:ascii="Abadi" w:hAnsi="Abadi" w:cs="ArialMT"/>
          <w:sz w:val="21"/>
          <w:szCs w:val="21"/>
        </w:rPr>
        <w:t>Prevenir, Atender y Erradicar la Discriminación en el Estado de Guanajuato,</w:t>
      </w:r>
      <w:r>
        <w:rPr>
          <w:rFonts w:ascii="Abadi" w:hAnsi="Abadi" w:cs="ArialMT"/>
          <w:sz w:val="21"/>
          <w:szCs w:val="21"/>
        </w:rPr>
        <w:t xml:space="preserve"> </w:t>
      </w:r>
      <w:r w:rsidRPr="00C40978">
        <w:rPr>
          <w:rFonts w:ascii="Abadi" w:hAnsi="Abadi" w:cs="ArialMT"/>
          <w:sz w:val="21"/>
          <w:szCs w:val="21"/>
        </w:rPr>
        <w:t>de la Ley de Inclusión para las Personas con Discapacidad en el Estado de</w:t>
      </w:r>
      <w:r>
        <w:rPr>
          <w:rFonts w:ascii="Abadi" w:hAnsi="Abadi" w:cs="ArialMT"/>
          <w:sz w:val="21"/>
          <w:szCs w:val="21"/>
        </w:rPr>
        <w:t xml:space="preserve"> </w:t>
      </w:r>
      <w:r w:rsidRPr="00C40978">
        <w:rPr>
          <w:rFonts w:ascii="Abadi" w:hAnsi="Abadi" w:cs="ArialMT"/>
          <w:sz w:val="21"/>
          <w:szCs w:val="21"/>
        </w:rPr>
        <w:t xml:space="preserve">Guanajuato y de la Ley de Protección Civil para el Estado de </w:t>
      </w:r>
      <w:r w:rsidRPr="00C40978">
        <w:rPr>
          <w:rFonts w:ascii="Abadi" w:hAnsi="Abadi" w:cs="ArialMT"/>
          <w:sz w:val="21"/>
          <w:szCs w:val="21"/>
        </w:rPr>
        <w:t>Guanajuato,</w:t>
      </w:r>
      <w:r>
        <w:rPr>
          <w:rFonts w:ascii="Abadi" w:hAnsi="Abadi" w:cs="ArialMT"/>
          <w:sz w:val="21"/>
          <w:szCs w:val="21"/>
        </w:rPr>
        <w:t xml:space="preserve"> </w:t>
      </w:r>
      <w:r w:rsidRPr="00C40978">
        <w:rPr>
          <w:rFonts w:ascii="Abadi" w:hAnsi="Abadi" w:cs="ArialMT"/>
          <w:sz w:val="21"/>
          <w:szCs w:val="21"/>
        </w:rPr>
        <w:t>suscrita por la diputada y el diputado integrantes del Grupo Parlamentario</w:t>
      </w:r>
      <w:r>
        <w:rPr>
          <w:rFonts w:ascii="Abadi" w:hAnsi="Abadi" w:cs="ArialMT"/>
          <w:sz w:val="21"/>
          <w:szCs w:val="21"/>
        </w:rPr>
        <w:t xml:space="preserve"> </w:t>
      </w:r>
      <w:r w:rsidRPr="00C40978">
        <w:rPr>
          <w:rFonts w:ascii="Abadi" w:hAnsi="Abadi" w:cs="ArialMT"/>
          <w:sz w:val="21"/>
          <w:szCs w:val="21"/>
        </w:rPr>
        <w:t>del Partido Verde Ecologista de México ante la Sexagésima Cuarta</w:t>
      </w:r>
      <w:r>
        <w:rPr>
          <w:rFonts w:ascii="Abadi" w:hAnsi="Abadi" w:cs="ArialMT"/>
          <w:sz w:val="21"/>
          <w:szCs w:val="21"/>
        </w:rPr>
        <w:t xml:space="preserve"> </w:t>
      </w:r>
      <w:r w:rsidRPr="00C40978">
        <w:rPr>
          <w:rFonts w:ascii="Abadi" w:hAnsi="Abadi" w:cs="ArialMT"/>
          <w:sz w:val="21"/>
          <w:szCs w:val="21"/>
        </w:rPr>
        <w:t>Legislatura.</w:t>
      </w:r>
      <w:r>
        <w:rPr>
          <w:rFonts w:ascii="Abadi" w:hAnsi="Abadi" w:cs="ArialMT"/>
          <w:sz w:val="21"/>
          <w:szCs w:val="21"/>
        </w:rPr>
        <w:t xml:space="preserve"> </w:t>
      </w:r>
      <w:r w:rsidRPr="00D33FD7">
        <w:rPr>
          <w:rFonts w:ascii="Abadi" w:hAnsi="Abadi" w:cs="ArialMT"/>
          <w:b/>
          <w:bCs/>
          <w:sz w:val="21"/>
          <w:szCs w:val="21"/>
        </w:rPr>
        <w:t>XXVII.-</w:t>
      </w:r>
      <w:r>
        <w:rPr>
          <w:rFonts w:ascii="Abadi" w:hAnsi="Abadi" w:cs="ArialMT"/>
          <w:sz w:val="21"/>
          <w:szCs w:val="21"/>
        </w:rPr>
        <w:t xml:space="preserve"> </w:t>
      </w:r>
      <w:r w:rsidRPr="00C40978">
        <w:rPr>
          <w:rFonts w:ascii="Abadi" w:hAnsi="Abadi" w:cs="ArialMT"/>
          <w:sz w:val="21"/>
          <w:szCs w:val="21"/>
        </w:rPr>
        <w:t>Discusión y, en su caso, aprobación del dictamen emitido por la Comisión</w:t>
      </w:r>
      <w:r>
        <w:rPr>
          <w:rFonts w:ascii="Abadi" w:hAnsi="Abadi" w:cs="ArialMT"/>
          <w:sz w:val="21"/>
          <w:szCs w:val="21"/>
        </w:rPr>
        <w:t xml:space="preserve"> </w:t>
      </w:r>
      <w:r w:rsidRPr="00C40978">
        <w:rPr>
          <w:rFonts w:ascii="Abadi" w:hAnsi="Abadi" w:cs="ArialMT"/>
          <w:sz w:val="21"/>
          <w:szCs w:val="21"/>
        </w:rPr>
        <w:t>de Seguridad Pública y Comunicaciones relativo a la iniciativa que reforma</w:t>
      </w:r>
      <w:r>
        <w:rPr>
          <w:rFonts w:ascii="Abadi" w:hAnsi="Abadi" w:cs="ArialMT"/>
          <w:sz w:val="21"/>
          <w:szCs w:val="21"/>
        </w:rPr>
        <w:t xml:space="preserve"> </w:t>
      </w:r>
      <w:r w:rsidRPr="00C40978">
        <w:rPr>
          <w:rFonts w:ascii="Abadi" w:hAnsi="Abadi" w:cs="ArialMT"/>
          <w:sz w:val="21"/>
          <w:szCs w:val="21"/>
        </w:rPr>
        <w:t>el artículo 36-6 de la Ley del Sistema Estatal de Seguridad Pública del</w:t>
      </w:r>
      <w:r>
        <w:rPr>
          <w:rFonts w:ascii="Abadi" w:hAnsi="Abadi" w:cs="ArialMT"/>
          <w:sz w:val="21"/>
          <w:szCs w:val="21"/>
        </w:rPr>
        <w:t xml:space="preserve"> </w:t>
      </w:r>
      <w:r w:rsidRPr="00C40978">
        <w:rPr>
          <w:rFonts w:ascii="Abadi" w:hAnsi="Abadi" w:cs="ArialMT"/>
          <w:sz w:val="21"/>
          <w:szCs w:val="21"/>
        </w:rPr>
        <w:t>Estado de Guanajuato formulada ante la Sexagésima Cuarta Legislatura,</w:t>
      </w:r>
      <w:r>
        <w:rPr>
          <w:rFonts w:ascii="Abadi" w:hAnsi="Abadi" w:cs="ArialMT"/>
          <w:sz w:val="21"/>
          <w:szCs w:val="21"/>
        </w:rPr>
        <w:t xml:space="preserve"> </w:t>
      </w:r>
      <w:r w:rsidRPr="00C40978">
        <w:rPr>
          <w:rFonts w:ascii="Abadi" w:hAnsi="Abadi" w:cs="ArialMT"/>
          <w:sz w:val="21"/>
          <w:szCs w:val="21"/>
        </w:rPr>
        <w:t>por diputadas y diputados integrantes del Grupo Parlamentario del Partido</w:t>
      </w:r>
      <w:r>
        <w:rPr>
          <w:rFonts w:ascii="Abadi" w:hAnsi="Abadi" w:cs="ArialMT"/>
          <w:sz w:val="21"/>
          <w:szCs w:val="21"/>
        </w:rPr>
        <w:t xml:space="preserve"> </w:t>
      </w:r>
      <w:r w:rsidRPr="00C40978">
        <w:rPr>
          <w:rFonts w:ascii="Abadi" w:hAnsi="Abadi" w:cs="ArialMT"/>
          <w:sz w:val="21"/>
          <w:szCs w:val="21"/>
        </w:rPr>
        <w:t>Acción Nacional.</w:t>
      </w:r>
      <w:r>
        <w:rPr>
          <w:rFonts w:ascii="Abadi" w:hAnsi="Abadi" w:cs="ArialMT"/>
          <w:sz w:val="21"/>
          <w:szCs w:val="21"/>
        </w:rPr>
        <w:t xml:space="preserve"> </w:t>
      </w:r>
      <w:r w:rsidRPr="00D83498">
        <w:rPr>
          <w:rFonts w:ascii="Abadi" w:hAnsi="Abadi" w:cs="ArialMT"/>
          <w:b/>
          <w:bCs/>
          <w:sz w:val="21"/>
          <w:szCs w:val="21"/>
        </w:rPr>
        <w:t>XXVIII.-</w:t>
      </w:r>
      <w:r>
        <w:rPr>
          <w:rFonts w:ascii="Abadi" w:hAnsi="Abadi" w:cs="ArialMT"/>
          <w:sz w:val="21"/>
          <w:szCs w:val="21"/>
        </w:rPr>
        <w:t xml:space="preserve"> </w:t>
      </w:r>
      <w:r w:rsidRPr="00C40978">
        <w:rPr>
          <w:rFonts w:ascii="Abadi" w:hAnsi="Abadi" w:cs="ArialMT"/>
          <w:sz w:val="21"/>
          <w:szCs w:val="21"/>
        </w:rPr>
        <w:t>Discusión y, en su caso, aprobación del dictamen signado por la Comisión</w:t>
      </w:r>
      <w:r>
        <w:rPr>
          <w:rFonts w:ascii="Abadi" w:hAnsi="Abadi" w:cs="ArialMT"/>
          <w:sz w:val="21"/>
          <w:szCs w:val="21"/>
        </w:rPr>
        <w:t xml:space="preserve"> </w:t>
      </w:r>
      <w:r w:rsidRPr="00C40978">
        <w:rPr>
          <w:rFonts w:ascii="Abadi" w:hAnsi="Abadi" w:cs="ArialMT"/>
          <w:sz w:val="21"/>
          <w:szCs w:val="21"/>
        </w:rPr>
        <w:t>de Seguridad Pública y Comunicaciones relativo a la iniciativa que reforma</w:t>
      </w:r>
      <w:r>
        <w:rPr>
          <w:rFonts w:ascii="Abadi" w:hAnsi="Abadi" w:cs="ArialMT"/>
          <w:sz w:val="21"/>
          <w:szCs w:val="21"/>
        </w:rPr>
        <w:t xml:space="preserve"> </w:t>
      </w:r>
      <w:r w:rsidRPr="00C40978">
        <w:rPr>
          <w:rFonts w:ascii="Abadi" w:hAnsi="Abadi" w:cs="ArialMT"/>
          <w:sz w:val="21"/>
          <w:szCs w:val="21"/>
        </w:rPr>
        <w:t>y adiciona diversos artículos de la Ley de Movilidad del Estado de</w:t>
      </w:r>
      <w:r>
        <w:rPr>
          <w:rFonts w:ascii="Abadi" w:hAnsi="Abadi" w:cs="ArialMT"/>
          <w:sz w:val="21"/>
          <w:szCs w:val="21"/>
        </w:rPr>
        <w:t xml:space="preserve"> </w:t>
      </w:r>
      <w:r w:rsidRPr="00C40978">
        <w:rPr>
          <w:rFonts w:ascii="Abadi" w:hAnsi="Abadi" w:cs="ArialMT"/>
          <w:sz w:val="21"/>
          <w:szCs w:val="21"/>
        </w:rPr>
        <w:t>Guanajuato y sus Municipios formulada ante la Sexagésima Cuarta</w:t>
      </w:r>
      <w:r>
        <w:rPr>
          <w:rFonts w:ascii="Abadi" w:hAnsi="Abadi" w:cs="ArialMT"/>
          <w:sz w:val="21"/>
          <w:szCs w:val="21"/>
        </w:rPr>
        <w:t xml:space="preserve"> </w:t>
      </w:r>
      <w:r w:rsidRPr="00C40978">
        <w:rPr>
          <w:rFonts w:ascii="Abadi" w:hAnsi="Abadi" w:cs="ArialMT"/>
          <w:sz w:val="21"/>
          <w:szCs w:val="21"/>
        </w:rPr>
        <w:t>Legislatura, por la diputada y el diputado integrantes del Grupo</w:t>
      </w:r>
      <w:r>
        <w:rPr>
          <w:rFonts w:ascii="Abadi" w:hAnsi="Abadi" w:cs="ArialMT"/>
          <w:sz w:val="21"/>
          <w:szCs w:val="21"/>
        </w:rPr>
        <w:t xml:space="preserve"> </w:t>
      </w:r>
      <w:r w:rsidRPr="00C40978">
        <w:rPr>
          <w:rFonts w:ascii="Abadi" w:hAnsi="Abadi" w:cs="ArialMT"/>
          <w:sz w:val="21"/>
          <w:szCs w:val="21"/>
        </w:rPr>
        <w:t>Parlamentario del Partido Verde Ecologista de México.</w:t>
      </w:r>
      <w:r>
        <w:rPr>
          <w:rFonts w:ascii="Abadi" w:hAnsi="Abadi" w:cs="ArialMT"/>
          <w:sz w:val="21"/>
          <w:szCs w:val="21"/>
        </w:rPr>
        <w:t xml:space="preserve"> </w:t>
      </w:r>
      <w:r w:rsidRPr="0082153B">
        <w:rPr>
          <w:rFonts w:ascii="Abadi" w:hAnsi="Abadi" w:cs="ArialMT"/>
          <w:b/>
          <w:bCs/>
          <w:sz w:val="21"/>
          <w:szCs w:val="21"/>
        </w:rPr>
        <w:t>XXIX.-</w:t>
      </w:r>
      <w:r>
        <w:rPr>
          <w:rFonts w:ascii="Abadi" w:hAnsi="Abadi" w:cs="ArialMT"/>
          <w:sz w:val="21"/>
          <w:szCs w:val="21"/>
        </w:rPr>
        <w:t xml:space="preserve"> </w:t>
      </w:r>
      <w:r w:rsidRPr="00C40978">
        <w:rPr>
          <w:rFonts w:ascii="Abadi" w:hAnsi="Abadi" w:cs="ArialMT"/>
          <w:sz w:val="21"/>
          <w:szCs w:val="21"/>
        </w:rPr>
        <w:t>Discusión y, en su caso, aprobación del dictamen emitido por la Comisión</w:t>
      </w:r>
      <w:r>
        <w:rPr>
          <w:rFonts w:ascii="Abadi" w:hAnsi="Abadi" w:cs="ArialMT"/>
          <w:sz w:val="21"/>
          <w:szCs w:val="21"/>
        </w:rPr>
        <w:t xml:space="preserve"> </w:t>
      </w:r>
      <w:r w:rsidRPr="00C40978">
        <w:rPr>
          <w:rFonts w:ascii="Abadi" w:hAnsi="Abadi" w:cs="ArialMT"/>
          <w:sz w:val="21"/>
          <w:szCs w:val="21"/>
        </w:rPr>
        <w:t>de Seguridad Pública y Comunicaciones relativo a la propuesta de punto de</w:t>
      </w:r>
      <w:r>
        <w:rPr>
          <w:rFonts w:ascii="Abadi" w:hAnsi="Abadi" w:cs="ArialMT"/>
          <w:sz w:val="21"/>
          <w:szCs w:val="21"/>
        </w:rPr>
        <w:t xml:space="preserve"> </w:t>
      </w:r>
      <w:r w:rsidRPr="00C40978">
        <w:rPr>
          <w:rFonts w:ascii="Abadi" w:hAnsi="Abadi" w:cs="ArialMT"/>
          <w:sz w:val="21"/>
          <w:szCs w:val="21"/>
        </w:rPr>
        <w:t>acuerdo formulada, ante la Sexagésima Cuarta Legislatura, por la diputada</w:t>
      </w:r>
      <w:r>
        <w:rPr>
          <w:rFonts w:ascii="Abadi" w:hAnsi="Abadi" w:cs="ArialMT"/>
          <w:sz w:val="21"/>
          <w:szCs w:val="21"/>
        </w:rPr>
        <w:t xml:space="preserve"> </w:t>
      </w:r>
      <w:r w:rsidRPr="00C40978">
        <w:rPr>
          <w:rFonts w:ascii="Abadi" w:hAnsi="Abadi" w:cs="ArialMT"/>
          <w:sz w:val="21"/>
          <w:szCs w:val="21"/>
        </w:rPr>
        <w:t>y el diputado integrantes del Grupo Parlamentario del Partido Verde</w:t>
      </w:r>
      <w:r>
        <w:rPr>
          <w:rFonts w:ascii="Abadi" w:hAnsi="Abadi" w:cs="ArialMT"/>
          <w:sz w:val="21"/>
          <w:szCs w:val="21"/>
        </w:rPr>
        <w:t xml:space="preserve"> </w:t>
      </w:r>
      <w:r w:rsidRPr="00C40978">
        <w:rPr>
          <w:rFonts w:ascii="Abadi" w:hAnsi="Abadi" w:cs="ArialMT"/>
          <w:sz w:val="21"/>
          <w:szCs w:val="21"/>
        </w:rPr>
        <w:t>Ecologista de México para exhortar al titular del Poder Ejecutivo del Estado</w:t>
      </w:r>
      <w:r>
        <w:rPr>
          <w:rFonts w:ascii="Abadi" w:hAnsi="Abadi" w:cs="ArialMT"/>
          <w:sz w:val="21"/>
          <w:szCs w:val="21"/>
        </w:rPr>
        <w:t xml:space="preserve"> </w:t>
      </w:r>
      <w:r w:rsidRPr="00C40978">
        <w:rPr>
          <w:rFonts w:ascii="Abadi" w:hAnsi="Abadi" w:cs="ArialMT"/>
          <w:sz w:val="21"/>
          <w:szCs w:val="21"/>
        </w:rPr>
        <w:t>de Guanajuato, por conducto de las dependencias correspondientes para</w:t>
      </w:r>
      <w:r>
        <w:rPr>
          <w:rFonts w:ascii="Abadi" w:hAnsi="Abadi" w:cs="ArialMT"/>
          <w:sz w:val="21"/>
          <w:szCs w:val="21"/>
        </w:rPr>
        <w:t xml:space="preserve"> </w:t>
      </w:r>
      <w:r w:rsidRPr="00C40978">
        <w:rPr>
          <w:rFonts w:ascii="Abadi" w:hAnsi="Abadi" w:cs="ArialMT"/>
          <w:sz w:val="21"/>
          <w:szCs w:val="21"/>
        </w:rPr>
        <w:t>que de forma urgente remita a esta Asamblea el diagnóstico integral del</w:t>
      </w:r>
      <w:r>
        <w:rPr>
          <w:rFonts w:ascii="Abadi" w:hAnsi="Abadi" w:cs="ArialMT"/>
          <w:sz w:val="21"/>
          <w:szCs w:val="21"/>
        </w:rPr>
        <w:t xml:space="preserve"> </w:t>
      </w:r>
      <w:r w:rsidRPr="00C40978">
        <w:rPr>
          <w:rFonts w:ascii="Abadi" w:hAnsi="Abadi" w:cs="ArialMT"/>
          <w:sz w:val="21"/>
          <w:szCs w:val="21"/>
        </w:rPr>
        <w:t xml:space="preserve">contrato relacionado con el llamado </w:t>
      </w:r>
      <w:r w:rsidRPr="00C40978">
        <w:rPr>
          <w:rFonts w:ascii="Abadi" w:hAnsi="Abadi" w:cs="Arial-ItalicMT"/>
          <w:i/>
          <w:iCs/>
          <w:sz w:val="21"/>
          <w:szCs w:val="21"/>
        </w:rPr>
        <w:t>programa ESCUDO</w:t>
      </w:r>
      <w:r w:rsidRPr="00C40978">
        <w:rPr>
          <w:rFonts w:ascii="Abadi" w:hAnsi="Abadi" w:cs="ArialMT"/>
          <w:sz w:val="21"/>
          <w:szCs w:val="21"/>
        </w:rPr>
        <w:t>, e informe el estado</w:t>
      </w:r>
      <w:r>
        <w:rPr>
          <w:rFonts w:ascii="Abadi" w:hAnsi="Abadi" w:cs="ArialMT"/>
          <w:sz w:val="21"/>
          <w:szCs w:val="21"/>
        </w:rPr>
        <w:t xml:space="preserve"> </w:t>
      </w:r>
      <w:r w:rsidRPr="00C40978">
        <w:rPr>
          <w:rFonts w:ascii="Abadi" w:hAnsi="Abadi" w:cs="ArialMT"/>
          <w:sz w:val="21"/>
          <w:szCs w:val="21"/>
        </w:rPr>
        <w:t>que guarda el equipamiento relacionado con el mismo, así también informe</w:t>
      </w:r>
      <w:r>
        <w:rPr>
          <w:rFonts w:ascii="Abadi" w:hAnsi="Abadi" w:cs="ArialMT"/>
          <w:sz w:val="21"/>
          <w:szCs w:val="21"/>
        </w:rPr>
        <w:t xml:space="preserve"> </w:t>
      </w:r>
      <w:r w:rsidRPr="00C40978">
        <w:rPr>
          <w:rFonts w:ascii="Abadi" w:hAnsi="Abadi" w:cs="ArialMT"/>
          <w:sz w:val="21"/>
          <w:szCs w:val="21"/>
        </w:rPr>
        <w:t>sobre la estrategia en materia de Seguridad para inhibir la delincuencia y la</w:t>
      </w:r>
      <w:r>
        <w:rPr>
          <w:rFonts w:ascii="Abadi" w:hAnsi="Abadi" w:cs="ArialMT"/>
          <w:sz w:val="21"/>
          <w:szCs w:val="21"/>
        </w:rPr>
        <w:t xml:space="preserve"> </w:t>
      </w:r>
      <w:r w:rsidRPr="00C40978">
        <w:rPr>
          <w:rFonts w:ascii="Abadi" w:hAnsi="Abadi" w:cs="ArialMT"/>
          <w:sz w:val="21"/>
          <w:szCs w:val="21"/>
        </w:rPr>
        <w:t>pertinencia de la continuidad de dicha estrategia.</w:t>
      </w:r>
      <w:r>
        <w:rPr>
          <w:rFonts w:ascii="Abadi" w:hAnsi="Abadi" w:cs="ArialMT"/>
          <w:sz w:val="21"/>
          <w:szCs w:val="21"/>
        </w:rPr>
        <w:t xml:space="preserve"> </w:t>
      </w:r>
      <w:r w:rsidRPr="0082153B">
        <w:rPr>
          <w:rFonts w:ascii="Abadi" w:hAnsi="Abadi" w:cs="ArialMT"/>
          <w:b/>
          <w:bCs/>
          <w:sz w:val="21"/>
          <w:szCs w:val="21"/>
        </w:rPr>
        <w:t>XXX.-</w:t>
      </w:r>
      <w:r>
        <w:rPr>
          <w:rFonts w:ascii="Abadi" w:hAnsi="Abadi" w:cs="ArialMT"/>
          <w:b/>
          <w:bCs/>
          <w:sz w:val="21"/>
          <w:szCs w:val="21"/>
        </w:rPr>
        <w:t xml:space="preserve"> </w:t>
      </w:r>
      <w:r w:rsidRPr="00C40978">
        <w:rPr>
          <w:rFonts w:ascii="Abadi" w:hAnsi="Abadi" w:cs="ArialMT"/>
          <w:sz w:val="21"/>
          <w:szCs w:val="21"/>
        </w:rPr>
        <w:t>Discusión y, en su caso, aprobación del dictamen suscrito por la Comisión</w:t>
      </w:r>
      <w:r>
        <w:rPr>
          <w:rFonts w:ascii="Abadi" w:hAnsi="Abadi" w:cs="ArialMT"/>
          <w:sz w:val="21"/>
          <w:szCs w:val="21"/>
        </w:rPr>
        <w:t xml:space="preserve"> </w:t>
      </w:r>
      <w:r w:rsidRPr="00C40978">
        <w:rPr>
          <w:rFonts w:ascii="Abadi" w:hAnsi="Abadi" w:cs="ArialMT"/>
          <w:sz w:val="21"/>
          <w:szCs w:val="21"/>
        </w:rPr>
        <w:t>de Seguridad Pública y Comunicaciones relativo a la propuesta de punto de</w:t>
      </w:r>
      <w:r>
        <w:rPr>
          <w:rFonts w:ascii="Abadi" w:hAnsi="Abadi" w:cs="ArialMT"/>
          <w:sz w:val="21"/>
          <w:szCs w:val="21"/>
        </w:rPr>
        <w:t xml:space="preserve"> </w:t>
      </w:r>
      <w:r w:rsidRPr="00C40978">
        <w:rPr>
          <w:rFonts w:ascii="Abadi" w:hAnsi="Abadi" w:cs="ArialMT"/>
          <w:sz w:val="21"/>
          <w:szCs w:val="21"/>
        </w:rPr>
        <w:t>acuerdo formulada ante la Sexagésima Cuarta Legislatura, por la diputada</w:t>
      </w:r>
      <w:r>
        <w:rPr>
          <w:rFonts w:ascii="Abadi" w:hAnsi="Abadi" w:cs="ArialMT"/>
          <w:sz w:val="21"/>
          <w:szCs w:val="21"/>
        </w:rPr>
        <w:t xml:space="preserve"> </w:t>
      </w:r>
      <w:r w:rsidRPr="00C40978">
        <w:rPr>
          <w:rFonts w:ascii="Abadi" w:hAnsi="Abadi" w:cs="ArialMT"/>
          <w:sz w:val="21"/>
          <w:szCs w:val="21"/>
        </w:rPr>
        <w:t>María Magdalena Rosales Cruz, integrante del Grupo Parlamentario del</w:t>
      </w:r>
      <w:r>
        <w:rPr>
          <w:rFonts w:ascii="Abadi" w:hAnsi="Abadi" w:cs="ArialMT"/>
          <w:sz w:val="21"/>
          <w:szCs w:val="21"/>
        </w:rPr>
        <w:t xml:space="preserve"> </w:t>
      </w:r>
      <w:r w:rsidRPr="00C40978">
        <w:rPr>
          <w:rFonts w:ascii="Abadi" w:hAnsi="Abadi" w:cs="ArialMT"/>
          <w:sz w:val="21"/>
          <w:szCs w:val="21"/>
        </w:rPr>
        <w:t>Partido MORENA para exhortar al Gobernador del Estado de Guanajuato,</w:t>
      </w:r>
      <w:r>
        <w:rPr>
          <w:rFonts w:ascii="Abadi" w:hAnsi="Abadi" w:cs="ArialMT"/>
          <w:sz w:val="21"/>
          <w:szCs w:val="21"/>
        </w:rPr>
        <w:t xml:space="preserve"> </w:t>
      </w:r>
      <w:r w:rsidRPr="00C40978">
        <w:rPr>
          <w:rFonts w:ascii="Abadi" w:hAnsi="Abadi" w:cs="ArialMT"/>
          <w:sz w:val="21"/>
          <w:szCs w:val="21"/>
        </w:rPr>
        <w:t>al Ciudadano Diego Sinhue Rodríguez Vallejo, y a la Presidenta Municipal</w:t>
      </w:r>
      <w:r>
        <w:rPr>
          <w:rFonts w:ascii="Abadi" w:hAnsi="Abadi" w:cs="ArialMT"/>
          <w:sz w:val="21"/>
          <w:szCs w:val="21"/>
        </w:rPr>
        <w:t xml:space="preserve"> </w:t>
      </w:r>
      <w:r w:rsidRPr="00C40978">
        <w:rPr>
          <w:rFonts w:ascii="Abadi" w:hAnsi="Abadi" w:cs="ArialMT"/>
          <w:sz w:val="21"/>
          <w:szCs w:val="21"/>
        </w:rPr>
        <w:t>de Celaya, Guanajuato, la C. Elvira Paniagua Rodríguez, para que informen</w:t>
      </w:r>
      <w:r>
        <w:rPr>
          <w:rFonts w:ascii="Abadi" w:hAnsi="Abadi" w:cs="ArialMT"/>
          <w:sz w:val="21"/>
          <w:szCs w:val="21"/>
        </w:rPr>
        <w:t xml:space="preserve"> </w:t>
      </w:r>
      <w:r w:rsidRPr="00C40978">
        <w:rPr>
          <w:rFonts w:ascii="Abadi" w:hAnsi="Abadi" w:cs="ArialMT"/>
          <w:sz w:val="21"/>
          <w:szCs w:val="21"/>
        </w:rPr>
        <w:t>a este Congreso el diagnóstico y el programa que están realizando para el</w:t>
      </w:r>
      <w:r>
        <w:rPr>
          <w:rFonts w:ascii="Abadi" w:hAnsi="Abadi" w:cs="ArialMT"/>
          <w:sz w:val="21"/>
          <w:szCs w:val="21"/>
        </w:rPr>
        <w:t xml:space="preserve"> </w:t>
      </w:r>
      <w:r w:rsidRPr="00C40978">
        <w:rPr>
          <w:rFonts w:ascii="Abadi" w:hAnsi="Abadi" w:cs="ArialMT"/>
          <w:sz w:val="21"/>
          <w:szCs w:val="21"/>
        </w:rPr>
        <w:t xml:space="preserve">fortalecimiento del </w:t>
      </w:r>
      <w:r w:rsidRPr="00C40978">
        <w:rPr>
          <w:rFonts w:ascii="Abadi" w:hAnsi="Abadi" w:cs="ArialMT"/>
          <w:sz w:val="21"/>
          <w:szCs w:val="21"/>
        </w:rPr>
        <w:lastRenderedPageBreak/>
        <w:t>estado de fuerza y las capacidades institucionales de sus</w:t>
      </w:r>
      <w:r>
        <w:rPr>
          <w:rFonts w:ascii="Abadi" w:hAnsi="Abadi" w:cs="ArialMT"/>
          <w:sz w:val="21"/>
          <w:szCs w:val="21"/>
        </w:rPr>
        <w:t xml:space="preserve"> </w:t>
      </w:r>
      <w:r w:rsidRPr="00C40978">
        <w:rPr>
          <w:rFonts w:ascii="Abadi" w:hAnsi="Abadi" w:cs="ArialMT"/>
          <w:sz w:val="21"/>
          <w:szCs w:val="21"/>
        </w:rPr>
        <w:t>respectivos cuerpos policiales estatales y municipales.</w:t>
      </w:r>
      <w:r>
        <w:rPr>
          <w:rFonts w:ascii="Abadi" w:hAnsi="Abadi" w:cs="ArialMT"/>
          <w:sz w:val="21"/>
          <w:szCs w:val="21"/>
        </w:rPr>
        <w:t xml:space="preserve"> </w:t>
      </w:r>
      <w:r w:rsidRPr="0082153B">
        <w:rPr>
          <w:rFonts w:ascii="Abadi" w:hAnsi="Abadi" w:cs="ArialMT"/>
          <w:b/>
          <w:bCs/>
          <w:sz w:val="21"/>
          <w:szCs w:val="21"/>
        </w:rPr>
        <w:t>XXXI.-</w:t>
      </w:r>
      <w:r>
        <w:rPr>
          <w:rFonts w:ascii="Abadi" w:hAnsi="Abadi" w:cs="ArialMT"/>
          <w:sz w:val="21"/>
          <w:szCs w:val="21"/>
        </w:rPr>
        <w:t xml:space="preserve"> </w:t>
      </w:r>
      <w:r w:rsidRPr="00C40978">
        <w:rPr>
          <w:rFonts w:ascii="Abadi" w:hAnsi="Abadi" w:cs="ArialMT"/>
          <w:sz w:val="21"/>
          <w:szCs w:val="21"/>
        </w:rPr>
        <w:t>Discusión y, en su caso, aprobación del dictamen signado por la Comisión</w:t>
      </w:r>
      <w:r>
        <w:rPr>
          <w:rFonts w:ascii="Abadi" w:hAnsi="Abadi" w:cs="ArialMT"/>
          <w:sz w:val="21"/>
          <w:szCs w:val="21"/>
        </w:rPr>
        <w:t xml:space="preserve"> </w:t>
      </w:r>
      <w:r w:rsidRPr="00C40978">
        <w:rPr>
          <w:rFonts w:ascii="Abadi" w:hAnsi="Abadi" w:cs="ArialMT"/>
          <w:sz w:val="21"/>
          <w:szCs w:val="21"/>
        </w:rPr>
        <w:t>de Seguridad Pública y Comunicaciones relativo a la propuesta de punto de</w:t>
      </w:r>
      <w:r>
        <w:rPr>
          <w:rFonts w:ascii="Abadi" w:hAnsi="Abadi" w:cs="ArialMT"/>
          <w:sz w:val="21"/>
          <w:szCs w:val="21"/>
        </w:rPr>
        <w:t xml:space="preserve"> </w:t>
      </w:r>
      <w:r w:rsidRPr="00C40978">
        <w:rPr>
          <w:rFonts w:ascii="Abadi" w:hAnsi="Abadi" w:cs="ArialMT"/>
          <w:sz w:val="21"/>
          <w:szCs w:val="21"/>
        </w:rPr>
        <w:t>acuerdo formulada ante la Sexagésima Cuarta Legislatura, por el diputado</w:t>
      </w:r>
      <w:r>
        <w:rPr>
          <w:rFonts w:ascii="Abadi" w:hAnsi="Abadi" w:cs="ArialMT"/>
          <w:sz w:val="21"/>
          <w:szCs w:val="21"/>
        </w:rPr>
        <w:t xml:space="preserve"> </w:t>
      </w:r>
      <w:r w:rsidRPr="00C40978">
        <w:rPr>
          <w:rFonts w:ascii="Abadi" w:hAnsi="Abadi" w:cs="ArialMT"/>
          <w:sz w:val="21"/>
          <w:szCs w:val="21"/>
        </w:rPr>
        <w:t>Ernesto Alejandro Prieto Gallardo, integrante del Grupo Parlamentario del</w:t>
      </w:r>
      <w:r>
        <w:rPr>
          <w:rFonts w:ascii="Abadi" w:hAnsi="Abadi" w:cs="ArialMT"/>
          <w:sz w:val="21"/>
          <w:szCs w:val="21"/>
        </w:rPr>
        <w:t xml:space="preserve"> </w:t>
      </w:r>
      <w:r w:rsidRPr="00C40978">
        <w:rPr>
          <w:rFonts w:ascii="Abadi" w:hAnsi="Abadi" w:cs="ArialMT"/>
          <w:sz w:val="21"/>
          <w:szCs w:val="21"/>
        </w:rPr>
        <w:t>Partido MORENA, para exhortar al Gobernador del Estado de Guanajuato</w:t>
      </w:r>
      <w:r>
        <w:rPr>
          <w:rFonts w:ascii="Abadi" w:hAnsi="Abadi" w:cs="ArialMT"/>
          <w:sz w:val="21"/>
          <w:szCs w:val="21"/>
        </w:rPr>
        <w:t xml:space="preserve"> </w:t>
      </w:r>
      <w:r w:rsidRPr="00C40978">
        <w:rPr>
          <w:rFonts w:ascii="Abadi" w:hAnsi="Abadi" w:cs="ArialMT"/>
          <w:sz w:val="21"/>
          <w:szCs w:val="21"/>
        </w:rPr>
        <w:t>el C. Diego Sinhue Rodríguez Vallejo a fin de que, en el ámbito de sus</w:t>
      </w:r>
      <w:r>
        <w:rPr>
          <w:rFonts w:ascii="Abadi" w:hAnsi="Abadi" w:cs="ArialMT"/>
          <w:sz w:val="21"/>
          <w:szCs w:val="21"/>
        </w:rPr>
        <w:t xml:space="preserve"> </w:t>
      </w:r>
      <w:r w:rsidRPr="00C40978">
        <w:rPr>
          <w:rFonts w:ascii="Abadi" w:hAnsi="Abadi" w:cs="ArialMT"/>
          <w:sz w:val="21"/>
          <w:szCs w:val="21"/>
        </w:rPr>
        <w:t>facultades, remueva al actual titular de la Secretaría de Seguridad Pública</w:t>
      </w:r>
      <w:r>
        <w:rPr>
          <w:rFonts w:ascii="Abadi" w:hAnsi="Abadi" w:cs="ArialMT"/>
          <w:sz w:val="21"/>
          <w:szCs w:val="21"/>
        </w:rPr>
        <w:t xml:space="preserve"> </w:t>
      </w:r>
      <w:r w:rsidRPr="00C40978">
        <w:rPr>
          <w:rFonts w:ascii="Abadi" w:hAnsi="Abadi" w:cs="ArialMT"/>
          <w:sz w:val="21"/>
          <w:szCs w:val="21"/>
        </w:rPr>
        <w:t>del Estado de Guanajuato el C. Alvar Cabeza De Vaca Appendini, debido a</w:t>
      </w:r>
      <w:r>
        <w:rPr>
          <w:rFonts w:ascii="Abadi" w:hAnsi="Abadi" w:cs="ArialMT"/>
          <w:sz w:val="21"/>
          <w:szCs w:val="21"/>
        </w:rPr>
        <w:t xml:space="preserve"> </w:t>
      </w:r>
      <w:r w:rsidRPr="00C40978">
        <w:rPr>
          <w:rFonts w:ascii="Abadi" w:hAnsi="Abadi" w:cs="ArialMT"/>
          <w:sz w:val="21"/>
          <w:szCs w:val="21"/>
        </w:rPr>
        <w:t>sus nulos resultados en la prevención social de la violencia y la delincuencia,</w:t>
      </w:r>
      <w:r>
        <w:rPr>
          <w:rFonts w:ascii="Abadi" w:hAnsi="Abadi" w:cs="ArialMT"/>
          <w:sz w:val="21"/>
          <w:szCs w:val="21"/>
        </w:rPr>
        <w:t xml:space="preserve"> </w:t>
      </w:r>
      <w:r w:rsidRPr="00C40978">
        <w:rPr>
          <w:rFonts w:ascii="Abadi" w:hAnsi="Abadi" w:cs="ArialMT"/>
          <w:sz w:val="21"/>
          <w:szCs w:val="21"/>
        </w:rPr>
        <w:t>seguridad, reinserción social y protección ciudadana, y como consecuencia</w:t>
      </w:r>
      <w:r>
        <w:rPr>
          <w:rFonts w:ascii="Abadi" w:hAnsi="Abadi" w:cs="ArialMT"/>
          <w:sz w:val="21"/>
          <w:szCs w:val="21"/>
        </w:rPr>
        <w:t xml:space="preserve"> </w:t>
      </w:r>
      <w:r w:rsidRPr="00C40978">
        <w:rPr>
          <w:rFonts w:ascii="Abadi" w:hAnsi="Abadi" w:cs="ArialMT"/>
          <w:sz w:val="21"/>
          <w:szCs w:val="21"/>
        </w:rPr>
        <w:t>de lo anterior, en ejercicio de sus facultades, designe a un nuevo Secretario</w:t>
      </w:r>
      <w:r>
        <w:rPr>
          <w:rFonts w:ascii="Abadi" w:hAnsi="Abadi" w:cs="ArialMT"/>
          <w:sz w:val="21"/>
          <w:szCs w:val="21"/>
        </w:rPr>
        <w:t xml:space="preserve"> </w:t>
      </w:r>
      <w:r w:rsidRPr="00C40978">
        <w:rPr>
          <w:rFonts w:ascii="Abadi" w:hAnsi="Abadi" w:cs="ArialMT"/>
          <w:sz w:val="21"/>
          <w:szCs w:val="21"/>
        </w:rPr>
        <w:t>de Seguridad Pública del Estado de Guanajuato.</w:t>
      </w:r>
      <w:r>
        <w:rPr>
          <w:rFonts w:ascii="Abadi" w:hAnsi="Abadi" w:cs="ArialMT"/>
          <w:sz w:val="21"/>
          <w:szCs w:val="21"/>
        </w:rPr>
        <w:t xml:space="preserve"> </w:t>
      </w:r>
      <w:r w:rsidRPr="0082153B">
        <w:rPr>
          <w:rFonts w:ascii="Abadi" w:hAnsi="Abadi" w:cs="ArialMT"/>
          <w:b/>
          <w:bCs/>
          <w:sz w:val="21"/>
          <w:szCs w:val="21"/>
        </w:rPr>
        <w:t>XXXII.-</w:t>
      </w:r>
      <w:r>
        <w:rPr>
          <w:rFonts w:ascii="Abadi" w:hAnsi="Abadi" w:cs="ArialMT"/>
          <w:sz w:val="21"/>
          <w:szCs w:val="21"/>
        </w:rPr>
        <w:t xml:space="preserve"> </w:t>
      </w:r>
      <w:r w:rsidRPr="00C40978">
        <w:rPr>
          <w:rFonts w:ascii="Abadi" w:hAnsi="Abadi" w:cs="ArialMT"/>
          <w:sz w:val="21"/>
          <w:szCs w:val="21"/>
        </w:rPr>
        <w:t>Discusión y, en su caso, aprobación del dictamen presentado por la</w:t>
      </w:r>
      <w:r>
        <w:rPr>
          <w:rFonts w:ascii="Abadi" w:hAnsi="Abadi" w:cs="ArialMT"/>
          <w:sz w:val="21"/>
          <w:szCs w:val="21"/>
        </w:rPr>
        <w:t xml:space="preserve"> </w:t>
      </w:r>
      <w:r w:rsidRPr="00C40978">
        <w:rPr>
          <w:rFonts w:ascii="Abadi" w:hAnsi="Abadi" w:cs="ArialMT"/>
          <w:sz w:val="21"/>
          <w:szCs w:val="21"/>
        </w:rPr>
        <w:t>Comisión de Seguridad Pública y Comunicaciones relativo a la propuesta</w:t>
      </w:r>
      <w:r>
        <w:rPr>
          <w:rFonts w:ascii="Abadi" w:hAnsi="Abadi" w:cs="ArialMT"/>
          <w:sz w:val="21"/>
          <w:szCs w:val="21"/>
        </w:rPr>
        <w:t xml:space="preserve"> </w:t>
      </w:r>
      <w:r w:rsidRPr="00C40978">
        <w:rPr>
          <w:rFonts w:ascii="Abadi" w:hAnsi="Abadi" w:cs="ArialMT"/>
          <w:sz w:val="21"/>
          <w:szCs w:val="21"/>
        </w:rPr>
        <w:t>de punto de acuerdo formulada ante la Sexagésima Cuarta Legislatura, por</w:t>
      </w:r>
      <w:r>
        <w:rPr>
          <w:rFonts w:ascii="Abadi" w:hAnsi="Abadi" w:cs="ArialMT"/>
          <w:sz w:val="21"/>
          <w:szCs w:val="21"/>
        </w:rPr>
        <w:t xml:space="preserve"> </w:t>
      </w:r>
      <w:r w:rsidRPr="00C40978">
        <w:rPr>
          <w:rFonts w:ascii="Abadi" w:hAnsi="Abadi" w:cs="ArialMT"/>
          <w:sz w:val="21"/>
          <w:szCs w:val="21"/>
        </w:rPr>
        <w:t>el Diputado Ernesto Alejandro Prieto Gallardo, integrante del Grupo</w:t>
      </w:r>
      <w:r>
        <w:rPr>
          <w:rFonts w:ascii="Abadi" w:hAnsi="Abadi" w:cs="ArialMT"/>
          <w:sz w:val="21"/>
          <w:szCs w:val="21"/>
        </w:rPr>
        <w:t xml:space="preserve"> </w:t>
      </w:r>
      <w:r w:rsidRPr="00C40978">
        <w:rPr>
          <w:rFonts w:ascii="Abadi" w:hAnsi="Abadi" w:cs="ArialMT"/>
          <w:sz w:val="21"/>
          <w:szCs w:val="21"/>
        </w:rPr>
        <w:t>Parlamentario del Partido MORENA, para exhortar al C. Presidente</w:t>
      </w:r>
      <w:r>
        <w:rPr>
          <w:rFonts w:ascii="Abadi" w:hAnsi="Abadi" w:cs="ArialMT"/>
          <w:sz w:val="21"/>
          <w:szCs w:val="21"/>
        </w:rPr>
        <w:t xml:space="preserve"> </w:t>
      </w:r>
      <w:r w:rsidRPr="00C40978">
        <w:rPr>
          <w:rFonts w:ascii="Abadi" w:hAnsi="Abadi" w:cs="ArialMT"/>
          <w:sz w:val="21"/>
          <w:szCs w:val="21"/>
        </w:rPr>
        <w:t>Municipal Héctor López Santillana del municipio de León a fin de que se les</w:t>
      </w:r>
      <w:r>
        <w:rPr>
          <w:rFonts w:ascii="Abadi" w:hAnsi="Abadi" w:cs="ArialMT"/>
          <w:sz w:val="21"/>
          <w:szCs w:val="21"/>
        </w:rPr>
        <w:t xml:space="preserve"> </w:t>
      </w:r>
      <w:r w:rsidRPr="00C40978">
        <w:rPr>
          <w:rFonts w:ascii="Abadi" w:hAnsi="Abadi" w:cs="ArialMT"/>
          <w:sz w:val="21"/>
          <w:szCs w:val="21"/>
        </w:rPr>
        <w:t>exija a los concesionarios del Sistema Integrado de Transporte (SIT) a no</w:t>
      </w:r>
      <w:r>
        <w:rPr>
          <w:rFonts w:ascii="Abadi" w:hAnsi="Abadi" w:cs="ArialMT"/>
          <w:sz w:val="21"/>
          <w:szCs w:val="21"/>
        </w:rPr>
        <w:t xml:space="preserve"> </w:t>
      </w:r>
      <w:r w:rsidRPr="00C40978">
        <w:rPr>
          <w:rFonts w:ascii="Abadi" w:hAnsi="Abadi" w:cs="ArialMT"/>
          <w:sz w:val="21"/>
          <w:szCs w:val="21"/>
        </w:rPr>
        <w:t>reducir la movilidad de las unidades, esto con la finalidad de que los usuarios</w:t>
      </w:r>
      <w:r>
        <w:rPr>
          <w:rFonts w:ascii="Abadi" w:hAnsi="Abadi" w:cs="ArialMT"/>
          <w:sz w:val="21"/>
          <w:szCs w:val="21"/>
        </w:rPr>
        <w:t xml:space="preserve"> </w:t>
      </w:r>
      <w:r w:rsidRPr="00C40978">
        <w:rPr>
          <w:rFonts w:ascii="Abadi" w:hAnsi="Abadi" w:cs="ArialMT"/>
          <w:sz w:val="21"/>
          <w:szCs w:val="21"/>
        </w:rPr>
        <w:t>a pesar de esta contingencia puedan seguir teniendo un transporte de</w:t>
      </w:r>
      <w:r>
        <w:rPr>
          <w:rFonts w:ascii="Abadi" w:hAnsi="Abadi" w:cs="ArialMT"/>
          <w:sz w:val="21"/>
          <w:szCs w:val="21"/>
        </w:rPr>
        <w:t xml:space="preserve"> </w:t>
      </w:r>
      <w:r w:rsidRPr="00C40978">
        <w:rPr>
          <w:rFonts w:ascii="Abadi" w:hAnsi="Abadi" w:cs="ArialMT"/>
          <w:sz w:val="21"/>
          <w:szCs w:val="21"/>
        </w:rPr>
        <w:t>calidad manteniendo la sana distancia de un metro y medio necesaria para</w:t>
      </w:r>
      <w:r>
        <w:rPr>
          <w:rFonts w:ascii="Abadi" w:hAnsi="Abadi" w:cs="ArialMT"/>
          <w:sz w:val="21"/>
          <w:szCs w:val="21"/>
        </w:rPr>
        <w:t xml:space="preserve"> </w:t>
      </w:r>
      <w:r w:rsidRPr="00C40978">
        <w:rPr>
          <w:rFonts w:ascii="Abadi" w:hAnsi="Abadi" w:cs="ArialMT"/>
          <w:sz w:val="21"/>
          <w:szCs w:val="21"/>
        </w:rPr>
        <w:t>evitar contagios de Covid-19.</w:t>
      </w:r>
      <w:r>
        <w:rPr>
          <w:rFonts w:ascii="Abadi" w:hAnsi="Abadi" w:cs="ArialMT"/>
          <w:sz w:val="21"/>
          <w:szCs w:val="21"/>
        </w:rPr>
        <w:t xml:space="preserve"> </w:t>
      </w:r>
      <w:r w:rsidRPr="0082153B">
        <w:rPr>
          <w:rFonts w:ascii="Abadi" w:hAnsi="Abadi" w:cs="ArialMT"/>
          <w:b/>
          <w:bCs/>
          <w:sz w:val="21"/>
          <w:szCs w:val="21"/>
        </w:rPr>
        <w:t>XXXIII.-</w:t>
      </w:r>
      <w:r>
        <w:rPr>
          <w:rFonts w:ascii="Abadi" w:hAnsi="Abadi" w:cs="ArialMT"/>
          <w:sz w:val="21"/>
          <w:szCs w:val="21"/>
        </w:rPr>
        <w:t xml:space="preserve"> </w:t>
      </w:r>
      <w:r w:rsidRPr="00C40978">
        <w:rPr>
          <w:rFonts w:ascii="Abadi" w:hAnsi="Abadi" w:cs="ArialMT"/>
          <w:sz w:val="21"/>
          <w:szCs w:val="21"/>
        </w:rPr>
        <w:t>Discusión y, en su caso, aprobación del dictamen suscrito por la Comisión</w:t>
      </w:r>
      <w:r>
        <w:rPr>
          <w:rFonts w:ascii="Abadi" w:hAnsi="Abadi" w:cs="ArialMT"/>
          <w:sz w:val="21"/>
          <w:szCs w:val="21"/>
        </w:rPr>
        <w:t xml:space="preserve"> </w:t>
      </w:r>
      <w:r w:rsidRPr="00C40978">
        <w:rPr>
          <w:rFonts w:ascii="Abadi" w:hAnsi="Abadi" w:cs="ArialMT"/>
          <w:sz w:val="21"/>
          <w:szCs w:val="21"/>
        </w:rPr>
        <w:t>de Seguridad Pública y Comunicaciones relativo a la propuesta de punto de</w:t>
      </w:r>
      <w:r>
        <w:rPr>
          <w:rFonts w:ascii="Abadi" w:hAnsi="Abadi" w:cs="ArialMT"/>
          <w:sz w:val="21"/>
          <w:szCs w:val="21"/>
        </w:rPr>
        <w:t xml:space="preserve"> </w:t>
      </w:r>
      <w:r w:rsidRPr="00C40978">
        <w:rPr>
          <w:rFonts w:ascii="Abadi" w:hAnsi="Abadi" w:cs="ArialMT"/>
          <w:sz w:val="21"/>
          <w:szCs w:val="21"/>
        </w:rPr>
        <w:t>acuerdo formulada ante la Sexagésima Cuarta Legislatura, por el diputado</w:t>
      </w:r>
      <w:r>
        <w:rPr>
          <w:rFonts w:ascii="Abadi" w:hAnsi="Abadi" w:cs="ArialMT"/>
          <w:sz w:val="21"/>
          <w:szCs w:val="21"/>
        </w:rPr>
        <w:t xml:space="preserve"> </w:t>
      </w:r>
      <w:r w:rsidRPr="00C40978">
        <w:rPr>
          <w:rFonts w:ascii="Abadi" w:hAnsi="Abadi" w:cs="ArialMT"/>
          <w:sz w:val="21"/>
          <w:szCs w:val="21"/>
        </w:rPr>
        <w:t>Ernesto Alejandro Prieto Gallardo, integrante del Grupo Parlamentario del</w:t>
      </w:r>
      <w:r>
        <w:rPr>
          <w:rFonts w:ascii="Abadi" w:hAnsi="Abadi" w:cs="ArialMT"/>
          <w:sz w:val="21"/>
          <w:szCs w:val="21"/>
        </w:rPr>
        <w:t xml:space="preserve"> </w:t>
      </w:r>
      <w:r w:rsidRPr="00C40978">
        <w:rPr>
          <w:rFonts w:ascii="Abadi" w:hAnsi="Abadi" w:cs="ArialMT"/>
          <w:sz w:val="21"/>
          <w:szCs w:val="21"/>
        </w:rPr>
        <w:t>Partido MORENA, para exhortar al Gobernador del Estado de Guanajuato</w:t>
      </w:r>
      <w:r>
        <w:rPr>
          <w:rFonts w:ascii="Abadi" w:hAnsi="Abadi" w:cs="ArialMT"/>
          <w:sz w:val="21"/>
          <w:szCs w:val="21"/>
        </w:rPr>
        <w:t xml:space="preserve"> </w:t>
      </w:r>
      <w:r w:rsidRPr="00C40978">
        <w:rPr>
          <w:rFonts w:ascii="Abadi" w:hAnsi="Abadi" w:cs="ArialMT"/>
          <w:sz w:val="21"/>
          <w:szCs w:val="21"/>
        </w:rPr>
        <w:t>el C. Diego Sinhue Rodríguez Vallejo a fin de que acuda a todas y cada una</w:t>
      </w:r>
      <w:r>
        <w:rPr>
          <w:rFonts w:ascii="Abadi" w:hAnsi="Abadi" w:cs="ArialMT"/>
          <w:sz w:val="21"/>
          <w:szCs w:val="21"/>
        </w:rPr>
        <w:t xml:space="preserve"> </w:t>
      </w:r>
      <w:r w:rsidRPr="00C40978">
        <w:rPr>
          <w:rFonts w:ascii="Abadi" w:hAnsi="Abadi" w:cs="ArialMT"/>
          <w:sz w:val="21"/>
          <w:szCs w:val="21"/>
        </w:rPr>
        <w:t>de mesas de seguridad que se realizan en conjunto con la Secretaría de</w:t>
      </w:r>
      <w:r>
        <w:rPr>
          <w:rFonts w:ascii="Abadi" w:hAnsi="Abadi" w:cs="ArialMT"/>
          <w:sz w:val="21"/>
          <w:szCs w:val="21"/>
        </w:rPr>
        <w:t xml:space="preserve"> </w:t>
      </w:r>
      <w:r w:rsidRPr="00C40978">
        <w:rPr>
          <w:rFonts w:ascii="Abadi" w:hAnsi="Abadi" w:cs="ArialMT"/>
          <w:sz w:val="21"/>
          <w:szCs w:val="21"/>
        </w:rPr>
        <w:t>Seguridad y Protección Ciudadana del Gobierno de México, asimismo, para</w:t>
      </w:r>
      <w:r>
        <w:rPr>
          <w:rFonts w:ascii="Abadi" w:hAnsi="Abadi" w:cs="ArialMT"/>
          <w:sz w:val="21"/>
          <w:szCs w:val="21"/>
        </w:rPr>
        <w:t xml:space="preserve"> </w:t>
      </w:r>
      <w:r w:rsidRPr="00C40978">
        <w:rPr>
          <w:rFonts w:ascii="Abadi" w:hAnsi="Abadi" w:cs="ArialMT"/>
          <w:sz w:val="21"/>
          <w:szCs w:val="21"/>
        </w:rPr>
        <w:t xml:space="preserve">que implemente una estrategia efectiva para </w:t>
      </w:r>
      <w:r w:rsidRPr="00C40978">
        <w:rPr>
          <w:rFonts w:ascii="Abadi" w:hAnsi="Abadi" w:cs="ArialMT"/>
          <w:sz w:val="21"/>
          <w:szCs w:val="21"/>
        </w:rPr>
        <w:t>combatir la incidencia delictiva</w:t>
      </w:r>
      <w:r>
        <w:rPr>
          <w:rFonts w:ascii="Abadi" w:hAnsi="Abadi" w:cs="ArialMT"/>
          <w:sz w:val="21"/>
          <w:szCs w:val="21"/>
        </w:rPr>
        <w:t xml:space="preserve"> </w:t>
      </w:r>
      <w:r w:rsidRPr="00C40978">
        <w:rPr>
          <w:rFonts w:ascii="Abadi" w:hAnsi="Abadi" w:cs="ArialMT"/>
          <w:sz w:val="21"/>
          <w:szCs w:val="21"/>
        </w:rPr>
        <w:t>cumpliendo con su obligación constitucional de brindar seguridad a los</w:t>
      </w:r>
      <w:r>
        <w:rPr>
          <w:rFonts w:ascii="Abadi" w:hAnsi="Abadi" w:cs="ArialMT"/>
          <w:sz w:val="21"/>
          <w:szCs w:val="21"/>
        </w:rPr>
        <w:t xml:space="preserve"> </w:t>
      </w:r>
      <w:r w:rsidRPr="00C40978">
        <w:rPr>
          <w:rFonts w:ascii="Abadi" w:hAnsi="Abadi" w:cs="ArialMT"/>
          <w:sz w:val="21"/>
          <w:szCs w:val="21"/>
        </w:rPr>
        <w:t>guanajuatenses y dentro de dicha estrategia se contemple, con base en las</w:t>
      </w:r>
      <w:r>
        <w:rPr>
          <w:rFonts w:ascii="Abadi" w:hAnsi="Abadi" w:cs="ArialMT"/>
          <w:sz w:val="21"/>
          <w:szCs w:val="21"/>
        </w:rPr>
        <w:t xml:space="preserve"> </w:t>
      </w:r>
      <w:r w:rsidRPr="00C40978">
        <w:rPr>
          <w:rFonts w:ascii="Abadi" w:hAnsi="Abadi" w:cs="ArialMT"/>
          <w:sz w:val="21"/>
          <w:szCs w:val="21"/>
        </w:rPr>
        <w:t>estadísticas reales sobre los resultados en materia de seguridad, la</w:t>
      </w:r>
      <w:r>
        <w:rPr>
          <w:rFonts w:ascii="Abadi" w:hAnsi="Abadi" w:cs="ArialMT"/>
          <w:sz w:val="21"/>
          <w:szCs w:val="21"/>
        </w:rPr>
        <w:t xml:space="preserve"> </w:t>
      </w:r>
      <w:r w:rsidRPr="00C40978">
        <w:rPr>
          <w:rFonts w:ascii="Abadi" w:hAnsi="Abadi" w:cs="ArialMT"/>
          <w:sz w:val="21"/>
          <w:szCs w:val="21"/>
        </w:rPr>
        <w:t>permanencia o remoción del Titular de la Secretaría de Seguridad Pública</w:t>
      </w:r>
      <w:r>
        <w:rPr>
          <w:rFonts w:ascii="Abadi" w:hAnsi="Abadi" w:cs="ArialMT"/>
          <w:sz w:val="21"/>
          <w:szCs w:val="21"/>
        </w:rPr>
        <w:t xml:space="preserve"> </w:t>
      </w:r>
      <w:r w:rsidRPr="00C40978">
        <w:rPr>
          <w:rFonts w:ascii="Abadi" w:hAnsi="Abadi" w:cs="ArialMT"/>
          <w:sz w:val="21"/>
          <w:szCs w:val="21"/>
        </w:rPr>
        <w:t>del Estado, el C. Alvar Cabeza De Vaca Appendini y, a su vez, ejecute los</w:t>
      </w:r>
      <w:r>
        <w:rPr>
          <w:rFonts w:ascii="Abadi" w:hAnsi="Abadi" w:cs="ArialMT"/>
          <w:sz w:val="21"/>
          <w:szCs w:val="21"/>
        </w:rPr>
        <w:t xml:space="preserve"> </w:t>
      </w:r>
      <w:r w:rsidRPr="00C40978">
        <w:rPr>
          <w:rFonts w:ascii="Abadi" w:hAnsi="Abadi" w:cs="ArialMT"/>
          <w:sz w:val="21"/>
          <w:szCs w:val="21"/>
        </w:rPr>
        <w:t>trámites pertinentes para remover al Fiscal General del Estado de</w:t>
      </w:r>
      <w:r>
        <w:rPr>
          <w:rFonts w:ascii="Abadi" w:hAnsi="Abadi" w:cs="ArialMT"/>
          <w:sz w:val="21"/>
          <w:szCs w:val="21"/>
        </w:rPr>
        <w:t xml:space="preserve"> </w:t>
      </w:r>
      <w:r w:rsidRPr="00C40978">
        <w:rPr>
          <w:rFonts w:ascii="Abadi" w:hAnsi="Abadi" w:cs="ArialMT"/>
          <w:sz w:val="21"/>
          <w:szCs w:val="21"/>
        </w:rPr>
        <w:t>Guanajuato, el C. Carlos Zamarripa Aguirre, de acuerdo con la facultad</w:t>
      </w:r>
      <w:r>
        <w:rPr>
          <w:rFonts w:ascii="Abadi" w:hAnsi="Abadi" w:cs="ArialMT"/>
          <w:sz w:val="21"/>
          <w:szCs w:val="21"/>
        </w:rPr>
        <w:t xml:space="preserve"> </w:t>
      </w:r>
      <w:r w:rsidRPr="00C40978">
        <w:rPr>
          <w:rFonts w:ascii="Abadi" w:hAnsi="Abadi" w:cs="ArialMT"/>
          <w:sz w:val="21"/>
          <w:szCs w:val="21"/>
        </w:rPr>
        <w:t>conferida en el artículo 77 fracción XI de la Constitución Local que posee el</w:t>
      </w:r>
      <w:r>
        <w:rPr>
          <w:rFonts w:ascii="Abadi" w:hAnsi="Abadi" w:cs="ArialMT"/>
          <w:sz w:val="21"/>
          <w:szCs w:val="21"/>
        </w:rPr>
        <w:t xml:space="preserve"> </w:t>
      </w:r>
      <w:r w:rsidRPr="00C40978">
        <w:rPr>
          <w:rFonts w:ascii="Abadi" w:hAnsi="Abadi" w:cs="ArialMT"/>
          <w:sz w:val="21"/>
          <w:szCs w:val="21"/>
        </w:rPr>
        <w:t>Poder Ejecutivo del Estado.</w:t>
      </w:r>
      <w:r>
        <w:rPr>
          <w:rFonts w:ascii="Abadi" w:hAnsi="Abadi" w:cs="ArialMT"/>
          <w:sz w:val="21"/>
          <w:szCs w:val="21"/>
        </w:rPr>
        <w:t xml:space="preserve"> </w:t>
      </w:r>
      <w:r w:rsidRPr="0082153B">
        <w:rPr>
          <w:rFonts w:ascii="Abadi" w:hAnsi="Abadi" w:cs="ArialMT"/>
          <w:b/>
          <w:bCs/>
          <w:sz w:val="21"/>
          <w:szCs w:val="21"/>
        </w:rPr>
        <w:t>XXXIV.-</w:t>
      </w:r>
      <w:r>
        <w:rPr>
          <w:rFonts w:ascii="Abadi" w:hAnsi="Abadi" w:cs="ArialMT"/>
          <w:sz w:val="21"/>
          <w:szCs w:val="21"/>
        </w:rPr>
        <w:t xml:space="preserve"> </w:t>
      </w:r>
      <w:r w:rsidRPr="00C40978">
        <w:rPr>
          <w:rFonts w:ascii="Abadi" w:hAnsi="Abadi" w:cs="ArialMT"/>
          <w:sz w:val="21"/>
          <w:szCs w:val="21"/>
        </w:rPr>
        <w:t>Discusión y, en su caso, aprobación del dictamen emitido por la Comisión</w:t>
      </w:r>
      <w:r>
        <w:rPr>
          <w:rFonts w:ascii="Abadi" w:hAnsi="Abadi" w:cs="ArialMT"/>
          <w:sz w:val="21"/>
          <w:szCs w:val="21"/>
        </w:rPr>
        <w:t xml:space="preserve"> </w:t>
      </w:r>
      <w:r w:rsidRPr="00C40978">
        <w:rPr>
          <w:rFonts w:ascii="Abadi" w:hAnsi="Abadi" w:cs="ArialMT"/>
          <w:sz w:val="21"/>
          <w:szCs w:val="21"/>
        </w:rPr>
        <w:t>de Seguridad Pública y Comunicaciones relativo a la propuesta de punto de</w:t>
      </w:r>
      <w:r>
        <w:rPr>
          <w:rFonts w:ascii="Abadi" w:hAnsi="Abadi" w:cs="ArialMT"/>
          <w:sz w:val="21"/>
          <w:szCs w:val="21"/>
        </w:rPr>
        <w:t xml:space="preserve"> </w:t>
      </w:r>
      <w:r w:rsidRPr="00C40978">
        <w:rPr>
          <w:rFonts w:ascii="Abadi" w:hAnsi="Abadi" w:cs="ArialMT"/>
          <w:sz w:val="21"/>
          <w:szCs w:val="21"/>
        </w:rPr>
        <w:t>acuerdo formulada en la Sexagésima Cuarta Legislatura, por el diputado</w:t>
      </w:r>
      <w:r>
        <w:rPr>
          <w:rFonts w:ascii="Abadi" w:hAnsi="Abadi" w:cs="ArialMT"/>
          <w:sz w:val="21"/>
          <w:szCs w:val="21"/>
        </w:rPr>
        <w:t xml:space="preserve"> </w:t>
      </w:r>
      <w:r w:rsidRPr="00C40978">
        <w:rPr>
          <w:rFonts w:ascii="Abadi" w:hAnsi="Abadi" w:cs="ArialMT"/>
          <w:sz w:val="21"/>
          <w:szCs w:val="21"/>
        </w:rPr>
        <w:t>Ernesto Alejandro Prieto Gallardo, integrante del Grupo Parlamentario del</w:t>
      </w:r>
      <w:r>
        <w:rPr>
          <w:rFonts w:ascii="Abadi" w:hAnsi="Abadi" w:cs="ArialMT"/>
          <w:sz w:val="21"/>
          <w:szCs w:val="21"/>
        </w:rPr>
        <w:t xml:space="preserve"> </w:t>
      </w:r>
      <w:r w:rsidRPr="00C40978">
        <w:rPr>
          <w:rFonts w:ascii="Abadi" w:hAnsi="Abadi" w:cs="ArialMT"/>
          <w:sz w:val="21"/>
          <w:szCs w:val="21"/>
        </w:rPr>
        <w:t>Partido MORENA, para exhortar al Gobernador del Estado de Guanajuato</w:t>
      </w:r>
      <w:r>
        <w:rPr>
          <w:rFonts w:ascii="Abadi" w:hAnsi="Abadi" w:cs="ArialMT"/>
          <w:sz w:val="21"/>
          <w:szCs w:val="21"/>
        </w:rPr>
        <w:t xml:space="preserve"> </w:t>
      </w:r>
      <w:r w:rsidRPr="00C40978">
        <w:rPr>
          <w:rFonts w:ascii="Abadi" w:hAnsi="Abadi" w:cs="ArialMT"/>
          <w:sz w:val="21"/>
          <w:szCs w:val="21"/>
        </w:rPr>
        <w:t>el C. Diego Sinhue Rodríguez Vallejo a fin de que, en el ámbito de sus</w:t>
      </w:r>
      <w:r>
        <w:rPr>
          <w:rFonts w:ascii="Abadi" w:hAnsi="Abadi" w:cs="ArialMT"/>
          <w:sz w:val="21"/>
          <w:szCs w:val="21"/>
        </w:rPr>
        <w:t xml:space="preserve"> </w:t>
      </w:r>
      <w:r w:rsidRPr="00C40978">
        <w:rPr>
          <w:rFonts w:ascii="Abadi" w:hAnsi="Abadi" w:cs="ArialMT"/>
          <w:sz w:val="21"/>
          <w:szCs w:val="21"/>
        </w:rPr>
        <w:t>facultades, remueva al actual titular de la Secretaría de Seguridad Pública</w:t>
      </w:r>
      <w:r>
        <w:rPr>
          <w:rFonts w:ascii="Abadi" w:hAnsi="Abadi" w:cs="ArialMT"/>
          <w:sz w:val="21"/>
          <w:szCs w:val="21"/>
        </w:rPr>
        <w:t xml:space="preserve"> </w:t>
      </w:r>
      <w:r w:rsidRPr="00C40978">
        <w:rPr>
          <w:rFonts w:ascii="Abadi" w:hAnsi="Abadi" w:cs="ArialMT"/>
          <w:sz w:val="21"/>
          <w:szCs w:val="21"/>
        </w:rPr>
        <w:t>del Estado de Guanajuato el C. Alvar Cabeza De Vaca Appendini, así como</w:t>
      </w:r>
      <w:r>
        <w:rPr>
          <w:rFonts w:ascii="Abadi" w:hAnsi="Abadi" w:cs="ArialMT"/>
          <w:sz w:val="21"/>
          <w:szCs w:val="21"/>
        </w:rPr>
        <w:t xml:space="preserve"> </w:t>
      </w:r>
      <w:r w:rsidRPr="00C40978">
        <w:rPr>
          <w:rFonts w:ascii="Abadi" w:hAnsi="Abadi" w:cs="ArialMT"/>
          <w:sz w:val="21"/>
          <w:szCs w:val="21"/>
        </w:rPr>
        <w:t>dar inicio al proceso de remoción al titular de la Fiscalía General del Estado</w:t>
      </w:r>
      <w:r>
        <w:rPr>
          <w:rFonts w:ascii="Abadi" w:hAnsi="Abadi" w:cs="ArialMT"/>
          <w:sz w:val="21"/>
          <w:szCs w:val="21"/>
        </w:rPr>
        <w:t xml:space="preserve"> </w:t>
      </w:r>
      <w:r w:rsidRPr="00C40978">
        <w:rPr>
          <w:rFonts w:ascii="Abadi" w:hAnsi="Abadi" w:cs="ArialMT"/>
          <w:sz w:val="21"/>
          <w:szCs w:val="21"/>
        </w:rPr>
        <w:t>de Guanajuato Carlos Zamarripa Aguirre debido a sus nulos resultados en</w:t>
      </w:r>
      <w:r>
        <w:rPr>
          <w:rFonts w:ascii="Abadi" w:hAnsi="Abadi" w:cs="ArialMT"/>
          <w:sz w:val="21"/>
          <w:szCs w:val="21"/>
        </w:rPr>
        <w:t xml:space="preserve"> </w:t>
      </w:r>
      <w:r w:rsidRPr="00C40978">
        <w:rPr>
          <w:rFonts w:ascii="Abadi" w:hAnsi="Abadi" w:cs="ArialMT"/>
          <w:sz w:val="21"/>
          <w:szCs w:val="21"/>
        </w:rPr>
        <w:t>la prevención social de la violencia y la delincuencia, seguridad, reinserción</w:t>
      </w:r>
      <w:r>
        <w:rPr>
          <w:rFonts w:ascii="Abadi" w:hAnsi="Abadi" w:cs="ArialMT"/>
          <w:sz w:val="21"/>
          <w:szCs w:val="21"/>
        </w:rPr>
        <w:t xml:space="preserve"> </w:t>
      </w:r>
      <w:r w:rsidRPr="00C40978">
        <w:rPr>
          <w:rFonts w:ascii="Abadi" w:hAnsi="Abadi" w:cs="ArialMT"/>
          <w:sz w:val="21"/>
          <w:szCs w:val="21"/>
        </w:rPr>
        <w:t>social y protección ciudadana, así como de la procuración de justicia en el</w:t>
      </w:r>
      <w:r>
        <w:rPr>
          <w:rFonts w:ascii="Abadi" w:hAnsi="Abadi" w:cs="ArialMT"/>
          <w:sz w:val="21"/>
          <w:szCs w:val="21"/>
        </w:rPr>
        <w:t xml:space="preserve"> </w:t>
      </w:r>
      <w:r w:rsidRPr="00C40978">
        <w:rPr>
          <w:rFonts w:ascii="Abadi" w:hAnsi="Abadi" w:cs="ArialMT"/>
          <w:sz w:val="21"/>
          <w:szCs w:val="21"/>
        </w:rPr>
        <w:t>Estado.</w:t>
      </w:r>
      <w:r>
        <w:rPr>
          <w:rFonts w:ascii="Abadi" w:hAnsi="Abadi" w:cs="ArialMT"/>
          <w:sz w:val="21"/>
          <w:szCs w:val="21"/>
        </w:rPr>
        <w:t xml:space="preserve"> </w:t>
      </w:r>
      <w:r w:rsidRPr="0082153B">
        <w:rPr>
          <w:rFonts w:ascii="Abadi" w:hAnsi="Abadi" w:cs="ArialMT"/>
          <w:b/>
          <w:bCs/>
          <w:sz w:val="21"/>
          <w:szCs w:val="21"/>
        </w:rPr>
        <w:t>XXXV.-</w:t>
      </w:r>
      <w:r>
        <w:rPr>
          <w:rFonts w:ascii="Abadi" w:hAnsi="Abadi" w:cs="ArialMT"/>
          <w:sz w:val="21"/>
          <w:szCs w:val="21"/>
        </w:rPr>
        <w:t xml:space="preserve"> </w:t>
      </w:r>
      <w:r w:rsidRPr="00C40978">
        <w:rPr>
          <w:rFonts w:ascii="Abadi" w:hAnsi="Abadi" w:cs="ArialMT"/>
          <w:sz w:val="21"/>
          <w:szCs w:val="21"/>
        </w:rPr>
        <w:t>Discusión y, en su caso, aprobación del dictamen presentado por la</w:t>
      </w:r>
      <w:r>
        <w:rPr>
          <w:rFonts w:ascii="Abadi" w:hAnsi="Abadi" w:cs="ArialMT"/>
          <w:sz w:val="21"/>
          <w:szCs w:val="21"/>
        </w:rPr>
        <w:t xml:space="preserve"> </w:t>
      </w:r>
      <w:r w:rsidRPr="00C40978">
        <w:rPr>
          <w:rFonts w:ascii="Abadi" w:hAnsi="Abadi" w:cs="ArialMT"/>
          <w:sz w:val="21"/>
          <w:szCs w:val="21"/>
        </w:rPr>
        <w:t>Comisión de Seguridad Pública y Comunicaciones relativo a la propuesta</w:t>
      </w:r>
      <w:r>
        <w:rPr>
          <w:rFonts w:ascii="Abadi" w:hAnsi="Abadi" w:cs="ArialMT"/>
          <w:sz w:val="21"/>
          <w:szCs w:val="21"/>
        </w:rPr>
        <w:t xml:space="preserve"> </w:t>
      </w:r>
      <w:r w:rsidRPr="00C40978">
        <w:rPr>
          <w:rFonts w:ascii="Abadi" w:hAnsi="Abadi" w:cs="ArialMT"/>
          <w:sz w:val="21"/>
          <w:szCs w:val="21"/>
        </w:rPr>
        <w:t>de punto de acuerdo formulada ante la Sexagésima Cuarta Legislatura, por</w:t>
      </w:r>
      <w:r>
        <w:rPr>
          <w:rFonts w:ascii="Abadi" w:hAnsi="Abadi" w:cs="ArialMT"/>
          <w:sz w:val="21"/>
          <w:szCs w:val="21"/>
        </w:rPr>
        <w:t xml:space="preserve"> </w:t>
      </w:r>
      <w:r w:rsidRPr="00C40978">
        <w:rPr>
          <w:rFonts w:ascii="Abadi" w:hAnsi="Abadi" w:cs="ArialMT"/>
          <w:sz w:val="21"/>
          <w:szCs w:val="21"/>
        </w:rPr>
        <w:t>la diputada María Magdalena Rosales Cruz, integrante del Grupo</w:t>
      </w:r>
      <w:r>
        <w:rPr>
          <w:rFonts w:ascii="Abadi" w:hAnsi="Abadi" w:cs="ArialMT"/>
          <w:sz w:val="21"/>
          <w:szCs w:val="21"/>
        </w:rPr>
        <w:t xml:space="preserve"> </w:t>
      </w:r>
      <w:r w:rsidRPr="00C40978">
        <w:rPr>
          <w:rFonts w:ascii="Abadi" w:hAnsi="Abadi" w:cs="ArialMT"/>
          <w:sz w:val="21"/>
          <w:szCs w:val="21"/>
        </w:rPr>
        <w:t>Parlamentario del Partido MORENA, para exhortar al Presidente Municipal</w:t>
      </w:r>
      <w:r>
        <w:rPr>
          <w:rFonts w:ascii="Abadi" w:hAnsi="Abadi" w:cs="ArialMT"/>
          <w:sz w:val="21"/>
          <w:szCs w:val="21"/>
        </w:rPr>
        <w:t xml:space="preserve"> </w:t>
      </w:r>
      <w:r w:rsidRPr="00C40978">
        <w:rPr>
          <w:rFonts w:ascii="Abadi" w:hAnsi="Abadi" w:cs="ArialMT"/>
          <w:sz w:val="21"/>
          <w:szCs w:val="21"/>
        </w:rPr>
        <w:t>de la Ciudad de Guanajuato, C. Mario Alejandro Navarro Saldaña, para que</w:t>
      </w:r>
      <w:r>
        <w:rPr>
          <w:rFonts w:ascii="Abadi" w:hAnsi="Abadi" w:cs="ArialMT"/>
          <w:sz w:val="21"/>
          <w:szCs w:val="21"/>
        </w:rPr>
        <w:t xml:space="preserve"> </w:t>
      </w:r>
      <w:r w:rsidRPr="00C40978">
        <w:rPr>
          <w:rFonts w:ascii="Abadi" w:hAnsi="Abadi" w:cs="ArialMT"/>
          <w:sz w:val="21"/>
          <w:szCs w:val="21"/>
        </w:rPr>
        <w:t>se investiguen las denuncias ciudadanas y resuelvan las faltas graves en</w:t>
      </w:r>
      <w:r>
        <w:rPr>
          <w:rFonts w:ascii="Abadi" w:hAnsi="Abadi" w:cs="ArialMT"/>
          <w:sz w:val="21"/>
          <w:szCs w:val="21"/>
        </w:rPr>
        <w:t xml:space="preserve"> </w:t>
      </w:r>
      <w:r w:rsidRPr="00C40978">
        <w:rPr>
          <w:rFonts w:ascii="Abadi" w:hAnsi="Abadi" w:cs="ArialMT"/>
          <w:sz w:val="21"/>
          <w:szCs w:val="21"/>
        </w:rPr>
        <w:t>que incurran los elementos de la Policía Municipal en contra los principios</w:t>
      </w:r>
      <w:r>
        <w:rPr>
          <w:rFonts w:ascii="Abadi" w:hAnsi="Abadi" w:cs="ArialMT"/>
          <w:sz w:val="21"/>
          <w:szCs w:val="21"/>
        </w:rPr>
        <w:t xml:space="preserve"> </w:t>
      </w:r>
      <w:r w:rsidRPr="00C40978">
        <w:rPr>
          <w:rFonts w:ascii="Abadi" w:hAnsi="Abadi" w:cs="ArialMT"/>
          <w:sz w:val="21"/>
          <w:szCs w:val="21"/>
        </w:rPr>
        <w:t>de actuación previstos en el Reglamento de Policía Preventiva del Municipio</w:t>
      </w:r>
      <w:r>
        <w:rPr>
          <w:rFonts w:ascii="Abadi" w:hAnsi="Abadi" w:cs="ArialMT"/>
          <w:sz w:val="21"/>
          <w:szCs w:val="21"/>
        </w:rPr>
        <w:t xml:space="preserve"> </w:t>
      </w:r>
      <w:r w:rsidRPr="00C40978">
        <w:rPr>
          <w:rFonts w:ascii="Abadi" w:hAnsi="Abadi" w:cs="ArialMT"/>
          <w:sz w:val="21"/>
          <w:szCs w:val="21"/>
        </w:rPr>
        <w:t>de Guanajuato y normas disciplinas del cuerpo policial; así mismo para que</w:t>
      </w:r>
      <w:r>
        <w:rPr>
          <w:rFonts w:ascii="Abadi" w:hAnsi="Abadi" w:cs="ArialMT"/>
          <w:sz w:val="21"/>
          <w:szCs w:val="21"/>
        </w:rPr>
        <w:t xml:space="preserve"> </w:t>
      </w:r>
      <w:r w:rsidRPr="00C40978">
        <w:rPr>
          <w:rFonts w:ascii="Abadi" w:hAnsi="Abadi" w:cs="ArialMT"/>
          <w:sz w:val="21"/>
          <w:szCs w:val="21"/>
        </w:rPr>
        <w:t>establezca mecanismos de vigilancia que garanticen que el correcto actuar</w:t>
      </w:r>
      <w:r>
        <w:rPr>
          <w:rFonts w:ascii="Abadi" w:hAnsi="Abadi" w:cs="ArialMT"/>
          <w:sz w:val="21"/>
          <w:szCs w:val="21"/>
        </w:rPr>
        <w:t xml:space="preserve"> </w:t>
      </w:r>
      <w:r w:rsidRPr="00C40978">
        <w:rPr>
          <w:rFonts w:ascii="Abadi" w:hAnsi="Abadi" w:cs="ArialMT"/>
          <w:sz w:val="21"/>
          <w:szCs w:val="21"/>
        </w:rPr>
        <w:t>de los elementos de la Policía Municipal.</w:t>
      </w:r>
      <w:r>
        <w:rPr>
          <w:rFonts w:ascii="Abadi" w:hAnsi="Abadi" w:cs="ArialMT"/>
          <w:sz w:val="21"/>
          <w:szCs w:val="21"/>
        </w:rPr>
        <w:t xml:space="preserve"> </w:t>
      </w:r>
      <w:r w:rsidRPr="0082153B">
        <w:rPr>
          <w:rFonts w:ascii="Abadi" w:hAnsi="Abadi" w:cs="ArialMT"/>
          <w:b/>
          <w:bCs/>
          <w:sz w:val="21"/>
          <w:szCs w:val="21"/>
        </w:rPr>
        <w:t>XXXVI.-</w:t>
      </w:r>
      <w:r w:rsidRPr="00C40978">
        <w:rPr>
          <w:rFonts w:ascii="Abadi" w:hAnsi="Abadi" w:cs="ArialMT"/>
          <w:sz w:val="21"/>
          <w:szCs w:val="21"/>
        </w:rPr>
        <w:lastRenderedPageBreak/>
        <w:t>Discusión y, en su caso, aprobación del dictamen suscrito por la Comisión</w:t>
      </w:r>
      <w:r>
        <w:rPr>
          <w:rFonts w:ascii="Abadi" w:hAnsi="Abadi" w:cs="ArialMT"/>
          <w:sz w:val="21"/>
          <w:szCs w:val="21"/>
        </w:rPr>
        <w:t xml:space="preserve"> </w:t>
      </w:r>
      <w:r w:rsidRPr="00C40978">
        <w:rPr>
          <w:rFonts w:ascii="Abadi" w:hAnsi="Abadi" w:cs="ArialMT"/>
          <w:sz w:val="21"/>
          <w:szCs w:val="21"/>
        </w:rPr>
        <w:t>de Gobernación y Puntos Constitucionales relativo a la iniciativa formulada</w:t>
      </w:r>
      <w:r>
        <w:rPr>
          <w:rFonts w:ascii="Abadi" w:hAnsi="Abadi" w:cs="ArialMT"/>
          <w:sz w:val="21"/>
          <w:szCs w:val="21"/>
        </w:rPr>
        <w:t xml:space="preserve"> </w:t>
      </w:r>
      <w:r w:rsidRPr="00C40978">
        <w:rPr>
          <w:rFonts w:ascii="Abadi" w:hAnsi="Abadi" w:cs="ArialMT"/>
          <w:sz w:val="21"/>
          <w:szCs w:val="21"/>
        </w:rPr>
        <w:t>por el diputado Ernesto Alejandro Prieto Gallardo integrante del Grupo</w:t>
      </w:r>
      <w:r>
        <w:rPr>
          <w:rFonts w:ascii="Abadi" w:hAnsi="Abadi" w:cs="ArialMT"/>
          <w:sz w:val="21"/>
          <w:szCs w:val="21"/>
        </w:rPr>
        <w:t xml:space="preserve"> </w:t>
      </w:r>
      <w:r w:rsidRPr="00C40978">
        <w:rPr>
          <w:rFonts w:ascii="Abadi" w:hAnsi="Abadi" w:cs="ArialMT"/>
          <w:sz w:val="21"/>
          <w:szCs w:val="21"/>
        </w:rPr>
        <w:t>Parlamentario del Partido MORENA, a fin de reformar los artículos 20 y 21</w:t>
      </w:r>
      <w:r>
        <w:rPr>
          <w:rFonts w:ascii="Abadi" w:hAnsi="Abadi" w:cs="ArialMT"/>
          <w:sz w:val="21"/>
          <w:szCs w:val="21"/>
        </w:rPr>
        <w:t xml:space="preserve"> </w:t>
      </w:r>
      <w:r w:rsidRPr="00C40978">
        <w:rPr>
          <w:rFonts w:ascii="Abadi" w:hAnsi="Abadi" w:cs="ArialMT"/>
          <w:sz w:val="21"/>
          <w:szCs w:val="21"/>
        </w:rPr>
        <w:t>de la Constitución Política para el Estado de Guanajuato, ante la</w:t>
      </w:r>
      <w:r>
        <w:rPr>
          <w:rFonts w:ascii="Abadi" w:hAnsi="Abadi" w:cs="ArialMT"/>
          <w:sz w:val="21"/>
          <w:szCs w:val="21"/>
        </w:rPr>
        <w:t xml:space="preserve"> </w:t>
      </w:r>
      <w:r w:rsidRPr="00C40978">
        <w:rPr>
          <w:rFonts w:ascii="Abadi" w:hAnsi="Abadi" w:cs="ArialMT"/>
          <w:sz w:val="21"/>
          <w:szCs w:val="21"/>
        </w:rPr>
        <w:t>Sexagésima Cuarta Legislatura.</w:t>
      </w:r>
      <w:r>
        <w:rPr>
          <w:rFonts w:ascii="Abadi" w:hAnsi="Abadi" w:cs="ArialMT"/>
          <w:sz w:val="21"/>
          <w:szCs w:val="21"/>
        </w:rPr>
        <w:t xml:space="preserve"> </w:t>
      </w:r>
      <w:r w:rsidRPr="0082153B">
        <w:rPr>
          <w:rFonts w:ascii="Abadi" w:hAnsi="Abadi" w:cs="ArialMT"/>
          <w:b/>
          <w:bCs/>
          <w:sz w:val="21"/>
          <w:szCs w:val="21"/>
        </w:rPr>
        <w:t>XXXVII.-</w:t>
      </w:r>
      <w:r w:rsidRPr="00C40978">
        <w:rPr>
          <w:rFonts w:ascii="Abadi" w:hAnsi="Abadi" w:cs="ArialMT"/>
          <w:sz w:val="21"/>
          <w:szCs w:val="21"/>
        </w:rPr>
        <w:t>Discusión y, en su caso, aprobación del dictamen suscrito por la Comisión</w:t>
      </w:r>
      <w:r>
        <w:rPr>
          <w:rFonts w:ascii="Abadi" w:hAnsi="Abadi" w:cs="ArialMT"/>
          <w:sz w:val="21"/>
          <w:szCs w:val="21"/>
        </w:rPr>
        <w:t xml:space="preserve"> </w:t>
      </w:r>
      <w:r w:rsidRPr="00C40978">
        <w:rPr>
          <w:rFonts w:ascii="Abadi" w:hAnsi="Abadi" w:cs="ArialMT"/>
          <w:sz w:val="21"/>
          <w:szCs w:val="21"/>
        </w:rPr>
        <w:t>de Gobernación y Puntos Constitucionales relativo a las iniciativas, la</w:t>
      </w:r>
      <w:r>
        <w:rPr>
          <w:rFonts w:ascii="Abadi" w:hAnsi="Abadi" w:cs="ArialMT"/>
          <w:sz w:val="21"/>
          <w:szCs w:val="21"/>
        </w:rPr>
        <w:t xml:space="preserve"> </w:t>
      </w:r>
      <w:r w:rsidRPr="00C40978">
        <w:rPr>
          <w:rFonts w:ascii="Abadi" w:hAnsi="Abadi" w:cs="ArialMT"/>
          <w:sz w:val="21"/>
          <w:szCs w:val="21"/>
        </w:rPr>
        <w:t>primera suscrita por diputadas y diputados integrantes del Grupo</w:t>
      </w:r>
      <w:r>
        <w:rPr>
          <w:rFonts w:ascii="Abadi" w:hAnsi="Abadi" w:cs="ArialMT"/>
          <w:sz w:val="21"/>
          <w:szCs w:val="21"/>
        </w:rPr>
        <w:t xml:space="preserve"> </w:t>
      </w:r>
      <w:r w:rsidRPr="00C40978">
        <w:rPr>
          <w:rFonts w:ascii="Abadi" w:hAnsi="Abadi" w:cs="ArialMT"/>
          <w:sz w:val="21"/>
          <w:szCs w:val="21"/>
        </w:rPr>
        <w:t>Parlamentario del Partido Acción Nacional, a efecto de reformar el artículo</w:t>
      </w:r>
      <w:r>
        <w:rPr>
          <w:rFonts w:ascii="Abadi" w:hAnsi="Abadi" w:cs="ArialMT"/>
          <w:sz w:val="21"/>
          <w:szCs w:val="21"/>
        </w:rPr>
        <w:t xml:space="preserve"> </w:t>
      </w:r>
      <w:r w:rsidRPr="00C40978">
        <w:rPr>
          <w:rFonts w:ascii="Abadi" w:hAnsi="Abadi" w:cs="ArialMT"/>
          <w:sz w:val="21"/>
          <w:szCs w:val="21"/>
        </w:rPr>
        <w:t>24 bis y adicionar una fracción VI al artículo 4, recorriéndose las</w:t>
      </w:r>
      <w:r>
        <w:rPr>
          <w:rFonts w:ascii="Abadi" w:hAnsi="Abadi" w:cs="ArialMT"/>
          <w:sz w:val="21"/>
          <w:szCs w:val="21"/>
        </w:rPr>
        <w:t xml:space="preserve"> </w:t>
      </w:r>
      <w:r w:rsidRPr="00C40978">
        <w:rPr>
          <w:rFonts w:ascii="Abadi" w:hAnsi="Abadi" w:cs="ArialMT"/>
          <w:sz w:val="21"/>
          <w:szCs w:val="21"/>
        </w:rPr>
        <w:t>subsecuentes de la Ley de Planeación para el Estado de Guanajuato; así</w:t>
      </w:r>
      <w:r>
        <w:rPr>
          <w:rFonts w:ascii="Abadi" w:hAnsi="Abadi" w:cs="ArialMT"/>
          <w:sz w:val="21"/>
          <w:szCs w:val="21"/>
        </w:rPr>
        <w:t xml:space="preserve"> </w:t>
      </w:r>
      <w:r w:rsidRPr="00C40978">
        <w:rPr>
          <w:rFonts w:ascii="Abadi" w:hAnsi="Abadi" w:cs="ArialMT"/>
          <w:sz w:val="21"/>
          <w:szCs w:val="21"/>
        </w:rPr>
        <w:t>como reformar los artículos 5 y 48; adicionar el artículo 45 bis y modificar la</w:t>
      </w:r>
      <w:r>
        <w:rPr>
          <w:rFonts w:ascii="Abadi" w:hAnsi="Abadi" w:cs="ArialMT"/>
          <w:sz w:val="21"/>
          <w:szCs w:val="21"/>
        </w:rPr>
        <w:t xml:space="preserve"> </w:t>
      </w:r>
      <w:r w:rsidRPr="00C40978">
        <w:rPr>
          <w:rFonts w:ascii="Abadi" w:hAnsi="Abadi" w:cs="ArialMT"/>
          <w:sz w:val="21"/>
          <w:szCs w:val="21"/>
        </w:rPr>
        <w:t>nomenclatura del Capítulo IV, para que se denomine “De la Perspectiva de</w:t>
      </w:r>
      <w:r>
        <w:rPr>
          <w:rFonts w:ascii="Abadi" w:hAnsi="Abadi" w:cs="ArialMT"/>
          <w:sz w:val="21"/>
          <w:szCs w:val="21"/>
        </w:rPr>
        <w:t xml:space="preserve"> </w:t>
      </w:r>
      <w:r w:rsidRPr="00C40978">
        <w:rPr>
          <w:rFonts w:ascii="Abadi" w:hAnsi="Abadi" w:cs="ArialMT"/>
          <w:sz w:val="21"/>
          <w:szCs w:val="21"/>
        </w:rPr>
        <w:t>Familia y el Fortalecimiento Familiar” de la Ley Sobre el Sistema Estatal de</w:t>
      </w:r>
      <w:r>
        <w:rPr>
          <w:rFonts w:ascii="Abadi" w:hAnsi="Abadi" w:cs="ArialMT"/>
          <w:sz w:val="21"/>
          <w:szCs w:val="21"/>
        </w:rPr>
        <w:t xml:space="preserve"> </w:t>
      </w:r>
      <w:r w:rsidRPr="00C40978">
        <w:rPr>
          <w:rFonts w:ascii="Abadi" w:hAnsi="Abadi" w:cs="ArialMT"/>
          <w:sz w:val="21"/>
          <w:szCs w:val="21"/>
        </w:rPr>
        <w:t xml:space="preserve">Asistencia Social </w:t>
      </w:r>
      <w:r w:rsidRPr="00C40978">
        <w:rPr>
          <w:rFonts w:ascii="Abadi" w:hAnsi="Abadi" w:cs="Arial-ItalicMT"/>
          <w:i/>
          <w:iCs/>
          <w:sz w:val="21"/>
          <w:szCs w:val="21"/>
        </w:rPr>
        <w:t>en lo que corresponde al primero de los ordenamientos,</w:t>
      </w:r>
      <w:r>
        <w:rPr>
          <w:rFonts w:ascii="Abadi" w:hAnsi="Abadi" w:cs="Arial-ItalicMT"/>
          <w:i/>
          <w:iCs/>
          <w:sz w:val="21"/>
          <w:szCs w:val="21"/>
        </w:rPr>
        <w:t xml:space="preserve"> </w:t>
      </w:r>
      <w:r w:rsidRPr="00C40978">
        <w:rPr>
          <w:rFonts w:ascii="Abadi" w:hAnsi="Abadi" w:cs="ArialMT"/>
          <w:sz w:val="21"/>
          <w:szCs w:val="21"/>
        </w:rPr>
        <w:t>ante la Sexagésima Cuarta Legislatura y, la segunda formulada por las</w:t>
      </w:r>
      <w:r>
        <w:rPr>
          <w:rFonts w:ascii="Abadi" w:hAnsi="Abadi" w:cs="ArialMT"/>
          <w:sz w:val="21"/>
          <w:szCs w:val="21"/>
        </w:rPr>
        <w:t xml:space="preserve"> </w:t>
      </w:r>
      <w:r w:rsidRPr="00C40978">
        <w:rPr>
          <w:rFonts w:ascii="Abadi" w:hAnsi="Abadi" w:cs="ArialMT"/>
          <w:sz w:val="21"/>
          <w:szCs w:val="21"/>
        </w:rPr>
        <w:t>diputadas y los diputados integrantes del Grupo Parlamentario del Partido</w:t>
      </w:r>
      <w:r>
        <w:rPr>
          <w:rFonts w:ascii="Abadi" w:hAnsi="Abadi" w:cs="ArialMT"/>
          <w:sz w:val="21"/>
          <w:szCs w:val="21"/>
        </w:rPr>
        <w:t xml:space="preserve"> </w:t>
      </w:r>
      <w:r w:rsidRPr="00C40978">
        <w:rPr>
          <w:rFonts w:ascii="Abadi" w:hAnsi="Abadi" w:cs="ArialMT"/>
          <w:sz w:val="21"/>
          <w:szCs w:val="21"/>
        </w:rPr>
        <w:t>Acción Nacional a efecto de reformar el artículo 24 bis de la Ley de</w:t>
      </w:r>
      <w:r>
        <w:rPr>
          <w:rFonts w:ascii="Abadi" w:hAnsi="Abadi" w:cs="ArialMT"/>
          <w:sz w:val="21"/>
          <w:szCs w:val="21"/>
        </w:rPr>
        <w:t xml:space="preserve"> </w:t>
      </w:r>
      <w:r w:rsidRPr="00C40978">
        <w:rPr>
          <w:rFonts w:ascii="Abadi" w:hAnsi="Abadi" w:cs="ArialMT"/>
          <w:sz w:val="21"/>
          <w:szCs w:val="21"/>
        </w:rPr>
        <w:t>Planeación para el Estado de Guanajuato y el artículo 38 de la Ley para la</w:t>
      </w:r>
      <w:r>
        <w:rPr>
          <w:rFonts w:ascii="Abadi" w:hAnsi="Abadi" w:cs="ArialMT"/>
          <w:sz w:val="21"/>
          <w:szCs w:val="21"/>
        </w:rPr>
        <w:t xml:space="preserve"> </w:t>
      </w:r>
      <w:r w:rsidRPr="00C40978">
        <w:rPr>
          <w:rFonts w:ascii="Abadi" w:hAnsi="Abadi" w:cs="ArialMT"/>
          <w:sz w:val="21"/>
          <w:szCs w:val="21"/>
        </w:rPr>
        <w:t xml:space="preserve">Igualdad entre Hombres y Mujeres del Estado de Guanajuato, </w:t>
      </w:r>
      <w:r w:rsidRPr="00C40978">
        <w:rPr>
          <w:rFonts w:ascii="Abadi" w:hAnsi="Abadi" w:cs="Arial-ItalicMT"/>
          <w:i/>
          <w:iCs/>
          <w:sz w:val="21"/>
          <w:szCs w:val="21"/>
        </w:rPr>
        <w:t>en la parte</w:t>
      </w:r>
      <w:r>
        <w:rPr>
          <w:rFonts w:ascii="Abadi" w:hAnsi="Abadi" w:cs="Arial-ItalicMT"/>
          <w:i/>
          <w:iCs/>
          <w:sz w:val="21"/>
          <w:szCs w:val="21"/>
        </w:rPr>
        <w:t xml:space="preserve"> </w:t>
      </w:r>
      <w:r w:rsidRPr="00C40978">
        <w:rPr>
          <w:rFonts w:ascii="Abadi" w:hAnsi="Abadi" w:cs="Arial-ItalicMT"/>
          <w:i/>
          <w:iCs/>
          <w:sz w:val="21"/>
          <w:szCs w:val="21"/>
        </w:rPr>
        <w:t>correspondiente al primero de los ordenamientos.</w:t>
      </w:r>
      <w:r>
        <w:rPr>
          <w:rFonts w:ascii="Abadi" w:hAnsi="Abadi" w:cs="Arial-ItalicMT"/>
          <w:i/>
          <w:iCs/>
          <w:sz w:val="21"/>
          <w:szCs w:val="21"/>
        </w:rPr>
        <w:t xml:space="preserve"> </w:t>
      </w:r>
      <w:r w:rsidRPr="00C73436">
        <w:rPr>
          <w:rFonts w:ascii="Abadi" w:hAnsi="Abadi" w:cs="ArialMT"/>
          <w:b/>
          <w:bCs/>
          <w:sz w:val="21"/>
          <w:szCs w:val="21"/>
        </w:rPr>
        <w:t>XXXVIII.-</w:t>
      </w:r>
      <w:r>
        <w:rPr>
          <w:rFonts w:ascii="Abadi" w:hAnsi="Abadi" w:cs="ArialMT"/>
          <w:sz w:val="21"/>
          <w:szCs w:val="21"/>
        </w:rPr>
        <w:t xml:space="preserve"> </w:t>
      </w:r>
      <w:r w:rsidRPr="00C40978">
        <w:rPr>
          <w:rFonts w:ascii="Abadi" w:hAnsi="Abadi" w:cs="ArialMT"/>
          <w:sz w:val="21"/>
          <w:szCs w:val="21"/>
        </w:rPr>
        <w:t>Discusión y, en su caso, aprobación del dictamen suscrito por la Comisión</w:t>
      </w:r>
      <w:r>
        <w:rPr>
          <w:rFonts w:ascii="Abadi" w:hAnsi="Abadi" w:cs="ArialMT"/>
          <w:sz w:val="21"/>
          <w:szCs w:val="21"/>
        </w:rPr>
        <w:t xml:space="preserve"> </w:t>
      </w:r>
      <w:r w:rsidRPr="00C40978">
        <w:rPr>
          <w:rFonts w:ascii="Abadi" w:hAnsi="Abadi" w:cs="ArialMT"/>
          <w:sz w:val="21"/>
          <w:szCs w:val="21"/>
        </w:rPr>
        <w:t>de Gobernación y Puntos Constitucionales relativo a las iniciativas, la</w:t>
      </w:r>
      <w:r>
        <w:rPr>
          <w:rFonts w:ascii="Abadi" w:hAnsi="Abadi" w:cs="ArialMT"/>
          <w:sz w:val="21"/>
          <w:szCs w:val="21"/>
        </w:rPr>
        <w:t xml:space="preserve"> </w:t>
      </w:r>
      <w:r w:rsidRPr="00C40978">
        <w:rPr>
          <w:rFonts w:ascii="Abadi" w:hAnsi="Abadi" w:cs="ArialMT"/>
          <w:sz w:val="21"/>
          <w:szCs w:val="21"/>
        </w:rPr>
        <w:t>primera suscrita por el diputado Juan Elias Chávez de la Representación</w:t>
      </w:r>
      <w:r>
        <w:rPr>
          <w:rFonts w:ascii="Abadi" w:hAnsi="Abadi" w:cs="ArialMT"/>
          <w:sz w:val="21"/>
          <w:szCs w:val="21"/>
        </w:rPr>
        <w:t xml:space="preserve"> </w:t>
      </w:r>
      <w:r w:rsidRPr="00C40978">
        <w:rPr>
          <w:rFonts w:ascii="Abadi" w:hAnsi="Abadi" w:cs="ArialMT"/>
          <w:sz w:val="21"/>
          <w:szCs w:val="21"/>
        </w:rPr>
        <w:t>Parlamentaria del Partido Nueva Alianza, a efecto de reformar la fracción II</w:t>
      </w:r>
      <w:r>
        <w:rPr>
          <w:rFonts w:ascii="Abadi" w:hAnsi="Abadi" w:cs="ArialMT"/>
          <w:sz w:val="21"/>
          <w:szCs w:val="21"/>
        </w:rPr>
        <w:t xml:space="preserve"> </w:t>
      </w:r>
      <w:r w:rsidRPr="00C40978">
        <w:rPr>
          <w:rFonts w:ascii="Abadi" w:hAnsi="Abadi" w:cs="ArialMT"/>
          <w:sz w:val="21"/>
          <w:szCs w:val="21"/>
        </w:rPr>
        <w:t>del artículo 23, y adicionar los artículos 23 Quáter, 23 Quinquies,</w:t>
      </w:r>
      <w:r>
        <w:rPr>
          <w:rFonts w:ascii="Abadi" w:hAnsi="Abadi" w:cs="ArialMT"/>
          <w:sz w:val="21"/>
          <w:szCs w:val="21"/>
        </w:rPr>
        <w:t xml:space="preserve"> </w:t>
      </w:r>
      <w:r w:rsidRPr="00C40978">
        <w:rPr>
          <w:rFonts w:ascii="Abadi" w:hAnsi="Abadi" w:cs="ArialMT"/>
          <w:sz w:val="21"/>
          <w:szCs w:val="21"/>
        </w:rPr>
        <w:t>recorriéndose en su orden el actual artículo 23 Quáter para pasar a ser 23</w:t>
      </w:r>
      <w:r>
        <w:rPr>
          <w:rFonts w:ascii="Abadi" w:hAnsi="Abadi" w:cs="ArialMT"/>
          <w:sz w:val="21"/>
          <w:szCs w:val="21"/>
        </w:rPr>
        <w:t xml:space="preserve"> </w:t>
      </w:r>
      <w:r w:rsidRPr="00C40978">
        <w:rPr>
          <w:rFonts w:ascii="Abadi" w:hAnsi="Abadi" w:cs="ArialMT"/>
          <w:sz w:val="21"/>
          <w:szCs w:val="21"/>
        </w:rPr>
        <w:t>Sexies, las fracciones XII y XIII del artículo 46 de la Ley del Trabajo de los</w:t>
      </w:r>
      <w:r>
        <w:rPr>
          <w:rFonts w:ascii="Abadi" w:hAnsi="Abadi" w:cs="ArialMT"/>
          <w:sz w:val="21"/>
          <w:szCs w:val="21"/>
        </w:rPr>
        <w:t xml:space="preserve"> </w:t>
      </w:r>
      <w:r w:rsidRPr="00C40978">
        <w:rPr>
          <w:rFonts w:ascii="Abadi" w:hAnsi="Abadi" w:cs="ArialMT"/>
          <w:sz w:val="21"/>
          <w:szCs w:val="21"/>
        </w:rPr>
        <w:t>Servidores Públicos al Servicio del Estado y de los Municipios ante la</w:t>
      </w:r>
      <w:r>
        <w:rPr>
          <w:rFonts w:ascii="Abadi" w:hAnsi="Abadi" w:cs="ArialMT"/>
          <w:sz w:val="21"/>
          <w:szCs w:val="21"/>
        </w:rPr>
        <w:t xml:space="preserve"> </w:t>
      </w:r>
      <w:r w:rsidRPr="00C40978">
        <w:rPr>
          <w:rFonts w:ascii="Abadi" w:hAnsi="Abadi" w:cs="ArialMT"/>
          <w:sz w:val="21"/>
          <w:szCs w:val="21"/>
        </w:rPr>
        <w:t>Sexagésima Cuarta Legislatura, y, la segunda suscrita por diputadas y</w:t>
      </w:r>
      <w:r>
        <w:rPr>
          <w:rFonts w:ascii="Abadi" w:hAnsi="Abadi" w:cs="ArialMT"/>
          <w:sz w:val="21"/>
          <w:szCs w:val="21"/>
        </w:rPr>
        <w:t xml:space="preserve"> </w:t>
      </w:r>
      <w:r w:rsidRPr="00C40978">
        <w:rPr>
          <w:rFonts w:ascii="Abadi" w:hAnsi="Abadi" w:cs="ArialMT"/>
          <w:sz w:val="21"/>
          <w:szCs w:val="21"/>
        </w:rPr>
        <w:t>diputados integrantes del Grupo Parlamentario del Partido Acción Nacional</w:t>
      </w:r>
      <w:r>
        <w:rPr>
          <w:rFonts w:ascii="Abadi" w:hAnsi="Abadi" w:cs="ArialMT"/>
          <w:sz w:val="21"/>
          <w:szCs w:val="21"/>
        </w:rPr>
        <w:t xml:space="preserve"> </w:t>
      </w:r>
      <w:r w:rsidRPr="00C40978">
        <w:rPr>
          <w:rFonts w:ascii="Abadi" w:hAnsi="Abadi" w:cs="ArialMT"/>
          <w:sz w:val="21"/>
          <w:szCs w:val="21"/>
        </w:rPr>
        <w:t>por la que se adiciona un artículo 22 BIS y una fracción XII al artículo 46 de</w:t>
      </w:r>
      <w:r>
        <w:rPr>
          <w:rFonts w:ascii="Abadi" w:hAnsi="Abadi" w:cs="ArialMT"/>
          <w:sz w:val="21"/>
          <w:szCs w:val="21"/>
        </w:rPr>
        <w:t xml:space="preserve"> </w:t>
      </w:r>
      <w:r w:rsidRPr="00C40978">
        <w:rPr>
          <w:rFonts w:ascii="Abadi" w:hAnsi="Abadi" w:cs="ArialMT"/>
          <w:sz w:val="21"/>
          <w:szCs w:val="21"/>
        </w:rPr>
        <w:t xml:space="preserve">la Ley del Trabajo de los Servidores Públicos al </w:t>
      </w:r>
      <w:r w:rsidRPr="00C40978">
        <w:rPr>
          <w:rFonts w:ascii="Abadi" w:hAnsi="Abadi" w:cs="ArialMT"/>
          <w:sz w:val="21"/>
          <w:szCs w:val="21"/>
        </w:rPr>
        <w:t>Servicio del Estado y de los</w:t>
      </w:r>
      <w:r>
        <w:rPr>
          <w:rFonts w:ascii="Abadi" w:hAnsi="Abadi" w:cs="ArialMT"/>
          <w:sz w:val="21"/>
          <w:szCs w:val="21"/>
        </w:rPr>
        <w:t xml:space="preserve"> </w:t>
      </w:r>
      <w:r w:rsidRPr="00C40978">
        <w:rPr>
          <w:rFonts w:ascii="Abadi" w:hAnsi="Abadi" w:cs="ArialMT"/>
          <w:sz w:val="21"/>
          <w:szCs w:val="21"/>
        </w:rPr>
        <w:t>Municipios.</w:t>
      </w:r>
      <w:r>
        <w:rPr>
          <w:rFonts w:ascii="Abadi" w:hAnsi="Abadi" w:cs="ArialMT"/>
          <w:sz w:val="21"/>
          <w:szCs w:val="21"/>
        </w:rPr>
        <w:t xml:space="preserve"> </w:t>
      </w:r>
      <w:r w:rsidRPr="00C73436">
        <w:rPr>
          <w:rFonts w:ascii="Abadi" w:hAnsi="Abadi" w:cs="ArialMT"/>
          <w:b/>
          <w:bCs/>
          <w:sz w:val="21"/>
          <w:szCs w:val="21"/>
        </w:rPr>
        <w:t>XXXIX.-</w:t>
      </w:r>
      <w:r>
        <w:rPr>
          <w:rFonts w:ascii="Abadi" w:hAnsi="Abadi" w:cs="ArialMT"/>
          <w:sz w:val="21"/>
          <w:szCs w:val="21"/>
        </w:rPr>
        <w:t xml:space="preserve"> </w:t>
      </w:r>
      <w:r w:rsidRPr="00C40978">
        <w:rPr>
          <w:rFonts w:ascii="Abadi" w:hAnsi="Abadi" w:cs="ArialMT"/>
          <w:sz w:val="21"/>
          <w:szCs w:val="21"/>
        </w:rPr>
        <w:t>Discusión y, en su caso, aprobación del dictamen signado por la Comisión</w:t>
      </w:r>
      <w:r>
        <w:rPr>
          <w:rFonts w:ascii="Abadi" w:hAnsi="Abadi" w:cs="ArialMT"/>
          <w:sz w:val="21"/>
          <w:szCs w:val="21"/>
        </w:rPr>
        <w:t xml:space="preserve"> </w:t>
      </w:r>
      <w:r w:rsidRPr="00C40978">
        <w:rPr>
          <w:rFonts w:ascii="Abadi" w:hAnsi="Abadi" w:cs="ArialMT"/>
          <w:sz w:val="21"/>
          <w:szCs w:val="21"/>
        </w:rPr>
        <w:t>de Salud Pública relativo a la propuesta de punto de acuerdo suscrita por</w:t>
      </w:r>
      <w:r>
        <w:rPr>
          <w:rFonts w:ascii="Abadi" w:hAnsi="Abadi" w:cs="ArialMT"/>
          <w:sz w:val="21"/>
          <w:szCs w:val="21"/>
        </w:rPr>
        <w:t xml:space="preserve"> </w:t>
      </w:r>
      <w:r w:rsidRPr="00C40978">
        <w:rPr>
          <w:rFonts w:ascii="Abadi" w:hAnsi="Abadi" w:cs="ArialMT"/>
          <w:sz w:val="21"/>
          <w:szCs w:val="21"/>
        </w:rPr>
        <w:t>diputadas y diputados integrantes del Grupo Parlamentario del Partido</w:t>
      </w:r>
      <w:r>
        <w:rPr>
          <w:rFonts w:ascii="Abadi" w:hAnsi="Abadi" w:cs="ArialMT"/>
          <w:sz w:val="21"/>
          <w:szCs w:val="21"/>
        </w:rPr>
        <w:t xml:space="preserve"> </w:t>
      </w:r>
      <w:r w:rsidRPr="00C40978">
        <w:rPr>
          <w:rFonts w:ascii="Abadi" w:hAnsi="Abadi" w:cs="ArialMT"/>
          <w:sz w:val="21"/>
          <w:szCs w:val="21"/>
        </w:rPr>
        <w:t>Acción Nacional ante la Sexagésima Cuarta Legislatura, por la que se</w:t>
      </w:r>
      <w:r>
        <w:rPr>
          <w:rFonts w:ascii="Abadi" w:hAnsi="Abadi" w:cs="ArialMT"/>
          <w:sz w:val="21"/>
          <w:szCs w:val="21"/>
        </w:rPr>
        <w:t xml:space="preserve"> </w:t>
      </w:r>
      <w:r w:rsidRPr="00C40978">
        <w:rPr>
          <w:rFonts w:ascii="Abadi" w:hAnsi="Abadi" w:cs="ArialMT"/>
          <w:sz w:val="21"/>
          <w:szCs w:val="21"/>
        </w:rPr>
        <w:t>formula un respetuoso exhorto al titular del Poder Ejecutivo Federal,</w:t>
      </w:r>
      <w:r>
        <w:rPr>
          <w:rFonts w:ascii="Abadi" w:hAnsi="Abadi" w:cs="ArialMT"/>
          <w:sz w:val="21"/>
          <w:szCs w:val="21"/>
        </w:rPr>
        <w:t xml:space="preserve"> </w:t>
      </w:r>
      <w:r w:rsidRPr="00C40978">
        <w:rPr>
          <w:rFonts w:ascii="Abadi" w:hAnsi="Abadi" w:cs="ArialMT"/>
          <w:sz w:val="21"/>
          <w:szCs w:val="21"/>
        </w:rPr>
        <w:t>Licenciado Andrés Manuel López Obrador, para que instruya a las</w:t>
      </w:r>
      <w:r>
        <w:rPr>
          <w:rFonts w:ascii="Abadi" w:hAnsi="Abadi" w:cs="ArialMT"/>
          <w:sz w:val="21"/>
          <w:szCs w:val="21"/>
        </w:rPr>
        <w:t xml:space="preserve"> </w:t>
      </w:r>
      <w:r w:rsidRPr="00C40978">
        <w:rPr>
          <w:rFonts w:ascii="Abadi" w:hAnsi="Abadi" w:cs="ArialMT"/>
          <w:sz w:val="21"/>
          <w:szCs w:val="21"/>
        </w:rPr>
        <w:t>autoridades competentes a efecto de que estas lleven a cabo todas las</w:t>
      </w:r>
      <w:r>
        <w:rPr>
          <w:rFonts w:ascii="Abadi" w:hAnsi="Abadi" w:cs="ArialMT"/>
          <w:sz w:val="21"/>
          <w:szCs w:val="21"/>
        </w:rPr>
        <w:t xml:space="preserve"> </w:t>
      </w:r>
      <w:r w:rsidRPr="00C40978">
        <w:rPr>
          <w:rFonts w:ascii="Abadi" w:hAnsi="Abadi" w:cs="ArialMT"/>
          <w:sz w:val="21"/>
          <w:szCs w:val="21"/>
        </w:rPr>
        <w:t>acciones necesarias para agilizar los procesos de compra de</w:t>
      </w:r>
      <w:r>
        <w:rPr>
          <w:rFonts w:ascii="Abadi" w:hAnsi="Abadi" w:cs="ArialMT"/>
          <w:sz w:val="21"/>
          <w:szCs w:val="21"/>
        </w:rPr>
        <w:t xml:space="preserve"> </w:t>
      </w:r>
      <w:r w:rsidRPr="00C40978">
        <w:rPr>
          <w:rFonts w:ascii="Abadi" w:hAnsi="Abadi" w:cs="ArialMT"/>
          <w:sz w:val="21"/>
          <w:szCs w:val="21"/>
        </w:rPr>
        <w:t>medicamentos para tratamientos oncológicos y garantizar el suministro de</w:t>
      </w:r>
      <w:r>
        <w:rPr>
          <w:rFonts w:ascii="Abadi" w:hAnsi="Abadi" w:cs="ArialMT"/>
          <w:sz w:val="21"/>
          <w:szCs w:val="21"/>
        </w:rPr>
        <w:t xml:space="preserve"> </w:t>
      </w:r>
      <w:r w:rsidRPr="00C40978">
        <w:rPr>
          <w:rFonts w:ascii="Abadi" w:hAnsi="Abadi" w:cs="ArialMT"/>
          <w:sz w:val="21"/>
          <w:szCs w:val="21"/>
        </w:rPr>
        <w:t>medicamentos en beneficio de las niñas, niños y adolescentes con cáncer.</w:t>
      </w:r>
      <w:r>
        <w:rPr>
          <w:rFonts w:ascii="Abadi" w:hAnsi="Abadi" w:cs="ArialMT"/>
          <w:sz w:val="21"/>
          <w:szCs w:val="21"/>
        </w:rPr>
        <w:t xml:space="preserve"> </w:t>
      </w:r>
      <w:r w:rsidRPr="00C73436">
        <w:rPr>
          <w:rFonts w:ascii="Abadi" w:hAnsi="Abadi" w:cs="ArialMT"/>
          <w:b/>
          <w:bCs/>
          <w:sz w:val="21"/>
          <w:szCs w:val="21"/>
        </w:rPr>
        <w:t>X</w:t>
      </w:r>
      <w:r>
        <w:rPr>
          <w:rFonts w:ascii="Abadi" w:hAnsi="Abadi" w:cs="ArialMT"/>
          <w:b/>
          <w:bCs/>
          <w:sz w:val="21"/>
          <w:szCs w:val="21"/>
        </w:rPr>
        <w:t>L</w:t>
      </w:r>
      <w:r w:rsidRPr="00C73436">
        <w:rPr>
          <w:rFonts w:ascii="Abadi" w:hAnsi="Abadi" w:cs="ArialMT"/>
          <w:b/>
          <w:bCs/>
          <w:sz w:val="21"/>
          <w:szCs w:val="21"/>
        </w:rPr>
        <w:t>.-</w:t>
      </w:r>
      <w:r>
        <w:rPr>
          <w:rFonts w:ascii="Abadi" w:hAnsi="Abadi" w:cs="ArialMT"/>
          <w:sz w:val="21"/>
          <w:szCs w:val="21"/>
        </w:rPr>
        <w:t xml:space="preserve"> </w:t>
      </w:r>
      <w:r w:rsidRPr="00C40978">
        <w:rPr>
          <w:rFonts w:ascii="Abadi" w:hAnsi="Abadi" w:cs="ArialMT"/>
          <w:sz w:val="21"/>
          <w:szCs w:val="21"/>
        </w:rPr>
        <w:t>Discusión y, en su caso, aprobación del dictamen suscrito por la Comisión</w:t>
      </w:r>
      <w:r>
        <w:rPr>
          <w:rFonts w:ascii="Abadi" w:hAnsi="Abadi" w:cs="ArialMT"/>
          <w:sz w:val="21"/>
          <w:szCs w:val="21"/>
        </w:rPr>
        <w:t xml:space="preserve"> </w:t>
      </w:r>
      <w:r w:rsidRPr="00C40978">
        <w:rPr>
          <w:rFonts w:ascii="Abadi" w:hAnsi="Abadi" w:cs="ArialMT"/>
          <w:sz w:val="21"/>
          <w:szCs w:val="21"/>
        </w:rPr>
        <w:t>de Salud Pública relativo a la propuesta de punto de acuerdo formulada por</w:t>
      </w:r>
      <w:r>
        <w:rPr>
          <w:rFonts w:ascii="Abadi" w:hAnsi="Abadi" w:cs="ArialMT"/>
          <w:sz w:val="21"/>
          <w:szCs w:val="21"/>
        </w:rPr>
        <w:t xml:space="preserve"> </w:t>
      </w:r>
      <w:r w:rsidRPr="00C40978">
        <w:rPr>
          <w:rFonts w:ascii="Abadi" w:hAnsi="Abadi" w:cs="ArialMT"/>
          <w:sz w:val="21"/>
          <w:szCs w:val="21"/>
        </w:rPr>
        <w:t>diputadas y diputados integrantes del Grupo Parlamentario del Partido</w:t>
      </w:r>
      <w:r>
        <w:rPr>
          <w:rFonts w:ascii="Abadi" w:hAnsi="Abadi" w:cs="ArialMT"/>
          <w:sz w:val="21"/>
          <w:szCs w:val="21"/>
        </w:rPr>
        <w:t xml:space="preserve"> </w:t>
      </w:r>
      <w:r w:rsidRPr="00C40978">
        <w:rPr>
          <w:rFonts w:ascii="Abadi" w:hAnsi="Abadi" w:cs="ArialMT"/>
          <w:sz w:val="21"/>
          <w:szCs w:val="21"/>
        </w:rPr>
        <w:t>Acción Nacional ante la Sexagésima Cuarta Legislatura, por el cual se</w:t>
      </w:r>
      <w:r>
        <w:rPr>
          <w:rFonts w:ascii="Abadi" w:hAnsi="Abadi" w:cs="ArialMT"/>
          <w:sz w:val="21"/>
          <w:szCs w:val="21"/>
        </w:rPr>
        <w:t xml:space="preserve"> </w:t>
      </w:r>
      <w:r w:rsidRPr="00C40978">
        <w:rPr>
          <w:rFonts w:ascii="Abadi" w:hAnsi="Abadi" w:cs="ArialMT"/>
          <w:sz w:val="21"/>
          <w:szCs w:val="21"/>
        </w:rPr>
        <w:t>exhorta al Poder Ejecutivo Federal para que a la brevedad posible dé</w:t>
      </w:r>
      <w:r>
        <w:rPr>
          <w:rFonts w:ascii="Abadi" w:hAnsi="Abadi" w:cs="ArialMT"/>
          <w:sz w:val="21"/>
          <w:szCs w:val="21"/>
        </w:rPr>
        <w:t xml:space="preserve"> </w:t>
      </w:r>
      <w:r w:rsidRPr="00C40978">
        <w:rPr>
          <w:rFonts w:ascii="Abadi" w:hAnsi="Abadi" w:cs="ArialMT"/>
          <w:sz w:val="21"/>
          <w:szCs w:val="21"/>
        </w:rPr>
        <w:t>solución al desabasto de medicinas en el sector salud.</w:t>
      </w:r>
      <w:r>
        <w:rPr>
          <w:rFonts w:ascii="Abadi" w:hAnsi="Abadi" w:cs="ArialMT"/>
          <w:sz w:val="21"/>
          <w:szCs w:val="21"/>
        </w:rPr>
        <w:t xml:space="preserve"> </w:t>
      </w:r>
      <w:r w:rsidRPr="00F172B8">
        <w:rPr>
          <w:rFonts w:ascii="Abadi" w:hAnsi="Abadi" w:cs="ArialMT"/>
          <w:b/>
          <w:bCs/>
          <w:sz w:val="21"/>
          <w:szCs w:val="21"/>
        </w:rPr>
        <w:t>XLI.-</w:t>
      </w:r>
      <w:r>
        <w:rPr>
          <w:rFonts w:ascii="Abadi" w:hAnsi="Abadi" w:cs="ArialMT"/>
          <w:b/>
          <w:bCs/>
          <w:sz w:val="21"/>
          <w:szCs w:val="21"/>
        </w:rPr>
        <w:t xml:space="preserve"> </w:t>
      </w:r>
      <w:r w:rsidRPr="00C40978">
        <w:rPr>
          <w:rFonts w:ascii="Abadi" w:hAnsi="Abadi" w:cs="ArialMT"/>
          <w:sz w:val="21"/>
          <w:szCs w:val="21"/>
        </w:rPr>
        <w:t>Discusión y, en su caso, aprobación del dictamen signado por la Comisión</w:t>
      </w:r>
      <w:r>
        <w:rPr>
          <w:rFonts w:ascii="Abadi" w:hAnsi="Abadi" w:cs="ArialMT"/>
          <w:sz w:val="21"/>
          <w:szCs w:val="21"/>
        </w:rPr>
        <w:t xml:space="preserve"> </w:t>
      </w:r>
      <w:r w:rsidRPr="00C40978">
        <w:rPr>
          <w:rFonts w:ascii="Abadi" w:hAnsi="Abadi" w:cs="ArialMT"/>
          <w:sz w:val="21"/>
          <w:szCs w:val="21"/>
        </w:rPr>
        <w:t>de Salud Pública relativo a dos iniciativas; la primera, de Ley de Prevención</w:t>
      </w:r>
      <w:r>
        <w:rPr>
          <w:rFonts w:ascii="Abadi" w:hAnsi="Abadi" w:cs="ArialMT"/>
          <w:sz w:val="21"/>
          <w:szCs w:val="21"/>
        </w:rPr>
        <w:t xml:space="preserve"> </w:t>
      </w:r>
      <w:r w:rsidRPr="00C40978">
        <w:rPr>
          <w:rFonts w:ascii="Abadi" w:hAnsi="Abadi" w:cs="ArialMT"/>
          <w:sz w:val="21"/>
          <w:szCs w:val="21"/>
        </w:rPr>
        <w:t>y Atención del Suicidio para el Estado y los Municipios de Guanajuato, y de</w:t>
      </w:r>
      <w:r>
        <w:rPr>
          <w:rFonts w:ascii="Abadi" w:hAnsi="Abadi" w:cs="ArialMT"/>
          <w:sz w:val="21"/>
          <w:szCs w:val="21"/>
        </w:rPr>
        <w:t xml:space="preserve"> </w:t>
      </w:r>
      <w:r w:rsidRPr="00C40978">
        <w:rPr>
          <w:rFonts w:ascii="Abadi" w:hAnsi="Abadi" w:cs="ArialMT"/>
          <w:sz w:val="21"/>
          <w:szCs w:val="21"/>
        </w:rPr>
        <w:t>adición al artículo 27, fracción I un inciso h de la Ley Orgánica del Poder</w:t>
      </w:r>
      <w:r>
        <w:rPr>
          <w:rFonts w:ascii="Abadi" w:hAnsi="Abadi" w:cs="ArialMT"/>
          <w:sz w:val="21"/>
          <w:szCs w:val="21"/>
        </w:rPr>
        <w:t xml:space="preserve"> </w:t>
      </w:r>
      <w:r w:rsidRPr="00C40978">
        <w:rPr>
          <w:rFonts w:ascii="Abadi" w:hAnsi="Abadi" w:cs="ArialMT"/>
          <w:sz w:val="21"/>
          <w:szCs w:val="21"/>
        </w:rPr>
        <w:t>Ejecutivo para el Estado de Guanajuato, suscrita por la diputada y el</w:t>
      </w:r>
      <w:r>
        <w:rPr>
          <w:rFonts w:ascii="Abadi" w:hAnsi="Abadi" w:cs="ArialMT"/>
          <w:sz w:val="21"/>
          <w:szCs w:val="21"/>
        </w:rPr>
        <w:t xml:space="preserve"> </w:t>
      </w:r>
      <w:r w:rsidRPr="00C40978">
        <w:rPr>
          <w:rFonts w:ascii="Abadi" w:hAnsi="Abadi" w:cs="ArialMT"/>
          <w:sz w:val="21"/>
          <w:szCs w:val="21"/>
        </w:rPr>
        <w:t>diputado integrantes del Grupo Parlamentario del Partido Verde Ecologista</w:t>
      </w:r>
      <w:r>
        <w:rPr>
          <w:rFonts w:ascii="Abadi" w:hAnsi="Abadi" w:cs="ArialMT"/>
          <w:sz w:val="21"/>
          <w:szCs w:val="21"/>
        </w:rPr>
        <w:t xml:space="preserve"> </w:t>
      </w:r>
      <w:r w:rsidRPr="00C40978">
        <w:rPr>
          <w:rFonts w:ascii="Abadi" w:hAnsi="Abadi" w:cs="ArialMT"/>
          <w:sz w:val="21"/>
          <w:szCs w:val="21"/>
        </w:rPr>
        <w:t>de México; y, la segunda, de Ley de Prevención del Suicidio y de las</w:t>
      </w:r>
      <w:r>
        <w:rPr>
          <w:rFonts w:ascii="Abadi" w:hAnsi="Abadi" w:cs="ArialMT"/>
          <w:sz w:val="21"/>
          <w:szCs w:val="21"/>
        </w:rPr>
        <w:t xml:space="preserve"> </w:t>
      </w:r>
      <w:r w:rsidRPr="00C40978">
        <w:rPr>
          <w:rFonts w:ascii="Abadi" w:hAnsi="Abadi" w:cs="ArialMT"/>
          <w:sz w:val="21"/>
          <w:szCs w:val="21"/>
        </w:rPr>
        <w:t>Acciones de Posvención en el Estado de Guanajuato, formulada por</w:t>
      </w:r>
    </w:p>
    <w:p w14:paraId="2D6596BC" w14:textId="7D340466" w:rsidR="0085055B" w:rsidRDefault="0085055B" w:rsidP="0085055B">
      <w:pPr>
        <w:autoSpaceDE w:val="0"/>
        <w:autoSpaceDN w:val="0"/>
        <w:adjustRightInd w:val="0"/>
        <w:jc w:val="both"/>
        <w:rPr>
          <w:rFonts w:ascii="Abadi" w:hAnsi="Abadi" w:cs="ArialMT"/>
          <w:sz w:val="21"/>
          <w:szCs w:val="21"/>
        </w:rPr>
      </w:pPr>
      <w:r w:rsidRPr="00C40978">
        <w:rPr>
          <w:rFonts w:ascii="Abadi" w:hAnsi="Abadi" w:cs="ArialMT"/>
          <w:sz w:val="21"/>
          <w:szCs w:val="21"/>
        </w:rPr>
        <w:t>diputadas y diputados integrantes del Grupo Parlamentario del Partido</w:t>
      </w:r>
      <w:r>
        <w:rPr>
          <w:rFonts w:ascii="Abadi" w:hAnsi="Abadi" w:cs="ArialMT"/>
          <w:sz w:val="21"/>
          <w:szCs w:val="21"/>
        </w:rPr>
        <w:t xml:space="preserve"> </w:t>
      </w:r>
      <w:r w:rsidRPr="00C40978">
        <w:rPr>
          <w:rFonts w:ascii="Abadi" w:hAnsi="Abadi" w:cs="ArialMT"/>
          <w:sz w:val="21"/>
          <w:szCs w:val="21"/>
        </w:rPr>
        <w:t>Revolucionario Institucional, ante la Sexagésima Cuarta Legislatura del</w:t>
      </w:r>
      <w:r>
        <w:rPr>
          <w:rFonts w:ascii="Abadi" w:hAnsi="Abadi" w:cs="ArialMT"/>
          <w:sz w:val="21"/>
          <w:szCs w:val="21"/>
        </w:rPr>
        <w:t xml:space="preserve"> </w:t>
      </w:r>
      <w:r w:rsidRPr="00C40978">
        <w:rPr>
          <w:rFonts w:ascii="Abadi" w:hAnsi="Abadi" w:cs="ArialMT"/>
          <w:sz w:val="21"/>
          <w:szCs w:val="21"/>
        </w:rPr>
        <w:t>Congreso del Estado.</w:t>
      </w:r>
      <w:r>
        <w:rPr>
          <w:rFonts w:ascii="Abadi" w:hAnsi="Abadi" w:cs="ArialMT"/>
          <w:sz w:val="21"/>
          <w:szCs w:val="21"/>
        </w:rPr>
        <w:t xml:space="preserve"> </w:t>
      </w:r>
      <w:r w:rsidRPr="00601F7E">
        <w:rPr>
          <w:rFonts w:ascii="Abadi" w:hAnsi="Abadi" w:cs="ArialMT"/>
          <w:b/>
          <w:bCs/>
          <w:sz w:val="21"/>
          <w:szCs w:val="21"/>
        </w:rPr>
        <w:t>XLII.-</w:t>
      </w:r>
      <w:r>
        <w:rPr>
          <w:rFonts w:ascii="Abadi" w:hAnsi="Abadi" w:cs="ArialMT"/>
          <w:sz w:val="21"/>
          <w:szCs w:val="21"/>
        </w:rPr>
        <w:t xml:space="preserve"> </w:t>
      </w:r>
      <w:r w:rsidRPr="00C40978">
        <w:rPr>
          <w:rFonts w:ascii="Abadi" w:hAnsi="Abadi" w:cs="ArialMT"/>
          <w:sz w:val="21"/>
          <w:szCs w:val="21"/>
        </w:rPr>
        <w:t>Discusión y, en su caso, aprobación del dictamen formulado por la Comisión</w:t>
      </w:r>
      <w:r>
        <w:rPr>
          <w:rFonts w:ascii="Abadi" w:hAnsi="Abadi" w:cs="ArialMT"/>
          <w:sz w:val="21"/>
          <w:szCs w:val="21"/>
        </w:rPr>
        <w:t xml:space="preserve"> </w:t>
      </w:r>
      <w:r w:rsidRPr="00C40978">
        <w:rPr>
          <w:rFonts w:ascii="Abadi" w:hAnsi="Abadi" w:cs="ArialMT"/>
          <w:sz w:val="21"/>
          <w:szCs w:val="21"/>
        </w:rPr>
        <w:t>de Justicia relativo a dos iniciativas a efecto de adicionar una fracción XIII al</w:t>
      </w:r>
      <w:r>
        <w:rPr>
          <w:rFonts w:ascii="Abadi" w:hAnsi="Abadi" w:cs="ArialMT"/>
          <w:sz w:val="21"/>
          <w:szCs w:val="21"/>
        </w:rPr>
        <w:t xml:space="preserve"> </w:t>
      </w:r>
      <w:r w:rsidRPr="00C40978">
        <w:rPr>
          <w:rFonts w:ascii="Abadi" w:hAnsi="Abadi" w:cs="ArialMT"/>
          <w:sz w:val="21"/>
          <w:szCs w:val="21"/>
        </w:rPr>
        <w:t>artículo 194 del Código Penal del Estado de Guanajuato: la primera,</w:t>
      </w:r>
      <w:r>
        <w:rPr>
          <w:rFonts w:ascii="Abadi" w:hAnsi="Abadi" w:cs="ArialMT"/>
          <w:sz w:val="21"/>
          <w:szCs w:val="21"/>
        </w:rPr>
        <w:t xml:space="preserve"> </w:t>
      </w:r>
      <w:r w:rsidRPr="00C40978">
        <w:rPr>
          <w:rFonts w:ascii="Abadi" w:hAnsi="Abadi" w:cs="ArialMT"/>
          <w:sz w:val="21"/>
          <w:szCs w:val="21"/>
        </w:rPr>
        <w:t>presentada por el diputado Juan Elías Chávez de la Representación</w:t>
      </w:r>
      <w:r>
        <w:rPr>
          <w:rFonts w:ascii="Abadi" w:hAnsi="Abadi" w:cs="ArialMT"/>
          <w:sz w:val="21"/>
          <w:szCs w:val="21"/>
        </w:rPr>
        <w:t xml:space="preserve"> </w:t>
      </w:r>
      <w:r w:rsidRPr="00C40978">
        <w:rPr>
          <w:rFonts w:ascii="Abadi" w:hAnsi="Abadi" w:cs="ArialMT"/>
          <w:sz w:val="21"/>
          <w:szCs w:val="21"/>
        </w:rPr>
        <w:t>Parlamentaria del Partido Nueva Alianza de la Sexagésima Cuarta</w:t>
      </w:r>
      <w:r>
        <w:rPr>
          <w:rFonts w:ascii="Abadi" w:hAnsi="Abadi" w:cs="ArialMT"/>
          <w:sz w:val="21"/>
          <w:szCs w:val="21"/>
        </w:rPr>
        <w:t xml:space="preserve"> </w:t>
      </w:r>
      <w:r w:rsidRPr="00C40978">
        <w:rPr>
          <w:rFonts w:ascii="Abadi" w:hAnsi="Abadi" w:cs="ArialMT"/>
          <w:sz w:val="21"/>
          <w:szCs w:val="21"/>
        </w:rPr>
        <w:t>Legislatura; y la segunda, por diputadas y diputados integrantes del Grupo</w:t>
      </w:r>
      <w:r>
        <w:rPr>
          <w:rFonts w:ascii="Abadi" w:hAnsi="Abadi" w:cs="ArialMT"/>
          <w:sz w:val="21"/>
          <w:szCs w:val="21"/>
        </w:rPr>
        <w:t xml:space="preserve"> </w:t>
      </w:r>
      <w:r w:rsidRPr="00C40978">
        <w:rPr>
          <w:rFonts w:ascii="Abadi" w:hAnsi="Abadi" w:cs="ArialMT"/>
          <w:sz w:val="21"/>
          <w:szCs w:val="21"/>
        </w:rPr>
        <w:t>Parlamentario del Partido Revolucionario Institucional de la presente</w:t>
      </w:r>
      <w:r>
        <w:rPr>
          <w:rFonts w:ascii="Abadi" w:hAnsi="Abadi" w:cs="ArialMT"/>
          <w:sz w:val="21"/>
          <w:szCs w:val="21"/>
        </w:rPr>
        <w:t xml:space="preserve"> </w:t>
      </w:r>
      <w:r w:rsidRPr="00C40978">
        <w:rPr>
          <w:rFonts w:ascii="Abadi" w:hAnsi="Abadi" w:cs="ArialMT"/>
          <w:sz w:val="21"/>
          <w:szCs w:val="21"/>
        </w:rPr>
        <w:t>Legislatura.</w:t>
      </w:r>
      <w:r>
        <w:rPr>
          <w:rFonts w:ascii="Abadi" w:hAnsi="Abadi" w:cs="ArialMT"/>
          <w:sz w:val="21"/>
          <w:szCs w:val="21"/>
        </w:rPr>
        <w:t xml:space="preserve"> </w:t>
      </w:r>
      <w:r w:rsidRPr="00601F7E">
        <w:rPr>
          <w:rFonts w:ascii="Abadi" w:hAnsi="Abadi" w:cs="ArialMT"/>
          <w:b/>
          <w:bCs/>
          <w:sz w:val="21"/>
          <w:szCs w:val="21"/>
        </w:rPr>
        <w:t>XLIII.-</w:t>
      </w:r>
      <w:r>
        <w:rPr>
          <w:rFonts w:ascii="Abadi" w:hAnsi="Abadi" w:cs="ArialMT"/>
          <w:sz w:val="21"/>
          <w:szCs w:val="21"/>
        </w:rPr>
        <w:t xml:space="preserve"> </w:t>
      </w:r>
      <w:r w:rsidRPr="00C40978">
        <w:rPr>
          <w:rFonts w:ascii="Abadi" w:hAnsi="Abadi" w:cs="ArialMT"/>
          <w:sz w:val="21"/>
          <w:szCs w:val="21"/>
        </w:rPr>
        <w:lastRenderedPageBreak/>
        <w:t>Discusión y, en su caso, aprobación del dictamen suscrito por la Comisión</w:t>
      </w:r>
      <w:r>
        <w:rPr>
          <w:rFonts w:ascii="Abadi" w:hAnsi="Abadi" w:cs="ArialMT"/>
          <w:sz w:val="21"/>
          <w:szCs w:val="21"/>
        </w:rPr>
        <w:t xml:space="preserve"> </w:t>
      </w:r>
      <w:r w:rsidRPr="00C40978">
        <w:rPr>
          <w:rFonts w:ascii="Abadi" w:hAnsi="Abadi" w:cs="ArialMT"/>
          <w:sz w:val="21"/>
          <w:szCs w:val="21"/>
        </w:rPr>
        <w:t>de Educación, Ciencia y Tecnología y Cultura relativo a la iniciativa a efecto</w:t>
      </w:r>
      <w:r>
        <w:rPr>
          <w:rFonts w:ascii="Abadi" w:hAnsi="Abadi" w:cs="ArialMT"/>
          <w:sz w:val="21"/>
          <w:szCs w:val="21"/>
        </w:rPr>
        <w:t xml:space="preserve"> </w:t>
      </w:r>
      <w:r w:rsidRPr="00C40978">
        <w:rPr>
          <w:rFonts w:ascii="Abadi" w:hAnsi="Abadi" w:cs="ArialMT"/>
          <w:sz w:val="21"/>
          <w:szCs w:val="21"/>
        </w:rPr>
        <w:t>de reformar y adicionar diversos artículos de la Ley de los Derechos de</w:t>
      </w:r>
      <w:r>
        <w:rPr>
          <w:rFonts w:ascii="Abadi" w:hAnsi="Abadi" w:cs="ArialMT"/>
          <w:sz w:val="21"/>
          <w:szCs w:val="21"/>
        </w:rPr>
        <w:t xml:space="preserve"> </w:t>
      </w:r>
      <w:r w:rsidRPr="00C40978">
        <w:rPr>
          <w:rFonts w:ascii="Abadi" w:hAnsi="Abadi" w:cs="ArialMT"/>
          <w:sz w:val="21"/>
          <w:szCs w:val="21"/>
        </w:rPr>
        <w:t>Niñas, Niños y Adolescentes del Estado de Guanajuato, de la Ley para una</w:t>
      </w:r>
      <w:r>
        <w:rPr>
          <w:rFonts w:ascii="Abadi" w:hAnsi="Abadi" w:cs="ArialMT"/>
          <w:sz w:val="21"/>
          <w:szCs w:val="21"/>
        </w:rPr>
        <w:t xml:space="preserve"> </w:t>
      </w:r>
      <w:r w:rsidRPr="00C40978">
        <w:rPr>
          <w:rFonts w:ascii="Abadi" w:hAnsi="Abadi" w:cs="ArialMT"/>
          <w:sz w:val="21"/>
          <w:szCs w:val="21"/>
        </w:rPr>
        <w:t>Convivencia Libre de Violencia en el Entorno Escolar para el Estado de</w:t>
      </w:r>
      <w:r>
        <w:rPr>
          <w:rFonts w:ascii="Abadi" w:hAnsi="Abadi" w:cs="ArialMT"/>
          <w:sz w:val="21"/>
          <w:szCs w:val="21"/>
        </w:rPr>
        <w:t xml:space="preserve"> </w:t>
      </w:r>
      <w:r w:rsidRPr="00C40978">
        <w:rPr>
          <w:rFonts w:ascii="Abadi" w:hAnsi="Abadi" w:cs="ArialMT"/>
          <w:sz w:val="21"/>
          <w:szCs w:val="21"/>
        </w:rPr>
        <w:t>Guanajuato y sus Municipios y de la Ley para Prevenir, Atender y Erradicar</w:t>
      </w:r>
      <w:r>
        <w:rPr>
          <w:rFonts w:ascii="Abadi" w:hAnsi="Abadi" w:cs="ArialMT"/>
          <w:sz w:val="21"/>
          <w:szCs w:val="21"/>
        </w:rPr>
        <w:t xml:space="preserve"> </w:t>
      </w:r>
      <w:r w:rsidRPr="00C40978">
        <w:rPr>
          <w:rFonts w:ascii="Abadi" w:hAnsi="Abadi" w:cs="ArialMT"/>
          <w:sz w:val="21"/>
          <w:szCs w:val="21"/>
        </w:rPr>
        <w:t>la Violencia en el Estado de Guanajuato, formulada por las diputadas y los</w:t>
      </w:r>
      <w:r>
        <w:rPr>
          <w:rFonts w:ascii="Abadi" w:hAnsi="Abadi" w:cs="ArialMT"/>
          <w:sz w:val="21"/>
          <w:szCs w:val="21"/>
        </w:rPr>
        <w:t xml:space="preserve"> </w:t>
      </w:r>
      <w:r w:rsidRPr="00C40978">
        <w:rPr>
          <w:rFonts w:ascii="Abadi" w:hAnsi="Abadi" w:cs="ArialMT"/>
          <w:sz w:val="21"/>
          <w:szCs w:val="21"/>
        </w:rPr>
        <w:t>diputados integrantes del Grupo Parlamentario del Partido Acción Nacional</w:t>
      </w:r>
      <w:r>
        <w:rPr>
          <w:rFonts w:ascii="Abadi" w:hAnsi="Abadi" w:cs="ArialMT"/>
          <w:sz w:val="21"/>
          <w:szCs w:val="21"/>
        </w:rPr>
        <w:t xml:space="preserve"> </w:t>
      </w:r>
      <w:r w:rsidRPr="00C40978">
        <w:rPr>
          <w:rFonts w:ascii="Abadi" w:hAnsi="Abadi" w:cs="ArialMT"/>
          <w:sz w:val="21"/>
          <w:szCs w:val="21"/>
        </w:rPr>
        <w:t xml:space="preserve">en la Sexagésima Cuarta Legislatura, </w:t>
      </w:r>
      <w:r w:rsidRPr="00C40978">
        <w:rPr>
          <w:rFonts w:ascii="Abadi" w:hAnsi="Abadi" w:cs="Arial-ItalicMT"/>
          <w:i/>
          <w:iCs/>
          <w:sz w:val="21"/>
          <w:szCs w:val="21"/>
        </w:rPr>
        <w:t>en lo correspondiente a la segunda</w:t>
      </w:r>
      <w:r>
        <w:rPr>
          <w:rFonts w:ascii="Abadi" w:hAnsi="Abadi" w:cs="Arial-ItalicMT"/>
          <w:i/>
          <w:iCs/>
          <w:sz w:val="21"/>
          <w:szCs w:val="21"/>
        </w:rPr>
        <w:t xml:space="preserve"> </w:t>
      </w:r>
      <w:r w:rsidRPr="00C40978">
        <w:rPr>
          <w:rFonts w:ascii="Abadi" w:hAnsi="Abadi" w:cs="Arial-ItalicMT"/>
          <w:i/>
          <w:iCs/>
          <w:sz w:val="21"/>
          <w:szCs w:val="21"/>
        </w:rPr>
        <w:t>de las leyes referidas</w:t>
      </w:r>
      <w:r w:rsidRPr="00C40978">
        <w:rPr>
          <w:rFonts w:ascii="Abadi" w:hAnsi="Abadi" w:cs="ArialMT"/>
          <w:sz w:val="21"/>
          <w:szCs w:val="21"/>
        </w:rPr>
        <w:t>.</w:t>
      </w:r>
      <w:r>
        <w:rPr>
          <w:rFonts w:ascii="Abadi" w:hAnsi="Abadi" w:cs="ArialMT"/>
          <w:sz w:val="21"/>
          <w:szCs w:val="21"/>
        </w:rPr>
        <w:t xml:space="preserve"> </w:t>
      </w:r>
      <w:r w:rsidRPr="00601F7E">
        <w:rPr>
          <w:rFonts w:ascii="Abadi" w:hAnsi="Abadi" w:cs="ArialMT"/>
          <w:b/>
          <w:bCs/>
          <w:sz w:val="21"/>
          <w:szCs w:val="21"/>
        </w:rPr>
        <w:t>XLIV.-</w:t>
      </w:r>
      <w:r>
        <w:rPr>
          <w:rFonts w:ascii="Abadi" w:hAnsi="Abadi" w:cs="ArialMT"/>
          <w:b/>
          <w:bCs/>
          <w:sz w:val="21"/>
          <w:szCs w:val="21"/>
        </w:rPr>
        <w:t xml:space="preserve"> </w:t>
      </w:r>
      <w:r w:rsidRPr="00C40978">
        <w:rPr>
          <w:rFonts w:ascii="Abadi" w:hAnsi="Abadi" w:cs="ArialMT"/>
          <w:sz w:val="21"/>
          <w:szCs w:val="21"/>
        </w:rPr>
        <w:t>Discusión y, en su caso, aprobación del dictamen presentado por la</w:t>
      </w:r>
      <w:r>
        <w:rPr>
          <w:rFonts w:ascii="Abadi" w:hAnsi="Abadi" w:cs="ArialMT"/>
          <w:sz w:val="21"/>
          <w:szCs w:val="21"/>
        </w:rPr>
        <w:t xml:space="preserve"> </w:t>
      </w:r>
      <w:r w:rsidRPr="00C40978">
        <w:rPr>
          <w:rFonts w:ascii="Abadi" w:hAnsi="Abadi" w:cs="ArialMT"/>
          <w:sz w:val="21"/>
          <w:szCs w:val="21"/>
        </w:rPr>
        <w:t>Comisión de Desarrollo Urbano y Obra Pública relativo a la iniciativa</w:t>
      </w:r>
      <w:r>
        <w:rPr>
          <w:rFonts w:ascii="Abadi" w:hAnsi="Abadi" w:cs="ArialMT"/>
          <w:sz w:val="21"/>
          <w:szCs w:val="21"/>
        </w:rPr>
        <w:t xml:space="preserve"> </w:t>
      </w:r>
      <w:r w:rsidRPr="00C40978">
        <w:rPr>
          <w:rFonts w:ascii="Abadi" w:hAnsi="Abadi" w:cs="ArialMT"/>
          <w:sz w:val="21"/>
          <w:szCs w:val="21"/>
        </w:rPr>
        <w:t>formulada por diputadas y diputados integrantes del Grupo Parlamentario</w:t>
      </w:r>
      <w:r>
        <w:rPr>
          <w:rFonts w:ascii="Abadi" w:hAnsi="Abadi" w:cs="ArialMT"/>
          <w:sz w:val="21"/>
          <w:szCs w:val="21"/>
        </w:rPr>
        <w:t xml:space="preserve"> </w:t>
      </w:r>
      <w:r w:rsidRPr="00C40978">
        <w:rPr>
          <w:rFonts w:ascii="Abadi" w:hAnsi="Abadi" w:cs="ArialMT"/>
          <w:sz w:val="21"/>
          <w:szCs w:val="21"/>
        </w:rPr>
        <w:t>del Partido Acción Nacional a efecto de reformar el párrafo tercero del</w:t>
      </w:r>
      <w:r>
        <w:rPr>
          <w:rFonts w:ascii="Abadi" w:hAnsi="Abadi" w:cs="ArialMT"/>
          <w:sz w:val="21"/>
          <w:szCs w:val="21"/>
        </w:rPr>
        <w:t xml:space="preserve"> </w:t>
      </w:r>
      <w:r w:rsidRPr="00C40978">
        <w:rPr>
          <w:rFonts w:ascii="Abadi" w:hAnsi="Abadi" w:cs="ArialMT"/>
          <w:sz w:val="21"/>
          <w:szCs w:val="21"/>
        </w:rPr>
        <w:t xml:space="preserve">artículo </w:t>
      </w:r>
      <w:r>
        <w:rPr>
          <w:rFonts w:ascii="Abadi" w:hAnsi="Abadi" w:cs="ArialMT"/>
          <w:sz w:val="21"/>
          <w:szCs w:val="21"/>
        </w:rPr>
        <w:t>1</w:t>
      </w:r>
      <w:r w:rsidRPr="00C40978">
        <w:rPr>
          <w:rFonts w:ascii="Abadi" w:hAnsi="Abadi" w:cs="ArialMT"/>
          <w:sz w:val="21"/>
          <w:szCs w:val="21"/>
        </w:rPr>
        <w:t>04 de la Ley de Obra Pública y Servicios relacionados con la misma</w:t>
      </w:r>
      <w:r>
        <w:rPr>
          <w:rFonts w:ascii="Abadi" w:hAnsi="Abadi" w:cs="ArialMT"/>
          <w:sz w:val="21"/>
          <w:szCs w:val="21"/>
        </w:rPr>
        <w:t xml:space="preserve"> </w:t>
      </w:r>
      <w:r w:rsidRPr="00C40978">
        <w:rPr>
          <w:rFonts w:ascii="Abadi" w:hAnsi="Abadi" w:cs="ArialMT"/>
          <w:sz w:val="21"/>
          <w:szCs w:val="21"/>
        </w:rPr>
        <w:t>para el Estado y los Municipios de Guanajuato.</w:t>
      </w:r>
      <w:r>
        <w:rPr>
          <w:rFonts w:ascii="Abadi" w:hAnsi="Abadi" w:cs="ArialMT"/>
          <w:sz w:val="21"/>
          <w:szCs w:val="21"/>
        </w:rPr>
        <w:t xml:space="preserve"> </w:t>
      </w:r>
      <w:r w:rsidRPr="00601F7E">
        <w:rPr>
          <w:rFonts w:ascii="Abadi" w:hAnsi="Abadi" w:cs="ArialMT"/>
          <w:b/>
          <w:bCs/>
          <w:sz w:val="21"/>
          <w:szCs w:val="21"/>
        </w:rPr>
        <w:t>XLV.-</w:t>
      </w:r>
      <w:r>
        <w:rPr>
          <w:rFonts w:ascii="Abadi" w:hAnsi="Abadi" w:cs="ArialMT"/>
          <w:b/>
          <w:bCs/>
          <w:sz w:val="21"/>
          <w:szCs w:val="21"/>
        </w:rPr>
        <w:t xml:space="preserve"> </w:t>
      </w:r>
      <w:r w:rsidRPr="00C40978">
        <w:rPr>
          <w:rFonts w:ascii="Abadi" w:hAnsi="Abadi" w:cs="ArialMT"/>
          <w:sz w:val="21"/>
          <w:szCs w:val="21"/>
        </w:rPr>
        <w:t>Asuntos generales.</w:t>
      </w:r>
    </w:p>
    <w:p w14:paraId="4F99B8D6" w14:textId="77777777" w:rsidR="0085055B" w:rsidRDefault="0085055B" w:rsidP="0085055B">
      <w:pPr>
        <w:autoSpaceDE w:val="0"/>
        <w:autoSpaceDN w:val="0"/>
        <w:adjustRightInd w:val="0"/>
        <w:jc w:val="both"/>
        <w:rPr>
          <w:rFonts w:ascii="Abadi" w:hAnsi="Abadi" w:cs="ArialMT"/>
          <w:sz w:val="21"/>
          <w:szCs w:val="21"/>
        </w:rPr>
      </w:pPr>
    </w:p>
    <w:p w14:paraId="305DA581" w14:textId="5754C647" w:rsidR="0085055B" w:rsidRDefault="0085055B" w:rsidP="0085055B">
      <w:pPr>
        <w:ind w:firstLine="708"/>
        <w:jc w:val="both"/>
        <w:rPr>
          <w:rFonts w:ascii="Abadi" w:hAnsi="Abadi" w:cs="ArialMT"/>
          <w:sz w:val="21"/>
          <w:szCs w:val="21"/>
        </w:rPr>
      </w:pPr>
      <w:r w:rsidRPr="00640FF8">
        <w:rPr>
          <w:rFonts w:ascii="Abadi" w:hAnsi="Abadi" w:cs="ArialMT"/>
          <w:b/>
          <w:bCs/>
          <w:sz w:val="21"/>
          <w:szCs w:val="21"/>
        </w:rPr>
        <w:t>- El Presidente.</w:t>
      </w:r>
      <w:r>
        <w:rPr>
          <w:rFonts w:ascii="Abadi" w:hAnsi="Abadi" w:cs="ArialMT"/>
          <w:b/>
          <w:bCs/>
          <w:sz w:val="21"/>
          <w:szCs w:val="21"/>
        </w:rPr>
        <w:t>-</w:t>
      </w:r>
      <w:r w:rsidRPr="00640FF8">
        <w:rPr>
          <w:rFonts w:ascii="Abadi" w:hAnsi="Abadi" w:cs="ArialMT"/>
          <w:sz w:val="21"/>
          <w:szCs w:val="21"/>
        </w:rPr>
        <w:t xml:space="preserve"> Gracias diputado Jorge Ortiz la propuesta de orden del día está a consideración de las diputadas y de los diputados s desean hacer uso de la palabra indiquenlo a esta Presidencia. </w:t>
      </w:r>
    </w:p>
    <w:p w14:paraId="6A477825" w14:textId="77777777" w:rsidR="0085055B" w:rsidRPr="00640FF8" w:rsidRDefault="0085055B" w:rsidP="0085055B">
      <w:pPr>
        <w:ind w:firstLine="708"/>
        <w:jc w:val="both"/>
        <w:rPr>
          <w:rFonts w:ascii="Abadi" w:hAnsi="Abadi" w:cs="ArialMT"/>
          <w:sz w:val="21"/>
          <w:szCs w:val="21"/>
        </w:rPr>
      </w:pPr>
    </w:p>
    <w:p w14:paraId="13A315E4" w14:textId="77777777" w:rsidR="0085055B" w:rsidRPr="003E61F9" w:rsidRDefault="0085055B" w:rsidP="0085055B">
      <w:pPr>
        <w:autoSpaceDE w:val="0"/>
        <w:autoSpaceDN w:val="0"/>
        <w:adjustRightInd w:val="0"/>
        <w:jc w:val="both"/>
        <w:rPr>
          <w:rFonts w:ascii="Abadi" w:hAnsi="Abadi" w:cs="ArialMT"/>
          <w:sz w:val="21"/>
          <w:szCs w:val="21"/>
        </w:rPr>
      </w:pPr>
      <w:r>
        <w:rPr>
          <w:rFonts w:ascii="Abadi" w:hAnsi="Abadi" w:cs="ArialMT"/>
          <w:sz w:val="21"/>
          <w:szCs w:val="21"/>
        </w:rPr>
        <w:tab/>
      </w:r>
      <w:r w:rsidRPr="003E61F9">
        <w:rPr>
          <w:rFonts w:ascii="Abadi" w:hAnsi="Abadi" w:cs="ArialMT"/>
          <w:b/>
          <w:bCs/>
          <w:sz w:val="21"/>
          <w:szCs w:val="21"/>
        </w:rPr>
        <w:t>- El Presidente.-</w:t>
      </w:r>
      <w:r w:rsidRPr="003E61F9">
        <w:rPr>
          <w:rFonts w:ascii="Abadi" w:hAnsi="Abadi" w:cs="ArialMT"/>
          <w:sz w:val="21"/>
          <w:szCs w:val="21"/>
        </w:rPr>
        <w:t xml:space="preserve"> En virtud de que ninguna diputada y ningún diputado desea hacer uso de la palabra se ruega a la Secretaría que en votación económica a través del sistema electrónico pregunte a la asamblea si es de aprobarse el orden del día puesto a su consideración.</w:t>
      </w:r>
    </w:p>
    <w:p w14:paraId="728B7F00" w14:textId="77777777" w:rsidR="0085055B" w:rsidRDefault="0085055B" w:rsidP="0085055B">
      <w:pPr>
        <w:ind w:firstLine="708"/>
        <w:jc w:val="both"/>
        <w:rPr>
          <w:rFonts w:ascii="Abadi" w:hAnsi="Abadi"/>
          <w:b/>
          <w:bCs/>
          <w:sz w:val="28"/>
          <w:szCs w:val="28"/>
        </w:rPr>
      </w:pPr>
    </w:p>
    <w:p w14:paraId="6C942586" w14:textId="52D901ED" w:rsidR="0085055B" w:rsidRDefault="0085055B" w:rsidP="0085055B">
      <w:pPr>
        <w:ind w:firstLine="708"/>
        <w:jc w:val="both"/>
        <w:rPr>
          <w:rFonts w:ascii="Abadi" w:hAnsi="Abadi"/>
          <w:b/>
          <w:bCs/>
          <w:sz w:val="21"/>
          <w:szCs w:val="21"/>
        </w:rPr>
      </w:pPr>
      <w:r w:rsidRPr="00F44B59">
        <w:rPr>
          <w:rFonts w:ascii="Abadi" w:hAnsi="Abadi"/>
          <w:b/>
          <w:bCs/>
          <w:sz w:val="21"/>
          <w:szCs w:val="21"/>
        </w:rPr>
        <w:t>(Se abre nuestro sistema)</w:t>
      </w:r>
    </w:p>
    <w:p w14:paraId="6A2BBCCF" w14:textId="77777777" w:rsidR="0085055B" w:rsidRPr="00F44B59" w:rsidRDefault="0085055B" w:rsidP="0085055B">
      <w:pPr>
        <w:ind w:firstLine="708"/>
        <w:jc w:val="both"/>
        <w:rPr>
          <w:rFonts w:ascii="Abadi" w:hAnsi="Abadi"/>
          <w:b/>
          <w:bCs/>
          <w:sz w:val="21"/>
          <w:szCs w:val="21"/>
        </w:rPr>
      </w:pPr>
    </w:p>
    <w:p w14:paraId="0A706FB5" w14:textId="2AF737A1" w:rsidR="0085055B" w:rsidRDefault="0085055B" w:rsidP="0085055B">
      <w:pPr>
        <w:ind w:firstLine="708"/>
        <w:jc w:val="both"/>
        <w:rPr>
          <w:rFonts w:ascii="Abadi" w:hAnsi="Abadi"/>
          <w:sz w:val="21"/>
          <w:szCs w:val="21"/>
        </w:rPr>
      </w:pPr>
      <w:r w:rsidRPr="00F44B59">
        <w:rPr>
          <w:rFonts w:ascii="Abadi" w:hAnsi="Abadi"/>
          <w:b/>
          <w:bCs/>
          <w:sz w:val="21"/>
          <w:szCs w:val="21"/>
        </w:rPr>
        <w:t xml:space="preserve"> - El Secretario.- </w:t>
      </w:r>
      <w:r w:rsidRPr="00F44B59">
        <w:rPr>
          <w:rFonts w:ascii="Abadi" w:hAnsi="Abadi"/>
          <w:sz w:val="21"/>
          <w:szCs w:val="21"/>
        </w:rPr>
        <w:t>Por instrucciones de la presidencia en votación económica se pregunta a las diputadas y los diputados si se aprueba el orden del día mediante el sistema electrónico.</w:t>
      </w:r>
    </w:p>
    <w:p w14:paraId="691DDA93" w14:textId="77777777" w:rsidR="0085055B" w:rsidRPr="00F44B59" w:rsidRDefault="0085055B" w:rsidP="0085055B">
      <w:pPr>
        <w:ind w:firstLine="708"/>
        <w:jc w:val="both"/>
        <w:rPr>
          <w:rFonts w:ascii="Abadi" w:hAnsi="Abadi"/>
          <w:sz w:val="21"/>
          <w:szCs w:val="21"/>
        </w:rPr>
      </w:pPr>
    </w:p>
    <w:p w14:paraId="167A2722" w14:textId="3957375C" w:rsidR="0085055B" w:rsidRDefault="0085055B" w:rsidP="0085055B">
      <w:pPr>
        <w:ind w:firstLine="708"/>
        <w:jc w:val="both"/>
        <w:rPr>
          <w:rFonts w:ascii="Abadi" w:hAnsi="Abadi"/>
          <w:sz w:val="21"/>
          <w:szCs w:val="21"/>
        </w:rPr>
      </w:pPr>
      <w:r w:rsidRPr="00F44B59">
        <w:rPr>
          <w:rFonts w:ascii="Abadi" w:hAnsi="Abadi"/>
          <w:sz w:val="21"/>
          <w:szCs w:val="21"/>
        </w:rPr>
        <w:t>¿Falta alguna diputada o algún diputado de emitir su voto?</w:t>
      </w:r>
    </w:p>
    <w:p w14:paraId="61F384DC" w14:textId="77777777" w:rsidR="0085055B" w:rsidRPr="00F44B59" w:rsidRDefault="0085055B" w:rsidP="0085055B">
      <w:pPr>
        <w:ind w:firstLine="708"/>
        <w:jc w:val="both"/>
        <w:rPr>
          <w:rFonts w:ascii="Abadi" w:hAnsi="Abadi"/>
          <w:sz w:val="21"/>
          <w:szCs w:val="21"/>
        </w:rPr>
      </w:pPr>
    </w:p>
    <w:p w14:paraId="673BF58D" w14:textId="41B6AFAB" w:rsidR="0085055B" w:rsidRPr="00F44B59" w:rsidRDefault="0085055B" w:rsidP="0085055B">
      <w:pPr>
        <w:ind w:firstLine="708"/>
        <w:jc w:val="both"/>
        <w:rPr>
          <w:rFonts w:ascii="Abadi" w:hAnsi="Abadi"/>
          <w:b/>
          <w:bCs/>
          <w:sz w:val="21"/>
          <w:szCs w:val="21"/>
        </w:rPr>
      </w:pPr>
      <w:r w:rsidRPr="00F44B59">
        <w:rPr>
          <w:noProof/>
          <w:sz w:val="21"/>
          <w:szCs w:val="21"/>
        </w:rPr>
        <w:drawing>
          <wp:anchor distT="0" distB="0" distL="114300" distR="114300" simplePos="0" relativeHeight="251667456" behindDoc="0" locked="0" layoutInCell="1" allowOverlap="1" wp14:anchorId="29808B5B" wp14:editId="10D41746">
            <wp:simplePos x="0" y="0"/>
            <wp:positionH relativeFrom="column">
              <wp:posOffset>647700</wp:posOffset>
            </wp:positionH>
            <wp:positionV relativeFrom="paragraph">
              <wp:posOffset>379730</wp:posOffset>
            </wp:positionV>
            <wp:extent cx="1634320" cy="866418"/>
            <wp:effectExtent l="228600" t="228600" r="233045" b="219710"/>
            <wp:wrapSquare wrapText="bothSides"/>
            <wp:docPr id="12" name="Imagen 12"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Interfaz de usuario gráfica, Sitio web&#10;&#10;Descripción generada automáticamente"/>
                    <pic:cNvPicPr/>
                  </pic:nvPicPr>
                  <pic:blipFill rotWithShape="1">
                    <a:blip r:embed="rId16" cstate="print">
                      <a:extLst>
                        <a:ext uri="{28A0092B-C50C-407E-A947-70E740481C1C}">
                          <a14:useLocalDpi xmlns:a14="http://schemas.microsoft.com/office/drawing/2010/main" val="0"/>
                        </a:ext>
                      </a:extLst>
                    </a:blip>
                    <a:srcRect b="5746"/>
                    <a:stretch/>
                  </pic:blipFill>
                  <pic:spPr bwMode="auto">
                    <a:xfrm>
                      <a:off x="0" y="0"/>
                      <a:ext cx="1634320" cy="866418"/>
                    </a:xfrm>
                    <a:prstGeom prst="rect">
                      <a:avLst/>
                    </a:prstGeom>
                    <a:ln>
                      <a:noFill/>
                    </a:ln>
                    <a:effectLst>
                      <a:glow rad="228600">
                        <a:schemeClr val="accent3">
                          <a:satMod val="175000"/>
                          <a:alpha val="40000"/>
                        </a:schemeClr>
                      </a:glow>
                    </a:effectLst>
                    <a:extLst>
                      <a:ext uri="{53640926-AAD7-44D8-BBD7-CCE9431645EC}">
                        <a14:shadowObscured xmlns:a14="http://schemas.microsoft.com/office/drawing/2010/main"/>
                      </a:ext>
                    </a:extLst>
                  </pic:spPr>
                </pic:pic>
              </a:graphicData>
            </a:graphic>
          </wp:anchor>
        </w:drawing>
      </w:r>
      <w:r w:rsidRPr="00F44B59">
        <w:rPr>
          <w:rFonts w:ascii="Abadi" w:hAnsi="Abadi"/>
          <w:sz w:val="21"/>
          <w:szCs w:val="21"/>
        </w:rPr>
        <w:t xml:space="preserve"> </w:t>
      </w:r>
      <w:r w:rsidRPr="00F44B59">
        <w:rPr>
          <w:rFonts w:ascii="Abadi" w:hAnsi="Abadi"/>
          <w:b/>
          <w:bCs/>
          <w:sz w:val="21"/>
          <w:szCs w:val="21"/>
        </w:rPr>
        <w:t>(Se cierra el sistema electrónico)</w:t>
      </w:r>
    </w:p>
    <w:p w14:paraId="024816E4" w14:textId="187E01CC" w:rsidR="0085055B" w:rsidRDefault="0085055B" w:rsidP="0085055B">
      <w:pPr>
        <w:ind w:firstLine="708"/>
        <w:jc w:val="both"/>
        <w:rPr>
          <w:rFonts w:ascii="Abadi" w:hAnsi="Abadi"/>
          <w:sz w:val="21"/>
          <w:szCs w:val="21"/>
        </w:rPr>
      </w:pPr>
      <w:r w:rsidRPr="00F44B59">
        <w:rPr>
          <w:rFonts w:ascii="Abadi" w:hAnsi="Abadi"/>
          <w:b/>
          <w:bCs/>
          <w:sz w:val="21"/>
          <w:szCs w:val="21"/>
        </w:rPr>
        <w:br w:type="textWrapping" w:clear="all"/>
      </w:r>
      <w:r w:rsidRPr="00F44B59">
        <w:rPr>
          <w:rFonts w:ascii="Abadi" w:hAnsi="Abadi"/>
          <w:b/>
          <w:bCs/>
          <w:sz w:val="21"/>
          <w:szCs w:val="21"/>
        </w:rPr>
        <w:tab/>
        <w:t xml:space="preserve">- El Secretario.-  </w:t>
      </w:r>
      <w:r w:rsidRPr="009A5679">
        <w:rPr>
          <w:rFonts w:ascii="Abadi" w:hAnsi="Abadi"/>
          <w:sz w:val="21"/>
          <w:szCs w:val="21"/>
        </w:rPr>
        <w:t>S</w:t>
      </w:r>
      <w:r w:rsidRPr="00F44B59">
        <w:rPr>
          <w:rFonts w:ascii="Abadi" w:hAnsi="Abadi"/>
          <w:sz w:val="21"/>
          <w:szCs w:val="21"/>
        </w:rPr>
        <w:t>e registraron 34 votos a favor.</w:t>
      </w:r>
    </w:p>
    <w:p w14:paraId="3517BE4F" w14:textId="77777777" w:rsidR="0085055B" w:rsidRPr="00F44B59" w:rsidRDefault="0085055B" w:rsidP="0085055B">
      <w:pPr>
        <w:ind w:firstLine="708"/>
        <w:jc w:val="both"/>
        <w:rPr>
          <w:rFonts w:ascii="Abadi" w:hAnsi="Abadi"/>
          <w:sz w:val="21"/>
          <w:szCs w:val="21"/>
        </w:rPr>
      </w:pPr>
    </w:p>
    <w:p w14:paraId="22A2D530" w14:textId="3D448B8F" w:rsidR="0085055B" w:rsidRDefault="0085055B" w:rsidP="0085055B">
      <w:pPr>
        <w:ind w:firstLine="708"/>
        <w:jc w:val="both"/>
        <w:rPr>
          <w:rFonts w:ascii="Abadi" w:hAnsi="Abadi"/>
          <w:sz w:val="21"/>
          <w:szCs w:val="21"/>
        </w:rPr>
      </w:pPr>
      <w:r w:rsidRPr="00F44B59">
        <w:rPr>
          <w:rFonts w:ascii="Abadi" w:hAnsi="Abadi"/>
          <w:sz w:val="21"/>
          <w:szCs w:val="21"/>
        </w:rPr>
        <w:t xml:space="preserve"> </w:t>
      </w:r>
      <w:r w:rsidRPr="00F44B59">
        <w:rPr>
          <w:rFonts w:ascii="Abadi" w:hAnsi="Abadi" w:cs="ArialMT"/>
          <w:b/>
          <w:bCs/>
          <w:sz w:val="21"/>
          <w:szCs w:val="21"/>
        </w:rPr>
        <w:t xml:space="preserve">- El Presidente.- </w:t>
      </w:r>
      <w:r w:rsidRPr="00F44B59">
        <w:rPr>
          <w:rFonts w:ascii="Abadi" w:hAnsi="Abadi"/>
          <w:sz w:val="21"/>
          <w:szCs w:val="21"/>
        </w:rPr>
        <w:t>El orden del día ha sido aprobada por unanimidad de votos.</w:t>
      </w:r>
    </w:p>
    <w:p w14:paraId="09AABF26" w14:textId="77777777" w:rsidR="0085055B" w:rsidRPr="00F44B59" w:rsidRDefault="0085055B" w:rsidP="0085055B">
      <w:pPr>
        <w:ind w:firstLine="708"/>
        <w:jc w:val="both"/>
        <w:rPr>
          <w:rFonts w:ascii="Abadi" w:hAnsi="Abadi"/>
          <w:sz w:val="21"/>
          <w:szCs w:val="21"/>
        </w:rPr>
      </w:pPr>
    </w:p>
    <w:p w14:paraId="5BD95A4B" w14:textId="7673D23E" w:rsidR="0085055B" w:rsidRDefault="0085055B" w:rsidP="0085055B">
      <w:pPr>
        <w:ind w:firstLine="708"/>
        <w:jc w:val="both"/>
        <w:rPr>
          <w:rFonts w:ascii="Abadi" w:hAnsi="Abadi"/>
          <w:sz w:val="21"/>
          <w:szCs w:val="21"/>
        </w:rPr>
      </w:pPr>
      <w:r w:rsidRPr="008F09E2">
        <w:rPr>
          <w:rFonts w:ascii="Abadi" w:hAnsi="Abadi"/>
          <w:sz w:val="28"/>
          <w:szCs w:val="28"/>
        </w:rPr>
        <w:t xml:space="preserve"> </w:t>
      </w:r>
      <w:r w:rsidRPr="00AA7107">
        <w:rPr>
          <w:rFonts w:ascii="Abadi" w:hAnsi="Abadi"/>
          <w:sz w:val="21"/>
          <w:szCs w:val="21"/>
        </w:rPr>
        <w:t xml:space="preserve">- Damos cuenta de la incorporación a esta Sesión de la diputada Alma Edwviges Alcaraz Hernández, de la diputada Angélica Casillas Martínez, del diputado Bricio Balderas Álvarez, de la diputada Briseida Anabel Magdaleno González, de la diputada Dessire Angel Rocha, del diputado Gerardo Fernández González, de la diputada Hades Berenice Aguilar Castillo, de la diputada Janet Melanie Murillo Chávez, de la diputada Laura Cristina Márquez Alcalá, de la diputada de </w:t>
      </w:r>
      <w:r>
        <w:rPr>
          <w:rFonts w:ascii="Abadi" w:hAnsi="Abadi"/>
          <w:sz w:val="21"/>
          <w:szCs w:val="21"/>
        </w:rPr>
        <w:t xml:space="preserve">Noemí </w:t>
      </w:r>
      <w:r w:rsidRPr="00AA7107">
        <w:rPr>
          <w:rFonts w:ascii="Abadi" w:hAnsi="Abadi"/>
          <w:sz w:val="21"/>
          <w:szCs w:val="21"/>
        </w:rPr>
        <w:t>Márquez Márquez y de la diputada Yulma Rocha Aguilar.</w:t>
      </w:r>
    </w:p>
    <w:p w14:paraId="545592A0" w14:textId="77777777" w:rsidR="0085055B" w:rsidRPr="00AA7107" w:rsidRDefault="0085055B" w:rsidP="0085055B">
      <w:pPr>
        <w:ind w:firstLine="708"/>
        <w:jc w:val="both"/>
        <w:rPr>
          <w:rFonts w:ascii="Abadi" w:hAnsi="Abadi"/>
          <w:sz w:val="21"/>
          <w:szCs w:val="21"/>
        </w:rPr>
      </w:pPr>
    </w:p>
    <w:p w14:paraId="3C69E782" w14:textId="71E6F8EF" w:rsidR="0085055B" w:rsidRDefault="0085055B" w:rsidP="0085055B">
      <w:pPr>
        <w:ind w:firstLine="708"/>
        <w:jc w:val="both"/>
        <w:rPr>
          <w:rFonts w:ascii="Abadi" w:hAnsi="Abadi"/>
          <w:sz w:val="21"/>
          <w:szCs w:val="21"/>
        </w:rPr>
      </w:pPr>
      <w:r w:rsidRPr="00AA7107">
        <w:rPr>
          <w:rFonts w:ascii="Abadi" w:hAnsi="Abadi"/>
          <w:sz w:val="21"/>
          <w:szCs w:val="21"/>
        </w:rPr>
        <w:t>- Esta presidencia da la más cordial de la bienvenida a las Señoras de la comunidad mujeres de la comunidad con «Comanjilla del municipio de Silao de la Victoria» invitadas por la diputada Janet Melanie Murillo Chávez del Grupo Parlamentario del Partido Acción Nacional, sean ustedes bienvenidas a este su Congreso.</w:t>
      </w:r>
    </w:p>
    <w:p w14:paraId="44E8EFD8" w14:textId="77777777" w:rsidR="0085055B" w:rsidRPr="00AA7107" w:rsidRDefault="0085055B" w:rsidP="0085055B">
      <w:pPr>
        <w:ind w:firstLine="708"/>
        <w:jc w:val="both"/>
        <w:rPr>
          <w:rFonts w:ascii="Abadi" w:hAnsi="Abadi"/>
          <w:sz w:val="21"/>
          <w:szCs w:val="21"/>
        </w:rPr>
      </w:pPr>
    </w:p>
    <w:p w14:paraId="45E32E28" w14:textId="37461799" w:rsidR="0085055B" w:rsidRDefault="0085055B" w:rsidP="0085055B">
      <w:pPr>
        <w:tabs>
          <w:tab w:val="left" w:pos="1890"/>
        </w:tabs>
        <w:ind w:firstLine="708"/>
        <w:jc w:val="both"/>
        <w:rPr>
          <w:rFonts w:ascii="Abadi" w:hAnsi="Abadi"/>
          <w:sz w:val="21"/>
          <w:szCs w:val="21"/>
        </w:rPr>
      </w:pPr>
      <w:r w:rsidRPr="00AA7107">
        <w:rPr>
          <w:rFonts w:ascii="Abadi" w:hAnsi="Abadi"/>
          <w:sz w:val="21"/>
          <w:szCs w:val="21"/>
        </w:rPr>
        <w:t xml:space="preserve"> - Así también esta presidencia da la más cordial bienvenida a integrantes del «Colegio Valenciano» invitados por la diputada Lilia Margarita Rionda Salas a las alumnas y alumnos sean bienvenidas y bienvenidos a este su Congreso.</w:t>
      </w:r>
    </w:p>
    <w:p w14:paraId="1704122A" w14:textId="77777777" w:rsidR="0085055B" w:rsidRPr="00AA7107" w:rsidRDefault="0085055B" w:rsidP="0085055B">
      <w:pPr>
        <w:tabs>
          <w:tab w:val="left" w:pos="1890"/>
        </w:tabs>
        <w:ind w:firstLine="708"/>
        <w:jc w:val="both"/>
        <w:rPr>
          <w:rFonts w:ascii="Abadi" w:hAnsi="Abadi"/>
          <w:sz w:val="21"/>
          <w:szCs w:val="21"/>
        </w:rPr>
      </w:pPr>
    </w:p>
    <w:p w14:paraId="376E9CC2" w14:textId="77777777" w:rsidR="0085055B" w:rsidRPr="00AA7107" w:rsidRDefault="0085055B" w:rsidP="0085055B">
      <w:pPr>
        <w:ind w:firstLine="708"/>
        <w:jc w:val="both"/>
        <w:rPr>
          <w:rFonts w:ascii="Abadi" w:hAnsi="Abadi"/>
          <w:sz w:val="21"/>
          <w:szCs w:val="21"/>
        </w:rPr>
      </w:pPr>
      <w:r w:rsidRPr="00AA7107">
        <w:rPr>
          <w:rFonts w:ascii="Abadi" w:hAnsi="Abadi"/>
          <w:sz w:val="21"/>
          <w:szCs w:val="21"/>
        </w:rPr>
        <w:t xml:space="preserve">- También doy cuenta de la presencia de la diputada Lilia Margarita Rionda Salas. </w:t>
      </w:r>
    </w:p>
    <w:p w14:paraId="3EF3F729" w14:textId="77777777" w:rsidR="0085055B" w:rsidRDefault="0085055B" w:rsidP="0085055B">
      <w:pPr>
        <w:autoSpaceDE w:val="0"/>
        <w:autoSpaceDN w:val="0"/>
        <w:adjustRightInd w:val="0"/>
        <w:jc w:val="both"/>
        <w:rPr>
          <w:rFonts w:ascii="Abadi" w:hAnsi="Abadi" w:cs="ArialMT"/>
          <w:sz w:val="21"/>
          <w:szCs w:val="21"/>
        </w:rPr>
      </w:pPr>
    </w:p>
    <w:p w14:paraId="7FDCDB2C" w14:textId="3351E4BB" w:rsidR="00D676EB" w:rsidRDefault="00D676EB" w:rsidP="004F3C84">
      <w:pPr>
        <w:kinsoku w:val="0"/>
        <w:overflowPunct w:val="0"/>
        <w:autoSpaceDE w:val="0"/>
        <w:autoSpaceDN w:val="0"/>
        <w:adjustRightInd w:val="0"/>
        <w:jc w:val="both"/>
        <w:rPr>
          <w:rFonts w:ascii="Abadi" w:hAnsi="Abadi"/>
          <w:sz w:val="21"/>
          <w:szCs w:val="21"/>
        </w:rPr>
      </w:pPr>
    </w:p>
    <w:p w14:paraId="5B262768" w14:textId="659D4ED8" w:rsidR="000218BD" w:rsidRDefault="00362AB6">
      <w:pPr>
        <w:pStyle w:val="Estilo1"/>
        <w:numPr>
          <w:ilvl w:val="0"/>
          <w:numId w:val="5"/>
        </w:numPr>
        <w:tabs>
          <w:tab w:val="clear" w:pos="4059"/>
        </w:tabs>
        <w:ind w:left="426" w:right="0"/>
        <w:rPr>
          <w:rFonts w:ascii="Abadi" w:hAnsi="Abadi"/>
          <w:b w:val="0"/>
          <w:bCs w:val="0"/>
          <w:sz w:val="21"/>
          <w:szCs w:val="21"/>
        </w:rPr>
      </w:pPr>
      <w:r w:rsidRPr="0047247E">
        <w:rPr>
          <w:rFonts w:ascii="Abadi" w:hAnsi="Abadi"/>
          <w:sz w:val="21"/>
          <w:szCs w:val="21"/>
        </w:rPr>
        <w:t>LECTURA Y, EN SU CASO, APROBACIÓN DE</w:t>
      </w:r>
      <w:r w:rsidR="00326A0F">
        <w:rPr>
          <w:rFonts w:ascii="Abadi" w:hAnsi="Abadi"/>
          <w:sz w:val="21"/>
          <w:szCs w:val="21"/>
        </w:rPr>
        <w:t>L</w:t>
      </w:r>
      <w:r w:rsidRPr="0047247E">
        <w:rPr>
          <w:rFonts w:ascii="Abadi" w:hAnsi="Abadi"/>
          <w:sz w:val="21"/>
          <w:szCs w:val="21"/>
        </w:rPr>
        <w:t xml:space="preserve"> ACTA</w:t>
      </w:r>
      <w:r w:rsidR="00326A0F">
        <w:rPr>
          <w:rFonts w:ascii="Abadi" w:hAnsi="Abadi"/>
          <w:sz w:val="21"/>
          <w:szCs w:val="21"/>
        </w:rPr>
        <w:t xml:space="preserve"> </w:t>
      </w:r>
      <w:r w:rsidRPr="0047247E">
        <w:rPr>
          <w:rFonts w:ascii="Abadi" w:hAnsi="Abadi"/>
          <w:sz w:val="21"/>
          <w:szCs w:val="21"/>
        </w:rPr>
        <w:t xml:space="preserve">DE </w:t>
      </w:r>
      <w:r w:rsidR="000B1EF7">
        <w:rPr>
          <w:rFonts w:ascii="Abadi" w:hAnsi="Abadi"/>
          <w:sz w:val="21"/>
          <w:szCs w:val="21"/>
        </w:rPr>
        <w:t>06</w:t>
      </w:r>
      <w:r w:rsidRPr="0047247E">
        <w:rPr>
          <w:rFonts w:ascii="Abadi" w:hAnsi="Abadi"/>
          <w:spacing w:val="15"/>
          <w:sz w:val="21"/>
          <w:szCs w:val="21"/>
        </w:rPr>
        <w:t xml:space="preserve"> </w:t>
      </w:r>
      <w:r w:rsidRPr="0047247E">
        <w:rPr>
          <w:rFonts w:ascii="Abadi" w:hAnsi="Abadi"/>
          <w:sz w:val="21"/>
          <w:szCs w:val="21"/>
        </w:rPr>
        <w:t>DE</w:t>
      </w:r>
      <w:r w:rsidRPr="0047247E">
        <w:rPr>
          <w:rFonts w:ascii="Abadi" w:hAnsi="Abadi"/>
          <w:spacing w:val="15"/>
          <w:sz w:val="21"/>
          <w:szCs w:val="21"/>
        </w:rPr>
        <w:t xml:space="preserve"> </w:t>
      </w:r>
      <w:r w:rsidR="002F0121">
        <w:rPr>
          <w:rFonts w:ascii="Abadi" w:hAnsi="Abadi"/>
          <w:sz w:val="21"/>
          <w:szCs w:val="21"/>
        </w:rPr>
        <w:t xml:space="preserve">OCTUBRE </w:t>
      </w:r>
      <w:r w:rsidRPr="0047247E">
        <w:rPr>
          <w:rFonts w:ascii="Abadi" w:hAnsi="Abadi"/>
          <w:sz w:val="21"/>
          <w:szCs w:val="21"/>
        </w:rPr>
        <w:t>DEL</w:t>
      </w:r>
      <w:r w:rsidRPr="0047247E">
        <w:rPr>
          <w:rFonts w:ascii="Abadi" w:hAnsi="Abadi"/>
          <w:spacing w:val="15"/>
          <w:sz w:val="21"/>
          <w:szCs w:val="21"/>
        </w:rPr>
        <w:t xml:space="preserve"> </w:t>
      </w:r>
      <w:r w:rsidRPr="0047247E">
        <w:rPr>
          <w:rFonts w:ascii="Abadi" w:hAnsi="Abadi"/>
          <w:sz w:val="21"/>
          <w:szCs w:val="21"/>
        </w:rPr>
        <w:t>AÑO</w:t>
      </w:r>
      <w:r w:rsidRPr="0047247E">
        <w:rPr>
          <w:rFonts w:ascii="Abadi" w:hAnsi="Abadi"/>
          <w:spacing w:val="15"/>
          <w:sz w:val="21"/>
          <w:szCs w:val="21"/>
        </w:rPr>
        <w:t xml:space="preserve"> </w:t>
      </w:r>
      <w:r w:rsidRPr="0047247E">
        <w:rPr>
          <w:rFonts w:ascii="Abadi" w:hAnsi="Abadi"/>
          <w:sz w:val="21"/>
          <w:szCs w:val="21"/>
        </w:rPr>
        <w:t>EN CURSO</w:t>
      </w:r>
    </w:p>
    <w:p w14:paraId="61C297C5" w14:textId="77777777" w:rsidR="000218BD" w:rsidRDefault="000218BD" w:rsidP="000218BD">
      <w:pPr>
        <w:pStyle w:val="Default"/>
        <w:jc w:val="center"/>
        <w:rPr>
          <w:rFonts w:ascii="Abadi" w:hAnsi="Abadi"/>
          <w:b/>
          <w:bCs/>
          <w:sz w:val="21"/>
          <w:szCs w:val="21"/>
        </w:rPr>
      </w:pPr>
    </w:p>
    <w:p w14:paraId="366E6ABB" w14:textId="51A2D3B1" w:rsidR="00362AB6" w:rsidRDefault="00362AB6" w:rsidP="00362AB6">
      <w:pPr>
        <w:jc w:val="center"/>
        <w:rPr>
          <w:rFonts w:ascii="Abadi" w:hAnsi="Abadi"/>
          <w:b/>
          <w:bCs/>
          <w:sz w:val="21"/>
          <w:szCs w:val="21"/>
        </w:rPr>
      </w:pPr>
      <w:bookmarkStart w:id="1" w:name="_Hlk105533636"/>
      <w:r w:rsidRPr="00846D35">
        <w:rPr>
          <w:rFonts w:ascii="Abadi" w:hAnsi="Abadi"/>
          <w:b/>
          <w:bCs/>
          <w:sz w:val="21"/>
          <w:szCs w:val="21"/>
        </w:rPr>
        <w:t>ACTA NÚMERO 3</w:t>
      </w:r>
      <w:r w:rsidR="002F0121">
        <w:rPr>
          <w:rFonts w:ascii="Abadi" w:hAnsi="Abadi"/>
          <w:b/>
          <w:bCs/>
          <w:sz w:val="21"/>
          <w:szCs w:val="21"/>
        </w:rPr>
        <w:t>9</w:t>
      </w:r>
    </w:p>
    <w:p w14:paraId="450160E0" w14:textId="77777777" w:rsidR="00362AB6" w:rsidRDefault="00362AB6" w:rsidP="00362AB6">
      <w:pPr>
        <w:jc w:val="center"/>
        <w:rPr>
          <w:rFonts w:ascii="Abadi" w:hAnsi="Abadi"/>
          <w:b/>
          <w:bCs/>
          <w:sz w:val="21"/>
          <w:szCs w:val="21"/>
        </w:rPr>
      </w:pPr>
      <w:r w:rsidRPr="00846D35">
        <w:rPr>
          <w:rFonts w:ascii="Abadi" w:hAnsi="Abadi"/>
          <w:b/>
          <w:bCs/>
          <w:sz w:val="21"/>
          <w:szCs w:val="21"/>
        </w:rPr>
        <w:lastRenderedPageBreak/>
        <w:t>SEXAGÉSIMA QUINTA LEGISLATURA CONSTITUCIONAL DEL ESTADO LIBRE Y SOBERANO DE GUANAJUATO</w:t>
      </w:r>
    </w:p>
    <w:p w14:paraId="4C5B63EF" w14:textId="77777777" w:rsidR="00614FB5" w:rsidRPr="00614FB5" w:rsidRDefault="00614FB5" w:rsidP="00614FB5">
      <w:pPr>
        <w:jc w:val="center"/>
        <w:rPr>
          <w:rFonts w:ascii="Abadi" w:hAnsi="Abadi"/>
          <w:b/>
          <w:bCs/>
          <w:sz w:val="21"/>
          <w:szCs w:val="21"/>
        </w:rPr>
      </w:pPr>
      <w:r w:rsidRPr="00614FB5">
        <w:rPr>
          <w:rFonts w:ascii="Eras Bold ITC" w:eastAsiaTheme="minorHAnsi" w:hAnsi="Eras Bold ITC" w:cs="Eras Bold ITC"/>
          <w:color w:val="000000"/>
          <w:lang w:val="es-MX" w:eastAsia="en-US"/>
        </w:rPr>
        <w:t xml:space="preserve"> </w:t>
      </w:r>
      <w:r w:rsidRPr="00614FB5">
        <w:rPr>
          <w:rFonts w:ascii="Abadi" w:hAnsi="Abadi"/>
          <w:b/>
          <w:bCs/>
          <w:sz w:val="21"/>
          <w:szCs w:val="21"/>
        </w:rPr>
        <w:t>PRIMER PERIODO ORDINARIO DE SESIONES SEGUNDO AÑO DE EJERCICIO CONSTITUCIONAL SESIÓN CELEBRADA EL</w:t>
      </w:r>
      <w:r w:rsidRPr="00614FB5">
        <w:rPr>
          <w:rFonts w:ascii="Eras Bold ITC" w:eastAsiaTheme="minorHAnsi" w:hAnsi="Eras Bold ITC" w:cs="Eras Bold ITC"/>
          <w:color w:val="000000"/>
          <w:sz w:val="19"/>
          <w:szCs w:val="19"/>
          <w:lang w:val="es-MX" w:eastAsia="en-US"/>
        </w:rPr>
        <w:t xml:space="preserve"> 29 </w:t>
      </w:r>
      <w:r w:rsidRPr="00614FB5">
        <w:rPr>
          <w:rFonts w:ascii="Abadi" w:hAnsi="Abadi"/>
          <w:b/>
          <w:bCs/>
          <w:sz w:val="21"/>
          <w:szCs w:val="21"/>
        </w:rPr>
        <w:t xml:space="preserve">DE SEPTIEMBRE DE 2022 </w:t>
      </w:r>
    </w:p>
    <w:p w14:paraId="014341C4" w14:textId="77777777" w:rsidR="00614FB5" w:rsidRDefault="00614FB5" w:rsidP="00614FB5">
      <w:pPr>
        <w:jc w:val="center"/>
        <w:rPr>
          <w:rFonts w:ascii="Eras Bold ITC" w:eastAsiaTheme="minorHAnsi" w:hAnsi="Eras Bold ITC" w:cs="Eras Bold ITC"/>
          <w:color w:val="000000"/>
          <w:sz w:val="19"/>
          <w:szCs w:val="19"/>
          <w:lang w:val="es-MX" w:eastAsia="en-US"/>
        </w:rPr>
      </w:pPr>
    </w:p>
    <w:p w14:paraId="2E8688A6" w14:textId="6915B811" w:rsidR="00362AB6" w:rsidRDefault="00362AB6" w:rsidP="00614FB5">
      <w:pPr>
        <w:jc w:val="center"/>
        <w:rPr>
          <w:rFonts w:ascii="Abadi" w:hAnsi="Abadi"/>
          <w:b/>
          <w:bCs/>
          <w:sz w:val="21"/>
          <w:szCs w:val="21"/>
        </w:rPr>
      </w:pPr>
      <w:r w:rsidRPr="00846D35">
        <w:rPr>
          <w:rFonts w:ascii="Abadi" w:hAnsi="Abadi"/>
          <w:b/>
          <w:bCs/>
          <w:sz w:val="21"/>
          <w:szCs w:val="21"/>
        </w:rPr>
        <w:t>AÑO DE EJERCICIO CONSTITUCIONAL CELEBRADA</w:t>
      </w:r>
    </w:p>
    <w:p w14:paraId="7A351208" w14:textId="5995133D" w:rsidR="00362AB6" w:rsidRDefault="00362AB6" w:rsidP="00362AB6">
      <w:pPr>
        <w:jc w:val="center"/>
        <w:rPr>
          <w:rFonts w:ascii="Abadi" w:hAnsi="Abadi"/>
          <w:b/>
          <w:bCs/>
          <w:sz w:val="21"/>
          <w:szCs w:val="21"/>
        </w:rPr>
      </w:pPr>
      <w:r w:rsidRPr="00846D35">
        <w:rPr>
          <w:rFonts w:ascii="Abadi" w:hAnsi="Abadi"/>
          <w:b/>
          <w:bCs/>
          <w:sz w:val="21"/>
          <w:szCs w:val="21"/>
        </w:rPr>
        <w:t>EL 2</w:t>
      </w:r>
      <w:r w:rsidR="002F31D5">
        <w:rPr>
          <w:rFonts w:ascii="Abadi" w:hAnsi="Abadi"/>
          <w:b/>
          <w:bCs/>
          <w:sz w:val="21"/>
          <w:szCs w:val="21"/>
        </w:rPr>
        <w:t>9</w:t>
      </w:r>
      <w:r w:rsidRPr="00846D35">
        <w:rPr>
          <w:rFonts w:ascii="Abadi" w:hAnsi="Abadi"/>
          <w:b/>
          <w:bCs/>
          <w:sz w:val="21"/>
          <w:szCs w:val="21"/>
        </w:rPr>
        <w:t xml:space="preserve"> DE</w:t>
      </w:r>
      <w:r w:rsidR="002F31D5">
        <w:rPr>
          <w:rFonts w:ascii="Abadi" w:hAnsi="Abadi"/>
          <w:b/>
          <w:bCs/>
          <w:sz w:val="21"/>
          <w:szCs w:val="21"/>
        </w:rPr>
        <w:t xml:space="preserve"> </w:t>
      </w:r>
      <w:r w:rsidRPr="00846D35">
        <w:rPr>
          <w:rFonts w:ascii="Abadi" w:hAnsi="Abadi"/>
          <w:b/>
          <w:bCs/>
          <w:sz w:val="21"/>
          <w:szCs w:val="21"/>
        </w:rPr>
        <w:t>SEPTIEMBRE DE 2022</w:t>
      </w:r>
    </w:p>
    <w:p w14:paraId="459C25F2" w14:textId="77777777" w:rsidR="00362AB6" w:rsidRDefault="00362AB6" w:rsidP="00362AB6">
      <w:pPr>
        <w:jc w:val="center"/>
        <w:rPr>
          <w:rFonts w:ascii="Abadi" w:hAnsi="Abadi"/>
          <w:b/>
          <w:bCs/>
          <w:sz w:val="21"/>
          <w:szCs w:val="21"/>
        </w:rPr>
      </w:pPr>
    </w:p>
    <w:p w14:paraId="6101B2EB" w14:textId="12689F64" w:rsidR="00362AB6" w:rsidRDefault="00362AB6" w:rsidP="00362AB6">
      <w:pPr>
        <w:jc w:val="center"/>
        <w:rPr>
          <w:rFonts w:ascii="Abadi" w:hAnsi="Abadi"/>
          <w:b/>
          <w:bCs/>
          <w:sz w:val="21"/>
          <w:szCs w:val="21"/>
        </w:rPr>
      </w:pPr>
      <w:r w:rsidRPr="00846D35">
        <w:rPr>
          <w:rFonts w:ascii="Abadi" w:hAnsi="Abadi"/>
          <w:b/>
          <w:bCs/>
          <w:sz w:val="21"/>
          <w:szCs w:val="21"/>
        </w:rPr>
        <w:t>PRESIDENCIA DEL DIPUTADO MARTÍN LÓPEZ CAMACHO</w:t>
      </w:r>
    </w:p>
    <w:p w14:paraId="52B77713" w14:textId="77777777" w:rsidR="00362AB6" w:rsidRPr="00846D35" w:rsidRDefault="00362AB6" w:rsidP="00362AB6">
      <w:pPr>
        <w:jc w:val="center"/>
        <w:rPr>
          <w:rFonts w:ascii="Abadi" w:hAnsi="Abadi"/>
          <w:b/>
          <w:bCs/>
          <w:sz w:val="21"/>
          <w:szCs w:val="21"/>
        </w:rPr>
      </w:pPr>
    </w:p>
    <w:p w14:paraId="34B04AF6" w14:textId="77777777" w:rsidR="005D4BC0" w:rsidRPr="00EF07A7" w:rsidRDefault="005D4BC0" w:rsidP="005D4BC0">
      <w:pPr>
        <w:pStyle w:val="Default"/>
        <w:jc w:val="both"/>
        <w:rPr>
          <w:rFonts w:ascii="Abadi" w:hAnsi="Abadi"/>
          <w:sz w:val="21"/>
          <w:szCs w:val="21"/>
        </w:rPr>
      </w:pPr>
    </w:p>
    <w:p w14:paraId="6A389814" w14:textId="0555FD59" w:rsidR="005D4BC0" w:rsidRPr="00EF07A7" w:rsidRDefault="005D4BC0" w:rsidP="005D4BC0">
      <w:pPr>
        <w:pStyle w:val="Default"/>
        <w:jc w:val="both"/>
        <w:rPr>
          <w:rFonts w:ascii="Abadi" w:hAnsi="Abadi"/>
          <w:sz w:val="21"/>
          <w:szCs w:val="21"/>
        </w:rPr>
      </w:pPr>
      <w:r>
        <w:rPr>
          <w:rFonts w:ascii="Abadi" w:hAnsi="Abadi"/>
          <w:sz w:val="21"/>
          <w:szCs w:val="21"/>
        </w:rPr>
        <w:tab/>
      </w:r>
      <w:r w:rsidRPr="00EF07A7">
        <w:rPr>
          <w:rFonts w:ascii="Abadi" w:hAnsi="Abadi"/>
          <w:sz w:val="21"/>
          <w:szCs w:val="21"/>
        </w:rPr>
        <w:t>En la ciudad de Guanajuato, capital del Estado del mismo nombre, se reunieron las diputadas y los diputados integrantes de la Sexagésima Quinta Legislatura del Congreso del Estado Libre y Soberano de Guanajuato a efecto de llevar a cabo la sesión ordinaria, en los términos de la convocatoria, la cual tuvo el siguiente desarrollo: - - - - - - - - - - - - - - - - -</w:t>
      </w:r>
      <w:r>
        <w:rPr>
          <w:rFonts w:ascii="Abadi" w:hAnsi="Abadi"/>
          <w:sz w:val="21"/>
          <w:szCs w:val="21"/>
        </w:rPr>
        <w:t xml:space="preserve"> </w:t>
      </w:r>
    </w:p>
    <w:p w14:paraId="182F39DE" w14:textId="4EE4E5B2" w:rsidR="005D4BC0" w:rsidRPr="00EF07A7" w:rsidRDefault="005D4BC0" w:rsidP="005D4BC0">
      <w:pPr>
        <w:pStyle w:val="Default"/>
        <w:jc w:val="both"/>
        <w:rPr>
          <w:rFonts w:ascii="Abadi" w:hAnsi="Abadi"/>
          <w:sz w:val="21"/>
          <w:szCs w:val="21"/>
        </w:rPr>
      </w:pPr>
      <w:r>
        <w:rPr>
          <w:rFonts w:ascii="Abadi" w:hAnsi="Abadi"/>
          <w:sz w:val="21"/>
          <w:szCs w:val="21"/>
        </w:rPr>
        <w:tab/>
      </w:r>
      <w:r w:rsidRPr="00EF07A7">
        <w:rPr>
          <w:rFonts w:ascii="Abadi" w:hAnsi="Abadi"/>
          <w:sz w:val="21"/>
          <w:szCs w:val="21"/>
        </w:rPr>
        <w:t xml:space="preserve">La presidencia solicitó a la secretaría certificar el cuórum conforme al registro de asistencia del sistema electrónico. - - - - - - - - </w:t>
      </w:r>
    </w:p>
    <w:p w14:paraId="66CBC420" w14:textId="3E4CB781" w:rsidR="005D4BC0" w:rsidRPr="00EF07A7" w:rsidRDefault="005D4BC0" w:rsidP="005D4BC0">
      <w:pPr>
        <w:pStyle w:val="Default"/>
        <w:jc w:val="both"/>
        <w:rPr>
          <w:rFonts w:ascii="Abadi" w:hAnsi="Abadi"/>
          <w:sz w:val="21"/>
          <w:szCs w:val="21"/>
        </w:rPr>
      </w:pPr>
      <w:r>
        <w:rPr>
          <w:rFonts w:ascii="Abadi" w:hAnsi="Abadi"/>
          <w:sz w:val="21"/>
          <w:szCs w:val="21"/>
        </w:rPr>
        <w:tab/>
      </w:r>
      <w:r w:rsidRPr="00EF07A7">
        <w:rPr>
          <w:rFonts w:ascii="Abadi" w:hAnsi="Abadi"/>
          <w:sz w:val="21"/>
          <w:szCs w:val="21"/>
        </w:rPr>
        <w:t xml:space="preserve">Se registró la presencia de veintitrés diputadas y diputados a través del sistema electrónico. Las diputadas Dessire Angel Rocha, Martha Lourdes Ortega Roque, Martha Edith Moreno Valencia, Ruth Noemí Tiscareño Agoitia y Yulma Rocha Aguilar y, los diputados Alejandro Arias Ávila, Gustavo Adolfo Alfaro Reyes, Gerardo Fernández González y Miguel Ángel Salim Alle se incorporaron a la sesión durante el desahogo del punto uno del orden del día; la diputada Hades Berenice Aguilar Castillo y el diputado Ernesto Alejandro Prieto Gallardo se incorporaron durante el desarrollo de los puntos siete y diecinueve del orden del día, respectivamente. La presidencia justificó la inasistencia de la diputada Hades Berenice Aguilar Castillo a la junta preparatoria celebrada el veinticinco de septiembre de dos mil veintidós, en virtud del oficio presentado en términos del artículo veintiocho de la Ley Orgánica del Poder Legislativo del Estado. Se registraron las inasistencias de las diputadas Alma Edwviges Alcaraz Hernández y Briseida Anabel Magdaleno González, justificadas por la presidencia en virtud de los oficios presentados en términos del artículo veintiocho de la Ley Orgánica del Poder Legislativo del Estado. - - - - - - - - - - - - - - - - </w:t>
      </w:r>
    </w:p>
    <w:p w14:paraId="322FEE98" w14:textId="2028A18A" w:rsidR="005D4BC0" w:rsidRPr="00EF07A7" w:rsidRDefault="005D4BC0" w:rsidP="005D4BC0">
      <w:pPr>
        <w:pStyle w:val="Default"/>
        <w:jc w:val="both"/>
        <w:rPr>
          <w:rFonts w:ascii="Abadi" w:hAnsi="Abadi"/>
          <w:sz w:val="21"/>
          <w:szCs w:val="21"/>
        </w:rPr>
      </w:pPr>
      <w:r>
        <w:rPr>
          <w:rFonts w:ascii="Abadi" w:hAnsi="Abadi"/>
          <w:sz w:val="21"/>
          <w:szCs w:val="21"/>
        </w:rPr>
        <w:tab/>
      </w:r>
      <w:r w:rsidRPr="00EF07A7">
        <w:rPr>
          <w:rFonts w:ascii="Abadi" w:hAnsi="Abadi"/>
          <w:sz w:val="21"/>
          <w:szCs w:val="21"/>
        </w:rPr>
        <w:t xml:space="preserve">Comprobado el cuórum legal, la presidencia declaró abierta la sesión a las diez horas con once minutos del veintinueve de septiembre de dos mil veintidós. - - - - - - - - - </w:t>
      </w:r>
    </w:p>
    <w:p w14:paraId="73E1176E" w14:textId="51C9DE29" w:rsidR="005D4BC0" w:rsidRPr="00EF07A7" w:rsidRDefault="005D4BC0" w:rsidP="005D4BC0">
      <w:pPr>
        <w:pStyle w:val="Default"/>
        <w:jc w:val="both"/>
        <w:rPr>
          <w:rFonts w:ascii="Abadi" w:hAnsi="Abadi"/>
          <w:sz w:val="21"/>
          <w:szCs w:val="21"/>
        </w:rPr>
      </w:pPr>
      <w:r>
        <w:rPr>
          <w:rFonts w:ascii="Abadi" w:hAnsi="Abadi"/>
          <w:sz w:val="21"/>
          <w:szCs w:val="21"/>
        </w:rPr>
        <w:tab/>
      </w:r>
      <w:r w:rsidRPr="00EF07A7">
        <w:rPr>
          <w:rFonts w:ascii="Abadi" w:hAnsi="Abadi"/>
          <w:sz w:val="21"/>
          <w:szCs w:val="21"/>
        </w:rPr>
        <w:t xml:space="preserve">La presidencia efectuó una moción de orden. - - - - - - - - - - - - - - - - - - - - - - - - - </w:t>
      </w:r>
      <w:r>
        <w:rPr>
          <w:rFonts w:ascii="Abadi" w:hAnsi="Abadi"/>
          <w:sz w:val="21"/>
          <w:szCs w:val="21"/>
        </w:rPr>
        <w:t xml:space="preserve">- </w:t>
      </w:r>
    </w:p>
    <w:p w14:paraId="1D4CCB7A" w14:textId="485C991F" w:rsidR="005D4BC0" w:rsidRPr="00EF07A7" w:rsidRDefault="005D4BC0" w:rsidP="005D4BC0">
      <w:pPr>
        <w:pStyle w:val="Default"/>
        <w:jc w:val="both"/>
        <w:rPr>
          <w:rFonts w:ascii="Abadi" w:hAnsi="Abadi"/>
          <w:sz w:val="21"/>
          <w:szCs w:val="21"/>
        </w:rPr>
      </w:pPr>
      <w:r>
        <w:rPr>
          <w:rFonts w:ascii="Abadi" w:hAnsi="Abadi"/>
          <w:sz w:val="21"/>
          <w:szCs w:val="21"/>
        </w:rPr>
        <w:tab/>
      </w:r>
      <w:r w:rsidRPr="00EF07A7">
        <w:rPr>
          <w:rFonts w:ascii="Abadi" w:hAnsi="Abadi"/>
          <w:sz w:val="21"/>
          <w:szCs w:val="21"/>
        </w:rPr>
        <w:t xml:space="preserve">La secretaría por instrucción de la presidencia dio lectura al orden del día; una vez puesto a consideración se registró la intervención del diputado Ernesto Millán Soberanes para proponer su modificación, a fin de retirar el punto siete del orden del día. La secretaría recabó votación económica para aprobar el orden del día con la modificación propuesta, en la modalidad electrónica, resultando aprobado por unanimidad, al obtener treinta y dos votos a favor. - - - - - - - </w:t>
      </w:r>
    </w:p>
    <w:p w14:paraId="2626CC2E" w14:textId="5BD2936E" w:rsidR="005D4BC0" w:rsidRPr="00EF07A7" w:rsidRDefault="005D4BC0" w:rsidP="005D4BC0">
      <w:pPr>
        <w:pStyle w:val="Default"/>
        <w:jc w:val="both"/>
        <w:rPr>
          <w:rFonts w:ascii="Abadi" w:hAnsi="Abadi" w:cstheme="minorBidi"/>
          <w:color w:val="auto"/>
          <w:sz w:val="21"/>
          <w:szCs w:val="21"/>
        </w:rPr>
      </w:pPr>
      <w:r>
        <w:rPr>
          <w:rFonts w:ascii="Abadi" w:hAnsi="Abadi"/>
          <w:sz w:val="21"/>
          <w:szCs w:val="21"/>
        </w:rPr>
        <w:tab/>
      </w:r>
      <w:r w:rsidRPr="00EF07A7">
        <w:rPr>
          <w:rFonts w:ascii="Abadi" w:hAnsi="Abadi"/>
          <w:sz w:val="21"/>
          <w:szCs w:val="21"/>
        </w:rPr>
        <w:t xml:space="preserve">La presidencia dio la bienvenida a alumnos del Telebachillerato Comunitario </w:t>
      </w:r>
      <w:r w:rsidRPr="00EF07A7">
        <w:rPr>
          <w:rFonts w:ascii="Abadi" w:hAnsi="Abadi"/>
          <w:i/>
          <w:iCs/>
          <w:sz w:val="21"/>
          <w:szCs w:val="21"/>
        </w:rPr>
        <w:t>El Tejaban</w:t>
      </w:r>
      <w:r w:rsidRPr="00EF07A7">
        <w:rPr>
          <w:rFonts w:ascii="Abadi" w:hAnsi="Abadi"/>
          <w:sz w:val="21"/>
          <w:szCs w:val="21"/>
        </w:rPr>
        <w:t>, invitados por la diputada Angélica Casillas Martínez. - - - - - - - - - - - - - - - - - - -</w:t>
      </w:r>
      <w:r>
        <w:rPr>
          <w:rFonts w:ascii="Abadi" w:hAnsi="Abadi" w:cstheme="minorBidi"/>
          <w:color w:val="auto"/>
          <w:sz w:val="21"/>
          <w:szCs w:val="21"/>
        </w:rPr>
        <w:tab/>
      </w:r>
      <w:r w:rsidRPr="00EF07A7">
        <w:rPr>
          <w:rFonts w:ascii="Abadi" w:hAnsi="Abadi" w:cstheme="minorBidi"/>
          <w:color w:val="auto"/>
          <w:sz w:val="21"/>
          <w:szCs w:val="21"/>
        </w:rPr>
        <w:t xml:space="preserve">En votación económica, en la modalidad electrónica, se aprobó por unanimidad, con treinta y dos votos a favor, sin discusión, la propuesta de dispensa de lectura de las actas de la junta preparatoria y de la sesión solemne celebradas el veinticinco de septiembre del año en curso. En la misma modalidad, se aprobaron por unanimidad, sin discusión, las actas de referencia con treinta y dos votos a favor. - - - - - - - - - - - - - - - - - - - </w:t>
      </w:r>
    </w:p>
    <w:p w14:paraId="3973D7C7" w14:textId="386EC3D8" w:rsidR="005D4BC0" w:rsidRPr="00EF07A7" w:rsidRDefault="005D4BC0" w:rsidP="005D4BC0">
      <w:pPr>
        <w:pStyle w:val="Default"/>
        <w:jc w:val="both"/>
        <w:rPr>
          <w:rFonts w:ascii="Abadi" w:hAnsi="Abadi"/>
          <w:color w:val="auto"/>
          <w:sz w:val="21"/>
          <w:szCs w:val="21"/>
        </w:rPr>
      </w:pPr>
      <w:r>
        <w:rPr>
          <w:rFonts w:ascii="Abadi" w:hAnsi="Abadi" w:cstheme="minorBidi"/>
          <w:color w:val="auto"/>
          <w:sz w:val="21"/>
          <w:szCs w:val="21"/>
        </w:rPr>
        <w:tab/>
      </w:r>
      <w:r w:rsidRPr="00EF07A7">
        <w:rPr>
          <w:rFonts w:ascii="Abadi" w:hAnsi="Abadi" w:cstheme="minorBidi"/>
          <w:color w:val="auto"/>
          <w:sz w:val="21"/>
          <w:szCs w:val="21"/>
        </w:rPr>
        <w:t xml:space="preserve">La presidencia dio la bienvenida a alumnos de la Secundaria General </w:t>
      </w:r>
      <w:r w:rsidRPr="00EF07A7">
        <w:rPr>
          <w:rFonts w:ascii="Abadi" w:hAnsi="Abadi"/>
          <w:i/>
          <w:iCs/>
          <w:color w:val="auto"/>
          <w:sz w:val="21"/>
          <w:szCs w:val="21"/>
        </w:rPr>
        <w:t>Centenario de la Constitución de 1917</w:t>
      </w:r>
      <w:r w:rsidRPr="00EF07A7">
        <w:rPr>
          <w:rFonts w:ascii="Abadi" w:hAnsi="Abadi"/>
          <w:color w:val="auto"/>
          <w:sz w:val="21"/>
          <w:szCs w:val="21"/>
        </w:rPr>
        <w:t xml:space="preserve">, invitados por la diputada Katya Cristina Soto Escamilla. - - - - - </w:t>
      </w:r>
    </w:p>
    <w:p w14:paraId="2C29C9AE" w14:textId="77777777" w:rsidR="005D4BC0" w:rsidRPr="00EF07A7" w:rsidRDefault="005D4BC0" w:rsidP="005D4BC0">
      <w:pPr>
        <w:pStyle w:val="Default"/>
        <w:jc w:val="both"/>
        <w:rPr>
          <w:rFonts w:ascii="Abadi" w:hAnsi="Abadi"/>
          <w:color w:val="auto"/>
          <w:sz w:val="21"/>
          <w:szCs w:val="21"/>
        </w:rPr>
      </w:pPr>
      <w:r w:rsidRPr="00EF07A7">
        <w:rPr>
          <w:rFonts w:ascii="Abadi" w:hAnsi="Abadi"/>
          <w:color w:val="auto"/>
          <w:sz w:val="21"/>
          <w:szCs w:val="21"/>
        </w:rPr>
        <w:t xml:space="preserve">En votación económica, en la modalidad electrónica, se aprobó por unanimidad, con treinta y dos votos a favor, la propuesta de dispensa de lectura de las comunicaciones y correspondencia recibidas, en razón de encontrarse en la Gaceta Parlamentaria. Una vez lo cual, la presidencia ordenó ejecutar los acuerdos dictados a las comunicaciones y correspondencia recibidas. - - - - - - - - - - - - </w:t>
      </w:r>
    </w:p>
    <w:p w14:paraId="5A2AF0A0" w14:textId="0C5C09FE" w:rsidR="005D4BC0" w:rsidRPr="00EF07A7" w:rsidRDefault="005D4BC0" w:rsidP="005D4BC0">
      <w:pPr>
        <w:pStyle w:val="Default"/>
        <w:jc w:val="both"/>
        <w:rPr>
          <w:rFonts w:ascii="Abadi" w:hAnsi="Abadi"/>
          <w:color w:val="auto"/>
          <w:sz w:val="21"/>
          <w:szCs w:val="21"/>
        </w:rPr>
      </w:pPr>
      <w:r>
        <w:rPr>
          <w:rFonts w:ascii="Abadi" w:hAnsi="Abadi"/>
          <w:color w:val="auto"/>
          <w:sz w:val="21"/>
          <w:szCs w:val="21"/>
        </w:rPr>
        <w:tab/>
      </w:r>
      <w:r w:rsidRPr="00EF07A7">
        <w:rPr>
          <w:rFonts w:ascii="Abadi" w:hAnsi="Abadi"/>
          <w:color w:val="auto"/>
          <w:sz w:val="21"/>
          <w:szCs w:val="21"/>
        </w:rPr>
        <w:t xml:space="preserve">La presidencia dio cuenta con el informe de la diputación permanente sobre los trabajos realizados durante el segundo receso, correspondiente al primer año de ejercicio constitucional de la Sexagésima Quinta Legislatura; informando que dicho informe se encontraba en la Gaceta Parlamentaria; y manifestó que el Congreso del Estado, por su conducto, quedaba debidamente enterado del mismo. - - - - - - - - </w:t>
      </w:r>
    </w:p>
    <w:p w14:paraId="3C5E10DA" w14:textId="41F8048E" w:rsidR="005D4BC0" w:rsidRPr="00EF07A7" w:rsidRDefault="005D4BC0" w:rsidP="005D4BC0">
      <w:pPr>
        <w:pStyle w:val="Default"/>
        <w:jc w:val="both"/>
        <w:rPr>
          <w:rFonts w:ascii="Abadi" w:hAnsi="Abadi"/>
          <w:color w:val="auto"/>
          <w:sz w:val="21"/>
          <w:szCs w:val="21"/>
        </w:rPr>
      </w:pPr>
      <w:r>
        <w:rPr>
          <w:rFonts w:ascii="Abadi" w:hAnsi="Abadi"/>
          <w:color w:val="auto"/>
          <w:sz w:val="21"/>
          <w:szCs w:val="21"/>
        </w:rPr>
        <w:tab/>
      </w:r>
      <w:r w:rsidRPr="00EF07A7">
        <w:rPr>
          <w:rFonts w:ascii="Abadi" w:hAnsi="Abadi"/>
          <w:color w:val="auto"/>
          <w:sz w:val="21"/>
          <w:szCs w:val="21"/>
        </w:rPr>
        <w:t xml:space="preserve">La diputada Katya Cristina Soto Escamilla, a petición de la presidencia, dio </w:t>
      </w:r>
      <w:r w:rsidRPr="00EF07A7">
        <w:rPr>
          <w:rFonts w:ascii="Abadi" w:hAnsi="Abadi"/>
          <w:color w:val="auto"/>
          <w:sz w:val="21"/>
          <w:szCs w:val="21"/>
        </w:rPr>
        <w:lastRenderedPageBreak/>
        <w:t xml:space="preserve">lectura a la exposición de motivos de la iniciativa suscrita por diputadas y diputados integrantes del Grupo Parlamentario del Partido Acción Nacional a efecto de reformar la -fracción octava- del artículo treinta y cuatro y adicionar una -fracción quinta-, recorriéndose en su orden las subsecuentes, al artículo dos, y una -fracción décima quinta-, recorriéndose en su orden la subsecuente, al artículo veinticuatro de la Ley de Acceso de las Mujeres a una Vida Libre de Violencia para el Estado de Guanajuato. Concluida la lectura, la presidencia turnó la iniciativa a la Comisión para la Igualdad de Género, con fundamento en el artículo ciento dieciséis, -fracción tercera- de la Ley Orgánica del Poder Legislativo del Estado, para su estudio y dictamen. - - - - - - - - - - - - - - - - - - - - - - - - </w:t>
      </w:r>
    </w:p>
    <w:p w14:paraId="7FB95628" w14:textId="62D386AA" w:rsidR="005D4BC0" w:rsidRPr="00EF07A7" w:rsidRDefault="005D4BC0" w:rsidP="005D4BC0">
      <w:pPr>
        <w:pStyle w:val="Default"/>
        <w:jc w:val="both"/>
        <w:rPr>
          <w:rFonts w:ascii="Abadi" w:hAnsi="Abadi"/>
          <w:color w:val="auto"/>
          <w:sz w:val="21"/>
          <w:szCs w:val="21"/>
        </w:rPr>
      </w:pPr>
      <w:r>
        <w:rPr>
          <w:rFonts w:ascii="Abadi" w:hAnsi="Abadi"/>
          <w:color w:val="auto"/>
          <w:sz w:val="21"/>
          <w:szCs w:val="21"/>
        </w:rPr>
        <w:tab/>
      </w:r>
      <w:r w:rsidRPr="00EF07A7">
        <w:rPr>
          <w:rFonts w:ascii="Abadi" w:hAnsi="Abadi"/>
          <w:color w:val="auto"/>
          <w:sz w:val="21"/>
          <w:szCs w:val="21"/>
        </w:rPr>
        <w:t xml:space="preserve">La presidencia dio la bienvenida a un grupo de mujeres del municipio de Apaseo el Grande, Guanajuato, invitadas por la diputada Katya Cristina Soto Escamilla. - - - - - - - - - </w:t>
      </w:r>
      <w:r>
        <w:rPr>
          <w:rFonts w:ascii="Abadi" w:hAnsi="Abadi"/>
          <w:color w:val="auto"/>
          <w:sz w:val="21"/>
          <w:szCs w:val="21"/>
        </w:rPr>
        <w:t xml:space="preserve">- - </w:t>
      </w:r>
    </w:p>
    <w:p w14:paraId="042B2A01" w14:textId="70D1B174" w:rsidR="005D4BC0" w:rsidRPr="00EF07A7" w:rsidRDefault="005D4BC0" w:rsidP="005D4BC0">
      <w:pPr>
        <w:pStyle w:val="Default"/>
        <w:jc w:val="both"/>
        <w:rPr>
          <w:rFonts w:ascii="Abadi" w:hAnsi="Abadi" w:cstheme="minorBidi"/>
          <w:color w:val="auto"/>
          <w:sz w:val="21"/>
          <w:szCs w:val="21"/>
        </w:rPr>
      </w:pPr>
      <w:r>
        <w:rPr>
          <w:rFonts w:ascii="Abadi" w:hAnsi="Abadi"/>
          <w:color w:val="auto"/>
          <w:sz w:val="21"/>
          <w:szCs w:val="21"/>
        </w:rPr>
        <w:tab/>
      </w:r>
      <w:r w:rsidRPr="00EF07A7">
        <w:rPr>
          <w:rFonts w:ascii="Abadi" w:hAnsi="Abadi"/>
          <w:color w:val="auto"/>
          <w:sz w:val="21"/>
          <w:szCs w:val="21"/>
        </w:rPr>
        <w:t>La diputada Ruth Noemí Tiscareño Agoitia, a petición de la presidencia, dio lectura a la exposición de motivos de la iniciativa formulada por ella y los diputados integrantes del Grupo Parlamentario del Partido Revolucionario Institucional a efecto de adicionar los</w:t>
      </w:r>
      <w:r>
        <w:rPr>
          <w:rFonts w:ascii="Abadi" w:hAnsi="Abadi"/>
          <w:color w:val="auto"/>
          <w:sz w:val="21"/>
          <w:szCs w:val="21"/>
        </w:rPr>
        <w:t xml:space="preserve"> </w:t>
      </w:r>
      <w:r w:rsidRPr="00EF07A7">
        <w:rPr>
          <w:rFonts w:ascii="Abadi" w:hAnsi="Abadi" w:cstheme="minorBidi"/>
          <w:color w:val="auto"/>
          <w:sz w:val="21"/>
          <w:szCs w:val="21"/>
        </w:rPr>
        <w:t xml:space="preserve">artículos ciento noventa Bis, ciento noventa Ter y ciento noventa Quater a la Ley de Instituciones y Procedimientos Electorales para el Estado de Guanajuato. Concluida la lectura, la presidencia turnó la iniciativa a la Comisión de Asuntos Electorales, con fundamento en el artículo ciento tres, -fracción primera- de la Ley Orgánica del Poder Legislativo del Estado, para su estudio y dictamen. - - - - - - - - - - - - - - </w:t>
      </w:r>
      <w:r w:rsidR="00A92DB1">
        <w:rPr>
          <w:rFonts w:ascii="Abadi" w:hAnsi="Abadi" w:cstheme="minorBidi"/>
          <w:color w:val="auto"/>
          <w:sz w:val="21"/>
          <w:szCs w:val="21"/>
        </w:rPr>
        <w:t xml:space="preserve">- - - - - - - - - - </w:t>
      </w:r>
    </w:p>
    <w:p w14:paraId="06F72A61" w14:textId="37919472" w:rsidR="005D4BC0" w:rsidRPr="00A92DB1" w:rsidRDefault="005D4BC0" w:rsidP="005D4BC0">
      <w:pPr>
        <w:pStyle w:val="Default"/>
        <w:jc w:val="both"/>
        <w:rPr>
          <w:rFonts w:ascii="Abadi" w:hAnsi="Abadi" w:cstheme="minorBidi"/>
          <w:b/>
          <w:bCs/>
          <w:color w:val="auto"/>
          <w:sz w:val="21"/>
          <w:szCs w:val="21"/>
        </w:rPr>
      </w:pPr>
      <w:r>
        <w:rPr>
          <w:rFonts w:ascii="Abadi" w:hAnsi="Abadi" w:cstheme="minorBidi"/>
          <w:color w:val="auto"/>
          <w:sz w:val="21"/>
          <w:szCs w:val="21"/>
        </w:rPr>
        <w:tab/>
      </w:r>
      <w:r w:rsidRPr="00EF07A7">
        <w:rPr>
          <w:rFonts w:ascii="Abadi" w:hAnsi="Abadi" w:cstheme="minorBidi"/>
          <w:color w:val="auto"/>
          <w:sz w:val="21"/>
          <w:szCs w:val="21"/>
        </w:rPr>
        <w:t xml:space="preserve">La presidencia dio cuenta con la iniciativa suscrita por el Ayuntamiento de San José Iturbide, Guanajuato, a efecto de reformar el artículo siete y adicionar una Sección Primera Bis al Capítulo Décimo y un artículo cuarenta y uno Bis a la Ley de Ingresos para el Municipio de San José Iturbide, Guanajuato, para el Ejercicio Fiscal del año dos mil veintidós; y con fundamento en los artículos ciento doce, -fracción segunda- y ciento once -fracción décima sexta-, así como en el último párrafo de dichos artículos de la Ley Orgánica del Poder Legislativo del Estado, la turnó a las Comisiones Unidas de Hacienda y Fiscalización y de Gobernación y Puntos Constitucionales, para su estudio y dictamen. </w:t>
      </w:r>
    </w:p>
    <w:p w14:paraId="53217FB0" w14:textId="66F8A311" w:rsidR="005D4BC0" w:rsidRPr="00EF07A7" w:rsidRDefault="005D4BC0" w:rsidP="005D4BC0">
      <w:pPr>
        <w:pStyle w:val="Default"/>
        <w:jc w:val="both"/>
        <w:rPr>
          <w:rFonts w:ascii="Abadi" w:hAnsi="Abadi" w:cstheme="minorBidi"/>
          <w:color w:val="auto"/>
          <w:sz w:val="21"/>
          <w:szCs w:val="21"/>
        </w:rPr>
      </w:pPr>
      <w:r>
        <w:rPr>
          <w:rFonts w:ascii="Abadi" w:hAnsi="Abadi" w:cstheme="minorBidi"/>
          <w:color w:val="auto"/>
          <w:sz w:val="21"/>
          <w:szCs w:val="21"/>
        </w:rPr>
        <w:tab/>
      </w:r>
      <w:r w:rsidRPr="00EF07A7">
        <w:rPr>
          <w:rFonts w:ascii="Abadi" w:hAnsi="Abadi" w:cstheme="minorBidi"/>
          <w:color w:val="auto"/>
          <w:sz w:val="21"/>
          <w:szCs w:val="21"/>
        </w:rPr>
        <w:t xml:space="preserve">La presidencia dio cuenta con la propuesta de punto de acuerdo formulada por </w:t>
      </w:r>
      <w:r w:rsidRPr="00EF07A7">
        <w:rPr>
          <w:rFonts w:ascii="Abadi" w:hAnsi="Abadi" w:cstheme="minorBidi"/>
          <w:color w:val="auto"/>
          <w:sz w:val="21"/>
          <w:szCs w:val="21"/>
        </w:rPr>
        <w:t xml:space="preserve">la diputada Yulma Rocha Aguilar integrante del Grupo Parlamentario del Partido Revolucionario Institucional a efecto de exhortar a la Secretaría de Educación de Guanajuato, para que, en función de las atribuciones que le enuncian la Ley de Educación para el Estado de Guanajuato, la Ley para una Convivencia Libre de Violencia en el Entorno Escolar para el Estado de Guanajuato y sus Municipios, así como el Reglamento de dicha Ley; establezca una política pública articulada, integral y de instrumentación urgente para prevenir, detectar, atender y erradicar la violencia sexual en el entorno escolar; para proteger y garantizar el derecho que tienen las niñas, niños y adolescentes a una vida libre de violencia y a la integridad personal, velando en todo momento por el interés superior de la niñez; y con fundamento en el artículo ciento nueve, -fracción sexta- de la Ley Orgánica del Poder Legislativo del Estado, la turnó a la Comisión de Educación, Ciencia y Tecnología y Cultura, para su estudio y dictamen. - - - - - </w:t>
      </w:r>
    </w:p>
    <w:p w14:paraId="472C6279" w14:textId="6B94B238" w:rsidR="005D4BC0" w:rsidRPr="00EF07A7" w:rsidRDefault="005D4BC0" w:rsidP="005D4BC0">
      <w:pPr>
        <w:pStyle w:val="Default"/>
        <w:jc w:val="both"/>
        <w:rPr>
          <w:rFonts w:ascii="Abadi" w:hAnsi="Abadi" w:cstheme="minorBidi"/>
          <w:color w:val="auto"/>
          <w:sz w:val="21"/>
          <w:szCs w:val="21"/>
        </w:rPr>
      </w:pPr>
      <w:r>
        <w:rPr>
          <w:rFonts w:ascii="Abadi" w:hAnsi="Abadi" w:cstheme="minorBidi"/>
          <w:color w:val="auto"/>
          <w:sz w:val="21"/>
          <w:szCs w:val="21"/>
        </w:rPr>
        <w:tab/>
      </w:r>
      <w:r w:rsidRPr="00EF07A7">
        <w:rPr>
          <w:rFonts w:ascii="Abadi" w:hAnsi="Abadi" w:cstheme="minorBidi"/>
          <w:color w:val="auto"/>
          <w:sz w:val="21"/>
          <w:szCs w:val="21"/>
        </w:rPr>
        <w:t>La diputada Irma Leticia González Sánchez, integrante del Grupo Parlamentario del Partido MORENA, a petición de la presidencia, dio lectura a su propuesta de punto de acuerdo a efecto de exhortar al Gobernador del Estado de Guanajuato, Diego Sinhue Rodríguez Vallejo, para que garantice el derecho a la salud de los habitantes de la comunidad del Tablón y aledañas, en el municipio de Guanajuato, mediante la construcción de una casa de salud digna, que cuente con las características arquitectónicas adecuadas, así como los insumos, medicamentos e instrumentos que resulten necesarios, y para que a la brevedad inicie un diagnóstico de las casas de salud en la entidad, con la finalidad de verificar que cuenten con la infraestructura adecuada, así como los insumos, medicamentos e instrumentos necesarios para la atención de la población objetivo de las mismas. Concluida la lectura, la presidencia turnó la propuesta de punto de acuerdo a la Comisión de Salud Pública, con fundamento en el artículo ciento dieciocho, -fracción cuarta- de la Ley Orgánica del Poder Legislativo del Estado, para su estudio y dictamen. - - - - - - - - - - - - -</w:t>
      </w:r>
      <w:r>
        <w:rPr>
          <w:rFonts w:ascii="Abadi" w:hAnsi="Abadi" w:cstheme="minorBidi"/>
          <w:color w:val="auto"/>
          <w:sz w:val="21"/>
          <w:szCs w:val="21"/>
        </w:rPr>
        <w:t xml:space="preserve"> - - - - - </w:t>
      </w:r>
    </w:p>
    <w:p w14:paraId="0CCA8624" w14:textId="2742D826" w:rsidR="005D4BC0" w:rsidRPr="00EF07A7" w:rsidRDefault="005D4BC0" w:rsidP="005D4BC0">
      <w:pPr>
        <w:pStyle w:val="Default"/>
        <w:jc w:val="both"/>
        <w:rPr>
          <w:rFonts w:ascii="Abadi" w:hAnsi="Abadi" w:cstheme="minorBidi"/>
          <w:color w:val="auto"/>
          <w:sz w:val="21"/>
          <w:szCs w:val="21"/>
        </w:rPr>
      </w:pPr>
      <w:r>
        <w:rPr>
          <w:rFonts w:ascii="Abadi" w:hAnsi="Abadi" w:cstheme="minorBidi"/>
          <w:color w:val="auto"/>
          <w:sz w:val="21"/>
          <w:szCs w:val="21"/>
        </w:rPr>
        <w:tab/>
      </w:r>
      <w:r w:rsidRPr="00EF07A7">
        <w:rPr>
          <w:rFonts w:ascii="Abadi" w:hAnsi="Abadi" w:cstheme="minorBidi"/>
          <w:color w:val="auto"/>
          <w:sz w:val="21"/>
          <w:szCs w:val="21"/>
        </w:rPr>
        <w:t xml:space="preserve">La presidencia solicitó a las diputadas y a los diputados abstenerse de abandonar el salón de sesiones durante las votaciones. - - - </w:t>
      </w:r>
    </w:p>
    <w:p w14:paraId="5088BFCF" w14:textId="4A6AF5EE" w:rsidR="005D4BC0" w:rsidRPr="00EF07A7" w:rsidRDefault="005D4BC0" w:rsidP="005D4BC0">
      <w:pPr>
        <w:pStyle w:val="Default"/>
        <w:jc w:val="both"/>
        <w:rPr>
          <w:rFonts w:ascii="Abadi" w:hAnsi="Abadi" w:cstheme="minorBidi"/>
          <w:color w:val="auto"/>
          <w:sz w:val="21"/>
          <w:szCs w:val="21"/>
        </w:rPr>
      </w:pPr>
      <w:r>
        <w:rPr>
          <w:rFonts w:ascii="Abadi" w:hAnsi="Abadi" w:cstheme="minorBidi"/>
          <w:color w:val="auto"/>
          <w:sz w:val="21"/>
          <w:szCs w:val="21"/>
        </w:rPr>
        <w:tab/>
      </w:r>
      <w:r w:rsidRPr="00EF07A7">
        <w:rPr>
          <w:rFonts w:ascii="Abadi" w:hAnsi="Abadi" w:cstheme="minorBidi"/>
          <w:color w:val="auto"/>
          <w:sz w:val="21"/>
          <w:szCs w:val="21"/>
        </w:rPr>
        <w:t xml:space="preserve">La diputada Laura Cristina Márquez Alcalá, a petición de la presidencia, dio lectura </w:t>
      </w:r>
      <w:r w:rsidRPr="00EF07A7">
        <w:rPr>
          <w:rFonts w:ascii="Abadi" w:hAnsi="Abadi" w:cstheme="minorBidi"/>
          <w:color w:val="auto"/>
          <w:sz w:val="21"/>
          <w:szCs w:val="21"/>
        </w:rPr>
        <w:lastRenderedPageBreak/>
        <w:t xml:space="preserve">a la propuesta de punto de acuerdo de obvia resolución suscrita por las diputadas y los diputados integrantes de la Comisión de Justicia a efecto de emitir un atento y respetuoso exhorto a los congresos de las demás entidades federativas para que realicen un ejercicio de análisis de sus respectivas legislaciones procesales civiles y familiares, den sus puntos de vista y aporten los comentarios y observaciones que les parezcan pertinentes al Congreso de la Unión, con motivo de los trabajos que se están desarrollando para la dictaminación de las iniciativas presentadas con el objeto de expedir la legislación única en materia procesal civil y familiar. Agotada la lectura, se sometió a consideración de la asamblea declarar de obvia resolución la propuesta de punto de acuerdo, sin registrarse participaciones, se recabó votación económica, resultando aprobada la obvia resolución por unanimidad, en la modalidad electrónica, al computarse treinta y dos votos a favor. Se sometió a discusión el punto de acuerdo, sin registrarse participaciones, se recabó votación nominal, mediante la modalidad electrónica, resultando aprobado por mayoría, al registrarse treinta votos a favor y dos votos en contra. En consecuencia, la presidencia instruyó remitir el acuerdo aprobado junto con sus consideraciones, a los congresos de las entidades federativas para los efectos conducentes. - - - - - - - - - - - - - - </w:t>
      </w:r>
    </w:p>
    <w:p w14:paraId="293352E6" w14:textId="04699A49" w:rsidR="005D4BC0" w:rsidRPr="00EF07A7" w:rsidRDefault="005D4BC0" w:rsidP="005D4BC0">
      <w:pPr>
        <w:pStyle w:val="Default"/>
        <w:jc w:val="both"/>
        <w:rPr>
          <w:rFonts w:ascii="Abadi" w:hAnsi="Abadi" w:cstheme="minorBidi"/>
          <w:color w:val="auto"/>
          <w:sz w:val="21"/>
          <w:szCs w:val="21"/>
        </w:rPr>
      </w:pPr>
      <w:r>
        <w:rPr>
          <w:rFonts w:ascii="Abadi" w:hAnsi="Abadi" w:cstheme="minorBidi"/>
          <w:color w:val="auto"/>
          <w:sz w:val="21"/>
          <w:szCs w:val="21"/>
        </w:rPr>
        <w:tab/>
      </w:r>
      <w:r w:rsidRPr="00EF07A7">
        <w:rPr>
          <w:rFonts w:ascii="Abadi" w:hAnsi="Abadi" w:cstheme="minorBidi"/>
          <w:color w:val="auto"/>
          <w:sz w:val="21"/>
          <w:szCs w:val="21"/>
        </w:rPr>
        <w:t xml:space="preserve">El diputado David Martínez Mendizábal integrante del Grupo Parlamentario del Partido MORENA, a petición de la presidencia, dio lectura a su propuesta de punto de acuerdo de obvia resolución a efecto de exhortar al gobernador del Estado de Guanajuato, Diego Sinhue Rodríguez Vallejo, para que presente una iniciativa de Ley del Presupuesto General de Egresos del Estado para el ejercicio fiscal dos mil veintitrés que contenga recursos presupuestales para promover, restituir y garantizar los derechos de las personas pertenecientes a la comunidad de lesbianas, homosexuales, bisexuales, transgénero, intersexuales, así como otras expresiones de la diversidad sexual, mediante programas y proyectos basados en evidencia, diseñados, implementados y evaluados incorporando la participación de las personas de la comunidad LGBTIQ+; así también al Poder Ejecutivo, al Poder Judicial y a los Organismos Autónomos del Estado de Guanajuato, para que en el </w:t>
      </w:r>
      <w:r w:rsidRPr="00EF07A7">
        <w:rPr>
          <w:rFonts w:ascii="Abadi" w:hAnsi="Abadi" w:cstheme="minorBidi"/>
          <w:color w:val="auto"/>
          <w:sz w:val="21"/>
          <w:szCs w:val="21"/>
        </w:rPr>
        <w:t xml:space="preserve">proceso de construcción de la iniciativa del Presupuesto General de Egresos del Estado, construyan un anexo transversal que visibilice y permita llevar a cabo el respectivo seguimiento y evaluación de los programas y proyectos destinados a la promoción, restitución y garantía de los derechos de las personas pertenecientes a la comunidad de lesbianas, homosexuales, bisexuales, transgénero, intersexuales, así como otras expresiones de la diversidad sexual. Agotada la lectura, en atención a que el diputado David Martínez Mendizábal solicitó retirar el trámite de obvia resolución, la presidencia turnó la propuesta de punto de acuerdo a las Comisiones Unidas de Hacienda y Fiscalización y de Gobernación y Puntos Constitucionales, con fundamento en los artículos ciento doce, -fracción tercera- y ciento once -fracción décima séptima-, así como en el último párrafo de dichos artículos de la Ley Orgánica del Poder Legislativo del Estado, para su estudio y dictamen. - - - - - - - </w:t>
      </w:r>
    </w:p>
    <w:p w14:paraId="31000E35" w14:textId="4E3B1CBA" w:rsidR="005D4BC0" w:rsidRPr="00EF07A7" w:rsidRDefault="005D4BC0" w:rsidP="005D4BC0">
      <w:pPr>
        <w:pStyle w:val="Default"/>
        <w:jc w:val="both"/>
        <w:rPr>
          <w:rFonts w:ascii="Abadi" w:hAnsi="Abadi" w:cstheme="minorBidi"/>
          <w:color w:val="auto"/>
          <w:sz w:val="21"/>
          <w:szCs w:val="21"/>
        </w:rPr>
      </w:pPr>
      <w:r>
        <w:rPr>
          <w:rFonts w:ascii="Abadi" w:hAnsi="Abadi" w:cstheme="minorBidi"/>
          <w:color w:val="auto"/>
          <w:sz w:val="21"/>
          <w:szCs w:val="21"/>
        </w:rPr>
        <w:tab/>
      </w:r>
      <w:r w:rsidRPr="00EF07A7">
        <w:rPr>
          <w:rFonts w:ascii="Abadi" w:hAnsi="Abadi" w:cstheme="minorBidi"/>
          <w:color w:val="auto"/>
          <w:sz w:val="21"/>
          <w:szCs w:val="21"/>
        </w:rPr>
        <w:t xml:space="preserve">Con el objeto de agilizar el trámite parlamentario de los asuntos agendados en los puntos del doce al veintidós del orden del día, y en virtud de haberse proporcionado con anticipación, así como encontrarse en la Gaceta Parlamentaria, la presidencia propuso la dispensa de lectura de estos; de igual manera, propuso que los informes formulados por la Comisión de Administración, contenidos en los puntos del trece al quince del orden del día se sometieran a discusión y posterior votación en un solo acto. Puesta a consideración la propuesta, resultó aprobada por unanimidad, al computarse treinta y tres votos a favor, sin discusión, en votación económica en la modalidad electrónica. Por lo que se procedió a desahogar el orden del día en los términos aprobados. - - - - </w:t>
      </w:r>
      <w:r w:rsidR="00A92DB1">
        <w:rPr>
          <w:rFonts w:ascii="Abadi" w:hAnsi="Abadi" w:cstheme="minorBidi"/>
          <w:color w:val="auto"/>
          <w:sz w:val="21"/>
          <w:szCs w:val="21"/>
        </w:rPr>
        <w:t xml:space="preserve">- - - - - - - - </w:t>
      </w:r>
    </w:p>
    <w:p w14:paraId="6A2DDA1F" w14:textId="4CC9E243" w:rsidR="005D4BC0" w:rsidRPr="00EF07A7" w:rsidRDefault="005D4BC0" w:rsidP="005D4BC0">
      <w:pPr>
        <w:pStyle w:val="Default"/>
        <w:jc w:val="both"/>
        <w:rPr>
          <w:rFonts w:ascii="Abadi" w:hAnsi="Abadi" w:cstheme="minorBidi"/>
          <w:color w:val="auto"/>
          <w:sz w:val="21"/>
          <w:szCs w:val="21"/>
        </w:rPr>
      </w:pPr>
      <w:r>
        <w:rPr>
          <w:rFonts w:ascii="Abadi" w:hAnsi="Abadi" w:cstheme="minorBidi"/>
          <w:color w:val="auto"/>
          <w:sz w:val="21"/>
          <w:szCs w:val="21"/>
        </w:rPr>
        <w:tab/>
      </w:r>
      <w:r w:rsidRPr="00EF07A7">
        <w:rPr>
          <w:rFonts w:ascii="Abadi" w:hAnsi="Abadi" w:cstheme="minorBidi"/>
          <w:color w:val="auto"/>
          <w:sz w:val="21"/>
          <w:szCs w:val="21"/>
        </w:rPr>
        <w:t xml:space="preserve">La presidencia sometió a consideración la propuesta suscrita por la diputada y los diputados integrantes de la Junta de Gobierno y Coordinación Política a efecto de designar a la diputada Laura Cristina Márquez Alcalá, como representante del Poder Legislativo del Estado de Guanajuato ante la Comisión Estatal para la Evaluación y Consolidación del Sistema de Justicia Penal en Guanajuato; al no registrarse participaciones, se recabó votación por cédula, en la modalidad electrónica, en los términos del artículo ciento noventa y tres -fracción tercera- de la Ley Orgánica del Poder Legislativo del Estado, resultando aprobada por mayoría al </w:t>
      </w:r>
      <w:r w:rsidRPr="00EF07A7">
        <w:rPr>
          <w:rFonts w:ascii="Abadi" w:hAnsi="Abadi" w:cstheme="minorBidi"/>
          <w:color w:val="auto"/>
          <w:sz w:val="21"/>
          <w:szCs w:val="21"/>
        </w:rPr>
        <w:lastRenderedPageBreak/>
        <w:t xml:space="preserve">computarse treinta y dos votos a favor y un voto en contra. La presidencia designó a la diputada Laura Cristina Márquez Alcalá, como representante del Poder Legislativo del Estado de Guanajuato ante la Comisión Estatal para la Evaluación y Consolidación del Sistema de Justicia Penal en Guanajuato y ordenó remitir el acuerdo aprobado a las autoridades correspondientes, para los efectos conducentes. - - - </w:t>
      </w:r>
      <w:r>
        <w:rPr>
          <w:rFonts w:ascii="Abadi" w:hAnsi="Abadi" w:cstheme="minorBidi"/>
          <w:color w:val="auto"/>
          <w:sz w:val="21"/>
          <w:szCs w:val="21"/>
        </w:rPr>
        <w:t xml:space="preserve">- - - - - - - - - - - - - - - - - - - </w:t>
      </w:r>
    </w:p>
    <w:p w14:paraId="7C15D36A" w14:textId="77FA0FB6" w:rsidR="005D4BC0" w:rsidRPr="00EF07A7" w:rsidRDefault="005D4BC0" w:rsidP="005D4BC0">
      <w:pPr>
        <w:pStyle w:val="Default"/>
        <w:jc w:val="both"/>
        <w:rPr>
          <w:rFonts w:ascii="Abadi" w:hAnsi="Abadi" w:cstheme="minorBidi"/>
          <w:color w:val="auto"/>
          <w:sz w:val="21"/>
          <w:szCs w:val="21"/>
        </w:rPr>
      </w:pPr>
      <w:r>
        <w:rPr>
          <w:rFonts w:ascii="Abadi" w:hAnsi="Abadi" w:cstheme="minorBidi"/>
          <w:color w:val="auto"/>
          <w:sz w:val="21"/>
          <w:szCs w:val="21"/>
        </w:rPr>
        <w:tab/>
      </w:r>
      <w:r w:rsidRPr="00EF07A7">
        <w:rPr>
          <w:rFonts w:ascii="Abadi" w:hAnsi="Abadi" w:cstheme="minorBidi"/>
          <w:color w:val="auto"/>
          <w:sz w:val="21"/>
          <w:szCs w:val="21"/>
        </w:rPr>
        <w:t xml:space="preserve">La presidencia puso a consideración tres informes formulados por la Comisión de Administración correspondientes a: 1. Los conceptos generales de los estados financieros de los recursos presupuestales y las transferencias y ajustes presupuestales, correspondiente al periodo comprendido del uno al treinta y uno de mayo del año dos mil veintidós; 2. Los conceptos generales de los estados financieros de los recursos presupuestales y las transferencias y ajustes presupuestales, correspondiente al periodo comprendido del uno al treinta de junio del año en curso; y 3. Los conceptos generales de los estados financieros de los recursos presupuestales correspondiente al periodo comprendido del uno al treinta y uno de julio del año dos mil veintidós; al no registrarse participaciones, resultaron aprobados por mayoría, con treinta y un votos a favor y dos votos en contra, en votación nominal en la modalidad electrónica. En consecuencia, la presidencia declaró tener por aprobados los informes por los periodos de referencia. - - - - </w:t>
      </w:r>
    </w:p>
    <w:p w14:paraId="00926A31" w14:textId="77777777" w:rsidR="00A92DB1" w:rsidRDefault="005D4BC0" w:rsidP="005D4BC0">
      <w:pPr>
        <w:pStyle w:val="Default"/>
        <w:jc w:val="both"/>
        <w:rPr>
          <w:rFonts w:ascii="Abadi" w:hAnsi="Abadi" w:cstheme="minorBidi"/>
          <w:color w:val="auto"/>
          <w:sz w:val="21"/>
          <w:szCs w:val="21"/>
        </w:rPr>
      </w:pPr>
      <w:r>
        <w:rPr>
          <w:rFonts w:ascii="Abadi" w:hAnsi="Abadi" w:cstheme="minorBidi"/>
          <w:color w:val="auto"/>
          <w:sz w:val="21"/>
          <w:szCs w:val="21"/>
        </w:rPr>
        <w:tab/>
      </w:r>
      <w:r w:rsidRPr="00EF07A7">
        <w:rPr>
          <w:rFonts w:ascii="Abadi" w:hAnsi="Abadi" w:cstheme="minorBidi"/>
          <w:color w:val="auto"/>
          <w:sz w:val="21"/>
          <w:szCs w:val="21"/>
        </w:rPr>
        <w:t xml:space="preserve">Se sometió a discusión el dictamen formulado por la Comisión de Hacienda y Fiscalización relativo al informe de resultados de la revisión practicada por la Auditoría Superior del Estado de Guanajuato a la cuenta pública del Poder Ejecutivo del Estado de Guanajuato, correspondiente al ejercicio fiscal del año dos mil veinte; al no registrarse participaciones, se recabó votación nominal, resultando aprobado el dictamen por mayoría, en la modalidad electrónica, al computarse veinticuatro votos a favor, seis votos en contra y tres abstenciones de las diputadas Angélica Casillas Martínez y Martha Guadalupe Hernández Camarena y del diputado Aldo Iván Márquez Becerra, justificando los motivos de las mismas. La presidencia, ordenó remitir el acuerdo aprobado al titular del Poder Ejecutivo del Estado, para su publicación en el Periódico Oficial del Gobierno del Estado; de igual forma, con fundamento en el artículo treinta y siete -fracción sexta- de la Ley de </w:t>
      </w:r>
      <w:r w:rsidRPr="00EF07A7">
        <w:rPr>
          <w:rFonts w:ascii="Abadi" w:hAnsi="Abadi" w:cstheme="minorBidi"/>
          <w:color w:val="auto"/>
          <w:sz w:val="21"/>
          <w:szCs w:val="21"/>
        </w:rPr>
        <w:t>Fiscalización Superior del Estado de Guanajuato, instruyó la remisión del acuerdo aprobado junto con su dictamen y el informe de resultados a la Auditoría Superior de Estado de Guanajuato, para efectos de su notificación. - - - - - - - - - - - - - - - - - - - - - - -</w:t>
      </w:r>
    </w:p>
    <w:p w14:paraId="6C5C88E2" w14:textId="0C00844A" w:rsidR="005D4BC0" w:rsidRPr="00EF07A7" w:rsidRDefault="005D4BC0" w:rsidP="00A92DB1">
      <w:pPr>
        <w:pStyle w:val="Default"/>
        <w:ind w:firstLine="708"/>
        <w:jc w:val="both"/>
        <w:rPr>
          <w:rFonts w:ascii="Abadi" w:hAnsi="Abadi"/>
          <w:color w:val="auto"/>
          <w:sz w:val="21"/>
          <w:szCs w:val="21"/>
        </w:rPr>
      </w:pPr>
      <w:r w:rsidRPr="00EF07A7">
        <w:rPr>
          <w:rFonts w:ascii="Abadi" w:hAnsi="Abadi" w:cstheme="minorBidi"/>
          <w:color w:val="auto"/>
          <w:sz w:val="21"/>
          <w:szCs w:val="21"/>
        </w:rPr>
        <w:t xml:space="preserve"> Se sometió a discusión el dictamen signado por la Comisión de Salud Pública relativo a la iniciativa a efecto de adicionar al Título Décimo, un Capítulo IV denominado </w:t>
      </w:r>
      <w:r w:rsidRPr="00EF07A7">
        <w:rPr>
          <w:rFonts w:ascii="Abadi" w:hAnsi="Abadi"/>
          <w:i/>
          <w:iCs/>
          <w:color w:val="auto"/>
          <w:sz w:val="21"/>
          <w:szCs w:val="21"/>
        </w:rPr>
        <w:t>Tratamiento de las Adicciones</w:t>
      </w:r>
      <w:r w:rsidRPr="00EF07A7">
        <w:rPr>
          <w:rFonts w:ascii="Abadi" w:hAnsi="Abadi"/>
          <w:color w:val="auto"/>
          <w:sz w:val="21"/>
          <w:szCs w:val="21"/>
        </w:rPr>
        <w:t xml:space="preserve">, comprendiendo los artículos ciento sesenta y dos Bis, ciento sesenta y dos Ter, ciento sesenta y dos Quater, ciento sesenta y dos Quinquies y ciento sesenta y dos Sexies, a la Ley de Salud del Estado de Guanajuato, suscrita por la diputada y el diputado integrantes del Grupo Parlamentario del Partido Verde Ecologista de México, ante la Sexagésima Cuarta Legislatura. Al no registrarse participaciones se recabó votación nominal, resultando aprobado el dictamen por mayoría, en la modalidad electrónica, al computarse treinta y un votos a favor y dos votos en contra. </w:t>
      </w:r>
      <w:r>
        <w:rPr>
          <w:rFonts w:ascii="Abadi" w:hAnsi="Abadi"/>
          <w:color w:val="auto"/>
          <w:sz w:val="21"/>
          <w:szCs w:val="21"/>
        </w:rPr>
        <w:tab/>
      </w:r>
      <w:r w:rsidRPr="00EF07A7">
        <w:rPr>
          <w:rFonts w:ascii="Abadi" w:hAnsi="Abadi"/>
          <w:color w:val="auto"/>
          <w:sz w:val="21"/>
          <w:szCs w:val="21"/>
        </w:rPr>
        <w:t xml:space="preserve">La presidencia instruyó a la Secretaría General para que procediera al archivo definitivo de la iniciativa referida en el dictamen aprobado. - - - - - - - - </w:t>
      </w:r>
    </w:p>
    <w:p w14:paraId="34FC3E36" w14:textId="0ADFBDFD" w:rsidR="005D4BC0" w:rsidRPr="00EF07A7" w:rsidRDefault="005D4BC0" w:rsidP="005D4BC0">
      <w:pPr>
        <w:pStyle w:val="Default"/>
        <w:jc w:val="both"/>
        <w:rPr>
          <w:rFonts w:ascii="Abadi" w:hAnsi="Abadi"/>
          <w:color w:val="auto"/>
          <w:sz w:val="21"/>
          <w:szCs w:val="21"/>
        </w:rPr>
      </w:pPr>
      <w:r>
        <w:rPr>
          <w:rFonts w:ascii="Abadi" w:hAnsi="Abadi"/>
          <w:color w:val="auto"/>
          <w:sz w:val="21"/>
          <w:szCs w:val="21"/>
        </w:rPr>
        <w:tab/>
      </w:r>
      <w:r w:rsidRPr="00EF07A7">
        <w:rPr>
          <w:rFonts w:ascii="Abadi" w:hAnsi="Abadi"/>
          <w:color w:val="auto"/>
          <w:sz w:val="21"/>
          <w:szCs w:val="21"/>
        </w:rPr>
        <w:t xml:space="preserve">La presidencia dio la bienvenida a integrantes de la Secundaria Número 4 </w:t>
      </w:r>
      <w:r w:rsidRPr="00EF07A7">
        <w:rPr>
          <w:rFonts w:ascii="Abadi" w:hAnsi="Abadi"/>
          <w:i/>
          <w:iCs/>
          <w:color w:val="auto"/>
          <w:sz w:val="21"/>
          <w:szCs w:val="21"/>
        </w:rPr>
        <w:t>Jorge Ibargüengoitia</w:t>
      </w:r>
      <w:r w:rsidRPr="00EF07A7">
        <w:rPr>
          <w:rFonts w:ascii="Abadi" w:hAnsi="Abadi"/>
          <w:color w:val="auto"/>
          <w:sz w:val="21"/>
          <w:szCs w:val="21"/>
        </w:rPr>
        <w:t xml:space="preserve">, invitados por el diputado Aldo Iván Márquez Becerra. - - - - - - - - - - - - - - </w:t>
      </w:r>
      <w:r>
        <w:rPr>
          <w:rFonts w:ascii="Abadi" w:hAnsi="Abadi"/>
          <w:color w:val="auto"/>
          <w:sz w:val="21"/>
          <w:szCs w:val="21"/>
        </w:rPr>
        <w:t xml:space="preserve">- - </w:t>
      </w:r>
    </w:p>
    <w:p w14:paraId="4BEB7E0D" w14:textId="44884D3E" w:rsidR="005D4BC0" w:rsidRPr="00EF07A7" w:rsidRDefault="005D4BC0" w:rsidP="005D4BC0">
      <w:pPr>
        <w:pStyle w:val="Default"/>
        <w:jc w:val="both"/>
        <w:rPr>
          <w:rFonts w:ascii="Abadi" w:hAnsi="Abadi"/>
          <w:color w:val="auto"/>
          <w:sz w:val="21"/>
          <w:szCs w:val="21"/>
        </w:rPr>
      </w:pPr>
      <w:r w:rsidRPr="00EF07A7">
        <w:rPr>
          <w:rFonts w:ascii="Abadi" w:hAnsi="Abadi"/>
          <w:color w:val="auto"/>
          <w:sz w:val="21"/>
          <w:szCs w:val="21"/>
        </w:rPr>
        <w:t xml:space="preserve">Se sometió a discusión el dictamen formulado por la Comisión de Salud Pública relativo a la iniciativa de Ley para la Detección y Tratamiento Oportuno e Integral del Cáncer en la infancia y la adolescencia para el Estado de Guanajuato, suscrita por la diputada Dessire Angel Rocha de la Representación Parlamentaria del Partido Movimiento Ciudadano. Al no registrarse participaciones se recabó votación nominal, resultando aprobado el dictamen por mayoría, en la modalidad electrónica, al computarse treinta votos a favor y tres votos en contra. La presidencia instruyó a la Secretaría General para que procediera al archivo definitivo de la iniciativa referida en el dictamen aprobado. - - </w:t>
      </w:r>
    </w:p>
    <w:p w14:paraId="244F89CC" w14:textId="3C0819CE" w:rsidR="005D4BC0" w:rsidRPr="00EF07A7" w:rsidRDefault="005D4BC0" w:rsidP="005D4BC0">
      <w:pPr>
        <w:pStyle w:val="Default"/>
        <w:jc w:val="both"/>
        <w:rPr>
          <w:rFonts w:ascii="Abadi" w:hAnsi="Abadi"/>
          <w:color w:val="auto"/>
          <w:sz w:val="21"/>
          <w:szCs w:val="21"/>
        </w:rPr>
      </w:pPr>
      <w:r>
        <w:rPr>
          <w:rFonts w:ascii="Abadi" w:hAnsi="Abadi"/>
          <w:color w:val="auto"/>
          <w:sz w:val="21"/>
          <w:szCs w:val="21"/>
        </w:rPr>
        <w:tab/>
      </w:r>
      <w:r w:rsidRPr="00EF07A7">
        <w:rPr>
          <w:rFonts w:ascii="Abadi" w:hAnsi="Abadi"/>
          <w:color w:val="auto"/>
          <w:sz w:val="21"/>
          <w:szCs w:val="21"/>
        </w:rPr>
        <w:t xml:space="preserve">La presidencia dio la bienvenida a alumnos de la Universidad de la Salle campus Salamanca, invitados por la diputada Noemí Márquez Márquez. - - - - - - - - - - - - - - - - - - </w:t>
      </w:r>
    </w:p>
    <w:p w14:paraId="1A661F1E" w14:textId="079334B5" w:rsidR="005D4BC0" w:rsidRPr="00EF07A7" w:rsidRDefault="005D4BC0" w:rsidP="005D4BC0">
      <w:pPr>
        <w:pStyle w:val="Default"/>
        <w:jc w:val="both"/>
        <w:rPr>
          <w:rFonts w:ascii="Abadi" w:hAnsi="Abadi" w:cstheme="minorBidi"/>
          <w:color w:val="auto"/>
          <w:sz w:val="21"/>
          <w:szCs w:val="21"/>
        </w:rPr>
      </w:pPr>
      <w:r>
        <w:rPr>
          <w:rFonts w:ascii="Abadi" w:hAnsi="Abadi"/>
          <w:color w:val="auto"/>
          <w:sz w:val="21"/>
          <w:szCs w:val="21"/>
        </w:rPr>
        <w:tab/>
      </w:r>
      <w:r w:rsidRPr="00EF07A7">
        <w:rPr>
          <w:rFonts w:ascii="Abadi" w:hAnsi="Abadi"/>
          <w:color w:val="auto"/>
          <w:sz w:val="21"/>
          <w:szCs w:val="21"/>
        </w:rPr>
        <w:t xml:space="preserve">Se sometió a discusión el dictamen emitido por la Comisión de Salud Pública relativo a la propuesta de punto de acuerdo suscrita por el diputado Ernesto Alejandro </w:t>
      </w:r>
      <w:r w:rsidRPr="00EF07A7">
        <w:rPr>
          <w:rFonts w:ascii="Abadi" w:hAnsi="Abadi"/>
          <w:color w:val="auto"/>
          <w:sz w:val="21"/>
          <w:szCs w:val="21"/>
        </w:rPr>
        <w:lastRenderedPageBreak/>
        <w:t xml:space="preserve">Prieto Gallardo, integrante del Grupo Parlamentario del Partido MORENA, a efecto de exhortar al titular del Ejecutivo del Estado de Guanajuato, para que instruya a la Secretaría de Salud Estatal a hacer un estudio y análisis FODA (Fortalezas, Oportunidades, Debilidades y Amenazas) que sirva para evaluar integralmente los beneficios y desventajas que podrían existir al elegir adherirse o no al Programa IMSS-Bienestar, desde la perspectiva de servicios e infraestructura de salud actual con que cuentan los ciudadanos guanajuatenses. Al no registrarse participaciones se recabó votación nominal, resultando aprobado el </w:t>
      </w:r>
      <w:r w:rsidRPr="00EF07A7">
        <w:rPr>
          <w:rFonts w:ascii="Abadi" w:hAnsi="Abadi" w:cstheme="minorBidi"/>
          <w:color w:val="auto"/>
          <w:sz w:val="21"/>
          <w:szCs w:val="21"/>
        </w:rPr>
        <w:t xml:space="preserve">dictamen por unanimidad, en la modalidad electrónica, al computarse treinta y tres votos a favor. La presidencia instruyó a la Secretaría General para que procediera al archivo definitivo de la propuesta de punto de acuerdo referida en el dictamen aprobado. - - - - - - </w:t>
      </w:r>
      <w:r w:rsidR="00A92DB1">
        <w:rPr>
          <w:rFonts w:ascii="Abadi" w:hAnsi="Abadi" w:cstheme="minorBidi"/>
          <w:color w:val="auto"/>
          <w:sz w:val="21"/>
          <w:szCs w:val="21"/>
        </w:rPr>
        <w:t xml:space="preserve">- - - - - - - - - - - </w:t>
      </w:r>
    </w:p>
    <w:p w14:paraId="5AC48ABA" w14:textId="4DC8C4C0" w:rsidR="005D4BC0" w:rsidRPr="00EF07A7" w:rsidRDefault="005D4BC0" w:rsidP="005D4BC0">
      <w:pPr>
        <w:pStyle w:val="Default"/>
        <w:jc w:val="both"/>
        <w:rPr>
          <w:rFonts w:ascii="Abadi" w:hAnsi="Abadi" w:cstheme="minorBidi"/>
          <w:color w:val="auto"/>
          <w:sz w:val="21"/>
          <w:szCs w:val="21"/>
        </w:rPr>
      </w:pPr>
      <w:r>
        <w:rPr>
          <w:rFonts w:ascii="Abadi" w:hAnsi="Abadi" w:cstheme="minorBidi"/>
          <w:color w:val="auto"/>
          <w:sz w:val="21"/>
          <w:szCs w:val="21"/>
        </w:rPr>
        <w:tab/>
      </w:r>
      <w:r w:rsidRPr="00EF07A7">
        <w:rPr>
          <w:rFonts w:ascii="Abadi" w:hAnsi="Abadi" w:cstheme="minorBidi"/>
          <w:color w:val="auto"/>
          <w:sz w:val="21"/>
          <w:szCs w:val="21"/>
        </w:rPr>
        <w:t xml:space="preserve">Se sometió a discusión el dictamen signado por la Comisión de Salud Pública relativo a la propuesta de punto de acuerdo formulada por la diputada María Magdalena Rosales Cruz, integrante del Grupo Parlamentario del Partido MORENA, ante la Sexagésima Cuarta Legislatura, a fin de exhortar al Gobernador del Estado, licenciado Diego Sinhue Rodríguez Vallejo, para que por su conducto instruya al Secretario de Salud en el Estado y Director General del Instituto de Salud Pública del Estado de Guanajuato, doctor Alberto Díaz Martínez para que regularice la situación laboral de las y los trabajadores del Instituto de Salud Pública del Estado de Guanajuato, a fin de que estos sean basificados accediendo a sus derechos conforme a los lineamientos de ley aplicables. Al no registrarse participaciones se recabó votación nominal, resultando aprobado el dictamen por unanimidad, en la modalidad electrónica, al computarse treinta y cuatro votos a favor. La presidencia instruyó a la Secretaría General para que procediera al archivo definitivo de la propuesta de punto de acuerdo referida en el dictamen aprobado. - - </w:t>
      </w:r>
    </w:p>
    <w:p w14:paraId="410AF0B0" w14:textId="33076E06" w:rsidR="005D4BC0" w:rsidRPr="00EF07A7" w:rsidRDefault="005D4BC0" w:rsidP="005D4BC0">
      <w:pPr>
        <w:pStyle w:val="Default"/>
        <w:jc w:val="both"/>
        <w:rPr>
          <w:rFonts w:ascii="Abadi" w:hAnsi="Abadi" w:cstheme="minorBidi"/>
          <w:color w:val="auto"/>
          <w:sz w:val="21"/>
          <w:szCs w:val="21"/>
        </w:rPr>
      </w:pPr>
      <w:r>
        <w:rPr>
          <w:rFonts w:ascii="Abadi" w:hAnsi="Abadi" w:cstheme="minorBidi"/>
          <w:color w:val="auto"/>
          <w:sz w:val="21"/>
          <w:szCs w:val="21"/>
        </w:rPr>
        <w:tab/>
      </w:r>
      <w:r w:rsidRPr="00EF07A7">
        <w:rPr>
          <w:rFonts w:ascii="Abadi" w:hAnsi="Abadi" w:cstheme="minorBidi"/>
          <w:color w:val="auto"/>
          <w:sz w:val="21"/>
          <w:szCs w:val="21"/>
        </w:rPr>
        <w:t xml:space="preserve">Se sometió a discusión el dictamen presentado por la Comisión de Salud Pública relativo a la propuesta de punto de acuerdo formulada por las diputadas y los diputados integrantes del Grupo Parlamentario del Partido Revolucionario Institucional, a efecto de realizar un exhorto al Director General del Instituto Mexicano del Seguro Social, </w:t>
      </w:r>
      <w:r w:rsidR="00A92DB1" w:rsidRPr="00EF07A7">
        <w:rPr>
          <w:rFonts w:ascii="Abadi" w:hAnsi="Abadi" w:cstheme="minorBidi"/>
          <w:color w:val="auto"/>
          <w:sz w:val="21"/>
          <w:szCs w:val="21"/>
        </w:rPr>
        <w:t>Zoé</w:t>
      </w:r>
      <w:r w:rsidRPr="00EF07A7">
        <w:rPr>
          <w:rFonts w:ascii="Abadi" w:hAnsi="Abadi" w:cstheme="minorBidi"/>
          <w:color w:val="auto"/>
          <w:sz w:val="21"/>
          <w:szCs w:val="21"/>
        </w:rPr>
        <w:t xml:space="preserve"> Robledo Aburto, para que en ejercicio de sus </w:t>
      </w:r>
      <w:r w:rsidRPr="00EF07A7">
        <w:rPr>
          <w:rFonts w:ascii="Abadi" w:hAnsi="Abadi" w:cstheme="minorBidi"/>
          <w:color w:val="auto"/>
          <w:sz w:val="21"/>
          <w:szCs w:val="21"/>
        </w:rPr>
        <w:t xml:space="preserve">facultades realice la asignación de recursos que permita llevar a cabo las gestiones necesarias para comenzar con la construcción de la clínica de ese instituto en la ciudad de Guanajuato; se registraron las intervenciones de las diputadas Irma Leticia González Sánchez y Ruth Noemí Tiscareño Agoitia para hablar a favor del dictamen. Concluidas las participaciones, se recabó votación nominal, resultando aprobado el dictamen por mayoría, en la modalidad electrónica, al computarse veintisiete votos a favor y seis votos en contra. La presidencia instruyó remitir el acuerdo aprobado al director general del Instituto Mexicano del Seguro Social, para los efectos correspondientes. </w:t>
      </w:r>
      <w:r>
        <w:rPr>
          <w:rFonts w:ascii="Abadi" w:hAnsi="Abadi" w:cstheme="minorBidi"/>
          <w:color w:val="auto"/>
          <w:sz w:val="21"/>
          <w:szCs w:val="21"/>
        </w:rPr>
        <w:t xml:space="preserve">- - - - - - - - - - - - - - - - - - - </w:t>
      </w:r>
    </w:p>
    <w:p w14:paraId="5BC07816" w14:textId="222DC226" w:rsidR="005D4BC0" w:rsidRPr="00EF07A7" w:rsidRDefault="005D4BC0" w:rsidP="005D4BC0">
      <w:pPr>
        <w:pStyle w:val="Default"/>
        <w:jc w:val="both"/>
        <w:rPr>
          <w:rFonts w:ascii="Abadi" w:hAnsi="Abadi" w:cstheme="minorBidi"/>
          <w:color w:val="auto"/>
          <w:sz w:val="21"/>
          <w:szCs w:val="21"/>
        </w:rPr>
      </w:pPr>
      <w:r>
        <w:rPr>
          <w:rFonts w:ascii="Abadi" w:hAnsi="Abadi" w:cstheme="minorBidi"/>
          <w:color w:val="auto"/>
          <w:sz w:val="21"/>
          <w:szCs w:val="21"/>
        </w:rPr>
        <w:tab/>
      </w:r>
      <w:r w:rsidRPr="00EF07A7">
        <w:rPr>
          <w:rFonts w:ascii="Abadi" w:hAnsi="Abadi" w:cstheme="minorBidi"/>
          <w:color w:val="auto"/>
          <w:sz w:val="21"/>
          <w:szCs w:val="21"/>
        </w:rPr>
        <w:t xml:space="preserve">Se sometió a discusión el dictamen suscrito por la Comisión de Gobernación y Puntos Constitucionales relativo a la solicitud de licencia para separarse del cargo de diputado local de Aldo Iván Márquez Becerra, integrante del Grupo Parlamentario del Partido Acción Nacional. Al no registrarse participaciones, se recabó votación nominal, resultando aprobado el dictamen por unanimidad, en la modalidad electrónica, al computarse treinta y tres votos a favor y una abstención del diputado Aldo Iván Márquez Becerra. La presidencia declaró por aprobada la licencia e instruyó comunicar el acuerdo aprobado al ciudadano Aldo Iván Márquez Becerra, para separarse del cargo de diputado local surtiendo efectos a partir del uno de octubre del año dos mil veintidós y por tiempo indefinido; asimismo, ordenó llamar al ciudadano Javier Alfonso Torres Mereles, en su calidad de diputado suplente, a efecto de que rinda la protesta de Ley en la siguiente </w:t>
      </w:r>
      <w:r w:rsidR="00CB6D34" w:rsidRPr="00EF07A7">
        <w:rPr>
          <w:rFonts w:ascii="Abadi" w:hAnsi="Abadi" w:cstheme="minorBidi"/>
          <w:color w:val="auto"/>
          <w:sz w:val="21"/>
          <w:szCs w:val="21"/>
        </w:rPr>
        <w:t xml:space="preserve">sesión. </w:t>
      </w:r>
    </w:p>
    <w:p w14:paraId="01CBD045" w14:textId="79C922CC" w:rsidR="005D4BC0" w:rsidRPr="00EF07A7" w:rsidRDefault="005D4BC0" w:rsidP="005D4BC0">
      <w:pPr>
        <w:pStyle w:val="Default"/>
        <w:jc w:val="both"/>
        <w:rPr>
          <w:rFonts w:ascii="Abadi" w:hAnsi="Abadi" w:cstheme="minorBidi"/>
          <w:color w:val="auto"/>
          <w:sz w:val="21"/>
          <w:szCs w:val="21"/>
        </w:rPr>
      </w:pPr>
      <w:r>
        <w:rPr>
          <w:rFonts w:ascii="Abadi" w:hAnsi="Abadi" w:cstheme="minorBidi"/>
          <w:color w:val="auto"/>
          <w:sz w:val="21"/>
          <w:szCs w:val="21"/>
        </w:rPr>
        <w:tab/>
        <w:t xml:space="preserve"> </w:t>
      </w:r>
      <w:r w:rsidRPr="00EF07A7">
        <w:rPr>
          <w:rFonts w:ascii="Abadi" w:hAnsi="Abadi" w:cstheme="minorBidi"/>
          <w:color w:val="auto"/>
          <w:sz w:val="21"/>
          <w:szCs w:val="21"/>
        </w:rPr>
        <w:t>En atención al acuerdo aprobado por la diputada y los diputados integrantes de la Junta de Gobierno y Coordinación Política, la presidencia en actos sucesivos concedió el uso de la tribuna a la diputada Dessire Ángel Rocha, de la Representación Parlamentaria del Partido Movimiento Ciudadano; así como a los diputados Gerardo Fernández González, Coordinador del Grupo Parlamentario del Partido Verde Ecologista de México; Alejandro Arias Ávila, Coordinador del Grupo Parlamentario del Partido Revolucionario Institucional; Ernesto Millán Soberanes, Coordinador del Grupo Parlamentario del Partido MORENA; y Luis Ernesto Ayala Torres, Coordinador del Grupo Parlamentario del Partido Acción Nacional. - -</w:t>
      </w:r>
      <w:r>
        <w:rPr>
          <w:rFonts w:ascii="Abadi" w:hAnsi="Abadi" w:cstheme="minorBidi"/>
          <w:color w:val="auto"/>
          <w:sz w:val="21"/>
          <w:szCs w:val="21"/>
        </w:rPr>
        <w:t xml:space="preserve"> - - - - - - - - - - - - </w:t>
      </w:r>
    </w:p>
    <w:p w14:paraId="0301863E" w14:textId="3448E7F8" w:rsidR="005D4BC0" w:rsidRPr="00EF07A7" w:rsidRDefault="005D4BC0" w:rsidP="005D4BC0">
      <w:pPr>
        <w:pStyle w:val="Default"/>
        <w:jc w:val="both"/>
        <w:rPr>
          <w:rFonts w:ascii="Abadi" w:hAnsi="Abadi" w:cstheme="minorBidi"/>
          <w:color w:val="auto"/>
          <w:sz w:val="21"/>
          <w:szCs w:val="21"/>
        </w:rPr>
      </w:pPr>
      <w:r>
        <w:rPr>
          <w:rFonts w:ascii="Abadi" w:hAnsi="Abadi" w:cstheme="minorBidi"/>
          <w:color w:val="auto"/>
          <w:sz w:val="21"/>
          <w:szCs w:val="21"/>
        </w:rPr>
        <w:lastRenderedPageBreak/>
        <w:tab/>
      </w:r>
      <w:r w:rsidRPr="00EF07A7">
        <w:rPr>
          <w:rFonts w:ascii="Abadi" w:hAnsi="Abadi" w:cstheme="minorBidi"/>
          <w:color w:val="auto"/>
          <w:sz w:val="21"/>
          <w:szCs w:val="21"/>
        </w:rPr>
        <w:t xml:space="preserve">La presidencia dio la bienvenida a ciudadanas integrantes de AMEXME Asociación de Mujeres Empresarias, Capítulo Celaya A.C., y a la ciudadana Emma Tovar Tapia, diputada de la Sexagésima Cuarta Legislatura, invitadas por las diputadas y los diputados integrantes del Grupo Parlamentario del Partido Acción Nacional. - - </w:t>
      </w:r>
    </w:p>
    <w:p w14:paraId="6C879B37" w14:textId="1D4C09E7" w:rsidR="005D4BC0" w:rsidRPr="00EF07A7" w:rsidRDefault="005D4BC0" w:rsidP="005D4BC0">
      <w:pPr>
        <w:pStyle w:val="Default"/>
        <w:jc w:val="both"/>
        <w:rPr>
          <w:rFonts w:ascii="Abadi" w:hAnsi="Abadi"/>
          <w:color w:val="auto"/>
          <w:sz w:val="21"/>
          <w:szCs w:val="21"/>
        </w:rPr>
      </w:pPr>
      <w:r>
        <w:rPr>
          <w:rFonts w:ascii="Abadi" w:hAnsi="Abadi" w:cstheme="minorBidi"/>
          <w:color w:val="auto"/>
          <w:sz w:val="21"/>
          <w:szCs w:val="21"/>
        </w:rPr>
        <w:tab/>
      </w:r>
      <w:r w:rsidRPr="00EF07A7">
        <w:rPr>
          <w:rFonts w:ascii="Abadi" w:hAnsi="Abadi" w:cstheme="minorBidi"/>
          <w:color w:val="auto"/>
          <w:sz w:val="21"/>
          <w:szCs w:val="21"/>
        </w:rPr>
        <w:t xml:space="preserve">En el apartado correspondiente a los asuntos de interés general, se registró la intervención del diputado Ernesto Alejandro Prieto Gallardo con el tema </w:t>
      </w:r>
      <w:r w:rsidRPr="00EF07A7">
        <w:rPr>
          <w:rFonts w:ascii="Abadi" w:hAnsi="Abadi"/>
          <w:i/>
          <w:iCs/>
          <w:color w:val="auto"/>
          <w:sz w:val="21"/>
          <w:szCs w:val="21"/>
        </w:rPr>
        <w:t xml:space="preserve">se declare inhábil el 19 de septiembre, Día de los Terremotos de 1985, 2017 y 2022. </w:t>
      </w:r>
      <w:r w:rsidRPr="00EF07A7">
        <w:rPr>
          <w:rFonts w:ascii="Abadi" w:hAnsi="Abadi"/>
          <w:color w:val="auto"/>
          <w:sz w:val="21"/>
          <w:szCs w:val="21"/>
        </w:rPr>
        <w:t xml:space="preserve">Concluida la intervención, la presidencia recibió la iniciativa y de conformidad con el primer párrafo del artículo ciento cincuenta y dos de la Ley Orgánica del Poder Legislativo del Estado refirió que se enlistará en el orden del día de la siguiente sesión, para el trámite legislativo correspondiente. Acto seguido, se registró la participación de la diputada Hades Berenice Aguilar Castillo con el tema </w:t>
      </w:r>
      <w:r w:rsidRPr="00EF07A7">
        <w:rPr>
          <w:rFonts w:ascii="Abadi" w:hAnsi="Abadi"/>
          <w:i/>
          <w:iCs/>
          <w:color w:val="auto"/>
          <w:sz w:val="21"/>
          <w:szCs w:val="21"/>
        </w:rPr>
        <w:t xml:space="preserve">declaraciones; </w:t>
      </w:r>
      <w:r w:rsidRPr="00EF07A7">
        <w:rPr>
          <w:rFonts w:ascii="Abadi" w:hAnsi="Abadi"/>
          <w:color w:val="auto"/>
          <w:sz w:val="21"/>
          <w:szCs w:val="21"/>
        </w:rPr>
        <w:t>durante la intervención, el diputado Ernesto Millán Soberanes solicitó una moción de orden, misma que fue concedida por la presidencia. - - - - - - - - - - - - - - -</w:t>
      </w:r>
      <w:r>
        <w:rPr>
          <w:rFonts w:ascii="Abadi" w:hAnsi="Abadi"/>
          <w:color w:val="auto"/>
          <w:sz w:val="21"/>
          <w:szCs w:val="21"/>
        </w:rPr>
        <w:t xml:space="preserve"> - - - - - - - - </w:t>
      </w:r>
    </w:p>
    <w:p w14:paraId="295A81A4" w14:textId="6BF7D24F" w:rsidR="005D4BC0" w:rsidRPr="00EF07A7" w:rsidRDefault="005D4BC0" w:rsidP="005D4BC0">
      <w:pPr>
        <w:pStyle w:val="Default"/>
        <w:jc w:val="both"/>
        <w:rPr>
          <w:rFonts w:ascii="Abadi" w:hAnsi="Abadi" w:cstheme="minorBidi"/>
          <w:color w:val="auto"/>
          <w:sz w:val="21"/>
          <w:szCs w:val="21"/>
        </w:rPr>
      </w:pPr>
      <w:r>
        <w:rPr>
          <w:rFonts w:ascii="Abadi" w:hAnsi="Abadi"/>
          <w:color w:val="auto"/>
          <w:sz w:val="21"/>
          <w:szCs w:val="21"/>
        </w:rPr>
        <w:tab/>
      </w:r>
      <w:r w:rsidRPr="00EF07A7">
        <w:rPr>
          <w:rFonts w:ascii="Abadi" w:hAnsi="Abadi"/>
          <w:color w:val="auto"/>
          <w:sz w:val="21"/>
          <w:szCs w:val="21"/>
        </w:rPr>
        <w:t>La secretaría informó que se habían agotado los asuntos listados en el orden del día, que la asistencia a la sesión había sido de treinta y cuatro diputadas y diputados. Que se registraron las inasistencias de las diputadas Alma Edwviges Alcaraz Hernández y</w:t>
      </w:r>
      <w:r>
        <w:rPr>
          <w:rFonts w:ascii="Abadi" w:hAnsi="Abadi"/>
          <w:color w:val="auto"/>
          <w:sz w:val="21"/>
          <w:szCs w:val="21"/>
        </w:rPr>
        <w:t xml:space="preserve"> </w:t>
      </w:r>
      <w:r w:rsidRPr="00EF07A7">
        <w:rPr>
          <w:rFonts w:ascii="Abadi" w:hAnsi="Abadi" w:cstheme="minorBidi"/>
          <w:color w:val="auto"/>
          <w:sz w:val="21"/>
          <w:szCs w:val="21"/>
        </w:rPr>
        <w:t>Briseida Anabel Magdaleno González, justificadas en su momento por la presidencia. - - - -</w:t>
      </w:r>
      <w:r>
        <w:rPr>
          <w:rFonts w:ascii="Abadi" w:hAnsi="Abadi" w:cstheme="minorBidi"/>
          <w:color w:val="auto"/>
          <w:sz w:val="21"/>
          <w:szCs w:val="21"/>
        </w:rPr>
        <w:t xml:space="preserve"> - - - - - </w:t>
      </w:r>
    </w:p>
    <w:p w14:paraId="102C3BBC" w14:textId="0924974C" w:rsidR="005D4BC0" w:rsidRPr="00A92DB1" w:rsidRDefault="005D4BC0" w:rsidP="005D4BC0">
      <w:pPr>
        <w:pStyle w:val="Default"/>
        <w:jc w:val="both"/>
        <w:rPr>
          <w:rFonts w:ascii="Abadi" w:hAnsi="Abadi" w:cstheme="minorBidi"/>
          <w:b/>
          <w:bCs/>
          <w:color w:val="auto"/>
          <w:sz w:val="21"/>
          <w:szCs w:val="21"/>
        </w:rPr>
      </w:pPr>
      <w:r>
        <w:rPr>
          <w:rFonts w:ascii="Abadi" w:hAnsi="Abadi" w:cstheme="minorBidi"/>
          <w:color w:val="auto"/>
          <w:sz w:val="21"/>
          <w:szCs w:val="21"/>
        </w:rPr>
        <w:tab/>
      </w:r>
      <w:r w:rsidRPr="00EF07A7">
        <w:rPr>
          <w:rFonts w:ascii="Abadi" w:hAnsi="Abadi" w:cstheme="minorBidi"/>
          <w:color w:val="auto"/>
          <w:sz w:val="21"/>
          <w:szCs w:val="21"/>
        </w:rPr>
        <w:t xml:space="preserve">La presidencia expresó que, en virtud de que el cuórum de asistencia se había mantenido, no procedería a instruir a la secretaría a un nuevo pase de lista; por lo que levantó la sesión a las trece horas con cuatro minutos e indicó que se citaría para la siguiente sesión por conducto de la Secretaría General. - - - - - - - - - - - - - - - - - - - - - - - </w:t>
      </w:r>
      <w:r>
        <w:rPr>
          <w:rFonts w:ascii="Abadi" w:hAnsi="Abadi" w:cstheme="minorBidi"/>
          <w:color w:val="auto"/>
          <w:sz w:val="21"/>
          <w:szCs w:val="21"/>
        </w:rPr>
        <w:t xml:space="preserve">- - </w:t>
      </w:r>
    </w:p>
    <w:p w14:paraId="0BFC55E5" w14:textId="77777777" w:rsidR="005D4BC0" w:rsidRDefault="005D4BC0" w:rsidP="005D4BC0">
      <w:pPr>
        <w:pStyle w:val="Default"/>
        <w:jc w:val="both"/>
        <w:rPr>
          <w:rFonts w:ascii="Abadi" w:hAnsi="Abadi" w:cstheme="minorBidi"/>
          <w:color w:val="auto"/>
          <w:sz w:val="21"/>
          <w:szCs w:val="21"/>
        </w:rPr>
      </w:pPr>
      <w:r>
        <w:rPr>
          <w:rFonts w:ascii="Abadi" w:hAnsi="Abadi" w:cstheme="minorBidi"/>
          <w:color w:val="auto"/>
          <w:sz w:val="21"/>
          <w:szCs w:val="21"/>
        </w:rPr>
        <w:tab/>
      </w:r>
      <w:r w:rsidRPr="00EF07A7">
        <w:rPr>
          <w:rFonts w:ascii="Abadi" w:hAnsi="Abadi" w:cstheme="minorBidi"/>
          <w:color w:val="auto"/>
          <w:sz w:val="21"/>
          <w:szCs w:val="21"/>
        </w:rPr>
        <w:t xml:space="preserve">Todas y cada una de las intervenciones de las diputadas y de los diputados registradas durante la presente sesión, se contienen íntegramente en versión mecanográfica y forman parte de la presente acta, así como los oficios por los que se solicitó la justificación de las inasistencias de las diputadas Alma Edwviges Alcaraz Hernández y Briseida Anabel Magdaleno González. Damos fe. </w:t>
      </w:r>
    </w:p>
    <w:p w14:paraId="6A77E750" w14:textId="77777777" w:rsidR="005D4BC0" w:rsidRDefault="005D4BC0" w:rsidP="005D4BC0">
      <w:pPr>
        <w:pStyle w:val="Default"/>
        <w:jc w:val="both"/>
        <w:rPr>
          <w:rFonts w:ascii="Abadi" w:hAnsi="Abadi" w:cstheme="minorBidi"/>
          <w:color w:val="auto"/>
          <w:sz w:val="21"/>
          <w:szCs w:val="21"/>
        </w:rPr>
      </w:pPr>
    </w:p>
    <w:p w14:paraId="14F1DFF3" w14:textId="77777777" w:rsidR="005D4BC0" w:rsidRPr="00EF07A7" w:rsidRDefault="005D4BC0" w:rsidP="005D4BC0">
      <w:pPr>
        <w:pStyle w:val="Default"/>
        <w:jc w:val="both"/>
        <w:rPr>
          <w:rFonts w:ascii="Abadi" w:hAnsi="Abadi" w:cstheme="minorBidi"/>
          <w:color w:val="auto"/>
          <w:sz w:val="21"/>
          <w:szCs w:val="21"/>
        </w:rPr>
      </w:pPr>
    </w:p>
    <w:p w14:paraId="1E2938BC" w14:textId="77777777" w:rsidR="005D4BC0" w:rsidRDefault="005D4BC0" w:rsidP="005D4BC0">
      <w:pPr>
        <w:pStyle w:val="Default"/>
        <w:jc w:val="both"/>
        <w:rPr>
          <w:rFonts w:ascii="Abadi" w:hAnsi="Abadi"/>
          <w:b/>
          <w:bCs/>
          <w:color w:val="auto"/>
          <w:sz w:val="21"/>
          <w:szCs w:val="21"/>
        </w:rPr>
      </w:pPr>
      <w:r w:rsidRPr="00EF07A7">
        <w:rPr>
          <w:rFonts w:ascii="Abadi" w:hAnsi="Abadi"/>
          <w:b/>
          <w:bCs/>
          <w:color w:val="auto"/>
          <w:sz w:val="21"/>
          <w:szCs w:val="21"/>
        </w:rPr>
        <w:t xml:space="preserve">MARTÍN LÓPEZ CAMACHO </w:t>
      </w:r>
    </w:p>
    <w:p w14:paraId="2E723467" w14:textId="77777777" w:rsidR="005D4BC0" w:rsidRPr="00EF07A7" w:rsidRDefault="005D4BC0" w:rsidP="005D4BC0">
      <w:pPr>
        <w:pStyle w:val="Default"/>
        <w:jc w:val="both"/>
        <w:rPr>
          <w:rFonts w:ascii="Abadi" w:hAnsi="Abadi"/>
          <w:sz w:val="21"/>
          <w:szCs w:val="21"/>
        </w:rPr>
      </w:pPr>
      <w:r w:rsidRPr="00EF07A7">
        <w:rPr>
          <w:rFonts w:ascii="Abadi" w:hAnsi="Abadi"/>
          <w:b/>
          <w:bCs/>
          <w:color w:val="auto"/>
          <w:sz w:val="21"/>
          <w:szCs w:val="21"/>
        </w:rPr>
        <w:t xml:space="preserve">DIPUTADO PRESIDENTE </w:t>
      </w:r>
      <w:r w:rsidRPr="00EF07A7">
        <w:rPr>
          <w:rFonts w:ascii="Abadi" w:hAnsi="Abadi"/>
          <w:b/>
          <w:bCs/>
          <w:sz w:val="21"/>
          <w:szCs w:val="21"/>
        </w:rPr>
        <w:t xml:space="preserve">JORGE ORTIZ ORTEGA </w:t>
      </w:r>
    </w:p>
    <w:p w14:paraId="6E511E6B" w14:textId="77777777" w:rsidR="005D4BC0" w:rsidRDefault="005D4BC0" w:rsidP="005D4BC0">
      <w:pPr>
        <w:pStyle w:val="Default"/>
        <w:jc w:val="both"/>
        <w:rPr>
          <w:rFonts w:ascii="Abadi" w:hAnsi="Abadi"/>
          <w:b/>
          <w:bCs/>
          <w:sz w:val="21"/>
          <w:szCs w:val="21"/>
        </w:rPr>
      </w:pPr>
      <w:r w:rsidRPr="00EF07A7">
        <w:rPr>
          <w:rFonts w:ascii="Abadi" w:hAnsi="Abadi"/>
          <w:b/>
          <w:bCs/>
          <w:sz w:val="21"/>
          <w:szCs w:val="21"/>
        </w:rPr>
        <w:t>DIPUTADO SECRETARIO</w:t>
      </w:r>
    </w:p>
    <w:p w14:paraId="3908E841" w14:textId="77777777" w:rsidR="005D4BC0" w:rsidRDefault="005D4BC0" w:rsidP="005D4BC0">
      <w:pPr>
        <w:pStyle w:val="Default"/>
        <w:jc w:val="both"/>
        <w:rPr>
          <w:rFonts w:ascii="Abadi" w:hAnsi="Abadi"/>
          <w:b/>
          <w:bCs/>
          <w:sz w:val="21"/>
          <w:szCs w:val="21"/>
        </w:rPr>
      </w:pPr>
    </w:p>
    <w:p w14:paraId="25C2E958" w14:textId="77777777" w:rsidR="005D4BC0" w:rsidRPr="00EF07A7" w:rsidRDefault="005D4BC0" w:rsidP="005D4BC0">
      <w:pPr>
        <w:pStyle w:val="Default"/>
        <w:jc w:val="both"/>
        <w:rPr>
          <w:rFonts w:ascii="Abadi" w:hAnsi="Abadi"/>
          <w:sz w:val="21"/>
          <w:szCs w:val="21"/>
        </w:rPr>
      </w:pPr>
      <w:r w:rsidRPr="00EF07A7">
        <w:rPr>
          <w:rFonts w:ascii="Abadi" w:hAnsi="Abadi"/>
          <w:b/>
          <w:bCs/>
          <w:sz w:val="21"/>
          <w:szCs w:val="21"/>
        </w:rPr>
        <w:t xml:space="preserve">MARTHA GUADALUPE HERNÁNDEZ CAMARENA </w:t>
      </w:r>
    </w:p>
    <w:p w14:paraId="417EA5BE" w14:textId="77777777" w:rsidR="005D4BC0" w:rsidRDefault="005D4BC0" w:rsidP="005D4BC0">
      <w:pPr>
        <w:pStyle w:val="Default"/>
        <w:jc w:val="both"/>
        <w:rPr>
          <w:rFonts w:ascii="Abadi" w:hAnsi="Abadi"/>
          <w:b/>
          <w:bCs/>
          <w:sz w:val="21"/>
          <w:szCs w:val="21"/>
        </w:rPr>
      </w:pPr>
      <w:r w:rsidRPr="00EF07A7">
        <w:rPr>
          <w:rFonts w:ascii="Abadi" w:hAnsi="Abadi"/>
          <w:b/>
          <w:bCs/>
          <w:sz w:val="21"/>
          <w:szCs w:val="21"/>
        </w:rPr>
        <w:t>DIPUTADA SECRETARIA</w:t>
      </w:r>
    </w:p>
    <w:p w14:paraId="32A93C85" w14:textId="77777777" w:rsidR="005D4BC0" w:rsidRDefault="005D4BC0" w:rsidP="005D4BC0">
      <w:pPr>
        <w:pStyle w:val="Default"/>
        <w:jc w:val="both"/>
        <w:rPr>
          <w:rFonts w:ascii="Abadi" w:hAnsi="Abadi"/>
          <w:b/>
          <w:bCs/>
          <w:sz w:val="21"/>
          <w:szCs w:val="21"/>
        </w:rPr>
      </w:pPr>
    </w:p>
    <w:p w14:paraId="218393A2" w14:textId="77777777" w:rsidR="005D4BC0" w:rsidRPr="00EF07A7" w:rsidRDefault="005D4BC0" w:rsidP="005D4BC0">
      <w:pPr>
        <w:pStyle w:val="Default"/>
        <w:jc w:val="both"/>
        <w:rPr>
          <w:rFonts w:ascii="Abadi" w:hAnsi="Abadi"/>
          <w:sz w:val="21"/>
          <w:szCs w:val="21"/>
        </w:rPr>
      </w:pPr>
      <w:r w:rsidRPr="00EF07A7">
        <w:rPr>
          <w:rFonts w:ascii="Abadi" w:hAnsi="Abadi"/>
          <w:b/>
          <w:bCs/>
          <w:sz w:val="21"/>
          <w:szCs w:val="21"/>
        </w:rPr>
        <w:t xml:space="preserve">CUAUHTÉMOC BECERRA GONZÁLEZ </w:t>
      </w:r>
    </w:p>
    <w:p w14:paraId="4FC3751C" w14:textId="32A33189" w:rsidR="005D4BC0" w:rsidRDefault="005D4BC0" w:rsidP="005D4BC0">
      <w:pPr>
        <w:pStyle w:val="Default"/>
        <w:jc w:val="both"/>
        <w:rPr>
          <w:rFonts w:ascii="Abadi" w:hAnsi="Abadi"/>
          <w:b/>
          <w:bCs/>
          <w:sz w:val="21"/>
          <w:szCs w:val="21"/>
        </w:rPr>
      </w:pPr>
      <w:r w:rsidRPr="00EF07A7">
        <w:rPr>
          <w:rFonts w:ascii="Abadi" w:hAnsi="Abadi"/>
          <w:b/>
          <w:bCs/>
          <w:sz w:val="21"/>
          <w:szCs w:val="21"/>
        </w:rPr>
        <w:t>DIPUTADO VICEPRESIDENTE</w:t>
      </w:r>
    </w:p>
    <w:p w14:paraId="39B01309" w14:textId="32D717F0" w:rsidR="0085055B" w:rsidRDefault="0085055B" w:rsidP="005D4BC0">
      <w:pPr>
        <w:pStyle w:val="Default"/>
        <w:jc w:val="both"/>
        <w:rPr>
          <w:rFonts w:ascii="Abadi" w:hAnsi="Abadi"/>
          <w:b/>
          <w:bCs/>
          <w:sz w:val="21"/>
          <w:szCs w:val="21"/>
        </w:rPr>
      </w:pPr>
    </w:p>
    <w:p w14:paraId="00BE1999" w14:textId="17E8BA08" w:rsidR="0085055B" w:rsidRDefault="0085055B" w:rsidP="005D4BC0">
      <w:pPr>
        <w:pStyle w:val="Default"/>
        <w:jc w:val="both"/>
        <w:rPr>
          <w:rFonts w:ascii="Abadi" w:hAnsi="Abadi"/>
          <w:b/>
          <w:bCs/>
          <w:sz w:val="21"/>
          <w:szCs w:val="21"/>
        </w:rPr>
      </w:pPr>
    </w:p>
    <w:p w14:paraId="677FDED7" w14:textId="31534DA8" w:rsidR="0085055B" w:rsidRDefault="0085055B" w:rsidP="0085055B">
      <w:pPr>
        <w:ind w:firstLine="708"/>
        <w:jc w:val="both"/>
        <w:rPr>
          <w:rFonts w:ascii="Abadi" w:hAnsi="Abadi"/>
          <w:sz w:val="21"/>
          <w:szCs w:val="21"/>
        </w:rPr>
      </w:pPr>
      <w:bookmarkStart w:id="2" w:name="_Hlk118654976"/>
      <w:r w:rsidRPr="00AA7107">
        <w:rPr>
          <w:rFonts w:ascii="Abadi" w:hAnsi="Abadi"/>
          <w:b/>
          <w:bCs/>
          <w:sz w:val="21"/>
          <w:szCs w:val="21"/>
        </w:rPr>
        <w:t>- El Presidente.-</w:t>
      </w:r>
      <w:r w:rsidRPr="00AA7107">
        <w:rPr>
          <w:rFonts w:ascii="Abadi" w:hAnsi="Abadi"/>
          <w:sz w:val="21"/>
          <w:szCs w:val="21"/>
        </w:rPr>
        <w:t xml:space="preserve"> Para desahogar el siguiente punto del orden del día se propone se dispense la lectura del Acta de Sesión Ordinaria celebrada el 6 de octubre del año en curso, misma que se encuentra en la Gaceta Parlamentaria.</w:t>
      </w:r>
    </w:p>
    <w:p w14:paraId="63D6E319" w14:textId="77777777" w:rsidR="0085055B" w:rsidRPr="00AA7107" w:rsidRDefault="0085055B" w:rsidP="0085055B">
      <w:pPr>
        <w:ind w:firstLine="708"/>
        <w:jc w:val="both"/>
        <w:rPr>
          <w:rFonts w:ascii="Abadi" w:hAnsi="Abadi"/>
          <w:sz w:val="21"/>
          <w:szCs w:val="21"/>
        </w:rPr>
      </w:pPr>
    </w:p>
    <w:p w14:paraId="2F94D970" w14:textId="45D31158" w:rsidR="0085055B" w:rsidRDefault="0085055B" w:rsidP="0085055B">
      <w:pPr>
        <w:ind w:firstLine="708"/>
        <w:jc w:val="both"/>
        <w:rPr>
          <w:rFonts w:ascii="Abadi" w:hAnsi="Abadi"/>
          <w:sz w:val="21"/>
          <w:szCs w:val="21"/>
        </w:rPr>
      </w:pPr>
      <w:r w:rsidRPr="00AA7107">
        <w:rPr>
          <w:rFonts w:ascii="Abadi" w:hAnsi="Abadi"/>
          <w:sz w:val="21"/>
          <w:szCs w:val="21"/>
        </w:rPr>
        <w:t>- Sí desean registrarse con respecto a esta propuesta indiquenlo a esta presidencia.</w:t>
      </w:r>
    </w:p>
    <w:p w14:paraId="4D4D3FF3" w14:textId="77777777" w:rsidR="0085055B" w:rsidRPr="00AA7107" w:rsidRDefault="0085055B" w:rsidP="0085055B">
      <w:pPr>
        <w:ind w:firstLine="708"/>
        <w:jc w:val="both"/>
        <w:rPr>
          <w:rFonts w:ascii="Abadi" w:hAnsi="Abadi"/>
          <w:sz w:val="21"/>
          <w:szCs w:val="21"/>
        </w:rPr>
      </w:pPr>
    </w:p>
    <w:p w14:paraId="7C6676C6" w14:textId="279B2518" w:rsidR="0085055B" w:rsidRDefault="0085055B" w:rsidP="0085055B">
      <w:pPr>
        <w:ind w:firstLine="708"/>
        <w:jc w:val="both"/>
        <w:rPr>
          <w:rFonts w:ascii="Abadi" w:hAnsi="Abadi"/>
          <w:sz w:val="21"/>
          <w:szCs w:val="21"/>
        </w:rPr>
      </w:pPr>
      <w:r w:rsidRPr="00AA7107">
        <w:rPr>
          <w:rFonts w:ascii="Abadi" w:hAnsi="Abadi"/>
          <w:sz w:val="21"/>
          <w:szCs w:val="21"/>
        </w:rPr>
        <w:t>- Al no registrarse participaciones se pide a la Secretaría que en votación económica y a través de nuestro sistema electrónico pregunte a las diputadas y a los diputados si se aprueba la propuesta sobre dispensa de lectura.</w:t>
      </w:r>
    </w:p>
    <w:p w14:paraId="05EADF11" w14:textId="77777777" w:rsidR="0085055B" w:rsidRPr="00AA7107" w:rsidRDefault="0085055B" w:rsidP="0085055B">
      <w:pPr>
        <w:ind w:firstLine="708"/>
        <w:jc w:val="both"/>
        <w:rPr>
          <w:rFonts w:ascii="Abadi" w:hAnsi="Abadi"/>
          <w:sz w:val="21"/>
          <w:szCs w:val="21"/>
        </w:rPr>
      </w:pPr>
    </w:p>
    <w:p w14:paraId="01E78903" w14:textId="1E7C3E62" w:rsidR="0085055B" w:rsidRDefault="0085055B" w:rsidP="0085055B">
      <w:pPr>
        <w:ind w:firstLine="708"/>
        <w:jc w:val="both"/>
        <w:rPr>
          <w:rFonts w:ascii="Abadi" w:hAnsi="Abadi"/>
          <w:b/>
          <w:bCs/>
          <w:sz w:val="21"/>
          <w:szCs w:val="21"/>
        </w:rPr>
      </w:pPr>
      <w:r w:rsidRPr="00AA7107">
        <w:rPr>
          <w:rFonts w:ascii="Abadi" w:hAnsi="Abadi"/>
          <w:b/>
          <w:bCs/>
          <w:sz w:val="21"/>
          <w:szCs w:val="21"/>
        </w:rPr>
        <w:t>(Se abre nuestro sistema electrónico)</w:t>
      </w:r>
    </w:p>
    <w:p w14:paraId="1F71F9B7" w14:textId="77777777" w:rsidR="0085055B" w:rsidRPr="00AA7107" w:rsidRDefault="0085055B" w:rsidP="0085055B">
      <w:pPr>
        <w:ind w:firstLine="708"/>
        <w:jc w:val="both"/>
        <w:rPr>
          <w:rFonts w:ascii="Abadi" w:hAnsi="Abadi"/>
          <w:b/>
          <w:bCs/>
          <w:sz w:val="21"/>
          <w:szCs w:val="21"/>
        </w:rPr>
      </w:pPr>
    </w:p>
    <w:p w14:paraId="2A7FEDF7" w14:textId="72859939" w:rsidR="0085055B" w:rsidRDefault="0085055B" w:rsidP="0085055B">
      <w:pPr>
        <w:ind w:firstLine="708"/>
        <w:jc w:val="both"/>
        <w:rPr>
          <w:rFonts w:ascii="Abadi" w:hAnsi="Abadi"/>
          <w:sz w:val="21"/>
          <w:szCs w:val="21"/>
        </w:rPr>
      </w:pPr>
      <w:r w:rsidRPr="00AA7107">
        <w:rPr>
          <w:rFonts w:ascii="Abadi" w:hAnsi="Abadi"/>
          <w:sz w:val="21"/>
          <w:szCs w:val="21"/>
        </w:rPr>
        <w:t xml:space="preserve"> </w:t>
      </w:r>
      <w:r w:rsidRPr="009A5679">
        <w:rPr>
          <w:rFonts w:ascii="Abadi" w:hAnsi="Abadi"/>
          <w:b/>
          <w:bCs/>
          <w:sz w:val="21"/>
          <w:szCs w:val="21"/>
        </w:rPr>
        <w:t>- El Secretario.-</w:t>
      </w:r>
      <w:r w:rsidRPr="00AA7107">
        <w:rPr>
          <w:rFonts w:ascii="Abadi" w:hAnsi="Abadi"/>
          <w:sz w:val="21"/>
          <w:szCs w:val="21"/>
        </w:rPr>
        <w:t xml:space="preserve"> Por instrucciones de la presidencia en votación económica por el sistema electronico se pregunta a las diputadas y los diputados si se aprueba la propuesta sobre dispensa de lectura. ¿Diputada Alma Edwviges Alcaráz? ¿Diputada Katya Cristina Soto?</w:t>
      </w:r>
    </w:p>
    <w:p w14:paraId="0A54254F" w14:textId="77777777" w:rsidR="0085055B" w:rsidRPr="00AA7107" w:rsidRDefault="0085055B" w:rsidP="0085055B">
      <w:pPr>
        <w:ind w:firstLine="708"/>
        <w:jc w:val="both"/>
        <w:rPr>
          <w:rFonts w:ascii="Abadi" w:hAnsi="Abadi"/>
          <w:sz w:val="21"/>
          <w:szCs w:val="21"/>
        </w:rPr>
      </w:pPr>
    </w:p>
    <w:p w14:paraId="08D8E737" w14:textId="5927F614" w:rsidR="0085055B" w:rsidRDefault="0085055B" w:rsidP="0085055B">
      <w:pPr>
        <w:ind w:firstLine="708"/>
        <w:jc w:val="both"/>
        <w:rPr>
          <w:rFonts w:ascii="Abadi" w:hAnsi="Abadi"/>
          <w:sz w:val="21"/>
          <w:szCs w:val="21"/>
        </w:rPr>
      </w:pPr>
      <w:r w:rsidRPr="00AA7107">
        <w:rPr>
          <w:rFonts w:ascii="Abadi" w:hAnsi="Abadi"/>
          <w:sz w:val="21"/>
          <w:szCs w:val="21"/>
        </w:rPr>
        <w:t>¿Falta alguna diputada o algún diputado de emitir su voto?</w:t>
      </w:r>
    </w:p>
    <w:p w14:paraId="6D1847D0" w14:textId="530B2D9E" w:rsidR="0085055B" w:rsidRPr="00AA7107" w:rsidRDefault="0085055B" w:rsidP="0085055B">
      <w:pPr>
        <w:ind w:firstLine="708"/>
        <w:jc w:val="both"/>
        <w:rPr>
          <w:rFonts w:ascii="Abadi" w:hAnsi="Abadi"/>
          <w:sz w:val="21"/>
          <w:szCs w:val="21"/>
        </w:rPr>
      </w:pPr>
    </w:p>
    <w:p w14:paraId="042AE23B" w14:textId="77777777" w:rsidR="0085055B" w:rsidRPr="00AA7107" w:rsidRDefault="0085055B" w:rsidP="0085055B">
      <w:pPr>
        <w:ind w:firstLine="708"/>
        <w:jc w:val="both"/>
        <w:rPr>
          <w:rFonts w:ascii="Abadi" w:hAnsi="Abadi"/>
          <w:b/>
          <w:bCs/>
          <w:sz w:val="21"/>
          <w:szCs w:val="21"/>
        </w:rPr>
      </w:pPr>
      <w:r w:rsidRPr="00AA7107">
        <w:rPr>
          <w:rFonts w:ascii="Abadi" w:hAnsi="Abadi"/>
          <w:b/>
          <w:bCs/>
          <w:sz w:val="21"/>
          <w:szCs w:val="21"/>
        </w:rPr>
        <w:t>(Se cierra del sistema eléctrico)</w:t>
      </w:r>
    </w:p>
    <w:p w14:paraId="2FB6DF52" w14:textId="53B01B92" w:rsidR="0085055B" w:rsidRPr="00AA7107" w:rsidRDefault="0085055B" w:rsidP="0085055B">
      <w:pPr>
        <w:ind w:firstLine="708"/>
        <w:jc w:val="both"/>
        <w:rPr>
          <w:rFonts w:ascii="Abadi" w:hAnsi="Abadi"/>
          <w:b/>
          <w:bCs/>
          <w:sz w:val="21"/>
          <w:szCs w:val="21"/>
        </w:rPr>
      </w:pPr>
      <w:r w:rsidRPr="00AA7107">
        <w:rPr>
          <w:noProof/>
          <w:sz w:val="21"/>
          <w:szCs w:val="21"/>
        </w:rPr>
        <w:drawing>
          <wp:anchor distT="0" distB="0" distL="114300" distR="114300" simplePos="0" relativeHeight="251668480" behindDoc="1" locked="0" layoutInCell="1" allowOverlap="1" wp14:anchorId="32559543" wp14:editId="1FCEF29E">
            <wp:simplePos x="0" y="0"/>
            <wp:positionH relativeFrom="column">
              <wp:posOffset>454660</wp:posOffset>
            </wp:positionH>
            <wp:positionV relativeFrom="paragraph">
              <wp:posOffset>348615</wp:posOffset>
            </wp:positionV>
            <wp:extent cx="1624084" cy="857042"/>
            <wp:effectExtent l="323850" t="323850" r="319405" b="324485"/>
            <wp:wrapTight wrapText="bothSides">
              <wp:wrapPolygon edited="0">
                <wp:start x="-2534" y="-8166"/>
                <wp:lineTo x="-4308" y="-7205"/>
                <wp:lineTo x="-4308" y="24018"/>
                <wp:lineTo x="-2788" y="28341"/>
                <wp:lineTo x="-2534" y="29302"/>
                <wp:lineTo x="23822" y="29302"/>
                <wp:lineTo x="24075" y="28341"/>
                <wp:lineTo x="25596" y="24018"/>
                <wp:lineTo x="25596" y="480"/>
                <wp:lineTo x="23822" y="-6725"/>
                <wp:lineTo x="23822" y="-8166"/>
                <wp:lineTo x="-2534" y="-8166"/>
              </wp:wrapPolygon>
            </wp:wrapTight>
            <wp:docPr id="17" name="Imagen 17"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Interfaz de usuario gráfica, Texto, Sitio web&#10;&#10;Descripción generada automáticamente"/>
                    <pic:cNvPicPr/>
                  </pic:nvPicPr>
                  <pic:blipFill rotWithShape="1">
                    <a:blip r:embed="rId17" cstate="print">
                      <a:extLst>
                        <a:ext uri="{28A0092B-C50C-407E-A947-70E740481C1C}">
                          <a14:useLocalDpi xmlns:a14="http://schemas.microsoft.com/office/drawing/2010/main" val="0"/>
                        </a:ext>
                      </a:extLst>
                    </a:blip>
                    <a:srcRect b="6178"/>
                    <a:stretch/>
                  </pic:blipFill>
                  <pic:spPr bwMode="auto">
                    <a:xfrm>
                      <a:off x="0" y="0"/>
                      <a:ext cx="1624084" cy="857042"/>
                    </a:xfrm>
                    <a:prstGeom prst="rect">
                      <a:avLst/>
                    </a:prstGeom>
                    <a:ln w="88900" cap="sq" cmpd="thickThin">
                      <a:solidFill>
                        <a:srgbClr val="000000"/>
                      </a:solidFill>
                      <a:prstDash val="solid"/>
                      <a:miter lim="800000"/>
                    </a:ln>
                    <a:effectLst>
                      <a:glow rad="228600">
                        <a:schemeClr val="accent3">
                          <a:satMod val="17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15A211A7" w14:textId="77777777" w:rsidR="0085055B" w:rsidRPr="00AA7107" w:rsidRDefault="0085055B" w:rsidP="0085055B">
      <w:pPr>
        <w:ind w:firstLine="708"/>
        <w:jc w:val="both"/>
        <w:rPr>
          <w:rFonts w:ascii="Abadi" w:hAnsi="Abadi"/>
          <w:sz w:val="21"/>
          <w:szCs w:val="21"/>
        </w:rPr>
      </w:pPr>
    </w:p>
    <w:p w14:paraId="7F9A3725" w14:textId="77777777" w:rsidR="009E0FC3" w:rsidRDefault="0085055B" w:rsidP="0085055B">
      <w:pPr>
        <w:ind w:firstLine="708"/>
        <w:jc w:val="both"/>
        <w:rPr>
          <w:rFonts w:ascii="Abadi" w:hAnsi="Abadi"/>
          <w:sz w:val="21"/>
          <w:szCs w:val="21"/>
        </w:rPr>
      </w:pPr>
      <w:r w:rsidRPr="00AA7107">
        <w:rPr>
          <w:rFonts w:ascii="Abadi" w:hAnsi="Abadi"/>
          <w:b/>
          <w:bCs/>
          <w:sz w:val="21"/>
          <w:szCs w:val="21"/>
        </w:rPr>
        <w:lastRenderedPageBreak/>
        <w:t>- El Secretario.-</w:t>
      </w:r>
      <w:r w:rsidRPr="00AA7107">
        <w:rPr>
          <w:rFonts w:ascii="Abadi" w:hAnsi="Abadi"/>
          <w:sz w:val="21"/>
          <w:szCs w:val="21"/>
        </w:rPr>
        <w:t xml:space="preserve"> Señor Presidente se registraron 33 votos a favor.</w:t>
      </w:r>
    </w:p>
    <w:p w14:paraId="7247639B" w14:textId="77777777" w:rsidR="009E0FC3" w:rsidRDefault="009E0FC3" w:rsidP="0085055B">
      <w:pPr>
        <w:ind w:firstLine="708"/>
        <w:jc w:val="both"/>
        <w:rPr>
          <w:rFonts w:ascii="Abadi" w:hAnsi="Abadi"/>
          <w:b/>
          <w:bCs/>
          <w:sz w:val="21"/>
          <w:szCs w:val="21"/>
        </w:rPr>
      </w:pPr>
    </w:p>
    <w:p w14:paraId="62C4ECE6" w14:textId="5276496A" w:rsidR="0085055B" w:rsidRDefault="0085055B" w:rsidP="0085055B">
      <w:pPr>
        <w:ind w:firstLine="708"/>
        <w:jc w:val="both"/>
        <w:rPr>
          <w:rFonts w:ascii="Abadi" w:hAnsi="Abadi"/>
          <w:sz w:val="21"/>
          <w:szCs w:val="21"/>
        </w:rPr>
      </w:pPr>
      <w:r w:rsidRPr="00AA7107">
        <w:rPr>
          <w:rFonts w:ascii="Abadi" w:hAnsi="Abadi"/>
          <w:b/>
          <w:bCs/>
          <w:sz w:val="21"/>
          <w:szCs w:val="21"/>
        </w:rPr>
        <w:t>- El Presidente.-</w:t>
      </w:r>
      <w:r w:rsidRPr="00AA7107">
        <w:rPr>
          <w:rFonts w:ascii="Abadi" w:hAnsi="Abadi"/>
          <w:sz w:val="21"/>
          <w:szCs w:val="21"/>
        </w:rPr>
        <w:t xml:space="preserve"> La dispensa de lectura ha sido aprobada </w:t>
      </w:r>
      <w:r>
        <w:rPr>
          <w:rFonts w:ascii="Abadi" w:hAnsi="Abadi"/>
          <w:sz w:val="21"/>
          <w:szCs w:val="21"/>
        </w:rPr>
        <w:t xml:space="preserve">por mayoría </w:t>
      </w:r>
      <w:r w:rsidRPr="00AA7107">
        <w:rPr>
          <w:rFonts w:ascii="Abadi" w:hAnsi="Abadi"/>
          <w:sz w:val="21"/>
          <w:szCs w:val="21"/>
        </w:rPr>
        <w:t xml:space="preserve">de votos. </w:t>
      </w:r>
    </w:p>
    <w:p w14:paraId="1EEB391B" w14:textId="77777777" w:rsidR="009E0FC3" w:rsidRPr="00AA7107" w:rsidRDefault="009E0FC3" w:rsidP="0085055B">
      <w:pPr>
        <w:ind w:firstLine="708"/>
        <w:jc w:val="both"/>
        <w:rPr>
          <w:rFonts w:ascii="Abadi" w:hAnsi="Abadi"/>
          <w:sz w:val="21"/>
          <w:szCs w:val="21"/>
        </w:rPr>
      </w:pPr>
    </w:p>
    <w:bookmarkEnd w:id="2"/>
    <w:p w14:paraId="37C10BF9" w14:textId="37C53303" w:rsidR="0085055B" w:rsidRDefault="0085055B" w:rsidP="0085055B">
      <w:pPr>
        <w:ind w:firstLine="708"/>
        <w:jc w:val="both"/>
        <w:rPr>
          <w:rFonts w:ascii="Abadi" w:hAnsi="Abadi"/>
          <w:sz w:val="21"/>
          <w:szCs w:val="21"/>
        </w:rPr>
      </w:pPr>
      <w:r w:rsidRPr="00AA7107">
        <w:rPr>
          <w:rFonts w:ascii="Abadi" w:hAnsi="Abadi"/>
          <w:b/>
          <w:bCs/>
          <w:sz w:val="21"/>
          <w:szCs w:val="21"/>
        </w:rPr>
        <w:t>- El Presidente.-</w:t>
      </w:r>
      <w:r w:rsidRPr="00AA7107">
        <w:rPr>
          <w:rFonts w:ascii="Abadi" w:hAnsi="Abadi"/>
          <w:sz w:val="21"/>
          <w:szCs w:val="21"/>
        </w:rPr>
        <w:t xml:space="preserve"> En consecuencia se procede someter a consideración de este Pleno el Acta de referencia si desean hacer uso de la palabra indiquenlo a esta presidencia.</w:t>
      </w:r>
    </w:p>
    <w:p w14:paraId="2342BDC1" w14:textId="77777777" w:rsidR="009E0FC3" w:rsidRPr="00AA7107" w:rsidRDefault="009E0FC3" w:rsidP="0085055B">
      <w:pPr>
        <w:ind w:firstLine="708"/>
        <w:jc w:val="both"/>
        <w:rPr>
          <w:rFonts w:ascii="Abadi" w:hAnsi="Abadi"/>
          <w:sz w:val="21"/>
          <w:szCs w:val="21"/>
        </w:rPr>
      </w:pPr>
    </w:p>
    <w:p w14:paraId="03F50FD3" w14:textId="5C32ECC4" w:rsidR="0085055B" w:rsidRDefault="0085055B" w:rsidP="0085055B">
      <w:pPr>
        <w:ind w:firstLine="708"/>
        <w:jc w:val="both"/>
        <w:rPr>
          <w:rFonts w:ascii="Abadi" w:hAnsi="Abadi"/>
          <w:sz w:val="21"/>
          <w:szCs w:val="21"/>
        </w:rPr>
      </w:pPr>
      <w:r w:rsidRPr="00AA7107">
        <w:rPr>
          <w:rFonts w:ascii="Abadi" w:hAnsi="Abadi"/>
          <w:sz w:val="21"/>
          <w:szCs w:val="21"/>
        </w:rPr>
        <w:t>- Al no registrarse intervenciones y solicitar la Secretaría que en votación económica a través del sistema electrónico pregunte a la diputada y a los diputados si es de aprobarse el Acta.</w:t>
      </w:r>
    </w:p>
    <w:p w14:paraId="28B210B1" w14:textId="77777777" w:rsidR="009E0FC3" w:rsidRPr="00AA7107" w:rsidRDefault="009E0FC3" w:rsidP="0085055B">
      <w:pPr>
        <w:ind w:firstLine="708"/>
        <w:jc w:val="both"/>
        <w:rPr>
          <w:rFonts w:ascii="Abadi" w:hAnsi="Abadi"/>
          <w:sz w:val="21"/>
          <w:szCs w:val="21"/>
        </w:rPr>
      </w:pPr>
    </w:p>
    <w:p w14:paraId="6B6CC640" w14:textId="77777777" w:rsidR="0085055B" w:rsidRPr="00AA7107" w:rsidRDefault="0085055B" w:rsidP="0085055B">
      <w:pPr>
        <w:ind w:firstLine="708"/>
        <w:jc w:val="both"/>
        <w:rPr>
          <w:rFonts w:ascii="Abadi" w:hAnsi="Abadi"/>
          <w:b/>
          <w:bCs/>
          <w:sz w:val="21"/>
          <w:szCs w:val="21"/>
        </w:rPr>
      </w:pPr>
      <w:r w:rsidRPr="00AA7107">
        <w:rPr>
          <w:rFonts w:ascii="Abadi" w:hAnsi="Abadi"/>
          <w:b/>
          <w:bCs/>
          <w:sz w:val="21"/>
          <w:szCs w:val="21"/>
        </w:rPr>
        <w:t>(Se abre nuestro sistema electrónico)</w:t>
      </w:r>
    </w:p>
    <w:p w14:paraId="46FE72B8" w14:textId="77777777" w:rsidR="0085055B" w:rsidRPr="00AA7107" w:rsidRDefault="0085055B" w:rsidP="0085055B">
      <w:pPr>
        <w:ind w:firstLine="708"/>
        <w:jc w:val="both"/>
        <w:rPr>
          <w:rFonts w:ascii="Abadi" w:hAnsi="Abadi"/>
          <w:sz w:val="21"/>
          <w:szCs w:val="21"/>
        </w:rPr>
      </w:pPr>
    </w:p>
    <w:p w14:paraId="2A83E538" w14:textId="4AE6EA38" w:rsidR="0085055B" w:rsidRPr="00AA7107" w:rsidRDefault="0085055B" w:rsidP="0085055B">
      <w:pPr>
        <w:ind w:firstLine="708"/>
        <w:jc w:val="both"/>
        <w:rPr>
          <w:rFonts w:ascii="Abadi" w:hAnsi="Abadi"/>
          <w:sz w:val="21"/>
          <w:szCs w:val="21"/>
        </w:rPr>
      </w:pPr>
      <w:r w:rsidRPr="00AA7107">
        <w:rPr>
          <w:rFonts w:ascii="Abadi" w:hAnsi="Abadi"/>
          <w:sz w:val="21"/>
          <w:szCs w:val="21"/>
        </w:rPr>
        <w:t xml:space="preserve"> </w:t>
      </w:r>
      <w:r w:rsidRPr="00AA7107">
        <w:rPr>
          <w:rFonts w:ascii="Abadi" w:hAnsi="Abadi"/>
          <w:b/>
          <w:bCs/>
          <w:sz w:val="21"/>
          <w:szCs w:val="21"/>
        </w:rPr>
        <w:t>- El Secretario.-</w:t>
      </w:r>
      <w:r w:rsidRPr="00AA7107">
        <w:rPr>
          <w:rFonts w:ascii="Abadi" w:hAnsi="Abadi"/>
          <w:sz w:val="21"/>
          <w:szCs w:val="21"/>
        </w:rPr>
        <w:t xml:space="preserve"> En votación económica a través del sistema electrónico se consulta a las diputadas y los diputados </w:t>
      </w:r>
      <w:r w:rsidR="00F23EDB">
        <w:rPr>
          <w:rFonts w:ascii="Abadi" w:hAnsi="Abadi"/>
          <w:sz w:val="21"/>
          <w:szCs w:val="21"/>
        </w:rPr>
        <w:t xml:space="preserve">si se </w:t>
      </w:r>
      <w:r w:rsidRPr="00AA7107">
        <w:rPr>
          <w:rFonts w:ascii="Abadi" w:hAnsi="Abadi"/>
          <w:sz w:val="21"/>
          <w:szCs w:val="21"/>
        </w:rPr>
        <w:t xml:space="preserve"> aprueba el Acta. ¿Diputado Alejandro Arias? </w:t>
      </w:r>
    </w:p>
    <w:p w14:paraId="0C96FF5D" w14:textId="77777777" w:rsidR="00C63B34" w:rsidRDefault="00C63B34" w:rsidP="0085055B">
      <w:pPr>
        <w:ind w:firstLine="708"/>
        <w:jc w:val="both"/>
        <w:rPr>
          <w:rFonts w:ascii="Abadi" w:hAnsi="Abadi"/>
          <w:sz w:val="21"/>
          <w:szCs w:val="21"/>
        </w:rPr>
      </w:pPr>
    </w:p>
    <w:p w14:paraId="20FD7029" w14:textId="17CF42F8" w:rsidR="0085055B" w:rsidRDefault="0085055B" w:rsidP="0085055B">
      <w:pPr>
        <w:ind w:firstLine="708"/>
        <w:jc w:val="both"/>
        <w:rPr>
          <w:rFonts w:ascii="Abadi" w:hAnsi="Abadi"/>
          <w:sz w:val="21"/>
          <w:szCs w:val="21"/>
        </w:rPr>
      </w:pPr>
      <w:r w:rsidRPr="00AA7107">
        <w:rPr>
          <w:rFonts w:ascii="Abadi" w:hAnsi="Abadi"/>
          <w:sz w:val="21"/>
          <w:szCs w:val="21"/>
        </w:rPr>
        <w:t>¿Falta alguna diputada o un diputado de emitir su voto?</w:t>
      </w:r>
    </w:p>
    <w:p w14:paraId="0548CFB5" w14:textId="77777777" w:rsidR="00C63B34" w:rsidRPr="00AA7107" w:rsidRDefault="00C63B34" w:rsidP="0085055B">
      <w:pPr>
        <w:ind w:firstLine="708"/>
        <w:jc w:val="both"/>
        <w:rPr>
          <w:rFonts w:ascii="Abadi" w:hAnsi="Abadi"/>
          <w:sz w:val="21"/>
          <w:szCs w:val="21"/>
        </w:rPr>
      </w:pPr>
    </w:p>
    <w:p w14:paraId="35C48E11" w14:textId="2A4A669E" w:rsidR="0085055B" w:rsidRPr="00AA7107" w:rsidRDefault="00C63B34" w:rsidP="0085055B">
      <w:pPr>
        <w:ind w:firstLine="708"/>
        <w:jc w:val="both"/>
        <w:rPr>
          <w:rFonts w:ascii="Abadi" w:hAnsi="Abadi"/>
          <w:b/>
          <w:bCs/>
          <w:sz w:val="21"/>
          <w:szCs w:val="21"/>
        </w:rPr>
      </w:pPr>
      <w:r w:rsidRPr="00AA7107">
        <w:rPr>
          <w:noProof/>
          <w:sz w:val="21"/>
          <w:szCs w:val="21"/>
        </w:rPr>
        <w:drawing>
          <wp:anchor distT="0" distB="0" distL="114300" distR="114300" simplePos="0" relativeHeight="251669504" behindDoc="1" locked="0" layoutInCell="1" allowOverlap="1" wp14:anchorId="374FE8CE" wp14:editId="06C40AF6">
            <wp:simplePos x="0" y="0"/>
            <wp:positionH relativeFrom="column">
              <wp:posOffset>588010</wp:posOffset>
            </wp:positionH>
            <wp:positionV relativeFrom="paragraph">
              <wp:posOffset>537845</wp:posOffset>
            </wp:positionV>
            <wp:extent cx="1593661" cy="846801"/>
            <wp:effectExtent l="323850" t="323850" r="330835" b="315595"/>
            <wp:wrapTight wrapText="bothSides">
              <wp:wrapPolygon edited="0">
                <wp:start x="-2583" y="-8264"/>
                <wp:lineTo x="-4391" y="-7292"/>
                <wp:lineTo x="-4391" y="24306"/>
                <wp:lineTo x="-2841" y="28195"/>
                <wp:lineTo x="-2583" y="29167"/>
                <wp:lineTo x="24019" y="29167"/>
                <wp:lineTo x="24277" y="28195"/>
                <wp:lineTo x="25827" y="24306"/>
                <wp:lineTo x="25827" y="486"/>
                <wp:lineTo x="24019" y="-6806"/>
                <wp:lineTo x="24019" y="-8264"/>
                <wp:lineTo x="-2583" y="-8264"/>
              </wp:wrapPolygon>
            </wp:wrapTight>
            <wp:docPr id="19" name="Imagen 1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Interfaz de usuario gráfica&#10;&#10;Descripción generada automáticamente"/>
                    <pic:cNvPicPr/>
                  </pic:nvPicPr>
                  <pic:blipFill rotWithShape="1">
                    <a:blip r:embed="rId18" cstate="print">
                      <a:extLst>
                        <a:ext uri="{28A0092B-C50C-407E-A947-70E740481C1C}">
                          <a14:useLocalDpi xmlns:a14="http://schemas.microsoft.com/office/drawing/2010/main" val="0"/>
                        </a:ext>
                      </a:extLst>
                    </a:blip>
                    <a:srcRect b="5530"/>
                    <a:stretch/>
                  </pic:blipFill>
                  <pic:spPr bwMode="auto">
                    <a:xfrm>
                      <a:off x="0" y="0"/>
                      <a:ext cx="1593661" cy="846801"/>
                    </a:xfrm>
                    <a:prstGeom prst="rect">
                      <a:avLst/>
                    </a:prstGeom>
                    <a:ln w="88900" cap="sq" cmpd="thickThin">
                      <a:solidFill>
                        <a:srgbClr val="000000"/>
                      </a:solidFill>
                      <a:prstDash val="solid"/>
                      <a:miter lim="800000"/>
                    </a:ln>
                    <a:effectLst>
                      <a:glow rad="228600">
                        <a:schemeClr val="accent3">
                          <a:satMod val="17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r w:rsidR="0085055B" w:rsidRPr="00AA7107">
        <w:rPr>
          <w:rFonts w:ascii="Abadi" w:hAnsi="Abadi"/>
          <w:b/>
          <w:bCs/>
          <w:sz w:val="21"/>
          <w:szCs w:val="21"/>
        </w:rPr>
        <w:t>(Se cierra el sistema electrónico)</w:t>
      </w:r>
    </w:p>
    <w:p w14:paraId="4282ECDE" w14:textId="77777777" w:rsidR="0085055B" w:rsidRPr="00AA7107" w:rsidRDefault="0085055B" w:rsidP="0085055B">
      <w:pPr>
        <w:jc w:val="both"/>
        <w:rPr>
          <w:rFonts w:ascii="Abadi" w:hAnsi="Abadi"/>
          <w:sz w:val="21"/>
          <w:szCs w:val="21"/>
        </w:rPr>
      </w:pPr>
    </w:p>
    <w:p w14:paraId="33C5CD4D" w14:textId="5554FB4A" w:rsidR="0085055B" w:rsidRDefault="0085055B" w:rsidP="0085055B">
      <w:pPr>
        <w:jc w:val="both"/>
        <w:rPr>
          <w:rFonts w:ascii="Abadi" w:hAnsi="Abadi"/>
          <w:sz w:val="21"/>
          <w:szCs w:val="21"/>
        </w:rPr>
      </w:pPr>
      <w:r w:rsidRPr="00AA7107">
        <w:rPr>
          <w:rFonts w:ascii="Abadi" w:hAnsi="Abadi"/>
          <w:b/>
          <w:bCs/>
          <w:sz w:val="21"/>
          <w:szCs w:val="21"/>
        </w:rPr>
        <w:tab/>
        <w:t>- El Secretario.-</w:t>
      </w:r>
      <w:r w:rsidRPr="00AA7107">
        <w:rPr>
          <w:rFonts w:ascii="Abadi" w:hAnsi="Abadi"/>
          <w:sz w:val="21"/>
          <w:szCs w:val="21"/>
        </w:rPr>
        <w:t xml:space="preserve"> Señor Presidente se registraron 33 votos a favor.</w:t>
      </w:r>
    </w:p>
    <w:p w14:paraId="383929FD" w14:textId="77777777" w:rsidR="00C63B34" w:rsidRPr="00AA7107" w:rsidRDefault="00C63B34" w:rsidP="0085055B">
      <w:pPr>
        <w:jc w:val="both"/>
        <w:rPr>
          <w:rFonts w:ascii="Abadi" w:hAnsi="Abadi"/>
          <w:sz w:val="21"/>
          <w:szCs w:val="21"/>
        </w:rPr>
      </w:pPr>
    </w:p>
    <w:p w14:paraId="4661D5D8" w14:textId="35F55FFC" w:rsidR="0085055B" w:rsidRPr="00AA7107" w:rsidRDefault="0085055B" w:rsidP="0085055B">
      <w:pPr>
        <w:jc w:val="both"/>
        <w:rPr>
          <w:rFonts w:ascii="Abadi" w:hAnsi="Abadi"/>
          <w:sz w:val="21"/>
          <w:szCs w:val="21"/>
        </w:rPr>
      </w:pPr>
      <w:r w:rsidRPr="00AA7107">
        <w:rPr>
          <w:rFonts w:ascii="Abadi" w:hAnsi="Abadi"/>
          <w:b/>
          <w:bCs/>
          <w:sz w:val="21"/>
          <w:szCs w:val="21"/>
        </w:rPr>
        <w:tab/>
        <w:t>- El Presidente.-</w:t>
      </w:r>
      <w:r w:rsidRPr="00AA7107">
        <w:rPr>
          <w:rFonts w:ascii="Abadi" w:hAnsi="Abadi"/>
          <w:sz w:val="21"/>
          <w:szCs w:val="21"/>
        </w:rPr>
        <w:t xml:space="preserve">  El Act</w:t>
      </w:r>
      <w:r w:rsidR="000C11B2">
        <w:rPr>
          <w:rFonts w:ascii="Abadi" w:hAnsi="Abadi"/>
          <w:sz w:val="21"/>
          <w:szCs w:val="21"/>
        </w:rPr>
        <w:t>a</w:t>
      </w:r>
      <w:r w:rsidRPr="00AA7107">
        <w:rPr>
          <w:rFonts w:ascii="Abadi" w:hAnsi="Abadi"/>
          <w:sz w:val="21"/>
          <w:szCs w:val="21"/>
        </w:rPr>
        <w:t xml:space="preserve"> ha sido aprobada por unanimidad de votos.</w:t>
      </w:r>
    </w:p>
    <w:p w14:paraId="30EABDEC" w14:textId="3884D33D" w:rsidR="00D23F31" w:rsidRDefault="00D23F31" w:rsidP="009B583B">
      <w:pPr>
        <w:ind w:firstLine="708"/>
        <w:jc w:val="both"/>
        <w:rPr>
          <w:rFonts w:ascii="Abadi" w:hAnsi="Abadi"/>
          <w:sz w:val="21"/>
          <w:szCs w:val="21"/>
        </w:rPr>
      </w:pPr>
    </w:p>
    <w:p w14:paraId="6179BCD0" w14:textId="780C3B67" w:rsidR="00D23F31" w:rsidRPr="009C3583" w:rsidRDefault="00D23F31">
      <w:pPr>
        <w:pStyle w:val="Prrafodelista"/>
        <w:numPr>
          <w:ilvl w:val="0"/>
          <w:numId w:val="6"/>
        </w:numPr>
        <w:ind w:left="426"/>
        <w:jc w:val="both"/>
        <w:rPr>
          <w:rFonts w:ascii="Abadi" w:hAnsi="Abadi"/>
          <w:b/>
          <w:bCs/>
          <w:sz w:val="21"/>
          <w:szCs w:val="21"/>
        </w:rPr>
      </w:pPr>
      <w:r w:rsidRPr="009C3583">
        <w:rPr>
          <w:rFonts w:ascii="Abadi" w:hAnsi="Abadi"/>
          <w:b/>
          <w:bCs/>
          <w:sz w:val="21"/>
          <w:szCs w:val="21"/>
        </w:rPr>
        <w:t xml:space="preserve">DAR CUENTA CON LAS COMUNICACIONES Y CORRESPONDENCIA RECIBIDAS </w:t>
      </w:r>
    </w:p>
    <w:bookmarkEnd w:id="1"/>
    <w:p w14:paraId="29793D42" w14:textId="77777777" w:rsidR="000218BD" w:rsidRDefault="000218BD" w:rsidP="000218BD">
      <w:pPr>
        <w:jc w:val="both"/>
        <w:rPr>
          <w:rFonts w:ascii="Abadi" w:hAnsi="Abadi"/>
          <w:b/>
          <w:bCs/>
          <w:sz w:val="21"/>
          <w:szCs w:val="21"/>
        </w:rPr>
      </w:pPr>
    </w:p>
    <w:p w14:paraId="24E6D6A6" w14:textId="77777777" w:rsidR="00CF5C12" w:rsidRDefault="00CF5C12" w:rsidP="000218BD">
      <w:pPr>
        <w:jc w:val="both"/>
        <w:rPr>
          <w:rFonts w:ascii="Abadi" w:hAnsi="Abadi"/>
          <w:b/>
          <w:bCs/>
          <w:sz w:val="21"/>
          <w:szCs w:val="21"/>
        </w:rPr>
      </w:pPr>
    </w:p>
    <w:tbl>
      <w:tblPr>
        <w:tblStyle w:val="Tablaconcuadrcula"/>
        <w:tblW w:w="438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886"/>
        <w:gridCol w:w="2494"/>
      </w:tblGrid>
      <w:tr w:rsidR="000218BD" w:rsidRPr="00883178" w14:paraId="3F6BF8A2" w14:textId="77777777">
        <w:tc>
          <w:tcPr>
            <w:tcW w:w="1886" w:type="dxa"/>
            <w:shd w:val="clear" w:color="auto" w:fill="E7E6E6" w:themeFill="background2"/>
          </w:tcPr>
          <w:p w14:paraId="637262BD" w14:textId="77777777" w:rsidR="000218BD" w:rsidRPr="00883178" w:rsidRDefault="000218BD">
            <w:pPr>
              <w:jc w:val="both"/>
              <w:rPr>
                <w:rFonts w:ascii="Abadi" w:hAnsi="Abadi"/>
                <w:b/>
                <w:bCs/>
                <w:sz w:val="21"/>
                <w:szCs w:val="21"/>
              </w:rPr>
            </w:pPr>
            <w:bookmarkStart w:id="3" w:name="_Hlk115983449"/>
            <w:r w:rsidRPr="00883178">
              <w:rPr>
                <w:rFonts w:ascii="Abadi" w:hAnsi="Abadi"/>
                <w:b/>
                <w:bCs/>
                <w:sz w:val="21"/>
                <w:szCs w:val="21"/>
              </w:rPr>
              <w:t>A S U N T O</w:t>
            </w:r>
          </w:p>
        </w:tc>
        <w:tc>
          <w:tcPr>
            <w:tcW w:w="2494" w:type="dxa"/>
            <w:shd w:val="clear" w:color="auto" w:fill="E7E6E6" w:themeFill="background2"/>
          </w:tcPr>
          <w:p w14:paraId="3642E585" w14:textId="77777777" w:rsidR="000218BD" w:rsidRPr="00883178" w:rsidRDefault="000218BD">
            <w:pPr>
              <w:jc w:val="both"/>
              <w:rPr>
                <w:rFonts w:ascii="Abadi" w:hAnsi="Abadi"/>
                <w:b/>
                <w:bCs/>
                <w:sz w:val="21"/>
                <w:szCs w:val="21"/>
              </w:rPr>
            </w:pPr>
            <w:r w:rsidRPr="00883178">
              <w:rPr>
                <w:rFonts w:ascii="Abadi" w:hAnsi="Abadi"/>
                <w:b/>
                <w:bCs/>
                <w:sz w:val="21"/>
                <w:szCs w:val="21"/>
              </w:rPr>
              <w:t>A C U E R D O</w:t>
            </w:r>
          </w:p>
        </w:tc>
      </w:tr>
      <w:tr w:rsidR="000218BD" w:rsidRPr="00883178" w14:paraId="0178D00D" w14:textId="77777777">
        <w:tc>
          <w:tcPr>
            <w:tcW w:w="4380" w:type="dxa"/>
            <w:gridSpan w:val="2"/>
            <w:shd w:val="clear" w:color="auto" w:fill="E7E6E6" w:themeFill="background2"/>
          </w:tcPr>
          <w:p w14:paraId="2C2E261C" w14:textId="55F45B04" w:rsidR="000218BD" w:rsidRPr="00883178" w:rsidRDefault="000218BD">
            <w:pPr>
              <w:jc w:val="both"/>
              <w:rPr>
                <w:rFonts w:ascii="Abadi" w:hAnsi="Abadi"/>
                <w:b/>
                <w:bCs/>
                <w:sz w:val="21"/>
                <w:szCs w:val="21"/>
              </w:rPr>
            </w:pPr>
            <w:r w:rsidRPr="00883178">
              <w:rPr>
                <w:rFonts w:ascii="Abadi" w:hAnsi="Abadi"/>
                <w:b/>
                <w:bCs/>
                <w:sz w:val="21"/>
                <w:szCs w:val="21"/>
              </w:rPr>
              <w:t>I. Comunicados provenientes de los poderes de</w:t>
            </w:r>
            <w:r w:rsidR="004C2572">
              <w:rPr>
                <w:rFonts w:ascii="Abadi" w:hAnsi="Abadi"/>
                <w:b/>
                <w:bCs/>
                <w:sz w:val="21"/>
                <w:szCs w:val="21"/>
              </w:rPr>
              <w:t>l Estado y Organismos Aut</w:t>
            </w:r>
            <w:r w:rsidRPr="00883178">
              <w:rPr>
                <w:rFonts w:ascii="Abadi" w:hAnsi="Abadi"/>
                <w:b/>
                <w:bCs/>
                <w:sz w:val="21"/>
                <w:szCs w:val="21"/>
              </w:rPr>
              <w:t>ónomos.</w:t>
            </w:r>
          </w:p>
        </w:tc>
      </w:tr>
      <w:tr w:rsidR="000218BD" w:rsidRPr="00883178" w14:paraId="4A6F976A" w14:textId="77777777">
        <w:tc>
          <w:tcPr>
            <w:tcW w:w="1886" w:type="dxa"/>
          </w:tcPr>
          <w:p w14:paraId="101314A1" w14:textId="77777777" w:rsidR="000C11B2" w:rsidRPr="000C11B2" w:rsidRDefault="000C11B2">
            <w:pPr>
              <w:autoSpaceDE w:val="0"/>
              <w:autoSpaceDN w:val="0"/>
              <w:adjustRightInd w:val="0"/>
              <w:jc w:val="both"/>
              <w:rPr>
                <w:rFonts w:ascii="Abadi" w:hAnsi="Abadi"/>
                <w:b/>
                <w:bCs/>
                <w:sz w:val="21"/>
                <w:szCs w:val="21"/>
              </w:rPr>
            </w:pPr>
            <w:r w:rsidRPr="000C11B2">
              <w:rPr>
                <w:rFonts w:ascii="Abadi" w:hAnsi="Abadi"/>
                <w:b/>
                <w:bCs/>
                <w:sz w:val="21"/>
                <w:szCs w:val="21"/>
              </w:rPr>
              <w:t>2.01</w:t>
            </w:r>
          </w:p>
          <w:p w14:paraId="11805AF0" w14:textId="77777777" w:rsidR="000C11B2" w:rsidRPr="000C11B2" w:rsidRDefault="000C11B2">
            <w:pPr>
              <w:autoSpaceDE w:val="0"/>
              <w:autoSpaceDN w:val="0"/>
              <w:adjustRightInd w:val="0"/>
              <w:jc w:val="both"/>
              <w:rPr>
                <w:rFonts w:ascii="Abadi" w:hAnsi="Abadi"/>
                <w:sz w:val="21"/>
                <w:szCs w:val="21"/>
              </w:rPr>
            </w:pPr>
          </w:p>
          <w:p w14:paraId="6D4DC661" w14:textId="470B2467" w:rsidR="000218BD" w:rsidRPr="001449E4" w:rsidRDefault="000C11B2">
            <w:pPr>
              <w:autoSpaceDE w:val="0"/>
              <w:autoSpaceDN w:val="0"/>
              <w:adjustRightInd w:val="0"/>
              <w:jc w:val="both"/>
              <w:rPr>
                <w:rFonts w:ascii="Abadi" w:hAnsi="Abadi"/>
                <w:sz w:val="21"/>
                <w:szCs w:val="21"/>
              </w:rPr>
            </w:pPr>
            <w:r w:rsidRPr="000C11B2">
              <w:rPr>
                <w:rFonts w:ascii="Abadi" w:hAnsi="Abadi"/>
                <w:sz w:val="21"/>
                <w:szCs w:val="21"/>
              </w:rPr>
              <w:t>La coordinadora general Jurídica del Gobierno del Estado de Guanajuato remite opinión consolidada con las secretarías de Salud y la de Medio Ambiente y Ordenamiento Territorial, de la iniciativa a efecto de reformar los artículos 1, 226 y 227 de la Ley de Salud del Estado de Guanajuato y los artículos 5 y 149 de la Ley para la Protección y Preservación del Ambiente del Estado de Guanajuato.</w:t>
            </w:r>
          </w:p>
        </w:tc>
        <w:tc>
          <w:tcPr>
            <w:tcW w:w="2494" w:type="dxa"/>
          </w:tcPr>
          <w:p w14:paraId="5C2EAD15" w14:textId="511F856E" w:rsidR="000C11B2" w:rsidRDefault="000C11B2">
            <w:pPr>
              <w:jc w:val="both"/>
              <w:rPr>
                <w:rFonts w:ascii="Abadi" w:hAnsi="Abadi"/>
                <w:sz w:val="21"/>
                <w:szCs w:val="21"/>
              </w:rPr>
            </w:pPr>
          </w:p>
          <w:p w14:paraId="414EB350" w14:textId="77777777" w:rsidR="000C11B2" w:rsidRPr="000C11B2" w:rsidRDefault="000C11B2">
            <w:pPr>
              <w:jc w:val="both"/>
              <w:rPr>
                <w:rFonts w:ascii="Abadi" w:hAnsi="Abadi"/>
                <w:sz w:val="21"/>
                <w:szCs w:val="21"/>
              </w:rPr>
            </w:pPr>
          </w:p>
          <w:p w14:paraId="652152BA" w14:textId="042D62A9" w:rsidR="000218BD" w:rsidRPr="000C11B2" w:rsidRDefault="000C11B2">
            <w:pPr>
              <w:jc w:val="both"/>
              <w:rPr>
                <w:rFonts w:ascii="Abadi" w:hAnsi="Abadi"/>
                <w:b/>
                <w:bCs/>
                <w:sz w:val="21"/>
                <w:szCs w:val="21"/>
              </w:rPr>
            </w:pPr>
            <w:r w:rsidRPr="000C11B2">
              <w:rPr>
                <w:rFonts w:ascii="Abadi" w:hAnsi="Abadi"/>
                <w:b/>
                <w:bCs/>
                <w:sz w:val="21"/>
                <w:szCs w:val="21"/>
              </w:rPr>
              <w:t>Enterados y se informa que se turnó a la Comisión de Salud Pública.</w:t>
            </w:r>
          </w:p>
        </w:tc>
      </w:tr>
      <w:tr w:rsidR="000218BD" w:rsidRPr="00883178" w14:paraId="203B9C3D" w14:textId="77777777">
        <w:tc>
          <w:tcPr>
            <w:tcW w:w="1886" w:type="dxa"/>
          </w:tcPr>
          <w:p w14:paraId="23ECFCCB" w14:textId="2EE3BEF0" w:rsidR="000C11B2" w:rsidRPr="000C11B2" w:rsidRDefault="000C11B2">
            <w:pPr>
              <w:autoSpaceDE w:val="0"/>
              <w:autoSpaceDN w:val="0"/>
              <w:adjustRightInd w:val="0"/>
              <w:jc w:val="both"/>
              <w:rPr>
                <w:rFonts w:ascii="Abadi" w:hAnsi="Abadi"/>
                <w:b/>
                <w:bCs/>
                <w:sz w:val="21"/>
                <w:szCs w:val="21"/>
              </w:rPr>
            </w:pPr>
            <w:r w:rsidRPr="000C11B2">
              <w:rPr>
                <w:rFonts w:ascii="Abadi" w:hAnsi="Abadi"/>
                <w:b/>
                <w:bCs/>
                <w:sz w:val="21"/>
                <w:szCs w:val="21"/>
              </w:rPr>
              <w:t>2.02</w:t>
            </w:r>
          </w:p>
          <w:p w14:paraId="7220D42D" w14:textId="77777777" w:rsidR="000C11B2" w:rsidRPr="000C11B2" w:rsidRDefault="000C11B2">
            <w:pPr>
              <w:autoSpaceDE w:val="0"/>
              <w:autoSpaceDN w:val="0"/>
              <w:adjustRightInd w:val="0"/>
              <w:jc w:val="both"/>
              <w:rPr>
                <w:rFonts w:ascii="Abadi" w:hAnsi="Abadi"/>
                <w:sz w:val="21"/>
                <w:szCs w:val="21"/>
              </w:rPr>
            </w:pPr>
          </w:p>
          <w:p w14:paraId="2471AD7B" w14:textId="217F18F4" w:rsidR="000218BD" w:rsidRPr="0014756F" w:rsidRDefault="000C11B2">
            <w:pPr>
              <w:autoSpaceDE w:val="0"/>
              <w:autoSpaceDN w:val="0"/>
              <w:adjustRightInd w:val="0"/>
              <w:jc w:val="both"/>
              <w:rPr>
                <w:rFonts w:ascii="Abadi" w:hAnsi="Abadi"/>
                <w:sz w:val="21"/>
                <w:szCs w:val="21"/>
              </w:rPr>
            </w:pPr>
            <w:r w:rsidRPr="000C11B2">
              <w:rPr>
                <w:rFonts w:ascii="Abadi" w:hAnsi="Abadi"/>
                <w:sz w:val="21"/>
                <w:szCs w:val="21"/>
              </w:rPr>
              <w:t xml:space="preserve">La coordinadora general Jurídica del Gobierno del Estado de Guanajuato remite opinión consolidada con las secretarías de Salud y de Medio Ambiente y Ordenamiento Territorial de la iniciativa a efecto de adicionar diversas disposiciones a la Ley de Protección Civil para el Estado de Guanajuato; a la Ley de Salud del Estado de Guanajuato; a la Ley para la Protección y Preservación del Ambiente del </w:t>
            </w:r>
            <w:r w:rsidRPr="000C11B2">
              <w:rPr>
                <w:rFonts w:ascii="Abadi" w:hAnsi="Abadi"/>
                <w:sz w:val="21"/>
                <w:szCs w:val="21"/>
              </w:rPr>
              <w:lastRenderedPageBreak/>
              <w:t>Estado de Guanajuato; y al Código Territorial para el Estado y los Municipios de Guanajuato, en la parte correspondiente al tercer ordenamiento.</w:t>
            </w:r>
          </w:p>
        </w:tc>
        <w:tc>
          <w:tcPr>
            <w:tcW w:w="2494" w:type="dxa"/>
          </w:tcPr>
          <w:p w14:paraId="6322D486" w14:textId="77777777" w:rsidR="000C11B2" w:rsidRPr="000C11B2" w:rsidRDefault="000C11B2">
            <w:pPr>
              <w:autoSpaceDE w:val="0"/>
              <w:autoSpaceDN w:val="0"/>
              <w:adjustRightInd w:val="0"/>
              <w:jc w:val="both"/>
              <w:rPr>
                <w:rFonts w:ascii="Abadi" w:hAnsi="Abadi"/>
                <w:sz w:val="21"/>
                <w:szCs w:val="21"/>
              </w:rPr>
            </w:pPr>
          </w:p>
          <w:p w14:paraId="142A9444" w14:textId="77777777" w:rsidR="000C11B2" w:rsidRPr="000C11B2" w:rsidRDefault="000C11B2">
            <w:pPr>
              <w:autoSpaceDE w:val="0"/>
              <w:autoSpaceDN w:val="0"/>
              <w:adjustRightInd w:val="0"/>
              <w:jc w:val="both"/>
              <w:rPr>
                <w:rFonts w:ascii="Abadi" w:hAnsi="Abadi"/>
                <w:sz w:val="21"/>
                <w:szCs w:val="21"/>
              </w:rPr>
            </w:pPr>
          </w:p>
          <w:p w14:paraId="3602B08B" w14:textId="4A3FFF1B" w:rsidR="000218BD" w:rsidRPr="000C11B2" w:rsidRDefault="000C11B2">
            <w:pPr>
              <w:autoSpaceDE w:val="0"/>
              <w:autoSpaceDN w:val="0"/>
              <w:adjustRightInd w:val="0"/>
              <w:jc w:val="both"/>
              <w:rPr>
                <w:rFonts w:ascii="Abadi" w:hAnsi="Abadi"/>
                <w:b/>
                <w:bCs/>
                <w:sz w:val="21"/>
                <w:szCs w:val="21"/>
              </w:rPr>
            </w:pPr>
            <w:r w:rsidRPr="000C11B2">
              <w:rPr>
                <w:rFonts w:ascii="Abadi" w:hAnsi="Abadi"/>
                <w:b/>
                <w:bCs/>
                <w:sz w:val="21"/>
                <w:szCs w:val="21"/>
              </w:rPr>
              <w:t>Enterados y se informa que se turnó a la Comisión de Medio Ambiente.</w:t>
            </w:r>
          </w:p>
        </w:tc>
      </w:tr>
      <w:tr w:rsidR="000218BD" w:rsidRPr="00883178" w14:paraId="7E971D7F" w14:textId="77777777">
        <w:tc>
          <w:tcPr>
            <w:tcW w:w="1886" w:type="dxa"/>
          </w:tcPr>
          <w:p w14:paraId="09C7F4A6" w14:textId="6BF5D86E" w:rsidR="000C11B2" w:rsidRPr="000C11B2" w:rsidRDefault="000C11B2">
            <w:pPr>
              <w:autoSpaceDE w:val="0"/>
              <w:autoSpaceDN w:val="0"/>
              <w:adjustRightInd w:val="0"/>
              <w:jc w:val="both"/>
              <w:rPr>
                <w:rFonts w:ascii="Abadi" w:hAnsi="Abadi"/>
                <w:b/>
                <w:bCs/>
                <w:sz w:val="21"/>
                <w:szCs w:val="21"/>
              </w:rPr>
            </w:pPr>
            <w:r w:rsidRPr="000C11B2">
              <w:rPr>
                <w:rFonts w:ascii="Abadi" w:hAnsi="Abadi"/>
                <w:b/>
                <w:bCs/>
                <w:sz w:val="21"/>
                <w:szCs w:val="21"/>
              </w:rPr>
              <w:t>2.03</w:t>
            </w:r>
          </w:p>
          <w:p w14:paraId="517CE314" w14:textId="77777777" w:rsidR="000C11B2" w:rsidRPr="000C11B2" w:rsidRDefault="000C11B2">
            <w:pPr>
              <w:autoSpaceDE w:val="0"/>
              <w:autoSpaceDN w:val="0"/>
              <w:adjustRightInd w:val="0"/>
              <w:jc w:val="both"/>
              <w:rPr>
                <w:rFonts w:ascii="Abadi" w:hAnsi="Abadi"/>
                <w:sz w:val="21"/>
                <w:szCs w:val="21"/>
              </w:rPr>
            </w:pPr>
          </w:p>
          <w:p w14:paraId="0E83D2E6" w14:textId="1B6B988C" w:rsidR="000218BD" w:rsidRPr="0014756F" w:rsidRDefault="000C11B2">
            <w:pPr>
              <w:autoSpaceDE w:val="0"/>
              <w:autoSpaceDN w:val="0"/>
              <w:adjustRightInd w:val="0"/>
              <w:jc w:val="both"/>
              <w:rPr>
                <w:rFonts w:ascii="Abadi" w:hAnsi="Abadi"/>
                <w:sz w:val="21"/>
                <w:szCs w:val="21"/>
              </w:rPr>
            </w:pPr>
            <w:r w:rsidRPr="000C11B2">
              <w:rPr>
                <w:rFonts w:ascii="Abadi" w:hAnsi="Abadi"/>
                <w:sz w:val="21"/>
                <w:szCs w:val="21"/>
              </w:rPr>
              <w:t>La coordinadora general Jurídica del Gobierno del Estado de Guanajuato remite opinión consolidada con las secretarías de Medio Ambiente y Ordenamiento Territorial; de Desarrollo Agroalimentario y Rural; y de Desarrollo Económico Sustentable, de la iniciativa a efecto de reformar el párrafo segundo del artículo 45, y adicionar el artículo 45 bis a la Ley para la Protección Animal del Estado de Guanajuato.</w:t>
            </w:r>
          </w:p>
        </w:tc>
        <w:tc>
          <w:tcPr>
            <w:tcW w:w="2494" w:type="dxa"/>
          </w:tcPr>
          <w:p w14:paraId="57D5D4A6" w14:textId="77777777" w:rsidR="000C11B2" w:rsidRDefault="000C11B2">
            <w:pPr>
              <w:jc w:val="both"/>
            </w:pPr>
          </w:p>
          <w:p w14:paraId="13E10B10" w14:textId="77777777" w:rsidR="000C11B2" w:rsidRDefault="000C11B2">
            <w:pPr>
              <w:jc w:val="both"/>
            </w:pPr>
          </w:p>
          <w:p w14:paraId="7610D3B7" w14:textId="414BCC15" w:rsidR="000218BD" w:rsidRPr="000C11B2" w:rsidRDefault="000C11B2">
            <w:pPr>
              <w:jc w:val="both"/>
              <w:rPr>
                <w:rFonts w:ascii="Abadi" w:hAnsi="Abadi"/>
                <w:b/>
                <w:bCs/>
                <w:sz w:val="21"/>
                <w:szCs w:val="21"/>
              </w:rPr>
            </w:pPr>
            <w:r w:rsidRPr="000C11B2">
              <w:rPr>
                <w:rFonts w:ascii="Abadi" w:hAnsi="Abadi"/>
                <w:b/>
                <w:bCs/>
                <w:sz w:val="21"/>
                <w:szCs w:val="21"/>
              </w:rPr>
              <w:t>Enterados y se informa que se turnó a la Comisión de Medio Ambiente.</w:t>
            </w:r>
          </w:p>
        </w:tc>
      </w:tr>
      <w:tr w:rsidR="000218BD" w:rsidRPr="00883178" w14:paraId="787E6B0F" w14:textId="77777777">
        <w:tc>
          <w:tcPr>
            <w:tcW w:w="1886" w:type="dxa"/>
          </w:tcPr>
          <w:p w14:paraId="76B712F7" w14:textId="685F8311" w:rsidR="000C11B2" w:rsidRPr="000C11B2" w:rsidRDefault="000C11B2">
            <w:pPr>
              <w:autoSpaceDE w:val="0"/>
              <w:autoSpaceDN w:val="0"/>
              <w:adjustRightInd w:val="0"/>
              <w:jc w:val="both"/>
              <w:rPr>
                <w:rFonts w:ascii="Abadi" w:hAnsi="Abadi"/>
                <w:b/>
                <w:bCs/>
                <w:sz w:val="21"/>
                <w:szCs w:val="21"/>
              </w:rPr>
            </w:pPr>
            <w:r w:rsidRPr="000C11B2">
              <w:rPr>
                <w:rFonts w:ascii="Abadi" w:hAnsi="Abadi"/>
                <w:b/>
                <w:bCs/>
                <w:sz w:val="21"/>
                <w:szCs w:val="21"/>
              </w:rPr>
              <w:t>2.04</w:t>
            </w:r>
          </w:p>
          <w:p w14:paraId="33340E66" w14:textId="77777777" w:rsidR="000C11B2" w:rsidRPr="000C11B2" w:rsidRDefault="000C11B2">
            <w:pPr>
              <w:autoSpaceDE w:val="0"/>
              <w:autoSpaceDN w:val="0"/>
              <w:adjustRightInd w:val="0"/>
              <w:jc w:val="both"/>
              <w:rPr>
                <w:rFonts w:ascii="Abadi" w:hAnsi="Abadi"/>
                <w:sz w:val="21"/>
                <w:szCs w:val="21"/>
              </w:rPr>
            </w:pPr>
          </w:p>
          <w:p w14:paraId="07E15DD1" w14:textId="245547FA" w:rsidR="00B9762A" w:rsidRPr="0014756F" w:rsidRDefault="000C11B2">
            <w:pPr>
              <w:autoSpaceDE w:val="0"/>
              <w:autoSpaceDN w:val="0"/>
              <w:adjustRightInd w:val="0"/>
              <w:jc w:val="both"/>
              <w:rPr>
                <w:rFonts w:ascii="Abadi" w:hAnsi="Abadi"/>
                <w:sz w:val="21"/>
                <w:szCs w:val="21"/>
              </w:rPr>
            </w:pPr>
            <w:r w:rsidRPr="000C11B2">
              <w:rPr>
                <w:rFonts w:ascii="Abadi" w:hAnsi="Abadi"/>
                <w:sz w:val="21"/>
                <w:szCs w:val="21"/>
              </w:rPr>
              <w:t xml:space="preserve">La coordinadora general Jurídica del Gobierno del Estado de Guanajuato remite opinión consolidada con las secretarías de Desarrollo Agroalimentario y Rural y de Medio Ambiente y Ordenamiento Territorial; y la </w:t>
            </w:r>
            <w:r w:rsidRPr="000C11B2">
              <w:rPr>
                <w:rFonts w:ascii="Abadi" w:hAnsi="Abadi"/>
                <w:sz w:val="21"/>
                <w:szCs w:val="21"/>
              </w:rPr>
              <w:t>Procuraduría Ambiental y de Ordenamiento Territorial, de la iniciativa a efecto de reformar el párrafo segundo del artículo 45, y adicionar el artículo 45 bis a la Ley para la Protección Animal del Estado de Guanajuato.</w:t>
            </w:r>
          </w:p>
        </w:tc>
        <w:tc>
          <w:tcPr>
            <w:tcW w:w="2494" w:type="dxa"/>
          </w:tcPr>
          <w:p w14:paraId="2F3810A1" w14:textId="77777777" w:rsidR="000C11B2" w:rsidRDefault="000C11B2">
            <w:pPr>
              <w:autoSpaceDE w:val="0"/>
              <w:autoSpaceDN w:val="0"/>
              <w:adjustRightInd w:val="0"/>
              <w:jc w:val="both"/>
              <w:rPr>
                <w:rFonts w:ascii="Abadi" w:hAnsi="Abadi"/>
                <w:sz w:val="21"/>
                <w:szCs w:val="21"/>
              </w:rPr>
            </w:pPr>
          </w:p>
          <w:p w14:paraId="58A74AA6" w14:textId="77777777" w:rsidR="000C11B2" w:rsidRDefault="000C11B2">
            <w:pPr>
              <w:autoSpaceDE w:val="0"/>
              <w:autoSpaceDN w:val="0"/>
              <w:adjustRightInd w:val="0"/>
              <w:jc w:val="both"/>
              <w:rPr>
                <w:rFonts w:ascii="Abadi" w:hAnsi="Abadi"/>
                <w:sz w:val="21"/>
                <w:szCs w:val="21"/>
              </w:rPr>
            </w:pPr>
          </w:p>
          <w:p w14:paraId="6BD8D55E" w14:textId="14E2B786" w:rsidR="000218BD" w:rsidRPr="000C11B2" w:rsidRDefault="000C11B2">
            <w:pPr>
              <w:autoSpaceDE w:val="0"/>
              <w:autoSpaceDN w:val="0"/>
              <w:adjustRightInd w:val="0"/>
              <w:jc w:val="both"/>
              <w:rPr>
                <w:rFonts w:ascii="Abadi" w:hAnsi="Abadi"/>
                <w:b/>
                <w:bCs/>
                <w:sz w:val="21"/>
                <w:szCs w:val="21"/>
              </w:rPr>
            </w:pPr>
            <w:r w:rsidRPr="000C11B2">
              <w:rPr>
                <w:rFonts w:ascii="Abadi" w:hAnsi="Abadi"/>
                <w:b/>
                <w:bCs/>
                <w:sz w:val="21"/>
                <w:szCs w:val="21"/>
              </w:rPr>
              <w:t>Enterados y se informa que se turnó a la Comisión de Medio Ambiente.</w:t>
            </w:r>
          </w:p>
        </w:tc>
      </w:tr>
      <w:tr w:rsidR="000218BD" w:rsidRPr="00883178" w14:paraId="76B5B6C0" w14:textId="77777777">
        <w:tc>
          <w:tcPr>
            <w:tcW w:w="1886" w:type="dxa"/>
          </w:tcPr>
          <w:p w14:paraId="03764D66" w14:textId="77777777" w:rsidR="000C11B2" w:rsidRPr="000C11B2" w:rsidRDefault="000C11B2">
            <w:pPr>
              <w:autoSpaceDE w:val="0"/>
              <w:autoSpaceDN w:val="0"/>
              <w:adjustRightInd w:val="0"/>
              <w:jc w:val="both"/>
              <w:rPr>
                <w:rFonts w:ascii="Abadi" w:hAnsi="Abadi"/>
                <w:b/>
                <w:bCs/>
                <w:sz w:val="21"/>
                <w:szCs w:val="21"/>
              </w:rPr>
            </w:pPr>
            <w:r w:rsidRPr="000C11B2">
              <w:rPr>
                <w:rFonts w:ascii="Abadi" w:hAnsi="Abadi"/>
                <w:b/>
                <w:bCs/>
                <w:sz w:val="21"/>
                <w:szCs w:val="21"/>
              </w:rPr>
              <w:t>2.05</w:t>
            </w:r>
          </w:p>
          <w:p w14:paraId="1AB79361" w14:textId="77777777" w:rsidR="000C11B2" w:rsidRPr="000C11B2" w:rsidRDefault="000C11B2">
            <w:pPr>
              <w:autoSpaceDE w:val="0"/>
              <w:autoSpaceDN w:val="0"/>
              <w:adjustRightInd w:val="0"/>
              <w:jc w:val="both"/>
              <w:rPr>
                <w:rFonts w:ascii="Abadi" w:hAnsi="Abadi"/>
                <w:sz w:val="21"/>
                <w:szCs w:val="21"/>
              </w:rPr>
            </w:pPr>
          </w:p>
          <w:p w14:paraId="279A6006" w14:textId="6C83E365" w:rsidR="000218BD" w:rsidRPr="0014756F" w:rsidRDefault="000C11B2">
            <w:pPr>
              <w:autoSpaceDE w:val="0"/>
              <w:autoSpaceDN w:val="0"/>
              <w:adjustRightInd w:val="0"/>
              <w:jc w:val="both"/>
              <w:rPr>
                <w:rFonts w:ascii="Abadi" w:hAnsi="Abadi"/>
                <w:sz w:val="21"/>
                <w:szCs w:val="21"/>
              </w:rPr>
            </w:pPr>
            <w:r w:rsidRPr="000C11B2">
              <w:rPr>
                <w:rFonts w:ascii="Abadi" w:hAnsi="Abadi"/>
                <w:sz w:val="21"/>
                <w:szCs w:val="21"/>
              </w:rPr>
              <w:t>El Auditor Superior del Estado de Guanajuato remite información solicitada en seguimiento al oficio ASEG-301-2022, respecto a los actos de dominio derivados de la desafectación de una porción del inmueble perteneciente al Jardín de Niños Juan Aldama y su posterior enajenación; así como el estatus de las investigaciones relativas al robo de cartuchos y faltantes en la Tesorería Municipal de Silao de la Victoria, Gto</w:t>
            </w:r>
          </w:p>
        </w:tc>
        <w:tc>
          <w:tcPr>
            <w:tcW w:w="2494" w:type="dxa"/>
          </w:tcPr>
          <w:p w14:paraId="2D877630" w14:textId="77777777" w:rsidR="000C11B2" w:rsidRPr="000C11B2" w:rsidRDefault="000C11B2">
            <w:pPr>
              <w:autoSpaceDE w:val="0"/>
              <w:autoSpaceDN w:val="0"/>
              <w:adjustRightInd w:val="0"/>
              <w:jc w:val="both"/>
              <w:rPr>
                <w:rFonts w:ascii="Abadi" w:hAnsi="Abadi"/>
                <w:sz w:val="21"/>
                <w:szCs w:val="21"/>
              </w:rPr>
            </w:pPr>
          </w:p>
          <w:p w14:paraId="359AE48E" w14:textId="77777777" w:rsidR="000C11B2" w:rsidRPr="000C11B2" w:rsidRDefault="000C11B2">
            <w:pPr>
              <w:autoSpaceDE w:val="0"/>
              <w:autoSpaceDN w:val="0"/>
              <w:adjustRightInd w:val="0"/>
              <w:jc w:val="both"/>
              <w:rPr>
                <w:rFonts w:ascii="Abadi" w:hAnsi="Abadi"/>
                <w:sz w:val="21"/>
                <w:szCs w:val="21"/>
              </w:rPr>
            </w:pPr>
          </w:p>
          <w:p w14:paraId="2A5414FB" w14:textId="40CDE36F" w:rsidR="000218BD" w:rsidRPr="000C11B2" w:rsidRDefault="000C11B2">
            <w:pPr>
              <w:autoSpaceDE w:val="0"/>
              <w:autoSpaceDN w:val="0"/>
              <w:adjustRightInd w:val="0"/>
              <w:jc w:val="both"/>
              <w:rPr>
                <w:rFonts w:ascii="Abadi" w:hAnsi="Abadi"/>
                <w:b/>
                <w:bCs/>
                <w:sz w:val="21"/>
                <w:szCs w:val="21"/>
              </w:rPr>
            </w:pPr>
            <w:r w:rsidRPr="000C11B2">
              <w:rPr>
                <w:rFonts w:ascii="Abadi" w:hAnsi="Abadi"/>
                <w:b/>
                <w:bCs/>
                <w:sz w:val="21"/>
                <w:szCs w:val="21"/>
              </w:rPr>
              <w:t>Enterados y se informa que se turnó a la Comisión de Hacienda y Fiscalización.</w:t>
            </w:r>
          </w:p>
        </w:tc>
      </w:tr>
      <w:tr w:rsidR="000218BD" w:rsidRPr="00883178" w14:paraId="3772F52B" w14:textId="77777777">
        <w:tc>
          <w:tcPr>
            <w:tcW w:w="1886" w:type="dxa"/>
          </w:tcPr>
          <w:p w14:paraId="0ADDD3E0" w14:textId="20A23316" w:rsidR="00D12A73" w:rsidRPr="00D12A73" w:rsidRDefault="00D12A73">
            <w:pPr>
              <w:autoSpaceDE w:val="0"/>
              <w:autoSpaceDN w:val="0"/>
              <w:adjustRightInd w:val="0"/>
              <w:jc w:val="both"/>
              <w:rPr>
                <w:rFonts w:ascii="Abadi" w:hAnsi="Abadi"/>
                <w:b/>
                <w:bCs/>
                <w:sz w:val="21"/>
                <w:szCs w:val="21"/>
              </w:rPr>
            </w:pPr>
            <w:r w:rsidRPr="00D12A73">
              <w:rPr>
                <w:rFonts w:ascii="Abadi" w:hAnsi="Abadi"/>
                <w:b/>
                <w:bCs/>
                <w:sz w:val="21"/>
                <w:szCs w:val="21"/>
              </w:rPr>
              <w:t>2.06</w:t>
            </w:r>
          </w:p>
          <w:p w14:paraId="1302FC00" w14:textId="77777777" w:rsidR="00D12A73" w:rsidRDefault="00D12A73">
            <w:pPr>
              <w:autoSpaceDE w:val="0"/>
              <w:autoSpaceDN w:val="0"/>
              <w:adjustRightInd w:val="0"/>
              <w:jc w:val="both"/>
              <w:rPr>
                <w:rFonts w:ascii="Abadi" w:hAnsi="Abadi"/>
                <w:sz w:val="21"/>
                <w:szCs w:val="21"/>
              </w:rPr>
            </w:pPr>
          </w:p>
          <w:p w14:paraId="06665272" w14:textId="7B15EBC6" w:rsidR="000218BD" w:rsidRPr="00883178" w:rsidRDefault="00D12A73">
            <w:pPr>
              <w:autoSpaceDE w:val="0"/>
              <w:autoSpaceDN w:val="0"/>
              <w:adjustRightInd w:val="0"/>
              <w:jc w:val="both"/>
              <w:rPr>
                <w:rFonts w:ascii="Abadi" w:hAnsi="Abadi"/>
                <w:sz w:val="21"/>
                <w:szCs w:val="21"/>
              </w:rPr>
            </w:pPr>
            <w:r w:rsidRPr="00D12A73">
              <w:rPr>
                <w:rFonts w:ascii="Abadi" w:hAnsi="Abadi"/>
                <w:sz w:val="21"/>
                <w:szCs w:val="21"/>
              </w:rPr>
              <w:t xml:space="preserve">El director general de Fondos Guanajuato remite el acuse del SIRET que acredita la entrega de la cuenta pública del ejercicio fiscal 2021, en archivos </w:t>
            </w:r>
            <w:r w:rsidRPr="00D12A73">
              <w:rPr>
                <w:rFonts w:ascii="Abadi" w:hAnsi="Abadi"/>
                <w:sz w:val="21"/>
                <w:szCs w:val="21"/>
              </w:rPr>
              <w:lastRenderedPageBreak/>
              <w:t>de dato abierto, y la versión con firma autógrafa de los documentos en formato PDF, correspondiente a Fondos Guanajuato de Financiamiento.</w:t>
            </w:r>
          </w:p>
        </w:tc>
        <w:tc>
          <w:tcPr>
            <w:tcW w:w="2494" w:type="dxa"/>
          </w:tcPr>
          <w:p w14:paraId="717F5265" w14:textId="77777777" w:rsidR="00D12A73" w:rsidRDefault="00D12A73" w:rsidP="008D35BA">
            <w:pPr>
              <w:autoSpaceDE w:val="0"/>
              <w:autoSpaceDN w:val="0"/>
              <w:adjustRightInd w:val="0"/>
              <w:jc w:val="both"/>
              <w:rPr>
                <w:rFonts w:ascii="Abadi" w:hAnsi="Abadi"/>
                <w:sz w:val="21"/>
                <w:szCs w:val="21"/>
              </w:rPr>
            </w:pPr>
          </w:p>
          <w:p w14:paraId="6C50DACC" w14:textId="77777777" w:rsidR="00D12A73" w:rsidRDefault="00D12A73" w:rsidP="008D35BA">
            <w:pPr>
              <w:autoSpaceDE w:val="0"/>
              <w:autoSpaceDN w:val="0"/>
              <w:adjustRightInd w:val="0"/>
              <w:jc w:val="both"/>
              <w:rPr>
                <w:rFonts w:ascii="Abadi" w:hAnsi="Abadi"/>
                <w:sz w:val="21"/>
                <w:szCs w:val="21"/>
              </w:rPr>
            </w:pPr>
          </w:p>
          <w:p w14:paraId="3B5E9B27" w14:textId="3C88EF4B" w:rsidR="000218BD" w:rsidRPr="00D12A73" w:rsidRDefault="00D12A73" w:rsidP="008D35BA">
            <w:pPr>
              <w:autoSpaceDE w:val="0"/>
              <w:autoSpaceDN w:val="0"/>
              <w:adjustRightInd w:val="0"/>
              <w:jc w:val="both"/>
              <w:rPr>
                <w:rFonts w:ascii="Abadi" w:hAnsi="Abadi"/>
                <w:sz w:val="21"/>
                <w:szCs w:val="21"/>
              </w:rPr>
            </w:pPr>
            <w:r w:rsidRPr="00D12A73">
              <w:rPr>
                <w:rFonts w:ascii="Abadi" w:hAnsi="Abadi"/>
                <w:b/>
                <w:bCs/>
                <w:sz w:val="21"/>
                <w:szCs w:val="21"/>
              </w:rPr>
              <w:t>Enterados y se remite a la Auditoría Superior del Estado de Guanajuato</w:t>
            </w:r>
            <w:r w:rsidRPr="00D12A73">
              <w:rPr>
                <w:rFonts w:ascii="Abadi" w:hAnsi="Abadi"/>
                <w:sz w:val="21"/>
                <w:szCs w:val="21"/>
              </w:rPr>
              <w:t>.</w:t>
            </w:r>
          </w:p>
        </w:tc>
      </w:tr>
      <w:tr w:rsidR="000C11B2" w:rsidRPr="00883178" w14:paraId="5AA8A3AE" w14:textId="77777777">
        <w:tc>
          <w:tcPr>
            <w:tcW w:w="1886" w:type="dxa"/>
          </w:tcPr>
          <w:p w14:paraId="50813C1C" w14:textId="01533209" w:rsidR="00D12A73" w:rsidRPr="00D12A73" w:rsidRDefault="00D12A73">
            <w:pPr>
              <w:autoSpaceDE w:val="0"/>
              <w:autoSpaceDN w:val="0"/>
              <w:adjustRightInd w:val="0"/>
              <w:jc w:val="both"/>
              <w:rPr>
                <w:rFonts w:ascii="Abadi" w:hAnsi="Abadi"/>
                <w:b/>
                <w:bCs/>
                <w:sz w:val="21"/>
                <w:szCs w:val="21"/>
              </w:rPr>
            </w:pPr>
            <w:r w:rsidRPr="00D12A73">
              <w:rPr>
                <w:rFonts w:ascii="Abadi" w:hAnsi="Abadi"/>
                <w:b/>
                <w:bCs/>
                <w:sz w:val="21"/>
                <w:szCs w:val="21"/>
              </w:rPr>
              <w:t>2.07</w:t>
            </w:r>
          </w:p>
          <w:p w14:paraId="59242FC5" w14:textId="77777777" w:rsidR="00D12A73" w:rsidRPr="00D12A73" w:rsidRDefault="00D12A73">
            <w:pPr>
              <w:autoSpaceDE w:val="0"/>
              <w:autoSpaceDN w:val="0"/>
              <w:adjustRightInd w:val="0"/>
              <w:jc w:val="both"/>
              <w:rPr>
                <w:rFonts w:ascii="Abadi" w:hAnsi="Abadi"/>
                <w:sz w:val="21"/>
                <w:szCs w:val="21"/>
              </w:rPr>
            </w:pPr>
          </w:p>
          <w:p w14:paraId="41B01FA9" w14:textId="08EBCD00" w:rsidR="000C11B2" w:rsidRPr="00883178" w:rsidRDefault="00D12A73">
            <w:pPr>
              <w:autoSpaceDE w:val="0"/>
              <w:autoSpaceDN w:val="0"/>
              <w:adjustRightInd w:val="0"/>
              <w:jc w:val="both"/>
              <w:rPr>
                <w:rFonts w:ascii="Abadi" w:hAnsi="Abadi"/>
                <w:sz w:val="21"/>
                <w:szCs w:val="21"/>
              </w:rPr>
            </w:pPr>
            <w:r w:rsidRPr="00D12A73">
              <w:rPr>
                <w:rFonts w:ascii="Abadi" w:hAnsi="Abadi"/>
                <w:sz w:val="21"/>
                <w:szCs w:val="21"/>
              </w:rPr>
              <w:t>El director general de Fondos Guanajuato remite el acuse del SIRET que acredita la entrega de la cuenta pública del ejercicio fiscal 2021, en archivos de dato abierto, y la versión con firma autógrafa de los documentos en formato PDF, correspondiente a Fondos Guanajuato de Inversión en Zonas Marginadas.</w:t>
            </w:r>
          </w:p>
        </w:tc>
        <w:tc>
          <w:tcPr>
            <w:tcW w:w="2494" w:type="dxa"/>
          </w:tcPr>
          <w:p w14:paraId="39770A2C" w14:textId="77777777" w:rsidR="00D12A73" w:rsidRDefault="00D12A73" w:rsidP="008D35BA">
            <w:pPr>
              <w:autoSpaceDE w:val="0"/>
              <w:autoSpaceDN w:val="0"/>
              <w:adjustRightInd w:val="0"/>
              <w:jc w:val="both"/>
            </w:pPr>
          </w:p>
          <w:p w14:paraId="4782BDDD" w14:textId="77777777" w:rsidR="00D12A73" w:rsidRDefault="00D12A73" w:rsidP="008D35BA">
            <w:pPr>
              <w:autoSpaceDE w:val="0"/>
              <w:autoSpaceDN w:val="0"/>
              <w:adjustRightInd w:val="0"/>
              <w:jc w:val="both"/>
            </w:pPr>
          </w:p>
          <w:p w14:paraId="1CBB5B42" w14:textId="26CDFD7F" w:rsidR="000C11B2" w:rsidRPr="00883178" w:rsidRDefault="00D12A73" w:rsidP="008D35BA">
            <w:pPr>
              <w:autoSpaceDE w:val="0"/>
              <w:autoSpaceDN w:val="0"/>
              <w:adjustRightInd w:val="0"/>
              <w:jc w:val="both"/>
              <w:rPr>
                <w:rFonts w:ascii="Abadi" w:hAnsi="Abadi"/>
                <w:b/>
                <w:bCs/>
                <w:sz w:val="21"/>
                <w:szCs w:val="21"/>
              </w:rPr>
            </w:pPr>
            <w:r w:rsidRPr="00D12A73">
              <w:rPr>
                <w:rFonts w:ascii="Abadi" w:hAnsi="Abadi"/>
                <w:b/>
                <w:bCs/>
                <w:sz w:val="21"/>
                <w:szCs w:val="21"/>
              </w:rPr>
              <w:t>Enterados y se remite a la Auditoría Superior del Estado de Guanajuato</w:t>
            </w:r>
            <w:r w:rsidRPr="00D12A73">
              <w:rPr>
                <w:rFonts w:ascii="Abadi" w:hAnsi="Abadi"/>
                <w:sz w:val="21"/>
                <w:szCs w:val="21"/>
              </w:rPr>
              <w:t>.</w:t>
            </w:r>
          </w:p>
        </w:tc>
      </w:tr>
      <w:tr w:rsidR="000C11B2" w:rsidRPr="00883178" w14:paraId="0517845E" w14:textId="77777777">
        <w:tc>
          <w:tcPr>
            <w:tcW w:w="1886" w:type="dxa"/>
          </w:tcPr>
          <w:p w14:paraId="218C4CD0" w14:textId="1307E511" w:rsidR="00D12A73" w:rsidRPr="00D12A73" w:rsidRDefault="00D12A73">
            <w:pPr>
              <w:autoSpaceDE w:val="0"/>
              <w:autoSpaceDN w:val="0"/>
              <w:adjustRightInd w:val="0"/>
              <w:jc w:val="both"/>
              <w:rPr>
                <w:rFonts w:ascii="Abadi" w:hAnsi="Abadi"/>
                <w:b/>
                <w:bCs/>
                <w:sz w:val="21"/>
                <w:szCs w:val="21"/>
              </w:rPr>
            </w:pPr>
            <w:r w:rsidRPr="00D12A73">
              <w:rPr>
                <w:rFonts w:ascii="Abadi" w:hAnsi="Abadi"/>
                <w:b/>
                <w:bCs/>
                <w:sz w:val="21"/>
                <w:szCs w:val="21"/>
              </w:rPr>
              <w:t>2.08</w:t>
            </w:r>
          </w:p>
          <w:p w14:paraId="1F0DE145" w14:textId="77777777" w:rsidR="00D12A73" w:rsidRPr="00D12A73" w:rsidRDefault="00D12A73">
            <w:pPr>
              <w:autoSpaceDE w:val="0"/>
              <w:autoSpaceDN w:val="0"/>
              <w:adjustRightInd w:val="0"/>
              <w:jc w:val="both"/>
              <w:rPr>
                <w:rFonts w:ascii="Abadi" w:hAnsi="Abadi"/>
                <w:sz w:val="21"/>
                <w:szCs w:val="21"/>
              </w:rPr>
            </w:pPr>
          </w:p>
          <w:p w14:paraId="129C269A" w14:textId="1E6B8D06" w:rsidR="000C11B2" w:rsidRPr="00883178" w:rsidRDefault="00D12A73">
            <w:pPr>
              <w:autoSpaceDE w:val="0"/>
              <w:autoSpaceDN w:val="0"/>
              <w:adjustRightInd w:val="0"/>
              <w:jc w:val="both"/>
              <w:rPr>
                <w:rFonts w:ascii="Abadi" w:hAnsi="Abadi"/>
                <w:sz w:val="21"/>
                <w:szCs w:val="21"/>
              </w:rPr>
            </w:pPr>
            <w:r w:rsidRPr="00D12A73">
              <w:rPr>
                <w:rFonts w:ascii="Abadi" w:hAnsi="Abadi"/>
                <w:sz w:val="21"/>
                <w:szCs w:val="21"/>
              </w:rPr>
              <w:t xml:space="preserve">La coordinadora general Jurídica del Gobierno del Estado de Guanajuato remite información complementaria al análisis de la iniciativa formulada por el Gobernador del Estado, a efecto de que se autorice que una fracción del inmueble materia del Decreto Legislativo número 9, expedido por la Sexagésima Tercera </w:t>
            </w:r>
            <w:r w:rsidRPr="00D12A73">
              <w:rPr>
                <w:rFonts w:ascii="Abadi" w:hAnsi="Abadi"/>
                <w:sz w:val="21"/>
                <w:szCs w:val="21"/>
              </w:rPr>
              <w:t>Legislatura y publicado en el Periódico Oficial del Gobierno del Estado número 186, tercera parte, de fecha 20 de noviembre de 2015, pueda ser destinada para la instalación de una base de operaciones de la Guardia Nacional.</w:t>
            </w:r>
          </w:p>
        </w:tc>
        <w:tc>
          <w:tcPr>
            <w:tcW w:w="2494" w:type="dxa"/>
          </w:tcPr>
          <w:p w14:paraId="28EB29F2" w14:textId="77777777" w:rsidR="00D12A73" w:rsidRDefault="00D12A73" w:rsidP="008D35BA">
            <w:pPr>
              <w:autoSpaceDE w:val="0"/>
              <w:autoSpaceDN w:val="0"/>
              <w:adjustRightInd w:val="0"/>
              <w:jc w:val="both"/>
              <w:rPr>
                <w:rFonts w:ascii="Abadi" w:hAnsi="Abadi"/>
                <w:sz w:val="21"/>
                <w:szCs w:val="21"/>
              </w:rPr>
            </w:pPr>
          </w:p>
          <w:p w14:paraId="1A1244FB" w14:textId="77777777" w:rsidR="00D12A73" w:rsidRDefault="00D12A73" w:rsidP="008D35BA">
            <w:pPr>
              <w:autoSpaceDE w:val="0"/>
              <w:autoSpaceDN w:val="0"/>
              <w:adjustRightInd w:val="0"/>
              <w:jc w:val="both"/>
              <w:rPr>
                <w:rFonts w:ascii="Abadi" w:hAnsi="Abadi"/>
                <w:sz w:val="21"/>
                <w:szCs w:val="21"/>
              </w:rPr>
            </w:pPr>
          </w:p>
          <w:p w14:paraId="0B819400" w14:textId="60B4FB1C" w:rsidR="000C11B2" w:rsidRPr="00D12A73" w:rsidRDefault="00D12A73" w:rsidP="008D35BA">
            <w:pPr>
              <w:autoSpaceDE w:val="0"/>
              <w:autoSpaceDN w:val="0"/>
              <w:adjustRightInd w:val="0"/>
              <w:jc w:val="both"/>
              <w:rPr>
                <w:rFonts w:ascii="Abadi" w:hAnsi="Abadi"/>
                <w:b/>
                <w:bCs/>
                <w:sz w:val="21"/>
                <w:szCs w:val="21"/>
              </w:rPr>
            </w:pPr>
            <w:r w:rsidRPr="00D12A73">
              <w:rPr>
                <w:rFonts w:ascii="Abadi" w:hAnsi="Abadi"/>
                <w:b/>
                <w:bCs/>
                <w:sz w:val="21"/>
                <w:szCs w:val="21"/>
              </w:rPr>
              <w:t>Enterados y se informa que se turnó a la Comisión de Hacienda y Fiscalización.</w:t>
            </w:r>
          </w:p>
        </w:tc>
      </w:tr>
      <w:tr w:rsidR="003222E1" w:rsidRPr="00883178" w14:paraId="5CE59425" w14:textId="77777777" w:rsidTr="003222E1">
        <w:tc>
          <w:tcPr>
            <w:tcW w:w="4380" w:type="dxa"/>
            <w:gridSpan w:val="2"/>
            <w:shd w:val="clear" w:color="auto" w:fill="D0CECE" w:themeFill="background2" w:themeFillShade="E6"/>
          </w:tcPr>
          <w:p w14:paraId="3246B048" w14:textId="66F4BCF2" w:rsidR="003222E1" w:rsidRDefault="003222E1" w:rsidP="008D35BA">
            <w:pPr>
              <w:autoSpaceDE w:val="0"/>
              <w:autoSpaceDN w:val="0"/>
              <w:adjustRightInd w:val="0"/>
              <w:jc w:val="both"/>
              <w:rPr>
                <w:rFonts w:ascii="Abadi" w:hAnsi="Abadi"/>
                <w:sz w:val="21"/>
                <w:szCs w:val="21"/>
              </w:rPr>
            </w:pPr>
            <w:r w:rsidRPr="003222E1">
              <w:rPr>
                <w:rFonts w:ascii="Abadi" w:hAnsi="Abadi"/>
                <w:b/>
                <w:bCs/>
                <w:sz w:val="21"/>
                <w:szCs w:val="21"/>
              </w:rPr>
              <w:t>II. Comunicados provenientes de los ayuntamientos del Estado</w:t>
            </w:r>
          </w:p>
        </w:tc>
      </w:tr>
      <w:tr w:rsidR="000C11B2" w:rsidRPr="00883178" w14:paraId="11BA86C0" w14:textId="77777777">
        <w:tc>
          <w:tcPr>
            <w:tcW w:w="1886" w:type="dxa"/>
          </w:tcPr>
          <w:p w14:paraId="4BA86646" w14:textId="3A28BE8F" w:rsidR="003222E1" w:rsidRPr="003222E1" w:rsidRDefault="003222E1">
            <w:pPr>
              <w:autoSpaceDE w:val="0"/>
              <w:autoSpaceDN w:val="0"/>
              <w:adjustRightInd w:val="0"/>
              <w:jc w:val="both"/>
              <w:rPr>
                <w:rFonts w:ascii="Abadi" w:hAnsi="Abadi"/>
                <w:b/>
                <w:bCs/>
                <w:sz w:val="21"/>
                <w:szCs w:val="21"/>
              </w:rPr>
            </w:pPr>
            <w:r w:rsidRPr="003222E1">
              <w:rPr>
                <w:rFonts w:ascii="Abadi" w:hAnsi="Abadi"/>
                <w:b/>
                <w:bCs/>
                <w:sz w:val="21"/>
                <w:szCs w:val="21"/>
              </w:rPr>
              <w:t>3.01</w:t>
            </w:r>
          </w:p>
          <w:p w14:paraId="3C3E8E0B" w14:textId="77777777" w:rsidR="003222E1" w:rsidRPr="003222E1" w:rsidRDefault="003222E1">
            <w:pPr>
              <w:autoSpaceDE w:val="0"/>
              <w:autoSpaceDN w:val="0"/>
              <w:adjustRightInd w:val="0"/>
              <w:jc w:val="both"/>
              <w:rPr>
                <w:rFonts w:ascii="Abadi" w:hAnsi="Abadi"/>
                <w:sz w:val="21"/>
                <w:szCs w:val="21"/>
              </w:rPr>
            </w:pPr>
          </w:p>
          <w:p w14:paraId="2DCDC3EF" w14:textId="16685982" w:rsidR="000C11B2" w:rsidRPr="00883178" w:rsidRDefault="003222E1">
            <w:pPr>
              <w:autoSpaceDE w:val="0"/>
              <w:autoSpaceDN w:val="0"/>
              <w:adjustRightInd w:val="0"/>
              <w:jc w:val="both"/>
              <w:rPr>
                <w:rFonts w:ascii="Abadi" w:hAnsi="Abadi"/>
                <w:sz w:val="21"/>
                <w:szCs w:val="21"/>
              </w:rPr>
            </w:pPr>
            <w:r w:rsidRPr="003222E1">
              <w:rPr>
                <w:rFonts w:ascii="Abadi" w:hAnsi="Abadi"/>
                <w:sz w:val="21"/>
                <w:szCs w:val="21"/>
              </w:rPr>
              <w:t>El secretario del ayuntamiento de Santiago Maravatío, Gto., remite respuesta a la consulta de la iniciativa de Ley de Manifestaciones Públicas para el Estado y los Municipios de Guanajuato.</w:t>
            </w:r>
          </w:p>
        </w:tc>
        <w:tc>
          <w:tcPr>
            <w:tcW w:w="2494" w:type="dxa"/>
          </w:tcPr>
          <w:p w14:paraId="32A85A4E" w14:textId="77777777" w:rsidR="003222E1" w:rsidRPr="003222E1" w:rsidRDefault="003222E1" w:rsidP="008D35BA">
            <w:pPr>
              <w:autoSpaceDE w:val="0"/>
              <w:autoSpaceDN w:val="0"/>
              <w:adjustRightInd w:val="0"/>
              <w:jc w:val="both"/>
              <w:rPr>
                <w:rFonts w:ascii="Abadi" w:hAnsi="Abadi"/>
                <w:sz w:val="21"/>
                <w:szCs w:val="21"/>
              </w:rPr>
            </w:pPr>
          </w:p>
          <w:p w14:paraId="4D6DE3C7" w14:textId="77777777" w:rsidR="003222E1" w:rsidRPr="003222E1" w:rsidRDefault="003222E1" w:rsidP="008D35BA">
            <w:pPr>
              <w:autoSpaceDE w:val="0"/>
              <w:autoSpaceDN w:val="0"/>
              <w:adjustRightInd w:val="0"/>
              <w:jc w:val="both"/>
              <w:rPr>
                <w:rFonts w:ascii="Abadi" w:hAnsi="Abadi"/>
                <w:sz w:val="21"/>
                <w:szCs w:val="21"/>
              </w:rPr>
            </w:pPr>
          </w:p>
          <w:p w14:paraId="49E282A3" w14:textId="7F9D37AD" w:rsidR="000C11B2" w:rsidRPr="003222E1" w:rsidRDefault="003222E1" w:rsidP="008D35BA">
            <w:pPr>
              <w:autoSpaceDE w:val="0"/>
              <w:autoSpaceDN w:val="0"/>
              <w:adjustRightInd w:val="0"/>
              <w:jc w:val="both"/>
              <w:rPr>
                <w:rFonts w:ascii="Abadi" w:hAnsi="Abadi"/>
                <w:sz w:val="21"/>
                <w:szCs w:val="21"/>
              </w:rPr>
            </w:pPr>
            <w:r w:rsidRPr="003222E1">
              <w:rPr>
                <w:rFonts w:ascii="Abadi" w:hAnsi="Abadi"/>
                <w:b/>
                <w:bCs/>
                <w:sz w:val="21"/>
                <w:szCs w:val="21"/>
              </w:rPr>
              <w:t>Enterados y se informa que se turnó a la Comisión de Seguridad</w:t>
            </w:r>
            <w:r w:rsidRPr="003222E1">
              <w:rPr>
                <w:rFonts w:ascii="Abadi" w:hAnsi="Abadi"/>
                <w:sz w:val="21"/>
                <w:szCs w:val="21"/>
              </w:rPr>
              <w:t xml:space="preserve"> </w:t>
            </w:r>
            <w:r w:rsidRPr="003222E1">
              <w:rPr>
                <w:rFonts w:ascii="Abadi" w:hAnsi="Abadi"/>
                <w:b/>
                <w:bCs/>
                <w:sz w:val="21"/>
                <w:szCs w:val="21"/>
              </w:rPr>
              <w:t>Pública y Comunicaciones.</w:t>
            </w:r>
          </w:p>
        </w:tc>
      </w:tr>
      <w:tr w:rsidR="000C11B2" w:rsidRPr="00883178" w14:paraId="64D68048" w14:textId="77777777">
        <w:tc>
          <w:tcPr>
            <w:tcW w:w="1886" w:type="dxa"/>
          </w:tcPr>
          <w:p w14:paraId="46A20AA2" w14:textId="5EDC7BCE" w:rsidR="003222E1" w:rsidRPr="003222E1" w:rsidRDefault="003222E1">
            <w:pPr>
              <w:autoSpaceDE w:val="0"/>
              <w:autoSpaceDN w:val="0"/>
              <w:adjustRightInd w:val="0"/>
              <w:jc w:val="both"/>
              <w:rPr>
                <w:rFonts w:ascii="Abadi" w:hAnsi="Abadi"/>
                <w:b/>
                <w:bCs/>
                <w:sz w:val="21"/>
                <w:szCs w:val="21"/>
              </w:rPr>
            </w:pPr>
            <w:r w:rsidRPr="003222E1">
              <w:rPr>
                <w:rFonts w:ascii="Abadi" w:hAnsi="Abadi"/>
                <w:b/>
                <w:bCs/>
                <w:sz w:val="21"/>
                <w:szCs w:val="21"/>
              </w:rPr>
              <w:t>3.02</w:t>
            </w:r>
          </w:p>
          <w:p w14:paraId="09C8B1E7" w14:textId="77777777" w:rsidR="003222E1" w:rsidRPr="003222E1" w:rsidRDefault="003222E1">
            <w:pPr>
              <w:autoSpaceDE w:val="0"/>
              <w:autoSpaceDN w:val="0"/>
              <w:adjustRightInd w:val="0"/>
              <w:jc w:val="both"/>
              <w:rPr>
                <w:rFonts w:ascii="Abadi" w:hAnsi="Abadi"/>
                <w:sz w:val="21"/>
                <w:szCs w:val="21"/>
              </w:rPr>
            </w:pPr>
          </w:p>
          <w:p w14:paraId="3BD03DEE" w14:textId="517ED546" w:rsidR="000C11B2" w:rsidRPr="00883178" w:rsidRDefault="003222E1">
            <w:pPr>
              <w:autoSpaceDE w:val="0"/>
              <w:autoSpaceDN w:val="0"/>
              <w:adjustRightInd w:val="0"/>
              <w:jc w:val="both"/>
              <w:rPr>
                <w:rFonts w:ascii="Abadi" w:hAnsi="Abadi"/>
                <w:sz w:val="21"/>
                <w:szCs w:val="21"/>
              </w:rPr>
            </w:pPr>
            <w:r w:rsidRPr="003222E1">
              <w:rPr>
                <w:rFonts w:ascii="Abadi" w:hAnsi="Abadi"/>
                <w:sz w:val="21"/>
                <w:szCs w:val="21"/>
              </w:rPr>
              <w:t>El secretario del ayuntamiento de Santiago Maravatío, Gto., remite respuesta a la consulta de la iniciativa por la que se reforma el último párrafo y se adiciona la fracción XI recorriéndose las subsecuentes al artículo 124 y se adiciona el inciso o a la fracción V del artículo 76, de la Ley Orgánica Municipal para el Estado de Guanajuato.</w:t>
            </w:r>
          </w:p>
        </w:tc>
        <w:tc>
          <w:tcPr>
            <w:tcW w:w="2494" w:type="dxa"/>
          </w:tcPr>
          <w:p w14:paraId="04FB0E57" w14:textId="77777777" w:rsidR="003222E1" w:rsidRPr="003222E1" w:rsidRDefault="003222E1" w:rsidP="008D35BA">
            <w:pPr>
              <w:autoSpaceDE w:val="0"/>
              <w:autoSpaceDN w:val="0"/>
              <w:adjustRightInd w:val="0"/>
              <w:jc w:val="both"/>
              <w:rPr>
                <w:rFonts w:ascii="Abadi" w:hAnsi="Abadi"/>
                <w:b/>
                <w:bCs/>
                <w:sz w:val="21"/>
                <w:szCs w:val="21"/>
              </w:rPr>
            </w:pPr>
          </w:p>
          <w:p w14:paraId="7905A8A5" w14:textId="77777777" w:rsidR="003222E1" w:rsidRPr="003222E1" w:rsidRDefault="003222E1" w:rsidP="008D35BA">
            <w:pPr>
              <w:autoSpaceDE w:val="0"/>
              <w:autoSpaceDN w:val="0"/>
              <w:adjustRightInd w:val="0"/>
              <w:jc w:val="both"/>
              <w:rPr>
                <w:rFonts w:ascii="Abadi" w:hAnsi="Abadi"/>
                <w:b/>
                <w:bCs/>
                <w:sz w:val="21"/>
                <w:szCs w:val="21"/>
              </w:rPr>
            </w:pPr>
          </w:p>
          <w:p w14:paraId="3EE4A68F" w14:textId="2E61CD17" w:rsidR="000C11B2" w:rsidRPr="003222E1" w:rsidRDefault="003222E1" w:rsidP="008D35BA">
            <w:pPr>
              <w:autoSpaceDE w:val="0"/>
              <w:autoSpaceDN w:val="0"/>
              <w:adjustRightInd w:val="0"/>
              <w:jc w:val="both"/>
              <w:rPr>
                <w:rFonts w:ascii="Abadi" w:hAnsi="Abadi"/>
                <w:b/>
                <w:bCs/>
                <w:sz w:val="21"/>
                <w:szCs w:val="21"/>
              </w:rPr>
            </w:pPr>
            <w:r w:rsidRPr="003222E1">
              <w:rPr>
                <w:rFonts w:ascii="Abadi" w:hAnsi="Abadi"/>
                <w:b/>
                <w:bCs/>
                <w:sz w:val="21"/>
                <w:szCs w:val="21"/>
              </w:rPr>
              <w:t>Enterados y se informa que se turnó a la Comisión de Asuntos Municipales.</w:t>
            </w:r>
          </w:p>
        </w:tc>
      </w:tr>
      <w:tr w:rsidR="000C11B2" w:rsidRPr="00883178" w14:paraId="2E540E5A" w14:textId="77777777">
        <w:tc>
          <w:tcPr>
            <w:tcW w:w="1886" w:type="dxa"/>
          </w:tcPr>
          <w:p w14:paraId="4222BE83" w14:textId="70068108" w:rsidR="003222E1" w:rsidRPr="003222E1" w:rsidRDefault="003222E1">
            <w:pPr>
              <w:autoSpaceDE w:val="0"/>
              <w:autoSpaceDN w:val="0"/>
              <w:adjustRightInd w:val="0"/>
              <w:jc w:val="both"/>
              <w:rPr>
                <w:rFonts w:ascii="Abadi" w:hAnsi="Abadi"/>
                <w:b/>
                <w:bCs/>
                <w:sz w:val="21"/>
                <w:szCs w:val="21"/>
              </w:rPr>
            </w:pPr>
            <w:r w:rsidRPr="003222E1">
              <w:rPr>
                <w:rFonts w:ascii="Abadi" w:hAnsi="Abadi"/>
                <w:b/>
                <w:bCs/>
                <w:sz w:val="21"/>
                <w:szCs w:val="21"/>
              </w:rPr>
              <w:t>3.03</w:t>
            </w:r>
          </w:p>
          <w:p w14:paraId="4491095D" w14:textId="77777777" w:rsidR="003222E1" w:rsidRPr="003222E1" w:rsidRDefault="003222E1">
            <w:pPr>
              <w:autoSpaceDE w:val="0"/>
              <w:autoSpaceDN w:val="0"/>
              <w:adjustRightInd w:val="0"/>
              <w:jc w:val="both"/>
              <w:rPr>
                <w:rFonts w:ascii="Abadi" w:hAnsi="Abadi"/>
                <w:sz w:val="21"/>
                <w:szCs w:val="21"/>
              </w:rPr>
            </w:pPr>
          </w:p>
          <w:p w14:paraId="14043D2D" w14:textId="33AE55EA" w:rsidR="000C11B2" w:rsidRPr="00883178" w:rsidRDefault="003222E1">
            <w:pPr>
              <w:autoSpaceDE w:val="0"/>
              <w:autoSpaceDN w:val="0"/>
              <w:adjustRightInd w:val="0"/>
              <w:jc w:val="both"/>
              <w:rPr>
                <w:rFonts w:ascii="Abadi" w:hAnsi="Abadi"/>
                <w:sz w:val="21"/>
                <w:szCs w:val="21"/>
              </w:rPr>
            </w:pPr>
            <w:r w:rsidRPr="003222E1">
              <w:rPr>
                <w:rFonts w:ascii="Abadi" w:hAnsi="Abadi"/>
                <w:sz w:val="21"/>
                <w:szCs w:val="21"/>
              </w:rPr>
              <w:t>El secretario del ayuntamiento de Santiago Maravatío, Gto., remite respuesta a la consulta de la iniciativa a efecto de derogar el cuarto párrafo del artículo 5 de la Ley Orgánica Municipal para el Estado de Guanajuato.</w:t>
            </w:r>
          </w:p>
        </w:tc>
        <w:tc>
          <w:tcPr>
            <w:tcW w:w="2494" w:type="dxa"/>
          </w:tcPr>
          <w:p w14:paraId="10C48493" w14:textId="77777777" w:rsidR="003222E1" w:rsidRPr="003222E1" w:rsidRDefault="003222E1" w:rsidP="008D35BA">
            <w:pPr>
              <w:autoSpaceDE w:val="0"/>
              <w:autoSpaceDN w:val="0"/>
              <w:adjustRightInd w:val="0"/>
              <w:jc w:val="both"/>
              <w:rPr>
                <w:rFonts w:ascii="Abadi" w:hAnsi="Abadi"/>
                <w:sz w:val="21"/>
                <w:szCs w:val="21"/>
              </w:rPr>
            </w:pPr>
          </w:p>
          <w:p w14:paraId="587E528D" w14:textId="77777777" w:rsidR="003222E1" w:rsidRPr="003222E1" w:rsidRDefault="003222E1" w:rsidP="008D35BA">
            <w:pPr>
              <w:autoSpaceDE w:val="0"/>
              <w:autoSpaceDN w:val="0"/>
              <w:adjustRightInd w:val="0"/>
              <w:jc w:val="both"/>
              <w:rPr>
                <w:rFonts w:ascii="Abadi" w:hAnsi="Abadi"/>
                <w:sz w:val="21"/>
                <w:szCs w:val="21"/>
              </w:rPr>
            </w:pPr>
          </w:p>
          <w:p w14:paraId="01AB93DC" w14:textId="5E1EA3CA" w:rsidR="000C11B2" w:rsidRPr="003222E1" w:rsidRDefault="003222E1" w:rsidP="008D35BA">
            <w:pPr>
              <w:autoSpaceDE w:val="0"/>
              <w:autoSpaceDN w:val="0"/>
              <w:adjustRightInd w:val="0"/>
              <w:jc w:val="both"/>
              <w:rPr>
                <w:rFonts w:ascii="Abadi" w:hAnsi="Abadi"/>
                <w:b/>
                <w:bCs/>
                <w:sz w:val="21"/>
                <w:szCs w:val="21"/>
              </w:rPr>
            </w:pPr>
            <w:r w:rsidRPr="003222E1">
              <w:rPr>
                <w:rFonts w:ascii="Abadi" w:hAnsi="Abadi"/>
                <w:b/>
                <w:bCs/>
                <w:sz w:val="21"/>
                <w:szCs w:val="21"/>
              </w:rPr>
              <w:t>Enterados y se informa que se turnó a la Comisión de Asuntos Municipales.</w:t>
            </w:r>
          </w:p>
        </w:tc>
      </w:tr>
      <w:tr w:rsidR="000C11B2" w:rsidRPr="003222E1" w14:paraId="2F9CD4F1" w14:textId="77777777">
        <w:tc>
          <w:tcPr>
            <w:tcW w:w="1886" w:type="dxa"/>
          </w:tcPr>
          <w:p w14:paraId="12B7DE65" w14:textId="6D0CD153" w:rsidR="003222E1" w:rsidRPr="00310064" w:rsidRDefault="003222E1">
            <w:pPr>
              <w:autoSpaceDE w:val="0"/>
              <w:autoSpaceDN w:val="0"/>
              <w:adjustRightInd w:val="0"/>
              <w:jc w:val="both"/>
              <w:rPr>
                <w:rFonts w:ascii="Abadi" w:hAnsi="Abadi"/>
                <w:b/>
                <w:bCs/>
                <w:sz w:val="21"/>
                <w:szCs w:val="21"/>
              </w:rPr>
            </w:pPr>
            <w:r w:rsidRPr="00310064">
              <w:rPr>
                <w:rFonts w:ascii="Abadi" w:hAnsi="Abadi"/>
                <w:b/>
                <w:bCs/>
                <w:sz w:val="21"/>
                <w:szCs w:val="21"/>
              </w:rPr>
              <w:lastRenderedPageBreak/>
              <w:t>3.04</w:t>
            </w:r>
          </w:p>
          <w:p w14:paraId="2AE0BC28" w14:textId="77777777" w:rsidR="003222E1" w:rsidRPr="00310064" w:rsidRDefault="003222E1">
            <w:pPr>
              <w:autoSpaceDE w:val="0"/>
              <w:autoSpaceDN w:val="0"/>
              <w:adjustRightInd w:val="0"/>
              <w:jc w:val="both"/>
              <w:rPr>
                <w:rFonts w:ascii="Abadi" w:hAnsi="Abadi"/>
                <w:sz w:val="21"/>
                <w:szCs w:val="21"/>
              </w:rPr>
            </w:pPr>
          </w:p>
          <w:p w14:paraId="69B76BB6" w14:textId="32DB8742" w:rsidR="000C11B2" w:rsidRPr="00310064" w:rsidRDefault="003222E1">
            <w:pPr>
              <w:autoSpaceDE w:val="0"/>
              <w:autoSpaceDN w:val="0"/>
              <w:adjustRightInd w:val="0"/>
              <w:jc w:val="both"/>
              <w:rPr>
                <w:rFonts w:ascii="Abadi" w:hAnsi="Abadi"/>
                <w:sz w:val="21"/>
                <w:szCs w:val="21"/>
              </w:rPr>
            </w:pPr>
            <w:r w:rsidRPr="00310064">
              <w:rPr>
                <w:rFonts w:ascii="Abadi" w:hAnsi="Abadi"/>
                <w:sz w:val="21"/>
                <w:szCs w:val="21"/>
              </w:rPr>
              <w:t>El secretario del ayuntamiento de Santiago Maravatío, Gto., remite respuesta a la consulta de la iniciativa por la que se reforma el artículo 82-1 y adiciona un párrafo al artículo 69 de la Ley Orgánica Municipal para el Estado de Guanajuato.</w:t>
            </w:r>
          </w:p>
        </w:tc>
        <w:tc>
          <w:tcPr>
            <w:tcW w:w="2494" w:type="dxa"/>
          </w:tcPr>
          <w:p w14:paraId="38342133" w14:textId="77777777" w:rsidR="003222E1" w:rsidRPr="00310064" w:rsidRDefault="003222E1" w:rsidP="008D35BA">
            <w:pPr>
              <w:autoSpaceDE w:val="0"/>
              <w:autoSpaceDN w:val="0"/>
              <w:adjustRightInd w:val="0"/>
              <w:jc w:val="both"/>
              <w:rPr>
                <w:rFonts w:ascii="Abadi" w:hAnsi="Abadi"/>
                <w:b/>
                <w:bCs/>
                <w:sz w:val="21"/>
                <w:szCs w:val="21"/>
              </w:rPr>
            </w:pPr>
          </w:p>
          <w:p w14:paraId="38F8D1E8" w14:textId="77777777" w:rsidR="003222E1" w:rsidRPr="00310064" w:rsidRDefault="003222E1" w:rsidP="008D35BA">
            <w:pPr>
              <w:autoSpaceDE w:val="0"/>
              <w:autoSpaceDN w:val="0"/>
              <w:adjustRightInd w:val="0"/>
              <w:jc w:val="both"/>
              <w:rPr>
                <w:rFonts w:ascii="Abadi" w:hAnsi="Abadi"/>
                <w:b/>
                <w:bCs/>
                <w:sz w:val="21"/>
                <w:szCs w:val="21"/>
              </w:rPr>
            </w:pPr>
          </w:p>
          <w:p w14:paraId="3CAC0DDE" w14:textId="42EA7E37" w:rsidR="000C11B2" w:rsidRPr="00310064" w:rsidRDefault="003222E1" w:rsidP="008D35BA">
            <w:pPr>
              <w:autoSpaceDE w:val="0"/>
              <w:autoSpaceDN w:val="0"/>
              <w:adjustRightInd w:val="0"/>
              <w:jc w:val="both"/>
              <w:rPr>
                <w:rFonts w:ascii="Abadi" w:hAnsi="Abadi"/>
                <w:b/>
                <w:bCs/>
                <w:sz w:val="21"/>
                <w:szCs w:val="21"/>
              </w:rPr>
            </w:pPr>
            <w:r w:rsidRPr="00310064">
              <w:rPr>
                <w:rFonts w:ascii="Abadi" w:hAnsi="Abadi"/>
                <w:b/>
                <w:bCs/>
                <w:sz w:val="21"/>
                <w:szCs w:val="21"/>
              </w:rPr>
              <w:t>Enterados y se informa que se turnó a la Comisión de Asuntos Municipales.</w:t>
            </w:r>
          </w:p>
        </w:tc>
      </w:tr>
      <w:tr w:rsidR="003222E1" w:rsidRPr="00883178" w14:paraId="4D52D445" w14:textId="77777777">
        <w:tc>
          <w:tcPr>
            <w:tcW w:w="1886" w:type="dxa"/>
          </w:tcPr>
          <w:p w14:paraId="1AC03B9A" w14:textId="01CDB48D" w:rsidR="00310064" w:rsidRPr="00310064" w:rsidRDefault="00310064">
            <w:pPr>
              <w:autoSpaceDE w:val="0"/>
              <w:autoSpaceDN w:val="0"/>
              <w:adjustRightInd w:val="0"/>
              <w:jc w:val="both"/>
              <w:rPr>
                <w:rFonts w:ascii="Abadi" w:hAnsi="Abadi"/>
                <w:b/>
                <w:bCs/>
                <w:sz w:val="21"/>
                <w:szCs w:val="21"/>
              </w:rPr>
            </w:pPr>
            <w:r w:rsidRPr="00310064">
              <w:rPr>
                <w:rFonts w:ascii="Abadi" w:hAnsi="Abadi"/>
                <w:b/>
                <w:bCs/>
                <w:sz w:val="21"/>
                <w:szCs w:val="21"/>
              </w:rPr>
              <w:t>3.05</w:t>
            </w:r>
          </w:p>
          <w:p w14:paraId="3C063229" w14:textId="77777777" w:rsidR="00310064" w:rsidRPr="00310064" w:rsidRDefault="00310064">
            <w:pPr>
              <w:autoSpaceDE w:val="0"/>
              <w:autoSpaceDN w:val="0"/>
              <w:adjustRightInd w:val="0"/>
              <w:jc w:val="both"/>
              <w:rPr>
                <w:rFonts w:ascii="Abadi" w:hAnsi="Abadi"/>
                <w:sz w:val="21"/>
                <w:szCs w:val="21"/>
              </w:rPr>
            </w:pPr>
          </w:p>
          <w:p w14:paraId="35098F03" w14:textId="5BBB5058" w:rsidR="003222E1" w:rsidRPr="00310064" w:rsidRDefault="00310064">
            <w:pPr>
              <w:autoSpaceDE w:val="0"/>
              <w:autoSpaceDN w:val="0"/>
              <w:adjustRightInd w:val="0"/>
              <w:jc w:val="both"/>
              <w:rPr>
                <w:rFonts w:ascii="Abadi" w:hAnsi="Abadi"/>
                <w:sz w:val="21"/>
                <w:szCs w:val="21"/>
              </w:rPr>
            </w:pPr>
            <w:r w:rsidRPr="00310064">
              <w:rPr>
                <w:rFonts w:ascii="Abadi" w:hAnsi="Abadi"/>
                <w:sz w:val="21"/>
                <w:szCs w:val="21"/>
              </w:rPr>
              <w:t xml:space="preserve">El secretario del ayuntamiento de Santiago Maravatío, Gto., remite respuesta a la consulta de la iniciativa a efecto de reformar el artículo 30 de la Constitución Política para el Estado de Guanajuato; y adicionar una fracción VI al artículo 11, recorriéndose la subsecuente, dos párrafos al artículo 15 y una fracción </w:t>
            </w:r>
            <w:r w:rsidRPr="00310064">
              <w:rPr>
                <w:rFonts w:ascii="Abadi" w:hAnsi="Abadi"/>
                <w:sz w:val="21"/>
                <w:szCs w:val="21"/>
              </w:rPr>
              <w:t>V al artículo 18 de la Ley Orgánica Municipal para el Estado de Guanajuato, en la parte correspondiente al segundo ordenamiento.</w:t>
            </w:r>
          </w:p>
        </w:tc>
        <w:tc>
          <w:tcPr>
            <w:tcW w:w="2494" w:type="dxa"/>
          </w:tcPr>
          <w:p w14:paraId="08902D12" w14:textId="77777777" w:rsidR="00310064" w:rsidRPr="00310064" w:rsidRDefault="00310064" w:rsidP="008D35BA">
            <w:pPr>
              <w:autoSpaceDE w:val="0"/>
              <w:autoSpaceDN w:val="0"/>
              <w:adjustRightInd w:val="0"/>
              <w:jc w:val="both"/>
              <w:rPr>
                <w:rFonts w:ascii="Abadi" w:hAnsi="Abadi"/>
                <w:sz w:val="21"/>
                <w:szCs w:val="21"/>
              </w:rPr>
            </w:pPr>
          </w:p>
          <w:p w14:paraId="73F6E7FD" w14:textId="77777777" w:rsidR="00310064" w:rsidRPr="00310064" w:rsidRDefault="00310064" w:rsidP="008D35BA">
            <w:pPr>
              <w:autoSpaceDE w:val="0"/>
              <w:autoSpaceDN w:val="0"/>
              <w:adjustRightInd w:val="0"/>
              <w:jc w:val="both"/>
              <w:rPr>
                <w:rFonts w:ascii="Abadi" w:hAnsi="Abadi"/>
                <w:sz w:val="21"/>
                <w:szCs w:val="21"/>
              </w:rPr>
            </w:pPr>
          </w:p>
          <w:p w14:paraId="4AC04639" w14:textId="1E1DB008" w:rsidR="003222E1" w:rsidRPr="00310064" w:rsidRDefault="00310064" w:rsidP="008D35BA">
            <w:pPr>
              <w:autoSpaceDE w:val="0"/>
              <w:autoSpaceDN w:val="0"/>
              <w:adjustRightInd w:val="0"/>
              <w:jc w:val="both"/>
              <w:rPr>
                <w:rFonts w:ascii="Abadi" w:hAnsi="Abadi"/>
                <w:b/>
                <w:bCs/>
                <w:sz w:val="21"/>
                <w:szCs w:val="21"/>
              </w:rPr>
            </w:pPr>
            <w:r w:rsidRPr="00310064">
              <w:rPr>
                <w:rFonts w:ascii="Abadi" w:hAnsi="Abadi"/>
                <w:b/>
                <w:bCs/>
                <w:sz w:val="21"/>
                <w:szCs w:val="21"/>
              </w:rPr>
              <w:t>Enterados y se informa que se turnó a la Comisión de Asuntos Municipales.</w:t>
            </w:r>
          </w:p>
        </w:tc>
      </w:tr>
      <w:tr w:rsidR="003222E1" w:rsidRPr="00883178" w14:paraId="7287ECFF" w14:textId="77777777">
        <w:tc>
          <w:tcPr>
            <w:tcW w:w="1886" w:type="dxa"/>
          </w:tcPr>
          <w:p w14:paraId="318947CF" w14:textId="7FA288BA" w:rsidR="00310064" w:rsidRPr="00310064" w:rsidRDefault="00310064">
            <w:pPr>
              <w:autoSpaceDE w:val="0"/>
              <w:autoSpaceDN w:val="0"/>
              <w:adjustRightInd w:val="0"/>
              <w:jc w:val="both"/>
              <w:rPr>
                <w:rFonts w:ascii="Abadi" w:hAnsi="Abadi"/>
                <w:b/>
                <w:bCs/>
                <w:sz w:val="21"/>
                <w:szCs w:val="21"/>
              </w:rPr>
            </w:pPr>
            <w:r w:rsidRPr="00310064">
              <w:rPr>
                <w:rFonts w:ascii="Abadi" w:hAnsi="Abadi"/>
                <w:b/>
                <w:bCs/>
                <w:sz w:val="21"/>
                <w:szCs w:val="21"/>
              </w:rPr>
              <w:t>3.06</w:t>
            </w:r>
          </w:p>
          <w:p w14:paraId="19644FDE" w14:textId="77777777" w:rsidR="00310064" w:rsidRPr="00310064" w:rsidRDefault="00310064">
            <w:pPr>
              <w:autoSpaceDE w:val="0"/>
              <w:autoSpaceDN w:val="0"/>
              <w:adjustRightInd w:val="0"/>
              <w:jc w:val="both"/>
              <w:rPr>
                <w:rFonts w:ascii="Abadi" w:hAnsi="Abadi"/>
                <w:sz w:val="21"/>
                <w:szCs w:val="21"/>
              </w:rPr>
            </w:pPr>
          </w:p>
          <w:p w14:paraId="7DA6338E" w14:textId="7C17A105" w:rsidR="003222E1" w:rsidRPr="00883178" w:rsidRDefault="00310064">
            <w:pPr>
              <w:autoSpaceDE w:val="0"/>
              <w:autoSpaceDN w:val="0"/>
              <w:adjustRightInd w:val="0"/>
              <w:jc w:val="both"/>
              <w:rPr>
                <w:rFonts w:ascii="Abadi" w:hAnsi="Abadi"/>
                <w:sz w:val="21"/>
                <w:szCs w:val="21"/>
              </w:rPr>
            </w:pPr>
            <w:r w:rsidRPr="00310064">
              <w:rPr>
                <w:rFonts w:ascii="Abadi" w:hAnsi="Abadi"/>
                <w:sz w:val="21"/>
                <w:szCs w:val="21"/>
              </w:rPr>
              <w:t>El presidente municipal y el secretario del ayuntamiento de San Felipe, Gto., remiten la segunda modificación al pronóstico de ingresos y presupuesto de egresos para el ejercicio fiscal 2022.</w:t>
            </w:r>
          </w:p>
        </w:tc>
        <w:tc>
          <w:tcPr>
            <w:tcW w:w="2494" w:type="dxa"/>
          </w:tcPr>
          <w:p w14:paraId="3EFFA166" w14:textId="77777777" w:rsidR="00310064" w:rsidRPr="00310064" w:rsidRDefault="00310064" w:rsidP="008D35BA">
            <w:pPr>
              <w:autoSpaceDE w:val="0"/>
              <w:autoSpaceDN w:val="0"/>
              <w:adjustRightInd w:val="0"/>
              <w:jc w:val="both"/>
              <w:rPr>
                <w:rFonts w:ascii="Abadi" w:hAnsi="Abadi"/>
                <w:sz w:val="21"/>
                <w:szCs w:val="21"/>
              </w:rPr>
            </w:pPr>
          </w:p>
          <w:p w14:paraId="6EFABD66" w14:textId="77777777" w:rsidR="00310064" w:rsidRPr="00310064" w:rsidRDefault="00310064" w:rsidP="008D35BA">
            <w:pPr>
              <w:autoSpaceDE w:val="0"/>
              <w:autoSpaceDN w:val="0"/>
              <w:adjustRightInd w:val="0"/>
              <w:jc w:val="both"/>
              <w:rPr>
                <w:rFonts w:ascii="Abadi" w:hAnsi="Abadi"/>
                <w:sz w:val="21"/>
                <w:szCs w:val="21"/>
              </w:rPr>
            </w:pPr>
          </w:p>
          <w:p w14:paraId="6C14BC47" w14:textId="6FDF9241" w:rsidR="003222E1" w:rsidRPr="00310064" w:rsidRDefault="00310064" w:rsidP="008D35BA">
            <w:pPr>
              <w:autoSpaceDE w:val="0"/>
              <w:autoSpaceDN w:val="0"/>
              <w:adjustRightInd w:val="0"/>
              <w:jc w:val="both"/>
              <w:rPr>
                <w:rFonts w:ascii="Abadi" w:hAnsi="Abadi"/>
                <w:sz w:val="21"/>
                <w:szCs w:val="21"/>
              </w:rPr>
            </w:pPr>
            <w:r w:rsidRPr="00310064">
              <w:rPr>
                <w:rFonts w:ascii="Abadi" w:hAnsi="Abadi"/>
                <w:b/>
                <w:bCs/>
                <w:sz w:val="21"/>
                <w:szCs w:val="21"/>
              </w:rPr>
              <w:t>Enterados y se remite a la Auditoría Superior del Estado de Guanajuato.</w:t>
            </w:r>
          </w:p>
        </w:tc>
      </w:tr>
      <w:tr w:rsidR="003222E1" w:rsidRPr="00310064" w14:paraId="51BEDB35" w14:textId="77777777">
        <w:tc>
          <w:tcPr>
            <w:tcW w:w="1886" w:type="dxa"/>
          </w:tcPr>
          <w:p w14:paraId="5C8292EE" w14:textId="0F28F048" w:rsidR="00310064" w:rsidRPr="00310064" w:rsidRDefault="00310064">
            <w:pPr>
              <w:autoSpaceDE w:val="0"/>
              <w:autoSpaceDN w:val="0"/>
              <w:adjustRightInd w:val="0"/>
              <w:jc w:val="both"/>
              <w:rPr>
                <w:rFonts w:ascii="Abadi" w:hAnsi="Abadi"/>
                <w:b/>
                <w:bCs/>
                <w:sz w:val="21"/>
                <w:szCs w:val="21"/>
              </w:rPr>
            </w:pPr>
            <w:r w:rsidRPr="00310064">
              <w:rPr>
                <w:rFonts w:ascii="Abadi" w:hAnsi="Abadi"/>
                <w:b/>
                <w:bCs/>
                <w:sz w:val="21"/>
                <w:szCs w:val="21"/>
              </w:rPr>
              <w:t>3.07</w:t>
            </w:r>
          </w:p>
          <w:p w14:paraId="3096C2D7" w14:textId="77777777" w:rsidR="00310064" w:rsidRPr="00310064" w:rsidRDefault="00310064">
            <w:pPr>
              <w:autoSpaceDE w:val="0"/>
              <w:autoSpaceDN w:val="0"/>
              <w:adjustRightInd w:val="0"/>
              <w:jc w:val="both"/>
              <w:rPr>
                <w:rFonts w:ascii="Abadi" w:hAnsi="Abadi"/>
                <w:sz w:val="21"/>
                <w:szCs w:val="21"/>
              </w:rPr>
            </w:pPr>
          </w:p>
          <w:p w14:paraId="73DDE53A" w14:textId="1EFC9F93" w:rsidR="003222E1" w:rsidRPr="00883178" w:rsidRDefault="00310064">
            <w:pPr>
              <w:autoSpaceDE w:val="0"/>
              <w:autoSpaceDN w:val="0"/>
              <w:adjustRightInd w:val="0"/>
              <w:jc w:val="both"/>
              <w:rPr>
                <w:rFonts w:ascii="Abadi" w:hAnsi="Abadi"/>
                <w:sz w:val="21"/>
                <w:szCs w:val="21"/>
              </w:rPr>
            </w:pPr>
            <w:r w:rsidRPr="00310064">
              <w:rPr>
                <w:rFonts w:ascii="Abadi" w:hAnsi="Abadi"/>
                <w:sz w:val="21"/>
                <w:szCs w:val="21"/>
              </w:rPr>
              <w:t>El presidente municipal y el secretario del ayuntamiento de San Felipe, Gto., remiten la tercera modificación al pronóstico de ingresos y presupuesto de egresos para el ejercicio fiscal 2022.</w:t>
            </w:r>
          </w:p>
        </w:tc>
        <w:tc>
          <w:tcPr>
            <w:tcW w:w="2494" w:type="dxa"/>
          </w:tcPr>
          <w:p w14:paraId="58088A20" w14:textId="77777777" w:rsidR="00310064" w:rsidRPr="00310064" w:rsidRDefault="00310064" w:rsidP="008D35BA">
            <w:pPr>
              <w:autoSpaceDE w:val="0"/>
              <w:autoSpaceDN w:val="0"/>
              <w:adjustRightInd w:val="0"/>
              <w:jc w:val="both"/>
              <w:rPr>
                <w:rFonts w:ascii="Abadi" w:hAnsi="Abadi"/>
                <w:b/>
                <w:bCs/>
                <w:sz w:val="21"/>
                <w:szCs w:val="21"/>
              </w:rPr>
            </w:pPr>
          </w:p>
          <w:p w14:paraId="74425361" w14:textId="77777777" w:rsidR="00310064" w:rsidRPr="00310064" w:rsidRDefault="00310064" w:rsidP="008D35BA">
            <w:pPr>
              <w:autoSpaceDE w:val="0"/>
              <w:autoSpaceDN w:val="0"/>
              <w:adjustRightInd w:val="0"/>
              <w:jc w:val="both"/>
              <w:rPr>
                <w:rFonts w:ascii="Abadi" w:hAnsi="Abadi"/>
                <w:b/>
                <w:bCs/>
                <w:sz w:val="21"/>
                <w:szCs w:val="21"/>
              </w:rPr>
            </w:pPr>
          </w:p>
          <w:p w14:paraId="22AFEA5E" w14:textId="5AA7D925" w:rsidR="003222E1" w:rsidRPr="00310064" w:rsidRDefault="00310064" w:rsidP="008D35BA">
            <w:pPr>
              <w:autoSpaceDE w:val="0"/>
              <w:autoSpaceDN w:val="0"/>
              <w:adjustRightInd w:val="0"/>
              <w:jc w:val="both"/>
              <w:rPr>
                <w:rFonts w:ascii="Abadi" w:hAnsi="Abadi"/>
                <w:b/>
                <w:bCs/>
                <w:sz w:val="21"/>
                <w:szCs w:val="21"/>
              </w:rPr>
            </w:pPr>
            <w:r w:rsidRPr="00310064">
              <w:rPr>
                <w:rFonts w:ascii="Abadi" w:hAnsi="Abadi"/>
                <w:b/>
                <w:bCs/>
                <w:sz w:val="21"/>
                <w:szCs w:val="21"/>
              </w:rPr>
              <w:t>Enterados y se remite a la Auditoría Superior del Estado de Guanajuato.</w:t>
            </w:r>
          </w:p>
        </w:tc>
      </w:tr>
      <w:tr w:rsidR="003222E1" w:rsidRPr="00883178" w14:paraId="00DD5FE8" w14:textId="77777777">
        <w:tc>
          <w:tcPr>
            <w:tcW w:w="1886" w:type="dxa"/>
          </w:tcPr>
          <w:p w14:paraId="783D4701" w14:textId="18D736D5" w:rsidR="00D01F97" w:rsidRPr="00D01F97" w:rsidRDefault="00D01F97">
            <w:pPr>
              <w:autoSpaceDE w:val="0"/>
              <w:autoSpaceDN w:val="0"/>
              <w:adjustRightInd w:val="0"/>
              <w:jc w:val="both"/>
              <w:rPr>
                <w:rFonts w:ascii="Abadi" w:hAnsi="Abadi"/>
                <w:b/>
                <w:bCs/>
                <w:sz w:val="21"/>
                <w:szCs w:val="21"/>
              </w:rPr>
            </w:pPr>
            <w:r w:rsidRPr="00D01F97">
              <w:rPr>
                <w:rFonts w:ascii="Abadi" w:hAnsi="Abadi"/>
                <w:b/>
                <w:bCs/>
                <w:sz w:val="21"/>
                <w:szCs w:val="21"/>
              </w:rPr>
              <w:t>3.08</w:t>
            </w:r>
          </w:p>
          <w:p w14:paraId="135F4E9E" w14:textId="77777777" w:rsidR="00D01F97" w:rsidRPr="00D01F97" w:rsidRDefault="00D01F97">
            <w:pPr>
              <w:autoSpaceDE w:val="0"/>
              <w:autoSpaceDN w:val="0"/>
              <w:adjustRightInd w:val="0"/>
              <w:jc w:val="both"/>
              <w:rPr>
                <w:rFonts w:ascii="Abadi" w:hAnsi="Abadi"/>
                <w:sz w:val="21"/>
                <w:szCs w:val="21"/>
              </w:rPr>
            </w:pPr>
          </w:p>
          <w:p w14:paraId="21EC6FE6" w14:textId="7AB1209E" w:rsidR="003222E1" w:rsidRPr="00883178" w:rsidRDefault="00D01F97">
            <w:pPr>
              <w:autoSpaceDE w:val="0"/>
              <w:autoSpaceDN w:val="0"/>
              <w:adjustRightInd w:val="0"/>
              <w:jc w:val="both"/>
              <w:rPr>
                <w:rFonts w:ascii="Abadi" w:hAnsi="Abadi"/>
                <w:sz w:val="21"/>
                <w:szCs w:val="21"/>
              </w:rPr>
            </w:pPr>
            <w:r w:rsidRPr="00D01F97">
              <w:rPr>
                <w:rFonts w:ascii="Abadi" w:hAnsi="Abadi"/>
                <w:sz w:val="21"/>
                <w:szCs w:val="21"/>
              </w:rPr>
              <w:t>El secretario del ayuntamiento de San Luis de la Paz, Gto., remite respuesta a la consulta de la iniciativa de Ley de Turismo para el Estado de Guanajuato.</w:t>
            </w:r>
          </w:p>
        </w:tc>
        <w:tc>
          <w:tcPr>
            <w:tcW w:w="2494" w:type="dxa"/>
          </w:tcPr>
          <w:p w14:paraId="5CFE0A1F" w14:textId="77777777" w:rsidR="00D01F97" w:rsidRDefault="00D01F97" w:rsidP="008D35BA">
            <w:pPr>
              <w:autoSpaceDE w:val="0"/>
              <w:autoSpaceDN w:val="0"/>
              <w:adjustRightInd w:val="0"/>
              <w:jc w:val="both"/>
              <w:rPr>
                <w:rFonts w:ascii="Abadi" w:hAnsi="Abadi"/>
                <w:sz w:val="21"/>
                <w:szCs w:val="21"/>
              </w:rPr>
            </w:pPr>
          </w:p>
          <w:p w14:paraId="211E0BEA" w14:textId="77777777" w:rsidR="00D01F97" w:rsidRDefault="00D01F97" w:rsidP="008D35BA">
            <w:pPr>
              <w:autoSpaceDE w:val="0"/>
              <w:autoSpaceDN w:val="0"/>
              <w:adjustRightInd w:val="0"/>
              <w:jc w:val="both"/>
              <w:rPr>
                <w:rFonts w:ascii="Abadi" w:hAnsi="Abadi"/>
                <w:b/>
                <w:bCs/>
                <w:sz w:val="21"/>
                <w:szCs w:val="21"/>
              </w:rPr>
            </w:pPr>
          </w:p>
          <w:p w14:paraId="068D96C3" w14:textId="4A57B094" w:rsidR="003222E1" w:rsidRPr="00D01F97" w:rsidRDefault="00D01F97" w:rsidP="008D35BA">
            <w:pPr>
              <w:autoSpaceDE w:val="0"/>
              <w:autoSpaceDN w:val="0"/>
              <w:adjustRightInd w:val="0"/>
              <w:jc w:val="both"/>
              <w:rPr>
                <w:rFonts w:ascii="Abadi" w:hAnsi="Abadi"/>
                <w:b/>
                <w:bCs/>
                <w:sz w:val="21"/>
                <w:szCs w:val="21"/>
              </w:rPr>
            </w:pPr>
            <w:r w:rsidRPr="00D01F97">
              <w:rPr>
                <w:rFonts w:ascii="Abadi" w:hAnsi="Abadi"/>
                <w:b/>
                <w:bCs/>
                <w:sz w:val="21"/>
                <w:szCs w:val="21"/>
              </w:rPr>
              <w:t>Enterados y se informa que se turnó a la Comisión de Turismo.</w:t>
            </w:r>
          </w:p>
        </w:tc>
      </w:tr>
      <w:tr w:rsidR="000218BD" w:rsidRPr="00883178" w14:paraId="69A78474" w14:textId="77777777">
        <w:tc>
          <w:tcPr>
            <w:tcW w:w="1886" w:type="dxa"/>
          </w:tcPr>
          <w:p w14:paraId="7EDF5C02" w14:textId="77777777" w:rsidR="000218BD" w:rsidRPr="00096322" w:rsidRDefault="00096322">
            <w:pPr>
              <w:autoSpaceDE w:val="0"/>
              <w:autoSpaceDN w:val="0"/>
              <w:adjustRightInd w:val="0"/>
              <w:jc w:val="both"/>
              <w:rPr>
                <w:rFonts w:ascii="Abadi" w:hAnsi="Abadi"/>
                <w:b/>
                <w:bCs/>
                <w:sz w:val="21"/>
                <w:szCs w:val="21"/>
              </w:rPr>
            </w:pPr>
            <w:r w:rsidRPr="00096322">
              <w:rPr>
                <w:rFonts w:ascii="Abadi" w:hAnsi="Abadi"/>
                <w:b/>
                <w:bCs/>
                <w:sz w:val="21"/>
                <w:szCs w:val="21"/>
              </w:rPr>
              <w:t>3.09</w:t>
            </w:r>
          </w:p>
          <w:p w14:paraId="0F92BFE8" w14:textId="77777777" w:rsidR="00096322" w:rsidRPr="00096322" w:rsidRDefault="00096322">
            <w:pPr>
              <w:autoSpaceDE w:val="0"/>
              <w:autoSpaceDN w:val="0"/>
              <w:adjustRightInd w:val="0"/>
              <w:jc w:val="both"/>
              <w:rPr>
                <w:rFonts w:ascii="Abadi" w:hAnsi="Abadi"/>
                <w:sz w:val="21"/>
                <w:szCs w:val="21"/>
              </w:rPr>
            </w:pPr>
          </w:p>
          <w:p w14:paraId="5112A5B3" w14:textId="17B93281" w:rsidR="00096322" w:rsidRPr="00096322" w:rsidRDefault="00096322">
            <w:pPr>
              <w:autoSpaceDE w:val="0"/>
              <w:autoSpaceDN w:val="0"/>
              <w:adjustRightInd w:val="0"/>
              <w:jc w:val="both"/>
              <w:rPr>
                <w:rFonts w:ascii="Abadi" w:hAnsi="Abadi"/>
                <w:sz w:val="21"/>
                <w:szCs w:val="21"/>
              </w:rPr>
            </w:pPr>
            <w:r w:rsidRPr="00096322">
              <w:rPr>
                <w:rFonts w:ascii="Abadi" w:hAnsi="Abadi"/>
                <w:sz w:val="21"/>
                <w:szCs w:val="21"/>
              </w:rPr>
              <w:lastRenderedPageBreak/>
              <w:t>La regidora del ayuntamiento de Guanajuato, Gto., comunica el incumplimiento al procedimiento previsto por el artículo 20 de la Ley para el Ejercicio y Control de los Recursos Públicos para el Estado y los Municipios de Guanajuato.</w:t>
            </w:r>
          </w:p>
        </w:tc>
        <w:tc>
          <w:tcPr>
            <w:tcW w:w="2494" w:type="dxa"/>
          </w:tcPr>
          <w:p w14:paraId="7FDF03E6" w14:textId="77777777" w:rsidR="00096322" w:rsidRPr="00096322" w:rsidRDefault="00096322">
            <w:pPr>
              <w:autoSpaceDE w:val="0"/>
              <w:autoSpaceDN w:val="0"/>
              <w:adjustRightInd w:val="0"/>
              <w:rPr>
                <w:rFonts w:ascii="Abadi" w:hAnsi="Abadi"/>
                <w:sz w:val="21"/>
                <w:szCs w:val="21"/>
              </w:rPr>
            </w:pPr>
          </w:p>
          <w:p w14:paraId="4E9F0304" w14:textId="77777777" w:rsidR="00096322" w:rsidRPr="00096322" w:rsidRDefault="00096322">
            <w:pPr>
              <w:autoSpaceDE w:val="0"/>
              <w:autoSpaceDN w:val="0"/>
              <w:adjustRightInd w:val="0"/>
              <w:rPr>
                <w:rFonts w:ascii="Abadi" w:hAnsi="Abadi"/>
                <w:sz w:val="21"/>
                <w:szCs w:val="21"/>
              </w:rPr>
            </w:pPr>
          </w:p>
          <w:p w14:paraId="6185EB7A" w14:textId="29A589AA" w:rsidR="000218BD" w:rsidRPr="00096322" w:rsidRDefault="00096322">
            <w:pPr>
              <w:autoSpaceDE w:val="0"/>
              <w:autoSpaceDN w:val="0"/>
              <w:adjustRightInd w:val="0"/>
              <w:rPr>
                <w:rFonts w:ascii="Abadi" w:hAnsi="Abadi"/>
                <w:b/>
                <w:bCs/>
                <w:sz w:val="21"/>
                <w:szCs w:val="21"/>
              </w:rPr>
            </w:pPr>
            <w:r w:rsidRPr="00096322">
              <w:rPr>
                <w:rFonts w:ascii="Abadi" w:hAnsi="Abadi"/>
                <w:b/>
                <w:bCs/>
                <w:sz w:val="21"/>
                <w:szCs w:val="21"/>
              </w:rPr>
              <w:t>Enterados.</w:t>
            </w:r>
          </w:p>
        </w:tc>
      </w:tr>
      <w:tr w:rsidR="000218BD" w:rsidRPr="00883178" w14:paraId="68D9BB54" w14:textId="77777777">
        <w:tc>
          <w:tcPr>
            <w:tcW w:w="1886" w:type="dxa"/>
          </w:tcPr>
          <w:p w14:paraId="6BCB6B52" w14:textId="3F457A33" w:rsidR="00392521" w:rsidRPr="00392521" w:rsidRDefault="00392521">
            <w:pPr>
              <w:autoSpaceDE w:val="0"/>
              <w:autoSpaceDN w:val="0"/>
              <w:adjustRightInd w:val="0"/>
              <w:jc w:val="both"/>
              <w:rPr>
                <w:rFonts w:ascii="Abadi" w:hAnsi="Abadi"/>
                <w:b/>
                <w:bCs/>
                <w:sz w:val="21"/>
                <w:szCs w:val="21"/>
              </w:rPr>
            </w:pPr>
            <w:r w:rsidRPr="00392521">
              <w:rPr>
                <w:rFonts w:ascii="Abadi" w:hAnsi="Abadi"/>
                <w:b/>
                <w:bCs/>
                <w:sz w:val="21"/>
                <w:szCs w:val="21"/>
              </w:rPr>
              <w:t>3.1</w:t>
            </w:r>
          </w:p>
          <w:p w14:paraId="676DD011" w14:textId="77777777" w:rsidR="00392521" w:rsidRPr="00392521" w:rsidRDefault="00392521">
            <w:pPr>
              <w:autoSpaceDE w:val="0"/>
              <w:autoSpaceDN w:val="0"/>
              <w:adjustRightInd w:val="0"/>
              <w:jc w:val="both"/>
              <w:rPr>
                <w:rFonts w:ascii="Abadi" w:hAnsi="Abadi"/>
                <w:sz w:val="21"/>
                <w:szCs w:val="21"/>
              </w:rPr>
            </w:pPr>
          </w:p>
          <w:p w14:paraId="63729F97" w14:textId="69E0AFF6" w:rsidR="000218BD" w:rsidRPr="00883178" w:rsidRDefault="00392521">
            <w:pPr>
              <w:autoSpaceDE w:val="0"/>
              <w:autoSpaceDN w:val="0"/>
              <w:adjustRightInd w:val="0"/>
              <w:jc w:val="both"/>
              <w:rPr>
                <w:rFonts w:ascii="Abadi" w:hAnsi="Abadi"/>
                <w:sz w:val="21"/>
                <w:szCs w:val="21"/>
              </w:rPr>
            </w:pPr>
            <w:r w:rsidRPr="00392521">
              <w:rPr>
                <w:rFonts w:ascii="Abadi" w:hAnsi="Abadi"/>
                <w:sz w:val="21"/>
                <w:szCs w:val="21"/>
              </w:rPr>
              <w:t>La presidenta municipal de Irapuato, Gto., remite respuesta al acuerdo aprobado por esta Legislatura en el que se exhorta para que cumplan con la implementación de la Gaceta Municipal y con la actualización de sus páginas de internet.</w:t>
            </w:r>
          </w:p>
        </w:tc>
        <w:tc>
          <w:tcPr>
            <w:tcW w:w="2494" w:type="dxa"/>
          </w:tcPr>
          <w:p w14:paraId="30EAE51E" w14:textId="77777777" w:rsidR="00392521" w:rsidRPr="00392521" w:rsidRDefault="00392521">
            <w:pPr>
              <w:autoSpaceDE w:val="0"/>
              <w:autoSpaceDN w:val="0"/>
              <w:adjustRightInd w:val="0"/>
              <w:jc w:val="both"/>
              <w:rPr>
                <w:rFonts w:ascii="Abadi" w:hAnsi="Abadi"/>
                <w:sz w:val="21"/>
                <w:szCs w:val="21"/>
              </w:rPr>
            </w:pPr>
          </w:p>
          <w:p w14:paraId="46A3E96A" w14:textId="77777777" w:rsidR="00392521" w:rsidRDefault="00392521">
            <w:pPr>
              <w:autoSpaceDE w:val="0"/>
              <w:autoSpaceDN w:val="0"/>
              <w:adjustRightInd w:val="0"/>
              <w:jc w:val="both"/>
              <w:rPr>
                <w:rFonts w:ascii="Abadi" w:hAnsi="Abadi"/>
                <w:b/>
                <w:bCs/>
                <w:sz w:val="21"/>
                <w:szCs w:val="21"/>
              </w:rPr>
            </w:pPr>
          </w:p>
          <w:p w14:paraId="1442FC67" w14:textId="343DEC6D" w:rsidR="000218BD" w:rsidRPr="00392521" w:rsidRDefault="00392521">
            <w:pPr>
              <w:autoSpaceDE w:val="0"/>
              <w:autoSpaceDN w:val="0"/>
              <w:adjustRightInd w:val="0"/>
              <w:jc w:val="both"/>
              <w:rPr>
                <w:rFonts w:ascii="Abadi" w:hAnsi="Abadi"/>
                <w:b/>
                <w:bCs/>
                <w:sz w:val="21"/>
                <w:szCs w:val="21"/>
              </w:rPr>
            </w:pPr>
            <w:r w:rsidRPr="00392521">
              <w:rPr>
                <w:rFonts w:ascii="Abadi" w:hAnsi="Abadi"/>
                <w:b/>
                <w:bCs/>
                <w:sz w:val="21"/>
                <w:szCs w:val="21"/>
              </w:rPr>
              <w:t>Enterados y se informa que se turnó a la Comisión de Asuntos Municipales.</w:t>
            </w:r>
          </w:p>
        </w:tc>
      </w:tr>
      <w:tr w:rsidR="000218BD" w:rsidRPr="00883178" w14:paraId="12610471" w14:textId="77777777">
        <w:tc>
          <w:tcPr>
            <w:tcW w:w="1886" w:type="dxa"/>
          </w:tcPr>
          <w:p w14:paraId="0F0E543D" w14:textId="4ACE051E" w:rsidR="00392521" w:rsidRPr="00392521" w:rsidRDefault="00392521">
            <w:pPr>
              <w:autoSpaceDE w:val="0"/>
              <w:autoSpaceDN w:val="0"/>
              <w:adjustRightInd w:val="0"/>
              <w:jc w:val="both"/>
              <w:rPr>
                <w:rFonts w:ascii="Abadi" w:hAnsi="Abadi"/>
                <w:b/>
                <w:bCs/>
                <w:sz w:val="21"/>
                <w:szCs w:val="21"/>
              </w:rPr>
            </w:pPr>
            <w:r w:rsidRPr="00392521">
              <w:rPr>
                <w:rFonts w:ascii="Abadi" w:hAnsi="Abadi"/>
                <w:b/>
                <w:bCs/>
                <w:sz w:val="21"/>
                <w:szCs w:val="21"/>
              </w:rPr>
              <w:t>3.11</w:t>
            </w:r>
          </w:p>
          <w:p w14:paraId="41D7FE2C" w14:textId="77777777" w:rsidR="00392521" w:rsidRDefault="00392521">
            <w:pPr>
              <w:autoSpaceDE w:val="0"/>
              <w:autoSpaceDN w:val="0"/>
              <w:adjustRightInd w:val="0"/>
              <w:jc w:val="both"/>
              <w:rPr>
                <w:rFonts w:ascii="Abadi" w:hAnsi="Abadi"/>
                <w:sz w:val="21"/>
                <w:szCs w:val="21"/>
              </w:rPr>
            </w:pPr>
          </w:p>
          <w:p w14:paraId="77D5E5AD" w14:textId="33C258DE" w:rsidR="000218BD" w:rsidRPr="00883178" w:rsidRDefault="00392521">
            <w:pPr>
              <w:autoSpaceDE w:val="0"/>
              <w:autoSpaceDN w:val="0"/>
              <w:adjustRightInd w:val="0"/>
              <w:jc w:val="both"/>
              <w:rPr>
                <w:rFonts w:ascii="Abadi" w:hAnsi="Abadi"/>
                <w:sz w:val="21"/>
                <w:szCs w:val="21"/>
              </w:rPr>
            </w:pPr>
            <w:r w:rsidRPr="00392521">
              <w:rPr>
                <w:rFonts w:ascii="Abadi" w:hAnsi="Abadi"/>
                <w:sz w:val="21"/>
                <w:szCs w:val="21"/>
              </w:rPr>
              <w:t>El secretario del ayuntamiento de Moroleón, Gto., remite el Primer Informe de Gobierno que guarda la Administración Pública Municipal 2021-2024.</w:t>
            </w:r>
          </w:p>
        </w:tc>
        <w:tc>
          <w:tcPr>
            <w:tcW w:w="2494" w:type="dxa"/>
          </w:tcPr>
          <w:p w14:paraId="1F169A91" w14:textId="77777777" w:rsidR="00392521" w:rsidRDefault="00392521">
            <w:pPr>
              <w:jc w:val="both"/>
              <w:rPr>
                <w:rFonts w:ascii="Abadi" w:hAnsi="Abadi"/>
                <w:sz w:val="21"/>
                <w:szCs w:val="21"/>
              </w:rPr>
            </w:pPr>
          </w:p>
          <w:p w14:paraId="14B7E30C" w14:textId="77777777" w:rsidR="00392521" w:rsidRDefault="00392521">
            <w:pPr>
              <w:jc w:val="both"/>
              <w:rPr>
                <w:rFonts w:ascii="Abadi" w:hAnsi="Abadi"/>
                <w:sz w:val="21"/>
                <w:szCs w:val="21"/>
              </w:rPr>
            </w:pPr>
          </w:p>
          <w:p w14:paraId="176ED7FF" w14:textId="413476A1" w:rsidR="000218BD" w:rsidRPr="00392521" w:rsidRDefault="00392521">
            <w:pPr>
              <w:jc w:val="both"/>
              <w:rPr>
                <w:rFonts w:ascii="Abadi" w:hAnsi="Abadi"/>
                <w:b/>
                <w:bCs/>
                <w:sz w:val="21"/>
                <w:szCs w:val="21"/>
              </w:rPr>
            </w:pPr>
            <w:r w:rsidRPr="00392521">
              <w:rPr>
                <w:rFonts w:ascii="Abadi" w:hAnsi="Abadi"/>
                <w:b/>
                <w:bCs/>
                <w:sz w:val="21"/>
                <w:szCs w:val="21"/>
              </w:rPr>
              <w:t>Enterados y se deja a disposición de las diputadas y de los diputados de esta Sexagésima Quinta Legislatura del Congreso del Estado.</w:t>
            </w:r>
          </w:p>
        </w:tc>
      </w:tr>
      <w:tr w:rsidR="000218BD" w:rsidRPr="00883178" w14:paraId="1E8DC89A" w14:textId="77777777">
        <w:tc>
          <w:tcPr>
            <w:tcW w:w="1886" w:type="dxa"/>
          </w:tcPr>
          <w:p w14:paraId="0D9DBC46" w14:textId="336A324B" w:rsidR="00392521" w:rsidRPr="00392521" w:rsidRDefault="00392521">
            <w:pPr>
              <w:autoSpaceDE w:val="0"/>
              <w:autoSpaceDN w:val="0"/>
              <w:adjustRightInd w:val="0"/>
              <w:jc w:val="both"/>
              <w:rPr>
                <w:rFonts w:ascii="Abadi" w:hAnsi="Abadi"/>
                <w:b/>
                <w:bCs/>
                <w:sz w:val="21"/>
                <w:szCs w:val="21"/>
              </w:rPr>
            </w:pPr>
            <w:r w:rsidRPr="00392521">
              <w:rPr>
                <w:rFonts w:ascii="Abadi" w:hAnsi="Abadi"/>
                <w:b/>
                <w:bCs/>
                <w:sz w:val="21"/>
                <w:szCs w:val="21"/>
              </w:rPr>
              <w:t>3.12</w:t>
            </w:r>
          </w:p>
          <w:p w14:paraId="4E2C8D43" w14:textId="77777777" w:rsidR="00392521" w:rsidRPr="00392521" w:rsidRDefault="00392521">
            <w:pPr>
              <w:autoSpaceDE w:val="0"/>
              <w:autoSpaceDN w:val="0"/>
              <w:adjustRightInd w:val="0"/>
              <w:jc w:val="both"/>
              <w:rPr>
                <w:rFonts w:ascii="Abadi" w:hAnsi="Abadi"/>
                <w:sz w:val="21"/>
                <w:szCs w:val="21"/>
              </w:rPr>
            </w:pPr>
          </w:p>
          <w:p w14:paraId="265AFABC" w14:textId="774C88E4" w:rsidR="000218BD" w:rsidRPr="00392521" w:rsidRDefault="00392521">
            <w:pPr>
              <w:autoSpaceDE w:val="0"/>
              <w:autoSpaceDN w:val="0"/>
              <w:adjustRightInd w:val="0"/>
              <w:jc w:val="both"/>
              <w:rPr>
                <w:rFonts w:ascii="Abadi" w:hAnsi="Abadi"/>
                <w:sz w:val="21"/>
                <w:szCs w:val="21"/>
              </w:rPr>
            </w:pPr>
            <w:r w:rsidRPr="00392521">
              <w:rPr>
                <w:rFonts w:ascii="Abadi" w:hAnsi="Abadi"/>
                <w:sz w:val="21"/>
                <w:szCs w:val="21"/>
              </w:rPr>
              <w:t xml:space="preserve">El secretario del ayuntamiento de Yuriria, Gto., remite la tercera modificación al presupuesto general de ingresos y egresos </w:t>
            </w:r>
            <w:r w:rsidRPr="00392521">
              <w:rPr>
                <w:rFonts w:ascii="Abadi" w:hAnsi="Abadi"/>
                <w:sz w:val="21"/>
                <w:szCs w:val="21"/>
              </w:rPr>
              <w:t>del Sistema Municipal para el Desarrollo Integral de la familia para el ejercicio fiscal 2022.</w:t>
            </w:r>
          </w:p>
        </w:tc>
        <w:tc>
          <w:tcPr>
            <w:tcW w:w="2494" w:type="dxa"/>
          </w:tcPr>
          <w:p w14:paraId="3B65CD21" w14:textId="77777777" w:rsidR="00392521" w:rsidRPr="00392521" w:rsidRDefault="00392521">
            <w:pPr>
              <w:jc w:val="both"/>
              <w:rPr>
                <w:rFonts w:ascii="Abadi" w:hAnsi="Abadi"/>
                <w:sz w:val="21"/>
                <w:szCs w:val="21"/>
              </w:rPr>
            </w:pPr>
          </w:p>
          <w:p w14:paraId="50533A16" w14:textId="77777777" w:rsidR="00392521" w:rsidRPr="00392521" w:rsidRDefault="00392521">
            <w:pPr>
              <w:jc w:val="both"/>
              <w:rPr>
                <w:rFonts w:ascii="Abadi" w:hAnsi="Abadi"/>
                <w:sz w:val="21"/>
                <w:szCs w:val="21"/>
              </w:rPr>
            </w:pPr>
          </w:p>
          <w:p w14:paraId="77EB7253" w14:textId="4B7B32A8" w:rsidR="000218BD" w:rsidRPr="00392521" w:rsidRDefault="00392521">
            <w:pPr>
              <w:jc w:val="both"/>
              <w:rPr>
                <w:rFonts w:ascii="Abadi" w:hAnsi="Abadi"/>
                <w:b/>
                <w:bCs/>
                <w:sz w:val="21"/>
                <w:szCs w:val="21"/>
              </w:rPr>
            </w:pPr>
            <w:r w:rsidRPr="00392521">
              <w:rPr>
                <w:rFonts w:ascii="Abadi" w:hAnsi="Abadi"/>
                <w:b/>
                <w:bCs/>
                <w:sz w:val="21"/>
                <w:szCs w:val="21"/>
              </w:rPr>
              <w:t>Enterados y se remite a la Auditoría Superior del Estado de Guanajuato.</w:t>
            </w:r>
          </w:p>
        </w:tc>
      </w:tr>
      <w:tr w:rsidR="000218BD" w:rsidRPr="00883178" w14:paraId="7E7D84E1" w14:textId="77777777">
        <w:tc>
          <w:tcPr>
            <w:tcW w:w="1886" w:type="dxa"/>
          </w:tcPr>
          <w:p w14:paraId="0FC2A3A6" w14:textId="15608715" w:rsidR="00392521" w:rsidRPr="00392521" w:rsidRDefault="00392521">
            <w:pPr>
              <w:autoSpaceDE w:val="0"/>
              <w:autoSpaceDN w:val="0"/>
              <w:adjustRightInd w:val="0"/>
              <w:jc w:val="both"/>
              <w:rPr>
                <w:rFonts w:ascii="Abadi" w:hAnsi="Abadi"/>
                <w:b/>
                <w:bCs/>
                <w:sz w:val="21"/>
                <w:szCs w:val="21"/>
              </w:rPr>
            </w:pPr>
            <w:r w:rsidRPr="00392521">
              <w:rPr>
                <w:rFonts w:ascii="Abadi" w:hAnsi="Abadi"/>
                <w:b/>
                <w:bCs/>
                <w:sz w:val="21"/>
                <w:szCs w:val="21"/>
              </w:rPr>
              <w:t>3.13</w:t>
            </w:r>
          </w:p>
          <w:p w14:paraId="3A6A70BA" w14:textId="77777777" w:rsidR="00392521" w:rsidRPr="00392521" w:rsidRDefault="00392521">
            <w:pPr>
              <w:autoSpaceDE w:val="0"/>
              <w:autoSpaceDN w:val="0"/>
              <w:adjustRightInd w:val="0"/>
              <w:jc w:val="both"/>
              <w:rPr>
                <w:rFonts w:ascii="Abadi" w:hAnsi="Abadi"/>
                <w:sz w:val="21"/>
                <w:szCs w:val="21"/>
              </w:rPr>
            </w:pPr>
          </w:p>
          <w:p w14:paraId="58E51AC6" w14:textId="77777777" w:rsidR="00222A6D" w:rsidRDefault="00392521">
            <w:pPr>
              <w:autoSpaceDE w:val="0"/>
              <w:autoSpaceDN w:val="0"/>
              <w:adjustRightInd w:val="0"/>
              <w:jc w:val="both"/>
              <w:rPr>
                <w:rFonts w:ascii="Abadi" w:hAnsi="Abadi"/>
                <w:sz w:val="21"/>
                <w:szCs w:val="21"/>
              </w:rPr>
            </w:pPr>
            <w:r w:rsidRPr="00392521">
              <w:rPr>
                <w:rFonts w:ascii="Abadi" w:hAnsi="Abadi"/>
                <w:sz w:val="21"/>
                <w:szCs w:val="21"/>
              </w:rPr>
              <w:t>El secretario del ayuntamiento de Yuriria, Gto., remite la quinta modificación al presupuesto de ingresos y egresos del ejercicio fiscal 2022.</w:t>
            </w:r>
          </w:p>
          <w:p w14:paraId="23988243" w14:textId="77777777" w:rsidR="00F5448B" w:rsidRDefault="00F5448B">
            <w:pPr>
              <w:autoSpaceDE w:val="0"/>
              <w:autoSpaceDN w:val="0"/>
              <w:adjustRightInd w:val="0"/>
              <w:jc w:val="both"/>
              <w:rPr>
                <w:rFonts w:ascii="Abadi" w:hAnsi="Abadi"/>
                <w:sz w:val="21"/>
                <w:szCs w:val="21"/>
              </w:rPr>
            </w:pPr>
          </w:p>
          <w:p w14:paraId="5BFB35AC" w14:textId="77777777" w:rsidR="00F5448B" w:rsidRDefault="00F5448B">
            <w:pPr>
              <w:autoSpaceDE w:val="0"/>
              <w:autoSpaceDN w:val="0"/>
              <w:adjustRightInd w:val="0"/>
              <w:jc w:val="both"/>
              <w:rPr>
                <w:rFonts w:ascii="Abadi" w:hAnsi="Abadi"/>
                <w:sz w:val="21"/>
                <w:szCs w:val="21"/>
              </w:rPr>
            </w:pPr>
          </w:p>
          <w:p w14:paraId="708EF8AC" w14:textId="77777777" w:rsidR="00F5448B" w:rsidRDefault="00F5448B">
            <w:pPr>
              <w:autoSpaceDE w:val="0"/>
              <w:autoSpaceDN w:val="0"/>
              <w:adjustRightInd w:val="0"/>
              <w:jc w:val="both"/>
              <w:rPr>
                <w:rFonts w:ascii="Abadi" w:hAnsi="Abadi"/>
                <w:sz w:val="21"/>
                <w:szCs w:val="21"/>
              </w:rPr>
            </w:pPr>
          </w:p>
          <w:p w14:paraId="6C5DBB55" w14:textId="4F46F76D" w:rsidR="00F5448B" w:rsidRPr="00392521" w:rsidRDefault="00F5448B">
            <w:pPr>
              <w:autoSpaceDE w:val="0"/>
              <w:autoSpaceDN w:val="0"/>
              <w:adjustRightInd w:val="0"/>
              <w:jc w:val="both"/>
              <w:rPr>
                <w:rFonts w:ascii="Abadi" w:hAnsi="Abadi"/>
                <w:sz w:val="21"/>
                <w:szCs w:val="21"/>
              </w:rPr>
            </w:pPr>
          </w:p>
        </w:tc>
        <w:tc>
          <w:tcPr>
            <w:tcW w:w="2494" w:type="dxa"/>
          </w:tcPr>
          <w:p w14:paraId="6DBFE4CF" w14:textId="77777777" w:rsidR="00392521" w:rsidRDefault="00392521">
            <w:pPr>
              <w:jc w:val="both"/>
              <w:rPr>
                <w:rFonts w:ascii="Abadi" w:hAnsi="Abadi"/>
                <w:sz w:val="21"/>
                <w:szCs w:val="21"/>
              </w:rPr>
            </w:pPr>
          </w:p>
          <w:p w14:paraId="7623B2BF" w14:textId="77777777" w:rsidR="00392521" w:rsidRDefault="00392521">
            <w:pPr>
              <w:jc w:val="both"/>
              <w:rPr>
                <w:rFonts w:ascii="Abadi" w:hAnsi="Abadi"/>
                <w:sz w:val="21"/>
                <w:szCs w:val="21"/>
              </w:rPr>
            </w:pPr>
          </w:p>
          <w:p w14:paraId="1A4C5C4C" w14:textId="75B9DB6C" w:rsidR="000218BD" w:rsidRPr="00392521" w:rsidRDefault="00392521">
            <w:pPr>
              <w:jc w:val="both"/>
              <w:rPr>
                <w:rFonts w:ascii="Abadi" w:hAnsi="Abadi"/>
                <w:sz w:val="21"/>
                <w:szCs w:val="21"/>
              </w:rPr>
            </w:pPr>
            <w:r w:rsidRPr="00392521">
              <w:rPr>
                <w:rFonts w:ascii="Abadi" w:hAnsi="Abadi"/>
                <w:b/>
                <w:bCs/>
                <w:sz w:val="21"/>
                <w:szCs w:val="21"/>
              </w:rPr>
              <w:t>Enterados y se remite a la Auditoría Superior del Estado de Guanajuato.</w:t>
            </w:r>
          </w:p>
        </w:tc>
      </w:tr>
      <w:tr w:rsidR="000218BD" w:rsidRPr="00883178" w14:paraId="2B6BD8F8" w14:textId="77777777">
        <w:tc>
          <w:tcPr>
            <w:tcW w:w="1886" w:type="dxa"/>
          </w:tcPr>
          <w:p w14:paraId="53AAF54E" w14:textId="77777777" w:rsidR="00F5448B" w:rsidRPr="00F5448B" w:rsidRDefault="00F5448B">
            <w:pPr>
              <w:autoSpaceDE w:val="0"/>
              <w:autoSpaceDN w:val="0"/>
              <w:adjustRightInd w:val="0"/>
              <w:jc w:val="both"/>
              <w:rPr>
                <w:rFonts w:ascii="Abadi" w:hAnsi="Abadi"/>
                <w:b/>
                <w:bCs/>
                <w:sz w:val="21"/>
                <w:szCs w:val="21"/>
              </w:rPr>
            </w:pPr>
            <w:r w:rsidRPr="00F5448B">
              <w:rPr>
                <w:rFonts w:ascii="Abadi" w:hAnsi="Abadi"/>
                <w:b/>
                <w:bCs/>
                <w:sz w:val="21"/>
                <w:szCs w:val="21"/>
              </w:rPr>
              <w:t xml:space="preserve">3.14 </w:t>
            </w:r>
          </w:p>
          <w:p w14:paraId="49811B6F" w14:textId="77777777" w:rsidR="00F5448B" w:rsidRPr="00F5448B" w:rsidRDefault="00F5448B">
            <w:pPr>
              <w:autoSpaceDE w:val="0"/>
              <w:autoSpaceDN w:val="0"/>
              <w:adjustRightInd w:val="0"/>
              <w:jc w:val="both"/>
              <w:rPr>
                <w:rFonts w:ascii="Abadi" w:hAnsi="Abadi"/>
                <w:sz w:val="21"/>
                <w:szCs w:val="21"/>
              </w:rPr>
            </w:pPr>
          </w:p>
          <w:p w14:paraId="6F811879" w14:textId="609183FB" w:rsidR="000218BD" w:rsidRPr="00F5448B" w:rsidRDefault="00F5448B">
            <w:pPr>
              <w:autoSpaceDE w:val="0"/>
              <w:autoSpaceDN w:val="0"/>
              <w:adjustRightInd w:val="0"/>
              <w:jc w:val="both"/>
              <w:rPr>
                <w:rFonts w:ascii="Abadi" w:hAnsi="Abadi"/>
                <w:color w:val="333333"/>
                <w:sz w:val="21"/>
                <w:szCs w:val="21"/>
                <w:shd w:val="clear" w:color="auto" w:fill="FFFFFF"/>
              </w:rPr>
            </w:pPr>
            <w:r w:rsidRPr="00F5448B">
              <w:rPr>
                <w:rFonts w:ascii="Abadi" w:hAnsi="Abadi"/>
                <w:sz w:val="21"/>
                <w:szCs w:val="21"/>
              </w:rPr>
              <w:t>El presidente municipal y el secretario del ayuntamiento de San Felipe, Gto., remiten la cuarta modificación al pronóstico de ingresos y presupuesto de egresos para el ejercicio fiscal 2022.</w:t>
            </w:r>
          </w:p>
        </w:tc>
        <w:tc>
          <w:tcPr>
            <w:tcW w:w="2494" w:type="dxa"/>
          </w:tcPr>
          <w:p w14:paraId="03390804" w14:textId="77777777" w:rsidR="00F5448B" w:rsidRPr="00F5448B" w:rsidRDefault="00F5448B">
            <w:pPr>
              <w:jc w:val="both"/>
              <w:rPr>
                <w:rFonts w:ascii="Abadi" w:hAnsi="Abadi"/>
                <w:sz w:val="21"/>
                <w:szCs w:val="21"/>
              </w:rPr>
            </w:pPr>
          </w:p>
          <w:p w14:paraId="058BC2A7" w14:textId="77777777" w:rsidR="00F5448B" w:rsidRPr="00F5448B" w:rsidRDefault="00F5448B">
            <w:pPr>
              <w:jc w:val="both"/>
              <w:rPr>
                <w:rFonts w:ascii="Abadi" w:hAnsi="Abadi"/>
                <w:sz w:val="21"/>
                <w:szCs w:val="21"/>
              </w:rPr>
            </w:pPr>
          </w:p>
          <w:p w14:paraId="68309909" w14:textId="3DF54603" w:rsidR="000218BD" w:rsidRPr="00F5448B" w:rsidRDefault="00F5448B">
            <w:pPr>
              <w:jc w:val="both"/>
              <w:rPr>
                <w:rFonts w:ascii="Abadi" w:hAnsi="Abadi"/>
                <w:b/>
                <w:bCs/>
                <w:color w:val="333333"/>
                <w:sz w:val="21"/>
                <w:szCs w:val="21"/>
                <w:shd w:val="clear" w:color="auto" w:fill="FFFFFF"/>
              </w:rPr>
            </w:pPr>
            <w:r w:rsidRPr="00F5448B">
              <w:rPr>
                <w:rFonts w:ascii="Abadi" w:hAnsi="Abadi"/>
                <w:b/>
                <w:bCs/>
                <w:sz w:val="21"/>
                <w:szCs w:val="21"/>
              </w:rPr>
              <w:t>Enterados y se remite a la Auditoría Superior del Estado de Guanajuato.</w:t>
            </w:r>
          </w:p>
        </w:tc>
      </w:tr>
      <w:tr w:rsidR="00F5448B" w:rsidRPr="00883178" w14:paraId="02E9047E" w14:textId="77777777" w:rsidTr="00F5448B">
        <w:tc>
          <w:tcPr>
            <w:tcW w:w="4380" w:type="dxa"/>
            <w:gridSpan w:val="2"/>
            <w:shd w:val="clear" w:color="auto" w:fill="D0CECE" w:themeFill="background2" w:themeFillShade="E6"/>
          </w:tcPr>
          <w:p w14:paraId="40727B17" w14:textId="5BD93B7D" w:rsidR="00F5448B" w:rsidRPr="00883178" w:rsidRDefault="00F5448B">
            <w:pPr>
              <w:autoSpaceDE w:val="0"/>
              <w:autoSpaceDN w:val="0"/>
              <w:adjustRightInd w:val="0"/>
              <w:jc w:val="both"/>
              <w:rPr>
                <w:rFonts w:ascii="Abadi" w:hAnsi="Abadi"/>
                <w:b/>
                <w:bCs/>
                <w:color w:val="333333"/>
                <w:sz w:val="21"/>
                <w:szCs w:val="21"/>
                <w:shd w:val="clear" w:color="auto" w:fill="FFFFFF"/>
              </w:rPr>
            </w:pPr>
            <w:r w:rsidRPr="00F5448B">
              <w:rPr>
                <w:rFonts w:ascii="Abadi" w:hAnsi="Abadi"/>
                <w:b/>
                <w:bCs/>
                <w:sz w:val="21"/>
                <w:szCs w:val="21"/>
              </w:rPr>
              <w:t>III. Correspondencia Particulares</w:t>
            </w:r>
          </w:p>
        </w:tc>
      </w:tr>
      <w:tr w:rsidR="0056024E" w:rsidRPr="00883178" w14:paraId="223F4C72" w14:textId="77777777">
        <w:tc>
          <w:tcPr>
            <w:tcW w:w="1886" w:type="dxa"/>
          </w:tcPr>
          <w:p w14:paraId="03A94CCC" w14:textId="69A16AF6" w:rsidR="00F5448B" w:rsidRPr="00F5448B" w:rsidRDefault="00F5448B" w:rsidP="009D0D5B">
            <w:pPr>
              <w:autoSpaceDE w:val="0"/>
              <w:autoSpaceDN w:val="0"/>
              <w:adjustRightInd w:val="0"/>
              <w:jc w:val="both"/>
              <w:rPr>
                <w:rFonts w:ascii="Abadi" w:hAnsi="Abadi"/>
                <w:b/>
                <w:bCs/>
                <w:sz w:val="21"/>
                <w:szCs w:val="21"/>
              </w:rPr>
            </w:pPr>
            <w:r w:rsidRPr="00F5448B">
              <w:rPr>
                <w:rFonts w:ascii="Abadi" w:hAnsi="Abadi"/>
                <w:b/>
                <w:bCs/>
                <w:sz w:val="21"/>
                <w:szCs w:val="21"/>
              </w:rPr>
              <w:t>3.15</w:t>
            </w:r>
          </w:p>
          <w:p w14:paraId="70914AA9" w14:textId="77777777" w:rsidR="00F5448B" w:rsidRPr="00F5448B" w:rsidRDefault="00F5448B" w:rsidP="009D0D5B">
            <w:pPr>
              <w:autoSpaceDE w:val="0"/>
              <w:autoSpaceDN w:val="0"/>
              <w:adjustRightInd w:val="0"/>
              <w:jc w:val="both"/>
              <w:rPr>
                <w:rFonts w:ascii="Abadi" w:hAnsi="Abadi"/>
                <w:sz w:val="21"/>
                <w:szCs w:val="21"/>
              </w:rPr>
            </w:pPr>
          </w:p>
          <w:p w14:paraId="550DE7C4" w14:textId="1FE0870A" w:rsidR="00A77161" w:rsidRPr="00F5448B" w:rsidRDefault="00F5448B" w:rsidP="009D0D5B">
            <w:pPr>
              <w:autoSpaceDE w:val="0"/>
              <w:autoSpaceDN w:val="0"/>
              <w:adjustRightInd w:val="0"/>
              <w:jc w:val="both"/>
              <w:rPr>
                <w:rFonts w:ascii="Abadi" w:hAnsi="Abadi"/>
                <w:sz w:val="21"/>
                <w:szCs w:val="21"/>
              </w:rPr>
            </w:pPr>
            <w:r w:rsidRPr="00F5448B">
              <w:rPr>
                <w:rFonts w:ascii="Abadi" w:hAnsi="Abadi"/>
                <w:sz w:val="21"/>
                <w:szCs w:val="21"/>
              </w:rPr>
              <w:t>El presidente municipal y el secretario del ayuntamiento de San Felipe, Gto., remiten la quinta modificación al pronóstico de ingresos y presupuesto de egresos para el ejercicio fiscal 2022.</w:t>
            </w:r>
          </w:p>
        </w:tc>
        <w:tc>
          <w:tcPr>
            <w:tcW w:w="2494" w:type="dxa"/>
          </w:tcPr>
          <w:p w14:paraId="04B7F917" w14:textId="77777777" w:rsidR="00F5448B" w:rsidRPr="00F5448B" w:rsidRDefault="00F5448B">
            <w:pPr>
              <w:autoSpaceDE w:val="0"/>
              <w:autoSpaceDN w:val="0"/>
              <w:adjustRightInd w:val="0"/>
              <w:jc w:val="both"/>
              <w:rPr>
                <w:rFonts w:ascii="Abadi" w:hAnsi="Abadi"/>
                <w:sz w:val="21"/>
                <w:szCs w:val="21"/>
              </w:rPr>
            </w:pPr>
          </w:p>
          <w:p w14:paraId="24B2C4D6" w14:textId="77777777" w:rsidR="00F5448B" w:rsidRPr="00F5448B" w:rsidRDefault="00F5448B">
            <w:pPr>
              <w:autoSpaceDE w:val="0"/>
              <w:autoSpaceDN w:val="0"/>
              <w:adjustRightInd w:val="0"/>
              <w:jc w:val="both"/>
              <w:rPr>
                <w:rFonts w:ascii="Abadi" w:hAnsi="Abadi"/>
                <w:sz w:val="21"/>
                <w:szCs w:val="21"/>
              </w:rPr>
            </w:pPr>
          </w:p>
          <w:p w14:paraId="11812399" w14:textId="20DBA0C1" w:rsidR="0056024E" w:rsidRPr="00F5448B" w:rsidRDefault="00F5448B">
            <w:pPr>
              <w:autoSpaceDE w:val="0"/>
              <w:autoSpaceDN w:val="0"/>
              <w:adjustRightInd w:val="0"/>
              <w:jc w:val="both"/>
              <w:rPr>
                <w:rFonts w:ascii="Abadi" w:hAnsi="Abadi"/>
                <w:b/>
                <w:bCs/>
                <w:sz w:val="21"/>
                <w:szCs w:val="21"/>
              </w:rPr>
            </w:pPr>
            <w:r w:rsidRPr="00F5448B">
              <w:rPr>
                <w:rFonts w:ascii="Abadi" w:hAnsi="Abadi"/>
                <w:b/>
                <w:bCs/>
                <w:sz w:val="21"/>
                <w:szCs w:val="21"/>
              </w:rPr>
              <w:t>Enterados y se remite a la Auditoría Superior del Estado de Guanajuato.</w:t>
            </w:r>
          </w:p>
        </w:tc>
      </w:tr>
      <w:tr w:rsidR="002C12E5" w:rsidRPr="00883178" w14:paraId="2971185F" w14:textId="77777777" w:rsidTr="0018266D">
        <w:tc>
          <w:tcPr>
            <w:tcW w:w="4380" w:type="dxa"/>
            <w:gridSpan w:val="2"/>
          </w:tcPr>
          <w:p w14:paraId="6B8D5E8C" w14:textId="76EB490A" w:rsidR="002C12E5" w:rsidRPr="002C12E5" w:rsidRDefault="002C12E5" w:rsidP="002C12E5">
            <w:pPr>
              <w:autoSpaceDE w:val="0"/>
              <w:autoSpaceDN w:val="0"/>
              <w:adjustRightInd w:val="0"/>
              <w:jc w:val="both"/>
              <w:rPr>
                <w:rFonts w:ascii="Abadi" w:hAnsi="Abadi"/>
                <w:b/>
                <w:bCs/>
                <w:sz w:val="21"/>
                <w:szCs w:val="21"/>
              </w:rPr>
            </w:pPr>
            <w:r w:rsidRPr="002C12E5">
              <w:rPr>
                <w:rFonts w:ascii="Abadi" w:hAnsi="Abadi"/>
                <w:b/>
                <w:bCs/>
                <w:sz w:val="21"/>
                <w:szCs w:val="21"/>
              </w:rPr>
              <w:t>III.- Comunicados provenientes de los ayuntamientos del Estado</w:t>
            </w:r>
          </w:p>
        </w:tc>
      </w:tr>
      <w:tr w:rsidR="002C12E5" w:rsidRPr="00883178" w14:paraId="73AF6696" w14:textId="77777777">
        <w:tc>
          <w:tcPr>
            <w:tcW w:w="1886" w:type="dxa"/>
          </w:tcPr>
          <w:p w14:paraId="313FEBA9" w14:textId="6D424F0A" w:rsidR="002C12E5" w:rsidRPr="00F5448B" w:rsidRDefault="002C12E5" w:rsidP="002C12E5">
            <w:pPr>
              <w:autoSpaceDE w:val="0"/>
              <w:autoSpaceDN w:val="0"/>
              <w:adjustRightInd w:val="0"/>
              <w:jc w:val="both"/>
              <w:rPr>
                <w:rFonts w:ascii="Abadi" w:hAnsi="Abadi"/>
                <w:b/>
                <w:bCs/>
                <w:sz w:val="21"/>
                <w:szCs w:val="21"/>
              </w:rPr>
            </w:pPr>
            <w:r w:rsidRPr="00F5448B">
              <w:rPr>
                <w:rFonts w:ascii="Abadi" w:hAnsi="Abadi"/>
                <w:b/>
                <w:bCs/>
                <w:sz w:val="21"/>
                <w:szCs w:val="21"/>
              </w:rPr>
              <w:t>3.16</w:t>
            </w:r>
          </w:p>
          <w:p w14:paraId="50D2882E" w14:textId="77777777" w:rsidR="002C12E5" w:rsidRPr="00F5448B" w:rsidRDefault="002C12E5" w:rsidP="002C12E5">
            <w:pPr>
              <w:autoSpaceDE w:val="0"/>
              <w:autoSpaceDN w:val="0"/>
              <w:adjustRightInd w:val="0"/>
              <w:jc w:val="both"/>
              <w:rPr>
                <w:rFonts w:ascii="Abadi" w:hAnsi="Abadi"/>
                <w:sz w:val="21"/>
                <w:szCs w:val="21"/>
              </w:rPr>
            </w:pPr>
          </w:p>
          <w:p w14:paraId="77C8CE1F" w14:textId="77777777" w:rsidR="002C12E5" w:rsidRDefault="002C12E5" w:rsidP="002C12E5">
            <w:pPr>
              <w:autoSpaceDE w:val="0"/>
              <w:autoSpaceDN w:val="0"/>
              <w:adjustRightInd w:val="0"/>
              <w:jc w:val="both"/>
              <w:rPr>
                <w:rFonts w:ascii="Abadi" w:hAnsi="Abadi"/>
                <w:sz w:val="21"/>
                <w:szCs w:val="21"/>
              </w:rPr>
            </w:pPr>
            <w:r w:rsidRPr="00F5448B">
              <w:rPr>
                <w:rFonts w:ascii="Abadi" w:hAnsi="Abadi"/>
                <w:sz w:val="21"/>
                <w:szCs w:val="21"/>
              </w:rPr>
              <w:t>El secretario del ayuntamiento de Doctor Mora, Gto., remite respuesta a la consulta de la iniciativa a efecto de reformar y adicionar diversas disposiciones de la Ley de Seguridad Social del Estado de Guanajuato y del Código Territorial para el Estado y los Municipios de Guanajuato.</w:t>
            </w:r>
          </w:p>
          <w:p w14:paraId="0E271195" w14:textId="77777777" w:rsidR="00491A99" w:rsidRDefault="00491A99" w:rsidP="002C12E5">
            <w:pPr>
              <w:autoSpaceDE w:val="0"/>
              <w:autoSpaceDN w:val="0"/>
              <w:adjustRightInd w:val="0"/>
              <w:jc w:val="both"/>
              <w:rPr>
                <w:rFonts w:ascii="Abadi" w:hAnsi="Abadi"/>
                <w:sz w:val="21"/>
                <w:szCs w:val="21"/>
              </w:rPr>
            </w:pPr>
          </w:p>
          <w:p w14:paraId="501D8D94" w14:textId="77777777" w:rsidR="00491A99" w:rsidRDefault="00491A99" w:rsidP="002C12E5">
            <w:pPr>
              <w:autoSpaceDE w:val="0"/>
              <w:autoSpaceDN w:val="0"/>
              <w:adjustRightInd w:val="0"/>
              <w:jc w:val="both"/>
              <w:rPr>
                <w:rFonts w:ascii="Abadi" w:hAnsi="Abadi"/>
                <w:sz w:val="21"/>
                <w:szCs w:val="21"/>
              </w:rPr>
            </w:pPr>
          </w:p>
          <w:p w14:paraId="52F48E42" w14:textId="0BDA488A" w:rsidR="00491A99" w:rsidRPr="00010AD5" w:rsidRDefault="00491A99" w:rsidP="002C12E5">
            <w:pPr>
              <w:autoSpaceDE w:val="0"/>
              <w:autoSpaceDN w:val="0"/>
              <w:adjustRightInd w:val="0"/>
              <w:jc w:val="both"/>
              <w:rPr>
                <w:rFonts w:ascii="Abadi" w:hAnsi="Abadi"/>
                <w:sz w:val="21"/>
                <w:szCs w:val="21"/>
              </w:rPr>
            </w:pPr>
          </w:p>
        </w:tc>
        <w:tc>
          <w:tcPr>
            <w:tcW w:w="2494" w:type="dxa"/>
          </w:tcPr>
          <w:p w14:paraId="2F01C6DB" w14:textId="77777777" w:rsidR="002C12E5" w:rsidRPr="00F5448B" w:rsidRDefault="002C12E5" w:rsidP="002C12E5">
            <w:pPr>
              <w:autoSpaceDE w:val="0"/>
              <w:autoSpaceDN w:val="0"/>
              <w:adjustRightInd w:val="0"/>
              <w:jc w:val="both"/>
              <w:rPr>
                <w:rFonts w:ascii="Abadi" w:hAnsi="Abadi"/>
                <w:sz w:val="21"/>
                <w:szCs w:val="21"/>
              </w:rPr>
            </w:pPr>
          </w:p>
          <w:p w14:paraId="30D9100F" w14:textId="77777777" w:rsidR="002C12E5" w:rsidRPr="00F5448B" w:rsidRDefault="002C12E5" w:rsidP="002C12E5">
            <w:pPr>
              <w:autoSpaceDE w:val="0"/>
              <w:autoSpaceDN w:val="0"/>
              <w:adjustRightInd w:val="0"/>
              <w:jc w:val="both"/>
              <w:rPr>
                <w:rFonts w:ascii="Abadi" w:hAnsi="Abadi"/>
                <w:sz w:val="21"/>
                <w:szCs w:val="21"/>
              </w:rPr>
            </w:pPr>
          </w:p>
          <w:p w14:paraId="0B025624" w14:textId="723686AA" w:rsidR="002C12E5" w:rsidRPr="00F5448B" w:rsidRDefault="002C12E5" w:rsidP="002C12E5">
            <w:pPr>
              <w:autoSpaceDE w:val="0"/>
              <w:autoSpaceDN w:val="0"/>
              <w:adjustRightInd w:val="0"/>
              <w:jc w:val="both"/>
              <w:rPr>
                <w:rFonts w:ascii="Abadi" w:hAnsi="Abadi"/>
                <w:b/>
                <w:bCs/>
                <w:sz w:val="21"/>
                <w:szCs w:val="21"/>
              </w:rPr>
            </w:pPr>
            <w:r w:rsidRPr="00F5448B">
              <w:rPr>
                <w:rFonts w:ascii="Abadi" w:hAnsi="Abadi"/>
                <w:b/>
                <w:bCs/>
                <w:sz w:val="21"/>
                <w:szCs w:val="21"/>
              </w:rPr>
              <w:t>Enterados y se informa que se turnó a la Comisión de Desarrollo Urbano y Obra Pública.</w:t>
            </w:r>
          </w:p>
        </w:tc>
      </w:tr>
      <w:tr w:rsidR="002C12E5" w:rsidRPr="00883178" w14:paraId="1E43F236" w14:textId="77777777">
        <w:tc>
          <w:tcPr>
            <w:tcW w:w="1886" w:type="dxa"/>
          </w:tcPr>
          <w:p w14:paraId="62B8151F" w14:textId="1B652432" w:rsidR="002C12E5" w:rsidRPr="003B07BA" w:rsidRDefault="002C12E5" w:rsidP="002C12E5">
            <w:pPr>
              <w:autoSpaceDE w:val="0"/>
              <w:autoSpaceDN w:val="0"/>
              <w:adjustRightInd w:val="0"/>
              <w:jc w:val="both"/>
              <w:rPr>
                <w:rFonts w:ascii="Abadi" w:hAnsi="Abadi"/>
                <w:b/>
                <w:bCs/>
                <w:sz w:val="21"/>
                <w:szCs w:val="21"/>
              </w:rPr>
            </w:pPr>
            <w:r w:rsidRPr="003B07BA">
              <w:rPr>
                <w:rFonts w:ascii="Abadi" w:hAnsi="Abadi"/>
                <w:b/>
                <w:bCs/>
                <w:sz w:val="21"/>
                <w:szCs w:val="21"/>
              </w:rPr>
              <w:lastRenderedPageBreak/>
              <w:t>3.17</w:t>
            </w:r>
          </w:p>
          <w:p w14:paraId="1FCDA5EB" w14:textId="77777777" w:rsidR="002C12E5" w:rsidRPr="003B07BA" w:rsidRDefault="002C12E5" w:rsidP="002C12E5">
            <w:pPr>
              <w:autoSpaceDE w:val="0"/>
              <w:autoSpaceDN w:val="0"/>
              <w:adjustRightInd w:val="0"/>
              <w:jc w:val="both"/>
              <w:rPr>
                <w:rFonts w:ascii="Abadi" w:hAnsi="Abadi"/>
                <w:sz w:val="21"/>
                <w:szCs w:val="21"/>
              </w:rPr>
            </w:pPr>
          </w:p>
          <w:p w14:paraId="1E15A189" w14:textId="4B0F2A11" w:rsidR="002C12E5" w:rsidRPr="00F46471" w:rsidRDefault="002C12E5" w:rsidP="002C12E5">
            <w:pPr>
              <w:autoSpaceDE w:val="0"/>
              <w:autoSpaceDN w:val="0"/>
              <w:adjustRightInd w:val="0"/>
              <w:jc w:val="both"/>
              <w:rPr>
                <w:rFonts w:ascii="Abadi" w:hAnsi="Abadi"/>
                <w:sz w:val="21"/>
                <w:szCs w:val="21"/>
              </w:rPr>
            </w:pPr>
            <w:r w:rsidRPr="003B07BA">
              <w:rPr>
                <w:rFonts w:ascii="Abadi" w:hAnsi="Abadi"/>
                <w:sz w:val="21"/>
                <w:szCs w:val="21"/>
              </w:rPr>
              <w:t>El secretario del ayuntamiento de Doctor Mora, Gto., remite respuesta a la consulta de la iniciativa a efecto de adicionar diversas disposiciones a la Ley de Protección Civil para el Estado de Guanajuato, a la Ley de Salud del Estado de Guanajuato, a la Ley para la Protección y Preservación del Ambiente del Estado de Guanajuato, y al Código Territorial para el Estado y los Municipios de Guanajuato, en la parte correspondiente al cuarto ordenamiento.</w:t>
            </w:r>
          </w:p>
        </w:tc>
        <w:tc>
          <w:tcPr>
            <w:tcW w:w="2494" w:type="dxa"/>
          </w:tcPr>
          <w:p w14:paraId="498FB210" w14:textId="77777777" w:rsidR="002C12E5" w:rsidRPr="003B07BA" w:rsidRDefault="002C12E5" w:rsidP="002C12E5">
            <w:pPr>
              <w:autoSpaceDE w:val="0"/>
              <w:autoSpaceDN w:val="0"/>
              <w:adjustRightInd w:val="0"/>
              <w:jc w:val="both"/>
              <w:rPr>
                <w:rFonts w:ascii="Abadi" w:hAnsi="Abadi"/>
                <w:b/>
                <w:bCs/>
                <w:sz w:val="21"/>
                <w:szCs w:val="21"/>
              </w:rPr>
            </w:pPr>
          </w:p>
          <w:p w14:paraId="5C7C985A" w14:textId="77777777" w:rsidR="002C12E5" w:rsidRPr="003B07BA" w:rsidRDefault="002C12E5" w:rsidP="002C12E5">
            <w:pPr>
              <w:autoSpaceDE w:val="0"/>
              <w:autoSpaceDN w:val="0"/>
              <w:adjustRightInd w:val="0"/>
              <w:jc w:val="both"/>
              <w:rPr>
                <w:rFonts w:ascii="Abadi" w:hAnsi="Abadi"/>
                <w:b/>
                <w:bCs/>
                <w:sz w:val="21"/>
                <w:szCs w:val="21"/>
              </w:rPr>
            </w:pPr>
          </w:p>
          <w:p w14:paraId="3EE2CFA0" w14:textId="32ED98BA" w:rsidR="002C12E5" w:rsidRPr="003B07BA" w:rsidRDefault="002C12E5" w:rsidP="002C12E5">
            <w:pPr>
              <w:autoSpaceDE w:val="0"/>
              <w:autoSpaceDN w:val="0"/>
              <w:adjustRightInd w:val="0"/>
              <w:jc w:val="both"/>
              <w:rPr>
                <w:rFonts w:ascii="Abadi" w:hAnsi="Abadi"/>
                <w:b/>
                <w:bCs/>
                <w:sz w:val="21"/>
                <w:szCs w:val="21"/>
              </w:rPr>
            </w:pPr>
            <w:r w:rsidRPr="003B07BA">
              <w:rPr>
                <w:rFonts w:ascii="Abadi" w:hAnsi="Abadi"/>
                <w:b/>
                <w:bCs/>
                <w:sz w:val="21"/>
                <w:szCs w:val="21"/>
              </w:rPr>
              <w:t>Enterados y se informa que se turnó a la Comisión de Desarrollo Urbano y Obra Pública.</w:t>
            </w:r>
          </w:p>
        </w:tc>
      </w:tr>
      <w:tr w:rsidR="002C12E5" w:rsidRPr="00883178" w14:paraId="467FD02D" w14:textId="77777777">
        <w:tc>
          <w:tcPr>
            <w:tcW w:w="1886" w:type="dxa"/>
          </w:tcPr>
          <w:p w14:paraId="5BC3710C" w14:textId="12A335DB" w:rsidR="002C12E5" w:rsidRPr="002C12E5" w:rsidRDefault="002C12E5" w:rsidP="002C12E5">
            <w:pPr>
              <w:autoSpaceDE w:val="0"/>
              <w:autoSpaceDN w:val="0"/>
              <w:adjustRightInd w:val="0"/>
              <w:jc w:val="both"/>
              <w:rPr>
                <w:rFonts w:ascii="Abadi" w:hAnsi="Abadi"/>
                <w:b/>
                <w:bCs/>
                <w:sz w:val="21"/>
                <w:szCs w:val="21"/>
              </w:rPr>
            </w:pPr>
            <w:r w:rsidRPr="002C12E5">
              <w:rPr>
                <w:rFonts w:ascii="Abadi" w:hAnsi="Abadi"/>
                <w:b/>
                <w:bCs/>
                <w:sz w:val="21"/>
                <w:szCs w:val="21"/>
              </w:rPr>
              <w:t>3.18</w:t>
            </w:r>
          </w:p>
          <w:p w14:paraId="4507B960" w14:textId="77777777" w:rsidR="002C12E5" w:rsidRPr="002C12E5" w:rsidRDefault="002C12E5" w:rsidP="002C12E5">
            <w:pPr>
              <w:autoSpaceDE w:val="0"/>
              <w:autoSpaceDN w:val="0"/>
              <w:adjustRightInd w:val="0"/>
              <w:jc w:val="both"/>
              <w:rPr>
                <w:rFonts w:ascii="Abadi" w:hAnsi="Abadi"/>
                <w:sz w:val="21"/>
                <w:szCs w:val="21"/>
              </w:rPr>
            </w:pPr>
          </w:p>
          <w:p w14:paraId="475E1C9D" w14:textId="73D4C7F3" w:rsidR="002C12E5" w:rsidRPr="00B7773A" w:rsidRDefault="002C12E5" w:rsidP="002C12E5">
            <w:pPr>
              <w:autoSpaceDE w:val="0"/>
              <w:autoSpaceDN w:val="0"/>
              <w:adjustRightInd w:val="0"/>
              <w:jc w:val="both"/>
              <w:rPr>
                <w:rFonts w:ascii="Abadi" w:hAnsi="Abadi"/>
                <w:sz w:val="21"/>
                <w:szCs w:val="21"/>
              </w:rPr>
            </w:pPr>
            <w:r w:rsidRPr="002C12E5">
              <w:rPr>
                <w:rFonts w:ascii="Abadi" w:hAnsi="Abadi"/>
                <w:sz w:val="21"/>
                <w:szCs w:val="21"/>
              </w:rPr>
              <w:t>El secretario del ayuntamiento de Doctor Mora, Gto., remite respuesta a la consulta del punto de acuerdo por el que se efectúa un exhorto a la Secretaría de Salud Federal, a la Secretaría de Salud del Estado y a los ayuntamientos de Guanajuato, para que en el ámbito de sus competencias, sigan impulsando acciones de orientación y vigilancia institucional, capacitación y fomento para la lactancia materna y amamantamiento; e incentivando a que la leche materna sea alimento exclusivo durante los primeros seis meses y complementario hasta avanzado el segundo año de vida y, en su caso, la ayuda alimentaria directa tendente a mejorar el estado nutricional del grupo materno-infantil; además de promover la instalación de lactarios en los centros de trabajo de los sectores público y privado</w:t>
            </w:r>
          </w:p>
        </w:tc>
        <w:tc>
          <w:tcPr>
            <w:tcW w:w="2494" w:type="dxa"/>
          </w:tcPr>
          <w:p w14:paraId="1D60242D" w14:textId="77777777" w:rsidR="002C12E5" w:rsidRDefault="002C12E5" w:rsidP="002C12E5">
            <w:pPr>
              <w:autoSpaceDE w:val="0"/>
              <w:autoSpaceDN w:val="0"/>
              <w:adjustRightInd w:val="0"/>
              <w:jc w:val="both"/>
              <w:rPr>
                <w:rFonts w:ascii="Abadi" w:hAnsi="Abadi"/>
                <w:sz w:val="21"/>
                <w:szCs w:val="21"/>
              </w:rPr>
            </w:pPr>
          </w:p>
          <w:p w14:paraId="3C20F52B" w14:textId="77777777" w:rsidR="002C12E5" w:rsidRDefault="002C12E5" w:rsidP="002C12E5">
            <w:pPr>
              <w:autoSpaceDE w:val="0"/>
              <w:autoSpaceDN w:val="0"/>
              <w:adjustRightInd w:val="0"/>
              <w:jc w:val="both"/>
              <w:rPr>
                <w:rFonts w:ascii="Abadi" w:hAnsi="Abadi"/>
                <w:sz w:val="21"/>
                <w:szCs w:val="21"/>
              </w:rPr>
            </w:pPr>
          </w:p>
          <w:p w14:paraId="007C957F" w14:textId="0C588CDF" w:rsidR="002C12E5" w:rsidRPr="002C12E5" w:rsidRDefault="002C12E5" w:rsidP="002C12E5">
            <w:pPr>
              <w:autoSpaceDE w:val="0"/>
              <w:autoSpaceDN w:val="0"/>
              <w:adjustRightInd w:val="0"/>
              <w:jc w:val="both"/>
              <w:rPr>
                <w:rFonts w:ascii="Abadi" w:hAnsi="Abadi"/>
                <w:b/>
                <w:bCs/>
                <w:sz w:val="21"/>
                <w:szCs w:val="21"/>
              </w:rPr>
            </w:pPr>
            <w:r w:rsidRPr="002C12E5">
              <w:rPr>
                <w:rFonts w:ascii="Abadi" w:hAnsi="Abadi"/>
                <w:b/>
                <w:bCs/>
                <w:sz w:val="21"/>
                <w:szCs w:val="21"/>
              </w:rPr>
              <w:t>Enterados y se informa que se turnó a la Comisión de Salud Pública.</w:t>
            </w:r>
          </w:p>
        </w:tc>
      </w:tr>
      <w:tr w:rsidR="002C12E5" w:rsidRPr="00E43447" w14:paraId="2AA9FD39" w14:textId="77777777">
        <w:tc>
          <w:tcPr>
            <w:tcW w:w="1886" w:type="dxa"/>
          </w:tcPr>
          <w:p w14:paraId="2DCEE10C" w14:textId="4BEC77F0" w:rsidR="00491A99" w:rsidRPr="00491A99" w:rsidRDefault="00491A99" w:rsidP="002C12E5">
            <w:pPr>
              <w:autoSpaceDE w:val="0"/>
              <w:autoSpaceDN w:val="0"/>
              <w:adjustRightInd w:val="0"/>
              <w:jc w:val="both"/>
              <w:rPr>
                <w:rFonts w:ascii="Abadi" w:hAnsi="Abadi"/>
                <w:b/>
                <w:bCs/>
                <w:sz w:val="21"/>
                <w:szCs w:val="21"/>
              </w:rPr>
            </w:pPr>
            <w:r w:rsidRPr="00491A99">
              <w:rPr>
                <w:rFonts w:ascii="Abadi" w:hAnsi="Abadi"/>
                <w:b/>
                <w:bCs/>
                <w:sz w:val="21"/>
                <w:szCs w:val="21"/>
              </w:rPr>
              <w:t>3.1</w:t>
            </w:r>
            <w:r w:rsidR="00CA5EBC">
              <w:rPr>
                <w:rFonts w:ascii="Abadi" w:hAnsi="Abadi"/>
                <w:b/>
                <w:bCs/>
                <w:sz w:val="21"/>
                <w:szCs w:val="21"/>
              </w:rPr>
              <w:t>9</w:t>
            </w:r>
          </w:p>
          <w:p w14:paraId="29F062BE" w14:textId="77777777" w:rsidR="00491A99" w:rsidRPr="00491A99" w:rsidRDefault="00491A99" w:rsidP="002C12E5">
            <w:pPr>
              <w:autoSpaceDE w:val="0"/>
              <w:autoSpaceDN w:val="0"/>
              <w:adjustRightInd w:val="0"/>
              <w:jc w:val="both"/>
              <w:rPr>
                <w:rFonts w:ascii="Abadi" w:hAnsi="Abadi"/>
                <w:sz w:val="21"/>
                <w:szCs w:val="21"/>
              </w:rPr>
            </w:pPr>
          </w:p>
          <w:p w14:paraId="30621A2D" w14:textId="749C442D" w:rsidR="002C12E5" w:rsidRPr="00491A99" w:rsidRDefault="00491A99" w:rsidP="002C12E5">
            <w:pPr>
              <w:autoSpaceDE w:val="0"/>
              <w:autoSpaceDN w:val="0"/>
              <w:adjustRightInd w:val="0"/>
              <w:jc w:val="both"/>
              <w:rPr>
                <w:rFonts w:ascii="Abadi" w:hAnsi="Abadi"/>
                <w:sz w:val="21"/>
                <w:szCs w:val="21"/>
              </w:rPr>
            </w:pPr>
            <w:r w:rsidRPr="00491A99">
              <w:rPr>
                <w:rFonts w:ascii="Abadi" w:hAnsi="Abadi"/>
                <w:sz w:val="21"/>
                <w:szCs w:val="21"/>
              </w:rPr>
              <w:lastRenderedPageBreak/>
              <w:t>El secretario del ayuntamiento de San Luis de la Paz, Gto., solicita opinión respecto si es factible que el proyecto denominado «modernización de alumbrado público a través de la adquisición de ópticas para el mejoramiento visual mediante el uso de tecnología eficiente de dicho municipio», se realice mediante un esquema plurianual.</w:t>
            </w:r>
          </w:p>
        </w:tc>
        <w:tc>
          <w:tcPr>
            <w:tcW w:w="2494" w:type="dxa"/>
          </w:tcPr>
          <w:p w14:paraId="2182DA9E" w14:textId="77777777" w:rsidR="00491A99" w:rsidRPr="00491A99" w:rsidRDefault="00491A99" w:rsidP="002C12E5">
            <w:pPr>
              <w:autoSpaceDE w:val="0"/>
              <w:autoSpaceDN w:val="0"/>
              <w:adjustRightInd w:val="0"/>
              <w:jc w:val="both"/>
              <w:rPr>
                <w:rFonts w:ascii="Abadi" w:hAnsi="Abadi"/>
                <w:b/>
                <w:bCs/>
                <w:sz w:val="21"/>
                <w:szCs w:val="21"/>
              </w:rPr>
            </w:pPr>
          </w:p>
          <w:p w14:paraId="733F7466" w14:textId="77777777" w:rsidR="00491A99" w:rsidRPr="00491A99" w:rsidRDefault="00491A99" w:rsidP="002C12E5">
            <w:pPr>
              <w:autoSpaceDE w:val="0"/>
              <w:autoSpaceDN w:val="0"/>
              <w:adjustRightInd w:val="0"/>
              <w:jc w:val="both"/>
              <w:rPr>
                <w:rFonts w:ascii="Abadi" w:hAnsi="Abadi"/>
                <w:b/>
                <w:bCs/>
                <w:sz w:val="21"/>
                <w:szCs w:val="21"/>
              </w:rPr>
            </w:pPr>
          </w:p>
          <w:p w14:paraId="3E930EC2" w14:textId="3409B3B2" w:rsidR="002C12E5" w:rsidRPr="00491A99" w:rsidRDefault="00491A99" w:rsidP="002C12E5">
            <w:pPr>
              <w:autoSpaceDE w:val="0"/>
              <w:autoSpaceDN w:val="0"/>
              <w:adjustRightInd w:val="0"/>
              <w:jc w:val="both"/>
              <w:rPr>
                <w:rFonts w:ascii="Abadi" w:hAnsi="Abadi"/>
                <w:b/>
                <w:bCs/>
                <w:sz w:val="21"/>
                <w:szCs w:val="21"/>
              </w:rPr>
            </w:pPr>
            <w:r w:rsidRPr="00491A99">
              <w:rPr>
                <w:rFonts w:ascii="Abadi" w:hAnsi="Abadi"/>
                <w:b/>
                <w:bCs/>
                <w:sz w:val="21"/>
                <w:szCs w:val="21"/>
              </w:rPr>
              <w:lastRenderedPageBreak/>
              <w:t>Enterados y se turna a la Comisión de Hacienda y Fiscalización.</w:t>
            </w:r>
          </w:p>
        </w:tc>
      </w:tr>
      <w:tr w:rsidR="002C12E5" w:rsidRPr="00883178" w14:paraId="51CC4165" w14:textId="77777777">
        <w:tc>
          <w:tcPr>
            <w:tcW w:w="1886" w:type="dxa"/>
          </w:tcPr>
          <w:p w14:paraId="566437E4" w14:textId="54BEF0EA" w:rsidR="002C12E5" w:rsidRPr="009429BA" w:rsidRDefault="002C12E5" w:rsidP="002C12E5">
            <w:pPr>
              <w:autoSpaceDE w:val="0"/>
              <w:autoSpaceDN w:val="0"/>
              <w:adjustRightInd w:val="0"/>
              <w:jc w:val="both"/>
              <w:rPr>
                <w:rFonts w:ascii="Abadi" w:hAnsi="Abadi"/>
                <w:sz w:val="21"/>
                <w:szCs w:val="21"/>
              </w:rPr>
            </w:pPr>
          </w:p>
        </w:tc>
        <w:tc>
          <w:tcPr>
            <w:tcW w:w="2494" w:type="dxa"/>
          </w:tcPr>
          <w:p w14:paraId="5DC10AE8" w14:textId="79BC0B60" w:rsidR="002C12E5" w:rsidRPr="009429BA" w:rsidRDefault="002C12E5" w:rsidP="002C12E5">
            <w:pPr>
              <w:autoSpaceDE w:val="0"/>
              <w:autoSpaceDN w:val="0"/>
              <w:adjustRightInd w:val="0"/>
              <w:jc w:val="both"/>
              <w:rPr>
                <w:rFonts w:ascii="Abadi" w:hAnsi="Abadi"/>
                <w:b/>
                <w:bCs/>
                <w:sz w:val="21"/>
                <w:szCs w:val="21"/>
              </w:rPr>
            </w:pPr>
          </w:p>
        </w:tc>
      </w:tr>
      <w:tr w:rsidR="002C12E5" w:rsidRPr="00883178" w14:paraId="5966871D" w14:textId="77777777">
        <w:tc>
          <w:tcPr>
            <w:tcW w:w="1886" w:type="dxa"/>
          </w:tcPr>
          <w:p w14:paraId="669F3D09" w14:textId="77777777" w:rsidR="00CA5EBC" w:rsidRPr="00CA5EBC" w:rsidRDefault="00CA5EBC" w:rsidP="002C12E5">
            <w:pPr>
              <w:autoSpaceDE w:val="0"/>
              <w:autoSpaceDN w:val="0"/>
              <w:adjustRightInd w:val="0"/>
              <w:jc w:val="both"/>
              <w:rPr>
                <w:rFonts w:ascii="Abadi" w:hAnsi="Abadi"/>
                <w:sz w:val="21"/>
                <w:szCs w:val="21"/>
              </w:rPr>
            </w:pPr>
          </w:p>
          <w:p w14:paraId="40E25BE6" w14:textId="77777777" w:rsidR="00CA5EBC" w:rsidRPr="00CA5EBC" w:rsidRDefault="00CA5EBC" w:rsidP="002C12E5">
            <w:pPr>
              <w:autoSpaceDE w:val="0"/>
              <w:autoSpaceDN w:val="0"/>
              <w:adjustRightInd w:val="0"/>
              <w:jc w:val="both"/>
              <w:rPr>
                <w:rFonts w:ascii="Abadi" w:hAnsi="Abadi"/>
                <w:b/>
                <w:bCs/>
                <w:sz w:val="21"/>
                <w:szCs w:val="21"/>
              </w:rPr>
            </w:pPr>
            <w:r w:rsidRPr="00CA5EBC">
              <w:rPr>
                <w:rFonts w:ascii="Abadi" w:hAnsi="Abadi"/>
                <w:b/>
                <w:bCs/>
                <w:sz w:val="21"/>
                <w:szCs w:val="21"/>
              </w:rPr>
              <w:t>4.01</w:t>
            </w:r>
          </w:p>
          <w:p w14:paraId="75A24FB4" w14:textId="77777777" w:rsidR="00CA5EBC" w:rsidRPr="00CA5EBC" w:rsidRDefault="00CA5EBC" w:rsidP="002C12E5">
            <w:pPr>
              <w:autoSpaceDE w:val="0"/>
              <w:autoSpaceDN w:val="0"/>
              <w:adjustRightInd w:val="0"/>
              <w:jc w:val="both"/>
              <w:rPr>
                <w:rFonts w:ascii="Abadi" w:hAnsi="Abadi"/>
                <w:sz w:val="21"/>
                <w:szCs w:val="21"/>
              </w:rPr>
            </w:pPr>
          </w:p>
          <w:p w14:paraId="06E107A8" w14:textId="46EC6317" w:rsidR="002C12E5" w:rsidRPr="00CA5EBC" w:rsidRDefault="00CA5EBC" w:rsidP="002C12E5">
            <w:pPr>
              <w:autoSpaceDE w:val="0"/>
              <w:autoSpaceDN w:val="0"/>
              <w:adjustRightInd w:val="0"/>
              <w:jc w:val="both"/>
              <w:rPr>
                <w:rFonts w:ascii="Abadi" w:hAnsi="Abadi"/>
                <w:sz w:val="21"/>
                <w:szCs w:val="21"/>
              </w:rPr>
            </w:pPr>
            <w:r w:rsidRPr="00CA5EBC">
              <w:rPr>
                <w:rFonts w:ascii="Abadi" w:hAnsi="Abadi"/>
                <w:sz w:val="21"/>
                <w:szCs w:val="21"/>
              </w:rPr>
              <w:t>La Septuagésima Quinta Legislatura del Congreso del Estado de Michoacán comunica la clausura del primer año de ejercicio legal.</w:t>
            </w:r>
          </w:p>
        </w:tc>
        <w:tc>
          <w:tcPr>
            <w:tcW w:w="2494" w:type="dxa"/>
          </w:tcPr>
          <w:p w14:paraId="0A144CF3" w14:textId="77777777" w:rsidR="00CA5EBC" w:rsidRPr="00CA5EBC" w:rsidRDefault="00CA5EBC" w:rsidP="002C12E5">
            <w:pPr>
              <w:autoSpaceDE w:val="0"/>
              <w:autoSpaceDN w:val="0"/>
              <w:adjustRightInd w:val="0"/>
              <w:jc w:val="both"/>
              <w:rPr>
                <w:rFonts w:ascii="Abadi" w:hAnsi="Abadi"/>
                <w:b/>
                <w:bCs/>
                <w:sz w:val="21"/>
                <w:szCs w:val="21"/>
              </w:rPr>
            </w:pPr>
          </w:p>
          <w:p w14:paraId="634C10E6" w14:textId="77777777" w:rsidR="00CA5EBC" w:rsidRPr="00CA5EBC" w:rsidRDefault="00CA5EBC" w:rsidP="002C12E5">
            <w:pPr>
              <w:autoSpaceDE w:val="0"/>
              <w:autoSpaceDN w:val="0"/>
              <w:adjustRightInd w:val="0"/>
              <w:jc w:val="both"/>
              <w:rPr>
                <w:rFonts w:ascii="Abadi" w:hAnsi="Abadi"/>
                <w:b/>
                <w:bCs/>
                <w:sz w:val="21"/>
                <w:szCs w:val="21"/>
              </w:rPr>
            </w:pPr>
          </w:p>
          <w:p w14:paraId="01EF6E49" w14:textId="47D8CD62" w:rsidR="002C12E5" w:rsidRPr="00CA5EBC" w:rsidRDefault="00CA5EBC" w:rsidP="002C12E5">
            <w:pPr>
              <w:autoSpaceDE w:val="0"/>
              <w:autoSpaceDN w:val="0"/>
              <w:adjustRightInd w:val="0"/>
              <w:jc w:val="both"/>
              <w:rPr>
                <w:rFonts w:ascii="Abadi" w:hAnsi="Abadi"/>
                <w:b/>
                <w:bCs/>
                <w:sz w:val="21"/>
                <w:szCs w:val="21"/>
              </w:rPr>
            </w:pPr>
            <w:r w:rsidRPr="00CA5EBC">
              <w:rPr>
                <w:rFonts w:ascii="Abadi" w:hAnsi="Abadi"/>
                <w:b/>
                <w:bCs/>
                <w:sz w:val="21"/>
                <w:szCs w:val="21"/>
              </w:rPr>
              <w:t>Enterados</w:t>
            </w:r>
          </w:p>
        </w:tc>
      </w:tr>
      <w:tr w:rsidR="002C12E5" w:rsidRPr="00883178" w14:paraId="62FDFAC7" w14:textId="77777777">
        <w:tc>
          <w:tcPr>
            <w:tcW w:w="1886" w:type="dxa"/>
          </w:tcPr>
          <w:p w14:paraId="14B4B97F" w14:textId="009F0AB2" w:rsidR="00CA5EBC" w:rsidRPr="00CA5EBC" w:rsidRDefault="00CA5EBC" w:rsidP="002C12E5">
            <w:pPr>
              <w:autoSpaceDE w:val="0"/>
              <w:autoSpaceDN w:val="0"/>
              <w:adjustRightInd w:val="0"/>
              <w:jc w:val="both"/>
              <w:rPr>
                <w:rFonts w:ascii="Abadi" w:hAnsi="Abadi"/>
                <w:b/>
                <w:bCs/>
                <w:sz w:val="21"/>
                <w:szCs w:val="21"/>
              </w:rPr>
            </w:pPr>
            <w:r w:rsidRPr="00CA5EBC">
              <w:rPr>
                <w:rFonts w:ascii="Abadi" w:hAnsi="Abadi"/>
                <w:b/>
                <w:bCs/>
                <w:sz w:val="21"/>
                <w:szCs w:val="21"/>
              </w:rPr>
              <w:t>4.02</w:t>
            </w:r>
          </w:p>
          <w:p w14:paraId="6445E1E8" w14:textId="77777777" w:rsidR="00CA5EBC" w:rsidRPr="00CA5EBC" w:rsidRDefault="00CA5EBC" w:rsidP="002C12E5">
            <w:pPr>
              <w:autoSpaceDE w:val="0"/>
              <w:autoSpaceDN w:val="0"/>
              <w:adjustRightInd w:val="0"/>
              <w:jc w:val="both"/>
              <w:rPr>
                <w:rFonts w:ascii="Abadi" w:hAnsi="Abadi"/>
                <w:sz w:val="21"/>
                <w:szCs w:val="21"/>
              </w:rPr>
            </w:pPr>
          </w:p>
          <w:p w14:paraId="4D5A3DE7" w14:textId="743D0717" w:rsidR="002C12E5" w:rsidRPr="00CA5EBC" w:rsidRDefault="00CA5EBC" w:rsidP="002C12E5">
            <w:pPr>
              <w:autoSpaceDE w:val="0"/>
              <w:autoSpaceDN w:val="0"/>
              <w:adjustRightInd w:val="0"/>
              <w:jc w:val="both"/>
              <w:rPr>
                <w:rFonts w:ascii="Abadi" w:hAnsi="Abadi"/>
                <w:sz w:val="21"/>
                <w:szCs w:val="21"/>
              </w:rPr>
            </w:pPr>
            <w:r w:rsidRPr="00CA5EBC">
              <w:rPr>
                <w:rFonts w:ascii="Abadi" w:hAnsi="Abadi"/>
                <w:sz w:val="21"/>
                <w:szCs w:val="21"/>
              </w:rPr>
              <w:t>La Septuagésima Quinta Legislatura del Congreso del Estado de Michoacán comunica la apertura del segundo año de ejercicio legal.</w:t>
            </w:r>
          </w:p>
        </w:tc>
        <w:tc>
          <w:tcPr>
            <w:tcW w:w="2494" w:type="dxa"/>
          </w:tcPr>
          <w:p w14:paraId="2BDB8808" w14:textId="77777777" w:rsidR="00CA5EBC" w:rsidRPr="00CA5EBC" w:rsidRDefault="00CA5EBC" w:rsidP="002C12E5">
            <w:pPr>
              <w:autoSpaceDE w:val="0"/>
              <w:autoSpaceDN w:val="0"/>
              <w:adjustRightInd w:val="0"/>
              <w:jc w:val="both"/>
              <w:rPr>
                <w:rFonts w:ascii="Abadi" w:hAnsi="Abadi"/>
                <w:b/>
                <w:bCs/>
                <w:sz w:val="21"/>
                <w:szCs w:val="21"/>
              </w:rPr>
            </w:pPr>
          </w:p>
          <w:p w14:paraId="7DA9ADE3" w14:textId="77777777" w:rsidR="00CA5EBC" w:rsidRPr="00CA5EBC" w:rsidRDefault="00CA5EBC" w:rsidP="002C12E5">
            <w:pPr>
              <w:autoSpaceDE w:val="0"/>
              <w:autoSpaceDN w:val="0"/>
              <w:adjustRightInd w:val="0"/>
              <w:jc w:val="both"/>
              <w:rPr>
                <w:rFonts w:ascii="Abadi" w:hAnsi="Abadi"/>
                <w:b/>
                <w:bCs/>
                <w:sz w:val="21"/>
                <w:szCs w:val="21"/>
              </w:rPr>
            </w:pPr>
          </w:p>
          <w:p w14:paraId="1A0593A6" w14:textId="1FFE665C" w:rsidR="002C12E5" w:rsidRPr="00CA5EBC" w:rsidRDefault="00CA5EBC" w:rsidP="002C12E5">
            <w:pPr>
              <w:autoSpaceDE w:val="0"/>
              <w:autoSpaceDN w:val="0"/>
              <w:adjustRightInd w:val="0"/>
              <w:jc w:val="both"/>
              <w:rPr>
                <w:rFonts w:ascii="Abadi" w:hAnsi="Abadi"/>
                <w:b/>
                <w:bCs/>
                <w:sz w:val="21"/>
                <w:szCs w:val="21"/>
              </w:rPr>
            </w:pPr>
            <w:r w:rsidRPr="00CA5EBC">
              <w:rPr>
                <w:rFonts w:ascii="Abadi" w:hAnsi="Abadi"/>
                <w:b/>
                <w:bCs/>
                <w:sz w:val="21"/>
                <w:szCs w:val="21"/>
              </w:rPr>
              <w:t>Enterados</w:t>
            </w:r>
          </w:p>
        </w:tc>
      </w:tr>
      <w:tr w:rsidR="00CA5EBC" w:rsidRPr="00883178" w14:paraId="43E76182" w14:textId="77777777">
        <w:tc>
          <w:tcPr>
            <w:tcW w:w="1886" w:type="dxa"/>
          </w:tcPr>
          <w:p w14:paraId="758B9479" w14:textId="62663D16" w:rsidR="00CA5EBC" w:rsidRPr="00C05FBD" w:rsidRDefault="00CA5EBC" w:rsidP="00CA5EBC">
            <w:pPr>
              <w:autoSpaceDE w:val="0"/>
              <w:autoSpaceDN w:val="0"/>
              <w:adjustRightInd w:val="0"/>
              <w:jc w:val="both"/>
              <w:rPr>
                <w:rFonts w:ascii="Abadi" w:hAnsi="Abadi"/>
                <w:b/>
                <w:bCs/>
                <w:sz w:val="21"/>
                <w:szCs w:val="21"/>
              </w:rPr>
            </w:pPr>
            <w:r w:rsidRPr="00C05FBD">
              <w:rPr>
                <w:rFonts w:ascii="Abadi" w:hAnsi="Abadi"/>
                <w:b/>
                <w:bCs/>
                <w:sz w:val="21"/>
                <w:szCs w:val="21"/>
              </w:rPr>
              <w:t>4.03</w:t>
            </w:r>
          </w:p>
          <w:p w14:paraId="541369A1" w14:textId="77777777" w:rsidR="00CA5EBC" w:rsidRPr="00CA5EBC" w:rsidRDefault="00CA5EBC" w:rsidP="00CA5EBC">
            <w:pPr>
              <w:autoSpaceDE w:val="0"/>
              <w:autoSpaceDN w:val="0"/>
              <w:adjustRightInd w:val="0"/>
              <w:jc w:val="both"/>
              <w:rPr>
                <w:rFonts w:ascii="Abadi" w:hAnsi="Abadi"/>
                <w:sz w:val="21"/>
                <w:szCs w:val="21"/>
              </w:rPr>
            </w:pPr>
          </w:p>
          <w:p w14:paraId="448A9C54" w14:textId="06CBD0BC" w:rsidR="00CA5EBC" w:rsidRPr="00C05FBD" w:rsidRDefault="00CA5EBC" w:rsidP="00CA5EBC">
            <w:pPr>
              <w:autoSpaceDE w:val="0"/>
              <w:autoSpaceDN w:val="0"/>
              <w:adjustRightInd w:val="0"/>
              <w:jc w:val="both"/>
              <w:rPr>
                <w:rFonts w:ascii="Abadi" w:hAnsi="Abadi"/>
                <w:sz w:val="21"/>
                <w:szCs w:val="21"/>
              </w:rPr>
            </w:pPr>
            <w:r w:rsidRPr="00CA5EBC">
              <w:rPr>
                <w:rFonts w:ascii="Abadi" w:hAnsi="Abadi"/>
                <w:sz w:val="21"/>
                <w:szCs w:val="21"/>
              </w:rPr>
              <w:t xml:space="preserve">La Septuagésima Quinta Legislatura del Congreso del Estado de Michoacán comunica la integración de la Mesa Directiva </w:t>
            </w:r>
            <w:r w:rsidRPr="00CA5EBC">
              <w:rPr>
                <w:rFonts w:ascii="Abadi" w:hAnsi="Abadi"/>
                <w:sz w:val="21"/>
                <w:szCs w:val="21"/>
              </w:rPr>
              <w:t>para el segundo año de ejercicio legal.</w:t>
            </w:r>
          </w:p>
        </w:tc>
        <w:tc>
          <w:tcPr>
            <w:tcW w:w="2494" w:type="dxa"/>
          </w:tcPr>
          <w:p w14:paraId="3C644118" w14:textId="77777777" w:rsidR="00CA5EBC" w:rsidRPr="00C05FBD" w:rsidRDefault="00CA5EBC" w:rsidP="00CA5EBC">
            <w:pPr>
              <w:autoSpaceDE w:val="0"/>
              <w:autoSpaceDN w:val="0"/>
              <w:adjustRightInd w:val="0"/>
              <w:jc w:val="both"/>
              <w:rPr>
                <w:rFonts w:ascii="Abadi" w:hAnsi="Abadi"/>
                <w:sz w:val="21"/>
                <w:szCs w:val="21"/>
              </w:rPr>
            </w:pPr>
          </w:p>
          <w:p w14:paraId="6D22007F" w14:textId="77777777" w:rsidR="00CA5EBC" w:rsidRPr="00C05FBD" w:rsidRDefault="00CA5EBC" w:rsidP="00CA5EBC">
            <w:pPr>
              <w:autoSpaceDE w:val="0"/>
              <w:autoSpaceDN w:val="0"/>
              <w:adjustRightInd w:val="0"/>
              <w:jc w:val="both"/>
              <w:rPr>
                <w:rFonts w:ascii="Abadi" w:hAnsi="Abadi"/>
                <w:sz w:val="21"/>
                <w:szCs w:val="21"/>
              </w:rPr>
            </w:pPr>
          </w:p>
          <w:p w14:paraId="149C1BE8" w14:textId="4C79EC9D" w:rsidR="00CA5EBC" w:rsidRPr="00C05FBD" w:rsidRDefault="00CA5EBC" w:rsidP="00CA5EBC">
            <w:pPr>
              <w:autoSpaceDE w:val="0"/>
              <w:autoSpaceDN w:val="0"/>
              <w:adjustRightInd w:val="0"/>
              <w:jc w:val="both"/>
              <w:rPr>
                <w:rFonts w:ascii="Abadi" w:hAnsi="Abadi"/>
                <w:b/>
                <w:bCs/>
                <w:sz w:val="21"/>
                <w:szCs w:val="21"/>
              </w:rPr>
            </w:pPr>
            <w:r w:rsidRPr="00C05FBD">
              <w:rPr>
                <w:rFonts w:ascii="Abadi" w:hAnsi="Abadi"/>
                <w:b/>
                <w:bCs/>
                <w:sz w:val="21"/>
                <w:szCs w:val="21"/>
              </w:rPr>
              <w:t>Enterados</w:t>
            </w:r>
          </w:p>
        </w:tc>
      </w:tr>
      <w:tr w:rsidR="00CA5EBC" w:rsidRPr="00883178" w14:paraId="56A11FE5" w14:textId="77777777">
        <w:tc>
          <w:tcPr>
            <w:tcW w:w="1886" w:type="dxa"/>
          </w:tcPr>
          <w:p w14:paraId="5FAB576C" w14:textId="42517DC9" w:rsidR="00C05FBD" w:rsidRPr="00C05FBD" w:rsidRDefault="00C05FBD" w:rsidP="00CA5EBC">
            <w:pPr>
              <w:autoSpaceDE w:val="0"/>
              <w:autoSpaceDN w:val="0"/>
              <w:adjustRightInd w:val="0"/>
              <w:jc w:val="both"/>
              <w:rPr>
                <w:rFonts w:ascii="Abadi" w:hAnsi="Abadi"/>
                <w:b/>
                <w:bCs/>
                <w:sz w:val="21"/>
                <w:szCs w:val="21"/>
              </w:rPr>
            </w:pPr>
            <w:r w:rsidRPr="00C05FBD">
              <w:rPr>
                <w:rFonts w:ascii="Abadi" w:hAnsi="Abadi"/>
                <w:b/>
                <w:bCs/>
                <w:sz w:val="21"/>
                <w:szCs w:val="21"/>
              </w:rPr>
              <w:t>4.04</w:t>
            </w:r>
          </w:p>
          <w:p w14:paraId="4AA2D3D7" w14:textId="77777777" w:rsidR="00C05FBD" w:rsidRDefault="00C05FBD" w:rsidP="00CA5EBC">
            <w:pPr>
              <w:autoSpaceDE w:val="0"/>
              <w:autoSpaceDN w:val="0"/>
              <w:adjustRightInd w:val="0"/>
              <w:jc w:val="both"/>
              <w:rPr>
                <w:rFonts w:ascii="Abadi" w:hAnsi="Abadi"/>
                <w:sz w:val="21"/>
                <w:szCs w:val="21"/>
              </w:rPr>
            </w:pPr>
          </w:p>
          <w:p w14:paraId="19F49EA3" w14:textId="4B45AA4B" w:rsidR="00CA5EBC" w:rsidRPr="00CA5EBC" w:rsidRDefault="00C05FBD" w:rsidP="00CA5EBC">
            <w:pPr>
              <w:autoSpaceDE w:val="0"/>
              <w:autoSpaceDN w:val="0"/>
              <w:adjustRightInd w:val="0"/>
              <w:jc w:val="both"/>
              <w:rPr>
                <w:rFonts w:ascii="Abadi" w:hAnsi="Abadi"/>
                <w:sz w:val="21"/>
                <w:szCs w:val="21"/>
              </w:rPr>
            </w:pPr>
            <w:r w:rsidRPr="00C05FBD">
              <w:rPr>
                <w:rFonts w:ascii="Abadi" w:hAnsi="Abadi"/>
                <w:sz w:val="21"/>
                <w:szCs w:val="21"/>
              </w:rPr>
              <w:t>La Sexagésima Cuarta Legislatura del Congreso del Estado de Campeche comunica la clausura de los trabajos del tercer periodo de receso del primer año de ejercicio constitucional que comprendió del 1 de agosto al 30 de septiembre del año en curso, correspondiente al primer año de ejercicio constitucional.</w:t>
            </w:r>
          </w:p>
        </w:tc>
        <w:tc>
          <w:tcPr>
            <w:tcW w:w="2494" w:type="dxa"/>
          </w:tcPr>
          <w:p w14:paraId="681F48CC" w14:textId="77777777" w:rsidR="00C05FBD" w:rsidRDefault="00C05FBD" w:rsidP="00CA5EBC">
            <w:pPr>
              <w:autoSpaceDE w:val="0"/>
              <w:autoSpaceDN w:val="0"/>
              <w:adjustRightInd w:val="0"/>
              <w:jc w:val="both"/>
              <w:rPr>
                <w:rFonts w:ascii="Abadi" w:hAnsi="Abadi"/>
                <w:sz w:val="21"/>
                <w:szCs w:val="21"/>
              </w:rPr>
            </w:pPr>
          </w:p>
          <w:p w14:paraId="02647FD5" w14:textId="77777777" w:rsidR="00C05FBD" w:rsidRDefault="00C05FBD" w:rsidP="00CA5EBC">
            <w:pPr>
              <w:autoSpaceDE w:val="0"/>
              <w:autoSpaceDN w:val="0"/>
              <w:adjustRightInd w:val="0"/>
              <w:jc w:val="both"/>
              <w:rPr>
                <w:rFonts w:ascii="Abadi" w:hAnsi="Abadi"/>
                <w:sz w:val="21"/>
                <w:szCs w:val="21"/>
              </w:rPr>
            </w:pPr>
          </w:p>
          <w:p w14:paraId="58768A36" w14:textId="1338BAD7" w:rsidR="00CA5EBC" w:rsidRPr="00C05FBD" w:rsidRDefault="00C05FBD" w:rsidP="00CA5EBC">
            <w:pPr>
              <w:autoSpaceDE w:val="0"/>
              <w:autoSpaceDN w:val="0"/>
              <w:adjustRightInd w:val="0"/>
              <w:jc w:val="both"/>
              <w:rPr>
                <w:rFonts w:ascii="Abadi" w:hAnsi="Abadi"/>
                <w:b/>
                <w:bCs/>
                <w:sz w:val="21"/>
                <w:szCs w:val="21"/>
              </w:rPr>
            </w:pPr>
            <w:r w:rsidRPr="00C05FBD">
              <w:rPr>
                <w:rFonts w:ascii="Abadi" w:hAnsi="Abadi"/>
                <w:b/>
                <w:bCs/>
                <w:sz w:val="21"/>
                <w:szCs w:val="21"/>
              </w:rPr>
              <w:t>Enterados</w:t>
            </w:r>
          </w:p>
        </w:tc>
      </w:tr>
      <w:tr w:rsidR="00CA5EBC" w:rsidRPr="00883178" w14:paraId="29E0B0AF" w14:textId="77777777">
        <w:tc>
          <w:tcPr>
            <w:tcW w:w="1886" w:type="dxa"/>
          </w:tcPr>
          <w:p w14:paraId="656FA98D" w14:textId="77777777" w:rsidR="00C05FBD" w:rsidRPr="00C05FBD" w:rsidRDefault="00C05FBD" w:rsidP="00CA5EBC">
            <w:pPr>
              <w:autoSpaceDE w:val="0"/>
              <w:autoSpaceDN w:val="0"/>
              <w:adjustRightInd w:val="0"/>
              <w:jc w:val="both"/>
              <w:rPr>
                <w:rFonts w:ascii="Abadi" w:hAnsi="Abadi"/>
                <w:b/>
                <w:bCs/>
                <w:sz w:val="21"/>
                <w:szCs w:val="21"/>
              </w:rPr>
            </w:pPr>
            <w:r w:rsidRPr="00C05FBD">
              <w:rPr>
                <w:rFonts w:ascii="Abadi" w:hAnsi="Abadi"/>
                <w:b/>
                <w:bCs/>
                <w:sz w:val="21"/>
                <w:szCs w:val="21"/>
              </w:rPr>
              <w:t>4.05</w:t>
            </w:r>
          </w:p>
          <w:p w14:paraId="2EC38458" w14:textId="77777777" w:rsidR="00C05FBD" w:rsidRDefault="00C05FBD" w:rsidP="00CA5EBC">
            <w:pPr>
              <w:autoSpaceDE w:val="0"/>
              <w:autoSpaceDN w:val="0"/>
              <w:adjustRightInd w:val="0"/>
              <w:jc w:val="both"/>
              <w:rPr>
                <w:rFonts w:ascii="Abadi" w:hAnsi="Abadi"/>
                <w:sz w:val="21"/>
                <w:szCs w:val="21"/>
              </w:rPr>
            </w:pPr>
          </w:p>
          <w:p w14:paraId="077106A0" w14:textId="07C86B28" w:rsidR="00CA5EBC" w:rsidRPr="004C211B" w:rsidRDefault="00C05FBD" w:rsidP="00CA5EBC">
            <w:pPr>
              <w:autoSpaceDE w:val="0"/>
              <w:autoSpaceDN w:val="0"/>
              <w:adjustRightInd w:val="0"/>
              <w:jc w:val="both"/>
              <w:rPr>
                <w:rFonts w:ascii="Abadi" w:hAnsi="Abadi"/>
                <w:sz w:val="21"/>
                <w:szCs w:val="21"/>
              </w:rPr>
            </w:pPr>
            <w:r w:rsidRPr="00C05FBD">
              <w:rPr>
                <w:rFonts w:ascii="Abadi" w:hAnsi="Abadi"/>
                <w:sz w:val="21"/>
                <w:szCs w:val="21"/>
              </w:rPr>
              <w:t>La Sexagésima Cuarta Legislatura del Congreso del Estado de Campeche comunica la integración de la Mesa Directiva y la apertura de los trabajos del primer periodo ordinario de sesiones que comprende del 1 de octubre al 20 de diciembre del año en curso, correspondiente al segundo año de ejercicio constitucional.</w:t>
            </w:r>
          </w:p>
        </w:tc>
        <w:tc>
          <w:tcPr>
            <w:tcW w:w="2494" w:type="dxa"/>
          </w:tcPr>
          <w:p w14:paraId="6B3645CC" w14:textId="77777777" w:rsidR="00C05FBD" w:rsidRDefault="00C05FBD" w:rsidP="00CA5EBC">
            <w:pPr>
              <w:autoSpaceDE w:val="0"/>
              <w:autoSpaceDN w:val="0"/>
              <w:adjustRightInd w:val="0"/>
              <w:jc w:val="both"/>
              <w:rPr>
                <w:rFonts w:ascii="Abadi" w:hAnsi="Abadi"/>
                <w:b/>
                <w:bCs/>
                <w:sz w:val="21"/>
                <w:szCs w:val="21"/>
              </w:rPr>
            </w:pPr>
          </w:p>
          <w:p w14:paraId="2B2605D0" w14:textId="77777777" w:rsidR="00C05FBD" w:rsidRDefault="00C05FBD" w:rsidP="00CA5EBC">
            <w:pPr>
              <w:autoSpaceDE w:val="0"/>
              <w:autoSpaceDN w:val="0"/>
              <w:adjustRightInd w:val="0"/>
              <w:jc w:val="both"/>
              <w:rPr>
                <w:rFonts w:ascii="Abadi" w:hAnsi="Abadi"/>
                <w:b/>
                <w:bCs/>
                <w:sz w:val="21"/>
                <w:szCs w:val="21"/>
              </w:rPr>
            </w:pPr>
          </w:p>
          <w:p w14:paraId="1617CB58" w14:textId="1C20A350" w:rsidR="00CA5EBC" w:rsidRPr="00C05FBD" w:rsidRDefault="00C05FBD" w:rsidP="00CA5EBC">
            <w:pPr>
              <w:autoSpaceDE w:val="0"/>
              <w:autoSpaceDN w:val="0"/>
              <w:adjustRightInd w:val="0"/>
              <w:jc w:val="both"/>
              <w:rPr>
                <w:rFonts w:ascii="Abadi" w:hAnsi="Abadi"/>
                <w:b/>
                <w:bCs/>
                <w:sz w:val="21"/>
                <w:szCs w:val="21"/>
              </w:rPr>
            </w:pPr>
            <w:r w:rsidRPr="00C05FBD">
              <w:rPr>
                <w:rFonts w:ascii="Abadi" w:hAnsi="Abadi"/>
                <w:b/>
                <w:bCs/>
                <w:sz w:val="21"/>
                <w:szCs w:val="21"/>
              </w:rPr>
              <w:t>Enterados</w:t>
            </w:r>
          </w:p>
        </w:tc>
      </w:tr>
      <w:bookmarkEnd w:id="3"/>
    </w:tbl>
    <w:p w14:paraId="1AAB75CD" w14:textId="673D66B6" w:rsidR="00E462B6" w:rsidRDefault="00E462B6" w:rsidP="00E462B6">
      <w:pPr>
        <w:autoSpaceDE w:val="0"/>
        <w:autoSpaceDN w:val="0"/>
        <w:adjustRightInd w:val="0"/>
        <w:jc w:val="both"/>
        <w:rPr>
          <w:rFonts w:ascii="Abadi" w:hAnsi="Abadi" w:cs="ArialMT"/>
          <w:b/>
          <w:bCs/>
          <w:sz w:val="20"/>
          <w:szCs w:val="21"/>
        </w:rPr>
      </w:pPr>
    </w:p>
    <w:p w14:paraId="399A3B25" w14:textId="6CDBCAE9" w:rsidR="000C11B2" w:rsidRDefault="000C11B2" w:rsidP="00E462B6">
      <w:pPr>
        <w:autoSpaceDE w:val="0"/>
        <w:autoSpaceDN w:val="0"/>
        <w:adjustRightInd w:val="0"/>
        <w:jc w:val="both"/>
        <w:rPr>
          <w:rFonts w:ascii="Abadi" w:hAnsi="Abadi" w:cs="ArialMT"/>
          <w:b/>
          <w:bCs/>
          <w:sz w:val="20"/>
          <w:szCs w:val="21"/>
        </w:rPr>
      </w:pPr>
    </w:p>
    <w:p w14:paraId="0B7DAD27" w14:textId="0452FB79" w:rsidR="000C11B2" w:rsidRDefault="000C11B2" w:rsidP="000C11B2">
      <w:pPr>
        <w:ind w:firstLine="708"/>
        <w:jc w:val="both"/>
        <w:rPr>
          <w:rFonts w:ascii="Abadi" w:hAnsi="Abadi"/>
          <w:sz w:val="21"/>
          <w:szCs w:val="21"/>
        </w:rPr>
      </w:pPr>
      <w:r w:rsidRPr="00AA7107">
        <w:rPr>
          <w:rFonts w:ascii="Abadi" w:hAnsi="Abadi"/>
          <w:b/>
          <w:bCs/>
          <w:sz w:val="21"/>
          <w:szCs w:val="21"/>
        </w:rPr>
        <w:t>- El Presidente.-</w:t>
      </w:r>
      <w:r w:rsidRPr="00AA7107">
        <w:rPr>
          <w:rFonts w:ascii="Abadi" w:hAnsi="Abadi"/>
          <w:sz w:val="21"/>
          <w:szCs w:val="21"/>
        </w:rPr>
        <w:t xml:space="preserve">  En el siguiente punto del orden del día relativo a las comunicaciones y correspondencias recibidas se propone la dispensa de lectura en razón de encontrarse en la Gaceta Parlamentaria.</w:t>
      </w:r>
    </w:p>
    <w:p w14:paraId="7E860D0C" w14:textId="77777777" w:rsidR="000C11B2" w:rsidRPr="00AA7107" w:rsidRDefault="000C11B2" w:rsidP="000C11B2">
      <w:pPr>
        <w:jc w:val="both"/>
        <w:rPr>
          <w:rFonts w:ascii="Abadi" w:hAnsi="Abadi"/>
          <w:sz w:val="21"/>
          <w:szCs w:val="21"/>
        </w:rPr>
      </w:pPr>
    </w:p>
    <w:p w14:paraId="6F685787" w14:textId="77AF791F" w:rsidR="000C11B2" w:rsidRDefault="000C11B2" w:rsidP="000C11B2">
      <w:pPr>
        <w:ind w:firstLine="708"/>
        <w:jc w:val="both"/>
        <w:rPr>
          <w:rFonts w:ascii="Abadi" w:hAnsi="Abadi"/>
          <w:sz w:val="21"/>
          <w:szCs w:val="21"/>
        </w:rPr>
      </w:pPr>
      <w:r w:rsidRPr="00AA7107">
        <w:rPr>
          <w:rFonts w:ascii="Abadi" w:hAnsi="Abadi"/>
          <w:sz w:val="21"/>
          <w:szCs w:val="21"/>
        </w:rPr>
        <w:t>- Sí, alguna diputada o algún diputado desea hacer uso de la palabra respecto a esta propuesta indiquenlo por favor.</w:t>
      </w:r>
    </w:p>
    <w:p w14:paraId="21C68C88" w14:textId="77777777" w:rsidR="000C11B2" w:rsidRPr="00AA7107" w:rsidRDefault="000C11B2" w:rsidP="000C11B2">
      <w:pPr>
        <w:ind w:firstLine="708"/>
        <w:jc w:val="both"/>
        <w:rPr>
          <w:rFonts w:ascii="Abadi" w:hAnsi="Abadi"/>
          <w:sz w:val="21"/>
          <w:szCs w:val="21"/>
        </w:rPr>
      </w:pPr>
    </w:p>
    <w:p w14:paraId="10F2D640" w14:textId="5909F108" w:rsidR="000C11B2" w:rsidRDefault="000C11B2" w:rsidP="000C11B2">
      <w:pPr>
        <w:ind w:firstLine="708"/>
        <w:jc w:val="both"/>
        <w:rPr>
          <w:rFonts w:ascii="Abadi" w:hAnsi="Abadi"/>
          <w:sz w:val="21"/>
          <w:szCs w:val="21"/>
        </w:rPr>
      </w:pPr>
      <w:r w:rsidRPr="00AA7107">
        <w:rPr>
          <w:rFonts w:ascii="Abadi" w:hAnsi="Abadi"/>
          <w:sz w:val="21"/>
          <w:szCs w:val="21"/>
        </w:rPr>
        <w:t xml:space="preserve">- Al no registrarse intervenciones se solicita a la Secretaría que en votación económica y a través de nuestro sistema electrónico pregunte a las diputadas y a los diputados si se aprueba la propuesta. </w:t>
      </w:r>
    </w:p>
    <w:p w14:paraId="6D709F83" w14:textId="77777777" w:rsidR="000C11B2" w:rsidRPr="00AA7107" w:rsidRDefault="000C11B2" w:rsidP="000C11B2">
      <w:pPr>
        <w:jc w:val="both"/>
        <w:rPr>
          <w:rFonts w:ascii="Abadi" w:hAnsi="Abadi"/>
          <w:sz w:val="21"/>
          <w:szCs w:val="21"/>
        </w:rPr>
      </w:pPr>
    </w:p>
    <w:p w14:paraId="4F1200A2" w14:textId="14A45C1A" w:rsidR="000C11B2" w:rsidRDefault="000C11B2" w:rsidP="000C11B2">
      <w:pPr>
        <w:jc w:val="both"/>
        <w:rPr>
          <w:rFonts w:ascii="Abadi" w:hAnsi="Abadi"/>
          <w:b/>
          <w:bCs/>
          <w:sz w:val="21"/>
          <w:szCs w:val="21"/>
        </w:rPr>
      </w:pPr>
      <w:r w:rsidRPr="00AA7107">
        <w:rPr>
          <w:rFonts w:ascii="Abadi" w:hAnsi="Abadi"/>
          <w:b/>
          <w:bCs/>
          <w:sz w:val="21"/>
          <w:szCs w:val="21"/>
        </w:rPr>
        <w:t>(Se abre nuestro sistema electrónico)</w:t>
      </w:r>
    </w:p>
    <w:p w14:paraId="006E2080" w14:textId="77777777" w:rsidR="000C11B2" w:rsidRPr="00AA7107" w:rsidRDefault="000C11B2" w:rsidP="000C11B2">
      <w:pPr>
        <w:jc w:val="both"/>
        <w:rPr>
          <w:rFonts w:ascii="Abadi" w:hAnsi="Abadi"/>
          <w:b/>
          <w:bCs/>
          <w:sz w:val="21"/>
          <w:szCs w:val="21"/>
        </w:rPr>
      </w:pPr>
    </w:p>
    <w:p w14:paraId="00AF2737" w14:textId="1BE173D1" w:rsidR="000C11B2" w:rsidRDefault="000C11B2" w:rsidP="000C11B2">
      <w:pPr>
        <w:ind w:firstLine="708"/>
        <w:jc w:val="both"/>
        <w:rPr>
          <w:rFonts w:ascii="Abadi" w:hAnsi="Abadi"/>
          <w:sz w:val="21"/>
          <w:szCs w:val="21"/>
        </w:rPr>
      </w:pPr>
      <w:r w:rsidRPr="00AA7107">
        <w:rPr>
          <w:rFonts w:ascii="Abadi" w:hAnsi="Abadi"/>
          <w:b/>
          <w:bCs/>
          <w:sz w:val="21"/>
          <w:szCs w:val="21"/>
        </w:rPr>
        <w:t>- El Secretario.-</w:t>
      </w:r>
      <w:r w:rsidRPr="00AA7107">
        <w:rPr>
          <w:rFonts w:ascii="Abadi" w:hAnsi="Abadi"/>
          <w:sz w:val="21"/>
          <w:szCs w:val="21"/>
        </w:rPr>
        <w:t xml:space="preserve"> En votación económica se consulta a las diputadas y los diputados si se aprueba la propuesta a través del sistema electrónico. ¿Diputada Susana Bermúdez Cano? ¿Diputada Janet Melanie?</w:t>
      </w:r>
    </w:p>
    <w:p w14:paraId="3324DDF0" w14:textId="77777777" w:rsidR="000C11B2" w:rsidRPr="00AA7107" w:rsidRDefault="000C11B2" w:rsidP="000C11B2">
      <w:pPr>
        <w:jc w:val="both"/>
        <w:rPr>
          <w:rFonts w:ascii="Abadi" w:hAnsi="Abadi"/>
          <w:sz w:val="21"/>
          <w:szCs w:val="21"/>
        </w:rPr>
      </w:pPr>
    </w:p>
    <w:p w14:paraId="5A800CB8" w14:textId="28630A55" w:rsidR="000C11B2" w:rsidRDefault="000C11B2" w:rsidP="000C11B2">
      <w:pPr>
        <w:ind w:firstLine="708"/>
        <w:jc w:val="both"/>
        <w:rPr>
          <w:rFonts w:ascii="Abadi" w:hAnsi="Abadi"/>
          <w:sz w:val="21"/>
          <w:szCs w:val="21"/>
        </w:rPr>
      </w:pPr>
      <w:r w:rsidRPr="00AA7107">
        <w:rPr>
          <w:rFonts w:ascii="Abadi" w:hAnsi="Abadi"/>
          <w:sz w:val="21"/>
          <w:szCs w:val="21"/>
        </w:rPr>
        <w:t>¿Falta alguna diputada o un diputado de emitir su voto?</w:t>
      </w:r>
    </w:p>
    <w:p w14:paraId="7A901B4E" w14:textId="77777777" w:rsidR="000C11B2" w:rsidRPr="00AA7107" w:rsidRDefault="000C11B2" w:rsidP="000C11B2">
      <w:pPr>
        <w:ind w:firstLine="708"/>
        <w:jc w:val="both"/>
        <w:rPr>
          <w:rFonts w:ascii="Abadi" w:hAnsi="Abadi"/>
          <w:sz w:val="21"/>
          <w:szCs w:val="21"/>
        </w:rPr>
      </w:pPr>
    </w:p>
    <w:p w14:paraId="7D74E155" w14:textId="1C0EE819" w:rsidR="000C11B2" w:rsidRPr="00AA7107" w:rsidRDefault="00D74D6B" w:rsidP="000C11B2">
      <w:pPr>
        <w:ind w:firstLine="708"/>
        <w:jc w:val="both"/>
        <w:rPr>
          <w:rFonts w:ascii="Abadi" w:hAnsi="Abadi"/>
          <w:b/>
          <w:bCs/>
          <w:sz w:val="21"/>
          <w:szCs w:val="21"/>
        </w:rPr>
      </w:pPr>
      <w:r w:rsidRPr="00AA7107">
        <w:rPr>
          <w:noProof/>
          <w:sz w:val="21"/>
          <w:szCs w:val="21"/>
        </w:rPr>
        <w:drawing>
          <wp:anchor distT="0" distB="0" distL="114300" distR="114300" simplePos="0" relativeHeight="251670528" behindDoc="1" locked="0" layoutInCell="1" allowOverlap="1" wp14:anchorId="1D5EB66F" wp14:editId="02EAD948">
            <wp:simplePos x="0" y="0"/>
            <wp:positionH relativeFrom="column">
              <wp:align>right</wp:align>
            </wp:positionH>
            <wp:positionV relativeFrom="paragraph">
              <wp:posOffset>480060</wp:posOffset>
            </wp:positionV>
            <wp:extent cx="1736962" cy="897599"/>
            <wp:effectExtent l="323850" t="323850" r="320675" b="321945"/>
            <wp:wrapTight wrapText="bothSides">
              <wp:wrapPolygon edited="0">
                <wp:start x="-2369" y="-7796"/>
                <wp:lineTo x="-4028" y="-6879"/>
                <wp:lineTo x="-4028" y="22930"/>
                <wp:lineTo x="-2606" y="27975"/>
                <wp:lineTo x="-2369" y="28892"/>
                <wp:lineTo x="23693" y="28892"/>
                <wp:lineTo x="23930" y="27975"/>
                <wp:lineTo x="25351" y="22930"/>
                <wp:lineTo x="25351" y="459"/>
                <wp:lineTo x="23693" y="-6420"/>
                <wp:lineTo x="23693" y="-7796"/>
                <wp:lineTo x="-2369" y="-7796"/>
              </wp:wrapPolygon>
            </wp:wrapTight>
            <wp:docPr id="20" name="Imagen 20"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Una captura de pantalla de una computadora&#10;&#10;Descripción generada automáticamente"/>
                    <pic:cNvPicPr/>
                  </pic:nvPicPr>
                  <pic:blipFill rotWithShape="1">
                    <a:blip r:embed="rId19" cstate="print">
                      <a:extLst>
                        <a:ext uri="{28A0092B-C50C-407E-A947-70E740481C1C}">
                          <a14:useLocalDpi xmlns:a14="http://schemas.microsoft.com/office/drawing/2010/main" val="0"/>
                        </a:ext>
                      </a:extLst>
                    </a:blip>
                    <a:srcRect b="8124"/>
                    <a:stretch/>
                  </pic:blipFill>
                  <pic:spPr bwMode="auto">
                    <a:xfrm>
                      <a:off x="0" y="0"/>
                      <a:ext cx="1736962" cy="897599"/>
                    </a:xfrm>
                    <a:prstGeom prst="rect">
                      <a:avLst/>
                    </a:prstGeom>
                    <a:ln w="88900" cap="sq" cmpd="thickThin">
                      <a:solidFill>
                        <a:srgbClr val="000000"/>
                      </a:solidFill>
                      <a:prstDash val="solid"/>
                      <a:miter lim="800000"/>
                    </a:ln>
                    <a:effectLst>
                      <a:glow rad="228600">
                        <a:schemeClr val="accent3">
                          <a:satMod val="17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r w:rsidR="000C11B2" w:rsidRPr="00AA7107">
        <w:rPr>
          <w:rFonts w:ascii="Abadi" w:hAnsi="Abadi"/>
          <w:b/>
          <w:bCs/>
          <w:sz w:val="21"/>
          <w:szCs w:val="21"/>
        </w:rPr>
        <w:t>(Se cierra el sistema electrónico)</w:t>
      </w:r>
    </w:p>
    <w:p w14:paraId="07F5742A" w14:textId="216E35B3" w:rsidR="000C11B2" w:rsidRPr="00AA7107" w:rsidRDefault="000C11B2" w:rsidP="000C11B2">
      <w:pPr>
        <w:ind w:firstLine="708"/>
        <w:jc w:val="both"/>
        <w:rPr>
          <w:rFonts w:ascii="Abadi" w:hAnsi="Abadi"/>
          <w:b/>
          <w:bCs/>
          <w:sz w:val="21"/>
          <w:szCs w:val="21"/>
        </w:rPr>
      </w:pPr>
    </w:p>
    <w:p w14:paraId="6E763384" w14:textId="05747F48" w:rsidR="000C11B2" w:rsidRDefault="000C11B2" w:rsidP="000C11B2">
      <w:pPr>
        <w:jc w:val="both"/>
        <w:rPr>
          <w:rFonts w:ascii="Abadi" w:hAnsi="Abadi"/>
          <w:sz w:val="21"/>
          <w:szCs w:val="21"/>
        </w:rPr>
      </w:pPr>
      <w:r w:rsidRPr="00AA7107">
        <w:rPr>
          <w:rFonts w:ascii="Abadi" w:hAnsi="Abadi"/>
          <w:b/>
          <w:bCs/>
          <w:sz w:val="21"/>
          <w:szCs w:val="21"/>
        </w:rPr>
        <w:tab/>
        <w:t>- El Secretario.-</w:t>
      </w:r>
      <w:r w:rsidRPr="00AA7107">
        <w:rPr>
          <w:rFonts w:ascii="Abadi" w:hAnsi="Abadi"/>
          <w:sz w:val="21"/>
          <w:szCs w:val="21"/>
        </w:rPr>
        <w:t xml:space="preserve"> Señor Presidente se registraron 33 votos a favor.</w:t>
      </w:r>
    </w:p>
    <w:p w14:paraId="6143934B" w14:textId="77777777" w:rsidR="000C11B2" w:rsidRPr="00AA7107" w:rsidRDefault="000C11B2" w:rsidP="000C11B2">
      <w:pPr>
        <w:jc w:val="both"/>
        <w:rPr>
          <w:rFonts w:ascii="Abadi" w:hAnsi="Abadi"/>
          <w:sz w:val="21"/>
          <w:szCs w:val="21"/>
        </w:rPr>
      </w:pPr>
    </w:p>
    <w:p w14:paraId="47A33B00" w14:textId="3798C139" w:rsidR="000C11B2" w:rsidRDefault="000C11B2" w:rsidP="000C11B2">
      <w:pPr>
        <w:jc w:val="both"/>
        <w:rPr>
          <w:rFonts w:ascii="Abadi" w:hAnsi="Abadi"/>
          <w:sz w:val="21"/>
          <w:szCs w:val="21"/>
        </w:rPr>
      </w:pPr>
      <w:r w:rsidRPr="00AA7107">
        <w:rPr>
          <w:rFonts w:ascii="Abadi" w:hAnsi="Abadi"/>
          <w:b/>
          <w:bCs/>
          <w:sz w:val="21"/>
          <w:szCs w:val="21"/>
        </w:rPr>
        <w:tab/>
        <w:t>- El Presidente.-</w:t>
      </w:r>
      <w:r w:rsidRPr="00AA7107">
        <w:rPr>
          <w:rFonts w:ascii="Abadi" w:hAnsi="Abadi"/>
          <w:sz w:val="21"/>
          <w:szCs w:val="21"/>
        </w:rPr>
        <w:t xml:space="preserve">  </w:t>
      </w:r>
      <w:r>
        <w:rPr>
          <w:rFonts w:ascii="Abadi" w:hAnsi="Abadi"/>
          <w:sz w:val="21"/>
          <w:szCs w:val="21"/>
        </w:rPr>
        <w:t>La propuesta ha sido</w:t>
      </w:r>
      <w:r w:rsidRPr="00AA7107">
        <w:rPr>
          <w:rFonts w:ascii="Abadi" w:hAnsi="Abadi"/>
          <w:sz w:val="21"/>
          <w:szCs w:val="21"/>
        </w:rPr>
        <w:t xml:space="preserve"> aprobada por unanimidad de votos.</w:t>
      </w:r>
    </w:p>
    <w:p w14:paraId="776DA587" w14:textId="77777777" w:rsidR="000C11B2" w:rsidRPr="00AA7107" w:rsidRDefault="000C11B2" w:rsidP="000C11B2">
      <w:pPr>
        <w:jc w:val="both"/>
        <w:rPr>
          <w:rFonts w:ascii="Abadi" w:hAnsi="Abadi"/>
          <w:sz w:val="21"/>
          <w:szCs w:val="21"/>
        </w:rPr>
      </w:pPr>
    </w:p>
    <w:p w14:paraId="5C1B4624" w14:textId="77777777" w:rsidR="000C11B2" w:rsidRPr="00AA7107" w:rsidRDefault="000C11B2" w:rsidP="000C11B2">
      <w:pPr>
        <w:jc w:val="both"/>
        <w:rPr>
          <w:rFonts w:ascii="Abadi" w:hAnsi="Abadi"/>
          <w:sz w:val="21"/>
          <w:szCs w:val="21"/>
        </w:rPr>
      </w:pPr>
      <w:r w:rsidRPr="00AA7107">
        <w:rPr>
          <w:rFonts w:ascii="Abadi" w:hAnsi="Abadi"/>
          <w:sz w:val="21"/>
          <w:szCs w:val="21"/>
        </w:rPr>
        <w:tab/>
        <w:t>- En consecuencia ejecútense los acuerdos dictados por esta presidencia a las comunicaciones y correspondencias recibidas.</w:t>
      </w:r>
    </w:p>
    <w:p w14:paraId="47044FFE" w14:textId="77777777" w:rsidR="000C11B2" w:rsidRPr="0028553C" w:rsidRDefault="000C11B2" w:rsidP="00E462B6">
      <w:pPr>
        <w:autoSpaceDE w:val="0"/>
        <w:autoSpaceDN w:val="0"/>
        <w:adjustRightInd w:val="0"/>
        <w:jc w:val="both"/>
        <w:rPr>
          <w:rFonts w:ascii="Abadi" w:hAnsi="Abadi" w:cs="ArialMT"/>
          <w:b/>
          <w:bCs/>
          <w:sz w:val="20"/>
          <w:szCs w:val="21"/>
        </w:rPr>
      </w:pPr>
    </w:p>
    <w:p w14:paraId="3D7710D6" w14:textId="233C9F23" w:rsidR="00E462B6" w:rsidRDefault="00E462B6">
      <w:pPr>
        <w:pStyle w:val="Prrafodelista"/>
        <w:numPr>
          <w:ilvl w:val="0"/>
          <w:numId w:val="14"/>
        </w:numPr>
        <w:autoSpaceDE w:val="0"/>
        <w:autoSpaceDN w:val="0"/>
        <w:adjustRightInd w:val="0"/>
        <w:contextualSpacing/>
        <w:jc w:val="both"/>
        <w:rPr>
          <w:rFonts w:ascii="Abadi" w:hAnsi="Abadi" w:cs="ArialMT"/>
          <w:b/>
          <w:bCs/>
          <w:sz w:val="20"/>
          <w:szCs w:val="21"/>
        </w:rPr>
      </w:pPr>
      <w:r w:rsidRPr="0028553C">
        <w:rPr>
          <w:rFonts w:ascii="Abadi" w:hAnsi="Abadi" w:cs="ArialMT"/>
          <w:b/>
          <w:bCs/>
          <w:sz w:val="20"/>
          <w:szCs w:val="21"/>
        </w:rPr>
        <w:t xml:space="preserve">PRESENTACIÓN DE LA INICIATIVA SUSCRITA POR EL DIPUTADO DAVID MARTÍNEZ MENDIZÁBAL Y LA DIPUTADA HADES BERENICE AGUILAR CASTILLO INTEGRANTES DEL GRUPO </w:t>
      </w:r>
      <w:r w:rsidRPr="0028553C">
        <w:rPr>
          <w:rFonts w:ascii="Abadi" w:hAnsi="Abadi" w:cs="ArialMT"/>
          <w:b/>
          <w:bCs/>
          <w:sz w:val="20"/>
          <w:szCs w:val="21"/>
        </w:rPr>
        <w:t>PARLAMENTARIO DEL PARTIDO MORENA A EFECTO DE ADICIONAR UN CUARTO PÁRRAFO AL ARTÍCULO 7 DE LA CONSTITUCIÓN POLÍTICA PARA EL ESTADO D</w:t>
      </w:r>
      <w:r w:rsidR="002C47C1">
        <w:rPr>
          <w:rFonts w:ascii="Abadi" w:hAnsi="Abadi" w:cs="ArialMT"/>
          <w:b/>
          <w:bCs/>
          <w:sz w:val="20"/>
          <w:szCs w:val="21"/>
        </w:rPr>
        <w:t xml:space="preserve">E </w:t>
      </w:r>
      <w:r w:rsidRPr="002C47C1">
        <w:rPr>
          <w:rFonts w:ascii="Abadi" w:hAnsi="Abadi" w:cs="ArialMT"/>
          <w:b/>
          <w:bCs/>
          <w:sz w:val="20"/>
          <w:szCs w:val="21"/>
        </w:rPr>
        <w:t>GUANAJUATO.</w:t>
      </w:r>
    </w:p>
    <w:p w14:paraId="2BFEB6BE" w14:textId="77777777" w:rsidR="002C47C1" w:rsidRDefault="002C47C1" w:rsidP="002C47C1">
      <w:pPr>
        <w:pStyle w:val="Prrafodelista"/>
        <w:autoSpaceDE w:val="0"/>
        <w:autoSpaceDN w:val="0"/>
        <w:adjustRightInd w:val="0"/>
        <w:ind w:left="720"/>
        <w:contextualSpacing/>
        <w:jc w:val="both"/>
        <w:rPr>
          <w:rFonts w:ascii="Abadi" w:hAnsi="Abadi" w:cs="ArialMT"/>
          <w:b/>
          <w:bCs/>
          <w:sz w:val="20"/>
          <w:szCs w:val="21"/>
        </w:rPr>
      </w:pPr>
    </w:p>
    <w:p w14:paraId="4910DB8A" w14:textId="77777777" w:rsidR="002C47C1" w:rsidRPr="00E407D9" w:rsidRDefault="002C47C1" w:rsidP="002C47C1">
      <w:pPr>
        <w:autoSpaceDE w:val="0"/>
        <w:autoSpaceDN w:val="0"/>
        <w:adjustRightInd w:val="0"/>
        <w:jc w:val="both"/>
        <w:rPr>
          <w:rFonts w:ascii="Abadi" w:hAnsi="Abadi" w:cs="Amasis MT Pro Light"/>
          <w:b/>
          <w:bCs/>
          <w:color w:val="000000"/>
          <w:sz w:val="21"/>
          <w:szCs w:val="21"/>
        </w:rPr>
      </w:pPr>
      <w:r w:rsidRPr="00E407D9">
        <w:rPr>
          <w:rFonts w:ascii="Abadi" w:hAnsi="Abadi" w:cs="Amasis MT Pro Light"/>
          <w:b/>
          <w:bCs/>
          <w:color w:val="000000"/>
          <w:sz w:val="21"/>
          <w:szCs w:val="21"/>
        </w:rPr>
        <w:t>Diputado Martín López Camacho</w:t>
      </w:r>
    </w:p>
    <w:p w14:paraId="26C30823"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Presidente de la Mesa Directiva de la</w:t>
      </w:r>
    </w:p>
    <w:p w14:paraId="231BF9BD"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LXV Legislatura del Estado de Guanajuato.</w:t>
      </w:r>
    </w:p>
    <w:p w14:paraId="03488508"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P R E S E N T E:</w:t>
      </w:r>
    </w:p>
    <w:p w14:paraId="10242E52"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5711ABEC"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244D7047" w14:textId="3A7E976D"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b/>
          <w:bCs/>
          <w:color w:val="000000"/>
          <w:sz w:val="21"/>
          <w:szCs w:val="21"/>
        </w:rPr>
        <w:t>Diputado David Martínez Mendizábal y Dip. Hades Berenice Aguilar Castillo integrantes del Grupo Parlamentario de morena</w:t>
      </w:r>
      <w:r w:rsidRPr="00E407D9">
        <w:rPr>
          <w:rFonts w:ascii="Abadi" w:hAnsi="Abadi" w:cs="Amasis MT Pro Light"/>
          <w:color w:val="000000"/>
          <w:sz w:val="21"/>
          <w:szCs w:val="21"/>
        </w:rPr>
        <w:t xml:space="preserve"> en la LXV Legislatura del Congreso del Estado de Guanajuato, con fundamento en lo dispuesto en los artículos 56, fracción II de la Constitución Política para el Estado de Guanajuato, y el artículo 167 fracción II de la Ley Orgánica del Poder Legislativo del Estado de Guanajuato, nos permitos poner a consideración de la Asamblea la siguiente propuesta de iniciativa</w:t>
      </w:r>
      <w:r w:rsidR="002E542C">
        <w:rPr>
          <w:rFonts w:ascii="Abadi" w:hAnsi="Abadi" w:cs="Amasis MT Pro Light"/>
          <w:color w:val="000000"/>
          <w:sz w:val="21"/>
          <w:szCs w:val="21"/>
        </w:rPr>
        <w:t xml:space="preserve"> </w:t>
      </w:r>
      <w:r w:rsidRPr="00E407D9">
        <w:rPr>
          <w:rFonts w:ascii="Abadi" w:hAnsi="Abadi" w:cs="Amasis MT Pro Light"/>
          <w:color w:val="000000"/>
          <w:sz w:val="21"/>
          <w:szCs w:val="21"/>
        </w:rPr>
        <w:t xml:space="preserve">con proyecto de decreto por virtud del cual se modifica la Constitución Política para el Estado de Guanajuato, para reconocer </w:t>
      </w:r>
      <w:r w:rsidRPr="00321A68">
        <w:rPr>
          <w:rFonts w:ascii="Abadi" w:hAnsi="Abadi" w:cs="Amasis MT Pro Light"/>
          <w:b/>
          <w:bCs/>
          <w:color w:val="000000"/>
          <w:sz w:val="21"/>
          <w:szCs w:val="21"/>
        </w:rPr>
        <w:t>el derecho humano a ser buscado,</w:t>
      </w:r>
      <w:r w:rsidRPr="00E407D9">
        <w:rPr>
          <w:rFonts w:ascii="Abadi" w:hAnsi="Abadi" w:cs="Amasis MT Pro Light"/>
          <w:color w:val="000000"/>
          <w:sz w:val="21"/>
          <w:szCs w:val="21"/>
        </w:rPr>
        <w:t xml:space="preserve"> al tenor de la siguiente:</w:t>
      </w:r>
    </w:p>
    <w:p w14:paraId="49D9247E"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2A59C14E"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50598468" w14:textId="77777777" w:rsidR="002C47C1" w:rsidRPr="00E407D9" w:rsidRDefault="002C47C1" w:rsidP="002C47C1">
      <w:pPr>
        <w:autoSpaceDE w:val="0"/>
        <w:autoSpaceDN w:val="0"/>
        <w:adjustRightInd w:val="0"/>
        <w:jc w:val="center"/>
        <w:rPr>
          <w:rFonts w:ascii="Abadi" w:hAnsi="Abadi" w:cs="Amasis MT Pro Light"/>
          <w:b/>
          <w:bCs/>
          <w:color w:val="000000"/>
          <w:sz w:val="21"/>
          <w:szCs w:val="21"/>
        </w:rPr>
      </w:pPr>
      <w:r w:rsidRPr="00E407D9">
        <w:rPr>
          <w:rFonts w:ascii="Abadi" w:hAnsi="Abadi" w:cs="Amasis MT Pro Light"/>
          <w:b/>
          <w:bCs/>
          <w:color w:val="000000"/>
          <w:sz w:val="21"/>
          <w:szCs w:val="21"/>
        </w:rPr>
        <w:t>EXPOSICIÓN DE MOTIVOS</w:t>
      </w:r>
      <w:r>
        <w:rPr>
          <w:rStyle w:val="Refdenotaalpie"/>
          <w:rFonts w:ascii="Abadi" w:hAnsi="Abadi" w:cs="Amasis MT Pro Light"/>
          <w:b/>
          <w:bCs/>
          <w:color w:val="000000"/>
          <w:sz w:val="21"/>
          <w:szCs w:val="21"/>
        </w:rPr>
        <w:footnoteReference w:id="2"/>
      </w:r>
    </w:p>
    <w:p w14:paraId="15397708" w14:textId="77777777" w:rsidR="002C47C1" w:rsidRPr="00E407D9" w:rsidRDefault="002C47C1" w:rsidP="002C47C1">
      <w:pPr>
        <w:autoSpaceDE w:val="0"/>
        <w:autoSpaceDN w:val="0"/>
        <w:adjustRightInd w:val="0"/>
        <w:jc w:val="both"/>
        <w:rPr>
          <w:rFonts w:ascii="Abadi" w:hAnsi="Abadi" w:cs="Amasis MT Pro Light"/>
          <w:b/>
          <w:bCs/>
          <w:color w:val="000000"/>
          <w:sz w:val="21"/>
          <w:szCs w:val="21"/>
        </w:rPr>
      </w:pPr>
    </w:p>
    <w:p w14:paraId="58981AF0" w14:textId="77777777" w:rsidR="002C47C1" w:rsidRPr="00E407D9" w:rsidRDefault="002C47C1">
      <w:pPr>
        <w:pStyle w:val="Prrafodelista"/>
        <w:numPr>
          <w:ilvl w:val="0"/>
          <w:numId w:val="15"/>
        </w:numPr>
        <w:autoSpaceDE w:val="0"/>
        <w:autoSpaceDN w:val="0"/>
        <w:adjustRightInd w:val="0"/>
        <w:contextualSpacing/>
        <w:jc w:val="both"/>
        <w:rPr>
          <w:rFonts w:ascii="Abadi" w:hAnsi="Abadi" w:cs="Amasis MT Pro Light"/>
          <w:b/>
          <w:bCs/>
          <w:color w:val="000000"/>
          <w:sz w:val="21"/>
          <w:szCs w:val="21"/>
        </w:rPr>
      </w:pPr>
      <w:r w:rsidRPr="00E407D9">
        <w:rPr>
          <w:rFonts w:ascii="Abadi" w:hAnsi="Abadi" w:cs="Amasis MT Pro Light"/>
          <w:b/>
          <w:bCs/>
          <w:color w:val="000000"/>
          <w:sz w:val="21"/>
          <w:szCs w:val="21"/>
        </w:rPr>
        <w:t>La desaparición en México</w:t>
      </w:r>
    </w:p>
    <w:p w14:paraId="5E4E4965" w14:textId="77777777" w:rsidR="002C47C1" w:rsidRPr="00E407D9" w:rsidRDefault="002C47C1" w:rsidP="002C47C1">
      <w:pPr>
        <w:pStyle w:val="Prrafodelista"/>
        <w:autoSpaceDE w:val="0"/>
        <w:autoSpaceDN w:val="0"/>
        <w:adjustRightInd w:val="0"/>
        <w:jc w:val="both"/>
        <w:rPr>
          <w:rFonts w:ascii="Abadi" w:hAnsi="Abadi" w:cs="Amasis MT Pro Light"/>
          <w:b/>
          <w:bCs/>
          <w:color w:val="000000"/>
          <w:sz w:val="21"/>
          <w:szCs w:val="21"/>
        </w:rPr>
      </w:pPr>
    </w:p>
    <w:p w14:paraId="7C628A38"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Este año, nuestro país rebasó la cifra de las 100 mil personas desaparecidas y no localizadas</w:t>
      </w:r>
      <w:r>
        <w:rPr>
          <w:rStyle w:val="Refdenotaalpie"/>
          <w:rFonts w:ascii="Abadi" w:hAnsi="Abadi" w:cs="Amasis MT Pro Light"/>
          <w:color w:val="000000"/>
          <w:sz w:val="21"/>
          <w:szCs w:val="21"/>
        </w:rPr>
        <w:footnoteReference w:id="3"/>
      </w:r>
      <w:r w:rsidRPr="00E407D9">
        <w:rPr>
          <w:rFonts w:ascii="Abadi" w:hAnsi="Abadi" w:cs="Amasis MT Pro Light"/>
          <w:color w:val="000000"/>
          <w:sz w:val="21"/>
          <w:szCs w:val="21"/>
        </w:rPr>
        <w:t>. Cuando hablamos de la desaparición de personas, hablamos de una de las violaciones más graves a los derechos humanos al menos por tres motivos: por su carácter pluriofensivo al lesionar distintos derechos como la libertad, la integridad personal, el igual reconocimiento ante la ley, la prohibición de la tortura, y la vida; por el carácter permanente de la violación que se prolonga hasta que se establezca</w:t>
      </w:r>
      <w:r>
        <w:rPr>
          <w:rFonts w:ascii="Abadi" w:hAnsi="Abadi" w:cs="Amasis MT Pro Light"/>
          <w:color w:val="000000"/>
          <w:sz w:val="21"/>
          <w:szCs w:val="21"/>
        </w:rPr>
        <w:t xml:space="preserve"> </w:t>
      </w:r>
      <w:r w:rsidRPr="00E407D9">
        <w:rPr>
          <w:rFonts w:ascii="Abadi" w:hAnsi="Abadi" w:cs="Amasis MT Pro Light"/>
          <w:color w:val="000000"/>
          <w:sz w:val="21"/>
          <w:szCs w:val="21"/>
        </w:rPr>
        <w:t>el destino o paradero de la víctima; y por la afectación que genera en los familiares de las Personas desparecidas</w:t>
      </w:r>
      <w:r>
        <w:rPr>
          <w:rStyle w:val="Refdenotaalpie"/>
          <w:rFonts w:ascii="Abadi" w:hAnsi="Abadi" w:cs="Amasis MT Pro Light"/>
          <w:color w:val="000000"/>
          <w:sz w:val="21"/>
          <w:szCs w:val="21"/>
        </w:rPr>
        <w:footnoteReference w:id="4"/>
      </w:r>
      <w:r w:rsidRPr="00E407D9">
        <w:rPr>
          <w:rFonts w:ascii="Abadi" w:hAnsi="Abadi" w:cs="Amasis MT Pro Light"/>
          <w:color w:val="000000"/>
          <w:sz w:val="21"/>
          <w:szCs w:val="21"/>
        </w:rPr>
        <w:t>.</w:t>
      </w:r>
    </w:p>
    <w:p w14:paraId="6B5D8113"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5AFE1A98" w14:textId="093EC808"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La desaparición de personas surgió en la década de 1960 en Latinoamérica como un método utilizado por los Estados totalitarios para reprimir a la oposición “con el objetivo de anular cualquier alternativa buscada por medio de sus luchas”</w:t>
      </w:r>
      <w:r>
        <w:rPr>
          <w:rStyle w:val="Refdenotaalpie"/>
          <w:rFonts w:ascii="Abadi" w:hAnsi="Abadi" w:cs="Amasis MT Pro Light"/>
          <w:color w:val="000000"/>
          <w:sz w:val="21"/>
          <w:szCs w:val="21"/>
        </w:rPr>
        <w:footnoteReference w:id="5"/>
      </w:r>
      <w:r w:rsidRPr="00E407D9">
        <w:rPr>
          <w:rFonts w:ascii="Abadi" w:hAnsi="Abadi" w:cs="Amasis MT Pro Light"/>
          <w:color w:val="000000"/>
          <w:sz w:val="21"/>
          <w:szCs w:val="21"/>
        </w:rPr>
        <w:t>. De la misma forma, en nuestro país la desaparición surge durante la denominada “guerra sucia”, en donde el Estado Mexicano comenzó a combatir ilícitamente a diversos sectores de la población, “en Guerrero el ejército buscó la aniquilación de todo resabio de guerrilla, arrasando a sangre y fuego a todo partidario o sospechoso de</w:t>
      </w:r>
      <w:r w:rsidR="002E542C">
        <w:rPr>
          <w:rFonts w:ascii="Abadi" w:hAnsi="Abadi" w:cs="Amasis MT Pro Light"/>
          <w:color w:val="000000"/>
          <w:sz w:val="21"/>
          <w:szCs w:val="21"/>
        </w:rPr>
        <w:t xml:space="preserve"> </w:t>
      </w:r>
      <w:r w:rsidRPr="00E407D9">
        <w:rPr>
          <w:rFonts w:ascii="Abadi" w:hAnsi="Abadi" w:cs="Amasis MT Pro Light"/>
          <w:color w:val="000000"/>
          <w:sz w:val="21"/>
          <w:szCs w:val="21"/>
        </w:rPr>
        <w:t>simpatizar con la guerrilla, con el Partido de los Pobres, o con la izquierda”</w:t>
      </w:r>
      <w:r>
        <w:rPr>
          <w:rStyle w:val="Refdenotaalpie"/>
          <w:rFonts w:ascii="Abadi" w:hAnsi="Abadi" w:cs="Amasis MT Pro Light"/>
          <w:color w:val="000000"/>
          <w:sz w:val="21"/>
          <w:szCs w:val="21"/>
        </w:rPr>
        <w:footnoteReference w:id="6"/>
      </w:r>
      <w:r w:rsidRPr="00E407D9">
        <w:rPr>
          <w:rFonts w:ascii="Abadi" w:hAnsi="Abadi" w:cs="Amasis MT Pro Light"/>
          <w:color w:val="000000"/>
          <w:sz w:val="21"/>
          <w:szCs w:val="21"/>
        </w:rPr>
        <w:t>.</w:t>
      </w:r>
    </w:p>
    <w:p w14:paraId="614F1142"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3155FB3A"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En esos años, las desapariciones se caracterizaron por ser promovidas desde las instituciones del Estado, esto es, desde el poder público. A partir de la denominada “guerra contra el narcotráfico” en el sexenio de Felipe Calderón, las desapariciones se intensifican y se consolida como práctica cotidiana ejercida desde el Estado, pero a diferencia de la guerra sucia, en este periodo hay una gran diversidad de perpetradores, modalidades y víctimas, hasta llegar a los últimos años en los que miles de desapariciones se atribuyen a agentes no estatales, en donde la delincuencia</w:t>
      </w:r>
      <w:r>
        <w:rPr>
          <w:rFonts w:ascii="Abadi" w:hAnsi="Abadi" w:cs="Amasis MT Pro Light"/>
          <w:color w:val="000000"/>
          <w:sz w:val="21"/>
          <w:szCs w:val="21"/>
        </w:rPr>
        <w:t xml:space="preserve"> </w:t>
      </w:r>
      <w:r w:rsidRPr="00E407D9">
        <w:rPr>
          <w:rFonts w:ascii="Abadi" w:hAnsi="Abadi" w:cs="Amasis MT Pro Light"/>
          <w:color w:val="000000"/>
          <w:sz w:val="21"/>
          <w:szCs w:val="21"/>
        </w:rPr>
        <w:t>organizada se ha convertido en un perpetrador central con diversas formas de complicidad y grados de participación, aquiescencia u omisión del poder público</w:t>
      </w:r>
      <w:r>
        <w:rPr>
          <w:rStyle w:val="Refdenotaalpie"/>
          <w:rFonts w:ascii="Abadi" w:hAnsi="Abadi" w:cs="Amasis MT Pro Light"/>
          <w:color w:val="000000"/>
          <w:sz w:val="21"/>
          <w:szCs w:val="21"/>
        </w:rPr>
        <w:footnoteReference w:id="7"/>
      </w:r>
      <w:r w:rsidRPr="00E407D9">
        <w:rPr>
          <w:rFonts w:ascii="Abadi" w:hAnsi="Abadi" w:cs="Amasis MT Pro Light"/>
          <w:color w:val="000000"/>
          <w:sz w:val="21"/>
          <w:szCs w:val="21"/>
        </w:rPr>
        <w:t>.</w:t>
      </w:r>
    </w:p>
    <w:p w14:paraId="4A93A946" w14:textId="77777777" w:rsidR="002C47C1" w:rsidRPr="00E407D9" w:rsidRDefault="002C47C1" w:rsidP="002C47C1">
      <w:pPr>
        <w:autoSpaceDE w:val="0"/>
        <w:autoSpaceDN w:val="0"/>
        <w:adjustRightInd w:val="0"/>
        <w:jc w:val="both"/>
        <w:rPr>
          <w:rFonts w:ascii="Abadi" w:hAnsi="Abadi" w:cs="Calibri-Bold"/>
          <w:b/>
          <w:bCs/>
          <w:color w:val="000000"/>
          <w:sz w:val="21"/>
          <w:szCs w:val="21"/>
        </w:rPr>
      </w:pPr>
    </w:p>
    <w:p w14:paraId="1DD1CE07"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 xml:space="preserve">Investigaciones recientes llaman la atención sobre el papel que han desempeñado las empresas en la violación de derechos humanos. Señalan que existe una dimensión </w:t>
      </w:r>
      <w:r w:rsidRPr="00E407D9">
        <w:rPr>
          <w:rFonts w:ascii="Abadi" w:hAnsi="Abadi" w:cs="Amasis MT Pro Light"/>
          <w:color w:val="000000"/>
          <w:sz w:val="21"/>
          <w:szCs w:val="21"/>
        </w:rPr>
        <w:t>económica en esos actos porque las desapariciones sirven como estrategia para aumentar el beneficio económico de los perpetradores, al mismo tiempo que se empobrece a las víctimas.</w:t>
      </w:r>
      <w:r>
        <w:rPr>
          <w:rStyle w:val="Refdenotaalpie"/>
          <w:rFonts w:ascii="Abadi" w:hAnsi="Abadi" w:cs="Amasis MT Pro Light"/>
          <w:color w:val="000000"/>
          <w:sz w:val="21"/>
          <w:szCs w:val="21"/>
        </w:rPr>
        <w:footnoteReference w:id="8"/>
      </w:r>
    </w:p>
    <w:p w14:paraId="14D9B617"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7F2B5822" w14:textId="77777777" w:rsidR="002C47C1" w:rsidRPr="00E407D9" w:rsidRDefault="002C47C1">
      <w:pPr>
        <w:pStyle w:val="Prrafodelista"/>
        <w:numPr>
          <w:ilvl w:val="0"/>
          <w:numId w:val="15"/>
        </w:numPr>
        <w:autoSpaceDE w:val="0"/>
        <w:autoSpaceDN w:val="0"/>
        <w:adjustRightInd w:val="0"/>
        <w:contextualSpacing/>
        <w:jc w:val="both"/>
        <w:rPr>
          <w:rFonts w:ascii="Abadi" w:hAnsi="Abadi" w:cs="Amasis MT Pro Light"/>
          <w:b/>
          <w:bCs/>
          <w:color w:val="000000"/>
          <w:sz w:val="21"/>
          <w:szCs w:val="21"/>
        </w:rPr>
      </w:pPr>
      <w:r w:rsidRPr="00E407D9">
        <w:rPr>
          <w:rFonts w:ascii="Abadi" w:hAnsi="Abadi" w:cs="Amasis MT Pro Light"/>
          <w:b/>
          <w:bCs/>
          <w:color w:val="000000"/>
          <w:sz w:val="21"/>
          <w:szCs w:val="21"/>
        </w:rPr>
        <w:t>El caso Ayotzinapa</w:t>
      </w:r>
    </w:p>
    <w:p w14:paraId="3CE11101" w14:textId="77777777" w:rsidR="002C47C1" w:rsidRPr="00E407D9" w:rsidRDefault="002C47C1" w:rsidP="002C47C1">
      <w:pPr>
        <w:pStyle w:val="Prrafodelista"/>
        <w:autoSpaceDE w:val="0"/>
        <w:autoSpaceDN w:val="0"/>
        <w:adjustRightInd w:val="0"/>
        <w:jc w:val="both"/>
        <w:rPr>
          <w:rFonts w:ascii="Abadi" w:hAnsi="Abadi" w:cs="Amasis MT Pro Light"/>
          <w:color w:val="000000"/>
          <w:sz w:val="21"/>
          <w:szCs w:val="21"/>
        </w:rPr>
      </w:pPr>
    </w:p>
    <w:p w14:paraId="2156288F"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Un ejemplo de la relación construida entre el poder público y agentes privados para cometer estos crímenes es el caso Ayotzinapa, en el que la complicidad del Estado con grupos criminales significó una conexión perversa entre el poder público y los entes privados. Tan relevante fue la colaboración del Estado con grupos criminales contra los estudiantes normalistas que, en el reciente informe de la Presidencia de la Comisión para la Verdad y Acceso a la Justicia del Caso Ayotzinapa, el hecho fue calificado como crimen de Estado</w:t>
      </w:r>
      <w:r>
        <w:rPr>
          <w:rStyle w:val="Refdenotaalpie"/>
          <w:rFonts w:ascii="Abadi" w:hAnsi="Abadi" w:cs="Amasis MT Pro Light"/>
          <w:color w:val="000000"/>
          <w:sz w:val="21"/>
          <w:szCs w:val="21"/>
        </w:rPr>
        <w:footnoteReference w:id="9"/>
      </w:r>
      <w:r w:rsidRPr="00E407D9">
        <w:rPr>
          <w:rFonts w:ascii="Abadi" w:hAnsi="Abadi" w:cs="Amasis MT Pro Light"/>
          <w:color w:val="000000"/>
          <w:sz w:val="21"/>
          <w:szCs w:val="21"/>
        </w:rPr>
        <w:t>.</w:t>
      </w:r>
    </w:p>
    <w:p w14:paraId="015EBD96"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2A9BC97C"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De esta forma, el caso Ayotzinapa confirma que la violación a los derechos humanos en los casos de desaparición de personas se acredita no nada más cuando es cometida por la autoridad, sino también cuando es realizada por particulares, sobre todo cuando se actualizan relaciones de complicidad con el Estado. En todos los casos de desaparición las autoridades competentes tienen la obligación de actuar de, manera inmediata, sin embargo, esa obligación se refuerza al más mínimo indicio de participación de agentes estatales o grupos que actúan con su complicidad o aquiescencia</w:t>
      </w:r>
      <w:r>
        <w:rPr>
          <w:rStyle w:val="Refdenotaalpie"/>
          <w:rFonts w:ascii="Abadi" w:hAnsi="Abadi" w:cs="Amasis MT Pro Light"/>
          <w:color w:val="000000"/>
          <w:sz w:val="21"/>
          <w:szCs w:val="21"/>
        </w:rPr>
        <w:footnoteReference w:id="10"/>
      </w:r>
      <w:r w:rsidRPr="00E407D9">
        <w:rPr>
          <w:rFonts w:ascii="Abadi" w:hAnsi="Abadi" w:cs="Amasis MT Pro Light"/>
          <w:color w:val="000000"/>
          <w:sz w:val="21"/>
          <w:szCs w:val="21"/>
        </w:rPr>
        <w:t>.</w:t>
      </w:r>
    </w:p>
    <w:p w14:paraId="358D510C" w14:textId="77777777" w:rsidR="002C47C1" w:rsidRPr="00E407D9" w:rsidRDefault="002C47C1" w:rsidP="002C47C1">
      <w:pPr>
        <w:autoSpaceDE w:val="0"/>
        <w:autoSpaceDN w:val="0"/>
        <w:adjustRightInd w:val="0"/>
        <w:jc w:val="both"/>
        <w:rPr>
          <w:rFonts w:ascii="Abadi" w:hAnsi="Abadi" w:cs="Calibri-Bold"/>
          <w:b/>
          <w:bCs/>
          <w:color w:val="000000"/>
          <w:sz w:val="21"/>
          <w:szCs w:val="21"/>
        </w:rPr>
      </w:pPr>
    </w:p>
    <w:p w14:paraId="096B04C7" w14:textId="77777777" w:rsidR="002C47C1" w:rsidRPr="00E407D9" w:rsidRDefault="002C47C1">
      <w:pPr>
        <w:pStyle w:val="Prrafodelista"/>
        <w:numPr>
          <w:ilvl w:val="0"/>
          <w:numId w:val="15"/>
        </w:numPr>
        <w:autoSpaceDE w:val="0"/>
        <w:autoSpaceDN w:val="0"/>
        <w:adjustRightInd w:val="0"/>
        <w:contextualSpacing/>
        <w:jc w:val="both"/>
        <w:rPr>
          <w:rFonts w:ascii="Abadi" w:hAnsi="Abadi" w:cs="Amasis MT Pro Light"/>
          <w:b/>
          <w:bCs/>
          <w:color w:val="000000"/>
          <w:sz w:val="21"/>
          <w:szCs w:val="21"/>
        </w:rPr>
      </w:pPr>
      <w:r w:rsidRPr="00E407D9">
        <w:rPr>
          <w:rFonts w:ascii="Abadi" w:hAnsi="Abadi" w:cs="Amasis MT Pro Light"/>
          <w:b/>
          <w:bCs/>
          <w:color w:val="000000"/>
          <w:sz w:val="21"/>
          <w:szCs w:val="21"/>
        </w:rPr>
        <w:t>El terreno ganado de andamiaje legal</w:t>
      </w:r>
    </w:p>
    <w:p w14:paraId="69A30621" w14:textId="77777777" w:rsidR="002C47C1" w:rsidRPr="00E407D9" w:rsidRDefault="002C47C1" w:rsidP="002C47C1">
      <w:pPr>
        <w:pStyle w:val="Prrafodelista"/>
        <w:autoSpaceDE w:val="0"/>
        <w:autoSpaceDN w:val="0"/>
        <w:adjustRightInd w:val="0"/>
        <w:jc w:val="both"/>
        <w:rPr>
          <w:rFonts w:ascii="Abadi" w:hAnsi="Abadi" w:cs="Amasis MT Pro Light"/>
          <w:b/>
          <w:bCs/>
          <w:color w:val="000000"/>
          <w:sz w:val="21"/>
          <w:szCs w:val="21"/>
        </w:rPr>
      </w:pPr>
    </w:p>
    <w:p w14:paraId="2E2F16E7"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 xml:space="preserve">Pese a que muchas autoridades se opusieron, generando resistencias para reconocer el </w:t>
      </w:r>
      <w:r w:rsidRPr="00E407D9">
        <w:rPr>
          <w:rFonts w:ascii="Abadi" w:hAnsi="Abadi" w:cs="Amasis MT Pro Light"/>
          <w:color w:val="000000"/>
          <w:sz w:val="21"/>
          <w:szCs w:val="21"/>
        </w:rPr>
        <w:lastRenderedPageBreak/>
        <w:t>problema y, consecuentemente, para tomar decisiones para atenderlo, hoy nuestro país cuenta con legislación y un conjunto de instituciones en materia de desaparición de personas. Esto, fundamentalmente, se debe a la lucha de las familias de personas desaparecidas:</w:t>
      </w:r>
    </w:p>
    <w:p w14:paraId="5F8E5982"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730CB5E7"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r w:rsidRPr="00E407D9">
        <w:rPr>
          <w:rFonts w:ascii="Abadi" w:hAnsi="Abadi" w:cs="Amasis MT Pro Light"/>
          <w:color w:val="000000"/>
          <w:sz w:val="21"/>
          <w:szCs w:val="21"/>
        </w:rPr>
        <w:t xml:space="preserve">En México, nuevamente fueron las familias quienes protestaron cuando los medios y no </w:t>
      </w:r>
      <w:r>
        <w:rPr>
          <w:rFonts w:ascii="Abadi" w:hAnsi="Abadi" w:cs="Amasis MT Pro Light"/>
          <w:color w:val="000000"/>
          <w:sz w:val="21"/>
          <w:szCs w:val="21"/>
        </w:rPr>
        <w:tab/>
      </w:r>
      <w:r w:rsidRPr="00E407D9">
        <w:rPr>
          <w:rFonts w:ascii="Abadi" w:hAnsi="Abadi" w:cs="Amasis MT Pro Light"/>
          <w:color w:val="000000"/>
          <w:sz w:val="21"/>
          <w:szCs w:val="21"/>
        </w:rPr>
        <w:t xml:space="preserve">pocas autoridades buscaron imponer la cruel jerga de las organizaciones de crimen </w:t>
      </w:r>
      <w:r>
        <w:rPr>
          <w:rFonts w:ascii="Abadi" w:hAnsi="Abadi" w:cs="Amasis MT Pro Light"/>
          <w:color w:val="000000"/>
          <w:sz w:val="21"/>
          <w:szCs w:val="21"/>
        </w:rPr>
        <w:tab/>
      </w:r>
      <w:r w:rsidRPr="00E407D9">
        <w:rPr>
          <w:rFonts w:ascii="Abadi" w:hAnsi="Abadi" w:cs="Amasis MT Pro Light"/>
          <w:color w:val="000000"/>
          <w:sz w:val="21"/>
          <w:szCs w:val="21"/>
        </w:rPr>
        <w:t>organizado que ridiculizaba y trivializaba las desapariciones llamándolas “levantones”</w:t>
      </w:r>
      <w:r>
        <w:rPr>
          <w:rStyle w:val="Refdenotaalpie"/>
          <w:rFonts w:ascii="Abadi" w:hAnsi="Abadi" w:cs="Amasis MT Pro Light"/>
          <w:color w:val="000000"/>
          <w:sz w:val="21"/>
          <w:szCs w:val="21"/>
        </w:rPr>
        <w:footnoteReference w:id="11"/>
      </w:r>
      <w:r w:rsidRPr="00E407D9">
        <w:rPr>
          <w:rFonts w:ascii="Abadi" w:hAnsi="Abadi" w:cs="Amasis MT Pro Light"/>
          <w:color w:val="000000"/>
          <w:sz w:val="21"/>
          <w:szCs w:val="21"/>
        </w:rPr>
        <w:t>.</w:t>
      </w:r>
    </w:p>
    <w:p w14:paraId="49AB4B6A"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4B78FBF2"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Así, se impulsaron medidas legislativas como la Ley General sobre Desapariciones Forzadas de Personas, Desapariciones Cometidas por Particulares y del Sistema Nacional de Búsqueda de Personas, la Ley General de Víctimas, así como la creación del Registro Nacional de Personas Desaparecidas y No Localizadas.</w:t>
      </w:r>
    </w:p>
    <w:p w14:paraId="7B6655F7"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1FFCE9E1"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En ese sentido, el Comité Contra la Desaparición Forzada, ha reconocido la reactivación del Sistema Nacional de Búsqueda de Personas, la creación de comisiones locales de búsqueda y de las Fiscalías Especializadas en la Investigación de los Delitos de Desaparición Forzada de Personas, la adopción del Protocolo Homologado para la Búsqueda de Personas Desaparecidas y No Localizadas y del Protocolo Adicional para la Búsqueda de Niñas, Niños y Adolescentes, y la posibilidad de incorporar a quienes participan en las búsquedas en el Mecanismo de Protección para Personas Defensoras de Derechos Humanos y Periodistas</w:t>
      </w:r>
      <w:r>
        <w:rPr>
          <w:rStyle w:val="Refdenotaalpie"/>
          <w:rFonts w:ascii="Abadi" w:hAnsi="Abadi" w:cs="Amasis MT Pro Light"/>
          <w:color w:val="000000"/>
          <w:sz w:val="21"/>
          <w:szCs w:val="21"/>
        </w:rPr>
        <w:footnoteReference w:id="12"/>
      </w:r>
      <w:r w:rsidRPr="00E407D9">
        <w:rPr>
          <w:rFonts w:ascii="Abadi" w:hAnsi="Abadi" w:cs="Amasis MT Pro Light"/>
          <w:color w:val="000000"/>
          <w:sz w:val="21"/>
          <w:szCs w:val="21"/>
        </w:rPr>
        <w:t>.</w:t>
      </w:r>
    </w:p>
    <w:p w14:paraId="44A52E09" w14:textId="77777777" w:rsidR="002C47C1" w:rsidRPr="00E407D9" w:rsidRDefault="002C47C1" w:rsidP="002C47C1">
      <w:pPr>
        <w:autoSpaceDE w:val="0"/>
        <w:autoSpaceDN w:val="0"/>
        <w:adjustRightInd w:val="0"/>
        <w:jc w:val="both"/>
        <w:rPr>
          <w:rFonts w:ascii="Abadi" w:hAnsi="Abadi" w:cs="Calibri-Bold"/>
          <w:b/>
          <w:bCs/>
          <w:color w:val="000000"/>
          <w:sz w:val="21"/>
          <w:szCs w:val="21"/>
        </w:rPr>
      </w:pPr>
    </w:p>
    <w:p w14:paraId="35E8838B" w14:textId="1318A2B6"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 xml:space="preserve">En octubre del 2020, el Estado mexicano reconoció la competencia del Comité contra la desaparición forzada para recibir y examinar comunicaciones individuales, de conformidad con el artículo 31 de la Convención, y el 30 de </w:t>
      </w:r>
      <w:r w:rsidRPr="00E407D9">
        <w:rPr>
          <w:rFonts w:ascii="Abadi" w:hAnsi="Abadi" w:cs="Amasis MT Pro Light"/>
          <w:color w:val="000000"/>
          <w:sz w:val="21"/>
          <w:szCs w:val="21"/>
        </w:rPr>
        <w:t>agosto de 2021 como muestra de apertura del Estado Mexicano al escrutinio internacional, aceptó la visita que el Comité contra la Desaparición Forzada había solicitado desde el 2013. También es importante mencionar que en el actual gobierno federal se han creado dos comisiones para la verdad y la justicia: la del caso Ayotzinapa y la de las atrocidades acontecidas durante la Guerra Sucia.</w:t>
      </w:r>
    </w:p>
    <w:p w14:paraId="340B3560"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2D0B8176"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En el ámbito internacional, existen varios instrumentos firmados por el Estado Mexicano en la materia. Entre otros, la Convención Internacional para la Protección de todas las personas contra las desapariciones forzadas, la Convención Interamericana sobre desaparición forzada de personas, o los Principios rectores para la búsqueda de personas desaparecidas del Comité contra la Desaparición Forzada.</w:t>
      </w:r>
    </w:p>
    <w:p w14:paraId="2D7260B0"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17F40B18"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 xml:space="preserve">En cuanto a la jurisprudencia contenciosa de la Corte Interamericana, ésta inició con el caso </w:t>
      </w:r>
      <w:r w:rsidRPr="00E407D9">
        <w:rPr>
          <w:rFonts w:ascii="Abadi" w:hAnsi="Abadi" w:cs="Amasis MT Pro Light,Italic"/>
          <w:i/>
          <w:iCs/>
          <w:color w:val="000000"/>
          <w:sz w:val="21"/>
          <w:szCs w:val="21"/>
        </w:rPr>
        <w:t>Velázquez Rodríguez vs. Honduras</w:t>
      </w:r>
      <w:r w:rsidRPr="00E407D9">
        <w:rPr>
          <w:rFonts w:ascii="Abadi" w:hAnsi="Abadi" w:cs="Amasis MT Pro Light"/>
          <w:color w:val="000000"/>
          <w:sz w:val="21"/>
          <w:szCs w:val="21"/>
        </w:rPr>
        <w:t>, en donde la Corte concluyó que la desaparición forzada es una violación autónoma a los derechos humanos, precisando lo que se dijo líneas arriba respecto a que constituye una violación múltiple y continuada de numerosos derechos reconocidos en la Convención</w:t>
      </w:r>
      <w:r>
        <w:rPr>
          <w:rStyle w:val="Refdenotaalpie"/>
          <w:rFonts w:ascii="Abadi" w:hAnsi="Abadi" w:cs="Amasis MT Pro Light"/>
          <w:color w:val="000000"/>
          <w:sz w:val="21"/>
          <w:szCs w:val="21"/>
        </w:rPr>
        <w:footnoteReference w:id="13"/>
      </w:r>
      <w:r w:rsidRPr="00E407D9">
        <w:rPr>
          <w:rFonts w:ascii="Abadi" w:hAnsi="Abadi" w:cs="Amasis MT Pro Light"/>
          <w:color w:val="000000"/>
          <w:sz w:val="21"/>
          <w:szCs w:val="21"/>
        </w:rPr>
        <w:t xml:space="preserve">, lo que fue ratificado en el caso </w:t>
      </w:r>
      <w:r w:rsidRPr="00E407D9">
        <w:rPr>
          <w:rFonts w:ascii="Abadi" w:hAnsi="Abadi" w:cs="Amasis MT Pro Light,Italic"/>
          <w:i/>
          <w:iCs/>
          <w:color w:val="000000"/>
          <w:sz w:val="21"/>
          <w:szCs w:val="21"/>
        </w:rPr>
        <w:t xml:space="preserve">Rosendo Radilla Pacheco vs. México, </w:t>
      </w:r>
      <w:r w:rsidRPr="00E407D9">
        <w:rPr>
          <w:rFonts w:ascii="Abadi" w:hAnsi="Abadi" w:cs="Amasis MT Pro Light"/>
          <w:color w:val="000000"/>
          <w:sz w:val="21"/>
          <w:szCs w:val="21"/>
        </w:rPr>
        <w:t>en donde se señaló la naturaleza compleja y pluriofensiva de la desaparición forzada</w:t>
      </w:r>
      <w:r>
        <w:rPr>
          <w:rStyle w:val="Refdenotaalpie"/>
          <w:rFonts w:ascii="Abadi" w:hAnsi="Abadi" w:cs="Amasis MT Pro Light"/>
          <w:color w:val="000000"/>
          <w:sz w:val="21"/>
          <w:szCs w:val="21"/>
        </w:rPr>
        <w:footnoteReference w:id="14"/>
      </w:r>
      <w:r w:rsidRPr="00E407D9">
        <w:rPr>
          <w:rFonts w:ascii="Abadi" w:hAnsi="Abadi" w:cs="Amasis MT Pro Light"/>
          <w:color w:val="000000"/>
          <w:sz w:val="21"/>
          <w:szCs w:val="21"/>
        </w:rPr>
        <w:t>.</w:t>
      </w:r>
    </w:p>
    <w:p w14:paraId="085A5251"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0C14A28E"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 xml:space="preserve">En </w:t>
      </w:r>
      <w:r w:rsidRPr="00E407D9">
        <w:rPr>
          <w:rFonts w:ascii="Abadi" w:hAnsi="Abadi" w:cs="Amasis MT Pro Light,Italic"/>
          <w:i/>
          <w:iCs/>
          <w:color w:val="000000"/>
          <w:sz w:val="21"/>
          <w:szCs w:val="21"/>
        </w:rPr>
        <w:t xml:space="preserve">Vereda La Esperanza vs Colombia </w:t>
      </w:r>
      <w:r w:rsidRPr="00E407D9">
        <w:rPr>
          <w:rFonts w:ascii="Abadi" w:hAnsi="Abadi" w:cs="Amasis MT Pro Light"/>
          <w:color w:val="000000"/>
          <w:sz w:val="21"/>
          <w:szCs w:val="21"/>
        </w:rPr>
        <w:t>(2017), la Corte Interamericana precisó como elementos de la desaparición forzada: a) la privación de la libertad; b) la intervención</w:t>
      </w:r>
    </w:p>
    <w:p w14:paraId="0EACCCBF" w14:textId="77777777" w:rsidR="002C47C1" w:rsidRPr="00E407D9" w:rsidRDefault="002C47C1" w:rsidP="002C47C1">
      <w:pPr>
        <w:autoSpaceDE w:val="0"/>
        <w:autoSpaceDN w:val="0"/>
        <w:adjustRightInd w:val="0"/>
        <w:jc w:val="both"/>
        <w:rPr>
          <w:rFonts w:ascii="Abadi" w:hAnsi="Abadi" w:cs="Calibri-Bold"/>
          <w:b/>
          <w:bCs/>
          <w:color w:val="000000"/>
          <w:sz w:val="21"/>
          <w:szCs w:val="21"/>
        </w:rPr>
      </w:pPr>
    </w:p>
    <w:p w14:paraId="163786D8"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directa de agentes estatales o de personas o grupos de personas que actúen con la autorización, el apoyo o la aquiescencia del Estado, y c) la negativa de reconocer la detención y de revelar la suerte o el paradero de la persona interesada</w:t>
      </w:r>
      <w:r>
        <w:rPr>
          <w:rStyle w:val="Refdenotaalpie"/>
          <w:rFonts w:ascii="Abadi" w:hAnsi="Abadi" w:cs="Amasis MT Pro Light"/>
          <w:color w:val="000000"/>
          <w:sz w:val="21"/>
          <w:szCs w:val="21"/>
        </w:rPr>
        <w:footnoteReference w:id="15"/>
      </w:r>
      <w:r w:rsidRPr="00E407D9">
        <w:rPr>
          <w:rFonts w:ascii="Abadi" w:hAnsi="Abadi" w:cs="Amasis MT Pro Light"/>
          <w:color w:val="000000"/>
          <w:sz w:val="21"/>
          <w:szCs w:val="21"/>
        </w:rPr>
        <w:t>.</w:t>
      </w:r>
    </w:p>
    <w:p w14:paraId="6B3CBC92"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141B1E69"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A pesar de todo lo que se ha logrado hasta ahora, queda mucho por hacer en materia de personas desaparecidas. Las miles de personas desaparecidas, la impunidad persistente y la crisis forense de las más de 50,000 personas sin identificar, hace necesario que las autoridades sigamos aportando medidas para que los mandatos de justicia, la no repetición, reparación, verdad y reencuentro sean posibles.</w:t>
      </w:r>
    </w:p>
    <w:p w14:paraId="6F6A4EE0"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5C60D212" w14:textId="77777777" w:rsidR="002C47C1" w:rsidRPr="00E407D9" w:rsidRDefault="002C47C1">
      <w:pPr>
        <w:pStyle w:val="Prrafodelista"/>
        <w:numPr>
          <w:ilvl w:val="0"/>
          <w:numId w:val="15"/>
        </w:numPr>
        <w:autoSpaceDE w:val="0"/>
        <w:autoSpaceDN w:val="0"/>
        <w:adjustRightInd w:val="0"/>
        <w:contextualSpacing/>
        <w:jc w:val="both"/>
        <w:rPr>
          <w:rFonts w:ascii="Abadi" w:hAnsi="Abadi" w:cs="Amasis MT Pro Light"/>
          <w:b/>
          <w:bCs/>
          <w:color w:val="000000"/>
          <w:sz w:val="21"/>
          <w:szCs w:val="21"/>
        </w:rPr>
      </w:pPr>
      <w:r w:rsidRPr="00E407D9">
        <w:rPr>
          <w:rFonts w:ascii="Abadi" w:hAnsi="Abadi" w:cs="Amasis MT Pro Light"/>
          <w:b/>
          <w:bCs/>
          <w:color w:val="000000"/>
          <w:sz w:val="21"/>
          <w:szCs w:val="21"/>
        </w:rPr>
        <w:t>El derecho a ser buscado</w:t>
      </w:r>
    </w:p>
    <w:p w14:paraId="0967EF8F" w14:textId="77777777" w:rsidR="002C47C1" w:rsidRPr="00E407D9" w:rsidRDefault="002C47C1" w:rsidP="002C47C1">
      <w:pPr>
        <w:pStyle w:val="Prrafodelista"/>
        <w:autoSpaceDE w:val="0"/>
        <w:autoSpaceDN w:val="0"/>
        <w:adjustRightInd w:val="0"/>
        <w:jc w:val="both"/>
        <w:rPr>
          <w:rFonts w:ascii="Abadi" w:hAnsi="Abadi" w:cs="Amasis MT Pro Light"/>
          <w:color w:val="000000"/>
          <w:sz w:val="21"/>
          <w:szCs w:val="21"/>
        </w:rPr>
      </w:pPr>
    </w:p>
    <w:p w14:paraId="735DED74" w14:textId="77777777" w:rsidR="002C47C1" w:rsidRPr="00E407D9" w:rsidRDefault="002C47C1" w:rsidP="002C47C1">
      <w:pPr>
        <w:autoSpaceDE w:val="0"/>
        <w:autoSpaceDN w:val="0"/>
        <w:adjustRightInd w:val="0"/>
        <w:jc w:val="both"/>
        <w:rPr>
          <w:rFonts w:ascii="Abadi" w:hAnsi="Abadi" w:cs="Amasis MT Pro Light"/>
          <w:b/>
          <w:bCs/>
          <w:color w:val="000000"/>
          <w:sz w:val="21"/>
          <w:szCs w:val="21"/>
        </w:rPr>
      </w:pPr>
      <w:r w:rsidRPr="00E407D9">
        <w:rPr>
          <w:rFonts w:ascii="Abadi" w:hAnsi="Abadi" w:cs="Amasis MT Pro Light"/>
          <w:color w:val="000000"/>
          <w:sz w:val="21"/>
          <w:szCs w:val="21"/>
        </w:rPr>
        <w:t>Como dice la Suprema Corte, la misión principal de las Comisiones de Búsqueda y el Sistema Nacional de Búsqueda</w:t>
      </w:r>
      <w:r w:rsidRPr="00E407D9">
        <w:rPr>
          <w:rFonts w:ascii="Abadi" w:hAnsi="Abadi" w:cs="Amasis MT Pro Light"/>
          <w:b/>
          <w:bCs/>
          <w:color w:val="000000"/>
          <w:sz w:val="21"/>
          <w:szCs w:val="21"/>
        </w:rPr>
        <w:t xml:space="preserve"> es dar sustancia al mayor mandato convencional en materia de desaparición de personas: impulsar y coordinar todos los esfuerzos institucionales para hallar con vida a la persona desaparecida.</w:t>
      </w:r>
      <w:r>
        <w:rPr>
          <w:rStyle w:val="Refdenotaalpie"/>
          <w:rFonts w:ascii="Abadi" w:hAnsi="Abadi" w:cs="Amasis MT Pro Light"/>
          <w:b/>
          <w:bCs/>
          <w:color w:val="000000"/>
          <w:sz w:val="21"/>
          <w:szCs w:val="21"/>
        </w:rPr>
        <w:footnoteReference w:id="16"/>
      </w:r>
    </w:p>
    <w:p w14:paraId="756B774B"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36CC77B3"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Así, los principios rectores para la búsqueda de personas desaparecidas establecidos por el Comité contra la Desaparición Forzada de Naciones Unidas señalan, en su sexto principio, que:</w:t>
      </w:r>
    </w:p>
    <w:p w14:paraId="5D18E6D1"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1F5BC322" w14:textId="1C2A0A14" w:rsidR="002C47C1" w:rsidRPr="00E407D9" w:rsidRDefault="002C47C1" w:rsidP="002E542C">
      <w:pPr>
        <w:autoSpaceDE w:val="0"/>
        <w:autoSpaceDN w:val="0"/>
        <w:adjustRightInd w:val="0"/>
        <w:ind w:left="284"/>
        <w:jc w:val="both"/>
        <w:rPr>
          <w:rFonts w:ascii="Abadi" w:hAnsi="Abadi" w:cs="Amasis MT Pro Light"/>
          <w:color w:val="000000"/>
          <w:sz w:val="21"/>
          <w:szCs w:val="21"/>
        </w:rPr>
      </w:pPr>
      <w:r w:rsidRPr="00E407D9">
        <w:rPr>
          <w:rFonts w:ascii="Abadi" w:hAnsi="Abadi" w:cs="Amasis MT Pro Light"/>
          <w:color w:val="000000"/>
          <w:sz w:val="21"/>
          <w:szCs w:val="21"/>
        </w:rPr>
        <w:t>Tan pronto como las autoridades</w:t>
      </w:r>
      <w:r w:rsidR="002E542C">
        <w:rPr>
          <w:rFonts w:ascii="Abadi" w:hAnsi="Abadi" w:cs="Amasis MT Pro Light"/>
          <w:color w:val="000000"/>
          <w:sz w:val="21"/>
          <w:szCs w:val="21"/>
        </w:rPr>
        <w:t xml:space="preserve"> </w:t>
      </w:r>
      <w:r w:rsidRPr="00E407D9">
        <w:rPr>
          <w:rFonts w:ascii="Abadi" w:hAnsi="Abadi" w:cs="Amasis MT Pro Light"/>
          <w:color w:val="000000"/>
          <w:sz w:val="21"/>
          <w:szCs w:val="21"/>
        </w:rPr>
        <w:t>encargadas de la búsqueda tengan</w:t>
      </w:r>
      <w:r w:rsidR="002E542C">
        <w:rPr>
          <w:rFonts w:ascii="Abadi" w:hAnsi="Abadi" w:cs="Amasis MT Pro Light"/>
          <w:color w:val="000000"/>
          <w:sz w:val="21"/>
          <w:szCs w:val="21"/>
        </w:rPr>
        <w:t xml:space="preserve"> </w:t>
      </w:r>
      <w:r w:rsidRPr="00E407D9">
        <w:rPr>
          <w:rFonts w:ascii="Abadi" w:hAnsi="Abadi" w:cs="Amasis MT Pro Light"/>
          <w:color w:val="000000"/>
          <w:sz w:val="21"/>
          <w:szCs w:val="21"/>
        </w:rPr>
        <w:t>conocimiento,</w:t>
      </w:r>
      <w:r>
        <w:rPr>
          <w:rFonts w:ascii="Abadi" w:hAnsi="Abadi" w:cs="Amasis MT Pro Light"/>
          <w:color w:val="000000"/>
          <w:sz w:val="21"/>
          <w:szCs w:val="21"/>
        </w:rPr>
        <w:t xml:space="preserve"> </w:t>
      </w:r>
      <w:r w:rsidRPr="00E407D9">
        <w:rPr>
          <w:rFonts w:ascii="Abadi" w:hAnsi="Abadi" w:cs="Amasis MT Pro Light"/>
          <w:color w:val="000000"/>
          <w:sz w:val="21"/>
          <w:szCs w:val="21"/>
        </w:rPr>
        <w:t>por cualquier medio, o</w:t>
      </w:r>
      <w:r w:rsidR="002E542C">
        <w:rPr>
          <w:rFonts w:ascii="Abadi" w:hAnsi="Abadi" w:cs="Amasis MT Pro Light"/>
          <w:color w:val="000000"/>
          <w:sz w:val="21"/>
          <w:szCs w:val="21"/>
        </w:rPr>
        <w:t xml:space="preserve"> </w:t>
      </w:r>
      <w:r w:rsidRPr="00E407D9">
        <w:rPr>
          <w:rFonts w:ascii="Abadi" w:hAnsi="Abadi" w:cs="Amasis MT Pro Light"/>
          <w:color w:val="000000"/>
          <w:sz w:val="21"/>
          <w:szCs w:val="21"/>
        </w:rPr>
        <w:t>tengan indicios de que una persona haya sido</w:t>
      </w:r>
      <w:r w:rsidR="002E542C">
        <w:rPr>
          <w:rFonts w:ascii="Abadi" w:hAnsi="Abadi" w:cs="Amasis MT Pro Light"/>
          <w:color w:val="000000"/>
          <w:sz w:val="21"/>
          <w:szCs w:val="21"/>
        </w:rPr>
        <w:t xml:space="preserve"> </w:t>
      </w:r>
      <w:r w:rsidRPr="00E407D9">
        <w:rPr>
          <w:rFonts w:ascii="Abadi" w:hAnsi="Abadi" w:cs="Amasis MT Pro Light"/>
          <w:color w:val="000000"/>
          <w:sz w:val="21"/>
          <w:szCs w:val="21"/>
        </w:rPr>
        <w:t>sometida a</w:t>
      </w:r>
      <w:r>
        <w:rPr>
          <w:rFonts w:ascii="Abadi" w:hAnsi="Abadi" w:cs="Amasis MT Pro Light"/>
          <w:color w:val="000000"/>
          <w:sz w:val="21"/>
          <w:szCs w:val="21"/>
        </w:rPr>
        <w:t xml:space="preserve"> </w:t>
      </w:r>
      <w:r w:rsidRPr="00E407D9">
        <w:rPr>
          <w:rFonts w:ascii="Abadi" w:hAnsi="Abadi" w:cs="Amasis MT Pro Light"/>
          <w:color w:val="000000"/>
          <w:sz w:val="21"/>
          <w:szCs w:val="21"/>
        </w:rPr>
        <w:t>desaparición</w:t>
      </w:r>
      <w:r w:rsidRPr="00E407D9">
        <w:rPr>
          <w:rFonts w:ascii="Abadi" w:hAnsi="Abadi" w:cs="Amasis MT Pro Light"/>
          <w:b/>
          <w:bCs/>
          <w:color w:val="000000"/>
          <w:sz w:val="21"/>
          <w:szCs w:val="21"/>
        </w:rPr>
        <w:t>, deben iniciar</w:t>
      </w:r>
      <w:r w:rsidR="002E542C">
        <w:rPr>
          <w:rFonts w:ascii="Abadi" w:hAnsi="Abadi" w:cs="Amasis MT Pro Light"/>
          <w:b/>
          <w:bCs/>
          <w:color w:val="000000"/>
          <w:sz w:val="21"/>
          <w:szCs w:val="21"/>
        </w:rPr>
        <w:t xml:space="preserve"> </w:t>
      </w:r>
      <w:r w:rsidRPr="00E407D9">
        <w:rPr>
          <w:rFonts w:ascii="Abadi" w:hAnsi="Abadi" w:cs="Amasis MT Pro Light"/>
          <w:b/>
          <w:bCs/>
          <w:color w:val="000000"/>
          <w:sz w:val="21"/>
          <w:szCs w:val="21"/>
        </w:rPr>
        <w:t>las acciones de búsqueda de forma inmediata,</w:t>
      </w:r>
      <w:r w:rsidR="002E542C">
        <w:rPr>
          <w:rFonts w:ascii="Abadi" w:hAnsi="Abadi" w:cs="Amasis MT Pro Light"/>
          <w:b/>
          <w:bCs/>
          <w:color w:val="000000"/>
          <w:sz w:val="21"/>
          <w:szCs w:val="21"/>
        </w:rPr>
        <w:t xml:space="preserve"> </w:t>
      </w:r>
      <w:r w:rsidRPr="00E407D9">
        <w:rPr>
          <w:rFonts w:ascii="Abadi" w:hAnsi="Abadi" w:cs="Amasis MT Pro Light"/>
          <w:b/>
          <w:bCs/>
          <w:color w:val="000000"/>
          <w:sz w:val="21"/>
          <w:szCs w:val="21"/>
        </w:rPr>
        <w:t>sin</w:t>
      </w:r>
      <w:r>
        <w:rPr>
          <w:rFonts w:ascii="Abadi" w:hAnsi="Abadi" w:cs="Amasis MT Pro Light"/>
          <w:b/>
          <w:bCs/>
          <w:color w:val="000000"/>
          <w:sz w:val="21"/>
          <w:szCs w:val="21"/>
        </w:rPr>
        <w:t xml:space="preserve"> </w:t>
      </w:r>
      <w:r w:rsidRPr="00E407D9">
        <w:rPr>
          <w:rFonts w:ascii="Abadi" w:hAnsi="Abadi" w:cs="Amasis MT Pro Light"/>
          <w:b/>
          <w:bCs/>
          <w:color w:val="000000"/>
          <w:sz w:val="21"/>
          <w:szCs w:val="21"/>
        </w:rPr>
        <w:t>ninguna demora o dilación y de manera</w:t>
      </w:r>
      <w:r w:rsidR="002E542C">
        <w:rPr>
          <w:rFonts w:ascii="Abadi" w:hAnsi="Abadi" w:cs="Amasis MT Pro Light"/>
          <w:b/>
          <w:bCs/>
          <w:color w:val="000000"/>
          <w:sz w:val="21"/>
          <w:szCs w:val="21"/>
        </w:rPr>
        <w:t xml:space="preserve"> </w:t>
      </w:r>
      <w:r w:rsidRPr="00E407D9">
        <w:rPr>
          <w:rFonts w:ascii="Abadi" w:hAnsi="Abadi" w:cs="Amasis MT Pro Light"/>
          <w:b/>
          <w:bCs/>
          <w:color w:val="000000"/>
          <w:sz w:val="21"/>
          <w:szCs w:val="21"/>
        </w:rPr>
        <w:t>expedita.</w:t>
      </w:r>
      <w:r w:rsidRPr="00E407D9">
        <w:rPr>
          <w:rFonts w:ascii="Abadi" w:hAnsi="Abadi" w:cs="Amasis MT Pro Light"/>
          <w:color w:val="000000"/>
          <w:sz w:val="21"/>
          <w:szCs w:val="21"/>
        </w:rPr>
        <w:t xml:space="preserve"> Estas acciones de búsqueda deben</w:t>
      </w:r>
      <w:r w:rsidR="002E542C">
        <w:rPr>
          <w:rFonts w:ascii="Abadi" w:hAnsi="Abadi" w:cs="Amasis MT Pro Light"/>
          <w:color w:val="000000"/>
          <w:sz w:val="21"/>
          <w:szCs w:val="21"/>
        </w:rPr>
        <w:t xml:space="preserve"> </w:t>
      </w:r>
      <w:r w:rsidRPr="00E407D9">
        <w:rPr>
          <w:rFonts w:ascii="Abadi" w:hAnsi="Abadi" w:cs="Amasis MT Pro Light"/>
          <w:color w:val="000000"/>
          <w:sz w:val="21"/>
          <w:szCs w:val="21"/>
        </w:rPr>
        <w:t>incluir, cuando sea necesario, el</w:t>
      </w:r>
      <w:r w:rsidR="002E542C">
        <w:rPr>
          <w:rFonts w:ascii="Abadi" w:hAnsi="Abadi" w:cs="Amasis MT Pro Light"/>
          <w:color w:val="000000"/>
          <w:sz w:val="21"/>
          <w:szCs w:val="21"/>
        </w:rPr>
        <w:t xml:space="preserve"> </w:t>
      </w:r>
      <w:r w:rsidRPr="00E407D9">
        <w:rPr>
          <w:rFonts w:ascii="Abadi" w:hAnsi="Abadi" w:cs="Amasis MT Pro Light"/>
          <w:color w:val="000000"/>
          <w:sz w:val="21"/>
          <w:szCs w:val="21"/>
        </w:rPr>
        <w:t>desplazamiento a los lugares pertinentes</w:t>
      </w:r>
      <w:r>
        <w:rPr>
          <w:rStyle w:val="Refdenotaalpie"/>
          <w:rFonts w:ascii="Abadi" w:hAnsi="Abadi" w:cs="Amasis MT Pro Light"/>
          <w:color w:val="000000"/>
          <w:sz w:val="21"/>
          <w:szCs w:val="21"/>
        </w:rPr>
        <w:footnoteReference w:id="17"/>
      </w:r>
      <w:r w:rsidRPr="00E407D9">
        <w:rPr>
          <w:rFonts w:ascii="Abadi" w:hAnsi="Abadi" w:cs="Amasis MT Pro Light"/>
          <w:color w:val="000000"/>
          <w:sz w:val="21"/>
          <w:szCs w:val="21"/>
        </w:rPr>
        <w:t>.</w:t>
      </w:r>
    </w:p>
    <w:p w14:paraId="1E59B5B6" w14:textId="77777777" w:rsidR="002C47C1" w:rsidRPr="00E407D9" w:rsidRDefault="002C47C1" w:rsidP="002C47C1">
      <w:pPr>
        <w:autoSpaceDE w:val="0"/>
        <w:autoSpaceDN w:val="0"/>
        <w:adjustRightInd w:val="0"/>
        <w:jc w:val="both"/>
        <w:rPr>
          <w:rFonts w:ascii="Abadi" w:hAnsi="Abadi" w:cs="Calibri-Bold"/>
          <w:b/>
          <w:bCs/>
          <w:color w:val="000000"/>
          <w:sz w:val="21"/>
          <w:szCs w:val="21"/>
        </w:rPr>
      </w:pPr>
    </w:p>
    <w:p w14:paraId="729CD018" w14:textId="77777777" w:rsidR="002C47C1" w:rsidRPr="00E407D9" w:rsidRDefault="002C47C1" w:rsidP="002C47C1">
      <w:pPr>
        <w:autoSpaceDE w:val="0"/>
        <w:autoSpaceDN w:val="0"/>
        <w:adjustRightInd w:val="0"/>
        <w:jc w:val="both"/>
        <w:rPr>
          <w:rFonts w:ascii="Abadi" w:hAnsi="Abadi" w:cs="Amasis MT Pro Light"/>
          <w:b/>
          <w:bCs/>
          <w:color w:val="000000"/>
          <w:sz w:val="21"/>
          <w:szCs w:val="21"/>
        </w:rPr>
      </w:pPr>
      <w:r w:rsidRPr="00E407D9">
        <w:rPr>
          <w:rFonts w:ascii="Abadi" w:hAnsi="Abadi" w:cs="Amasis MT Pro Light"/>
          <w:color w:val="000000"/>
          <w:sz w:val="21"/>
          <w:szCs w:val="21"/>
        </w:rPr>
        <w:t xml:space="preserve">De igual modo, precisan que existe </w:t>
      </w:r>
      <w:r w:rsidRPr="00E407D9">
        <w:rPr>
          <w:rFonts w:ascii="Abadi" w:hAnsi="Abadi" w:cs="Amasis MT Pro Light"/>
          <w:b/>
          <w:bCs/>
          <w:color w:val="000000"/>
          <w:sz w:val="21"/>
          <w:szCs w:val="21"/>
        </w:rPr>
        <w:t>una obligación absoluta de tomar todas las medidas necesarias para encontrar a la persona.</w:t>
      </w:r>
      <w:r w:rsidRPr="00E407D9">
        <w:rPr>
          <w:rFonts w:ascii="Abadi" w:hAnsi="Abadi" w:cs="Amasis MT Pro Light"/>
          <w:color w:val="000000"/>
          <w:sz w:val="21"/>
          <w:szCs w:val="21"/>
        </w:rPr>
        <w:t xml:space="preserve"> Por último, señalan que la </w:t>
      </w:r>
      <w:r w:rsidRPr="00E407D9">
        <w:rPr>
          <w:rFonts w:ascii="Abadi" w:hAnsi="Abadi" w:cs="Amasis MT Pro Light"/>
          <w:b/>
          <w:bCs/>
          <w:color w:val="000000"/>
          <w:sz w:val="21"/>
          <w:szCs w:val="21"/>
        </w:rPr>
        <w:t>búsqueda de la persona desaparecida y la investigación penal de los responsables de la desaparición deben reforzarse mutuamente</w:t>
      </w:r>
      <w:r>
        <w:rPr>
          <w:rStyle w:val="Refdenotaalpie"/>
          <w:rFonts w:ascii="Abadi" w:hAnsi="Abadi" w:cs="Amasis MT Pro Light"/>
          <w:b/>
          <w:bCs/>
          <w:color w:val="000000"/>
          <w:sz w:val="21"/>
          <w:szCs w:val="21"/>
        </w:rPr>
        <w:footnoteReference w:id="18"/>
      </w:r>
      <w:r w:rsidRPr="00E407D9">
        <w:rPr>
          <w:rFonts w:ascii="Abadi" w:hAnsi="Abadi" w:cs="Amasis MT Pro Light"/>
          <w:b/>
          <w:bCs/>
          <w:color w:val="000000"/>
          <w:sz w:val="21"/>
          <w:szCs w:val="21"/>
        </w:rPr>
        <w:t>.</w:t>
      </w:r>
    </w:p>
    <w:p w14:paraId="04E825C7"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58FDFCE9"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Por su parte, la Declaración sobre la protección de todas las personas contra las desapariciones forzadas, señala que</w:t>
      </w:r>
    </w:p>
    <w:p w14:paraId="22DC6AA3"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7CF3A995" w14:textId="4D2D4F75" w:rsidR="002C47C1" w:rsidRPr="00E407D9" w:rsidRDefault="002C47C1" w:rsidP="002E542C">
      <w:pPr>
        <w:autoSpaceDE w:val="0"/>
        <w:autoSpaceDN w:val="0"/>
        <w:adjustRightInd w:val="0"/>
        <w:ind w:left="284"/>
        <w:jc w:val="both"/>
        <w:rPr>
          <w:rFonts w:ascii="Abadi" w:hAnsi="Abadi" w:cs="Amasis MT Pro Light"/>
          <w:color w:val="000000"/>
          <w:sz w:val="21"/>
          <w:szCs w:val="21"/>
        </w:rPr>
      </w:pPr>
      <w:r w:rsidRPr="00E407D9">
        <w:rPr>
          <w:rFonts w:ascii="Abadi" w:hAnsi="Abadi" w:cs="Amasis MT Pro Light"/>
          <w:b/>
          <w:bCs/>
          <w:color w:val="000000"/>
          <w:sz w:val="21"/>
          <w:szCs w:val="21"/>
        </w:rPr>
        <w:t>El derecho a un recurso judicial rápido y eficaz</w:t>
      </w:r>
      <w:r w:rsidRPr="00E407D9">
        <w:rPr>
          <w:rFonts w:ascii="Abadi" w:hAnsi="Abadi" w:cs="Amasis MT Pro Light"/>
          <w:color w:val="000000"/>
          <w:sz w:val="21"/>
          <w:szCs w:val="21"/>
        </w:rPr>
        <w:t xml:space="preserve">, como medio para </w:t>
      </w:r>
      <w:r w:rsidRPr="00E407D9">
        <w:rPr>
          <w:rFonts w:ascii="Abadi" w:hAnsi="Abadi" w:cs="Amasis MT Pro Light"/>
          <w:b/>
          <w:bCs/>
          <w:color w:val="000000"/>
          <w:sz w:val="21"/>
          <w:szCs w:val="21"/>
        </w:rPr>
        <w:t>determinar el paradero de           las personas</w:t>
      </w:r>
      <w:r w:rsidRPr="00E407D9">
        <w:rPr>
          <w:rFonts w:ascii="Abadi" w:hAnsi="Abadi" w:cs="Amasis MT Pro Light"/>
          <w:color w:val="000000"/>
          <w:sz w:val="21"/>
          <w:szCs w:val="21"/>
        </w:rPr>
        <w:t xml:space="preserve"> privadas de libertad o su estado de salud o de individualizar a la autoridad que        ordenó la privación de libertad o la hizo efectiva, es necesario para prevenir las desapariciones   forzadas en toda circunstancia, incluidas las contempladas en el artículo 7 supra.</w:t>
      </w:r>
    </w:p>
    <w:p w14:paraId="2ABDA614"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489904F0"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 xml:space="preserve">El mismo objeto de la </w:t>
      </w:r>
      <w:r w:rsidRPr="00E407D9">
        <w:rPr>
          <w:rFonts w:ascii="Abadi" w:hAnsi="Abadi" w:cs="Amasis MT Pro Light,Italic"/>
          <w:i/>
          <w:iCs/>
          <w:color w:val="000000"/>
          <w:sz w:val="21"/>
          <w:szCs w:val="21"/>
        </w:rPr>
        <w:t>Ley General en Materia de desaparición forzada de personas, desaparición cometida por particulares y del sistema nacional de búsqueda de personas</w:t>
      </w:r>
      <w:r w:rsidRPr="00E407D9">
        <w:rPr>
          <w:rFonts w:ascii="Abadi" w:hAnsi="Abadi" w:cs="Amasis MT Pro Light"/>
          <w:color w:val="000000"/>
          <w:sz w:val="21"/>
          <w:szCs w:val="21"/>
        </w:rPr>
        <w:t>, hace la distinción entre búsqueda de personas desaparecidas y no localizadas por un lado, y el esclarecimiento de los hechos, por otro. Esto deja de manifiesto la obligación autónoma del Estado de buscar a las personas desaparecidas, independientemente de la investigación penal.</w:t>
      </w:r>
    </w:p>
    <w:p w14:paraId="315F4374"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2EAB91EF" w14:textId="77777777" w:rsidR="002C47C1" w:rsidRPr="00E407D9" w:rsidRDefault="002C47C1" w:rsidP="002C47C1">
      <w:pPr>
        <w:autoSpaceDE w:val="0"/>
        <w:autoSpaceDN w:val="0"/>
        <w:adjustRightInd w:val="0"/>
        <w:jc w:val="both"/>
        <w:rPr>
          <w:rFonts w:ascii="Abadi" w:hAnsi="Abadi" w:cs="Amasis MT Pro Light"/>
          <w:b/>
          <w:bCs/>
          <w:color w:val="000000"/>
          <w:sz w:val="21"/>
          <w:szCs w:val="21"/>
        </w:rPr>
      </w:pPr>
      <w:r w:rsidRPr="00E407D9">
        <w:rPr>
          <w:rFonts w:ascii="Abadi" w:hAnsi="Abadi" w:cs="Amasis MT Pro Light"/>
          <w:color w:val="000000"/>
          <w:sz w:val="21"/>
          <w:szCs w:val="21"/>
        </w:rPr>
        <w:t>Además, al definir los principios que deben regir al aplicar la ley en mención, se establece la efectividad y exhaustividad, que ordenan que todas las diligencias que se realicen para la búsqueda de la persona desaparecida o no localizada deben hacerse de manera inmediata, oportuna, transparente, con base en información útil y científica, encaminadas a la localización; igualmente, incluyen la debida diligencia, que establece que todas las autoridades deben utilizar los medios necesarios para realizar con prontitud aquellas actuaciones esenciales y oportunas dentro de un plazo</w:t>
      </w:r>
      <w:r>
        <w:rPr>
          <w:rFonts w:ascii="Abadi" w:hAnsi="Abadi" w:cs="Amasis MT Pro Light"/>
          <w:color w:val="000000"/>
          <w:sz w:val="21"/>
          <w:szCs w:val="21"/>
        </w:rPr>
        <w:t xml:space="preserve"> </w:t>
      </w:r>
      <w:r w:rsidRPr="00E407D9">
        <w:rPr>
          <w:rFonts w:ascii="Abadi" w:hAnsi="Abadi" w:cs="Amasis MT Pro Light"/>
          <w:color w:val="000000"/>
          <w:sz w:val="21"/>
          <w:szCs w:val="21"/>
        </w:rPr>
        <w:t xml:space="preserve">razonable para lograr el objeto de esta Ley, </w:t>
      </w:r>
      <w:r w:rsidRPr="00E407D9">
        <w:rPr>
          <w:rFonts w:ascii="Abadi" w:hAnsi="Abadi" w:cs="Amasis MT Pro Light"/>
          <w:b/>
          <w:bCs/>
          <w:color w:val="000000"/>
          <w:sz w:val="21"/>
          <w:szCs w:val="21"/>
        </w:rPr>
        <w:t>en especial la búsqueda de la persona desaparecida o no localizada.</w:t>
      </w:r>
    </w:p>
    <w:p w14:paraId="070A3AAB"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2E79787B" w14:textId="17B44D5F"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Por su parte, el artículo 21 de la Ley General de Víctim</w:t>
      </w:r>
      <w:r w:rsidR="00F23EDB">
        <w:rPr>
          <w:rFonts w:ascii="Abadi" w:hAnsi="Abadi" w:cs="Amasis MT Pro Light"/>
          <w:color w:val="000000"/>
          <w:sz w:val="21"/>
          <w:szCs w:val="21"/>
        </w:rPr>
        <w:t>a</w:t>
      </w:r>
      <w:r w:rsidRPr="00E407D9">
        <w:rPr>
          <w:rFonts w:ascii="Abadi" w:hAnsi="Abadi" w:cs="Amasis MT Pro Light"/>
          <w:color w:val="000000"/>
          <w:sz w:val="21"/>
          <w:szCs w:val="21"/>
        </w:rPr>
        <w:t>s afirma que</w:t>
      </w:r>
    </w:p>
    <w:p w14:paraId="57D81E06" w14:textId="77777777" w:rsidR="00F20943" w:rsidRDefault="00F20943" w:rsidP="00F20943">
      <w:pPr>
        <w:autoSpaceDE w:val="0"/>
        <w:autoSpaceDN w:val="0"/>
        <w:adjustRightInd w:val="0"/>
        <w:ind w:left="284"/>
        <w:jc w:val="both"/>
        <w:rPr>
          <w:rFonts w:ascii="Abadi" w:hAnsi="Abadi" w:cs="Amasis MT Pro Light"/>
          <w:color w:val="000000"/>
          <w:sz w:val="21"/>
          <w:szCs w:val="21"/>
        </w:rPr>
      </w:pPr>
    </w:p>
    <w:p w14:paraId="4A9E8373" w14:textId="6510E094" w:rsidR="002C47C1" w:rsidRPr="00E407D9" w:rsidRDefault="002C47C1" w:rsidP="00F20943">
      <w:pPr>
        <w:autoSpaceDE w:val="0"/>
        <w:autoSpaceDN w:val="0"/>
        <w:adjustRightInd w:val="0"/>
        <w:ind w:left="284"/>
        <w:jc w:val="both"/>
        <w:rPr>
          <w:rFonts w:ascii="Abadi" w:hAnsi="Abadi" w:cs="Amasis MT Pro Light"/>
          <w:b/>
          <w:bCs/>
          <w:color w:val="000000"/>
          <w:sz w:val="21"/>
          <w:szCs w:val="21"/>
        </w:rPr>
      </w:pPr>
      <w:r w:rsidRPr="00E407D9">
        <w:rPr>
          <w:rFonts w:ascii="Abadi" w:hAnsi="Abadi" w:cs="Amasis MT Pro Light"/>
          <w:color w:val="000000"/>
          <w:sz w:val="21"/>
          <w:szCs w:val="21"/>
        </w:rPr>
        <w:t xml:space="preserve">El Estado, a través de las autoridades respectivas, tiene la obligación de iniciar, de inmediato y tan pronto como se haga de su conocimiento, </w:t>
      </w:r>
      <w:r w:rsidRPr="00E407D9">
        <w:rPr>
          <w:rFonts w:ascii="Abadi" w:hAnsi="Abadi" w:cs="Amasis MT Pro Light"/>
          <w:b/>
          <w:bCs/>
          <w:color w:val="000000"/>
          <w:sz w:val="21"/>
          <w:szCs w:val="21"/>
        </w:rPr>
        <w:t xml:space="preserve">todas las diligencias a </w:t>
      </w:r>
      <w:r w:rsidRPr="00E407D9">
        <w:rPr>
          <w:rFonts w:ascii="Abadi" w:hAnsi="Abadi" w:cs="Amasis MT Pro Light"/>
          <w:b/>
          <w:bCs/>
          <w:color w:val="000000"/>
          <w:sz w:val="21"/>
          <w:szCs w:val="21"/>
        </w:rPr>
        <w:lastRenderedPageBreak/>
        <w:t xml:space="preserve">su alcance para </w:t>
      </w:r>
      <w:r>
        <w:rPr>
          <w:rFonts w:ascii="Abadi" w:hAnsi="Abadi" w:cs="Amasis MT Pro Light"/>
          <w:b/>
          <w:bCs/>
          <w:color w:val="000000"/>
          <w:sz w:val="21"/>
          <w:szCs w:val="21"/>
        </w:rPr>
        <w:tab/>
      </w:r>
      <w:r w:rsidRPr="00E407D9">
        <w:rPr>
          <w:rFonts w:ascii="Abadi" w:hAnsi="Abadi" w:cs="Amasis MT Pro Light"/>
          <w:b/>
          <w:bCs/>
          <w:color w:val="000000"/>
          <w:sz w:val="21"/>
          <w:szCs w:val="21"/>
        </w:rPr>
        <w:t>determinar</w:t>
      </w:r>
      <w:r w:rsidR="00F20943">
        <w:rPr>
          <w:rFonts w:ascii="Abadi" w:hAnsi="Abadi" w:cs="Amasis MT Pro Light"/>
          <w:b/>
          <w:bCs/>
          <w:color w:val="000000"/>
          <w:sz w:val="21"/>
          <w:szCs w:val="21"/>
        </w:rPr>
        <w:t xml:space="preserve"> </w:t>
      </w:r>
      <w:r w:rsidRPr="00E407D9">
        <w:rPr>
          <w:rFonts w:ascii="Abadi" w:hAnsi="Abadi" w:cs="Amasis MT Pro Light"/>
          <w:b/>
          <w:bCs/>
          <w:color w:val="000000"/>
          <w:sz w:val="21"/>
          <w:szCs w:val="21"/>
        </w:rPr>
        <w:t xml:space="preserve">el paradero de las personas desaparecidas. Toda víctima de desaparición tiene </w:t>
      </w:r>
      <w:r>
        <w:rPr>
          <w:rFonts w:ascii="Abadi" w:hAnsi="Abadi" w:cs="Amasis MT Pro Light"/>
          <w:b/>
          <w:bCs/>
          <w:color w:val="000000"/>
          <w:sz w:val="21"/>
          <w:szCs w:val="21"/>
        </w:rPr>
        <w:tab/>
      </w:r>
      <w:r w:rsidRPr="00E407D9">
        <w:rPr>
          <w:rFonts w:ascii="Abadi" w:hAnsi="Abadi" w:cs="Amasis MT Pro Light"/>
          <w:b/>
          <w:bCs/>
          <w:color w:val="000000"/>
          <w:sz w:val="21"/>
          <w:szCs w:val="21"/>
        </w:rPr>
        <w:t xml:space="preserve">derecho a que las autoridades desplieguen las acciones pertinentes para su protección con </w:t>
      </w:r>
      <w:r>
        <w:rPr>
          <w:rFonts w:ascii="Abadi" w:hAnsi="Abadi" w:cs="Amasis MT Pro Light"/>
          <w:b/>
          <w:bCs/>
          <w:color w:val="000000"/>
          <w:sz w:val="21"/>
          <w:szCs w:val="21"/>
        </w:rPr>
        <w:tab/>
      </w:r>
      <w:r w:rsidRPr="00E407D9">
        <w:rPr>
          <w:rFonts w:ascii="Abadi" w:hAnsi="Abadi" w:cs="Amasis MT Pro Light"/>
          <w:b/>
          <w:bCs/>
          <w:color w:val="000000"/>
          <w:sz w:val="21"/>
          <w:szCs w:val="21"/>
        </w:rPr>
        <w:t>el</w:t>
      </w:r>
      <w:r w:rsidR="00F20943">
        <w:rPr>
          <w:rFonts w:ascii="Abadi" w:hAnsi="Abadi" w:cs="Amasis MT Pro Light"/>
          <w:b/>
          <w:bCs/>
          <w:color w:val="000000"/>
          <w:sz w:val="21"/>
          <w:szCs w:val="21"/>
        </w:rPr>
        <w:t xml:space="preserve"> o</w:t>
      </w:r>
      <w:r w:rsidRPr="00E407D9">
        <w:rPr>
          <w:rFonts w:ascii="Abadi" w:hAnsi="Abadi" w:cs="Amasis MT Pro Light"/>
          <w:b/>
          <w:bCs/>
          <w:color w:val="000000"/>
          <w:sz w:val="21"/>
          <w:szCs w:val="21"/>
        </w:rPr>
        <w:t>bjetivo de preservar, al máximo posible, su vida y su integridad física y psicológica.</w:t>
      </w:r>
    </w:p>
    <w:p w14:paraId="3E25B2B0" w14:textId="77777777" w:rsidR="002C47C1" w:rsidRPr="00E407D9" w:rsidRDefault="002C47C1" w:rsidP="002C47C1">
      <w:pPr>
        <w:autoSpaceDE w:val="0"/>
        <w:autoSpaceDN w:val="0"/>
        <w:adjustRightInd w:val="0"/>
        <w:jc w:val="both"/>
        <w:rPr>
          <w:rFonts w:ascii="Abadi" w:hAnsi="Abadi" w:cs="Amasis MT Pro Light"/>
          <w:b/>
          <w:bCs/>
          <w:color w:val="000000"/>
          <w:sz w:val="21"/>
          <w:szCs w:val="21"/>
        </w:rPr>
      </w:pPr>
    </w:p>
    <w:p w14:paraId="4744D098"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Por su parte, Ley para la Búsqueda de Personas Desaparecidas en el Estado de Guanajuato, señala como objeto de la misma, el garantizar la protección integral de los derechos de las personas desaparecidas</w:t>
      </w:r>
      <w:r w:rsidRPr="00E407D9">
        <w:rPr>
          <w:rFonts w:ascii="Abadi" w:hAnsi="Abadi" w:cs="Amasis MT Pro Light"/>
          <w:b/>
          <w:bCs/>
          <w:color w:val="000000"/>
          <w:sz w:val="21"/>
          <w:szCs w:val="21"/>
        </w:rPr>
        <w:t xml:space="preserve"> hasta que se conozca su suerte o paradero.</w:t>
      </w:r>
      <w:r w:rsidRPr="00E407D9">
        <w:rPr>
          <w:rFonts w:ascii="Abadi" w:hAnsi="Abadi" w:cs="Amasis MT Pro Light"/>
          <w:color w:val="000000"/>
          <w:sz w:val="21"/>
          <w:szCs w:val="21"/>
        </w:rPr>
        <w:t xml:space="preserve"> Y el artículo 18 de la Ley de Víctimas del Estado de Guanajuato, señala que “toda víctima de desaparición tiene derecho a que las autoridades desplieguen las acciones para su protección con el objetivo de preservar su vida y su integridad física y psicológica”.</w:t>
      </w:r>
    </w:p>
    <w:p w14:paraId="36033C13"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35246B1C"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En el mismo sentido, el Protocolo Homologado para la Búsqueda de Personas Desaparecidas y No Localizadas, en su artículo 69, precisa lo siguiente:</w:t>
      </w:r>
    </w:p>
    <w:p w14:paraId="512DF294"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6ABFF6B3" w14:textId="77960A42" w:rsidR="002C47C1" w:rsidRPr="00E407D9" w:rsidRDefault="002C47C1" w:rsidP="00F20943">
      <w:pPr>
        <w:autoSpaceDE w:val="0"/>
        <w:autoSpaceDN w:val="0"/>
        <w:adjustRightInd w:val="0"/>
        <w:ind w:left="284"/>
        <w:jc w:val="both"/>
        <w:rPr>
          <w:rFonts w:ascii="Abadi" w:hAnsi="Abadi" w:cs="Amasis MT Pro Light"/>
          <w:color w:val="000000"/>
          <w:sz w:val="21"/>
          <w:szCs w:val="21"/>
        </w:rPr>
      </w:pPr>
      <w:r w:rsidRPr="00E407D9">
        <w:rPr>
          <w:rFonts w:ascii="Abadi" w:hAnsi="Abadi" w:cs="Amasis MT Pro Light"/>
          <w:color w:val="000000"/>
          <w:sz w:val="21"/>
          <w:szCs w:val="21"/>
        </w:rPr>
        <w:t xml:space="preserve">Toda persona cuyo paradero o ubicación se </w:t>
      </w:r>
      <w:r w:rsidRPr="00E407D9">
        <w:rPr>
          <w:rFonts w:ascii="Abadi" w:hAnsi="Abadi" w:cs="Amasis MT Pro Light"/>
          <w:b/>
          <w:bCs/>
          <w:color w:val="000000"/>
          <w:sz w:val="21"/>
          <w:szCs w:val="21"/>
        </w:rPr>
        <w:t>desconozca tiene el derecho a ser</w:t>
      </w:r>
      <w:r>
        <w:rPr>
          <w:rFonts w:ascii="Abadi" w:hAnsi="Abadi" w:cs="Amasis MT Pro Light"/>
          <w:b/>
          <w:bCs/>
          <w:color w:val="000000"/>
          <w:sz w:val="21"/>
          <w:szCs w:val="21"/>
        </w:rPr>
        <w:t xml:space="preserve"> </w:t>
      </w:r>
      <w:r w:rsidRPr="00E407D9">
        <w:rPr>
          <w:rFonts w:ascii="Abadi" w:hAnsi="Abadi" w:cs="Amasis MT Pro Light"/>
          <w:b/>
          <w:bCs/>
          <w:color w:val="000000"/>
          <w:sz w:val="21"/>
          <w:szCs w:val="21"/>
        </w:rPr>
        <w:t xml:space="preserve">buscada por </w:t>
      </w:r>
      <w:r>
        <w:rPr>
          <w:rFonts w:ascii="Abadi" w:hAnsi="Abadi" w:cs="Amasis MT Pro Light"/>
          <w:b/>
          <w:bCs/>
          <w:color w:val="000000"/>
          <w:sz w:val="21"/>
          <w:szCs w:val="21"/>
        </w:rPr>
        <w:tab/>
      </w:r>
      <w:r w:rsidRPr="00E407D9">
        <w:rPr>
          <w:rFonts w:ascii="Abadi" w:hAnsi="Abadi" w:cs="Amasis MT Pro Light"/>
          <w:b/>
          <w:bCs/>
          <w:color w:val="000000"/>
          <w:sz w:val="21"/>
          <w:szCs w:val="21"/>
        </w:rPr>
        <w:t>parte de las autoridades</w:t>
      </w:r>
      <w:r w:rsidRPr="00E407D9">
        <w:rPr>
          <w:rFonts w:ascii="Abadi" w:hAnsi="Abadi" w:cs="Amasis MT Pro Light"/>
          <w:color w:val="000000"/>
          <w:sz w:val="21"/>
          <w:szCs w:val="21"/>
        </w:rPr>
        <w:t>. Asimismo, las y los familiares y otras personas</w:t>
      </w:r>
      <w:r>
        <w:rPr>
          <w:rFonts w:ascii="Abadi" w:hAnsi="Abadi" w:cs="Amasis MT Pro Light"/>
          <w:color w:val="000000"/>
          <w:sz w:val="21"/>
          <w:szCs w:val="21"/>
        </w:rPr>
        <w:t xml:space="preserve"> </w:t>
      </w:r>
      <w:r w:rsidRPr="00E407D9">
        <w:rPr>
          <w:rFonts w:ascii="Abadi" w:hAnsi="Abadi" w:cs="Amasis MT Pro Light"/>
          <w:color w:val="000000"/>
          <w:sz w:val="21"/>
          <w:szCs w:val="21"/>
        </w:rPr>
        <w:t xml:space="preserve">directamente </w:t>
      </w:r>
      <w:r>
        <w:rPr>
          <w:rFonts w:ascii="Abadi" w:hAnsi="Abadi" w:cs="Amasis MT Pro Light"/>
          <w:color w:val="000000"/>
          <w:sz w:val="21"/>
          <w:szCs w:val="21"/>
        </w:rPr>
        <w:tab/>
      </w:r>
      <w:r w:rsidRPr="00E407D9">
        <w:rPr>
          <w:rFonts w:ascii="Abadi" w:hAnsi="Abadi" w:cs="Amasis MT Pro Light"/>
          <w:color w:val="000000"/>
          <w:sz w:val="21"/>
          <w:szCs w:val="21"/>
        </w:rPr>
        <w:t>afectadas por la ausencia tienen derecho a que se busque a la persona</w:t>
      </w:r>
      <w:r>
        <w:rPr>
          <w:rFonts w:ascii="Abadi" w:hAnsi="Abadi" w:cs="Amasis MT Pro Light"/>
          <w:color w:val="000000"/>
          <w:sz w:val="21"/>
          <w:szCs w:val="21"/>
        </w:rPr>
        <w:t xml:space="preserve"> </w:t>
      </w:r>
      <w:r w:rsidRPr="00E407D9">
        <w:rPr>
          <w:rFonts w:ascii="Abadi" w:hAnsi="Abadi" w:cs="Amasis MT Pro Light"/>
          <w:color w:val="000000"/>
          <w:sz w:val="21"/>
          <w:szCs w:val="21"/>
        </w:rPr>
        <w:t>desaparecida o no localizada.</w:t>
      </w:r>
    </w:p>
    <w:p w14:paraId="6168102F"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7041CF23"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Adicionalmente, en dicho Protocolo Homologado, se aclara que la búsqueda de la persona desaparecida y la investigación ministerial de los hechos y personas que produjeron su desaparición, aunque están íntimamente relacionadas, tienen entidad jurídica propia, es decir, son obligaciones independientes.</w:t>
      </w:r>
    </w:p>
    <w:p w14:paraId="27B4596B"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4CD72055" w14:textId="6279A712" w:rsidR="002C47C1"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 xml:space="preserve">Lo anterior ha sido confirmado por la Suprema Corte de Justicia en el Amparo en Revisión 1077/2019, al señalar </w:t>
      </w:r>
      <w:r w:rsidRPr="00E407D9">
        <w:rPr>
          <w:rFonts w:ascii="Abadi" w:hAnsi="Abadi" w:cs="Amasis MT Pro Light"/>
          <w:b/>
          <w:bCs/>
          <w:color w:val="000000"/>
          <w:sz w:val="21"/>
          <w:szCs w:val="21"/>
        </w:rPr>
        <w:t>que existe un derecho a la búsqueda</w:t>
      </w:r>
      <w:r w:rsidRPr="00E407D9">
        <w:rPr>
          <w:rFonts w:ascii="Abadi" w:hAnsi="Abadi" w:cs="Amasis MT Pro Light"/>
          <w:color w:val="000000"/>
          <w:sz w:val="21"/>
          <w:szCs w:val="21"/>
        </w:rPr>
        <w:t xml:space="preserve">, consistente en </w:t>
      </w:r>
    </w:p>
    <w:p w14:paraId="74003B23" w14:textId="77777777" w:rsidR="002C47C1" w:rsidRDefault="002C47C1" w:rsidP="002C47C1">
      <w:pPr>
        <w:autoSpaceDE w:val="0"/>
        <w:autoSpaceDN w:val="0"/>
        <w:adjustRightInd w:val="0"/>
        <w:jc w:val="both"/>
        <w:rPr>
          <w:rFonts w:ascii="Abadi" w:hAnsi="Abadi" w:cs="Amasis MT Pro Light"/>
          <w:color w:val="000000"/>
          <w:sz w:val="21"/>
          <w:szCs w:val="21"/>
        </w:rPr>
      </w:pPr>
    </w:p>
    <w:p w14:paraId="47E99AE3" w14:textId="5C6E74AB" w:rsidR="002C47C1" w:rsidRPr="00E407D9" w:rsidRDefault="002C47C1" w:rsidP="00970D38">
      <w:pPr>
        <w:autoSpaceDE w:val="0"/>
        <w:autoSpaceDN w:val="0"/>
        <w:adjustRightInd w:val="0"/>
        <w:ind w:left="284"/>
        <w:jc w:val="both"/>
        <w:rPr>
          <w:rFonts w:ascii="Abadi" w:hAnsi="Abadi" w:cs="Amasis MT Pro Light"/>
          <w:color w:val="000000"/>
          <w:sz w:val="21"/>
          <w:szCs w:val="21"/>
        </w:rPr>
      </w:pPr>
      <w:r w:rsidRPr="00E407D9">
        <w:rPr>
          <w:rFonts w:ascii="Abadi" w:hAnsi="Abadi" w:cs="Amasis MT Pro Light"/>
          <w:color w:val="000000"/>
          <w:sz w:val="21"/>
          <w:szCs w:val="21"/>
        </w:rPr>
        <w:t xml:space="preserve">El derecho de toda persona desaparecida y de sus personas queridas a que todas las autoridades, en el ámbito de sus respectivas competencias, con todos los recursos y medios </w:t>
      </w:r>
      <w:r>
        <w:rPr>
          <w:rFonts w:ascii="Abadi" w:hAnsi="Abadi" w:cs="Amasis MT Pro Light"/>
          <w:color w:val="000000"/>
          <w:sz w:val="21"/>
          <w:szCs w:val="21"/>
        </w:rPr>
        <w:tab/>
      </w:r>
      <w:r w:rsidRPr="00E407D9">
        <w:rPr>
          <w:rFonts w:ascii="Abadi" w:hAnsi="Abadi" w:cs="Amasis MT Pro Light"/>
          <w:color w:val="000000"/>
          <w:sz w:val="21"/>
          <w:szCs w:val="21"/>
        </w:rPr>
        <w:t xml:space="preserve">institucionales disponibles, y en completa coordinación, ejecuten sin dilación –incluso de </w:t>
      </w:r>
      <w:r>
        <w:rPr>
          <w:rFonts w:ascii="Abadi" w:hAnsi="Abadi" w:cs="Amasis MT Pro Light"/>
          <w:color w:val="000000"/>
          <w:sz w:val="21"/>
          <w:szCs w:val="21"/>
        </w:rPr>
        <w:tab/>
      </w:r>
      <w:r w:rsidRPr="00E407D9">
        <w:rPr>
          <w:rFonts w:ascii="Abadi" w:hAnsi="Abadi" w:cs="Amasis MT Pro Light"/>
          <w:color w:val="000000"/>
          <w:sz w:val="21"/>
          <w:szCs w:val="21"/>
        </w:rPr>
        <w:t xml:space="preserve">oficio– de forma imparcial, dignificante, diligente, exhaustiva, continua, sin </w:t>
      </w:r>
      <w:r>
        <w:rPr>
          <w:rFonts w:ascii="Abadi" w:hAnsi="Abadi" w:cs="Amasis MT Pro Light"/>
          <w:color w:val="000000"/>
          <w:sz w:val="21"/>
          <w:szCs w:val="21"/>
        </w:rPr>
        <w:tab/>
      </w:r>
      <w:r w:rsidRPr="00E407D9">
        <w:rPr>
          <w:rFonts w:ascii="Abadi" w:hAnsi="Abadi" w:cs="Amasis MT Pro Light"/>
          <w:color w:val="000000"/>
          <w:sz w:val="21"/>
          <w:szCs w:val="21"/>
        </w:rPr>
        <w:t xml:space="preserve">estigmatizaciones, con un enfoque diferencial y permitiendo la participación sin reservas de </w:t>
      </w:r>
      <w:r>
        <w:rPr>
          <w:rFonts w:ascii="Abadi" w:hAnsi="Abadi" w:cs="Amasis MT Pro Light"/>
          <w:color w:val="000000"/>
          <w:sz w:val="21"/>
          <w:szCs w:val="21"/>
        </w:rPr>
        <w:tab/>
      </w:r>
      <w:r w:rsidRPr="00E407D9">
        <w:rPr>
          <w:rFonts w:ascii="Abadi" w:hAnsi="Abadi" w:cs="Amasis MT Pro Light"/>
          <w:color w:val="000000"/>
          <w:sz w:val="21"/>
          <w:szCs w:val="21"/>
        </w:rPr>
        <w:t>las víctimas</w:t>
      </w:r>
      <w:r w:rsidRPr="00E407D9">
        <w:rPr>
          <w:rFonts w:ascii="Abadi" w:hAnsi="Abadi" w:cs="Amasis MT Pro Light"/>
          <w:b/>
          <w:bCs/>
          <w:color w:val="000000"/>
          <w:sz w:val="21"/>
          <w:szCs w:val="21"/>
        </w:rPr>
        <w:t xml:space="preserve">, todas las acciones necesarias para determinar la suerte o paradero de la </w:t>
      </w:r>
      <w:r>
        <w:rPr>
          <w:rFonts w:ascii="Abadi" w:hAnsi="Abadi" w:cs="Amasis MT Pro Light"/>
          <w:b/>
          <w:bCs/>
          <w:color w:val="000000"/>
          <w:sz w:val="21"/>
          <w:szCs w:val="21"/>
        </w:rPr>
        <w:tab/>
      </w:r>
      <w:r w:rsidRPr="00E407D9">
        <w:rPr>
          <w:rFonts w:ascii="Abadi" w:hAnsi="Abadi" w:cs="Amasis MT Pro Light"/>
          <w:b/>
          <w:bCs/>
          <w:color w:val="000000"/>
          <w:sz w:val="21"/>
          <w:szCs w:val="21"/>
        </w:rPr>
        <w:t>persona</w:t>
      </w:r>
      <w:r w:rsidR="00970D38">
        <w:rPr>
          <w:rFonts w:ascii="Abadi" w:hAnsi="Abadi" w:cs="Amasis MT Pro Light"/>
          <w:b/>
          <w:bCs/>
          <w:color w:val="000000"/>
          <w:sz w:val="21"/>
          <w:szCs w:val="21"/>
        </w:rPr>
        <w:t xml:space="preserve"> </w:t>
      </w:r>
      <w:r w:rsidRPr="00E407D9">
        <w:rPr>
          <w:rFonts w:ascii="Abadi" w:hAnsi="Abadi" w:cs="Amasis MT Pro Light"/>
          <w:b/>
          <w:bCs/>
          <w:color w:val="000000"/>
          <w:sz w:val="21"/>
          <w:szCs w:val="21"/>
        </w:rPr>
        <w:t>reportada como desaparecida</w:t>
      </w:r>
      <w:r w:rsidRPr="00E407D9">
        <w:rPr>
          <w:rFonts w:ascii="Abadi" w:hAnsi="Abadi" w:cs="Amasis MT Pro Light"/>
          <w:color w:val="000000"/>
          <w:sz w:val="21"/>
          <w:szCs w:val="21"/>
        </w:rPr>
        <w:t>, bajo la presunción de que está viva, salvo que exista evidencia en contrario.</w:t>
      </w:r>
    </w:p>
    <w:p w14:paraId="67E7C2F7"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412F6907"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 xml:space="preserve">En la misma idea, en el amparo en revisión 51/2020 la Primera Sala precisó que </w:t>
      </w:r>
      <w:r w:rsidRPr="00E407D9">
        <w:rPr>
          <w:rFonts w:ascii="Abadi" w:hAnsi="Abadi" w:cs="Amasis MT Pro Light"/>
          <w:b/>
          <w:bCs/>
          <w:color w:val="000000"/>
          <w:sz w:val="21"/>
          <w:szCs w:val="21"/>
        </w:rPr>
        <w:t>la búsqueda inmediata, acuciosa y diligente de la persona desaparecida es una obligación ineludible a cargo del Estado</w:t>
      </w:r>
      <w:r w:rsidRPr="00E407D9">
        <w:rPr>
          <w:rFonts w:ascii="Abadi" w:hAnsi="Abadi" w:cs="Amasis MT Pro Light"/>
          <w:color w:val="000000"/>
          <w:sz w:val="21"/>
          <w:szCs w:val="21"/>
        </w:rPr>
        <w:t>, la cual debe emprenderse sin obstáculos injustificados y con toda la fuerza institucional disponible, agregando incluso que</w:t>
      </w:r>
    </w:p>
    <w:p w14:paraId="52DD0F94" w14:textId="77777777" w:rsidR="002C47C1"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 xml:space="preserve"> </w:t>
      </w:r>
    </w:p>
    <w:p w14:paraId="05AB7909" w14:textId="083DD723" w:rsidR="002C47C1" w:rsidRPr="00E407D9" w:rsidRDefault="002C47C1" w:rsidP="00EC44A3">
      <w:pPr>
        <w:autoSpaceDE w:val="0"/>
        <w:autoSpaceDN w:val="0"/>
        <w:adjustRightInd w:val="0"/>
        <w:ind w:left="284"/>
        <w:jc w:val="both"/>
        <w:rPr>
          <w:rFonts w:ascii="Abadi" w:hAnsi="Abadi" w:cs="Amasis MT Pro Light"/>
          <w:color w:val="000000"/>
          <w:sz w:val="21"/>
          <w:szCs w:val="21"/>
        </w:rPr>
      </w:pPr>
      <w:r w:rsidRPr="00E407D9">
        <w:rPr>
          <w:rFonts w:ascii="Abadi" w:hAnsi="Abadi" w:cs="Amasis MT Pro Light"/>
          <w:b/>
          <w:bCs/>
          <w:color w:val="000000"/>
          <w:sz w:val="21"/>
          <w:szCs w:val="21"/>
        </w:rPr>
        <w:t>la búsqueda y sus resultados</w:t>
      </w:r>
      <w:r w:rsidRPr="00E407D9">
        <w:rPr>
          <w:rFonts w:ascii="Abadi" w:hAnsi="Abadi" w:cs="Amasis MT Pro Light"/>
          <w:color w:val="000000"/>
          <w:sz w:val="21"/>
          <w:szCs w:val="21"/>
        </w:rPr>
        <w:t xml:space="preserve"> integran el núcleo esencial del derecho a no padecer desaparición forzada y dan contenido y sustancia a los deberes de prevenir,</w:t>
      </w:r>
      <w:r>
        <w:rPr>
          <w:rFonts w:ascii="Abadi" w:hAnsi="Abadi" w:cs="Amasis MT Pro Light"/>
          <w:color w:val="000000"/>
          <w:sz w:val="21"/>
          <w:szCs w:val="21"/>
        </w:rPr>
        <w:t xml:space="preserve"> </w:t>
      </w:r>
      <w:r w:rsidRPr="00E407D9">
        <w:rPr>
          <w:rFonts w:ascii="Abadi" w:hAnsi="Abadi" w:cs="Amasis MT Pro Light"/>
          <w:color w:val="000000"/>
          <w:sz w:val="21"/>
          <w:szCs w:val="21"/>
        </w:rPr>
        <w:t xml:space="preserve">investigar y </w:t>
      </w:r>
      <w:r>
        <w:rPr>
          <w:rFonts w:ascii="Abadi" w:hAnsi="Abadi" w:cs="Amasis MT Pro Light"/>
          <w:color w:val="000000"/>
          <w:sz w:val="21"/>
          <w:szCs w:val="21"/>
        </w:rPr>
        <w:tab/>
      </w:r>
      <w:r w:rsidRPr="00E407D9">
        <w:rPr>
          <w:rFonts w:ascii="Abadi" w:hAnsi="Abadi" w:cs="Amasis MT Pro Light"/>
          <w:color w:val="000000"/>
          <w:sz w:val="21"/>
          <w:szCs w:val="21"/>
        </w:rPr>
        <w:t xml:space="preserve">reparar las violaciones de derechos humanos y sus correlativos derechos a la verdad, la </w:t>
      </w:r>
      <w:r>
        <w:rPr>
          <w:rFonts w:ascii="Abadi" w:hAnsi="Abadi" w:cs="Amasis MT Pro Light"/>
          <w:color w:val="000000"/>
          <w:sz w:val="21"/>
          <w:szCs w:val="21"/>
        </w:rPr>
        <w:tab/>
      </w:r>
      <w:r w:rsidRPr="00E407D9">
        <w:rPr>
          <w:rFonts w:ascii="Abadi" w:hAnsi="Abadi" w:cs="Amasis MT Pro Light"/>
          <w:color w:val="000000"/>
          <w:sz w:val="21"/>
          <w:szCs w:val="21"/>
        </w:rPr>
        <w:t xml:space="preserve">justicia y la reparación… en el ámbito de la búsqueda de personas desaparecidas, las autoridades deben determinar, con certidumbre reparatoria y dignificante, </w:t>
      </w:r>
      <w:r w:rsidRPr="00E407D9">
        <w:rPr>
          <w:rFonts w:ascii="Abadi" w:hAnsi="Abadi" w:cs="Amasis MT Pro Light"/>
          <w:b/>
          <w:bCs/>
          <w:color w:val="000000"/>
          <w:sz w:val="21"/>
          <w:szCs w:val="21"/>
        </w:rPr>
        <w:t xml:space="preserve">la suerte o </w:t>
      </w:r>
      <w:r>
        <w:rPr>
          <w:rFonts w:ascii="Abadi" w:hAnsi="Abadi" w:cs="Amasis MT Pro Light"/>
          <w:b/>
          <w:bCs/>
          <w:color w:val="000000"/>
          <w:sz w:val="21"/>
          <w:szCs w:val="21"/>
        </w:rPr>
        <w:tab/>
      </w:r>
      <w:r w:rsidRPr="00E407D9">
        <w:rPr>
          <w:rFonts w:ascii="Abadi" w:hAnsi="Abadi" w:cs="Amasis MT Pro Light"/>
          <w:b/>
          <w:bCs/>
          <w:color w:val="000000"/>
          <w:sz w:val="21"/>
          <w:szCs w:val="21"/>
        </w:rPr>
        <w:t>paradero de las personas desaparecidas</w:t>
      </w:r>
      <w:r w:rsidRPr="00E407D9">
        <w:rPr>
          <w:rFonts w:ascii="Abadi" w:hAnsi="Abadi" w:cs="Amasis MT Pro Light"/>
          <w:color w:val="000000"/>
          <w:sz w:val="21"/>
          <w:szCs w:val="21"/>
        </w:rPr>
        <w:t xml:space="preserve"> para abatir la angustia y zozobra de sus personas cercanas como estándar de cumplimiento de esos deberes y como estándar de satisfacción de los derechos a la verdad y la justicia.</w:t>
      </w:r>
    </w:p>
    <w:p w14:paraId="1E4F00B3"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57DA8FDE"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 xml:space="preserve">De todo lo anteriormente expuesto, se desprende con claridad que </w:t>
      </w:r>
      <w:r w:rsidRPr="00E407D9">
        <w:rPr>
          <w:rFonts w:ascii="Abadi" w:hAnsi="Abadi" w:cs="Amasis MT Pro Light"/>
          <w:b/>
          <w:bCs/>
          <w:color w:val="000000"/>
          <w:sz w:val="21"/>
          <w:szCs w:val="21"/>
        </w:rPr>
        <w:t>existe un derecho de toda persona víctima de desaparición a ser buscada, que se traduce en la obligación del Estado para que desplieguen todas las acciones pertinentes para su protección con el objetivo de preservar, al máximo posible, su vida, su integridad física y psicológica, a través de la determinación de su paradero.</w:t>
      </w:r>
      <w:r w:rsidRPr="00E407D9">
        <w:rPr>
          <w:rFonts w:ascii="Abadi" w:hAnsi="Abadi" w:cs="Amasis MT Pro Light"/>
          <w:color w:val="000000"/>
          <w:sz w:val="21"/>
          <w:szCs w:val="21"/>
        </w:rPr>
        <w:t xml:space="preserve"> Así mismo, ese derecho corresponde también a los familiares y seres queridos de la persona desaparecida, dado el grado de afectación que sobrellevan.</w:t>
      </w:r>
    </w:p>
    <w:p w14:paraId="76CE245E"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5D56197E"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 xml:space="preserve">El derecho a ser buscada es autónomo de otros derechos como el de acceso a la justicia y a la investigación penal que, si bien deben </w:t>
      </w:r>
      <w:r w:rsidRPr="00E407D9">
        <w:rPr>
          <w:rFonts w:ascii="Abadi" w:hAnsi="Abadi" w:cs="Amasis MT Pro Light"/>
          <w:color w:val="000000"/>
          <w:sz w:val="21"/>
          <w:szCs w:val="21"/>
        </w:rPr>
        <w:lastRenderedPageBreak/>
        <w:t xml:space="preserve">complementarse a través de la coordinación de todas las autoridades competentes en la materia, tienen finalidades distintas. Como se ha dicho, el derecho humano a ser buscada busca determinar la suerte y paradero de la persona víctima de </w:t>
      </w:r>
      <w:r>
        <w:rPr>
          <w:rFonts w:ascii="Abadi" w:hAnsi="Abadi" w:cs="Amasis MT Pro Light"/>
          <w:color w:val="000000"/>
          <w:sz w:val="21"/>
          <w:szCs w:val="21"/>
        </w:rPr>
        <w:t>desaparición</w:t>
      </w:r>
      <w:r w:rsidRPr="00E407D9">
        <w:rPr>
          <w:rFonts w:ascii="Abadi" w:hAnsi="Abadi" w:cs="Amasis MT Pro Light"/>
          <w:color w:val="000000"/>
          <w:sz w:val="21"/>
          <w:szCs w:val="21"/>
        </w:rPr>
        <w:t xml:space="preserve"> forzada, y el derecho de acceso a la justicia tiende a investigar lo ocurrido y determinar las sanciones penales a las personas responsables de la desaparición.</w:t>
      </w:r>
    </w:p>
    <w:p w14:paraId="4B1CCD9D"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2B08EDE2" w14:textId="77777777" w:rsidR="002C47C1" w:rsidRPr="00E407D9" w:rsidRDefault="002C47C1">
      <w:pPr>
        <w:pStyle w:val="Prrafodelista"/>
        <w:numPr>
          <w:ilvl w:val="0"/>
          <w:numId w:val="15"/>
        </w:numPr>
        <w:autoSpaceDE w:val="0"/>
        <w:autoSpaceDN w:val="0"/>
        <w:adjustRightInd w:val="0"/>
        <w:contextualSpacing/>
        <w:jc w:val="both"/>
        <w:rPr>
          <w:rFonts w:ascii="Abadi" w:hAnsi="Abadi" w:cs="Amasis MT Pro Light"/>
          <w:b/>
          <w:bCs/>
          <w:color w:val="000000"/>
          <w:sz w:val="21"/>
          <w:szCs w:val="21"/>
        </w:rPr>
      </w:pPr>
      <w:r w:rsidRPr="00E407D9">
        <w:rPr>
          <w:rFonts w:ascii="Abadi" w:hAnsi="Abadi" w:cs="Amasis MT Pro Light"/>
          <w:b/>
          <w:bCs/>
          <w:color w:val="000000"/>
          <w:sz w:val="21"/>
          <w:szCs w:val="21"/>
        </w:rPr>
        <w:t>El derecho a ser buscado en Guanajuato</w:t>
      </w:r>
    </w:p>
    <w:p w14:paraId="109AB585" w14:textId="77777777" w:rsidR="002C47C1" w:rsidRPr="00E407D9" w:rsidRDefault="002C47C1" w:rsidP="002C47C1">
      <w:pPr>
        <w:pStyle w:val="Prrafodelista"/>
        <w:autoSpaceDE w:val="0"/>
        <w:autoSpaceDN w:val="0"/>
        <w:adjustRightInd w:val="0"/>
        <w:jc w:val="both"/>
        <w:rPr>
          <w:rFonts w:ascii="Abadi" w:hAnsi="Abadi" w:cs="Amasis MT Pro Light"/>
          <w:b/>
          <w:bCs/>
          <w:color w:val="000000"/>
          <w:sz w:val="21"/>
          <w:szCs w:val="21"/>
        </w:rPr>
      </w:pPr>
    </w:p>
    <w:p w14:paraId="1A326E8F"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 xml:space="preserve">Desde la perspectiva de las y los iniciantes, es pertinente incorporar el derecho a ser buscado en el marco jurídico local de las entidades, sobre todo en espacios como el estado de Guanajuato que, lejos de ser ajeno a esa problemática, se coloca como uno de los estados en donde la desaparición lesiona con más fuerza a las personas en situación de vulnerabilidad pues, a la fecha </w:t>
      </w:r>
      <w:r w:rsidRPr="00E407D9">
        <w:rPr>
          <w:rFonts w:ascii="Abadi" w:hAnsi="Abadi" w:cs="Amasis MT Pro Light"/>
          <w:b/>
          <w:bCs/>
          <w:color w:val="000000"/>
          <w:sz w:val="21"/>
          <w:szCs w:val="21"/>
        </w:rPr>
        <w:t>existen 2,740 personas desaparecidas y no localizadas en Guanajuato</w:t>
      </w:r>
      <w:r>
        <w:rPr>
          <w:rStyle w:val="Refdenotaalpie"/>
          <w:rFonts w:ascii="Abadi" w:hAnsi="Abadi" w:cs="Amasis MT Pro Light"/>
          <w:b/>
          <w:bCs/>
          <w:color w:val="000000"/>
          <w:sz w:val="21"/>
          <w:szCs w:val="21"/>
        </w:rPr>
        <w:footnoteReference w:id="19"/>
      </w:r>
      <w:r w:rsidRPr="00E407D9">
        <w:rPr>
          <w:rFonts w:ascii="Abadi" w:hAnsi="Abadi" w:cs="Amasis MT Pro Light"/>
          <w:color w:val="000000"/>
          <w:sz w:val="21"/>
          <w:szCs w:val="21"/>
        </w:rPr>
        <w:t>.</w:t>
      </w:r>
    </w:p>
    <w:p w14:paraId="1BC8231E"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67F7EE18"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 xml:space="preserve">Al mismo tiempo, se ha documentado cómo este fenómeno se traduce de forma directa en lesión a los derechos de diversos grupos sociales en la entidad. Tal es el caso de las infancias que, parafraseando el informe de la </w:t>
      </w:r>
      <w:r w:rsidRPr="00E407D9">
        <w:rPr>
          <w:rFonts w:ascii="Abadi" w:hAnsi="Abadi" w:cs="Amasis MT Pro Light,Italic"/>
          <w:i/>
          <w:iCs/>
          <w:color w:val="000000"/>
          <w:sz w:val="21"/>
          <w:szCs w:val="21"/>
        </w:rPr>
        <w:t xml:space="preserve">Red por los Derechos de la Infancia en México </w:t>
      </w:r>
      <w:r w:rsidRPr="00E407D9">
        <w:rPr>
          <w:rFonts w:ascii="Abadi" w:hAnsi="Abadi" w:cs="Amasis MT Pro Light"/>
          <w:color w:val="000000"/>
          <w:sz w:val="21"/>
          <w:szCs w:val="21"/>
        </w:rPr>
        <w:t>(REDIM)</w:t>
      </w:r>
      <w:r>
        <w:rPr>
          <w:rStyle w:val="Refdenotaalpie"/>
          <w:rFonts w:ascii="Abadi" w:hAnsi="Abadi" w:cs="Amasis MT Pro Light"/>
          <w:color w:val="000000"/>
          <w:sz w:val="21"/>
          <w:szCs w:val="21"/>
        </w:rPr>
        <w:footnoteReference w:id="20"/>
      </w:r>
      <w:r w:rsidRPr="00E407D9">
        <w:rPr>
          <w:rFonts w:ascii="Abadi" w:hAnsi="Abadi" w:cs="Amasis MT Pro Light"/>
          <w:color w:val="000000"/>
          <w:sz w:val="21"/>
          <w:szCs w:val="21"/>
        </w:rPr>
        <w:t>, pese a no contar con datos que permitan contabilizarles de forma pertinente y adecuada, tenemos certeza de que existen. En dicho informe se narra el caso de Elliot Barrios Molina, desaparecido a los 14 años en 2019 en Celaya luego de una balacera en la que resultó muerto uno de sus tíos.</w:t>
      </w:r>
    </w:p>
    <w:p w14:paraId="2D75F167"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20BAB85D"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La abuela de Elliot, Elvira Ramírez, ama de casa de 63 años quien fuera cuidadora de Elliot durante cinco años señala que se desaprovecharon las primeras horas de búsqueda, en parte por negligencia de las autoridades:</w:t>
      </w:r>
    </w:p>
    <w:p w14:paraId="363F8740"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3E347652" w14:textId="411D8211" w:rsidR="002C47C1" w:rsidRPr="00E407D9" w:rsidRDefault="002C47C1" w:rsidP="00EC44A3">
      <w:pPr>
        <w:autoSpaceDE w:val="0"/>
        <w:autoSpaceDN w:val="0"/>
        <w:adjustRightInd w:val="0"/>
        <w:ind w:left="284"/>
        <w:jc w:val="both"/>
        <w:rPr>
          <w:rFonts w:ascii="Abadi" w:hAnsi="Abadi" w:cs="Amasis MT Pro Light"/>
          <w:color w:val="000000"/>
          <w:sz w:val="21"/>
          <w:szCs w:val="21"/>
        </w:rPr>
      </w:pPr>
      <w:r w:rsidRPr="00E407D9">
        <w:rPr>
          <w:rFonts w:ascii="Abadi" w:hAnsi="Abadi" w:cs="Amasis MT Pro Light"/>
          <w:color w:val="000000"/>
          <w:sz w:val="21"/>
          <w:szCs w:val="21"/>
        </w:rPr>
        <w:t xml:space="preserve">El sábado no pusieron la Alerta Amber. No. Hasta que llegó mi hija [el lunes] le dijeron que   iban a meter la Alerta Amber. Y ahí </w:t>
      </w:r>
      <w:r w:rsidRPr="00E407D9">
        <w:rPr>
          <w:rFonts w:ascii="Abadi" w:hAnsi="Abadi" w:cs="Amasis MT Pro Light"/>
          <w:color w:val="000000"/>
          <w:sz w:val="21"/>
          <w:szCs w:val="21"/>
        </w:rPr>
        <w:t>hubo otro error, fue la fotografía.</w:t>
      </w:r>
      <w:r>
        <w:rPr>
          <w:rFonts w:ascii="Abadi" w:hAnsi="Abadi" w:cs="Amasis MT Pro Light"/>
          <w:color w:val="000000"/>
          <w:sz w:val="21"/>
          <w:szCs w:val="21"/>
        </w:rPr>
        <w:t xml:space="preserve"> </w:t>
      </w:r>
      <w:r w:rsidRPr="00E407D9">
        <w:rPr>
          <w:rFonts w:ascii="Abadi" w:hAnsi="Abadi" w:cs="Amasis MT Pro Light"/>
          <w:color w:val="000000"/>
          <w:sz w:val="21"/>
          <w:szCs w:val="21"/>
        </w:rPr>
        <w:t>Porque en esos días otro muchachito desapareció y se equivocaron: en la de Elliot</w:t>
      </w:r>
      <w:r>
        <w:rPr>
          <w:rFonts w:ascii="Abadi" w:hAnsi="Abadi" w:cs="Amasis MT Pro Light"/>
          <w:color w:val="000000"/>
          <w:sz w:val="21"/>
          <w:szCs w:val="21"/>
        </w:rPr>
        <w:t xml:space="preserve"> </w:t>
      </w:r>
      <w:r w:rsidRPr="00E407D9">
        <w:rPr>
          <w:rFonts w:ascii="Abadi" w:hAnsi="Abadi" w:cs="Amasis MT Pro Light"/>
          <w:color w:val="000000"/>
          <w:sz w:val="21"/>
          <w:szCs w:val="21"/>
        </w:rPr>
        <w:t xml:space="preserve">pusieron la fotografía del otro </w:t>
      </w:r>
      <w:r>
        <w:rPr>
          <w:rFonts w:ascii="Abadi" w:hAnsi="Abadi" w:cs="Amasis MT Pro Light"/>
          <w:color w:val="000000"/>
          <w:sz w:val="21"/>
          <w:szCs w:val="21"/>
        </w:rPr>
        <w:tab/>
      </w:r>
      <w:r w:rsidRPr="00E407D9">
        <w:rPr>
          <w:rFonts w:ascii="Abadi" w:hAnsi="Abadi" w:cs="Amasis MT Pro Light"/>
          <w:color w:val="000000"/>
          <w:sz w:val="21"/>
          <w:szCs w:val="21"/>
        </w:rPr>
        <w:t>muchachito. Mucha gente empezó a compartir eso,</w:t>
      </w:r>
      <w:r>
        <w:rPr>
          <w:rFonts w:ascii="Abadi" w:hAnsi="Abadi" w:cs="Amasis MT Pro Light"/>
          <w:color w:val="000000"/>
          <w:sz w:val="21"/>
          <w:szCs w:val="21"/>
        </w:rPr>
        <w:t xml:space="preserve"> </w:t>
      </w:r>
      <w:r w:rsidRPr="00E407D9">
        <w:rPr>
          <w:rFonts w:ascii="Abadi" w:hAnsi="Abadi" w:cs="Amasis MT Pro Light"/>
          <w:color w:val="000000"/>
          <w:sz w:val="21"/>
          <w:szCs w:val="21"/>
        </w:rPr>
        <w:t>nosotros vimos y mi hija se fue a [pedir que</w:t>
      </w:r>
      <w:r w:rsidR="00EC44A3">
        <w:rPr>
          <w:rFonts w:ascii="Abadi" w:hAnsi="Abadi" w:cs="Amasis MT Pro Light"/>
          <w:color w:val="000000"/>
          <w:sz w:val="21"/>
          <w:szCs w:val="21"/>
        </w:rPr>
        <w:t xml:space="preserve"> </w:t>
      </w:r>
      <w:r w:rsidRPr="00E407D9">
        <w:rPr>
          <w:rFonts w:ascii="Abadi" w:hAnsi="Abadi" w:cs="Amasis MT Pro Light"/>
          <w:color w:val="000000"/>
          <w:sz w:val="21"/>
          <w:szCs w:val="21"/>
        </w:rPr>
        <w:t>cambiaran la fotografía]. Se perdieron</w:t>
      </w:r>
      <w:r>
        <w:rPr>
          <w:rFonts w:ascii="Abadi" w:hAnsi="Abadi" w:cs="Amasis MT Pro Light"/>
          <w:color w:val="000000"/>
          <w:sz w:val="21"/>
          <w:szCs w:val="21"/>
        </w:rPr>
        <w:t xml:space="preserve"> </w:t>
      </w:r>
      <w:r w:rsidRPr="00E407D9">
        <w:rPr>
          <w:rFonts w:ascii="Abadi" w:hAnsi="Abadi" w:cs="Amasis MT Pro Light"/>
          <w:color w:val="000000"/>
          <w:sz w:val="21"/>
          <w:szCs w:val="21"/>
        </w:rPr>
        <w:t>días muy valiosos para nosotros. Perdimos tiempo en muchas cosas</w:t>
      </w:r>
      <w:r>
        <w:rPr>
          <w:rStyle w:val="Refdenotaalpie"/>
          <w:rFonts w:ascii="Abadi" w:hAnsi="Abadi" w:cs="Amasis MT Pro Light"/>
          <w:color w:val="000000"/>
          <w:sz w:val="21"/>
          <w:szCs w:val="21"/>
        </w:rPr>
        <w:footnoteReference w:id="21"/>
      </w:r>
      <w:r w:rsidRPr="00E407D9">
        <w:rPr>
          <w:rFonts w:ascii="Abadi" w:hAnsi="Abadi" w:cs="Amasis MT Pro Light"/>
          <w:color w:val="000000"/>
          <w:sz w:val="21"/>
          <w:szCs w:val="21"/>
        </w:rPr>
        <w:t>.</w:t>
      </w:r>
      <w:r>
        <w:rPr>
          <w:rFonts w:ascii="Abadi" w:hAnsi="Abadi" w:cs="Amasis MT Pro Light"/>
          <w:color w:val="000000"/>
          <w:sz w:val="21"/>
          <w:szCs w:val="21"/>
        </w:rPr>
        <w:t xml:space="preserve"> </w:t>
      </w:r>
    </w:p>
    <w:p w14:paraId="7DABF9FB"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49A21C5A"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Asimismo, para identificar los supuestos restos de su nieto, sólo le mostraron la fotografía de un cuerpo ensangrentado boca abajo, pese a la exigencia de ver el cadáver, le dijeron que únicamente podían mirar imágenes digitales.</w:t>
      </w:r>
    </w:p>
    <w:p w14:paraId="6B26806F"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3F1A1710"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Adicionalmente, suelen enfrentarse al maltrato y violencias de las autoridades. En palabras de Elvira Ramírez acerca de su experiencia:</w:t>
      </w:r>
    </w:p>
    <w:p w14:paraId="66F39AA6"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2A80CA57" w14:textId="3CD03571" w:rsidR="002C47C1" w:rsidRPr="00E407D9" w:rsidRDefault="002C47C1" w:rsidP="00EC44A3">
      <w:pPr>
        <w:autoSpaceDE w:val="0"/>
        <w:autoSpaceDN w:val="0"/>
        <w:adjustRightInd w:val="0"/>
        <w:ind w:left="284"/>
        <w:jc w:val="both"/>
        <w:rPr>
          <w:rFonts w:ascii="Abadi" w:hAnsi="Abadi" w:cs="Amasis MT Pro Light"/>
          <w:color w:val="000000"/>
          <w:sz w:val="21"/>
          <w:szCs w:val="21"/>
        </w:rPr>
      </w:pPr>
      <w:r w:rsidRPr="00E407D9">
        <w:rPr>
          <w:rFonts w:ascii="Abadi" w:hAnsi="Abadi" w:cs="Amasis MT Pro Light"/>
          <w:color w:val="000000"/>
          <w:sz w:val="21"/>
          <w:szCs w:val="21"/>
        </w:rPr>
        <w:t>Los encargados de personas desaparecidas trataban mal a la gente. Me peleé con él</w:t>
      </w:r>
      <w:r>
        <w:rPr>
          <w:rFonts w:ascii="Abadi" w:hAnsi="Abadi" w:cs="Amasis MT Pro Light"/>
          <w:color w:val="000000"/>
          <w:sz w:val="21"/>
          <w:szCs w:val="21"/>
        </w:rPr>
        <w:t xml:space="preserve"> </w:t>
      </w:r>
      <w:r w:rsidRPr="00E407D9">
        <w:rPr>
          <w:rFonts w:ascii="Abadi" w:hAnsi="Abadi" w:cs="Amasis MT Pro Light"/>
          <w:color w:val="000000"/>
          <w:sz w:val="21"/>
          <w:szCs w:val="21"/>
        </w:rPr>
        <w:t>porque</w:t>
      </w:r>
      <w:r w:rsidRPr="00E407D9">
        <w:rPr>
          <w:rFonts w:ascii="Abadi" w:hAnsi="Abadi" w:cs="Amasis MT Pro Light"/>
          <w:b/>
          <w:bCs/>
          <w:color w:val="000000"/>
          <w:sz w:val="21"/>
          <w:szCs w:val="21"/>
        </w:rPr>
        <w:t xml:space="preserve"> </w:t>
      </w:r>
      <w:r>
        <w:rPr>
          <w:rFonts w:ascii="Abadi" w:hAnsi="Abadi" w:cs="Amasis MT Pro Light"/>
          <w:b/>
          <w:bCs/>
          <w:color w:val="000000"/>
          <w:sz w:val="21"/>
          <w:szCs w:val="21"/>
        </w:rPr>
        <w:tab/>
      </w:r>
      <w:r w:rsidRPr="009B6240">
        <w:rPr>
          <w:rFonts w:ascii="Abadi" w:hAnsi="Abadi" w:cs="Amasis MT Pro Light"/>
          <w:b/>
          <w:bCs/>
          <w:color w:val="000000"/>
          <w:sz w:val="21"/>
          <w:szCs w:val="21"/>
        </w:rPr>
        <w:t>le gritaban a mi hija</w:t>
      </w:r>
      <w:r w:rsidRPr="00E407D9">
        <w:rPr>
          <w:rFonts w:ascii="Abadi" w:hAnsi="Abadi" w:cs="Amasis MT Pro Light"/>
          <w:color w:val="000000"/>
          <w:sz w:val="21"/>
          <w:szCs w:val="21"/>
        </w:rPr>
        <w:t xml:space="preserve"> [la madre del niño desaparecido] y le dije ‘no le grite, ya</w:t>
      </w:r>
      <w:r>
        <w:rPr>
          <w:rFonts w:ascii="Abadi" w:hAnsi="Abadi" w:cs="Amasis MT Pro Light"/>
          <w:color w:val="000000"/>
          <w:sz w:val="21"/>
          <w:szCs w:val="21"/>
        </w:rPr>
        <w:t xml:space="preserve"> </w:t>
      </w:r>
      <w:r w:rsidRPr="00E407D9">
        <w:rPr>
          <w:rFonts w:ascii="Abadi" w:hAnsi="Abadi" w:cs="Amasis MT Pro Light"/>
          <w:color w:val="000000"/>
          <w:sz w:val="21"/>
          <w:szCs w:val="21"/>
        </w:rPr>
        <w:t>ve cómo está’. Y me dijo ‘yo soy así’</w:t>
      </w:r>
      <w:r>
        <w:rPr>
          <w:rStyle w:val="Refdenotaalpie"/>
          <w:rFonts w:ascii="Abadi" w:hAnsi="Abadi" w:cs="Amasis MT Pro Light"/>
          <w:color w:val="000000"/>
          <w:sz w:val="21"/>
          <w:szCs w:val="21"/>
        </w:rPr>
        <w:footnoteReference w:id="22"/>
      </w:r>
      <w:r w:rsidRPr="00E407D9">
        <w:rPr>
          <w:rFonts w:ascii="Abadi" w:hAnsi="Abadi" w:cs="Amasis MT Pro Light"/>
          <w:color w:val="000000"/>
          <w:sz w:val="21"/>
          <w:szCs w:val="21"/>
        </w:rPr>
        <w:t>.</w:t>
      </w:r>
    </w:p>
    <w:p w14:paraId="29DF44FF"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7566B8DC"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De igual forma, en el informe de la REDIM se recupera un caso de 2021 que apunta hacia la presencia del problema entre las corporaciones de seguridad pública municipal. Una niña de 12 años, Dulce Melissa, fue víctima de detención arbitraria, privación de la libertad, violencia física y amenazas por parte de la Policía Municipal de León.</w:t>
      </w:r>
    </w:p>
    <w:p w14:paraId="00CEC20B" w14:textId="77777777" w:rsidR="002C47C1" w:rsidRDefault="002C47C1" w:rsidP="002C47C1">
      <w:pPr>
        <w:autoSpaceDE w:val="0"/>
        <w:autoSpaceDN w:val="0"/>
        <w:adjustRightInd w:val="0"/>
        <w:jc w:val="both"/>
        <w:rPr>
          <w:rFonts w:ascii="Abadi" w:hAnsi="Abadi"/>
          <w:sz w:val="21"/>
          <w:szCs w:val="21"/>
        </w:rPr>
      </w:pPr>
    </w:p>
    <w:p w14:paraId="16F6C5B0" w14:textId="59A28AD0" w:rsidR="002C47C1" w:rsidRPr="00E407D9" w:rsidRDefault="002C47C1" w:rsidP="00A80EBE">
      <w:pPr>
        <w:autoSpaceDE w:val="0"/>
        <w:autoSpaceDN w:val="0"/>
        <w:adjustRightInd w:val="0"/>
        <w:ind w:left="284"/>
        <w:jc w:val="both"/>
        <w:rPr>
          <w:rFonts w:ascii="Abadi" w:hAnsi="Abadi" w:cs="Amasis MT Pro Light"/>
          <w:color w:val="000000"/>
          <w:sz w:val="21"/>
          <w:szCs w:val="21"/>
        </w:rPr>
      </w:pPr>
      <w:r w:rsidRPr="00E407D9">
        <w:rPr>
          <w:rFonts w:ascii="Abadi" w:hAnsi="Abadi" w:cs="Amasis MT Pro Light"/>
          <w:color w:val="000000"/>
          <w:sz w:val="21"/>
          <w:szCs w:val="21"/>
        </w:rPr>
        <w:t xml:space="preserve">El día 16 de octubre la arrestaron -ilegalmente- en la vía pública cuando estaba junto a uno </w:t>
      </w:r>
      <w:r>
        <w:rPr>
          <w:rFonts w:ascii="Abadi" w:hAnsi="Abadi" w:cs="Amasis MT Pro Light"/>
          <w:color w:val="000000"/>
          <w:sz w:val="21"/>
          <w:szCs w:val="21"/>
        </w:rPr>
        <w:tab/>
      </w:r>
      <w:r w:rsidRPr="00E407D9">
        <w:rPr>
          <w:rFonts w:ascii="Abadi" w:hAnsi="Abadi" w:cs="Amasis MT Pro Light"/>
          <w:color w:val="000000"/>
          <w:sz w:val="21"/>
          <w:szCs w:val="21"/>
        </w:rPr>
        <w:t>de</w:t>
      </w:r>
      <w:r>
        <w:rPr>
          <w:rFonts w:ascii="Abadi" w:hAnsi="Abadi" w:cs="Amasis MT Pro Light"/>
          <w:color w:val="000000"/>
          <w:sz w:val="21"/>
          <w:szCs w:val="21"/>
        </w:rPr>
        <w:t xml:space="preserve"> </w:t>
      </w:r>
      <w:r w:rsidRPr="00E407D9">
        <w:rPr>
          <w:rFonts w:ascii="Abadi" w:hAnsi="Abadi" w:cs="Amasis MT Pro Light"/>
          <w:color w:val="000000"/>
          <w:sz w:val="21"/>
          <w:szCs w:val="21"/>
        </w:rPr>
        <w:t xml:space="preserve">sus hermanos menores, de 6 años, a quien los agentes abandonaron en la calle </w:t>
      </w:r>
      <w:r>
        <w:rPr>
          <w:rFonts w:ascii="Abadi" w:hAnsi="Abadi" w:cs="Amasis MT Pro Light"/>
          <w:color w:val="000000"/>
          <w:sz w:val="21"/>
          <w:szCs w:val="21"/>
        </w:rPr>
        <w:tab/>
      </w:r>
      <w:r w:rsidRPr="00E407D9">
        <w:rPr>
          <w:rFonts w:ascii="Abadi" w:hAnsi="Abadi" w:cs="Amasis MT Pro Light"/>
          <w:color w:val="000000"/>
          <w:sz w:val="21"/>
          <w:szCs w:val="21"/>
        </w:rPr>
        <w:t xml:space="preserve">poniéndolo en riesgo. </w:t>
      </w:r>
      <w:r w:rsidRPr="00E407D9">
        <w:rPr>
          <w:rFonts w:ascii="Abadi" w:hAnsi="Abadi" w:cs="Amasis MT Pro Light"/>
          <w:b/>
          <w:bCs/>
          <w:color w:val="000000"/>
          <w:sz w:val="21"/>
          <w:szCs w:val="21"/>
        </w:rPr>
        <w:t>A Dulce la tuvieron detenida sin informar a su familia</w:t>
      </w:r>
      <w:r w:rsidRPr="00E407D9">
        <w:rPr>
          <w:rFonts w:ascii="Abadi" w:hAnsi="Abadi" w:cs="Amasis MT Pro Light"/>
          <w:color w:val="000000"/>
          <w:sz w:val="21"/>
          <w:szCs w:val="21"/>
        </w:rPr>
        <w:t>. Su</w:t>
      </w:r>
      <w:r>
        <w:rPr>
          <w:rFonts w:ascii="Abadi" w:hAnsi="Abadi" w:cs="Amasis MT Pro Light"/>
          <w:color w:val="000000"/>
          <w:sz w:val="21"/>
          <w:szCs w:val="21"/>
        </w:rPr>
        <w:t xml:space="preserve"> </w:t>
      </w:r>
      <w:r w:rsidRPr="00E407D9">
        <w:rPr>
          <w:rFonts w:ascii="Abadi" w:hAnsi="Abadi" w:cs="Amasis MT Pro Light"/>
          <w:color w:val="000000"/>
          <w:sz w:val="21"/>
          <w:szCs w:val="21"/>
        </w:rPr>
        <w:t xml:space="preserve">madre, </w:t>
      </w:r>
      <w:r>
        <w:rPr>
          <w:rFonts w:ascii="Abadi" w:hAnsi="Abadi" w:cs="Amasis MT Pro Light"/>
          <w:color w:val="000000"/>
          <w:sz w:val="21"/>
          <w:szCs w:val="21"/>
        </w:rPr>
        <w:tab/>
      </w:r>
      <w:r w:rsidRPr="00E407D9">
        <w:rPr>
          <w:rFonts w:ascii="Abadi" w:hAnsi="Abadi" w:cs="Amasis MT Pro Light"/>
          <w:color w:val="000000"/>
          <w:sz w:val="21"/>
          <w:szCs w:val="21"/>
        </w:rPr>
        <w:t>Reina Ramírez, apenas se enteró de ello cuando llamó a la delegación</w:t>
      </w:r>
      <w:r>
        <w:rPr>
          <w:rFonts w:ascii="Abadi" w:hAnsi="Abadi" w:cs="Amasis MT Pro Light"/>
          <w:color w:val="000000"/>
          <w:sz w:val="21"/>
          <w:szCs w:val="21"/>
        </w:rPr>
        <w:t xml:space="preserve"> </w:t>
      </w:r>
      <w:r w:rsidRPr="00E407D9">
        <w:rPr>
          <w:rFonts w:ascii="Abadi" w:hAnsi="Abadi" w:cs="Amasis MT Pro Light"/>
          <w:color w:val="000000"/>
          <w:sz w:val="21"/>
          <w:szCs w:val="21"/>
        </w:rPr>
        <w:t>poniente […] y le confirmaron que allí tenían a su hija, pero debía pagar fianza para</w:t>
      </w:r>
      <w:r>
        <w:rPr>
          <w:rFonts w:ascii="Abadi" w:hAnsi="Abadi" w:cs="Amasis MT Pro Light"/>
          <w:color w:val="000000"/>
          <w:sz w:val="21"/>
          <w:szCs w:val="21"/>
        </w:rPr>
        <w:t xml:space="preserve"> lograr</w:t>
      </w:r>
      <w:r w:rsidRPr="00E407D9">
        <w:rPr>
          <w:rFonts w:ascii="Abadi" w:hAnsi="Abadi" w:cs="Amasis MT Pro Light"/>
          <w:color w:val="000000"/>
          <w:sz w:val="21"/>
          <w:szCs w:val="21"/>
        </w:rPr>
        <w:t xml:space="preserve"> su libertad. Veinte </w:t>
      </w:r>
      <w:r>
        <w:rPr>
          <w:rFonts w:ascii="Abadi" w:hAnsi="Abadi" w:cs="Amasis MT Pro Light"/>
          <w:color w:val="000000"/>
          <w:sz w:val="21"/>
          <w:szCs w:val="21"/>
        </w:rPr>
        <w:tab/>
      </w:r>
      <w:r w:rsidRPr="00E407D9">
        <w:rPr>
          <w:rFonts w:ascii="Abadi" w:hAnsi="Abadi" w:cs="Amasis MT Pro Light"/>
          <w:color w:val="000000"/>
          <w:sz w:val="21"/>
          <w:szCs w:val="21"/>
        </w:rPr>
        <w:t>horas más tarde, tiempo que tardó en reunir el dinero y aún</w:t>
      </w:r>
      <w:r>
        <w:rPr>
          <w:rFonts w:ascii="Abadi" w:hAnsi="Abadi" w:cs="Amasis MT Pro Light"/>
          <w:color w:val="000000"/>
          <w:sz w:val="21"/>
          <w:szCs w:val="21"/>
        </w:rPr>
        <w:t xml:space="preserve"> </w:t>
      </w:r>
      <w:r w:rsidRPr="00E407D9">
        <w:rPr>
          <w:rFonts w:ascii="Abadi" w:hAnsi="Abadi" w:cs="Amasis MT Pro Light"/>
          <w:color w:val="000000"/>
          <w:sz w:val="21"/>
          <w:szCs w:val="21"/>
        </w:rPr>
        <w:t xml:space="preserve">dentro del </w:t>
      </w:r>
      <w:r w:rsidRPr="00E407D9">
        <w:rPr>
          <w:rFonts w:ascii="Abadi" w:hAnsi="Abadi" w:cs="Amasis MT Pro Light"/>
          <w:color w:val="000000"/>
          <w:sz w:val="21"/>
          <w:szCs w:val="21"/>
        </w:rPr>
        <w:lastRenderedPageBreak/>
        <w:t xml:space="preserve">plazo indicado por </w:t>
      </w:r>
      <w:r>
        <w:rPr>
          <w:rFonts w:ascii="Abadi" w:hAnsi="Abadi" w:cs="Amasis MT Pro Light"/>
          <w:color w:val="000000"/>
          <w:sz w:val="21"/>
          <w:szCs w:val="21"/>
        </w:rPr>
        <w:tab/>
      </w:r>
      <w:r w:rsidRPr="00E407D9">
        <w:rPr>
          <w:rFonts w:ascii="Abadi" w:hAnsi="Abadi" w:cs="Amasis MT Pro Light"/>
          <w:color w:val="000000"/>
          <w:sz w:val="21"/>
          <w:szCs w:val="21"/>
        </w:rPr>
        <w:t>las</w:t>
      </w:r>
      <w:r w:rsidR="00A80EBE">
        <w:rPr>
          <w:rFonts w:ascii="Abadi" w:hAnsi="Abadi" w:cs="Amasis MT Pro Light"/>
          <w:color w:val="000000"/>
          <w:sz w:val="21"/>
          <w:szCs w:val="21"/>
        </w:rPr>
        <w:t xml:space="preserve"> </w:t>
      </w:r>
      <w:r w:rsidRPr="00E407D9">
        <w:rPr>
          <w:rFonts w:ascii="Abadi" w:hAnsi="Abadi" w:cs="Amasis MT Pro Light"/>
          <w:color w:val="000000"/>
          <w:sz w:val="21"/>
          <w:szCs w:val="21"/>
        </w:rPr>
        <w:t>autoridades, Reina Ramírez llegó a las instalaciones</w:t>
      </w:r>
      <w:r>
        <w:rPr>
          <w:rFonts w:ascii="Abadi" w:hAnsi="Abadi" w:cs="Amasis MT Pro Light"/>
          <w:color w:val="000000"/>
          <w:sz w:val="21"/>
          <w:szCs w:val="21"/>
        </w:rPr>
        <w:t xml:space="preserve"> </w:t>
      </w:r>
      <w:r w:rsidRPr="00E407D9">
        <w:rPr>
          <w:rFonts w:ascii="Abadi" w:hAnsi="Abadi" w:cs="Amasis MT Pro Light"/>
          <w:color w:val="000000"/>
          <w:sz w:val="21"/>
          <w:szCs w:val="21"/>
        </w:rPr>
        <w:t xml:space="preserve">      policiales pero su hija ya no estaba allí. Le dijeron que la habían liberado sin estar</w:t>
      </w:r>
      <w:r>
        <w:rPr>
          <w:rFonts w:ascii="Abadi" w:hAnsi="Abadi" w:cs="Amasis MT Pro Light"/>
          <w:color w:val="000000"/>
          <w:sz w:val="21"/>
          <w:szCs w:val="21"/>
        </w:rPr>
        <w:t xml:space="preserve"> </w:t>
      </w:r>
      <w:r w:rsidRPr="00E407D9">
        <w:rPr>
          <w:rFonts w:ascii="Abadi" w:hAnsi="Abadi" w:cs="Amasis MT Pro Light"/>
          <w:color w:val="000000"/>
          <w:sz w:val="21"/>
          <w:szCs w:val="21"/>
        </w:rPr>
        <w:t>algún familiar presente, violando el derecho al debido proceso e interés superior de</w:t>
      </w:r>
      <w:r>
        <w:rPr>
          <w:rFonts w:ascii="Abadi" w:hAnsi="Abadi" w:cs="Amasis MT Pro Light"/>
          <w:color w:val="000000"/>
          <w:sz w:val="21"/>
          <w:szCs w:val="21"/>
        </w:rPr>
        <w:t xml:space="preserve"> </w:t>
      </w:r>
      <w:r w:rsidRPr="00E407D9">
        <w:rPr>
          <w:rFonts w:ascii="Abadi" w:hAnsi="Abadi" w:cs="Amasis MT Pro Light"/>
          <w:color w:val="000000"/>
          <w:sz w:val="21"/>
          <w:szCs w:val="21"/>
        </w:rPr>
        <w:t>la adolescente. Dulce Melisa estaba desaparecida. Fue localizada dos meses más</w:t>
      </w:r>
      <w:r>
        <w:rPr>
          <w:rFonts w:ascii="Abadi" w:hAnsi="Abadi" w:cs="Amasis MT Pro Light"/>
          <w:color w:val="000000"/>
          <w:sz w:val="21"/>
          <w:szCs w:val="21"/>
        </w:rPr>
        <w:t xml:space="preserve"> tarde</w:t>
      </w:r>
      <w:r w:rsidRPr="00E407D9">
        <w:rPr>
          <w:rFonts w:ascii="Abadi" w:hAnsi="Abadi" w:cs="Amasis MT Pro Light"/>
          <w:color w:val="000000"/>
          <w:sz w:val="21"/>
          <w:szCs w:val="21"/>
        </w:rPr>
        <w:t>, el 11 de diciembre de 2021, durante un operativo tras una denuncia anónima.</w:t>
      </w:r>
      <w:r>
        <w:rPr>
          <w:rFonts w:ascii="Abadi" w:hAnsi="Abadi" w:cs="Amasis MT Pro Light"/>
          <w:color w:val="000000"/>
          <w:sz w:val="21"/>
          <w:szCs w:val="21"/>
        </w:rPr>
        <w:t xml:space="preserve"> </w:t>
      </w:r>
      <w:r w:rsidRPr="00E407D9">
        <w:rPr>
          <w:rFonts w:ascii="Abadi" w:hAnsi="Abadi" w:cs="Amasis MT Pro Light"/>
          <w:b/>
          <w:bCs/>
          <w:color w:val="000000"/>
          <w:sz w:val="21"/>
          <w:szCs w:val="21"/>
        </w:rPr>
        <w:t>Lejos de primar el interés superior de la niñez, en el caso de Dulce Melissa ella y su</w:t>
      </w:r>
      <w:r>
        <w:rPr>
          <w:rFonts w:ascii="Abadi" w:hAnsi="Abadi" w:cs="Amasis MT Pro Light"/>
          <w:b/>
          <w:bCs/>
          <w:color w:val="000000"/>
          <w:sz w:val="21"/>
          <w:szCs w:val="21"/>
        </w:rPr>
        <w:t xml:space="preserve"> </w:t>
      </w:r>
      <w:r w:rsidRPr="00E407D9">
        <w:rPr>
          <w:rFonts w:ascii="Abadi" w:hAnsi="Abadi" w:cs="Amasis MT Pro Light"/>
          <w:b/>
          <w:bCs/>
          <w:color w:val="000000"/>
          <w:sz w:val="21"/>
          <w:szCs w:val="21"/>
        </w:rPr>
        <w:t>familia se toparon con un Estado que desaparece y deja desaparecer a las infancias</w:t>
      </w:r>
      <w:r>
        <w:rPr>
          <w:rStyle w:val="Refdenotaalpie"/>
          <w:rFonts w:ascii="Abadi" w:hAnsi="Abadi" w:cs="Amasis MT Pro Light"/>
          <w:b/>
          <w:bCs/>
          <w:color w:val="000000"/>
          <w:sz w:val="21"/>
          <w:szCs w:val="21"/>
        </w:rPr>
        <w:footnoteReference w:id="23"/>
      </w:r>
      <w:r w:rsidRPr="00E407D9">
        <w:rPr>
          <w:rFonts w:ascii="Abadi" w:hAnsi="Abadi" w:cs="Amasis MT Pro Light"/>
          <w:color w:val="000000"/>
          <w:sz w:val="21"/>
          <w:szCs w:val="21"/>
        </w:rPr>
        <w:t>.</w:t>
      </w:r>
      <w:r>
        <w:rPr>
          <w:rFonts w:ascii="Abadi" w:hAnsi="Abadi" w:cs="Amasis MT Pro Light"/>
          <w:color w:val="000000"/>
          <w:sz w:val="21"/>
          <w:szCs w:val="21"/>
        </w:rPr>
        <w:t xml:space="preserve"> </w:t>
      </w:r>
    </w:p>
    <w:p w14:paraId="140AB26E"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796BDB7E"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Pese a la gravedad de la situación, en Guanajuato hemos llegado tarde en un triple sentido: primero, para reconocer el problema que muchas veces fue negado por las autoridades locales; segundo, para legislar en la materia escuchando la experiencia de las víctimas, reconociendo sus derechos y estableciendo mecanismos para garantizarlos; y tercero, para institucionalizar la búsqueda en la medida requerida por el tamaño del problema.</w:t>
      </w:r>
    </w:p>
    <w:p w14:paraId="39D07BCE"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0E2A55D8" w14:textId="77777777" w:rsidR="002C47C1" w:rsidRPr="00E407D9" w:rsidRDefault="002C47C1">
      <w:pPr>
        <w:pStyle w:val="Prrafodelista"/>
        <w:numPr>
          <w:ilvl w:val="0"/>
          <w:numId w:val="15"/>
        </w:numPr>
        <w:autoSpaceDE w:val="0"/>
        <w:autoSpaceDN w:val="0"/>
        <w:adjustRightInd w:val="0"/>
        <w:contextualSpacing/>
        <w:jc w:val="both"/>
        <w:rPr>
          <w:rFonts w:ascii="Abadi" w:hAnsi="Abadi" w:cs="Amasis MT Pro Light"/>
          <w:b/>
          <w:bCs/>
          <w:color w:val="000000"/>
          <w:sz w:val="21"/>
          <w:szCs w:val="21"/>
        </w:rPr>
      </w:pPr>
      <w:r w:rsidRPr="00E407D9">
        <w:rPr>
          <w:rFonts w:ascii="Abadi" w:hAnsi="Abadi" w:cs="Amasis MT Pro Light"/>
          <w:b/>
          <w:bCs/>
          <w:color w:val="000000"/>
          <w:sz w:val="21"/>
          <w:szCs w:val="21"/>
        </w:rPr>
        <w:t>Propuesta de reconocimiento del derecho a ser buscado</w:t>
      </w:r>
    </w:p>
    <w:p w14:paraId="092C084D" w14:textId="77777777" w:rsidR="002C47C1" w:rsidRPr="00E407D9" w:rsidRDefault="002C47C1" w:rsidP="002C47C1">
      <w:pPr>
        <w:pStyle w:val="Prrafodelista"/>
        <w:autoSpaceDE w:val="0"/>
        <w:autoSpaceDN w:val="0"/>
        <w:adjustRightInd w:val="0"/>
        <w:jc w:val="both"/>
        <w:rPr>
          <w:rFonts w:ascii="Abadi" w:hAnsi="Abadi" w:cs="Amasis MT Pro Light"/>
          <w:color w:val="000000"/>
          <w:sz w:val="21"/>
          <w:szCs w:val="21"/>
        </w:rPr>
      </w:pPr>
    </w:p>
    <w:p w14:paraId="79473ABA" w14:textId="77777777" w:rsidR="002C47C1" w:rsidRPr="00E407D9" w:rsidRDefault="002C47C1" w:rsidP="002C47C1">
      <w:pPr>
        <w:autoSpaceDE w:val="0"/>
        <w:autoSpaceDN w:val="0"/>
        <w:adjustRightInd w:val="0"/>
        <w:jc w:val="both"/>
        <w:rPr>
          <w:rFonts w:ascii="Abadi" w:hAnsi="Abadi" w:cs="Amasis MT Pro Light"/>
          <w:b/>
          <w:bCs/>
          <w:color w:val="000000"/>
          <w:sz w:val="21"/>
          <w:szCs w:val="21"/>
        </w:rPr>
      </w:pPr>
      <w:r w:rsidRPr="00E407D9">
        <w:rPr>
          <w:rFonts w:ascii="Abadi" w:hAnsi="Abadi" w:cs="Amasis MT Pro Light"/>
          <w:color w:val="000000"/>
          <w:sz w:val="21"/>
          <w:szCs w:val="21"/>
        </w:rPr>
        <w:t xml:space="preserve">Por ello, con la finalidad de contribuir al avance legislativo en la materia en nuestra entidad, el grupo parlamentario de Morena suscribe la presente iniciativa, que tiene por objeto </w:t>
      </w:r>
      <w:r w:rsidRPr="00E407D9">
        <w:rPr>
          <w:rFonts w:ascii="Abadi" w:hAnsi="Abadi" w:cs="Amasis MT Pro Light"/>
          <w:b/>
          <w:bCs/>
          <w:color w:val="000000"/>
          <w:sz w:val="21"/>
          <w:szCs w:val="21"/>
        </w:rPr>
        <w:t>reconocer en nuestro Constitución Local el derecho humano a ser buscado.</w:t>
      </w:r>
    </w:p>
    <w:p w14:paraId="3CA4D9B9" w14:textId="77777777" w:rsidR="002C47C1" w:rsidRPr="00E407D9" w:rsidRDefault="002C47C1" w:rsidP="002C47C1">
      <w:pPr>
        <w:autoSpaceDE w:val="0"/>
        <w:autoSpaceDN w:val="0"/>
        <w:adjustRightInd w:val="0"/>
        <w:jc w:val="both"/>
        <w:rPr>
          <w:rFonts w:ascii="Abadi" w:hAnsi="Abadi" w:cs="Amasis MT Pro Light"/>
          <w:b/>
          <w:bCs/>
          <w:color w:val="000000"/>
          <w:sz w:val="21"/>
          <w:szCs w:val="21"/>
        </w:rPr>
      </w:pPr>
    </w:p>
    <w:p w14:paraId="1B415444" w14:textId="77777777" w:rsidR="002C47C1" w:rsidRPr="00E407D9" w:rsidRDefault="002C47C1" w:rsidP="002C47C1">
      <w:pPr>
        <w:autoSpaceDE w:val="0"/>
        <w:autoSpaceDN w:val="0"/>
        <w:adjustRightInd w:val="0"/>
        <w:jc w:val="both"/>
        <w:rPr>
          <w:rFonts w:ascii="Abadi" w:hAnsi="Abadi" w:cs="Amasis MT Pro Light"/>
          <w:b/>
          <w:bCs/>
          <w:color w:val="000000"/>
          <w:sz w:val="21"/>
          <w:szCs w:val="21"/>
        </w:rPr>
      </w:pPr>
      <w:r w:rsidRPr="00E407D9">
        <w:rPr>
          <w:rFonts w:ascii="Abadi" w:hAnsi="Abadi" w:cs="Amasis MT Pro Light"/>
          <w:color w:val="000000"/>
          <w:sz w:val="21"/>
          <w:szCs w:val="21"/>
        </w:rPr>
        <w:t xml:space="preserve">En el grupo parlamentario de Morena, consideramos necesario que, en ejercicio de  la competencia que tienen las legislaturas locales para desarrollar y ampliar los derechos humanos, se reconozca este derecho humano en nuestra constitución local, con la finalidad de considerar en el rango más alto de nuestra legislación </w:t>
      </w:r>
      <w:r w:rsidRPr="00E407D9">
        <w:rPr>
          <w:rFonts w:ascii="Abadi" w:hAnsi="Abadi" w:cs="Amasis MT Pro Light"/>
          <w:b/>
          <w:bCs/>
          <w:color w:val="000000"/>
          <w:sz w:val="21"/>
          <w:szCs w:val="21"/>
        </w:rPr>
        <w:t>la obligación de todas las autoridades con competencia en la materia, de emprender las acciones</w:t>
      </w:r>
      <w:r>
        <w:rPr>
          <w:rFonts w:ascii="Abadi" w:hAnsi="Abadi" w:cs="Amasis MT Pro Light"/>
          <w:b/>
          <w:bCs/>
          <w:color w:val="000000"/>
          <w:sz w:val="21"/>
          <w:szCs w:val="21"/>
        </w:rPr>
        <w:t xml:space="preserve"> </w:t>
      </w:r>
      <w:r w:rsidRPr="00E407D9">
        <w:rPr>
          <w:rFonts w:ascii="Abadi" w:hAnsi="Abadi" w:cs="Amasis MT Pro Light"/>
          <w:b/>
          <w:bCs/>
          <w:color w:val="000000"/>
          <w:sz w:val="21"/>
          <w:szCs w:val="21"/>
        </w:rPr>
        <w:t>inmediatas para la determinación de la ubicación de la persona víctima de desaparición.</w:t>
      </w:r>
    </w:p>
    <w:p w14:paraId="344A882D" w14:textId="77777777" w:rsidR="002C47C1" w:rsidRPr="00E407D9" w:rsidRDefault="002C47C1" w:rsidP="002C47C1">
      <w:pPr>
        <w:autoSpaceDE w:val="0"/>
        <w:autoSpaceDN w:val="0"/>
        <w:adjustRightInd w:val="0"/>
        <w:jc w:val="both"/>
        <w:rPr>
          <w:rFonts w:ascii="Abadi" w:hAnsi="Abadi" w:cs="Amasis MT Pro Light"/>
          <w:b/>
          <w:bCs/>
          <w:color w:val="000000"/>
          <w:sz w:val="21"/>
          <w:szCs w:val="21"/>
        </w:rPr>
      </w:pPr>
    </w:p>
    <w:p w14:paraId="2A56E72A"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Si bien es cierto que, como se mencionó anteriormente, el derecho de todas las personas desaparecidas a ser buscadas actualmente se deriva de diversas disposiciones que actualmente forman parte del andamiaje jurídico de nuestro país, proponemos la inclusión de este derecho en la Constitución Local, reconociéndolo como derecho humano, traducido en la obligación de las autoridades competentes, de realizar las acciones pertinentes e inmediatas para encontrar a la persona desaparecida, con el propósito de preservar la pluralidad de derechos que se ven afectados con la desaparición.</w:t>
      </w:r>
    </w:p>
    <w:p w14:paraId="62EEEE4D"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0338FB15"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 xml:space="preserve">Como se dijo anteriormente, la búsqueda integra el núcleo esencial del derecho a no padecer desaparición, y da contenido y sustancia a los deberes de prevenir, investigar y reparar las violaciones de derechos humanos y sus correlativos derechos a la verdad, la justicia y la reparación; por ello, es pertinente que se reconozca como derecho humano en nuestra norma suprema local, </w:t>
      </w:r>
    </w:p>
    <w:p w14:paraId="3C0518D0"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al constituir un mandato absoluto dirigido a las autoridades a fin de que no se prolongue la afectación a la dignidad de la persona víctima de desaparición.</w:t>
      </w:r>
    </w:p>
    <w:p w14:paraId="2A95C8A5"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4F3F2DB1" w14:textId="77777777" w:rsidR="002C47C1" w:rsidRPr="002243E3" w:rsidRDefault="002C47C1" w:rsidP="002C47C1">
      <w:pPr>
        <w:autoSpaceDE w:val="0"/>
        <w:autoSpaceDN w:val="0"/>
        <w:adjustRightInd w:val="0"/>
        <w:jc w:val="both"/>
        <w:rPr>
          <w:rFonts w:ascii="Abadi" w:hAnsi="Abadi" w:cs="Amasis MT Pro Light"/>
          <w:b/>
          <w:bCs/>
          <w:color w:val="000000"/>
          <w:sz w:val="21"/>
          <w:szCs w:val="21"/>
        </w:rPr>
      </w:pPr>
      <w:r w:rsidRPr="00E407D9">
        <w:rPr>
          <w:rFonts w:ascii="Abadi" w:hAnsi="Abadi" w:cs="Amasis MT Pro Light"/>
          <w:color w:val="000000"/>
          <w:sz w:val="21"/>
          <w:szCs w:val="21"/>
        </w:rPr>
        <w:t>Si consideramos que la libertad, la autonomía, la igualdad, la satisfacción de ciertas necesidades básicas y la dignidad de la persona constituyen las propiedades materiales de los derechos humanos</w:t>
      </w:r>
      <w:r>
        <w:rPr>
          <w:rStyle w:val="Refdenotaalpie"/>
          <w:rFonts w:ascii="Abadi" w:hAnsi="Abadi" w:cs="Amasis MT Pro Light"/>
          <w:color w:val="000000"/>
          <w:sz w:val="21"/>
          <w:szCs w:val="21"/>
        </w:rPr>
        <w:footnoteReference w:id="24"/>
      </w:r>
      <w:r w:rsidRPr="00E407D9">
        <w:rPr>
          <w:rFonts w:ascii="Abadi" w:hAnsi="Abadi" w:cs="Amasis MT Pro Light"/>
          <w:color w:val="000000"/>
          <w:sz w:val="21"/>
          <w:szCs w:val="21"/>
        </w:rPr>
        <w:t xml:space="preserve">, entonces es claro que el derecho a que las autoridades desplieguen todas las acciones encaminadas a no prolongar la afectación que la desaparición provoca en los derechos de la persona desaparecida, su familia y seres queridos, tiene </w:t>
      </w:r>
      <w:r w:rsidRPr="00E407D9">
        <w:rPr>
          <w:rFonts w:ascii="Abadi" w:hAnsi="Abadi" w:cs="Amasis MT Pro Light"/>
          <w:b/>
          <w:bCs/>
          <w:color w:val="000000"/>
          <w:sz w:val="21"/>
          <w:szCs w:val="21"/>
        </w:rPr>
        <w:t>el carácter de derecho humano.</w:t>
      </w:r>
    </w:p>
    <w:p w14:paraId="45C8D1A4" w14:textId="77777777" w:rsidR="002C47C1" w:rsidRPr="00E407D9" w:rsidRDefault="002C47C1" w:rsidP="002C47C1">
      <w:pPr>
        <w:autoSpaceDE w:val="0"/>
        <w:autoSpaceDN w:val="0"/>
        <w:adjustRightInd w:val="0"/>
        <w:jc w:val="both"/>
        <w:rPr>
          <w:rFonts w:ascii="Abadi" w:hAnsi="Abadi" w:cs="Calibri-Bold"/>
          <w:b/>
          <w:bCs/>
          <w:color w:val="000000"/>
          <w:sz w:val="21"/>
          <w:szCs w:val="21"/>
        </w:rPr>
      </w:pPr>
    </w:p>
    <w:p w14:paraId="441F6176"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Recordando que la desaparición forzada es pluriofensiva al afectar los derechos a la integridad, seguridad, a la igualdad y la libertad, y que todo acto de desaparición forzada constituye un ultraje a la dignidad humana</w:t>
      </w:r>
      <w:r>
        <w:rPr>
          <w:rStyle w:val="Refdenotaalpie"/>
          <w:rFonts w:ascii="Abadi" w:hAnsi="Abadi" w:cs="Amasis MT Pro Light"/>
          <w:color w:val="000000"/>
          <w:sz w:val="21"/>
          <w:szCs w:val="21"/>
        </w:rPr>
        <w:footnoteReference w:id="25"/>
      </w:r>
      <w:r w:rsidRPr="00E407D9">
        <w:rPr>
          <w:rFonts w:ascii="Abadi" w:hAnsi="Abadi" w:cs="Amasis MT Pro Light"/>
          <w:color w:val="000000"/>
          <w:sz w:val="21"/>
          <w:szCs w:val="21"/>
        </w:rPr>
        <w:t xml:space="preserve">, las acciones que deben emprender las autoridades de manera coordinada para reparar esa afectación a partir de la </w:t>
      </w:r>
      <w:r w:rsidRPr="00E407D9">
        <w:rPr>
          <w:rFonts w:ascii="Abadi" w:hAnsi="Abadi" w:cs="Amasis MT Pro Light"/>
          <w:color w:val="000000"/>
          <w:sz w:val="21"/>
          <w:szCs w:val="21"/>
        </w:rPr>
        <w:lastRenderedPageBreak/>
        <w:t>localización de la persona desaparecida, no puede tener sino el carácter de derecho humano, al estar enfocado precisamente en preservar la dignidad de la</w:t>
      </w:r>
    </w:p>
    <w:p w14:paraId="02EAC064"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persona desaparecida.</w:t>
      </w:r>
    </w:p>
    <w:p w14:paraId="02E36B9D"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69A40AC0"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Pero la importancia de su incorporación en la Constitución Local no se limita únicamente al hecho de reconocerle su carácter de derecho fundamental. Este reconocimiento debe servir como pauta para el desarrollo en nuestro régimen jurídico local de un recurso rápido y efectivo para garantizar la determinación del paradero de la persona desaparecida, tal como lo exige la Declaración sobre la protección de todas las personas contra las desapariciones forzadas. De esta manera, esa garantía serviría como medio de control local de la obligación de actuación de las autoridades competentes en materia de desaparición, fortaleciendo con ello las posibilidades de hacer exigible el derecho.</w:t>
      </w:r>
    </w:p>
    <w:p w14:paraId="553D58BC"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2D821990"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Así mismo, es importante señalar que, una vez incorporado en la Constitución Local este derecho, al vincular a todas las autoridades para darle cumplimiento, este Congreso tiene que seguir tomando medidas a fin de garantizar de la mejor manera posible ese principio constitucional, incluyendo el deber de considerar como prioritarias las medidas presupuestarias suficientes.</w:t>
      </w:r>
    </w:p>
    <w:p w14:paraId="731B670D"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7D4D5155" w14:textId="77777777" w:rsidR="002C47C1" w:rsidRPr="002E3A70"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En ese sentido, suscribimos las palabras de la Comisionada Nacional de Búsqueda de Personas Desaparecidas en México, Karla Quintana, cuando señaló que:</w:t>
      </w:r>
    </w:p>
    <w:p w14:paraId="1A363493" w14:textId="77777777" w:rsidR="002C47C1" w:rsidRPr="00E407D9" w:rsidRDefault="002C47C1" w:rsidP="002C47C1">
      <w:pPr>
        <w:autoSpaceDE w:val="0"/>
        <w:autoSpaceDN w:val="0"/>
        <w:adjustRightInd w:val="0"/>
        <w:jc w:val="both"/>
        <w:rPr>
          <w:rFonts w:ascii="Abadi" w:hAnsi="Abadi" w:cs="Calibri-Bold"/>
          <w:b/>
          <w:bCs/>
          <w:color w:val="000000"/>
          <w:sz w:val="21"/>
          <w:szCs w:val="21"/>
        </w:rPr>
      </w:pPr>
    </w:p>
    <w:p w14:paraId="2C8BA746" w14:textId="71DB7B71" w:rsidR="002C47C1" w:rsidRPr="00E407D9" w:rsidRDefault="002C47C1" w:rsidP="00A80EBE">
      <w:pPr>
        <w:autoSpaceDE w:val="0"/>
        <w:autoSpaceDN w:val="0"/>
        <w:adjustRightInd w:val="0"/>
        <w:ind w:left="284"/>
        <w:jc w:val="both"/>
        <w:rPr>
          <w:rFonts w:ascii="Abadi" w:hAnsi="Abadi" w:cs="Amasis MT Pro Light"/>
          <w:color w:val="000000"/>
          <w:sz w:val="21"/>
          <w:szCs w:val="21"/>
        </w:rPr>
      </w:pPr>
      <w:r w:rsidRPr="00E407D9">
        <w:rPr>
          <w:rFonts w:ascii="Abadi" w:hAnsi="Abadi" w:cs="Amasis MT Pro Light"/>
          <w:color w:val="000000"/>
          <w:sz w:val="21"/>
          <w:szCs w:val="21"/>
        </w:rPr>
        <w:t>El reconocimiento del derecho humano de toda persona a ser buscada no es un</w:t>
      </w:r>
      <w:r>
        <w:rPr>
          <w:rFonts w:ascii="Abadi" w:hAnsi="Abadi" w:cs="Amasis MT Pro Light"/>
          <w:color w:val="000000"/>
          <w:sz w:val="21"/>
          <w:szCs w:val="21"/>
        </w:rPr>
        <w:t xml:space="preserve"> </w:t>
      </w:r>
      <w:r w:rsidRPr="00E407D9">
        <w:rPr>
          <w:rFonts w:ascii="Abadi" w:hAnsi="Abadi" w:cs="Amasis MT Pro Light"/>
          <w:color w:val="000000"/>
          <w:sz w:val="21"/>
          <w:szCs w:val="21"/>
        </w:rPr>
        <w:t>asunto académico sino, como todo derecho, uno real y palpable. Implica su garantía</w:t>
      </w:r>
      <w:r>
        <w:rPr>
          <w:rFonts w:ascii="Abadi" w:hAnsi="Abadi" w:cs="Amasis MT Pro Light"/>
          <w:color w:val="000000"/>
          <w:sz w:val="21"/>
          <w:szCs w:val="21"/>
        </w:rPr>
        <w:t xml:space="preserve"> </w:t>
      </w:r>
      <w:r w:rsidRPr="00E407D9">
        <w:rPr>
          <w:rFonts w:ascii="Abadi" w:hAnsi="Abadi" w:cs="Amasis MT Pro Light"/>
          <w:color w:val="000000"/>
          <w:sz w:val="21"/>
          <w:szCs w:val="21"/>
        </w:rPr>
        <w:t>y respeto desde todas las instituciones del Estado, traduciéndose en acciones</w:t>
      </w:r>
      <w:r>
        <w:rPr>
          <w:rFonts w:ascii="Abadi" w:hAnsi="Abadi" w:cs="Amasis MT Pro Light"/>
          <w:color w:val="000000"/>
          <w:sz w:val="21"/>
          <w:szCs w:val="21"/>
        </w:rPr>
        <w:t xml:space="preserve"> </w:t>
      </w:r>
      <w:r w:rsidRPr="00E407D9">
        <w:rPr>
          <w:rFonts w:ascii="Abadi" w:hAnsi="Abadi" w:cs="Amasis MT Pro Light"/>
          <w:color w:val="000000"/>
          <w:sz w:val="21"/>
          <w:szCs w:val="21"/>
        </w:rPr>
        <w:t>concretas, sin celos ni suspicacias, con el principal objetivo de dar con la suerte o</w:t>
      </w:r>
      <w:r>
        <w:rPr>
          <w:rFonts w:ascii="Abadi" w:hAnsi="Abadi" w:cs="Amasis MT Pro Light"/>
          <w:color w:val="000000"/>
          <w:sz w:val="21"/>
          <w:szCs w:val="21"/>
        </w:rPr>
        <w:t xml:space="preserve"> </w:t>
      </w:r>
      <w:r w:rsidRPr="00E407D9">
        <w:rPr>
          <w:rFonts w:ascii="Abadi" w:hAnsi="Abadi" w:cs="Amasis MT Pro Light"/>
          <w:color w:val="000000"/>
          <w:sz w:val="21"/>
          <w:szCs w:val="21"/>
        </w:rPr>
        <w:t>paradero de la persona desaparecida y responder, al menos en cierta medida, al derecho a la verdad, y que también pueda impactar en el tan lejano derecho a la</w:t>
      </w:r>
      <w:r>
        <w:rPr>
          <w:rFonts w:ascii="Abadi" w:hAnsi="Abadi" w:cs="Amasis MT Pro Light"/>
          <w:color w:val="000000"/>
          <w:sz w:val="21"/>
          <w:szCs w:val="21"/>
        </w:rPr>
        <w:t xml:space="preserve"> </w:t>
      </w:r>
      <w:r w:rsidRPr="00E407D9">
        <w:rPr>
          <w:rFonts w:ascii="Abadi" w:hAnsi="Abadi" w:cs="Amasis MT Pro Light"/>
          <w:color w:val="000000"/>
          <w:sz w:val="21"/>
          <w:szCs w:val="21"/>
        </w:rPr>
        <w:t>justicia de las personas desaparecidas y sus familias</w:t>
      </w:r>
      <w:r>
        <w:rPr>
          <w:rStyle w:val="Refdenotaalpie"/>
          <w:rFonts w:ascii="Abadi" w:hAnsi="Abadi" w:cs="Amasis MT Pro Light"/>
          <w:color w:val="000000"/>
          <w:sz w:val="21"/>
          <w:szCs w:val="21"/>
        </w:rPr>
        <w:footnoteReference w:id="26"/>
      </w:r>
      <w:r w:rsidRPr="00E407D9">
        <w:rPr>
          <w:rFonts w:ascii="Abadi" w:hAnsi="Abadi" w:cs="Amasis MT Pro Light"/>
          <w:color w:val="000000"/>
          <w:sz w:val="21"/>
          <w:szCs w:val="21"/>
        </w:rPr>
        <w:t>.</w:t>
      </w:r>
    </w:p>
    <w:p w14:paraId="049CE0EE"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763BC4B7" w14:textId="79E0B576"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 xml:space="preserve">Teniendo en cuenta que el mayor mandato convencional en materia de desaparición de personas es </w:t>
      </w:r>
      <w:r w:rsidRPr="00E407D9">
        <w:rPr>
          <w:rFonts w:ascii="Abadi" w:hAnsi="Abadi" w:cs="Amasis MT Pro Light"/>
          <w:b/>
          <w:bCs/>
          <w:color w:val="000000"/>
          <w:sz w:val="21"/>
          <w:szCs w:val="21"/>
        </w:rPr>
        <w:t xml:space="preserve">encontrar con vida a la persona desaparecida </w:t>
      </w:r>
      <w:r w:rsidRPr="00E407D9">
        <w:rPr>
          <w:rFonts w:ascii="Abadi" w:hAnsi="Abadi" w:cs="Amasis MT Pro Light"/>
          <w:color w:val="000000"/>
          <w:sz w:val="21"/>
          <w:szCs w:val="21"/>
        </w:rPr>
        <w:t>mediante el trabajo coordinado que deben emprender todas las instituciones competentes en la materia, esta iniciativa pretende avanzar hacia</w:t>
      </w:r>
      <w:r w:rsidR="00E3352B">
        <w:rPr>
          <w:rFonts w:ascii="Abadi" w:hAnsi="Abadi" w:cs="Amasis MT Pro Light"/>
          <w:color w:val="000000"/>
          <w:sz w:val="21"/>
          <w:szCs w:val="21"/>
        </w:rPr>
        <w:t xml:space="preserve"> </w:t>
      </w:r>
      <w:r w:rsidRPr="00E407D9">
        <w:rPr>
          <w:rFonts w:ascii="Abadi" w:hAnsi="Abadi" w:cs="Amasis MT Pro Light"/>
          <w:color w:val="000000"/>
          <w:sz w:val="21"/>
          <w:szCs w:val="21"/>
        </w:rPr>
        <w:t>la efectividad de ese mandato, reconociéndole rango constitucional local al derecho humano de toda persona víctima de desaparición a ser buscada, así como a la familia y a las personas afectadas</w:t>
      </w:r>
      <w:r w:rsidR="00E3352B">
        <w:rPr>
          <w:rFonts w:ascii="Abadi" w:hAnsi="Abadi" w:cs="Amasis MT Pro Light"/>
          <w:color w:val="000000"/>
          <w:sz w:val="21"/>
          <w:szCs w:val="21"/>
        </w:rPr>
        <w:t xml:space="preserve"> </w:t>
      </w:r>
      <w:r w:rsidRPr="00E407D9">
        <w:rPr>
          <w:rFonts w:ascii="Abadi" w:hAnsi="Abadi" w:cs="Amasis MT Pro Light"/>
          <w:color w:val="000000"/>
          <w:sz w:val="21"/>
          <w:szCs w:val="21"/>
        </w:rPr>
        <w:t>directamente por la ausencia de una persona desaparecida o no localizada el derecho a que se le busque.</w:t>
      </w:r>
    </w:p>
    <w:p w14:paraId="6DF68CD3"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26856DAB"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b/>
          <w:bCs/>
          <w:color w:val="000000"/>
          <w:sz w:val="21"/>
          <w:szCs w:val="21"/>
        </w:rPr>
        <w:t>Vivos se los llevaron, vivos los queremos</w:t>
      </w:r>
      <w:r w:rsidRPr="00E407D9">
        <w:rPr>
          <w:rFonts w:ascii="Abadi" w:hAnsi="Abadi" w:cs="Amasis MT Pro Light"/>
          <w:color w:val="000000"/>
          <w:sz w:val="21"/>
          <w:szCs w:val="21"/>
        </w:rPr>
        <w:t>. Es la consigna de las familias y colectivos, que al mismo tiempo describe el mayor drama de nuestros tiempos. Nos corresponde asumir con seriedad nuestro papel en este contexto histórico para garantizar los derechos a la verdad, la justicia, la no repetición, y encontrar a todas las personas desaparecidas.</w:t>
      </w:r>
    </w:p>
    <w:p w14:paraId="67CD0C11"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4054C4F0"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De ser aprobada, la presente iniciativa tendría los siguientes impactos:</w:t>
      </w:r>
    </w:p>
    <w:p w14:paraId="0F140016"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0D53F7C1"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b/>
          <w:bCs/>
          <w:color w:val="000000"/>
          <w:sz w:val="21"/>
          <w:szCs w:val="21"/>
        </w:rPr>
        <w:t>I. Jurídico:</w:t>
      </w:r>
      <w:r w:rsidRPr="00E407D9">
        <w:rPr>
          <w:rFonts w:ascii="Abadi" w:hAnsi="Abadi" w:cs="Amasis MT Pro Light"/>
          <w:color w:val="000000"/>
          <w:sz w:val="21"/>
          <w:szCs w:val="21"/>
        </w:rPr>
        <w:t xml:space="preserve"> Se reforma la Constitución Política para el Estado de Guanajuato, para reconocer el derecho humano a ser buscado.</w:t>
      </w:r>
    </w:p>
    <w:p w14:paraId="69545D95" w14:textId="77777777" w:rsidR="002C47C1" w:rsidRPr="00E407D9" w:rsidRDefault="002C47C1" w:rsidP="002C47C1">
      <w:pPr>
        <w:autoSpaceDE w:val="0"/>
        <w:autoSpaceDN w:val="0"/>
        <w:adjustRightInd w:val="0"/>
        <w:jc w:val="both"/>
        <w:rPr>
          <w:rFonts w:ascii="Abadi" w:hAnsi="Abadi" w:cs="Calibri-Bold"/>
          <w:b/>
          <w:bCs/>
          <w:color w:val="000000"/>
          <w:sz w:val="21"/>
          <w:szCs w:val="21"/>
        </w:rPr>
      </w:pPr>
    </w:p>
    <w:p w14:paraId="64971F5A"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b/>
          <w:bCs/>
          <w:color w:val="000000"/>
          <w:sz w:val="21"/>
          <w:szCs w:val="21"/>
        </w:rPr>
        <w:t>II. Administrativo</w:t>
      </w:r>
      <w:r w:rsidRPr="00E407D9">
        <w:rPr>
          <w:rFonts w:ascii="Abadi" w:hAnsi="Abadi" w:cs="Amasis MT Pro Light"/>
          <w:color w:val="000000"/>
          <w:sz w:val="21"/>
          <w:szCs w:val="21"/>
        </w:rPr>
        <w:t>: La presente iniciativa no crea nuevas estructuras administrativas.</w:t>
      </w:r>
    </w:p>
    <w:p w14:paraId="149AB410"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0DFA80AA"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b/>
          <w:bCs/>
          <w:color w:val="000000"/>
          <w:sz w:val="21"/>
          <w:szCs w:val="21"/>
        </w:rPr>
        <w:t>III. Presupuestal:</w:t>
      </w:r>
      <w:r w:rsidRPr="00E407D9">
        <w:rPr>
          <w:rFonts w:ascii="Abadi" w:hAnsi="Abadi" w:cs="Amasis MT Pro Light"/>
          <w:color w:val="000000"/>
          <w:sz w:val="21"/>
          <w:szCs w:val="21"/>
        </w:rPr>
        <w:t xml:space="preserve"> La presente iniciativa no incluye impactos presupuestales directos.</w:t>
      </w:r>
    </w:p>
    <w:p w14:paraId="5E26ABBC"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0C972B0F"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b/>
          <w:bCs/>
          <w:color w:val="000000"/>
          <w:sz w:val="21"/>
          <w:szCs w:val="21"/>
        </w:rPr>
        <w:t>IV. Social</w:t>
      </w:r>
      <w:r w:rsidRPr="00E407D9">
        <w:rPr>
          <w:rFonts w:ascii="Abadi" w:hAnsi="Abadi" w:cs="Amasis MT Pro Light"/>
          <w:color w:val="000000"/>
          <w:sz w:val="21"/>
          <w:szCs w:val="21"/>
        </w:rPr>
        <w:t>: Con la presente iniciativa se contribuye fortalecer el derecho de todas las personas desaparecidas a ser buscadas, dándole rango constitucional y reconociéndolo como derecho humano.</w:t>
      </w:r>
    </w:p>
    <w:p w14:paraId="1E5B972C"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3AC339B8"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Por lo anterior, nos permitimos someter a consideración del pleno de esta asamblea, el siguiente proyecto de:</w:t>
      </w:r>
    </w:p>
    <w:p w14:paraId="6E8A0D4D" w14:textId="77777777" w:rsidR="002C47C1" w:rsidRPr="00E407D9" w:rsidRDefault="002C47C1" w:rsidP="002C47C1">
      <w:pPr>
        <w:autoSpaceDE w:val="0"/>
        <w:autoSpaceDN w:val="0"/>
        <w:adjustRightInd w:val="0"/>
        <w:jc w:val="center"/>
        <w:rPr>
          <w:rFonts w:ascii="Abadi" w:hAnsi="Abadi" w:cs="Amasis MT Pro Light"/>
          <w:color w:val="000000"/>
          <w:sz w:val="21"/>
          <w:szCs w:val="21"/>
        </w:rPr>
      </w:pPr>
    </w:p>
    <w:p w14:paraId="412D2B6C" w14:textId="77777777" w:rsidR="002C47C1" w:rsidRPr="00E407D9" w:rsidRDefault="002C47C1" w:rsidP="002C47C1">
      <w:pPr>
        <w:autoSpaceDE w:val="0"/>
        <w:autoSpaceDN w:val="0"/>
        <w:adjustRightInd w:val="0"/>
        <w:jc w:val="center"/>
        <w:rPr>
          <w:rFonts w:ascii="Abadi" w:hAnsi="Abadi" w:cs="Amasis MT Pro Light"/>
          <w:b/>
          <w:bCs/>
          <w:color w:val="000000"/>
          <w:sz w:val="21"/>
          <w:szCs w:val="21"/>
        </w:rPr>
      </w:pPr>
      <w:r w:rsidRPr="00E407D9">
        <w:rPr>
          <w:rFonts w:ascii="Abadi" w:hAnsi="Abadi" w:cs="Amasis MT Pro Light"/>
          <w:b/>
          <w:bCs/>
          <w:color w:val="000000"/>
          <w:sz w:val="21"/>
          <w:szCs w:val="21"/>
        </w:rPr>
        <w:t>D E C R E T O</w:t>
      </w:r>
    </w:p>
    <w:p w14:paraId="7CE7B02A" w14:textId="77777777" w:rsidR="002C47C1" w:rsidRPr="00E407D9" w:rsidRDefault="002C47C1" w:rsidP="002C47C1">
      <w:pPr>
        <w:autoSpaceDE w:val="0"/>
        <w:autoSpaceDN w:val="0"/>
        <w:adjustRightInd w:val="0"/>
        <w:jc w:val="both"/>
        <w:rPr>
          <w:rFonts w:ascii="Abadi" w:hAnsi="Abadi" w:cs="Amasis MT Pro Light"/>
          <w:b/>
          <w:bCs/>
          <w:color w:val="000000"/>
          <w:sz w:val="21"/>
          <w:szCs w:val="21"/>
        </w:rPr>
      </w:pPr>
    </w:p>
    <w:p w14:paraId="5F5E249B"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b/>
          <w:bCs/>
          <w:color w:val="000000"/>
          <w:sz w:val="21"/>
          <w:szCs w:val="21"/>
        </w:rPr>
        <w:t>ARTÍCULO ÚNICO</w:t>
      </w:r>
      <w:r w:rsidRPr="00E407D9">
        <w:rPr>
          <w:rFonts w:ascii="Abadi" w:hAnsi="Abadi" w:cs="Amasis MT Pro Light"/>
          <w:color w:val="000000"/>
          <w:sz w:val="21"/>
          <w:szCs w:val="21"/>
        </w:rPr>
        <w:t xml:space="preserve">. Se adiciona un cuarto párrafo al artículo 7 de la Constitución Política </w:t>
      </w:r>
      <w:r w:rsidRPr="00E407D9">
        <w:rPr>
          <w:rFonts w:ascii="Abadi" w:hAnsi="Abadi" w:cs="Amasis MT Pro Light"/>
          <w:color w:val="000000"/>
          <w:sz w:val="21"/>
          <w:szCs w:val="21"/>
        </w:rPr>
        <w:lastRenderedPageBreak/>
        <w:t>del Estado Libre y Soberano de Guanajuato, recorriéndose los párrafos subsecuentes, para quedar como sigue:</w:t>
      </w:r>
    </w:p>
    <w:p w14:paraId="39AF3722"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11E2F19D" w14:textId="3C9E6F65" w:rsidR="002C47C1" w:rsidRPr="00E407D9" w:rsidRDefault="002C47C1" w:rsidP="002C47C1">
      <w:pPr>
        <w:autoSpaceDE w:val="0"/>
        <w:autoSpaceDN w:val="0"/>
        <w:adjustRightInd w:val="0"/>
        <w:jc w:val="both"/>
        <w:rPr>
          <w:rFonts w:ascii="Abadi" w:hAnsi="Abadi" w:cs="Amasis MT Pro Light"/>
          <w:color w:val="000000"/>
          <w:sz w:val="21"/>
          <w:szCs w:val="21"/>
        </w:rPr>
      </w:pPr>
      <w:r>
        <w:rPr>
          <w:rFonts w:ascii="Abadi" w:hAnsi="Abadi" w:cs="Amasis MT Pro Light"/>
          <w:b/>
          <w:bCs/>
          <w:color w:val="000000"/>
          <w:sz w:val="21"/>
          <w:szCs w:val="21"/>
        </w:rPr>
        <w:tab/>
      </w:r>
      <w:r w:rsidRPr="00E407D9">
        <w:rPr>
          <w:rFonts w:ascii="Abadi" w:hAnsi="Abadi" w:cs="Amasis MT Pro Light"/>
          <w:b/>
          <w:bCs/>
          <w:color w:val="000000"/>
          <w:sz w:val="21"/>
          <w:szCs w:val="21"/>
        </w:rPr>
        <w:t>Artículo 7.-</w:t>
      </w:r>
      <w:r w:rsidRPr="00E407D9">
        <w:rPr>
          <w:rFonts w:ascii="Abadi" w:hAnsi="Abadi" w:cs="Amasis MT Pro Light"/>
          <w:color w:val="000000"/>
          <w:sz w:val="21"/>
          <w:szCs w:val="21"/>
        </w:rPr>
        <w:t xml:space="preserve"> Ninguna persona podrá </w:t>
      </w:r>
      <w:r w:rsidR="00E3352B">
        <w:rPr>
          <w:rFonts w:ascii="Abadi" w:hAnsi="Abadi" w:cs="Amasis MT Pro Light"/>
          <w:color w:val="000000"/>
          <w:sz w:val="21"/>
          <w:szCs w:val="21"/>
        </w:rPr>
        <w:tab/>
      </w:r>
      <w:r w:rsidRPr="00E407D9">
        <w:rPr>
          <w:rFonts w:ascii="Abadi" w:hAnsi="Abadi" w:cs="Amasis MT Pro Light"/>
          <w:color w:val="000000"/>
          <w:sz w:val="21"/>
          <w:szCs w:val="21"/>
        </w:rPr>
        <w:t>hacerse justicia por sí misma…</w:t>
      </w:r>
    </w:p>
    <w:p w14:paraId="4A5BDAD8" w14:textId="77777777" w:rsidR="002C47C1" w:rsidRDefault="002C47C1" w:rsidP="002C47C1">
      <w:pPr>
        <w:autoSpaceDE w:val="0"/>
        <w:autoSpaceDN w:val="0"/>
        <w:adjustRightInd w:val="0"/>
        <w:jc w:val="both"/>
        <w:rPr>
          <w:rFonts w:ascii="Abadi" w:hAnsi="Abadi" w:cs="Amasis MT Pro Light"/>
          <w:color w:val="000000"/>
          <w:sz w:val="21"/>
          <w:szCs w:val="21"/>
        </w:rPr>
      </w:pPr>
    </w:p>
    <w:p w14:paraId="40E75CE5" w14:textId="25245587" w:rsidR="002C47C1" w:rsidRPr="00E407D9" w:rsidRDefault="002C47C1" w:rsidP="002C47C1">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r w:rsidRPr="00E407D9">
        <w:rPr>
          <w:rFonts w:ascii="Abadi" w:hAnsi="Abadi" w:cs="Amasis MT Pro Light"/>
          <w:color w:val="000000"/>
          <w:sz w:val="21"/>
          <w:szCs w:val="21"/>
        </w:rPr>
        <w:t xml:space="preserve">Nadie puede ser molestado en su </w:t>
      </w:r>
      <w:r w:rsidR="00E3352B">
        <w:rPr>
          <w:rFonts w:ascii="Abadi" w:hAnsi="Abadi" w:cs="Amasis MT Pro Light"/>
          <w:color w:val="000000"/>
          <w:sz w:val="21"/>
          <w:szCs w:val="21"/>
        </w:rPr>
        <w:tab/>
      </w:r>
      <w:r w:rsidRPr="00E407D9">
        <w:rPr>
          <w:rFonts w:ascii="Abadi" w:hAnsi="Abadi" w:cs="Amasis MT Pro Light"/>
          <w:color w:val="000000"/>
          <w:sz w:val="21"/>
          <w:szCs w:val="21"/>
        </w:rPr>
        <w:t>persona, familia…</w:t>
      </w:r>
    </w:p>
    <w:p w14:paraId="06E3A186" w14:textId="77777777" w:rsidR="002C47C1" w:rsidRDefault="002C47C1" w:rsidP="002C47C1">
      <w:pPr>
        <w:autoSpaceDE w:val="0"/>
        <w:autoSpaceDN w:val="0"/>
        <w:adjustRightInd w:val="0"/>
        <w:jc w:val="both"/>
        <w:rPr>
          <w:rFonts w:ascii="Abadi" w:hAnsi="Abadi" w:cs="Amasis MT Pro Light"/>
          <w:color w:val="000000"/>
          <w:sz w:val="21"/>
          <w:szCs w:val="21"/>
        </w:rPr>
      </w:pPr>
    </w:p>
    <w:p w14:paraId="65B84D78" w14:textId="7DF1DBBB" w:rsidR="002C47C1" w:rsidRPr="00E407D9" w:rsidRDefault="002C47C1" w:rsidP="002C47C1">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r w:rsidRPr="00E407D9">
        <w:rPr>
          <w:rFonts w:ascii="Abadi" w:hAnsi="Abadi" w:cs="Amasis MT Pro Light"/>
          <w:color w:val="000000"/>
          <w:sz w:val="21"/>
          <w:szCs w:val="21"/>
        </w:rPr>
        <w:t xml:space="preserve">Toda persona tiene derecho a que se </w:t>
      </w:r>
      <w:r w:rsidR="00E3352B">
        <w:rPr>
          <w:rFonts w:ascii="Abadi" w:hAnsi="Abadi" w:cs="Amasis MT Pro Light"/>
          <w:color w:val="000000"/>
          <w:sz w:val="21"/>
          <w:szCs w:val="21"/>
        </w:rPr>
        <w:tab/>
      </w:r>
      <w:r w:rsidRPr="00E407D9">
        <w:rPr>
          <w:rFonts w:ascii="Abadi" w:hAnsi="Abadi" w:cs="Amasis MT Pro Light"/>
          <w:color w:val="000000"/>
          <w:sz w:val="21"/>
          <w:szCs w:val="21"/>
        </w:rPr>
        <w:t>le administre justicia…</w:t>
      </w:r>
    </w:p>
    <w:p w14:paraId="6A80F2D8"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6FF14B24" w14:textId="06B4EF94" w:rsidR="002C47C1" w:rsidRPr="00E407D9" w:rsidRDefault="002C47C1" w:rsidP="002C47C1">
      <w:pPr>
        <w:autoSpaceDE w:val="0"/>
        <w:autoSpaceDN w:val="0"/>
        <w:adjustRightInd w:val="0"/>
        <w:jc w:val="both"/>
        <w:rPr>
          <w:rFonts w:ascii="Abadi" w:hAnsi="Abadi" w:cs="Amasis MT Pro Light"/>
          <w:b/>
          <w:bCs/>
          <w:color w:val="000000"/>
          <w:sz w:val="21"/>
          <w:szCs w:val="21"/>
        </w:rPr>
      </w:pPr>
      <w:r>
        <w:rPr>
          <w:rFonts w:ascii="Abadi" w:hAnsi="Abadi" w:cs="Amasis MT Pro Light"/>
          <w:b/>
          <w:bCs/>
          <w:color w:val="000000"/>
          <w:sz w:val="21"/>
          <w:szCs w:val="21"/>
        </w:rPr>
        <w:tab/>
      </w:r>
      <w:r w:rsidRPr="00E407D9">
        <w:rPr>
          <w:rFonts w:ascii="Abadi" w:hAnsi="Abadi" w:cs="Amasis MT Pro Light"/>
          <w:b/>
          <w:bCs/>
          <w:color w:val="000000"/>
          <w:sz w:val="21"/>
          <w:szCs w:val="21"/>
        </w:rPr>
        <w:t xml:space="preserve">Toda persona cuyo paradero o </w:t>
      </w:r>
      <w:r w:rsidR="00E3352B">
        <w:rPr>
          <w:rFonts w:ascii="Abadi" w:hAnsi="Abadi" w:cs="Amasis MT Pro Light"/>
          <w:b/>
          <w:bCs/>
          <w:color w:val="000000"/>
          <w:sz w:val="21"/>
          <w:szCs w:val="21"/>
        </w:rPr>
        <w:tab/>
      </w:r>
      <w:r w:rsidRPr="00E407D9">
        <w:rPr>
          <w:rFonts w:ascii="Abadi" w:hAnsi="Abadi" w:cs="Amasis MT Pro Light"/>
          <w:b/>
          <w:bCs/>
          <w:color w:val="000000"/>
          <w:sz w:val="21"/>
          <w:szCs w:val="21"/>
        </w:rPr>
        <w:t xml:space="preserve">ubicación se desconozca tiene el </w:t>
      </w:r>
      <w:r w:rsidR="00E3352B">
        <w:rPr>
          <w:rFonts w:ascii="Abadi" w:hAnsi="Abadi" w:cs="Amasis MT Pro Light"/>
          <w:b/>
          <w:bCs/>
          <w:color w:val="000000"/>
          <w:sz w:val="21"/>
          <w:szCs w:val="21"/>
        </w:rPr>
        <w:tab/>
      </w:r>
      <w:r w:rsidRPr="00E407D9">
        <w:rPr>
          <w:rFonts w:ascii="Abadi" w:hAnsi="Abadi" w:cs="Amasis MT Pro Light"/>
          <w:b/>
          <w:bCs/>
          <w:color w:val="000000"/>
          <w:sz w:val="21"/>
          <w:szCs w:val="21"/>
        </w:rPr>
        <w:t xml:space="preserve">derecho a ser buscada por </w:t>
      </w:r>
      <w:r>
        <w:rPr>
          <w:rFonts w:ascii="Abadi" w:hAnsi="Abadi" w:cs="Amasis MT Pro Light"/>
          <w:b/>
          <w:bCs/>
          <w:color w:val="000000"/>
          <w:sz w:val="21"/>
          <w:szCs w:val="21"/>
        </w:rPr>
        <w:tab/>
      </w:r>
      <w:r w:rsidRPr="00E407D9">
        <w:rPr>
          <w:rFonts w:ascii="Abadi" w:hAnsi="Abadi" w:cs="Amasis MT Pro Light"/>
          <w:b/>
          <w:bCs/>
          <w:color w:val="000000"/>
          <w:sz w:val="21"/>
          <w:szCs w:val="21"/>
        </w:rPr>
        <w:t>las</w:t>
      </w:r>
      <w:r w:rsidR="00E3352B">
        <w:rPr>
          <w:rFonts w:ascii="Abadi" w:hAnsi="Abadi" w:cs="Amasis MT Pro Light"/>
          <w:b/>
          <w:bCs/>
          <w:color w:val="000000"/>
          <w:sz w:val="21"/>
          <w:szCs w:val="21"/>
        </w:rPr>
        <w:t xml:space="preserve"> </w:t>
      </w:r>
      <w:r w:rsidR="00E3352B">
        <w:rPr>
          <w:rFonts w:ascii="Abadi" w:hAnsi="Abadi" w:cs="Amasis MT Pro Light"/>
          <w:b/>
          <w:bCs/>
          <w:color w:val="000000"/>
          <w:sz w:val="21"/>
          <w:szCs w:val="21"/>
        </w:rPr>
        <w:tab/>
      </w:r>
      <w:r w:rsidRPr="00E407D9">
        <w:rPr>
          <w:rFonts w:ascii="Abadi" w:hAnsi="Abadi" w:cs="Amasis MT Pro Light"/>
          <w:b/>
          <w:bCs/>
          <w:color w:val="000000"/>
          <w:sz w:val="21"/>
          <w:szCs w:val="21"/>
        </w:rPr>
        <w:t xml:space="preserve">autoridades. Las y los familiares y </w:t>
      </w:r>
      <w:r w:rsidR="00E3352B">
        <w:rPr>
          <w:rFonts w:ascii="Abadi" w:hAnsi="Abadi" w:cs="Amasis MT Pro Light"/>
          <w:b/>
          <w:bCs/>
          <w:color w:val="000000"/>
          <w:sz w:val="21"/>
          <w:szCs w:val="21"/>
        </w:rPr>
        <w:tab/>
      </w:r>
      <w:r w:rsidRPr="00E407D9">
        <w:rPr>
          <w:rFonts w:ascii="Abadi" w:hAnsi="Abadi" w:cs="Amasis MT Pro Light"/>
          <w:b/>
          <w:bCs/>
          <w:color w:val="000000"/>
          <w:sz w:val="21"/>
          <w:szCs w:val="21"/>
        </w:rPr>
        <w:t xml:space="preserve">otras personas directamente </w:t>
      </w:r>
      <w:r w:rsidR="00E3352B">
        <w:rPr>
          <w:rFonts w:ascii="Abadi" w:hAnsi="Abadi" w:cs="Amasis MT Pro Light"/>
          <w:b/>
          <w:bCs/>
          <w:color w:val="000000"/>
          <w:sz w:val="21"/>
          <w:szCs w:val="21"/>
        </w:rPr>
        <w:tab/>
      </w:r>
      <w:r w:rsidRPr="00E407D9">
        <w:rPr>
          <w:rFonts w:ascii="Abadi" w:hAnsi="Abadi" w:cs="Amasis MT Pro Light"/>
          <w:b/>
          <w:bCs/>
          <w:color w:val="000000"/>
          <w:sz w:val="21"/>
          <w:szCs w:val="21"/>
        </w:rPr>
        <w:t xml:space="preserve">afectadas por la ausencia </w:t>
      </w:r>
      <w:r>
        <w:rPr>
          <w:rFonts w:ascii="Abadi" w:hAnsi="Abadi" w:cs="Amasis MT Pro Light"/>
          <w:b/>
          <w:bCs/>
          <w:color w:val="000000"/>
          <w:sz w:val="21"/>
          <w:szCs w:val="21"/>
        </w:rPr>
        <w:tab/>
      </w:r>
      <w:r w:rsidRPr="00E407D9">
        <w:rPr>
          <w:rFonts w:ascii="Abadi" w:hAnsi="Abadi" w:cs="Amasis MT Pro Light"/>
          <w:b/>
          <w:bCs/>
          <w:color w:val="000000"/>
          <w:sz w:val="21"/>
          <w:szCs w:val="21"/>
        </w:rPr>
        <w:t xml:space="preserve">tienen </w:t>
      </w:r>
      <w:r w:rsidR="00E3352B">
        <w:rPr>
          <w:rFonts w:ascii="Abadi" w:hAnsi="Abadi" w:cs="Amasis MT Pro Light"/>
          <w:b/>
          <w:bCs/>
          <w:color w:val="000000"/>
          <w:sz w:val="21"/>
          <w:szCs w:val="21"/>
        </w:rPr>
        <w:tab/>
      </w:r>
      <w:r w:rsidRPr="00E407D9">
        <w:rPr>
          <w:rFonts w:ascii="Abadi" w:hAnsi="Abadi" w:cs="Amasis MT Pro Light"/>
          <w:b/>
          <w:bCs/>
          <w:color w:val="000000"/>
          <w:sz w:val="21"/>
          <w:szCs w:val="21"/>
        </w:rPr>
        <w:t xml:space="preserve">derecho a que se busque a la persona </w:t>
      </w:r>
      <w:r w:rsidR="00E3352B">
        <w:rPr>
          <w:rFonts w:ascii="Abadi" w:hAnsi="Abadi" w:cs="Amasis MT Pro Light"/>
          <w:b/>
          <w:bCs/>
          <w:color w:val="000000"/>
          <w:sz w:val="21"/>
          <w:szCs w:val="21"/>
        </w:rPr>
        <w:tab/>
      </w:r>
      <w:r w:rsidRPr="00E407D9">
        <w:rPr>
          <w:rFonts w:ascii="Abadi" w:hAnsi="Abadi" w:cs="Amasis MT Pro Light"/>
          <w:b/>
          <w:bCs/>
          <w:color w:val="000000"/>
          <w:sz w:val="21"/>
          <w:szCs w:val="21"/>
        </w:rPr>
        <w:t xml:space="preserve">desaparecida o no localizada. Para tal </w:t>
      </w:r>
      <w:r w:rsidR="00E3352B">
        <w:rPr>
          <w:rFonts w:ascii="Abadi" w:hAnsi="Abadi" w:cs="Amasis MT Pro Light"/>
          <w:b/>
          <w:bCs/>
          <w:color w:val="000000"/>
          <w:sz w:val="21"/>
          <w:szCs w:val="21"/>
        </w:rPr>
        <w:tab/>
      </w:r>
      <w:r w:rsidRPr="00E407D9">
        <w:rPr>
          <w:rFonts w:ascii="Abadi" w:hAnsi="Abadi" w:cs="Amasis MT Pro Light"/>
          <w:b/>
          <w:bCs/>
          <w:color w:val="000000"/>
          <w:sz w:val="21"/>
          <w:szCs w:val="21"/>
        </w:rPr>
        <w:t xml:space="preserve">efecto, </w:t>
      </w:r>
      <w:r>
        <w:rPr>
          <w:rFonts w:ascii="Abadi" w:hAnsi="Abadi" w:cs="Amasis MT Pro Light"/>
          <w:b/>
          <w:bCs/>
          <w:color w:val="000000"/>
          <w:sz w:val="21"/>
          <w:szCs w:val="21"/>
        </w:rPr>
        <w:tab/>
      </w:r>
      <w:r w:rsidRPr="00E407D9">
        <w:rPr>
          <w:rFonts w:ascii="Abadi" w:hAnsi="Abadi" w:cs="Amasis MT Pro Light"/>
          <w:b/>
          <w:bCs/>
          <w:color w:val="000000"/>
          <w:sz w:val="21"/>
          <w:szCs w:val="21"/>
        </w:rPr>
        <w:t>las autoridades</w:t>
      </w:r>
      <w:r>
        <w:rPr>
          <w:rFonts w:ascii="Abadi" w:hAnsi="Abadi" w:cs="Amasis MT Pro Light"/>
          <w:b/>
          <w:bCs/>
          <w:color w:val="000000"/>
          <w:sz w:val="21"/>
          <w:szCs w:val="21"/>
        </w:rPr>
        <w:t xml:space="preserve"> </w:t>
      </w:r>
      <w:r w:rsidRPr="00E407D9">
        <w:rPr>
          <w:rFonts w:ascii="Abadi" w:hAnsi="Abadi" w:cs="Amasis MT Pro Light"/>
          <w:b/>
          <w:bCs/>
          <w:color w:val="000000"/>
          <w:sz w:val="21"/>
          <w:szCs w:val="21"/>
        </w:rPr>
        <w:t xml:space="preserve">competentes </w:t>
      </w:r>
      <w:r w:rsidR="00E3352B">
        <w:rPr>
          <w:rFonts w:ascii="Abadi" w:hAnsi="Abadi" w:cs="Amasis MT Pro Light"/>
          <w:b/>
          <w:bCs/>
          <w:color w:val="000000"/>
          <w:sz w:val="21"/>
          <w:szCs w:val="21"/>
        </w:rPr>
        <w:tab/>
      </w:r>
      <w:r w:rsidRPr="00E407D9">
        <w:rPr>
          <w:rFonts w:ascii="Abadi" w:hAnsi="Abadi" w:cs="Amasis MT Pro Light"/>
          <w:b/>
          <w:bCs/>
          <w:color w:val="000000"/>
          <w:sz w:val="21"/>
          <w:szCs w:val="21"/>
        </w:rPr>
        <w:t xml:space="preserve">deben actuar en coordinación, sin </w:t>
      </w:r>
      <w:r w:rsidR="00E3352B">
        <w:rPr>
          <w:rFonts w:ascii="Abadi" w:hAnsi="Abadi" w:cs="Amasis MT Pro Light"/>
          <w:b/>
          <w:bCs/>
          <w:color w:val="000000"/>
          <w:sz w:val="21"/>
          <w:szCs w:val="21"/>
        </w:rPr>
        <w:tab/>
      </w:r>
      <w:r w:rsidRPr="00E407D9">
        <w:rPr>
          <w:rFonts w:ascii="Abadi" w:hAnsi="Abadi" w:cs="Amasis MT Pro Light"/>
          <w:b/>
          <w:bCs/>
          <w:color w:val="000000"/>
          <w:sz w:val="21"/>
          <w:szCs w:val="21"/>
        </w:rPr>
        <w:t xml:space="preserve">dilación, de forma imparcial, </w:t>
      </w:r>
      <w:r>
        <w:rPr>
          <w:rFonts w:ascii="Abadi" w:hAnsi="Abadi" w:cs="Amasis MT Pro Light"/>
          <w:b/>
          <w:bCs/>
          <w:color w:val="000000"/>
          <w:sz w:val="21"/>
          <w:szCs w:val="21"/>
        </w:rPr>
        <w:tab/>
      </w:r>
      <w:r w:rsidRPr="00E407D9">
        <w:rPr>
          <w:rFonts w:ascii="Abadi" w:hAnsi="Abadi" w:cs="Amasis MT Pro Light"/>
          <w:b/>
          <w:bCs/>
          <w:color w:val="000000"/>
          <w:sz w:val="21"/>
          <w:szCs w:val="21"/>
        </w:rPr>
        <w:t xml:space="preserve">dignificante, diligente, exhaustiva, </w:t>
      </w:r>
      <w:r w:rsidR="00E3352B">
        <w:rPr>
          <w:rFonts w:ascii="Abadi" w:hAnsi="Abadi" w:cs="Amasis MT Pro Light"/>
          <w:b/>
          <w:bCs/>
          <w:color w:val="000000"/>
          <w:sz w:val="21"/>
          <w:szCs w:val="21"/>
        </w:rPr>
        <w:tab/>
      </w:r>
      <w:r w:rsidRPr="00E407D9">
        <w:rPr>
          <w:rFonts w:ascii="Abadi" w:hAnsi="Abadi" w:cs="Amasis MT Pro Light"/>
          <w:b/>
          <w:bCs/>
          <w:color w:val="000000"/>
          <w:sz w:val="21"/>
          <w:szCs w:val="21"/>
        </w:rPr>
        <w:t xml:space="preserve">continua, sin estigmatizaciones, con </w:t>
      </w:r>
      <w:r w:rsidR="00E3352B">
        <w:rPr>
          <w:rFonts w:ascii="Abadi" w:hAnsi="Abadi" w:cs="Amasis MT Pro Light"/>
          <w:b/>
          <w:bCs/>
          <w:color w:val="000000"/>
          <w:sz w:val="21"/>
          <w:szCs w:val="21"/>
        </w:rPr>
        <w:tab/>
      </w:r>
      <w:r w:rsidRPr="00E407D9">
        <w:rPr>
          <w:rFonts w:ascii="Abadi" w:hAnsi="Abadi" w:cs="Amasis MT Pro Light"/>
          <w:b/>
          <w:bCs/>
          <w:color w:val="000000"/>
          <w:sz w:val="21"/>
          <w:szCs w:val="21"/>
        </w:rPr>
        <w:t xml:space="preserve">un enfoque </w:t>
      </w:r>
      <w:r>
        <w:rPr>
          <w:rFonts w:ascii="Abadi" w:hAnsi="Abadi" w:cs="Amasis MT Pro Light"/>
          <w:b/>
          <w:bCs/>
          <w:color w:val="000000"/>
          <w:sz w:val="21"/>
          <w:szCs w:val="21"/>
        </w:rPr>
        <w:tab/>
      </w:r>
      <w:r w:rsidRPr="00E407D9">
        <w:rPr>
          <w:rFonts w:ascii="Abadi" w:hAnsi="Abadi" w:cs="Amasis MT Pro Light"/>
          <w:b/>
          <w:bCs/>
          <w:color w:val="000000"/>
          <w:sz w:val="21"/>
          <w:szCs w:val="21"/>
        </w:rPr>
        <w:t xml:space="preserve">diferencial y </w:t>
      </w:r>
      <w:r>
        <w:rPr>
          <w:rFonts w:ascii="Abadi" w:hAnsi="Abadi" w:cs="Amasis MT Pro Light"/>
          <w:b/>
          <w:bCs/>
          <w:color w:val="000000"/>
          <w:sz w:val="21"/>
          <w:szCs w:val="21"/>
        </w:rPr>
        <w:tab/>
      </w:r>
      <w:r w:rsidRPr="00E407D9">
        <w:rPr>
          <w:rFonts w:ascii="Abadi" w:hAnsi="Abadi" w:cs="Amasis MT Pro Light"/>
          <w:b/>
          <w:bCs/>
          <w:color w:val="000000"/>
          <w:sz w:val="21"/>
          <w:szCs w:val="21"/>
        </w:rPr>
        <w:t xml:space="preserve">permitiendo la participación sin </w:t>
      </w:r>
      <w:r w:rsidR="00E3352B">
        <w:rPr>
          <w:rFonts w:ascii="Abadi" w:hAnsi="Abadi" w:cs="Amasis MT Pro Light"/>
          <w:b/>
          <w:bCs/>
          <w:color w:val="000000"/>
          <w:sz w:val="21"/>
          <w:szCs w:val="21"/>
        </w:rPr>
        <w:tab/>
      </w:r>
      <w:r w:rsidRPr="00E407D9">
        <w:rPr>
          <w:rFonts w:ascii="Abadi" w:hAnsi="Abadi" w:cs="Amasis MT Pro Light"/>
          <w:b/>
          <w:bCs/>
          <w:color w:val="000000"/>
          <w:sz w:val="21"/>
          <w:szCs w:val="21"/>
        </w:rPr>
        <w:t>reservas de las víctimas.</w:t>
      </w:r>
    </w:p>
    <w:p w14:paraId="16DC9BE4" w14:textId="77777777" w:rsidR="002C47C1" w:rsidRPr="00E407D9" w:rsidRDefault="002C47C1" w:rsidP="002C47C1">
      <w:pPr>
        <w:autoSpaceDE w:val="0"/>
        <w:autoSpaceDN w:val="0"/>
        <w:adjustRightInd w:val="0"/>
        <w:jc w:val="both"/>
        <w:rPr>
          <w:rFonts w:ascii="Abadi" w:hAnsi="Abadi" w:cs="Amasis MT Pro Light"/>
          <w:b/>
          <w:bCs/>
          <w:color w:val="000000"/>
          <w:sz w:val="21"/>
          <w:szCs w:val="21"/>
        </w:rPr>
      </w:pPr>
    </w:p>
    <w:p w14:paraId="28553E64"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r w:rsidRPr="00E407D9">
        <w:rPr>
          <w:rFonts w:ascii="Abadi" w:hAnsi="Abadi" w:cs="Amasis MT Pro Light"/>
          <w:color w:val="000000"/>
          <w:sz w:val="21"/>
          <w:szCs w:val="21"/>
        </w:rPr>
        <w:t>Siempre que no se afecte…</w:t>
      </w:r>
    </w:p>
    <w:p w14:paraId="69473D85"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6D10042F"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r w:rsidRPr="00E407D9">
        <w:rPr>
          <w:rFonts w:ascii="Abadi" w:hAnsi="Abadi" w:cs="Amasis MT Pro Light"/>
          <w:color w:val="000000"/>
          <w:sz w:val="21"/>
          <w:szCs w:val="21"/>
        </w:rPr>
        <w:t>El Estado garantizará…</w:t>
      </w:r>
    </w:p>
    <w:p w14:paraId="1A7D7C5B"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5B187D82"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r w:rsidRPr="00E407D9">
        <w:rPr>
          <w:rFonts w:ascii="Abadi" w:hAnsi="Abadi" w:cs="Amasis MT Pro Light"/>
          <w:color w:val="000000"/>
          <w:sz w:val="21"/>
          <w:szCs w:val="21"/>
        </w:rPr>
        <w:t>Nadie puede ser…</w:t>
      </w:r>
    </w:p>
    <w:p w14:paraId="5593C4E2" w14:textId="77777777" w:rsidR="002C47C1" w:rsidRDefault="002C47C1" w:rsidP="002C47C1">
      <w:pPr>
        <w:autoSpaceDE w:val="0"/>
        <w:autoSpaceDN w:val="0"/>
        <w:adjustRightInd w:val="0"/>
        <w:jc w:val="both"/>
        <w:rPr>
          <w:rFonts w:ascii="Abadi" w:hAnsi="Abadi" w:cs="Amasis MT Pro Light"/>
          <w:color w:val="000000"/>
          <w:sz w:val="21"/>
          <w:szCs w:val="21"/>
        </w:rPr>
      </w:pPr>
    </w:p>
    <w:p w14:paraId="20F4F815"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r w:rsidRPr="00E407D9">
        <w:rPr>
          <w:rFonts w:ascii="Abadi" w:hAnsi="Abadi" w:cs="Amasis MT Pro Light"/>
          <w:color w:val="000000"/>
          <w:sz w:val="21"/>
          <w:szCs w:val="21"/>
        </w:rPr>
        <w:t>La autoridad administrativa…</w:t>
      </w:r>
    </w:p>
    <w:p w14:paraId="70DDF945"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0EB0BC63" w14:textId="6657C7A5" w:rsidR="002C47C1" w:rsidRPr="00E407D9" w:rsidRDefault="002C47C1" w:rsidP="002C47C1">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r w:rsidRPr="00E407D9">
        <w:rPr>
          <w:rFonts w:ascii="Abadi" w:hAnsi="Abadi" w:cs="Amasis MT Pro Light"/>
          <w:color w:val="000000"/>
          <w:sz w:val="21"/>
          <w:szCs w:val="21"/>
        </w:rPr>
        <w:t xml:space="preserve">Compete a la autoridad </w:t>
      </w:r>
      <w:r w:rsidR="00E3352B">
        <w:rPr>
          <w:rFonts w:ascii="Abadi" w:hAnsi="Abadi" w:cs="Amasis MT Pro Light"/>
          <w:color w:val="000000"/>
          <w:sz w:val="21"/>
          <w:szCs w:val="21"/>
        </w:rPr>
        <w:tab/>
      </w:r>
      <w:r w:rsidRPr="00E407D9">
        <w:rPr>
          <w:rFonts w:ascii="Abadi" w:hAnsi="Abadi" w:cs="Amasis MT Pro Light"/>
          <w:color w:val="000000"/>
          <w:sz w:val="21"/>
          <w:szCs w:val="21"/>
        </w:rPr>
        <w:t>administrativa…</w:t>
      </w:r>
    </w:p>
    <w:p w14:paraId="2D37E03B"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53A20F19"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r w:rsidRPr="00E407D9">
        <w:rPr>
          <w:rFonts w:ascii="Abadi" w:hAnsi="Abadi" w:cs="Amasis MT Pro Light"/>
          <w:color w:val="000000"/>
          <w:sz w:val="21"/>
          <w:szCs w:val="21"/>
        </w:rPr>
        <w:t>Si el infractor de los reglamentos…</w:t>
      </w:r>
    </w:p>
    <w:p w14:paraId="0B2A1FDB"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6A14CC01"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r w:rsidRPr="00E407D9">
        <w:rPr>
          <w:rFonts w:ascii="Abadi" w:hAnsi="Abadi" w:cs="Amasis MT Pro Light"/>
          <w:color w:val="000000"/>
          <w:sz w:val="21"/>
          <w:szCs w:val="21"/>
        </w:rPr>
        <w:t>Tratándose de trabajadores…</w:t>
      </w:r>
    </w:p>
    <w:p w14:paraId="3AE32C16"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381F2D25"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r w:rsidRPr="00E407D9">
        <w:rPr>
          <w:rFonts w:ascii="Abadi" w:hAnsi="Abadi" w:cs="Amasis MT Pro Light"/>
          <w:color w:val="000000"/>
          <w:sz w:val="21"/>
          <w:szCs w:val="21"/>
        </w:rPr>
        <w:t>La multa que se imponga…</w:t>
      </w:r>
    </w:p>
    <w:p w14:paraId="1F13C686"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54B3D39A"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r w:rsidRPr="00E407D9">
        <w:rPr>
          <w:rFonts w:ascii="Abadi" w:hAnsi="Abadi" w:cs="Amasis MT Pro Light"/>
          <w:color w:val="000000"/>
          <w:sz w:val="21"/>
          <w:szCs w:val="21"/>
        </w:rPr>
        <w:t>El arresto comenzará a computarse…</w:t>
      </w:r>
    </w:p>
    <w:p w14:paraId="11C99B62"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7E5AA94F"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r w:rsidRPr="00E407D9">
        <w:rPr>
          <w:rFonts w:ascii="Abadi" w:hAnsi="Abadi" w:cs="Amasis MT Pro Light"/>
          <w:color w:val="000000"/>
          <w:sz w:val="21"/>
          <w:szCs w:val="21"/>
        </w:rPr>
        <w:t>Las medidas de corrección…</w:t>
      </w:r>
    </w:p>
    <w:p w14:paraId="771E2A11"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5B40BD71" w14:textId="77777777" w:rsidR="002C47C1" w:rsidRPr="00E407D9" w:rsidRDefault="002C47C1" w:rsidP="002C47C1">
      <w:pPr>
        <w:autoSpaceDE w:val="0"/>
        <w:autoSpaceDN w:val="0"/>
        <w:adjustRightInd w:val="0"/>
        <w:jc w:val="center"/>
        <w:rPr>
          <w:rFonts w:ascii="Abadi" w:hAnsi="Abadi" w:cs="Amasis MT Pro Light"/>
          <w:b/>
          <w:bCs/>
          <w:color w:val="000000"/>
          <w:sz w:val="21"/>
          <w:szCs w:val="21"/>
        </w:rPr>
      </w:pPr>
      <w:r w:rsidRPr="00E407D9">
        <w:rPr>
          <w:rFonts w:ascii="Abadi" w:hAnsi="Abadi" w:cs="Amasis MT Pro Light"/>
          <w:b/>
          <w:bCs/>
          <w:color w:val="000000"/>
          <w:sz w:val="21"/>
          <w:szCs w:val="21"/>
        </w:rPr>
        <w:t>TRANSITORIOS</w:t>
      </w:r>
    </w:p>
    <w:p w14:paraId="5DB08E36" w14:textId="77777777" w:rsidR="002C47C1" w:rsidRPr="00E407D9" w:rsidRDefault="002C47C1" w:rsidP="002C47C1">
      <w:pPr>
        <w:autoSpaceDE w:val="0"/>
        <w:autoSpaceDN w:val="0"/>
        <w:adjustRightInd w:val="0"/>
        <w:jc w:val="center"/>
        <w:rPr>
          <w:rFonts w:ascii="Abadi" w:hAnsi="Abadi" w:cs="Amasis MT Pro Light"/>
          <w:b/>
          <w:bCs/>
          <w:color w:val="000000"/>
          <w:sz w:val="21"/>
          <w:szCs w:val="21"/>
        </w:rPr>
      </w:pPr>
    </w:p>
    <w:p w14:paraId="594C989D"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b/>
          <w:bCs/>
          <w:color w:val="000000"/>
          <w:sz w:val="21"/>
          <w:szCs w:val="21"/>
        </w:rPr>
        <w:t>ÚNICO.</w:t>
      </w:r>
      <w:r w:rsidRPr="00E407D9">
        <w:rPr>
          <w:rFonts w:ascii="Abadi" w:hAnsi="Abadi" w:cs="Amasis MT Pro Light"/>
          <w:color w:val="000000"/>
          <w:sz w:val="21"/>
          <w:szCs w:val="21"/>
        </w:rPr>
        <w:t xml:space="preserve"> El presente Decreto entrará en vigor al día siguiente de su publicación en el</w:t>
      </w:r>
    </w:p>
    <w:p w14:paraId="6A87A78F" w14:textId="77777777"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Periódico Oficial del Gobierno del Estado.</w:t>
      </w:r>
    </w:p>
    <w:p w14:paraId="713401B2"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73320751" w14:textId="77777777" w:rsidR="002C47C1" w:rsidRPr="00E407D9" w:rsidRDefault="002C47C1" w:rsidP="002C47C1">
      <w:pPr>
        <w:autoSpaceDE w:val="0"/>
        <w:autoSpaceDN w:val="0"/>
        <w:adjustRightInd w:val="0"/>
        <w:jc w:val="center"/>
        <w:rPr>
          <w:rFonts w:ascii="Abadi" w:hAnsi="Abadi" w:cs="Amasis MT Pro Light"/>
          <w:color w:val="000000"/>
          <w:sz w:val="21"/>
          <w:szCs w:val="21"/>
        </w:rPr>
      </w:pPr>
      <w:r w:rsidRPr="00E407D9">
        <w:rPr>
          <w:rFonts w:ascii="Abadi" w:hAnsi="Abadi" w:cs="Amasis MT Pro Light"/>
          <w:color w:val="000000"/>
          <w:sz w:val="21"/>
          <w:szCs w:val="21"/>
        </w:rPr>
        <w:t>Guanajuato, Gto. 4 de octubre de 2022.</w:t>
      </w:r>
    </w:p>
    <w:p w14:paraId="614F9FCA"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35FD7FCE"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067C8A4C" w14:textId="23487B70" w:rsidR="002C47C1" w:rsidRPr="00E407D9" w:rsidRDefault="002C47C1" w:rsidP="002C47C1">
      <w:pPr>
        <w:autoSpaceDE w:val="0"/>
        <w:autoSpaceDN w:val="0"/>
        <w:adjustRightInd w:val="0"/>
        <w:jc w:val="both"/>
        <w:rPr>
          <w:rFonts w:ascii="Abadi" w:hAnsi="Abadi" w:cs="Amasis MT Pro Light"/>
          <w:color w:val="000000"/>
          <w:sz w:val="21"/>
          <w:szCs w:val="21"/>
        </w:rPr>
      </w:pPr>
      <w:r w:rsidRPr="00E407D9">
        <w:rPr>
          <w:rFonts w:ascii="Abadi" w:hAnsi="Abadi" w:cs="Amasis MT Pro Light"/>
          <w:color w:val="000000"/>
          <w:sz w:val="21"/>
          <w:szCs w:val="21"/>
        </w:rPr>
        <w:t>Dip. David Martínez Mendizábal                                       Dip. Hades Berenice Aguilar Castillo</w:t>
      </w:r>
    </w:p>
    <w:p w14:paraId="72D230FD" w14:textId="77777777" w:rsidR="002C47C1" w:rsidRPr="00E407D9" w:rsidRDefault="002C47C1" w:rsidP="002C47C1">
      <w:pPr>
        <w:autoSpaceDE w:val="0"/>
        <w:autoSpaceDN w:val="0"/>
        <w:adjustRightInd w:val="0"/>
        <w:jc w:val="both"/>
        <w:rPr>
          <w:rFonts w:ascii="Abadi" w:hAnsi="Abadi" w:cs="Amasis MT Pro Light"/>
          <w:color w:val="000000"/>
          <w:sz w:val="21"/>
          <w:szCs w:val="21"/>
        </w:rPr>
      </w:pPr>
    </w:p>
    <w:p w14:paraId="04AE60A3" w14:textId="626CB9AE" w:rsidR="002C47C1" w:rsidRDefault="002C47C1" w:rsidP="002C47C1">
      <w:pPr>
        <w:jc w:val="center"/>
        <w:rPr>
          <w:rFonts w:ascii="Abadi" w:hAnsi="Abadi" w:cs="Amasis MT Pro Light"/>
          <w:color w:val="000000"/>
          <w:sz w:val="21"/>
          <w:szCs w:val="21"/>
        </w:rPr>
      </w:pPr>
      <w:r w:rsidRPr="00E407D9">
        <w:rPr>
          <w:rFonts w:ascii="Abadi" w:hAnsi="Abadi" w:cs="Amasis MT Pro Light"/>
          <w:color w:val="000000"/>
          <w:sz w:val="21"/>
          <w:szCs w:val="21"/>
        </w:rPr>
        <w:t>Del Grupo Parlamentario de morena</w:t>
      </w:r>
    </w:p>
    <w:p w14:paraId="001C372F" w14:textId="557DB9EC" w:rsidR="00F23EDB" w:rsidRDefault="00F23EDB" w:rsidP="002C47C1">
      <w:pPr>
        <w:jc w:val="center"/>
        <w:rPr>
          <w:rFonts w:ascii="Abadi" w:hAnsi="Abadi" w:cs="Amasis MT Pro Light"/>
          <w:color w:val="000000"/>
          <w:sz w:val="21"/>
          <w:szCs w:val="21"/>
        </w:rPr>
      </w:pPr>
    </w:p>
    <w:p w14:paraId="07B425AB" w14:textId="3C5016B2" w:rsidR="00F23EDB" w:rsidRPr="00AA7107" w:rsidRDefault="00F23EDB" w:rsidP="00F23EDB">
      <w:pPr>
        <w:jc w:val="both"/>
        <w:rPr>
          <w:rFonts w:ascii="Abadi" w:hAnsi="Abadi"/>
          <w:b/>
          <w:bCs/>
          <w:sz w:val="21"/>
          <w:szCs w:val="21"/>
        </w:rPr>
      </w:pPr>
      <w:r w:rsidRPr="00AA7107">
        <w:rPr>
          <w:rFonts w:ascii="Abadi" w:hAnsi="Abadi"/>
          <w:b/>
          <w:bCs/>
          <w:sz w:val="21"/>
          <w:szCs w:val="21"/>
        </w:rPr>
        <w:t>(Sube a tribuna el diputado David Martínez Mendizábal, para dar lectura a la exposición de motivos de la iniciativa referida)</w:t>
      </w:r>
    </w:p>
    <w:p w14:paraId="3C5FA52A" w14:textId="77777777" w:rsidR="00F23EDB" w:rsidRDefault="00F23EDB" w:rsidP="00F23EDB">
      <w:pPr>
        <w:rPr>
          <w:rFonts w:ascii="Abadi" w:hAnsi="Abadi"/>
          <w:b/>
          <w:bCs/>
          <w:sz w:val="21"/>
          <w:szCs w:val="21"/>
        </w:rPr>
      </w:pPr>
    </w:p>
    <w:p w14:paraId="2515BE01" w14:textId="0CE15AA8" w:rsidR="00F23EDB" w:rsidRPr="00AA7107" w:rsidRDefault="00F23EDB" w:rsidP="00F23EDB">
      <w:pPr>
        <w:jc w:val="center"/>
        <w:rPr>
          <w:rFonts w:ascii="Abadi" w:hAnsi="Abadi"/>
          <w:b/>
          <w:bCs/>
          <w:sz w:val="21"/>
          <w:szCs w:val="21"/>
        </w:rPr>
      </w:pPr>
      <w:r w:rsidRPr="00AA7107">
        <w:rPr>
          <w:rFonts w:ascii="Abadi" w:hAnsi="Abadi"/>
          <w:b/>
          <w:bCs/>
          <w:sz w:val="21"/>
          <w:szCs w:val="21"/>
        </w:rPr>
        <w:t>(Posicionamiento)</w:t>
      </w:r>
    </w:p>
    <w:p w14:paraId="4E26FEA2" w14:textId="77777777" w:rsidR="00F23EDB" w:rsidRPr="00AA7107" w:rsidRDefault="00F23EDB" w:rsidP="00F23EDB">
      <w:pPr>
        <w:jc w:val="both"/>
        <w:rPr>
          <w:rFonts w:ascii="Abadi" w:hAnsi="Abadi"/>
          <w:b/>
          <w:bCs/>
          <w:sz w:val="21"/>
          <w:szCs w:val="21"/>
        </w:rPr>
      </w:pPr>
    </w:p>
    <w:p w14:paraId="490377A0" w14:textId="77777777" w:rsidR="00F23EDB" w:rsidRPr="00AA7107" w:rsidRDefault="00F23EDB" w:rsidP="00F23EDB">
      <w:pPr>
        <w:jc w:val="both"/>
        <w:rPr>
          <w:rFonts w:ascii="Abadi" w:hAnsi="Abadi"/>
          <w:b/>
          <w:bCs/>
          <w:sz w:val="21"/>
          <w:szCs w:val="21"/>
        </w:rPr>
      </w:pPr>
    </w:p>
    <w:p w14:paraId="44BA52E2" w14:textId="77777777" w:rsidR="00F23EDB" w:rsidRDefault="00F23EDB" w:rsidP="00F23EDB">
      <w:pPr>
        <w:jc w:val="both"/>
        <w:rPr>
          <w:rFonts w:ascii="Abadi" w:hAnsi="Abadi"/>
          <w:b/>
          <w:bCs/>
          <w:sz w:val="28"/>
          <w:szCs w:val="28"/>
        </w:rPr>
      </w:pPr>
    </w:p>
    <w:p w14:paraId="61E3D6E1" w14:textId="5F07C636" w:rsidR="00157F3F" w:rsidRDefault="00157F3F" w:rsidP="00F23EDB">
      <w:pPr>
        <w:jc w:val="both"/>
        <w:rPr>
          <w:rFonts w:ascii="Abadi" w:hAnsi="Abadi"/>
          <w:b/>
          <w:bCs/>
          <w:sz w:val="28"/>
          <w:szCs w:val="28"/>
        </w:rPr>
      </w:pPr>
      <w:r>
        <w:rPr>
          <w:noProof/>
        </w:rPr>
        <w:drawing>
          <wp:anchor distT="0" distB="0" distL="114300" distR="114300" simplePos="0" relativeHeight="251671552" behindDoc="1" locked="0" layoutInCell="1" allowOverlap="1" wp14:anchorId="14797FDD" wp14:editId="53A9E92B">
            <wp:simplePos x="0" y="0"/>
            <wp:positionH relativeFrom="column">
              <wp:posOffset>426085</wp:posOffset>
            </wp:positionH>
            <wp:positionV relativeFrom="paragraph">
              <wp:posOffset>181610</wp:posOffset>
            </wp:positionV>
            <wp:extent cx="1381836" cy="732566"/>
            <wp:effectExtent l="247650" t="228600" r="237490" b="734695"/>
            <wp:wrapTight wrapText="bothSides">
              <wp:wrapPolygon edited="0">
                <wp:start x="-3871" y="-6744"/>
                <wp:lineTo x="-3871" y="42713"/>
                <wp:lineTo x="25015" y="42713"/>
                <wp:lineTo x="25015" y="-6744"/>
                <wp:lineTo x="-3871" y="-6744"/>
              </wp:wrapPolygon>
            </wp:wrapTight>
            <wp:docPr id="16" name="Imagen 16" descr="Un hombre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Un hombre con un traje de color negro con letras blancas&#10;&#10;Descripción generada automáticamente con confianza media"/>
                    <pic:cNvPicPr/>
                  </pic:nvPicPr>
                  <pic:blipFill rotWithShape="1">
                    <a:blip r:embed="rId20" cstate="print">
                      <a:extLst>
                        <a:ext uri="{28A0092B-C50C-407E-A947-70E740481C1C}">
                          <a14:useLocalDpi xmlns:a14="http://schemas.microsoft.com/office/drawing/2010/main" val="0"/>
                        </a:ext>
                      </a:extLst>
                    </a:blip>
                    <a:srcRect b="5746"/>
                    <a:stretch/>
                  </pic:blipFill>
                  <pic:spPr bwMode="auto">
                    <a:xfrm>
                      <a:off x="0" y="0"/>
                      <a:ext cx="1381836" cy="732566"/>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20468900" w14:textId="016B7948" w:rsidR="00157F3F" w:rsidRDefault="00157F3F" w:rsidP="00F23EDB">
      <w:pPr>
        <w:jc w:val="both"/>
        <w:rPr>
          <w:rFonts w:ascii="Abadi" w:hAnsi="Abadi"/>
          <w:b/>
          <w:bCs/>
          <w:sz w:val="28"/>
          <w:szCs w:val="28"/>
        </w:rPr>
      </w:pPr>
    </w:p>
    <w:p w14:paraId="73AF2829" w14:textId="6E5C82E9" w:rsidR="00157F3F" w:rsidRDefault="00157F3F" w:rsidP="00F23EDB">
      <w:pPr>
        <w:jc w:val="both"/>
        <w:rPr>
          <w:rFonts w:ascii="Abadi" w:hAnsi="Abadi"/>
          <w:b/>
          <w:bCs/>
          <w:sz w:val="28"/>
          <w:szCs w:val="28"/>
        </w:rPr>
      </w:pPr>
    </w:p>
    <w:p w14:paraId="448EB578" w14:textId="0901E9CE" w:rsidR="00157F3F" w:rsidRDefault="00157F3F" w:rsidP="00F23EDB">
      <w:pPr>
        <w:jc w:val="both"/>
        <w:rPr>
          <w:rFonts w:ascii="Abadi" w:hAnsi="Abadi"/>
          <w:b/>
          <w:bCs/>
          <w:sz w:val="28"/>
          <w:szCs w:val="28"/>
        </w:rPr>
      </w:pPr>
    </w:p>
    <w:p w14:paraId="42AD5CBB" w14:textId="77777777" w:rsidR="00157F3F" w:rsidRDefault="00157F3F" w:rsidP="00F23EDB">
      <w:pPr>
        <w:jc w:val="both"/>
        <w:rPr>
          <w:rFonts w:ascii="Abadi" w:hAnsi="Abadi"/>
          <w:b/>
          <w:bCs/>
          <w:sz w:val="28"/>
          <w:szCs w:val="28"/>
        </w:rPr>
      </w:pPr>
    </w:p>
    <w:p w14:paraId="3B0A7D98" w14:textId="5DF0194F" w:rsidR="00F23EDB" w:rsidRDefault="00F23EDB" w:rsidP="00F23EDB">
      <w:pPr>
        <w:jc w:val="both"/>
        <w:rPr>
          <w:rFonts w:ascii="Abadi" w:hAnsi="Abadi"/>
          <w:b/>
          <w:bCs/>
          <w:sz w:val="28"/>
          <w:szCs w:val="28"/>
        </w:rPr>
      </w:pPr>
    </w:p>
    <w:p w14:paraId="1C8113BA" w14:textId="77777777" w:rsidR="00F23EDB" w:rsidRDefault="00F23EDB" w:rsidP="00F23EDB">
      <w:pPr>
        <w:jc w:val="both"/>
        <w:rPr>
          <w:rFonts w:ascii="Abadi" w:hAnsi="Abadi"/>
          <w:b/>
          <w:bCs/>
          <w:sz w:val="28"/>
          <w:szCs w:val="28"/>
        </w:rPr>
      </w:pPr>
    </w:p>
    <w:p w14:paraId="2435413E" w14:textId="77777777" w:rsidR="00157F3F" w:rsidRDefault="00157F3F" w:rsidP="00F23EDB">
      <w:pPr>
        <w:jc w:val="both"/>
        <w:rPr>
          <w:rFonts w:ascii="Abadi" w:hAnsi="Abadi"/>
          <w:b/>
          <w:bCs/>
          <w:sz w:val="21"/>
          <w:szCs w:val="21"/>
        </w:rPr>
      </w:pPr>
    </w:p>
    <w:p w14:paraId="780EACAE" w14:textId="77777777" w:rsidR="00157F3F" w:rsidRDefault="00157F3F" w:rsidP="00F23EDB">
      <w:pPr>
        <w:jc w:val="both"/>
        <w:rPr>
          <w:rFonts w:ascii="Abadi" w:hAnsi="Abadi"/>
          <w:b/>
          <w:bCs/>
          <w:sz w:val="21"/>
          <w:szCs w:val="21"/>
        </w:rPr>
      </w:pPr>
    </w:p>
    <w:p w14:paraId="30823430" w14:textId="77777777" w:rsidR="00157F3F" w:rsidRDefault="00157F3F" w:rsidP="00F23EDB">
      <w:pPr>
        <w:jc w:val="both"/>
        <w:rPr>
          <w:rFonts w:ascii="Abadi" w:hAnsi="Abadi"/>
          <w:b/>
          <w:bCs/>
          <w:sz w:val="21"/>
          <w:szCs w:val="21"/>
        </w:rPr>
      </w:pPr>
    </w:p>
    <w:p w14:paraId="6D1EEE48" w14:textId="77777777" w:rsidR="00157F3F" w:rsidRDefault="00157F3F" w:rsidP="00F23EDB">
      <w:pPr>
        <w:jc w:val="both"/>
        <w:rPr>
          <w:rFonts w:ascii="Abadi" w:hAnsi="Abadi"/>
          <w:b/>
          <w:bCs/>
          <w:sz w:val="21"/>
          <w:szCs w:val="21"/>
        </w:rPr>
      </w:pPr>
    </w:p>
    <w:p w14:paraId="1EDE8271" w14:textId="0E18EBE8" w:rsidR="00F23EDB" w:rsidRPr="00AA7107" w:rsidRDefault="00F23EDB" w:rsidP="00157F3F">
      <w:pPr>
        <w:jc w:val="center"/>
        <w:rPr>
          <w:rFonts w:ascii="Abadi" w:hAnsi="Abadi"/>
          <w:b/>
          <w:bCs/>
          <w:sz w:val="21"/>
          <w:szCs w:val="21"/>
        </w:rPr>
      </w:pPr>
      <w:r w:rsidRPr="00AA7107">
        <w:rPr>
          <w:rFonts w:ascii="Abadi" w:hAnsi="Abadi"/>
          <w:b/>
          <w:bCs/>
          <w:sz w:val="21"/>
          <w:szCs w:val="21"/>
        </w:rPr>
        <w:t>- Diputado David Martínez Mendizábal -</w:t>
      </w:r>
    </w:p>
    <w:p w14:paraId="593EE18C" w14:textId="77777777" w:rsidR="00F23EDB" w:rsidRPr="00AA7107" w:rsidRDefault="00F23EDB" w:rsidP="00F23EDB">
      <w:pPr>
        <w:jc w:val="both"/>
        <w:rPr>
          <w:rFonts w:ascii="Abadi" w:hAnsi="Abadi"/>
          <w:sz w:val="21"/>
          <w:szCs w:val="21"/>
        </w:rPr>
      </w:pPr>
    </w:p>
    <w:p w14:paraId="5C5F900C" w14:textId="07BAFA20" w:rsidR="00F23EDB" w:rsidRDefault="00F23EDB" w:rsidP="00F23EDB">
      <w:pPr>
        <w:jc w:val="both"/>
        <w:rPr>
          <w:rFonts w:ascii="Abadi" w:hAnsi="Abadi"/>
          <w:sz w:val="21"/>
          <w:szCs w:val="21"/>
        </w:rPr>
      </w:pPr>
      <w:r w:rsidRPr="00AA7107">
        <w:rPr>
          <w:rFonts w:ascii="Abadi" w:hAnsi="Abadi"/>
          <w:sz w:val="21"/>
          <w:szCs w:val="21"/>
        </w:rPr>
        <w:t>¡Buenos días! Presidente buenos días a las personas que</w:t>
      </w:r>
      <w:r w:rsidR="00157F3F">
        <w:rPr>
          <w:rFonts w:ascii="Abadi" w:hAnsi="Abadi"/>
          <w:sz w:val="21"/>
          <w:szCs w:val="21"/>
        </w:rPr>
        <w:t xml:space="preserve"> nos </w:t>
      </w:r>
      <w:r w:rsidRPr="00AA7107">
        <w:rPr>
          <w:rFonts w:ascii="Abadi" w:hAnsi="Abadi"/>
          <w:sz w:val="21"/>
          <w:szCs w:val="21"/>
        </w:rPr>
        <w:t xml:space="preserve"> acompañan sí quiero referirme Presidente discúlpeme a la comunidad de Comanjilla, porque me es muy familiar la zona, baños de agua caliente, Salitrillo, Comanjilla, Nápoles, Chichimiquillas, trabajé con gente que ustedes conocen Don Alfonso Mares Hernández, «El Maya» «Mariano Escareño» Don Juan Gómez, la maestra Socorro, que quizá ustedes hayan conocido y quizás son parientes de ustedes trabajamos, juntos en esa comunidad hace, 40 años</w:t>
      </w:r>
      <w:r>
        <w:rPr>
          <w:rFonts w:ascii="Abadi" w:hAnsi="Abadi"/>
          <w:sz w:val="21"/>
          <w:szCs w:val="21"/>
        </w:rPr>
        <w:t>,</w:t>
      </w:r>
      <w:r w:rsidRPr="00AA7107">
        <w:rPr>
          <w:rFonts w:ascii="Abadi" w:hAnsi="Abadi"/>
          <w:sz w:val="21"/>
          <w:szCs w:val="21"/>
        </w:rPr>
        <w:t xml:space="preserve"> apenas ayer. </w:t>
      </w:r>
    </w:p>
    <w:p w14:paraId="0EB446DE" w14:textId="77777777" w:rsidR="00157F3F" w:rsidRPr="00AA7107" w:rsidRDefault="00157F3F" w:rsidP="00F23EDB">
      <w:pPr>
        <w:jc w:val="both"/>
        <w:rPr>
          <w:rFonts w:ascii="Abadi" w:hAnsi="Abadi"/>
          <w:sz w:val="21"/>
          <w:szCs w:val="21"/>
        </w:rPr>
      </w:pPr>
    </w:p>
    <w:p w14:paraId="5926148B" w14:textId="21C48D00" w:rsidR="00F23EDB" w:rsidRDefault="00F23EDB" w:rsidP="00F23EDB">
      <w:pPr>
        <w:jc w:val="both"/>
        <w:rPr>
          <w:rFonts w:ascii="Abadi" w:hAnsi="Abadi"/>
          <w:sz w:val="21"/>
          <w:szCs w:val="21"/>
        </w:rPr>
      </w:pPr>
      <w:r w:rsidRPr="00AA7107">
        <w:rPr>
          <w:rFonts w:ascii="Abadi" w:hAnsi="Abadi"/>
          <w:sz w:val="21"/>
          <w:szCs w:val="21"/>
        </w:rPr>
        <w:t xml:space="preserve">¡Buen </w:t>
      </w:r>
      <w:r w:rsidR="00157F3F" w:rsidRPr="00AA7107">
        <w:rPr>
          <w:rFonts w:ascii="Abadi" w:hAnsi="Abadi"/>
          <w:sz w:val="21"/>
          <w:szCs w:val="21"/>
        </w:rPr>
        <w:t>día¡</w:t>
      </w:r>
      <w:r w:rsidR="00157F3F">
        <w:rPr>
          <w:rFonts w:ascii="Abadi" w:hAnsi="Abadi"/>
          <w:sz w:val="21"/>
          <w:szCs w:val="21"/>
        </w:rPr>
        <w:t xml:space="preserve"> </w:t>
      </w:r>
      <w:r w:rsidR="00157F3F" w:rsidRPr="00AA7107">
        <w:rPr>
          <w:rFonts w:ascii="Abadi" w:hAnsi="Abadi"/>
          <w:sz w:val="21"/>
          <w:szCs w:val="21"/>
        </w:rPr>
        <w:t>el</w:t>
      </w:r>
      <w:r w:rsidRPr="00AA7107">
        <w:rPr>
          <w:rFonts w:ascii="Abadi" w:hAnsi="Abadi"/>
          <w:sz w:val="21"/>
          <w:szCs w:val="21"/>
        </w:rPr>
        <w:t xml:space="preserve"> día de hoy presentó esta iniciativa que hemos suscrito la compañera Hades Aguilar y un servidor y quiero reconocer el trabajo del maestro Cristian Rodríguez y Francisco Escamilla, que diseñaron las líneas torales de esta iniciativa, que busca esta iniciativa que se incorpore, que se incorpore a la constitución del estado de guanajuato el derecho humano de las personas a ser buscadas.</w:t>
      </w:r>
    </w:p>
    <w:p w14:paraId="2971DAF2" w14:textId="77777777" w:rsidR="00157F3F" w:rsidRPr="00AA7107" w:rsidRDefault="00157F3F" w:rsidP="00F23EDB">
      <w:pPr>
        <w:jc w:val="both"/>
        <w:rPr>
          <w:rFonts w:ascii="Abadi" w:hAnsi="Abadi"/>
          <w:sz w:val="21"/>
          <w:szCs w:val="21"/>
        </w:rPr>
      </w:pPr>
    </w:p>
    <w:p w14:paraId="24EEFFD3" w14:textId="0FE94F3B" w:rsidR="00F23EDB" w:rsidRDefault="00F23EDB" w:rsidP="00F23EDB">
      <w:pPr>
        <w:jc w:val="both"/>
        <w:rPr>
          <w:rFonts w:ascii="Abadi" w:hAnsi="Abadi"/>
          <w:sz w:val="21"/>
          <w:szCs w:val="21"/>
        </w:rPr>
      </w:pPr>
      <w:r w:rsidRPr="00AA7107">
        <w:rPr>
          <w:rFonts w:ascii="Abadi" w:hAnsi="Abadi"/>
          <w:sz w:val="21"/>
          <w:szCs w:val="21"/>
        </w:rPr>
        <w:t>- Ese es el centro y voy a tratar de fundamentar por qué, el año pasado nuestro país rebasó las cifras de 100000 personas desaparecidas y no localizadas, cuando hablamos de la desaparición de personas, hablamos de una de las violaciones más graves de los derechos humanos y hay tres motivos para manifestarlo así:</w:t>
      </w:r>
    </w:p>
    <w:p w14:paraId="049151B2" w14:textId="77777777" w:rsidR="00157F3F" w:rsidRPr="00AA7107" w:rsidRDefault="00157F3F" w:rsidP="00F23EDB">
      <w:pPr>
        <w:jc w:val="both"/>
        <w:rPr>
          <w:rFonts w:ascii="Abadi" w:hAnsi="Abadi"/>
          <w:sz w:val="21"/>
          <w:szCs w:val="21"/>
        </w:rPr>
      </w:pPr>
    </w:p>
    <w:p w14:paraId="7FD907A2" w14:textId="77777777" w:rsidR="00F23EDB" w:rsidRPr="00AA7107" w:rsidRDefault="00F23EDB" w:rsidP="00F23EDB">
      <w:pPr>
        <w:jc w:val="both"/>
        <w:rPr>
          <w:rFonts w:ascii="Abadi" w:hAnsi="Abadi"/>
          <w:sz w:val="21"/>
          <w:szCs w:val="21"/>
        </w:rPr>
      </w:pPr>
      <w:r w:rsidRPr="00AA7107">
        <w:rPr>
          <w:rFonts w:ascii="Abadi" w:hAnsi="Abadi"/>
          <w:sz w:val="21"/>
          <w:szCs w:val="21"/>
        </w:rPr>
        <w:t xml:space="preserve">- Primero por su carácter pluriofensivo es decir hay diferentes ofensas contra las personas al </w:t>
      </w:r>
      <w:r w:rsidRPr="00AA7107">
        <w:rPr>
          <w:rFonts w:ascii="Abadi" w:hAnsi="Abadi"/>
          <w:sz w:val="21"/>
          <w:szCs w:val="21"/>
        </w:rPr>
        <w:lastRenderedPageBreak/>
        <w:t>lesionar distintos derechos como la libertad a la integridad personal al igual reconocimiento ante la ley la prohibición de tortura y la vida.</w:t>
      </w:r>
    </w:p>
    <w:p w14:paraId="4406C4B7" w14:textId="55F7C32C" w:rsidR="00F23EDB" w:rsidRDefault="00F23EDB" w:rsidP="00F23EDB">
      <w:pPr>
        <w:jc w:val="both"/>
        <w:rPr>
          <w:rFonts w:ascii="Abadi" w:hAnsi="Abadi"/>
          <w:sz w:val="21"/>
          <w:szCs w:val="21"/>
        </w:rPr>
      </w:pPr>
      <w:r w:rsidRPr="00AA7107">
        <w:rPr>
          <w:rFonts w:ascii="Abadi" w:hAnsi="Abadi"/>
          <w:sz w:val="21"/>
          <w:szCs w:val="21"/>
        </w:rPr>
        <w:t xml:space="preserve">- Segundo por el carácter permanente de la violación que se prolonga hasta que se establezca el destino paradero de la víctima y tercero por la afectación que generan los familiares de las personas desaparecidas. </w:t>
      </w:r>
    </w:p>
    <w:p w14:paraId="1D0760F4" w14:textId="77777777" w:rsidR="00157F3F" w:rsidRPr="00AA7107" w:rsidRDefault="00157F3F" w:rsidP="00F23EDB">
      <w:pPr>
        <w:jc w:val="both"/>
        <w:rPr>
          <w:rFonts w:ascii="Abadi" w:hAnsi="Abadi"/>
          <w:sz w:val="21"/>
          <w:szCs w:val="21"/>
        </w:rPr>
      </w:pPr>
    </w:p>
    <w:p w14:paraId="52B58BDA" w14:textId="3F1F2EAE" w:rsidR="00F23EDB" w:rsidRDefault="00F23EDB" w:rsidP="00F23EDB">
      <w:pPr>
        <w:jc w:val="both"/>
        <w:rPr>
          <w:rFonts w:ascii="Abadi" w:hAnsi="Abadi"/>
          <w:sz w:val="21"/>
          <w:szCs w:val="21"/>
        </w:rPr>
      </w:pPr>
      <w:r w:rsidRPr="00AA7107">
        <w:rPr>
          <w:rFonts w:ascii="Abadi" w:hAnsi="Abadi"/>
          <w:sz w:val="21"/>
          <w:szCs w:val="21"/>
        </w:rPr>
        <w:t>- La inspiración fundamental de esta ley es el dialogo que hemos sostenido en los grupos de buscadoras</w:t>
      </w:r>
      <w:r>
        <w:rPr>
          <w:rFonts w:ascii="Abadi" w:hAnsi="Abadi"/>
          <w:sz w:val="21"/>
          <w:szCs w:val="21"/>
        </w:rPr>
        <w:t>,</w:t>
      </w:r>
      <w:r w:rsidRPr="00AA7107">
        <w:rPr>
          <w:rFonts w:ascii="Abadi" w:hAnsi="Abadi"/>
          <w:sz w:val="21"/>
          <w:szCs w:val="21"/>
        </w:rPr>
        <w:t xml:space="preserve"> que en el fondo esta Ley</w:t>
      </w:r>
      <w:r>
        <w:rPr>
          <w:rFonts w:ascii="Abadi" w:hAnsi="Abadi"/>
          <w:sz w:val="21"/>
          <w:szCs w:val="21"/>
        </w:rPr>
        <w:t xml:space="preserve"> </w:t>
      </w:r>
      <w:r w:rsidRPr="00AA7107">
        <w:rPr>
          <w:rFonts w:ascii="Abadi" w:hAnsi="Abadi"/>
          <w:sz w:val="21"/>
          <w:szCs w:val="21"/>
        </w:rPr>
        <w:t>está dirigido hacia ellas, es un drama impresionante, historias que cuentan de terror que de la gente y las he escuchado decir de esa comunidad de «Comanjilla» la gente que tiene desaparecida una persona y la busca enfrenta un drama humano terrible</w:t>
      </w:r>
      <w:r>
        <w:rPr>
          <w:rFonts w:ascii="Abadi" w:hAnsi="Abadi"/>
          <w:sz w:val="21"/>
          <w:szCs w:val="21"/>
        </w:rPr>
        <w:t xml:space="preserve">, </w:t>
      </w:r>
      <w:r w:rsidRPr="00AA7107">
        <w:rPr>
          <w:rFonts w:ascii="Abadi" w:hAnsi="Abadi"/>
          <w:sz w:val="21"/>
          <w:szCs w:val="21"/>
        </w:rPr>
        <w:t>porque no sabe dónde está, algún día una señora me dijo, mire yo busco a mi marido para que mis hijos sepan dónde rezarle, eso es lo que dijo la señora</w:t>
      </w:r>
      <w:r>
        <w:rPr>
          <w:rFonts w:ascii="Abadi" w:hAnsi="Abadi"/>
          <w:sz w:val="21"/>
          <w:szCs w:val="21"/>
        </w:rPr>
        <w:t xml:space="preserve">, </w:t>
      </w:r>
      <w:r w:rsidRPr="00AA7107">
        <w:rPr>
          <w:rFonts w:ascii="Abadi" w:hAnsi="Abadi"/>
          <w:sz w:val="21"/>
          <w:szCs w:val="21"/>
        </w:rPr>
        <w:t>en fin</w:t>
      </w:r>
      <w:r>
        <w:rPr>
          <w:rFonts w:ascii="Abadi" w:hAnsi="Abadi"/>
          <w:sz w:val="21"/>
          <w:szCs w:val="21"/>
        </w:rPr>
        <w:t>.</w:t>
      </w:r>
    </w:p>
    <w:p w14:paraId="2A4EB256" w14:textId="77777777" w:rsidR="00157F3F" w:rsidRDefault="00157F3F" w:rsidP="00F23EDB">
      <w:pPr>
        <w:jc w:val="both"/>
        <w:rPr>
          <w:rFonts w:ascii="Abadi" w:hAnsi="Abadi"/>
          <w:sz w:val="21"/>
          <w:szCs w:val="21"/>
        </w:rPr>
      </w:pPr>
    </w:p>
    <w:p w14:paraId="19C30F34" w14:textId="366D4696" w:rsidR="00F23EDB" w:rsidRDefault="00F23EDB" w:rsidP="00F23EDB">
      <w:pPr>
        <w:jc w:val="both"/>
        <w:rPr>
          <w:rFonts w:ascii="Abadi" w:hAnsi="Abadi"/>
          <w:sz w:val="21"/>
          <w:szCs w:val="21"/>
        </w:rPr>
      </w:pPr>
      <w:r>
        <w:rPr>
          <w:rFonts w:ascii="Abadi" w:hAnsi="Abadi"/>
          <w:sz w:val="21"/>
          <w:szCs w:val="21"/>
        </w:rPr>
        <w:t>- Y</w:t>
      </w:r>
      <w:r w:rsidRPr="00AA7107">
        <w:rPr>
          <w:rFonts w:ascii="Abadi" w:hAnsi="Abadi"/>
          <w:sz w:val="21"/>
          <w:szCs w:val="21"/>
        </w:rPr>
        <w:t xml:space="preserve"> como se ha dicho aquí pluriofensivo la desaparición de personas surgió la década de 1960 en Latinoamérica por los regímenes militares que recorrieron sus Plan Cóndor y la intervención de buena parte de los Estados Unidos en México, Centroamérica y Sudamérica, Pinochet, Pídela, Stroesner, los dictadores de América Latina, en la historia de nuestro país hay varios ejemplos de desapariciones, el 2 de octubre del 68, el 0  de junio del 71, el llamado el halconazo, ¿no? la gente de mi generación, somos herederos del 68 del halconazo, se siente muy feo que la policía montada que corretee con un garrote en a mano para tratar de golpearte, entonces jóvenes, podíamos correr y no nos alcanzaban los garrotazos de  la policía y tuvimos la suerte, de n ser desaparecidas y desaparecidos, las 500 personas de la izquierda partidaria la década de los 90 el caso de Ayotzinapa, no </w:t>
      </w:r>
      <w:r w:rsidR="00157F3F" w:rsidRPr="00AA7107">
        <w:rPr>
          <w:rFonts w:ascii="Abadi" w:hAnsi="Abadi"/>
          <w:sz w:val="21"/>
          <w:szCs w:val="21"/>
        </w:rPr>
        <w:t>ha</w:t>
      </w:r>
      <w:r w:rsidRPr="00AA7107">
        <w:rPr>
          <w:rFonts w:ascii="Abadi" w:hAnsi="Abadi"/>
          <w:sz w:val="21"/>
          <w:szCs w:val="21"/>
        </w:rPr>
        <w:t xml:space="preserve">  sido sencillo el terreno ganado del andamiaje legal, sobre personas desaparecidas. </w:t>
      </w:r>
    </w:p>
    <w:p w14:paraId="63C28CC6" w14:textId="77777777" w:rsidR="00157F3F" w:rsidRPr="00AA7107" w:rsidRDefault="00157F3F" w:rsidP="00F23EDB">
      <w:pPr>
        <w:jc w:val="both"/>
        <w:rPr>
          <w:rFonts w:ascii="Abadi" w:hAnsi="Abadi"/>
          <w:sz w:val="21"/>
          <w:szCs w:val="21"/>
        </w:rPr>
      </w:pPr>
    </w:p>
    <w:p w14:paraId="6B2AEBAB" w14:textId="1939C4F5" w:rsidR="00F23EDB" w:rsidRDefault="00F23EDB" w:rsidP="00F23EDB">
      <w:pPr>
        <w:jc w:val="both"/>
        <w:rPr>
          <w:rFonts w:ascii="Abadi" w:hAnsi="Abadi"/>
          <w:sz w:val="21"/>
          <w:szCs w:val="21"/>
        </w:rPr>
      </w:pPr>
      <w:r w:rsidRPr="00AA7107">
        <w:rPr>
          <w:rFonts w:ascii="Abadi" w:hAnsi="Abadi"/>
          <w:sz w:val="21"/>
          <w:szCs w:val="21"/>
        </w:rPr>
        <w:t xml:space="preserve">- Pese a que muchas autoridades se opusieron generando resistencias para reconocer el problema y consecuentemente para tomar decisiones para atenderlo hoy nuestro país cuenta con legislación y conjunto de instituciones en materia de desaparición de personas lo mismo el estado guanajuato, de esto fundamentalmente se debe a la lucha de las familias así se impulsaron medidas </w:t>
      </w:r>
      <w:r w:rsidRPr="00AA7107">
        <w:rPr>
          <w:rFonts w:ascii="Abadi" w:hAnsi="Abadi"/>
          <w:sz w:val="21"/>
          <w:szCs w:val="21"/>
        </w:rPr>
        <w:t xml:space="preserve">legislativas como la ley general sobre desapariciones forzadas de personas, desapariciones cometidas por particulares y del sistema nacional de búsqueda de personas la ley general de víctimas así como la creación del registro nacional de personas desaparecidas y no localizadas. </w:t>
      </w:r>
    </w:p>
    <w:p w14:paraId="5845A406" w14:textId="77777777" w:rsidR="00157F3F" w:rsidRPr="00AA7107" w:rsidRDefault="00157F3F" w:rsidP="00F23EDB">
      <w:pPr>
        <w:jc w:val="both"/>
        <w:rPr>
          <w:rFonts w:ascii="Abadi" w:hAnsi="Abadi"/>
          <w:sz w:val="21"/>
          <w:szCs w:val="21"/>
        </w:rPr>
      </w:pPr>
    </w:p>
    <w:p w14:paraId="689FFEA6" w14:textId="0C620521" w:rsidR="00F23EDB" w:rsidRDefault="00F23EDB" w:rsidP="00F23EDB">
      <w:pPr>
        <w:jc w:val="both"/>
        <w:rPr>
          <w:rFonts w:ascii="Abadi" w:hAnsi="Abadi"/>
          <w:sz w:val="21"/>
          <w:szCs w:val="21"/>
        </w:rPr>
      </w:pPr>
      <w:r w:rsidRPr="00AA7107">
        <w:rPr>
          <w:rFonts w:ascii="Abadi" w:hAnsi="Abadi"/>
          <w:sz w:val="21"/>
          <w:szCs w:val="21"/>
        </w:rPr>
        <w:t>- En ese sentido  el comité contra la desaparición forzada han reconocido la reactivación del sistema nacional de búsqueda de personas la creación de comisiones locales de búsqueda y de las fiscalías especializadas en la investigación de los delitos de desaparición forzada y tantos otros instituciones y ordenamientos en donde se reconocen cierto avance, del ámbito internacional existen varios instrumentos firmados por el estado mexicano en la materia entre otros la convención internacional para la protección de todas las personas contra las desapariciones forzadas.</w:t>
      </w:r>
    </w:p>
    <w:p w14:paraId="276B8B72" w14:textId="77777777" w:rsidR="00157F3F" w:rsidRPr="00AA7107" w:rsidRDefault="00157F3F" w:rsidP="00F23EDB">
      <w:pPr>
        <w:jc w:val="both"/>
        <w:rPr>
          <w:rFonts w:ascii="Abadi" w:hAnsi="Abadi"/>
          <w:sz w:val="21"/>
          <w:szCs w:val="21"/>
        </w:rPr>
      </w:pPr>
    </w:p>
    <w:p w14:paraId="5CF90623" w14:textId="63D160B0" w:rsidR="00F23EDB" w:rsidRDefault="00F23EDB" w:rsidP="00F23EDB">
      <w:pPr>
        <w:jc w:val="both"/>
        <w:rPr>
          <w:rFonts w:ascii="Abadi" w:hAnsi="Abadi"/>
          <w:sz w:val="21"/>
          <w:szCs w:val="21"/>
        </w:rPr>
      </w:pPr>
      <w:r w:rsidRPr="00AA7107">
        <w:rPr>
          <w:rFonts w:ascii="Abadi" w:hAnsi="Abadi"/>
          <w:sz w:val="21"/>
          <w:szCs w:val="21"/>
        </w:rPr>
        <w:t xml:space="preserve">- La convención interamericana sobre desaparición forzada con los principios rectores para la búsqueda de personas desaparecidas del comité contra desapariciones forzada. </w:t>
      </w:r>
    </w:p>
    <w:p w14:paraId="72773CB1" w14:textId="77777777" w:rsidR="00157F3F" w:rsidRPr="00AA7107" w:rsidRDefault="00157F3F" w:rsidP="00F23EDB">
      <w:pPr>
        <w:jc w:val="both"/>
        <w:rPr>
          <w:rFonts w:ascii="Abadi" w:hAnsi="Abadi"/>
          <w:sz w:val="21"/>
          <w:szCs w:val="21"/>
        </w:rPr>
      </w:pPr>
    </w:p>
    <w:p w14:paraId="586D52C4" w14:textId="63603CB2" w:rsidR="00F23EDB" w:rsidRDefault="00F23EDB" w:rsidP="00F23EDB">
      <w:pPr>
        <w:jc w:val="both"/>
        <w:rPr>
          <w:rFonts w:ascii="Abadi" w:hAnsi="Abadi"/>
          <w:sz w:val="21"/>
          <w:szCs w:val="21"/>
        </w:rPr>
      </w:pPr>
      <w:r w:rsidRPr="00AA7107">
        <w:rPr>
          <w:rFonts w:ascii="Abadi" w:hAnsi="Abadi"/>
          <w:sz w:val="21"/>
          <w:szCs w:val="21"/>
        </w:rPr>
        <w:t xml:space="preserve">- Lo que acabo de decir, para las personas que lo están escuchando jóvenes y personas que nos acompañan es que hay leyes internacionales que nos obligan a hacer determinadas cosas al estado mexicano, antes era la Constitución nada más, pero a partir de las reformas consideradas y de los pactos que ha suscrito México, hablados por el Senado, también hay leyes internacionales que nos obligan a hacer determinadas cosas en México, no solamente la Constitución, ¿no? </w:t>
      </w:r>
    </w:p>
    <w:p w14:paraId="7E05762A" w14:textId="77777777" w:rsidR="00157F3F" w:rsidRPr="00AA7107" w:rsidRDefault="00157F3F" w:rsidP="00F23EDB">
      <w:pPr>
        <w:jc w:val="both"/>
        <w:rPr>
          <w:rFonts w:ascii="Abadi" w:hAnsi="Abadi"/>
          <w:sz w:val="21"/>
          <w:szCs w:val="21"/>
        </w:rPr>
      </w:pPr>
    </w:p>
    <w:p w14:paraId="750D122D" w14:textId="329332FA" w:rsidR="00F23EDB" w:rsidRDefault="00F23EDB" w:rsidP="00F23EDB">
      <w:pPr>
        <w:jc w:val="both"/>
        <w:rPr>
          <w:rFonts w:ascii="Abadi" w:hAnsi="Abadi"/>
          <w:sz w:val="21"/>
          <w:szCs w:val="21"/>
        </w:rPr>
      </w:pPr>
      <w:r w:rsidRPr="00AA7107">
        <w:rPr>
          <w:rFonts w:ascii="Abadi" w:hAnsi="Abadi"/>
          <w:sz w:val="21"/>
          <w:szCs w:val="21"/>
        </w:rPr>
        <w:t xml:space="preserve">- En cuanto a la jurisprudencia contenciosa la Corte Americana, cito dos casos que son elementales, fundamentales, en este problema el caso Velásquez Rodríguez en Honduras y el caso que nos toca en el caso de Rosendo  Radilla Pacheco, que abrió un par de aguas en las búsquedas de desaparición forzada, como dice Suprema Corte la misión principal de las comisiones de búsqueda y del sistema nacional de búsqueda es dar sustancia y de un mayor mandato convencional en materia de desaparición de personas impulsar y coordinar todos los esfuerzos institucionales para hallar con vida a la persona desaparecida, lo mismo señala el comité  para </w:t>
      </w:r>
      <w:r w:rsidRPr="00AA7107">
        <w:rPr>
          <w:rFonts w:ascii="Abadi" w:hAnsi="Abadi"/>
          <w:sz w:val="21"/>
          <w:szCs w:val="21"/>
        </w:rPr>
        <w:lastRenderedPageBreak/>
        <w:t xml:space="preserve">la desaparición forzada, de las Naciones Unidas, esto que quiere decir bueno, pues, que los gobiernos están obligados a buscar a las personas con vida. </w:t>
      </w:r>
    </w:p>
    <w:p w14:paraId="54177543" w14:textId="77777777" w:rsidR="00157F3F" w:rsidRPr="00AA7107" w:rsidRDefault="00157F3F" w:rsidP="00F23EDB">
      <w:pPr>
        <w:jc w:val="both"/>
        <w:rPr>
          <w:rFonts w:ascii="Abadi" w:hAnsi="Abadi"/>
          <w:sz w:val="21"/>
          <w:szCs w:val="21"/>
        </w:rPr>
      </w:pPr>
    </w:p>
    <w:p w14:paraId="117F348C" w14:textId="22FA8061" w:rsidR="00F23EDB" w:rsidRDefault="00F23EDB" w:rsidP="00F23EDB">
      <w:pPr>
        <w:jc w:val="both"/>
        <w:rPr>
          <w:rFonts w:ascii="Abadi" w:hAnsi="Abadi"/>
          <w:sz w:val="21"/>
          <w:szCs w:val="21"/>
        </w:rPr>
      </w:pPr>
      <w:r w:rsidRPr="00AA7107">
        <w:rPr>
          <w:rFonts w:ascii="Abadi" w:hAnsi="Abadi"/>
          <w:sz w:val="21"/>
          <w:szCs w:val="21"/>
        </w:rPr>
        <w:t xml:space="preserve">- Desde esta perspectiva de la fiel iniciante es pertinente incorporar el derecho a ser buscado en el marco jurídico local de las entidades guanajuato no es la excepción, se está hablando actualmente de 2740 personas desaparecidas, pero nuevos cálculos por los académicos hablan de casi 4000 personas desaparecidas. </w:t>
      </w:r>
    </w:p>
    <w:p w14:paraId="7F1BD86F" w14:textId="77777777" w:rsidR="00157F3F" w:rsidRPr="00AA7107" w:rsidRDefault="00157F3F" w:rsidP="00F23EDB">
      <w:pPr>
        <w:jc w:val="both"/>
        <w:rPr>
          <w:rFonts w:ascii="Abadi" w:hAnsi="Abadi"/>
          <w:sz w:val="21"/>
          <w:szCs w:val="21"/>
        </w:rPr>
      </w:pPr>
    </w:p>
    <w:p w14:paraId="580F9D6C" w14:textId="6A4B1A4D" w:rsidR="00F23EDB" w:rsidRDefault="00F23EDB" w:rsidP="00F23EDB">
      <w:pPr>
        <w:jc w:val="both"/>
        <w:rPr>
          <w:rFonts w:ascii="Abadi" w:hAnsi="Abadi"/>
          <w:sz w:val="21"/>
          <w:szCs w:val="21"/>
        </w:rPr>
      </w:pPr>
      <w:r w:rsidRPr="00AA7107">
        <w:rPr>
          <w:rFonts w:ascii="Abadi" w:hAnsi="Abadi"/>
          <w:sz w:val="21"/>
          <w:szCs w:val="21"/>
        </w:rPr>
        <w:t>- Al mismo tiempo se ha documentado como este fenómeno se traduce de forma directa a lesión de derecho de diferentes grupos, sociales en la entidad, tal es el caso grave, gravísimo de la desaparición de niños y niñas, que, sí de por si la desaparición de personas es un grande la desaparición de niños y niñas que si de por si el drama mucho más que enfrente y más lamentable.</w:t>
      </w:r>
    </w:p>
    <w:p w14:paraId="5E3CDF1A" w14:textId="77777777" w:rsidR="00157F3F" w:rsidRPr="00AA7107" w:rsidRDefault="00157F3F" w:rsidP="00F23EDB">
      <w:pPr>
        <w:jc w:val="both"/>
        <w:rPr>
          <w:rFonts w:ascii="Abadi" w:hAnsi="Abadi"/>
          <w:sz w:val="21"/>
          <w:szCs w:val="21"/>
        </w:rPr>
      </w:pPr>
    </w:p>
    <w:p w14:paraId="6A172BC6" w14:textId="6047CE32" w:rsidR="00F23EDB" w:rsidRDefault="00F23EDB" w:rsidP="00F23EDB">
      <w:pPr>
        <w:jc w:val="both"/>
        <w:rPr>
          <w:rFonts w:ascii="Abadi" w:hAnsi="Abadi"/>
          <w:sz w:val="21"/>
          <w:szCs w:val="21"/>
        </w:rPr>
      </w:pPr>
      <w:r w:rsidRPr="00AA7107">
        <w:rPr>
          <w:rFonts w:ascii="Abadi" w:hAnsi="Abadi"/>
          <w:sz w:val="21"/>
          <w:szCs w:val="21"/>
        </w:rPr>
        <w:t>- Pese a la gravedad de la situación y guanajuato hemos llegado tarde en un triple sentido primero, para reconocer el problema segundo, para legislar en la materia y tercero, para institucionalizar la busca ahí la llevan ahí la llevo creo que se ha avanzado pero esta iniciativa pretende contribuir a un mayor avance de una velocidad mayor.</w:t>
      </w:r>
    </w:p>
    <w:p w14:paraId="3DBE47A1" w14:textId="77777777" w:rsidR="00157F3F" w:rsidRPr="00AA7107" w:rsidRDefault="00157F3F" w:rsidP="00F23EDB">
      <w:pPr>
        <w:jc w:val="both"/>
        <w:rPr>
          <w:rFonts w:ascii="Abadi" w:hAnsi="Abadi"/>
          <w:sz w:val="21"/>
          <w:szCs w:val="21"/>
        </w:rPr>
      </w:pPr>
    </w:p>
    <w:p w14:paraId="15F72838" w14:textId="47CEC1CE" w:rsidR="00F23EDB" w:rsidRDefault="00F23EDB" w:rsidP="00F23EDB">
      <w:pPr>
        <w:jc w:val="both"/>
        <w:rPr>
          <w:rFonts w:ascii="Abadi" w:hAnsi="Abadi"/>
          <w:sz w:val="21"/>
          <w:szCs w:val="21"/>
        </w:rPr>
      </w:pPr>
      <w:r w:rsidRPr="00AA7107">
        <w:rPr>
          <w:rFonts w:ascii="Abadi" w:hAnsi="Abadi"/>
          <w:sz w:val="21"/>
          <w:szCs w:val="21"/>
        </w:rPr>
        <w:t>- Por ello con la finalidad de contribuir al avance legislativo en la materia de nuestra entidad el Grupo Parlamentario de Morena suscribe la pérdida de iniciativa que tiene por objeto reconocer en nuestra constitución el derecho humano a ser buscado en el Grupo Parlamentario de Morena consideramos necesario que en ejercicio de la competencia que tiene las legislaturas locales para desarrollar y ampliar los derechos humanos se reconozca estos derechos humanos en nuestra constitución local con la finalidad de considerar en el rango más alto de nuestra legislación la obligación de todas las autoridades con competencia en la materia de emprender las acciones inmediatas para la determinación de la búsqueda de personas víctimas de desaparición.</w:t>
      </w:r>
    </w:p>
    <w:p w14:paraId="61EDDF44" w14:textId="77777777" w:rsidR="00157F3F" w:rsidRPr="00AA7107" w:rsidRDefault="00157F3F" w:rsidP="00F23EDB">
      <w:pPr>
        <w:jc w:val="both"/>
        <w:rPr>
          <w:rFonts w:ascii="Abadi" w:hAnsi="Abadi"/>
          <w:sz w:val="21"/>
          <w:szCs w:val="21"/>
        </w:rPr>
      </w:pPr>
    </w:p>
    <w:p w14:paraId="45CEA54A" w14:textId="7D9B0EF6" w:rsidR="00F23EDB" w:rsidRDefault="00F23EDB" w:rsidP="00F23EDB">
      <w:pPr>
        <w:jc w:val="both"/>
        <w:rPr>
          <w:rFonts w:ascii="Abadi" w:hAnsi="Abadi"/>
          <w:sz w:val="21"/>
          <w:szCs w:val="21"/>
        </w:rPr>
      </w:pPr>
      <w:r w:rsidRPr="00AA7107">
        <w:rPr>
          <w:rFonts w:ascii="Abadi" w:hAnsi="Abadi"/>
          <w:sz w:val="21"/>
          <w:szCs w:val="21"/>
        </w:rPr>
        <w:t xml:space="preserve">- Como se dijo anteriormente la búsqueda integra el núcleo esencial del derecho a no padecer desaparición y da continuidad en sustancias los deberes de prevenir investigar </w:t>
      </w:r>
      <w:r w:rsidRPr="00AA7107">
        <w:rPr>
          <w:rFonts w:ascii="Abadi" w:hAnsi="Abadi"/>
          <w:sz w:val="21"/>
          <w:szCs w:val="21"/>
        </w:rPr>
        <w:t>y reparar las violaciones de derechos humanos y sus correlativos derechos a la verdad y a la justicia y a la reparación.</w:t>
      </w:r>
    </w:p>
    <w:p w14:paraId="4099FCB6" w14:textId="77777777" w:rsidR="00157F3F" w:rsidRPr="00AA7107" w:rsidRDefault="00157F3F" w:rsidP="00F23EDB">
      <w:pPr>
        <w:jc w:val="both"/>
        <w:rPr>
          <w:rFonts w:ascii="Abadi" w:hAnsi="Abadi"/>
          <w:sz w:val="21"/>
          <w:szCs w:val="21"/>
        </w:rPr>
      </w:pPr>
    </w:p>
    <w:p w14:paraId="23A7E386" w14:textId="6E80AA01" w:rsidR="00F23EDB" w:rsidRDefault="00F23EDB" w:rsidP="00F23EDB">
      <w:pPr>
        <w:jc w:val="both"/>
        <w:rPr>
          <w:rFonts w:ascii="Abadi" w:hAnsi="Abadi"/>
          <w:sz w:val="21"/>
          <w:szCs w:val="21"/>
        </w:rPr>
      </w:pPr>
      <w:r w:rsidRPr="00AA7107">
        <w:rPr>
          <w:rFonts w:ascii="Abadi" w:hAnsi="Abadi"/>
          <w:sz w:val="21"/>
          <w:szCs w:val="21"/>
        </w:rPr>
        <w:t>- Por eso es pertinente que se reconozca como derecho humano en nuestra norma suprema local al constituir un mandato absoluto dirigido a las autoridades a fin de que no se prolongue la afectación de la dignidad de la persona víctima de la desaparición.</w:t>
      </w:r>
    </w:p>
    <w:p w14:paraId="5906EB09" w14:textId="77777777" w:rsidR="00157F3F" w:rsidRPr="00AA7107" w:rsidRDefault="00157F3F" w:rsidP="00F23EDB">
      <w:pPr>
        <w:jc w:val="both"/>
        <w:rPr>
          <w:rFonts w:ascii="Abadi" w:hAnsi="Abadi"/>
          <w:sz w:val="21"/>
          <w:szCs w:val="21"/>
        </w:rPr>
      </w:pPr>
    </w:p>
    <w:p w14:paraId="7AD044C6" w14:textId="7973B014" w:rsidR="00F23EDB" w:rsidRDefault="00F23EDB" w:rsidP="00F23EDB">
      <w:pPr>
        <w:jc w:val="both"/>
        <w:rPr>
          <w:rFonts w:ascii="Abadi" w:hAnsi="Abadi"/>
          <w:sz w:val="21"/>
          <w:szCs w:val="21"/>
        </w:rPr>
      </w:pPr>
      <w:r w:rsidRPr="00AA7107">
        <w:rPr>
          <w:rFonts w:ascii="Abadi" w:hAnsi="Abadi"/>
          <w:sz w:val="21"/>
          <w:szCs w:val="21"/>
        </w:rPr>
        <w:t xml:space="preserve">- Voy cerrando, si consideramos que la libertad de la autonomía, la igualad la satisfacciones, de las necesidades básicas constituyen las prioridades, propiedades materiales de los derechos humanos entonces es claro que el derecho que las personas que las autoridades despliegan todas las acciones encaminadas a no prolongar la afectación que en la desaparición provoquen los derechos humanos de las personas  desaparecidas, su familia y seres queridos, tienen entonces el carácter de derecho humano. </w:t>
      </w:r>
    </w:p>
    <w:p w14:paraId="6636DA1D" w14:textId="77777777" w:rsidR="00157F3F" w:rsidRPr="00AA7107" w:rsidRDefault="00157F3F" w:rsidP="00F23EDB">
      <w:pPr>
        <w:jc w:val="both"/>
        <w:rPr>
          <w:rFonts w:ascii="Abadi" w:hAnsi="Abadi"/>
          <w:sz w:val="21"/>
          <w:szCs w:val="21"/>
        </w:rPr>
      </w:pPr>
    </w:p>
    <w:p w14:paraId="22EB4981" w14:textId="63EC06FE" w:rsidR="00F23EDB" w:rsidRDefault="00F23EDB" w:rsidP="00F23EDB">
      <w:pPr>
        <w:jc w:val="both"/>
        <w:rPr>
          <w:rFonts w:ascii="Abadi" w:hAnsi="Abadi"/>
          <w:sz w:val="21"/>
          <w:szCs w:val="21"/>
        </w:rPr>
      </w:pPr>
      <w:r w:rsidRPr="00AA7107">
        <w:rPr>
          <w:rFonts w:ascii="Abadi" w:hAnsi="Abadi"/>
          <w:sz w:val="21"/>
          <w:szCs w:val="21"/>
        </w:rPr>
        <w:t>- Pero la importancia de su incorporación a la Constitución Local no se limita únicamente al hecho de reconocerle su carácter de derecho fundamental este reconocimiento debe servir como pauta para el desarrollo de nuestro régimen jurídico local de un recurso rápido y efectivo para garantizar la determinación del paradero de la persona desaparecida tal como lo exige la declaración por la protección de todas las personas con desapariciones forzadas</w:t>
      </w:r>
      <w:r w:rsidR="00157F3F">
        <w:rPr>
          <w:rFonts w:ascii="Abadi" w:hAnsi="Abadi"/>
          <w:sz w:val="21"/>
          <w:szCs w:val="21"/>
        </w:rPr>
        <w:t>.</w:t>
      </w:r>
    </w:p>
    <w:p w14:paraId="70D532EF" w14:textId="77777777" w:rsidR="00157F3F" w:rsidRPr="00AA7107" w:rsidRDefault="00157F3F" w:rsidP="00F23EDB">
      <w:pPr>
        <w:jc w:val="both"/>
        <w:rPr>
          <w:rFonts w:ascii="Abadi" w:hAnsi="Abadi"/>
          <w:sz w:val="21"/>
          <w:szCs w:val="21"/>
        </w:rPr>
      </w:pPr>
    </w:p>
    <w:p w14:paraId="376FB128" w14:textId="3E0FF3E9" w:rsidR="00F23EDB" w:rsidRDefault="00F23EDB" w:rsidP="00F23EDB">
      <w:pPr>
        <w:jc w:val="both"/>
        <w:rPr>
          <w:rFonts w:ascii="Abadi" w:hAnsi="Abadi"/>
          <w:sz w:val="21"/>
          <w:szCs w:val="21"/>
        </w:rPr>
      </w:pPr>
      <w:r w:rsidRPr="00AA7107">
        <w:rPr>
          <w:rFonts w:ascii="Abadi" w:hAnsi="Abadi"/>
          <w:sz w:val="21"/>
          <w:szCs w:val="21"/>
        </w:rPr>
        <w:t xml:space="preserve">- De esta manera esta garantía serviría como medio de control local la obligación de las autoridades competentes en materia de desaparición fortaleciendo con ello la posibilidad de hacer elegible este derecho; es decir el estado y todas sus instituciones deben de garantizar, esta búsqueda. </w:t>
      </w:r>
    </w:p>
    <w:p w14:paraId="050CF981" w14:textId="77777777" w:rsidR="00157F3F" w:rsidRPr="00AA7107" w:rsidRDefault="00157F3F" w:rsidP="00F23EDB">
      <w:pPr>
        <w:jc w:val="both"/>
        <w:rPr>
          <w:rFonts w:ascii="Abadi" w:hAnsi="Abadi"/>
          <w:sz w:val="21"/>
          <w:szCs w:val="21"/>
        </w:rPr>
      </w:pPr>
    </w:p>
    <w:p w14:paraId="52EC1675" w14:textId="5DCC84C1" w:rsidR="00F23EDB" w:rsidRDefault="00F23EDB" w:rsidP="00F23EDB">
      <w:pPr>
        <w:jc w:val="both"/>
        <w:rPr>
          <w:rFonts w:ascii="Abadi" w:hAnsi="Abadi"/>
          <w:sz w:val="21"/>
          <w:szCs w:val="21"/>
        </w:rPr>
      </w:pPr>
      <w:r w:rsidRPr="00AA7107">
        <w:rPr>
          <w:rFonts w:ascii="Abadi" w:hAnsi="Abadi"/>
          <w:sz w:val="21"/>
          <w:szCs w:val="21"/>
        </w:rPr>
        <w:t>- Por lo anterior nos permitimos someter a consideración del Pleno de esta Asamblea el siguiente proyecto de decreto en donde se propone adicionar un cuarto párrafo al artículo séptimo de la constitución del estado libre y soberano de guanajuato recorriéndose los párrafos sus fuentes para quedar como sigue.</w:t>
      </w:r>
    </w:p>
    <w:p w14:paraId="0A0DD77A" w14:textId="77777777" w:rsidR="00157F3F" w:rsidRPr="00AA7107" w:rsidRDefault="00157F3F" w:rsidP="00F23EDB">
      <w:pPr>
        <w:jc w:val="both"/>
        <w:rPr>
          <w:rFonts w:ascii="Abadi" w:hAnsi="Abadi"/>
          <w:sz w:val="21"/>
          <w:szCs w:val="21"/>
        </w:rPr>
      </w:pPr>
    </w:p>
    <w:p w14:paraId="462678EB" w14:textId="5010245B" w:rsidR="00F23EDB" w:rsidRDefault="00F23EDB" w:rsidP="00F23EDB">
      <w:pPr>
        <w:jc w:val="both"/>
        <w:rPr>
          <w:rFonts w:ascii="Abadi" w:hAnsi="Abadi"/>
          <w:sz w:val="21"/>
          <w:szCs w:val="21"/>
        </w:rPr>
      </w:pPr>
      <w:r w:rsidRPr="00AA7107">
        <w:rPr>
          <w:rFonts w:ascii="Abadi" w:hAnsi="Abadi"/>
          <w:sz w:val="21"/>
          <w:szCs w:val="21"/>
        </w:rPr>
        <w:t xml:space="preserve">- Séptimo toda persona cuyo paradero o ubicación se desconozca tiene el derecho a ser buscada por las autoridades las y los familiares y otras personas directamente </w:t>
      </w:r>
      <w:r w:rsidRPr="00AA7107">
        <w:rPr>
          <w:rFonts w:ascii="Abadi" w:hAnsi="Abadi"/>
          <w:sz w:val="21"/>
          <w:szCs w:val="21"/>
        </w:rPr>
        <w:lastRenderedPageBreak/>
        <w:t>afectadas por la ausencia tienen derecho a que se busque  a la persona desaparecida o no localizada para tal efecto las autoridades competentes deben actuar en coordinación sin dilación de forma imparcial, dignificante, dirigente, exhaustiva, continua, sin estigmatizaciones, con un enfoque diferencial y permitiendo la participación sin reservas de las víctimas, esto le va a venir bien a las  familias que ahora están buscando de una manera también muy lamentable a las personas que ya no tiene en casa, imagínense nada más el dolor que tendría, cada una de nosotros, de nosotras al no tener a su hermana en casa a su papá, a su mamá o a su hermano, por ellos va esta iniciativa.</w:t>
      </w:r>
    </w:p>
    <w:p w14:paraId="164FAA60" w14:textId="77777777" w:rsidR="00157F3F" w:rsidRPr="00AA7107" w:rsidRDefault="00157F3F" w:rsidP="00F23EDB">
      <w:pPr>
        <w:jc w:val="both"/>
        <w:rPr>
          <w:rFonts w:ascii="Abadi" w:hAnsi="Abadi"/>
          <w:sz w:val="21"/>
          <w:szCs w:val="21"/>
        </w:rPr>
      </w:pPr>
    </w:p>
    <w:p w14:paraId="4CF9B739" w14:textId="0947ED42" w:rsidR="00F23EDB" w:rsidRDefault="00F23EDB" w:rsidP="00F23EDB">
      <w:pPr>
        <w:jc w:val="both"/>
        <w:rPr>
          <w:rFonts w:ascii="Abadi" w:hAnsi="Abadi"/>
          <w:sz w:val="21"/>
          <w:szCs w:val="21"/>
        </w:rPr>
      </w:pPr>
      <w:r w:rsidRPr="00AA7107">
        <w:rPr>
          <w:rFonts w:ascii="Abadi" w:hAnsi="Abadi"/>
          <w:sz w:val="21"/>
          <w:szCs w:val="21"/>
        </w:rPr>
        <w:t>- Muchas Gracias, Señor Presidente.</w:t>
      </w:r>
    </w:p>
    <w:p w14:paraId="2765C249" w14:textId="77777777" w:rsidR="00157F3F" w:rsidRPr="00AA7107" w:rsidRDefault="00157F3F" w:rsidP="00F23EDB">
      <w:pPr>
        <w:jc w:val="both"/>
        <w:rPr>
          <w:rFonts w:ascii="Abadi" w:hAnsi="Abadi"/>
          <w:sz w:val="21"/>
          <w:szCs w:val="21"/>
        </w:rPr>
      </w:pPr>
    </w:p>
    <w:p w14:paraId="22F6D61B" w14:textId="77777777" w:rsidR="00F23EDB" w:rsidRPr="00AA7107" w:rsidRDefault="00F23EDB" w:rsidP="00F23EDB">
      <w:pPr>
        <w:jc w:val="both"/>
        <w:rPr>
          <w:rFonts w:ascii="Abadi" w:hAnsi="Abadi"/>
          <w:b/>
          <w:bCs/>
          <w:sz w:val="21"/>
          <w:szCs w:val="21"/>
        </w:rPr>
      </w:pPr>
      <w:r w:rsidRPr="00AA7107">
        <w:rPr>
          <w:rFonts w:ascii="Abadi" w:hAnsi="Abadi"/>
          <w:b/>
          <w:bCs/>
          <w:sz w:val="21"/>
          <w:szCs w:val="21"/>
        </w:rPr>
        <w:t>(Aplausos)</w:t>
      </w:r>
    </w:p>
    <w:p w14:paraId="72809FD3" w14:textId="77777777" w:rsidR="00F23EDB" w:rsidRPr="00AA7107" w:rsidRDefault="00F23EDB" w:rsidP="00F23EDB">
      <w:pPr>
        <w:jc w:val="both"/>
        <w:rPr>
          <w:rFonts w:ascii="Abadi" w:hAnsi="Abadi"/>
          <w:sz w:val="21"/>
          <w:szCs w:val="21"/>
        </w:rPr>
      </w:pPr>
    </w:p>
    <w:p w14:paraId="4B804F92" w14:textId="668DEBAC" w:rsidR="00F23EDB" w:rsidRDefault="00F23EDB" w:rsidP="00F23EDB">
      <w:pPr>
        <w:jc w:val="both"/>
        <w:rPr>
          <w:rFonts w:ascii="Abadi" w:hAnsi="Abadi"/>
          <w:sz w:val="21"/>
          <w:szCs w:val="21"/>
        </w:rPr>
      </w:pPr>
      <w:r w:rsidRPr="00AA7107">
        <w:rPr>
          <w:rFonts w:ascii="Abadi" w:hAnsi="Abadi"/>
          <w:b/>
          <w:bCs/>
          <w:sz w:val="21"/>
          <w:szCs w:val="21"/>
        </w:rPr>
        <w:tab/>
        <w:t>- El Presidente.-</w:t>
      </w:r>
      <w:r w:rsidRPr="00AA7107">
        <w:rPr>
          <w:rFonts w:ascii="Abadi" w:hAnsi="Abadi"/>
          <w:sz w:val="21"/>
          <w:szCs w:val="21"/>
        </w:rPr>
        <w:t xml:space="preserve"> ¡Gracias¡ diputado David Martínez Mendizábal.</w:t>
      </w:r>
    </w:p>
    <w:p w14:paraId="6D970EC2" w14:textId="571E0A2F" w:rsidR="00581F0D" w:rsidRDefault="00581F0D" w:rsidP="00F23EDB">
      <w:pPr>
        <w:jc w:val="both"/>
        <w:rPr>
          <w:rFonts w:ascii="Abadi" w:hAnsi="Abadi"/>
          <w:sz w:val="21"/>
          <w:szCs w:val="21"/>
        </w:rPr>
      </w:pPr>
    </w:p>
    <w:p w14:paraId="155B1FA6" w14:textId="54A3E17C" w:rsidR="00581F0D" w:rsidRPr="00AA7107" w:rsidRDefault="00581F0D" w:rsidP="00581F0D">
      <w:pPr>
        <w:jc w:val="both"/>
        <w:rPr>
          <w:rFonts w:ascii="Abadi" w:hAnsi="Abadi"/>
          <w:sz w:val="21"/>
          <w:szCs w:val="21"/>
        </w:rPr>
      </w:pPr>
      <w:r w:rsidRPr="00AA7107">
        <w:rPr>
          <w:rFonts w:ascii="Abadi" w:hAnsi="Abadi"/>
          <w:b/>
          <w:bCs/>
          <w:sz w:val="21"/>
          <w:szCs w:val="21"/>
        </w:rPr>
        <w:tab/>
      </w:r>
    </w:p>
    <w:p w14:paraId="63D9E70A" w14:textId="2E0E3734" w:rsidR="00581F0D" w:rsidRDefault="00581F0D" w:rsidP="00581F0D">
      <w:pPr>
        <w:ind w:firstLine="708"/>
        <w:jc w:val="both"/>
        <w:rPr>
          <w:rFonts w:ascii="Abadi" w:hAnsi="Abadi"/>
          <w:sz w:val="21"/>
          <w:szCs w:val="21"/>
        </w:rPr>
      </w:pPr>
      <w:r>
        <w:rPr>
          <w:rFonts w:ascii="Abadi" w:hAnsi="Abadi"/>
          <w:sz w:val="21"/>
          <w:szCs w:val="21"/>
        </w:rPr>
        <w:t xml:space="preserve">- </w:t>
      </w:r>
      <w:r w:rsidRPr="00AA7107">
        <w:rPr>
          <w:rFonts w:ascii="Abadi" w:hAnsi="Abadi"/>
          <w:sz w:val="21"/>
          <w:szCs w:val="21"/>
        </w:rPr>
        <w:t xml:space="preserve">Damos cuenta de la incorporación a esta </w:t>
      </w:r>
      <w:r>
        <w:rPr>
          <w:rFonts w:ascii="Abadi" w:hAnsi="Abadi"/>
          <w:sz w:val="21"/>
          <w:szCs w:val="21"/>
        </w:rPr>
        <w:t>S</w:t>
      </w:r>
      <w:r w:rsidRPr="00AA7107">
        <w:rPr>
          <w:rFonts w:ascii="Abadi" w:hAnsi="Abadi"/>
          <w:sz w:val="21"/>
          <w:szCs w:val="21"/>
        </w:rPr>
        <w:t>esión de la diputada Martha Edith Moreno Valencia</w:t>
      </w:r>
      <w:r>
        <w:rPr>
          <w:rFonts w:ascii="Abadi" w:hAnsi="Abadi"/>
          <w:sz w:val="21"/>
          <w:szCs w:val="21"/>
        </w:rPr>
        <w:t xml:space="preserve">. </w:t>
      </w:r>
    </w:p>
    <w:p w14:paraId="7268819B" w14:textId="77777777" w:rsidR="00581F0D" w:rsidRDefault="00581F0D" w:rsidP="00581F0D">
      <w:pPr>
        <w:jc w:val="both"/>
        <w:rPr>
          <w:rFonts w:ascii="Abadi" w:hAnsi="Abadi"/>
          <w:sz w:val="21"/>
          <w:szCs w:val="21"/>
        </w:rPr>
      </w:pPr>
    </w:p>
    <w:p w14:paraId="39814C44" w14:textId="2E410E99" w:rsidR="00581F0D" w:rsidRDefault="00581F0D" w:rsidP="00581F0D">
      <w:pPr>
        <w:ind w:firstLine="708"/>
        <w:jc w:val="both"/>
        <w:rPr>
          <w:rFonts w:ascii="Abadi" w:hAnsi="Abadi"/>
          <w:sz w:val="21"/>
          <w:szCs w:val="21"/>
        </w:rPr>
      </w:pPr>
      <w:r>
        <w:rPr>
          <w:rFonts w:ascii="Abadi" w:hAnsi="Abadi"/>
          <w:sz w:val="21"/>
          <w:szCs w:val="21"/>
        </w:rPr>
        <w:t>- A</w:t>
      </w:r>
      <w:r w:rsidRPr="00AA7107">
        <w:rPr>
          <w:rFonts w:ascii="Abadi" w:hAnsi="Abadi"/>
          <w:sz w:val="21"/>
          <w:szCs w:val="21"/>
        </w:rPr>
        <w:t xml:space="preserve">ntes de seguir con esta orden del día permítanme darle la bienvenida a quienes nos acompañan por parte de la </w:t>
      </w:r>
      <w:r>
        <w:rPr>
          <w:rFonts w:ascii="Abadi" w:hAnsi="Abadi"/>
          <w:sz w:val="21"/>
          <w:szCs w:val="21"/>
        </w:rPr>
        <w:t>U</w:t>
      </w:r>
      <w:r w:rsidRPr="00AA7107">
        <w:rPr>
          <w:rFonts w:ascii="Abadi" w:hAnsi="Abadi"/>
          <w:sz w:val="21"/>
          <w:szCs w:val="21"/>
        </w:rPr>
        <w:t>niversidad de León</w:t>
      </w:r>
      <w:r>
        <w:rPr>
          <w:rFonts w:ascii="Abadi" w:hAnsi="Abadi"/>
          <w:sz w:val="21"/>
          <w:szCs w:val="21"/>
        </w:rPr>
        <w:t>,</w:t>
      </w:r>
      <w:r w:rsidRPr="00AA7107">
        <w:rPr>
          <w:rFonts w:ascii="Abadi" w:hAnsi="Abadi"/>
          <w:sz w:val="21"/>
          <w:szCs w:val="21"/>
        </w:rPr>
        <w:t xml:space="preserve"> invitados de este </w:t>
      </w:r>
      <w:r>
        <w:rPr>
          <w:rFonts w:ascii="Abadi" w:hAnsi="Abadi"/>
          <w:sz w:val="21"/>
          <w:szCs w:val="21"/>
        </w:rPr>
        <w:t>C</w:t>
      </w:r>
      <w:r w:rsidRPr="00AA7107">
        <w:rPr>
          <w:rFonts w:ascii="Abadi" w:hAnsi="Abadi"/>
          <w:sz w:val="21"/>
          <w:szCs w:val="21"/>
        </w:rPr>
        <w:t>ongreso</w:t>
      </w:r>
      <w:r>
        <w:rPr>
          <w:rFonts w:ascii="Abadi" w:hAnsi="Abadi"/>
          <w:sz w:val="21"/>
          <w:szCs w:val="21"/>
        </w:rPr>
        <w:t>,</w:t>
      </w:r>
      <w:r w:rsidRPr="00AA7107">
        <w:rPr>
          <w:rFonts w:ascii="Abadi" w:hAnsi="Abadi"/>
          <w:sz w:val="21"/>
          <w:szCs w:val="21"/>
        </w:rPr>
        <w:t xml:space="preserve"> </w:t>
      </w:r>
      <w:r>
        <w:rPr>
          <w:rFonts w:ascii="Abadi" w:hAnsi="Abadi"/>
          <w:sz w:val="21"/>
          <w:szCs w:val="21"/>
        </w:rPr>
        <w:t>«U</w:t>
      </w:r>
      <w:r w:rsidRPr="00AA7107">
        <w:rPr>
          <w:rFonts w:ascii="Abadi" w:hAnsi="Abadi"/>
          <w:sz w:val="21"/>
          <w:szCs w:val="21"/>
        </w:rPr>
        <w:t>niversidad de León</w:t>
      </w:r>
      <w:r>
        <w:rPr>
          <w:rFonts w:ascii="Abadi" w:hAnsi="Abadi"/>
          <w:sz w:val="21"/>
          <w:szCs w:val="21"/>
        </w:rPr>
        <w:t>»</w:t>
      </w:r>
      <w:r w:rsidRPr="00AA7107">
        <w:rPr>
          <w:rFonts w:ascii="Abadi" w:hAnsi="Abadi"/>
          <w:sz w:val="21"/>
          <w:szCs w:val="21"/>
        </w:rPr>
        <w:t xml:space="preserve"> </w:t>
      </w:r>
      <w:r>
        <w:rPr>
          <w:rFonts w:ascii="Abadi" w:hAnsi="Abadi"/>
          <w:sz w:val="21"/>
          <w:szCs w:val="21"/>
        </w:rPr>
        <w:t>C</w:t>
      </w:r>
      <w:r w:rsidRPr="00AA7107">
        <w:rPr>
          <w:rFonts w:ascii="Abadi" w:hAnsi="Abadi"/>
          <w:sz w:val="21"/>
          <w:szCs w:val="21"/>
        </w:rPr>
        <w:t xml:space="preserve">ampus Irapuato maestro y alumnos invitados de este Congreso Local agradecemos que se encuentren presentes en este su </w:t>
      </w:r>
      <w:r>
        <w:rPr>
          <w:rFonts w:ascii="Abadi" w:hAnsi="Abadi"/>
          <w:sz w:val="21"/>
          <w:szCs w:val="21"/>
        </w:rPr>
        <w:t xml:space="preserve">Congreso sean </w:t>
      </w:r>
      <w:r w:rsidRPr="00AA7107">
        <w:rPr>
          <w:rFonts w:ascii="Abadi" w:hAnsi="Abadi"/>
          <w:sz w:val="21"/>
          <w:szCs w:val="21"/>
        </w:rPr>
        <w:t>bienvenid</w:t>
      </w:r>
      <w:r>
        <w:rPr>
          <w:rFonts w:ascii="Abadi" w:hAnsi="Abadi"/>
          <w:sz w:val="21"/>
          <w:szCs w:val="21"/>
        </w:rPr>
        <w:t>as y bienvenidos.</w:t>
      </w:r>
    </w:p>
    <w:p w14:paraId="10D9BDA8" w14:textId="77777777" w:rsidR="00581F0D" w:rsidRDefault="00581F0D" w:rsidP="00581F0D">
      <w:pPr>
        <w:jc w:val="both"/>
        <w:rPr>
          <w:rFonts w:ascii="Abadi" w:hAnsi="Abadi"/>
          <w:sz w:val="21"/>
          <w:szCs w:val="21"/>
        </w:rPr>
      </w:pPr>
    </w:p>
    <w:p w14:paraId="30579A2E" w14:textId="790A18BC" w:rsidR="00581F0D" w:rsidRDefault="00581F0D" w:rsidP="00581F0D">
      <w:pPr>
        <w:ind w:firstLine="708"/>
        <w:jc w:val="both"/>
        <w:rPr>
          <w:rFonts w:ascii="Abadi" w:hAnsi="Abadi"/>
          <w:sz w:val="21"/>
          <w:szCs w:val="21"/>
        </w:rPr>
      </w:pPr>
      <w:r>
        <w:rPr>
          <w:rFonts w:ascii="Abadi" w:hAnsi="Abadi"/>
          <w:sz w:val="21"/>
          <w:szCs w:val="21"/>
        </w:rPr>
        <w:t>- Así también damos la bienvenida a mujeres</w:t>
      </w:r>
      <w:r w:rsidRPr="00AA7107">
        <w:rPr>
          <w:rFonts w:ascii="Abadi" w:hAnsi="Abadi"/>
          <w:sz w:val="21"/>
          <w:szCs w:val="21"/>
        </w:rPr>
        <w:t xml:space="preserve"> de la comunidad de </w:t>
      </w:r>
      <w:r>
        <w:rPr>
          <w:rFonts w:ascii="Abadi" w:hAnsi="Abadi"/>
          <w:sz w:val="21"/>
          <w:szCs w:val="21"/>
        </w:rPr>
        <w:t>«O</w:t>
      </w:r>
      <w:r w:rsidRPr="00AA7107">
        <w:rPr>
          <w:rFonts w:ascii="Abadi" w:hAnsi="Abadi"/>
          <w:sz w:val="21"/>
          <w:szCs w:val="21"/>
        </w:rPr>
        <w:t xml:space="preserve">jo de </w:t>
      </w:r>
      <w:r>
        <w:rPr>
          <w:rFonts w:ascii="Abadi" w:hAnsi="Abadi"/>
          <w:sz w:val="21"/>
          <w:szCs w:val="21"/>
        </w:rPr>
        <w:t>A</w:t>
      </w:r>
      <w:r w:rsidRPr="00AA7107">
        <w:rPr>
          <w:rFonts w:ascii="Abadi" w:hAnsi="Abadi"/>
          <w:sz w:val="21"/>
          <w:szCs w:val="21"/>
        </w:rPr>
        <w:t>gua</w:t>
      </w:r>
      <w:r>
        <w:rPr>
          <w:rFonts w:ascii="Abadi" w:hAnsi="Abadi"/>
          <w:sz w:val="21"/>
          <w:szCs w:val="21"/>
        </w:rPr>
        <w:t>»</w:t>
      </w:r>
      <w:r w:rsidRPr="00AA7107">
        <w:rPr>
          <w:rFonts w:ascii="Abadi" w:hAnsi="Abadi"/>
          <w:sz w:val="21"/>
          <w:szCs w:val="21"/>
        </w:rPr>
        <w:t xml:space="preserve"> en León invitadas de nuestra compa</w:t>
      </w:r>
      <w:r>
        <w:rPr>
          <w:rFonts w:ascii="Abadi" w:hAnsi="Abadi"/>
          <w:sz w:val="21"/>
          <w:szCs w:val="21"/>
        </w:rPr>
        <w:t xml:space="preserve">ñera Martha </w:t>
      </w:r>
      <w:r w:rsidRPr="00AA7107">
        <w:rPr>
          <w:rFonts w:ascii="Abadi" w:hAnsi="Abadi"/>
          <w:sz w:val="21"/>
          <w:szCs w:val="21"/>
        </w:rPr>
        <w:t>Guadalupe Hernández Camarena</w:t>
      </w:r>
      <w:r>
        <w:rPr>
          <w:rFonts w:ascii="Abadi" w:hAnsi="Abadi"/>
          <w:sz w:val="21"/>
          <w:szCs w:val="21"/>
        </w:rPr>
        <w:t>, sean ustedes bienvenidas a este su Congreso.</w:t>
      </w:r>
    </w:p>
    <w:p w14:paraId="1363D36B" w14:textId="77777777" w:rsidR="00581F0D" w:rsidRDefault="00581F0D" w:rsidP="00581F0D">
      <w:pPr>
        <w:ind w:firstLine="708"/>
        <w:jc w:val="both"/>
        <w:rPr>
          <w:rFonts w:ascii="Abadi" w:hAnsi="Abadi"/>
          <w:sz w:val="21"/>
          <w:szCs w:val="21"/>
        </w:rPr>
      </w:pPr>
    </w:p>
    <w:p w14:paraId="2BC2A982" w14:textId="0C4D80BE" w:rsidR="00581F0D" w:rsidRDefault="00581F0D" w:rsidP="00581F0D">
      <w:pPr>
        <w:ind w:firstLine="708"/>
        <w:jc w:val="both"/>
        <w:rPr>
          <w:rFonts w:ascii="Abadi" w:hAnsi="Abadi"/>
          <w:sz w:val="21"/>
          <w:szCs w:val="21"/>
        </w:rPr>
      </w:pPr>
      <w:r>
        <w:rPr>
          <w:rFonts w:ascii="Abadi" w:hAnsi="Abadi"/>
          <w:sz w:val="21"/>
          <w:szCs w:val="21"/>
        </w:rPr>
        <w:t>- D</w:t>
      </w:r>
      <w:r w:rsidRPr="00AA7107">
        <w:rPr>
          <w:rFonts w:ascii="Abadi" w:hAnsi="Abadi"/>
          <w:sz w:val="21"/>
          <w:szCs w:val="21"/>
        </w:rPr>
        <w:t xml:space="preserve">e igual forma también hago la más </w:t>
      </w:r>
      <w:r>
        <w:rPr>
          <w:rFonts w:ascii="Abadi" w:hAnsi="Abadi"/>
          <w:sz w:val="21"/>
          <w:szCs w:val="21"/>
        </w:rPr>
        <w:t>cordial de</w:t>
      </w:r>
      <w:r w:rsidRPr="00AA7107">
        <w:rPr>
          <w:rFonts w:ascii="Abadi" w:hAnsi="Abadi"/>
          <w:sz w:val="21"/>
          <w:szCs w:val="21"/>
        </w:rPr>
        <w:t xml:space="preserve"> las bienvenida</w:t>
      </w:r>
      <w:r>
        <w:rPr>
          <w:rFonts w:ascii="Abadi" w:hAnsi="Abadi"/>
          <w:sz w:val="21"/>
          <w:szCs w:val="21"/>
        </w:rPr>
        <w:t>s</w:t>
      </w:r>
      <w:r w:rsidRPr="00AA7107">
        <w:rPr>
          <w:rFonts w:ascii="Abadi" w:hAnsi="Abadi"/>
          <w:sz w:val="21"/>
          <w:szCs w:val="21"/>
        </w:rPr>
        <w:t xml:space="preserve"> a los ciudadanos del municipio Irapuato invitados </w:t>
      </w:r>
      <w:r>
        <w:rPr>
          <w:rFonts w:ascii="Abadi" w:hAnsi="Abadi"/>
          <w:sz w:val="21"/>
          <w:szCs w:val="21"/>
        </w:rPr>
        <w:t>por la d</w:t>
      </w:r>
      <w:r w:rsidRPr="00AA7107">
        <w:rPr>
          <w:rFonts w:ascii="Abadi" w:hAnsi="Abadi"/>
          <w:sz w:val="21"/>
          <w:szCs w:val="21"/>
        </w:rPr>
        <w:t xml:space="preserve">iputada </w:t>
      </w:r>
      <w:r>
        <w:rPr>
          <w:rFonts w:ascii="Abadi" w:hAnsi="Abadi"/>
          <w:sz w:val="21"/>
          <w:szCs w:val="21"/>
        </w:rPr>
        <w:t xml:space="preserve">Irma Leticia </w:t>
      </w:r>
      <w:r w:rsidRPr="00AA7107">
        <w:rPr>
          <w:rFonts w:ascii="Abadi" w:hAnsi="Abadi"/>
          <w:sz w:val="21"/>
          <w:szCs w:val="21"/>
        </w:rPr>
        <w:t>González Sánchez</w:t>
      </w:r>
      <w:r>
        <w:rPr>
          <w:rFonts w:ascii="Abadi" w:hAnsi="Abadi"/>
          <w:sz w:val="21"/>
          <w:szCs w:val="21"/>
        </w:rPr>
        <w:t>.</w:t>
      </w:r>
    </w:p>
    <w:p w14:paraId="1450C108" w14:textId="77777777" w:rsidR="00581F0D" w:rsidRDefault="00581F0D" w:rsidP="00581F0D">
      <w:pPr>
        <w:jc w:val="both"/>
        <w:rPr>
          <w:rFonts w:ascii="Abadi" w:hAnsi="Abadi"/>
          <w:sz w:val="21"/>
          <w:szCs w:val="21"/>
        </w:rPr>
      </w:pPr>
    </w:p>
    <w:p w14:paraId="65EDAF0D" w14:textId="77B271BB" w:rsidR="00581F0D" w:rsidRDefault="00581F0D" w:rsidP="00581F0D">
      <w:pPr>
        <w:ind w:firstLine="708"/>
        <w:jc w:val="both"/>
        <w:rPr>
          <w:rFonts w:ascii="Abadi" w:hAnsi="Abadi"/>
          <w:sz w:val="21"/>
          <w:szCs w:val="21"/>
        </w:rPr>
      </w:pPr>
      <w:r>
        <w:rPr>
          <w:rFonts w:ascii="Abadi" w:hAnsi="Abadi"/>
          <w:sz w:val="21"/>
          <w:szCs w:val="21"/>
        </w:rPr>
        <w:t>- Sean también ustedes bienvenido a este su Congreso.</w:t>
      </w:r>
    </w:p>
    <w:p w14:paraId="13C2062D" w14:textId="77777777" w:rsidR="00581F0D" w:rsidRDefault="00581F0D" w:rsidP="00581F0D">
      <w:pPr>
        <w:ind w:firstLine="708"/>
        <w:jc w:val="both"/>
        <w:rPr>
          <w:rFonts w:ascii="Abadi" w:hAnsi="Abadi"/>
          <w:sz w:val="21"/>
          <w:szCs w:val="21"/>
        </w:rPr>
      </w:pPr>
    </w:p>
    <w:p w14:paraId="6A6162DB" w14:textId="63BE93FC" w:rsidR="00581F0D" w:rsidRDefault="00581F0D" w:rsidP="00581F0D">
      <w:pPr>
        <w:jc w:val="both"/>
        <w:rPr>
          <w:rFonts w:ascii="Abadi" w:hAnsi="Abadi"/>
          <w:b/>
          <w:bCs/>
          <w:sz w:val="21"/>
          <w:szCs w:val="21"/>
        </w:rPr>
      </w:pPr>
      <w:r w:rsidRPr="007B4B7D">
        <w:rPr>
          <w:rFonts w:ascii="Abadi" w:hAnsi="Abadi"/>
          <w:b/>
          <w:bCs/>
          <w:sz w:val="21"/>
          <w:szCs w:val="21"/>
        </w:rPr>
        <w:t>(Aplausos)</w:t>
      </w:r>
      <w:r>
        <w:rPr>
          <w:rFonts w:ascii="Abadi" w:hAnsi="Abadi"/>
          <w:b/>
          <w:bCs/>
          <w:sz w:val="21"/>
          <w:szCs w:val="21"/>
        </w:rPr>
        <w:tab/>
      </w:r>
      <w:r>
        <w:rPr>
          <w:rFonts w:ascii="Abadi" w:hAnsi="Abadi"/>
          <w:b/>
          <w:bCs/>
          <w:sz w:val="21"/>
          <w:szCs w:val="21"/>
        </w:rPr>
        <w:tab/>
      </w:r>
    </w:p>
    <w:p w14:paraId="214018D8" w14:textId="77777777" w:rsidR="00581F0D" w:rsidRPr="007B4B7D" w:rsidRDefault="00581F0D" w:rsidP="00581F0D">
      <w:pPr>
        <w:jc w:val="both"/>
        <w:rPr>
          <w:rFonts w:ascii="Abadi" w:hAnsi="Abadi"/>
          <w:b/>
          <w:bCs/>
          <w:sz w:val="21"/>
          <w:szCs w:val="21"/>
        </w:rPr>
      </w:pPr>
    </w:p>
    <w:p w14:paraId="351A634C" w14:textId="77777777" w:rsidR="00581F0D" w:rsidRPr="00AA7107" w:rsidRDefault="00581F0D" w:rsidP="00581F0D">
      <w:pPr>
        <w:ind w:left="567" w:right="474"/>
        <w:jc w:val="both"/>
        <w:rPr>
          <w:rFonts w:ascii="Abadi" w:hAnsi="Abadi"/>
          <w:b/>
          <w:bCs/>
          <w:i/>
          <w:iCs/>
          <w:sz w:val="21"/>
          <w:szCs w:val="21"/>
          <w:u w:val="single"/>
        </w:rPr>
      </w:pPr>
      <w:r w:rsidRPr="00AA7107">
        <w:rPr>
          <w:rFonts w:ascii="Abadi" w:hAnsi="Abadi"/>
          <w:b/>
          <w:bCs/>
          <w:i/>
          <w:iCs/>
          <w:sz w:val="21"/>
          <w:szCs w:val="21"/>
          <w:u w:val="single"/>
        </w:rPr>
        <w:t>Se turna a la iniciativa del diputado David Martínez, a la Comisión de Gobernación y Puntos Constitucionales con fundamento en el artículo 111 fracción primera de nuestra Ley Orgánica para su estudio y dictamen.</w:t>
      </w:r>
    </w:p>
    <w:p w14:paraId="0AA2747A" w14:textId="77777777" w:rsidR="00581F0D" w:rsidRDefault="00581F0D" w:rsidP="00F23EDB">
      <w:pPr>
        <w:jc w:val="both"/>
        <w:rPr>
          <w:rFonts w:ascii="Abadi" w:hAnsi="Abadi"/>
          <w:sz w:val="21"/>
          <w:szCs w:val="21"/>
        </w:rPr>
      </w:pPr>
    </w:p>
    <w:p w14:paraId="1BCDBEA8" w14:textId="77777777" w:rsidR="00E462B6" w:rsidRPr="0028553C" w:rsidRDefault="00E462B6" w:rsidP="00E462B6">
      <w:pPr>
        <w:autoSpaceDE w:val="0"/>
        <w:autoSpaceDN w:val="0"/>
        <w:adjustRightInd w:val="0"/>
        <w:jc w:val="both"/>
        <w:rPr>
          <w:rFonts w:ascii="Abadi" w:hAnsi="Abadi" w:cs="ArialMT"/>
          <w:b/>
          <w:bCs/>
          <w:sz w:val="20"/>
          <w:szCs w:val="21"/>
        </w:rPr>
      </w:pPr>
    </w:p>
    <w:p w14:paraId="13DBC244" w14:textId="73796CCC" w:rsidR="002C47C1" w:rsidRDefault="00E462B6" w:rsidP="00581F0D">
      <w:pPr>
        <w:pStyle w:val="Prrafodelista"/>
        <w:numPr>
          <w:ilvl w:val="0"/>
          <w:numId w:val="14"/>
        </w:numPr>
        <w:autoSpaceDE w:val="0"/>
        <w:autoSpaceDN w:val="0"/>
        <w:adjustRightInd w:val="0"/>
        <w:ind w:left="426"/>
        <w:contextualSpacing/>
        <w:jc w:val="both"/>
        <w:rPr>
          <w:rFonts w:ascii="Abadi" w:hAnsi="Abadi" w:cs="ArialMT"/>
          <w:b/>
          <w:bCs/>
          <w:sz w:val="20"/>
          <w:szCs w:val="21"/>
        </w:rPr>
      </w:pPr>
      <w:r w:rsidRPr="0028553C">
        <w:rPr>
          <w:rFonts w:ascii="Abadi" w:hAnsi="Abadi" w:cs="ArialMT"/>
          <w:b/>
          <w:bCs/>
          <w:sz w:val="20"/>
          <w:szCs w:val="21"/>
        </w:rPr>
        <w:t>PRESENTACIÓN DE LA INICIATIVA FORMULADA POR LA DIPUTADA HADES BERENICE AGUILAR CASTILLO INTEGRANTE DEL GRUPO PARLAMENTARIO DEL PARTIDO MORENA A EFECTO DE REFORMAR Y DEROGAR DIVERSAS DISPOSICIONES DE LA LEY DE JUSTICIA CÍVICA DEL ESTADO DE GUANAJUATO</w:t>
      </w:r>
      <w:r w:rsidR="002C47C1">
        <w:rPr>
          <w:rFonts w:ascii="Abadi" w:hAnsi="Abadi" w:cs="ArialMT"/>
          <w:b/>
          <w:bCs/>
          <w:sz w:val="20"/>
          <w:szCs w:val="21"/>
        </w:rPr>
        <w:t>.</w:t>
      </w:r>
    </w:p>
    <w:p w14:paraId="509A13A0" w14:textId="77777777" w:rsidR="002C47C1" w:rsidRDefault="002C47C1" w:rsidP="002C47C1">
      <w:pPr>
        <w:autoSpaceDE w:val="0"/>
        <w:autoSpaceDN w:val="0"/>
        <w:adjustRightInd w:val="0"/>
        <w:contextualSpacing/>
        <w:jc w:val="both"/>
        <w:rPr>
          <w:rFonts w:ascii="Abadi" w:hAnsi="Abadi" w:cs="ArialMT"/>
          <w:b/>
          <w:bCs/>
          <w:sz w:val="20"/>
          <w:szCs w:val="21"/>
        </w:rPr>
      </w:pPr>
    </w:p>
    <w:p w14:paraId="4BD1BED8" w14:textId="77777777" w:rsidR="002C47C1" w:rsidRDefault="002C47C1" w:rsidP="002C47C1">
      <w:pPr>
        <w:autoSpaceDE w:val="0"/>
        <w:autoSpaceDN w:val="0"/>
        <w:adjustRightInd w:val="0"/>
        <w:contextualSpacing/>
        <w:jc w:val="both"/>
        <w:rPr>
          <w:rFonts w:ascii="Abadi" w:hAnsi="Abadi" w:cs="ArialMT"/>
          <w:b/>
          <w:bCs/>
          <w:sz w:val="20"/>
          <w:szCs w:val="21"/>
        </w:rPr>
      </w:pPr>
    </w:p>
    <w:p w14:paraId="2A8F7E2B" w14:textId="77777777" w:rsidR="00011A03" w:rsidRPr="00A007BF" w:rsidRDefault="00011A03" w:rsidP="00011A03">
      <w:pPr>
        <w:autoSpaceDE w:val="0"/>
        <w:autoSpaceDN w:val="0"/>
        <w:adjustRightInd w:val="0"/>
        <w:jc w:val="both"/>
        <w:rPr>
          <w:rFonts w:ascii="Abadi" w:hAnsi="Abadi" w:cs="Amasis MT Pro Light"/>
          <w:b/>
          <w:bCs/>
          <w:color w:val="000000"/>
          <w:sz w:val="21"/>
          <w:szCs w:val="21"/>
        </w:rPr>
      </w:pPr>
      <w:r w:rsidRPr="00A007BF">
        <w:rPr>
          <w:rFonts w:ascii="Abadi" w:hAnsi="Abadi" w:cs="Amasis MT Pro Light"/>
          <w:b/>
          <w:bCs/>
          <w:color w:val="000000"/>
          <w:sz w:val="21"/>
          <w:szCs w:val="21"/>
        </w:rPr>
        <w:t>Diputado Martín López Camacho</w:t>
      </w:r>
    </w:p>
    <w:p w14:paraId="5DE7F5E3" w14:textId="77777777" w:rsidR="00011A03" w:rsidRPr="00A007BF" w:rsidRDefault="00011A03" w:rsidP="00011A03">
      <w:pPr>
        <w:autoSpaceDE w:val="0"/>
        <w:autoSpaceDN w:val="0"/>
        <w:adjustRightInd w:val="0"/>
        <w:jc w:val="both"/>
        <w:rPr>
          <w:rFonts w:ascii="Abadi" w:hAnsi="Abadi" w:cs="Amasis MT Pro Light"/>
          <w:color w:val="000000"/>
          <w:sz w:val="21"/>
          <w:szCs w:val="21"/>
        </w:rPr>
      </w:pPr>
      <w:r w:rsidRPr="00A007BF">
        <w:rPr>
          <w:rFonts w:ascii="Abadi" w:hAnsi="Abadi" w:cs="Amasis MT Pro Light"/>
          <w:color w:val="000000"/>
          <w:sz w:val="21"/>
          <w:szCs w:val="21"/>
        </w:rPr>
        <w:t>Presidente de la Mesa Directiva de la</w:t>
      </w:r>
    </w:p>
    <w:p w14:paraId="26D0DD22" w14:textId="77777777" w:rsidR="00011A03" w:rsidRPr="00A007BF" w:rsidRDefault="00011A03" w:rsidP="00011A03">
      <w:pPr>
        <w:autoSpaceDE w:val="0"/>
        <w:autoSpaceDN w:val="0"/>
        <w:adjustRightInd w:val="0"/>
        <w:jc w:val="both"/>
        <w:rPr>
          <w:rFonts w:ascii="Abadi" w:hAnsi="Abadi" w:cs="Amasis MT Pro Light"/>
          <w:color w:val="000000"/>
          <w:sz w:val="21"/>
          <w:szCs w:val="21"/>
        </w:rPr>
      </w:pPr>
      <w:r w:rsidRPr="00A007BF">
        <w:rPr>
          <w:rFonts w:ascii="Abadi" w:hAnsi="Abadi" w:cs="Amasis MT Pro Light"/>
          <w:color w:val="000000"/>
          <w:sz w:val="21"/>
          <w:szCs w:val="21"/>
        </w:rPr>
        <w:t>LXV Legislatura del Estado de Guanajuato.</w:t>
      </w:r>
    </w:p>
    <w:p w14:paraId="35C028C2" w14:textId="77777777" w:rsidR="00011A03" w:rsidRPr="00A007BF" w:rsidRDefault="00011A03" w:rsidP="00011A03">
      <w:pPr>
        <w:autoSpaceDE w:val="0"/>
        <w:autoSpaceDN w:val="0"/>
        <w:adjustRightInd w:val="0"/>
        <w:jc w:val="both"/>
        <w:rPr>
          <w:rFonts w:ascii="Abadi" w:hAnsi="Abadi" w:cs="Amasis MT Pro Light"/>
          <w:color w:val="000000"/>
          <w:sz w:val="21"/>
          <w:szCs w:val="21"/>
        </w:rPr>
      </w:pPr>
      <w:r w:rsidRPr="00A007BF">
        <w:rPr>
          <w:rFonts w:ascii="Abadi" w:hAnsi="Abadi" w:cs="Amasis MT Pro Light"/>
          <w:color w:val="000000"/>
          <w:sz w:val="21"/>
          <w:szCs w:val="21"/>
        </w:rPr>
        <w:t>Presente.</w:t>
      </w:r>
    </w:p>
    <w:p w14:paraId="27E8784A" w14:textId="77777777" w:rsidR="00011A03" w:rsidRPr="00A007BF" w:rsidRDefault="00011A03" w:rsidP="00011A03">
      <w:pPr>
        <w:autoSpaceDE w:val="0"/>
        <w:autoSpaceDN w:val="0"/>
        <w:adjustRightInd w:val="0"/>
        <w:jc w:val="both"/>
        <w:rPr>
          <w:rFonts w:ascii="Abadi" w:hAnsi="Abadi" w:cs="Amasis MT Pro Light"/>
          <w:color w:val="000000"/>
          <w:sz w:val="21"/>
          <w:szCs w:val="21"/>
        </w:rPr>
      </w:pPr>
    </w:p>
    <w:p w14:paraId="1C5B723F" w14:textId="77777777" w:rsidR="00011A03" w:rsidRPr="00A007BF" w:rsidRDefault="00011A03" w:rsidP="00011A03">
      <w:pPr>
        <w:autoSpaceDE w:val="0"/>
        <w:autoSpaceDN w:val="0"/>
        <w:adjustRightInd w:val="0"/>
        <w:jc w:val="both"/>
        <w:rPr>
          <w:rFonts w:ascii="Abadi" w:hAnsi="Abadi" w:cs="Amasis MT Pro Light"/>
          <w:color w:val="000000"/>
          <w:sz w:val="21"/>
          <w:szCs w:val="21"/>
        </w:rPr>
      </w:pPr>
    </w:p>
    <w:p w14:paraId="122663EF" w14:textId="42A35CA9" w:rsidR="00011A03" w:rsidRPr="00A007BF" w:rsidRDefault="00011A03" w:rsidP="00011A03">
      <w:pPr>
        <w:autoSpaceDE w:val="0"/>
        <w:autoSpaceDN w:val="0"/>
        <w:adjustRightInd w:val="0"/>
        <w:jc w:val="both"/>
        <w:rPr>
          <w:rFonts w:ascii="Abadi" w:hAnsi="Abadi" w:cs="Amasis MT Pro Light"/>
          <w:color w:val="000000"/>
          <w:sz w:val="21"/>
          <w:szCs w:val="21"/>
        </w:rPr>
      </w:pPr>
      <w:r w:rsidRPr="00A007BF">
        <w:rPr>
          <w:rFonts w:ascii="Abadi" w:hAnsi="Abadi" w:cs="Amasis MT Pro Light"/>
          <w:color w:val="000000"/>
          <w:sz w:val="21"/>
          <w:szCs w:val="21"/>
        </w:rPr>
        <w:t xml:space="preserve">Diputada </w:t>
      </w:r>
      <w:r w:rsidRPr="00A007BF">
        <w:rPr>
          <w:rFonts w:ascii="Abadi" w:hAnsi="Abadi" w:cs="Amasis MT Pro Light"/>
          <w:b/>
          <w:bCs/>
          <w:color w:val="000000"/>
          <w:sz w:val="21"/>
          <w:szCs w:val="21"/>
        </w:rPr>
        <w:t>Hades Berenice Aguilar Castillo</w:t>
      </w:r>
      <w:r w:rsidRPr="00A007BF">
        <w:rPr>
          <w:rFonts w:ascii="Abadi" w:hAnsi="Abadi" w:cs="Amasis MT Pro Light"/>
          <w:color w:val="000000"/>
          <w:sz w:val="21"/>
          <w:szCs w:val="21"/>
        </w:rPr>
        <w:t xml:space="preserve">, integrante del </w:t>
      </w:r>
      <w:r w:rsidRPr="00A007BF">
        <w:rPr>
          <w:rFonts w:ascii="Abadi" w:hAnsi="Abadi" w:cs="Amasis MT Pro Light"/>
          <w:b/>
          <w:bCs/>
          <w:color w:val="000000"/>
          <w:sz w:val="21"/>
          <w:szCs w:val="21"/>
        </w:rPr>
        <w:t>Grupo Parlamentario de morena</w:t>
      </w:r>
      <w:r w:rsidRPr="00A007BF">
        <w:rPr>
          <w:rFonts w:ascii="Abadi" w:hAnsi="Abadi" w:cs="Amasis MT Pro Light"/>
          <w:color w:val="000000"/>
          <w:sz w:val="21"/>
          <w:szCs w:val="21"/>
        </w:rPr>
        <w:t xml:space="preserve">, de la LXV Legislatura del Congreso del Estado Libre y Soberano de Guanajuato, con fundamento en lo dispuesto por los artículos 56 fracción II, de la Constitución Política para el Estado de Guanajuato; y 167 fracción Il, 168, y 209, de la Ley Orgánica del Poder Legislativo del Estado de Guanajuato, se somete a la consideración de esta Asamblea, la siguiente </w:t>
      </w:r>
      <w:r w:rsidRPr="003337E1">
        <w:rPr>
          <w:rFonts w:ascii="Abadi" w:hAnsi="Abadi" w:cs="Amasis MT Pro Light"/>
          <w:b/>
          <w:bCs/>
          <w:color w:val="000000"/>
          <w:sz w:val="21"/>
          <w:szCs w:val="21"/>
        </w:rPr>
        <w:t>Iniciativa con proyecto de Decreto que modifica Ley de Justicia Cívica del Estado de Guanajuato.</w:t>
      </w:r>
      <w:r w:rsidRPr="00A007BF">
        <w:rPr>
          <w:rFonts w:ascii="Abadi" w:hAnsi="Abadi" w:cs="Amasis MT Pro Light"/>
          <w:color w:val="000000"/>
          <w:sz w:val="21"/>
          <w:szCs w:val="21"/>
        </w:rPr>
        <w:t xml:space="preserve"> Lo anterior, al tenor de la</w:t>
      </w:r>
      <w:r w:rsidR="003337E1">
        <w:rPr>
          <w:rFonts w:ascii="Abadi" w:hAnsi="Abadi" w:cs="Amasis MT Pro Light"/>
          <w:color w:val="000000"/>
          <w:sz w:val="21"/>
          <w:szCs w:val="21"/>
        </w:rPr>
        <w:t xml:space="preserve"> </w:t>
      </w:r>
      <w:r w:rsidRPr="00A007BF">
        <w:rPr>
          <w:rFonts w:ascii="Abadi" w:hAnsi="Abadi" w:cs="Amasis MT Pro Light"/>
          <w:color w:val="000000"/>
          <w:sz w:val="21"/>
          <w:szCs w:val="21"/>
        </w:rPr>
        <w:t>siguiente:</w:t>
      </w:r>
    </w:p>
    <w:p w14:paraId="65D47275" w14:textId="77777777" w:rsidR="00011A03" w:rsidRPr="00A007BF" w:rsidRDefault="00011A03" w:rsidP="00011A03">
      <w:pPr>
        <w:autoSpaceDE w:val="0"/>
        <w:autoSpaceDN w:val="0"/>
        <w:adjustRightInd w:val="0"/>
        <w:jc w:val="both"/>
        <w:rPr>
          <w:rFonts w:ascii="Abadi" w:hAnsi="Abadi" w:cs="Amasis MT Pro Light"/>
          <w:color w:val="000000"/>
          <w:sz w:val="21"/>
          <w:szCs w:val="21"/>
        </w:rPr>
      </w:pPr>
    </w:p>
    <w:p w14:paraId="2237D9E8" w14:textId="77777777" w:rsidR="00011A03" w:rsidRPr="00A007BF" w:rsidRDefault="00011A03" w:rsidP="00011A03">
      <w:pPr>
        <w:autoSpaceDE w:val="0"/>
        <w:autoSpaceDN w:val="0"/>
        <w:adjustRightInd w:val="0"/>
        <w:jc w:val="center"/>
        <w:rPr>
          <w:rFonts w:ascii="Abadi" w:hAnsi="Abadi" w:cs="Amasis MT Pro Light"/>
          <w:b/>
          <w:bCs/>
          <w:color w:val="000000"/>
          <w:sz w:val="21"/>
          <w:szCs w:val="21"/>
        </w:rPr>
      </w:pPr>
      <w:r w:rsidRPr="00A007BF">
        <w:rPr>
          <w:rFonts w:ascii="Abadi" w:hAnsi="Abadi" w:cs="Amasis MT Pro Light"/>
          <w:b/>
          <w:bCs/>
          <w:color w:val="000000"/>
          <w:sz w:val="21"/>
          <w:szCs w:val="21"/>
        </w:rPr>
        <w:t>EXPOSICIÓN DE MOTIVOS</w:t>
      </w:r>
    </w:p>
    <w:p w14:paraId="53AF663B" w14:textId="77777777" w:rsidR="00011A03" w:rsidRPr="00A007BF" w:rsidRDefault="00011A03" w:rsidP="00011A03">
      <w:pPr>
        <w:autoSpaceDE w:val="0"/>
        <w:autoSpaceDN w:val="0"/>
        <w:adjustRightInd w:val="0"/>
        <w:jc w:val="both"/>
        <w:rPr>
          <w:rFonts w:ascii="Abadi" w:hAnsi="Abadi" w:cs="Amasis MT Pro Light"/>
          <w:b/>
          <w:bCs/>
          <w:color w:val="000000"/>
          <w:sz w:val="21"/>
          <w:szCs w:val="21"/>
        </w:rPr>
      </w:pPr>
    </w:p>
    <w:p w14:paraId="0AF1D42E" w14:textId="77777777" w:rsidR="00011A03" w:rsidRPr="00A007BF" w:rsidRDefault="00011A03" w:rsidP="00011A03">
      <w:pPr>
        <w:autoSpaceDE w:val="0"/>
        <w:autoSpaceDN w:val="0"/>
        <w:adjustRightInd w:val="0"/>
        <w:jc w:val="both"/>
        <w:rPr>
          <w:rFonts w:ascii="Abadi" w:hAnsi="Abadi" w:cs="Amasis MT Pro Light"/>
          <w:color w:val="000000"/>
          <w:sz w:val="21"/>
          <w:szCs w:val="21"/>
        </w:rPr>
      </w:pPr>
      <w:r w:rsidRPr="00A007BF">
        <w:rPr>
          <w:rFonts w:ascii="Abadi" w:hAnsi="Abadi" w:cs="Amasis MT Pro Light"/>
          <w:color w:val="000000"/>
          <w:sz w:val="21"/>
          <w:szCs w:val="21"/>
        </w:rPr>
        <w:t>El 23 de abril de 2021, fue publicada en el Periódico Oficial, la Ley de Justicia Cívica del Estado de Guanajuato; a esta expedición le antecede el proceso legislativo por el que con fecha 25 de marzo de 2021, las diputadas y los diputados del Congreso de Guanajuato aprobaron por unanimidad de votos, la citada Ley.</w:t>
      </w:r>
    </w:p>
    <w:p w14:paraId="7A65AE04" w14:textId="77777777" w:rsidR="00011A03" w:rsidRPr="00A007BF" w:rsidRDefault="00011A03" w:rsidP="00011A03">
      <w:pPr>
        <w:autoSpaceDE w:val="0"/>
        <w:autoSpaceDN w:val="0"/>
        <w:adjustRightInd w:val="0"/>
        <w:jc w:val="both"/>
        <w:rPr>
          <w:rFonts w:ascii="Abadi" w:hAnsi="Abadi" w:cs="Amasis MT Pro Light"/>
          <w:color w:val="000000"/>
          <w:sz w:val="21"/>
          <w:szCs w:val="21"/>
        </w:rPr>
      </w:pPr>
    </w:p>
    <w:p w14:paraId="29D1D055" w14:textId="77777777" w:rsidR="00011A03" w:rsidRPr="00A007BF" w:rsidRDefault="00011A03" w:rsidP="00011A03">
      <w:pPr>
        <w:autoSpaceDE w:val="0"/>
        <w:autoSpaceDN w:val="0"/>
        <w:adjustRightInd w:val="0"/>
        <w:jc w:val="both"/>
        <w:rPr>
          <w:rFonts w:ascii="Abadi" w:hAnsi="Abadi" w:cs="Amasis MT Pro Light"/>
          <w:color w:val="000000"/>
          <w:sz w:val="21"/>
          <w:szCs w:val="21"/>
        </w:rPr>
      </w:pPr>
      <w:r w:rsidRPr="00A007BF">
        <w:rPr>
          <w:rFonts w:ascii="Abadi" w:hAnsi="Abadi" w:cs="Amasis MT Pro Light"/>
          <w:color w:val="000000"/>
          <w:sz w:val="21"/>
          <w:szCs w:val="21"/>
        </w:rPr>
        <w:t xml:space="preserve">Durante el proceso de dictaminación y aprobación destacaron que el objetivo de dicha ley es la de “Sentar las bases para la organización y el funcionamiento de la Justicia </w:t>
      </w:r>
      <w:r w:rsidRPr="00A007BF">
        <w:rPr>
          <w:rFonts w:ascii="Abadi" w:hAnsi="Abadi" w:cs="Amasis MT Pro Light"/>
          <w:color w:val="000000"/>
          <w:sz w:val="21"/>
          <w:szCs w:val="21"/>
        </w:rPr>
        <w:lastRenderedPageBreak/>
        <w:t>Cívica en Guanajuato y establecer las acciones que deberán llevar a cabo las autoridades estatales y municipales para acercar mecanismos de resolución de conflictos, así como trámites y servicios a poblaciones alejadas, de difícil acceso y zonas marginadas”.</w:t>
      </w:r>
    </w:p>
    <w:p w14:paraId="71321089" w14:textId="77777777" w:rsidR="00011A03" w:rsidRPr="00A007BF" w:rsidRDefault="00011A03" w:rsidP="00011A03">
      <w:pPr>
        <w:autoSpaceDE w:val="0"/>
        <w:autoSpaceDN w:val="0"/>
        <w:adjustRightInd w:val="0"/>
        <w:jc w:val="both"/>
        <w:rPr>
          <w:rFonts w:ascii="Abadi" w:hAnsi="Abadi" w:cs="Amasis MT Pro Light"/>
          <w:color w:val="000000"/>
          <w:sz w:val="21"/>
          <w:szCs w:val="21"/>
        </w:rPr>
      </w:pPr>
    </w:p>
    <w:p w14:paraId="28B158CC" w14:textId="77777777" w:rsidR="00011A03" w:rsidRPr="00A007BF" w:rsidRDefault="00011A03" w:rsidP="00011A03">
      <w:pPr>
        <w:autoSpaceDE w:val="0"/>
        <w:autoSpaceDN w:val="0"/>
        <w:adjustRightInd w:val="0"/>
        <w:jc w:val="both"/>
        <w:rPr>
          <w:rFonts w:ascii="Abadi" w:hAnsi="Abadi" w:cs="Amasis MT Pro Light"/>
          <w:color w:val="000000"/>
          <w:sz w:val="21"/>
          <w:szCs w:val="21"/>
        </w:rPr>
      </w:pPr>
      <w:r w:rsidRPr="00A007BF">
        <w:rPr>
          <w:rFonts w:ascii="Abadi" w:hAnsi="Abadi" w:cs="Amasis MT Pro Light"/>
          <w:color w:val="000000"/>
          <w:sz w:val="21"/>
          <w:szCs w:val="21"/>
        </w:rPr>
        <w:t>En el pleno del Congreso del Estado de Guanajuato, se destacaron algunos aspectos relevantes tales como:</w:t>
      </w:r>
    </w:p>
    <w:p w14:paraId="36A85BDB" w14:textId="77777777" w:rsidR="00011A03" w:rsidRPr="00A007BF" w:rsidRDefault="00011A03" w:rsidP="00011A03">
      <w:pPr>
        <w:autoSpaceDE w:val="0"/>
        <w:autoSpaceDN w:val="0"/>
        <w:adjustRightInd w:val="0"/>
        <w:jc w:val="both"/>
        <w:rPr>
          <w:rFonts w:ascii="Abadi" w:hAnsi="Abadi" w:cs="Amasis MT Pro Light"/>
          <w:color w:val="000000"/>
          <w:sz w:val="21"/>
          <w:szCs w:val="21"/>
        </w:rPr>
      </w:pPr>
    </w:p>
    <w:p w14:paraId="73D8C0EA" w14:textId="77777777" w:rsidR="00011A03" w:rsidRPr="00A007BF" w:rsidRDefault="00011A03" w:rsidP="00011A03">
      <w:pPr>
        <w:autoSpaceDE w:val="0"/>
        <w:autoSpaceDN w:val="0"/>
        <w:adjustRightInd w:val="0"/>
        <w:jc w:val="both"/>
        <w:rPr>
          <w:rFonts w:ascii="Abadi" w:hAnsi="Abadi" w:cs="Amasis MT Pro Light"/>
          <w:color w:val="000000"/>
          <w:sz w:val="21"/>
          <w:szCs w:val="21"/>
        </w:rPr>
      </w:pPr>
      <w:r w:rsidRPr="00A007BF">
        <w:rPr>
          <w:rFonts w:ascii="Arial" w:eastAsia="TimesNewRomanPSMT" w:hAnsi="Arial" w:cs="Arial"/>
          <w:color w:val="000000"/>
          <w:sz w:val="21"/>
          <w:szCs w:val="21"/>
        </w:rPr>
        <w:t>●</w:t>
      </w:r>
      <w:r w:rsidRPr="00A007BF">
        <w:rPr>
          <w:rFonts w:ascii="Abadi" w:eastAsia="TimesNewRomanPSMT" w:hAnsi="Abadi" w:cs="TimesNewRomanPSMT"/>
          <w:color w:val="000000"/>
          <w:sz w:val="21"/>
          <w:szCs w:val="21"/>
        </w:rPr>
        <w:t xml:space="preserve"> </w:t>
      </w:r>
      <w:r w:rsidRPr="00A007BF">
        <w:rPr>
          <w:rFonts w:ascii="Abadi" w:hAnsi="Abadi" w:cs="Amasis MT Pro Light"/>
          <w:color w:val="000000"/>
          <w:sz w:val="21"/>
          <w:szCs w:val="21"/>
        </w:rPr>
        <w:t>El establecimiento de Juzgados Cívicos que privilegian la solución del conflicto sobre los formalismos procedimentales, siempre que no se afecte la igualdad entre las partes, y que deberán promover la oralidad en el desarrollo de los procedimientos y hacer uso de medios electrónicos, ópticos o de cualquier otra tecnología que permitan la solución expedita de los conflictos.</w:t>
      </w:r>
    </w:p>
    <w:p w14:paraId="5D6DC179" w14:textId="77777777" w:rsidR="00011A03" w:rsidRPr="00A007BF" w:rsidRDefault="00011A03" w:rsidP="00011A03">
      <w:pPr>
        <w:autoSpaceDE w:val="0"/>
        <w:autoSpaceDN w:val="0"/>
        <w:adjustRightInd w:val="0"/>
        <w:jc w:val="both"/>
        <w:rPr>
          <w:rFonts w:ascii="Abadi" w:hAnsi="Abadi" w:cs="Amasis MT Pro Light"/>
          <w:color w:val="000000"/>
          <w:sz w:val="21"/>
          <w:szCs w:val="21"/>
        </w:rPr>
      </w:pPr>
      <w:r w:rsidRPr="00A007BF">
        <w:rPr>
          <w:rFonts w:ascii="Arial" w:eastAsia="TimesNewRomanPSMT" w:hAnsi="Arial" w:cs="Arial"/>
          <w:color w:val="000000"/>
          <w:sz w:val="21"/>
          <w:szCs w:val="21"/>
        </w:rPr>
        <w:t>●</w:t>
      </w:r>
      <w:r w:rsidRPr="00A007BF">
        <w:rPr>
          <w:rFonts w:ascii="Abadi" w:eastAsia="TimesNewRomanPSMT" w:hAnsi="Abadi" w:cs="TimesNewRomanPSMT"/>
          <w:color w:val="000000"/>
          <w:sz w:val="21"/>
          <w:szCs w:val="21"/>
        </w:rPr>
        <w:t xml:space="preserve"> </w:t>
      </w:r>
      <w:r w:rsidRPr="00A007BF">
        <w:rPr>
          <w:rFonts w:ascii="Abadi" w:hAnsi="Abadi" w:cs="Amasis MT Pro Light"/>
          <w:color w:val="000000"/>
          <w:sz w:val="21"/>
          <w:szCs w:val="21"/>
        </w:rPr>
        <w:t>Dichos Juzgados Cívicos estarán integrados por jueces, facilitadores, secretarios, defensores de oficio, médicos, policías y personal auxiliar, quienes tendrán que cumplir con los requisitos que establece la Ley.</w:t>
      </w:r>
    </w:p>
    <w:p w14:paraId="56A43185" w14:textId="77777777" w:rsidR="00011A03" w:rsidRPr="00A007BF" w:rsidRDefault="00011A03" w:rsidP="00011A03">
      <w:pPr>
        <w:autoSpaceDE w:val="0"/>
        <w:autoSpaceDN w:val="0"/>
        <w:adjustRightInd w:val="0"/>
        <w:jc w:val="both"/>
        <w:rPr>
          <w:rFonts w:ascii="Abadi" w:hAnsi="Abadi" w:cs="Amasis MT Pro Light"/>
          <w:color w:val="000000"/>
          <w:sz w:val="21"/>
          <w:szCs w:val="21"/>
        </w:rPr>
      </w:pPr>
      <w:r w:rsidRPr="00A007BF">
        <w:rPr>
          <w:rFonts w:ascii="Arial" w:eastAsia="TimesNewRomanPSMT" w:hAnsi="Arial" w:cs="Arial"/>
          <w:color w:val="000000"/>
          <w:sz w:val="21"/>
          <w:szCs w:val="21"/>
        </w:rPr>
        <w:t>●</w:t>
      </w:r>
      <w:r w:rsidRPr="00A007BF">
        <w:rPr>
          <w:rFonts w:ascii="Abadi" w:eastAsia="TimesNewRomanPSMT" w:hAnsi="Abadi" w:cs="TimesNewRomanPSMT"/>
          <w:color w:val="000000"/>
          <w:sz w:val="21"/>
          <w:szCs w:val="21"/>
        </w:rPr>
        <w:t xml:space="preserve"> </w:t>
      </w:r>
      <w:r w:rsidRPr="00A007BF">
        <w:rPr>
          <w:rFonts w:ascii="Abadi" w:hAnsi="Abadi" w:cs="Amasis MT Pro Light"/>
          <w:color w:val="000000"/>
          <w:sz w:val="21"/>
          <w:szCs w:val="21"/>
        </w:rPr>
        <w:t>Contempla procedimientos por: presentación del probable factor, por queja, y de mediación y conciliación.</w:t>
      </w:r>
    </w:p>
    <w:p w14:paraId="740CB11A" w14:textId="77777777" w:rsidR="00011A03" w:rsidRPr="00A007BF" w:rsidRDefault="00011A03" w:rsidP="00011A03">
      <w:pPr>
        <w:autoSpaceDE w:val="0"/>
        <w:autoSpaceDN w:val="0"/>
        <w:adjustRightInd w:val="0"/>
        <w:jc w:val="both"/>
        <w:rPr>
          <w:rFonts w:ascii="Abadi" w:hAnsi="Abadi" w:cs="Amasis MT Pro Light"/>
          <w:b/>
          <w:bCs/>
          <w:color w:val="000000"/>
          <w:sz w:val="21"/>
          <w:szCs w:val="21"/>
        </w:rPr>
      </w:pPr>
      <w:r w:rsidRPr="00A007BF">
        <w:rPr>
          <w:rFonts w:ascii="Arial" w:eastAsia="TimesNewRomanPSMT" w:hAnsi="Arial" w:cs="Arial"/>
          <w:b/>
          <w:bCs/>
          <w:color w:val="000000"/>
          <w:sz w:val="21"/>
          <w:szCs w:val="21"/>
        </w:rPr>
        <w:t>●</w:t>
      </w:r>
      <w:r w:rsidRPr="00A007BF">
        <w:rPr>
          <w:rFonts w:ascii="Abadi" w:eastAsia="TimesNewRomanPSMT" w:hAnsi="Abadi" w:cs="TimesNewRomanPSMT"/>
          <w:b/>
          <w:bCs/>
          <w:color w:val="000000"/>
          <w:sz w:val="21"/>
          <w:szCs w:val="21"/>
        </w:rPr>
        <w:t xml:space="preserve"> </w:t>
      </w:r>
      <w:r w:rsidRPr="00A007BF">
        <w:rPr>
          <w:rFonts w:ascii="Abadi" w:hAnsi="Abadi" w:cs="Amasis MT Pro Light"/>
          <w:b/>
          <w:bCs/>
          <w:color w:val="000000"/>
          <w:sz w:val="21"/>
          <w:szCs w:val="21"/>
        </w:rPr>
        <w:t>Plantea las infracciones y sanciones, el servicio en favor de la comunidad, y las</w:t>
      </w:r>
    </w:p>
    <w:p w14:paraId="25F320F7" w14:textId="77777777" w:rsidR="00011A03" w:rsidRPr="00A007BF" w:rsidRDefault="00011A03" w:rsidP="00011A03">
      <w:pPr>
        <w:autoSpaceDE w:val="0"/>
        <w:autoSpaceDN w:val="0"/>
        <w:adjustRightInd w:val="0"/>
        <w:jc w:val="both"/>
        <w:rPr>
          <w:rFonts w:ascii="Abadi" w:hAnsi="Abadi" w:cs="Amasis MT Pro Light"/>
          <w:b/>
          <w:bCs/>
          <w:color w:val="000000"/>
          <w:sz w:val="21"/>
          <w:szCs w:val="21"/>
        </w:rPr>
      </w:pPr>
      <w:r w:rsidRPr="00A007BF">
        <w:rPr>
          <w:rFonts w:ascii="Abadi" w:hAnsi="Abadi" w:cs="Amasis MT Pro Light"/>
          <w:b/>
          <w:bCs/>
          <w:color w:val="000000"/>
          <w:sz w:val="21"/>
          <w:szCs w:val="21"/>
        </w:rPr>
        <w:t>responsabilidades.</w:t>
      </w:r>
    </w:p>
    <w:p w14:paraId="7B447A92" w14:textId="77777777" w:rsidR="00011A03" w:rsidRPr="00A007BF" w:rsidRDefault="00011A03" w:rsidP="00011A03">
      <w:pPr>
        <w:autoSpaceDE w:val="0"/>
        <w:autoSpaceDN w:val="0"/>
        <w:adjustRightInd w:val="0"/>
        <w:jc w:val="both"/>
        <w:rPr>
          <w:rFonts w:ascii="Abadi" w:hAnsi="Abadi" w:cs="Amasis MT Pro Light"/>
          <w:color w:val="000000"/>
          <w:sz w:val="21"/>
          <w:szCs w:val="21"/>
        </w:rPr>
      </w:pPr>
      <w:r w:rsidRPr="00A007BF">
        <w:rPr>
          <w:rFonts w:ascii="Arial" w:eastAsia="TimesNewRomanPSMT" w:hAnsi="Arial" w:cs="Arial"/>
          <w:color w:val="000000"/>
          <w:sz w:val="21"/>
          <w:szCs w:val="21"/>
        </w:rPr>
        <w:t>●</w:t>
      </w:r>
      <w:r w:rsidRPr="00A007BF">
        <w:rPr>
          <w:rFonts w:ascii="Abadi" w:eastAsia="TimesNewRomanPSMT" w:hAnsi="Abadi" w:cs="TimesNewRomanPSMT"/>
          <w:color w:val="000000"/>
          <w:sz w:val="21"/>
          <w:szCs w:val="21"/>
        </w:rPr>
        <w:t xml:space="preserve"> </w:t>
      </w:r>
      <w:r w:rsidRPr="00A007BF">
        <w:rPr>
          <w:rFonts w:ascii="Abadi" w:hAnsi="Abadi" w:cs="Amasis MT Pro Light"/>
          <w:color w:val="000000"/>
          <w:sz w:val="21"/>
          <w:szCs w:val="21"/>
        </w:rPr>
        <w:t>Implementa un Registro de infractores, informes y estadísticas.</w:t>
      </w:r>
    </w:p>
    <w:p w14:paraId="0D1F20E3" w14:textId="77777777" w:rsidR="00011A03" w:rsidRPr="00A007BF" w:rsidRDefault="00011A03" w:rsidP="00011A03">
      <w:pPr>
        <w:autoSpaceDE w:val="0"/>
        <w:autoSpaceDN w:val="0"/>
        <w:adjustRightInd w:val="0"/>
        <w:jc w:val="both"/>
        <w:rPr>
          <w:rFonts w:ascii="Abadi" w:hAnsi="Abadi" w:cs="Amasis MT Pro Light"/>
          <w:color w:val="000000"/>
          <w:sz w:val="21"/>
          <w:szCs w:val="21"/>
        </w:rPr>
      </w:pPr>
      <w:r w:rsidRPr="00A007BF">
        <w:rPr>
          <w:rFonts w:ascii="Arial" w:eastAsia="TimesNewRomanPSMT" w:hAnsi="Arial" w:cs="Arial"/>
          <w:color w:val="000000"/>
          <w:sz w:val="21"/>
          <w:szCs w:val="21"/>
        </w:rPr>
        <w:t>●</w:t>
      </w:r>
      <w:r w:rsidRPr="00A007BF">
        <w:rPr>
          <w:rFonts w:ascii="Abadi" w:eastAsia="TimesNewRomanPSMT" w:hAnsi="Abadi" w:cs="TimesNewRomanPSMT"/>
          <w:color w:val="000000"/>
          <w:sz w:val="21"/>
          <w:szCs w:val="21"/>
        </w:rPr>
        <w:t xml:space="preserve"> </w:t>
      </w:r>
      <w:r w:rsidRPr="00A007BF">
        <w:rPr>
          <w:rFonts w:ascii="Abadi" w:hAnsi="Abadi" w:cs="Amasis MT Pro Light"/>
          <w:color w:val="000000"/>
          <w:sz w:val="21"/>
          <w:szCs w:val="21"/>
        </w:rPr>
        <w:t>Crea la figura de Justicia Itinerante que contempla una serie de jornadas de Justicia itinerante.</w:t>
      </w:r>
    </w:p>
    <w:p w14:paraId="7E3D6307" w14:textId="77777777" w:rsidR="00011A03" w:rsidRPr="00A007BF" w:rsidRDefault="00011A03" w:rsidP="00011A03">
      <w:pPr>
        <w:autoSpaceDE w:val="0"/>
        <w:autoSpaceDN w:val="0"/>
        <w:adjustRightInd w:val="0"/>
        <w:jc w:val="both"/>
        <w:rPr>
          <w:rFonts w:ascii="Abadi" w:hAnsi="Abadi" w:cs="Amasis MT Pro Light"/>
          <w:color w:val="000000"/>
          <w:sz w:val="21"/>
          <w:szCs w:val="21"/>
        </w:rPr>
      </w:pPr>
    </w:p>
    <w:p w14:paraId="140CF716" w14:textId="77777777" w:rsidR="00011A03" w:rsidRPr="00A007BF" w:rsidRDefault="00011A03" w:rsidP="00011A03">
      <w:pPr>
        <w:autoSpaceDE w:val="0"/>
        <w:autoSpaceDN w:val="0"/>
        <w:adjustRightInd w:val="0"/>
        <w:jc w:val="both"/>
        <w:rPr>
          <w:rFonts w:ascii="Abadi" w:hAnsi="Abadi" w:cs="Amasis MT Pro Light"/>
          <w:color w:val="000000"/>
          <w:sz w:val="21"/>
          <w:szCs w:val="21"/>
        </w:rPr>
      </w:pPr>
      <w:r w:rsidRPr="00A007BF">
        <w:rPr>
          <w:rFonts w:ascii="Abadi" w:hAnsi="Abadi" w:cs="Amasis MT Pro Light"/>
          <w:color w:val="000000"/>
          <w:sz w:val="21"/>
          <w:szCs w:val="21"/>
        </w:rPr>
        <w:t>Con la aprobación de esta Ley de Justicia Cívica para el Estado de Guanajuato, se pretendió la implementación del nuevo sistema de justicia, con el que se buscaron nuevas formas para solucionar conflictos derivados de la convivencia cotidiana, con la intención de evitar que los problemas crezcan y se privilegie la vía pacífica.</w:t>
      </w:r>
    </w:p>
    <w:p w14:paraId="506FBE10" w14:textId="77777777" w:rsidR="00011A03" w:rsidRPr="00A007BF" w:rsidRDefault="00011A03" w:rsidP="00011A03">
      <w:pPr>
        <w:autoSpaceDE w:val="0"/>
        <w:autoSpaceDN w:val="0"/>
        <w:adjustRightInd w:val="0"/>
        <w:jc w:val="both"/>
        <w:rPr>
          <w:rFonts w:ascii="Abadi" w:hAnsi="Abadi" w:cs="Amasis MT Pro Light"/>
          <w:color w:val="000000"/>
          <w:sz w:val="21"/>
          <w:szCs w:val="21"/>
        </w:rPr>
      </w:pPr>
    </w:p>
    <w:p w14:paraId="69DB590E" w14:textId="77777777" w:rsidR="00011A03" w:rsidRPr="00A007BF" w:rsidRDefault="00011A03" w:rsidP="00011A03">
      <w:pPr>
        <w:autoSpaceDE w:val="0"/>
        <w:autoSpaceDN w:val="0"/>
        <w:adjustRightInd w:val="0"/>
        <w:jc w:val="both"/>
        <w:rPr>
          <w:rFonts w:ascii="Abadi" w:hAnsi="Abadi" w:cs="Amasis MT Pro Light"/>
          <w:b/>
          <w:bCs/>
          <w:color w:val="000000"/>
          <w:sz w:val="21"/>
          <w:szCs w:val="21"/>
        </w:rPr>
      </w:pPr>
      <w:r w:rsidRPr="00A007BF">
        <w:rPr>
          <w:rFonts w:ascii="Abadi" w:hAnsi="Abadi" w:cs="Amasis MT Pro Light"/>
          <w:color w:val="000000"/>
          <w:sz w:val="21"/>
          <w:szCs w:val="21"/>
        </w:rPr>
        <w:t xml:space="preserve">Pese a las aportaciones de la ley en comento, diferentes voces consideraron que algunas disposiciones normativas resultan violatorias de derechos humanos, por lo que, en ese sentido, la </w:t>
      </w:r>
      <w:r w:rsidRPr="00A007BF">
        <w:rPr>
          <w:rFonts w:ascii="Abadi" w:hAnsi="Abadi" w:cs="Amasis MT Pro Light"/>
          <w:b/>
          <w:bCs/>
          <w:color w:val="000000"/>
          <w:sz w:val="21"/>
          <w:szCs w:val="21"/>
        </w:rPr>
        <w:t>Comisión Nacional de Derechos Humanos</w:t>
      </w:r>
      <w:r w:rsidRPr="00A007BF">
        <w:rPr>
          <w:rFonts w:ascii="Abadi" w:hAnsi="Abadi" w:cs="Amasis MT Pro Light"/>
          <w:color w:val="000000"/>
          <w:sz w:val="21"/>
          <w:szCs w:val="21"/>
        </w:rPr>
        <w:t xml:space="preserve"> de conformidad con el ejercicio de sus atribuciones, presentó una Acción de Inconstitucionalidad contra la Ley de Justicia </w:t>
      </w:r>
      <w:r w:rsidRPr="00A007BF">
        <w:rPr>
          <w:rFonts w:ascii="Abadi" w:hAnsi="Abadi" w:cs="Amasis MT Pro Light"/>
          <w:color w:val="000000"/>
          <w:sz w:val="21"/>
          <w:szCs w:val="21"/>
        </w:rPr>
        <w:t>Cívica del Estado de Guanajuato, misma que fue radicada bajo el número de expediente</w:t>
      </w:r>
      <w:r w:rsidRPr="00A007BF">
        <w:rPr>
          <w:rFonts w:ascii="Abadi" w:hAnsi="Abadi" w:cs="Amasis MT Pro Light"/>
          <w:b/>
          <w:bCs/>
          <w:color w:val="000000"/>
          <w:sz w:val="21"/>
          <w:szCs w:val="21"/>
        </w:rPr>
        <w:t xml:space="preserve"> 89/2021.</w:t>
      </w:r>
    </w:p>
    <w:p w14:paraId="1EF467D9" w14:textId="77777777" w:rsidR="00011A03" w:rsidRPr="00A007BF" w:rsidRDefault="00011A03" w:rsidP="00011A03">
      <w:pPr>
        <w:autoSpaceDE w:val="0"/>
        <w:autoSpaceDN w:val="0"/>
        <w:adjustRightInd w:val="0"/>
        <w:jc w:val="both"/>
        <w:rPr>
          <w:rFonts w:ascii="Abadi" w:hAnsi="Abadi" w:cs="Amasis MT Pro Light"/>
          <w:b/>
          <w:bCs/>
          <w:color w:val="000000"/>
          <w:sz w:val="21"/>
          <w:szCs w:val="21"/>
        </w:rPr>
      </w:pPr>
    </w:p>
    <w:p w14:paraId="2140A9AE" w14:textId="77777777" w:rsidR="00011A03" w:rsidRPr="00A007BF" w:rsidRDefault="00011A03" w:rsidP="00011A03">
      <w:pPr>
        <w:autoSpaceDE w:val="0"/>
        <w:autoSpaceDN w:val="0"/>
        <w:adjustRightInd w:val="0"/>
        <w:jc w:val="both"/>
        <w:rPr>
          <w:rFonts w:ascii="Abadi" w:hAnsi="Abadi" w:cs="Amasis MT Pro Light"/>
          <w:b/>
          <w:bCs/>
          <w:color w:val="000000"/>
          <w:sz w:val="21"/>
          <w:szCs w:val="21"/>
        </w:rPr>
      </w:pPr>
      <w:r w:rsidRPr="00A007BF">
        <w:rPr>
          <w:rFonts w:ascii="Abadi" w:hAnsi="Abadi" w:cs="Amasis MT Pro Light"/>
          <w:color w:val="000000"/>
          <w:sz w:val="21"/>
          <w:szCs w:val="21"/>
        </w:rPr>
        <w:t>En el escrito presentado por el organismo autónomo de derechos humanos, consideró que los artículos 8, 11, 13, 15 y 17 de la Ley de Justicia Cívica del Estado de Guanajuato, todos en su fracción V, establecen requisitos discriminatorios para  acceder a diversos cargos dentro de un juzgado cívico en la entidad, a saber: juez, facilitador, secretario, defensor de oficio y médico; por lo que</w:t>
      </w:r>
      <w:r w:rsidRPr="00A007BF">
        <w:rPr>
          <w:rFonts w:ascii="Abadi" w:hAnsi="Abadi" w:cs="Amasis MT Pro Light"/>
          <w:b/>
          <w:bCs/>
          <w:color w:val="000000"/>
          <w:sz w:val="21"/>
          <w:szCs w:val="21"/>
        </w:rPr>
        <w:t xml:space="preserve"> contravienen los derechos de igualdad y no discriminación, la libertad de trabajo y de acceso a un empleo público.</w:t>
      </w:r>
    </w:p>
    <w:p w14:paraId="48BA3461" w14:textId="77777777" w:rsidR="00011A03" w:rsidRPr="00A007BF" w:rsidRDefault="00011A03" w:rsidP="00011A03">
      <w:pPr>
        <w:autoSpaceDE w:val="0"/>
        <w:autoSpaceDN w:val="0"/>
        <w:adjustRightInd w:val="0"/>
        <w:jc w:val="both"/>
        <w:rPr>
          <w:rFonts w:ascii="Abadi" w:hAnsi="Abadi" w:cs="Amasis MT Pro Light"/>
          <w:color w:val="000000"/>
          <w:sz w:val="21"/>
          <w:szCs w:val="21"/>
        </w:rPr>
      </w:pPr>
    </w:p>
    <w:p w14:paraId="2A78419C" w14:textId="77777777" w:rsidR="00011A03" w:rsidRPr="00A007BF" w:rsidRDefault="00011A03" w:rsidP="00011A03">
      <w:pPr>
        <w:autoSpaceDE w:val="0"/>
        <w:autoSpaceDN w:val="0"/>
        <w:adjustRightInd w:val="0"/>
        <w:jc w:val="both"/>
        <w:rPr>
          <w:rFonts w:ascii="Abadi" w:hAnsi="Abadi" w:cs="Amasis MT Pro Light"/>
          <w:color w:val="000000"/>
          <w:sz w:val="21"/>
          <w:szCs w:val="21"/>
        </w:rPr>
      </w:pPr>
      <w:r w:rsidRPr="00A007BF">
        <w:rPr>
          <w:rFonts w:ascii="Abadi" w:hAnsi="Abadi" w:cs="Amasis MT Pro Light"/>
          <w:color w:val="000000"/>
          <w:sz w:val="21"/>
          <w:szCs w:val="21"/>
        </w:rPr>
        <w:t>Además, aseguró que la exigencia de no haber sido suspendido o inhabilitado para el desempeño de un cargo público impide de forma injustificada que las personas que se encuentren en dicha circunstancia puedan acceder a ocupar los distintos cargos de mérito, aun cuando dichas sanciones ya hayan sido cumplidas, por lo que resultan contrarias a la Constitución Federal.</w:t>
      </w:r>
    </w:p>
    <w:p w14:paraId="6279C560" w14:textId="77777777" w:rsidR="00011A03" w:rsidRPr="00A007BF" w:rsidRDefault="00011A03" w:rsidP="00011A03">
      <w:pPr>
        <w:autoSpaceDE w:val="0"/>
        <w:autoSpaceDN w:val="0"/>
        <w:adjustRightInd w:val="0"/>
        <w:jc w:val="both"/>
        <w:rPr>
          <w:rFonts w:ascii="Abadi" w:hAnsi="Abadi" w:cs="Amasis MT Pro Light"/>
          <w:color w:val="000000"/>
          <w:sz w:val="21"/>
          <w:szCs w:val="21"/>
        </w:rPr>
      </w:pPr>
    </w:p>
    <w:p w14:paraId="7495ED8E" w14:textId="77777777" w:rsidR="00011A03" w:rsidRPr="00A007BF" w:rsidRDefault="00011A03" w:rsidP="00011A03">
      <w:pPr>
        <w:autoSpaceDE w:val="0"/>
        <w:autoSpaceDN w:val="0"/>
        <w:adjustRightInd w:val="0"/>
        <w:jc w:val="both"/>
        <w:rPr>
          <w:rFonts w:ascii="Abadi" w:hAnsi="Abadi" w:cs="Amasis MT Pro Light"/>
          <w:color w:val="000000"/>
          <w:sz w:val="21"/>
          <w:szCs w:val="21"/>
        </w:rPr>
      </w:pPr>
      <w:r w:rsidRPr="00A007BF">
        <w:rPr>
          <w:rFonts w:ascii="Abadi" w:hAnsi="Abadi" w:cs="Amasis MT Pro Light"/>
          <w:color w:val="000000"/>
          <w:sz w:val="21"/>
          <w:szCs w:val="21"/>
        </w:rPr>
        <w:t>Por otro lado, expresó que la disposición normativa contenida en el artículo 66, fracción III, de la Ley de Justicia Cívica del Estado de Guanajuato, al establecer como infracción en materia de seguridad ciudadana la conducta consistente en usar las áreas y vías públicas sin contar con la autorización que se requiera para ello, vulnera las libertades fundamentales de expresión y reunión. Lo anterior es así, en virtud de que las marchas, plantones, procesiones, peregrinaciones y manifestaciones derivados de expresiones sociales se realizan en el espacio público; sin embargo, con esta norma no sólo se impide el uso del espacio público por no contar con la autorización, sino que, además, puede acarrear la imposición de una sanción administrativa, por lo que no resultan acordes con el parámetro de regularidad constitucional.</w:t>
      </w:r>
    </w:p>
    <w:p w14:paraId="36C76031" w14:textId="77777777" w:rsidR="00011A03" w:rsidRPr="00A007BF" w:rsidRDefault="00011A03" w:rsidP="00011A03">
      <w:pPr>
        <w:autoSpaceDE w:val="0"/>
        <w:autoSpaceDN w:val="0"/>
        <w:adjustRightInd w:val="0"/>
        <w:jc w:val="both"/>
        <w:rPr>
          <w:rFonts w:ascii="Abadi" w:hAnsi="Abadi" w:cs="Amasis MT Pro Light"/>
          <w:color w:val="000000"/>
          <w:sz w:val="21"/>
          <w:szCs w:val="21"/>
        </w:rPr>
      </w:pPr>
    </w:p>
    <w:p w14:paraId="19C1F82B" w14:textId="77777777" w:rsidR="00011A03" w:rsidRPr="00A007BF" w:rsidRDefault="00011A03" w:rsidP="00011A03">
      <w:pPr>
        <w:autoSpaceDE w:val="0"/>
        <w:autoSpaceDN w:val="0"/>
        <w:adjustRightInd w:val="0"/>
        <w:jc w:val="both"/>
        <w:rPr>
          <w:rFonts w:ascii="Abadi" w:hAnsi="Abadi" w:cs="Amasis MT Pro Light"/>
          <w:color w:val="000000"/>
          <w:sz w:val="21"/>
          <w:szCs w:val="21"/>
        </w:rPr>
      </w:pPr>
      <w:r w:rsidRPr="00A007BF">
        <w:rPr>
          <w:rFonts w:ascii="Abadi" w:hAnsi="Abadi" w:cs="Amasis MT Pro Light"/>
          <w:color w:val="000000"/>
          <w:sz w:val="21"/>
          <w:szCs w:val="21"/>
        </w:rPr>
        <w:t>En congruencia con lo anterior, el Pleno de la Suprema Corte de Justicia de la Nación, al conocer de las impugnaciones formuladas por la Comisión Nacional de los Derechos Humanos a la Ley de Justicia Cívica del Estado de Guanajuato, declaró la invalidez de las disposiciones combatidas en los términos siguientes:</w:t>
      </w:r>
    </w:p>
    <w:p w14:paraId="415A3E39" w14:textId="77777777" w:rsidR="00011A03" w:rsidRPr="00A007BF" w:rsidRDefault="00011A03" w:rsidP="00011A03">
      <w:pPr>
        <w:autoSpaceDE w:val="0"/>
        <w:autoSpaceDN w:val="0"/>
        <w:adjustRightInd w:val="0"/>
        <w:jc w:val="both"/>
        <w:rPr>
          <w:rFonts w:ascii="Abadi" w:hAnsi="Abadi" w:cs="Amasis MT Pro Light"/>
          <w:color w:val="000000"/>
          <w:sz w:val="21"/>
          <w:szCs w:val="21"/>
        </w:rPr>
      </w:pPr>
    </w:p>
    <w:p w14:paraId="3E11D7D0" w14:textId="1AD30C07" w:rsidR="00011A03" w:rsidRPr="00A007BF" w:rsidRDefault="00011A03" w:rsidP="00011A03">
      <w:pPr>
        <w:autoSpaceDE w:val="0"/>
        <w:autoSpaceDN w:val="0"/>
        <w:adjustRightInd w:val="0"/>
        <w:jc w:val="both"/>
        <w:rPr>
          <w:rFonts w:ascii="Abadi" w:hAnsi="Abadi" w:cs="Amasis MT Pro Light"/>
          <w:color w:val="000000"/>
          <w:sz w:val="21"/>
          <w:szCs w:val="21"/>
        </w:rPr>
      </w:pPr>
      <w:r w:rsidRPr="00A007BF">
        <w:rPr>
          <w:rFonts w:ascii="Abadi" w:eastAsia="TimesNewRomanPSMT" w:hAnsi="Abadi" w:cs="Arial"/>
          <w:color w:val="000000"/>
          <w:sz w:val="21"/>
          <w:szCs w:val="21"/>
        </w:rPr>
        <w:t xml:space="preserve">       </w:t>
      </w:r>
      <w:r w:rsidRPr="00A007BF">
        <w:rPr>
          <w:rFonts w:ascii="Arial" w:eastAsia="TimesNewRomanPSMT" w:hAnsi="Arial" w:cs="Arial"/>
          <w:color w:val="000000"/>
          <w:sz w:val="21"/>
          <w:szCs w:val="21"/>
        </w:rPr>
        <w:t>●</w:t>
      </w:r>
      <w:r w:rsidRPr="00A007BF">
        <w:rPr>
          <w:rFonts w:ascii="Abadi" w:eastAsia="TimesNewRomanPSMT" w:hAnsi="Abadi" w:cs="TimesNewRomanPSMT"/>
          <w:color w:val="000000"/>
          <w:sz w:val="21"/>
          <w:szCs w:val="21"/>
        </w:rPr>
        <w:t xml:space="preserve"> </w:t>
      </w:r>
      <w:r w:rsidRPr="00A007BF">
        <w:rPr>
          <w:rFonts w:ascii="Abadi" w:hAnsi="Abadi" w:cs="Amasis MT Pro Light"/>
          <w:color w:val="000000"/>
          <w:sz w:val="21"/>
          <w:szCs w:val="21"/>
        </w:rPr>
        <w:t>Consideró que las fracciones V de los artículos 8, 11, 13, 15 y 17,</w:t>
      </w:r>
      <w:r>
        <w:rPr>
          <w:rFonts w:ascii="Abadi" w:hAnsi="Abadi" w:cs="Amasis MT Pro Light"/>
          <w:color w:val="000000"/>
          <w:sz w:val="21"/>
          <w:szCs w:val="21"/>
        </w:rPr>
        <w:t xml:space="preserve"> </w:t>
      </w:r>
      <w:r w:rsidRPr="00A007BF">
        <w:rPr>
          <w:rFonts w:ascii="Abadi" w:hAnsi="Abadi" w:cs="Amasis MT Pro Light"/>
          <w:color w:val="000000"/>
          <w:sz w:val="21"/>
          <w:szCs w:val="21"/>
        </w:rPr>
        <w:t xml:space="preserve">respectivamente, por las </w:t>
      </w:r>
      <w:r>
        <w:rPr>
          <w:rFonts w:ascii="Abadi" w:hAnsi="Abadi" w:cs="Amasis MT Pro Light"/>
          <w:color w:val="000000"/>
          <w:sz w:val="21"/>
          <w:szCs w:val="21"/>
        </w:rPr>
        <w:tab/>
      </w:r>
      <w:r w:rsidRPr="00A007BF">
        <w:rPr>
          <w:rFonts w:ascii="Abadi" w:hAnsi="Abadi" w:cs="Amasis MT Pro Light"/>
          <w:color w:val="000000"/>
          <w:sz w:val="21"/>
          <w:szCs w:val="21"/>
        </w:rPr>
        <w:t>que se considera que para ser juez de justicia cívica,</w:t>
      </w:r>
      <w:r>
        <w:rPr>
          <w:rFonts w:ascii="Abadi" w:hAnsi="Abadi" w:cs="Amasis MT Pro Light"/>
          <w:color w:val="000000"/>
          <w:sz w:val="21"/>
          <w:szCs w:val="21"/>
        </w:rPr>
        <w:t xml:space="preserve"> </w:t>
      </w:r>
      <w:r w:rsidRPr="00A007BF">
        <w:rPr>
          <w:rFonts w:ascii="Abadi" w:hAnsi="Abadi" w:cs="Amasis MT Pro Light"/>
          <w:color w:val="000000"/>
          <w:sz w:val="21"/>
          <w:szCs w:val="21"/>
        </w:rPr>
        <w:t xml:space="preserve">facilitador de juzgado cívico, secretario, </w:t>
      </w:r>
      <w:r>
        <w:rPr>
          <w:rFonts w:ascii="Abadi" w:hAnsi="Abadi" w:cs="Amasis MT Pro Light"/>
          <w:color w:val="000000"/>
          <w:sz w:val="21"/>
          <w:szCs w:val="21"/>
        </w:rPr>
        <w:tab/>
      </w:r>
      <w:r w:rsidRPr="00A007BF">
        <w:rPr>
          <w:rFonts w:ascii="Abadi" w:hAnsi="Abadi" w:cs="Amasis MT Pro Light"/>
          <w:color w:val="000000"/>
          <w:sz w:val="21"/>
          <w:szCs w:val="21"/>
        </w:rPr>
        <w:t>defensor de oficio de juzgado cívico y</w:t>
      </w:r>
      <w:r>
        <w:rPr>
          <w:rFonts w:ascii="Abadi" w:hAnsi="Abadi" w:cs="Amasis MT Pro Light"/>
          <w:color w:val="000000"/>
          <w:sz w:val="21"/>
          <w:szCs w:val="21"/>
        </w:rPr>
        <w:t xml:space="preserve"> </w:t>
      </w:r>
      <w:r w:rsidRPr="00A007BF">
        <w:rPr>
          <w:rFonts w:ascii="Abadi" w:hAnsi="Abadi" w:cs="Amasis MT Pro Light"/>
          <w:color w:val="000000"/>
          <w:sz w:val="21"/>
          <w:szCs w:val="21"/>
        </w:rPr>
        <w:t xml:space="preserve">médico de juzgado cívico debe cumplir con el </w:t>
      </w:r>
      <w:r>
        <w:rPr>
          <w:rFonts w:ascii="Abadi" w:hAnsi="Abadi" w:cs="Amasis MT Pro Light"/>
          <w:color w:val="000000"/>
          <w:sz w:val="21"/>
          <w:szCs w:val="21"/>
        </w:rPr>
        <w:tab/>
      </w:r>
      <w:r w:rsidRPr="00A007BF">
        <w:rPr>
          <w:rFonts w:ascii="Abadi" w:hAnsi="Abadi" w:cs="Amasis MT Pro Light"/>
          <w:color w:val="000000"/>
          <w:sz w:val="21"/>
          <w:szCs w:val="21"/>
        </w:rPr>
        <w:t>requisito de no haber sido</w:t>
      </w:r>
      <w:r>
        <w:rPr>
          <w:rFonts w:ascii="Abadi" w:hAnsi="Abadi" w:cs="Amasis MT Pro Light"/>
          <w:color w:val="000000"/>
          <w:sz w:val="21"/>
          <w:szCs w:val="21"/>
        </w:rPr>
        <w:t xml:space="preserve"> </w:t>
      </w:r>
      <w:r w:rsidRPr="00A007BF">
        <w:rPr>
          <w:rFonts w:ascii="Abadi" w:hAnsi="Abadi" w:cs="Amasis MT Pro Light"/>
          <w:color w:val="000000"/>
          <w:sz w:val="21"/>
          <w:szCs w:val="21"/>
        </w:rPr>
        <w:t xml:space="preserve">suspendido o inhabilitado para el desempeño de un cargo </w:t>
      </w:r>
      <w:r>
        <w:rPr>
          <w:rFonts w:ascii="Abadi" w:hAnsi="Abadi" w:cs="Amasis MT Pro Light"/>
          <w:color w:val="000000"/>
          <w:sz w:val="21"/>
          <w:szCs w:val="21"/>
        </w:rPr>
        <w:tab/>
      </w:r>
      <w:r w:rsidRPr="00A007BF">
        <w:rPr>
          <w:rFonts w:ascii="Abadi" w:hAnsi="Abadi" w:cs="Amasis MT Pro Light"/>
          <w:color w:val="000000"/>
          <w:sz w:val="21"/>
          <w:szCs w:val="21"/>
        </w:rPr>
        <w:t>público,</w:t>
      </w:r>
      <w:r w:rsidR="0068013B">
        <w:rPr>
          <w:rFonts w:ascii="Abadi" w:hAnsi="Abadi" w:cs="Amasis MT Pro Light"/>
          <w:color w:val="000000"/>
          <w:sz w:val="21"/>
          <w:szCs w:val="21"/>
        </w:rPr>
        <w:t xml:space="preserve"> </w:t>
      </w:r>
      <w:r w:rsidRPr="00A007BF">
        <w:rPr>
          <w:rFonts w:ascii="Abadi" w:hAnsi="Abadi" w:cs="Amasis MT Pro Light"/>
          <w:color w:val="000000"/>
          <w:sz w:val="21"/>
          <w:szCs w:val="21"/>
        </w:rPr>
        <w:t>son</w:t>
      </w:r>
      <w:r>
        <w:rPr>
          <w:rFonts w:ascii="Abadi" w:hAnsi="Abadi" w:cs="Amasis MT Pro Light"/>
          <w:color w:val="000000"/>
          <w:sz w:val="21"/>
          <w:szCs w:val="21"/>
        </w:rPr>
        <w:t xml:space="preserve"> </w:t>
      </w:r>
      <w:r w:rsidRPr="00A007BF">
        <w:rPr>
          <w:rFonts w:ascii="Abadi" w:hAnsi="Abadi" w:cs="Amasis MT Pro Light"/>
          <w:color w:val="000000"/>
          <w:sz w:val="21"/>
          <w:szCs w:val="21"/>
        </w:rPr>
        <w:t>inconstitucionales, pues constituye una prohibición absoluta que resulta</w:t>
      </w:r>
      <w:r>
        <w:rPr>
          <w:rFonts w:ascii="Abadi" w:hAnsi="Abadi" w:cs="Amasis MT Pro Light"/>
          <w:color w:val="000000"/>
          <w:sz w:val="21"/>
          <w:szCs w:val="21"/>
        </w:rPr>
        <w:t xml:space="preserve"> </w:t>
      </w:r>
      <w:r w:rsidRPr="00A007BF">
        <w:rPr>
          <w:rFonts w:ascii="Abadi" w:hAnsi="Abadi" w:cs="Amasis MT Pro Light"/>
          <w:color w:val="000000"/>
          <w:sz w:val="21"/>
          <w:szCs w:val="21"/>
        </w:rPr>
        <w:t xml:space="preserve">          sobreinclusiva, por lo que no es una medida adecuada para cumplir con dicho</w:t>
      </w:r>
      <w:r>
        <w:rPr>
          <w:rFonts w:ascii="Abadi" w:hAnsi="Abadi" w:cs="Amasis MT Pro Light"/>
          <w:color w:val="000000"/>
          <w:sz w:val="21"/>
          <w:szCs w:val="21"/>
        </w:rPr>
        <w:t xml:space="preserve"> </w:t>
      </w:r>
      <w:r w:rsidRPr="00A007BF">
        <w:rPr>
          <w:rFonts w:ascii="Abadi" w:hAnsi="Abadi" w:cs="Amasis MT Pro Light"/>
          <w:color w:val="000000"/>
          <w:sz w:val="21"/>
          <w:szCs w:val="21"/>
        </w:rPr>
        <w:t>objetivo.</w:t>
      </w:r>
    </w:p>
    <w:p w14:paraId="4D912EDD" w14:textId="2D811F64" w:rsidR="00011A03" w:rsidRPr="00A007BF" w:rsidRDefault="00011A03" w:rsidP="00011A03">
      <w:pPr>
        <w:autoSpaceDE w:val="0"/>
        <w:autoSpaceDN w:val="0"/>
        <w:adjustRightInd w:val="0"/>
        <w:jc w:val="both"/>
        <w:rPr>
          <w:rFonts w:ascii="Abadi" w:hAnsi="Abadi" w:cs="Amasis MT Pro Light"/>
          <w:color w:val="000000"/>
          <w:sz w:val="21"/>
          <w:szCs w:val="21"/>
        </w:rPr>
      </w:pPr>
      <w:r w:rsidRPr="00A007BF">
        <w:rPr>
          <w:rFonts w:ascii="Abadi" w:eastAsia="TimesNewRomanPSMT" w:hAnsi="Abadi" w:cs="Arial"/>
          <w:color w:val="000000"/>
          <w:sz w:val="21"/>
          <w:szCs w:val="21"/>
        </w:rPr>
        <w:t xml:space="preserve">        </w:t>
      </w:r>
      <w:r w:rsidRPr="00A007BF">
        <w:rPr>
          <w:rFonts w:ascii="Arial" w:eastAsia="TimesNewRomanPSMT" w:hAnsi="Arial" w:cs="Arial"/>
          <w:color w:val="000000"/>
          <w:sz w:val="21"/>
          <w:szCs w:val="21"/>
        </w:rPr>
        <w:t>●</w:t>
      </w:r>
      <w:r w:rsidRPr="00A007BF">
        <w:rPr>
          <w:rFonts w:ascii="Abadi" w:eastAsia="TimesNewRomanPSMT" w:hAnsi="Abadi" w:cs="TimesNewRomanPSMT"/>
          <w:color w:val="000000"/>
          <w:sz w:val="21"/>
          <w:szCs w:val="21"/>
        </w:rPr>
        <w:t xml:space="preserve"> </w:t>
      </w:r>
      <w:r w:rsidRPr="00A007BF">
        <w:rPr>
          <w:rFonts w:ascii="Abadi" w:hAnsi="Abadi" w:cs="Amasis MT Pro Light"/>
          <w:color w:val="000000"/>
          <w:sz w:val="21"/>
          <w:szCs w:val="21"/>
        </w:rPr>
        <w:t>En relación con la fracción III del Artículo 66, que establece como infracción</w:t>
      </w:r>
      <w:r>
        <w:rPr>
          <w:rFonts w:ascii="Abadi" w:hAnsi="Abadi" w:cs="Amasis MT Pro Light"/>
          <w:color w:val="000000"/>
          <w:sz w:val="21"/>
          <w:szCs w:val="21"/>
        </w:rPr>
        <w:t xml:space="preserve"> </w:t>
      </w:r>
      <w:r w:rsidRPr="00A007BF">
        <w:rPr>
          <w:rFonts w:ascii="Abadi" w:hAnsi="Abadi" w:cs="Amasis MT Pro Light"/>
          <w:color w:val="000000"/>
          <w:sz w:val="21"/>
          <w:szCs w:val="21"/>
        </w:rPr>
        <w:t xml:space="preserve">en materia de </w:t>
      </w:r>
      <w:r>
        <w:rPr>
          <w:rFonts w:ascii="Abadi" w:hAnsi="Abadi" w:cs="Amasis MT Pro Light"/>
          <w:color w:val="000000"/>
          <w:sz w:val="21"/>
          <w:szCs w:val="21"/>
        </w:rPr>
        <w:tab/>
      </w:r>
      <w:r w:rsidRPr="00A007BF">
        <w:rPr>
          <w:rFonts w:ascii="Abadi" w:hAnsi="Abadi" w:cs="Amasis MT Pro Light"/>
          <w:color w:val="000000"/>
          <w:sz w:val="21"/>
          <w:szCs w:val="21"/>
        </w:rPr>
        <w:t>seguridad ciudadana el usar las áreas y vías públicas sin contar</w:t>
      </w:r>
      <w:r>
        <w:rPr>
          <w:rFonts w:ascii="Abadi" w:hAnsi="Abadi" w:cs="Amasis MT Pro Light"/>
          <w:color w:val="000000"/>
          <w:sz w:val="21"/>
          <w:szCs w:val="21"/>
        </w:rPr>
        <w:t xml:space="preserve"> </w:t>
      </w:r>
      <w:r w:rsidRPr="00A007BF">
        <w:rPr>
          <w:rFonts w:ascii="Abadi" w:hAnsi="Abadi" w:cs="Amasis MT Pro Light"/>
          <w:color w:val="000000"/>
          <w:sz w:val="21"/>
          <w:szCs w:val="21"/>
        </w:rPr>
        <w:t xml:space="preserve">con autorización; consideró </w:t>
      </w:r>
      <w:r>
        <w:rPr>
          <w:rFonts w:ascii="Abadi" w:hAnsi="Abadi" w:cs="Amasis MT Pro Light"/>
          <w:color w:val="000000"/>
          <w:sz w:val="21"/>
          <w:szCs w:val="21"/>
        </w:rPr>
        <w:tab/>
      </w:r>
      <w:r w:rsidRPr="00A007BF">
        <w:rPr>
          <w:rFonts w:ascii="Abadi" w:hAnsi="Abadi" w:cs="Amasis MT Pro Light"/>
          <w:color w:val="000000"/>
          <w:sz w:val="21"/>
          <w:szCs w:val="21"/>
        </w:rPr>
        <w:t>que ésta resulta contraria a los derechos</w:t>
      </w:r>
      <w:r>
        <w:rPr>
          <w:rFonts w:ascii="Abadi" w:hAnsi="Abadi" w:cs="Amasis MT Pro Light"/>
          <w:color w:val="000000"/>
          <w:sz w:val="21"/>
          <w:szCs w:val="21"/>
        </w:rPr>
        <w:t xml:space="preserve"> </w:t>
      </w:r>
      <w:r w:rsidRPr="00A007BF">
        <w:rPr>
          <w:rFonts w:ascii="Abadi" w:hAnsi="Abadi" w:cs="Amasis MT Pro Light"/>
          <w:color w:val="000000"/>
          <w:sz w:val="21"/>
          <w:szCs w:val="21"/>
        </w:rPr>
        <w:t xml:space="preserve">fundamentales de libertad de expresión, reunión </w:t>
      </w:r>
      <w:r>
        <w:rPr>
          <w:rFonts w:ascii="Abadi" w:hAnsi="Abadi" w:cs="Amasis MT Pro Light"/>
          <w:color w:val="000000"/>
          <w:sz w:val="21"/>
          <w:szCs w:val="21"/>
        </w:rPr>
        <w:tab/>
      </w:r>
      <w:r w:rsidRPr="00A007BF">
        <w:rPr>
          <w:rFonts w:ascii="Abadi" w:hAnsi="Abadi" w:cs="Amasis MT Pro Light"/>
          <w:color w:val="000000"/>
          <w:sz w:val="21"/>
          <w:szCs w:val="21"/>
        </w:rPr>
        <w:t>y asociación, ya que pedir una</w:t>
      </w:r>
      <w:r>
        <w:rPr>
          <w:rFonts w:ascii="Abadi" w:hAnsi="Abadi" w:cs="Amasis MT Pro Light"/>
          <w:color w:val="000000"/>
          <w:sz w:val="21"/>
          <w:szCs w:val="21"/>
        </w:rPr>
        <w:t xml:space="preserve"> </w:t>
      </w:r>
      <w:r w:rsidRPr="00A007BF">
        <w:rPr>
          <w:rFonts w:ascii="Abadi" w:hAnsi="Abadi" w:cs="Amasis MT Pro Light"/>
          <w:color w:val="000000"/>
          <w:sz w:val="21"/>
          <w:szCs w:val="21"/>
        </w:rPr>
        <w:t>autorización para el uso del espacio público es una exigencia que constituye</w:t>
      </w:r>
      <w:r>
        <w:rPr>
          <w:rFonts w:ascii="Abadi" w:hAnsi="Abadi" w:cs="Amasis MT Pro Light"/>
          <w:color w:val="000000"/>
          <w:sz w:val="21"/>
          <w:szCs w:val="21"/>
        </w:rPr>
        <w:t xml:space="preserve"> </w:t>
      </w:r>
      <w:r w:rsidRPr="00A007BF">
        <w:rPr>
          <w:rFonts w:ascii="Abadi" w:hAnsi="Abadi" w:cs="Amasis MT Pro Light"/>
          <w:color w:val="000000"/>
          <w:sz w:val="21"/>
          <w:szCs w:val="21"/>
        </w:rPr>
        <w:t>una censura previa de los mensajes y que hace depender su difusión de una</w:t>
      </w:r>
      <w:r>
        <w:rPr>
          <w:rFonts w:ascii="Abadi" w:hAnsi="Abadi" w:cs="Amasis MT Pro Light"/>
          <w:color w:val="000000"/>
          <w:sz w:val="21"/>
          <w:szCs w:val="21"/>
        </w:rPr>
        <w:t xml:space="preserve"> </w:t>
      </w:r>
      <w:r>
        <w:rPr>
          <w:rFonts w:ascii="Abadi" w:hAnsi="Abadi" w:cs="Amasis MT Pro Light"/>
          <w:color w:val="000000"/>
          <w:sz w:val="21"/>
          <w:szCs w:val="21"/>
        </w:rPr>
        <w:tab/>
      </w:r>
      <w:r w:rsidRPr="00A007BF">
        <w:rPr>
          <w:rFonts w:ascii="Abadi" w:hAnsi="Abadi" w:cs="Amasis MT Pro Light"/>
          <w:color w:val="000000"/>
          <w:sz w:val="21"/>
          <w:szCs w:val="21"/>
        </w:rPr>
        <w:t>decisión de las autoridades administrativas.</w:t>
      </w:r>
    </w:p>
    <w:p w14:paraId="55BFA821" w14:textId="77777777" w:rsidR="00011A03" w:rsidRPr="00A007BF" w:rsidRDefault="00011A03" w:rsidP="00011A03">
      <w:pPr>
        <w:autoSpaceDE w:val="0"/>
        <w:autoSpaceDN w:val="0"/>
        <w:adjustRightInd w:val="0"/>
        <w:jc w:val="both"/>
        <w:rPr>
          <w:rFonts w:ascii="Abadi" w:hAnsi="Abadi" w:cs="Amasis MT Pro Light"/>
          <w:color w:val="000000"/>
          <w:sz w:val="21"/>
          <w:szCs w:val="21"/>
        </w:rPr>
      </w:pPr>
    </w:p>
    <w:p w14:paraId="34A1DDA5" w14:textId="77777777" w:rsidR="00011A03" w:rsidRPr="00A007BF" w:rsidRDefault="00011A03" w:rsidP="00011A03">
      <w:pPr>
        <w:autoSpaceDE w:val="0"/>
        <w:autoSpaceDN w:val="0"/>
        <w:adjustRightInd w:val="0"/>
        <w:jc w:val="both"/>
        <w:rPr>
          <w:rFonts w:ascii="Abadi" w:hAnsi="Abadi" w:cs="Amasis MT Pro Light"/>
          <w:color w:val="000000"/>
          <w:sz w:val="21"/>
          <w:szCs w:val="21"/>
        </w:rPr>
      </w:pPr>
      <w:r w:rsidRPr="00A007BF">
        <w:rPr>
          <w:rFonts w:ascii="Abadi" w:hAnsi="Abadi" w:cs="Amasis MT Pro Light"/>
          <w:color w:val="000000"/>
          <w:sz w:val="21"/>
          <w:szCs w:val="21"/>
        </w:rPr>
        <w:t>Por lo anterior</w:t>
      </w:r>
      <w:r w:rsidRPr="00A007BF">
        <w:rPr>
          <w:rFonts w:ascii="Abadi" w:hAnsi="Abadi" w:cs="Amasis MT Pro Light"/>
          <w:b/>
          <w:bCs/>
          <w:color w:val="000000"/>
          <w:sz w:val="21"/>
          <w:szCs w:val="21"/>
        </w:rPr>
        <w:t>, con esta iniciativa se pretende derogar las disposiciones que ya ha considerado inválidas la Suprema Corte de Justicia de la Nación</w:t>
      </w:r>
      <w:r w:rsidRPr="00A007BF">
        <w:rPr>
          <w:rFonts w:ascii="Abadi" w:hAnsi="Abadi" w:cs="Amasis MT Pro Light"/>
          <w:color w:val="000000"/>
          <w:sz w:val="21"/>
          <w:szCs w:val="21"/>
        </w:rPr>
        <w:t>, pues se coincide tanto con la Comisión Nacional de los Derechos Humanos, como con el Tribunal    Supremo en que algunas disposiciones de esta nueva Ley, vulnera flagrantemente los derechos fundamentales de manifestación, libertad de tránsito, libertad de elección de profesión, etc.</w:t>
      </w:r>
    </w:p>
    <w:p w14:paraId="40C0CCBF" w14:textId="77777777" w:rsidR="00011A03" w:rsidRPr="00A007BF" w:rsidRDefault="00011A03" w:rsidP="00011A03">
      <w:pPr>
        <w:autoSpaceDE w:val="0"/>
        <w:autoSpaceDN w:val="0"/>
        <w:adjustRightInd w:val="0"/>
        <w:jc w:val="both"/>
        <w:rPr>
          <w:rFonts w:ascii="Abadi" w:hAnsi="Abadi" w:cs="Amasis MT Pro Light"/>
          <w:color w:val="000000"/>
          <w:sz w:val="21"/>
          <w:szCs w:val="21"/>
        </w:rPr>
      </w:pPr>
    </w:p>
    <w:p w14:paraId="3F7B9201" w14:textId="77777777" w:rsidR="00011A03" w:rsidRPr="00A007BF" w:rsidRDefault="00011A03" w:rsidP="00011A03">
      <w:pPr>
        <w:autoSpaceDE w:val="0"/>
        <w:autoSpaceDN w:val="0"/>
        <w:adjustRightInd w:val="0"/>
        <w:jc w:val="both"/>
        <w:rPr>
          <w:rFonts w:ascii="Abadi" w:hAnsi="Abadi" w:cs="Amasis MT Pro Light"/>
          <w:color w:val="000000"/>
          <w:sz w:val="21"/>
          <w:szCs w:val="21"/>
        </w:rPr>
      </w:pPr>
      <w:r w:rsidRPr="00A007BF">
        <w:rPr>
          <w:rFonts w:ascii="Abadi" w:hAnsi="Abadi" w:cs="Amasis MT Pro Light"/>
          <w:color w:val="000000"/>
          <w:sz w:val="21"/>
          <w:szCs w:val="21"/>
        </w:rPr>
        <w:t>En primera instancia, es oportuno referiero a que el requisito de “No haber sido suspendido o inhabilitado para el desempeño de un cargo público”, impide de manera injustificada que las personas accedan a los distintos cargos dentro de un juzgado cívico en el Estado de Guanajuato cuando hayan sido inhabilitadas o suspendidas para el desempeño de un cargo público. Lo anterior, aun cuando ya cumplieron con una pena impuesta.</w:t>
      </w:r>
    </w:p>
    <w:p w14:paraId="029D094F" w14:textId="77777777" w:rsidR="00011A03" w:rsidRPr="00A007BF" w:rsidRDefault="00011A03" w:rsidP="00011A03">
      <w:pPr>
        <w:autoSpaceDE w:val="0"/>
        <w:autoSpaceDN w:val="0"/>
        <w:adjustRightInd w:val="0"/>
        <w:jc w:val="both"/>
        <w:rPr>
          <w:rFonts w:ascii="Abadi" w:hAnsi="Abadi" w:cs="Amasis MT Pro Light"/>
          <w:color w:val="000000"/>
          <w:sz w:val="21"/>
          <w:szCs w:val="21"/>
        </w:rPr>
      </w:pPr>
    </w:p>
    <w:p w14:paraId="5D7AC01D" w14:textId="77777777" w:rsidR="00011A03" w:rsidRPr="00A007BF" w:rsidRDefault="00011A03" w:rsidP="00011A03">
      <w:pPr>
        <w:autoSpaceDE w:val="0"/>
        <w:autoSpaceDN w:val="0"/>
        <w:adjustRightInd w:val="0"/>
        <w:jc w:val="both"/>
        <w:rPr>
          <w:rFonts w:ascii="Abadi" w:hAnsi="Abadi" w:cs="Amasis MT Pro Light"/>
          <w:color w:val="000000"/>
          <w:sz w:val="21"/>
          <w:szCs w:val="21"/>
        </w:rPr>
      </w:pPr>
      <w:r w:rsidRPr="00A007BF">
        <w:rPr>
          <w:rFonts w:ascii="Abadi" w:hAnsi="Abadi" w:cs="Amasis MT Pro Light"/>
          <w:color w:val="000000"/>
          <w:sz w:val="21"/>
          <w:szCs w:val="21"/>
        </w:rPr>
        <w:t xml:space="preserve">En efecto, las disposiciones que se aprobaron en las fracciones V, de los Artículos 8, 11, 13, 15 y 17, respectivamente, limitan de forma </w:t>
      </w:r>
      <w:r w:rsidRPr="00A007BF">
        <w:rPr>
          <w:rFonts w:ascii="Abadi" w:hAnsi="Abadi" w:cs="Amasis MT Pro Light"/>
          <w:color w:val="000000"/>
          <w:sz w:val="21"/>
          <w:szCs w:val="21"/>
        </w:rPr>
        <w:t>genérica los derechos de las personas que fueron inhabilitadas o suspendidas en el servicio público, sin considerar si las conductas por las cuales fueron sancionadas se relacionan o no con las funciones que deban desempeñarse en los cargos en cuestión.</w:t>
      </w:r>
    </w:p>
    <w:p w14:paraId="4928FD04" w14:textId="77777777" w:rsidR="00011A03" w:rsidRPr="00A007BF" w:rsidRDefault="00011A03" w:rsidP="00011A03">
      <w:pPr>
        <w:autoSpaceDE w:val="0"/>
        <w:autoSpaceDN w:val="0"/>
        <w:adjustRightInd w:val="0"/>
        <w:jc w:val="both"/>
        <w:rPr>
          <w:rFonts w:ascii="Abadi" w:hAnsi="Abadi" w:cs="Amasis MT Pro Light"/>
          <w:color w:val="000000"/>
          <w:sz w:val="21"/>
          <w:szCs w:val="21"/>
        </w:rPr>
      </w:pPr>
    </w:p>
    <w:p w14:paraId="447F6330" w14:textId="77777777" w:rsidR="00011A03" w:rsidRPr="00A007BF" w:rsidRDefault="00011A03" w:rsidP="00011A03">
      <w:pPr>
        <w:autoSpaceDE w:val="0"/>
        <w:autoSpaceDN w:val="0"/>
        <w:adjustRightInd w:val="0"/>
        <w:jc w:val="both"/>
        <w:rPr>
          <w:rFonts w:ascii="Abadi" w:hAnsi="Abadi" w:cs="Amasis MT Pro Light"/>
          <w:color w:val="000000"/>
          <w:sz w:val="21"/>
          <w:szCs w:val="21"/>
        </w:rPr>
      </w:pPr>
      <w:r w:rsidRPr="00A007BF">
        <w:rPr>
          <w:rFonts w:ascii="Abadi" w:hAnsi="Abadi" w:cs="Amasis MT Pro Light"/>
          <w:color w:val="000000"/>
          <w:sz w:val="21"/>
          <w:szCs w:val="21"/>
        </w:rPr>
        <w:t>En ese sentido, esta iniciativa plantea que esas fracciones sean reformadas, manteniendo el espíritu que les dio vida, pero con la adecuación de que se les prohíba desempeñar esos encargos, siempre y cuando las conductas ilícitas por las que se les sancionó o inhabilitó, se encuentren estrechamente vinculadas con el empleo de que se trate.</w:t>
      </w:r>
    </w:p>
    <w:p w14:paraId="660CEF05" w14:textId="77777777" w:rsidR="00011A03" w:rsidRPr="00A007BF" w:rsidRDefault="00011A03" w:rsidP="00011A03">
      <w:pPr>
        <w:autoSpaceDE w:val="0"/>
        <w:autoSpaceDN w:val="0"/>
        <w:adjustRightInd w:val="0"/>
        <w:jc w:val="both"/>
        <w:rPr>
          <w:rFonts w:ascii="Abadi" w:hAnsi="Abadi" w:cs="Amasis MT Pro Light"/>
          <w:color w:val="000000"/>
          <w:sz w:val="21"/>
          <w:szCs w:val="21"/>
        </w:rPr>
      </w:pPr>
    </w:p>
    <w:p w14:paraId="193A70B4" w14:textId="77777777" w:rsidR="00011A03" w:rsidRPr="00A007BF" w:rsidRDefault="00011A03" w:rsidP="00011A03">
      <w:pPr>
        <w:autoSpaceDE w:val="0"/>
        <w:autoSpaceDN w:val="0"/>
        <w:adjustRightInd w:val="0"/>
        <w:jc w:val="both"/>
        <w:rPr>
          <w:rFonts w:ascii="Abadi" w:hAnsi="Abadi" w:cs="Amasis MT Pro Light"/>
          <w:color w:val="000000"/>
          <w:sz w:val="21"/>
          <w:szCs w:val="21"/>
        </w:rPr>
      </w:pPr>
      <w:r w:rsidRPr="00A007BF">
        <w:rPr>
          <w:rFonts w:ascii="Abadi" w:hAnsi="Abadi" w:cs="Amasis MT Pro Light"/>
          <w:color w:val="000000"/>
          <w:sz w:val="21"/>
          <w:szCs w:val="21"/>
        </w:rPr>
        <w:t>En este sentido, se coincide con el Organismo Autónomo de Derechos Humanos, en lo relativo a que:</w:t>
      </w:r>
    </w:p>
    <w:p w14:paraId="6D84EC19" w14:textId="77777777" w:rsidR="001A7355" w:rsidRDefault="001A7355" w:rsidP="001A7355">
      <w:pPr>
        <w:autoSpaceDE w:val="0"/>
        <w:autoSpaceDN w:val="0"/>
        <w:adjustRightInd w:val="0"/>
        <w:jc w:val="both"/>
        <w:rPr>
          <w:rFonts w:ascii="Abadi" w:hAnsi="Abadi" w:cs="Amasis MT Pro Light"/>
          <w:color w:val="000000"/>
          <w:sz w:val="21"/>
          <w:szCs w:val="21"/>
        </w:rPr>
      </w:pPr>
    </w:p>
    <w:p w14:paraId="1821787E" w14:textId="26C4F8AE" w:rsidR="00011A03" w:rsidRPr="00A007BF" w:rsidRDefault="00011A03" w:rsidP="001A7355">
      <w:pPr>
        <w:autoSpaceDE w:val="0"/>
        <w:autoSpaceDN w:val="0"/>
        <w:adjustRightInd w:val="0"/>
        <w:ind w:left="284"/>
        <w:jc w:val="both"/>
        <w:rPr>
          <w:rFonts w:ascii="Abadi" w:hAnsi="Abadi" w:cs="Amasis MT Pro Light"/>
          <w:color w:val="000000"/>
          <w:sz w:val="21"/>
          <w:szCs w:val="21"/>
        </w:rPr>
      </w:pPr>
      <w:r w:rsidRPr="00A007BF">
        <w:rPr>
          <w:rFonts w:ascii="Abadi" w:hAnsi="Abadi" w:cs="Amasis MT Pro Light"/>
          <w:color w:val="000000"/>
          <w:sz w:val="21"/>
          <w:szCs w:val="21"/>
        </w:rPr>
        <w:t>el requisito contenido en las fracciones V de los artículos 8, 11, 13, 15 y 17 de la ley impugnada, fue diseñado de tal forma genérica y absoluta que no podrán aspirar a ejercer ese cargo todas aquellas personas que hayan sido sancionadas</w:t>
      </w:r>
      <w:r w:rsidR="001A7355">
        <w:rPr>
          <w:rFonts w:ascii="Abadi" w:hAnsi="Abadi" w:cs="Amasis MT Pro Light"/>
          <w:color w:val="000000"/>
          <w:sz w:val="21"/>
          <w:szCs w:val="21"/>
        </w:rPr>
        <w:t xml:space="preserve"> </w:t>
      </w:r>
      <w:r w:rsidRPr="00A007BF">
        <w:rPr>
          <w:rFonts w:ascii="Abadi" w:hAnsi="Abadi" w:cs="Amasis MT Pro Light"/>
          <w:color w:val="000000"/>
          <w:sz w:val="21"/>
          <w:szCs w:val="21"/>
        </w:rPr>
        <w:t>con inhabilitación o suspensión en el servicio público, por lo cual se estima que</w:t>
      </w:r>
      <w:r w:rsidR="001A7355">
        <w:rPr>
          <w:rFonts w:ascii="Abadi" w:hAnsi="Abadi" w:cs="Amasis MT Pro Light"/>
          <w:color w:val="000000"/>
          <w:sz w:val="21"/>
          <w:szCs w:val="21"/>
        </w:rPr>
        <w:t xml:space="preserve"> </w:t>
      </w:r>
      <w:r w:rsidRPr="00A007BF">
        <w:rPr>
          <w:rFonts w:ascii="Abadi" w:hAnsi="Abadi" w:cs="Amasis MT Pro Light"/>
          <w:color w:val="000000"/>
          <w:sz w:val="21"/>
          <w:szCs w:val="21"/>
        </w:rPr>
        <w:t>las medidas legislativas resultan irrazonables y abiertamente</w:t>
      </w:r>
      <w:r w:rsidR="001A7355">
        <w:rPr>
          <w:rFonts w:ascii="Abadi" w:hAnsi="Abadi" w:cs="Amasis MT Pro Light"/>
          <w:color w:val="000000"/>
          <w:sz w:val="21"/>
          <w:szCs w:val="21"/>
        </w:rPr>
        <w:t xml:space="preserve"> </w:t>
      </w:r>
      <w:r w:rsidRPr="00A007BF">
        <w:rPr>
          <w:rFonts w:ascii="Abadi" w:hAnsi="Abadi" w:cs="Amasis MT Pro Light"/>
          <w:color w:val="000000"/>
          <w:sz w:val="21"/>
          <w:szCs w:val="21"/>
        </w:rPr>
        <w:t>desproporcionadas, puesto que no permiten identificar si la suspensión o</w:t>
      </w:r>
      <w:r w:rsidR="001A7355">
        <w:rPr>
          <w:rFonts w:ascii="Abadi" w:hAnsi="Abadi" w:cs="Amasis MT Pro Light"/>
          <w:color w:val="000000"/>
          <w:sz w:val="21"/>
          <w:szCs w:val="21"/>
        </w:rPr>
        <w:t xml:space="preserve"> </w:t>
      </w:r>
      <w:r w:rsidRPr="00A007BF">
        <w:rPr>
          <w:rFonts w:ascii="Abadi" w:hAnsi="Abadi" w:cs="Amasis MT Pro Light"/>
          <w:color w:val="000000"/>
          <w:sz w:val="21"/>
          <w:szCs w:val="21"/>
        </w:rPr>
        <w:t>inhabilitación se impuso por resolución firme de naturaleza penal, administrativa, civil o política; no distinguen entre sanciones impuestas por</w:t>
      </w:r>
      <w:r w:rsidR="001A7355">
        <w:rPr>
          <w:rFonts w:ascii="Abadi" w:hAnsi="Abadi" w:cs="Amasis MT Pro Light"/>
          <w:color w:val="000000"/>
          <w:sz w:val="21"/>
          <w:szCs w:val="21"/>
        </w:rPr>
        <w:t xml:space="preserve"> </w:t>
      </w:r>
      <w:r w:rsidRPr="00A007BF">
        <w:rPr>
          <w:rFonts w:ascii="Abadi" w:hAnsi="Abadi" w:cs="Amasis MT Pro Light"/>
          <w:color w:val="000000"/>
          <w:sz w:val="21"/>
          <w:szCs w:val="21"/>
        </w:rPr>
        <w:t>conductas dolosas o culposas, ni entre faltas o delitos graves o no graves; no</w:t>
      </w:r>
      <w:r w:rsidR="001A7355">
        <w:rPr>
          <w:rFonts w:ascii="Abadi" w:hAnsi="Abadi" w:cs="Amasis MT Pro Light"/>
          <w:color w:val="000000"/>
          <w:sz w:val="21"/>
          <w:szCs w:val="21"/>
        </w:rPr>
        <w:t xml:space="preserve"> </w:t>
      </w:r>
      <w:r w:rsidRPr="00A007BF">
        <w:rPr>
          <w:rFonts w:ascii="Abadi" w:hAnsi="Abadi" w:cs="Amasis MT Pro Light"/>
          <w:color w:val="000000"/>
          <w:sz w:val="21"/>
          <w:szCs w:val="21"/>
        </w:rPr>
        <w:t>contienen límite temporal, en cuanto a si la respectiva sanción fue impuesta</w:t>
      </w:r>
      <w:r w:rsidR="001A7355">
        <w:rPr>
          <w:rFonts w:ascii="Abadi" w:hAnsi="Abadi" w:cs="Amasis MT Pro Light"/>
          <w:color w:val="000000"/>
          <w:sz w:val="21"/>
          <w:szCs w:val="21"/>
        </w:rPr>
        <w:t xml:space="preserve"> </w:t>
      </w:r>
      <w:r w:rsidRPr="00A007BF">
        <w:rPr>
          <w:rFonts w:ascii="Abadi" w:hAnsi="Abadi" w:cs="Amasis MT Pro Light"/>
          <w:color w:val="000000"/>
          <w:sz w:val="21"/>
          <w:szCs w:val="21"/>
        </w:rPr>
        <w:t>hace varios años o de forma reciente; y no distinguen entre personas</w:t>
      </w:r>
      <w:r w:rsidR="001A7355">
        <w:rPr>
          <w:rFonts w:ascii="Abadi" w:hAnsi="Abadi" w:cs="Amasis MT Pro Light"/>
          <w:color w:val="000000"/>
          <w:sz w:val="21"/>
          <w:szCs w:val="21"/>
        </w:rPr>
        <w:t xml:space="preserve"> </w:t>
      </w:r>
      <w:r w:rsidRPr="00A007BF">
        <w:rPr>
          <w:rFonts w:ascii="Abadi" w:hAnsi="Abadi" w:cs="Amasis MT Pro Light"/>
          <w:color w:val="000000"/>
          <w:sz w:val="21"/>
          <w:szCs w:val="21"/>
        </w:rPr>
        <w:t>sancionadas que ya cumplieron con la respectiva sanción o pena, y entre</w:t>
      </w:r>
      <w:r>
        <w:rPr>
          <w:rFonts w:ascii="Abadi" w:hAnsi="Abadi" w:cs="Amasis MT Pro Light"/>
          <w:color w:val="000000"/>
          <w:sz w:val="21"/>
          <w:szCs w:val="21"/>
        </w:rPr>
        <w:t xml:space="preserve"> </w:t>
      </w:r>
      <w:r w:rsidRPr="00A007BF">
        <w:rPr>
          <w:rFonts w:ascii="Abadi" w:hAnsi="Abadi" w:cs="Amasis MT Pro Light"/>
          <w:color w:val="000000"/>
          <w:sz w:val="21"/>
          <w:szCs w:val="21"/>
        </w:rPr>
        <w:t>sanciones que están vigentes o siguen surtiendo sus efectos.</w:t>
      </w:r>
      <w:r>
        <w:rPr>
          <w:rStyle w:val="Refdenotaalpie"/>
          <w:rFonts w:ascii="Abadi" w:hAnsi="Abadi" w:cs="Amasis MT Pro Light"/>
          <w:color w:val="000000"/>
          <w:sz w:val="21"/>
          <w:szCs w:val="21"/>
        </w:rPr>
        <w:footnoteReference w:id="27"/>
      </w:r>
    </w:p>
    <w:p w14:paraId="571836D7" w14:textId="77777777" w:rsidR="00011A03" w:rsidRPr="00A007BF" w:rsidRDefault="00011A03" w:rsidP="00011A03">
      <w:pPr>
        <w:autoSpaceDE w:val="0"/>
        <w:autoSpaceDN w:val="0"/>
        <w:adjustRightInd w:val="0"/>
        <w:jc w:val="both"/>
        <w:rPr>
          <w:rFonts w:ascii="Abadi" w:hAnsi="Abadi" w:cs="Amasis MT Pro Light"/>
          <w:color w:val="000000"/>
          <w:sz w:val="21"/>
          <w:szCs w:val="21"/>
        </w:rPr>
      </w:pPr>
    </w:p>
    <w:p w14:paraId="56FCB15E" w14:textId="77777777" w:rsidR="00011A03" w:rsidRPr="00A007BF" w:rsidRDefault="00011A03" w:rsidP="00011A03">
      <w:pPr>
        <w:autoSpaceDE w:val="0"/>
        <w:autoSpaceDN w:val="0"/>
        <w:adjustRightInd w:val="0"/>
        <w:jc w:val="both"/>
        <w:rPr>
          <w:rFonts w:ascii="Abadi" w:hAnsi="Abadi" w:cs="Amasis MT Pro Light"/>
          <w:color w:val="000000"/>
          <w:sz w:val="21"/>
          <w:szCs w:val="21"/>
        </w:rPr>
      </w:pPr>
      <w:r w:rsidRPr="00A007BF">
        <w:rPr>
          <w:rFonts w:ascii="Abadi" w:hAnsi="Abadi" w:cs="Amasis MT Pro Light"/>
          <w:color w:val="000000"/>
          <w:sz w:val="21"/>
          <w:szCs w:val="21"/>
        </w:rPr>
        <w:t xml:space="preserve">Por otro lado, relativo a la fracción III del Artículo 66, se considera que deberá derogarse pues vulnera el derecho a la libertad de expresión que se encuentra reconocido, entre otros, en los artículos 6º de la Constitución Federal, 19 del Pacto Internacional de Derechos Civiles y Políticos y </w:t>
      </w:r>
      <w:r w:rsidRPr="00A007BF">
        <w:rPr>
          <w:rFonts w:ascii="Abadi" w:hAnsi="Abadi" w:cs="Amasis MT Pro Light"/>
          <w:color w:val="000000"/>
          <w:sz w:val="21"/>
          <w:szCs w:val="21"/>
        </w:rPr>
        <w:lastRenderedPageBreak/>
        <w:t>13 de la Convención Americana sobre Derechos Humanos.</w:t>
      </w:r>
    </w:p>
    <w:p w14:paraId="372D4621" w14:textId="77777777" w:rsidR="00011A03" w:rsidRPr="00A007BF" w:rsidRDefault="00011A03" w:rsidP="00011A03">
      <w:pPr>
        <w:autoSpaceDE w:val="0"/>
        <w:autoSpaceDN w:val="0"/>
        <w:adjustRightInd w:val="0"/>
        <w:jc w:val="both"/>
        <w:rPr>
          <w:rFonts w:ascii="Abadi" w:hAnsi="Abadi" w:cs="Amasis MT Pro Light"/>
          <w:color w:val="000000"/>
          <w:sz w:val="21"/>
          <w:szCs w:val="21"/>
        </w:rPr>
      </w:pPr>
    </w:p>
    <w:p w14:paraId="5EE837CD" w14:textId="77777777" w:rsidR="00011A03" w:rsidRPr="00A007BF" w:rsidRDefault="00011A03" w:rsidP="00011A03">
      <w:pPr>
        <w:autoSpaceDE w:val="0"/>
        <w:autoSpaceDN w:val="0"/>
        <w:adjustRightInd w:val="0"/>
        <w:jc w:val="both"/>
        <w:rPr>
          <w:rFonts w:ascii="Abadi" w:hAnsi="Abadi" w:cs="Amasis MT Pro Light"/>
          <w:color w:val="000000"/>
          <w:sz w:val="21"/>
          <w:szCs w:val="21"/>
        </w:rPr>
      </w:pPr>
      <w:r w:rsidRPr="00A007BF">
        <w:rPr>
          <w:rFonts w:ascii="Abadi" w:hAnsi="Abadi" w:cs="Amasis MT Pro Light"/>
          <w:color w:val="000000"/>
          <w:sz w:val="21"/>
          <w:szCs w:val="21"/>
        </w:rPr>
        <w:t xml:space="preserve">De acuerdo con </w:t>
      </w:r>
      <w:r w:rsidRPr="00A007BF">
        <w:rPr>
          <w:rFonts w:ascii="Abadi" w:hAnsi="Abadi" w:cs="Amasis MT Pro Light,Italic"/>
          <w:i/>
          <w:iCs/>
          <w:color w:val="000000"/>
          <w:sz w:val="21"/>
          <w:szCs w:val="21"/>
        </w:rPr>
        <w:t>Amnistía Internacional</w:t>
      </w:r>
      <w:r>
        <w:rPr>
          <w:rStyle w:val="Refdenotaalpie"/>
          <w:rFonts w:ascii="Abadi" w:hAnsi="Abadi" w:cs="Amasis MT Pro Light,Italic"/>
          <w:i/>
          <w:iCs/>
          <w:color w:val="000000"/>
          <w:sz w:val="21"/>
          <w:szCs w:val="21"/>
        </w:rPr>
        <w:footnoteReference w:id="28"/>
      </w:r>
      <w:r w:rsidRPr="00A007BF">
        <w:rPr>
          <w:rFonts w:ascii="Abadi" w:hAnsi="Abadi" w:cs="Amasis MT Pro Light"/>
          <w:color w:val="000000"/>
          <w:sz w:val="21"/>
          <w:szCs w:val="21"/>
        </w:rPr>
        <w:t>, el derecho a la libertad de expresión está consagrado en el artículo 19 de la Declaración Universal de Derechos Humanos, que describe sus elementos fundamentales como derecho consustancial a todas las</w:t>
      </w:r>
      <w:r>
        <w:rPr>
          <w:rFonts w:ascii="Abadi" w:hAnsi="Abadi" w:cs="Amasis MT Pro Light"/>
          <w:color w:val="000000"/>
          <w:sz w:val="21"/>
          <w:szCs w:val="21"/>
        </w:rPr>
        <w:t xml:space="preserve"> </w:t>
      </w:r>
      <w:r w:rsidRPr="00A007BF">
        <w:rPr>
          <w:rFonts w:ascii="Abadi" w:hAnsi="Abadi" w:cs="Amasis MT Pro Light"/>
          <w:color w:val="000000"/>
          <w:sz w:val="21"/>
          <w:szCs w:val="21"/>
        </w:rPr>
        <w:t>personas. Posteriormente, ese derecho ha quedado protegido en infinidad de tratados internacionales y regionales.</w:t>
      </w:r>
    </w:p>
    <w:p w14:paraId="0DB1AF2F" w14:textId="77777777" w:rsidR="00011A03" w:rsidRPr="00A007BF" w:rsidRDefault="00011A03" w:rsidP="00011A03">
      <w:pPr>
        <w:autoSpaceDE w:val="0"/>
        <w:autoSpaceDN w:val="0"/>
        <w:adjustRightInd w:val="0"/>
        <w:jc w:val="both"/>
        <w:rPr>
          <w:rFonts w:ascii="Abadi" w:hAnsi="Abadi" w:cs="Amasis MT Pro Light"/>
          <w:color w:val="000000"/>
          <w:sz w:val="21"/>
          <w:szCs w:val="21"/>
        </w:rPr>
      </w:pPr>
    </w:p>
    <w:p w14:paraId="749A4D47" w14:textId="77777777" w:rsidR="00011A03" w:rsidRPr="00A007BF" w:rsidRDefault="00011A03" w:rsidP="00011A03">
      <w:pPr>
        <w:autoSpaceDE w:val="0"/>
        <w:autoSpaceDN w:val="0"/>
        <w:adjustRightInd w:val="0"/>
        <w:jc w:val="both"/>
        <w:rPr>
          <w:rFonts w:ascii="Abadi" w:hAnsi="Abadi" w:cs="Amasis MT Pro Light"/>
          <w:color w:val="000000"/>
          <w:sz w:val="21"/>
          <w:szCs w:val="21"/>
        </w:rPr>
      </w:pPr>
      <w:r w:rsidRPr="00A007BF">
        <w:rPr>
          <w:rFonts w:ascii="Abadi" w:hAnsi="Abadi" w:cs="Amasis MT Pro Light"/>
          <w:color w:val="000000"/>
          <w:sz w:val="21"/>
          <w:szCs w:val="21"/>
        </w:rPr>
        <w:t>La importancia de la protección de la libertad de expresión es que se correlaciona con el ejercicio de otros derechos y libertades. En ese sentido, el derecho a la libertad de expresión no es un derecho más sino, en todo caso, uno de los primeros y más importantes fundamentos de toda la estructura democrática: el socavamiento de la libertad de expresión afecta directamente el nervio principal del sistema democrático.</w:t>
      </w:r>
    </w:p>
    <w:p w14:paraId="5E938744" w14:textId="77777777" w:rsidR="00011A03" w:rsidRDefault="00011A03" w:rsidP="00011A03">
      <w:pPr>
        <w:autoSpaceDE w:val="0"/>
        <w:autoSpaceDN w:val="0"/>
        <w:adjustRightInd w:val="0"/>
        <w:jc w:val="both"/>
        <w:rPr>
          <w:rFonts w:ascii="Abadi" w:hAnsi="Abadi" w:cs="Amasis MT Pro Light"/>
          <w:color w:val="000000"/>
          <w:sz w:val="21"/>
          <w:szCs w:val="21"/>
        </w:rPr>
      </w:pPr>
    </w:p>
    <w:p w14:paraId="5CB919E3" w14:textId="77777777" w:rsidR="00011A03" w:rsidRPr="00A007BF" w:rsidRDefault="00011A03" w:rsidP="00011A03">
      <w:pPr>
        <w:autoSpaceDE w:val="0"/>
        <w:autoSpaceDN w:val="0"/>
        <w:adjustRightInd w:val="0"/>
        <w:jc w:val="both"/>
        <w:rPr>
          <w:rFonts w:ascii="Abadi" w:hAnsi="Abadi" w:cs="Amasis MT Pro Light"/>
          <w:color w:val="000000"/>
          <w:sz w:val="21"/>
          <w:szCs w:val="21"/>
        </w:rPr>
      </w:pPr>
      <w:r w:rsidRPr="00A007BF">
        <w:rPr>
          <w:rFonts w:ascii="Abadi" w:hAnsi="Abadi" w:cs="Amasis MT Pro Light"/>
          <w:color w:val="000000"/>
          <w:sz w:val="21"/>
          <w:szCs w:val="21"/>
        </w:rPr>
        <w:t>La Comisión Nacional de los Derechos Humanos, sostiene que la peculiaridad de la libertad de expresión es que una manera de ejercerla es en la vía pública a través de una reunión de un grupo de personas. Es así como las movilizaciones sociales o reuniones de personas son una forma de expresión en donde se interrelacionan las diferentes dimensiones del derecho a expresarse, lo cual forzosamente provoca que se tenga incidencia en otros derechos humanos como la asociación o reunión pacífica.</w:t>
      </w:r>
    </w:p>
    <w:p w14:paraId="4422FFAB" w14:textId="77777777" w:rsidR="00011A03" w:rsidRPr="00A007BF" w:rsidRDefault="00011A03" w:rsidP="00011A03">
      <w:pPr>
        <w:autoSpaceDE w:val="0"/>
        <w:autoSpaceDN w:val="0"/>
        <w:adjustRightInd w:val="0"/>
        <w:jc w:val="both"/>
        <w:rPr>
          <w:rFonts w:ascii="Abadi" w:hAnsi="Abadi" w:cs="Amasis MT Pro Light"/>
          <w:color w:val="000000"/>
          <w:sz w:val="21"/>
          <w:szCs w:val="21"/>
        </w:rPr>
      </w:pPr>
    </w:p>
    <w:p w14:paraId="0DB713AC" w14:textId="77777777" w:rsidR="00011A03" w:rsidRPr="00A007BF" w:rsidRDefault="00011A03" w:rsidP="00011A03">
      <w:pPr>
        <w:autoSpaceDE w:val="0"/>
        <w:autoSpaceDN w:val="0"/>
        <w:adjustRightInd w:val="0"/>
        <w:jc w:val="both"/>
        <w:rPr>
          <w:rFonts w:ascii="Abadi" w:hAnsi="Abadi" w:cs="Amasis MT Pro Light"/>
          <w:color w:val="000000"/>
          <w:sz w:val="21"/>
          <w:szCs w:val="21"/>
        </w:rPr>
      </w:pPr>
      <w:r w:rsidRPr="00A007BF">
        <w:rPr>
          <w:rFonts w:ascii="Abadi" w:hAnsi="Abadi" w:cs="Amasis MT Pro Light"/>
          <w:color w:val="000000"/>
          <w:sz w:val="21"/>
          <w:szCs w:val="21"/>
        </w:rPr>
        <w:t>Mediante el ejercicio de la libertad de expresión y asociación, las personas pueden expresar sus opiniones políticas, participar en proyectos literarios y artísticos y en otras actividades culturales, económicas y sociales, participar en cultos religiosos o practicar otras creencias, formar sindicatos y afiliarse a ellos, y elegir dirigentes que representen sus intereses y respondan a sus actos</w:t>
      </w:r>
      <w:r>
        <w:rPr>
          <w:rStyle w:val="Refdenotaalpie"/>
          <w:rFonts w:ascii="Abadi" w:hAnsi="Abadi" w:cs="Amasis MT Pro Light"/>
          <w:color w:val="000000"/>
          <w:sz w:val="21"/>
          <w:szCs w:val="21"/>
        </w:rPr>
        <w:footnoteReference w:id="29"/>
      </w:r>
      <w:r w:rsidRPr="00A007BF">
        <w:rPr>
          <w:rFonts w:ascii="Abadi" w:hAnsi="Abadi" w:cs="Amasis MT Pro Light"/>
          <w:color w:val="000000"/>
          <w:sz w:val="21"/>
          <w:szCs w:val="21"/>
        </w:rPr>
        <w:t>.</w:t>
      </w:r>
    </w:p>
    <w:p w14:paraId="437A6B13" w14:textId="77777777" w:rsidR="00011A03" w:rsidRPr="00A007BF" w:rsidRDefault="00011A03" w:rsidP="00011A03">
      <w:pPr>
        <w:autoSpaceDE w:val="0"/>
        <w:autoSpaceDN w:val="0"/>
        <w:adjustRightInd w:val="0"/>
        <w:jc w:val="both"/>
        <w:rPr>
          <w:rFonts w:ascii="Abadi" w:hAnsi="Abadi" w:cs="Amasis MT Pro Light"/>
          <w:color w:val="000000"/>
          <w:sz w:val="21"/>
          <w:szCs w:val="21"/>
        </w:rPr>
      </w:pPr>
    </w:p>
    <w:p w14:paraId="4A6A9D94" w14:textId="77777777" w:rsidR="00011A03" w:rsidRPr="00A007BF" w:rsidRDefault="00011A03" w:rsidP="00011A03">
      <w:pPr>
        <w:autoSpaceDE w:val="0"/>
        <w:autoSpaceDN w:val="0"/>
        <w:adjustRightInd w:val="0"/>
        <w:jc w:val="both"/>
        <w:rPr>
          <w:rFonts w:ascii="Abadi" w:hAnsi="Abadi" w:cs="Amasis MT Pro Light"/>
          <w:color w:val="000000"/>
          <w:sz w:val="21"/>
          <w:szCs w:val="21"/>
        </w:rPr>
      </w:pPr>
      <w:r w:rsidRPr="00A007BF">
        <w:rPr>
          <w:rFonts w:ascii="Abadi" w:hAnsi="Abadi" w:cs="Amasis MT Pro Light"/>
          <w:color w:val="000000"/>
          <w:sz w:val="21"/>
          <w:szCs w:val="21"/>
        </w:rPr>
        <w:t xml:space="preserve">Por su parte el Máximo Tribunal, ha entendido que la libertad de asociación es un derecho complejo compuesto por libertades de índole positivas y negativas que implican, entre </w:t>
      </w:r>
      <w:r w:rsidRPr="00A007BF">
        <w:rPr>
          <w:rFonts w:ascii="Abadi" w:hAnsi="Abadi" w:cs="Amasis MT Pro Light"/>
          <w:color w:val="000000"/>
          <w:sz w:val="21"/>
          <w:szCs w:val="21"/>
        </w:rPr>
        <w:t>varias cuestiones, la posibilidad de que cualquier individuo pueda establecer, por sí mismo y junto con otras personas, una entidad con personalidad jurídica propia, cuyo objeto y finalidad lícita sea de libre elección. La libertad de reunión, en cambio y aunque se encuentra íntimamente relacionada con la de asociación, consiste en que todo individuo pueda congregarse o agruparse</w:t>
      </w:r>
      <w:r>
        <w:rPr>
          <w:rFonts w:ascii="Abadi" w:hAnsi="Abadi" w:cs="Amasis MT Pro Light"/>
          <w:color w:val="000000"/>
          <w:sz w:val="21"/>
          <w:szCs w:val="21"/>
        </w:rPr>
        <w:t xml:space="preserve"> </w:t>
      </w:r>
      <w:r w:rsidRPr="00A007BF">
        <w:rPr>
          <w:rFonts w:ascii="Abadi" w:hAnsi="Abadi" w:cs="Amasis MT Pro Light"/>
          <w:color w:val="000000"/>
          <w:sz w:val="21"/>
          <w:szCs w:val="21"/>
        </w:rPr>
        <w:t>temporalmente con otras personas, en un ámbito privado o público, pacíficamente, con un objeto determinado y sin que se forme una persona jurídica autónoma.</w:t>
      </w:r>
    </w:p>
    <w:p w14:paraId="772C2342" w14:textId="77777777" w:rsidR="00011A03" w:rsidRPr="00A007BF" w:rsidRDefault="00011A03" w:rsidP="00011A03">
      <w:pPr>
        <w:autoSpaceDE w:val="0"/>
        <w:autoSpaceDN w:val="0"/>
        <w:adjustRightInd w:val="0"/>
        <w:jc w:val="both"/>
        <w:rPr>
          <w:rFonts w:ascii="Abadi" w:hAnsi="Abadi" w:cs="Amasis MT Pro Light"/>
          <w:color w:val="000000"/>
          <w:sz w:val="21"/>
          <w:szCs w:val="21"/>
        </w:rPr>
      </w:pPr>
    </w:p>
    <w:p w14:paraId="73519BC7" w14:textId="77777777" w:rsidR="00011A03" w:rsidRPr="00A007BF" w:rsidRDefault="00011A03" w:rsidP="00011A03">
      <w:pPr>
        <w:autoSpaceDE w:val="0"/>
        <w:autoSpaceDN w:val="0"/>
        <w:adjustRightInd w:val="0"/>
        <w:jc w:val="both"/>
        <w:rPr>
          <w:rFonts w:ascii="Abadi" w:hAnsi="Abadi" w:cs="Amasis MT Pro Light"/>
          <w:color w:val="000000"/>
          <w:sz w:val="21"/>
          <w:szCs w:val="21"/>
        </w:rPr>
      </w:pPr>
      <w:r w:rsidRPr="00A007BF">
        <w:rPr>
          <w:rFonts w:ascii="Abadi" w:hAnsi="Abadi" w:cs="Amasis MT Pro Light"/>
          <w:color w:val="000000"/>
          <w:sz w:val="21"/>
          <w:szCs w:val="21"/>
        </w:rPr>
        <w:t>El artículo 1º de la Constitución Federal, dispone que el Estado debe respetar, proteger y garantizar todos los derechos humanos, en ese sentido, el Estado tiene la obligación de proteger activamente las reuniones pacíficas, incluyendo la salvaguarda de los participantes en reuniones pacíficas de los actos violentos perpetrados por otras personas o grupos con el fin de perturbar, alterar, distorsionar o dispersar tales reuniones.</w:t>
      </w:r>
    </w:p>
    <w:p w14:paraId="1CD2046D" w14:textId="77777777" w:rsidR="00011A03" w:rsidRPr="00A007BF" w:rsidRDefault="00011A03" w:rsidP="00011A03">
      <w:pPr>
        <w:autoSpaceDE w:val="0"/>
        <w:autoSpaceDN w:val="0"/>
        <w:adjustRightInd w:val="0"/>
        <w:jc w:val="both"/>
        <w:rPr>
          <w:rFonts w:ascii="Abadi" w:hAnsi="Abadi" w:cs="Amasis MT Pro Light"/>
          <w:color w:val="000000"/>
          <w:sz w:val="21"/>
          <w:szCs w:val="21"/>
        </w:rPr>
      </w:pPr>
    </w:p>
    <w:p w14:paraId="40008910" w14:textId="77777777" w:rsidR="00011A03" w:rsidRDefault="00011A03" w:rsidP="00011A03">
      <w:pPr>
        <w:autoSpaceDE w:val="0"/>
        <w:autoSpaceDN w:val="0"/>
        <w:adjustRightInd w:val="0"/>
        <w:jc w:val="both"/>
        <w:rPr>
          <w:rFonts w:ascii="Abadi" w:hAnsi="Abadi" w:cs="Amasis MT Pro Light"/>
          <w:color w:val="000000"/>
          <w:sz w:val="21"/>
          <w:szCs w:val="21"/>
        </w:rPr>
      </w:pPr>
      <w:r w:rsidRPr="00A007BF">
        <w:rPr>
          <w:rFonts w:ascii="Abadi" w:hAnsi="Abadi" w:cs="Amasis MT Pro Light"/>
          <w:color w:val="000000"/>
          <w:sz w:val="21"/>
          <w:szCs w:val="21"/>
        </w:rPr>
        <w:t xml:space="preserve">La Suprema Corte de Justicia de la Nación, sostiene que el Estado sólo podrá imponer restricciones a las modalidades del ejercicio del mismo que sean necesarias y proporcionales al objetivo planteado, pero nunca a su contenido o mensaje. </w:t>
      </w:r>
    </w:p>
    <w:p w14:paraId="6F96FEE1" w14:textId="77777777" w:rsidR="00011A03" w:rsidRDefault="00011A03" w:rsidP="00011A03">
      <w:pPr>
        <w:autoSpaceDE w:val="0"/>
        <w:autoSpaceDN w:val="0"/>
        <w:adjustRightInd w:val="0"/>
        <w:jc w:val="both"/>
        <w:rPr>
          <w:rFonts w:ascii="Abadi" w:hAnsi="Abadi" w:cs="Amasis MT Pro Light"/>
          <w:color w:val="000000"/>
          <w:sz w:val="21"/>
          <w:szCs w:val="21"/>
        </w:rPr>
      </w:pPr>
    </w:p>
    <w:p w14:paraId="0EBCF64D" w14:textId="77777777" w:rsidR="00011A03" w:rsidRPr="00A007BF" w:rsidRDefault="00011A03" w:rsidP="00011A03">
      <w:pPr>
        <w:autoSpaceDE w:val="0"/>
        <w:autoSpaceDN w:val="0"/>
        <w:adjustRightInd w:val="0"/>
        <w:jc w:val="both"/>
        <w:rPr>
          <w:rFonts w:ascii="Abadi" w:hAnsi="Abadi" w:cs="Amasis MT Pro Light"/>
          <w:color w:val="000000"/>
          <w:sz w:val="21"/>
          <w:szCs w:val="21"/>
        </w:rPr>
      </w:pPr>
      <w:r w:rsidRPr="00A007BF">
        <w:rPr>
          <w:rFonts w:ascii="Abadi" w:hAnsi="Abadi" w:cs="Amasis MT Pro Light"/>
          <w:color w:val="000000"/>
          <w:sz w:val="21"/>
          <w:szCs w:val="21"/>
        </w:rPr>
        <w:t>Al respecto, el Tribunal Pleno ha señalado que ningún derecho humano es absoluto, por lo que podrán admitirse cierto tipo de restricciones al ejercicio de los derechos, mismas que deberán interpretarse restrictivamente a fin de respetar el principio pro-persona. La libertad será la regla y la restricción su excepción, teniendo como premisa</w:t>
      </w:r>
      <w:r>
        <w:rPr>
          <w:rFonts w:ascii="Abadi" w:hAnsi="Abadi" w:cs="Amasis MT Pro Light"/>
          <w:color w:val="000000"/>
          <w:sz w:val="21"/>
          <w:szCs w:val="21"/>
        </w:rPr>
        <w:t xml:space="preserve"> </w:t>
      </w:r>
      <w:r w:rsidRPr="00A007BF">
        <w:rPr>
          <w:rFonts w:ascii="Abadi" w:hAnsi="Abadi" w:cs="Amasis MT Pro Light"/>
          <w:color w:val="000000"/>
          <w:sz w:val="21"/>
          <w:szCs w:val="21"/>
        </w:rPr>
        <w:t>que deberá darse prioridad normativa a las excepciones previstas en el texto de la Constitución Federal.</w:t>
      </w:r>
    </w:p>
    <w:p w14:paraId="0241A57E" w14:textId="77777777" w:rsidR="00011A03" w:rsidRPr="00A007BF" w:rsidRDefault="00011A03" w:rsidP="00011A03">
      <w:pPr>
        <w:autoSpaceDE w:val="0"/>
        <w:autoSpaceDN w:val="0"/>
        <w:adjustRightInd w:val="0"/>
        <w:jc w:val="both"/>
        <w:rPr>
          <w:rFonts w:ascii="Abadi" w:hAnsi="Abadi" w:cs="Amasis MT Pro Light"/>
          <w:color w:val="000000"/>
          <w:sz w:val="21"/>
          <w:szCs w:val="21"/>
        </w:rPr>
      </w:pPr>
    </w:p>
    <w:p w14:paraId="2B768B1F" w14:textId="77777777" w:rsidR="00011A03" w:rsidRPr="00A007BF" w:rsidRDefault="00011A03" w:rsidP="00011A03">
      <w:pPr>
        <w:autoSpaceDE w:val="0"/>
        <w:autoSpaceDN w:val="0"/>
        <w:adjustRightInd w:val="0"/>
        <w:jc w:val="both"/>
        <w:rPr>
          <w:rFonts w:ascii="Abadi" w:hAnsi="Abadi" w:cs="Amasis MT Pro Light"/>
          <w:color w:val="000000"/>
          <w:sz w:val="21"/>
          <w:szCs w:val="21"/>
        </w:rPr>
      </w:pPr>
      <w:r w:rsidRPr="00A007BF">
        <w:rPr>
          <w:rFonts w:ascii="Abadi" w:hAnsi="Abadi" w:cs="Amasis MT Pro Light"/>
          <w:color w:val="000000"/>
          <w:sz w:val="21"/>
          <w:szCs w:val="21"/>
        </w:rPr>
        <w:t xml:space="preserve">En el caso en particular, tanto la Convención Americana, como el Pacto Internacional de Derechos Civiles y Políticos, en los numerales que regulan el derecho a la reunión y asociación, establecen que podrá ser restringido, pero que dichas limitaciones sólo serán válidas si están previstas por ley y son </w:t>
      </w:r>
      <w:r w:rsidRPr="00A007BF">
        <w:rPr>
          <w:rFonts w:ascii="Abadi" w:hAnsi="Abadi" w:cs="Amasis MT Pro Light"/>
          <w:color w:val="000000"/>
          <w:sz w:val="21"/>
          <w:szCs w:val="21"/>
        </w:rPr>
        <w:lastRenderedPageBreak/>
        <w:t>necesarias en una sociedad democrática en interés de la seguridad nacional, seguridad pública, orden público o para proteger la salud o la moral públicas o los derechos y libertades de los demás.</w:t>
      </w:r>
    </w:p>
    <w:p w14:paraId="7DC3EE84" w14:textId="77777777" w:rsidR="00011A03" w:rsidRPr="00A007BF" w:rsidRDefault="00011A03" w:rsidP="00011A03">
      <w:pPr>
        <w:autoSpaceDE w:val="0"/>
        <w:autoSpaceDN w:val="0"/>
        <w:adjustRightInd w:val="0"/>
        <w:jc w:val="both"/>
        <w:rPr>
          <w:rFonts w:ascii="Abadi" w:hAnsi="Abadi" w:cs="Amasis MT Pro Light"/>
          <w:color w:val="000000"/>
          <w:sz w:val="21"/>
          <w:szCs w:val="21"/>
        </w:rPr>
      </w:pPr>
    </w:p>
    <w:p w14:paraId="60A22F05" w14:textId="77777777" w:rsidR="00011A03" w:rsidRPr="00A007BF" w:rsidRDefault="00011A03" w:rsidP="00011A03">
      <w:pPr>
        <w:autoSpaceDE w:val="0"/>
        <w:autoSpaceDN w:val="0"/>
        <w:adjustRightInd w:val="0"/>
        <w:jc w:val="both"/>
        <w:rPr>
          <w:rFonts w:ascii="Abadi" w:hAnsi="Abadi" w:cs="Amasis MT Pro Light"/>
          <w:color w:val="000000"/>
          <w:sz w:val="21"/>
          <w:szCs w:val="21"/>
        </w:rPr>
      </w:pPr>
      <w:r w:rsidRPr="00A007BF">
        <w:rPr>
          <w:rFonts w:ascii="Abadi" w:hAnsi="Abadi" w:cs="Amasis MT Pro Light"/>
          <w:color w:val="000000"/>
          <w:sz w:val="21"/>
          <w:szCs w:val="21"/>
        </w:rPr>
        <w:t>Lo analizado recobra gran importancia pues previo a la aprobación de la Ley de Justicia Cívica para el Estado de Guanajuato, que fue duramente criticada por los organismos de derechos humanos y finalmente invalidada por la SCJN en las disposiciones que se mencionaron en esta exposición de motivos, se llevaron a cabo diversas manifestaciones de colectivas feministas que fueron severamente reprimidas por los cuerpos policiacos de seguridad pública estatal y municipal.</w:t>
      </w:r>
    </w:p>
    <w:p w14:paraId="48F2B067" w14:textId="77777777" w:rsidR="00011A03" w:rsidRPr="00A007BF" w:rsidRDefault="00011A03" w:rsidP="00011A03">
      <w:pPr>
        <w:autoSpaceDE w:val="0"/>
        <w:autoSpaceDN w:val="0"/>
        <w:adjustRightInd w:val="0"/>
        <w:jc w:val="both"/>
        <w:rPr>
          <w:rFonts w:ascii="Abadi" w:hAnsi="Abadi" w:cs="Amasis MT Pro Light"/>
          <w:color w:val="000000"/>
          <w:sz w:val="21"/>
          <w:szCs w:val="21"/>
        </w:rPr>
      </w:pPr>
    </w:p>
    <w:p w14:paraId="2166343D" w14:textId="77777777" w:rsidR="00011A03" w:rsidRPr="00A007BF" w:rsidRDefault="00011A03" w:rsidP="00011A03">
      <w:pPr>
        <w:autoSpaceDE w:val="0"/>
        <w:autoSpaceDN w:val="0"/>
        <w:adjustRightInd w:val="0"/>
        <w:jc w:val="both"/>
        <w:rPr>
          <w:rFonts w:ascii="Abadi" w:hAnsi="Abadi" w:cs="Amasis MT Pro Light"/>
          <w:color w:val="000000"/>
          <w:sz w:val="21"/>
          <w:szCs w:val="21"/>
        </w:rPr>
      </w:pPr>
      <w:r w:rsidRPr="00A007BF">
        <w:rPr>
          <w:rFonts w:ascii="Abadi" w:hAnsi="Abadi" w:cs="Amasis MT Pro Light"/>
          <w:color w:val="000000"/>
          <w:sz w:val="21"/>
          <w:szCs w:val="21"/>
        </w:rPr>
        <w:t>Las colectivas feministas, en el ejercicio pleno de sus derechos de asociación y libertad de expresión, se manifestaron en julio y luego en agosto de 2020, ambas movilizaciones fueron reprimidas por elementos del estado y policías municipales. De estos hechos se derivaron recomendaciones por violaciones a Derechos Humanos, pero los agentes que ejercieron violencia quedaron impunes.</w:t>
      </w:r>
    </w:p>
    <w:p w14:paraId="68EED350" w14:textId="77777777" w:rsidR="00011A03" w:rsidRPr="00A007BF" w:rsidRDefault="00011A03" w:rsidP="00011A03">
      <w:pPr>
        <w:autoSpaceDE w:val="0"/>
        <w:autoSpaceDN w:val="0"/>
        <w:adjustRightInd w:val="0"/>
        <w:jc w:val="both"/>
        <w:rPr>
          <w:rFonts w:ascii="Abadi" w:hAnsi="Abadi" w:cs="Amasis MT Pro Light"/>
          <w:color w:val="000000"/>
          <w:sz w:val="21"/>
          <w:szCs w:val="21"/>
        </w:rPr>
      </w:pPr>
    </w:p>
    <w:p w14:paraId="2D2D8505" w14:textId="77777777" w:rsidR="00011A03" w:rsidRPr="00A007BF" w:rsidRDefault="00011A03" w:rsidP="00011A03">
      <w:pPr>
        <w:autoSpaceDE w:val="0"/>
        <w:autoSpaceDN w:val="0"/>
        <w:adjustRightInd w:val="0"/>
        <w:jc w:val="both"/>
        <w:rPr>
          <w:rFonts w:ascii="Abadi" w:hAnsi="Abadi" w:cs="Amasis MT Pro Light"/>
          <w:color w:val="000000"/>
          <w:sz w:val="21"/>
          <w:szCs w:val="21"/>
        </w:rPr>
      </w:pPr>
      <w:r w:rsidRPr="00A007BF">
        <w:rPr>
          <w:rFonts w:ascii="Abadi" w:hAnsi="Abadi" w:cs="Amasis MT Pro Light"/>
          <w:color w:val="000000"/>
          <w:sz w:val="21"/>
          <w:szCs w:val="21"/>
        </w:rPr>
        <w:t>El 10 de julio de 2020, el colectivo de búsqueda de personas desaparecidas “Hasta Encontrarte”, decidió tomar la entrada de la ciudad de Guanajuato para rechazar la designación del titular Comisión de Búsqueda en Guanajuato, Héctor Díaz Ezquerra. La manifestación fue reprimida por elementos de las Fuerzas de Seguridad Pública del Estado y cuatro mujeres resultaron detenidas e incluso, por supuesta “confusión” fue encarcelado un visitador adjunto de la coordinación del programa de personas desaparecidas de la Primera Visitaduría de la Comisión Nacional de los Derechos Humanos.</w:t>
      </w:r>
    </w:p>
    <w:p w14:paraId="4654EC4E" w14:textId="77777777" w:rsidR="00011A03" w:rsidRPr="00A007BF" w:rsidRDefault="00011A03" w:rsidP="00011A03">
      <w:pPr>
        <w:autoSpaceDE w:val="0"/>
        <w:autoSpaceDN w:val="0"/>
        <w:adjustRightInd w:val="0"/>
        <w:jc w:val="both"/>
        <w:rPr>
          <w:rFonts w:ascii="Abadi" w:hAnsi="Abadi" w:cs="Amasis MT Pro Light"/>
          <w:color w:val="000000"/>
          <w:sz w:val="21"/>
          <w:szCs w:val="21"/>
        </w:rPr>
      </w:pPr>
    </w:p>
    <w:p w14:paraId="42FA3DDC" w14:textId="77777777" w:rsidR="00011A03" w:rsidRPr="00A007BF" w:rsidRDefault="00011A03" w:rsidP="00011A03">
      <w:pPr>
        <w:autoSpaceDE w:val="0"/>
        <w:autoSpaceDN w:val="0"/>
        <w:adjustRightInd w:val="0"/>
        <w:jc w:val="both"/>
        <w:rPr>
          <w:rFonts w:ascii="Abadi" w:hAnsi="Abadi" w:cs="Amasis MT Pro Light"/>
          <w:color w:val="000000"/>
          <w:sz w:val="21"/>
          <w:szCs w:val="21"/>
        </w:rPr>
      </w:pPr>
      <w:r w:rsidRPr="00A007BF">
        <w:rPr>
          <w:rFonts w:ascii="Abadi" w:hAnsi="Abadi" w:cs="Amasis MT Pro Light"/>
          <w:color w:val="000000"/>
          <w:sz w:val="21"/>
          <w:szCs w:val="21"/>
        </w:rPr>
        <w:t>Otro lamentable caso de represión tuvo lugar la tarde del 22 de agosto de ese mismo año, cuando un grupo de más de 100 mujeres participó en un acto de protesta expresando su indignación por la denuncia de una agresión sexual de policías de León en contra de una joven. La protesta comenzó a partir de las 18:00 horas en la Plaza Expiatorio desarrollándose marchas por varias calles del centro de la ciudad. Mediante el uso excesivo y desproporcionado de la fuerza, elementos de seguridad golpearon, jalonearon y agredieron a las manifestantes.</w:t>
      </w:r>
    </w:p>
    <w:p w14:paraId="1523EC61" w14:textId="77777777" w:rsidR="00011A03" w:rsidRPr="00A007BF" w:rsidRDefault="00011A03" w:rsidP="00011A03">
      <w:pPr>
        <w:autoSpaceDE w:val="0"/>
        <w:autoSpaceDN w:val="0"/>
        <w:adjustRightInd w:val="0"/>
        <w:jc w:val="both"/>
        <w:rPr>
          <w:rFonts w:ascii="Abadi" w:hAnsi="Abadi" w:cs="Amasis MT Pro Light"/>
          <w:color w:val="000000"/>
          <w:sz w:val="21"/>
          <w:szCs w:val="21"/>
        </w:rPr>
      </w:pPr>
    </w:p>
    <w:p w14:paraId="1E2FF558" w14:textId="77777777" w:rsidR="00011A03" w:rsidRPr="00A007BF" w:rsidRDefault="00011A03" w:rsidP="00011A03">
      <w:pPr>
        <w:autoSpaceDE w:val="0"/>
        <w:autoSpaceDN w:val="0"/>
        <w:adjustRightInd w:val="0"/>
        <w:jc w:val="both"/>
        <w:rPr>
          <w:rFonts w:ascii="Abadi" w:hAnsi="Abadi" w:cs="Amasis MT Pro Light"/>
          <w:color w:val="000000"/>
          <w:sz w:val="21"/>
          <w:szCs w:val="21"/>
        </w:rPr>
      </w:pPr>
      <w:r w:rsidRPr="00A007BF">
        <w:rPr>
          <w:rFonts w:ascii="Abadi" w:hAnsi="Abadi" w:cs="Amasis MT Pro Light"/>
          <w:color w:val="000000"/>
          <w:sz w:val="21"/>
          <w:szCs w:val="21"/>
        </w:rPr>
        <w:t xml:space="preserve">Por lo expuesto, nuestra labor legislativa debe centrarse en emitir leyes que no vulneren los derechos fundamentales consagrados en nuestra Constitución Política y que no legalicen la represión que se vive en nuestro Estado; en congruencia con lo expresado, me permito exponer de manera más detallada la reforma propuesta a través de un cuadro comparativo; cabe señalar que la siguiente propuesta rescata el criterio sostenido por la Comisión Nacional de Derechos Humanos, relativo a los Página requisitos que exige la ley para ocupar ciertos cargos dispuestos en la Ley de Justicia Cívica del Estado de Guanajuato. </w:t>
      </w:r>
    </w:p>
    <w:p w14:paraId="30E3FBF9" w14:textId="77777777" w:rsidR="00011A03" w:rsidRPr="00A007BF" w:rsidRDefault="00011A03" w:rsidP="00011A03">
      <w:pPr>
        <w:autoSpaceDE w:val="0"/>
        <w:autoSpaceDN w:val="0"/>
        <w:adjustRightInd w:val="0"/>
        <w:jc w:val="both"/>
        <w:rPr>
          <w:rFonts w:ascii="Abadi" w:hAnsi="Abadi" w:cs="Amasis MT Pro Light"/>
          <w:color w:val="000000"/>
          <w:sz w:val="21"/>
          <w:szCs w:val="21"/>
        </w:rPr>
      </w:pPr>
    </w:p>
    <w:p w14:paraId="50161604" w14:textId="77777777" w:rsidR="00B160BE" w:rsidRDefault="00011A03" w:rsidP="00B160BE">
      <w:pPr>
        <w:autoSpaceDE w:val="0"/>
        <w:autoSpaceDN w:val="0"/>
        <w:adjustRightInd w:val="0"/>
        <w:jc w:val="both"/>
        <w:rPr>
          <w:rFonts w:ascii="Abadi" w:hAnsi="Abadi" w:cs="Amasis MT Pro Light"/>
          <w:color w:val="000000"/>
          <w:sz w:val="21"/>
          <w:szCs w:val="21"/>
        </w:rPr>
      </w:pPr>
      <w:r w:rsidRPr="00A007BF">
        <w:rPr>
          <w:rFonts w:ascii="Abadi" w:hAnsi="Abadi" w:cs="Amasis MT Pro Light"/>
          <w:color w:val="000000"/>
          <w:sz w:val="21"/>
          <w:szCs w:val="21"/>
        </w:rPr>
        <w:t>De ser aprobada, la presente iniciativa tendría los siguientes impactos:</w:t>
      </w:r>
    </w:p>
    <w:p w14:paraId="073AA094" w14:textId="77777777" w:rsidR="00B160BE" w:rsidRDefault="00B160BE" w:rsidP="00B160BE">
      <w:pPr>
        <w:autoSpaceDE w:val="0"/>
        <w:autoSpaceDN w:val="0"/>
        <w:adjustRightInd w:val="0"/>
        <w:jc w:val="both"/>
        <w:rPr>
          <w:rFonts w:ascii="Abadi" w:hAnsi="Abadi" w:cs="Amasis MT Pro Light"/>
          <w:color w:val="000000"/>
          <w:sz w:val="21"/>
          <w:szCs w:val="21"/>
        </w:rPr>
      </w:pPr>
    </w:p>
    <w:p w14:paraId="02AA2180" w14:textId="4671CFB8" w:rsidR="00011A03" w:rsidRPr="00A365D1" w:rsidRDefault="00011A03">
      <w:pPr>
        <w:pStyle w:val="Prrafodelista"/>
        <w:numPr>
          <w:ilvl w:val="0"/>
          <w:numId w:val="18"/>
        </w:numPr>
        <w:autoSpaceDE w:val="0"/>
        <w:autoSpaceDN w:val="0"/>
        <w:adjustRightInd w:val="0"/>
        <w:jc w:val="both"/>
        <w:rPr>
          <w:rFonts w:ascii="Abadi" w:hAnsi="Abadi" w:cs="Amasis MT Pro Light"/>
          <w:color w:val="000000"/>
          <w:sz w:val="21"/>
          <w:szCs w:val="21"/>
        </w:rPr>
      </w:pPr>
      <w:r w:rsidRPr="00A365D1">
        <w:rPr>
          <w:rFonts w:ascii="Abadi" w:hAnsi="Abadi" w:cs="Amasis MT Pro Light"/>
          <w:b/>
          <w:bCs/>
          <w:color w:val="000000"/>
          <w:sz w:val="21"/>
          <w:szCs w:val="21"/>
        </w:rPr>
        <w:t>Jurídico:</w:t>
      </w:r>
      <w:r w:rsidRPr="00A365D1">
        <w:rPr>
          <w:rFonts w:ascii="Abadi" w:hAnsi="Abadi" w:cs="Amasis MT Pro Light"/>
          <w:color w:val="000000"/>
          <w:sz w:val="21"/>
          <w:szCs w:val="21"/>
        </w:rPr>
        <w:t xml:space="preserve"> Se modifica el marco jurídico de la entidad para hacerlo compatible con los principios constitucionales.</w:t>
      </w:r>
    </w:p>
    <w:p w14:paraId="53D3D7A2" w14:textId="77777777" w:rsidR="00011A03" w:rsidRPr="00A007BF" w:rsidRDefault="00011A03" w:rsidP="00011A03">
      <w:pPr>
        <w:autoSpaceDE w:val="0"/>
        <w:autoSpaceDN w:val="0"/>
        <w:adjustRightInd w:val="0"/>
        <w:jc w:val="both"/>
        <w:rPr>
          <w:rFonts w:ascii="Abadi" w:hAnsi="Abadi" w:cs="Amasis MT Pro Light"/>
          <w:color w:val="000000"/>
          <w:sz w:val="21"/>
          <w:szCs w:val="21"/>
        </w:rPr>
      </w:pPr>
    </w:p>
    <w:p w14:paraId="01043B2C" w14:textId="5C5016A4" w:rsidR="00011A03" w:rsidRPr="00A365D1" w:rsidRDefault="00011A03">
      <w:pPr>
        <w:pStyle w:val="Prrafodelista"/>
        <w:numPr>
          <w:ilvl w:val="0"/>
          <w:numId w:val="18"/>
        </w:numPr>
        <w:autoSpaceDE w:val="0"/>
        <w:autoSpaceDN w:val="0"/>
        <w:adjustRightInd w:val="0"/>
        <w:jc w:val="both"/>
        <w:rPr>
          <w:rFonts w:ascii="Abadi" w:hAnsi="Abadi" w:cs="Amasis MT Pro Light"/>
          <w:color w:val="000000"/>
          <w:sz w:val="21"/>
          <w:szCs w:val="21"/>
        </w:rPr>
      </w:pPr>
      <w:r w:rsidRPr="00A365D1">
        <w:rPr>
          <w:rFonts w:ascii="Abadi" w:hAnsi="Abadi" w:cs="Amasis MT Pro Light"/>
          <w:b/>
          <w:bCs/>
          <w:color w:val="000000"/>
          <w:sz w:val="21"/>
          <w:szCs w:val="21"/>
        </w:rPr>
        <w:t>Administrativo</w:t>
      </w:r>
      <w:r w:rsidRPr="00A365D1">
        <w:rPr>
          <w:rFonts w:ascii="Abadi" w:hAnsi="Abadi" w:cs="Amasis MT Pro Light"/>
          <w:color w:val="000000"/>
          <w:sz w:val="21"/>
          <w:szCs w:val="21"/>
        </w:rPr>
        <w:t>: La presente iniciativa no supone impactos administrativos directos, en tanto             que no se generan nuevas estructuras administrativas.</w:t>
      </w:r>
    </w:p>
    <w:p w14:paraId="1A5EBEE2" w14:textId="77777777" w:rsidR="00011A03" w:rsidRDefault="00011A03" w:rsidP="00011A03">
      <w:pPr>
        <w:pStyle w:val="Prrafodelista"/>
        <w:autoSpaceDE w:val="0"/>
        <w:autoSpaceDN w:val="0"/>
        <w:adjustRightInd w:val="0"/>
        <w:ind w:left="1080"/>
        <w:jc w:val="both"/>
        <w:rPr>
          <w:rFonts w:ascii="Abadi" w:hAnsi="Abadi" w:cs="Amasis MT Pro Light"/>
          <w:b/>
          <w:bCs/>
          <w:color w:val="000000"/>
          <w:sz w:val="21"/>
          <w:szCs w:val="21"/>
        </w:rPr>
      </w:pPr>
    </w:p>
    <w:p w14:paraId="3FCDAAE9" w14:textId="7613848A" w:rsidR="00011A03" w:rsidRPr="00A007BF" w:rsidRDefault="00011A03">
      <w:pPr>
        <w:pStyle w:val="Prrafodelista"/>
        <w:numPr>
          <w:ilvl w:val="0"/>
          <w:numId w:val="18"/>
        </w:numPr>
        <w:autoSpaceDE w:val="0"/>
        <w:autoSpaceDN w:val="0"/>
        <w:adjustRightInd w:val="0"/>
        <w:jc w:val="both"/>
        <w:rPr>
          <w:rFonts w:ascii="Abadi" w:hAnsi="Abadi" w:cs="Amasis MT Pro Light"/>
          <w:color w:val="000000"/>
          <w:sz w:val="21"/>
          <w:szCs w:val="21"/>
        </w:rPr>
      </w:pPr>
      <w:r w:rsidRPr="009444C6">
        <w:rPr>
          <w:rFonts w:ascii="Abadi" w:hAnsi="Abadi" w:cs="Amasis MT Pro Light"/>
          <w:b/>
          <w:bCs/>
          <w:color w:val="000000"/>
          <w:sz w:val="21"/>
          <w:szCs w:val="21"/>
        </w:rPr>
        <w:t>Presupuestal:</w:t>
      </w:r>
      <w:r w:rsidRPr="00A007BF">
        <w:rPr>
          <w:rFonts w:ascii="Abadi" w:hAnsi="Abadi" w:cs="Amasis MT Pro Light"/>
          <w:color w:val="000000"/>
          <w:sz w:val="21"/>
          <w:szCs w:val="21"/>
        </w:rPr>
        <w:t xml:space="preserve"> La presente no supone impactos presupuestarios directos.</w:t>
      </w:r>
    </w:p>
    <w:p w14:paraId="50228492" w14:textId="77777777" w:rsidR="00011A03" w:rsidRPr="00A007BF" w:rsidRDefault="00011A03" w:rsidP="00011A03">
      <w:pPr>
        <w:pStyle w:val="Prrafodelista"/>
        <w:autoSpaceDE w:val="0"/>
        <w:autoSpaceDN w:val="0"/>
        <w:adjustRightInd w:val="0"/>
        <w:ind w:left="1080"/>
        <w:jc w:val="both"/>
        <w:rPr>
          <w:rFonts w:ascii="Abadi" w:hAnsi="Abadi" w:cs="Amasis MT Pro Light"/>
          <w:color w:val="000000"/>
          <w:sz w:val="21"/>
          <w:szCs w:val="21"/>
        </w:rPr>
      </w:pPr>
    </w:p>
    <w:p w14:paraId="04B8B417" w14:textId="47457166" w:rsidR="00011A03" w:rsidRPr="00A365D1" w:rsidRDefault="00011A03">
      <w:pPr>
        <w:pStyle w:val="Prrafodelista"/>
        <w:numPr>
          <w:ilvl w:val="0"/>
          <w:numId w:val="18"/>
        </w:numPr>
        <w:autoSpaceDE w:val="0"/>
        <w:autoSpaceDN w:val="0"/>
        <w:adjustRightInd w:val="0"/>
        <w:jc w:val="both"/>
        <w:rPr>
          <w:rFonts w:ascii="Abadi" w:hAnsi="Abadi" w:cs="Amasis MT Pro Light"/>
          <w:color w:val="000000"/>
          <w:sz w:val="21"/>
          <w:szCs w:val="21"/>
        </w:rPr>
      </w:pPr>
      <w:r w:rsidRPr="00A365D1">
        <w:rPr>
          <w:rFonts w:ascii="Abadi" w:hAnsi="Abadi" w:cs="Amasis MT Pro Light"/>
          <w:b/>
          <w:bCs/>
          <w:color w:val="000000"/>
          <w:sz w:val="21"/>
          <w:szCs w:val="21"/>
        </w:rPr>
        <w:t>Social:</w:t>
      </w:r>
      <w:r w:rsidRPr="00A365D1">
        <w:rPr>
          <w:rFonts w:ascii="Abadi" w:hAnsi="Abadi" w:cs="Amasis MT Pro Light"/>
          <w:color w:val="000000"/>
          <w:sz w:val="21"/>
          <w:szCs w:val="21"/>
        </w:rPr>
        <w:t xml:space="preserve"> Con la presente iniciativa se contribuye a garantizar los derecho</w:t>
      </w:r>
      <w:r w:rsidR="00A365D1">
        <w:rPr>
          <w:rFonts w:ascii="Abadi" w:hAnsi="Abadi" w:cs="Amasis MT Pro Light"/>
          <w:color w:val="000000"/>
          <w:sz w:val="21"/>
          <w:szCs w:val="21"/>
        </w:rPr>
        <w:t>s</w:t>
      </w:r>
      <w:r w:rsidRPr="00A365D1">
        <w:rPr>
          <w:rFonts w:ascii="Abadi" w:hAnsi="Abadi" w:cs="Amasis MT Pro Light"/>
          <w:color w:val="000000"/>
          <w:sz w:val="21"/>
          <w:szCs w:val="21"/>
        </w:rPr>
        <w:t xml:space="preserve"> la no discriminación, la libertad del trabajo y a la libertad de expresión.</w:t>
      </w:r>
    </w:p>
    <w:p w14:paraId="3CE189E8" w14:textId="77777777" w:rsidR="00011A03" w:rsidRPr="00A007BF" w:rsidRDefault="00011A03" w:rsidP="00011A03">
      <w:pPr>
        <w:autoSpaceDE w:val="0"/>
        <w:autoSpaceDN w:val="0"/>
        <w:adjustRightInd w:val="0"/>
        <w:jc w:val="both"/>
        <w:rPr>
          <w:rFonts w:ascii="Abadi" w:hAnsi="Abadi" w:cs="Amasis MT Pro Light"/>
          <w:color w:val="000000"/>
          <w:sz w:val="21"/>
          <w:szCs w:val="21"/>
        </w:rPr>
      </w:pPr>
    </w:p>
    <w:p w14:paraId="12DD7001" w14:textId="71BBF91E" w:rsidR="00011A03" w:rsidRPr="00A007BF" w:rsidRDefault="00011A03" w:rsidP="00011A03">
      <w:pPr>
        <w:autoSpaceDE w:val="0"/>
        <w:autoSpaceDN w:val="0"/>
        <w:adjustRightInd w:val="0"/>
        <w:jc w:val="both"/>
        <w:rPr>
          <w:rFonts w:ascii="Abadi" w:hAnsi="Abadi" w:cs="Amasis MT Pro Light"/>
          <w:color w:val="000000"/>
          <w:sz w:val="21"/>
          <w:szCs w:val="21"/>
        </w:rPr>
      </w:pPr>
      <w:r w:rsidRPr="00A007BF">
        <w:rPr>
          <w:rFonts w:ascii="Abadi" w:hAnsi="Abadi" w:cs="Amasis MT Pro Light"/>
          <w:color w:val="000000"/>
          <w:sz w:val="21"/>
          <w:szCs w:val="21"/>
        </w:rPr>
        <w:t>Por lo anteriormente expuesto someto a la consideración de esta Soberanía el</w:t>
      </w:r>
      <w:r w:rsidR="00A365D1">
        <w:rPr>
          <w:rFonts w:ascii="Abadi" w:hAnsi="Abadi" w:cs="Amasis MT Pro Light"/>
          <w:color w:val="000000"/>
          <w:sz w:val="21"/>
          <w:szCs w:val="21"/>
        </w:rPr>
        <w:t xml:space="preserve"> </w:t>
      </w:r>
      <w:r w:rsidRPr="00A007BF">
        <w:rPr>
          <w:rFonts w:ascii="Abadi" w:hAnsi="Abadi" w:cs="Amasis MT Pro Light"/>
          <w:color w:val="000000"/>
          <w:sz w:val="21"/>
          <w:szCs w:val="21"/>
        </w:rPr>
        <w:t>siguiente proyecto de:</w:t>
      </w:r>
    </w:p>
    <w:p w14:paraId="541EA4F6" w14:textId="77777777" w:rsidR="00011A03" w:rsidRPr="00A007BF" w:rsidRDefault="00011A03" w:rsidP="00011A03">
      <w:pPr>
        <w:autoSpaceDE w:val="0"/>
        <w:autoSpaceDN w:val="0"/>
        <w:adjustRightInd w:val="0"/>
        <w:jc w:val="both"/>
        <w:rPr>
          <w:rFonts w:ascii="Abadi" w:hAnsi="Abadi" w:cs="Amasis MT Pro Light"/>
          <w:color w:val="000000"/>
          <w:sz w:val="21"/>
          <w:szCs w:val="21"/>
        </w:rPr>
      </w:pPr>
    </w:p>
    <w:p w14:paraId="36AB5FF6" w14:textId="77777777" w:rsidR="00011A03" w:rsidRPr="00A007BF" w:rsidRDefault="00011A03" w:rsidP="00011A03">
      <w:pPr>
        <w:autoSpaceDE w:val="0"/>
        <w:autoSpaceDN w:val="0"/>
        <w:adjustRightInd w:val="0"/>
        <w:jc w:val="center"/>
        <w:rPr>
          <w:rFonts w:ascii="Abadi" w:hAnsi="Abadi" w:cs="Amasis MT Pro Light"/>
          <w:b/>
          <w:bCs/>
          <w:color w:val="000000"/>
          <w:sz w:val="21"/>
          <w:szCs w:val="21"/>
        </w:rPr>
      </w:pPr>
      <w:r w:rsidRPr="00A007BF">
        <w:rPr>
          <w:rFonts w:ascii="Abadi" w:hAnsi="Abadi" w:cs="Amasis MT Pro Light"/>
          <w:b/>
          <w:bCs/>
          <w:color w:val="000000"/>
          <w:sz w:val="21"/>
          <w:szCs w:val="21"/>
        </w:rPr>
        <w:t>DECRETO</w:t>
      </w:r>
    </w:p>
    <w:p w14:paraId="678D3E1A" w14:textId="77777777" w:rsidR="00011A03" w:rsidRPr="00A007BF" w:rsidRDefault="00011A03" w:rsidP="00011A03">
      <w:pPr>
        <w:autoSpaceDE w:val="0"/>
        <w:autoSpaceDN w:val="0"/>
        <w:adjustRightInd w:val="0"/>
        <w:jc w:val="both"/>
        <w:rPr>
          <w:rFonts w:ascii="Abadi" w:hAnsi="Abadi" w:cs="Amasis MT Pro Light"/>
          <w:b/>
          <w:bCs/>
          <w:color w:val="000000"/>
          <w:sz w:val="21"/>
          <w:szCs w:val="21"/>
        </w:rPr>
      </w:pPr>
    </w:p>
    <w:p w14:paraId="30944E34" w14:textId="77777777" w:rsidR="00011A03" w:rsidRPr="00A007BF" w:rsidRDefault="00011A03" w:rsidP="00011A03">
      <w:pPr>
        <w:autoSpaceDE w:val="0"/>
        <w:autoSpaceDN w:val="0"/>
        <w:adjustRightInd w:val="0"/>
        <w:jc w:val="both"/>
        <w:rPr>
          <w:rFonts w:ascii="Abadi" w:hAnsi="Abadi" w:cs="Amasis MT Pro Light"/>
          <w:color w:val="000000"/>
          <w:sz w:val="21"/>
          <w:szCs w:val="21"/>
        </w:rPr>
      </w:pPr>
      <w:r w:rsidRPr="00A007BF">
        <w:rPr>
          <w:rFonts w:ascii="Abadi" w:hAnsi="Abadi" w:cs="Amasis MT Pro Light"/>
          <w:b/>
          <w:bCs/>
          <w:color w:val="000000"/>
          <w:sz w:val="21"/>
          <w:szCs w:val="21"/>
        </w:rPr>
        <w:t>ÚNICO.</w:t>
      </w:r>
      <w:r w:rsidRPr="00A007BF">
        <w:rPr>
          <w:rFonts w:ascii="Abadi" w:hAnsi="Abadi" w:cs="Amasis MT Pro Light"/>
          <w:color w:val="000000"/>
          <w:sz w:val="21"/>
          <w:szCs w:val="21"/>
        </w:rPr>
        <w:t xml:space="preserve"> Se reforman las fracciones V de los Artículos 8, 11, 13, 15 y 17,</w:t>
      </w:r>
      <w:r>
        <w:rPr>
          <w:rFonts w:ascii="Abadi" w:hAnsi="Abadi" w:cs="Amasis MT Pro Light"/>
          <w:color w:val="000000"/>
          <w:sz w:val="21"/>
          <w:szCs w:val="21"/>
        </w:rPr>
        <w:t xml:space="preserve"> </w:t>
      </w:r>
      <w:r w:rsidRPr="00A007BF">
        <w:rPr>
          <w:rFonts w:ascii="Abadi" w:hAnsi="Abadi" w:cs="Amasis MT Pro Light"/>
          <w:color w:val="000000"/>
          <w:sz w:val="21"/>
          <w:szCs w:val="21"/>
        </w:rPr>
        <w:t>respectivamente; se deroga la fracción III y se reforma el párrafo tercero del Artículo</w:t>
      </w:r>
      <w:r>
        <w:rPr>
          <w:rFonts w:ascii="Abadi" w:hAnsi="Abadi" w:cs="Amasis MT Pro Light"/>
          <w:color w:val="000000"/>
          <w:sz w:val="21"/>
          <w:szCs w:val="21"/>
        </w:rPr>
        <w:t xml:space="preserve"> </w:t>
      </w:r>
      <w:r w:rsidRPr="00A007BF">
        <w:rPr>
          <w:rFonts w:ascii="Abadi" w:hAnsi="Abadi" w:cs="Amasis MT Pro Light"/>
          <w:color w:val="000000"/>
          <w:sz w:val="21"/>
          <w:szCs w:val="21"/>
        </w:rPr>
        <w:t>66, todo lo anterior de la Ley de Justicia Cívica del Estado de Guanajuato, para quedar</w:t>
      </w:r>
      <w:r>
        <w:rPr>
          <w:rFonts w:ascii="Abadi" w:hAnsi="Abadi" w:cs="Amasis MT Pro Light"/>
          <w:color w:val="000000"/>
          <w:sz w:val="21"/>
          <w:szCs w:val="21"/>
        </w:rPr>
        <w:t xml:space="preserve"> </w:t>
      </w:r>
      <w:r w:rsidRPr="00A007BF">
        <w:rPr>
          <w:rFonts w:ascii="Abadi" w:hAnsi="Abadi" w:cs="Amasis MT Pro Light"/>
          <w:color w:val="000000"/>
          <w:sz w:val="21"/>
          <w:szCs w:val="21"/>
        </w:rPr>
        <w:t>como sigue:</w:t>
      </w:r>
    </w:p>
    <w:p w14:paraId="328C3051" w14:textId="77777777" w:rsidR="00A365D1" w:rsidRDefault="00A365D1" w:rsidP="00011A03">
      <w:pPr>
        <w:autoSpaceDE w:val="0"/>
        <w:autoSpaceDN w:val="0"/>
        <w:adjustRightInd w:val="0"/>
        <w:jc w:val="both"/>
        <w:rPr>
          <w:rFonts w:ascii="Abadi" w:hAnsi="Abadi" w:cs="Amasis MT Pro Light"/>
          <w:color w:val="000000"/>
          <w:sz w:val="21"/>
          <w:szCs w:val="21"/>
        </w:rPr>
      </w:pPr>
    </w:p>
    <w:p w14:paraId="16EBD2CD" w14:textId="77777777" w:rsidR="00A365D1" w:rsidRDefault="00A365D1" w:rsidP="00A365D1">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lastRenderedPageBreak/>
        <w:tab/>
      </w:r>
      <w:r w:rsidR="00011A03" w:rsidRPr="00A007BF">
        <w:rPr>
          <w:rFonts w:ascii="Abadi" w:hAnsi="Abadi" w:cs="Amasis MT Pro Light"/>
          <w:color w:val="000000"/>
          <w:sz w:val="21"/>
          <w:szCs w:val="21"/>
        </w:rPr>
        <w:t>Artículo 8. Para ser Juez de</w:t>
      </w:r>
      <w:r>
        <w:rPr>
          <w:rFonts w:ascii="Abadi" w:hAnsi="Abadi" w:cs="Amasis MT Pro Light"/>
          <w:color w:val="000000"/>
          <w:sz w:val="21"/>
          <w:szCs w:val="21"/>
        </w:rPr>
        <w:t xml:space="preserve"> </w:t>
      </w:r>
      <w:r w:rsidR="00011A03" w:rsidRPr="00A007BF">
        <w:rPr>
          <w:rFonts w:ascii="Abadi" w:hAnsi="Abadi" w:cs="Amasis MT Pro Light"/>
          <w:color w:val="000000"/>
          <w:sz w:val="21"/>
          <w:szCs w:val="21"/>
        </w:rPr>
        <w:t xml:space="preserve">Justicia </w:t>
      </w:r>
      <w:r>
        <w:rPr>
          <w:rFonts w:ascii="Abadi" w:hAnsi="Abadi" w:cs="Amasis MT Pro Light"/>
          <w:color w:val="000000"/>
          <w:sz w:val="21"/>
          <w:szCs w:val="21"/>
        </w:rPr>
        <w:tab/>
      </w:r>
      <w:r w:rsidR="00011A03" w:rsidRPr="00A007BF">
        <w:rPr>
          <w:rFonts w:ascii="Abadi" w:hAnsi="Abadi" w:cs="Amasis MT Pro Light"/>
          <w:color w:val="000000"/>
          <w:sz w:val="21"/>
          <w:szCs w:val="21"/>
        </w:rPr>
        <w:t>Cívica se deben reunir los siguientes</w:t>
      </w:r>
      <w:r>
        <w:rPr>
          <w:rFonts w:ascii="Abadi" w:hAnsi="Abadi" w:cs="Amasis MT Pro Light"/>
          <w:color w:val="000000"/>
          <w:sz w:val="21"/>
          <w:szCs w:val="21"/>
        </w:rPr>
        <w:t xml:space="preserve"> </w:t>
      </w:r>
      <w:r>
        <w:rPr>
          <w:rFonts w:ascii="Abadi" w:hAnsi="Abadi" w:cs="Amasis MT Pro Light"/>
          <w:color w:val="000000"/>
          <w:sz w:val="21"/>
          <w:szCs w:val="21"/>
        </w:rPr>
        <w:tab/>
      </w:r>
      <w:r w:rsidR="00011A03" w:rsidRPr="00A007BF">
        <w:rPr>
          <w:rFonts w:ascii="Abadi" w:hAnsi="Abadi" w:cs="Amasis MT Pro Light"/>
          <w:color w:val="000000"/>
          <w:sz w:val="21"/>
          <w:szCs w:val="21"/>
        </w:rPr>
        <w:t>requisitos:</w:t>
      </w:r>
    </w:p>
    <w:p w14:paraId="3B0209E2" w14:textId="77777777" w:rsidR="0014302D" w:rsidRDefault="00A365D1" w:rsidP="00011A03">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p>
    <w:p w14:paraId="27C2ABA3" w14:textId="584204BB" w:rsidR="0014302D" w:rsidRDefault="0014302D" w:rsidP="00011A03">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r w:rsidR="00011A03">
        <w:rPr>
          <w:rFonts w:ascii="Amasis MT Pro Light" w:hAnsi="Amasis MT Pro Light" w:cs="Amasis MT Pro Light"/>
          <w:sz w:val="26"/>
          <w:szCs w:val="26"/>
        </w:rPr>
        <w:t>I</w:t>
      </w:r>
      <w:r w:rsidR="00011A03" w:rsidRPr="00A007BF">
        <w:rPr>
          <w:rFonts w:ascii="Abadi" w:hAnsi="Abadi" w:cs="Amasis MT Pro Light"/>
          <w:color w:val="000000"/>
          <w:sz w:val="21"/>
          <w:szCs w:val="21"/>
        </w:rPr>
        <w:t xml:space="preserve"> a IV. …</w:t>
      </w:r>
    </w:p>
    <w:p w14:paraId="6A80C409" w14:textId="77777777" w:rsidR="0014302D" w:rsidRDefault="0014302D" w:rsidP="00011A03">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p>
    <w:p w14:paraId="7A83A9C7" w14:textId="4B696AFE" w:rsidR="00011A03" w:rsidRPr="00A007BF" w:rsidRDefault="0014302D" w:rsidP="0014302D">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r w:rsidR="00011A03" w:rsidRPr="00A007BF">
        <w:rPr>
          <w:rFonts w:ascii="Abadi" w:hAnsi="Abadi" w:cs="Amasis MT Pro Light"/>
          <w:color w:val="000000"/>
          <w:sz w:val="21"/>
          <w:szCs w:val="21"/>
        </w:rPr>
        <w:t xml:space="preserve">V. No haber sido suspendido o </w:t>
      </w:r>
      <w:r>
        <w:rPr>
          <w:rFonts w:ascii="Abadi" w:hAnsi="Abadi" w:cs="Amasis MT Pro Light"/>
          <w:color w:val="000000"/>
          <w:sz w:val="21"/>
          <w:szCs w:val="21"/>
        </w:rPr>
        <w:tab/>
      </w:r>
      <w:r w:rsidR="00011A03" w:rsidRPr="00A007BF">
        <w:rPr>
          <w:rFonts w:ascii="Abadi" w:hAnsi="Abadi" w:cs="Amasis MT Pro Light"/>
          <w:color w:val="000000"/>
          <w:sz w:val="21"/>
          <w:szCs w:val="21"/>
        </w:rPr>
        <w:t xml:space="preserve">inhabilitado para el desempeño de un </w:t>
      </w:r>
      <w:r>
        <w:rPr>
          <w:rFonts w:ascii="Abadi" w:hAnsi="Abadi" w:cs="Amasis MT Pro Light"/>
          <w:color w:val="000000"/>
          <w:sz w:val="21"/>
          <w:szCs w:val="21"/>
        </w:rPr>
        <w:tab/>
      </w:r>
      <w:r w:rsidR="00011A03" w:rsidRPr="00A007BF">
        <w:rPr>
          <w:rFonts w:ascii="Abadi" w:hAnsi="Abadi" w:cs="Amasis MT Pro Light"/>
          <w:color w:val="000000"/>
          <w:sz w:val="21"/>
          <w:szCs w:val="21"/>
        </w:rPr>
        <w:t>cargo</w:t>
      </w:r>
      <w:r>
        <w:rPr>
          <w:rFonts w:ascii="Abadi" w:hAnsi="Abadi" w:cs="Amasis MT Pro Light"/>
          <w:color w:val="000000"/>
          <w:sz w:val="21"/>
          <w:szCs w:val="21"/>
        </w:rPr>
        <w:t xml:space="preserve"> </w:t>
      </w:r>
      <w:r w:rsidR="00011A03" w:rsidRPr="00A007BF">
        <w:rPr>
          <w:rFonts w:ascii="Abadi" w:hAnsi="Abadi" w:cs="Amasis MT Pro Light"/>
          <w:color w:val="000000"/>
          <w:sz w:val="21"/>
          <w:szCs w:val="21"/>
        </w:rPr>
        <w:t xml:space="preserve">público, </w:t>
      </w:r>
      <w:r w:rsidR="00011A03" w:rsidRPr="00A007BF">
        <w:rPr>
          <w:rFonts w:ascii="Abadi" w:hAnsi="Abadi" w:cs="Amasis MT Pro Light"/>
          <w:b/>
          <w:bCs/>
          <w:color w:val="000000"/>
          <w:sz w:val="21"/>
          <w:szCs w:val="21"/>
        </w:rPr>
        <w:t xml:space="preserve">siempre y cuando las </w:t>
      </w:r>
      <w:r>
        <w:rPr>
          <w:rFonts w:ascii="Abadi" w:hAnsi="Abadi" w:cs="Amasis MT Pro Light"/>
          <w:b/>
          <w:bCs/>
          <w:color w:val="000000"/>
          <w:sz w:val="21"/>
          <w:szCs w:val="21"/>
        </w:rPr>
        <w:tab/>
      </w:r>
      <w:r w:rsidR="00011A03" w:rsidRPr="00A007BF">
        <w:rPr>
          <w:rFonts w:ascii="Abadi" w:hAnsi="Abadi" w:cs="Amasis MT Pro Light"/>
          <w:b/>
          <w:bCs/>
          <w:color w:val="000000"/>
          <w:sz w:val="21"/>
          <w:szCs w:val="21"/>
        </w:rPr>
        <w:t xml:space="preserve">conductas ilícitas por las que se les </w:t>
      </w:r>
      <w:r>
        <w:rPr>
          <w:rFonts w:ascii="Abadi" w:hAnsi="Abadi" w:cs="Amasis MT Pro Light"/>
          <w:b/>
          <w:bCs/>
          <w:color w:val="000000"/>
          <w:sz w:val="21"/>
          <w:szCs w:val="21"/>
        </w:rPr>
        <w:tab/>
      </w:r>
      <w:r w:rsidR="00011A03" w:rsidRPr="00A007BF">
        <w:rPr>
          <w:rFonts w:ascii="Abadi" w:hAnsi="Abadi" w:cs="Amasis MT Pro Light"/>
          <w:b/>
          <w:bCs/>
          <w:color w:val="000000"/>
          <w:sz w:val="21"/>
          <w:szCs w:val="21"/>
        </w:rPr>
        <w:t>sancionó o</w:t>
      </w:r>
      <w:r>
        <w:rPr>
          <w:rFonts w:ascii="Abadi" w:hAnsi="Abadi" w:cs="Amasis MT Pro Light"/>
          <w:b/>
          <w:bCs/>
          <w:color w:val="000000"/>
          <w:sz w:val="21"/>
          <w:szCs w:val="21"/>
        </w:rPr>
        <w:t xml:space="preserve"> </w:t>
      </w:r>
      <w:r w:rsidR="00011A03" w:rsidRPr="00A007BF">
        <w:rPr>
          <w:rFonts w:ascii="Abadi" w:hAnsi="Abadi" w:cs="Amasis MT Pro Light"/>
          <w:b/>
          <w:bCs/>
          <w:color w:val="000000"/>
          <w:sz w:val="21"/>
          <w:szCs w:val="21"/>
        </w:rPr>
        <w:t xml:space="preserve">inhabilitó, se encuentren </w:t>
      </w:r>
      <w:r>
        <w:rPr>
          <w:rFonts w:ascii="Abadi" w:hAnsi="Abadi" w:cs="Amasis MT Pro Light"/>
          <w:b/>
          <w:bCs/>
          <w:color w:val="000000"/>
          <w:sz w:val="21"/>
          <w:szCs w:val="21"/>
        </w:rPr>
        <w:tab/>
      </w:r>
      <w:r w:rsidR="00011A03" w:rsidRPr="00A007BF">
        <w:rPr>
          <w:rFonts w:ascii="Abadi" w:hAnsi="Abadi" w:cs="Amasis MT Pro Light"/>
          <w:b/>
          <w:bCs/>
          <w:color w:val="000000"/>
          <w:sz w:val="21"/>
          <w:szCs w:val="21"/>
        </w:rPr>
        <w:t xml:space="preserve">estrechamente vinculadas con el </w:t>
      </w:r>
      <w:r>
        <w:rPr>
          <w:rFonts w:ascii="Abadi" w:hAnsi="Abadi" w:cs="Amasis MT Pro Light"/>
          <w:b/>
          <w:bCs/>
          <w:color w:val="000000"/>
          <w:sz w:val="21"/>
          <w:szCs w:val="21"/>
        </w:rPr>
        <w:tab/>
      </w:r>
      <w:r w:rsidR="00011A03" w:rsidRPr="00A007BF">
        <w:rPr>
          <w:rFonts w:ascii="Abadi" w:hAnsi="Abadi" w:cs="Amasis MT Pro Light"/>
          <w:b/>
          <w:bCs/>
          <w:color w:val="000000"/>
          <w:sz w:val="21"/>
          <w:szCs w:val="21"/>
        </w:rPr>
        <w:t>empleo</w:t>
      </w:r>
      <w:r>
        <w:rPr>
          <w:rFonts w:ascii="Abadi" w:hAnsi="Abadi" w:cs="Amasis MT Pro Light"/>
          <w:b/>
          <w:bCs/>
          <w:color w:val="000000"/>
          <w:sz w:val="21"/>
          <w:szCs w:val="21"/>
        </w:rPr>
        <w:t xml:space="preserve"> </w:t>
      </w:r>
      <w:r w:rsidR="00011A03" w:rsidRPr="00A007BF">
        <w:rPr>
          <w:rFonts w:ascii="Abadi" w:hAnsi="Abadi" w:cs="Amasis MT Pro Light"/>
          <w:b/>
          <w:bCs/>
          <w:color w:val="000000"/>
          <w:sz w:val="21"/>
          <w:szCs w:val="21"/>
        </w:rPr>
        <w:t xml:space="preserve">correspondiente a este </w:t>
      </w:r>
      <w:r>
        <w:rPr>
          <w:rFonts w:ascii="Abadi" w:hAnsi="Abadi" w:cs="Amasis MT Pro Light"/>
          <w:b/>
          <w:bCs/>
          <w:color w:val="000000"/>
          <w:sz w:val="21"/>
          <w:szCs w:val="21"/>
        </w:rPr>
        <w:tab/>
      </w:r>
      <w:r w:rsidR="00011A03" w:rsidRPr="00A007BF">
        <w:rPr>
          <w:rFonts w:ascii="Abadi" w:hAnsi="Abadi" w:cs="Amasis MT Pro Light"/>
          <w:b/>
          <w:bCs/>
          <w:color w:val="000000"/>
          <w:sz w:val="21"/>
          <w:szCs w:val="21"/>
        </w:rPr>
        <w:t>artículo</w:t>
      </w:r>
      <w:r w:rsidR="00011A03" w:rsidRPr="00A007BF">
        <w:rPr>
          <w:rFonts w:ascii="Abadi" w:hAnsi="Abadi" w:cs="Amasis MT Pro Light"/>
          <w:color w:val="000000"/>
          <w:sz w:val="21"/>
          <w:szCs w:val="21"/>
        </w:rPr>
        <w:t>; y</w:t>
      </w:r>
    </w:p>
    <w:p w14:paraId="439839A9" w14:textId="77777777" w:rsidR="0014302D" w:rsidRDefault="0014302D" w:rsidP="00011A03">
      <w:pPr>
        <w:autoSpaceDE w:val="0"/>
        <w:autoSpaceDN w:val="0"/>
        <w:adjustRightInd w:val="0"/>
        <w:jc w:val="both"/>
        <w:rPr>
          <w:rFonts w:ascii="Abadi" w:hAnsi="Abadi" w:cs="Amasis MT Pro Light"/>
          <w:color w:val="000000"/>
          <w:sz w:val="21"/>
          <w:szCs w:val="21"/>
        </w:rPr>
      </w:pPr>
    </w:p>
    <w:p w14:paraId="4F8645C0" w14:textId="41E8DB6A" w:rsidR="00011A03" w:rsidRPr="00A007BF" w:rsidRDefault="0014302D" w:rsidP="00011A03">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r w:rsidR="00011A03" w:rsidRPr="00A007BF">
        <w:rPr>
          <w:rFonts w:ascii="Abadi" w:hAnsi="Abadi" w:cs="Amasis MT Pro Light"/>
          <w:color w:val="000000"/>
          <w:sz w:val="21"/>
          <w:szCs w:val="21"/>
        </w:rPr>
        <w:t>VI. …</w:t>
      </w:r>
    </w:p>
    <w:p w14:paraId="6D2EB2E9" w14:textId="77777777" w:rsidR="00011A03" w:rsidRDefault="00011A03" w:rsidP="00011A03">
      <w:pPr>
        <w:autoSpaceDE w:val="0"/>
        <w:autoSpaceDN w:val="0"/>
        <w:adjustRightInd w:val="0"/>
        <w:jc w:val="both"/>
        <w:rPr>
          <w:rFonts w:ascii="Abadi" w:hAnsi="Abadi" w:cs="Amasis MT Pro Light"/>
          <w:color w:val="000000"/>
          <w:sz w:val="21"/>
          <w:szCs w:val="21"/>
        </w:rPr>
      </w:pPr>
      <w:r w:rsidRPr="00A007BF">
        <w:rPr>
          <w:rFonts w:ascii="Abadi" w:hAnsi="Abadi" w:cs="Amasis MT Pro Light"/>
          <w:color w:val="000000"/>
          <w:sz w:val="21"/>
          <w:szCs w:val="21"/>
        </w:rPr>
        <w:t xml:space="preserve">                          </w:t>
      </w:r>
    </w:p>
    <w:p w14:paraId="33C4BEB8" w14:textId="77777777" w:rsidR="006555BB" w:rsidRDefault="00011A03" w:rsidP="006555BB">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r w:rsidRPr="00A007BF">
        <w:rPr>
          <w:rFonts w:ascii="Abadi" w:hAnsi="Abadi" w:cs="Amasis MT Pro Light"/>
          <w:color w:val="000000"/>
          <w:sz w:val="21"/>
          <w:szCs w:val="21"/>
        </w:rPr>
        <w:t xml:space="preserve">Artículo 11. Para ser Facilitador de un </w:t>
      </w:r>
      <w:r w:rsidR="0014302D">
        <w:rPr>
          <w:rFonts w:ascii="Abadi" w:hAnsi="Abadi" w:cs="Amasis MT Pro Light"/>
          <w:color w:val="000000"/>
          <w:sz w:val="21"/>
          <w:szCs w:val="21"/>
        </w:rPr>
        <w:tab/>
      </w:r>
      <w:r w:rsidRPr="00A007BF">
        <w:rPr>
          <w:rFonts w:ascii="Abadi" w:hAnsi="Abadi" w:cs="Amasis MT Pro Light"/>
          <w:color w:val="000000"/>
          <w:sz w:val="21"/>
          <w:szCs w:val="21"/>
        </w:rPr>
        <w:t>Juzgado Cívico se deben reunir los</w:t>
      </w:r>
      <w:r>
        <w:rPr>
          <w:rFonts w:ascii="Abadi" w:hAnsi="Abadi" w:cs="Amasis MT Pro Light"/>
          <w:color w:val="000000"/>
          <w:sz w:val="21"/>
          <w:szCs w:val="21"/>
        </w:rPr>
        <w:t xml:space="preserve"> </w:t>
      </w:r>
      <w:r w:rsidR="0014302D">
        <w:rPr>
          <w:rFonts w:ascii="Abadi" w:hAnsi="Abadi" w:cs="Amasis MT Pro Light"/>
          <w:color w:val="000000"/>
          <w:sz w:val="21"/>
          <w:szCs w:val="21"/>
        </w:rPr>
        <w:tab/>
      </w:r>
      <w:r w:rsidRPr="00A007BF">
        <w:rPr>
          <w:rFonts w:ascii="Abadi" w:hAnsi="Abadi" w:cs="Amasis MT Pro Light"/>
          <w:color w:val="000000"/>
          <w:sz w:val="21"/>
          <w:szCs w:val="21"/>
        </w:rPr>
        <w:t>siguientes</w:t>
      </w:r>
      <w:r w:rsidR="0014302D">
        <w:rPr>
          <w:rFonts w:ascii="Abadi" w:hAnsi="Abadi" w:cs="Amasis MT Pro Light"/>
          <w:color w:val="000000"/>
          <w:sz w:val="21"/>
          <w:szCs w:val="21"/>
        </w:rPr>
        <w:t xml:space="preserve"> </w:t>
      </w:r>
      <w:r w:rsidRPr="00A007BF">
        <w:rPr>
          <w:rFonts w:ascii="Abadi" w:hAnsi="Abadi" w:cs="Amasis MT Pro Light"/>
          <w:color w:val="000000"/>
          <w:sz w:val="21"/>
          <w:szCs w:val="21"/>
        </w:rPr>
        <w:t>requisitos:</w:t>
      </w:r>
    </w:p>
    <w:p w14:paraId="2A229B8C" w14:textId="77777777" w:rsidR="006555BB" w:rsidRDefault="006555BB" w:rsidP="006555BB">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p>
    <w:p w14:paraId="1061F8E2" w14:textId="77777777" w:rsidR="006555BB" w:rsidRDefault="006555BB" w:rsidP="00011A03">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r w:rsidR="00011A03">
        <w:rPr>
          <w:rFonts w:ascii="Amasis MT Pro Light" w:hAnsi="Amasis MT Pro Light" w:cs="Amasis MT Pro Light"/>
          <w:sz w:val="26"/>
          <w:szCs w:val="26"/>
        </w:rPr>
        <w:t>I. a</w:t>
      </w:r>
      <w:r w:rsidR="00011A03" w:rsidRPr="00A007BF">
        <w:rPr>
          <w:rFonts w:ascii="Abadi" w:hAnsi="Abadi" w:cs="Amasis MT Pro Light"/>
          <w:color w:val="000000"/>
          <w:sz w:val="21"/>
          <w:szCs w:val="21"/>
        </w:rPr>
        <w:t xml:space="preserve"> IV. …</w:t>
      </w:r>
    </w:p>
    <w:p w14:paraId="148B10CB" w14:textId="77777777" w:rsidR="006555BB" w:rsidRDefault="006555BB" w:rsidP="00011A03">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p>
    <w:p w14:paraId="1C871F7B" w14:textId="2286477F" w:rsidR="00011A03" w:rsidRPr="00A007BF" w:rsidRDefault="006555BB" w:rsidP="006555BB">
      <w:pPr>
        <w:autoSpaceDE w:val="0"/>
        <w:autoSpaceDN w:val="0"/>
        <w:adjustRightInd w:val="0"/>
        <w:jc w:val="both"/>
        <w:rPr>
          <w:rFonts w:ascii="Abadi" w:hAnsi="Abadi" w:cs="Amasis MT Pro Light"/>
          <w:b/>
          <w:bCs/>
          <w:color w:val="000000"/>
          <w:sz w:val="21"/>
          <w:szCs w:val="21"/>
        </w:rPr>
      </w:pPr>
      <w:r>
        <w:rPr>
          <w:rFonts w:ascii="Abadi" w:hAnsi="Abadi" w:cs="Amasis MT Pro Light"/>
          <w:color w:val="000000"/>
          <w:sz w:val="21"/>
          <w:szCs w:val="21"/>
        </w:rPr>
        <w:tab/>
      </w:r>
      <w:r w:rsidR="00011A03" w:rsidRPr="00A007BF">
        <w:rPr>
          <w:rFonts w:ascii="Abadi" w:hAnsi="Abadi" w:cs="Amasis MT Pro Light"/>
          <w:color w:val="000000"/>
          <w:sz w:val="21"/>
          <w:szCs w:val="21"/>
        </w:rPr>
        <w:t xml:space="preserve">V. No haber sido suspendido o </w:t>
      </w:r>
      <w:r>
        <w:rPr>
          <w:rFonts w:ascii="Abadi" w:hAnsi="Abadi" w:cs="Amasis MT Pro Light"/>
          <w:color w:val="000000"/>
          <w:sz w:val="21"/>
          <w:szCs w:val="21"/>
        </w:rPr>
        <w:tab/>
      </w:r>
      <w:r w:rsidR="00011A03" w:rsidRPr="00A007BF">
        <w:rPr>
          <w:rFonts w:ascii="Abadi" w:hAnsi="Abadi" w:cs="Amasis MT Pro Light"/>
          <w:color w:val="000000"/>
          <w:sz w:val="21"/>
          <w:szCs w:val="21"/>
        </w:rPr>
        <w:t xml:space="preserve">inhabilitado para el desempeño de un </w:t>
      </w:r>
      <w:r>
        <w:rPr>
          <w:rFonts w:ascii="Abadi" w:hAnsi="Abadi" w:cs="Amasis MT Pro Light"/>
          <w:color w:val="000000"/>
          <w:sz w:val="21"/>
          <w:szCs w:val="21"/>
        </w:rPr>
        <w:tab/>
      </w:r>
      <w:r w:rsidR="00011A03" w:rsidRPr="00A007BF">
        <w:rPr>
          <w:rFonts w:ascii="Abadi" w:hAnsi="Abadi" w:cs="Amasis MT Pro Light"/>
          <w:color w:val="000000"/>
          <w:sz w:val="21"/>
          <w:szCs w:val="21"/>
        </w:rPr>
        <w:t>cargo</w:t>
      </w:r>
      <w:r>
        <w:rPr>
          <w:rFonts w:ascii="Abadi" w:hAnsi="Abadi" w:cs="Amasis MT Pro Light"/>
          <w:color w:val="000000"/>
          <w:sz w:val="21"/>
          <w:szCs w:val="21"/>
        </w:rPr>
        <w:t xml:space="preserve"> </w:t>
      </w:r>
      <w:r w:rsidR="00011A03" w:rsidRPr="00A007BF">
        <w:rPr>
          <w:rFonts w:ascii="Abadi" w:hAnsi="Abadi" w:cs="Amasis MT Pro Light"/>
          <w:color w:val="000000"/>
          <w:sz w:val="21"/>
          <w:szCs w:val="21"/>
        </w:rPr>
        <w:t>público</w:t>
      </w:r>
      <w:r w:rsidR="00011A03" w:rsidRPr="00A007BF">
        <w:rPr>
          <w:rFonts w:ascii="Abadi" w:hAnsi="Abadi" w:cs="Amasis MT Pro Light"/>
          <w:b/>
          <w:bCs/>
          <w:color w:val="000000"/>
          <w:sz w:val="21"/>
          <w:szCs w:val="21"/>
        </w:rPr>
        <w:t xml:space="preserve">, siempre y cuando las </w:t>
      </w:r>
      <w:r>
        <w:rPr>
          <w:rFonts w:ascii="Abadi" w:hAnsi="Abadi" w:cs="Amasis MT Pro Light"/>
          <w:b/>
          <w:bCs/>
          <w:color w:val="000000"/>
          <w:sz w:val="21"/>
          <w:szCs w:val="21"/>
        </w:rPr>
        <w:tab/>
      </w:r>
      <w:r w:rsidR="00011A03" w:rsidRPr="00A007BF">
        <w:rPr>
          <w:rFonts w:ascii="Abadi" w:hAnsi="Abadi" w:cs="Amasis MT Pro Light"/>
          <w:b/>
          <w:bCs/>
          <w:color w:val="000000"/>
          <w:sz w:val="21"/>
          <w:szCs w:val="21"/>
        </w:rPr>
        <w:t xml:space="preserve">conductas ilícitas por las que se les </w:t>
      </w:r>
      <w:r>
        <w:rPr>
          <w:rFonts w:ascii="Abadi" w:hAnsi="Abadi" w:cs="Amasis MT Pro Light"/>
          <w:b/>
          <w:bCs/>
          <w:color w:val="000000"/>
          <w:sz w:val="21"/>
          <w:szCs w:val="21"/>
        </w:rPr>
        <w:tab/>
      </w:r>
      <w:r w:rsidR="00011A03" w:rsidRPr="00A007BF">
        <w:rPr>
          <w:rFonts w:ascii="Abadi" w:hAnsi="Abadi" w:cs="Amasis MT Pro Light"/>
          <w:b/>
          <w:bCs/>
          <w:color w:val="000000"/>
          <w:sz w:val="21"/>
          <w:szCs w:val="21"/>
        </w:rPr>
        <w:t>sancionó o</w:t>
      </w:r>
      <w:r>
        <w:rPr>
          <w:rFonts w:ascii="Abadi" w:hAnsi="Abadi" w:cs="Amasis MT Pro Light"/>
          <w:b/>
          <w:bCs/>
          <w:color w:val="000000"/>
          <w:sz w:val="21"/>
          <w:szCs w:val="21"/>
        </w:rPr>
        <w:t xml:space="preserve"> </w:t>
      </w:r>
      <w:r w:rsidR="00011A03" w:rsidRPr="00A007BF">
        <w:rPr>
          <w:rFonts w:ascii="Abadi" w:hAnsi="Abadi" w:cs="Amasis MT Pro Light"/>
          <w:b/>
          <w:bCs/>
          <w:color w:val="000000"/>
          <w:sz w:val="21"/>
          <w:szCs w:val="21"/>
        </w:rPr>
        <w:t xml:space="preserve">inhabilitó, se encuentren </w:t>
      </w:r>
      <w:r>
        <w:rPr>
          <w:rFonts w:ascii="Abadi" w:hAnsi="Abadi" w:cs="Amasis MT Pro Light"/>
          <w:b/>
          <w:bCs/>
          <w:color w:val="000000"/>
          <w:sz w:val="21"/>
          <w:szCs w:val="21"/>
        </w:rPr>
        <w:tab/>
      </w:r>
      <w:r w:rsidR="00011A03" w:rsidRPr="00A007BF">
        <w:rPr>
          <w:rFonts w:ascii="Abadi" w:hAnsi="Abadi" w:cs="Amasis MT Pro Light"/>
          <w:b/>
          <w:bCs/>
          <w:color w:val="000000"/>
          <w:sz w:val="21"/>
          <w:szCs w:val="21"/>
        </w:rPr>
        <w:t xml:space="preserve">estrechamente vinculadas con el </w:t>
      </w:r>
      <w:r>
        <w:rPr>
          <w:rFonts w:ascii="Abadi" w:hAnsi="Abadi" w:cs="Amasis MT Pro Light"/>
          <w:b/>
          <w:bCs/>
          <w:color w:val="000000"/>
          <w:sz w:val="21"/>
          <w:szCs w:val="21"/>
        </w:rPr>
        <w:tab/>
      </w:r>
      <w:r w:rsidR="00011A03" w:rsidRPr="00A007BF">
        <w:rPr>
          <w:rFonts w:ascii="Abadi" w:hAnsi="Abadi" w:cs="Amasis MT Pro Light"/>
          <w:b/>
          <w:bCs/>
          <w:color w:val="000000"/>
          <w:sz w:val="21"/>
          <w:szCs w:val="21"/>
        </w:rPr>
        <w:t>empleo</w:t>
      </w:r>
      <w:r>
        <w:rPr>
          <w:rFonts w:ascii="Abadi" w:hAnsi="Abadi" w:cs="Amasis MT Pro Light"/>
          <w:b/>
          <w:bCs/>
          <w:color w:val="000000"/>
          <w:sz w:val="21"/>
          <w:szCs w:val="21"/>
        </w:rPr>
        <w:t xml:space="preserve"> </w:t>
      </w:r>
      <w:r w:rsidR="00011A03" w:rsidRPr="00A007BF">
        <w:rPr>
          <w:rFonts w:ascii="Abadi" w:hAnsi="Abadi" w:cs="Amasis MT Pro Light"/>
          <w:b/>
          <w:bCs/>
          <w:color w:val="000000"/>
          <w:sz w:val="21"/>
          <w:szCs w:val="21"/>
        </w:rPr>
        <w:t xml:space="preserve">correspondiente a este </w:t>
      </w:r>
      <w:r>
        <w:rPr>
          <w:rFonts w:ascii="Abadi" w:hAnsi="Abadi" w:cs="Amasis MT Pro Light"/>
          <w:b/>
          <w:bCs/>
          <w:color w:val="000000"/>
          <w:sz w:val="21"/>
          <w:szCs w:val="21"/>
        </w:rPr>
        <w:tab/>
      </w:r>
      <w:r w:rsidR="00011A03" w:rsidRPr="00A007BF">
        <w:rPr>
          <w:rFonts w:ascii="Abadi" w:hAnsi="Abadi" w:cs="Amasis MT Pro Light"/>
          <w:b/>
          <w:bCs/>
          <w:color w:val="000000"/>
          <w:sz w:val="21"/>
          <w:szCs w:val="21"/>
        </w:rPr>
        <w:t>artículo;</w:t>
      </w:r>
    </w:p>
    <w:p w14:paraId="7397BBF8" w14:textId="77777777" w:rsidR="006555BB" w:rsidRDefault="006555BB" w:rsidP="00011A03">
      <w:pPr>
        <w:autoSpaceDE w:val="0"/>
        <w:autoSpaceDN w:val="0"/>
        <w:adjustRightInd w:val="0"/>
        <w:jc w:val="both"/>
        <w:rPr>
          <w:rFonts w:ascii="Abadi" w:hAnsi="Abadi" w:cs="Amasis MT Pro Light"/>
          <w:color w:val="000000"/>
          <w:sz w:val="21"/>
          <w:szCs w:val="21"/>
        </w:rPr>
      </w:pPr>
    </w:p>
    <w:p w14:paraId="610BFDAA" w14:textId="1F1319E6" w:rsidR="00011A03" w:rsidRPr="00A007BF" w:rsidRDefault="006555BB" w:rsidP="00011A03">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r w:rsidR="00011A03" w:rsidRPr="00A007BF">
        <w:rPr>
          <w:rFonts w:ascii="Abadi" w:hAnsi="Abadi" w:cs="Amasis MT Pro Light"/>
          <w:color w:val="000000"/>
          <w:sz w:val="21"/>
          <w:szCs w:val="21"/>
        </w:rPr>
        <w:t>VI. a VIII. …</w:t>
      </w:r>
    </w:p>
    <w:p w14:paraId="134DC719" w14:textId="77777777" w:rsidR="00455685" w:rsidRDefault="00455685" w:rsidP="00011A03">
      <w:pPr>
        <w:autoSpaceDE w:val="0"/>
        <w:autoSpaceDN w:val="0"/>
        <w:adjustRightInd w:val="0"/>
        <w:jc w:val="both"/>
        <w:rPr>
          <w:rFonts w:ascii="Abadi" w:hAnsi="Abadi" w:cs="Amasis MT Pro Light"/>
          <w:color w:val="000000"/>
          <w:sz w:val="21"/>
          <w:szCs w:val="21"/>
        </w:rPr>
      </w:pPr>
    </w:p>
    <w:p w14:paraId="21478209" w14:textId="77777777" w:rsidR="00455685" w:rsidRDefault="00455685" w:rsidP="00455685">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r w:rsidR="00011A03" w:rsidRPr="00A007BF">
        <w:rPr>
          <w:rFonts w:ascii="Abadi" w:hAnsi="Abadi" w:cs="Amasis MT Pro Light"/>
          <w:color w:val="000000"/>
          <w:sz w:val="21"/>
          <w:szCs w:val="21"/>
        </w:rPr>
        <w:t xml:space="preserve">Artículo 13. Para ser Secretario se </w:t>
      </w:r>
      <w:r>
        <w:rPr>
          <w:rFonts w:ascii="Abadi" w:hAnsi="Abadi" w:cs="Amasis MT Pro Light"/>
          <w:color w:val="000000"/>
          <w:sz w:val="21"/>
          <w:szCs w:val="21"/>
        </w:rPr>
        <w:tab/>
      </w:r>
      <w:r w:rsidR="00011A03" w:rsidRPr="00A007BF">
        <w:rPr>
          <w:rFonts w:ascii="Abadi" w:hAnsi="Abadi" w:cs="Amasis MT Pro Light"/>
          <w:color w:val="000000"/>
          <w:sz w:val="21"/>
          <w:szCs w:val="21"/>
        </w:rPr>
        <w:t>deben reunir los siguientes requisitos;</w:t>
      </w:r>
    </w:p>
    <w:p w14:paraId="6A5093AB" w14:textId="77777777" w:rsidR="00455685" w:rsidRDefault="00455685" w:rsidP="00455685">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p>
    <w:p w14:paraId="45F165B9" w14:textId="303DF857" w:rsidR="00011A03" w:rsidRPr="00A007BF" w:rsidRDefault="00455685" w:rsidP="00455685">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r w:rsidR="00011A03">
        <w:rPr>
          <w:rFonts w:ascii="Amasis MT Pro Light" w:hAnsi="Amasis MT Pro Light" w:cs="Amasis MT Pro Light"/>
          <w:sz w:val="26"/>
          <w:szCs w:val="26"/>
        </w:rPr>
        <w:t>I.</w:t>
      </w:r>
      <w:r w:rsidR="00011A03" w:rsidRPr="00A007BF">
        <w:rPr>
          <w:rFonts w:ascii="Abadi" w:hAnsi="Abadi" w:cs="Amasis MT Pro Light"/>
          <w:color w:val="000000"/>
          <w:sz w:val="21"/>
          <w:szCs w:val="21"/>
        </w:rPr>
        <w:t xml:space="preserve"> a IV. …</w:t>
      </w:r>
    </w:p>
    <w:p w14:paraId="11AF6B8F" w14:textId="77777777" w:rsidR="00455685" w:rsidRDefault="00455685" w:rsidP="00011A03">
      <w:pPr>
        <w:autoSpaceDE w:val="0"/>
        <w:autoSpaceDN w:val="0"/>
        <w:adjustRightInd w:val="0"/>
        <w:jc w:val="both"/>
        <w:rPr>
          <w:rFonts w:ascii="Abadi" w:hAnsi="Abadi" w:cs="Amasis MT Pro Light"/>
          <w:color w:val="000000"/>
          <w:sz w:val="21"/>
          <w:szCs w:val="21"/>
        </w:rPr>
      </w:pPr>
    </w:p>
    <w:p w14:paraId="7CC865BE" w14:textId="50BFF613" w:rsidR="00011A03" w:rsidRPr="00A007BF" w:rsidRDefault="00455685" w:rsidP="00011A03">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r w:rsidR="00011A03" w:rsidRPr="00A007BF">
        <w:rPr>
          <w:rFonts w:ascii="Abadi" w:hAnsi="Abadi" w:cs="Amasis MT Pro Light"/>
          <w:color w:val="000000"/>
          <w:sz w:val="21"/>
          <w:szCs w:val="21"/>
        </w:rPr>
        <w:t xml:space="preserve">V. No haber sido suspendido o </w:t>
      </w:r>
      <w:r>
        <w:rPr>
          <w:rFonts w:ascii="Abadi" w:hAnsi="Abadi" w:cs="Amasis MT Pro Light"/>
          <w:color w:val="000000"/>
          <w:sz w:val="21"/>
          <w:szCs w:val="21"/>
        </w:rPr>
        <w:tab/>
      </w:r>
      <w:r w:rsidR="00011A03" w:rsidRPr="00A007BF">
        <w:rPr>
          <w:rFonts w:ascii="Abadi" w:hAnsi="Abadi" w:cs="Amasis MT Pro Light"/>
          <w:color w:val="000000"/>
          <w:sz w:val="21"/>
          <w:szCs w:val="21"/>
        </w:rPr>
        <w:t xml:space="preserve">inhabilitado para el desempeño de un </w:t>
      </w:r>
      <w:r>
        <w:rPr>
          <w:rFonts w:ascii="Abadi" w:hAnsi="Abadi" w:cs="Amasis MT Pro Light"/>
          <w:color w:val="000000"/>
          <w:sz w:val="21"/>
          <w:szCs w:val="21"/>
        </w:rPr>
        <w:tab/>
      </w:r>
      <w:r w:rsidR="00011A03" w:rsidRPr="00A007BF">
        <w:rPr>
          <w:rFonts w:ascii="Abadi" w:hAnsi="Abadi" w:cs="Amasis MT Pro Light"/>
          <w:color w:val="000000"/>
          <w:sz w:val="21"/>
          <w:szCs w:val="21"/>
        </w:rPr>
        <w:t>carg</w:t>
      </w:r>
      <w:r>
        <w:rPr>
          <w:rFonts w:ascii="Abadi" w:hAnsi="Abadi" w:cs="Amasis MT Pro Light"/>
          <w:color w:val="000000"/>
          <w:sz w:val="21"/>
          <w:szCs w:val="21"/>
        </w:rPr>
        <w:t xml:space="preserve">o </w:t>
      </w:r>
      <w:r w:rsidR="00011A03" w:rsidRPr="00A007BF">
        <w:rPr>
          <w:rFonts w:ascii="Abadi" w:hAnsi="Abadi" w:cs="Amasis MT Pro Light"/>
          <w:color w:val="000000"/>
          <w:sz w:val="21"/>
          <w:szCs w:val="21"/>
        </w:rPr>
        <w:t>público</w:t>
      </w:r>
      <w:r w:rsidR="00011A03" w:rsidRPr="00A007BF">
        <w:rPr>
          <w:rFonts w:ascii="Abadi" w:hAnsi="Abadi" w:cs="Amasis MT Pro Light"/>
          <w:b/>
          <w:bCs/>
          <w:color w:val="000000"/>
          <w:sz w:val="21"/>
          <w:szCs w:val="21"/>
        </w:rPr>
        <w:t xml:space="preserve">, siempre y cuando las </w:t>
      </w:r>
      <w:r>
        <w:rPr>
          <w:rFonts w:ascii="Abadi" w:hAnsi="Abadi" w:cs="Amasis MT Pro Light"/>
          <w:b/>
          <w:bCs/>
          <w:color w:val="000000"/>
          <w:sz w:val="21"/>
          <w:szCs w:val="21"/>
        </w:rPr>
        <w:tab/>
      </w:r>
      <w:r w:rsidR="00011A03" w:rsidRPr="00A007BF">
        <w:rPr>
          <w:rFonts w:ascii="Abadi" w:hAnsi="Abadi" w:cs="Amasis MT Pro Light"/>
          <w:b/>
          <w:bCs/>
          <w:color w:val="000000"/>
          <w:sz w:val="21"/>
          <w:szCs w:val="21"/>
        </w:rPr>
        <w:t xml:space="preserve">conductas ilícitas por las que se les </w:t>
      </w:r>
      <w:r>
        <w:rPr>
          <w:rFonts w:ascii="Abadi" w:hAnsi="Abadi" w:cs="Amasis MT Pro Light"/>
          <w:b/>
          <w:bCs/>
          <w:color w:val="000000"/>
          <w:sz w:val="21"/>
          <w:szCs w:val="21"/>
        </w:rPr>
        <w:tab/>
      </w:r>
      <w:r w:rsidR="00011A03" w:rsidRPr="00A007BF">
        <w:rPr>
          <w:rFonts w:ascii="Abadi" w:hAnsi="Abadi" w:cs="Amasis MT Pro Light"/>
          <w:b/>
          <w:bCs/>
          <w:color w:val="000000"/>
          <w:sz w:val="21"/>
          <w:szCs w:val="21"/>
        </w:rPr>
        <w:t xml:space="preserve">sancionó o inhabilitó, se encuentren </w:t>
      </w:r>
      <w:r>
        <w:rPr>
          <w:rFonts w:ascii="Abadi" w:hAnsi="Abadi" w:cs="Amasis MT Pro Light"/>
          <w:b/>
          <w:bCs/>
          <w:color w:val="000000"/>
          <w:sz w:val="21"/>
          <w:szCs w:val="21"/>
        </w:rPr>
        <w:tab/>
      </w:r>
      <w:r w:rsidR="00011A03" w:rsidRPr="00A007BF">
        <w:rPr>
          <w:rFonts w:ascii="Abadi" w:hAnsi="Abadi" w:cs="Amasis MT Pro Light"/>
          <w:b/>
          <w:bCs/>
          <w:color w:val="000000"/>
          <w:sz w:val="21"/>
          <w:szCs w:val="21"/>
        </w:rPr>
        <w:t xml:space="preserve">estrechamente vinculadas con el </w:t>
      </w:r>
      <w:r w:rsidR="00342828">
        <w:rPr>
          <w:rFonts w:ascii="Abadi" w:hAnsi="Abadi" w:cs="Amasis MT Pro Light"/>
          <w:b/>
          <w:bCs/>
          <w:color w:val="000000"/>
          <w:sz w:val="21"/>
          <w:szCs w:val="21"/>
        </w:rPr>
        <w:tab/>
      </w:r>
      <w:r w:rsidR="00011A03" w:rsidRPr="00A007BF">
        <w:rPr>
          <w:rFonts w:ascii="Abadi" w:hAnsi="Abadi" w:cs="Amasis MT Pro Light"/>
          <w:b/>
          <w:bCs/>
          <w:color w:val="000000"/>
          <w:sz w:val="21"/>
          <w:szCs w:val="21"/>
        </w:rPr>
        <w:t>empleo</w:t>
      </w:r>
      <w:r>
        <w:rPr>
          <w:rFonts w:ascii="Abadi" w:hAnsi="Abadi" w:cs="Amasis MT Pro Light"/>
          <w:b/>
          <w:bCs/>
          <w:color w:val="000000"/>
          <w:sz w:val="21"/>
          <w:szCs w:val="21"/>
        </w:rPr>
        <w:t xml:space="preserve"> </w:t>
      </w:r>
      <w:r w:rsidR="00011A03" w:rsidRPr="00A007BF">
        <w:rPr>
          <w:rFonts w:ascii="Abadi" w:hAnsi="Abadi" w:cs="Amasis MT Pro Light"/>
          <w:b/>
          <w:bCs/>
          <w:color w:val="000000"/>
          <w:sz w:val="21"/>
          <w:szCs w:val="21"/>
        </w:rPr>
        <w:t xml:space="preserve">correspondiente a este </w:t>
      </w:r>
      <w:r w:rsidR="00011A03">
        <w:rPr>
          <w:rFonts w:ascii="Abadi" w:hAnsi="Abadi" w:cs="Amasis MT Pro Light"/>
          <w:b/>
          <w:bCs/>
          <w:color w:val="000000"/>
          <w:sz w:val="21"/>
          <w:szCs w:val="21"/>
        </w:rPr>
        <w:tab/>
      </w:r>
      <w:r w:rsidR="00011A03" w:rsidRPr="00A007BF">
        <w:rPr>
          <w:rFonts w:ascii="Abadi" w:hAnsi="Abadi" w:cs="Amasis MT Pro Light"/>
          <w:b/>
          <w:bCs/>
          <w:color w:val="000000"/>
          <w:sz w:val="21"/>
          <w:szCs w:val="21"/>
        </w:rPr>
        <w:t>artículo;</w:t>
      </w:r>
      <w:r w:rsidR="00011A03" w:rsidRPr="00A007BF">
        <w:rPr>
          <w:rFonts w:ascii="Abadi" w:hAnsi="Abadi" w:cs="Amasis MT Pro Light"/>
          <w:color w:val="000000"/>
          <w:sz w:val="21"/>
          <w:szCs w:val="21"/>
        </w:rPr>
        <w:t xml:space="preserve"> y</w:t>
      </w:r>
    </w:p>
    <w:p w14:paraId="4401760C" w14:textId="77777777" w:rsidR="00342828" w:rsidRDefault="00342828" w:rsidP="00011A03">
      <w:pPr>
        <w:autoSpaceDE w:val="0"/>
        <w:autoSpaceDN w:val="0"/>
        <w:adjustRightInd w:val="0"/>
        <w:jc w:val="both"/>
        <w:rPr>
          <w:rFonts w:ascii="Abadi" w:hAnsi="Abadi" w:cs="Amasis MT Pro Light"/>
          <w:color w:val="000000"/>
          <w:sz w:val="21"/>
          <w:szCs w:val="21"/>
        </w:rPr>
      </w:pPr>
    </w:p>
    <w:p w14:paraId="66C5B318" w14:textId="071A87CC" w:rsidR="00011A03" w:rsidRPr="00A007BF" w:rsidRDefault="00342828" w:rsidP="00011A03">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r w:rsidR="00011A03" w:rsidRPr="00A007BF">
        <w:rPr>
          <w:rFonts w:ascii="Abadi" w:hAnsi="Abadi" w:cs="Amasis MT Pro Light"/>
          <w:color w:val="000000"/>
          <w:sz w:val="21"/>
          <w:szCs w:val="21"/>
        </w:rPr>
        <w:t>VI. …</w:t>
      </w:r>
    </w:p>
    <w:p w14:paraId="4AD457BA" w14:textId="77777777" w:rsidR="00342828" w:rsidRDefault="00342828" w:rsidP="00011A03">
      <w:pPr>
        <w:autoSpaceDE w:val="0"/>
        <w:autoSpaceDN w:val="0"/>
        <w:adjustRightInd w:val="0"/>
        <w:jc w:val="both"/>
        <w:rPr>
          <w:rFonts w:ascii="Abadi" w:hAnsi="Abadi" w:cs="Amasis MT Pro Light"/>
          <w:color w:val="000000"/>
          <w:sz w:val="21"/>
          <w:szCs w:val="21"/>
        </w:rPr>
      </w:pPr>
    </w:p>
    <w:p w14:paraId="272ABC18" w14:textId="54B8FA4C" w:rsidR="00011A03" w:rsidRPr="00A007BF" w:rsidRDefault="00342828" w:rsidP="00342828">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r w:rsidR="00011A03" w:rsidRPr="00A007BF">
        <w:rPr>
          <w:rFonts w:ascii="Abadi" w:hAnsi="Abadi" w:cs="Amasis MT Pro Light"/>
          <w:color w:val="000000"/>
          <w:sz w:val="21"/>
          <w:szCs w:val="21"/>
        </w:rPr>
        <w:t xml:space="preserve">Artículo 15. Para ser Defensor de </w:t>
      </w:r>
      <w:r>
        <w:rPr>
          <w:rFonts w:ascii="Abadi" w:hAnsi="Abadi" w:cs="Amasis MT Pro Light"/>
          <w:color w:val="000000"/>
          <w:sz w:val="21"/>
          <w:szCs w:val="21"/>
        </w:rPr>
        <w:tab/>
      </w:r>
      <w:r w:rsidR="00011A03" w:rsidRPr="00A007BF">
        <w:rPr>
          <w:rFonts w:ascii="Abadi" w:hAnsi="Abadi" w:cs="Amasis MT Pro Light"/>
          <w:color w:val="000000"/>
          <w:sz w:val="21"/>
          <w:szCs w:val="21"/>
        </w:rPr>
        <w:t xml:space="preserve">Oficio en un Juzgado Cívico se deben </w:t>
      </w:r>
      <w:r>
        <w:rPr>
          <w:rFonts w:ascii="Abadi" w:hAnsi="Abadi" w:cs="Amasis MT Pro Light"/>
          <w:color w:val="000000"/>
          <w:sz w:val="21"/>
          <w:szCs w:val="21"/>
        </w:rPr>
        <w:tab/>
      </w:r>
      <w:r w:rsidR="00011A03" w:rsidRPr="00A007BF">
        <w:rPr>
          <w:rFonts w:ascii="Abadi" w:hAnsi="Abadi" w:cs="Amasis MT Pro Light"/>
          <w:color w:val="000000"/>
          <w:sz w:val="21"/>
          <w:szCs w:val="21"/>
        </w:rPr>
        <w:t>reunir</w:t>
      </w:r>
      <w:r>
        <w:rPr>
          <w:rFonts w:ascii="Abadi" w:hAnsi="Abadi" w:cs="Amasis MT Pro Light"/>
          <w:color w:val="000000"/>
          <w:sz w:val="21"/>
          <w:szCs w:val="21"/>
        </w:rPr>
        <w:t xml:space="preserve"> </w:t>
      </w:r>
      <w:r w:rsidR="00011A03" w:rsidRPr="00A007BF">
        <w:rPr>
          <w:rFonts w:ascii="Abadi" w:hAnsi="Abadi" w:cs="Amasis MT Pro Light"/>
          <w:color w:val="000000"/>
          <w:sz w:val="21"/>
          <w:szCs w:val="21"/>
        </w:rPr>
        <w:t>los siguientes requisitos:</w:t>
      </w:r>
    </w:p>
    <w:p w14:paraId="7810EF6D" w14:textId="77777777" w:rsidR="00342828" w:rsidRDefault="00342828" w:rsidP="00011A03">
      <w:pPr>
        <w:autoSpaceDE w:val="0"/>
        <w:autoSpaceDN w:val="0"/>
        <w:adjustRightInd w:val="0"/>
        <w:jc w:val="both"/>
        <w:rPr>
          <w:rFonts w:ascii="Abadi" w:hAnsi="Abadi" w:cs="Amasis MT Pro Light"/>
          <w:color w:val="000000"/>
          <w:sz w:val="21"/>
          <w:szCs w:val="21"/>
        </w:rPr>
      </w:pPr>
    </w:p>
    <w:p w14:paraId="6E1CF6C3" w14:textId="3CBE1F22" w:rsidR="00011A03" w:rsidRPr="00A007BF" w:rsidRDefault="00342828" w:rsidP="00011A03">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r w:rsidR="00011A03" w:rsidRPr="00A007BF">
        <w:rPr>
          <w:rFonts w:ascii="Abadi" w:hAnsi="Abadi" w:cs="Amasis MT Pro Light"/>
          <w:color w:val="000000"/>
          <w:sz w:val="21"/>
          <w:szCs w:val="21"/>
        </w:rPr>
        <w:t>I. a IV. …</w:t>
      </w:r>
    </w:p>
    <w:p w14:paraId="196E3E99" w14:textId="77777777" w:rsidR="00342828" w:rsidRDefault="00342828" w:rsidP="00011A03">
      <w:pPr>
        <w:autoSpaceDE w:val="0"/>
        <w:autoSpaceDN w:val="0"/>
        <w:adjustRightInd w:val="0"/>
        <w:rPr>
          <w:rFonts w:ascii="Abadi" w:hAnsi="Abadi" w:cs="Amasis MT Pro Light"/>
          <w:color w:val="000000"/>
          <w:sz w:val="21"/>
          <w:szCs w:val="21"/>
        </w:rPr>
      </w:pPr>
    </w:p>
    <w:p w14:paraId="1D1C9F6B" w14:textId="66B50BFC" w:rsidR="00011A03" w:rsidRPr="00A007BF" w:rsidRDefault="00342828" w:rsidP="00342828">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r w:rsidR="00011A03" w:rsidRPr="00A007BF">
        <w:rPr>
          <w:rFonts w:ascii="Abadi" w:hAnsi="Abadi" w:cs="Amasis MT Pro Light"/>
          <w:color w:val="000000"/>
          <w:sz w:val="21"/>
          <w:szCs w:val="21"/>
        </w:rPr>
        <w:t xml:space="preserve">V. No haber sido suspendido o </w:t>
      </w:r>
      <w:r>
        <w:rPr>
          <w:rFonts w:ascii="Abadi" w:hAnsi="Abadi" w:cs="Amasis MT Pro Light"/>
          <w:color w:val="000000"/>
          <w:sz w:val="21"/>
          <w:szCs w:val="21"/>
        </w:rPr>
        <w:tab/>
      </w:r>
      <w:r w:rsidR="00011A03" w:rsidRPr="00A007BF">
        <w:rPr>
          <w:rFonts w:ascii="Abadi" w:hAnsi="Abadi" w:cs="Amasis MT Pro Light"/>
          <w:color w:val="000000"/>
          <w:sz w:val="21"/>
          <w:szCs w:val="21"/>
        </w:rPr>
        <w:t xml:space="preserve">inhabilitado para el desempeño de un </w:t>
      </w:r>
      <w:r>
        <w:rPr>
          <w:rFonts w:ascii="Abadi" w:hAnsi="Abadi" w:cs="Amasis MT Pro Light"/>
          <w:color w:val="000000"/>
          <w:sz w:val="21"/>
          <w:szCs w:val="21"/>
        </w:rPr>
        <w:tab/>
      </w:r>
      <w:r w:rsidR="00011A03" w:rsidRPr="00A007BF">
        <w:rPr>
          <w:rFonts w:ascii="Abadi" w:hAnsi="Abadi" w:cs="Amasis MT Pro Light"/>
          <w:color w:val="000000"/>
          <w:sz w:val="21"/>
          <w:szCs w:val="21"/>
        </w:rPr>
        <w:t>cargo</w:t>
      </w:r>
      <w:r>
        <w:rPr>
          <w:rFonts w:ascii="Abadi" w:hAnsi="Abadi" w:cs="Amasis MT Pro Light"/>
          <w:color w:val="000000"/>
          <w:sz w:val="21"/>
          <w:szCs w:val="21"/>
        </w:rPr>
        <w:t xml:space="preserve"> </w:t>
      </w:r>
      <w:r w:rsidR="00011A03" w:rsidRPr="00A007BF">
        <w:rPr>
          <w:rFonts w:ascii="Abadi" w:hAnsi="Abadi" w:cs="Amasis MT Pro Light"/>
          <w:color w:val="000000"/>
          <w:sz w:val="21"/>
          <w:szCs w:val="21"/>
        </w:rPr>
        <w:t xml:space="preserve">público, </w:t>
      </w:r>
      <w:r w:rsidR="00011A03" w:rsidRPr="00A007BF">
        <w:rPr>
          <w:rFonts w:ascii="Abadi" w:hAnsi="Abadi" w:cs="Amasis MT Pro Light"/>
          <w:b/>
          <w:bCs/>
          <w:color w:val="000000"/>
          <w:sz w:val="21"/>
          <w:szCs w:val="21"/>
        </w:rPr>
        <w:t xml:space="preserve">siempre y cuando las </w:t>
      </w:r>
      <w:r>
        <w:rPr>
          <w:rFonts w:ascii="Abadi" w:hAnsi="Abadi" w:cs="Amasis MT Pro Light"/>
          <w:b/>
          <w:bCs/>
          <w:color w:val="000000"/>
          <w:sz w:val="21"/>
          <w:szCs w:val="21"/>
        </w:rPr>
        <w:tab/>
      </w:r>
      <w:r w:rsidR="00011A03" w:rsidRPr="00A007BF">
        <w:rPr>
          <w:rFonts w:ascii="Abadi" w:hAnsi="Abadi" w:cs="Amasis MT Pro Light"/>
          <w:b/>
          <w:bCs/>
          <w:color w:val="000000"/>
          <w:sz w:val="21"/>
          <w:szCs w:val="21"/>
        </w:rPr>
        <w:t>conductas ilícitas por las que se les</w:t>
      </w:r>
      <w:r w:rsidR="00011A03">
        <w:rPr>
          <w:rFonts w:ascii="Abadi" w:hAnsi="Abadi" w:cs="Amasis MT Pro Light"/>
          <w:b/>
          <w:bCs/>
          <w:color w:val="000000"/>
          <w:sz w:val="21"/>
          <w:szCs w:val="21"/>
        </w:rPr>
        <w:t xml:space="preserve"> </w:t>
      </w:r>
      <w:r>
        <w:rPr>
          <w:rFonts w:ascii="Abadi" w:hAnsi="Abadi" w:cs="Amasis MT Pro Light"/>
          <w:b/>
          <w:bCs/>
          <w:color w:val="000000"/>
          <w:sz w:val="21"/>
          <w:szCs w:val="21"/>
        </w:rPr>
        <w:tab/>
      </w:r>
      <w:r w:rsidR="00011A03" w:rsidRPr="00A007BF">
        <w:rPr>
          <w:rFonts w:ascii="Abadi" w:hAnsi="Abadi" w:cs="Amasis MT Pro Light"/>
          <w:b/>
          <w:bCs/>
          <w:color w:val="000000"/>
          <w:sz w:val="21"/>
          <w:szCs w:val="21"/>
        </w:rPr>
        <w:t xml:space="preserve">sancionó </w:t>
      </w:r>
      <w:r>
        <w:rPr>
          <w:rFonts w:ascii="Abadi" w:hAnsi="Abadi" w:cs="Amasis MT Pro Light"/>
          <w:b/>
          <w:bCs/>
          <w:color w:val="000000"/>
          <w:sz w:val="21"/>
          <w:szCs w:val="21"/>
        </w:rPr>
        <w:t xml:space="preserve">o </w:t>
      </w:r>
      <w:r w:rsidR="00011A03" w:rsidRPr="00A007BF">
        <w:rPr>
          <w:rFonts w:ascii="Abadi" w:hAnsi="Abadi" w:cs="Amasis MT Pro Light"/>
          <w:b/>
          <w:bCs/>
          <w:color w:val="000000"/>
          <w:sz w:val="21"/>
          <w:szCs w:val="21"/>
        </w:rPr>
        <w:t xml:space="preserve">inhabilitó, se </w:t>
      </w:r>
      <w:r>
        <w:rPr>
          <w:rFonts w:ascii="Abadi" w:hAnsi="Abadi" w:cs="Amasis MT Pro Light"/>
          <w:b/>
          <w:bCs/>
          <w:color w:val="000000"/>
          <w:sz w:val="21"/>
          <w:szCs w:val="21"/>
        </w:rPr>
        <w:tab/>
      </w:r>
      <w:r w:rsidR="00011A03" w:rsidRPr="00A007BF">
        <w:rPr>
          <w:rFonts w:ascii="Abadi" w:hAnsi="Abadi" w:cs="Amasis MT Pro Light"/>
          <w:b/>
          <w:bCs/>
          <w:color w:val="000000"/>
          <w:sz w:val="21"/>
          <w:szCs w:val="21"/>
        </w:rPr>
        <w:t>encuentren estrechamente vinculadas</w:t>
      </w:r>
      <w:r w:rsidR="00011A03">
        <w:rPr>
          <w:rFonts w:ascii="Abadi" w:hAnsi="Abadi" w:cs="Amasis MT Pro Light"/>
          <w:b/>
          <w:bCs/>
          <w:color w:val="000000"/>
          <w:sz w:val="21"/>
          <w:szCs w:val="21"/>
        </w:rPr>
        <w:t xml:space="preserve"> </w:t>
      </w:r>
      <w:r>
        <w:rPr>
          <w:rFonts w:ascii="Abadi" w:hAnsi="Abadi" w:cs="Amasis MT Pro Light"/>
          <w:b/>
          <w:bCs/>
          <w:color w:val="000000"/>
          <w:sz w:val="21"/>
          <w:szCs w:val="21"/>
        </w:rPr>
        <w:tab/>
      </w:r>
      <w:r w:rsidR="00011A03" w:rsidRPr="00A007BF">
        <w:rPr>
          <w:rFonts w:ascii="Abadi" w:hAnsi="Abadi" w:cs="Amasis MT Pro Light"/>
          <w:b/>
          <w:bCs/>
          <w:color w:val="000000"/>
          <w:sz w:val="21"/>
          <w:szCs w:val="21"/>
        </w:rPr>
        <w:t>con</w:t>
      </w:r>
      <w:r>
        <w:rPr>
          <w:rFonts w:ascii="Abadi" w:hAnsi="Abadi" w:cs="Amasis MT Pro Light"/>
          <w:b/>
          <w:bCs/>
          <w:color w:val="000000"/>
          <w:sz w:val="21"/>
          <w:szCs w:val="21"/>
        </w:rPr>
        <w:t xml:space="preserve"> </w:t>
      </w:r>
      <w:r w:rsidR="00011A03" w:rsidRPr="00A007BF">
        <w:rPr>
          <w:rFonts w:ascii="Abadi" w:hAnsi="Abadi" w:cs="Amasis MT Pro Light"/>
          <w:b/>
          <w:bCs/>
          <w:color w:val="000000"/>
          <w:sz w:val="21"/>
          <w:szCs w:val="21"/>
        </w:rPr>
        <w:t xml:space="preserve">el empleo                                        </w:t>
      </w:r>
      <w:r w:rsidR="00011A03">
        <w:rPr>
          <w:rFonts w:ascii="Abadi" w:hAnsi="Abadi" w:cs="Amasis MT Pro Light"/>
          <w:b/>
          <w:bCs/>
          <w:color w:val="000000"/>
          <w:sz w:val="21"/>
          <w:szCs w:val="21"/>
        </w:rPr>
        <w:t xml:space="preserve">          </w:t>
      </w:r>
      <w:r>
        <w:rPr>
          <w:rFonts w:ascii="Abadi" w:hAnsi="Abadi" w:cs="Amasis MT Pro Light"/>
          <w:b/>
          <w:bCs/>
          <w:color w:val="000000"/>
          <w:sz w:val="21"/>
          <w:szCs w:val="21"/>
        </w:rPr>
        <w:tab/>
      </w:r>
      <w:r w:rsidR="00011A03" w:rsidRPr="00A007BF">
        <w:rPr>
          <w:rFonts w:ascii="Abadi" w:hAnsi="Abadi" w:cs="Amasis MT Pro Light"/>
          <w:b/>
          <w:bCs/>
          <w:color w:val="000000"/>
          <w:sz w:val="21"/>
          <w:szCs w:val="21"/>
        </w:rPr>
        <w:t>correspondiente a este artículo</w:t>
      </w:r>
      <w:r w:rsidR="00011A03" w:rsidRPr="00A007BF">
        <w:rPr>
          <w:rFonts w:ascii="Abadi" w:hAnsi="Abadi" w:cs="Amasis MT Pro Light"/>
          <w:color w:val="000000"/>
          <w:sz w:val="21"/>
          <w:szCs w:val="21"/>
        </w:rPr>
        <w:t>; y</w:t>
      </w:r>
      <w:r w:rsidR="00011A03">
        <w:rPr>
          <w:rFonts w:ascii="Abadi" w:hAnsi="Abadi" w:cs="Amasis MT Pro Light"/>
          <w:color w:val="000000"/>
          <w:sz w:val="21"/>
          <w:szCs w:val="21"/>
        </w:rPr>
        <w:t xml:space="preserve"> </w:t>
      </w:r>
    </w:p>
    <w:p w14:paraId="2C92A5DD" w14:textId="77777777" w:rsidR="00342828" w:rsidRDefault="00342828" w:rsidP="00011A03">
      <w:pPr>
        <w:autoSpaceDE w:val="0"/>
        <w:autoSpaceDN w:val="0"/>
        <w:adjustRightInd w:val="0"/>
        <w:jc w:val="both"/>
        <w:rPr>
          <w:rFonts w:ascii="Abadi" w:hAnsi="Abadi" w:cs="Amasis MT Pro Light"/>
          <w:b/>
          <w:bCs/>
          <w:color w:val="000000"/>
          <w:sz w:val="21"/>
          <w:szCs w:val="21"/>
        </w:rPr>
      </w:pPr>
    </w:p>
    <w:p w14:paraId="5A507CD5" w14:textId="10F1CBFB" w:rsidR="00011A03" w:rsidRPr="00A007BF" w:rsidRDefault="00342828" w:rsidP="00011A03">
      <w:pPr>
        <w:autoSpaceDE w:val="0"/>
        <w:autoSpaceDN w:val="0"/>
        <w:adjustRightInd w:val="0"/>
        <w:jc w:val="both"/>
        <w:rPr>
          <w:rFonts w:ascii="Abadi" w:hAnsi="Abadi" w:cs="Amasis MT Pro Light"/>
          <w:color w:val="000000"/>
          <w:sz w:val="21"/>
          <w:szCs w:val="21"/>
        </w:rPr>
      </w:pPr>
      <w:r>
        <w:rPr>
          <w:rFonts w:ascii="Abadi" w:hAnsi="Abadi" w:cs="Amasis MT Pro Light"/>
          <w:b/>
          <w:bCs/>
          <w:color w:val="000000"/>
          <w:sz w:val="21"/>
          <w:szCs w:val="21"/>
        </w:rPr>
        <w:tab/>
      </w:r>
      <w:r w:rsidR="00011A03" w:rsidRPr="00A007BF">
        <w:rPr>
          <w:rFonts w:ascii="Abadi" w:hAnsi="Abadi" w:cs="Amasis MT Pro Light"/>
          <w:color w:val="000000"/>
          <w:sz w:val="21"/>
          <w:szCs w:val="21"/>
        </w:rPr>
        <w:t>VI. …</w:t>
      </w:r>
    </w:p>
    <w:p w14:paraId="44E09D06" w14:textId="77777777" w:rsidR="00342828" w:rsidRDefault="00342828" w:rsidP="00011A03">
      <w:pPr>
        <w:autoSpaceDE w:val="0"/>
        <w:autoSpaceDN w:val="0"/>
        <w:adjustRightInd w:val="0"/>
        <w:jc w:val="both"/>
        <w:rPr>
          <w:rFonts w:ascii="Abadi" w:hAnsi="Abadi" w:cs="Amasis MT Pro Light"/>
          <w:color w:val="000000"/>
          <w:sz w:val="21"/>
          <w:szCs w:val="21"/>
        </w:rPr>
      </w:pPr>
    </w:p>
    <w:p w14:paraId="7C604CD0" w14:textId="77777777" w:rsidR="00342828" w:rsidRDefault="00342828" w:rsidP="00342828">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r w:rsidR="00011A03" w:rsidRPr="00A007BF">
        <w:rPr>
          <w:rFonts w:ascii="Abadi" w:hAnsi="Abadi" w:cs="Amasis MT Pro Light"/>
          <w:color w:val="000000"/>
          <w:sz w:val="21"/>
          <w:szCs w:val="21"/>
        </w:rPr>
        <w:t xml:space="preserve">Artículo 17. Para ser Médico en un </w:t>
      </w:r>
      <w:r>
        <w:rPr>
          <w:rFonts w:ascii="Abadi" w:hAnsi="Abadi" w:cs="Amasis MT Pro Light"/>
          <w:color w:val="000000"/>
          <w:sz w:val="21"/>
          <w:szCs w:val="21"/>
        </w:rPr>
        <w:tab/>
      </w:r>
      <w:r w:rsidR="00011A03" w:rsidRPr="00A007BF">
        <w:rPr>
          <w:rFonts w:ascii="Abadi" w:hAnsi="Abadi" w:cs="Amasis MT Pro Light"/>
          <w:color w:val="000000"/>
          <w:sz w:val="21"/>
          <w:szCs w:val="21"/>
        </w:rPr>
        <w:t xml:space="preserve">Juzgado Cívico se deben reunir los </w:t>
      </w:r>
      <w:r>
        <w:rPr>
          <w:rFonts w:ascii="Abadi" w:hAnsi="Abadi" w:cs="Amasis MT Pro Light"/>
          <w:color w:val="000000"/>
          <w:sz w:val="21"/>
          <w:szCs w:val="21"/>
        </w:rPr>
        <w:tab/>
      </w:r>
      <w:r w:rsidR="00011A03" w:rsidRPr="00A007BF">
        <w:rPr>
          <w:rFonts w:ascii="Abadi" w:hAnsi="Abadi" w:cs="Amasis MT Pro Light"/>
          <w:color w:val="000000"/>
          <w:sz w:val="21"/>
          <w:szCs w:val="21"/>
        </w:rPr>
        <w:t>siguientes</w:t>
      </w:r>
      <w:r>
        <w:rPr>
          <w:rFonts w:ascii="Abadi" w:hAnsi="Abadi" w:cs="Amasis MT Pro Light"/>
          <w:color w:val="000000"/>
          <w:sz w:val="21"/>
          <w:szCs w:val="21"/>
        </w:rPr>
        <w:t xml:space="preserve"> </w:t>
      </w:r>
      <w:r w:rsidR="00011A03" w:rsidRPr="00A007BF">
        <w:rPr>
          <w:rFonts w:ascii="Abadi" w:hAnsi="Abadi" w:cs="Amasis MT Pro Light"/>
          <w:color w:val="000000"/>
          <w:sz w:val="21"/>
          <w:szCs w:val="21"/>
        </w:rPr>
        <w:t>requisitos</w:t>
      </w:r>
      <w:r>
        <w:rPr>
          <w:rFonts w:ascii="Abadi" w:hAnsi="Abadi" w:cs="Amasis MT Pro Light"/>
          <w:color w:val="000000"/>
          <w:sz w:val="21"/>
          <w:szCs w:val="21"/>
        </w:rPr>
        <w:t>:</w:t>
      </w:r>
    </w:p>
    <w:p w14:paraId="7DBF6B65" w14:textId="77777777" w:rsidR="00342828" w:rsidRDefault="00342828" w:rsidP="00342828">
      <w:pPr>
        <w:autoSpaceDE w:val="0"/>
        <w:autoSpaceDN w:val="0"/>
        <w:adjustRightInd w:val="0"/>
        <w:jc w:val="both"/>
        <w:rPr>
          <w:rFonts w:ascii="Abadi" w:hAnsi="Abadi" w:cs="Amasis MT Pro Light"/>
          <w:color w:val="000000"/>
          <w:sz w:val="21"/>
          <w:szCs w:val="21"/>
        </w:rPr>
      </w:pPr>
    </w:p>
    <w:p w14:paraId="53E47651" w14:textId="58866303" w:rsidR="00342828" w:rsidRDefault="00342828" w:rsidP="00342828">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r w:rsidR="00011A03" w:rsidRPr="00A007BF">
        <w:rPr>
          <w:rFonts w:ascii="Abadi" w:hAnsi="Abadi" w:cs="Amasis MT Pro Light"/>
          <w:color w:val="000000"/>
          <w:sz w:val="21"/>
          <w:szCs w:val="21"/>
        </w:rPr>
        <w:t>I a IV. …</w:t>
      </w:r>
    </w:p>
    <w:p w14:paraId="369151A4" w14:textId="77777777" w:rsidR="0074303D" w:rsidRPr="00A007BF" w:rsidRDefault="0074303D" w:rsidP="00342828">
      <w:pPr>
        <w:autoSpaceDE w:val="0"/>
        <w:autoSpaceDN w:val="0"/>
        <w:adjustRightInd w:val="0"/>
        <w:jc w:val="both"/>
        <w:rPr>
          <w:rFonts w:ascii="Abadi" w:hAnsi="Abadi" w:cs="Amasis MT Pro Light"/>
          <w:color w:val="000000"/>
          <w:sz w:val="21"/>
          <w:szCs w:val="21"/>
        </w:rPr>
      </w:pPr>
    </w:p>
    <w:p w14:paraId="1BA740C3" w14:textId="6EF121BD" w:rsidR="0074303D" w:rsidRDefault="0074303D" w:rsidP="00011A03">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r w:rsidR="00011A03" w:rsidRPr="00A007BF">
        <w:rPr>
          <w:rFonts w:ascii="Abadi" w:hAnsi="Abadi" w:cs="Amasis MT Pro Light"/>
          <w:color w:val="000000"/>
          <w:sz w:val="21"/>
          <w:szCs w:val="21"/>
        </w:rPr>
        <w:t xml:space="preserve">V. No haber sido suspendido o </w:t>
      </w:r>
      <w:r>
        <w:rPr>
          <w:rFonts w:ascii="Abadi" w:hAnsi="Abadi" w:cs="Amasis MT Pro Light"/>
          <w:color w:val="000000"/>
          <w:sz w:val="21"/>
          <w:szCs w:val="21"/>
        </w:rPr>
        <w:tab/>
      </w:r>
      <w:r w:rsidR="00011A03" w:rsidRPr="00A007BF">
        <w:rPr>
          <w:rFonts w:ascii="Abadi" w:hAnsi="Abadi" w:cs="Amasis MT Pro Light"/>
          <w:color w:val="000000"/>
          <w:sz w:val="21"/>
          <w:szCs w:val="21"/>
        </w:rPr>
        <w:t xml:space="preserve">inhabilitado para el desempeño de un </w:t>
      </w:r>
      <w:r>
        <w:rPr>
          <w:rFonts w:ascii="Abadi" w:hAnsi="Abadi" w:cs="Amasis MT Pro Light"/>
          <w:color w:val="000000"/>
          <w:sz w:val="21"/>
          <w:szCs w:val="21"/>
        </w:rPr>
        <w:tab/>
      </w:r>
      <w:r w:rsidR="00011A03" w:rsidRPr="00A007BF">
        <w:rPr>
          <w:rFonts w:ascii="Abadi" w:hAnsi="Abadi" w:cs="Amasis MT Pro Light"/>
          <w:color w:val="000000"/>
          <w:sz w:val="21"/>
          <w:szCs w:val="21"/>
        </w:rPr>
        <w:t>cargo</w:t>
      </w:r>
      <w:r>
        <w:rPr>
          <w:rFonts w:ascii="Abadi" w:hAnsi="Abadi" w:cs="Amasis MT Pro Light"/>
          <w:color w:val="000000"/>
          <w:sz w:val="21"/>
          <w:szCs w:val="21"/>
        </w:rPr>
        <w:t xml:space="preserve"> </w:t>
      </w:r>
      <w:r w:rsidR="00011A03" w:rsidRPr="00A007BF">
        <w:rPr>
          <w:rFonts w:ascii="Abadi" w:hAnsi="Abadi" w:cs="Amasis MT Pro Light"/>
          <w:color w:val="000000"/>
          <w:sz w:val="21"/>
          <w:szCs w:val="21"/>
        </w:rPr>
        <w:t>público</w:t>
      </w:r>
      <w:r w:rsidR="00011A03" w:rsidRPr="00A007BF">
        <w:rPr>
          <w:rFonts w:ascii="Abadi" w:hAnsi="Abadi" w:cs="Amasis MT Pro Light"/>
          <w:b/>
          <w:bCs/>
          <w:color w:val="000000"/>
          <w:sz w:val="21"/>
          <w:szCs w:val="21"/>
        </w:rPr>
        <w:t xml:space="preserve">, siempre y cuando las </w:t>
      </w:r>
      <w:r>
        <w:rPr>
          <w:rFonts w:ascii="Abadi" w:hAnsi="Abadi" w:cs="Amasis MT Pro Light"/>
          <w:b/>
          <w:bCs/>
          <w:color w:val="000000"/>
          <w:sz w:val="21"/>
          <w:szCs w:val="21"/>
        </w:rPr>
        <w:tab/>
      </w:r>
      <w:r w:rsidR="00011A03" w:rsidRPr="00A007BF">
        <w:rPr>
          <w:rFonts w:ascii="Abadi" w:hAnsi="Abadi" w:cs="Amasis MT Pro Light"/>
          <w:b/>
          <w:bCs/>
          <w:color w:val="000000"/>
          <w:sz w:val="21"/>
          <w:szCs w:val="21"/>
        </w:rPr>
        <w:t xml:space="preserve">conductas ilícitas por las que se les </w:t>
      </w:r>
      <w:r>
        <w:rPr>
          <w:rFonts w:ascii="Abadi" w:hAnsi="Abadi" w:cs="Amasis MT Pro Light"/>
          <w:b/>
          <w:bCs/>
          <w:color w:val="000000"/>
          <w:sz w:val="21"/>
          <w:szCs w:val="21"/>
        </w:rPr>
        <w:tab/>
      </w:r>
      <w:r w:rsidR="00011A03" w:rsidRPr="00A007BF">
        <w:rPr>
          <w:rFonts w:ascii="Abadi" w:hAnsi="Abadi" w:cs="Amasis MT Pro Light"/>
          <w:b/>
          <w:bCs/>
          <w:color w:val="000000"/>
          <w:sz w:val="21"/>
          <w:szCs w:val="21"/>
        </w:rPr>
        <w:t>sancionó o</w:t>
      </w:r>
      <w:r>
        <w:rPr>
          <w:rFonts w:ascii="Abadi" w:hAnsi="Abadi" w:cs="Amasis MT Pro Light"/>
          <w:b/>
          <w:bCs/>
          <w:color w:val="000000"/>
          <w:sz w:val="21"/>
          <w:szCs w:val="21"/>
        </w:rPr>
        <w:t xml:space="preserve"> </w:t>
      </w:r>
      <w:r w:rsidR="00011A03" w:rsidRPr="00A007BF">
        <w:rPr>
          <w:rFonts w:ascii="Abadi" w:hAnsi="Abadi" w:cs="Amasis MT Pro Light"/>
          <w:b/>
          <w:bCs/>
          <w:color w:val="000000"/>
          <w:sz w:val="21"/>
          <w:szCs w:val="21"/>
        </w:rPr>
        <w:t xml:space="preserve">inhabilitó, se encuentren </w:t>
      </w:r>
      <w:r>
        <w:rPr>
          <w:rFonts w:ascii="Abadi" w:hAnsi="Abadi" w:cs="Amasis MT Pro Light"/>
          <w:b/>
          <w:bCs/>
          <w:color w:val="000000"/>
          <w:sz w:val="21"/>
          <w:szCs w:val="21"/>
        </w:rPr>
        <w:tab/>
      </w:r>
      <w:r w:rsidR="00011A03" w:rsidRPr="00A007BF">
        <w:rPr>
          <w:rFonts w:ascii="Abadi" w:hAnsi="Abadi" w:cs="Amasis MT Pro Light"/>
          <w:b/>
          <w:bCs/>
          <w:color w:val="000000"/>
          <w:sz w:val="21"/>
          <w:szCs w:val="21"/>
        </w:rPr>
        <w:t xml:space="preserve">estrechamente vinculadas con el </w:t>
      </w:r>
      <w:r>
        <w:rPr>
          <w:rFonts w:ascii="Abadi" w:hAnsi="Abadi" w:cs="Amasis MT Pro Light"/>
          <w:b/>
          <w:bCs/>
          <w:color w:val="000000"/>
          <w:sz w:val="21"/>
          <w:szCs w:val="21"/>
        </w:rPr>
        <w:tab/>
      </w:r>
      <w:r w:rsidR="00011A03" w:rsidRPr="00A007BF">
        <w:rPr>
          <w:rFonts w:ascii="Abadi" w:hAnsi="Abadi" w:cs="Amasis MT Pro Light"/>
          <w:b/>
          <w:bCs/>
          <w:color w:val="000000"/>
          <w:sz w:val="21"/>
          <w:szCs w:val="21"/>
        </w:rPr>
        <w:t>empleo</w:t>
      </w:r>
      <w:r>
        <w:rPr>
          <w:rFonts w:ascii="Abadi" w:hAnsi="Abadi" w:cs="Amasis MT Pro Light"/>
          <w:b/>
          <w:bCs/>
          <w:color w:val="000000"/>
          <w:sz w:val="21"/>
          <w:szCs w:val="21"/>
        </w:rPr>
        <w:t xml:space="preserve"> </w:t>
      </w:r>
      <w:r w:rsidR="00011A03" w:rsidRPr="00A007BF">
        <w:rPr>
          <w:rFonts w:ascii="Abadi" w:hAnsi="Abadi" w:cs="Amasis MT Pro Light"/>
          <w:b/>
          <w:bCs/>
          <w:color w:val="000000"/>
          <w:sz w:val="21"/>
          <w:szCs w:val="21"/>
        </w:rPr>
        <w:t xml:space="preserve">correspondiente a este </w:t>
      </w:r>
      <w:r>
        <w:rPr>
          <w:rFonts w:ascii="Abadi" w:hAnsi="Abadi" w:cs="Amasis MT Pro Light"/>
          <w:b/>
          <w:bCs/>
          <w:color w:val="000000"/>
          <w:sz w:val="21"/>
          <w:szCs w:val="21"/>
        </w:rPr>
        <w:tab/>
      </w:r>
      <w:r w:rsidR="00011A03" w:rsidRPr="00A007BF">
        <w:rPr>
          <w:rFonts w:ascii="Abadi" w:hAnsi="Abadi" w:cs="Amasis MT Pro Light"/>
          <w:b/>
          <w:bCs/>
          <w:color w:val="000000"/>
          <w:sz w:val="21"/>
          <w:szCs w:val="21"/>
        </w:rPr>
        <w:t>artículo</w:t>
      </w:r>
      <w:r w:rsidR="00011A03" w:rsidRPr="00A007BF">
        <w:rPr>
          <w:rFonts w:ascii="Abadi" w:hAnsi="Abadi" w:cs="Amasis MT Pro Light"/>
          <w:color w:val="000000"/>
          <w:sz w:val="21"/>
          <w:szCs w:val="21"/>
        </w:rPr>
        <w:t>; y</w:t>
      </w:r>
    </w:p>
    <w:p w14:paraId="7CB7D033" w14:textId="77777777" w:rsidR="0074303D" w:rsidRDefault="0074303D" w:rsidP="00011A03">
      <w:pPr>
        <w:autoSpaceDE w:val="0"/>
        <w:autoSpaceDN w:val="0"/>
        <w:adjustRightInd w:val="0"/>
        <w:jc w:val="both"/>
        <w:rPr>
          <w:rFonts w:ascii="Abadi" w:hAnsi="Abadi" w:cs="Amasis MT Pro Light"/>
          <w:color w:val="000000"/>
          <w:sz w:val="21"/>
          <w:szCs w:val="21"/>
        </w:rPr>
      </w:pPr>
    </w:p>
    <w:p w14:paraId="263F50D4" w14:textId="32BB2479" w:rsidR="00011A03" w:rsidRPr="00A007BF" w:rsidRDefault="0074303D" w:rsidP="00011A03">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r w:rsidR="00011A03" w:rsidRPr="00A007BF">
        <w:rPr>
          <w:rFonts w:ascii="Abadi" w:hAnsi="Abadi" w:cs="Amasis MT Pro Light"/>
          <w:color w:val="000000"/>
          <w:sz w:val="21"/>
          <w:szCs w:val="21"/>
        </w:rPr>
        <w:t>VI. …</w:t>
      </w:r>
    </w:p>
    <w:p w14:paraId="282DDA50" w14:textId="77777777" w:rsidR="0074303D" w:rsidRDefault="0074303D" w:rsidP="00011A03">
      <w:pPr>
        <w:autoSpaceDE w:val="0"/>
        <w:autoSpaceDN w:val="0"/>
        <w:adjustRightInd w:val="0"/>
        <w:jc w:val="both"/>
        <w:rPr>
          <w:rFonts w:ascii="Abadi" w:hAnsi="Abadi" w:cs="Amasis MT Pro Light"/>
          <w:color w:val="000000"/>
          <w:sz w:val="21"/>
          <w:szCs w:val="21"/>
        </w:rPr>
      </w:pPr>
    </w:p>
    <w:p w14:paraId="27A79B20" w14:textId="77777777" w:rsidR="0074303D" w:rsidRDefault="0074303D" w:rsidP="0074303D">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r w:rsidR="00011A03" w:rsidRPr="00A007BF">
        <w:rPr>
          <w:rFonts w:ascii="Abadi" w:hAnsi="Abadi" w:cs="Amasis MT Pro Light"/>
          <w:color w:val="000000"/>
          <w:sz w:val="21"/>
          <w:szCs w:val="21"/>
        </w:rPr>
        <w:t xml:space="preserve">Artículo 66. Son infracciones contra la </w:t>
      </w:r>
      <w:r>
        <w:rPr>
          <w:rFonts w:ascii="Abadi" w:hAnsi="Abadi" w:cs="Amasis MT Pro Light"/>
          <w:color w:val="000000"/>
          <w:sz w:val="21"/>
          <w:szCs w:val="21"/>
        </w:rPr>
        <w:tab/>
      </w:r>
      <w:r w:rsidR="00011A03" w:rsidRPr="00A007BF">
        <w:rPr>
          <w:rFonts w:ascii="Abadi" w:hAnsi="Abadi" w:cs="Amasis MT Pro Light"/>
          <w:color w:val="000000"/>
          <w:sz w:val="21"/>
          <w:szCs w:val="21"/>
        </w:rPr>
        <w:t>seguridad ciudadana</w:t>
      </w:r>
      <w:r>
        <w:rPr>
          <w:rFonts w:ascii="Abadi" w:hAnsi="Abadi" w:cs="Amasis MT Pro Light"/>
          <w:color w:val="000000"/>
          <w:sz w:val="21"/>
          <w:szCs w:val="21"/>
        </w:rPr>
        <w:t xml:space="preserve">: </w:t>
      </w:r>
    </w:p>
    <w:p w14:paraId="11474AD9" w14:textId="77777777" w:rsidR="0074303D" w:rsidRDefault="0074303D" w:rsidP="0074303D">
      <w:pPr>
        <w:autoSpaceDE w:val="0"/>
        <w:autoSpaceDN w:val="0"/>
        <w:adjustRightInd w:val="0"/>
        <w:jc w:val="both"/>
        <w:rPr>
          <w:rFonts w:ascii="Abadi" w:hAnsi="Abadi" w:cs="Amasis MT Pro Light"/>
          <w:color w:val="000000"/>
          <w:sz w:val="21"/>
          <w:szCs w:val="21"/>
        </w:rPr>
      </w:pPr>
    </w:p>
    <w:p w14:paraId="278B5443" w14:textId="77777777" w:rsidR="0074303D" w:rsidRDefault="0074303D" w:rsidP="0074303D">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r w:rsidR="00011A03" w:rsidRPr="00A007BF">
        <w:rPr>
          <w:rFonts w:ascii="Abadi" w:hAnsi="Abadi" w:cs="Amasis MT Pro Light"/>
          <w:color w:val="000000"/>
          <w:sz w:val="21"/>
          <w:szCs w:val="21"/>
        </w:rPr>
        <w:t>I a II. …</w:t>
      </w:r>
    </w:p>
    <w:p w14:paraId="1AA0CCAE" w14:textId="77777777" w:rsidR="0074303D" w:rsidRDefault="0074303D" w:rsidP="0074303D">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p>
    <w:p w14:paraId="7F270796" w14:textId="25D8EA08" w:rsidR="00011A03" w:rsidRPr="00A007BF" w:rsidRDefault="0074303D" w:rsidP="0074303D">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r w:rsidR="00011A03">
        <w:rPr>
          <w:rFonts w:ascii="Abadi" w:hAnsi="Abadi" w:cs="Amasis MT Pro Light,Italic"/>
          <w:i/>
          <w:iCs/>
          <w:color w:val="000000"/>
          <w:sz w:val="21"/>
          <w:szCs w:val="21"/>
        </w:rPr>
        <w:t xml:space="preserve">III </w:t>
      </w:r>
      <w:r w:rsidR="00011A03" w:rsidRPr="00A007BF">
        <w:rPr>
          <w:rFonts w:ascii="Abadi" w:hAnsi="Abadi" w:cs="Amasis MT Pro Light,Italic"/>
          <w:i/>
          <w:iCs/>
          <w:color w:val="000000"/>
          <w:sz w:val="21"/>
          <w:szCs w:val="21"/>
        </w:rPr>
        <w:t>Se deroga</w:t>
      </w:r>
      <w:r w:rsidR="00011A03" w:rsidRPr="00A007BF">
        <w:rPr>
          <w:rFonts w:ascii="Abadi" w:hAnsi="Abadi" w:cs="Amasis MT Pro Light"/>
          <w:color w:val="000000"/>
          <w:sz w:val="21"/>
          <w:szCs w:val="21"/>
        </w:rPr>
        <w:t>;</w:t>
      </w:r>
    </w:p>
    <w:p w14:paraId="2D47F437" w14:textId="77777777" w:rsidR="0074303D" w:rsidRDefault="0074303D" w:rsidP="00011A03">
      <w:pPr>
        <w:autoSpaceDE w:val="0"/>
        <w:autoSpaceDN w:val="0"/>
        <w:adjustRightInd w:val="0"/>
        <w:jc w:val="both"/>
        <w:rPr>
          <w:rFonts w:ascii="Abadi" w:hAnsi="Abadi" w:cs="Amasis MT Pro Light"/>
          <w:color w:val="000000"/>
          <w:sz w:val="21"/>
          <w:szCs w:val="21"/>
        </w:rPr>
      </w:pPr>
    </w:p>
    <w:p w14:paraId="1977D51B" w14:textId="65D7CEA6" w:rsidR="00011A03" w:rsidRDefault="0074303D" w:rsidP="00011A03">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r w:rsidR="00011A03" w:rsidRPr="00A007BF">
        <w:rPr>
          <w:rFonts w:ascii="Abadi" w:hAnsi="Abadi" w:cs="Amasis MT Pro Light"/>
          <w:color w:val="000000"/>
          <w:sz w:val="21"/>
          <w:szCs w:val="21"/>
        </w:rPr>
        <w:t>IV. a XVII. …</w:t>
      </w:r>
    </w:p>
    <w:p w14:paraId="231FA99F" w14:textId="56232207" w:rsidR="0074303D" w:rsidRDefault="0074303D" w:rsidP="00011A03">
      <w:pPr>
        <w:autoSpaceDE w:val="0"/>
        <w:autoSpaceDN w:val="0"/>
        <w:adjustRightInd w:val="0"/>
        <w:jc w:val="both"/>
        <w:rPr>
          <w:rFonts w:ascii="Abadi" w:hAnsi="Abadi" w:cs="Amasis MT Pro Light"/>
          <w:color w:val="000000"/>
          <w:sz w:val="21"/>
          <w:szCs w:val="21"/>
        </w:rPr>
      </w:pPr>
    </w:p>
    <w:p w14:paraId="1CDD5D88" w14:textId="5C315B49" w:rsidR="0074303D" w:rsidRPr="00A007BF" w:rsidRDefault="0074303D" w:rsidP="00011A03">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r w:rsidRPr="00A007BF">
        <w:rPr>
          <w:rFonts w:ascii="Abadi" w:hAnsi="Abadi" w:cs="Amasis MT Pro Light"/>
          <w:color w:val="000000"/>
          <w:sz w:val="21"/>
          <w:szCs w:val="21"/>
        </w:rPr>
        <w:t>…</w:t>
      </w:r>
    </w:p>
    <w:p w14:paraId="36E2ADB7" w14:textId="77777777" w:rsidR="0074303D" w:rsidRDefault="0074303D" w:rsidP="00011A03">
      <w:pPr>
        <w:autoSpaceDE w:val="0"/>
        <w:autoSpaceDN w:val="0"/>
        <w:adjustRightInd w:val="0"/>
        <w:jc w:val="both"/>
        <w:rPr>
          <w:rFonts w:ascii="Abadi" w:hAnsi="Abadi" w:cs="Amasis MT Pro Light"/>
          <w:color w:val="000000"/>
          <w:sz w:val="21"/>
          <w:szCs w:val="21"/>
        </w:rPr>
      </w:pPr>
    </w:p>
    <w:p w14:paraId="6DB78188" w14:textId="77777777" w:rsidR="0074303D" w:rsidRDefault="0074303D" w:rsidP="00011A03">
      <w:pPr>
        <w:autoSpaceDE w:val="0"/>
        <w:autoSpaceDN w:val="0"/>
        <w:adjustRightInd w:val="0"/>
        <w:jc w:val="both"/>
        <w:rPr>
          <w:rFonts w:ascii="Abadi" w:hAnsi="Abadi" w:cs="Amasis MT Pro Light"/>
          <w:b/>
          <w:bCs/>
          <w:color w:val="000000"/>
          <w:sz w:val="21"/>
          <w:szCs w:val="21"/>
        </w:rPr>
      </w:pPr>
      <w:r>
        <w:rPr>
          <w:rFonts w:ascii="Abadi" w:hAnsi="Abadi" w:cs="Amasis MT Pro Light"/>
          <w:color w:val="000000"/>
          <w:sz w:val="21"/>
          <w:szCs w:val="21"/>
        </w:rPr>
        <w:tab/>
      </w:r>
      <w:r w:rsidR="00011A03" w:rsidRPr="00A007BF">
        <w:rPr>
          <w:rFonts w:ascii="Abadi" w:hAnsi="Abadi" w:cs="Amasis MT Pro Light"/>
          <w:b/>
          <w:bCs/>
          <w:color w:val="000000"/>
          <w:sz w:val="21"/>
          <w:szCs w:val="21"/>
        </w:rPr>
        <w:t xml:space="preserve">Las infracciones establecidas en las </w:t>
      </w:r>
      <w:r>
        <w:rPr>
          <w:rFonts w:ascii="Abadi" w:hAnsi="Abadi" w:cs="Amasis MT Pro Light"/>
          <w:b/>
          <w:bCs/>
          <w:color w:val="000000"/>
          <w:sz w:val="21"/>
          <w:szCs w:val="21"/>
        </w:rPr>
        <w:tab/>
      </w:r>
      <w:r w:rsidR="00011A03" w:rsidRPr="00A007BF">
        <w:rPr>
          <w:rFonts w:ascii="Abadi" w:hAnsi="Abadi" w:cs="Amasis MT Pro Light"/>
          <w:b/>
          <w:bCs/>
          <w:color w:val="000000"/>
          <w:sz w:val="21"/>
          <w:szCs w:val="21"/>
        </w:rPr>
        <w:t>fracciones I, II, y IV se sancionarán con</w:t>
      </w:r>
      <w:r>
        <w:rPr>
          <w:rFonts w:ascii="Abadi" w:hAnsi="Abadi" w:cs="Amasis MT Pro Light"/>
          <w:b/>
          <w:bCs/>
          <w:color w:val="000000"/>
          <w:sz w:val="21"/>
          <w:szCs w:val="21"/>
        </w:rPr>
        <w:t xml:space="preserve"> </w:t>
      </w:r>
      <w:r>
        <w:rPr>
          <w:rFonts w:ascii="Abadi" w:hAnsi="Abadi" w:cs="Amasis MT Pro Light"/>
          <w:b/>
          <w:bCs/>
          <w:color w:val="000000"/>
          <w:sz w:val="21"/>
          <w:szCs w:val="21"/>
        </w:rPr>
        <w:tab/>
      </w:r>
      <w:r w:rsidR="00011A03" w:rsidRPr="00A007BF">
        <w:rPr>
          <w:rFonts w:ascii="Abadi" w:hAnsi="Abadi" w:cs="Amasis MT Pro Light"/>
          <w:b/>
          <w:bCs/>
          <w:color w:val="000000"/>
          <w:sz w:val="21"/>
          <w:szCs w:val="21"/>
        </w:rPr>
        <w:t xml:space="preserve">multa por el equivalente de 11 a 20 </w:t>
      </w:r>
      <w:r>
        <w:rPr>
          <w:rFonts w:ascii="Abadi" w:hAnsi="Abadi" w:cs="Amasis MT Pro Light"/>
          <w:b/>
          <w:bCs/>
          <w:color w:val="000000"/>
          <w:sz w:val="21"/>
          <w:szCs w:val="21"/>
        </w:rPr>
        <w:tab/>
      </w:r>
      <w:r w:rsidR="00011A03" w:rsidRPr="00A007BF">
        <w:rPr>
          <w:rFonts w:ascii="Abadi" w:hAnsi="Abadi" w:cs="Amasis MT Pro Light"/>
          <w:b/>
          <w:bCs/>
          <w:color w:val="000000"/>
          <w:sz w:val="21"/>
          <w:szCs w:val="21"/>
        </w:rPr>
        <w:t xml:space="preserve">veces la Unidad de Medida y </w:t>
      </w:r>
      <w:r>
        <w:rPr>
          <w:rFonts w:ascii="Abadi" w:hAnsi="Abadi" w:cs="Amasis MT Pro Light"/>
          <w:b/>
          <w:bCs/>
          <w:color w:val="000000"/>
          <w:sz w:val="21"/>
          <w:szCs w:val="21"/>
        </w:rPr>
        <w:tab/>
      </w:r>
      <w:r w:rsidR="00011A03" w:rsidRPr="00A007BF">
        <w:rPr>
          <w:rFonts w:ascii="Abadi" w:hAnsi="Abadi" w:cs="Amasis MT Pro Light"/>
          <w:b/>
          <w:bCs/>
          <w:color w:val="000000"/>
          <w:sz w:val="21"/>
          <w:szCs w:val="21"/>
        </w:rPr>
        <w:t>Actualización</w:t>
      </w:r>
      <w:r>
        <w:rPr>
          <w:rFonts w:ascii="Abadi" w:hAnsi="Abadi" w:cs="Amasis MT Pro Light"/>
          <w:color w:val="000000"/>
          <w:sz w:val="21"/>
          <w:szCs w:val="21"/>
        </w:rPr>
        <w:t xml:space="preserve"> </w:t>
      </w:r>
      <w:r w:rsidR="00011A03" w:rsidRPr="00A007BF">
        <w:rPr>
          <w:rFonts w:ascii="Abadi" w:hAnsi="Abadi" w:cs="Amasis MT Pro Light"/>
          <w:b/>
          <w:bCs/>
          <w:color w:val="000000"/>
          <w:sz w:val="21"/>
          <w:szCs w:val="21"/>
        </w:rPr>
        <w:t xml:space="preserve">diaria vigente o con </w:t>
      </w:r>
      <w:r>
        <w:rPr>
          <w:rFonts w:ascii="Abadi" w:hAnsi="Abadi" w:cs="Amasis MT Pro Light"/>
          <w:b/>
          <w:bCs/>
          <w:color w:val="000000"/>
          <w:sz w:val="21"/>
          <w:szCs w:val="21"/>
        </w:rPr>
        <w:tab/>
      </w:r>
      <w:r w:rsidR="00011A03" w:rsidRPr="00A007BF">
        <w:rPr>
          <w:rFonts w:ascii="Abadi" w:hAnsi="Abadi" w:cs="Amasis MT Pro Light"/>
          <w:b/>
          <w:bCs/>
          <w:color w:val="000000"/>
          <w:sz w:val="21"/>
          <w:szCs w:val="21"/>
        </w:rPr>
        <w:t>arresto de 13 a 24 horas.</w:t>
      </w:r>
    </w:p>
    <w:p w14:paraId="56A672D0" w14:textId="44AE31D4" w:rsidR="00011A03" w:rsidRPr="0074303D" w:rsidRDefault="0074303D" w:rsidP="00011A03">
      <w:pPr>
        <w:autoSpaceDE w:val="0"/>
        <w:autoSpaceDN w:val="0"/>
        <w:adjustRightInd w:val="0"/>
        <w:jc w:val="both"/>
        <w:rPr>
          <w:rFonts w:ascii="Abadi" w:hAnsi="Abadi" w:cs="Amasis MT Pro Light"/>
          <w:b/>
          <w:bCs/>
          <w:color w:val="000000"/>
          <w:sz w:val="21"/>
          <w:szCs w:val="21"/>
        </w:rPr>
      </w:pPr>
      <w:r>
        <w:rPr>
          <w:rFonts w:ascii="Abadi" w:hAnsi="Abadi" w:cs="Amasis MT Pro Light"/>
          <w:color w:val="000000"/>
          <w:sz w:val="21"/>
          <w:szCs w:val="21"/>
        </w:rPr>
        <w:tab/>
      </w:r>
      <w:r w:rsidR="00011A03" w:rsidRPr="00A007BF">
        <w:rPr>
          <w:rFonts w:ascii="Abadi" w:hAnsi="Abadi" w:cs="Amasis MT Pro Light"/>
          <w:color w:val="000000"/>
          <w:sz w:val="21"/>
          <w:szCs w:val="21"/>
        </w:rPr>
        <w:t>…</w:t>
      </w:r>
    </w:p>
    <w:p w14:paraId="4A8F7A7E" w14:textId="69BA6DBA" w:rsidR="00011A03" w:rsidRPr="00A007BF" w:rsidRDefault="0074303D" w:rsidP="00011A03">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r w:rsidR="00011A03" w:rsidRPr="00A007BF">
        <w:rPr>
          <w:rFonts w:ascii="Abadi" w:hAnsi="Abadi" w:cs="Amasis MT Pro Light"/>
          <w:color w:val="000000"/>
          <w:sz w:val="21"/>
          <w:szCs w:val="21"/>
        </w:rPr>
        <w:t>…</w:t>
      </w:r>
    </w:p>
    <w:p w14:paraId="7D5B00F2" w14:textId="30105F00" w:rsidR="00011A03" w:rsidRPr="00A007BF" w:rsidRDefault="0074303D" w:rsidP="00011A03">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r w:rsidR="00011A03" w:rsidRPr="00A007BF">
        <w:rPr>
          <w:rFonts w:ascii="Abadi" w:hAnsi="Abadi" w:cs="Amasis MT Pro Light"/>
          <w:color w:val="000000"/>
          <w:sz w:val="21"/>
          <w:szCs w:val="21"/>
        </w:rPr>
        <w:t>…</w:t>
      </w:r>
    </w:p>
    <w:p w14:paraId="27404791" w14:textId="7F194216" w:rsidR="00011A03" w:rsidRPr="00A007BF" w:rsidRDefault="0074303D" w:rsidP="00011A03">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r w:rsidR="00011A03" w:rsidRPr="00A007BF">
        <w:rPr>
          <w:rFonts w:ascii="Abadi" w:hAnsi="Abadi" w:cs="Amasis MT Pro Light"/>
          <w:color w:val="000000"/>
          <w:sz w:val="21"/>
          <w:szCs w:val="21"/>
        </w:rPr>
        <w:t>…</w:t>
      </w:r>
    </w:p>
    <w:p w14:paraId="68063EB2" w14:textId="070943F3" w:rsidR="00011A03" w:rsidRPr="00A007BF" w:rsidRDefault="0074303D" w:rsidP="00011A03">
      <w:pPr>
        <w:autoSpaceDE w:val="0"/>
        <w:autoSpaceDN w:val="0"/>
        <w:adjustRightInd w:val="0"/>
        <w:jc w:val="both"/>
        <w:rPr>
          <w:rFonts w:ascii="Abadi" w:hAnsi="Abadi" w:cs="Amasis MT Pro Light"/>
          <w:color w:val="000000"/>
          <w:sz w:val="21"/>
          <w:szCs w:val="21"/>
        </w:rPr>
      </w:pPr>
      <w:r>
        <w:rPr>
          <w:rFonts w:ascii="Abadi" w:hAnsi="Abadi" w:cs="Amasis MT Pro Light"/>
          <w:color w:val="000000"/>
          <w:sz w:val="21"/>
          <w:szCs w:val="21"/>
        </w:rPr>
        <w:tab/>
      </w:r>
      <w:r w:rsidR="00011A03" w:rsidRPr="00A007BF">
        <w:rPr>
          <w:rFonts w:ascii="Abadi" w:hAnsi="Abadi" w:cs="Amasis MT Pro Light"/>
          <w:color w:val="000000"/>
          <w:sz w:val="21"/>
          <w:szCs w:val="21"/>
        </w:rPr>
        <w:t>…</w:t>
      </w:r>
    </w:p>
    <w:p w14:paraId="358A4EFD" w14:textId="77777777" w:rsidR="0074303D" w:rsidRDefault="0074303D" w:rsidP="00011A03">
      <w:pPr>
        <w:autoSpaceDE w:val="0"/>
        <w:autoSpaceDN w:val="0"/>
        <w:adjustRightInd w:val="0"/>
        <w:jc w:val="center"/>
        <w:rPr>
          <w:rFonts w:ascii="Abadi" w:hAnsi="Abadi" w:cs="Amasis MT Pro Light"/>
          <w:b/>
          <w:bCs/>
          <w:color w:val="000000"/>
          <w:sz w:val="21"/>
          <w:szCs w:val="21"/>
        </w:rPr>
      </w:pPr>
    </w:p>
    <w:p w14:paraId="52A01545" w14:textId="6C87EC8A" w:rsidR="00011A03" w:rsidRPr="00A007BF" w:rsidRDefault="00011A03" w:rsidP="00011A03">
      <w:pPr>
        <w:autoSpaceDE w:val="0"/>
        <w:autoSpaceDN w:val="0"/>
        <w:adjustRightInd w:val="0"/>
        <w:jc w:val="center"/>
        <w:rPr>
          <w:rFonts w:ascii="Abadi" w:hAnsi="Abadi" w:cs="Amasis MT Pro Light"/>
          <w:b/>
          <w:bCs/>
          <w:color w:val="000000"/>
          <w:sz w:val="21"/>
          <w:szCs w:val="21"/>
        </w:rPr>
      </w:pPr>
      <w:r w:rsidRPr="00A007BF">
        <w:rPr>
          <w:rFonts w:ascii="Abadi" w:hAnsi="Abadi" w:cs="Amasis MT Pro Light"/>
          <w:b/>
          <w:bCs/>
          <w:color w:val="000000"/>
          <w:sz w:val="21"/>
          <w:szCs w:val="21"/>
        </w:rPr>
        <w:t>TRANSITORIOS</w:t>
      </w:r>
    </w:p>
    <w:p w14:paraId="625CD367" w14:textId="77777777" w:rsidR="00011A03" w:rsidRPr="00A007BF" w:rsidRDefault="00011A03" w:rsidP="00011A03">
      <w:pPr>
        <w:autoSpaceDE w:val="0"/>
        <w:autoSpaceDN w:val="0"/>
        <w:adjustRightInd w:val="0"/>
        <w:jc w:val="both"/>
        <w:rPr>
          <w:rFonts w:ascii="Abadi" w:hAnsi="Abadi" w:cs="Amasis MT Pro Light"/>
          <w:b/>
          <w:bCs/>
          <w:color w:val="000000"/>
          <w:sz w:val="21"/>
          <w:szCs w:val="21"/>
        </w:rPr>
      </w:pPr>
    </w:p>
    <w:p w14:paraId="1E27005E" w14:textId="77777777" w:rsidR="00011A03" w:rsidRPr="00A007BF" w:rsidRDefault="00011A03" w:rsidP="00011A03">
      <w:pPr>
        <w:autoSpaceDE w:val="0"/>
        <w:autoSpaceDN w:val="0"/>
        <w:adjustRightInd w:val="0"/>
        <w:jc w:val="both"/>
        <w:rPr>
          <w:rFonts w:ascii="Abadi" w:hAnsi="Abadi" w:cs="Amasis MT Pro Light"/>
          <w:color w:val="000000"/>
          <w:sz w:val="21"/>
          <w:szCs w:val="21"/>
        </w:rPr>
      </w:pPr>
      <w:r w:rsidRPr="00A007BF">
        <w:rPr>
          <w:rFonts w:ascii="Abadi" w:hAnsi="Abadi" w:cs="Amasis MT Pro Light"/>
          <w:b/>
          <w:bCs/>
          <w:color w:val="000000"/>
          <w:sz w:val="21"/>
          <w:szCs w:val="21"/>
        </w:rPr>
        <w:t>ÚNICO.</w:t>
      </w:r>
      <w:r w:rsidRPr="00A007BF">
        <w:rPr>
          <w:rFonts w:ascii="Abadi" w:hAnsi="Abadi" w:cs="Amasis MT Pro Light"/>
          <w:color w:val="000000"/>
          <w:sz w:val="21"/>
          <w:szCs w:val="21"/>
        </w:rPr>
        <w:t xml:space="preserve"> El presente decreto entrará en vigor el día siguiente al de su publicación en el</w:t>
      </w:r>
      <w:r>
        <w:rPr>
          <w:rFonts w:ascii="Abadi" w:hAnsi="Abadi" w:cs="Amasis MT Pro Light"/>
          <w:color w:val="000000"/>
          <w:sz w:val="21"/>
          <w:szCs w:val="21"/>
        </w:rPr>
        <w:t xml:space="preserve"> </w:t>
      </w:r>
      <w:r w:rsidRPr="00A007BF">
        <w:rPr>
          <w:rFonts w:ascii="Abadi" w:hAnsi="Abadi" w:cs="Amasis MT Pro Light"/>
          <w:color w:val="000000"/>
          <w:sz w:val="21"/>
          <w:szCs w:val="21"/>
        </w:rPr>
        <w:lastRenderedPageBreak/>
        <w:t>Periódico Oficial del Gobierno del Estado de Guanajuato.</w:t>
      </w:r>
    </w:p>
    <w:p w14:paraId="531DE2EA" w14:textId="77777777" w:rsidR="00011A03" w:rsidRPr="00A007BF" w:rsidRDefault="00011A03" w:rsidP="00011A03">
      <w:pPr>
        <w:autoSpaceDE w:val="0"/>
        <w:autoSpaceDN w:val="0"/>
        <w:adjustRightInd w:val="0"/>
        <w:jc w:val="both"/>
        <w:rPr>
          <w:rFonts w:ascii="Abadi" w:hAnsi="Abadi" w:cs="Amasis MT Pro Light"/>
          <w:color w:val="000000"/>
          <w:sz w:val="21"/>
          <w:szCs w:val="21"/>
        </w:rPr>
      </w:pPr>
    </w:p>
    <w:p w14:paraId="3C970AFE" w14:textId="77777777" w:rsidR="00011A03" w:rsidRPr="00A007BF" w:rsidRDefault="00011A03" w:rsidP="00011A03">
      <w:pPr>
        <w:autoSpaceDE w:val="0"/>
        <w:autoSpaceDN w:val="0"/>
        <w:adjustRightInd w:val="0"/>
        <w:jc w:val="right"/>
        <w:rPr>
          <w:rFonts w:ascii="Abadi" w:hAnsi="Abadi" w:cs="Amasis MT Pro Light"/>
          <w:color w:val="000000"/>
          <w:sz w:val="21"/>
          <w:szCs w:val="21"/>
        </w:rPr>
      </w:pPr>
      <w:r w:rsidRPr="00A007BF">
        <w:rPr>
          <w:rFonts w:ascii="Abadi" w:hAnsi="Abadi" w:cs="Amasis MT Pro Light"/>
          <w:color w:val="000000"/>
          <w:sz w:val="21"/>
          <w:szCs w:val="21"/>
        </w:rPr>
        <w:t>Guanajuato, Gto. a 10 de octubre de 2022</w:t>
      </w:r>
    </w:p>
    <w:p w14:paraId="59B78F1D" w14:textId="77777777" w:rsidR="00011A03" w:rsidRPr="00A007BF" w:rsidRDefault="00011A03" w:rsidP="00011A03">
      <w:pPr>
        <w:autoSpaceDE w:val="0"/>
        <w:autoSpaceDN w:val="0"/>
        <w:adjustRightInd w:val="0"/>
        <w:jc w:val="both"/>
        <w:rPr>
          <w:rFonts w:ascii="Abadi" w:hAnsi="Abadi" w:cs="Amasis MT Pro Light"/>
          <w:color w:val="000000"/>
          <w:sz w:val="21"/>
          <w:szCs w:val="21"/>
        </w:rPr>
      </w:pPr>
    </w:p>
    <w:p w14:paraId="71FA3C39" w14:textId="77777777" w:rsidR="00011A03" w:rsidRPr="005F2155" w:rsidRDefault="00011A03" w:rsidP="00011A03">
      <w:pPr>
        <w:autoSpaceDE w:val="0"/>
        <w:autoSpaceDN w:val="0"/>
        <w:adjustRightInd w:val="0"/>
        <w:jc w:val="center"/>
        <w:rPr>
          <w:rFonts w:ascii="Abadi" w:hAnsi="Abadi" w:cs="Amasis MT Pro Light"/>
          <w:b/>
          <w:bCs/>
          <w:color w:val="000000"/>
          <w:sz w:val="21"/>
          <w:szCs w:val="21"/>
        </w:rPr>
      </w:pPr>
      <w:r w:rsidRPr="005F2155">
        <w:rPr>
          <w:rFonts w:ascii="Abadi" w:hAnsi="Abadi" w:cs="Amasis MT Pro Light"/>
          <w:b/>
          <w:bCs/>
          <w:color w:val="000000"/>
          <w:sz w:val="21"/>
          <w:szCs w:val="21"/>
        </w:rPr>
        <w:t>Dip. Hades Berenice Aguilar Castillo</w:t>
      </w:r>
    </w:p>
    <w:p w14:paraId="39516431" w14:textId="77777777" w:rsidR="00011A03" w:rsidRPr="005F2155" w:rsidRDefault="00011A03" w:rsidP="00011A03">
      <w:pPr>
        <w:autoSpaceDE w:val="0"/>
        <w:autoSpaceDN w:val="0"/>
        <w:adjustRightInd w:val="0"/>
        <w:jc w:val="center"/>
        <w:rPr>
          <w:rFonts w:ascii="Abadi" w:hAnsi="Abadi" w:cs="Amasis MT Pro Light"/>
          <w:b/>
          <w:bCs/>
          <w:color w:val="000000"/>
          <w:sz w:val="21"/>
          <w:szCs w:val="21"/>
        </w:rPr>
      </w:pPr>
    </w:p>
    <w:p w14:paraId="56FA89A4" w14:textId="4855E1DC" w:rsidR="002C47C1" w:rsidRDefault="00011A03" w:rsidP="00011A03">
      <w:pPr>
        <w:jc w:val="center"/>
        <w:rPr>
          <w:rFonts w:ascii="Abadi" w:hAnsi="Abadi" w:cs="Amasis MT Pro Light"/>
          <w:b/>
          <w:bCs/>
          <w:color w:val="000000"/>
          <w:sz w:val="21"/>
          <w:szCs w:val="21"/>
        </w:rPr>
      </w:pPr>
      <w:r w:rsidRPr="005F2155">
        <w:rPr>
          <w:rFonts w:ascii="Abadi" w:hAnsi="Abadi" w:cs="Amasis MT Pro Light"/>
          <w:b/>
          <w:bCs/>
          <w:color w:val="000000"/>
          <w:sz w:val="21"/>
          <w:szCs w:val="21"/>
        </w:rPr>
        <w:t>Grupo Parlamentario de morena</w:t>
      </w:r>
    </w:p>
    <w:p w14:paraId="21C6846C" w14:textId="57D2F25C" w:rsidR="00D7099D" w:rsidRDefault="00D7099D" w:rsidP="00011A03">
      <w:pPr>
        <w:jc w:val="center"/>
        <w:rPr>
          <w:rFonts w:ascii="Abadi" w:hAnsi="Abadi" w:cs="Amasis MT Pro Light"/>
          <w:b/>
          <w:bCs/>
          <w:color w:val="000000"/>
          <w:sz w:val="21"/>
          <w:szCs w:val="21"/>
        </w:rPr>
      </w:pPr>
    </w:p>
    <w:p w14:paraId="060B37FB" w14:textId="776F4271" w:rsidR="00D7099D" w:rsidRDefault="00D7099D" w:rsidP="00011A03">
      <w:pPr>
        <w:jc w:val="center"/>
        <w:rPr>
          <w:rFonts w:ascii="Abadi" w:hAnsi="Abadi" w:cs="Amasis MT Pro Light"/>
          <w:b/>
          <w:bCs/>
          <w:color w:val="000000"/>
          <w:sz w:val="21"/>
          <w:szCs w:val="21"/>
        </w:rPr>
      </w:pPr>
    </w:p>
    <w:p w14:paraId="0B54D918" w14:textId="4300799C" w:rsidR="00D7099D" w:rsidRDefault="00D7099D" w:rsidP="00D7099D">
      <w:pPr>
        <w:ind w:firstLine="708"/>
        <w:jc w:val="both"/>
        <w:rPr>
          <w:rFonts w:ascii="Abadi" w:hAnsi="Abadi"/>
          <w:sz w:val="21"/>
          <w:szCs w:val="21"/>
        </w:rPr>
      </w:pPr>
      <w:r w:rsidRPr="00AA7107">
        <w:rPr>
          <w:rFonts w:ascii="Abadi" w:hAnsi="Abadi"/>
          <w:b/>
          <w:bCs/>
          <w:sz w:val="21"/>
          <w:szCs w:val="21"/>
        </w:rPr>
        <w:t>- El Presidente.-</w:t>
      </w:r>
      <w:r w:rsidRPr="00AA7107">
        <w:rPr>
          <w:rFonts w:ascii="Abadi" w:hAnsi="Abadi"/>
          <w:sz w:val="21"/>
          <w:szCs w:val="21"/>
        </w:rPr>
        <w:t xml:space="preserve"> Enseguida se solicita la diputada del Hades Berenice Aguilar Castillo, dar lectura a la exposición de motivos de su iniciativa mencionada en el punto 5 de esta orden del día adelante diputada. (ELD 308/LXV-I)</w:t>
      </w:r>
    </w:p>
    <w:p w14:paraId="044639EE" w14:textId="77777777" w:rsidR="00D7099D" w:rsidRPr="00AA7107" w:rsidRDefault="00D7099D" w:rsidP="00D7099D">
      <w:pPr>
        <w:jc w:val="both"/>
        <w:rPr>
          <w:rFonts w:ascii="Abadi" w:hAnsi="Abadi"/>
          <w:sz w:val="21"/>
          <w:szCs w:val="21"/>
        </w:rPr>
      </w:pPr>
    </w:p>
    <w:p w14:paraId="46C1B393" w14:textId="77777777" w:rsidR="00E73B7F" w:rsidRPr="00AA7107" w:rsidRDefault="00E73B7F" w:rsidP="00E73B7F">
      <w:pPr>
        <w:jc w:val="both"/>
        <w:rPr>
          <w:rFonts w:ascii="Abadi" w:hAnsi="Abadi"/>
          <w:b/>
          <w:bCs/>
          <w:sz w:val="21"/>
          <w:szCs w:val="21"/>
        </w:rPr>
      </w:pPr>
      <w:r w:rsidRPr="00AA7107">
        <w:rPr>
          <w:rFonts w:ascii="Abadi" w:hAnsi="Abadi"/>
          <w:b/>
          <w:bCs/>
          <w:sz w:val="21"/>
          <w:szCs w:val="21"/>
        </w:rPr>
        <w:t xml:space="preserve">(Sube a tribuna la diputada Hades </w:t>
      </w:r>
      <w:r>
        <w:rPr>
          <w:rFonts w:ascii="Abadi" w:hAnsi="Abadi"/>
          <w:b/>
          <w:bCs/>
          <w:sz w:val="21"/>
          <w:szCs w:val="21"/>
        </w:rPr>
        <w:t xml:space="preserve">Berenice </w:t>
      </w:r>
      <w:r w:rsidRPr="00AA7107">
        <w:rPr>
          <w:rFonts w:ascii="Abadi" w:hAnsi="Abadi"/>
          <w:b/>
          <w:bCs/>
          <w:sz w:val="21"/>
          <w:szCs w:val="21"/>
        </w:rPr>
        <w:t xml:space="preserve">Aguilar Castillo, para hablar de la iniciativa </w:t>
      </w:r>
      <w:r>
        <w:rPr>
          <w:rFonts w:ascii="Abadi" w:hAnsi="Abadi"/>
          <w:b/>
          <w:bCs/>
          <w:sz w:val="21"/>
          <w:szCs w:val="21"/>
        </w:rPr>
        <w:t>en referencia)</w:t>
      </w:r>
    </w:p>
    <w:p w14:paraId="1012F9A1" w14:textId="77777777" w:rsidR="00E73B7F" w:rsidRPr="00AA7107" w:rsidRDefault="00E73B7F" w:rsidP="00E73B7F">
      <w:pPr>
        <w:jc w:val="both"/>
        <w:rPr>
          <w:rFonts w:ascii="Abadi" w:hAnsi="Abadi"/>
          <w:b/>
          <w:bCs/>
          <w:sz w:val="21"/>
          <w:szCs w:val="21"/>
        </w:rPr>
      </w:pPr>
    </w:p>
    <w:p w14:paraId="42FF4631" w14:textId="77777777" w:rsidR="00E73B7F" w:rsidRPr="00AA7107" w:rsidRDefault="00E73B7F" w:rsidP="00E73B7F">
      <w:pPr>
        <w:jc w:val="center"/>
        <w:rPr>
          <w:rFonts w:ascii="Abadi" w:hAnsi="Abadi"/>
          <w:b/>
          <w:bCs/>
          <w:sz w:val="21"/>
          <w:szCs w:val="21"/>
        </w:rPr>
      </w:pPr>
      <w:r w:rsidRPr="00AA7107">
        <w:rPr>
          <w:rFonts w:ascii="Abadi" w:hAnsi="Abadi"/>
          <w:b/>
          <w:bCs/>
          <w:sz w:val="21"/>
          <w:szCs w:val="21"/>
        </w:rPr>
        <w:t>(Posicionamiento)</w:t>
      </w:r>
    </w:p>
    <w:p w14:paraId="5634A230" w14:textId="41ED3F4E" w:rsidR="00E73B7F" w:rsidRPr="00AA7107" w:rsidRDefault="00E73B7F" w:rsidP="00E73B7F">
      <w:pPr>
        <w:jc w:val="both"/>
        <w:rPr>
          <w:rFonts w:ascii="Abadi" w:hAnsi="Abadi"/>
          <w:b/>
          <w:bCs/>
          <w:sz w:val="21"/>
          <w:szCs w:val="21"/>
        </w:rPr>
      </w:pPr>
    </w:p>
    <w:p w14:paraId="3C3EE3DA" w14:textId="25F9DF55" w:rsidR="00E73B7F" w:rsidRPr="00AA7107" w:rsidRDefault="00E73B7F" w:rsidP="00E73B7F">
      <w:pPr>
        <w:jc w:val="both"/>
        <w:rPr>
          <w:rFonts w:ascii="Abadi" w:hAnsi="Abadi"/>
          <w:b/>
          <w:bCs/>
          <w:sz w:val="21"/>
          <w:szCs w:val="21"/>
        </w:rPr>
      </w:pPr>
    </w:p>
    <w:p w14:paraId="1ED2BC03" w14:textId="45A2781D" w:rsidR="00E73B7F" w:rsidRDefault="00E73B7F" w:rsidP="00E73B7F">
      <w:pPr>
        <w:jc w:val="both"/>
        <w:rPr>
          <w:rFonts w:ascii="Abadi" w:hAnsi="Abadi"/>
          <w:b/>
          <w:bCs/>
          <w:sz w:val="21"/>
          <w:szCs w:val="21"/>
        </w:rPr>
      </w:pPr>
      <w:r w:rsidRPr="00AA7107">
        <w:rPr>
          <w:noProof/>
          <w:sz w:val="21"/>
          <w:szCs w:val="21"/>
        </w:rPr>
        <w:drawing>
          <wp:anchor distT="0" distB="0" distL="114300" distR="114300" simplePos="0" relativeHeight="251672576" behindDoc="1" locked="0" layoutInCell="1" allowOverlap="1" wp14:anchorId="59E26AA7" wp14:editId="04E6D624">
            <wp:simplePos x="0" y="0"/>
            <wp:positionH relativeFrom="column">
              <wp:posOffset>492760</wp:posOffset>
            </wp:positionH>
            <wp:positionV relativeFrom="paragraph">
              <wp:posOffset>110490</wp:posOffset>
            </wp:positionV>
            <wp:extent cx="1541145" cy="809625"/>
            <wp:effectExtent l="247650" t="228600" r="249555" b="790575"/>
            <wp:wrapTight wrapText="bothSides">
              <wp:wrapPolygon edited="0">
                <wp:start x="-3471" y="-6099"/>
                <wp:lineTo x="-3471" y="42184"/>
                <wp:lineTo x="24831" y="42184"/>
                <wp:lineTo x="24831" y="-6099"/>
                <wp:lineTo x="-3471" y="-6099"/>
              </wp:wrapPolygon>
            </wp:wrapTight>
            <wp:docPr id="22" name="Imagen 22"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Interfaz de usuario gráfica&#10;&#10;Descripción generada automáticamente"/>
                    <pic:cNvPicPr/>
                  </pic:nvPicPr>
                  <pic:blipFill rotWithShape="1">
                    <a:blip r:embed="rId21" cstate="print">
                      <a:extLst>
                        <a:ext uri="{28A0092B-C50C-407E-A947-70E740481C1C}">
                          <a14:useLocalDpi xmlns:a14="http://schemas.microsoft.com/office/drawing/2010/main" val="0"/>
                        </a:ext>
                      </a:extLst>
                    </a:blip>
                    <a:srcRect b="6611"/>
                    <a:stretch/>
                  </pic:blipFill>
                  <pic:spPr bwMode="auto">
                    <a:xfrm>
                      <a:off x="0" y="0"/>
                      <a:ext cx="1541145" cy="80962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416EA4" w14:textId="77777777" w:rsidR="00E73B7F" w:rsidRDefault="00E73B7F" w:rsidP="00E73B7F">
      <w:pPr>
        <w:jc w:val="both"/>
        <w:rPr>
          <w:rFonts w:ascii="Abadi" w:hAnsi="Abadi"/>
          <w:b/>
          <w:bCs/>
          <w:sz w:val="21"/>
          <w:szCs w:val="21"/>
        </w:rPr>
      </w:pPr>
    </w:p>
    <w:p w14:paraId="2146EEAF" w14:textId="77777777" w:rsidR="00E73B7F" w:rsidRDefault="00E73B7F" w:rsidP="00E73B7F">
      <w:pPr>
        <w:jc w:val="both"/>
        <w:rPr>
          <w:rFonts w:ascii="Abadi" w:hAnsi="Abadi"/>
          <w:b/>
          <w:bCs/>
          <w:sz w:val="21"/>
          <w:szCs w:val="21"/>
        </w:rPr>
      </w:pPr>
    </w:p>
    <w:p w14:paraId="525FBD85" w14:textId="77777777" w:rsidR="00E73B7F" w:rsidRDefault="00E73B7F" w:rsidP="00E73B7F">
      <w:pPr>
        <w:jc w:val="both"/>
        <w:rPr>
          <w:rFonts w:ascii="Abadi" w:hAnsi="Abadi"/>
          <w:b/>
          <w:bCs/>
          <w:sz w:val="21"/>
          <w:szCs w:val="21"/>
        </w:rPr>
      </w:pPr>
    </w:p>
    <w:p w14:paraId="335FB1B2" w14:textId="26B1E23F" w:rsidR="00E73B7F" w:rsidRDefault="00E73B7F" w:rsidP="00E73B7F">
      <w:pPr>
        <w:jc w:val="both"/>
        <w:rPr>
          <w:rFonts w:ascii="Abadi" w:hAnsi="Abadi"/>
          <w:b/>
          <w:bCs/>
          <w:sz w:val="21"/>
          <w:szCs w:val="21"/>
        </w:rPr>
      </w:pPr>
    </w:p>
    <w:p w14:paraId="11414316" w14:textId="4A64A3DF" w:rsidR="00E73B7F" w:rsidRDefault="00E73B7F" w:rsidP="00E73B7F">
      <w:pPr>
        <w:jc w:val="both"/>
        <w:rPr>
          <w:rFonts w:ascii="Abadi" w:hAnsi="Abadi"/>
          <w:b/>
          <w:bCs/>
          <w:sz w:val="21"/>
          <w:szCs w:val="21"/>
        </w:rPr>
      </w:pPr>
    </w:p>
    <w:p w14:paraId="11EF7436" w14:textId="2A49F90F" w:rsidR="00E73B7F" w:rsidRDefault="00E73B7F" w:rsidP="00E73B7F">
      <w:pPr>
        <w:jc w:val="both"/>
        <w:rPr>
          <w:rFonts w:ascii="Abadi" w:hAnsi="Abadi"/>
          <w:b/>
          <w:bCs/>
          <w:sz w:val="21"/>
          <w:szCs w:val="21"/>
        </w:rPr>
      </w:pPr>
    </w:p>
    <w:p w14:paraId="72E48C30" w14:textId="44E3022D" w:rsidR="00E73B7F" w:rsidRDefault="00E73B7F" w:rsidP="00E73B7F">
      <w:pPr>
        <w:jc w:val="both"/>
        <w:rPr>
          <w:rFonts w:ascii="Abadi" w:hAnsi="Abadi"/>
          <w:b/>
          <w:bCs/>
          <w:sz w:val="21"/>
          <w:szCs w:val="21"/>
        </w:rPr>
      </w:pPr>
    </w:p>
    <w:p w14:paraId="53D75230" w14:textId="0678CD1D" w:rsidR="00E73B7F" w:rsidRDefault="00E73B7F" w:rsidP="00E73B7F">
      <w:pPr>
        <w:jc w:val="both"/>
        <w:rPr>
          <w:rFonts w:ascii="Abadi" w:hAnsi="Abadi"/>
          <w:b/>
          <w:bCs/>
          <w:sz w:val="21"/>
          <w:szCs w:val="21"/>
        </w:rPr>
      </w:pPr>
    </w:p>
    <w:p w14:paraId="6361848F" w14:textId="2F27568A" w:rsidR="00E73B7F" w:rsidRDefault="00E73B7F" w:rsidP="00E73B7F">
      <w:pPr>
        <w:jc w:val="both"/>
        <w:rPr>
          <w:rFonts w:ascii="Abadi" w:hAnsi="Abadi"/>
          <w:b/>
          <w:bCs/>
          <w:sz w:val="21"/>
          <w:szCs w:val="21"/>
        </w:rPr>
      </w:pPr>
    </w:p>
    <w:p w14:paraId="132FB7E3" w14:textId="28AE4B72" w:rsidR="00E73B7F" w:rsidRDefault="00E73B7F" w:rsidP="00E73B7F">
      <w:pPr>
        <w:jc w:val="both"/>
        <w:rPr>
          <w:rFonts w:ascii="Abadi" w:hAnsi="Abadi"/>
          <w:b/>
          <w:bCs/>
          <w:sz w:val="21"/>
          <w:szCs w:val="21"/>
        </w:rPr>
      </w:pPr>
    </w:p>
    <w:p w14:paraId="41910EEF" w14:textId="77777777" w:rsidR="00E73B7F" w:rsidRDefault="00E73B7F" w:rsidP="00E73B7F">
      <w:pPr>
        <w:jc w:val="both"/>
        <w:rPr>
          <w:rFonts w:ascii="Abadi" w:hAnsi="Abadi"/>
          <w:b/>
          <w:bCs/>
          <w:sz w:val="21"/>
          <w:szCs w:val="21"/>
        </w:rPr>
      </w:pPr>
    </w:p>
    <w:p w14:paraId="5DE4936D" w14:textId="046FAD37" w:rsidR="00E73B7F" w:rsidRDefault="00E73B7F" w:rsidP="00E73B7F">
      <w:pPr>
        <w:jc w:val="both"/>
        <w:rPr>
          <w:rFonts w:ascii="Abadi" w:hAnsi="Abadi"/>
          <w:b/>
          <w:bCs/>
          <w:sz w:val="21"/>
          <w:szCs w:val="21"/>
        </w:rPr>
      </w:pPr>
    </w:p>
    <w:p w14:paraId="53B808EC" w14:textId="3D1AEB7C" w:rsidR="00E73B7F" w:rsidRPr="00AA7107" w:rsidRDefault="00E73B7F" w:rsidP="00E73B7F">
      <w:pPr>
        <w:jc w:val="both"/>
        <w:rPr>
          <w:rFonts w:ascii="Abadi" w:hAnsi="Abadi"/>
          <w:b/>
          <w:bCs/>
          <w:sz w:val="21"/>
          <w:szCs w:val="21"/>
        </w:rPr>
      </w:pPr>
    </w:p>
    <w:p w14:paraId="563B20B2" w14:textId="77777777" w:rsidR="00E73B7F" w:rsidRPr="00AA7107" w:rsidRDefault="00E73B7F" w:rsidP="00E73B7F">
      <w:pPr>
        <w:jc w:val="both"/>
        <w:rPr>
          <w:rFonts w:ascii="Abadi" w:hAnsi="Abadi"/>
          <w:b/>
          <w:bCs/>
          <w:sz w:val="21"/>
          <w:szCs w:val="21"/>
        </w:rPr>
      </w:pPr>
      <w:r w:rsidRPr="00AA7107">
        <w:rPr>
          <w:rFonts w:ascii="Abadi" w:hAnsi="Abadi"/>
          <w:b/>
          <w:bCs/>
          <w:sz w:val="21"/>
          <w:szCs w:val="21"/>
        </w:rPr>
        <w:t xml:space="preserve">- Diputada Hades </w:t>
      </w:r>
      <w:r>
        <w:rPr>
          <w:rFonts w:ascii="Abadi" w:hAnsi="Abadi"/>
          <w:b/>
          <w:bCs/>
          <w:sz w:val="21"/>
          <w:szCs w:val="21"/>
        </w:rPr>
        <w:t xml:space="preserve">Berenice </w:t>
      </w:r>
      <w:r w:rsidRPr="00AA7107">
        <w:rPr>
          <w:rFonts w:ascii="Abadi" w:hAnsi="Abadi"/>
          <w:b/>
          <w:bCs/>
          <w:sz w:val="21"/>
          <w:szCs w:val="21"/>
        </w:rPr>
        <w:t>Aguilar Castillo -</w:t>
      </w:r>
    </w:p>
    <w:p w14:paraId="35623A23" w14:textId="77777777" w:rsidR="00E73B7F" w:rsidRPr="00AA7107" w:rsidRDefault="00E73B7F" w:rsidP="00E73B7F">
      <w:pPr>
        <w:jc w:val="both"/>
        <w:rPr>
          <w:rFonts w:ascii="Abadi" w:hAnsi="Abadi"/>
          <w:b/>
          <w:bCs/>
          <w:sz w:val="21"/>
          <w:szCs w:val="21"/>
        </w:rPr>
      </w:pPr>
    </w:p>
    <w:p w14:paraId="145D12A8" w14:textId="74F6BB57" w:rsidR="00E73B7F" w:rsidRDefault="00E73B7F" w:rsidP="00E73B7F">
      <w:pPr>
        <w:jc w:val="both"/>
        <w:rPr>
          <w:rFonts w:ascii="Abadi" w:hAnsi="Abadi"/>
          <w:sz w:val="21"/>
          <w:szCs w:val="21"/>
        </w:rPr>
      </w:pPr>
      <w:r w:rsidRPr="00AA7107">
        <w:rPr>
          <w:rFonts w:ascii="Abadi" w:hAnsi="Abadi"/>
          <w:sz w:val="21"/>
          <w:szCs w:val="21"/>
        </w:rPr>
        <w:t>¡Buenos días diputado Presidente, le saludo con cariño compañeros de la mesa, diputados, voy a ser muy breve porque la jornada está larga hoy, con su venia Presidente, la presente iniciativa tiene como objeto reformar y derogar algunas disposiciones de la Ley de Justicia Cívica del Estado de Guanajuato.</w:t>
      </w:r>
    </w:p>
    <w:p w14:paraId="387DF49D" w14:textId="77777777" w:rsidR="00E73B7F" w:rsidRPr="00AA7107" w:rsidRDefault="00E73B7F" w:rsidP="00E73B7F">
      <w:pPr>
        <w:jc w:val="both"/>
        <w:rPr>
          <w:rFonts w:ascii="Abadi" w:hAnsi="Abadi"/>
          <w:sz w:val="21"/>
          <w:szCs w:val="21"/>
        </w:rPr>
      </w:pPr>
    </w:p>
    <w:p w14:paraId="51A16483" w14:textId="531DF630" w:rsidR="00E73B7F" w:rsidRDefault="00E73B7F" w:rsidP="00E73B7F">
      <w:pPr>
        <w:jc w:val="both"/>
        <w:rPr>
          <w:rFonts w:ascii="Abadi" w:hAnsi="Abadi"/>
          <w:sz w:val="21"/>
          <w:szCs w:val="21"/>
        </w:rPr>
      </w:pPr>
      <w:r w:rsidRPr="00AA7107">
        <w:rPr>
          <w:rFonts w:ascii="Abadi" w:hAnsi="Abadi"/>
          <w:sz w:val="21"/>
          <w:szCs w:val="21"/>
        </w:rPr>
        <w:t>- La ley antes mencionada fue aprobada el 25 de marzo del 2021 y publicada en el Periódico Oficial el 23 de abril de este mismo año.</w:t>
      </w:r>
    </w:p>
    <w:p w14:paraId="3F7A7065" w14:textId="77777777" w:rsidR="00E73B7F" w:rsidRPr="00AA7107" w:rsidRDefault="00E73B7F" w:rsidP="00E73B7F">
      <w:pPr>
        <w:jc w:val="both"/>
        <w:rPr>
          <w:rFonts w:ascii="Abadi" w:hAnsi="Abadi"/>
          <w:sz w:val="21"/>
          <w:szCs w:val="21"/>
        </w:rPr>
      </w:pPr>
    </w:p>
    <w:p w14:paraId="3799D93F" w14:textId="5736AE2E" w:rsidR="00E73B7F" w:rsidRDefault="00E73B7F" w:rsidP="00E73B7F">
      <w:pPr>
        <w:jc w:val="both"/>
        <w:rPr>
          <w:rFonts w:ascii="Abadi" w:hAnsi="Abadi"/>
          <w:sz w:val="21"/>
          <w:szCs w:val="21"/>
        </w:rPr>
      </w:pPr>
      <w:r>
        <w:rPr>
          <w:rFonts w:ascii="Abadi" w:hAnsi="Abadi"/>
          <w:sz w:val="21"/>
          <w:szCs w:val="21"/>
        </w:rPr>
        <w:t xml:space="preserve">- </w:t>
      </w:r>
      <w:r w:rsidRPr="00AA7107">
        <w:rPr>
          <w:rFonts w:ascii="Abadi" w:hAnsi="Abadi"/>
          <w:sz w:val="21"/>
          <w:szCs w:val="21"/>
        </w:rPr>
        <w:t xml:space="preserve">Durante el proceso legislativo, se destacó que el objetivo de la Ley de Justicia Cívica </w:t>
      </w:r>
      <w:r>
        <w:rPr>
          <w:rFonts w:ascii="Abadi" w:hAnsi="Abadi"/>
          <w:sz w:val="21"/>
          <w:szCs w:val="21"/>
        </w:rPr>
        <w:t xml:space="preserve">es </w:t>
      </w:r>
      <w:r w:rsidRPr="00AA7107">
        <w:rPr>
          <w:rFonts w:ascii="Abadi" w:hAnsi="Abadi"/>
          <w:sz w:val="21"/>
          <w:szCs w:val="21"/>
        </w:rPr>
        <w:t xml:space="preserve">sentar las bases, para la organización y el funcionamiento de la justicia cívica en </w:t>
      </w:r>
      <w:r w:rsidRPr="00AA7107">
        <w:rPr>
          <w:rFonts w:ascii="Abadi" w:hAnsi="Abadi"/>
          <w:sz w:val="21"/>
          <w:szCs w:val="21"/>
        </w:rPr>
        <w:t xml:space="preserve">Guanajuato y establecer las acciones que deberán llevar a cabo las autoridades estatales y municipales para acercar mecanismos de resolución de conflictos así como trámites y servicios a poblaciones alejadas de difícil acceso y zonas marginadas. </w:t>
      </w:r>
    </w:p>
    <w:p w14:paraId="67C4EC3B" w14:textId="77777777" w:rsidR="00E73B7F" w:rsidRPr="00AA7107" w:rsidRDefault="00E73B7F" w:rsidP="00E73B7F">
      <w:pPr>
        <w:jc w:val="both"/>
        <w:rPr>
          <w:rFonts w:ascii="Abadi" w:hAnsi="Abadi"/>
          <w:sz w:val="21"/>
          <w:szCs w:val="21"/>
        </w:rPr>
      </w:pPr>
    </w:p>
    <w:p w14:paraId="24300FB1" w14:textId="08A78541" w:rsidR="00E73B7F" w:rsidRDefault="00E73B7F" w:rsidP="00E73B7F">
      <w:pPr>
        <w:jc w:val="both"/>
        <w:rPr>
          <w:rFonts w:ascii="Abadi" w:hAnsi="Abadi"/>
          <w:sz w:val="21"/>
          <w:szCs w:val="21"/>
        </w:rPr>
      </w:pPr>
      <w:r w:rsidRPr="00AA7107">
        <w:rPr>
          <w:rFonts w:ascii="Abadi" w:hAnsi="Abadi"/>
          <w:sz w:val="21"/>
          <w:szCs w:val="21"/>
        </w:rPr>
        <w:t>- Entre los aspectos más importantes que fueron introducidos por la ley voy a citar unos, se establecieron juzgados cívicos que buscan la solución del conflicto sobres, los formalismos, sobre los formalismos proce</w:t>
      </w:r>
      <w:r>
        <w:rPr>
          <w:rFonts w:ascii="Abadi" w:hAnsi="Abadi"/>
          <w:sz w:val="21"/>
          <w:szCs w:val="21"/>
        </w:rPr>
        <w:t>dimentales</w:t>
      </w:r>
      <w:r w:rsidRPr="00AA7107">
        <w:rPr>
          <w:rFonts w:ascii="Abadi" w:hAnsi="Abadi"/>
          <w:sz w:val="21"/>
          <w:szCs w:val="21"/>
        </w:rPr>
        <w:t xml:space="preserve">, siempre que no se afecte la igualdad entre las partes. </w:t>
      </w:r>
    </w:p>
    <w:p w14:paraId="1DAFBEB8" w14:textId="77777777" w:rsidR="00E73B7F" w:rsidRPr="00AA7107" w:rsidRDefault="00E73B7F" w:rsidP="00E73B7F">
      <w:pPr>
        <w:jc w:val="both"/>
        <w:rPr>
          <w:rFonts w:ascii="Abadi" w:hAnsi="Abadi"/>
          <w:sz w:val="21"/>
          <w:szCs w:val="21"/>
        </w:rPr>
      </w:pPr>
    </w:p>
    <w:p w14:paraId="62D6CFEB" w14:textId="7A3463D8" w:rsidR="00E73B7F" w:rsidRDefault="00E73B7F" w:rsidP="00E73B7F">
      <w:pPr>
        <w:jc w:val="both"/>
        <w:rPr>
          <w:rFonts w:ascii="Abadi" w:hAnsi="Abadi"/>
          <w:sz w:val="21"/>
          <w:szCs w:val="21"/>
        </w:rPr>
      </w:pPr>
      <w:r w:rsidRPr="00AA7107">
        <w:rPr>
          <w:rFonts w:ascii="Abadi" w:hAnsi="Abadi"/>
          <w:sz w:val="21"/>
          <w:szCs w:val="21"/>
        </w:rPr>
        <w:t xml:space="preserve">- Dichos juzgados cívicos estarán integrados por jueces, facilitadores,  secretarios, defensores de oficio, médicos, policías y personal auxiliar quienes tendrán que cumplir con los requisitos que establece la ley; plantean las infracciones y sanciones el servicio en favor de la comunidad y las responsabilidades; implementa un registro de infractores, informes y estadísticas, crean la figura de justicia itinerante que contempla una serie de jornadas de justicia itinerante, pese a los buenos deseos de las legisladoras y legisladores que promovieron y aprobaron esta ley la Comisión Nacional de los Derechos Humanos promovió una acción de inconstitucionalidad con la intención de que algunas disposiciones normativas fueran declaradas inválidas por la Suprema Corte de Justicia de la Nación, de conformidad con sus atribuciones la Comisión Nacional de Derechos Humanos, promovió la acción de inconstitucionalidad bajo el número de expediente 89-2021, el organismo autónomo de derechos humanos consideró que los artículos 8, 11, 13, 15, 17 de la Ley de Justicia Cívica del Estado de Guanajuato, todos en su fracción 5 establecen requisitos discriminatorios para acceder a diversos cargos dentro de un juzgado cívico a saber juez, facilitador, secretario, defensor de oficio médico, por lo que contraviene los derechos de igualdad y no discriminación, la libertad de trabajo y de acceso a un empleo público además, aseguró que la exigencia de no haber sido suspendidos o inhabilitado para el desempeño de un cargo público impide de forma injustificada que las personas que se encuentren en dicha circunstancia puedan acceder a ocupar los distintos cargos de mérito en cuanto dichas sanciones hayan sido </w:t>
      </w:r>
      <w:r w:rsidRPr="00AA7107">
        <w:rPr>
          <w:rFonts w:ascii="Abadi" w:hAnsi="Abadi"/>
          <w:sz w:val="21"/>
          <w:szCs w:val="21"/>
        </w:rPr>
        <w:lastRenderedPageBreak/>
        <w:t xml:space="preserve">cumplidas por lo que resultan contrarias a la Constitución Federal. </w:t>
      </w:r>
    </w:p>
    <w:p w14:paraId="46E74EDA" w14:textId="77777777" w:rsidR="00E73B7F" w:rsidRPr="00AA7107" w:rsidRDefault="00E73B7F" w:rsidP="00E73B7F">
      <w:pPr>
        <w:jc w:val="both"/>
        <w:rPr>
          <w:rFonts w:ascii="Abadi" w:hAnsi="Abadi"/>
          <w:sz w:val="21"/>
          <w:szCs w:val="21"/>
        </w:rPr>
      </w:pPr>
    </w:p>
    <w:p w14:paraId="65F3434F" w14:textId="32C8E4ED" w:rsidR="00E73B7F" w:rsidRDefault="00E73B7F" w:rsidP="00E73B7F">
      <w:pPr>
        <w:jc w:val="both"/>
        <w:rPr>
          <w:rFonts w:ascii="Abadi" w:hAnsi="Abadi"/>
          <w:sz w:val="21"/>
          <w:szCs w:val="21"/>
        </w:rPr>
      </w:pPr>
      <w:r w:rsidRPr="00AA7107">
        <w:rPr>
          <w:rFonts w:ascii="Abadi" w:hAnsi="Abadi"/>
          <w:sz w:val="21"/>
          <w:szCs w:val="21"/>
        </w:rPr>
        <w:t>- Por otro lado también expresó que la disposición normativa contenida en el artículo 66 fracción III de la Ley de Justicia Cívic</w:t>
      </w:r>
      <w:r>
        <w:rPr>
          <w:rFonts w:ascii="Abadi" w:hAnsi="Abadi"/>
          <w:sz w:val="21"/>
          <w:szCs w:val="21"/>
        </w:rPr>
        <w:t>a</w:t>
      </w:r>
      <w:r w:rsidRPr="00AA7107">
        <w:rPr>
          <w:rFonts w:ascii="Abadi" w:hAnsi="Abadi"/>
          <w:sz w:val="21"/>
          <w:szCs w:val="21"/>
        </w:rPr>
        <w:t xml:space="preserve"> del Estado de Guanajuato al establecer como infracción en materia de seguridad ciudadana la conducta consistente en usar áreas y vías públicas sin contar con la autorización que se requiera para ello, obviamente esto vulnera las libertades fundamentales de expresión a reunirse.</w:t>
      </w:r>
    </w:p>
    <w:p w14:paraId="600328DE" w14:textId="77777777" w:rsidR="00E73B7F" w:rsidRPr="00AA7107" w:rsidRDefault="00E73B7F" w:rsidP="00E73B7F">
      <w:pPr>
        <w:jc w:val="both"/>
        <w:rPr>
          <w:rFonts w:ascii="Abadi" w:hAnsi="Abadi"/>
          <w:sz w:val="21"/>
          <w:szCs w:val="21"/>
        </w:rPr>
      </w:pPr>
    </w:p>
    <w:p w14:paraId="406A1ED7" w14:textId="7443C581" w:rsidR="00E73B7F" w:rsidRDefault="00E73B7F" w:rsidP="00E73B7F">
      <w:pPr>
        <w:jc w:val="both"/>
        <w:rPr>
          <w:rFonts w:ascii="Abadi" w:hAnsi="Abadi"/>
          <w:sz w:val="21"/>
          <w:szCs w:val="21"/>
        </w:rPr>
      </w:pPr>
      <w:r w:rsidRPr="00AA7107">
        <w:rPr>
          <w:rFonts w:ascii="Abadi" w:hAnsi="Abadi"/>
          <w:sz w:val="21"/>
          <w:szCs w:val="21"/>
        </w:rPr>
        <w:t>- Lo anterior es así en virtud de que las marchas, plantones, procesiones, peregrinaciones y manifestaciones derivadas de expresiones sociales se realizan pues en espacios públicos, sin embargo con esta norma lo único que se está haciendo es impidiendo el uso del espacio público por no contar con la autorización o los permisos, sin que además puede acarrear la imposición de una sanción administrativa, por lo que no resultan acordes con el parámetro de regularidad constitucional, en congruencia con lo anterior el Pleno de la Suprema Corte de Justicia de la Nación.</w:t>
      </w:r>
    </w:p>
    <w:p w14:paraId="66FCE58A" w14:textId="77777777" w:rsidR="00E73B7F" w:rsidRPr="00AA7107" w:rsidRDefault="00E73B7F" w:rsidP="00E73B7F">
      <w:pPr>
        <w:jc w:val="both"/>
        <w:rPr>
          <w:rFonts w:ascii="Abadi" w:hAnsi="Abadi"/>
          <w:sz w:val="21"/>
          <w:szCs w:val="21"/>
        </w:rPr>
      </w:pPr>
    </w:p>
    <w:p w14:paraId="422E0296" w14:textId="0EFECCC2" w:rsidR="00E73B7F" w:rsidRDefault="00E73B7F" w:rsidP="00E73B7F">
      <w:pPr>
        <w:jc w:val="both"/>
        <w:rPr>
          <w:rFonts w:ascii="Abadi" w:hAnsi="Abadi"/>
          <w:sz w:val="21"/>
          <w:szCs w:val="21"/>
        </w:rPr>
      </w:pPr>
      <w:r w:rsidRPr="00AA7107">
        <w:rPr>
          <w:rFonts w:ascii="Abadi" w:hAnsi="Abadi"/>
          <w:sz w:val="21"/>
          <w:szCs w:val="21"/>
        </w:rPr>
        <w:t xml:space="preserve">- Al conocer de las impugnaciones formuladas por la Comisión Nacional de Derechos Humanos a la Ley de Justicia Cívica, declaró la invalidez de las disposiciones combatidas en los territorios siguientes, consideró que las fracciones 5 de los artículos 8, 11, 13, 15 y 17 respectivamente por las que se considera que para ser juez de justicia cívica, facilitador de juzgado cívico, secretario,  defensor de oficio de juzgado cívico y médico de juzgado cívico, debe cumplir con el requisito de no haber sido suspendido o inhabilitado para el desempeño de un cargo público, son inconstitucionales pues constituye una prohibición absoluta que resulta sobre inclusiva por lo que no es una medida adecuada para cumplir dicho objetivo. </w:t>
      </w:r>
    </w:p>
    <w:p w14:paraId="6001D7FC" w14:textId="77777777" w:rsidR="00E73B7F" w:rsidRPr="00AA7107" w:rsidRDefault="00E73B7F" w:rsidP="00E73B7F">
      <w:pPr>
        <w:jc w:val="both"/>
        <w:rPr>
          <w:rFonts w:ascii="Abadi" w:hAnsi="Abadi"/>
          <w:sz w:val="21"/>
          <w:szCs w:val="21"/>
        </w:rPr>
      </w:pPr>
    </w:p>
    <w:p w14:paraId="7A25FE38" w14:textId="41C7D083" w:rsidR="00E73B7F" w:rsidRDefault="00E73B7F" w:rsidP="00E73B7F">
      <w:pPr>
        <w:jc w:val="both"/>
        <w:rPr>
          <w:rFonts w:ascii="Abadi" w:hAnsi="Abadi"/>
          <w:sz w:val="21"/>
          <w:szCs w:val="21"/>
        </w:rPr>
      </w:pPr>
      <w:r w:rsidRPr="00AA7107">
        <w:rPr>
          <w:rFonts w:ascii="Abadi" w:hAnsi="Abadi"/>
          <w:sz w:val="21"/>
          <w:szCs w:val="21"/>
        </w:rPr>
        <w:t xml:space="preserve">- En relación con la fracción III del artículo 66 que establece como infracción en materia de seguridad ciudadana el usar las áreas y vías públicas sin contar con autorización, considero pues obviamente, lo vuelvo a repetir, que es resulta contrario a los derechos fundamentales de libertad de expresión, de reunión, asociación ya que pedir una autorización que constituye una censura </w:t>
      </w:r>
      <w:r w:rsidRPr="00AA7107">
        <w:rPr>
          <w:rFonts w:ascii="Abadi" w:hAnsi="Abadi"/>
          <w:sz w:val="21"/>
          <w:szCs w:val="21"/>
        </w:rPr>
        <w:t xml:space="preserve">previa de los mensajes y que hace depender su difusión de una decisión de las autoridades administrativas. </w:t>
      </w:r>
    </w:p>
    <w:p w14:paraId="299715FF" w14:textId="77777777" w:rsidR="00E73B7F" w:rsidRPr="00AA7107" w:rsidRDefault="00E73B7F" w:rsidP="00E73B7F">
      <w:pPr>
        <w:jc w:val="both"/>
        <w:rPr>
          <w:rFonts w:ascii="Abadi" w:hAnsi="Abadi"/>
          <w:sz w:val="21"/>
          <w:szCs w:val="21"/>
        </w:rPr>
      </w:pPr>
    </w:p>
    <w:p w14:paraId="6AB70ED2" w14:textId="77777777" w:rsidR="00E73B7F" w:rsidRDefault="00E73B7F" w:rsidP="00E73B7F">
      <w:pPr>
        <w:jc w:val="both"/>
        <w:rPr>
          <w:rFonts w:ascii="Abadi" w:hAnsi="Abadi"/>
          <w:sz w:val="21"/>
          <w:szCs w:val="21"/>
        </w:rPr>
      </w:pPr>
      <w:r w:rsidRPr="00AA7107">
        <w:rPr>
          <w:rFonts w:ascii="Abadi" w:hAnsi="Abadi"/>
          <w:sz w:val="21"/>
          <w:szCs w:val="21"/>
        </w:rPr>
        <w:t>- Es preciso señalar que de conformidad con el texto constitucional los medios de control son aquellos recursos con los que se cuenta cuando alguna de las autoridades invade facultades o bien como el caso del presente estudio, se vulnera derechos fundamentales consagrados en la carta Magna después de la gran reforma constitucional del 2011, se privilegió que todas las autoridades tienen la obligación de dirigir sus esfuerzos siempre a favor de los derechos humanos y observando el principio de pro persona.</w:t>
      </w:r>
    </w:p>
    <w:p w14:paraId="1E96A05C" w14:textId="24339A66" w:rsidR="00E73B7F" w:rsidRPr="00AA7107" w:rsidRDefault="00E73B7F" w:rsidP="00E73B7F">
      <w:pPr>
        <w:jc w:val="both"/>
        <w:rPr>
          <w:rFonts w:ascii="Abadi" w:hAnsi="Abadi"/>
          <w:sz w:val="21"/>
          <w:szCs w:val="21"/>
        </w:rPr>
      </w:pPr>
      <w:r w:rsidRPr="00AA7107">
        <w:rPr>
          <w:rFonts w:ascii="Abadi" w:hAnsi="Abadi"/>
          <w:sz w:val="21"/>
          <w:szCs w:val="21"/>
        </w:rPr>
        <w:t xml:space="preserve"> </w:t>
      </w:r>
    </w:p>
    <w:p w14:paraId="1392A033" w14:textId="0BC09158" w:rsidR="00E73B7F" w:rsidRDefault="00E73B7F" w:rsidP="00E73B7F">
      <w:pPr>
        <w:jc w:val="both"/>
        <w:rPr>
          <w:rFonts w:ascii="Abadi" w:hAnsi="Abadi"/>
          <w:sz w:val="21"/>
          <w:szCs w:val="21"/>
        </w:rPr>
      </w:pPr>
      <w:r w:rsidRPr="00AA7107">
        <w:rPr>
          <w:rFonts w:ascii="Abadi" w:hAnsi="Abadi"/>
          <w:sz w:val="21"/>
          <w:szCs w:val="21"/>
        </w:rPr>
        <w:t xml:space="preserve">- En este sentido con la presente iniciativa se plantea reformar las disposiciones que la Suprema Corte de Justicia de la Nación ha declarado inválidas pues se coincide con los criterios que ha sostenido al máximo tribunal a favor de los derechos humanos de la libertad de expresión, de manifestación y de asociación. </w:t>
      </w:r>
    </w:p>
    <w:p w14:paraId="75948487" w14:textId="77777777" w:rsidR="00E73B7F" w:rsidRPr="00AA7107" w:rsidRDefault="00E73B7F" w:rsidP="00E73B7F">
      <w:pPr>
        <w:jc w:val="both"/>
        <w:rPr>
          <w:rFonts w:ascii="Abadi" w:hAnsi="Abadi"/>
          <w:sz w:val="21"/>
          <w:szCs w:val="21"/>
        </w:rPr>
      </w:pPr>
    </w:p>
    <w:p w14:paraId="7B186F88" w14:textId="5DAD2BA6" w:rsidR="00E73B7F" w:rsidRDefault="00E73B7F" w:rsidP="00E73B7F">
      <w:pPr>
        <w:jc w:val="both"/>
        <w:rPr>
          <w:rFonts w:ascii="Abadi" w:hAnsi="Abadi"/>
          <w:sz w:val="21"/>
          <w:szCs w:val="21"/>
        </w:rPr>
      </w:pPr>
      <w:r w:rsidRPr="00AA7107">
        <w:rPr>
          <w:rFonts w:ascii="Abadi" w:hAnsi="Abadi"/>
          <w:sz w:val="21"/>
          <w:szCs w:val="21"/>
        </w:rPr>
        <w:t xml:space="preserve">- Nuestra labor como legisladores es adecuar el marco regulatorio en nuestra realidad social, en este sentido tenemos la obligación de atender las resoluciones de nuestro tribunal constitucional, toda vez que la legislación que se comprueba en cualquier congreso ya sea local o federal no puede vulnerarse, no pueden ser vulnerados, los derechos humanos de las y los mexicanos. </w:t>
      </w:r>
    </w:p>
    <w:p w14:paraId="57705BD7" w14:textId="77777777" w:rsidR="00E73B7F" w:rsidRPr="00AA7107" w:rsidRDefault="00E73B7F" w:rsidP="00E73B7F">
      <w:pPr>
        <w:jc w:val="both"/>
        <w:rPr>
          <w:rFonts w:ascii="Abadi" w:hAnsi="Abadi"/>
          <w:sz w:val="21"/>
          <w:szCs w:val="21"/>
        </w:rPr>
      </w:pPr>
    </w:p>
    <w:p w14:paraId="737BBEA5" w14:textId="0C802D76" w:rsidR="00E73B7F" w:rsidRDefault="00E73B7F" w:rsidP="00E73B7F">
      <w:pPr>
        <w:jc w:val="both"/>
        <w:rPr>
          <w:rFonts w:ascii="Abadi" w:hAnsi="Abadi"/>
          <w:sz w:val="21"/>
          <w:szCs w:val="21"/>
        </w:rPr>
      </w:pPr>
      <w:r w:rsidRPr="00AA7107">
        <w:rPr>
          <w:rFonts w:ascii="Abadi" w:hAnsi="Abadi"/>
          <w:sz w:val="21"/>
          <w:szCs w:val="21"/>
        </w:rPr>
        <w:t xml:space="preserve">- En este caso particular pues obviamente es muy preocupante que se vulneren los derechos a la libertad de expresión, de asociación, de manifestación pues MORENA tiene surgimiento en la Revolución pacífica de las conciencias así fue como iniciamos, en lo particular como fundadora de MORENA, conozco profundamente la importancia de la exigencia social, he salido a las calles en el estado de Guanajuato, como millones de compañeras y compañeros a buscar un cambio profundo de régimen en este sentido no puedo estar más de acuerdo con la Comisión Nacional de Derechos Humanos y la Suprema Corte en que no se debe en primera instancia limitar de forma genérica los derechos de las personas que fueron inhabilitadas o suspendidas en el servicio público, sin considerar si las conductas por las cuales fueron sancionadas se relacionan o no con las </w:t>
      </w:r>
      <w:r w:rsidRPr="00AA7107">
        <w:rPr>
          <w:rFonts w:ascii="Abadi" w:hAnsi="Abadi"/>
          <w:sz w:val="21"/>
          <w:szCs w:val="21"/>
        </w:rPr>
        <w:lastRenderedPageBreak/>
        <w:t xml:space="preserve">funciones que deban desempeñarse en los cargos en función, y por otro lado tampoco se debe criminalizar la protesta social como aquí ya ha venido surgiendo en el estado, ya sabemos dónde, no se debe criminalizar la protesta social o exigir un permiso para poder manifestarse, ¡háganme el favor! pues la protección de la libertad de expresión se correlaciona con el ejercicio de otros derechos y libertades, no podemos omitir que nuestro estado Guanajuato se ha vulnerado los derechos humanos a la manifestación y a los cuerpos policiacos, recuerden ustedes que incluso los mismos cuerpos policíacos han ejercido un uso excesivo de la fuerza y es preciso recordar que previo a la publicación de la Ley de Justicia Cívica, se llevaron a cabo diversas manifestaciones de colectivas feministas, mismas que fueron duramente reprimidas por policías municipales y estatales. </w:t>
      </w:r>
    </w:p>
    <w:p w14:paraId="2C5CBFFD" w14:textId="77777777" w:rsidR="00E73B7F" w:rsidRPr="00AA7107" w:rsidRDefault="00E73B7F" w:rsidP="00E73B7F">
      <w:pPr>
        <w:jc w:val="both"/>
        <w:rPr>
          <w:rFonts w:ascii="Abadi" w:hAnsi="Abadi"/>
          <w:sz w:val="21"/>
          <w:szCs w:val="21"/>
        </w:rPr>
      </w:pPr>
    </w:p>
    <w:p w14:paraId="6D4DC516" w14:textId="7D3E289E" w:rsidR="00E73B7F" w:rsidRDefault="00E73B7F" w:rsidP="00E73B7F">
      <w:pPr>
        <w:jc w:val="both"/>
        <w:rPr>
          <w:rFonts w:ascii="Abadi" w:hAnsi="Abadi"/>
          <w:sz w:val="21"/>
          <w:szCs w:val="21"/>
        </w:rPr>
      </w:pPr>
      <w:r w:rsidRPr="00AA7107">
        <w:rPr>
          <w:rFonts w:ascii="Abadi" w:hAnsi="Abadi"/>
          <w:sz w:val="21"/>
          <w:szCs w:val="21"/>
        </w:rPr>
        <w:t xml:space="preserve">- Por lo expuesto me permito reiterar que en el desarrollo de nuestra labor como legisladoras y legisladores siempre estaremos a favor del ejercicio de la libertad de expresión y asociación, para MORENA es muy importante que las personas puedan expresar sus opiniones políticas participar en proyectos literarios, artísticos y en otras actividades culturales, económicas y sociales. </w:t>
      </w:r>
    </w:p>
    <w:p w14:paraId="54A94230" w14:textId="77777777" w:rsidR="00E73B7F" w:rsidRPr="00AA7107" w:rsidRDefault="00E73B7F" w:rsidP="00E73B7F">
      <w:pPr>
        <w:jc w:val="both"/>
        <w:rPr>
          <w:rFonts w:ascii="Abadi" w:hAnsi="Abadi"/>
          <w:sz w:val="21"/>
          <w:szCs w:val="21"/>
        </w:rPr>
      </w:pPr>
    </w:p>
    <w:p w14:paraId="5B8ED4A7" w14:textId="7C5D10F6" w:rsidR="00E73B7F" w:rsidRDefault="00E73B7F" w:rsidP="00E73B7F">
      <w:pPr>
        <w:jc w:val="both"/>
        <w:rPr>
          <w:rFonts w:ascii="Abadi" w:hAnsi="Abadi"/>
          <w:sz w:val="21"/>
          <w:szCs w:val="21"/>
        </w:rPr>
      </w:pPr>
      <w:r w:rsidRPr="00AA7107">
        <w:rPr>
          <w:rFonts w:ascii="Abadi" w:hAnsi="Abadi"/>
          <w:sz w:val="21"/>
          <w:szCs w:val="21"/>
        </w:rPr>
        <w:t xml:space="preserve">- Para MORENA es fundamental la participación democrática de todas y todos, jamás estaremos en contra de la libertad y jamás estaremos a favor de la represión o violación de los derechos humanos. </w:t>
      </w:r>
    </w:p>
    <w:p w14:paraId="1960B24B" w14:textId="77777777" w:rsidR="00E73B7F" w:rsidRPr="00AA7107" w:rsidRDefault="00E73B7F" w:rsidP="00E73B7F">
      <w:pPr>
        <w:jc w:val="both"/>
        <w:rPr>
          <w:rFonts w:ascii="Abadi" w:hAnsi="Abadi"/>
          <w:sz w:val="21"/>
          <w:szCs w:val="21"/>
        </w:rPr>
      </w:pPr>
    </w:p>
    <w:p w14:paraId="1180E7A8" w14:textId="2DA4A3B7" w:rsidR="00E73B7F" w:rsidRDefault="00E73B7F" w:rsidP="00E73B7F">
      <w:pPr>
        <w:jc w:val="both"/>
        <w:rPr>
          <w:rFonts w:ascii="Abadi" w:hAnsi="Abadi"/>
          <w:sz w:val="21"/>
          <w:szCs w:val="21"/>
        </w:rPr>
      </w:pPr>
      <w:r w:rsidRPr="00AA7107">
        <w:rPr>
          <w:rFonts w:ascii="Abadi" w:hAnsi="Abadi"/>
          <w:sz w:val="21"/>
          <w:szCs w:val="21"/>
        </w:rPr>
        <w:t xml:space="preserve">- Es cuanto, diputado presidente ¡gracias, compañero! </w:t>
      </w:r>
    </w:p>
    <w:p w14:paraId="20296D5D" w14:textId="77777777" w:rsidR="00E73B7F" w:rsidRPr="00AA7107" w:rsidRDefault="00E73B7F" w:rsidP="00E73B7F">
      <w:pPr>
        <w:jc w:val="both"/>
        <w:rPr>
          <w:rFonts w:ascii="Abadi" w:hAnsi="Abadi"/>
          <w:sz w:val="21"/>
          <w:szCs w:val="21"/>
        </w:rPr>
      </w:pPr>
    </w:p>
    <w:p w14:paraId="1943DB78" w14:textId="70554001" w:rsidR="00E73B7F" w:rsidRDefault="00E73B7F" w:rsidP="00E73B7F">
      <w:pPr>
        <w:jc w:val="both"/>
        <w:rPr>
          <w:rFonts w:ascii="Abadi" w:hAnsi="Abadi"/>
          <w:sz w:val="21"/>
          <w:szCs w:val="21"/>
        </w:rPr>
      </w:pPr>
      <w:r w:rsidRPr="00AA7107">
        <w:rPr>
          <w:rFonts w:ascii="Abadi" w:hAnsi="Abadi"/>
          <w:b/>
          <w:bCs/>
          <w:sz w:val="21"/>
          <w:szCs w:val="21"/>
        </w:rPr>
        <w:tab/>
        <w:t>- El Presidente.-</w:t>
      </w:r>
      <w:r w:rsidRPr="00AA7107">
        <w:rPr>
          <w:rFonts w:ascii="Abadi" w:hAnsi="Abadi"/>
          <w:sz w:val="21"/>
          <w:szCs w:val="21"/>
        </w:rPr>
        <w:t xml:space="preserve"> </w:t>
      </w:r>
      <w:r>
        <w:rPr>
          <w:rFonts w:ascii="Abadi" w:hAnsi="Abadi"/>
          <w:sz w:val="21"/>
          <w:szCs w:val="21"/>
        </w:rPr>
        <w:t>¡G</w:t>
      </w:r>
      <w:r w:rsidRPr="00AA7107">
        <w:rPr>
          <w:rFonts w:ascii="Abadi" w:hAnsi="Abadi"/>
          <w:sz w:val="21"/>
          <w:szCs w:val="21"/>
        </w:rPr>
        <w:t>racias</w:t>
      </w:r>
      <w:r>
        <w:rPr>
          <w:rFonts w:ascii="Abadi" w:hAnsi="Abadi"/>
          <w:sz w:val="21"/>
          <w:szCs w:val="21"/>
        </w:rPr>
        <w:t>!</w:t>
      </w:r>
      <w:r w:rsidRPr="00AA7107">
        <w:rPr>
          <w:rFonts w:ascii="Abadi" w:hAnsi="Abadi"/>
          <w:sz w:val="21"/>
          <w:szCs w:val="21"/>
        </w:rPr>
        <w:t xml:space="preserve"> diputada Hades </w:t>
      </w:r>
      <w:r>
        <w:rPr>
          <w:rFonts w:ascii="Abadi" w:hAnsi="Abadi"/>
          <w:sz w:val="21"/>
          <w:szCs w:val="21"/>
        </w:rPr>
        <w:t xml:space="preserve">Berenice </w:t>
      </w:r>
      <w:r w:rsidRPr="00AA7107">
        <w:rPr>
          <w:rFonts w:ascii="Abadi" w:hAnsi="Abadi"/>
          <w:sz w:val="21"/>
          <w:szCs w:val="21"/>
        </w:rPr>
        <w:t>Aguilar Castillo.</w:t>
      </w:r>
    </w:p>
    <w:p w14:paraId="1185618C" w14:textId="77777777" w:rsidR="00E73B7F" w:rsidRPr="00AA7107" w:rsidRDefault="00E73B7F" w:rsidP="00E73B7F">
      <w:pPr>
        <w:jc w:val="both"/>
        <w:rPr>
          <w:rFonts w:ascii="Abadi" w:hAnsi="Abadi"/>
          <w:sz w:val="21"/>
          <w:szCs w:val="21"/>
        </w:rPr>
      </w:pPr>
    </w:p>
    <w:p w14:paraId="5B47505A" w14:textId="100945D0" w:rsidR="00E73B7F" w:rsidRDefault="00E73B7F" w:rsidP="00E73B7F">
      <w:pPr>
        <w:ind w:left="567" w:right="758"/>
        <w:jc w:val="both"/>
        <w:rPr>
          <w:rFonts w:ascii="Abadi" w:hAnsi="Abadi"/>
          <w:b/>
          <w:bCs/>
          <w:i/>
          <w:iCs/>
          <w:sz w:val="21"/>
          <w:szCs w:val="21"/>
          <w:u w:val="single"/>
        </w:rPr>
      </w:pPr>
      <w:r w:rsidRPr="00AA7107">
        <w:rPr>
          <w:rFonts w:ascii="Abadi" w:hAnsi="Abadi"/>
          <w:b/>
          <w:bCs/>
          <w:i/>
          <w:iCs/>
          <w:sz w:val="21"/>
          <w:szCs w:val="21"/>
          <w:u w:val="single"/>
        </w:rPr>
        <w:t>Se turna a la Comisión de Justicia con fundamento en el artículo 113 fracción primera de nuestra Ley Orgánica para su estudio y dictamen.</w:t>
      </w:r>
    </w:p>
    <w:p w14:paraId="4EC7FBCD" w14:textId="6913CD00" w:rsidR="001D2D83" w:rsidRDefault="001D2D83" w:rsidP="00E73B7F">
      <w:pPr>
        <w:ind w:left="567" w:right="758"/>
        <w:jc w:val="both"/>
        <w:rPr>
          <w:rFonts w:ascii="Abadi" w:hAnsi="Abadi"/>
          <w:b/>
          <w:bCs/>
          <w:i/>
          <w:iCs/>
          <w:sz w:val="21"/>
          <w:szCs w:val="21"/>
          <w:u w:val="single"/>
        </w:rPr>
      </w:pPr>
    </w:p>
    <w:p w14:paraId="37AC578F" w14:textId="69A7EBA1" w:rsidR="001D2D83" w:rsidRDefault="001D2D83" w:rsidP="00E73B7F">
      <w:pPr>
        <w:ind w:left="567" w:right="758"/>
        <w:jc w:val="both"/>
        <w:rPr>
          <w:rFonts w:ascii="Abadi" w:hAnsi="Abadi"/>
          <w:b/>
          <w:bCs/>
          <w:i/>
          <w:iCs/>
          <w:sz w:val="21"/>
          <w:szCs w:val="21"/>
          <w:u w:val="single"/>
        </w:rPr>
      </w:pPr>
    </w:p>
    <w:p w14:paraId="383F8E93" w14:textId="77777777" w:rsidR="001D2D83" w:rsidRDefault="001D2D83" w:rsidP="001D2D83">
      <w:pPr>
        <w:ind w:firstLine="567"/>
        <w:jc w:val="both"/>
        <w:rPr>
          <w:rFonts w:ascii="Abadi" w:hAnsi="Abadi"/>
          <w:sz w:val="21"/>
          <w:szCs w:val="21"/>
        </w:rPr>
      </w:pPr>
      <w:r w:rsidRPr="00AA7107">
        <w:rPr>
          <w:rFonts w:ascii="Abadi" w:hAnsi="Abadi"/>
          <w:b/>
          <w:bCs/>
          <w:sz w:val="21"/>
          <w:szCs w:val="21"/>
        </w:rPr>
        <w:t>- El Presidente.-</w:t>
      </w:r>
      <w:r w:rsidRPr="00AA7107">
        <w:rPr>
          <w:rFonts w:ascii="Abadi" w:hAnsi="Abadi"/>
          <w:sz w:val="21"/>
          <w:szCs w:val="21"/>
        </w:rPr>
        <w:t xml:space="preserve"> Esta presidencia da la más cordial de la bienvenida a mujeres de distintos lugares de nuestro </w:t>
      </w:r>
      <w:r>
        <w:rPr>
          <w:rFonts w:ascii="Abadi" w:hAnsi="Abadi"/>
          <w:sz w:val="21"/>
          <w:szCs w:val="21"/>
        </w:rPr>
        <w:t>E</w:t>
      </w:r>
      <w:r w:rsidRPr="00AA7107">
        <w:rPr>
          <w:rFonts w:ascii="Abadi" w:hAnsi="Abadi"/>
          <w:sz w:val="21"/>
          <w:szCs w:val="21"/>
        </w:rPr>
        <w:t xml:space="preserve">stado de </w:t>
      </w:r>
      <w:r>
        <w:rPr>
          <w:rFonts w:ascii="Abadi" w:hAnsi="Abadi"/>
          <w:sz w:val="21"/>
          <w:szCs w:val="21"/>
        </w:rPr>
        <w:t>G</w:t>
      </w:r>
      <w:r w:rsidRPr="00AA7107">
        <w:rPr>
          <w:rFonts w:ascii="Abadi" w:hAnsi="Abadi"/>
          <w:sz w:val="21"/>
          <w:szCs w:val="21"/>
        </w:rPr>
        <w:t xml:space="preserve">uanajuato invitadas todas por las diputadas del Grupo Parlamentario del Partido Acción </w:t>
      </w:r>
      <w:r w:rsidRPr="00AA7107">
        <w:rPr>
          <w:rFonts w:ascii="Abadi" w:hAnsi="Abadi"/>
          <w:sz w:val="21"/>
          <w:szCs w:val="21"/>
        </w:rPr>
        <w:t xml:space="preserve">Nacional sean ustedes mujeres del medio rural bienvenidas a este </w:t>
      </w:r>
      <w:r>
        <w:rPr>
          <w:rFonts w:ascii="Abadi" w:hAnsi="Abadi"/>
          <w:sz w:val="21"/>
          <w:szCs w:val="21"/>
        </w:rPr>
        <w:t>C</w:t>
      </w:r>
      <w:r w:rsidRPr="00AA7107">
        <w:rPr>
          <w:rFonts w:ascii="Abadi" w:hAnsi="Abadi"/>
          <w:sz w:val="21"/>
          <w:szCs w:val="21"/>
        </w:rPr>
        <w:t>ongreso.</w:t>
      </w:r>
    </w:p>
    <w:p w14:paraId="5B8804A8" w14:textId="77777777" w:rsidR="001D2D83" w:rsidRDefault="001D2D83" w:rsidP="001D2D83">
      <w:pPr>
        <w:jc w:val="both"/>
        <w:rPr>
          <w:rFonts w:ascii="Abadi" w:hAnsi="Abadi"/>
          <w:b/>
          <w:bCs/>
          <w:sz w:val="21"/>
          <w:szCs w:val="21"/>
        </w:rPr>
      </w:pPr>
    </w:p>
    <w:p w14:paraId="794D7178" w14:textId="4832AF9D" w:rsidR="001D2D83" w:rsidRPr="00E2145F" w:rsidRDefault="001D2D83" w:rsidP="001D2D83">
      <w:pPr>
        <w:jc w:val="both"/>
        <w:rPr>
          <w:rFonts w:ascii="Abadi" w:hAnsi="Abadi"/>
          <w:b/>
          <w:bCs/>
          <w:sz w:val="21"/>
          <w:szCs w:val="21"/>
        </w:rPr>
      </w:pPr>
      <w:r w:rsidRPr="00E2145F">
        <w:rPr>
          <w:rFonts w:ascii="Abadi" w:hAnsi="Abadi"/>
          <w:b/>
          <w:bCs/>
          <w:sz w:val="21"/>
          <w:szCs w:val="21"/>
        </w:rPr>
        <w:t>(Aplausos)</w:t>
      </w:r>
    </w:p>
    <w:p w14:paraId="6A0761CB" w14:textId="77777777" w:rsidR="001D2D83" w:rsidRPr="001D2D83" w:rsidRDefault="001D2D83" w:rsidP="00E73B7F">
      <w:pPr>
        <w:ind w:left="567" w:right="758"/>
        <w:jc w:val="both"/>
        <w:rPr>
          <w:rFonts w:ascii="Abadi" w:hAnsi="Abadi"/>
          <w:sz w:val="21"/>
          <w:szCs w:val="21"/>
        </w:rPr>
      </w:pPr>
    </w:p>
    <w:p w14:paraId="018124BC" w14:textId="77777777" w:rsidR="002C47C1" w:rsidRPr="002C47C1" w:rsidRDefault="002C47C1" w:rsidP="002C47C1">
      <w:pPr>
        <w:autoSpaceDE w:val="0"/>
        <w:autoSpaceDN w:val="0"/>
        <w:adjustRightInd w:val="0"/>
        <w:contextualSpacing/>
        <w:jc w:val="both"/>
        <w:rPr>
          <w:rFonts w:ascii="Abadi" w:hAnsi="Abadi" w:cs="ArialMT"/>
          <w:b/>
          <w:bCs/>
          <w:sz w:val="20"/>
          <w:szCs w:val="21"/>
        </w:rPr>
      </w:pPr>
    </w:p>
    <w:p w14:paraId="44712F04" w14:textId="77777777" w:rsidR="00BB709C" w:rsidRDefault="00E462B6" w:rsidP="003337E1">
      <w:pPr>
        <w:pStyle w:val="Prrafodelista"/>
        <w:numPr>
          <w:ilvl w:val="0"/>
          <w:numId w:val="14"/>
        </w:numPr>
        <w:autoSpaceDE w:val="0"/>
        <w:autoSpaceDN w:val="0"/>
        <w:adjustRightInd w:val="0"/>
        <w:ind w:left="426"/>
        <w:contextualSpacing/>
        <w:jc w:val="both"/>
        <w:rPr>
          <w:rFonts w:ascii="Abadi" w:hAnsi="Abadi" w:cs="ArialMT"/>
          <w:b/>
          <w:bCs/>
          <w:sz w:val="20"/>
          <w:szCs w:val="21"/>
        </w:rPr>
      </w:pPr>
      <w:r w:rsidRPr="0028553C">
        <w:rPr>
          <w:rFonts w:ascii="Abadi" w:hAnsi="Abadi" w:cs="ArialMT"/>
          <w:b/>
          <w:bCs/>
          <w:sz w:val="20"/>
          <w:szCs w:val="21"/>
        </w:rPr>
        <w:t>PRESENTACIÓN DE LA INICIATIVA SUSCRITA POR DIPUTADAS Y DIPUTADOS INTEGRANTES DEL GRUPO PARLAMENTARIO DEL PARTIDO ACCIÓN NACIONAL A EFECTO DE ADICIONAR DIVERSAS DISPOSICIONES A LA LEY DE FOMENTO A LA AGRICULTURA FAMILIAR DEL ESTADO DE GUANAJUATO.</w:t>
      </w:r>
    </w:p>
    <w:p w14:paraId="0C30E2CC" w14:textId="77777777" w:rsidR="00BB709C" w:rsidRDefault="00BB709C" w:rsidP="00BB709C">
      <w:pPr>
        <w:pStyle w:val="Prrafodelista"/>
        <w:autoSpaceDE w:val="0"/>
        <w:autoSpaceDN w:val="0"/>
        <w:adjustRightInd w:val="0"/>
        <w:ind w:left="720"/>
        <w:contextualSpacing/>
        <w:jc w:val="both"/>
        <w:rPr>
          <w:rFonts w:ascii="Abadi" w:hAnsi="Abadi" w:cs="ArialMT"/>
          <w:b/>
          <w:bCs/>
          <w:sz w:val="20"/>
          <w:szCs w:val="21"/>
        </w:rPr>
      </w:pPr>
    </w:p>
    <w:p w14:paraId="232FDEEC" w14:textId="228CBCBA" w:rsidR="005767CC" w:rsidRPr="00BB709C" w:rsidRDefault="005767CC" w:rsidP="007A2097">
      <w:pPr>
        <w:pStyle w:val="Prrafodelista"/>
        <w:autoSpaceDE w:val="0"/>
        <w:autoSpaceDN w:val="0"/>
        <w:adjustRightInd w:val="0"/>
        <w:ind w:left="0"/>
        <w:contextualSpacing/>
        <w:jc w:val="both"/>
        <w:rPr>
          <w:rFonts w:ascii="Abadi" w:hAnsi="Abadi" w:cs="ArialMT"/>
          <w:b/>
          <w:bCs/>
          <w:sz w:val="20"/>
          <w:szCs w:val="21"/>
        </w:rPr>
      </w:pPr>
      <w:r w:rsidRPr="00BB709C">
        <w:rPr>
          <w:rFonts w:ascii="Abadi" w:hAnsi="Abadi" w:cs="*Arial-10144-Identity-H"/>
          <w:b/>
          <w:bCs/>
          <w:color w:val="131313"/>
          <w:sz w:val="21"/>
          <w:szCs w:val="21"/>
        </w:rPr>
        <w:t>Diputado Martín López Camacho</w:t>
      </w:r>
    </w:p>
    <w:p w14:paraId="7E87D3E7" w14:textId="77777777" w:rsidR="005767CC" w:rsidRPr="005767CC" w:rsidRDefault="005767CC" w:rsidP="007A2097">
      <w:pPr>
        <w:pStyle w:val="Prrafodelista"/>
        <w:autoSpaceDE w:val="0"/>
        <w:autoSpaceDN w:val="0"/>
        <w:adjustRightInd w:val="0"/>
        <w:ind w:left="0"/>
        <w:jc w:val="both"/>
        <w:rPr>
          <w:rFonts w:ascii="Abadi" w:hAnsi="Abadi" w:cs="*Arial-10144-Identity-H"/>
          <w:b/>
          <w:bCs/>
          <w:color w:val="131313"/>
          <w:sz w:val="21"/>
          <w:szCs w:val="21"/>
        </w:rPr>
      </w:pPr>
      <w:r w:rsidRPr="005767CC">
        <w:rPr>
          <w:rFonts w:ascii="Abadi" w:hAnsi="Abadi" w:cs="*Arial-10144-Identity-H"/>
          <w:b/>
          <w:bCs/>
          <w:color w:val="131313"/>
          <w:sz w:val="21"/>
          <w:szCs w:val="21"/>
        </w:rPr>
        <w:t>Presidente del Congreso del Estado</w:t>
      </w:r>
    </w:p>
    <w:p w14:paraId="3BD952C2" w14:textId="77777777" w:rsidR="005767CC" w:rsidRPr="005767CC" w:rsidRDefault="005767CC" w:rsidP="007A2097">
      <w:pPr>
        <w:pStyle w:val="Prrafodelista"/>
        <w:autoSpaceDE w:val="0"/>
        <w:autoSpaceDN w:val="0"/>
        <w:adjustRightInd w:val="0"/>
        <w:ind w:left="0"/>
        <w:jc w:val="both"/>
        <w:rPr>
          <w:rFonts w:ascii="Abadi" w:hAnsi="Abadi" w:cs="*Arial-10144-Identity-H"/>
          <w:b/>
          <w:bCs/>
          <w:color w:val="131313"/>
          <w:sz w:val="21"/>
          <w:szCs w:val="21"/>
        </w:rPr>
      </w:pPr>
      <w:r w:rsidRPr="005767CC">
        <w:rPr>
          <w:rFonts w:ascii="Abadi" w:hAnsi="Abadi" w:cs="*Arial-10144-Identity-H"/>
          <w:b/>
          <w:bCs/>
          <w:color w:val="131313"/>
          <w:sz w:val="21"/>
          <w:szCs w:val="21"/>
        </w:rPr>
        <w:t>Libre y Soberano de Guanajuato</w:t>
      </w:r>
    </w:p>
    <w:p w14:paraId="1B48B079" w14:textId="77777777" w:rsidR="005767CC" w:rsidRPr="005767CC" w:rsidRDefault="005767CC" w:rsidP="007A2097">
      <w:pPr>
        <w:pStyle w:val="Prrafodelista"/>
        <w:autoSpaceDE w:val="0"/>
        <w:autoSpaceDN w:val="0"/>
        <w:adjustRightInd w:val="0"/>
        <w:ind w:left="0"/>
        <w:jc w:val="both"/>
        <w:rPr>
          <w:rFonts w:ascii="Abadi" w:hAnsi="Abadi" w:cs="*Arial-10144-Identity-H"/>
          <w:b/>
          <w:bCs/>
          <w:color w:val="131313"/>
          <w:sz w:val="21"/>
          <w:szCs w:val="21"/>
        </w:rPr>
      </w:pPr>
      <w:r w:rsidRPr="005767CC">
        <w:rPr>
          <w:rFonts w:ascii="Abadi" w:hAnsi="Abadi" w:cs="*Arial-10144-Identity-H"/>
          <w:b/>
          <w:bCs/>
          <w:color w:val="131313"/>
          <w:sz w:val="21"/>
          <w:szCs w:val="21"/>
        </w:rPr>
        <w:t>Sexagésima Quinta Legislatura</w:t>
      </w:r>
    </w:p>
    <w:p w14:paraId="4EA6DD2F" w14:textId="77777777" w:rsidR="005767CC" w:rsidRPr="005767CC" w:rsidRDefault="005767CC" w:rsidP="007A2097">
      <w:pPr>
        <w:pStyle w:val="Prrafodelista"/>
        <w:autoSpaceDE w:val="0"/>
        <w:autoSpaceDN w:val="0"/>
        <w:adjustRightInd w:val="0"/>
        <w:ind w:left="0"/>
        <w:jc w:val="both"/>
        <w:rPr>
          <w:rFonts w:ascii="Abadi" w:hAnsi="Abadi" w:cs="*Arial-10144-Identity-H"/>
          <w:b/>
          <w:bCs/>
          <w:color w:val="131313"/>
          <w:sz w:val="21"/>
          <w:szCs w:val="21"/>
        </w:rPr>
      </w:pPr>
      <w:r w:rsidRPr="005767CC">
        <w:rPr>
          <w:rFonts w:ascii="Abadi" w:hAnsi="Abadi" w:cs="*Arial-10144-Identity-H"/>
          <w:b/>
          <w:bCs/>
          <w:color w:val="131313"/>
          <w:sz w:val="21"/>
          <w:szCs w:val="21"/>
        </w:rPr>
        <w:t>P r e s e n t e</w:t>
      </w:r>
    </w:p>
    <w:p w14:paraId="72803BFF" w14:textId="77777777" w:rsidR="005767CC" w:rsidRPr="005767CC" w:rsidRDefault="005767CC" w:rsidP="007A2097">
      <w:pPr>
        <w:pStyle w:val="Prrafodelista"/>
        <w:autoSpaceDE w:val="0"/>
        <w:autoSpaceDN w:val="0"/>
        <w:adjustRightInd w:val="0"/>
        <w:ind w:left="0"/>
        <w:jc w:val="both"/>
        <w:rPr>
          <w:rFonts w:ascii="Abadi" w:hAnsi="Abadi" w:cs="*Arial-10144-Identity-H"/>
          <w:b/>
          <w:bCs/>
          <w:color w:val="131313"/>
          <w:sz w:val="21"/>
          <w:szCs w:val="21"/>
        </w:rPr>
      </w:pPr>
    </w:p>
    <w:p w14:paraId="2DAA1F32" w14:textId="72975CB9" w:rsidR="005767CC" w:rsidRPr="005767CC" w:rsidRDefault="005767CC" w:rsidP="007A2097">
      <w:pPr>
        <w:pStyle w:val="Prrafodelista"/>
        <w:autoSpaceDE w:val="0"/>
        <w:autoSpaceDN w:val="0"/>
        <w:adjustRightInd w:val="0"/>
        <w:ind w:left="0"/>
        <w:jc w:val="both"/>
        <w:rPr>
          <w:rFonts w:ascii="Abadi" w:hAnsi="Abadi" w:cs="*Arial-10144-Identity-H"/>
          <w:color w:val="141414"/>
          <w:sz w:val="21"/>
          <w:szCs w:val="21"/>
        </w:rPr>
      </w:pPr>
      <w:r w:rsidRPr="005767CC">
        <w:rPr>
          <w:rFonts w:ascii="Abadi" w:hAnsi="Abadi" w:cs="*Arial-10144-Identity-H"/>
          <w:color w:val="141414"/>
          <w:sz w:val="21"/>
          <w:szCs w:val="21"/>
        </w:rPr>
        <w:t xml:space="preserve">Quienes integramos el Grupo Parlamentario del Partido Acción Nacional ante la Sexagésima Quinta Legislatura del Congreso del Estado Libre y Soberano de Guanajuato, con fundamento en lo dispuesto por los artículos 56 fracción </w:t>
      </w:r>
      <w:r w:rsidR="00D7099D">
        <w:rPr>
          <w:rFonts w:ascii="Abadi" w:hAnsi="Abadi" w:cs="*Arial-10144-Identity-H"/>
          <w:color w:val="141414"/>
          <w:sz w:val="21"/>
          <w:szCs w:val="21"/>
        </w:rPr>
        <w:t>II</w:t>
      </w:r>
      <w:r w:rsidRPr="005767CC">
        <w:rPr>
          <w:rFonts w:ascii="Abadi" w:hAnsi="Abadi" w:cs="*Arial-10144-Identity-H"/>
          <w:color w:val="141414"/>
          <w:sz w:val="21"/>
          <w:szCs w:val="21"/>
        </w:rPr>
        <w:t xml:space="preserve">, de la Constitución Política para el Estado de Guanajuato; y 167 fracción </w:t>
      </w:r>
      <w:r w:rsidR="00D7099D">
        <w:rPr>
          <w:rFonts w:ascii="Abadi" w:hAnsi="Abadi" w:cs="*Arial-10144-Identity-H"/>
          <w:color w:val="141414"/>
          <w:sz w:val="21"/>
          <w:szCs w:val="21"/>
        </w:rPr>
        <w:t>II</w:t>
      </w:r>
      <w:r w:rsidRPr="005767CC">
        <w:rPr>
          <w:rFonts w:ascii="Abadi" w:hAnsi="Abadi" w:cs="*Arial-10144-Identity-H"/>
          <w:color w:val="141414"/>
          <w:sz w:val="21"/>
          <w:szCs w:val="21"/>
        </w:rPr>
        <w:t>, 168, y 209, de la Ley Orgánica del Poder Legislativo del Estado de Guanajuato, nos permitimos someter a la consideración de esta Honorable Asamblea, la presente Iniciativa con</w:t>
      </w:r>
      <w:r w:rsidR="00D7099D">
        <w:rPr>
          <w:rFonts w:ascii="Abadi" w:hAnsi="Abadi" w:cs="*Arial-10144-Identity-H"/>
          <w:color w:val="141414"/>
          <w:sz w:val="21"/>
          <w:szCs w:val="21"/>
        </w:rPr>
        <w:t xml:space="preserve"> </w:t>
      </w:r>
      <w:r w:rsidRPr="005767CC">
        <w:rPr>
          <w:rFonts w:ascii="Abadi" w:hAnsi="Abadi" w:cs="*Arial-10144-Identity-H"/>
          <w:color w:val="141414"/>
          <w:sz w:val="21"/>
          <w:szCs w:val="21"/>
        </w:rPr>
        <w:t>Proyecto de Decreto por el que se adicionan diversas disposiciones de la Ley de Fomento a la Agricultura Familiar del Estado de Guanajuato, con base en la siguiente:</w:t>
      </w:r>
    </w:p>
    <w:p w14:paraId="727B9707" w14:textId="77777777" w:rsidR="005767CC" w:rsidRPr="005767CC" w:rsidRDefault="005767CC" w:rsidP="007A2097">
      <w:pPr>
        <w:pStyle w:val="Prrafodelista"/>
        <w:autoSpaceDE w:val="0"/>
        <w:autoSpaceDN w:val="0"/>
        <w:adjustRightInd w:val="0"/>
        <w:ind w:left="0"/>
        <w:jc w:val="both"/>
        <w:rPr>
          <w:rFonts w:ascii="Abadi" w:hAnsi="Abadi" w:cs="*Arial-10144-Identity-H"/>
          <w:color w:val="141414"/>
          <w:sz w:val="21"/>
          <w:szCs w:val="21"/>
        </w:rPr>
      </w:pPr>
    </w:p>
    <w:p w14:paraId="0A5DEDE5" w14:textId="77777777" w:rsidR="005767CC" w:rsidRPr="005767CC" w:rsidRDefault="005767CC" w:rsidP="007A2097">
      <w:pPr>
        <w:pStyle w:val="Prrafodelista"/>
        <w:autoSpaceDE w:val="0"/>
        <w:autoSpaceDN w:val="0"/>
        <w:adjustRightInd w:val="0"/>
        <w:ind w:left="0"/>
        <w:jc w:val="center"/>
        <w:rPr>
          <w:rFonts w:ascii="Abadi" w:hAnsi="Abadi" w:cs="*Arial-Bold-10146-Identity-H"/>
          <w:b/>
          <w:bCs/>
          <w:color w:val="141414"/>
          <w:sz w:val="21"/>
          <w:szCs w:val="21"/>
        </w:rPr>
      </w:pPr>
      <w:r w:rsidRPr="005767CC">
        <w:rPr>
          <w:rFonts w:ascii="Abadi" w:hAnsi="Abadi" w:cs="*Arial-Bold-10146-Identity-H"/>
          <w:b/>
          <w:bCs/>
          <w:color w:val="141414"/>
          <w:sz w:val="21"/>
          <w:szCs w:val="21"/>
        </w:rPr>
        <w:t>EXPOSICIÓN DE MOTIVOS</w:t>
      </w:r>
    </w:p>
    <w:p w14:paraId="507C1187" w14:textId="77777777" w:rsidR="005767CC" w:rsidRPr="005767CC" w:rsidRDefault="005767CC" w:rsidP="007A2097">
      <w:pPr>
        <w:pStyle w:val="Prrafodelista"/>
        <w:autoSpaceDE w:val="0"/>
        <w:autoSpaceDN w:val="0"/>
        <w:adjustRightInd w:val="0"/>
        <w:ind w:left="0"/>
        <w:jc w:val="center"/>
        <w:rPr>
          <w:rFonts w:ascii="Abadi" w:hAnsi="Abadi" w:cs="*Arial-Bold-10146-Identity-H"/>
          <w:b/>
          <w:bCs/>
          <w:color w:val="141414"/>
          <w:sz w:val="21"/>
          <w:szCs w:val="21"/>
        </w:rPr>
      </w:pPr>
    </w:p>
    <w:p w14:paraId="42B94FBE" w14:textId="77777777" w:rsidR="005767CC" w:rsidRPr="005767CC" w:rsidRDefault="005767CC" w:rsidP="007A2097">
      <w:pPr>
        <w:pStyle w:val="Prrafodelista"/>
        <w:autoSpaceDE w:val="0"/>
        <w:autoSpaceDN w:val="0"/>
        <w:adjustRightInd w:val="0"/>
        <w:ind w:left="0"/>
        <w:jc w:val="both"/>
        <w:rPr>
          <w:rFonts w:ascii="Abadi" w:hAnsi="Abadi" w:cs="*Microsoft Sans Serif-Bold-1015"/>
          <w:b/>
          <w:bCs/>
          <w:color w:val="141414"/>
          <w:sz w:val="21"/>
          <w:szCs w:val="21"/>
        </w:rPr>
      </w:pPr>
      <w:r w:rsidRPr="005767CC">
        <w:rPr>
          <w:rFonts w:ascii="Abadi" w:hAnsi="Abadi" w:cs="*Arial-Italic-10145-Identity-H"/>
          <w:i/>
          <w:iCs/>
          <w:color w:val="141414"/>
          <w:sz w:val="21"/>
          <w:szCs w:val="21"/>
        </w:rPr>
        <w:t xml:space="preserve">"El empoderamiento de </w:t>
      </w:r>
      <w:r w:rsidRPr="005767CC">
        <w:rPr>
          <w:rFonts w:ascii="Abadi" w:hAnsi="Abadi" w:cs="*Arial-10144-Identity-H"/>
          <w:color w:val="141414"/>
          <w:sz w:val="21"/>
          <w:szCs w:val="21"/>
        </w:rPr>
        <w:t xml:space="preserve">las </w:t>
      </w:r>
      <w:r w:rsidRPr="005767CC">
        <w:rPr>
          <w:rFonts w:ascii="Abadi" w:hAnsi="Abadi" w:cs="*Arial-Italic-10145-Identity-H"/>
          <w:i/>
          <w:iCs/>
          <w:color w:val="141414"/>
          <w:sz w:val="21"/>
          <w:szCs w:val="21"/>
        </w:rPr>
        <w:t xml:space="preserve">mujeres y </w:t>
      </w:r>
      <w:r w:rsidRPr="005767CC">
        <w:rPr>
          <w:rFonts w:ascii="Abadi" w:hAnsi="Abadi" w:cs="*Arial-10144-Identity-H"/>
          <w:color w:val="141414"/>
          <w:sz w:val="21"/>
          <w:szCs w:val="21"/>
        </w:rPr>
        <w:t xml:space="preserve">/as </w:t>
      </w:r>
      <w:r w:rsidRPr="005767CC">
        <w:rPr>
          <w:rFonts w:ascii="Abadi" w:hAnsi="Abadi" w:cs="*Arial-Italic-10145-Identity-H"/>
          <w:i/>
          <w:iCs/>
          <w:color w:val="141414"/>
          <w:sz w:val="21"/>
          <w:szCs w:val="21"/>
        </w:rPr>
        <w:t xml:space="preserve">niñas rurales </w:t>
      </w:r>
      <w:r w:rsidRPr="005767CC">
        <w:rPr>
          <w:rFonts w:ascii="Abadi" w:hAnsi="Abadi" w:cs="*Arial-10144-Identity-H"/>
          <w:color w:val="141414"/>
          <w:sz w:val="21"/>
          <w:szCs w:val="21"/>
        </w:rPr>
        <w:t xml:space="preserve">es </w:t>
      </w:r>
      <w:r w:rsidRPr="005767CC">
        <w:rPr>
          <w:rFonts w:ascii="Abadi" w:hAnsi="Abadi" w:cs="*Arial-Italic-10145-Identity-H"/>
          <w:i/>
          <w:iCs/>
          <w:color w:val="141414"/>
          <w:sz w:val="21"/>
          <w:szCs w:val="21"/>
        </w:rPr>
        <w:t xml:space="preserve">esencial para construir un futuro próspero, equitativo </w:t>
      </w:r>
      <w:r w:rsidRPr="005767CC">
        <w:rPr>
          <w:rFonts w:ascii="Abadi" w:hAnsi="Abadi" w:cs="*Microsoft Sans Serif-Italic-10"/>
          <w:i/>
          <w:iCs/>
          <w:color w:val="141414"/>
          <w:sz w:val="21"/>
          <w:szCs w:val="21"/>
        </w:rPr>
        <w:t xml:space="preserve">y </w:t>
      </w:r>
      <w:r w:rsidRPr="005767CC">
        <w:rPr>
          <w:rFonts w:ascii="Abadi" w:hAnsi="Abadi" w:cs="*Arial-Italic-10145-Identity-H"/>
          <w:i/>
          <w:iCs/>
          <w:color w:val="141414"/>
          <w:sz w:val="21"/>
          <w:szCs w:val="21"/>
        </w:rPr>
        <w:t xml:space="preserve">pacífico para todos en un planeta </w:t>
      </w:r>
      <w:r w:rsidRPr="005767CC">
        <w:rPr>
          <w:rFonts w:ascii="Abadi" w:hAnsi="Abadi" w:cs="*Arial-10144-Identity-H"/>
          <w:color w:val="141414"/>
          <w:sz w:val="21"/>
          <w:szCs w:val="21"/>
        </w:rPr>
        <w:t xml:space="preserve">sano. Es </w:t>
      </w:r>
      <w:r w:rsidRPr="005767CC">
        <w:rPr>
          <w:rFonts w:ascii="Abadi" w:hAnsi="Abadi" w:cs="*Arial-Italic-10145-Identity-H"/>
          <w:i/>
          <w:iCs/>
          <w:color w:val="141414"/>
          <w:sz w:val="21"/>
          <w:szCs w:val="21"/>
        </w:rPr>
        <w:t xml:space="preserve">necesario para lograr la igualdad entre </w:t>
      </w:r>
      <w:r w:rsidRPr="005767CC">
        <w:rPr>
          <w:rFonts w:ascii="Abadi" w:hAnsi="Abadi" w:cs="*Arial-10144-Identity-H"/>
          <w:color w:val="141414"/>
          <w:sz w:val="21"/>
          <w:szCs w:val="21"/>
        </w:rPr>
        <w:t xml:space="preserve">/os </w:t>
      </w:r>
      <w:r w:rsidRPr="005767CC">
        <w:rPr>
          <w:rFonts w:ascii="Abadi" w:hAnsi="Abadi" w:cs="*Arial-Italic-10145-Identity-H"/>
          <w:i/>
          <w:iCs/>
          <w:color w:val="141414"/>
          <w:sz w:val="21"/>
          <w:szCs w:val="21"/>
        </w:rPr>
        <w:t xml:space="preserve">géneros, garantizar un trabajo decente para todos, erradicar la pobreza y el hambre y adoptar medidas </w:t>
      </w:r>
      <w:r w:rsidRPr="005767CC">
        <w:rPr>
          <w:rFonts w:ascii="Abadi" w:hAnsi="Abadi" w:cs="*Arial-Italic-10145-Identity-H"/>
          <w:i/>
          <w:iCs/>
          <w:color w:val="141414"/>
          <w:sz w:val="21"/>
          <w:szCs w:val="21"/>
        </w:rPr>
        <w:lastRenderedPageBreak/>
        <w:t xml:space="preserve">relacionadas con el clima". </w:t>
      </w:r>
      <w:r w:rsidRPr="005767CC">
        <w:rPr>
          <w:rFonts w:ascii="Abadi" w:hAnsi="Abadi" w:cs="*Arial-10144-Identity-H"/>
          <w:color w:val="141414"/>
          <w:sz w:val="21"/>
          <w:szCs w:val="21"/>
        </w:rPr>
        <w:t>António Guterres Secretario General de las Naciones Unidas.</w:t>
      </w:r>
      <w:r>
        <w:rPr>
          <w:rStyle w:val="Refdenotaalpie"/>
          <w:rFonts w:ascii="Abadi" w:hAnsi="Abadi" w:cs="*Arial-10144-Identity-H"/>
          <w:color w:val="141414"/>
          <w:sz w:val="21"/>
          <w:szCs w:val="21"/>
        </w:rPr>
        <w:footnoteReference w:id="30"/>
      </w:r>
    </w:p>
    <w:p w14:paraId="5A3514D9" w14:textId="77777777" w:rsidR="005767CC" w:rsidRPr="005767CC" w:rsidRDefault="005767CC" w:rsidP="007A2097">
      <w:pPr>
        <w:pStyle w:val="Prrafodelista"/>
        <w:autoSpaceDE w:val="0"/>
        <w:autoSpaceDN w:val="0"/>
        <w:adjustRightInd w:val="0"/>
        <w:ind w:left="0"/>
        <w:jc w:val="both"/>
        <w:rPr>
          <w:rFonts w:ascii="Abadi" w:hAnsi="Abadi" w:cs="*Arial-10143-Identity-H"/>
          <w:color w:val="161616"/>
          <w:sz w:val="21"/>
          <w:szCs w:val="21"/>
        </w:rPr>
      </w:pPr>
    </w:p>
    <w:p w14:paraId="416DA718" w14:textId="77777777" w:rsidR="005767CC" w:rsidRPr="005767CC" w:rsidRDefault="005767CC" w:rsidP="007A2097">
      <w:pPr>
        <w:pStyle w:val="Prrafodelista"/>
        <w:autoSpaceDE w:val="0"/>
        <w:autoSpaceDN w:val="0"/>
        <w:adjustRightInd w:val="0"/>
        <w:ind w:left="0"/>
        <w:jc w:val="both"/>
        <w:rPr>
          <w:rFonts w:ascii="Abadi" w:hAnsi="Abadi" w:cs="*Arial-7321-Identity-H"/>
          <w:color w:val="161616"/>
          <w:sz w:val="21"/>
          <w:szCs w:val="21"/>
        </w:rPr>
      </w:pPr>
      <w:r w:rsidRPr="005767CC">
        <w:rPr>
          <w:rFonts w:ascii="Abadi" w:hAnsi="Abadi" w:cs="*Arial-7321-Identity-H"/>
          <w:color w:val="161616"/>
          <w:sz w:val="21"/>
          <w:szCs w:val="21"/>
        </w:rPr>
        <w:t>Así, la Asamblea General de la Organización de Naciones Unidas estableció el día 15 de octubre como el Día Internacional de las Mujeres Rurales con el objetivo de reconocer a la mujer rural por su contribución en el desarrollo rural y agrícola, la erradicación de la pobreza y la mejora en la seguridad alimentaria.</w:t>
      </w:r>
    </w:p>
    <w:p w14:paraId="26B00A87" w14:textId="77777777" w:rsidR="005767CC" w:rsidRPr="005767CC" w:rsidRDefault="005767CC" w:rsidP="007A2097">
      <w:pPr>
        <w:pStyle w:val="Prrafodelista"/>
        <w:autoSpaceDE w:val="0"/>
        <w:autoSpaceDN w:val="0"/>
        <w:adjustRightInd w:val="0"/>
        <w:ind w:left="0"/>
        <w:jc w:val="both"/>
        <w:rPr>
          <w:rFonts w:ascii="Abadi" w:hAnsi="Abadi" w:cs="*Arial-7321-Identity-H"/>
          <w:color w:val="161616"/>
          <w:sz w:val="21"/>
          <w:szCs w:val="21"/>
        </w:rPr>
      </w:pPr>
    </w:p>
    <w:p w14:paraId="4A90A978" w14:textId="77777777" w:rsidR="005767CC" w:rsidRPr="005767CC" w:rsidRDefault="005767CC" w:rsidP="007A2097">
      <w:pPr>
        <w:pStyle w:val="Prrafodelista"/>
        <w:autoSpaceDE w:val="0"/>
        <w:autoSpaceDN w:val="0"/>
        <w:adjustRightInd w:val="0"/>
        <w:ind w:left="0"/>
        <w:jc w:val="both"/>
        <w:rPr>
          <w:rFonts w:ascii="Abadi" w:hAnsi="Abadi" w:cs="*Arial-7321-Identity-H"/>
          <w:color w:val="161616"/>
          <w:sz w:val="21"/>
          <w:szCs w:val="21"/>
        </w:rPr>
      </w:pPr>
      <w:r w:rsidRPr="005767CC">
        <w:rPr>
          <w:rFonts w:ascii="Abadi" w:hAnsi="Abadi" w:cs="*Arial-7321-Identity-H"/>
          <w:color w:val="161616"/>
          <w:sz w:val="21"/>
          <w:szCs w:val="21"/>
        </w:rPr>
        <w:t>Desde la producción de cultivos hasta el procesamiento, la preparación y la distribución de alimentos, el trabajo de las mujeres -tanto remunerado como no remunerado- alimenta a las familias y a las comunidades. Sin embargo, no ejercen el mismo poder que los hombres, por consiguiente ganan menos dinero.</w:t>
      </w:r>
    </w:p>
    <w:p w14:paraId="2AC244ED" w14:textId="77777777" w:rsidR="005767CC" w:rsidRPr="00B95EAD" w:rsidRDefault="005767CC" w:rsidP="007A2097">
      <w:pPr>
        <w:autoSpaceDE w:val="0"/>
        <w:autoSpaceDN w:val="0"/>
        <w:adjustRightInd w:val="0"/>
        <w:jc w:val="both"/>
        <w:rPr>
          <w:rFonts w:ascii="Abadi" w:hAnsi="Abadi" w:cs="*Arial-7321-Identity-H"/>
          <w:color w:val="161616"/>
          <w:sz w:val="21"/>
          <w:szCs w:val="21"/>
        </w:rPr>
      </w:pPr>
    </w:p>
    <w:p w14:paraId="79DAF3E3" w14:textId="77777777" w:rsidR="005767CC" w:rsidRPr="005767CC" w:rsidRDefault="005767CC" w:rsidP="007A2097">
      <w:pPr>
        <w:pStyle w:val="Prrafodelista"/>
        <w:autoSpaceDE w:val="0"/>
        <w:autoSpaceDN w:val="0"/>
        <w:adjustRightInd w:val="0"/>
        <w:ind w:left="0"/>
        <w:jc w:val="both"/>
        <w:rPr>
          <w:rFonts w:ascii="Abadi" w:hAnsi="Abadi" w:cs="*Microsoft Sans Serif-7322-Iden"/>
          <w:color w:val="161616"/>
          <w:sz w:val="21"/>
          <w:szCs w:val="21"/>
        </w:rPr>
      </w:pPr>
      <w:r w:rsidRPr="005767CC">
        <w:rPr>
          <w:rFonts w:ascii="Abadi" w:hAnsi="Abadi" w:cs="*Arial-7321-Identity-H"/>
          <w:color w:val="161616"/>
          <w:sz w:val="21"/>
          <w:szCs w:val="21"/>
        </w:rPr>
        <w:t>Como señala ONU Mujeres, las mujeres rurales sufren de manera desproporcionada los múltiples aspectos de la pobreza y pese a ser tan productivas y buenas gestoras como sus homólogos masculinos, no disponen del mismo acceso a la tierra, créditos, materiales agrícolas, mercados o cadenas de productos cultivados de alto valor. Tampoco disfrutan de un acceso equitativo a servicios públicos, como la educación y la asistencia sanitaria, ni a infraestructuras, como el agua y saneamiento. Su labor es invisible y no remunerada, a pesar de que las tareas aumentan y se endurecen debido a la migración de los hombres.</w:t>
      </w:r>
      <w:r>
        <w:rPr>
          <w:rStyle w:val="Refdenotaalpie"/>
          <w:rFonts w:ascii="Abadi" w:hAnsi="Abadi" w:cs="*Arial-7321-Identity-H"/>
          <w:color w:val="161616"/>
          <w:sz w:val="21"/>
          <w:szCs w:val="21"/>
        </w:rPr>
        <w:footnoteReference w:id="31"/>
      </w:r>
    </w:p>
    <w:p w14:paraId="5FCB49B8" w14:textId="77777777" w:rsidR="005767CC" w:rsidRPr="005767CC" w:rsidRDefault="005767CC" w:rsidP="007A2097">
      <w:pPr>
        <w:pStyle w:val="Prrafodelista"/>
        <w:autoSpaceDE w:val="0"/>
        <w:autoSpaceDN w:val="0"/>
        <w:adjustRightInd w:val="0"/>
        <w:ind w:left="0"/>
        <w:jc w:val="both"/>
        <w:rPr>
          <w:rFonts w:ascii="Abadi" w:hAnsi="Abadi" w:cs="*Microsoft Sans Serif-7322-Iden"/>
          <w:color w:val="161616"/>
          <w:sz w:val="21"/>
          <w:szCs w:val="21"/>
        </w:rPr>
      </w:pPr>
    </w:p>
    <w:p w14:paraId="14D7F43C" w14:textId="77777777" w:rsidR="005767CC" w:rsidRPr="005767CC" w:rsidRDefault="005767CC" w:rsidP="007A2097">
      <w:pPr>
        <w:pStyle w:val="Prrafodelista"/>
        <w:autoSpaceDE w:val="0"/>
        <w:autoSpaceDN w:val="0"/>
        <w:adjustRightInd w:val="0"/>
        <w:ind w:left="0"/>
        <w:jc w:val="both"/>
        <w:rPr>
          <w:rFonts w:ascii="Abadi" w:hAnsi="Abadi" w:cs="*Arial-7321-Identity-H"/>
          <w:color w:val="161616"/>
          <w:sz w:val="21"/>
          <w:szCs w:val="21"/>
        </w:rPr>
      </w:pPr>
      <w:r w:rsidRPr="005767CC">
        <w:rPr>
          <w:rFonts w:ascii="Abadi" w:hAnsi="Abadi" w:cs="*Arial-7321-Identity-H"/>
          <w:color w:val="161616"/>
          <w:sz w:val="21"/>
          <w:szCs w:val="21"/>
        </w:rPr>
        <w:t>Por su parte, las mujeres rurales se ven afectadas por diferentes formas de violencia. Ello se relaciona con la persistencia de actitudes tradicionales relativas a la subordinación de la mujer en muchas comunidades rurales (ONU, 1992; ONU, 2016). Además, deben sortear numerosos obstáculos para poder acceder a políticas de protección contra la violencia, ya que las mismas, en general, suelen tener un sesgo urbano (FAO, 2017).</w:t>
      </w:r>
    </w:p>
    <w:p w14:paraId="3BC153D9" w14:textId="77777777" w:rsidR="005767CC" w:rsidRPr="005767CC" w:rsidRDefault="005767CC" w:rsidP="007A2097">
      <w:pPr>
        <w:pStyle w:val="Prrafodelista"/>
        <w:autoSpaceDE w:val="0"/>
        <w:autoSpaceDN w:val="0"/>
        <w:adjustRightInd w:val="0"/>
        <w:ind w:left="0"/>
        <w:jc w:val="both"/>
        <w:rPr>
          <w:rFonts w:ascii="Abadi" w:hAnsi="Abadi" w:cs="*Times New Roman-Bold-7338-Iden"/>
          <w:b/>
          <w:bCs/>
          <w:color w:val="181920"/>
          <w:sz w:val="21"/>
          <w:szCs w:val="21"/>
        </w:rPr>
      </w:pPr>
    </w:p>
    <w:p w14:paraId="02BA9290" w14:textId="77777777" w:rsidR="005767CC" w:rsidRPr="005767CC" w:rsidRDefault="005767CC" w:rsidP="007A2097">
      <w:pPr>
        <w:pStyle w:val="Prrafodelista"/>
        <w:autoSpaceDE w:val="0"/>
        <w:autoSpaceDN w:val="0"/>
        <w:adjustRightInd w:val="0"/>
        <w:ind w:left="0"/>
        <w:jc w:val="both"/>
        <w:rPr>
          <w:rFonts w:ascii="Abadi" w:hAnsi="Abadi" w:cs="*Arial-7341-Identity-H"/>
          <w:color w:val="141414"/>
          <w:sz w:val="21"/>
          <w:szCs w:val="21"/>
        </w:rPr>
      </w:pPr>
      <w:r w:rsidRPr="005767CC">
        <w:rPr>
          <w:rFonts w:ascii="Abadi" w:hAnsi="Abadi" w:cs="*Arial-7341-Identity-H"/>
          <w:color w:val="141414"/>
          <w:sz w:val="21"/>
          <w:szCs w:val="21"/>
        </w:rPr>
        <w:t xml:space="preserve">Hay que reconocer de esta forma que las mujeres rurales desempeñan un papel </w:t>
      </w:r>
      <w:r w:rsidRPr="005767CC">
        <w:rPr>
          <w:rFonts w:ascii="Abadi" w:hAnsi="Abadi" w:cs="*Arial-7341-Identity-H"/>
          <w:color w:val="141414"/>
          <w:sz w:val="21"/>
          <w:szCs w:val="21"/>
        </w:rPr>
        <w:t xml:space="preserve">fundamental en la agricultura, la seguridad alimentaria y la nutrición, la gestión de la tierra y los recursos naturales y las empresas rurales. </w:t>
      </w:r>
    </w:p>
    <w:p w14:paraId="4A9552E9" w14:textId="77777777" w:rsidR="005767CC" w:rsidRPr="005767CC" w:rsidRDefault="005767CC" w:rsidP="007A2097">
      <w:pPr>
        <w:pStyle w:val="Prrafodelista"/>
        <w:autoSpaceDE w:val="0"/>
        <w:autoSpaceDN w:val="0"/>
        <w:adjustRightInd w:val="0"/>
        <w:ind w:left="0"/>
        <w:jc w:val="both"/>
        <w:rPr>
          <w:rFonts w:ascii="Abadi" w:hAnsi="Abadi" w:cs="*Arial-7341-Identity-H"/>
          <w:color w:val="141414"/>
          <w:sz w:val="21"/>
          <w:szCs w:val="21"/>
        </w:rPr>
      </w:pPr>
    </w:p>
    <w:p w14:paraId="5D9AA21E" w14:textId="77777777" w:rsidR="005767CC" w:rsidRPr="005767CC" w:rsidRDefault="005767CC" w:rsidP="007A2097">
      <w:pPr>
        <w:pStyle w:val="Prrafodelista"/>
        <w:autoSpaceDE w:val="0"/>
        <w:autoSpaceDN w:val="0"/>
        <w:adjustRightInd w:val="0"/>
        <w:ind w:left="0"/>
        <w:jc w:val="both"/>
        <w:rPr>
          <w:rFonts w:ascii="Abadi" w:hAnsi="Abadi" w:cs="*Arial-7341-Identity-H"/>
          <w:color w:val="141414"/>
          <w:sz w:val="21"/>
          <w:szCs w:val="21"/>
        </w:rPr>
      </w:pPr>
      <w:r w:rsidRPr="005767CC">
        <w:rPr>
          <w:rFonts w:ascii="Abadi" w:hAnsi="Abadi" w:cs="*Arial-7341-Identity-H"/>
          <w:color w:val="141414"/>
          <w:sz w:val="21"/>
          <w:szCs w:val="21"/>
        </w:rPr>
        <w:t>Es así que se muestran algunos datos clave para poner en perspectiva la situación</w:t>
      </w:r>
    </w:p>
    <w:p w14:paraId="104A31D7" w14:textId="77777777" w:rsidR="005767CC" w:rsidRPr="005767CC" w:rsidRDefault="005767CC" w:rsidP="007A2097">
      <w:pPr>
        <w:pStyle w:val="Prrafodelista"/>
        <w:autoSpaceDE w:val="0"/>
        <w:autoSpaceDN w:val="0"/>
        <w:adjustRightInd w:val="0"/>
        <w:ind w:left="0"/>
        <w:jc w:val="both"/>
        <w:rPr>
          <w:rFonts w:ascii="Abadi" w:hAnsi="Abadi" w:cs="*Arial-7342-Identity-H"/>
          <w:color w:val="141414"/>
          <w:sz w:val="21"/>
          <w:szCs w:val="21"/>
        </w:rPr>
      </w:pPr>
      <w:r w:rsidRPr="005767CC">
        <w:rPr>
          <w:rFonts w:ascii="Abadi" w:hAnsi="Abadi" w:cs="*Arial-7341-Identity-H"/>
          <w:color w:val="141414"/>
          <w:sz w:val="21"/>
          <w:szCs w:val="21"/>
        </w:rPr>
        <w:t>de las mujeres rurales en México, por ejemplo</w:t>
      </w:r>
      <w:r>
        <w:rPr>
          <w:rStyle w:val="Refdenotaalpie"/>
          <w:rFonts w:ascii="Abadi" w:hAnsi="Abadi" w:cs="*Arial-7341-Identity-H"/>
          <w:color w:val="141414"/>
          <w:sz w:val="21"/>
          <w:szCs w:val="21"/>
        </w:rPr>
        <w:footnoteReference w:id="32"/>
      </w:r>
    </w:p>
    <w:p w14:paraId="2FA23377" w14:textId="77777777" w:rsidR="00DA54FA" w:rsidRDefault="00DA54FA" w:rsidP="00DA0EF1">
      <w:pPr>
        <w:pStyle w:val="Prrafodelista"/>
        <w:autoSpaceDE w:val="0"/>
        <w:autoSpaceDN w:val="0"/>
        <w:adjustRightInd w:val="0"/>
        <w:ind w:left="0"/>
        <w:jc w:val="both"/>
        <w:rPr>
          <w:rFonts w:ascii="Abadi" w:hAnsi="Abadi" w:cs="*Arial-7342-Identity-H"/>
          <w:color w:val="141414"/>
          <w:sz w:val="21"/>
          <w:szCs w:val="21"/>
        </w:rPr>
      </w:pPr>
    </w:p>
    <w:p w14:paraId="44C27C7C" w14:textId="71859043" w:rsidR="00DA54FA" w:rsidRPr="00DA54FA" w:rsidRDefault="005767CC" w:rsidP="00D7099D">
      <w:pPr>
        <w:pStyle w:val="Prrafodelista"/>
        <w:numPr>
          <w:ilvl w:val="0"/>
          <w:numId w:val="59"/>
        </w:numPr>
        <w:autoSpaceDE w:val="0"/>
        <w:autoSpaceDN w:val="0"/>
        <w:adjustRightInd w:val="0"/>
        <w:jc w:val="both"/>
        <w:rPr>
          <w:rFonts w:ascii="Abadi" w:hAnsi="Abadi" w:cs="*Arial-7341-Identity-H"/>
          <w:color w:val="141414"/>
          <w:sz w:val="21"/>
          <w:szCs w:val="21"/>
        </w:rPr>
      </w:pPr>
      <w:r w:rsidRPr="005767CC">
        <w:rPr>
          <w:rFonts w:ascii="Abadi" w:hAnsi="Abadi" w:cs="*Arial-7341-Identity-H"/>
          <w:color w:val="141414"/>
          <w:sz w:val="21"/>
          <w:szCs w:val="21"/>
        </w:rPr>
        <w:t>De acuerdo con la Encuesta</w:t>
      </w:r>
      <w:r w:rsidR="00DA0EF1">
        <w:rPr>
          <w:rFonts w:ascii="Abadi" w:hAnsi="Abadi" w:cs="*Arial-7341-Identity-H"/>
          <w:color w:val="141414"/>
          <w:sz w:val="21"/>
          <w:szCs w:val="21"/>
        </w:rPr>
        <w:t xml:space="preserve"> </w:t>
      </w:r>
      <w:r w:rsidRPr="005767CC">
        <w:rPr>
          <w:rFonts w:ascii="Abadi" w:hAnsi="Abadi" w:cs="*Arial-7341-Identity-H"/>
          <w:color w:val="141414"/>
          <w:sz w:val="21"/>
          <w:szCs w:val="21"/>
        </w:rPr>
        <w:t>Nacional de Ocupación y Empleo (ENOE, 2019), en México viven en zonas rurales 10,697,916 (52%) mujeres, y</w:t>
      </w:r>
      <w:r w:rsidR="00DA0EF1">
        <w:rPr>
          <w:rFonts w:ascii="Abadi" w:hAnsi="Abadi" w:cs="*Arial-7341-Identity-H"/>
          <w:color w:val="141414"/>
          <w:sz w:val="21"/>
          <w:szCs w:val="21"/>
        </w:rPr>
        <w:t xml:space="preserve"> </w:t>
      </w:r>
      <w:r w:rsidRPr="005767CC">
        <w:rPr>
          <w:rFonts w:ascii="Abadi" w:hAnsi="Abadi" w:cs="*Arial-7341-Identity-H"/>
          <w:color w:val="141414"/>
          <w:sz w:val="21"/>
          <w:szCs w:val="21"/>
        </w:rPr>
        <w:t>9,845,907 (48%) hombres, de 15 años y más. De ellas, únicamente el 34%</w:t>
      </w:r>
      <w:r w:rsidR="00DA0EF1">
        <w:rPr>
          <w:rFonts w:ascii="Abadi" w:hAnsi="Abadi" w:cs="*Arial-7341-Identity-H"/>
          <w:color w:val="141414"/>
          <w:sz w:val="21"/>
          <w:szCs w:val="21"/>
        </w:rPr>
        <w:t xml:space="preserve"> </w:t>
      </w:r>
      <w:r w:rsidRPr="005767CC">
        <w:rPr>
          <w:rFonts w:ascii="Abadi" w:hAnsi="Abadi" w:cs="*Arial-7341-Identity-H"/>
          <w:color w:val="141414"/>
          <w:sz w:val="21"/>
          <w:szCs w:val="21"/>
        </w:rPr>
        <w:t>forma parte de la Población Económicamente Activa (PEA).</w:t>
      </w:r>
      <w:r w:rsidR="00DA54FA">
        <w:rPr>
          <w:rFonts w:ascii="Abadi" w:hAnsi="Abadi" w:cs="*Arial-7341-Identity-H"/>
          <w:color w:val="141414"/>
          <w:sz w:val="21"/>
          <w:szCs w:val="21"/>
        </w:rPr>
        <w:t xml:space="preserve"> </w:t>
      </w:r>
    </w:p>
    <w:p w14:paraId="6AE15E7D" w14:textId="77777777" w:rsidR="00DA54FA" w:rsidRDefault="005767CC" w:rsidP="00D7099D">
      <w:pPr>
        <w:pStyle w:val="Prrafodelista"/>
        <w:numPr>
          <w:ilvl w:val="0"/>
          <w:numId w:val="59"/>
        </w:numPr>
        <w:autoSpaceDE w:val="0"/>
        <w:autoSpaceDN w:val="0"/>
        <w:adjustRightInd w:val="0"/>
        <w:jc w:val="both"/>
        <w:rPr>
          <w:rFonts w:ascii="Abadi" w:hAnsi="Abadi" w:cs="*Arial-7341-Identity-H"/>
          <w:color w:val="141414"/>
          <w:sz w:val="21"/>
          <w:szCs w:val="21"/>
        </w:rPr>
      </w:pPr>
      <w:r w:rsidRPr="00DA54FA">
        <w:rPr>
          <w:rFonts w:ascii="Abadi" w:hAnsi="Abadi" w:cs="*Arial-7341-Identity-H"/>
          <w:color w:val="141414"/>
          <w:sz w:val="21"/>
          <w:szCs w:val="21"/>
        </w:rPr>
        <w:t>La participación económica de las mujeres en México es de 43.7%, mientras</w:t>
      </w:r>
      <w:r w:rsidR="00DA0EF1" w:rsidRPr="00DA54FA">
        <w:rPr>
          <w:rFonts w:ascii="Abadi" w:hAnsi="Abadi" w:cs="*Arial-7341-Identity-H"/>
          <w:color w:val="141414"/>
          <w:sz w:val="21"/>
          <w:szCs w:val="21"/>
        </w:rPr>
        <w:t xml:space="preserve"> </w:t>
      </w:r>
      <w:r w:rsidRPr="00DA54FA">
        <w:rPr>
          <w:rFonts w:ascii="Abadi" w:hAnsi="Abadi" w:cs="*Arial-7341-Identity-H"/>
          <w:color w:val="141414"/>
          <w:sz w:val="21"/>
          <w:szCs w:val="21"/>
        </w:rPr>
        <w:t>que, para mujeres rurales, fue de 34.2% (INMUJERES, 2019)</w:t>
      </w:r>
    </w:p>
    <w:p w14:paraId="32BDE877" w14:textId="77777777" w:rsidR="00DA54FA" w:rsidRDefault="005767CC" w:rsidP="00D7099D">
      <w:pPr>
        <w:pStyle w:val="Prrafodelista"/>
        <w:numPr>
          <w:ilvl w:val="0"/>
          <w:numId w:val="59"/>
        </w:numPr>
        <w:autoSpaceDE w:val="0"/>
        <w:autoSpaceDN w:val="0"/>
        <w:adjustRightInd w:val="0"/>
        <w:jc w:val="both"/>
        <w:rPr>
          <w:rFonts w:ascii="Abadi" w:hAnsi="Abadi" w:cs="*Arial-7341-Identity-H"/>
          <w:color w:val="141414"/>
          <w:sz w:val="21"/>
          <w:szCs w:val="21"/>
        </w:rPr>
      </w:pPr>
      <w:r w:rsidRPr="00DA54FA">
        <w:rPr>
          <w:rFonts w:ascii="Abadi" w:hAnsi="Abadi" w:cs="*Arial-7341-Identity-H"/>
          <w:color w:val="141414"/>
          <w:sz w:val="21"/>
          <w:szCs w:val="21"/>
        </w:rPr>
        <w:t>La carencia por acceso a la alimentación es otro de los indicadores donde</w:t>
      </w:r>
      <w:r w:rsidR="00DA0EF1" w:rsidRPr="00DA54FA">
        <w:rPr>
          <w:rFonts w:ascii="Abadi" w:hAnsi="Abadi" w:cs="*Arial-7341-Identity-H"/>
          <w:color w:val="141414"/>
          <w:sz w:val="21"/>
          <w:szCs w:val="21"/>
        </w:rPr>
        <w:t xml:space="preserve"> </w:t>
      </w:r>
      <w:r w:rsidRPr="00DA54FA">
        <w:rPr>
          <w:rFonts w:ascii="Abadi" w:hAnsi="Abadi" w:cs="*Arial-7341-Identity-H"/>
          <w:color w:val="141414"/>
          <w:sz w:val="21"/>
          <w:szCs w:val="21"/>
        </w:rPr>
        <w:t>las mujeres rurales tienen mayor desventaja; así 25.3% de ellas presentan</w:t>
      </w:r>
      <w:r w:rsidR="00DA0EF1" w:rsidRPr="00DA54FA">
        <w:rPr>
          <w:rFonts w:ascii="Abadi" w:hAnsi="Abadi" w:cs="*Arial-7341-Identity-H"/>
          <w:color w:val="141414"/>
          <w:sz w:val="21"/>
          <w:szCs w:val="21"/>
        </w:rPr>
        <w:t xml:space="preserve"> </w:t>
      </w:r>
      <w:r w:rsidRPr="00DA54FA">
        <w:rPr>
          <w:rFonts w:ascii="Abadi" w:hAnsi="Abadi" w:cs="*Arial-7341-Identity-H"/>
          <w:color w:val="141414"/>
          <w:sz w:val="21"/>
          <w:szCs w:val="21"/>
        </w:rPr>
        <w:t>carencia alimenticia, en comparación con el 18.8% de las mujeres urbanas.</w:t>
      </w:r>
    </w:p>
    <w:p w14:paraId="0686BC46" w14:textId="77777777" w:rsidR="00DA54FA" w:rsidRDefault="005767CC" w:rsidP="00D7099D">
      <w:pPr>
        <w:pStyle w:val="Prrafodelista"/>
        <w:numPr>
          <w:ilvl w:val="0"/>
          <w:numId w:val="59"/>
        </w:numPr>
        <w:autoSpaceDE w:val="0"/>
        <w:autoSpaceDN w:val="0"/>
        <w:adjustRightInd w:val="0"/>
        <w:jc w:val="both"/>
        <w:rPr>
          <w:rFonts w:ascii="Abadi" w:hAnsi="Abadi" w:cs="*Arial-7341-Identity-H"/>
          <w:color w:val="141414"/>
          <w:sz w:val="21"/>
          <w:szCs w:val="21"/>
        </w:rPr>
      </w:pPr>
      <w:r w:rsidRPr="00DA54FA">
        <w:rPr>
          <w:rFonts w:ascii="Abadi" w:hAnsi="Abadi" w:cs="*Arial-7341-Identity-H"/>
          <w:color w:val="141414"/>
          <w:sz w:val="21"/>
          <w:szCs w:val="21"/>
        </w:rPr>
        <w:t>Las mujeres rurales destinan en promedio 37 horas semanales a las tareas</w:t>
      </w:r>
      <w:r w:rsidR="00E71792" w:rsidRPr="00DA54FA">
        <w:rPr>
          <w:rFonts w:ascii="Abadi" w:hAnsi="Abadi" w:cs="*Arial-7341-Identity-H"/>
          <w:color w:val="141414"/>
          <w:sz w:val="21"/>
          <w:szCs w:val="21"/>
        </w:rPr>
        <w:t xml:space="preserve"> </w:t>
      </w:r>
      <w:r w:rsidRPr="00DA54FA">
        <w:rPr>
          <w:rFonts w:ascii="Abadi" w:hAnsi="Abadi" w:cs="*Arial-7341-Identity-H"/>
          <w:color w:val="141414"/>
          <w:sz w:val="21"/>
          <w:szCs w:val="21"/>
        </w:rPr>
        <w:t>del hogar no remuneradas, mientras que los hombres destinan 8 horas</w:t>
      </w:r>
      <w:r w:rsidR="00E71792" w:rsidRPr="00DA54FA">
        <w:rPr>
          <w:rFonts w:ascii="Abadi" w:hAnsi="Abadi" w:cs="*Arial-7341-Identity-H"/>
          <w:color w:val="141414"/>
          <w:sz w:val="21"/>
          <w:szCs w:val="21"/>
        </w:rPr>
        <w:t xml:space="preserve"> </w:t>
      </w:r>
      <w:r w:rsidRPr="00DA54FA">
        <w:rPr>
          <w:rFonts w:ascii="Abadi" w:hAnsi="Abadi" w:cs="*Arial-7341-Identity-H"/>
          <w:color w:val="141414"/>
          <w:sz w:val="21"/>
          <w:szCs w:val="21"/>
        </w:rPr>
        <w:t>semanales.</w:t>
      </w:r>
    </w:p>
    <w:p w14:paraId="2F50732F" w14:textId="77777777" w:rsidR="00DA54FA" w:rsidRDefault="005767CC" w:rsidP="00D7099D">
      <w:pPr>
        <w:pStyle w:val="Prrafodelista"/>
        <w:numPr>
          <w:ilvl w:val="0"/>
          <w:numId w:val="59"/>
        </w:numPr>
        <w:autoSpaceDE w:val="0"/>
        <w:autoSpaceDN w:val="0"/>
        <w:adjustRightInd w:val="0"/>
        <w:jc w:val="both"/>
        <w:rPr>
          <w:rFonts w:ascii="Abadi" w:hAnsi="Abadi" w:cs="*Arial-7341-Identity-H"/>
          <w:color w:val="141414"/>
          <w:sz w:val="21"/>
          <w:szCs w:val="21"/>
        </w:rPr>
      </w:pPr>
      <w:r w:rsidRPr="00DA54FA">
        <w:rPr>
          <w:rFonts w:ascii="Abadi" w:hAnsi="Abadi" w:cs="*Arial-7341-Identity-H"/>
          <w:color w:val="141414"/>
          <w:sz w:val="21"/>
          <w:szCs w:val="21"/>
        </w:rPr>
        <w:t>39% es la prevalencia de violencia de pareja a lo largo de la vida reportada</w:t>
      </w:r>
      <w:r w:rsidR="00E71792" w:rsidRPr="00DA54FA">
        <w:rPr>
          <w:rFonts w:ascii="Abadi" w:hAnsi="Abadi" w:cs="*Arial-7341-Identity-H"/>
          <w:color w:val="141414"/>
          <w:sz w:val="21"/>
          <w:szCs w:val="21"/>
        </w:rPr>
        <w:t xml:space="preserve"> </w:t>
      </w:r>
      <w:r w:rsidRPr="00DA54FA">
        <w:rPr>
          <w:rFonts w:ascii="Abadi" w:hAnsi="Abadi" w:cs="*Arial-7341-Identity-H"/>
          <w:color w:val="141414"/>
          <w:sz w:val="21"/>
          <w:szCs w:val="21"/>
        </w:rPr>
        <w:t>por las mujeres rurales</w:t>
      </w:r>
    </w:p>
    <w:p w14:paraId="636F3AB7" w14:textId="77777777" w:rsidR="00DA54FA" w:rsidRDefault="005767CC" w:rsidP="00D7099D">
      <w:pPr>
        <w:pStyle w:val="Prrafodelista"/>
        <w:numPr>
          <w:ilvl w:val="0"/>
          <w:numId w:val="59"/>
        </w:numPr>
        <w:autoSpaceDE w:val="0"/>
        <w:autoSpaceDN w:val="0"/>
        <w:adjustRightInd w:val="0"/>
        <w:jc w:val="both"/>
        <w:rPr>
          <w:rFonts w:ascii="Abadi" w:hAnsi="Abadi" w:cs="*Arial-7341-Identity-H"/>
          <w:color w:val="141414"/>
          <w:sz w:val="21"/>
          <w:szCs w:val="21"/>
        </w:rPr>
      </w:pPr>
      <w:r w:rsidRPr="00DA54FA">
        <w:rPr>
          <w:rFonts w:ascii="Abadi" w:hAnsi="Abadi" w:cs="*Arial-7341-Identity-H"/>
          <w:color w:val="141414"/>
          <w:sz w:val="21"/>
          <w:szCs w:val="21"/>
        </w:rPr>
        <w:t>6.3 horas semanales dedican las mujeres indígenas a desgranar el maíz, a o moler el nixtamal o a hacer tortillas de maíz o trigo para sus hogares, mientras que los hombres contribuyen con 2.77 horas de dichas actividades.</w:t>
      </w:r>
    </w:p>
    <w:p w14:paraId="20B05C04" w14:textId="77777777" w:rsidR="00DA54FA" w:rsidRDefault="005767CC" w:rsidP="00D7099D">
      <w:pPr>
        <w:pStyle w:val="Prrafodelista"/>
        <w:numPr>
          <w:ilvl w:val="0"/>
          <w:numId w:val="59"/>
        </w:numPr>
        <w:autoSpaceDE w:val="0"/>
        <w:autoSpaceDN w:val="0"/>
        <w:adjustRightInd w:val="0"/>
        <w:jc w:val="both"/>
        <w:rPr>
          <w:rFonts w:ascii="Abadi" w:hAnsi="Abadi" w:cs="*Arial-7341-Identity-H"/>
          <w:color w:val="141414"/>
          <w:sz w:val="21"/>
          <w:szCs w:val="21"/>
        </w:rPr>
      </w:pPr>
      <w:r w:rsidRPr="00DA54FA">
        <w:rPr>
          <w:rFonts w:ascii="Abadi" w:hAnsi="Abadi" w:cs="*Arial-7341-Identity-H"/>
          <w:color w:val="141414"/>
          <w:sz w:val="21"/>
          <w:szCs w:val="21"/>
        </w:rPr>
        <w:t>En 2015, el promedio de años de estudio en mujeres rurales era de 6.6, frente</w:t>
      </w:r>
      <w:r w:rsidR="00E71792" w:rsidRPr="00DA54FA">
        <w:rPr>
          <w:rFonts w:ascii="Abadi" w:hAnsi="Abadi" w:cs="*Arial-7341-Identity-H"/>
          <w:color w:val="141414"/>
          <w:sz w:val="21"/>
          <w:szCs w:val="21"/>
        </w:rPr>
        <w:t xml:space="preserve"> </w:t>
      </w:r>
      <w:r w:rsidRPr="00DA54FA">
        <w:rPr>
          <w:rFonts w:ascii="Abadi" w:hAnsi="Abadi" w:cs="*Arial-7341-Identity-H"/>
          <w:color w:val="141414"/>
          <w:sz w:val="21"/>
          <w:szCs w:val="21"/>
        </w:rPr>
        <w:t xml:space="preserve">al promedio de 9 años en mujeres a nivel nacional (INEGI, 2015). </w:t>
      </w:r>
      <w:r w:rsidRPr="00DA54FA">
        <w:rPr>
          <w:rFonts w:ascii="Abadi" w:hAnsi="Abadi" w:cs="*Calibri-7340-Identity-H"/>
          <w:color w:val="161616"/>
          <w:sz w:val="21"/>
          <w:szCs w:val="21"/>
        </w:rPr>
        <w:t xml:space="preserve">   </w:t>
      </w:r>
    </w:p>
    <w:p w14:paraId="79C2660B" w14:textId="77777777" w:rsidR="00DA54FA" w:rsidRDefault="005767CC" w:rsidP="00D7099D">
      <w:pPr>
        <w:pStyle w:val="Prrafodelista"/>
        <w:numPr>
          <w:ilvl w:val="0"/>
          <w:numId w:val="59"/>
        </w:numPr>
        <w:autoSpaceDE w:val="0"/>
        <w:autoSpaceDN w:val="0"/>
        <w:adjustRightInd w:val="0"/>
        <w:jc w:val="both"/>
        <w:rPr>
          <w:rFonts w:ascii="Abadi" w:hAnsi="Abadi" w:cs="*Arial-7341-Identity-H"/>
          <w:color w:val="141414"/>
          <w:sz w:val="21"/>
          <w:szCs w:val="21"/>
        </w:rPr>
      </w:pPr>
      <w:r w:rsidRPr="00DA54FA">
        <w:rPr>
          <w:rFonts w:ascii="Abadi" w:hAnsi="Abadi" w:cs="*Arial-6382-Identity-H"/>
          <w:color w:val="141414"/>
          <w:sz w:val="21"/>
          <w:szCs w:val="21"/>
        </w:rPr>
        <w:t xml:space="preserve">2 de cada 3 muertes maternas que carecieron de atención médica en </w:t>
      </w:r>
      <w:r w:rsidRPr="00DA54FA">
        <w:rPr>
          <w:rFonts w:ascii="Abadi" w:hAnsi="Abadi" w:cs="*Arial-6382-Identity-H"/>
          <w:color w:val="141414"/>
          <w:sz w:val="21"/>
          <w:szCs w:val="21"/>
        </w:rPr>
        <w:lastRenderedPageBreak/>
        <w:t>2015</w:t>
      </w:r>
      <w:r w:rsidR="00E71792" w:rsidRPr="00DA54FA">
        <w:rPr>
          <w:rFonts w:ascii="Abadi" w:hAnsi="Abadi" w:cs="*Arial-6382-Identity-H"/>
          <w:color w:val="141414"/>
          <w:sz w:val="21"/>
          <w:szCs w:val="21"/>
        </w:rPr>
        <w:t xml:space="preserve"> </w:t>
      </w:r>
      <w:r w:rsidRPr="00DA54FA">
        <w:rPr>
          <w:rFonts w:ascii="Abadi" w:hAnsi="Abadi" w:cs="*Arial-6382-Identity-H"/>
          <w:color w:val="141414"/>
          <w:sz w:val="21"/>
          <w:szCs w:val="21"/>
        </w:rPr>
        <w:t>ocurrieron en localidades rurales (INEGI, 2015).</w:t>
      </w:r>
    </w:p>
    <w:p w14:paraId="251E744E" w14:textId="77777777" w:rsidR="00DA54FA" w:rsidRDefault="005767CC" w:rsidP="00D7099D">
      <w:pPr>
        <w:pStyle w:val="Prrafodelista"/>
        <w:numPr>
          <w:ilvl w:val="0"/>
          <w:numId w:val="59"/>
        </w:numPr>
        <w:autoSpaceDE w:val="0"/>
        <w:autoSpaceDN w:val="0"/>
        <w:adjustRightInd w:val="0"/>
        <w:jc w:val="both"/>
        <w:rPr>
          <w:rFonts w:ascii="Abadi" w:hAnsi="Abadi" w:cs="*Arial-7341-Identity-H"/>
          <w:color w:val="141414"/>
          <w:sz w:val="21"/>
          <w:szCs w:val="21"/>
        </w:rPr>
      </w:pPr>
      <w:r w:rsidRPr="00DA54FA">
        <w:rPr>
          <w:rFonts w:ascii="Abadi" w:hAnsi="Abadi" w:cs="*Arial-6382-Identity-H"/>
          <w:color w:val="141414"/>
          <w:sz w:val="21"/>
          <w:szCs w:val="21"/>
        </w:rPr>
        <w:t>Existen en la actualidad 32,202 núcleos agrarios en el país, con poco más de4.31 millones de ejidatarios y comuneros, de los cuales el 71 % son hombres</w:t>
      </w:r>
      <w:r w:rsidR="00E71792" w:rsidRPr="00DA54FA">
        <w:rPr>
          <w:rFonts w:ascii="Abadi" w:hAnsi="Abadi" w:cs="*Arial-6382-Identity-H"/>
          <w:color w:val="141414"/>
          <w:sz w:val="21"/>
          <w:szCs w:val="21"/>
        </w:rPr>
        <w:t xml:space="preserve"> </w:t>
      </w:r>
      <w:r w:rsidRPr="00DA54FA">
        <w:rPr>
          <w:rFonts w:ascii="Abadi" w:hAnsi="Abadi" w:cs="*Arial-6382-Identity-H"/>
          <w:color w:val="141414"/>
          <w:sz w:val="21"/>
          <w:szCs w:val="21"/>
        </w:rPr>
        <w:t>y solo el 29% son mujeres (RAN, febrero de 2020).</w:t>
      </w:r>
    </w:p>
    <w:p w14:paraId="2C491238" w14:textId="77777777" w:rsidR="00DA54FA" w:rsidRDefault="005767CC" w:rsidP="00D7099D">
      <w:pPr>
        <w:pStyle w:val="Prrafodelista"/>
        <w:numPr>
          <w:ilvl w:val="0"/>
          <w:numId w:val="59"/>
        </w:numPr>
        <w:autoSpaceDE w:val="0"/>
        <w:autoSpaceDN w:val="0"/>
        <w:adjustRightInd w:val="0"/>
        <w:jc w:val="both"/>
        <w:rPr>
          <w:rFonts w:ascii="Abadi" w:hAnsi="Abadi" w:cs="*Arial-7341-Identity-H"/>
          <w:color w:val="141414"/>
          <w:sz w:val="21"/>
          <w:szCs w:val="21"/>
        </w:rPr>
      </w:pPr>
      <w:r w:rsidRPr="00DA54FA">
        <w:rPr>
          <w:rFonts w:ascii="Abadi" w:hAnsi="Abadi" w:cs="*Arial-6382-Identity-H"/>
          <w:color w:val="141414"/>
          <w:sz w:val="21"/>
          <w:szCs w:val="21"/>
        </w:rPr>
        <w:t>Actualmente, de un total de 1 millón 416 mil 206 ejidatarias, comuneras, posesionarias y avecindadas, solo 6.63% de ellas ocupa un cargo en el</w:t>
      </w:r>
      <w:r w:rsidR="00E71792" w:rsidRPr="00DA54FA">
        <w:rPr>
          <w:rFonts w:ascii="Abadi" w:hAnsi="Abadi" w:cs="*Arial-6382-Identity-H"/>
          <w:color w:val="141414"/>
          <w:sz w:val="21"/>
          <w:szCs w:val="21"/>
        </w:rPr>
        <w:t xml:space="preserve"> </w:t>
      </w:r>
      <w:r w:rsidRPr="00DA54FA">
        <w:rPr>
          <w:rFonts w:ascii="Abadi" w:hAnsi="Abadi" w:cs="*Arial-6382-Identity-H"/>
          <w:color w:val="141414"/>
          <w:sz w:val="21"/>
          <w:szCs w:val="21"/>
        </w:rPr>
        <w:t>Comisariado Ejidal o de Bienes Comunales o en el Consejo de Vigilancia, ya</w:t>
      </w:r>
      <w:r w:rsidR="00E71792" w:rsidRPr="00DA54FA">
        <w:rPr>
          <w:rFonts w:ascii="Abadi" w:hAnsi="Abadi" w:cs="*Arial-6382-Identity-H"/>
          <w:color w:val="141414"/>
          <w:sz w:val="21"/>
          <w:szCs w:val="21"/>
        </w:rPr>
        <w:t xml:space="preserve"> </w:t>
      </w:r>
      <w:r w:rsidRPr="00DA54FA">
        <w:rPr>
          <w:rFonts w:ascii="Abadi" w:hAnsi="Abadi" w:cs="*Arial-6382-Identity-H"/>
          <w:color w:val="141414"/>
          <w:sz w:val="21"/>
          <w:szCs w:val="21"/>
        </w:rPr>
        <w:t>sea como titular o como suplente.</w:t>
      </w:r>
    </w:p>
    <w:p w14:paraId="5A4ADCED" w14:textId="77777777" w:rsidR="00DA54FA" w:rsidRDefault="005767CC" w:rsidP="00D7099D">
      <w:pPr>
        <w:pStyle w:val="Prrafodelista"/>
        <w:numPr>
          <w:ilvl w:val="0"/>
          <w:numId w:val="59"/>
        </w:numPr>
        <w:autoSpaceDE w:val="0"/>
        <w:autoSpaceDN w:val="0"/>
        <w:adjustRightInd w:val="0"/>
        <w:jc w:val="both"/>
        <w:rPr>
          <w:rFonts w:ascii="Abadi" w:hAnsi="Abadi" w:cs="*Arial-7341-Identity-H"/>
          <w:color w:val="141414"/>
          <w:sz w:val="21"/>
          <w:szCs w:val="21"/>
        </w:rPr>
      </w:pPr>
      <w:r w:rsidRPr="00DA54FA">
        <w:rPr>
          <w:rFonts w:ascii="Abadi" w:hAnsi="Abadi" w:cs="*Arial-6382-Identity-H"/>
          <w:color w:val="141414"/>
          <w:sz w:val="21"/>
          <w:szCs w:val="21"/>
        </w:rPr>
        <w:t>En el caso de los posesionarios, solo un 27% son mujeres, mientras que el</w:t>
      </w:r>
      <w:r w:rsidR="00E71792" w:rsidRPr="00DA54FA">
        <w:rPr>
          <w:rFonts w:ascii="Abadi" w:hAnsi="Abadi" w:cs="*Arial-6382-Identity-H"/>
          <w:color w:val="141414"/>
          <w:sz w:val="21"/>
          <w:szCs w:val="21"/>
        </w:rPr>
        <w:t xml:space="preserve"> </w:t>
      </w:r>
      <w:r w:rsidRPr="00DA54FA">
        <w:rPr>
          <w:rFonts w:ascii="Abadi" w:hAnsi="Abadi" w:cs="*Arial-6382-Identity-H"/>
          <w:color w:val="141414"/>
          <w:sz w:val="21"/>
          <w:szCs w:val="21"/>
        </w:rPr>
        <w:t>73% son hombres; en algunas comunidades de México este derecho lo</w:t>
      </w:r>
      <w:r w:rsidR="00E71792" w:rsidRPr="00DA54FA">
        <w:rPr>
          <w:rFonts w:ascii="Abadi" w:hAnsi="Abadi" w:cs="*Arial-6382-Identity-H"/>
          <w:color w:val="141414"/>
          <w:sz w:val="21"/>
          <w:szCs w:val="21"/>
        </w:rPr>
        <w:t xml:space="preserve"> </w:t>
      </w:r>
      <w:r w:rsidRPr="00DA54FA">
        <w:rPr>
          <w:rFonts w:ascii="Abadi" w:hAnsi="Abadi" w:cs="*Arial-6382-Identity-H"/>
          <w:color w:val="141414"/>
          <w:sz w:val="21"/>
          <w:szCs w:val="21"/>
        </w:rPr>
        <w:t>adquieren las mujeres cuando enviudan.</w:t>
      </w:r>
    </w:p>
    <w:p w14:paraId="2624A944" w14:textId="1F7B5A7B" w:rsidR="005767CC" w:rsidRPr="00DA54FA" w:rsidRDefault="005767CC" w:rsidP="00D7099D">
      <w:pPr>
        <w:pStyle w:val="Prrafodelista"/>
        <w:numPr>
          <w:ilvl w:val="0"/>
          <w:numId w:val="59"/>
        </w:numPr>
        <w:autoSpaceDE w:val="0"/>
        <w:autoSpaceDN w:val="0"/>
        <w:adjustRightInd w:val="0"/>
        <w:jc w:val="both"/>
        <w:rPr>
          <w:rFonts w:ascii="Abadi" w:hAnsi="Abadi" w:cs="*Arial-7341-Identity-H"/>
          <w:color w:val="141414"/>
          <w:sz w:val="21"/>
          <w:szCs w:val="21"/>
        </w:rPr>
      </w:pPr>
      <w:r w:rsidRPr="00DA54FA">
        <w:rPr>
          <w:rFonts w:ascii="Abadi" w:hAnsi="Abadi" w:cs="*Arial-6382-Identity-H"/>
          <w:color w:val="141414"/>
          <w:sz w:val="21"/>
          <w:szCs w:val="21"/>
        </w:rPr>
        <w:t>Por último, 29% corresponde a mujeres avecindadas y los hombres</w:t>
      </w:r>
      <w:r w:rsidR="00E71792" w:rsidRPr="00DA54FA">
        <w:rPr>
          <w:rFonts w:ascii="Abadi" w:hAnsi="Abadi" w:cs="*Arial-6382-Identity-H"/>
          <w:color w:val="141414"/>
          <w:sz w:val="21"/>
          <w:szCs w:val="21"/>
        </w:rPr>
        <w:t xml:space="preserve"> </w:t>
      </w:r>
      <w:r w:rsidRPr="00DA54FA">
        <w:rPr>
          <w:rFonts w:ascii="Abadi" w:hAnsi="Abadi" w:cs="*Arial-6382-Identity-H"/>
          <w:color w:val="141414"/>
          <w:sz w:val="21"/>
          <w:szCs w:val="21"/>
        </w:rPr>
        <w:t>representan 71 %, esto significa que las mujeres tienen menos posibilidades</w:t>
      </w:r>
      <w:r w:rsidR="00E71792" w:rsidRPr="00DA54FA">
        <w:rPr>
          <w:rFonts w:ascii="Abadi" w:hAnsi="Abadi" w:cs="*Arial-6382-Identity-H"/>
          <w:color w:val="141414"/>
          <w:sz w:val="21"/>
          <w:szCs w:val="21"/>
        </w:rPr>
        <w:t xml:space="preserve"> </w:t>
      </w:r>
      <w:r w:rsidRPr="00DA54FA">
        <w:rPr>
          <w:rFonts w:ascii="Abadi" w:hAnsi="Abadi" w:cs="*Arial-6382-Identity-H"/>
          <w:color w:val="141414"/>
          <w:sz w:val="21"/>
          <w:szCs w:val="21"/>
        </w:rPr>
        <w:t>para la posesión de parcelas y acceso de uso común.</w:t>
      </w:r>
    </w:p>
    <w:p w14:paraId="677E6640" w14:textId="77777777" w:rsidR="005767CC" w:rsidRPr="005767CC" w:rsidRDefault="005767CC" w:rsidP="007A2097">
      <w:pPr>
        <w:pStyle w:val="Prrafodelista"/>
        <w:autoSpaceDE w:val="0"/>
        <w:autoSpaceDN w:val="0"/>
        <w:adjustRightInd w:val="0"/>
        <w:ind w:left="0"/>
        <w:jc w:val="both"/>
        <w:rPr>
          <w:rFonts w:ascii="Abadi" w:hAnsi="Abadi" w:cs="*Arial-6382-Identity-H"/>
          <w:color w:val="141414"/>
          <w:sz w:val="21"/>
          <w:szCs w:val="21"/>
        </w:rPr>
      </w:pPr>
    </w:p>
    <w:p w14:paraId="760D7591" w14:textId="77777777" w:rsidR="005767CC" w:rsidRPr="005767CC" w:rsidRDefault="005767CC" w:rsidP="007A2097">
      <w:pPr>
        <w:pStyle w:val="Prrafodelista"/>
        <w:autoSpaceDE w:val="0"/>
        <w:autoSpaceDN w:val="0"/>
        <w:adjustRightInd w:val="0"/>
        <w:ind w:left="0"/>
        <w:jc w:val="both"/>
        <w:rPr>
          <w:rFonts w:ascii="Abadi" w:hAnsi="Abadi" w:cs="*Arial-6382-Identity-H"/>
          <w:color w:val="141414"/>
          <w:sz w:val="21"/>
          <w:szCs w:val="21"/>
        </w:rPr>
      </w:pPr>
      <w:r w:rsidRPr="005767CC">
        <w:rPr>
          <w:rFonts w:ascii="Abadi" w:hAnsi="Abadi" w:cs="*Arial-6382-Identity-H"/>
          <w:color w:val="141414"/>
          <w:sz w:val="21"/>
          <w:szCs w:val="21"/>
        </w:rPr>
        <w:t>Por lo que existen diversos instrumentos internacionales para los derechos de las mujeres rurales a fin de avanzar en la igualdad sustantiva, esto es: la igualdad material, real y estructural. Por ejemplo, la Declaración Universal de Derechos Humanos, el Pacto Internacional de Derechos Civiles y Políticos y el Pacto Internacional de Derechos Económicos, Sociales y Culturales.</w:t>
      </w:r>
    </w:p>
    <w:p w14:paraId="7D64283E" w14:textId="22E05168" w:rsidR="005767CC" w:rsidRPr="005767CC" w:rsidRDefault="005767CC" w:rsidP="007A2097">
      <w:pPr>
        <w:pStyle w:val="Prrafodelista"/>
        <w:autoSpaceDE w:val="0"/>
        <w:autoSpaceDN w:val="0"/>
        <w:adjustRightInd w:val="0"/>
        <w:ind w:left="0"/>
        <w:jc w:val="both"/>
        <w:rPr>
          <w:rFonts w:ascii="Abadi" w:hAnsi="Abadi" w:cs="*Arial-6382-Identity-H"/>
          <w:color w:val="141414"/>
          <w:sz w:val="21"/>
          <w:szCs w:val="21"/>
        </w:rPr>
      </w:pPr>
    </w:p>
    <w:p w14:paraId="0C8C63A2" w14:textId="4BB383BF" w:rsidR="005767CC" w:rsidRPr="005767CC" w:rsidRDefault="005767CC" w:rsidP="007A2097">
      <w:pPr>
        <w:pStyle w:val="Prrafodelista"/>
        <w:autoSpaceDE w:val="0"/>
        <w:autoSpaceDN w:val="0"/>
        <w:adjustRightInd w:val="0"/>
        <w:ind w:left="0"/>
        <w:jc w:val="both"/>
        <w:rPr>
          <w:rFonts w:ascii="Abadi" w:hAnsi="Abadi" w:cs="*Arial-6382-Identity-H"/>
          <w:color w:val="141414"/>
          <w:sz w:val="21"/>
          <w:szCs w:val="21"/>
        </w:rPr>
      </w:pPr>
      <w:r w:rsidRPr="005767CC">
        <w:rPr>
          <w:rFonts w:ascii="Abadi" w:hAnsi="Abadi" w:cs="*Arial-6382-Identity-H"/>
          <w:color w:val="141414"/>
          <w:sz w:val="21"/>
          <w:szCs w:val="21"/>
        </w:rPr>
        <w:t>En el ámbito interamericano, la Declaración Americana de los Derechos y Deberes</w:t>
      </w:r>
      <w:r w:rsidR="00E71792">
        <w:rPr>
          <w:rFonts w:ascii="Abadi" w:hAnsi="Abadi" w:cs="*Arial-6382-Identity-H"/>
          <w:color w:val="141414"/>
          <w:sz w:val="21"/>
          <w:szCs w:val="21"/>
        </w:rPr>
        <w:t xml:space="preserve"> </w:t>
      </w:r>
      <w:r w:rsidRPr="005767CC">
        <w:rPr>
          <w:rFonts w:ascii="Abadi" w:hAnsi="Abadi" w:cs="*Arial-6382-Identity-H"/>
          <w:color w:val="141414"/>
          <w:sz w:val="21"/>
          <w:szCs w:val="21"/>
        </w:rPr>
        <w:t>del Hombre y la Convención Americana sobre Derechos Humanos (Pacto de San</w:t>
      </w:r>
      <w:r w:rsidR="00E71792">
        <w:rPr>
          <w:rFonts w:ascii="Abadi" w:hAnsi="Abadi" w:cs="*Arial-6382-Identity-H"/>
          <w:color w:val="141414"/>
          <w:sz w:val="21"/>
          <w:szCs w:val="21"/>
        </w:rPr>
        <w:t xml:space="preserve"> </w:t>
      </w:r>
      <w:r w:rsidRPr="005767CC">
        <w:rPr>
          <w:rFonts w:ascii="Abadi" w:hAnsi="Abadi" w:cs="*Arial-6382-Identity-H"/>
          <w:color w:val="141414"/>
          <w:sz w:val="21"/>
          <w:szCs w:val="21"/>
        </w:rPr>
        <w:t>José).</w:t>
      </w:r>
    </w:p>
    <w:p w14:paraId="00D707CF" w14:textId="77777777" w:rsidR="005767CC" w:rsidRPr="005767CC" w:rsidRDefault="005767CC" w:rsidP="007A2097">
      <w:pPr>
        <w:pStyle w:val="Prrafodelista"/>
        <w:autoSpaceDE w:val="0"/>
        <w:autoSpaceDN w:val="0"/>
        <w:adjustRightInd w:val="0"/>
        <w:ind w:left="0"/>
        <w:jc w:val="both"/>
        <w:rPr>
          <w:rFonts w:ascii="Abadi" w:hAnsi="Abadi" w:cs="*Calibri-6381-Identity-H"/>
          <w:color w:val="161616"/>
          <w:sz w:val="21"/>
          <w:szCs w:val="21"/>
        </w:rPr>
      </w:pPr>
    </w:p>
    <w:p w14:paraId="54534E64" w14:textId="17C0F7B2" w:rsidR="005767CC" w:rsidRPr="005767CC" w:rsidRDefault="005767CC" w:rsidP="007A2097">
      <w:pPr>
        <w:pStyle w:val="Prrafodelista"/>
        <w:autoSpaceDE w:val="0"/>
        <w:autoSpaceDN w:val="0"/>
        <w:adjustRightInd w:val="0"/>
        <w:ind w:left="0"/>
        <w:jc w:val="both"/>
        <w:rPr>
          <w:rFonts w:ascii="Abadi" w:hAnsi="Abadi" w:cs="*Arial-8466-Identity-H"/>
          <w:color w:val="141414"/>
          <w:sz w:val="21"/>
          <w:szCs w:val="21"/>
        </w:rPr>
      </w:pPr>
      <w:r w:rsidRPr="005767CC">
        <w:rPr>
          <w:rFonts w:ascii="Abadi" w:hAnsi="Abadi" w:cs="*Arial-8466-Identity-H"/>
          <w:color w:val="141414"/>
          <w:sz w:val="21"/>
          <w:szCs w:val="21"/>
        </w:rPr>
        <w:t>Por su parte, la Convención sobre la Eliminación de todas las formas de Discriminación contra la Mujer (CEDAW) es el principal instrumento internacional de protección de los derechos de las mujeres.</w:t>
      </w:r>
    </w:p>
    <w:p w14:paraId="1AF32308" w14:textId="6AEE9207" w:rsidR="005767CC" w:rsidRPr="005767CC" w:rsidRDefault="005767CC" w:rsidP="007A2097">
      <w:pPr>
        <w:pStyle w:val="Prrafodelista"/>
        <w:autoSpaceDE w:val="0"/>
        <w:autoSpaceDN w:val="0"/>
        <w:adjustRightInd w:val="0"/>
        <w:ind w:left="0"/>
        <w:jc w:val="both"/>
        <w:rPr>
          <w:rFonts w:ascii="Abadi" w:hAnsi="Abadi" w:cs="*Arial-8466-Identity-H"/>
          <w:color w:val="141414"/>
          <w:sz w:val="21"/>
          <w:szCs w:val="21"/>
        </w:rPr>
      </w:pPr>
    </w:p>
    <w:p w14:paraId="7C939A88" w14:textId="556D496F" w:rsidR="005767CC" w:rsidRPr="005767CC" w:rsidRDefault="005767CC" w:rsidP="007A2097">
      <w:pPr>
        <w:pStyle w:val="Prrafodelista"/>
        <w:autoSpaceDE w:val="0"/>
        <w:autoSpaceDN w:val="0"/>
        <w:adjustRightInd w:val="0"/>
        <w:ind w:left="0"/>
        <w:jc w:val="both"/>
        <w:rPr>
          <w:rFonts w:ascii="Abadi" w:hAnsi="Abadi" w:cs="*Times New Roman-Italic-8458-Id"/>
          <w:i/>
          <w:iCs/>
          <w:color w:val="141414"/>
          <w:sz w:val="21"/>
          <w:szCs w:val="21"/>
        </w:rPr>
      </w:pPr>
      <w:r w:rsidRPr="005767CC">
        <w:rPr>
          <w:rFonts w:ascii="Abadi" w:hAnsi="Abadi" w:cs="*Arial-8466-Identity-H"/>
          <w:color w:val="141414"/>
          <w:sz w:val="21"/>
          <w:szCs w:val="21"/>
        </w:rPr>
        <w:t xml:space="preserve">Aunado a lo anterior, el Comité para la Eliminación de la Discriminación contra la </w:t>
      </w:r>
      <w:r w:rsidRPr="005767CC">
        <w:rPr>
          <w:rFonts w:ascii="Abadi" w:hAnsi="Abadi" w:cs="*Arial-8466-Identity-H"/>
          <w:color w:val="141414"/>
          <w:sz w:val="21"/>
          <w:szCs w:val="21"/>
        </w:rPr>
        <w:t xml:space="preserve">Mujer, Recomendación general núm. 34 dice que: </w:t>
      </w:r>
      <w:r w:rsidRPr="005767CC">
        <w:rPr>
          <w:rFonts w:ascii="Abadi" w:hAnsi="Abadi" w:cs="*Arial-Italic-8467-Identity-H"/>
          <w:i/>
          <w:iCs/>
          <w:color w:val="141414"/>
          <w:sz w:val="21"/>
          <w:szCs w:val="21"/>
        </w:rPr>
        <w:t xml:space="preserve">"Los Estados parte deberían adoptar leyes, políticas, normativas, programas, procedimientos administrativos y estructuras institucionales eficaces para asegurar el pleno desarrollo y adelanto de las mujeres rurales, con miras </w:t>
      </w:r>
      <w:r w:rsidRPr="005767CC">
        <w:rPr>
          <w:rFonts w:ascii="Abadi" w:hAnsi="Abadi" w:cs="*Arial-8466-Identity-H"/>
          <w:color w:val="141414"/>
          <w:sz w:val="21"/>
          <w:szCs w:val="21"/>
        </w:rPr>
        <w:t xml:space="preserve">a </w:t>
      </w:r>
      <w:r w:rsidRPr="005767CC">
        <w:rPr>
          <w:rFonts w:ascii="Abadi" w:hAnsi="Abadi" w:cs="*Arial-Italic-8467-Identity-H"/>
          <w:i/>
          <w:iCs/>
          <w:color w:val="141414"/>
          <w:sz w:val="21"/>
          <w:szCs w:val="21"/>
        </w:rPr>
        <w:t xml:space="preserve">garantizarles el ejercicio y disfrute de los derechos humanos y las libertades fundamentales en pie de igualdad con los hombres. </w:t>
      </w:r>
      <w:r>
        <w:rPr>
          <w:rStyle w:val="Refdenotaalpie"/>
          <w:rFonts w:ascii="Abadi" w:hAnsi="Abadi" w:cs="*Arial-Italic-8467-Identity-H"/>
          <w:i/>
          <w:iCs/>
          <w:color w:val="141414"/>
          <w:sz w:val="21"/>
          <w:szCs w:val="21"/>
        </w:rPr>
        <w:footnoteReference w:id="33"/>
      </w:r>
    </w:p>
    <w:p w14:paraId="459C4F30" w14:textId="77777777" w:rsidR="005767CC" w:rsidRPr="005767CC" w:rsidRDefault="005767CC" w:rsidP="007A2097">
      <w:pPr>
        <w:pStyle w:val="Prrafodelista"/>
        <w:autoSpaceDE w:val="0"/>
        <w:autoSpaceDN w:val="0"/>
        <w:adjustRightInd w:val="0"/>
        <w:ind w:left="0"/>
        <w:jc w:val="both"/>
        <w:rPr>
          <w:rFonts w:ascii="Abadi" w:hAnsi="Abadi" w:cs="*Times New Roman-Italic-8458-Id"/>
          <w:i/>
          <w:iCs/>
          <w:color w:val="141414"/>
          <w:sz w:val="21"/>
          <w:szCs w:val="21"/>
        </w:rPr>
      </w:pPr>
    </w:p>
    <w:p w14:paraId="1896C0FA" w14:textId="77777777" w:rsidR="005767CC" w:rsidRPr="005767CC" w:rsidRDefault="005767CC" w:rsidP="007A2097">
      <w:pPr>
        <w:pStyle w:val="Prrafodelista"/>
        <w:autoSpaceDE w:val="0"/>
        <w:autoSpaceDN w:val="0"/>
        <w:adjustRightInd w:val="0"/>
        <w:ind w:left="0"/>
        <w:jc w:val="both"/>
        <w:rPr>
          <w:rFonts w:ascii="Abadi" w:hAnsi="Abadi" w:cs="*Arial-8466-Identity-H"/>
          <w:color w:val="141414"/>
          <w:sz w:val="21"/>
          <w:szCs w:val="21"/>
        </w:rPr>
      </w:pPr>
      <w:r w:rsidRPr="005767CC">
        <w:rPr>
          <w:rFonts w:ascii="Abadi" w:hAnsi="Abadi" w:cs="*Arial-8466-Identity-H"/>
          <w:color w:val="141414"/>
          <w:sz w:val="21"/>
          <w:szCs w:val="21"/>
        </w:rPr>
        <w:t>Por lo que, el marco normativo específico para garantizar los derechos de las mujeres rurales ha tenido un avance progresivo -relacionado al adelanto en garantías generales de los derechos de las mujeres, la igualdad de género y el derecho al desarrollo-, encontrándose aún en proceso de construcción y fortalecimiento.</w:t>
      </w:r>
    </w:p>
    <w:p w14:paraId="6A75F6CF" w14:textId="77777777" w:rsidR="005767CC" w:rsidRPr="005767CC" w:rsidRDefault="005767CC" w:rsidP="007A2097">
      <w:pPr>
        <w:pStyle w:val="Prrafodelista"/>
        <w:autoSpaceDE w:val="0"/>
        <w:autoSpaceDN w:val="0"/>
        <w:adjustRightInd w:val="0"/>
        <w:ind w:left="0"/>
        <w:jc w:val="both"/>
        <w:rPr>
          <w:rFonts w:ascii="Abadi" w:hAnsi="Abadi" w:cs="*Arial-8466-Identity-H"/>
          <w:color w:val="141414"/>
          <w:sz w:val="21"/>
          <w:szCs w:val="21"/>
        </w:rPr>
      </w:pPr>
    </w:p>
    <w:p w14:paraId="4A8A41AF" w14:textId="77777777" w:rsidR="005767CC" w:rsidRPr="005767CC" w:rsidRDefault="005767CC" w:rsidP="007A2097">
      <w:pPr>
        <w:pStyle w:val="Prrafodelista"/>
        <w:autoSpaceDE w:val="0"/>
        <w:autoSpaceDN w:val="0"/>
        <w:adjustRightInd w:val="0"/>
        <w:ind w:left="0"/>
        <w:jc w:val="both"/>
        <w:rPr>
          <w:rFonts w:ascii="Abadi" w:hAnsi="Abadi" w:cs="*Microsoft Sans Serif-8470-Iden"/>
          <w:color w:val="141414"/>
          <w:sz w:val="21"/>
          <w:szCs w:val="21"/>
        </w:rPr>
      </w:pPr>
      <w:r w:rsidRPr="005767CC">
        <w:rPr>
          <w:rFonts w:ascii="Abadi" w:hAnsi="Abadi" w:cs="*Arial-8466-Identity-H"/>
          <w:color w:val="141414"/>
          <w:sz w:val="21"/>
          <w:szCs w:val="21"/>
        </w:rPr>
        <w:t>En México, contamos por ejemplo con Ley para el Desarrollo, Equidad y Empoderamiento de la Mujer Rural Veracruzana y con legislación que protege de manera general a la mujer rural.</w:t>
      </w:r>
      <w:r>
        <w:rPr>
          <w:rStyle w:val="Refdenotaalpie"/>
          <w:rFonts w:ascii="Abadi" w:hAnsi="Abadi" w:cs="*Arial-8466-Identity-H"/>
          <w:color w:val="141414"/>
          <w:sz w:val="21"/>
          <w:szCs w:val="21"/>
        </w:rPr>
        <w:footnoteReference w:id="34"/>
      </w:r>
    </w:p>
    <w:p w14:paraId="3506B24A" w14:textId="77777777" w:rsidR="005767CC" w:rsidRPr="005767CC" w:rsidRDefault="005767CC" w:rsidP="007A2097">
      <w:pPr>
        <w:pStyle w:val="Prrafodelista"/>
        <w:autoSpaceDE w:val="0"/>
        <w:autoSpaceDN w:val="0"/>
        <w:adjustRightInd w:val="0"/>
        <w:ind w:left="0"/>
        <w:jc w:val="both"/>
        <w:rPr>
          <w:rFonts w:ascii="Abadi" w:hAnsi="Abadi" w:cs="*Microsoft Sans Serif-8470-Iden"/>
          <w:color w:val="141414"/>
          <w:sz w:val="21"/>
          <w:szCs w:val="21"/>
        </w:rPr>
      </w:pPr>
    </w:p>
    <w:p w14:paraId="5CF280F2" w14:textId="77777777" w:rsidR="005767CC" w:rsidRPr="005767CC" w:rsidRDefault="005767CC" w:rsidP="007A2097">
      <w:pPr>
        <w:pStyle w:val="Prrafodelista"/>
        <w:autoSpaceDE w:val="0"/>
        <w:autoSpaceDN w:val="0"/>
        <w:adjustRightInd w:val="0"/>
        <w:ind w:left="0"/>
        <w:jc w:val="both"/>
        <w:rPr>
          <w:rFonts w:ascii="Abadi" w:hAnsi="Abadi" w:cs="*Arial-5702-Identity-H"/>
          <w:color w:val="141414"/>
          <w:sz w:val="21"/>
          <w:szCs w:val="21"/>
        </w:rPr>
      </w:pPr>
      <w:r w:rsidRPr="005767CC">
        <w:rPr>
          <w:rFonts w:ascii="Abadi" w:hAnsi="Abadi" w:cs="*Arial-8466-Identity-H"/>
          <w:color w:val="141414"/>
          <w:sz w:val="21"/>
          <w:szCs w:val="21"/>
        </w:rPr>
        <w:t xml:space="preserve">En ese sentido, se propone modificar la Ley de Fomento a la Agricultura Familiar del Estado de Guanajuato, a fin de mejorar la calidad de vida de las mujeres rurales, y consagrar medidas específicas encaminadas a acelerar la equidad entre el hombre y la mujer rural, así como prever que en los fondos, planes, programas y proyectos se incluirán las disposiciones que garanticen a las mujeres rurales el </w:t>
      </w:r>
      <w:r w:rsidRPr="005767CC">
        <w:rPr>
          <w:rFonts w:ascii="Abadi" w:hAnsi="Abadi" w:cs="*Arial-5702-Identity-H"/>
          <w:color w:val="141414"/>
          <w:sz w:val="21"/>
          <w:szCs w:val="21"/>
        </w:rPr>
        <w:t>derecho al empleo digno, oportunidades de acceso, contratación, promoción y capacitación, así como acceso de la mujer rural a los servicios de salud, educación y vivienda.</w:t>
      </w:r>
    </w:p>
    <w:p w14:paraId="5E49A95E" w14:textId="13CDF804" w:rsidR="005767CC" w:rsidRPr="005767CC" w:rsidRDefault="005767CC" w:rsidP="007A2097">
      <w:pPr>
        <w:pStyle w:val="Prrafodelista"/>
        <w:autoSpaceDE w:val="0"/>
        <w:autoSpaceDN w:val="0"/>
        <w:adjustRightInd w:val="0"/>
        <w:ind w:left="0"/>
        <w:jc w:val="both"/>
        <w:rPr>
          <w:rFonts w:ascii="Abadi" w:hAnsi="Abadi" w:cs="*Arial-5702-Identity-H"/>
          <w:color w:val="141414"/>
          <w:sz w:val="21"/>
          <w:szCs w:val="21"/>
        </w:rPr>
      </w:pPr>
    </w:p>
    <w:p w14:paraId="4AD5366C" w14:textId="64D3F571" w:rsidR="00D7099D" w:rsidRDefault="00D7099D" w:rsidP="007A2097">
      <w:pPr>
        <w:pStyle w:val="Prrafodelista"/>
        <w:autoSpaceDE w:val="0"/>
        <w:autoSpaceDN w:val="0"/>
        <w:adjustRightInd w:val="0"/>
        <w:ind w:left="0"/>
        <w:jc w:val="both"/>
        <w:rPr>
          <w:rFonts w:ascii="Abadi" w:hAnsi="Abadi" w:cs="*Arial-Bold-5703-Identity-H"/>
          <w:b/>
          <w:bCs/>
          <w:color w:val="131313"/>
          <w:sz w:val="21"/>
          <w:szCs w:val="21"/>
        </w:rPr>
      </w:pPr>
    </w:p>
    <w:p w14:paraId="73BA0375" w14:textId="2B7627EF" w:rsidR="005767CC" w:rsidRPr="005767CC" w:rsidRDefault="005767CC" w:rsidP="007A2097">
      <w:pPr>
        <w:pStyle w:val="Prrafodelista"/>
        <w:autoSpaceDE w:val="0"/>
        <w:autoSpaceDN w:val="0"/>
        <w:adjustRightInd w:val="0"/>
        <w:ind w:left="0"/>
        <w:jc w:val="both"/>
        <w:rPr>
          <w:rFonts w:ascii="Abadi" w:hAnsi="Abadi" w:cs="*Arial-Bold-5703-Identity-H"/>
          <w:b/>
          <w:bCs/>
          <w:color w:val="131313"/>
          <w:sz w:val="21"/>
          <w:szCs w:val="21"/>
        </w:rPr>
      </w:pPr>
      <w:r w:rsidRPr="005767CC">
        <w:rPr>
          <w:rFonts w:ascii="Abadi" w:hAnsi="Abadi" w:cs="*Arial-Bold-5703-Identity-H"/>
          <w:b/>
          <w:bCs/>
          <w:color w:val="131313"/>
          <w:sz w:val="21"/>
          <w:szCs w:val="21"/>
        </w:rPr>
        <w:t>Porque llego la hora de diseñar leyes, estrategias, políticas y programas en todos los temas que afectan las vidas de nuestras mujeres rurales.</w:t>
      </w:r>
    </w:p>
    <w:p w14:paraId="4223A7CC" w14:textId="643D4B5A" w:rsidR="005767CC" w:rsidRPr="005767CC" w:rsidRDefault="005767CC" w:rsidP="007A2097">
      <w:pPr>
        <w:pStyle w:val="Prrafodelista"/>
        <w:autoSpaceDE w:val="0"/>
        <w:autoSpaceDN w:val="0"/>
        <w:adjustRightInd w:val="0"/>
        <w:ind w:left="0"/>
        <w:jc w:val="both"/>
        <w:rPr>
          <w:rFonts w:ascii="Abadi" w:hAnsi="Abadi" w:cs="*Arial-Bold-5703-Identity-H"/>
          <w:b/>
          <w:bCs/>
          <w:color w:val="131313"/>
          <w:sz w:val="21"/>
          <w:szCs w:val="21"/>
        </w:rPr>
      </w:pPr>
    </w:p>
    <w:p w14:paraId="6CE92688" w14:textId="65954469" w:rsidR="005767CC" w:rsidRPr="005767CC" w:rsidRDefault="005767CC" w:rsidP="007A2097">
      <w:pPr>
        <w:pStyle w:val="Prrafodelista"/>
        <w:autoSpaceDE w:val="0"/>
        <w:autoSpaceDN w:val="0"/>
        <w:adjustRightInd w:val="0"/>
        <w:ind w:left="0"/>
        <w:jc w:val="both"/>
        <w:rPr>
          <w:rFonts w:ascii="Abadi" w:hAnsi="Abadi" w:cs="*Arial-Bold-5703-Identity-H"/>
          <w:b/>
          <w:bCs/>
          <w:color w:val="131313"/>
          <w:sz w:val="21"/>
          <w:szCs w:val="21"/>
        </w:rPr>
      </w:pPr>
      <w:r w:rsidRPr="005767CC">
        <w:rPr>
          <w:rFonts w:ascii="Abadi" w:hAnsi="Abadi" w:cs="*Arial-Bold-5703-Identity-H"/>
          <w:b/>
          <w:bCs/>
          <w:color w:val="131313"/>
          <w:sz w:val="21"/>
          <w:szCs w:val="21"/>
        </w:rPr>
        <w:t>¡En Acción Nacional escuchamos la voz de las mujeres rurales! Porque la voz de las mujeres trasciende, porque la voz de las mujeres se traduce en un Guanajuato más justo e igualitario.</w:t>
      </w:r>
    </w:p>
    <w:p w14:paraId="664C0213" w14:textId="16485CC5" w:rsidR="005767CC" w:rsidRPr="005767CC" w:rsidRDefault="005767CC" w:rsidP="007A2097">
      <w:pPr>
        <w:pStyle w:val="Prrafodelista"/>
        <w:tabs>
          <w:tab w:val="left" w:pos="2109"/>
        </w:tabs>
        <w:autoSpaceDE w:val="0"/>
        <w:autoSpaceDN w:val="0"/>
        <w:adjustRightInd w:val="0"/>
        <w:ind w:left="0"/>
        <w:jc w:val="both"/>
        <w:rPr>
          <w:rFonts w:ascii="Abadi" w:hAnsi="Abadi" w:cs="*Times New Roman-5692-Identity-"/>
          <w:color w:val="2474B1"/>
          <w:sz w:val="21"/>
          <w:szCs w:val="21"/>
        </w:rPr>
      </w:pPr>
      <w:r w:rsidRPr="005767CC">
        <w:rPr>
          <w:rFonts w:ascii="Abadi" w:hAnsi="Abadi" w:cs="*Times New Roman-5692-Identity-"/>
          <w:color w:val="2474B1"/>
          <w:sz w:val="21"/>
          <w:szCs w:val="21"/>
        </w:rPr>
        <w:lastRenderedPageBreak/>
        <w:tab/>
      </w:r>
    </w:p>
    <w:p w14:paraId="13CDF1A2" w14:textId="0CDE19BF" w:rsidR="00E71792" w:rsidRDefault="00521AF0" w:rsidP="007A2097">
      <w:pPr>
        <w:pStyle w:val="Prrafodelista"/>
        <w:autoSpaceDE w:val="0"/>
        <w:autoSpaceDN w:val="0"/>
        <w:adjustRightInd w:val="0"/>
        <w:ind w:left="0"/>
        <w:jc w:val="both"/>
        <w:rPr>
          <w:rFonts w:ascii="Abadi" w:hAnsi="Abadi" w:cs="*Arial-5702-Identity-H"/>
          <w:color w:val="141414"/>
          <w:sz w:val="21"/>
          <w:szCs w:val="21"/>
        </w:rPr>
      </w:pPr>
      <w:r w:rsidRPr="00305650">
        <w:rPr>
          <w:noProof/>
        </w:rPr>
        <w:drawing>
          <wp:anchor distT="0" distB="0" distL="114300" distR="114300" simplePos="0" relativeHeight="251659264" behindDoc="0" locked="0" layoutInCell="1" allowOverlap="1" wp14:anchorId="117BE836" wp14:editId="78BC526F">
            <wp:simplePos x="0" y="0"/>
            <wp:positionH relativeFrom="column">
              <wp:posOffset>502632</wp:posOffset>
            </wp:positionH>
            <wp:positionV relativeFrom="page">
              <wp:posOffset>786166</wp:posOffset>
            </wp:positionV>
            <wp:extent cx="1809750" cy="1026795"/>
            <wp:effectExtent l="0" t="0" r="0" b="1905"/>
            <wp:wrapSquare wrapText="bothSides"/>
            <wp:docPr id="5" name="Imagen 4">
              <a:extLst xmlns:a="http://schemas.openxmlformats.org/drawingml/2006/main">
                <a:ext uri="{FF2B5EF4-FFF2-40B4-BE49-F238E27FC236}">
                  <a16:creationId xmlns:a16="http://schemas.microsoft.com/office/drawing/2014/main" id="{E5770696-9931-55E4-38BE-5AF6236D9B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E5770696-9931-55E4-38BE-5AF6236D9B5E}"/>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l="31225" t="39184" r="36020" b="27755"/>
                    <a:stretch/>
                  </pic:blipFill>
                  <pic:spPr>
                    <a:xfrm>
                      <a:off x="0" y="0"/>
                      <a:ext cx="1809750" cy="1026795"/>
                    </a:xfrm>
                    <a:prstGeom prst="rect">
                      <a:avLst/>
                    </a:prstGeom>
                  </pic:spPr>
                </pic:pic>
              </a:graphicData>
            </a:graphic>
            <wp14:sizeRelH relativeFrom="margin">
              <wp14:pctWidth>0</wp14:pctWidth>
            </wp14:sizeRelH>
            <wp14:sizeRelV relativeFrom="margin">
              <wp14:pctHeight>0</wp14:pctHeight>
            </wp14:sizeRelV>
          </wp:anchor>
        </w:drawing>
      </w:r>
    </w:p>
    <w:p w14:paraId="53141366" w14:textId="77777777" w:rsidR="00521AF0" w:rsidRDefault="00521AF0" w:rsidP="007A2097">
      <w:pPr>
        <w:pStyle w:val="Prrafodelista"/>
        <w:autoSpaceDE w:val="0"/>
        <w:autoSpaceDN w:val="0"/>
        <w:adjustRightInd w:val="0"/>
        <w:ind w:left="0"/>
        <w:jc w:val="both"/>
        <w:rPr>
          <w:rFonts w:ascii="Abadi" w:hAnsi="Abadi" w:cs="*Arial-5702-Identity-H"/>
          <w:color w:val="141414"/>
          <w:sz w:val="21"/>
          <w:szCs w:val="21"/>
        </w:rPr>
      </w:pPr>
    </w:p>
    <w:p w14:paraId="4F9884D7" w14:textId="3F8E59B4" w:rsidR="005767CC" w:rsidRPr="005767CC" w:rsidRDefault="005767CC" w:rsidP="007A2097">
      <w:pPr>
        <w:pStyle w:val="Prrafodelista"/>
        <w:autoSpaceDE w:val="0"/>
        <w:autoSpaceDN w:val="0"/>
        <w:adjustRightInd w:val="0"/>
        <w:ind w:left="0"/>
        <w:jc w:val="both"/>
        <w:rPr>
          <w:rFonts w:ascii="Abadi" w:hAnsi="Abadi" w:cs="*Arial-5702-Identity-H"/>
          <w:color w:val="141414"/>
          <w:sz w:val="21"/>
          <w:szCs w:val="21"/>
        </w:rPr>
      </w:pPr>
      <w:r w:rsidRPr="005767CC">
        <w:rPr>
          <w:rFonts w:ascii="Abadi" w:hAnsi="Abadi" w:cs="*Arial-5702-Identity-H"/>
          <w:color w:val="141414"/>
          <w:sz w:val="21"/>
          <w:szCs w:val="21"/>
        </w:rPr>
        <w:t>Finalmente, de conformidad con lo dispuesto por el artículo 209 de la Ley Orgánica</w:t>
      </w:r>
      <w:r w:rsidR="00E71792">
        <w:rPr>
          <w:rFonts w:ascii="Abadi" w:hAnsi="Abadi" w:cs="*Arial-5702-Identity-H"/>
          <w:color w:val="141414"/>
          <w:sz w:val="21"/>
          <w:szCs w:val="21"/>
        </w:rPr>
        <w:t xml:space="preserve"> </w:t>
      </w:r>
      <w:r w:rsidRPr="005767CC">
        <w:rPr>
          <w:rFonts w:ascii="Abadi" w:hAnsi="Abadi" w:cs="*Arial-5702-Identity-H"/>
          <w:color w:val="141414"/>
          <w:sz w:val="21"/>
          <w:szCs w:val="21"/>
        </w:rPr>
        <w:t>del Poder Legislativo del Estado de Guanajuato, manifestamos que de ser aprobada</w:t>
      </w:r>
      <w:r w:rsidR="00E71792">
        <w:rPr>
          <w:rFonts w:ascii="Abadi" w:hAnsi="Abadi" w:cs="*Arial-5702-Identity-H"/>
          <w:color w:val="141414"/>
          <w:sz w:val="21"/>
          <w:szCs w:val="21"/>
        </w:rPr>
        <w:t xml:space="preserve"> </w:t>
      </w:r>
      <w:r w:rsidRPr="005767CC">
        <w:rPr>
          <w:rFonts w:ascii="Abadi" w:hAnsi="Abadi" w:cs="*Arial-5702-Identity-H"/>
          <w:color w:val="141414"/>
          <w:sz w:val="21"/>
          <w:szCs w:val="21"/>
        </w:rPr>
        <w:t>la presente iniciativa se tendrían los siguientes impactos:</w:t>
      </w:r>
    </w:p>
    <w:p w14:paraId="292D1229" w14:textId="23584865" w:rsidR="005767CC" w:rsidRPr="005767CC" w:rsidRDefault="005767CC" w:rsidP="007A2097">
      <w:pPr>
        <w:pStyle w:val="Prrafodelista"/>
        <w:autoSpaceDE w:val="0"/>
        <w:autoSpaceDN w:val="0"/>
        <w:adjustRightInd w:val="0"/>
        <w:ind w:left="0"/>
        <w:jc w:val="both"/>
        <w:rPr>
          <w:rFonts w:ascii="Abadi" w:hAnsi="Abadi" w:cs="*Arial-5702-Identity-H"/>
          <w:color w:val="141414"/>
          <w:sz w:val="21"/>
          <w:szCs w:val="21"/>
        </w:rPr>
      </w:pPr>
    </w:p>
    <w:p w14:paraId="25755299" w14:textId="419F1E68" w:rsidR="005767CC" w:rsidRPr="005767CC" w:rsidRDefault="005767CC">
      <w:pPr>
        <w:pStyle w:val="Prrafodelista"/>
        <w:numPr>
          <w:ilvl w:val="0"/>
          <w:numId w:val="19"/>
        </w:numPr>
        <w:autoSpaceDE w:val="0"/>
        <w:autoSpaceDN w:val="0"/>
        <w:adjustRightInd w:val="0"/>
        <w:jc w:val="both"/>
        <w:rPr>
          <w:rFonts w:ascii="Abadi" w:hAnsi="Abadi" w:cs="*Arial-5702-Identity-H"/>
          <w:color w:val="131313"/>
          <w:sz w:val="21"/>
          <w:szCs w:val="21"/>
        </w:rPr>
      </w:pPr>
      <w:r w:rsidRPr="005767CC">
        <w:rPr>
          <w:rFonts w:ascii="Abadi" w:hAnsi="Abadi" w:cs="*Arial-Bold-5703-Identity-H"/>
          <w:b/>
          <w:bCs/>
          <w:color w:val="131313"/>
          <w:sz w:val="21"/>
          <w:szCs w:val="21"/>
        </w:rPr>
        <w:t xml:space="preserve">Impacto jurídico. </w:t>
      </w:r>
      <w:r w:rsidRPr="005767CC">
        <w:rPr>
          <w:rFonts w:ascii="Abadi" w:hAnsi="Abadi" w:cs="*Arial-5702-Identity-H"/>
          <w:color w:val="131313"/>
          <w:sz w:val="21"/>
          <w:szCs w:val="21"/>
        </w:rPr>
        <w:t>Se adicionan diversas disposiciones en la Ley de</w:t>
      </w:r>
      <w:r w:rsidR="00E71792">
        <w:rPr>
          <w:rFonts w:ascii="Abadi" w:hAnsi="Abadi" w:cs="*Arial-5702-Identity-H"/>
          <w:color w:val="131313"/>
          <w:sz w:val="21"/>
          <w:szCs w:val="21"/>
        </w:rPr>
        <w:t xml:space="preserve"> </w:t>
      </w:r>
      <w:r w:rsidRPr="005767CC">
        <w:rPr>
          <w:rFonts w:ascii="Abadi" w:hAnsi="Abadi" w:cs="*Arial-5702-Identity-H"/>
          <w:color w:val="131313"/>
          <w:sz w:val="21"/>
          <w:szCs w:val="21"/>
        </w:rPr>
        <w:t>Fomento a la Agricultura Familiar del Estado de Guanajuato, con la</w:t>
      </w:r>
      <w:r w:rsidR="00E71792">
        <w:rPr>
          <w:rFonts w:ascii="Abadi" w:hAnsi="Abadi" w:cs="*Arial-5702-Identity-H"/>
          <w:color w:val="131313"/>
          <w:sz w:val="21"/>
          <w:szCs w:val="21"/>
        </w:rPr>
        <w:t xml:space="preserve"> </w:t>
      </w:r>
      <w:r w:rsidRPr="005767CC">
        <w:rPr>
          <w:rFonts w:ascii="Abadi" w:hAnsi="Abadi" w:cs="*Arial-5702-Identity-H"/>
          <w:color w:val="131313"/>
          <w:sz w:val="21"/>
          <w:szCs w:val="21"/>
        </w:rPr>
        <w:t>finalidad de establecer condiciones que permitan mejorar la calidad de</w:t>
      </w:r>
      <w:r w:rsidR="00E71792">
        <w:rPr>
          <w:rFonts w:ascii="Abadi" w:hAnsi="Abadi" w:cs="*Arial-5702-Identity-H"/>
          <w:color w:val="131313"/>
          <w:sz w:val="21"/>
          <w:szCs w:val="21"/>
        </w:rPr>
        <w:t xml:space="preserve"> </w:t>
      </w:r>
      <w:r w:rsidRPr="005767CC">
        <w:rPr>
          <w:rFonts w:ascii="Abadi" w:hAnsi="Abadi" w:cs="*Arial-5702-Identity-H"/>
          <w:color w:val="131313"/>
          <w:sz w:val="21"/>
          <w:szCs w:val="21"/>
        </w:rPr>
        <w:t xml:space="preserve">vida de las mujeres </w:t>
      </w:r>
      <w:r w:rsidR="00B95EAD" w:rsidRPr="005767CC">
        <w:rPr>
          <w:rFonts w:ascii="Abadi" w:hAnsi="Abadi" w:cs="*Arial-5702-Identity-H"/>
          <w:color w:val="131313"/>
          <w:sz w:val="21"/>
          <w:szCs w:val="21"/>
        </w:rPr>
        <w:t>rurales, priorizando</w:t>
      </w:r>
      <w:r w:rsidRPr="005767CC">
        <w:rPr>
          <w:rFonts w:ascii="Abadi" w:hAnsi="Abadi" w:cs="*Arial-5702-Identity-H"/>
          <w:color w:val="131313"/>
          <w:sz w:val="21"/>
          <w:szCs w:val="21"/>
        </w:rPr>
        <w:t xml:space="preserve"> las de bajos recursos y consagrar</w:t>
      </w:r>
      <w:r w:rsidR="00E71792">
        <w:rPr>
          <w:rFonts w:ascii="Abadi" w:hAnsi="Abadi" w:cs="*Arial-5702-Identity-H"/>
          <w:color w:val="131313"/>
          <w:sz w:val="21"/>
          <w:szCs w:val="21"/>
        </w:rPr>
        <w:t xml:space="preserve"> </w:t>
      </w:r>
      <w:r w:rsidRPr="005767CC">
        <w:rPr>
          <w:rFonts w:ascii="Abadi" w:hAnsi="Abadi" w:cs="*Arial-5702-Identity-H"/>
          <w:color w:val="131313"/>
          <w:sz w:val="21"/>
          <w:szCs w:val="21"/>
        </w:rPr>
        <w:t>medidas específicas encaminadas a acelerar la equidad entre el hombre</w:t>
      </w:r>
      <w:r w:rsidR="00E71792">
        <w:rPr>
          <w:rFonts w:ascii="Abadi" w:hAnsi="Abadi" w:cs="*Arial-5702-Identity-H"/>
          <w:color w:val="131313"/>
          <w:sz w:val="21"/>
          <w:szCs w:val="21"/>
        </w:rPr>
        <w:t xml:space="preserve"> </w:t>
      </w:r>
      <w:r w:rsidRPr="005767CC">
        <w:rPr>
          <w:rFonts w:ascii="Abadi" w:hAnsi="Abadi" w:cs="*Arial-5702-Identity-H"/>
          <w:color w:val="131313"/>
          <w:sz w:val="21"/>
          <w:szCs w:val="21"/>
        </w:rPr>
        <w:t>y la mujer rural.</w:t>
      </w:r>
    </w:p>
    <w:p w14:paraId="75C76D88" w14:textId="7FC4D718" w:rsidR="005767CC" w:rsidRPr="005767CC" w:rsidRDefault="005767CC" w:rsidP="007A2097">
      <w:pPr>
        <w:pStyle w:val="Prrafodelista"/>
        <w:autoSpaceDE w:val="0"/>
        <w:autoSpaceDN w:val="0"/>
        <w:adjustRightInd w:val="0"/>
        <w:ind w:left="0"/>
        <w:jc w:val="both"/>
        <w:rPr>
          <w:rFonts w:ascii="Abadi" w:hAnsi="Abadi" w:cs="*Calibri-5700-Identity-H"/>
          <w:color w:val="161616"/>
          <w:sz w:val="21"/>
          <w:szCs w:val="21"/>
        </w:rPr>
      </w:pPr>
    </w:p>
    <w:p w14:paraId="7EC1F476" w14:textId="17BFE30A" w:rsidR="005767CC" w:rsidRPr="005767CC" w:rsidRDefault="005767CC">
      <w:pPr>
        <w:pStyle w:val="Prrafodelista"/>
        <w:numPr>
          <w:ilvl w:val="0"/>
          <w:numId w:val="19"/>
        </w:numPr>
        <w:autoSpaceDE w:val="0"/>
        <w:autoSpaceDN w:val="0"/>
        <w:adjustRightInd w:val="0"/>
        <w:jc w:val="both"/>
        <w:rPr>
          <w:rFonts w:ascii="Abadi" w:hAnsi="Abadi" w:cs="*Arial-7957-Identity-H"/>
          <w:color w:val="141414"/>
          <w:sz w:val="21"/>
          <w:szCs w:val="21"/>
        </w:rPr>
      </w:pPr>
      <w:r w:rsidRPr="005767CC">
        <w:rPr>
          <w:rFonts w:ascii="Abadi" w:hAnsi="Abadi" w:cs="*Arial-Bold-7958-Identity-H"/>
          <w:b/>
          <w:bCs/>
          <w:color w:val="141414"/>
          <w:sz w:val="21"/>
          <w:szCs w:val="21"/>
        </w:rPr>
        <w:t xml:space="preserve">Impacto administrativo. </w:t>
      </w:r>
      <w:r w:rsidRPr="005767CC">
        <w:rPr>
          <w:rFonts w:ascii="Abadi" w:hAnsi="Abadi" w:cs="*Arial-7957-Identity-H"/>
          <w:color w:val="141414"/>
          <w:sz w:val="21"/>
          <w:szCs w:val="21"/>
        </w:rPr>
        <w:t>La iniciativa planteada impone obligaciones a diversas autoridades estatales con el objetivo de lograr la equidad entre el hombre y la mujer rural.</w:t>
      </w:r>
    </w:p>
    <w:p w14:paraId="71CC4F05" w14:textId="16E6F953" w:rsidR="005767CC" w:rsidRPr="005767CC" w:rsidRDefault="005767CC" w:rsidP="007A2097">
      <w:pPr>
        <w:pStyle w:val="Prrafodelista"/>
        <w:autoSpaceDE w:val="0"/>
        <w:autoSpaceDN w:val="0"/>
        <w:adjustRightInd w:val="0"/>
        <w:ind w:left="0"/>
        <w:jc w:val="both"/>
        <w:rPr>
          <w:rFonts w:ascii="Abadi" w:hAnsi="Abadi" w:cs="*Arial-7957-Identity-H"/>
          <w:color w:val="141414"/>
          <w:sz w:val="21"/>
          <w:szCs w:val="21"/>
        </w:rPr>
      </w:pPr>
    </w:p>
    <w:p w14:paraId="46007245" w14:textId="516449B8" w:rsidR="005767CC" w:rsidRPr="005767CC" w:rsidRDefault="005767CC">
      <w:pPr>
        <w:pStyle w:val="Prrafodelista"/>
        <w:numPr>
          <w:ilvl w:val="0"/>
          <w:numId w:val="19"/>
        </w:numPr>
        <w:autoSpaceDE w:val="0"/>
        <w:autoSpaceDN w:val="0"/>
        <w:adjustRightInd w:val="0"/>
        <w:jc w:val="both"/>
        <w:rPr>
          <w:rFonts w:ascii="Abadi" w:hAnsi="Abadi" w:cs="*Arial-7957-Identity-H"/>
          <w:color w:val="131313"/>
          <w:sz w:val="21"/>
          <w:szCs w:val="21"/>
        </w:rPr>
      </w:pPr>
      <w:r w:rsidRPr="005767CC">
        <w:rPr>
          <w:rFonts w:ascii="Abadi" w:hAnsi="Abadi" w:cs="*Arial-Bold-7958-Identity-H"/>
          <w:b/>
          <w:bCs/>
          <w:color w:val="131313"/>
          <w:sz w:val="21"/>
          <w:szCs w:val="21"/>
        </w:rPr>
        <w:t xml:space="preserve">Impacto presupuestario. </w:t>
      </w:r>
      <w:r w:rsidRPr="005767CC">
        <w:rPr>
          <w:rFonts w:ascii="Abadi" w:hAnsi="Abadi" w:cs="*Arial-7957-Identity-H"/>
          <w:color w:val="131313"/>
          <w:sz w:val="21"/>
          <w:szCs w:val="21"/>
        </w:rPr>
        <w:t>La presente iniciativa no tiene impacto presupuesta! al no traer consigo la generación de nuevas plazas o cambios en la estructura administrativa.</w:t>
      </w:r>
    </w:p>
    <w:p w14:paraId="1A2C99DC" w14:textId="77777777" w:rsidR="005767CC" w:rsidRPr="005767CC" w:rsidRDefault="005767CC" w:rsidP="007A2097">
      <w:pPr>
        <w:pStyle w:val="Prrafodelista"/>
        <w:autoSpaceDE w:val="0"/>
        <w:autoSpaceDN w:val="0"/>
        <w:adjustRightInd w:val="0"/>
        <w:ind w:left="0"/>
        <w:jc w:val="both"/>
        <w:rPr>
          <w:rFonts w:ascii="Abadi" w:hAnsi="Abadi" w:cs="*Arial-7957-Identity-H"/>
          <w:color w:val="131313"/>
          <w:sz w:val="21"/>
          <w:szCs w:val="21"/>
        </w:rPr>
      </w:pPr>
    </w:p>
    <w:p w14:paraId="3C1749C4" w14:textId="36C81718" w:rsidR="005767CC" w:rsidRPr="005767CC" w:rsidRDefault="005767CC">
      <w:pPr>
        <w:pStyle w:val="Prrafodelista"/>
        <w:numPr>
          <w:ilvl w:val="0"/>
          <w:numId w:val="19"/>
        </w:numPr>
        <w:autoSpaceDE w:val="0"/>
        <w:autoSpaceDN w:val="0"/>
        <w:adjustRightInd w:val="0"/>
        <w:jc w:val="both"/>
        <w:rPr>
          <w:rFonts w:ascii="Abadi" w:hAnsi="Abadi" w:cs="*Arial-7957-Identity-H"/>
          <w:color w:val="131313"/>
          <w:sz w:val="21"/>
          <w:szCs w:val="21"/>
        </w:rPr>
      </w:pPr>
      <w:r w:rsidRPr="005767CC">
        <w:rPr>
          <w:rFonts w:ascii="Abadi" w:hAnsi="Abadi" w:cs="*Arial-Bold-7958-Identity-H"/>
          <w:b/>
          <w:bCs/>
          <w:color w:val="131313"/>
          <w:sz w:val="21"/>
          <w:szCs w:val="21"/>
        </w:rPr>
        <w:t xml:space="preserve">Impacto social. </w:t>
      </w:r>
      <w:r w:rsidRPr="005767CC">
        <w:rPr>
          <w:rFonts w:ascii="Abadi" w:hAnsi="Abadi" w:cs="*Arial-7957-Identity-H"/>
          <w:color w:val="131313"/>
          <w:sz w:val="21"/>
          <w:szCs w:val="21"/>
        </w:rPr>
        <w:t>La presente propuesta de reforma está orientada a fortalecer los derechos humanos de las mujeres rurales guanajuatenses.</w:t>
      </w:r>
    </w:p>
    <w:p w14:paraId="6475AA8F" w14:textId="77777777" w:rsidR="005767CC" w:rsidRPr="005767CC" w:rsidRDefault="005767CC" w:rsidP="007A2097">
      <w:pPr>
        <w:pStyle w:val="Prrafodelista"/>
        <w:autoSpaceDE w:val="0"/>
        <w:autoSpaceDN w:val="0"/>
        <w:adjustRightInd w:val="0"/>
        <w:ind w:left="0"/>
        <w:jc w:val="both"/>
        <w:rPr>
          <w:rFonts w:ascii="Abadi" w:hAnsi="Abadi" w:cs="*Arial-7957-Identity-H"/>
          <w:color w:val="131313"/>
          <w:sz w:val="21"/>
          <w:szCs w:val="21"/>
        </w:rPr>
      </w:pPr>
    </w:p>
    <w:p w14:paraId="254656F1" w14:textId="41F0541C" w:rsidR="005767CC" w:rsidRPr="005767CC" w:rsidRDefault="005767CC" w:rsidP="007A2097">
      <w:pPr>
        <w:pStyle w:val="Prrafodelista"/>
        <w:autoSpaceDE w:val="0"/>
        <w:autoSpaceDN w:val="0"/>
        <w:adjustRightInd w:val="0"/>
        <w:ind w:left="0"/>
        <w:jc w:val="both"/>
        <w:rPr>
          <w:rFonts w:ascii="Abadi" w:hAnsi="Abadi" w:cs="*Arial-7957-Identity-H"/>
          <w:color w:val="141414"/>
          <w:sz w:val="21"/>
          <w:szCs w:val="21"/>
        </w:rPr>
      </w:pPr>
      <w:r w:rsidRPr="005767CC">
        <w:rPr>
          <w:rFonts w:ascii="Abadi" w:hAnsi="Abadi" w:cs="*Arial-7957-Identity-H"/>
          <w:color w:val="141414"/>
          <w:sz w:val="21"/>
          <w:szCs w:val="21"/>
        </w:rPr>
        <w:t>Para mejor comprensión de la modificación, se presenta en el siguiente cuadro</w:t>
      </w:r>
      <w:r w:rsidR="00D7099D">
        <w:rPr>
          <w:rFonts w:ascii="Abadi" w:hAnsi="Abadi" w:cs="*Arial-7957-Identity-H"/>
          <w:color w:val="141414"/>
          <w:sz w:val="21"/>
          <w:szCs w:val="21"/>
        </w:rPr>
        <w:t xml:space="preserve"> </w:t>
      </w:r>
      <w:r w:rsidRPr="005767CC">
        <w:rPr>
          <w:rFonts w:ascii="Abadi" w:hAnsi="Abadi" w:cs="*Arial-7957-Identity-H"/>
          <w:color w:val="141414"/>
          <w:sz w:val="21"/>
          <w:szCs w:val="21"/>
        </w:rPr>
        <w:t>comparativo:</w:t>
      </w:r>
    </w:p>
    <w:p w14:paraId="16821519" w14:textId="77777777" w:rsidR="005767CC" w:rsidRPr="005767CC" w:rsidRDefault="005767CC" w:rsidP="00B95EAD">
      <w:pPr>
        <w:pStyle w:val="Prrafodelista"/>
        <w:autoSpaceDE w:val="0"/>
        <w:autoSpaceDN w:val="0"/>
        <w:adjustRightInd w:val="0"/>
        <w:ind w:left="720"/>
        <w:jc w:val="both"/>
        <w:rPr>
          <w:rFonts w:ascii="Abadi" w:hAnsi="Abadi" w:cs="*Arial-7957-Identity-H"/>
          <w:color w:val="141414"/>
          <w:sz w:val="21"/>
          <w:szCs w:val="21"/>
        </w:rPr>
      </w:pPr>
    </w:p>
    <w:tbl>
      <w:tblPr>
        <w:tblStyle w:val="Tablaconcuadrcula"/>
        <w:tblW w:w="0" w:type="auto"/>
        <w:tblLook w:val="04A0" w:firstRow="1" w:lastRow="0" w:firstColumn="1" w:lastColumn="0" w:noHBand="0" w:noVBand="1"/>
      </w:tblPr>
      <w:tblGrid>
        <w:gridCol w:w="1837"/>
        <w:gridCol w:w="2264"/>
      </w:tblGrid>
      <w:tr w:rsidR="005767CC" w14:paraId="245F5F2A" w14:textId="77777777" w:rsidTr="00D7099D">
        <w:trPr>
          <w:trHeight w:val="145"/>
        </w:trPr>
        <w:tc>
          <w:tcPr>
            <w:tcW w:w="4101" w:type="dxa"/>
            <w:gridSpan w:val="2"/>
          </w:tcPr>
          <w:p w14:paraId="177026BE" w14:textId="77777777" w:rsidR="005767CC" w:rsidRPr="00C67C49" w:rsidRDefault="005767CC" w:rsidP="00317E08">
            <w:pPr>
              <w:autoSpaceDE w:val="0"/>
              <w:autoSpaceDN w:val="0"/>
              <w:adjustRightInd w:val="0"/>
              <w:jc w:val="both"/>
              <w:rPr>
                <w:rFonts w:ascii="Abadi" w:hAnsi="Abadi" w:cs="*Arial-Bold-7955-Identity-H"/>
                <w:b/>
                <w:bCs/>
                <w:color w:val="141414"/>
                <w:sz w:val="21"/>
                <w:szCs w:val="21"/>
              </w:rPr>
            </w:pPr>
            <w:r w:rsidRPr="00C67C49">
              <w:rPr>
                <w:rFonts w:ascii="Abadi" w:hAnsi="Abadi" w:cs="*Arial-Bold-7955-Identity-H"/>
                <w:b/>
                <w:bCs/>
                <w:color w:val="131313"/>
                <w:sz w:val="21"/>
                <w:szCs w:val="21"/>
              </w:rPr>
              <w:t>LEY DE FOMENTO A LA AGRICULTURA FAMILIAR DEL ESTADO DE GUANAJUATO</w:t>
            </w:r>
            <w:r>
              <w:rPr>
                <w:rFonts w:ascii="Abadi" w:hAnsi="Abadi" w:cs="*Arial-Bold-7955-Identity-H"/>
                <w:b/>
                <w:bCs/>
                <w:color w:val="131313"/>
                <w:sz w:val="21"/>
                <w:szCs w:val="21"/>
              </w:rPr>
              <w:t xml:space="preserve"> </w:t>
            </w:r>
          </w:p>
          <w:p w14:paraId="448B0584" w14:textId="77777777" w:rsidR="005767CC" w:rsidRDefault="005767CC" w:rsidP="00317E08">
            <w:pPr>
              <w:autoSpaceDE w:val="0"/>
              <w:autoSpaceDN w:val="0"/>
              <w:adjustRightInd w:val="0"/>
              <w:jc w:val="both"/>
              <w:rPr>
                <w:rFonts w:ascii="Abadi" w:hAnsi="Abadi" w:cs="*Arial-7957-Identity-H"/>
                <w:color w:val="141414"/>
                <w:sz w:val="21"/>
                <w:szCs w:val="21"/>
              </w:rPr>
            </w:pPr>
          </w:p>
        </w:tc>
      </w:tr>
      <w:tr w:rsidR="005767CC" w14:paraId="37B7289F" w14:textId="77777777" w:rsidTr="00D7099D">
        <w:tc>
          <w:tcPr>
            <w:tcW w:w="1837" w:type="dxa"/>
          </w:tcPr>
          <w:p w14:paraId="1CEA2DE9" w14:textId="77777777" w:rsidR="005767CC" w:rsidRDefault="005767CC" w:rsidP="00317E08">
            <w:pPr>
              <w:autoSpaceDE w:val="0"/>
              <w:autoSpaceDN w:val="0"/>
              <w:adjustRightInd w:val="0"/>
              <w:jc w:val="both"/>
              <w:rPr>
                <w:rFonts w:ascii="Abadi" w:hAnsi="Abadi" w:cs="*Arial-7957-Identity-H"/>
                <w:color w:val="141414"/>
                <w:sz w:val="21"/>
                <w:szCs w:val="21"/>
              </w:rPr>
            </w:pPr>
            <w:r w:rsidRPr="00C67C49">
              <w:rPr>
                <w:rFonts w:ascii="Abadi" w:hAnsi="Abadi" w:cs="*Arial-Bold-7955-Identity-H"/>
                <w:b/>
                <w:bCs/>
                <w:color w:val="141414"/>
                <w:sz w:val="21"/>
                <w:szCs w:val="21"/>
              </w:rPr>
              <w:t>TEXTO VIGENTE</w:t>
            </w:r>
          </w:p>
        </w:tc>
        <w:tc>
          <w:tcPr>
            <w:tcW w:w="2264" w:type="dxa"/>
          </w:tcPr>
          <w:p w14:paraId="5EEFFC83" w14:textId="77777777" w:rsidR="005767CC" w:rsidRDefault="005767CC" w:rsidP="00317E08">
            <w:pPr>
              <w:autoSpaceDE w:val="0"/>
              <w:autoSpaceDN w:val="0"/>
              <w:adjustRightInd w:val="0"/>
              <w:jc w:val="both"/>
              <w:rPr>
                <w:rFonts w:ascii="Abadi" w:hAnsi="Abadi" w:cs="*Arial-7957-Identity-H"/>
                <w:color w:val="141414"/>
                <w:sz w:val="21"/>
                <w:szCs w:val="21"/>
              </w:rPr>
            </w:pPr>
            <w:r w:rsidRPr="00C67C49">
              <w:rPr>
                <w:rFonts w:ascii="Abadi" w:hAnsi="Abadi" w:cs="*Arial-Bold-7955-Identity-H"/>
                <w:b/>
                <w:bCs/>
                <w:color w:val="141414"/>
                <w:sz w:val="21"/>
                <w:szCs w:val="21"/>
              </w:rPr>
              <w:t>MODIFICACION PROPUESTA</w:t>
            </w:r>
          </w:p>
        </w:tc>
      </w:tr>
      <w:tr w:rsidR="005767CC" w14:paraId="22A36DCB" w14:textId="77777777" w:rsidTr="00D7099D">
        <w:tc>
          <w:tcPr>
            <w:tcW w:w="1837" w:type="dxa"/>
          </w:tcPr>
          <w:p w14:paraId="089E3F58" w14:textId="77777777" w:rsidR="005767CC" w:rsidRDefault="005767CC" w:rsidP="00317E08">
            <w:pPr>
              <w:autoSpaceDE w:val="0"/>
              <w:autoSpaceDN w:val="0"/>
              <w:adjustRightInd w:val="0"/>
              <w:jc w:val="both"/>
              <w:rPr>
                <w:rFonts w:ascii="Abadi" w:hAnsi="Abadi" w:cs="*Arial-7956-Identity-H"/>
                <w:color w:val="151515"/>
                <w:sz w:val="21"/>
                <w:szCs w:val="21"/>
              </w:rPr>
            </w:pPr>
            <w:r w:rsidRPr="00C67C49">
              <w:rPr>
                <w:rFonts w:ascii="Abadi" w:hAnsi="Abadi" w:cs="*Arial-7956-Identity-H"/>
                <w:color w:val="161616"/>
                <w:sz w:val="21"/>
                <w:szCs w:val="21"/>
              </w:rPr>
              <w:t>Artículo 6. Son objetivos específicos de la presente Ley:</w:t>
            </w:r>
            <w:r w:rsidRPr="00C67C49">
              <w:rPr>
                <w:rFonts w:ascii="Abadi" w:hAnsi="Abadi" w:cs="*Arial-7956-Identity-H"/>
                <w:color w:val="151515"/>
                <w:sz w:val="21"/>
                <w:szCs w:val="21"/>
              </w:rPr>
              <w:t xml:space="preserve"> </w:t>
            </w:r>
          </w:p>
          <w:p w14:paraId="39F0D5CE" w14:textId="05626EB0" w:rsidR="005767CC" w:rsidRDefault="005767CC" w:rsidP="00317E08">
            <w:pPr>
              <w:autoSpaceDE w:val="0"/>
              <w:autoSpaceDN w:val="0"/>
              <w:adjustRightInd w:val="0"/>
              <w:jc w:val="both"/>
              <w:rPr>
                <w:rFonts w:ascii="Abadi" w:hAnsi="Abadi" w:cs="*Arial-7956-Identity-H"/>
                <w:color w:val="151515"/>
                <w:sz w:val="21"/>
                <w:szCs w:val="21"/>
              </w:rPr>
            </w:pPr>
          </w:p>
          <w:p w14:paraId="67471A92" w14:textId="77777777" w:rsidR="005767CC" w:rsidRPr="00C67C49" w:rsidRDefault="005767CC" w:rsidP="00317E08">
            <w:pPr>
              <w:autoSpaceDE w:val="0"/>
              <w:autoSpaceDN w:val="0"/>
              <w:adjustRightInd w:val="0"/>
              <w:jc w:val="both"/>
              <w:rPr>
                <w:rFonts w:ascii="Abadi" w:hAnsi="Abadi" w:cs="*Arial-7956-Identity-H"/>
                <w:color w:val="151515"/>
                <w:sz w:val="21"/>
                <w:szCs w:val="21"/>
              </w:rPr>
            </w:pPr>
            <w:r w:rsidRPr="00C67C49">
              <w:rPr>
                <w:rFonts w:ascii="Abadi" w:hAnsi="Abadi" w:cs="*Arial-7956-Identity-H"/>
                <w:color w:val="151515"/>
                <w:sz w:val="21"/>
                <w:szCs w:val="21"/>
              </w:rPr>
              <w:t>l. Reconocer las peculiaridades ...</w:t>
            </w:r>
          </w:p>
          <w:p w14:paraId="2DD351F8" w14:textId="77777777" w:rsidR="005767CC" w:rsidRDefault="005767CC" w:rsidP="00317E08">
            <w:pPr>
              <w:autoSpaceDE w:val="0"/>
              <w:autoSpaceDN w:val="0"/>
              <w:adjustRightInd w:val="0"/>
              <w:jc w:val="both"/>
              <w:rPr>
                <w:rFonts w:ascii="Abadi" w:hAnsi="Abadi" w:cs="*Arial-7956-Identity-H"/>
                <w:color w:val="151515"/>
                <w:sz w:val="21"/>
                <w:szCs w:val="21"/>
              </w:rPr>
            </w:pPr>
          </w:p>
          <w:p w14:paraId="1EFC6565" w14:textId="77777777" w:rsidR="005767CC" w:rsidRPr="00C67C49" w:rsidRDefault="005767CC" w:rsidP="00317E08">
            <w:pPr>
              <w:autoSpaceDE w:val="0"/>
              <w:autoSpaceDN w:val="0"/>
              <w:adjustRightInd w:val="0"/>
              <w:jc w:val="both"/>
              <w:rPr>
                <w:rFonts w:ascii="Abadi" w:hAnsi="Abadi" w:cs="*Arial-7956-Identity-H"/>
                <w:color w:val="151515"/>
                <w:sz w:val="21"/>
                <w:szCs w:val="21"/>
              </w:rPr>
            </w:pPr>
            <w:r>
              <w:rPr>
                <w:rFonts w:ascii="Abadi" w:hAnsi="Abadi" w:cs="*Arial-7956-Identity-H"/>
                <w:color w:val="151515"/>
                <w:sz w:val="21"/>
                <w:szCs w:val="21"/>
              </w:rPr>
              <w:t>II</w:t>
            </w:r>
            <w:r w:rsidRPr="00C67C49">
              <w:rPr>
                <w:rFonts w:ascii="Abadi" w:hAnsi="Abadi" w:cs="*Arial-7956-Identity-H"/>
                <w:color w:val="151515"/>
                <w:sz w:val="21"/>
                <w:szCs w:val="21"/>
              </w:rPr>
              <w:t>. Contribuir a la ...</w:t>
            </w:r>
          </w:p>
          <w:p w14:paraId="53CAA669" w14:textId="77777777" w:rsidR="005767CC" w:rsidRDefault="005767CC" w:rsidP="00317E08">
            <w:pPr>
              <w:autoSpaceDE w:val="0"/>
              <w:autoSpaceDN w:val="0"/>
              <w:adjustRightInd w:val="0"/>
              <w:jc w:val="both"/>
              <w:rPr>
                <w:rFonts w:ascii="Abadi" w:hAnsi="Abadi" w:cs="*Arial-7956-Identity-H"/>
                <w:color w:val="151515"/>
                <w:sz w:val="21"/>
                <w:szCs w:val="21"/>
              </w:rPr>
            </w:pPr>
          </w:p>
          <w:p w14:paraId="205EF85E" w14:textId="77777777" w:rsidR="005767CC" w:rsidRPr="00C67C49" w:rsidRDefault="005767CC" w:rsidP="00317E08">
            <w:pPr>
              <w:autoSpaceDE w:val="0"/>
              <w:autoSpaceDN w:val="0"/>
              <w:adjustRightInd w:val="0"/>
              <w:jc w:val="both"/>
              <w:rPr>
                <w:rFonts w:ascii="Abadi" w:hAnsi="Abadi" w:cs="*Arial-7956-Identity-H"/>
                <w:color w:val="151515"/>
                <w:sz w:val="21"/>
                <w:szCs w:val="21"/>
              </w:rPr>
            </w:pPr>
            <w:r>
              <w:rPr>
                <w:rFonts w:ascii="Abadi" w:hAnsi="Abadi" w:cs="*Arial-7956-Identity-H"/>
                <w:color w:val="151515"/>
                <w:sz w:val="21"/>
                <w:szCs w:val="21"/>
              </w:rPr>
              <w:t>III</w:t>
            </w:r>
            <w:r w:rsidRPr="00C67C49">
              <w:rPr>
                <w:rFonts w:ascii="Abadi" w:hAnsi="Abadi" w:cs="*Arial-7956-Identity-H"/>
                <w:color w:val="151515"/>
                <w:sz w:val="21"/>
                <w:szCs w:val="21"/>
              </w:rPr>
              <w:t>. Respetar y fortalecer ...</w:t>
            </w:r>
          </w:p>
          <w:p w14:paraId="766AE90A" w14:textId="77777777" w:rsidR="005767CC" w:rsidRDefault="005767CC" w:rsidP="00317E08">
            <w:pPr>
              <w:autoSpaceDE w:val="0"/>
              <w:autoSpaceDN w:val="0"/>
              <w:adjustRightInd w:val="0"/>
              <w:jc w:val="both"/>
              <w:rPr>
                <w:rFonts w:ascii="Abadi" w:hAnsi="Abadi" w:cs="*Arial-7956-Identity-H"/>
                <w:color w:val="161616"/>
                <w:sz w:val="21"/>
                <w:szCs w:val="21"/>
              </w:rPr>
            </w:pPr>
          </w:p>
          <w:p w14:paraId="7E7B1BFD" w14:textId="77777777" w:rsidR="005767CC" w:rsidRPr="00C67C49" w:rsidRDefault="005767CC" w:rsidP="00317E08">
            <w:pPr>
              <w:autoSpaceDE w:val="0"/>
              <w:autoSpaceDN w:val="0"/>
              <w:adjustRightInd w:val="0"/>
              <w:jc w:val="both"/>
              <w:rPr>
                <w:rFonts w:ascii="Abadi" w:hAnsi="Abadi" w:cs="*Arial-7956-Identity-H"/>
                <w:color w:val="161616"/>
                <w:sz w:val="21"/>
                <w:szCs w:val="21"/>
              </w:rPr>
            </w:pPr>
            <w:r w:rsidRPr="00C67C49">
              <w:rPr>
                <w:rFonts w:ascii="Abadi" w:hAnsi="Abadi" w:cs="*Arial-7956-Identity-H"/>
                <w:color w:val="161616"/>
                <w:sz w:val="21"/>
                <w:szCs w:val="21"/>
              </w:rPr>
              <w:t>IV. Contribuir al fortalecimiento ...</w:t>
            </w:r>
          </w:p>
          <w:p w14:paraId="53EDC6C0" w14:textId="77777777" w:rsidR="005767CC" w:rsidRDefault="005767CC" w:rsidP="00317E08">
            <w:pPr>
              <w:autoSpaceDE w:val="0"/>
              <w:autoSpaceDN w:val="0"/>
              <w:adjustRightInd w:val="0"/>
              <w:jc w:val="both"/>
              <w:rPr>
                <w:rFonts w:ascii="Abadi" w:hAnsi="Abadi" w:cs="*Arial-7956-Identity-H"/>
                <w:color w:val="161616"/>
                <w:sz w:val="21"/>
                <w:szCs w:val="21"/>
              </w:rPr>
            </w:pPr>
          </w:p>
          <w:p w14:paraId="63EE87BE" w14:textId="77777777" w:rsidR="005767CC" w:rsidRPr="00C67C49" w:rsidRDefault="005767CC" w:rsidP="00317E08">
            <w:pPr>
              <w:autoSpaceDE w:val="0"/>
              <w:autoSpaceDN w:val="0"/>
              <w:adjustRightInd w:val="0"/>
              <w:jc w:val="both"/>
              <w:rPr>
                <w:rFonts w:ascii="Abadi" w:hAnsi="Abadi" w:cs="*Arial-7956-Identity-H"/>
                <w:color w:val="161616"/>
                <w:sz w:val="21"/>
                <w:szCs w:val="21"/>
              </w:rPr>
            </w:pPr>
            <w:r w:rsidRPr="00C67C49">
              <w:rPr>
                <w:rFonts w:ascii="Abadi" w:hAnsi="Abadi" w:cs="*Arial-7956-Identity-H"/>
                <w:color w:val="161616"/>
                <w:sz w:val="21"/>
                <w:szCs w:val="21"/>
              </w:rPr>
              <w:t>V. Contribuir a la ...</w:t>
            </w:r>
          </w:p>
          <w:p w14:paraId="50DA759D" w14:textId="77777777" w:rsidR="005767CC" w:rsidRDefault="005767CC" w:rsidP="00317E08">
            <w:pPr>
              <w:autoSpaceDE w:val="0"/>
              <w:autoSpaceDN w:val="0"/>
              <w:adjustRightInd w:val="0"/>
              <w:jc w:val="both"/>
              <w:rPr>
                <w:rFonts w:ascii="Abadi" w:hAnsi="Abadi" w:cs="*Arial-7956-Identity-H"/>
                <w:color w:val="161616"/>
                <w:sz w:val="21"/>
                <w:szCs w:val="21"/>
              </w:rPr>
            </w:pPr>
          </w:p>
          <w:p w14:paraId="67DEEFF5" w14:textId="77777777" w:rsidR="005767CC" w:rsidRPr="00C67C49" w:rsidRDefault="005767CC" w:rsidP="00317E08">
            <w:pPr>
              <w:autoSpaceDE w:val="0"/>
              <w:autoSpaceDN w:val="0"/>
              <w:adjustRightInd w:val="0"/>
              <w:jc w:val="both"/>
              <w:rPr>
                <w:rFonts w:ascii="Abadi" w:hAnsi="Abadi" w:cs="*Arial-7956-Identity-H"/>
                <w:color w:val="161616"/>
                <w:sz w:val="21"/>
                <w:szCs w:val="21"/>
              </w:rPr>
            </w:pPr>
            <w:r w:rsidRPr="00C67C49">
              <w:rPr>
                <w:rFonts w:ascii="Abadi" w:hAnsi="Abadi" w:cs="*Arial-7956-Identity-H"/>
                <w:color w:val="161616"/>
                <w:sz w:val="21"/>
                <w:szCs w:val="21"/>
              </w:rPr>
              <w:t>VI. Promover la conservación ...</w:t>
            </w:r>
          </w:p>
          <w:p w14:paraId="6EA887BB" w14:textId="77777777" w:rsidR="005767CC" w:rsidRDefault="005767CC" w:rsidP="00317E08">
            <w:pPr>
              <w:autoSpaceDE w:val="0"/>
              <w:autoSpaceDN w:val="0"/>
              <w:adjustRightInd w:val="0"/>
              <w:jc w:val="both"/>
              <w:rPr>
                <w:rFonts w:ascii="Abadi" w:hAnsi="Abadi" w:cs="*Arial-7956-Identity-H"/>
                <w:color w:val="151515"/>
                <w:sz w:val="21"/>
                <w:szCs w:val="21"/>
              </w:rPr>
            </w:pPr>
          </w:p>
          <w:p w14:paraId="526C0931" w14:textId="77777777" w:rsidR="005767CC" w:rsidRPr="00C67C49" w:rsidRDefault="005767CC" w:rsidP="00317E08">
            <w:pPr>
              <w:autoSpaceDE w:val="0"/>
              <w:autoSpaceDN w:val="0"/>
              <w:adjustRightInd w:val="0"/>
              <w:jc w:val="both"/>
              <w:rPr>
                <w:rFonts w:ascii="Abadi" w:hAnsi="Abadi" w:cs="*Arial-7956-Identity-H"/>
                <w:color w:val="151515"/>
                <w:sz w:val="21"/>
                <w:szCs w:val="21"/>
              </w:rPr>
            </w:pPr>
            <w:r w:rsidRPr="00C67C49">
              <w:rPr>
                <w:rFonts w:ascii="Abadi" w:hAnsi="Abadi" w:cs="*Arial-7956-Identity-H"/>
                <w:color w:val="151515"/>
                <w:sz w:val="21"/>
                <w:szCs w:val="21"/>
              </w:rPr>
              <w:t>VII. Establecer condiciones que ...</w:t>
            </w:r>
          </w:p>
          <w:p w14:paraId="15A98B2C" w14:textId="77777777" w:rsidR="005767CC" w:rsidRDefault="005767CC" w:rsidP="00317E08">
            <w:pPr>
              <w:autoSpaceDE w:val="0"/>
              <w:autoSpaceDN w:val="0"/>
              <w:adjustRightInd w:val="0"/>
              <w:jc w:val="both"/>
              <w:rPr>
                <w:rFonts w:ascii="Abadi" w:hAnsi="Abadi" w:cs="*Arial-7956-Identity-H"/>
                <w:color w:val="151515"/>
                <w:sz w:val="21"/>
                <w:szCs w:val="21"/>
              </w:rPr>
            </w:pPr>
          </w:p>
          <w:p w14:paraId="244CDFD1" w14:textId="77777777" w:rsidR="005767CC" w:rsidRDefault="005767CC" w:rsidP="00317E08">
            <w:pPr>
              <w:autoSpaceDE w:val="0"/>
              <w:autoSpaceDN w:val="0"/>
              <w:adjustRightInd w:val="0"/>
              <w:jc w:val="both"/>
              <w:rPr>
                <w:rFonts w:ascii="Abadi" w:hAnsi="Abadi" w:cs="*Arial-7956-Identity-H"/>
                <w:color w:val="151515"/>
                <w:sz w:val="21"/>
                <w:szCs w:val="21"/>
              </w:rPr>
            </w:pPr>
            <w:r w:rsidRPr="00C67C49">
              <w:rPr>
                <w:rFonts w:ascii="Abadi" w:hAnsi="Abadi" w:cs="*Arial-7956-Identity-H"/>
                <w:color w:val="151515"/>
                <w:sz w:val="21"/>
                <w:szCs w:val="21"/>
              </w:rPr>
              <w:t>VIII. Promover la seguridad semillera para la</w:t>
            </w:r>
            <w:r>
              <w:rPr>
                <w:rFonts w:ascii="Abadi" w:hAnsi="Abadi" w:cs="*Arial-7956-Identity-H"/>
                <w:color w:val="151515"/>
                <w:sz w:val="21"/>
                <w:szCs w:val="21"/>
              </w:rPr>
              <w:t xml:space="preserve"> </w:t>
            </w:r>
            <w:r w:rsidRPr="00C67C49">
              <w:rPr>
                <w:rFonts w:ascii="Abadi" w:hAnsi="Abadi" w:cs="*Arial-7956-Identity-H"/>
                <w:color w:val="151515"/>
                <w:sz w:val="21"/>
                <w:szCs w:val="21"/>
              </w:rPr>
              <w:t>agricultura familiar mediante sistemas</w:t>
            </w:r>
            <w:r>
              <w:rPr>
                <w:rFonts w:ascii="Abadi" w:hAnsi="Abadi" w:cs="*Arial-7956-Identity-H"/>
                <w:color w:val="151515"/>
                <w:sz w:val="21"/>
                <w:szCs w:val="21"/>
              </w:rPr>
              <w:t xml:space="preserve"> </w:t>
            </w:r>
            <w:r w:rsidRPr="00C67C49">
              <w:rPr>
                <w:rFonts w:ascii="Abadi" w:hAnsi="Abadi" w:cs="*Arial-7956-Identity-H"/>
                <w:color w:val="151515"/>
                <w:sz w:val="21"/>
                <w:szCs w:val="21"/>
              </w:rPr>
              <w:t>sostenibles de semilla de calidad</w:t>
            </w:r>
          </w:p>
          <w:p w14:paraId="34331DAF" w14:textId="77777777" w:rsidR="005767CC" w:rsidRDefault="005767CC" w:rsidP="00317E08">
            <w:pPr>
              <w:autoSpaceDE w:val="0"/>
              <w:autoSpaceDN w:val="0"/>
              <w:adjustRightInd w:val="0"/>
              <w:jc w:val="both"/>
              <w:rPr>
                <w:rFonts w:ascii="Abadi" w:hAnsi="Abadi" w:cs="*Arial-7956-Identity-H"/>
                <w:color w:val="151515"/>
                <w:sz w:val="21"/>
                <w:szCs w:val="21"/>
              </w:rPr>
            </w:pPr>
          </w:p>
          <w:p w14:paraId="2806845D" w14:textId="77777777" w:rsidR="005767CC" w:rsidRDefault="005767CC" w:rsidP="00317E08">
            <w:pPr>
              <w:autoSpaceDE w:val="0"/>
              <w:autoSpaceDN w:val="0"/>
              <w:adjustRightInd w:val="0"/>
              <w:jc w:val="both"/>
              <w:rPr>
                <w:rFonts w:ascii="Abadi" w:hAnsi="Abadi" w:cs="*Arial-7956-Identity-H"/>
                <w:color w:val="151515"/>
                <w:sz w:val="21"/>
                <w:szCs w:val="21"/>
              </w:rPr>
            </w:pPr>
            <w:r>
              <w:rPr>
                <w:rFonts w:ascii="Abadi" w:hAnsi="Abadi" w:cs="*Arial-7956-Identity-H"/>
                <w:color w:val="151515"/>
                <w:sz w:val="21"/>
                <w:szCs w:val="21"/>
              </w:rPr>
              <w:t xml:space="preserve">Sin correlación </w:t>
            </w:r>
          </w:p>
          <w:p w14:paraId="1D10A9B2" w14:textId="77777777" w:rsidR="005767CC" w:rsidRPr="00C67C49" w:rsidRDefault="005767CC" w:rsidP="00317E08">
            <w:pPr>
              <w:autoSpaceDE w:val="0"/>
              <w:autoSpaceDN w:val="0"/>
              <w:adjustRightInd w:val="0"/>
              <w:jc w:val="both"/>
              <w:rPr>
                <w:rFonts w:ascii="Abadi" w:hAnsi="Abadi" w:cs="*Arial-Bold-7284-Identity-H"/>
                <w:b/>
                <w:bCs/>
                <w:color w:val="141414"/>
                <w:sz w:val="21"/>
                <w:szCs w:val="21"/>
              </w:rPr>
            </w:pPr>
          </w:p>
          <w:p w14:paraId="46384311"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64193558"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124F9CF1"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44411571"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2E2BAE6F"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256618C7"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72E74A70"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0BE6ACE1"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55C7F35A"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24C3E0F3"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61715BA9"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3E2169CF"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455796A2"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021A24A1"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3D9D04CD"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3B368CD4"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4FBC641A"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3B3CB28F"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2E517783"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11822838"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40697EF0"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3133DE85"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5ECCCE6C"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1B1D3353"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151AE802"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6394CBCE"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7610B942"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69A55A75"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27989BBE"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7CEBE303"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0638183D"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64D25118"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4483B2A2"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4CF2C875"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58136259"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6ACA5158"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7ABF855A"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60B5DA19"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3D22B5AD"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61D33B84"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18256173"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56186C3F"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775CD146"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18E21A23"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7A037D87"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04CEDAA5"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29052022"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7334ACA2"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286CE503"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625A2D9C"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3A7271A7"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48E5D4D4"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2EB4C9E8"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255FCE02"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25B9F0EC"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1588EBE9"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603E9B04"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61D94CE9"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081EFD27"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35DB2D07"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2AAFAEE1"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6CCE57E3"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1E3C2C7B"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143CA4A5"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0B3DCFEB"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7CAC3685"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2B2094D3"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6515B750"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14658278"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77859611"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20AE370A"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5C800AB6"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0DB2A9E0"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1781C8FC"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7702A1B4"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66B7EBF8"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2F913B85"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67EEC5F9"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4CC49547"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059D9B9C"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3B3C7B83"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359759B9"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32848FEF"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6C86A223"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1BBBEA81"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525B7932"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6FC1CFDE"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1F325699"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13E708BE"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41FDE0BD"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71C279A8"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4BAB8BF2"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0925DABB"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4B6108CF"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453892F0"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44CB1B50"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234AD733" w14:textId="2669D2DC" w:rsidR="005767CC" w:rsidRPr="00C67C49" w:rsidRDefault="005767CC" w:rsidP="00317E08">
            <w:pPr>
              <w:autoSpaceDE w:val="0"/>
              <w:autoSpaceDN w:val="0"/>
              <w:adjustRightInd w:val="0"/>
              <w:jc w:val="both"/>
              <w:rPr>
                <w:rFonts w:ascii="Abadi" w:hAnsi="Abadi" w:cs="*Arial-Bold-7284-Identity-H"/>
                <w:b/>
                <w:bCs/>
                <w:color w:val="151515"/>
                <w:sz w:val="21"/>
                <w:szCs w:val="21"/>
              </w:rPr>
            </w:pPr>
            <w:r w:rsidRPr="00C67C49">
              <w:rPr>
                <w:rFonts w:ascii="Abadi" w:hAnsi="Abadi" w:cs="*Arial-Bold-7284-Identity-H"/>
                <w:b/>
                <w:bCs/>
                <w:color w:val="151515"/>
                <w:sz w:val="21"/>
                <w:szCs w:val="21"/>
              </w:rPr>
              <w:t>Artículo 7. Corresponde al Poder Ejecutivo</w:t>
            </w:r>
          </w:p>
          <w:p w14:paraId="092E8896" w14:textId="77777777" w:rsidR="005767CC" w:rsidRDefault="005767CC" w:rsidP="00317E08">
            <w:pPr>
              <w:autoSpaceDE w:val="0"/>
              <w:autoSpaceDN w:val="0"/>
              <w:adjustRightInd w:val="0"/>
              <w:jc w:val="both"/>
              <w:rPr>
                <w:rFonts w:ascii="Abadi" w:hAnsi="Abadi" w:cs="*Arial-Bold-7284-Identity-H"/>
                <w:b/>
                <w:bCs/>
                <w:color w:val="151515"/>
                <w:sz w:val="21"/>
                <w:szCs w:val="21"/>
              </w:rPr>
            </w:pPr>
            <w:r w:rsidRPr="00C67C49">
              <w:rPr>
                <w:rFonts w:ascii="Abadi" w:hAnsi="Abadi" w:cs="*Arial-Bold-7284-Identity-H"/>
                <w:b/>
                <w:bCs/>
                <w:color w:val="151515"/>
                <w:sz w:val="21"/>
                <w:szCs w:val="21"/>
              </w:rPr>
              <w:t>del Estado</w:t>
            </w:r>
          </w:p>
          <w:p w14:paraId="593A99CA" w14:textId="77777777" w:rsidR="005767CC" w:rsidRDefault="005767CC" w:rsidP="00317E08">
            <w:pPr>
              <w:autoSpaceDE w:val="0"/>
              <w:autoSpaceDN w:val="0"/>
              <w:adjustRightInd w:val="0"/>
              <w:jc w:val="both"/>
              <w:rPr>
                <w:rFonts w:ascii="Abadi" w:hAnsi="Abadi" w:cs="*Arial-Bold-7284-Identity-H"/>
                <w:b/>
                <w:bCs/>
                <w:color w:val="151515"/>
                <w:sz w:val="21"/>
                <w:szCs w:val="21"/>
              </w:rPr>
            </w:pPr>
          </w:p>
          <w:p w14:paraId="382AB62C" w14:textId="7C6C61AE" w:rsidR="005767CC" w:rsidRPr="00C67C49" w:rsidRDefault="00D7099D" w:rsidP="00317E08">
            <w:pPr>
              <w:autoSpaceDE w:val="0"/>
              <w:autoSpaceDN w:val="0"/>
              <w:adjustRightInd w:val="0"/>
              <w:jc w:val="both"/>
              <w:rPr>
                <w:rFonts w:ascii="Abadi" w:hAnsi="Abadi" w:cs="*Microsoft Sans Serif-7631-Iden"/>
                <w:color w:val="151515"/>
                <w:sz w:val="21"/>
                <w:szCs w:val="21"/>
              </w:rPr>
            </w:pPr>
            <w:r>
              <w:rPr>
                <w:rFonts w:ascii="Abadi" w:hAnsi="Abadi" w:cs="*Microsoft Sans Serif-7631-Iden"/>
                <w:color w:val="151515"/>
                <w:sz w:val="21"/>
                <w:szCs w:val="21"/>
              </w:rPr>
              <w:t>I</w:t>
            </w:r>
            <w:r w:rsidR="005767CC" w:rsidRPr="00C67C49">
              <w:rPr>
                <w:rFonts w:ascii="Abadi" w:hAnsi="Abadi" w:cs="*Microsoft Sans Serif-7631-Iden"/>
                <w:color w:val="151515"/>
                <w:sz w:val="21"/>
                <w:szCs w:val="21"/>
              </w:rPr>
              <w:t>. Respetar, proteger y ...</w:t>
            </w:r>
          </w:p>
          <w:p w14:paraId="599B7D04" w14:textId="77777777" w:rsidR="005767CC" w:rsidRDefault="005767CC" w:rsidP="00317E08">
            <w:pPr>
              <w:autoSpaceDE w:val="0"/>
              <w:autoSpaceDN w:val="0"/>
              <w:adjustRightInd w:val="0"/>
              <w:jc w:val="both"/>
              <w:rPr>
                <w:rFonts w:ascii="Abadi" w:hAnsi="Abadi" w:cs="*Microsoft Sans Serif-7631-Iden"/>
                <w:color w:val="151515"/>
                <w:sz w:val="21"/>
                <w:szCs w:val="21"/>
              </w:rPr>
            </w:pPr>
          </w:p>
          <w:p w14:paraId="3D17E3C9" w14:textId="77777777" w:rsidR="005767CC" w:rsidRPr="00C67C49" w:rsidRDefault="005767CC" w:rsidP="00317E08">
            <w:pPr>
              <w:autoSpaceDE w:val="0"/>
              <w:autoSpaceDN w:val="0"/>
              <w:adjustRightInd w:val="0"/>
              <w:jc w:val="both"/>
              <w:rPr>
                <w:rFonts w:ascii="Abadi" w:hAnsi="Abadi" w:cs="*Microsoft Sans Serif-7631-Iden"/>
                <w:color w:val="151515"/>
                <w:sz w:val="21"/>
                <w:szCs w:val="21"/>
              </w:rPr>
            </w:pPr>
            <w:r>
              <w:rPr>
                <w:rFonts w:ascii="Abadi" w:hAnsi="Abadi" w:cs="*Microsoft Sans Serif-7631-Iden"/>
                <w:color w:val="151515"/>
                <w:sz w:val="21"/>
                <w:szCs w:val="21"/>
              </w:rPr>
              <w:t>II</w:t>
            </w:r>
            <w:r w:rsidRPr="00C67C49">
              <w:rPr>
                <w:rFonts w:ascii="Abadi" w:hAnsi="Abadi" w:cs="*Microsoft Sans Serif-7631-Iden"/>
                <w:color w:val="151515"/>
                <w:sz w:val="21"/>
                <w:szCs w:val="21"/>
              </w:rPr>
              <w:t>. Promover la investigación ...</w:t>
            </w:r>
          </w:p>
          <w:p w14:paraId="588A6DFC" w14:textId="77777777" w:rsidR="005767CC" w:rsidRDefault="005767CC" w:rsidP="00317E08">
            <w:pPr>
              <w:autoSpaceDE w:val="0"/>
              <w:autoSpaceDN w:val="0"/>
              <w:adjustRightInd w:val="0"/>
              <w:jc w:val="both"/>
              <w:rPr>
                <w:rFonts w:ascii="Abadi" w:hAnsi="Abadi" w:cs="*Microsoft Sans Serif-7631-Iden"/>
                <w:color w:val="151515"/>
                <w:sz w:val="21"/>
                <w:szCs w:val="21"/>
              </w:rPr>
            </w:pPr>
          </w:p>
          <w:p w14:paraId="51AA3FD3" w14:textId="77777777" w:rsidR="005767CC" w:rsidRPr="00C67C49" w:rsidRDefault="005767CC" w:rsidP="00317E08">
            <w:pPr>
              <w:autoSpaceDE w:val="0"/>
              <w:autoSpaceDN w:val="0"/>
              <w:adjustRightInd w:val="0"/>
              <w:jc w:val="both"/>
              <w:rPr>
                <w:rFonts w:ascii="Abadi" w:hAnsi="Abadi" w:cs="*Microsoft Sans Serif-7631-Iden"/>
                <w:color w:val="151515"/>
                <w:sz w:val="21"/>
                <w:szCs w:val="21"/>
              </w:rPr>
            </w:pPr>
            <w:r>
              <w:rPr>
                <w:rFonts w:ascii="Abadi" w:hAnsi="Abadi" w:cs="*Microsoft Sans Serif-7631-Iden"/>
                <w:color w:val="151515"/>
                <w:sz w:val="21"/>
                <w:szCs w:val="21"/>
              </w:rPr>
              <w:t>III</w:t>
            </w:r>
            <w:r w:rsidRPr="00C67C49">
              <w:rPr>
                <w:rFonts w:ascii="Abadi" w:hAnsi="Abadi" w:cs="*Microsoft Sans Serif-7631-Iden"/>
                <w:color w:val="151515"/>
                <w:sz w:val="21"/>
                <w:szCs w:val="21"/>
              </w:rPr>
              <w:t>. Promover la agricultura ...</w:t>
            </w:r>
          </w:p>
          <w:p w14:paraId="0B5F7558" w14:textId="77777777" w:rsidR="005767CC" w:rsidRDefault="005767CC" w:rsidP="00317E08">
            <w:pPr>
              <w:autoSpaceDE w:val="0"/>
              <w:autoSpaceDN w:val="0"/>
              <w:adjustRightInd w:val="0"/>
              <w:jc w:val="both"/>
              <w:rPr>
                <w:rFonts w:ascii="Abadi" w:hAnsi="Abadi" w:cs="*Microsoft Sans Serif-7631-Iden"/>
                <w:color w:val="151515"/>
                <w:sz w:val="21"/>
                <w:szCs w:val="21"/>
              </w:rPr>
            </w:pPr>
          </w:p>
          <w:p w14:paraId="682575D3" w14:textId="77777777" w:rsidR="005767CC" w:rsidRPr="00C67C49" w:rsidRDefault="005767CC" w:rsidP="00317E08">
            <w:pPr>
              <w:autoSpaceDE w:val="0"/>
              <w:autoSpaceDN w:val="0"/>
              <w:adjustRightInd w:val="0"/>
              <w:jc w:val="both"/>
              <w:rPr>
                <w:rFonts w:ascii="Abadi" w:hAnsi="Abadi" w:cs="*Microsoft Sans Serif-7631-Iden"/>
                <w:color w:val="151515"/>
                <w:sz w:val="21"/>
                <w:szCs w:val="21"/>
              </w:rPr>
            </w:pPr>
            <w:r w:rsidRPr="00C67C49">
              <w:rPr>
                <w:rFonts w:ascii="Abadi" w:hAnsi="Abadi" w:cs="*Microsoft Sans Serif-7631-Iden"/>
                <w:color w:val="151515"/>
                <w:sz w:val="21"/>
                <w:szCs w:val="21"/>
              </w:rPr>
              <w:t>IV. Promover la agricultura familiar a través de</w:t>
            </w:r>
          </w:p>
          <w:p w14:paraId="00261D16" w14:textId="77777777" w:rsidR="005767CC" w:rsidRPr="00C67C49" w:rsidRDefault="005767CC" w:rsidP="00317E08">
            <w:pPr>
              <w:autoSpaceDE w:val="0"/>
              <w:autoSpaceDN w:val="0"/>
              <w:adjustRightInd w:val="0"/>
              <w:jc w:val="both"/>
              <w:rPr>
                <w:rFonts w:ascii="Abadi" w:hAnsi="Abadi" w:cs="*Microsoft Sans Serif-7631-Iden"/>
                <w:color w:val="151515"/>
                <w:sz w:val="21"/>
                <w:szCs w:val="21"/>
              </w:rPr>
            </w:pPr>
            <w:r w:rsidRPr="00C67C49">
              <w:rPr>
                <w:rFonts w:ascii="Abadi" w:hAnsi="Abadi" w:cs="*Microsoft Sans Serif-7631-Iden"/>
                <w:color w:val="151515"/>
                <w:sz w:val="21"/>
                <w:szCs w:val="21"/>
              </w:rPr>
              <w:t>capacitación y formación profesional</w:t>
            </w:r>
            <w:r>
              <w:rPr>
                <w:rFonts w:ascii="Abadi" w:hAnsi="Abadi" w:cs="*Microsoft Sans Serif-7631-Iden"/>
                <w:color w:val="151515"/>
                <w:sz w:val="21"/>
                <w:szCs w:val="21"/>
              </w:rPr>
              <w:t xml:space="preserve"> </w:t>
            </w:r>
            <w:r w:rsidRPr="00C67C49">
              <w:rPr>
                <w:rFonts w:ascii="Abadi" w:hAnsi="Abadi" w:cs="*Microsoft Sans Serif-7631-Iden"/>
                <w:color w:val="151515"/>
                <w:sz w:val="21"/>
                <w:szCs w:val="21"/>
              </w:rPr>
              <w:t>adecuada a los distintos integrantes del</w:t>
            </w:r>
            <w:r>
              <w:rPr>
                <w:rFonts w:ascii="Abadi" w:hAnsi="Abadi" w:cs="*Microsoft Sans Serif-7631-Iden"/>
                <w:color w:val="151515"/>
                <w:sz w:val="21"/>
                <w:szCs w:val="21"/>
              </w:rPr>
              <w:t xml:space="preserve"> </w:t>
            </w:r>
            <w:r w:rsidRPr="00C67C49">
              <w:rPr>
                <w:rFonts w:ascii="Abadi" w:hAnsi="Abadi" w:cs="*Microsoft Sans Serif-7631-Iden"/>
                <w:color w:val="151515"/>
                <w:sz w:val="21"/>
                <w:szCs w:val="21"/>
              </w:rPr>
              <w:t>núcleo familiar, así como las comunidades</w:t>
            </w:r>
            <w:r>
              <w:rPr>
                <w:rFonts w:ascii="Abadi" w:hAnsi="Abadi" w:cs="*Microsoft Sans Serif-7631-Iden"/>
                <w:color w:val="151515"/>
                <w:sz w:val="21"/>
                <w:szCs w:val="21"/>
              </w:rPr>
              <w:t xml:space="preserve"> </w:t>
            </w:r>
            <w:r w:rsidRPr="00C67C49">
              <w:rPr>
                <w:rFonts w:ascii="Abadi" w:hAnsi="Abadi" w:cs="*Microsoft Sans Serif-7631-Iden"/>
                <w:color w:val="151515"/>
                <w:sz w:val="21"/>
                <w:szCs w:val="21"/>
              </w:rPr>
              <w:t>para el desarrollo de sus capacidades de</w:t>
            </w:r>
            <w:r>
              <w:rPr>
                <w:rFonts w:ascii="Abadi" w:hAnsi="Abadi" w:cs="*Microsoft Sans Serif-7631-Iden"/>
                <w:color w:val="151515"/>
                <w:sz w:val="21"/>
                <w:szCs w:val="21"/>
              </w:rPr>
              <w:t xml:space="preserve"> </w:t>
            </w:r>
            <w:r w:rsidRPr="00C67C49">
              <w:rPr>
                <w:rFonts w:ascii="Abadi" w:hAnsi="Abadi" w:cs="*Microsoft Sans Serif-7631-Iden"/>
                <w:color w:val="151515"/>
                <w:sz w:val="21"/>
                <w:szCs w:val="21"/>
              </w:rPr>
              <w:t xml:space="preserve">producción, </w:t>
            </w:r>
            <w:r w:rsidRPr="00C67C49">
              <w:rPr>
                <w:rFonts w:ascii="Abadi" w:hAnsi="Abadi" w:cs="*Microsoft Sans Serif-7631-Iden"/>
                <w:color w:val="151515"/>
                <w:sz w:val="21"/>
                <w:szCs w:val="21"/>
              </w:rPr>
              <w:lastRenderedPageBreak/>
              <w:t>gestión, organización,</w:t>
            </w:r>
            <w:r>
              <w:rPr>
                <w:rFonts w:ascii="Abadi" w:hAnsi="Abadi" w:cs="*Microsoft Sans Serif-7631-Iden"/>
                <w:color w:val="151515"/>
                <w:sz w:val="21"/>
                <w:szCs w:val="21"/>
              </w:rPr>
              <w:t xml:space="preserve"> </w:t>
            </w:r>
            <w:r w:rsidRPr="00C67C49">
              <w:rPr>
                <w:rFonts w:ascii="Abadi" w:hAnsi="Abadi" w:cs="*Microsoft Sans Serif-7631-Iden"/>
                <w:color w:val="151515"/>
                <w:sz w:val="21"/>
                <w:szCs w:val="21"/>
              </w:rPr>
              <w:t>planificación y formulación de proyectos de</w:t>
            </w:r>
            <w:r>
              <w:rPr>
                <w:rFonts w:ascii="Abadi" w:hAnsi="Abadi" w:cs="*Microsoft Sans Serif-7631-Iden"/>
                <w:color w:val="151515"/>
                <w:sz w:val="21"/>
                <w:szCs w:val="21"/>
              </w:rPr>
              <w:t xml:space="preserve"> </w:t>
            </w:r>
            <w:r w:rsidRPr="00C67C49">
              <w:rPr>
                <w:rFonts w:ascii="Abadi" w:hAnsi="Abadi" w:cs="*Microsoft Sans Serif-7631-Iden"/>
                <w:color w:val="151515"/>
                <w:sz w:val="21"/>
                <w:szCs w:val="21"/>
              </w:rPr>
              <w:t>agricultura familiar.</w:t>
            </w:r>
          </w:p>
          <w:p w14:paraId="51368B04" w14:textId="77777777" w:rsidR="005767CC" w:rsidRDefault="005767CC" w:rsidP="00317E08">
            <w:pPr>
              <w:autoSpaceDE w:val="0"/>
              <w:autoSpaceDN w:val="0"/>
              <w:adjustRightInd w:val="0"/>
              <w:jc w:val="both"/>
              <w:rPr>
                <w:rFonts w:ascii="Abadi" w:hAnsi="Abadi" w:cs="*Microsoft Sans Serif-7631-Iden"/>
                <w:color w:val="151515"/>
                <w:sz w:val="21"/>
                <w:szCs w:val="21"/>
              </w:rPr>
            </w:pPr>
          </w:p>
          <w:p w14:paraId="347FF0DF" w14:textId="77777777" w:rsidR="005767CC" w:rsidRDefault="005767CC" w:rsidP="00317E08">
            <w:pPr>
              <w:autoSpaceDE w:val="0"/>
              <w:autoSpaceDN w:val="0"/>
              <w:adjustRightInd w:val="0"/>
              <w:jc w:val="both"/>
              <w:rPr>
                <w:rFonts w:ascii="Abadi" w:hAnsi="Abadi" w:cs="*Microsoft Sans Serif-7631-Iden"/>
                <w:color w:val="151515"/>
                <w:sz w:val="21"/>
                <w:szCs w:val="21"/>
              </w:rPr>
            </w:pPr>
            <w:r w:rsidRPr="00C67C49">
              <w:rPr>
                <w:rFonts w:ascii="Abadi" w:hAnsi="Abadi" w:cs="*Microsoft Sans Serif-7631-Iden"/>
                <w:color w:val="151515"/>
                <w:sz w:val="21"/>
                <w:szCs w:val="21"/>
              </w:rPr>
              <w:t xml:space="preserve">Artículo 8. Corresponde a la Secretaría </w:t>
            </w:r>
          </w:p>
          <w:p w14:paraId="2B4869C3" w14:textId="77777777" w:rsidR="005767CC" w:rsidRDefault="005767CC" w:rsidP="00317E08">
            <w:pPr>
              <w:autoSpaceDE w:val="0"/>
              <w:autoSpaceDN w:val="0"/>
              <w:adjustRightInd w:val="0"/>
              <w:jc w:val="both"/>
              <w:rPr>
                <w:rFonts w:ascii="Abadi" w:hAnsi="Abadi" w:cs="*Microsoft Sans Serif-7631-Iden"/>
                <w:color w:val="151515"/>
                <w:sz w:val="21"/>
                <w:szCs w:val="21"/>
              </w:rPr>
            </w:pPr>
          </w:p>
          <w:p w14:paraId="140E3403" w14:textId="77777777" w:rsidR="005767CC" w:rsidRPr="00C67C49" w:rsidRDefault="005767CC" w:rsidP="00317E08">
            <w:pPr>
              <w:autoSpaceDE w:val="0"/>
              <w:autoSpaceDN w:val="0"/>
              <w:adjustRightInd w:val="0"/>
              <w:jc w:val="both"/>
              <w:rPr>
                <w:rFonts w:ascii="Abadi" w:hAnsi="Abadi" w:cs="*Microsoft Sans Serif-7631-Iden"/>
                <w:color w:val="151515"/>
                <w:sz w:val="21"/>
                <w:szCs w:val="21"/>
              </w:rPr>
            </w:pPr>
            <w:r w:rsidRPr="00C67C49">
              <w:rPr>
                <w:rFonts w:ascii="Abadi" w:hAnsi="Abadi" w:cs="*Microsoft Sans Serif-7631-Iden"/>
                <w:color w:val="151515"/>
                <w:sz w:val="21"/>
                <w:szCs w:val="21"/>
              </w:rPr>
              <w:t>l. Ejecutar las políticas ...</w:t>
            </w:r>
          </w:p>
          <w:p w14:paraId="7FEE0637" w14:textId="77777777" w:rsidR="005767CC" w:rsidRDefault="005767CC" w:rsidP="00317E08">
            <w:pPr>
              <w:autoSpaceDE w:val="0"/>
              <w:autoSpaceDN w:val="0"/>
              <w:adjustRightInd w:val="0"/>
              <w:jc w:val="both"/>
              <w:rPr>
                <w:rFonts w:ascii="Abadi" w:hAnsi="Abadi" w:cs="*Microsoft Sans Serif-7631-Iden"/>
                <w:color w:val="151515"/>
                <w:sz w:val="21"/>
                <w:szCs w:val="21"/>
              </w:rPr>
            </w:pPr>
          </w:p>
          <w:p w14:paraId="697175D9" w14:textId="77777777" w:rsidR="005767CC" w:rsidRPr="00C67C49" w:rsidRDefault="005767CC" w:rsidP="00317E08">
            <w:pPr>
              <w:autoSpaceDE w:val="0"/>
              <w:autoSpaceDN w:val="0"/>
              <w:adjustRightInd w:val="0"/>
              <w:jc w:val="both"/>
              <w:rPr>
                <w:rFonts w:ascii="Abadi" w:hAnsi="Abadi" w:cs="*Microsoft Sans Serif-7631-Iden"/>
                <w:color w:val="151515"/>
                <w:sz w:val="21"/>
                <w:szCs w:val="21"/>
              </w:rPr>
            </w:pPr>
            <w:r>
              <w:rPr>
                <w:rFonts w:ascii="Abadi" w:hAnsi="Abadi" w:cs="*Microsoft Sans Serif-7631-Iden"/>
                <w:color w:val="151515"/>
                <w:sz w:val="21"/>
                <w:szCs w:val="21"/>
              </w:rPr>
              <w:t>II</w:t>
            </w:r>
            <w:r w:rsidRPr="00C67C49">
              <w:rPr>
                <w:rFonts w:ascii="Abadi" w:hAnsi="Abadi" w:cs="*Microsoft Sans Serif-7631-Iden"/>
                <w:color w:val="151515"/>
                <w:sz w:val="21"/>
                <w:szCs w:val="21"/>
              </w:rPr>
              <w:t>. Desarrollar programas, en</w:t>
            </w:r>
            <w:r>
              <w:rPr>
                <w:rFonts w:ascii="Abadi" w:hAnsi="Abadi" w:cs="*Microsoft Sans Serif-7631-Iden"/>
                <w:color w:val="151515"/>
                <w:sz w:val="21"/>
                <w:szCs w:val="21"/>
              </w:rPr>
              <w:t xml:space="preserve"> …</w:t>
            </w:r>
          </w:p>
          <w:p w14:paraId="40C2E810" w14:textId="77777777" w:rsidR="005767CC" w:rsidRDefault="005767CC" w:rsidP="00317E08">
            <w:pPr>
              <w:autoSpaceDE w:val="0"/>
              <w:autoSpaceDN w:val="0"/>
              <w:adjustRightInd w:val="0"/>
              <w:jc w:val="both"/>
              <w:rPr>
                <w:rFonts w:ascii="Abadi" w:hAnsi="Abadi" w:cs="*Microsoft Sans Serif-7631-Iden"/>
                <w:color w:val="151515"/>
                <w:sz w:val="21"/>
                <w:szCs w:val="21"/>
              </w:rPr>
            </w:pPr>
          </w:p>
          <w:p w14:paraId="104D8CAD" w14:textId="77777777" w:rsidR="005767CC" w:rsidRPr="00C67C49" w:rsidRDefault="005767CC" w:rsidP="00317E08">
            <w:pPr>
              <w:autoSpaceDE w:val="0"/>
              <w:autoSpaceDN w:val="0"/>
              <w:adjustRightInd w:val="0"/>
              <w:jc w:val="both"/>
              <w:rPr>
                <w:rFonts w:ascii="Abadi" w:hAnsi="Abadi" w:cs="*Microsoft Sans Serif-7631-Iden"/>
                <w:color w:val="151515"/>
                <w:sz w:val="21"/>
                <w:szCs w:val="21"/>
              </w:rPr>
            </w:pPr>
            <w:r>
              <w:rPr>
                <w:rFonts w:ascii="Abadi" w:hAnsi="Abadi" w:cs="*Microsoft Sans Serif-7631-Iden"/>
                <w:color w:val="151515"/>
                <w:sz w:val="21"/>
                <w:szCs w:val="21"/>
              </w:rPr>
              <w:t>III</w:t>
            </w:r>
            <w:r w:rsidRPr="00C67C49">
              <w:rPr>
                <w:rFonts w:ascii="Abadi" w:hAnsi="Abadi" w:cs="*Microsoft Sans Serif-7631-Iden"/>
                <w:color w:val="151515"/>
                <w:sz w:val="21"/>
                <w:szCs w:val="21"/>
              </w:rPr>
              <w:t xml:space="preserve">. Gestionar infraestructura </w:t>
            </w:r>
            <w:r>
              <w:rPr>
                <w:rFonts w:ascii="Abadi" w:hAnsi="Abadi" w:cs="*Microsoft Sans Serif-7631-Iden"/>
                <w:color w:val="151515"/>
                <w:sz w:val="21"/>
                <w:szCs w:val="21"/>
              </w:rPr>
              <w:t>…</w:t>
            </w:r>
          </w:p>
          <w:p w14:paraId="0A1A7AAE" w14:textId="77777777" w:rsidR="005767CC" w:rsidRDefault="005767CC" w:rsidP="00317E08">
            <w:pPr>
              <w:autoSpaceDE w:val="0"/>
              <w:autoSpaceDN w:val="0"/>
              <w:adjustRightInd w:val="0"/>
              <w:jc w:val="both"/>
              <w:rPr>
                <w:rFonts w:ascii="Abadi" w:hAnsi="Abadi" w:cs="*Microsoft Sans Serif-7631-Iden"/>
                <w:color w:val="161616"/>
                <w:sz w:val="21"/>
                <w:szCs w:val="21"/>
              </w:rPr>
            </w:pPr>
          </w:p>
          <w:p w14:paraId="34E110AC" w14:textId="77777777" w:rsidR="005767CC" w:rsidRPr="00C67C49" w:rsidRDefault="005767CC" w:rsidP="00317E08">
            <w:pPr>
              <w:autoSpaceDE w:val="0"/>
              <w:autoSpaceDN w:val="0"/>
              <w:adjustRightInd w:val="0"/>
              <w:jc w:val="both"/>
              <w:rPr>
                <w:rFonts w:ascii="Abadi" w:hAnsi="Abadi" w:cs="*Microsoft Sans Serif-7631-Iden"/>
                <w:color w:val="161616"/>
                <w:sz w:val="21"/>
                <w:szCs w:val="21"/>
              </w:rPr>
            </w:pPr>
            <w:r w:rsidRPr="00C67C49">
              <w:rPr>
                <w:rFonts w:ascii="Abadi" w:hAnsi="Abadi" w:cs="*Microsoft Sans Serif-7631-Iden"/>
                <w:color w:val="161616"/>
                <w:sz w:val="21"/>
                <w:szCs w:val="21"/>
              </w:rPr>
              <w:t>IV. Facilitar y promover</w:t>
            </w:r>
            <w:r>
              <w:rPr>
                <w:rFonts w:ascii="Abadi" w:hAnsi="Abadi" w:cs="*Microsoft Sans Serif-7631-Iden"/>
                <w:color w:val="161616"/>
                <w:sz w:val="21"/>
                <w:szCs w:val="21"/>
              </w:rPr>
              <w:t xml:space="preserve"> …</w:t>
            </w:r>
          </w:p>
          <w:p w14:paraId="39495773" w14:textId="77777777" w:rsidR="005767CC" w:rsidRDefault="005767CC" w:rsidP="00317E08">
            <w:pPr>
              <w:autoSpaceDE w:val="0"/>
              <w:autoSpaceDN w:val="0"/>
              <w:adjustRightInd w:val="0"/>
              <w:jc w:val="both"/>
              <w:rPr>
                <w:rFonts w:ascii="Abadi" w:hAnsi="Abadi" w:cs="*Microsoft Sans Serif-7631-Iden"/>
                <w:color w:val="161616"/>
                <w:sz w:val="21"/>
                <w:szCs w:val="21"/>
              </w:rPr>
            </w:pPr>
          </w:p>
          <w:p w14:paraId="4DAC9CC3" w14:textId="77777777" w:rsidR="005767CC" w:rsidRPr="00C67C49" w:rsidRDefault="005767CC" w:rsidP="00317E08">
            <w:pPr>
              <w:autoSpaceDE w:val="0"/>
              <w:autoSpaceDN w:val="0"/>
              <w:adjustRightInd w:val="0"/>
              <w:jc w:val="both"/>
              <w:rPr>
                <w:rFonts w:ascii="Abadi" w:hAnsi="Abadi" w:cs="*Microsoft Sans Serif-7631-Iden"/>
                <w:color w:val="161616"/>
                <w:sz w:val="21"/>
                <w:szCs w:val="21"/>
              </w:rPr>
            </w:pPr>
            <w:r w:rsidRPr="00C67C49">
              <w:rPr>
                <w:rFonts w:ascii="Abadi" w:hAnsi="Abadi" w:cs="*Microsoft Sans Serif-7631-Iden"/>
                <w:color w:val="161616"/>
                <w:sz w:val="21"/>
                <w:szCs w:val="21"/>
              </w:rPr>
              <w:t>V. Promover la participación ...</w:t>
            </w:r>
          </w:p>
          <w:p w14:paraId="7206B157" w14:textId="77777777" w:rsidR="005767CC" w:rsidRDefault="005767CC" w:rsidP="00317E08">
            <w:pPr>
              <w:autoSpaceDE w:val="0"/>
              <w:autoSpaceDN w:val="0"/>
              <w:adjustRightInd w:val="0"/>
              <w:jc w:val="both"/>
              <w:rPr>
                <w:rFonts w:ascii="Abadi" w:hAnsi="Abadi" w:cs="*Microsoft Sans Serif-7631-Iden"/>
                <w:color w:val="161616"/>
                <w:sz w:val="21"/>
                <w:szCs w:val="21"/>
              </w:rPr>
            </w:pPr>
          </w:p>
          <w:p w14:paraId="05CE41E8" w14:textId="77777777" w:rsidR="005767CC" w:rsidRPr="00C67C49" w:rsidRDefault="005767CC" w:rsidP="00317E08">
            <w:pPr>
              <w:autoSpaceDE w:val="0"/>
              <w:autoSpaceDN w:val="0"/>
              <w:adjustRightInd w:val="0"/>
              <w:jc w:val="both"/>
              <w:rPr>
                <w:rFonts w:ascii="Abadi" w:hAnsi="Abadi" w:cs="*Microsoft Sans Serif-7631-Iden"/>
                <w:color w:val="161616"/>
                <w:sz w:val="21"/>
                <w:szCs w:val="21"/>
              </w:rPr>
            </w:pPr>
            <w:r w:rsidRPr="00C67C49">
              <w:rPr>
                <w:rFonts w:ascii="Abadi" w:hAnsi="Abadi" w:cs="*Microsoft Sans Serif-7631-Iden"/>
                <w:color w:val="161616"/>
                <w:sz w:val="21"/>
                <w:szCs w:val="21"/>
              </w:rPr>
              <w:t>VI. Aplicar los principios ...</w:t>
            </w:r>
          </w:p>
          <w:p w14:paraId="54C318F4" w14:textId="77777777" w:rsidR="005767CC" w:rsidRDefault="005767CC" w:rsidP="00317E08">
            <w:pPr>
              <w:autoSpaceDE w:val="0"/>
              <w:autoSpaceDN w:val="0"/>
              <w:adjustRightInd w:val="0"/>
              <w:jc w:val="both"/>
              <w:rPr>
                <w:rFonts w:ascii="Abadi" w:hAnsi="Abadi" w:cs="*Microsoft Sans Serif-7631-Iden"/>
                <w:color w:val="151515"/>
                <w:sz w:val="21"/>
                <w:szCs w:val="21"/>
              </w:rPr>
            </w:pPr>
          </w:p>
          <w:p w14:paraId="5BA120E8" w14:textId="77777777" w:rsidR="005767CC" w:rsidRPr="00C67C49" w:rsidRDefault="005767CC" w:rsidP="00317E08">
            <w:pPr>
              <w:autoSpaceDE w:val="0"/>
              <w:autoSpaceDN w:val="0"/>
              <w:adjustRightInd w:val="0"/>
              <w:jc w:val="both"/>
              <w:rPr>
                <w:rFonts w:ascii="Abadi" w:hAnsi="Abadi" w:cs="*Microsoft Sans Serif-7631-Iden"/>
                <w:color w:val="151515"/>
                <w:sz w:val="21"/>
                <w:szCs w:val="21"/>
              </w:rPr>
            </w:pPr>
            <w:r w:rsidRPr="00C67C49">
              <w:rPr>
                <w:rFonts w:ascii="Abadi" w:hAnsi="Abadi" w:cs="*Microsoft Sans Serif-7631-Iden"/>
                <w:color w:val="151515"/>
                <w:sz w:val="21"/>
                <w:szCs w:val="21"/>
              </w:rPr>
              <w:t>VII. Crear y gestionar ...</w:t>
            </w:r>
          </w:p>
          <w:p w14:paraId="4F783D12" w14:textId="77777777" w:rsidR="005767CC" w:rsidRDefault="005767CC" w:rsidP="00317E08">
            <w:pPr>
              <w:autoSpaceDE w:val="0"/>
              <w:autoSpaceDN w:val="0"/>
              <w:adjustRightInd w:val="0"/>
              <w:jc w:val="both"/>
              <w:rPr>
                <w:rFonts w:ascii="Abadi" w:hAnsi="Abadi" w:cs="*Microsoft Sans Serif-7631-Iden"/>
                <w:color w:val="161616"/>
                <w:sz w:val="21"/>
                <w:szCs w:val="21"/>
              </w:rPr>
            </w:pPr>
          </w:p>
          <w:p w14:paraId="52CBBEBE" w14:textId="77777777" w:rsidR="005767CC" w:rsidRPr="00C67C49" w:rsidRDefault="005767CC" w:rsidP="00317E08">
            <w:pPr>
              <w:autoSpaceDE w:val="0"/>
              <w:autoSpaceDN w:val="0"/>
              <w:adjustRightInd w:val="0"/>
              <w:jc w:val="both"/>
              <w:rPr>
                <w:rFonts w:ascii="Abadi" w:hAnsi="Abadi" w:cs="*Microsoft Sans Serif-7631-Iden"/>
                <w:color w:val="161616"/>
                <w:sz w:val="21"/>
                <w:szCs w:val="21"/>
              </w:rPr>
            </w:pPr>
            <w:r w:rsidRPr="00C67C49">
              <w:rPr>
                <w:rFonts w:ascii="Abadi" w:hAnsi="Abadi" w:cs="*Microsoft Sans Serif-7631-Iden"/>
                <w:color w:val="161616"/>
                <w:sz w:val="21"/>
                <w:szCs w:val="21"/>
              </w:rPr>
              <w:t>VIII. Conducir la promoción ...</w:t>
            </w:r>
          </w:p>
          <w:p w14:paraId="6D616BBE" w14:textId="77777777" w:rsidR="005767CC" w:rsidRDefault="005767CC" w:rsidP="00317E08">
            <w:pPr>
              <w:autoSpaceDE w:val="0"/>
              <w:autoSpaceDN w:val="0"/>
              <w:adjustRightInd w:val="0"/>
              <w:jc w:val="both"/>
              <w:rPr>
                <w:rFonts w:ascii="Abadi" w:hAnsi="Abadi" w:cs="*Microsoft Sans Serif-7631-Iden"/>
                <w:color w:val="161616"/>
                <w:sz w:val="21"/>
                <w:szCs w:val="21"/>
              </w:rPr>
            </w:pPr>
          </w:p>
          <w:p w14:paraId="4D6F475E" w14:textId="77777777" w:rsidR="005767CC" w:rsidRPr="00C67C49" w:rsidRDefault="005767CC" w:rsidP="00317E08">
            <w:pPr>
              <w:autoSpaceDE w:val="0"/>
              <w:autoSpaceDN w:val="0"/>
              <w:adjustRightInd w:val="0"/>
              <w:jc w:val="both"/>
              <w:rPr>
                <w:rFonts w:ascii="Abadi" w:hAnsi="Abadi" w:cs="*Microsoft Sans Serif-7631-Iden"/>
                <w:color w:val="161616"/>
                <w:sz w:val="21"/>
                <w:szCs w:val="21"/>
              </w:rPr>
            </w:pPr>
            <w:r w:rsidRPr="00C67C49">
              <w:rPr>
                <w:rFonts w:ascii="Abadi" w:hAnsi="Abadi" w:cs="*Microsoft Sans Serif-7631-Iden"/>
                <w:color w:val="161616"/>
                <w:sz w:val="21"/>
                <w:szCs w:val="21"/>
              </w:rPr>
              <w:t>IX. Definir las estrategias ...</w:t>
            </w:r>
          </w:p>
          <w:p w14:paraId="4111B7FE" w14:textId="77777777" w:rsidR="005767CC" w:rsidRDefault="005767CC" w:rsidP="00317E08">
            <w:pPr>
              <w:autoSpaceDE w:val="0"/>
              <w:autoSpaceDN w:val="0"/>
              <w:adjustRightInd w:val="0"/>
              <w:jc w:val="both"/>
              <w:rPr>
                <w:rFonts w:ascii="Abadi" w:hAnsi="Abadi" w:cs="*Microsoft Sans Serif-7631-Iden"/>
                <w:color w:val="161616"/>
                <w:sz w:val="21"/>
                <w:szCs w:val="21"/>
              </w:rPr>
            </w:pPr>
          </w:p>
          <w:p w14:paraId="5FCC52C1" w14:textId="77777777" w:rsidR="005767CC" w:rsidRPr="00C67C49" w:rsidRDefault="005767CC" w:rsidP="00317E08">
            <w:pPr>
              <w:autoSpaceDE w:val="0"/>
              <w:autoSpaceDN w:val="0"/>
              <w:adjustRightInd w:val="0"/>
              <w:jc w:val="both"/>
              <w:rPr>
                <w:rFonts w:ascii="Abadi" w:hAnsi="Abadi" w:cs="*Microsoft Sans Serif-7631-Iden"/>
                <w:color w:val="161616"/>
                <w:sz w:val="21"/>
                <w:szCs w:val="21"/>
              </w:rPr>
            </w:pPr>
            <w:r w:rsidRPr="00C67C49">
              <w:rPr>
                <w:rFonts w:ascii="Abadi" w:hAnsi="Abadi" w:cs="*Microsoft Sans Serif-7631-Iden"/>
                <w:color w:val="161616"/>
                <w:sz w:val="21"/>
                <w:szCs w:val="21"/>
              </w:rPr>
              <w:t>X. Coadyuvar con los ...</w:t>
            </w:r>
          </w:p>
          <w:p w14:paraId="3C8F9AE4" w14:textId="77777777" w:rsidR="005767CC" w:rsidRDefault="005767CC" w:rsidP="00317E08">
            <w:pPr>
              <w:autoSpaceDE w:val="0"/>
              <w:autoSpaceDN w:val="0"/>
              <w:adjustRightInd w:val="0"/>
              <w:jc w:val="both"/>
              <w:rPr>
                <w:rFonts w:ascii="Abadi" w:hAnsi="Abadi" w:cs="*Microsoft Sans Serif-7631-Iden"/>
                <w:color w:val="151515"/>
                <w:sz w:val="21"/>
                <w:szCs w:val="21"/>
              </w:rPr>
            </w:pPr>
          </w:p>
          <w:p w14:paraId="6C36026E" w14:textId="77777777" w:rsidR="005767CC" w:rsidRPr="00C67C49" w:rsidRDefault="005767CC" w:rsidP="00317E08">
            <w:pPr>
              <w:autoSpaceDE w:val="0"/>
              <w:autoSpaceDN w:val="0"/>
              <w:adjustRightInd w:val="0"/>
              <w:jc w:val="both"/>
              <w:rPr>
                <w:rFonts w:ascii="Abadi" w:hAnsi="Abadi" w:cs="*Microsoft Sans Serif-7631-Iden"/>
                <w:color w:val="151515"/>
                <w:sz w:val="21"/>
                <w:szCs w:val="21"/>
              </w:rPr>
            </w:pPr>
            <w:r w:rsidRPr="00C67C49">
              <w:rPr>
                <w:rFonts w:ascii="Abadi" w:hAnsi="Abadi" w:cs="*Microsoft Sans Serif-7631-Iden"/>
                <w:color w:val="151515"/>
                <w:sz w:val="21"/>
                <w:szCs w:val="21"/>
              </w:rPr>
              <w:t>XI. Establecer las condiciones ...</w:t>
            </w:r>
          </w:p>
          <w:p w14:paraId="6F081B7C" w14:textId="77777777" w:rsidR="005767CC" w:rsidRDefault="005767CC" w:rsidP="00317E08">
            <w:pPr>
              <w:autoSpaceDE w:val="0"/>
              <w:autoSpaceDN w:val="0"/>
              <w:adjustRightInd w:val="0"/>
              <w:jc w:val="both"/>
              <w:rPr>
                <w:rFonts w:ascii="Abadi" w:hAnsi="Abadi" w:cs="*Microsoft Sans Serif-7631-Iden"/>
                <w:color w:val="151515"/>
                <w:sz w:val="21"/>
                <w:szCs w:val="21"/>
              </w:rPr>
            </w:pPr>
          </w:p>
          <w:p w14:paraId="2513690C" w14:textId="77777777" w:rsidR="005767CC" w:rsidRDefault="005767CC" w:rsidP="00317E08">
            <w:pPr>
              <w:autoSpaceDE w:val="0"/>
              <w:autoSpaceDN w:val="0"/>
              <w:adjustRightInd w:val="0"/>
              <w:jc w:val="both"/>
              <w:rPr>
                <w:rFonts w:ascii="Abadi" w:hAnsi="Abadi" w:cs="*Microsoft Sans Serif-Bold-7632"/>
                <w:b/>
                <w:bCs/>
                <w:color w:val="151515"/>
                <w:sz w:val="21"/>
                <w:szCs w:val="21"/>
              </w:rPr>
            </w:pPr>
            <w:r w:rsidRPr="00C67C49">
              <w:rPr>
                <w:rFonts w:ascii="Abadi" w:hAnsi="Abadi" w:cs="*Microsoft Sans Serif-7631-Iden"/>
                <w:color w:val="151515"/>
                <w:sz w:val="21"/>
                <w:szCs w:val="21"/>
              </w:rPr>
              <w:t>XII. Informar, supervisar y ...</w:t>
            </w:r>
            <w:r w:rsidRPr="00C67C49">
              <w:rPr>
                <w:rFonts w:ascii="Abadi" w:hAnsi="Abadi" w:cs="*Microsoft Sans Serif-Bold-7632"/>
                <w:b/>
                <w:bCs/>
                <w:color w:val="151515"/>
                <w:sz w:val="21"/>
                <w:szCs w:val="21"/>
              </w:rPr>
              <w:t xml:space="preserve"> </w:t>
            </w:r>
          </w:p>
          <w:p w14:paraId="74B1B4B8" w14:textId="77777777" w:rsidR="005767CC" w:rsidRDefault="005767CC" w:rsidP="00317E08">
            <w:pPr>
              <w:autoSpaceDE w:val="0"/>
              <w:autoSpaceDN w:val="0"/>
              <w:adjustRightInd w:val="0"/>
              <w:jc w:val="both"/>
              <w:rPr>
                <w:rFonts w:ascii="Abadi" w:hAnsi="Abadi" w:cs="*Microsoft Sans Serif-Bold-7632"/>
                <w:b/>
                <w:bCs/>
                <w:color w:val="151515"/>
                <w:sz w:val="21"/>
                <w:szCs w:val="21"/>
              </w:rPr>
            </w:pPr>
          </w:p>
          <w:p w14:paraId="606EDBFF" w14:textId="77777777" w:rsidR="005767CC" w:rsidRPr="00C67C49" w:rsidRDefault="005767CC" w:rsidP="00317E08">
            <w:pPr>
              <w:autoSpaceDE w:val="0"/>
              <w:autoSpaceDN w:val="0"/>
              <w:adjustRightInd w:val="0"/>
              <w:jc w:val="both"/>
              <w:rPr>
                <w:rFonts w:ascii="Abadi" w:hAnsi="Abadi" w:cs="*Microsoft Sans Serif-7631-Iden"/>
                <w:color w:val="151515"/>
                <w:sz w:val="21"/>
                <w:szCs w:val="21"/>
              </w:rPr>
            </w:pPr>
            <w:r w:rsidRPr="00C67C49">
              <w:rPr>
                <w:rFonts w:ascii="Abadi" w:hAnsi="Abadi" w:cs="*Microsoft Sans Serif-Bold-7632"/>
                <w:b/>
                <w:bCs/>
                <w:color w:val="151515"/>
                <w:sz w:val="21"/>
                <w:szCs w:val="21"/>
              </w:rPr>
              <w:t xml:space="preserve">XIII. </w:t>
            </w:r>
            <w:r w:rsidRPr="00C67C49">
              <w:rPr>
                <w:rFonts w:ascii="Abadi" w:hAnsi="Abadi" w:cs="*Microsoft Sans Serif-7631-Iden"/>
                <w:color w:val="151515"/>
                <w:sz w:val="21"/>
                <w:szCs w:val="21"/>
              </w:rPr>
              <w:t>La Secretaría promoverá ante las instituciones de educación de tipo superior,</w:t>
            </w:r>
          </w:p>
          <w:p w14:paraId="17FAA7DF" w14:textId="77777777" w:rsidR="005767CC" w:rsidRPr="00C67C49" w:rsidRDefault="005767CC" w:rsidP="00317E08">
            <w:pPr>
              <w:autoSpaceDE w:val="0"/>
              <w:autoSpaceDN w:val="0"/>
              <w:adjustRightInd w:val="0"/>
              <w:jc w:val="both"/>
              <w:rPr>
                <w:rFonts w:ascii="Abadi" w:hAnsi="Abadi" w:cs="*Arial-8722-Identity-H"/>
                <w:color w:val="151515"/>
                <w:sz w:val="21"/>
                <w:szCs w:val="21"/>
              </w:rPr>
            </w:pPr>
            <w:r w:rsidRPr="00C67C49">
              <w:rPr>
                <w:rFonts w:ascii="Abadi" w:hAnsi="Abadi" w:cs="*Microsoft Sans Serif-7631-Iden"/>
                <w:color w:val="151515"/>
                <w:sz w:val="21"/>
                <w:szCs w:val="21"/>
              </w:rPr>
              <w:t xml:space="preserve">investigaciones que beneficien la </w:t>
            </w:r>
            <w:r w:rsidRPr="00C67C49">
              <w:rPr>
                <w:rFonts w:ascii="Abadi" w:hAnsi="Abadi" w:cs="*Microsoft Sans Serif-7631-Iden"/>
                <w:color w:val="151515"/>
                <w:sz w:val="21"/>
                <w:szCs w:val="21"/>
              </w:rPr>
              <w:t>creación,</w:t>
            </w:r>
            <w:r w:rsidRPr="00C67C49">
              <w:rPr>
                <w:rFonts w:ascii="Abadi" w:hAnsi="Abadi" w:cs="*Arial-8722-Identity-H"/>
                <w:color w:val="151515"/>
                <w:sz w:val="21"/>
                <w:szCs w:val="21"/>
              </w:rPr>
              <w:t xml:space="preserve"> desarrollo y protección de la agricultura</w:t>
            </w:r>
          </w:p>
          <w:p w14:paraId="0606CE83" w14:textId="77777777" w:rsidR="005767CC" w:rsidRPr="00C67C49" w:rsidRDefault="005767CC" w:rsidP="00317E08">
            <w:pPr>
              <w:autoSpaceDE w:val="0"/>
              <w:autoSpaceDN w:val="0"/>
              <w:adjustRightInd w:val="0"/>
              <w:jc w:val="both"/>
              <w:rPr>
                <w:rFonts w:ascii="Abadi" w:hAnsi="Abadi" w:cs="*Arial-8722-Identity-H"/>
                <w:color w:val="151515"/>
                <w:sz w:val="21"/>
                <w:szCs w:val="21"/>
              </w:rPr>
            </w:pPr>
            <w:r w:rsidRPr="00C67C49">
              <w:rPr>
                <w:rFonts w:ascii="Abadi" w:hAnsi="Abadi" w:cs="*Arial-8722-Identity-H"/>
                <w:color w:val="151515"/>
                <w:sz w:val="21"/>
                <w:szCs w:val="21"/>
              </w:rPr>
              <w:t>familiar.</w:t>
            </w:r>
          </w:p>
          <w:p w14:paraId="4E2D296B" w14:textId="77777777" w:rsidR="005767CC" w:rsidRDefault="005767CC" w:rsidP="00317E08">
            <w:pPr>
              <w:autoSpaceDE w:val="0"/>
              <w:autoSpaceDN w:val="0"/>
              <w:adjustRightInd w:val="0"/>
              <w:jc w:val="both"/>
              <w:rPr>
                <w:rFonts w:ascii="Abadi" w:hAnsi="Abadi" w:cs="*Arial-8722-Identity-H"/>
                <w:color w:val="151515"/>
                <w:sz w:val="21"/>
                <w:szCs w:val="21"/>
              </w:rPr>
            </w:pPr>
          </w:p>
          <w:p w14:paraId="48D2C41D" w14:textId="77777777" w:rsidR="00D7099D" w:rsidRDefault="00D7099D" w:rsidP="00317E08">
            <w:pPr>
              <w:autoSpaceDE w:val="0"/>
              <w:autoSpaceDN w:val="0"/>
              <w:adjustRightInd w:val="0"/>
              <w:jc w:val="both"/>
              <w:rPr>
                <w:rFonts w:ascii="Abadi" w:hAnsi="Abadi" w:cs="*Arial-8722-Identity-H"/>
                <w:color w:val="151515"/>
                <w:sz w:val="21"/>
                <w:szCs w:val="21"/>
              </w:rPr>
            </w:pPr>
          </w:p>
          <w:p w14:paraId="0060F4C9" w14:textId="77777777" w:rsidR="00D7099D" w:rsidRDefault="00D7099D" w:rsidP="00317E08">
            <w:pPr>
              <w:autoSpaceDE w:val="0"/>
              <w:autoSpaceDN w:val="0"/>
              <w:adjustRightInd w:val="0"/>
              <w:jc w:val="both"/>
              <w:rPr>
                <w:rFonts w:ascii="Abadi" w:hAnsi="Abadi" w:cs="*Arial-8722-Identity-H"/>
                <w:color w:val="151515"/>
                <w:sz w:val="21"/>
                <w:szCs w:val="21"/>
              </w:rPr>
            </w:pPr>
          </w:p>
          <w:p w14:paraId="41E40EE3" w14:textId="77777777" w:rsidR="00D7099D" w:rsidRDefault="00D7099D" w:rsidP="00317E08">
            <w:pPr>
              <w:autoSpaceDE w:val="0"/>
              <w:autoSpaceDN w:val="0"/>
              <w:adjustRightInd w:val="0"/>
              <w:jc w:val="both"/>
              <w:rPr>
                <w:rFonts w:ascii="Abadi" w:hAnsi="Abadi" w:cs="*Arial-8722-Identity-H"/>
                <w:color w:val="151515"/>
                <w:sz w:val="21"/>
                <w:szCs w:val="21"/>
              </w:rPr>
            </w:pPr>
          </w:p>
          <w:p w14:paraId="7C30493D" w14:textId="77777777" w:rsidR="00D7099D" w:rsidRDefault="00D7099D" w:rsidP="00317E08">
            <w:pPr>
              <w:autoSpaceDE w:val="0"/>
              <w:autoSpaceDN w:val="0"/>
              <w:adjustRightInd w:val="0"/>
              <w:jc w:val="both"/>
              <w:rPr>
                <w:rFonts w:ascii="Abadi" w:hAnsi="Abadi" w:cs="*Arial-8722-Identity-H"/>
                <w:color w:val="151515"/>
                <w:sz w:val="21"/>
                <w:szCs w:val="21"/>
              </w:rPr>
            </w:pPr>
          </w:p>
          <w:p w14:paraId="586C1C0E" w14:textId="77777777" w:rsidR="00D7099D" w:rsidRDefault="00D7099D" w:rsidP="00317E08">
            <w:pPr>
              <w:autoSpaceDE w:val="0"/>
              <w:autoSpaceDN w:val="0"/>
              <w:adjustRightInd w:val="0"/>
              <w:jc w:val="both"/>
              <w:rPr>
                <w:rFonts w:ascii="Abadi" w:hAnsi="Abadi" w:cs="*Arial-8722-Identity-H"/>
                <w:color w:val="151515"/>
                <w:sz w:val="21"/>
                <w:szCs w:val="21"/>
              </w:rPr>
            </w:pPr>
          </w:p>
          <w:p w14:paraId="48ADE08E" w14:textId="77777777" w:rsidR="00D7099D" w:rsidRDefault="00D7099D" w:rsidP="00317E08">
            <w:pPr>
              <w:autoSpaceDE w:val="0"/>
              <w:autoSpaceDN w:val="0"/>
              <w:adjustRightInd w:val="0"/>
              <w:jc w:val="both"/>
              <w:rPr>
                <w:rFonts w:ascii="Abadi" w:hAnsi="Abadi" w:cs="*Arial-8722-Identity-H"/>
                <w:color w:val="151515"/>
                <w:sz w:val="21"/>
                <w:szCs w:val="21"/>
              </w:rPr>
            </w:pPr>
          </w:p>
          <w:p w14:paraId="161766BB" w14:textId="77777777" w:rsidR="00D7099D" w:rsidRDefault="00D7099D" w:rsidP="00317E08">
            <w:pPr>
              <w:autoSpaceDE w:val="0"/>
              <w:autoSpaceDN w:val="0"/>
              <w:adjustRightInd w:val="0"/>
              <w:jc w:val="both"/>
              <w:rPr>
                <w:rFonts w:ascii="Abadi" w:hAnsi="Abadi" w:cs="*Arial-8722-Identity-H"/>
                <w:color w:val="151515"/>
                <w:sz w:val="21"/>
                <w:szCs w:val="21"/>
              </w:rPr>
            </w:pPr>
          </w:p>
          <w:p w14:paraId="3D35F6E1" w14:textId="77777777" w:rsidR="00D7099D" w:rsidRDefault="00D7099D" w:rsidP="00317E08">
            <w:pPr>
              <w:autoSpaceDE w:val="0"/>
              <w:autoSpaceDN w:val="0"/>
              <w:adjustRightInd w:val="0"/>
              <w:jc w:val="both"/>
              <w:rPr>
                <w:rFonts w:ascii="Abadi" w:hAnsi="Abadi" w:cs="*Arial-8722-Identity-H"/>
                <w:color w:val="151515"/>
                <w:sz w:val="21"/>
                <w:szCs w:val="21"/>
              </w:rPr>
            </w:pPr>
          </w:p>
          <w:p w14:paraId="50FADBB1" w14:textId="77777777" w:rsidR="00D7099D" w:rsidRDefault="00D7099D" w:rsidP="00317E08">
            <w:pPr>
              <w:autoSpaceDE w:val="0"/>
              <w:autoSpaceDN w:val="0"/>
              <w:adjustRightInd w:val="0"/>
              <w:jc w:val="both"/>
              <w:rPr>
                <w:rFonts w:ascii="Abadi" w:hAnsi="Abadi" w:cs="*Arial-8722-Identity-H"/>
                <w:color w:val="151515"/>
                <w:sz w:val="21"/>
                <w:szCs w:val="21"/>
              </w:rPr>
            </w:pPr>
          </w:p>
          <w:p w14:paraId="7FBD98CE" w14:textId="77777777" w:rsidR="00D7099D" w:rsidRDefault="00D7099D" w:rsidP="00317E08">
            <w:pPr>
              <w:autoSpaceDE w:val="0"/>
              <w:autoSpaceDN w:val="0"/>
              <w:adjustRightInd w:val="0"/>
              <w:jc w:val="both"/>
              <w:rPr>
                <w:rFonts w:ascii="Abadi" w:hAnsi="Abadi" w:cs="*Arial-8722-Identity-H"/>
                <w:color w:val="151515"/>
                <w:sz w:val="21"/>
                <w:szCs w:val="21"/>
              </w:rPr>
            </w:pPr>
          </w:p>
          <w:p w14:paraId="29B111DE" w14:textId="77777777" w:rsidR="00D7099D" w:rsidRDefault="00D7099D" w:rsidP="00317E08">
            <w:pPr>
              <w:autoSpaceDE w:val="0"/>
              <w:autoSpaceDN w:val="0"/>
              <w:adjustRightInd w:val="0"/>
              <w:jc w:val="both"/>
              <w:rPr>
                <w:rFonts w:ascii="Abadi" w:hAnsi="Abadi" w:cs="*Arial-8722-Identity-H"/>
                <w:color w:val="151515"/>
                <w:sz w:val="21"/>
                <w:szCs w:val="21"/>
              </w:rPr>
            </w:pPr>
          </w:p>
          <w:p w14:paraId="75A60613" w14:textId="77777777" w:rsidR="00D7099D" w:rsidRDefault="00D7099D" w:rsidP="00317E08">
            <w:pPr>
              <w:autoSpaceDE w:val="0"/>
              <w:autoSpaceDN w:val="0"/>
              <w:adjustRightInd w:val="0"/>
              <w:jc w:val="both"/>
              <w:rPr>
                <w:rFonts w:ascii="Abadi" w:hAnsi="Abadi" w:cs="*Arial-8722-Identity-H"/>
                <w:color w:val="151515"/>
                <w:sz w:val="21"/>
                <w:szCs w:val="21"/>
              </w:rPr>
            </w:pPr>
          </w:p>
          <w:p w14:paraId="33676449" w14:textId="77777777" w:rsidR="00D7099D" w:rsidRDefault="00D7099D" w:rsidP="00317E08">
            <w:pPr>
              <w:autoSpaceDE w:val="0"/>
              <w:autoSpaceDN w:val="0"/>
              <w:adjustRightInd w:val="0"/>
              <w:jc w:val="both"/>
              <w:rPr>
                <w:rFonts w:ascii="Abadi" w:hAnsi="Abadi" w:cs="*Arial-8722-Identity-H"/>
                <w:color w:val="151515"/>
                <w:sz w:val="21"/>
                <w:szCs w:val="21"/>
              </w:rPr>
            </w:pPr>
          </w:p>
          <w:p w14:paraId="483AFB67" w14:textId="77777777" w:rsidR="00D7099D" w:rsidRDefault="00D7099D" w:rsidP="00317E08">
            <w:pPr>
              <w:autoSpaceDE w:val="0"/>
              <w:autoSpaceDN w:val="0"/>
              <w:adjustRightInd w:val="0"/>
              <w:jc w:val="both"/>
              <w:rPr>
                <w:rFonts w:ascii="Abadi" w:hAnsi="Abadi" w:cs="*Arial-8722-Identity-H"/>
                <w:color w:val="151515"/>
                <w:sz w:val="21"/>
                <w:szCs w:val="21"/>
              </w:rPr>
            </w:pPr>
          </w:p>
          <w:p w14:paraId="2F527C52" w14:textId="77777777" w:rsidR="00D7099D" w:rsidRDefault="00D7099D" w:rsidP="00317E08">
            <w:pPr>
              <w:autoSpaceDE w:val="0"/>
              <w:autoSpaceDN w:val="0"/>
              <w:adjustRightInd w:val="0"/>
              <w:jc w:val="both"/>
              <w:rPr>
                <w:rFonts w:ascii="Abadi" w:hAnsi="Abadi" w:cs="*Arial-8722-Identity-H"/>
                <w:color w:val="151515"/>
                <w:sz w:val="21"/>
                <w:szCs w:val="21"/>
              </w:rPr>
            </w:pPr>
          </w:p>
          <w:p w14:paraId="3D72200F" w14:textId="77777777" w:rsidR="00D7099D" w:rsidRDefault="00D7099D" w:rsidP="00317E08">
            <w:pPr>
              <w:autoSpaceDE w:val="0"/>
              <w:autoSpaceDN w:val="0"/>
              <w:adjustRightInd w:val="0"/>
              <w:jc w:val="both"/>
              <w:rPr>
                <w:rFonts w:ascii="Abadi" w:hAnsi="Abadi" w:cs="*Arial-8722-Identity-H"/>
                <w:color w:val="151515"/>
                <w:sz w:val="21"/>
                <w:szCs w:val="21"/>
              </w:rPr>
            </w:pPr>
          </w:p>
          <w:p w14:paraId="0F6DC793" w14:textId="77777777" w:rsidR="00D7099D" w:rsidRDefault="00D7099D" w:rsidP="00317E08">
            <w:pPr>
              <w:autoSpaceDE w:val="0"/>
              <w:autoSpaceDN w:val="0"/>
              <w:adjustRightInd w:val="0"/>
              <w:jc w:val="both"/>
              <w:rPr>
                <w:rFonts w:ascii="Abadi" w:hAnsi="Abadi" w:cs="*Arial-8722-Identity-H"/>
                <w:color w:val="151515"/>
                <w:sz w:val="21"/>
                <w:szCs w:val="21"/>
              </w:rPr>
            </w:pPr>
          </w:p>
          <w:p w14:paraId="3EF1EC84" w14:textId="77777777" w:rsidR="00D7099D" w:rsidRDefault="00D7099D" w:rsidP="00317E08">
            <w:pPr>
              <w:autoSpaceDE w:val="0"/>
              <w:autoSpaceDN w:val="0"/>
              <w:adjustRightInd w:val="0"/>
              <w:jc w:val="both"/>
              <w:rPr>
                <w:rFonts w:ascii="Abadi" w:hAnsi="Abadi" w:cs="*Arial-8722-Identity-H"/>
                <w:color w:val="151515"/>
                <w:sz w:val="21"/>
                <w:szCs w:val="21"/>
              </w:rPr>
            </w:pPr>
          </w:p>
          <w:p w14:paraId="69425012" w14:textId="77777777" w:rsidR="00D7099D" w:rsidRDefault="00D7099D" w:rsidP="00317E08">
            <w:pPr>
              <w:autoSpaceDE w:val="0"/>
              <w:autoSpaceDN w:val="0"/>
              <w:adjustRightInd w:val="0"/>
              <w:jc w:val="both"/>
              <w:rPr>
                <w:rFonts w:ascii="Abadi" w:hAnsi="Abadi" w:cs="*Arial-8722-Identity-H"/>
                <w:color w:val="151515"/>
                <w:sz w:val="21"/>
                <w:szCs w:val="21"/>
              </w:rPr>
            </w:pPr>
          </w:p>
          <w:p w14:paraId="0A3F54AE" w14:textId="77777777" w:rsidR="00D7099D" w:rsidRDefault="00D7099D" w:rsidP="00317E08">
            <w:pPr>
              <w:autoSpaceDE w:val="0"/>
              <w:autoSpaceDN w:val="0"/>
              <w:adjustRightInd w:val="0"/>
              <w:jc w:val="both"/>
              <w:rPr>
                <w:rFonts w:ascii="Abadi" w:hAnsi="Abadi" w:cs="*Arial-8722-Identity-H"/>
                <w:color w:val="151515"/>
                <w:sz w:val="21"/>
                <w:szCs w:val="21"/>
              </w:rPr>
            </w:pPr>
          </w:p>
          <w:p w14:paraId="31753E16" w14:textId="77777777" w:rsidR="00D7099D" w:rsidRDefault="00D7099D" w:rsidP="00317E08">
            <w:pPr>
              <w:autoSpaceDE w:val="0"/>
              <w:autoSpaceDN w:val="0"/>
              <w:adjustRightInd w:val="0"/>
              <w:jc w:val="both"/>
              <w:rPr>
                <w:rFonts w:ascii="Abadi" w:hAnsi="Abadi" w:cs="*Arial-8722-Identity-H"/>
                <w:color w:val="151515"/>
                <w:sz w:val="21"/>
                <w:szCs w:val="21"/>
              </w:rPr>
            </w:pPr>
          </w:p>
          <w:p w14:paraId="7992D09C" w14:textId="77777777" w:rsidR="00D7099D" w:rsidRDefault="00D7099D" w:rsidP="00317E08">
            <w:pPr>
              <w:autoSpaceDE w:val="0"/>
              <w:autoSpaceDN w:val="0"/>
              <w:adjustRightInd w:val="0"/>
              <w:jc w:val="both"/>
              <w:rPr>
                <w:rFonts w:ascii="Abadi" w:hAnsi="Abadi" w:cs="*Arial-8722-Identity-H"/>
                <w:color w:val="151515"/>
                <w:sz w:val="21"/>
                <w:szCs w:val="21"/>
              </w:rPr>
            </w:pPr>
          </w:p>
          <w:p w14:paraId="65E20E77" w14:textId="77777777" w:rsidR="00D7099D" w:rsidRDefault="00D7099D" w:rsidP="00317E08">
            <w:pPr>
              <w:autoSpaceDE w:val="0"/>
              <w:autoSpaceDN w:val="0"/>
              <w:adjustRightInd w:val="0"/>
              <w:jc w:val="both"/>
              <w:rPr>
                <w:rFonts w:ascii="Abadi" w:hAnsi="Abadi" w:cs="*Arial-8722-Identity-H"/>
                <w:color w:val="151515"/>
                <w:sz w:val="21"/>
                <w:szCs w:val="21"/>
              </w:rPr>
            </w:pPr>
          </w:p>
          <w:p w14:paraId="59BFA12A" w14:textId="77777777" w:rsidR="00D7099D" w:rsidRDefault="00D7099D" w:rsidP="00317E08">
            <w:pPr>
              <w:autoSpaceDE w:val="0"/>
              <w:autoSpaceDN w:val="0"/>
              <w:adjustRightInd w:val="0"/>
              <w:jc w:val="both"/>
              <w:rPr>
                <w:rFonts w:ascii="Abadi" w:hAnsi="Abadi" w:cs="*Arial-8722-Identity-H"/>
                <w:color w:val="151515"/>
                <w:sz w:val="21"/>
                <w:szCs w:val="21"/>
              </w:rPr>
            </w:pPr>
          </w:p>
          <w:p w14:paraId="5AC6B461" w14:textId="77777777" w:rsidR="00D7099D" w:rsidRDefault="00D7099D" w:rsidP="00317E08">
            <w:pPr>
              <w:autoSpaceDE w:val="0"/>
              <w:autoSpaceDN w:val="0"/>
              <w:adjustRightInd w:val="0"/>
              <w:jc w:val="both"/>
              <w:rPr>
                <w:rFonts w:ascii="Abadi" w:hAnsi="Abadi" w:cs="*Arial-8722-Identity-H"/>
                <w:color w:val="151515"/>
                <w:sz w:val="21"/>
                <w:szCs w:val="21"/>
              </w:rPr>
            </w:pPr>
          </w:p>
          <w:p w14:paraId="4BEF212B" w14:textId="77777777" w:rsidR="00D7099D" w:rsidRDefault="00D7099D" w:rsidP="00317E08">
            <w:pPr>
              <w:autoSpaceDE w:val="0"/>
              <w:autoSpaceDN w:val="0"/>
              <w:adjustRightInd w:val="0"/>
              <w:jc w:val="both"/>
              <w:rPr>
                <w:rFonts w:ascii="Abadi" w:hAnsi="Abadi" w:cs="*Arial-8722-Identity-H"/>
                <w:color w:val="151515"/>
                <w:sz w:val="21"/>
                <w:szCs w:val="21"/>
              </w:rPr>
            </w:pPr>
          </w:p>
          <w:p w14:paraId="15F398F7" w14:textId="77777777" w:rsidR="00D7099D" w:rsidRDefault="00D7099D" w:rsidP="00317E08">
            <w:pPr>
              <w:autoSpaceDE w:val="0"/>
              <w:autoSpaceDN w:val="0"/>
              <w:adjustRightInd w:val="0"/>
              <w:jc w:val="both"/>
              <w:rPr>
                <w:rFonts w:ascii="Abadi" w:hAnsi="Abadi" w:cs="*Arial-8722-Identity-H"/>
                <w:color w:val="151515"/>
                <w:sz w:val="21"/>
                <w:szCs w:val="21"/>
              </w:rPr>
            </w:pPr>
          </w:p>
          <w:p w14:paraId="5C690C27" w14:textId="77777777" w:rsidR="00D7099D" w:rsidRDefault="00D7099D" w:rsidP="00317E08">
            <w:pPr>
              <w:autoSpaceDE w:val="0"/>
              <w:autoSpaceDN w:val="0"/>
              <w:adjustRightInd w:val="0"/>
              <w:jc w:val="both"/>
              <w:rPr>
                <w:rFonts w:ascii="Abadi" w:hAnsi="Abadi" w:cs="*Arial-8722-Identity-H"/>
                <w:color w:val="151515"/>
                <w:sz w:val="21"/>
                <w:szCs w:val="21"/>
              </w:rPr>
            </w:pPr>
          </w:p>
          <w:p w14:paraId="49468121" w14:textId="77777777" w:rsidR="00D7099D" w:rsidRDefault="00D7099D" w:rsidP="00317E08">
            <w:pPr>
              <w:autoSpaceDE w:val="0"/>
              <w:autoSpaceDN w:val="0"/>
              <w:adjustRightInd w:val="0"/>
              <w:jc w:val="both"/>
              <w:rPr>
                <w:rFonts w:ascii="Abadi" w:hAnsi="Abadi" w:cs="*Arial-8722-Identity-H"/>
                <w:color w:val="151515"/>
                <w:sz w:val="21"/>
                <w:szCs w:val="21"/>
              </w:rPr>
            </w:pPr>
          </w:p>
          <w:p w14:paraId="6943BFD9" w14:textId="77777777" w:rsidR="00D7099D" w:rsidRDefault="00D7099D" w:rsidP="00317E08">
            <w:pPr>
              <w:autoSpaceDE w:val="0"/>
              <w:autoSpaceDN w:val="0"/>
              <w:adjustRightInd w:val="0"/>
              <w:jc w:val="both"/>
              <w:rPr>
                <w:rFonts w:ascii="Abadi" w:hAnsi="Abadi" w:cs="*Arial-8722-Identity-H"/>
                <w:color w:val="151515"/>
                <w:sz w:val="21"/>
                <w:szCs w:val="21"/>
              </w:rPr>
            </w:pPr>
          </w:p>
          <w:p w14:paraId="674755EA" w14:textId="77777777" w:rsidR="00D7099D" w:rsidRDefault="00D7099D" w:rsidP="00317E08">
            <w:pPr>
              <w:autoSpaceDE w:val="0"/>
              <w:autoSpaceDN w:val="0"/>
              <w:adjustRightInd w:val="0"/>
              <w:jc w:val="both"/>
              <w:rPr>
                <w:rFonts w:ascii="Abadi" w:hAnsi="Abadi" w:cs="*Arial-8722-Identity-H"/>
                <w:color w:val="151515"/>
                <w:sz w:val="21"/>
                <w:szCs w:val="21"/>
              </w:rPr>
            </w:pPr>
          </w:p>
          <w:p w14:paraId="46B7971D" w14:textId="77777777" w:rsidR="00D7099D" w:rsidRDefault="00D7099D" w:rsidP="00317E08">
            <w:pPr>
              <w:autoSpaceDE w:val="0"/>
              <w:autoSpaceDN w:val="0"/>
              <w:adjustRightInd w:val="0"/>
              <w:jc w:val="both"/>
              <w:rPr>
                <w:rFonts w:ascii="Abadi" w:hAnsi="Abadi" w:cs="*Arial-8722-Identity-H"/>
                <w:color w:val="151515"/>
                <w:sz w:val="21"/>
                <w:szCs w:val="21"/>
              </w:rPr>
            </w:pPr>
          </w:p>
          <w:p w14:paraId="35EE5E7D" w14:textId="77777777" w:rsidR="00D7099D" w:rsidRDefault="00D7099D" w:rsidP="00317E08">
            <w:pPr>
              <w:autoSpaceDE w:val="0"/>
              <w:autoSpaceDN w:val="0"/>
              <w:adjustRightInd w:val="0"/>
              <w:jc w:val="both"/>
              <w:rPr>
                <w:rFonts w:ascii="Abadi" w:hAnsi="Abadi" w:cs="*Arial-8722-Identity-H"/>
                <w:color w:val="151515"/>
                <w:sz w:val="21"/>
                <w:szCs w:val="21"/>
              </w:rPr>
            </w:pPr>
          </w:p>
          <w:p w14:paraId="1B9473EA" w14:textId="77777777" w:rsidR="00D7099D" w:rsidRDefault="00D7099D" w:rsidP="00317E08">
            <w:pPr>
              <w:autoSpaceDE w:val="0"/>
              <w:autoSpaceDN w:val="0"/>
              <w:adjustRightInd w:val="0"/>
              <w:jc w:val="both"/>
              <w:rPr>
                <w:rFonts w:ascii="Abadi" w:hAnsi="Abadi" w:cs="*Arial-8722-Identity-H"/>
                <w:color w:val="151515"/>
                <w:sz w:val="21"/>
                <w:szCs w:val="21"/>
              </w:rPr>
            </w:pPr>
          </w:p>
          <w:p w14:paraId="23CF9A23" w14:textId="77777777" w:rsidR="00D7099D" w:rsidRDefault="00D7099D" w:rsidP="00317E08">
            <w:pPr>
              <w:autoSpaceDE w:val="0"/>
              <w:autoSpaceDN w:val="0"/>
              <w:adjustRightInd w:val="0"/>
              <w:jc w:val="both"/>
              <w:rPr>
                <w:rFonts w:ascii="Abadi" w:hAnsi="Abadi" w:cs="*Arial-8722-Identity-H"/>
                <w:color w:val="151515"/>
                <w:sz w:val="21"/>
                <w:szCs w:val="21"/>
              </w:rPr>
            </w:pPr>
          </w:p>
          <w:p w14:paraId="67BD695A" w14:textId="77777777" w:rsidR="00D7099D" w:rsidRDefault="00D7099D" w:rsidP="00317E08">
            <w:pPr>
              <w:autoSpaceDE w:val="0"/>
              <w:autoSpaceDN w:val="0"/>
              <w:adjustRightInd w:val="0"/>
              <w:jc w:val="both"/>
              <w:rPr>
                <w:rFonts w:ascii="Abadi" w:hAnsi="Abadi" w:cs="*Arial-8722-Identity-H"/>
                <w:color w:val="151515"/>
                <w:sz w:val="21"/>
                <w:szCs w:val="21"/>
              </w:rPr>
            </w:pPr>
          </w:p>
          <w:p w14:paraId="01B81A26" w14:textId="77777777" w:rsidR="00D7099D" w:rsidRDefault="00D7099D" w:rsidP="00317E08">
            <w:pPr>
              <w:autoSpaceDE w:val="0"/>
              <w:autoSpaceDN w:val="0"/>
              <w:adjustRightInd w:val="0"/>
              <w:jc w:val="both"/>
              <w:rPr>
                <w:rFonts w:ascii="Abadi" w:hAnsi="Abadi" w:cs="*Arial-8722-Identity-H"/>
                <w:color w:val="151515"/>
                <w:sz w:val="21"/>
                <w:szCs w:val="21"/>
              </w:rPr>
            </w:pPr>
          </w:p>
          <w:p w14:paraId="53D0D5DE" w14:textId="77777777" w:rsidR="00D7099D" w:rsidRDefault="00D7099D" w:rsidP="00317E08">
            <w:pPr>
              <w:autoSpaceDE w:val="0"/>
              <w:autoSpaceDN w:val="0"/>
              <w:adjustRightInd w:val="0"/>
              <w:jc w:val="both"/>
              <w:rPr>
                <w:rFonts w:ascii="Abadi" w:hAnsi="Abadi" w:cs="*Arial-8722-Identity-H"/>
                <w:color w:val="151515"/>
                <w:sz w:val="21"/>
                <w:szCs w:val="21"/>
              </w:rPr>
            </w:pPr>
          </w:p>
          <w:p w14:paraId="3CABF7A4" w14:textId="77777777" w:rsidR="00D7099D" w:rsidRDefault="00D7099D" w:rsidP="00317E08">
            <w:pPr>
              <w:autoSpaceDE w:val="0"/>
              <w:autoSpaceDN w:val="0"/>
              <w:adjustRightInd w:val="0"/>
              <w:jc w:val="both"/>
              <w:rPr>
                <w:rFonts w:ascii="Abadi" w:hAnsi="Abadi" w:cs="*Arial-8722-Identity-H"/>
                <w:color w:val="151515"/>
                <w:sz w:val="21"/>
                <w:szCs w:val="21"/>
              </w:rPr>
            </w:pPr>
          </w:p>
          <w:p w14:paraId="6574975D" w14:textId="77777777" w:rsidR="00D7099D" w:rsidRDefault="00D7099D" w:rsidP="00317E08">
            <w:pPr>
              <w:autoSpaceDE w:val="0"/>
              <w:autoSpaceDN w:val="0"/>
              <w:adjustRightInd w:val="0"/>
              <w:jc w:val="both"/>
              <w:rPr>
                <w:rFonts w:ascii="Abadi" w:hAnsi="Abadi" w:cs="*Arial-8722-Identity-H"/>
                <w:color w:val="151515"/>
                <w:sz w:val="21"/>
                <w:szCs w:val="21"/>
              </w:rPr>
            </w:pPr>
          </w:p>
          <w:p w14:paraId="545C2D0B" w14:textId="77777777" w:rsidR="00D7099D" w:rsidRDefault="00D7099D" w:rsidP="00317E08">
            <w:pPr>
              <w:autoSpaceDE w:val="0"/>
              <w:autoSpaceDN w:val="0"/>
              <w:adjustRightInd w:val="0"/>
              <w:jc w:val="both"/>
              <w:rPr>
                <w:rFonts w:ascii="Abadi" w:hAnsi="Abadi" w:cs="*Arial-8722-Identity-H"/>
                <w:color w:val="151515"/>
                <w:sz w:val="21"/>
                <w:szCs w:val="21"/>
              </w:rPr>
            </w:pPr>
          </w:p>
          <w:p w14:paraId="7541E020" w14:textId="77777777" w:rsidR="00D7099D" w:rsidRDefault="00D7099D" w:rsidP="00317E08">
            <w:pPr>
              <w:autoSpaceDE w:val="0"/>
              <w:autoSpaceDN w:val="0"/>
              <w:adjustRightInd w:val="0"/>
              <w:jc w:val="both"/>
              <w:rPr>
                <w:rFonts w:ascii="Abadi" w:hAnsi="Abadi" w:cs="*Arial-8722-Identity-H"/>
                <w:color w:val="151515"/>
                <w:sz w:val="21"/>
                <w:szCs w:val="21"/>
              </w:rPr>
            </w:pPr>
          </w:p>
          <w:p w14:paraId="63FBA282" w14:textId="77777777" w:rsidR="00D7099D" w:rsidRDefault="00D7099D" w:rsidP="00317E08">
            <w:pPr>
              <w:autoSpaceDE w:val="0"/>
              <w:autoSpaceDN w:val="0"/>
              <w:adjustRightInd w:val="0"/>
              <w:jc w:val="both"/>
              <w:rPr>
                <w:rFonts w:ascii="Abadi" w:hAnsi="Abadi" w:cs="*Arial-8722-Identity-H"/>
                <w:color w:val="151515"/>
                <w:sz w:val="21"/>
                <w:szCs w:val="21"/>
              </w:rPr>
            </w:pPr>
          </w:p>
          <w:p w14:paraId="698C9A58" w14:textId="77777777" w:rsidR="00D7099D" w:rsidRDefault="00D7099D" w:rsidP="00317E08">
            <w:pPr>
              <w:autoSpaceDE w:val="0"/>
              <w:autoSpaceDN w:val="0"/>
              <w:adjustRightInd w:val="0"/>
              <w:jc w:val="both"/>
              <w:rPr>
                <w:rFonts w:ascii="Abadi" w:hAnsi="Abadi" w:cs="*Arial-8722-Identity-H"/>
                <w:color w:val="151515"/>
                <w:sz w:val="21"/>
                <w:szCs w:val="21"/>
              </w:rPr>
            </w:pPr>
          </w:p>
          <w:p w14:paraId="65C2F236" w14:textId="77777777" w:rsidR="00D7099D" w:rsidRDefault="00D7099D" w:rsidP="00317E08">
            <w:pPr>
              <w:autoSpaceDE w:val="0"/>
              <w:autoSpaceDN w:val="0"/>
              <w:adjustRightInd w:val="0"/>
              <w:jc w:val="both"/>
              <w:rPr>
                <w:rFonts w:ascii="Abadi" w:hAnsi="Abadi" w:cs="*Arial-8722-Identity-H"/>
                <w:color w:val="151515"/>
                <w:sz w:val="21"/>
                <w:szCs w:val="21"/>
              </w:rPr>
            </w:pPr>
          </w:p>
          <w:p w14:paraId="72057D76" w14:textId="77777777" w:rsidR="00D7099D" w:rsidRDefault="00D7099D" w:rsidP="00317E08">
            <w:pPr>
              <w:autoSpaceDE w:val="0"/>
              <w:autoSpaceDN w:val="0"/>
              <w:adjustRightInd w:val="0"/>
              <w:jc w:val="both"/>
              <w:rPr>
                <w:rFonts w:ascii="Abadi" w:hAnsi="Abadi" w:cs="*Arial-8722-Identity-H"/>
                <w:color w:val="151515"/>
                <w:sz w:val="21"/>
                <w:szCs w:val="21"/>
              </w:rPr>
            </w:pPr>
          </w:p>
          <w:p w14:paraId="57EFE86C" w14:textId="77777777" w:rsidR="00D7099D" w:rsidRDefault="00D7099D" w:rsidP="00317E08">
            <w:pPr>
              <w:autoSpaceDE w:val="0"/>
              <w:autoSpaceDN w:val="0"/>
              <w:adjustRightInd w:val="0"/>
              <w:jc w:val="both"/>
              <w:rPr>
                <w:rFonts w:ascii="Abadi" w:hAnsi="Abadi" w:cs="*Arial-8722-Identity-H"/>
                <w:color w:val="151515"/>
                <w:sz w:val="21"/>
                <w:szCs w:val="21"/>
              </w:rPr>
            </w:pPr>
          </w:p>
          <w:p w14:paraId="07B65F23" w14:textId="77777777" w:rsidR="00D7099D" w:rsidRDefault="00D7099D" w:rsidP="00317E08">
            <w:pPr>
              <w:autoSpaceDE w:val="0"/>
              <w:autoSpaceDN w:val="0"/>
              <w:adjustRightInd w:val="0"/>
              <w:jc w:val="both"/>
              <w:rPr>
                <w:rFonts w:ascii="Abadi" w:hAnsi="Abadi" w:cs="*Arial-8722-Identity-H"/>
                <w:color w:val="151515"/>
                <w:sz w:val="21"/>
                <w:szCs w:val="21"/>
              </w:rPr>
            </w:pPr>
          </w:p>
          <w:p w14:paraId="2C09DF4C" w14:textId="77777777" w:rsidR="00D7099D" w:rsidRDefault="00D7099D" w:rsidP="00317E08">
            <w:pPr>
              <w:autoSpaceDE w:val="0"/>
              <w:autoSpaceDN w:val="0"/>
              <w:adjustRightInd w:val="0"/>
              <w:jc w:val="both"/>
              <w:rPr>
                <w:rFonts w:ascii="Abadi" w:hAnsi="Abadi" w:cs="*Arial-8722-Identity-H"/>
                <w:color w:val="151515"/>
                <w:sz w:val="21"/>
                <w:szCs w:val="21"/>
              </w:rPr>
            </w:pPr>
          </w:p>
          <w:p w14:paraId="46413CC8" w14:textId="77777777" w:rsidR="00D7099D" w:rsidRDefault="00D7099D" w:rsidP="00317E08">
            <w:pPr>
              <w:autoSpaceDE w:val="0"/>
              <w:autoSpaceDN w:val="0"/>
              <w:adjustRightInd w:val="0"/>
              <w:jc w:val="both"/>
              <w:rPr>
                <w:rFonts w:ascii="Abadi" w:hAnsi="Abadi" w:cs="*Arial-8722-Identity-H"/>
                <w:color w:val="151515"/>
                <w:sz w:val="21"/>
                <w:szCs w:val="21"/>
              </w:rPr>
            </w:pPr>
          </w:p>
          <w:p w14:paraId="6D1EABA2" w14:textId="77777777" w:rsidR="00D7099D" w:rsidRDefault="00D7099D" w:rsidP="00317E08">
            <w:pPr>
              <w:autoSpaceDE w:val="0"/>
              <w:autoSpaceDN w:val="0"/>
              <w:adjustRightInd w:val="0"/>
              <w:jc w:val="both"/>
              <w:rPr>
                <w:rFonts w:ascii="Abadi" w:hAnsi="Abadi" w:cs="*Arial-8722-Identity-H"/>
                <w:color w:val="151515"/>
                <w:sz w:val="21"/>
                <w:szCs w:val="21"/>
              </w:rPr>
            </w:pPr>
          </w:p>
          <w:p w14:paraId="620A6BC9" w14:textId="77777777" w:rsidR="00D7099D" w:rsidRDefault="00D7099D" w:rsidP="00317E08">
            <w:pPr>
              <w:autoSpaceDE w:val="0"/>
              <w:autoSpaceDN w:val="0"/>
              <w:adjustRightInd w:val="0"/>
              <w:jc w:val="both"/>
              <w:rPr>
                <w:rFonts w:ascii="Abadi" w:hAnsi="Abadi" w:cs="*Arial-8722-Identity-H"/>
                <w:color w:val="151515"/>
                <w:sz w:val="21"/>
                <w:szCs w:val="21"/>
              </w:rPr>
            </w:pPr>
          </w:p>
          <w:p w14:paraId="5D9E23DF" w14:textId="77777777" w:rsidR="00D7099D" w:rsidRDefault="00D7099D" w:rsidP="00317E08">
            <w:pPr>
              <w:autoSpaceDE w:val="0"/>
              <w:autoSpaceDN w:val="0"/>
              <w:adjustRightInd w:val="0"/>
              <w:jc w:val="both"/>
              <w:rPr>
                <w:rFonts w:ascii="Abadi" w:hAnsi="Abadi" w:cs="*Arial-8722-Identity-H"/>
                <w:color w:val="151515"/>
                <w:sz w:val="21"/>
                <w:szCs w:val="21"/>
              </w:rPr>
            </w:pPr>
          </w:p>
          <w:p w14:paraId="3BBD9633" w14:textId="77777777" w:rsidR="00D7099D" w:rsidRDefault="00D7099D" w:rsidP="00317E08">
            <w:pPr>
              <w:autoSpaceDE w:val="0"/>
              <w:autoSpaceDN w:val="0"/>
              <w:adjustRightInd w:val="0"/>
              <w:jc w:val="both"/>
              <w:rPr>
                <w:rFonts w:ascii="Abadi" w:hAnsi="Abadi" w:cs="*Arial-8722-Identity-H"/>
                <w:color w:val="151515"/>
                <w:sz w:val="21"/>
                <w:szCs w:val="21"/>
              </w:rPr>
            </w:pPr>
          </w:p>
          <w:p w14:paraId="42727B02" w14:textId="77777777" w:rsidR="00D7099D" w:rsidRDefault="00D7099D" w:rsidP="00317E08">
            <w:pPr>
              <w:autoSpaceDE w:val="0"/>
              <w:autoSpaceDN w:val="0"/>
              <w:adjustRightInd w:val="0"/>
              <w:jc w:val="both"/>
              <w:rPr>
                <w:rFonts w:ascii="Abadi" w:hAnsi="Abadi" w:cs="*Arial-8722-Identity-H"/>
                <w:color w:val="151515"/>
                <w:sz w:val="21"/>
                <w:szCs w:val="21"/>
              </w:rPr>
            </w:pPr>
          </w:p>
          <w:p w14:paraId="55988BDE" w14:textId="77777777" w:rsidR="00D7099D" w:rsidRDefault="00D7099D" w:rsidP="00317E08">
            <w:pPr>
              <w:autoSpaceDE w:val="0"/>
              <w:autoSpaceDN w:val="0"/>
              <w:adjustRightInd w:val="0"/>
              <w:jc w:val="both"/>
              <w:rPr>
                <w:rFonts w:ascii="Abadi" w:hAnsi="Abadi" w:cs="*Arial-8722-Identity-H"/>
                <w:color w:val="151515"/>
                <w:sz w:val="21"/>
                <w:szCs w:val="21"/>
              </w:rPr>
            </w:pPr>
          </w:p>
          <w:p w14:paraId="5DACBF94" w14:textId="77777777" w:rsidR="00D7099D" w:rsidRDefault="00D7099D" w:rsidP="00317E08">
            <w:pPr>
              <w:autoSpaceDE w:val="0"/>
              <w:autoSpaceDN w:val="0"/>
              <w:adjustRightInd w:val="0"/>
              <w:jc w:val="both"/>
              <w:rPr>
                <w:rFonts w:ascii="Abadi" w:hAnsi="Abadi" w:cs="*Arial-8722-Identity-H"/>
                <w:color w:val="151515"/>
                <w:sz w:val="21"/>
                <w:szCs w:val="21"/>
              </w:rPr>
            </w:pPr>
          </w:p>
          <w:p w14:paraId="42417A53" w14:textId="77777777" w:rsidR="00D7099D" w:rsidRDefault="00D7099D" w:rsidP="00317E08">
            <w:pPr>
              <w:autoSpaceDE w:val="0"/>
              <w:autoSpaceDN w:val="0"/>
              <w:adjustRightInd w:val="0"/>
              <w:jc w:val="both"/>
              <w:rPr>
                <w:rFonts w:ascii="Abadi" w:hAnsi="Abadi" w:cs="*Arial-8722-Identity-H"/>
                <w:color w:val="151515"/>
                <w:sz w:val="21"/>
                <w:szCs w:val="21"/>
              </w:rPr>
            </w:pPr>
          </w:p>
          <w:p w14:paraId="14BF0773" w14:textId="77777777" w:rsidR="00D7099D" w:rsidRDefault="00D7099D" w:rsidP="00317E08">
            <w:pPr>
              <w:autoSpaceDE w:val="0"/>
              <w:autoSpaceDN w:val="0"/>
              <w:adjustRightInd w:val="0"/>
              <w:jc w:val="both"/>
              <w:rPr>
                <w:rFonts w:ascii="Abadi" w:hAnsi="Abadi" w:cs="*Arial-8722-Identity-H"/>
                <w:color w:val="151515"/>
                <w:sz w:val="21"/>
                <w:szCs w:val="21"/>
              </w:rPr>
            </w:pPr>
          </w:p>
          <w:p w14:paraId="75803447" w14:textId="77777777" w:rsidR="00D7099D" w:rsidRDefault="00D7099D" w:rsidP="00317E08">
            <w:pPr>
              <w:autoSpaceDE w:val="0"/>
              <w:autoSpaceDN w:val="0"/>
              <w:adjustRightInd w:val="0"/>
              <w:jc w:val="both"/>
              <w:rPr>
                <w:rFonts w:ascii="Abadi" w:hAnsi="Abadi" w:cs="*Arial-8722-Identity-H"/>
                <w:color w:val="151515"/>
                <w:sz w:val="21"/>
                <w:szCs w:val="21"/>
              </w:rPr>
            </w:pPr>
          </w:p>
          <w:p w14:paraId="26C92D40" w14:textId="77777777" w:rsidR="00D7099D" w:rsidRDefault="00D7099D" w:rsidP="00317E08">
            <w:pPr>
              <w:autoSpaceDE w:val="0"/>
              <w:autoSpaceDN w:val="0"/>
              <w:adjustRightInd w:val="0"/>
              <w:jc w:val="both"/>
              <w:rPr>
                <w:rFonts w:ascii="Abadi" w:hAnsi="Abadi" w:cs="*Arial-8722-Identity-H"/>
                <w:color w:val="151515"/>
                <w:sz w:val="21"/>
                <w:szCs w:val="21"/>
              </w:rPr>
            </w:pPr>
          </w:p>
          <w:p w14:paraId="522DDCEB" w14:textId="77777777" w:rsidR="00D7099D" w:rsidRDefault="00D7099D" w:rsidP="00317E08">
            <w:pPr>
              <w:autoSpaceDE w:val="0"/>
              <w:autoSpaceDN w:val="0"/>
              <w:adjustRightInd w:val="0"/>
              <w:jc w:val="both"/>
              <w:rPr>
                <w:rFonts w:ascii="Abadi" w:hAnsi="Abadi" w:cs="*Arial-8722-Identity-H"/>
                <w:color w:val="151515"/>
                <w:sz w:val="21"/>
                <w:szCs w:val="21"/>
              </w:rPr>
            </w:pPr>
          </w:p>
          <w:p w14:paraId="2381B229" w14:textId="77777777" w:rsidR="00D7099D" w:rsidRDefault="00D7099D" w:rsidP="00317E08">
            <w:pPr>
              <w:autoSpaceDE w:val="0"/>
              <w:autoSpaceDN w:val="0"/>
              <w:adjustRightInd w:val="0"/>
              <w:jc w:val="both"/>
              <w:rPr>
                <w:rFonts w:ascii="Abadi" w:hAnsi="Abadi" w:cs="*Arial-8722-Identity-H"/>
                <w:color w:val="151515"/>
                <w:sz w:val="21"/>
                <w:szCs w:val="21"/>
              </w:rPr>
            </w:pPr>
          </w:p>
          <w:p w14:paraId="3152ADDC" w14:textId="77777777" w:rsidR="00D7099D" w:rsidRDefault="00D7099D" w:rsidP="00317E08">
            <w:pPr>
              <w:autoSpaceDE w:val="0"/>
              <w:autoSpaceDN w:val="0"/>
              <w:adjustRightInd w:val="0"/>
              <w:jc w:val="both"/>
              <w:rPr>
                <w:rFonts w:ascii="Abadi" w:hAnsi="Abadi" w:cs="*Arial-8722-Identity-H"/>
                <w:color w:val="151515"/>
                <w:sz w:val="21"/>
                <w:szCs w:val="21"/>
              </w:rPr>
            </w:pPr>
          </w:p>
          <w:p w14:paraId="1BD44AE8" w14:textId="77777777" w:rsidR="00D7099D" w:rsidRDefault="00D7099D" w:rsidP="00317E08">
            <w:pPr>
              <w:autoSpaceDE w:val="0"/>
              <w:autoSpaceDN w:val="0"/>
              <w:adjustRightInd w:val="0"/>
              <w:jc w:val="both"/>
              <w:rPr>
                <w:rFonts w:ascii="Abadi" w:hAnsi="Abadi" w:cs="*Arial-8722-Identity-H"/>
                <w:color w:val="151515"/>
                <w:sz w:val="21"/>
                <w:szCs w:val="21"/>
              </w:rPr>
            </w:pPr>
          </w:p>
          <w:p w14:paraId="52B849C2" w14:textId="77777777" w:rsidR="00D7099D" w:rsidRDefault="00D7099D" w:rsidP="00317E08">
            <w:pPr>
              <w:autoSpaceDE w:val="0"/>
              <w:autoSpaceDN w:val="0"/>
              <w:adjustRightInd w:val="0"/>
              <w:jc w:val="both"/>
              <w:rPr>
                <w:rFonts w:ascii="Abadi" w:hAnsi="Abadi" w:cs="*Arial-8722-Identity-H"/>
                <w:color w:val="151515"/>
                <w:sz w:val="21"/>
                <w:szCs w:val="21"/>
              </w:rPr>
            </w:pPr>
          </w:p>
          <w:p w14:paraId="2B1FD485" w14:textId="77777777" w:rsidR="00D7099D" w:rsidRDefault="00D7099D" w:rsidP="00317E08">
            <w:pPr>
              <w:autoSpaceDE w:val="0"/>
              <w:autoSpaceDN w:val="0"/>
              <w:adjustRightInd w:val="0"/>
              <w:jc w:val="both"/>
              <w:rPr>
                <w:rFonts w:ascii="Abadi" w:hAnsi="Abadi" w:cs="*Arial-8722-Identity-H"/>
                <w:color w:val="151515"/>
                <w:sz w:val="21"/>
                <w:szCs w:val="21"/>
              </w:rPr>
            </w:pPr>
          </w:p>
          <w:p w14:paraId="5980B679" w14:textId="77777777" w:rsidR="00D7099D" w:rsidRDefault="00D7099D" w:rsidP="00317E08">
            <w:pPr>
              <w:autoSpaceDE w:val="0"/>
              <w:autoSpaceDN w:val="0"/>
              <w:adjustRightInd w:val="0"/>
              <w:jc w:val="both"/>
              <w:rPr>
                <w:rFonts w:ascii="Abadi" w:hAnsi="Abadi" w:cs="*Arial-8722-Identity-H"/>
                <w:color w:val="151515"/>
                <w:sz w:val="21"/>
                <w:szCs w:val="21"/>
              </w:rPr>
            </w:pPr>
          </w:p>
          <w:p w14:paraId="359ABFB2" w14:textId="220A69E5" w:rsidR="005767CC" w:rsidRPr="00C67C49" w:rsidRDefault="00D7099D" w:rsidP="00317E08">
            <w:pPr>
              <w:autoSpaceDE w:val="0"/>
              <w:autoSpaceDN w:val="0"/>
              <w:adjustRightInd w:val="0"/>
              <w:jc w:val="both"/>
              <w:rPr>
                <w:rFonts w:ascii="Abadi" w:hAnsi="Abadi" w:cs="*Arial-8722-Identity-H"/>
                <w:color w:val="151515"/>
                <w:sz w:val="21"/>
                <w:szCs w:val="21"/>
              </w:rPr>
            </w:pPr>
            <w:r>
              <w:rPr>
                <w:rFonts w:ascii="Abadi" w:hAnsi="Abadi" w:cs="*Arial-8722-Identity-H"/>
                <w:color w:val="151515"/>
                <w:sz w:val="21"/>
                <w:szCs w:val="21"/>
              </w:rPr>
              <w:t xml:space="preserve">Artículo </w:t>
            </w:r>
            <w:r w:rsidR="005767CC" w:rsidRPr="00C67C49">
              <w:rPr>
                <w:rFonts w:ascii="Abadi" w:hAnsi="Abadi" w:cs="*Arial-8722-Identity-H"/>
                <w:color w:val="151515"/>
                <w:sz w:val="21"/>
                <w:szCs w:val="21"/>
              </w:rPr>
              <w:t>16. El Poder Ejecutivo, en el</w:t>
            </w:r>
          </w:p>
          <w:p w14:paraId="0CB8D0A1" w14:textId="77777777" w:rsidR="005767CC" w:rsidRPr="00C67C49" w:rsidRDefault="005767CC" w:rsidP="00317E08">
            <w:pPr>
              <w:autoSpaceDE w:val="0"/>
              <w:autoSpaceDN w:val="0"/>
              <w:adjustRightInd w:val="0"/>
              <w:jc w:val="both"/>
              <w:rPr>
                <w:rFonts w:ascii="Abadi" w:hAnsi="Abadi" w:cs="*Arial-8722-Identity-H"/>
                <w:color w:val="151515"/>
                <w:sz w:val="21"/>
                <w:szCs w:val="21"/>
              </w:rPr>
            </w:pPr>
            <w:r w:rsidRPr="00C67C49">
              <w:rPr>
                <w:rFonts w:ascii="Abadi" w:hAnsi="Abadi" w:cs="*Arial-8722-Identity-H"/>
                <w:color w:val="151515"/>
                <w:sz w:val="21"/>
                <w:szCs w:val="21"/>
              </w:rPr>
              <w:t>Reglamento de la Ley, establecerá un</w:t>
            </w:r>
          </w:p>
          <w:p w14:paraId="29287679" w14:textId="77777777" w:rsidR="005767CC" w:rsidRPr="00C67C49" w:rsidRDefault="005767CC" w:rsidP="00317E08">
            <w:pPr>
              <w:autoSpaceDE w:val="0"/>
              <w:autoSpaceDN w:val="0"/>
              <w:adjustRightInd w:val="0"/>
              <w:jc w:val="both"/>
              <w:rPr>
                <w:rFonts w:ascii="Abadi" w:hAnsi="Abadi" w:cs="*Arial-8722-Identity-H"/>
                <w:color w:val="151515"/>
                <w:sz w:val="21"/>
                <w:szCs w:val="21"/>
              </w:rPr>
            </w:pPr>
            <w:r w:rsidRPr="00C67C49">
              <w:rPr>
                <w:rFonts w:ascii="Abadi" w:hAnsi="Abadi" w:cs="*Arial-8722-Identity-H"/>
                <w:color w:val="151515"/>
                <w:sz w:val="21"/>
                <w:szCs w:val="21"/>
              </w:rPr>
              <w:t>Consejo que será el órgano colegiado de</w:t>
            </w:r>
          </w:p>
          <w:p w14:paraId="1055CC76" w14:textId="77777777" w:rsidR="005767CC" w:rsidRPr="00C67C49" w:rsidRDefault="005767CC" w:rsidP="00317E08">
            <w:pPr>
              <w:autoSpaceDE w:val="0"/>
              <w:autoSpaceDN w:val="0"/>
              <w:adjustRightInd w:val="0"/>
              <w:jc w:val="both"/>
              <w:rPr>
                <w:rFonts w:ascii="Abadi" w:hAnsi="Abadi" w:cs="*Arial-8722-Identity-H"/>
                <w:color w:val="151515"/>
                <w:sz w:val="21"/>
                <w:szCs w:val="21"/>
              </w:rPr>
            </w:pPr>
            <w:r w:rsidRPr="00C67C49">
              <w:rPr>
                <w:rFonts w:ascii="Abadi" w:hAnsi="Abadi" w:cs="*Arial-8722-Identity-H"/>
                <w:color w:val="151515"/>
                <w:sz w:val="21"/>
                <w:szCs w:val="21"/>
              </w:rPr>
              <w:t>consulta cuyo objeto es orientar, fomentar,</w:t>
            </w:r>
          </w:p>
          <w:p w14:paraId="46918FCD" w14:textId="77777777" w:rsidR="005767CC" w:rsidRPr="00C67C49" w:rsidRDefault="005767CC" w:rsidP="00317E08">
            <w:pPr>
              <w:autoSpaceDE w:val="0"/>
              <w:autoSpaceDN w:val="0"/>
              <w:adjustRightInd w:val="0"/>
              <w:jc w:val="both"/>
              <w:rPr>
                <w:rFonts w:ascii="Abadi" w:hAnsi="Abadi" w:cs="*Arial-8722-Identity-H"/>
                <w:color w:val="151515"/>
                <w:sz w:val="21"/>
                <w:szCs w:val="21"/>
              </w:rPr>
            </w:pPr>
            <w:r w:rsidRPr="00C67C49">
              <w:rPr>
                <w:rFonts w:ascii="Abadi" w:hAnsi="Abadi" w:cs="*Arial-8722-Identity-H"/>
                <w:color w:val="151515"/>
                <w:sz w:val="21"/>
                <w:szCs w:val="21"/>
              </w:rPr>
              <w:t>promover, impulsar, apoyar y proponer</w:t>
            </w:r>
          </w:p>
          <w:p w14:paraId="59468982" w14:textId="77777777" w:rsidR="005767CC" w:rsidRPr="00C67C49" w:rsidRDefault="005767CC" w:rsidP="00317E08">
            <w:pPr>
              <w:autoSpaceDE w:val="0"/>
              <w:autoSpaceDN w:val="0"/>
              <w:adjustRightInd w:val="0"/>
              <w:jc w:val="both"/>
              <w:rPr>
                <w:rFonts w:ascii="Abadi" w:hAnsi="Abadi" w:cs="*Arial-8722-Identity-H"/>
                <w:color w:val="151515"/>
                <w:sz w:val="21"/>
                <w:szCs w:val="21"/>
              </w:rPr>
            </w:pPr>
            <w:r w:rsidRPr="00C67C49">
              <w:rPr>
                <w:rFonts w:ascii="Abadi" w:hAnsi="Abadi" w:cs="*Arial-8722-Identity-H"/>
                <w:color w:val="151515"/>
                <w:sz w:val="21"/>
                <w:szCs w:val="21"/>
              </w:rPr>
              <w:t>políticas públicas para el fomento de la</w:t>
            </w:r>
          </w:p>
          <w:p w14:paraId="0216187F" w14:textId="77777777" w:rsidR="005767CC" w:rsidRPr="00C67C49" w:rsidRDefault="005767CC" w:rsidP="00317E08">
            <w:pPr>
              <w:autoSpaceDE w:val="0"/>
              <w:autoSpaceDN w:val="0"/>
              <w:adjustRightInd w:val="0"/>
              <w:jc w:val="both"/>
              <w:rPr>
                <w:rFonts w:ascii="Abadi" w:hAnsi="Abadi" w:cs="*Arial-8722-Identity-H"/>
                <w:color w:val="151515"/>
                <w:sz w:val="21"/>
                <w:szCs w:val="21"/>
              </w:rPr>
            </w:pPr>
            <w:r w:rsidRPr="00C67C49">
              <w:rPr>
                <w:rFonts w:ascii="Abadi" w:hAnsi="Abadi" w:cs="*Arial-8722-Identity-H"/>
                <w:color w:val="151515"/>
                <w:sz w:val="21"/>
                <w:szCs w:val="21"/>
              </w:rPr>
              <w:t>agricultura familiar.</w:t>
            </w:r>
          </w:p>
          <w:p w14:paraId="24B67291" w14:textId="77777777" w:rsidR="005767CC" w:rsidRPr="00C67C49" w:rsidRDefault="005767CC" w:rsidP="00317E08">
            <w:pPr>
              <w:autoSpaceDE w:val="0"/>
              <w:autoSpaceDN w:val="0"/>
              <w:adjustRightInd w:val="0"/>
              <w:jc w:val="both"/>
              <w:rPr>
                <w:rFonts w:ascii="Abadi" w:hAnsi="Abadi" w:cs="*Arial-8722-Identity-H"/>
                <w:color w:val="141414"/>
                <w:sz w:val="21"/>
                <w:szCs w:val="21"/>
              </w:rPr>
            </w:pPr>
            <w:r w:rsidRPr="00C67C49">
              <w:rPr>
                <w:rFonts w:ascii="Abadi" w:hAnsi="Abadi" w:cs="*Arial-8722-Identity-H"/>
                <w:color w:val="141414"/>
                <w:sz w:val="21"/>
                <w:szCs w:val="21"/>
              </w:rPr>
              <w:t>desarrollo y protección de la agricultura</w:t>
            </w:r>
          </w:p>
          <w:p w14:paraId="0655E186" w14:textId="77777777" w:rsidR="005767CC" w:rsidRPr="00C67C49" w:rsidRDefault="005767CC" w:rsidP="00317E08">
            <w:pPr>
              <w:autoSpaceDE w:val="0"/>
              <w:autoSpaceDN w:val="0"/>
              <w:adjustRightInd w:val="0"/>
              <w:jc w:val="both"/>
              <w:rPr>
                <w:rFonts w:ascii="Abadi" w:hAnsi="Abadi" w:cs="*Microsoft Sans Serif-7631-Iden"/>
                <w:color w:val="151515"/>
                <w:sz w:val="21"/>
                <w:szCs w:val="21"/>
              </w:rPr>
            </w:pPr>
          </w:p>
          <w:p w14:paraId="27B988AE" w14:textId="77777777" w:rsidR="005767CC" w:rsidRDefault="005767CC" w:rsidP="00317E08">
            <w:pPr>
              <w:autoSpaceDE w:val="0"/>
              <w:autoSpaceDN w:val="0"/>
              <w:adjustRightInd w:val="0"/>
              <w:jc w:val="both"/>
              <w:rPr>
                <w:rFonts w:ascii="Abadi" w:hAnsi="Abadi" w:cs="*Arial-7957-Identity-H"/>
                <w:color w:val="141414"/>
                <w:sz w:val="21"/>
                <w:szCs w:val="21"/>
              </w:rPr>
            </w:pPr>
          </w:p>
        </w:tc>
        <w:tc>
          <w:tcPr>
            <w:tcW w:w="2264" w:type="dxa"/>
          </w:tcPr>
          <w:p w14:paraId="13BD3B21" w14:textId="77777777" w:rsidR="005767CC" w:rsidRPr="00C67C49" w:rsidRDefault="005767CC" w:rsidP="00317E08">
            <w:pPr>
              <w:autoSpaceDE w:val="0"/>
              <w:autoSpaceDN w:val="0"/>
              <w:adjustRightInd w:val="0"/>
              <w:jc w:val="both"/>
              <w:rPr>
                <w:rFonts w:ascii="Abadi" w:hAnsi="Abadi" w:cs="*Arial-7956-Identity-H"/>
                <w:color w:val="161616"/>
                <w:sz w:val="21"/>
                <w:szCs w:val="21"/>
              </w:rPr>
            </w:pPr>
            <w:r w:rsidRPr="00C67C49">
              <w:rPr>
                <w:rFonts w:ascii="Abadi" w:hAnsi="Abadi" w:cs="*Arial-7956-Identity-H"/>
                <w:color w:val="161616"/>
                <w:sz w:val="21"/>
                <w:szCs w:val="21"/>
              </w:rPr>
              <w:lastRenderedPageBreak/>
              <w:t>Artículo 6. Son objetivos específicos de la</w:t>
            </w:r>
          </w:p>
          <w:p w14:paraId="5D921224" w14:textId="77777777" w:rsidR="005767CC" w:rsidRDefault="005767CC" w:rsidP="00317E08">
            <w:pPr>
              <w:autoSpaceDE w:val="0"/>
              <w:autoSpaceDN w:val="0"/>
              <w:adjustRightInd w:val="0"/>
              <w:jc w:val="both"/>
              <w:rPr>
                <w:rFonts w:ascii="Abadi" w:hAnsi="Abadi" w:cs="*Arial-7956-Identity-H"/>
                <w:color w:val="151515"/>
                <w:sz w:val="21"/>
                <w:szCs w:val="21"/>
              </w:rPr>
            </w:pPr>
            <w:r w:rsidRPr="00C67C49">
              <w:rPr>
                <w:rFonts w:ascii="Abadi" w:hAnsi="Abadi" w:cs="*Arial-7956-Identity-H"/>
                <w:color w:val="161616"/>
                <w:sz w:val="21"/>
                <w:szCs w:val="21"/>
              </w:rPr>
              <w:t>presente Ley</w:t>
            </w:r>
            <w:r w:rsidRPr="00C67C49">
              <w:rPr>
                <w:rFonts w:ascii="Abadi" w:hAnsi="Abadi" w:cs="*Arial-7956-Identity-H"/>
                <w:color w:val="151515"/>
                <w:sz w:val="21"/>
                <w:szCs w:val="21"/>
              </w:rPr>
              <w:t xml:space="preserve"> </w:t>
            </w:r>
          </w:p>
          <w:p w14:paraId="47CECEE9" w14:textId="77777777" w:rsidR="005767CC" w:rsidRDefault="005767CC" w:rsidP="00317E08">
            <w:pPr>
              <w:autoSpaceDE w:val="0"/>
              <w:autoSpaceDN w:val="0"/>
              <w:adjustRightInd w:val="0"/>
              <w:jc w:val="both"/>
              <w:rPr>
                <w:rFonts w:ascii="Abadi" w:hAnsi="Abadi" w:cs="*Arial-7956-Identity-H"/>
                <w:color w:val="151515"/>
                <w:sz w:val="21"/>
                <w:szCs w:val="21"/>
              </w:rPr>
            </w:pPr>
          </w:p>
          <w:p w14:paraId="63E4A6B2" w14:textId="77777777" w:rsidR="005767CC" w:rsidRPr="00C67C49" w:rsidRDefault="005767CC" w:rsidP="00317E08">
            <w:pPr>
              <w:autoSpaceDE w:val="0"/>
              <w:autoSpaceDN w:val="0"/>
              <w:adjustRightInd w:val="0"/>
              <w:jc w:val="both"/>
              <w:rPr>
                <w:rFonts w:ascii="Abadi" w:hAnsi="Abadi" w:cs="*Arial-7956-Identity-H"/>
                <w:color w:val="151515"/>
                <w:sz w:val="21"/>
                <w:szCs w:val="21"/>
              </w:rPr>
            </w:pPr>
            <w:r w:rsidRPr="00C67C49">
              <w:rPr>
                <w:rFonts w:ascii="Abadi" w:hAnsi="Abadi" w:cs="*Arial-7956-Identity-H"/>
                <w:color w:val="151515"/>
                <w:sz w:val="21"/>
                <w:szCs w:val="21"/>
              </w:rPr>
              <w:t>l. Reconocer las peculiaridades ...</w:t>
            </w:r>
          </w:p>
          <w:p w14:paraId="55DBE3A3" w14:textId="77777777" w:rsidR="005767CC" w:rsidRDefault="005767CC" w:rsidP="00317E08">
            <w:pPr>
              <w:autoSpaceDE w:val="0"/>
              <w:autoSpaceDN w:val="0"/>
              <w:adjustRightInd w:val="0"/>
              <w:jc w:val="both"/>
              <w:rPr>
                <w:rFonts w:ascii="Abadi" w:hAnsi="Abadi" w:cs="*Arial-7956-Identity-H"/>
                <w:color w:val="151515"/>
                <w:sz w:val="21"/>
                <w:szCs w:val="21"/>
              </w:rPr>
            </w:pPr>
          </w:p>
          <w:p w14:paraId="6FB8D069" w14:textId="77777777" w:rsidR="005767CC" w:rsidRPr="00C67C49" w:rsidRDefault="005767CC" w:rsidP="00317E08">
            <w:pPr>
              <w:autoSpaceDE w:val="0"/>
              <w:autoSpaceDN w:val="0"/>
              <w:adjustRightInd w:val="0"/>
              <w:jc w:val="both"/>
              <w:rPr>
                <w:rFonts w:ascii="Abadi" w:hAnsi="Abadi" w:cs="*Arial-7956-Identity-H"/>
                <w:color w:val="151515"/>
                <w:sz w:val="21"/>
                <w:szCs w:val="21"/>
              </w:rPr>
            </w:pPr>
            <w:r>
              <w:rPr>
                <w:rFonts w:ascii="Abadi" w:hAnsi="Abadi" w:cs="*Arial-7956-Identity-H"/>
                <w:color w:val="151515"/>
                <w:sz w:val="21"/>
                <w:szCs w:val="21"/>
              </w:rPr>
              <w:t>II</w:t>
            </w:r>
            <w:r w:rsidRPr="00C67C49">
              <w:rPr>
                <w:rFonts w:ascii="Abadi" w:hAnsi="Abadi" w:cs="*Arial-7956-Identity-H"/>
                <w:color w:val="151515"/>
                <w:sz w:val="21"/>
                <w:szCs w:val="21"/>
              </w:rPr>
              <w:t>. Contribuir a la ...</w:t>
            </w:r>
          </w:p>
          <w:p w14:paraId="20203113" w14:textId="77777777" w:rsidR="005767CC" w:rsidRDefault="005767CC" w:rsidP="00317E08">
            <w:pPr>
              <w:autoSpaceDE w:val="0"/>
              <w:autoSpaceDN w:val="0"/>
              <w:adjustRightInd w:val="0"/>
              <w:jc w:val="both"/>
              <w:rPr>
                <w:rFonts w:ascii="Abadi" w:hAnsi="Abadi" w:cs="*Arial-7956-Identity-H"/>
                <w:color w:val="161616"/>
                <w:sz w:val="21"/>
                <w:szCs w:val="21"/>
              </w:rPr>
            </w:pPr>
          </w:p>
          <w:p w14:paraId="56C55FE2" w14:textId="77777777" w:rsidR="00D7099D" w:rsidRDefault="00D7099D" w:rsidP="00317E08">
            <w:pPr>
              <w:autoSpaceDE w:val="0"/>
              <w:autoSpaceDN w:val="0"/>
              <w:adjustRightInd w:val="0"/>
              <w:jc w:val="both"/>
              <w:rPr>
                <w:rFonts w:ascii="Abadi" w:hAnsi="Abadi" w:cs="*Arial-7956-Identity-H"/>
                <w:color w:val="161616"/>
                <w:sz w:val="21"/>
                <w:szCs w:val="21"/>
              </w:rPr>
            </w:pPr>
          </w:p>
          <w:p w14:paraId="0E077328" w14:textId="3BD78991" w:rsidR="005767CC" w:rsidRPr="00C67C49" w:rsidRDefault="005767CC" w:rsidP="00317E08">
            <w:pPr>
              <w:autoSpaceDE w:val="0"/>
              <w:autoSpaceDN w:val="0"/>
              <w:adjustRightInd w:val="0"/>
              <w:jc w:val="both"/>
              <w:rPr>
                <w:rFonts w:ascii="Abadi" w:hAnsi="Abadi" w:cs="*Arial-7956-Identity-H"/>
                <w:color w:val="161616"/>
                <w:sz w:val="21"/>
                <w:szCs w:val="21"/>
              </w:rPr>
            </w:pPr>
            <w:r>
              <w:rPr>
                <w:rFonts w:ascii="Abadi" w:hAnsi="Abadi" w:cs="*Arial-7956-Identity-H"/>
                <w:color w:val="161616"/>
                <w:sz w:val="21"/>
                <w:szCs w:val="21"/>
              </w:rPr>
              <w:t>III</w:t>
            </w:r>
            <w:r w:rsidRPr="00C67C49">
              <w:rPr>
                <w:rFonts w:ascii="Abadi" w:hAnsi="Abadi" w:cs="*Arial-7956-Identity-H"/>
                <w:color w:val="161616"/>
                <w:sz w:val="21"/>
                <w:szCs w:val="21"/>
              </w:rPr>
              <w:t>. Respetar y fortalecer ...</w:t>
            </w:r>
          </w:p>
          <w:p w14:paraId="4ED9836C" w14:textId="77777777" w:rsidR="005767CC" w:rsidRDefault="005767CC" w:rsidP="00317E08">
            <w:pPr>
              <w:autoSpaceDE w:val="0"/>
              <w:autoSpaceDN w:val="0"/>
              <w:adjustRightInd w:val="0"/>
              <w:jc w:val="both"/>
              <w:rPr>
                <w:rFonts w:ascii="Abadi" w:hAnsi="Abadi" w:cs="*Arial-7956-Identity-H"/>
                <w:color w:val="151515"/>
                <w:sz w:val="21"/>
                <w:szCs w:val="21"/>
              </w:rPr>
            </w:pPr>
          </w:p>
          <w:p w14:paraId="0993A16D" w14:textId="77777777" w:rsidR="005767CC" w:rsidRPr="00C67C49" w:rsidRDefault="005767CC" w:rsidP="00317E08">
            <w:pPr>
              <w:autoSpaceDE w:val="0"/>
              <w:autoSpaceDN w:val="0"/>
              <w:adjustRightInd w:val="0"/>
              <w:jc w:val="both"/>
              <w:rPr>
                <w:rFonts w:ascii="Abadi" w:hAnsi="Abadi" w:cs="*Arial-7956-Identity-H"/>
                <w:color w:val="151515"/>
                <w:sz w:val="21"/>
                <w:szCs w:val="21"/>
              </w:rPr>
            </w:pPr>
            <w:r w:rsidRPr="00C67C49">
              <w:rPr>
                <w:rFonts w:ascii="Abadi" w:hAnsi="Abadi" w:cs="*Arial-7956-Identity-H"/>
                <w:color w:val="151515"/>
                <w:sz w:val="21"/>
                <w:szCs w:val="21"/>
              </w:rPr>
              <w:t>IV. Contribuir al fortalecimiento ...</w:t>
            </w:r>
          </w:p>
          <w:p w14:paraId="7FA4883E" w14:textId="77777777" w:rsidR="005767CC" w:rsidRDefault="005767CC" w:rsidP="00317E08">
            <w:pPr>
              <w:autoSpaceDE w:val="0"/>
              <w:autoSpaceDN w:val="0"/>
              <w:adjustRightInd w:val="0"/>
              <w:jc w:val="both"/>
              <w:rPr>
                <w:rFonts w:ascii="Abadi" w:hAnsi="Abadi" w:cs="*Arial-7956-Identity-H"/>
                <w:color w:val="151515"/>
                <w:sz w:val="21"/>
                <w:szCs w:val="21"/>
              </w:rPr>
            </w:pPr>
          </w:p>
          <w:p w14:paraId="660BB4D2" w14:textId="77777777" w:rsidR="005767CC" w:rsidRPr="00C67C49" w:rsidRDefault="005767CC" w:rsidP="00317E08">
            <w:pPr>
              <w:autoSpaceDE w:val="0"/>
              <w:autoSpaceDN w:val="0"/>
              <w:adjustRightInd w:val="0"/>
              <w:jc w:val="both"/>
              <w:rPr>
                <w:rFonts w:ascii="Abadi" w:hAnsi="Abadi" w:cs="*Arial-7956-Identity-H"/>
                <w:color w:val="151515"/>
                <w:sz w:val="21"/>
                <w:szCs w:val="21"/>
              </w:rPr>
            </w:pPr>
            <w:r w:rsidRPr="00C67C49">
              <w:rPr>
                <w:rFonts w:ascii="Abadi" w:hAnsi="Abadi" w:cs="*Arial-7956-Identity-H"/>
                <w:color w:val="151515"/>
                <w:sz w:val="21"/>
                <w:szCs w:val="21"/>
              </w:rPr>
              <w:t>V. Contribuir a la ...</w:t>
            </w:r>
          </w:p>
          <w:p w14:paraId="6A24D7B2" w14:textId="6CFC43A1" w:rsidR="005767CC" w:rsidRDefault="005767CC" w:rsidP="00317E08">
            <w:pPr>
              <w:autoSpaceDE w:val="0"/>
              <w:autoSpaceDN w:val="0"/>
              <w:adjustRightInd w:val="0"/>
              <w:jc w:val="both"/>
              <w:rPr>
                <w:rFonts w:ascii="Abadi" w:hAnsi="Abadi" w:cs="*Arial-7956-Identity-H"/>
                <w:color w:val="161616"/>
                <w:sz w:val="21"/>
                <w:szCs w:val="21"/>
              </w:rPr>
            </w:pPr>
          </w:p>
          <w:p w14:paraId="24BB7239" w14:textId="77777777" w:rsidR="00D7099D" w:rsidRDefault="00D7099D" w:rsidP="00317E08">
            <w:pPr>
              <w:autoSpaceDE w:val="0"/>
              <w:autoSpaceDN w:val="0"/>
              <w:adjustRightInd w:val="0"/>
              <w:jc w:val="both"/>
              <w:rPr>
                <w:rFonts w:ascii="Abadi" w:hAnsi="Abadi" w:cs="*Arial-7956-Identity-H"/>
                <w:color w:val="161616"/>
                <w:sz w:val="21"/>
                <w:szCs w:val="21"/>
              </w:rPr>
            </w:pPr>
          </w:p>
          <w:p w14:paraId="2273A7B9" w14:textId="77777777" w:rsidR="005767CC" w:rsidRPr="00C67C49" w:rsidRDefault="005767CC" w:rsidP="00317E08">
            <w:pPr>
              <w:autoSpaceDE w:val="0"/>
              <w:autoSpaceDN w:val="0"/>
              <w:adjustRightInd w:val="0"/>
              <w:jc w:val="both"/>
              <w:rPr>
                <w:rFonts w:ascii="Abadi" w:hAnsi="Abadi" w:cs="*Arial-7956-Identity-H"/>
                <w:color w:val="161616"/>
                <w:sz w:val="21"/>
                <w:szCs w:val="21"/>
              </w:rPr>
            </w:pPr>
            <w:r w:rsidRPr="00C67C49">
              <w:rPr>
                <w:rFonts w:ascii="Abadi" w:hAnsi="Abadi" w:cs="*Arial-7956-Identity-H"/>
                <w:color w:val="161616"/>
                <w:sz w:val="21"/>
                <w:szCs w:val="21"/>
              </w:rPr>
              <w:t>VI. Promover la conservación ...</w:t>
            </w:r>
          </w:p>
          <w:p w14:paraId="49F638CD" w14:textId="77777777" w:rsidR="005767CC" w:rsidRDefault="005767CC" w:rsidP="00317E08">
            <w:pPr>
              <w:autoSpaceDE w:val="0"/>
              <w:autoSpaceDN w:val="0"/>
              <w:adjustRightInd w:val="0"/>
              <w:jc w:val="both"/>
              <w:rPr>
                <w:rFonts w:ascii="Abadi" w:hAnsi="Abadi" w:cs="*Arial-7956-Identity-H"/>
                <w:color w:val="151515"/>
                <w:sz w:val="21"/>
                <w:szCs w:val="21"/>
              </w:rPr>
            </w:pPr>
          </w:p>
          <w:p w14:paraId="05EDED17" w14:textId="77777777" w:rsidR="005767CC" w:rsidRPr="00C67C49" w:rsidRDefault="005767CC" w:rsidP="00317E08">
            <w:pPr>
              <w:autoSpaceDE w:val="0"/>
              <w:autoSpaceDN w:val="0"/>
              <w:adjustRightInd w:val="0"/>
              <w:jc w:val="both"/>
              <w:rPr>
                <w:rFonts w:ascii="Abadi" w:hAnsi="Abadi" w:cs="*Arial-7956-Identity-H"/>
                <w:color w:val="151515"/>
                <w:sz w:val="21"/>
                <w:szCs w:val="21"/>
              </w:rPr>
            </w:pPr>
            <w:r w:rsidRPr="00C67C49">
              <w:rPr>
                <w:rFonts w:ascii="Abadi" w:hAnsi="Abadi" w:cs="*Arial-7956-Identity-H"/>
                <w:color w:val="151515"/>
                <w:sz w:val="21"/>
                <w:szCs w:val="21"/>
              </w:rPr>
              <w:t>VII. Establecer condiciones que ...</w:t>
            </w:r>
          </w:p>
          <w:p w14:paraId="13AD2BF4" w14:textId="4619BC90" w:rsidR="005767CC" w:rsidRDefault="005767CC" w:rsidP="00317E08">
            <w:pPr>
              <w:autoSpaceDE w:val="0"/>
              <w:autoSpaceDN w:val="0"/>
              <w:adjustRightInd w:val="0"/>
              <w:jc w:val="both"/>
              <w:rPr>
                <w:rFonts w:ascii="Abadi" w:hAnsi="Abadi" w:cs="*Arial-7956-Identity-H"/>
                <w:color w:val="151515"/>
                <w:sz w:val="21"/>
                <w:szCs w:val="21"/>
              </w:rPr>
            </w:pPr>
          </w:p>
          <w:p w14:paraId="6463C191" w14:textId="77777777" w:rsidR="00D7099D" w:rsidRDefault="00D7099D" w:rsidP="00317E08">
            <w:pPr>
              <w:autoSpaceDE w:val="0"/>
              <w:autoSpaceDN w:val="0"/>
              <w:adjustRightInd w:val="0"/>
              <w:jc w:val="both"/>
              <w:rPr>
                <w:rFonts w:ascii="Abadi" w:hAnsi="Abadi" w:cs="*Arial-7956-Identity-H"/>
                <w:color w:val="151515"/>
                <w:sz w:val="21"/>
                <w:szCs w:val="21"/>
              </w:rPr>
            </w:pPr>
          </w:p>
          <w:p w14:paraId="757BE3A3" w14:textId="77777777" w:rsidR="005767CC" w:rsidRPr="00C67C49" w:rsidRDefault="005767CC" w:rsidP="00317E08">
            <w:pPr>
              <w:autoSpaceDE w:val="0"/>
              <w:autoSpaceDN w:val="0"/>
              <w:adjustRightInd w:val="0"/>
              <w:jc w:val="both"/>
              <w:rPr>
                <w:rFonts w:ascii="Abadi" w:hAnsi="Abadi" w:cs="*Arial-7956-Identity-H"/>
                <w:color w:val="151515"/>
                <w:sz w:val="21"/>
                <w:szCs w:val="21"/>
              </w:rPr>
            </w:pPr>
            <w:r w:rsidRPr="00C67C49">
              <w:rPr>
                <w:rFonts w:ascii="Abadi" w:hAnsi="Abadi" w:cs="*Arial-7956-Identity-H"/>
                <w:color w:val="151515"/>
                <w:sz w:val="21"/>
                <w:szCs w:val="21"/>
              </w:rPr>
              <w:t>VIII. Promover la seguridad semillera para la</w:t>
            </w:r>
          </w:p>
          <w:p w14:paraId="2CD8E6AB" w14:textId="77777777" w:rsidR="005767CC" w:rsidRPr="00C67C49" w:rsidRDefault="005767CC" w:rsidP="00317E08">
            <w:pPr>
              <w:autoSpaceDE w:val="0"/>
              <w:autoSpaceDN w:val="0"/>
              <w:adjustRightInd w:val="0"/>
              <w:jc w:val="both"/>
              <w:rPr>
                <w:rFonts w:ascii="Abadi" w:hAnsi="Abadi" w:cs="*Arial-7956-Identity-H"/>
                <w:color w:val="151515"/>
                <w:sz w:val="21"/>
                <w:szCs w:val="21"/>
              </w:rPr>
            </w:pPr>
            <w:r w:rsidRPr="00C67C49">
              <w:rPr>
                <w:rFonts w:ascii="Abadi" w:hAnsi="Abadi" w:cs="*Arial-7956-Identity-H"/>
                <w:color w:val="151515"/>
                <w:sz w:val="21"/>
                <w:szCs w:val="21"/>
              </w:rPr>
              <w:t>agricultura familiar mediante sistemas</w:t>
            </w:r>
          </w:p>
          <w:p w14:paraId="1815EABE" w14:textId="77777777" w:rsidR="005767CC" w:rsidRPr="00C67C49" w:rsidRDefault="005767CC" w:rsidP="00317E08">
            <w:pPr>
              <w:autoSpaceDE w:val="0"/>
              <w:autoSpaceDN w:val="0"/>
              <w:adjustRightInd w:val="0"/>
              <w:jc w:val="both"/>
              <w:rPr>
                <w:rFonts w:ascii="Abadi" w:hAnsi="Abadi" w:cs="*Arial-7956-Identity-H"/>
                <w:color w:val="151515"/>
                <w:sz w:val="21"/>
                <w:szCs w:val="21"/>
              </w:rPr>
            </w:pPr>
            <w:r w:rsidRPr="00C67C49">
              <w:rPr>
                <w:rFonts w:ascii="Abadi" w:hAnsi="Abadi" w:cs="*Arial-7956-Identity-H"/>
                <w:color w:val="151515"/>
                <w:sz w:val="21"/>
                <w:szCs w:val="21"/>
              </w:rPr>
              <w:t>sostenibles de semilla de calidad; y</w:t>
            </w:r>
          </w:p>
          <w:p w14:paraId="1BDB2C7B" w14:textId="6205CF09" w:rsidR="005767CC" w:rsidRDefault="005767CC" w:rsidP="00317E08">
            <w:pPr>
              <w:autoSpaceDE w:val="0"/>
              <w:autoSpaceDN w:val="0"/>
              <w:adjustRightInd w:val="0"/>
              <w:jc w:val="both"/>
              <w:rPr>
                <w:rFonts w:ascii="Abadi" w:hAnsi="Abadi" w:cs="*Arial-Bold-7955-Identity-H"/>
                <w:b/>
                <w:bCs/>
                <w:color w:val="131313"/>
                <w:sz w:val="21"/>
                <w:szCs w:val="21"/>
              </w:rPr>
            </w:pPr>
          </w:p>
          <w:p w14:paraId="13E473AC" w14:textId="77777777" w:rsidR="00D7099D" w:rsidRDefault="00D7099D" w:rsidP="00317E08">
            <w:pPr>
              <w:autoSpaceDE w:val="0"/>
              <w:autoSpaceDN w:val="0"/>
              <w:adjustRightInd w:val="0"/>
              <w:jc w:val="both"/>
              <w:rPr>
                <w:rFonts w:ascii="Abadi" w:hAnsi="Abadi" w:cs="*Arial-Bold-7955-Identity-H"/>
                <w:b/>
                <w:bCs/>
                <w:color w:val="131313"/>
                <w:sz w:val="21"/>
                <w:szCs w:val="21"/>
              </w:rPr>
            </w:pPr>
          </w:p>
          <w:p w14:paraId="424619AA" w14:textId="77777777" w:rsidR="005767CC" w:rsidRPr="00C67C49" w:rsidRDefault="005767CC" w:rsidP="00317E08">
            <w:pPr>
              <w:autoSpaceDE w:val="0"/>
              <w:autoSpaceDN w:val="0"/>
              <w:adjustRightInd w:val="0"/>
              <w:jc w:val="both"/>
              <w:rPr>
                <w:rFonts w:ascii="Abadi" w:hAnsi="Abadi" w:cs="*Arial-Bold-7955-Identity-H"/>
                <w:b/>
                <w:bCs/>
                <w:color w:val="131313"/>
                <w:sz w:val="21"/>
                <w:szCs w:val="21"/>
              </w:rPr>
            </w:pPr>
            <w:r w:rsidRPr="00C67C49">
              <w:rPr>
                <w:rFonts w:ascii="Abadi" w:hAnsi="Abadi" w:cs="*Arial-Bold-7955-Identity-H"/>
                <w:b/>
                <w:bCs/>
                <w:color w:val="131313"/>
                <w:sz w:val="21"/>
                <w:szCs w:val="21"/>
              </w:rPr>
              <w:t>IX. Establecer condiciones que permitan</w:t>
            </w:r>
            <w:r>
              <w:rPr>
                <w:rFonts w:ascii="Abadi" w:hAnsi="Abadi" w:cs="*Arial-Bold-7955-Identity-H"/>
                <w:b/>
                <w:bCs/>
                <w:color w:val="131313"/>
                <w:sz w:val="21"/>
                <w:szCs w:val="21"/>
              </w:rPr>
              <w:t xml:space="preserve"> </w:t>
            </w:r>
            <w:r w:rsidRPr="00C67C49">
              <w:rPr>
                <w:rFonts w:ascii="Abadi" w:hAnsi="Abadi" w:cs="*Arial-Bold-7955-Identity-H"/>
                <w:b/>
                <w:bCs/>
                <w:color w:val="131313"/>
                <w:sz w:val="21"/>
                <w:szCs w:val="21"/>
              </w:rPr>
              <w:t>mejorar la calidad de vida de las mujeres</w:t>
            </w:r>
            <w:r>
              <w:rPr>
                <w:rFonts w:ascii="Abadi" w:hAnsi="Abadi" w:cs="*Arial-Bold-7955-Identity-H"/>
                <w:b/>
                <w:bCs/>
                <w:color w:val="131313"/>
                <w:sz w:val="21"/>
                <w:szCs w:val="21"/>
              </w:rPr>
              <w:t xml:space="preserve"> </w:t>
            </w:r>
            <w:r w:rsidRPr="00C67C49">
              <w:rPr>
                <w:rFonts w:ascii="Abadi" w:hAnsi="Abadi" w:cs="*Arial-Bold-7955-Identity-H"/>
                <w:b/>
                <w:bCs/>
                <w:color w:val="131313"/>
                <w:sz w:val="21"/>
                <w:szCs w:val="21"/>
              </w:rPr>
              <w:t>rurales, priorizando las de bajos recursos,</w:t>
            </w:r>
            <w:r>
              <w:rPr>
                <w:rFonts w:ascii="Abadi" w:hAnsi="Abadi" w:cs="*Arial-Bold-7955-Identity-H"/>
                <w:b/>
                <w:bCs/>
                <w:color w:val="131313"/>
                <w:sz w:val="21"/>
                <w:szCs w:val="21"/>
              </w:rPr>
              <w:t xml:space="preserve"> </w:t>
            </w:r>
            <w:r w:rsidRPr="00C67C49">
              <w:rPr>
                <w:rFonts w:ascii="Abadi" w:hAnsi="Abadi" w:cs="*Arial-Bold-7955-Identity-H"/>
                <w:b/>
                <w:bCs/>
                <w:color w:val="131313"/>
                <w:sz w:val="21"/>
                <w:szCs w:val="21"/>
              </w:rPr>
              <w:t>y consagrar medidas específicas</w:t>
            </w:r>
            <w:r>
              <w:rPr>
                <w:rFonts w:ascii="Abadi" w:hAnsi="Abadi" w:cs="*Arial-Bold-7955-Identity-H"/>
                <w:b/>
                <w:bCs/>
                <w:color w:val="131313"/>
                <w:sz w:val="21"/>
                <w:szCs w:val="21"/>
              </w:rPr>
              <w:t xml:space="preserve"> encaminadas a acelerar la equidad entre el hombre y la mujer rural</w:t>
            </w:r>
          </w:p>
          <w:p w14:paraId="16536454" w14:textId="77777777" w:rsidR="005767CC" w:rsidRDefault="005767CC" w:rsidP="00317E08">
            <w:pPr>
              <w:autoSpaceDE w:val="0"/>
              <w:autoSpaceDN w:val="0"/>
              <w:adjustRightInd w:val="0"/>
              <w:jc w:val="center"/>
              <w:rPr>
                <w:rFonts w:ascii="Abadi" w:hAnsi="Abadi" w:cs="*Arial-Bold-7284-Identity-H"/>
                <w:b/>
                <w:bCs/>
                <w:color w:val="141414"/>
                <w:sz w:val="21"/>
                <w:szCs w:val="21"/>
              </w:rPr>
            </w:pPr>
          </w:p>
          <w:p w14:paraId="183CAEA1" w14:textId="77777777" w:rsidR="005767CC" w:rsidRPr="00C67C49" w:rsidRDefault="005767CC" w:rsidP="00317E08">
            <w:pPr>
              <w:autoSpaceDE w:val="0"/>
              <w:autoSpaceDN w:val="0"/>
              <w:adjustRightInd w:val="0"/>
              <w:jc w:val="center"/>
              <w:rPr>
                <w:rFonts w:ascii="Abadi" w:hAnsi="Abadi" w:cs="*Arial-Bold-7284-Identity-H"/>
                <w:b/>
                <w:bCs/>
                <w:color w:val="141414"/>
                <w:sz w:val="21"/>
                <w:szCs w:val="21"/>
              </w:rPr>
            </w:pPr>
            <w:r w:rsidRPr="00C67C49">
              <w:rPr>
                <w:rFonts w:ascii="Abadi" w:hAnsi="Abadi" w:cs="*Arial-Bold-7284-Identity-H"/>
                <w:b/>
                <w:bCs/>
                <w:color w:val="141414"/>
                <w:sz w:val="21"/>
                <w:szCs w:val="21"/>
              </w:rPr>
              <w:t xml:space="preserve">Capítulo </w:t>
            </w:r>
            <w:r>
              <w:rPr>
                <w:rFonts w:ascii="Abadi" w:hAnsi="Abadi" w:cs="*Arial-Bold-7284-Identity-H"/>
                <w:b/>
                <w:bCs/>
                <w:color w:val="141414"/>
                <w:sz w:val="21"/>
                <w:szCs w:val="21"/>
              </w:rPr>
              <w:t>III</w:t>
            </w:r>
          </w:p>
          <w:p w14:paraId="6B040E3C" w14:textId="77777777" w:rsidR="005767CC" w:rsidRPr="00C67C49" w:rsidRDefault="005767CC" w:rsidP="00317E08">
            <w:pPr>
              <w:autoSpaceDE w:val="0"/>
              <w:autoSpaceDN w:val="0"/>
              <w:adjustRightInd w:val="0"/>
              <w:jc w:val="center"/>
              <w:rPr>
                <w:rFonts w:ascii="Abadi" w:hAnsi="Abadi" w:cs="*Arial-Bold-7284-Identity-H"/>
                <w:b/>
                <w:bCs/>
                <w:color w:val="141414"/>
                <w:sz w:val="21"/>
                <w:szCs w:val="21"/>
              </w:rPr>
            </w:pPr>
            <w:r w:rsidRPr="00C67C49">
              <w:rPr>
                <w:rFonts w:ascii="Abadi" w:hAnsi="Abadi" w:cs="*Arial-Bold-7284-Identity-H"/>
                <w:b/>
                <w:bCs/>
                <w:color w:val="141414"/>
                <w:sz w:val="21"/>
                <w:szCs w:val="21"/>
              </w:rPr>
              <w:t>Mujer Rural</w:t>
            </w:r>
          </w:p>
          <w:p w14:paraId="15A2F309" w14:textId="77777777" w:rsidR="005767CC" w:rsidRDefault="005767CC" w:rsidP="00317E08">
            <w:pPr>
              <w:autoSpaceDE w:val="0"/>
              <w:autoSpaceDN w:val="0"/>
              <w:adjustRightInd w:val="0"/>
              <w:jc w:val="both"/>
              <w:rPr>
                <w:rFonts w:ascii="Abadi" w:hAnsi="Abadi" w:cs="*Arial-Bold-7284-Identity-H"/>
                <w:b/>
                <w:bCs/>
                <w:color w:val="131313"/>
                <w:sz w:val="21"/>
                <w:szCs w:val="21"/>
              </w:rPr>
            </w:pPr>
          </w:p>
          <w:p w14:paraId="27524EA7" w14:textId="77777777" w:rsidR="005767CC" w:rsidRPr="00C67C49" w:rsidRDefault="005767CC" w:rsidP="00317E08">
            <w:pPr>
              <w:autoSpaceDE w:val="0"/>
              <w:autoSpaceDN w:val="0"/>
              <w:adjustRightInd w:val="0"/>
              <w:jc w:val="both"/>
              <w:rPr>
                <w:rFonts w:ascii="Abadi" w:hAnsi="Abadi" w:cs="*Arial-Bold-7284-Identity-H"/>
                <w:b/>
                <w:bCs/>
                <w:color w:val="131313"/>
                <w:sz w:val="21"/>
                <w:szCs w:val="21"/>
              </w:rPr>
            </w:pPr>
            <w:r w:rsidRPr="00C67C49">
              <w:rPr>
                <w:rFonts w:ascii="Abadi" w:hAnsi="Abadi" w:cs="*Arial-Bold-7284-Identity-H"/>
                <w:b/>
                <w:bCs/>
                <w:color w:val="131313"/>
                <w:sz w:val="21"/>
                <w:szCs w:val="21"/>
              </w:rPr>
              <w:t>Artículo 6 Bis. Mujer Rural es toda aquella</w:t>
            </w:r>
            <w:r>
              <w:rPr>
                <w:rFonts w:ascii="Abadi" w:hAnsi="Abadi" w:cs="*Arial-Bold-7284-Identity-H"/>
                <w:b/>
                <w:bCs/>
                <w:color w:val="131313"/>
                <w:sz w:val="21"/>
                <w:szCs w:val="21"/>
              </w:rPr>
              <w:t xml:space="preserve"> </w:t>
            </w:r>
            <w:r w:rsidRPr="00C67C49">
              <w:rPr>
                <w:rFonts w:ascii="Abadi" w:hAnsi="Abadi" w:cs="*Arial-Bold-7284-Identity-H"/>
                <w:b/>
                <w:bCs/>
                <w:color w:val="131313"/>
                <w:sz w:val="21"/>
                <w:szCs w:val="21"/>
              </w:rPr>
              <w:lastRenderedPageBreak/>
              <w:t>que, sin distingo de ninguna naturaleza, e</w:t>
            </w:r>
            <w:r>
              <w:rPr>
                <w:rFonts w:ascii="Abadi" w:hAnsi="Abadi" w:cs="*Arial-Bold-7284-Identity-H"/>
                <w:b/>
                <w:bCs/>
                <w:color w:val="131313"/>
                <w:sz w:val="21"/>
                <w:szCs w:val="21"/>
              </w:rPr>
              <w:t xml:space="preserve"> </w:t>
            </w:r>
            <w:r w:rsidRPr="00C67C49">
              <w:rPr>
                <w:rFonts w:ascii="Abadi" w:hAnsi="Abadi" w:cs="*Arial-Bold-7284-Identity-H"/>
                <w:b/>
                <w:bCs/>
                <w:color w:val="131313"/>
                <w:sz w:val="21"/>
                <w:szCs w:val="21"/>
              </w:rPr>
              <w:t>independientemente del lugar donde viva,</w:t>
            </w:r>
            <w:r>
              <w:rPr>
                <w:rFonts w:ascii="Abadi" w:hAnsi="Abadi" w:cs="*Arial-Bold-7284-Identity-H"/>
                <w:b/>
                <w:bCs/>
                <w:color w:val="131313"/>
                <w:sz w:val="21"/>
                <w:szCs w:val="21"/>
              </w:rPr>
              <w:t xml:space="preserve"> </w:t>
            </w:r>
            <w:r w:rsidRPr="00C67C49">
              <w:rPr>
                <w:rFonts w:ascii="Abadi" w:hAnsi="Abadi" w:cs="*Arial-Bold-7284-Identity-H"/>
                <w:b/>
                <w:bCs/>
                <w:color w:val="131313"/>
                <w:sz w:val="21"/>
                <w:szCs w:val="21"/>
              </w:rPr>
              <w:t>su medio de vida está relacionado</w:t>
            </w:r>
            <w:r>
              <w:rPr>
                <w:rFonts w:ascii="Abadi" w:hAnsi="Abadi" w:cs="*Arial-Bold-7284-Identity-H"/>
                <w:b/>
                <w:bCs/>
                <w:color w:val="131313"/>
                <w:sz w:val="21"/>
                <w:szCs w:val="21"/>
              </w:rPr>
              <w:t xml:space="preserve"> </w:t>
            </w:r>
            <w:r w:rsidRPr="00C67C49">
              <w:rPr>
                <w:rFonts w:ascii="Abadi" w:hAnsi="Abadi" w:cs="*Arial-Bold-7284-Identity-H"/>
                <w:b/>
                <w:bCs/>
                <w:color w:val="131313"/>
                <w:sz w:val="21"/>
                <w:szCs w:val="21"/>
              </w:rPr>
              <w:t>directamente con el ámbito rural, incluso</w:t>
            </w:r>
            <w:r>
              <w:rPr>
                <w:rFonts w:ascii="Abadi" w:hAnsi="Abadi" w:cs="*Arial-Bold-7284-Identity-H"/>
                <w:b/>
                <w:bCs/>
                <w:color w:val="131313"/>
                <w:sz w:val="21"/>
                <w:szCs w:val="21"/>
              </w:rPr>
              <w:t xml:space="preserve"> </w:t>
            </w:r>
            <w:r w:rsidRPr="00C67C49">
              <w:rPr>
                <w:rFonts w:ascii="Abadi" w:hAnsi="Abadi" w:cs="*Arial-Bold-7284-Identity-H"/>
                <w:b/>
                <w:bCs/>
                <w:color w:val="131313"/>
                <w:sz w:val="21"/>
                <w:szCs w:val="21"/>
              </w:rPr>
              <w:t>si su actividad productiva no se encuentra</w:t>
            </w:r>
            <w:r>
              <w:rPr>
                <w:rFonts w:ascii="Abadi" w:hAnsi="Abadi" w:cs="*Arial-Bold-7284-Identity-H"/>
                <w:b/>
                <w:bCs/>
                <w:color w:val="131313"/>
                <w:sz w:val="21"/>
                <w:szCs w:val="21"/>
              </w:rPr>
              <w:t xml:space="preserve"> </w:t>
            </w:r>
            <w:r w:rsidRPr="00C67C49">
              <w:rPr>
                <w:rFonts w:ascii="Abadi" w:hAnsi="Abadi" w:cs="*Arial-Bold-7284-Identity-H"/>
                <w:b/>
                <w:bCs/>
                <w:color w:val="131313"/>
                <w:sz w:val="21"/>
                <w:szCs w:val="21"/>
              </w:rPr>
              <w:t>reconocida por los sistemas de</w:t>
            </w:r>
            <w:r>
              <w:rPr>
                <w:rFonts w:ascii="Abadi" w:hAnsi="Abadi" w:cs="*Arial-Bold-7284-Identity-H"/>
                <w:b/>
                <w:bCs/>
                <w:color w:val="131313"/>
                <w:sz w:val="21"/>
                <w:szCs w:val="21"/>
              </w:rPr>
              <w:t xml:space="preserve"> </w:t>
            </w:r>
            <w:r w:rsidRPr="00C67C49">
              <w:rPr>
                <w:rFonts w:ascii="Abadi" w:hAnsi="Abadi" w:cs="*Arial-Bold-7284-Identity-H"/>
                <w:b/>
                <w:bCs/>
                <w:color w:val="131313"/>
                <w:sz w:val="21"/>
                <w:szCs w:val="21"/>
              </w:rPr>
              <w:t>información y medición o no es</w:t>
            </w:r>
            <w:r>
              <w:rPr>
                <w:rFonts w:ascii="Abadi" w:hAnsi="Abadi" w:cs="*Arial-Bold-7284-Identity-H"/>
                <w:b/>
                <w:bCs/>
                <w:color w:val="131313"/>
                <w:sz w:val="21"/>
                <w:szCs w:val="21"/>
              </w:rPr>
              <w:t xml:space="preserve"> </w:t>
            </w:r>
            <w:r w:rsidRPr="00C67C49">
              <w:rPr>
                <w:rFonts w:ascii="Abadi" w:hAnsi="Abadi" w:cs="*Arial-Bold-7284-Identity-H"/>
                <w:b/>
                <w:bCs/>
                <w:color w:val="131313"/>
                <w:sz w:val="21"/>
                <w:szCs w:val="21"/>
              </w:rPr>
              <w:t>remunerada.</w:t>
            </w:r>
          </w:p>
          <w:p w14:paraId="1BA020DB" w14:textId="77777777" w:rsidR="005767CC" w:rsidRDefault="005767CC" w:rsidP="00317E08">
            <w:pPr>
              <w:autoSpaceDE w:val="0"/>
              <w:autoSpaceDN w:val="0"/>
              <w:adjustRightInd w:val="0"/>
              <w:jc w:val="both"/>
              <w:rPr>
                <w:rFonts w:ascii="Abadi" w:hAnsi="Abadi" w:cs="*Arial-Bold-7284-Identity-H"/>
                <w:b/>
                <w:bCs/>
                <w:color w:val="131313"/>
                <w:sz w:val="21"/>
                <w:szCs w:val="21"/>
              </w:rPr>
            </w:pPr>
          </w:p>
          <w:p w14:paraId="69193045" w14:textId="77777777" w:rsidR="005767CC" w:rsidRPr="00C67C49" w:rsidRDefault="005767CC" w:rsidP="00317E08">
            <w:pPr>
              <w:autoSpaceDE w:val="0"/>
              <w:autoSpaceDN w:val="0"/>
              <w:adjustRightInd w:val="0"/>
              <w:jc w:val="both"/>
              <w:rPr>
                <w:rFonts w:ascii="Abadi" w:hAnsi="Abadi" w:cs="*Arial-Bold-7284-Identity-H"/>
                <w:b/>
                <w:bCs/>
                <w:color w:val="131313"/>
                <w:sz w:val="21"/>
                <w:szCs w:val="21"/>
              </w:rPr>
            </w:pPr>
            <w:r w:rsidRPr="00C67C49">
              <w:rPr>
                <w:rFonts w:ascii="Abadi" w:hAnsi="Abadi" w:cs="*Arial-Bold-7284-Identity-H"/>
                <w:b/>
                <w:bCs/>
                <w:color w:val="131313"/>
                <w:sz w:val="21"/>
                <w:szCs w:val="21"/>
              </w:rPr>
              <w:t>Artículo 6 Ter. Los fondos, planes,</w:t>
            </w:r>
          </w:p>
          <w:p w14:paraId="065DC88C" w14:textId="77777777" w:rsidR="005767CC" w:rsidRPr="00C67C49" w:rsidRDefault="005767CC" w:rsidP="00317E08">
            <w:pPr>
              <w:autoSpaceDE w:val="0"/>
              <w:autoSpaceDN w:val="0"/>
              <w:adjustRightInd w:val="0"/>
              <w:jc w:val="both"/>
              <w:rPr>
                <w:rFonts w:ascii="Abadi" w:hAnsi="Abadi" w:cs="*Arial-Bold-7284-Identity-H"/>
                <w:b/>
                <w:bCs/>
                <w:color w:val="131313"/>
                <w:sz w:val="21"/>
                <w:szCs w:val="21"/>
              </w:rPr>
            </w:pPr>
            <w:r w:rsidRPr="00C67C49">
              <w:rPr>
                <w:rFonts w:ascii="Abadi" w:hAnsi="Abadi" w:cs="*Arial-Bold-7284-Identity-H"/>
                <w:b/>
                <w:bCs/>
                <w:color w:val="131313"/>
                <w:sz w:val="21"/>
                <w:szCs w:val="21"/>
              </w:rPr>
              <w:t>programas y proyectos del Estado</w:t>
            </w:r>
          </w:p>
          <w:p w14:paraId="56E3518A" w14:textId="77777777" w:rsidR="005767CC" w:rsidRPr="00C67C49" w:rsidRDefault="005767CC" w:rsidP="00317E08">
            <w:pPr>
              <w:autoSpaceDE w:val="0"/>
              <w:autoSpaceDN w:val="0"/>
              <w:adjustRightInd w:val="0"/>
              <w:jc w:val="both"/>
              <w:rPr>
                <w:rFonts w:ascii="Abadi" w:hAnsi="Abadi" w:cs="*Arial-Bold-7284-Identity-H"/>
                <w:b/>
                <w:bCs/>
                <w:color w:val="131313"/>
                <w:sz w:val="21"/>
                <w:szCs w:val="21"/>
              </w:rPr>
            </w:pPr>
            <w:r w:rsidRPr="00C67C49">
              <w:rPr>
                <w:rFonts w:ascii="Abadi" w:hAnsi="Abadi" w:cs="*Arial-Bold-7284-Identity-H"/>
                <w:b/>
                <w:bCs/>
                <w:color w:val="131313"/>
                <w:sz w:val="21"/>
                <w:szCs w:val="21"/>
              </w:rPr>
              <w:t>incluirán las disposiciones que garanticen</w:t>
            </w:r>
          </w:p>
          <w:p w14:paraId="69BBFB30" w14:textId="77777777" w:rsidR="005767CC" w:rsidRPr="00C67C49" w:rsidRDefault="005767CC" w:rsidP="00317E08">
            <w:pPr>
              <w:autoSpaceDE w:val="0"/>
              <w:autoSpaceDN w:val="0"/>
              <w:adjustRightInd w:val="0"/>
              <w:jc w:val="both"/>
              <w:rPr>
                <w:rFonts w:ascii="Abadi" w:hAnsi="Abadi" w:cs="*Arial-Bold-7284-Identity-H"/>
                <w:b/>
                <w:bCs/>
                <w:color w:val="131313"/>
                <w:sz w:val="21"/>
                <w:szCs w:val="21"/>
              </w:rPr>
            </w:pPr>
            <w:r w:rsidRPr="00C67C49">
              <w:rPr>
                <w:rFonts w:ascii="Abadi" w:hAnsi="Abadi" w:cs="*Arial-Bold-7284-Identity-H"/>
                <w:b/>
                <w:bCs/>
                <w:color w:val="131313"/>
                <w:sz w:val="21"/>
                <w:szCs w:val="21"/>
              </w:rPr>
              <w:t>a las mujeres rurales el derecho al empleo</w:t>
            </w:r>
          </w:p>
          <w:p w14:paraId="6BA05B64" w14:textId="77777777" w:rsidR="005767CC" w:rsidRPr="00C67C49" w:rsidRDefault="005767CC" w:rsidP="00317E08">
            <w:pPr>
              <w:autoSpaceDE w:val="0"/>
              <w:autoSpaceDN w:val="0"/>
              <w:adjustRightInd w:val="0"/>
              <w:jc w:val="both"/>
              <w:rPr>
                <w:rFonts w:ascii="Abadi" w:hAnsi="Abadi" w:cs="*Arial-Bold-7284-Identity-H"/>
                <w:b/>
                <w:bCs/>
                <w:color w:val="131313"/>
                <w:sz w:val="21"/>
                <w:szCs w:val="21"/>
              </w:rPr>
            </w:pPr>
            <w:r w:rsidRPr="00C67C49">
              <w:rPr>
                <w:rFonts w:ascii="Abadi" w:hAnsi="Abadi" w:cs="*Arial-Bold-7284-Identity-H"/>
                <w:b/>
                <w:bCs/>
                <w:color w:val="131313"/>
                <w:sz w:val="21"/>
                <w:szCs w:val="21"/>
              </w:rPr>
              <w:t>digno, oportunidades de acceso,</w:t>
            </w:r>
          </w:p>
          <w:p w14:paraId="01DF0E4F" w14:textId="77777777" w:rsidR="005767CC" w:rsidRPr="00C67C49" w:rsidRDefault="005767CC" w:rsidP="00317E08">
            <w:pPr>
              <w:autoSpaceDE w:val="0"/>
              <w:autoSpaceDN w:val="0"/>
              <w:adjustRightInd w:val="0"/>
              <w:jc w:val="both"/>
              <w:rPr>
                <w:rFonts w:ascii="Abadi" w:hAnsi="Abadi" w:cs="*Arial-Bold-7284-Identity-H"/>
                <w:b/>
                <w:bCs/>
                <w:color w:val="131313"/>
                <w:sz w:val="21"/>
                <w:szCs w:val="21"/>
              </w:rPr>
            </w:pPr>
            <w:r w:rsidRPr="00C67C49">
              <w:rPr>
                <w:rFonts w:ascii="Abadi" w:hAnsi="Abadi" w:cs="*Arial-Bold-7284-Identity-H"/>
                <w:b/>
                <w:bCs/>
                <w:color w:val="131313"/>
                <w:sz w:val="21"/>
                <w:szCs w:val="21"/>
              </w:rPr>
              <w:t>contratación, promoción y capacitación,</w:t>
            </w:r>
          </w:p>
          <w:p w14:paraId="65348D4B" w14:textId="77777777" w:rsidR="005767CC" w:rsidRPr="00C67C49" w:rsidRDefault="005767CC" w:rsidP="00317E08">
            <w:pPr>
              <w:autoSpaceDE w:val="0"/>
              <w:autoSpaceDN w:val="0"/>
              <w:adjustRightInd w:val="0"/>
              <w:jc w:val="both"/>
              <w:rPr>
                <w:rFonts w:ascii="Abadi" w:hAnsi="Abadi" w:cs="*Arial-Bold-7284-Identity-H"/>
                <w:b/>
                <w:bCs/>
                <w:color w:val="131313"/>
                <w:sz w:val="21"/>
                <w:szCs w:val="21"/>
              </w:rPr>
            </w:pPr>
            <w:r w:rsidRPr="00C67C49">
              <w:rPr>
                <w:rFonts w:ascii="Abadi" w:hAnsi="Abadi" w:cs="*Arial-Bold-7284-Identity-H"/>
                <w:b/>
                <w:bCs/>
                <w:color w:val="131313"/>
                <w:sz w:val="21"/>
                <w:szCs w:val="21"/>
              </w:rPr>
              <w:t>así como acceso de la mujer rural a los</w:t>
            </w:r>
          </w:p>
          <w:p w14:paraId="2C1D509D" w14:textId="77777777" w:rsidR="005767CC" w:rsidRDefault="005767CC" w:rsidP="00317E08">
            <w:pPr>
              <w:autoSpaceDE w:val="0"/>
              <w:autoSpaceDN w:val="0"/>
              <w:adjustRightInd w:val="0"/>
              <w:jc w:val="both"/>
              <w:rPr>
                <w:rFonts w:ascii="Abadi" w:hAnsi="Abadi" w:cs="*Arial-Bold-7284-Identity-H"/>
                <w:b/>
                <w:bCs/>
                <w:color w:val="131313"/>
                <w:sz w:val="21"/>
                <w:szCs w:val="21"/>
              </w:rPr>
            </w:pPr>
            <w:r w:rsidRPr="00C67C49">
              <w:rPr>
                <w:rFonts w:ascii="Abadi" w:hAnsi="Abadi" w:cs="*Arial-Bold-7284-Identity-H"/>
                <w:b/>
                <w:bCs/>
                <w:color w:val="131313"/>
                <w:sz w:val="21"/>
                <w:szCs w:val="21"/>
              </w:rPr>
              <w:t xml:space="preserve">servicios de salud, educación y vivienda </w:t>
            </w:r>
          </w:p>
          <w:p w14:paraId="7BAA63C2" w14:textId="77777777" w:rsidR="005767CC" w:rsidRDefault="005767CC" w:rsidP="00317E08">
            <w:pPr>
              <w:autoSpaceDE w:val="0"/>
              <w:autoSpaceDN w:val="0"/>
              <w:adjustRightInd w:val="0"/>
              <w:jc w:val="both"/>
              <w:rPr>
                <w:rFonts w:ascii="Abadi" w:hAnsi="Abadi" w:cs="*Arial-Bold-7284-Identity-H"/>
                <w:b/>
                <w:bCs/>
                <w:color w:val="131313"/>
                <w:sz w:val="21"/>
                <w:szCs w:val="21"/>
              </w:rPr>
            </w:pPr>
          </w:p>
          <w:p w14:paraId="52C209AE" w14:textId="77777777" w:rsidR="005767CC" w:rsidRPr="00C67C49" w:rsidRDefault="005767CC" w:rsidP="00317E08">
            <w:pPr>
              <w:autoSpaceDE w:val="0"/>
              <w:autoSpaceDN w:val="0"/>
              <w:adjustRightInd w:val="0"/>
              <w:jc w:val="both"/>
              <w:rPr>
                <w:rFonts w:ascii="Abadi" w:hAnsi="Abadi" w:cs="*Arial-Bold-7284-Identity-H"/>
                <w:b/>
                <w:bCs/>
                <w:color w:val="131313"/>
                <w:sz w:val="21"/>
                <w:szCs w:val="21"/>
              </w:rPr>
            </w:pPr>
            <w:r w:rsidRPr="00C67C49">
              <w:rPr>
                <w:rFonts w:ascii="Abadi" w:hAnsi="Abadi" w:cs="*Arial-Bold-7284-Identity-H"/>
                <w:b/>
                <w:bCs/>
                <w:color w:val="131313"/>
                <w:sz w:val="21"/>
                <w:szCs w:val="21"/>
              </w:rPr>
              <w:t>Artículo 6 Quáter. Los programas de</w:t>
            </w:r>
          </w:p>
          <w:p w14:paraId="78FA29F4" w14:textId="77777777" w:rsidR="005767CC" w:rsidRPr="00C67C49" w:rsidRDefault="005767CC" w:rsidP="00317E08">
            <w:pPr>
              <w:autoSpaceDE w:val="0"/>
              <w:autoSpaceDN w:val="0"/>
              <w:adjustRightInd w:val="0"/>
              <w:jc w:val="both"/>
              <w:rPr>
                <w:rFonts w:ascii="Abadi" w:hAnsi="Abadi" w:cs="*Arial-Bold-7284-Identity-H"/>
                <w:b/>
                <w:bCs/>
                <w:color w:val="131313"/>
                <w:sz w:val="21"/>
                <w:szCs w:val="21"/>
              </w:rPr>
            </w:pPr>
            <w:r w:rsidRPr="00C67C49">
              <w:rPr>
                <w:rFonts w:ascii="Abadi" w:hAnsi="Abadi" w:cs="*Arial-Bold-7284-Identity-H"/>
                <w:b/>
                <w:bCs/>
                <w:color w:val="131313"/>
                <w:sz w:val="21"/>
                <w:szCs w:val="21"/>
              </w:rPr>
              <w:t>innovación tecnológica agropecuaria,</w:t>
            </w:r>
          </w:p>
          <w:p w14:paraId="30287C5D" w14:textId="77777777" w:rsidR="005767CC" w:rsidRPr="00C67C49" w:rsidRDefault="005767CC" w:rsidP="00317E08">
            <w:pPr>
              <w:autoSpaceDE w:val="0"/>
              <w:autoSpaceDN w:val="0"/>
              <w:adjustRightInd w:val="0"/>
              <w:jc w:val="both"/>
              <w:rPr>
                <w:rFonts w:ascii="Abadi" w:hAnsi="Abadi" w:cs="*Arial-Bold-7284-Identity-H"/>
                <w:b/>
                <w:bCs/>
                <w:color w:val="131313"/>
                <w:sz w:val="21"/>
                <w:szCs w:val="21"/>
              </w:rPr>
            </w:pPr>
            <w:r w:rsidRPr="00C67C49">
              <w:rPr>
                <w:rFonts w:ascii="Abadi" w:hAnsi="Abadi" w:cs="*Arial-Bold-7284-Identity-H"/>
                <w:b/>
                <w:bCs/>
                <w:color w:val="131313"/>
                <w:sz w:val="21"/>
                <w:szCs w:val="21"/>
              </w:rPr>
              <w:t>empresarial e industrial, se integrarán</w:t>
            </w:r>
          </w:p>
          <w:p w14:paraId="1C37C60B" w14:textId="77777777" w:rsidR="005767CC" w:rsidRPr="00C67C49" w:rsidRDefault="005767CC" w:rsidP="00317E08">
            <w:pPr>
              <w:autoSpaceDE w:val="0"/>
              <w:autoSpaceDN w:val="0"/>
              <w:adjustRightInd w:val="0"/>
              <w:jc w:val="both"/>
              <w:rPr>
                <w:rFonts w:ascii="Abadi" w:hAnsi="Abadi" w:cs="*Arial-Bold-7284-Identity-H"/>
                <w:b/>
                <w:bCs/>
                <w:color w:val="131313"/>
                <w:sz w:val="21"/>
                <w:szCs w:val="21"/>
              </w:rPr>
            </w:pPr>
            <w:r w:rsidRPr="00C67C49">
              <w:rPr>
                <w:rFonts w:ascii="Abadi" w:hAnsi="Abadi" w:cs="*Arial-Bold-7284-Identity-H"/>
                <w:b/>
                <w:bCs/>
                <w:color w:val="131313"/>
                <w:sz w:val="21"/>
                <w:szCs w:val="21"/>
              </w:rPr>
              <w:t>incluyendo las necesidades de las</w:t>
            </w:r>
          </w:p>
          <w:p w14:paraId="22B547B3" w14:textId="77777777" w:rsidR="005767CC" w:rsidRPr="00C67C49" w:rsidRDefault="005767CC" w:rsidP="00317E08">
            <w:pPr>
              <w:autoSpaceDE w:val="0"/>
              <w:autoSpaceDN w:val="0"/>
              <w:adjustRightInd w:val="0"/>
              <w:jc w:val="both"/>
              <w:rPr>
                <w:rFonts w:ascii="Abadi" w:hAnsi="Abadi" w:cs="*Arial-Bold-7284-Identity-H"/>
                <w:b/>
                <w:bCs/>
                <w:color w:val="131313"/>
                <w:sz w:val="21"/>
                <w:szCs w:val="21"/>
              </w:rPr>
            </w:pPr>
            <w:r w:rsidRPr="00C67C49">
              <w:rPr>
                <w:rFonts w:ascii="Abadi" w:hAnsi="Abadi" w:cs="*Arial-Bold-7284-Identity-H"/>
                <w:b/>
                <w:bCs/>
                <w:color w:val="131313"/>
                <w:sz w:val="21"/>
                <w:szCs w:val="21"/>
              </w:rPr>
              <w:t>mujeres rurales.</w:t>
            </w:r>
          </w:p>
          <w:p w14:paraId="1F8C5E3E" w14:textId="77777777" w:rsidR="005767CC" w:rsidRDefault="005767CC" w:rsidP="00317E08">
            <w:pPr>
              <w:autoSpaceDE w:val="0"/>
              <w:autoSpaceDN w:val="0"/>
              <w:adjustRightInd w:val="0"/>
              <w:jc w:val="both"/>
              <w:rPr>
                <w:rFonts w:ascii="Abadi" w:hAnsi="Abadi" w:cs="*Arial-Bold-7284-Identity-H"/>
                <w:b/>
                <w:bCs/>
                <w:color w:val="131313"/>
                <w:sz w:val="21"/>
                <w:szCs w:val="21"/>
              </w:rPr>
            </w:pPr>
          </w:p>
          <w:p w14:paraId="67083D8C" w14:textId="77777777" w:rsidR="005767CC" w:rsidRPr="00C67C49" w:rsidRDefault="005767CC" w:rsidP="00317E08">
            <w:pPr>
              <w:autoSpaceDE w:val="0"/>
              <w:autoSpaceDN w:val="0"/>
              <w:adjustRightInd w:val="0"/>
              <w:jc w:val="both"/>
              <w:rPr>
                <w:rFonts w:ascii="Abadi" w:hAnsi="Abadi" w:cs="*Arial-Bold-7284-Identity-H"/>
                <w:b/>
                <w:bCs/>
                <w:color w:val="131313"/>
                <w:sz w:val="21"/>
                <w:szCs w:val="21"/>
              </w:rPr>
            </w:pPr>
            <w:r w:rsidRPr="00C67C49">
              <w:rPr>
                <w:rFonts w:ascii="Abadi" w:hAnsi="Abadi" w:cs="*Arial-Bold-7284-Identity-H"/>
                <w:b/>
                <w:bCs/>
                <w:color w:val="131313"/>
                <w:sz w:val="21"/>
                <w:szCs w:val="21"/>
              </w:rPr>
              <w:t>Artículo 6 Quinquies. Todos los fondos,</w:t>
            </w:r>
          </w:p>
          <w:p w14:paraId="422E1992" w14:textId="77777777" w:rsidR="005767CC" w:rsidRPr="00C67C49" w:rsidRDefault="005767CC" w:rsidP="00317E08">
            <w:pPr>
              <w:autoSpaceDE w:val="0"/>
              <w:autoSpaceDN w:val="0"/>
              <w:adjustRightInd w:val="0"/>
              <w:jc w:val="both"/>
              <w:rPr>
                <w:rFonts w:ascii="Abadi" w:hAnsi="Abadi" w:cs="*Arial-Bold-7284-Identity-H"/>
                <w:b/>
                <w:bCs/>
                <w:color w:val="131313"/>
                <w:sz w:val="21"/>
                <w:szCs w:val="21"/>
              </w:rPr>
            </w:pPr>
            <w:r w:rsidRPr="00C67C49">
              <w:rPr>
                <w:rFonts w:ascii="Abadi" w:hAnsi="Abadi" w:cs="*Arial-Bold-7284-Identity-H"/>
                <w:b/>
                <w:bCs/>
                <w:color w:val="131313"/>
                <w:sz w:val="21"/>
                <w:szCs w:val="21"/>
              </w:rPr>
              <w:t>planes, programas, y proyectos que</w:t>
            </w:r>
          </w:p>
          <w:p w14:paraId="7D97DD96" w14:textId="77777777" w:rsidR="005767CC" w:rsidRPr="00C67C49" w:rsidRDefault="005767CC" w:rsidP="00317E08">
            <w:pPr>
              <w:autoSpaceDE w:val="0"/>
              <w:autoSpaceDN w:val="0"/>
              <w:adjustRightInd w:val="0"/>
              <w:jc w:val="both"/>
              <w:rPr>
                <w:rFonts w:ascii="Abadi" w:hAnsi="Abadi" w:cs="*Arial-Bold-7284-Identity-H"/>
                <w:b/>
                <w:bCs/>
                <w:color w:val="131313"/>
                <w:sz w:val="21"/>
                <w:szCs w:val="21"/>
              </w:rPr>
            </w:pPr>
            <w:r w:rsidRPr="00C67C49">
              <w:rPr>
                <w:rFonts w:ascii="Abadi" w:hAnsi="Abadi" w:cs="*Arial-Bold-7284-Identity-H"/>
                <w:b/>
                <w:bCs/>
                <w:color w:val="131313"/>
                <w:sz w:val="21"/>
                <w:szCs w:val="21"/>
              </w:rPr>
              <w:t>favorecen la actividad rural en el Estado</w:t>
            </w:r>
          </w:p>
          <w:p w14:paraId="461CC4BE" w14:textId="77777777" w:rsidR="005767CC" w:rsidRPr="00C67C49" w:rsidRDefault="005767CC" w:rsidP="00317E08">
            <w:pPr>
              <w:autoSpaceDE w:val="0"/>
              <w:autoSpaceDN w:val="0"/>
              <w:adjustRightInd w:val="0"/>
              <w:jc w:val="both"/>
              <w:rPr>
                <w:rFonts w:ascii="Abadi" w:hAnsi="Abadi" w:cs="*Arial-Bold-7284-Identity-H"/>
                <w:b/>
                <w:bCs/>
                <w:color w:val="131313"/>
                <w:sz w:val="21"/>
                <w:szCs w:val="21"/>
              </w:rPr>
            </w:pPr>
            <w:r w:rsidRPr="00C67C49">
              <w:rPr>
                <w:rFonts w:ascii="Abadi" w:hAnsi="Abadi" w:cs="*Arial-Bold-7284-Identity-H"/>
                <w:b/>
                <w:bCs/>
                <w:color w:val="131313"/>
                <w:sz w:val="21"/>
                <w:szCs w:val="21"/>
              </w:rPr>
              <w:t>deberán ajustar sus procedimientos y</w:t>
            </w:r>
          </w:p>
          <w:p w14:paraId="58B49399" w14:textId="77777777" w:rsidR="005767CC" w:rsidRPr="00C67C49" w:rsidRDefault="005767CC" w:rsidP="00317E08">
            <w:pPr>
              <w:autoSpaceDE w:val="0"/>
              <w:autoSpaceDN w:val="0"/>
              <w:adjustRightInd w:val="0"/>
              <w:jc w:val="both"/>
              <w:rPr>
                <w:rFonts w:ascii="Abadi" w:hAnsi="Abadi" w:cs="*Arial-Bold-7284-Identity-H"/>
                <w:b/>
                <w:bCs/>
                <w:color w:val="131313"/>
                <w:sz w:val="21"/>
                <w:szCs w:val="21"/>
              </w:rPr>
            </w:pPr>
            <w:r w:rsidRPr="00C67C49">
              <w:rPr>
                <w:rFonts w:ascii="Abadi" w:hAnsi="Abadi" w:cs="*Arial-Bold-7284-Identity-H"/>
                <w:b/>
                <w:bCs/>
                <w:color w:val="131313"/>
                <w:sz w:val="21"/>
                <w:szCs w:val="21"/>
              </w:rPr>
              <w:t>requisitos en aras de eliminar cualquier</w:t>
            </w:r>
          </w:p>
          <w:p w14:paraId="228F47F9" w14:textId="77777777" w:rsidR="005767CC" w:rsidRPr="00C67C49" w:rsidRDefault="005767CC" w:rsidP="00317E08">
            <w:pPr>
              <w:autoSpaceDE w:val="0"/>
              <w:autoSpaceDN w:val="0"/>
              <w:adjustRightInd w:val="0"/>
              <w:jc w:val="both"/>
              <w:rPr>
                <w:rFonts w:ascii="Abadi" w:hAnsi="Abadi" w:cs="*Arial-Bold-7284-Identity-H"/>
                <w:b/>
                <w:bCs/>
                <w:color w:val="131313"/>
                <w:sz w:val="21"/>
                <w:szCs w:val="21"/>
              </w:rPr>
            </w:pPr>
            <w:r w:rsidRPr="00C67C49">
              <w:rPr>
                <w:rFonts w:ascii="Abadi" w:hAnsi="Abadi" w:cs="*Arial-Bold-7284-Identity-H"/>
                <w:b/>
                <w:bCs/>
                <w:color w:val="131313"/>
                <w:sz w:val="21"/>
                <w:szCs w:val="21"/>
              </w:rPr>
              <w:t>obstáculo que impida el acceso de las mujeres rurales a ellos.</w:t>
            </w:r>
          </w:p>
          <w:p w14:paraId="6DC8EACE" w14:textId="77777777" w:rsidR="005767CC" w:rsidRDefault="005767CC" w:rsidP="00317E08">
            <w:pPr>
              <w:autoSpaceDE w:val="0"/>
              <w:autoSpaceDN w:val="0"/>
              <w:adjustRightInd w:val="0"/>
              <w:jc w:val="both"/>
              <w:rPr>
                <w:rFonts w:ascii="Abadi" w:hAnsi="Abadi" w:cs="*Arial-Bold-7284-Identity-H"/>
                <w:b/>
                <w:bCs/>
                <w:color w:val="131313"/>
                <w:sz w:val="21"/>
                <w:szCs w:val="21"/>
              </w:rPr>
            </w:pPr>
          </w:p>
          <w:p w14:paraId="4FE4C863" w14:textId="77777777" w:rsidR="005767CC" w:rsidRPr="00C67C49" w:rsidRDefault="005767CC" w:rsidP="00317E08">
            <w:pPr>
              <w:autoSpaceDE w:val="0"/>
              <w:autoSpaceDN w:val="0"/>
              <w:adjustRightInd w:val="0"/>
              <w:jc w:val="both"/>
              <w:rPr>
                <w:rFonts w:ascii="Abadi" w:hAnsi="Abadi" w:cs="*Arial-Bold-7284-Identity-H"/>
                <w:b/>
                <w:bCs/>
                <w:color w:val="131313"/>
                <w:sz w:val="21"/>
                <w:szCs w:val="21"/>
              </w:rPr>
            </w:pPr>
            <w:r w:rsidRPr="00C67C49">
              <w:rPr>
                <w:rFonts w:ascii="Abadi" w:hAnsi="Abadi" w:cs="*Arial-Bold-7284-Identity-H"/>
                <w:b/>
                <w:bCs/>
                <w:color w:val="131313"/>
                <w:sz w:val="21"/>
                <w:szCs w:val="21"/>
              </w:rPr>
              <w:t>Artículo 6 Sexies. El Estado deberá</w:t>
            </w:r>
          </w:p>
          <w:p w14:paraId="16E85901" w14:textId="77777777" w:rsidR="005767CC" w:rsidRPr="00C67C49" w:rsidRDefault="005767CC" w:rsidP="00317E08">
            <w:pPr>
              <w:autoSpaceDE w:val="0"/>
              <w:autoSpaceDN w:val="0"/>
              <w:adjustRightInd w:val="0"/>
              <w:jc w:val="both"/>
              <w:rPr>
                <w:rFonts w:ascii="Abadi" w:hAnsi="Abadi" w:cs="*Arial-Bold-7284-Identity-H"/>
                <w:b/>
                <w:bCs/>
                <w:color w:val="131313"/>
                <w:sz w:val="21"/>
                <w:szCs w:val="21"/>
              </w:rPr>
            </w:pPr>
            <w:r w:rsidRPr="00C67C49">
              <w:rPr>
                <w:rFonts w:ascii="Abadi" w:hAnsi="Abadi" w:cs="*Arial-Bold-7284-Identity-H"/>
                <w:b/>
                <w:bCs/>
                <w:color w:val="131313"/>
                <w:sz w:val="21"/>
                <w:szCs w:val="21"/>
              </w:rPr>
              <w:t>implementar acciones afirmativas a favor</w:t>
            </w:r>
          </w:p>
          <w:p w14:paraId="6AAB4970" w14:textId="77777777" w:rsidR="005767CC" w:rsidRPr="00C67C49" w:rsidRDefault="005767CC" w:rsidP="00317E08">
            <w:pPr>
              <w:autoSpaceDE w:val="0"/>
              <w:autoSpaceDN w:val="0"/>
              <w:adjustRightInd w:val="0"/>
              <w:jc w:val="both"/>
              <w:rPr>
                <w:rFonts w:ascii="Abadi" w:hAnsi="Abadi" w:cs="*Arial-Bold-7284-Identity-H"/>
                <w:b/>
                <w:bCs/>
                <w:color w:val="131313"/>
                <w:sz w:val="21"/>
                <w:szCs w:val="21"/>
              </w:rPr>
            </w:pPr>
            <w:r w:rsidRPr="00C67C49">
              <w:rPr>
                <w:rFonts w:ascii="Abadi" w:hAnsi="Abadi" w:cs="*Arial-Bold-7284-Identity-H"/>
                <w:b/>
                <w:bCs/>
                <w:color w:val="131313"/>
                <w:sz w:val="21"/>
                <w:szCs w:val="21"/>
              </w:rPr>
              <w:t>de las mujeres rurales para alcanzar la</w:t>
            </w:r>
          </w:p>
          <w:p w14:paraId="482D31DE" w14:textId="77777777" w:rsidR="005767CC" w:rsidRPr="00C67C49" w:rsidRDefault="005767CC" w:rsidP="00317E08">
            <w:pPr>
              <w:autoSpaceDE w:val="0"/>
              <w:autoSpaceDN w:val="0"/>
              <w:adjustRightInd w:val="0"/>
              <w:jc w:val="both"/>
              <w:rPr>
                <w:rFonts w:ascii="Abadi" w:hAnsi="Abadi" w:cs="*Arial-Bold-7284-Identity-H"/>
                <w:b/>
                <w:bCs/>
                <w:color w:val="131313"/>
                <w:sz w:val="21"/>
                <w:szCs w:val="21"/>
              </w:rPr>
            </w:pPr>
            <w:r w:rsidRPr="00C67C49">
              <w:rPr>
                <w:rFonts w:ascii="Abadi" w:hAnsi="Abadi" w:cs="*Arial-Bold-7284-Identity-H"/>
                <w:b/>
                <w:bCs/>
                <w:color w:val="131313"/>
                <w:sz w:val="21"/>
                <w:szCs w:val="21"/>
              </w:rPr>
              <w:t>igualdad sustantiva con los hombres; el</w:t>
            </w:r>
          </w:p>
          <w:p w14:paraId="08DEE5DF" w14:textId="77777777" w:rsidR="005767CC" w:rsidRPr="00C67C49" w:rsidRDefault="005767CC" w:rsidP="00317E08">
            <w:pPr>
              <w:autoSpaceDE w:val="0"/>
              <w:autoSpaceDN w:val="0"/>
              <w:adjustRightInd w:val="0"/>
              <w:jc w:val="both"/>
              <w:rPr>
                <w:rFonts w:ascii="Abadi" w:hAnsi="Abadi" w:cs="*Arial-Bold-7284-Identity-H"/>
                <w:b/>
                <w:bCs/>
                <w:color w:val="131313"/>
                <w:sz w:val="21"/>
                <w:szCs w:val="21"/>
              </w:rPr>
            </w:pPr>
            <w:r w:rsidRPr="00C67C49">
              <w:rPr>
                <w:rFonts w:ascii="Abadi" w:hAnsi="Abadi" w:cs="*Arial-Bold-7284-Identity-H"/>
                <w:b/>
                <w:bCs/>
                <w:color w:val="131313"/>
                <w:sz w:val="21"/>
                <w:szCs w:val="21"/>
              </w:rPr>
              <w:t>respeto de su dignidad humana y no</w:t>
            </w:r>
          </w:p>
          <w:p w14:paraId="6A2555C7" w14:textId="77777777" w:rsidR="005767CC" w:rsidRPr="00C67C49" w:rsidRDefault="005767CC" w:rsidP="00317E08">
            <w:pPr>
              <w:autoSpaceDE w:val="0"/>
              <w:autoSpaceDN w:val="0"/>
              <w:adjustRightInd w:val="0"/>
              <w:jc w:val="both"/>
              <w:rPr>
                <w:rFonts w:ascii="Abadi" w:hAnsi="Abadi" w:cs="*Arial-Bold-7284-Identity-H"/>
                <w:b/>
                <w:bCs/>
                <w:color w:val="131313"/>
                <w:sz w:val="21"/>
                <w:szCs w:val="21"/>
              </w:rPr>
            </w:pPr>
            <w:r w:rsidRPr="00C67C49">
              <w:rPr>
                <w:rFonts w:ascii="Abadi" w:hAnsi="Abadi" w:cs="*Arial-Bold-7284-Identity-H"/>
                <w:b/>
                <w:bCs/>
                <w:color w:val="131313"/>
                <w:sz w:val="21"/>
                <w:szCs w:val="21"/>
              </w:rPr>
              <w:t>discriminación; su libertad, autonomía y</w:t>
            </w:r>
          </w:p>
          <w:p w14:paraId="3558B538" w14:textId="77777777" w:rsidR="005767CC" w:rsidRPr="00C67C49" w:rsidRDefault="005767CC" w:rsidP="00317E08">
            <w:pPr>
              <w:autoSpaceDE w:val="0"/>
              <w:autoSpaceDN w:val="0"/>
              <w:adjustRightInd w:val="0"/>
              <w:jc w:val="both"/>
              <w:rPr>
                <w:rFonts w:ascii="Abadi" w:hAnsi="Abadi" w:cs="*Arial-Bold-7284-Identity-H"/>
                <w:b/>
                <w:bCs/>
                <w:color w:val="131313"/>
                <w:sz w:val="21"/>
                <w:szCs w:val="21"/>
              </w:rPr>
            </w:pPr>
            <w:r w:rsidRPr="00C67C49">
              <w:rPr>
                <w:rFonts w:ascii="Abadi" w:hAnsi="Abadi" w:cs="*Arial-Bold-7284-Identity-H"/>
                <w:b/>
                <w:bCs/>
                <w:color w:val="131313"/>
                <w:sz w:val="21"/>
                <w:szCs w:val="21"/>
              </w:rPr>
              <w:t>empoderamiento; así como el acceso a</w:t>
            </w:r>
          </w:p>
          <w:p w14:paraId="272CFDD6" w14:textId="77777777" w:rsidR="005767CC" w:rsidRPr="00C67C49" w:rsidRDefault="005767CC" w:rsidP="00317E08">
            <w:pPr>
              <w:autoSpaceDE w:val="0"/>
              <w:autoSpaceDN w:val="0"/>
              <w:adjustRightInd w:val="0"/>
              <w:jc w:val="both"/>
              <w:rPr>
                <w:rFonts w:ascii="Abadi" w:hAnsi="Abadi" w:cs="*Arial-Bold-7284-Identity-H"/>
                <w:b/>
                <w:bCs/>
                <w:color w:val="131313"/>
                <w:sz w:val="21"/>
                <w:szCs w:val="21"/>
              </w:rPr>
            </w:pPr>
            <w:r w:rsidRPr="00C67C49">
              <w:rPr>
                <w:rFonts w:ascii="Abadi" w:hAnsi="Abadi" w:cs="*Arial-Bold-7284-Identity-H"/>
                <w:b/>
                <w:bCs/>
                <w:color w:val="131313"/>
                <w:sz w:val="21"/>
                <w:szCs w:val="21"/>
              </w:rPr>
              <w:t>una vida libre de todo tipo de violencia en</w:t>
            </w:r>
          </w:p>
          <w:p w14:paraId="0412C214" w14:textId="77777777" w:rsidR="005767CC" w:rsidRPr="00C67C49" w:rsidRDefault="005767CC" w:rsidP="00317E08">
            <w:pPr>
              <w:autoSpaceDE w:val="0"/>
              <w:autoSpaceDN w:val="0"/>
              <w:adjustRightInd w:val="0"/>
              <w:jc w:val="both"/>
              <w:rPr>
                <w:rFonts w:ascii="Abadi" w:hAnsi="Abadi" w:cs="*Arial-Bold-7284-Identity-H"/>
                <w:b/>
                <w:bCs/>
                <w:color w:val="131313"/>
                <w:sz w:val="21"/>
                <w:szCs w:val="21"/>
              </w:rPr>
            </w:pPr>
            <w:r w:rsidRPr="00C67C49">
              <w:rPr>
                <w:rFonts w:ascii="Abadi" w:hAnsi="Abadi" w:cs="*Arial-Bold-7284-Identity-H"/>
                <w:b/>
                <w:bCs/>
                <w:color w:val="131313"/>
                <w:sz w:val="21"/>
                <w:szCs w:val="21"/>
              </w:rPr>
              <w:t>cualquiera de sus modalidades.</w:t>
            </w:r>
          </w:p>
          <w:p w14:paraId="5EAC29BE" w14:textId="77777777" w:rsidR="005767CC" w:rsidRDefault="005767CC" w:rsidP="00317E08">
            <w:pPr>
              <w:autoSpaceDE w:val="0"/>
              <w:autoSpaceDN w:val="0"/>
              <w:adjustRightInd w:val="0"/>
              <w:jc w:val="both"/>
              <w:rPr>
                <w:rFonts w:ascii="Abadi" w:hAnsi="Abadi" w:cs="*Arial-Bold-7284-Identity-H"/>
                <w:b/>
                <w:bCs/>
                <w:color w:val="151515"/>
                <w:sz w:val="21"/>
                <w:szCs w:val="21"/>
              </w:rPr>
            </w:pPr>
          </w:p>
          <w:p w14:paraId="3CA2D4A3" w14:textId="77777777" w:rsidR="00D7099D" w:rsidRDefault="00D7099D" w:rsidP="00317E08">
            <w:pPr>
              <w:autoSpaceDE w:val="0"/>
              <w:autoSpaceDN w:val="0"/>
              <w:adjustRightInd w:val="0"/>
              <w:jc w:val="both"/>
              <w:rPr>
                <w:rFonts w:ascii="Abadi" w:hAnsi="Abadi" w:cs="*Arial-Bold-7284-Identity-H"/>
                <w:b/>
                <w:bCs/>
                <w:color w:val="151515"/>
                <w:sz w:val="21"/>
                <w:szCs w:val="21"/>
              </w:rPr>
            </w:pPr>
          </w:p>
          <w:p w14:paraId="0DCA4BDF" w14:textId="3EE39A4A" w:rsidR="005767CC" w:rsidRPr="00C67C49" w:rsidRDefault="005767CC" w:rsidP="00317E08">
            <w:pPr>
              <w:autoSpaceDE w:val="0"/>
              <w:autoSpaceDN w:val="0"/>
              <w:adjustRightInd w:val="0"/>
              <w:jc w:val="both"/>
              <w:rPr>
                <w:rFonts w:ascii="Abadi" w:hAnsi="Abadi" w:cs="*Arial-Bold-7284-Identity-H"/>
                <w:b/>
                <w:bCs/>
                <w:color w:val="151515"/>
                <w:sz w:val="21"/>
                <w:szCs w:val="21"/>
              </w:rPr>
            </w:pPr>
            <w:r w:rsidRPr="00C67C49">
              <w:rPr>
                <w:rFonts w:ascii="Abadi" w:hAnsi="Abadi" w:cs="*Arial-Bold-7284-Identity-H"/>
                <w:b/>
                <w:bCs/>
                <w:color w:val="151515"/>
                <w:sz w:val="21"/>
                <w:szCs w:val="21"/>
              </w:rPr>
              <w:t>Artículo 7. Corresponde al Poder Ejecutivo</w:t>
            </w:r>
          </w:p>
          <w:p w14:paraId="24CD686E" w14:textId="77777777" w:rsidR="005767CC" w:rsidRPr="00C67C49" w:rsidRDefault="005767CC" w:rsidP="00317E08">
            <w:pPr>
              <w:autoSpaceDE w:val="0"/>
              <w:autoSpaceDN w:val="0"/>
              <w:adjustRightInd w:val="0"/>
              <w:jc w:val="both"/>
              <w:rPr>
                <w:rFonts w:ascii="Abadi" w:hAnsi="Abadi" w:cs="*Arial-Bold-7284-Identity-H"/>
                <w:b/>
                <w:bCs/>
                <w:color w:val="151515"/>
                <w:sz w:val="21"/>
                <w:szCs w:val="21"/>
              </w:rPr>
            </w:pPr>
            <w:r w:rsidRPr="00C67C49">
              <w:rPr>
                <w:rFonts w:ascii="Abadi" w:hAnsi="Abadi" w:cs="*Arial-Bold-7284-Identity-H"/>
                <w:b/>
                <w:bCs/>
                <w:color w:val="151515"/>
                <w:sz w:val="21"/>
                <w:szCs w:val="21"/>
              </w:rPr>
              <w:t>del Estado:</w:t>
            </w:r>
          </w:p>
          <w:p w14:paraId="772C0333" w14:textId="77777777" w:rsidR="005767CC" w:rsidRDefault="005767CC" w:rsidP="00317E08">
            <w:pPr>
              <w:autoSpaceDE w:val="0"/>
              <w:autoSpaceDN w:val="0"/>
              <w:adjustRightInd w:val="0"/>
              <w:jc w:val="both"/>
              <w:rPr>
                <w:rFonts w:ascii="Abadi" w:hAnsi="Abadi" w:cs="*Microsoft Sans Serif-7631-Iden"/>
                <w:color w:val="161616"/>
                <w:sz w:val="21"/>
                <w:szCs w:val="21"/>
              </w:rPr>
            </w:pPr>
          </w:p>
          <w:p w14:paraId="6E83A10D" w14:textId="77777777" w:rsidR="005767CC" w:rsidRPr="00C67C49" w:rsidRDefault="005767CC" w:rsidP="00317E08">
            <w:pPr>
              <w:autoSpaceDE w:val="0"/>
              <w:autoSpaceDN w:val="0"/>
              <w:adjustRightInd w:val="0"/>
              <w:jc w:val="both"/>
              <w:rPr>
                <w:rFonts w:ascii="Abadi" w:hAnsi="Abadi" w:cs="*Microsoft Sans Serif-7631-Iden"/>
                <w:color w:val="161616"/>
                <w:sz w:val="21"/>
                <w:szCs w:val="21"/>
              </w:rPr>
            </w:pPr>
            <w:r>
              <w:rPr>
                <w:rFonts w:ascii="Abadi" w:hAnsi="Abadi" w:cs="*Microsoft Sans Serif-7631-Iden"/>
                <w:color w:val="161616"/>
                <w:sz w:val="21"/>
                <w:szCs w:val="21"/>
              </w:rPr>
              <w:t>I</w:t>
            </w:r>
            <w:r w:rsidRPr="00C67C49">
              <w:rPr>
                <w:rFonts w:ascii="Abadi" w:hAnsi="Abadi" w:cs="*Microsoft Sans Serif-7631-Iden"/>
                <w:color w:val="161616"/>
                <w:sz w:val="21"/>
                <w:szCs w:val="21"/>
              </w:rPr>
              <w:t>. Respetar, proteger y ...</w:t>
            </w:r>
          </w:p>
          <w:p w14:paraId="4AC674B8" w14:textId="77777777" w:rsidR="005767CC" w:rsidRDefault="005767CC" w:rsidP="00317E08">
            <w:pPr>
              <w:autoSpaceDE w:val="0"/>
              <w:autoSpaceDN w:val="0"/>
              <w:adjustRightInd w:val="0"/>
              <w:jc w:val="both"/>
              <w:rPr>
                <w:rFonts w:ascii="Abadi" w:hAnsi="Abadi" w:cs="*Microsoft Sans Serif-7631-Iden"/>
                <w:color w:val="151515"/>
                <w:sz w:val="21"/>
                <w:szCs w:val="21"/>
              </w:rPr>
            </w:pPr>
          </w:p>
          <w:p w14:paraId="3A78A091" w14:textId="77777777" w:rsidR="005767CC" w:rsidRPr="00C67C49" w:rsidRDefault="005767CC" w:rsidP="00317E08">
            <w:pPr>
              <w:autoSpaceDE w:val="0"/>
              <w:autoSpaceDN w:val="0"/>
              <w:adjustRightInd w:val="0"/>
              <w:jc w:val="both"/>
              <w:rPr>
                <w:rFonts w:ascii="Abadi" w:hAnsi="Abadi" w:cs="*Microsoft Sans Serif-7631-Iden"/>
                <w:color w:val="151515"/>
                <w:sz w:val="21"/>
                <w:szCs w:val="21"/>
              </w:rPr>
            </w:pPr>
            <w:r>
              <w:rPr>
                <w:rFonts w:ascii="Abadi" w:hAnsi="Abadi" w:cs="*Microsoft Sans Serif-7631-Iden"/>
                <w:color w:val="151515"/>
                <w:sz w:val="21"/>
                <w:szCs w:val="21"/>
              </w:rPr>
              <w:t>II</w:t>
            </w:r>
            <w:r w:rsidRPr="00C67C49">
              <w:rPr>
                <w:rFonts w:ascii="Abadi" w:hAnsi="Abadi" w:cs="*Microsoft Sans Serif-7631-Iden"/>
                <w:color w:val="151515"/>
                <w:sz w:val="21"/>
                <w:szCs w:val="21"/>
              </w:rPr>
              <w:t>. Promover la investigación ...</w:t>
            </w:r>
          </w:p>
          <w:p w14:paraId="40B4BFD4" w14:textId="77777777" w:rsidR="005767CC" w:rsidRDefault="005767CC" w:rsidP="00317E08">
            <w:pPr>
              <w:autoSpaceDE w:val="0"/>
              <w:autoSpaceDN w:val="0"/>
              <w:adjustRightInd w:val="0"/>
              <w:jc w:val="both"/>
              <w:rPr>
                <w:rFonts w:ascii="Abadi" w:hAnsi="Abadi" w:cs="*Microsoft Sans Serif-7631-Iden"/>
                <w:color w:val="151515"/>
                <w:sz w:val="21"/>
                <w:szCs w:val="21"/>
              </w:rPr>
            </w:pPr>
          </w:p>
          <w:p w14:paraId="71300A18" w14:textId="77777777" w:rsidR="005767CC" w:rsidRPr="00C67C49" w:rsidRDefault="005767CC" w:rsidP="00317E08">
            <w:pPr>
              <w:autoSpaceDE w:val="0"/>
              <w:autoSpaceDN w:val="0"/>
              <w:adjustRightInd w:val="0"/>
              <w:jc w:val="both"/>
              <w:rPr>
                <w:rFonts w:ascii="Abadi" w:hAnsi="Abadi" w:cs="*Microsoft Sans Serif-7631-Iden"/>
                <w:color w:val="151515"/>
                <w:sz w:val="21"/>
                <w:szCs w:val="21"/>
              </w:rPr>
            </w:pPr>
            <w:r>
              <w:rPr>
                <w:rFonts w:ascii="Abadi" w:hAnsi="Abadi" w:cs="*Microsoft Sans Serif-7631-Iden"/>
                <w:color w:val="151515"/>
                <w:sz w:val="21"/>
                <w:szCs w:val="21"/>
              </w:rPr>
              <w:t>III</w:t>
            </w:r>
            <w:r w:rsidRPr="00C67C49">
              <w:rPr>
                <w:rFonts w:ascii="Abadi" w:hAnsi="Abadi" w:cs="*Microsoft Sans Serif-7631-Iden"/>
                <w:color w:val="151515"/>
                <w:sz w:val="21"/>
                <w:szCs w:val="21"/>
              </w:rPr>
              <w:t>. Promover la agricultura ...</w:t>
            </w:r>
          </w:p>
          <w:p w14:paraId="5B003201" w14:textId="77777777" w:rsidR="005767CC" w:rsidRDefault="005767CC" w:rsidP="00317E08">
            <w:pPr>
              <w:autoSpaceDE w:val="0"/>
              <w:autoSpaceDN w:val="0"/>
              <w:adjustRightInd w:val="0"/>
              <w:jc w:val="both"/>
              <w:rPr>
                <w:rFonts w:ascii="Abadi" w:hAnsi="Abadi" w:cs="*Microsoft Sans Serif-7631-Iden"/>
                <w:color w:val="151515"/>
                <w:sz w:val="21"/>
                <w:szCs w:val="21"/>
              </w:rPr>
            </w:pPr>
          </w:p>
          <w:p w14:paraId="318B30CC" w14:textId="77777777" w:rsidR="005767CC" w:rsidRPr="00C67C49" w:rsidRDefault="005767CC" w:rsidP="00317E08">
            <w:pPr>
              <w:autoSpaceDE w:val="0"/>
              <w:autoSpaceDN w:val="0"/>
              <w:adjustRightInd w:val="0"/>
              <w:jc w:val="both"/>
              <w:rPr>
                <w:rFonts w:ascii="Abadi" w:hAnsi="Abadi" w:cs="*Microsoft Sans Serif-7631-Iden"/>
                <w:color w:val="151515"/>
                <w:sz w:val="21"/>
                <w:szCs w:val="21"/>
              </w:rPr>
            </w:pPr>
            <w:r w:rsidRPr="00C67C49">
              <w:rPr>
                <w:rFonts w:ascii="Abadi" w:hAnsi="Abadi" w:cs="*Microsoft Sans Serif-7631-Iden"/>
                <w:color w:val="151515"/>
                <w:sz w:val="21"/>
                <w:szCs w:val="21"/>
              </w:rPr>
              <w:t>IV. Promover la agricultura familiar a través de</w:t>
            </w:r>
          </w:p>
          <w:p w14:paraId="43DBD32F" w14:textId="77777777" w:rsidR="005767CC" w:rsidRPr="00C67C49" w:rsidRDefault="005767CC" w:rsidP="00317E08">
            <w:pPr>
              <w:autoSpaceDE w:val="0"/>
              <w:autoSpaceDN w:val="0"/>
              <w:adjustRightInd w:val="0"/>
              <w:jc w:val="both"/>
              <w:rPr>
                <w:rFonts w:ascii="Abadi" w:hAnsi="Abadi" w:cs="*Microsoft Sans Serif-7631-Iden"/>
                <w:color w:val="151515"/>
                <w:sz w:val="21"/>
                <w:szCs w:val="21"/>
              </w:rPr>
            </w:pPr>
            <w:r w:rsidRPr="00C67C49">
              <w:rPr>
                <w:rFonts w:ascii="Abadi" w:hAnsi="Abadi" w:cs="*Microsoft Sans Serif-7631-Iden"/>
                <w:color w:val="151515"/>
                <w:sz w:val="21"/>
                <w:szCs w:val="21"/>
              </w:rPr>
              <w:t>capacitación y formación profesional</w:t>
            </w:r>
          </w:p>
          <w:p w14:paraId="63417A14" w14:textId="77777777" w:rsidR="005767CC" w:rsidRPr="00C67C49" w:rsidRDefault="005767CC" w:rsidP="00317E08">
            <w:pPr>
              <w:autoSpaceDE w:val="0"/>
              <w:autoSpaceDN w:val="0"/>
              <w:adjustRightInd w:val="0"/>
              <w:jc w:val="both"/>
              <w:rPr>
                <w:rFonts w:ascii="Abadi" w:hAnsi="Abadi" w:cs="*Microsoft Sans Serif-7631-Iden"/>
                <w:color w:val="151515"/>
                <w:sz w:val="21"/>
                <w:szCs w:val="21"/>
              </w:rPr>
            </w:pPr>
            <w:r w:rsidRPr="00C67C49">
              <w:rPr>
                <w:rFonts w:ascii="Abadi" w:hAnsi="Abadi" w:cs="*Microsoft Sans Serif-7631-Iden"/>
                <w:color w:val="151515"/>
                <w:sz w:val="21"/>
                <w:szCs w:val="21"/>
              </w:rPr>
              <w:t>adecuada a los distintos integrantes del</w:t>
            </w:r>
          </w:p>
          <w:p w14:paraId="61F54075" w14:textId="77777777" w:rsidR="005767CC" w:rsidRPr="00C67C49" w:rsidRDefault="005767CC" w:rsidP="00317E08">
            <w:pPr>
              <w:autoSpaceDE w:val="0"/>
              <w:autoSpaceDN w:val="0"/>
              <w:adjustRightInd w:val="0"/>
              <w:jc w:val="both"/>
              <w:rPr>
                <w:rFonts w:ascii="Abadi" w:hAnsi="Abadi" w:cs="*Microsoft Sans Serif-7631-Iden"/>
                <w:color w:val="151515"/>
                <w:sz w:val="21"/>
                <w:szCs w:val="21"/>
              </w:rPr>
            </w:pPr>
            <w:r w:rsidRPr="00C67C49">
              <w:rPr>
                <w:rFonts w:ascii="Abadi" w:hAnsi="Abadi" w:cs="*Microsoft Sans Serif-7631-Iden"/>
                <w:color w:val="151515"/>
                <w:sz w:val="21"/>
                <w:szCs w:val="21"/>
              </w:rPr>
              <w:t>núcleo familiar, así como las comunidades</w:t>
            </w:r>
          </w:p>
          <w:p w14:paraId="18B6B7A0" w14:textId="77777777" w:rsidR="005767CC" w:rsidRPr="00C67C49" w:rsidRDefault="005767CC" w:rsidP="00317E08">
            <w:pPr>
              <w:autoSpaceDE w:val="0"/>
              <w:autoSpaceDN w:val="0"/>
              <w:adjustRightInd w:val="0"/>
              <w:jc w:val="both"/>
              <w:rPr>
                <w:rFonts w:ascii="Abadi" w:hAnsi="Abadi" w:cs="*Microsoft Sans Serif-7631-Iden"/>
                <w:color w:val="151515"/>
                <w:sz w:val="21"/>
                <w:szCs w:val="21"/>
              </w:rPr>
            </w:pPr>
            <w:r w:rsidRPr="00C67C49">
              <w:rPr>
                <w:rFonts w:ascii="Abadi" w:hAnsi="Abadi" w:cs="*Microsoft Sans Serif-7631-Iden"/>
                <w:color w:val="151515"/>
                <w:sz w:val="21"/>
                <w:szCs w:val="21"/>
              </w:rPr>
              <w:t>para el desarrollo de sus capacidades de</w:t>
            </w:r>
          </w:p>
          <w:p w14:paraId="34AF36EA" w14:textId="77777777" w:rsidR="005767CC" w:rsidRPr="00C67C49" w:rsidRDefault="005767CC" w:rsidP="00317E08">
            <w:pPr>
              <w:autoSpaceDE w:val="0"/>
              <w:autoSpaceDN w:val="0"/>
              <w:adjustRightInd w:val="0"/>
              <w:jc w:val="both"/>
              <w:rPr>
                <w:rFonts w:ascii="Abadi" w:hAnsi="Abadi" w:cs="*Microsoft Sans Serif-7631-Iden"/>
                <w:color w:val="151515"/>
                <w:sz w:val="21"/>
                <w:szCs w:val="21"/>
              </w:rPr>
            </w:pPr>
            <w:r w:rsidRPr="00C67C49">
              <w:rPr>
                <w:rFonts w:ascii="Abadi" w:hAnsi="Abadi" w:cs="*Microsoft Sans Serif-7631-Iden"/>
                <w:color w:val="151515"/>
                <w:sz w:val="21"/>
                <w:szCs w:val="21"/>
              </w:rPr>
              <w:t>producción, gestión, organización,</w:t>
            </w:r>
          </w:p>
          <w:p w14:paraId="40DA74EB" w14:textId="77777777" w:rsidR="005767CC" w:rsidRPr="00C67C49" w:rsidRDefault="005767CC" w:rsidP="00317E08">
            <w:pPr>
              <w:autoSpaceDE w:val="0"/>
              <w:autoSpaceDN w:val="0"/>
              <w:adjustRightInd w:val="0"/>
              <w:jc w:val="both"/>
              <w:rPr>
                <w:rFonts w:ascii="Abadi" w:hAnsi="Abadi" w:cs="*Microsoft Sans Serif-7631-Iden"/>
                <w:color w:val="151515"/>
                <w:sz w:val="21"/>
                <w:szCs w:val="21"/>
              </w:rPr>
            </w:pPr>
            <w:r w:rsidRPr="00C67C49">
              <w:rPr>
                <w:rFonts w:ascii="Abadi" w:hAnsi="Abadi" w:cs="*Microsoft Sans Serif-7631-Iden"/>
                <w:color w:val="151515"/>
                <w:sz w:val="21"/>
                <w:szCs w:val="21"/>
              </w:rPr>
              <w:t>planificación y formulación de proyectos de</w:t>
            </w:r>
          </w:p>
          <w:p w14:paraId="17C420E8" w14:textId="77777777" w:rsidR="005767CC" w:rsidRPr="00C67C49" w:rsidRDefault="005767CC" w:rsidP="00317E08">
            <w:pPr>
              <w:autoSpaceDE w:val="0"/>
              <w:autoSpaceDN w:val="0"/>
              <w:adjustRightInd w:val="0"/>
              <w:jc w:val="both"/>
              <w:rPr>
                <w:rFonts w:ascii="Abadi" w:hAnsi="Abadi" w:cs="*Arial-Bold-7629-Identity-H"/>
                <w:b/>
                <w:bCs/>
                <w:color w:val="151515"/>
                <w:sz w:val="21"/>
                <w:szCs w:val="21"/>
              </w:rPr>
            </w:pPr>
            <w:r w:rsidRPr="00C67C49">
              <w:rPr>
                <w:rFonts w:ascii="Abadi" w:hAnsi="Abadi" w:cs="*Microsoft Sans Serif-7631-Iden"/>
                <w:color w:val="151515"/>
                <w:sz w:val="21"/>
                <w:szCs w:val="21"/>
              </w:rPr>
              <w:lastRenderedPageBreak/>
              <w:t xml:space="preserve">agricultura familiar; </w:t>
            </w:r>
            <w:r w:rsidRPr="00C67C49">
              <w:rPr>
                <w:rFonts w:ascii="Abadi" w:hAnsi="Abadi" w:cs="*Arial-Bold-7629-Identity-H"/>
                <w:b/>
                <w:bCs/>
                <w:color w:val="151515"/>
                <w:sz w:val="21"/>
                <w:szCs w:val="21"/>
              </w:rPr>
              <w:t>e</w:t>
            </w:r>
          </w:p>
          <w:p w14:paraId="5A2F2D56" w14:textId="64EC4B17" w:rsidR="005767CC" w:rsidRDefault="005767CC" w:rsidP="00317E08">
            <w:pPr>
              <w:autoSpaceDE w:val="0"/>
              <w:autoSpaceDN w:val="0"/>
              <w:adjustRightInd w:val="0"/>
              <w:jc w:val="both"/>
              <w:rPr>
                <w:rFonts w:ascii="Abadi" w:hAnsi="Abadi" w:cs="*Arial-Bold-7629-Identity-H"/>
                <w:b/>
                <w:bCs/>
                <w:color w:val="131313"/>
                <w:sz w:val="21"/>
                <w:szCs w:val="21"/>
              </w:rPr>
            </w:pPr>
          </w:p>
          <w:p w14:paraId="5809AD5C" w14:textId="064C93DE" w:rsidR="00D7099D" w:rsidRDefault="00D7099D" w:rsidP="00317E08">
            <w:pPr>
              <w:autoSpaceDE w:val="0"/>
              <w:autoSpaceDN w:val="0"/>
              <w:adjustRightInd w:val="0"/>
              <w:jc w:val="both"/>
              <w:rPr>
                <w:rFonts w:ascii="Abadi" w:hAnsi="Abadi" w:cs="*Arial-Bold-7629-Identity-H"/>
                <w:b/>
                <w:bCs/>
                <w:color w:val="131313"/>
                <w:sz w:val="21"/>
                <w:szCs w:val="21"/>
              </w:rPr>
            </w:pPr>
          </w:p>
          <w:p w14:paraId="42D15F46" w14:textId="7540E009" w:rsidR="00D7099D" w:rsidRDefault="00D7099D" w:rsidP="00317E08">
            <w:pPr>
              <w:autoSpaceDE w:val="0"/>
              <w:autoSpaceDN w:val="0"/>
              <w:adjustRightInd w:val="0"/>
              <w:jc w:val="both"/>
              <w:rPr>
                <w:rFonts w:ascii="Abadi" w:hAnsi="Abadi" w:cs="*Arial-Bold-7629-Identity-H"/>
                <w:b/>
                <w:bCs/>
                <w:color w:val="131313"/>
                <w:sz w:val="21"/>
                <w:szCs w:val="21"/>
              </w:rPr>
            </w:pPr>
          </w:p>
          <w:p w14:paraId="54DFB0C7" w14:textId="248DB7B5" w:rsidR="00D7099D" w:rsidRDefault="00D7099D" w:rsidP="00317E08">
            <w:pPr>
              <w:autoSpaceDE w:val="0"/>
              <w:autoSpaceDN w:val="0"/>
              <w:adjustRightInd w:val="0"/>
              <w:jc w:val="both"/>
              <w:rPr>
                <w:rFonts w:ascii="Abadi" w:hAnsi="Abadi" w:cs="*Arial-Bold-7629-Identity-H"/>
                <w:b/>
                <w:bCs/>
                <w:color w:val="131313"/>
                <w:sz w:val="21"/>
                <w:szCs w:val="21"/>
              </w:rPr>
            </w:pPr>
          </w:p>
          <w:p w14:paraId="6BCD666E" w14:textId="41DF7555" w:rsidR="00D7099D" w:rsidRDefault="00D7099D" w:rsidP="00317E08">
            <w:pPr>
              <w:autoSpaceDE w:val="0"/>
              <w:autoSpaceDN w:val="0"/>
              <w:adjustRightInd w:val="0"/>
              <w:jc w:val="both"/>
              <w:rPr>
                <w:rFonts w:ascii="Abadi" w:hAnsi="Abadi" w:cs="*Arial-Bold-7629-Identity-H"/>
                <w:b/>
                <w:bCs/>
                <w:color w:val="131313"/>
                <w:sz w:val="21"/>
                <w:szCs w:val="21"/>
              </w:rPr>
            </w:pPr>
          </w:p>
          <w:p w14:paraId="34A522F5" w14:textId="3E3AEC1E" w:rsidR="00D7099D" w:rsidRDefault="00D7099D" w:rsidP="00317E08">
            <w:pPr>
              <w:autoSpaceDE w:val="0"/>
              <w:autoSpaceDN w:val="0"/>
              <w:adjustRightInd w:val="0"/>
              <w:jc w:val="both"/>
              <w:rPr>
                <w:rFonts w:ascii="Abadi" w:hAnsi="Abadi" w:cs="*Arial-Bold-7629-Identity-H"/>
                <w:b/>
                <w:bCs/>
                <w:color w:val="131313"/>
                <w:sz w:val="21"/>
                <w:szCs w:val="21"/>
              </w:rPr>
            </w:pPr>
          </w:p>
          <w:p w14:paraId="75810FF0" w14:textId="734D709B" w:rsidR="00D7099D" w:rsidRDefault="00D7099D" w:rsidP="00317E08">
            <w:pPr>
              <w:autoSpaceDE w:val="0"/>
              <w:autoSpaceDN w:val="0"/>
              <w:adjustRightInd w:val="0"/>
              <w:jc w:val="both"/>
              <w:rPr>
                <w:rFonts w:ascii="Abadi" w:hAnsi="Abadi" w:cs="*Arial-Bold-7629-Identity-H"/>
                <w:b/>
                <w:bCs/>
                <w:color w:val="131313"/>
                <w:sz w:val="21"/>
                <w:szCs w:val="21"/>
              </w:rPr>
            </w:pPr>
          </w:p>
          <w:p w14:paraId="7CE5E56A" w14:textId="77777777" w:rsidR="00D7099D" w:rsidRDefault="00D7099D" w:rsidP="00317E08">
            <w:pPr>
              <w:autoSpaceDE w:val="0"/>
              <w:autoSpaceDN w:val="0"/>
              <w:adjustRightInd w:val="0"/>
              <w:jc w:val="both"/>
              <w:rPr>
                <w:rFonts w:ascii="Abadi" w:hAnsi="Abadi" w:cs="*Arial-Bold-7629-Identity-H"/>
                <w:b/>
                <w:bCs/>
                <w:color w:val="131313"/>
                <w:sz w:val="21"/>
                <w:szCs w:val="21"/>
              </w:rPr>
            </w:pPr>
          </w:p>
          <w:p w14:paraId="5EEB19E7" w14:textId="77777777" w:rsidR="005767CC" w:rsidRPr="00C67C49" w:rsidRDefault="005767CC" w:rsidP="00317E08">
            <w:pPr>
              <w:autoSpaceDE w:val="0"/>
              <w:autoSpaceDN w:val="0"/>
              <w:adjustRightInd w:val="0"/>
              <w:jc w:val="both"/>
              <w:rPr>
                <w:rFonts w:ascii="Abadi" w:hAnsi="Abadi" w:cs="*Arial-Bold-7629-Identity-H"/>
                <w:b/>
                <w:bCs/>
                <w:color w:val="131313"/>
                <w:sz w:val="21"/>
                <w:szCs w:val="21"/>
              </w:rPr>
            </w:pPr>
            <w:r w:rsidRPr="00C67C49">
              <w:rPr>
                <w:rFonts w:ascii="Abadi" w:hAnsi="Abadi" w:cs="*Arial-Bold-7629-Identity-H"/>
                <w:b/>
                <w:bCs/>
                <w:color w:val="131313"/>
                <w:sz w:val="21"/>
                <w:szCs w:val="21"/>
              </w:rPr>
              <w:t>V. Implementar, en coordinación con las</w:t>
            </w:r>
          </w:p>
          <w:p w14:paraId="7C4D8EB4" w14:textId="77777777" w:rsidR="005767CC" w:rsidRPr="00C67C49" w:rsidRDefault="005767CC" w:rsidP="00317E08">
            <w:pPr>
              <w:autoSpaceDE w:val="0"/>
              <w:autoSpaceDN w:val="0"/>
              <w:adjustRightInd w:val="0"/>
              <w:jc w:val="both"/>
              <w:rPr>
                <w:rFonts w:ascii="Abadi" w:hAnsi="Abadi" w:cs="*Arial-Bold-7629-Identity-H"/>
                <w:b/>
                <w:bCs/>
                <w:color w:val="131313"/>
                <w:sz w:val="21"/>
                <w:szCs w:val="21"/>
              </w:rPr>
            </w:pPr>
            <w:r w:rsidRPr="00C67C49">
              <w:rPr>
                <w:rFonts w:ascii="Abadi" w:hAnsi="Abadi" w:cs="*Arial-Bold-7629-Identity-H"/>
                <w:b/>
                <w:bCs/>
                <w:color w:val="131313"/>
                <w:sz w:val="21"/>
                <w:szCs w:val="21"/>
              </w:rPr>
              <w:t>dependencias y entidades competentes,</w:t>
            </w:r>
          </w:p>
          <w:p w14:paraId="46687CC9" w14:textId="77777777" w:rsidR="005767CC" w:rsidRPr="00C67C49" w:rsidRDefault="005767CC" w:rsidP="00317E08">
            <w:pPr>
              <w:autoSpaceDE w:val="0"/>
              <w:autoSpaceDN w:val="0"/>
              <w:adjustRightInd w:val="0"/>
              <w:jc w:val="both"/>
              <w:rPr>
                <w:rFonts w:ascii="Abadi" w:hAnsi="Abadi" w:cs="*Arial-Bold-7629-Identity-H"/>
                <w:b/>
                <w:bCs/>
                <w:color w:val="131313"/>
                <w:sz w:val="21"/>
                <w:szCs w:val="21"/>
              </w:rPr>
            </w:pPr>
            <w:r w:rsidRPr="00C67C49">
              <w:rPr>
                <w:rFonts w:ascii="Abadi" w:hAnsi="Abadi" w:cs="*Arial-Bold-7629-Identity-H"/>
                <w:b/>
                <w:bCs/>
                <w:color w:val="131313"/>
                <w:sz w:val="21"/>
                <w:szCs w:val="21"/>
              </w:rPr>
              <w:t>acciones afirmativas a favor de las</w:t>
            </w:r>
          </w:p>
          <w:p w14:paraId="31880C5A" w14:textId="77777777" w:rsidR="005767CC" w:rsidRPr="00C67C49" w:rsidRDefault="005767CC" w:rsidP="00317E08">
            <w:pPr>
              <w:autoSpaceDE w:val="0"/>
              <w:autoSpaceDN w:val="0"/>
              <w:adjustRightInd w:val="0"/>
              <w:jc w:val="both"/>
              <w:rPr>
                <w:rFonts w:ascii="Abadi" w:hAnsi="Abadi" w:cs="*Arial-Bold-7629-Identity-H"/>
                <w:b/>
                <w:bCs/>
                <w:color w:val="131313"/>
                <w:sz w:val="21"/>
                <w:szCs w:val="21"/>
              </w:rPr>
            </w:pPr>
            <w:r w:rsidRPr="00C67C49">
              <w:rPr>
                <w:rFonts w:ascii="Abadi" w:hAnsi="Abadi" w:cs="*Arial-Bold-7629-Identity-H"/>
                <w:b/>
                <w:bCs/>
                <w:color w:val="131313"/>
                <w:sz w:val="21"/>
                <w:szCs w:val="21"/>
              </w:rPr>
              <w:t>mujeres rurales de conformidad con lo</w:t>
            </w:r>
          </w:p>
          <w:p w14:paraId="4B4EB0A9" w14:textId="77777777" w:rsidR="005767CC" w:rsidRPr="00C67C49" w:rsidRDefault="005767CC" w:rsidP="00317E08">
            <w:pPr>
              <w:autoSpaceDE w:val="0"/>
              <w:autoSpaceDN w:val="0"/>
              <w:adjustRightInd w:val="0"/>
              <w:jc w:val="both"/>
              <w:rPr>
                <w:rFonts w:ascii="Abadi" w:hAnsi="Abadi" w:cs="*Arial-Bold-7629-Identity-H"/>
                <w:b/>
                <w:bCs/>
                <w:color w:val="131313"/>
                <w:sz w:val="21"/>
                <w:szCs w:val="21"/>
              </w:rPr>
            </w:pPr>
            <w:r w:rsidRPr="00C67C49">
              <w:rPr>
                <w:rFonts w:ascii="Abadi" w:hAnsi="Abadi" w:cs="*Arial-Bold-7629-Identity-H"/>
                <w:b/>
                <w:bCs/>
                <w:color w:val="131313"/>
                <w:sz w:val="21"/>
                <w:szCs w:val="21"/>
              </w:rPr>
              <w:t>consagrado por la presente ley.</w:t>
            </w:r>
          </w:p>
          <w:p w14:paraId="24DC26AD" w14:textId="1A9EFE22" w:rsidR="005767CC" w:rsidRDefault="005767CC" w:rsidP="00317E08">
            <w:pPr>
              <w:autoSpaceDE w:val="0"/>
              <w:autoSpaceDN w:val="0"/>
              <w:adjustRightInd w:val="0"/>
              <w:jc w:val="both"/>
              <w:rPr>
                <w:rFonts w:ascii="Abadi" w:hAnsi="Abadi" w:cs="*Microsoft Sans Serif-7631-Iden"/>
                <w:color w:val="151515"/>
                <w:sz w:val="21"/>
                <w:szCs w:val="21"/>
              </w:rPr>
            </w:pPr>
          </w:p>
          <w:p w14:paraId="6088241C" w14:textId="61DE2421" w:rsidR="00D7099D" w:rsidRDefault="00D7099D" w:rsidP="00317E08">
            <w:pPr>
              <w:autoSpaceDE w:val="0"/>
              <w:autoSpaceDN w:val="0"/>
              <w:adjustRightInd w:val="0"/>
              <w:jc w:val="both"/>
              <w:rPr>
                <w:rFonts w:ascii="Abadi" w:hAnsi="Abadi" w:cs="*Microsoft Sans Serif-7631-Iden"/>
                <w:color w:val="151515"/>
                <w:sz w:val="21"/>
                <w:szCs w:val="21"/>
              </w:rPr>
            </w:pPr>
          </w:p>
          <w:p w14:paraId="221CFDA7" w14:textId="4D3BA637" w:rsidR="00D7099D" w:rsidRDefault="00D7099D" w:rsidP="00317E08">
            <w:pPr>
              <w:autoSpaceDE w:val="0"/>
              <w:autoSpaceDN w:val="0"/>
              <w:adjustRightInd w:val="0"/>
              <w:jc w:val="both"/>
              <w:rPr>
                <w:rFonts w:ascii="Abadi" w:hAnsi="Abadi" w:cs="*Microsoft Sans Serif-7631-Iden"/>
                <w:color w:val="151515"/>
                <w:sz w:val="21"/>
                <w:szCs w:val="21"/>
              </w:rPr>
            </w:pPr>
          </w:p>
          <w:p w14:paraId="04646ED1" w14:textId="1BFBEB72" w:rsidR="00D7099D" w:rsidRDefault="00D7099D" w:rsidP="00317E08">
            <w:pPr>
              <w:autoSpaceDE w:val="0"/>
              <w:autoSpaceDN w:val="0"/>
              <w:adjustRightInd w:val="0"/>
              <w:jc w:val="both"/>
              <w:rPr>
                <w:rFonts w:ascii="Abadi" w:hAnsi="Abadi" w:cs="*Microsoft Sans Serif-7631-Iden"/>
                <w:color w:val="151515"/>
                <w:sz w:val="21"/>
                <w:szCs w:val="21"/>
              </w:rPr>
            </w:pPr>
          </w:p>
          <w:p w14:paraId="2A842BA3" w14:textId="2B8AE109" w:rsidR="00D7099D" w:rsidRDefault="00D7099D" w:rsidP="00317E08">
            <w:pPr>
              <w:autoSpaceDE w:val="0"/>
              <w:autoSpaceDN w:val="0"/>
              <w:adjustRightInd w:val="0"/>
              <w:jc w:val="both"/>
              <w:rPr>
                <w:rFonts w:ascii="Abadi" w:hAnsi="Abadi" w:cs="*Microsoft Sans Serif-7631-Iden"/>
                <w:color w:val="151515"/>
                <w:sz w:val="21"/>
                <w:szCs w:val="21"/>
              </w:rPr>
            </w:pPr>
          </w:p>
          <w:p w14:paraId="09E7E16D" w14:textId="1FBFCD32" w:rsidR="00D7099D" w:rsidRDefault="00D7099D" w:rsidP="00317E08">
            <w:pPr>
              <w:autoSpaceDE w:val="0"/>
              <w:autoSpaceDN w:val="0"/>
              <w:adjustRightInd w:val="0"/>
              <w:jc w:val="both"/>
              <w:rPr>
                <w:rFonts w:ascii="Abadi" w:hAnsi="Abadi" w:cs="*Microsoft Sans Serif-7631-Iden"/>
                <w:color w:val="151515"/>
                <w:sz w:val="21"/>
                <w:szCs w:val="21"/>
              </w:rPr>
            </w:pPr>
          </w:p>
          <w:p w14:paraId="1C2FAC4A" w14:textId="6BF16467" w:rsidR="00D7099D" w:rsidRDefault="00D7099D" w:rsidP="00317E08">
            <w:pPr>
              <w:autoSpaceDE w:val="0"/>
              <w:autoSpaceDN w:val="0"/>
              <w:adjustRightInd w:val="0"/>
              <w:jc w:val="both"/>
              <w:rPr>
                <w:rFonts w:ascii="Abadi" w:hAnsi="Abadi" w:cs="*Microsoft Sans Serif-7631-Iden"/>
                <w:color w:val="151515"/>
                <w:sz w:val="21"/>
                <w:szCs w:val="21"/>
              </w:rPr>
            </w:pPr>
          </w:p>
          <w:p w14:paraId="26A5B53C" w14:textId="3E269557" w:rsidR="00D7099D" w:rsidRDefault="00D7099D" w:rsidP="00317E08">
            <w:pPr>
              <w:autoSpaceDE w:val="0"/>
              <w:autoSpaceDN w:val="0"/>
              <w:adjustRightInd w:val="0"/>
              <w:jc w:val="both"/>
              <w:rPr>
                <w:rFonts w:ascii="Abadi" w:hAnsi="Abadi" w:cs="*Microsoft Sans Serif-7631-Iden"/>
                <w:color w:val="151515"/>
                <w:sz w:val="21"/>
                <w:szCs w:val="21"/>
              </w:rPr>
            </w:pPr>
          </w:p>
          <w:p w14:paraId="693BFC93" w14:textId="3D5588AA" w:rsidR="00D7099D" w:rsidRDefault="00D7099D" w:rsidP="00317E08">
            <w:pPr>
              <w:autoSpaceDE w:val="0"/>
              <w:autoSpaceDN w:val="0"/>
              <w:adjustRightInd w:val="0"/>
              <w:jc w:val="both"/>
              <w:rPr>
                <w:rFonts w:ascii="Abadi" w:hAnsi="Abadi" w:cs="*Microsoft Sans Serif-7631-Iden"/>
                <w:color w:val="151515"/>
                <w:sz w:val="21"/>
                <w:szCs w:val="21"/>
              </w:rPr>
            </w:pPr>
          </w:p>
          <w:p w14:paraId="1568C5DD" w14:textId="6F7B7C89" w:rsidR="00D7099D" w:rsidRDefault="00D7099D" w:rsidP="00317E08">
            <w:pPr>
              <w:autoSpaceDE w:val="0"/>
              <w:autoSpaceDN w:val="0"/>
              <w:adjustRightInd w:val="0"/>
              <w:jc w:val="both"/>
              <w:rPr>
                <w:rFonts w:ascii="Abadi" w:hAnsi="Abadi" w:cs="*Microsoft Sans Serif-7631-Iden"/>
                <w:color w:val="151515"/>
                <w:sz w:val="21"/>
                <w:szCs w:val="21"/>
              </w:rPr>
            </w:pPr>
          </w:p>
          <w:p w14:paraId="6F657805" w14:textId="22BA5985" w:rsidR="00D7099D" w:rsidRDefault="00D7099D" w:rsidP="00317E08">
            <w:pPr>
              <w:autoSpaceDE w:val="0"/>
              <w:autoSpaceDN w:val="0"/>
              <w:adjustRightInd w:val="0"/>
              <w:jc w:val="both"/>
              <w:rPr>
                <w:rFonts w:ascii="Abadi" w:hAnsi="Abadi" w:cs="*Microsoft Sans Serif-7631-Iden"/>
                <w:color w:val="151515"/>
                <w:sz w:val="21"/>
                <w:szCs w:val="21"/>
              </w:rPr>
            </w:pPr>
          </w:p>
          <w:p w14:paraId="620906FA" w14:textId="0F5D7F7D" w:rsidR="00D7099D" w:rsidRDefault="00D7099D" w:rsidP="00317E08">
            <w:pPr>
              <w:autoSpaceDE w:val="0"/>
              <w:autoSpaceDN w:val="0"/>
              <w:adjustRightInd w:val="0"/>
              <w:jc w:val="both"/>
              <w:rPr>
                <w:rFonts w:ascii="Abadi" w:hAnsi="Abadi" w:cs="*Microsoft Sans Serif-7631-Iden"/>
                <w:color w:val="151515"/>
                <w:sz w:val="21"/>
                <w:szCs w:val="21"/>
              </w:rPr>
            </w:pPr>
          </w:p>
          <w:p w14:paraId="10F089A6" w14:textId="76DD515C" w:rsidR="00D7099D" w:rsidRDefault="00D7099D" w:rsidP="00317E08">
            <w:pPr>
              <w:autoSpaceDE w:val="0"/>
              <w:autoSpaceDN w:val="0"/>
              <w:adjustRightInd w:val="0"/>
              <w:jc w:val="both"/>
              <w:rPr>
                <w:rFonts w:ascii="Abadi" w:hAnsi="Abadi" w:cs="*Microsoft Sans Serif-7631-Iden"/>
                <w:color w:val="151515"/>
                <w:sz w:val="21"/>
                <w:szCs w:val="21"/>
              </w:rPr>
            </w:pPr>
          </w:p>
          <w:p w14:paraId="23872F22" w14:textId="1427F6CF" w:rsidR="00D7099D" w:rsidRDefault="00D7099D" w:rsidP="00317E08">
            <w:pPr>
              <w:autoSpaceDE w:val="0"/>
              <w:autoSpaceDN w:val="0"/>
              <w:adjustRightInd w:val="0"/>
              <w:jc w:val="both"/>
              <w:rPr>
                <w:rFonts w:ascii="Abadi" w:hAnsi="Abadi" w:cs="*Microsoft Sans Serif-7631-Iden"/>
                <w:color w:val="151515"/>
                <w:sz w:val="21"/>
                <w:szCs w:val="21"/>
              </w:rPr>
            </w:pPr>
          </w:p>
          <w:p w14:paraId="5C34134D" w14:textId="54D56257" w:rsidR="00D7099D" w:rsidRDefault="00D7099D" w:rsidP="00317E08">
            <w:pPr>
              <w:autoSpaceDE w:val="0"/>
              <w:autoSpaceDN w:val="0"/>
              <w:adjustRightInd w:val="0"/>
              <w:jc w:val="both"/>
              <w:rPr>
                <w:rFonts w:ascii="Abadi" w:hAnsi="Abadi" w:cs="*Microsoft Sans Serif-7631-Iden"/>
                <w:color w:val="151515"/>
                <w:sz w:val="21"/>
                <w:szCs w:val="21"/>
              </w:rPr>
            </w:pPr>
          </w:p>
          <w:p w14:paraId="192A76A1" w14:textId="0D15BBDC" w:rsidR="00D7099D" w:rsidRDefault="00D7099D" w:rsidP="00317E08">
            <w:pPr>
              <w:autoSpaceDE w:val="0"/>
              <w:autoSpaceDN w:val="0"/>
              <w:adjustRightInd w:val="0"/>
              <w:jc w:val="both"/>
              <w:rPr>
                <w:rFonts w:ascii="Abadi" w:hAnsi="Abadi" w:cs="*Microsoft Sans Serif-7631-Iden"/>
                <w:color w:val="151515"/>
                <w:sz w:val="21"/>
                <w:szCs w:val="21"/>
              </w:rPr>
            </w:pPr>
          </w:p>
          <w:p w14:paraId="15D49156" w14:textId="16D83C61" w:rsidR="00D7099D" w:rsidRDefault="00D7099D" w:rsidP="00317E08">
            <w:pPr>
              <w:autoSpaceDE w:val="0"/>
              <w:autoSpaceDN w:val="0"/>
              <w:adjustRightInd w:val="0"/>
              <w:jc w:val="both"/>
              <w:rPr>
                <w:rFonts w:ascii="Abadi" w:hAnsi="Abadi" w:cs="*Microsoft Sans Serif-7631-Iden"/>
                <w:color w:val="151515"/>
                <w:sz w:val="21"/>
                <w:szCs w:val="21"/>
              </w:rPr>
            </w:pPr>
          </w:p>
          <w:p w14:paraId="00910832" w14:textId="56F4070E" w:rsidR="00D7099D" w:rsidRDefault="00D7099D" w:rsidP="00317E08">
            <w:pPr>
              <w:autoSpaceDE w:val="0"/>
              <w:autoSpaceDN w:val="0"/>
              <w:adjustRightInd w:val="0"/>
              <w:jc w:val="both"/>
              <w:rPr>
                <w:rFonts w:ascii="Abadi" w:hAnsi="Abadi" w:cs="*Microsoft Sans Serif-7631-Iden"/>
                <w:color w:val="151515"/>
                <w:sz w:val="21"/>
                <w:szCs w:val="21"/>
              </w:rPr>
            </w:pPr>
          </w:p>
          <w:p w14:paraId="6ABF9A52" w14:textId="53903938" w:rsidR="00D7099D" w:rsidRDefault="00D7099D" w:rsidP="00317E08">
            <w:pPr>
              <w:autoSpaceDE w:val="0"/>
              <w:autoSpaceDN w:val="0"/>
              <w:adjustRightInd w:val="0"/>
              <w:jc w:val="both"/>
              <w:rPr>
                <w:rFonts w:ascii="Abadi" w:hAnsi="Abadi" w:cs="*Microsoft Sans Serif-7631-Iden"/>
                <w:color w:val="151515"/>
                <w:sz w:val="21"/>
                <w:szCs w:val="21"/>
              </w:rPr>
            </w:pPr>
          </w:p>
          <w:p w14:paraId="5EEFF5BB" w14:textId="36B2DF5A" w:rsidR="00D7099D" w:rsidRDefault="00D7099D" w:rsidP="00317E08">
            <w:pPr>
              <w:autoSpaceDE w:val="0"/>
              <w:autoSpaceDN w:val="0"/>
              <w:adjustRightInd w:val="0"/>
              <w:jc w:val="both"/>
              <w:rPr>
                <w:rFonts w:ascii="Abadi" w:hAnsi="Abadi" w:cs="*Microsoft Sans Serif-7631-Iden"/>
                <w:color w:val="151515"/>
                <w:sz w:val="21"/>
                <w:szCs w:val="21"/>
              </w:rPr>
            </w:pPr>
          </w:p>
          <w:p w14:paraId="072F4010" w14:textId="3AB95A6A" w:rsidR="00D7099D" w:rsidRDefault="00D7099D" w:rsidP="00317E08">
            <w:pPr>
              <w:autoSpaceDE w:val="0"/>
              <w:autoSpaceDN w:val="0"/>
              <w:adjustRightInd w:val="0"/>
              <w:jc w:val="both"/>
              <w:rPr>
                <w:rFonts w:ascii="Abadi" w:hAnsi="Abadi" w:cs="*Microsoft Sans Serif-7631-Iden"/>
                <w:color w:val="151515"/>
                <w:sz w:val="21"/>
                <w:szCs w:val="21"/>
              </w:rPr>
            </w:pPr>
          </w:p>
          <w:p w14:paraId="73CE5B9D" w14:textId="4E9D7E56" w:rsidR="00D7099D" w:rsidRDefault="00D7099D" w:rsidP="00317E08">
            <w:pPr>
              <w:autoSpaceDE w:val="0"/>
              <w:autoSpaceDN w:val="0"/>
              <w:adjustRightInd w:val="0"/>
              <w:jc w:val="both"/>
              <w:rPr>
                <w:rFonts w:ascii="Abadi" w:hAnsi="Abadi" w:cs="*Microsoft Sans Serif-7631-Iden"/>
                <w:color w:val="151515"/>
                <w:sz w:val="21"/>
                <w:szCs w:val="21"/>
              </w:rPr>
            </w:pPr>
          </w:p>
          <w:p w14:paraId="0B047D17" w14:textId="463F98A6" w:rsidR="00D7099D" w:rsidRDefault="00D7099D" w:rsidP="00317E08">
            <w:pPr>
              <w:autoSpaceDE w:val="0"/>
              <w:autoSpaceDN w:val="0"/>
              <w:adjustRightInd w:val="0"/>
              <w:jc w:val="both"/>
              <w:rPr>
                <w:rFonts w:ascii="Abadi" w:hAnsi="Abadi" w:cs="*Microsoft Sans Serif-7631-Iden"/>
                <w:color w:val="151515"/>
                <w:sz w:val="21"/>
                <w:szCs w:val="21"/>
              </w:rPr>
            </w:pPr>
          </w:p>
          <w:p w14:paraId="10CFE21D" w14:textId="122222CB" w:rsidR="00D7099D" w:rsidRDefault="00D7099D" w:rsidP="00317E08">
            <w:pPr>
              <w:autoSpaceDE w:val="0"/>
              <w:autoSpaceDN w:val="0"/>
              <w:adjustRightInd w:val="0"/>
              <w:jc w:val="both"/>
              <w:rPr>
                <w:rFonts w:ascii="Abadi" w:hAnsi="Abadi" w:cs="*Microsoft Sans Serif-7631-Iden"/>
                <w:color w:val="151515"/>
                <w:sz w:val="21"/>
                <w:szCs w:val="21"/>
              </w:rPr>
            </w:pPr>
          </w:p>
          <w:p w14:paraId="429D7853" w14:textId="2E1DD2EF" w:rsidR="00D7099D" w:rsidRDefault="00D7099D" w:rsidP="00317E08">
            <w:pPr>
              <w:autoSpaceDE w:val="0"/>
              <w:autoSpaceDN w:val="0"/>
              <w:adjustRightInd w:val="0"/>
              <w:jc w:val="both"/>
              <w:rPr>
                <w:rFonts w:ascii="Abadi" w:hAnsi="Abadi" w:cs="*Microsoft Sans Serif-7631-Iden"/>
                <w:color w:val="151515"/>
                <w:sz w:val="21"/>
                <w:szCs w:val="21"/>
              </w:rPr>
            </w:pPr>
          </w:p>
          <w:p w14:paraId="4931D8F1" w14:textId="185C5F48" w:rsidR="00D7099D" w:rsidRDefault="00D7099D" w:rsidP="00317E08">
            <w:pPr>
              <w:autoSpaceDE w:val="0"/>
              <w:autoSpaceDN w:val="0"/>
              <w:adjustRightInd w:val="0"/>
              <w:jc w:val="both"/>
              <w:rPr>
                <w:rFonts w:ascii="Abadi" w:hAnsi="Abadi" w:cs="*Microsoft Sans Serif-7631-Iden"/>
                <w:color w:val="151515"/>
                <w:sz w:val="21"/>
                <w:szCs w:val="21"/>
              </w:rPr>
            </w:pPr>
          </w:p>
          <w:p w14:paraId="2AC01CCF" w14:textId="271DE7E6" w:rsidR="00D7099D" w:rsidRDefault="00D7099D" w:rsidP="00317E08">
            <w:pPr>
              <w:autoSpaceDE w:val="0"/>
              <w:autoSpaceDN w:val="0"/>
              <w:adjustRightInd w:val="0"/>
              <w:jc w:val="both"/>
              <w:rPr>
                <w:rFonts w:ascii="Abadi" w:hAnsi="Abadi" w:cs="*Microsoft Sans Serif-7631-Iden"/>
                <w:color w:val="151515"/>
                <w:sz w:val="21"/>
                <w:szCs w:val="21"/>
              </w:rPr>
            </w:pPr>
          </w:p>
          <w:p w14:paraId="41562CF5" w14:textId="22079B02" w:rsidR="00D7099D" w:rsidRDefault="00D7099D" w:rsidP="00317E08">
            <w:pPr>
              <w:autoSpaceDE w:val="0"/>
              <w:autoSpaceDN w:val="0"/>
              <w:adjustRightInd w:val="0"/>
              <w:jc w:val="both"/>
              <w:rPr>
                <w:rFonts w:ascii="Abadi" w:hAnsi="Abadi" w:cs="*Microsoft Sans Serif-7631-Iden"/>
                <w:color w:val="151515"/>
                <w:sz w:val="21"/>
                <w:szCs w:val="21"/>
              </w:rPr>
            </w:pPr>
          </w:p>
          <w:p w14:paraId="18D253B3" w14:textId="57E1C7CD" w:rsidR="00D7099D" w:rsidRDefault="00D7099D" w:rsidP="00317E08">
            <w:pPr>
              <w:autoSpaceDE w:val="0"/>
              <w:autoSpaceDN w:val="0"/>
              <w:adjustRightInd w:val="0"/>
              <w:jc w:val="both"/>
              <w:rPr>
                <w:rFonts w:ascii="Abadi" w:hAnsi="Abadi" w:cs="*Microsoft Sans Serif-7631-Iden"/>
                <w:color w:val="151515"/>
                <w:sz w:val="21"/>
                <w:szCs w:val="21"/>
              </w:rPr>
            </w:pPr>
          </w:p>
          <w:p w14:paraId="0BBAF225" w14:textId="1DE833C9" w:rsidR="00D7099D" w:rsidRDefault="00D7099D" w:rsidP="00317E08">
            <w:pPr>
              <w:autoSpaceDE w:val="0"/>
              <w:autoSpaceDN w:val="0"/>
              <w:adjustRightInd w:val="0"/>
              <w:jc w:val="both"/>
              <w:rPr>
                <w:rFonts w:ascii="Abadi" w:hAnsi="Abadi" w:cs="*Microsoft Sans Serif-7631-Iden"/>
                <w:color w:val="151515"/>
                <w:sz w:val="21"/>
                <w:szCs w:val="21"/>
              </w:rPr>
            </w:pPr>
          </w:p>
          <w:p w14:paraId="70175E4A" w14:textId="4B892688" w:rsidR="00D7099D" w:rsidRDefault="00D7099D" w:rsidP="00317E08">
            <w:pPr>
              <w:autoSpaceDE w:val="0"/>
              <w:autoSpaceDN w:val="0"/>
              <w:adjustRightInd w:val="0"/>
              <w:jc w:val="both"/>
              <w:rPr>
                <w:rFonts w:ascii="Abadi" w:hAnsi="Abadi" w:cs="*Microsoft Sans Serif-7631-Iden"/>
                <w:color w:val="151515"/>
                <w:sz w:val="21"/>
                <w:szCs w:val="21"/>
              </w:rPr>
            </w:pPr>
          </w:p>
          <w:p w14:paraId="67980DBD" w14:textId="4F53FFCC" w:rsidR="00D7099D" w:rsidRDefault="00D7099D" w:rsidP="00317E08">
            <w:pPr>
              <w:autoSpaceDE w:val="0"/>
              <w:autoSpaceDN w:val="0"/>
              <w:adjustRightInd w:val="0"/>
              <w:jc w:val="both"/>
              <w:rPr>
                <w:rFonts w:ascii="Abadi" w:hAnsi="Abadi" w:cs="*Microsoft Sans Serif-7631-Iden"/>
                <w:color w:val="151515"/>
                <w:sz w:val="21"/>
                <w:szCs w:val="21"/>
              </w:rPr>
            </w:pPr>
          </w:p>
          <w:p w14:paraId="648923C7" w14:textId="7C2E6DFE" w:rsidR="00D7099D" w:rsidRDefault="00D7099D" w:rsidP="00317E08">
            <w:pPr>
              <w:autoSpaceDE w:val="0"/>
              <w:autoSpaceDN w:val="0"/>
              <w:adjustRightInd w:val="0"/>
              <w:jc w:val="both"/>
              <w:rPr>
                <w:rFonts w:ascii="Abadi" w:hAnsi="Abadi" w:cs="*Microsoft Sans Serif-7631-Iden"/>
                <w:color w:val="151515"/>
                <w:sz w:val="21"/>
                <w:szCs w:val="21"/>
              </w:rPr>
            </w:pPr>
          </w:p>
          <w:p w14:paraId="1C3EAE46" w14:textId="2BB076CB" w:rsidR="00D7099D" w:rsidRDefault="00D7099D" w:rsidP="00317E08">
            <w:pPr>
              <w:autoSpaceDE w:val="0"/>
              <w:autoSpaceDN w:val="0"/>
              <w:adjustRightInd w:val="0"/>
              <w:jc w:val="both"/>
              <w:rPr>
                <w:rFonts w:ascii="Abadi" w:hAnsi="Abadi" w:cs="*Microsoft Sans Serif-7631-Iden"/>
                <w:color w:val="151515"/>
                <w:sz w:val="21"/>
                <w:szCs w:val="21"/>
              </w:rPr>
            </w:pPr>
          </w:p>
          <w:p w14:paraId="2BCA088A" w14:textId="00B651DB" w:rsidR="00D7099D" w:rsidRDefault="00D7099D" w:rsidP="00317E08">
            <w:pPr>
              <w:autoSpaceDE w:val="0"/>
              <w:autoSpaceDN w:val="0"/>
              <w:adjustRightInd w:val="0"/>
              <w:jc w:val="both"/>
              <w:rPr>
                <w:rFonts w:ascii="Abadi" w:hAnsi="Abadi" w:cs="*Microsoft Sans Serif-7631-Iden"/>
                <w:color w:val="151515"/>
                <w:sz w:val="21"/>
                <w:szCs w:val="21"/>
              </w:rPr>
            </w:pPr>
          </w:p>
          <w:p w14:paraId="6D6EE91E" w14:textId="52F20455" w:rsidR="00D7099D" w:rsidRDefault="00D7099D" w:rsidP="00317E08">
            <w:pPr>
              <w:autoSpaceDE w:val="0"/>
              <w:autoSpaceDN w:val="0"/>
              <w:adjustRightInd w:val="0"/>
              <w:jc w:val="both"/>
              <w:rPr>
                <w:rFonts w:ascii="Abadi" w:hAnsi="Abadi" w:cs="*Microsoft Sans Serif-7631-Iden"/>
                <w:color w:val="151515"/>
                <w:sz w:val="21"/>
                <w:szCs w:val="21"/>
              </w:rPr>
            </w:pPr>
          </w:p>
          <w:p w14:paraId="299D0D91" w14:textId="091E419B" w:rsidR="00D7099D" w:rsidRDefault="00D7099D" w:rsidP="00317E08">
            <w:pPr>
              <w:autoSpaceDE w:val="0"/>
              <w:autoSpaceDN w:val="0"/>
              <w:adjustRightInd w:val="0"/>
              <w:jc w:val="both"/>
              <w:rPr>
                <w:rFonts w:ascii="Abadi" w:hAnsi="Abadi" w:cs="*Microsoft Sans Serif-7631-Iden"/>
                <w:color w:val="151515"/>
                <w:sz w:val="21"/>
                <w:szCs w:val="21"/>
              </w:rPr>
            </w:pPr>
          </w:p>
          <w:p w14:paraId="68C78730" w14:textId="499A18E6" w:rsidR="00D7099D" w:rsidRDefault="00D7099D" w:rsidP="00317E08">
            <w:pPr>
              <w:autoSpaceDE w:val="0"/>
              <w:autoSpaceDN w:val="0"/>
              <w:adjustRightInd w:val="0"/>
              <w:jc w:val="both"/>
              <w:rPr>
                <w:rFonts w:ascii="Abadi" w:hAnsi="Abadi" w:cs="*Microsoft Sans Serif-7631-Iden"/>
                <w:color w:val="151515"/>
                <w:sz w:val="21"/>
                <w:szCs w:val="21"/>
              </w:rPr>
            </w:pPr>
          </w:p>
          <w:p w14:paraId="37BA0EF0" w14:textId="77DBEFCA" w:rsidR="00D7099D" w:rsidRDefault="00D7099D" w:rsidP="00317E08">
            <w:pPr>
              <w:autoSpaceDE w:val="0"/>
              <w:autoSpaceDN w:val="0"/>
              <w:adjustRightInd w:val="0"/>
              <w:jc w:val="both"/>
              <w:rPr>
                <w:rFonts w:ascii="Abadi" w:hAnsi="Abadi" w:cs="*Microsoft Sans Serif-7631-Iden"/>
                <w:color w:val="151515"/>
                <w:sz w:val="21"/>
                <w:szCs w:val="21"/>
              </w:rPr>
            </w:pPr>
          </w:p>
          <w:p w14:paraId="4B8B1A15" w14:textId="327481A7" w:rsidR="00D7099D" w:rsidRDefault="00D7099D" w:rsidP="00317E08">
            <w:pPr>
              <w:autoSpaceDE w:val="0"/>
              <w:autoSpaceDN w:val="0"/>
              <w:adjustRightInd w:val="0"/>
              <w:jc w:val="both"/>
              <w:rPr>
                <w:rFonts w:ascii="Abadi" w:hAnsi="Abadi" w:cs="*Microsoft Sans Serif-7631-Iden"/>
                <w:color w:val="151515"/>
                <w:sz w:val="21"/>
                <w:szCs w:val="21"/>
              </w:rPr>
            </w:pPr>
          </w:p>
          <w:p w14:paraId="3A9EBE55" w14:textId="76F89479" w:rsidR="00D7099D" w:rsidRDefault="00D7099D" w:rsidP="00317E08">
            <w:pPr>
              <w:autoSpaceDE w:val="0"/>
              <w:autoSpaceDN w:val="0"/>
              <w:adjustRightInd w:val="0"/>
              <w:jc w:val="both"/>
              <w:rPr>
                <w:rFonts w:ascii="Abadi" w:hAnsi="Abadi" w:cs="*Microsoft Sans Serif-7631-Iden"/>
                <w:color w:val="151515"/>
                <w:sz w:val="21"/>
                <w:szCs w:val="21"/>
              </w:rPr>
            </w:pPr>
          </w:p>
          <w:p w14:paraId="3964DEBE" w14:textId="6DC1F15E" w:rsidR="00D7099D" w:rsidRDefault="00D7099D" w:rsidP="00317E08">
            <w:pPr>
              <w:autoSpaceDE w:val="0"/>
              <w:autoSpaceDN w:val="0"/>
              <w:adjustRightInd w:val="0"/>
              <w:jc w:val="both"/>
              <w:rPr>
                <w:rFonts w:ascii="Abadi" w:hAnsi="Abadi" w:cs="*Microsoft Sans Serif-7631-Iden"/>
                <w:color w:val="151515"/>
                <w:sz w:val="21"/>
                <w:szCs w:val="21"/>
              </w:rPr>
            </w:pPr>
          </w:p>
          <w:p w14:paraId="445594E4" w14:textId="223DBE7B" w:rsidR="00D7099D" w:rsidRDefault="00D7099D" w:rsidP="00317E08">
            <w:pPr>
              <w:autoSpaceDE w:val="0"/>
              <w:autoSpaceDN w:val="0"/>
              <w:adjustRightInd w:val="0"/>
              <w:jc w:val="both"/>
              <w:rPr>
                <w:rFonts w:ascii="Abadi" w:hAnsi="Abadi" w:cs="*Microsoft Sans Serif-7631-Iden"/>
                <w:color w:val="151515"/>
                <w:sz w:val="21"/>
                <w:szCs w:val="21"/>
              </w:rPr>
            </w:pPr>
          </w:p>
          <w:p w14:paraId="35C12B62" w14:textId="4EAA1901" w:rsidR="00D7099D" w:rsidRDefault="00D7099D" w:rsidP="00317E08">
            <w:pPr>
              <w:autoSpaceDE w:val="0"/>
              <w:autoSpaceDN w:val="0"/>
              <w:adjustRightInd w:val="0"/>
              <w:jc w:val="both"/>
              <w:rPr>
                <w:rFonts w:ascii="Abadi" w:hAnsi="Abadi" w:cs="*Microsoft Sans Serif-7631-Iden"/>
                <w:color w:val="151515"/>
                <w:sz w:val="21"/>
                <w:szCs w:val="21"/>
              </w:rPr>
            </w:pPr>
          </w:p>
          <w:p w14:paraId="2CC4882D" w14:textId="77777777" w:rsidR="005767CC" w:rsidRPr="00C67C49" w:rsidRDefault="005767CC" w:rsidP="00317E08">
            <w:pPr>
              <w:autoSpaceDE w:val="0"/>
              <w:autoSpaceDN w:val="0"/>
              <w:adjustRightInd w:val="0"/>
              <w:jc w:val="both"/>
              <w:rPr>
                <w:rFonts w:ascii="Abadi" w:hAnsi="Abadi" w:cs="*Microsoft Sans Serif-7631-Iden"/>
                <w:color w:val="151515"/>
                <w:sz w:val="21"/>
                <w:szCs w:val="21"/>
              </w:rPr>
            </w:pPr>
            <w:r w:rsidRPr="00C67C49">
              <w:rPr>
                <w:rFonts w:ascii="Abadi" w:hAnsi="Abadi" w:cs="*Microsoft Sans Serif-7631-Iden"/>
                <w:color w:val="151515"/>
                <w:sz w:val="21"/>
                <w:szCs w:val="21"/>
              </w:rPr>
              <w:t>Artículo 8. Corresponde a la Secretaría:</w:t>
            </w:r>
          </w:p>
          <w:p w14:paraId="0AA8EB36" w14:textId="77777777" w:rsidR="005767CC" w:rsidRDefault="005767CC" w:rsidP="00317E08">
            <w:pPr>
              <w:autoSpaceDE w:val="0"/>
              <w:autoSpaceDN w:val="0"/>
              <w:adjustRightInd w:val="0"/>
              <w:jc w:val="both"/>
              <w:rPr>
                <w:rFonts w:ascii="Abadi" w:hAnsi="Abadi" w:cs="*Microsoft Sans Serif-7631-Iden"/>
                <w:color w:val="151515"/>
                <w:sz w:val="21"/>
                <w:szCs w:val="21"/>
              </w:rPr>
            </w:pPr>
          </w:p>
          <w:p w14:paraId="0D542753" w14:textId="77777777" w:rsidR="005767CC" w:rsidRPr="00C67C49" w:rsidRDefault="005767CC" w:rsidP="00317E08">
            <w:pPr>
              <w:autoSpaceDE w:val="0"/>
              <w:autoSpaceDN w:val="0"/>
              <w:adjustRightInd w:val="0"/>
              <w:jc w:val="both"/>
              <w:rPr>
                <w:rFonts w:ascii="Abadi" w:hAnsi="Abadi" w:cs="*Microsoft Sans Serif-7631-Iden"/>
                <w:color w:val="151515"/>
                <w:sz w:val="21"/>
                <w:szCs w:val="21"/>
              </w:rPr>
            </w:pPr>
            <w:r>
              <w:rPr>
                <w:rFonts w:ascii="Abadi" w:hAnsi="Abadi" w:cs="*Microsoft Sans Serif-7631-Iden"/>
                <w:color w:val="151515"/>
                <w:sz w:val="21"/>
                <w:szCs w:val="21"/>
              </w:rPr>
              <w:t>I</w:t>
            </w:r>
            <w:r w:rsidRPr="00C67C49">
              <w:rPr>
                <w:rFonts w:ascii="Abadi" w:hAnsi="Abadi" w:cs="*Microsoft Sans Serif-7631-Iden"/>
                <w:color w:val="151515"/>
                <w:sz w:val="21"/>
                <w:szCs w:val="21"/>
              </w:rPr>
              <w:t>. Ejecutar las políticas ...</w:t>
            </w:r>
          </w:p>
          <w:p w14:paraId="7075512C" w14:textId="77777777" w:rsidR="005767CC" w:rsidRDefault="005767CC" w:rsidP="00317E08">
            <w:pPr>
              <w:autoSpaceDE w:val="0"/>
              <w:autoSpaceDN w:val="0"/>
              <w:adjustRightInd w:val="0"/>
              <w:jc w:val="both"/>
              <w:rPr>
                <w:rFonts w:ascii="Abadi" w:hAnsi="Abadi" w:cs="*Microsoft Sans Serif-7631-Iden"/>
                <w:color w:val="151515"/>
                <w:sz w:val="21"/>
                <w:szCs w:val="21"/>
              </w:rPr>
            </w:pPr>
          </w:p>
          <w:p w14:paraId="5FB803C3" w14:textId="77777777" w:rsidR="005767CC" w:rsidRPr="00C67C49" w:rsidRDefault="005767CC" w:rsidP="00317E08">
            <w:pPr>
              <w:autoSpaceDE w:val="0"/>
              <w:autoSpaceDN w:val="0"/>
              <w:adjustRightInd w:val="0"/>
              <w:jc w:val="both"/>
              <w:rPr>
                <w:rFonts w:ascii="Abadi" w:hAnsi="Abadi" w:cs="*Microsoft Sans Serif-7631-Iden"/>
                <w:color w:val="151515"/>
                <w:sz w:val="21"/>
                <w:szCs w:val="21"/>
              </w:rPr>
            </w:pPr>
            <w:r>
              <w:rPr>
                <w:rFonts w:ascii="Abadi" w:hAnsi="Abadi" w:cs="*Microsoft Sans Serif-7631-Iden"/>
                <w:color w:val="151515"/>
                <w:sz w:val="21"/>
                <w:szCs w:val="21"/>
              </w:rPr>
              <w:t>II</w:t>
            </w:r>
            <w:r w:rsidRPr="00C67C49">
              <w:rPr>
                <w:rFonts w:ascii="Abadi" w:hAnsi="Abadi" w:cs="*Microsoft Sans Serif-7631-Iden"/>
                <w:color w:val="151515"/>
                <w:sz w:val="21"/>
                <w:szCs w:val="21"/>
              </w:rPr>
              <w:t xml:space="preserve">. Desarrollar programas, en </w:t>
            </w:r>
            <w:r>
              <w:rPr>
                <w:rFonts w:ascii="Abadi" w:hAnsi="Abadi" w:cs="*Microsoft Sans Serif-7631-Iden"/>
                <w:color w:val="151515"/>
                <w:sz w:val="21"/>
                <w:szCs w:val="21"/>
              </w:rPr>
              <w:t>…</w:t>
            </w:r>
          </w:p>
          <w:p w14:paraId="31753691" w14:textId="77777777" w:rsidR="005767CC" w:rsidRDefault="005767CC" w:rsidP="00317E08">
            <w:pPr>
              <w:autoSpaceDE w:val="0"/>
              <w:autoSpaceDN w:val="0"/>
              <w:adjustRightInd w:val="0"/>
              <w:jc w:val="both"/>
              <w:rPr>
                <w:rFonts w:ascii="Abadi" w:hAnsi="Abadi" w:cs="*Microsoft Sans Serif-7631-Iden"/>
                <w:color w:val="151515"/>
                <w:sz w:val="21"/>
                <w:szCs w:val="21"/>
              </w:rPr>
            </w:pPr>
          </w:p>
          <w:p w14:paraId="78BB33A3" w14:textId="77777777" w:rsidR="005767CC" w:rsidRPr="00C67C49" w:rsidRDefault="005767CC" w:rsidP="00317E08">
            <w:pPr>
              <w:autoSpaceDE w:val="0"/>
              <w:autoSpaceDN w:val="0"/>
              <w:adjustRightInd w:val="0"/>
              <w:jc w:val="both"/>
              <w:rPr>
                <w:rFonts w:ascii="Abadi" w:hAnsi="Abadi" w:cs="*Microsoft Sans Serif-7631-Iden"/>
                <w:color w:val="151515"/>
                <w:sz w:val="21"/>
                <w:szCs w:val="21"/>
              </w:rPr>
            </w:pPr>
            <w:r>
              <w:rPr>
                <w:rFonts w:ascii="Abadi" w:hAnsi="Abadi" w:cs="*Microsoft Sans Serif-7631-Iden"/>
                <w:color w:val="151515"/>
                <w:sz w:val="21"/>
                <w:szCs w:val="21"/>
              </w:rPr>
              <w:t>III</w:t>
            </w:r>
            <w:r w:rsidRPr="00C67C49">
              <w:rPr>
                <w:rFonts w:ascii="Abadi" w:hAnsi="Abadi" w:cs="*Microsoft Sans Serif-7631-Iden"/>
                <w:color w:val="151515"/>
                <w:sz w:val="21"/>
                <w:szCs w:val="21"/>
              </w:rPr>
              <w:t xml:space="preserve">. Gestionar infraestructura </w:t>
            </w:r>
            <w:r>
              <w:rPr>
                <w:rFonts w:ascii="Abadi" w:hAnsi="Abadi" w:cs="*Microsoft Sans Serif-7631-Iden"/>
                <w:color w:val="151515"/>
                <w:sz w:val="21"/>
                <w:szCs w:val="21"/>
              </w:rPr>
              <w:t>…</w:t>
            </w:r>
          </w:p>
          <w:p w14:paraId="40B8E1AF" w14:textId="77777777" w:rsidR="005767CC" w:rsidRDefault="005767CC" w:rsidP="00317E08">
            <w:pPr>
              <w:autoSpaceDE w:val="0"/>
              <w:autoSpaceDN w:val="0"/>
              <w:adjustRightInd w:val="0"/>
              <w:jc w:val="both"/>
              <w:rPr>
                <w:rFonts w:ascii="Abadi" w:hAnsi="Abadi" w:cs="*Microsoft Sans Serif-7631-Iden"/>
                <w:color w:val="161616"/>
                <w:sz w:val="21"/>
                <w:szCs w:val="21"/>
              </w:rPr>
            </w:pPr>
          </w:p>
          <w:p w14:paraId="0FB6DEF4" w14:textId="77777777" w:rsidR="005767CC" w:rsidRPr="00C67C49" w:rsidRDefault="005767CC" w:rsidP="00317E08">
            <w:pPr>
              <w:autoSpaceDE w:val="0"/>
              <w:autoSpaceDN w:val="0"/>
              <w:adjustRightInd w:val="0"/>
              <w:jc w:val="both"/>
              <w:rPr>
                <w:rFonts w:ascii="Abadi" w:hAnsi="Abadi" w:cs="*Microsoft Sans Serif-7631-Iden"/>
                <w:color w:val="161616"/>
                <w:sz w:val="21"/>
                <w:szCs w:val="21"/>
              </w:rPr>
            </w:pPr>
            <w:r w:rsidRPr="00C67C49">
              <w:rPr>
                <w:rFonts w:ascii="Abadi" w:hAnsi="Abadi" w:cs="*Microsoft Sans Serif-7631-Iden"/>
                <w:color w:val="161616"/>
                <w:sz w:val="21"/>
                <w:szCs w:val="21"/>
              </w:rPr>
              <w:t>IV. Facilitar y promover</w:t>
            </w:r>
            <w:r>
              <w:rPr>
                <w:rFonts w:ascii="Abadi" w:hAnsi="Abadi" w:cs="*Microsoft Sans Serif-7631-Iden"/>
                <w:color w:val="161616"/>
                <w:sz w:val="21"/>
                <w:szCs w:val="21"/>
              </w:rPr>
              <w:t xml:space="preserve"> …</w:t>
            </w:r>
          </w:p>
          <w:p w14:paraId="7593EB16" w14:textId="77777777" w:rsidR="005767CC" w:rsidRDefault="005767CC" w:rsidP="00317E08">
            <w:pPr>
              <w:autoSpaceDE w:val="0"/>
              <w:autoSpaceDN w:val="0"/>
              <w:adjustRightInd w:val="0"/>
              <w:jc w:val="both"/>
              <w:rPr>
                <w:rFonts w:ascii="Abadi" w:hAnsi="Abadi" w:cs="*Microsoft Sans Serif-7631-Iden"/>
                <w:color w:val="161616"/>
                <w:sz w:val="21"/>
                <w:szCs w:val="21"/>
              </w:rPr>
            </w:pPr>
          </w:p>
          <w:p w14:paraId="46AEB0E4" w14:textId="77777777" w:rsidR="005767CC" w:rsidRPr="00C67C49" w:rsidRDefault="005767CC" w:rsidP="00317E08">
            <w:pPr>
              <w:autoSpaceDE w:val="0"/>
              <w:autoSpaceDN w:val="0"/>
              <w:adjustRightInd w:val="0"/>
              <w:jc w:val="both"/>
              <w:rPr>
                <w:rFonts w:ascii="Abadi" w:hAnsi="Abadi" w:cs="*Microsoft Sans Serif-7631-Iden"/>
                <w:color w:val="161616"/>
                <w:sz w:val="21"/>
                <w:szCs w:val="21"/>
              </w:rPr>
            </w:pPr>
            <w:r w:rsidRPr="00C67C49">
              <w:rPr>
                <w:rFonts w:ascii="Abadi" w:hAnsi="Abadi" w:cs="*Microsoft Sans Serif-7631-Iden"/>
                <w:color w:val="161616"/>
                <w:sz w:val="21"/>
                <w:szCs w:val="21"/>
              </w:rPr>
              <w:t>V. Promover la participación ...</w:t>
            </w:r>
          </w:p>
          <w:p w14:paraId="36C4E515" w14:textId="77777777" w:rsidR="005767CC" w:rsidRDefault="005767CC" w:rsidP="00317E08">
            <w:pPr>
              <w:autoSpaceDE w:val="0"/>
              <w:autoSpaceDN w:val="0"/>
              <w:adjustRightInd w:val="0"/>
              <w:jc w:val="both"/>
              <w:rPr>
                <w:rFonts w:ascii="Abadi" w:hAnsi="Abadi" w:cs="*Microsoft Sans Serif-7631-Iden"/>
                <w:color w:val="161616"/>
                <w:sz w:val="21"/>
                <w:szCs w:val="21"/>
              </w:rPr>
            </w:pPr>
          </w:p>
          <w:p w14:paraId="3A9530B2" w14:textId="77777777" w:rsidR="005767CC" w:rsidRPr="00C67C49" w:rsidRDefault="005767CC" w:rsidP="00317E08">
            <w:pPr>
              <w:autoSpaceDE w:val="0"/>
              <w:autoSpaceDN w:val="0"/>
              <w:adjustRightInd w:val="0"/>
              <w:jc w:val="both"/>
              <w:rPr>
                <w:rFonts w:ascii="Abadi" w:hAnsi="Abadi" w:cs="*Microsoft Sans Serif-7631-Iden"/>
                <w:color w:val="161616"/>
                <w:sz w:val="21"/>
                <w:szCs w:val="21"/>
              </w:rPr>
            </w:pPr>
            <w:r w:rsidRPr="00C67C49">
              <w:rPr>
                <w:rFonts w:ascii="Abadi" w:hAnsi="Abadi" w:cs="*Microsoft Sans Serif-7631-Iden"/>
                <w:color w:val="161616"/>
                <w:sz w:val="21"/>
                <w:szCs w:val="21"/>
              </w:rPr>
              <w:t>VI. Aplicar los principios ...</w:t>
            </w:r>
          </w:p>
          <w:p w14:paraId="0879DCE2" w14:textId="77777777" w:rsidR="005767CC" w:rsidRDefault="005767CC" w:rsidP="00317E08">
            <w:pPr>
              <w:autoSpaceDE w:val="0"/>
              <w:autoSpaceDN w:val="0"/>
              <w:adjustRightInd w:val="0"/>
              <w:jc w:val="both"/>
              <w:rPr>
                <w:rFonts w:ascii="Abadi" w:hAnsi="Abadi" w:cs="*Microsoft Sans Serif-7631-Iden"/>
                <w:color w:val="161616"/>
                <w:sz w:val="21"/>
                <w:szCs w:val="21"/>
              </w:rPr>
            </w:pPr>
          </w:p>
          <w:p w14:paraId="461B70C4" w14:textId="77777777" w:rsidR="005767CC" w:rsidRPr="00C67C49" w:rsidRDefault="005767CC" w:rsidP="00317E08">
            <w:pPr>
              <w:autoSpaceDE w:val="0"/>
              <w:autoSpaceDN w:val="0"/>
              <w:adjustRightInd w:val="0"/>
              <w:jc w:val="both"/>
              <w:rPr>
                <w:rFonts w:ascii="Abadi" w:hAnsi="Abadi" w:cs="*Microsoft Sans Serif-7631-Iden"/>
                <w:color w:val="161616"/>
                <w:sz w:val="21"/>
                <w:szCs w:val="21"/>
              </w:rPr>
            </w:pPr>
            <w:r w:rsidRPr="00C67C49">
              <w:rPr>
                <w:rFonts w:ascii="Abadi" w:hAnsi="Abadi" w:cs="*Microsoft Sans Serif-7631-Iden"/>
                <w:color w:val="161616"/>
                <w:sz w:val="21"/>
                <w:szCs w:val="21"/>
              </w:rPr>
              <w:t>VII. Crear y gestionar ...</w:t>
            </w:r>
          </w:p>
          <w:p w14:paraId="25C1DE8E" w14:textId="77777777" w:rsidR="005767CC" w:rsidRDefault="005767CC" w:rsidP="00317E08">
            <w:pPr>
              <w:autoSpaceDE w:val="0"/>
              <w:autoSpaceDN w:val="0"/>
              <w:adjustRightInd w:val="0"/>
              <w:jc w:val="both"/>
              <w:rPr>
                <w:rFonts w:ascii="Abadi" w:hAnsi="Abadi" w:cs="*Microsoft Sans Serif-7631-Iden"/>
                <w:color w:val="151515"/>
                <w:sz w:val="21"/>
                <w:szCs w:val="21"/>
              </w:rPr>
            </w:pPr>
          </w:p>
          <w:p w14:paraId="1983AEC7" w14:textId="77777777" w:rsidR="005767CC" w:rsidRPr="00C67C49" w:rsidRDefault="005767CC" w:rsidP="00317E08">
            <w:pPr>
              <w:autoSpaceDE w:val="0"/>
              <w:autoSpaceDN w:val="0"/>
              <w:adjustRightInd w:val="0"/>
              <w:jc w:val="both"/>
              <w:rPr>
                <w:rFonts w:ascii="Abadi" w:hAnsi="Abadi" w:cs="*Microsoft Sans Serif-7631-Iden"/>
                <w:color w:val="151515"/>
                <w:sz w:val="21"/>
                <w:szCs w:val="21"/>
              </w:rPr>
            </w:pPr>
            <w:r w:rsidRPr="00C67C49">
              <w:rPr>
                <w:rFonts w:ascii="Abadi" w:hAnsi="Abadi" w:cs="*Microsoft Sans Serif-7631-Iden"/>
                <w:color w:val="151515"/>
                <w:sz w:val="21"/>
                <w:szCs w:val="21"/>
              </w:rPr>
              <w:t>VI</w:t>
            </w:r>
            <w:r>
              <w:rPr>
                <w:rFonts w:ascii="Abadi" w:hAnsi="Abadi" w:cs="*Microsoft Sans Serif-7631-Iden"/>
                <w:color w:val="151515"/>
                <w:sz w:val="21"/>
                <w:szCs w:val="21"/>
              </w:rPr>
              <w:t>II</w:t>
            </w:r>
            <w:r w:rsidRPr="00C67C49">
              <w:rPr>
                <w:rFonts w:ascii="Abadi" w:hAnsi="Abadi" w:cs="*Microsoft Sans Serif-7631-Iden"/>
                <w:color w:val="151515"/>
                <w:sz w:val="21"/>
                <w:szCs w:val="21"/>
              </w:rPr>
              <w:t>. Conducir la promoción ...</w:t>
            </w:r>
          </w:p>
          <w:p w14:paraId="6BD4BCD1" w14:textId="77777777" w:rsidR="005767CC" w:rsidRDefault="005767CC" w:rsidP="00317E08">
            <w:pPr>
              <w:autoSpaceDE w:val="0"/>
              <w:autoSpaceDN w:val="0"/>
              <w:adjustRightInd w:val="0"/>
              <w:jc w:val="both"/>
              <w:rPr>
                <w:rFonts w:ascii="Abadi" w:hAnsi="Abadi" w:cs="*Microsoft Sans Serif-7631-Iden"/>
                <w:color w:val="151515"/>
                <w:sz w:val="21"/>
                <w:szCs w:val="21"/>
              </w:rPr>
            </w:pPr>
          </w:p>
          <w:p w14:paraId="5B5C846D" w14:textId="77777777" w:rsidR="005767CC" w:rsidRPr="00C67C49" w:rsidRDefault="005767CC" w:rsidP="00317E08">
            <w:pPr>
              <w:autoSpaceDE w:val="0"/>
              <w:autoSpaceDN w:val="0"/>
              <w:adjustRightInd w:val="0"/>
              <w:jc w:val="both"/>
              <w:rPr>
                <w:rFonts w:ascii="Abadi" w:hAnsi="Abadi" w:cs="*Microsoft Sans Serif-7631-Iden"/>
                <w:color w:val="151515"/>
                <w:sz w:val="21"/>
                <w:szCs w:val="21"/>
              </w:rPr>
            </w:pPr>
            <w:r w:rsidRPr="00C67C49">
              <w:rPr>
                <w:rFonts w:ascii="Abadi" w:hAnsi="Abadi" w:cs="*Microsoft Sans Serif-7631-Iden"/>
                <w:color w:val="151515"/>
                <w:sz w:val="21"/>
                <w:szCs w:val="21"/>
              </w:rPr>
              <w:t>IX. Definir las estrategias ...</w:t>
            </w:r>
          </w:p>
          <w:p w14:paraId="07513606" w14:textId="77777777" w:rsidR="005767CC" w:rsidRDefault="005767CC" w:rsidP="00317E08">
            <w:pPr>
              <w:autoSpaceDE w:val="0"/>
              <w:autoSpaceDN w:val="0"/>
              <w:adjustRightInd w:val="0"/>
              <w:jc w:val="both"/>
              <w:rPr>
                <w:rFonts w:ascii="Abadi" w:hAnsi="Abadi" w:cs="*Microsoft Sans Serif-7631-Iden"/>
                <w:color w:val="151515"/>
                <w:sz w:val="21"/>
                <w:szCs w:val="21"/>
              </w:rPr>
            </w:pPr>
          </w:p>
          <w:p w14:paraId="51923149" w14:textId="77777777" w:rsidR="005767CC" w:rsidRPr="00C67C49" w:rsidRDefault="005767CC" w:rsidP="00317E08">
            <w:pPr>
              <w:autoSpaceDE w:val="0"/>
              <w:autoSpaceDN w:val="0"/>
              <w:adjustRightInd w:val="0"/>
              <w:jc w:val="both"/>
              <w:rPr>
                <w:rFonts w:ascii="Abadi" w:hAnsi="Abadi" w:cs="*Microsoft Sans Serif-7631-Iden"/>
                <w:color w:val="151515"/>
                <w:sz w:val="21"/>
                <w:szCs w:val="21"/>
              </w:rPr>
            </w:pPr>
            <w:r w:rsidRPr="00C67C49">
              <w:rPr>
                <w:rFonts w:ascii="Abadi" w:hAnsi="Abadi" w:cs="*Microsoft Sans Serif-7631-Iden"/>
                <w:color w:val="151515"/>
                <w:sz w:val="21"/>
                <w:szCs w:val="21"/>
              </w:rPr>
              <w:t>X. Coadyuvar con los ...</w:t>
            </w:r>
          </w:p>
          <w:p w14:paraId="7079A4B1" w14:textId="77777777" w:rsidR="005767CC" w:rsidRDefault="005767CC" w:rsidP="00317E08">
            <w:pPr>
              <w:autoSpaceDE w:val="0"/>
              <w:autoSpaceDN w:val="0"/>
              <w:adjustRightInd w:val="0"/>
              <w:jc w:val="both"/>
              <w:rPr>
                <w:rFonts w:ascii="Abadi" w:hAnsi="Abadi" w:cs="*Microsoft Sans Serif-7631-Iden"/>
                <w:color w:val="151515"/>
                <w:sz w:val="21"/>
                <w:szCs w:val="21"/>
              </w:rPr>
            </w:pPr>
          </w:p>
          <w:p w14:paraId="05B01F14" w14:textId="77777777" w:rsidR="005767CC" w:rsidRPr="00C67C49" w:rsidRDefault="005767CC" w:rsidP="00317E08">
            <w:pPr>
              <w:autoSpaceDE w:val="0"/>
              <w:autoSpaceDN w:val="0"/>
              <w:adjustRightInd w:val="0"/>
              <w:jc w:val="both"/>
              <w:rPr>
                <w:rFonts w:ascii="Abadi" w:hAnsi="Abadi" w:cs="*Microsoft Sans Serif-7631-Iden"/>
                <w:color w:val="151515"/>
                <w:sz w:val="21"/>
                <w:szCs w:val="21"/>
              </w:rPr>
            </w:pPr>
            <w:r w:rsidRPr="00C67C49">
              <w:rPr>
                <w:rFonts w:ascii="Abadi" w:hAnsi="Abadi" w:cs="*Microsoft Sans Serif-7631-Iden"/>
                <w:color w:val="151515"/>
                <w:sz w:val="21"/>
                <w:szCs w:val="21"/>
              </w:rPr>
              <w:t>XI. Establecer las condiciones ...</w:t>
            </w:r>
          </w:p>
          <w:p w14:paraId="50A4F0A5" w14:textId="77777777" w:rsidR="005767CC" w:rsidRDefault="005767CC" w:rsidP="00317E08">
            <w:pPr>
              <w:autoSpaceDE w:val="0"/>
              <w:autoSpaceDN w:val="0"/>
              <w:adjustRightInd w:val="0"/>
              <w:jc w:val="both"/>
              <w:rPr>
                <w:rFonts w:ascii="Abadi" w:hAnsi="Abadi" w:cs="*Microsoft Sans Serif-Bold-7632"/>
                <w:b/>
                <w:bCs/>
                <w:color w:val="151515"/>
                <w:sz w:val="21"/>
                <w:szCs w:val="21"/>
              </w:rPr>
            </w:pPr>
          </w:p>
          <w:p w14:paraId="62B0D47D" w14:textId="77777777" w:rsidR="005767CC" w:rsidRPr="00C67C49" w:rsidRDefault="005767CC" w:rsidP="00317E08">
            <w:pPr>
              <w:autoSpaceDE w:val="0"/>
              <w:autoSpaceDN w:val="0"/>
              <w:adjustRightInd w:val="0"/>
              <w:jc w:val="both"/>
              <w:rPr>
                <w:rFonts w:ascii="Abadi" w:hAnsi="Abadi" w:cs="*Microsoft Sans Serif-7631-Iden"/>
                <w:color w:val="151515"/>
                <w:sz w:val="21"/>
                <w:szCs w:val="21"/>
              </w:rPr>
            </w:pPr>
            <w:r w:rsidRPr="00C67C49">
              <w:rPr>
                <w:rFonts w:ascii="Abadi" w:hAnsi="Abadi" w:cs="*Microsoft Sans Serif-Bold-7632"/>
                <w:b/>
                <w:bCs/>
                <w:color w:val="151515"/>
                <w:sz w:val="21"/>
                <w:szCs w:val="21"/>
              </w:rPr>
              <w:t xml:space="preserve">XII. </w:t>
            </w:r>
            <w:r w:rsidRPr="00C67C49">
              <w:rPr>
                <w:rFonts w:ascii="Abadi" w:hAnsi="Abadi" w:cs="*Microsoft Sans Serif-7631-Iden"/>
                <w:color w:val="151515"/>
                <w:sz w:val="21"/>
                <w:szCs w:val="21"/>
              </w:rPr>
              <w:t>Informar, supervisar y ...</w:t>
            </w:r>
          </w:p>
          <w:p w14:paraId="34D4A47D" w14:textId="77777777" w:rsidR="005767CC" w:rsidRDefault="005767CC" w:rsidP="00317E08">
            <w:pPr>
              <w:autoSpaceDE w:val="0"/>
              <w:autoSpaceDN w:val="0"/>
              <w:adjustRightInd w:val="0"/>
              <w:jc w:val="both"/>
              <w:rPr>
                <w:rFonts w:ascii="Abadi" w:hAnsi="Abadi" w:cs="*Microsoft Sans Serif-Bold-7632"/>
                <w:b/>
                <w:bCs/>
                <w:color w:val="151515"/>
                <w:sz w:val="21"/>
                <w:szCs w:val="21"/>
              </w:rPr>
            </w:pPr>
          </w:p>
          <w:p w14:paraId="5CB72A86" w14:textId="77777777" w:rsidR="005767CC" w:rsidRPr="00C67C49" w:rsidRDefault="005767CC" w:rsidP="00317E08">
            <w:pPr>
              <w:autoSpaceDE w:val="0"/>
              <w:autoSpaceDN w:val="0"/>
              <w:adjustRightInd w:val="0"/>
              <w:jc w:val="both"/>
              <w:rPr>
                <w:rFonts w:ascii="Abadi" w:hAnsi="Abadi" w:cs="*Microsoft Sans Serif-7631-Iden"/>
                <w:color w:val="151515"/>
                <w:sz w:val="21"/>
                <w:szCs w:val="21"/>
              </w:rPr>
            </w:pPr>
            <w:r w:rsidRPr="00C67C49">
              <w:rPr>
                <w:rFonts w:ascii="Abadi" w:hAnsi="Abadi" w:cs="*Microsoft Sans Serif-Bold-7632"/>
                <w:b/>
                <w:bCs/>
                <w:color w:val="151515"/>
                <w:sz w:val="21"/>
                <w:szCs w:val="21"/>
              </w:rPr>
              <w:t xml:space="preserve">XIII. </w:t>
            </w:r>
            <w:r w:rsidRPr="00C67C49">
              <w:rPr>
                <w:rFonts w:ascii="Abadi" w:hAnsi="Abadi" w:cs="*Microsoft Sans Serif-7631-Iden"/>
                <w:color w:val="151515"/>
                <w:sz w:val="21"/>
                <w:szCs w:val="21"/>
              </w:rPr>
              <w:t>La Secretaría promoverá ante las</w:t>
            </w:r>
          </w:p>
          <w:p w14:paraId="79E72BB8" w14:textId="77777777" w:rsidR="005767CC" w:rsidRPr="00C67C49" w:rsidRDefault="005767CC" w:rsidP="00317E08">
            <w:pPr>
              <w:autoSpaceDE w:val="0"/>
              <w:autoSpaceDN w:val="0"/>
              <w:adjustRightInd w:val="0"/>
              <w:jc w:val="both"/>
              <w:rPr>
                <w:rFonts w:ascii="Abadi" w:hAnsi="Abadi" w:cs="*Microsoft Sans Serif-7631-Iden"/>
                <w:color w:val="151515"/>
                <w:sz w:val="21"/>
                <w:szCs w:val="21"/>
              </w:rPr>
            </w:pPr>
            <w:r w:rsidRPr="00C67C49">
              <w:rPr>
                <w:rFonts w:ascii="Abadi" w:hAnsi="Abadi" w:cs="*Microsoft Sans Serif-7631-Iden"/>
                <w:color w:val="151515"/>
                <w:sz w:val="21"/>
                <w:szCs w:val="21"/>
              </w:rPr>
              <w:t xml:space="preserve">instituciones de educación de tipo superior, </w:t>
            </w:r>
          </w:p>
          <w:p w14:paraId="34853844" w14:textId="77777777" w:rsidR="005767CC" w:rsidRPr="00C67C49" w:rsidRDefault="005767CC" w:rsidP="00317E08">
            <w:pPr>
              <w:autoSpaceDE w:val="0"/>
              <w:autoSpaceDN w:val="0"/>
              <w:adjustRightInd w:val="0"/>
              <w:jc w:val="both"/>
              <w:rPr>
                <w:rFonts w:ascii="Abadi" w:hAnsi="Abadi" w:cs="*Microsoft Sans Serif-7631-Iden"/>
                <w:color w:val="161616"/>
                <w:sz w:val="21"/>
                <w:szCs w:val="21"/>
              </w:rPr>
            </w:pPr>
            <w:r w:rsidRPr="00C67C49">
              <w:rPr>
                <w:rFonts w:ascii="Abadi" w:hAnsi="Abadi" w:cs="*Microsoft Sans Serif-7631-Iden"/>
                <w:color w:val="151515"/>
                <w:sz w:val="21"/>
                <w:szCs w:val="21"/>
              </w:rPr>
              <w:t xml:space="preserve"> investigaciones que beneficien la creación</w:t>
            </w:r>
            <w:r>
              <w:rPr>
                <w:rFonts w:ascii="Abadi" w:hAnsi="Abadi" w:cs="*Microsoft Sans Serif-7631-Iden"/>
                <w:color w:val="151515"/>
                <w:sz w:val="21"/>
                <w:szCs w:val="21"/>
              </w:rPr>
              <w:t xml:space="preserve"> </w:t>
            </w:r>
          </w:p>
          <w:p w14:paraId="75CC5D72" w14:textId="77777777" w:rsidR="005767CC" w:rsidRPr="00C67C49" w:rsidRDefault="005767CC" w:rsidP="00317E08">
            <w:pPr>
              <w:autoSpaceDE w:val="0"/>
              <w:autoSpaceDN w:val="0"/>
              <w:adjustRightInd w:val="0"/>
              <w:jc w:val="both"/>
              <w:rPr>
                <w:rFonts w:ascii="Abadi" w:hAnsi="Abadi" w:cs="*Arial-8722-Identity-H"/>
                <w:color w:val="141414"/>
                <w:sz w:val="21"/>
                <w:szCs w:val="21"/>
              </w:rPr>
            </w:pPr>
            <w:r w:rsidRPr="00C67C49">
              <w:rPr>
                <w:rFonts w:ascii="Abadi" w:hAnsi="Abadi" w:cs="*Arial-8722-Identity-H"/>
                <w:color w:val="141414"/>
                <w:sz w:val="21"/>
                <w:szCs w:val="21"/>
              </w:rPr>
              <w:t>familiar; y</w:t>
            </w:r>
          </w:p>
          <w:p w14:paraId="3C29C8F6" w14:textId="77777777" w:rsidR="005767CC" w:rsidRDefault="005767CC" w:rsidP="00317E08">
            <w:pPr>
              <w:autoSpaceDE w:val="0"/>
              <w:autoSpaceDN w:val="0"/>
              <w:adjustRightInd w:val="0"/>
              <w:jc w:val="both"/>
              <w:rPr>
                <w:rFonts w:ascii="Abadi" w:hAnsi="Abadi" w:cs="*Microsoft Sans Serif-Bold-8723"/>
                <w:b/>
                <w:bCs/>
                <w:color w:val="131313"/>
                <w:sz w:val="21"/>
                <w:szCs w:val="21"/>
              </w:rPr>
            </w:pPr>
          </w:p>
          <w:p w14:paraId="2A0F6A99" w14:textId="77777777" w:rsidR="005767CC" w:rsidRPr="00C67C49" w:rsidRDefault="005767CC" w:rsidP="00317E08">
            <w:pPr>
              <w:autoSpaceDE w:val="0"/>
              <w:autoSpaceDN w:val="0"/>
              <w:adjustRightInd w:val="0"/>
              <w:jc w:val="both"/>
              <w:rPr>
                <w:rFonts w:ascii="Abadi" w:hAnsi="Abadi" w:cs="*Microsoft Sans Serif-Bold-8723"/>
                <w:b/>
                <w:bCs/>
                <w:color w:val="131313"/>
                <w:sz w:val="21"/>
                <w:szCs w:val="21"/>
              </w:rPr>
            </w:pPr>
            <w:r w:rsidRPr="00C67C49">
              <w:rPr>
                <w:rFonts w:ascii="Abadi" w:hAnsi="Abadi" w:cs="*Microsoft Sans Serif-Bold-8723"/>
                <w:b/>
                <w:bCs/>
                <w:color w:val="131313"/>
                <w:sz w:val="21"/>
                <w:szCs w:val="21"/>
              </w:rPr>
              <w:t>XIV. Contribuir a eliminar las brechas y</w:t>
            </w:r>
          </w:p>
          <w:p w14:paraId="2C793245" w14:textId="77777777" w:rsidR="005767CC" w:rsidRPr="00C67C49" w:rsidRDefault="005767CC" w:rsidP="00317E08">
            <w:pPr>
              <w:autoSpaceDE w:val="0"/>
              <w:autoSpaceDN w:val="0"/>
              <w:adjustRightInd w:val="0"/>
              <w:jc w:val="both"/>
              <w:rPr>
                <w:rFonts w:ascii="Abadi" w:hAnsi="Abadi" w:cs="*Microsoft Sans Serif-Bold-8723"/>
                <w:b/>
                <w:bCs/>
                <w:color w:val="131313"/>
                <w:sz w:val="21"/>
                <w:szCs w:val="21"/>
              </w:rPr>
            </w:pPr>
            <w:r w:rsidRPr="00C67C49">
              <w:rPr>
                <w:rFonts w:ascii="Abadi" w:hAnsi="Abadi" w:cs="*Microsoft Sans Serif-Bold-8723"/>
                <w:b/>
                <w:bCs/>
                <w:color w:val="131313"/>
                <w:sz w:val="21"/>
                <w:szCs w:val="21"/>
              </w:rPr>
              <w:t>estereotipos de género, asegurando la</w:t>
            </w:r>
          </w:p>
          <w:p w14:paraId="408A4DDE" w14:textId="77777777" w:rsidR="005767CC" w:rsidRPr="00C67C49" w:rsidRDefault="005767CC" w:rsidP="00317E08">
            <w:pPr>
              <w:autoSpaceDE w:val="0"/>
              <w:autoSpaceDN w:val="0"/>
              <w:adjustRightInd w:val="0"/>
              <w:jc w:val="both"/>
              <w:rPr>
                <w:rFonts w:ascii="Abadi" w:hAnsi="Abadi" w:cs="*Microsoft Sans Serif-Bold-8723"/>
                <w:b/>
                <w:bCs/>
                <w:color w:val="131313"/>
                <w:sz w:val="21"/>
                <w:szCs w:val="21"/>
              </w:rPr>
            </w:pPr>
            <w:r w:rsidRPr="00C67C49">
              <w:rPr>
                <w:rFonts w:ascii="Abadi" w:hAnsi="Abadi" w:cs="*Microsoft Sans Serif-Bold-8723"/>
                <w:b/>
                <w:bCs/>
                <w:color w:val="131313"/>
                <w:sz w:val="21"/>
                <w:szCs w:val="21"/>
              </w:rPr>
              <w:t>igualdad de acceso entre hombres y</w:t>
            </w:r>
          </w:p>
          <w:p w14:paraId="14DA1E75" w14:textId="77777777" w:rsidR="005767CC" w:rsidRPr="00C67C49" w:rsidRDefault="005767CC" w:rsidP="00317E08">
            <w:pPr>
              <w:autoSpaceDE w:val="0"/>
              <w:autoSpaceDN w:val="0"/>
              <w:adjustRightInd w:val="0"/>
              <w:jc w:val="both"/>
              <w:rPr>
                <w:rFonts w:ascii="Abadi" w:hAnsi="Abadi" w:cs="*Microsoft Sans Serif-Bold-8723"/>
                <w:b/>
                <w:bCs/>
                <w:color w:val="131313"/>
                <w:sz w:val="21"/>
                <w:szCs w:val="21"/>
              </w:rPr>
            </w:pPr>
            <w:r w:rsidRPr="00C67C49">
              <w:rPr>
                <w:rFonts w:ascii="Abadi" w:hAnsi="Abadi" w:cs="*Microsoft Sans Serif-Bold-8723"/>
                <w:b/>
                <w:bCs/>
                <w:color w:val="131313"/>
                <w:sz w:val="21"/>
                <w:szCs w:val="21"/>
              </w:rPr>
              <w:t>mujeres a los derechos y beneficios</w:t>
            </w:r>
          </w:p>
          <w:p w14:paraId="0ECF3C0F" w14:textId="77777777" w:rsidR="005767CC" w:rsidRPr="00C67C49" w:rsidRDefault="005767CC" w:rsidP="00317E08">
            <w:pPr>
              <w:autoSpaceDE w:val="0"/>
              <w:autoSpaceDN w:val="0"/>
              <w:adjustRightInd w:val="0"/>
              <w:jc w:val="both"/>
              <w:rPr>
                <w:rFonts w:ascii="Abadi" w:hAnsi="Abadi" w:cs="*Microsoft Sans Serif-Bold-8723"/>
                <w:b/>
                <w:bCs/>
                <w:color w:val="131313"/>
                <w:sz w:val="21"/>
                <w:szCs w:val="21"/>
              </w:rPr>
            </w:pPr>
            <w:r w:rsidRPr="00C67C49">
              <w:rPr>
                <w:rFonts w:ascii="Abadi" w:hAnsi="Abadi" w:cs="*Microsoft Sans Serif-Bold-8723"/>
                <w:b/>
                <w:bCs/>
                <w:color w:val="131313"/>
                <w:sz w:val="21"/>
                <w:szCs w:val="21"/>
              </w:rPr>
              <w:t>consagrados por la presente ley,</w:t>
            </w:r>
          </w:p>
          <w:p w14:paraId="3F3FBEDA" w14:textId="77777777" w:rsidR="005767CC" w:rsidRPr="00C67C49" w:rsidRDefault="005767CC" w:rsidP="00317E08">
            <w:pPr>
              <w:autoSpaceDE w:val="0"/>
              <w:autoSpaceDN w:val="0"/>
              <w:adjustRightInd w:val="0"/>
              <w:jc w:val="both"/>
              <w:rPr>
                <w:rFonts w:ascii="Abadi" w:hAnsi="Abadi" w:cs="*Microsoft Sans Serif-Bold-8723"/>
                <w:b/>
                <w:bCs/>
                <w:color w:val="131313"/>
                <w:sz w:val="21"/>
                <w:szCs w:val="21"/>
              </w:rPr>
            </w:pPr>
            <w:r w:rsidRPr="00C67C49">
              <w:rPr>
                <w:rFonts w:ascii="Abadi" w:hAnsi="Abadi" w:cs="*Microsoft Sans Serif-Bold-8723"/>
                <w:b/>
                <w:bCs/>
                <w:color w:val="131313"/>
                <w:sz w:val="21"/>
                <w:szCs w:val="21"/>
              </w:rPr>
              <w:t>adecuando las acciones concretas e</w:t>
            </w:r>
          </w:p>
          <w:p w14:paraId="0B897BE7" w14:textId="77777777" w:rsidR="005767CC" w:rsidRPr="00C67C49" w:rsidRDefault="005767CC" w:rsidP="00317E08">
            <w:pPr>
              <w:autoSpaceDE w:val="0"/>
              <w:autoSpaceDN w:val="0"/>
              <w:adjustRightInd w:val="0"/>
              <w:jc w:val="both"/>
              <w:rPr>
                <w:rFonts w:ascii="Abadi" w:hAnsi="Abadi" w:cs="*Microsoft Sans Serif-Bold-8723"/>
                <w:b/>
                <w:bCs/>
                <w:color w:val="131313"/>
                <w:sz w:val="21"/>
                <w:szCs w:val="21"/>
              </w:rPr>
            </w:pPr>
            <w:r w:rsidRPr="00C67C49">
              <w:rPr>
                <w:rFonts w:ascii="Abadi" w:hAnsi="Abadi" w:cs="*Microsoft Sans Serif-Bold-8723"/>
                <w:b/>
                <w:bCs/>
                <w:color w:val="131313"/>
                <w:sz w:val="21"/>
                <w:szCs w:val="21"/>
              </w:rPr>
              <w:t>implementando políticas específicas de</w:t>
            </w:r>
          </w:p>
          <w:p w14:paraId="34630411" w14:textId="77777777" w:rsidR="005767CC" w:rsidRPr="00C67C49" w:rsidRDefault="005767CC" w:rsidP="00317E08">
            <w:pPr>
              <w:autoSpaceDE w:val="0"/>
              <w:autoSpaceDN w:val="0"/>
              <w:adjustRightInd w:val="0"/>
              <w:jc w:val="both"/>
              <w:rPr>
                <w:rFonts w:ascii="Abadi" w:hAnsi="Abadi" w:cs="*Microsoft Sans Serif-Bold-8723"/>
                <w:b/>
                <w:bCs/>
                <w:color w:val="131313"/>
                <w:sz w:val="21"/>
                <w:szCs w:val="21"/>
              </w:rPr>
            </w:pPr>
            <w:r w:rsidRPr="00C67C49">
              <w:rPr>
                <w:rFonts w:ascii="Abadi" w:hAnsi="Abadi" w:cs="*Microsoft Sans Serif-Bold-8723"/>
                <w:b/>
                <w:bCs/>
                <w:color w:val="131313"/>
                <w:sz w:val="21"/>
                <w:szCs w:val="21"/>
              </w:rPr>
              <w:t>reconocimiento a favor de las mujeres</w:t>
            </w:r>
          </w:p>
          <w:p w14:paraId="559FCE06" w14:textId="77777777" w:rsidR="005767CC" w:rsidRPr="00C67C49" w:rsidRDefault="005767CC" w:rsidP="00317E08">
            <w:pPr>
              <w:autoSpaceDE w:val="0"/>
              <w:autoSpaceDN w:val="0"/>
              <w:adjustRightInd w:val="0"/>
              <w:jc w:val="both"/>
              <w:rPr>
                <w:rFonts w:ascii="Abadi" w:hAnsi="Abadi" w:cs="*Microsoft Sans Serif-Bold-8723"/>
                <w:b/>
                <w:bCs/>
                <w:color w:val="131313"/>
                <w:sz w:val="21"/>
                <w:szCs w:val="21"/>
              </w:rPr>
            </w:pPr>
            <w:r w:rsidRPr="00C67C49">
              <w:rPr>
                <w:rFonts w:ascii="Abadi" w:hAnsi="Abadi" w:cs="*Microsoft Sans Serif-Bold-8723"/>
                <w:b/>
                <w:bCs/>
                <w:color w:val="131313"/>
                <w:sz w:val="21"/>
                <w:szCs w:val="21"/>
              </w:rPr>
              <w:t>rurales.</w:t>
            </w:r>
          </w:p>
          <w:p w14:paraId="6EAFB1D1" w14:textId="77777777" w:rsidR="005767CC" w:rsidRDefault="005767CC" w:rsidP="00317E08">
            <w:pPr>
              <w:autoSpaceDE w:val="0"/>
              <w:autoSpaceDN w:val="0"/>
              <w:adjustRightInd w:val="0"/>
              <w:jc w:val="both"/>
              <w:rPr>
                <w:rFonts w:ascii="Abadi" w:hAnsi="Abadi" w:cs="*Arial-8722-Identity-H"/>
                <w:color w:val="151515"/>
                <w:sz w:val="21"/>
                <w:szCs w:val="21"/>
              </w:rPr>
            </w:pPr>
          </w:p>
          <w:p w14:paraId="2976C69B" w14:textId="77777777" w:rsidR="00D7099D" w:rsidRDefault="00D7099D" w:rsidP="00317E08">
            <w:pPr>
              <w:autoSpaceDE w:val="0"/>
              <w:autoSpaceDN w:val="0"/>
              <w:adjustRightInd w:val="0"/>
              <w:jc w:val="both"/>
              <w:rPr>
                <w:rFonts w:ascii="Abadi" w:hAnsi="Abadi" w:cs="*Arial-8722-Identity-H"/>
                <w:color w:val="151515"/>
                <w:sz w:val="21"/>
                <w:szCs w:val="21"/>
              </w:rPr>
            </w:pPr>
          </w:p>
          <w:p w14:paraId="65457F82" w14:textId="39E536DE" w:rsidR="005767CC" w:rsidRPr="00C67C49" w:rsidRDefault="005767CC" w:rsidP="00317E08">
            <w:pPr>
              <w:autoSpaceDE w:val="0"/>
              <w:autoSpaceDN w:val="0"/>
              <w:adjustRightInd w:val="0"/>
              <w:jc w:val="both"/>
              <w:rPr>
                <w:rFonts w:ascii="Abadi" w:hAnsi="Abadi" w:cs="*Arial-8722-Identity-H"/>
                <w:color w:val="151515"/>
                <w:sz w:val="21"/>
                <w:szCs w:val="21"/>
              </w:rPr>
            </w:pPr>
            <w:r w:rsidRPr="00C67C49">
              <w:rPr>
                <w:rFonts w:ascii="Abadi" w:hAnsi="Abadi" w:cs="*Arial-8722-Identity-H"/>
                <w:color w:val="151515"/>
                <w:sz w:val="21"/>
                <w:szCs w:val="21"/>
              </w:rPr>
              <w:t>Artículo 16. El Poder Ejecutivo, en el</w:t>
            </w:r>
          </w:p>
          <w:p w14:paraId="36397D50" w14:textId="77777777" w:rsidR="005767CC" w:rsidRPr="00C67C49" w:rsidRDefault="005767CC" w:rsidP="00317E08">
            <w:pPr>
              <w:autoSpaceDE w:val="0"/>
              <w:autoSpaceDN w:val="0"/>
              <w:adjustRightInd w:val="0"/>
              <w:jc w:val="both"/>
              <w:rPr>
                <w:rFonts w:ascii="Abadi" w:hAnsi="Abadi" w:cs="*Arial-8722-Identity-H"/>
                <w:color w:val="151515"/>
                <w:sz w:val="21"/>
                <w:szCs w:val="21"/>
              </w:rPr>
            </w:pPr>
            <w:r w:rsidRPr="00C67C49">
              <w:rPr>
                <w:rFonts w:ascii="Abadi" w:hAnsi="Abadi" w:cs="*Arial-8722-Identity-H"/>
                <w:color w:val="151515"/>
                <w:sz w:val="21"/>
                <w:szCs w:val="21"/>
              </w:rPr>
              <w:t>Reglamento de la Ley, establecerá un</w:t>
            </w:r>
          </w:p>
          <w:p w14:paraId="56892CCB" w14:textId="77777777" w:rsidR="005767CC" w:rsidRPr="00C67C49" w:rsidRDefault="005767CC" w:rsidP="00317E08">
            <w:pPr>
              <w:autoSpaceDE w:val="0"/>
              <w:autoSpaceDN w:val="0"/>
              <w:adjustRightInd w:val="0"/>
              <w:jc w:val="both"/>
              <w:rPr>
                <w:rFonts w:ascii="Abadi" w:hAnsi="Abadi" w:cs="*Arial-8722-Identity-H"/>
                <w:color w:val="151515"/>
                <w:sz w:val="21"/>
                <w:szCs w:val="21"/>
              </w:rPr>
            </w:pPr>
            <w:r w:rsidRPr="00C67C49">
              <w:rPr>
                <w:rFonts w:ascii="Abadi" w:hAnsi="Abadi" w:cs="*Arial-8722-Identity-H"/>
                <w:color w:val="151515"/>
                <w:sz w:val="21"/>
                <w:szCs w:val="21"/>
              </w:rPr>
              <w:t>Consejo que será el órgano colegiado de</w:t>
            </w:r>
          </w:p>
          <w:p w14:paraId="67885391" w14:textId="77777777" w:rsidR="005767CC" w:rsidRPr="00C67C49" w:rsidRDefault="005767CC" w:rsidP="00317E08">
            <w:pPr>
              <w:autoSpaceDE w:val="0"/>
              <w:autoSpaceDN w:val="0"/>
              <w:adjustRightInd w:val="0"/>
              <w:jc w:val="both"/>
              <w:rPr>
                <w:rFonts w:ascii="Abadi" w:hAnsi="Abadi" w:cs="*Arial-8722-Identity-H"/>
                <w:color w:val="151515"/>
                <w:sz w:val="21"/>
                <w:szCs w:val="21"/>
              </w:rPr>
            </w:pPr>
            <w:r w:rsidRPr="00C67C49">
              <w:rPr>
                <w:rFonts w:ascii="Abadi" w:hAnsi="Abadi" w:cs="*Arial-8722-Identity-H"/>
                <w:color w:val="151515"/>
                <w:sz w:val="21"/>
                <w:szCs w:val="21"/>
              </w:rPr>
              <w:t>consulta cuyo objeto es orientar, fomentar,</w:t>
            </w:r>
          </w:p>
          <w:p w14:paraId="73FACA1F" w14:textId="77777777" w:rsidR="005767CC" w:rsidRPr="00C67C49" w:rsidRDefault="005767CC" w:rsidP="00317E08">
            <w:pPr>
              <w:autoSpaceDE w:val="0"/>
              <w:autoSpaceDN w:val="0"/>
              <w:adjustRightInd w:val="0"/>
              <w:jc w:val="both"/>
              <w:rPr>
                <w:rFonts w:ascii="Abadi" w:hAnsi="Abadi" w:cs="*Arial-8722-Identity-H"/>
                <w:color w:val="151515"/>
                <w:sz w:val="21"/>
                <w:szCs w:val="21"/>
              </w:rPr>
            </w:pPr>
            <w:r w:rsidRPr="00C67C49">
              <w:rPr>
                <w:rFonts w:ascii="Abadi" w:hAnsi="Abadi" w:cs="*Arial-8722-Identity-H"/>
                <w:color w:val="151515"/>
                <w:sz w:val="21"/>
                <w:szCs w:val="21"/>
              </w:rPr>
              <w:t>promover, impulsar, apoyar y proponer</w:t>
            </w:r>
          </w:p>
          <w:p w14:paraId="77290F67" w14:textId="77777777" w:rsidR="005767CC" w:rsidRPr="00C67C49" w:rsidRDefault="005767CC" w:rsidP="00317E08">
            <w:pPr>
              <w:autoSpaceDE w:val="0"/>
              <w:autoSpaceDN w:val="0"/>
              <w:adjustRightInd w:val="0"/>
              <w:jc w:val="both"/>
              <w:rPr>
                <w:rFonts w:ascii="Abadi" w:hAnsi="Abadi" w:cs="*Arial-8722-Identity-H"/>
                <w:color w:val="151515"/>
                <w:sz w:val="21"/>
                <w:szCs w:val="21"/>
              </w:rPr>
            </w:pPr>
            <w:r w:rsidRPr="00C67C49">
              <w:rPr>
                <w:rFonts w:ascii="Abadi" w:hAnsi="Abadi" w:cs="*Arial-8722-Identity-H"/>
                <w:color w:val="151515"/>
                <w:sz w:val="21"/>
                <w:szCs w:val="21"/>
              </w:rPr>
              <w:t>políticas públicas para el fomento de la</w:t>
            </w:r>
          </w:p>
          <w:p w14:paraId="7D40E444" w14:textId="77777777" w:rsidR="005767CC" w:rsidRPr="00C67C49" w:rsidRDefault="005767CC" w:rsidP="00317E08">
            <w:pPr>
              <w:autoSpaceDE w:val="0"/>
              <w:autoSpaceDN w:val="0"/>
              <w:adjustRightInd w:val="0"/>
              <w:jc w:val="both"/>
              <w:rPr>
                <w:rFonts w:ascii="Abadi" w:hAnsi="Abadi" w:cs="*Arial-8722-Identity-H"/>
                <w:color w:val="151515"/>
                <w:sz w:val="21"/>
                <w:szCs w:val="21"/>
              </w:rPr>
            </w:pPr>
            <w:r w:rsidRPr="00C67C49">
              <w:rPr>
                <w:rFonts w:ascii="Abadi" w:hAnsi="Abadi" w:cs="*Arial-8722-Identity-H"/>
                <w:color w:val="151515"/>
                <w:sz w:val="21"/>
                <w:szCs w:val="21"/>
              </w:rPr>
              <w:t>agricultura familiar.</w:t>
            </w:r>
          </w:p>
          <w:p w14:paraId="3D81FCAA" w14:textId="5E2F824C" w:rsidR="005767CC" w:rsidRDefault="005767CC" w:rsidP="00317E08">
            <w:pPr>
              <w:autoSpaceDE w:val="0"/>
              <w:autoSpaceDN w:val="0"/>
              <w:adjustRightInd w:val="0"/>
              <w:jc w:val="both"/>
              <w:rPr>
                <w:rFonts w:ascii="Abadi" w:hAnsi="Abadi" w:cs="*Microsoft Sans Serif-Bold-8723"/>
                <w:b/>
                <w:bCs/>
                <w:color w:val="131313"/>
                <w:sz w:val="21"/>
                <w:szCs w:val="21"/>
              </w:rPr>
            </w:pPr>
          </w:p>
          <w:p w14:paraId="5FA6969E" w14:textId="14ED12A7" w:rsidR="0041466F" w:rsidRDefault="0041466F" w:rsidP="00317E08">
            <w:pPr>
              <w:autoSpaceDE w:val="0"/>
              <w:autoSpaceDN w:val="0"/>
              <w:adjustRightInd w:val="0"/>
              <w:jc w:val="both"/>
              <w:rPr>
                <w:rFonts w:ascii="Abadi" w:hAnsi="Abadi" w:cs="*Microsoft Sans Serif-Bold-8723"/>
                <w:b/>
                <w:bCs/>
                <w:color w:val="131313"/>
                <w:sz w:val="21"/>
                <w:szCs w:val="21"/>
              </w:rPr>
            </w:pPr>
          </w:p>
          <w:p w14:paraId="65F14FAE" w14:textId="758ABD32" w:rsidR="0041466F" w:rsidRDefault="0041466F" w:rsidP="00317E08">
            <w:pPr>
              <w:autoSpaceDE w:val="0"/>
              <w:autoSpaceDN w:val="0"/>
              <w:adjustRightInd w:val="0"/>
              <w:jc w:val="both"/>
              <w:rPr>
                <w:rFonts w:ascii="Abadi" w:hAnsi="Abadi" w:cs="*Microsoft Sans Serif-Bold-8723"/>
                <w:b/>
                <w:bCs/>
                <w:color w:val="131313"/>
                <w:sz w:val="21"/>
                <w:szCs w:val="21"/>
              </w:rPr>
            </w:pPr>
          </w:p>
          <w:p w14:paraId="66891216" w14:textId="3387B7A0" w:rsidR="0041466F" w:rsidRDefault="0041466F" w:rsidP="00317E08">
            <w:pPr>
              <w:autoSpaceDE w:val="0"/>
              <w:autoSpaceDN w:val="0"/>
              <w:adjustRightInd w:val="0"/>
              <w:jc w:val="both"/>
              <w:rPr>
                <w:rFonts w:ascii="Abadi" w:hAnsi="Abadi" w:cs="*Microsoft Sans Serif-Bold-8723"/>
                <w:b/>
                <w:bCs/>
                <w:color w:val="131313"/>
                <w:sz w:val="21"/>
                <w:szCs w:val="21"/>
              </w:rPr>
            </w:pPr>
          </w:p>
          <w:p w14:paraId="789C4299" w14:textId="1DB3E0BE" w:rsidR="0041466F" w:rsidRDefault="0041466F" w:rsidP="00317E08">
            <w:pPr>
              <w:autoSpaceDE w:val="0"/>
              <w:autoSpaceDN w:val="0"/>
              <w:adjustRightInd w:val="0"/>
              <w:jc w:val="both"/>
              <w:rPr>
                <w:rFonts w:ascii="Abadi" w:hAnsi="Abadi" w:cs="*Microsoft Sans Serif-Bold-8723"/>
                <w:b/>
                <w:bCs/>
                <w:color w:val="131313"/>
                <w:sz w:val="21"/>
                <w:szCs w:val="21"/>
              </w:rPr>
            </w:pPr>
          </w:p>
          <w:p w14:paraId="18C1A7ED" w14:textId="5853ECD6" w:rsidR="0041466F" w:rsidRDefault="0041466F" w:rsidP="00317E08">
            <w:pPr>
              <w:autoSpaceDE w:val="0"/>
              <w:autoSpaceDN w:val="0"/>
              <w:adjustRightInd w:val="0"/>
              <w:jc w:val="both"/>
              <w:rPr>
                <w:rFonts w:ascii="Abadi" w:hAnsi="Abadi" w:cs="*Microsoft Sans Serif-Bold-8723"/>
                <w:b/>
                <w:bCs/>
                <w:color w:val="131313"/>
                <w:sz w:val="21"/>
                <w:szCs w:val="21"/>
              </w:rPr>
            </w:pPr>
          </w:p>
          <w:p w14:paraId="26B1C15C" w14:textId="0C53A451" w:rsidR="0041466F" w:rsidRDefault="0041466F" w:rsidP="00317E08">
            <w:pPr>
              <w:autoSpaceDE w:val="0"/>
              <w:autoSpaceDN w:val="0"/>
              <w:adjustRightInd w:val="0"/>
              <w:jc w:val="both"/>
              <w:rPr>
                <w:rFonts w:ascii="Abadi" w:hAnsi="Abadi" w:cs="*Microsoft Sans Serif-Bold-8723"/>
                <w:b/>
                <w:bCs/>
                <w:color w:val="131313"/>
                <w:sz w:val="21"/>
                <w:szCs w:val="21"/>
              </w:rPr>
            </w:pPr>
          </w:p>
          <w:p w14:paraId="7FD36C3F" w14:textId="6CECAF42" w:rsidR="0041466F" w:rsidRDefault="0041466F" w:rsidP="00317E08">
            <w:pPr>
              <w:autoSpaceDE w:val="0"/>
              <w:autoSpaceDN w:val="0"/>
              <w:adjustRightInd w:val="0"/>
              <w:jc w:val="both"/>
              <w:rPr>
                <w:rFonts w:ascii="Abadi" w:hAnsi="Abadi" w:cs="*Microsoft Sans Serif-Bold-8723"/>
                <w:b/>
                <w:bCs/>
                <w:color w:val="131313"/>
                <w:sz w:val="21"/>
                <w:szCs w:val="21"/>
              </w:rPr>
            </w:pPr>
          </w:p>
          <w:p w14:paraId="4F0C7947" w14:textId="2C956DD7" w:rsidR="0041466F" w:rsidRDefault="0041466F" w:rsidP="00317E08">
            <w:pPr>
              <w:autoSpaceDE w:val="0"/>
              <w:autoSpaceDN w:val="0"/>
              <w:adjustRightInd w:val="0"/>
              <w:jc w:val="both"/>
              <w:rPr>
                <w:rFonts w:ascii="Abadi" w:hAnsi="Abadi" w:cs="*Microsoft Sans Serif-Bold-8723"/>
                <w:b/>
                <w:bCs/>
                <w:color w:val="131313"/>
                <w:sz w:val="21"/>
                <w:szCs w:val="21"/>
              </w:rPr>
            </w:pPr>
          </w:p>
          <w:p w14:paraId="7BA38ACC" w14:textId="77777777" w:rsidR="0041466F" w:rsidRDefault="0041466F" w:rsidP="00317E08">
            <w:pPr>
              <w:autoSpaceDE w:val="0"/>
              <w:autoSpaceDN w:val="0"/>
              <w:adjustRightInd w:val="0"/>
              <w:jc w:val="both"/>
              <w:rPr>
                <w:rFonts w:ascii="Abadi" w:hAnsi="Abadi" w:cs="*Microsoft Sans Serif-Bold-8723"/>
                <w:b/>
                <w:bCs/>
                <w:color w:val="131313"/>
                <w:sz w:val="21"/>
                <w:szCs w:val="21"/>
              </w:rPr>
            </w:pPr>
          </w:p>
          <w:p w14:paraId="3EC6D841" w14:textId="77777777" w:rsidR="005767CC" w:rsidRPr="00C67C49" w:rsidRDefault="005767CC" w:rsidP="00317E08">
            <w:pPr>
              <w:autoSpaceDE w:val="0"/>
              <w:autoSpaceDN w:val="0"/>
              <w:adjustRightInd w:val="0"/>
              <w:jc w:val="both"/>
              <w:rPr>
                <w:rFonts w:ascii="Abadi" w:hAnsi="Abadi" w:cs="*Microsoft Sans Serif-Bold-8723"/>
                <w:b/>
                <w:bCs/>
                <w:color w:val="131313"/>
                <w:sz w:val="21"/>
                <w:szCs w:val="21"/>
              </w:rPr>
            </w:pPr>
            <w:r w:rsidRPr="00C67C49">
              <w:rPr>
                <w:rFonts w:ascii="Abadi" w:hAnsi="Abadi" w:cs="*Microsoft Sans Serif-Bold-8723"/>
                <w:b/>
                <w:bCs/>
                <w:color w:val="131313"/>
                <w:sz w:val="21"/>
                <w:szCs w:val="21"/>
              </w:rPr>
              <w:t>Las mujeres rurales tendrán una</w:t>
            </w:r>
          </w:p>
          <w:p w14:paraId="6D630EED" w14:textId="77777777" w:rsidR="005767CC" w:rsidRPr="00C67C49" w:rsidRDefault="005767CC" w:rsidP="00317E08">
            <w:pPr>
              <w:autoSpaceDE w:val="0"/>
              <w:autoSpaceDN w:val="0"/>
              <w:adjustRightInd w:val="0"/>
              <w:jc w:val="both"/>
              <w:rPr>
                <w:rFonts w:ascii="Abadi" w:hAnsi="Abadi" w:cs="*Microsoft Sans Serif-Bold-8723"/>
                <w:b/>
                <w:bCs/>
                <w:color w:val="131313"/>
                <w:sz w:val="21"/>
                <w:szCs w:val="21"/>
              </w:rPr>
            </w:pPr>
            <w:r w:rsidRPr="00C67C49">
              <w:rPr>
                <w:rFonts w:ascii="Abadi" w:hAnsi="Abadi" w:cs="*Microsoft Sans Serif-Bold-8723"/>
                <w:b/>
                <w:bCs/>
                <w:color w:val="131313"/>
                <w:sz w:val="21"/>
                <w:szCs w:val="21"/>
              </w:rPr>
              <w:t>participación equitativa en el Consejo.</w:t>
            </w:r>
          </w:p>
          <w:p w14:paraId="0C4087B9" w14:textId="77777777" w:rsidR="005767CC" w:rsidRDefault="005767CC" w:rsidP="00317E08">
            <w:pPr>
              <w:autoSpaceDE w:val="0"/>
              <w:autoSpaceDN w:val="0"/>
              <w:adjustRightInd w:val="0"/>
              <w:jc w:val="both"/>
              <w:rPr>
                <w:rFonts w:ascii="Abadi" w:hAnsi="Abadi" w:cs="*Arial-7957-Identity-H"/>
                <w:color w:val="141414"/>
                <w:sz w:val="21"/>
                <w:szCs w:val="21"/>
              </w:rPr>
            </w:pPr>
          </w:p>
        </w:tc>
      </w:tr>
    </w:tbl>
    <w:p w14:paraId="72B7D750" w14:textId="77777777" w:rsidR="005767CC" w:rsidRPr="005767CC" w:rsidRDefault="005767CC" w:rsidP="004D3D85">
      <w:pPr>
        <w:pStyle w:val="Prrafodelista"/>
        <w:autoSpaceDE w:val="0"/>
        <w:autoSpaceDN w:val="0"/>
        <w:adjustRightInd w:val="0"/>
        <w:ind w:left="720"/>
        <w:jc w:val="both"/>
        <w:rPr>
          <w:rFonts w:ascii="Abadi" w:hAnsi="Abadi" w:cs="*Microsoft Sans Serif-Bold-8723"/>
          <w:b/>
          <w:bCs/>
          <w:color w:val="131313"/>
          <w:sz w:val="21"/>
          <w:szCs w:val="21"/>
        </w:rPr>
      </w:pPr>
    </w:p>
    <w:p w14:paraId="11CC1EB6" w14:textId="77777777" w:rsidR="005767CC" w:rsidRPr="005767CC" w:rsidRDefault="005767CC" w:rsidP="00CC4A96">
      <w:pPr>
        <w:pStyle w:val="Prrafodelista"/>
        <w:autoSpaceDE w:val="0"/>
        <w:autoSpaceDN w:val="0"/>
        <w:adjustRightInd w:val="0"/>
        <w:ind w:left="0"/>
        <w:jc w:val="both"/>
        <w:rPr>
          <w:rFonts w:ascii="Abadi" w:hAnsi="Abadi" w:cs="*Arial-8720-Identity-H"/>
          <w:color w:val="141414"/>
          <w:sz w:val="21"/>
          <w:szCs w:val="21"/>
        </w:rPr>
      </w:pPr>
      <w:r w:rsidRPr="005767CC">
        <w:rPr>
          <w:rFonts w:ascii="Abadi" w:hAnsi="Abadi" w:cs="*Arial-8720-Identity-H"/>
          <w:color w:val="141414"/>
          <w:sz w:val="21"/>
          <w:szCs w:val="21"/>
        </w:rPr>
        <w:t>Por lo anteriormente expuesto, nos permitimos someter a la consideración de esta</w:t>
      </w:r>
    </w:p>
    <w:p w14:paraId="5EC2EF54" w14:textId="77777777" w:rsidR="005767CC" w:rsidRPr="005767CC" w:rsidRDefault="005767CC" w:rsidP="00CC4A96">
      <w:pPr>
        <w:pStyle w:val="Prrafodelista"/>
        <w:autoSpaceDE w:val="0"/>
        <w:autoSpaceDN w:val="0"/>
        <w:adjustRightInd w:val="0"/>
        <w:ind w:left="0"/>
        <w:jc w:val="both"/>
        <w:rPr>
          <w:rFonts w:ascii="Abadi" w:hAnsi="Abadi" w:cs="*Arial-8720-Identity-H"/>
          <w:color w:val="141414"/>
          <w:sz w:val="21"/>
          <w:szCs w:val="21"/>
        </w:rPr>
      </w:pPr>
      <w:r w:rsidRPr="005767CC">
        <w:rPr>
          <w:rFonts w:ascii="Abadi" w:hAnsi="Abadi" w:cs="*Arial-8720-Identity-H"/>
          <w:color w:val="141414"/>
          <w:sz w:val="21"/>
          <w:szCs w:val="21"/>
        </w:rPr>
        <w:t>Honorable Asamblea el siguiente proyecto de:</w:t>
      </w:r>
    </w:p>
    <w:p w14:paraId="776440BB" w14:textId="77777777" w:rsidR="005767CC" w:rsidRPr="005767CC" w:rsidRDefault="005767CC" w:rsidP="00CC4A96">
      <w:pPr>
        <w:pStyle w:val="Prrafodelista"/>
        <w:autoSpaceDE w:val="0"/>
        <w:autoSpaceDN w:val="0"/>
        <w:adjustRightInd w:val="0"/>
        <w:ind w:left="0"/>
        <w:jc w:val="both"/>
        <w:rPr>
          <w:rFonts w:ascii="Abadi" w:hAnsi="Abadi" w:cs="*Arial-8720-Identity-H"/>
          <w:color w:val="141414"/>
          <w:sz w:val="21"/>
          <w:szCs w:val="21"/>
        </w:rPr>
      </w:pPr>
    </w:p>
    <w:p w14:paraId="5C143041" w14:textId="77777777" w:rsidR="005767CC" w:rsidRPr="005767CC" w:rsidRDefault="005767CC" w:rsidP="00CC4A96">
      <w:pPr>
        <w:pStyle w:val="Prrafodelista"/>
        <w:autoSpaceDE w:val="0"/>
        <w:autoSpaceDN w:val="0"/>
        <w:adjustRightInd w:val="0"/>
        <w:ind w:left="0"/>
        <w:jc w:val="both"/>
        <w:rPr>
          <w:rFonts w:ascii="Abadi" w:hAnsi="Abadi" w:cs="*Arial-8720-Identity-H"/>
          <w:color w:val="141414"/>
          <w:sz w:val="21"/>
          <w:szCs w:val="21"/>
        </w:rPr>
      </w:pPr>
    </w:p>
    <w:p w14:paraId="0D8C243A" w14:textId="77777777" w:rsidR="005767CC" w:rsidRPr="005767CC" w:rsidRDefault="005767CC" w:rsidP="00CC4A96">
      <w:pPr>
        <w:pStyle w:val="Prrafodelista"/>
        <w:autoSpaceDE w:val="0"/>
        <w:autoSpaceDN w:val="0"/>
        <w:adjustRightInd w:val="0"/>
        <w:ind w:left="0"/>
        <w:jc w:val="center"/>
        <w:rPr>
          <w:rFonts w:ascii="Abadi" w:hAnsi="Abadi" w:cs="*Arial-Bold-8721-Identity-H"/>
          <w:b/>
          <w:bCs/>
          <w:color w:val="131313"/>
          <w:sz w:val="21"/>
          <w:szCs w:val="21"/>
        </w:rPr>
      </w:pPr>
      <w:r w:rsidRPr="005767CC">
        <w:rPr>
          <w:rFonts w:ascii="Abadi" w:hAnsi="Abadi" w:cs="*Arial-Bold-8721-Identity-H"/>
          <w:b/>
          <w:bCs/>
          <w:color w:val="131313"/>
          <w:sz w:val="21"/>
          <w:szCs w:val="21"/>
        </w:rPr>
        <w:t>DECRETO</w:t>
      </w:r>
    </w:p>
    <w:p w14:paraId="54568D27" w14:textId="77777777" w:rsidR="005767CC" w:rsidRPr="005767CC" w:rsidRDefault="005767CC" w:rsidP="00CC4A96">
      <w:pPr>
        <w:pStyle w:val="Prrafodelista"/>
        <w:autoSpaceDE w:val="0"/>
        <w:autoSpaceDN w:val="0"/>
        <w:adjustRightInd w:val="0"/>
        <w:ind w:left="0"/>
        <w:jc w:val="both"/>
        <w:rPr>
          <w:rFonts w:ascii="Abadi" w:hAnsi="Abadi" w:cs="*Arial-Bold-8721-Identity-H"/>
          <w:b/>
          <w:bCs/>
          <w:color w:val="131313"/>
          <w:sz w:val="21"/>
          <w:szCs w:val="21"/>
        </w:rPr>
      </w:pPr>
    </w:p>
    <w:p w14:paraId="1771E0F8" w14:textId="77777777" w:rsidR="005767CC" w:rsidRPr="005767CC" w:rsidRDefault="005767CC" w:rsidP="00CC4A96">
      <w:pPr>
        <w:pStyle w:val="Prrafodelista"/>
        <w:autoSpaceDE w:val="0"/>
        <w:autoSpaceDN w:val="0"/>
        <w:adjustRightInd w:val="0"/>
        <w:ind w:left="0"/>
        <w:jc w:val="both"/>
        <w:rPr>
          <w:rFonts w:ascii="Abadi" w:hAnsi="Abadi" w:cs="*Arial-Bold-8721-Identity-H"/>
          <w:b/>
          <w:bCs/>
          <w:color w:val="131313"/>
          <w:sz w:val="21"/>
          <w:szCs w:val="21"/>
        </w:rPr>
      </w:pPr>
    </w:p>
    <w:p w14:paraId="00691E19" w14:textId="3CC320B7" w:rsidR="005767CC" w:rsidRPr="00B95EAD" w:rsidRDefault="005767CC" w:rsidP="00CC4A96">
      <w:pPr>
        <w:pStyle w:val="Prrafodelista"/>
        <w:autoSpaceDE w:val="0"/>
        <w:autoSpaceDN w:val="0"/>
        <w:adjustRightInd w:val="0"/>
        <w:ind w:left="0"/>
        <w:jc w:val="both"/>
        <w:rPr>
          <w:rFonts w:ascii="Abadi" w:hAnsi="Abadi" w:cs="*Arial-8720-Identity-H"/>
          <w:color w:val="131313"/>
          <w:sz w:val="21"/>
          <w:szCs w:val="21"/>
        </w:rPr>
      </w:pPr>
      <w:r w:rsidRPr="005767CC">
        <w:rPr>
          <w:rFonts w:ascii="Abadi" w:hAnsi="Abadi" w:cs="*Arial-Bold-8721-Identity-H"/>
          <w:b/>
          <w:bCs/>
          <w:color w:val="131313"/>
          <w:sz w:val="21"/>
          <w:szCs w:val="21"/>
        </w:rPr>
        <w:t xml:space="preserve">ARTÍCULO ÚNICO. </w:t>
      </w:r>
      <w:r w:rsidRPr="005767CC">
        <w:rPr>
          <w:rFonts w:ascii="Abadi" w:hAnsi="Abadi" w:cs="*Arial-8720-Identity-H"/>
          <w:color w:val="131313"/>
          <w:sz w:val="21"/>
          <w:szCs w:val="21"/>
        </w:rPr>
        <w:t>Se adiciona una fracción IX al artículo 6; se adiciona un Capítulo 111 denominado "Mujer Rural", recorriéndose en su orden los subsecuentes Capítulos, adicionando los artículos 6 Bis, 6 Ter, 6 Quáter, 6 Quinquies y 6 Sexies; se agrega una fracción V al artículo 7; se adiciona una fracción XIV al artículo 8; y se adiciona un segundo párrafo al artículo 16, en la Ley de Fomento a la Agricultura Familiar del Estado de Guanajuato, para quedar como sigue:</w:t>
      </w:r>
    </w:p>
    <w:p w14:paraId="5BB46778" w14:textId="77777777" w:rsidR="005767CC" w:rsidRPr="005767CC" w:rsidRDefault="005767CC" w:rsidP="00CC4A96">
      <w:pPr>
        <w:pStyle w:val="Prrafodelista"/>
        <w:autoSpaceDE w:val="0"/>
        <w:autoSpaceDN w:val="0"/>
        <w:adjustRightInd w:val="0"/>
        <w:ind w:left="0"/>
        <w:jc w:val="both"/>
        <w:rPr>
          <w:rFonts w:ascii="Abadi" w:hAnsi="Abadi" w:cs="*Arial-8720-Identity-H"/>
          <w:color w:val="131313"/>
          <w:sz w:val="21"/>
          <w:szCs w:val="21"/>
        </w:rPr>
      </w:pPr>
    </w:p>
    <w:p w14:paraId="32F23DE3" w14:textId="77777777" w:rsidR="005767CC" w:rsidRPr="005767CC" w:rsidRDefault="005767CC" w:rsidP="00CC4A96">
      <w:pPr>
        <w:pStyle w:val="Prrafodelista"/>
        <w:autoSpaceDE w:val="0"/>
        <w:autoSpaceDN w:val="0"/>
        <w:adjustRightInd w:val="0"/>
        <w:ind w:left="0"/>
        <w:jc w:val="both"/>
        <w:rPr>
          <w:rFonts w:ascii="Abadi" w:hAnsi="Abadi" w:cs="*Arial-8720-Identity-H"/>
          <w:color w:val="141414"/>
          <w:sz w:val="21"/>
          <w:szCs w:val="21"/>
        </w:rPr>
      </w:pPr>
      <w:r w:rsidRPr="005767CC">
        <w:rPr>
          <w:rFonts w:ascii="Abadi" w:hAnsi="Abadi" w:cs="*Arial-Bold-8721-Identity-H"/>
          <w:b/>
          <w:bCs/>
          <w:color w:val="141414"/>
          <w:sz w:val="21"/>
          <w:szCs w:val="21"/>
        </w:rPr>
        <w:t xml:space="preserve">Artículo 6. </w:t>
      </w:r>
      <w:r w:rsidRPr="005767CC">
        <w:rPr>
          <w:rFonts w:ascii="Abadi" w:hAnsi="Abadi" w:cs="*Arial-8720-Identity-H"/>
          <w:color w:val="141414"/>
          <w:sz w:val="21"/>
          <w:szCs w:val="21"/>
        </w:rPr>
        <w:t>Son objetivos específicos de la presente Ley:</w:t>
      </w:r>
    </w:p>
    <w:p w14:paraId="123D06C8" w14:textId="77777777" w:rsidR="005767CC" w:rsidRPr="005767CC" w:rsidRDefault="005767CC" w:rsidP="00CC4A96">
      <w:pPr>
        <w:pStyle w:val="Prrafodelista"/>
        <w:autoSpaceDE w:val="0"/>
        <w:autoSpaceDN w:val="0"/>
        <w:adjustRightInd w:val="0"/>
        <w:ind w:left="0"/>
        <w:jc w:val="both"/>
        <w:rPr>
          <w:rFonts w:ascii="Abadi" w:hAnsi="Abadi" w:cs="*Arial-8720-Identity-H"/>
          <w:color w:val="141414"/>
          <w:sz w:val="21"/>
          <w:szCs w:val="21"/>
        </w:rPr>
      </w:pPr>
    </w:p>
    <w:p w14:paraId="4A39EDEA" w14:textId="77777777" w:rsidR="005767CC" w:rsidRPr="005767CC" w:rsidRDefault="005767CC" w:rsidP="00CC4A96">
      <w:pPr>
        <w:pStyle w:val="Prrafodelista"/>
        <w:autoSpaceDE w:val="0"/>
        <w:autoSpaceDN w:val="0"/>
        <w:adjustRightInd w:val="0"/>
        <w:ind w:left="0"/>
        <w:jc w:val="both"/>
        <w:rPr>
          <w:rFonts w:ascii="Abadi" w:hAnsi="Abadi" w:cs="*Arial-8720-Identity-H"/>
          <w:color w:val="141414"/>
          <w:sz w:val="21"/>
          <w:szCs w:val="21"/>
        </w:rPr>
      </w:pPr>
      <w:r w:rsidRPr="005767CC">
        <w:rPr>
          <w:rFonts w:ascii="Abadi" w:hAnsi="Abadi" w:cs="*Arial-Bold-8721-Identity-H"/>
          <w:b/>
          <w:bCs/>
          <w:color w:val="141414"/>
          <w:sz w:val="21"/>
          <w:szCs w:val="21"/>
        </w:rPr>
        <w:t xml:space="preserve">l. </w:t>
      </w:r>
      <w:r w:rsidRPr="005767CC">
        <w:rPr>
          <w:rFonts w:ascii="Abadi" w:hAnsi="Abadi" w:cs="*Arial-8720-Identity-H"/>
          <w:color w:val="141414"/>
          <w:sz w:val="21"/>
          <w:szCs w:val="21"/>
        </w:rPr>
        <w:t>Reconocer las peculiaridades ...</w:t>
      </w:r>
    </w:p>
    <w:p w14:paraId="2B68F9E2" w14:textId="77777777" w:rsidR="005767CC" w:rsidRPr="005767CC" w:rsidRDefault="005767CC" w:rsidP="00CC4A96">
      <w:pPr>
        <w:pStyle w:val="Prrafodelista"/>
        <w:autoSpaceDE w:val="0"/>
        <w:autoSpaceDN w:val="0"/>
        <w:adjustRightInd w:val="0"/>
        <w:ind w:left="0"/>
        <w:jc w:val="both"/>
        <w:rPr>
          <w:rFonts w:ascii="Abadi" w:hAnsi="Abadi" w:cs="*Calibri-8719-Identity-H"/>
          <w:color w:val="161616"/>
          <w:sz w:val="21"/>
          <w:szCs w:val="21"/>
        </w:rPr>
      </w:pPr>
    </w:p>
    <w:p w14:paraId="75471EB4" w14:textId="77777777" w:rsidR="005767CC" w:rsidRPr="005767CC" w:rsidRDefault="005767CC" w:rsidP="00CC4A96">
      <w:pPr>
        <w:pStyle w:val="Prrafodelista"/>
        <w:autoSpaceDE w:val="0"/>
        <w:autoSpaceDN w:val="0"/>
        <w:adjustRightInd w:val="0"/>
        <w:ind w:left="0"/>
        <w:jc w:val="both"/>
        <w:rPr>
          <w:rFonts w:ascii="Abadi" w:hAnsi="Abadi" w:cs="*Arial-4850-Identity-H"/>
          <w:color w:val="151515"/>
          <w:sz w:val="21"/>
          <w:szCs w:val="21"/>
        </w:rPr>
      </w:pPr>
      <w:r w:rsidRPr="000F75D8">
        <w:rPr>
          <w:rFonts w:ascii="Abadi" w:hAnsi="Abadi" w:cs="*Arial-4850-Identity-H"/>
          <w:b/>
          <w:bCs/>
          <w:color w:val="151515"/>
          <w:sz w:val="21"/>
          <w:szCs w:val="21"/>
        </w:rPr>
        <w:t>II.</w:t>
      </w:r>
      <w:r w:rsidRPr="005767CC">
        <w:rPr>
          <w:rFonts w:ascii="Abadi" w:hAnsi="Abadi" w:cs="*Arial-4850-Identity-H"/>
          <w:color w:val="151515"/>
          <w:sz w:val="21"/>
          <w:szCs w:val="21"/>
        </w:rPr>
        <w:t xml:space="preserve"> Contribuir a la ...</w:t>
      </w:r>
    </w:p>
    <w:p w14:paraId="4471C3CB" w14:textId="77777777" w:rsidR="005767CC" w:rsidRPr="005767CC" w:rsidRDefault="005767CC" w:rsidP="00CC4A96">
      <w:pPr>
        <w:pStyle w:val="Prrafodelista"/>
        <w:autoSpaceDE w:val="0"/>
        <w:autoSpaceDN w:val="0"/>
        <w:adjustRightInd w:val="0"/>
        <w:ind w:left="0"/>
        <w:jc w:val="both"/>
        <w:rPr>
          <w:rFonts w:ascii="Abadi" w:hAnsi="Abadi" w:cs="*Arial-4850-Identity-H"/>
          <w:color w:val="151515"/>
          <w:sz w:val="21"/>
          <w:szCs w:val="21"/>
        </w:rPr>
      </w:pPr>
    </w:p>
    <w:p w14:paraId="5B712BDE" w14:textId="77777777" w:rsidR="005767CC" w:rsidRPr="005767CC" w:rsidRDefault="005767CC" w:rsidP="00CC4A96">
      <w:pPr>
        <w:pStyle w:val="Prrafodelista"/>
        <w:autoSpaceDE w:val="0"/>
        <w:autoSpaceDN w:val="0"/>
        <w:adjustRightInd w:val="0"/>
        <w:ind w:left="0"/>
        <w:jc w:val="both"/>
        <w:rPr>
          <w:rFonts w:ascii="Abadi" w:hAnsi="Abadi" w:cs="*Arial-4850-Identity-H"/>
          <w:color w:val="141414"/>
          <w:sz w:val="21"/>
          <w:szCs w:val="21"/>
        </w:rPr>
      </w:pPr>
      <w:r w:rsidRPr="000F75D8">
        <w:rPr>
          <w:rFonts w:ascii="Abadi" w:hAnsi="Abadi" w:cs="*Arial-4850-Identity-H"/>
          <w:b/>
          <w:bCs/>
          <w:color w:val="141414"/>
          <w:sz w:val="21"/>
          <w:szCs w:val="21"/>
        </w:rPr>
        <w:t>III.</w:t>
      </w:r>
      <w:r w:rsidRPr="005767CC">
        <w:rPr>
          <w:rFonts w:ascii="Abadi" w:hAnsi="Abadi" w:cs="*Arial-4850-Identity-H"/>
          <w:color w:val="141414"/>
          <w:sz w:val="21"/>
          <w:szCs w:val="21"/>
        </w:rPr>
        <w:t xml:space="preserve"> Respetar y fortalecer ...</w:t>
      </w:r>
    </w:p>
    <w:p w14:paraId="1FACDDC9" w14:textId="77777777" w:rsidR="005767CC" w:rsidRPr="005767CC" w:rsidRDefault="005767CC" w:rsidP="00CC4A96">
      <w:pPr>
        <w:pStyle w:val="Prrafodelista"/>
        <w:autoSpaceDE w:val="0"/>
        <w:autoSpaceDN w:val="0"/>
        <w:adjustRightInd w:val="0"/>
        <w:ind w:left="0"/>
        <w:jc w:val="both"/>
        <w:rPr>
          <w:rFonts w:ascii="Abadi" w:hAnsi="Abadi" w:cs="*Arial-4850-Identity-H"/>
          <w:color w:val="141414"/>
          <w:sz w:val="21"/>
          <w:szCs w:val="21"/>
        </w:rPr>
      </w:pPr>
    </w:p>
    <w:p w14:paraId="45C51E58" w14:textId="77777777" w:rsidR="005767CC" w:rsidRPr="005767CC" w:rsidRDefault="005767CC" w:rsidP="00CC4A96">
      <w:pPr>
        <w:pStyle w:val="Prrafodelista"/>
        <w:autoSpaceDE w:val="0"/>
        <w:autoSpaceDN w:val="0"/>
        <w:adjustRightInd w:val="0"/>
        <w:ind w:left="0"/>
        <w:jc w:val="both"/>
        <w:rPr>
          <w:rFonts w:ascii="Abadi" w:hAnsi="Abadi" w:cs="*Arial-4850-Identity-H"/>
          <w:color w:val="141414"/>
          <w:sz w:val="21"/>
          <w:szCs w:val="21"/>
        </w:rPr>
      </w:pPr>
      <w:r w:rsidRPr="005767CC">
        <w:rPr>
          <w:rFonts w:ascii="Abadi" w:hAnsi="Abadi" w:cs="*Arial-Bold-4849-Identity-H"/>
          <w:b/>
          <w:bCs/>
          <w:color w:val="141414"/>
          <w:sz w:val="21"/>
          <w:szCs w:val="21"/>
        </w:rPr>
        <w:t xml:space="preserve">IV. </w:t>
      </w:r>
      <w:r w:rsidRPr="005767CC">
        <w:rPr>
          <w:rFonts w:ascii="Abadi" w:hAnsi="Abadi" w:cs="*Arial-4850-Identity-H"/>
          <w:color w:val="141414"/>
          <w:sz w:val="21"/>
          <w:szCs w:val="21"/>
        </w:rPr>
        <w:t>Contribuir al fortalecimiento ...</w:t>
      </w:r>
    </w:p>
    <w:p w14:paraId="3629E3E5" w14:textId="77777777" w:rsidR="005767CC" w:rsidRPr="005767CC" w:rsidRDefault="005767CC" w:rsidP="00CC4A96">
      <w:pPr>
        <w:pStyle w:val="Prrafodelista"/>
        <w:autoSpaceDE w:val="0"/>
        <w:autoSpaceDN w:val="0"/>
        <w:adjustRightInd w:val="0"/>
        <w:ind w:left="0"/>
        <w:jc w:val="both"/>
        <w:rPr>
          <w:rFonts w:ascii="Abadi" w:hAnsi="Abadi" w:cs="*Arial-4850-Identity-H"/>
          <w:color w:val="141414"/>
          <w:sz w:val="21"/>
          <w:szCs w:val="21"/>
        </w:rPr>
      </w:pPr>
    </w:p>
    <w:p w14:paraId="00189E70" w14:textId="77777777" w:rsidR="005767CC" w:rsidRPr="005767CC" w:rsidRDefault="005767CC" w:rsidP="00CC4A96">
      <w:pPr>
        <w:pStyle w:val="Prrafodelista"/>
        <w:autoSpaceDE w:val="0"/>
        <w:autoSpaceDN w:val="0"/>
        <w:adjustRightInd w:val="0"/>
        <w:ind w:left="0"/>
        <w:jc w:val="both"/>
        <w:rPr>
          <w:rFonts w:ascii="Abadi" w:hAnsi="Abadi" w:cs="*Arial-4850-Identity-H"/>
          <w:color w:val="151515"/>
          <w:sz w:val="21"/>
          <w:szCs w:val="21"/>
        </w:rPr>
      </w:pPr>
      <w:r w:rsidRPr="005767CC">
        <w:rPr>
          <w:rFonts w:ascii="Abadi" w:hAnsi="Abadi" w:cs="*Arial-Bold-4849-Identity-H"/>
          <w:b/>
          <w:bCs/>
          <w:color w:val="151515"/>
          <w:sz w:val="21"/>
          <w:szCs w:val="21"/>
        </w:rPr>
        <w:t xml:space="preserve">V. </w:t>
      </w:r>
      <w:r w:rsidRPr="005767CC">
        <w:rPr>
          <w:rFonts w:ascii="Abadi" w:hAnsi="Abadi" w:cs="*Arial-4850-Identity-H"/>
          <w:color w:val="151515"/>
          <w:sz w:val="21"/>
          <w:szCs w:val="21"/>
        </w:rPr>
        <w:t>Contribuir a la ...</w:t>
      </w:r>
    </w:p>
    <w:p w14:paraId="4B82E4C9" w14:textId="77777777" w:rsidR="005767CC" w:rsidRPr="005767CC" w:rsidRDefault="005767CC" w:rsidP="00CC4A96">
      <w:pPr>
        <w:pStyle w:val="Prrafodelista"/>
        <w:autoSpaceDE w:val="0"/>
        <w:autoSpaceDN w:val="0"/>
        <w:adjustRightInd w:val="0"/>
        <w:ind w:left="0"/>
        <w:jc w:val="both"/>
        <w:rPr>
          <w:rFonts w:ascii="Abadi" w:hAnsi="Abadi" w:cs="*Arial-4850-Identity-H"/>
          <w:color w:val="151515"/>
          <w:sz w:val="21"/>
          <w:szCs w:val="21"/>
        </w:rPr>
      </w:pPr>
    </w:p>
    <w:p w14:paraId="778FD267" w14:textId="77777777" w:rsidR="005767CC" w:rsidRPr="005767CC" w:rsidRDefault="005767CC" w:rsidP="00CC4A96">
      <w:pPr>
        <w:pStyle w:val="Prrafodelista"/>
        <w:autoSpaceDE w:val="0"/>
        <w:autoSpaceDN w:val="0"/>
        <w:adjustRightInd w:val="0"/>
        <w:ind w:left="0"/>
        <w:jc w:val="both"/>
        <w:rPr>
          <w:rFonts w:ascii="Abadi" w:hAnsi="Abadi" w:cs="*Arial-4850-Identity-H"/>
          <w:color w:val="151515"/>
          <w:sz w:val="21"/>
          <w:szCs w:val="21"/>
        </w:rPr>
      </w:pPr>
      <w:r w:rsidRPr="005767CC">
        <w:rPr>
          <w:rFonts w:ascii="Abadi" w:hAnsi="Abadi" w:cs="*Arial-Bold-4849-Identity-H"/>
          <w:b/>
          <w:bCs/>
          <w:color w:val="151515"/>
          <w:sz w:val="21"/>
          <w:szCs w:val="21"/>
        </w:rPr>
        <w:t xml:space="preserve">VI. </w:t>
      </w:r>
      <w:r w:rsidRPr="005767CC">
        <w:rPr>
          <w:rFonts w:ascii="Abadi" w:hAnsi="Abadi" w:cs="*Arial-4850-Identity-H"/>
          <w:color w:val="151515"/>
          <w:sz w:val="21"/>
          <w:szCs w:val="21"/>
        </w:rPr>
        <w:t>Promover la conservación ...</w:t>
      </w:r>
    </w:p>
    <w:p w14:paraId="6387A9A9" w14:textId="77777777" w:rsidR="005767CC" w:rsidRPr="00B95EAD" w:rsidRDefault="005767CC" w:rsidP="00CC4A96">
      <w:pPr>
        <w:autoSpaceDE w:val="0"/>
        <w:autoSpaceDN w:val="0"/>
        <w:adjustRightInd w:val="0"/>
        <w:jc w:val="both"/>
        <w:rPr>
          <w:rFonts w:ascii="Abadi" w:hAnsi="Abadi" w:cs="*Arial-4850-Identity-H"/>
          <w:color w:val="151515"/>
          <w:sz w:val="21"/>
          <w:szCs w:val="21"/>
        </w:rPr>
      </w:pPr>
    </w:p>
    <w:p w14:paraId="66849621" w14:textId="77777777" w:rsidR="005767CC" w:rsidRPr="005767CC" w:rsidRDefault="005767CC" w:rsidP="00CC4A96">
      <w:pPr>
        <w:pStyle w:val="Prrafodelista"/>
        <w:autoSpaceDE w:val="0"/>
        <w:autoSpaceDN w:val="0"/>
        <w:adjustRightInd w:val="0"/>
        <w:ind w:left="0"/>
        <w:jc w:val="both"/>
        <w:rPr>
          <w:rFonts w:ascii="Abadi" w:hAnsi="Abadi" w:cs="*Arial-4850-Identity-H"/>
          <w:color w:val="141414"/>
          <w:sz w:val="21"/>
          <w:szCs w:val="21"/>
        </w:rPr>
      </w:pPr>
      <w:r w:rsidRPr="005767CC">
        <w:rPr>
          <w:rFonts w:ascii="Abadi" w:hAnsi="Abadi" w:cs="*Arial-Bold-4849-Identity-H"/>
          <w:b/>
          <w:bCs/>
          <w:color w:val="141414"/>
          <w:sz w:val="21"/>
          <w:szCs w:val="21"/>
        </w:rPr>
        <w:t xml:space="preserve">VII. </w:t>
      </w:r>
      <w:r w:rsidRPr="005767CC">
        <w:rPr>
          <w:rFonts w:ascii="Abadi" w:hAnsi="Abadi" w:cs="*Arial-4850-Identity-H"/>
          <w:color w:val="141414"/>
          <w:sz w:val="21"/>
          <w:szCs w:val="21"/>
        </w:rPr>
        <w:t>Establecer condiciones que ...</w:t>
      </w:r>
    </w:p>
    <w:p w14:paraId="078052BF" w14:textId="77777777" w:rsidR="005767CC" w:rsidRPr="005767CC" w:rsidRDefault="005767CC" w:rsidP="00CC4A96">
      <w:pPr>
        <w:pStyle w:val="Prrafodelista"/>
        <w:autoSpaceDE w:val="0"/>
        <w:autoSpaceDN w:val="0"/>
        <w:adjustRightInd w:val="0"/>
        <w:ind w:left="0"/>
        <w:jc w:val="both"/>
        <w:rPr>
          <w:rFonts w:ascii="Abadi" w:hAnsi="Abadi" w:cs="*Arial-4850-Identity-H"/>
          <w:color w:val="141414"/>
          <w:sz w:val="21"/>
          <w:szCs w:val="21"/>
        </w:rPr>
      </w:pPr>
    </w:p>
    <w:p w14:paraId="60F32C4C" w14:textId="0168012D" w:rsidR="005767CC" w:rsidRPr="005767CC" w:rsidRDefault="005767CC" w:rsidP="00CC4A96">
      <w:pPr>
        <w:pStyle w:val="Prrafodelista"/>
        <w:autoSpaceDE w:val="0"/>
        <w:autoSpaceDN w:val="0"/>
        <w:adjustRightInd w:val="0"/>
        <w:ind w:left="0"/>
        <w:jc w:val="both"/>
        <w:rPr>
          <w:rFonts w:ascii="Abadi" w:hAnsi="Abadi" w:cs="*Arial-4850-Identity-H"/>
          <w:color w:val="141414"/>
          <w:sz w:val="21"/>
          <w:szCs w:val="21"/>
        </w:rPr>
      </w:pPr>
      <w:r w:rsidRPr="005767CC">
        <w:rPr>
          <w:rFonts w:ascii="Abadi" w:hAnsi="Abadi" w:cs="*Arial-Bold-4849-Identity-H"/>
          <w:b/>
          <w:bCs/>
          <w:color w:val="141414"/>
          <w:sz w:val="21"/>
          <w:szCs w:val="21"/>
        </w:rPr>
        <w:t xml:space="preserve">VIII. </w:t>
      </w:r>
      <w:r w:rsidRPr="005767CC">
        <w:rPr>
          <w:rFonts w:ascii="Abadi" w:hAnsi="Abadi" w:cs="*Arial-4850-Identity-H"/>
          <w:color w:val="141414"/>
          <w:sz w:val="21"/>
          <w:szCs w:val="21"/>
        </w:rPr>
        <w:t>Promover la seguridad semillera</w:t>
      </w:r>
      <w:r w:rsidR="00B95EAD">
        <w:rPr>
          <w:rFonts w:ascii="Abadi" w:hAnsi="Abadi" w:cs="*Arial-4850-Identity-H"/>
          <w:color w:val="141414"/>
          <w:sz w:val="21"/>
          <w:szCs w:val="21"/>
        </w:rPr>
        <w:t xml:space="preserve"> </w:t>
      </w:r>
      <w:r w:rsidRPr="005767CC">
        <w:rPr>
          <w:rFonts w:ascii="Abadi" w:hAnsi="Abadi" w:cs="*Arial-4850-Identity-H"/>
          <w:color w:val="141414"/>
          <w:sz w:val="21"/>
          <w:szCs w:val="21"/>
        </w:rPr>
        <w:t>para la agricultura familiar mediante sistemas</w:t>
      </w:r>
    </w:p>
    <w:p w14:paraId="6BF74150" w14:textId="77777777" w:rsidR="005767CC" w:rsidRPr="005767CC" w:rsidRDefault="005767CC" w:rsidP="00CC4A96">
      <w:pPr>
        <w:pStyle w:val="Prrafodelista"/>
        <w:autoSpaceDE w:val="0"/>
        <w:autoSpaceDN w:val="0"/>
        <w:adjustRightInd w:val="0"/>
        <w:ind w:left="0"/>
        <w:jc w:val="both"/>
        <w:rPr>
          <w:rFonts w:ascii="Abadi" w:hAnsi="Abadi" w:cs="*Arial-Bold-4849-Identity-H"/>
          <w:b/>
          <w:bCs/>
          <w:color w:val="141414"/>
          <w:sz w:val="21"/>
          <w:szCs w:val="21"/>
        </w:rPr>
      </w:pPr>
      <w:r w:rsidRPr="005767CC">
        <w:rPr>
          <w:rFonts w:ascii="Abadi" w:hAnsi="Abadi" w:cs="*Arial-4850-Identity-H"/>
          <w:color w:val="141414"/>
          <w:sz w:val="21"/>
          <w:szCs w:val="21"/>
        </w:rPr>
        <w:t xml:space="preserve">sostenibles de semilla de calidad; </w:t>
      </w:r>
      <w:r w:rsidRPr="005767CC">
        <w:rPr>
          <w:rFonts w:ascii="Abadi" w:hAnsi="Abadi" w:cs="*Arial-Bold-4849-Identity-H"/>
          <w:b/>
          <w:bCs/>
          <w:color w:val="141414"/>
          <w:sz w:val="21"/>
          <w:szCs w:val="21"/>
        </w:rPr>
        <w:t>y</w:t>
      </w:r>
    </w:p>
    <w:p w14:paraId="079194E0" w14:textId="77777777" w:rsidR="005767CC" w:rsidRPr="005767CC" w:rsidRDefault="005767CC" w:rsidP="00CC4A96">
      <w:pPr>
        <w:pStyle w:val="Prrafodelista"/>
        <w:autoSpaceDE w:val="0"/>
        <w:autoSpaceDN w:val="0"/>
        <w:adjustRightInd w:val="0"/>
        <w:ind w:left="0"/>
        <w:jc w:val="both"/>
        <w:rPr>
          <w:rFonts w:ascii="Abadi" w:hAnsi="Abadi" w:cs="*Arial-Bold-4849-Identity-H"/>
          <w:b/>
          <w:bCs/>
          <w:color w:val="141414"/>
          <w:sz w:val="21"/>
          <w:szCs w:val="21"/>
        </w:rPr>
      </w:pPr>
    </w:p>
    <w:p w14:paraId="53DA1997" w14:textId="350C7F89" w:rsidR="005767CC" w:rsidRPr="004D3D85" w:rsidRDefault="005767CC" w:rsidP="00CC4A96">
      <w:pPr>
        <w:pStyle w:val="Prrafodelista"/>
        <w:autoSpaceDE w:val="0"/>
        <w:autoSpaceDN w:val="0"/>
        <w:adjustRightInd w:val="0"/>
        <w:ind w:left="0"/>
        <w:jc w:val="both"/>
        <w:rPr>
          <w:rFonts w:ascii="Abadi" w:hAnsi="Abadi" w:cs="*Arial-Bold-4849-Identity-H"/>
          <w:b/>
          <w:bCs/>
          <w:color w:val="131313"/>
          <w:sz w:val="21"/>
          <w:szCs w:val="21"/>
        </w:rPr>
      </w:pPr>
      <w:r w:rsidRPr="005767CC">
        <w:rPr>
          <w:rFonts w:ascii="Abadi" w:hAnsi="Abadi" w:cs="*Arial-Bold-4849-Identity-H"/>
          <w:b/>
          <w:bCs/>
          <w:color w:val="131313"/>
          <w:sz w:val="21"/>
          <w:szCs w:val="21"/>
        </w:rPr>
        <w:t>IX. Establecer condiciones que permitan mejorar la calidad de vida de las</w:t>
      </w:r>
      <w:r w:rsidR="00CC4A96">
        <w:rPr>
          <w:rFonts w:ascii="Abadi" w:hAnsi="Abadi" w:cs="*Arial-Bold-4849-Identity-H"/>
          <w:b/>
          <w:bCs/>
          <w:color w:val="131313"/>
          <w:sz w:val="21"/>
          <w:szCs w:val="21"/>
        </w:rPr>
        <w:t xml:space="preserve"> </w:t>
      </w:r>
      <w:r w:rsidRPr="005767CC">
        <w:rPr>
          <w:rFonts w:ascii="Abadi" w:hAnsi="Abadi" w:cs="*Arial-Bold-4849-Identity-H"/>
          <w:b/>
          <w:bCs/>
          <w:color w:val="131313"/>
          <w:sz w:val="21"/>
          <w:szCs w:val="21"/>
        </w:rPr>
        <w:t>mujeres rurales, priorizando las de bajos recursos y consagrar medidas</w:t>
      </w:r>
      <w:r w:rsidR="00CC4A96">
        <w:rPr>
          <w:rFonts w:ascii="Abadi" w:hAnsi="Abadi" w:cs="*Arial-Bold-4849-Identity-H"/>
          <w:b/>
          <w:bCs/>
          <w:color w:val="131313"/>
          <w:sz w:val="21"/>
          <w:szCs w:val="21"/>
        </w:rPr>
        <w:t xml:space="preserve"> </w:t>
      </w:r>
      <w:r w:rsidRPr="005767CC">
        <w:rPr>
          <w:rFonts w:ascii="Abadi" w:hAnsi="Abadi" w:cs="*Arial-Bold-4849-Identity-H"/>
          <w:b/>
          <w:bCs/>
          <w:color w:val="131313"/>
          <w:sz w:val="21"/>
          <w:szCs w:val="21"/>
        </w:rPr>
        <w:t>específicas encaminadas a acelerar la equidad entre el hombre y la mujer</w:t>
      </w:r>
      <w:r w:rsidR="004D3D85">
        <w:rPr>
          <w:rFonts w:ascii="Abadi" w:hAnsi="Abadi" w:cs="*Arial-Bold-4849-Identity-H"/>
          <w:b/>
          <w:bCs/>
          <w:color w:val="131313"/>
          <w:sz w:val="21"/>
          <w:szCs w:val="21"/>
        </w:rPr>
        <w:t xml:space="preserve"> </w:t>
      </w:r>
      <w:r w:rsidRPr="004D3D85">
        <w:rPr>
          <w:rFonts w:ascii="Abadi" w:hAnsi="Abadi" w:cs="*Arial-Bold-4849-Identity-H"/>
          <w:b/>
          <w:bCs/>
          <w:color w:val="131313"/>
          <w:sz w:val="21"/>
          <w:szCs w:val="21"/>
        </w:rPr>
        <w:t>rural.</w:t>
      </w:r>
    </w:p>
    <w:p w14:paraId="71148FD7" w14:textId="77777777" w:rsidR="005767CC" w:rsidRPr="005767CC" w:rsidRDefault="005767CC" w:rsidP="00CC4A96">
      <w:pPr>
        <w:pStyle w:val="Prrafodelista"/>
        <w:autoSpaceDE w:val="0"/>
        <w:autoSpaceDN w:val="0"/>
        <w:adjustRightInd w:val="0"/>
        <w:ind w:left="0"/>
        <w:jc w:val="both"/>
        <w:rPr>
          <w:rFonts w:ascii="Abadi" w:hAnsi="Abadi" w:cs="*Arial-Bold-4849-Identity-H"/>
          <w:b/>
          <w:bCs/>
          <w:color w:val="131313"/>
          <w:sz w:val="21"/>
          <w:szCs w:val="21"/>
        </w:rPr>
      </w:pPr>
    </w:p>
    <w:p w14:paraId="3CDF3114" w14:textId="77777777" w:rsidR="005767CC" w:rsidRPr="005767CC" w:rsidRDefault="005767CC" w:rsidP="00CC4A96">
      <w:pPr>
        <w:pStyle w:val="Prrafodelista"/>
        <w:autoSpaceDE w:val="0"/>
        <w:autoSpaceDN w:val="0"/>
        <w:adjustRightInd w:val="0"/>
        <w:ind w:left="0"/>
        <w:jc w:val="center"/>
        <w:rPr>
          <w:rFonts w:ascii="Abadi" w:hAnsi="Abadi" w:cs="*Arial-Bold-4849-Identity-H"/>
          <w:b/>
          <w:bCs/>
          <w:color w:val="131313"/>
          <w:sz w:val="21"/>
          <w:szCs w:val="21"/>
        </w:rPr>
      </w:pPr>
      <w:r w:rsidRPr="005767CC">
        <w:rPr>
          <w:rFonts w:ascii="Abadi" w:hAnsi="Abadi" w:cs="*Arial-Bold-4849-Identity-H"/>
          <w:b/>
          <w:bCs/>
          <w:color w:val="131313"/>
          <w:sz w:val="21"/>
          <w:szCs w:val="21"/>
        </w:rPr>
        <w:t>Capítulo III</w:t>
      </w:r>
    </w:p>
    <w:p w14:paraId="596A9D69" w14:textId="77777777" w:rsidR="005767CC" w:rsidRPr="005767CC" w:rsidRDefault="005767CC" w:rsidP="00CC4A96">
      <w:pPr>
        <w:pStyle w:val="Prrafodelista"/>
        <w:autoSpaceDE w:val="0"/>
        <w:autoSpaceDN w:val="0"/>
        <w:adjustRightInd w:val="0"/>
        <w:ind w:left="0"/>
        <w:jc w:val="center"/>
        <w:rPr>
          <w:rFonts w:ascii="Abadi" w:hAnsi="Abadi" w:cs="*Arial-Bold-4849-Identity-H"/>
          <w:b/>
          <w:bCs/>
          <w:color w:val="131313"/>
          <w:sz w:val="21"/>
          <w:szCs w:val="21"/>
        </w:rPr>
      </w:pPr>
      <w:r w:rsidRPr="005767CC">
        <w:rPr>
          <w:rFonts w:ascii="Abadi" w:hAnsi="Abadi" w:cs="*Arial-Bold-4849-Identity-H"/>
          <w:b/>
          <w:bCs/>
          <w:color w:val="131313"/>
          <w:sz w:val="21"/>
          <w:szCs w:val="21"/>
        </w:rPr>
        <w:t>Mujer Rural</w:t>
      </w:r>
    </w:p>
    <w:p w14:paraId="6A25BA7B" w14:textId="77777777" w:rsidR="005767CC" w:rsidRPr="005767CC" w:rsidRDefault="005767CC" w:rsidP="00CC4A96">
      <w:pPr>
        <w:pStyle w:val="Prrafodelista"/>
        <w:autoSpaceDE w:val="0"/>
        <w:autoSpaceDN w:val="0"/>
        <w:adjustRightInd w:val="0"/>
        <w:ind w:left="0"/>
        <w:jc w:val="both"/>
        <w:rPr>
          <w:rFonts w:ascii="Abadi" w:hAnsi="Abadi" w:cs="*Arial-Bold-4849-Identity-H"/>
          <w:b/>
          <w:bCs/>
          <w:color w:val="131313"/>
          <w:sz w:val="21"/>
          <w:szCs w:val="21"/>
        </w:rPr>
      </w:pPr>
    </w:p>
    <w:p w14:paraId="446FEBC2" w14:textId="3B858D00" w:rsidR="005767CC" w:rsidRPr="005767CC" w:rsidRDefault="005767CC" w:rsidP="00CC4A96">
      <w:pPr>
        <w:pStyle w:val="Prrafodelista"/>
        <w:autoSpaceDE w:val="0"/>
        <w:autoSpaceDN w:val="0"/>
        <w:adjustRightInd w:val="0"/>
        <w:ind w:left="0"/>
        <w:jc w:val="both"/>
        <w:rPr>
          <w:rFonts w:ascii="Abadi" w:hAnsi="Abadi" w:cs="*Arial-Bold-6241-Identity-H"/>
          <w:b/>
          <w:bCs/>
          <w:color w:val="131313"/>
          <w:sz w:val="21"/>
          <w:szCs w:val="21"/>
        </w:rPr>
      </w:pPr>
      <w:r w:rsidRPr="005767CC">
        <w:rPr>
          <w:rFonts w:ascii="Abadi" w:hAnsi="Abadi" w:cs="*Arial-Bold-4849-Identity-H"/>
          <w:b/>
          <w:bCs/>
          <w:color w:val="131313"/>
          <w:sz w:val="21"/>
          <w:szCs w:val="21"/>
        </w:rPr>
        <w:t xml:space="preserve">Artículo 6 Bis. Mujer Rural es toda aquella que, sin distingo de ninguna naturaleza, e independientemente del lugar donde viva, su medio de vida está relacionado directamente con el ámbito rural, incluso si su actividad </w:t>
      </w:r>
      <w:r w:rsidRPr="005767CC">
        <w:rPr>
          <w:rFonts w:ascii="Abadi" w:hAnsi="Abadi" w:cs="*Arial-Bold-6241-Identity-H"/>
          <w:b/>
          <w:bCs/>
          <w:color w:val="131313"/>
          <w:sz w:val="21"/>
          <w:szCs w:val="21"/>
        </w:rPr>
        <w:t>productiva no se encuentra reconocida por los sistemas de información y medición o no es remunerada.</w:t>
      </w:r>
    </w:p>
    <w:p w14:paraId="14B43A9C" w14:textId="77777777" w:rsidR="005767CC" w:rsidRPr="005767CC" w:rsidRDefault="005767CC" w:rsidP="00CC4A96">
      <w:pPr>
        <w:pStyle w:val="Prrafodelista"/>
        <w:autoSpaceDE w:val="0"/>
        <w:autoSpaceDN w:val="0"/>
        <w:adjustRightInd w:val="0"/>
        <w:ind w:left="0"/>
        <w:jc w:val="both"/>
        <w:rPr>
          <w:rFonts w:ascii="Abadi" w:hAnsi="Abadi" w:cs="*Arial-Bold-6241-Identity-H"/>
          <w:b/>
          <w:bCs/>
          <w:color w:val="131313"/>
          <w:sz w:val="21"/>
          <w:szCs w:val="21"/>
        </w:rPr>
      </w:pPr>
    </w:p>
    <w:p w14:paraId="613930F0" w14:textId="77777777" w:rsidR="005767CC" w:rsidRPr="005767CC" w:rsidRDefault="005767CC" w:rsidP="00CC4A96">
      <w:pPr>
        <w:pStyle w:val="Prrafodelista"/>
        <w:autoSpaceDE w:val="0"/>
        <w:autoSpaceDN w:val="0"/>
        <w:adjustRightInd w:val="0"/>
        <w:ind w:left="0"/>
        <w:jc w:val="both"/>
        <w:rPr>
          <w:rFonts w:ascii="Abadi" w:hAnsi="Abadi" w:cs="*Arial-Bold-6241-Identity-H"/>
          <w:b/>
          <w:bCs/>
          <w:color w:val="131313"/>
          <w:sz w:val="21"/>
          <w:szCs w:val="21"/>
        </w:rPr>
      </w:pPr>
      <w:r w:rsidRPr="005767CC">
        <w:rPr>
          <w:rFonts w:ascii="Abadi" w:hAnsi="Abadi" w:cs="*Arial-Bold-6241-Identity-H"/>
          <w:b/>
          <w:bCs/>
          <w:color w:val="131313"/>
          <w:sz w:val="21"/>
          <w:szCs w:val="21"/>
        </w:rPr>
        <w:lastRenderedPageBreak/>
        <w:t>Artículo 6 Ter. Los fondos, planes, programas y proyectos del Estado incluirán las disposiciones que garanticen a las mujeres rurales el derecho al empleo digno, oportunidades de acceso, contratación, promoción y capacitación, así como acceso de la mujer rural a los servicios de salud, educación y vivienda.</w:t>
      </w:r>
    </w:p>
    <w:p w14:paraId="6A173EDA" w14:textId="77777777" w:rsidR="005767CC" w:rsidRPr="005767CC" w:rsidRDefault="005767CC" w:rsidP="00CC4A96">
      <w:pPr>
        <w:pStyle w:val="Prrafodelista"/>
        <w:autoSpaceDE w:val="0"/>
        <w:autoSpaceDN w:val="0"/>
        <w:adjustRightInd w:val="0"/>
        <w:ind w:left="0"/>
        <w:jc w:val="both"/>
        <w:rPr>
          <w:rFonts w:ascii="Abadi" w:hAnsi="Abadi" w:cs="*Arial-Bold-6241-Identity-H"/>
          <w:b/>
          <w:bCs/>
          <w:color w:val="131313"/>
          <w:sz w:val="21"/>
          <w:szCs w:val="21"/>
        </w:rPr>
      </w:pPr>
    </w:p>
    <w:p w14:paraId="18D31EF8" w14:textId="77777777" w:rsidR="005767CC" w:rsidRPr="005767CC" w:rsidRDefault="005767CC" w:rsidP="00CC4A96">
      <w:pPr>
        <w:pStyle w:val="Prrafodelista"/>
        <w:autoSpaceDE w:val="0"/>
        <w:autoSpaceDN w:val="0"/>
        <w:adjustRightInd w:val="0"/>
        <w:ind w:left="0"/>
        <w:jc w:val="both"/>
        <w:rPr>
          <w:rFonts w:ascii="Abadi" w:hAnsi="Abadi" w:cs="*Arial-Bold-6241-Identity-H"/>
          <w:b/>
          <w:bCs/>
          <w:color w:val="131313"/>
          <w:sz w:val="21"/>
          <w:szCs w:val="21"/>
        </w:rPr>
      </w:pPr>
      <w:r w:rsidRPr="005767CC">
        <w:rPr>
          <w:rFonts w:ascii="Abadi" w:hAnsi="Abadi" w:cs="*Arial-Bold-6241-Identity-H"/>
          <w:b/>
          <w:bCs/>
          <w:color w:val="131313"/>
          <w:sz w:val="21"/>
          <w:szCs w:val="21"/>
        </w:rPr>
        <w:t>Artículo 6 Quáter. Los programas de innovación tecnológica agropecuaria, empresarial e industrial, se integrarán incluyendo las necesidades de las mujeres rurales.</w:t>
      </w:r>
    </w:p>
    <w:p w14:paraId="7657C78A" w14:textId="77777777" w:rsidR="005767CC" w:rsidRPr="005767CC" w:rsidRDefault="005767CC" w:rsidP="00CC4A96">
      <w:pPr>
        <w:pStyle w:val="Prrafodelista"/>
        <w:autoSpaceDE w:val="0"/>
        <w:autoSpaceDN w:val="0"/>
        <w:adjustRightInd w:val="0"/>
        <w:ind w:left="0"/>
        <w:jc w:val="both"/>
        <w:rPr>
          <w:rFonts w:ascii="Abadi" w:hAnsi="Abadi" w:cs="*Arial-Bold-6241-Identity-H"/>
          <w:b/>
          <w:bCs/>
          <w:color w:val="131313"/>
          <w:sz w:val="21"/>
          <w:szCs w:val="21"/>
        </w:rPr>
      </w:pPr>
    </w:p>
    <w:p w14:paraId="208EE2DC" w14:textId="77777777" w:rsidR="005767CC" w:rsidRPr="005767CC" w:rsidRDefault="005767CC" w:rsidP="00CC4A96">
      <w:pPr>
        <w:pStyle w:val="Prrafodelista"/>
        <w:autoSpaceDE w:val="0"/>
        <w:autoSpaceDN w:val="0"/>
        <w:adjustRightInd w:val="0"/>
        <w:ind w:left="0"/>
        <w:jc w:val="both"/>
        <w:rPr>
          <w:rFonts w:ascii="Abadi" w:hAnsi="Abadi" w:cs="*Arial-Bold-6241-Identity-H"/>
          <w:b/>
          <w:bCs/>
          <w:color w:val="131313"/>
          <w:sz w:val="21"/>
          <w:szCs w:val="21"/>
        </w:rPr>
      </w:pPr>
      <w:r w:rsidRPr="005767CC">
        <w:rPr>
          <w:rFonts w:ascii="Abadi" w:hAnsi="Abadi" w:cs="*Arial-Bold-6241-Identity-H"/>
          <w:b/>
          <w:bCs/>
          <w:color w:val="131313"/>
          <w:sz w:val="21"/>
          <w:szCs w:val="21"/>
        </w:rPr>
        <w:t>Artículo 6 Quinquies. Todos los fondos, planes, programas, y proyectos que favorecen la actividad rural en el Estado deberán ajustar sus procedimientos y requisitos en aras de eliminar cualquier obstáculo que impida el acceso de las mujeres rurales a ellos.</w:t>
      </w:r>
    </w:p>
    <w:p w14:paraId="24A1D0CA" w14:textId="77777777" w:rsidR="005767CC" w:rsidRPr="005767CC" w:rsidRDefault="005767CC" w:rsidP="00CC4A96">
      <w:pPr>
        <w:pStyle w:val="Prrafodelista"/>
        <w:autoSpaceDE w:val="0"/>
        <w:autoSpaceDN w:val="0"/>
        <w:adjustRightInd w:val="0"/>
        <w:ind w:left="0"/>
        <w:jc w:val="both"/>
        <w:rPr>
          <w:rFonts w:ascii="Abadi" w:hAnsi="Abadi" w:cs="*Arial-Bold-6241-Identity-H"/>
          <w:b/>
          <w:bCs/>
          <w:color w:val="131313"/>
          <w:sz w:val="21"/>
          <w:szCs w:val="21"/>
        </w:rPr>
      </w:pPr>
    </w:p>
    <w:p w14:paraId="6ED39811" w14:textId="77777777" w:rsidR="005767CC" w:rsidRPr="005767CC" w:rsidRDefault="005767CC" w:rsidP="00CC4A96">
      <w:pPr>
        <w:pStyle w:val="Prrafodelista"/>
        <w:autoSpaceDE w:val="0"/>
        <w:autoSpaceDN w:val="0"/>
        <w:adjustRightInd w:val="0"/>
        <w:ind w:left="0"/>
        <w:jc w:val="both"/>
        <w:rPr>
          <w:rFonts w:ascii="Abadi" w:hAnsi="Abadi" w:cs="*Arial-Bold-6241-Identity-H"/>
          <w:b/>
          <w:bCs/>
          <w:color w:val="131313"/>
          <w:sz w:val="21"/>
          <w:szCs w:val="21"/>
        </w:rPr>
      </w:pPr>
      <w:r w:rsidRPr="005767CC">
        <w:rPr>
          <w:rFonts w:ascii="Abadi" w:hAnsi="Abadi" w:cs="*Arial-Bold-6241-Identity-H"/>
          <w:b/>
          <w:bCs/>
          <w:color w:val="131313"/>
          <w:sz w:val="21"/>
          <w:szCs w:val="21"/>
        </w:rPr>
        <w:t>Artículo 6 Sexies. El Estado deberá implementar acciones afirmativas a favor de las mujeres rurales para alcanzar la igualdad sustantiva con los hombres; el respeto de su dignidad humana y no discriminación; su libertad, autonomía y empoderamiento; así como el acceso a una vida libre de todo tipo de violencia en cualquiera de sus modalidades.</w:t>
      </w:r>
    </w:p>
    <w:p w14:paraId="467DB757" w14:textId="77777777" w:rsidR="005767CC" w:rsidRPr="005767CC" w:rsidRDefault="005767CC" w:rsidP="00CC4A96">
      <w:pPr>
        <w:pStyle w:val="Prrafodelista"/>
        <w:autoSpaceDE w:val="0"/>
        <w:autoSpaceDN w:val="0"/>
        <w:adjustRightInd w:val="0"/>
        <w:ind w:left="0"/>
        <w:jc w:val="both"/>
        <w:rPr>
          <w:rFonts w:ascii="Abadi" w:hAnsi="Abadi" w:cs="*Arial-Bold-6241-Identity-H"/>
          <w:b/>
          <w:bCs/>
          <w:color w:val="131313"/>
          <w:sz w:val="21"/>
          <w:szCs w:val="21"/>
        </w:rPr>
      </w:pPr>
    </w:p>
    <w:p w14:paraId="5FEF657C" w14:textId="77777777" w:rsidR="005767CC" w:rsidRPr="005767CC" w:rsidRDefault="005767CC" w:rsidP="00CC4A96">
      <w:pPr>
        <w:pStyle w:val="Prrafodelista"/>
        <w:autoSpaceDE w:val="0"/>
        <w:autoSpaceDN w:val="0"/>
        <w:adjustRightInd w:val="0"/>
        <w:ind w:left="0"/>
        <w:jc w:val="center"/>
        <w:rPr>
          <w:rFonts w:ascii="Abadi" w:hAnsi="Abadi" w:cs="*Arial-Bold-6241-Identity-H"/>
          <w:b/>
          <w:bCs/>
          <w:color w:val="121212"/>
          <w:sz w:val="21"/>
          <w:szCs w:val="21"/>
        </w:rPr>
      </w:pPr>
      <w:r w:rsidRPr="005767CC">
        <w:rPr>
          <w:rFonts w:ascii="Abadi" w:hAnsi="Abadi" w:cs="*Arial-Bold-6241-Identity-H"/>
          <w:b/>
          <w:bCs/>
          <w:color w:val="121212"/>
          <w:sz w:val="21"/>
          <w:szCs w:val="21"/>
        </w:rPr>
        <w:t>Capítulo IV</w:t>
      </w:r>
    </w:p>
    <w:p w14:paraId="7E1540ED" w14:textId="77777777" w:rsidR="005767CC" w:rsidRPr="005767CC" w:rsidRDefault="005767CC" w:rsidP="00CC4A96">
      <w:pPr>
        <w:pStyle w:val="Prrafodelista"/>
        <w:autoSpaceDE w:val="0"/>
        <w:autoSpaceDN w:val="0"/>
        <w:adjustRightInd w:val="0"/>
        <w:ind w:left="0"/>
        <w:jc w:val="center"/>
        <w:rPr>
          <w:rFonts w:ascii="Abadi" w:hAnsi="Abadi" w:cs="*Arial-Bold-6241-Identity-H"/>
          <w:b/>
          <w:bCs/>
          <w:color w:val="121212"/>
          <w:sz w:val="21"/>
          <w:szCs w:val="21"/>
        </w:rPr>
      </w:pPr>
      <w:r w:rsidRPr="005767CC">
        <w:rPr>
          <w:rFonts w:ascii="Abadi" w:hAnsi="Abadi" w:cs="*Arial-Bold-6241-Identity-H"/>
          <w:b/>
          <w:bCs/>
          <w:color w:val="121212"/>
          <w:sz w:val="21"/>
          <w:szCs w:val="21"/>
        </w:rPr>
        <w:t>Atribuciones de las Autoridades</w:t>
      </w:r>
    </w:p>
    <w:p w14:paraId="1068C01B" w14:textId="77777777" w:rsidR="005767CC" w:rsidRPr="005767CC" w:rsidRDefault="005767CC" w:rsidP="00CC4A96">
      <w:pPr>
        <w:pStyle w:val="Prrafodelista"/>
        <w:autoSpaceDE w:val="0"/>
        <w:autoSpaceDN w:val="0"/>
        <w:adjustRightInd w:val="0"/>
        <w:ind w:left="0"/>
        <w:jc w:val="both"/>
        <w:rPr>
          <w:rFonts w:ascii="Abadi" w:hAnsi="Abadi" w:cs="*Arial-Bold-6241-Identity-H"/>
          <w:b/>
          <w:bCs/>
          <w:color w:val="121212"/>
          <w:sz w:val="21"/>
          <w:szCs w:val="21"/>
        </w:rPr>
      </w:pPr>
    </w:p>
    <w:p w14:paraId="1D9E96F7" w14:textId="77777777" w:rsidR="005767CC" w:rsidRPr="005767CC" w:rsidRDefault="005767CC" w:rsidP="00CC4A96">
      <w:pPr>
        <w:pStyle w:val="Prrafodelista"/>
        <w:autoSpaceDE w:val="0"/>
        <w:autoSpaceDN w:val="0"/>
        <w:adjustRightInd w:val="0"/>
        <w:ind w:left="0"/>
        <w:jc w:val="both"/>
        <w:rPr>
          <w:rFonts w:ascii="Abadi" w:hAnsi="Abadi" w:cs="*Arial-Bold-6241-Identity-H"/>
          <w:color w:val="151515"/>
          <w:sz w:val="21"/>
          <w:szCs w:val="21"/>
        </w:rPr>
      </w:pPr>
      <w:r w:rsidRPr="005767CC">
        <w:rPr>
          <w:rFonts w:ascii="Abadi" w:hAnsi="Abadi" w:cs="*Arial-Bold-6241-Identity-H"/>
          <w:b/>
          <w:bCs/>
          <w:color w:val="151515"/>
          <w:sz w:val="21"/>
          <w:szCs w:val="21"/>
        </w:rPr>
        <w:t xml:space="preserve">Artículo 7. </w:t>
      </w:r>
      <w:r w:rsidRPr="005767CC">
        <w:rPr>
          <w:rFonts w:ascii="Abadi" w:hAnsi="Abadi" w:cs="*Arial-Bold-6241-Identity-H"/>
          <w:color w:val="151515"/>
          <w:sz w:val="21"/>
          <w:szCs w:val="21"/>
        </w:rPr>
        <w:t>Corresponde al Poder Ejecutivo del Estado:</w:t>
      </w:r>
    </w:p>
    <w:p w14:paraId="68123C53" w14:textId="77777777" w:rsidR="005767CC" w:rsidRPr="005767CC" w:rsidRDefault="005767CC" w:rsidP="00CC4A96">
      <w:pPr>
        <w:pStyle w:val="Prrafodelista"/>
        <w:autoSpaceDE w:val="0"/>
        <w:autoSpaceDN w:val="0"/>
        <w:adjustRightInd w:val="0"/>
        <w:ind w:left="0"/>
        <w:jc w:val="both"/>
        <w:rPr>
          <w:rFonts w:ascii="Abadi" w:hAnsi="Abadi" w:cs="*Calibri-6239-Identity-H"/>
          <w:color w:val="202020"/>
          <w:sz w:val="21"/>
          <w:szCs w:val="21"/>
        </w:rPr>
      </w:pPr>
    </w:p>
    <w:p w14:paraId="1EA117A4" w14:textId="77777777" w:rsidR="005767CC" w:rsidRPr="005767CC" w:rsidRDefault="005767CC" w:rsidP="00CC4A96">
      <w:pPr>
        <w:pStyle w:val="Prrafodelista"/>
        <w:autoSpaceDE w:val="0"/>
        <w:autoSpaceDN w:val="0"/>
        <w:adjustRightInd w:val="0"/>
        <w:ind w:left="0"/>
        <w:jc w:val="both"/>
        <w:rPr>
          <w:rFonts w:ascii="Abadi" w:hAnsi="Abadi" w:cs="*Arial-4801-Identity-H"/>
          <w:color w:val="141414"/>
          <w:sz w:val="21"/>
          <w:szCs w:val="21"/>
        </w:rPr>
      </w:pPr>
      <w:r w:rsidRPr="005767CC">
        <w:rPr>
          <w:rFonts w:ascii="Abadi" w:hAnsi="Abadi" w:cs="*Arial-Bold-4802-Identity-H"/>
          <w:b/>
          <w:bCs/>
          <w:color w:val="141414"/>
          <w:sz w:val="21"/>
          <w:szCs w:val="21"/>
        </w:rPr>
        <w:t xml:space="preserve">l. </w:t>
      </w:r>
      <w:r w:rsidRPr="005767CC">
        <w:rPr>
          <w:rFonts w:ascii="Abadi" w:hAnsi="Abadi" w:cs="*Arial-4801-Identity-H"/>
          <w:color w:val="141414"/>
          <w:sz w:val="21"/>
          <w:szCs w:val="21"/>
        </w:rPr>
        <w:t>Respetar, proteger y ...</w:t>
      </w:r>
    </w:p>
    <w:p w14:paraId="2514C01A" w14:textId="77777777" w:rsidR="005767CC" w:rsidRPr="005767CC" w:rsidRDefault="005767CC" w:rsidP="00CC4A96">
      <w:pPr>
        <w:pStyle w:val="Prrafodelista"/>
        <w:autoSpaceDE w:val="0"/>
        <w:autoSpaceDN w:val="0"/>
        <w:adjustRightInd w:val="0"/>
        <w:ind w:left="0"/>
        <w:jc w:val="both"/>
        <w:rPr>
          <w:rFonts w:ascii="Abadi" w:hAnsi="Abadi" w:cs="*Arial-4801-Identity-H"/>
          <w:color w:val="141414"/>
          <w:sz w:val="21"/>
          <w:szCs w:val="21"/>
        </w:rPr>
      </w:pPr>
    </w:p>
    <w:p w14:paraId="281A70E6" w14:textId="77777777" w:rsidR="005767CC" w:rsidRPr="005767CC" w:rsidRDefault="005767CC" w:rsidP="00CC4A96">
      <w:pPr>
        <w:pStyle w:val="Prrafodelista"/>
        <w:autoSpaceDE w:val="0"/>
        <w:autoSpaceDN w:val="0"/>
        <w:adjustRightInd w:val="0"/>
        <w:ind w:left="0"/>
        <w:jc w:val="both"/>
        <w:rPr>
          <w:rFonts w:ascii="Abadi" w:hAnsi="Abadi" w:cs="*Arial-4801-Identity-H"/>
          <w:color w:val="141414"/>
          <w:sz w:val="21"/>
          <w:szCs w:val="21"/>
        </w:rPr>
      </w:pPr>
      <w:r w:rsidRPr="000F75D8">
        <w:rPr>
          <w:rFonts w:ascii="Abadi" w:hAnsi="Abadi" w:cs="*Arial-4801-Identity-H"/>
          <w:b/>
          <w:bCs/>
          <w:color w:val="141414"/>
          <w:sz w:val="21"/>
          <w:szCs w:val="21"/>
        </w:rPr>
        <w:t>II.</w:t>
      </w:r>
      <w:r w:rsidRPr="005767CC">
        <w:rPr>
          <w:rFonts w:ascii="Abadi" w:hAnsi="Abadi" w:cs="*Arial-4801-Identity-H"/>
          <w:color w:val="141414"/>
          <w:sz w:val="21"/>
          <w:szCs w:val="21"/>
        </w:rPr>
        <w:t xml:space="preserve"> Promover la investigación ...</w:t>
      </w:r>
    </w:p>
    <w:p w14:paraId="1969FE06" w14:textId="77777777" w:rsidR="005767CC" w:rsidRPr="005767CC" w:rsidRDefault="005767CC" w:rsidP="00CC4A96">
      <w:pPr>
        <w:pStyle w:val="Prrafodelista"/>
        <w:autoSpaceDE w:val="0"/>
        <w:autoSpaceDN w:val="0"/>
        <w:adjustRightInd w:val="0"/>
        <w:ind w:left="0"/>
        <w:jc w:val="both"/>
        <w:rPr>
          <w:rFonts w:ascii="Abadi" w:hAnsi="Abadi" w:cs="*Arial-4801-Identity-H"/>
          <w:color w:val="141414"/>
          <w:sz w:val="21"/>
          <w:szCs w:val="21"/>
        </w:rPr>
      </w:pPr>
    </w:p>
    <w:p w14:paraId="1242F730" w14:textId="77777777" w:rsidR="005767CC" w:rsidRPr="005767CC" w:rsidRDefault="005767CC" w:rsidP="00CC4A96">
      <w:pPr>
        <w:pStyle w:val="Prrafodelista"/>
        <w:autoSpaceDE w:val="0"/>
        <w:autoSpaceDN w:val="0"/>
        <w:adjustRightInd w:val="0"/>
        <w:ind w:left="0"/>
        <w:jc w:val="both"/>
        <w:rPr>
          <w:rFonts w:ascii="Abadi" w:hAnsi="Abadi" w:cs="*Arial-4801-Identity-H"/>
          <w:color w:val="141414"/>
          <w:sz w:val="21"/>
          <w:szCs w:val="21"/>
        </w:rPr>
      </w:pPr>
      <w:r w:rsidRPr="000F75D8">
        <w:rPr>
          <w:rFonts w:ascii="Abadi" w:hAnsi="Abadi" w:cs="*Arial-4801-Identity-H"/>
          <w:b/>
          <w:bCs/>
          <w:color w:val="141414"/>
          <w:sz w:val="21"/>
          <w:szCs w:val="21"/>
        </w:rPr>
        <w:t>III.</w:t>
      </w:r>
      <w:r w:rsidRPr="005767CC">
        <w:rPr>
          <w:rFonts w:ascii="Abadi" w:hAnsi="Abadi" w:cs="*Arial-4801-Identity-H"/>
          <w:color w:val="141414"/>
          <w:sz w:val="21"/>
          <w:szCs w:val="21"/>
        </w:rPr>
        <w:t xml:space="preserve"> Promover la agricultura ...</w:t>
      </w:r>
    </w:p>
    <w:p w14:paraId="2E119919" w14:textId="77777777" w:rsidR="005767CC" w:rsidRPr="004D3D85" w:rsidRDefault="005767CC" w:rsidP="00CC4A96">
      <w:pPr>
        <w:autoSpaceDE w:val="0"/>
        <w:autoSpaceDN w:val="0"/>
        <w:adjustRightInd w:val="0"/>
        <w:jc w:val="both"/>
        <w:rPr>
          <w:rFonts w:ascii="Abadi" w:hAnsi="Abadi" w:cs="*Arial-4801-Identity-H"/>
          <w:color w:val="141414"/>
          <w:sz w:val="21"/>
          <w:szCs w:val="21"/>
        </w:rPr>
      </w:pPr>
    </w:p>
    <w:p w14:paraId="742B1172" w14:textId="77777777" w:rsidR="005767CC" w:rsidRPr="005767CC" w:rsidRDefault="005767CC" w:rsidP="00CC4A96">
      <w:pPr>
        <w:pStyle w:val="Prrafodelista"/>
        <w:autoSpaceDE w:val="0"/>
        <w:autoSpaceDN w:val="0"/>
        <w:adjustRightInd w:val="0"/>
        <w:ind w:left="0"/>
        <w:jc w:val="both"/>
        <w:rPr>
          <w:rFonts w:ascii="Abadi" w:hAnsi="Abadi" w:cs="*Arial-4801-Identity-H"/>
          <w:color w:val="141414"/>
          <w:sz w:val="21"/>
          <w:szCs w:val="21"/>
        </w:rPr>
      </w:pPr>
      <w:r w:rsidRPr="005767CC">
        <w:rPr>
          <w:rFonts w:ascii="Abadi" w:hAnsi="Abadi" w:cs="*Arial-Bold-4802-Identity-H"/>
          <w:b/>
          <w:bCs/>
          <w:color w:val="141414"/>
          <w:sz w:val="21"/>
          <w:szCs w:val="21"/>
        </w:rPr>
        <w:t xml:space="preserve">IV. </w:t>
      </w:r>
      <w:r w:rsidRPr="005767CC">
        <w:rPr>
          <w:rFonts w:ascii="Abadi" w:hAnsi="Abadi" w:cs="*Arial-4801-Identity-H"/>
          <w:color w:val="141414"/>
          <w:sz w:val="21"/>
          <w:szCs w:val="21"/>
        </w:rPr>
        <w:t>Promover la agricultura familiar a través de capacitación y formación profesional</w:t>
      </w:r>
    </w:p>
    <w:p w14:paraId="3349398D" w14:textId="77777777" w:rsidR="005767CC" w:rsidRPr="005767CC" w:rsidRDefault="005767CC" w:rsidP="00CC4A96">
      <w:pPr>
        <w:pStyle w:val="Prrafodelista"/>
        <w:autoSpaceDE w:val="0"/>
        <w:autoSpaceDN w:val="0"/>
        <w:adjustRightInd w:val="0"/>
        <w:ind w:left="0"/>
        <w:jc w:val="both"/>
        <w:rPr>
          <w:rFonts w:ascii="Abadi" w:hAnsi="Abadi" w:cs="*Arial-4801-Identity-H"/>
          <w:color w:val="141414"/>
          <w:sz w:val="21"/>
          <w:szCs w:val="21"/>
        </w:rPr>
      </w:pPr>
      <w:r w:rsidRPr="005767CC">
        <w:rPr>
          <w:rFonts w:ascii="Abadi" w:hAnsi="Abadi" w:cs="*Arial-4801-Identity-H"/>
          <w:color w:val="141414"/>
          <w:sz w:val="21"/>
          <w:szCs w:val="21"/>
        </w:rPr>
        <w:t>adecuada a los distintos integrantes del núcleo familiar, así como las comunidades</w:t>
      </w:r>
    </w:p>
    <w:p w14:paraId="1B31A8DF" w14:textId="77777777" w:rsidR="005767CC" w:rsidRPr="005767CC" w:rsidRDefault="005767CC" w:rsidP="00CC4A96">
      <w:pPr>
        <w:pStyle w:val="Prrafodelista"/>
        <w:autoSpaceDE w:val="0"/>
        <w:autoSpaceDN w:val="0"/>
        <w:adjustRightInd w:val="0"/>
        <w:ind w:left="0"/>
        <w:jc w:val="both"/>
        <w:rPr>
          <w:rFonts w:ascii="Abadi" w:hAnsi="Abadi" w:cs="*Arial-4801-Identity-H"/>
          <w:color w:val="141414"/>
          <w:sz w:val="21"/>
          <w:szCs w:val="21"/>
        </w:rPr>
      </w:pPr>
      <w:r w:rsidRPr="005767CC">
        <w:rPr>
          <w:rFonts w:ascii="Abadi" w:hAnsi="Abadi" w:cs="*Arial-4801-Identity-H"/>
          <w:color w:val="141414"/>
          <w:sz w:val="21"/>
          <w:szCs w:val="21"/>
        </w:rPr>
        <w:t>para el desarrollo de sus capacidades de producción, gestión, organización,</w:t>
      </w:r>
    </w:p>
    <w:p w14:paraId="5B2833E6" w14:textId="77777777" w:rsidR="005767CC" w:rsidRPr="005767CC" w:rsidRDefault="005767CC" w:rsidP="00CC4A96">
      <w:pPr>
        <w:pStyle w:val="Prrafodelista"/>
        <w:autoSpaceDE w:val="0"/>
        <w:autoSpaceDN w:val="0"/>
        <w:adjustRightInd w:val="0"/>
        <w:ind w:left="0"/>
        <w:jc w:val="both"/>
        <w:rPr>
          <w:rFonts w:ascii="Abadi" w:hAnsi="Abadi" w:cs="*Arial-Bold-4802-Identity-H"/>
          <w:b/>
          <w:bCs/>
          <w:color w:val="141414"/>
          <w:sz w:val="21"/>
          <w:szCs w:val="21"/>
        </w:rPr>
      </w:pPr>
      <w:r w:rsidRPr="005767CC">
        <w:rPr>
          <w:rFonts w:ascii="Abadi" w:hAnsi="Abadi" w:cs="*Arial-4801-Identity-H"/>
          <w:color w:val="141414"/>
          <w:sz w:val="21"/>
          <w:szCs w:val="21"/>
        </w:rPr>
        <w:t xml:space="preserve">planificación y formulación de proyectos de agricultura familiar; </w:t>
      </w:r>
      <w:r w:rsidRPr="005767CC">
        <w:rPr>
          <w:rFonts w:ascii="Abadi" w:hAnsi="Abadi" w:cs="*Arial-Bold-4802-Identity-H"/>
          <w:b/>
          <w:bCs/>
          <w:color w:val="141414"/>
          <w:sz w:val="21"/>
          <w:szCs w:val="21"/>
        </w:rPr>
        <w:t>e</w:t>
      </w:r>
    </w:p>
    <w:p w14:paraId="305BE3EF" w14:textId="77777777" w:rsidR="005767CC" w:rsidRPr="005767CC" w:rsidRDefault="005767CC" w:rsidP="00CC4A96">
      <w:pPr>
        <w:pStyle w:val="Prrafodelista"/>
        <w:autoSpaceDE w:val="0"/>
        <w:autoSpaceDN w:val="0"/>
        <w:adjustRightInd w:val="0"/>
        <w:ind w:left="0"/>
        <w:jc w:val="both"/>
        <w:rPr>
          <w:rFonts w:ascii="Abadi" w:hAnsi="Abadi" w:cs="*Arial-Bold-4802-Identity-H"/>
          <w:b/>
          <w:bCs/>
          <w:color w:val="141414"/>
          <w:sz w:val="21"/>
          <w:szCs w:val="21"/>
        </w:rPr>
      </w:pPr>
    </w:p>
    <w:p w14:paraId="1C2E9CCD" w14:textId="330DCF8A" w:rsidR="005767CC" w:rsidRPr="005767CC" w:rsidRDefault="005767CC" w:rsidP="00CC4A96">
      <w:pPr>
        <w:pStyle w:val="Prrafodelista"/>
        <w:autoSpaceDE w:val="0"/>
        <w:autoSpaceDN w:val="0"/>
        <w:adjustRightInd w:val="0"/>
        <w:ind w:left="0"/>
        <w:jc w:val="both"/>
        <w:rPr>
          <w:rFonts w:ascii="Abadi" w:hAnsi="Abadi" w:cs="*Arial-Bold-4802-Identity-H"/>
          <w:b/>
          <w:bCs/>
          <w:color w:val="131313"/>
          <w:sz w:val="21"/>
          <w:szCs w:val="21"/>
        </w:rPr>
      </w:pPr>
      <w:r w:rsidRPr="005767CC">
        <w:rPr>
          <w:rFonts w:ascii="Abadi" w:hAnsi="Abadi" w:cs="*Arial-Bold-4802-Identity-H"/>
          <w:b/>
          <w:bCs/>
          <w:color w:val="131313"/>
          <w:sz w:val="21"/>
          <w:szCs w:val="21"/>
        </w:rPr>
        <w:t>V. Implementar, en coordinación con las dependencias y entidades</w:t>
      </w:r>
      <w:r w:rsidR="000F75D8">
        <w:rPr>
          <w:rFonts w:ascii="Abadi" w:hAnsi="Abadi" w:cs="*Arial-Bold-4802-Identity-H"/>
          <w:b/>
          <w:bCs/>
          <w:color w:val="131313"/>
          <w:sz w:val="21"/>
          <w:szCs w:val="21"/>
        </w:rPr>
        <w:t xml:space="preserve"> </w:t>
      </w:r>
      <w:r w:rsidRPr="005767CC">
        <w:rPr>
          <w:rFonts w:ascii="Abadi" w:hAnsi="Abadi" w:cs="*Arial-Bold-4802-Identity-H"/>
          <w:b/>
          <w:bCs/>
          <w:color w:val="131313"/>
          <w:sz w:val="21"/>
          <w:szCs w:val="21"/>
        </w:rPr>
        <w:t xml:space="preserve">competentes, acciones afirmativas a favor de las mujeres </w:t>
      </w:r>
      <w:r w:rsidRPr="005767CC">
        <w:rPr>
          <w:rFonts w:ascii="Abadi" w:hAnsi="Abadi" w:cs="*Arial-Bold-4802-Identity-H"/>
          <w:b/>
          <w:bCs/>
          <w:color w:val="131313"/>
          <w:sz w:val="21"/>
          <w:szCs w:val="21"/>
        </w:rPr>
        <w:t>rurales de</w:t>
      </w:r>
      <w:r w:rsidR="000F75D8">
        <w:rPr>
          <w:rFonts w:ascii="Abadi" w:hAnsi="Abadi" w:cs="*Arial-Bold-4802-Identity-H"/>
          <w:b/>
          <w:bCs/>
          <w:color w:val="131313"/>
          <w:sz w:val="21"/>
          <w:szCs w:val="21"/>
        </w:rPr>
        <w:t xml:space="preserve"> </w:t>
      </w:r>
      <w:r w:rsidRPr="005767CC">
        <w:rPr>
          <w:rFonts w:ascii="Abadi" w:hAnsi="Abadi" w:cs="*Arial-Bold-4802-Identity-H"/>
          <w:b/>
          <w:bCs/>
          <w:color w:val="131313"/>
          <w:sz w:val="21"/>
          <w:szCs w:val="21"/>
        </w:rPr>
        <w:t>conformidad con lo consagrado por la presente ley.</w:t>
      </w:r>
    </w:p>
    <w:p w14:paraId="5C77B619" w14:textId="77777777" w:rsidR="005767CC" w:rsidRPr="005767CC" w:rsidRDefault="005767CC" w:rsidP="00CC4A96">
      <w:pPr>
        <w:pStyle w:val="Prrafodelista"/>
        <w:autoSpaceDE w:val="0"/>
        <w:autoSpaceDN w:val="0"/>
        <w:adjustRightInd w:val="0"/>
        <w:ind w:left="0"/>
        <w:jc w:val="both"/>
        <w:rPr>
          <w:rFonts w:ascii="Abadi" w:hAnsi="Abadi" w:cs="*Arial-Bold-4802-Identity-H"/>
          <w:b/>
          <w:bCs/>
          <w:color w:val="131313"/>
          <w:sz w:val="21"/>
          <w:szCs w:val="21"/>
        </w:rPr>
      </w:pPr>
    </w:p>
    <w:p w14:paraId="7791D1E4" w14:textId="77777777" w:rsidR="005767CC" w:rsidRPr="005767CC" w:rsidRDefault="005767CC" w:rsidP="00CC4A96">
      <w:pPr>
        <w:pStyle w:val="Prrafodelista"/>
        <w:autoSpaceDE w:val="0"/>
        <w:autoSpaceDN w:val="0"/>
        <w:adjustRightInd w:val="0"/>
        <w:ind w:left="0"/>
        <w:jc w:val="both"/>
        <w:rPr>
          <w:rFonts w:ascii="Abadi" w:hAnsi="Abadi" w:cs="*Arial-Bold-4802-Identity-H"/>
          <w:b/>
          <w:bCs/>
          <w:color w:val="131313"/>
          <w:sz w:val="21"/>
          <w:szCs w:val="21"/>
        </w:rPr>
      </w:pPr>
    </w:p>
    <w:p w14:paraId="302E1EDA" w14:textId="77777777" w:rsidR="005767CC" w:rsidRPr="005767CC" w:rsidRDefault="005767CC" w:rsidP="00CC4A96">
      <w:pPr>
        <w:pStyle w:val="Prrafodelista"/>
        <w:autoSpaceDE w:val="0"/>
        <w:autoSpaceDN w:val="0"/>
        <w:adjustRightInd w:val="0"/>
        <w:ind w:left="0"/>
        <w:jc w:val="both"/>
        <w:rPr>
          <w:rFonts w:ascii="Abadi" w:hAnsi="Abadi" w:cs="*Arial-4801-Identity-H"/>
          <w:color w:val="141414"/>
          <w:sz w:val="21"/>
          <w:szCs w:val="21"/>
        </w:rPr>
      </w:pPr>
      <w:r w:rsidRPr="005767CC">
        <w:rPr>
          <w:rFonts w:ascii="Abadi" w:hAnsi="Abadi" w:cs="*Arial-Bold-4802-Identity-H"/>
          <w:b/>
          <w:bCs/>
          <w:color w:val="141414"/>
          <w:sz w:val="21"/>
          <w:szCs w:val="21"/>
        </w:rPr>
        <w:t xml:space="preserve">Artículo 8. </w:t>
      </w:r>
      <w:r w:rsidRPr="005767CC">
        <w:rPr>
          <w:rFonts w:ascii="Abadi" w:hAnsi="Abadi" w:cs="*Arial-4801-Identity-H"/>
          <w:color w:val="141414"/>
          <w:sz w:val="21"/>
          <w:szCs w:val="21"/>
        </w:rPr>
        <w:t>Corresponde a la Secretaría:</w:t>
      </w:r>
    </w:p>
    <w:p w14:paraId="746250F5" w14:textId="77777777" w:rsidR="005767CC" w:rsidRPr="005767CC" w:rsidRDefault="005767CC" w:rsidP="00CC4A96">
      <w:pPr>
        <w:pStyle w:val="Prrafodelista"/>
        <w:autoSpaceDE w:val="0"/>
        <w:autoSpaceDN w:val="0"/>
        <w:adjustRightInd w:val="0"/>
        <w:ind w:left="0"/>
        <w:jc w:val="both"/>
        <w:rPr>
          <w:rFonts w:ascii="Abadi" w:hAnsi="Abadi" w:cs="*Arial-4801-Identity-H"/>
          <w:color w:val="141414"/>
          <w:sz w:val="21"/>
          <w:szCs w:val="21"/>
        </w:rPr>
      </w:pPr>
    </w:p>
    <w:p w14:paraId="7AC8B6F2" w14:textId="77777777" w:rsidR="005767CC" w:rsidRPr="005767CC" w:rsidRDefault="005767CC" w:rsidP="00CC4A96">
      <w:pPr>
        <w:pStyle w:val="Prrafodelista"/>
        <w:autoSpaceDE w:val="0"/>
        <w:autoSpaceDN w:val="0"/>
        <w:adjustRightInd w:val="0"/>
        <w:ind w:left="0"/>
        <w:jc w:val="both"/>
        <w:rPr>
          <w:rFonts w:ascii="Abadi" w:hAnsi="Abadi" w:cs="*Arial-4801-Identity-H"/>
          <w:color w:val="141414"/>
          <w:sz w:val="21"/>
          <w:szCs w:val="21"/>
        </w:rPr>
      </w:pPr>
      <w:r w:rsidRPr="005767CC">
        <w:rPr>
          <w:rFonts w:ascii="Abadi" w:hAnsi="Abadi" w:cs="*Arial-Bold-4802-Identity-H"/>
          <w:b/>
          <w:bCs/>
          <w:color w:val="141414"/>
          <w:sz w:val="21"/>
          <w:szCs w:val="21"/>
        </w:rPr>
        <w:t xml:space="preserve">l. </w:t>
      </w:r>
      <w:r w:rsidRPr="005767CC">
        <w:rPr>
          <w:rFonts w:ascii="Abadi" w:hAnsi="Abadi" w:cs="*Arial-4801-Identity-H"/>
          <w:color w:val="141414"/>
          <w:sz w:val="21"/>
          <w:szCs w:val="21"/>
        </w:rPr>
        <w:t>Ejecutar las políticas ...</w:t>
      </w:r>
    </w:p>
    <w:p w14:paraId="011F4A25" w14:textId="77777777" w:rsidR="005767CC" w:rsidRPr="005767CC" w:rsidRDefault="005767CC" w:rsidP="00CC4A96">
      <w:pPr>
        <w:pStyle w:val="Prrafodelista"/>
        <w:autoSpaceDE w:val="0"/>
        <w:autoSpaceDN w:val="0"/>
        <w:adjustRightInd w:val="0"/>
        <w:ind w:left="0"/>
        <w:jc w:val="both"/>
        <w:rPr>
          <w:rFonts w:ascii="Abadi" w:hAnsi="Abadi" w:cs="*Arial-4801-Identity-H"/>
          <w:color w:val="141414"/>
          <w:sz w:val="21"/>
          <w:szCs w:val="21"/>
        </w:rPr>
      </w:pPr>
    </w:p>
    <w:p w14:paraId="286C1408" w14:textId="77777777" w:rsidR="005767CC" w:rsidRPr="005767CC" w:rsidRDefault="005767CC" w:rsidP="00CC4A96">
      <w:pPr>
        <w:pStyle w:val="Prrafodelista"/>
        <w:autoSpaceDE w:val="0"/>
        <w:autoSpaceDN w:val="0"/>
        <w:adjustRightInd w:val="0"/>
        <w:ind w:left="0"/>
        <w:jc w:val="both"/>
        <w:rPr>
          <w:rFonts w:ascii="Abadi" w:hAnsi="Abadi" w:cs="*Arial-4801-Identity-H"/>
          <w:color w:val="141414"/>
          <w:sz w:val="21"/>
          <w:szCs w:val="21"/>
        </w:rPr>
      </w:pPr>
      <w:r w:rsidRPr="005767CC">
        <w:rPr>
          <w:rFonts w:ascii="Abadi" w:hAnsi="Abadi" w:cs="*Arial-4801-Identity-H"/>
          <w:b/>
          <w:bCs/>
          <w:color w:val="141414"/>
          <w:sz w:val="21"/>
          <w:szCs w:val="21"/>
        </w:rPr>
        <w:t>II.</w:t>
      </w:r>
      <w:r w:rsidRPr="005767CC">
        <w:rPr>
          <w:rFonts w:ascii="Abadi" w:hAnsi="Abadi" w:cs="*Arial-4801-Identity-H"/>
          <w:color w:val="141414"/>
          <w:sz w:val="21"/>
          <w:szCs w:val="21"/>
        </w:rPr>
        <w:t xml:space="preserve"> Desarrollar programas, en ...</w:t>
      </w:r>
    </w:p>
    <w:p w14:paraId="55493F4A" w14:textId="77777777" w:rsidR="005767CC" w:rsidRPr="005767CC" w:rsidRDefault="005767CC" w:rsidP="00CC4A96">
      <w:pPr>
        <w:pStyle w:val="Prrafodelista"/>
        <w:autoSpaceDE w:val="0"/>
        <w:autoSpaceDN w:val="0"/>
        <w:adjustRightInd w:val="0"/>
        <w:ind w:left="0"/>
        <w:jc w:val="both"/>
        <w:rPr>
          <w:rFonts w:ascii="Abadi" w:hAnsi="Abadi" w:cs="*Arial-4801-Identity-H"/>
          <w:color w:val="141414"/>
          <w:sz w:val="21"/>
          <w:szCs w:val="21"/>
        </w:rPr>
      </w:pPr>
    </w:p>
    <w:p w14:paraId="760DCAB1" w14:textId="77777777" w:rsidR="005767CC" w:rsidRPr="005767CC" w:rsidRDefault="005767CC" w:rsidP="00CC4A96">
      <w:pPr>
        <w:pStyle w:val="Prrafodelista"/>
        <w:autoSpaceDE w:val="0"/>
        <w:autoSpaceDN w:val="0"/>
        <w:adjustRightInd w:val="0"/>
        <w:ind w:left="0"/>
        <w:jc w:val="both"/>
        <w:rPr>
          <w:rFonts w:ascii="Abadi" w:hAnsi="Abadi" w:cs="*Arial-4801-Identity-H"/>
          <w:color w:val="141414"/>
          <w:sz w:val="21"/>
          <w:szCs w:val="21"/>
        </w:rPr>
      </w:pPr>
      <w:r w:rsidRPr="005767CC">
        <w:rPr>
          <w:rFonts w:ascii="Abadi" w:hAnsi="Abadi" w:cs="*Arial-4801-Identity-H"/>
          <w:b/>
          <w:bCs/>
          <w:color w:val="141414"/>
          <w:sz w:val="21"/>
          <w:szCs w:val="21"/>
        </w:rPr>
        <w:t>III</w:t>
      </w:r>
      <w:r w:rsidRPr="005767CC">
        <w:rPr>
          <w:rFonts w:ascii="Abadi" w:hAnsi="Abadi" w:cs="*Arial-4801-Identity-H"/>
          <w:color w:val="141414"/>
          <w:sz w:val="21"/>
          <w:szCs w:val="21"/>
        </w:rPr>
        <w:t>. Gestionar infraestructura ...</w:t>
      </w:r>
    </w:p>
    <w:p w14:paraId="0A25D181" w14:textId="77777777" w:rsidR="005767CC" w:rsidRPr="005767CC" w:rsidRDefault="005767CC" w:rsidP="00CC4A96">
      <w:pPr>
        <w:pStyle w:val="Prrafodelista"/>
        <w:autoSpaceDE w:val="0"/>
        <w:autoSpaceDN w:val="0"/>
        <w:adjustRightInd w:val="0"/>
        <w:ind w:left="0"/>
        <w:jc w:val="both"/>
        <w:rPr>
          <w:rFonts w:ascii="Abadi" w:hAnsi="Abadi" w:cs="*Arial-4801-Identity-H"/>
          <w:color w:val="141414"/>
          <w:sz w:val="21"/>
          <w:szCs w:val="21"/>
        </w:rPr>
      </w:pPr>
    </w:p>
    <w:p w14:paraId="67E2F63C" w14:textId="77777777" w:rsidR="005767CC" w:rsidRPr="005767CC" w:rsidRDefault="005767CC" w:rsidP="00CC4A96">
      <w:pPr>
        <w:pStyle w:val="Prrafodelista"/>
        <w:autoSpaceDE w:val="0"/>
        <w:autoSpaceDN w:val="0"/>
        <w:adjustRightInd w:val="0"/>
        <w:ind w:left="0"/>
        <w:jc w:val="both"/>
        <w:rPr>
          <w:rFonts w:ascii="Abadi" w:hAnsi="Abadi" w:cs="*Arial-4801-Identity-H"/>
          <w:color w:val="141414"/>
          <w:sz w:val="21"/>
          <w:szCs w:val="21"/>
        </w:rPr>
      </w:pPr>
      <w:r w:rsidRPr="005767CC">
        <w:rPr>
          <w:rFonts w:ascii="Abadi" w:hAnsi="Abadi" w:cs="*Arial-Bold-4802-Identity-H"/>
          <w:b/>
          <w:bCs/>
          <w:color w:val="141414"/>
          <w:sz w:val="21"/>
          <w:szCs w:val="21"/>
        </w:rPr>
        <w:t xml:space="preserve">IV. </w:t>
      </w:r>
      <w:r w:rsidRPr="005767CC">
        <w:rPr>
          <w:rFonts w:ascii="Abadi" w:hAnsi="Abadi" w:cs="*Arial-4801-Identity-H"/>
          <w:color w:val="141414"/>
          <w:sz w:val="21"/>
          <w:szCs w:val="21"/>
        </w:rPr>
        <w:t>Facilitar y promover ...</w:t>
      </w:r>
    </w:p>
    <w:p w14:paraId="090D5ABB" w14:textId="77777777" w:rsidR="005767CC" w:rsidRPr="005767CC" w:rsidRDefault="005767CC" w:rsidP="00CC4A96">
      <w:pPr>
        <w:pStyle w:val="Prrafodelista"/>
        <w:autoSpaceDE w:val="0"/>
        <w:autoSpaceDN w:val="0"/>
        <w:adjustRightInd w:val="0"/>
        <w:ind w:left="0"/>
        <w:jc w:val="both"/>
        <w:rPr>
          <w:rFonts w:ascii="Abadi" w:hAnsi="Abadi" w:cs="*Arial-4801-Identity-H"/>
          <w:color w:val="141414"/>
          <w:sz w:val="21"/>
          <w:szCs w:val="21"/>
        </w:rPr>
      </w:pPr>
    </w:p>
    <w:p w14:paraId="605E5FDE" w14:textId="77777777" w:rsidR="005767CC" w:rsidRPr="005767CC" w:rsidRDefault="005767CC" w:rsidP="00CC4A96">
      <w:pPr>
        <w:pStyle w:val="Prrafodelista"/>
        <w:autoSpaceDE w:val="0"/>
        <w:autoSpaceDN w:val="0"/>
        <w:adjustRightInd w:val="0"/>
        <w:ind w:left="0"/>
        <w:jc w:val="both"/>
        <w:rPr>
          <w:rFonts w:ascii="Abadi" w:hAnsi="Abadi" w:cs="*Arial-4801-Identity-H"/>
          <w:color w:val="141414"/>
          <w:sz w:val="21"/>
          <w:szCs w:val="21"/>
        </w:rPr>
      </w:pPr>
      <w:r w:rsidRPr="005767CC">
        <w:rPr>
          <w:rFonts w:ascii="Abadi" w:hAnsi="Abadi" w:cs="*Arial-Bold-4802-Identity-H"/>
          <w:b/>
          <w:bCs/>
          <w:color w:val="141414"/>
          <w:sz w:val="21"/>
          <w:szCs w:val="21"/>
        </w:rPr>
        <w:t xml:space="preserve">V. </w:t>
      </w:r>
      <w:r w:rsidRPr="005767CC">
        <w:rPr>
          <w:rFonts w:ascii="Abadi" w:hAnsi="Abadi" w:cs="*Arial-4801-Identity-H"/>
          <w:color w:val="141414"/>
          <w:sz w:val="21"/>
          <w:szCs w:val="21"/>
        </w:rPr>
        <w:t>Promover la participación ...</w:t>
      </w:r>
    </w:p>
    <w:p w14:paraId="1F90C0BC" w14:textId="77777777" w:rsidR="005767CC" w:rsidRPr="005767CC" w:rsidRDefault="005767CC" w:rsidP="00CC4A96">
      <w:pPr>
        <w:pStyle w:val="Prrafodelista"/>
        <w:autoSpaceDE w:val="0"/>
        <w:autoSpaceDN w:val="0"/>
        <w:adjustRightInd w:val="0"/>
        <w:ind w:left="0"/>
        <w:jc w:val="both"/>
        <w:rPr>
          <w:rFonts w:ascii="Abadi" w:hAnsi="Abadi" w:cs="*Arial-4801-Identity-H"/>
          <w:color w:val="141414"/>
          <w:sz w:val="21"/>
          <w:szCs w:val="21"/>
        </w:rPr>
      </w:pPr>
    </w:p>
    <w:p w14:paraId="0F3EB428" w14:textId="77777777" w:rsidR="005767CC" w:rsidRPr="005767CC" w:rsidRDefault="005767CC" w:rsidP="00CC4A96">
      <w:pPr>
        <w:pStyle w:val="Prrafodelista"/>
        <w:autoSpaceDE w:val="0"/>
        <w:autoSpaceDN w:val="0"/>
        <w:adjustRightInd w:val="0"/>
        <w:ind w:left="0"/>
        <w:jc w:val="both"/>
        <w:rPr>
          <w:rFonts w:ascii="Abadi" w:hAnsi="Abadi" w:cs="*Arial-4801-Identity-H"/>
          <w:color w:val="141414"/>
          <w:sz w:val="21"/>
          <w:szCs w:val="21"/>
        </w:rPr>
      </w:pPr>
      <w:r w:rsidRPr="005767CC">
        <w:rPr>
          <w:rFonts w:ascii="Abadi" w:hAnsi="Abadi" w:cs="*Arial-Bold-4802-Identity-H"/>
          <w:b/>
          <w:bCs/>
          <w:color w:val="141414"/>
          <w:sz w:val="21"/>
          <w:szCs w:val="21"/>
        </w:rPr>
        <w:t xml:space="preserve">VI. </w:t>
      </w:r>
      <w:r w:rsidRPr="005767CC">
        <w:rPr>
          <w:rFonts w:ascii="Abadi" w:hAnsi="Abadi" w:cs="*Arial-4801-Identity-H"/>
          <w:color w:val="141414"/>
          <w:sz w:val="21"/>
          <w:szCs w:val="21"/>
        </w:rPr>
        <w:t>Aplicar los principios ...</w:t>
      </w:r>
    </w:p>
    <w:p w14:paraId="73921D6C" w14:textId="77777777" w:rsidR="005767CC" w:rsidRPr="005767CC" w:rsidRDefault="005767CC" w:rsidP="00CC4A96">
      <w:pPr>
        <w:pStyle w:val="Prrafodelista"/>
        <w:autoSpaceDE w:val="0"/>
        <w:autoSpaceDN w:val="0"/>
        <w:adjustRightInd w:val="0"/>
        <w:ind w:left="0"/>
        <w:jc w:val="both"/>
        <w:rPr>
          <w:rFonts w:ascii="Abadi" w:hAnsi="Abadi" w:cs="*Calibri-4799-Identity-H"/>
          <w:color w:val="161616"/>
          <w:sz w:val="21"/>
          <w:szCs w:val="21"/>
        </w:rPr>
      </w:pPr>
    </w:p>
    <w:p w14:paraId="477FAF98" w14:textId="77777777" w:rsidR="005767CC" w:rsidRPr="005767CC" w:rsidRDefault="005767CC" w:rsidP="00CC4A96">
      <w:pPr>
        <w:pStyle w:val="Prrafodelista"/>
        <w:autoSpaceDE w:val="0"/>
        <w:autoSpaceDN w:val="0"/>
        <w:adjustRightInd w:val="0"/>
        <w:ind w:left="0"/>
        <w:jc w:val="both"/>
        <w:rPr>
          <w:rFonts w:ascii="Abadi" w:hAnsi="Abadi" w:cs="*Arial-4971-Identity-H"/>
          <w:color w:val="151515"/>
          <w:sz w:val="21"/>
          <w:szCs w:val="21"/>
        </w:rPr>
      </w:pPr>
      <w:r w:rsidRPr="005767CC">
        <w:rPr>
          <w:rFonts w:ascii="Abadi" w:hAnsi="Abadi" w:cs="*Arial-Bold-4970-Identity-H"/>
          <w:b/>
          <w:bCs/>
          <w:color w:val="151515"/>
          <w:sz w:val="21"/>
          <w:szCs w:val="21"/>
        </w:rPr>
        <w:t xml:space="preserve">VII. </w:t>
      </w:r>
      <w:r w:rsidRPr="005767CC">
        <w:rPr>
          <w:rFonts w:ascii="Abadi" w:hAnsi="Abadi" w:cs="*Arial-4971-Identity-H"/>
          <w:color w:val="151515"/>
          <w:sz w:val="21"/>
          <w:szCs w:val="21"/>
        </w:rPr>
        <w:t>Crear y gestionar ...</w:t>
      </w:r>
    </w:p>
    <w:p w14:paraId="088041B3" w14:textId="77777777" w:rsidR="005767CC" w:rsidRPr="005767CC" w:rsidRDefault="005767CC" w:rsidP="00CC4A96">
      <w:pPr>
        <w:pStyle w:val="Prrafodelista"/>
        <w:autoSpaceDE w:val="0"/>
        <w:autoSpaceDN w:val="0"/>
        <w:adjustRightInd w:val="0"/>
        <w:ind w:left="0"/>
        <w:jc w:val="both"/>
        <w:rPr>
          <w:rFonts w:ascii="Abadi" w:hAnsi="Abadi" w:cs="*Arial-4971-Identity-H"/>
          <w:color w:val="151515"/>
          <w:sz w:val="21"/>
          <w:szCs w:val="21"/>
        </w:rPr>
      </w:pPr>
    </w:p>
    <w:p w14:paraId="3B651D96" w14:textId="77777777" w:rsidR="005767CC" w:rsidRPr="005767CC" w:rsidRDefault="005767CC" w:rsidP="00CC4A96">
      <w:pPr>
        <w:pStyle w:val="Prrafodelista"/>
        <w:autoSpaceDE w:val="0"/>
        <w:autoSpaceDN w:val="0"/>
        <w:adjustRightInd w:val="0"/>
        <w:ind w:left="0"/>
        <w:jc w:val="both"/>
        <w:rPr>
          <w:rFonts w:ascii="Abadi" w:hAnsi="Abadi" w:cs="*Arial-4971-Identity-H"/>
          <w:color w:val="151515"/>
          <w:sz w:val="21"/>
          <w:szCs w:val="21"/>
        </w:rPr>
      </w:pPr>
      <w:r w:rsidRPr="005767CC">
        <w:rPr>
          <w:rFonts w:ascii="Abadi" w:hAnsi="Abadi" w:cs="*Arial-Bold-4970-Identity-H"/>
          <w:b/>
          <w:bCs/>
          <w:color w:val="151515"/>
          <w:sz w:val="21"/>
          <w:szCs w:val="21"/>
        </w:rPr>
        <w:t xml:space="preserve">VIII. </w:t>
      </w:r>
      <w:r w:rsidRPr="005767CC">
        <w:rPr>
          <w:rFonts w:ascii="Abadi" w:hAnsi="Abadi" w:cs="*Arial-4971-Identity-H"/>
          <w:color w:val="151515"/>
          <w:sz w:val="21"/>
          <w:szCs w:val="21"/>
        </w:rPr>
        <w:t>Conducir la promoción ...</w:t>
      </w:r>
    </w:p>
    <w:p w14:paraId="312CC7C1" w14:textId="77777777" w:rsidR="005767CC" w:rsidRPr="005767CC" w:rsidRDefault="005767CC" w:rsidP="00CC4A96">
      <w:pPr>
        <w:pStyle w:val="Prrafodelista"/>
        <w:autoSpaceDE w:val="0"/>
        <w:autoSpaceDN w:val="0"/>
        <w:adjustRightInd w:val="0"/>
        <w:ind w:left="0"/>
        <w:jc w:val="both"/>
        <w:rPr>
          <w:rFonts w:ascii="Abadi" w:hAnsi="Abadi" w:cs="*Arial-4971-Identity-H"/>
          <w:color w:val="151515"/>
          <w:sz w:val="21"/>
          <w:szCs w:val="21"/>
        </w:rPr>
      </w:pPr>
    </w:p>
    <w:p w14:paraId="1DF7FCCD" w14:textId="77777777" w:rsidR="005767CC" w:rsidRPr="005767CC" w:rsidRDefault="005767CC" w:rsidP="00CC4A96">
      <w:pPr>
        <w:pStyle w:val="Prrafodelista"/>
        <w:autoSpaceDE w:val="0"/>
        <w:autoSpaceDN w:val="0"/>
        <w:adjustRightInd w:val="0"/>
        <w:ind w:left="0"/>
        <w:jc w:val="both"/>
        <w:rPr>
          <w:rFonts w:ascii="Abadi" w:hAnsi="Abadi" w:cs="*Arial-4971-Identity-H"/>
          <w:color w:val="141515"/>
          <w:sz w:val="21"/>
          <w:szCs w:val="21"/>
        </w:rPr>
      </w:pPr>
      <w:r w:rsidRPr="005767CC">
        <w:rPr>
          <w:rFonts w:ascii="Abadi" w:hAnsi="Abadi" w:cs="*Arial-Bold-4970-Identity-H"/>
          <w:b/>
          <w:bCs/>
          <w:color w:val="141515"/>
          <w:sz w:val="21"/>
          <w:szCs w:val="21"/>
        </w:rPr>
        <w:t xml:space="preserve">IX. </w:t>
      </w:r>
      <w:r w:rsidRPr="005767CC">
        <w:rPr>
          <w:rFonts w:ascii="Abadi" w:hAnsi="Abadi" w:cs="*Arial-4971-Identity-H"/>
          <w:color w:val="141515"/>
          <w:sz w:val="21"/>
          <w:szCs w:val="21"/>
        </w:rPr>
        <w:t>Definir las estrategias ...</w:t>
      </w:r>
    </w:p>
    <w:p w14:paraId="4DA9F51A" w14:textId="77777777" w:rsidR="005767CC" w:rsidRPr="005767CC" w:rsidRDefault="005767CC" w:rsidP="00CC4A96">
      <w:pPr>
        <w:pStyle w:val="Prrafodelista"/>
        <w:autoSpaceDE w:val="0"/>
        <w:autoSpaceDN w:val="0"/>
        <w:adjustRightInd w:val="0"/>
        <w:ind w:left="0"/>
        <w:jc w:val="both"/>
        <w:rPr>
          <w:rFonts w:ascii="Abadi" w:hAnsi="Abadi" w:cs="*Arial-4971-Identity-H"/>
          <w:color w:val="141515"/>
          <w:sz w:val="21"/>
          <w:szCs w:val="21"/>
        </w:rPr>
      </w:pPr>
    </w:p>
    <w:p w14:paraId="0C2CBBDE" w14:textId="77777777" w:rsidR="005767CC" w:rsidRPr="005767CC" w:rsidRDefault="005767CC" w:rsidP="00CC4A96">
      <w:pPr>
        <w:pStyle w:val="Prrafodelista"/>
        <w:autoSpaceDE w:val="0"/>
        <w:autoSpaceDN w:val="0"/>
        <w:adjustRightInd w:val="0"/>
        <w:ind w:left="0"/>
        <w:jc w:val="both"/>
        <w:rPr>
          <w:rFonts w:ascii="Abadi" w:hAnsi="Abadi" w:cs="*Arial-4971-Identity-H"/>
          <w:color w:val="151515"/>
          <w:sz w:val="21"/>
          <w:szCs w:val="21"/>
        </w:rPr>
      </w:pPr>
      <w:r w:rsidRPr="005767CC">
        <w:rPr>
          <w:rFonts w:ascii="Abadi" w:hAnsi="Abadi" w:cs="*Arial-4971-Identity-H"/>
          <w:b/>
          <w:bCs/>
          <w:color w:val="151515"/>
          <w:sz w:val="21"/>
          <w:szCs w:val="21"/>
        </w:rPr>
        <w:t>X</w:t>
      </w:r>
      <w:r w:rsidRPr="005767CC">
        <w:rPr>
          <w:rFonts w:ascii="Abadi" w:hAnsi="Abadi" w:cs="*Arial-4971-Identity-H"/>
          <w:color w:val="151515"/>
          <w:sz w:val="21"/>
          <w:szCs w:val="21"/>
        </w:rPr>
        <w:t>. Coadyuvar con los ...</w:t>
      </w:r>
    </w:p>
    <w:p w14:paraId="2B2FE9D3" w14:textId="77777777" w:rsidR="005767CC" w:rsidRPr="005767CC" w:rsidRDefault="005767CC" w:rsidP="00CC4A96">
      <w:pPr>
        <w:pStyle w:val="Prrafodelista"/>
        <w:autoSpaceDE w:val="0"/>
        <w:autoSpaceDN w:val="0"/>
        <w:adjustRightInd w:val="0"/>
        <w:ind w:left="0"/>
        <w:jc w:val="both"/>
        <w:rPr>
          <w:rFonts w:ascii="Abadi" w:hAnsi="Abadi" w:cs="*Arial-4971-Identity-H"/>
          <w:color w:val="151515"/>
          <w:sz w:val="21"/>
          <w:szCs w:val="21"/>
        </w:rPr>
      </w:pPr>
    </w:p>
    <w:p w14:paraId="48373472" w14:textId="33DFB581" w:rsidR="004D3D85" w:rsidRDefault="005767CC" w:rsidP="00CC4A96">
      <w:pPr>
        <w:pStyle w:val="Prrafodelista"/>
        <w:autoSpaceDE w:val="0"/>
        <w:autoSpaceDN w:val="0"/>
        <w:adjustRightInd w:val="0"/>
        <w:ind w:left="0"/>
        <w:jc w:val="both"/>
        <w:rPr>
          <w:rFonts w:ascii="Abadi" w:hAnsi="Abadi" w:cs="*Arial-4971-Identity-H"/>
          <w:color w:val="151515"/>
          <w:sz w:val="21"/>
          <w:szCs w:val="21"/>
        </w:rPr>
      </w:pPr>
      <w:r w:rsidRPr="005767CC">
        <w:rPr>
          <w:rFonts w:ascii="Abadi" w:hAnsi="Abadi" w:cs="*Arial-Bold-4970-Identity-H"/>
          <w:b/>
          <w:bCs/>
          <w:color w:val="151515"/>
          <w:sz w:val="21"/>
          <w:szCs w:val="21"/>
        </w:rPr>
        <w:t xml:space="preserve">XI. </w:t>
      </w:r>
      <w:r w:rsidRPr="005767CC">
        <w:rPr>
          <w:rFonts w:ascii="Abadi" w:hAnsi="Abadi" w:cs="*Arial-4971-Identity-H"/>
          <w:color w:val="151515"/>
          <w:sz w:val="21"/>
          <w:szCs w:val="21"/>
        </w:rPr>
        <w:t>Establecer las condiciones ...</w:t>
      </w:r>
    </w:p>
    <w:p w14:paraId="2842DD92" w14:textId="77777777" w:rsidR="000F75D8" w:rsidRDefault="000F75D8" w:rsidP="00CC4A96">
      <w:pPr>
        <w:pStyle w:val="Prrafodelista"/>
        <w:autoSpaceDE w:val="0"/>
        <w:autoSpaceDN w:val="0"/>
        <w:adjustRightInd w:val="0"/>
        <w:ind w:left="0"/>
        <w:jc w:val="both"/>
        <w:rPr>
          <w:rFonts w:ascii="Abadi" w:hAnsi="Abadi" w:cs="*Arial-4971-Identity-H"/>
          <w:color w:val="151515"/>
          <w:sz w:val="21"/>
          <w:szCs w:val="21"/>
        </w:rPr>
      </w:pPr>
    </w:p>
    <w:p w14:paraId="1B1707AE" w14:textId="77777777" w:rsidR="004D3D85" w:rsidRDefault="005767CC" w:rsidP="00CC4A96">
      <w:pPr>
        <w:pStyle w:val="Prrafodelista"/>
        <w:autoSpaceDE w:val="0"/>
        <w:autoSpaceDN w:val="0"/>
        <w:adjustRightInd w:val="0"/>
        <w:ind w:left="0"/>
        <w:jc w:val="both"/>
        <w:rPr>
          <w:rFonts w:ascii="Abadi" w:hAnsi="Abadi" w:cs="*Arial-4971-Identity-H"/>
          <w:color w:val="141414"/>
          <w:sz w:val="21"/>
          <w:szCs w:val="21"/>
        </w:rPr>
      </w:pPr>
      <w:r w:rsidRPr="004D3D85">
        <w:rPr>
          <w:rFonts w:ascii="Abadi" w:hAnsi="Abadi" w:cs="*Arial-Bold-4970-Identity-H"/>
          <w:b/>
          <w:bCs/>
          <w:color w:val="141414"/>
          <w:sz w:val="21"/>
          <w:szCs w:val="21"/>
        </w:rPr>
        <w:t xml:space="preserve">XII. </w:t>
      </w:r>
      <w:r w:rsidRPr="004D3D85">
        <w:rPr>
          <w:rFonts w:ascii="Abadi" w:hAnsi="Abadi" w:cs="*Arial-4971-Identity-H"/>
          <w:color w:val="141414"/>
          <w:sz w:val="21"/>
          <w:szCs w:val="21"/>
        </w:rPr>
        <w:t>Informar, supervisar y ...</w:t>
      </w:r>
    </w:p>
    <w:p w14:paraId="39A9AA0C" w14:textId="77777777" w:rsidR="004D3D85" w:rsidRDefault="004D3D85" w:rsidP="00CC4A96">
      <w:pPr>
        <w:pStyle w:val="Prrafodelista"/>
        <w:autoSpaceDE w:val="0"/>
        <w:autoSpaceDN w:val="0"/>
        <w:adjustRightInd w:val="0"/>
        <w:ind w:left="0"/>
        <w:jc w:val="both"/>
        <w:rPr>
          <w:rFonts w:ascii="Abadi" w:hAnsi="Abadi" w:cs="*Arial-4971-Identity-H"/>
          <w:b/>
          <w:bCs/>
          <w:color w:val="141414"/>
          <w:sz w:val="21"/>
          <w:szCs w:val="21"/>
        </w:rPr>
      </w:pPr>
    </w:p>
    <w:p w14:paraId="31D59FEF" w14:textId="5D8E5D99" w:rsidR="005767CC" w:rsidRPr="004D3D85" w:rsidRDefault="005767CC" w:rsidP="00CC4A96">
      <w:pPr>
        <w:pStyle w:val="Prrafodelista"/>
        <w:autoSpaceDE w:val="0"/>
        <w:autoSpaceDN w:val="0"/>
        <w:adjustRightInd w:val="0"/>
        <w:ind w:left="0"/>
        <w:jc w:val="both"/>
        <w:rPr>
          <w:rFonts w:ascii="Abadi" w:hAnsi="Abadi" w:cs="*Arial-4971-Identity-H"/>
          <w:color w:val="151515"/>
          <w:sz w:val="21"/>
          <w:szCs w:val="21"/>
        </w:rPr>
      </w:pPr>
      <w:r w:rsidRPr="004D3D85">
        <w:rPr>
          <w:rFonts w:ascii="Abadi" w:hAnsi="Abadi" w:cs="*Arial-4971-Identity-H"/>
          <w:b/>
          <w:bCs/>
          <w:color w:val="141414"/>
          <w:sz w:val="21"/>
          <w:szCs w:val="21"/>
        </w:rPr>
        <w:t>XIII</w:t>
      </w:r>
      <w:r w:rsidRPr="004D3D85">
        <w:rPr>
          <w:rFonts w:ascii="Abadi" w:hAnsi="Abadi" w:cs="*Arial-4971-Identity-H"/>
          <w:color w:val="141414"/>
          <w:sz w:val="21"/>
          <w:szCs w:val="21"/>
        </w:rPr>
        <w:t>. La Secretaría promoverá ante las instituciones de educación de tipo</w:t>
      </w:r>
      <w:r w:rsidR="004D3D85" w:rsidRPr="004D3D85">
        <w:rPr>
          <w:rFonts w:ascii="Abadi" w:hAnsi="Abadi" w:cs="*Arial-4971-Identity-H"/>
          <w:color w:val="141414"/>
          <w:sz w:val="21"/>
          <w:szCs w:val="21"/>
        </w:rPr>
        <w:t xml:space="preserve"> </w:t>
      </w:r>
      <w:r w:rsidRPr="004D3D85">
        <w:rPr>
          <w:rFonts w:ascii="Abadi" w:hAnsi="Abadi" w:cs="*Arial-4971-Identity-H"/>
          <w:color w:val="141414"/>
          <w:sz w:val="21"/>
          <w:szCs w:val="21"/>
        </w:rPr>
        <w:t>superior,</w:t>
      </w:r>
      <w:r w:rsidR="004D3D85" w:rsidRPr="004D3D85">
        <w:rPr>
          <w:rFonts w:ascii="Abadi" w:hAnsi="Abadi" w:cs="*Arial-4971-Identity-H"/>
          <w:color w:val="141414"/>
          <w:sz w:val="21"/>
          <w:szCs w:val="21"/>
        </w:rPr>
        <w:t xml:space="preserve"> </w:t>
      </w:r>
      <w:r w:rsidRPr="004D3D85">
        <w:rPr>
          <w:rFonts w:ascii="Abadi" w:hAnsi="Abadi" w:cs="*Arial-4971-Identity-H"/>
          <w:color w:val="141414"/>
          <w:sz w:val="21"/>
          <w:szCs w:val="21"/>
        </w:rPr>
        <w:t>investigaciones que beneficien la creación, desarrollo y protección de la agricultura</w:t>
      </w:r>
    </w:p>
    <w:p w14:paraId="6B655456" w14:textId="77777777" w:rsidR="005767CC" w:rsidRPr="005767CC" w:rsidRDefault="005767CC" w:rsidP="00CC4A96">
      <w:pPr>
        <w:pStyle w:val="Prrafodelista"/>
        <w:autoSpaceDE w:val="0"/>
        <w:autoSpaceDN w:val="0"/>
        <w:adjustRightInd w:val="0"/>
        <w:ind w:left="0"/>
        <w:jc w:val="both"/>
        <w:rPr>
          <w:rFonts w:ascii="Abadi" w:hAnsi="Abadi" w:cs="*Arial-4971-Identity-H"/>
          <w:color w:val="141414"/>
          <w:sz w:val="21"/>
          <w:szCs w:val="21"/>
        </w:rPr>
      </w:pPr>
      <w:r w:rsidRPr="005767CC">
        <w:rPr>
          <w:rFonts w:ascii="Abadi" w:hAnsi="Abadi" w:cs="*Arial-4971-Identity-H"/>
          <w:color w:val="141414"/>
          <w:sz w:val="21"/>
          <w:szCs w:val="21"/>
        </w:rPr>
        <w:t>familiar; y</w:t>
      </w:r>
    </w:p>
    <w:p w14:paraId="29615025" w14:textId="77777777" w:rsidR="005767CC" w:rsidRPr="005767CC" w:rsidRDefault="005767CC" w:rsidP="00CC4A96">
      <w:pPr>
        <w:pStyle w:val="Prrafodelista"/>
        <w:autoSpaceDE w:val="0"/>
        <w:autoSpaceDN w:val="0"/>
        <w:adjustRightInd w:val="0"/>
        <w:ind w:left="0"/>
        <w:jc w:val="both"/>
        <w:rPr>
          <w:rFonts w:ascii="Abadi" w:hAnsi="Abadi" w:cs="*Arial-Bold-4970-Identity-H"/>
          <w:b/>
          <w:bCs/>
          <w:color w:val="121212"/>
          <w:sz w:val="21"/>
          <w:szCs w:val="21"/>
        </w:rPr>
      </w:pPr>
    </w:p>
    <w:p w14:paraId="01C129A5" w14:textId="274415FA" w:rsidR="005767CC" w:rsidRPr="005767CC" w:rsidRDefault="005767CC" w:rsidP="00CC4A96">
      <w:pPr>
        <w:pStyle w:val="Prrafodelista"/>
        <w:autoSpaceDE w:val="0"/>
        <w:autoSpaceDN w:val="0"/>
        <w:adjustRightInd w:val="0"/>
        <w:ind w:left="0"/>
        <w:jc w:val="both"/>
        <w:rPr>
          <w:rFonts w:ascii="Abadi" w:hAnsi="Abadi" w:cs="*Arial-Bold-4970-Identity-H"/>
          <w:b/>
          <w:bCs/>
          <w:color w:val="121212"/>
          <w:sz w:val="21"/>
          <w:szCs w:val="21"/>
        </w:rPr>
      </w:pPr>
      <w:r w:rsidRPr="005767CC">
        <w:rPr>
          <w:rFonts w:ascii="Abadi" w:hAnsi="Abadi" w:cs="*Arial-Bold-4970-Identity-H"/>
          <w:b/>
          <w:bCs/>
          <w:color w:val="121212"/>
          <w:sz w:val="21"/>
          <w:szCs w:val="21"/>
        </w:rPr>
        <w:t>XIV. Contribuir a eliminar las brechas y estereotipos de género, asegurando la</w:t>
      </w:r>
      <w:r w:rsidR="004D3D85">
        <w:rPr>
          <w:rFonts w:ascii="Abadi" w:hAnsi="Abadi" w:cs="*Arial-Bold-4970-Identity-H"/>
          <w:b/>
          <w:bCs/>
          <w:color w:val="121212"/>
          <w:sz w:val="21"/>
          <w:szCs w:val="21"/>
        </w:rPr>
        <w:t xml:space="preserve"> </w:t>
      </w:r>
      <w:r w:rsidRPr="004D3D85">
        <w:rPr>
          <w:rFonts w:ascii="Abadi" w:hAnsi="Abadi" w:cs="*Arial-Bold-4970-Identity-H"/>
          <w:b/>
          <w:bCs/>
          <w:color w:val="121212"/>
          <w:sz w:val="21"/>
          <w:szCs w:val="21"/>
        </w:rPr>
        <w:t>igualdad de acceso entre hombres y mujeres a los derechos y beneficios</w:t>
      </w:r>
      <w:r w:rsidR="00251E77">
        <w:rPr>
          <w:rFonts w:ascii="Abadi" w:hAnsi="Abadi" w:cs="*Arial-Bold-4970-Identity-H"/>
          <w:b/>
          <w:bCs/>
          <w:color w:val="121212"/>
          <w:sz w:val="21"/>
          <w:szCs w:val="21"/>
        </w:rPr>
        <w:t xml:space="preserve"> </w:t>
      </w:r>
      <w:r w:rsidRPr="005767CC">
        <w:rPr>
          <w:rFonts w:ascii="Abadi" w:hAnsi="Abadi" w:cs="*Arial-Bold-4970-Identity-H"/>
          <w:b/>
          <w:bCs/>
          <w:color w:val="121212"/>
          <w:sz w:val="21"/>
          <w:szCs w:val="21"/>
        </w:rPr>
        <w:t>consagrados por la presente ley, adecuando las acciones concretas e</w:t>
      </w:r>
      <w:r w:rsidR="00251E77">
        <w:rPr>
          <w:rFonts w:ascii="Abadi" w:hAnsi="Abadi" w:cs="*Arial-Bold-4970-Identity-H"/>
          <w:b/>
          <w:bCs/>
          <w:color w:val="121212"/>
          <w:sz w:val="21"/>
          <w:szCs w:val="21"/>
        </w:rPr>
        <w:t xml:space="preserve"> </w:t>
      </w:r>
      <w:r w:rsidRPr="005767CC">
        <w:rPr>
          <w:rFonts w:ascii="Abadi" w:hAnsi="Abadi" w:cs="*Arial-Bold-4970-Identity-H"/>
          <w:b/>
          <w:bCs/>
          <w:color w:val="121212"/>
          <w:sz w:val="21"/>
          <w:szCs w:val="21"/>
        </w:rPr>
        <w:t>implementando políticas específicas de reconocimiento a favor de las mujeres</w:t>
      </w:r>
      <w:r w:rsidR="00251E77">
        <w:rPr>
          <w:rFonts w:ascii="Abadi" w:hAnsi="Abadi" w:cs="*Arial-Bold-4970-Identity-H"/>
          <w:b/>
          <w:bCs/>
          <w:color w:val="121212"/>
          <w:sz w:val="21"/>
          <w:szCs w:val="21"/>
        </w:rPr>
        <w:t xml:space="preserve"> </w:t>
      </w:r>
      <w:r w:rsidRPr="005767CC">
        <w:rPr>
          <w:rFonts w:ascii="Abadi" w:hAnsi="Abadi" w:cs="*Arial-Bold-4970-Identity-H"/>
          <w:b/>
          <w:bCs/>
          <w:color w:val="121212"/>
          <w:sz w:val="21"/>
          <w:szCs w:val="21"/>
        </w:rPr>
        <w:t>rurales.</w:t>
      </w:r>
    </w:p>
    <w:p w14:paraId="6A675257" w14:textId="77777777" w:rsidR="005767CC" w:rsidRPr="005767CC" w:rsidRDefault="005767CC" w:rsidP="00CC4A96">
      <w:pPr>
        <w:pStyle w:val="Prrafodelista"/>
        <w:autoSpaceDE w:val="0"/>
        <w:autoSpaceDN w:val="0"/>
        <w:adjustRightInd w:val="0"/>
        <w:ind w:left="0"/>
        <w:jc w:val="both"/>
        <w:rPr>
          <w:rFonts w:ascii="Abadi" w:hAnsi="Abadi" w:cs="*Arial-Bold-4970-Identity-H"/>
          <w:b/>
          <w:bCs/>
          <w:color w:val="121212"/>
          <w:sz w:val="21"/>
          <w:szCs w:val="21"/>
        </w:rPr>
      </w:pPr>
    </w:p>
    <w:p w14:paraId="18CEC4AD" w14:textId="77777777" w:rsidR="005767CC" w:rsidRPr="005767CC" w:rsidRDefault="005767CC" w:rsidP="00CC4A96">
      <w:pPr>
        <w:pStyle w:val="Prrafodelista"/>
        <w:autoSpaceDE w:val="0"/>
        <w:autoSpaceDN w:val="0"/>
        <w:adjustRightInd w:val="0"/>
        <w:ind w:left="0"/>
        <w:jc w:val="center"/>
        <w:rPr>
          <w:rFonts w:ascii="Abadi" w:hAnsi="Abadi" w:cs="*Arial-Bold-4970-Identity-H"/>
          <w:b/>
          <w:bCs/>
          <w:color w:val="121212"/>
          <w:sz w:val="21"/>
          <w:szCs w:val="21"/>
        </w:rPr>
      </w:pPr>
      <w:r w:rsidRPr="005767CC">
        <w:rPr>
          <w:rFonts w:ascii="Abadi" w:hAnsi="Abadi" w:cs="*Arial-Bold-4970-Identity-H"/>
          <w:b/>
          <w:bCs/>
          <w:color w:val="121212"/>
          <w:sz w:val="21"/>
          <w:szCs w:val="21"/>
        </w:rPr>
        <w:t>Capítulo V</w:t>
      </w:r>
    </w:p>
    <w:p w14:paraId="4F5BEEFF" w14:textId="77777777" w:rsidR="005767CC" w:rsidRPr="004D3D85" w:rsidRDefault="005767CC" w:rsidP="00CC4A96">
      <w:pPr>
        <w:autoSpaceDE w:val="0"/>
        <w:autoSpaceDN w:val="0"/>
        <w:adjustRightInd w:val="0"/>
        <w:jc w:val="center"/>
        <w:rPr>
          <w:rFonts w:ascii="Abadi" w:hAnsi="Abadi" w:cs="*Arial-Bold-4970-Identity-H"/>
          <w:b/>
          <w:bCs/>
          <w:color w:val="131313"/>
          <w:sz w:val="21"/>
          <w:szCs w:val="21"/>
        </w:rPr>
      </w:pPr>
      <w:r w:rsidRPr="004D3D85">
        <w:rPr>
          <w:rFonts w:ascii="Abadi" w:hAnsi="Abadi" w:cs="*Arial-Bold-4970-Identity-H"/>
          <w:b/>
          <w:bCs/>
          <w:color w:val="131313"/>
          <w:sz w:val="21"/>
          <w:szCs w:val="21"/>
        </w:rPr>
        <w:t>Consejo Ciudadano de Fomento</w:t>
      </w:r>
    </w:p>
    <w:p w14:paraId="14EC97CA" w14:textId="77777777" w:rsidR="005767CC" w:rsidRPr="005767CC" w:rsidRDefault="005767CC" w:rsidP="00CC4A96">
      <w:pPr>
        <w:pStyle w:val="Prrafodelista"/>
        <w:autoSpaceDE w:val="0"/>
        <w:autoSpaceDN w:val="0"/>
        <w:adjustRightInd w:val="0"/>
        <w:ind w:left="0"/>
        <w:jc w:val="center"/>
        <w:rPr>
          <w:rFonts w:ascii="Abadi" w:hAnsi="Abadi" w:cs="*Arial-Bold-4970-Identity-H"/>
          <w:b/>
          <w:bCs/>
          <w:color w:val="131313"/>
          <w:sz w:val="21"/>
          <w:szCs w:val="21"/>
        </w:rPr>
      </w:pPr>
      <w:r w:rsidRPr="005767CC">
        <w:rPr>
          <w:rFonts w:ascii="Abadi" w:hAnsi="Abadi" w:cs="*Arial-Bold-4970-Identity-H"/>
          <w:b/>
          <w:bCs/>
          <w:color w:val="131313"/>
          <w:sz w:val="21"/>
          <w:szCs w:val="21"/>
        </w:rPr>
        <w:t>a la Agricultura Familiar</w:t>
      </w:r>
    </w:p>
    <w:p w14:paraId="5387CA1E" w14:textId="77777777" w:rsidR="005767CC" w:rsidRPr="005767CC" w:rsidRDefault="005767CC" w:rsidP="00CC4A96">
      <w:pPr>
        <w:pStyle w:val="Prrafodelista"/>
        <w:autoSpaceDE w:val="0"/>
        <w:autoSpaceDN w:val="0"/>
        <w:adjustRightInd w:val="0"/>
        <w:ind w:left="0"/>
        <w:jc w:val="both"/>
        <w:rPr>
          <w:rFonts w:ascii="Abadi" w:hAnsi="Abadi" w:cs="*Calibri-4968-Identity-H"/>
          <w:color w:val="161616"/>
          <w:sz w:val="21"/>
          <w:szCs w:val="21"/>
        </w:rPr>
      </w:pPr>
    </w:p>
    <w:p w14:paraId="1B61C169" w14:textId="77777777" w:rsidR="005767CC" w:rsidRPr="005767CC" w:rsidRDefault="005767CC" w:rsidP="00CC4A96">
      <w:pPr>
        <w:pStyle w:val="Prrafodelista"/>
        <w:autoSpaceDE w:val="0"/>
        <w:autoSpaceDN w:val="0"/>
        <w:adjustRightInd w:val="0"/>
        <w:ind w:left="0"/>
        <w:jc w:val="both"/>
        <w:rPr>
          <w:rFonts w:ascii="Abadi" w:hAnsi="Abadi" w:cs="*Arial-5193-Identity-H"/>
          <w:color w:val="141414"/>
          <w:sz w:val="21"/>
          <w:szCs w:val="21"/>
        </w:rPr>
      </w:pPr>
      <w:r w:rsidRPr="005767CC">
        <w:rPr>
          <w:rFonts w:ascii="Abadi" w:hAnsi="Abadi" w:cs="*Arial-Bold-5192-Identity-H"/>
          <w:b/>
          <w:bCs/>
          <w:color w:val="141414"/>
          <w:sz w:val="21"/>
          <w:szCs w:val="21"/>
        </w:rPr>
        <w:t xml:space="preserve">Artículo 16. </w:t>
      </w:r>
      <w:r w:rsidRPr="005767CC">
        <w:rPr>
          <w:rFonts w:ascii="Abadi" w:hAnsi="Abadi" w:cs="*Arial-5193-Identity-H"/>
          <w:color w:val="141414"/>
          <w:sz w:val="21"/>
          <w:szCs w:val="21"/>
        </w:rPr>
        <w:t>El Poder Ejecutivo, en el Reglamento de la Ley, estableceré un Consejo que será el órgano colegiado de consulta cuyo objeto es orientar, fomentar, promover, impulsar, apoyar y proponer políticas públicas para el fomento de la agricultura familiar.</w:t>
      </w:r>
    </w:p>
    <w:p w14:paraId="10458AD3" w14:textId="77777777" w:rsidR="005767CC" w:rsidRPr="004D3D85" w:rsidRDefault="005767CC" w:rsidP="00CC4A96">
      <w:pPr>
        <w:autoSpaceDE w:val="0"/>
        <w:autoSpaceDN w:val="0"/>
        <w:adjustRightInd w:val="0"/>
        <w:jc w:val="both"/>
        <w:rPr>
          <w:rFonts w:ascii="Abadi" w:hAnsi="Abadi" w:cs="*Arial-5193-Identity-H"/>
          <w:color w:val="141414"/>
          <w:sz w:val="21"/>
          <w:szCs w:val="21"/>
        </w:rPr>
      </w:pPr>
    </w:p>
    <w:p w14:paraId="56EB8489" w14:textId="77777777" w:rsidR="005767CC" w:rsidRPr="005767CC" w:rsidRDefault="005767CC" w:rsidP="00CC4A96">
      <w:pPr>
        <w:pStyle w:val="Prrafodelista"/>
        <w:autoSpaceDE w:val="0"/>
        <w:autoSpaceDN w:val="0"/>
        <w:adjustRightInd w:val="0"/>
        <w:ind w:left="0"/>
        <w:jc w:val="both"/>
        <w:rPr>
          <w:rFonts w:ascii="Abadi" w:hAnsi="Abadi" w:cs="*Arial-5193-Identity-H"/>
          <w:color w:val="141414"/>
          <w:sz w:val="21"/>
          <w:szCs w:val="21"/>
        </w:rPr>
      </w:pPr>
    </w:p>
    <w:p w14:paraId="24486B57" w14:textId="77777777" w:rsidR="005767CC" w:rsidRPr="009A36A1" w:rsidRDefault="005767CC" w:rsidP="00CC4A96">
      <w:pPr>
        <w:autoSpaceDE w:val="0"/>
        <w:autoSpaceDN w:val="0"/>
        <w:adjustRightInd w:val="0"/>
        <w:jc w:val="both"/>
        <w:rPr>
          <w:rFonts w:ascii="Abadi" w:hAnsi="Abadi" w:cs="*Arial-Bold-5192-Identity-H"/>
          <w:b/>
          <w:bCs/>
          <w:color w:val="131313"/>
          <w:sz w:val="21"/>
          <w:szCs w:val="21"/>
        </w:rPr>
      </w:pPr>
      <w:r w:rsidRPr="009A36A1">
        <w:rPr>
          <w:rFonts w:ascii="Abadi" w:hAnsi="Abadi" w:cs="*Arial-Bold-5192-Identity-H"/>
          <w:b/>
          <w:bCs/>
          <w:color w:val="131313"/>
          <w:sz w:val="21"/>
          <w:szCs w:val="21"/>
        </w:rPr>
        <w:t>Las mujeres rurales tendrán una participación equitativa en el Consejo.</w:t>
      </w:r>
    </w:p>
    <w:p w14:paraId="094AADD8" w14:textId="77777777" w:rsidR="005767CC" w:rsidRPr="009A36A1" w:rsidRDefault="005767CC" w:rsidP="00CC4A96">
      <w:pPr>
        <w:autoSpaceDE w:val="0"/>
        <w:autoSpaceDN w:val="0"/>
        <w:adjustRightInd w:val="0"/>
        <w:jc w:val="both"/>
        <w:rPr>
          <w:rFonts w:ascii="Abadi" w:hAnsi="Abadi" w:cs="*Arial-Bold-5192-Identity-H"/>
          <w:b/>
          <w:bCs/>
          <w:color w:val="131313"/>
          <w:sz w:val="21"/>
          <w:szCs w:val="21"/>
        </w:rPr>
      </w:pPr>
    </w:p>
    <w:p w14:paraId="10FBE4A7" w14:textId="77777777" w:rsidR="005767CC" w:rsidRPr="009A36A1" w:rsidRDefault="005767CC" w:rsidP="00CC4A96">
      <w:pPr>
        <w:autoSpaceDE w:val="0"/>
        <w:autoSpaceDN w:val="0"/>
        <w:adjustRightInd w:val="0"/>
        <w:jc w:val="both"/>
        <w:rPr>
          <w:rFonts w:ascii="Abadi" w:hAnsi="Abadi" w:cs="*Arial-Bold-5192-Identity-H"/>
          <w:b/>
          <w:bCs/>
          <w:color w:val="131313"/>
          <w:sz w:val="21"/>
          <w:szCs w:val="21"/>
        </w:rPr>
      </w:pPr>
    </w:p>
    <w:p w14:paraId="2A7FA273" w14:textId="77777777" w:rsidR="005767CC" w:rsidRPr="009A36A1" w:rsidRDefault="005767CC" w:rsidP="00CC4A96">
      <w:pPr>
        <w:autoSpaceDE w:val="0"/>
        <w:autoSpaceDN w:val="0"/>
        <w:adjustRightInd w:val="0"/>
        <w:jc w:val="center"/>
        <w:rPr>
          <w:rFonts w:ascii="Abadi" w:hAnsi="Abadi" w:cs="*Arial-Bold-5192-Identity-H"/>
          <w:b/>
          <w:bCs/>
          <w:color w:val="141414"/>
          <w:sz w:val="21"/>
          <w:szCs w:val="21"/>
        </w:rPr>
      </w:pPr>
      <w:r w:rsidRPr="009A36A1">
        <w:rPr>
          <w:rFonts w:ascii="Abadi" w:hAnsi="Abadi" w:cs="*Arial-Bold-5192-Identity-H"/>
          <w:b/>
          <w:bCs/>
          <w:color w:val="141414"/>
          <w:sz w:val="21"/>
          <w:szCs w:val="21"/>
        </w:rPr>
        <w:t>TRANSITORIO</w:t>
      </w:r>
    </w:p>
    <w:p w14:paraId="7D87F010" w14:textId="77777777" w:rsidR="005767CC" w:rsidRPr="005767CC" w:rsidRDefault="005767CC" w:rsidP="00CC4A96">
      <w:pPr>
        <w:pStyle w:val="Prrafodelista"/>
        <w:autoSpaceDE w:val="0"/>
        <w:autoSpaceDN w:val="0"/>
        <w:adjustRightInd w:val="0"/>
        <w:ind w:left="0"/>
        <w:jc w:val="both"/>
        <w:rPr>
          <w:rFonts w:ascii="Abadi" w:hAnsi="Abadi" w:cs="*Arial-Bold-5192-Identity-H"/>
          <w:b/>
          <w:bCs/>
          <w:color w:val="141414"/>
          <w:sz w:val="21"/>
          <w:szCs w:val="21"/>
        </w:rPr>
      </w:pPr>
    </w:p>
    <w:p w14:paraId="6311914B" w14:textId="77777777" w:rsidR="005767CC" w:rsidRPr="005767CC" w:rsidRDefault="005767CC" w:rsidP="00CC4A96">
      <w:pPr>
        <w:pStyle w:val="Prrafodelista"/>
        <w:autoSpaceDE w:val="0"/>
        <w:autoSpaceDN w:val="0"/>
        <w:adjustRightInd w:val="0"/>
        <w:ind w:left="0"/>
        <w:jc w:val="right"/>
        <w:rPr>
          <w:rFonts w:ascii="Abadi" w:hAnsi="Abadi" w:cs="*Arial-Bold-5192-Identity-H"/>
          <w:b/>
          <w:bCs/>
          <w:color w:val="131313"/>
          <w:sz w:val="21"/>
          <w:szCs w:val="21"/>
        </w:rPr>
      </w:pPr>
      <w:r w:rsidRPr="005767CC">
        <w:rPr>
          <w:rFonts w:ascii="Abadi" w:hAnsi="Abadi" w:cs="*Arial-Bold-5192-Identity-H"/>
          <w:b/>
          <w:bCs/>
          <w:color w:val="131313"/>
          <w:sz w:val="21"/>
          <w:szCs w:val="21"/>
        </w:rPr>
        <w:t>Inicio de vigencia</w:t>
      </w:r>
    </w:p>
    <w:p w14:paraId="33FFD146" w14:textId="77777777" w:rsidR="005767CC" w:rsidRPr="005767CC" w:rsidRDefault="005767CC" w:rsidP="00CC4A96">
      <w:pPr>
        <w:pStyle w:val="Prrafodelista"/>
        <w:autoSpaceDE w:val="0"/>
        <w:autoSpaceDN w:val="0"/>
        <w:adjustRightInd w:val="0"/>
        <w:ind w:left="0"/>
        <w:jc w:val="both"/>
        <w:rPr>
          <w:rFonts w:ascii="Abadi" w:hAnsi="Abadi" w:cs="*Arial-Bold-5192-Identity-H"/>
          <w:b/>
          <w:bCs/>
          <w:color w:val="131313"/>
          <w:sz w:val="21"/>
          <w:szCs w:val="21"/>
        </w:rPr>
      </w:pPr>
    </w:p>
    <w:p w14:paraId="780C3AE6" w14:textId="77777777" w:rsidR="005767CC" w:rsidRPr="005767CC" w:rsidRDefault="005767CC" w:rsidP="00CC4A96">
      <w:pPr>
        <w:pStyle w:val="Prrafodelista"/>
        <w:autoSpaceDE w:val="0"/>
        <w:autoSpaceDN w:val="0"/>
        <w:adjustRightInd w:val="0"/>
        <w:ind w:left="0"/>
        <w:jc w:val="both"/>
        <w:rPr>
          <w:rFonts w:ascii="Abadi" w:hAnsi="Abadi" w:cs="*Arial-5193-Identity-H"/>
          <w:color w:val="131313"/>
          <w:sz w:val="21"/>
          <w:szCs w:val="21"/>
        </w:rPr>
      </w:pPr>
      <w:r w:rsidRPr="005767CC">
        <w:rPr>
          <w:rFonts w:ascii="Abadi" w:hAnsi="Abadi" w:cs="*Arial-Bold-5192-Identity-H"/>
          <w:b/>
          <w:bCs/>
          <w:color w:val="131313"/>
          <w:sz w:val="21"/>
          <w:szCs w:val="21"/>
        </w:rPr>
        <w:t xml:space="preserve">Artículo Único. </w:t>
      </w:r>
      <w:r w:rsidRPr="005767CC">
        <w:rPr>
          <w:rFonts w:ascii="Abadi" w:hAnsi="Abadi" w:cs="*Arial-5193-Identity-H"/>
          <w:color w:val="131313"/>
          <w:sz w:val="21"/>
          <w:szCs w:val="21"/>
        </w:rPr>
        <w:t>El presente Decreto entrará en vigor el día siguiente al de su publicación en el Periódico Oficial del Gobierno del Estado de Guanajuato.</w:t>
      </w:r>
    </w:p>
    <w:p w14:paraId="083C8CE8" w14:textId="77777777" w:rsidR="005767CC" w:rsidRPr="005767CC" w:rsidRDefault="005767CC" w:rsidP="00CC4A96">
      <w:pPr>
        <w:autoSpaceDE w:val="0"/>
        <w:autoSpaceDN w:val="0"/>
        <w:adjustRightInd w:val="0"/>
        <w:jc w:val="both"/>
        <w:rPr>
          <w:rFonts w:ascii="Abadi" w:hAnsi="Abadi" w:cs="*Arial-5193-Identity-H"/>
          <w:color w:val="131313"/>
          <w:sz w:val="21"/>
          <w:szCs w:val="21"/>
        </w:rPr>
      </w:pPr>
    </w:p>
    <w:p w14:paraId="15F663CB" w14:textId="77777777" w:rsidR="005767CC" w:rsidRPr="005767CC" w:rsidRDefault="005767CC" w:rsidP="00CC4A96">
      <w:pPr>
        <w:autoSpaceDE w:val="0"/>
        <w:autoSpaceDN w:val="0"/>
        <w:adjustRightInd w:val="0"/>
        <w:jc w:val="both"/>
        <w:rPr>
          <w:rFonts w:ascii="Abadi" w:hAnsi="Abadi" w:cs="*Arial-5193-Identity-H"/>
          <w:color w:val="141414"/>
          <w:sz w:val="21"/>
          <w:szCs w:val="21"/>
        </w:rPr>
      </w:pPr>
      <w:r w:rsidRPr="005767CC">
        <w:rPr>
          <w:rFonts w:ascii="Abadi" w:hAnsi="Abadi" w:cs="*Arial-5193-Identity-H"/>
          <w:color w:val="141414"/>
          <w:sz w:val="21"/>
          <w:szCs w:val="21"/>
        </w:rPr>
        <w:t>En razón de lo anteriormente expuesto y fundado, solicito a usted dar a la presente iniciativa el trámite señalado en nuestra Ley Orgánica del Poder Legislativo del Estado de Guanajuato.</w:t>
      </w:r>
    </w:p>
    <w:p w14:paraId="285F2F79" w14:textId="77777777" w:rsidR="005767CC" w:rsidRPr="005767CC" w:rsidRDefault="005767CC" w:rsidP="00CC4A96">
      <w:pPr>
        <w:pStyle w:val="Prrafodelista"/>
        <w:autoSpaceDE w:val="0"/>
        <w:autoSpaceDN w:val="0"/>
        <w:adjustRightInd w:val="0"/>
        <w:ind w:left="0"/>
        <w:jc w:val="both"/>
        <w:rPr>
          <w:rFonts w:ascii="Abadi" w:hAnsi="Abadi" w:cs="*Arial-5193-Identity-H"/>
          <w:color w:val="141414"/>
          <w:sz w:val="21"/>
          <w:szCs w:val="21"/>
        </w:rPr>
      </w:pPr>
    </w:p>
    <w:p w14:paraId="66AD0ECB" w14:textId="77777777" w:rsidR="005767CC" w:rsidRPr="005767CC" w:rsidRDefault="005767CC" w:rsidP="00CC4A96">
      <w:pPr>
        <w:pStyle w:val="Prrafodelista"/>
        <w:autoSpaceDE w:val="0"/>
        <w:autoSpaceDN w:val="0"/>
        <w:adjustRightInd w:val="0"/>
        <w:ind w:left="0"/>
        <w:jc w:val="center"/>
        <w:rPr>
          <w:rFonts w:ascii="Abadi" w:hAnsi="Abadi" w:cs="*Arial-Bold-5192-Identity-H"/>
          <w:b/>
          <w:bCs/>
          <w:color w:val="131313"/>
          <w:sz w:val="21"/>
          <w:szCs w:val="21"/>
        </w:rPr>
      </w:pPr>
      <w:r w:rsidRPr="005767CC">
        <w:rPr>
          <w:rFonts w:ascii="Abadi" w:hAnsi="Abadi" w:cs="*Arial-Bold-5192-Identity-H"/>
          <w:b/>
          <w:bCs/>
          <w:color w:val="131313"/>
          <w:sz w:val="21"/>
          <w:szCs w:val="21"/>
        </w:rPr>
        <w:t>Guanajuato, Gto., a 11 de octubre de 2022.</w:t>
      </w:r>
    </w:p>
    <w:p w14:paraId="181D79C9" w14:textId="77777777" w:rsidR="005767CC" w:rsidRPr="005767CC" w:rsidRDefault="005767CC" w:rsidP="00CC4A96">
      <w:pPr>
        <w:pStyle w:val="Prrafodelista"/>
        <w:autoSpaceDE w:val="0"/>
        <w:autoSpaceDN w:val="0"/>
        <w:adjustRightInd w:val="0"/>
        <w:ind w:left="0"/>
        <w:jc w:val="center"/>
        <w:rPr>
          <w:rFonts w:ascii="Abadi" w:hAnsi="Abadi" w:cs="*Arial-Bold-5192-Identity-H"/>
          <w:b/>
          <w:bCs/>
          <w:color w:val="121212"/>
          <w:sz w:val="21"/>
          <w:szCs w:val="21"/>
        </w:rPr>
      </w:pPr>
      <w:r w:rsidRPr="005767CC">
        <w:rPr>
          <w:rFonts w:ascii="Abadi" w:hAnsi="Abadi" w:cs="*Arial-Bold-5192-Identity-H"/>
          <w:b/>
          <w:bCs/>
          <w:color w:val="121212"/>
          <w:sz w:val="21"/>
          <w:szCs w:val="21"/>
        </w:rPr>
        <w:t>Diputadas y Diputados integrantes del</w:t>
      </w:r>
    </w:p>
    <w:p w14:paraId="7411773E" w14:textId="0E530E11" w:rsidR="005767CC" w:rsidRPr="005767CC" w:rsidRDefault="005767CC" w:rsidP="00CC4A96">
      <w:pPr>
        <w:pStyle w:val="Prrafodelista"/>
        <w:autoSpaceDE w:val="0"/>
        <w:autoSpaceDN w:val="0"/>
        <w:adjustRightInd w:val="0"/>
        <w:ind w:left="0"/>
        <w:jc w:val="center"/>
        <w:rPr>
          <w:rFonts w:ascii="Abadi" w:hAnsi="Abadi" w:cs="*Arial-Bold-5192-Identity-H"/>
          <w:b/>
          <w:bCs/>
          <w:color w:val="121212"/>
          <w:sz w:val="21"/>
          <w:szCs w:val="21"/>
        </w:rPr>
      </w:pPr>
      <w:r w:rsidRPr="005767CC">
        <w:rPr>
          <w:rFonts w:ascii="Abadi" w:hAnsi="Abadi" w:cs="*Arial-Bold-5192-Identity-H"/>
          <w:b/>
          <w:bCs/>
          <w:color w:val="121212"/>
          <w:sz w:val="21"/>
          <w:szCs w:val="21"/>
        </w:rPr>
        <w:t>Grupo Parlamentario del Partido Acción Nacional</w:t>
      </w:r>
    </w:p>
    <w:p w14:paraId="5D1877DD" w14:textId="77777777" w:rsidR="005767CC" w:rsidRPr="005767CC" w:rsidRDefault="005767CC" w:rsidP="00CC4A96">
      <w:pPr>
        <w:pStyle w:val="Prrafodelista"/>
        <w:autoSpaceDE w:val="0"/>
        <w:autoSpaceDN w:val="0"/>
        <w:adjustRightInd w:val="0"/>
        <w:ind w:left="0"/>
        <w:jc w:val="both"/>
        <w:rPr>
          <w:rFonts w:ascii="Abadi" w:hAnsi="Abadi" w:cs="*Calibri-5190-Identity-H"/>
          <w:color w:val="161616"/>
          <w:sz w:val="21"/>
          <w:szCs w:val="21"/>
        </w:rPr>
      </w:pPr>
    </w:p>
    <w:p w14:paraId="0EBB3A52" w14:textId="77777777" w:rsidR="005767CC" w:rsidRPr="005767CC" w:rsidRDefault="005767CC" w:rsidP="00CC4A96">
      <w:pPr>
        <w:pStyle w:val="Prrafodelista"/>
        <w:autoSpaceDE w:val="0"/>
        <w:autoSpaceDN w:val="0"/>
        <w:adjustRightInd w:val="0"/>
        <w:ind w:left="0"/>
        <w:jc w:val="both"/>
        <w:rPr>
          <w:rFonts w:ascii="Abadi" w:hAnsi="Abadi" w:cs="*Calibri-5190-Identity-H"/>
          <w:b/>
          <w:bCs/>
          <w:color w:val="161616"/>
          <w:sz w:val="21"/>
          <w:szCs w:val="21"/>
        </w:rPr>
      </w:pPr>
      <w:r w:rsidRPr="005767CC">
        <w:rPr>
          <w:rFonts w:ascii="Abadi" w:hAnsi="Abadi" w:cs="*Calibri-5190-Identity-H"/>
          <w:b/>
          <w:bCs/>
          <w:color w:val="161616"/>
          <w:sz w:val="21"/>
          <w:szCs w:val="21"/>
        </w:rPr>
        <w:t>Dip. Luis Ernesto Ayala Torres</w:t>
      </w:r>
    </w:p>
    <w:p w14:paraId="3FB917E2" w14:textId="77777777" w:rsidR="005767CC" w:rsidRPr="005767CC" w:rsidRDefault="005767CC" w:rsidP="00CC4A96">
      <w:pPr>
        <w:pStyle w:val="Prrafodelista"/>
        <w:autoSpaceDE w:val="0"/>
        <w:autoSpaceDN w:val="0"/>
        <w:adjustRightInd w:val="0"/>
        <w:ind w:left="0"/>
        <w:jc w:val="both"/>
        <w:rPr>
          <w:rFonts w:ascii="Abadi" w:hAnsi="Abadi" w:cs="*Arial-Bold-3140-Identity-H"/>
          <w:b/>
          <w:bCs/>
          <w:color w:val="131313"/>
          <w:sz w:val="21"/>
          <w:szCs w:val="21"/>
        </w:rPr>
      </w:pPr>
      <w:r w:rsidRPr="005767CC">
        <w:rPr>
          <w:rFonts w:ascii="Abadi" w:hAnsi="Abadi" w:cs="*Arial-Bold-3140-Identity-H"/>
          <w:b/>
          <w:bCs/>
          <w:color w:val="131313"/>
          <w:sz w:val="21"/>
          <w:szCs w:val="21"/>
        </w:rPr>
        <w:t>Dip. Rolando Fortino Alcántar Rojas</w:t>
      </w:r>
    </w:p>
    <w:p w14:paraId="3AD60681" w14:textId="77777777" w:rsidR="005767CC" w:rsidRPr="005767CC" w:rsidRDefault="005767CC" w:rsidP="00CC4A96">
      <w:pPr>
        <w:pStyle w:val="Prrafodelista"/>
        <w:autoSpaceDE w:val="0"/>
        <w:autoSpaceDN w:val="0"/>
        <w:adjustRightInd w:val="0"/>
        <w:ind w:left="0"/>
        <w:jc w:val="both"/>
        <w:rPr>
          <w:rFonts w:ascii="Abadi" w:hAnsi="Abadi" w:cs="*Arial-Bold-3140-Identity-H"/>
          <w:b/>
          <w:bCs/>
          <w:color w:val="141414"/>
          <w:sz w:val="21"/>
          <w:szCs w:val="21"/>
        </w:rPr>
      </w:pPr>
      <w:r w:rsidRPr="005767CC">
        <w:rPr>
          <w:rFonts w:ascii="Abadi" w:hAnsi="Abadi" w:cs="*Arial-Bold-3140-Identity-H"/>
          <w:b/>
          <w:bCs/>
          <w:color w:val="141414"/>
          <w:sz w:val="21"/>
          <w:szCs w:val="21"/>
        </w:rPr>
        <w:t>Dip. Bricio Balderas Álvarez</w:t>
      </w:r>
    </w:p>
    <w:p w14:paraId="3FC44EB1" w14:textId="77777777" w:rsidR="005767CC" w:rsidRPr="005767CC" w:rsidRDefault="005767CC" w:rsidP="00CC4A96">
      <w:pPr>
        <w:pStyle w:val="Prrafodelista"/>
        <w:autoSpaceDE w:val="0"/>
        <w:autoSpaceDN w:val="0"/>
        <w:adjustRightInd w:val="0"/>
        <w:ind w:left="0"/>
        <w:jc w:val="both"/>
        <w:rPr>
          <w:rFonts w:ascii="Abadi" w:hAnsi="Abadi" w:cs="*Arial-Bold-3140-Identity-H"/>
          <w:b/>
          <w:bCs/>
          <w:color w:val="141414"/>
          <w:sz w:val="21"/>
          <w:szCs w:val="21"/>
        </w:rPr>
      </w:pPr>
      <w:r w:rsidRPr="005767CC">
        <w:rPr>
          <w:rFonts w:ascii="Abadi" w:hAnsi="Abadi" w:cs="*Times New Roman-3132-Identity-"/>
          <w:b/>
          <w:bCs/>
          <w:color w:val="000000" w:themeColor="text1"/>
          <w:sz w:val="21"/>
          <w:szCs w:val="21"/>
        </w:rPr>
        <w:t>Dip. Susana Bermúdez Cano</w:t>
      </w:r>
      <w:r w:rsidRPr="005767CC">
        <w:rPr>
          <w:rFonts w:ascii="Abadi" w:hAnsi="Abadi" w:cs="*Arial-Bold-3140-Identity-H"/>
          <w:b/>
          <w:bCs/>
          <w:color w:val="141414"/>
          <w:sz w:val="21"/>
          <w:szCs w:val="21"/>
        </w:rPr>
        <w:t xml:space="preserve"> </w:t>
      </w:r>
    </w:p>
    <w:p w14:paraId="690BAF3F" w14:textId="77777777" w:rsidR="005767CC" w:rsidRPr="005767CC" w:rsidRDefault="005767CC" w:rsidP="00CC4A96">
      <w:pPr>
        <w:pStyle w:val="Prrafodelista"/>
        <w:autoSpaceDE w:val="0"/>
        <w:autoSpaceDN w:val="0"/>
        <w:adjustRightInd w:val="0"/>
        <w:ind w:left="0"/>
        <w:jc w:val="both"/>
        <w:rPr>
          <w:rFonts w:ascii="Abadi" w:hAnsi="Abadi" w:cs="*Arial-Bold-3140-Identity-H"/>
          <w:b/>
          <w:bCs/>
          <w:color w:val="141414"/>
          <w:sz w:val="21"/>
          <w:szCs w:val="21"/>
        </w:rPr>
      </w:pPr>
      <w:r w:rsidRPr="005767CC">
        <w:rPr>
          <w:rFonts w:ascii="Abadi" w:hAnsi="Abadi" w:cs="*Arial-Bold-3140-Identity-H"/>
          <w:b/>
          <w:bCs/>
          <w:color w:val="141414"/>
          <w:sz w:val="21"/>
          <w:szCs w:val="21"/>
        </w:rPr>
        <w:t>Dip. José Alfonso Borja Pimentel</w:t>
      </w:r>
    </w:p>
    <w:p w14:paraId="004EE0A7" w14:textId="77777777" w:rsidR="005767CC" w:rsidRPr="005767CC" w:rsidRDefault="005767CC" w:rsidP="00CC4A96">
      <w:pPr>
        <w:pStyle w:val="Prrafodelista"/>
        <w:autoSpaceDE w:val="0"/>
        <w:autoSpaceDN w:val="0"/>
        <w:adjustRightInd w:val="0"/>
        <w:ind w:left="0"/>
        <w:jc w:val="both"/>
        <w:rPr>
          <w:rFonts w:ascii="Abadi" w:hAnsi="Abadi" w:cs="*Times New Roman-3132-Identity-"/>
          <w:b/>
          <w:bCs/>
          <w:color w:val="000000" w:themeColor="text1"/>
          <w:sz w:val="21"/>
          <w:szCs w:val="21"/>
        </w:rPr>
      </w:pPr>
      <w:r w:rsidRPr="005767CC">
        <w:rPr>
          <w:rFonts w:ascii="Abadi" w:hAnsi="Abadi" w:cs="*Times New Roman-3132-Identity-"/>
          <w:b/>
          <w:bCs/>
          <w:color w:val="000000" w:themeColor="text1"/>
          <w:sz w:val="21"/>
          <w:szCs w:val="21"/>
        </w:rPr>
        <w:t xml:space="preserve">Dip. Angelica Casillas Martinez </w:t>
      </w:r>
    </w:p>
    <w:p w14:paraId="6D0D1532" w14:textId="77777777" w:rsidR="005767CC" w:rsidRPr="005767CC" w:rsidRDefault="005767CC" w:rsidP="00CC4A96">
      <w:pPr>
        <w:pStyle w:val="Prrafodelista"/>
        <w:autoSpaceDE w:val="0"/>
        <w:autoSpaceDN w:val="0"/>
        <w:adjustRightInd w:val="0"/>
        <w:ind w:left="0"/>
        <w:jc w:val="both"/>
        <w:rPr>
          <w:rFonts w:ascii="Abadi" w:hAnsi="Abadi" w:cs="*Arial-Bold-3140-Identity-H"/>
          <w:b/>
          <w:bCs/>
          <w:color w:val="161616"/>
          <w:sz w:val="21"/>
          <w:szCs w:val="21"/>
        </w:rPr>
      </w:pPr>
      <w:r w:rsidRPr="005767CC">
        <w:rPr>
          <w:rFonts w:ascii="Abadi" w:hAnsi="Abadi" w:cs="*Arial-Bold-3140-Identity-H"/>
          <w:b/>
          <w:bCs/>
          <w:color w:val="161616"/>
          <w:sz w:val="21"/>
          <w:szCs w:val="21"/>
        </w:rPr>
        <w:t xml:space="preserve">Dip. Martha Guadalupe Hernández </w:t>
      </w:r>
      <w:r w:rsidRPr="005767CC">
        <w:rPr>
          <w:rFonts w:ascii="Abadi" w:hAnsi="Abadi" w:cs="*Arial-Bold-3140-Identity-H"/>
          <w:b/>
          <w:bCs/>
          <w:color w:val="141414"/>
          <w:sz w:val="21"/>
          <w:szCs w:val="21"/>
        </w:rPr>
        <w:t>Camarena</w:t>
      </w:r>
    </w:p>
    <w:p w14:paraId="29F317A7" w14:textId="77777777" w:rsidR="005767CC" w:rsidRPr="005767CC" w:rsidRDefault="005767CC" w:rsidP="00CC4A96">
      <w:pPr>
        <w:pStyle w:val="Prrafodelista"/>
        <w:autoSpaceDE w:val="0"/>
        <w:autoSpaceDN w:val="0"/>
        <w:adjustRightInd w:val="0"/>
        <w:ind w:left="0"/>
        <w:jc w:val="both"/>
        <w:rPr>
          <w:rFonts w:ascii="Abadi" w:hAnsi="Abadi" w:cs="*Arial-Bold-3140-Identity-H"/>
          <w:b/>
          <w:bCs/>
          <w:color w:val="141414"/>
          <w:sz w:val="21"/>
          <w:szCs w:val="21"/>
        </w:rPr>
      </w:pPr>
      <w:r w:rsidRPr="005767CC">
        <w:rPr>
          <w:rFonts w:ascii="Abadi" w:hAnsi="Abadi" w:cs="*Arial-Bold-3140-Identity-H"/>
          <w:b/>
          <w:bCs/>
          <w:color w:val="161616"/>
          <w:sz w:val="21"/>
          <w:szCs w:val="21"/>
        </w:rPr>
        <w:t>Dip. Ma</w:t>
      </w:r>
      <w:r w:rsidRPr="005767CC">
        <w:rPr>
          <w:rFonts w:ascii="Abadi" w:eastAsia="Abadi" w:hAnsi="Abadi" w:cs="Abadi"/>
          <w:b/>
          <w:bCs/>
          <w:color w:val="302858"/>
          <w:sz w:val="21"/>
          <w:szCs w:val="21"/>
        </w:rPr>
        <w:t>ría</w:t>
      </w:r>
      <w:r w:rsidRPr="005767CC">
        <w:rPr>
          <w:rFonts w:ascii="Abadi" w:hAnsi="Abadi" w:cs="*Arial-Bold-3140-Identity-H"/>
          <w:b/>
          <w:bCs/>
          <w:color w:val="302858"/>
          <w:sz w:val="21"/>
          <w:szCs w:val="21"/>
        </w:rPr>
        <w:t xml:space="preserve"> </w:t>
      </w:r>
      <w:r w:rsidRPr="005767CC">
        <w:rPr>
          <w:rFonts w:ascii="Abadi" w:hAnsi="Abadi" w:cs="*Arial-Bold-3140-Identity-H"/>
          <w:b/>
          <w:bCs/>
          <w:color w:val="161616"/>
          <w:sz w:val="21"/>
          <w:szCs w:val="21"/>
        </w:rPr>
        <w:t xml:space="preserve">Luz Hernández Martínez </w:t>
      </w:r>
    </w:p>
    <w:p w14:paraId="6DDF2686" w14:textId="77777777" w:rsidR="005767CC" w:rsidRPr="005767CC" w:rsidRDefault="005767CC" w:rsidP="00CC4A96">
      <w:pPr>
        <w:pStyle w:val="Prrafodelista"/>
        <w:autoSpaceDE w:val="0"/>
        <w:autoSpaceDN w:val="0"/>
        <w:adjustRightInd w:val="0"/>
        <w:ind w:left="0"/>
        <w:jc w:val="both"/>
        <w:rPr>
          <w:rFonts w:ascii="Abadi" w:hAnsi="Abadi" w:cs="*Arial-Bold-3140-Identity-H"/>
          <w:b/>
          <w:bCs/>
          <w:color w:val="131313"/>
          <w:sz w:val="21"/>
          <w:szCs w:val="21"/>
        </w:rPr>
      </w:pPr>
      <w:r w:rsidRPr="005767CC">
        <w:rPr>
          <w:rFonts w:ascii="Abadi" w:hAnsi="Abadi" w:cs="*Arial-Bold-3140-Identity-H"/>
          <w:b/>
          <w:bCs/>
          <w:color w:val="131313"/>
          <w:sz w:val="21"/>
          <w:szCs w:val="21"/>
        </w:rPr>
        <w:t>Dip. César Larrondo Díaz</w:t>
      </w:r>
    </w:p>
    <w:p w14:paraId="24D5E01D" w14:textId="05BBCCC8" w:rsidR="005767CC" w:rsidRPr="005767CC" w:rsidRDefault="005767CC" w:rsidP="00CC4A96">
      <w:pPr>
        <w:pStyle w:val="Prrafodelista"/>
        <w:autoSpaceDE w:val="0"/>
        <w:autoSpaceDN w:val="0"/>
        <w:adjustRightInd w:val="0"/>
        <w:ind w:left="0"/>
        <w:jc w:val="both"/>
        <w:rPr>
          <w:rFonts w:ascii="Abadi" w:hAnsi="Abadi" w:cs="*Arial-Bold-2890-Identity-H"/>
          <w:b/>
          <w:bCs/>
          <w:color w:val="151515"/>
          <w:sz w:val="21"/>
          <w:szCs w:val="21"/>
        </w:rPr>
      </w:pPr>
      <w:r w:rsidRPr="005767CC">
        <w:rPr>
          <w:rFonts w:ascii="Abadi" w:hAnsi="Abadi" w:cs="*Arial-Bold-2890-Identity-H"/>
          <w:b/>
          <w:bCs/>
          <w:color w:val="151515"/>
          <w:sz w:val="21"/>
          <w:szCs w:val="21"/>
        </w:rPr>
        <w:t xml:space="preserve">Dip. Martin </w:t>
      </w:r>
      <w:r w:rsidR="00CC4A96" w:rsidRPr="005767CC">
        <w:rPr>
          <w:rFonts w:ascii="Abadi" w:hAnsi="Abadi" w:cs="*Arial-Bold-2890-Identity-H"/>
          <w:b/>
          <w:bCs/>
          <w:color w:val="151515"/>
          <w:sz w:val="21"/>
          <w:szCs w:val="21"/>
        </w:rPr>
        <w:t>López</w:t>
      </w:r>
      <w:r w:rsidRPr="005767CC">
        <w:rPr>
          <w:rFonts w:ascii="Abadi" w:hAnsi="Abadi" w:cs="*Arial-Bold-2890-Identity-H"/>
          <w:b/>
          <w:bCs/>
          <w:color w:val="151515"/>
          <w:sz w:val="21"/>
          <w:szCs w:val="21"/>
        </w:rPr>
        <w:t xml:space="preserve"> Camacho </w:t>
      </w:r>
    </w:p>
    <w:p w14:paraId="3C036EB5" w14:textId="588E8F62" w:rsidR="005767CC" w:rsidRPr="005767CC" w:rsidRDefault="005767CC" w:rsidP="00CC4A96">
      <w:pPr>
        <w:pStyle w:val="Prrafodelista"/>
        <w:autoSpaceDE w:val="0"/>
        <w:autoSpaceDN w:val="0"/>
        <w:adjustRightInd w:val="0"/>
        <w:ind w:left="0"/>
        <w:jc w:val="both"/>
        <w:rPr>
          <w:rFonts w:ascii="Abadi" w:hAnsi="Abadi" w:cs="*Arial-Bold-2890-Identity-H"/>
          <w:b/>
          <w:bCs/>
          <w:color w:val="151515"/>
          <w:sz w:val="21"/>
          <w:szCs w:val="21"/>
        </w:rPr>
      </w:pPr>
      <w:r w:rsidRPr="005767CC">
        <w:rPr>
          <w:rFonts w:ascii="Abadi" w:hAnsi="Abadi" w:cs="*Arial-Bold-2890-Identity-H"/>
          <w:b/>
          <w:bCs/>
          <w:color w:val="151515"/>
          <w:sz w:val="21"/>
          <w:szCs w:val="21"/>
        </w:rPr>
        <w:t xml:space="preserve">Dip. </w:t>
      </w:r>
      <w:r w:rsidR="00CC4A96" w:rsidRPr="005767CC">
        <w:rPr>
          <w:rFonts w:ascii="Abadi" w:hAnsi="Abadi" w:cs="*Arial-Bold-2890-Identity-H"/>
          <w:b/>
          <w:bCs/>
          <w:color w:val="151515"/>
          <w:sz w:val="21"/>
          <w:szCs w:val="21"/>
        </w:rPr>
        <w:t>Briseida</w:t>
      </w:r>
      <w:r w:rsidRPr="005767CC">
        <w:rPr>
          <w:rFonts w:ascii="Abadi" w:hAnsi="Abadi" w:cs="*Arial-Bold-2890-Identity-H"/>
          <w:b/>
          <w:bCs/>
          <w:color w:val="151515"/>
          <w:sz w:val="21"/>
          <w:szCs w:val="21"/>
        </w:rPr>
        <w:t xml:space="preserve"> Anabel Magdaleno González </w:t>
      </w:r>
    </w:p>
    <w:p w14:paraId="6ABAFC1B" w14:textId="77777777" w:rsidR="005767CC" w:rsidRPr="005767CC" w:rsidRDefault="005767CC" w:rsidP="00CC4A96">
      <w:pPr>
        <w:pStyle w:val="Prrafodelista"/>
        <w:autoSpaceDE w:val="0"/>
        <w:autoSpaceDN w:val="0"/>
        <w:adjustRightInd w:val="0"/>
        <w:ind w:left="0"/>
        <w:jc w:val="both"/>
        <w:rPr>
          <w:rFonts w:ascii="Abadi" w:hAnsi="Abadi" w:cs="*Arial-Bold-2890-Identity-H"/>
          <w:b/>
          <w:bCs/>
          <w:color w:val="151515"/>
          <w:sz w:val="21"/>
          <w:szCs w:val="21"/>
        </w:rPr>
      </w:pPr>
      <w:r w:rsidRPr="005767CC">
        <w:rPr>
          <w:rFonts w:ascii="Abadi" w:hAnsi="Abadi" w:cs="*Arial-Bold-2890-Identity-H"/>
          <w:b/>
          <w:bCs/>
          <w:color w:val="151515"/>
          <w:sz w:val="21"/>
          <w:szCs w:val="21"/>
        </w:rPr>
        <w:t>Dip. Laura Cristal Márquez Alcalá</w:t>
      </w:r>
    </w:p>
    <w:p w14:paraId="5FC32B1C" w14:textId="2BCA33C3" w:rsidR="00CC4A96" w:rsidRDefault="005767CC" w:rsidP="00CC4A96">
      <w:pPr>
        <w:pStyle w:val="Prrafodelista"/>
        <w:autoSpaceDE w:val="0"/>
        <w:autoSpaceDN w:val="0"/>
        <w:adjustRightInd w:val="0"/>
        <w:ind w:left="0"/>
        <w:jc w:val="both"/>
        <w:rPr>
          <w:rFonts w:ascii="Abadi" w:hAnsi="Abadi" w:cs="*Arial-Bold-2890-Identity-H"/>
          <w:b/>
          <w:bCs/>
          <w:color w:val="151515"/>
          <w:sz w:val="21"/>
          <w:szCs w:val="21"/>
        </w:rPr>
      </w:pPr>
      <w:r w:rsidRPr="005767CC">
        <w:rPr>
          <w:rFonts w:ascii="Abadi" w:hAnsi="Abadi" w:cs="*Arial-Bold-2890-Identity-H"/>
          <w:b/>
          <w:bCs/>
          <w:color w:val="151515"/>
          <w:sz w:val="21"/>
          <w:szCs w:val="21"/>
        </w:rPr>
        <w:t xml:space="preserve">Dip. Javier Alfonso Torres </w:t>
      </w:r>
      <w:r w:rsidR="00CC4A96" w:rsidRPr="005767CC">
        <w:rPr>
          <w:rFonts w:ascii="Abadi" w:hAnsi="Abadi" w:cs="*Arial-Bold-2890-Identity-H"/>
          <w:b/>
          <w:bCs/>
          <w:color w:val="151515"/>
          <w:sz w:val="21"/>
          <w:szCs w:val="21"/>
        </w:rPr>
        <w:t>Morales</w:t>
      </w:r>
      <w:r w:rsidRPr="005767CC">
        <w:rPr>
          <w:rFonts w:ascii="Abadi" w:hAnsi="Abadi" w:cs="*Arial-Bold-2890-Identity-H"/>
          <w:b/>
          <w:bCs/>
          <w:color w:val="151515"/>
          <w:sz w:val="21"/>
          <w:szCs w:val="21"/>
        </w:rPr>
        <w:t xml:space="preserve"> </w:t>
      </w:r>
    </w:p>
    <w:p w14:paraId="4FD4F6F5" w14:textId="0D7F17DD" w:rsidR="005767CC" w:rsidRPr="005767CC" w:rsidRDefault="005767CC" w:rsidP="00CC4A96">
      <w:pPr>
        <w:pStyle w:val="Prrafodelista"/>
        <w:autoSpaceDE w:val="0"/>
        <w:autoSpaceDN w:val="0"/>
        <w:adjustRightInd w:val="0"/>
        <w:ind w:left="0"/>
        <w:jc w:val="both"/>
        <w:rPr>
          <w:rFonts w:ascii="Abadi" w:hAnsi="Abadi" w:cs="*Arial-Bold-2890-Identity-H"/>
          <w:b/>
          <w:bCs/>
          <w:color w:val="151515"/>
          <w:sz w:val="21"/>
          <w:szCs w:val="21"/>
        </w:rPr>
      </w:pPr>
      <w:r w:rsidRPr="005767CC">
        <w:rPr>
          <w:rFonts w:ascii="Abadi" w:hAnsi="Abadi" w:cs="*Arial-Bold-2890-Identity-H"/>
          <w:b/>
          <w:bCs/>
          <w:color w:val="151515"/>
          <w:sz w:val="21"/>
          <w:szCs w:val="21"/>
        </w:rPr>
        <w:t>Dip. Noemí Márq</w:t>
      </w:r>
      <w:r w:rsidRPr="005767CC">
        <w:rPr>
          <w:rFonts w:ascii="Abadi" w:eastAsia="Abadi" w:hAnsi="Abadi" w:cs="Abadi"/>
          <w:b/>
          <w:bCs/>
          <w:color w:val="2C2840"/>
          <w:sz w:val="21"/>
          <w:szCs w:val="21"/>
        </w:rPr>
        <w:t>u</w:t>
      </w:r>
      <w:r w:rsidRPr="005767CC">
        <w:rPr>
          <w:rFonts w:ascii="Abadi" w:hAnsi="Abadi" w:cs="*Arial-Bold-2890-Identity-H"/>
          <w:b/>
          <w:bCs/>
          <w:color w:val="151515"/>
          <w:sz w:val="21"/>
          <w:szCs w:val="21"/>
        </w:rPr>
        <w:t>ez Márquez</w:t>
      </w:r>
    </w:p>
    <w:p w14:paraId="3812FB6F" w14:textId="77777777" w:rsidR="005767CC" w:rsidRPr="005767CC" w:rsidRDefault="005767CC" w:rsidP="00CC4A96">
      <w:pPr>
        <w:pStyle w:val="Prrafodelista"/>
        <w:autoSpaceDE w:val="0"/>
        <w:autoSpaceDN w:val="0"/>
        <w:adjustRightInd w:val="0"/>
        <w:ind w:left="0"/>
        <w:jc w:val="both"/>
        <w:rPr>
          <w:rFonts w:ascii="Abadi" w:hAnsi="Abadi" w:cs="*Arial-Bold-2890-Identity-H"/>
          <w:b/>
          <w:bCs/>
          <w:color w:val="141414"/>
          <w:sz w:val="21"/>
          <w:szCs w:val="21"/>
        </w:rPr>
      </w:pPr>
      <w:r w:rsidRPr="005767CC">
        <w:rPr>
          <w:rFonts w:ascii="Abadi" w:hAnsi="Abadi" w:cs="*Arial-Bold-2890-Identity-H"/>
          <w:b/>
          <w:bCs/>
          <w:color w:val="141414"/>
          <w:sz w:val="21"/>
          <w:szCs w:val="21"/>
        </w:rPr>
        <w:t>Dip. Janet Melanie Murillo Chávez</w:t>
      </w:r>
    </w:p>
    <w:p w14:paraId="4B44906A" w14:textId="77777777" w:rsidR="005767CC" w:rsidRPr="005767CC" w:rsidRDefault="005767CC" w:rsidP="00CC4A96">
      <w:pPr>
        <w:pStyle w:val="Prrafodelista"/>
        <w:autoSpaceDE w:val="0"/>
        <w:autoSpaceDN w:val="0"/>
        <w:adjustRightInd w:val="0"/>
        <w:ind w:left="0"/>
        <w:jc w:val="both"/>
        <w:rPr>
          <w:rFonts w:ascii="Abadi" w:hAnsi="Abadi" w:cs="*Arial-Bold-2890-Identity-H"/>
          <w:b/>
          <w:bCs/>
          <w:color w:val="151515"/>
          <w:sz w:val="21"/>
          <w:szCs w:val="21"/>
        </w:rPr>
      </w:pPr>
      <w:r w:rsidRPr="005767CC">
        <w:rPr>
          <w:rFonts w:ascii="Abadi" w:hAnsi="Abadi" w:cs="*Arial-Bold-2890-Identity-H"/>
          <w:b/>
          <w:bCs/>
          <w:color w:val="121212"/>
          <w:sz w:val="21"/>
          <w:szCs w:val="21"/>
        </w:rPr>
        <w:t>Dip. Jorge Ortiz Ortega</w:t>
      </w:r>
    </w:p>
    <w:p w14:paraId="20650A1A" w14:textId="77777777" w:rsidR="005767CC" w:rsidRPr="005767CC" w:rsidRDefault="005767CC" w:rsidP="00CC4A96">
      <w:pPr>
        <w:pStyle w:val="Prrafodelista"/>
        <w:autoSpaceDE w:val="0"/>
        <w:autoSpaceDN w:val="0"/>
        <w:adjustRightInd w:val="0"/>
        <w:ind w:left="0"/>
        <w:jc w:val="both"/>
        <w:rPr>
          <w:rFonts w:ascii="Abadi" w:hAnsi="Abadi" w:cs="*Arial-Bold-2890-Identity-H"/>
          <w:b/>
          <w:bCs/>
          <w:color w:val="131313"/>
          <w:sz w:val="21"/>
          <w:szCs w:val="21"/>
        </w:rPr>
      </w:pPr>
      <w:r w:rsidRPr="005767CC">
        <w:rPr>
          <w:rFonts w:ascii="Abadi" w:hAnsi="Abadi" w:cs="*Arial-Bold-2890-Identity-H"/>
          <w:b/>
          <w:bCs/>
          <w:color w:val="131313"/>
          <w:sz w:val="21"/>
          <w:szCs w:val="21"/>
        </w:rPr>
        <w:t>Dip. Armando Rangel Hernández</w:t>
      </w:r>
    </w:p>
    <w:p w14:paraId="5F4147E2" w14:textId="77777777" w:rsidR="005767CC" w:rsidRPr="005767CC" w:rsidRDefault="005767CC" w:rsidP="00CC4A96">
      <w:pPr>
        <w:pStyle w:val="Prrafodelista"/>
        <w:autoSpaceDE w:val="0"/>
        <w:autoSpaceDN w:val="0"/>
        <w:adjustRightInd w:val="0"/>
        <w:ind w:left="0"/>
        <w:jc w:val="both"/>
        <w:rPr>
          <w:rFonts w:ascii="Abadi" w:hAnsi="Abadi" w:cs="*Arial-Bold-2368-Identity-H"/>
          <w:b/>
          <w:bCs/>
          <w:color w:val="131313"/>
          <w:sz w:val="21"/>
          <w:szCs w:val="21"/>
        </w:rPr>
      </w:pPr>
      <w:r w:rsidRPr="005767CC">
        <w:rPr>
          <w:rFonts w:ascii="Abadi" w:hAnsi="Abadi" w:cs="*Arial-Bold-2368-Identity-H"/>
          <w:b/>
          <w:bCs/>
          <w:color w:val="131313"/>
          <w:sz w:val="21"/>
          <w:szCs w:val="21"/>
        </w:rPr>
        <w:t xml:space="preserve">Dip. Lilia Margarita Rionda Salas </w:t>
      </w:r>
    </w:p>
    <w:p w14:paraId="666F8B08" w14:textId="77777777" w:rsidR="005767CC" w:rsidRPr="005767CC" w:rsidRDefault="005767CC" w:rsidP="00CC4A96">
      <w:pPr>
        <w:pStyle w:val="Prrafodelista"/>
        <w:autoSpaceDE w:val="0"/>
        <w:autoSpaceDN w:val="0"/>
        <w:adjustRightInd w:val="0"/>
        <w:ind w:left="0"/>
        <w:jc w:val="both"/>
        <w:rPr>
          <w:rFonts w:ascii="Abadi" w:hAnsi="Abadi" w:cs="*Arial-Bold-2368-Identity-H"/>
          <w:b/>
          <w:bCs/>
          <w:color w:val="141414"/>
          <w:sz w:val="21"/>
          <w:szCs w:val="21"/>
        </w:rPr>
      </w:pPr>
      <w:r w:rsidRPr="005767CC">
        <w:rPr>
          <w:rFonts w:ascii="Abadi" w:hAnsi="Abadi" w:cs="*Arial-Bold-2368-Identity-H"/>
          <w:b/>
          <w:bCs/>
          <w:color w:val="141414"/>
          <w:sz w:val="21"/>
          <w:szCs w:val="21"/>
        </w:rPr>
        <w:t>Dip. Miguel Ángel Salim Alle</w:t>
      </w:r>
    </w:p>
    <w:p w14:paraId="60359B41" w14:textId="77777777" w:rsidR="005767CC" w:rsidRPr="005767CC" w:rsidRDefault="005767CC" w:rsidP="00CC4A96">
      <w:pPr>
        <w:pStyle w:val="Prrafodelista"/>
        <w:autoSpaceDE w:val="0"/>
        <w:autoSpaceDN w:val="0"/>
        <w:adjustRightInd w:val="0"/>
        <w:ind w:left="0"/>
        <w:jc w:val="both"/>
        <w:rPr>
          <w:rFonts w:ascii="Abadi" w:hAnsi="Abadi" w:cs="*Arial-Bold-2368-Identity-H"/>
          <w:b/>
          <w:bCs/>
          <w:color w:val="141414"/>
          <w:sz w:val="21"/>
          <w:szCs w:val="21"/>
        </w:rPr>
      </w:pPr>
      <w:r w:rsidRPr="005767CC">
        <w:rPr>
          <w:rFonts w:ascii="Abadi" w:hAnsi="Abadi" w:cs="*Arial-Bold-2368-Identity-H"/>
          <w:b/>
          <w:bCs/>
          <w:color w:val="141414"/>
          <w:sz w:val="21"/>
          <w:szCs w:val="21"/>
        </w:rPr>
        <w:t>Dip. Katya Cristina Soto Escamilla</w:t>
      </w:r>
    </w:p>
    <w:p w14:paraId="0391F54B" w14:textId="78098391" w:rsidR="005767CC" w:rsidRDefault="005767CC" w:rsidP="00CC4A96">
      <w:pPr>
        <w:pStyle w:val="Prrafodelista"/>
        <w:autoSpaceDE w:val="0"/>
        <w:autoSpaceDN w:val="0"/>
        <w:adjustRightInd w:val="0"/>
        <w:ind w:left="0"/>
        <w:jc w:val="both"/>
        <w:rPr>
          <w:rFonts w:ascii="Abadi" w:hAnsi="Abadi" w:cs="*Arial-Bold-2368-Identity-H"/>
          <w:b/>
          <w:bCs/>
          <w:color w:val="151515"/>
          <w:sz w:val="21"/>
          <w:szCs w:val="21"/>
        </w:rPr>
      </w:pPr>
      <w:r w:rsidRPr="005767CC">
        <w:rPr>
          <w:rFonts w:ascii="Abadi" w:hAnsi="Abadi" w:cs="*Arial-Bold-2368-Identity-H"/>
          <w:b/>
          <w:bCs/>
          <w:color w:val="151515"/>
          <w:sz w:val="21"/>
          <w:szCs w:val="21"/>
        </w:rPr>
        <w:t xml:space="preserve">Dip. Victor Manuel Zanella Huerta </w:t>
      </w:r>
    </w:p>
    <w:p w14:paraId="20093FD3" w14:textId="1DE235BB" w:rsidR="001D2D83" w:rsidRDefault="001D2D83" w:rsidP="00CC4A96">
      <w:pPr>
        <w:pStyle w:val="Prrafodelista"/>
        <w:autoSpaceDE w:val="0"/>
        <w:autoSpaceDN w:val="0"/>
        <w:adjustRightInd w:val="0"/>
        <w:ind w:left="0"/>
        <w:jc w:val="both"/>
        <w:rPr>
          <w:rFonts w:ascii="Abadi" w:hAnsi="Abadi" w:cs="*Arial-Bold-2368-Identity-H"/>
          <w:b/>
          <w:bCs/>
          <w:color w:val="151515"/>
          <w:sz w:val="21"/>
          <w:szCs w:val="21"/>
        </w:rPr>
      </w:pPr>
    </w:p>
    <w:p w14:paraId="0A3403A1" w14:textId="087BEFEA" w:rsidR="001D2D83" w:rsidRDefault="001D2D83" w:rsidP="00CC4A96">
      <w:pPr>
        <w:pStyle w:val="Prrafodelista"/>
        <w:autoSpaceDE w:val="0"/>
        <w:autoSpaceDN w:val="0"/>
        <w:adjustRightInd w:val="0"/>
        <w:ind w:left="0"/>
        <w:jc w:val="both"/>
        <w:rPr>
          <w:rFonts w:ascii="Abadi" w:hAnsi="Abadi" w:cs="*Arial-Bold-2368-Identity-H"/>
          <w:b/>
          <w:bCs/>
          <w:color w:val="151515"/>
          <w:sz w:val="21"/>
          <w:szCs w:val="21"/>
        </w:rPr>
      </w:pPr>
    </w:p>
    <w:p w14:paraId="720EE985" w14:textId="77777777" w:rsidR="00205B68" w:rsidRPr="00AA7107" w:rsidRDefault="00205B68" w:rsidP="00205B68">
      <w:pPr>
        <w:jc w:val="both"/>
        <w:rPr>
          <w:rFonts w:ascii="Abadi" w:hAnsi="Abadi"/>
          <w:sz w:val="21"/>
          <w:szCs w:val="21"/>
        </w:rPr>
      </w:pPr>
      <w:r w:rsidRPr="00AA7107">
        <w:rPr>
          <w:rFonts w:ascii="Abadi" w:hAnsi="Abadi"/>
          <w:sz w:val="21"/>
          <w:szCs w:val="21"/>
        </w:rPr>
        <w:tab/>
        <w:t xml:space="preserve">- </w:t>
      </w:r>
      <w:r w:rsidRPr="00AA7107">
        <w:rPr>
          <w:rFonts w:ascii="Abadi" w:hAnsi="Abadi"/>
          <w:b/>
          <w:bCs/>
          <w:sz w:val="21"/>
          <w:szCs w:val="21"/>
        </w:rPr>
        <w:t>El Presidente.-</w:t>
      </w:r>
      <w:r w:rsidRPr="00AA7107">
        <w:rPr>
          <w:rFonts w:ascii="Abadi" w:hAnsi="Abadi"/>
          <w:sz w:val="21"/>
          <w:szCs w:val="21"/>
        </w:rPr>
        <w:t xml:space="preserve"> A continuación se pide a la diputada Briseida Anabel Magdaleno González dar lectura a la exposición de motivos de la iniciativa que se refiere en el punto 6 del orden del día. (ELD 309/LXV-I)</w:t>
      </w:r>
    </w:p>
    <w:p w14:paraId="1528782D" w14:textId="77777777" w:rsidR="00205B68" w:rsidRDefault="00205B68" w:rsidP="00205B68">
      <w:pPr>
        <w:jc w:val="both"/>
        <w:rPr>
          <w:rFonts w:ascii="Abadi" w:hAnsi="Abadi"/>
          <w:b/>
          <w:bCs/>
          <w:sz w:val="21"/>
          <w:szCs w:val="21"/>
        </w:rPr>
      </w:pPr>
    </w:p>
    <w:p w14:paraId="412188CE" w14:textId="4C971A4F" w:rsidR="00205B68" w:rsidRDefault="00205B68" w:rsidP="00205B68">
      <w:pPr>
        <w:ind w:firstLine="708"/>
        <w:jc w:val="both"/>
        <w:rPr>
          <w:rFonts w:ascii="Abadi" w:hAnsi="Abadi"/>
          <w:sz w:val="21"/>
          <w:szCs w:val="21"/>
        </w:rPr>
      </w:pPr>
      <w:r w:rsidRPr="00AA7107">
        <w:rPr>
          <w:rFonts w:ascii="Abadi" w:hAnsi="Abadi"/>
          <w:b/>
          <w:bCs/>
          <w:sz w:val="21"/>
          <w:szCs w:val="21"/>
        </w:rPr>
        <w:t>- El Presidente.-</w:t>
      </w:r>
      <w:r w:rsidRPr="00AA7107">
        <w:rPr>
          <w:rFonts w:ascii="Abadi" w:hAnsi="Abadi"/>
          <w:sz w:val="21"/>
          <w:szCs w:val="21"/>
        </w:rPr>
        <w:t xml:space="preserve"> Adelante diputada Briseida.</w:t>
      </w:r>
    </w:p>
    <w:p w14:paraId="5BD918DF" w14:textId="77777777" w:rsidR="00205B68" w:rsidRPr="00AA7107" w:rsidRDefault="00205B68" w:rsidP="00205B68">
      <w:pPr>
        <w:ind w:firstLine="708"/>
        <w:jc w:val="both"/>
        <w:rPr>
          <w:rFonts w:ascii="Abadi" w:hAnsi="Abadi"/>
          <w:sz w:val="21"/>
          <w:szCs w:val="21"/>
        </w:rPr>
      </w:pPr>
    </w:p>
    <w:p w14:paraId="3E8A197B" w14:textId="329C0A7D" w:rsidR="00205B68" w:rsidRDefault="00205B68" w:rsidP="00205B68">
      <w:pPr>
        <w:jc w:val="both"/>
        <w:rPr>
          <w:rFonts w:ascii="Abadi" w:hAnsi="Abadi"/>
          <w:b/>
          <w:bCs/>
          <w:sz w:val="21"/>
          <w:szCs w:val="21"/>
        </w:rPr>
      </w:pPr>
      <w:r w:rsidRPr="00AA7107">
        <w:rPr>
          <w:rFonts w:ascii="Abadi" w:hAnsi="Abadi"/>
          <w:b/>
          <w:bCs/>
          <w:sz w:val="21"/>
          <w:szCs w:val="21"/>
        </w:rPr>
        <w:t xml:space="preserve">(Sube a tribuna la diputada Briseida Anabel Magdaleno González, para hablar de la iniciativa </w:t>
      </w:r>
      <w:r>
        <w:rPr>
          <w:rFonts w:ascii="Abadi" w:hAnsi="Abadi"/>
          <w:b/>
          <w:bCs/>
          <w:sz w:val="21"/>
          <w:szCs w:val="21"/>
        </w:rPr>
        <w:t>en referencia</w:t>
      </w:r>
      <w:r w:rsidRPr="00AA7107">
        <w:rPr>
          <w:rFonts w:ascii="Abadi" w:hAnsi="Abadi"/>
          <w:b/>
          <w:bCs/>
          <w:sz w:val="21"/>
          <w:szCs w:val="21"/>
        </w:rPr>
        <w:t>)</w:t>
      </w:r>
    </w:p>
    <w:p w14:paraId="274B3155" w14:textId="77777777" w:rsidR="00205B68" w:rsidRPr="00AA7107" w:rsidRDefault="00205B68" w:rsidP="00205B68">
      <w:pPr>
        <w:jc w:val="both"/>
        <w:rPr>
          <w:rFonts w:ascii="Abadi" w:hAnsi="Abadi"/>
          <w:b/>
          <w:bCs/>
          <w:sz w:val="21"/>
          <w:szCs w:val="21"/>
        </w:rPr>
      </w:pPr>
    </w:p>
    <w:p w14:paraId="53006AEF" w14:textId="77777777" w:rsidR="00205B68" w:rsidRPr="00AA7107" w:rsidRDefault="00205B68" w:rsidP="00205B68">
      <w:pPr>
        <w:jc w:val="center"/>
        <w:rPr>
          <w:rFonts w:ascii="Abadi" w:hAnsi="Abadi"/>
          <w:b/>
          <w:bCs/>
          <w:sz w:val="21"/>
          <w:szCs w:val="21"/>
        </w:rPr>
      </w:pPr>
      <w:r w:rsidRPr="00AA7107">
        <w:rPr>
          <w:rFonts w:ascii="Abadi" w:hAnsi="Abadi"/>
          <w:b/>
          <w:bCs/>
          <w:sz w:val="21"/>
          <w:szCs w:val="21"/>
        </w:rPr>
        <w:t>(Posicionamiento)</w:t>
      </w:r>
    </w:p>
    <w:p w14:paraId="52133834" w14:textId="50CF755F" w:rsidR="00205B68" w:rsidRPr="00AA7107" w:rsidRDefault="00205B68" w:rsidP="00205B68">
      <w:pPr>
        <w:jc w:val="both"/>
        <w:rPr>
          <w:rFonts w:ascii="Abadi" w:hAnsi="Abadi"/>
          <w:b/>
          <w:bCs/>
          <w:sz w:val="21"/>
          <w:szCs w:val="21"/>
        </w:rPr>
      </w:pPr>
      <w:r w:rsidRPr="00AA7107">
        <w:rPr>
          <w:noProof/>
          <w:sz w:val="21"/>
          <w:szCs w:val="21"/>
        </w:rPr>
        <w:drawing>
          <wp:anchor distT="0" distB="0" distL="114300" distR="114300" simplePos="0" relativeHeight="251673600" behindDoc="1" locked="0" layoutInCell="1" allowOverlap="1" wp14:anchorId="1E8741D3" wp14:editId="534F5594">
            <wp:simplePos x="0" y="0"/>
            <wp:positionH relativeFrom="column">
              <wp:posOffset>492760</wp:posOffset>
            </wp:positionH>
            <wp:positionV relativeFrom="paragraph">
              <wp:posOffset>389255</wp:posOffset>
            </wp:positionV>
            <wp:extent cx="1527175" cy="804545"/>
            <wp:effectExtent l="247650" t="228600" r="244475" b="776605"/>
            <wp:wrapTight wrapText="bothSides">
              <wp:wrapPolygon edited="0">
                <wp:start x="-3503" y="-6137"/>
                <wp:lineTo x="-3503" y="41938"/>
                <wp:lineTo x="24788" y="41938"/>
                <wp:lineTo x="24788" y="-6137"/>
                <wp:lineTo x="-3503" y="-6137"/>
              </wp:wrapPolygon>
            </wp:wrapTight>
            <wp:docPr id="23" name="Imagen 23"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Interfaz de usuario gráfica&#10;&#10;Descripción generada automáticamente con confianza media"/>
                    <pic:cNvPicPr/>
                  </pic:nvPicPr>
                  <pic:blipFill rotWithShape="1">
                    <a:blip r:embed="rId23" cstate="print">
                      <a:extLst>
                        <a:ext uri="{28A0092B-C50C-407E-A947-70E740481C1C}">
                          <a14:useLocalDpi xmlns:a14="http://schemas.microsoft.com/office/drawing/2010/main" val="0"/>
                        </a:ext>
                      </a:extLst>
                    </a:blip>
                    <a:srcRect b="6280"/>
                    <a:stretch/>
                  </pic:blipFill>
                  <pic:spPr bwMode="auto">
                    <a:xfrm>
                      <a:off x="0" y="0"/>
                      <a:ext cx="1527175" cy="80454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465FF383" w14:textId="0EDB6FEB" w:rsidR="00205B68" w:rsidRPr="00AA7107" w:rsidRDefault="00205B68" w:rsidP="00205B68">
      <w:pPr>
        <w:jc w:val="both"/>
        <w:rPr>
          <w:rFonts w:ascii="Abadi" w:hAnsi="Abadi"/>
          <w:b/>
          <w:bCs/>
          <w:sz w:val="21"/>
          <w:szCs w:val="21"/>
        </w:rPr>
      </w:pPr>
    </w:p>
    <w:p w14:paraId="6A0DD383" w14:textId="2D9623D1" w:rsidR="00205B68" w:rsidRDefault="00205B68" w:rsidP="00205B68">
      <w:pPr>
        <w:jc w:val="both"/>
        <w:rPr>
          <w:rFonts w:ascii="Abadi" w:hAnsi="Abadi"/>
          <w:b/>
          <w:bCs/>
          <w:sz w:val="21"/>
          <w:szCs w:val="21"/>
        </w:rPr>
      </w:pPr>
    </w:p>
    <w:p w14:paraId="62A7EF73" w14:textId="5F99E8B1" w:rsidR="00205B68" w:rsidRDefault="00205B68" w:rsidP="00205B68">
      <w:pPr>
        <w:jc w:val="both"/>
        <w:rPr>
          <w:rFonts w:ascii="Abadi" w:hAnsi="Abadi"/>
          <w:b/>
          <w:bCs/>
          <w:sz w:val="21"/>
          <w:szCs w:val="21"/>
        </w:rPr>
      </w:pPr>
    </w:p>
    <w:p w14:paraId="2E80A6F1" w14:textId="70B2595E" w:rsidR="00205B68" w:rsidRDefault="00205B68" w:rsidP="00205B68">
      <w:pPr>
        <w:jc w:val="both"/>
        <w:rPr>
          <w:rFonts w:ascii="Abadi" w:hAnsi="Abadi"/>
          <w:b/>
          <w:bCs/>
          <w:sz w:val="21"/>
          <w:szCs w:val="21"/>
        </w:rPr>
      </w:pPr>
    </w:p>
    <w:p w14:paraId="177086E4" w14:textId="153CADD2" w:rsidR="00205B68" w:rsidRDefault="00205B68" w:rsidP="00205B68">
      <w:pPr>
        <w:jc w:val="both"/>
        <w:rPr>
          <w:rFonts w:ascii="Abadi" w:hAnsi="Abadi"/>
          <w:b/>
          <w:bCs/>
          <w:sz w:val="21"/>
          <w:szCs w:val="21"/>
        </w:rPr>
      </w:pPr>
    </w:p>
    <w:p w14:paraId="67769A2F" w14:textId="4C05DFD4" w:rsidR="00205B68" w:rsidRDefault="00205B68" w:rsidP="00205B68">
      <w:pPr>
        <w:jc w:val="both"/>
        <w:rPr>
          <w:rFonts w:ascii="Abadi" w:hAnsi="Abadi"/>
          <w:b/>
          <w:bCs/>
          <w:sz w:val="21"/>
          <w:szCs w:val="21"/>
        </w:rPr>
      </w:pPr>
    </w:p>
    <w:p w14:paraId="1868B14B" w14:textId="03664598" w:rsidR="00205B68" w:rsidRDefault="00205B68" w:rsidP="00205B68">
      <w:pPr>
        <w:jc w:val="both"/>
        <w:rPr>
          <w:rFonts w:ascii="Abadi" w:hAnsi="Abadi"/>
          <w:b/>
          <w:bCs/>
          <w:sz w:val="21"/>
          <w:szCs w:val="21"/>
        </w:rPr>
      </w:pPr>
    </w:p>
    <w:p w14:paraId="0588864E" w14:textId="619506A5" w:rsidR="00205B68" w:rsidRDefault="00205B68" w:rsidP="00205B68">
      <w:pPr>
        <w:jc w:val="both"/>
        <w:rPr>
          <w:rFonts w:ascii="Abadi" w:hAnsi="Abadi"/>
          <w:b/>
          <w:bCs/>
          <w:sz w:val="21"/>
          <w:szCs w:val="21"/>
        </w:rPr>
      </w:pPr>
    </w:p>
    <w:p w14:paraId="2D2CDD81" w14:textId="41D690C2" w:rsidR="00205B68" w:rsidRDefault="00205B68" w:rsidP="00205B68">
      <w:pPr>
        <w:jc w:val="both"/>
        <w:rPr>
          <w:rFonts w:ascii="Abadi" w:hAnsi="Abadi"/>
          <w:b/>
          <w:bCs/>
          <w:sz w:val="21"/>
          <w:szCs w:val="21"/>
        </w:rPr>
      </w:pPr>
    </w:p>
    <w:p w14:paraId="5F7C34BF" w14:textId="3E312B8F" w:rsidR="00205B68" w:rsidRDefault="00205B68" w:rsidP="00205B68">
      <w:pPr>
        <w:jc w:val="both"/>
        <w:rPr>
          <w:rFonts w:ascii="Abadi" w:hAnsi="Abadi"/>
          <w:b/>
          <w:bCs/>
          <w:sz w:val="21"/>
          <w:szCs w:val="21"/>
        </w:rPr>
      </w:pPr>
    </w:p>
    <w:p w14:paraId="7F60E297" w14:textId="42E1AC4C" w:rsidR="00205B68" w:rsidRDefault="00205B68" w:rsidP="00205B68">
      <w:pPr>
        <w:jc w:val="both"/>
        <w:rPr>
          <w:rFonts w:ascii="Abadi" w:hAnsi="Abadi"/>
          <w:b/>
          <w:bCs/>
          <w:sz w:val="21"/>
          <w:szCs w:val="21"/>
        </w:rPr>
      </w:pPr>
    </w:p>
    <w:p w14:paraId="669BB9BF" w14:textId="7F31C1EE" w:rsidR="00205B68" w:rsidRDefault="00205B68" w:rsidP="00205B68">
      <w:pPr>
        <w:jc w:val="both"/>
        <w:rPr>
          <w:rFonts w:ascii="Abadi" w:hAnsi="Abadi"/>
          <w:b/>
          <w:bCs/>
          <w:sz w:val="21"/>
          <w:szCs w:val="21"/>
        </w:rPr>
      </w:pPr>
    </w:p>
    <w:p w14:paraId="32E9B6BB" w14:textId="4B13F3BB" w:rsidR="00205B68" w:rsidRDefault="00205B68" w:rsidP="00205B68">
      <w:pPr>
        <w:jc w:val="both"/>
        <w:rPr>
          <w:rFonts w:ascii="Abadi" w:hAnsi="Abadi"/>
          <w:b/>
          <w:bCs/>
          <w:sz w:val="21"/>
          <w:szCs w:val="21"/>
        </w:rPr>
      </w:pPr>
    </w:p>
    <w:p w14:paraId="577A37EE" w14:textId="06C08DFD" w:rsidR="00205B68" w:rsidRDefault="00205B68" w:rsidP="00205B68">
      <w:pPr>
        <w:jc w:val="both"/>
        <w:rPr>
          <w:rFonts w:ascii="Abadi" w:hAnsi="Abadi"/>
          <w:b/>
          <w:bCs/>
          <w:sz w:val="21"/>
          <w:szCs w:val="21"/>
        </w:rPr>
      </w:pPr>
    </w:p>
    <w:p w14:paraId="2413E54C" w14:textId="77777777" w:rsidR="00205B68" w:rsidRPr="00AA7107" w:rsidRDefault="00205B68" w:rsidP="00205B68">
      <w:pPr>
        <w:jc w:val="both"/>
        <w:rPr>
          <w:rFonts w:ascii="Abadi" w:hAnsi="Abadi"/>
          <w:b/>
          <w:bCs/>
          <w:sz w:val="21"/>
          <w:szCs w:val="21"/>
        </w:rPr>
      </w:pPr>
    </w:p>
    <w:p w14:paraId="2F782A26" w14:textId="6A4847D8" w:rsidR="00205B68" w:rsidRPr="00AA7107" w:rsidRDefault="00205B68" w:rsidP="00205B68">
      <w:pPr>
        <w:jc w:val="both"/>
        <w:rPr>
          <w:rFonts w:ascii="Abadi" w:hAnsi="Abadi"/>
          <w:b/>
          <w:bCs/>
          <w:sz w:val="21"/>
          <w:szCs w:val="21"/>
        </w:rPr>
      </w:pPr>
      <w:r w:rsidRPr="00AA7107">
        <w:rPr>
          <w:rFonts w:ascii="Abadi" w:hAnsi="Abadi"/>
          <w:b/>
          <w:bCs/>
          <w:sz w:val="21"/>
          <w:szCs w:val="21"/>
        </w:rPr>
        <w:t xml:space="preserve">- Diputada Briseida Anabel Magdaleno González </w:t>
      </w:r>
      <w:r>
        <w:rPr>
          <w:rFonts w:ascii="Abadi" w:hAnsi="Abadi"/>
          <w:b/>
          <w:bCs/>
          <w:sz w:val="21"/>
          <w:szCs w:val="21"/>
        </w:rPr>
        <w:t>-</w:t>
      </w:r>
    </w:p>
    <w:p w14:paraId="2FF5BA50" w14:textId="77777777" w:rsidR="00205B68" w:rsidRPr="00AA7107" w:rsidRDefault="00205B68" w:rsidP="00205B68">
      <w:pPr>
        <w:jc w:val="both"/>
        <w:rPr>
          <w:rFonts w:ascii="Abadi" w:hAnsi="Abadi"/>
          <w:b/>
          <w:bCs/>
          <w:sz w:val="21"/>
          <w:szCs w:val="21"/>
        </w:rPr>
      </w:pPr>
    </w:p>
    <w:p w14:paraId="00F965FC" w14:textId="71F91BE2" w:rsidR="00205B68" w:rsidRDefault="00205B68" w:rsidP="00205B68">
      <w:pPr>
        <w:jc w:val="both"/>
        <w:rPr>
          <w:rFonts w:ascii="Abadi" w:hAnsi="Abadi"/>
          <w:sz w:val="21"/>
          <w:szCs w:val="21"/>
        </w:rPr>
      </w:pPr>
      <w:r w:rsidRPr="00AA7107">
        <w:rPr>
          <w:rFonts w:ascii="Abadi" w:hAnsi="Abadi"/>
          <w:sz w:val="21"/>
          <w:szCs w:val="21"/>
        </w:rPr>
        <w:t>-Muchas gracias, muy buenos días a todas y a todos, saludo con mucho gusto a los miembros de la Mesa Directiva a mis compañeras y a mis compañeros, por supuesto a los, a las personas de los medios de comunicación, gracias por ayudarnos a que nuestras acciones vayan más allá de estas instalaciones del Congreso.</w:t>
      </w:r>
    </w:p>
    <w:p w14:paraId="7CAF94F3" w14:textId="77777777" w:rsidR="00205B68" w:rsidRPr="00AA7107" w:rsidRDefault="00205B68" w:rsidP="00205B68">
      <w:pPr>
        <w:jc w:val="both"/>
        <w:rPr>
          <w:rFonts w:ascii="Abadi" w:hAnsi="Abadi"/>
          <w:sz w:val="21"/>
          <w:szCs w:val="21"/>
        </w:rPr>
      </w:pPr>
    </w:p>
    <w:p w14:paraId="7ACA1CA1" w14:textId="77777777" w:rsidR="00205B68" w:rsidRPr="00AA7107" w:rsidRDefault="00205B68" w:rsidP="00205B68">
      <w:pPr>
        <w:jc w:val="both"/>
        <w:rPr>
          <w:rFonts w:ascii="Abadi" w:hAnsi="Abadi"/>
          <w:sz w:val="21"/>
          <w:szCs w:val="21"/>
        </w:rPr>
      </w:pPr>
      <w:r w:rsidRPr="00AA7107">
        <w:rPr>
          <w:rFonts w:ascii="Abadi" w:hAnsi="Abadi"/>
          <w:sz w:val="21"/>
          <w:szCs w:val="21"/>
        </w:rPr>
        <w:t>-Doy la bienvenida nuevamente a nuestras mujeres rurales, a nuestras mujeres que el día de hoy nos acompañan, esta iniciativa va por ustedes, esta iniciativa va por todas las mujeres rurales del Estado de Guanajuato, porque del valor que tiene su trabajo y desde Acción Nacional estamos escuchando la voz de todas ustedes, muchas gracias por acompañarnos.</w:t>
      </w:r>
    </w:p>
    <w:p w14:paraId="36B95383" w14:textId="76F2252F" w:rsidR="00205B68" w:rsidRDefault="00205B68" w:rsidP="00205B68">
      <w:pPr>
        <w:jc w:val="both"/>
        <w:rPr>
          <w:rFonts w:ascii="Abadi" w:hAnsi="Abadi"/>
          <w:sz w:val="21"/>
          <w:szCs w:val="21"/>
        </w:rPr>
      </w:pPr>
      <w:r w:rsidRPr="00AA7107">
        <w:rPr>
          <w:rFonts w:ascii="Abadi" w:hAnsi="Abadi"/>
          <w:sz w:val="21"/>
          <w:szCs w:val="21"/>
        </w:rPr>
        <w:t>- Porque la voz de las mujeres trasciende, porque la voz de las mujeres se traduce en un Guanajuato más justo, un Guanajuato más igualitario.</w:t>
      </w:r>
    </w:p>
    <w:p w14:paraId="42898678" w14:textId="77777777" w:rsidR="00205B68" w:rsidRPr="00AA7107" w:rsidRDefault="00205B68" w:rsidP="00205B68">
      <w:pPr>
        <w:jc w:val="both"/>
        <w:rPr>
          <w:rFonts w:ascii="Abadi" w:hAnsi="Abadi"/>
          <w:sz w:val="21"/>
          <w:szCs w:val="21"/>
        </w:rPr>
      </w:pPr>
    </w:p>
    <w:p w14:paraId="7EC593BD" w14:textId="30F86FF4" w:rsidR="00205B68" w:rsidRDefault="00205B68" w:rsidP="00205B68">
      <w:pPr>
        <w:jc w:val="both"/>
        <w:rPr>
          <w:rFonts w:ascii="Abadi" w:hAnsi="Abadi"/>
          <w:sz w:val="21"/>
          <w:szCs w:val="21"/>
        </w:rPr>
      </w:pPr>
      <w:r w:rsidRPr="00AA7107">
        <w:rPr>
          <w:rFonts w:ascii="Abadi" w:hAnsi="Abadi"/>
          <w:sz w:val="21"/>
          <w:szCs w:val="21"/>
        </w:rPr>
        <w:t>- Así, quienes integramos el Grupo Parlamentario de Acción Nacional ante esta Sexagésima Quinta Legislatura del Estado de Guanajuato, nos permitimos someter a consideración de esta Honorable Asamblea la presente iniciativa con proyecto de decreto, de conformidad con la siguiente exposición de motivos.</w:t>
      </w:r>
    </w:p>
    <w:p w14:paraId="45EBAC9F" w14:textId="77777777" w:rsidR="00205B68" w:rsidRPr="00AA7107" w:rsidRDefault="00205B68" w:rsidP="00205B68">
      <w:pPr>
        <w:jc w:val="both"/>
        <w:rPr>
          <w:rFonts w:ascii="Abadi" w:hAnsi="Abadi"/>
          <w:sz w:val="21"/>
          <w:szCs w:val="21"/>
        </w:rPr>
      </w:pPr>
    </w:p>
    <w:p w14:paraId="7CC1C0FA" w14:textId="7D4A2673" w:rsidR="00205B68" w:rsidRDefault="00205B68" w:rsidP="00205B68">
      <w:pPr>
        <w:jc w:val="both"/>
        <w:rPr>
          <w:rFonts w:ascii="Abadi" w:hAnsi="Abadi"/>
          <w:sz w:val="21"/>
          <w:szCs w:val="21"/>
        </w:rPr>
      </w:pPr>
      <w:r w:rsidRPr="00AA7107">
        <w:rPr>
          <w:rFonts w:ascii="Abadi" w:hAnsi="Abadi"/>
          <w:sz w:val="21"/>
          <w:szCs w:val="21"/>
        </w:rPr>
        <w:t xml:space="preserve">- La Asamblea General de la ONU estableció el 15 de octubre como el día internacional de las mujeres rurales, con el objetivo de reconocer a la mujer rural por su contribución tan importante en el desarrollo rural y agrícola, la erradicación de la pobreza y la mejora de la seguridad alimentaria, desde la producción de cultivos hasta el procesamiento, la preparación, la distribución de alimentos, el trabajo de las mujeres, tanto como remunerado pero también no remunerado, alimenta a las familias y a nuestras comunidades, alimenta a todas y a todos los guanajuatenses, a los mexicanos. </w:t>
      </w:r>
    </w:p>
    <w:p w14:paraId="20B2100D" w14:textId="77777777" w:rsidR="00205B68" w:rsidRPr="00AA7107" w:rsidRDefault="00205B68" w:rsidP="00205B68">
      <w:pPr>
        <w:jc w:val="both"/>
        <w:rPr>
          <w:rFonts w:ascii="Abadi" w:hAnsi="Abadi"/>
          <w:sz w:val="21"/>
          <w:szCs w:val="21"/>
        </w:rPr>
      </w:pPr>
    </w:p>
    <w:p w14:paraId="301538D2" w14:textId="6A1E8961" w:rsidR="00205B68" w:rsidRDefault="00205B68" w:rsidP="00205B68">
      <w:pPr>
        <w:jc w:val="both"/>
        <w:rPr>
          <w:rFonts w:ascii="Abadi" w:hAnsi="Abadi"/>
          <w:sz w:val="21"/>
          <w:szCs w:val="21"/>
        </w:rPr>
      </w:pPr>
      <w:r w:rsidRPr="00AA7107">
        <w:rPr>
          <w:rFonts w:ascii="Abadi" w:hAnsi="Abadi"/>
          <w:sz w:val="21"/>
          <w:szCs w:val="21"/>
        </w:rPr>
        <w:t xml:space="preserve">- Sin embargo, no ejercen el mismo poder que los hombres, por consiguiente ganan menos dinero, como señala la ONU Mujeres, las mujeres rurales sufren de manera desproporcionada, múltiples aspectos de pobreza, pese a que son mujeres productoras y trabajadoras, buenas gestoras con sus homólogos masculinos, no disponen del mismo acceso a las tierras, a créditos, a financiamientos, a oportunidades, a materiales agrícolas de alto valor, tampoco disfrutan de un acceso equitativo a servicios públicos como la educación y la asistencia sanitaria, ni infraestructuras como el agua o el saneamiento. Su labor es invisible, pero sobre todo su labor no es remunerada, a pesar de que las tareas siempre aumentan y endurecen debido a la migración de los hombres. </w:t>
      </w:r>
    </w:p>
    <w:p w14:paraId="30893318" w14:textId="77777777" w:rsidR="00205B68" w:rsidRPr="00AA7107" w:rsidRDefault="00205B68" w:rsidP="00205B68">
      <w:pPr>
        <w:jc w:val="both"/>
        <w:rPr>
          <w:rFonts w:ascii="Abadi" w:hAnsi="Abadi"/>
          <w:sz w:val="21"/>
          <w:szCs w:val="21"/>
        </w:rPr>
      </w:pPr>
    </w:p>
    <w:p w14:paraId="3931AFD3" w14:textId="1A79E5EE" w:rsidR="00205B68" w:rsidRDefault="00205B68" w:rsidP="00205B68">
      <w:pPr>
        <w:jc w:val="both"/>
        <w:rPr>
          <w:rFonts w:ascii="Abadi" w:hAnsi="Abadi"/>
          <w:sz w:val="21"/>
          <w:szCs w:val="21"/>
        </w:rPr>
      </w:pPr>
      <w:r w:rsidRPr="00AA7107">
        <w:rPr>
          <w:rFonts w:ascii="Abadi" w:hAnsi="Abadi"/>
          <w:sz w:val="21"/>
          <w:szCs w:val="21"/>
        </w:rPr>
        <w:t xml:space="preserve">- Por su parte, las mujeres rurales se ven afectadas por diferentes formas de violencia, ello se relaciona con la persistencia de actitudes tradicionales relativas a la subordinación de la mujeres en muchas comunidades rurales además, deben sortear numerosos obstáculos para poder acceder a políticas de protección contra la violencia, ya que las mismas en general suelen tener un sesgo urbano ¡Imagínense ustedes! </w:t>
      </w:r>
    </w:p>
    <w:p w14:paraId="51769681" w14:textId="77777777" w:rsidR="00205B68" w:rsidRPr="00AA7107" w:rsidRDefault="00205B68" w:rsidP="00205B68">
      <w:pPr>
        <w:jc w:val="both"/>
        <w:rPr>
          <w:rFonts w:ascii="Abadi" w:hAnsi="Abadi"/>
          <w:sz w:val="21"/>
          <w:szCs w:val="21"/>
        </w:rPr>
      </w:pPr>
    </w:p>
    <w:p w14:paraId="4232FBD5" w14:textId="4D78B1CC" w:rsidR="00205B68" w:rsidRDefault="00205B68" w:rsidP="00205B68">
      <w:pPr>
        <w:jc w:val="both"/>
        <w:rPr>
          <w:rFonts w:ascii="Abadi" w:hAnsi="Abadi"/>
          <w:sz w:val="21"/>
          <w:szCs w:val="21"/>
        </w:rPr>
      </w:pPr>
      <w:r w:rsidRPr="00AA7107">
        <w:rPr>
          <w:rFonts w:ascii="Abadi" w:hAnsi="Abadi"/>
          <w:sz w:val="21"/>
          <w:szCs w:val="21"/>
        </w:rPr>
        <w:t xml:space="preserve">- Pondré un ejemplo, la participación económica de las mujeres en México es el 43.7%, mientras que de las mujeres rurales es únicamente el 34.2%, la carencia por acceso a la alimentación es otro de los indicadores donde las mujeres rurales tienen mayor desventaja, así el 25.3% de las mujeres rurales presentan carencia alimenticia, en comparación con el 18.8% de las mujeres urbanas; 39% es la prevalencia de violencia </w:t>
      </w:r>
      <w:r w:rsidRPr="00AA7107">
        <w:rPr>
          <w:rFonts w:ascii="Abadi" w:hAnsi="Abadi"/>
          <w:sz w:val="21"/>
          <w:szCs w:val="21"/>
        </w:rPr>
        <w:t>de pareja a lo largo de la vida reportada por mujeres rurales.</w:t>
      </w:r>
    </w:p>
    <w:p w14:paraId="2A49BE45" w14:textId="77777777" w:rsidR="00205B68" w:rsidRPr="00AA7107" w:rsidRDefault="00205B68" w:rsidP="00205B68">
      <w:pPr>
        <w:jc w:val="both"/>
        <w:rPr>
          <w:rFonts w:ascii="Abadi" w:hAnsi="Abadi"/>
          <w:sz w:val="21"/>
          <w:szCs w:val="21"/>
        </w:rPr>
      </w:pPr>
    </w:p>
    <w:p w14:paraId="38F3ED7A" w14:textId="6A152AC4" w:rsidR="00205B68" w:rsidRDefault="00205B68" w:rsidP="00205B68">
      <w:pPr>
        <w:jc w:val="both"/>
        <w:rPr>
          <w:rFonts w:ascii="Abadi" w:hAnsi="Abadi"/>
          <w:sz w:val="21"/>
          <w:szCs w:val="21"/>
        </w:rPr>
      </w:pPr>
      <w:r w:rsidRPr="00AA7107">
        <w:rPr>
          <w:rFonts w:ascii="Abadi" w:hAnsi="Abadi"/>
          <w:sz w:val="21"/>
          <w:szCs w:val="21"/>
        </w:rPr>
        <w:t xml:space="preserve">- En 2015, el promedio de años de estudio en mujeres rurales era del 6.6 frente a un promedio de 9 años en mujeres a nivel nacional, 2 de cada 3 muertes maternas que carecieron de atención médica en 2015, ocurrieron en localidades rurales. </w:t>
      </w:r>
    </w:p>
    <w:p w14:paraId="491688E7" w14:textId="77777777" w:rsidR="00205B68" w:rsidRPr="00AA7107" w:rsidRDefault="00205B68" w:rsidP="00205B68">
      <w:pPr>
        <w:jc w:val="both"/>
        <w:rPr>
          <w:rFonts w:ascii="Abadi" w:hAnsi="Abadi"/>
          <w:sz w:val="21"/>
          <w:szCs w:val="21"/>
        </w:rPr>
      </w:pPr>
    </w:p>
    <w:p w14:paraId="00EA25A9" w14:textId="008EEEBF" w:rsidR="00205B68" w:rsidRDefault="00205B68" w:rsidP="00205B68">
      <w:pPr>
        <w:jc w:val="both"/>
        <w:rPr>
          <w:rFonts w:ascii="Abadi" w:hAnsi="Abadi"/>
          <w:sz w:val="21"/>
          <w:szCs w:val="21"/>
        </w:rPr>
      </w:pPr>
      <w:r w:rsidRPr="00AA7107">
        <w:rPr>
          <w:rFonts w:ascii="Abadi" w:hAnsi="Abadi"/>
          <w:sz w:val="21"/>
          <w:szCs w:val="21"/>
        </w:rPr>
        <w:t>- Así que el Comité para la Eliminación de la Discriminación Contra la Mujer, emite una recomendación número 34 y dice a la letra “los estados parte deberían adoptar leyes, políticas, normativas, programas, procedimientos administrativos y estructuras institucionales eficaces para asegurar el pleno desarrollo y adelanto de las mujeres rurales, con miras a garantizarles el ejercicio y disfrute del disfrute de los derechos humanos y libertades fundamentales en pie de igualdad con los hombres”</w:t>
      </w:r>
    </w:p>
    <w:p w14:paraId="0669CD49" w14:textId="77777777" w:rsidR="00205B68" w:rsidRPr="00AA7107" w:rsidRDefault="00205B68" w:rsidP="00205B68">
      <w:pPr>
        <w:jc w:val="both"/>
        <w:rPr>
          <w:rFonts w:ascii="Abadi" w:hAnsi="Abadi"/>
          <w:sz w:val="21"/>
          <w:szCs w:val="21"/>
        </w:rPr>
      </w:pPr>
    </w:p>
    <w:p w14:paraId="31B36AAF" w14:textId="23F53054" w:rsidR="00205B68" w:rsidRDefault="00205B68" w:rsidP="00205B68">
      <w:pPr>
        <w:jc w:val="both"/>
        <w:rPr>
          <w:rFonts w:ascii="Abadi" w:hAnsi="Abadi"/>
          <w:sz w:val="21"/>
          <w:szCs w:val="21"/>
        </w:rPr>
      </w:pPr>
      <w:r w:rsidRPr="00AA7107">
        <w:rPr>
          <w:rFonts w:ascii="Abadi" w:hAnsi="Abadi"/>
          <w:sz w:val="21"/>
          <w:szCs w:val="21"/>
        </w:rPr>
        <w:t xml:space="preserve">- Por ello hoy me encuentro frente a esta tribuna, para presentar esta iniciativa, con la finalidad de modificar la Ley de Fomento a la Agricultura Familiar del Estado de Guanajuato, porque queremos mejorar la calidad de vida de todas las mujeres rurales, queremos consagrar medidas específicas encaminadas a acelerar la equidad entre mujeres y hombres rurales, porque llegó la hora de diseñar leyes, estrategias, políticas y programas en todos los temas que afecten las vidas de nuestras mujeres rurales. </w:t>
      </w:r>
    </w:p>
    <w:p w14:paraId="104BDE71" w14:textId="77777777" w:rsidR="00205B68" w:rsidRPr="00AA7107" w:rsidRDefault="00205B68" w:rsidP="00205B68">
      <w:pPr>
        <w:jc w:val="both"/>
        <w:rPr>
          <w:rFonts w:ascii="Abadi" w:hAnsi="Abadi"/>
          <w:sz w:val="21"/>
          <w:szCs w:val="21"/>
        </w:rPr>
      </w:pPr>
    </w:p>
    <w:p w14:paraId="4B108E72" w14:textId="49A15A06" w:rsidR="00205B68" w:rsidRDefault="00205B68" w:rsidP="00205B68">
      <w:pPr>
        <w:jc w:val="both"/>
        <w:rPr>
          <w:rFonts w:ascii="Abadi" w:hAnsi="Abadi"/>
          <w:sz w:val="21"/>
          <w:szCs w:val="21"/>
        </w:rPr>
      </w:pPr>
      <w:r w:rsidRPr="00AA7107">
        <w:rPr>
          <w:rFonts w:ascii="Abadi" w:hAnsi="Abadi"/>
          <w:sz w:val="21"/>
          <w:szCs w:val="21"/>
        </w:rPr>
        <w:t>-Mujeres rurales, tus palabras nos hablan de esfuerzo, de entregas, de sacrificios y de luchas, pero también de dignidad, de resiliencia, solidaridad, amor a la tierra y amor a la familia, valores extraordinarios que aportan al mundo con su fundamental y dedicada vida cotidiana ¡Feliz día a nuestras mujeres rurales! ¡Orgullo de nuestra sociedad!</w:t>
      </w:r>
    </w:p>
    <w:p w14:paraId="4E076684" w14:textId="77777777" w:rsidR="00205B68" w:rsidRPr="00AA7107" w:rsidRDefault="00205B68" w:rsidP="00205B68">
      <w:pPr>
        <w:jc w:val="both"/>
        <w:rPr>
          <w:rFonts w:ascii="Abadi" w:hAnsi="Abadi"/>
          <w:sz w:val="21"/>
          <w:szCs w:val="21"/>
        </w:rPr>
      </w:pPr>
    </w:p>
    <w:p w14:paraId="55358CB5" w14:textId="0CF4BF4E" w:rsidR="00205B68" w:rsidRDefault="00205B68" w:rsidP="00205B68">
      <w:pPr>
        <w:jc w:val="both"/>
        <w:rPr>
          <w:rFonts w:ascii="Abadi" w:hAnsi="Abadi"/>
          <w:sz w:val="21"/>
          <w:szCs w:val="21"/>
        </w:rPr>
      </w:pPr>
      <w:r w:rsidRPr="00AA7107">
        <w:rPr>
          <w:rFonts w:ascii="Abadi" w:hAnsi="Abadi"/>
          <w:sz w:val="21"/>
          <w:szCs w:val="21"/>
        </w:rPr>
        <w:t xml:space="preserve">- Porque sí, ustedes merecen ser protagonistas, no únicamente un 15 de octubre, las protagonistas deben de ser ustedes todos los días, por su generosidad, por sus aportaciones y demostrar la valía que tienen día con día ustedes. Mujeres rurales que el día de hoy nos acompañan, este sombrero representa para mí mis raíces, representa el recuerdo que tengo de mi madre, día con día dando una lucha para sacar adelante a sus familias, buscando esa </w:t>
      </w:r>
      <w:r w:rsidRPr="00AA7107">
        <w:rPr>
          <w:rFonts w:ascii="Abadi" w:hAnsi="Abadi"/>
          <w:sz w:val="21"/>
          <w:szCs w:val="21"/>
        </w:rPr>
        <w:lastRenderedPageBreak/>
        <w:t>oportunidad que buscamos, para que nuestros hijos tengan una vida mejor y una esperanza de todos los días.</w:t>
      </w:r>
    </w:p>
    <w:p w14:paraId="245BD5A6" w14:textId="77777777" w:rsidR="00205B68" w:rsidRPr="00AA7107" w:rsidRDefault="00205B68" w:rsidP="00205B68">
      <w:pPr>
        <w:jc w:val="both"/>
        <w:rPr>
          <w:rFonts w:ascii="Abadi" w:hAnsi="Abadi"/>
          <w:sz w:val="21"/>
          <w:szCs w:val="21"/>
        </w:rPr>
      </w:pPr>
    </w:p>
    <w:p w14:paraId="0263E375" w14:textId="722011A0" w:rsidR="00205B68" w:rsidRDefault="00205B68" w:rsidP="00205B68">
      <w:pPr>
        <w:jc w:val="both"/>
        <w:rPr>
          <w:rFonts w:ascii="Abadi" w:hAnsi="Abadi"/>
          <w:sz w:val="21"/>
          <w:szCs w:val="21"/>
        </w:rPr>
      </w:pPr>
      <w:r w:rsidRPr="00AA7107">
        <w:rPr>
          <w:rFonts w:ascii="Abadi" w:hAnsi="Abadi"/>
          <w:sz w:val="21"/>
          <w:szCs w:val="21"/>
        </w:rPr>
        <w:t xml:space="preserve">- Mujeres rurales este sombrero representa que todos los días, las diputadas y diputados de Acción Nacional trabajaremos por ustedes, porque me consta, vengo de un distrito lleno de mujeres, donde todos los días salen a buscar un futuro para sus familias, se levantan temprano a trabajar la tierra y a alimentar a sus animales, ustedes representan el Guanajuato grande, ustedes representan esa grandeza. </w:t>
      </w:r>
    </w:p>
    <w:p w14:paraId="53511C89" w14:textId="77777777" w:rsidR="00205B68" w:rsidRPr="00AA7107" w:rsidRDefault="00205B68" w:rsidP="00205B68">
      <w:pPr>
        <w:jc w:val="both"/>
        <w:rPr>
          <w:rFonts w:ascii="Abadi" w:hAnsi="Abadi"/>
          <w:sz w:val="21"/>
          <w:szCs w:val="21"/>
        </w:rPr>
      </w:pPr>
    </w:p>
    <w:p w14:paraId="4D19C1F7" w14:textId="69C0A5E2" w:rsidR="00205B68" w:rsidRDefault="00205B68" w:rsidP="00205B68">
      <w:pPr>
        <w:jc w:val="both"/>
        <w:rPr>
          <w:rFonts w:ascii="Abadi" w:hAnsi="Abadi"/>
          <w:sz w:val="21"/>
          <w:szCs w:val="21"/>
        </w:rPr>
      </w:pPr>
      <w:r w:rsidRPr="00AA7107">
        <w:rPr>
          <w:rFonts w:ascii="Abadi" w:hAnsi="Abadi"/>
          <w:sz w:val="21"/>
          <w:szCs w:val="21"/>
        </w:rPr>
        <w:t>- Les agradecemos bastante la labor que hacen día con día, esto va por ustedes, que mientras en Gobierno Federal se cierren puertas, a todas ustedes en Guanajuato les decimos que, si hay oportunidades para las mujeres rurales en Guanajuato, ¡si trabajamos con ustedes y para ustedes! Muchas gracias y Dios las bendiga.</w:t>
      </w:r>
    </w:p>
    <w:p w14:paraId="1EA8C172" w14:textId="77777777" w:rsidR="00205B68" w:rsidRDefault="00205B68" w:rsidP="00205B68">
      <w:pPr>
        <w:jc w:val="both"/>
        <w:rPr>
          <w:rFonts w:ascii="Abadi" w:hAnsi="Abadi"/>
          <w:sz w:val="21"/>
          <w:szCs w:val="21"/>
        </w:rPr>
      </w:pPr>
    </w:p>
    <w:p w14:paraId="7032FEFD" w14:textId="4B11ECEF" w:rsidR="00205B68" w:rsidRDefault="00205B68" w:rsidP="00205B68">
      <w:pPr>
        <w:jc w:val="both"/>
        <w:rPr>
          <w:rFonts w:ascii="Abadi" w:hAnsi="Abadi"/>
          <w:b/>
          <w:bCs/>
          <w:sz w:val="21"/>
          <w:szCs w:val="21"/>
        </w:rPr>
      </w:pPr>
      <w:r w:rsidRPr="00C5009A">
        <w:rPr>
          <w:rFonts w:ascii="Abadi" w:hAnsi="Abadi"/>
          <w:b/>
          <w:bCs/>
          <w:sz w:val="21"/>
          <w:szCs w:val="21"/>
        </w:rPr>
        <w:t>(Aplausos)</w:t>
      </w:r>
    </w:p>
    <w:p w14:paraId="09BB6159" w14:textId="77777777" w:rsidR="00205B68" w:rsidRPr="00C5009A" w:rsidRDefault="00205B68" w:rsidP="00205B68">
      <w:pPr>
        <w:jc w:val="both"/>
        <w:rPr>
          <w:rFonts w:ascii="Abadi" w:hAnsi="Abadi"/>
          <w:b/>
          <w:bCs/>
          <w:sz w:val="21"/>
          <w:szCs w:val="21"/>
        </w:rPr>
      </w:pPr>
    </w:p>
    <w:p w14:paraId="6F6D3415" w14:textId="7492429C" w:rsidR="00205B68" w:rsidRDefault="00205B68" w:rsidP="00205B68">
      <w:pPr>
        <w:jc w:val="both"/>
        <w:rPr>
          <w:rFonts w:ascii="Abadi" w:hAnsi="Abadi"/>
          <w:sz w:val="21"/>
          <w:szCs w:val="21"/>
        </w:rPr>
      </w:pPr>
      <w:r w:rsidRPr="00AA7107">
        <w:rPr>
          <w:rFonts w:ascii="Abadi" w:hAnsi="Abadi"/>
          <w:b/>
          <w:bCs/>
          <w:sz w:val="21"/>
          <w:szCs w:val="21"/>
        </w:rPr>
        <w:tab/>
        <w:t>- La Presidencia.-</w:t>
      </w:r>
      <w:r w:rsidRPr="00AA7107">
        <w:rPr>
          <w:rFonts w:ascii="Abadi" w:hAnsi="Abadi"/>
          <w:sz w:val="21"/>
          <w:szCs w:val="21"/>
        </w:rPr>
        <w:t xml:space="preserve"> Gracias diputada Briseida Anabel Magdaleno González. </w:t>
      </w:r>
    </w:p>
    <w:p w14:paraId="2A124C1D" w14:textId="77777777" w:rsidR="00205B68" w:rsidRPr="00AA7107" w:rsidRDefault="00205B68" w:rsidP="00205B68">
      <w:pPr>
        <w:jc w:val="both"/>
        <w:rPr>
          <w:rFonts w:ascii="Abadi" w:hAnsi="Abadi"/>
          <w:sz w:val="21"/>
          <w:szCs w:val="21"/>
        </w:rPr>
      </w:pPr>
    </w:p>
    <w:p w14:paraId="4B73F35A" w14:textId="1AFECEAD" w:rsidR="00205B68" w:rsidRDefault="00205B68" w:rsidP="00205B68">
      <w:pPr>
        <w:ind w:left="426" w:right="758"/>
        <w:jc w:val="both"/>
        <w:rPr>
          <w:rFonts w:ascii="Abadi" w:hAnsi="Abadi"/>
          <w:b/>
          <w:bCs/>
          <w:i/>
          <w:iCs/>
          <w:sz w:val="21"/>
          <w:szCs w:val="21"/>
          <w:u w:val="single"/>
        </w:rPr>
      </w:pPr>
      <w:r w:rsidRPr="00AA7107">
        <w:rPr>
          <w:rFonts w:ascii="Abadi" w:hAnsi="Abadi"/>
          <w:b/>
          <w:bCs/>
          <w:i/>
          <w:iCs/>
          <w:sz w:val="21"/>
          <w:szCs w:val="21"/>
          <w:u w:val="single"/>
        </w:rPr>
        <w:t>Se turna a la Comisión de Fomento Agropecuario con fundamento en el artículo 110 fracción primera de nuestra Ley Orgánica para su estudio y dictamen.</w:t>
      </w:r>
    </w:p>
    <w:p w14:paraId="3C4B8A08" w14:textId="77777777" w:rsidR="00205B68" w:rsidRPr="00AA7107" w:rsidRDefault="00205B68" w:rsidP="00205B68">
      <w:pPr>
        <w:ind w:left="426" w:right="758"/>
        <w:jc w:val="both"/>
        <w:rPr>
          <w:rFonts w:ascii="Abadi" w:hAnsi="Abadi"/>
          <w:b/>
          <w:bCs/>
          <w:i/>
          <w:iCs/>
          <w:sz w:val="21"/>
          <w:szCs w:val="21"/>
          <w:u w:val="single"/>
        </w:rPr>
      </w:pPr>
    </w:p>
    <w:p w14:paraId="3A4BA8ED" w14:textId="38FB1DD0" w:rsidR="00205B68" w:rsidRDefault="00205B68" w:rsidP="00205B68">
      <w:pPr>
        <w:jc w:val="both"/>
        <w:rPr>
          <w:rFonts w:ascii="Abadi" w:hAnsi="Abadi"/>
          <w:sz w:val="21"/>
          <w:szCs w:val="21"/>
        </w:rPr>
      </w:pPr>
      <w:r w:rsidRPr="00AA7107">
        <w:rPr>
          <w:rFonts w:ascii="Abadi" w:hAnsi="Abadi"/>
          <w:b/>
          <w:bCs/>
          <w:sz w:val="21"/>
          <w:szCs w:val="21"/>
        </w:rPr>
        <w:tab/>
        <w:t>- La Presidencia.-</w:t>
      </w:r>
      <w:r w:rsidRPr="00AA7107">
        <w:rPr>
          <w:rFonts w:ascii="Abadi" w:hAnsi="Abadi"/>
          <w:sz w:val="21"/>
          <w:szCs w:val="21"/>
        </w:rPr>
        <w:t xml:space="preserve"> Este Congreso el día de hoy se complace tener muchos visitantes, cosa que </w:t>
      </w:r>
      <w:r>
        <w:rPr>
          <w:rFonts w:ascii="Abadi" w:hAnsi="Abadi"/>
          <w:sz w:val="21"/>
          <w:szCs w:val="21"/>
        </w:rPr>
        <w:t xml:space="preserve">nos </w:t>
      </w:r>
      <w:r w:rsidRPr="00AA7107">
        <w:rPr>
          <w:rFonts w:ascii="Abadi" w:hAnsi="Abadi"/>
          <w:sz w:val="21"/>
          <w:szCs w:val="21"/>
        </w:rPr>
        <w:t xml:space="preserve">tiene muy entusiasmados, de saber que podemos llegar hasta las personas que hoy nos visitan, y saber del quehacer legislativo, por eso es que también esta Presidencia da la más cordial bienvenida a docentes y personal de apoyo de jubilados pertenecientes a la sección 45 de la Secretaría de Educación, invitados por nuestro compañero Víctor Manuel Zanella Huerta. </w:t>
      </w:r>
    </w:p>
    <w:p w14:paraId="14B3844A" w14:textId="77777777" w:rsidR="00205B68" w:rsidRPr="00AA7107" w:rsidRDefault="00205B68" w:rsidP="00205B68">
      <w:pPr>
        <w:jc w:val="both"/>
        <w:rPr>
          <w:rFonts w:ascii="Abadi" w:hAnsi="Abadi"/>
          <w:sz w:val="21"/>
          <w:szCs w:val="21"/>
        </w:rPr>
      </w:pPr>
    </w:p>
    <w:p w14:paraId="039C4ECA" w14:textId="77777777" w:rsidR="00205B68" w:rsidRPr="00AA7107" w:rsidRDefault="00205B68" w:rsidP="00205B68">
      <w:pPr>
        <w:jc w:val="both"/>
        <w:rPr>
          <w:rFonts w:ascii="Abadi" w:hAnsi="Abadi"/>
          <w:sz w:val="21"/>
          <w:szCs w:val="21"/>
        </w:rPr>
      </w:pPr>
      <w:r w:rsidRPr="00AA7107">
        <w:rPr>
          <w:rFonts w:ascii="Abadi" w:hAnsi="Abadi"/>
          <w:sz w:val="21"/>
          <w:szCs w:val="21"/>
        </w:rPr>
        <w:t>- Sean ustedes bienvenidas y bienvenidos.</w:t>
      </w:r>
    </w:p>
    <w:p w14:paraId="15AF8EDF" w14:textId="77777777" w:rsidR="001D2D83" w:rsidRPr="005767CC" w:rsidRDefault="001D2D83" w:rsidP="00CC4A96">
      <w:pPr>
        <w:pStyle w:val="Prrafodelista"/>
        <w:autoSpaceDE w:val="0"/>
        <w:autoSpaceDN w:val="0"/>
        <w:adjustRightInd w:val="0"/>
        <w:ind w:left="0"/>
        <w:jc w:val="both"/>
        <w:rPr>
          <w:rFonts w:ascii="Abadi" w:hAnsi="Abadi" w:cs="*Arial-Bold-2368-Identity-H"/>
          <w:b/>
          <w:bCs/>
          <w:color w:val="151515"/>
          <w:sz w:val="21"/>
          <w:szCs w:val="21"/>
        </w:rPr>
      </w:pPr>
    </w:p>
    <w:p w14:paraId="1D3AC11D" w14:textId="77777777" w:rsidR="00E462B6" w:rsidRPr="0028553C" w:rsidRDefault="00E462B6" w:rsidP="001D2D83">
      <w:pPr>
        <w:pStyle w:val="Prrafodelista"/>
        <w:numPr>
          <w:ilvl w:val="0"/>
          <w:numId w:val="14"/>
        </w:numPr>
        <w:autoSpaceDE w:val="0"/>
        <w:autoSpaceDN w:val="0"/>
        <w:adjustRightInd w:val="0"/>
        <w:ind w:left="426"/>
        <w:contextualSpacing/>
        <w:jc w:val="both"/>
        <w:rPr>
          <w:rFonts w:ascii="Abadi" w:hAnsi="Abadi" w:cs="ArialMT"/>
          <w:b/>
          <w:bCs/>
          <w:sz w:val="20"/>
          <w:szCs w:val="21"/>
        </w:rPr>
      </w:pPr>
      <w:r w:rsidRPr="0028553C">
        <w:rPr>
          <w:rFonts w:ascii="Abadi" w:hAnsi="Abadi" w:cs="ArialMT"/>
          <w:b/>
          <w:bCs/>
          <w:sz w:val="20"/>
          <w:szCs w:val="21"/>
        </w:rPr>
        <w:t xml:space="preserve">PRESENTACIÓN DE LA INICIATIVA FORMULADA POR LA DIPUTADA IRMA LETICIA GONZÁLEZ SÁNCHEZ INTEGRANTE DEL GRUPO PARLAMENTARIO DEL PARTIDO MORENA A EFECTO DE REFORMAR Y ADICIONAR DIVERSAS </w:t>
      </w:r>
      <w:r w:rsidRPr="0028553C">
        <w:rPr>
          <w:rFonts w:ascii="Abadi" w:hAnsi="Abadi" w:cs="ArialMT"/>
          <w:b/>
          <w:bCs/>
          <w:sz w:val="20"/>
          <w:szCs w:val="21"/>
        </w:rPr>
        <w:t>DISPOSICIONES DE LA LEY DE SALUD DEL ESTADO DE GUANAJUATO.</w:t>
      </w:r>
    </w:p>
    <w:p w14:paraId="720F3020" w14:textId="20C42F0C" w:rsidR="00E462B6" w:rsidRDefault="00E462B6" w:rsidP="00E462B6">
      <w:pPr>
        <w:autoSpaceDE w:val="0"/>
        <w:autoSpaceDN w:val="0"/>
        <w:adjustRightInd w:val="0"/>
        <w:jc w:val="both"/>
        <w:rPr>
          <w:rFonts w:ascii="Abadi" w:hAnsi="Abadi" w:cs="ArialMT"/>
          <w:b/>
          <w:bCs/>
          <w:sz w:val="20"/>
          <w:szCs w:val="21"/>
        </w:rPr>
      </w:pPr>
    </w:p>
    <w:p w14:paraId="214DA605" w14:textId="721A7DAF" w:rsidR="008053D8" w:rsidRDefault="008053D8" w:rsidP="00E462B6">
      <w:pPr>
        <w:autoSpaceDE w:val="0"/>
        <w:autoSpaceDN w:val="0"/>
        <w:adjustRightInd w:val="0"/>
        <w:jc w:val="both"/>
        <w:rPr>
          <w:rFonts w:ascii="Abadi" w:hAnsi="Abadi" w:cs="ArialMT"/>
          <w:b/>
          <w:bCs/>
          <w:sz w:val="20"/>
          <w:szCs w:val="21"/>
        </w:rPr>
      </w:pPr>
    </w:p>
    <w:p w14:paraId="49423971" w14:textId="77777777" w:rsidR="00472033" w:rsidRPr="000915F4" w:rsidRDefault="00472033" w:rsidP="00472033">
      <w:pPr>
        <w:tabs>
          <w:tab w:val="left" w:pos="2410"/>
        </w:tabs>
        <w:jc w:val="both"/>
        <w:rPr>
          <w:rFonts w:ascii="Abadi" w:hAnsi="Abadi"/>
          <w:b/>
          <w:bCs/>
          <w:sz w:val="21"/>
          <w:szCs w:val="21"/>
        </w:rPr>
      </w:pPr>
      <w:r w:rsidRPr="000915F4">
        <w:rPr>
          <w:rFonts w:ascii="Abadi" w:hAnsi="Abadi"/>
          <w:b/>
          <w:bCs/>
          <w:sz w:val="21"/>
          <w:szCs w:val="21"/>
        </w:rPr>
        <w:t xml:space="preserve">Diputado Martín López Camacho </w:t>
      </w:r>
    </w:p>
    <w:p w14:paraId="0CA284B6" w14:textId="77777777" w:rsidR="00472033" w:rsidRPr="000915F4" w:rsidRDefault="00472033" w:rsidP="00472033">
      <w:pPr>
        <w:tabs>
          <w:tab w:val="left" w:pos="2410"/>
        </w:tabs>
        <w:jc w:val="both"/>
        <w:rPr>
          <w:rFonts w:ascii="Abadi" w:hAnsi="Abadi"/>
          <w:b/>
          <w:bCs/>
          <w:sz w:val="21"/>
          <w:szCs w:val="21"/>
        </w:rPr>
      </w:pPr>
      <w:r w:rsidRPr="000915F4">
        <w:rPr>
          <w:rFonts w:ascii="Abadi" w:hAnsi="Abadi"/>
          <w:b/>
          <w:bCs/>
          <w:sz w:val="21"/>
          <w:szCs w:val="21"/>
        </w:rPr>
        <w:t xml:space="preserve">Presidente de la Mesa Directiva </w:t>
      </w:r>
    </w:p>
    <w:p w14:paraId="51C9F9BB" w14:textId="77777777" w:rsidR="00472033" w:rsidRPr="000915F4" w:rsidRDefault="00472033" w:rsidP="00472033">
      <w:pPr>
        <w:tabs>
          <w:tab w:val="left" w:pos="2410"/>
        </w:tabs>
        <w:jc w:val="both"/>
        <w:rPr>
          <w:rFonts w:ascii="Abadi" w:hAnsi="Abadi"/>
          <w:b/>
          <w:bCs/>
          <w:sz w:val="21"/>
          <w:szCs w:val="21"/>
        </w:rPr>
      </w:pPr>
      <w:r w:rsidRPr="000915F4">
        <w:rPr>
          <w:rFonts w:ascii="Abadi" w:hAnsi="Abadi"/>
          <w:b/>
          <w:bCs/>
          <w:sz w:val="21"/>
          <w:szCs w:val="21"/>
        </w:rPr>
        <w:t>H. Congreso del Estado de Guanajuato Sexagésima Quinta Legislatura</w:t>
      </w:r>
    </w:p>
    <w:p w14:paraId="4C7E5CF0" w14:textId="77777777" w:rsidR="00472033" w:rsidRPr="000915F4" w:rsidRDefault="00472033" w:rsidP="00472033">
      <w:pPr>
        <w:tabs>
          <w:tab w:val="left" w:pos="2410"/>
        </w:tabs>
        <w:jc w:val="both"/>
        <w:rPr>
          <w:rFonts w:ascii="Abadi" w:hAnsi="Abadi"/>
          <w:b/>
          <w:bCs/>
          <w:sz w:val="21"/>
          <w:szCs w:val="21"/>
        </w:rPr>
      </w:pPr>
      <w:r w:rsidRPr="000915F4">
        <w:rPr>
          <w:rFonts w:ascii="Abadi" w:hAnsi="Abadi"/>
          <w:b/>
          <w:bCs/>
          <w:sz w:val="21"/>
          <w:szCs w:val="21"/>
        </w:rPr>
        <w:t>Presente.</w:t>
      </w:r>
    </w:p>
    <w:p w14:paraId="26C05382" w14:textId="77777777" w:rsidR="00472033" w:rsidRPr="00350F6A" w:rsidRDefault="00472033" w:rsidP="00472033">
      <w:pPr>
        <w:tabs>
          <w:tab w:val="left" w:pos="2410"/>
        </w:tabs>
        <w:jc w:val="both"/>
        <w:rPr>
          <w:rFonts w:ascii="Abadi" w:hAnsi="Abadi"/>
          <w:sz w:val="21"/>
          <w:szCs w:val="21"/>
        </w:rPr>
      </w:pPr>
    </w:p>
    <w:p w14:paraId="3B50606B" w14:textId="77777777" w:rsidR="00472033" w:rsidRPr="00350F6A" w:rsidRDefault="00472033" w:rsidP="00472033">
      <w:pPr>
        <w:tabs>
          <w:tab w:val="left" w:pos="2410"/>
        </w:tabs>
        <w:jc w:val="both"/>
        <w:rPr>
          <w:rFonts w:ascii="Abadi" w:hAnsi="Abadi"/>
          <w:sz w:val="21"/>
          <w:szCs w:val="21"/>
        </w:rPr>
      </w:pPr>
      <w:r w:rsidRPr="00350F6A">
        <w:rPr>
          <w:rFonts w:ascii="Abadi" w:hAnsi="Abadi"/>
          <w:sz w:val="21"/>
          <w:szCs w:val="21"/>
        </w:rPr>
        <w:t xml:space="preserve">La que suscribe, Diputada Irma Leticia González Sánchez, integrante del Grupo Parlamentario de morena, de esta Sexagésima Quinta Legislatura del Honorable Congreso del Estado de Guanajuato, con fundamento en lo dispuesto en los artículos 56 fracción II y 63, fracción II de la Constitución Política del Estado Libre y Soberano de Guanajuato; y los artículos 167 fracción 11, 168 y 209 de la Ley Orgánica del Poder Legislativo del Estado de Guanajuato, me permito someter a la consideración del pleno de esta Honorable Asamblea Legislativa para su aprobación, la presente iniciativa </w:t>
      </w:r>
      <w:r w:rsidRPr="000915F4">
        <w:rPr>
          <w:rFonts w:ascii="Abadi" w:hAnsi="Abadi"/>
          <w:b/>
          <w:bCs/>
          <w:sz w:val="21"/>
          <w:szCs w:val="21"/>
        </w:rPr>
        <w:t>con proyecto de Decreto por el que se reforma la fracción "111" del artículo 28, se adiciona una fracción "IV" al artículo 38, se agrega un Título Octavo Bis, DE LOS CUIDADOS PALIATIVOS A LOS ENFERMOS EN ETAPA TERMINAL, un Capítulo Único con la adición de los artículos 131 Bis, 131 Ter y 131 Quáter de la Ley de Salud del Estado de Guanajuato</w:t>
      </w:r>
      <w:r w:rsidRPr="00350F6A">
        <w:rPr>
          <w:rFonts w:ascii="Abadi" w:hAnsi="Abadi"/>
          <w:sz w:val="21"/>
          <w:szCs w:val="21"/>
        </w:rPr>
        <w:t>, de</w:t>
      </w:r>
      <w:r>
        <w:rPr>
          <w:rFonts w:ascii="Abadi" w:hAnsi="Abadi"/>
          <w:sz w:val="21"/>
          <w:szCs w:val="21"/>
        </w:rPr>
        <w:t xml:space="preserve"> </w:t>
      </w:r>
      <w:r w:rsidRPr="00350F6A">
        <w:rPr>
          <w:rFonts w:ascii="Abadi" w:hAnsi="Abadi"/>
          <w:sz w:val="21"/>
          <w:szCs w:val="21"/>
        </w:rPr>
        <w:t xml:space="preserve">conformidad con la siguiente: </w:t>
      </w:r>
    </w:p>
    <w:p w14:paraId="2C0A47B8" w14:textId="77777777" w:rsidR="00472033" w:rsidRDefault="00472033" w:rsidP="00472033">
      <w:pPr>
        <w:tabs>
          <w:tab w:val="left" w:pos="2410"/>
        </w:tabs>
        <w:jc w:val="center"/>
        <w:rPr>
          <w:rFonts w:ascii="Abadi" w:hAnsi="Abadi"/>
          <w:b/>
          <w:bCs/>
          <w:sz w:val="21"/>
          <w:szCs w:val="21"/>
        </w:rPr>
      </w:pPr>
    </w:p>
    <w:p w14:paraId="158FB992" w14:textId="6BD02AE3" w:rsidR="00472033" w:rsidRPr="000915F4" w:rsidRDefault="00472033" w:rsidP="00472033">
      <w:pPr>
        <w:tabs>
          <w:tab w:val="left" w:pos="2410"/>
        </w:tabs>
        <w:jc w:val="center"/>
        <w:rPr>
          <w:rFonts w:ascii="Abadi" w:hAnsi="Abadi"/>
          <w:b/>
          <w:bCs/>
          <w:sz w:val="21"/>
          <w:szCs w:val="21"/>
        </w:rPr>
      </w:pPr>
      <w:r w:rsidRPr="000915F4">
        <w:rPr>
          <w:rFonts w:ascii="Abadi" w:hAnsi="Abadi"/>
          <w:b/>
          <w:bCs/>
          <w:sz w:val="21"/>
          <w:szCs w:val="21"/>
        </w:rPr>
        <w:t>EXPOSICIÓN DE MOTIVOS</w:t>
      </w:r>
    </w:p>
    <w:p w14:paraId="40788D43" w14:textId="77777777" w:rsidR="00472033" w:rsidRDefault="00472033" w:rsidP="00472033">
      <w:pPr>
        <w:tabs>
          <w:tab w:val="left" w:pos="2410"/>
        </w:tabs>
        <w:jc w:val="both"/>
        <w:rPr>
          <w:rFonts w:ascii="Abadi" w:hAnsi="Abadi"/>
          <w:b/>
          <w:bCs/>
          <w:sz w:val="21"/>
          <w:szCs w:val="21"/>
        </w:rPr>
      </w:pPr>
    </w:p>
    <w:p w14:paraId="45CEE191" w14:textId="1BB9C2F2" w:rsidR="00472033" w:rsidRPr="000915F4" w:rsidRDefault="00472033" w:rsidP="00472033">
      <w:pPr>
        <w:tabs>
          <w:tab w:val="left" w:pos="2410"/>
        </w:tabs>
        <w:jc w:val="both"/>
        <w:rPr>
          <w:rFonts w:ascii="Abadi" w:hAnsi="Abadi"/>
          <w:b/>
          <w:bCs/>
          <w:sz w:val="21"/>
          <w:szCs w:val="21"/>
        </w:rPr>
      </w:pPr>
      <w:r w:rsidRPr="000915F4">
        <w:rPr>
          <w:rFonts w:ascii="Abadi" w:hAnsi="Abadi"/>
          <w:b/>
          <w:bCs/>
          <w:sz w:val="21"/>
          <w:szCs w:val="21"/>
        </w:rPr>
        <w:t xml:space="preserve">No estamos aquí para ayudarte a morir, estamos aquí para ayudarte a vivir hasta que mueras. </w:t>
      </w:r>
    </w:p>
    <w:p w14:paraId="2CB0551D" w14:textId="77777777" w:rsidR="00472033" w:rsidRPr="000915F4" w:rsidRDefault="00472033" w:rsidP="00472033">
      <w:pPr>
        <w:tabs>
          <w:tab w:val="left" w:pos="2410"/>
        </w:tabs>
        <w:jc w:val="right"/>
        <w:rPr>
          <w:rFonts w:ascii="Abadi" w:hAnsi="Abadi"/>
          <w:b/>
          <w:bCs/>
          <w:sz w:val="21"/>
          <w:szCs w:val="21"/>
        </w:rPr>
      </w:pPr>
      <w:r w:rsidRPr="000915F4">
        <w:rPr>
          <w:rFonts w:ascii="Abadi" w:hAnsi="Abadi"/>
          <w:b/>
          <w:bCs/>
          <w:sz w:val="21"/>
          <w:szCs w:val="21"/>
        </w:rPr>
        <w:t xml:space="preserve">Cicely Saunders </w:t>
      </w:r>
    </w:p>
    <w:p w14:paraId="03BE006C" w14:textId="77777777" w:rsidR="00472033" w:rsidRPr="00350F6A" w:rsidRDefault="00472033" w:rsidP="00472033">
      <w:pPr>
        <w:tabs>
          <w:tab w:val="left" w:pos="2410"/>
        </w:tabs>
        <w:jc w:val="both"/>
        <w:rPr>
          <w:rFonts w:ascii="Abadi" w:hAnsi="Abadi"/>
          <w:sz w:val="21"/>
          <w:szCs w:val="21"/>
        </w:rPr>
      </w:pPr>
      <w:r w:rsidRPr="00350F6A">
        <w:rPr>
          <w:rFonts w:ascii="Abadi" w:hAnsi="Abadi"/>
          <w:sz w:val="21"/>
          <w:szCs w:val="21"/>
        </w:rPr>
        <w:t xml:space="preserve">El segundo sábado de octubre se celebra el </w:t>
      </w:r>
      <w:r w:rsidRPr="000915F4">
        <w:rPr>
          <w:rFonts w:ascii="Abadi" w:hAnsi="Abadi"/>
          <w:b/>
          <w:bCs/>
          <w:sz w:val="21"/>
          <w:szCs w:val="21"/>
        </w:rPr>
        <w:t>Día Mundial de los cuidados paliativos</w:t>
      </w:r>
      <w:r w:rsidRPr="00350F6A">
        <w:rPr>
          <w:rFonts w:ascii="Abadi" w:hAnsi="Abadi"/>
          <w:sz w:val="21"/>
          <w:szCs w:val="21"/>
        </w:rPr>
        <w:t xml:space="preserve">. Una modalidad terapéutica poco difundida en el mundo, que busca </w:t>
      </w:r>
      <w:r w:rsidRPr="000915F4">
        <w:rPr>
          <w:rFonts w:ascii="Abadi" w:hAnsi="Abadi"/>
          <w:b/>
          <w:bCs/>
          <w:sz w:val="21"/>
          <w:szCs w:val="21"/>
        </w:rPr>
        <w:t>ayudar, apoyar y mejorar, la situación de los pacientes terminales y sus familias,</w:t>
      </w:r>
      <w:r w:rsidRPr="00350F6A">
        <w:rPr>
          <w:rFonts w:ascii="Abadi" w:hAnsi="Abadi"/>
          <w:sz w:val="21"/>
          <w:szCs w:val="21"/>
        </w:rPr>
        <w:t xml:space="preserve"> para que puedan afrontar de mejor manera, la partida de ese ser querido. </w:t>
      </w:r>
      <w:r w:rsidRPr="000915F4">
        <w:rPr>
          <w:rFonts w:ascii="Abadi" w:hAnsi="Abadi"/>
          <w:b/>
          <w:bCs/>
          <w:sz w:val="21"/>
          <w:szCs w:val="21"/>
        </w:rPr>
        <w:t>El Lema 2022 es "Sanando corazones y comunidades".</w:t>
      </w:r>
      <w:r w:rsidRPr="00350F6A">
        <w:rPr>
          <w:rFonts w:ascii="Abadi" w:hAnsi="Abadi"/>
          <w:sz w:val="21"/>
          <w:szCs w:val="21"/>
        </w:rPr>
        <w:t xml:space="preserve"> </w:t>
      </w:r>
    </w:p>
    <w:p w14:paraId="7E1949B6" w14:textId="77777777" w:rsidR="00D319EF" w:rsidRDefault="00D319EF" w:rsidP="00472033">
      <w:pPr>
        <w:tabs>
          <w:tab w:val="left" w:pos="2410"/>
        </w:tabs>
        <w:jc w:val="both"/>
        <w:rPr>
          <w:rFonts w:ascii="Abadi" w:hAnsi="Abadi"/>
          <w:sz w:val="21"/>
          <w:szCs w:val="21"/>
        </w:rPr>
      </w:pPr>
    </w:p>
    <w:p w14:paraId="2B22DC45" w14:textId="4FB21696" w:rsidR="00472033" w:rsidRPr="00350F6A" w:rsidRDefault="00472033" w:rsidP="00472033">
      <w:pPr>
        <w:tabs>
          <w:tab w:val="left" w:pos="2410"/>
        </w:tabs>
        <w:jc w:val="both"/>
        <w:rPr>
          <w:rFonts w:ascii="Abadi" w:hAnsi="Abadi"/>
          <w:sz w:val="21"/>
          <w:szCs w:val="21"/>
        </w:rPr>
      </w:pPr>
      <w:r w:rsidRPr="00350F6A">
        <w:rPr>
          <w:rFonts w:ascii="Abadi" w:hAnsi="Abadi"/>
          <w:sz w:val="21"/>
          <w:szCs w:val="21"/>
        </w:rPr>
        <w:t xml:space="preserve">Se calcula que, en todo el mundo, solo una de cada diez personas que necesitan cuidados paliativos los recibe, y la demanda mundial de atención a personas con enfermedades potencialmente letales seguirá creciendo a medida que las poblaciones envejezcan y aumente la carga de enfermedades no </w:t>
      </w:r>
      <w:r w:rsidRPr="00350F6A">
        <w:rPr>
          <w:rFonts w:ascii="Abadi" w:hAnsi="Abadi"/>
          <w:sz w:val="21"/>
          <w:szCs w:val="21"/>
        </w:rPr>
        <w:lastRenderedPageBreak/>
        <w:t xml:space="preserve">transmisibles. Para 2060 se prevé que la necesidad de cuidados paliativos se habrá casi duplicado. </w:t>
      </w:r>
    </w:p>
    <w:p w14:paraId="05776032" w14:textId="77777777" w:rsidR="00D319EF" w:rsidRDefault="00D319EF" w:rsidP="00472033">
      <w:pPr>
        <w:tabs>
          <w:tab w:val="left" w:pos="2410"/>
        </w:tabs>
        <w:jc w:val="both"/>
        <w:rPr>
          <w:rFonts w:ascii="Abadi" w:hAnsi="Abadi"/>
          <w:sz w:val="21"/>
          <w:szCs w:val="21"/>
        </w:rPr>
      </w:pPr>
    </w:p>
    <w:p w14:paraId="7368FCE9" w14:textId="1AB3F980" w:rsidR="00472033" w:rsidRPr="00350F6A" w:rsidRDefault="00472033" w:rsidP="00472033">
      <w:pPr>
        <w:tabs>
          <w:tab w:val="left" w:pos="2410"/>
        </w:tabs>
        <w:jc w:val="both"/>
        <w:rPr>
          <w:rFonts w:ascii="Abadi" w:hAnsi="Abadi"/>
          <w:sz w:val="21"/>
          <w:szCs w:val="21"/>
        </w:rPr>
      </w:pPr>
      <w:r w:rsidRPr="00350F6A">
        <w:rPr>
          <w:rFonts w:ascii="Abadi" w:hAnsi="Abadi"/>
          <w:sz w:val="21"/>
          <w:szCs w:val="21"/>
        </w:rPr>
        <w:t xml:space="preserve">Por tanto, el mundo necesita una acción urgente y concertada para ampliar el acceso a servicios de cuidados paliativos de calidad. Para responder a esta necesidad, la OMS publica dos nuevos recursos con el fin de ayudar a los países a evaluar el desarrollo de los cuidados paliativos y mejorar la calidad de los servicios de cuidados paliativos. </w:t>
      </w:r>
    </w:p>
    <w:p w14:paraId="16486143" w14:textId="77777777" w:rsidR="00D319EF" w:rsidRDefault="00D319EF" w:rsidP="00472033">
      <w:pPr>
        <w:tabs>
          <w:tab w:val="left" w:pos="2410"/>
        </w:tabs>
        <w:jc w:val="both"/>
        <w:rPr>
          <w:rFonts w:ascii="Abadi" w:hAnsi="Abadi"/>
          <w:sz w:val="21"/>
          <w:szCs w:val="21"/>
        </w:rPr>
      </w:pPr>
    </w:p>
    <w:p w14:paraId="1DBB592D" w14:textId="2B2DC76D" w:rsidR="00472033" w:rsidRPr="00350F6A" w:rsidRDefault="00472033" w:rsidP="00472033">
      <w:pPr>
        <w:tabs>
          <w:tab w:val="left" w:pos="2410"/>
        </w:tabs>
        <w:jc w:val="both"/>
        <w:rPr>
          <w:rFonts w:ascii="Abadi" w:hAnsi="Abadi"/>
          <w:sz w:val="21"/>
          <w:szCs w:val="21"/>
        </w:rPr>
      </w:pPr>
      <w:r w:rsidRPr="00350F6A">
        <w:rPr>
          <w:rFonts w:ascii="Abadi" w:hAnsi="Abadi"/>
          <w:sz w:val="21"/>
          <w:szCs w:val="21"/>
        </w:rPr>
        <w:t>El primer recurso consiste en un informe técnico de la OMS en el que se proporciona un conjunto sólido y aplicable a nivel mundial de indicadores de los cuidados paliativos para los países. Estos indicadores pueden utilizarse para evaluar y monitorear la prestación de servicios de cuidados paliativos en países de todo el mundo. El informe tiene como objetivo crear un consenso mundial sobre los indicadores para medir el desarrollo de los cuidados paliativos, y su uso proporcionará datos fiables para apoyar la toma de decisiones orientando sobre las prioridades de salud y la asignación de recursos.</w:t>
      </w:r>
    </w:p>
    <w:p w14:paraId="2446638D" w14:textId="77777777" w:rsidR="00D319EF" w:rsidRDefault="00D319EF" w:rsidP="00472033">
      <w:pPr>
        <w:tabs>
          <w:tab w:val="left" w:pos="2410"/>
        </w:tabs>
        <w:jc w:val="both"/>
        <w:rPr>
          <w:rFonts w:ascii="Abadi" w:hAnsi="Abadi"/>
          <w:sz w:val="21"/>
          <w:szCs w:val="21"/>
        </w:rPr>
      </w:pPr>
    </w:p>
    <w:p w14:paraId="3758E7CB" w14:textId="71C817CF" w:rsidR="00472033" w:rsidRPr="00350F6A" w:rsidRDefault="00472033" w:rsidP="00472033">
      <w:pPr>
        <w:tabs>
          <w:tab w:val="left" w:pos="2410"/>
        </w:tabs>
        <w:jc w:val="both"/>
        <w:rPr>
          <w:rFonts w:ascii="Abadi" w:hAnsi="Abadi"/>
          <w:sz w:val="21"/>
          <w:szCs w:val="21"/>
        </w:rPr>
      </w:pPr>
      <w:r w:rsidRPr="00350F6A">
        <w:rPr>
          <w:rFonts w:ascii="Abadi" w:hAnsi="Abadi"/>
          <w:sz w:val="21"/>
          <w:szCs w:val="21"/>
        </w:rPr>
        <w:t xml:space="preserve">El segundo recurso es un informe técnico sobre los servicios de salud y de cuidados paliativos de calidad, en el que se examinan enfoques prácticos y recursos para apoyar las políticas, la estrategia y la práctica. El informe orientará la acción a nivel nacional, de distrito y en el punto de atención para mejorar la calidad de los servicios de cuidados paliativos. </w:t>
      </w:r>
    </w:p>
    <w:p w14:paraId="46CD076B" w14:textId="77777777" w:rsidR="0088336A" w:rsidRDefault="0088336A" w:rsidP="00472033">
      <w:pPr>
        <w:tabs>
          <w:tab w:val="left" w:pos="2410"/>
        </w:tabs>
        <w:jc w:val="both"/>
        <w:rPr>
          <w:rFonts w:ascii="Abadi" w:hAnsi="Abadi"/>
          <w:sz w:val="21"/>
          <w:szCs w:val="21"/>
        </w:rPr>
      </w:pPr>
    </w:p>
    <w:p w14:paraId="68C1256B" w14:textId="352425DB" w:rsidR="00472033" w:rsidRPr="00350F6A" w:rsidRDefault="00472033" w:rsidP="00472033">
      <w:pPr>
        <w:tabs>
          <w:tab w:val="left" w:pos="2410"/>
        </w:tabs>
        <w:jc w:val="both"/>
        <w:rPr>
          <w:rFonts w:ascii="Abadi" w:hAnsi="Abadi"/>
          <w:sz w:val="21"/>
          <w:szCs w:val="21"/>
        </w:rPr>
      </w:pPr>
      <w:r w:rsidRPr="00350F6A">
        <w:rPr>
          <w:rFonts w:ascii="Abadi" w:hAnsi="Abadi"/>
          <w:sz w:val="21"/>
          <w:szCs w:val="21"/>
        </w:rPr>
        <w:t>La COVI D-19 ha puesto de manifiesto la necesidad de cuidados paliativos en todos los lugares y entornos para aliviar el sufrimiento al final de la vida, como el sufrimiento físico causado por la falta de aire o el dolor mental resultante de la separación de los seres queridos. La pandemia también nos recuerda la necesidad de que todos los profesionales de la salud tengan cierta formación en un enfoque de cuidados paliativos: la demanda de servicios paliativos excede lo que pueden proporcionar los equipos de especialistas por sí solos.</w:t>
      </w:r>
    </w:p>
    <w:p w14:paraId="6BED5592" w14:textId="77777777" w:rsidR="0088336A" w:rsidRDefault="0088336A" w:rsidP="00472033">
      <w:pPr>
        <w:tabs>
          <w:tab w:val="left" w:pos="2410"/>
        </w:tabs>
        <w:jc w:val="both"/>
        <w:rPr>
          <w:rFonts w:ascii="Abadi" w:hAnsi="Abadi"/>
          <w:sz w:val="21"/>
          <w:szCs w:val="21"/>
        </w:rPr>
      </w:pPr>
    </w:p>
    <w:p w14:paraId="54C56F6F" w14:textId="42A26AF0" w:rsidR="00472033" w:rsidRPr="00350F6A" w:rsidRDefault="00472033" w:rsidP="00472033">
      <w:pPr>
        <w:tabs>
          <w:tab w:val="left" w:pos="2410"/>
        </w:tabs>
        <w:jc w:val="both"/>
        <w:rPr>
          <w:rFonts w:ascii="Abadi" w:hAnsi="Abadi"/>
          <w:sz w:val="21"/>
          <w:szCs w:val="21"/>
        </w:rPr>
      </w:pPr>
      <w:r w:rsidRPr="00350F6A">
        <w:rPr>
          <w:rFonts w:ascii="Abadi" w:hAnsi="Abadi"/>
          <w:sz w:val="21"/>
          <w:szCs w:val="21"/>
        </w:rPr>
        <w:t xml:space="preserve">Los cuidados paliativos mejoran la vida de los pacientes y sus familias que se enfrentan a los retos asociados a las enfermedades potencialmente letales y a los graves sufrimientos relacionados con la salud, </w:t>
      </w:r>
      <w:r w:rsidRPr="00350F6A">
        <w:rPr>
          <w:rFonts w:ascii="Abadi" w:hAnsi="Abadi"/>
          <w:sz w:val="21"/>
          <w:szCs w:val="21"/>
        </w:rPr>
        <w:t xml:space="preserve">incluidos, entre otros, los cuidados al final de la vida. La prestación de unos cuidados óptimos en los países requiere: un entorno normativo favorable, comunidades empoderadas, investigación, acceso a los medicamentos esenciales, sistemas sólidos de educación y formación para los trabajadores y profesionales de los cuidados paliativos, y atención a la calidad de los servicios. Los cuidados son un derecho humano y un imperativo moral de todos los sistemas de salud. </w:t>
      </w:r>
    </w:p>
    <w:p w14:paraId="4479A765" w14:textId="77777777" w:rsidR="004E4C7D" w:rsidRDefault="004E4C7D" w:rsidP="00472033">
      <w:pPr>
        <w:tabs>
          <w:tab w:val="left" w:pos="2410"/>
        </w:tabs>
        <w:jc w:val="both"/>
        <w:rPr>
          <w:rFonts w:ascii="Abadi" w:hAnsi="Abadi"/>
          <w:sz w:val="21"/>
          <w:szCs w:val="21"/>
        </w:rPr>
      </w:pPr>
    </w:p>
    <w:p w14:paraId="3550CEF0" w14:textId="151E3F93" w:rsidR="00472033" w:rsidRPr="00350F6A" w:rsidRDefault="00472033" w:rsidP="00472033">
      <w:pPr>
        <w:tabs>
          <w:tab w:val="left" w:pos="2410"/>
        </w:tabs>
        <w:jc w:val="both"/>
        <w:rPr>
          <w:rFonts w:ascii="Abadi" w:hAnsi="Abadi"/>
          <w:sz w:val="21"/>
          <w:szCs w:val="21"/>
        </w:rPr>
      </w:pPr>
      <w:r w:rsidRPr="00350F6A">
        <w:rPr>
          <w:rFonts w:ascii="Abadi" w:hAnsi="Abadi"/>
          <w:sz w:val="21"/>
          <w:szCs w:val="21"/>
        </w:rPr>
        <w:t>Estos cuidados no son solo para ayudar a personas que tienen cáncer sino también para las personas que sufren de enfermedades cardiacas avanzadas, respiratorias crónicas, sida, insuficiencia renal, enfermedades hepáticas crónicas, esclerosis múltiple, Parkinson, enfermedades neurológicas avanzadas o enfermedades que incapaciten y hagan depender al paciente de los familiares.</w:t>
      </w:r>
    </w:p>
    <w:p w14:paraId="47AE27A6" w14:textId="77777777" w:rsidR="004E4C7D" w:rsidRDefault="004E4C7D" w:rsidP="00472033">
      <w:pPr>
        <w:tabs>
          <w:tab w:val="left" w:pos="2410"/>
        </w:tabs>
        <w:jc w:val="both"/>
        <w:rPr>
          <w:rFonts w:ascii="Abadi" w:hAnsi="Abadi"/>
          <w:sz w:val="21"/>
          <w:szCs w:val="21"/>
        </w:rPr>
      </w:pPr>
    </w:p>
    <w:p w14:paraId="781FB051" w14:textId="0A17A1FD" w:rsidR="00472033" w:rsidRDefault="00472033" w:rsidP="00472033">
      <w:pPr>
        <w:tabs>
          <w:tab w:val="left" w:pos="2410"/>
        </w:tabs>
        <w:jc w:val="both"/>
        <w:rPr>
          <w:rFonts w:ascii="Abadi" w:hAnsi="Abadi"/>
          <w:sz w:val="21"/>
          <w:szCs w:val="21"/>
        </w:rPr>
      </w:pPr>
      <w:r w:rsidRPr="00350F6A">
        <w:rPr>
          <w:rFonts w:ascii="Abadi" w:hAnsi="Abadi"/>
          <w:sz w:val="21"/>
          <w:szCs w:val="21"/>
        </w:rPr>
        <w:t>Este tipo de tratamiento ayudan a:</w:t>
      </w:r>
    </w:p>
    <w:p w14:paraId="048E9241" w14:textId="77777777" w:rsidR="004E4C7D" w:rsidRDefault="004E4C7D" w:rsidP="004E4C7D">
      <w:pPr>
        <w:pStyle w:val="Prrafodelista"/>
        <w:tabs>
          <w:tab w:val="left" w:pos="2410"/>
        </w:tabs>
        <w:spacing w:after="160"/>
        <w:ind w:left="720"/>
        <w:contextualSpacing/>
        <w:jc w:val="both"/>
        <w:rPr>
          <w:rFonts w:ascii="Abadi" w:hAnsi="Abadi"/>
          <w:sz w:val="21"/>
          <w:szCs w:val="21"/>
        </w:rPr>
      </w:pPr>
    </w:p>
    <w:p w14:paraId="72BBF92D" w14:textId="7F33E2BE" w:rsidR="00472033" w:rsidRDefault="00472033" w:rsidP="00472033">
      <w:pPr>
        <w:pStyle w:val="Prrafodelista"/>
        <w:numPr>
          <w:ilvl w:val="0"/>
          <w:numId w:val="22"/>
        </w:numPr>
        <w:tabs>
          <w:tab w:val="left" w:pos="2410"/>
        </w:tabs>
        <w:spacing w:after="160"/>
        <w:contextualSpacing/>
        <w:jc w:val="both"/>
        <w:rPr>
          <w:rFonts w:ascii="Abadi" w:hAnsi="Abadi"/>
          <w:sz w:val="21"/>
          <w:szCs w:val="21"/>
        </w:rPr>
      </w:pPr>
      <w:r w:rsidRPr="000915F4">
        <w:rPr>
          <w:rFonts w:ascii="Abadi" w:hAnsi="Abadi"/>
          <w:sz w:val="21"/>
          <w:szCs w:val="21"/>
        </w:rPr>
        <w:t>Mejoran la calidad de vida de pacientes y familiares que enfrentan enfermedades progresivas e incurables.</w:t>
      </w:r>
    </w:p>
    <w:p w14:paraId="305326F7" w14:textId="77777777" w:rsidR="00472033" w:rsidRDefault="00472033" w:rsidP="00472033">
      <w:pPr>
        <w:pStyle w:val="Prrafodelista"/>
        <w:numPr>
          <w:ilvl w:val="0"/>
          <w:numId w:val="22"/>
        </w:numPr>
        <w:tabs>
          <w:tab w:val="left" w:pos="2410"/>
        </w:tabs>
        <w:spacing w:after="160"/>
        <w:contextualSpacing/>
        <w:jc w:val="both"/>
        <w:rPr>
          <w:rFonts w:ascii="Abadi" w:hAnsi="Abadi"/>
          <w:sz w:val="21"/>
          <w:szCs w:val="21"/>
        </w:rPr>
      </w:pPr>
      <w:r w:rsidRPr="000915F4">
        <w:rPr>
          <w:rFonts w:ascii="Abadi" w:hAnsi="Abadi"/>
          <w:sz w:val="21"/>
          <w:szCs w:val="21"/>
        </w:rPr>
        <w:t>Se puede dar la atención en casa y cuando se requiera en hospitales.</w:t>
      </w:r>
    </w:p>
    <w:p w14:paraId="010A8FB3" w14:textId="77777777" w:rsidR="00472033" w:rsidRPr="000915F4" w:rsidRDefault="00472033" w:rsidP="00472033">
      <w:pPr>
        <w:pStyle w:val="Prrafodelista"/>
        <w:numPr>
          <w:ilvl w:val="0"/>
          <w:numId w:val="22"/>
        </w:numPr>
        <w:tabs>
          <w:tab w:val="left" w:pos="2410"/>
        </w:tabs>
        <w:spacing w:after="160"/>
        <w:contextualSpacing/>
        <w:jc w:val="both"/>
        <w:rPr>
          <w:rFonts w:ascii="Abadi" w:hAnsi="Abadi"/>
          <w:sz w:val="21"/>
          <w:szCs w:val="21"/>
        </w:rPr>
      </w:pPr>
      <w:r w:rsidRPr="000915F4">
        <w:rPr>
          <w:rFonts w:ascii="Abadi" w:hAnsi="Abadi"/>
          <w:sz w:val="21"/>
          <w:szCs w:val="21"/>
        </w:rPr>
        <w:t>Te ayuda a sobrellevar los síntomas de la enfermedad y se brinda apoyo emocional a los familiares.</w:t>
      </w:r>
    </w:p>
    <w:p w14:paraId="0D3781D3" w14:textId="77777777" w:rsidR="00472033" w:rsidRPr="00350F6A" w:rsidRDefault="00472033" w:rsidP="00472033">
      <w:pPr>
        <w:tabs>
          <w:tab w:val="left" w:pos="2410"/>
        </w:tabs>
        <w:jc w:val="both"/>
        <w:rPr>
          <w:rFonts w:ascii="Abadi" w:hAnsi="Abadi"/>
          <w:sz w:val="21"/>
          <w:szCs w:val="21"/>
        </w:rPr>
      </w:pPr>
    </w:p>
    <w:p w14:paraId="257C2D2F" w14:textId="77777777" w:rsidR="00472033" w:rsidRPr="00350F6A" w:rsidRDefault="00472033" w:rsidP="00472033">
      <w:pPr>
        <w:tabs>
          <w:tab w:val="left" w:pos="2410"/>
        </w:tabs>
        <w:jc w:val="both"/>
        <w:rPr>
          <w:rFonts w:ascii="Abadi" w:hAnsi="Abadi"/>
          <w:sz w:val="21"/>
          <w:szCs w:val="21"/>
        </w:rPr>
      </w:pPr>
      <w:r w:rsidRPr="00350F6A">
        <w:rPr>
          <w:rFonts w:ascii="Abadi" w:hAnsi="Abadi"/>
          <w:sz w:val="21"/>
          <w:szCs w:val="21"/>
        </w:rPr>
        <w:t xml:space="preserve">En el sector salud del estado de Guanajuato se brinda el servicio de cuidados paliativos solo en algunos hospitales de 2do. Y 3er. nivel de atención en el cual está un responsable del servicio. </w:t>
      </w:r>
    </w:p>
    <w:p w14:paraId="0D305694" w14:textId="77777777" w:rsidR="004E4C7D" w:rsidRDefault="004E4C7D" w:rsidP="00472033">
      <w:pPr>
        <w:tabs>
          <w:tab w:val="left" w:pos="2410"/>
        </w:tabs>
        <w:jc w:val="both"/>
        <w:rPr>
          <w:rFonts w:ascii="Abadi" w:hAnsi="Abadi"/>
          <w:sz w:val="21"/>
          <w:szCs w:val="21"/>
        </w:rPr>
      </w:pPr>
    </w:p>
    <w:p w14:paraId="27DE2587" w14:textId="6C8D8B92" w:rsidR="00472033" w:rsidRPr="00350F6A" w:rsidRDefault="00472033" w:rsidP="00472033">
      <w:pPr>
        <w:tabs>
          <w:tab w:val="left" w:pos="2410"/>
        </w:tabs>
        <w:jc w:val="both"/>
        <w:rPr>
          <w:rFonts w:ascii="Abadi" w:hAnsi="Abadi"/>
          <w:sz w:val="21"/>
          <w:szCs w:val="21"/>
        </w:rPr>
      </w:pPr>
      <w:r w:rsidRPr="00350F6A">
        <w:rPr>
          <w:rFonts w:ascii="Abadi" w:hAnsi="Abadi"/>
          <w:sz w:val="21"/>
          <w:szCs w:val="21"/>
        </w:rPr>
        <w:t xml:space="preserve">Según las normas establecidas de la OMS se debe contar con el apoyo de todos los hospitales y unidades de primer nivel de atención para poder brindar apoyo tanto al paciente y a los familiares. </w:t>
      </w:r>
    </w:p>
    <w:p w14:paraId="5AAA4766" w14:textId="77777777" w:rsidR="004E4C7D" w:rsidRDefault="004E4C7D" w:rsidP="00472033">
      <w:pPr>
        <w:tabs>
          <w:tab w:val="left" w:pos="2410"/>
        </w:tabs>
        <w:jc w:val="both"/>
        <w:rPr>
          <w:rFonts w:ascii="Abadi" w:hAnsi="Abadi"/>
          <w:sz w:val="21"/>
          <w:szCs w:val="21"/>
        </w:rPr>
      </w:pPr>
    </w:p>
    <w:p w14:paraId="105265C7" w14:textId="12762D08" w:rsidR="00472033" w:rsidRPr="00350F6A" w:rsidRDefault="00472033" w:rsidP="00472033">
      <w:pPr>
        <w:tabs>
          <w:tab w:val="left" w:pos="2410"/>
        </w:tabs>
        <w:jc w:val="both"/>
        <w:rPr>
          <w:rFonts w:ascii="Abadi" w:hAnsi="Abadi"/>
          <w:sz w:val="21"/>
          <w:szCs w:val="21"/>
        </w:rPr>
      </w:pPr>
      <w:r w:rsidRPr="00350F6A">
        <w:rPr>
          <w:rFonts w:ascii="Abadi" w:hAnsi="Abadi"/>
          <w:sz w:val="21"/>
          <w:szCs w:val="21"/>
        </w:rPr>
        <w:t xml:space="preserve">Se debe contar con la infraestructura, personal capacitado en las siguientes áreas como son: médico y enfermera paliativista, nutrición, rehabilitación, psicología, curaciones, personal administrativo para gestionar los siguientes trámites cuando en su defecto se requiera la gestión del trámite de voluntad anticipada así como los certificados de defunción o </w:t>
      </w:r>
      <w:r w:rsidRPr="00350F6A">
        <w:rPr>
          <w:rFonts w:ascii="Abadi" w:hAnsi="Abadi"/>
          <w:sz w:val="21"/>
          <w:szCs w:val="21"/>
        </w:rPr>
        <w:lastRenderedPageBreak/>
        <w:t>traslados, farmacia para medicamentos del grupo 1 denominados "OPIOIDES", los cuales son básicos para la atención y tratamiento del dolor en pacientes con cáncer.</w:t>
      </w:r>
    </w:p>
    <w:p w14:paraId="0773898D" w14:textId="77777777" w:rsidR="0026090B" w:rsidRDefault="0026090B" w:rsidP="00472033">
      <w:pPr>
        <w:tabs>
          <w:tab w:val="left" w:pos="2410"/>
        </w:tabs>
        <w:jc w:val="both"/>
        <w:rPr>
          <w:rFonts w:ascii="Abadi" w:hAnsi="Abadi"/>
          <w:sz w:val="21"/>
          <w:szCs w:val="21"/>
        </w:rPr>
      </w:pPr>
    </w:p>
    <w:p w14:paraId="44174831" w14:textId="1050D121" w:rsidR="00472033" w:rsidRPr="00350F6A" w:rsidRDefault="00472033" w:rsidP="00472033">
      <w:pPr>
        <w:tabs>
          <w:tab w:val="left" w:pos="2410"/>
        </w:tabs>
        <w:jc w:val="both"/>
        <w:rPr>
          <w:rFonts w:ascii="Abadi" w:hAnsi="Abadi"/>
          <w:sz w:val="21"/>
          <w:szCs w:val="21"/>
        </w:rPr>
      </w:pPr>
      <w:r w:rsidRPr="00350F6A">
        <w:rPr>
          <w:rFonts w:ascii="Abadi" w:hAnsi="Abadi"/>
          <w:sz w:val="21"/>
          <w:szCs w:val="21"/>
        </w:rPr>
        <w:t>La presente iniciativa contiene los siguientes impactos:</w:t>
      </w:r>
    </w:p>
    <w:p w14:paraId="4C39472B" w14:textId="77777777" w:rsidR="00472033" w:rsidRPr="00350F6A" w:rsidRDefault="00472033" w:rsidP="00472033">
      <w:pPr>
        <w:pStyle w:val="Prrafodelista"/>
        <w:numPr>
          <w:ilvl w:val="0"/>
          <w:numId w:val="20"/>
        </w:numPr>
        <w:tabs>
          <w:tab w:val="left" w:pos="2410"/>
        </w:tabs>
        <w:spacing w:after="160"/>
        <w:contextualSpacing/>
        <w:jc w:val="both"/>
        <w:rPr>
          <w:rFonts w:ascii="Abadi" w:hAnsi="Abadi"/>
          <w:sz w:val="21"/>
          <w:szCs w:val="21"/>
        </w:rPr>
      </w:pPr>
      <w:r w:rsidRPr="000915F4">
        <w:rPr>
          <w:rFonts w:ascii="Abadi" w:hAnsi="Abadi"/>
          <w:b/>
          <w:bCs/>
          <w:sz w:val="21"/>
          <w:szCs w:val="21"/>
        </w:rPr>
        <w:t>Impacto jurídico:</w:t>
      </w:r>
      <w:r w:rsidRPr="00350F6A">
        <w:rPr>
          <w:rFonts w:ascii="Abadi" w:hAnsi="Abadi"/>
          <w:sz w:val="21"/>
          <w:szCs w:val="21"/>
        </w:rPr>
        <w:t xml:space="preserve"> Se reforma la fracción "111" del artículo 28, se adiciona una fracción "IV" al artículo 38, se agrega un Título Octavo Bis, DE LOS CUIDADOS PALIATIVOS A LOS ENFERMOS EN ETAPA TERMINAL, un Capítulo Único con la adición de los artículos 131 Bis, 131 Ter y 131 Quáter de la Ley de Salud del Estado de Guanajuato.</w:t>
      </w:r>
    </w:p>
    <w:p w14:paraId="4C6C2A2A" w14:textId="77777777" w:rsidR="00472033" w:rsidRPr="00350F6A" w:rsidRDefault="00472033" w:rsidP="00472033">
      <w:pPr>
        <w:pStyle w:val="Prrafodelista"/>
        <w:numPr>
          <w:ilvl w:val="0"/>
          <w:numId w:val="20"/>
        </w:numPr>
        <w:tabs>
          <w:tab w:val="left" w:pos="2410"/>
        </w:tabs>
        <w:spacing w:after="160"/>
        <w:contextualSpacing/>
        <w:jc w:val="both"/>
        <w:rPr>
          <w:rFonts w:ascii="Abadi" w:hAnsi="Abadi"/>
          <w:sz w:val="21"/>
          <w:szCs w:val="21"/>
        </w:rPr>
      </w:pPr>
      <w:r w:rsidRPr="000915F4">
        <w:rPr>
          <w:rFonts w:ascii="Abadi" w:hAnsi="Abadi"/>
          <w:b/>
          <w:bCs/>
          <w:sz w:val="21"/>
          <w:szCs w:val="21"/>
        </w:rPr>
        <w:t>Impacto administrativo</w:t>
      </w:r>
      <w:r w:rsidRPr="00350F6A">
        <w:rPr>
          <w:rFonts w:ascii="Abadi" w:hAnsi="Abadi"/>
          <w:sz w:val="21"/>
          <w:szCs w:val="21"/>
        </w:rPr>
        <w:t>: dada la naturaleza de la presente iniciativa, no existe impacto administrativo alguno.</w:t>
      </w:r>
    </w:p>
    <w:p w14:paraId="6C9A7C86" w14:textId="77777777" w:rsidR="00472033" w:rsidRPr="00350F6A" w:rsidRDefault="00472033" w:rsidP="00472033">
      <w:pPr>
        <w:pStyle w:val="Prrafodelista"/>
        <w:numPr>
          <w:ilvl w:val="0"/>
          <w:numId w:val="20"/>
        </w:numPr>
        <w:tabs>
          <w:tab w:val="left" w:pos="2410"/>
        </w:tabs>
        <w:spacing w:after="160"/>
        <w:contextualSpacing/>
        <w:jc w:val="both"/>
        <w:rPr>
          <w:rFonts w:ascii="Abadi" w:hAnsi="Abadi"/>
          <w:sz w:val="21"/>
          <w:szCs w:val="21"/>
        </w:rPr>
      </w:pPr>
      <w:r w:rsidRPr="000915F4">
        <w:rPr>
          <w:rFonts w:ascii="Abadi" w:hAnsi="Abadi"/>
          <w:b/>
          <w:bCs/>
          <w:sz w:val="21"/>
          <w:szCs w:val="21"/>
        </w:rPr>
        <w:t>Impacto presupuestario:</w:t>
      </w:r>
      <w:r w:rsidRPr="00350F6A">
        <w:rPr>
          <w:rFonts w:ascii="Abadi" w:hAnsi="Abadi"/>
          <w:sz w:val="21"/>
          <w:szCs w:val="21"/>
        </w:rPr>
        <w:t xml:space="preserve"> se solicitará a la Unidad de Estudios de las Finanzas Públicas un estudio presupuestario.</w:t>
      </w:r>
    </w:p>
    <w:p w14:paraId="7DA816C3" w14:textId="77777777" w:rsidR="00472033" w:rsidRPr="00350F6A" w:rsidRDefault="00472033" w:rsidP="00472033">
      <w:pPr>
        <w:pStyle w:val="Prrafodelista"/>
        <w:numPr>
          <w:ilvl w:val="0"/>
          <w:numId w:val="20"/>
        </w:numPr>
        <w:tabs>
          <w:tab w:val="left" w:pos="2410"/>
        </w:tabs>
        <w:spacing w:after="160"/>
        <w:contextualSpacing/>
        <w:jc w:val="both"/>
        <w:rPr>
          <w:rFonts w:ascii="Abadi" w:hAnsi="Abadi"/>
          <w:sz w:val="21"/>
          <w:szCs w:val="21"/>
        </w:rPr>
      </w:pPr>
      <w:r w:rsidRPr="000915F4">
        <w:rPr>
          <w:rFonts w:ascii="Abadi" w:hAnsi="Abadi"/>
          <w:b/>
          <w:bCs/>
          <w:sz w:val="21"/>
          <w:szCs w:val="21"/>
        </w:rPr>
        <w:t>Impacto social:</w:t>
      </w:r>
      <w:r w:rsidRPr="00350F6A">
        <w:rPr>
          <w:rFonts w:ascii="Abadi" w:hAnsi="Abadi"/>
          <w:sz w:val="21"/>
          <w:szCs w:val="21"/>
        </w:rPr>
        <w:t xml:space="preserve"> de aprobarse esta iniciativa, las personas contaran con el cuidado integral paliativo para preservar la calidad de vida del paciente, a través de la prevención, tratamiento y control del dolor, y otros síntomas físicos y emocionales por parte de un equipo profesional multidisciplinario.</w:t>
      </w:r>
    </w:p>
    <w:p w14:paraId="347E413C" w14:textId="77777777" w:rsidR="00472033" w:rsidRDefault="00472033" w:rsidP="00472033">
      <w:pPr>
        <w:tabs>
          <w:tab w:val="left" w:pos="2410"/>
        </w:tabs>
        <w:jc w:val="both"/>
        <w:rPr>
          <w:rFonts w:ascii="Abadi" w:hAnsi="Abadi"/>
          <w:sz w:val="21"/>
          <w:szCs w:val="21"/>
        </w:rPr>
      </w:pPr>
      <w:r w:rsidRPr="00350F6A">
        <w:rPr>
          <w:rFonts w:ascii="Abadi" w:hAnsi="Abadi"/>
          <w:sz w:val="21"/>
          <w:szCs w:val="21"/>
        </w:rPr>
        <w:t xml:space="preserve">Por lo anteriormente expuesto y fundado, me permito someter a la consideración de esta honorable asamblea, para su aprobación, la presente iniciativa con proyecto de </w:t>
      </w:r>
    </w:p>
    <w:p w14:paraId="6A996127" w14:textId="77777777" w:rsidR="00472033" w:rsidRPr="00350F6A" w:rsidRDefault="00472033" w:rsidP="00472033">
      <w:pPr>
        <w:tabs>
          <w:tab w:val="left" w:pos="2410"/>
        </w:tabs>
        <w:jc w:val="both"/>
        <w:rPr>
          <w:rFonts w:ascii="Abadi" w:hAnsi="Abadi"/>
          <w:sz w:val="21"/>
          <w:szCs w:val="21"/>
        </w:rPr>
      </w:pPr>
    </w:p>
    <w:p w14:paraId="19310484" w14:textId="2591023C" w:rsidR="00472033" w:rsidRDefault="00472033" w:rsidP="00472033">
      <w:pPr>
        <w:tabs>
          <w:tab w:val="left" w:pos="2410"/>
        </w:tabs>
        <w:jc w:val="center"/>
        <w:rPr>
          <w:rFonts w:ascii="Abadi" w:hAnsi="Abadi"/>
          <w:b/>
          <w:bCs/>
          <w:sz w:val="21"/>
          <w:szCs w:val="21"/>
        </w:rPr>
      </w:pPr>
      <w:r w:rsidRPr="000915F4">
        <w:rPr>
          <w:rFonts w:ascii="Abadi" w:hAnsi="Abadi"/>
          <w:b/>
          <w:bCs/>
          <w:sz w:val="21"/>
          <w:szCs w:val="21"/>
        </w:rPr>
        <w:t>DECRETO:</w:t>
      </w:r>
    </w:p>
    <w:p w14:paraId="470F7157" w14:textId="77777777" w:rsidR="00472C5D" w:rsidRPr="000915F4" w:rsidRDefault="00472C5D" w:rsidP="00472033">
      <w:pPr>
        <w:tabs>
          <w:tab w:val="left" w:pos="2410"/>
        </w:tabs>
        <w:jc w:val="center"/>
        <w:rPr>
          <w:rFonts w:ascii="Abadi" w:hAnsi="Abadi"/>
          <w:b/>
          <w:bCs/>
          <w:sz w:val="21"/>
          <w:szCs w:val="21"/>
        </w:rPr>
      </w:pPr>
    </w:p>
    <w:p w14:paraId="0886EC49" w14:textId="186C4597" w:rsidR="00472033" w:rsidRPr="00350F6A" w:rsidRDefault="00472033" w:rsidP="00472033">
      <w:pPr>
        <w:tabs>
          <w:tab w:val="left" w:pos="2410"/>
        </w:tabs>
        <w:jc w:val="both"/>
        <w:rPr>
          <w:rFonts w:ascii="Abadi" w:hAnsi="Abadi"/>
          <w:sz w:val="21"/>
          <w:szCs w:val="21"/>
        </w:rPr>
      </w:pPr>
      <w:r w:rsidRPr="000915F4">
        <w:rPr>
          <w:rFonts w:ascii="Abadi" w:hAnsi="Abadi"/>
          <w:b/>
          <w:bCs/>
          <w:sz w:val="21"/>
          <w:szCs w:val="21"/>
        </w:rPr>
        <w:t>Artículo Único</w:t>
      </w:r>
      <w:r w:rsidRPr="00350F6A">
        <w:rPr>
          <w:rFonts w:ascii="Abadi" w:hAnsi="Abadi"/>
          <w:sz w:val="21"/>
          <w:szCs w:val="21"/>
        </w:rPr>
        <w:t>. Se reforma la fracción "</w:t>
      </w:r>
      <w:r w:rsidR="00472C5D">
        <w:rPr>
          <w:rFonts w:ascii="Abadi" w:hAnsi="Abadi"/>
          <w:sz w:val="21"/>
          <w:szCs w:val="21"/>
        </w:rPr>
        <w:t>III</w:t>
      </w:r>
      <w:r w:rsidRPr="00350F6A">
        <w:rPr>
          <w:rFonts w:ascii="Abadi" w:hAnsi="Abadi"/>
          <w:sz w:val="21"/>
          <w:szCs w:val="21"/>
        </w:rPr>
        <w:t>" del artículo 28, se adiciona una fracción "IV" del artículo 38, se agrega un Título Octavo Bis, DE LOS CUIDADOS PALIATIVOS A LOS ENFERMOS EN ETAPA TERMINAL, un Capítulo Único con la adición de los artículos 131 Bis, 131 Ter y 131 Quáter de la Ley de Salud del Estado de Guanajuato, para quedar en los siguientes términos:</w:t>
      </w:r>
    </w:p>
    <w:p w14:paraId="59C22E51" w14:textId="77777777" w:rsidR="0026090B" w:rsidRDefault="0026090B" w:rsidP="00472033">
      <w:pPr>
        <w:tabs>
          <w:tab w:val="left" w:pos="2410"/>
        </w:tabs>
        <w:jc w:val="both"/>
        <w:rPr>
          <w:rFonts w:ascii="Abadi" w:hAnsi="Abadi"/>
          <w:b/>
          <w:bCs/>
          <w:sz w:val="21"/>
          <w:szCs w:val="21"/>
        </w:rPr>
      </w:pPr>
    </w:p>
    <w:p w14:paraId="3B236611" w14:textId="7670A04A" w:rsidR="00472033" w:rsidRDefault="00472033" w:rsidP="00472033">
      <w:pPr>
        <w:tabs>
          <w:tab w:val="left" w:pos="2410"/>
        </w:tabs>
        <w:jc w:val="both"/>
        <w:rPr>
          <w:rFonts w:ascii="Abadi" w:hAnsi="Abadi"/>
          <w:sz w:val="21"/>
          <w:szCs w:val="21"/>
        </w:rPr>
      </w:pPr>
      <w:r w:rsidRPr="000915F4">
        <w:rPr>
          <w:rFonts w:ascii="Abadi" w:hAnsi="Abadi"/>
          <w:b/>
          <w:bCs/>
          <w:sz w:val="21"/>
          <w:szCs w:val="21"/>
        </w:rPr>
        <w:t>Artículo 28.</w:t>
      </w:r>
      <w:r w:rsidRPr="00350F6A">
        <w:rPr>
          <w:rFonts w:ascii="Abadi" w:hAnsi="Abadi"/>
          <w:sz w:val="21"/>
          <w:szCs w:val="21"/>
        </w:rPr>
        <w:t xml:space="preserve"> Para los efectos del derecho a la protección de la salud, se consideran servicios básicos de salud los referentes a: </w:t>
      </w:r>
    </w:p>
    <w:p w14:paraId="533E65AE" w14:textId="77777777" w:rsidR="0026090B" w:rsidRDefault="0026090B" w:rsidP="00472033">
      <w:pPr>
        <w:tabs>
          <w:tab w:val="left" w:pos="2410"/>
        </w:tabs>
        <w:jc w:val="both"/>
        <w:rPr>
          <w:rFonts w:ascii="Abadi" w:hAnsi="Abadi"/>
          <w:sz w:val="21"/>
          <w:szCs w:val="21"/>
        </w:rPr>
      </w:pPr>
    </w:p>
    <w:p w14:paraId="580F60D5" w14:textId="0977C7F3" w:rsidR="00472033" w:rsidRPr="00350F6A" w:rsidRDefault="00472033" w:rsidP="00472033">
      <w:pPr>
        <w:tabs>
          <w:tab w:val="left" w:pos="2410"/>
        </w:tabs>
        <w:jc w:val="both"/>
        <w:rPr>
          <w:rFonts w:ascii="Abadi" w:hAnsi="Abadi"/>
          <w:sz w:val="21"/>
          <w:szCs w:val="21"/>
        </w:rPr>
      </w:pPr>
      <w:r>
        <w:rPr>
          <w:rFonts w:ascii="Abadi" w:hAnsi="Abadi"/>
          <w:sz w:val="21"/>
          <w:szCs w:val="21"/>
        </w:rPr>
        <w:t>I</w:t>
      </w:r>
      <w:r w:rsidRPr="00350F6A">
        <w:rPr>
          <w:rFonts w:ascii="Abadi" w:hAnsi="Abadi"/>
          <w:sz w:val="21"/>
          <w:szCs w:val="21"/>
        </w:rPr>
        <w:t xml:space="preserve"> a </w:t>
      </w:r>
      <w:r>
        <w:rPr>
          <w:rFonts w:ascii="Abadi" w:hAnsi="Abadi"/>
          <w:sz w:val="21"/>
          <w:szCs w:val="21"/>
        </w:rPr>
        <w:t>II</w:t>
      </w:r>
      <w:r w:rsidRPr="00350F6A">
        <w:rPr>
          <w:rFonts w:ascii="Abadi" w:hAnsi="Abadi"/>
          <w:sz w:val="21"/>
          <w:szCs w:val="21"/>
        </w:rPr>
        <w:t xml:space="preserve"> ••• </w:t>
      </w:r>
    </w:p>
    <w:p w14:paraId="08E353E5" w14:textId="77777777" w:rsidR="0026090B" w:rsidRDefault="0026090B" w:rsidP="00472033">
      <w:pPr>
        <w:tabs>
          <w:tab w:val="left" w:pos="2410"/>
        </w:tabs>
        <w:jc w:val="both"/>
        <w:rPr>
          <w:rFonts w:ascii="Abadi" w:hAnsi="Abadi"/>
          <w:sz w:val="21"/>
          <w:szCs w:val="21"/>
        </w:rPr>
      </w:pPr>
    </w:p>
    <w:p w14:paraId="6102B03B" w14:textId="1BCFAB17" w:rsidR="00472033" w:rsidRPr="00350F6A" w:rsidRDefault="00472033" w:rsidP="00472033">
      <w:pPr>
        <w:tabs>
          <w:tab w:val="left" w:pos="2410"/>
        </w:tabs>
        <w:jc w:val="both"/>
        <w:rPr>
          <w:rFonts w:ascii="Abadi" w:hAnsi="Abadi"/>
          <w:sz w:val="21"/>
          <w:szCs w:val="21"/>
        </w:rPr>
      </w:pPr>
      <w:r>
        <w:rPr>
          <w:rFonts w:ascii="Abadi" w:hAnsi="Abadi"/>
          <w:sz w:val="21"/>
          <w:szCs w:val="21"/>
        </w:rPr>
        <w:t>III</w:t>
      </w:r>
      <w:r w:rsidRPr="00350F6A">
        <w:rPr>
          <w:rFonts w:ascii="Abadi" w:hAnsi="Abadi"/>
          <w:sz w:val="21"/>
          <w:szCs w:val="21"/>
        </w:rPr>
        <w:t xml:space="preserve">. La atención médica, que comprende actividades preventivas, curativas y de rehabilitación, incluyendo la atención de urgencias, </w:t>
      </w:r>
      <w:r w:rsidRPr="000915F4">
        <w:rPr>
          <w:rFonts w:ascii="Abadi" w:hAnsi="Abadi"/>
          <w:b/>
          <w:bCs/>
          <w:sz w:val="21"/>
          <w:szCs w:val="21"/>
        </w:rPr>
        <w:t>así como los cuidados paliativos indispensables para enfermos con padecimiento crónico-degenerativos o en etapa t</w:t>
      </w:r>
      <w:r w:rsidRPr="000915F4">
        <w:rPr>
          <w:rFonts w:ascii="Abadi" w:eastAsia="Calibri" w:hAnsi="Abadi" w:cs="Calibri"/>
          <w:b/>
          <w:bCs/>
          <w:sz w:val="21"/>
          <w:szCs w:val="21"/>
        </w:rPr>
        <w:t>e</w:t>
      </w:r>
      <w:r w:rsidRPr="000915F4">
        <w:rPr>
          <w:rFonts w:ascii="Abadi" w:hAnsi="Abadi"/>
          <w:b/>
          <w:bCs/>
          <w:sz w:val="21"/>
          <w:szCs w:val="21"/>
        </w:rPr>
        <w:t>rminal;</w:t>
      </w:r>
      <w:r w:rsidRPr="00350F6A">
        <w:rPr>
          <w:rFonts w:ascii="Abadi" w:hAnsi="Abadi"/>
          <w:sz w:val="21"/>
          <w:szCs w:val="21"/>
        </w:rPr>
        <w:t xml:space="preserve"> </w:t>
      </w:r>
    </w:p>
    <w:p w14:paraId="334AFD23" w14:textId="77777777" w:rsidR="0026090B" w:rsidRDefault="0026090B" w:rsidP="00472033">
      <w:pPr>
        <w:tabs>
          <w:tab w:val="left" w:pos="2410"/>
        </w:tabs>
        <w:jc w:val="both"/>
        <w:rPr>
          <w:rFonts w:ascii="Abadi" w:hAnsi="Abadi"/>
          <w:sz w:val="21"/>
          <w:szCs w:val="21"/>
        </w:rPr>
      </w:pPr>
    </w:p>
    <w:p w14:paraId="3F2FB401" w14:textId="1416370F" w:rsidR="00472033" w:rsidRPr="00350F6A" w:rsidRDefault="00472033" w:rsidP="00472033">
      <w:pPr>
        <w:tabs>
          <w:tab w:val="left" w:pos="2410"/>
        </w:tabs>
        <w:jc w:val="both"/>
        <w:rPr>
          <w:rFonts w:ascii="Abadi" w:hAnsi="Abadi"/>
          <w:sz w:val="21"/>
          <w:szCs w:val="21"/>
        </w:rPr>
      </w:pPr>
      <w:r w:rsidRPr="00350F6A">
        <w:rPr>
          <w:rFonts w:ascii="Abadi" w:hAnsi="Abadi"/>
          <w:sz w:val="21"/>
          <w:szCs w:val="21"/>
        </w:rPr>
        <w:t xml:space="preserve">IV a XII ... </w:t>
      </w:r>
    </w:p>
    <w:p w14:paraId="03FA4CC4" w14:textId="77777777" w:rsidR="0026090B" w:rsidRDefault="0026090B" w:rsidP="00472033">
      <w:pPr>
        <w:tabs>
          <w:tab w:val="left" w:pos="2410"/>
        </w:tabs>
        <w:jc w:val="both"/>
        <w:rPr>
          <w:rFonts w:ascii="Abadi" w:hAnsi="Abadi"/>
          <w:b/>
          <w:bCs/>
          <w:sz w:val="21"/>
          <w:szCs w:val="21"/>
        </w:rPr>
      </w:pPr>
    </w:p>
    <w:p w14:paraId="24196BC6" w14:textId="5EDDF484" w:rsidR="00472033" w:rsidRPr="00350F6A" w:rsidRDefault="00472033" w:rsidP="00472033">
      <w:pPr>
        <w:tabs>
          <w:tab w:val="left" w:pos="2410"/>
        </w:tabs>
        <w:jc w:val="both"/>
        <w:rPr>
          <w:rFonts w:ascii="Abadi" w:hAnsi="Abadi"/>
          <w:sz w:val="21"/>
          <w:szCs w:val="21"/>
        </w:rPr>
      </w:pPr>
      <w:r w:rsidRPr="000915F4">
        <w:rPr>
          <w:rFonts w:ascii="Abadi" w:hAnsi="Abadi"/>
          <w:b/>
          <w:bCs/>
          <w:sz w:val="21"/>
          <w:szCs w:val="21"/>
        </w:rPr>
        <w:t>Artículo 38.</w:t>
      </w:r>
      <w:r w:rsidRPr="00350F6A">
        <w:rPr>
          <w:rFonts w:ascii="Abadi" w:hAnsi="Abadi"/>
          <w:sz w:val="21"/>
          <w:szCs w:val="21"/>
        </w:rPr>
        <w:t xml:space="preserve"> Las actividades de atención médica son:</w:t>
      </w:r>
    </w:p>
    <w:p w14:paraId="53E5B017" w14:textId="77777777" w:rsidR="0026090B" w:rsidRDefault="0026090B" w:rsidP="0026090B">
      <w:pPr>
        <w:pStyle w:val="Prrafodelista"/>
        <w:tabs>
          <w:tab w:val="left" w:pos="2410"/>
        </w:tabs>
        <w:spacing w:after="160"/>
        <w:ind w:left="1080"/>
        <w:contextualSpacing/>
        <w:jc w:val="both"/>
        <w:rPr>
          <w:rFonts w:ascii="Abadi" w:hAnsi="Abadi"/>
          <w:sz w:val="21"/>
          <w:szCs w:val="21"/>
        </w:rPr>
      </w:pPr>
    </w:p>
    <w:p w14:paraId="7E48437F" w14:textId="345FA264" w:rsidR="00472033" w:rsidRPr="00350F6A" w:rsidRDefault="00472033" w:rsidP="00472033">
      <w:pPr>
        <w:pStyle w:val="Prrafodelista"/>
        <w:numPr>
          <w:ilvl w:val="0"/>
          <w:numId w:val="21"/>
        </w:numPr>
        <w:tabs>
          <w:tab w:val="left" w:pos="2410"/>
        </w:tabs>
        <w:spacing w:after="160"/>
        <w:contextualSpacing/>
        <w:jc w:val="both"/>
        <w:rPr>
          <w:rFonts w:ascii="Abadi" w:hAnsi="Abadi"/>
          <w:sz w:val="21"/>
          <w:szCs w:val="21"/>
        </w:rPr>
      </w:pPr>
      <w:r w:rsidRPr="00350F6A">
        <w:rPr>
          <w:rFonts w:ascii="Abadi" w:hAnsi="Abadi"/>
          <w:sz w:val="21"/>
          <w:szCs w:val="21"/>
        </w:rPr>
        <w:t>Preventivas, que incluyen las de promoción general y las de protección específica;</w:t>
      </w:r>
    </w:p>
    <w:p w14:paraId="355264A9" w14:textId="77777777" w:rsidR="00472033" w:rsidRPr="00350F6A" w:rsidRDefault="00472033" w:rsidP="00472033">
      <w:pPr>
        <w:pStyle w:val="Prrafodelista"/>
        <w:numPr>
          <w:ilvl w:val="0"/>
          <w:numId w:val="21"/>
        </w:numPr>
        <w:tabs>
          <w:tab w:val="left" w:pos="2410"/>
        </w:tabs>
        <w:spacing w:after="160"/>
        <w:contextualSpacing/>
        <w:jc w:val="both"/>
        <w:rPr>
          <w:rFonts w:ascii="Abadi" w:hAnsi="Abadi"/>
          <w:sz w:val="21"/>
          <w:szCs w:val="21"/>
        </w:rPr>
      </w:pPr>
      <w:r w:rsidRPr="00350F6A">
        <w:rPr>
          <w:rFonts w:ascii="Abadi" w:hAnsi="Abadi"/>
          <w:sz w:val="21"/>
          <w:szCs w:val="21"/>
        </w:rPr>
        <w:t xml:space="preserve">Curativas, que tienen como fin efectuar un diagnóstico temprano y proporcionar tratamiento oportuno; y  </w:t>
      </w:r>
    </w:p>
    <w:p w14:paraId="34EC753F" w14:textId="77777777" w:rsidR="00472033" w:rsidRPr="00350F6A" w:rsidRDefault="00472033" w:rsidP="00472033">
      <w:pPr>
        <w:pStyle w:val="Prrafodelista"/>
        <w:numPr>
          <w:ilvl w:val="0"/>
          <w:numId w:val="21"/>
        </w:numPr>
        <w:tabs>
          <w:tab w:val="left" w:pos="2410"/>
        </w:tabs>
        <w:spacing w:after="160"/>
        <w:contextualSpacing/>
        <w:jc w:val="both"/>
        <w:rPr>
          <w:rFonts w:ascii="Abadi" w:hAnsi="Abadi"/>
          <w:sz w:val="21"/>
          <w:szCs w:val="21"/>
        </w:rPr>
      </w:pPr>
      <w:r w:rsidRPr="00350F6A">
        <w:rPr>
          <w:rFonts w:ascii="Abadi" w:hAnsi="Abadi"/>
          <w:sz w:val="21"/>
          <w:szCs w:val="21"/>
        </w:rPr>
        <w:t>De rehabilitación de las personas con discapacidad</w:t>
      </w:r>
    </w:p>
    <w:p w14:paraId="6E5AC129" w14:textId="77777777" w:rsidR="00472033" w:rsidRPr="000915F4" w:rsidRDefault="00472033" w:rsidP="00472033">
      <w:pPr>
        <w:pStyle w:val="Prrafodelista"/>
        <w:numPr>
          <w:ilvl w:val="0"/>
          <w:numId w:val="21"/>
        </w:numPr>
        <w:tabs>
          <w:tab w:val="left" w:pos="2410"/>
        </w:tabs>
        <w:spacing w:after="160"/>
        <w:contextualSpacing/>
        <w:jc w:val="both"/>
        <w:rPr>
          <w:rFonts w:ascii="Abadi" w:hAnsi="Abadi"/>
          <w:b/>
          <w:bCs/>
          <w:sz w:val="21"/>
          <w:szCs w:val="21"/>
        </w:rPr>
      </w:pPr>
      <w:r w:rsidRPr="000915F4">
        <w:rPr>
          <w:rFonts w:ascii="Abadi" w:hAnsi="Abadi"/>
          <w:b/>
          <w:bCs/>
          <w:sz w:val="21"/>
          <w:szCs w:val="21"/>
        </w:rPr>
        <w:t>Paliativas, que incluyen el cuidado integral para preservar la calidad de vida del paciente, a través de la prevención, tratamiento y control del dolor, y otros síntomas físicos y emocionales por parte de un equipo profesional multidisciplinario.</w:t>
      </w:r>
    </w:p>
    <w:p w14:paraId="2AB1227B" w14:textId="77777777" w:rsidR="00472033" w:rsidRDefault="00472033" w:rsidP="00472033">
      <w:pPr>
        <w:tabs>
          <w:tab w:val="left" w:pos="2410"/>
        </w:tabs>
        <w:jc w:val="center"/>
        <w:rPr>
          <w:rFonts w:ascii="Abadi" w:hAnsi="Abadi"/>
          <w:b/>
          <w:bCs/>
          <w:sz w:val="21"/>
          <w:szCs w:val="21"/>
        </w:rPr>
      </w:pPr>
    </w:p>
    <w:p w14:paraId="68848167" w14:textId="77777777" w:rsidR="00472033" w:rsidRPr="000915F4" w:rsidRDefault="00472033" w:rsidP="00472033">
      <w:pPr>
        <w:tabs>
          <w:tab w:val="left" w:pos="2410"/>
        </w:tabs>
        <w:jc w:val="center"/>
        <w:rPr>
          <w:rFonts w:ascii="Abadi" w:hAnsi="Abadi"/>
          <w:b/>
          <w:bCs/>
          <w:sz w:val="21"/>
          <w:szCs w:val="21"/>
        </w:rPr>
      </w:pPr>
      <w:r w:rsidRPr="000915F4">
        <w:rPr>
          <w:rFonts w:ascii="Abadi" w:hAnsi="Abadi"/>
          <w:b/>
          <w:bCs/>
          <w:sz w:val="21"/>
          <w:szCs w:val="21"/>
        </w:rPr>
        <w:t>TÍTULO OCTAVO BIS.</w:t>
      </w:r>
    </w:p>
    <w:p w14:paraId="3E653984" w14:textId="77777777" w:rsidR="00472033" w:rsidRPr="000915F4" w:rsidRDefault="00472033" w:rsidP="00472033">
      <w:pPr>
        <w:tabs>
          <w:tab w:val="left" w:pos="2410"/>
        </w:tabs>
        <w:jc w:val="center"/>
        <w:rPr>
          <w:rFonts w:ascii="Abadi" w:hAnsi="Abadi"/>
          <w:b/>
          <w:bCs/>
          <w:sz w:val="21"/>
          <w:szCs w:val="21"/>
        </w:rPr>
      </w:pPr>
      <w:r w:rsidRPr="000915F4">
        <w:rPr>
          <w:rFonts w:ascii="Abadi" w:hAnsi="Abadi"/>
          <w:b/>
          <w:bCs/>
          <w:sz w:val="21"/>
          <w:szCs w:val="21"/>
        </w:rPr>
        <w:t>DE LOS CUIDADOS PALIATIVOS A LOS ENFERMOS EN ETAPA TERMINAL</w:t>
      </w:r>
    </w:p>
    <w:p w14:paraId="14D6D466" w14:textId="77777777" w:rsidR="00B22E03" w:rsidRDefault="00B22E03" w:rsidP="00472033">
      <w:pPr>
        <w:tabs>
          <w:tab w:val="left" w:pos="2410"/>
        </w:tabs>
        <w:jc w:val="center"/>
        <w:rPr>
          <w:rFonts w:ascii="Abadi" w:hAnsi="Abadi"/>
          <w:b/>
          <w:bCs/>
          <w:sz w:val="21"/>
          <w:szCs w:val="21"/>
        </w:rPr>
      </w:pPr>
    </w:p>
    <w:p w14:paraId="4C5C4269" w14:textId="6D09322D" w:rsidR="00472033" w:rsidRPr="000915F4" w:rsidRDefault="00472033" w:rsidP="00472033">
      <w:pPr>
        <w:tabs>
          <w:tab w:val="left" w:pos="2410"/>
        </w:tabs>
        <w:jc w:val="center"/>
        <w:rPr>
          <w:rFonts w:ascii="Abadi" w:hAnsi="Abadi"/>
          <w:b/>
          <w:bCs/>
          <w:sz w:val="21"/>
          <w:szCs w:val="21"/>
        </w:rPr>
      </w:pPr>
      <w:r w:rsidRPr="000915F4">
        <w:rPr>
          <w:rFonts w:ascii="Abadi" w:hAnsi="Abadi"/>
          <w:b/>
          <w:bCs/>
          <w:sz w:val="21"/>
          <w:szCs w:val="21"/>
        </w:rPr>
        <w:t>Capítulo Único</w:t>
      </w:r>
    </w:p>
    <w:p w14:paraId="3E7CB7BC" w14:textId="77777777" w:rsidR="00B22E03" w:rsidRDefault="00B22E03" w:rsidP="00472033">
      <w:pPr>
        <w:tabs>
          <w:tab w:val="left" w:pos="2410"/>
        </w:tabs>
        <w:jc w:val="both"/>
        <w:rPr>
          <w:rFonts w:ascii="Abadi" w:hAnsi="Abadi"/>
          <w:b/>
          <w:bCs/>
          <w:sz w:val="21"/>
          <w:szCs w:val="21"/>
        </w:rPr>
      </w:pPr>
    </w:p>
    <w:p w14:paraId="0A6C9E99" w14:textId="109EFDD6" w:rsidR="00472033" w:rsidRPr="00350F6A" w:rsidRDefault="00472033" w:rsidP="00472033">
      <w:pPr>
        <w:tabs>
          <w:tab w:val="left" w:pos="2410"/>
        </w:tabs>
        <w:jc w:val="both"/>
        <w:rPr>
          <w:rFonts w:ascii="Abadi" w:hAnsi="Abadi"/>
          <w:sz w:val="21"/>
          <w:szCs w:val="21"/>
        </w:rPr>
      </w:pPr>
      <w:r w:rsidRPr="000915F4">
        <w:rPr>
          <w:rFonts w:ascii="Abadi" w:hAnsi="Abadi"/>
          <w:b/>
          <w:bCs/>
          <w:sz w:val="21"/>
          <w:szCs w:val="21"/>
        </w:rPr>
        <w:t>Artículo 131 Bis. -</w:t>
      </w:r>
      <w:r w:rsidRPr="00350F6A">
        <w:rPr>
          <w:rFonts w:ascii="Abadi" w:hAnsi="Abadi"/>
          <w:sz w:val="21"/>
          <w:szCs w:val="21"/>
        </w:rPr>
        <w:t xml:space="preserve"> Se le llama Cuidados Paliativos a los cuidados activos y totales de aquellas enfermedades que no responden a tratamiento curativo, e incluyen el control del dolor y otros síntomas, así como la atención psicológica, social y espiritual del paciente.</w:t>
      </w:r>
    </w:p>
    <w:p w14:paraId="3B0F36F5" w14:textId="77777777" w:rsidR="00B22E03" w:rsidRDefault="00B22E03" w:rsidP="00472033">
      <w:pPr>
        <w:tabs>
          <w:tab w:val="left" w:pos="2410"/>
        </w:tabs>
        <w:jc w:val="both"/>
        <w:rPr>
          <w:rFonts w:ascii="Abadi" w:hAnsi="Abadi"/>
          <w:b/>
          <w:bCs/>
          <w:sz w:val="21"/>
          <w:szCs w:val="21"/>
        </w:rPr>
      </w:pPr>
    </w:p>
    <w:p w14:paraId="040D0F01" w14:textId="51A17B97" w:rsidR="00472033" w:rsidRPr="00350F6A" w:rsidRDefault="00472033" w:rsidP="00472033">
      <w:pPr>
        <w:tabs>
          <w:tab w:val="left" w:pos="2410"/>
        </w:tabs>
        <w:jc w:val="both"/>
        <w:rPr>
          <w:rFonts w:ascii="Abadi" w:hAnsi="Abadi"/>
          <w:sz w:val="21"/>
          <w:szCs w:val="21"/>
        </w:rPr>
      </w:pPr>
      <w:r w:rsidRPr="000915F4">
        <w:rPr>
          <w:rFonts w:ascii="Abadi" w:hAnsi="Abadi"/>
          <w:b/>
          <w:bCs/>
          <w:sz w:val="21"/>
          <w:szCs w:val="21"/>
        </w:rPr>
        <w:t>Artículo 131 Ter. -</w:t>
      </w:r>
      <w:r w:rsidRPr="00350F6A">
        <w:rPr>
          <w:rFonts w:ascii="Abadi" w:hAnsi="Abadi"/>
          <w:sz w:val="21"/>
          <w:szCs w:val="21"/>
        </w:rPr>
        <w:t xml:space="preserve"> Los cuidados paliativos tienen como objeto salvaguardar la dignidad del enfermo al final de la vida, o enfermo incurable que hubiese perdido la capacidad para consentir por sí mismo a causa de su </w:t>
      </w:r>
      <w:r w:rsidRPr="00350F6A">
        <w:rPr>
          <w:rFonts w:ascii="Abadi" w:hAnsi="Abadi"/>
          <w:sz w:val="21"/>
          <w:szCs w:val="21"/>
        </w:rPr>
        <w:lastRenderedPageBreak/>
        <w:t xml:space="preserve">enfermedad, garantizando una vida de calidad y su muerte natural en condiciones dignas. </w:t>
      </w:r>
    </w:p>
    <w:p w14:paraId="3B01EA48" w14:textId="77777777" w:rsidR="00B22E03" w:rsidRDefault="00B22E03" w:rsidP="00472033">
      <w:pPr>
        <w:tabs>
          <w:tab w:val="left" w:pos="2410"/>
        </w:tabs>
        <w:jc w:val="both"/>
        <w:rPr>
          <w:rFonts w:ascii="Abadi" w:hAnsi="Abadi"/>
          <w:b/>
          <w:bCs/>
          <w:sz w:val="21"/>
          <w:szCs w:val="21"/>
        </w:rPr>
      </w:pPr>
    </w:p>
    <w:p w14:paraId="04054E6B" w14:textId="0CB6673F" w:rsidR="00472033" w:rsidRDefault="00472033" w:rsidP="00472033">
      <w:pPr>
        <w:tabs>
          <w:tab w:val="left" w:pos="2410"/>
        </w:tabs>
        <w:jc w:val="both"/>
        <w:rPr>
          <w:rFonts w:ascii="Abadi" w:hAnsi="Abadi"/>
          <w:sz w:val="21"/>
          <w:szCs w:val="21"/>
        </w:rPr>
      </w:pPr>
      <w:r w:rsidRPr="000915F4">
        <w:rPr>
          <w:rFonts w:ascii="Abadi" w:hAnsi="Abadi"/>
          <w:b/>
          <w:bCs/>
          <w:sz w:val="21"/>
          <w:szCs w:val="21"/>
        </w:rPr>
        <w:t>Artículo 131 Quáter. -</w:t>
      </w:r>
      <w:r w:rsidRPr="00350F6A">
        <w:rPr>
          <w:rFonts w:ascii="Abadi" w:hAnsi="Abadi"/>
          <w:sz w:val="21"/>
          <w:szCs w:val="21"/>
        </w:rPr>
        <w:t xml:space="preserve"> El paciente en etapa terminal, tiene derecho a solicitar la suspensión del tratamiento curativo y solicitar el tratamiento paliativo en términos de ésta Ley, la Ley de Voluntad Anticipada para el Estado de Guanajuato, la Ley General de Salud y demás disposiciones aplicables. </w:t>
      </w:r>
    </w:p>
    <w:p w14:paraId="4CA38C41" w14:textId="77777777" w:rsidR="00472C5D" w:rsidRPr="00350F6A" w:rsidRDefault="00472C5D" w:rsidP="00472033">
      <w:pPr>
        <w:tabs>
          <w:tab w:val="left" w:pos="2410"/>
        </w:tabs>
        <w:jc w:val="both"/>
        <w:rPr>
          <w:rFonts w:ascii="Abadi" w:hAnsi="Abadi"/>
          <w:sz w:val="21"/>
          <w:szCs w:val="21"/>
        </w:rPr>
      </w:pPr>
    </w:p>
    <w:p w14:paraId="5A9E030F" w14:textId="77777777" w:rsidR="00472033" w:rsidRPr="00350F6A" w:rsidRDefault="00472033" w:rsidP="00472033">
      <w:pPr>
        <w:tabs>
          <w:tab w:val="left" w:pos="2410"/>
        </w:tabs>
        <w:jc w:val="both"/>
        <w:rPr>
          <w:rFonts w:ascii="Abadi" w:hAnsi="Abadi"/>
          <w:sz w:val="21"/>
          <w:szCs w:val="21"/>
        </w:rPr>
      </w:pPr>
      <w:r w:rsidRPr="00350F6A">
        <w:rPr>
          <w:rFonts w:ascii="Abadi" w:hAnsi="Abadi"/>
          <w:sz w:val="21"/>
          <w:szCs w:val="21"/>
        </w:rPr>
        <w:t xml:space="preserve">El enfermo no curable o en situación terminal que reciba los cuidados paliativos, en cualquier momento podrá solicitar nuevamente le sea administrado el tratamiento curativo, ratificando su decisión por escrito ante el personal médico correspondiente. </w:t>
      </w:r>
    </w:p>
    <w:p w14:paraId="45F0DF55" w14:textId="77777777" w:rsidR="00B22E03" w:rsidRDefault="00B22E03" w:rsidP="00472033">
      <w:pPr>
        <w:tabs>
          <w:tab w:val="left" w:pos="2410"/>
        </w:tabs>
        <w:jc w:val="center"/>
        <w:rPr>
          <w:rFonts w:ascii="Abadi" w:hAnsi="Abadi"/>
          <w:b/>
          <w:bCs/>
          <w:sz w:val="21"/>
          <w:szCs w:val="21"/>
        </w:rPr>
      </w:pPr>
    </w:p>
    <w:p w14:paraId="7AE84C62" w14:textId="394869D3" w:rsidR="00472033" w:rsidRDefault="00472033" w:rsidP="00472033">
      <w:pPr>
        <w:tabs>
          <w:tab w:val="left" w:pos="2410"/>
        </w:tabs>
        <w:jc w:val="center"/>
        <w:rPr>
          <w:rFonts w:ascii="Abadi" w:hAnsi="Abadi"/>
          <w:b/>
          <w:bCs/>
          <w:sz w:val="21"/>
          <w:szCs w:val="21"/>
        </w:rPr>
      </w:pPr>
      <w:r w:rsidRPr="00350F6A">
        <w:rPr>
          <w:rFonts w:ascii="Abadi" w:hAnsi="Abadi"/>
          <w:b/>
          <w:bCs/>
          <w:sz w:val="21"/>
          <w:szCs w:val="21"/>
        </w:rPr>
        <w:t>TRANSITORIOS</w:t>
      </w:r>
    </w:p>
    <w:p w14:paraId="2A109B78" w14:textId="77777777" w:rsidR="00472C5D" w:rsidRPr="00350F6A" w:rsidRDefault="00472C5D" w:rsidP="00472033">
      <w:pPr>
        <w:tabs>
          <w:tab w:val="left" w:pos="2410"/>
        </w:tabs>
        <w:jc w:val="center"/>
        <w:rPr>
          <w:rFonts w:ascii="Abadi" w:hAnsi="Abadi"/>
          <w:b/>
          <w:bCs/>
          <w:sz w:val="21"/>
          <w:szCs w:val="21"/>
        </w:rPr>
      </w:pPr>
    </w:p>
    <w:p w14:paraId="3CC7480F" w14:textId="77777777" w:rsidR="00472033" w:rsidRPr="00350F6A" w:rsidRDefault="00472033" w:rsidP="00472033">
      <w:pPr>
        <w:tabs>
          <w:tab w:val="left" w:pos="2410"/>
        </w:tabs>
        <w:jc w:val="both"/>
        <w:rPr>
          <w:rFonts w:ascii="Abadi" w:hAnsi="Abadi"/>
          <w:sz w:val="21"/>
          <w:szCs w:val="21"/>
        </w:rPr>
      </w:pPr>
      <w:r w:rsidRPr="00350F6A">
        <w:rPr>
          <w:rFonts w:ascii="Abadi" w:hAnsi="Abadi"/>
          <w:b/>
          <w:bCs/>
          <w:sz w:val="21"/>
          <w:szCs w:val="21"/>
        </w:rPr>
        <w:t>Artículo Único.</w:t>
      </w:r>
      <w:r w:rsidRPr="00350F6A">
        <w:rPr>
          <w:rFonts w:ascii="Abadi" w:hAnsi="Abadi"/>
          <w:sz w:val="21"/>
          <w:szCs w:val="21"/>
        </w:rPr>
        <w:t xml:space="preserve"> El presente decreto entrará en vigor al día siguiente de su publicación en el Periódico Oficial del Gobierno del Estado de Guanajuato. </w:t>
      </w:r>
    </w:p>
    <w:p w14:paraId="5670BD9D" w14:textId="77777777" w:rsidR="00CB1956" w:rsidRDefault="00CB1956" w:rsidP="00472033">
      <w:pPr>
        <w:tabs>
          <w:tab w:val="left" w:pos="2410"/>
        </w:tabs>
        <w:jc w:val="both"/>
        <w:rPr>
          <w:rFonts w:ascii="Abadi" w:hAnsi="Abadi"/>
          <w:sz w:val="21"/>
          <w:szCs w:val="21"/>
        </w:rPr>
      </w:pPr>
    </w:p>
    <w:p w14:paraId="4424360D" w14:textId="2AAD53B3" w:rsidR="00472033" w:rsidRPr="00350F6A" w:rsidRDefault="00472033" w:rsidP="00472033">
      <w:pPr>
        <w:tabs>
          <w:tab w:val="left" w:pos="2410"/>
        </w:tabs>
        <w:jc w:val="both"/>
        <w:rPr>
          <w:rFonts w:ascii="Abadi" w:hAnsi="Abadi"/>
          <w:sz w:val="21"/>
          <w:szCs w:val="21"/>
        </w:rPr>
      </w:pPr>
      <w:r w:rsidRPr="00350F6A">
        <w:rPr>
          <w:rFonts w:ascii="Abadi" w:hAnsi="Abadi"/>
          <w:sz w:val="21"/>
          <w:szCs w:val="21"/>
        </w:rPr>
        <w:t>Debido a lo anteriormente expuesto, solicito a usted dar trámite a esta iniciativa de acuerdo con lo señalado por la Ley Orgánica del Poder Legislativo del Estado de Guanajuato.</w:t>
      </w:r>
    </w:p>
    <w:p w14:paraId="3C3A58F4" w14:textId="77777777" w:rsidR="00472033" w:rsidRPr="00350F6A" w:rsidRDefault="00472033" w:rsidP="00472033">
      <w:pPr>
        <w:tabs>
          <w:tab w:val="left" w:pos="2410"/>
        </w:tabs>
        <w:jc w:val="both"/>
        <w:rPr>
          <w:rFonts w:ascii="Abadi" w:hAnsi="Abadi"/>
          <w:sz w:val="21"/>
          <w:szCs w:val="21"/>
        </w:rPr>
      </w:pPr>
    </w:p>
    <w:p w14:paraId="25736661" w14:textId="5A291FF0" w:rsidR="00472033" w:rsidRDefault="00472033" w:rsidP="00472033">
      <w:pPr>
        <w:tabs>
          <w:tab w:val="left" w:pos="2410"/>
        </w:tabs>
        <w:jc w:val="center"/>
        <w:rPr>
          <w:rFonts w:ascii="Abadi" w:hAnsi="Abadi"/>
          <w:b/>
          <w:bCs/>
          <w:sz w:val="21"/>
          <w:szCs w:val="21"/>
        </w:rPr>
      </w:pPr>
      <w:r w:rsidRPr="00350F6A">
        <w:rPr>
          <w:rFonts w:ascii="Abadi" w:hAnsi="Abadi"/>
          <w:b/>
          <w:bCs/>
          <w:sz w:val="21"/>
          <w:szCs w:val="21"/>
        </w:rPr>
        <w:t>ATENTAMENTE</w:t>
      </w:r>
    </w:p>
    <w:p w14:paraId="76BB0FC1" w14:textId="77777777" w:rsidR="00472C5D" w:rsidRPr="00350F6A" w:rsidRDefault="00472C5D" w:rsidP="00472033">
      <w:pPr>
        <w:tabs>
          <w:tab w:val="left" w:pos="2410"/>
        </w:tabs>
        <w:jc w:val="center"/>
        <w:rPr>
          <w:rFonts w:ascii="Abadi" w:hAnsi="Abadi"/>
          <w:b/>
          <w:bCs/>
          <w:sz w:val="21"/>
          <w:szCs w:val="21"/>
        </w:rPr>
      </w:pPr>
    </w:p>
    <w:p w14:paraId="572B53A1" w14:textId="77777777" w:rsidR="00472033" w:rsidRPr="00350F6A" w:rsidRDefault="00472033" w:rsidP="00472033">
      <w:pPr>
        <w:tabs>
          <w:tab w:val="left" w:pos="2410"/>
        </w:tabs>
        <w:jc w:val="center"/>
        <w:rPr>
          <w:rFonts w:ascii="Abadi" w:hAnsi="Abadi"/>
          <w:sz w:val="21"/>
          <w:szCs w:val="21"/>
        </w:rPr>
      </w:pPr>
      <w:r w:rsidRPr="00350F6A">
        <w:rPr>
          <w:rFonts w:ascii="Abadi" w:hAnsi="Abadi"/>
          <w:sz w:val="21"/>
          <w:szCs w:val="21"/>
        </w:rPr>
        <w:t>Guanajuato, Gto., a 11 de octubre de 2022</w:t>
      </w:r>
    </w:p>
    <w:p w14:paraId="4D60A3DD" w14:textId="77777777" w:rsidR="00D4420A" w:rsidRDefault="00D4420A" w:rsidP="00472033">
      <w:pPr>
        <w:tabs>
          <w:tab w:val="left" w:pos="2410"/>
        </w:tabs>
        <w:jc w:val="center"/>
        <w:rPr>
          <w:rFonts w:ascii="Abadi" w:hAnsi="Abadi"/>
          <w:sz w:val="21"/>
          <w:szCs w:val="21"/>
        </w:rPr>
      </w:pPr>
    </w:p>
    <w:p w14:paraId="343430C3" w14:textId="56A6859C" w:rsidR="00472033" w:rsidRPr="00350F6A" w:rsidRDefault="00472033" w:rsidP="00472033">
      <w:pPr>
        <w:tabs>
          <w:tab w:val="left" w:pos="2410"/>
        </w:tabs>
        <w:jc w:val="center"/>
        <w:rPr>
          <w:rFonts w:ascii="Abadi" w:hAnsi="Abadi"/>
          <w:sz w:val="21"/>
          <w:szCs w:val="21"/>
        </w:rPr>
      </w:pPr>
      <w:r w:rsidRPr="00350F6A">
        <w:rPr>
          <w:rFonts w:ascii="Abadi" w:hAnsi="Abadi"/>
          <w:sz w:val="21"/>
          <w:szCs w:val="21"/>
        </w:rPr>
        <w:t>Diputada Irma Leticia González Sánchez</w:t>
      </w:r>
    </w:p>
    <w:p w14:paraId="513F8A8C" w14:textId="409B936A" w:rsidR="00472033" w:rsidRDefault="00472033" w:rsidP="00472033">
      <w:pPr>
        <w:tabs>
          <w:tab w:val="left" w:pos="2410"/>
        </w:tabs>
        <w:jc w:val="center"/>
        <w:rPr>
          <w:rFonts w:ascii="Abadi" w:hAnsi="Abadi"/>
          <w:b/>
          <w:bCs/>
          <w:sz w:val="21"/>
          <w:szCs w:val="21"/>
        </w:rPr>
      </w:pPr>
      <w:r w:rsidRPr="00350F6A">
        <w:rPr>
          <w:rFonts w:ascii="Abadi" w:hAnsi="Abadi"/>
          <w:sz w:val="21"/>
          <w:szCs w:val="21"/>
        </w:rPr>
        <w:t xml:space="preserve">Grupo Parlamentario de </w:t>
      </w:r>
      <w:r w:rsidRPr="00350F6A">
        <w:rPr>
          <w:rFonts w:ascii="Abadi" w:hAnsi="Abadi"/>
          <w:b/>
          <w:bCs/>
          <w:sz w:val="21"/>
          <w:szCs w:val="21"/>
        </w:rPr>
        <w:t>morena</w:t>
      </w:r>
    </w:p>
    <w:p w14:paraId="2B732718" w14:textId="7BAF9889" w:rsidR="00D4420A" w:rsidRDefault="00D4420A" w:rsidP="00472033">
      <w:pPr>
        <w:tabs>
          <w:tab w:val="left" w:pos="2410"/>
        </w:tabs>
        <w:jc w:val="center"/>
        <w:rPr>
          <w:rFonts w:ascii="Abadi" w:hAnsi="Abadi"/>
          <w:b/>
          <w:bCs/>
          <w:sz w:val="21"/>
          <w:szCs w:val="21"/>
        </w:rPr>
      </w:pPr>
    </w:p>
    <w:p w14:paraId="2799E9AE" w14:textId="77777777" w:rsidR="00D4420A" w:rsidRPr="00350F6A" w:rsidRDefault="00D4420A" w:rsidP="00472033">
      <w:pPr>
        <w:tabs>
          <w:tab w:val="left" w:pos="2410"/>
        </w:tabs>
        <w:jc w:val="center"/>
        <w:rPr>
          <w:rFonts w:ascii="Abadi" w:hAnsi="Abadi"/>
          <w:sz w:val="21"/>
          <w:szCs w:val="21"/>
        </w:rPr>
      </w:pPr>
    </w:p>
    <w:p w14:paraId="2934405F" w14:textId="4EE9C22E" w:rsidR="00CA47C3" w:rsidRDefault="00CA47C3" w:rsidP="00CA47C3">
      <w:pPr>
        <w:jc w:val="both"/>
        <w:rPr>
          <w:rFonts w:ascii="Abadi" w:hAnsi="Abadi"/>
          <w:b/>
          <w:bCs/>
          <w:sz w:val="21"/>
          <w:szCs w:val="21"/>
        </w:rPr>
      </w:pPr>
      <w:r w:rsidRPr="00AA7107">
        <w:rPr>
          <w:rFonts w:ascii="Abadi" w:hAnsi="Abadi"/>
          <w:b/>
          <w:bCs/>
          <w:sz w:val="21"/>
          <w:szCs w:val="21"/>
        </w:rPr>
        <w:t>(Sube a tribuna a diputada Irma Leticia González Sánchez, para hablar de a iniciativa en referencia)</w:t>
      </w:r>
    </w:p>
    <w:p w14:paraId="78CB44C3" w14:textId="2919D5D1" w:rsidR="009E261E" w:rsidRDefault="009E261E" w:rsidP="00CA47C3">
      <w:pPr>
        <w:jc w:val="both"/>
        <w:rPr>
          <w:rFonts w:ascii="Abadi" w:hAnsi="Abadi"/>
          <w:b/>
          <w:bCs/>
          <w:sz w:val="21"/>
          <w:szCs w:val="21"/>
        </w:rPr>
      </w:pPr>
    </w:p>
    <w:p w14:paraId="5F2C78D5" w14:textId="77777777" w:rsidR="009E261E" w:rsidRPr="00AA7107" w:rsidRDefault="009E261E" w:rsidP="00CA47C3">
      <w:pPr>
        <w:jc w:val="both"/>
        <w:rPr>
          <w:rFonts w:ascii="Abadi" w:hAnsi="Abadi"/>
          <w:b/>
          <w:bCs/>
          <w:sz w:val="21"/>
          <w:szCs w:val="21"/>
        </w:rPr>
      </w:pPr>
    </w:p>
    <w:p w14:paraId="54964CAF" w14:textId="6020DB6A" w:rsidR="00CA47C3" w:rsidRDefault="009E261E" w:rsidP="00CA47C3">
      <w:pPr>
        <w:jc w:val="both"/>
        <w:rPr>
          <w:rFonts w:ascii="Abadi" w:hAnsi="Abadi"/>
          <w:b/>
          <w:bCs/>
          <w:sz w:val="21"/>
          <w:szCs w:val="21"/>
        </w:rPr>
      </w:pPr>
      <w:r>
        <w:rPr>
          <w:noProof/>
        </w:rPr>
        <w:drawing>
          <wp:anchor distT="0" distB="0" distL="114300" distR="114300" simplePos="0" relativeHeight="251674624" behindDoc="1" locked="0" layoutInCell="1" allowOverlap="1" wp14:anchorId="17D05E4E" wp14:editId="6809968F">
            <wp:simplePos x="0" y="0"/>
            <wp:positionH relativeFrom="column">
              <wp:posOffset>607060</wp:posOffset>
            </wp:positionH>
            <wp:positionV relativeFrom="paragraph">
              <wp:posOffset>528955</wp:posOffset>
            </wp:positionV>
            <wp:extent cx="1457325" cy="756285"/>
            <wp:effectExtent l="247650" t="228600" r="257175" b="767715"/>
            <wp:wrapTight wrapText="bothSides">
              <wp:wrapPolygon edited="0">
                <wp:start x="-3671" y="-6529"/>
                <wp:lineTo x="-3671" y="42982"/>
                <wp:lineTo x="25129" y="42982"/>
                <wp:lineTo x="25129" y="30469"/>
                <wp:lineTo x="21459" y="28292"/>
                <wp:lineTo x="21176" y="28292"/>
                <wp:lineTo x="25129" y="26116"/>
                <wp:lineTo x="25129" y="-6529"/>
                <wp:lineTo x="-3671" y="-6529"/>
              </wp:wrapPolygon>
            </wp:wrapTight>
            <wp:docPr id="66" name="Imagen 66"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n 66" descr="Texto&#10;&#10;Descripción generada automáticamente"/>
                    <pic:cNvPicPr/>
                  </pic:nvPicPr>
                  <pic:blipFill rotWithShape="1">
                    <a:blip r:embed="rId24" cstate="print">
                      <a:extLst>
                        <a:ext uri="{28A0092B-C50C-407E-A947-70E740481C1C}">
                          <a14:useLocalDpi xmlns:a14="http://schemas.microsoft.com/office/drawing/2010/main" val="0"/>
                        </a:ext>
                      </a:extLst>
                    </a:blip>
                    <a:srcRect b="7627"/>
                    <a:stretch/>
                  </pic:blipFill>
                  <pic:spPr bwMode="auto">
                    <a:xfrm>
                      <a:off x="0" y="0"/>
                      <a:ext cx="1457325" cy="75628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r w:rsidR="00CA47C3" w:rsidRPr="00AA7107">
        <w:rPr>
          <w:rFonts w:ascii="Abadi" w:hAnsi="Abadi"/>
          <w:b/>
          <w:bCs/>
          <w:sz w:val="21"/>
          <w:szCs w:val="21"/>
        </w:rPr>
        <w:t>(Posicionamiento)</w:t>
      </w:r>
    </w:p>
    <w:p w14:paraId="38CDBFD9" w14:textId="4845C57E" w:rsidR="009E261E" w:rsidRDefault="009E261E" w:rsidP="00CA47C3">
      <w:pPr>
        <w:jc w:val="both"/>
        <w:rPr>
          <w:rFonts w:ascii="Abadi" w:hAnsi="Abadi"/>
          <w:b/>
          <w:bCs/>
          <w:sz w:val="21"/>
          <w:szCs w:val="21"/>
        </w:rPr>
      </w:pPr>
    </w:p>
    <w:p w14:paraId="37B64E90" w14:textId="0DF737B5" w:rsidR="009E261E" w:rsidRPr="00AA7107" w:rsidRDefault="009E261E" w:rsidP="00CA47C3">
      <w:pPr>
        <w:jc w:val="both"/>
        <w:rPr>
          <w:rFonts w:ascii="Abadi" w:hAnsi="Abadi"/>
          <w:b/>
          <w:bCs/>
          <w:sz w:val="21"/>
          <w:szCs w:val="21"/>
        </w:rPr>
      </w:pPr>
    </w:p>
    <w:p w14:paraId="2508BD0D" w14:textId="03201238" w:rsidR="00CA47C3" w:rsidRPr="00AA7107" w:rsidRDefault="00CA47C3" w:rsidP="00CA47C3">
      <w:pPr>
        <w:jc w:val="both"/>
        <w:rPr>
          <w:rFonts w:ascii="Abadi" w:hAnsi="Abadi"/>
          <w:b/>
          <w:bCs/>
          <w:sz w:val="21"/>
          <w:szCs w:val="21"/>
        </w:rPr>
      </w:pPr>
    </w:p>
    <w:p w14:paraId="5B8C2CC7" w14:textId="77777777" w:rsidR="009E261E" w:rsidRDefault="009E261E" w:rsidP="00CA47C3">
      <w:pPr>
        <w:jc w:val="both"/>
        <w:rPr>
          <w:rFonts w:ascii="Abadi" w:hAnsi="Abadi"/>
          <w:b/>
          <w:bCs/>
          <w:sz w:val="21"/>
          <w:szCs w:val="21"/>
        </w:rPr>
      </w:pPr>
    </w:p>
    <w:p w14:paraId="0099728B" w14:textId="77777777" w:rsidR="009E261E" w:rsidRDefault="009E261E" w:rsidP="00CA47C3">
      <w:pPr>
        <w:jc w:val="both"/>
        <w:rPr>
          <w:rFonts w:ascii="Abadi" w:hAnsi="Abadi"/>
          <w:b/>
          <w:bCs/>
          <w:sz w:val="21"/>
          <w:szCs w:val="21"/>
        </w:rPr>
      </w:pPr>
    </w:p>
    <w:p w14:paraId="4275D374" w14:textId="77777777" w:rsidR="009E261E" w:rsidRDefault="009E261E" w:rsidP="00CA47C3">
      <w:pPr>
        <w:jc w:val="both"/>
        <w:rPr>
          <w:rFonts w:ascii="Abadi" w:hAnsi="Abadi"/>
          <w:b/>
          <w:bCs/>
          <w:sz w:val="21"/>
          <w:szCs w:val="21"/>
        </w:rPr>
      </w:pPr>
    </w:p>
    <w:p w14:paraId="0BF2C50B" w14:textId="77777777" w:rsidR="009E261E" w:rsidRDefault="009E261E" w:rsidP="00CA47C3">
      <w:pPr>
        <w:jc w:val="both"/>
        <w:rPr>
          <w:rFonts w:ascii="Abadi" w:hAnsi="Abadi"/>
          <w:b/>
          <w:bCs/>
          <w:sz w:val="21"/>
          <w:szCs w:val="21"/>
        </w:rPr>
      </w:pPr>
    </w:p>
    <w:p w14:paraId="2BFD0E93" w14:textId="77777777" w:rsidR="009E261E" w:rsidRDefault="009E261E" w:rsidP="00CA47C3">
      <w:pPr>
        <w:jc w:val="both"/>
        <w:rPr>
          <w:rFonts w:ascii="Abadi" w:hAnsi="Abadi"/>
          <w:b/>
          <w:bCs/>
          <w:sz w:val="21"/>
          <w:szCs w:val="21"/>
        </w:rPr>
      </w:pPr>
    </w:p>
    <w:p w14:paraId="7092F532" w14:textId="77777777" w:rsidR="009E261E" w:rsidRDefault="009E261E" w:rsidP="00CA47C3">
      <w:pPr>
        <w:jc w:val="both"/>
        <w:rPr>
          <w:rFonts w:ascii="Abadi" w:hAnsi="Abadi"/>
          <w:b/>
          <w:bCs/>
          <w:sz w:val="21"/>
          <w:szCs w:val="21"/>
        </w:rPr>
      </w:pPr>
    </w:p>
    <w:p w14:paraId="28FFD0D9" w14:textId="77777777" w:rsidR="009E261E" w:rsidRDefault="009E261E" w:rsidP="00CA47C3">
      <w:pPr>
        <w:jc w:val="both"/>
        <w:rPr>
          <w:rFonts w:ascii="Abadi" w:hAnsi="Abadi"/>
          <w:b/>
          <w:bCs/>
          <w:sz w:val="21"/>
          <w:szCs w:val="21"/>
        </w:rPr>
      </w:pPr>
    </w:p>
    <w:p w14:paraId="6EE428FF" w14:textId="77777777" w:rsidR="009E261E" w:rsidRDefault="009E261E" w:rsidP="00CA47C3">
      <w:pPr>
        <w:jc w:val="both"/>
        <w:rPr>
          <w:rFonts w:ascii="Abadi" w:hAnsi="Abadi"/>
          <w:b/>
          <w:bCs/>
          <w:sz w:val="21"/>
          <w:szCs w:val="21"/>
        </w:rPr>
      </w:pPr>
    </w:p>
    <w:p w14:paraId="70B398A5" w14:textId="77777777" w:rsidR="009E261E" w:rsidRDefault="009E261E" w:rsidP="00CA47C3">
      <w:pPr>
        <w:jc w:val="both"/>
        <w:rPr>
          <w:rFonts w:ascii="Abadi" w:hAnsi="Abadi"/>
          <w:b/>
          <w:bCs/>
          <w:sz w:val="21"/>
          <w:szCs w:val="21"/>
        </w:rPr>
      </w:pPr>
    </w:p>
    <w:p w14:paraId="0A980A0E" w14:textId="77777777" w:rsidR="009E261E" w:rsidRDefault="009E261E" w:rsidP="00CA47C3">
      <w:pPr>
        <w:jc w:val="both"/>
        <w:rPr>
          <w:rFonts w:ascii="Abadi" w:hAnsi="Abadi"/>
          <w:b/>
          <w:bCs/>
          <w:sz w:val="21"/>
          <w:szCs w:val="21"/>
        </w:rPr>
      </w:pPr>
    </w:p>
    <w:p w14:paraId="7CF9AE29" w14:textId="77777777" w:rsidR="009E261E" w:rsidRDefault="009E261E" w:rsidP="00CA47C3">
      <w:pPr>
        <w:jc w:val="both"/>
        <w:rPr>
          <w:rFonts w:ascii="Abadi" w:hAnsi="Abadi"/>
          <w:b/>
          <w:bCs/>
          <w:sz w:val="21"/>
          <w:szCs w:val="21"/>
        </w:rPr>
      </w:pPr>
    </w:p>
    <w:p w14:paraId="0FDD4197" w14:textId="77777777" w:rsidR="009E261E" w:rsidRDefault="009E261E" w:rsidP="00CA47C3">
      <w:pPr>
        <w:jc w:val="both"/>
        <w:rPr>
          <w:rFonts w:ascii="Abadi" w:hAnsi="Abadi"/>
          <w:b/>
          <w:bCs/>
          <w:sz w:val="21"/>
          <w:szCs w:val="21"/>
        </w:rPr>
      </w:pPr>
    </w:p>
    <w:p w14:paraId="5B496FA4" w14:textId="119B5A20" w:rsidR="00CA47C3" w:rsidRPr="00AA7107" w:rsidRDefault="00CA47C3" w:rsidP="00CA47C3">
      <w:pPr>
        <w:jc w:val="both"/>
        <w:rPr>
          <w:rFonts w:ascii="Abadi" w:hAnsi="Abadi"/>
          <w:b/>
          <w:bCs/>
          <w:sz w:val="21"/>
          <w:szCs w:val="21"/>
        </w:rPr>
      </w:pPr>
      <w:r w:rsidRPr="00AA7107">
        <w:rPr>
          <w:rFonts w:ascii="Abadi" w:hAnsi="Abadi"/>
          <w:b/>
          <w:bCs/>
          <w:sz w:val="21"/>
          <w:szCs w:val="21"/>
        </w:rPr>
        <w:t xml:space="preserve">- Diputada Irma Leticia González Sánchez </w:t>
      </w:r>
      <w:r>
        <w:rPr>
          <w:rFonts w:ascii="Abadi" w:hAnsi="Abadi"/>
          <w:b/>
          <w:bCs/>
          <w:sz w:val="21"/>
          <w:szCs w:val="21"/>
        </w:rPr>
        <w:t>-</w:t>
      </w:r>
    </w:p>
    <w:p w14:paraId="2B4CD134" w14:textId="77777777" w:rsidR="00CA47C3" w:rsidRPr="00AA7107" w:rsidRDefault="00CA47C3" w:rsidP="00CA47C3">
      <w:pPr>
        <w:jc w:val="both"/>
        <w:rPr>
          <w:rFonts w:ascii="Abadi" w:hAnsi="Abadi"/>
          <w:b/>
          <w:bCs/>
          <w:sz w:val="21"/>
          <w:szCs w:val="21"/>
        </w:rPr>
      </w:pPr>
    </w:p>
    <w:p w14:paraId="3D027D93" w14:textId="678E6858" w:rsidR="00CA47C3" w:rsidRDefault="00CA47C3" w:rsidP="00CA47C3">
      <w:pPr>
        <w:jc w:val="both"/>
        <w:rPr>
          <w:rFonts w:ascii="Abadi" w:hAnsi="Abadi"/>
          <w:sz w:val="21"/>
          <w:szCs w:val="21"/>
        </w:rPr>
      </w:pPr>
      <w:r w:rsidRPr="00AA7107">
        <w:rPr>
          <w:rFonts w:ascii="Abadi" w:hAnsi="Abadi"/>
          <w:sz w:val="21"/>
          <w:szCs w:val="21"/>
        </w:rPr>
        <w:t xml:space="preserve">- Muy buenos días tengan todas y todos ustedes, Presidente y con su venia, la Mesa Directiva, y el día de hoy vengo a tratar temas de salud, pero antes de iniciar si quisiera comentar que tanto las y diputados de Acción Nacional, han tenido 30 años para atender a estas mujeres rurales y todavía siguen igual. Voy a comenzar con mi tema. </w:t>
      </w:r>
    </w:p>
    <w:p w14:paraId="5D45D4F4" w14:textId="77777777" w:rsidR="009E261E" w:rsidRPr="00AA7107" w:rsidRDefault="009E261E" w:rsidP="00CA47C3">
      <w:pPr>
        <w:jc w:val="both"/>
        <w:rPr>
          <w:rFonts w:ascii="Abadi" w:hAnsi="Abadi"/>
          <w:sz w:val="21"/>
          <w:szCs w:val="21"/>
        </w:rPr>
      </w:pPr>
    </w:p>
    <w:p w14:paraId="23984765" w14:textId="60963528" w:rsidR="00CA47C3" w:rsidRDefault="00CA47C3" w:rsidP="00CA47C3">
      <w:pPr>
        <w:jc w:val="both"/>
        <w:rPr>
          <w:rFonts w:ascii="Abadi" w:hAnsi="Abadi"/>
          <w:sz w:val="21"/>
          <w:szCs w:val="21"/>
        </w:rPr>
      </w:pPr>
      <w:r w:rsidRPr="00AA7107">
        <w:rPr>
          <w:rFonts w:ascii="Abadi" w:hAnsi="Abadi"/>
          <w:sz w:val="21"/>
          <w:szCs w:val="21"/>
        </w:rPr>
        <w:t xml:space="preserve">- Con el permiso de la Presidencia nuevamente, me permito someter a la consideración del Pleno de este Honorable asunto legislativa, la presente iniciativa con proyecto de decreto, a efecto de reformar y adicionar diversas disposiciones de la Ley de Salud del Estado de Guanajuato, con la conformidad de esta exposición de motivos: </w:t>
      </w:r>
    </w:p>
    <w:p w14:paraId="7D823730" w14:textId="77777777" w:rsidR="009E261E" w:rsidRPr="00AA7107" w:rsidRDefault="009E261E" w:rsidP="00CA47C3">
      <w:pPr>
        <w:jc w:val="both"/>
        <w:rPr>
          <w:rFonts w:ascii="Abadi" w:hAnsi="Abadi"/>
          <w:sz w:val="21"/>
          <w:szCs w:val="21"/>
        </w:rPr>
      </w:pPr>
    </w:p>
    <w:p w14:paraId="23F7C31D" w14:textId="5B077E70" w:rsidR="00CA47C3" w:rsidRDefault="00CA47C3" w:rsidP="00CA47C3">
      <w:pPr>
        <w:jc w:val="both"/>
        <w:rPr>
          <w:rFonts w:ascii="Abadi" w:hAnsi="Abadi"/>
          <w:sz w:val="21"/>
          <w:szCs w:val="21"/>
        </w:rPr>
      </w:pPr>
      <w:r w:rsidRPr="00AA7107">
        <w:rPr>
          <w:rFonts w:ascii="Abadi" w:hAnsi="Abadi"/>
          <w:sz w:val="21"/>
          <w:szCs w:val="21"/>
        </w:rPr>
        <w:t xml:space="preserve">¡No estamos aquí para ayudarte a morir! ¡estamos aquí para ayudarte a vivir hasta que mueras! El segundo sábado de octubre se conmemora el día mundial de los cuidados paliativos, una modalidad terapéutica poco difundida en el mundo, que busca ayudar, apoyar y mejorar la situación de los pacientes terminales y sus familias, para que puedan afrontar de mejor manera la partida de ese ser querido. El lema de 2022 es “sanando corazones y comunidades” </w:t>
      </w:r>
    </w:p>
    <w:p w14:paraId="498A7ACF" w14:textId="77777777" w:rsidR="009E261E" w:rsidRPr="00AA7107" w:rsidRDefault="009E261E" w:rsidP="00CA47C3">
      <w:pPr>
        <w:jc w:val="both"/>
        <w:rPr>
          <w:rFonts w:ascii="Abadi" w:hAnsi="Abadi"/>
          <w:sz w:val="21"/>
          <w:szCs w:val="21"/>
        </w:rPr>
      </w:pPr>
    </w:p>
    <w:p w14:paraId="7304E5B5" w14:textId="078C2FB7" w:rsidR="00CA47C3" w:rsidRDefault="00CA47C3" w:rsidP="00CA47C3">
      <w:pPr>
        <w:jc w:val="both"/>
        <w:rPr>
          <w:rFonts w:ascii="Abadi" w:hAnsi="Abadi"/>
          <w:sz w:val="21"/>
          <w:szCs w:val="21"/>
        </w:rPr>
      </w:pPr>
      <w:r w:rsidRPr="00AA7107">
        <w:rPr>
          <w:rFonts w:ascii="Abadi" w:hAnsi="Abadi"/>
          <w:sz w:val="21"/>
          <w:szCs w:val="21"/>
        </w:rPr>
        <w:t xml:space="preserve">- Se calcula que en todo el mundo, sólo una de cada 10 personas que necesitan los cuidados paliativos, es medianamente atendida, y la demanda mundial de atención a personas con enfermedades potencialmente letales, seguirá creciendo a medida que las poblaciones vayan envejeciendo y sin duda se van a ir duplicando. </w:t>
      </w:r>
    </w:p>
    <w:p w14:paraId="280F3BF3" w14:textId="77777777" w:rsidR="009E261E" w:rsidRPr="00AA7107" w:rsidRDefault="009E261E" w:rsidP="00CA47C3">
      <w:pPr>
        <w:jc w:val="both"/>
        <w:rPr>
          <w:rFonts w:ascii="Abadi" w:hAnsi="Abadi"/>
          <w:sz w:val="21"/>
          <w:szCs w:val="21"/>
        </w:rPr>
      </w:pPr>
    </w:p>
    <w:p w14:paraId="1DED371C" w14:textId="6B7BA328" w:rsidR="00CA47C3" w:rsidRDefault="00CA47C3" w:rsidP="00CA47C3">
      <w:pPr>
        <w:jc w:val="both"/>
        <w:rPr>
          <w:rFonts w:ascii="Abadi" w:hAnsi="Abadi"/>
          <w:sz w:val="21"/>
          <w:szCs w:val="21"/>
        </w:rPr>
      </w:pPr>
      <w:r w:rsidRPr="00AA7107">
        <w:rPr>
          <w:rFonts w:ascii="Abadi" w:hAnsi="Abadi"/>
          <w:sz w:val="21"/>
          <w:szCs w:val="21"/>
        </w:rPr>
        <w:t xml:space="preserve">- Por lo tanto, el mundo necesita una acción urgente y concertada, para ampliar el acceso a servicios de cuidados paliativos de calidad para responder a esa necesidad. </w:t>
      </w:r>
    </w:p>
    <w:p w14:paraId="012F131F" w14:textId="77777777" w:rsidR="009E261E" w:rsidRPr="00AA7107" w:rsidRDefault="009E261E" w:rsidP="00CA47C3">
      <w:pPr>
        <w:jc w:val="both"/>
        <w:rPr>
          <w:rFonts w:ascii="Abadi" w:hAnsi="Abadi"/>
          <w:sz w:val="21"/>
          <w:szCs w:val="21"/>
        </w:rPr>
      </w:pPr>
    </w:p>
    <w:p w14:paraId="3067E572" w14:textId="05FD3ACC" w:rsidR="00CA47C3" w:rsidRDefault="00CA47C3" w:rsidP="00CA47C3">
      <w:pPr>
        <w:jc w:val="both"/>
        <w:rPr>
          <w:rFonts w:ascii="Abadi" w:hAnsi="Abadi"/>
          <w:sz w:val="21"/>
          <w:szCs w:val="21"/>
        </w:rPr>
      </w:pPr>
      <w:r w:rsidRPr="00AA7107">
        <w:rPr>
          <w:rFonts w:ascii="Abadi" w:hAnsi="Abadi"/>
          <w:sz w:val="21"/>
          <w:szCs w:val="21"/>
        </w:rPr>
        <w:t xml:space="preserve">- La OMS publica dos nuevos recursos con el fin de ayudar a los países a evaluar el desarrollo de los cuidados paliativos y mejorar la calidad de todos estos servicios, de estos cuidados. El primer recurso consiste en un informe técnico de la OMS, en el que se proporciona un conjunto sólido y aplicable a nivel mundial, de indicadores de los cuidados paliativos para los países, estos indicadores pueden utilizarse para evaluar y monitorear la prestación de servicios de cuidados paliativos en países de todo el mundo. </w:t>
      </w:r>
    </w:p>
    <w:p w14:paraId="5EC54FDE" w14:textId="77777777" w:rsidR="009E261E" w:rsidRPr="00AA7107" w:rsidRDefault="009E261E" w:rsidP="00CA47C3">
      <w:pPr>
        <w:jc w:val="both"/>
        <w:rPr>
          <w:rFonts w:ascii="Abadi" w:hAnsi="Abadi"/>
          <w:sz w:val="21"/>
          <w:szCs w:val="21"/>
        </w:rPr>
      </w:pPr>
    </w:p>
    <w:p w14:paraId="1CDA09B4" w14:textId="553E3640" w:rsidR="00CA47C3" w:rsidRDefault="00CA47C3" w:rsidP="00CA47C3">
      <w:pPr>
        <w:jc w:val="both"/>
        <w:rPr>
          <w:rFonts w:ascii="Abadi" w:hAnsi="Abadi"/>
          <w:sz w:val="21"/>
          <w:szCs w:val="21"/>
        </w:rPr>
      </w:pPr>
      <w:r w:rsidRPr="00AA7107">
        <w:rPr>
          <w:rFonts w:ascii="Abadi" w:hAnsi="Abadi"/>
          <w:sz w:val="21"/>
          <w:szCs w:val="21"/>
        </w:rPr>
        <w:t xml:space="preserve">- El informe tiene como objetivo crear un consenso mundial sobre los indicadores para medir el desarrollo de los cuidados paliativos, y su uso proporcionará datos fiables para apoyar la toma de decisiones, orientados principalmente sobre las prioridades de salud y la asignación también de recursos, para estos cuidados. </w:t>
      </w:r>
    </w:p>
    <w:p w14:paraId="4EB42352" w14:textId="77777777" w:rsidR="009E261E" w:rsidRPr="00AA7107" w:rsidRDefault="009E261E" w:rsidP="00CA47C3">
      <w:pPr>
        <w:jc w:val="both"/>
        <w:rPr>
          <w:rFonts w:ascii="Abadi" w:hAnsi="Abadi"/>
          <w:sz w:val="21"/>
          <w:szCs w:val="21"/>
        </w:rPr>
      </w:pPr>
    </w:p>
    <w:p w14:paraId="73B2F636" w14:textId="6FBBD41B" w:rsidR="00CA47C3" w:rsidRDefault="00CA47C3" w:rsidP="00CA47C3">
      <w:pPr>
        <w:jc w:val="both"/>
        <w:rPr>
          <w:rFonts w:ascii="Abadi" w:hAnsi="Abadi"/>
          <w:sz w:val="21"/>
          <w:szCs w:val="21"/>
        </w:rPr>
      </w:pPr>
      <w:r w:rsidRPr="00AA7107">
        <w:rPr>
          <w:rFonts w:ascii="Abadi" w:hAnsi="Abadi"/>
          <w:sz w:val="21"/>
          <w:szCs w:val="21"/>
        </w:rPr>
        <w:t xml:space="preserve">- El segundo recurso, es un informe técnico sobre los servicios de salud y de cuidados paliativos de calidad, en el que se examinan enfoques prácticos y recursos para apoyar las políticas, la estrategia y la práctica. </w:t>
      </w:r>
    </w:p>
    <w:p w14:paraId="13C50F6A" w14:textId="77777777" w:rsidR="009E261E" w:rsidRPr="00AA7107" w:rsidRDefault="009E261E" w:rsidP="00CA47C3">
      <w:pPr>
        <w:jc w:val="both"/>
        <w:rPr>
          <w:rFonts w:ascii="Abadi" w:hAnsi="Abadi"/>
          <w:sz w:val="21"/>
          <w:szCs w:val="21"/>
        </w:rPr>
      </w:pPr>
    </w:p>
    <w:p w14:paraId="339C5BD2" w14:textId="57E5CBED" w:rsidR="00CA47C3" w:rsidRDefault="00CA47C3" w:rsidP="00CA47C3">
      <w:pPr>
        <w:jc w:val="both"/>
        <w:rPr>
          <w:rFonts w:ascii="Abadi" w:hAnsi="Abadi"/>
          <w:sz w:val="21"/>
          <w:szCs w:val="21"/>
        </w:rPr>
      </w:pPr>
      <w:r w:rsidRPr="00AA7107">
        <w:rPr>
          <w:rFonts w:ascii="Abadi" w:hAnsi="Abadi"/>
          <w:sz w:val="21"/>
          <w:szCs w:val="21"/>
        </w:rPr>
        <w:t>- El informe orientará la acción a nivel nacional, en el punto de atención para mejorar la calidad de los servicios en estos cuidados.</w:t>
      </w:r>
    </w:p>
    <w:p w14:paraId="25CD2B66" w14:textId="77777777" w:rsidR="009E261E" w:rsidRPr="00AA7107" w:rsidRDefault="009E261E" w:rsidP="00CA47C3">
      <w:pPr>
        <w:jc w:val="both"/>
        <w:rPr>
          <w:rFonts w:ascii="Abadi" w:hAnsi="Abadi"/>
          <w:sz w:val="21"/>
          <w:szCs w:val="21"/>
        </w:rPr>
      </w:pPr>
    </w:p>
    <w:p w14:paraId="107B57D7" w14:textId="09ED15E0" w:rsidR="00CA47C3" w:rsidRDefault="00CA47C3" w:rsidP="00CA47C3">
      <w:pPr>
        <w:jc w:val="both"/>
        <w:rPr>
          <w:rFonts w:ascii="Abadi" w:hAnsi="Abadi"/>
          <w:sz w:val="21"/>
          <w:szCs w:val="21"/>
        </w:rPr>
      </w:pPr>
      <w:r w:rsidRPr="00AA7107">
        <w:rPr>
          <w:rFonts w:ascii="Abadi" w:hAnsi="Abadi"/>
          <w:sz w:val="21"/>
          <w:szCs w:val="21"/>
        </w:rPr>
        <w:t xml:space="preserve">- La COVID-19 ha puesto de manifiesto la necesidad de estos cuidados paliativos en todos los lugares y entornos para aliviar el sufrimiento al final de la vida, como el sufrimiento físico que es causado por la falta de aire o el dolor mental, resultante de la separación de los seres queridos. </w:t>
      </w:r>
    </w:p>
    <w:p w14:paraId="676CE6F9" w14:textId="77777777" w:rsidR="009E261E" w:rsidRPr="00AA7107" w:rsidRDefault="009E261E" w:rsidP="00CA47C3">
      <w:pPr>
        <w:jc w:val="both"/>
        <w:rPr>
          <w:rFonts w:ascii="Abadi" w:hAnsi="Abadi"/>
          <w:sz w:val="21"/>
          <w:szCs w:val="21"/>
        </w:rPr>
      </w:pPr>
    </w:p>
    <w:p w14:paraId="66E590B2" w14:textId="4B06BBE6" w:rsidR="00CA47C3" w:rsidRDefault="00CA47C3" w:rsidP="00CA47C3">
      <w:pPr>
        <w:jc w:val="both"/>
        <w:rPr>
          <w:rFonts w:ascii="Abadi" w:hAnsi="Abadi"/>
          <w:sz w:val="21"/>
          <w:szCs w:val="21"/>
        </w:rPr>
      </w:pPr>
      <w:r w:rsidRPr="00AA7107">
        <w:rPr>
          <w:rFonts w:ascii="Abadi" w:hAnsi="Abadi"/>
          <w:sz w:val="21"/>
          <w:szCs w:val="21"/>
        </w:rPr>
        <w:t xml:space="preserve">- La pandemia también nos recuerda la necesidad de que todos los profesionales de la salud tengan cierta información y conocimientos en enfoque de esos cuidados paliativos, porque son conocidos, son conocidos por el nombre, pero no son atendidos, la verdad se manda los pacientes con unos dolores insoportables, no les dan medicamento, no les da la atención, no les dan </w:t>
      </w:r>
      <w:r w:rsidRPr="00AA7107">
        <w:rPr>
          <w:rFonts w:ascii="Abadi" w:hAnsi="Abadi"/>
          <w:sz w:val="21"/>
          <w:szCs w:val="21"/>
        </w:rPr>
        <w:t xml:space="preserve">el seguimiento si les dieron alguna vez la atención. </w:t>
      </w:r>
    </w:p>
    <w:p w14:paraId="5C634A35" w14:textId="77777777" w:rsidR="009E261E" w:rsidRPr="00AA7107" w:rsidRDefault="009E261E" w:rsidP="00CA47C3">
      <w:pPr>
        <w:jc w:val="both"/>
        <w:rPr>
          <w:rFonts w:ascii="Abadi" w:hAnsi="Abadi"/>
          <w:sz w:val="21"/>
          <w:szCs w:val="21"/>
        </w:rPr>
      </w:pPr>
    </w:p>
    <w:p w14:paraId="0FECE258" w14:textId="59B7DA34" w:rsidR="00CA47C3" w:rsidRDefault="00CA47C3" w:rsidP="00CA47C3">
      <w:pPr>
        <w:jc w:val="both"/>
        <w:rPr>
          <w:rFonts w:ascii="Abadi" w:hAnsi="Abadi"/>
          <w:sz w:val="21"/>
          <w:szCs w:val="21"/>
        </w:rPr>
      </w:pPr>
      <w:r w:rsidRPr="00AA7107">
        <w:rPr>
          <w:rFonts w:ascii="Abadi" w:hAnsi="Abadi"/>
          <w:sz w:val="21"/>
          <w:szCs w:val="21"/>
        </w:rPr>
        <w:t>- Y es por ello que es algo tan importante, que va de la mano, para esas personas que tienen cáncer, por ejemplo, que este mes es el mes rosa y que estamos haciendo conciencia de esta enfermedad que está matando a tantas mujeres y a tantos seres humanos, pero hay que dejarlos a bien morir, hay que atenderlos, hay que darles una mejor calidad de vida. Y es por ello que tenemos que trabajar en eso.</w:t>
      </w:r>
    </w:p>
    <w:p w14:paraId="7D3AD65A" w14:textId="77777777" w:rsidR="009E261E" w:rsidRPr="00AA7107" w:rsidRDefault="009E261E" w:rsidP="00CA47C3">
      <w:pPr>
        <w:jc w:val="both"/>
        <w:rPr>
          <w:rFonts w:ascii="Abadi" w:hAnsi="Abadi"/>
          <w:sz w:val="21"/>
          <w:szCs w:val="21"/>
        </w:rPr>
      </w:pPr>
    </w:p>
    <w:p w14:paraId="0DB4101B" w14:textId="5295DFFB" w:rsidR="00CA47C3" w:rsidRDefault="00CA47C3" w:rsidP="00CA47C3">
      <w:pPr>
        <w:jc w:val="both"/>
        <w:rPr>
          <w:rFonts w:ascii="Abadi" w:hAnsi="Abadi"/>
          <w:sz w:val="21"/>
          <w:szCs w:val="21"/>
        </w:rPr>
      </w:pPr>
      <w:r w:rsidRPr="00AA7107">
        <w:rPr>
          <w:rFonts w:ascii="Abadi" w:hAnsi="Abadi"/>
          <w:sz w:val="21"/>
          <w:szCs w:val="21"/>
        </w:rPr>
        <w:t>- La pandemia, también nos recuerda la necesidad de que todos los profesionales de la salud que no estén preparados en ello se han capacitados.</w:t>
      </w:r>
    </w:p>
    <w:p w14:paraId="5ABE8316" w14:textId="77777777" w:rsidR="009E261E" w:rsidRPr="00AA7107" w:rsidRDefault="009E261E" w:rsidP="00CA47C3">
      <w:pPr>
        <w:jc w:val="both"/>
        <w:rPr>
          <w:rFonts w:ascii="Abadi" w:hAnsi="Abadi"/>
          <w:sz w:val="21"/>
          <w:szCs w:val="21"/>
        </w:rPr>
      </w:pPr>
    </w:p>
    <w:p w14:paraId="4FDA8FE2" w14:textId="6822C36B" w:rsidR="00CA47C3" w:rsidRDefault="00CA47C3" w:rsidP="00CA47C3">
      <w:pPr>
        <w:jc w:val="both"/>
        <w:rPr>
          <w:rFonts w:ascii="Abadi" w:hAnsi="Abadi"/>
          <w:sz w:val="21"/>
          <w:szCs w:val="21"/>
        </w:rPr>
      </w:pPr>
      <w:r w:rsidRPr="00AA7107">
        <w:rPr>
          <w:rFonts w:ascii="Abadi" w:hAnsi="Abadi"/>
          <w:sz w:val="21"/>
          <w:szCs w:val="21"/>
        </w:rPr>
        <w:t>- La demanda de servicios para paliativos excede lo que puedan proporcionar los equipos de especialistas por sí solos, los cuidados mejoran la vida de los pacientes y sus familias, que se enfrentan a los retos asociados a las enfermedades potenciales letales y a los graves sufrimientos relacionados con la salud, incluidos entre otros, los cuidados al final de la vida, como se los comentaba, la prestación de unos cuidados óptimos en los países, requiere un entorno normativo favorable, comunidades empoderadas, investigación, acceso a los medicamentos, sistemas sólidos de educación y formación para los trabajadores y profesionales de los cuidados paliativos, y atención a la calidad de los servicios.</w:t>
      </w:r>
    </w:p>
    <w:p w14:paraId="18AFDCDB" w14:textId="77777777" w:rsidR="009E261E" w:rsidRPr="00AA7107" w:rsidRDefault="009E261E" w:rsidP="00CA47C3">
      <w:pPr>
        <w:jc w:val="both"/>
        <w:rPr>
          <w:rFonts w:ascii="Abadi" w:hAnsi="Abadi"/>
          <w:sz w:val="21"/>
          <w:szCs w:val="21"/>
        </w:rPr>
      </w:pPr>
    </w:p>
    <w:p w14:paraId="0ECEB429" w14:textId="77777777" w:rsidR="00CA47C3" w:rsidRPr="00AA7107" w:rsidRDefault="00CA47C3" w:rsidP="00CA47C3">
      <w:pPr>
        <w:jc w:val="both"/>
        <w:rPr>
          <w:rFonts w:ascii="Abadi" w:hAnsi="Abadi"/>
          <w:sz w:val="21"/>
          <w:szCs w:val="21"/>
        </w:rPr>
      </w:pPr>
      <w:r w:rsidRPr="00AA7107">
        <w:rPr>
          <w:rFonts w:ascii="Abadi" w:hAnsi="Abadi"/>
          <w:sz w:val="21"/>
          <w:szCs w:val="21"/>
        </w:rPr>
        <w:t>- Los cuidados son un derecho humano y un imperativo moral de todos los sistemas de salud, estos cuidados no son sólo para ayudar a una persona que tiene cáncer, como yo se los comentaba, sino también para las personas que sufren de tantas enfermedades, como son las enfermedades cardiacas avanzadas, respiratorias crónicas, sida, insuficiencia renal, enfermedades hepáticas crónicas, esclerosis múltiple, parkinson, enfermedades neurológicas avanzadas o enfermedades que incapaciten y hagan depender al paciente de sus familiares, porque con estos cuidados no solamente se beneficia a los que los han padeciendo, se beneficia también a sus familiares, porque también los incapacitan a ellos y también ellos sufren al ver el dolor de sus pacientes, de sus familiares.</w:t>
      </w:r>
    </w:p>
    <w:p w14:paraId="2AE24151" w14:textId="2DB87023" w:rsidR="00CA47C3" w:rsidRDefault="00CA47C3" w:rsidP="00CA47C3">
      <w:pPr>
        <w:jc w:val="both"/>
        <w:rPr>
          <w:rFonts w:ascii="Abadi" w:hAnsi="Abadi"/>
          <w:sz w:val="21"/>
          <w:szCs w:val="21"/>
        </w:rPr>
      </w:pPr>
      <w:r w:rsidRPr="00AA7107">
        <w:rPr>
          <w:rFonts w:ascii="Abadi" w:hAnsi="Abadi"/>
          <w:sz w:val="21"/>
          <w:szCs w:val="21"/>
        </w:rPr>
        <w:lastRenderedPageBreak/>
        <w:t>- Este tipo de tratamiento ayudan a que mejoren la calidad de vida, no sólo de los pacientes cómo se los comentaba, porque son progresivas e incurables, se puede dar atención en casa y cuando se requiera, también se puede dar en un hospital, le ayuda a sobrellevar los síntomas de la enfermedad y se brinda apoyo emocional a los familiares.</w:t>
      </w:r>
    </w:p>
    <w:p w14:paraId="17B2B97F" w14:textId="77777777" w:rsidR="009E261E" w:rsidRPr="00AA7107" w:rsidRDefault="009E261E" w:rsidP="00CA47C3">
      <w:pPr>
        <w:jc w:val="both"/>
        <w:rPr>
          <w:rFonts w:ascii="Abadi" w:hAnsi="Abadi"/>
          <w:sz w:val="21"/>
          <w:szCs w:val="21"/>
        </w:rPr>
      </w:pPr>
    </w:p>
    <w:p w14:paraId="44F091A6" w14:textId="3E82FB41" w:rsidR="00CA47C3" w:rsidRDefault="00CA47C3" w:rsidP="00CA47C3">
      <w:pPr>
        <w:jc w:val="both"/>
        <w:rPr>
          <w:rFonts w:ascii="Abadi" w:hAnsi="Abadi"/>
          <w:sz w:val="21"/>
          <w:szCs w:val="21"/>
        </w:rPr>
      </w:pPr>
      <w:r w:rsidRPr="00AA7107">
        <w:rPr>
          <w:rFonts w:ascii="Abadi" w:hAnsi="Abadi"/>
          <w:sz w:val="21"/>
          <w:szCs w:val="21"/>
        </w:rPr>
        <w:t xml:space="preserve">- En el sector salud del estado de Guanajuato, se brinda el servicio de cuidados paliativos sólo en algunos hospitales de segundo y tercer nivel de atención, en el cual un responsable es solamente uno al servicio de estos cuidados. </w:t>
      </w:r>
    </w:p>
    <w:p w14:paraId="41EDB658" w14:textId="77777777" w:rsidR="009E261E" w:rsidRPr="00AA7107" w:rsidRDefault="009E261E" w:rsidP="00CA47C3">
      <w:pPr>
        <w:jc w:val="both"/>
        <w:rPr>
          <w:rFonts w:ascii="Abadi" w:hAnsi="Abadi"/>
          <w:sz w:val="21"/>
          <w:szCs w:val="21"/>
        </w:rPr>
      </w:pPr>
    </w:p>
    <w:p w14:paraId="5C10633F" w14:textId="57791D9E" w:rsidR="00CA47C3" w:rsidRDefault="00CA47C3" w:rsidP="00CA47C3">
      <w:pPr>
        <w:jc w:val="both"/>
        <w:rPr>
          <w:rFonts w:ascii="Abadi" w:hAnsi="Abadi"/>
          <w:sz w:val="21"/>
          <w:szCs w:val="21"/>
        </w:rPr>
      </w:pPr>
      <w:r w:rsidRPr="00AA7107">
        <w:rPr>
          <w:rFonts w:ascii="Abadi" w:hAnsi="Abadi"/>
          <w:sz w:val="21"/>
          <w:szCs w:val="21"/>
        </w:rPr>
        <w:t xml:space="preserve">- Según las normas establecidas de la OMS, se debe contar con el apoyo de todos los hospitales y unidades de primer nivel de atención para poder brindar apoyo, tanto al paciente y repito, también, a los familiares, se debe contar con infraestructura personal, se debe de contar también con personal capacitado y se debe de ser capacitado en las siguientes áreas: como son médicos y enfermeras paliativitas y de ellos tenemos aquí a una doctora, que apoya incondicionalmente en Irapuato, y que se encuentra con nosotros ahorita en Pleno, la doctora Vanessa. </w:t>
      </w:r>
    </w:p>
    <w:p w14:paraId="5C721375" w14:textId="77777777" w:rsidR="009E261E" w:rsidRPr="00AA7107" w:rsidRDefault="009E261E" w:rsidP="00CA47C3">
      <w:pPr>
        <w:jc w:val="both"/>
        <w:rPr>
          <w:rFonts w:ascii="Abadi" w:hAnsi="Abadi"/>
          <w:sz w:val="21"/>
          <w:szCs w:val="21"/>
        </w:rPr>
      </w:pPr>
    </w:p>
    <w:p w14:paraId="7BBC4ED6" w14:textId="1F616046" w:rsidR="00CA47C3" w:rsidRDefault="00CA47C3" w:rsidP="00CA47C3">
      <w:pPr>
        <w:jc w:val="both"/>
        <w:rPr>
          <w:rFonts w:ascii="Abadi" w:hAnsi="Abadi"/>
          <w:sz w:val="21"/>
          <w:szCs w:val="21"/>
        </w:rPr>
      </w:pPr>
      <w:r w:rsidRPr="00AA7107">
        <w:rPr>
          <w:rFonts w:ascii="Abadi" w:hAnsi="Abadi"/>
          <w:sz w:val="21"/>
          <w:szCs w:val="21"/>
        </w:rPr>
        <w:t xml:space="preserve">- Doctora muchísimas gracias por todo su apoyo y muchísimas gracias por hacer posible que podamos cuidar de este tipo de pacientes, ¡muchas gracias! </w:t>
      </w:r>
    </w:p>
    <w:p w14:paraId="75B71F10" w14:textId="77777777" w:rsidR="009E261E" w:rsidRPr="00AA7107" w:rsidRDefault="009E261E" w:rsidP="00CA47C3">
      <w:pPr>
        <w:jc w:val="both"/>
        <w:rPr>
          <w:rFonts w:ascii="Abadi" w:hAnsi="Abadi"/>
          <w:sz w:val="21"/>
          <w:szCs w:val="21"/>
        </w:rPr>
      </w:pPr>
    </w:p>
    <w:p w14:paraId="0229579D" w14:textId="6687E653" w:rsidR="00CA47C3" w:rsidRDefault="00CA47C3" w:rsidP="00CA47C3">
      <w:pPr>
        <w:jc w:val="both"/>
        <w:rPr>
          <w:rFonts w:ascii="Abadi" w:hAnsi="Abadi"/>
          <w:sz w:val="21"/>
          <w:szCs w:val="21"/>
        </w:rPr>
      </w:pPr>
      <w:r w:rsidRPr="00AA7107">
        <w:rPr>
          <w:rFonts w:ascii="Abadi" w:hAnsi="Abadi"/>
          <w:sz w:val="21"/>
          <w:szCs w:val="21"/>
        </w:rPr>
        <w:t>- A este tipo de doctora se necesita y que casi no las hay, se necesita nutrición, rehabilitación, psicología, curaciones personales, personal administrativo para gestionar los siguientes trámites, cuando su defecto se refiere la gestión del trámite de voluntad anticipada, así como los certificados de defunción a traslados, farmacias para medicamentos del grupo uno denominados opioides, las cuales son básicos para atención y tratamiento de esos dolores tan fuertes que padecen</w:t>
      </w:r>
      <w:r w:rsidR="009E261E">
        <w:rPr>
          <w:rFonts w:ascii="Abadi" w:hAnsi="Abadi"/>
          <w:sz w:val="21"/>
          <w:szCs w:val="21"/>
        </w:rPr>
        <w:t>.</w:t>
      </w:r>
    </w:p>
    <w:p w14:paraId="069BDEE3" w14:textId="77777777" w:rsidR="009E261E" w:rsidRPr="00AA7107" w:rsidRDefault="009E261E" w:rsidP="00CA47C3">
      <w:pPr>
        <w:jc w:val="both"/>
        <w:rPr>
          <w:rFonts w:ascii="Abadi" w:hAnsi="Abadi"/>
          <w:sz w:val="21"/>
          <w:szCs w:val="21"/>
        </w:rPr>
      </w:pPr>
    </w:p>
    <w:p w14:paraId="0712DCDC" w14:textId="24C2710D" w:rsidR="00CA47C3" w:rsidRDefault="00CA47C3" w:rsidP="00CA47C3">
      <w:pPr>
        <w:jc w:val="both"/>
        <w:rPr>
          <w:rFonts w:ascii="Abadi" w:hAnsi="Abadi"/>
          <w:sz w:val="21"/>
          <w:szCs w:val="21"/>
        </w:rPr>
      </w:pPr>
      <w:r w:rsidRPr="00AA7107">
        <w:rPr>
          <w:rFonts w:ascii="Abadi" w:hAnsi="Abadi"/>
          <w:sz w:val="21"/>
          <w:szCs w:val="21"/>
        </w:rPr>
        <w:t xml:space="preserve">- La presente iniciativa contiene los impactos de evaluación legislativa que menciona el artículo 209 de nuestra Ley Legislativa, de nuestra Ley Orgánica Legislativa. </w:t>
      </w:r>
    </w:p>
    <w:p w14:paraId="5277B73E" w14:textId="77777777" w:rsidR="009E261E" w:rsidRPr="00AA7107" w:rsidRDefault="009E261E" w:rsidP="00CA47C3">
      <w:pPr>
        <w:jc w:val="both"/>
        <w:rPr>
          <w:rFonts w:ascii="Abadi" w:hAnsi="Abadi"/>
          <w:sz w:val="21"/>
          <w:szCs w:val="21"/>
        </w:rPr>
      </w:pPr>
    </w:p>
    <w:p w14:paraId="79AF8796" w14:textId="55BDB637" w:rsidR="00CA47C3" w:rsidRDefault="00CA47C3" w:rsidP="00CA47C3">
      <w:pPr>
        <w:jc w:val="both"/>
        <w:rPr>
          <w:rFonts w:ascii="Abadi" w:hAnsi="Abadi"/>
          <w:sz w:val="21"/>
          <w:szCs w:val="21"/>
        </w:rPr>
      </w:pPr>
      <w:r w:rsidRPr="00AA7107">
        <w:rPr>
          <w:rFonts w:ascii="Abadi" w:hAnsi="Abadi"/>
          <w:sz w:val="21"/>
          <w:szCs w:val="21"/>
        </w:rPr>
        <w:t xml:space="preserve">- Por lo anteriormente expuesto y fundado, me permito someter a la consideración de esta Honorable Asamblea la presente iniciativa y </w:t>
      </w:r>
      <w:r w:rsidRPr="00AA7107">
        <w:rPr>
          <w:rFonts w:ascii="Abadi" w:hAnsi="Abadi"/>
          <w:sz w:val="21"/>
          <w:szCs w:val="21"/>
        </w:rPr>
        <w:t>que no desconozcamos este problema, si este día estamos hablando sobre el tema de cáncer, sobre el tema de ese apoyo a las mujeres y a todos los ciudadanos, hagamos lo de esta manera, en cuestiones de salud.</w:t>
      </w:r>
    </w:p>
    <w:p w14:paraId="6A043D03" w14:textId="77777777" w:rsidR="009E261E" w:rsidRPr="00AA7107" w:rsidRDefault="009E261E" w:rsidP="00CA47C3">
      <w:pPr>
        <w:jc w:val="both"/>
        <w:rPr>
          <w:rFonts w:ascii="Abadi" w:hAnsi="Abadi"/>
          <w:b/>
          <w:bCs/>
          <w:sz w:val="21"/>
          <w:szCs w:val="21"/>
        </w:rPr>
      </w:pPr>
    </w:p>
    <w:p w14:paraId="5DF18802" w14:textId="77777777" w:rsidR="00CA47C3" w:rsidRPr="00AA7107" w:rsidRDefault="00CA47C3" w:rsidP="00CA47C3">
      <w:pPr>
        <w:jc w:val="both"/>
        <w:rPr>
          <w:rFonts w:ascii="Abadi" w:hAnsi="Abadi"/>
          <w:sz w:val="21"/>
          <w:szCs w:val="21"/>
        </w:rPr>
      </w:pPr>
      <w:r w:rsidRPr="00AA7107">
        <w:rPr>
          <w:rFonts w:ascii="Abadi" w:hAnsi="Abadi"/>
          <w:sz w:val="21"/>
          <w:szCs w:val="21"/>
        </w:rPr>
        <w:t>- Muchísimas gracias.</w:t>
      </w:r>
    </w:p>
    <w:p w14:paraId="15FB8F78" w14:textId="77777777" w:rsidR="00CA47C3" w:rsidRPr="00AA7107" w:rsidRDefault="00CA47C3" w:rsidP="00CA47C3">
      <w:pPr>
        <w:jc w:val="both"/>
        <w:rPr>
          <w:rFonts w:ascii="Abadi" w:hAnsi="Abadi"/>
          <w:sz w:val="21"/>
          <w:szCs w:val="21"/>
        </w:rPr>
      </w:pPr>
    </w:p>
    <w:p w14:paraId="6EBBA0CB" w14:textId="3FA57E8C" w:rsidR="00CA47C3" w:rsidRDefault="00CA47C3" w:rsidP="00CA47C3">
      <w:pPr>
        <w:jc w:val="both"/>
        <w:rPr>
          <w:rFonts w:ascii="Abadi" w:hAnsi="Abadi"/>
          <w:sz w:val="21"/>
          <w:szCs w:val="21"/>
        </w:rPr>
      </w:pPr>
      <w:r w:rsidRPr="00AA7107">
        <w:rPr>
          <w:rFonts w:ascii="Abadi" w:hAnsi="Abadi"/>
          <w:b/>
          <w:bCs/>
          <w:sz w:val="21"/>
          <w:szCs w:val="21"/>
        </w:rPr>
        <w:tab/>
        <w:t>- La Presidencia.-</w:t>
      </w:r>
      <w:r w:rsidRPr="00AA7107">
        <w:rPr>
          <w:rFonts w:ascii="Abadi" w:hAnsi="Abadi"/>
          <w:sz w:val="21"/>
          <w:szCs w:val="21"/>
        </w:rPr>
        <w:t xml:space="preserve"> Muchas gracias diputada Irma Leticia González Sánchez.</w:t>
      </w:r>
    </w:p>
    <w:p w14:paraId="4AF48E43" w14:textId="77777777" w:rsidR="009E261E" w:rsidRPr="00AA7107" w:rsidRDefault="009E261E" w:rsidP="00CA47C3">
      <w:pPr>
        <w:jc w:val="both"/>
        <w:rPr>
          <w:rFonts w:ascii="Abadi" w:hAnsi="Abadi"/>
          <w:sz w:val="21"/>
          <w:szCs w:val="21"/>
        </w:rPr>
      </w:pPr>
    </w:p>
    <w:p w14:paraId="2F148069" w14:textId="77777777" w:rsidR="00CA47C3" w:rsidRPr="00AA7107" w:rsidRDefault="00CA47C3" w:rsidP="009E261E">
      <w:pPr>
        <w:ind w:left="426" w:right="425"/>
        <w:jc w:val="both"/>
        <w:rPr>
          <w:rFonts w:ascii="Abadi" w:hAnsi="Abadi"/>
          <w:b/>
          <w:bCs/>
          <w:i/>
          <w:iCs/>
          <w:sz w:val="21"/>
          <w:szCs w:val="21"/>
          <w:u w:val="single"/>
        </w:rPr>
      </w:pPr>
      <w:r w:rsidRPr="00AA7107">
        <w:rPr>
          <w:rFonts w:ascii="Abadi" w:hAnsi="Abadi"/>
          <w:b/>
          <w:bCs/>
          <w:i/>
          <w:iCs/>
          <w:sz w:val="21"/>
          <w:szCs w:val="21"/>
          <w:u w:val="single"/>
        </w:rPr>
        <w:t>Se turna a la Comisión de Salud Pública con fundamento en el artículo 118 fracción primera de nuestra Ley Orgánica para su estudio y dictamen.</w:t>
      </w:r>
    </w:p>
    <w:p w14:paraId="7D54A7DE" w14:textId="77777777" w:rsidR="008053D8" w:rsidRDefault="008053D8" w:rsidP="009E261E">
      <w:pPr>
        <w:autoSpaceDE w:val="0"/>
        <w:autoSpaceDN w:val="0"/>
        <w:adjustRightInd w:val="0"/>
        <w:ind w:left="426" w:right="425"/>
        <w:jc w:val="both"/>
        <w:rPr>
          <w:rFonts w:ascii="Abadi" w:hAnsi="Abadi" w:cs="ArialMT"/>
          <w:b/>
          <w:bCs/>
          <w:sz w:val="20"/>
          <w:szCs w:val="21"/>
        </w:rPr>
      </w:pPr>
    </w:p>
    <w:p w14:paraId="4BB63D7A" w14:textId="77777777" w:rsidR="00E462B6" w:rsidRPr="0028553C" w:rsidRDefault="00E462B6" w:rsidP="00E462B6">
      <w:pPr>
        <w:autoSpaceDE w:val="0"/>
        <w:autoSpaceDN w:val="0"/>
        <w:adjustRightInd w:val="0"/>
        <w:jc w:val="both"/>
        <w:rPr>
          <w:rFonts w:ascii="Abadi" w:hAnsi="Abadi" w:cs="Arial-BoldMT"/>
          <w:b/>
          <w:bCs/>
          <w:sz w:val="20"/>
          <w:szCs w:val="21"/>
        </w:rPr>
      </w:pPr>
    </w:p>
    <w:p w14:paraId="296142EB" w14:textId="77777777" w:rsidR="00E462B6" w:rsidRPr="0028553C" w:rsidRDefault="00E462B6" w:rsidP="00B7720B">
      <w:pPr>
        <w:pStyle w:val="Prrafodelista"/>
        <w:numPr>
          <w:ilvl w:val="0"/>
          <w:numId w:val="14"/>
        </w:numPr>
        <w:autoSpaceDE w:val="0"/>
        <w:autoSpaceDN w:val="0"/>
        <w:adjustRightInd w:val="0"/>
        <w:ind w:left="426"/>
        <w:contextualSpacing/>
        <w:jc w:val="both"/>
        <w:rPr>
          <w:rFonts w:ascii="Abadi" w:hAnsi="Abadi" w:cs="ArialMT"/>
          <w:b/>
          <w:bCs/>
          <w:sz w:val="20"/>
          <w:szCs w:val="21"/>
        </w:rPr>
      </w:pPr>
      <w:r w:rsidRPr="0028553C">
        <w:rPr>
          <w:rFonts w:ascii="Abadi" w:hAnsi="Abadi" w:cs="ArialMT"/>
          <w:b/>
          <w:bCs/>
          <w:sz w:val="20"/>
          <w:szCs w:val="21"/>
        </w:rPr>
        <w:t>PRESENTACIÓN DE LA INICIATIVA POR LA QUE SE ADICIONAN DIVERSAS DISPOSICIONES A LA LEY DE INSTITUCIONES Y PROCEDIMIENTOS ELECTORALES PARA EL ESTADO DE GUANAJUATO Y A LA LEY DE LOS DERECHOS DE NIÑAS, NIÑOS Y ADOLESCENTES DEL ESTADO DE GUANAJUATO SUSCRITA POR DIPUTADA Y LOS DIPUTADOS INTEGRANTES DEL GRUPO PARLAMENTARIO DEL PARTIDO REVOLUCIONARIO INSTITUCIONAL.</w:t>
      </w:r>
    </w:p>
    <w:p w14:paraId="135103CC" w14:textId="678D2B68" w:rsidR="00E462B6" w:rsidRDefault="00E462B6" w:rsidP="00B7720B">
      <w:pPr>
        <w:autoSpaceDE w:val="0"/>
        <w:autoSpaceDN w:val="0"/>
        <w:adjustRightInd w:val="0"/>
        <w:ind w:left="426"/>
        <w:jc w:val="both"/>
        <w:rPr>
          <w:rFonts w:ascii="Abadi" w:hAnsi="Abadi" w:cs="ArialMT"/>
          <w:b/>
          <w:bCs/>
          <w:sz w:val="20"/>
          <w:szCs w:val="21"/>
        </w:rPr>
      </w:pPr>
    </w:p>
    <w:p w14:paraId="2DC72FAA" w14:textId="4D7C6266" w:rsidR="00AB674B" w:rsidRDefault="00AB674B" w:rsidP="00E462B6">
      <w:pPr>
        <w:autoSpaceDE w:val="0"/>
        <w:autoSpaceDN w:val="0"/>
        <w:adjustRightInd w:val="0"/>
        <w:jc w:val="both"/>
        <w:rPr>
          <w:rFonts w:ascii="Abadi" w:hAnsi="Abadi" w:cs="ArialMT"/>
          <w:b/>
          <w:bCs/>
          <w:sz w:val="20"/>
          <w:szCs w:val="21"/>
        </w:rPr>
      </w:pPr>
    </w:p>
    <w:p w14:paraId="0EFA0346" w14:textId="77777777" w:rsidR="00306DA7" w:rsidRDefault="00306DA7" w:rsidP="00306DA7">
      <w:pPr>
        <w:autoSpaceDE w:val="0"/>
        <w:autoSpaceDN w:val="0"/>
        <w:adjustRightInd w:val="0"/>
        <w:jc w:val="both"/>
        <w:rPr>
          <w:rFonts w:ascii="Abadi" w:hAnsi="Abadi" w:cs="Arial-BoldMT"/>
          <w:b/>
          <w:bCs/>
          <w:sz w:val="21"/>
          <w:szCs w:val="21"/>
        </w:rPr>
      </w:pPr>
      <w:r w:rsidRPr="00ED26A2">
        <w:rPr>
          <w:rFonts w:ascii="Abadi" w:hAnsi="Abadi" w:cs="Arial-BoldMT"/>
          <w:b/>
          <w:bCs/>
          <w:sz w:val="21"/>
          <w:szCs w:val="21"/>
        </w:rPr>
        <w:t>INICIATIVA CON PROYECTO DE DECRETO POR EL QUE SE ADICIONA</w:t>
      </w:r>
      <w:r>
        <w:rPr>
          <w:rFonts w:ascii="Abadi" w:hAnsi="Abadi" w:cs="Arial-BoldMT"/>
          <w:b/>
          <w:bCs/>
          <w:sz w:val="21"/>
          <w:szCs w:val="21"/>
        </w:rPr>
        <w:t xml:space="preserve"> </w:t>
      </w:r>
      <w:r w:rsidRPr="00ED26A2">
        <w:rPr>
          <w:rFonts w:ascii="Abadi" w:hAnsi="Abadi" w:cs="Arial-BoldMT"/>
          <w:b/>
          <w:bCs/>
          <w:sz w:val="21"/>
          <w:szCs w:val="21"/>
        </w:rPr>
        <w:t>LOS PÁRRAFO SÉPTIMO Y</w:t>
      </w:r>
      <w:r>
        <w:rPr>
          <w:rFonts w:ascii="Abadi" w:hAnsi="Abadi" w:cs="Arial-BoldMT"/>
          <w:b/>
          <w:bCs/>
          <w:sz w:val="21"/>
          <w:szCs w:val="21"/>
        </w:rPr>
        <w:t xml:space="preserve"> </w:t>
      </w:r>
      <w:r w:rsidRPr="00ED26A2">
        <w:rPr>
          <w:rFonts w:ascii="Abadi" w:hAnsi="Abadi" w:cs="Arial-BoldMT"/>
          <w:b/>
          <w:bCs/>
          <w:sz w:val="21"/>
          <w:szCs w:val="21"/>
        </w:rPr>
        <w:t>OCTAVO AL ARTÍCULO 176 Y UN SEGUNDO</w:t>
      </w:r>
      <w:r>
        <w:rPr>
          <w:rFonts w:ascii="Abadi" w:hAnsi="Abadi" w:cs="Arial-BoldMT"/>
          <w:b/>
          <w:bCs/>
          <w:sz w:val="21"/>
          <w:szCs w:val="21"/>
        </w:rPr>
        <w:t xml:space="preserve"> </w:t>
      </w:r>
      <w:r w:rsidRPr="00ED26A2">
        <w:rPr>
          <w:rFonts w:ascii="Abadi" w:hAnsi="Abadi" w:cs="Arial-BoldMT"/>
          <w:b/>
          <w:bCs/>
          <w:sz w:val="21"/>
          <w:szCs w:val="21"/>
        </w:rPr>
        <w:t>PÁRRAFO AL ARTÍCULO 199 A LA LEY DE</w:t>
      </w:r>
      <w:r>
        <w:rPr>
          <w:rFonts w:ascii="Abadi" w:hAnsi="Abadi" w:cs="Arial-BoldMT"/>
          <w:b/>
          <w:bCs/>
          <w:sz w:val="21"/>
          <w:szCs w:val="21"/>
        </w:rPr>
        <w:t xml:space="preserve"> </w:t>
      </w:r>
      <w:r w:rsidRPr="00ED26A2">
        <w:rPr>
          <w:rFonts w:ascii="Abadi" w:hAnsi="Abadi" w:cs="Arial-BoldMT"/>
          <w:b/>
          <w:bCs/>
          <w:sz w:val="21"/>
          <w:szCs w:val="21"/>
        </w:rPr>
        <w:t>INSTITUCIONES Y</w:t>
      </w:r>
      <w:r>
        <w:rPr>
          <w:rFonts w:ascii="Abadi" w:hAnsi="Abadi" w:cs="Arial-BoldMT"/>
          <w:b/>
          <w:bCs/>
          <w:sz w:val="21"/>
          <w:szCs w:val="21"/>
        </w:rPr>
        <w:t xml:space="preserve"> </w:t>
      </w:r>
      <w:r w:rsidRPr="00ED26A2">
        <w:rPr>
          <w:rFonts w:ascii="Abadi" w:hAnsi="Abadi" w:cs="Arial-BoldMT"/>
          <w:b/>
          <w:bCs/>
          <w:sz w:val="21"/>
          <w:szCs w:val="21"/>
        </w:rPr>
        <w:t>PROCEDIMIENTOS ELECTORALES PARA EL ESTADO DE</w:t>
      </w:r>
      <w:r>
        <w:rPr>
          <w:rFonts w:ascii="Abadi" w:hAnsi="Abadi" w:cs="Arial-BoldMT"/>
          <w:b/>
          <w:bCs/>
          <w:sz w:val="21"/>
          <w:szCs w:val="21"/>
        </w:rPr>
        <w:t xml:space="preserve"> </w:t>
      </w:r>
      <w:r w:rsidRPr="00ED26A2">
        <w:rPr>
          <w:rFonts w:ascii="Abadi" w:hAnsi="Abadi" w:cs="Arial-BoldMT"/>
          <w:b/>
          <w:bCs/>
          <w:sz w:val="21"/>
          <w:szCs w:val="21"/>
        </w:rPr>
        <w:t>GUANAJUATO, PARA QUE LA PERSONA O IMAGEN DE LAS NIÑAS,</w:t>
      </w:r>
      <w:r>
        <w:rPr>
          <w:rFonts w:ascii="Abadi" w:hAnsi="Abadi" w:cs="Arial-BoldMT"/>
          <w:b/>
          <w:bCs/>
          <w:sz w:val="21"/>
          <w:szCs w:val="21"/>
        </w:rPr>
        <w:t xml:space="preserve"> </w:t>
      </w:r>
      <w:r w:rsidRPr="00ED26A2">
        <w:rPr>
          <w:rFonts w:ascii="Abadi" w:hAnsi="Abadi" w:cs="Arial-BoldMT"/>
          <w:b/>
          <w:bCs/>
          <w:sz w:val="21"/>
          <w:szCs w:val="21"/>
        </w:rPr>
        <w:t>NIÑOS Y ADOLESCENTES NO SE UTILICEN EN LOS ACTOS DE</w:t>
      </w:r>
      <w:r>
        <w:rPr>
          <w:rFonts w:ascii="Abadi" w:hAnsi="Abadi" w:cs="Arial-BoldMT"/>
          <w:b/>
          <w:bCs/>
          <w:sz w:val="21"/>
          <w:szCs w:val="21"/>
        </w:rPr>
        <w:t xml:space="preserve"> </w:t>
      </w:r>
      <w:r w:rsidRPr="00ED26A2">
        <w:rPr>
          <w:rFonts w:ascii="Abadi" w:hAnsi="Abadi" w:cs="Arial-BoldMT"/>
          <w:b/>
          <w:bCs/>
          <w:sz w:val="21"/>
          <w:szCs w:val="21"/>
        </w:rPr>
        <w:t>PRECAMPAÑA, CAMPAÑA Y PROPAGANDA ELECTORAL EN EL</w:t>
      </w:r>
      <w:r>
        <w:rPr>
          <w:rFonts w:ascii="Abadi" w:hAnsi="Abadi" w:cs="Arial-BoldMT"/>
          <w:b/>
          <w:bCs/>
          <w:sz w:val="21"/>
          <w:szCs w:val="21"/>
        </w:rPr>
        <w:t xml:space="preserve"> </w:t>
      </w:r>
      <w:r w:rsidRPr="00ED26A2">
        <w:rPr>
          <w:rFonts w:ascii="Abadi" w:hAnsi="Abadi" w:cs="Arial-BoldMT"/>
          <w:b/>
          <w:bCs/>
          <w:sz w:val="21"/>
          <w:szCs w:val="21"/>
        </w:rPr>
        <w:t>PROCESO ELECTORAL, SIN QUE MEDIE POR ESCRITO EL</w:t>
      </w:r>
      <w:r>
        <w:rPr>
          <w:rFonts w:ascii="Abadi" w:hAnsi="Abadi" w:cs="Arial-BoldMT"/>
          <w:b/>
          <w:bCs/>
          <w:sz w:val="21"/>
          <w:szCs w:val="21"/>
        </w:rPr>
        <w:t xml:space="preserve"> </w:t>
      </w:r>
      <w:r w:rsidRPr="00ED26A2">
        <w:rPr>
          <w:rFonts w:ascii="Abadi" w:hAnsi="Abadi" w:cs="Arial-BoldMT"/>
          <w:b/>
          <w:bCs/>
          <w:sz w:val="21"/>
          <w:szCs w:val="21"/>
        </w:rPr>
        <w:t>CONSENTIMIENTO DE LA MADRE, DEL PADRE, TUTOR O QUIEN</w:t>
      </w:r>
      <w:r>
        <w:rPr>
          <w:rFonts w:ascii="Abadi" w:hAnsi="Abadi" w:cs="Arial-BoldMT"/>
          <w:b/>
          <w:bCs/>
          <w:sz w:val="21"/>
          <w:szCs w:val="21"/>
        </w:rPr>
        <w:t xml:space="preserve"> </w:t>
      </w:r>
      <w:r w:rsidRPr="00ED26A2">
        <w:rPr>
          <w:rFonts w:ascii="Abadi" w:hAnsi="Abadi" w:cs="Arial-BoldMT"/>
          <w:b/>
          <w:bCs/>
          <w:sz w:val="21"/>
          <w:szCs w:val="21"/>
        </w:rPr>
        <w:t>EJERZA LA PATRIA POTESTAD Y LA OPINION INFORMADA DE LA</w:t>
      </w:r>
      <w:r>
        <w:rPr>
          <w:rFonts w:ascii="Abadi" w:hAnsi="Abadi" w:cs="Arial-BoldMT"/>
          <w:b/>
          <w:bCs/>
          <w:sz w:val="21"/>
          <w:szCs w:val="21"/>
        </w:rPr>
        <w:t xml:space="preserve"> </w:t>
      </w:r>
      <w:r w:rsidRPr="00ED26A2">
        <w:rPr>
          <w:rFonts w:ascii="Abadi" w:hAnsi="Abadi" w:cs="Arial-BoldMT"/>
          <w:b/>
          <w:bCs/>
          <w:sz w:val="21"/>
          <w:szCs w:val="21"/>
        </w:rPr>
        <w:t>PERSONA MENOR DE 18 AÑOS, ASÍ COMO LA ADICIÓN DE UN</w:t>
      </w:r>
      <w:r>
        <w:rPr>
          <w:rFonts w:ascii="Abadi" w:hAnsi="Abadi" w:cs="Arial-BoldMT"/>
          <w:b/>
          <w:bCs/>
          <w:sz w:val="21"/>
          <w:szCs w:val="21"/>
        </w:rPr>
        <w:t xml:space="preserve"> </w:t>
      </w:r>
      <w:r w:rsidRPr="00ED26A2">
        <w:rPr>
          <w:rFonts w:ascii="Abadi" w:hAnsi="Abadi" w:cs="Arial-BoldMT"/>
          <w:b/>
          <w:bCs/>
          <w:sz w:val="21"/>
          <w:szCs w:val="21"/>
        </w:rPr>
        <w:t>SEGUNDO PÁRRAFO AL ARTÍCULO 71 DE LA LEY DE LOS DERECHOS</w:t>
      </w:r>
      <w:r>
        <w:rPr>
          <w:rFonts w:ascii="Abadi" w:hAnsi="Abadi" w:cs="Arial-BoldMT"/>
          <w:b/>
          <w:bCs/>
          <w:sz w:val="21"/>
          <w:szCs w:val="21"/>
        </w:rPr>
        <w:t xml:space="preserve"> </w:t>
      </w:r>
      <w:r w:rsidRPr="00ED26A2">
        <w:rPr>
          <w:rFonts w:ascii="Abadi" w:hAnsi="Abadi" w:cs="Arial-BoldMT"/>
          <w:b/>
          <w:bCs/>
          <w:sz w:val="21"/>
          <w:szCs w:val="21"/>
        </w:rPr>
        <w:t>DE NIÑAS, NIÑOS Y ADOLESCENTES DEL ESTADO DE GUANAJUATO,</w:t>
      </w:r>
      <w:r>
        <w:rPr>
          <w:rFonts w:ascii="Abadi" w:hAnsi="Abadi" w:cs="Arial-BoldMT"/>
          <w:b/>
          <w:bCs/>
          <w:sz w:val="21"/>
          <w:szCs w:val="21"/>
        </w:rPr>
        <w:t xml:space="preserve"> </w:t>
      </w:r>
      <w:r w:rsidRPr="00ED26A2">
        <w:rPr>
          <w:rFonts w:ascii="Abadi" w:hAnsi="Abadi" w:cs="Arial-BoldMT"/>
          <w:b/>
          <w:bCs/>
          <w:sz w:val="21"/>
          <w:szCs w:val="21"/>
        </w:rPr>
        <w:t>A EFECTO DE PROTEGER EL DERECHO A LA INTIMIDAD DE LOS</w:t>
      </w:r>
      <w:r>
        <w:rPr>
          <w:rFonts w:ascii="Abadi" w:hAnsi="Abadi" w:cs="Arial-BoldMT"/>
          <w:b/>
          <w:bCs/>
          <w:sz w:val="21"/>
          <w:szCs w:val="21"/>
        </w:rPr>
        <w:t xml:space="preserve"> </w:t>
      </w:r>
      <w:r w:rsidRPr="00ED26A2">
        <w:rPr>
          <w:rFonts w:ascii="Abadi" w:hAnsi="Abadi" w:cs="Arial-BoldMT"/>
          <w:b/>
          <w:bCs/>
          <w:sz w:val="21"/>
          <w:szCs w:val="21"/>
        </w:rPr>
        <w:t>MENORES.</w:t>
      </w:r>
    </w:p>
    <w:p w14:paraId="285C41D7" w14:textId="77777777" w:rsidR="00306DA7" w:rsidRPr="00ED26A2" w:rsidRDefault="00306DA7" w:rsidP="00306DA7">
      <w:pPr>
        <w:autoSpaceDE w:val="0"/>
        <w:autoSpaceDN w:val="0"/>
        <w:adjustRightInd w:val="0"/>
        <w:jc w:val="both"/>
        <w:rPr>
          <w:rFonts w:ascii="Abadi" w:hAnsi="Abadi" w:cs="Arial-BoldMT"/>
          <w:b/>
          <w:bCs/>
          <w:sz w:val="21"/>
          <w:szCs w:val="21"/>
        </w:rPr>
      </w:pPr>
    </w:p>
    <w:p w14:paraId="76568B6D" w14:textId="77777777" w:rsidR="00306DA7" w:rsidRPr="00ED26A2" w:rsidRDefault="00306DA7" w:rsidP="00306DA7">
      <w:pPr>
        <w:autoSpaceDE w:val="0"/>
        <w:autoSpaceDN w:val="0"/>
        <w:adjustRightInd w:val="0"/>
        <w:jc w:val="both"/>
        <w:rPr>
          <w:rFonts w:ascii="Abadi" w:hAnsi="Abadi" w:cs="Arial-BoldMT"/>
          <w:b/>
          <w:bCs/>
          <w:sz w:val="21"/>
          <w:szCs w:val="21"/>
        </w:rPr>
      </w:pPr>
      <w:r w:rsidRPr="00ED26A2">
        <w:rPr>
          <w:rFonts w:ascii="Abadi" w:hAnsi="Abadi" w:cs="Arial-BoldMT"/>
          <w:b/>
          <w:bCs/>
          <w:sz w:val="21"/>
          <w:szCs w:val="21"/>
        </w:rPr>
        <w:t>DIPUTADO MARTÍN LÓPEZ CAMACHO.</w:t>
      </w:r>
    </w:p>
    <w:p w14:paraId="712FC8E2" w14:textId="77777777" w:rsidR="00306DA7" w:rsidRPr="00ED26A2" w:rsidRDefault="00306DA7" w:rsidP="00306DA7">
      <w:pPr>
        <w:autoSpaceDE w:val="0"/>
        <w:autoSpaceDN w:val="0"/>
        <w:adjustRightInd w:val="0"/>
        <w:jc w:val="both"/>
        <w:rPr>
          <w:rFonts w:ascii="Abadi" w:hAnsi="Abadi" w:cs="Arial-BoldMT"/>
          <w:b/>
          <w:bCs/>
          <w:sz w:val="21"/>
          <w:szCs w:val="21"/>
        </w:rPr>
      </w:pPr>
      <w:r w:rsidRPr="00ED26A2">
        <w:rPr>
          <w:rFonts w:ascii="Abadi" w:hAnsi="Abadi" w:cs="Arial-BoldMT"/>
          <w:b/>
          <w:bCs/>
          <w:sz w:val="21"/>
          <w:szCs w:val="21"/>
        </w:rPr>
        <w:lastRenderedPageBreak/>
        <w:t>PRESIDENTE DEL CONGRESO DEL ESTADO LIBRE Y</w:t>
      </w:r>
    </w:p>
    <w:p w14:paraId="513A82B5" w14:textId="77777777" w:rsidR="00306DA7" w:rsidRPr="00ED26A2" w:rsidRDefault="00306DA7" w:rsidP="00306DA7">
      <w:pPr>
        <w:autoSpaceDE w:val="0"/>
        <w:autoSpaceDN w:val="0"/>
        <w:adjustRightInd w:val="0"/>
        <w:jc w:val="both"/>
        <w:rPr>
          <w:rFonts w:ascii="Abadi" w:hAnsi="Abadi" w:cs="Arial-BoldMT"/>
          <w:b/>
          <w:bCs/>
          <w:sz w:val="21"/>
          <w:szCs w:val="21"/>
        </w:rPr>
      </w:pPr>
      <w:r w:rsidRPr="00ED26A2">
        <w:rPr>
          <w:rFonts w:ascii="Abadi" w:hAnsi="Abadi" w:cs="Arial-BoldMT"/>
          <w:b/>
          <w:bCs/>
          <w:sz w:val="21"/>
          <w:szCs w:val="21"/>
        </w:rPr>
        <w:t>SOBERANO DE GUANAJUATO.</w:t>
      </w:r>
    </w:p>
    <w:p w14:paraId="4CB5364A" w14:textId="77777777" w:rsidR="00306DA7" w:rsidRPr="00ED26A2" w:rsidRDefault="00306DA7" w:rsidP="00306DA7">
      <w:pPr>
        <w:autoSpaceDE w:val="0"/>
        <w:autoSpaceDN w:val="0"/>
        <w:adjustRightInd w:val="0"/>
        <w:jc w:val="both"/>
        <w:rPr>
          <w:rFonts w:ascii="Abadi" w:hAnsi="Abadi" w:cs="Arial-BoldMT"/>
          <w:b/>
          <w:bCs/>
          <w:sz w:val="21"/>
          <w:szCs w:val="21"/>
        </w:rPr>
      </w:pPr>
      <w:r w:rsidRPr="00ED26A2">
        <w:rPr>
          <w:rFonts w:ascii="Abadi" w:hAnsi="Abadi" w:cs="Arial-BoldMT"/>
          <w:b/>
          <w:bCs/>
          <w:sz w:val="21"/>
          <w:szCs w:val="21"/>
        </w:rPr>
        <w:t>SEXAGÉSIMA QUINTA LEGISLATURA.</w:t>
      </w:r>
    </w:p>
    <w:p w14:paraId="5EF09B3C" w14:textId="77777777" w:rsidR="00306DA7" w:rsidRDefault="00306DA7" w:rsidP="00306DA7">
      <w:pPr>
        <w:autoSpaceDE w:val="0"/>
        <w:autoSpaceDN w:val="0"/>
        <w:adjustRightInd w:val="0"/>
        <w:jc w:val="both"/>
        <w:rPr>
          <w:rFonts w:ascii="Abadi" w:hAnsi="Abadi" w:cs="Arial-BoldMT"/>
          <w:b/>
          <w:bCs/>
          <w:sz w:val="21"/>
          <w:szCs w:val="21"/>
        </w:rPr>
      </w:pPr>
      <w:r w:rsidRPr="00ED26A2">
        <w:rPr>
          <w:rFonts w:ascii="Abadi" w:hAnsi="Abadi" w:cs="Arial-BoldMT"/>
          <w:b/>
          <w:bCs/>
          <w:sz w:val="21"/>
          <w:szCs w:val="21"/>
        </w:rPr>
        <w:t>PRESENTE</w:t>
      </w:r>
    </w:p>
    <w:p w14:paraId="4F802B48" w14:textId="77777777" w:rsidR="00306DA7" w:rsidRPr="00ED26A2" w:rsidRDefault="00306DA7" w:rsidP="00306DA7">
      <w:pPr>
        <w:autoSpaceDE w:val="0"/>
        <w:autoSpaceDN w:val="0"/>
        <w:adjustRightInd w:val="0"/>
        <w:jc w:val="both"/>
        <w:rPr>
          <w:rFonts w:ascii="Abadi" w:hAnsi="Abadi" w:cs="Arial-BoldMT"/>
          <w:b/>
          <w:bCs/>
          <w:sz w:val="21"/>
          <w:szCs w:val="21"/>
        </w:rPr>
      </w:pPr>
    </w:p>
    <w:p w14:paraId="2053AEA8" w14:textId="32A36713" w:rsidR="00306DA7" w:rsidRDefault="00306DA7" w:rsidP="00306DA7">
      <w:pPr>
        <w:autoSpaceDE w:val="0"/>
        <w:autoSpaceDN w:val="0"/>
        <w:adjustRightInd w:val="0"/>
        <w:jc w:val="both"/>
        <w:rPr>
          <w:rFonts w:ascii="Abadi" w:hAnsi="Abadi" w:cs="ArialMT"/>
          <w:sz w:val="21"/>
          <w:szCs w:val="21"/>
        </w:rPr>
      </w:pPr>
      <w:r w:rsidRPr="00ED26A2">
        <w:rPr>
          <w:rFonts w:ascii="Abadi" w:hAnsi="Abadi" w:cs="Arial-BoldMT"/>
          <w:b/>
          <w:bCs/>
          <w:sz w:val="21"/>
          <w:szCs w:val="21"/>
        </w:rPr>
        <w:t xml:space="preserve">GUSTAVO ADOLFO ALFARO REYES, </w:t>
      </w:r>
      <w:r w:rsidRPr="00ED26A2">
        <w:rPr>
          <w:rFonts w:ascii="Abadi" w:hAnsi="Abadi" w:cs="ArialMT"/>
          <w:sz w:val="21"/>
          <w:szCs w:val="21"/>
        </w:rPr>
        <w:t>proponente y quienes suscriben</w:t>
      </w:r>
      <w:r w:rsidRPr="00ED26A2">
        <w:rPr>
          <w:rFonts w:ascii="Abadi" w:hAnsi="Abadi" w:cs="Arial-BoldMT"/>
          <w:b/>
          <w:bCs/>
          <w:sz w:val="21"/>
          <w:szCs w:val="21"/>
        </w:rPr>
        <w:t>,</w:t>
      </w:r>
      <w:r>
        <w:rPr>
          <w:rFonts w:ascii="Abadi" w:hAnsi="Abadi" w:cs="Arial-BoldMT"/>
          <w:b/>
          <w:bCs/>
          <w:sz w:val="21"/>
          <w:szCs w:val="21"/>
        </w:rPr>
        <w:t xml:space="preserve"> </w:t>
      </w:r>
      <w:r w:rsidRPr="00ED26A2">
        <w:rPr>
          <w:rFonts w:ascii="Abadi" w:hAnsi="Abadi" w:cs="ArialMT"/>
          <w:sz w:val="21"/>
          <w:szCs w:val="21"/>
        </w:rPr>
        <w:t>Diputadas y Diputados integrantes de la LXV Legislatura del H. Congreso del</w:t>
      </w:r>
      <w:r>
        <w:rPr>
          <w:rFonts w:ascii="Abadi" w:hAnsi="Abadi" w:cs="Arial-BoldMT"/>
          <w:b/>
          <w:bCs/>
          <w:sz w:val="21"/>
          <w:szCs w:val="21"/>
        </w:rPr>
        <w:t xml:space="preserve"> </w:t>
      </w:r>
      <w:r w:rsidRPr="00ED26A2">
        <w:rPr>
          <w:rFonts w:ascii="Abadi" w:hAnsi="Abadi" w:cs="ArialMT"/>
          <w:sz w:val="21"/>
          <w:szCs w:val="21"/>
        </w:rPr>
        <w:t>Estado de Guanajuato y del Grupo Parlamentario del Partido Revolucionario</w:t>
      </w:r>
      <w:r>
        <w:rPr>
          <w:rFonts w:ascii="Abadi" w:hAnsi="Abadi" w:cs="Arial-BoldMT"/>
          <w:b/>
          <w:bCs/>
          <w:sz w:val="21"/>
          <w:szCs w:val="21"/>
        </w:rPr>
        <w:t xml:space="preserve"> </w:t>
      </w:r>
      <w:r w:rsidRPr="00ED26A2">
        <w:rPr>
          <w:rFonts w:ascii="Abadi" w:hAnsi="Abadi" w:cs="ArialMT"/>
          <w:sz w:val="21"/>
          <w:szCs w:val="21"/>
        </w:rPr>
        <w:t>Institucional l, con fundamento en lo dispuesto en la fracción II del artículo 56</w:t>
      </w:r>
      <w:r>
        <w:rPr>
          <w:rFonts w:ascii="Abadi" w:hAnsi="Abadi" w:cs="Arial-BoldMT"/>
          <w:b/>
          <w:bCs/>
          <w:sz w:val="21"/>
          <w:szCs w:val="21"/>
        </w:rPr>
        <w:t xml:space="preserve"> </w:t>
      </w:r>
      <w:r w:rsidRPr="00ED26A2">
        <w:rPr>
          <w:rFonts w:ascii="Abadi" w:hAnsi="Abadi" w:cs="ArialMT"/>
          <w:sz w:val="21"/>
          <w:szCs w:val="21"/>
        </w:rPr>
        <w:t>de la Constitución Política para el Estado de Guanajuato, así como en el</w:t>
      </w:r>
      <w:r w:rsidR="00CA47C3">
        <w:rPr>
          <w:rFonts w:ascii="Abadi" w:hAnsi="Abadi" w:cs="ArialMT"/>
          <w:sz w:val="21"/>
          <w:szCs w:val="21"/>
        </w:rPr>
        <w:t xml:space="preserve"> </w:t>
      </w:r>
      <w:r w:rsidRPr="00ED26A2">
        <w:rPr>
          <w:rFonts w:ascii="Abadi" w:hAnsi="Abadi" w:cs="ArialMT"/>
          <w:sz w:val="21"/>
          <w:szCs w:val="21"/>
        </w:rPr>
        <w:t>artículo 167, fracción II de la Ley Orgánica del Poder Legislativo del Estado</w:t>
      </w:r>
      <w:r>
        <w:rPr>
          <w:rFonts w:ascii="Abadi" w:hAnsi="Abadi" w:cs="ArialMT"/>
          <w:sz w:val="21"/>
          <w:szCs w:val="21"/>
        </w:rPr>
        <w:t xml:space="preserve"> </w:t>
      </w:r>
      <w:r w:rsidRPr="00ED26A2">
        <w:rPr>
          <w:rFonts w:ascii="Abadi" w:hAnsi="Abadi" w:cs="ArialMT"/>
          <w:sz w:val="21"/>
          <w:szCs w:val="21"/>
        </w:rPr>
        <w:t>de Guanajuato, someto a consideración del Pleno para su aprobación, la</w:t>
      </w:r>
      <w:r>
        <w:rPr>
          <w:rFonts w:ascii="Abadi" w:hAnsi="Abadi" w:cs="ArialMT"/>
          <w:sz w:val="21"/>
          <w:szCs w:val="21"/>
        </w:rPr>
        <w:t xml:space="preserve"> </w:t>
      </w:r>
      <w:r w:rsidRPr="00ED26A2">
        <w:rPr>
          <w:rFonts w:ascii="Abadi" w:hAnsi="Abadi" w:cs="ArialMT"/>
          <w:sz w:val="21"/>
          <w:szCs w:val="21"/>
        </w:rPr>
        <w:t xml:space="preserve">presente iniciativa con proyecto de Decreto que </w:t>
      </w:r>
      <w:r w:rsidRPr="00ED26A2">
        <w:rPr>
          <w:rFonts w:ascii="Abadi" w:hAnsi="Abadi" w:cs="Arial-BoldItalicMT"/>
          <w:b/>
          <w:bCs/>
          <w:i/>
          <w:iCs/>
          <w:sz w:val="21"/>
          <w:szCs w:val="21"/>
        </w:rPr>
        <w:t>adiciona un párrafo</w:t>
      </w:r>
      <w:r>
        <w:rPr>
          <w:rFonts w:ascii="Abadi" w:hAnsi="Abadi" w:cs="ArialMT"/>
          <w:sz w:val="21"/>
          <w:szCs w:val="21"/>
        </w:rPr>
        <w:t xml:space="preserve"> </w:t>
      </w:r>
      <w:r w:rsidRPr="00ED26A2">
        <w:rPr>
          <w:rFonts w:ascii="Abadi" w:hAnsi="Abadi" w:cs="Arial-BoldItalicMT"/>
          <w:b/>
          <w:bCs/>
          <w:i/>
          <w:iCs/>
          <w:sz w:val="21"/>
          <w:szCs w:val="21"/>
        </w:rPr>
        <w:t>séptimo al artículo 176 y un segundo párrafo al artículo 199 de la Ley de</w:t>
      </w:r>
      <w:r w:rsidR="00B7720B">
        <w:rPr>
          <w:rFonts w:ascii="Abadi" w:hAnsi="Abadi" w:cs="Arial-BoldItalicMT"/>
          <w:b/>
          <w:bCs/>
          <w:i/>
          <w:iCs/>
          <w:sz w:val="21"/>
          <w:szCs w:val="21"/>
        </w:rPr>
        <w:t xml:space="preserve"> </w:t>
      </w:r>
      <w:r w:rsidRPr="00ED26A2">
        <w:rPr>
          <w:rFonts w:ascii="Abadi" w:hAnsi="Abadi" w:cs="Arial-BoldItalicMT"/>
          <w:b/>
          <w:bCs/>
          <w:i/>
          <w:iCs/>
          <w:sz w:val="21"/>
          <w:szCs w:val="21"/>
        </w:rPr>
        <w:t>Instituciones y Procedimientos Electorales para el Estado de</w:t>
      </w:r>
      <w:r>
        <w:rPr>
          <w:rFonts w:ascii="Abadi" w:hAnsi="Abadi" w:cs="Arial-BoldItalicMT"/>
          <w:b/>
          <w:bCs/>
          <w:i/>
          <w:iCs/>
          <w:sz w:val="21"/>
          <w:szCs w:val="21"/>
        </w:rPr>
        <w:t xml:space="preserve"> </w:t>
      </w:r>
      <w:r w:rsidRPr="00ED26A2">
        <w:rPr>
          <w:rFonts w:ascii="Abadi" w:hAnsi="Abadi" w:cs="Arial-BoldItalicMT"/>
          <w:b/>
          <w:bCs/>
          <w:i/>
          <w:iCs/>
          <w:sz w:val="21"/>
          <w:szCs w:val="21"/>
        </w:rPr>
        <w:t>Guanajuato, para que la persona o imagen de las niñas, niños y</w:t>
      </w:r>
      <w:r>
        <w:rPr>
          <w:rFonts w:ascii="Abadi" w:hAnsi="Abadi" w:cs="Arial-BoldItalicMT"/>
          <w:b/>
          <w:bCs/>
          <w:i/>
          <w:iCs/>
          <w:sz w:val="21"/>
          <w:szCs w:val="21"/>
        </w:rPr>
        <w:t xml:space="preserve"> </w:t>
      </w:r>
      <w:r w:rsidRPr="00ED26A2">
        <w:rPr>
          <w:rFonts w:ascii="Abadi" w:hAnsi="Abadi" w:cs="Arial-BoldItalicMT"/>
          <w:b/>
          <w:bCs/>
          <w:i/>
          <w:iCs/>
          <w:sz w:val="21"/>
          <w:szCs w:val="21"/>
        </w:rPr>
        <w:t>adolescentes no se utilicen en los actos de campaña y propaganda</w:t>
      </w:r>
      <w:r w:rsidR="00B7720B">
        <w:rPr>
          <w:rFonts w:ascii="Abadi" w:hAnsi="Abadi" w:cs="Arial-BoldItalicMT"/>
          <w:b/>
          <w:bCs/>
          <w:i/>
          <w:iCs/>
          <w:sz w:val="21"/>
          <w:szCs w:val="21"/>
        </w:rPr>
        <w:t xml:space="preserve"> </w:t>
      </w:r>
      <w:r w:rsidRPr="00ED26A2">
        <w:rPr>
          <w:rFonts w:ascii="Abadi" w:hAnsi="Abadi" w:cs="Arial-BoldItalicMT"/>
          <w:b/>
          <w:bCs/>
          <w:i/>
          <w:iCs/>
          <w:sz w:val="21"/>
          <w:szCs w:val="21"/>
        </w:rPr>
        <w:t>electoral en el proceso electoral, sin que medie por escrito, el</w:t>
      </w:r>
      <w:r>
        <w:rPr>
          <w:rFonts w:ascii="Abadi" w:hAnsi="Abadi" w:cs="Arial-BoldItalicMT"/>
          <w:b/>
          <w:bCs/>
          <w:i/>
          <w:iCs/>
          <w:sz w:val="21"/>
          <w:szCs w:val="21"/>
        </w:rPr>
        <w:t xml:space="preserve"> </w:t>
      </w:r>
      <w:r w:rsidRPr="00ED26A2">
        <w:rPr>
          <w:rFonts w:ascii="Abadi" w:hAnsi="Abadi" w:cs="Arial-BoldItalicMT"/>
          <w:b/>
          <w:bCs/>
          <w:i/>
          <w:iCs/>
          <w:sz w:val="21"/>
          <w:szCs w:val="21"/>
        </w:rPr>
        <w:t>consentimiento de la madre, del padre, tutor o quien ejerza la patria</w:t>
      </w:r>
      <w:r>
        <w:rPr>
          <w:rFonts w:ascii="Abadi" w:hAnsi="Abadi" w:cs="Arial-BoldItalicMT"/>
          <w:b/>
          <w:bCs/>
          <w:i/>
          <w:iCs/>
          <w:sz w:val="21"/>
          <w:szCs w:val="21"/>
        </w:rPr>
        <w:t xml:space="preserve"> </w:t>
      </w:r>
      <w:r w:rsidRPr="00ED26A2">
        <w:rPr>
          <w:rFonts w:ascii="Abadi" w:hAnsi="Abadi" w:cs="Arial-BoldItalicMT"/>
          <w:b/>
          <w:bCs/>
          <w:i/>
          <w:iCs/>
          <w:sz w:val="21"/>
          <w:szCs w:val="21"/>
        </w:rPr>
        <w:t>potestad y la opinión informada del o la menor. Así como la adición de</w:t>
      </w:r>
      <w:r>
        <w:rPr>
          <w:rFonts w:ascii="Abadi" w:hAnsi="Abadi" w:cs="Arial-BoldItalicMT"/>
          <w:b/>
          <w:bCs/>
          <w:i/>
          <w:iCs/>
          <w:sz w:val="21"/>
          <w:szCs w:val="21"/>
        </w:rPr>
        <w:t xml:space="preserve"> </w:t>
      </w:r>
      <w:r w:rsidRPr="00ED26A2">
        <w:rPr>
          <w:rFonts w:ascii="Abadi" w:hAnsi="Abadi" w:cs="Arial-BoldItalicMT"/>
          <w:b/>
          <w:bCs/>
          <w:i/>
          <w:iCs/>
          <w:sz w:val="21"/>
          <w:szCs w:val="21"/>
        </w:rPr>
        <w:t>un segundo párrafo al artículo 71 de la Ley de los Derechos de Niñas, Niños y Adolescentes del Estado de Guanajuato, a efecto de proteger el</w:t>
      </w:r>
      <w:r>
        <w:rPr>
          <w:rFonts w:ascii="Abadi" w:hAnsi="Abadi" w:cs="Arial-BoldItalicMT"/>
          <w:b/>
          <w:bCs/>
          <w:i/>
          <w:iCs/>
          <w:sz w:val="21"/>
          <w:szCs w:val="21"/>
        </w:rPr>
        <w:t xml:space="preserve"> </w:t>
      </w:r>
      <w:r w:rsidRPr="00ED26A2">
        <w:rPr>
          <w:rFonts w:ascii="Abadi" w:hAnsi="Abadi" w:cs="Arial-BoldItalicMT"/>
          <w:b/>
          <w:bCs/>
          <w:i/>
          <w:iCs/>
          <w:sz w:val="21"/>
          <w:szCs w:val="21"/>
        </w:rPr>
        <w:t xml:space="preserve">derecho a la intimidad de los menores, </w:t>
      </w:r>
      <w:r w:rsidRPr="00ED26A2">
        <w:rPr>
          <w:rFonts w:ascii="Abadi" w:hAnsi="Abadi" w:cs="ArialMT"/>
          <w:sz w:val="21"/>
          <w:szCs w:val="21"/>
        </w:rPr>
        <w:t>conforme a la siguiente:</w:t>
      </w:r>
    </w:p>
    <w:p w14:paraId="45601A67" w14:textId="77777777" w:rsidR="00306DA7" w:rsidRPr="00C570F5" w:rsidRDefault="00306DA7" w:rsidP="00306DA7">
      <w:pPr>
        <w:autoSpaceDE w:val="0"/>
        <w:autoSpaceDN w:val="0"/>
        <w:adjustRightInd w:val="0"/>
        <w:jc w:val="both"/>
        <w:rPr>
          <w:rFonts w:ascii="Abadi" w:hAnsi="Abadi" w:cs="Arial-BoldItalicMT"/>
          <w:b/>
          <w:bCs/>
          <w:i/>
          <w:iCs/>
          <w:sz w:val="21"/>
          <w:szCs w:val="21"/>
        </w:rPr>
      </w:pPr>
    </w:p>
    <w:p w14:paraId="12E1C42D" w14:textId="77777777" w:rsidR="00306DA7" w:rsidRPr="00ED26A2" w:rsidRDefault="00306DA7" w:rsidP="00306DA7">
      <w:pPr>
        <w:autoSpaceDE w:val="0"/>
        <w:autoSpaceDN w:val="0"/>
        <w:adjustRightInd w:val="0"/>
        <w:jc w:val="center"/>
        <w:rPr>
          <w:rFonts w:ascii="Abadi" w:hAnsi="Abadi" w:cs="Arial-BoldMT"/>
          <w:b/>
          <w:bCs/>
          <w:sz w:val="21"/>
          <w:szCs w:val="21"/>
        </w:rPr>
      </w:pPr>
      <w:r w:rsidRPr="00ED26A2">
        <w:rPr>
          <w:rFonts w:ascii="Abadi" w:hAnsi="Abadi" w:cs="Arial-BoldMT"/>
          <w:b/>
          <w:bCs/>
          <w:sz w:val="21"/>
          <w:szCs w:val="21"/>
        </w:rPr>
        <w:t>EXPOSICION DE MOTIVOS</w:t>
      </w:r>
    </w:p>
    <w:p w14:paraId="7A2FB541" w14:textId="77777777" w:rsidR="00306DA7" w:rsidRDefault="00306DA7" w:rsidP="00306DA7">
      <w:pPr>
        <w:autoSpaceDE w:val="0"/>
        <w:autoSpaceDN w:val="0"/>
        <w:adjustRightInd w:val="0"/>
        <w:jc w:val="both"/>
        <w:rPr>
          <w:rFonts w:ascii="Abadi" w:hAnsi="Abadi" w:cs="ArialMT"/>
          <w:sz w:val="21"/>
          <w:szCs w:val="21"/>
        </w:rPr>
      </w:pPr>
    </w:p>
    <w:p w14:paraId="134986B0"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Uno de los supuestos básicos tras el paradigma de la protección integral de</w:t>
      </w:r>
      <w:r>
        <w:rPr>
          <w:rFonts w:ascii="Abadi" w:hAnsi="Abadi" w:cs="ArialMT"/>
          <w:sz w:val="21"/>
          <w:szCs w:val="21"/>
        </w:rPr>
        <w:t xml:space="preserve"> </w:t>
      </w:r>
      <w:r w:rsidRPr="00ED26A2">
        <w:rPr>
          <w:rFonts w:ascii="Abadi" w:hAnsi="Abadi" w:cs="ArialMT"/>
          <w:sz w:val="21"/>
          <w:szCs w:val="21"/>
        </w:rPr>
        <w:t>los derechos del niño, es la asunción de que los niños son personas</w:t>
      </w:r>
      <w:r>
        <w:rPr>
          <w:rFonts w:ascii="Abadi" w:hAnsi="Abadi" w:cs="ArialMT"/>
          <w:sz w:val="21"/>
          <w:szCs w:val="21"/>
        </w:rPr>
        <w:t xml:space="preserve"> </w:t>
      </w:r>
      <w:r w:rsidRPr="00ED26A2">
        <w:rPr>
          <w:rFonts w:ascii="Abadi" w:hAnsi="Abadi" w:cs="ArialMT"/>
          <w:sz w:val="21"/>
          <w:szCs w:val="21"/>
        </w:rPr>
        <w:t>humanas, y que como tales tienen derechos específicos que se superponen</w:t>
      </w:r>
      <w:r>
        <w:rPr>
          <w:rFonts w:ascii="Abadi" w:hAnsi="Abadi" w:cs="ArialMT"/>
          <w:sz w:val="21"/>
          <w:szCs w:val="21"/>
        </w:rPr>
        <w:t xml:space="preserve"> </w:t>
      </w:r>
      <w:r w:rsidRPr="00ED26A2">
        <w:rPr>
          <w:rFonts w:ascii="Abadi" w:hAnsi="Abadi" w:cs="ArialMT"/>
          <w:sz w:val="21"/>
          <w:szCs w:val="21"/>
        </w:rPr>
        <w:t>a la titularidad de todos los derechos fundamentales comunes a todas ellas.</w:t>
      </w:r>
      <w:r>
        <w:rPr>
          <w:rFonts w:ascii="Abadi" w:hAnsi="Abadi" w:cs="ArialMT"/>
          <w:sz w:val="21"/>
          <w:szCs w:val="21"/>
        </w:rPr>
        <w:t xml:space="preserve"> </w:t>
      </w:r>
      <w:r w:rsidRPr="00ED26A2">
        <w:rPr>
          <w:rFonts w:ascii="Abadi" w:hAnsi="Abadi" w:cs="ArialMT"/>
          <w:sz w:val="21"/>
          <w:szCs w:val="21"/>
        </w:rPr>
        <w:t>Es decir, los derechos del niño suponen la afirmación de los mismos derechos</w:t>
      </w:r>
      <w:r>
        <w:rPr>
          <w:rFonts w:ascii="Abadi" w:hAnsi="Abadi" w:cs="ArialMT"/>
          <w:sz w:val="21"/>
          <w:szCs w:val="21"/>
        </w:rPr>
        <w:t xml:space="preserve"> </w:t>
      </w:r>
      <w:r w:rsidRPr="00ED26A2">
        <w:rPr>
          <w:rFonts w:ascii="Abadi" w:hAnsi="Abadi" w:cs="ArialMT"/>
          <w:sz w:val="21"/>
          <w:szCs w:val="21"/>
        </w:rPr>
        <w:t>fundamentales del resto de las personas, quizás con un cierto grado de</w:t>
      </w:r>
      <w:r>
        <w:rPr>
          <w:rFonts w:ascii="Abadi" w:hAnsi="Abadi" w:cs="ArialMT"/>
          <w:sz w:val="21"/>
          <w:szCs w:val="21"/>
        </w:rPr>
        <w:t xml:space="preserve"> </w:t>
      </w:r>
      <w:r w:rsidRPr="00ED26A2">
        <w:rPr>
          <w:rFonts w:ascii="Abadi" w:hAnsi="Abadi" w:cs="ArialMT"/>
          <w:sz w:val="21"/>
          <w:szCs w:val="21"/>
        </w:rPr>
        <w:t>explicitación, además de derechos adicionales en áreas específicas, como</w:t>
      </w:r>
      <w:r>
        <w:rPr>
          <w:rFonts w:ascii="Abadi" w:hAnsi="Abadi" w:cs="ArialMT"/>
          <w:sz w:val="21"/>
          <w:szCs w:val="21"/>
        </w:rPr>
        <w:t xml:space="preserve"> </w:t>
      </w:r>
      <w:r w:rsidRPr="00ED26A2">
        <w:rPr>
          <w:rFonts w:ascii="Abadi" w:hAnsi="Abadi" w:cs="ArialMT"/>
          <w:sz w:val="21"/>
          <w:szCs w:val="21"/>
        </w:rPr>
        <w:t>son aquellos referidos a la relación con la familia, a las diversas situaciones</w:t>
      </w:r>
      <w:r>
        <w:rPr>
          <w:rFonts w:ascii="Abadi" w:hAnsi="Abadi" w:cs="ArialMT"/>
          <w:sz w:val="21"/>
          <w:szCs w:val="21"/>
        </w:rPr>
        <w:t xml:space="preserve"> </w:t>
      </w:r>
      <w:r w:rsidRPr="00ED26A2">
        <w:rPr>
          <w:rFonts w:ascii="Abadi" w:hAnsi="Abadi" w:cs="ArialMT"/>
          <w:sz w:val="21"/>
          <w:szCs w:val="21"/>
        </w:rPr>
        <w:t>de protección especial de derechos y a la justicia juvenil.</w:t>
      </w:r>
    </w:p>
    <w:p w14:paraId="06C0BC06" w14:textId="77777777" w:rsidR="00306DA7" w:rsidRDefault="00306DA7" w:rsidP="00306DA7">
      <w:pPr>
        <w:autoSpaceDE w:val="0"/>
        <w:autoSpaceDN w:val="0"/>
        <w:adjustRightInd w:val="0"/>
        <w:jc w:val="both"/>
        <w:rPr>
          <w:rFonts w:ascii="Abadi" w:hAnsi="Abadi" w:cs="ArialMT"/>
          <w:sz w:val="21"/>
          <w:szCs w:val="21"/>
        </w:rPr>
      </w:pPr>
    </w:p>
    <w:p w14:paraId="2AF9DA7E" w14:textId="77777777" w:rsidR="00306DA7"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En tal sentido, el 20 de noviembre de 1989 fue adoptada por la Asamblea</w:t>
      </w:r>
      <w:r>
        <w:rPr>
          <w:rFonts w:ascii="Abadi" w:hAnsi="Abadi" w:cs="ArialMT"/>
          <w:sz w:val="21"/>
          <w:szCs w:val="21"/>
        </w:rPr>
        <w:t xml:space="preserve"> </w:t>
      </w:r>
      <w:r w:rsidRPr="00ED26A2">
        <w:rPr>
          <w:rFonts w:ascii="Abadi" w:hAnsi="Abadi" w:cs="ArialMT"/>
          <w:sz w:val="21"/>
          <w:szCs w:val="21"/>
        </w:rPr>
        <w:t>General de las Naciones Unidas, la Convención sobre los Derechos del Niño.</w:t>
      </w:r>
      <w:r>
        <w:rPr>
          <w:rFonts w:ascii="Abadi" w:hAnsi="Abadi" w:cs="ArialMT"/>
          <w:sz w:val="21"/>
          <w:szCs w:val="21"/>
        </w:rPr>
        <w:t xml:space="preserve"> </w:t>
      </w:r>
      <w:r w:rsidRPr="00ED26A2">
        <w:rPr>
          <w:rFonts w:ascii="Abadi" w:hAnsi="Abadi" w:cs="ArialMT"/>
          <w:sz w:val="21"/>
          <w:szCs w:val="21"/>
        </w:rPr>
        <w:t>Este instrumento del Derecho Internacional ha marcado un verdadero hito en</w:t>
      </w:r>
      <w:r>
        <w:rPr>
          <w:rFonts w:ascii="Abadi" w:hAnsi="Abadi" w:cs="ArialMT"/>
          <w:sz w:val="21"/>
          <w:szCs w:val="21"/>
        </w:rPr>
        <w:t xml:space="preserve"> </w:t>
      </w:r>
      <w:r w:rsidRPr="00ED26A2">
        <w:rPr>
          <w:rFonts w:ascii="Abadi" w:hAnsi="Abadi" w:cs="ArialMT"/>
          <w:sz w:val="21"/>
          <w:szCs w:val="21"/>
        </w:rPr>
        <w:t>la historia de los derechos de la niñez.</w:t>
      </w:r>
    </w:p>
    <w:p w14:paraId="4E3FE2F9" w14:textId="77777777" w:rsidR="00306DA7" w:rsidRPr="00ED26A2" w:rsidRDefault="00306DA7" w:rsidP="00306DA7">
      <w:pPr>
        <w:autoSpaceDE w:val="0"/>
        <w:autoSpaceDN w:val="0"/>
        <w:adjustRightInd w:val="0"/>
        <w:jc w:val="both"/>
        <w:rPr>
          <w:rFonts w:ascii="Abadi" w:hAnsi="Abadi" w:cs="ArialMT"/>
          <w:sz w:val="21"/>
          <w:szCs w:val="21"/>
        </w:rPr>
      </w:pPr>
    </w:p>
    <w:p w14:paraId="03F34413"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Los avances del nuevo modelo</w:t>
      </w:r>
      <w:r>
        <w:rPr>
          <w:rFonts w:ascii="Abadi" w:hAnsi="Abadi" w:cs="ArialMT"/>
          <w:sz w:val="21"/>
          <w:szCs w:val="21"/>
        </w:rPr>
        <w:t xml:space="preserve"> </w:t>
      </w:r>
      <w:r w:rsidRPr="00ED26A2">
        <w:rPr>
          <w:rFonts w:ascii="Abadi" w:hAnsi="Abadi" w:cs="ArialMT"/>
          <w:sz w:val="21"/>
          <w:szCs w:val="21"/>
        </w:rPr>
        <w:t>no solo se reflejaron en las distintas visiones</w:t>
      </w:r>
      <w:r>
        <w:rPr>
          <w:rFonts w:ascii="Abadi" w:hAnsi="Abadi" w:cs="ArialMT"/>
          <w:sz w:val="21"/>
          <w:szCs w:val="21"/>
        </w:rPr>
        <w:t xml:space="preserve"> </w:t>
      </w:r>
      <w:r w:rsidRPr="00ED26A2">
        <w:rPr>
          <w:rFonts w:ascii="Abadi" w:hAnsi="Abadi" w:cs="ArialMT"/>
          <w:sz w:val="21"/>
          <w:szCs w:val="21"/>
        </w:rPr>
        <w:t>jurídicas respecto de la situación de niñas, niños y adolescentes frente al</w:t>
      </w:r>
      <w:r>
        <w:rPr>
          <w:rFonts w:ascii="Abadi" w:hAnsi="Abadi" w:cs="ArialMT"/>
          <w:sz w:val="21"/>
          <w:szCs w:val="21"/>
        </w:rPr>
        <w:t xml:space="preserve"> </w:t>
      </w:r>
      <w:r w:rsidRPr="00ED26A2">
        <w:rPr>
          <w:rFonts w:ascii="Abadi" w:hAnsi="Abadi" w:cs="ArialMT"/>
          <w:sz w:val="21"/>
          <w:szCs w:val="21"/>
        </w:rPr>
        <w:t>derecho.</w:t>
      </w:r>
    </w:p>
    <w:p w14:paraId="268749AC" w14:textId="77777777" w:rsidR="00306DA7" w:rsidRDefault="00306DA7" w:rsidP="00306DA7">
      <w:pPr>
        <w:autoSpaceDE w:val="0"/>
        <w:autoSpaceDN w:val="0"/>
        <w:adjustRightInd w:val="0"/>
        <w:jc w:val="both"/>
        <w:rPr>
          <w:rFonts w:ascii="Abadi" w:hAnsi="Abadi" w:cs="ArialMT"/>
          <w:sz w:val="21"/>
          <w:szCs w:val="21"/>
        </w:rPr>
      </w:pPr>
    </w:p>
    <w:p w14:paraId="2F220AE0"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Asimismo, esta evolución constante se ve reflejada en el gran avance que ha</w:t>
      </w:r>
      <w:r>
        <w:rPr>
          <w:rFonts w:ascii="Abadi" w:hAnsi="Abadi" w:cs="ArialMT"/>
          <w:sz w:val="21"/>
          <w:szCs w:val="21"/>
        </w:rPr>
        <w:t xml:space="preserve"> </w:t>
      </w:r>
      <w:r w:rsidRPr="00ED26A2">
        <w:rPr>
          <w:rFonts w:ascii="Abadi" w:hAnsi="Abadi" w:cs="ArialMT"/>
          <w:sz w:val="21"/>
          <w:szCs w:val="21"/>
        </w:rPr>
        <w:t>tenido en el ámbito internacional la interpretación y análisis de los derechos</w:t>
      </w:r>
      <w:r>
        <w:rPr>
          <w:rFonts w:ascii="Abadi" w:hAnsi="Abadi" w:cs="ArialMT"/>
          <w:sz w:val="21"/>
          <w:szCs w:val="21"/>
        </w:rPr>
        <w:t xml:space="preserve"> </w:t>
      </w:r>
      <w:r w:rsidRPr="00ED26A2">
        <w:rPr>
          <w:rFonts w:ascii="Abadi" w:hAnsi="Abadi" w:cs="ArialMT"/>
          <w:sz w:val="21"/>
          <w:szCs w:val="21"/>
        </w:rPr>
        <w:t>de la Convención. En tal sentido, desde su aprobación fueron dictadas por</w:t>
      </w:r>
      <w:r>
        <w:rPr>
          <w:rFonts w:ascii="Abadi" w:hAnsi="Abadi" w:cs="ArialMT"/>
          <w:sz w:val="21"/>
          <w:szCs w:val="21"/>
        </w:rPr>
        <w:t xml:space="preserve"> </w:t>
      </w:r>
      <w:r w:rsidRPr="00ED26A2">
        <w:rPr>
          <w:rFonts w:ascii="Abadi" w:hAnsi="Abadi" w:cs="ArialMT"/>
          <w:sz w:val="21"/>
          <w:szCs w:val="21"/>
        </w:rPr>
        <w:t>parte del Comité de Derechos del Niño en sus Observaciones Generales, que</w:t>
      </w:r>
      <w:r>
        <w:rPr>
          <w:rFonts w:ascii="Abadi" w:hAnsi="Abadi" w:cs="ArialMT"/>
          <w:sz w:val="21"/>
          <w:szCs w:val="21"/>
        </w:rPr>
        <w:t xml:space="preserve"> </w:t>
      </w:r>
      <w:r w:rsidRPr="00ED26A2">
        <w:rPr>
          <w:rFonts w:ascii="Abadi" w:hAnsi="Abadi" w:cs="ArialMT"/>
          <w:sz w:val="21"/>
          <w:szCs w:val="21"/>
        </w:rPr>
        <w:t>son utilizadas para la interpretación de las normas de la Convención sobre</w:t>
      </w:r>
    </w:p>
    <w:p w14:paraId="4808007A"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los Derechos del Niño.</w:t>
      </w:r>
    </w:p>
    <w:p w14:paraId="76071EA2" w14:textId="77777777" w:rsidR="00306DA7" w:rsidRDefault="00306DA7" w:rsidP="00306DA7">
      <w:pPr>
        <w:autoSpaceDE w:val="0"/>
        <w:autoSpaceDN w:val="0"/>
        <w:adjustRightInd w:val="0"/>
        <w:jc w:val="both"/>
        <w:rPr>
          <w:rFonts w:ascii="Abadi" w:hAnsi="Abadi" w:cs="ArialMT"/>
          <w:sz w:val="21"/>
          <w:szCs w:val="21"/>
        </w:rPr>
      </w:pPr>
    </w:p>
    <w:p w14:paraId="0A2F36A6"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Un aspecto fundamental para el ejercicio de los derechos de las personas</w:t>
      </w:r>
      <w:r>
        <w:rPr>
          <w:rFonts w:ascii="Abadi" w:hAnsi="Abadi" w:cs="ArialMT"/>
          <w:sz w:val="21"/>
          <w:szCs w:val="21"/>
        </w:rPr>
        <w:t xml:space="preserve"> </w:t>
      </w:r>
      <w:r w:rsidRPr="00ED26A2">
        <w:rPr>
          <w:rFonts w:ascii="Abadi" w:hAnsi="Abadi" w:cs="ArialMT"/>
          <w:sz w:val="21"/>
          <w:szCs w:val="21"/>
        </w:rPr>
        <w:t>menores de 18 años y para lograr su plena realización, es el conocimiento</w:t>
      </w:r>
      <w:r>
        <w:rPr>
          <w:rFonts w:ascii="Abadi" w:hAnsi="Abadi" w:cs="ArialMT"/>
          <w:sz w:val="21"/>
          <w:szCs w:val="21"/>
        </w:rPr>
        <w:t xml:space="preserve"> </w:t>
      </w:r>
      <w:r w:rsidRPr="00ED26A2">
        <w:rPr>
          <w:rFonts w:ascii="Abadi" w:hAnsi="Abadi" w:cs="ArialMT"/>
          <w:sz w:val="21"/>
          <w:szCs w:val="21"/>
        </w:rPr>
        <w:t>que se tiene sobre ellos; esto es posible a partir del estudio de las normas,</w:t>
      </w:r>
      <w:r>
        <w:rPr>
          <w:rFonts w:ascii="Abadi" w:hAnsi="Abadi" w:cs="ArialMT"/>
          <w:sz w:val="21"/>
          <w:szCs w:val="21"/>
        </w:rPr>
        <w:t xml:space="preserve"> </w:t>
      </w:r>
      <w:r w:rsidRPr="00ED26A2">
        <w:rPr>
          <w:rFonts w:ascii="Abadi" w:hAnsi="Abadi" w:cs="ArialMT"/>
          <w:sz w:val="21"/>
          <w:szCs w:val="21"/>
        </w:rPr>
        <w:t>su contextualización de acuerdo con el avance de la legislación nacional, de</w:t>
      </w:r>
      <w:r>
        <w:rPr>
          <w:rFonts w:ascii="Abadi" w:hAnsi="Abadi" w:cs="ArialMT"/>
          <w:sz w:val="21"/>
          <w:szCs w:val="21"/>
        </w:rPr>
        <w:t xml:space="preserve"> </w:t>
      </w:r>
      <w:r w:rsidRPr="00ED26A2">
        <w:rPr>
          <w:rFonts w:ascii="Abadi" w:hAnsi="Abadi" w:cs="ArialMT"/>
          <w:sz w:val="21"/>
          <w:szCs w:val="21"/>
        </w:rPr>
        <w:t>la jurisprudencia y de las distintas Observaciones Generales del Comité de</w:t>
      </w:r>
      <w:r>
        <w:rPr>
          <w:rFonts w:ascii="Abadi" w:hAnsi="Abadi" w:cs="ArialMT"/>
          <w:sz w:val="21"/>
          <w:szCs w:val="21"/>
        </w:rPr>
        <w:t xml:space="preserve"> </w:t>
      </w:r>
      <w:r w:rsidRPr="00ED26A2">
        <w:rPr>
          <w:rFonts w:ascii="Abadi" w:hAnsi="Abadi" w:cs="ArialMT"/>
          <w:sz w:val="21"/>
          <w:szCs w:val="21"/>
        </w:rPr>
        <w:t>Derechos del Niño.</w:t>
      </w:r>
    </w:p>
    <w:p w14:paraId="50503347" w14:textId="77777777" w:rsidR="00306DA7" w:rsidRDefault="00306DA7" w:rsidP="00306DA7">
      <w:pPr>
        <w:autoSpaceDE w:val="0"/>
        <w:autoSpaceDN w:val="0"/>
        <w:adjustRightInd w:val="0"/>
        <w:jc w:val="both"/>
        <w:rPr>
          <w:rFonts w:ascii="Abadi" w:hAnsi="Abadi" w:cs="ArialMT"/>
          <w:sz w:val="21"/>
          <w:szCs w:val="21"/>
        </w:rPr>
      </w:pPr>
    </w:p>
    <w:p w14:paraId="2FCC14BE"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Considerando que, de conformidad con los principios proclamados en la</w:t>
      </w:r>
      <w:r>
        <w:rPr>
          <w:rFonts w:ascii="Abadi" w:hAnsi="Abadi" w:cs="ArialMT"/>
          <w:sz w:val="21"/>
          <w:szCs w:val="21"/>
        </w:rPr>
        <w:t xml:space="preserve"> </w:t>
      </w:r>
      <w:r w:rsidRPr="00ED26A2">
        <w:rPr>
          <w:rFonts w:ascii="Abadi" w:hAnsi="Abadi" w:cs="ArialMT"/>
          <w:sz w:val="21"/>
          <w:szCs w:val="21"/>
        </w:rPr>
        <w:t>Carta de las Naciones Unidas, la libertad, la justicia y la paz en el mundo se</w:t>
      </w:r>
      <w:r>
        <w:rPr>
          <w:rFonts w:ascii="Abadi" w:hAnsi="Abadi" w:cs="ArialMT"/>
          <w:sz w:val="21"/>
          <w:szCs w:val="21"/>
        </w:rPr>
        <w:t xml:space="preserve"> </w:t>
      </w:r>
      <w:r w:rsidRPr="00ED26A2">
        <w:rPr>
          <w:rFonts w:ascii="Abadi" w:hAnsi="Abadi" w:cs="ArialMT"/>
          <w:sz w:val="21"/>
          <w:szCs w:val="21"/>
        </w:rPr>
        <w:t>basan en el reconocimiento de la dignidad intrínseca y de los derechos</w:t>
      </w:r>
      <w:r>
        <w:rPr>
          <w:rFonts w:ascii="Abadi" w:hAnsi="Abadi" w:cs="ArialMT"/>
          <w:sz w:val="21"/>
          <w:szCs w:val="21"/>
        </w:rPr>
        <w:t xml:space="preserve"> </w:t>
      </w:r>
      <w:r w:rsidRPr="00ED26A2">
        <w:rPr>
          <w:rFonts w:ascii="Abadi" w:hAnsi="Abadi" w:cs="ArialMT"/>
          <w:sz w:val="21"/>
          <w:szCs w:val="21"/>
        </w:rPr>
        <w:t>iguales e inalienables de todos los miembros de la familia humana.</w:t>
      </w:r>
    </w:p>
    <w:p w14:paraId="434490B8" w14:textId="77777777" w:rsidR="00306DA7" w:rsidRDefault="00306DA7" w:rsidP="00306DA7">
      <w:pPr>
        <w:autoSpaceDE w:val="0"/>
        <w:autoSpaceDN w:val="0"/>
        <w:adjustRightInd w:val="0"/>
        <w:jc w:val="both"/>
        <w:rPr>
          <w:rFonts w:ascii="Abadi" w:hAnsi="Abadi" w:cs="ArialMT"/>
          <w:sz w:val="21"/>
          <w:szCs w:val="21"/>
        </w:rPr>
      </w:pPr>
    </w:p>
    <w:p w14:paraId="3870B890"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Además, se debe tener presente que los pueblos de las Naciones Unidas han</w:t>
      </w:r>
      <w:r>
        <w:rPr>
          <w:rFonts w:ascii="Abadi" w:hAnsi="Abadi" w:cs="ArialMT"/>
          <w:sz w:val="21"/>
          <w:szCs w:val="21"/>
        </w:rPr>
        <w:t xml:space="preserve"> </w:t>
      </w:r>
      <w:r w:rsidRPr="00ED26A2">
        <w:rPr>
          <w:rFonts w:ascii="Abadi" w:hAnsi="Abadi" w:cs="ArialMT"/>
          <w:sz w:val="21"/>
          <w:szCs w:val="21"/>
        </w:rPr>
        <w:t>reafirmado en la Carta su fe en los derechos fundamentales del hombre, en</w:t>
      </w:r>
      <w:r>
        <w:rPr>
          <w:rFonts w:ascii="Abadi" w:hAnsi="Abadi" w:cs="ArialMT"/>
          <w:sz w:val="21"/>
          <w:szCs w:val="21"/>
        </w:rPr>
        <w:t xml:space="preserve"> </w:t>
      </w:r>
      <w:r w:rsidRPr="00ED26A2">
        <w:rPr>
          <w:rFonts w:ascii="Abadi" w:hAnsi="Abadi" w:cs="ArialMT"/>
          <w:sz w:val="21"/>
          <w:szCs w:val="21"/>
        </w:rPr>
        <w:t>la dignidad y el valor de la persona humana que ha decidido promover el</w:t>
      </w:r>
      <w:r>
        <w:rPr>
          <w:rFonts w:ascii="Abadi" w:hAnsi="Abadi" w:cs="ArialMT"/>
          <w:sz w:val="21"/>
          <w:szCs w:val="21"/>
        </w:rPr>
        <w:t xml:space="preserve"> </w:t>
      </w:r>
      <w:r w:rsidRPr="00ED26A2">
        <w:rPr>
          <w:rFonts w:ascii="Abadi" w:hAnsi="Abadi" w:cs="ArialMT"/>
          <w:sz w:val="21"/>
          <w:szCs w:val="21"/>
        </w:rPr>
        <w:t>progreso social y elevar el nivel de vida dentro de un concepto más amplio de</w:t>
      </w:r>
      <w:r>
        <w:rPr>
          <w:rFonts w:ascii="Abadi" w:hAnsi="Abadi" w:cs="ArialMT"/>
          <w:sz w:val="21"/>
          <w:szCs w:val="21"/>
        </w:rPr>
        <w:t xml:space="preserve"> </w:t>
      </w:r>
      <w:r w:rsidRPr="00ED26A2">
        <w:rPr>
          <w:rFonts w:ascii="Abadi" w:hAnsi="Abadi" w:cs="ArialMT"/>
          <w:sz w:val="21"/>
          <w:szCs w:val="21"/>
        </w:rPr>
        <w:t>la libertad.</w:t>
      </w:r>
    </w:p>
    <w:p w14:paraId="57653E5C" w14:textId="77777777" w:rsidR="00306DA7" w:rsidRDefault="00306DA7" w:rsidP="00306DA7">
      <w:pPr>
        <w:autoSpaceDE w:val="0"/>
        <w:autoSpaceDN w:val="0"/>
        <w:adjustRightInd w:val="0"/>
        <w:jc w:val="both"/>
        <w:rPr>
          <w:rFonts w:ascii="Abadi" w:hAnsi="Abadi" w:cs="ArialMT"/>
          <w:sz w:val="21"/>
          <w:szCs w:val="21"/>
        </w:rPr>
      </w:pPr>
    </w:p>
    <w:p w14:paraId="6216254A"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Reconociendo que las Naciones Unidas han proclamado y acordado en la</w:t>
      </w:r>
      <w:r>
        <w:rPr>
          <w:rFonts w:ascii="Abadi" w:hAnsi="Abadi" w:cs="ArialMT"/>
          <w:sz w:val="21"/>
          <w:szCs w:val="21"/>
        </w:rPr>
        <w:t xml:space="preserve"> </w:t>
      </w:r>
      <w:r w:rsidRPr="00ED26A2">
        <w:rPr>
          <w:rFonts w:ascii="Abadi" w:hAnsi="Abadi" w:cs="ArialMT"/>
          <w:sz w:val="21"/>
          <w:szCs w:val="21"/>
        </w:rPr>
        <w:t>Declaración Universal de Derechos Humanos y en los Pactos Internacionales</w:t>
      </w:r>
      <w:r>
        <w:rPr>
          <w:rFonts w:ascii="Abadi" w:hAnsi="Abadi" w:cs="ArialMT"/>
          <w:sz w:val="21"/>
          <w:szCs w:val="21"/>
        </w:rPr>
        <w:t xml:space="preserve"> </w:t>
      </w:r>
      <w:r w:rsidRPr="00ED26A2">
        <w:rPr>
          <w:rFonts w:ascii="Abadi" w:hAnsi="Abadi" w:cs="ArialMT"/>
          <w:sz w:val="21"/>
          <w:szCs w:val="21"/>
        </w:rPr>
        <w:t xml:space="preserve">de Derechos Humanos, que toda persona, incluida la menor de edad, </w:t>
      </w:r>
      <w:r w:rsidRPr="00ED26A2">
        <w:rPr>
          <w:rFonts w:ascii="Abadi" w:hAnsi="Abadi" w:cs="ArialMT"/>
          <w:sz w:val="21"/>
          <w:szCs w:val="21"/>
        </w:rPr>
        <w:lastRenderedPageBreak/>
        <w:t>tiene</w:t>
      </w:r>
      <w:r>
        <w:rPr>
          <w:rFonts w:ascii="Abadi" w:hAnsi="Abadi" w:cs="ArialMT"/>
          <w:sz w:val="21"/>
          <w:szCs w:val="21"/>
        </w:rPr>
        <w:t xml:space="preserve"> </w:t>
      </w:r>
      <w:r w:rsidRPr="00ED26A2">
        <w:rPr>
          <w:rFonts w:ascii="Abadi" w:hAnsi="Abadi" w:cs="ArialMT"/>
          <w:sz w:val="21"/>
          <w:szCs w:val="21"/>
        </w:rPr>
        <w:t>todos los derechos y libertades enunciados en ellos, sin distinción alguna, por</w:t>
      </w:r>
      <w:r>
        <w:rPr>
          <w:rFonts w:ascii="Abadi" w:hAnsi="Abadi" w:cs="ArialMT"/>
          <w:sz w:val="21"/>
          <w:szCs w:val="21"/>
        </w:rPr>
        <w:t xml:space="preserve"> </w:t>
      </w:r>
      <w:r w:rsidRPr="00ED26A2">
        <w:rPr>
          <w:rFonts w:ascii="Abadi" w:hAnsi="Abadi" w:cs="ArialMT"/>
          <w:sz w:val="21"/>
          <w:szCs w:val="21"/>
        </w:rPr>
        <w:t>motivos de raza, color, sexo, idioma, religión, opinión política o de otra índole,</w:t>
      </w:r>
      <w:r>
        <w:rPr>
          <w:rFonts w:ascii="Abadi" w:hAnsi="Abadi" w:cs="ArialMT"/>
          <w:sz w:val="21"/>
          <w:szCs w:val="21"/>
        </w:rPr>
        <w:t xml:space="preserve"> </w:t>
      </w:r>
      <w:r w:rsidRPr="00ED26A2">
        <w:rPr>
          <w:rFonts w:ascii="Abadi" w:hAnsi="Abadi" w:cs="ArialMT"/>
          <w:sz w:val="21"/>
          <w:szCs w:val="21"/>
        </w:rPr>
        <w:t>origen nacional o social, posición económica, nacimiento o cualquier otra</w:t>
      </w:r>
      <w:r>
        <w:rPr>
          <w:rFonts w:ascii="Abadi" w:hAnsi="Abadi" w:cs="ArialMT"/>
          <w:sz w:val="21"/>
          <w:szCs w:val="21"/>
        </w:rPr>
        <w:t xml:space="preserve"> </w:t>
      </w:r>
      <w:r w:rsidRPr="00ED26A2">
        <w:rPr>
          <w:rFonts w:ascii="Abadi" w:hAnsi="Abadi" w:cs="ArialMT"/>
          <w:sz w:val="21"/>
          <w:szCs w:val="21"/>
        </w:rPr>
        <w:t>condición.</w:t>
      </w:r>
    </w:p>
    <w:p w14:paraId="06A167DF" w14:textId="77777777" w:rsidR="00306DA7" w:rsidRDefault="00306DA7" w:rsidP="00306DA7">
      <w:pPr>
        <w:autoSpaceDE w:val="0"/>
        <w:autoSpaceDN w:val="0"/>
        <w:adjustRightInd w:val="0"/>
        <w:jc w:val="both"/>
        <w:rPr>
          <w:rFonts w:ascii="Abadi" w:hAnsi="Abadi" w:cs="ArialMT"/>
          <w:sz w:val="21"/>
          <w:szCs w:val="21"/>
        </w:rPr>
      </w:pPr>
    </w:p>
    <w:p w14:paraId="791A7D45"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Así, en la Declaración Universal de Derechos Humanos de las Naciones</w:t>
      </w:r>
      <w:r>
        <w:rPr>
          <w:rFonts w:ascii="Abadi" w:hAnsi="Abadi" w:cs="ArialMT"/>
          <w:sz w:val="21"/>
          <w:szCs w:val="21"/>
        </w:rPr>
        <w:t xml:space="preserve"> </w:t>
      </w:r>
      <w:r w:rsidRPr="00ED26A2">
        <w:rPr>
          <w:rFonts w:ascii="Abadi" w:hAnsi="Abadi" w:cs="ArialMT"/>
          <w:sz w:val="21"/>
          <w:szCs w:val="21"/>
        </w:rPr>
        <w:t>Unidas se proclamó que la infancia tiene derecho a cuidados y asistencia</w:t>
      </w:r>
      <w:r>
        <w:rPr>
          <w:rFonts w:ascii="Abadi" w:hAnsi="Abadi" w:cs="ArialMT"/>
          <w:sz w:val="21"/>
          <w:szCs w:val="21"/>
        </w:rPr>
        <w:t xml:space="preserve"> </w:t>
      </w:r>
      <w:r w:rsidRPr="00ED26A2">
        <w:rPr>
          <w:rFonts w:ascii="Abadi" w:hAnsi="Abadi" w:cs="ArialMT"/>
          <w:sz w:val="21"/>
          <w:szCs w:val="21"/>
        </w:rPr>
        <w:t>especiales.</w:t>
      </w:r>
    </w:p>
    <w:p w14:paraId="0844C72A" w14:textId="77777777" w:rsidR="00306DA7" w:rsidRDefault="00306DA7" w:rsidP="00306DA7">
      <w:pPr>
        <w:autoSpaceDE w:val="0"/>
        <w:autoSpaceDN w:val="0"/>
        <w:adjustRightInd w:val="0"/>
        <w:jc w:val="both"/>
        <w:rPr>
          <w:rFonts w:ascii="Abadi" w:hAnsi="Abadi" w:cs="ArialMT"/>
          <w:sz w:val="21"/>
          <w:szCs w:val="21"/>
        </w:rPr>
      </w:pPr>
    </w:p>
    <w:p w14:paraId="51995CEA"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Es por esto, que debemos estar convencidos de que la familia, como grupo</w:t>
      </w:r>
      <w:r>
        <w:rPr>
          <w:rFonts w:ascii="Abadi" w:hAnsi="Abadi" w:cs="ArialMT"/>
          <w:sz w:val="21"/>
          <w:szCs w:val="21"/>
        </w:rPr>
        <w:t xml:space="preserve"> </w:t>
      </w:r>
      <w:r w:rsidRPr="00ED26A2">
        <w:rPr>
          <w:rFonts w:ascii="Abadi" w:hAnsi="Abadi" w:cs="ArialMT"/>
          <w:sz w:val="21"/>
          <w:szCs w:val="21"/>
        </w:rPr>
        <w:t>fundamental de la sociedad y medio natural para el crecimiento y bienestar</w:t>
      </w:r>
      <w:r>
        <w:rPr>
          <w:rFonts w:ascii="Abadi" w:hAnsi="Abadi" w:cs="ArialMT"/>
          <w:sz w:val="21"/>
          <w:szCs w:val="21"/>
        </w:rPr>
        <w:t xml:space="preserve"> </w:t>
      </w:r>
      <w:r w:rsidRPr="00ED26A2">
        <w:rPr>
          <w:rFonts w:ascii="Abadi" w:hAnsi="Abadi" w:cs="ArialMT"/>
          <w:sz w:val="21"/>
          <w:szCs w:val="21"/>
        </w:rPr>
        <w:t>de todos sus miembros, y en particular de los niños, debe recibir la protección</w:t>
      </w:r>
      <w:r>
        <w:rPr>
          <w:rFonts w:ascii="Abadi" w:hAnsi="Abadi" w:cs="ArialMT"/>
          <w:sz w:val="21"/>
          <w:szCs w:val="21"/>
        </w:rPr>
        <w:t xml:space="preserve"> </w:t>
      </w:r>
      <w:r w:rsidRPr="00ED26A2">
        <w:rPr>
          <w:rFonts w:ascii="Abadi" w:hAnsi="Abadi" w:cs="ArialMT"/>
          <w:sz w:val="21"/>
          <w:szCs w:val="21"/>
        </w:rPr>
        <w:t>y asistencia necesarias para poder asumir plenamente sus responsabilidades</w:t>
      </w:r>
      <w:r>
        <w:rPr>
          <w:rFonts w:ascii="Abadi" w:hAnsi="Abadi" w:cs="ArialMT"/>
          <w:sz w:val="21"/>
          <w:szCs w:val="21"/>
        </w:rPr>
        <w:t xml:space="preserve"> </w:t>
      </w:r>
      <w:r w:rsidRPr="00ED26A2">
        <w:rPr>
          <w:rFonts w:ascii="Abadi" w:hAnsi="Abadi" w:cs="ArialMT"/>
          <w:sz w:val="21"/>
          <w:szCs w:val="21"/>
        </w:rPr>
        <w:t>dentro de la comunidad.</w:t>
      </w:r>
    </w:p>
    <w:p w14:paraId="038E61DE" w14:textId="77777777" w:rsidR="00306DA7" w:rsidRDefault="00306DA7" w:rsidP="00306DA7">
      <w:pPr>
        <w:autoSpaceDE w:val="0"/>
        <w:autoSpaceDN w:val="0"/>
        <w:adjustRightInd w:val="0"/>
        <w:jc w:val="both"/>
        <w:rPr>
          <w:rFonts w:ascii="Abadi" w:hAnsi="Abadi" w:cs="ArialMT"/>
          <w:sz w:val="21"/>
          <w:szCs w:val="21"/>
        </w:rPr>
      </w:pPr>
    </w:p>
    <w:p w14:paraId="084D217F"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También debemos reconocer que el niño, niña y adolescente, para el pleno y</w:t>
      </w:r>
      <w:r>
        <w:rPr>
          <w:rFonts w:ascii="Abadi" w:hAnsi="Abadi" w:cs="ArialMT"/>
          <w:sz w:val="21"/>
          <w:szCs w:val="21"/>
        </w:rPr>
        <w:t xml:space="preserve"> </w:t>
      </w:r>
      <w:r w:rsidRPr="00ED26A2">
        <w:rPr>
          <w:rFonts w:ascii="Abadi" w:hAnsi="Abadi" w:cs="ArialMT"/>
          <w:sz w:val="21"/>
          <w:szCs w:val="21"/>
        </w:rPr>
        <w:t>armonioso desarrollo de su personalidad, debe crecer en el seno de la familia,</w:t>
      </w:r>
      <w:r>
        <w:rPr>
          <w:rFonts w:ascii="Abadi" w:hAnsi="Abadi" w:cs="ArialMT"/>
          <w:sz w:val="21"/>
          <w:szCs w:val="21"/>
        </w:rPr>
        <w:t xml:space="preserve"> </w:t>
      </w:r>
      <w:r w:rsidRPr="00ED26A2">
        <w:rPr>
          <w:rFonts w:ascii="Abadi" w:hAnsi="Abadi" w:cs="ArialMT"/>
          <w:sz w:val="21"/>
          <w:szCs w:val="21"/>
        </w:rPr>
        <w:t>en un ambiente de felicidad, amor y comprensión, considerando que el niño</w:t>
      </w:r>
      <w:r>
        <w:rPr>
          <w:rFonts w:ascii="Abadi" w:hAnsi="Abadi" w:cs="ArialMT"/>
          <w:sz w:val="21"/>
          <w:szCs w:val="21"/>
        </w:rPr>
        <w:t xml:space="preserve"> </w:t>
      </w:r>
      <w:r w:rsidRPr="00ED26A2">
        <w:rPr>
          <w:rFonts w:ascii="Abadi" w:hAnsi="Abadi" w:cs="ArialMT"/>
          <w:sz w:val="21"/>
          <w:szCs w:val="21"/>
        </w:rPr>
        <w:t>debe estar plenamente preparado para una vida independiente en sociedad</w:t>
      </w:r>
      <w:r>
        <w:rPr>
          <w:rFonts w:ascii="Abadi" w:hAnsi="Abadi" w:cs="ArialMT"/>
          <w:sz w:val="21"/>
          <w:szCs w:val="21"/>
        </w:rPr>
        <w:t xml:space="preserve"> </w:t>
      </w:r>
      <w:r w:rsidRPr="00ED26A2">
        <w:rPr>
          <w:rFonts w:ascii="Abadi" w:hAnsi="Abadi" w:cs="ArialMT"/>
          <w:sz w:val="21"/>
          <w:szCs w:val="21"/>
        </w:rPr>
        <w:t>y ser educado en el espíritu de los ideales proclamados en la Carta de las</w:t>
      </w:r>
      <w:r>
        <w:rPr>
          <w:rFonts w:ascii="Abadi" w:hAnsi="Abadi" w:cs="ArialMT"/>
          <w:sz w:val="21"/>
          <w:szCs w:val="21"/>
        </w:rPr>
        <w:t xml:space="preserve"> </w:t>
      </w:r>
      <w:r w:rsidRPr="00ED26A2">
        <w:rPr>
          <w:rFonts w:ascii="Abadi" w:hAnsi="Abadi" w:cs="ArialMT"/>
          <w:sz w:val="21"/>
          <w:szCs w:val="21"/>
        </w:rPr>
        <w:t>Naciones Unidas y, en particular, en un espíritu de paz, dignidad, tolerancia,</w:t>
      </w:r>
      <w:r>
        <w:rPr>
          <w:rFonts w:ascii="Abadi" w:hAnsi="Abadi" w:cs="ArialMT"/>
          <w:sz w:val="21"/>
          <w:szCs w:val="21"/>
        </w:rPr>
        <w:t xml:space="preserve"> </w:t>
      </w:r>
      <w:r w:rsidRPr="00ED26A2">
        <w:rPr>
          <w:rFonts w:ascii="Abadi" w:hAnsi="Abadi" w:cs="ArialMT"/>
          <w:sz w:val="21"/>
          <w:szCs w:val="21"/>
        </w:rPr>
        <w:t>libertad, igualdad, solidaridad y respeto a su intimidad.</w:t>
      </w:r>
    </w:p>
    <w:p w14:paraId="120AC02F" w14:textId="77777777" w:rsidR="00306DA7" w:rsidRDefault="00306DA7" w:rsidP="00306DA7">
      <w:pPr>
        <w:autoSpaceDE w:val="0"/>
        <w:autoSpaceDN w:val="0"/>
        <w:adjustRightInd w:val="0"/>
        <w:jc w:val="both"/>
        <w:rPr>
          <w:rFonts w:ascii="Abadi" w:hAnsi="Abadi" w:cs="ArialMT"/>
          <w:sz w:val="21"/>
          <w:szCs w:val="21"/>
        </w:rPr>
      </w:pPr>
    </w:p>
    <w:p w14:paraId="417B83A5"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Teniendo presente que, como se indica en la Declaración de los Derechos</w:t>
      </w:r>
      <w:r>
        <w:rPr>
          <w:rFonts w:ascii="Abadi" w:hAnsi="Abadi" w:cs="ArialMT"/>
          <w:sz w:val="21"/>
          <w:szCs w:val="21"/>
        </w:rPr>
        <w:t xml:space="preserve"> </w:t>
      </w:r>
      <w:r w:rsidRPr="00ED26A2">
        <w:rPr>
          <w:rFonts w:ascii="Abadi" w:hAnsi="Abadi" w:cs="ArialMT"/>
          <w:sz w:val="21"/>
          <w:szCs w:val="21"/>
        </w:rPr>
        <w:t>del Niño, “el niño, por su falta de madurez física y mental, necesita protección</w:t>
      </w:r>
      <w:r>
        <w:rPr>
          <w:rFonts w:ascii="Abadi" w:hAnsi="Abadi" w:cs="ArialMT"/>
          <w:sz w:val="21"/>
          <w:szCs w:val="21"/>
        </w:rPr>
        <w:t xml:space="preserve"> </w:t>
      </w:r>
      <w:r w:rsidRPr="00ED26A2">
        <w:rPr>
          <w:rFonts w:ascii="Abadi" w:hAnsi="Abadi" w:cs="ArialMT"/>
          <w:sz w:val="21"/>
          <w:szCs w:val="21"/>
        </w:rPr>
        <w:t>y cuidado especiales, incluso la debida protección legal, tanto antes como después del nacimiento”1. Por esto la actividad legislativa debe tender a</w:t>
      </w:r>
      <w:r>
        <w:rPr>
          <w:rFonts w:ascii="Abadi" w:hAnsi="Abadi" w:cs="ArialMT"/>
          <w:sz w:val="21"/>
          <w:szCs w:val="21"/>
        </w:rPr>
        <w:t xml:space="preserve"> </w:t>
      </w:r>
      <w:r w:rsidRPr="00ED26A2">
        <w:rPr>
          <w:rFonts w:ascii="Abadi" w:hAnsi="Abadi" w:cs="ArialMT"/>
          <w:sz w:val="21"/>
          <w:szCs w:val="21"/>
        </w:rPr>
        <w:t>cumplir dicho enunciado.</w:t>
      </w:r>
    </w:p>
    <w:p w14:paraId="3A76301A" w14:textId="77777777" w:rsidR="00306DA7" w:rsidRDefault="00306DA7" w:rsidP="00306DA7">
      <w:pPr>
        <w:autoSpaceDE w:val="0"/>
        <w:autoSpaceDN w:val="0"/>
        <w:adjustRightInd w:val="0"/>
        <w:jc w:val="both"/>
        <w:rPr>
          <w:rFonts w:ascii="Abadi" w:hAnsi="Abadi" w:cs="ArialMT"/>
          <w:sz w:val="21"/>
          <w:szCs w:val="21"/>
        </w:rPr>
      </w:pPr>
    </w:p>
    <w:p w14:paraId="63202325"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Teniendo presente que la necesidad de proporcionar al niño, niña o</w:t>
      </w:r>
      <w:r>
        <w:rPr>
          <w:rFonts w:ascii="Abadi" w:hAnsi="Abadi" w:cs="ArialMT"/>
          <w:sz w:val="21"/>
          <w:szCs w:val="21"/>
        </w:rPr>
        <w:t xml:space="preserve"> </w:t>
      </w:r>
      <w:r w:rsidRPr="00ED26A2">
        <w:rPr>
          <w:rFonts w:ascii="Abadi" w:hAnsi="Abadi" w:cs="ArialMT"/>
          <w:sz w:val="21"/>
          <w:szCs w:val="21"/>
        </w:rPr>
        <w:t>adolescente una protección especial, esto ha sido enunciado en instrumentos</w:t>
      </w:r>
      <w:r>
        <w:rPr>
          <w:rFonts w:ascii="Abadi" w:hAnsi="Abadi" w:cs="ArialMT"/>
          <w:sz w:val="21"/>
          <w:szCs w:val="21"/>
        </w:rPr>
        <w:t xml:space="preserve"> </w:t>
      </w:r>
      <w:r w:rsidRPr="00ED26A2">
        <w:rPr>
          <w:rFonts w:ascii="Abadi" w:hAnsi="Abadi" w:cs="ArialMT"/>
          <w:sz w:val="21"/>
          <w:szCs w:val="21"/>
        </w:rPr>
        <w:t>internacionales, tales como la Declaración de Ginebra de 1924 sobre los</w:t>
      </w:r>
      <w:r>
        <w:rPr>
          <w:rFonts w:ascii="Abadi" w:hAnsi="Abadi" w:cs="ArialMT"/>
          <w:sz w:val="21"/>
          <w:szCs w:val="21"/>
        </w:rPr>
        <w:t xml:space="preserve"> </w:t>
      </w:r>
      <w:r w:rsidRPr="00ED26A2">
        <w:rPr>
          <w:rFonts w:ascii="Abadi" w:hAnsi="Abadi" w:cs="ArialMT"/>
          <w:sz w:val="21"/>
          <w:szCs w:val="21"/>
        </w:rPr>
        <w:t>Derechos del Niño y en la Declaración de los Derechos del Niño adoptada</w:t>
      </w:r>
      <w:r>
        <w:rPr>
          <w:rFonts w:ascii="Abadi" w:hAnsi="Abadi" w:cs="ArialMT"/>
          <w:sz w:val="21"/>
          <w:szCs w:val="21"/>
        </w:rPr>
        <w:t xml:space="preserve"> </w:t>
      </w:r>
      <w:r w:rsidRPr="00ED26A2">
        <w:rPr>
          <w:rFonts w:ascii="Abadi" w:hAnsi="Abadi" w:cs="ArialMT"/>
          <w:sz w:val="21"/>
          <w:szCs w:val="21"/>
        </w:rPr>
        <w:t>por la Asamblea General el 20 de noviembre de 1959, y reconocida en la</w:t>
      </w:r>
      <w:r>
        <w:rPr>
          <w:rFonts w:ascii="Abadi" w:hAnsi="Abadi" w:cs="ArialMT"/>
          <w:sz w:val="21"/>
          <w:szCs w:val="21"/>
        </w:rPr>
        <w:t xml:space="preserve"> </w:t>
      </w:r>
      <w:r w:rsidRPr="00ED26A2">
        <w:rPr>
          <w:rFonts w:ascii="Abadi" w:hAnsi="Abadi" w:cs="ArialMT"/>
          <w:sz w:val="21"/>
          <w:szCs w:val="21"/>
        </w:rPr>
        <w:t>Declaración Universal de Derechos Humanos, en el Pacto Internacional de</w:t>
      </w:r>
      <w:r>
        <w:rPr>
          <w:rFonts w:ascii="Abadi" w:hAnsi="Abadi" w:cs="ArialMT"/>
          <w:sz w:val="21"/>
          <w:szCs w:val="21"/>
        </w:rPr>
        <w:t xml:space="preserve"> </w:t>
      </w:r>
      <w:r w:rsidRPr="00ED26A2">
        <w:rPr>
          <w:rFonts w:ascii="Abadi" w:hAnsi="Abadi" w:cs="ArialMT"/>
          <w:sz w:val="21"/>
          <w:szCs w:val="21"/>
        </w:rPr>
        <w:t xml:space="preserve">Derechos Civiles y Políticos, en particular, </w:t>
      </w:r>
      <w:r w:rsidRPr="00ED26A2">
        <w:rPr>
          <w:rFonts w:ascii="Abadi" w:hAnsi="Abadi" w:cs="ArialMT"/>
          <w:sz w:val="21"/>
          <w:szCs w:val="21"/>
        </w:rPr>
        <w:t>en los artículos 23 y 24, en el Pacto</w:t>
      </w:r>
      <w:r>
        <w:rPr>
          <w:rFonts w:ascii="Abadi" w:hAnsi="Abadi" w:cs="ArialMT"/>
          <w:sz w:val="21"/>
          <w:szCs w:val="21"/>
        </w:rPr>
        <w:t xml:space="preserve"> </w:t>
      </w:r>
      <w:r w:rsidRPr="00ED26A2">
        <w:rPr>
          <w:rFonts w:ascii="Abadi" w:hAnsi="Abadi" w:cs="ArialMT"/>
          <w:sz w:val="21"/>
          <w:szCs w:val="21"/>
        </w:rPr>
        <w:t>Internacional de Derechos Económicos, Sociales y Culturales, en el artículo</w:t>
      </w:r>
      <w:r>
        <w:rPr>
          <w:rFonts w:ascii="Abadi" w:hAnsi="Abadi" w:cs="ArialMT"/>
          <w:sz w:val="21"/>
          <w:szCs w:val="21"/>
        </w:rPr>
        <w:t xml:space="preserve"> </w:t>
      </w:r>
      <w:r w:rsidRPr="00ED26A2">
        <w:rPr>
          <w:rFonts w:ascii="Abadi" w:hAnsi="Abadi" w:cs="ArialMT"/>
          <w:sz w:val="21"/>
          <w:szCs w:val="21"/>
        </w:rPr>
        <w:t>10 y en los estatutos e instrumentos pertinentes de los organismos</w:t>
      </w:r>
      <w:r>
        <w:rPr>
          <w:rFonts w:ascii="Abadi" w:hAnsi="Abadi" w:cs="ArialMT"/>
          <w:sz w:val="21"/>
          <w:szCs w:val="21"/>
        </w:rPr>
        <w:t xml:space="preserve"> </w:t>
      </w:r>
      <w:r w:rsidRPr="00ED26A2">
        <w:rPr>
          <w:rFonts w:ascii="Abadi" w:hAnsi="Abadi" w:cs="ArialMT"/>
          <w:sz w:val="21"/>
          <w:szCs w:val="21"/>
        </w:rPr>
        <w:t>especializados y de las organizaciones internacionales que se interesan en</w:t>
      </w:r>
      <w:r>
        <w:rPr>
          <w:rFonts w:ascii="Abadi" w:hAnsi="Abadi" w:cs="ArialMT"/>
          <w:sz w:val="21"/>
          <w:szCs w:val="21"/>
        </w:rPr>
        <w:t xml:space="preserve"> </w:t>
      </w:r>
      <w:r w:rsidRPr="00ED26A2">
        <w:rPr>
          <w:rFonts w:ascii="Abadi" w:hAnsi="Abadi" w:cs="ArialMT"/>
          <w:sz w:val="21"/>
          <w:szCs w:val="21"/>
        </w:rPr>
        <w:t>el bienestar del niño.</w:t>
      </w:r>
    </w:p>
    <w:p w14:paraId="62F12A24" w14:textId="77777777" w:rsidR="00306DA7" w:rsidRDefault="00306DA7" w:rsidP="00306DA7">
      <w:pPr>
        <w:autoSpaceDE w:val="0"/>
        <w:autoSpaceDN w:val="0"/>
        <w:adjustRightInd w:val="0"/>
        <w:jc w:val="both"/>
        <w:rPr>
          <w:rFonts w:ascii="Abadi" w:hAnsi="Abadi" w:cs="ArialMT"/>
          <w:sz w:val="21"/>
          <w:szCs w:val="21"/>
        </w:rPr>
      </w:pPr>
    </w:p>
    <w:p w14:paraId="58EA8FE7"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Es por ello, que la Convención de los Derechos del Niño, en su artículo 2,</w:t>
      </w:r>
      <w:r>
        <w:rPr>
          <w:rFonts w:ascii="Abadi" w:hAnsi="Abadi" w:cs="ArialMT"/>
          <w:sz w:val="21"/>
          <w:szCs w:val="21"/>
        </w:rPr>
        <w:t xml:space="preserve"> </w:t>
      </w:r>
      <w:r w:rsidRPr="00ED26A2">
        <w:rPr>
          <w:rFonts w:ascii="Abadi" w:hAnsi="Abadi" w:cs="ArialMT"/>
          <w:sz w:val="21"/>
          <w:szCs w:val="21"/>
        </w:rPr>
        <w:t>numeral 2 señala en forma expresa:</w:t>
      </w:r>
    </w:p>
    <w:p w14:paraId="399F6F2E" w14:textId="77777777" w:rsidR="00306DA7" w:rsidRDefault="00306DA7" w:rsidP="00306DA7">
      <w:pPr>
        <w:autoSpaceDE w:val="0"/>
        <w:autoSpaceDN w:val="0"/>
        <w:adjustRightInd w:val="0"/>
        <w:jc w:val="both"/>
        <w:rPr>
          <w:rFonts w:ascii="Abadi" w:hAnsi="Abadi" w:cs="Arial-ItalicMT"/>
          <w:i/>
          <w:iCs/>
          <w:sz w:val="21"/>
          <w:szCs w:val="21"/>
        </w:rPr>
      </w:pPr>
    </w:p>
    <w:p w14:paraId="3478FE85" w14:textId="77777777" w:rsidR="00306DA7" w:rsidRPr="00ED26A2" w:rsidRDefault="00306DA7" w:rsidP="00306DA7">
      <w:pPr>
        <w:autoSpaceDE w:val="0"/>
        <w:autoSpaceDN w:val="0"/>
        <w:adjustRightInd w:val="0"/>
        <w:jc w:val="both"/>
        <w:rPr>
          <w:rFonts w:ascii="Abadi" w:hAnsi="Abadi" w:cs="Arial-BoldItalicMT"/>
          <w:b/>
          <w:bCs/>
          <w:i/>
          <w:iCs/>
          <w:sz w:val="21"/>
          <w:szCs w:val="21"/>
        </w:rPr>
      </w:pPr>
      <w:r w:rsidRPr="00ED26A2">
        <w:rPr>
          <w:rFonts w:ascii="Abadi" w:hAnsi="Abadi" w:cs="Arial-ItalicMT"/>
          <w:i/>
          <w:iCs/>
          <w:sz w:val="21"/>
          <w:szCs w:val="21"/>
        </w:rPr>
        <w:t>“</w:t>
      </w:r>
      <w:r w:rsidRPr="00ED26A2">
        <w:rPr>
          <w:rFonts w:ascii="Abadi" w:hAnsi="Abadi" w:cs="Arial-BoldItalicMT"/>
          <w:b/>
          <w:bCs/>
          <w:i/>
          <w:iCs/>
          <w:sz w:val="21"/>
          <w:szCs w:val="21"/>
        </w:rPr>
        <w:t>Artículo 2</w:t>
      </w:r>
    </w:p>
    <w:p w14:paraId="20C900BF" w14:textId="77777777" w:rsidR="00306DA7" w:rsidRDefault="00306DA7" w:rsidP="00306DA7">
      <w:pPr>
        <w:autoSpaceDE w:val="0"/>
        <w:autoSpaceDN w:val="0"/>
        <w:adjustRightInd w:val="0"/>
        <w:jc w:val="both"/>
        <w:rPr>
          <w:rFonts w:ascii="Abadi" w:hAnsi="Abadi" w:cs="Arial-ItalicMT"/>
          <w:i/>
          <w:iCs/>
          <w:sz w:val="21"/>
          <w:szCs w:val="21"/>
        </w:rPr>
      </w:pPr>
    </w:p>
    <w:p w14:paraId="5A2E5D5A" w14:textId="77777777" w:rsidR="00306DA7" w:rsidRPr="00ED26A2" w:rsidRDefault="00306DA7" w:rsidP="00306DA7">
      <w:pPr>
        <w:autoSpaceDE w:val="0"/>
        <w:autoSpaceDN w:val="0"/>
        <w:adjustRightInd w:val="0"/>
        <w:jc w:val="both"/>
        <w:rPr>
          <w:rFonts w:ascii="Abadi" w:hAnsi="Abadi" w:cs="Arial-ItalicMT"/>
          <w:i/>
          <w:iCs/>
          <w:sz w:val="21"/>
          <w:szCs w:val="21"/>
        </w:rPr>
      </w:pPr>
      <w:r w:rsidRPr="00ED26A2">
        <w:rPr>
          <w:rFonts w:ascii="Abadi" w:hAnsi="Abadi" w:cs="Arial-ItalicMT"/>
          <w:i/>
          <w:iCs/>
          <w:sz w:val="21"/>
          <w:szCs w:val="21"/>
        </w:rPr>
        <w:t>2. Los Estados Partes tomarán todas las medidas apropiadas para garantizar</w:t>
      </w:r>
      <w:r>
        <w:rPr>
          <w:rFonts w:ascii="Abadi" w:hAnsi="Abadi" w:cs="Arial-ItalicMT"/>
          <w:i/>
          <w:iCs/>
          <w:sz w:val="21"/>
          <w:szCs w:val="21"/>
        </w:rPr>
        <w:t xml:space="preserve"> </w:t>
      </w:r>
      <w:r w:rsidRPr="00ED26A2">
        <w:rPr>
          <w:rFonts w:ascii="Abadi" w:hAnsi="Abadi" w:cs="Arial-ItalicMT"/>
          <w:i/>
          <w:iCs/>
          <w:sz w:val="21"/>
          <w:szCs w:val="21"/>
        </w:rPr>
        <w:t>que el niño se vea protegido contra toda forma de discriminación o castigo</w:t>
      </w:r>
      <w:r>
        <w:rPr>
          <w:rFonts w:ascii="Abadi" w:hAnsi="Abadi" w:cs="Arial-ItalicMT"/>
          <w:i/>
          <w:iCs/>
          <w:sz w:val="21"/>
          <w:szCs w:val="21"/>
        </w:rPr>
        <w:t xml:space="preserve"> </w:t>
      </w:r>
      <w:r w:rsidRPr="00ED26A2">
        <w:rPr>
          <w:rFonts w:ascii="Abadi" w:hAnsi="Abadi" w:cs="Arial-ItalicMT"/>
          <w:i/>
          <w:iCs/>
          <w:sz w:val="21"/>
          <w:szCs w:val="21"/>
        </w:rPr>
        <w:t>por causa de la condición, las actividades, las opiniones expresadas o las</w:t>
      </w:r>
      <w:r>
        <w:rPr>
          <w:rFonts w:ascii="Abadi" w:hAnsi="Abadi" w:cs="Arial-ItalicMT"/>
          <w:i/>
          <w:iCs/>
          <w:sz w:val="21"/>
          <w:szCs w:val="21"/>
        </w:rPr>
        <w:t xml:space="preserve"> </w:t>
      </w:r>
      <w:r w:rsidRPr="00ED26A2">
        <w:rPr>
          <w:rFonts w:ascii="Abadi" w:hAnsi="Abadi" w:cs="Arial-ItalicMT"/>
          <w:i/>
          <w:iCs/>
          <w:sz w:val="21"/>
          <w:szCs w:val="21"/>
        </w:rPr>
        <w:t>creencias de sus padres, o sus tutores o de sus familiares.”</w:t>
      </w:r>
      <w:r>
        <w:rPr>
          <w:rStyle w:val="Refdenotaalpie"/>
          <w:rFonts w:ascii="Abadi" w:hAnsi="Abadi" w:cs="Arial-ItalicMT"/>
          <w:i/>
          <w:iCs/>
          <w:sz w:val="21"/>
          <w:szCs w:val="21"/>
        </w:rPr>
        <w:footnoteReference w:id="35"/>
      </w:r>
    </w:p>
    <w:p w14:paraId="3FC027DA" w14:textId="77777777" w:rsidR="00306DA7" w:rsidRDefault="00306DA7" w:rsidP="00306DA7">
      <w:pPr>
        <w:autoSpaceDE w:val="0"/>
        <w:autoSpaceDN w:val="0"/>
        <w:adjustRightInd w:val="0"/>
        <w:jc w:val="both"/>
        <w:rPr>
          <w:rFonts w:ascii="Abadi" w:hAnsi="Abadi" w:cs="ArialMT"/>
          <w:sz w:val="21"/>
          <w:szCs w:val="21"/>
        </w:rPr>
      </w:pPr>
    </w:p>
    <w:p w14:paraId="49C5AE16"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Así, la necesidad de proporcionar una protección especial a la infancia ya</w:t>
      </w:r>
      <w:r>
        <w:rPr>
          <w:rFonts w:ascii="Abadi" w:hAnsi="Abadi" w:cs="ArialMT"/>
          <w:sz w:val="21"/>
          <w:szCs w:val="21"/>
        </w:rPr>
        <w:t xml:space="preserve"> </w:t>
      </w:r>
      <w:r w:rsidRPr="00ED26A2">
        <w:rPr>
          <w:rFonts w:ascii="Abadi" w:hAnsi="Abadi" w:cs="ArialMT"/>
          <w:sz w:val="21"/>
          <w:szCs w:val="21"/>
        </w:rPr>
        <w:t>había sido enunciada en la Declaración de Ginebra sobre los Derechos del</w:t>
      </w:r>
      <w:r>
        <w:rPr>
          <w:rFonts w:ascii="Abadi" w:hAnsi="Abadi" w:cs="ArialMT"/>
          <w:sz w:val="21"/>
          <w:szCs w:val="21"/>
        </w:rPr>
        <w:t xml:space="preserve"> </w:t>
      </w:r>
      <w:r w:rsidRPr="00ED26A2">
        <w:rPr>
          <w:rFonts w:ascii="Abadi" w:hAnsi="Abadi" w:cs="ArialMT"/>
          <w:sz w:val="21"/>
          <w:szCs w:val="21"/>
        </w:rPr>
        <w:t>Niño de 1924 y en la Declaración de los Derechos del Niño adoptada por la</w:t>
      </w:r>
      <w:r>
        <w:rPr>
          <w:rFonts w:ascii="Abadi" w:hAnsi="Abadi" w:cs="ArialMT"/>
          <w:sz w:val="21"/>
          <w:szCs w:val="21"/>
        </w:rPr>
        <w:t xml:space="preserve"> </w:t>
      </w:r>
      <w:r w:rsidRPr="00ED26A2">
        <w:rPr>
          <w:rFonts w:ascii="Abadi" w:hAnsi="Abadi" w:cs="ArialMT"/>
          <w:sz w:val="21"/>
          <w:szCs w:val="21"/>
        </w:rPr>
        <w:t>Asamblea General de las Naciones Unidas, y reconocida en la Declaración</w:t>
      </w:r>
      <w:r>
        <w:rPr>
          <w:rFonts w:ascii="Abadi" w:hAnsi="Abadi" w:cs="ArialMT"/>
          <w:sz w:val="21"/>
          <w:szCs w:val="21"/>
        </w:rPr>
        <w:t xml:space="preserve"> </w:t>
      </w:r>
      <w:r w:rsidRPr="00ED26A2">
        <w:rPr>
          <w:rFonts w:ascii="Abadi" w:hAnsi="Abadi" w:cs="ArialMT"/>
          <w:sz w:val="21"/>
          <w:szCs w:val="21"/>
        </w:rPr>
        <w:t>Universal de Derechos Humanos, que ya en 1948 estableció que “todos los</w:t>
      </w:r>
      <w:r>
        <w:rPr>
          <w:rFonts w:ascii="Abadi" w:hAnsi="Abadi" w:cs="ArialMT"/>
          <w:sz w:val="21"/>
          <w:szCs w:val="21"/>
        </w:rPr>
        <w:t xml:space="preserve"> </w:t>
      </w:r>
      <w:r w:rsidRPr="00ED26A2">
        <w:rPr>
          <w:rFonts w:ascii="Abadi" w:hAnsi="Abadi" w:cs="ArialMT"/>
          <w:sz w:val="21"/>
          <w:szCs w:val="21"/>
        </w:rPr>
        <w:t>seres humanos nacen libres e iguales en dignidad y derechos”, reconociendo</w:t>
      </w:r>
      <w:r>
        <w:rPr>
          <w:rFonts w:ascii="Abadi" w:hAnsi="Abadi" w:cs="ArialMT"/>
          <w:sz w:val="21"/>
          <w:szCs w:val="21"/>
        </w:rPr>
        <w:t xml:space="preserve"> </w:t>
      </w:r>
      <w:r w:rsidRPr="00ED26A2">
        <w:rPr>
          <w:rFonts w:ascii="Abadi" w:hAnsi="Abadi" w:cs="ArialMT"/>
          <w:sz w:val="21"/>
          <w:szCs w:val="21"/>
        </w:rPr>
        <w:t>la necesidad de los niños a recibir atención y asistencia especiales.</w:t>
      </w:r>
    </w:p>
    <w:p w14:paraId="3FB45E4E" w14:textId="77777777" w:rsidR="00306DA7" w:rsidRDefault="00306DA7" w:rsidP="00306DA7">
      <w:pPr>
        <w:autoSpaceDE w:val="0"/>
        <w:autoSpaceDN w:val="0"/>
        <w:adjustRightInd w:val="0"/>
        <w:jc w:val="both"/>
        <w:rPr>
          <w:rFonts w:ascii="Abadi" w:hAnsi="Abadi" w:cs="ArialMT"/>
          <w:sz w:val="21"/>
          <w:szCs w:val="21"/>
        </w:rPr>
      </w:pPr>
    </w:p>
    <w:p w14:paraId="0592A7C9"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También, dicha Convención en su artículo 3, numerales 1 y 2, establecen el</w:t>
      </w:r>
      <w:r>
        <w:rPr>
          <w:rFonts w:ascii="Abadi" w:hAnsi="Abadi" w:cs="ArialMT"/>
          <w:sz w:val="21"/>
          <w:szCs w:val="21"/>
        </w:rPr>
        <w:t xml:space="preserve"> </w:t>
      </w:r>
      <w:r w:rsidRPr="00ED26A2">
        <w:rPr>
          <w:rFonts w:ascii="Abadi" w:hAnsi="Abadi" w:cs="ArialMT"/>
          <w:sz w:val="21"/>
          <w:szCs w:val="21"/>
        </w:rPr>
        <w:t>principio estructural del interés superior del niño y la obligación de las</w:t>
      </w:r>
      <w:r>
        <w:rPr>
          <w:rFonts w:ascii="Abadi" w:hAnsi="Abadi" w:cs="ArialMT"/>
          <w:sz w:val="21"/>
          <w:szCs w:val="21"/>
        </w:rPr>
        <w:t xml:space="preserve"> </w:t>
      </w:r>
      <w:r w:rsidRPr="00ED26A2">
        <w:rPr>
          <w:rFonts w:ascii="Abadi" w:hAnsi="Abadi" w:cs="ArialMT"/>
          <w:sz w:val="21"/>
          <w:szCs w:val="21"/>
        </w:rPr>
        <w:t>autoridades, entre ellas las legislativa, de atender dicho principio en sus</w:t>
      </w:r>
      <w:r>
        <w:rPr>
          <w:rFonts w:ascii="Abadi" w:hAnsi="Abadi" w:cs="ArialMT"/>
          <w:sz w:val="21"/>
          <w:szCs w:val="21"/>
        </w:rPr>
        <w:t xml:space="preserve"> </w:t>
      </w:r>
      <w:r w:rsidRPr="00ED26A2">
        <w:rPr>
          <w:rFonts w:ascii="Abadi" w:hAnsi="Abadi" w:cs="ArialMT"/>
          <w:sz w:val="21"/>
          <w:szCs w:val="21"/>
        </w:rPr>
        <w:t>funciones, al señalar en forma textual:</w:t>
      </w:r>
    </w:p>
    <w:p w14:paraId="663B8E81" w14:textId="77777777" w:rsidR="00306DA7" w:rsidRDefault="00306DA7" w:rsidP="00306DA7">
      <w:pPr>
        <w:autoSpaceDE w:val="0"/>
        <w:autoSpaceDN w:val="0"/>
        <w:adjustRightInd w:val="0"/>
        <w:jc w:val="both"/>
        <w:rPr>
          <w:rFonts w:ascii="Abadi" w:hAnsi="Abadi" w:cs="ArialMT"/>
          <w:sz w:val="21"/>
          <w:szCs w:val="21"/>
        </w:rPr>
      </w:pPr>
    </w:p>
    <w:p w14:paraId="15D6C574" w14:textId="77777777" w:rsidR="00306DA7" w:rsidRPr="00ED26A2" w:rsidRDefault="00306DA7" w:rsidP="00306DA7">
      <w:pPr>
        <w:autoSpaceDE w:val="0"/>
        <w:autoSpaceDN w:val="0"/>
        <w:adjustRightInd w:val="0"/>
        <w:jc w:val="both"/>
        <w:rPr>
          <w:rFonts w:ascii="Abadi" w:hAnsi="Abadi" w:cs="Arial-BoldItalicMT"/>
          <w:b/>
          <w:bCs/>
          <w:i/>
          <w:iCs/>
          <w:sz w:val="21"/>
          <w:szCs w:val="21"/>
        </w:rPr>
      </w:pPr>
      <w:r w:rsidRPr="00ED26A2">
        <w:rPr>
          <w:rFonts w:ascii="Abadi" w:hAnsi="Abadi" w:cs="ArialMT"/>
          <w:sz w:val="21"/>
          <w:szCs w:val="21"/>
        </w:rPr>
        <w:t>“</w:t>
      </w:r>
      <w:r w:rsidRPr="00ED26A2">
        <w:rPr>
          <w:rFonts w:ascii="Abadi" w:hAnsi="Abadi" w:cs="Arial-BoldItalicMT"/>
          <w:b/>
          <w:bCs/>
          <w:i/>
          <w:iCs/>
          <w:sz w:val="21"/>
          <w:szCs w:val="21"/>
        </w:rPr>
        <w:t>Artículo 3</w:t>
      </w:r>
    </w:p>
    <w:p w14:paraId="6B61BDC4" w14:textId="77777777" w:rsidR="00306DA7" w:rsidRDefault="00306DA7" w:rsidP="00306DA7">
      <w:pPr>
        <w:autoSpaceDE w:val="0"/>
        <w:autoSpaceDN w:val="0"/>
        <w:adjustRightInd w:val="0"/>
        <w:jc w:val="both"/>
        <w:rPr>
          <w:rFonts w:ascii="Abadi" w:hAnsi="Abadi" w:cs="Arial-ItalicMT"/>
          <w:i/>
          <w:iCs/>
          <w:sz w:val="21"/>
          <w:szCs w:val="21"/>
        </w:rPr>
      </w:pPr>
    </w:p>
    <w:p w14:paraId="1FBA051C" w14:textId="77777777" w:rsidR="00306DA7" w:rsidRPr="006F1DF3" w:rsidRDefault="00306DA7" w:rsidP="00306DA7">
      <w:pPr>
        <w:autoSpaceDE w:val="0"/>
        <w:autoSpaceDN w:val="0"/>
        <w:adjustRightInd w:val="0"/>
        <w:jc w:val="both"/>
        <w:rPr>
          <w:rFonts w:ascii="Abadi" w:hAnsi="Abadi" w:cs="Arial-ItalicMT"/>
          <w:i/>
          <w:iCs/>
          <w:sz w:val="21"/>
          <w:szCs w:val="21"/>
        </w:rPr>
      </w:pPr>
      <w:r w:rsidRPr="006F1DF3">
        <w:rPr>
          <w:rFonts w:ascii="Abadi" w:hAnsi="Abadi" w:cs="Arial-ItalicMT"/>
          <w:i/>
          <w:iCs/>
          <w:sz w:val="21"/>
          <w:szCs w:val="21"/>
        </w:rPr>
        <w:t>1. En todas las medidas concernientes a los niños que tomen las instituciones públicas o privadas de bienestar social, los tribunales, las autoridades administrativas o los órganos legislativos, una consideración primordial a que se atenderá será el interés superior del niño.</w:t>
      </w:r>
    </w:p>
    <w:p w14:paraId="3E62D538" w14:textId="77777777" w:rsidR="00306DA7" w:rsidRPr="006F1DF3" w:rsidRDefault="00306DA7" w:rsidP="00306DA7">
      <w:pPr>
        <w:autoSpaceDE w:val="0"/>
        <w:autoSpaceDN w:val="0"/>
        <w:adjustRightInd w:val="0"/>
        <w:jc w:val="both"/>
        <w:rPr>
          <w:rFonts w:ascii="Abadi" w:hAnsi="Abadi" w:cs="Arial-ItalicMT"/>
          <w:i/>
          <w:iCs/>
          <w:sz w:val="21"/>
          <w:szCs w:val="21"/>
        </w:rPr>
      </w:pPr>
    </w:p>
    <w:p w14:paraId="709A9B35" w14:textId="77777777" w:rsidR="00306DA7" w:rsidRPr="006F1DF3" w:rsidRDefault="00306DA7" w:rsidP="00306DA7">
      <w:pPr>
        <w:autoSpaceDE w:val="0"/>
        <w:autoSpaceDN w:val="0"/>
        <w:adjustRightInd w:val="0"/>
        <w:jc w:val="both"/>
        <w:rPr>
          <w:rFonts w:ascii="Abadi" w:hAnsi="Abadi" w:cs="Arial-ItalicMT"/>
          <w:i/>
          <w:iCs/>
          <w:sz w:val="21"/>
          <w:szCs w:val="21"/>
        </w:rPr>
      </w:pPr>
      <w:r w:rsidRPr="006F1DF3">
        <w:rPr>
          <w:rFonts w:ascii="Abadi" w:hAnsi="Abadi" w:cs="Arial-ItalicMT"/>
          <w:i/>
          <w:iCs/>
          <w:sz w:val="21"/>
          <w:szCs w:val="21"/>
        </w:rPr>
        <w:lastRenderedPageBreak/>
        <w:t>2. Los Estados Partes se comprometen a asegurar al niño la protección y el cuidado que sean necesarios para su bienestar, teniendo en cuenta los derechos y deberes de sus padres, tutores u otras personas responsables de él ante la ley y, con ese fin, tomarán todas las medidas legislativas y administrativas adecuadas”.</w:t>
      </w:r>
    </w:p>
    <w:p w14:paraId="76414699" w14:textId="77777777" w:rsidR="00306DA7" w:rsidRDefault="00306DA7" w:rsidP="00306DA7">
      <w:pPr>
        <w:autoSpaceDE w:val="0"/>
        <w:autoSpaceDN w:val="0"/>
        <w:adjustRightInd w:val="0"/>
        <w:jc w:val="both"/>
        <w:rPr>
          <w:rFonts w:ascii="Abadi" w:hAnsi="Abadi" w:cs="ArialMT"/>
          <w:sz w:val="21"/>
          <w:szCs w:val="21"/>
        </w:rPr>
      </w:pPr>
    </w:p>
    <w:p w14:paraId="413E4FA5"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A la fecha, es indudable reconocer el impacto que la Convención sobre los</w:t>
      </w:r>
      <w:r>
        <w:rPr>
          <w:rFonts w:ascii="Abadi" w:hAnsi="Abadi" w:cs="ArialMT"/>
          <w:sz w:val="21"/>
          <w:szCs w:val="21"/>
        </w:rPr>
        <w:t xml:space="preserve"> </w:t>
      </w:r>
      <w:r w:rsidRPr="00ED26A2">
        <w:rPr>
          <w:rFonts w:ascii="Abadi" w:hAnsi="Abadi" w:cs="ArialMT"/>
          <w:sz w:val="21"/>
          <w:szCs w:val="21"/>
        </w:rPr>
        <w:t>Derechos del Niño de las Naciones Unidas ha tenido en la modificación del</w:t>
      </w:r>
      <w:r>
        <w:rPr>
          <w:rFonts w:ascii="Abadi" w:hAnsi="Abadi" w:cs="ArialMT"/>
          <w:sz w:val="21"/>
          <w:szCs w:val="21"/>
        </w:rPr>
        <w:t xml:space="preserve"> </w:t>
      </w:r>
      <w:r w:rsidRPr="00ED26A2">
        <w:rPr>
          <w:rFonts w:ascii="Abadi" w:hAnsi="Abadi" w:cs="ArialMT"/>
          <w:sz w:val="21"/>
          <w:szCs w:val="21"/>
        </w:rPr>
        <w:t>estatus jurídico de la infancia y adolescencia, puesto que se ha consolidado</w:t>
      </w:r>
      <w:r>
        <w:rPr>
          <w:rFonts w:ascii="Abadi" w:hAnsi="Abadi" w:cs="ArialMT"/>
          <w:sz w:val="21"/>
          <w:szCs w:val="21"/>
        </w:rPr>
        <w:t xml:space="preserve"> </w:t>
      </w:r>
      <w:r w:rsidRPr="00ED26A2">
        <w:rPr>
          <w:rFonts w:ascii="Abadi" w:hAnsi="Abadi" w:cs="ArialMT"/>
          <w:sz w:val="21"/>
          <w:szCs w:val="21"/>
        </w:rPr>
        <w:t>además la imagen del niño ante el Derecho Internacional como “sujeto de</w:t>
      </w:r>
      <w:r>
        <w:rPr>
          <w:rFonts w:ascii="Abadi" w:hAnsi="Abadi" w:cs="ArialMT"/>
          <w:sz w:val="21"/>
          <w:szCs w:val="21"/>
        </w:rPr>
        <w:t xml:space="preserve"> </w:t>
      </w:r>
      <w:r w:rsidRPr="00ED26A2">
        <w:rPr>
          <w:rFonts w:ascii="Abadi" w:hAnsi="Abadi" w:cs="ArialMT"/>
          <w:sz w:val="21"/>
          <w:szCs w:val="21"/>
        </w:rPr>
        <w:t>derechos”, lo que ha repercutido en el ámbito nacional de los Estados parte</w:t>
      </w:r>
      <w:r>
        <w:rPr>
          <w:rFonts w:ascii="Abadi" w:hAnsi="Abadi" w:cs="ArialMT"/>
          <w:sz w:val="21"/>
          <w:szCs w:val="21"/>
        </w:rPr>
        <w:t xml:space="preserve"> </w:t>
      </w:r>
      <w:r w:rsidRPr="00ED26A2">
        <w:rPr>
          <w:rFonts w:ascii="Abadi" w:hAnsi="Abadi" w:cs="ArialMT"/>
          <w:sz w:val="21"/>
          <w:szCs w:val="21"/>
        </w:rPr>
        <w:t>en todas las materias del derecho.</w:t>
      </w:r>
    </w:p>
    <w:p w14:paraId="0E8254B8" w14:textId="77777777" w:rsidR="00306DA7" w:rsidRDefault="00306DA7" w:rsidP="00306DA7">
      <w:pPr>
        <w:autoSpaceDE w:val="0"/>
        <w:autoSpaceDN w:val="0"/>
        <w:adjustRightInd w:val="0"/>
        <w:jc w:val="both"/>
        <w:rPr>
          <w:rFonts w:ascii="Abadi" w:hAnsi="Abadi" w:cs="ArialMT"/>
          <w:sz w:val="21"/>
          <w:szCs w:val="21"/>
        </w:rPr>
      </w:pPr>
    </w:p>
    <w:p w14:paraId="38F8E046"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La Convención de mérito también introduce como un concepto central de los</w:t>
      </w:r>
      <w:r>
        <w:rPr>
          <w:rFonts w:ascii="Abadi" w:hAnsi="Abadi" w:cs="ArialMT"/>
          <w:sz w:val="21"/>
          <w:szCs w:val="21"/>
        </w:rPr>
        <w:t xml:space="preserve"> </w:t>
      </w:r>
      <w:r w:rsidRPr="00ED26A2">
        <w:rPr>
          <w:rFonts w:ascii="Abadi" w:hAnsi="Abadi" w:cs="ArialMT"/>
          <w:sz w:val="21"/>
          <w:szCs w:val="21"/>
        </w:rPr>
        <w:t>derechos del niño y del derecho de familia contemporáneo el interés superior;</w:t>
      </w:r>
      <w:r>
        <w:rPr>
          <w:rFonts w:ascii="Abadi" w:hAnsi="Abadi" w:cs="ArialMT"/>
          <w:sz w:val="21"/>
          <w:szCs w:val="21"/>
        </w:rPr>
        <w:t xml:space="preserve"> </w:t>
      </w:r>
      <w:r w:rsidRPr="00ED26A2">
        <w:rPr>
          <w:rFonts w:ascii="Abadi" w:hAnsi="Abadi" w:cs="ArialMT"/>
          <w:sz w:val="21"/>
          <w:szCs w:val="21"/>
        </w:rPr>
        <w:t>lo considera uno de los cuatro principios generales de la Convención sobre</w:t>
      </w:r>
      <w:r>
        <w:rPr>
          <w:rFonts w:ascii="Abadi" w:hAnsi="Abadi" w:cs="ArialMT"/>
          <w:sz w:val="21"/>
          <w:szCs w:val="21"/>
        </w:rPr>
        <w:t xml:space="preserve"> </w:t>
      </w:r>
      <w:r w:rsidRPr="00ED26A2">
        <w:rPr>
          <w:rFonts w:ascii="Abadi" w:hAnsi="Abadi" w:cs="ArialMT"/>
          <w:sz w:val="21"/>
          <w:szCs w:val="21"/>
        </w:rPr>
        <w:t>los Derechos del Niño, al igual que la no discriminación señalada en el artículo</w:t>
      </w:r>
      <w:r>
        <w:rPr>
          <w:rFonts w:ascii="Abadi" w:hAnsi="Abadi" w:cs="ArialMT"/>
          <w:sz w:val="21"/>
          <w:szCs w:val="21"/>
        </w:rPr>
        <w:t xml:space="preserve"> </w:t>
      </w:r>
      <w:r w:rsidRPr="00ED26A2">
        <w:rPr>
          <w:rFonts w:ascii="Abadi" w:hAnsi="Abadi" w:cs="ArialMT"/>
          <w:sz w:val="21"/>
          <w:szCs w:val="21"/>
        </w:rPr>
        <w:t>2, el derecho a la vida, supervivencia y desarrollo en el artículo 6 y la opinión</w:t>
      </w:r>
      <w:r>
        <w:rPr>
          <w:rFonts w:ascii="Abadi" w:hAnsi="Abadi" w:cs="ArialMT"/>
          <w:sz w:val="21"/>
          <w:szCs w:val="21"/>
        </w:rPr>
        <w:t xml:space="preserve"> </w:t>
      </w:r>
      <w:r w:rsidRPr="00ED26A2">
        <w:rPr>
          <w:rFonts w:ascii="Abadi" w:hAnsi="Abadi" w:cs="ArialMT"/>
          <w:sz w:val="21"/>
          <w:szCs w:val="21"/>
        </w:rPr>
        <w:t>del niño establecida en el artículo 12 de dicho instrumento</w:t>
      </w:r>
      <w:r>
        <w:rPr>
          <w:rStyle w:val="Refdenotaalpie"/>
          <w:rFonts w:ascii="Abadi" w:hAnsi="Abadi" w:cs="ArialMT"/>
          <w:sz w:val="21"/>
          <w:szCs w:val="21"/>
        </w:rPr>
        <w:footnoteReference w:id="36"/>
      </w:r>
      <w:r w:rsidRPr="00ED26A2">
        <w:rPr>
          <w:rFonts w:ascii="Abadi" w:hAnsi="Abadi" w:cs="ArialMT"/>
          <w:sz w:val="21"/>
          <w:szCs w:val="21"/>
        </w:rPr>
        <w:t>.</w:t>
      </w:r>
    </w:p>
    <w:p w14:paraId="3EC0B792" w14:textId="77777777" w:rsidR="00306DA7" w:rsidRDefault="00306DA7" w:rsidP="00306DA7">
      <w:pPr>
        <w:autoSpaceDE w:val="0"/>
        <w:autoSpaceDN w:val="0"/>
        <w:adjustRightInd w:val="0"/>
        <w:jc w:val="both"/>
        <w:rPr>
          <w:rFonts w:ascii="Abadi" w:hAnsi="Abadi" w:cs="ArialMT"/>
          <w:sz w:val="21"/>
          <w:szCs w:val="21"/>
        </w:rPr>
      </w:pPr>
    </w:p>
    <w:p w14:paraId="024F233A"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La incorporación del interés superior a la Convención sobre Derechos del</w:t>
      </w:r>
      <w:r>
        <w:rPr>
          <w:rFonts w:ascii="Abadi" w:hAnsi="Abadi" w:cs="ArialMT"/>
          <w:sz w:val="21"/>
          <w:szCs w:val="21"/>
        </w:rPr>
        <w:t xml:space="preserve"> </w:t>
      </w:r>
      <w:r w:rsidRPr="00ED26A2">
        <w:rPr>
          <w:rFonts w:ascii="Abadi" w:hAnsi="Abadi" w:cs="ArialMT"/>
          <w:sz w:val="21"/>
          <w:szCs w:val="21"/>
        </w:rPr>
        <w:t>Niño es resultado de la evolución en la consideración social sobre la infancia.</w:t>
      </w:r>
      <w:r>
        <w:rPr>
          <w:rFonts w:ascii="Abadi" w:hAnsi="Abadi" w:cs="ArialMT"/>
          <w:sz w:val="21"/>
          <w:szCs w:val="21"/>
        </w:rPr>
        <w:t xml:space="preserve"> </w:t>
      </w:r>
      <w:r w:rsidRPr="00ED26A2">
        <w:rPr>
          <w:rFonts w:ascii="Abadi" w:hAnsi="Abadi" w:cs="ArialMT"/>
          <w:sz w:val="21"/>
          <w:szCs w:val="21"/>
        </w:rPr>
        <w:t>Bala</w:t>
      </w:r>
      <w:r>
        <w:rPr>
          <w:rStyle w:val="Refdenotaalpie"/>
          <w:rFonts w:ascii="Abadi" w:hAnsi="Abadi" w:cs="ArialMT"/>
          <w:sz w:val="21"/>
          <w:szCs w:val="21"/>
        </w:rPr>
        <w:footnoteReference w:id="37"/>
      </w:r>
      <w:r w:rsidRPr="00ED26A2">
        <w:rPr>
          <w:rFonts w:ascii="Abadi" w:hAnsi="Abadi" w:cs="ArialMT"/>
          <w:sz w:val="21"/>
          <w:szCs w:val="21"/>
        </w:rPr>
        <w:t xml:space="preserve"> sostiene que la única forma de apreciar la importancia del principio del</w:t>
      </w:r>
      <w:r>
        <w:rPr>
          <w:rFonts w:ascii="Abadi" w:hAnsi="Abadi" w:cs="ArialMT"/>
          <w:sz w:val="21"/>
          <w:szCs w:val="21"/>
        </w:rPr>
        <w:t xml:space="preserve"> </w:t>
      </w:r>
      <w:r w:rsidRPr="00ED26A2">
        <w:rPr>
          <w:rFonts w:ascii="Abadi" w:hAnsi="Abadi" w:cs="ArialMT"/>
          <w:sz w:val="21"/>
          <w:szCs w:val="21"/>
        </w:rPr>
        <w:t>interés superior –con un enfoque en el bienestar de los niños– es asumiendo</w:t>
      </w:r>
      <w:r>
        <w:rPr>
          <w:rFonts w:ascii="Abadi" w:hAnsi="Abadi" w:cs="ArialMT"/>
          <w:sz w:val="21"/>
          <w:szCs w:val="21"/>
        </w:rPr>
        <w:t xml:space="preserve"> </w:t>
      </w:r>
      <w:r w:rsidRPr="00ED26A2">
        <w:rPr>
          <w:rFonts w:ascii="Abadi" w:hAnsi="Abadi" w:cs="ArialMT"/>
          <w:sz w:val="21"/>
          <w:szCs w:val="21"/>
        </w:rPr>
        <w:t>que este representa la culminación de dos milenios de historia del Derecho,</w:t>
      </w:r>
      <w:r>
        <w:rPr>
          <w:rFonts w:ascii="Abadi" w:hAnsi="Abadi" w:cs="ArialMT"/>
          <w:sz w:val="21"/>
          <w:szCs w:val="21"/>
        </w:rPr>
        <w:t xml:space="preserve"> </w:t>
      </w:r>
      <w:r w:rsidRPr="00ED26A2">
        <w:rPr>
          <w:rFonts w:ascii="Abadi" w:hAnsi="Abadi" w:cs="ArialMT"/>
          <w:sz w:val="21"/>
          <w:szCs w:val="21"/>
        </w:rPr>
        <w:t>una historia que puede rastrearse desde Roma, cuando la patria potestad daba un poder tal al padre que este podía disponer de la vida y el futuro de</w:t>
      </w:r>
      <w:r>
        <w:rPr>
          <w:rFonts w:ascii="Abadi" w:hAnsi="Abadi" w:cs="ArialMT"/>
          <w:sz w:val="21"/>
          <w:szCs w:val="21"/>
        </w:rPr>
        <w:t xml:space="preserve"> </w:t>
      </w:r>
      <w:r w:rsidRPr="00ED26A2">
        <w:rPr>
          <w:rFonts w:ascii="Abadi" w:hAnsi="Abadi" w:cs="ArialMT"/>
          <w:sz w:val="21"/>
          <w:szCs w:val="21"/>
        </w:rPr>
        <w:t>sus hijos; incluso podía decidir si los aceptaba o no como tales, hasta la</w:t>
      </w:r>
      <w:r>
        <w:rPr>
          <w:rFonts w:ascii="Abadi" w:hAnsi="Abadi" w:cs="ArialMT"/>
          <w:sz w:val="21"/>
          <w:szCs w:val="21"/>
        </w:rPr>
        <w:t xml:space="preserve"> </w:t>
      </w:r>
      <w:r w:rsidRPr="00ED26A2">
        <w:rPr>
          <w:rFonts w:ascii="Abadi" w:hAnsi="Abadi" w:cs="ArialMT"/>
          <w:sz w:val="21"/>
          <w:szCs w:val="21"/>
        </w:rPr>
        <w:t xml:space="preserve">Convención en </w:t>
      </w:r>
      <w:r w:rsidRPr="00ED26A2">
        <w:rPr>
          <w:rFonts w:ascii="Abadi" w:hAnsi="Abadi" w:cs="ArialMT"/>
          <w:sz w:val="21"/>
          <w:szCs w:val="21"/>
        </w:rPr>
        <w:t>1989, que introduce un nuevo status jurídico</w:t>
      </w:r>
      <w:r>
        <w:rPr>
          <w:rStyle w:val="Refdenotaalpie"/>
          <w:rFonts w:ascii="Abadi" w:hAnsi="Abadi" w:cs="ArialMT"/>
          <w:sz w:val="21"/>
          <w:szCs w:val="21"/>
        </w:rPr>
        <w:footnoteReference w:id="38"/>
      </w:r>
      <w:r w:rsidRPr="00ED26A2">
        <w:rPr>
          <w:rFonts w:ascii="Abadi" w:hAnsi="Abadi" w:cs="ArialMT"/>
          <w:sz w:val="21"/>
          <w:szCs w:val="21"/>
        </w:rPr>
        <w:t>.</w:t>
      </w:r>
    </w:p>
    <w:p w14:paraId="31070A9D" w14:textId="77777777" w:rsidR="00306DA7" w:rsidRDefault="00306DA7" w:rsidP="00306DA7">
      <w:pPr>
        <w:autoSpaceDE w:val="0"/>
        <w:autoSpaceDN w:val="0"/>
        <w:adjustRightInd w:val="0"/>
        <w:jc w:val="both"/>
        <w:rPr>
          <w:rFonts w:ascii="Abadi" w:hAnsi="Abadi" w:cs="ArialMT"/>
          <w:sz w:val="21"/>
          <w:szCs w:val="21"/>
        </w:rPr>
      </w:pPr>
    </w:p>
    <w:p w14:paraId="762EF8C2"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Este principio del interés superior del niño se reflejó en otros instrumentos en</w:t>
      </w:r>
      <w:r>
        <w:rPr>
          <w:rFonts w:ascii="Abadi" w:hAnsi="Abadi" w:cs="ArialMT"/>
          <w:sz w:val="21"/>
          <w:szCs w:val="21"/>
        </w:rPr>
        <w:t xml:space="preserve"> </w:t>
      </w:r>
      <w:r w:rsidRPr="00ED26A2">
        <w:rPr>
          <w:rFonts w:ascii="Abadi" w:hAnsi="Abadi" w:cs="ArialMT"/>
          <w:sz w:val="21"/>
          <w:szCs w:val="21"/>
        </w:rPr>
        <w:t>el ámbito regional americano; así, la Convención Americana sobre Derechos</w:t>
      </w:r>
      <w:r>
        <w:rPr>
          <w:rFonts w:ascii="Abadi" w:hAnsi="Abadi" w:cs="ArialMT"/>
          <w:sz w:val="21"/>
          <w:szCs w:val="21"/>
        </w:rPr>
        <w:t xml:space="preserve"> </w:t>
      </w:r>
      <w:r w:rsidRPr="00ED26A2">
        <w:rPr>
          <w:rFonts w:ascii="Abadi" w:hAnsi="Abadi" w:cs="ArialMT"/>
          <w:sz w:val="21"/>
          <w:szCs w:val="21"/>
        </w:rPr>
        <w:t xml:space="preserve">Humanos, del 22 de noviembre de 1969, en su artículo 17.4 </w:t>
      </w:r>
      <w:r w:rsidRPr="00ED26A2">
        <w:rPr>
          <w:rFonts w:ascii="Abadi" w:hAnsi="Abadi" w:cs="Arial-ItalicMT"/>
          <w:i/>
          <w:iCs/>
          <w:sz w:val="21"/>
          <w:szCs w:val="21"/>
        </w:rPr>
        <w:t xml:space="preserve">in fine </w:t>
      </w:r>
      <w:r w:rsidRPr="00ED26A2">
        <w:rPr>
          <w:rFonts w:ascii="Abadi" w:hAnsi="Abadi" w:cs="ArialMT"/>
          <w:sz w:val="21"/>
          <w:szCs w:val="21"/>
        </w:rPr>
        <w:t>establece</w:t>
      </w:r>
      <w:r>
        <w:rPr>
          <w:rFonts w:ascii="Abadi" w:hAnsi="Abadi" w:cs="ArialMT"/>
          <w:sz w:val="21"/>
          <w:szCs w:val="21"/>
        </w:rPr>
        <w:t xml:space="preserve"> </w:t>
      </w:r>
      <w:r w:rsidRPr="00ED26A2">
        <w:rPr>
          <w:rFonts w:ascii="Abadi" w:hAnsi="Abadi" w:cs="ArialMT"/>
          <w:sz w:val="21"/>
          <w:szCs w:val="21"/>
        </w:rPr>
        <w:t>que “en caso de disolución del matrimonio, se adoptarán disposiciones que</w:t>
      </w:r>
      <w:r>
        <w:rPr>
          <w:rFonts w:ascii="Abadi" w:hAnsi="Abadi" w:cs="ArialMT"/>
          <w:sz w:val="21"/>
          <w:szCs w:val="21"/>
        </w:rPr>
        <w:t xml:space="preserve"> </w:t>
      </w:r>
      <w:r w:rsidRPr="00ED26A2">
        <w:rPr>
          <w:rFonts w:ascii="Abadi" w:hAnsi="Abadi" w:cs="ArialMT"/>
          <w:sz w:val="21"/>
          <w:szCs w:val="21"/>
        </w:rPr>
        <w:t>aseguren la protección necesaria a los hijos, sobre la base única del interés</w:t>
      </w:r>
    </w:p>
    <w:p w14:paraId="030A2583"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y la conveniencia de ellos”.</w:t>
      </w:r>
    </w:p>
    <w:p w14:paraId="374DCFF5" w14:textId="77777777" w:rsidR="00306DA7" w:rsidRDefault="00306DA7" w:rsidP="00306DA7">
      <w:pPr>
        <w:autoSpaceDE w:val="0"/>
        <w:autoSpaceDN w:val="0"/>
        <w:adjustRightInd w:val="0"/>
        <w:jc w:val="both"/>
        <w:rPr>
          <w:rFonts w:ascii="Abadi" w:hAnsi="Abadi" w:cs="ArialMT"/>
          <w:sz w:val="21"/>
          <w:szCs w:val="21"/>
        </w:rPr>
      </w:pPr>
    </w:p>
    <w:p w14:paraId="3F2FBAC8" w14:textId="77777777" w:rsidR="00306DA7"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También la Convención Interamericana sobre conflictos de leyes en materia</w:t>
      </w:r>
      <w:r>
        <w:rPr>
          <w:rFonts w:ascii="Abadi" w:hAnsi="Abadi" w:cs="ArialMT"/>
          <w:sz w:val="21"/>
          <w:szCs w:val="21"/>
        </w:rPr>
        <w:t xml:space="preserve"> </w:t>
      </w:r>
      <w:r w:rsidRPr="00ED26A2">
        <w:rPr>
          <w:rFonts w:ascii="Abadi" w:hAnsi="Abadi" w:cs="ArialMT"/>
          <w:sz w:val="21"/>
          <w:szCs w:val="21"/>
        </w:rPr>
        <w:t>de adopción de menores, del 24 de mayo de 1984, determina que la nulidad</w:t>
      </w:r>
      <w:r>
        <w:rPr>
          <w:rFonts w:ascii="Abadi" w:hAnsi="Abadi" w:cs="ArialMT"/>
          <w:sz w:val="21"/>
          <w:szCs w:val="21"/>
        </w:rPr>
        <w:t xml:space="preserve"> </w:t>
      </w:r>
      <w:r w:rsidRPr="00ED26A2">
        <w:rPr>
          <w:rFonts w:ascii="Abadi" w:hAnsi="Abadi" w:cs="ArialMT"/>
          <w:sz w:val="21"/>
          <w:szCs w:val="21"/>
        </w:rPr>
        <w:t>de la adopción será decretada “velando por los intereses del menor”.</w:t>
      </w:r>
      <w:r>
        <w:rPr>
          <w:rFonts w:ascii="Abadi" w:hAnsi="Abadi" w:cs="ArialMT"/>
          <w:sz w:val="21"/>
          <w:szCs w:val="21"/>
        </w:rPr>
        <w:t xml:space="preserve"> </w:t>
      </w:r>
    </w:p>
    <w:p w14:paraId="251D4DCB" w14:textId="77777777" w:rsidR="00306DA7" w:rsidRDefault="00306DA7" w:rsidP="00306DA7">
      <w:pPr>
        <w:autoSpaceDE w:val="0"/>
        <w:autoSpaceDN w:val="0"/>
        <w:adjustRightInd w:val="0"/>
        <w:jc w:val="both"/>
        <w:rPr>
          <w:rFonts w:ascii="Abadi" w:hAnsi="Abadi" w:cs="ArialMT"/>
          <w:sz w:val="21"/>
          <w:szCs w:val="21"/>
        </w:rPr>
      </w:pPr>
    </w:p>
    <w:p w14:paraId="703E34FE"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Y la Convención Interamericana sobre Tráfico Internacional de Menores, del</w:t>
      </w:r>
      <w:r>
        <w:rPr>
          <w:rFonts w:ascii="Abadi" w:hAnsi="Abadi" w:cs="ArialMT"/>
          <w:sz w:val="21"/>
          <w:szCs w:val="21"/>
        </w:rPr>
        <w:t xml:space="preserve"> </w:t>
      </w:r>
      <w:r w:rsidRPr="00ED26A2">
        <w:rPr>
          <w:rFonts w:ascii="Abadi" w:hAnsi="Abadi" w:cs="ArialMT"/>
          <w:sz w:val="21"/>
          <w:szCs w:val="21"/>
        </w:rPr>
        <w:t>18 de marzo de 1994, establece que el interés superior del niño es uno de los</w:t>
      </w:r>
      <w:r>
        <w:rPr>
          <w:rFonts w:ascii="Abadi" w:hAnsi="Abadi" w:cs="ArialMT"/>
          <w:sz w:val="21"/>
          <w:szCs w:val="21"/>
        </w:rPr>
        <w:t xml:space="preserve"> </w:t>
      </w:r>
      <w:r w:rsidRPr="00ED26A2">
        <w:rPr>
          <w:rFonts w:ascii="Abadi" w:hAnsi="Abadi" w:cs="ArialMT"/>
          <w:sz w:val="21"/>
          <w:szCs w:val="21"/>
        </w:rPr>
        <w:t>principales objetivos del instrumento, refiriendo en su artículo 1 la “…</w:t>
      </w:r>
      <w:r>
        <w:rPr>
          <w:rFonts w:ascii="Abadi" w:hAnsi="Abadi" w:cs="ArialMT"/>
          <w:sz w:val="21"/>
          <w:szCs w:val="21"/>
        </w:rPr>
        <w:t xml:space="preserve"> </w:t>
      </w:r>
      <w:r w:rsidRPr="00ED26A2">
        <w:rPr>
          <w:rFonts w:ascii="Abadi" w:hAnsi="Abadi" w:cs="ArialMT"/>
          <w:sz w:val="21"/>
          <w:szCs w:val="21"/>
        </w:rPr>
        <w:t>protección de los derechos fundamentales y el interés superior del menor”.</w:t>
      </w:r>
      <w:r>
        <w:rPr>
          <w:rFonts w:ascii="Abadi" w:hAnsi="Abadi" w:cs="ArialMT"/>
          <w:sz w:val="21"/>
          <w:szCs w:val="21"/>
        </w:rPr>
        <w:t xml:space="preserve"> </w:t>
      </w:r>
      <w:r w:rsidRPr="00ED26A2">
        <w:rPr>
          <w:rFonts w:ascii="Abadi" w:hAnsi="Abadi" w:cs="ArialMT"/>
          <w:sz w:val="21"/>
          <w:szCs w:val="21"/>
        </w:rPr>
        <w:t>Además, se hace referencia al principio referido en el preámbulo, párrafo</w:t>
      </w:r>
      <w:r>
        <w:rPr>
          <w:rFonts w:ascii="Abadi" w:hAnsi="Abadi" w:cs="ArialMT"/>
          <w:sz w:val="21"/>
          <w:szCs w:val="21"/>
        </w:rPr>
        <w:t xml:space="preserve"> </w:t>
      </w:r>
      <w:r w:rsidRPr="00ED26A2">
        <w:rPr>
          <w:rFonts w:ascii="Abadi" w:hAnsi="Abadi" w:cs="ArialMT"/>
          <w:sz w:val="21"/>
          <w:szCs w:val="21"/>
        </w:rPr>
        <w:t>quinto, y en los artículos 6, 11, 14 y 18, siendo así como este principio se ha</w:t>
      </w:r>
      <w:r>
        <w:rPr>
          <w:rFonts w:ascii="Abadi" w:hAnsi="Abadi" w:cs="ArialMT"/>
          <w:sz w:val="21"/>
          <w:szCs w:val="21"/>
        </w:rPr>
        <w:t xml:space="preserve"> </w:t>
      </w:r>
      <w:r w:rsidRPr="00ED26A2">
        <w:rPr>
          <w:rFonts w:ascii="Abadi" w:hAnsi="Abadi" w:cs="ArialMT"/>
          <w:sz w:val="21"/>
          <w:szCs w:val="21"/>
        </w:rPr>
        <w:t>consolidado con la fuerza jurídica necesarias en el ámbito internacional y</w:t>
      </w:r>
      <w:r>
        <w:rPr>
          <w:rFonts w:ascii="Abadi" w:hAnsi="Abadi" w:cs="ArialMT"/>
          <w:sz w:val="21"/>
          <w:szCs w:val="21"/>
        </w:rPr>
        <w:t xml:space="preserve"> </w:t>
      </w:r>
      <w:r w:rsidRPr="00ED26A2">
        <w:rPr>
          <w:rFonts w:ascii="Abadi" w:hAnsi="Abadi" w:cs="ArialMT"/>
          <w:sz w:val="21"/>
          <w:szCs w:val="21"/>
        </w:rPr>
        <w:t>nacional en México, por lo que hoy su observancia en innegable.</w:t>
      </w:r>
    </w:p>
    <w:p w14:paraId="1D83E2B8" w14:textId="77777777" w:rsidR="00306DA7" w:rsidRDefault="00306DA7" w:rsidP="00306DA7">
      <w:pPr>
        <w:autoSpaceDE w:val="0"/>
        <w:autoSpaceDN w:val="0"/>
        <w:adjustRightInd w:val="0"/>
        <w:jc w:val="both"/>
        <w:rPr>
          <w:rFonts w:ascii="Abadi" w:hAnsi="Abadi" w:cs="ArialMT"/>
          <w:sz w:val="21"/>
          <w:szCs w:val="21"/>
        </w:rPr>
      </w:pPr>
    </w:p>
    <w:p w14:paraId="679D7CCA"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En tales condiciones, el estado en todas sus expresiones de gobierno, es</w:t>
      </w:r>
      <w:r>
        <w:rPr>
          <w:rFonts w:ascii="Abadi" w:hAnsi="Abadi" w:cs="ArialMT"/>
          <w:sz w:val="21"/>
          <w:szCs w:val="21"/>
        </w:rPr>
        <w:t xml:space="preserve"> </w:t>
      </w:r>
      <w:r w:rsidRPr="00ED26A2">
        <w:rPr>
          <w:rFonts w:ascii="Abadi" w:hAnsi="Abadi" w:cs="ArialMT"/>
          <w:sz w:val="21"/>
          <w:szCs w:val="21"/>
        </w:rPr>
        <w:t>decir, el ejecutivo, legislativo y judicial están obligados a observar el principi</w:t>
      </w:r>
      <w:r>
        <w:rPr>
          <w:rFonts w:ascii="Abadi" w:hAnsi="Abadi" w:cs="ArialMT"/>
          <w:sz w:val="21"/>
          <w:szCs w:val="21"/>
        </w:rPr>
        <w:t xml:space="preserve">o </w:t>
      </w:r>
      <w:r w:rsidRPr="00ED26A2">
        <w:rPr>
          <w:rFonts w:ascii="Abadi" w:hAnsi="Abadi" w:cs="ArialMT"/>
          <w:sz w:val="21"/>
          <w:szCs w:val="21"/>
        </w:rPr>
        <w:t>del interés superior de la niñez y velar por la protección de los niñas, niñas y</w:t>
      </w:r>
      <w:r>
        <w:rPr>
          <w:rFonts w:ascii="Abadi" w:hAnsi="Abadi" w:cs="ArialMT"/>
          <w:sz w:val="21"/>
          <w:szCs w:val="21"/>
        </w:rPr>
        <w:t xml:space="preserve"> </w:t>
      </w:r>
      <w:r w:rsidRPr="00ED26A2">
        <w:rPr>
          <w:rFonts w:ascii="Abadi" w:hAnsi="Abadi" w:cs="ArialMT"/>
          <w:sz w:val="21"/>
          <w:szCs w:val="21"/>
        </w:rPr>
        <w:t>adolescentes en todos los ámbitos del derecho.</w:t>
      </w:r>
    </w:p>
    <w:p w14:paraId="1FC94A52" w14:textId="77777777" w:rsidR="00306DA7" w:rsidRDefault="00306DA7" w:rsidP="00306DA7">
      <w:pPr>
        <w:autoSpaceDE w:val="0"/>
        <w:autoSpaceDN w:val="0"/>
        <w:adjustRightInd w:val="0"/>
        <w:jc w:val="both"/>
        <w:rPr>
          <w:rFonts w:ascii="Abadi" w:hAnsi="Abadi" w:cs="ArialMT"/>
          <w:sz w:val="21"/>
          <w:szCs w:val="21"/>
        </w:rPr>
      </w:pPr>
    </w:p>
    <w:p w14:paraId="0834E5B6" w14:textId="77777777" w:rsidR="00306DA7"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Otro aspecto trascendente relacionado con el interés superior del niño, es el</w:t>
      </w:r>
      <w:r>
        <w:rPr>
          <w:rFonts w:ascii="Abadi" w:hAnsi="Abadi" w:cs="ArialMT"/>
          <w:sz w:val="21"/>
          <w:szCs w:val="21"/>
        </w:rPr>
        <w:t xml:space="preserve"> </w:t>
      </w:r>
      <w:r w:rsidRPr="00ED26A2">
        <w:rPr>
          <w:rFonts w:ascii="Abadi" w:hAnsi="Abadi" w:cs="ArialMT"/>
          <w:sz w:val="21"/>
          <w:szCs w:val="21"/>
        </w:rPr>
        <w:t xml:space="preserve">respeto al Principio del derecho a la intimidad de los </w:t>
      </w:r>
      <w:r w:rsidRPr="00ED26A2">
        <w:rPr>
          <w:rFonts w:ascii="Abadi" w:hAnsi="Abadi" w:cs="ArialMT"/>
          <w:sz w:val="21"/>
          <w:szCs w:val="21"/>
        </w:rPr>
        <w:lastRenderedPageBreak/>
        <w:t>niños, niñas y</w:t>
      </w:r>
      <w:r>
        <w:rPr>
          <w:rFonts w:ascii="Abadi" w:hAnsi="Abadi" w:cs="ArialMT"/>
          <w:sz w:val="21"/>
          <w:szCs w:val="21"/>
        </w:rPr>
        <w:t xml:space="preserve"> </w:t>
      </w:r>
      <w:r w:rsidRPr="00ED26A2">
        <w:rPr>
          <w:rFonts w:ascii="Abadi" w:hAnsi="Abadi" w:cs="ArialMT"/>
          <w:sz w:val="21"/>
          <w:szCs w:val="21"/>
        </w:rPr>
        <w:t>adolescentes, al establecer la Convención sobre los Derechos del Niño de las</w:t>
      </w:r>
      <w:r>
        <w:rPr>
          <w:rFonts w:ascii="Abadi" w:hAnsi="Abadi" w:cs="ArialMT"/>
          <w:sz w:val="21"/>
          <w:szCs w:val="21"/>
        </w:rPr>
        <w:t xml:space="preserve"> </w:t>
      </w:r>
      <w:r w:rsidRPr="00ED26A2">
        <w:rPr>
          <w:rFonts w:ascii="Abadi" w:hAnsi="Abadi" w:cs="ArialMT"/>
          <w:sz w:val="21"/>
          <w:szCs w:val="21"/>
        </w:rPr>
        <w:t xml:space="preserve">Naciones Unidas, en su artículo 16, numerales 1 y 2 lo siguiente: </w:t>
      </w:r>
    </w:p>
    <w:p w14:paraId="705D3A40" w14:textId="77777777" w:rsidR="00306DA7" w:rsidRDefault="00306DA7" w:rsidP="00306DA7">
      <w:pPr>
        <w:autoSpaceDE w:val="0"/>
        <w:autoSpaceDN w:val="0"/>
        <w:adjustRightInd w:val="0"/>
        <w:jc w:val="both"/>
        <w:rPr>
          <w:rFonts w:ascii="Abadi" w:hAnsi="Abadi" w:cs="ArialMT"/>
          <w:sz w:val="21"/>
          <w:szCs w:val="21"/>
        </w:rPr>
      </w:pPr>
    </w:p>
    <w:p w14:paraId="43909FDD" w14:textId="77777777" w:rsidR="00306DA7" w:rsidRDefault="00306DA7" w:rsidP="00306DA7">
      <w:pPr>
        <w:autoSpaceDE w:val="0"/>
        <w:autoSpaceDN w:val="0"/>
        <w:adjustRightInd w:val="0"/>
        <w:jc w:val="both"/>
        <w:rPr>
          <w:rFonts w:ascii="Abadi" w:hAnsi="Abadi" w:cs="Arial-BoldItalicMT"/>
          <w:b/>
          <w:bCs/>
          <w:i/>
          <w:iCs/>
          <w:sz w:val="21"/>
          <w:szCs w:val="21"/>
        </w:rPr>
      </w:pPr>
      <w:r w:rsidRPr="00ED26A2">
        <w:rPr>
          <w:rFonts w:ascii="Abadi" w:hAnsi="Abadi" w:cs="Arial-ItalicMT"/>
          <w:i/>
          <w:iCs/>
          <w:sz w:val="21"/>
          <w:szCs w:val="21"/>
        </w:rPr>
        <w:t>“</w:t>
      </w:r>
      <w:r w:rsidRPr="00ED26A2">
        <w:rPr>
          <w:rFonts w:ascii="Abadi" w:hAnsi="Abadi" w:cs="Arial-BoldItalicMT"/>
          <w:b/>
          <w:bCs/>
          <w:i/>
          <w:iCs/>
          <w:sz w:val="21"/>
          <w:szCs w:val="21"/>
        </w:rPr>
        <w:t>Artículo 16.</w:t>
      </w:r>
    </w:p>
    <w:p w14:paraId="1E51A972" w14:textId="77777777" w:rsidR="00306DA7" w:rsidRPr="00C570F5" w:rsidRDefault="00306DA7" w:rsidP="00306DA7">
      <w:pPr>
        <w:autoSpaceDE w:val="0"/>
        <w:autoSpaceDN w:val="0"/>
        <w:adjustRightInd w:val="0"/>
        <w:jc w:val="both"/>
        <w:rPr>
          <w:rFonts w:ascii="Abadi" w:hAnsi="Abadi" w:cs="ArialMT"/>
          <w:sz w:val="21"/>
          <w:szCs w:val="21"/>
        </w:rPr>
      </w:pPr>
    </w:p>
    <w:p w14:paraId="3DDE2AD1" w14:textId="77777777" w:rsidR="00306DA7" w:rsidRPr="00ED26A2" w:rsidRDefault="00306DA7" w:rsidP="00306DA7">
      <w:pPr>
        <w:autoSpaceDE w:val="0"/>
        <w:autoSpaceDN w:val="0"/>
        <w:adjustRightInd w:val="0"/>
        <w:jc w:val="both"/>
        <w:rPr>
          <w:rFonts w:ascii="Abadi" w:hAnsi="Abadi" w:cs="Arial-ItalicMT"/>
          <w:i/>
          <w:iCs/>
          <w:sz w:val="21"/>
          <w:szCs w:val="21"/>
        </w:rPr>
      </w:pPr>
      <w:r w:rsidRPr="00ED26A2">
        <w:rPr>
          <w:rFonts w:ascii="Abadi" w:hAnsi="Abadi" w:cs="Arial-ItalicMT"/>
          <w:i/>
          <w:iCs/>
          <w:sz w:val="21"/>
          <w:szCs w:val="21"/>
        </w:rPr>
        <w:t>1. Ningún niño será objeto de injerencias arbitrarias o ilegales en su vida</w:t>
      </w:r>
      <w:r>
        <w:rPr>
          <w:rFonts w:ascii="Abadi" w:hAnsi="Abadi" w:cs="Arial-ItalicMT"/>
          <w:i/>
          <w:iCs/>
          <w:sz w:val="21"/>
          <w:szCs w:val="21"/>
        </w:rPr>
        <w:t xml:space="preserve"> </w:t>
      </w:r>
      <w:r w:rsidRPr="00ED26A2">
        <w:rPr>
          <w:rFonts w:ascii="Abadi" w:hAnsi="Abadi" w:cs="Arial-ItalicMT"/>
          <w:i/>
          <w:iCs/>
          <w:sz w:val="21"/>
          <w:szCs w:val="21"/>
        </w:rPr>
        <w:t>privada, su familia, su domicilio o su correspondencia, ni de ataques ilegales</w:t>
      </w:r>
      <w:r>
        <w:rPr>
          <w:rFonts w:ascii="Abadi" w:hAnsi="Abadi" w:cs="Arial-ItalicMT"/>
          <w:i/>
          <w:iCs/>
          <w:sz w:val="21"/>
          <w:szCs w:val="21"/>
        </w:rPr>
        <w:t xml:space="preserve"> </w:t>
      </w:r>
      <w:r w:rsidRPr="00ED26A2">
        <w:rPr>
          <w:rFonts w:ascii="Abadi" w:hAnsi="Abadi" w:cs="Arial-ItalicMT"/>
          <w:i/>
          <w:iCs/>
          <w:sz w:val="21"/>
          <w:szCs w:val="21"/>
        </w:rPr>
        <w:t>a su honra y a su reputación.</w:t>
      </w:r>
    </w:p>
    <w:p w14:paraId="0F1D7ACE" w14:textId="77777777" w:rsidR="00306DA7" w:rsidRDefault="00306DA7" w:rsidP="00306DA7">
      <w:pPr>
        <w:autoSpaceDE w:val="0"/>
        <w:autoSpaceDN w:val="0"/>
        <w:adjustRightInd w:val="0"/>
        <w:jc w:val="both"/>
        <w:rPr>
          <w:rFonts w:ascii="Abadi" w:hAnsi="Abadi" w:cs="Arial-ItalicMT"/>
          <w:i/>
          <w:iCs/>
          <w:sz w:val="21"/>
          <w:szCs w:val="21"/>
        </w:rPr>
      </w:pPr>
    </w:p>
    <w:p w14:paraId="78FCF35E" w14:textId="77777777" w:rsidR="00306DA7" w:rsidRPr="00ED26A2" w:rsidRDefault="00306DA7" w:rsidP="00306DA7">
      <w:pPr>
        <w:autoSpaceDE w:val="0"/>
        <w:autoSpaceDN w:val="0"/>
        <w:adjustRightInd w:val="0"/>
        <w:jc w:val="both"/>
        <w:rPr>
          <w:rFonts w:ascii="Abadi" w:hAnsi="Abadi" w:cs="Arial-ItalicMT"/>
          <w:i/>
          <w:iCs/>
          <w:sz w:val="21"/>
          <w:szCs w:val="21"/>
        </w:rPr>
      </w:pPr>
      <w:r w:rsidRPr="00ED26A2">
        <w:rPr>
          <w:rFonts w:ascii="Abadi" w:hAnsi="Abadi" w:cs="Arial-ItalicMT"/>
          <w:i/>
          <w:iCs/>
          <w:sz w:val="21"/>
          <w:szCs w:val="21"/>
        </w:rPr>
        <w:t>2. El niño tiene derecho a la protección de la ley contra esas injerencias o</w:t>
      </w:r>
      <w:r>
        <w:rPr>
          <w:rFonts w:ascii="Abadi" w:hAnsi="Abadi" w:cs="Arial-ItalicMT"/>
          <w:i/>
          <w:iCs/>
          <w:sz w:val="21"/>
          <w:szCs w:val="21"/>
        </w:rPr>
        <w:t xml:space="preserve"> </w:t>
      </w:r>
      <w:r w:rsidRPr="00ED26A2">
        <w:rPr>
          <w:rFonts w:ascii="Abadi" w:hAnsi="Abadi" w:cs="Arial-ItalicMT"/>
          <w:i/>
          <w:iCs/>
          <w:sz w:val="21"/>
          <w:szCs w:val="21"/>
        </w:rPr>
        <w:t>ataques”</w:t>
      </w:r>
    </w:p>
    <w:p w14:paraId="1B1168BE" w14:textId="77777777" w:rsidR="00306DA7" w:rsidRDefault="00306DA7" w:rsidP="00306DA7">
      <w:pPr>
        <w:autoSpaceDE w:val="0"/>
        <w:autoSpaceDN w:val="0"/>
        <w:adjustRightInd w:val="0"/>
        <w:jc w:val="both"/>
        <w:rPr>
          <w:rFonts w:ascii="Abadi" w:hAnsi="Abadi" w:cs="ArialMT"/>
          <w:sz w:val="21"/>
          <w:szCs w:val="21"/>
        </w:rPr>
      </w:pPr>
    </w:p>
    <w:p w14:paraId="05EC03CA"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Dicho precepto, por un lado, reconoce la intimidad y sus especificaciones</w:t>
      </w:r>
      <w:r>
        <w:rPr>
          <w:rFonts w:ascii="Abadi" w:hAnsi="Abadi" w:cs="ArialMT"/>
          <w:sz w:val="21"/>
          <w:szCs w:val="21"/>
        </w:rPr>
        <w:t xml:space="preserve"> </w:t>
      </w:r>
      <w:r w:rsidRPr="00ED26A2">
        <w:rPr>
          <w:rFonts w:ascii="Abadi" w:hAnsi="Abadi" w:cs="ArialMT"/>
          <w:sz w:val="21"/>
          <w:szCs w:val="21"/>
        </w:rPr>
        <w:t>ejemplificativas (vida privada, familia, domicilio o correspondencia, honra,</w:t>
      </w:r>
      <w:r>
        <w:rPr>
          <w:rFonts w:ascii="Abadi" w:hAnsi="Abadi" w:cs="ArialMT"/>
          <w:sz w:val="21"/>
          <w:szCs w:val="21"/>
        </w:rPr>
        <w:t xml:space="preserve"> </w:t>
      </w:r>
      <w:r w:rsidRPr="00ED26A2">
        <w:rPr>
          <w:rFonts w:ascii="Abadi" w:hAnsi="Abadi" w:cs="ArialMT"/>
          <w:sz w:val="21"/>
          <w:szCs w:val="21"/>
        </w:rPr>
        <w:t>intimidad y reputación) como atributos jurídicos esenciales y especiales en el</w:t>
      </w:r>
      <w:r>
        <w:rPr>
          <w:rFonts w:ascii="Abadi" w:hAnsi="Abadi" w:cs="ArialMT"/>
          <w:sz w:val="21"/>
          <w:szCs w:val="21"/>
        </w:rPr>
        <w:t xml:space="preserve"> </w:t>
      </w:r>
      <w:r w:rsidRPr="00ED26A2">
        <w:rPr>
          <w:rFonts w:ascii="Abadi" w:hAnsi="Abadi" w:cs="ArialMT"/>
          <w:sz w:val="21"/>
          <w:szCs w:val="21"/>
        </w:rPr>
        <w:t>caso de Niños Niñas y Adolescentes frente al resto de la comunidad –</w:t>
      </w:r>
      <w:r>
        <w:rPr>
          <w:rFonts w:ascii="Abadi" w:hAnsi="Abadi" w:cs="ArialMT"/>
          <w:sz w:val="21"/>
          <w:szCs w:val="21"/>
        </w:rPr>
        <w:t xml:space="preserve"> </w:t>
      </w:r>
      <w:r w:rsidRPr="00ED26A2">
        <w:rPr>
          <w:rFonts w:ascii="Abadi" w:hAnsi="Abadi" w:cs="ArialMT"/>
          <w:sz w:val="21"/>
          <w:szCs w:val="21"/>
        </w:rPr>
        <w:t>incluidos eventualmente padres y madres– y, por otro, brinda, en la forma de</w:t>
      </w:r>
      <w:r>
        <w:rPr>
          <w:rFonts w:ascii="Abadi" w:hAnsi="Abadi" w:cs="ArialMT"/>
          <w:sz w:val="21"/>
          <w:szCs w:val="21"/>
        </w:rPr>
        <w:t xml:space="preserve"> </w:t>
      </w:r>
      <w:r w:rsidRPr="00ED26A2">
        <w:rPr>
          <w:rFonts w:ascii="Abadi" w:hAnsi="Abadi" w:cs="ArialMT"/>
          <w:sz w:val="21"/>
          <w:szCs w:val="21"/>
        </w:rPr>
        <w:t>garantía o seguridad, la imperiosa protección de ese derecho, ante ataques</w:t>
      </w:r>
      <w:r>
        <w:rPr>
          <w:rFonts w:ascii="Abadi" w:hAnsi="Abadi" w:cs="ArialMT"/>
          <w:sz w:val="21"/>
          <w:szCs w:val="21"/>
        </w:rPr>
        <w:t xml:space="preserve"> </w:t>
      </w:r>
      <w:r w:rsidRPr="00ED26A2">
        <w:rPr>
          <w:rFonts w:ascii="Abadi" w:hAnsi="Abadi" w:cs="ArialMT"/>
          <w:sz w:val="21"/>
          <w:szCs w:val="21"/>
        </w:rPr>
        <w:t>e injerencias, como personas privilegiadas, sobre todo el que al tema electoral</w:t>
      </w:r>
      <w:r>
        <w:rPr>
          <w:rFonts w:ascii="Abadi" w:hAnsi="Abadi" w:cs="ArialMT"/>
          <w:sz w:val="21"/>
          <w:szCs w:val="21"/>
        </w:rPr>
        <w:t xml:space="preserve"> </w:t>
      </w:r>
      <w:r w:rsidRPr="00ED26A2">
        <w:rPr>
          <w:rFonts w:ascii="Abadi" w:hAnsi="Abadi" w:cs="ArialMT"/>
          <w:sz w:val="21"/>
          <w:szCs w:val="21"/>
        </w:rPr>
        <w:t>nos ocupa, el derecho a su intimidad.</w:t>
      </w:r>
    </w:p>
    <w:p w14:paraId="4A5A09CA" w14:textId="77777777" w:rsidR="00306DA7" w:rsidRDefault="00306DA7" w:rsidP="00306DA7">
      <w:pPr>
        <w:autoSpaceDE w:val="0"/>
        <w:autoSpaceDN w:val="0"/>
        <w:adjustRightInd w:val="0"/>
        <w:jc w:val="both"/>
        <w:rPr>
          <w:rFonts w:ascii="Abadi" w:hAnsi="Abadi" w:cs="ArialMT"/>
          <w:sz w:val="21"/>
          <w:szCs w:val="21"/>
        </w:rPr>
      </w:pPr>
    </w:p>
    <w:p w14:paraId="7B366711"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Así, el Comité de los Derechos del Niño ha reconocido mediante una</w:t>
      </w:r>
      <w:r>
        <w:rPr>
          <w:rFonts w:ascii="Abadi" w:hAnsi="Abadi" w:cs="ArialMT"/>
          <w:sz w:val="21"/>
          <w:szCs w:val="21"/>
        </w:rPr>
        <w:t xml:space="preserve"> </w:t>
      </w:r>
      <w:r w:rsidRPr="00ED26A2">
        <w:rPr>
          <w:rFonts w:ascii="Abadi" w:hAnsi="Abadi" w:cs="ArialMT"/>
          <w:sz w:val="21"/>
          <w:szCs w:val="21"/>
        </w:rPr>
        <w:t>categórica afirmación del derecho de un Niño, Niña y Adolescente a que se</w:t>
      </w:r>
      <w:r>
        <w:rPr>
          <w:rFonts w:ascii="Abadi" w:hAnsi="Abadi" w:cs="ArialMT"/>
          <w:sz w:val="21"/>
          <w:szCs w:val="21"/>
        </w:rPr>
        <w:t xml:space="preserve"> </w:t>
      </w:r>
      <w:r w:rsidRPr="00ED26A2">
        <w:rPr>
          <w:rFonts w:ascii="Abadi" w:hAnsi="Abadi" w:cs="ArialMT"/>
          <w:sz w:val="21"/>
          <w:szCs w:val="21"/>
        </w:rPr>
        <w:t>respete plenamente su vida privada e intimidad en todas las fases de</w:t>
      </w:r>
      <w:r>
        <w:rPr>
          <w:rFonts w:ascii="Abadi" w:hAnsi="Abadi" w:cs="ArialMT"/>
          <w:sz w:val="21"/>
          <w:szCs w:val="21"/>
        </w:rPr>
        <w:t xml:space="preserve"> </w:t>
      </w:r>
      <w:r w:rsidRPr="00ED26A2">
        <w:rPr>
          <w:rFonts w:ascii="Abadi" w:hAnsi="Abadi" w:cs="ArialMT"/>
          <w:sz w:val="21"/>
          <w:szCs w:val="21"/>
        </w:rPr>
        <w:t>cualquier proceso o procedimiento. Ello, abarca lo concerniente a la evitación</w:t>
      </w:r>
      <w:r>
        <w:rPr>
          <w:rFonts w:ascii="Abadi" w:hAnsi="Abadi" w:cs="ArialMT"/>
          <w:sz w:val="21"/>
          <w:szCs w:val="21"/>
        </w:rPr>
        <w:t xml:space="preserve"> </w:t>
      </w:r>
      <w:r w:rsidRPr="00ED26A2">
        <w:rPr>
          <w:rFonts w:ascii="Abadi" w:hAnsi="Abadi" w:cs="ArialMT"/>
          <w:sz w:val="21"/>
          <w:szCs w:val="21"/>
        </w:rPr>
        <w:t>de información o divulgación pública de los casos que comprometan o</w:t>
      </w:r>
      <w:r>
        <w:rPr>
          <w:rFonts w:ascii="Abadi" w:hAnsi="Abadi" w:cs="ArialMT"/>
          <w:sz w:val="21"/>
          <w:szCs w:val="21"/>
        </w:rPr>
        <w:t xml:space="preserve"> </w:t>
      </w:r>
      <w:r w:rsidRPr="00ED26A2">
        <w:rPr>
          <w:rFonts w:ascii="Abadi" w:hAnsi="Abadi" w:cs="ArialMT"/>
          <w:sz w:val="21"/>
          <w:szCs w:val="21"/>
        </w:rPr>
        <w:t>denigren a los menores de 18 años.</w:t>
      </w:r>
    </w:p>
    <w:p w14:paraId="711CEB76" w14:textId="77777777" w:rsidR="00306DA7" w:rsidRDefault="00306DA7" w:rsidP="00306DA7">
      <w:pPr>
        <w:autoSpaceDE w:val="0"/>
        <w:autoSpaceDN w:val="0"/>
        <w:adjustRightInd w:val="0"/>
        <w:jc w:val="both"/>
        <w:rPr>
          <w:rFonts w:ascii="Abadi" w:hAnsi="Abadi" w:cs="ArialMT"/>
          <w:sz w:val="21"/>
          <w:szCs w:val="21"/>
        </w:rPr>
      </w:pPr>
    </w:p>
    <w:p w14:paraId="7D820A78"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Sobre el respeto a la intimidad, cabe decir que ya desde hace un tiempo en</w:t>
      </w:r>
      <w:r>
        <w:rPr>
          <w:rFonts w:ascii="Abadi" w:hAnsi="Abadi" w:cs="ArialMT"/>
          <w:sz w:val="21"/>
          <w:szCs w:val="21"/>
        </w:rPr>
        <w:t xml:space="preserve"> </w:t>
      </w:r>
      <w:r w:rsidRPr="00ED26A2">
        <w:rPr>
          <w:rFonts w:ascii="Abadi" w:hAnsi="Abadi" w:cs="ArialMT"/>
          <w:sz w:val="21"/>
          <w:szCs w:val="21"/>
        </w:rPr>
        <w:t>nuestra doctrina es reconocida la tensión entre el derecho a la intimidad,</w:t>
      </w:r>
      <w:r>
        <w:rPr>
          <w:rFonts w:ascii="Abadi" w:hAnsi="Abadi" w:cs="ArialMT"/>
          <w:sz w:val="21"/>
          <w:szCs w:val="21"/>
        </w:rPr>
        <w:t xml:space="preserve"> </w:t>
      </w:r>
      <w:r w:rsidRPr="00ED26A2">
        <w:rPr>
          <w:rFonts w:ascii="Abadi" w:hAnsi="Abadi" w:cs="ArialMT"/>
          <w:sz w:val="21"/>
          <w:szCs w:val="21"/>
        </w:rPr>
        <w:t>como un derecho personalísimo que titulariza una persona con estatus</w:t>
      </w:r>
      <w:r>
        <w:rPr>
          <w:rFonts w:ascii="Abadi" w:hAnsi="Abadi" w:cs="ArialMT"/>
          <w:sz w:val="21"/>
          <w:szCs w:val="21"/>
        </w:rPr>
        <w:t xml:space="preserve"> </w:t>
      </w:r>
      <w:r w:rsidRPr="00ED26A2">
        <w:rPr>
          <w:rFonts w:ascii="Abadi" w:hAnsi="Abadi" w:cs="ArialMT"/>
          <w:sz w:val="21"/>
          <w:szCs w:val="21"/>
        </w:rPr>
        <w:t>jurídico privilegiado, y la libertad de expresar ideas por la prensa, junto con la</w:t>
      </w:r>
      <w:r>
        <w:rPr>
          <w:rFonts w:ascii="Abadi" w:hAnsi="Abadi" w:cs="ArialMT"/>
          <w:sz w:val="21"/>
          <w:szCs w:val="21"/>
        </w:rPr>
        <w:t xml:space="preserve"> </w:t>
      </w:r>
      <w:r w:rsidRPr="00ED26A2">
        <w:rPr>
          <w:rFonts w:ascii="Abadi" w:hAnsi="Abadi" w:cs="ArialMT"/>
          <w:sz w:val="21"/>
          <w:szCs w:val="21"/>
        </w:rPr>
        <w:t xml:space="preserve">consecuente </w:t>
      </w:r>
      <w:r w:rsidRPr="00ED26A2">
        <w:rPr>
          <w:rFonts w:ascii="Abadi" w:hAnsi="Abadi" w:cs="ArialMT"/>
          <w:sz w:val="21"/>
          <w:szCs w:val="21"/>
        </w:rPr>
        <w:t>postulación de que una de las principales consecuencias</w:t>
      </w:r>
      <w:r>
        <w:rPr>
          <w:rFonts w:ascii="Abadi" w:hAnsi="Abadi" w:cs="ArialMT"/>
          <w:sz w:val="21"/>
          <w:szCs w:val="21"/>
        </w:rPr>
        <w:t xml:space="preserve"> </w:t>
      </w:r>
      <w:r w:rsidRPr="00ED26A2">
        <w:rPr>
          <w:rFonts w:ascii="Abadi" w:hAnsi="Abadi" w:cs="ArialMT"/>
          <w:sz w:val="21"/>
          <w:szCs w:val="21"/>
        </w:rPr>
        <w:t>derivadas del derecho a la intimidad y al honor de Niños Niñas y Adolescentes</w:t>
      </w:r>
      <w:r>
        <w:rPr>
          <w:rFonts w:ascii="Abadi" w:hAnsi="Abadi" w:cs="ArialMT"/>
          <w:sz w:val="21"/>
          <w:szCs w:val="21"/>
        </w:rPr>
        <w:t xml:space="preserve"> </w:t>
      </w:r>
      <w:r w:rsidRPr="00ED26A2">
        <w:rPr>
          <w:rFonts w:ascii="Abadi" w:hAnsi="Abadi" w:cs="ArialMT"/>
          <w:sz w:val="21"/>
          <w:szCs w:val="21"/>
        </w:rPr>
        <w:t xml:space="preserve">resulta ser: </w:t>
      </w:r>
      <w:r w:rsidRPr="00ED26A2">
        <w:rPr>
          <w:rFonts w:ascii="Abadi" w:hAnsi="Abadi" w:cs="Arial-BoldItalicMT"/>
          <w:b/>
          <w:bCs/>
          <w:i/>
          <w:iCs/>
          <w:sz w:val="21"/>
          <w:szCs w:val="21"/>
        </w:rPr>
        <w:t>la limitación a la difusión pública de su imagen y de los datos</w:t>
      </w:r>
      <w:r>
        <w:rPr>
          <w:rFonts w:ascii="Abadi" w:hAnsi="Abadi" w:cs="ArialMT"/>
          <w:sz w:val="21"/>
          <w:szCs w:val="21"/>
        </w:rPr>
        <w:t xml:space="preserve"> </w:t>
      </w:r>
      <w:r w:rsidRPr="00ED26A2">
        <w:rPr>
          <w:rFonts w:ascii="Abadi" w:hAnsi="Abadi" w:cs="Arial-BoldItalicMT"/>
          <w:b/>
          <w:bCs/>
          <w:i/>
          <w:iCs/>
          <w:sz w:val="21"/>
          <w:szCs w:val="21"/>
        </w:rPr>
        <w:t xml:space="preserve">personales </w:t>
      </w:r>
      <w:r>
        <w:rPr>
          <w:rStyle w:val="Refdenotaalpie"/>
          <w:rFonts w:ascii="Abadi" w:hAnsi="Abadi" w:cs="Arial-BoldItalicMT"/>
          <w:i/>
          <w:iCs/>
          <w:sz w:val="21"/>
          <w:szCs w:val="21"/>
        </w:rPr>
        <w:footnoteReference w:id="39"/>
      </w:r>
      <w:r w:rsidRPr="00ED26A2">
        <w:rPr>
          <w:rFonts w:ascii="Abadi" w:hAnsi="Abadi" w:cs="ArialMT"/>
          <w:sz w:val="21"/>
          <w:szCs w:val="21"/>
        </w:rPr>
        <w:t>. Sin embargo, anteriormente no se avizoraban los peligros y</w:t>
      </w:r>
      <w:r>
        <w:rPr>
          <w:rFonts w:ascii="Abadi" w:hAnsi="Abadi" w:cs="ArialMT"/>
          <w:sz w:val="21"/>
          <w:szCs w:val="21"/>
        </w:rPr>
        <w:t xml:space="preserve"> </w:t>
      </w:r>
      <w:r w:rsidRPr="00ED26A2">
        <w:rPr>
          <w:rFonts w:ascii="Abadi" w:hAnsi="Abadi" w:cs="ArialMT"/>
          <w:sz w:val="21"/>
          <w:szCs w:val="21"/>
        </w:rPr>
        <w:t>complejidades que las nuevas tecnologías traerían con relación a esta</w:t>
      </w:r>
      <w:r>
        <w:rPr>
          <w:rFonts w:ascii="Abadi" w:hAnsi="Abadi" w:cs="ArialMT"/>
          <w:sz w:val="21"/>
          <w:szCs w:val="21"/>
        </w:rPr>
        <w:t xml:space="preserve"> </w:t>
      </w:r>
      <w:r w:rsidRPr="00ED26A2">
        <w:rPr>
          <w:rFonts w:ascii="Abadi" w:hAnsi="Abadi" w:cs="ArialMT"/>
          <w:sz w:val="21"/>
          <w:szCs w:val="21"/>
        </w:rPr>
        <w:t>cuestión</w:t>
      </w:r>
      <w:r>
        <w:rPr>
          <w:rStyle w:val="Refdenotaalpie"/>
          <w:rFonts w:ascii="Abadi" w:hAnsi="Abadi" w:cs="ArialMT"/>
          <w:sz w:val="21"/>
          <w:szCs w:val="21"/>
        </w:rPr>
        <w:footnoteReference w:id="40"/>
      </w:r>
      <w:r w:rsidRPr="00ED26A2">
        <w:rPr>
          <w:rFonts w:ascii="Abadi" w:hAnsi="Abadi" w:cs="ArialMT"/>
          <w:sz w:val="21"/>
          <w:szCs w:val="21"/>
        </w:rPr>
        <w:t>. Esto último, por cierto, conduce a adoptar formas más estrictas y a la vez sofisticadas de protección de estos aspectos que hagan efectiva la</w:t>
      </w:r>
      <w:r>
        <w:rPr>
          <w:rFonts w:ascii="Abadi" w:hAnsi="Abadi" w:cs="ArialMT"/>
          <w:sz w:val="21"/>
          <w:szCs w:val="21"/>
        </w:rPr>
        <w:t xml:space="preserve"> </w:t>
      </w:r>
      <w:r w:rsidRPr="00ED26A2">
        <w:rPr>
          <w:rFonts w:ascii="Abadi" w:hAnsi="Abadi" w:cs="ArialMT"/>
          <w:sz w:val="21"/>
          <w:szCs w:val="21"/>
        </w:rPr>
        <w:t>prohibición anticipada de publicaciones, sobre todo de carácter electoral, que</w:t>
      </w:r>
      <w:r>
        <w:rPr>
          <w:rFonts w:ascii="Abadi" w:hAnsi="Abadi" w:cs="ArialMT"/>
          <w:sz w:val="21"/>
          <w:szCs w:val="21"/>
        </w:rPr>
        <w:t xml:space="preserve"> </w:t>
      </w:r>
      <w:r w:rsidRPr="00ED26A2">
        <w:rPr>
          <w:rFonts w:ascii="Abadi" w:hAnsi="Abadi" w:cs="ArialMT"/>
          <w:sz w:val="21"/>
          <w:szCs w:val="21"/>
        </w:rPr>
        <w:t>puedan representar intromisiones, injerencias a la intimidad o denigren a su</w:t>
      </w:r>
      <w:r>
        <w:rPr>
          <w:rFonts w:ascii="Abadi" w:hAnsi="Abadi" w:cs="ArialMT"/>
          <w:sz w:val="21"/>
          <w:szCs w:val="21"/>
        </w:rPr>
        <w:t xml:space="preserve"> </w:t>
      </w:r>
      <w:r w:rsidRPr="00ED26A2">
        <w:rPr>
          <w:rFonts w:ascii="Abadi" w:hAnsi="Abadi" w:cs="ArialMT"/>
          <w:sz w:val="21"/>
          <w:szCs w:val="21"/>
        </w:rPr>
        <w:t>persona.</w:t>
      </w:r>
    </w:p>
    <w:p w14:paraId="00D8A07F" w14:textId="77777777" w:rsidR="00306DA7" w:rsidRDefault="00306DA7" w:rsidP="00306DA7">
      <w:pPr>
        <w:autoSpaceDE w:val="0"/>
        <w:autoSpaceDN w:val="0"/>
        <w:adjustRightInd w:val="0"/>
        <w:jc w:val="both"/>
        <w:rPr>
          <w:rFonts w:ascii="Abadi" w:hAnsi="Abadi" w:cs="ArialMT"/>
          <w:sz w:val="21"/>
          <w:szCs w:val="21"/>
        </w:rPr>
      </w:pPr>
    </w:p>
    <w:p w14:paraId="1191E834"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Asimismo, la exhibición de aspectos propios de su vida, así como la</w:t>
      </w:r>
      <w:r>
        <w:rPr>
          <w:rFonts w:ascii="Abadi" w:hAnsi="Abadi" w:cs="ArialMT"/>
          <w:sz w:val="21"/>
          <w:szCs w:val="21"/>
        </w:rPr>
        <w:t xml:space="preserve"> </w:t>
      </w:r>
      <w:r w:rsidRPr="00ED26A2">
        <w:rPr>
          <w:rFonts w:ascii="Abadi" w:hAnsi="Abadi" w:cs="ArialMT"/>
          <w:sz w:val="21"/>
          <w:szCs w:val="21"/>
        </w:rPr>
        <w:t>intromisión en sus ámbitos privados y de intimidad, implican evidentemente</w:t>
      </w:r>
      <w:r>
        <w:rPr>
          <w:rFonts w:ascii="Abadi" w:hAnsi="Abadi" w:cs="ArialMT"/>
          <w:sz w:val="21"/>
          <w:szCs w:val="21"/>
        </w:rPr>
        <w:t xml:space="preserve"> </w:t>
      </w:r>
      <w:r w:rsidRPr="00ED26A2">
        <w:rPr>
          <w:rFonts w:ascii="Abadi" w:hAnsi="Abadi" w:cs="ArialMT"/>
          <w:sz w:val="21"/>
          <w:szCs w:val="21"/>
        </w:rPr>
        <w:t>una posición de extrema vulnerabilidad, tratándose de personas menores de</w:t>
      </w:r>
      <w:r>
        <w:rPr>
          <w:rFonts w:ascii="Abadi" w:hAnsi="Abadi" w:cs="ArialMT"/>
          <w:sz w:val="21"/>
          <w:szCs w:val="21"/>
        </w:rPr>
        <w:t xml:space="preserve"> </w:t>
      </w:r>
      <w:r w:rsidRPr="00ED26A2">
        <w:rPr>
          <w:rFonts w:ascii="Abadi" w:hAnsi="Abadi" w:cs="ArialMT"/>
          <w:sz w:val="21"/>
          <w:szCs w:val="21"/>
        </w:rPr>
        <w:t>18 años, sobre todo, en la materia electoral. En tal forma, si el derecho a la</w:t>
      </w:r>
      <w:r>
        <w:rPr>
          <w:rFonts w:ascii="Abadi" w:hAnsi="Abadi" w:cs="ArialMT"/>
          <w:sz w:val="21"/>
          <w:szCs w:val="21"/>
        </w:rPr>
        <w:t xml:space="preserve"> </w:t>
      </w:r>
      <w:r w:rsidRPr="00ED26A2">
        <w:rPr>
          <w:rFonts w:ascii="Abadi" w:hAnsi="Abadi" w:cs="ArialMT"/>
          <w:sz w:val="21"/>
          <w:szCs w:val="21"/>
        </w:rPr>
        <w:t>intimidad de Niños Niñas y Adolescentes se erige como objeto, pero también</w:t>
      </w:r>
      <w:r>
        <w:rPr>
          <w:rFonts w:ascii="Abadi" w:hAnsi="Abadi" w:cs="ArialMT"/>
          <w:sz w:val="21"/>
          <w:szCs w:val="21"/>
        </w:rPr>
        <w:t xml:space="preserve"> </w:t>
      </w:r>
      <w:r w:rsidRPr="00ED26A2">
        <w:rPr>
          <w:rFonts w:ascii="Abadi" w:hAnsi="Abadi" w:cs="ArialMT"/>
          <w:sz w:val="21"/>
          <w:szCs w:val="21"/>
        </w:rPr>
        <w:t>como límite y medida de la responsabilidad parental, con mayor razón a la</w:t>
      </w:r>
      <w:r>
        <w:rPr>
          <w:rFonts w:ascii="Abadi" w:hAnsi="Abadi" w:cs="ArialMT"/>
          <w:sz w:val="21"/>
          <w:szCs w:val="21"/>
        </w:rPr>
        <w:t xml:space="preserve"> </w:t>
      </w:r>
      <w:r w:rsidRPr="00ED26A2">
        <w:rPr>
          <w:rFonts w:ascii="Abadi" w:hAnsi="Abadi" w:cs="ArialMT"/>
          <w:sz w:val="21"/>
          <w:szCs w:val="21"/>
        </w:rPr>
        <w:t>injerencia de terceros en la vida privada de las personas menores de 18 años.</w:t>
      </w:r>
    </w:p>
    <w:p w14:paraId="2585D1FC" w14:textId="77777777" w:rsidR="00306DA7" w:rsidRDefault="00306DA7" w:rsidP="00306DA7">
      <w:pPr>
        <w:autoSpaceDE w:val="0"/>
        <w:autoSpaceDN w:val="0"/>
        <w:adjustRightInd w:val="0"/>
        <w:jc w:val="both"/>
        <w:rPr>
          <w:rFonts w:ascii="Abadi" w:hAnsi="Abadi" w:cs="ArialMT"/>
          <w:sz w:val="21"/>
          <w:szCs w:val="21"/>
        </w:rPr>
      </w:pPr>
    </w:p>
    <w:p w14:paraId="19D56D47"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Por todo esto, resulta claro que la tutela de los derechos de Niños Niñas y</w:t>
      </w:r>
      <w:r>
        <w:rPr>
          <w:rFonts w:ascii="Abadi" w:hAnsi="Abadi" w:cs="ArialMT"/>
          <w:sz w:val="21"/>
          <w:szCs w:val="21"/>
        </w:rPr>
        <w:t xml:space="preserve"> </w:t>
      </w:r>
      <w:r w:rsidRPr="00ED26A2">
        <w:rPr>
          <w:rFonts w:ascii="Abadi" w:hAnsi="Abadi" w:cs="ArialMT"/>
          <w:sz w:val="21"/>
          <w:szCs w:val="21"/>
        </w:rPr>
        <w:t>Adolescentes, como el derecho a la intimidad, puede ser entendida como una</w:t>
      </w:r>
      <w:r>
        <w:rPr>
          <w:rFonts w:ascii="Abadi" w:hAnsi="Abadi" w:cs="ArialMT"/>
          <w:sz w:val="21"/>
          <w:szCs w:val="21"/>
        </w:rPr>
        <w:t xml:space="preserve"> </w:t>
      </w:r>
      <w:r w:rsidRPr="00ED26A2">
        <w:rPr>
          <w:rFonts w:ascii="Abadi" w:hAnsi="Abadi" w:cs="ArialMT"/>
          <w:sz w:val="21"/>
          <w:szCs w:val="21"/>
        </w:rPr>
        <w:t>obligación de padres y madres, incluida en la idea de responsabilidad</w:t>
      </w:r>
      <w:r>
        <w:rPr>
          <w:rFonts w:ascii="Abadi" w:hAnsi="Abadi" w:cs="ArialMT"/>
          <w:sz w:val="21"/>
          <w:szCs w:val="21"/>
        </w:rPr>
        <w:t xml:space="preserve"> </w:t>
      </w:r>
      <w:r w:rsidRPr="00ED26A2">
        <w:rPr>
          <w:rFonts w:ascii="Abadi" w:hAnsi="Abadi" w:cs="ArialMT"/>
          <w:sz w:val="21"/>
          <w:szCs w:val="21"/>
        </w:rPr>
        <w:t>parental. Esto impone el deber de tomar acciones, como la legislativa, en su</w:t>
      </w:r>
      <w:r>
        <w:rPr>
          <w:rFonts w:ascii="Abadi" w:hAnsi="Abadi" w:cs="ArialMT"/>
          <w:sz w:val="21"/>
          <w:szCs w:val="21"/>
        </w:rPr>
        <w:t xml:space="preserve"> </w:t>
      </w:r>
      <w:r w:rsidRPr="00ED26A2">
        <w:rPr>
          <w:rFonts w:ascii="Abadi" w:hAnsi="Abadi" w:cs="ArialMT"/>
          <w:sz w:val="21"/>
          <w:szCs w:val="21"/>
        </w:rPr>
        <w:t>nombre tendientes a lograr la protección, desarrollo y formación integral de</w:t>
      </w:r>
      <w:r>
        <w:rPr>
          <w:rFonts w:ascii="Abadi" w:hAnsi="Abadi" w:cs="ArialMT"/>
          <w:sz w:val="21"/>
          <w:szCs w:val="21"/>
        </w:rPr>
        <w:t xml:space="preserve"> </w:t>
      </w:r>
      <w:r w:rsidRPr="00ED26A2">
        <w:rPr>
          <w:rFonts w:ascii="Abadi" w:hAnsi="Abadi" w:cs="ArialMT"/>
          <w:sz w:val="21"/>
          <w:szCs w:val="21"/>
        </w:rPr>
        <w:t>su persona, como es el tema de la materia electoral.</w:t>
      </w:r>
    </w:p>
    <w:p w14:paraId="2BCE0BE2" w14:textId="77777777" w:rsidR="00306DA7" w:rsidRDefault="00306DA7" w:rsidP="00306DA7">
      <w:pPr>
        <w:autoSpaceDE w:val="0"/>
        <w:autoSpaceDN w:val="0"/>
        <w:adjustRightInd w:val="0"/>
        <w:jc w:val="both"/>
        <w:rPr>
          <w:rFonts w:ascii="Abadi" w:hAnsi="Abadi" w:cs="ArialMT"/>
          <w:sz w:val="21"/>
          <w:szCs w:val="21"/>
        </w:rPr>
      </w:pPr>
    </w:p>
    <w:p w14:paraId="1AAA9916"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En el ámbito de la infancia, es una cuestión obvia la referencia a que Niños</w:t>
      </w:r>
      <w:r>
        <w:rPr>
          <w:rFonts w:ascii="Abadi" w:hAnsi="Abadi" w:cs="ArialMT"/>
          <w:sz w:val="21"/>
          <w:szCs w:val="21"/>
        </w:rPr>
        <w:t xml:space="preserve"> </w:t>
      </w:r>
      <w:r w:rsidRPr="00ED26A2">
        <w:rPr>
          <w:rFonts w:ascii="Abadi" w:hAnsi="Abadi" w:cs="ArialMT"/>
          <w:sz w:val="21"/>
          <w:szCs w:val="21"/>
        </w:rPr>
        <w:t>Niñas y Adolescentes constituyen personas en crecimiento, en ple</w:t>
      </w:r>
      <w:r>
        <w:rPr>
          <w:rFonts w:ascii="Abadi" w:hAnsi="Abadi" w:cs="ArialMT"/>
          <w:sz w:val="21"/>
          <w:szCs w:val="21"/>
        </w:rPr>
        <w:t xml:space="preserve">no </w:t>
      </w:r>
      <w:r w:rsidRPr="00ED26A2">
        <w:rPr>
          <w:rFonts w:ascii="Abadi" w:hAnsi="Abadi" w:cs="ArialMT"/>
          <w:sz w:val="21"/>
          <w:szCs w:val="21"/>
        </w:rPr>
        <w:t>desarrollo y formación de sus capacidades físicas, psíquicas y morales. Ello,</w:t>
      </w:r>
      <w:r>
        <w:rPr>
          <w:rFonts w:ascii="Abadi" w:hAnsi="Abadi" w:cs="ArialMT"/>
          <w:sz w:val="21"/>
          <w:szCs w:val="21"/>
        </w:rPr>
        <w:t xml:space="preserve"> </w:t>
      </w:r>
      <w:r w:rsidRPr="00ED26A2">
        <w:rPr>
          <w:rFonts w:ascii="Abadi" w:hAnsi="Abadi" w:cs="ArialMT"/>
          <w:sz w:val="21"/>
          <w:szCs w:val="21"/>
        </w:rPr>
        <w:t>jurídicamente se traduce en un especial estatus de personas vulnerables y,</w:t>
      </w:r>
      <w:r>
        <w:rPr>
          <w:rFonts w:ascii="Abadi" w:hAnsi="Abadi" w:cs="ArialMT"/>
          <w:sz w:val="21"/>
          <w:szCs w:val="21"/>
        </w:rPr>
        <w:t xml:space="preserve"> </w:t>
      </w:r>
      <w:r w:rsidRPr="00ED26A2">
        <w:rPr>
          <w:rFonts w:ascii="Abadi" w:hAnsi="Abadi" w:cs="ArialMT"/>
          <w:sz w:val="21"/>
          <w:szCs w:val="21"/>
        </w:rPr>
        <w:lastRenderedPageBreak/>
        <w:t>por ese motivo, privilegiadas en el reconocimiento de sus derechos y</w:t>
      </w:r>
      <w:r>
        <w:rPr>
          <w:rFonts w:ascii="Abadi" w:hAnsi="Abadi" w:cs="ArialMT"/>
          <w:sz w:val="21"/>
          <w:szCs w:val="21"/>
        </w:rPr>
        <w:t xml:space="preserve"> </w:t>
      </w:r>
      <w:r w:rsidRPr="00ED26A2">
        <w:rPr>
          <w:rFonts w:ascii="Abadi" w:hAnsi="Abadi" w:cs="ArialMT"/>
          <w:sz w:val="21"/>
          <w:szCs w:val="21"/>
        </w:rPr>
        <w:t>garantías que se debe proteger, entre otros ámbitos, desde el legislativo.</w:t>
      </w:r>
    </w:p>
    <w:p w14:paraId="1DBF90C3" w14:textId="77777777" w:rsidR="00306DA7" w:rsidRDefault="00306DA7" w:rsidP="00306DA7">
      <w:pPr>
        <w:autoSpaceDE w:val="0"/>
        <w:autoSpaceDN w:val="0"/>
        <w:adjustRightInd w:val="0"/>
        <w:jc w:val="both"/>
        <w:rPr>
          <w:rFonts w:ascii="Abadi" w:hAnsi="Abadi" w:cs="ArialMT"/>
          <w:sz w:val="21"/>
          <w:szCs w:val="21"/>
        </w:rPr>
      </w:pPr>
    </w:p>
    <w:p w14:paraId="592147AA"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La vida privada, la familia, el domicilio y, en general, la honra e intimidad de</w:t>
      </w:r>
      <w:r>
        <w:rPr>
          <w:rFonts w:ascii="Abadi" w:hAnsi="Abadi" w:cs="ArialMT"/>
          <w:sz w:val="21"/>
          <w:szCs w:val="21"/>
        </w:rPr>
        <w:t xml:space="preserve"> </w:t>
      </w:r>
      <w:r w:rsidRPr="00ED26A2">
        <w:rPr>
          <w:rFonts w:ascii="Abadi" w:hAnsi="Abadi" w:cs="ArialMT"/>
          <w:sz w:val="21"/>
          <w:szCs w:val="21"/>
        </w:rPr>
        <w:t>estas personas, tal como son enunciadas por el artículo 16 de la Convención</w:t>
      </w:r>
      <w:r>
        <w:rPr>
          <w:rFonts w:ascii="Abadi" w:hAnsi="Abadi" w:cs="ArialMT"/>
          <w:sz w:val="21"/>
          <w:szCs w:val="21"/>
        </w:rPr>
        <w:t xml:space="preserve"> </w:t>
      </w:r>
      <w:r w:rsidRPr="00ED26A2">
        <w:rPr>
          <w:rFonts w:ascii="Abadi" w:hAnsi="Abadi" w:cs="ArialMT"/>
          <w:sz w:val="21"/>
          <w:szCs w:val="21"/>
        </w:rPr>
        <w:t>sobre los Derechos del Niño de las Naciones Unidas, representan de algún</w:t>
      </w:r>
      <w:r>
        <w:rPr>
          <w:rFonts w:ascii="Abadi" w:hAnsi="Abadi" w:cs="ArialMT"/>
          <w:sz w:val="21"/>
          <w:szCs w:val="21"/>
        </w:rPr>
        <w:t xml:space="preserve"> </w:t>
      </w:r>
      <w:r w:rsidRPr="00ED26A2">
        <w:rPr>
          <w:rFonts w:ascii="Abadi" w:hAnsi="Abadi" w:cs="ArialMT"/>
          <w:sz w:val="21"/>
          <w:szCs w:val="21"/>
        </w:rPr>
        <w:t>modo un pilar a partir del cual se edifica su desarrollo y formación. De ahí su</w:t>
      </w:r>
      <w:r>
        <w:rPr>
          <w:rFonts w:ascii="Abadi" w:hAnsi="Abadi" w:cs="ArialMT"/>
          <w:sz w:val="21"/>
          <w:szCs w:val="21"/>
        </w:rPr>
        <w:t xml:space="preserve"> </w:t>
      </w:r>
      <w:r w:rsidRPr="00ED26A2">
        <w:rPr>
          <w:rFonts w:ascii="Abadi" w:hAnsi="Abadi" w:cs="ArialMT"/>
          <w:sz w:val="21"/>
          <w:szCs w:val="21"/>
        </w:rPr>
        <w:t>trascendencia y la necesidad de su intensa tutela jurídica en cualquier</w:t>
      </w:r>
    </w:p>
    <w:p w14:paraId="6CC73D81"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materia.</w:t>
      </w:r>
    </w:p>
    <w:p w14:paraId="328F5FDF" w14:textId="77777777" w:rsidR="00306DA7" w:rsidRDefault="00306DA7" w:rsidP="00306DA7">
      <w:pPr>
        <w:autoSpaceDE w:val="0"/>
        <w:autoSpaceDN w:val="0"/>
        <w:adjustRightInd w:val="0"/>
        <w:jc w:val="both"/>
        <w:rPr>
          <w:rFonts w:ascii="Abadi" w:hAnsi="Abadi" w:cs="ArialMT"/>
          <w:sz w:val="21"/>
          <w:szCs w:val="21"/>
        </w:rPr>
      </w:pPr>
    </w:p>
    <w:p w14:paraId="415DB7F7" w14:textId="77777777" w:rsidR="00306DA7"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Como antecedentes sobre este tema de protección a los derechos de la</w:t>
      </w:r>
      <w:r>
        <w:rPr>
          <w:rFonts w:ascii="Abadi" w:hAnsi="Abadi" w:cs="ArialMT"/>
          <w:sz w:val="21"/>
          <w:szCs w:val="21"/>
        </w:rPr>
        <w:t xml:space="preserve"> </w:t>
      </w:r>
      <w:r w:rsidRPr="00ED26A2">
        <w:rPr>
          <w:rFonts w:ascii="Abadi" w:hAnsi="Abadi" w:cs="ArialMT"/>
          <w:sz w:val="21"/>
          <w:szCs w:val="21"/>
        </w:rPr>
        <w:t>niñez, a la fecha en el ámbito internacional existen tres sentencias y una</w:t>
      </w:r>
      <w:r>
        <w:rPr>
          <w:rFonts w:ascii="Abadi" w:hAnsi="Abadi" w:cs="ArialMT"/>
          <w:sz w:val="21"/>
          <w:szCs w:val="21"/>
        </w:rPr>
        <w:t xml:space="preserve"> </w:t>
      </w:r>
      <w:r w:rsidRPr="00ED26A2">
        <w:rPr>
          <w:rFonts w:ascii="Abadi" w:hAnsi="Abadi" w:cs="ArialMT"/>
          <w:sz w:val="21"/>
          <w:szCs w:val="21"/>
        </w:rPr>
        <w:t>opinión consultiva de la Corte Interamericana de Derechos Humanos relativas</w:t>
      </w:r>
      <w:r>
        <w:rPr>
          <w:rFonts w:ascii="Abadi" w:hAnsi="Abadi" w:cs="ArialMT"/>
          <w:sz w:val="21"/>
          <w:szCs w:val="21"/>
        </w:rPr>
        <w:t xml:space="preserve"> </w:t>
      </w:r>
      <w:r w:rsidRPr="00ED26A2">
        <w:rPr>
          <w:rFonts w:ascii="Abadi" w:hAnsi="Abadi" w:cs="ArialMT"/>
          <w:sz w:val="21"/>
          <w:szCs w:val="21"/>
        </w:rPr>
        <w:t>explícitamente a la tutela de los derechos de los niños. Las sentencias abordan importantes aspectos de la relación entre Convención sobre</w:t>
      </w:r>
      <w:r>
        <w:rPr>
          <w:rFonts w:ascii="Abadi" w:hAnsi="Abadi" w:cs="ArialMT"/>
          <w:sz w:val="21"/>
          <w:szCs w:val="21"/>
        </w:rPr>
        <w:t xml:space="preserve"> </w:t>
      </w:r>
      <w:r w:rsidRPr="00ED26A2">
        <w:rPr>
          <w:rFonts w:ascii="Abadi" w:hAnsi="Abadi" w:cs="ArialMT"/>
          <w:sz w:val="21"/>
          <w:szCs w:val="21"/>
        </w:rPr>
        <w:t>Derechos del Niño y el sistema interamericano, a propósito de prácticas</w:t>
      </w:r>
      <w:r>
        <w:rPr>
          <w:rFonts w:ascii="Abadi" w:hAnsi="Abadi" w:cs="ArialMT"/>
          <w:sz w:val="21"/>
          <w:szCs w:val="21"/>
        </w:rPr>
        <w:t xml:space="preserve"> </w:t>
      </w:r>
      <w:r w:rsidRPr="00ED26A2">
        <w:rPr>
          <w:rFonts w:ascii="Abadi" w:hAnsi="Abadi" w:cs="ArialMT"/>
          <w:sz w:val="21"/>
          <w:szCs w:val="21"/>
        </w:rPr>
        <w:t>lamentablemente sistemáticas de vulneración del derecho a la vida. La</w:t>
      </w:r>
      <w:r>
        <w:rPr>
          <w:rFonts w:ascii="Abadi" w:hAnsi="Abadi" w:cs="ArialMT"/>
          <w:sz w:val="21"/>
          <w:szCs w:val="21"/>
        </w:rPr>
        <w:t xml:space="preserve"> </w:t>
      </w:r>
      <w:r w:rsidRPr="00ED26A2">
        <w:rPr>
          <w:rFonts w:ascii="Abadi" w:hAnsi="Abadi" w:cs="ArialMT"/>
          <w:sz w:val="21"/>
          <w:szCs w:val="21"/>
        </w:rPr>
        <w:t>Opinión Consultiva 17, de 2002, emana de una petición hecha a la Corte por</w:t>
      </w:r>
      <w:r>
        <w:rPr>
          <w:rFonts w:ascii="Abadi" w:hAnsi="Abadi" w:cs="ArialMT"/>
          <w:sz w:val="21"/>
          <w:szCs w:val="21"/>
        </w:rPr>
        <w:t xml:space="preserve"> </w:t>
      </w:r>
      <w:r w:rsidRPr="00ED26A2">
        <w:rPr>
          <w:rFonts w:ascii="Abadi" w:hAnsi="Abadi" w:cs="ArialMT"/>
          <w:sz w:val="21"/>
          <w:szCs w:val="21"/>
        </w:rPr>
        <w:t>la Comisión Interamericana de Derechos Humanos, y se titula precisamente</w:t>
      </w:r>
      <w:r>
        <w:rPr>
          <w:rFonts w:ascii="Abadi" w:hAnsi="Abadi" w:cs="ArialMT"/>
          <w:sz w:val="21"/>
          <w:szCs w:val="21"/>
        </w:rPr>
        <w:t xml:space="preserve"> </w:t>
      </w:r>
      <w:r w:rsidRPr="00ED26A2">
        <w:rPr>
          <w:rFonts w:ascii="Abadi" w:hAnsi="Abadi" w:cs="ArialMT"/>
          <w:sz w:val="21"/>
          <w:szCs w:val="21"/>
        </w:rPr>
        <w:t>“Condición jurídica y derechos humanos de los niños”</w:t>
      </w:r>
      <w:r>
        <w:rPr>
          <w:rStyle w:val="Refdenotaalpie"/>
          <w:rFonts w:ascii="Abadi" w:hAnsi="Abadi" w:cs="ArialMT"/>
          <w:sz w:val="21"/>
          <w:szCs w:val="21"/>
        </w:rPr>
        <w:footnoteReference w:id="41"/>
      </w:r>
      <w:r w:rsidRPr="00ED26A2">
        <w:rPr>
          <w:rFonts w:ascii="Abadi" w:hAnsi="Abadi" w:cs="ArialMT"/>
          <w:sz w:val="21"/>
          <w:szCs w:val="21"/>
        </w:rPr>
        <w:t>.</w:t>
      </w:r>
    </w:p>
    <w:p w14:paraId="43676349" w14:textId="77777777" w:rsidR="00306DA7" w:rsidRPr="00ED26A2" w:rsidRDefault="00306DA7" w:rsidP="00306DA7">
      <w:pPr>
        <w:autoSpaceDE w:val="0"/>
        <w:autoSpaceDN w:val="0"/>
        <w:adjustRightInd w:val="0"/>
        <w:jc w:val="both"/>
        <w:rPr>
          <w:rFonts w:ascii="Abadi" w:hAnsi="Abadi" w:cs="ArialMT"/>
          <w:sz w:val="21"/>
          <w:szCs w:val="21"/>
        </w:rPr>
      </w:pPr>
    </w:p>
    <w:p w14:paraId="7058B837" w14:textId="77777777" w:rsidR="00306DA7"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Es importante destacar que existen antecedentes de que los partidos políticos</w:t>
      </w:r>
      <w:r>
        <w:rPr>
          <w:rFonts w:ascii="Abadi" w:hAnsi="Abadi" w:cs="ArialMT"/>
          <w:sz w:val="21"/>
          <w:szCs w:val="21"/>
        </w:rPr>
        <w:t xml:space="preserve"> </w:t>
      </w:r>
      <w:r w:rsidRPr="00ED26A2">
        <w:rPr>
          <w:rFonts w:ascii="Abadi" w:hAnsi="Abadi" w:cs="ArialMT"/>
          <w:sz w:val="21"/>
          <w:szCs w:val="21"/>
        </w:rPr>
        <w:t>en México han utilizado a menores de edad en sus precampañas, campañas</w:t>
      </w:r>
      <w:r>
        <w:rPr>
          <w:rFonts w:ascii="Abadi" w:hAnsi="Abadi" w:cs="ArialMT"/>
          <w:sz w:val="21"/>
          <w:szCs w:val="21"/>
        </w:rPr>
        <w:t xml:space="preserve"> </w:t>
      </w:r>
      <w:r w:rsidRPr="00ED26A2">
        <w:rPr>
          <w:rFonts w:ascii="Abadi" w:hAnsi="Abadi" w:cs="ArialMT"/>
          <w:sz w:val="21"/>
          <w:szCs w:val="21"/>
        </w:rPr>
        <w:t>y propaganda político electoral, y no en pocos casos sin respetar la intimidad</w:t>
      </w:r>
      <w:r>
        <w:rPr>
          <w:rFonts w:ascii="Abadi" w:hAnsi="Abadi" w:cs="ArialMT"/>
          <w:sz w:val="21"/>
          <w:szCs w:val="21"/>
        </w:rPr>
        <w:t xml:space="preserve"> </w:t>
      </w:r>
      <w:r w:rsidRPr="00ED26A2">
        <w:rPr>
          <w:rFonts w:ascii="Abadi" w:hAnsi="Abadi" w:cs="ArialMT"/>
          <w:sz w:val="21"/>
          <w:szCs w:val="21"/>
        </w:rPr>
        <w:t>y la afectación a su dignidad de que es objeto, violentándose en forma</w:t>
      </w:r>
      <w:r>
        <w:rPr>
          <w:rFonts w:ascii="Abadi" w:hAnsi="Abadi" w:cs="ArialMT"/>
          <w:sz w:val="21"/>
          <w:szCs w:val="21"/>
        </w:rPr>
        <w:t xml:space="preserve"> </w:t>
      </w:r>
      <w:r w:rsidRPr="00ED26A2">
        <w:rPr>
          <w:rFonts w:ascii="Abadi" w:hAnsi="Abadi" w:cs="ArialMT"/>
          <w:sz w:val="21"/>
          <w:szCs w:val="21"/>
        </w:rPr>
        <w:t>flagrante el interés superior de la niñez, por lo que atendiendo a esta</w:t>
      </w:r>
      <w:r>
        <w:rPr>
          <w:rFonts w:ascii="Abadi" w:hAnsi="Abadi" w:cs="ArialMT"/>
          <w:sz w:val="21"/>
          <w:szCs w:val="21"/>
        </w:rPr>
        <w:t xml:space="preserve"> </w:t>
      </w:r>
      <w:r w:rsidRPr="00ED26A2">
        <w:rPr>
          <w:rFonts w:ascii="Abadi" w:hAnsi="Abadi" w:cs="ArialMT"/>
          <w:sz w:val="21"/>
          <w:szCs w:val="21"/>
        </w:rPr>
        <w:t>problemática y al principios de interés superior de la niñez y de respeto a la</w:t>
      </w:r>
      <w:r>
        <w:rPr>
          <w:rFonts w:ascii="Abadi" w:hAnsi="Abadi" w:cs="ArialMT"/>
          <w:sz w:val="21"/>
          <w:szCs w:val="21"/>
        </w:rPr>
        <w:t xml:space="preserve"> </w:t>
      </w:r>
      <w:r w:rsidRPr="00ED26A2">
        <w:rPr>
          <w:rFonts w:ascii="Abadi" w:hAnsi="Abadi" w:cs="ArialMT"/>
          <w:sz w:val="21"/>
          <w:szCs w:val="21"/>
        </w:rPr>
        <w:t>vida privada, así como a la intimidad del niño, niña y adolescente, la fracción</w:t>
      </w:r>
      <w:r>
        <w:rPr>
          <w:rFonts w:ascii="Abadi" w:hAnsi="Abadi" w:cs="ArialMT"/>
          <w:sz w:val="21"/>
          <w:szCs w:val="21"/>
        </w:rPr>
        <w:t xml:space="preserve"> </w:t>
      </w:r>
      <w:r w:rsidRPr="00ED26A2">
        <w:rPr>
          <w:rFonts w:ascii="Abadi" w:hAnsi="Abadi" w:cs="ArialMT"/>
          <w:sz w:val="21"/>
          <w:szCs w:val="21"/>
        </w:rPr>
        <w:t>Parlamentaria del Partido Revolucionario Institucional, formula la presente</w:t>
      </w:r>
      <w:r>
        <w:rPr>
          <w:rFonts w:ascii="Abadi" w:hAnsi="Abadi" w:cs="ArialMT"/>
          <w:sz w:val="21"/>
          <w:szCs w:val="21"/>
        </w:rPr>
        <w:t xml:space="preserve"> </w:t>
      </w:r>
      <w:r w:rsidRPr="00ED26A2">
        <w:rPr>
          <w:rFonts w:ascii="Abadi" w:hAnsi="Abadi" w:cs="ArialMT"/>
          <w:sz w:val="21"/>
          <w:szCs w:val="21"/>
        </w:rPr>
        <w:t>iniciativa, para que en los procesos electorales, tanto partidos políticos,</w:t>
      </w:r>
      <w:r>
        <w:rPr>
          <w:rFonts w:ascii="Abadi" w:hAnsi="Abadi" w:cs="ArialMT"/>
          <w:sz w:val="21"/>
          <w:szCs w:val="21"/>
        </w:rPr>
        <w:t xml:space="preserve"> </w:t>
      </w:r>
      <w:r w:rsidRPr="00ED26A2">
        <w:rPr>
          <w:rFonts w:ascii="Abadi" w:hAnsi="Abadi" w:cs="ArialMT"/>
          <w:sz w:val="21"/>
          <w:szCs w:val="21"/>
        </w:rPr>
        <w:t xml:space="preserve">coaliciones, como sus precandidatos, </w:t>
      </w:r>
      <w:r w:rsidRPr="00ED26A2">
        <w:rPr>
          <w:rFonts w:ascii="Abadi" w:hAnsi="Abadi" w:cs="ArialMT"/>
          <w:sz w:val="21"/>
          <w:szCs w:val="21"/>
        </w:rPr>
        <w:t>candidatos y candidatas registrados,</w:t>
      </w:r>
      <w:r>
        <w:rPr>
          <w:rFonts w:ascii="Abadi" w:hAnsi="Abadi" w:cs="ArialMT"/>
          <w:sz w:val="21"/>
          <w:szCs w:val="21"/>
        </w:rPr>
        <w:t xml:space="preserve"> </w:t>
      </w:r>
      <w:r w:rsidRPr="00ED26A2">
        <w:rPr>
          <w:rFonts w:ascii="Abadi" w:hAnsi="Abadi" w:cs="ArialMT"/>
          <w:sz w:val="21"/>
          <w:szCs w:val="21"/>
        </w:rPr>
        <w:t>así como las y los independientes o sin partido, les esté prohibido que utilicen</w:t>
      </w:r>
      <w:r>
        <w:rPr>
          <w:rFonts w:ascii="Abadi" w:hAnsi="Abadi" w:cs="ArialMT"/>
          <w:sz w:val="21"/>
          <w:szCs w:val="21"/>
        </w:rPr>
        <w:t xml:space="preserve"> </w:t>
      </w:r>
      <w:r w:rsidRPr="00ED26A2">
        <w:rPr>
          <w:rFonts w:ascii="Abadi" w:hAnsi="Abadi" w:cs="ArialMT"/>
          <w:sz w:val="21"/>
          <w:szCs w:val="21"/>
        </w:rPr>
        <w:t>en sus actos de precampaña, campaña o proselitistas a personas menores</w:t>
      </w:r>
      <w:r>
        <w:rPr>
          <w:rFonts w:ascii="Abadi" w:hAnsi="Abadi" w:cs="ArialMT"/>
          <w:sz w:val="21"/>
          <w:szCs w:val="21"/>
        </w:rPr>
        <w:t xml:space="preserve"> </w:t>
      </w:r>
      <w:r w:rsidRPr="00ED26A2">
        <w:rPr>
          <w:rFonts w:ascii="Abadi" w:hAnsi="Abadi" w:cs="ArialMT"/>
          <w:sz w:val="21"/>
          <w:szCs w:val="21"/>
        </w:rPr>
        <w:t>de 18 años, ni en su propaganda electoral difundan mediante mecanismos</w:t>
      </w:r>
      <w:r>
        <w:rPr>
          <w:rFonts w:ascii="Abadi" w:hAnsi="Abadi" w:cs="ArialMT"/>
          <w:sz w:val="21"/>
          <w:szCs w:val="21"/>
        </w:rPr>
        <w:t xml:space="preserve"> </w:t>
      </w:r>
      <w:r w:rsidRPr="00ED26A2">
        <w:rPr>
          <w:rFonts w:ascii="Abadi" w:hAnsi="Abadi" w:cs="ArialMT"/>
          <w:sz w:val="21"/>
          <w:szCs w:val="21"/>
        </w:rPr>
        <w:t>impresos y a través de medios electrónicos, imágenes de personas niñas,</w:t>
      </w:r>
      <w:r>
        <w:rPr>
          <w:rFonts w:ascii="Abadi" w:hAnsi="Abadi" w:cs="ArialMT"/>
          <w:sz w:val="21"/>
          <w:szCs w:val="21"/>
        </w:rPr>
        <w:t xml:space="preserve"> </w:t>
      </w:r>
      <w:r w:rsidRPr="00ED26A2">
        <w:rPr>
          <w:rFonts w:ascii="Abadi" w:hAnsi="Abadi" w:cs="ArialMT"/>
          <w:sz w:val="21"/>
          <w:szCs w:val="21"/>
        </w:rPr>
        <w:t>niños o adolescentes, por respeto a su intimidad y su imagen personal que</w:t>
      </w:r>
      <w:r>
        <w:rPr>
          <w:rFonts w:ascii="Abadi" w:hAnsi="Abadi" w:cs="ArialMT"/>
          <w:sz w:val="21"/>
          <w:szCs w:val="21"/>
        </w:rPr>
        <w:t xml:space="preserve"> </w:t>
      </w:r>
      <w:r w:rsidRPr="00ED26A2">
        <w:rPr>
          <w:rFonts w:ascii="Abadi" w:hAnsi="Abadi" w:cs="ArialMT"/>
          <w:sz w:val="21"/>
          <w:szCs w:val="21"/>
        </w:rPr>
        <w:t>los hace personas identificadas e identificables, que se encuentran en estado</w:t>
      </w:r>
      <w:r>
        <w:rPr>
          <w:rFonts w:ascii="Abadi" w:hAnsi="Abadi" w:cs="ArialMT"/>
          <w:sz w:val="21"/>
          <w:szCs w:val="21"/>
        </w:rPr>
        <w:t xml:space="preserve"> </w:t>
      </w:r>
      <w:r w:rsidRPr="00ED26A2">
        <w:rPr>
          <w:rFonts w:ascii="Abadi" w:hAnsi="Abadi" w:cs="ArialMT"/>
          <w:sz w:val="21"/>
          <w:szCs w:val="21"/>
        </w:rPr>
        <w:t>de vulnerabilidad y que les pueda generar una estigmatización de su persona,</w:t>
      </w:r>
      <w:r>
        <w:rPr>
          <w:rFonts w:ascii="Abadi" w:hAnsi="Abadi" w:cs="ArialMT"/>
          <w:sz w:val="21"/>
          <w:szCs w:val="21"/>
        </w:rPr>
        <w:t xml:space="preserve"> </w:t>
      </w:r>
      <w:r w:rsidRPr="00ED26A2">
        <w:rPr>
          <w:rFonts w:ascii="Abadi" w:hAnsi="Abadi" w:cs="ArialMT"/>
          <w:sz w:val="21"/>
          <w:szCs w:val="21"/>
        </w:rPr>
        <w:t>identificándolos con ciertas ideología política, que quizá ni conozcan. Por lo</w:t>
      </w:r>
      <w:r>
        <w:rPr>
          <w:rFonts w:ascii="Abadi" w:hAnsi="Abadi" w:cs="ArialMT"/>
          <w:sz w:val="21"/>
          <w:szCs w:val="21"/>
        </w:rPr>
        <w:t xml:space="preserve"> </w:t>
      </w:r>
      <w:r w:rsidRPr="00ED26A2">
        <w:rPr>
          <w:rFonts w:ascii="Abadi" w:hAnsi="Abadi" w:cs="ArialMT"/>
          <w:sz w:val="21"/>
          <w:szCs w:val="21"/>
        </w:rPr>
        <w:t>que es importante regular en la legislación electoral local esta cuestión para</w:t>
      </w:r>
      <w:r>
        <w:rPr>
          <w:rFonts w:ascii="Abadi" w:hAnsi="Abadi" w:cs="ArialMT"/>
          <w:sz w:val="21"/>
          <w:szCs w:val="21"/>
        </w:rPr>
        <w:t xml:space="preserve"> </w:t>
      </w:r>
      <w:r w:rsidRPr="00ED26A2">
        <w:rPr>
          <w:rFonts w:ascii="Abadi" w:hAnsi="Abadi" w:cs="ArialMT"/>
          <w:sz w:val="21"/>
          <w:szCs w:val="21"/>
        </w:rPr>
        <w:t>que esto sólo se deba ser permitido cuando medie autorización de su madre,</w:t>
      </w:r>
      <w:r>
        <w:rPr>
          <w:rFonts w:ascii="Abadi" w:hAnsi="Abadi" w:cs="ArialMT"/>
          <w:sz w:val="21"/>
          <w:szCs w:val="21"/>
        </w:rPr>
        <w:t xml:space="preserve"> </w:t>
      </w:r>
      <w:r w:rsidRPr="00ED26A2">
        <w:rPr>
          <w:rFonts w:ascii="Abadi" w:hAnsi="Abadi" w:cs="ArialMT"/>
          <w:sz w:val="21"/>
          <w:szCs w:val="21"/>
        </w:rPr>
        <w:t>padre, tutor o quien ejerza la patria potestad; además, será necesario que, de</w:t>
      </w:r>
      <w:r>
        <w:rPr>
          <w:rFonts w:ascii="Abadi" w:hAnsi="Abadi" w:cs="ArialMT"/>
          <w:sz w:val="21"/>
          <w:szCs w:val="21"/>
        </w:rPr>
        <w:t xml:space="preserve"> </w:t>
      </w:r>
      <w:r w:rsidRPr="00ED26A2">
        <w:rPr>
          <w:rFonts w:ascii="Abadi" w:hAnsi="Abadi" w:cs="ArialMT"/>
          <w:sz w:val="21"/>
          <w:szCs w:val="21"/>
        </w:rPr>
        <w:t>igual forma, medie por escrito opinión informada del propio menor,</w:t>
      </w:r>
      <w:r>
        <w:rPr>
          <w:rFonts w:ascii="Abadi" w:hAnsi="Abadi" w:cs="ArialMT"/>
          <w:sz w:val="21"/>
          <w:szCs w:val="21"/>
        </w:rPr>
        <w:t xml:space="preserve"> </w:t>
      </w:r>
      <w:r w:rsidRPr="00ED26A2">
        <w:rPr>
          <w:rFonts w:ascii="Abadi" w:hAnsi="Abadi" w:cs="ArialMT"/>
          <w:sz w:val="21"/>
          <w:szCs w:val="21"/>
        </w:rPr>
        <w:t>atendiendo a sus circunstancias personales de edad y estado psicofísico de</w:t>
      </w:r>
      <w:r>
        <w:rPr>
          <w:rFonts w:ascii="Abadi" w:hAnsi="Abadi" w:cs="ArialMT"/>
          <w:sz w:val="21"/>
          <w:szCs w:val="21"/>
        </w:rPr>
        <w:t xml:space="preserve"> </w:t>
      </w:r>
      <w:r w:rsidRPr="00ED26A2">
        <w:rPr>
          <w:rFonts w:ascii="Abadi" w:hAnsi="Abadi" w:cs="ArialMT"/>
          <w:sz w:val="21"/>
          <w:szCs w:val="21"/>
        </w:rPr>
        <w:t>salud. Pero con la limitante de que, no obstante que exista el permiso escrito</w:t>
      </w:r>
      <w:r>
        <w:rPr>
          <w:rFonts w:ascii="Abadi" w:hAnsi="Abadi" w:cs="ArialMT"/>
          <w:sz w:val="21"/>
          <w:szCs w:val="21"/>
        </w:rPr>
        <w:t xml:space="preserve"> </w:t>
      </w:r>
      <w:r w:rsidRPr="00ED26A2">
        <w:rPr>
          <w:rFonts w:ascii="Abadi" w:hAnsi="Abadi" w:cs="ArialMT"/>
          <w:sz w:val="21"/>
          <w:szCs w:val="21"/>
        </w:rPr>
        <w:t>y la opinión informada, el acto electoral donde participe una o un menor de</w:t>
      </w:r>
      <w:r>
        <w:rPr>
          <w:rFonts w:ascii="Abadi" w:hAnsi="Abadi" w:cs="ArialMT"/>
          <w:sz w:val="21"/>
          <w:szCs w:val="21"/>
        </w:rPr>
        <w:t xml:space="preserve"> </w:t>
      </w:r>
      <w:r w:rsidRPr="00ED26A2">
        <w:rPr>
          <w:rFonts w:ascii="Abadi" w:hAnsi="Abadi" w:cs="ArialMT"/>
          <w:sz w:val="21"/>
          <w:szCs w:val="21"/>
        </w:rPr>
        <w:t>edad o adolescente se debe cuidar que su participación esté libre de cualquier</w:t>
      </w:r>
      <w:r>
        <w:rPr>
          <w:rFonts w:ascii="Abadi" w:hAnsi="Abadi" w:cs="ArialMT"/>
          <w:sz w:val="21"/>
          <w:szCs w:val="21"/>
        </w:rPr>
        <w:t xml:space="preserve"> </w:t>
      </w:r>
      <w:r w:rsidRPr="00ED26A2">
        <w:rPr>
          <w:rFonts w:ascii="Abadi" w:hAnsi="Abadi" w:cs="ArialMT"/>
          <w:sz w:val="21"/>
          <w:szCs w:val="21"/>
        </w:rPr>
        <w:t>tipo de violencia física, simbólica, emocional o psicológica.</w:t>
      </w:r>
    </w:p>
    <w:p w14:paraId="16A007E0" w14:textId="77777777" w:rsidR="00306DA7" w:rsidRPr="00ED26A2" w:rsidRDefault="00306DA7" w:rsidP="00306DA7">
      <w:pPr>
        <w:autoSpaceDE w:val="0"/>
        <w:autoSpaceDN w:val="0"/>
        <w:adjustRightInd w:val="0"/>
        <w:jc w:val="both"/>
        <w:rPr>
          <w:rFonts w:ascii="Abadi" w:hAnsi="Abadi" w:cs="ArialMT"/>
          <w:sz w:val="21"/>
          <w:szCs w:val="21"/>
        </w:rPr>
      </w:pPr>
    </w:p>
    <w:p w14:paraId="145AD373"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 xml:space="preserve">Así, en 2015, el caso </w:t>
      </w:r>
      <w:r w:rsidRPr="00ED26A2">
        <w:rPr>
          <w:rFonts w:ascii="Abadi" w:hAnsi="Abadi" w:cs="Arial-ItalicMT"/>
          <w:i/>
          <w:iCs/>
          <w:sz w:val="21"/>
          <w:szCs w:val="21"/>
        </w:rPr>
        <w:t xml:space="preserve">“Quien pompó” </w:t>
      </w:r>
      <w:r w:rsidRPr="00ED26A2">
        <w:rPr>
          <w:rFonts w:ascii="Abadi" w:hAnsi="Abadi" w:cs="ArialMT"/>
          <w:sz w:val="21"/>
          <w:szCs w:val="21"/>
        </w:rPr>
        <w:t>llevó el tema a la Sala Regional</w:t>
      </w:r>
      <w:r>
        <w:rPr>
          <w:rFonts w:ascii="Abadi" w:hAnsi="Abadi" w:cs="ArialMT"/>
          <w:sz w:val="21"/>
          <w:szCs w:val="21"/>
        </w:rPr>
        <w:t xml:space="preserve"> </w:t>
      </w:r>
      <w:r w:rsidRPr="00ED26A2">
        <w:rPr>
          <w:rFonts w:ascii="Abadi" w:hAnsi="Abadi" w:cs="ArialMT"/>
          <w:sz w:val="21"/>
          <w:szCs w:val="21"/>
        </w:rPr>
        <w:t>Especializada del Tribunal Electoral del Poder Judicial de la Federación, donde se presentó por primera vez un agravio cuestionando la participación</w:t>
      </w:r>
      <w:r>
        <w:rPr>
          <w:rFonts w:ascii="Abadi" w:hAnsi="Abadi" w:cs="ArialMT"/>
          <w:sz w:val="21"/>
          <w:szCs w:val="21"/>
        </w:rPr>
        <w:t xml:space="preserve"> </w:t>
      </w:r>
      <w:r w:rsidRPr="00ED26A2">
        <w:rPr>
          <w:rFonts w:ascii="Abadi" w:hAnsi="Abadi" w:cs="ArialMT"/>
          <w:sz w:val="21"/>
          <w:szCs w:val="21"/>
        </w:rPr>
        <w:t>de menores de edad en un acto de propaganda electoral. La carencia de una</w:t>
      </w:r>
      <w:r>
        <w:rPr>
          <w:rFonts w:ascii="Abadi" w:hAnsi="Abadi" w:cs="ArialMT"/>
          <w:sz w:val="21"/>
          <w:szCs w:val="21"/>
        </w:rPr>
        <w:t xml:space="preserve"> </w:t>
      </w:r>
      <w:r w:rsidRPr="00ED26A2">
        <w:rPr>
          <w:rFonts w:ascii="Abadi" w:hAnsi="Abadi" w:cs="ArialMT"/>
          <w:sz w:val="21"/>
          <w:szCs w:val="21"/>
        </w:rPr>
        <w:t>normatividad secundaria fue evidente y los riesgos potenciales a la aparición</w:t>
      </w:r>
      <w:r>
        <w:rPr>
          <w:rFonts w:ascii="Abadi" w:hAnsi="Abadi" w:cs="ArialMT"/>
          <w:sz w:val="21"/>
          <w:szCs w:val="21"/>
        </w:rPr>
        <w:t xml:space="preserve"> </w:t>
      </w:r>
      <w:r w:rsidRPr="00ED26A2">
        <w:rPr>
          <w:rFonts w:ascii="Abadi" w:hAnsi="Abadi" w:cs="ArialMT"/>
          <w:sz w:val="21"/>
          <w:szCs w:val="21"/>
        </w:rPr>
        <w:t>de menores en un mensaje político fueron parte esencial de la discusión</w:t>
      </w:r>
      <w:r>
        <w:rPr>
          <w:rStyle w:val="Refdenotaalpie"/>
          <w:rFonts w:ascii="Abadi" w:hAnsi="Abadi" w:cs="ArialMT"/>
          <w:sz w:val="21"/>
          <w:szCs w:val="21"/>
        </w:rPr>
        <w:footnoteReference w:id="42"/>
      </w:r>
      <w:r w:rsidRPr="00ED26A2">
        <w:rPr>
          <w:rFonts w:ascii="Abadi" w:hAnsi="Abadi" w:cs="ArialMT"/>
          <w:sz w:val="21"/>
          <w:szCs w:val="21"/>
        </w:rPr>
        <w:t>.</w:t>
      </w:r>
    </w:p>
    <w:p w14:paraId="7B6EA9A8" w14:textId="77777777" w:rsidR="00306DA7" w:rsidRDefault="00306DA7" w:rsidP="00306DA7">
      <w:pPr>
        <w:autoSpaceDE w:val="0"/>
        <w:autoSpaceDN w:val="0"/>
        <w:adjustRightInd w:val="0"/>
        <w:jc w:val="both"/>
        <w:rPr>
          <w:rFonts w:ascii="Abadi" w:hAnsi="Abadi" w:cs="ArialMT"/>
          <w:sz w:val="21"/>
          <w:szCs w:val="21"/>
        </w:rPr>
      </w:pPr>
    </w:p>
    <w:p w14:paraId="5F6F8BCA"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Los escenarios que podían repercutir en la vida y desarrollo óptimo de la</w:t>
      </w:r>
      <w:r>
        <w:rPr>
          <w:rFonts w:ascii="Abadi" w:hAnsi="Abadi" w:cs="ArialMT"/>
          <w:sz w:val="21"/>
          <w:szCs w:val="21"/>
        </w:rPr>
        <w:t xml:space="preserve"> </w:t>
      </w:r>
      <w:r w:rsidRPr="00ED26A2">
        <w:rPr>
          <w:rFonts w:ascii="Abadi" w:hAnsi="Abadi" w:cs="ArialMT"/>
          <w:sz w:val="21"/>
          <w:szCs w:val="21"/>
        </w:rPr>
        <w:t>niñez eran: asociarla con una determinada preferencia política o ideológica,</w:t>
      </w:r>
      <w:r>
        <w:rPr>
          <w:rFonts w:ascii="Abadi" w:hAnsi="Abadi" w:cs="ArialMT"/>
          <w:sz w:val="21"/>
          <w:szCs w:val="21"/>
        </w:rPr>
        <w:t xml:space="preserve"> </w:t>
      </w:r>
      <w:r w:rsidRPr="00ED26A2">
        <w:rPr>
          <w:rFonts w:ascii="Abadi" w:hAnsi="Abadi" w:cs="ArialMT"/>
          <w:sz w:val="21"/>
          <w:szCs w:val="21"/>
        </w:rPr>
        <w:t>sin tener una clara conciencia de lo que ello representa; en el ambiente</w:t>
      </w:r>
      <w:r>
        <w:rPr>
          <w:rFonts w:ascii="Abadi" w:hAnsi="Abadi" w:cs="ArialMT"/>
          <w:sz w:val="21"/>
          <w:szCs w:val="21"/>
        </w:rPr>
        <w:t xml:space="preserve"> </w:t>
      </w:r>
      <w:r w:rsidRPr="00ED26A2">
        <w:rPr>
          <w:rFonts w:ascii="Abadi" w:hAnsi="Abadi" w:cs="ArialMT"/>
          <w:sz w:val="21"/>
          <w:szCs w:val="21"/>
        </w:rPr>
        <w:t xml:space="preserve">escolar sufrir </w:t>
      </w:r>
      <w:r w:rsidRPr="00ED26A2">
        <w:rPr>
          <w:rFonts w:ascii="Abadi" w:hAnsi="Abadi" w:cs="Arial-ItalicMT"/>
          <w:i/>
          <w:iCs/>
          <w:sz w:val="21"/>
          <w:szCs w:val="21"/>
        </w:rPr>
        <w:t xml:space="preserve">bullying </w:t>
      </w:r>
      <w:r w:rsidRPr="00ED26A2">
        <w:rPr>
          <w:rFonts w:ascii="Abadi" w:hAnsi="Abadi" w:cs="ArialMT"/>
          <w:sz w:val="21"/>
          <w:szCs w:val="21"/>
        </w:rPr>
        <w:t>o acoso que pudiese denigrar al menor; y en la edad</w:t>
      </w:r>
      <w:r>
        <w:rPr>
          <w:rFonts w:ascii="Abadi" w:hAnsi="Abadi" w:cs="ArialMT"/>
          <w:sz w:val="21"/>
          <w:szCs w:val="21"/>
        </w:rPr>
        <w:t xml:space="preserve"> </w:t>
      </w:r>
      <w:r w:rsidRPr="00ED26A2">
        <w:rPr>
          <w:rFonts w:ascii="Abadi" w:hAnsi="Abadi" w:cs="ArialMT"/>
          <w:sz w:val="21"/>
          <w:szCs w:val="21"/>
        </w:rPr>
        <w:t xml:space="preserve">adulta </w:t>
      </w:r>
      <w:r w:rsidRPr="00ED26A2">
        <w:rPr>
          <w:rFonts w:ascii="Abadi" w:hAnsi="Abadi" w:cs="ArialMT"/>
          <w:sz w:val="21"/>
          <w:szCs w:val="21"/>
        </w:rPr>
        <w:lastRenderedPageBreak/>
        <w:t>puede desaprobar la ideología política con la que fue identificada en</w:t>
      </w:r>
      <w:r>
        <w:rPr>
          <w:rFonts w:ascii="Abadi" w:hAnsi="Abadi" w:cs="ArialMT"/>
          <w:sz w:val="21"/>
          <w:szCs w:val="21"/>
        </w:rPr>
        <w:t xml:space="preserve"> </w:t>
      </w:r>
      <w:r w:rsidRPr="00ED26A2">
        <w:rPr>
          <w:rFonts w:ascii="Abadi" w:hAnsi="Abadi" w:cs="ArialMT"/>
          <w:sz w:val="21"/>
          <w:szCs w:val="21"/>
        </w:rPr>
        <w:t>su infancia.</w:t>
      </w:r>
    </w:p>
    <w:p w14:paraId="5552A4AA" w14:textId="77777777" w:rsidR="00306DA7" w:rsidRDefault="00306DA7" w:rsidP="00306DA7">
      <w:pPr>
        <w:autoSpaceDE w:val="0"/>
        <w:autoSpaceDN w:val="0"/>
        <w:adjustRightInd w:val="0"/>
        <w:jc w:val="both"/>
        <w:rPr>
          <w:rFonts w:ascii="Abadi" w:hAnsi="Abadi" w:cs="ArialMT"/>
          <w:sz w:val="21"/>
          <w:szCs w:val="21"/>
        </w:rPr>
      </w:pPr>
    </w:p>
    <w:p w14:paraId="5E83F741"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Para evitar esas situaciones la Sala Especializada en materia Electoral,</w:t>
      </w:r>
      <w:r>
        <w:rPr>
          <w:rFonts w:ascii="Abadi" w:hAnsi="Abadi" w:cs="ArialMT"/>
          <w:sz w:val="21"/>
          <w:szCs w:val="21"/>
        </w:rPr>
        <w:t xml:space="preserve"> </w:t>
      </w:r>
      <w:r w:rsidRPr="00ED26A2">
        <w:rPr>
          <w:rFonts w:ascii="Abadi" w:hAnsi="Abadi" w:cs="ArialMT"/>
          <w:sz w:val="21"/>
          <w:szCs w:val="21"/>
        </w:rPr>
        <w:t>señaló que, para proteger a los menores de esos posibles escenarios,</w:t>
      </w:r>
      <w:r>
        <w:rPr>
          <w:rFonts w:ascii="Abadi" w:hAnsi="Abadi" w:cs="ArialMT"/>
          <w:sz w:val="21"/>
          <w:szCs w:val="21"/>
        </w:rPr>
        <w:t xml:space="preserve"> </w:t>
      </w:r>
      <w:r w:rsidRPr="00ED26A2">
        <w:rPr>
          <w:rFonts w:ascii="Abadi" w:hAnsi="Abadi" w:cs="ArialMT"/>
          <w:sz w:val="21"/>
          <w:szCs w:val="21"/>
        </w:rPr>
        <w:t>asegurar el ejercicio efectivo de sus derechos y dotar las medidas necesarias</w:t>
      </w:r>
      <w:r>
        <w:rPr>
          <w:rFonts w:ascii="Abadi" w:hAnsi="Abadi" w:cs="ArialMT"/>
          <w:sz w:val="21"/>
          <w:szCs w:val="21"/>
        </w:rPr>
        <w:t xml:space="preserve"> </w:t>
      </w:r>
      <w:r w:rsidRPr="00ED26A2">
        <w:rPr>
          <w:rFonts w:ascii="Abadi" w:hAnsi="Abadi" w:cs="ArialMT"/>
          <w:sz w:val="21"/>
          <w:szCs w:val="21"/>
        </w:rPr>
        <w:t xml:space="preserve">para su óptimo desarrollo, </w:t>
      </w:r>
      <w:r w:rsidRPr="00ED26A2">
        <w:rPr>
          <w:rFonts w:ascii="Abadi" w:hAnsi="Abadi" w:cs="Arial-ItalicMT"/>
          <w:i/>
          <w:iCs/>
          <w:sz w:val="21"/>
          <w:szCs w:val="21"/>
        </w:rPr>
        <w:t>el principio del interés superior de la niñez</w:t>
      </w:r>
      <w:r>
        <w:rPr>
          <w:rStyle w:val="Refdenotaalpie"/>
          <w:rFonts w:ascii="Abadi" w:hAnsi="Abadi" w:cs="Arial-ItalicMT"/>
          <w:i/>
          <w:iCs/>
          <w:sz w:val="21"/>
          <w:szCs w:val="21"/>
        </w:rPr>
        <w:footnoteReference w:id="43"/>
      </w:r>
      <w:r w:rsidRPr="00ED26A2">
        <w:rPr>
          <w:rFonts w:ascii="Abadi" w:hAnsi="Abadi" w:cs="Arial-ItalicMT"/>
          <w:i/>
          <w:iCs/>
          <w:sz w:val="21"/>
          <w:szCs w:val="21"/>
        </w:rPr>
        <w:t xml:space="preserve"> </w:t>
      </w:r>
      <w:r w:rsidRPr="00ED26A2">
        <w:rPr>
          <w:rFonts w:ascii="Abadi" w:hAnsi="Abadi" w:cs="ArialMT"/>
          <w:sz w:val="21"/>
          <w:szCs w:val="21"/>
        </w:rPr>
        <w:t>era el</w:t>
      </w:r>
    </w:p>
    <w:p w14:paraId="07B16F3B"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motivo guía para su actuación. En esa época a pesar de no tener una norma</w:t>
      </w:r>
      <w:r>
        <w:rPr>
          <w:rFonts w:ascii="Abadi" w:hAnsi="Abadi" w:cs="ArialMT"/>
          <w:sz w:val="21"/>
          <w:szCs w:val="21"/>
        </w:rPr>
        <w:t xml:space="preserve"> </w:t>
      </w:r>
      <w:r w:rsidRPr="00ED26A2">
        <w:rPr>
          <w:rFonts w:ascii="Abadi" w:hAnsi="Abadi" w:cs="ArialMT"/>
          <w:sz w:val="21"/>
          <w:szCs w:val="21"/>
        </w:rPr>
        <w:t>electoral, existía una base constitucional y convencional.</w:t>
      </w:r>
    </w:p>
    <w:p w14:paraId="3D04CC27" w14:textId="77777777" w:rsidR="00306DA7" w:rsidRDefault="00306DA7" w:rsidP="00306DA7">
      <w:pPr>
        <w:autoSpaceDE w:val="0"/>
        <w:autoSpaceDN w:val="0"/>
        <w:adjustRightInd w:val="0"/>
        <w:jc w:val="both"/>
        <w:rPr>
          <w:rFonts w:ascii="Abadi" w:hAnsi="Abadi" w:cs="ArialMT"/>
          <w:sz w:val="21"/>
          <w:szCs w:val="21"/>
        </w:rPr>
      </w:pPr>
    </w:p>
    <w:p w14:paraId="7C18C3F7" w14:textId="77777777" w:rsidR="00306DA7"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Así, comenzó la creación de una, ya consolidada, línea jurisprudencial</w:t>
      </w:r>
      <w:r>
        <w:rPr>
          <w:rFonts w:ascii="Abadi" w:hAnsi="Abadi" w:cs="ArialMT"/>
          <w:sz w:val="21"/>
          <w:szCs w:val="21"/>
        </w:rPr>
        <w:t xml:space="preserve"> </w:t>
      </w:r>
      <w:r w:rsidRPr="00ED26A2">
        <w:rPr>
          <w:rFonts w:ascii="Abadi" w:hAnsi="Abadi" w:cs="ArialMT"/>
          <w:sz w:val="21"/>
          <w:szCs w:val="21"/>
        </w:rPr>
        <w:t>caracterizada por su profunda atención en la protección del interés superior</w:t>
      </w:r>
      <w:r>
        <w:rPr>
          <w:rFonts w:ascii="Abadi" w:hAnsi="Abadi" w:cs="ArialMT"/>
          <w:sz w:val="21"/>
          <w:szCs w:val="21"/>
        </w:rPr>
        <w:t xml:space="preserve"> </w:t>
      </w:r>
      <w:r w:rsidRPr="00ED26A2">
        <w:rPr>
          <w:rFonts w:ascii="Abadi" w:hAnsi="Abadi" w:cs="ArialMT"/>
          <w:sz w:val="21"/>
          <w:szCs w:val="21"/>
        </w:rPr>
        <w:t>de la niñez, la cual fue nutrida por casos posteriores a los antes referidos.</w:t>
      </w:r>
      <w:r>
        <w:rPr>
          <w:rFonts w:ascii="Abadi" w:hAnsi="Abadi" w:cs="ArialMT"/>
          <w:sz w:val="21"/>
          <w:szCs w:val="21"/>
        </w:rPr>
        <w:t xml:space="preserve"> </w:t>
      </w:r>
    </w:p>
    <w:p w14:paraId="5D22C5BA" w14:textId="77777777" w:rsidR="00306DA7" w:rsidRDefault="00306DA7" w:rsidP="00306DA7">
      <w:pPr>
        <w:autoSpaceDE w:val="0"/>
        <w:autoSpaceDN w:val="0"/>
        <w:adjustRightInd w:val="0"/>
        <w:jc w:val="both"/>
        <w:rPr>
          <w:rFonts w:ascii="Abadi" w:hAnsi="Abadi" w:cs="ArialMT"/>
          <w:sz w:val="21"/>
          <w:szCs w:val="21"/>
        </w:rPr>
      </w:pPr>
    </w:p>
    <w:p w14:paraId="1A085919"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No obstante, con la existencia de la jurisprudencia, los casos en la materia</w:t>
      </w:r>
      <w:r>
        <w:rPr>
          <w:rFonts w:ascii="Abadi" w:hAnsi="Abadi" w:cs="ArialMT"/>
          <w:sz w:val="21"/>
          <w:szCs w:val="21"/>
        </w:rPr>
        <w:t xml:space="preserve"> </w:t>
      </w:r>
      <w:r w:rsidRPr="00ED26A2">
        <w:rPr>
          <w:rFonts w:ascii="Abadi" w:hAnsi="Abadi" w:cs="ArialMT"/>
          <w:sz w:val="21"/>
          <w:szCs w:val="21"/>
        </w:rPr>
        <w:t>electoral se siguen repitiendo y basta señalar como ejemplo el que, derivado</w:t>
      </w:r>
      <w:r>
        <w:rPr>
          <w:rFonts w:ascii="Abadi" w:hAnsi="Abadi" w:cs="ArialMT"/>
          <w:sz w:val="21"/>
          <w:szCs w:val="21"/>
        </w:rPr>
        <w:t xml:space="preserve"> </w:t>
      </w:r>
      <w:r w:rsidRPr="00ED26A2">
        <w:rPr>
          <w:rFonts w:ascii="Abadi" w:hAnsi="Abadi" w:cs="ArialMT"/>
          <w:sz w:val="21"/>
          <w:szCs w:val="21"/>
        </w:rPr>
        <w:t>del spot televisivo “</w:t>
      </w:r>
      <w:r w:rsidRPr="00ED26A2">
        <w:rPr>
          <w:rFonts w:ascii="Abadi" w:hAnsi="Abadi" w:cs="Arial-ItalicMT"/>
          <w:i/>
          <w:iCs/>
          <w:sz w:val="21"/>
          <w:szCs w:val="21"/>
        </w:rPr>
        <w:t>DGO Esteban gobernador–salud”</w:t>
      </w:r>
      <w:r>
        <w:rPr>
          <w:rStyle w:val="Refdenotaalpie"/>
          <w:rFonts w:ascii="Abadi" w:hAnsi="Abadi" w:cs="Arial-ItalicMT"/>
          <w:i/>
          <w:iCs/>
          <w:sz w:val="21"/>
          <w:szCs w:val="21"/>
        </w:rPr>
        <w:footnoteReference w:id="44"/>
      </w:r>
      <w:r w:rsidRPr="00ED26A2">
        <w:rPr>
          <w:rFonts w:ascii="Abadi" w:hAnsi="Abadi" w:cs="ArialMT"/>
          <w:sz w:val="21"/>
          <w:szCs w:val="21"/>
        </w:rPr>
        <w:t>, donde un partido</w:t>
      </w:r>
      <w:r>
        <w:rPr>
          <w:rFonts w:ascii="Abadi" w:hAnsi="Abadi" w:cs="ArialMT"/>
          <w:sz w:val="21"/>
          <w:szCs w:val="21"/>
        </w:rPr>
        <w:t xml:space="preserve"> </w:t>
      </w:r>
      <w:r w:rsidRPr="00ED26A2">
        <w:rPr>
          <w:rFonts w:ascii="Abadi" w:hAnsi="Abadi" w:cs="ArialMT"/>
          <w:sz w:val="21"/>
          <w:szCs w:val="21"/>
        </w:rPr>
        <w:t>político difundió un promocional en el que participaba una menor de edad, sin</w:t>
      </w:r>
      <w:r>
        <w:rPr>
          <w:rFonts w:ascii="Abadi" w:hAnsi="Abadi" w:cs="ArialMT"/>
          <w:sz w:val="21"/>
          <w:szCs w:val="21"/>
        </w:rPr>
        <w:t xml:space="preserve"> </w:t>
      </w:r>
      <w:r w:rsidRPr="00ED26A2">
        <w:rPr>
          <w:rFonts w:ascii="Abadi" w:hAnsi="Abadi" w:cs="ArialMT"/>
          <w:sz w:val="21"/>
          <w:szCs w:val="21"/>
        </w:rPr>
        <w:t>haber obtenido la opinión libre y expresa de su participación, porque no sabía</w:t>
      </w:r>
      <w:r>
        <w:rPr>
          <w:rFonts w:ascii="Abadi" w:hAnsi="Abadi" w:cs="ArialMT"/>
          <w:sz w:val="21"/>
          <w:szCs w:val="21"/>
        </w:rPr>
        <w:t xml:space="preserve"> </w:t>
      </w:r>
      <w:r w:rsidRPr="00ED26A2">
        <w:rPr>
          <w:rFonts w:ascii="Abadi" w:hAnsi="Abadi" w:cs="ArialMT"/>
          <w:sz w:val="21"/>
          <w:szCs w:val="21"/>
        </w:rPr>
        <w:t>escribir, la Sala Especializada prohibió la aparición de recién nacidos y</w:t>
      </w:r>
      <w:r>
        <w:rPr>
          <w:rFonts w:ascii="Abadi" w:hAnsi="Abadi" w:cs="ArialMT"/>
          <w:sz w:val="21"/>
          <w:szCs w:val="21"/>
        </w:rPr>
        <w:t xml:space="preserve"> </w:t>
      </w:r>
      <w:r w:rsidRPr="00ED26A2">
        <w:rPr>
          <w:rFonts w:ascii="Abadi" w:hAnsi="Abadi" w:cs="ArialMT"/>
          <w:sz w:val="21"/>
          <w:szCs w:val="21"/>
        </w:rPr>
        <w:t>menores muy pequeños.</w:t>
      </w:r>
    </w:p>
    <w:p w14:paraId="4D4ED678" w14:textId="77777777" w:rsidR="00306DA7" w:rsidRDefault="00306DA7" w:rsidP="00306DA7">
      <w:pPr>
        <w:autoSpaceDE w:val="0"/>
        <w:autoSpaceDN w:val="0"/>
        <w:adjustRightInd w:val="0"/>
        <w:jc w:val="both"/>
        <w:rPr>
          <w:rFonts w:ascii="Abadi" w:hAnsi="Abadi" w:cs="ArialMT"/>
          <w:sz w:val="21"/>
          <w:szCs w:val="21"/>
        </w:rPr>
      </w:pPr>
    </w:p>
    <w:p w14:paraId="648690E2"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 xml:space="preserve">También en el caso </w:t>
      </w:r>
      <w:r w:rsidRPr="00ED26A2">
        <w:rPr>
          <w:rFonts w:ascii="Abadi" w:hAnsi="Abadi" w:cs="Arial-ItalicMT"/>
          <w:i/>
          <w:iCs/>
          <w:sz w:val="21"/>
          <w:szCs w:val="21"/>
        </w:rPr>
        <w:t xml:space="preserve">Guarderías Cd. Juárez </w:t>
      </w:r>
      <w:r w:rsidRPr="00ED26A2">
        <w:rPr>
          <w:rFonts w:ascii="Abadi" w:hAnsi="Abadi" w:cs="ArialMT"/>
          <w:sz w:val="21"/>
          <w:szCs w:val="21"/>
        </w:rPr>
        <w:t>se estableció que las autoridades</w:t>
      </w:r>
      <w:r>
        <w:rPr>
          <w:rFonts w:ascii="Abadi" w:hAnsi="Abadi" w:cs="ArialMT"/>
          <w:sz w:val="21"/>
          <w:szCs w:val="21"/>
        </w:rPr>
        <w:t xml:space="preserve"> </w:t>
      </w:r>
      <w:r w:rsidRPr="00ED26A2">
        <w:rPr>
          <w:rFonts w:ascii="Abadi" w:hAnsi="Abadi" w:cs="ArialMT"/>
          <w:sz w:val="21"/>
          <w:szCs w:val="21"/>
        </w:rPr>
        <w:t>jurisdiccionales pueden realizar de manera oficiosa el control de</w:t>
      </w:r>
      <w:r>
        <w:rPr>
          <w:rFonts w:ascii="Abadi" w:hAnsi="Abadi" w:cs="ArialMT"/>
          <w:sz w:val="21"/>
          <w:szCs w:val="21"/>
        </w:rPr>
        <w:t xml:space="preserve"> </w:t>
      </w:r>
      <w:r w:rsidRPr="00ED26A2">
        <w:rPr>
          <w:rFonts w:ascii="Abadi" w:hAnsi="Abadi" w:cs="ArialMT"/>
          <w:sz w:val="21"/>
          <w:szCs w:val="21"/>
        </w:rPr>
        <w:t>constitucionalidad y convencionalidad respecto de la aparición de los</w:t>
      </w:r>
      <w:r>
        <w:rPr>
          <w:rFonts w:ascii="Abadi" w:hAnsi="Abadi" w:cs="ArialMT"/>
          <w:sz w:val="21"/>
          <w:szCs w:val="21"/>
        </w:rPr>
        <w:t xml:space="preserve"> </w:t>
      </w:r>
      <w:r w:rsidRPr="00ED26A2">
        <w:rPr>
          <w:rFonts w:ascii="Abadi" w:hAnsi="Abadi" w:cs="ArialMT"/>
          <w:sz w:val="21"/>
          <w:szCs w:val="21"/>
        </w:rPr>
        <w:t>menores en la propaganda político electoral</w:t>
      </w:r>
      <w:r>
        <w:rPr>
          <w:rStyle w:val="Refdenotaalpie"/>
          <w:rFonts w:ascii="Abadi" w:hAnsi="Abadi" w:cs="ArialMT"/>
          <w:sz w:val="21"/>
          <w:szCs w:val="21"/>
        </w:rPr>
        <w:footnoteReference w:id="45"/>
      </w:r>
      <w:r w:rsidRPr="00ED26A2">
        <w:rPr>
          <w:rFonts w:ascii="Abadi" w:hAnsi="Abadi" w:cs="ArialMT"/>
          <w:sz w:val="21"/>
          <w:szCs w:val="21"/>
        </w:rPr>
        <w:t>.</w:t>
      </w:r>
    </w:p>
    <w:p w14:paraId="19711F65" w14:textId="77777777" w:rsidR="00306DA7" w:rsidRDefault="00306DA7" w:rsidP="00306DA7">
      <w:pPr>
        <w:autoSpaceDE w:val="0"/>
        <w:autoSpaceDN w:val="0"/>
        <w:adjustRightInd w:val="0"/>
        <w:jc w:val="both"/>
        <w:rPr>
          <w:rFonts w:ascii="Abadi" w:hAnsi="Abadi" w:cs="ArialMT"/>
          <w:sz w:val="21"/>
          <w:szCs w:val="21"/>
        </w:rPr>
      </w:pPr>
    </w:p>
    <w:p w14:paraId="23CE31BF"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Fueron decisiones que confirmó y reforzó la Sala Superior, inclusive, en una</w:t>
      </w:r>
      <w:r>
        <w:rPr>
          <w:rFonts w:ascii="Abadi" w:hAnsi="Abadi" w:cs="ArialMT"/>
          <w:sz w:val="21"/>
          <w:szCs w:val="21"/>
        </w:rPr>
        <w:t xml:space="preserve"> </w:t>
      </w:r>
      <w:r w:rsidRPr="00ED26A2">
        <w:rPr>
          <w:rFonts w:ascii="Abadi" w:hAnsi="Abadi" w:cs="ArialMT"/>
          <w:sz w:val="21"/>
          <w:szCs w:val="21"/>
        </w:rPr>
        <w:t>jurisprudencia</w:t>
      </w:r>
      <w:r>
        <w:rPr>
          <w:rStyle w:val="Refdenotaalpie"/>
          <w:rFonts w:ascii="Abadi" w:hAnsi="Abadi" w:cs="ArialMT"/>
          <w:sz w:val="21"/>
          <w:szCs w:val="21"/>
        </w:rPr>
        <w:footnoteReference w:id="46"/>
      </w:r>
      <w:r w:rsidRPr="00ED26A2">
        <w:rPr>
          <w:rFonts w:ascii="Abadi" w:hAnsi="Abadi" w:cs="ArialMT"/>
          <w:sz w:val="21"/>
          <w:szCs w:val="21"/>
        </w:rPr>
        <w:t xml:space="preserve"> que reiteró el deber de cumplir con requisitos mínimos para</w:t>
      </w:r>
      <w:r>
        <w:rPr>
          <w:rFonts w:ascii="Abadi" w:hAnsi="Abadi" w:cs="ArialMT"/>
          <w:sz w:val="21"/>
          <w:szCs w:val="21"/>
        </w:rPr>
        <w:t xml:space="preserve"> </w:t>
      </w:r>
      <w:r w:rsidRPr="00ED26A2">
        <w:rPr>
          <w:rFonts w:ascii="Abadi" w:hAnsi="Abadi" w:cs="ArialMT"/>
          <w:sz w:val="21"/>
          <w:szCs w:val="21"/>
        </w:rPr>
        <w:t>difundir imágenes de niños, niñas y adolescentes en la propaganda político</w:t>
      </w:r>
      <w:r>
        <w:rPr>
          <w:rFonts w:ascii="Abadi" w:hAnsi="Abadi" w:cs="ArialMT"/>
          <w:sz w:val="21"/>
          <w:szCs w:val="21"/>
        </w:rPr>
        <w:t xml:space="preserve"> </w:t>
      </w:r>
      <w:r w:rsidRPr="00ED26A2">
        <w:rPr>
          <w:rFonts w:ascii="Abadi" w:hAnsi="Abadi" w:cs="ArialMT"/>
          <w:sz w:val="21"/>
          <w:szCs w:val="21"/>
        </w:rPr>
        <w:t>electoral, consistente fundamentalmente en que se recabe la opinión</w:t>
      </w:r>
      <w:r>
        <w:rPr>
          <w:rFonts w:ascii="Abadi" w:hAnsi="Abadi" w:cs="ArialMT"/>
          <w:sz w:val="21"/>
          <w:szCs w:val="21"/>
        </w:rPr>
        <w:t xml:space="preserve"> </w:t>
      </w:r>
      <w:r w:rsidRPr="00ED26A2">
        <w:rPr>
          <w:rFonts w:ascii="Abadi" w:hAnsi="Abadi" w:cs="ArialMT"/>
          <w:sz w:val="21"/>
          <w:szCs w:val="21"/>
        </w:rPr>
        <w:t>informada del menor, el consentimiento de los padres o tutores y que</w:t>
      </w:r>
      <w:r>
        <w:rPr>
          <w:rFonts w:ascii="Abadi" w:hAnsi="Abadi" w:cs="ArialMT"/>
          <w:sz w:val="21"/>
          <w:szCs w:val="21"/>
        </w:rPr>
        <w:t xml:space="preserve"> </w:t>
      </w:r>
      <w:r w:rsidRPr="00ED26A2">
        <w:rPr>
          <w:rFonts w:ascii="Abadi" w:hAnsi="Abadi" w:cs="ArialMT"/>
          <w:sz w:val="21"/>
          <w:szCs w:val="21"/>
        </w:rPr>
        <w:t xml:space="preserve">el </w:t>
      </w:r>
      <w:r w:rsidRPr="00ED26A2">
        <w:rPr>
          <w:rFonts w:ascii="Abadi" w:hAnsi="Abadi" w:cs="Arial-ItalicMT"/>
          <w:i/>
          <w:iCs/>
          <w:sz w:val="21"/>
          <w:szCs w:val="21"/>
        </w:rPr>
        <w:t xml:space="preserve">spot </w:t>
      </w:r>
      <w:r w:rsidRPr="00ED26A2">
        <w:rPr>
          <w:rFonts w:ascii="Abadi" w:hAnsi="Abadi" w:cs="ArialMT"/>
          <w:sz w:val="21"/>
          <w:szCs w:val="21"/>
        </w:rPr>
        <w:t>no sea por sí mismo perjudicial a los menores, en la forma siguiente:</w:t>
      </w:r>
    </w:p>
    <w:p w14:paraId="38572DE0" w14:textId="77777777" w:rsidR="00306DA7" w:rsidRDefault="00306DA7" w:rsidP="00306DA7">
      <w:pPr>
        <w:autoSpaceDE w:val="0"/>
        <w:autoSpaceDN w:val="0"/>
        <w:adjustRightInd w:val="0"/>
        <w:jc w:val="both"/>
        <w:rPr>
          <w:rFonts w:ascii="Abadi" w:hAnsi="Abadi" w:cs="Arial-BoldItalicMT"/>
          <w:b/>
          <w:bCs/>
          <w:i/>
          <w:iCs/>
          <w:sz w:val="21"/>
          <w:szCs w:val="21"/>
        </w:rPr>
      </w:pPr>
    </w:p>
    <w:p w14:paraId="0387BAC7" w14:textId="18F8F635" w:rsidR="00306DA7" w:rsidRDefault="00306DA7" w:rsidP="00306DA7">
      <w:pPr>
        <w:autoSpaceDE w:val="0"/>
        <w:autoSpaceDN w:val="0"/>
        <w:adjustRightInd w:val="0"/>
        <w:jc w:val="both"/>
        <w:rPr>
          <w:rFonts w:ascii="Abadi" w:hAnsi="Abadi" w:cs="Arial-ItalicMT"/>
          <w:i/>
          <w:iCs/>
          <w:sz w:val="21"/>
          <w:szCs w:val="21"/>
        </w:rPr>
      </w:pPr>
      <w:r w:rsidRPr="00ED26A2">
        <w:rPr>
          <w:rFonts w:ascii="Abadi" w:hAnsi="Abadi" w:cs="Arial-BoldItalicMT"/>
          <w:b/>
          <w:bCs/>
          <w:i/>
          <w:iCs/>
          <w:sz w:val="21"/>
          <w:szCs w:val="21"/>
        </w:rPr>
        <w:t>“PROPAGANDA POLÍTICA Y ELECTORAL. REQUISITOS MÍNIMOS QUE</w:t>
      </w:r>
      <w:r>
        <w:rPr>
          <w:rFonts w:ascii="Abadi" w:hAnsi="Abadi" w:cs="Arial-BoldItalicMT"/>
          <w:b/>
          <w:bCs/>
          <w:i/>
          <w:iCs/>
          <w:sz w:val="21"/>
          <w:szCs w:val="21"/>
        </w:rPr>
        <w:t xml:space="preserve"> </w:t>
      </w:r>
      <w:r w:rsidRPr="00ED26A2">
        <w:rPr>
          <w:rFonts w:ascii="Abadi" w:hAnsi="Abadi" w:cs="Arial-BoldItalicMT"/>
          <w:b/>
          <w:bCs/>
          <w:i/>
          <w:iCs/>
          <w:sz w:val="21"/>
          <w:szCs w:val="21"/>
        </w:rPr>
        <w:t>DEBEN CUMPLIRSE CUANDO SE DIFUNDAN IMÁGENES DE NIÑOS,</w:t>
      </w:r>
      <w:r>
        <w:rPr>
          <w:rFonts w:ascii="Abadi" w:hAnsi="Abadi" w:cs="Arial-BoldItalicMT"/>
          <w:b/>
          <w:bCs/>
          <w:i/>
          <w:iCs/>
          <w:sz w:val="21"/>
          <w:szCs w:val="21"/>
        </w:rPr>
        <w:t xml:space="preserve"> </w:t>
      </w:r>
      <w:r w:rsidRPr="00ED26A2">
        <w:rPr>
          <w:rFonts w:ascii="Abadi" w:hAnsi="Abadi" w:cs="Arial-BoldItalicMT"/>
          <w:b/>
          <w:bCs/>
          <w:i/>
          <w:iCs/>
          <w:sz w:val="21"/>
          <w:szCs w:val="21"/>
        </w:rPr>
        <w:t>NIÑAS Y ADOLESCENTES</w:t>
      </w:r>
      <w:r w:rsidRPr="00ED26A2">
        <w:rPr>
          <w:rFonts w:ascii="Abadi" w:hAnsi="Abadi" w:cs="Arial-ItalicMT"/>
          <w:i/>
          <w:iCs/>
          <w:sz w:val="21"/>
          <w:szCs w:val="21"/>
        </w:rPr>
        <w:t>. De lo dispuesto en los artículos 1° y 4°, párrafo</w:t>
      </w:r>
      <w:r>
        <w:rPr>
          <w:rFonts w:ascii="Abadi" w:hAnsi="Abadi" w:cs="Arial-BoldItalicMT"/>
          <w:b/>
          <w:bCs/>
          <w:i/>
          <w:iCs/>
          <w:sz w:val="21"/>
          <w:szCs w:val="21"/>
        </w:rPr>
        <w:t xml:space="preserve"> </w:t>
      </w:r>
      <w:r w:rsidRPr="00ED26A2">
        <w:rPr>
          <w:rFonts w:ascii="Abadi" w:hAnsi="Abadi" w:cs="Arial-ItalicMT"/>
          <w:i/>
          <w:iCs/>
          <w:sz w:val="21"/>
          <w:szCs w:val="21"/>
        </w:rPr>
        <w:t>noveno, de la Constitución Política de los Estados Unidos Mexicanos; 3, de</w:t>
      </w:r>
      <w:r>
        <w:rPr>
          <w:rFonts w:ascii="Abadi" w:hAnsi="Abadi" w:cs="Arial-BoldItalicMT"/>
          <w:b/>
          <w:bCs/>
          <w:i/>
          <w:iCs/>
          <w:sz w:val="21"/>
          <w:szCs w:val="21"/>
        </w:rPr>
        <w:t xml:space="preserve"> </w:t>
      </w:r>
      <w:r w:rsidRPr="00ED26A2">
        <w:rPr>
          <w:rFonts w:ascii="Abadi" w:hAnsi="Abadi" w:cs="Arial-ItalicMT"/>
          <w:i/>
          <w:iCs/>
          <w:sz w:val="21"/>
          <w:szCs w:val="21"/>
        </w:rPr>
        <w:t>la Convención sobre los Derechos del Niño; 78, fracción I, en relación con el</w:t>
      </w:r>
      <w:r>
        <w:rPr>
          <w:rFonts w:ascii="Abadi" w:hAnsi="Abadi" w:cs="Arial-BoldItalicMT"/>
          <w:b/>
          <w:bCs/>
          <w:i/>
          <w:iCs/>
          <w:sz w:val="21"/>
          <w:szCs w:val="21"/>
        </w:rPr>
        <w:t xml:space="preserve"> </w:t>
      </w:r>
      <w:r w:rsidRPr="00ED26A2">
        <w:rPr>
          <w:rFonts w:ascii="Abadi" w:hAnsi="Abadi" w:cs="Arial-ItalicMT"/>
          <w:i/>
          <w:iCs/>
          <w:sz w:val="21"/>
          <w:szCs w:val="21"/>
        </w:rPr>
        <w:t>76, segundo párrafo, de la Ley General de los Derechos de Niñas, Niños y</w:t>
      </w:r>
      <w:r>
        <w:rPr>
          <w:rFonts w:ascii="Abadi" w:hAnsi="Abadi" w:cs="Arial-BoldItalicMT"/>
          <w:b/>
          <w:bCs/>
          <w:i/>
          <w:iCs/>
          <w:sz w:val="21"/>
          <w:szCs w:val="21"/>
        </w:rPr>
        <w:t xml:space="preserve"> </w:t>
      </w:r>
      <w:r w:rsidRPr="00ED26A2">
        <w:rPr>
          <w:rFonts w:ascii="Abadi" w:hAnsi="Abadi" w:cs="Arial-ItalicMT"/>
          <w:i/>
          <w:iCs/>
          <w:sz w:val="21"/>
          <w:szCs w:val="21"/>
        </w:rPr>
        <w:t>Adolescentes; y 471, de la Ley General de Instituciones y Procedimientos</w:t>
      </w:r>
      <w:r>
        <w:rPr>
          <w:rFonts w:ascii="Abadi" w:hAnsi="Abadi" w:cs="Arial-BoldItalicMT"/>
          <w:b/>
          <w:bCs/>
          <w:i/>
          <w:iCs/>
          <w:sz w:val="21"/>
          <w:szCs w:val="21"/>
        </w:rPr>
        <w:t xml:space="preserve"> </w:t>
      </w:r>
      <w:r w:rsidRPr="00ED26A2">
        <w:rPr>
          <w:rFonts w:ascii="Abadi" w:hAnsi="Abadi" w:cs="Arial-ItalicMT"/>
          <w:i/>
          <w:iCs/>
          <w:sz w:val="21"/>
          <w:szCs w:val="21"/>
        </w:rPr>
        <w:t>Electorales, se advierte que el interés superior de los niños, niñas y</w:t>
      </w:r>
      <w:r>
        <w:rPr>
          <w:rFonts w:ascii="Abadi" w:hAnsi="Abadi" w:cs="Arial-BoldItalicMT"/>
          <w:b/>
          <w:bCs/>
          <w:i/>
          <w:iCs/>
          <w:sz w:val="21"/>
          <w:szCs w:val="21"/>
        </w:rPr>
        <w:t xml:space="preserve"> </w:t>
      </w:r>
      <w:r w:rsidRPr="00ED26A2">
        <w:rPr>
          <w:rFonts w:ascii="Abadi" w:hAnsi="Abadi" w:cs="Arial-ItalicMT"/>
          <w:i/>
          <w:iCs/>
          <w:sz w:val="21"/>
          <w:szCs w:val="21"/>
        </w:rPr>
        <w:t>adolescentes implica que el desarrollo de éstos y el ejercicio pleno de sus</w:t>
      </w:r>
      <w:r>
        <w:rPr>
          <w:rFonts w:ascii="Abadi" w:hAnsi="Abadi" w:cs="Arial-BoldItalicMT"/>
          <w:b/>
          <w:bCs/>
          <w:i/>
          <w:iCs/>
          <w:sz w:val="21"/>
          <w:szCs w:val="21"/>
        </w:rPr>
        <w:t xml:space="preserve"> </w:t>
      </w:r>
      <w:r w:rsidRPr="00ED26A2">
        <w:rPr>
          <w:rFonts w:ascii="Abadi" w:hAnsi="Abadi" w:cs="Arial-ItalicMT"/>
          <w:i/>
          <w:iCs/>
          <w:sz w:val="21"/>
          <w:szCs w:val="21"/>
        </w:rPr>
        <w:t>derechos deben ser considerados como criterios rectores para la elaboración</w:t>
      </w:r>
      <w:r>
        <w:rPr>
          <w:rFonts w:ascii="Abadi" w:hAnsi="Abadi" w:cs="Arial-BoldItalicMT"/>
          <w:b/>
          <w:bCs/>
          <w:i/>
          <w:iCs/>
          <w:sz w:val="21"/>
          <w:szCs w:val="21"/>
        </w:rPr>
        <w:t xml:space="preserve"> </w:t>
      </w:r>
      <w:r w:rsidRPr="00ED26A2">
        <w:rPr>
          <w:rFonts w:ascii="Abadi" w:hAnsi="Abadi" w:cs="Arial-ItalicMT"/>
          <w:i/>
          <w:iCs/>
          <w:sz w:val="21"/>
          <w:szCs w:val="21"/>
        </w:rPr>
        <w:t>de normas y la aplicación de éstas en todos los órdenes relativos a su vida.</w:t>
      </w:r>
    </w:p>
    <w:p w14:paraId="220A1DA2" w14:textId="77777777" w:rsidR="006434DC" w:rsidRPr="008C1287" w:rsidRDefault="006434DC" w:rsidP="00306DA7">
      <w:pPr>
        <w:autoSpaceDE w:val="0"/>
        <w:autoSpaceDN w:val="0"/>
        <w:adjustRightInd w:val="0"/>
        <w:jc w:val="both"/>
        <w:rPr>
          <w:rFonts w:ascii="Abadi" w:hAnsi="Abadi" w:cs="Arial-BoldItalicMT"/>
          <w:b/>
          <w:bCs/>
          <w:i/>
          <w:iCs/>
          <w:sz w:val="21"/>
          <w:szCs w:val="21"/>
        </w:rPr>
      </w:pPr>
    </w:p>
    <w:p w14:paraId="091513F3" w14:textId="77777777" w:rsidR="00306DA7" w:rsidRDefault="00306DA7" w:rsidP="00306DA7">
      <w:pPr>
        <w:autoSpaceDE w:val="0"/>
        <w:autoSpaceDN w:val="0"/>
        <w:adjustRightInd w:val="0"/>
        <w:jc w:val="both"/>
        <w:rPr>
          <w:rFonts w:ascii="Abadi" w:hAnsi="Abadi" w:cs="Arial-ItalicMT"/>
          <w:i/>
          <w:iCs/>
          <w:sz w:val="21"/>
          <w:szCs w:val="21"/>
        </w:rPr>
      </w:pPr>
      <w:r w:rsidRPr="00ED26A2">
        <w:rPr>
          <w:rFonts w:ascii="Abadi" w:hAnsi="Abadi" w:cs="Arial-ItalicMT"/>
          <w:i/>
          <w:iCs/>
          <w:sz w:val="21"/>
          <w:szCs w:val="21"/>
        </w:rPr>
        <w:t>Entre ellos, se encuentra el derecho a la imagen de las niñas, niños y</w:t>
      </w:r>
      <w:r>
        <w:rPr>
          <w:rFonts w:ascii="Abadi" w:hAnsi="Abadi" w:cs="Arial-ItalicMT"/>
          <w:i/>
          <w:iCs/>
          <w:sz w:val="21"/>
          <w:szCs w:val="21"/>
        </w:rPr>
        <w:t xml:space="preserve"> </w:t>
      </w:r>
      <w:r w:rsidRPr="00ED26A2">
        <w:rPr>
          <w:rFonts w:ascii="Abadi" w:hAnsi="Abadi" w:cs="Arial-ItalicMT"/>
          <w:i/>
          <w:iCs/>
          <w:sz w:val="21"/>
          <w:szCs w:val="21"/>
        </w:rPr>
        <w:t>adolescentes, el cual está vinculado con el derecho a la intimidad y al honor,</w:t>
      </w:r>
      <w:r>
        <w:rPr>
          <w:rFonts w:ascii="Abadi" w:hAnsi="Abadi" w:cs="Arial-ItalicMT"/>
          <w:i/>
          <w:iCs/>
          <w:sz w:val="21"/>
          <w:szCs w:val="21"/>
        </w:rPr>
        <w:t xml:space="preserve"> </w:t>
      </w:r>
      <w:r w:rsidRPr="00ED26A2">
        <w:rPr>
          <w:rFonts w:ascii="Abadi" w:hAnsi="Abadi" w:cs="Arial-ItalicMT"/>
          <w:i/>
          <w:iCs/>
          <w:sz w:val="21"/>
          <w:szCs w:val="21"/>
        </w:rPr>
        <w:t>entre otros inherentes a su personalidad, que pueden resultar eventualmente</w:t>
      </w:r>
      <w:r>
        <w:rPr>
          <w:rFonts w:ascii="Abadi" w:hAnsi="Abadi" w:cs="Arial-ItalicMT"/>
          <w:i/>
          <w:iCs/>
          <w:sz w:val="21"/>
          <w:szCs w:val="21"/>
        </w:rPr>
        <w:t xml:space="preserve"> </w:t>
      </w:r>
      <w:r w:rsidRPr="00ED26A2">
        <w:rPr>
          <w:rFonts w:ascii="Abadi" w:hAnsi="Abadi" w:cs="Arial-ItalicMT"/>
          <w:i/>
          <w:iCs/>
          <w:sz w:val="21"/>
          <w:szCs w:val="21"/>
        </w:rPr>
        <w:t>lesionados a partir de la difusión de su imagen en los medios de comunicación</w:t>
      </w:r>
      <w:r>
        <w:rPr>
          <w:rFonts w:ascii="Abadi" w:hAnsi="Abadi" w:cs="Arial-ItalicMT"/>
          <w:i/>
          <w:iCs/>
          <w:sz w:val="21"/>
          <w:szCs w:val="21"/>
        </w:rPr>
        <w:t xml:space="preserve"> </w:t>
      </w:r>
      <w:r w:rsidRPr="00ED26A2">
        <w:rPr>
          <w:rFonts w:ascii="Abadi" w:hAnsi="Abadi" w:cs="Arial-ItalicMT"/>
          <w:i/>
          <w:iCs/>
          <w:sz w:val="21"/>
          <w:szCs w:val="21"/>
        </w:rPr>
        <w:t>social, como ocurre con los spots televisivos de los partidos políticos. En ese</w:t>
      </w:r>
      <w:r>
        <w:rPr>
          <w:rFonts w:ascii="Abadi" w:hAnsi="Abadi" w:cs="Arial-ItalicMT"/>
          <w:i/>
          <w:iCs/>
          <w:sz w:val="21"/>
          <w:szCs w:val="21"/>
        </w:rPr>
        <w:t xml:space="preserve"> </w:t>
      </w:r>
      <w:r w:rsidRPr="00ED26A2">
        <w:rPr>
          <w:rFonts w:ascii="Abadi" w:hAnsi="Abadi" w:cs="Arial-ItalicMT"/>
          <w:i/>
          <w:iCs/>
          <w:sz w:val="21"/>
          <w:szCs w:val="21"/>
        </w:rPr>
        <w:t>sentido, si en la propaganda política o electoral se recurre a imágenes de</w:t>
      </w:r>
      <w:r>
        <w:rPr>
          <w:rFonts w:ascii="Abadi" w:hAnsi="Abadi" w:cs="Arial-ItalicMT"/>
          <w:i/>
          <w:iCs/>
          <w:sz w:val="21"/>
          <w:szCs w:val="21"/>
        </w:rPr>
        <w:t xml:space="preserve"> </w:t>
      </w:r>
      <w:r w:rsidRPr="00ED26A2">
        <w:rPr>
          <w:rFonts w:ascii="Abadi" w:hAnsi="Abadi" w:cs="Arial-ItalicMT"/>
          <w:i/>
          <w:iCs/>
          <w:sz w:val="21"/>
          <w:szCs w:val="21"/>
        </w:rPr>
        <w:t>personas menores de edad como recurso propagandístico y parte de la</w:t>
      </w:r>
      <w:r>
        <w:rPr>
          <w:rFonts w:ascii="Abadi" w:hAnsi="Abadi" w:cs="Arial-ItalicMT"/>
          <w:i/>
          <w:iCs/>
          <w:sz w:val="21"/>
          <w:szCs w:val="21"/>
        </w:rPr>
        <w:t xml:space="preserve"> </w:t>
      </w:r>
      <w:r w:rsidRPr="00ED26A2">
        <w:rPr>
          <w:rFonts w:ascii="Abadi" w:hAnsi="Abadi" w:cs="Arial-ItalicMT"/>
          <w:i/>
          <w:iCs/>
          <w:sz w:val="21"/>
          <w:szCs w:val="21"/>
        </w:rPr>
        <w:t>inclusión democrática, se deben cumplir ciertos requisitos mínimos para</w:t>
      </w:r>
      <w:r>
        <w:rPr>
          <w:rFonts w:ascii="Abadi" w:hAnsi="Abadi" w:cs="Arial-ItalicMT"/>
          <w:i/>
          <w:iCs/>
          <w:sz w:val="21"/>
          <w:szCs w:val="21"/>
        </w:rPr>
        <w:t xml:space="preserve"> </w:t>
      </w:r>
      <w:r w:rsidRPr="00ED26A2">
        <w:rPr>
          <w:rFonts w:ascii="Abadi" w:hAnsi="Abadi" w:cs="Arial-ItalicMT"/>
          <w:i/>
          <w:iCs/>
          <w:sz w:val="21"/>
          <w:szCs w:val="21"/>
        </w:rPr>
        <w:t>garantizar sus derechos, como el consentimiento por escrito o cualquier otro</w:t>
      </w:r>
      <w:r>
        <w:rPr>
          <w:rFonts w:ascii="Abadi" w:hAnsi="Abadi" w:cs="Arial-ItalicMT"/>
          <w:i/>
          <w:iCs/>
          <w:sz w:val="21"/>
          <w:szCs w:val="21"/>
        </w:rPr>
        <w:t xml:space="preserve"> </w:t>
      </w:r>
      <w:r w:rsidRPr="00ED26A2">
        <w:rPr>
          <w:rFonts w:ascii="Abadi" w:hAnsi="Abadi" w:cs="Arial-ItalicMT"/>
          <w:i/>
          <w:iCs/>
          <w:sz w:val="21"/>
          <w:szCs w:val="21"/>
        </w:rPr>
        <w:t>medio de quienes ejerzan la patria potestad o tutela, así como la opinión de</w:t>
      </w:r>
      <w:r>
        <w:rPr>
          <w:rFonts w:ascii="Abadi" w:hAnsi="Abadi" w:cs="Arial-ItalicMT"/>
          <w:i/>
          <w:iCs/>
          <w:sz w:val="21"/>
          <w:szCs w:val="21"/>
        </w:rPr>
        <w:t xml:space="preserve"> </w:t>
      </w:r>
      <w:r w:rsidRPr="00ED26A2">
        <w:rPr>
          <w:rFonts w:ascii="Abadi" w:hAnsi="Abadi" w:cs="Arial-ItalicMT"/>
          <w:i/>
          <w:iCs/>
          <w:sz w:val="21"/>
          <w:szCs w:val="21"/>
        </w:rPr>
        <w:t>la niña, niño o adolescente en función de la edad y su madurez.”</w:t>
      </w:r>
    </w:p>
    <w:p w14:paraId="08AB18D6" w14:textId="77777777" w:rsidR="00306DA7" w:rsidRPr="00ED26A2" w:rsidRDefault="00306DA7" w:rsidP="00306DA7">
      <w:pPr>
        <w:autoSpaceDE w:val="0"/>
        <w:autoSpaceDN w:val="0"/>
        <w:adjustRightInd w:val="0"/>
        <w:jc w:val="both"/>
        <w:rPr>
          <w:rFonts w:ascii="Abadi" w:hAnsi="Abadi" w:cs="Arial-ItalicMT"/>
          <w:i/>
          <w:iCs/>
          <w:sz w:val="21"/>
          <w:szCs w:val="21"/>
        </w:rPr>
      </w:pPr>
    </w:p>
    <w:p w14:paraId="26E48F21"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En los siguientes años, derivado de otros casos en materia electoral que</w:t>
      </w:r>
      <w:r>
        <w:rPr>
          <w:rFonts w:ascii="Abadi" w:hAnsi="Abadi" w:cs="ArialMT"/>
          <w:sz w:val="21"/>
          <w:szCs w:val="21"/>
        </w:rPr>
        <w:t xml:space="preserve"> </w:t>
      </w:r>
      <w:r w:rsidRPr="00ED26A2">
        <w:rPr>
          <w:rFonts w:ascii="Abadi" w:hAnsi="Abadi" w:cs="ArialMT"/>
          <w:sz w:val="21"/>
          <w:szCs w:val="21"/>
        </w:rPr>
        <w:t>vulneraron la intimidad de los niños, niñas y adolescentes, se mostraron</w:t>
      </w:r>
      <w:r>
        <w:rPr>
          <w:rFonts w:ascii="Abadi" w:hAnsi="Abadi" w:cs="ArialMT"/>
          <w:sz w:val="21"/>
          <w:szCs w:val="21"/>
        </w:rPr>
        <w:t xml:space="preserve"> </w:t>
      </w:r>
      <w:r w:rsidRPr="00ED26A2">
        <w:rPr>
          <w:rFonts w:ascii="Abadi" w:hAnsi="Abadi" w:cs="ArialMT"/>
          <w:sz w:val="21"/>
          <w:szCs w:val="21"/>
        </w:rPr>
        <w:t xml:space="preserve">nuevas interrogantes que han </w:t>
      </w:r>
      <w:r w:rsidRPr="00ED26A2">
        <w:rPr>
          <w:rFonts w:ascii="Abadi" w:hAnsi="Abadi" w:cs="ArialMT"/>
          <w:sz w:val="21"/>
          <w:szCs w:val="21"/>
        </w:rPr>
        <w:lastRenderedPageBreak/>
        <w:t>acompañado la evolución de la línea</w:t>
      </w:r>
      <w:r>
        <w:rPr>
          <w:rFonts w:ascii="Abadi" w:hAnsi="Abadi" w:cs="ArialMT"/>
          <w:sz w:val="21"/>
          <w:szCs w:val="21"/>
        </w:rPr>
        <w:t xml:space="preserve"> </w:t>
      </w:r>
      <w:r w:rsidRPr="00ED26A2">
        <w:rPr>
          <w:rFonts w:ascii="Abadi" w:hAnsi="Abadi" w:cs="ArialMT"/>
          <w:sz w:val="21"/>
          <w:szCs w:val="21"/>
        </w:rPr>
        <w:t>jurisprudencial:</w:t>
      </w:r>
    </w:p>
    <w:p w14:paraId="2953A01C" w14:textId="77777777" w:rsidR="00306DA7" w:rsidRDefault="00306DA7" w:rsidP="00306DA7">
      <w:pPr>
        <w:autoSpaceDE w:val="0"/>
        <w:autoSpaceDN w:val="0"/>
        <w:adjustRightInd w:val="0"/>
        <w:jc w:val="both"/>
        <w:rPr>
          <w:rFonts w:ascii="Abadi" w:hAnsi="Abadi" w:cs="ArialMT"/>
          <w:sz w:val="21"/>
          <w:szCs w:val="21"/>
        </w:rPr>
      </w:pPr>
    </w:p>
    <w:p w14:paraId="083211B7" w14:textId="77777777" w:rsidR="00306DA7" w:rsidRPr="008C1287" w:rsidRDefault="00306DA7" w:rsidP="00306DA7">
      <w:pPr>
        <w:pStyle w:val="Prrafodelista"/>
        <w:numPr>
          <w:ilvl w:val="0"/>
          <w:numId w:val="23"/>
        </w:numPr>
        <w:autoSpaceDE w:val="0"/>
        <w:autoSpaceDN w:val="0"/>
        <w:adjustRightInd w:val="0"/>
        <w:contextualSpacing/>
        <w:jc w:val="both"/>
        <w:rPr>
          <w:rFonts w:ascii="Abadi" w:hAnsi="Abadi" w:cs="ArialMT"/>
          <w:sz w:val="21"/>
          <w:szCs w:val="21"/>
        </w:rPr>
      </w:pPr>
      <w:r w:rsidRPr="008C1287">
        <w:rPr>
          <w:rFonts w:ascii="Abadi" w:hAnsi="Abadi" w:cs="ArialMT"/>
          <w:sz w:val="21"/>
          <w:szCs w:val="21"/>
        </w:rPr>
        <w:t xml:space="preserve">La Sala Superior indicó que para graduar la sanción debe considerarse que, si la aparición es directa, la afectación del interés superior de la niñez es mayor, sobre todo si no existe el consentimiento de los tutores, </w:t>
      </w:r>
      <w:r w:rsidRPr="008C1287">
        <w:rPr>
          <w:rFonts w:ascii="Abadi" w:hAnsi="Abadi" w:cs="ArialMT"/>
          <w:color w:val="000000"/>
          <w:sz w:val="21"/>
          <w:szCs w:val="21"/>
        </w:rPr>
        <w:t>a aquellos menores que aparecen en forma incidental en el</w:t>
      </w:r>
      <w:r w:rsidRPr="008C1287">
        <w:rPr>
          <w:rFonts w:ascii="Abadi" w:hAnsi="Abadi" w:cs="ArialMT"/>
          <w:sz w:val="21"/>
          <w:szCs w:val="21"/>
        </w:rPr>
        <w:t xml:space="preserve"> </w:t>
      </w:r>
      <w:r w:rsidRPr="008C1287">
        <w:rPr>
          <w:rFonts w:ascii="Abadi" w:hAnsi="Abadi" w:cs="ArialMT"/>
          <w:color w:val="000000"/>
          <w:sz w:val="21"/>
          <w:szCs w:val="21"/>
        </w:rPr>
        <w:t>promocional.</w:t>
      </w:r>
      <w:r>
        <w:rPr>
          <w:rStyle w:val="Refdenotaalpie"/>
          <w:rFonts w:ascii="Abadi" w:hAnsi="Abadi" w:cs="ArialMT"/>
          <w:color w:val="000000"/>
          <w:sz w:val="21"/>
          <w:szCs w:val="21"/>
        </w:rPr>
        <w:footnoteReference w:id="47"/>
      </w:r>
    </w:p>
    <w:p w14:paraId="03DE4E29" w14:textId="77777777" w:rsidR="00306DA7" w:rsidRDefault="00306DA7" w:rsidP="00306DA7">
      <w:pPr>
        <w:autoSpaceDE w:val="0"/>
        <w:autoSpaceDN w:val="0"/>
        <w:adjustRightInd w:val="0"/>
        <w:jc w:val="both"/>
        <w:rPr>
          <w:rFonts w:ascii="Abadi" w:hAnsi="Abadi" w:cs="ArialMT"/>
          <w:color w:val="000000"/>
          <w:sz w:val="21"/>
          <w:szCs w:val="21"/>
        </w:rPr>
      </w:pPr>
    </w:p>
    <w:p w14:paraId="0269229C" w14:textId="77777777" w:rsidR="00306DA7" w:rsidRPr="00ED26A2" w:rsidRDefault="00306DA7" w:rsidP="00306DA7">
      <w:pPr>
        <w:autoSpaceDE w:val="0"/>
        <w:autoSpaceDN w:val="0"/>
        <w:adjustRightInd w:val="0"/>
        <w:jc w:val="both"/>
        <w:rPr>
          <w:rFonts w:ascii="Abadi" w:hAnsi="Abadi" w:cs="ArialMT"/>
          <w:color w:val="000000"/>
          <w:sz w:val="21"/>
          <w:szCs w:val="21"/>
        </w:rPr>
      </w:pPr>
      <w:r w:rsidRPr="00ED26A2">
        <w:rPr>
          <w:rFonts w:ascii="Abadi" w:hAnsi="Abadi" w:cs="ArialMT"/>
          <w:color w:val="000000"/>
          <w:sz w:val="21"/>
          <w:szCs w:val="21"/>
        </w:rPr>
        <w:t>Además, agregó que ante la exhibición incidental y falta de consentimiento</w:t>
      </w:r>
      <w:r>
        <w:rPr>
          <w:rFonts w:ascii="Abadi" w:hAnsi="Abadi" w:cs="ArialMT"/>
          <w:color w:val="000000"/>
          <w:sz w:val="21"/>
          <w:szCs w:val="21"/>
        </w:rPr>
        <w:t xml:space="preserve"> </w:t>
      </w:r>
      <w:r w:rsidRPr="00ED26A2">
        <w:rPr>
          <w:rFonts w:ascii="Abadi" w:hAnsi="Abadi" w:cs="ArialMT"/>
          <w:color w:val="000000"/>
          <w:sz w:val="21"/>
          <w:szCs w:val="21"/>
        </w:rPr>
        <w:t>de quien ejerce la patria potestad y de la opinión informada, se debe</w:t>
      </w:r>
      <w:r>
        <w:rPr>
          <w:rFonts w:ascii="Abadi" w:hAnsi="Abadi" w:cs="ArialMT"/>
          <w:color w:val="000000"/>
          <w:sz w:val="21"/>
          <w:szCs w:val="21"/>
        </w:rPr>
        <w:t xml:space="preserve"> </w:t>
      </w:r>
      <w:r w:rsidRPr="00ED26A2">
        <w:rPr>
          <w:rFonts w:ascii="Abadi" w:hAnsi="Abadi" w:cs="ArialMT"/>
          <w:color w:val="000000"/>
          <w:sz w:val="21"/>
          <w:szCs w:val="21"/>
        </w:rPr>
        <w:t>difuminar, ocultar o hacer irreconocible la imagen, voz, u otro dato que</w:t>
      </w:r>
      <w:r>
        <w:rPr>
          <w:rFonts w:ascii="Abadi" w:hAnsi="Abadi" w:cs="ArialMT"/>
          <w:color w:val="000000"/>
          <w:sz w:val="21"/>
          <w:szCs w:val="21"/>
        </w:rPr>
        <w:t xml:space="preserve"> </w:t>
      </w:r>
      <w:r w:rsidRPr="00ED26A2">
        <w:rPr>
          <w:rFonts w:ascii="Abadi" w:hAnsi="Abadi" w:cs="ArialMT"/>
          <w:color w:val="000000"/>
          <w:sz w:val="21"/>
          <w:szCs w:val="21"/>
        </w:rPr>
        <w:t>identifique a los menores, con independencia de las circunstancias</w:t>
      </w:r>
      <w:r>
        <w:rPr>
          <w:rStyle w:val="Refdenotaalpie"/>
          <w:rFonts w:ascii="Abadi" w:hAnsi="Abadi" w:cs="ArialMT"/>
          <w:color w:val="000000"/>
          <w:sz w:val="21"/>
          <w:szCs w:val="21"/>
        </w:rPr>
        <w:footnoteReference w:id="48"/>
      </w:r>
      <w:r w:rsidRPr="00ED26A2">
        <w:rPr>
          <w:rFonts w:ascii="Abadi" w:hAnsi="Abadi" w:cs="ArialMT"/>
          <w:color w:val="000000"/>
          <w:sz w:val="21"/>
          <w:szCs w:val="21"/>
        </w:rPr>
        <w:t>.</w:t>
      </w:r>
    </w:p>
    <w:p w14:paraId="1661787E" w14:textId="77777777" w:rsidR="00306DA7" w:rsidRDefault="00306DA7" w:rsidP="00306DA7">
      <w:pPr>
        <w:autoSpaceDE w:val="0"/>
        <w:autoSpaceDN w:val="0"/>
        <w:adjustRightInd w:val="0"/>
        <w:jc w:val="both"/>
        <w:rPr>
          <w:rFonts w:ascii="Abadi" w:hAnsi="Abadi" w:cs="ArialMT"/>
          <w:color w:val="000000"/>
          <w:sz w:val="21"/>
          <w:szCs w:val="21"/>
        </w:rPr>
      </w:pPr>
    </w:p>
    <w:p w14:paraId="345827A2" w14:textId="77777777" w:rsidR="00306DA7" w:rsidRPr="008C1287" w:rsidRDefault="00306DA7" w:rsidP="00306DA7">
      <w:pPr>
        <w:pStyle w:val="Prrafodelista"/>
        <w:numPr>
          <w:ilvl w:val="0"/>
          <w:numId w:val="24"/>
        </w:numPr>
        <w:autoSpaceDE w:val="0"/>
        <w:autoSpaceDN w:val="0"/>
        <w:adjustRightInd w:val="0"/>
        <w:contextualSpacing/>
        <w:jc w:val="both"/>
        <w:rPr>
          <w:rFonts w:ascii="Abadi" w:hAnsi="Abadi" w:cs="ArialMT"/>
          <w:color w:val="000000"/>
          <w:sz w:val="21"/>
          <w:szCs w:val="21"/>
        </w:rPr>
      </w:pPr>
      <w:r w:rsidRPr="008C1287">
        <w:rPr>
          <w:rFonts w:ascii="Abadi" w:hAnsi="Abadi" w:cs="ArialMT"/>
          <w:color w:val="000000"/>
          <w:sz w:val="21"/>
          <w:szCs w:val="21"/>
        </w:rPr>
        <w:t>Se determinó que está prohibido que durante su producción y representación las acciones puedan causarles afectación física o psicológica; o sean expuestos a riesgos que afecte su integridad</w:t>
      </w:r>
      <w:r>
        <w:rPr>
          <w:rFonts w:ascii="Abadi" w:hAnsi="Abadi" w:cs="ArialMT"/>
          <w:color w:val="000000"/>
          <w:sz w:val="21"/>
          <w:szCs w:val="21"/>
        </w:rPr>
        <w:t xml:space="preserve"> </w:t>
      </w:r>
      <w:r w:rsidRPr="008C1287">
        <w:rPr>
          <w:rFonts w:ascii="Abadi" w:hAnsi="Abadi" w:cs="ArialMT"/>
          <w:color w:val="000000"/>
          <w:sz w:val="21"/>
          <w:szCs w:val="21"/>
        </w:rPr>
        <w:t>personal, los discrimine, criminalice o estigmatice.</w:t>
      </w:r>
      <w:r>
        <w:rPr>
          <w:rStyle w:val="Refdenotaalpie"/>
          <w:rFonts w:ascii="Abadi" w:hAnsi="Abadi" w:cs="ArialMT"/>
          <w:color w:val="000000"/>
          <w:sz w:val="21"/>
          <w:szCs w:val="21"/>
        </w:rPr>
        <w:footnoteReference w:id="49"/>
      </w:r>
    </w:p>
    <w:p w14:paraId="34F542A0" w14:textId="77777777" w:rsidR="00306DA7" w:rsidRDefault="00306DA7" w:rsidP="00306DA7">
      <w:pPr>
        <w:autoSpaceDE w:val="0"/>
        <w:autoSpaceDN w:val="0"/>
        <w:adjustRightInd w:val="0"/>
        <w:jc w:val="both"/>
        <w:rPr>
          <w:rFonts w:ascii="Abadi" w:hAnsi="Abadi" w:cs="ArialMT"/>
          <w:color w:val="000000"/>
          <w:sz w:val="21"/>
          <w:szCs w:val="21"/>
        </w:rPr>
      </w:pPr>
    </w:p>
    <w:p w14:paraId="4009C69F" w14:textId="77777777" w:rsidR="00306DA7" w:rsidRPr="008C1287" w:rsidRDefault="00306DA7" w:rsidP="00306DA7">
      <w:pPr>
        <w:pStyle w:val="Prrafodelista"/>
        <w:numPr>
          <w:ilvl w:val="0"/>
          <w:numId w:val="24"/>
        </w:numPr>
        <w:autoSpaceDE w:val="0"/>
        <w:autoSpaceDN w:val="0"/>
        <w:adjustRightInd w:val="0"/>
        <w:contextualSpacing/>
        <w:jc w:val="both"/>
        <w:rPr>
          <w:rFonts w:ascii="Abadi" w:hAnsi="Abadi" w:cs="ArialMT"/>
          <w:color w:val="000000"/>
          <w:sz w:val="21"/>
          <w:szCs w:val="21"/>
        </w:rPr>
      </w:pPr>
      <w:r w:rsidRPr="008C1287">
        <w:rPr>
          <w:rFonts w:ascii="Abadi" w:hAnsi="Abadi" w:cs="ArialMT"/>
          <w:color w:val="000000"/>
          <w:sz w:val="21"/>
          <w:szCs w:val="21"/>
        </w:rPr>
        <w:t>Se ha cuestionado por la autoridad electoral de igual forma: ¿Debe permitirse la aparición de menores en la propaganda electoral con escenas que representen violencia? Se determinó que está prohibido que durante su producción y representación las acciones puedan causarles afectación física o psicológica; o sean expuestos a riesgos que afecte su integridad personal, los discrimine, criminalice o estigmatice.</w:t>
      </w:r>
    </w:p>
    <w:p w14:paraId="52159B13" w14:textId="77777777" w:rsidR="00306DA7" w:rsidRDefault="00306DA7" w:rsidP="00306DA7">
      <w:pPr>
        <w:autoSpaceDE w:val="0"/>
        <w:autoSpaceDN w:val="0"/>
        <w:adjustRightInd w:val="0"/>
        <w:jc w:val="both"/>
        <w:rPr>
          <w:rFonts w:ascii="Abadi" w:hAnsi="Abadi" w:cs="ArialMT"/>
          <w:color w:val="333333"/>
          <w:sz w:val="21"/>
          <w:szCs w:val="21"/>
        </w:rPr>
      </w:pPr>
    </w:p>
    <w:p w14:paraId="21EB1586" w14:textId="77777777" w:rsidR="00306DA7" w:rsidRPr="008C1287" w:rsidRDefault="00306DA7" w:rsidP="00306DA7">
      <w:pPr>
        <w:pStyle w:val="Prrafodelista"/>
        <w:numPr>
          <w:ilvl w:val="0"/>
          <w:numId w:val="24"/>
        </w:numPr>
        <w:autoSpaceDE w:val="0"/>
        <w:autoSpaceDN w:val="0"/>
        <w:adjustRightInd w:val="0"/>
        <w:contextualSpacing/>
        <w:jc w:val="both"/>
        <w:rPr>
          <w:rFonts w:ascii="Abadi" w:hAnsi="Abadi" w:cs="ArialMT"/>
          <w:color w:val="000000"/>
          <w:sz w:val="21"/>
          <w:szCs w:val="21"/>
        </w:rPr>
      </w:pPr>
      <w:r w:rsidRPr="008C1287">
        <w:rPr>
          <w:rFonts w:ascii="Abadi" w:hAnsi="Abadi" w:cs="ArialMT"/>
          <w:color w:val="000000"/>
          <w:sz w:val="21"/>
          <w:szCs w:val="21"/>
        </w:rPr>
        <w:t xml:space="preserve">¿Es suficiente que el consentimiento para que los menores participen sea otorgado por uno solo de los padres o tutores? Por regla general no, pero puede ser suficiente siempre y cuando se manifieste expresamente que la </w:t>
      </w:r>
      <w:r w:rsidRPr="008C1287">
        <w:rPr>
          <w:rFonts w:ascii="Abadi" w:hAnsi="Abadi" w:cs="ArialMT"/>
          <w:color w:val="000000"/>
          <w:sz w:val="21"/>
          <w:szCs w:val="21"/>
        </w:rPr>
        <w:t xml:space="preserve">otra persona que ejerce la patria potestad, en caso de que exista, está de acuerdo con la participación del menor en </w:t>
      </w:r>
      <w:r w:rsidRPr="008C1287">
        <w:rPr>
          <w:rFonts w:ascii="Abadi" w:hAnsi="Abadi" w:cs="ArialMT"/>
          <w:color w:val="333333"/>
          <w:sz w:val="21"/>
          <w:szCs w:val="21"/>
        </w:rPr>
        <w:t>el promocional y se expliquen las razones por las que no compareció o</w:t>
      </w:r>
      <w:r w:rsidRPr="008C1287">
        <w:rPr>
          <w:rFonts w:ascii="Abadi" w:hAnsi="Abadi" w:cs="ArialMT"/>
          <w:color w:val="000000"/>
          <w:sz w:val="21"/>
          <w:szCs w:val="21"/>
        </w:rPr>
        <w:t xml:space="preserve"> </w:t>
      </w:r>
      <w:r w:rsidRPr="008C1287">
        <w:rPr>
          <w:rFonts w:ascii="Abadi" w:hAnsi="Abadi" w:cs="ArialMT"/>
          <w:color w:val="333333"/>
          <w:sz w:val="21"/>
          <w:szCs w:val="21"/>
        </w:rPr>
        <w:t>está ausente</w:t>
      </w:r>
      <w:r>
        <w:rPr>
          <w:rStyle w:val="Refdenotaalpie"/>
          <w:rFonts w:ascii="Abadi" w:hAnsi="Abadi" w:cs="ArialMT"/>
          <w:color w:val="333333"/>
          <w:sz w:val="21"/>
          <w:szCs w:val="21"/>
        </w:rPr>
        <w:footnoteReference w:id="50"/>
      </w:r>
      <w:r w:rsidRPr="008C1287">
        <w:rPr>
          <w:rFonts w:ascii="Abadi" w:hAnsi="Abadi" w:cs="ArialMT"/>
          <w:color w:val="333333"/>
          <w:sz w:val="21"/>
          <w:szCs w:val="21"/>
        </w:rPr>
        <w:t>.</w:t>
      </w:r>
    </w:p>
    <w:p w14:paraId="52A5858D" w14:textId="77777777" w:rsidR="00306DA7" w:rsidRDefault="00306DA7" w:rsidP="00306DA7">
      <w:pPr>
        <w:autoSpaceDE w:val="0"/>
        <w:autoSpaceDN w:val="0"/>
        <w:adjustRightInd w:val="0"/>
        <w:jc w:val="both"/>
        <w:rPr>
          <w:rFonts w:ascii="Abadi" w:hAnsi="Abadi" w:cs="ArialMT"/>
          <w:color w:val="000000"/>
          <w:sz w:val="21"/>
          <w:szCs w:val="21"/>
        </w:rPr>
      </w:pPr>
    </w:p>
    <w:p w14:paraId="33016431" w14:textId="71A3A139" w:rsidR="00306DA7" w:rsidRPr="008C1287" w:rsidRDefault="00306DA7" w:rsidP="00306DA7">
      <w:pPr>
        <w:autoSpaceDE w:val="0"/>
        <w:autoSpaceDN w:val="0"/>
        <w:adjustRightInd w:val="0"/>
        <w:jc w:val="both"/>
        <w:rPr>
          <w:rFonts w:ascii="Abadi" w:hAnsi="Abadi" w:cs="ArialMT"/>
          <w:color w:val="000000"/>
          <w:sz w:val="21"/>
          <w:szCs w:val="21"/>
        </w:rPr>
      </w:pPr>
      <w:r w:rsidRPr="00ED26A2">
        <w:rPr>
          <w:rFonts w:ascii="Abadi" w:hAnsi="Abadi" w:cs="ArialMT"/>
          <w:color w:val="000000"/>
          <w:sz w:val="21"/>
          <w:szCs w:val="21"/>
        </w:rPr>
        <w:t>Es por eso que esta Fracción Parlamentaria considera que, en la actualidad</w:t>
      </w:r>
      <w:r>
        <w:rPr>
          <w:rFonts w:ascii="Abadi" w:hAnsi="Abadi" w:cs="ArialMT"/>
          <w:color w:val="000000"/>
          <w:sz w:val="21"/>
          <w:szCs w:val="21"/>
        </w:rPr>
        <w:t xml:space="preserve"> </w:t>
      </w:r>
      <w:r w:rsidRPr="00ED26A2">
        <w:rPr>
          <w:rFonts w:ascii="Abadi" w:hAnsi="Abadi" w:cs="ArialMT"/>
          <w:color w:val="000000"/>
          <w:sz w:val="21"/>
          <w:szCs w:val="21"/>
        </w:rPr>
        <w:t>tanto el legislador como las autoridades electorales y los actores políticos</w:t>
      </w:r>
      <w:r>
        <w:rPr>
          <w:rFonts w:ascii="Abadi" w:hAnsi="Abadi" w:cs="ArialMT"/>
          <w:color w:val="000000"/>
          <w:sz w:val="21"/>
          <w:szCs w:val="21"/>
        </w:rPr>
        <w:t xml:space="preserve"> </w:t>
      </w:r>
      <w:r w:rsidRPr="00ED26A2">
        <w:rPr>
          <w:rFonts w:ascii="Abadi" w:hAnsi="Abadi" w:cs="ArialMT"/>
          <w:color w:val="000000"/>
          <w:sz w:val="21"/>
          <w:szCs w:val="21"/>
        </w:rPr>
        <w:t>debemos garantizar que la participación por utilización de niñas, niños y</w:t>
      </w:r>
      <w:r>
        <w:rPr>
          <w:rFonts w:ascii="Abadi" w:hAnsi="Abadi" w:cs="ArialMT"/>
          <w:color w:val="000000"/>
          <w:sz w:val="21"/>
          <w:szCs w:val="21"/>
        </w:rPr>
        <w:t xml:space="preserve"> </w:t>
      </w:r>
      <w:r w:rsidRPr="00ED26A2">
        <w:rPr>
          <w:rFonts w:ascii="Abadi" w:hAnsi="Abadi" w:cs="ArialMT"/>
          <w:color w:val="000000"/>
          <w:sz w:val="21"/>
          <w:szCs w:val="21"/>
        </w:rPr>
        <w:t>adolescentes en la precampañas, campañas y la propaganda político</w:t>
      </w:r>
      <w:r w:rsidR="00633806">
        <w:rPr>
          <w:rFonts w:ascii="Abadi" w:hAnsi="Abadi" w:cs="ArialMT"/>
          <w:color w:val="000000"/>
          <w:sz w:val="21"/>
          <w:szCs w:val="21"/>
        </w:rPr>
        <w:t xml:space="preserve"> </w:t>
      </w:r>
      <w:r w:rsidRPr="00ED26A2">
        <w:rPr>
          <w:rFonts w:ascii="Abadi" w:hAnsi="Abadi" w:cs="ArialMT"/>
          <w:color w:val="000000"/>
          <w:sz w:val="21"/>
          <w:szCs w:val="21"/>
        </w:rPr>
        <w:t>electoral,</w:t>
      </w:r>
      <w:r>
        <w:rPr>
          <w:rFonts w:ascii="Abadi" w:hAnsi="Abadi" w:cs="ArialMT"/>
          <w:color w:val="000000"/>
          <w:sz w:val="21"/>
          <w:szCs w:val="21"/>
        </w:rPr>
        <w:t xml:space="preserve"> </w:t>
      </w:r>
      <w:r w:rsidRPr="00ED26A2">
        <w:rPr>
          <w:rFonts w:ascii="Abadi" w:hAnsi="Abadi" w:cs="ArialMT"/>
          <w:color w:val="000000"/>
          <w:sz w:val="21"/>
          <w:szCs w:val="21"/>
        </w:rPr>
        <w:t xml:space="preserve">su participación esté libre de cualquier tipo de violencia física, </w:t>
      </w:r>
      <w:r w:rsidRPr="00ED26A2">
        <w:rPr>
          <w:rFonts w:ascii="Abadi" w:hAnsi="Abadi" w:cs="ArialMT"/>
          <w:sz w:val="21"/>
          <w:szCs w:val="21"/>
        </w:rPr>
        <w:t>simbólica, emocional</w:t>
      </w:r>
      <w:r>
        <w:rPr>
          <w:rFonts w:ascii="Abadi" w:hAnsi="Abadi" w:cs="ArialMT"/>
          <w:sz w:val="21"/>
          <w:szCs w:val="21"/>
        </w:rPr>
        <w:t xml:space="preserve"> </w:t>
      </w:r>
      <w:r w:rsidRPr="00ED26A2">
        <w:rPr>
          <w:rFonts w:ascii="Abadi" w:hAnsi="Abadi" w:cs="ArialMT"/>
          <w:sz w:val="21"/>
          <w:szCs w:val="21"/>
        </w:rPr>
        <w:t>o psicológica, de modo que ahora los menores no</w:t>
      </w:r>
      <w:r>
        <w:rPr>
          <w:rFonts w:ascii="Abadi" w:hAnsi="Abadi" w:cs="ArialMT"/>
          <w:color w:val="000000"/>
          <w:sz w:val="21"/>
          <w:szCs w:val="21"/>
        </w:rPr>
        <w:t xml:space="preserve"> </w:t>
      </w:r>
      <w:r w:rsidRPr="00ED26A2">
        <w:rPr>
          <w:rFonts w:ascii="Abadi" w:hAnsi="Abadi" w:cs="ArialMT"/>
          <w:sz w:val="21"/>
          <w:szCs w:val="21"/>
        </w:rPr>
        <w:t>puedan ser parte de los spots de los partidos, precandidatos, candidatos con</w:t>
      </w:r>
      <w:r>
        <w:rPr>
          <w:rFonts w:ascii="Abadi" w:hAnsi="Abadi" w:cs="ArialMT"/>
          <w:color w:val="000000"/>
          <w:sz w:val="21"/>
          <w:szCs w:val="21"/>
        </w:rPr>
        <w:t xml:space="preserve"> </w:t>
      </w:r>
      <w:r w:rsidRPr="00ED26A2">
        <w:rPr>
          <w:rFonts w:ascii="Abadi" w:hAnsi="Abadi" w:cs="ArialMT"/>
          <w:sz w:val="21"/>
          <w:szCs w:val="21"/>
        </w:rPr>
        <w:t>o sin partidos, si lo que se transmite es, por ejemplo, una acusación de</w:t>
      </w:r>
      <w:r>
        <w:rPr>
          <w:rFonts w:ascii="Abadi" w:hAnsi="Abadi" w:cs="ArialMT"/>
          <w:color w:val="000000"/>
          <w:sz w:val="21"/>
          <w:szCs w:val="21"/>
        </w:rPr>
        <w:t xml:space="preserve"> </w:t>
      </w:r>
      <w:r w:rsidRPr="00ED26A2">
        <w:rPr>
          <w:rFonts w:ascii="Abadi" w:hAnsi="Abadi" w:cs="ArialMT"/>
          <w:sz w:val="21"/>
          <w:szCs w:val="21"/>
        </w:rPr>
        <w:t>pederastia contra algún político o cualquier tipo de mensaje en que se utilice</w:t>
      </w:r>
      <w:r>
        <w:rPr>
          <w:rFonts w:ascii="Abadi" w:hAnsi="Abadi" w:cs="ArialMT"/>
          <w:color w:val="000000"/>
          <w:sz w:val="21"/>
          <w:szCs w:val="21"/>
        </w:rPr>
        <w:t xml:space="preserve"> </w:t>
      </w:r>
      <w:r w:rsidRPr="00ED26A2">
        <w:rPr>
          <w:rFonts w:ascii="Abadi" w:hAnsi="Abadi" w:cs="ArialMT"/>
          <w:sz w:val="21"/>
          <w:szCs w:val="21"/>
        </w:rPr>
        <w:t>a una o un menor de edad, en el que pueda verse lastimada su subjetividad</w:t>
      </w:r>
      <w:r>
        <w:rPr>
          <w:rFonts w:ascii="Abadi" w:hAnsi="Abadi" w:cs="ArialMT"/>
          <w:color w:val="000000"/>
          <w:sz w:val="21"/>
          <w:szCs w:val="21"/>
        </w:rPr>
        <w:t xml:space="preserve"> </w:t>
      </w:r>
      <w:r w:rsidRPr="00ED26A2">
        <w:rPr>
          <w:rFonts w:ascii="Abadi" w:hAnsi="Abadi" w:cs="ArialMT"/>
          <w:sz w:val="21"/>
          <w:szCs w:val="21"/>
        </w:rPr>
        <w:t>o estigmatizar su persona.</w:t>
      </w:r>
    </w:p>
    <w:p w14:paraId="576D69D7" w14:textId="77777777" w:rsidR="00306DA7" w:rsidRDefault="00306DA7" w:rsidP="00306DA7">
      <w:pPr>
        <w:autoSpaceDE w:val="0"/>
        <w:autoSpaceDN w:val="0"/>
        <w:adjustRightInd w:val="0"/>
        <w:jc w:val="both"/>
        <w:rPr>
          <w:rFonts w:ascii="Abadi" w:hAnsi="Abadi" w:cs="ArialMT"/>
          <w:sz w:val="21"/>
          <w:szCs w:val="21"/>
        </w:rPr>
      </w:pPr>
    </w:p>
    <w:p w14:paraId="1B82463B" w14:textId="77777777" w:rsidR="00306DA7" w:rsidRPr="008C1287"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Sin que se desconozca que ante la carencia de regulación legislativa, fue el</w:t>
      </w:r>
      <w:r>
        <w:rPr>
          <w:rFonts w:ascii="Abadi" w:hAnsi="Abadi" w:cs="ArialMT"/>
          <w:sz w:val="21"/>
          <w:szCs w:val="21"/>
        </w:rPr>
        <w:t xml:space="preserve"> </w:t>
      </w:r>
      <w:r w:rsidRPr="00ED26A2">
        <w:rPr>
          <w:rFonts w:ascii="Abadi" w:hAnsi="Abadi" w:cs="ArialMT"/>
          <w:sz w:val="21"/>
          <w:szCs w:val="21"/>
        </w:rPr>
        <w:t>Instituto Nacional Electoral el que ha emitido los “</w:t>
      </w:r>
      <w:r w:rsidRPr="00ED26A2">
        <w:rPr>
          <w:rFonts w:ascii="Abadi" w:hAnsi="Abadi" w:cs="Arial-ItalicMT"/>
          <w:i/>
          <w:iCs/>
          <w:sz w:val="21"/>
          <w:szCs w:val="21"/>
        </w:rPr>
        <w:t>Lineamientos para la</w:t>
      </w:r>
      <w:r>
        <w:rPr>
          <w:rFonts w:ascii="Abadi" w:hAnsi="Abadi" w:cs="ArialMT"/>
          <w:sz w:val="21"/>
          <w:szCs w:val="21"/>
        </w:rPr>
        <w:t xml:space="preserve"> </w:t>
      </w:r>
      <w:r w:rsidRPr="00ED26A2">
        <w:rPr>
          <w:rFonts w:ascii="Abadi" w:hAnsi="Abadi" w:cs="Arial-ItalicMT"/>
          <w:i/>
          <w:iCs/>
          <w:sz w:val="21"/>
          <w:szCs w:val="21"/>
        </w:rPr>
        <w:t>protección de niñas, niños y adolescentes en materia de propaganda y</w:t>
      </w:r>
      <w:r>
        <w:rPr>
          <w:rFonts w:ascii="Abadi" w:hAnsi="Abadi" w:cs="ArialMT"/>
          <w:sz w:val="21"/>
          <w:szCs w:val="21"/>
        </w:rPr>
        <w:t xml:space="preserve"> </w:t>
      </w:r>
      <w:r w:rsidRPr="00ED26A2">
        <w:rPr>
          <w:rFonts w:ascii="Abadi" w:hAnsi="Abadi" w:cs="Arial-ItalicMT"/>
          <w:i/>
          <w:iCs/>
          <w:sz w:val="21"/>
          <w:szCs w:val="21"/>
        </w:rPr>
        <w:t>mensajes electorales</w:t>
      </w:r>
      <w:r w:rsidRPr="00ED26A2">
        <w:rPr>
          <w:rFonts w:ascii="Abadi" w:hAnsi="Abadi" w:cs="ArialMT"/>
          <w:sz w:val="21"/>
          <w:szCs w:val="21"/>
        </w:rPr>
        <w:t>”</w:t>
      </w:r>
      <w:r>
        <w:rPr>
          <w:rStyle w:val="Refdenotaalpie"/>
          <w:rFonts w:ascii="Abadi" w:hAnsi="Abadi" w:cs="ArialMT"/>
          <w:sz w:val="21"/>
          <w:szCs w:val="21"/>
        </w:rPr>
        <w:footnoteReference w:id="51"/>
      </w:r>
      <w:r w:rsidRPr="00ED26A2">
        <w:rPr>
          <w:rFonts w:ascii="Abadi" w:hAnsi="Abadi" w:cs="ArialMT"/>
          <w:sz w:val="21"/>
          <w:szCs w:val="21"/>
        </w:rPr>
        <w:t>, aprobados mediante Acuerdo INE/CG508/2018 y</w:t>
      </w:r>
      <w:r>
        <w:rPr>
          <w:rFonts w:ascii="Abadi" w:hAnsi="Abadi" w:cs="ArialMT"/>
          <w:sz w:val="21"/>
          <w:szCs w:val="21"/>
        </w:rPr>
        <w:t xml:space="preserve"> </w:t>
      </w:r>
      <w:r w:rsidRPr="00ED26A2">
        <w:rPr>
          <w:rFonts w:ascii="Abadi" w:hAnsi="Abadi" w:cs="ArialMT"/>
          <w:sz w:val="21"/>
          <w:szCs w:val="21"/>
        </w:rPr>
        <w:t xml:space="preserve">sirvió, además, para aprobar el </w:t>
      </w:r>
      <w:r w:rsidRPr="00ED26A2">
        <w:rPr>
          <w:rFonts w:ascii="Abadi" w:hAnsi="Abadi" w:cs="Arial-ItalicMT"/>
          <w:i/>
          <w:iCs/>
          <w:sz w:val="21"/>
          <w:szCs w:val="21"/>
        </w:rPr>
        <w:t>“Manual para recabar la opinión y el</w:t>
      </w:r>
      <w:r>
        <w:rPr>
          <w:rFonts w:ascii="Abadi" w:hAnsi="Abadi" w:cs="ArialMT"/>
          <w:sz w:val="21"/>
          <w:szCs w:val="21"/>
        </w:rPr>
        <w:t xml:space="preserve"> </w:t>
      </w:r>
      <w:r w:rsidRPr="00ED26A2">
        <w:rPr>
          <w:rFonts w:ascii="Abadi" w:hAnsi="Abadi" w:cs="Arial-ItalicMT"/>
          <w:i/>
          <w:iCs/>
          <w:sz w:val="21"/>
          <w:szCs w:val="21"/>
        </w:rPr>
        <w:t>consentimiento informado de niñas, niños y adolescentes para la utilización</w:t>
      </w:r>
      <w:r>
        <w:rPr>
          <w:rFonts w:ascii="Abadi" w:hAnsi="Abadi" w:cs="ArialMT"/>
          <w:sz w:val="21"/>
          <w:szCs w:val="21"/>
        </w:rPr>
        <w:t xml:space="preserve"> </w:t>
      </w:r>
      <w:r w:rsidRPr="00ED26A2">
        <w:rPr>
          <w:rFonts w:ascii="Abadi" w:hAnsi="Abadi" w:cs="Arial-ItalicMT"/>
          <w:i/>
          <w:iCs/>
          <w:sz w:val="21"/>
          <w:szCs w:val="21"/>
        </w:rPr>
        <w:t>de su imagen, voz o cualquier dato que los haga identificables en propaganda</w:t>
      </w:r>
      <w:r>
        <w:rPr>
          <w:rFonts w:ascii="Abadi" w:hAnsi="Abadi" w:cs="ArialMT"/>
          <w:sz w:val="21"/>
          <w:szCs w:val="21"/>
        </w:rPr>
        <w:t xml:space="preserve"> </w:t>
      </w:r>
      <w:r w:rsidRPr="00ED26A2">
        <w:rPr>
          <w:rFonts w:ascii="Abadi" w:hAnsi="Abadi" w:cs="Arial-ItalicMT"/>
          <w:i/>
          <w:iCs/>
          <w:sz w:val="21"/>
          <w:szCs w:val="21"/>
        </w:rPr>
        <w:t>político-electoral y mensajes electorales, actos políticos, de precampaña o</w:t>
      </w:r>
      <w:r>
        <w:rPr>
          <w:rFonts w:ascii="Abadi" w:hAnsi="Abadi" w:cs="ArialMT"/>
          <w:sz w:val="21"/>
          <w:szCs w:val="21"/>
        </w:rPr>
        <w:t xml:space="preserve"> </w:t>
      </w:r>
      <w:r w:rsidRPr="00ED26A2">
        <w:rPr>
          <w:rFonts w:ascii="Abadi" w:hAnsi="Abadi" w:cs="Arial-ItalicMT"/>
          <w:i/>
          <w:iCs/>
          <w:sz w:val="21"/>
          <w:szCs w:val="21"/>
        </w:rPr>
        <w:t>campaña a través de cualquier medio de difusión”.</w:t>
      </w:r>
    </w:p>
    <w:p w14:paraId="6FCD1933" w14:textId="77777777" w:rsidR="00306DA7" w:rsidRDefault="00306DA7" w:rsidP="00306DA7">
      <w:pPr>
        <w:autoSpaceDE w:val="0"/>
        <w:autoSpaceDN w:val="0"/>
        <w:adjustRightInd w:val="0"/>
        <w:jc w:val="both"/>
        <w:rPr>
          <w:rFonts w:ascii="Abadi" w:hAnsi="Abadi" w:cs="ArialMT"/>
          <w:sz w:val="21"/>
          <w:szCs w:val="21"/>
        </w:rPr>
      </w:pPr>
    </w:p>
    <w:p w14:paraId="2A4CBC94"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Lineamientos que se encuentran direccionados principalmente a la publicidad</w:t>
      </w:r>
      <w:r>
        <w:rPr>
          <w:rFonts w:ascii="Abadi" w:hAnsi="Abadi" w:cs="ArialMT"/>
          <w:sz w:val="21"/>
          <w:szCs w:val="21"/>
        </w:rPr>
        <w:t xml:space="preserve"> </w:t>
      </w:r>
      <w:r w:rsidRPr="00ED26A2">
        <w:rPr>
          <w:rFonts w:ascii="Abadi" w:hAnsi="Abadi" w:cs="ArialMT"/>
          <w:sz w:val="21"/>
          <w:szCs w:val="21"/>
        </w:rPr>
        <w:t>de radio y televisión en las campañas electorales, lo cual es de su estricta</w:t>
      </w:r>
      <w:r>
        <w:rPr>
          <w:rFonts w:ascii="Abadi" w:hAnsi="Abadi" w:cs="ArialMT"/>
          <w:sz w:val="21"/>
          <w:szCs w:val="21"/>
        </w:rPr>
        <w:t xml:space="preserve"> </w:t>
      </w:r>
      <w:r w:rsidRPr="00ED26A2">
        <w:rPr>
          <w:rFonts w:ascii="Abadi" w:hAnsi="Abadi" w:cs="ArialMT"/>
          <w:sz w:val="21"/>
          <w:szCs w:val="21"/>
        </w:rPr>
        <w:t>competencia; sin embargo, consideramos que la legislación local carece de</w:t>
      </w:r>
      <w:r>
        <w:rPr>
          <w:rFonts w:ascii="Abadi" w:hAnsi="Abadi" w:cs="ArialMT"/>
          <w:sz w:val="21"/>
          <w:szCs w:val="21"/>
        </w:rPr>
        <w:t xml:space="preserve"> </w:t>
      </w:r>
      <w:r w:rsidRPr="00ED26A2">
        <w:rPr>
          <w:rFonts w:ascii="Abadi" w:hAnsi="Abadi" w:cs="ArialMT"/>
          <w:sz w:val="21"/>
          <w:szCs w:val="21"/>
        </w:rPr>
        <w:t>tal regulación y que no está impedido para el legislador local regular la</w:t>
      </w:r>
      <w:r>
        <w:rPr>
          <w:rFonts w:ascii="Abadi" w:hAnsi="Abadi" w:cs="ArialMT"/>
          <w:sz w:val="21"/>
          <w:szCs w:val="21"/>
        </w:rPr>
        <w:t xml:space="preserve"> </w:t>
      </w:r>
      <w:r w:rsidRPr="00ED26A2">
        <w:rPr>
          <w:rFonts w:ascii="Abadi" w:hAnsi="Abadi" w:cs="ArialMT"/>
          <w:sz w:val="21"/>
          <w:szCs w:val="21"/>
        </w:rPr>
        <w:t xml:space="preserve">prohibición de utilización de </w:t>
      </w:r>
      <w:r w:rsidRPr="00ED26A2">
        <w:rPr>
          <w:rFonts w:ascii="Abadi" w:hAnsi="Abadi" w:cs="ArialMT"/>
          <w:sz w:val="21"/>
          <w:szCs w:val="21"/>
        </w:rPr>
        <w:lastRenderedPageBreak/>
        <w:t>personas menores de 18 años en precampañas,</w:t>
      </w:r>
      <w:r>
        <w:rPr>
          <w:rFonts w:ascii="Abadi" w:hAnsi="Abadi" w:cs="ArialMT"/>
          <w:sz w:val="21"/>
          <w:szCs w:val="21"/>
        </w:rPr>
        <w:t xml:space="preserve"> </w:t>
      </w:r>
      <w:r w:rsidRPr="00ED26A2">
        <w:rPr>
          <w:rFonts w:ascii="Abadi" w:hAnsi="Abadi" w:cs="ArialMT"/>
          <w:sz w:val="21"/>
          <w:szCs w:val="21"/>
        </w:rPr>
        <w:t>campañas electorales y actos de propaganda político electoral en la entidad</w:t>
      </w:r>
      <w:r>
        <w:rPr>
          <w:rFonts w:ascii="Abadi" w:hAnsi="Abadi" w:cs="ArialMT"/>
          <w:sz w:val="21"/>
          <w:szCs w:val="21"/>
        </w:rPr>
        <w:t xml:space="preserve"> </w:t>
      </w:r>
      <w:r w:rsidRPr="00ED26A2">
        <w:rPr>
          <w:rFonts w:ascii="Abadi" w:hAnsi="Abadi" w:cs="ArialMT"/>
          <w:sz w:val="21"/>
          <w:szCs w:val="21"/>
        </w:rPr>
        <w:t>para promocionar la obtención de cargos de elección popular estatal y</w:t>
      </w:r>
      <w:r>
        <w:rPr>
          <w:rFonts w:ascii="Abadi" w:hAnsi="Abadi" w:cs="ArialMT"/>
          <w:sz w:val="21"/>
          <w:szCs w:val="21"/>
        </w:rPr>
        <w:t xml:space="preserve"> </w:t>
      </w:r>
      <w:r w:rsidRPr="00ED26A2">
        <w:rPr>
          <w:rFonts w:ascii="Abadi" w:hAnsi="Abadi" w:cs="ArialMT"/>
          <w:sz w:val="21"/>
          <w:szCs w:val="21"/>
        </w:rPr>
        <w:t>municipal, reguladas por la Ley de Instituciones y Procedimientos Electorales</w:t>
      </w:r>
      <w:r>
        <w:rPr>
          <w:rFonts w:ascii="Abadi" w:hAnsi="Abadi" w:cs="ArialMT"/>
          <w:sz w:val="21"/>
          <w:szCs w:val="21"/>
        </w:rPr>
        <w:t xml:space="preserve"> </w:t>
      </w:r>
      <w:r w:rsidRPr="00ED26A2">
        <w:rPr>
          <w:rFonts w:ascii="Abadi" w:hAnsi="Abadi" w:cs="ArialMT"/>
          <w:sz w:val="21"/>
          <w:szCs w:val="21"/>
        </w:rPr>
        <w:t>para el Estado de Guanajuato. Lo anterior, sin que se pretenda, de modo</w:t>
      </w:r>
      <w:r>
        <w:rPr>
          <w:rFonts w:ascii="Abadi" w:hAnsi="Abadi" w:cs="ArialMT"/>
          <w:sz w:val="21"/>
          <w:szCs w:val="21"/>
        </w:rPr>
        <w:t xml:space="preserve"> </w:t>
      </w:r>
      <w:r w:rsidRPr="00ED26A2">
        <w:rPr>
          <w:rFonts w:ascii="Abadi" w:hAnsi="Abadi" w:cs="ArialMT"/>
          <w:sz w:val="21"/>
          <w:szCs w:val="21"/>
        </w:rPr>
        <w:t>alguno, regular los actos de campaña emitidos a través de radio y televisión,</w:t>
      </w:r>
      <w:r>
        <w:rPr>
          <w:rFonts w:ascii="Abadi" w:hAnsi="Abadi" w:cs="ArialMT"/>
          <w:sz w:val="21"/>
          <w:szCs w:val="21"/>
        </w:rPr>
        <w:t xml:space="preserve"> </w:t>
      </w:r>
      <w:r w:rsidRPr="00ED26A2">
        <w:rPr>
          <w:rFonts w:ascii="Abadi" w:hAnsi="Abadi" w:cs="ArialMT"/>
          <w:sz w:val="21"/>
          <w:szCs w:val="21"/>
        </w:rPr>
        <w:t>menos aún de campañas electorales de carácter federal.</w:t>
      </w:r>
    </w:p>
    <w:p w14:paraId="5CEB47C4" w14:textId="77777777" w:rsidR="00306DA7" w:rsidRDefault="00306DA7" w:rsidP="00306DA7">
      <w:pPr>
        <w:autoSpaceDE w:val="0"/>
        <w:autoSpaceDN w:val="0"/>
        <w:adjustRightInd w:val="0"/>
        <w:jc w:val="both"/>
        <w:rPr>
          <w:rFonts w:ascii="Abadi" w:hAnsi="Abadi" w:cs="ArialMT"/>
          <w:sz w:val="21"/>
          <w:szCs w:val="21"/>
        </w:rPr>
      </w:pPr>
    </w:p>
    <w:p w14:paraId="5F8245D9" w14:textId="3045E59B"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La presente propuesta sobre la utilización de niños, niñas y adolescentes, en</w:t>
      </w:r>
      <w:r>
        <w:rPr>
          <w:rFonts w:ascii="Abadi" w:hAnsi="Abadi" w:cs="ArialMT"/>
          <w:sz w:val="21"/>
          <w:szCs w:val="21"/>
        </w:rPr>
        <w:t xml:space="preserve"> </w:t>
      </w:r>
      <w:r w:rsidRPr="00ED26A2">
        <w:rPr>
          <w:rFonts w:ascii="Abadi" w:hAnsi="Abadi" w:cs="ArialMT"/>
          <w:sz w:val="21"/>
          <w:szCs w:val="21"/>
        </w:rPr>
        <w:t>su persona e imagen en propaganda político electoral, consideramos</w:t>
      </w:r>
      <w:r>
        <w:rPr>
          <w:rFonts w:ascii="Abadi" w:hAnsi="Abadi" w:cs="ArialMT"/>
          <w:sz w:val="21"/>
          <w:szCs w:val="21"/>
        </w:rPr>
        <w:t xml:space="preserve"> </w:t>
      </w:r>
      <w:r w:rsidRPr="00ED26A2">
        <w:rPr>
          <w:rFonts w:ascii="Abadi" w:hAnsi="Abadi" w:cs="ArialMT"/>
          <w:sz w:val="21"/>
          <w:szCs w:val="21"/>
        </w:rPr>
        <w:t>repercute o impacta en la Ley de los Derechos de Niñas, Niños y</w:t>
      </w:r>
      <w:r>
        <w:rPr>
          <w:rFonts w:ascii="Abadi" w:hAnsi="Abadi" w:cs="ArialMT"/>
          <w:sz w:val="21"/>
          <w:szCs w:val="21"/>
        </w:rPr>
        <w:t xml:space="preserve"> </w:t>
      </w:r>
      <w:r w:rsidRPr="00ED26A2">
        <w:rPr>
          <w:rFonts w:ascii="Abadi" w:hAnsi="Abadi" w:cs="ArialMT"/>
          <w:sz w:val="21"/>
          <w:szCs w:val="21"/>
        </w:rPr>
        <w:t>Adolescentes del Estado de Guanajuato, dada la afectación que en su</w:t>
      </w:r>
      <w:r>
        <w:rPr>
          <w:rFonts w:ascii="Abadi" w:hAnsi="Abadi" w:cs="ArialMT"/>
          <w:sz w:val="21"/>
          <w:szCs w:val="21"/>
        </w:rPr>
        <w:t xml:space="preserve"> </w:t>
      </w:r>
      <w:r w:rsidRPr="00ED26A2">
        <w:rPr>
          <w:rFonts w:ascii="Abadi" w:hAnsi="Abadi" w:cs="ArialMT"/>
          <w:sz w:val="21"/>
          <w:szCs w:val="21"/>
        </w:rPr>
        <w:t>intimidad, dignidad y salud mental puede producir, así como su participación</w:t>
      </w:r>
      <w:r>
        <w:rPr>
          <w:rFonts w:ascii="Abadi" w:hAnsi="Abadi" w:cs="ArialMT"/>
          <w:sz w:val="21"/>
          <w:szCs w:val="21"/>
        </w:rPr>
        <w:t xml:space="preserve"> </w:t>
      </w:r>
      <w:r w:rsidRPr="00ED26A2">
        <w:rPr>
          <w:rFonts w:ascii="Abadi" w:hAnsi="Abadi" w:cs="ArialMT"/>
          <w:sz w:val="21"/>
          <w:szCs w:val="21"/>
        </w:rPr>
        <w:t>en precampañas, campañas electorales sin que media regulación en las</w:t>
      </w:r>
      <w:r>
        <w:rPr>
          <w:rFonts w:ascii="Abadi" w:hAnsi="Abadi" w:cs="ArialMT"/>
          <w:sz w:val="21"/>
          <w:szCs w:val="21"/>
        </w:rPr>
        <w:t xml:space="preserve"> </w:t>
      </w:r>
      <w:r w:rsidRPr="00ED26A2">
        <w:rPr>
          <w:rFonts w:ascii="Abadi" w:hAnsi="Abadi" w:cs="ArialMT"/>
          <w:sz w:val="21"/>
          <w:szCs w:val="21"/>
        </w:rPr>
        <w:t>locales que tutelen los derechos del niño, niña y adolescente, dado que en</w:t>
      </w:r>
      <w:r>
        <w:rPr>
          <w:rFonts w:ascii="Abadi" w:hAnsi="Abadi" w:cs="ArialMT"/>
          <w:sz w:val="21"/>
          <w:szCs w:val="21"/>
        </w:rPr>
        <w:t xml:space="preserve"> </w:t>
      </w:r>
      <w:r w:rsidRPr="00ED26A2">
        <w:rPr>
          <w:rFonts w:ascii="Abadi" w:hAnsi="Abadi" w:cs="ArialMT"/>
          <w:sz w:val="21"/>
          <w:szCs w:val="21"/>
        </w:rPr>
        <w:t>dichas leyes se debe regular el que si su imagen no está libre de cualquier</w:t>
      </w:r>
      <w:r w:rsidR="00904696">
        <w:rPr>
          <w:rFonts w:ascii="Abadi" w:hAnsi="Abadi" w:cs="ArialMT"/>
          <w:sz w:val="21"/>
          <w:szCs w:val="21"/>
        </w:rPr>
        <w:t xml:space="preserve"> </w:t>
      </w:r>
      <w:r w:rsidRPr="00ED26A2">
        <w:rPr>
          <w:rFonts w:ascii="Abadi" w:hAnsi="Abadi" w:cs="ArialMT"/>
          <w:sz w:val="21"/>
          <w:szCs w:val="21"/>
        </w:rPr>
        <w:t>tipo de violencia física, simbólica, emocional o psicológica, el perjuicio puede ser grave y de</w:t>
      </w:r>
      <w:r>
        <w:rPr>
          <w:rFonts w:ascii="Abadi" w:hAnsi="Abadi" w:cs="ArialMT"/>
          <w:sz w:val="21"/>
          <w:szCs w:val="21"/>
        </w:rPr>
        <w:t xml:space="preserve"> </w:t>
      </w:r>
      <w:r w:rsidRPr="00ED26A2">
        <w:rPr>
          <w:rFonts w:ascii="Abadi" w:hAnsi="Abadi" w:cs="ArialMT"/>
          <w:sz w:val="21"/>
          <w:szCs w:val="21"/>
        </w:rPr>
        <w:t>estigmatización de su persona, debe ser tutelado en la misma</w:t>
      </w:r>
      <w:r>
        <w:rPr>
          <w:rFonts w:ascii="Abadi" w:hAnsi="Abadi" w:cs="ArialMT"/>
          <w:sz w:val="21"/>
          <w:szCs w:val="21"/>
        </w:rPr>
        <w:t xml:space="preserve"> </w:t>
      </w:r>
      <w:r w:rsidRPr="00ED26A2">
        <w:rPr>
          <w:rFonts w:ascii="Abadi" w:hAnsi="Abadi" w:cs="ArialMT"/>
          <w:sz w:val="21"/>
          <w:szCs w:val="21"/>
        </w:rPr>
        <w:t>estableciendo su prohibición legal.</w:t>
      </w:r>
    </w:p>
    <w:p w14:paraId="23BE7598" w14:textId="77777777" w:rsidR="00306DA7" w:rsidRDefault="00306DA7" w:rsidP="00306DA7">
      <w:pPr>
        <w:autoSpaceDE w:val="0"/>
        <w:autoSpaceDN w:val="0"/>
        <w:adjustRightInd w:val="0"/>
        <w:jc w:val="both"/>
        <w:rPr>
          <w:rFonts w:ascii="Abadi" w:hAnsi="Abadi" w:cs="ArialMT"/>
          <w:sz w:val="21"/>
          <w:szCs w:val="21"/>
        </w:rPr>
      </w:pPr>
    </w:p>
    <w:p w14:paraId="5CB200F0"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Como ha quedado establecido, debe ser regulada en la ley la participación</w:t>
      </w:r>
      <w:r>
        <w:rPr>
          <w:rFonts w:ascii="Abadi" w:hAnsi="Abadi" w:cs="ArialMT"/>
          <w:sz w:val="21"/>
          <w:szCs w:val="21"/>
        </w:rPr>
        <w:t xml:space="preserve"> </w:t>
      </w:r>
      <w:r w:rsidRPr="00ED26A2">
        <w:rPr>
          <w:rFonts w:ascii="Abadi" w:hAnsi="Abadi" w:cs="ArialMT"/>
          <w:sz w:val="21"/>
          <w:szCs w:val="21"/>
        </w:rPr>
        <w:t>de una persona menor de 18 años en actos de precampaña, campaña</w:t>
      </w:r>
      <w:r>
        <w:rPr>
          <w:rFonts w:ascii="Abadi" w:hAnsi="Abadi" w:cs="ArialMT"/>
          <w:sz w:val="21"/>
          <w:szCs w:val="21"/>
        </w:rPr>
        <w:t xml:space="preserve"> </w:t>
      </w:r>
      <w:r w:rsidRPr="00ED26A2">
        <w:rPr>
          <w:rFonts w:ascii="Abadi" w:hAnsi="Abadi" w:cs="ArialMT"/>
          <w:sz w:val="21"/>
          <w:szCs w:val="21"/>
        </w:rPr>
        <w:t>electoral y de propaganda político electoral, sin que media regulación en las</w:t>
      </w:r>
      <w:r>
        <w:rPr>
          <w:rFonts w:ascii="Abadi" w:hAnsi="Abadi" w:cs="ArialMT"/>
          <w:sz w:val="21"/>
          <w:szCs w:val="21"/>
        </w:rPr>
        <w:t xml:space="preserve"> </w:t>
      </w:r>
      <w:r w:rsidRPr="00ED26A2">
        <w:rPr>
          <w:rFonts w:ascii="Abadi" w:hAnsi="Abadi" w:cs="ArialMT"/>
          <w:sz w:val="21"/>
          <w:szCs w:val="21"/>
        </w:rPr>
        <w:t>leyes que inciden en la protección de los derechos humanos de intimidad y</w:t>
      </w:r>
      <w:r>
        <w:rPr>
          <w:rFonts w:ascii="Abadi" w:hAnsi="Abadi" w:cs="ArialMT"/>
          <w:sz w:val="21"/>
          <w:szCs w:val="21"/>
        </w:rPr>
        <w:t xml:space="preserve"> </w:t>
      </w:r>
      <w:r w:rsidRPr="00ED26A2">
        <w:rPr>
          <w:rFonts w:ascii="Abadi" w:hAnsi="Abadi" w:cs="ArialMT"/>
          <w:sz w:val="21"/>
          <w:szCs w:val="21"/>
        </w:rPr>
        <w:t>vida privada de estas personas que por su edad se estiman en estado de</w:t>
      </w:r>
      <w:r>
        <w:rPr>
          <w:rFonts w:ascii="Abadi" w:hAnsi="Abadi" w:cs="ArialMT"/>
          <w:sz w:val="21"/>
          <w:szCs w:val="21"/>
        </w:rPr>
        <w:t xml:space="preserve"> </w:t>
      </w:r>
      <w:r w:rsidRPr="00ED26A2">
        <w:rPr>
          <w:rFonts w:ascii="Abadi" w:hAnsi="Abadi" w:cs="ArialMT"/>
          <w:sz w:val="21"/>
          <w:szCs w:val="21"/>
        </w:rPr>
        <w:t>vulnerabilidad, para recabar su opinión y estar debidamente informados sobre</w:t>
      </w:r>
      <w:r>
        <w:rPr>
          <w:rFonts w:ascii="Abadi" w:hAnsi="Abadi" w:cs="ArialMT"/>
          <w:sz w:val="21"/>
          <w:szCs w:val="21"/>
        </w:rPr>
        <w:t xml:space="preserve"> </w:t>
      </w:r>
      <w:r w:rsidRPr="00ED26A2">
        <w:rPr>
          <w:rFonts w:ascii="Abadi" w:hAnsi="Abadi" w:cs="ArialMT"/>
          <w:sz w:val="21"/>
          <w:szCs w:val="21"/>
        </w:rPr>
        <w:t>las consecuencias que de ello pudiesen derivar en su persona, al ser</w:t>
      </w:r>
      <w:r>
        <w:rPr>
          <w:rFonts w:ascii="Abadi" w:hAnsi="Abadi" w:cs="ArialMT"/>
          <w:sz w:val="21"/>
          <w:szCs w:val="21"/>
        </w:rPr>
        <w:t xml:space="preserve"> </w:t>
      </w:r>
      <w:r w:rsidRPr="00ED26A2">
        <w:rPr>
          <w:rFonts w:ascii="Abadi" w:hAnsi="Abadi" w:cs="ArialMT"/>
          <w:sz w:val="21"/>
          <w:szCs w:val="21"/>
        </w:rPr>
        <w:t>considerado con determinada filiación política con la que no comparta</w:t>
      </w:r>
      <w:r>
        <w:rPr>
          <w:rFonts w:ascii="Abadi" w:hAnsi="Abadi" w:cs="ArialMT"/>
          <w:sz w:val="21"/>
          <w:szCs w:val="21"/>
        </w:rPr>
        <w:t xml:space="preserve"> </w:t>
      </w:r>
      <w:r w:rsidRPr="00ED26A2">
        <w:rPr>
          <w:rFonts w:ascii="Abadi" w:hAnsi="Abadi" w:cs="ArialMT"/>
          <w:sz w:val="21"/>
          <w:szCs w:val="21"/>
        </w:rPr>
        <w:t>principios, o bien, cuando sea mayor de edad, no sea de su agrado; sin</w:t>
      </w:r>
      <w:r>
        <w:rPr>
          <w:rFonts w:ascii="Abadi" w:hAnsi="Abadi" w:cs="ArialMT"/>
          <w:sz w:val="21"/>
          <w:szCs w:val="21"/>
        </w:rPr>
        <w:t xml:space="preserve"> </w:t>
      </w:r>
      <w:r w:rsidRPr="00ED26A2">
        <w:rPr>
          <w:rFonts w:ascii="Abadi" w:hAnsi="Abadi" w:cs="ArialMT"/>
          <w:sz w:val="21"/>
          <w:szCs w:val="21"/>
        </w:rPr>
        <w:t>embargo, dicha participación con su imagen, voz o datos que lo hacen</w:t>
      </w:r>
      <w:r>
        <w:rPr>
          <w:rFonts w:ascii="Abadi" w:hAnsi="Abadi" w:cs="ArialMT"/>
          <w:sz w:val="21"/>
          <w:szCs w:val="21"/>
        </w:rPr>
        <w:t xml:space="preserve"> </w:t>
      </w:r>
      <w:r w:rsidRPr="00ED26A2">
        <w:rPr>
          <w:rFonts w:ascii="Abadi" w:hAnsi="Abadi" w:cs="ArialMT"/>
          <w:sz w:val="21"/>
          <w:szCs w:val="21"/>
        </w:rPr>
        <w:t>identificable en actos de propaganda político electoral, bien de precampaña</w:t>
      </w:r>
      <w:r>
        <w:rPr>
          <w:rFonts w:ascii="Abadi" w:hAnsi="Abadi" w:cs="ArialMT"/>
          <w:sz w:val="21"/>
          <w:szCs w:val="21"/>
        </w:rPr>
        <w:t xml:space="preserve"> </w:t>
      </w:r>
      <w:r w:rsidRPr="00ED26A2">
        <w:rPr>
          <w:rFonts w:ascii="Abadi" w:hAnsi="Abadi" w:cs="ArialMT"/>
          <w:sz w:val="21"/>
          <w:szCs w:val="21"/>
        </w:rPr>
        <w:t>o de campaña electoral, pudiese estigmatizar al niño, niña o adolescente, lo</w:t>
      </w:r>
      <w:r>
        <w:rPr>
          <w:rFonts w:ascii="Abadi" w:hAnsi="Abadi" w:cs="ArialMT"/>
          <w:sz w:val="21"/>
          <w:szCs w:val="21"/>
        </w:rPr>
        <w:t xml:space="preserve"> </w:t>
      </w:r>
      <w:r w:rsidRPr="00ED26A2">
        <w:rPr>
          <w:rFonts w:ascii="Abadi" w:hAnsi="Abadi" w:cs="ArialMT"/>
          <w:sz w:val="21"/>
          <w:szCs w:val="21"/>
        </w:rPr>
        <w:t>que debe ser evitado estableciendo la prohibición legal.</w:t>
      </w:r>
    </w:p>
    <w:p w14:paraId="33DAE449" w14:textId="77777777" w:rsidR="00306DA7" w:rsidRDefault="00306DA7" w:rsidP="00306DA7">
      <w:pPr>
        <w:autoSpaceDE w:val="0"/>
        <w:autoSpaceDN w:val="0"/>
        <w:adjustRightInd w:val="0"/>
        <w:jc w:val="both"/>
        <w:rPr>
          <w:rFonts w:ascii="Abadi" w:hAnsi="Abadi" w:cs="ArialMT"/>
          <w:sz w:val="21"/>
          <w:szCs w:val="21"/>
        </w:rPr>
      </w:pPr>
    </w:p>
    <w:p w14:paraId="6F7489FA"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En este orden de ideas, en materia electoral, la Ley General de Instituciones</w:t>
      </w:r>
      <w:r>
        <w:rPr>
          <w:rFonts w:ascii="Abadi" w:hAnsi="Abadi" w:cs="ArialMT"/>
          <w:sz w:val="21"/>
          <w:szCs w:val="21"/>
        </w:rPr>
        <w:t xml:space="preserve"> </w:t>
      </w:r>
      <w:r w:rsidRPr="00ED26A2">
        <w:rPr>
          <w:rFonts w:ascii="Abadi" w:hAnsi="Abadi" w:cs="ArialMT"/>
          <w:sz w:val="21"/>
          <w:szCs w:val="21"/>
        </w:rPr>
        <w:t>y Procedimientos Electorales, en su artículo 242, numeral 1, señala que la</w:t>
      </w:r>
      <w:r>
        <w:rPr>
          <w:rFonts w:ascii="Abadi" w:hAnsi="Abadi" w:cs="ArialMT"/>
          <w:sz w:val="21"/>
          <w:szCs w:val="21"/>
        </w:rPr>
        <w:t xml:space="preserve"> </w:t>
      </w:r>
      <w:r w:rsidRPr="00ED26A2">
        <w:rPr>
          <w:rFonts w:ascii="Abadi" w:hAnsi="Abadi" w:cs="ArialMT"/>
          <w:sz w:val="21"/>
          <w:szCs w:val="21"/>
        </w:rPr>
        <w:t>campaña electoral es el conjunto de actividades llevadas a cabo por los</w:t>
      </w:r>
      <w:r>
        <w:rPr>
          <w:rFonts w:ascii="Abadi" w:hAnsi="Abadi" w:cs="ArialMT"/>
          <w:sz w:val="21"/>
          <w:szCs w:val="21"/>
        </w:rPr>
        <w:t xml:space="preserve"> </w:t>
      </w:r>
      <w:r w:rsidRPr="00ED26A2">
        <w:rPr>
          <w:rFonts w:ascii="Abadi" w:hAnsi="Abadi" w:cs="ArialMT"/>
          <w:sz w:val="21"/>
          <w:szCs w:val="21"/>
        </w:rPr>
        <w:t>partidos políticos nacionales, las coaliciones y los candidatos registrados para</w:t>
      </w:r>
      <w:r>
        <w:rPr>
          <w:rFonts w:ascii="Abadi" w:hAnsi="Abadi" w:cs="ArialMT"/>
          <w:sz w:val="21"/>
          <w:szCs w:val="21"/>
        </w:rPr>
        <w:t xml:space="preserve"> </w:t>
      </w:r>
      <w:r w:rsidRPr="00ED26A2">
        <w:rPr>
          <w:rFonts w:ascii="Abadi" w:hAnsi="Abadi" w:cs="ArialMT"/>
          <w:sz w:val="21"/>
          <w:szCs w:val="21"/>
        </w:rPr>
        <w:t>la obtención del voto; en tanto, el numeral 2, define los actos de campaña</w:t>
      </w:r>
      <w:r>
        <w:rPr>
          <w:rFonts w:ascii="Abadi" w:hAnsi="Abadi" w:cs="ArialMT"/>
          <w:sz w:val="21"/>
          <w:szCs w:val="21"/>
        </w:rPr>
        <w:t xml:space="preserve"> </w:t>
      </w:r>
      <w:r w:rsidRPr="00ED26A2">
        <w:rPr>
          <w:rFonts w:ascii="Abadi" w:hAnsi="Abadi" w:cs="ArialMT"/>
          <w:sz w:val="21"/>
          <w:szCs w:val="21"/>
        </w:rPr>
        <w:t>como las reuniones públicas, asambleas, marchas y en general aquéllos en</w:t>
      </w:r>
      <w:r>
        <w:rPr>
          <w:rFonts w:ascii="Abadi" w:hAnsi="Abadi" w:cs="ArialMT"/>
          <w:sz w:val="21"/>
          <w:szCs w:val="21"/>
        </w:rPr>
        <w:t xml:space="preserve"> </w:t>
      </w:r>
      <w:r w:rsidRPr="00ED26A2">
        <w:rPr>
          <w:rFonts w:ascii="Abadi" w:hAnsi="Abadi" w:cs="ArialMT"/>
          <w:sz w:val="21"/>
          <w:szCs w:val="21"/>
        </w:rPr>
        <w:t>que los candidatos o voceros de los partidos políticos se dirigen al electorado</w:t>
      </w:r>
      <w:r>
        <w:rPr>
          <w:rFonts w:ascii="Abadi" w:hAnsi="Abadi" w:cs="ArialMT"/>
          <w:sz w:val="21"/>
          <w:szCs w:val="21"/>
        </w:rPr>
        <w:t xml:space="preserve"> </w:t>
      </w:r>
      <w:r w:rsidRPr="00ED26A2">
        <w:rPr>
          <w:rFonts w:ascii="Abadi" w:hAnsi="Abadi" w:cs="ArialMT"/>
          <w:sz w:val="21"/>
          <w:szCs w:val="21"/>
        </w:rPr>
        <w:t>para promover sus candidaturas y; la propaganda electoral como el conjunto</w:t>
      </w:r>
      <w:r>
        <w:rPr>
          <w:rFonts w:ascii="Abadi" w:hAnsi="Abadi" w:cs="ArialMT"/>
          <w:sz w:val="21"/>
          <w:szCs w:val="21"/>
        </w:rPr>
        <w:t xml:space="preserve"> </w:t>
      </w:r>
      <w:r w:rsidRPr="00ED26A2">
        <w:rPr>
          <w:rFonts w:ascii="Abadi" w:hAnsi="Abadi" w:cs="ArialMT"/>
          <w:sz w:val="21"/>
          <w:szCs w:val="21"/>
        </w:rPr>
        <w:t>de escritos, publicaciones, imágenes, grabaciones, proyecciones y</w:t>
      </w:r>
      <w:r>
        <w:rPr>
          <w:rFonts w:ascii="Abadi" w:hAnsi="Abadi" w:cs="ArialMT"/>
          <w:sz w:val="21"/>
          <w:szCs w:val="21"/>
        </w:rPr>
        <w:t xml:space="preserve"> </w:t>
      </w:r>
      <w:r w:rsidRPr="00ED26A2">
        <w:rPr>
          <w:rFonts w:ascii="Abadi" w:hAnsi="Abadi" w:cs="ArialMT"/>
          <w:sz w:val="21"/>
          <w:szCs w:val="21"/>
        </w:rPr>
        <w:t>expresiones que durante la campaña electoral producen y difunden los</w:t>
      </w:r>
      <w:r>
        <w:rPr>
          <w:rFonts w:ascii="Abadi" w:hAnsi="Abadi" w:cs="ArialMT"/>
          <w:sz w:val="21"/>
          <w:szCs w:val="21"/>
        </w:rPr>
        <w:t xml:space="preserve"> </w:t>
      </w:r>
      <w:r w:rsidRPr="00ED26A2">
        <w:rPr>
          <w:rFonts w:ascii="Abadi" w:hAnsi="Abadi" w:cs="ArialMT"/>
          <w:sz w:val="21"/>
          <w:szCs w:val="21"/>
        </w:rPr>
        <w:t>partidos políticos, los candidatos registrados y sus simpatizantes, con el</w:t>
      </w:r>
      <w:r>
        <w:rPr>
          <w:rFonts w:ascii="Abadi" w:hAnsi="Abadi" w:cs="ArialMT"/>
          <w:sz w:val="21"/>
          <w:szCs w:val="21"/>
        </w:rPr>
        <w:t xml:space="preserve"> </w:t>
      </w:r>
      <w:r w:rsidRPr="00ED26A2">
        <w:rPr>
          <w:rFonts w:ascii="Abadi" w:hAnsi="Abadi" w:cs="ArialMT"/>
          <w:sz w:val="21"/>
          <w:szCs w:val="21"/>
        </w:rPr>
        <w:t>propósito de presentar ante la ciudadanía las candidaturas registradas.</w:t>
      </w:r>
    </w:p>
    <w:p w14:paraId="64DE2445" w14:textId="77777777" w:rsidR="00306DA7" w:rsidRDefault="00306DA7" w:rsidP="00306DA7">
      <w:pPr>
        <w:autoSpaceDE w:val="0"/>
        <w:autoSpaceDN w:val="0"/>
        <w:adjustRightInd w:val="0"/>
        <w:jc w:val="both"/>
        <w:rPr>
          <w:rFonts w:ascii="Abadi" w:hAnsi="Abadi" w:cs="ArialMT"/>
          <w:sz w:val="21"/>
          <w:szCs w:val="21"/>
        </w:rPr>
      </w:pPr>
    </w:p>
    <w:p w14:paraId="39224D00"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Por su parte, la Ley de Instituciones y Procedimientos Electorales para el</w:t>
      </w:r>
      <w:r>
        <w:rPr>
          <w:rFonts w:ascii="Abadi" w:hAnsi="Abadi" w:cs="ArialMT"/>
          <w:sz w:val="21"/>
          <w:szCs w:val="21"/>
        </w:rPr>
        <w:t xml:space="preserve"> </w:t>
      </w:r>
      <w:r w:rsidRPr="00ED26A2">
        <w:rPr>
          <w:rFonts w:ascii="Abadi" w:hAnsi="Abadi" w:cs="ArialMT"/>
          <w:sz w:val="21"/>
          <w:szCs w:val="21"/>
        </w:rPr>
        <w:t xml:space="preserve">Estado de Guanajuato, en su artículo 176, define a la </w:t>
      </w:r>
      <w:r w:rsidRPr="00ED26A2">
        <w:rPr>
          <w:rFonts w:ascii="Abadi" w:hAnsi="Abadi" w:cs="Arial-BoldMT"/>
          <w:b/>
          <w:bCs/>
          <w:sz w:val="21"/>
          <w:szCs w:val="21"/>
        </w:rPr>
        <w:t>precampaña electoral</w:t>
      </w:r>
      <w:r>
        <w:rPr>
          <w:rFonts w:ascii="Abadi" w:hAnsi="Abadi" w:cs="ArialMT"/>
          <w:sz w:val="21"/>
          <w:szCs w:val="21"/>
        </w:rPr>
        <w:t xml:space="preserve"> </w:t>
      </w:r>
      <w:r w:rsidRPr="00ED26A2">
        <w:rPr>
          <w:rFonts w:ascii="Abadi" w:hAnsi="Abadi" w:cs="ArialMT"/>
          <w:sz w:val="21"/>
          <w:szCs w:val="21"/>
        </w:rPr>
        <w:t>como las reuniones públicas, asambleas, marchas y en general aquéllos en</w:t>
      </w:r>
      <w:r>
        <w:rPr>
          <w:rFonts w:ascii="Abadi" w:hAnsi="Abadi" w:cs="ArialMT"/>
          <w:sz w:val="21"/>
          <w:szCs w:val="21"/>
        </w:rPr>
        <w:t xml:space="preserve"> </w:t>
      </w:r>
      <w:r w:rsidRPr="00ED26A2">
        <w:rPr>
          <w:rFonts w:ascii="Abadi" w:hAnsi="Abadi" w:cs="ArialMT"/>
          <w:sz w:val="21"/>
          <w:szCs w:val="21"/>
        </w:rPr>
        <w:t>que los precandidatos a una candidatura se dirigen a los afiliados,</w:t>
      </w:r>
      <w:r>
        <w:rPr>
          <w:rFonts w:ascii="Abadi" w:hAnsi="Abadi" w:cs="ArialMT"/>
          <w:sz w:val="21"/>
          <w:szCs w:val="21"/>
        </w:rPr>
        <w:t xml:space="preserve"> </w:t>
      </w:r>
      <w:r w:rsidRPr="00ED26A2">
        <w:rPr>
          <w:rFonts w:ascii="Abadi" w:hAnsi="Abadi" w:cs="ArialMT"/>
          <w:sz w:val="21"/>
          <w:szCs w:val="21"/>
        </w:rPr>
        <w:t>simpatizantes o al electorado en general, con el objetivo de obtener su</w:t>
      </w:r>
      <w:r>
        <w:rPr>
          <w:rFonts w:ascii="Abadi" w:hAnsi="Abadi" w:cs="ArialMT"/>
          <w:sz w:val="21"/>
          <w:szCs w:val="21"/>
        </w:rPr>
        <w:t xml:space="preserve"> </w:t>
      </w:r>
      <w:r w:rsidRPr="00ED26A2">
        <w:rPr>
          <w:rFonts w:ascii="Abadi" w:hAnsi="Abadi" w:cs="ArialMT"/>
          <w:sz w:val="21"/>
          <w:szCs w:val="21"/>
        </w:rPr>
        <w:t>respaldo para ser postulados como candidatos a un cargo de elección</w:t>
      </w:r>
      <w:r>
        <w:rPr>
          <w:rFonts w:ascii="Abadi" w:hAnsi="Abadi" w:cs="ArialMT"/>
          <w:sz w:val="21"/>
          <w:szCs w:val="21"/>
        </w:rPr>
        <w:t xml:space="preserve"> </w:t>
      </w:r>
      <w:r w:rsidRPr="00ED26A2">
        <w:rPr>
          <w:rFonts w:ascii="Abadi" w:hAnsi="Abadi" w:cs="ArialMT"/>
          <w:sz w:val="21"/>
          <w:szCs w:val="21"/>
        </w:rPr>
        <w:t xml:space="preserve">popular; en tanto el numeral 195, primer párrafo, define a </w:t>
      </w:r>
      <w:r w:rsidRPr="00ED26A2">
        <w:rPr>
          <w:rFonts w:ascii="Abadi" w:hAnsi="Abadi" w:cs="Arial-BoldMT"/>
          <w:b/>
          <w:bCs/>
          <w:sz w:val="21"/>
          <w:szCs w:val="21"/>
        </w:rPr>
        <w:t>la campaña</w:t>
      </w:r>
      <w:r>
        <w:rPr>
          <w:rFonts w:ascii="Abadi" w:hAnsi="Abadi" w:cs="ArialMT"/>
          <w:sz w:val="21"/>
          <w:szCs w:val="21"/>
        </w:rPr>
        <w:t xml:space="preserve"> </w:t>
      </w:r>
      <w:r w:rsidRPr="00ED26A2">
        <w:rPr>
          <w:rFonts w:ascii="Abadi" w:hAnsi="Abadi" w:cs="Arial-BoldMT"/>
          <w:b/>
          <w:bCs/>
          <w:sz w:val="21"/>
          <w:szCs w:val="21"/>
        </w:rPr>
        <w:t xml:space="preserve">electoral </w:t>
      </w:r>
      <w:r w:rsidRPr="00ED26A2">
        <w:rPr>
          <w:rFonts w:ascii="Abadi" w:hAnsi="Abadi" w:cs="ArialMT"/>
          <w:sz w:val="21"/>
          <w:szCs w:val="21"/>
        </w:rPr>
        <w:t>como: el conjunto de actividades llevadas a cabo por los partidos</w:t>
      </w:r>
      <w:r>
        <w:rPr>
          <w:rFonts w:ascii="Abadi" w:hAnsi="Abadi" w:cs="ArialMT"/>
          <w:sz w:val="21"/>
          <w:szCs w:val="21"/>
        </w:rPr>
        <w:t xml:space="preserve"> </w:t>
      </w:r>
      <w:r w:rsidRPr="00ED26A2">
        <w:rPr>
          <w:rFonts w:ascii="Abadi" w:hAnsi="Abadi" w:cs="ArialMT"/>
          <w:sz w:val="21"/>
          <w:szCs w:val="21"/>
        </w:rPr>
        <w:t>políticos, las coaliciones y los candidatos registrados para la obtención del</w:t>
      </w:r>
      <w:r>
        <w:rPr>
          <w:rFonts w:ascii="Abadi" w:hAnsi="Abadi" w:cs="ArialMT"/>
          <w:sz w:val="21"/>
          <w:szCs w:val="21"/>
        </w:rPr>
        <w:t xml:space="preserve"> </w:t>
      </w:r>
      <w:r w:rsidRPr="00ED26A2">
        <w:rPr>
          <w:rFonts w:ascii="Abadi" w:hAnsi="Abadi" w:cs="ArialMT"/>
          <w:sz w:val="21"/>
          <w:szCs w:val="21"/>
        </w:rPr>
        <w:t xml:space="preserve">voto. En el segundo párrafo define los </w:t>
      </w:r>
      <w:r w:rsidRPr="00ED26A2">
        <w:rPr>
          <w:rFonts w:ascii="Abadi" w:hAnsi="Abadi" w:cs="Arial-BoldMT"/>
          <w:b/>
          <w:bCs/>
          <w:sz w:val="21"/>
          <w:szCs w:val="21"/>
        </w:rPr>
        <w:t xml:space="preserve">actos de campaña </w:t>
      </w:r>
      <w:r w:rsidRPr="00ED26A2">
        <w:rPr>
          <w:rFonts w:ascii="Abadi" w:hAnsi="Abadi" w:cs="ArialMT"/>
          <w:sz w:val="21"/>
          <w:szCs w:val="21"/>
        </w:rPr>
        <w:t>como: las</w:t>
      </w:r>
      <w:r>
        <w:rPr>
          <w:rFonts w:ascii="Abadi" w:hAnsi="Abadi" w:cs="ArialMT"/>
          <w:sz w:val="21"/>
          <w:szCs w:val="21"/>
        </w:rPr>
        <w:t xml:space="preserve"> </w:t>
      </w:r>
      <w:r w:rsidRPr="00ED26A2">
        <w:rPr>
          <w:rFonts w:ascii="Abadi" w:hAnsi="Abadi" w:cs="ArialMT"/>
          <w:sz w:val="21"/>
          <w:szCs w:val="21"/>
        </w:rPr>
        <w:t>reuniones públicas, asambleas, marchas y en general aquéllos en</w:t>
      </w:r>
      <w:r>
        <w:rPr>
          <w:rFonts w:ascii="Abadi" w:hAnsi="Abadi" w:cs="ArialMT"/>
          <w:sz w:val="21"/>
          <w:szCs w:val="21"/>
        </w:rPr>
        <w:t xml:space="preserve"> </w:t>
      </w:r>
      <w:r w:rsidRPr="00ED26A2">
        <w:rPr>
          <w:rFonts w:ascii="Abadi" w:hAnsi="Abadi" w:cs="ArialMT"/>
          <w:sz w:val="21"/>
          <w:szCs w:val="21"/>
        </w:rPr>
        <w:t>que los candidatos o voceros de los partidos políticos se dirigen al electorado para</w:t>
      </w:r>
      <w:r>
        <w:rPr>
          <w:rFonts w:ascii="Abadi" w:hAnsi="Abadi" w:cs="ArialMT"/>
          <w:sz w:val="21"/>
          <w:szCs w:val="21"/>
        </w:rPr>
        <w:t xml:space="preserve"> </w:t>
      </w:r>
      <w:r w:rsidRPr="00ED26A2">
        <w:rPr>
          <w:rFonts w:ascii="Abadi" w:hAnsi="Abadi" w:cs="ArialMT"/>
          <w:sz w:val="21"/>
          <w:szCs w:val="21"/>
        </w:rPr>
        <w:t xml:space="preserve">promover sus candidaturas y la </w:t>
      </w:r>
      <w:r w:rsidRPr="00ED26A2">
        <w:rPr>
          <w:rFonts w:ascii="Abadi" w:hAnsi="Abadi" w:cs="Arial-BoldMT"/>
          <w:b/>
          <w:bCs/>
          <w:sz w:val="21"/>
          <w:szCs w:val="21"/>
        </w:rPr>
        <w:t xml:space="preserve">propaganda electoral </w:t>
      </w:r>
      <w:r w:rsidRPr="00ED26A2">
        <w:rPr>
          <w:rFonts w:ascii="Abadi" w:hAnsi="Abadi" w:cs="ArialMT"/>
          <w:sz w:val="21"/>
          <w:szCs w:val="21"/>
        </w:rPr>
        <w:t>como: el conjunto de</w:t>
      </w:r>
      <w:r>
        <w:rPr>
          <w:rFonts w:ascii="Abadi" w:hAnsi="Abadi" w:cs="ArialMT"/>
          <w:sz w:val="21"/>
          <w:szCs w:val="21"/>
        </w:rPr>
        <w:t xml:space="preserve"> </w:t>
      </w:r>
      <w:r w:rsidRPr="00ED26A2">
        <w:rPr>
          <w:rFonts w:ascii="Abadi" w:hAnsi="Abadi" w:cs="ArialMT"/>
          <w:sz w:val="21"/>
          <w:szCs w:val="21"/>
        </w:rPr>
        <w:t>escritos, publicaciones, imágenes, grabaciones, proyecciones y expresiones</w:t>
      </w:r>
      <w:r>
        <w:rPr>
          <w:rFonts w:ascii="Abadi" w:hAnsi="Abadi" w:cs="ArialMT"/>
          <w:sz w:val="21"/>
          <w:szCs w:val="21"/>
        </w:rPr>
        <w:t xml:space="preserve"> </w:t>
      </w:r>
      <w:r w:rsidRPr="00ED26A2">
        <w:rPr>
          <w:rFonts w:ascii="Abadi" w:hAnsi="Abadi" w:cs="ArialMT"/>
          <w:sz w:val="21"/>
          <w:szCs w:val="21"/>
        </w:rPr>
        <w:t>que durante la campaña electoral producen y difunden los partidos políticos,</w:t>
      </w:r>
      <w:r>
        <w:rPr>
          <w:rFonts w:ascii="Abadi" w:hAnsi="Abadi" w:cs="ArialMT"/>
          <w:sz w:val="21"/>
          <w:szCs w:val="21"/>
        </w:rPr>
        <w:t xml:space="preserve"> </w:t>
      </w:r>
      <w:r w:rsidRPr="00ED26A2">
        <w:rPr>
          <w:rFonts w:ascii="Abadi" w:hAnsi="Abadi" w:cs="ArialMT"/>
          <w:sz w:val="21"/>
          <w:szCs w:val="21"/>
        </w:rPr>
        <w:t>los candidatos registrados y sus simpatizantes, con el propósito de presentar</w:t>
      </w:r>
      <w:r>
        <w:rPr>
          <w:rFonts w:ascii="Abadi" w:hAnsi="Abadi" w:cs="ArialMT"/>
          <w:sz w:val="21"/>
          <w:szCs w:val="21"/>
        </w:rPr>
        <w:t xml:space="preserve"> </w:t>
      </w:r>
      <w:r w:rsidRPr="00ED26A2">
        <w:rPr>
          <w:rFonts w:ascii="Abadi" w:hAnsi="Abadi" w:cs="ArialMT"/>
          <w:sz w:val="21"/>
          <w:szCs w:val="21"/>
        </w:rPr>
        <w:t>ante la ciudadanía las candidaturas registradas.</w:t>
      </w:r>
    </w:p>
    <w:p w14:paraId="73F0BBFC" w14:textId="77777777" w:rsidR="00306DA7" w:rsidRDefault="00306DA7" w:rsidP="00306DA7">
      <w:pPr>
        <w:autoSpaceDE w:val="0"/>
        <w:autoSpaceDN w:val="0"/>
        <w:adjustRightInd w:val="0"/>
        <w:jc w:val="both"/>
        <w:rPr>
          <w:rFonts w:ascii="Abadi" w:hAnsi="Abadi" w:cs="ArialMT"/>
          <w:sz w:val="21"/>
          <w:szCs w:val="21"/>
        </w:rPr>
      </w:pPr>
    </w:p>
    <w:p w14:paraId="75689B38"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Como puede observarse la legislación local en materia electoral, replica las</w:t>
      </w:r>
      <w:r>
        <w:rPr>
          <w:rFonts w:ascii="Abadi" w:hAnsi="Abadi" w:cs="ArialMT"/>
          <w:sz w:val="21"/>
          <w:szCs w:val="21"/>
        </w:rPr>
        <w:t xml:space="preserve"> </w:t>
      </w:r>
      <w:r w:rsidRPr="00ED26A2">
        <w:rPr>
          <w:rFonts w:ascii="Abadi" w:hAnsi="Abadi" w:cs="ArialMT"/>
          <w:sz w:val="21"/>
          <w:szCs w:val="21"/>
        </w:rPr>
        <w:t xml:space="preserve">definiciones establecidas por la ley general de la materia; </w:t>
      </w:r>
      <w:r w:rsidRPr="00ED26A2">
        <w:rPr>
          <w:rFonts w:ascii="Abadi" w:hAnsi="Abadi" w:cs="ArialMT"/>
          <w:sz w:val="21"/>
          <w:szCs w:val="21"/>
        </w:rPr>
        <w:lastRenderedPageBreak/>
        <w:t>sin embargo, amplia</w:t>
      </w:r>
      <w:r>
        <w:rPr>
          <w:rFonts w:ascii="Abadi" w:hAnsi="Abadi" w:cs="ArialMT"/>
          <w:sz w:val="21"/>
          <w:szCs w:val="21"/>
        </w:rPr>
        <w:t xml:space="preserve"> </w:t>
      </w:r>
      <w:r w:rsidRPr="00ED26A2">
        <w:rPr>
          <w:rFonts w:ascii="Abadi" w:hAnsi="Abadi" w:cs="ArialMT"/>
          <w:sz w:val="21"/>
          <w:szCs w:val="21"/>
        </w:rPr>
        <w:t>la regulación electoral a las precampañas político electorales y aborda las</w:t>
      </w:r>
      <w:r>
        <w:rPr>
          <w:rFonts w:ascii="Abadi" w:hAnsi="Abadi" w:cs="ArialMT"/>
          <w:sz w:val="21"/>
          <w:szCs w:val="21"/>
        </w:rPr>
        <w:t xml:space="preserve"> </w:t>
      </w:r>
      <w:r w:rsidRPr="00ED26A2">
        <w:rPr>
          <w:rFonts w:ascii="Abadi" w:hAnsi="Abadi" w:cs="ArialMT"/>
          <w:sz w:val="21"/>
          <w:szCs w:val="21"/>
        </w:rPr>
        <w:t>campañas, pero en ambas no existe ninguna prohibición legal sobre la</w:t>
      </w:r>
      <w:r>
        <w:rPr>
          <w:rFonts w:ascii="Abadi" w:hAnsi="Abadi" w:cs="ArialMT"/>
          <w:sz w:val="21"/>
          <w:szCs w:val="21"/>
        </w:rPr>
        <w:t xml:space="preserve"> </w:t>
      </w:r>
      <w:r w:rsidRPr="00ED26A2">
        <w:rPr>
          <w:rFonts w:ascii="Abadi" w:hAnsi="Abadi" w:cs="ArialMT"/>
          <w:sz w:val="21"/>
          <w:szCs w:val="21"/>
        </w:rPr>
        <w:t>utilización de niñas niños y adolescentes, que en forma común y constante</w:t>
      </w:r>
      <w:r>
        <w:rPr>
          <w:rFonts w:ascii="Abadi" w:hAnsi="Abadi" w:cs="ArialMT"/>
          <w:sz w:val="21"/>
          <w:szCs w:val="21"/>
        </w:rPr>
        <w:t xml:space="preserve"> </w:t>
      </w:r>
      <w:r w:rsidRPr="00ED26A2">
        <w:rPr>
          <w:rFonts w:ascii="Abadi" w:hAnsi="Abadi" w:cs="ArialMT"/>
          <w:sz w:val="21"/>
          <w:szCs w:val="21"/>
        </w:rPr>
        <w:t>hacen los partidos políticos, precandidatos, candidatos para promover su</w:t>
      </w:r>
      <w:r>
        <w:rPr>
          <w:rFonts w:ascii="Abadi" w:hAnsi="Abadi" w:cs="ArialMT"/>
          <w:sz w:val="21"/>
          <w:szCs w:val="21"/>
        </w:rPr>
        <w:t xml:space="preserve"> </w:t>
      </w:r>
      <w:r w:rsidRPr="00ED26A2">
        <w:rPr>
          <w:rFonts w:ascii="Abadi" w:hAnsi="Abadi" w:cs="ArialMT"/>
          <w:sz w:val="21"/>
          <w:szCs w:val="21"/>
        </w:rPr>
        <w:t>ideología partidista y obtener una candidatura o un cargo de elección popular;</w:t>
      </w:r>
      <w:r>
        <w:rPr>
          <w:rFonts w:ascii="Abadi" w:hAnsi="Abadi" w:cs="ArialMT"/>
          <w:sz w:val="21"/>
          <w:szCs w:val="21"/>
        </w:rPr>
        <w:t xml:space="preserve"> </w:t>
      </w:r>
      <w:r w:rsidRPr="00ED26A2">
        <w:rPr>
          <w:rFonts w:ascii="Abadi" w:hAnsi="Abadi" w:cs="ArialMT"/>
          <w:sz w:val="21"/>
          <w:szCs w:val="21"/>
        </w:rPr>
        <w:t>menores de edad que son utilizados para influir en el voto en los</w:t>
      </w:r>
      <w:r>
        <w:rPr>
          <w:rFonts w:ascii="Abadi" w:hAnsi="Abadi" w:cs="ArialMT"/>
          <w:sz w:val="21"/>
          <w:szCs w:val="21"/>
        </w:rPr>
        <w:t xml:space="preserve"> </w:t>
      </w:r>
      <w:r w:rsidRPr="00ED26A2">
        <w:rPr>
          <w:rFonts w:ascii="Abadi" w:hAnsi="Abadi" w:cs="ArialMT"/>
          <w:sz w:val="21"/>
          <w:szCs w:val="21"/>
        </w:rPr>
        <w:t>simpatizantes y en el electorado en general mediante los actos de</w:t>
      </w:r>
      <w:r>
        <w:rPr>
          <w:rFonts w:ascii="Abadi" w:hAnsi="Abadi" w:cs="ArialMT"/>
          <w:sz w:val="21"/>
          <w:szCs w:val="21"/>
        </w:rPr>
        <w:t xml:space="preserve"> </w:t>
      </w:r>
      <w:r w:rsidRPr="00ED26A2">
        <w:rPr>
          <w:rFonts w:ascii="Abadi" w:hAnsi="Abadi" w:cs="ArialMT"/>
          <w:sz w:val="21"/>
          <w:szCs w:val="21"/>
        </w:rPr>
        <w:t>precampaña, campaña y de propaganda político electoral, sin que importe, si</w:t>
      </w:r>
      <w:r>
        <w:rPr>
          <w:rFonts w:ascii="Abadi" w:hAnsi="Abadi" w:cs="ArialMT"/>
          <w:sz w:val="21"/>
          <w:szCs w:val="21"/>
        </w:rPr>
        <w:t xml:space="preserve"> </w:t>
      </w:r>
      <w:r w:rsidRPr="00ED26A2">
        <w:rPr>
          <w:rFonts w:ascii="Abadi" w:hAnsi="Abadi" w:cs="ArialMT"/>
          <w:sz w:val="21"/>
          <w:szCs w:val="21"/>
        </w:rPr>
        <w:t>la utilización de la persona menor de 18 años en un evento de esta naturaleza</w:t>
      </w:r>
      <w:r>
        <w:rPr>
          <w:rFonts w:ascii="Abadi" w:hAnsi="Abadi" w:cs="ArialMT"/>
          <w:sz w:val="21"/>
          <w:szCs w:val="21"/>
        </w:rPr>
        <w:t xml:space="preserve"> </w:t>
      </w:r>
      <w:r w:rsidRPr="00ED26A2">
        <w:rPr>
          <w:rFonts w:ascii="Abadi" w:hAnsi="Abadi" w:cs="ArialMT"/>
          <w:sz w:val="21"/>
          <w:szCs w:val="21"/>
        </w:rPr>
        <w:t>es afectada en su imagen y si se utiliza o no violencia física, simbólica,</w:t>
      </w:r>
      <w:r>
        <w:rPr>
          <w:rFonts w:ascii="Abadi" w:hAnsi="Abadi" w:cs="ArialMT"/>
          <w:sz w:val="21"/>
          <w:szCs w:val="21"/>
        </w:rPr>
        <w:t xml:space="preserve"> </w:t>
      </w:r>
      <w:r w:rsidRPr="00ED26A2">
        <w:rPr>
          <w:rFonts w:ascii="Abadi" w:hAnsi="Abadi" w:cs="ArialMT"/>
          <w:sz w:val="21"/>
          <w:szCs w:val="21"/>
        </w:rPr>
        <w:t>emocional o psicológica que genera la denigración de la persona.</w:t>
      </w:r>
    </w:p>
    <w:p w14:paraId="4917AA1B" w14:textId="77777777" w:rsidR="00306DA7" w:rsidRDefault="00306DA7" w:rsidP="00306DA7">
      <w:pPr>
        <w:autoSpaceDE w:val="0"/>
        <w:autoSpaceDN w:val="0"/>
        <w:adjustRightInd w:val="0"/>
        <w:jc w:val="both"/>
        <w:rPr>
          <w:rFonts w:ascii="Abadi" w:hAnsi="Abadi" w:cs="ArialMT"/>
          <w:sz w:val="21"/>
          <w:szCs w:val="21"/>
        </w:rPr>
      </w:pPr>
    </w:p>
    <w:p w14:paraId="2BE5A3E7"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Ante tal problemática se propone regular en la ley electoral local y en la Ley</w:t>
      </w:r>
      <w:r>
        <w:rPr>
          <w:rFonts w:ascii="Abadi" w:hAnsi="Abadi" w:cs="ArialMT"/>
          <w:sz w:val="21"/>
          <w:szCs w:val="21"/>
        </w:rPr>
        <w:t xml:space="preserve"> </w:t>
      </w:r>
      <w:r w:rsidRPr="00ED26A2">
        <w:rPr>
          <w:rFonts w:ascii="Abadi" w:hAnsi="Abadi" w:cs="ArialMT"/>
          <w:sz w:val="21"/>
          <w:szCs w:val="21"/>
        </w:rPr>
        <w:t>de los Derechos de Niñas, Niños y Adolescentes del Estado de Guanajuato,</w:t>
      </w:r>
      <w:r>
        <w:rPr>
          <w:rFonts w:ascii="Abadi" w:hAnsi="Abadi" w:cs="ArialMT"/>
          <w:sz w:val="21"/>
          <w:szCs w:val="21"/>
        </w:rPr>
        <w:t xml:space="preserve"> </w:t>
      </w:r>
      <w:r w:rsidRPr="00ED26A2">
        <w:rPr>
          <w:rFonts w:ascii="Abadi" w:hAnsi="Abadi" w:cs="ArialMT"/>
          <w:sz w:val="21"/>
          <w:szCs w:val="21"/>
        </w:rPr>
        <w:t>este tema a efecto de que se consideren los principios de interés superior de</w:t>
      </w:r>
      <w:r>
        <w:rPr>
          <w:rFonts w:ascii="Abadi" w:hAnsi="Abadi" w:cs="ArialMT"/>
          <w:sz w:val="21"/>
          <w:szCs w:val="21"/>
        </w:rPr>
        <w:t xml:space="preserve"> </w:t>
      </w:r>
      <w:r w:rsidRPr="00ED26A2">
        <w:rPr>
          <w:rFonts w:ascii="Abadi" w:hAnsi="Abadi" w:cs="ArialMT"/>
          <w:sz w:val="21"/>
          <w:szCs w:val="21"/>
        </w:rPr>
        <w:t>la niñez y del respeto a su vida privada e intimidad en los procesos electorales</w:t>
      </w:r>
      <w:r>
        <w:rPr>
          <w:rFonts w:ascii="Abadi" w:hAnsi="Abadi" w:cs="ArialMT"/>
          <w:sz w:val="21"/>
          <w:szCs w:val="21"/>
        </w:rPr>
        <w:t xml:space="preserve"> </w:t>
      </w:r>
      <w:r w:rsidRPr="00ED26A2">
        <w:rPr>
          <w:rFonts w:ascii="Abadi" w:hAnsi="Abadi" w:cs="ArialMT"/>
          <w:sz w:val="21"/>
          <w:szCs w:val="21"/>
        </w:rPr>
        <w:t>locales y quede regulada su utilización en los actos de propaganda político</w:t>
      </w:r>
      <w:r>
        <w:rPr>
          <w:rFonts w:ascii="Abadi" w:hAnsi="Abadi" w:cs="ArialMT"/>
          <w:sz w:val="21"/>
          <w:szCs w:val="21"/>
        </w:rPr>
        <w:t xml:space="preserve"> </w:t>
      </w:r>
      <w:r w:rsidRPr="00ED26A2">
        <w:rPr>
          <w:rFonts w:ascii="Abadi" w:hAnsi="Abadi" w:cs="ArialMT"/>
          <w:sz w:val="21"/>
          <w:szCs w:val="21"/>
        </w:rPr>
        <w:t>electoral y en las precampañas y campañas locales a los cargos de elección</w:t>
      </w:r>
      <w:r>
        <w:rPr>
          <w:rFonts w:ascii="Abadi" w:hAnsi="Abadi" w:cs="ArialMT"/>
          <w:sz w:val="21"/>
          <w:szCs w:val="21"/>
        </w:rPr>
        <w:t xml:space="preserve"> </w:t>
      </w:r>
      <w:r w:rsidRPr="00ED26A2">
        <w:rPr>
          <w:rFonts w:ascii="Abadi" w:hAnsi="Abadi" w:cs="ArialMT"/>
          <w:sz w:val="21"/>
          <w:szCs w:val="21"/>
        </w:rPr>
        <w:t>popular, reiterándose, con la salvedad de las que se refieran a radio y</w:t>
      </w:r>
      <w:r>
        <w:rPr>
          <w:rFonts w:ascii="Abadi" w:hAnsi="Abadi" w:cs="ArialMT"/>
          <w:sz w:val="21"/>
          <w:szCs w:val="21"/>
        </w:rPr>
        <w:t xml:space="preserve"> </w:t>
      </w:r>
      <w:r w:rsidRPr="00ED26A2">
        <w:rPr>
          <w:rFonts w:ascii="Abadi" w:hAnsi="Abadi" w:cs="ArialMT"/>
          <w:sz w:val="21"/>
          <w:szCs w:val="21"/>
        </w:rPr>
        <w:t>televisión reguladas en el ámbito federal, dado que se estima que esta</w:t>
      </w:r>
      <w:r>
        <w:rPr>
          <w:rFonts w:ascii="Abadi" w:hAnsi="Abadi" w:cs="ArialMT"/>
          <w:sz w:val="21"/>
          <w:szCs w:val="21"/>
        </w:rPr>
        <w:t xml:space="preserve"> </w:t>
      </w:r>
      <w:r w:rsidRPr="00ED26A2">
        <w:rPr>
          <w:rFonts w:ascii="Abadi" w:hAnsi="Abadi" w:cs="ArialMT"/>
          <w:sz w:val="21"/>
          <w:szCs w:val="21"/>
        </w:rPr>
        <w:t>cuestión más allá de estar regulada en Lineamientos, consideramos que debe</w:t>
      </w:r>
      <w:r>
        <w:rPr>
          <w:rFonts w:ascii="Abadi" w:hAnsi="Abadi" w:cs="ArialMT"/>
          <w:sz w:val="21"/>
          <w:szCs w:val="21"/>
        </w:rPr>
        <w:t xml:space="preserve"> </w:t>
      </w:r>
      <w:r w:rsidRPr="00ED26A2">
        <w:rPr>
          <w:rFonts w:ascii="Abadi" w:hAnsi="Abadi" w:cs="ArialMT"/>
          <w:sz w:val="21"/>
          <w:szCs w:val="21"/>
        </w:rPr>
        <w:t>ser reguladas en las leyes de la materia en dicho ámbito de competencia.</w:t>
      </w:r>
    </w:p>
    <w:p w14:paraId="23CDA372" w14:textId="77777777" w:rsidR="00306DA7" w:rsidRDefault="00306DA7" w:rsidP="00306DA7">
      <w:pPr>
        <w:autoSpaceDE w:val="0"/>
        <w:autoSpaceDN w:val="0"/>
        <w:adjustRightInd w:val="0"/>
        <w:jc w:val="both"/>
        <w:rPr>
          <w:rFonts w:ascii="Abadi" w:hAnsi="Abadi" w:cs="ArialMT"/>
          <w:sz w:val="21"/>
          <w:szCs w:val="21"/>
        </w:rPr>
      </w:pPr>
    </w:p>
    <w:p w14:paraId="23040DAE"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En tal orden de ideas, en primer término, se propone la adición de los párrafos</w:t>
      </w:r>
      <w:r>
        <w:rPr>
          <w:rFonts w:ascii="Abadi" w:hAnsi="Abadi" w:cs="ArialMT"/>
          <w:sz w:val="21"/>
          <w:szCs w:val="21"/>
        </w:rPr>
        <w:t xml:space="preserve"> </w:t>
      </w:r>
      <w:r w:rsidRPr="00ED26A2">
        <w:rPr>
          <w:rFonts w:ascii="Abadi" w:hAnsi="Abadi" w:cs="ArialMT"/>
          <w:sz w:val="21"/>
          <w:szCs w:val="21"/>
        </w:rPr>
        <w:t>séptimo y octavo al artículo 176, en el Título Cuarto, Capítulo II, Sección</w:t>
      </w:r>
      <w:r>
        <w:rPr>
          <w:rFonts w:ascii="Abadi" w:hAnsi="Abadi" w:cs="ArialMT"/>
          <w:sz w:val="21"/>
          <w:szCs w:val="21"/>
        </w:rPr>
        <w:t xml:space="preserve"> </w:t>
      </w:r>
      <w:r w:rsidRPr="00ED26A2">
        <w:rPr>
          <w:rFonts w:ascii="Abadi" w:hAnsi="Abadi" w:cs="ArialMT"/>
          <w:sz w:val="21"/>
          <w:szCs w:val="21"/>
        </w:rPr>
        <w:t>primera de la Ley de Instituciones y Procedimientos Electorales para el</w:t>
      </w:r>
      <w:r>
        <w:rPr>
          <w:rFonts w:ascii="Abadi" w:hAnsi="Abadi" w:cs="ArialMT"/>
          <w:sz w:val="21"/>
          <w:szCs w:val="21"/>
        </w:rPr>
        <w:t xml:space="preserve"> </w:t>
      </w:r>
      <w:r w:rsidRPr="00ED26A2">
        <w:rPr>
          <w:rFonts w:ascii="Abadi" w:hAnsi="Abadi" w:cs="ArialMT"/>
          <w:sz w:val="21"/>
          <w:szCs w:val="21"/>
        </w:rPr>
        <w:t>Estado de Guanajuato, para quedar como sigue:</w:t>
      </w:r>
    </w:p>
    <w:p w14:paraId="6D8D87B4" w14:textId="77777777" w:rsidR="00306DA7" w:rsidRDefault="00306DA7" w:rsidP="00306DA7">
      <w:pPr>
        <w:autoSpaceDE w:val="0"/>
        <w:autoSpaceDN w:val="0"/>
        <w:adjustRightInd w:val="0"/>
        <w:jc w:val="both"/>
        <w:rPr>
          <w:rFonts w:ascii="Abadi" w:hAnsi="Abadi" w:cs="Arial-BoldMT"/>
          <w:b/>
          <w:bCs/>
          <w:sz w:val="21"/>
          <w:szCs w:val="21"/>
        </w:rPr>
      </w:pPr>
    </w:p>
    <w:p w14:paraId="699BE6C5" w14:textId="77777777" w:rsidR="00306DA7" w:rsidRPr="00ED26A2" w:rsidRDefault="00306DA7" w:rsidP="00306DA7">
      <w:pPr>
        <w:autoSpaceDE w:val="0"/>
        <w:autoSpaceDN w:val="0"/>
        <w:adjustRightInd w:val="0"/>
        <w:jc w:val="both"/>
        <w:rPr>
          <w:rFonts w:ascii="Abadi" w:hAnsi="Abadi" w:cs="Arial-ItalicMT"/>
          <w:i/>
          <w:iCs/>
          <w:sz w:val="21"/>
          <w:szCs w:val="21"/>
        </w:rPr>
      </w:pPr>
      <w:r w:rsidRPr="00ED26A2">
        <w:rPr>
          <w:rFonts w:ascii="Abadi" w:hAnsi="Abadi" w:cs="Arial-BoldMT"/>
          <w:b/>
          <w:bCs/>
          <w:sz w:val="21"/>
          <w:szCs w:val="21"/>
        </w:rPr>
        <w:t>“</w:t>
      </w:r>
      <w:r w:rsidRPr="00ED26A2">
        <w:rPr>
          <w:rFonts w:ascii="Abadi" w:hAnsi="Abadi" w:cs="Arial-BoldItalicMT"/>
          <w:b/>
          <w:bCs/>
          <w:i/>
          <w:iCs/>
          <w:sz w:val="21"/>
          <w:szCs w:val="21"/>
        </w:rPr>
        <w:t xml:space="preserve">Artículo 176. </w:t>
      </w:r>
      <w:r w:rsidRPr="00ED26A2">
        <w:rPr>
          <w:rFonts w:ascii="Abadi" w:hAnsi="Abadi" w:cs="Arial-ItalicMT"/>
          <w:i/>
          <w:iCs/>
          <w:sz w:val="21"/>
          <w:szCs w:val="21"/>
        </w:rPr>
        <w:t>Se entiende por precampaña electoral…</w:t>
      </w:r>
    </w:p>
    <w:p w14:paraId="1CF10071" w14:textId="77777777" w:rsidR="00306DA7" w:rsidRPr="00ED26A2" w:rsidRDefault="00306DA7" w:rsidP="00306DA7">
      <w:pPr>
        <w:autoSpaceDE w:val="0"/>
        <w:autoSpaceDN w:val="0"/>
        <w:adjustRightInd w:val="0"/>
        <w:jc w:val="both"/>
        <w:rPr>
          <w:rFonts w:ascii="Abadi" w:hAnsi="Abadi" w:cs="Arial-ItalicMT"/>
          <w:i/>
          <w:iCs/>
          <w:sz w:val="21"/>
          <w:szCs w:val="21"/>
        </w:rPr>
      </w:pPr>
      <w:r w:rsidRPr="00ED26A2">
        <w:rPr>
          <w:rFonts w:ascii="Abadi" w:hAnsi="Abadi" w:cs="Arial-ItalicMT"/>
          <w:i/>
          <w:iCs/>
          <w:sz w:val="21"/>
          <w:szCs w:val="21"/>
        </w:rPr>
        <w:t>Se entiende…</w:t>
      </w:r>
    </w:p>
    <w:p w14:paraId="64AA9F9A" w14:textId="77777777" w:rsidR="00306DA7" w:rsidRDefault="00306DA7" w:rsidP="00306DA7">
      <w:pPr>
        <w:autoSpaceDE w:val="0"/>
        <w:autoSpaceDN w:val="0"/>
        <w:adjustRightInd w:val="0"/>
        <w:jc w:val="both"/>
        <w:rPr>
          <w:rFonts w:ascii="Abadi" w:hAnsi="Abadi" w:cs="Arial-ItalicMT"/>
          <w:i/>
          <w:iCs/>
          <w:sz w:val="21"/>
          <w:szCs w:val="21"/>
        </w:rPr>
      </w:pPr>
      <w:r w:rsidRPr="00ED26A2">
        <w:rPr>
          <w:rFonts w:ascii="Abadi" w:hAnsi="Abadi" w:cs="Arial-ItalicMT"/>
          <w:i/>
          <w:iCs/>
          <w:sz w:val="21"/>
          <w:szCs w:val="21"/>
        </w:rPr>
        <w:t>Se entiende…</w:t>
      </w:r>
    </w:p>
    <w:p w14:paraId="00B9CBC3" w14:textId="77777777" w:rsidR="00306DA7" w:rsidRDefault="00306DA7" w:rsidP="00306DA7">
      <w:pPr>
        <w:autoSpaceDE w:val="0"/>
        <w:autoSpaceDN w:val="0"/>
        <w:adjustRightInd w:val="0"/>
        <w:jc w:val="both"/>
        <w:rPr>
          <w:rFonts w:ascii="Abadi" w:hAnsi="Abadi" w:cs="Arial-ItalicMT"/>
          <w:i/>
          <w:iCs/>
          <w:sz w:val="21"/>
          <w:szCs w:val="21"/>
        </w:rPr>
      </w:pPr>
      <w:r w:rsidRPr="00ED26A2">
        <w:rPr>
          <w:rFonts w:ascii="Abadi" w:hAnsi="Abadi" w:cs="Arial-ItalicMT"/>
          <w:i/>
          <w:iCs/>
          <w:sz w:val="21"/>
          <w:szCs w:val="21"/>
        </w:rPr>
        <w:t>Precandidato…</w:t>
      </w:r>
    </w:p>
    <w:p w14:paraId="72CAB222" w14:textId="77777777" w:rsidR="00306DA7" w:rsidRDefault="00306DA7" w:rsidP="00306DA7">
      <w:pPr>
        <w:autoSpaceDE w:val="0"/>
        <w:autoSpaceDN w:val="0"/>
        <w:adjustRightInd w:val="0"/>
        <w:jc w:val="both"/>
        <w:rPr>
          <w:rFonts w:ascii="Abadi" w:hAnsi="Abadi" w:cs="Arial-ItalicMT"/>
          <w:i/>
          <w:iCs/>
          <w:sz w:val="21"/>
          <w:szCs w:val="21"/>
        </w:rPr>
      </w:pPr>
      <w:r w:rsidRPr="00ED26A2">
        <w:rPr>
          <w:rFonts w:ascii="Abadi" w:hAnsi="Abadi" w:cs="Arial-ItalicMT"/>
          <w:i/>
          <w:iCs/>
          <w:sz w:val="21"/>
          <w:szCs w:val="21"/>
        </w:rPr>
        <w:t>Ningún ciudadano…</w:t>
      </w:r>
    </w:p>
    <w:p w14:paraId="6520A854" w14:textId="77777777" w:rsidR="00306DA7" w:rsidRPr="00ED26A2" w:rsidRDefault="00306DA7" w:rsidP="00306DA7">
      <w:pPr>
        <w:jc w:val="both"/>
        <w:rPr>
          <w:rFonts w:ascii="Abadi" w:hAnsi="Abadi" w:cs="Arial-ItalicMT"/>
          <w:i/>
          <w:iCs/>
          <w:sz w:val="21"/>
          <w:szCs w:val="21"/>
        </w:rPr>
      </w:pPr>
      <w:r w:rsidRPr="00ED26A2">
        <w:rPr>
          <w:rFonts w:ascii="Abadi" w:hAnsi="Abadi" w:cs="Arial-ItalicMT"/>
          <w:i/>
          <w:iCs/>
          <w:sz w:val="21"/>
          <w:szCs w:val="21"/>
        </w:rPr>
        <w:t>Durante…</w:t>
      </w:r>
    </w:p>
    <w:p w14:paraId="362DBCDB" w14:textId="77777777" w:rsidR="00307C18" w:rsidRDefault="00307C18" w:rsidP="00306DA7">
      <w:pPr>
        <w:autoSpaceDE w:val="0"/>
        <w:autoSpaceDN w:val="0"/>
        <w:adjustRightInd w:val="0"/>
        <w:jc w:val="both"/>
        <w:rPr>
          <w:rFonts w:ascii="Abadi" w:hAnsi="Abadi" w:cs="Arial-BoldItalicMT"/>
          <w:b/>
          <w:bCs/>
          <w:i/>
          <w:iCs/>
          <w:sz w:val="21"/>
          <w:szCs w:val="21"/>
        </w:rPr>
      </w:pPr>
    </w:p>
    <w:p w14:paraId="30E68C23" w14:textId="07006BA1" w:rsidR="00306DA7" w:rsidRDefault="00306DA7" w:rsidP="00306DA7">
      <w:pPr>
        <w:autoSpaceDE w:val="0"/>
        <w:autoSpaceDN w:val="0"/>
        <w:adjustRightInd w:val="0"/>
        <w:jc w:val="both"/>
        <w:rPr>
          <w:rFonts w:ascii="Abadi" w:hAnsi="Abadi" w:cs="Arial-BoldItalicMT"/>
          <w:b/>
          <w:bCs/>
          <w:i/>
          <w:iCs/>
          <w:sz w:val="21"/>
          <w:szCs w:val="21"/>
        </w:rPr>
      </w:pPr>
      <w:r w:rsidRPr="00ED26A2">
        <w:rPr>
          <w:rFonts w:ascii="Abadi" w:hAnsi="Abadi" w:cs="Arial-BoldItalicMT"/>
          <w:b/>
          <w:bCs/>
          <w:i/>
          <w:iCs/>
          <w:sz w:val="21"/>
          <w:szCs w:val="21"/>
        </w:rPr>
        <w:t>En los actos de precampaña, de propaganda y en promocionales</w:t>
      </w:r>
      <w:r>
        <w:rPr>
          <w:rFonts w:ascii="Abadi" w:hAnsi="Abadi" w:cs="Arial-BoldItalicMT"/>
          <w:b/>
          <w:bCs/>
          <w:i/>
          <w:iCs/>
          <w:sz w:val="21"/>
          <w:szCs w:val="21"/>
        </w:rPr>
        <w:t xml:space="preserve"> </w:t>
      </w:r>
      <w:r w:rsidRPr="00ED26A2">
        <w:rPr>
          <w:rFonts w:ascii="Abadi" w:hAnsi="Abadi" w:cs="Arial-BoldItalicMT"/>
          <w:b/>
          <w:bCs/>
          <w:i/>
          <w:iCs/>
          <w:sz w:val="21"/>
          <w:szCs w:val="21"/>
        </w:rPr>
        <w:t xml:space="preserve">utilitarios a que se refiere este artículo, no se podrá utilizar la persona </w:t>
      </w:r>
      <w:r>
        <w:rPr>
          <w:rFonts w:ascii="Abadi" w:hAnsi="Abadi" w:cs="Arial-BoldItalicMT"/>
          <w:b/>
          <w:bCs/>
          <w:i/>
          <w:iCs/>
          <w:sz w:val="21"/>
          <w:szCs w:val="21"/>
        </w:rPr>
        <w:t xml:space="preserve">o </w:t>
      </w:r>
      <w:r w:rsidRPr="00ED26A2">
        <w:rPr>
          <w:rFonts w:ascii="Abadi" w:hAnsi="Abadi" w:cs="Arial-BoldItalicMT"/>
          <w:b/>
          <w:bCs/>
          <w:i/>
          <w:iCs/>
          <w:sz w:val="21"/>
          <w:szCs w:val="21"/>
        </w:rPr>
        <w:t>captación de imágenes de niñas, niños o adolescentes a efecto de</w:t>
      </w:r>
      <w:r>
        <w:rPr>
          <w:rFonts w:ascii="Abadi" w:hAnsi="Abadi" w:cs="Arial-BoldItalicMT"/>
          <w:b/>
          <w:bCs/>
          <w:i/>
          <w:iCs/>
          <w:sz w:val="21"/>
          <w:szCs w:val="21"/>
        </w:rPr>
        <w:t xml:space="preserve"> </w:t>
      </w:r>
      <w:r w:rsidRPr="00ED26A2">
        <w:rPr>
          <w:rFonts w:ascii="Abadi" w:hAnsi="Abadi" w:cs="Arial-BoldItalicMT"/>
          <w:b/>
          <w:bCs/>
          <w:i/>
          <w:iCs/>
          <w:sz w:val="21"/>
          <w:szCs w:val="21"/>
        </w:rPr>
        <w:t>utilizarlas o difundirlas en los actos de campaña o de propaganda a</w:t>
      </w:r>
      <w:r>
        <w:rPr>
          <w:rFonts w:ascii="Abadi" w:hAnsi="Abadi" w:cs="Arial-BoldItalicMT"/>
          <w:b/>
          <w:bCs/>
          <w:i/>
          <w:iCs/>
          <w:sz w:val="21"/>
          <w:szCs w:val="21"/>
        </w:rPr>
        <w:t xml:space="preserve"> </w:t>
      </w:r>
      <w:r w:rsidRPr="00ED26A2">
        <w:rPr>
          <w:rFonts w:ascii="Abadi" w:hAnsi="Abadi" w:cs="Arial-BoldItalicMT"/>
          <w:b/>
          <w:bCs/>
          <w:i/>
          <w:iCs/>
          <w:sz w:val="21"/>
          <w:szCs w:val="21"/>
        </w:rPr>
        <w:t>través de medios gráficos, grabaciones, proyecciones, o expresiones</w:t>
      </w:r>
      <w:r>
        <w:rPr>
          <w:rFonts w:ascii="Abadi" w:hAnsi="Abadi" w:cs="Arial-BoldItalicMT"/>
          <w:b/>
          <w:bCs/>
          <w:i/>
          <w:iCs/>
          <w:sz w:val="21"/>
          <w:szCs w:val="21"/>
        </w:rPr>
        <w:t xml:space="preserve"> </w:t>
      </w:r>
      <w:r w:rsidRPr="00ED26A2">
        <w:rPr>
          <w:rFonts w:ascii="Abadi" w:hAnsi="Abadi" w:cs="Arial-BoldItalicMT"/>
          <w:b/>
          <w:bCs/>
          <w:i/>
          <w:iCs/>
          <w:sz w:val="21"/>
          <w:szCs w:val="21"/>
        </w:rPr>
        <w:t>por cualquier mecanismo de acuerdo a los avances tecnológicos, sin</w:t>
      </w:r>
      <w:r>
        <w:rPr>
          <w:rFonts w:ascii="Abadi" w:hAnsi="Abadi" w:cs="Arial-BoldItalicMT"/>
          <w:b/>
          <w:bCs/>
          <w:i/>
          <w:iCs/>
          <w:sz w:val="21"/>
          <w:szCs w:val="21"/>
        </w:rPr>
        <w:t xml:space="preserve"> </w:t>
      </w:r>
      <w:r w:rsidRPr="00ED26A2">
        <w:rPr>
          <w:rFonts w:ascii="Abadi" w:hAnsi="Abadi" w:cs="Arial-BoldItalicMT"/>
          <w:b/>
          <w:bCs/>
          <w:i/>
          <w:iCs/>
          <w:sz w:val="21"/>
          <w:szCs w:val="21"/>
        </w:rPr>
        <w:t>que medie por escrito la autorización del padre o la madre, tutor o de</w:t>
      </w:r>
      <w:r>
        <w:rPr>
          <w:rFonts w:ascii="Abadi" w:hAnsi="Abadi" w:cs="Arial-BoldItalicMT"/>
          <w:b/>
          <w:bCs/>
          <w:i/>
          <w:iCs/>
          <w:sz w:val="21"/>
          <w:szCs w:val="21"/>
        </w:rPr>
        <w:t xml:space="preserve"> </w:t>
      </w:r>
      <w:r w:rsidRPr="00ED26A2">
        <w:rPr>
          <w:rFonts w:ascii="Abadi" w:hAnsi="Abadi" w:cs="Arial-BoldItalicMT"/>
          <w:b/>
          <w:bCs/>
          <w:i/>
          <w:iCs/>
          <w:sz w:val="21"/>
          <w:szCs w:val="21"/>
        </w:rPr>
        <w:t>quien ejerza la patria potestad y la opinión informada de la niña, niño o</w:t>
      </w:r>
      <w:r>
        <w:rPr>
          <w:rFonts w:ascii="Abadi" w:hAnsi="Abadi" w:cs="Arial-BoldItalicMT"/>
          <w:b/>
          <w:bCs/>
          <w:i/>
          <w:iCs/>
          <w:sz w:val="21"/>
          <w:szCs w:val="21"/>
        </w:rPr>
        <w:t xml:space="preserve"> </w:t>
      </w:r>
      <w:r w:rsidRPr="00ED26A2">
        <w:rPr>
          <w:rFonts w:ascii="Abadi" w:hAnsi="Abadi" w:cs="Arial-BoldItalicMT"/>
          <w:b/>
          <w:bCs/>
          <w:i/>
          <w:iCs/>
          <w:sz w:val="21"/>
          <w:szCs w:val="21"/>
        </w:rPr>
        <w:t>adolescente en función de su edad y madurez, además de cualquier otro</w:t>
      </w:r>
      <w:r>
        <w:rPr>
          <w:rFonts w:ascii="Abadi" w:hAnsi="Abadi" w:cs="Arial-BoldItalicMT"/>
          <w:b/>
          <w:bCs/>
          <w:i/>
          <w:iCs/>
          <w:sz w:val="21"/>
          <w:szCs w:val="21"/>
        </w:rPr>
        <w:t xml:space="preserve"> </w:t>
      </w:r>
      <w:r w:rsidRPr="00ED26A2">
        <w:rPr>
          <w:rFonts w:ascii="Abadi" w:hAnsi="Abadi" w:cs="Arial-BoldItalicMT"/>
          <w:b/>
          <w:bCs/>
          <w:i/>
          <w:iCs/>
          <w:sz w:val="21"/>
          <w:szCs w:val="21"/>
        </w:rPr>
        <w:t>requisito que establezca la autoridad electoral competente.</w:t>
      </w:r>
    </w:p>
    <w:p w14:paraId="179AEA97" w14:textId="77777777" w:rsidR="00306DA7" w:rsidRPr="00ED26A2" w:rsidRDefault="00306DA7" w:rsidP="00306DA7">
      <w:pPr>
        <w:autoSpaceDE w:val="0"/>
        <w:autoSpaceDN w:val="0"/>
        <w:adjustRightInd w:val="0"/>
        <w:jc w:val="both"/>
        <w:rPr>
          <w:rFonts w:ascii="Abadi" w:hAnsi="Abadi" w:cs="Arial-BoldItalicMT"/>
          <w:b/>
          <w:bCs/>
          <w:i/>
          <w:iCs/>
          <w:sz w:val="21"/>
          <w:szCs w:val="21"/>
        </w:rPr>
      </w:pPr>
    </w:p>
    <w:p w14:paraId="2D266E76" w14:textId="77777777" w:rsidR="00306DA7" w:rsidRPr="00ED26A2" w:rsidRDefault="00306DA7" w:rsidP="00306DA7">
      <w:pPr>
        <w:autoSpaceDE w:val="0"/>
        <w:autoSpaceDN w:val="0"/>
        <w:adjustRightInd w:val="0"/>
        <w:jc w:val="both"/>
        <w:rPr>
          <w:rFonts w:ascii="Abadi" w:hAnsi="Abadi" w:cs="Arial-BoldItalicMT"/>
          <w:b/>
          <w:bCs/>
          <w:i/>
          <w:iCs/>
          <w:sz w:val="21"/>
          <w:szCs w:val="21"/>
        </w:rPr>
      </w:pPr>
      <w:r w:rsidRPr="00ED26A2">
        <w:rPr>
          <w:rFonts w:ascii="Abadi" w:hAnsi="Abadi" w:cs="Arial-BoldItalicMT"/>
          <w:b/>
          <w:bCs/>
          <w:i/>
          <w:iCs/>
          <w:sz w:val="21"/>
          <w:szCs w:val="21"/>
        </w:rPr>
        <w:t>Lo anterior, siempre y cuando, este libre de cualquier tipo de violencia</w:t>
      </w:r>
      <w:r>
        <w:rPr>
          <w:rFonts w:ascii="Abadi" w:hAnsi="Abadi" w:cs="Arial-BoldItalicMT"/>
          <w:b/>
          <w:bCs/>
          <w:i/>
          <w:iCs/>
          <w:sz w:val="21"/>
          <w:szCs w:val="21"/>
        </w:rPr>
        <w:t xml:space="preserve"> </w:t>
      </w:r>
      <w:r w:rsidRPr="00ED26A2">
        <w:rPr>
          <w:rFonts w:ascii="Abadi" w:hAnsi="Abadi" w:cs="Arial-BoldItalicMT"/>
          <w:b/>
          <w:bCs/>
          <w:i/>
          <w:iCs/>
          <w:sz w:val="21"/>
          <w:szCs w:val="21"/>
        </w:rPr>
        <w:t>física, simbólica, emocional o psicológica y no se cause un perjuicio por</w:t>
      </w:r>
      <w:r>
        <w:rPr>
          <w:rFonts w:ascii="Abadi" w:hAnsi="Abadi" w:cs="Arial-BoldItalicMT"/>
          <w:b/>
          <w:bCs/>
          <w:i/>
          <w:iCs/>
          <w:sz w:val="21"/>
          <w:szCs w:val="21"/>
        </w:rPr>
        <w:t xml:space="preserve"> </w:t>
      </w:r>
      <w:r w:rsidRPr="00ED26A2">
        <w:rPr>
          <w:rFonts w:ascii="Abadi" w:hAnsi="Abadi" w:cs="Arial-BoldItalicMT"/>
          <w:b/>
          <w:bCs/>
          <w:i/>
          <w:iCs/>
          <w:sz w:val="21"/>
          <w:szCs w:val="21"/>
        </w:rPr>
        <w:t>denigración. La violación de este precepto será sancionada conforme a</w:t>
      </w:r>
      <w:r>
        <w:rPr>
          <w:rFonts w:ascii="Abadi" w:hAnsi="Abadi" w:cs="Arial-BoldItalicMT"/>
          <w:b/>
          <w:bCs/>
          <w:i/>
          <w:iCs/>
          <w:sz w:val="21"/>
          <w:szCs w:val="21"/>
        </w:rPr>
        <w:t xml:space="preserve"> </w:t>
      </w:r>
      <w:r w:rsidRPr="00ED26A2">
        <w:rPr>
          <w:rFonts w:ascii="Abadi" w:hAnsi="Abadi" w:cs="Arial-BoldItalicMT"/>
          <w:b/>
          <w:bCs/>
          <w:i/>
          <w:iCs/>
          <w:sz w:val="21"/>
          <w:szCs w:val="21"/>
        </w:rPr>
        <w:t>las disposiciones de esta ley”.</w:t>
      </w:r>
    </w:p>
    <w:p w14:paraId="366862E9" w14:textId="77777777" w:rsidR="00306DA7" w:rsidRDefault="00306DA7" w:rsidP="00306DA7">
      <w:pPr>
        <w:autoSpaceDE w:val="0"/>
        <w:autoSpaceDN w:val="0"/>
        <w:adjustRightInd w:val="0"/>
        <w:jc w:val="both"/>
        <w:rPr>
          <w:rFonts w:ascii="Abadi" w:hAnsi="Abadi" w:cs="ArialMT"/>
          <w:sz w:val="21"/>
          <w:szCs w:val="21"/>
        </w:rPr>
      </w:pPr>
    </w:p>
    <w:p w14:paraId="5DA74767"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Asimismo, se propone la adición de un segundo párrafo al artículo 199, en el</w:t>
      </w:r>
      <w:r>
        <w:rPr>
          <w:rFonts w:ascii="Abadi" w:hAnsi="Abadi" w:cs="ArialMT"/>
          <w:sz w:val="21"/>
          <w:szCs w:val="21"/>
        </w:rPr>
        <w:t xml:space="preserve"> </w:t>
      </w:r>
      <w:r w:rsidRPr="00ED26A2">
        <w:rPr>
          <w:rFonts w:ascii="Abadi" w:hAnsi="Abadi" w:cs="ArialMT"/>
          <w:sz w:val="21"/>
          <w:szCs w:val="21"/>
        </w:rPr>
        <w:t>Título Cuarto, Sección Tercera de la Ley de Instituciones y Procedimientos</w:t>
      </w:r>
      <w:r>
        <w:rPr>
          <w:rFonts w:ascii="Abadi" w:hAnsi="Abadi" w:cs="ArialMT"/>
          <w:sz w:val="21"/>
          <w:szCs w:val="21"/>
        </w:rPr>
        <w:t xml:space="preserve"> </w:t>
      </w:r>
      <w:r w:rsidRPr="00ED26A2">
        <w:rPr>
          <w:rFonts w:ascii="Abadi" w:hAnsi="Abadi" w:cs="ArialMT"/>
          <w:sz w:val="21"/>
          <w:szCs w:val="21"/>
        </w:rPr>
        <w:t>Electorales para el Estado de Guanajuato, para quedar como sigue:</w:t>
      </w:r>
    </w:p>
    <w:p w14:paraId="756B348C" w14:textId="77777777" w:rsidR="00306DA7" w:rsidRDefault="00306DA7" w:rsidP="00306DA7">
      <w:pPr>
        <w:autoSpaceDE w:val="0"/>
        <w:autoSpaceDN w:val="0"/>
        <w:adjustRightInd w:val="0"/>
        <w:jc w:val="both"/>
        <w:rPr>
          <w:rFonts w:ascii="Abadi" w:hAnsi="Abadi" w:cs="Arial-BoldItalicMT"/>
          <w:b/>
          <w:bCs/>
          <w:i/>
          <w:iCs/>
          <w:sz w:val="21"/>
          <w:szCs w:val="21"/>
        </w:rPr>
      </w:pPr>
    </w:p>
    <w:p w14:paraId="2CCBE1E9" w14:textId="77777777" w:rsidR="00306DA7" w:rsidRDefault="00306DA7" w:rsidP="00306DA7">
      <w:pPr>
        <w:autoSpaceDE w:val="0"/>
        <w:autoSpaceDN w:val="0"/>
        <w:adjustRightInd w:val="0"/>
        <w:jc w:val="both"/>
        <w:rPr>
          <w:rFonts w:ascii="Abadi" w:hAnsi="Abadi" w:cs="Arial-ItalicMT"/>
          <w:i/>
          <w:iCs/>
          <w:sz w:val="21"/>
          <w:szCs w:val="21"/>
        </w:rPr>
      </w:pPr>
      <w:r w:rsidRPr="00ED26A2">
        <w:rPr>
          <w:rFonts w:ascii="Abadi" w:hAnsi="Abadi" w:cs="Arial-BoldItalicMT"/>
          <w:b/>
          <w:bCs/>
          <w:i/>
          <w:iCs/>
          <w:sz w:val="21"/>
          <w:szCs w:val="21"/>
        </w:rPr>
        <w:t>“Artículo 199</w:t>
      </w:r>
      <w:r w:rsidRPr="00ED26A2">
        <w:rPr>
          <w:rFonts w:ascii="Abadi" w:hAnsi="Abadi" w:cs="Arial-ItalicMT"/>
          <w:i/>
          <w:iCs/>
          <w:sz w:val="21"/>
          <w:szCs w:val="21"/>
        </w:rPr>
        <w:t>. Los Partidos Políticos…</w:t>
      </w:r>
      <w:r>
        <w:rPr>
          <w:rFonts w:ascii="Abadi" w:hAnsi="Abadi" w:cs="Arial-ItalicMT"/>
          <w:i/>
          <w:iCs/>
          <w:sz w:val="21"/>
          <w:szCs w:val="21"/>
        </w:rPr>
        <w:t xml:space="preserve"> </w:t>
      </w:r>
    </w:p>
    <w:p w14:paraId="24A675A6" w14:textId="77777777" w:rsidR="00306DA7" w:rsidRPr="008C1287" w:rsidRDefault="00306DA7" w:rsidP="00306DA7">
      <w:pPr>
        <w:autoSpaceDE w:val="0"/>
        <w:autoSpaceDN w:val="0"/>
        <w:adjustRightInd w:val="0"/>
        <w:jc w:val="both"/>
        <w:rPr>
          <w:rFonts w:ascii="Abadi" w:hAnsi="Abadi" w:cs="Arial-ItalicMT"/>
          <w:i/>
          <w:iCs/>
          <w:sz w:val="21"/>
          <w:szCs w:val="21"/>
        </w:rPr>
      </w:pPr>
      <w:r w:rsidRPr="00ED26A2">
        <w:rPr>
          <w:rFonts w:ascii="Abadi" w:hAnsi="Abadi" w:cs="Arial-BoldItalicMT"/>
          <w:b/>
          <w:bCs/>
          <w:i/>
          <w:iCs/>
          <w:sz w:val="21"/>
          <w:szCs w:val="21"/>
        </w:rPr>
        <w:t>En la realización de los actos de campaña y de propaganda político</w:t>
      </w:r>
      <w:r>
        <w:rPr>
          <w:rFonts w:ascii="Abadi" w:hAnsi="Abadi" w:cs="Arial-ItalicMT"/>
          <w:i/>
          <w:iCs/>
          <w:sz w:val="21"/>
          <w:szCs w:val="21"/>
        </w:rPr>
        <w:t xml:space="preserve"> </w:t>
      </w:r>
      <w:r w:rsidRPr="00ED26A2">
        <w:rPr>
          <w:rFonts w:ascii="Abadi" w:hAnsi="Abadi" w:cs="Arial-BoldItalicMT"/>
          <w:b/>
          <w:bCs/>
          <w:i/>
          <w:iCs/>
          <w:sz w:val="21"/>
          <w:szCs w:val="21"/>
        </w:rPr>
        <w:t>electoral a que refieren los artículos 195 y 200 de esta ley, se aplicará</w:t>
      </w:r>
      <w:r>
        <w:rPr>
          <w:rFonts w:ascii="Abadi" w:hAnsi="Abadi" w:cs="Arial-ItalicMT"/>
          <w:i/>
          <w:iCs/>
          <w:sz w:val="21"/>
          <w:szCs w:val="21"/>
        </w:rPr>
        <w:t xml:space="preserve"> </w:t>
      </w:r>
      <w:r w:rsidRPr="00ED26A2">
        <w:rPr>
          <w:rFonts w:ascii="Abadi" w:hAnsi="Abadi" w:cs="Arial-BoldItalicMT"/>
          <w:b/>
          <w:bCs/>
          <w:i/>
          <w:iCs/>
          <w:sz w:val="21"/>
          <w:szCs w:val="21"/>
        </w:rPr>
        <w:t>los dispuesto en los párrafos séptimo y octavo del artículo 175 de esta</w:t>
      </w:r>
      <w:r>
        <w:rPr>
          <w:rFonts w:ascii="Abadi" w:hAnsi="Abadi" w:cs="Arial-ItalicMT"/>
          <w:i/>
          <w:iCs/>
          <w:sz w:val="21"/>
          <w:szCs w:val="21"/>
        </w:rPr>
        <w:t xml:space="preserve"> </w:t>
      </w:r>
      <w:r w:rsidRPr="00ED26A2">
        <w:rPr>
          <w:rFonts w:ascii="Abadi" w:hAnsi="Abadi" w:cs="Arial-BoldItalicMT"/>
          <w:b/>
          <w:bCs/>
          <w:i/>
          <w:iCs/>
          <w:sz w:val="21"/>
          <w:szCs w:val="21"/>
        </w:rPr>
        <w:t>ley.”</w:t>
      </w:r>
    </w:p>
    <w:p w14:paraId="20FC1828" w14:textId="77777777" w:rsidR="00306DA7" w:rsidRDefault="00306DA7" w:rsidP="00306DA7">
      <w:pPr>
        <w:autoSpaceDE w:val="0"/>
        <w:autoSpaceDN w:val="0"/>
        <w:adjustRightInd w:val="0"/>
        <w:jc w:val="both"/>
        <w:rPr>
          <w:rFonts w:ascii="Abadi" w:hAnsi="Abadi" w:cs="ArialMT"/>
          <w:sz w:val="21"/>
          <w:szCs w:val="21"/>
        </w:rPr>
      </w:pPr>
    </w:p>
    <w:p w14:paraId="02376883" w14:textId="65C9895E"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Los proponentes, consideramos que con las adiciones a los anteriores</w:t>
      </w:r>
      <w:r>
        <w:rPr>
          <w:rFonts w:ascii="Abadi" w:hAnsi="Abadi" w:cs="ArialMT"/>
          <w:sz w:val="21"/>
          <w:szCs w:val="21"/>
        </w:rPr>
        <w:t xml:space="preserve"> </w:t>
      </w:r>
      <w:r w:rsidRPr="00ED26A2">
        <w:rPr>
          <w:rFonts w:ascii="Abadi" w:hAnsi="Abadi" w:cs="ArialMT"/>
          <w:sz w:val="21"/>
          <w:szCs w:val="21"/>
        </w:rPr>
        <w:t>preceptos de la ley electoral local, se materializa en la ley el respeto en</w:t>
      </w:r>
      <w:r>
        <w:rPr>
          <w:rFonts w:ascii="Abadi" w:hAnsi="Abadi" w:cs="ArialMT"/>
          <w:sz w:val="21"/>
          <w:szCs w:val="21"/>
        </w:rPr>
        <w:t xml:space="preserve"> </w:t>
      </w:r>
      <w:r w:rsidRPr="00ED26A2">
        <w:rPr>
          <w:rFonts w:ascii="Abadi" w:hAnsi="Abadi" w:cs="ArialMT"/>
          <w:sz w:val="21"/>
          <w:szCs w:val="21"/>
        </w:rPr>
        <w:t>materia electoral a los principios del interés superior de la niñez, así como el</w:t>
      </w:r>
      <w:r>
        <w:rPr>
          <w:rFonts w:ascii="Abadi" w:hAnsi="Abadi" w:cs="ArialMT"/>
          <w:sz w:val="21"/>
          <w:szCs w:val="21"/>
        </w:rPr>
        <w:t xml:space="preserve"> </w:t>
      </w:r>
      <w:r w:rsidRPr="00ED26A2">
        <w:rPr>
          <w:rFonts w:ascii="Abadi" w:hAnsi="Abadi" w:cs="ArialMT"/>
          <w:sz w:val="21"/>
          <w:szCs w:val="21"/>
        </w:rPr>
        <w:t>respeto a la intimidad y dignidad del niño, niña o adolescente, que</w:t>
      </w:r>
      <w:r>
        <w:rPr>
          <w:rFonts w:ascii="Abadi" w:hAnsi="Abadi" w:cs="ArialMT"/>
          <w:sz w:val="21"/>
          <w:szCs w:val="21"/>
        </w:rPr>
        <w:t xml:space="preserve"> </w:t>
      </w:r>
      <w:r w:rsidRPr="00ED26A2">
        <w:rPr>
          <w:rFonts w:ascii="Abadi" w:hAnsi="Abadi" w:cs="ArialMT"/>
          <w:sz w:val="21"/>
          <w:szCs w:val="21"/>
        </w:rPr>
        <w:t>comúnmente son utilizados sin consentimiento para ofertar propuestas</w:t>
      </w:r>
      <w:r>
        <w:rPr>
          <w:rFonts w:ascii="Abadi" w:hAnsi="Abadi" w:cs="ArialMT"/>
          <w:sz w:val="21"/>
          <w:szCs w:val="21"/>
        </w:rPr>
        <w:t xml:space="preserve"> </w:t>
      </w:r>
      <w:r w:rsidRPr="00ED26A2">
        <w:rPr>
          <w:rFonts w:ascii="Abadi" w:hAnsi="Abadi" w:cs="ArialMT"/>
          <w:sz w:val="21"/>
          <w:szCs w:val="21"/>
        </w:rPr>
        <w:t>electorales, en precampañas, campañas y, en la realización de la propaganda</w:t>
      </w:r>
      <w:r>
        <w:rPr>
          <w:rFonts w:ascii="Abadi" w:hAnsi="Abadi" w:cs="ArialMT"/>
          <w:sz w:val="21"/>
          <w:szCs w:val="21"/>
        </w:rPr>
        <w:t xml:space="preserve"> </w:t>
      </w:r>
      <w:r w:rsidRPr="00ED26A2">
        <w:rPr>
          <w:rFonts w:ascii="Abadi" w:hAnsi="Abadi" w:cs="ArialMT"/>
          <w:sz w:val="21"/>
          <w:szCs w:val="21"/>
        </w:rPr>
        <w:t>político electoral, incluso se prevé el supuesto en que los padres, por</w:t>
      </w:r>
      <w:r>
        <w:rPr>
          <w:rFonts w:ascii="Abadi" w:hAnsi="Abadi" w:cs="ArialMT"/>
          <w:sz w:val="21"/>
          <w:szCs w:val="21"/>
        </w:rPr>
        <w:t xml:space="preserve"> </w:t>
      </w:r>
      <w:r w:rsidRPr="00ED26A2">
        <w:rPr>
          <w:rFonts w:ascii="Abadi" w:hAnsi="Abadi" w:cs="ArialMT"/>
          <w:sz w:val="21"/>
          <w:szCs w:val="21"/>
        </w:rPr>
        <w:t>ignorancia, necesidad o cualquier otro motivo, sin tomar en cuenta al menor,</w:t>
      </w:r>
      <w:r>
        <w:rPr>
          <w:rFonts w:ascii="Abadi" w:hAnsi="Abadi" w:cs="ArialMT"/>
          <w:sz w:val="21"/>
          <w:szCs w:val="21"/>
        </w:rPr>
        <w:t xml:space="preserve"> </w:t>
      </w:r>
      <w:r w:rsidRPr="00ED26A2">
        <w:rPr>
          <w:rFonts w:ascii="Abadi" w:hAnsi="Abadi" w:cs="ArialMT"/>
          <w:sz w:val="21"/>
          <w:szCs w:val="21"/>
        </w:rPr>
        <w:t>otorgarían los permisos sin medir las consecuencias de perjuicio a la</w:t>
      </w:r>
      <w:r>
        <w:rPr>
          <w:rFonts w:ascii="Abadi" w:hAnsi="Abadi" w:cs="ArialMT"/>
          <w:sz w:val="21"/>
          <w:szCs w:val="21"/>
        </w:rPr>
        <w:t xml:space="preserve"> </w:t>
      </w:r>
      <w:r w:rsidRPr="00ED26A2">
        <w:rPr>
          <w:rFonts w:ascii="Abadi" w:hAnsi="Abadi" w:cs="ArialMT"/>
          <w:sz w:val="21"/>
          <w:szCs w:val="21"/>
        </w:rPr>
        <w:t>intimidad y dignidad del menor, aun cuando su participación no esté libre de</w:t>
      </w:r>
      <w:r>
        <w:rPr>
          <w:rFonts w:ascii="Abadi" w:hAnsi="Abadi" w:cs="ArialMT"/>
          <w:sz w:val="21"/>
          <w:szCs w:val="21"/>
        </w:rPr>
        <w:t xml:space="preserve"> </w:t>
      </w:r>
      <w:r w:rsidRPr="00ED26A2">
        <w:rPr>
          <w:rFonts w:ascii="Abadi" w:hAnsi="Abadi" w:cs="ArialMT"/>
          <w:sz w:val="21"/>
          <w:szCs w:val="21"/>
        </w:rPr>
        <w:t xml:space="preserve">cualquier tipo de violencia física, simbólica, emocional o </w:t>
      </w:r>
      <w:r w:rsidRPr="00ED26A2">
        <w:rPr>
          <w:rFonts w:ascii="Abadi" w:hAnsi="Abadi" w:cs="ArialMT"/>
          <w:sz w:val="21"/>
          <w:szCs w:val="21"/>
        </w:rPr>
        <w:lastRenderedPageBreak/>
        <w:t>psicológica, lo cual quedaría a la calificación de la autoridad electoral. En tal caso, no obstante la</w:t>
      </w:r>
      <w:r>
        <w:rPr>
          <w:rFonts w:ascii="Abadi" w:hAnsi="Abadi" w:cs="ArialMT"/>
          <w:sz w:val="21"/>
          <w:szCs w:val="21"/>
        </w:rPr>
        <w:t xml:space="preserve"> </w:t>
      </w:r>
      <w:r w:rsidRPr="00ED26A2">
        <w:rPr>
          <w:rFonts w:ascii="Abadi" w:hAnsi="Abadi" w:cs="ArialMT"/>
          <w:sz w:val="21"/>
          <w:szCs w:val="21"/>
        </w:rPr>
        <w:t xml:space="preserve">autorización escrita del padre, madre o tutor no surtirá efectos cuando </w:t>
      </w:r>
      <w:r w:rsidR="00904696" w:rsidRPr="00ED26A2">
        <w:rPr>
          <w:rFonts w:ascii="Abadi" w:hAnsi="Abadi" w:cs="ArialMT"/>
          <w:sz w:val="21"/>
          <w:szCs w:val="21"/>
        </w:rPr>
        <w:t>a la autoridad electoral</w:t>
      </w:r>
      <w:r w:rsidRPr="00ED26A2">
        <w:rPr>
          <w:rFonts w:ascii="Abadi" w:hAnsi="Abadi" w:cs="ArialMT"/>
          <w:sz w:val="21"/>
          <w:szCs w:val="21"/>
        </w:rPr>
        <w:t xml:space="preserve"> aprecia que el acto de campaña o de propaganda político</w:t>
      </w:r>
      <w:r>
        <w:rPr>
          <w:rFonts w:ascii="Abadi" w:hAnsi="Abadi" w:cs="ArialMT"/>
          <w:sz w:val="21"/>
          <w:szCs w:val="21"/>
        </w:rPr>
        <w:t xml:space="preserve"> </w:t>
      </w:r>
      <w:r w:rsidRPr="00ED26A2">
        <w:rPr>
          <w:rFonts w:ascii="Abadi" w:hAnsi="Abadi" w:cs="ArialMT"/>
          <w:sz w:val="21"/>
          <w:szCs w:val="21"/>
        </w:rPr>
        <w:t>electoral no esté libre de cualquier tipo de violencia física, simbólica,</w:t>
      </w:r>
      <w:r>
        <w:rPr>
          <w:rFonts w:ascii="Abadi" w:hAnsi="Abadi" w:cs="ArialMT"/>
          <w:sz w:val="21"/>
          <w:szCs w:val="21"/>
        </w:rPr>
        <w:t xml:space="preserve"> </w:t>
      </w:r>
      <w:r w:rsidRPr="00ED26A2">
        <w:rPr>
          <w:rFonts w:ascii="Abadi" w:hAnsi="Abadi" w:cs="ArialMT"/>
          <w:sz w:val="21"/>
          <w:szCs w:val="21"/>
        </w:rPr>
        <w:t>emocional o psicológica que pudiese generar perjuicio en agravio del niño,</w:t>
      </w:r>
      <w:r>
        <w:rPr>
          <w:rFonts w:ascii="Abadi" w:hAnsi="Abadi" w:cs="ArialMT"/>
          <w:sz w:val="21"/>
          <w:szCs w:val="21"/>
        </w:rPr>
        <w:t xml:space="preserve"> </w:t>
      </w:r>
      <w:r w:rsidRPr="00ED26A2">
        <w:rPr>
          <w:rFonts w:ascii="Abadi" w:hAnsi="Abadi" w:cs="ArialMT"/>
          <w:sz w:val="21"/>
          <w:szCs w:val="21"/>
        </w:rPr>
        <w:t>niña o adolescente como puede ser la estigmatización social de su persona</w:t>
      </w:r>
      <w:r>
        <w:rPr>
          <w:rFonts w:ascii="Abadi" w:hAnsi="Abadi" w:cs="ArialMT"/>
          <w:sz w:val="21"/>
          <w:szCs w:val="21"/>
        </w:rPr>
        <w:t xml:space="preserve"> </w:t>
      </w:r>
      <w:r w:rsidRPr="00ED26A2">
        <w:rPr>
          <w:rFonts w:ascii="Abadi" w:hAnsi="Abadi" w:cs="ArialMT"/>
          <w:sz w:val="21"/>
          <w:szCs w:val="21"/>
        </w:rPr>
        <w:t>e imagen.</w:t>
      </w:r>
    </w:p>
    <w:p w14:paraId="22B122FD" w14:textId="77777777" w:rsidR="00306DA7" w:rsidRDefault="00306DA7" w:rsidP="00306DA7">
      <w:pPr>
        <w:autoSpaceDE w:val="0"/>
        <w:autoSpaceDN w:val="0"/>
        <w:adjustRightInd w:val="0"/>
        <w:jc w:val="both"/>
        <w:rPr>
          <w:rFonts w:ascii="Abadi" w:hAnsi="Abadi" w:cs="ArialMT"/>
          <w:sz w:val="21"/>
          <w:szCs w:val="21"/>
        </w:rPr>
      </w:pPr>
    </w:p>
    <w:p w14:paraId="0097FCA3"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Es importante destacar que en la presente propuesta, sobre este tema, se</w:t>
      </w:r>
      <w:r>
        <w:rPr>
          <w:rFonts w:ascii="Abadi" w:hAnsi="Abadi" w:cs="ArialMT"/>
          <w:sz w:val="21"/>
          <w:szCs w:val="21"/>
        </w:rPr>
        <w:t xml:space="preserve"> </w:t>
      </w:r>
      <w:r w:rsidRPr="00ED26A2">
        <w:rPr>
          <w:rFonts w:ascii="Abadi" w:hAnsi="Abadi" w:cs="ArialMT"/>
          <w:sz w:val="21"/>
          <w:szCs w:val="21"/>
        </w:rPr>
        <w:t>pondera que no se hace necesaria adición alguna al Título Séptimo, Sección</w:t>
      </w:r>
      <w:r>
        <w:rPr>
          <w:rFonts w:ascii="Abadi" w:hAnsi="Abadi" w:cs="ArialMT"/>
          <w:sz w:val="21"/>
          <w:szCs w:val="21"/>
        </w:rPr>
        <w:t xml:space="preserve"> </w:t>
      </w:r>
      <w:r w:rsidRPr="00ED26A2">
        <w:rPr>
          <w:rFonts w:ascii="Abadi" w:hAnsi="Abadi" w:cs="ArialMT"/>
          <w:sz w:val="21"/>
          <w:szCs w:val="21"/>
        </w:rPr>
        <w:t>Única, relativo al régimen sancionador electoral,</w:t>
      </w:r>
      <w:r>
        <w:rPr>
          <w:rFonts w:ascii="Abadi" w:hAnsi="Abadi" w:cs="ArialMT"/>
          <w:sz w:val="21"/>
          <w:szCs w:val="21"/>
        </w:rPr>
        <w:t xml:space="preserve"> </w:t>
      </w:r>
      <w:r w:rsidRPr="00ED26A2">
        <w:rPr>
          <w:rFonts w:ascii="Abadi" w:hAnsi="Abadi" w:cs="ArialMT"/>
          <w:sz w:val="21"/>
          <w:szCs w:val="21"/>
        </w:rPr>
        <w:t>concretamente a los</w:t>
      </w:r>
      <w:r>
        <w:rPr>
          <w:rFonts w:ascii="Abadi" w:hAnsi="Abadi" w:cs="ArialMT"/>
          <w:sz w:val="21"/>
          <w:szCs w:val="21"/>
        </w:rPr>
        <w:t xml:space="preserve"> </w:t>
      </w:r>
      <w:r w:rsidRPr="00ED26A2">
        <w:rPr>
          <w:rFonts w:ascii="Abadi" w:hAnsi="Abadi" w:cs="ArialMT"/>
          <w:sz w:val="21"/>
          <w:szCs w:val="21"/>
        </w:rPr>
        <w:t>artículos 346, 347, y 348 de la Ley de Instituciones y Procedimientos</w:t>
      </w:r>
      <w:r>
        <w:rPr>
          <w:rFonts w:ascii="Abadi" w:hAnsi="Abadi" w:cs="ArialMT"/>
          <w:sz w:val="21"/>
          <w:szCs w:val="21"/>
        </w:rPr>
        <w:t xml:space="preserve"> </w:t>
      </w:r>
      <w:r w:rsidRPr="00ED26A2">
        <w:rPr>
          <w:rFonts w:ascii="Abadi" w:hAnsi="Abadi" w:cs="ArialMT"/>
          <w:sz w:val="21"/>
          <w:szCs w:val="21"/>
        </w:rPr>
        <w:t>Electorales para el Estado de Guanajuato, por dos razones: a) la propuesta</w:t>
      </w:r>
      <w:r>
        <w:rPr>
          <w:rFonts w:ascii="Abadi" w:hAnsi="Abadi" w:cs="ArialMT"/>
          <w:sz w:val="21"/>
          <w:szCs w:val="21"/>
        </w:rPr>
        <w:t xml:space="preserve"> </w:t>
      </w:r>
      <w:r w:rsidRPr="00ED26A2">
        <w:rPr>
          <w:rFonts w:ascii="Abadi" w:hAnsi="Abadi" w:cs="ArialMT"/>
          <w:sz w:val="21"/>
          <w:szCs w:val="21"/>
        </w:rPr>
        <w:t>de la adición de la fracción octava al artículo 176 , señala que la violación a</w:t>
      </w:r>
      <w:r>
        <w:rPr>
          <w:rFonts w:ascii="Abadi" w:hAnsi="Abadi" w:cs="ArialMT"/>
          <w:sz w:val="21"/>
          <w:szCs w:val="21"/>
        </w:rPr>
        <w:t xml:space="preserve"> </w:t>
      </w:r>
      <w:r w:rsidRPr="00ED26A2">
        <w:rPr>
          <w:rFonts w:ascii="Abadi" w:hAnsi="Abadi" w:cs="ArialMT"/>
          <w:sz w:val="21"/>
          <w:szCs w:val="21"/>
        </w:rPr>
        <w:t>tal dispositivo será sancionador conforme a lo establecido por esta ley y; b)</w:t>
      </w:r>
      <w:r>
        <w:rPr>
          <w:rFonts w:ascii="Abadi" w:hAnsi="Abadi" w:cs="ArialMT"/>
          <w:sz w:val="21"/>
          <w:szCs w:val="21"/>
        </w:rPr>
        <w:t xml:space="preserve"> </w:t>
      </w:r>
      <w:r w:rsidRPr="00ED26A2">
        <w:rPr>
          <w:rFonts w:ascii="Abadi" w:hAnsi="Abadi" w:cs="ArialMT"/>
          <w:sz w:val="21"/>
          <w:szCs w:val="21"/>
        </w:rPr>
        <w:t>que cada uno de los preceptos del capítulo del régimen sancionador</w:t>
      </w:r>
      <w:r>
        <w:rPr>
          <w:rFonts w:ascii="Abadi" w:hAnsi="Abadi" w:cs="ArialMT"/>
          <w:sz w:val="21"/>
          <w:szCs w:val="21"/>
        </w:rPr>
        <w:t xml:space="preserve"> </w:t>
      </w:r>
      <w:r w:rsidRPr="00ED26A2">
        <w:rPr>
          <w:rFonts w:ascii="Abadi" w:hAnsi="Abadi" w:cs="ArialMT"/>
          <w:sz w:val="21"/>
          <w:szCs w:val="21"/>
        </w:rPr>
        <w:t>contienen una última fracción, considerando como infracción, en los tres</w:t>
      </w:r>
      <w:r>
        <w:rPr>
          <w:rFonts w:ascii="Abadi" w:hAnsi="Abadi" w:cs="ArialMT"/>
          <w:sz w:val="21"/>
          <w:szCs w:val="21"/>
        </w:rPr>
        <w:t xml:space="preserve"> </w:t>
      </w:r>
      <w:r w:rsidRPr="00ED26A2">
        <w:rPr>
          <w:rFonts w:ascii="Abadi" w:hAnsi="Abadi" w:cs="ArialMT"/>
          <w:sz w:val="21"/>
          <w:szCs w:val="21"/>
        </w:rPr>
        <w:t>casos “</w:t>
      </w:r>
      <w:r w:rsidRPr="00ED26A2">
        <w:rPr>
          <w:rFonts w:ascii="Abadi" w:hAnsi="Abadi" w:cs="Arial-ItalicMT"/>
          <w:i/>
          <w:iCs/>
          <w:sz w:val="21"/>
          <w:szCs w:val="21"/>
        </w:rPr>
        <w:t>La comisión de cualquier otra falta de las previstas en esta ley</w:t>
      </w:r>
      <w:r w:rsidRPr="00ED26A2">
        <w:rPr>
          <w:rFonts w:ascii="Abadi" w:hAnsi="Abadi" w:cs="ArialMT"/>
          <w:sz w:val="21"/>
          <w:szCs w:val="21"/>
        </w:rPr>
        <w:t>”, “</w:t>
      </w:r>
      <w:r w:rsidRPr="00ED26A2">
        <w:rPr>
          <w:rFonts w:ascii="Abadi" w:hAnsi="Abadi" w:cs="Arial-ItalicMT"/>
          <w:i/>
          <w:iCs/>
          <w:sz w:val="21"/>
          <w:szCs w:val="21"/>
        </w:rPr>
        <w:t>El</w:t>
      </w:r>
      <w:r>
        <w:rPr>
          <w:rFonts w:ascii="Abadi" w:hAnsi="Abadi" w:cs="ArialMT"/>
          <w:sz w:val="21"/>
          <w:szCs w:val="21"/>
        </w:rPr>
        <w:t xml:space="preserve"> </w:t>
      </w:r>
      <w:r w:rsidRPr="00ED26A2">
        <w:rPr>
          <w:rFonts w:ascii="Abadi" w:hAnsi="Abadi" w:cs="Arial-ItalicMT"/>
          <w:i/>
          <w:iCs/>
          <w:sz w:val="21"/>
          <w:szCs w:val="21"/>
        </w:rPr>
        <w:t>incumplimiento de cualquiera de las disposiciones contenidas en esta ley</w:t>
      </w:r>
      <w:r w:rsidRPr="00ED26A2">
        <w:rPr>
          <w:rFonts w:ascii="Abadi" w:hAnsi="Abadi" w:cs="ArialMT"/>
          <w:sz w:val="21"/>
          <w:szCs w:val="21"/>
        </w:rPr>
        <w:t>” y;</w:t>
      </w:r>
      <w:r>
        <w:rPr>
          <w:rFonts w:ascii="Abadi" w:hAnsi="Abadi" w:cs="ArialMT"/>
          <w:sz w:val="21"/>
          <w:szCs w:val="21"/>
        </w:rPr>
        <w:t xml:space="preserve"> </w:t>
      </w:r>
      <w:r w:rsidRPr="00ED26A2">
        <w:rPr>
          <w:rFonts w:ascii="Abadi" w:hAnsi="Abadi" w:cs="ArialMT"/>
          <w:sz w:val="21"/>
          <w:szCs w:val="21"/>
        </w:rPr>
        <w:t>“</w:t>
      </w:r>
      <w:r w:rsidRPr="00ED26A2">
        <w:rPr>
          <w:rFonts w:ascii="Abadi" w:hAnsi="Abadi" w:cs="Arial-ItalicMT"/>
          <w:i/>
          <w:iCs/>
          <w:sz w:val="21"/>
          <w:szCs w:val="21"/>
        </w:rPr>
        <w:t>El incumplimiento de cualquiera de las disposiciones contenidas en esta ley</w:t>
      </w:r>
      <w:r>
        <w:rPr>
          <w:rFonts w:ascii="Abadi" w:hAnsi="Abadi" w:cs="ArialMT"/>
          <w:sz w:val="21"/>
          <w:szCs w:val="21"/>
        </w:rPr>
        <w:t xml:space="preserve"> </w:t>
      </w:r>
      <w:r w:rsidRPr="00ED26A2">
        <w:rPr>
          <w:rFonts w:ascii="Abadi" w:hAnsi="Abadi" w:cs="Arial-ItalicMT"/>
          <w:i/>
          <w:iCs/>
          <w:sz w:val="21"/>
          <w:szCs w:val="21"/>
        </w:rPr>
        <w:t>y demás disposiciones aplicables”</w:t>
      </w:r>
      <w:r w:rsidRPr="00ED26A2">
        <w:rPr>
          <w:rFonts w:ascii="Abadi" w:hAnsi="Abadi" w:cs="ArialMT"/>
          <w:sz w:val="21"/>
          <w:szCs w:val="21"/>
        </w:rPr>
        <w:t>, respectivamente. Por lo que en caso de</w:t>
      </w:r>
      <w:r>
        <w:rPr>
          <w:rFonts w:ascii="Abadi" w:hAnsi="Abadi" w:cs="ArialMT"/>
          <w:sz w:val="21"/>
          <w:szCs w:val="21"/>
        </w:rPr>
        <w:t xml:space="preserve"> </w:t>
      </w:r>
      <w:r w:rsidRPr="00ED26A2">
        <w:rPr>
          <w:rFonts w:ascii="Abadi" w:hAnsi="Abadi" w:cs="ArialMT"/>
          <w:sz w:val="21"/>
          <w:szCs w:val="21"/>
        </w:rPr>
        <w:t>actualizarse la prohibición regulada será materia de sanción en el ámbito</w:t>
      </w:r>
      <w:r>
        <w:rPr>
          <w:rFonts w:ascii="Abadi" w:hAnsi="Abadi" w:cs="ArialMT"/>
          <w:sz w:val="21"/>
          <w:szCs w:val="21"/>
        </w:rPr>
        <w:t xml:space="preserve"> </w:t>
      </w:r>
      <w:r w:rsidRPr="00ED26A2">
        <w:rPr>
          <w:rFonts w:ascii="Abadi" w:hAnsi="Abadi" w:cs="ArialMT"/>
          <w:sz w:val="21"/>
          <w:szCs w:val="21"/>
        </w:rPr>
        <w:t>electoral.</w:t>
      </w:r>
    </w:p>
    <w:p w14:paraId="61C3B096" w14:textId="77777777" w:rsidR="00306DA7" w:rsidRDefault="00306DA7" w:rsidP="00306DA7">
      <w:pPr>
        <w:autoSpaceDE w:val="0"/>
        <w:autoSpaceDN w:val="0"/>
        <w:adjustRightInd w:val="0"/>
        <w:jc w:val="both"/>
        <w:rPr>
          <w:rFonts w:ascii="Abadi" w:hAnsi="Abadi" w:cs="ArialMT"/>
          <w:sz w:val="21"/>
          <w:szCs w:val="21"/>
        </w:rPr>
      </w:pPr>
    </w:p>
    <w:p w14:paraId="2B5A4D40"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Con lo anterior se considera que la ley electoral del estado se armoniza con</w:t>
      </w:r>
      <w:r>
        <w:rPr>
          <w:rFonts w:ascii="Abadi" w:hAnsi="Abadi" w:cs="ArialMT"/>
          <w:sz w:val="21"/>
          <w:szCs w:val="21"/>
        </w:rPr>
        <w:t xml:space="preserve"> </w:t>
      </w:r>
      <w:r w:rsidRPr="00ED26A2">
        <w:rPr>
          <w:rFonts w:ascii="Abadi" w:hAnsi="Abadi" w:cs="ArialMT"/>
          <w:sz w:val="21"/>
          <w:szCs w:val="21"/>
        </w:rPr>
        <w:t>la jurisprudencia referida en el cuerpo de la presente iniciativa emitida por la</w:t>
      </w:r>
      <w:r>
        <w:rPr>
          <w:rFonts w:ascii="Abadi" w:hAnsi="Abadi" w:cs="ArialMT"/>
          <w:sz w:val="21"/>
          <w:szCs w:val="21"/>
        </w:rPr>
        <w:t xml:space="preserve"> </w:t>
      </w:r>
      <w:r w:rsidRPr="00ED26A2">
        <w:rPr>
          <w:rFonts w:ascii="Abadi" w:hAnsi="Abadi" w:cs="ArialMT"/>
          <w:sz w:val="21"/>
          <w:szCs w:val="21"/>
        </w:rPr>
        <w:t>Sala Superior del Tribunal Electoral del Poder Judicial de la Federación, así</w:t>
      </w:r>
      <w:r>
        <w:rPr>
          <w:rFonts w:ascii="Abadi" w:hAnsi="Abadi" w:cs="ArialMT"/>
          <w:sz w:val="21"/>
          <w:szCs w:val="21"/>
        </w:rPr>
        <w:t xml:space="preserve"> </w:t>
      </w:r>
      <w:r w:rsidRPr="00ED26A2">
        <w:rPr>
          <w:rFonts w:ascii="Abadi" w:hAnsi="Abadi" w:cs="ArialMT"/>
          <w:sz w:val="21"/>
          <w:szCs w:val="21"/>
        </w:rPr>
        <w:t>como a los criterios emitidos por la Corte Interamericana de Derechos</w:t>
      </w:r>
      <w:r>
        <w:rPr>
          <w:rFonts w:ascii="Abadi" w:hAnsi="Abadi" w:cs="ArialMT"/>
          <w:sz w:val="21"/>
          <w:szCs w:val="21"/>
        </w:rPr>
        <w:t xml:space="preserve"> </w:t>
      </w:r>
      <w:r w:rsidRPr="00ED26A2">
        <w:rPr>
          <w:rFonts w:ascii="Abadi" w:hAnsi="Abadi" w:cs="ArialMT"/>
          <w:sz w:val="21"/>
          <w:szCs w:val="21"/>
        </w:rPr>
        <w:t>Humanos, así como a la Convención sobre los Derechos del Niño de las</w:t>
      </w:r>
      <w:r>
        <w:rPr>
          <w:rFonts w:ascii="Abadi" w:hAnsi="Abadi" w:cs="ArialMT"/>
          <w:sz w:val="21"/>
          <w:szCs w:val="21"/>
        </w:rPr>
        <w:t xml:space="preserve"> </w:t>
      </w:r>
      <w:r w:rsidRPr="00ED26A2">
        <w:rPr>
          <w:rFonts w:ascii="Abadi" w:hAnsi="Abadi" w:cs="ArialMT"/>
          <w:sz w:val="21"/>
          <w:szCs w:val="21"/>
        </w:rPr>
        <w:t>Naciones Unidas y a las Observaciones Generales del Comité de Derechos</w:t>
      </w:r>
      <w:r>
        <w:rPr>
          <w:rFonts w:ascii="Abadi" w:hAnsi="Abadi" w:cs="ArialMT"/>
          <w:sz w:val="21"/>
          <w:szCs w:val="21"/>
        </w:rPr>
        <w:t xml:space="preserve"> </w:t>
      </w:r>
      <w:r w:rsidRPr="00ED26A2">
        <w:rPr>
          <w:rFonts w:ascii="Abadi" w:hAnsi="Abadi" w:cs="ArialMT"/>
          <w:sz w:val="21"/>
          <w:szCs w:val="21"/>
        </w:rPr>
        <w:t>del Niño y amplia su espectro de protección de la intimidad del niño, niña y</w:t>
      </w:r>
      <w:r>
        <w:rPr>
          <w:rFonts w:ascii="Abadi" w:hAnsi="Abadi" w:cs="ArialMT"/>
          <w:sz w:val="21"/>
          <w:szCs w:val="21"/>
        </w:rPr>
        <w:t xml:space="preserve"> </w:t>
      </w:r>
      <w:r w:rsidRPr="00ED26A2">
        <w:rPr>
          <w:rFonts w:ascii="Abadi" w:hAnsi="Abadi" w:cs="ArialMT"/>
          <w:sz w:val="21"/>
          <w:szCs w:val="21"/>
        </w:rPr>
        <w:t>adolescente a los actos de precampaña electoral.</w:t>
      </w:r>
    </w:p>
    <w:p w14:paraId="42525EA0" w14:textId="77777777" w:rsidR="00306DA7" w:rsidRDefault="00306DA7" w:rsidP="00306DA7">
      <w:pPr>
        <w:autoSpaceDE w:val="0"/>
        <w:autoSpaceDN w:val="0"/>
        <w:adjustRightInd w:val="0"/>
        <w:jc w:val="both"/>
        <w:rPr>
          <w:rFonts w:ascii="Abadi" w:hAnsi="Abadi" w:cs="ArialMT"/>
          <w:sz w:val="21"/>
          <w:szCs w:val="21"/>
        </w:rPr>
      </w:pPr>
    </w:p>
    <w:p w14:paraId="6D04F9D0"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Como segundo aspecto de la presente propuesta de iniciativa, al considerar</w:t>
      </w:r>
      <w:r>
        <w:rPr>
          <w:rFonts w:ascii="Abadi" w:hAnsi="Abadi" w:cs="ArialMT"/>
          <w:sz w:val="21"/>
          <w:szCs w:val="21"/>
        </w:rPr>
        <w:t xml:space="preserve"> </w:t>
      </w:r>
      <w:r w:rsidRPr="00ED26A2">
        <w:rPr>
          <w:rFonts w:ascii="Abadi" w:hAnsi="Abadi" w:cs="ArialMT"/>
          <w:sz w:val="21"/>
          <w:szCs w:val="21"/>
        </w:rPr>
        <w:t xml:space="preserve">el </w:t>
      </w:r>
      <w:r w:rsidRPr="00ED26A2">
        <w:rPr>
          <w:rFonts w:ascii="Abadi" w:hAnsi="Abadi" w:cs="ArialMT"/>
          <w:sz w:val="21"/>
          <w:szCs w:val="21"/>
        </w:rPr>
        <w:t>impacto del tema abordado en materia electoral en la Ley de los Derechos</w:t>
      </w:r>
      <w:r>
        <w:rPr>
          <w:rFonts w:ascii="Abadi" w:hAnsi="Abadi" w:cs="ArialMT"/>
          <w:sz w:val="21"/>
          <w:szCs w:val="21"/>
        </w:rPr>
        <w:t xml:space="preserve"> </w:t>
      </w:r>
      <w:r w:rsidRPr="00ED26A2">
        <w:rPr>
          <w:rFonts w:ascii="Abadi" w:hAnsi="Abadi" w:cs="ArialMT"/>
          <w:sz w:val="21"/>
          <w:szCs w:val="21"/>
        </w:rPr>
        <w:t>de Niñas, Niños y Adolescentes del Estado de Guanajuato; dado que, dentro</w:t>
      </w:r>
      <w:r>
        <w:rPr>
          <w:rFonts w:ascii="Abadi" w:hAnsi="Abadi" w:cs="ArialMT"/>
          <w:sz w:val="21"/>
          <w:szCs w:val="21"/>
        </w:rPr>
        <w:t xml:space="preserve"> </w:t>
      </w:r>
      <w:r w:rsidRPr="00ED26A2">
        <w:rPr>
          <w:rFonts w:ascii="Abadi" w:hAnsi="Abadi" w:cs="ArialMT"/>
          <w:sz w:val="21"/>
          <w:szCs w:val="21"/>
        </w:rPr>
        <w:t>del objeto de dicha ley, en sus fracciones I y II se comprende el</w:t>
      </w:r>
    </w:p>
    <w:p w14:paraId="72F08AA8"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reconocimiento y la garantía del respeto a los derechos de las personas</w:t>
      </w:r>
      <w:r>
        <w:rPr>
          <w:rFonts w:ascii="Abadi" w:hAnsi="Abadi" w:cs="ArialMT"/>
          <w:sz w:val="21"/>
          <w:szCs w:val="21"/>
        </w:rPr>
        <w:t xml:space="preserve"> </w:t>
      </w:r>
      <w:r w:rsidRPr="00ED26A2">
        <w:rPr>
          <w:rFonts w:ascii="Abadi" w:hAnsi="Abadi" w:cs="ArialMT"/>
          <w:sz w:val="21"/>
          <w:szCs w:val="21"/>
        </w:rPr>
        <w:t>menores de 18 años, con independencia de la materia, al establecer:</w:t>
      </w:r>
    </w:p>
    <w:p w14:paraId="11045707" w14:textId="77777777" w:rsidR="00306DA7" w:rsidRDefault="00306DA7" w:rsidP="00306DA7">
      <w:pPr>
        <w:autoSpaceDE w:val="0"/>
        <w:autoSpaceDN w:val="0"/>
        <w:adjustRightInd w:val="0"/>
        <w:jc w:val="both"/>
        <w:rPr>
          <w:rFonts w:ascii="Abadi" w:hAnsi="Abadi" w:cs="Arial-BoldItalicMT"/>
          <w:b/>
          <w:bCs/>
          <w:i/>
          <w:iCs/>
          <w:sz w:val="21"/>
          <w:szCs w:val="21"/>
        </w:rPr>
      </w:pPr>
    </w:p>
    <w:p w14:paraId="6E8B7517" w14:textId="77777777" w:rsidR="00306DA7" w:rsidRPr="00ED26A2" w:rsidRDefault="00306DA7" w:rsidP="00306DA7">
      <w:pPr>
        <w:autoSpaceDE w:val="0"/>
        <w:autoSpaceDN w:val="0"/>
        <w:adjustRightInd w:val="0"/>
        <w:jc w:val="both"/>
        <w:rPr>
          <w:rFonts w:ascii="Abadi" w:hAnsi="Abadi" w:cs="Arial-ItalicMT"/>
          <w:i/>
          <w:iCs/>
          <w:sz w:val="21"/>
          <w:szCs w:val="21"/>
        </w:rPr>
      </w:pPr>
      <w:r w:rsidRPr="00ED26A2">
        <w:rPr>
          <w:rFonts w:ascii="Abadi" w:hAnsi="Abadi" w:cs="Arial-BoldItalicMT"/>
          <w:b/>
          <w:bCs/>
          <w:i/>
          <w:iCs/>
          <w:sz w:val="21"/>
          <w:szCs w:val="21"/>
        </w:rPr>
        <w:t xml:space="preserve">“Artículo 1. </w:t>
      </w:r>
      <w:r w:rsidRPr="00ED26A2">
        <w:rPr>
          <w:rFonts w:ascii="Abadi" w:hAnsi="Abadi" w:cs="Arial-ItalicMT"/>
          <w:i/>
          <w:iCs/>
          <w:sz w:val="21"/>
          <w:szCs w:val="21"/>
        </w:rPr>
        <w:t>La presente Ley es de orden público e interés social y</w:t>
      </w:r>
      <w:r>
        <w:rPr>
          <w:rFonts w:ascii="Abadi" w:hAnsi="Abadi" w:cs="Arial-ItalicMT"/>
          <w:i/>
          <w:iCs/>
          <w:sz w:val="21"/>
          <w:szCs w:val="21"/>
        </w:rPr>
        <w:t xml:space="preserve"> </w:t>
      </w:r>
      <w:r w:rsidRPr="00ED26A2">
        <w:rPr>
          <w:rFonts w:ascii="Abadi" w:hAnsi="Abadi" w:cs="Arial-ItalicMT"/>
          <w:i/>
          <w:iCs/>
          <w:sz w:val="21"/>
          <w:szCs w:val="21"/>
        </w:rPr>
        <w:t>observancia general en el Estado de Guanajuato, y tiene por objeto:</w:t>
      </w:r>
    </w:p>
    <w:p w14:paraId="7717F37B" w14:textId="77777777" w:rsidR="00306DA7" w:rsidRDefault="00306DA7" w:rsidP="00306DA7">
      <w:pPr>
        <w:autoSpaceDE w:val="0"/>
        <w:autoSpaceDN w:val="0"/>
        <w:adjustRightInd w:val="0"/>
        <w:jc w:val="both"/>
        <w:rPr>
          <w:rFonts w:ascii="Abadi" w:hAnsi="Abadi" w:cs="Arial-BoldItalicMT"/>
          <w:b/>
          <w:bCs/>
          <w:i/>
          <w:iCs/>
          <w:sz w:val="21"/>
          <w:szCs w:val="21"/>
        </w:rPr>
      </w:pPr>
    </w:p>
    <w:p w14:paraId="6CE4A6E6" w14:textId="77777777" w:rsidR="00306DA7" w:rsidRPr="00ED26A2" w:rsidRDefault="00306DA7" w:rsidP="00306DA7">
      <w:pPr>
        <w:autoSpaceDE w:val="0"/>
        <w:autoSpaceDN w:val="0"/>
        <w:adjustRightInd w:val="0"/>
        <w:jc w:val="both"/>
        <w:rPr>
          <w:rFonts w:ascii="Abadi" w:hAnsi="Abadi" w:cs="Arial-ItalicMT"/>
          <w:i/>
          <w:iCs/>
          <w:sz w:val="21"/>
          <w:szCs w:val="21"/>
        </w:rPr>
      </w:pPr>
      <w:r w:rsidRPr="00ED26A2">
        <w:rPr>
          <w:rFonts w:ascii="Abadi" w:hAnsi="Abadi" w:cs="Arial-BoldItalicMT"/>
          <w:b/>
          <w:bCs/>
          <w:i/>
          <w:iCs/>
          <w:sz w:val="21"/>
          <w:szCs w:val="21"/>
        </w:rPr>
        <w:t xml:space="preserve">I. </w:t>
      </w:r>
      <w:r w:rsidRPr="00ED26A2">
        <w:rPr>
          <w:rFonts w:ascii="Abadi" w:hAnsi="Abadi" w:cs="Arial-ItalicMT"/>
          <w:i/>
          <w:iCs/>
          <w:sz w:val="21"/>
          <w:szCs w:val="21"/>
        </w:rPr>
        <w:t>Reconocer a niñas, niños y adolescentes, como titulares de derechos en</w:t>
      </w:r>
      <w:r>
        <w:rPr>
          <w:rFonts w:ascii="Abadi" w:hAnsi="Abadi" w:cs="Arial-ItalicMT"/>
          <w:i/>
          <w:iCs/>
          <w:sz w:val="21"/>
          <w:szCs w:val="21"/>
        </w:rPr>
        <w:t xml:space="preserve"> </w:t>
      </w:r>
      <w:r w:rsidRPr="00ED26A2">
        <w:rPr>
          <w:rFonts w:ascii="Abadi" w:hAnsi="Abadi" w:cs="Arial-ItalicMT"/>
          <w:i/>
          <w:iCs/>
          <w:sz w:val="21"/>
          <w:szCs w:val="21"/>
        </w:rPr>
        <w:t>los términos que establece la Constitución Política de los Estados Unidos</w:t>
      </w:r>
      <w:r>
        <w:rPr>
          <w:rFonts w:ascii="Abadi" w:hAnsi="Abadi" w:cs="Arial-ItalicMT"/>
          <w:i/>
          <w:iCs/>
          <w:sz w:val="21"/>
          <w:szCs w:val="21"/>
        </w:rPr>
        <w:t xml:space="preserve"> </w:t>
      </w:r>
      <w:r w:rsidRPr="00ED26A2">
        <w:rPr>
          <w:rFonts w:ascii="Abadi" w:hAnsi="Abadi" w:cs="Arial-ItalicMT"/>
          <w:i/>
          <w:iCs/>
          <w:sz w:val="21"/>
          <w:szCs w:val="21"/>
        </w:rPr>
        <w:t>Mexicanos y la Constitución Política para el Estado de Guanajuato, y demás</w:t>
      </w:r>
      <w:r>
        <w:rPr>
          <w:rFonts w:ascii="Abadi" w:hAnsi="Abadi" w:cs="Arial-ItalicMT"/>
          <w:i/>
          <w:iCs/>
          <w:sz w:val="21"/>
          <w:szCs w:val="21"/>
        </w:rPr>
        <w:t xml:space="preserve"> </w:t>
      </w:r>
      <w:r w:rsidRPr="00ED26A2">
        <w:rPr>
          <w:rFonts w:ascii="Abadi" w:hAnsi="Abadi" w:cs="Arial-ItalicMT"/>
          <w:i/>
          <w:iCs/>
          <w:sz w:val="21"/>
          <w:szCs w:val="21"/>
        </w:rPr>
        <w:t>ordenamientos legales;</w:t>
      </w:r>
    </w:p>
    <w:p w14:paraId="1AE3B114" w14:textId="77777777" w:rsidR="00306DA7" w:rsidRDefault="00306DA7" w:rsidP="00306DA7">
      <w:pPr>
        <w:autoSpaceDE w:val="0"/>
        <w:autoSpaceDN w:val="0"/>
        <w:adjustRightInd w:val="0"/>
        <w:jc w:val="both"/>
        <w:rPr>
          <w:rFonts w:ascii="Abadi" w:hAnsi="Abadi" w:cs="Arial-BoldItalicMT"/>
          <w:b/>
          <w:bCs/>
          <w:i/>
          <w:iCs/>
          <w:sz w:val="21"/>
          <w:szCs w:val="21"/>
        </w:rPr>
      </w:pPr>
    </w:p>
    <w:p w14:paraId="2C0D18EB" w14:textId="77777777" w:rsidR="00306DA7" w:rsidRDefault="00306DA7" w:rsidP="00306DA7">
      <w:pPr>
        <w:autoSpaceDE w:val="0"/>
        <w:autoSpaceDN w:val="0"/>
        <w:adjustRightInd w:val="0"/>
        <w:jc w:val="both"/>
        <w:rPr>
          <w:rFonts w:ascii="Abadi" w:hAnsi="Abadi" w:cs="Arial-BoldItalicMT"/>
          <w:b/>
          <w:bCs/>
          <w:i/>
          <w:iCs/>
          <w:sz w:val="21"/>
          <w:szCs w:val="21"/>
        </w:rPr>
      </w:pPr>
      <w:r w:rsidRPr="00ED26A2">
        <w:rPr>
          <w:rFonts w:ascii="Abadi" w:hAnsi="Abadi" w:cs="Arial-BoldItalicMT"/>
          <w:b/>
          <w:bCs/>
          <w:i/>
          <w:iCs/>
          <w:sz w:val="21"/>
          <w:szCs w:val="21"/>
        </w:rPr>
        <w:t xml:space="preserve">II. </w:t>
      </w:r>
      <w:r w:rsidRPr="00ED26A2">
        <w:rPr>
          <w:rFonts w:ascii="Abadi" w:hAnsi="Abadi" w:cs="Arial-ItalicMT"/>
          <w:i/>
          <w:iCs/>
          <w:sz w:val="21"/>
          <w:szCs w:val="21"/>
        </w:rPr>
        <w:t>Garantizar el pleno ejercicio, respeto, protección y promoción de los</w:t>
      </w:r>
      <w:r>
        <w:rPr>
          <w:rFonts w:ascii="Abadi" w:hAnsi="Abadi" w:cs="Arial-BoldItalicMT"/>
          <w:b/>
          <w:bCs/>
          <w:i/>
          <w:iCs/>
          <w:sz w:val="21"/>
          <w:szCs w:val="21"/>
        </w:rPr>
        <w:t xml:space="preserve"> </w:t>
      </w:r>
      <w:r w:rsidRPr="00ED26A2">
        <w:rPr>
          <w:rFonts w:ascii="Abadi" w:hAnsi="Abadi" w:cs="Arial-ItalicMT"/>
          <w:i/>
          <w:iCs/>
          <w:sz w:val="21"/>
          <w:szCs w:val="21"/>
        </w:rPr>
        <w:t>derechos de niñas, niños y adolescentes;…”</w:t>
      </w:r>
      <w:r>
        <w:rPr>
          <w:rFonts w:ascii="Abadi" w:hAnsi="Abadi" w:cs="Arial-BoldItalicMT"/>
          <w:b/>
          <w:bCs/>
          <w:i/>
          <w:iCs/>
          <w:sz w:val="21"/>
          <w:szCs w:val="21"/>
        </w:rPr>
        <w:t xml:space="preserve"> </w:t>
      </w:r>
    </w:p>
    <w:p w14:paraId="0D81C23F" w14:textId="77777777" w:rsidR="00306DA7" w:rsidRDefault="00306DA7" w:rsidP="00306DA7">
      <w:pPr>
        <w:autoSpaceDE w:val="0"/>
        <w:autoSpaceDN w:val="0"/>
        <w:adjustRightInd w:val="0"/>
        <w:jc w:val="both"/>
        <w:rPr>
          <w:rFonts w:ascii="Abadi" w:hAnsi="Abadi" w:cs="ArialMT"/>
          <w:sz w:val="21"/>
          <w:szCs w:val="21"/>
        </w:rPr>
      </w:pPr>
    </w:p>
    <w:p w14:paraId="46059A51" w14:textId="77777777" w:rsidR="00306DA7" w:rsidRPr="00D05F97" w:rsidRDefault="00306DA7" w:rsidP="00306DA7">
      <w:pPr>
        <w:autoSpaceDE w:val="0"/>
        <w:autoSpaceDN w:val="0"/>
        <w:adjustRightInd w:val="0"/>
        <w:jc w:val="both"/>
        <w:rPr>
          <w:rFonts w:ascii="Abadi" w:hAnsi="Abadi" w:cs="Arial-BoldItalicMT"/>
          <w:b/>
          <w:bCs/>
          <w:i/>
          <w:iCs/>
          <w:sz w:val="21"/>
          <w:szCs w:val="21"/>
        </w:rPr>
      </w:pPr>
      <w:r w:rsidRPr="00ED26A2">
        <w:rPr>
          <w:rFonts w:ascii="Abadi" w:hAnsi="Abadi" w:cs="ArialMT"/>
          <w:sz w:val="21"/>
          <w:szCs w:val="21"/>
        </w:rPr>
        <w:t>Por lo que con independencia de la reforma que se propone a la ley electoral</w:t>
      </w:r>
      <w:r>
        <w:rPr>
          <w:rFonts w:ascii="Abadi" w:hAnsi="Abadi" w:cs="Arial-BoldItalicMT"/>
          <w:b/>
          <w:bCs/>
          <w:i/>
          <w:iCs/>
          <w:sz w:val="21"/>
          <w:szCs w:val="21"/>
        </w:rPr>
        <w:t xml:space="preserve"> </w:t>
      </w:r>
      <w:r w:rsidRPr="00ED26A2">
        <w:rPr>
          <w:rFonts w:ascii="Abadi" w:hAnsi="Abadi" w:cs="ArialMT"/>
          <w:sz w:val="21"/>
          <w:szCs w:val="21"/>
        </w:rPr>
        <w:t>sobre el respeto a los principios de interés superior del niño, niña y</w:t>
      </w:r>
      <w:r>
        <w:rPr>
          <w:rFonts w:ascii="Abadi" w:hAnsi="Abadi" w:cs="Arial-BoldItalicMT"/>
          <w:b/>
          <w:bCs/>
          <w:i/>
          <w:iCs/>
          <w:sz w:val="21"/>
          <w:szCs w:val="21"/>
        </w:rPr>
        <w:t xml:space="preserve"> </w:t>
      </w:r>
      <w:r w:rsidRPr="00ED26A2">
        <w:rPr>
          <w:rFonts w:ascii="Abadi" w:hAnsi="Abadi" w:cs="ArialMT"/>
          <w:sz w:val="21"/>
          <w:szCs w:val="21"/>
        </w:rPr>
        <w:t>adolescente, así como los de respeto a su intimidad y dignidad el derecho a</w:t>
      </w:r>
      <w:r>
        <w:rPr>
          <w:rFonts w:ascii="Abadi" w:hAnsi="Abadi" w:cs="Arial-BoldItalicMT"/>
          <w:b/>
          <w:bCs/>
          <w:i/>
          <w:iCs/>
          <w:sz w:val="21"/>
          <w:szCs w:val="21"/>
        </w:rPr>
        <w:t xml:space="preserve"> </w:t>
      </w:r>
      <w:r w:rsidRPr="00ED26A2">
        <w:rPr>
          <w:rFonts w:ascii="Abadi" w:hAnsi="Abadi" w:cs="ArialMT"/>
          <w:sz w:val="21"/>
          <w:szCs w:val="21"/>
        </w:rPr>
        <w:t>que su imagen no sea utilizada en precampañas, campañas o propaganda</w:t>
      </w:r>
    </w:p>
    <w:p w14:paraId="5FFDEE70"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político electoral, consideramos que este aspecto, como complemento</w:t>
      </w:r>
      <w:r>
        <w:rPr>
          <w:rFonts w:ascii="Abadi" w:hAnsi="Abadi" w:cs="ArialMT"/>
          <w:sz w:val="21"/>
          <w:szCs w:val="21"/>
        </w:rPr>
        <w:t xml:space="preserve"> </w:t>
      </w:r>
      <w:r w:rsidRPr="00ED26A2">
        <w:rPr>
          <w:rFonts w:ascii="Abadi" w:hAnsi="Abadi" w:cs="ArialMT"/>
          <w:sz w:val="21"/>
          <w:szCs w:val="21"/>
        </w:rPr>
        <w:t>necesario adicionar un segundo párrafo al artículo 71 de la Ley de los</w:t>
      </w:r>
      <w:r>
        <w:rPr>
          <w:rFonts w:ascii="Abadi" w:hAnsi="Abadi" w:cs="ArialMT"/>
          <w:sz w:val="21"/>
          <w:szCs w:val="21"/>
        </w:rPr>
        <w:t xml:space="preserve"> </w:t>
      </w:r>
      <w:r w:rsidRPr="00ED26A2">
        <w:rPr>
          <w:rFonts w:ascii="Abadi" w:hAnsi="Abadi" w:cs="ArialMT"/>
          <w:sz w:val="21"/>
          <w:szCs w:val="21"/>
        </w:rPr>
        <w:t>Derechos de Niñas, Niños y Adolescentes del Estado de Guanajuato, relativo</w:t>
      </w:r>
      <w:r>
        <w:rPr>
          <w:rFonts w:ascii="Abadi" w:hAnsi="Abadi" w:cs="ArialMT"/>
          <w:sz w:val="21"/>
          <w:szCs w:val="21"/>
        </w:rPr>
        <w:t xml:space="preserve"> </w:t>
      </w:r>
      <w:r w:rsidRPr="00ED26A2">
        <w:rPr>
          <w:rFonts w:ascii="Abadi" w:hAnsi="Abadi" w:cs="ArialMT"/>
          <w:sz w:val="21"/>
          <w:szCs w:val="21"/>
        </w:rPr>
        <w:t>a la protección de la identidad e intimidad del o la menor de 18 años, el cual</w:t>
      </w:r>
      <w:r>
        <w:rPr>
          <w:rFonts w:ascii="Abadi" w:hAnsi="Abadi" w:cs="ArialMT"/>
          <w:sz w:val="21"/>
          <w:szCs w:val="21"/>
        </w:rPr>
        <w:t xml:space="preserve"> </w:t>
      </w:r>
      <w:r w:rsidRPr="00ED26A2">
        <w:rPr>
          <w:rFonts w:ascii="Abadi" w:hAnsi="Abadi" w:cs="ArialMT"/>
          <w:sz w:val="21"/>
          <w:szCs w:val="21"/>
        </w:rPr>
        <w:t>a la fecha señala, en forma textual:</w:t>
      </w:r>
    </w:p>
    <w:p w14:paraId="2BB136CD" w14:textId="77777777" w:rsidR="00306DA7" w:rsidRDefault="00306DA7" w:rsidP="00306DA7">
      <w:pPr>
        <w:autoSpaceDE w:val="0"/>
        <w:autoSpaceDN w:val="0"/>
        <w:adjustRightInd w:val="0"/>
        <w:jc w:val="both"/>
        <w:rPr>
          <w:rFonts w:ascii="Abadi" w:hAnsi="Abadi" w:cs="Arial-BoldItalicMT"/>
          <w:b/>
          <w:bCs/>
          <w:i/>
          <w:iCs/>
          <w:sz w:val="21"/>
          <w:szCs w:val="21"/>
        </w:rPr>
      </w:pPr>
    </w:p>
    <w:p w14:paraId="48901078" w14:textId="77777777" w:rsidR="00306DA7" w:rsidRPr="00ED26A2" w:rsidRDefault="00306DA7" w:rsidP="00306DA7">
      <w:pPr>
        <w:autoSpaceDE w:val="0"/>
        <w:autoSpaceDN w:val="0"/>
        <w:adjustRightInd w:val="0"/>
        <w:jc w:val="right"/>
        <w:rPr>
          <w:rFonts w:ascii="Abadi" w:hAnsi="Abadi" w:cs="Arial-BoldItalicMT"/>
          <w:b/>
          <w:bCs/>
          <w:i/>
          <w:iCs/>
          <w:sz w:val="21"/>
          <w:szCs w:val="21"/>
        </w:rPr>
      </w:pPr>
      <w:r w:rsidRPr="00ED26A2">
        <w:rPr>
          <w:rFonts w:ascii="Abadi" w:hAnsi="Abadi" w:cs="Arial-BoldItalicMT"/>
          <w:b/>
          <w:bCs/>
          <w:i/>
          <w:iCs/>
          <w:sz w:val="21"/>
          <w:szCs w:val="21"/>
        </w:rPr>
        <w:t>“Protección de la identidad e intimidad</w:t>
      </w:r>
    </w:p>
    <w:p w14:paraId="59D495B2" w14:textId="77777777" w:rsidR="00306DA7" w:rsidRPr="00ED26A2" w:rsidRDefault="00306DA7" w:rsidP="00306DA7">
      <w:pPr>
        <w:autoSpaceDE w:val="0"/>
        <w:autoSpaceDN w:val="0"/>
        <w:adjustRightInd w:val="0"/>
        <w:jc w:val="both"/>
        <w:rPr>
          <w:rFonts w:ascii="Abadi" w:hAnsi="Abadi" w:cs="Arial-ItalicMT"/>
          <w:i/>
          <w:iCs/>
          <w:sz w:val="21"/>
          <w:szCs w:val="21"/>
        </w:rPr>
      </w:pPr>
      <w:r w:rsidRPr="00ED26A2">
        <w:rPr>
          <w:rFonts w:ascii="Abadi" w:hAnsi="Abadi" w:cs="Arial-BoldItalicMT"/>
          <w:b/>
          <w:bCs/>
          <w:i/>
          <w:iCs/>
          <w:sz w:val="21"/>
          <w:szCs w:val="21"/>
        </w:rPr>
        <w:t xml:space="preserve">Artículo 71. </w:t>
      </w:r>
      <w:r w:rsidRPr="00ED26A2">
        <w:rPr>
          <w:rFonts w:ascii="Abadi" w:hAnsi="Abadi" w:cs="Arial-ItalicMT"/>
          <w:i/>
          <w:iCs/>
          <w:sz w:val="21"/>
          <w:szCs w:val="21"/>
        </w:rPr>
        <w:t>Las autoridades estatales y municipales en el ámbito de sus</w:t>
      </w:r>
      <w:r>
        <w:rPr>
          <w:rFonts w:ascii="Abadi" w:hAnsi="Abadi" w:cs="Arial-ItalicMT"/>
          <w:i/>
          <w:iCs/>
          <w:sz w:val="21"/>
          <w:szCs w:val="21"/>
        </w:rPr>
        <w:t xml:space="preserve"> </w:t>
      </w:r>
      <w:r w:rsidRPr="00ED26A2">
        <w:rPr>
          <w:rFonts w:ascii="Abadi" w:hAnsi="Abadi" w:cs="Arial-ItalicMT"/>
          <w:i/>
          <w:iCs/>
          <w:sz w:val="21"/>
          <w:szCs w:val="21"/>
        </w:rPr>
        <w:t xml:space="preserve">respectivas competencias, garantizarán la protección de la identidad </w:t>
      </w:r>
      <w:r>
        <w:rPr>
          <w:rFonts w:ascii="Abadi" w:hAnsi="Abadi" w:cs="Arial-ItalicMT"/>
          <w:i/>
          <w:iCs/>
          <w:sz w:val="21"/>
          <w:szCs w:val="21"/>
        </w:rPr>
        <w:t xml:space="preserve">e </w:t>
      </w:r>
      <w:r w:rsidRPr="00ED26A2">
        <w:rPr>
          <w:rFonts w:ascii="Abadi" w:hAnsi="Abadi" w:cs="Arial-ItalicMT"/>
          <w:i/>
          <w:iCs/>
          <w:sz w:val="21"/>
          <w:szCs w:val="21"/>
        </w:rPr>
        <w:t>intimidad de niñas, niños y adolescentes que sean víctimas, ofendidos,</w:t>
      </w:r>
      <w:r>
        <w:rPr>
          <w:rFonts w:ascii="Abadi" w:hAnsi="Abadi" w:cs="Arial-ItalicMT"/>
          <w:i/>
          <w:iCs/>
          <w:sz w:val="21"/>
          <w:szCs w:val="21"/>
        </w:rPr>
        <w:t xml:space="preserve"> </w:t>
      </w:r>
      <w:r w:rsidRPr="00ED26A2">
        <w:rPr>
          <w:rFonts w:ascii="Abadi" w:hAnsi="Abadi" w:cs="Arial-ItalicMT"/>
          <w:i/>
          <w:iCs/>
          <w:sz w:val="21"/>
          <w:szCs w:val="21"/>
        </w:rPr>
        <w:t>testigos o que estén relacionados de cualquier manera en la comisión de un</w:t>
      </w:r>
      <w:r>
        <w:rPr>
          <w:rFonts w:ascii="Abadi" w:hAnsi="Abadi" w:cs="Arial-ItalicMT"/>
          <w:i/>
          <w:iCs/>
          <w:sz w:val="21"/>
          <w:szCs w:val="21"/>
        </w:rPr>
        <w:t xml:space="preserve"> </w:t>
      </w:r>
      <w:r w:rsidRPr="00ED26A2">
        <w:rPr>
          <w:rFonts w:ascii="Abadi" w:hAnsi="Abadi" w:cs="Arial-ItalicMT"/>
          <w:i/>
          <w:iCs/>
          <w:sz w:val="21"/>
          <w:szCs w:val="21"/>
        </w:rPr>
        <w:t>hecho delictuoso, a fin de evitar su identificación pública. La misma protección</w:t>
      </w:r>
      <w:r>
        <w:rPr>
          <w:rFonts w:ascii="Abadi" w:hAnsi="Abadi" w:cs="Arial-ItalicMT"/>
          <w:i/>
          <w:iCs/>
          <w:sz w:val="21"/>
          <w:szCs w:val="21"/>
        </w:rPr>
        <w:t xml:space="preserve"> </w:t>
      </w:r>
      <w:r w:rsidRPr="00ED26A2">
        <w:rPr>
          <w:rFonts w:ascii="Abadi" w:hAnsi="Abadi" w:cs="Arial-ItalicMT"/>
          <w:i/>
          <w:iCs/>
          <w:sz w:val="21"/>
          <w:szCs w:val="21"/>
        </w:rPr>
        <w:t>se otorgará a adolescentes a quienes se les atribuya la realización o</w:t>
      </w:r>
      <w:r>
        <w:rPr>
          <w:rFonts w:ascii="Abadi" w:hAnsi="Abadi" w:cs="Arial-ItalicMT"/>
          <w:i/>
          <w:iCs/>
          <w:sz w:val="21"/>
          <w:szCs w:val="21"/>
        </w:rPr>
        <w:t xml:space="preserve"> </w:t>
      </w:r>
      <w:r w:rsidRPr="00ED26A2">
        <w:rPr>
          <w:rFonts w:ascii="Abadi" w:hAnsi="Abadi" w:cs="Arial-ItalicMT"/>
          <w:i/>
          <w:iCs/>
          <w:sz w:val="21"/>
          <w:szCs w:val="21"/>
        </w:rPr>
        <w:t>participación en un delito, conforme a la legislación penal aplicable.”</w:t>
      </w:r>
    </w:p>
    <w:p w14:paraId="4B7FC027" w14:textId="77777777" w:rsidR="00306DA7" w:rsidRDefault="00306DA7" w:rsidP="00306DA7">
      <w:pPr>
        <w:autoSpaceDE w:val="0"/>
        <w:autoSpaceDN w:val="0"/>
        <w:adjustRightInd w:val="0"/>
        <w:jc w:val="both"/>
        <w:rPr>
          <w:rFonts w:ascii="Abadi" w:hAnsi="Abadi" w:cs="ArialMT"/>
          <w:sz w:val="21"/>
          <w:szCs w:val="21"/>
        </w:rPr>
      </w:pPr>
    </w:p>
    <w:p w14:paraId="7EFB86FC"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lastRenderedPageBreak/>
        <w:t>Como puede contemplarse, este precepto tutela la protección de identidad e</w:t>
      </w:r>
      <w:r>
        <w:rPr>
          <w:rFonts w:ascii="Abadi" w:hAnsi="Abadi" w:cs="ArialMT"/>
          <w:sz w:val="21"/>
          <w:szCs w:val="21"/>
        </w:rPr>
        <w:t xml:space="preserve"> </w:t>
      </w:r>
      <w:r w:rsidRPr="00ED26A2">
        <w:rPr>
          <w:rFonts w:ascii="Abadi" w:hAnsi="Abadi" w:cs="ArialMT"/>
          <w:sz w:val="21"/>
          <w:szCs w:val="21"/>
        </w:rPr>
        <w:t>intimidad de los menores que estén relacionados con el derecho penal como</w:t>
      </w:r>
      <w:r>
        <w:rPr>
          <w:rFonts w:ascii="Abadi" w:hAnsi="Abadi" w:cs="ArialMT"/>
          <w:sz w:val="21"/>
          <w:szCs w:val="21"/>
        </w:rPr>
        <w:t xml:space="preserve"> </w:t>
      </w:r>
      <w:r w:rsidRPr="00ED26A2">
        <w:rPr>
          <w:rFonts w:ascii="Abadi" w:hAnsi="Abadi" w:cs="ArialMT"/>
          <w:sz w:val="21"/>
          <w:szCs w:val="21"/>
        </w:rPr>
        <w:t>víctimas, ofendidos o testigos o bien con la Ley Nacional del Sistema Integral</w:t>
      </w:r>
      <w:r>
        <w:rPr>
          <w:rFonts w:ascii="Abadi" w:hAnsi="Abadi" w:cs="ArialMT"/>
          <w:sz w:val="21"/>
          <w:szCs w:val="21"/>
        </w:rPr>
        <w:t xml:space="preserve"> </w:t>
      </w:r>
      <w:r w:rsidRPr="00ED26A2">
        <w:rPr>
          <w:rFonts w:ascii="Abadi" w:hAnsi="Abadi" w:cs="ArialMT"/>
          <w:sz w:val="21"/>
          <w:szCs w:val="21"/>
        </w:rPr>
        <w:t>de Justicia Penal para Adolescentes, publicada en el Diario Oficial de la</w:t>
      </w:r>
      <w:r>
        <w:rPr>
          <w:rFonts w:ascii="Abadi" w:hAnsi="Abadi" w:cs="ArialMT"/>
          <w:sz w:val="21"/>
          <w:szCs w:val="21"/>
        </w:rPr>
        <w:t xml:space="preserve"> </w:t>
      </w:r>
      <w:r w:rsidRPr="00ED26A2">
        <w:rPr>
          <w:rFonts w:ascii="Abadi" w:hAnsi="Abadi" w:cs="ArialMT"/>
          <w:sz w:val="21"/>
          <w:szCs w:val="21"/>
        </w:rPr>
        <w:t>Federación el 16 de junio de 2016.</w:t>
      </w:r>
    </w:p>
    <w:p w14:paraId="12766431" w14:textId="77777777" w:rsidR="00306DA7" w:rsidRDefault="00306DA7" w:rsidP="00306DA7">
      <w:pPr>
        <w:autoSpaceDE w:val="0"/>
        <w:autoSpaceDN w:val="0"/>
        <w:adjustRightInd w:val="0"/>
        <w:jc w:val="both"/>
        <w:rPr>
          <w:rFonts w:ascii="Abadi" w:hAnsi="Abadi" w:cs="ArialMT"/>
          <w:sz w:val="21"/>
          <w:szCs w:val="21"/>
        </w:rPr>
      </w:pPr>
    </w:p>
    <w:p w14:paraId="62EE5BFA"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Por lo que estimamos que es adecuado adicionar un segundo párrafo al</w:t>
      </w:r>
      <w:r>
        <w:rPr>
          <w:rFonts w:ascii="Abadi" w:hAnsi="Abadi" w:cs="ArialMT"/>
          <w:sz w:val="21"/>
          <w:szCs w:val="21"/>
        </w:rPr>
        <w:t xml:space="preserve"> </w:t>
      </w:r>
      <w:r w:rsidRPr="00ED26A2">
        <w:rPr>
          <w:rFonts w:ascii="Abadi" w:hAnsi="Abadi" w:cs="ArialMT"/>
          <w:sz w:val="21"/>
          <w:szCs w:val="21"/>
        </w:rPr>
        <w:t>artículo 71 de la Ley de los Derechos de Niñas, Niños y Adolescentes del</w:t>
      </w:r>
      <w:r>
        <w:rPr>
          <w:rFonts w:ascii="Abadi" w:hAnsi="Abadi" w:cs="ArialMT"/>
          <w:sz w:val="21"/>
          <w:szCs w:val="21"/>
        </w:rPr>
        <w:t xml:space="preserve"> </w:t>
      </w:r>
      <w:r w:rsidRPr="00ED26A2">
        <w:rPr>
          <w:rFonts w:ascii="Abadi" w:hAnsi="Abadi" w:cs="ArialMT"/>
          <w:sz w:val="21"/>
          <w:szCs w:val="21"/>
        </w:rPr>
        <w:t>Estado de Guanajuato, con la finalidad de agregar la protección de las niñas,</w:t>
      </w:r>
      <w:r>
        <w:rPr>
          <w:rFonts w:ascii="Abadi" w:hAnsi="Abadi" w:cs="ArialMT"/>
          <w:sz w:val="21"/>
          <w:szCs w:val="21"/>
        </w:rPr>
        <w:t xml:space="preserve"> </w:t>
      </w:r>
      <w:r w:rsidRPr="00ED26A2">
        <w:rPr>
          <w:rFonts w:ascii="Abadi" w:hAnsi="Abadi" w:cs="ArialMT"/>
          <w:sz w:val="21"/>
          <w:szCs w:val="21"/>
        </w:rPr>
        <w:t>niños y adolescentes en el estado de Guanajuato, relacionada con la materia</w:t>
      </w:r>
      <w:r>
        <w:rPr>
          <w:rFonts w:ascii="Abadi" w:hAnsi="Abadi" w:cs="ArialMT"/>
          <w:sz w:val="21"/>
          <w:szCs w:val="21"/>
        </w:rPr>
        <w:t xml:space="preserve"> </w:t>
      </w:r>
      <w:r w:rsidRPr="00ED26A2">
        <w:rPr>
          <w:rFonts w:ascii="Abadi" w:hAnsi="Abadi" w:cs="ArialMT"/>
          <w:sz w:val="21"/>
          <w:szCs w:val="21"/>
        </w:rPr>
        <w:t>electoral, en la que es constante la violación de derechos humanos y la violación a los principios de interés superior de la niñez y del derecho a la</w:t>
      </w:r>
      <w:r>
        <w:rPr>
          <w:rFonts w:ascii="Abadi" w:hAnsi="Abadi" w:cs="ArialMT"/>
          <w:sz w:val="21"/>
          <w:szCs w:val="21"/>
        </w:rPr>
        <w:t xml:space="preserve"> </w:t>
      </w:r>
      <w:r w:rsidRPr="00ED26A2">
        <w:rPr>
          <w:rFonts w:ascii="Abadi" w:hAnsi="Abadi" w:cs="ArialMT"/>
          <w:sz w:val="21"/>
          <w:szCs w:val="21"/>
        </w:rPr>
        <w:t>protección de su intimidad, por lo que ahora se propone que las autoridades</w:t>
      </w:r>
      <w:r>
        <w:rPr>
          <w:rFonts w:ascii="Abadi" w:hAnsi="Abadi" w:cs="ArialMT"/>
          <w:sz w:val="21"/>
          <w:szCs w:val="21"/>
        </w:rPr>
        <w:t xml:space="preserve"> </w:t>
      </w:r>
      <w:r w:rsidRPr="00ED26A2">
        <w:rPr>
          <w:rFonts w:ascii="Abadi" w:hAnsi="Abadi" w:cs="ArialMT"/>
          <w:sz w:val="21"/>
          <w:szCs w:val="21"/>
        </w:rPr>
        <w:t>estatales y municipales en materia electoral sean las que garanticen que en</w:t>
      </w:r>
      <w:r>
        <w:rPr>
          <w:rFonts w:ascii="Abadi" w:hAnsi="Abadi" w:cs="ArialMT"/>
          <w:sz w:val="21"/>
          <w:szCs w:val="21"/>
        </w:rPr>
        <w:t xml:space="preserve"> </w:t>
      </w:r>
      <w:r w:rsidRPr="00ED26A2">
        <w:rPr>
          <w:rFonts w:ascii="Abadi" w:hAnsi="Abadi" w:cs="ArialMT"/>
          <w:sz w:val="21"/>
          <w:szCs w:val="21"/>
        </w:rPr>
        <w:t>los procesos electorales en la entidad se observen dichos principios, cuando</w:t>
      </w:r>
      <w:r>
        <w:rPr>
          <w:rFonts w:ascii="Abadi" w:hAnsi="Abadi" w:cs="ArialMT"/>
          <w:sz w:val="21"/>
          <w:szCs w:val="21"/>
        </w:rPr>
        <w:t xml:space="preserve"> </w:t>
      </w:r>
      <w:r w:rsidRPr="00ED26A2">
        <w:rPr>
          <w:rFonts w:ascii="Abadi" w:hAnsi="Abadi" w:cs="ArialMT"/>
          <w:sz w:val="21"/>
          <w:szCs w:val="21"/>
        </w:rPr>
        <w:t>se utilicen a niñas, niños y adolescentes o su imagen, para quedar en la forma</w:t>
      </w:r>
      <w:r>
        <w:rPr>
          <w:rFonts w:ascii="Abadi" w:hAnsi="Abadi" w:cs="ArialMT"/>
          <w:sz w:val="21"/>
          <w:szCs w:val="21"/>
        </w:rPr>
        <w:t xml:space="preserve"> </w:t>
      </w:r>
      <w:r w:rsidRPr="00ED26A2">
        <w:rPr>
          <w:rFonts w:ascii="Abadi" w:hAnsi="Abadi" w:cs="ArialMT"/>
          <w:sz w:val="21"/>
          <w:szCs w:val="21"/>
        </w:rPr>
        <w:t>siguiente:</w:t>
      </w:r>
    </w:p>
    <w:p w14:paraId="6D4B7E27" w14:textId="77777777" w:rsidR="00306DA7" w:rsidRDefault="00306DA7" w:rsidP="00306DA7">
      <w:pPr>
        <w:autoSpaceDE w:val="0"/>
        <w:autoSpaceDN w:val="0"/>
        <w:adjustRightInd w:val="0"/>
        <w:jc w:val="both"/>
        <w:rPr>
          <w:rFonts w:ascii="Abadi" w:hAnsi="Abadi" w:cs="Arial-BoldItalicMT"/>
          <w:b/>
          <w:bCs/>
          <w:i/>
          <w:iCs/>
          <w:sz w:val="21"/>
          <w:szCs w:val="21"/>
        </w:rPr>
      </w:pPr>
    </w:p>
    <w:p w14:paraId="0433936F" w14:textId="77777777" w:rsidR="00306DA7" w:rsidRPr="00ED26A2" w:rsidRDefault="00306DA7" w:rsidP="00306DA7">
      <w:pPr>
        <w:autoSpaceDE w:val="0"/>
        <w:autoSpaceDN w:val="0"/>
        <w:adjustRightInd w:val="0"/>
        <w:jc w:val="right"/>
        <w:rPr>
          <w:rFonts w:ascii="Abadi" w:hAnsi="Abadi" w:cs="Arial-BoldItalicMT"/>
          <w:b/>
          <w:bCs/>
          <w:i/>
          <w:iCs/>
          <w:sz w:val="21"/>
          <w:szCs w:val="21"/>
        </w:rPr>
      </w:pPr>
      <w:r w:rsidRPr="00ED26A2">
        <w:rPr>
          <w:rFonts w:ascii="Abadi" w:hAnsi="Abadi" w:cs="Arial-BoldItalicMT"/>
          <w:b/>
          <w:bCs/>
          <w:i/>
          <w:iCs/>
          <w:sz w:val="21"/>
          <w:szCs w:val="21"/>
        </w:rPr>
        <w:t>“Protección de la identidad e intimidad</w:t>
      </w:r>
    </w:p>
    <w:p w14:paraId="49ABC724" w14:textId="77777777" w:rsidR="00306DA7" w:rsidRPr="00ED26A2" w:rsidRDefault="00306DA7" w:rsidP="00306DA7">
      <w:pPr>
        <w:autoSpaceDE w:val="0"/>
        <w:autoSpaceDN w:val="0"/>
        <w:adjustRightInd w:val="0"/>
        <w:jc w:val="both"/>
        <w:rPr>
          <w:rFonts w:ascii="Abadi" w:hAnsi="Abadi" w:cs="Arial-ItalicMT"/>
          <w:i/>
          <w:iCs/>
          <w:sz w:val="21"/>
          <w:szCs w:val="21"/>
        </w:rPr>
      </w:pPr>
      <w:r w:rsidRPr="00ED26A2">
        <w:rPr>
          <w:rFonts w:ascii="Abadi" w:hAnsi="Abadi" w:cs="Arial-BoldItalicMT"/>
          <w:b/>
          <w:bCs/>
          <w:i/>
          <w:iCs/>
          <w:sz w:val="21"/>
          <w:szCs w:val="21"/>
        </w:rPr>
        <w:t xml:space="preserve">“Artículo 71. </w:t>
      </w:r>
      <w:r w:rsidRPr="00ED26A2">
        <w:rPr>
          <w:rFonts w:ascii="Abadi" w:hAnsi="Abadi" w:cs="Arial-ItalicMT"/>
          <w:i/>
          <w:iCs/>
          <w:sz w:val="21"/>
          <w:szCs w:val="21"/>
        </w:rPr>
        <w:t>Las autoridades estatales y municipales en el ámbito de sus</w:t>
      </w:r>
      <w:r>
        <w:rPr>
          <w:rFonts w:ascii="Abadi" w:hAnsi="Abadi" w:cs="Arial-ItalicMT"/>
          <w:i/>
          <w:iCs/>
          <w:sz w:val="21"/>
          <w:szCs w:val="21"/>
        </w:rPr>
        <w:t xml:space="preserve"> </w:t>
      </w:r>
      <w:r w:rsidRPr="00ED26A2">
        <w:rPr>
          <w:rFonts w:ascii="Abadi" w:hAnsi="Abadi" w:cs="Arial-ItalicMT"/>
          <w:i/>
          <w:iCs/>
          <w:sz w:val="21"/>
          <w:szCs w:val="21"/>
        </w:rPr>
        <w:t>respectivas competencias…</w:t>
      </w:r>
    </w:p>
    <w:p w14:paraId="5E03844C" w14:textId="77777777" w:rsidR="00306DA7" w:rsidRDefault="00306DA7" w:rsidP="00306DA7">
      <w:pPr>
        <w:autoSpaceDE w:val="0"/>
        <w:autoSpaceDN w:val="0"/>
        <w:adjustRightInd w:val="0"/>
        <w:jc w:val="both"/>
        <w:rPr>
          <w:rFonts w:ascii="Abadi" w:hAnsi="Abadi" w:cs="Arial-BoldItalicMT"/>
          <w:b/>
          <w:bCs/>
          <w:i/>
          <w:iCs/>
          <w:sz w:val="21"/>
          <w:szCs w:val="21"/>
        </w:rPr>
      </w:pPr>
    </w:p>
    <w:p w14:paraId="72224F95" w14:textId="638BB4E7" w:rsidR="00306DA7" w:rsidRPr="00ED26A2" w:rsidRDefault="00306DA7" w:rsidP="00306DA7">
      <w:pPr>
        <w:autoSpaceDE w:val="0"/>
        <w:autoSpaceDN w:val="0"/>
        <w:adjustRightInd w:val="0"/>
        <w:jc w:val="both"/>
        <w:rPr>
          <w:rFonts w:ascii="Abadi" w:hAnsi="Abadi" w:cs="Arial-BoldItalicMT"/>
          <w:b/>
          <w:bCs/>
          <w:i/>
          <w:iCs/>
          <w:sz w:val="21"/>
          <w:szCs w:val="21"/>
        </w:rPr>
      </w:pPr>
      <w:r w:rsidRPr="00ED26A2">
        <w:rPr>
          <w:rFonts w:ascii="Abadi" w:hAnsi="Abadi" w:cs="Arial-BoldItalicMT"/>
          <w:b/>
          <w:bCs/>
          <w:i/>
          <w:iCs/>
          <w:sz w:val="21"/>
          <w:szCs w:val="21"/>
        </w:rPr>
        <w:t>En los procesos electorales las autoridades electorales estatales y</w:t>
      </w:r>
      <w:r>
        <w:rPr>
          <w:rFonts w:ascii="Abadi" w:hAnsi="Abadi" w:cs="Arial-BoldItalicMT"/>
          <w:b/>
          <w:bCs/>
          <w:i/>
          <w:iCs/>
          <w:sz w:val="21"/>
          <w:szCs w:val="21"/>
        </w:rPr>
        <w:t xml:space="preserve"> </w:t>
      </w:r>
      <w:r w:rsidRPr="00ED26A2">
        <w:rPr>
          <w:rFonts w:ascii="Abadi" w:hAnsi="Abadi" w:cs="Arial-BoldItalicMT"/>
          <w:b/>
          <w:bCs/>
          <w:i/>
          <w:iCs/>
          <w:sz w:val="21"/>
          <w:szCs w:val="21"/>
        </w:rPr>
        <w:t>municipales, deberán garantizar la protección de la identidad e</w:t>
      </w:r>
      <w:r>
        <w:rPr>
          <w:rFonts w:ascii="Abadi" w:hAnsi="Abadi" w:cs="Arial-BoldItalicMT"/>
          <w:b/>
          <w:bCs/>
          <w:i/>
          <w:iCs/>
          <w:sz w:val="21"/>
          <w:szCs w:val="21"/>
        </w:rPr>
        <w:t xml:space="preserve"> </w:t>
      </w:r>
      <w:r w:rsidRPr="00ED26A2">
        <w:rPr>
          <w:rFonts w:ascii="Abadi" w:hAnsi="Abadi" w:cs="Arial-BoldItalicMT"/>
          <w:b/>
          <w:bCs/>
          <w:i/>
          <w:iCs/>
          <w:sz w:val="21"/>
          <w:szCs w:val="21"/>
        </w:rPr>
        <w:t>intimidad de niñas, niños y adolescentes, mediante la utilización de su</w:t>
      </w:r>
      <w:r>
        <w:rPr>
          <w:rFonts w:ascii="Abadi" w:hAnsi="Abadi" w:cs="Arial-BoldItalicMT"/>
          <w:b/>
          <w:bCs/>
          <w:i/>
          <w:iCs/>
          <w:sz w:val="21"/>
          <w:szCs w:val="21"/>
        </w:rPr>
        <w:t xml:space="preserve"> </w:t>
      </w:r>
      <w:r w:rsidRPr="00ED26A2">
        <w:rPr>
          <w:rFonts w:ascii="Abadi" w:hAnsi="Abadi" w:cs="Arial-BoldItalicMT"/>
          <w:b/>
          <w:bCs/>
          <w:i/>
          <w:iCs/>
          <w:sz w:val="21"/>
          <w:szCs w:val="21"/>
        </w:rPr>
        <w:t xml:space="preserve">persona o su imagen en los actos de precampaña, </w:t>
      </w:r>
      <w:r w:rsidRPr="00ED26A2">
        <w:rPr>
          <w:rFonts w:ascii="Abadi" w:hAnsi="Abadi" w:cs="Arial-BoldMT"/>
          <w:b/>
          <w:bCs/>
          <w:sz w:val="21"/>
          <w:szCs w:val="21"/>
        </w:rPr>
        <w:t>campaña y actos de</w:t>
      </w:r>
      <w:r>
        <w:rPr>
          <w:rFonts w:ascii="Abadi" w:hAnsi="Abadi" w:cs="Arial-BoldItalicMT"/>
          <w:b/>
          <w:bCs/>
          <w:i/>
          <w:iCs/>
          <w:sz w:val="21"/>
          <w:szCs w:val="21"/>
        </w:rPr>
        <w:t xml:space="preserve"> </w:t>
      </w:r>
      <w:r w:rsidRPr="00ED26A2">
        <w:rPr>
          <w:rFonts w:ascii="Abadi" w:hAnsi="Abadi" w:cs="Arial-BoldItalicMT"/>
          <w:b/>
          <w:bCs/>
          <w:i/>
          <w:iCs/>
          <w:sz w:val="21"/>
          <w:szCs w:val="21"/>
        </w:rPr>
        <w:t>propaganda político electoral</w:t>
      </w:r>
      <w:r w:rsidRPr="00ED26A2">
        <w:rPr>
          <w:rFonts w:ascii="Abadi" w:hAnsi="Abadi" w:cs="Arial-BoldMT"/>
          <w:b/>
          <w:bCs/>
          <w:sz w:val="21"/>
          <w:szCs w:val="21"/>
        </w:rPr>
        <w:t xml:space="preserve">, </w:t>
      </w:r>
      <w:r w:rsidRPr="00ED26A2">
        <w:rPr>
          <w:rFonts w:ascii="Abadi" w:hAnsi="Abadi" w:cs="Arial-BoldItalicMT"/>
          <w:b/>
          <w:bCs/>
          <w:i/>
          <w:iCs/>
          <w:sz w:val="21"/>
          <w:szCs w:val="21"/>
        </w:rPr>
        <w:t xml:space="preserve">cuando su participación no </w:t>
      </w:r>
      <w:r w:rsidRPr="00ED26A2">
        <w:rPr>
          <w:rFonts w:ascii="Abadi" w:hAnsi="Abadi" w:cs="Arial-BoldMT"/>
          <w:b/>
          <w:bCs/>
          <w:sz w:val="21"/>
          <w:szCs w:val="21"/>
        </w:rPr>
        <w:t>esté libre de</w:t>
      </w:r>
      <w:r>
        <w:rPr>
          <w:rFonts w:ascii="Abadi" w:hAnsi="Abadi" w:cs="Arial-BoldItalicMT"/>
          <w:b/>
          <w:bCs/>
          <w:i/>
          <w:iCs/>
          <w:sz w:val="21"/>
          <w:szCs w:val="21"/>
        </w:rPr>
        <w:t xml:space="preserve"> </w:t>
      </w:r>
      <w:r w:rsidRPr="00ED26A2">
        <w:rPr>
          <w:rFonts w:ascii="Abadi" w:hAnsi="Abadi" w:cs="Arial-BoldItalicMT"/>
          <w:b/>
          <w:bCs/>
          <w:i/>
          <w:iCs/>
          <w:sz w:val="21"/>
          <w:szCs w:val="21"/>
        </w:rPr>
        <w:t>cualquier tipo de violencia física, simbólica, emocional o psicológica o</w:t>
      </w:r>
      <w:r>
        <w:rPr>
          <w:rFonts w:ascii="Abadi" w:hAnsi="Abadi" w:cs="Arial-BoldItalicMT"/>
          <w:b/>
          <w:bCs/>
          <w:i/>
          <w:iCs/>
          <w:sz w:val="21"/>
          <w:szCs w:val="21"/>
        </w:rPr>
        <w:t xml:space="preserve"> </w:t>
      </w:r>
      <w:r w:rsidRPr="00ED26A2">
        <w:rPr>
          <w:rFonts w:ascii="Abadi" w:hAnsi="Abadi" w:cs="Arial-BoldItalicMT"/>
          <w:b/>
          <w:bCs/>
          <w:i/>
          <w:iCs/>
          <w:sz w:val="21"/>
          <w:szCs w:val="21"/>
        </w:rPr>
        <w:t>pueda causar cualquier perjuicio que pudiese derivar en su denigración,</w:t>
      </w:r>
      <w:r w:rsidR="00904696">
        <w:rPr>
          <w:rFonts w:ascii="Abadi" w:hAnsi="Abadi" w:cs="Arial-BoldItalicMT"/>
          <w:b/>
          <w:bCs/>
          <w:i/>
          <w:iCs/>
          <w:sz w:val="21"/>
          <w:szCs w:val="21"/>
        </w:rPr>
        <w:t xml:space="preserve"> </w:t>
      </w:r>
      <w:r w:rsidRPr="00ED26A2">
        <w:rPr>
          <w:rFonts w:ascii="Abadi" w:hAnsi="Abadi" w:cs="Arial-BoldItalicMT"/>
          <w:b/>
          <w:bCs/>
          <w:i/>
          <w:iCs/>
          <w:sz w:val="21"/>
          <w:szCs w:val="21"/>
        </w:rPr>
        <w:t>aun cuando medie autorización por escrito de la madre o del padre, tutor</w:t>
      </w:r>
      <w:r>
        <w:rPr>
          <w:rFonts w:ascii="Abadi" w:hAnsi="Abadi" w:cs="Arial-BoldItalicMT"/>
          <w:b/>
          <w:bCs/>
          <w:i/>
          <w:iCs/>
          <w:sz w:val="21"/>
          <w:szCs w:val="21"/>
        </w:rPr>
        <w:t xml:space="preserve"> </w:t>
      </w:r>
      <w:r w:rsidRPr="00ED26A2">
        <w:rPr>
          <w:rFonts w:ascii="Abadi" w:hAnsi="Abadi" w:cs="Arial-BoldItalicMT"/>
          <w:b/>
          <w:bCs/>
          <w:i/>
          <w:iCs/>
          <w:sz w:val="21"/>
          <w:szCs w:val="21"/>
        </w:rPr>
        <w:t>o de quien ejerza la patria potestad.”</w:t>
      </w:r>
    </w:p>
    <w:p w14:paraId="295405FC" w14:textId="77777777" w:rsidR="00306DA7" w:rsidRDefault="00306DA7" w:rsidP="00306DA7">
      <w:pPr>
        <w:autoSpaceDE w:val="0"/>
        <w:autoSpaceDN w:val="0"/>
        <w:adjustRightInd w:val="0"/>
        <w:jc w:val="both"/>
        <w:rPr>
          <w:rFonts w:ascii="Abadi" w:hAnsi="Abadi" w:cs="ArialMT"/>
          <w:sz w:val="21"/>
          <w:szCs w:val="21"/>
        </w:rPr>
      </w:pPr>
    </w:p>
    <w:p w14:paraId="17765BF5"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De ser aprobada, la presente iniciativa, tendrá los siguientes impactos, de</w:t>
      </w:r>
      <w:r>
        <w:rPr>
          <w:rFonts w:ascii="Abadi" w:hAnsi="Abadi" w:cs="ArialMT"/>
          <w:sz w:val="21"/>
          <w:szCs w:val="21"/>
        </w:rPr>
        <w:t xml:space="preserve"> </w:t>
      </w:r>
      <w:r w:rsidRPr="00ED26A2">
        <w:rPr>
          <w:rFonts w:ascii="Abadi" w:hAnsi="Abadi" w:cs="ArialMT"/>
          <w:sz w:val="21"/>
          <w:szCs w:val="21"/>
        </w:rPr>
        <w:t>conformidad con el artículo 209 de la Ley Orgánica del Poder Legislativo del</w:t>
      </w:r>
      <w:r>
        <w:rPr>
          <w:rFonts w:ascii="Abadi" w:hAnsi="Abadi" w:cs="ArialMT"/>
          <w:sz w:val="21"/>
          <w:szCs w:val="21"/>
        </w:rPr>
        <w:t xml:space="preserve"> </w:t>
      </w:r>
      <w:r w:rsidRPr="00ED26A2">
        <w:rPr>
          <w:rFonts w:ascii="Abadi" w:hAnsi="Abadi" w:cs="ArialMT"/>
          <w:sz w:val="21"/>
          <w:szCs w:val="21"/>
        </w:rPr>
        <w:t>Estado de Guanajuato:</w:t>
      </w:r>
    </w:p>
    <w:p w14:paraId="32B27D74" w14:textId="77777777" w:rsidR="00306DA7" w:rsidRDefault="00306DA7" w:rsidP="00306DA7">
      <w:pPr>
        <w:autoSpaceDE w:val="0"/>
        <w:autoSpaceDN w:val="0"/>
        <w:adjustRightInd w:val="0"/>
        <w:jc w:val="both"/>
        <w:rPr>
          <w:rFonts w:ascii="Abadi" w:hAnsi="Abadi" w:cs="Arial-BoldMT"/>
          <w:b/>
          <w:bCs/>
          <w:sz w:val="21"/>
          <w:szCs w:val="21"/>
        </w:rPr>
      </w:pPr>
    </w:p>
    <w:p w14:paraId="04838E81" w14:textId="77777777" w:rsidR="00306DA7" w:rsidRDefault="00306DA7" w:rsidP="00306DA7">
      <w:pPr>
        <w:pStyle w:val="Prrafodelista"/>
        <w:numPr>
          <w:ilvl w:val="0"/>
          <w:numId w:val="25"/>
        </w:numPr>
        <w:autoSpaceDE w:val="0"/>
        <w:autoSpaceDN w:val="0"/>
        <w:adjustRightInd w:val="0"/>
        <w:contextualSpacing/>
        <w:jc w:val="both"/>
        <w:rPr>
          <w:rFonts w:ascii="Abadi" w:hAnsi="Abadi" w:cs="ArialMT"/>
          <w:sz w:val="21"/>
          <w:szCs w:val="21"/>
        </w:rPr>
      </w:pPr>
      <w:r w:rsidRPr="00D05F97">
        <w:rPr>
          <w:rFonts w:ascii="Abadi" w:hAnsi="Abadi" w:cs="Arial-BoldMT"/>
          <w:b/>
          <w:bCs/>
          <w:sz w:val="21"/>
          <w:szCs w:val="21"/>
        </w:rPr>
        <w:t xml:space="preserve">Impacto jurídico: </w:t>
      </w:r>
      <w:r w:rsidRPr="00D05F97">
        <w:rPr>
          <w:rFonts w:ascii="Abadi" w:hAnsi="Abadi" w:cs="ArialMT"/>
          <w:sz w:val="21"/>
          <w:szCs w:val="21"/>
        </w:rPr>
        <w:t xml:space="preserve">Se armoniza la Ley de Instituciones y Procedimientos Electorales para </w:t>
      </w:r>
      <w:r w:rsidRPr="00D05F97">
        <w:rPr>
          <w:rFonts w:ascii="Abadi" w:hAnsi="Abadi" w:cs="ArialMT"/>
          <w:sz w:val="21"/>
          <w:szCs w:val="21"/>
        </w:rPr>
        <w:t>el Estado de Guanajuato, a la jurisprudencia número 5/2017 con rubro: “PROPAGANDA POLÍTICA– ELECTORAL. REQUISITOS MÍNIMOS QUE DEBEN CUMPLIRSE CUANDO SE DIFUNDAN IMÁGENES DE NIÑOS, NIÑAS Y ADOLESCENTES”, así como a la Convención sobre los Derechos del Niño de las Naciones Unidas y a las Observaciones Generales del Comité de Derechos del Niño.</w:t>
      </w:r>
    </w:p>
    <w:p w14:paraId="45FEA9A7" w14:textId="77777777" w:rsidR="00306DA7" w:rsidRDefault="00306DA7" w:rsidP="00306DA7">
      <w:pPr>
        <w:pStyle w:val="Prrafodelista"/>
        <w:autoSpaceDE w:val="0"/>
        <w:autoSpaceDN w:val="0"/>
        <w:adjustRightInd w:val="0"/>
        <w:ind w:left="1080"/>
        <w:jc w:val="both"/>
        <w:rPr>
          <w:rFonts w:ascii="Abadi" w:hAnsi="Abadi" w:cs="Arial-BoldMT"/>
          <w:b/>
          <w:bCs/>
          <w:sz w:val="21"/>
          <w:szCs w:val="21"/>
        </w:rPr>
      </w:pPr>
    </w:p>
    <w:p w14:paraId="55BF4DC0" w14:textId="77777777" w:rsidR="00306DA7" w:rsidRDefault="00306DA7" w:rsidP="00306DA7">
      <w:pPr>
        <w:pStyle w:val="Prrafodelista"/>
        <w:autoSpaceDE w:val="0"/>
        <w:autoSpaceDN w:val="0"/>
        <w:adjustRightInd w:val="0"/>
        <w:ind w:left="1080"/>
        <w:jc w:val="both"/>
        <w:rPr>
          <w:rFonts w:ascii="Abadi" w:hAnsi="Abadi" w:cs="ArialMT"/>
          <w:sz w:val="21"/>
          <w:szCs w:val="21"/>
        </w:rPr>
      </w:pPr>
      <w:r w:rsidRPr="00D05F97">
        <w:rPr>
          <w:rFonts w:ascii="Abadi" w:hAnsi="Abadi" w:cs="ArialMT"/>
          <w:sz w:val="21"/>
          <w:szCs w:val="21"/>
        </w:rPr>
        <w:t>Por otro lado, la presente propuesta impacta a la Ley de los Derechos de Niñas, Niños y Adolescentes del Estado de Guanajuato, a efecto de armonizarla con la ley electoral y los instrumentos jurídicos mencionados en el párrafo anterior, para hacer válido en la utilización de la persona o imagen de una niña, niño o adolescente, los principios del interés superior del niño, el de dignidad y respeto a su intimidad para evitar la estigmatización de las personas menores de 18 años.</w:t>
      </w:r>
    </w:p>
    <w:p w14:paraId="27168FAD" w14:textId="77777777" w:rsidR="00306DA7" w:rsidRDefault="00306DA7" w:rsidP="00306DA7">
      <w:pPr>
        <w:pStyle w:val="Prrafodelista"/>
        <w:autoSpaceDE w:val="0"/>
        <w:autoSpaceDN w:val="0"/>
        <w:adjustRightInd w:val="0"/>
        <w:ind w:left="1080"/>
        <w:jc w:val="both"/>
        <w:rPr>
          <w:rFonts w:ascii="Abadi" w:hAnsi="Abadi" w:cs="ArialMT"/>
          <w:sz w:val="21"/>
          <w:szCs w:val="21"/>
        </w:rPr>
      </w:pPr>
    </w:p>
    <w:p w14:paraId="279299EB" w14:textId="77777777" w:rsidR="00306DA7" w:rsidRPr="00ED26A2" w:rsidRDefault="00306DA7" w:rsidP="00306DA7">
      <w:pPr>
        <w:pStyle w:val="Prrafodelista"/>
        <w:autoSpaceDE w:val="0"/>
        <w:autoSpaceDN w:val="0"/>
        <w:adjustRightInd w:val="0"/>
        <w:ind w:left="1080"/>
        <w:jc w:val="both"/>
        <w:rPr>
          <w:rFonts w:ascii="Abadi" w:hAnsi="Abadi" w:cs="ArialMT"/>
          <w:sz w:val="21"/>
          <w:szCs w:val="21"/>
        </w:rPr>
      </w:pPr>
      <w:r w:rsidRPr="00ED26A2">
        <w:rPr>
          <w:rFonts w:ascii="Abadi" w:hAnsi="Abadi" w:cs="ArialMT"/>
          <w:sz w:val="21"/>
          <w:szCs w:val="21"/>
        </w:rPr>
        <w:t>Los precandidatos, candidatos, candidatos independientes y los</w:t>
      </w:r>
      <w:r>
        <w:rPr>
          <w:rFonts w:ascii="Abadi" w:hAnsi="Abadi" w:cs="ArialMT"/>
          <w:sz w:val="21"/>
          <w:szCs w:val="21"/>
        </w:rPr>
        <w:t xml:space="preserve"> </w:t>
      </w:r>
      <w:r w:rsidRPr="00ED26A2">
        <w:rPr>
          <w:rFonts w:ascii="Abadi" w:hAnsi="Abadi" w:cs="ArialMT"/>
          <w:sz w:val="21"/>
          <w:szCs w:val="21"/>
        </w:rPr>
        <w:t>partidos políticos no podrán utilizar en actos de precampaña, campaña</w:t>
      </w:r>
      <w:r>
        <w:rPr>
          <w:rFonts w:ascii="Abadi" w:hAnsi="Abadi" w:cs="ArialMT"/>
          <w:sz w:val="21"/>
          <w:szCs w:val="21"/>
        </w:rPr>
        <w:t xml:space="preserve"> </w:t>
      </w:r>
      <w:r w:rsidRPr="00ED26A2">
        <w:rPr>
          <w:rFonts w:ascii="Abadi" w:hAnsi="Abadi" w:cs="ArialMT"/>
          <w:sz w:val="21"/>
          <w:szCs w:val="21"/>
        </w:rPr>
        <w:t>o de propaganda político electoral a la persona o imagen de niñas,</w:t>
      </w:r>
      <w:r>
        <w:rPr>
          <w:rFonts w:ascii="Abadi" w:hAnsi="Abadi" w:cs="ArialMT"/>
          <w:sz w:val="21"/>
          <w:szCs w:val="21"/>
        </w:rPr>
        <w:t xml:space="preserve"> </w:t>
      </w:r>
      <w:r w:rsidRPr="00ED26A2">
        <w:rPr>
          <w:rFonts w:ascii="Abadi" w:hAnsi="Abadi" w:cs="ArialMT"/>
          <w:sz w:val="21"/>
          <w:szCs w:val="21"/>
        </w:rPr>
        <w:t>niños o adolescentes para difundir sus propuestas electorales y</w:t>
      </w:r>
      <w:r>
        <w:rPr>
          <w:rFonts w:ascii="Abadi" w:hAnsi="Abadi" w:cs="ArialMT"/>
          <w:sz w:val="21"/>
          <w:szCs w:val="21"/>
        </w:rPr>
        <w:t xml:space="preserve"> </w:t>
      </w:r>
      <w:r w:rsidRPr="00ED26A2">
        <w:rPr>
          <w:rFonts w:ascii="Abadi" w:hAnsi="Abadi" w:cs="ArialMT"/>
          <w:sz w:val="21"/>
          <w:szCs w:val="21"/>
        </w:rPr>
        <w:t>obtención del voto, a costa de la imagen de éstos, sin que medie</w:t>
      </w:r>
      <w:r>
        <w:rPr>
          <w:rFonts w:ascii="Abadi" w:hAnsi="Abadi" w:cs="ArialMT"/>
          <w:sz w:val="21"/>
          <w:szCs w:val="21"/>
        </w:rPr>
        <w:t xml:space="preserve"> </w:t>
      </w:r>
      <w:r w:rsidRPr="00ED26A2">
        <w:rPr>
          <w:rFonts w:ascii="Abadi" w:hAnsi="Abadi" w:cs="ArialMT"/>
          <w:sz w:val="21"/>
          <w:szCs w:val="21"/>
        </w:rPr>
        <w:t>consentimiento escrito de sus padres, tutor o quien ejerza la patria</w:t>
      </w:r>
      <w:r>
        <w:rPr>
          <w:rFonts w:ascii="Abadi" w:hAnsi="Abadi" w:cs="ArialMT"/>
          <w:sz w:val="21"/>
          <w:szCs w:val="21"/>
        </w:rPr>
        <w:t xml:space="preserve"> </w:t>
      </w:r>
      <w:r w:rsidRPr="00ED26A2">
        <w:rPr>
          <w:rFonts w:ascii="Abadi" w:hAnsi="Abadi" w:cs="ArialMT"/>
          <w:sz w:val="21"/>
          <w:szCs w:val="21"/>
        </w:rPr>
        <w:t>potestad, así como opinión escrita e informada del menor; sin embargo,</w:t>
      </w:r>
      <w:r>
        <w:rPr>
          <w:rFonts w:ascii="Abadi" w:hAnsi="Abadi" w:cs="ArialMT"/>
          <w:sz w:val="21"/>
          <w:szCs w:val="21"/>
        </w:rPr>
        <w:t xml:space="preserve"> </w:t>
      </w:r>
      <w:r w:rsidRPr="00ED26A2">
        <w:rPr>
          <w:rFonts w:ascii="Abadi" w:hAnsi="Abadi" w:cs="ArialMT"/>
          <w:sz w:val="21"/>
          <w:szCs w:val="21"/>
        </w:rPr>
        <w:t>la autorización escrita no surtirá efectos jurídicos cuando la</w:t>
      </w:r>
      <w:r>
        <w:rPr>
          <w:rFonts w:ascii="Abadi" w:hAnsi="Abadi" w:cs="ArialMT"/>
          <w:sz w:val="21"/>
          <w:szCs w:val="21"/>
        </w:rPr>
        <w:t xml:space="preserve"> </w:t>
      </w:r>
      <w:r w:rsidRPr="00ED26A2">
        <w:rPr>
          <w:rFonts w:ascii="Abadi" w:hAnsi="Abadi" w:cs="ArialMT"/>
          <w:sz w:val="21"/>
          <w:szCs w:val="21"/>
        </w:rPr>
        <w:t>propaganda político electoral no es esté libre de cualquier tipo de</w:t>
      </w:r>
      <w:r>
        <w:rPr>
          <w:rFonts w:ascii="Abadi" w:hAnsi="Abadi" w:cs="ArialMT"/>
          <w:sz w:val="21"/>
          <w:szCs w:val="21"/>
        </w:rPr>
        <w:t xml:space="preserve"> </w:t>
      </w:r>
      <w:r w:rsidRPr="00ED26A2">
        <w:rPr>
          <w:rFonts w:ascii="Abadi" w:hAnsi="Abadi" w:cs="ArialMT"/>
          <w:sz w:val="21"/>
          <w:szCs w:val="21"/>
        </w:rPr>
        <w:t>violencia física, simbólica, emocional o psicológica. Lo que calificará en</w:t>
      </w:r>
      <w:r>
        <w:rPr>
          <w:rFonts w:ascii="Abadi" w:hAnsi="Abadi" w:cs="ArialMT"/>
          <w:sz w:val="21"/>
          <w:szCs w:val="21"/>
        </w:rPr>
        <w:t xml:space="preserve"> </w:t>
      </w:r>
      <w:r w:rsidRPr="00ED26A2">
        <w:rPr>
          <w:rFonts w:ascii="Abadi" w:hAnsi="Abadi" w:cs="ArialMT"/>
          <w:sz w:val="21"/>
          <w:szCs w:val="21"/>
        </w:rPr>
        <w:t>el caso concreto, la autoridad electoral.</w:t>
      </w:r>
    </w:p>
    <w:p w14:paraId="3E279D72" w14:textId="77777777" w:rsidR="00306DA7" w:rsidRDefault="00306DA7" w:rsidP="00306DA7">
      <w:pPr>
        <w:autoSpaceDE w:val="0"/>
        <w:autoSpaceDN w:val="0"/>
        <w:adjustRightInd w:val="0"/>
        <w:jc w:val="both"/>
        <w:rPr>
          <w:rFonts w:ascii="Abadi" w:hAnsi="Abadi" w:cs="Arial-BoldMT"/>
          <w:b/>
          <w:bCs/>
          <w:sz w:val="21"/>
          <w:szCs w:val="21"/>
        </w:rPr>
      </w:pPr>
    </w:p>
    <w:p w14:paraId="10CFE66C" w14:textId="77777777" w:rsidR="00306DA7" w:rsidRPr="00D05F97" w:rsidRDefault="00306DA7" w:rsidP="00306DA7">
      <w:pPr>
        <w:pStyle w:val="Prrafodelista"/>
        <w:numPr>
          <w:ilvl w:val="0"/>
          <w:numId w:val="25"/>
        </w:numPr>
        <w:autoSpaceDE w:val="0"/>
        <w:autoSpaceDN w:val="0"/>
        <w:adjustRightInd w:val="0"/>
        <w:contextualSpacing/>
        <w:jc w:val="both"/>
        <w:rPr>
          <w:rFonts w:ascii="Abadi" w:hAnsi="Abadi" w:cs="ArialMT"/>
          <w:sz w:val="21"/>
          <w:szCs w:val="21"/>
        </w:rPr>
      </w:pPr>
      <w:r w:rsidRPr="00D05F97">
        <w:rPr>
          <w:rFonts w:ascii="Abadi" w:hAnsi="Abadi" w:cs="Arial-BoldMT"/>
          <w:b/>
          <w:bCs/>
          <w:sz w:val="21"/>
          <w:szCs w:val="21"/>
        </w:rPr>
        <w:lastRenderedPageBreak/>
        <w:t xml:space="preserve">Impacto administrativo: </w:t>
      </w:r>
      <w:r w:rsidRPr="00D05F97">
        <w:rPr>
          <w:rFonts w:ascii="Abadi" w:hAnsi="Abadi" w:cs="ArialMT"/>
          <w:sz w:val="21"/>
          <w:szCs w:val="21"/>
        </w:rPr>
        <w:t>No se aprecia impacto administrativo.</w:t>
      </w:r>
    </w:p>
    <w:p w14:paraId="12C78611" w14:textId="77777777" w:rsidR="00306DA7" w:rsidRDefault="00306DA7" w:rsidP="00306DA7">
      <w:pPr>
        <w:autoSpaceDE w:val="0"/>
        <w:autoSpaceDN w:val="0"/>
        <w:adjustRightInd w:val="0"/>
        <w:jc w:val="both"/>
        <w:rPr>
          <w:rFonts w:ascii="Abadi" w:hAnsi="Abadi" w:cs="Arial-BoldMT"/>
          <w:b/>
          <w:bCs/>
          <w:sz w:val="21"/>
          <w:szCs w:val="21"/>
        </w:rPr>
      </w:pPr>
    </w:p>
    <w:p w14:paraId="0B6F02EF" w14:textId="77777777" w:rsidR="00306DA7" w:rsidRPr="00D05F97" w:rsidRDefault="00306DA7" w:rsidP="00306DA7">
      <w:pPr>
        <w:pStyle w:val="Prrafodelista"/>
        <w:numPr>
          <w:ilvl w:val="0"/>
          <w:numId w:val="25"/>
        </w:numPr>
        <w:autoSpaceDE w:val="0"/>
        <w:autoSpaceDN w:val="0"/>
        <w:adjustRightInd w:val="0"/>
        <w:contextualSpacing/>
        <w:jc w:val="both"/>
        <w:rPr>
          <w:rFonts w:ascii="Abadi" w:hAnsi="Abadi" w:cs="ArialMT"/>
          <w:sz w:val="21"/>
          <w:szCs w:val="21"/>
        </w:rPr>
      </w:pPr>
      <w:r w:rsidRPr="00D05F97">
        <w:rPr>
          <w:rFonts w:ascii="Abadi" w:hAnsi="Abadi" w:cs="Arial-BoldMT"/>
          <w:b/>
          <w:bCs/>
          <w:sz w:val="21"/>
          <w:szCs w:val="21"/>
        </w:rPr>
        <w:t xml:space="preserve">Impacto presupuestario: </w:t>
      </w:r>
      <w:r w:rsidRPr="00D05F97">
        <w:rPr>
          <w:rFonts w:ascii="Abadi" w:hAnsi="Abadi" w:cs="ArialMT"/>
          <w:sz w:val="21"/>
          <w:szCs w:val="21"/>
        </w:rPr>
        <w:t>No se percibe.</w:t>
      </w:r>
    </w:p>
    <w:p w14:paraId="3CD04C9D" w14:textId="77777777" w:rsidR="00306DA7" w:rsidRDefault="00306DA7" w:rsidP="00306DA7">
      <w:pPr>
        <w:autoSpaceDE w:val="0"/>
        <w:autoSpaceDN w:val="0"/>
        <w:adjustRightInd w:val="0"/>
        <w:jc w:val="both"/>
        <w:rPr>
          <w:rFonts w:ascii="Abadi" w:hAnsi="Abadi" w:cs="Arial-BoldMT"/>
          <w:b/>
          <w:bCs/>
          <w:sz w:val="21"/>
          <w:szCs w:val="21"/>
        </w:rPr>
      </w:pPr>
    </w:p>
    <w:p w14:paraId="1E17E8F2" w14:textId="77777777" w:rsidR="00306DA7" w:rsidRPr="00D05F97" w:rsidRDefault="00306DA7" w:rsidP="00306DA7">
      <w:pPr>
        <w:pStyle w:val="Prrafodelista"/>
        <w:numPr>
          <w:ilvl w:val="0"/>
          <w:numId w:val="25"/>
        </w:numPr>
        <w:autoSpaceDE w:val="0"/>
        <w:autoSpaceDN w:val="0"/>
        <w:adjustRightInd w:val="0"/>
        <w:contextualSpacing/>
        <w:jc w:val="both"/>
        <w:rPr>
          <w:rFonts w:ascii="Abadi" w:hAnsi="Abadi" w:cs="ArialMT"/>
          <w:sz w:val="21"/>
          <w:szCs w:val="21"/>
        </w:rPr>
      </w:pPr>
      <w:r w:rsidRPr="00D05F97">
        <w:rPr>
          <w:rFonts w:ascii="Abadi" w:hAnsi="Abadi" w:cs="Arial-BoldMT"/>
          <w:b/>
          <w:bCs/>
          <w:sz w:val="21"/>
          <w:szCs w:val="21"/>
        </w:rPr>
        <w:t xml:space="preserve">Impacto social: </w:t>
      </w:r>
      <w:r w:rsidRPr="00D05F97">
        <w:rPr>
          <w:rFonts w:ascii="Abadi" w:hAnsi="Abadi" w:cs="ArialMT"/>
          <w:sz w:val="21"/>
          <w:szCs w:val="21"/>
        </w:rPr>
        <w:t>Con esta medida a los precandidatos, candidatos, candidatos independientes y los partidos políticos no podrán utilizar en actos de precampaña, campaña o de propaganda político electoral la persona o imagen de niñas, niños o adolescentes para difundir sus propuestas electorales y obtención del voto, a costa de la imagen de éstos y su posible denigración, de acuerdo a la forma de presentar al o la menor en dichos actos electorales, sin que medie autorización por escrito de la madre, padre, tutor o quien ejerza la patria potestad y además, la opinión escrita e informada del menor.</w:t>
      </w:r>
    </w:p>
    <w:p w14:paraId="16505173" w14:textId="77777777" w:rsidR="00306DA7" w:rsidRDefault="00306DA7" w:rsidP="00306DA7">
      <w:pPr>
        <w:autoSpaceDE w:val="0"/>
        <w:autoSpaceDN w:val="0"/>
        <w:adjustRightInd w:val="0"/>
        <w:jc w:val="both"/>
        <w:rPr>
          <w:rFonts w:ascii="Abadi" w:hAnsi="Abadi" w:cs="ArialMT"/>
          <w:sz w:val="21"/>
          <w:szCs w:val="21"/>
        </w:rPr>
      </w:pPr>
    </w:p>
    <w:p w14:paraId="225171D6"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MT"/>
          <w:sz w:val="21"/>
          <w:szCs w:val="21"/>
        </w:rPr>
        <w:t>Por lo anteriormente expuesto, someto a la consideración de este H.</w:t>
      </w:r>
      <w:r>
        <w:rPr>
          <w:rFonts w:ascii="Abadi" w:hAnsi="Abadi" w:cs="ArialMT"/>
          <w:sz w:val="21"/>
          <w:szCs w:val="21"/>
        </w:rPr>
        <w:t xml:space="preserve"> </w:t>
      </w:r>
      <w:r w:rsidRPr="00ED26A2">
        <w:rPr>
          <w:rFonts w:ascii="Abadi" w:hAnsi="Abadi" w:cs="ArialMT"/>
          <w:sz w:val="21"/>
          <w:szCs w:val="21"/>
        </w:rPr>
        <w:t>Congreso del Estado de Guanajuato el siguiente:</w:t>
      </w:r>
    </w:p>
    <w:p w14:paraId="2988D60A" w14:textId="77777777" w:rsidR="00306DA7" w:rsidRDefault="00306DA7" w:rsidP="00306DA7">
      <w:pPr>
        <w:autoSpaceDE w:val="0"/>
        <w:autoSpaceDN w:val="0"/>
        <w:adjustRightInd w:val="0"/>
        <w:jc w:val="both"/>
        <w:rPr>
          <w:rFonts w:ascii="Abadi" w:hAnsi="Abadi" w:cs="Arial-BoldMT"/>
          <w:b/>
          <w:bCs/>
          <w:sz w:val="21"/>
          <w:szCs w:val="21"/>
        </w:rPr>
      </w:pPr>
    </w:p>
    <w:p w14:paraId="0188196D" w14:textId="77777777" w:rsidR="00306DA7" w:rsidRPr="00ED26A2" w:rsidRDefault="00306DA7" w:rsidP="00306DA7">
      <w:pPr>
        <w:autoSpaceDE w:val="0"/>
        <w:autoSpaceDN w:val="0"/>
        <w:adjustRightInd w:val="0"/>
        <w:jc w:val="center"/>
        <w:rPr>
          <w:rFonts w:ascii="Abadi" w:hAnsi="Abadi" w:cs="Arial-BoldMT"/>
          <w:b/>
          <w:bCs/>
          <w:sz w:val="21"/>
          <w:szCs w:val="21"/>
        </w:rPr>
      </w:pPr>
      <w:r w:rsidRPr="00ED26A2">
        <w:rPr>
          <w:rFonts w:ascii="Abadi" w:hAnsi="Abadi" w:cs="Arial-BoldMT"/>
          <w:b/>
          <w:bCs/>
          <w:sz w:val="21"/>
          <w:szCs w:val="21"/>
        </w:rPr>
        <w:t>DECRETO.</w:t>
      </w:r>
    </w:p>
    <w:p w14:paraId="5D440B44" w14:textId="77777777" w:rsidR="00306DA7" w:rsidRDefault="00306DA7" w:rsidP="00306DA7">
      <w:pPr>
        <w:autoSpaceDE w:val="0"/>
        <w:autoSpaceDN w:val="0"/>
        <w:adjustRightInd w:val="0"/>
        <w:jc w:val="both"/>
        <w:rPr>
          <w:rFonts w:ascii="Abadi" w:hAnsi="Abadi" w:cs="Arial-BoldMT"/>
          <w:b/>
          <w:bCs/>
          <w:sz w:val="21"/>
          <w:szCs w:val="21"/>
        </w:rPr>
      </w:pPr>
    </w:p>
    <w:p w14:paraId="1671110A"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BoldMT"/>
          <w:b/>
          <w:bCs/>
          <w:sz w:val="21"/>
          <w:szCs w:val="21"/>
        </w:rPr>
        <w:t xml:space="preserve">PRIMERO. </w:t>
      </w:r>
      <w:r w:rsidRPr="00ED26A2">
        <w:rPr>
          <w:rFonts w:ascii="Abadi" w:hAnsi="Abadi" w:cs="ArialMT"/>
          <w:sz w:val="21"/>
          <w:szCs w:val="21"/>
        </w:rPr>
        <w:t>Se adicionan los párrafos séptimo y octavo al artículo 176, en el</w:t>
      </w:r>
      <w:r>
        <w:rPr>
          <w:rFonts w:ascii="Abadi" w:hAnsi="Abadi" w:cs="ArialMT"/>
          <w:sz w:val="21"/>
          <w:szCs w:val="21"/>
        </w:rPr>
        <w:t xml:space="preserve"> </w:t>
      </w:r>
      <w:r w:rsidRPr="00ED26A2">
        <w:rPr>
          <w:rFonts w:ascii="Abadi" w:hAnsi="Abadi" w:cs="ArialMT"/>
          <w:sz w:val="21"/>
          <w:szCs w:val="21"/>
        </w:rPr>
        <w:t>Título Cuarto, Capítulo II, Sección primera de la Ley de Instituciones y</w:t>
      </w:r>
      <w:r>
        <w:rPr>
          <w:rFonts w:ascii="Abadi" w:hAnsi="Abadi" w:cs="ArialMT"/>
          <w:sz w:val="21"/>
          <w:szCs w:val="21"/>
        </w:rPr>
        <w:t xml:space="preserve"> </w:t>
      </w:r>
      <w:r w:rsidRPr="00ED26A2">
        <w:rPr>
          <w:rFonts w:ascii="Abadi" w:hAnsi="Abadi" w:cs="ArialMT"/>
          <w:sz w:val="21"/>
          <w:szCs w:val="21"/>
        </w:rPr>
        <w:t>Procedimientos Electorales para el Estado de Guanajuato, para quedar como</w:t>
      </w:r>
      <w:r>
        <w:rPr>
          <w:rFonts w:ascii="Abadi" w:hAnsi="Abadi" w:cs="ArialMT"/>
          <w:sz w:val="21"/>
          <w:szCs w:val="21"/>
        </w:rPr>
        <w:t xml:space="preserve"> </w:t>
      </w:r>
      <w:r w:rsidRPr="00ED26A2">
        <w:rPr>
          <w:rFonts w:ascii="Abadi" w:hAnsi="Abadi" w:cs="ArialMT"/>
          <w:sz w:val="21"/>
          <w:szCs w:val="21"/>
        </w:rPr>
        <w:t>sigue:</w:t>
      </w:r>
    </w:p>
    <w:p w14:paraId="0AA769B4" w14:textId="77777777" w:rsidR="00306DA7" w:rsidRDefault="00306DA7" w:rsidP="00306DA7">
      <w:pPr>
        <w:autoSpaceDE w:val="0"/>
        <w:autoSpaceDN w:val="0"/>
        <w:adjustRightInd w:val="0"/>
        <w:jc w:val="both"/>
        <w:rPr>
          <w:rFonts w:ascii="Abadi" w:hAnsi="Abadi" w:cs="Arial-BoldMT"/>
          <w:b/>
          <w:bCs/>
          <w:sz w:val="21"/>
          <w:szCs w:val="21"/>
        </w:rPr>
      </w:pPr>
    </w:p>
    <w:p w14:paraId="538ED34A" w14:textId="77777777" w:rsidR="00306DA7" w:rsidRPr="00ED26A2" w:rsidRDefault="00306DA7" w:rsidP="00306DA7">
      <w:pPr>
        <w:autoSpaceDE w:val="0"/>
        <w:autoSpaceDN w:val="0"/>
        <w:adjustRightInd w:val="0"/>
        <w:jc w:val="both"/>
        <w:rPr>
          <w:rFonts w:ascii="Abadi" w:hAnsi="Abadi" w:cs="Arial-ItalicMT"/>
          <w:i/>
          <w:iCs/>
          <w:sz w:val="21"/>
          <w:szCs w:val="21"/>
        </w:rPr>
      </w:pPr>
      <w:r w:rsidRPr="00ED26A2">
        <w:rPr>
          <w:rFonts w:ascii="Abadi" w:hAnsi="Abadi" w:cs="Arial-BoldMT"/>
          <w:b/>
          <w:bCs/>
          <w:sz w:val="21"/>
          <w:szCs w:val="21"/>
        </w:rPr>
        <w:t>“</w:t>
      </w:r>
      <w:r w:rsidRPr="00ED26A2">
        <w:rPr>
          <w:rFonts w:ascii="Abadi" w:hAnsi="Abadi" w:cs="Arial-BoldItalicMT"/>
          <w:b/>
          <w:bCs/>
          <w:i/>
          <w:iCs/>
          <w:sz w:val="21"/>
          <w:szCs w:val="21"/>
        </w:rPr>
        <w:t xml:space="preserve">Artículo 176. </w:t>
      </w:r>
      <w:r w:rsidRPr="00ED26A2">
        <w:rPr>
          <w:rFonts w:ascii="Abadi" w:hAnsi="Abadi" w:cs="Arial-ItalicMT"/>
          <w:i/>
          <w:iCs/>
          <w:sz w:val="21"/>
          <w:szCs w:val="21"/>
        </w:rPr>
        <w:t>Se entiende por precampaña electoral…</w:t>
      </w:r>
    </w:p>
    <w:p w14:paraId="294CA0DD" w14:textId="77777777" w:rsidR="00306DA7" w:rsidRPr="00ED26A2" w:rsidRDefault="00306DA7" w:rsidP="00306DA7">
      <w:pPr>
        <w:autoSpaceDE w:val="0"/>
        <w:autoSpaceDN w:val="0"/>
        <w:adjustRightInd w:val="0"/>
        <w:jc w:val="both"/>
        <w:rPr>
          <w:rFonts w:ascii="Abadi" w:hAnsi="Abadi" w:cs="Arial-ItalicMT"/>
          <w:i/>
          <w:iCs/>
          <w:sz w:val="21"/>
          <w:szCs w:val="21"/>
        </w:rPr>
      </w:pPr>
      <w:r w:rsidRPr="00ED26A2">
        <w:rPr>
          <w:rFonts w:ascii="Abadi" w:hAnsi="Abadi" w:cs="Arial-ItalicMT"/>
          <w:i/>
          <w:iCs/>
          <w:sz w:val="21"/>
          <w:szCs w:val="21"/>
        </w:rPr>
        <w:t>Se entiende…</w:t>
      </w:r>
    </w:p>
    <w:p w14:paraId="7BC41619" w14:textId="77777777" w:rsidR="00306DA7" w:rsidRDefault="00306DA7" w:rsidP="00306DA7">
      <w:pPr>
        <w:autoSpaceDE w:val="0"/>
        <w:autoSpaceDN w:val="0"/>
        <w:adjustRightInd w:val="0"/>
        <w:jc w:val="both"/>
        <w:rPr>
          <w:rFonts w:ascii="Abadi" w:hAnsi="Abadi" w:cs="Arial-ItalicMT"/>
          <w:i/>
          <w:iCs/>
          <w:sz w:val="21"/>
          <w:szCs w:val="21"/>
        </w:rPr>
      </w:pPr>
      <w:r w:rsidRPr="00ED26A2">
        <w:rPr>
          <w:rFonts w:ascii="Abadi" w:hAnsi="Abadi" w:cs="Arial-ItalicMT"/>
          <w:i/>
          <w:iCs/>
          <w:sz w:val="21"/>
          <w:szCs w:val="21"/>
        </w:rPr>
        <w:t>Se entiende…</w:t>
      </w:r>
    </w:p>
    <w:p w14:paraId="2C90B8CA" w14:textId="77777777" w:rsidR="00306DA7" w:rsidRPr="00ED26A2" w:rsidRDefault="00306DA7" w:rsidP="00306DA7">
      <w:pPr>
        <w:autoSpaceDE w:val="0"/>
        <w:autoSpaceDN w:val="0"/>
        <w:adjustRightInd w:val="0"/>
        <w:jc w:val="both"/>
        <w:rPr>
          <w:rFonts w:ascii="Abadi" w:hAnsi="Abadi" w:cs="Arial-ItalicMT"/>
          <w:i/>
          <w:iCs/>
          <w:sz w:val="21"/>
          <w:szCs w:val="21"/>
        </w:rPr>
      </w:pPr>
      <w:r w:rsidRPr="00ED26A2">
        <w:rPr>
          <w:rFonts w:ascii="Abadi" w:hAnsi="Abadi" w:cs="Arial-ItalicMT"/>
          <w:i/>
          <w:iCs/>
          <w:sz w:val="21"/>
          <w:szCs w:val="21"/>
        </w:rPr>
        <w:t>Precandidato…</w:t>
      </w:r>
    </w:p>
    <w:p w14:paraId="470DF307" w14:textId="77777777" w:rsidR="00306DA7" w:rsidRPr="00ED26A2" w:rsidRDefault="00306DA7" w:rsidP="00306DA7">
      <w:pPr>
        <w:autoSpaceDE w:val="0"/>
        <w:autoSpaceDN w:val="0"/>
        <w:adjustRightInd w:val="0"/>
        <w:jc w:val="both"/>
        <w:rPr>
          <w:rFonts w:ascii="Abadi" w:hAnsi="Abadi" w:cs="Arial-ItalicMT"/>
          <w:i/>
          <w:iCs/>
          <w:sz w:val="21"/>
          <w:szCs w:val="21"/>
        </w:rPr>
      </w:pPr>
      <w:r w:rsidRPr="00ED26A2">
        <w:rPr>
          <w:rFonts w:ascii="Abadi" w:hAnsi="Abadi" w:cs="Arial-ItalicMT"/>
          <w:i/>
          <w:iCs/>
          <w:sz w:val="21"/>
          <w:szCs w:val="21"/>
        </w:rPr>
        <w:t>Ningún ciudadano…</w:t>
      </w:r>
    </w:p>
    <w:p w14:paraId="7D311E9E" w14:textId="77777777" w:rsidR="00306DA7" w:rsidRPr="00ED26A2" w:rsidRDefault="00306DA7" w:rsidP="00306DA7">
      <w:pPr>
        <w:autoSpaceDE w:val="0"/>
        <w:autoSpaceDN w:val="0"/>
        <w:adjustRightInd w:val="0"/>
        <w:jc w:val="both"/>
        <w:rPr>
          <w:rFonts w:ascii="Abadi" w:hAnsi="Abadi" w:cs="Arial-ItalicMT"/>
          <w:i/>
          <w:iCs/>
          <w:sz w:val="21"/>
          <w:szCs w:val="21"/>
        </w:rPr>
      </w:pPr>
      <w:r w:rsidRPr="00ED26A2">
        <w:rPr>
          <w:rFonts w:ascii="Abadi" w:hAnsi="Abadi" w:cs="Arial-ItalicMT"/>
          <w:i/>
          <w:iCs/>
          <w:sz w:val="21"/>
          <w:szCs w:val="21"/>
        </w:rPr>
        <w:t>Durante…</w:t>
      </w:r>
    </w:p>
    <w:p w14:paraId="607093C0" w14:textId="77777777" w:rsidR="00306DA7" w:rsidRDefault="00306DA7" w:rsidP="00306DA7">
      <w:pPr>
        <w:autoSpaceDE w:val="0"/>
        <w:autoSpaceDN w:val="0"/>
        <w:adjustRightInd w:val="0"/>
        <w:jc w:val="both"/>
        <w:rPr>
          <w:rFonts w:ascii="Abadi" w:hAnsi="Abadi" w:cs="Arial-BoldItalicMT"/>
          <w:b/>
          <w:bCs/>
          <w:i/>
          <w:iCs/>
          <w:sz w:val="21"/>
          <w:szCs w:val="21"/>
        </w:rPr>
      </w:pPr>
    </w:p>
    <w:p w14:paraId="59E10C6F" w14:textId="77777777" w:rsidR="00306DA7" w:rsidRPr="00ED26A2" w:rsidRDefault="00306DA7" w:rsidP="00306DA7">
      <w:pPr>
        <w:autoSpaceDE w:val="0"/>
        <w:autoSpaceDN w:val="0"/>
        <w:adjustRightInd w:val="0"/>
        <w:jc w:val="both"/>
        <w:rPr>
          <w:rFonts w:ascii="Abadi" w:hAnsi="Abadi" w:cs="Arial-BoldItalicMT"/>
          <w:b/>
          <w:bCs/>
          <w:i/>
          <w:iCs/>
          <w:sz w:val="21"/>
          <w:szCs w:val="21"/>
        </w:rPr>
      </w:pPr>
      <w:r w:rsidRPr="00ED26A2">
        <w:rPr>
          <w:rFonts w:ascii="Abadi" w:hAnsi="Abadi" w:cs="Arial-BoldItalicMT"/>
          <w:b/>
          <w:bCs/>
          <w:i/>
          <w:iCs/>
          <w:sz w:val="21"/>
          <w:szCs w:val="21"/>
        </w:rPr>
        <w:t>En los actos de precampaña, de propaganda y en promocionales</w:t>
      </w:r>
      <w:r>
        <w:rPr>
          <w:rFonts w:ascii="Abadi" w:hAnsi="Abadi" w:cs="Arial-BoldItalicMT"/>
          <w:b/>
          <w:bCs/>
          <w:i/>
          <w:iCs/>
          <w:sz w:val="21"/>
          <w:szCs w:val="21"/>
        </w:rPr>
        <w:t xml:space="preserve"> </w:t>
      </w:r>
      <w:r w:rsidRPr="00ED26A2">
        <w:rPr>
          <w:rFonts w:ascii="Abadi" w:hAnsi="Abadi" w:cs="Arial-BoldItalicMT"/>
          <w:b/>
          <w:bCs/>
          <w:i/>
          <w:iCs/>
          <w:sz w:val="21"/>
          <w:szCs w:val="21"/>
        </w:rPr>
        <w:t>utilitarios a que se refiere este artículo, no se podrá utilizar la persona o</w:t>
      </w:r>
      <w:r>
        <w:rPr>
          <w:rFonts w:ascii="Abadi" w:hAnsi="Abadi" w:cs="Arial-BoldItalicMT"/>
          <w:b/>
          <w:bCs/>
          <w:i/>
          <w:iCs/>
          <w:sz w:val="21"/>
          <w:szCs w:val="21"/>
        </w:rPr>
        <w:t xml:space="preserve"> </w:t>
      </w:r>
      <w:r w:rsidRPr="00ED26A2">
        <w:rPr>
          <w:rFonts w:ascii="Abadi" w:hAnsi="Abadi" w:cs="Arial-BoldItalicMT"/>
          <w:b/>
          <w:bCs/>
          <w:i/>
          <w:iCs/>
          <w:sz w:val="21"/>
          <w:szCs w:val="21"/>
        </w:rPr>
        <w:t>captación de imágenes de niñas, niños o adolescentes a efecto de</w:t>
      </w:r>
      <w:r>
        <w:rPr>
          <w:rFonts w:ascii="Abadi" w:hAnsi="Abadi" w:cs="Arial-BoldItalicMT"/>
          <w:b/>
          <w:bCs/>
          <w:i/>
          <w:iCs/>
          <w:sz w:val="21"/>
          <w:szCs w:val="21"/>
        </w:rPr>
        <w:t xml:space="preserve"> </w:t>
      </w:r>
      <w:r w:rsidRPr="00ED26A2">
        <w:rPr>
          <w:rFonts w:ascii="Abadi" w:hAnsi="Abadi" w:cs="Arial-BoldItalicMT"/>
          <w:b/>
          <w:bCs/>
          <w:i/>
          <w:iCs/>
          <w:sz w:val="21"/>
          <w:szCs w:val="21"/>
        </w:rPr>
        <w:t>utilizarlas o difundirlas en los actos de campaña o de propaganda a</w:t>
      </w:r>
      <w:r>
        <w:rPr>
          <w:rFonts w:ascii="Abadi" w:hAnsi="Abadi" w:cs="Arial-BoldItalicMT"/>
          <w:b/>
          <w:bCs/>
          <w:i/>
          <w:iCs/>
          <w:sz w:val="21"/>
          <w:szCs w:val="21"/>
        </w:rPr>
        <w:t xml:space="preserve"> </w:t>
      </w:r>
      <w:r w:rsidRPr="00ED26A2">
        <w:rPr>
          <w:rFonts w:ascii="Abadi" w:hAnsi="Abadi" w:cs="Arial-BoldItalicMT"/>
          <w:b/>
          <w:bCs/>
          <w:i/>
          <w:iCs/>
          <w:sz w:val="21"/>
          <w:szCs w:val="21"/>
        </w:rPr>
        <w:t>través de medios gráficos, grabaciones, proyecciones, o expresiones</w:t>
      </w:r>
      <w:r>
        <w:rPr>
          <w:rFonts w:ascii="Abadi" w:hAnsi="Abadi" w:cs="Arial-BoldItalicMT"/>
          <w:b/>
          <w:bCs/>
          <w:i/>
          <w:iCs/>
          <w:sz w:val="21"/>
          <w:szCs w:val="21"/>
        </w:rPr>
        <w:t xml:space="preserve"> </w:t>
      </w:r>
      <w:r w:rsidRPr="00ED26A2">
        <w:rPr>
          <w:rFonts w:ascii="Abadi" w:hAnsi="Abadi" w:cs="Arial-BoldItalicMT"/>
          <w:b/>
          <w:bCs/>
          <w:i/>
          <w:iCs/>
          <w:sz w:val="21"/>
          <w:szCs w:val="21"/>
        </w:rPr>
        <w:t xml:space="preserve">por </w:t>
      </w:r>
      <w:r w:rsidRPr="00ED26A2">
        <w:rPr>
          <w:rFonts w:ascii="Abadi" w:hAnsi="Abadi" w:cs="Arial-BoldItalicMT"/>
          <w:b/>
          <w:bCs/>
          <w:i/>
          <w:iCs/>
          <w:sz w:val="21"/>
          <w:szCs w:val="21"/>
        </w:rPr>
        <w:t>cualquier mecanismo de acuerdo a los avances tecnológicos, sin</w:t>
      </w:r>
      <w:r>
        <w:rPr>
          <w:rFonts w:ascii="Abadi" w:hAnsi="Abadi" w:cs="Arial-BoldItalicMT"/>
          <w:b/>
          <w:bCs/>
          <w:i/>
          <w:iCs/>
          <w:sz w:val="21"/>
          <w:szCs w:val="21"/>
        </w:rPr>
        <w:t xml:space="preserve"> </w:t>
      </w:r>
      <w:r w:rsidRPr="00ED26A2">
        <w:rPr>
          <w:rFonts w:ascii="Abadi" w:hAnsi="Abadi" w:cs="Arial-BoldItalicMT"/>
          <w:b/>
          <w:bCs/>
          <w:i/>
          <w:iCs/>
          <w:sz w:val="21"/>
          <w:szCs w:val="21"/>
        </w:rPr>
        <w:t>que medie por escrito la autorización del padre o la madre, tutor o de</w:t>
      </w:r>
      <w:r>
        <w:rPr>
          <w:rFonts w:ascii="Abadi" w:hAnsi="Abadi" w:cs="Arial-BoldItalicMT"/>
          <w:b/>
          <w:bCs/>
          <w:i/>
          <w:iCs/>
          <w:sz w:val="21"/>
          <w:szCs w:val="21"/>
        </w:rPr>
        <w:t xml:space="preserve"> </w:t>
      </w:r>
      <w:r w:rsidRPr="00ED26A2">
        <w:rPr>
          <w:rFonts w:ascii="Abadi" w:hAnsi="Abadi" w:cs="Arial-BoldItalicMT"/>
          <w:b/>
          <w:bCs/>
          <w:i/>
          <w:iCs/>
          <w:sz w:val="21"/>
          <w:szCs w:val="21"/>
        </w:rPr>
        <w:t>quien ejerza la patria potestad y la opinión informada de la niña, niño o</w:t>
      </w:r>
      <w:r>
        <w:rPr>
          <w:rFonts w:ascii="Abadi" w:hAnsi="Abadi" w:cs="Arial-BoldItalicMT"/>
          <w:b/>
          <w:bCs/>
          <w:i/>
          <w:iCs/>
          <w:sz w:val="21"/>
          <w:szCs w:val="21"/>
        </w:rPr>
        <w:t xml:space="preserve"> </w:t>
      </w:r>
      <w:r w:rsidRPr="00ED26A2">
        <w:rPr>
          <w:rFonts w:ascii="Abadi" w:hAnsi="Abadi" w:cs="Arial-BoldItalicMT"/>
          <w:b/>
          <w:bCs/>
          <w:i/>
          <w:iCs/>
          <w:sz w:val="21"/>
          <w:szCs w:val="21"/>
        </w:rPr>
        <w:t>adolescente en función de su edad y madurez, además de cualquier otro</w:t>
      </w:r>
      <w:r>
        <w:rPr>
          <w:rFonts w:ascii="Abadi" w:hAnsi="Abadi" w:cs="Arial-BoldItalicMT"/>
          <w:b/>
          <w:bCs/>
          <w:i/>
          <w:iCs/>
          <w:sz w:val="21"/>
          <w:szCs w:val="21"/>
        </w:rPr>
        <w:t xml:space="preserve"> </w:t>
      </w:r>
      <w:r w:rsidRPr="00ED26A2">
        <w:rPr>
          <w:rFonts w:ascii="Abadi" w:hAnsi="Abadi" w:cs="Arial-BoldItalicMT"/>
          <w:b/>
          <w:bCs/>
          <w:i/>
          <w:iCs/>
          <w:sz w:val="21"/>
          <w:szCs w:val="21"/>
        </w:rPr>
        <w:t>requisito que establezca la autoridad electoral competente.</w:t>
      </w:r>
    </w:p>
    <w:p w14:paraId="29A6D671" w14:textId="77777777" w:rsidR="00306DA7" w:rsidRDefault="00306DA7" w:rsidP="00306DA7">
      <w:pPr>
        <w:autoSpaceDE w:val="0"/>
        <w:autoSpaceDN w:val="0"/>
        <w:adjustRightInd w:val="0"/>
        <w:jc w:val="both"/>
        <w:rPr>
          <w:rFonts w:ascii="Abadi" w:hAnsi="Abadi" w:cs="Arial-BoldItalicMT"/>
          <w:b/>
          <w:bCs/>
          <w:i/>
          <w:iCs/>
          <w:sz w:val="21"/>
          <w:szCs w:val="21"/>
        </w:rPr>
      </w:pPr>
    </w:p>
    <w:p w14:paraId="007D77E9" w14:textId="77777777" w:rsidR="00306DA7" w:rsidRPr="00ED26A2" w:rsidRDefault="00306DA7" w:rsidP="00306DA7">
      <w:pPr>
        <w:autoSpaceDE w:val="0"/>
        <w:autoSpaceDN w:val="0"/>
        <w:adjustRightInd w:val="0"/>
        <w:jc w:val="both"/>
        <w:rPr>
          <w:rFonts w:ascii="Abadi" w:hAnsi="Abadi" w:cs="Arial-BoldItalicMT"/>
          <w:b/>
          <w:bCs/>
          <w:i/>
          <w:iCs/>
          <w:sz w:val="21"/>
          <w:szCs w:val="21"/>
        </w:rPr>
      </w:pPr>
      <w:r w:rsidRPr="00ED26A2">
        <w:rPr>
          <w:rFonts w:ascii="Abadi" w:hAnsi="Abadi" w:cs="Arial-BoldItalicMT"/>
          <w:b/>
          <w:bCs/>
          <w:i/>
          <w:iCs/>
          <w:sz w:val="21"/>
          <w:szCs w:val="21"/>
        </w:rPr>
        <w:t>Lo anterior, siempre y cuando, este libre de cualquier tipo de violencia</w:t>
      </w:r>
      <w:r>
        <w:rPr>
          <w:rFonts w:ascii="Abadi" w:hAnsi="Abadi" w:cs="Arial-BoldItalicMT"/>
          <w:b/>
          <w:bCs/>
          <w:i/>
          <w:iCs/>
          <w:sz w:val="21"/>
          <w:szCs w:val="21"/>
        </w:rPr>
        <w:t xml:space="preserve"> </w:t>
      </w:r>
      <w:r w:rsidRPr="00ED26A2">
        <w:rPr>
          <w:rFonts w:ascii="Abadi" w:hAnsi="Abadi" w:cs="Arial-BoldItalicMT"/>
          <w:b/>
          <w:bCs/>
          <w:i/>
          <w:iCs/>
          <w:sz w:val="21"/>
          <w:szCs w:val="21"/>
        </w:rPr>
        <w:t>física, simbólica, emocional o psicológica y no se cause un perjuicio por</w:t>
      </w:r>
      <w:r>
        <w:rPr>
          <w:rFonts w:ascii="Abadi" w:hAnsi="Abadi" w:cs="Arial-BoldItalicMT"/>
          <w:b/>
          <w:bCs/>
          <w:i/>
          <w:iCs/>
          <w:sz w:val="21"/>
          <w:szCs w:val="21"/>
        </w:rPr>
        <w:t xml:space="preserve"> </w:t>
      </w:r>
      <w:r w:rsidRPr="00ED26A2">
        <w:rPr>
          <w:rFonts w:ascii="Abadi" w:hAnsi="Abadi" w:cs="Arial-BoldItalicMT"/>
          <w:b/>
          <w:bCs/>
          <w:i/>
          <w:iCs/>
          <w:sz w:val="21"/>
          <w:szCs w:val="21"/>
        </w:rPr>
        <w:t>denigración. La violación de este precepto será sancionada conforme a</w:t>
      </w:r>
      <w:r>
        <w:rPr>
          <w:rFonts w:ascii="Abadi" w:hAnsi="Abadi" w:cs="Arial-BoldItalicMT"/>
          <w:b/>
          <w:bCs/>
          <w:i/>
          <w:iCs/>
          <w:sz w:val="21"/>
          <w:szCs w:val="21"/>
        </w:rPr>
        <w:t xml:space="preserve"> </w:t>
      </w:r>
      <w:r w:rsidRPr="00ED26A2">
        <w:rPr>
          <w:rFonts w:ascii="Abadi" w:hAnsi="Abadi" w:cs="Arial-BoldItalicMT"/>
          <w:b/>
          <w:bCs/>
          <w:i/>
          <w:iCs/>
          <w:sz w:val="21"/>
          <w:szCs w:val="21"/>
        </w:rPr>
        <w:t>las disposiciones de esta ley”.</w:t>
      </w:r>
    </w:p>
    <w:p w14:paraId="686DC45D" w14:textId="77777777" w:rsidR="00306DA7" w:rsidRDefault="00306DA7" w:rsidP="00306DA7">
      <w:pPr>
        <w:autoSpaceDE w:val="0"/>
        <w:autoSpaceDN w:val="0"/>
        <w:adjustRightInd w:val="0"/>
        <w:jc w:val="both"/>
        <w:rPr>
          <w:rFonts w:ascii="Abadi" w:hAnsi="Abadi" w:cs="Arial-BoldMT"/>
          <w:b/>
          <w:bCs/>
          <w:sz w:val="21"/>
          <w:szCs w:val="21"/>
        </w:rPr>
      </w:pPr>
    </w:p>
    <w:p w14:paraId="56130FC2"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BoldMT"/>
          <w:b/>
          <w:bCs/>
          <w:sz w:val="21"/>
          <w:szCs w:val="21"/>
        </w:rPr>
        <w:t xml:space="preserve">SEGUNDO: </w:t>
      </w:r>
      <w:r w:rsidRPr="00ED26A2">
        <w:rPr>
          <w:rFonts w:ascii="Abadi" w:hAnsi="Abadi" w:cs="ArialMT"/>
          <w:sz w:val="21"/>
          <w:szCs w:val="21"/>
        </w:rPr>
        <w:t>Se adiciona un segundo párrafo al artículo 199, en el Título</w:t>
      </w:r>
      <w:r>
        <w:rPr>
          <w:rFonts w:ascii="Abadi" w:hAnsi="Abadi" w:cs="ArialMT"/>
          <w:sz w:val="21"/>
          <w:szCs w:val="21"/>
        </w:rPr>
        <w:t xml:space="preserve"> </w:t>
      </w:r>
      <w:r w:rsidRPr="00ED26A2">
        <w:rPr>
          <w:rFonts w:ascii="Abadi" w:hAnsi="Abadi" w:cs="ArialMT"/>
          <w:sz w:val="21"/>
          <w:szCs w:val="21"/>
        </w:rPr>
        <w:t>Cuarto, Sección Tercera de la Ley de Instituciones y Procedimientos</w:t>
      </w:r>
      <w:r>
        <w:rPr>
          <w:rFonts w:ascii="Abadi" w:hAnsi="Abadi" w:cs="ArialMT"/>
          <w:sz w:val="21"/>
          <w:szCs w:val="21"/>
        </w:rPr>
        <w:t xml:space="preserve"> </w:t>
      </w:r>
      <w:r w:rsidRPr="00ED26A2">
        <w:rPr>
          <w:rFonts w:ascii="Abadi" w:hAnsi="Abadi" w:cs="ArialMT"/>
          <w:sz w:val="21"/>
          <w:szCs w:val="21"/>
        </w:rPr>
        <w:t>Electorales para el Estado de Guanajuato, para quedar como sigue:</w:t>
      </w:r>
    </w:p>
    <w:p w14:paraId="345060F7" w14:textId="77777777" w:rsidR="00306DA7" w:rsidRDefault="00306DA7" w:rsidP="00306DA7">
      <w:pPr>
        <w:autoSpaceDE w:val="0"/>
        <w:autoSpaceDN w:val="0"/>
        <w:adjustRightInd w:val="0"/>
        <w:jc w:val="both"/>
        <w:rPr>
          <w:rFonts w:ascii="Abadi" w:hAnsi="Abadi" w:cs="Arial-BoldItalicMT"/>
          <w:b/>
          <w:bCs/>
          <w:i/>
          <w:iCs/>
          <w:sz w:val="21"/>
          <w:szCs w:val="21"/>
        </w:rPr>
      </w:pPr>
    </w:p>
    <w:p w14:paraId="0AA4B542" w14:textId="77777777" w:rsidR="00306DA7" w:rsidRPr="00ED26A2" w:rsidRDefault="00306DA7" w:rsidP="00306DA7">
      <w:pPr>
        <w:autoSpaceDE w:val="0"/>
        <w:autoSpaceDN w:val="0"/>
        <w:adjustRightInd w:val="0"/>
        <w:jc w:val="both"/>
        <w:rPr>
          <w:rFonts w:ascii="Abadi" w:hAnsi="Abadi" w:cs="Arial-ItalicMT"/>
          <w:i/>
          <w:iCs/>
          <w:sz w:val="21"/>
          <w:szCs w:val="21"/>
        </w:rPr>
      </w:pPr>
      <w:r w:rsidRPr="00ED26A2">
        <w:rPr>
          <w:rFonts w:ascii="Abadi" w:hAnsi="Abadi" w:cs="Arial-BoldItalicMT"/>
          <w:b/>
          <w:bCs/>
          <w:i/>
          <w:iCs/>
          <w:sz w:val="21"/>
          <w:szCs w:val="21"/>
        </w:rPr>
        <w:t>“Artículo 199</w:t>
      </w:r>
      <w:r w:rsidRPr="00ED26A2">
        <w:rPr>
          <w:rFonts w:ascii="Abadi" w:hAnsi="Abadi" w:cs="Arial-ItalicMT"/>
          <w:i/>
          <w:iCs/>
          <w:sz w:val="21"/>
          <w:szCs w:val="21"/>
        </w:rPr>
        <w:t>. Los Partidos Políticos…</w:t>
      </w:r>
    </w:p>
    <w:p w14:paraId="6BCA4A10" w14:textId="77777777" w:rsidR="00306DA7" w:rsidRDefault="00306DA7" w:rsidP="00306DA7">
      <w:pPr>
        <w:autoSpaceDE w:val="0"/>
        <w:autoSpaceDN w:val="0"/>
        <w:adjustRightInd w:val="0"/>
        <w:jc w:val="both"/>
        <w:rPr>
          <w:rFonts w:ascii="Abadi" w:hAnsi="Abadi" w:cs="Arial-BoldItalicMT"/>
          <w:b/>
          <w:bCs/>
          <w:i/>
          <w:iCs/>
          <w:sz w:val="21"/>
          <w:szCs w:val="21"/>
        </w:rPr>
      </w:pPr>
    </w:p>
    <w:p w14:paraId="4A8844A5" w14:textId="77777777" w:rsidR="00306DA7" w:rsidRPr="00ED26A2" w:rsidRDefault="00306DA7" w:rsidP="00306DA7">
      <w:pPr>
        <w:autoSpaceDE w:val="0"/>
        <w:autoSpaceDN w:val="0"/>
        <w:adjustRightInd w:val="0"/>
        <w:jc w:val="both"/>
        <w:rPr>
          <w:rFonts w:ascii="Abadi" w:hAnsi="Abadi" w:cs="Arial-BoldItalicMT"/>
          <w:b/>
          <w:bCs/>
          <w:i/>
          <w:iCs/>
          <w:sz w:val="21"/>
          <w:szCs w:val="21"/>
        </w:rPr>
      </w:pPr>
      <w:r w:rsidRPr="00ED26A2">
        <w:rPr>
          <w:rFonts w:ascii="Abadi" w:hAnsi="Abadi" w:cs="Arial-BoldItalicMT"/>
          <w:b/>
          <w:bCs/>
          <w:i/>
          <w:iCs/>
          <w:sz w:val="21"/>
          <w:szCs w:val="21"/>
        </w:rPr>
        <w:t>En la realización de los actos de campaña y de propaganda político</w:t>
      </w:r>
      <w:r>
        <w:rPr>
          <w:rFonts w:ascii="Abadi" w:hAnsi="Abadi" w:cs="Arial-BoldItalicMT"/>
          <w:b/>
          <w:bCs/>
          <w:i/>
          <w:iCs/>
          <w:sz w:val="21"/>
          <w:szCs w:val="21"/>
        </w:rPr>
        <w:t xml:space="preserve"> </w:t>
      </w:r>
      <w:r w:rsidRPr="00ED26A2">
        <w:rPr>
          <w:rFonts w:ascii="Abadi" w:hAnsi="Abadi" w:cs="Arial-BoldItalicMT"/>
          <w:b/>
          <w:bCs/>
          <w:i/>
          <w:iCs/>
          <w:sz w:val="21"/>
          <w:szCs w:val="21"/>
        </w:rPr>
        <w:t>electoral a que refieren los artículos 195 y 200 de esta ley, se aplicará</w:t>
      </w:r>
      <w:r>
        <w:rPr>
          <w:rFonts w:ascii="Abadi" w:hAnsi="Abadi" w:cs="Arial-BoldItalicMT"/>
          <w:b/>
          <w:bCs/>
          <w:i/>
          <w:iCs/>
          <w:sz w:val="21"/>
          <w:szCs w:val="21"/>
        </w:rPr>
        <w:t xml:space="preserve"> </w:t>
      </w:r>
      <w:r w:rsidRPr="00ED26A2">
        <w:rPr>
          <w:rFonts w:ascii="Abadi" w:hAnsi="Abadi" w:cs="Arial-BoldItalicMT"/>
          <w:b/>
          <w:bCs/>
          <w:i/>
          <w:iCs/>
          <w:sz w:val="21"/>
          <w:szCs w:val="21"/>
        </w:rPr>
        <w:t>los dispuesto en los párrafos séptimo y octavo del artículo 175 de esta</w:t>
      </w:r>
      <w:r>
        <w:rPr>
          <w:rFonts w:ascii="Abadi" w:hAnsi="Abadi" w:cs="Arial-BoldItalicMT"/>
          <w:b/>
          <w:bCs/>
          <w:i/>
          <w:iCs/>
          <w:sz w:val="21"/>
          <w:szCs w:val="21"/>
        </w:rPr>
        <w:t xml:space="preserve"> </w:t>
      </w:r>
      <w:r w:rsidRPr="00ED26A2">
        <w:rPr>
          <w:rFonts w:ascii="Abadi" w:hAnsi="Abadi" w:cs="Arial-BoldItalicMT"/>
          <w:b/>
          <w:bCs/>
          <w:i/>
          <w:iCs/>
          <w:sz w:val="21"/>
          <w:szCs w:val="21"/>
        </w:rPr>
        <w:t>ley.”</w:t>
      </w:r>
    </w:p>
    <w:p w14:paraId="68BE3918" w14:textId="77777777" w:rsidR="00306DA7" w:rsidRDefault="00306DA7" w:rsidP="00306DA7">
      <w:pPr>
        <w:autoSpaceDE w:val="0"/>
        <w:autoSpaceDN w:val="0"/>
        <w:adjustRightInd w:val="0"/>
        <w:jc w:val="both"/>
        <w:rPr>
          <w:rFonts w:ascii="Abadi" w:hAnsi="Abadi" w:cs="Arial-BoldMT"/>
          <w:b/>
          <w:bCs/>
          <w:sz w:val="21"/>
          <w:szCs w:val="21"/>
        </w:rPr>
      </w:pPr>
    </w:p>
    <w:p w14:paraId="64A12EAD" w14:textId="77777777" w:rsidR="00306DA7" w:rsidRPr="00ED26A2" w:rsidRDefault="00306DA7" w:rsidP="00306DA7">
      <w:pPr>
        <w:autoSpaceDE w:val="0"/>
        <w:autoSpaceDN w:val="0"/>
        <w:adjustRightInd w:val="0"/>
        <w:jc w:val="both"/>
        <w:rPr>
          <w:rFonts w:ascii="Abadi" w:hAnsi="Abadi" w:cs="ArialMT"/>
          <w:sz w:val="21"/>
          <w:szCs w:val="21"/>
        </w:rPr>
      </w:pPr>
      <w:r w:rsidRPr="00ED26A2">
        <w:rPr>
          <w:rFonts w:ascii="Abadi" w:hAnsi="Abadi" w:cs="Arial-BoldMT"/>
          <w:b/>
          <w:bCs/>
          <w:sz w:val="21"/>
          <w:szCs w:val="21"/>
        </w:rPr>
        <w:t xml:space="preserve">TERCERO. </w:t>
      </w:r>
      <w:r w:rsidRPr="00ED26A2">
        <w:rPr>
          <w:rFonts w:ascii="Abadi" w:hAnsi="Abadi" w:cs="ArialMT"/>
          <w:sz w:val="21"/>
          <w:szCs w:val="21"/>
        </w:rPr>
        <w:t>Se adiciona un segundo párrafo al artículo 71 de la Ley de los</w:t>
      </w:r>
      <w:r>
        <w:rPr>
          <w:rFonts w:ascii="Abadi" w:hAnsi="Abadi" w:cs="ArialMT"/>
          <w:sz w:val="21"/>
          <w:szCs w:val="21"/>
        </w:rPr>
        <w:t xml:space="preserve"> </w:t>
      </w:r>
      <w:r w:rsidRPr="00ED26A2">
        <w:rPr>
          <w:rFonts w:ascii="Abadi" w:hAnsi="Abadi" w:cs="ArialMT"/>
          <w:sz w:val="21"/>
          <w:szCs w:val="21"/>
        </w:rPr>
        <w:t>Derechos de Niñas, Niños y Adolescentes del Estado de Guanajuato, para</w:t>
      </w:r>
      <w:r>
        <w:rPr>
          <w:rFonts w:ascii="Abadi" w:hAnsi="Abadi" w:cs="ArialMT"/>
          <w:sz w:val="21"/>
          <w:szCs w:val="21"/>
        </w:rPr>
        <w:t xml:space="preserve"> </w:t>
      </w:r>
      <w:r w:rsidRPr="00ED26A2">
        <w:rPr>
          <w:rFonts w:ascii="Abadi" w:hAnsi="Abadi" w:cs="ArialMT"/>
          <w:sz w:val="21"/>
          <w:szCs w:val="21"/>
        </w:rPr>
        <w:t>quedar como sigue:</w:t>
      </w:r>
    </w:p>
    <w:p w14:paraId="16887E57" w14:textId="77777777" w:rsidR="00306DA7" w:rsidRDefault="00306DA7" w:rsidP="00306DA7">
      <w:pPr>
        <w:autoSpaceDE w:val="0"/>
        <w:autoSpaceDN w:val="0"/>
        <w:adjustRightInd w:val="0"/>
        <w:jc w:val="both"/>
        <w:rPr>
          <w:rFonts w:ascii="Abadi" w:hAnsi="Abadi" w:cs="Arial-BoldItalicMT"/>
          <w:b/>
          <w:bCs/>
          <w:i/>
          <w:iCs/>
          <w:sz w:val="21"/>
          <w:szCs w:val="21"/>
        </w:rPr>
      </w:pPr>
    </w:p>
    <w:p w14:paraId="0D637AC5" w14:textId="77777777" w:rsidR="00306DA7" w:rsidRPr="00ED26A2" w:rsidRDefault="00306DA7" w:rsidP="00306DA7">
      <w:pPr>
        <w:autoSpaceDE w:val="0"/>
        <w:autoSpaceDN w:val="0"/>
        <w:adjustRightInd w:val="0"/>
        <w:jc w:val="both"/>
        <w:rPr>
          <w:rFonts w:ascii="Abadi" w:hAnsi="Abadi" w:cs="Arial-ItalicMT"/>
          <w:i/>
          <w:iCs/>
          <w:sz w:val="21"/>
          <w:szCs w:val="21"/>
        </w:rPr>
      </w:pPr>
      <w:r w:rsidRPr="00ED26A2">
        <w:rPr>
          <w:rFonts w:ascii="Abadi" w:hAnsi="Abadi" w:cs="Arial-BoldItalicMT"/>
          <w:b/>
          <w:bCs/>
          <w:i/>
          <w:iCs/>
          <w:sz w:val="21"/>
          <w:szCs w:val="21"/>
        </w:rPr>
        <w:t xml:space="preserve">“Artículo 71. </w:t>
      </w:r>
      <w:r w:rsidRPr="00ED26A2">
        <w:rPr>
          <w:rFonts w:ascii="Abadi" w:hAnsi="Abadi" w:cs="Arial-ItalicMT"/>
          <w:i/>
          <w:iCs/>
          <w:sz w:val="21"/>
          <w:szCs w:val="21"/>
        </w:rPr>
        <w:t>Las autoridades estatales y municipales en el ámbito de sus</w:t>
      </w:r>
      <w:r>
        <w:rPr>
          <w:rFonts w:ascii="Abadi" w:hAnsi="Abadi" w:cs="Arial-ItalicMT"/>
          <w:i/>
          <w:iCs/>
          <w:sz w:val="21"/>
          <w:szCs w:val="21"/>
        </w:rPr>
        <w:t xml:space="preserve"> </w:t>
      </w:r>
      <w:r w:rsidRPr="00ED26A2">
        <w:rPr>
          <w:rFonts w:ascii="Abadi" w:hAnsi="Abadi" w:cs="Arial-ItalicMT"/>
          <w:i/>
          <w:iCs/>
          <w:sz w:val="21"/>
          <w:szCs w:val="21"/>
        </w:rPr>
        <w:t>respectivas competencias…..</w:t>
      </w:r>
    </w:p>
    <w:p w14:paraId="3C697CA8" w14:textId="77777777" w:rsidR="00306DA7" w:rsidRDefault="00306DA7" w:rsidP="00306DA7">
      <w:pPr>
        <w:autoSpaceDE w:val="0"/>
        <w:autoSpaceDN w:val="0"/>
        <w:adjustRightInd w:val="0"/>
        <w:jc w:val="both"/>
        <w:rPr>
          <w:rFonts w:ascii="Abadi" w:hAnsi="Abadi" w:cs="Arial-BoldItalicMT"/>
          <w:b/>
          <w:bCs/>
          <w:i/>
          <w:iCs/>
          <w:sz w:val="21"/>
          <w:szCs w:val="21"/>
        </w:rPr>
      </w:pPr>
    </w:p>
    <w:p w14:paraId="35E00F80" w14:textId="77777777" w:rsidR="00306DA7" w:rsidRPr="00ED26A2" w:rsidRDefault="00306DA7" w:rsidP="00306DA7">
      <w:pPr>
        <w:autoSpaceDE w:val="0"/>
        <w:autoSpaceDN w:val="0"/>
        <w:adjustRightInd w:val="0"/>
        <w:jc w:val="both"/>
        <w:rPr>
          <w:rFonts w:ascii="Abadi" w:hAnsi="Abadi" w:cs="Arial-BoldItalicMT"/>
          <w:b/>
          <w:bCs/>
          <w:i/>
          <w:iCs/>
          <w:sz w:val="21"/>
          <w:szCs w:val="21"/>
        </w:rPr>
      </w:pPr>
      <w:r w:rsidRPr="00ED26A2">
        <w:rPr>
          <w:rFonts w:ascii="Abadi" w:hAnsi="Abadi" w:cs="Arial-BoldItalicMT"/>
          <w:b/>
          <w:bCs/>
          <w:i/>
          <w:iCs/>
          <w:sz w:val="21"/>
          <w:szCs w:val="21"/>
        </w:rPr>
        <w:t>En los procesos electorales las autoridades electorales estatales y</w:t>
      </w:r>
      <w:r>
        <w:rPr>
          <w:rFonts w:ascii="Abadi" w:hAnsi="Abadi" w:cs="Arial-BoldItalicMT"/>
          <w:b/>
          <w:bCs/>
          <w:i/>
          <w:iCs/>
          <w:sz w:val="21"/>
          <w:szCs w:val="21"/>
        </w:rPr>
        <w:t xml:space="preserve"> </w:t>
      </w:r>
      <w:r w:rsidRPr="00ED26A2">
        <w:rPr>
          <w:rFonts w:ascii="Abadi" w:hAnsi="Abadi" w:cs="Arial-BoldItalicMT"/>
          <w:b/>
          <w:bCs/>
          <w:i/>
          <w:iCs/>
          <w:sz w:val="21"/>
          <w:szCs w:val="21"/>
        </w:rPr>
        <w:t>municipales, deberán garantizar la protección de la identidad e</w:t>
      </w:r>
      <w:r>
        <w:rPr>
          <w:rFonts w:ascii="Abadi" w:hAnsi="Abadi" w:cs="Arial-BoldItalicMT"/>
          <w:b/>
          <w:bCs/>
          <w:i/>
          <w:iCs/>
          <w:sz w:val="21"/>
          <w:szCs w:val="21"/>
        </w:rPr>
        <w:t xml:space="preserve"> </w:t>
      </w:r>
      <w:r w:rsidRPr="00ED26A2">
        <w:rPr>
          <w:rFonts w:ascii="Abadi" w:hAnsi="Abadi" w:cs="Arial-BoldItalicMT"/>
          <w:b/>
          <w:bCs/>
          <w:i/>
          <w:iCs/>
          <w:sz w:val="21"/>
          <w:szCs w:val="21"/>
        </w:rPr>
        <w:t>intimidad de niñas, niños y adolescentes, mediante la utilización de su</w:t>
      </w:r>
      <w:r>
        <w:rPr>
          <w:rFonts w:ascii="Abadi" w:hAnsi="Abadi" w:cs="Arial-BoldItalicMT"/>
          <w:b/>
          <w:bCs/>
          <w:i/>
          <w:iCs/>
          <w:sz w:val="21"/>
          <w:szCs w:val="21"/>
        </w:rPr>
        <w:t xml:space="preserve"> </w:t>
      </w:r>
      <w:r w:rsidRPr="00ED26A2">
        <w:rPr>
          <w:rFonts w:ascii="Abadi" w:hAnsi="Abadi" w:cs="Arial-BoldItalicMT"/>
          <w:b/>
          <w:bCs/>
          <w:i/>
          <w:iCs/>
          <w:sz w:val="21"/>
          <w:szCs w:val="21"/>
        </w:rPr>
        <w:t xml:space="preserve">persona o su imagen en los actos de precampaña, </w:t>
      </w:r>
      <w:r w:rsidRPr="00ED26A2">
        <w:rPr>
          <w:rFonts w:ascii="Abadi" w:hAnsi="Abadi" w:cs="Arial-BoldMT"/>
          <w:b/>
          <w:bCs/>
          <w:sz w:val="21"/>
          <w:szCs w:val="21"/>
        </w:rPr>
        <w:t>campaña y actos de</w:t>
      </w:r>
      <w:r>
        <w:rPr>
          <w:rFonts w:ascii="Abadi" w:hAnsi="Abadi" w:cs="Arial-BoldItalicMT"/>
          <w:b/>
          <w:bCs/>
          <w:i/>
          <w:iCs/>
          <w:sz w:val="21"/>
          <w:szCs w:val="21"/>
        </w:rPr>
        <w:t xml:space="preserve"> </w:t>
      </w:r>
      <w:r w:rsidRPr="00ED26A2">
        <w:rPr>
          <w:rFonts w:ascii="Abadi" w:hAnsi="Abadi" w:cs="Arial-BoldItalicMT"/>
          <w:b/>
          <w:bCs/>
          <w:i/>
          <w:iCs/>
          <w:sz w:val="21"/>
          <w:szCs w:val="21"/>
        </w:rPr>
        <w:t>propaganda político electoral</w:t>
      </w:r>
      <w:r w:rsidRPr="00ED26A2">
        <w:rPr>
          <w:rFonts w:ascii="Abadi" w:hAnsi="Abadi" w:cs="Arial-BoldMT"/>
          <w:b/>
          <w:bCs/>
          <w:sz w:val="21"/>
          <w:szCs w:val="21"/>
        </w:rPr>
        <w:t xml:space="preserve">, </w:t>
      </w:r>
      <w:r w:rsidRPr="00ED26A2">
        <w:rPr>
          <w:rFonts w:ascii="Abadi" w:hAnsi="Abadi" w:cs="Arial-BoldItalicMT"/>
          <w:b/>
          <w:bCs/>
          <w:i/>
          <w:iCs/>
          <w:sz w:val="21"/>
          <w:szCs w:val="21"/>
        </w:rPr>
        <w:t xml:space="preserve">cuando su participación no </w:t>
      </w:r>
      <w:r w:rsidRPr="00ED26A2">
        <w:rPr>
          <w:rFonts w:ascii="Abadi" w:hAnsi="Abadi" w:cs="Arial-BoldMT"/>
          <w:b/>
          <w:bCs/>
          <w:sz w:val="21"/>
          <w:szCs w:val="21"/>
        </w:rPr>
        <w:t>esté libre de</w:t>
      </w:r>
      <w:r>
        <w:rPr>
          <w:rFonts w:ascii="Abadi" w:hAnsi="Abadi" w:cs="Arial-BoldItalicMT"/>
          <w:b/>
          <w:bCs/>
          <w:i/>
          <w:iCs/>
          <w:sz w:val="21"/>
          <w:szCs w:val="21"/>
        </w:rPr>
        <w:t xml:space="preserve"> </w:t>
      </w:r>
      <w:r w:rsidRPr="00ED26A2">
        <w:rPr>
          <w:rFonts w:ascii="Abadi" w:hAnsi="Abadi" w:cs="Arial-BoldItalicMT"/>
          <w:b/>
          <w:bCs/>
          <w:i/>
          <w:iCs/>
          <w:sz w:val="21"/>
          <w:szCs w:val="21"/>
        </w:rPr>
        <w:t>cualquier tipo de violencia física, simbólica, emocional o psicológica o</w:t>
      </w:r>
      <w:r>
        <w:rPr>
          <w:rFonts w:ascii="Abadi" w:hAnsi="Abadi" w:cs="Arial-BoldItalicMT"/>
          <w:b/>
          <w:bCs/>
          <w:i/>
          <w:iCs/>
          <w:sz w:val="21"/>
          <w:szCs w:val="21"/>
        </w:rPr>
        <w:t xml:space="preserve"> </w:t>
      </w:r>
      <w:r w:rsidRPr="00ED26A2">
        <w:rPr>
          <w:rFonts w:ascii="Abadi" w:hAnsi="Abadi" w:cs="Arial-BoldItalicMT"/>
          <w:b/>
          <w:bCs/>
          <w:i/>
          <w:iCs/>
          <w:sz w:val="21"/>
          <w:szCs w:val="21"/>
        </w:rPr>
        <w:t>pueda causar cualquier perjuicio que pudiese derivar en su denigración,</w:t>
      </w:r>
      <w:r>
        <w:rPr>
          <w:rFonts w:ascii="Abadi" w:hAnsi="Abadi" w:cs="Arial-BoldItalicMT"/>
          <w:b/>
          <w:bCs/>
          <w:i/>
          <w:iCs/>
          <w:sz w:val="21"/>
          <w:szCs w:val="21"/>
        </w:rPr>
        <w:t xml:space="preserve"> </w:t>
      </w:r>
      <w:r w:rsidRPr="00ED26A2">
        <w:rPr>
          <w:rFonts w:ascii="Abadi" w:hAnsi="Abadi" w:cs="Arial-BoldItalicMT"/>
          <w:b/>
          <w:bCs/>
          <w:i/>
          <w:iCs/>
          <w:sz w:val="21"/>
          <w:szCs w:val="21"/>
        </w:rPr>
        <w:t>aun cuando medie autorización por escrito de la madre o del padre, tutor</w:t>
      </w:r>
      <w:r>
        <w:rPr>
          <w:rFonts w:ascii="Abadi" w:hAnsi="Abadi" w:cs="Arial-BoldItalicMT"/>
          <w:b/>
          <w:bCs/>
          <w:i/>
          <w:iCs/>
          <w:sz w:val="21"/>
          <w:szCs w:val="21"/>
        </w:rPr>
        <w:t xml:space="preserve"> </w:t>
      </w:r>
      <w:r w:rsidRPr="00ED26A2">
        <w:rPr>
          <w:rFonts w:ascii="Abadi" w:hAnsi="Abadi" w:cs="Arial-BoldItalicMT"/>
          <w:b/>
          <w:bCs/>
          <w:i/>
          <w:iCs/>
          <w:sz w:val="21"/>
          <w:szCs w:val="21"/>
        </w:rPr>
        <w:t>o de quien ejerza la patria potestad.”</w:t>
      </w:r>
    </w:p>
    <w:p w14:paraId="6FBF6C80" w14:textId="77777777" w:rsidR="00306DA7" w:rsidRDefault="00306DA7" w:rsidP="00306DA7">
      <w:pPr>
        <w:autoSpaceDE w:val="0"/>
        <w:autoSpaceDN w:val="0"/>
        <w:adjustRightInd w:val="0"/>
        <w:jc w:val="both"/>
        <w:rPr>
          <w:rFonts w:ascii="Abadi" w:hAnsi="Abadi" w:cs="Arial-BoldMT"/>
          <w:b/>
          <w:bCs/>
          <w:sz w:val="21"/>
          <w:szCs w:val="21"/>
        </w:rPr>
      </w:pPr>
    </w:p>
    <w:p w14:paraId="1DB263E3" w14:textId="77777777" w:rsidR="00306DA7" w:rsidRDefault="00306DA7" w:rsidP="00306DA7">
      <w:pPr>
        <w:autoSpaceDE w:val="0"/>
        <w:autoSpaceDN w:val="0"/>
        <w:adjustRightInd w:val="0"/>
        <w:jc w:val="center"/>
        <w:rPr>
          <w:rFonts w:ascii="Abadi" w:hAnsi="Abadi" w:cs="Arial-BoldMT"/>
          <w:b/>
          <w:bCs/>
          <w:sz w:val="21"/>
          <w:szCs w:val="21"/>
        </w:rPr>
      </w:pPr>
      <w:r w:rsidRPr="00ED26A2">
        <w:rPr>
          <w:rFonts w:ascii="Abadi" w:hAnsi="Abadi" w:cs="Arial-BoldMT"/>
          <w:b/>
          <w:bCs/>
          <w:sz w:val="21"/>
          <w:szCs w:val="21"/>
        </w:rPr>
        <w:t>TRANSITORIO.</w:t>
      </w:r>
    </w:p>
    <w:p w14:paraId="5FAEB8D4" w14:textId="77777777" w:rsidR="00306DA7" w:rsidRPr="00ED26A2" w:rsidRDefault="00306DA7" w:rsidP="00306DA7">
      <w:pPr>
        <w:autoSpaceDE w:val="0"/>
        <w:autoSpaceDN w:val="0"/>
        <w:adjustRightInd w:val="0"/>
        <w:jc w:val="both"/>
        <w:rPr>
          <w:rFonts w:ascii="Abadi" w:hAnsi="Abadi" w:cs="Arial-BoldMT"/>
          <w:b/>
          <w:bCs/>
          <w:sz w:val="21"/>
          <w:szCs w:val="21"/>
        </w:rPr>
      </w:pPr>
    </w:p>
    <w:p w14:paraId="4CF59427" w14:textId="77777777" w:rsidR="00306DA7" w:rsidRDefault="00306DA7" w:rsidP="00306DA7">
      <w:pPr>
        <w:autoSpaceDE w:val="0"/>
        <w:autoSpaceDN w:val="0"/>
        <w:adjustRightInd w:val="0"/>
        <w:jc w:val="both"/>
        <w:rPr>
          <w:rFonts w:ascii="Abadi" w:hAnsi="Abadi" w:cs="ArialMT"/>
          <w:sz w:val="21"/>
          <w:szCs w:val="21"/>
        </w:rPr>
      </w:pPr>
      <w:r w:rsidRPr="00ED26A2">
        <w:rPr>
          <w:rFonts w:ascii="Abadi" w:hAnsi="Abadi" w:cs="Arial-BoldMT"/>
          <w:b/>
          <w:bCs/>
          <w:sz w:val="21"/>
          <w:szCs w:val="21"/>
        </w:rPr>
        <w:lastRenderedPageBreak/>
        <w:t xml:space="preserve">ÚNICO. </w:t>
      </w:r>
      <w:r w:rsidRPr="00ED26A2">
        <w:rPr>
          <w:rFonts w:ascii="Abadi" w:hAnsi="Abadi" w:cs="ArialMT"/>
          <w:sz w:val="21"/>
          <w:szCs w:val="21"/>
        </w:rPr>
        <w:t>El presente Decreto entrará en vigor al día siguiente de su</w:t>
      </w:r>
      <w:r>
        <w:rPr>
          <w:rFonts w:ascii="Abadi" w:hAnsi="Abadi" w:cs="ArialMT"/>
          <w:sz w:val="21"/>
          <w:szCs w:val="21"/>
        </w:rPr>
        <w:t xml:space="preserve"> </w:t>
      </w:r>
      <w:r w:rsidRPr="00ED26A2">
        <w:rPr>
          <w:rFonts w:ascii="Abadi" w:hAnsi="Abadi" w:cs="ArialMT"/>
          <w:sz w:val="21"/>
          <w:szCs w:val="21"/>
        </w:rPr>
        <w:t>publicación en el Periódico Oficial del Estado de Guanajuato.</w:t>
      </w:r>
    </w:p>
    <w:p w14:paraId="04416EAB" w14:textId="77777777" w:rsidR="00306DA7" w:rsidRPr="00ED26A2" w:rsidRDefault="00306DA7" w:rsidP="00306DA7">
      <w:pPr>
        <w:autoSpaceDE w:val="0"/>
        <w:autoSpaceDN w:val="0"/>
        <w:adjustRightInd w:val="0"/>
        <w:jc w:val="both"/>
        <w:rPr>
          <w:rFonts w:ascii="Abadi" w:hAnsi="Abadi" w:cs="ArialMT"/>
          <w:sz w:val="21"/>
          <w:szCs w:val="21"/>
        </w:rPr>
      </w:pPr>
    </w:p>
    <w:p w14:paraId="5D3F4912" w14:textId="77777777" w:rsidR="00306DA7" w:rsidRPr="00ED26A2" w:rsidRDefault="00306DA7" w:rsidP="00306DA7">
      <w:pPr>
        <w:autoSpaceDE w:val="0"/>
        <w:autoSpaceDN w:val="0"/>
        <w:adjustRightInd w:val="0"/>
        <w:jc w:val="center"/>
        <w:rPr>
          <w:rFonts w:ascii="Abadi" w:hAnsi="Abadi" w:cs="ArialMT"/>
          <w:sz w:val="21"/>
          <w:szCs w:val="21"/>
        </w:rPr>
      </w:pPr>
      <w:r w:rsidRPr="00ED26A2">
        <w:rPr>
          <w:rFonts w:ascii="Abadi" w:hAnsi="Abadi" w:cs="ArialMT"/>
          <w:sz w:val="21"/>
          <w:szCs w:val="21"/>
        </w:rPr>
        <w:t>Guanajuato, Gto., a 11 de octubre de 2022</w:t>
      </w:r>
    </w:p>
    <w:p w14:paraId="5FE32528" w14:textId="77777777" w:rsidR="00306DA7" w:rsidRPr="00ED26A2" w:rsidRDefault="00306DA7" w:rsidP="00306DA7">
      <w:pPr>
        <w:autoSpaceDE w:val="0"/>
        <w:autoSpaceDN w:val="0"/>
        <w:adjustRightInd w:val="0"/>
        <w:jc w:val="center"/>
        <w:rPr>
          <w:rFonts w:ascii="Abadi" w:hAnsi="Abadi" w:cs="ArialMT"/>
          <w:sz w:val="21"/>
          <w:szCs w:val="21"/>
        </w:rPr>
      </w:pPr>
      <w:r w:rsidRPr="00ED26A2">
        <w:rPr>
          <w:rFonts w:ascii="Abadi" w:hAnsi="Abadi" w:cs="ArialMT"/>
          <w:sz w:val="21"/>
          <w:szCs w:val="21"/>
        </w:rPr>
        <w:t>Diputadas y Diputados integrantes del Grupo</w:t>
      </w:r>
    </w:p>
    <w:p w14:paraId="281565C5" w14:textId="77777777" w:rsidR="00306DA7" w:rsidRPr="00ED26A2" w:rsidRDefault="00306DA7" w:rsidP="00306DA7">
      <w:pPr>
        <w:autoSpaceDE w:val="0"/>
        <w:autoSpaceDN w:val="0"/>
        <w:adjustRightInd w:val="0"/>
        <w:jc w:val="center"/>
        <w:rPr>
          <w:rFonts w:ascii="Abadi" w:hAnsi="Abadi" w:cs="ArialMT"/>
          <w:sz w:val="21"/>
          <w:szCs w:val="21"/>
        </w:rPr>
      </w:pPr>
      <w:r w:rsidRPr="00ED26A2">
        <w:rPr>
          <w:rFonts w:ascii="Abadi" w:hAnsi="Abadi" w:cs="ArialMT"/>
          <w:sz w:val="21"/>
          <w:szCs w:val="21"/>
        </w:rPr>
        <w:t>Parlamentario del Partido Revolucionario Institucional.</w:t>
      </w:r>
    </w:p>
    <w:p w14:paraId="57EE022B" w14:textId="77777777" w:rsidR="00306DA7" w:rsidRDefault="00306DA7" w:rsidP="00306DA7">
      <w:pPr>
        <w:autoSpaceDE w:val="0"/>
        <w:autoSpaceDN w:val="0"/>
        <w:adjustRightInd w:val="0"/>
        <w:jc w:val="center"/>
        <w:rPr>
          <w:rFonts w:ascii="Abadi" w:hAnsi="Abadi" w:cs="Arial-BoldMT"/>
          <w:b/>
          <w:bCs/>
          <w:sz w:val="21"/>
          <w:szCs w:val="21"/>
        </w:rPr>
      </w:pPr>
    </w:p>
    <w:p w14:paraId="60D61006" w14:textId="77777777" w:rsidR="00306DA7" w:rsidRPr="00ED26A2" w:rsidRDefault="00306DA7" w:rsidP="00306DA7">
      <w:pPr>
        <w:autoSpaceDE w:val="0"/>
        <w:autoSpaceDN w:val="0"/>
        <w:adjustRightInd w:val="0"/>
        <w:jc w:val="center"/>
        <w:rPr>
          <w:rFonts w:ascii="Abadi" w:hAnsi="Abadi" w:cs="Arial-BoldMT"/>
          <w:b/>
          <w:bCs/>
          <w:sz w:val="21"/>
          <w:szCs w:val="21"/>
        </w:rPr>
      </w:pPr>
      <w:r w:rsidRPr="00ED26A2">
        <w:rPr>
          <w:rFonts w:ascii="Abadi" w:hAnsi="Abadi" w:cs="Arial-BoldMT"/>
          <w:b/>
          <w:bCs/>
          <w:sz w:val="21"/>
          <w:szCs w:val="21"/>
        </w:rPr>
        <w:t>DIP. GUSTAVO ADOLFO ALFARO REYES</w:t>
      </w:r>
    </w:p>
    <w:p w14:paraId="0F319F4F" w14:textId="77777777" w:rsidR="00306DA7" w:rsidRPr="00ED26A2" w:rsidRDefault="00306DA7" w:rsidP="00306DA7">
      <w:pPr>
        <w:autoSpaceDE w:val="0"/>
        <w:autoSpaceDN w:val="0"/>
        <w:adjustRightInd w:val="0"/>
        <w:jc w:val="center"/>
        <w:rPr>
          <w:rFonts w:ascii="Abadi" w:hAnsi="Abadi" w:cs="Arial-BoldMT"/>
          <w:b/>
          <w:bCs/>
          <w:sz w:val="21"/>
          <w:szCs w:val="21"/>
        </w:rPr>
      </w:pPr>
      <w:r w:rsidRPr="00ED26A2">
        <w:rPr>
          <w:rFonts w:ascii="Abadi" w:hAnsi="Abadi" w:cs="Arial-BoldMT"/>
          <w:b/>
          <w:bCs/>
          <w:sz w:val="21"/>
          <w:szCs w:val="21"/>
        </w:rPr>
        <w:t>DIP. RUTH NOEMI TISCAREÑO AGOITIA.</w:t>
      </w:r>
    </w:p>
    <w:p w14:paraId="7DB9471A" w14:textId="01A7F071" w:rsidR="00306DA7" w:rsidRDefault="00306DA7" w:rsidP="00306DA7">
      <w:pPr>
        <w:jc w:val="center"/>
        <w:rPr>
          <w:rFonts w:ascii="Abadi" w:hAnsi="Abadi" w:cs="Arial-BoldMT"/>
          <w:b/>
          <w:bCs/>
          <w:sz w:val="21"/>
          <w:szCs w:val="21"/>
        </w:rPr>
      </w:pPr>
      <w:r w:rsidRPr="00ED26A2">
        <w:rPr>
          <w:rFonts w:ascii="Abadi" w:hAnsi="Abadi" w:cs="Arial-BoldMT"/>
          <w:b/>
          <w:bCs/>
          <w:sz w:val="21"/>
          <w:szCs w:val="21"/>
        </w:rPr>
        <w:t>DIP. ALEJANDRO ÁRIAS ÁVILA.</w:t>
      </w:r>
    </w:p>
    <w:p w14:paraId="22BFCF75" w14:textId="33867C05" w:rsidR="00904696" w:rsidRDefault="00904696" w:rsidP="00306DA7">
      <w:pPr>
        <w:jc w:val="center"/>
        <w:rPr>
          <w:rFonts w:ascii="Abadi" w:hAnsi="Abadi" w:cs="Arial-BoldMT"/>
          <w:b/>
          <w:bCs/>
          <w:sz w:val="21"/>
          <w:szCs w:val="21"/>
        </w:rPr>
      </w:pPr>
    </w:p>
    <w:p w14:paraId="508DDE3B" w14:textId="6CA9DC3E" w:rsidR="00313712" w:rsidRDefault="00313712" w:rsidP="00313712">
      <w:pPr>
        <w:jc w:val="both"/>
        <w:rPr>
          <w:rFonts w:ascii="Abadi" w:hAnsi="Abadi"/>
          <w:sz w:val="21"/>
          <w:szCs w:val="21"/>
        </w:rPr>
      </w:pPr>
      <w:r w:rsidRPr="00AA7107">
        <w:rPr>
          <w:rFonts w:ascii="Abadi" w:hAnsi="Abadi"/>
          <w:b/>
          <w:bCs/>
          <w:sz w:val="21"/>
          <w:szCs w:val="21"/>
        </w:rPr>
        <w:tab/>
        <w:t>- El Presidente.-</w:t>
      </w:r>
      <w:r w:rsidRPr="00AA7107">
        <w:rPr>
          <w:rFonts w:ascii="Abadi" w:hAnsi="Abadi"/>
          <w:sz w:val="21"/>
          <w:szCs w:val="21"/>
        </w:rPr>
        <w:t xml:space="preserve"> A continuación, se solicita al diputado Gustavo Adolfo Alfaro Reyes, dar lectura a la exposición de motivos de la iniciativa </w:t>
      </w:r>
      <w:r>
        <w:rPr>
          <w:rFonts w:ascii="Abadi" w:hAnsi="Abadi"/>
          <w:sz w:val="21"/>
          <w:szCs w:val="21"/>
        </w:rPr>
        <w:t xml:space="preserve">que refiere </w:t>
      </w:r>
      <w:r w:rsidRPr="00AA7107">
        <w:rPr>
          <w:rFonts w:ascii="Abadi" w:hAnsi="Abadi"/>
          <w:sz w:val="21"/>
          <w:szCs w:val="21"/>
        </w:rPr>
        <w:t>en el punto 8 de nuestra orden del día. (ELD 311/LXV-I)</w:t>
      </w:r>
    </w:p>
    <w:p w14:paraId="4B73221F" w14:textId="77777777" w:rsidR="00313712" w:rsidRPr="00AA7107" w:rsidRDefault="00313712" w:rsidP="00313712">
      <w:pPr>
        <w:jc w:val="both"/>
        <w:rPr>
          <w:rFonts w:ascii="Abadi" w:hAnsi="Abadi"/>
          <w:sz w:val="21"/>
          <w:szCs w:val="21"/>
        </w:rPr>
      </w:pPr>
    </w:p>
    <w:p w14:paraId="6D935326" w14:textId="1AF0D2CF" w:rsidR="00313712" w:rsidRDefault="00313712" w:rsidP="00313712">
      <w:pPr>
        <w:jc w:val="both"/>
        <w:rPr>
          <w:rFonts w:ascii="Abadi" w:hAnsi="Abadi"/>
          <w:sz w:val="21"/>
          <w:szCs w:val="21"/>
        </w:rPr>
      </w:pPr>
      <w:r w:rsidRPr="00AA7107">
        <w:rPr>
          <w:rFonts w:ascii="Abadi" w:hAnsi="Abadi"/>
          <w:sz w:val="21"/>
          <w:szCs w:val="21"/>
        </w:rPr>
        <w:t>- Adelante diputado Gustavo Adolfo.</w:t>
      </w:r>
    </w:p>
    <w:p w14:paraId="23D416FC" w14:textId="77777777" w:rsidR="00313712" w:rsidRPr="00AA7107" w:rsidRDefault="00313712" w:rsidP="00313712">
      <w:pPr>
        <w:jc w:val="both"/>
        <w:rPr>
          <w:rFonts w:ascii="Abadi" w:hAnsi="Abadi"/>
          <w:sz w:val="21"/>
          <w:szCs w:val="21"/>
        </w:rPr>
      </w:pPr>
    </w:p>
    <w:p w14:paraId="47E9D137" w14:textId="1A82757A" w:rsidR="00313712" w:rsidRDefault="00313712" w:rsidP="00313712">
      <w:pPr>
        <w:jc w:val="both"/>
        <w:rPr>
          <w:rFonts w:ascii="Abadi" w:hAnsi="Abadi"/>
          <w:b/>
          <w:bCs/>
          <w:sz w:val="21"/>
          <w:szCs w:val="21"/>
        </w:rPr>
      </w:pPr>
      <w:r w:rsidRPr="00AA7107">
        <w:rPr>
          <w:rFonts w:ascii="Abadi" w:hAnsi="Abadi"/>
          <w:b/>
          <w:bCs/>
          <w:sz w:val="21"/>
          <w:szCs w:val="21"/>
        </w:rPr>
        <w:t>(Sube a tribuna el diputado Gustavo Adolfo Alfaro Reyes, para dar lectura a la iniciativa en referencia)</w:t>
      </w:r>
    </w:p>
    <w:p w14:paraId="19E17814" w14:textId="79C857ED" w:rsidR="00313712" w:rsidRDefault="00313712" w:rsidP="00313712">
      <w:pPr>
        <w:jc w:val="both"/>
        <w:rPr>
          <w:rFonts w:ascii="Abadi" w:hAnsi="Abadi"/>
          <w:b/>
          <w:bCs/>
          <w:sz w:val="21"/>
          <w:szCs w:val="21"/>
        </w:rPr>
      </w:pPr>
    </w:p>
    <w:p w14:paraId="700C00EC" w14:textId="77777777" w:rsidR="00313712" w:rsidRPr="00AA7107" w:rsidRDefault="00313712" w:rsidP="00313712">
      <w:pPr>
        <w:jc w:val="both"/>
        <w:rPr>
          <w:rFonts w:ascii="Abadi" w:hAnsi="Abadi"/>
          <w:b/>
          <w:bCs/>
          <w:sz w:val="21"/>
          <w:szCs w:val="21"/>
        </w:rPr>
      </w:pPr>
    </w:p>
    <w:p w14:paraId="178C44B0" w14:textId="77777777" w:rsidR="00313712" w:rsidRPr="00AA7107" w:rsidRDefault="00313712" w:rsidP="00313712">
      <w:pPr>
        <w:jc w:val="center"/>
        <w:rPr>
          <w:rFonts w:ascii="Abadi" w:hAnsi="Abadi"/>
          <w:b/>
          <w:bCs/>
          <w:sz w:val="21"/>
          <w:szCs w:val="21"/>
        </w:rPr>
      </w:pPr>
      <w:r w:rsidRPr="00AA7107">
        <w:rPr>
          <w:rFonts w:ascii="Abadi" w:hAnsi="Abadi"/>
          <w:b/>
          <w:bCs/>
          <w:sz w:val="21"/>
          <w:szCs w:val="21"/>
        </w:rPr>
        <w:t>(Posicionamiento)</w:t>
      </w:r>
    </w:p>
    <w:p w14:paraId="7B33DD97" w14:textId="77777777" w:rsidR="00313712" w:rsidRPr="00AA7107" w:rsidRDefault="00313712" w:rsidP="00313712">
      <w:pPr>
        <w:jc w:val="center"/>
        <w:rPr>
          <w:rFonts w:ascii="Abadi" w:hAnsi="Abadi"/>
          <w:b/>
          <w:bCs/>
          <w:sz w:val="21"/>
          <w:szCs w:val="21"/>
        </w:rPr>
      </w:pPr>
    </w:p>
    <w:p w14:paraId="2735D0E3" w14:textId="1BAE0EBE" w:rsidR="00313712" w:rsidRPr="00AA7107" w:rsidRDefault="00313712" w:rsidP="00313712">
      <w:pPr>
        <w:jc w:val="both"/>
        <w:rPr>
          <w:rFonts w:ascii="Abadi" w:hAnsi="Abadi"/>
          <w:b/>
          <w:bCs/>
          <w:sz w:val="21"/>
          <w:szCs w:val="21"/>
        </w:rPr>
      </w:pPr>
      <w:r w:rsidRPr="00AA7107">
        <w:rPr>
          <w:rFonts w:ascii="Abadi" w:hAnsi="Abadi"/>
          <w:noProof/>
          <w:sz w:val="21"/>
          <w:szCs w:val="21"/>
        </w:rPr>
        <w:drawing>
          <wp:anchor distT="0" distB="0" distL="114300" distR="114300" simplePos="0" relativeHeight="251675648" behindDoc="1" locked="0" layoutInCell="1" allowOverlap="1" wp14:anchorId="44561D40" wp14:editId="01858E18">
            <wp:simplePos x="0" y="0"/>
            <wp:positionH relativeFrom="column">
              <wp:posOffset>492760</wp:posOffset>
            </wp:positionH>
            <wp:positionV relativeFrom="paragraph">
              <wp:posOffset>379095</wp:posOffset>
            </wp:positionV>
            <wp:extent cx="1582420" cy="836295"/>
            <wp:effectExtent l="247650" t="228600" r="246380" b="802005"/>
            <wp:wrapTight wrapText="bothSides">
              <wp:wrapPolygon edited="0">
                <wp:start x="-3380" y="-5904"/>
                <wp:lineTo x="-3380" y="41822"/>
                <wp:lineTo x="24703" y="41822"/>
                <wp:lineTo x="24703" y="-5904"/>
                <wp:lineTo x="-3380" y="-5904"/>
              </wp:wrapPolygon>
            </wp:wrapTight>
            <wp:docPr id="24" name="Imagen 24" descr="Un hombre en traje parado enfrente de una pantal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Un hombre en traje parado enfrente de una pantalla&#10;&#10;Descripción generada automáticamente con confianza media"/>
                    <pic:cNvPicPr/>
                  </pic:nvPicPr>
                  <pic:blipFill rotWithShape="1">
                    <a:blip r:embed="rId25" cstate="print">
                      <a:extLst>
                        <a:ext uri="{28A0092B-C50C-407E-A947-70E740481C1C}">
                          <a14:useLocalDpi xmlns:a14="http://schemas.microsoft.com/office/drawing/2010/main" val="0"/>
                        </a:ext>
                      </a:extLst>
                    </a:blip>
                    <a:srcRect b="6036"/>
                    <a:stretch/>
                  </pic:blipFill>
                  <pic:spPr bwMode="auto">
                    <a:xfrm>
                      <a:off x="0" y="0"/>
                      <a:ext cx="1582420" cy="83629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569B6C6E" w14:textId="7BF5B1AC" w:rsidR="00313712" w:rsidRPr="00AA7107" w:rsidRDefault="00313712" w:rsidP="00313712">
      <w:pPr>
        <w:jc w:val="both"/>
        <w:rPr>
          <w:rFonts w:ascii="Abadi" w:hAnsi="Abadi"/>
          <w:b/>
          <w:bCs/>
          <w:sz w:val="21"/>
          <w:szCs w:val="21"/>
        </w:rPr>
      </w:pPr>
    </w:p>
    <w:p w14:paraId="239B9B3E" w14:textId="361A6DFE" w:rsidR="00313712" w:rsidRPr="00AA7107" w:rsidRDefault="00313712" w:rsidP="00313712">
      <w:pPr>
        <w:jc w:val="both"/>
        <w:rPr>
          <w:rFonts w:ascii="Abadi" w:hAnsi="Abadi"/>
          <w:sz w:val="21"/>
          <w:szCs w:val="21"/>
        </w:rPr>
      </w:pPr>
    </w:p>
    <w:p w14:paraId="239F66DA" w14:textId="5CE219DA" w:rsidR="00313712" w:rsidRDefault="00313712" w:rsidP="004A4C93">
      <w:pPr>
        <w:jc w:val="center"/>
        <w:rPr>
          <w:rFonts w:ascii="Abadi" w:hAnsi="Abadi"/>
          <w:b/>
          <w:bCs/>
          <w:sz w:val="21"/>
          <w:szCs w:val="21"/>
        </w:rPr>
      </w:pPr>
      <w:r w:rsidRPr="00AA7107">
        <w:rPr>
          <w:rFonts w:ascii="Abadi" w:hAnsi="Abadi"/>
          <w:b/>
          <w:bCs/>
          <w:sz w:val="21"/>
          <w:szCs w:val="21"/>
        </w:rPr>
        <w:t xml:space="preserve">- Diputado Gustavo Adolfo Alfaro Reyes </w:t>
      </w:r>
      <w:r>
        <w:rPr>
          <w:rFonts w:ascii="Abadi" w:hAnsi="Abadi"/>
          <w:b/>
          <w:bCs/>
          <w:sz w:val="21"/>
          <w:szCs w:val="21"/>
        </w:rPr>
        <w:t>–</w:t>
      </w:r>
    </w:p>
    <w:p w14:paraId="48368526" w14:textId="77777777" w:rsidR="00313712" w:rsidRPr="00AA7107" w:rsidRDefault="00313712" w:rsidP="004A4C93">
      <w:pPr>
        <w:jc w:val="center"/>
        <w:rPr>
          <w:rFonts w:ascii="Abadi" w:hAnsi="Abadi"/>
          <w:b/>
          <w:bCs/>
          <w:sz w:val="21"/>
          <w:szCs w:val="21"/>
        </w:rPr>
      </w:pPr>
    </w:p>
    <w:p w14:paraId="35397E0E" w14:textId="6906B4C8" w:rsidR="00313712" w:rsidRDefault="00313712" w:rsidP="00313712">
      <w:pPr>
        <w:jc w:val="both"/>
        <w:rPr>
          <w:rFonts w:ascii="Abadi" w:hAnsi="Abadi"/>
          <w:sz w:val="21"/>
          <w:szCs w:val="21"/>
        </w:rPr>
      </w:pPr>
      <w:r w:rsidRPr="00AA7107">
        <w:rPr>
          <w:rFonts w:ascii="Abadi" w:hAnsi="Abadi"/>
          <w:sz w:val="21"/>
          <w:szCs w:val="21"/>
        </w:rPr>
        <w:t>- Gracias Presidente con su permiso, buenos días compañeras y compañeros diputados saludo con gusto a quién</w:t>
      </w:r>
      <w:r>
        <w:rPr>
          <w:rFonts w:ascii="Abadi" w:hAnsi="Abadi"/>
          <w:sz w:val="21"/>
          <w:szCs w:val="21"/>
        </w:rPr>
        <w:t xml:space="preserve">es nos </w:t>
      </w:r>
      <w:r w:rsidRPr="00AA7107">
        <w:rPr>
          <w:rFonts w:ascii="Abadi" w:hAnsi="Abadi"/>
          <w:sz w:val="21"/>
          <w:szCs w:val="21"/>
        </w:rPr>
        <w:t>ven por los medios virtuales y a todas y a todos los que nos acompañan aquí en este recinto.</w:t>
      </w:r>
    </w:p>
    <w:p w14:paraId="41524EC6" w14:textId="77777777" w:rsidR="00313712" w:rsidRPr="00AA7107" w:rsidRDefault="00313712" w:rsidP="00313712">
      <w:pPr>
        <w:jc w:val="both"/>
        <w:rPr>
          <w:rFonts w:ascii="Abadi" w:hAnsi="Abadi"/>
          <w:sz w:val="21"/>
          <w:szCs w:val="21"/>
        </w:rPr>
      </w:pPr>
    </w:p>
    <w:p w14:paraId="79A5B626" w14:textId="0DA4CDE9" w:rsidR="00313712" w:rsidRDefault="00313712" w:rsidP="00313712">
      <w:pPr>
        <w:jc w:val="both"/>
        <w:rPr>
          <w:rFonts w:ascii="Abadi" w:hAnsi="Abadi"/>
          <w:sz w:val="21"/>
          <w:szCs w:val="21"/>
        </w:rPr>
      </w:pPr>
      <w:r w:rsidRPr="00AA7107">
        <w:rPr>
          <w:rFonts w:ascii="Abadi" w:hAnsi="Abadi"/>
          <w:sz w:val="21"/>
          <w:szCs w:val="21"/>
        </w:rPr>
        <w:t xml:space="preserve">- Acudo a esta soberanía a presentar la siguiente iniciativa con proyecto de decreto por el que se adicionan los párrafos séptimo y octavo al artículo 176 y un segundo párrafo al </w:t>
      </w:r>
      <w:r w:rsidRPr="00AA7107">
        <w:rPr>
          <w:rFonts w:ascii="Abadi" w:hAnsi="Abadi"/>
          <w:sz w:val="21"/>
          <w:szCs w:val="21"/>
        </w:rPr>
        <w:t>artículo 199 a la Ley de Instituciones y Procedimientos Electorales para el Estado del Guanajuato; así como la adición de un segundo párrafo al artículo 71 de la Ley de los Derechos de Niñas, Niños y Adolescentes el Estado de Guanajuato, a efecto de proteger el derecho a la intimidad de los menores en los procesos electorales locales.</w:t>
      </w:r>
    </w:p>
    <w:p w14:paraId="067C1E2B" w14:textId="77777777" w:rsidR="00313712" w:rsidRPr="00AA7107" w:rsidRDefault="00313712" w:rsidP="00313712">
      <w:pPr>
        <w:jc w:val="both"/>
        <w:rPr>
          <w:rFonts w:ascii="Abadi" w:hAnsi="Abadi"/>
          <w:sz w:val="21"/>
          <w:szCs w:val="21"/>
        </w:rPr>
      </w:pPr>
    </w:p>
    <w:p w14:paraId="6549D28D" w14:textId="629E05C6" w:rsidR="00313712" w:rsidRDefault="00313712" w:rsidP="00313712">
      <w:pPr>
        <w:jc w:val="both"/>
        <w:rPr>
          <w:rFonts w:ascii="Abadi" w:hAnsi="Abadi"/>
          <w:sz w:val="21"/>
          <w:szCs w:val="21"/>
        </w:rPr>
      </w:pPr>
      <w:r w:rsidRPr="00AA7107">
        <w:rPr>
          <w:rFonts w:ascii="Abadi" w:hAnsi="Abadi"/>
          <w:sz w:val="21"/>
          <w:szCs w:val="21"/>
        </w:rPr>
        <w:t xml:space="preserve">- Conforme a la siguiente exposición de motivos el 20 de noviembre de 1989, fue adoptada por la Asamblea General de las Naciones Unidas la convención sobre los derechos del niño este instrumento de derecho internacional ha marcado un verdadero hito en la historia de los derechos de la niñez. </w:t>
      </w:r>
    </w:p>
    <w:p w14:paraId="635078EF" w14:textId="77777777" w:rsidR="00313712" w:rsidRPr="00AA7107" w:rsidRDefault="00313712" w:rsidP="00313712">
      <w:pPr>
        <w:jc w:val="both"/>
        <w:rPr>
          <w:rFonts w:ascii="Abadi" w:hAnsi="Abadi"/>
          <w:sz w:val="21"/>
          <w:szCs w:val="21"/>
        </w:rPr>
      </w:pPr>
    </w:p>
    <w:p w14:paraId="5C1F6A13" w14:textId="213C5A45" w:rsidR="00313712" w:rsidRDefault="00313712" w:rsidP="00313712">
      <w:pPr>
        <w:jc w:val="both"/>
        <w:rPr>
          <w:rFonts w:ascii="Abadi" w:hAnsi="Abadi"/>
          <w:sz w:val="21"/>
          <w:szCs w:val="21"/>
        </w:rPr>
      </w:pPr>
      <w:r w:rsidRPr="00AA7107">
        <w:rPr>
          <w:rFonts w:ascii="Abadi" w:hAnsi="Abadi"/>
          <w:sz w:val="21"/>
          <w:szCs w:val="21"/>
        </w:rPr>
        <w:t>- Así en la declaración universal de derechos humanos, tiene derecho a cuidados y asistencia especiales teniendo presente que como se indica en la declaración de los derechos del niño el niño por su falta de madurez física y mental necesita protección y cuidados especiales incluso la debida protección legal tanto antes como después del nacimiento por esto la actividad legislativa debe tender a cumplir dicho enunciado el interés superior del niño, representa el respeto al principio del derecho a la intimidad de los niños niñas y adolescentes según la convención sobre los derechos del niño de las naciones unidas es importante destacar que existen antecedentes de que los partidos políticos los precandidatos y candidatos en México han utilizado a la persona de menores de edad imágenes en sus precampañas, campañas y propaganda electoral y no en pocos casos sin respetar la intimidad y la afectación a su dignidad de que es objeto violentándose a lo mejor más flagrante el interés superior de la niñez sin consentimiento por lo que atendiendo a esta problemática y al principio de interés superior de la niñez y de respeto a la vida privada así como la intimidad del niño niña y adolescente.</w:t>
      </w:r>
    </w:p>
    <w:p w14:paraId="235FBCB2" w14:textId="77777777" w:rsidR="00313712" w:rsidRPr="00AA7107" w:rsidRDefault="00313712" w:rsidP="00313712">
      <w:pPr>
        <w:jc w:val="both"/>
        <w:rPr>
          <w:rFonts w:ascii="Abadi" w:hAnsi="Abadi"/>
          <w:sz w:val="21"/>
          <w:szCs w:val="21"/>
        </w:rPr>
      </w:pPr>
    </w:p>
    <w:p w14:paraId="3C354899" w14:textId="2AD6B1E9" w:rsidR="00313712" w:rsidRDefault="00313712" w:rsidP="00313712">
      <w:pPr>
        <w:jc w:val="both"/>
        <w:rPr>
          <w:rFonts w:ascii="Abadi" w:hAnsi="Abadi"/>
          <w:sz w:val="21"/>
          <w:szCs w:val="21"/>
        </w:rPr>
      </w:pPr>
      <w:r w:rsidRPr="00AA7107">
        <w:rPr>
          <w:rFonts w:ascii="Abadi" w:hAnsi="Abadi"/>
          <w:sz w:val="21"/>
          <w:szCs w:val="21"/>
        </w:rPr>
        <w:t xml:space="preserve">- La fracción parlamentaria del partido revolucionario institucional formula la presente iniciativa para que los procesos electorales de los partidos políticos, coaliciones, como sus precandidatos, candidatos y candidatos registrados así como las de los independientes o sin partido; les está prohibido que utilicen en sus actos de campaña, precampaña, proselitistas, a </w:t>
      </w:r>
      <w:r w:rsidRPr="00AA7107">
        <w:rPr>
          <w:rFonts w:ascii="Abadi" w:hAnsi="Abadi"/>
          <w:sz w:val="21"/>
          <w:szCs w:val="21"/>
        </w:rPr>
        <w:lastRenderedPageBreak/>
        <w:t>personas menores de 18 años y que ni en su pagando electoral difundida mediante mecanismos impresos y a través de medios electrónicos imágenes de personas, niñas, niños y adolescentes o respeto a su intimidad y a su imagen.</w:t>
      </w:r>
    </w:p>
    <w:p w14:paraId="097408CC" w14:textId="77777777" w:rsidR="00313712" w:rsidRPr="00AA7107" w:rsidRDefault="00313712" w:rsidP="00313712">
      <w:pPr>
        <w:jc w:val="both"/>
        <w:rPr>
          <w:rFonts w:ascii="Abadi" w:hAnsi="Abadi"/>
          <w:sz w:val="21"/>
          <w:szCs w:val="21"/>
        </w:rPr>
      </w:pPr>
    </w:p>
    <w:p w14:paraId="632EEC6C" w14:textId="77777777" w:rsidR="00313712" w:rsidRPr="00AA7107" w:rsidRDefault="00313712" w:rsidP="00313712">
      <w:pPr>
        <w:jc w:val="both"/>
        <w:rPr>
          <w:rFonts w:ascii="Abadi" w:hAnsi="Abadi"/>
          <w:sz w:val="21"/>
          <w:szCs w:val="21"/>
        </w:rPr>
      </w:pPr>
      <w:r w:rsidRPr="00AA7107">
        <w:rPr>
          <w:rFonts w:ascii="Abadi" w:hAnsi="Abadi"/>
          <w:sz w:val="21"/>
          <w:szCs w:val="21"/>
        </w:rPr>
        <w:t>- Por lo que es importante regular la legislación electoral local esta cuestión para que esté solo vemos ser permitido cuando mediante autorización de su madre padre tutor o quien ejerza la patria potestad además será necesario de que de igual forma mediante por escrito, opinión, informada del propio menor, atendiendo a sus circunstancias personales de edad y estado oficial, sicofísico de salud, pero también se establece la limitante de que el consentimiento no será válido, cuando no obstante, que exista el permiso, escrito y opinión informada referidas si el acto electoral donde participa no está libre de cualquier tipo de violencia física, simbólica, psicológica o ante un posible perjuicio, que cause su denigración.</w:t>
      </w:r>
    </w:p>
    <w:p w14:paraId="1A30D915" w14:textId="77777777" w:rsidR="00313712" w:rsidRPr="00AA7107" w:rsidRDefault="00313712" w:rsidP="00313712">
      <w:pPr>
        <w:jc w:val="both"/>
        <w:rPr>
          <w:rFonts w:ascii="Abadi" w:hAnsi="Abadi"/>
          <w:sz w:val="21"/>
          <w:szCs w:val="21"/>
        </w:rPr>
      </w:pPr>
    </w:p>
    <w:p w14:paraId="5F04B90B" w14:textId="7706EF63" w:rsidR="00313712" w:rsidRDefault="00313712" w:rsidP="00313712">
      <w:pPr>
        <w:jc w:val="both"/>
        <w:rPr>
          <w:rFonts w:ascii="Abadi" w:hAnsi="Abadi"/>
          <w:sz w:val="21"/>
          <w:szCs w:val="21"/>
        </w:rPr>
      </w:pPr>
      <w:r w:rsidRPr="00AA7107">
        <w:rPr>
          <w:rFonts w:ascii="Abadi" w:hAnsi="Abadi"/>
          <w:sz w:val="21"/>
          <w:szCs w:val="21"/>
        </w:rPr>
        <w:t>- En tal orden de ideas, en primer término se propone la adición de los párrafos, valor de ideas en primer término se propone la adición de los párrafos séptimo y octavo al artículo 176 de la Ley de Instituciones y Procedimientos Electorales para el Estado del Guanajuato; así como la adición de un segundo párrafo al artículo 199 de esta misma Ley; en segundo lugar; se propone adicionar un segundo párrafo al artículo 71 de la Ley de los Derechos de Niñas, Niños y Adolescentes el Estado de Guanajuato, con la finalidad de agregar la protección de las niñas niños y adolescentes en el estado de guanajuato.</w:t>
      </w:r>
    </w:p>
    <w:p w14:paraId="601A9310" w14:textId="77777777" w:rsidR="00313712" w:rsidRPr="00AA7107" w:rsidRDefault="00313712" w:rsidP="00313712">
      <w:pPr>
        <w:jc w:val="both"/>
        <w:rPr>
          <w:rFonts w:ascii="Abadi" w:hAnsi="Abadi"/>
          <w:sz w:val="21"/>
          <w:szCs w:val="21"/>
        </w:rPr>
      </w:pPr>
    </w:p>
    <w:p w14:paraId="533BC099" w14:textId="438222B8" w:rsidR="00313712" w:rsidRDefault="00313712" w:rsidP="00313712">
      <w:pPr>
        <w:jc w:val="both"/>
        <w:rPr>
          <w:rFonts w:ascii="Abadi" w:hAnsi="Abadi"/>
          <w:sz w:val="21"/>
          <w:szCs w:val="21"/>
        </w:rPr>
      </w:pPr>
      <w:r w:rsidRPr="00AA7107">
        <w:rPr>
          <w:rFonts w:ascii="Abadi" w:hAnsi="Abadi"/>
          <w:sz w:val="21"/>
          <w:szCs w:val="21"/>
        </w:rPr>
        <w:t>- Con lo anterior se armoniza la Ley Electoral y la que regula los derechos, de la niñez locales, la jurisprudencia número 5/2017 emitida por las salas especializada en materia electoral del Poder Judicial de la Federación así como a la convención sobre los derechos del niño y de las naciones unidas y a las observaciones generales del comité de derechos del niño.</w:t>
      </w:r>
    </w:p>
    <w:p w14:paraId="727AD7EA" w14:textId="77777777" w:rsidR="00313712" w:rsidRPr="00AA7107" w:rsidRDefault="00313712" w:rsidP="00313712">
      <w:pPr>
        <w:jc w:val="both"/>
        <w:rPr>
          <w:rFonts w:ascii="Abadi" w:hAnsi="Abadi"/>
          <w:sz w:val="21"/>
          <w:szCs w:val="21"/>
        </w:rPr>
      </w:pPr>
    </w:p>
    <w:p w14:paraId="3658931C" w14:textId="6A98E3BA" w:rsidR="00313712" w:rsidRDefault="00313712" w:rsidP="00313712">
      <w:pPr>
        <w:jc w:val="both"/>
        <w:rPr>
          <w:rFonts w:ascii="Abadi" w:hAnsi="Abadi"/>
          <w:sz w:val="21"/>
          <w:szCs w:val="21"/>
        </w:rPr>
      </w:pPr>
      <w:r w:rsidRPr="00AA7107">
        <w:rPr>
          <w:rFonts w:ascii="Abadi" w:hAnsi="Abadi"/>
          <w:sz w:val="21"/>
          <w:szCs w:val="21"/>
        </w:rPr>
        <w:t>- La presente iniciativa cumple con los requisitos establecidos por el artículo 209 de la Ley Orgánica del Poder Legislativo de este Estado de Guanajuato, por lo anteriormente expuesto, someto a la consideración de este Honorable Congreso, el siguiente:</w:t>
      </w:r>
    </w:p>
    <w:p w14:paraId="06654B50" w14:textId="77777777" w:rsidR="00313712" w:rsidRPr="00AA7107" w:rsidRDefault="00313712" w:rsidP="00313712">
      <w:pPr>
        <w:jc w:val="both"/>
        <w:rPr>
          <w:rFonts w:ascii="Abadi" w:hAnsi="Abadi"/>
          <w:sz w:val="21"/>
          <w:szCs w:val="21"/>
        </w:rPr>
      </w:pPr>
    </w:p>
    <w:p w14:paraId="7F1077BA" w14:textId="6DBA1B80" w:rsidR="00313712" w:rsidRDefault="00313712" w:rsidP="00313712">
      <w:pPr>
        <w:jc w:val="both"/>
        <w:rPr>
          <w:rFonts w:ascii="Abadi" w:hAnsi="Abadi"/>
          <w:sz w:val="21"/>
          <w:szCs w:val="21"/>
        </w:rPr>
      </w:pPr>
      <w:r w:rsidRPr="00AA7107">
        <w:rPr>
          <w:rFonts w:ascii="Abadi" w:hAnsi="Abadi"/>
          <w:sz w:val="21"/>
          <w:szCs w:val="21"/>
        </w:rPr>
        <w:t>- Decreto.</w:t>
      </w:r>
    </w:p>
    <w:p w14:paraId="17BDE222" w14:textId="77777777" w:rsidR="00313712" w:rsidRPr="00AA7107" w:rsidRDefault="00313712" w:rsidP="00313712">
      <w:pPr>
        <w:jc w:val="both"/>
        <w:rPr>
          <w:rFonts w:ascii="Abadi" w:hAnsi="Abadi"/>
          <w:sz w:val="21"/>
          <w:szCs w:val="21"/>
        </w:rPr>
      </w:pPr>
    </w:p>
    <w:p w14:paraId="35CE239D" w14:textId="77777777" w:rsidR="00313712" w:rsidRPr="00AA7107" w:rsidRDefault="00313712" w:rsidP="00313712">
      <w:pPr>
        <w:jc w:val="both"/>
        <w:rPr>
          <w:rFonts w:ascii="Abadi" w:hAnsi="Abadi"/>
          <w:sz w:val="21"/>
          <w:szCs w:val="21"/>
        </w:rPr>
      </w:pPr>
      <w:r w:rsidRPr="00AA7107">
        <w:rPr>
          <w:rFonts w:ascii="Abadi" w:hAnsi="Abadi"/>
          <w:sz w:val="21"/>
          <w:szCs w:val="21"/>
        </w:rPr>
        <w:t>- Primero. Se adicionan los párrafos séptimo y octavo del artículo 176 en el Título Cuarto, Capítulo Segundo, Sección Primera de la Ley de Instituciones y Procedimientos Electorales para el Estado de Guanajuato para quedar como sigue artículo 176 en los actos de precampaña de propaganda y en promocionales utilitarios a qué se refiere este artículo no se podrán utilizar la persona o captación de imágenes de niña, niños o adolescentes a efectos de utilizarlas difundirlas en los actos de campaña o de propaganda a través de medios gráficos grabaciones proyecciones, o expresiones por cualquier mecanismo de acuerdo a los avances tecnológicos sin medie por escrito la autorización del padre o de la madre, tutor  o de quien ejerza la patria potestad, y la opinión informada de la niña niño o adolescente en su función de su edad y madurez; además cualquier otro requisito que establezca la autoridad electoral competente.</w:t>
      </w:r>
    </w:p>
    <w:p w14:paraId="4039206B" w14:textId="7688AE71" w:rsidR="00313712" w:rsidRDefault="00313712" w:rsidP="00313712">
      <w:pPr>
        <w:jc w:val="both"/>
        <w:rPr>
          <w:rFonts w:ascii="Abadi" w:hAnsi="Abadi"/>
          <w:sz w:val="21"/>
          <w:szCs w:val="21"/>
        </w:rPr>
      </w:pPr>
      <w:r w:rsidRPr="00AA7107">
        <w:rPr>
          <w:rFonts w:ascii="Abadi" w:hAnsi="Abadi"/>
          <w:sz w:val="21"/>
          <w:szCs w:val="21"/>
        </w:rPr>
        <w:t>- Lo anterior siempre y cuando esté libre de cualquier tipo de violencia física, simbólica, emocional y no se cause un perjuicio por denigración la violación de este precepto será sancionada conforme a las disposiciones de esta ley;</w:t>
      </w:r>
    </w:p>
    <w:p w14:paraId="749918E3" w14:textId="77777777" w:rsidR="00313712" w:rsidRPr="00AA7107" w:rsidRDefault="00313712" w:rsidP="00313712">
      <w:pPr>
        <w:jc w:val="both"/>
        <w:rPr>
          <w:rFonts w:ascii="Abadi" w:hAnsi="Abadi"/>
          <w:sz w:val="21"/>
          <w:szCs w:val="21"/>
        </w:rPr>
      </w:pPr>
    </w:p>
    <w:p w14:paraId="6A9D6F4D" w14:textId="305CB5C6" w:rsidR="00313712" w:rsidRDefault="00313712" w:rsidP="00313712">
      <w:pPr>
        <w:jc w:val="both"/>
        <w:rPr>
          <w:rFonts w:ascii="Abadi" w:hAnsi="Abadi"/>
          <w:sz w:val="21"/>
          <w:szCs w:val="21"/>
        </w:rPr>
      </w:pPr>
      <w:r w:rsidRPr="00AA7107">
        <w:rPr>
          <w:rFonts w:ascii="Abadi" w:hAnsi="Abadi"/>
          <w:sz w:val="21"/>
          <w:szCs w:val="21"/>
        </w:rPr>
        <w:t xml:space="preserve">- Segundo. Se adiciona un segundo párrafo al artículo título 199 en el titulo cuarto sección tercera de la Ley de Instituciones y Procedimientos Electorales, para el Estado de Guanajuato para quedar como sigue; artículo 199, en la realización de los actos de campaña y de propaganda político electoral, a que refieren los artículos 195 y 200 de esta ley se aplicara los   dispuestos en los párrafos, del artículo 175 de esta ley; </w:t>
      </w:r>
    </w:p>
    <w:p w14:paraId="6FB649C3" w14:textId="77777777" w:rsidR="00313712" w:rsidRPr="00AA7107" w:rsidRDefault="00313712" w:rsidP="00313712">
      <w:pPr>
        <w:jc w:val="both"/>
        <w:rPr>
          <w:rFonts w:ascii="Abadi" w:hAnsi="Abadi"/>
          <w:sz w:val="21"/>
          <w:szCs w:val="21"/>
        </w:rPr>
      </w:pPr>
    </w:p>
    <w:p w14:paraId="34C3D349" w14:textId="0057CD4E" w:rsidR="00313712" w:rsidRDefault="00313712" w:rsidP="00313712">
      <w:pPr>
        <w:jc w:val="both"/>
        <w:rPr>
          <w:rFonts w:ascii="Abadi" w:hAnsi="Abadi"/>
          <w:sz w:val="21"/>
          <w:szCs w:val="21"/>
        </w:rPr>
      </w:pPr>
      <w:r w:rsidRPr="00AA7107">
        <w:rPr>
          <w:rFonts w:ascii="Abadi" w:hAnsi="Abadi"/>
          <w:sz w:val="21"/>
          <w:szCs w:val="21"/>
        </w:rPr>
        <w:t>- Tercero. Se adiciona un segundo párrafo, a la Ley de los Derechos de las Niñas</w:t>
      </w:r>
      <w:r>
        <w:rPr>
          <w:rFonts w:ascii="Abadi" w:hAnsi="Abadi"/>
          <w:sz w:val="21"/>
          <w:szCs w:val="21"/>
        </w:rPr>
        <w:t>,</w:t>
      </w:r>
      <w:r w:rsidRPr="00AA7107">
        <w:rPr>
          <w:rFonts w:ascii="Abadi" w:hAnsi="Abadi"/>
          <w:sz w:val="21"/>
          <w:szCs w:val="21"/>
        </w:rPr>
        <w:t xml:space="preserve"> Niños del Estado de Guanajuato en los mismos términos leídos con anterioridad.</w:t>
      </w:r>
    </w:p>
    <w:p w14:paraId="436BD339" w14:textId="77777777" w:rsidR="00313712" w:rsidRPr="00AA7107" w:rsidRDefault="00313712" w:rsidP="00313712">
      <w:pPr>
        <w:jc w:val="both"/>
        <w:rPr>
          <w:rFonts w:ascii="Abadi" w:hAnsi="Abadi"/>
          <w:sz w:val="21"/>
          <w:szCs w:val="21"/>
        </w:rPr>
      </w:pPr>
    </w:p>
    <w:p w14:paraId="578D6A17" w14:textId="3F38C011" w:rsidR="00313712" w:rsidRDefault="00313712" w:rsidP="00313712">
      <w:pPr>
        <w:jc w:val="both"/>
        <w:rPr>
          <w:rFonts w:ascii="Abadi" w:hAnsi="Abadi"/>
          <w:sz w:val="21"/>
          <w:szCs w:val="21"/>
        </w:rPr>
      </w:pPr>
      <w:r w:rsidRPr="00AA7107">
        <w:rPr>
          <w:rFonts w:ascii="Abadi" w:hAnsi="Abadi"/>
          <w:sz w:val="21"/>
          <w:szCs w:val="21"/>
        </w:rPr>
        <w:t>- Transitorio</w:t>
      </w:r>
    </w:p>
    <w:p w14:paraId="7F2D1A53" w14:textId="77777777" w:rsidR="00313712" w:rsidRPr="00AA7107" w:rsidRDefault="00313712" w:rsidP="00313712">
      <w:pPr>
        <w:jc w:val="both"/>
        <w:rPr>
          <w:rFonts w:ascii="Abadi" w:hAnsi="Abadi"/>
          <w:sz w:val="21"/>
          <w:szCs w:val="21"/>
        </w:rPr>
      </w:pPr>
    </w:p>
    <w:p w14:paraId="672BD4A3" w14:textId="1A92F9CB" w:rsidR="00313712" w:rsidRDefault="00313712" w:rsidP="00313712">
      <w:pPr>
        <w:jc w:val="both"/>
        <w:rPr>
          <w:rFonts w:ascii="Abadi" w:hAnsi="Abadi"/>
          <w:sz w:val="21"/>
          <w:szCs w:val="21"/>
        </w:rPr>
      </w:pPr>
      <w:r w:rsidRPr="00AA7107">
        <w:rPr>
          <w:rFonts w:ascii="Abadi" w:hAnsi="Abadi"/>
          <w:sz w:val="21"/>
          <w:szCs w:val="21"/>
        </w:rPr>
        <w:t xml:space="preserve">- Único.  El Presente decreto entrará en vigor al día siguiente de su publicación en el Periódico Oficial del Estado de Guanajuato. </w:t>
      </w:r>
    </w:p>
    <w:p w14:paraId="13859892" w14:textId="77777777" w:rsidR="00313712" w:rsidRPr="00AA7107" w:rsidRDefault="00313712" w:rsidP="00313712">
      <w:pPr>
        <w:jc w:val="both"/>
        <w:rPr>
          <w:rFonts w:ascii="Abadi" w:hAnsi="Abadi"/>
          <w:sz w:val="21"/>
          <w:szCs w:val="21"/>
        </w:rPr>
      </w:pPr>
    </w:p>
    <w:p w14:paraId="17895AB7" w14:textId="073AD8E2" w:rsidR="00313712" w:rsidRDefault="00313712" w:rsidP="00313712">
      <w:pPr>
        <w:jc w:val="both"/>
        <w:rPr>
          <w:rFonts w:ascii="Abadi" w:hAnsi="Abadi"/>
          <w:sz w:val="21"/>
          <w:szCs w:val="21"/>
        </w:rPr>
      </w:pPr>
      <w:r w:rsidRPr="00AA7107">
        <w:rPr>
          <w:rFonts w:ascii="Abadi" w:hAnsi="Abadi"/>
          <w:sz w:val="21"/>
          <w:szCs w:val="21"/>
        </w:rPr>
        <w:t xml:space="preserve">- Es cuanto Presidente. </w:t>
      </w:r>
    </w:p>
    <w:p w14:paraId="42C5BBD4" w14:textId="77777777" w:rsidR="00313712" w:rsidRDefault="00313712" w:rsidP="00313712">
      <w:pPr>
        <w:tabs>
          <w:tab w:val="left" w:pos="1355"/>
        </w:tabs>
        <w:jc w:val="both"/>
        <w:rPr>
          <w:rFonts w:ascii="Abadi" w:hAnsi="Abadi"/>
          <w:b/>
          <w:bCs/>
          <w:sz w:val="21"/>
          <w:szCs w:val="21"/>
        </w:rPr>
      </w:pPr>
    </w:p>
    <w:p w14:paraId="0B69EEBB" w14:textId="36C37AAD" w:rsidR="00313712" w:rsidRDefault="00313712" w:rsidP="00313712">
      <w:pPr>
        <w:jc w:val="both"/>
        <w:rPr>
          <w:rFonts w:ascii="Abadi" w:hAnsi="Abadi"/>
          <w:sz w:val="21"/>
          <w:szCs w:val="21"/>
        </w:rPr>
      </w:pPr>
      <w:r>
        <w:rPr>
          <w:rFonts w:ascii="Abadi" w:hAnsi="Abadi"/>
          <w:b/>
          <w:bCs/>
          <w:sz w:val="21"/>
          <w:szCs w:val="21"/>
        </w:rPr>
        <w:lastRenderedPageBreak/>
        <w:tab/>
      </w:r>
      <w:r w:rsidRPr="00AA7107">
        <w:rPr>
          <w:rFonts w:ascii="Abadi" w:hAnsi="Abadi"/>
          <w:b/>
          <w:bCs/>
          <w:sz w:val="21"/>
          <w:szCs w:val="21"/>
        </w:rPr>
        <w:t>- El Presidente.-</w:t>
      </w:r>
      <w:r w:rsidRPr="00AA7107">
        <w:rPr>
          <w:rFonts w:ascii="Abadi" w:hAnsi="Abadi"/>
          <w:sz w:val="21"/>
          <w:szCs w:val="21"/>
        </w:rPr>
        <w:t xml:space="preserve"> Muchas gracias, diputado Gustavo Adolfo. </w:t>
      </w:r>
    </w:p>
    <w:p w14:paraId="4B160BC9" w14:textId="77777777" w:rsidR="00313712" w:rsidRPr="00AA7107" w:rsidRDefault="00313712" w:rsidP="00313712">
      <w:pPr>
        <w:tabs>
          <w:tab w:val="left" w:pos="1355"/>
        </w:tabs>
        <w:jc w:val="both"/>
        <w:rPr>
          <w:rFonts w:ascii="Abadi" w:hAnsi="Abadi"/>
          <w:sz w:val="21"/>
          <w:szCs w:val="21"/>
        </w:rPr>
      </w:pPr>
    </w:p>
    <w:p w14:paraId="79F84403" w14:textId="77777777" w:rsidR="00313712" w:rsidRPr="00AA7107" w:rsidRDefault="00313712" w:rsidP="00313712">
      <w:pPr>
        <w:ind w:left="567" w:right="333"/>
        <w:jc w:val="both"/>
        <w:rPr>
          <w:rFonts w:ascii="Abadi" w:hAnsi="Abadi"/>
          <w:b/>
          <w:bCs/>
          <w:i/>
          <w:iCs/>
          <w:sz w:val="21"/>
          <w:szCs w:val="21"/>
          <w:u w:val="single"/>
        </w:rPr>
      </w:pPr>
      <w:r w:rsidRPr="00AA7107">
        <w:rPr>
          <w:rFonts w:ascii="Abadi" w:hAnsi="Abadi"/>
          <w:b/>
          <w:bCs/>
          <w:i/>
          <w:iCs/>
          <w:sz w:val="21"/>
          <w:szCs w:val="21"/>
          <w:u w:val="single"/>
        </w:rPr>
        <w:t>Se turna la parte correspondiente a la Ley de Instituciones y Procedimientos Electorales para el Estado de Guanajuato, a la Comisión de Asuntos Electorales con fundamento en el artículo 103 fracción primera de nuestra Ley Orgánica y lo referente a la Ley de los Derechos de Niñas, Niños y Adolescentes del Estado de Guanajuato a la Comisión de Derechos Humanos y Atención a Grupos Vulnerables con fundamento en el artículo 106 fracción primera de nuestra Ley Orgánica para su debido estudio y dictamen.</w:t>
      </w:r>
    </w:p>
    <w:p w14:paraId="495099DB" w14:textId="77777777" w:rsidR="00904696" w:rsidRPr="00ED26A2" w:rsidRDefault="00904696" w:rsidP="00306DA7">
      <w:pPr>
        <w:jc w:val="center"/>
        <w:rPr>
          <w:rFonts w:ascii="Abadi" w:hAnsi="Abadi" w:cs="ArialMT"/>
          <w:sz w:val="21"/>
          <w:szCs w:val="21"/>
        </w:rPr>
      </w:pPr>
    </w:p>
    <w:p w14:paraId="7AE5BB00" w14:textId="77777777" w:rsidR="00AB674B" w:rsidRPr="0028553C" w:rsidRDefault="00AB674B" w:rsidP="00E462B6">
      <w:pPr>
        <w:autoSpaceDE w:val="0"/>
        <w:autoSpaceDN w:val="0"/>
        <w:adjustRightInd w:val="0"/>
        <w:jc w:val="both"/>
        <w:rPr>
          <w:rFonts w:ascii="Abadi" w:hAnsi="Abadi" w:cs="ArialMT"/>
          <w:b/>
          <w:bCs/>
          <w:sz w:val="20"/>
          <w:szCs w:val="21"/>
        </w:rPr>
      </w:pPr>
    </w:p>
    <w:p w14:paraId="260B5518" w14:textId="242FF71B" w:rsidR="00E462B6" w:rsidRPr="0028553C" w:rsidRDefault="00E462B6" w:rsidP="00DA130B">
      <w:pPr>
        <w:pStyle w:val="Prrafodelista"/>
        <w:numPr>
          <w:ilvl w:val="0"/>
          <w:numId w:val="14"/>
        </w:numPr>
        <w:autoSpaceDE w:val="0"/>
        <w:autoSpaceDN w:val="0"/>
        <w:adjustRightInd w:val="0"/>
        <w:ind w:left="426"/>
        <w:contextualSpacing/>
        <w:jc w:val="both"/>
        <w:rPr>
          <w:rFonts w:ascii="Abadi" w:hAnsi="Abadi" w:cs="ArialMT"/>
          <w:b/>
          <w:bCs/>
          <w:sz w:val="20"/>
          <w:szCs w:val="21"/>
        </w:rPr>
      </w:pPr>
      <w:r w:rsidRPr="0028553C">
        <w:rPr>
          <w:rFonts w:ascii="Abadi" w:hAnsi="Abadi" w:cs="ArialMT"/>
          <w:b/>
          <w:bCs/>
          <w:sz w:val="20"/>
          <w:szCs w:val="21"/>
        </w:rPr>
        <w:t>PRESENTACIÓN DE LA INICIATIVA FORMULADA POR DIPUTADAS Y DIPUTADO INTEGRANTES DEL GRUPO PARLAMENTARIO DEL PARTIDO MORENA A EFECTO DE ADICIONAR LOS ARTÍCULOS 63-1 Y 63-2 A LA LEY DE RESPONSABILIDADES ADMINISTRATIVAS PARA EL ESTADO DE GUANAJUATO.</w:t>
      </w:r>
      <w:r w:rsidR="00FC192C">
        <w:rPr>
          <w:rStyle w:val="Refdenotaalpie"/>
          <w:rFonts w:ascii="Abadi" w:hAnsi="Abadi" w:cs="ArialMT"/>
          <w:b/>
          <w:bCs/>
          <w:sz w:val="20"/>
          <w:szCs w:val="21"/>
        </w:rPr>
        <w:footnoteReference w:id="52"/>
      </w:r>
    </w:p>
    <w:p w14:paraId="1BCC4519" w14:textId="02A23A89" w:rsidR="00E462B6" w:rsidRDefault="00E462B6" w:rsidP="00E462B6">
      <w:pPr>
        <w:autoSpaceDE w:val="0"/>
        <w:autoSpaceDN w:val="0"/>
        <w:adjustRightInd w:val="0"/>
        <w:jc w:val="both"/>
        <w:rPr>
          <w:rFonts w:ascii="Abadi" w:hAnsi="Abadi" w:cs="ArialMT"/>
          <w:b/>
          <w:bCs/>
          <w:sz w:val="20"/>
          <w:szCs w:val="21"/>
        </w:rPr>
      </w:pPr>
    </w:p>
    <w:p w14:paraId="24AC453B" w14:textId="7FE8A965" w:rsidR="005A51AE" w:rsidRDefault="005A51AE" w:rsidP="00E462B6">
      <w:pPr>
        <w:autoSpaceDE w:val="0"/>
        <w:autoSpaceDN w:val="0"/>
        <w:adjustRightInd w:val="0"/>
        <w:jc w:val="both"/>
        <w:rPr>
          <w:rFonts w:ascii="Abadi" w:hAnsi="Abadi" w:cs="ArialMT"/>
          <w:b/>
          <w:bCs/>
          <w:sz w:val="20"/>
          <w:szCs w:val="21"/>
        </w:rPr>
      </w:pPr>
    </w:p>
    <w:p w14:paraId="0647212F" w14:textId="77777777" w:rsidR="00A022D9" w:rsidRPr="00DB7034" w:rsidRDefault="00A022D9" w:rsidP="00A022D9">
      <w:pPr>
        <w:autoSpaceDE w:val="0"/>
        <w:autoSpaceDN w:val="0"/>
        <w:adjustRightInd w:val="0"/>
        <w:rPr>
          <w:rFonts w:ascii="Abadi" w:hAnsi="Abadi" w:cs="Amasis MT Pro Light"/>
          <w:sz w:val="21"/>
          <w:szCs w:val="21"/>
        </w:rPr>
      </w:pPr>
      <w:r w:rsidRPr="00DB7034">
        <w:rPr>
          <w:rFonts w:ascii="Abadi" w:hAnsi="Abadi" w:cs="Amasis MT Pro Light"/>
          <w:sz w:val="21"/>
          <w:szCs w:val="21"/>
        </w:rPr>
        <w:t>Dip. Martín López Camacho</w:t>
      </w:r>
    </w:p>
    <w:p w14:paraId="71D0AE5C" w14:textId="77777777" w:rsidR="00A022D9" w:rsidRPr="00DB7034" w:rsidRDefault="00A022D9" w:rsidP="00A022D9">
      <w:pPr>
        <w:autoSpaceDE w:val="0"/>
        <w:autoSpaceDN w:val="0"/>
        <w:adjustRightInd w:val="0"/>
        <w:rPr>
          <w:rFonts w:ascii="Abadi" w:hAnsi="Abadi" w:cs="Amasis MT Pro Light"/>
          <w:sz w:val="21"/>
          <w:szCs w:val="21"/>
        </w:rPr>
      </w:pPr>
      <w:r w:rsidRPr="00DB7034">
        <w:rPr>
          <w:rFonts w:ascii="Abadi" w:hAnsi="Abadi" w:cs="Amasis MT Pro Light"/>
          <w:sz w:val="21"/>
          <w:szCs w:val="21"/>
        </w:rPr>
        <w:t>Presidente de la Mesa Directiva de la</w:t>
      </w:r>
    </w:p>
    <w:p w14:paraId="6DBDF8A7" w14:textId="77777777" w:rsidR="00A022D9" w:rsidRPr="00DB7034" w:rsidRDefault="00A022D9" w:rsidP="00A022D9">
      <w:pPr>
        <w:autoSpaceDE w:val="0"/>
        <w:autoSpaceDN w:val="0"/>
        <w:adjustRightInd w:val="0"/>
        <w:rPr>
          <w:rFonts w:ascii="Abadi" w:hAnsi="Abadi" w:cs="Amasis MT Pro Light"/>
          <w:sz w:val="21"/>
          <w:szCs w:val="21"/>
        </w:rPr>
      </w:pPr>
      <w:r w:rsidRPr="00DB7034">
        <w:rPr>
          <w:rFonts w:ascii="Abadi" w:hAnsi="Abadi" w:cs="Amasis MT Pro Light"/>
          <w:sz w:val="21"/>
          <w:szCs w:val="21"/>
        </w:rPr>
        <w:t>LXV Legislatura del Estado de Guanajuato.</w:t>
      </w:r>
    </w:p>
    <w:p w14:paraId="2BF91AFA" w14:textId="77777777" w:rsidR="00A022D9" w:rsidRDefault="00A022D9" w:rsidP="00A022D9">
      <w:pPr>
        <w:autoSpaceDE w:val="0"/>
        <w:autoSpaceDN w:val="0"/>
        <w:adjustRightInd w:val="0"/>
        <w:rPr>
          <w:rFonts w:ascii="Abadi" w:hAnsi="Abadi" w:cs="Amasis MT Pro Light"/>
          <w:sz w:val="21"/>
          <w:szCs w:val="21"/>
        </w:rPr>
      </w:pPr>
      <w:r w:rsidRPr="00DB7034">
        <w:rPr>
          <w:rFonts w:ascii="Abadi" w:hAnsi="Abadi" w:cs="Amasis MT Pro Light"/>
          <w:sz w:val="21"/>
          <w:szCs w:val="21"/>
        </w:rPr>
        <w:t>P R E S E N T E:</w:t>
      </w:r>
    </w:p>
    <w:p w14:paraId="0E8CA97D" w14:textId="77777777" w:rsidR="00A022D9" w:rsidRPr="00DB7034" w:rsidRDefault="00A022D9" w:rsidP="00A022D9">
      <w:pPr>
        <w:autoSpaceDE w:val="0"/>
        <w:autoSpaceDN w:val="0"/>
        <w:adjustRightInd w:val="0"/>
        <w:rPr>
          <w:rFonts w:ascii="Abadi" w:hAnsi="Abadi" w:cs="Amasis MT Pro Light"/>
          <w:sz w:val="21"/>
          <w:szCs w:val="21"/>
        </w:rPr>
      </w:pPr>
    </w:p>
    <w:p w14:paraId="454ECA85" w14:textId="77777777" w:rsidR="00A022D9" w:rsidRPr="00DB7034" w:rsidRDefault="00A022D9" w:rsidP="00A022D9">
      <w:pPr>
        <w:autoSpaceDE w:val="0"/>
        <w:autoSpaceDN w:val="0"/>
        <w:adjustRightInd w:val="0"/>
        <w:jc w:val="both"/>
        <w:rPr>
          <w:rFonts w:ascii="Abadi" w:hAnsi="Abadi" w:cs="Amasis MT Pro Light"/>
          <w:sz w:val="21"/>
          <w:szCs w:val="21"/>
        </w:rPr>
      </w:pPr>
      <w:r w:rsidRPr="00DB7034">
        <w:rPr>
          <w:rFonts w:ascii="Abadi" w:hAnsi="Abadi" w:cs="Amasis MT Pro Light"/>
          <w:sz w:val="21"/>
          <w:szCs w:val="21"/>
        </w:rPr>
        <w:t xml:space="preserve">Ernesto Millán Soberanes integrante del </w:t>
      </w:r>
      <w:r w:rsidRPr="006A79C2">
        <w:rPr>
          <w:rFonts w:ascii="Abadi" w:hAnsi="Abadi" w:cs="Amasis MT Pro Light"/>
          <w:b/>
          <w:bCs/>
          <w:sz w:val="21"/>
          <w:szCs w:val="21"/>
        </w:rPr>
        <w:t>Grupo Parlamentario de morena</w:t>
      </w:r>
      <w:r>
        <w:rPr>
          <w:rFonts w:ascii="Abadi" w:hAnsi="Abadi" w:cs="Amasis MT Pro Light"/>
          <w:sz w:val="21"/>
          <w:szCs w:val="21"/>
        </w:rPr>
        <w:t xml:space="preserve"> </w:t>
      </w:r>
      <w:r w:rsidRPr="00DB7034">
        <w:rPr>
          <w:rFonts w:ascii="Abadi" w:hAnsi="Abadi" w:cs="Amasis MT Pro Light"/>
          <w:sz w:val="21"/>
          <w:szCs w:val="21"/>
        </w:rPr>
        <w:t>en la LXV Legislatura del Congreso del Estado de Guanajuato, con fundamento en</w:t>
      </w:r>
      <w:r>
        <w:rPr>
          <w:rFonts w:ascii="Abadi" w:hAnsi="Abadi" w:cs="Amasis MT Pro Light"/>
          <w:sz w:val="21"/>
          <w:szCs w:val="21"/>
        </w:rPr>
        <w:t xml:space="preserve"> </w:t>
      </w:r>
      <w:r w:rsidRPr="00DB7034">
        <w:rPr>
          <w:rFonts w:ascii="Abadi" w:hAnsi="Abadi" w:cs="Amasis MT Pro Light"/>
          <w:sz w:val="21"/>
          <w:szCs w:val="21"/>
        </w:rPr>
        <w:t>lo dispuesto en los artículos 56, fracción II de la Constitución Política para el</w:t>
      </w:r>
      <w:r>
        <w:rPr>
          <w:rFonts w:ascii="Abadi" w:hAnsi="Abadi" w:cs="Amasis MT Pro Light"/>
          <w:sz w:val="21"/>
          <w:szCs w:val="21"/>
        </w:rPr>
        <w:t xml:space="preserve"> </w:t>
      </w:r>
      <w:r w:rsidRPr="00DB7034">
        <w:rPr>
          <w:rFonts w:ascii="Abadi" w:hAnsi="Abadi" w:cs="Amasis MT Pro Light"/>
          <w:sz w:val="21"/>
          <w:szCs w:val="21"/>
        </w:rPr>
        <w:t>Estado de Guanajuato, y el artículo 167 fracción II de la Ley Orgánica del Poder</w:t>
      </w:r>
      <w:r>
        <w:rPr>
          <w:rFonts w:ascii="Abadi" w:hAnsi="Abadi" w:cs="Amasis MT Pro Light"/>
          <w:sz w:val="21"/>
          <w:szCs w:val="21"/>
        </w:rPr>
        <w:t xml:space="preserve"> </w:t>
      </w:r>
      <w:r w:rsidRPr="00DB7034">
        <w:rPr>
          <w:rFonts w:ascii="Abadi" w:hAnsi="Abadi" w:cs="Amasis MT Pro Light"/>
          <w:sz w:val="21"/>
          <w:szCs w:val="21"/>
        </w:rPr>
        <w:t>Legislativo del Estado de Guanajuato, nos permitimos poner a consideración de la</w:t>
      </w:r>
      <w:r>
        <w:rPr>
          <w:rFonts w:ascii="Abadi" w:hAnsi="Abadi" w:cs="Amasis MT Pro Light"/>
          <w:sz w:val="21"/>
          <w:szCs w:val="21"/>
        </w:rPr>
        <w:t xml:space="preserve"> </w:t>
      </w:r>
      <w:r w:rsidRPr="00DB7034">
        <w:rPr>
          <w:rFonts w:ascii="Abadi" w:hAnsi="Abadi" w:cs="Amasis MT Pro Light"/>
          <w:sz w:val="21"/>
          <w:szCs w:val="21"/>
        </w:rPr>
        <w:t xml:space="preserve">Asamblea la siguiente propuesta de </w:t>
      </w:r>
      <w:r w:rsidRPr="006A79C2">
        <w:rPr>
          <w:rFonts w:ascii="Abadi" w:hAnsi="Abadi" w:cs="Amasis MT Pro Light"/>
          <w:b/>
          <w:bCs/>
          <w:sz w:val="21"/>
          <w:szCs w:val="21"/>
        </w:rPr>
        <w:t xml:space="preserve">iniciativa con proyecto de decreto por virtud de la cual se modifica la Ley </w:t>
      </w:r>
      <w:r w:rsidRPr="006A79C2">
        <w:rPr>
          <w:rFonts w:ascii="Abadi" w:hAnsi="Abadi" w:cs="Amasis MT Pro Light"/>
          <w:b/>
          <w:bCs/>
          <w:sz w:val="21"/>
          <w:szCs w:val="21"/>
        </w:rPr>
        <w:t>de Responsabilidades Administrativas para el Estado de Guanajuato en materia de nepotismo</w:t>
      </w:r>
      <w:r w:rsidRPr="00DB7034">
        <w:rPr>
          <w:rFonts w:ascii="Abadi" w:hAnsi="Abadi" w:cs="Amasis MT Pro Light"/>
          <w:sz w:val="21"/>
          <w:szCs w:val="21"/>
        </w:rPr>
        <w:t>, al tenor de la siguiente:</w:t>
      </w:r>
    </w:p>
    <w:p w14:paraId="7ABC2D4D" w14:textId="77777777" w:rsidR="00A022D9" w:rsidRDefault="00A022D9" w:rsidP="00A022D9">
      <w:pPr>
        <w:autoSpaceDE w:val="0"/>
        <w:autoSpaceDN w:val="0"/>
        <w:adjustRightInd w:val="0"/>
        <w:jc w:val="both"/>
        <w:rPr>
          <w:rFonts w:ascii="Abadi" w:hAnsi="Abadi" w:cs="Amasis MT Pro Light"/>
          <w:sz w:val="21"/>
          <w:szCs w:val="21"/>
        </w:rPr>
      </w:pPr>
    </w:p>
    <w:p w14:paraId="2022CCC6" w14:textId="77777777" w:rsidR="00A022D9" w:rsidRPr="006A79C2" w:rsidRDefault="00A022D9" w:rsidP="00A022D9">
      <w:pPr>
        <w:autoSpaceDE w:val="0"/>
        <w:autoSpaceDN w:val="0"/>
        <w:adjustRightInd w:val="0"/>
        <w:jc w:val="center"/>
        <w:rPr>
          <w:rFonts w:ascii="Abadi" w:hAnsi="Abadi" w:cs="Amasis MT Pro Light"/>
          <w:b/>
          <w:bCs/>
          <w:sz w:val="21"/>
          <w:szCs w:val="21"/>
        </w:rPr>
      </w:pPr>
      <w:r w:rsidRPr="006A79C2">
        <w:rPr>
          <w:rFonts w:ascii="Abadi" w:hAnsi="Abadi" w:cs="Amasis MT Pro Light"/>
          <w:b/>
          <w:bCs/>
          <w:sz w:val="21"/>
          <w:szCs w:val="21"/>
        </w:rPr>
        <w:t>EXPOSICIÓN DE MOTIVOS</w:t>
      </w:r>
    </w:p>
    <w:p w14:paraId="72168DAF" w14:textId="77777777" w:rsidR="00A022D9" w:rsidRDefault="00A022D9" w:rsidP="00A022D9">
      <w:pPr>
        <w:autoSpaceDE w:val="0"/>
        <w:autoSpaceDN w:val="0"/>
        <w:adjustRightInd w:val="0"/>
        <w:jc w:val="both"/>
        <w:rPr>
          <w:rFonts w:ascii="Abadi" w:hAnsi="Abadi" w:cs="Amasis MT Pro Light"/>
          <w:sz w:val="21"/>
          <w:szCs w:val="21"/>
        </w:rPr>
      </w:pPr>
    </w:p>
    <w:p w14:paraId="664676E5" w14:textId="77777777" w:rsidR="00A022D9" w:rsidRPr="00DB7034" w:rsidRDefault="00A022D9" w:rsidP="00A022D9">
      <w:pPr>
        <w:autoSpaceDE w:val="0"/>
        <w:autoSpaceDN w:val="0"/>
        <w:adjustRightInd w:val="0"/>
        <w:jc w:val="both"/>
        <w:rPr>
          <w:rFonts w:ascii="Abadi" w:hAnsi="Abadi" w:cs="Amasis MT Pro Light"/>
          <w:sz w:val="21"/>
          <w:szCs w:val="21"/>
        </w:rPr>
      </w:pPr>
      <w:r w:rsidRPr="00DB7034">
        <w:rPr>
          <w:rFonts w:ascii="Abadi" w:hAnsi="Abadi" w:cs="Amasis MT Pro Light"/>
          <w:sz w:val="21"/>
          <w:szCs w:val="21"/>
        </w:rPr>
        <w:t>La presente iniciativa tiene como finalidad fortalecer el combate a la corrupción,</w:t>
      </w:r>
      <w:r>
        <w:rPr>
          <w:rFonts w:ascii="Abadi" w:hAnsi="Abadi" w:cs="Amasis MT Pro Light"/>
          <w:sz w:val="21"/>
          <w:szCs w:val="21"/>
        </w:rPr>
        <w:t xml:space="preserve"> </w:t>
      </w:r>
      <w:r w:rsidRPr="00DB7034">
        <w:rPr>
          <w:rFonts w:ascii="Abadi" w:hAnsi="Abadi" w:cs="Amasis MT Pro Light"/>
          <w:sz w:val="21"/>
          <w:szCs w:val="21"/>
        </w:rPr>
        <w:t>en tanto que este</w:t>
      </w:r>
      <w:r>
        <w:rPr>
          <w:rFonts w:ascii="Abadi" w:hAnsi="Abadi" w:cs="Amasis MT Pro Light"/>
          <w:sz w:val="21"/>
          <w:szCs w:val="21"/>
        </w:rPr>
        <w:t xml:space="preserve"> </w:t>
      </w:r>
      <w:r w:rsidRPr="00DB7034">
        <w:rPr>
          <w:rFonts w:ascii="Abadi" w:hAnsi="Abadi" w:cs="Amasis MT Pro Light"/>
          <w:sz w:val="21"/>
          <w:szCs w:val="21"/>
        </w:rPr>
        <w:t>problema público representa altos costos en términos sociales,</w:t>
      </w:r>
      <w:r>
        <w:rPr>
          <w:rFonts w:ascii="Abadi" w:hAnsi="Abadi" w:cs="Amasis MT Pro Light"/>
          <w:sz w:val="21"/>
          <w:szCs w:val="21"/>
        </w:rPr>
        <w:t xml:space="preserve"> </w:t>
      </w:r>
      <w:r w:rsidRPr="00DB7034">
        <w:rPr>
          <w:rFonts w:ascii="Abadi" w:hAnsi="Abadi" w:cs="Amasis MT Pro Light"/>
          <w:sz w:val="21"/>
          <w:szCs w:val="21"/>
        </w:rPr>
        <w:t>políticos y económicos, pues</w:t>
      </w:r>
      <w:r>
        <w:rPr>
          <w:rFonts w:ascii="Abadi" w:hAnsi="Abadi" w:cs="Amasis MT Pro Light"/>
          <w:sz w:val="21"/>
          <w:szCs w:val="21"/>
        </w:rPr>
        <w:t xml:space="preserve"> </w:t>
      </w:r>
      <w:r w:rsidRPr="00DB7034">
        <w:rPr>
          <w:rFonts w:ascii="Abadi" w:hAnsi="Abadi" w:cs="Amasis MT Pro Light"/>
          <w:sz w:val="21"/>
          <w:szCs w:val="21"/>
        </w:rPr>
        <w:t>vulnera el debido funcionamiento de las distintas</w:t>
      </w:r>
      <w:r>
        <w:rPr>
          <w:rFonts w:ascii="Abadi" w:hAnsi="Abadi" w:cs="Amasis MT Pro Light"/>
          <w:sz w:val="21"/>
          <w:szCs w:val="21"/>
        </w:rPr>
        <w:t xml:space="preserve"> </w:t>
      </w:r>
      <w:r w:rsidRPr="00DB7034">
        <w:rPr>
          <w:rFonts w:ascii="Abadi" w:hAnsi="Abadi" w:cs="Amasis MT Pro Light"/>
          <w:sz w:val="21"/>
          <w:szCs w:val="21"/>
        </w:rPr>
        <w:t>dependencias del Gobierno General Estatal,</w:t>
      </w:r>
      <w:r>
        <w:rPr>
          <w:rFonts w:ascii="Abadi" w:hAnsi="Abadi" w:cs="Amasis MT Pro Light"/>
          <w:sz w:val="21"/>
          <w:szCs w:val="21"/>
        </w:rPr>
        <w:t xml:space="preserve"> </w:t>
      </w:r>
      <w:r w:rsidRPr="00DB7034">
        <w:rPr>
          <w:rFonts w:ascii="Abadi" w:hAnsi="Abadi" w:cs="Amasis MT Pro Light"/>
          <w:sz w:val="21"/>
          <w:szCs w:val="21"/>
        </w:rPr>
        <w:t>desde el Poder Judicial hasta la</w:t>
      </w:r>
      <w:r>
        <w:rPr>
          <w:rFonts w:ascii="Abadi" w:hAnsi="Abadi" w:cs="Amasis MT Pro Light"/>
          <w:sz w:val="21"/>
          <w:szCs w:val="21"/>
        </w:rPr>
        <w:t xml:space="preserve"> </w:t>
      </w:r>
      <w:r w:rsidRPr="00DB7034">
        <w:rPr>
          <w:rFonts w:ascii="Abadi" w:hAnsi="Abadi" w:cs="Amasis MT Pro Light"/>
          <w:sz w:val="21"/>
          <w:szCs w:val="21"/>
        </w:rPr>
        <w:t>Fiscalía General del Estado, pasando por los otros poderes y</w:t>
      </w:r>
      <w:r>
        <w:rPr>
          <w:rFonts w:ascii="Abadi" w:hAnsi="Abadi" w:cs="Amasis MT Pro Light"/>
          <w:sz w:val="21"/>
          <w:szCs w:val="21"/>
        </w:rPr>
        <w:t xml:space="preserve"> </w:t>
      </w:r>
      <w:r w:rsidRPr="00DB7034">
        <w:rPr>
          <w:rFonts w:ascii="Abadi" w:hAnsi="Abadi" w:cs="Amasis MT Pro Light"/>
          <w:sz w:val="21"/>
          <w:szCs w:val="21"/>
        </w:rPr>
        <w:t>organismos</w:t>
      </w:r>
      <w:r>
        <w:rPr>
          <w:rFonts w:ascii="Abadi" w:hAnsi="Abadi" w:cs="Amasis MT Pro Light"/>
          <w:sz w:val="21"/>
          <w:szCs w:val="21"/>
        </w:rPr>
        <w:t xml:space="preserve"> </w:t>
      </w:r>
      <w:r w:rsidRPr="00DB7034">
        <w:rPr>
          <w:rFonts w:ascii="Abadi" w:hAnsi="Abadi" w:cs="Amasis MT Pro Light"/>
          <w:sz w:val="21"/>
          <w:szCs w:val="21"/>
        </w:rPr>
        <w:t>autónomos.</w:t>
      </w:r>
    </w:p>
    <w:p w14:paraId="384C2701" w14:textId="77777777" w:rsidR="00A022D9" w:rsidRDefault="00A022D9" w:rsidP="00A022D9">
      <w:pPr>
        <w:autoSpaceDE w:val="0"/>
        <w:autoSpaceDN w:val="0"/>
        <w:adjustRightInd w:val="0"/>
        <w:jc w:val="both"/>
        <w:rPr>
          <w:rFonts w:ascii="Abadi" w:hAnsi="Abadi" w:cs="Amasis MT Pro Light"/>
          <w:sz w:val="21"/>
          <w:szCs w:val="21"/>
        </w:rPr>
      </w:pPr>
    </w:p>
    <w:p w14:paraId="5C8115D9" w14:textId="77777777" w:rsidR="00A022D9" w:rsidRPr="00DB7034" w:rsidRDefault="00A022D9" w:rsidP="00A022D9">
      <w:pPr>
        <w:autoSpaceDE w:val="0"/>
        <w:autoSpaceDN w:val="0"/>
        <w:adjustRightInd w:val="0"/>
        <w:jc w:val="both"/>
        <w:rPr>
          <w:rFonts w:ascii="Abadi" w:hAnsi="Abadi" w:cs="Amasis MT Pro Light"/>
          <w:sz w:val="21"/>
          <w:szCs w:val="21"/>
        </w:rPr>
      </w:pPr>
      <w:r w:rsidRPr="00DB7034">
        <w:rPr>
          <w:rFonts w:ascii="Abadi" w:hAnsi="Abadi" w:cs="Amasis MT Pro Light"/>
          <w:sz w:val="21"/>
          <w:szCs w:val="21"/>
        </w:rPr>
        <w:t>En lo particular, el propósito es reconocer el nepotismo como una práctica que</w:t>
      </w:r>
      <w:r>
        <w:rPr>
          <w:rFonts w:ascii="Abadi" w:hAnsi="Abadi" w:cs="Amasis MT Pro Light"/>
          <w:sz w:val="21"/>
          <w:szCs w:val="21"/>
        </w:rPr>
        <w:t xml:space="preserve"> </w:t>
      </w:r>
      <w:r w:rsidRPr="00DB7034">
        <w:rPr>
          <w:rFonts w:ascii="Abadi" w:hAnsi="Abadi" w:cs="Amasis MT Pro Light"/>
          <w:sz w:val="21"/>
          <w:szCs w:val="21"/>
        </w:rPr>
        <w:t>subordina el interés público a los intereses familiares y personales de los servidores</w:t>
      </w:r>
      <w:r>
        <w:rPr>
          <w:rFonts w:ascii="Abadi" w:hAnsi="Abadi" w:cs="Amasis MT Pro Light"/>
          <w:sz w:val="21"/>
          <w:szCs w:val="21"/>
        </w:rPr>
        <w:t xml:space="preserve"> </w:t>
      </w:r>
      <w:r w:rsidRPr="00DB7034">
        <w:rPr>
          <w:rFonts w:ascii="Abadi" w:hAnsi="Abadi" w:cs="Amasis MT Pro Light"/>
          <w:sz w:val="21"/>
          <w:szCs w:val="21"/>
        </w:rPr>
        <w:t>públicos que incurren en dicha práctica, por lo cual debe ser vigilada, investigada</w:t>
      </w:r>
      <w:r>
        <w:rPr>
          <w:rFonts w:ascii="Abadi" w:hAnsi="Abadi" w:cs="Amasis MT Pro Light"/>
          <w:sz w:val="21"/>
          <w:szCs w:val="21"/>
        </w:rPr>
        <w:t xml:space="preserve"> </w:t>
      </w:r>
      <w:r w:rsidRPr="00DB7034">
        <w:rPr>
          <w:rFonts w:ascii="Abadi" w:hAnsi="Abadi" w:cs="Amasis MT Pro Light"/>
          <w:sz w:val="21"/>
          <w:szCs w:val="21"/>
        </w:rPr>
        <w:t>y, en su caso, castigada.</w:t>
      </w:r>
    </w:p>
    <w:p w14:paraId="5F30006B" w14:textId="77777777" w:rsidR="00A022D9" w:rsidRDefault="00A022D9" w:rsidP="00A022D9">
      <w:pPr>
        <w:autoSpaceDE w:val="0"/>
        <w:autoSpaceDN w:val="0"/>
        <w:adjustRightInd w:val="0"/>
        <w:jc w:val="both"/>
        <w:rPr>
          <w:rFonts w:ascii="Abadi" w:hAnsi="Abadi" w:cs="Amasis MT Pro Light"/>
          <w:sz w:val="21"/>
          <w:szCs w:val="21"/>
        </w:rPr>
      </w:pPr>
    </w:p>
    <w:p w14:paraId="4F8CF9DD" w14:textId="77777777" w:rsidR="00A022D9" w:rsidRPr="006A79C2" w:rsidRDefault="00A022D9" w:rsidP="00A022D9">
      <w:pPr>
        <w:autoSpaceDE w:val="0"/>
        <w:autoSpaceDN w:val="0"/>
        <w:adjustRightInd w:val="0"/>
        <w:jc w:val="both"/>
        <w:rPr>
          <w:rFonts w:ascii="Abadi" w:hAnsi="Abadi" w:cs="Amasis MT Pro Light"/>
          <w:b/>
          <w:bCs/>
          <w:sz w:val="21"/>
          <w:szCs w:val="21"/>
        </w:rPr>
      </w:pPr>
      <w:r w:rsidRPr="006A79C2">
        <w:rPr>
          <w:rFonts w:ascii="Abadi" w:hAnsi="Abadi" w:cs="Amasis MT Pro Light"/>
          <w:b/>
          <w:bCs/>
          <w:sz w:val="21"/>
          <w:szCs w:val="21"/>
        </w:rPr>
        <w:t>Conceptualización</w:t>
      </w:r>
    </w:p>
    <w:p w14:paraId="6E5A69D3" w14:textId="77777777" w:rsidR="00A022D9" w:rsidRDefault="00A022D9" w:rsidP="00A022D9">
      <w:pPr>
        <w:autoSpaceDE w:val="0"/>
        <w:autoSpaceDN w:val="0"/>
        <w:adjustRightInd w:val="0"/>
        <w:jc w:val="both"/>
        <w:rPr>
          <w:rFonts w:ascii="Abadi" w:hAnsi="Abadi" w:cs="Amasis MT Pro Light"/>
          <w:sz w:val="21"/>
          <w:szCs w:val="21"/>
        </w:rPr>
      </w:pPr>
    </w:p>
    <w:p w14:paraId="1D9ABBFD" w14:textId="77777777" w:rsidR="00A022D9" w:rsidRPr="00DB7034" w:rsidRDefault="00A022D9" w:rsidP="00A022D9">
      <w:pPr>
        <w:autoSpaceDE w:val="0"/>
        <w:autoSpaceDN w:val="0"/>
        <w:adjustRightInd w:val="0"/>
        <w:jc w:val="both"/>
        <w:rPr>
          <w:rFonts w:ascii="Abadi" w:hAnsi="Abadi" w:cs="Amasis MT Pro Light"/>
          <w:sz w:val="21"/>
          <w:szCs w:val="21"/>
        </w:rPr>
      </w:pPr>
      <w:r w:rsidRPr="00DB7034">
        <w:rPr>
          <w:rFonts w:ascii="Abadi" w:hAnsi="Abadi" w:cs="Amasis MT Pro Light"/>
          <w:sz w:val="21"/>
          <w:szCs w:val="21"/>
        </w:rPr>
        <w:t>El nepotismo puede entenderse como una modalidad de corrupción en los</w:t>
      </w:r>
      <w:r>
        <w:rPr>
          <w:rFonts w:ascii="Abadi" w:hAnsi="Abadi" w:cs="Amasis MT Pro Light"/>
          <w:sz w:val="21"/>
          <w:szCs w:val="21"/>
        </w:rPr>
        <w:t xml:space="preserve"> </w:t>
      </w:r>
      <w:r w:rsidRPr="00DB7034">
        <w:rPr>
          <w:rFonts w:ascii="Abadi" w:hAnsi="Abadi" w:cs="Amasis MT Pro Light"/>
          <w:sz w:val="21"/>
          <w:szCs w:val="21"/>
        </w:rPr>
        <w:t>procesos de selección y designación de cargos o puestos públicos por parte de la autoridad con potestad o capacidad indirecta para nombrar o contratar personal,</w:t>
      </w:r>
      <w:r>
        <w:rPr>
          <w:rFonts w:ascii="Abadi" w:hAnsi="Abadi" w:cs="Amasis MT Pro Light"/>
          <w:sz w:val="21"/>
          <w:szCs w:val="21"/>
        </w:rPr>
        <w:t xml:space="preserve"> </w:t>
      </w:r>
      <w:r w:rsidRPr="00DB7034">
        <w:rPr>
          <w:rFonts w:ascii="Abadi" w:hAnsi="Abadi" w:cs="Amasis MT Pro Light"/>
          <w:sz w:val="21"/>
          <w:szCs w:val="21"/>
        </w:rPr>
        <w:t>aprovechándose de esta condición para favorecer ilegalmente a sus parientes o</w:t>
      </w:r>
      <w:r>
        <w:rPr>
          <w:rFonts w:ascii="Abadi" w:hAnsi="Abadi" w:cs="Amasis MT Pro Light"/>
          <w:sz w:val="21"/>
          <w:szCs w:val="21"/>
        </w:rPr>
        <w:t xml:space="preserve"> </w:t>
      </w:r>
      <w:r w:rsidRPr="00DB7034">
        <w:rPr>
          <w:rFonts w:ascii="Abadi" w:hAnsi="Abadi" w:cs="Amasis MT Pro Light"/>
          <w:sz w:val="21"/>
          <w:szCs w:val="21"/>
        </w:rPr>
        <w:t>familiares</w:t>
      </w:r>
      <w:r>
        <w:rPr>
          <w:rStyle w:val="Refdenotaalpie"/>
          <w:rFonts w:ascii="Abadi" w:hAnsi="Abadi" w:cs="Amasis MT Pro Light"/>
          <w:sz w:val="21"/>
          <w:szCs w:val="21"/>
        </w:rPr>
        <w:footnoteReference w:id="53"/>
      </w:r>
      <w:r w:rsidRPr="00DB7034">
        <w:rPr>
          <w:rFonts w:ascii="Abadi" w:hAnsi="Abadi" w:cs="Amasis MT Pro Light"/>
          <w:sz w:val="21"/>
          <w:szCs w:val="21"/>
        </w:rPr>
        <w:t>.</w:t>
      </w:r>
    </w:p>
    <w:p w14:paraId="542AA7F5" w14:textId="77777777" w:rsidR="00A022D9" w:rsidRDefault="00A022D9" w:rsidP="00A022D9">
      <w:pPr>
        <w:autoSpaceDE w:val="0"/>
        <w:autoSpaceDN w:val="0"/>
        <w:adjustRightInd w:val="0"/>
        <w:jc w:val="both"/>
        <w:rPr>
          <w:rFonts w:ascii="Abadi" w:hAnsi="Abadi" w:cs="Amasis MT Pro Light"/>
          <w:sz w:val="21"/>
          <w:szCs w:val="21"/>
        </w:rPr>
      </w:pPr>
    </w:p>
    <w:p w14:paraId="037A540C" w14:textId="46236A0B" w:rsidR="00A022D9" w:rsidRPr="00DB7034" w:rsidRDefault="00A022D9" w:rsidP="00A022D9">
      <w:pPr>
        <w:autoSpaceDE w:val="0"/>
        <w:autoSpaceDN w:val="0"/>
        <w:adjustRightInd w:val="0"/>
        <w:jc w:val="both"/>
        <w:rPr>
          <w:rFonts w:ascii="Abadi" w:hAnsi="Abadi" w:cs="Amasis MT Pro Light"/>
          <w:sz w:val="21"/>
          <w:szCs w:val="21"/>
        </w:rPr>
      </w:pPr>
      <w:r w:rsidRPr="00DB7034">
        <w:rPr>
          <w:rFonts w:ascii="Abadi" w:hAnsi="Abadi" w:cs="Amasis MT Pro Light"/>
          <w:sz w:val="21"/>
          <w:szCs w:val="21"/>
        </w:rPr>
        <w:t>En este sentido, existe consenso en entender al nepotismo como una</w:t>
      </w:r>
      <w:r>
        <w:rPr>
          <w:rFonts w:ascii="Abadi" w:hAnsi="Abadi" w:cs="Amasis MT Pro Light"/>
          <w:sz w:val="21"/>
          <w:szCs w:val="21"/>
        </w:rPr>
        <w:t xml:space="preserve"> </w:t>
      </w:r>
      <w:r w:rsidRPr="00DB7034">
        <w:rPr>
          <w:rFonts w:ascii="Abadi" w:hAnsi="Abadi" w:cs="Amasis MT Pro Light"/>
          <w:sz w:val="21"/>
          <w:szCs w:val="21"/>
        </w:rPr>
        <w:t>manifestación de la corrupción tradicional</w:t>
      </w:r>
      <w:r>
        <w:rPr>
          <w:rStyle w:val="Refdenotaalpie"/>
          <w:rFonts w:ascii="Abadi" w:hAnsi="Abadi" w:cs="Amasis MT Pro Light"/>
          <w:sz w:val="21"/>
          <w:szCs w:val="21"/>
        </w:rPr>
        <w:footnoteReference w:id="54"/>
      </w:r>
      <w:r w:rsidRPr="00DB7034">
        <w:rPr>
          <w:rFonts w:ascii="Abadi" w:hAnsi="Abadi" w:cs="Amasis MT Pro Light"/>
          <w:sz w:val="21"/>
          <w:szCs w:val="21"/>
        </w:rPr>
        <w:t xml:space="preserve"> que se constituye como un abierto</w:t>
      </w:r>
      <w:r>
        <w:rPr>
          <w:rFonts w:ascii="Abadi" w:hAnsi="Abadi" w:cs="Amasis MT Pro Light"/>
          <w:sz w:val="21"/>
          <w:szCs w:val="21"/>
        </w:rPr>
        <w:t xml:space="preserve"> </w:t>
      </w:r>
      <w:r w:rsidRPr="00DB7034">
        <w:rPr>
          <w:rFonts w:ascii="Abadi" w:hAnsi="Abadi" w:cs="Amasis MT Pro Light"/>
          <w:sz w:val="21"/>
          <w:szCs w:val="21"/>
        </w:rPr>
        <w:t>remplazo del mérito por el parentesco</w:t>
      </w:r>
      <w:r>
        <w:rPr>
          <w:rStyle w:val="Refdenotaalpie"/>
          <w:rFonts w:ascii="Abadi" w:hAnsi="Abadi" w:cs="Amasis MT Pro Light"/>
          <w:sz w:val="21"/>
          <w:szCs w:val="21"/>
        </w:rPr>
        <w:footnoteReference w:id="55"/>
      </w:r>
      <w:r w:rsidRPr="00DB7034">
        <w:rPr>
          <w:rFonts w:ascii="Abadi" w:hAnsi="Abadi" w:cs="Amasis MT Pro Light"/>
          <w:sz w:val="21"/>
          <w:szCs w:val="21"/>
        </w:rPr>
        <w:t>, toda vez que el reclutamiento de</w:t>
      </w:r>
      <w:r>
        <w:rPr>
          <w:rFonts w:ascii="Abadi" w:hAnsi="Abadi" w:cs="Amasis MT Pro Light"/>
          <w:sz w:val="21"/>
          <w:szCs w:val="21"/>
        </w:rPr>
        <w:t xml:space="preserve"> </w:t>
      </w:r>
      <w:r w:rsidRPr="00DB7034">
        <w:rPr>
          <w:rFonts w:ascii="Abadi" w:hAnsi="Abadi" w:cs="Amasis MT Pro Light"/>
          <w:sz w:val="21"/>
          <w:szCs w:val="21"/>
        </w:rPr>
        <w:t>servidores públicos en que se inmiscuye esta práctica, parte de vínculos familiares,</w:t>
      </w:r>
      <w:r>
        <w:rPr>
          <w:rFonts w:ascii="Abadi" w:hAnsi="Abadi" w:cs="Amasis MT Pro Light"/>
          <w:sz w:val="21"/>
          <w:szCs w:val="21"/>
        </w:rPr>
        <w:t xml:space="preserve"> </w:t>
      </w:r>
      <w:r w:rsidRPr="00DB7034">
        <w:rPr>
          <w:rFonts w:ascii="Abadi" w:hAnsi="Abadi" w:cs="Amasis MT Pro Light"/>
          <w:sz w:val="21"/>
          <w:szCs w:val="21"/>
        </w:rPr>
        <w:t>dejando en segundo término la capacidad y adecuación de los perfiles</w:t>
      </w:r>
      <w:r>
        <w:rPr>
          <w:rFonts w:ascii="Abadi" w:hAnsi="Abadi" w:cs="Amasis MT Pro Light"/>
          <w:sz w:val="21"/>
          <w:szCs w:val="21"/>
        </w:rPr>
        <w:t xml:space="preserve"> </w:t>
      </w:r>
      <w:r w:rsidRPr="00DB7034">
        <w:rPr>
          <w:rFonts w:ascii="Abadi" w:hAnsi="Abadi" w:cs="Amasis MT Pro Light"/>
          <w:sz w:val="21"/>
          <w:szCs w:val="21"/>
        </w:rPr>
        <w:t>profesionales.</w:t>
      </w:r>
    </w:p>
    <w:p w14:paraId="06F7155F" w14:textId="77777777" w:rsidR="00A022D9" w:rsidRDefault="00A022D9" w:rsidP="00A022D9">
      <w:pPr>
        <w:autoSpaceDE w:val="0"/>
        <w:autoSpaceDN w:val="0"/>
        <w:adjustRightInd w:val="0"/>
        <w:jc w:val="both"/>
        <w:rPr>
          <w:rFonts w:ascii="Abadi" w:hAnsi="Abadi" w:cs="Amasis MT Pro Light"/>
          <w:sz w:val="21"/>
          <w:szCs w:val="21"/>
        </w:rPr>
      </w:pPr>
    </w:p>
    <w:p w14:paraId="4FFB9C27" w14:textId="5F8755F1" w:rsidR="00A022D9" w:rsidRPr="00DB7034" w:rsidRDefault="00A022D9" w:rsidP="00A022D9">
      <w:pPr>
        <w:autoSpaceDE w:val="0"/>
        <w:autoSpaceDN w:val="0"/>
        <w:adjustRightInd w:val="0"/>
        <w:jc w:val="both"/>
        <w:rPr>
          <w:rFonts w:ascii="Abadi" w:hAnsi="Abadi" w:cs="Amasis MT Pro Light"/>
          <w:sz w:val="21"/>
          <w:szCs w:val="21"/>
        </w:rPr>
      </w:pPr>
      <w:r w:rsidRPr="00DB7034">
        <w:rPr>
          <w:rFonts w:ascii="Abadi" w:hAnsi="Abadi" w:cs="Amasis MT Pro Light"/>
          <w:sz w:val="21"/>
          <w:szCs w:val="21"/>
        </w:rPr>
        <w:t>Lo anterior supone que el nepotismo se traduce en una disminución de la eficacia</w:t>
      </w:r>
      <w:r>
        <w:rPr>
          <w:rFonts w:ascii="Abadi" w:hAnsi="Abadi" w:cs="Amasis MT Pro Light"/>
          <w:sz w:val="21"/>
          <w:szCs w:val="21"/>
        </w:rPr>
        <w:t xml:space="preserve"> </w:t>
      </w:r>
      <w:r w:rsidRPr="00DB7034">
        <w:rPr>
          <w:rFonts w:ascii="Abadi" w:hAnsi="Abadi" w:cs="Amasis MT Pro Light"/>
          <w:sz w:val="21"/>
          <w:szCs w:val="21"/>
        </w:rPr>
        <w:t>y eficiencia del servicio público. Al mismo tiempo, el nepotismo en el servicio</w:t>
      </w:r>
      <w:r>
        <w:rPr>
          <w:rFonts w:ascii="Abadi" w:hAnsi="Abadi" w:cs="Amasis MT Pro Light"/>
          <w:sz w:val="21"/>
          <w:szCs w:val="21"/>
        </w:rPr>
        <w:t xml:space="preserve"> </w:t>
      </w:r>
      <w:r w:rsidRPr="00DB7034">
        <w:rPr>
          <w:rFonts w:ascii="Abadi" w:hAnsi="Abadi" w:cs="Amasis MT Pro Light"/>
          <w:sz w:val="21"/>
          <w:szCs w:val="21"/>
        </w:rPr>
        <w:t xml:space="preserve">público </w:t>
      </w:r>
      <w:r w:rsidRPr="00DB7034">
        <w:rPr>
          <w:rFonts w:ascii="Abadi" w:hAnsi="Abadi" w:cs="Amasis MT Pro Light"/>
          <w:sz w:val="21"/>
          <w:szCs w:val="21"/>
        </w:rPr>
        <w:lastRenderedPageBreak/>
        <w:t>supone el riesgo de que los objetivos de las instituciones se desvíen y sean</w:t>
      </w:r>
      <w:r>
        <w:rPr>
          <w:rFonts w:ascii="Abadi" w:hAnsi="Abadi" w:cs="Amasis MT Pro Light"/>
          <w:sz w:val="21"/>
          <w:szCs w:val="21"/>
        </w:rPr>
        <w:t xml:space="preserve"> </w:t>
      </w:r>
      <w:r w:rsidRPr="00DB7034">
        <w:rPr>
          <w:rFonts w:ascii="Abadi" w:hAnsi="Abadi" w:cs="Amasis MT Pro Light"/>
          <w:sz w:val="21"/>
          <w:szCs w:val="21"/>
        </w:rPr>
        <w:t>suplantados por intereses familiares; esto es:</w:t>
      </w:r>
    </w:p>
    <w:p w14:paraId="02A25851" w14:textId="77777777" w:rsidR="00A022D9" w:rsidRDefault="00A022D9" w:rsidP="00A022D9">
      <w:pPr>
        <w:autoSpaceDE w:val="0"/>
        <w:autoSpaceDN w:val="0"/>
        <w:adjustRightInd w:val="0"/>
        <w:jc w:val="both"/>
        <w:rPr>
          <w:rFonts w:ascii="Abadi" w:hAnsi="Abadi" w:cs="Amasis MT Pro Light"/>
          <w:sz w:val="21"/>
          <w:szCs w:val="21"/>
        </w:rPr>
      </w:pPr>
    </w:p>
    <w:p w14:paraId="2922CE3B" w14:textId="77777777" w:rsidR="00A022D9" w:rsidRPr="00DB7034" w:rsidRDefault="00A022D9" w:rsidP="00A022D9">
      <w:pPr>
        <w:autoSpaceDE w:val="0"/>
        <w:autoSpaceDN w:val="0"/>
        <w:adjustRightInd w:val="0"/>
        <w:jc w:val="both"/>
        <w:rPr>
          <w:rFonts w:ascii="Abadi" w:hAnsi="Abadi" w:cs="Amasis MT Pro Light"/>
          <w:sz w:val="21"/>
          <w:szCs w:val="21"/>
        </w:rPr>
      </w:pPr>
      <w:r>
        <w:rPr>
          <w:rFonts w:ascii="Abadi" w:hAnsi="Abadi" w:cs="Amasis MT Pro Light"/>
          <w:sz w:val="21"/>
          <w:szCs w:val="21"/>
        </w:rPr>
        <w:tab/>
      </w:r>
      <w:r w:rsidRPr="00DB7034">
        <w:rPr>
          <w:rFonts w:ascii="Abadi" w:hAnsi="Abadi" w:cs="Amasis MT Pro Light"/>
          <w:sz w:val="21"/>
          <w:szCs w:val="21"/>
        </w:rPr>
        <w:t>Lo que configura a esta actividad como un problema son sus fines y sus</w:t>
      </w:r>
      <w:r>
        <w:rPr>
          <w:rFonts w:ascii="Abadi" w:hAnsi="Abadi" w:cs="Amasis MT Pro Light"/>
          <w:sz w:val="21"/>
          <w:szCs w:val="21"/>
        </w:rPr>
        <w:t xml:space="preserve"> </w:t>
      </w:r>
      <w:r w:rsidRPr="00DB7034">
        <w:rPr>
          <w:rFonts w:ascii="Abadi" w:hAnsi="Abadi" w:cs="Amasis MT Pro Light"/>
          <w:sz w:val="21"/>
          <w:szCs w:val="21"/>
        </w:rPr>
        <w:t xml:space="preserve">consecuencias: la </w:t>
      </w:r>
      <w:r>
        <w:rPr>
          <w:rFonts w:ascii="Abadi" w:hAnsi="Abadi" w:cs="Amasis MT Pro Light"/>
          <w:sz w:val="21"/>
          <w:szCs w:val="21"/>
        </w:rPr>
        <w:tab/>
      </w:r>
      <w:r w:rsidRPr="00DB7034">
        <w:rPr>
          <w:rFonts w:ascii="Abadi" w:hAnsi="Abadi" w:cs="Amasis MT Pro Light"/>
          <w:sz w:val="21"/>
          <w:szCs w:val="21"/>
        </w:rPr>
        <w:t>posibilidad de que el objetivo de la organización se desvíe para</w:t>
      </w:r>
      <w:r>
        <w:rPr>
          <w:rFonts w:ascii="Abadi" w:hAnsi="Abadi" w:cs="Amasis MT Pro Light"/>
          <w:sz w:val="21"/>
          <w:szCs w:val="21"/>
        </w:rPr>
        <w:t xml:space="preserve"> </w:t>
      </w:r>
      <w:r w:rsidRPr="00DB7034">
        <w:rPr>
          <w:rFonts w:ascii="Abadi" w:hAnsi="Abadi" w:cs="Amasis MT Pro Light"/>
          <w:sz w:val="21"/>
          <w:szCs w:val="21"/>
        </w:rPr>
        <w:t xml:space="preserve">atender los intereses </w:t>
      </w:r>
      <w:r>
        <w:rPr>
          <w:rFonts w:ascii="Abadi" w:hAnsi="Abadi" w:cs="Amasis MT Pro Light"/>
          <w:sz w:val="21"/>
          <w:szCs w:val="21"/>
        </w:rPr>
        <w:tab/>
      </w:r>
      <w:r w:rsidRPr="00DB7034">
        <w:rPr>
          <w:rFonts w:ascii="Abadi" w:hAnsi="Abadi" w:cs="Amasis MT Pro Light"/>
          <w:sz w:val="21"/>
          <w:szCs w:val="21"/>
        </w:rPr>
        <w:t>particulares de un grupo, particularmente de los mismos</w:t>
      </w:r>
      <w:r>
        <w:rPr>
          <w:rFonts w:ascii="Abadi" w:hAnsi="Abadi" w:cs="Amasis MT Pro Light"/>
          <w:sz w:val="21"/>
          <w:szCs w:val="21"/>
        </w:rPr>
        <w:t xml:space="preserve"> </w:t>
      </w:r>
      <w:r w:rsidRPr="00DB7034">
        <w:rPr>
          <w:rFonts w:ascii="Abadi" w:hAnsi="Abadi" w:cs="Amasis MT Pro Light"/>
          <w:sz w:val="21"/>
          <w:szCs w:val="21"/>
        </w:rPr>
        <w:t xml:space="preserve">familiares […] En pocas palabras, </w:t>
      </w:r>
      <w:r>
        <w:rPr>
          <w:rFonts w:ascii="Abadi" w:hAnsi="Abadi" w:cs="Amasis MT Pro Light"/>
          <w:sz w:val="21"/>
          <w:szCs w:val="21"/>
        </w:rPr>
        <w:tab/>
      </w:r>
      <w:r w:rsidRPr="00DB7034">
        <w:rPr>
          <w:rFonts w:ascii="Abadi" w:hAnsi="Abadi" w:cs="Amasis MT Pro Light"/>
          <w:sz w:val="21"/>
          <w:szCs w:val="21"/>
        </w:rPr>
        <w:t>es la captura de puestos y presupuestos</w:t>
      </w:r>
      <w:r>
        <w:rPr>
          <w:rStyle w:val="Refdenotaalpie"/>
          <w:rFonts w:ascii="Abadi" w:hAnsi="Abadi" w:cs="Amasis MT Pro Light"/>
          <w:sz w:val="21"/>
          <w:szCs w:val="21"/>
        </w:rPr>
        <w:footnoteReference w:id="56"/>
      </w:r>
      <w:r w:rsidRPr="00DB7034">
        <w:rPr>
          <w:rFonts w:ascii="Abadi" w:hAnsi="Abadi" w:cs="Amasis MT Pro Light"/>
          <w:sz w:val="21"/>
          <w:szCs w:val="21"/>
        </w:rPr>
        <w:t>.</w:t>
      </w:r>
    </w:p>
    <w:p w14:paraId="374E66C2" w14:textId="77777777" w:rsidR="00A022D9" w:rsidRDefault="00A022D9" w:rsidP="00A022D9">
      <w:pPr>
        <w:autoSpaceDE w:val="0"/>
        <w:autoSpaceDN w:val="0"/>
        <w:adjustRightInd w:val="0"/>
        <w:jc w:val="both"/>
        <w:rPr>
          <w:rFonts w:ascii="Abadi" w:hAnsi="Abadi" w:cs="Amasis MT Pro Light"/>
          <w:sz w:val="21"/>
          <w:szCs w:val="21"/>
        </w:rPr>
      </w:pPr>
    </w:p>
    <w:p w14:paraId="55C8E93B" w14:textId="77777777" w:rsidR="00A022D9" w:rsidRPr="00DB7034" w:rsidRDefault="00A022D9" w:rsidP="00A022D9">
      <w:pPr>
        <w:autoSpaceDE w:val="0"/>
        <w:autoSpaceDN w:val="0"/>
        <w:adjustRightInd w:val="0"/>
        <w:jc w:val="both"/>
        <w:rPr>
          <w:rFonts w:ascii="Abadi" w:hAnsi="Abadi" w:cs="Amasis MT Pro Light"/>
          <w:sz w:val="21"/>
          <w:szCs w:val="21"/>
        </w:rPr>
      </w:pPr>
      <w:r w:rsidRPr="00DB7034">
        <w:rPr>
          <w:rFonts w:ascii="Abadi" w:hAnsi="Abadi" w:cs="Amasis MT Pro Light"/>
          <w:sz w:val="21"/>
          <w:szCs w:val="21"/>
        </w:rPr>
        <w:t>De esta manera, los vínculos familiares son un pilar analítico de la caracterización</w:t>
      </w:r>
      <w:r>
        <w:rPr>
          <w:rFonts w:ascii="Abadi" w:hAnsi="Abadi" w:cs="Amasis MT Pro Light"/>
          <w:sz w:val="21"/>
          <w:szCs w:val="21"/>
        </w:rPr>
        <w:t xml:space="preserve"> </w:t>
      </w:r>
      <w:r w:rsidRPr="00DB7034">
        <w:rPr>
          <w:rFonts w:ascii="Abadi" w:hAnsi="Abadi" w:cs="Amasis MT Pro Light"/>
          <w:sz w:val="21"/>
          <w:szCs w:val="21"/>
        </w:rPr>
        <w:t>del nepotismo, por lo cual es necesario precisar que, además de los lazos de</w:t>
      </w:r>
      <w:r>
        <w:rPr>
          <w:rFonts w:ascii="Abadi" w:hAnsi="Abadi" w:cs="Amasis MT Pro Light"/>
          <w:sz w:val="21"/>
          <w:szCs w:val="21"/>
        </w:rPr>
        <w:t xml:space="preserve"> </w:t>
      </w:r>
      <w:r w:rsidRPr="00DB7034">
        <w:rPr>
          <w:rFonts w:ascii="Abadi" w:hAnsi="Abadi" w:cs="Amasis MT Pro Light"/>
          <w:sz w:val="21"/>
          <w:szCs w:val="21"/>
        </w:rPr>
        <w:t>matrimonio o concubinato, existen 2 tipos de lazos de parentesco: por</w:t>
      </w:r>
      <w:r>
        <w:rPr>
          <w:rFonts w:ascii="Abadi" w:hAnsi="Abadi" w:cs="Amasis MT Pro Light"/>
          <w:sz w:val="21"/>
          <w:szCs w:val="21"/>
        </w:rPr>
        <w:t xml:space="preserve"> </w:t>
      </w:r>
      <w:r w:rsidRPr="00DB7034">
        <w:rPr>
          <w:rFonts w:ascii="Abadi" w:hAnsi="Abadi" w:cs="Amasis MT Pro Light"/>
          <w:sz w:val="21"/>
          <w:szCs w:val="21"/>
        </w:rPr>
        <w:t>consanguinidad y por afinidad.</w:t>
      </w:r>
    </w:p>
    <w:p w14:paraId="17A86496" w14:textId="77777777" w:rsidR="00A022D9" w:rsidRDefault="00A022D9" w:rsidP="00A022D9">
      <w:pPr>
        <w:autoSpaceDE w:val="0"/>
        <w:autoSpaceDN w:val="0"/>
        <w:adjustRightInd w:val="0"/>
        <w:jc w:val="both"/>
        <w:rPr>
          <w:rFonts w:ascii="Abadi" w:hAnsi="Abadi" w:cs="Amasis MT Pro Light"/>
          <w:sz w:val="21"/>
          <w:szCs w:val="21"/>
        </w:rPr>
      </w:pPr>
    </w:p>
    <w:p w14:paraId="3374F8F4" w14:textId="6B837A57" w:rsidR="00A022D9" w:rsidRPr="00DB7034" w:rsidRDefault="00A022D9" w:rsidP="00FC192C">
      <w:pPr>
        <w:autoSpaceDE w:val="0"/>
        <w:autoSpaceDN w:val="0"/>
        <w:adjustRightInd w:val="0"/>
        <w:jc w:val="both"/>
        <w:rPr>
          <w:rFonts w:ascii="Abadi" w:hAnsi="Abadi" w:cs="Amasis MT Pro Light"/>
          <w:sz w:val="21"/>
          <w:szCs w:val="21"/>
        </w:rPr>
      </w:pPr>
      <w:r w:rsidRPr="00DB7034">
        <w:rPr>
          <w:rFonts w:ascii="Abadi" w:hAnsi="Abadi" w:cs="Amasis MT Pro Light"/>
          <w:sz w:val="21"/>
          <w:szCs w:val="21"/>
        </w:rPr>
        <w:t>Mientras el primero refiere a los lazos provenientes de algún ascendente común,</w:t>
      </w:r>
      <w:r>
        <w:rPr>
          <w:rFonts w:ascii="Abadi" w:hAnsi="Abadi" w:cs="Amasis MT Pro Light"/>
          <w:sz w:val="21"/>
          <w:szCs w:val="21"/>
        </w:rPr>
        <w:t xml:space="preserve"> es</w:t>
      </w:r>
      <w:r w:rsidRPr="00DB7034">
        <w:rPr>
          <w:rFonts w:ascii="Abadi" w:hAnsi="Abadi" w:cs="Amasis MT Pro Light"/>
          <w:sz w:val="21"/>
          <w:szCs w:val="21"/>
        </w:rPr>
        <w:t xml:space="preserve"> decir, compartir lazos sanguíneos; el segundo refiere a los lazos formados entre un cónyuge y los parientes</w:t>
      </w:r>
      <w:r>
        <w:rPr>
          <w:rFonts w:ascii="Abadi" w:hAnsi="Abadi" w:cs="Amasis MT Pro Light"/>
          <w:sz w:val="21"/>
          <w:szCs w:val="21"/>
        </w:rPr>
        <w:t xml:space="preserve"> </w:t>
      </w:r>
      <w:r w:rsidRPr="00DB7034">
        <w:rPr>
          <w:rFonts w:ascii="Abadi" w:hAnsi="Abadi" w:cs="Amasis MT Pro Light"/>
          <w:sz w:val="21"/>
          <w:szCs w:val="21"/>
        </w:rPr>
        <w:t>sanguíneos de su pareja</w:t>
      </w:r>
      <w:r>
        <w:rPr>
          <w:rStyle w:val="Refdenotaalpie"/>
          <w:rFonts w:ascii="Abadi" w:hAnsi="Abadi" w:cs="Amasis MT Pro Light"/>
          <w:sz w:val="21"/>
          <w:szCs w:val="21"/>
        </w:rPr>
        <w:footnoteReference w:id="57"/>
      </w:r>
      <w:r w:rsidRPr="00DB7034">
        <w:rPr>
          <w:rFonts w:ascii="Abadi" w:hAnsi="Abadi" w:cs="Amasis MT Pro Light"/>
          <w:sz w:val="21"/>
          <w:szCs w:val="21"/>
        </w:rPr>
        <w:t>. En ambos casos, es posible</w:t>
      </w:r>
      <w:r>
        <w:rPr>
          <w:rFonts w:ascii="Abadi" w:hAnsi="Abadi" w:cs="Amasis MT Pro Light"/>
          <w:sz w:val="21"/>
          <w:szCs w:val="21"/>
        </w:rPr>
        <w:t xml:space="preserve"> </w:t>
      </w:r>
      <w:r w:rsidRPr="00DB7034">
        <w:rPr>
          <w:rFonts w:ascii="Abadi" w:hAnsi="Abadi" w:cs="Amasis MT Pro Light"/>
          <w:sz w:val="21"/>
          <w:szCs w:val="21"/>
        </w:rPr>
        <w:t>distinguir analíticamente los lazos familiares mediante gradaciones que identifican</w:t>
      </w:r>
      <w:r>
        <w:rPr>
          <w:rFonts w:ascii="Abadi" w:hAnsi="Abadi" w:cs="Amasis MT Pro Light"/>
          <w:sz w:val="21"/>
          <w:szCs w:val="21"/>
        </w:rPr>
        <w:t xml:space="preserve"> </w:t>
      </w:r>
      <w:r w:rsidRPr="00DB7034">
        <w:rPr>
          <w:rFonts w:ascii="Abadi" w:hAnsi="Abadi" w:cs="Amasis MT Pro Light"/>
          <w:sz w:val="21"/>
          <w:szCs w:val="21"/>
        </w:rPr>
        <w:t>la cercanía del parentesco según las generaciones de ascendientes y</w:t>
      </w:r>
      <w:r>
        <w:rPr>
          <w:rFonts w:ascii="Abadi" w:hAnsi="Abadi" w:cs="Amasis MT Pro Light"/>
          <w:sz w:val="21"/>
          <w:szCs w:val="21"/>
        </w:rPr>
        <w:t xml:space="preserve"> </w:t>
      </w:r>
      <w:r w:rsidRPr="00DB7034">
        <w:rPr>
          <w:rFonts w:ascii="Abadi" w:hAnsi="Abadi" w:cs="Amasis MT Pro Light"/>
          <w:sz w:val="21"/>
          <w:szCs w:val="21"/>
        </w:rPr>
        <w:t>descendientes, esto es, que cada generación forma un grado</w:t>
      </w:r>
      <w:r>
        <w:rPr>
          <w:rStyle w:val="Refdenotaalpie"/>
          <w:rFonts w:ascii="Abadi" w:hAnsi="Abadi" w:cs="Amasis MT Pro Light"/>
          <w:sz w:val="21"/>
          <w:szCs w:val="21"/>
        </w:rPr>
        <w:footnoteReference w:id="58"/>
      </w:r>
      <w:r w:rsidRPr="00DB7034">
        <w:rPr>
          <w:rFonts w:ascii="Abadi" w:hAnsi="Abadi" w:cs="Amasis MT Pro Light"/>
          <w:sz w:val="21"/>
          <w:szCs w:val="21"/>
        </w:rPr>
        <w:t>, tal como se muestra</w:t>
      </w:r>
      <w:r w:rsidR="00FC192C">
        <w:rPr>
          <w:rFonts w:ascii="Abadi" w:hAnsi="Abadi" w:cs="Amasis MT Pro Light"/>
          <w:sz w:val="21"/>
          <w:szCs w:val="21"/>
        </w:rPr>
        <w:t xml:space="preserve"> </w:t>
      </w:r>
      <w:r w:rsidRPr="00DB7034">
        <w:rPr>
          <w:rFonts w:ascii="Abadi" w:hAnsi="Abadi" w:cs="Amasis MT Pro Light"/>
          <w:sz w:val="21"/>
          <w:szCs w:val="21"/>
        </w:rPr>
        <w:t>a continuación:</w:t>
      </w:r>
    </w:p>
    <w:p w14:paraId="297F71B3" w14:textId="38349855" w:rsidR="00A022D9" w:rsidRPr="00DB7034" w:rsidRDefault="00A022D9" w:rsidP="00A022D9">
      <w:pPr>
        <w:jc w:val="both"/>
        <w:rPr>
          <w:rFonts w:ascii="Abadi" w:hAnsi="Abadi" w:cs="Amasis MT Pro Light"/>
          <w:sz w:val="21"/>
          <w:szCs w:val="21"/>
        </w:rPr>
      </w:pPr>
    </w:p>
    <w:p w14:paraId="010420A3" w14:textId="77777777" w:rsidR="00A022D9" w:rsidRDefault="00A022D9" w:rsidP="00A022D9">
      <w:pPr>
        <w:autoSpaceDE w:val="0"/>
        <w:autoSpaceDN w:val="0"/>
        <w:adjustRightInd w:val="0"/>
        <w:jc w:val="both"/>
        <w:rPr>
          <w:rFonts w:ascii="Abadi" w:hAnsi="Abadi" w:cs="Amasis MT Pro Light"/>
          <w:sz w:val="21"/>
          <w:szCs w:val="21"/>
        </w:rPr>
      </w:pPr>
    </w:p>
    <w:p w14:paraId="3097AB1E" w14:textId="77777777" w:rsidR="00A022D9" w:rsidRPr="00FC192C" w:rsidRDefault="00A022D9" w:rsidP="00A022D9">
      <w:pPr>
        <w:autoSpaceDE w:val="0"/>
        <w:autoSpaceDN w:val="0"/>
        <w:adjustRightInd w:val="0"/>
        <w:jc w:val="center"/>
        <w:rPr>
          <w:rFonts w:ascii="Abadi" w:hAnsi="Abadi" w:cs="Amasis MT Pro Light"/>
          <w:sz w:val="16"/>
          <w:szCs w:val="16"/>
        </w:rPr>
      </w:pPr>
      <w:r w:rsidRPr="00FC192C">
        <w:rPr>
          <w:rFonts w:ascii="Abadi" w:hAnsi="Abadi" w:cs="Amasis MT Pro Light"/>
          <w:sz w:val="16"/>
          <w:szCs w:val="16"/>
        </w:rPr>
        <w:t>Fuente: Universidad Complutense de Madrid, disponible en:</w:t>
      </w:r>
    </w:p>
    <w:p w14:paraId="458C5888" w14:textId="24B317CE" w:rsidR="00A022D9" w:rsidRPr="00FC192C" w:rsidRDefault="0065789D" w:rsidP="00A022D9">
      <w:pPr>
        <w:autoSpaceDE w:val="0"/>
        <w:autoSpaceDN w:val="0"/>
        <w:adjustRightInd w:val="0"/>
        <w:jc w:val="center"/>
        <w:rPr>
          <w:rFonts w:ascii="Abadi" w:hAnsi="Abadi" w:cs="Amasis MT Pro Light"/>
          <w:sz w:val="16"/>
          <w:szCs w:val="16"/>
        </w:rPr>
      </w:pPr>
      <w:hyperlink r:id="rId26" w:history="1">
        <w:r w:rsidR="00A022D9" w:rsidRPr="00FC192C">
          <w:rPr>
            <w:rStyle w:val="Hipervnculo"/>
            <w:rFonts w:ascii="Abadi" w:hAnsi="Abadi" w:cs="Amasis MT Pro Light"/>
            <w:sz w:val="16"/>
            <w:szCs w:val="16"/>
          </w:rPr>
          <w:t>http://webs.ucm.es/BUCM/qui/intranet/grados_parentesco.pdf</w:t>
        </w:r>
      </w:hyperlink>
    </w:p>
    <w:p w14:paraId="342D2532" w14:textId="4A78ED7F" w:rsidR="00A022D9" w:rsidRDefault="00A022D9" w:rsidP="00A022D9">
      <w:pPr>
        <w:autoSpaceDE w:val="0"/>
        <w:autoSpaceDN w:val="0"/>
        <w:adjustRightInd w:val="0"/>
        <w:jc w:val="both"/>
        <w:rPr>
          <w:rFonts w:ascii="Abadi" w:hAnsi="Abadi" w:cs="Amasis MT Pro Light"/>
          <w:sz w:val="21"/>
          <w:szCs w:val="21"/>
        </w:rPr>
      </w:pPr>
    </w:p>
    <w:p w14:paraId="42F8D1C5" w14:textId="0D018272" w:rsidR="00A022D9" w:rsidRPr="00DB7034" w:rsidRDefault="00A022D9" w:rsidP="00A022D9">
      <w:pPr>
        <w:autoSpaceDE w:val="0"/>
        <w:autoSpaceDN w:val="0"/>
        <w:adjustRightInd w:val="0"/>
        <w:jc w:val="both"/>
        <w:rPr>
          <w:rFonts w:ascii="Abadi" w:hAnsi="Abadi" w:cs="Amasis MT Pro Light"/>
          <w:sz w:val="21"/>
          <w:szCs w:val="21"/>
        </w:rPr>
      </w:pPr>
    </w:p>
    <w:p w14:paraId="5E944DE7" w14:textId="77777777" w:rsidR="00A022D9" w:rsidRDefault="00A022D9" w:rsidP="00A022D9">
      <w:pPr>
        <w:autoSpaceDE w:val="0"/>
        <w:autoSpaceDN w:val="0"/>
        <w:adjustRightInd w:val="0"/>
        <w:jc w:val="both"/>
        <w:rPr>
          <w:rFonts w:ascii="Abadi" w:hAnsi="Abadi" w:cs="Amasis MT Pro Light"/>
          <w:sz w:val="21"/>
          <w:szCs w:val="21"/>
        </w:rPr>
      </w:pPr>
      <w:r w:rsidRPr="00DB7034">
        <w:rPr>
          <w:rFonts w:ascii="Abadi" w:hAnsi="Abadi" w:cs="Amasis MT Pro Light"/>
          <w:sz w:val="21"/>
          <w:szCs w:val="21"/>
        </w:rPr>
        <w:t>Adicionalmente, existe una práctica a la que se le ha denominado nepotismo</w:t>
      </w:r>
      <w:r>
        <w:rPr>
          <w:rFonts w:ascii="Abadi" w:hAnsi="Abadi" w:cs="Amasis MT Pro Light"/>
          <w:sz w:val="21"/>
          <w:szCs w:val="21"/>
        </w:rPr>
        <w:t xml:space="preserve"> </w:t>
      </w:r>
      <w:r w:rsidRPr="00DB7034">
        <w:rPr>
          <w:rFonts w:ascii="Abadi" w:hAnsi="Abadi" w:cs="Amasis MT Pro Light"/>
          <w:sz w:val="21"/>
          <w:szCs w:val="21"/>
        </w:rPr>
        <w:t>cruzado, que consiste en el acuerdo entre dos o más funcionarios públicos para</w:t>
      </w:r>
      <w:r>
        <w:rPr>
          <w:rFonts w:ascii="Abadi" w:hAnsi="Abadi" w:cs="Amasis MT Pro Light"/>
          <w:sz w:val="21"/>
          <w:szCs w:val="21"/>
        </w:rPr>
        <w:t xml:space="preserve"> </w:t>
      </w:r>
      <w:r w:rsidRPr="00DB7034">
        <w:rPr>
          <w:rFonts w:ascii="Abadi" w:hAnsi="Abadi" w:cs="Amasis MT Pro Light"/>
          <w:sz w:val="21"/>
          <w:szCs w:val="21"/>
        </w:rPr>
        <w:t>emplear a los miembros de la familia de los otros como intercambio de favores.</w:t>
      </w:r>
      <w:r>
        <w:rPr>
          <w:rStyle w:val="Refdenotaalpie"/>
          <w:rFonts w:ascii="Abadi" w:hAnsi="Abadi" w:cs="Amasis MT Pro Light"/>
          <w:sz w:val="21"/>
          <w:szCs w:val="21"/>
        </w:rPr>
        <w:footnoteReference w:id="59"/>
      </w:r>
      <w:r>
        <w:rPr>
          <w:rFonts w:ascii="Abadi" w:hAnsi="Abadi" w:cs="Amasis MT Pro Light"/>
          <w:sz w:val="21"/>
          <w:szCs w:val="21"/>
        </w:rPr>
        <w:t xml:space="preserve"> </w:t>
      </w:r>
    </w:p>
    <w:p w14:paraId="7A7D80DD" w14:textId="77777777" w:rsidR="00A022D9" w:rsidRPr="00DB7034" w:rsidRDefault="00A022D9" w:rsidP="00A022D9">
      <w:pPr>
        <w:autoSpaceDE w:val="0"/>
        <w:autoSpaceDN w:val="0"/>
        <w:adjustRightInd w:val="0"/>
        <w:jc w:val="both"/>
        <w:rPr>
          <w:rFonts w:ascii="Abadi" w:hAnsi="Abadi" w:cs="Amasis MT Pro Light"/>
          <w:b/>
          <w:bCs/>
          <w:sz w:val="21"/>
          <w:szCs w:val="21"/>
        </w:rPr>
      </w:pPr>
    </w:p>
    <w:p w14:paraId="3BC59858" w14:textId="77777777" w:rsidR="00A022D9" w:rsidRPr="00DB7034" w:rsidRDefault="00A022D9" w:rsidP="00A022D9">
      <w:pPr>
        <w:autoSpaceDE w:val="0"/>
        <w:autoSpaceDN w:val="0"/>
        <w:adjustRightInd w:val="0"/>
        <w:jc w:val="both"/>
        <w:rPr>
          <w:rFonts w:ascii="Abadi" w:hAnsi="Abadi" w:cs="Amasis MT Pro Light"/>
          <w:b/>
          <w:bCs/>
          <w:sz w:val="21"/>
          <w:szCs w:val="21"/>
        </w:rPr>
      </w:pPr>
      <w:r w:rsidRPr="00DB7034">
        <w:rPr>
          <w:rFonts w:ascii="Abadi" w:hAnsi="Abadi" w:cs="Amasis MT Pro Light"/>
          <w:b/>
          <w:bCs/>
          <w:sz w:val="21"/>
          <w:szCs w:val="21"/>
        </w:rPr>
        <w:t xml:space="preserve">Reconocimiento legislativo del nepotismo </w:t>
      </w:r>
    </w:p>
    <w:p w14:paraId="26723DC3" w14:textId="77777777" w:rsidR="00A022D9" w:rsidRDefault="00A022D9" w:rsidP="00A022D9">
      <w:pPr>
        <w:autoSpaceDE w:val="0"/>
        <w:autoSpaceDN w:val="0"/>
        <w:adjustRightInd w:val="0"/>
        <w:jc w:val="both"/>
        <w:rPr>
          <w:rFonts w:ascii="Abadi" w:hAnsi="Abadi" w:cs="Amasis MT Pro Light"/>
          <w:sz w:val="21"/>
          <w:szCs w:val="21"/>
        </w:rPr>
      </w:pPr>
    </w:p>
    <w:p w14:paraId="07B83ADC" w14:textId="77777777" w:rsidR="00A022D9" w:rsidRPr="00DB7034" w:rsidRDefault="00A022D9" w:rsidP="00A022D9">
      <w:pPr>
        <w:autoSpaceDE w:val="0"/>
        <w:autoSpaceDN w:val="0"/>
        <w:adjustRightInd w:val="0"/>
        <w:jc w:val="both"/>
        <w:rPr>
          <w:rFonts w:ascii="Abadi" w:hAnsi="Abadi" w:cs="Amasis MT Pro Light"/>
          <w:sz w:val="21"/>
          <w:szCs w:val="21"/>
        </w:rPr>
      </w:pPr>
      <w:r w:rsidRPr="00DB7034">
        <w:rPr>
          <w:rFonts w:ascii="Abadi" w:hAnsi="Abadi" w:cs="Amasis MT Pro Light"/>
          <w:sz w:val="21"/>
          <w:szCs w:val="21"/>
        </w:rPr>
        <w:t>Si bien existían algunos precedentes de disposiciones contrarias a la práctica del</w:t>
      </w:r>
      <w:r>
        <w:rPr>
          <w:rFonts w:ascii="Abadi" w:hAnsi="Abadi" w:cs="Amasis MT Pro Light"/>
          <w:sz w:val="21"/>
          <w:szCs w:val="21"/>
        </w:rPr>
        <w:t xml:space="preserve"> </w:t>
      </w:r>
      <w:r w:rsidRPr="00DB7034">
        <w:rPr>
          <w:rFonts w:ascii="Abadi" w:hAnsi="Abadi" w:cs="Amasis MT Pro Light"/>
          <w:sz w:val="21"/>
          <w:szCs w:val="21"/>
        </w:rPr>
        <w:t>nepotismo, lo cierto es que dicha práctica no estaba definida en el marco jurídico</w:t>
      </w:r>
      <w:r>
        <w:rPr>
          <w:rFonts w:ascii="Abadi" w:hAnsi="Abadi" w:cs="Amasis MT Pro Light"/>
          <w:sz w:val="21"/>
          <w:szCs w:val="21"/>
        </w:rPr>
        <w:t xml:space="preserve"> </w:t>
      </w:r>
      <w:r w:rsidRPr="00DB7034">
        <w:rPr>
          <w:rFonts w:ascii="Abadi" w:hAnsi="Abadi" w:cs="Amasis MT Pro Light"/>
          <w:sz w:val="21"/>
          <w:szCs w:val="21"/>
        </w:rPr>
        <w:t>de responsabilidades de nuestro país, ni mucho menos reconocida de forma</w:t>
      </w:r>
      <w:r>
        <w:rPr>
          <w:rFonts w:ascii="Abadi" w:hAnsi="Abadi" w:cs="Amasis MT Pro Light"/>
          <w:sz w:val="21"/>
          <w:szCs w:val="21"/>
        </w:rPr>
        <w:t xml:space="preserve"> </w:t>
      </w:r>
      <w:r w:rsidRPr="00DB7034">
        <w:rPr>
          <w:rFonts w:ascii="Abadi" w:hAnsi="Abadi" w:cs="Amasis MT Pro Light"/>
          <w:sz w:val="21"/>
          <w:szCs w:val="21"/>
        </w:rPr>
        <w:t>directa como una falta administrativa grave.</w:t>
      </w:r>
    </w:p>
    <w:p w14:paraId="41B6B54E" w14:textId="77777777" w:rsidR="00A022D9" w:rsidRDefault="00A022D9" w:rsidP="00A022D9">
      <w:pPr>
        <w:autoSpaceDE w:val="0"/>
        <w:autoSpaceDN w:val="0"/>
        <w:adjustRightInd w:val="0"/>
        <w:jc w:val="both"/>
        <w:rPr>
          <w:rFonts w:ascii="Abadi" w:hAnsi="Abadi" w:cs="Amasis MT Pro Light"/>
          <w:sz w:val="21"/>
          <w:szCs w:val="21"/>
        </w:rPr>
      </w:pPr>
    </w:p>
    <w:p w14:paraId="195651B2" w14:textId="77777777" w:rsidR="00A022D9" w:rsidRDefault="00A022D9" w:rsidP="00A022D9">
      <w:pPr>
        <w:autoSpaceDE w:val="0"/>
        <w:autoSpaceDN w:val="0"/>
        <w:adjustRightInd w:val="0"/>
        <w:jc w:val="both"/>
        <w:rPr>
          <w:rFonts w:ascii="Abadi" w:hAnsi="Abadi" w:cs="Amasis MT Pro Light"/>
          <w:sz w:val="21"/>
          <w:szCs w:val="21"/>
        </w:rPr>
      </w:pPr>
      <w:r w:rsidRPr="00DB7034">
        <w:rPr>
          <w:rFonts w:ascii="Abadi" w:hAnsi="Abadi" w:cs="Amasis MT Pro Light"/>
          <w:sz w:val="21"/>
          <w:szCs w:val="21"/>
        </w:rPr>
        <w:t>Fue hasta el cierre de 2019 cuando se expidió la Ley Federal de Austeridad</w:t>
      </w:r>
      <w:r>
        <w:rPr>
          <w:rFonts w:ascii="Abadi" w:hAnsi="Abadi" w:cs="Amasis MT Pro Light"/>
          <w:sz w:val="21"/>
          <w:szCs w:val="21"/>
        </w:rPr>
        <w:t xml:space="preserve"> </w:t>
      </w:r>
      <w:r w:rsidRPr="00DB7034">
        <w:rPr>
          <w:rFonts w:ascii="Abadi" w:hAnsi="Abadi" w:cs="Amasis MT Pro Light"/>
          <w:sz w:val="21"/>
          <w:szCs w:val="21"/>
        </w:rPr>
        <w:t>Republicana, en la que se definió al nepotismo como</w:t>
      </w:r>
      <w:r>
        <w:rPr>
          <w:rFonts w:ascii="Abadi" w:hAnsi="Abadi" w:cs="Amasis MT Pro Light"/>
          <w:sz w:val="21"/>
          <w:szCs w:val="21"/>
        </w:rPr>
        <w:t xml:space="preserve"> </w:t>
      </w:r>
    </w:p>
    <w:p w14:paraId="1F88E3C5" w14:textId="77777777" w:rsidR="00A022D9" w:rsidRDefault="00A022D9" w:rsidP="00A022D9">
      <w:pPr>
        <w:autoSpaceDE w:val="0"/>
        <w:autoSpaceDN w:val="0"/>
        <w:adjustRightInd w:val="0"/>
        <w:jc w:val="both"/>
        <w:rPr>
          <w:rFonts w:ascii="Abadi" w:hAnsi="Abadi" w:cs="Amasis MT Pro Light"/>
          <w:sz w:val="21"/>
          <w:szCs w:val="21"/>
        </w:rPr>
      </w:pPr>
    </w:p>
    <w:p w14:paraId="6196C8B1" w14:textId="77777777" w:rsidR="00A022D9" w:rsidRPr="00DB7034" w:rsidRDefault="00A022D9" w:rsidP="00A022D9">
      <w:pPr>
        <w:autoSpaceDE w:val="0"/>
        <w:autoSpaceDN w:val="0"/>
        <w:adjustRightInd w:val="0"/>
        <w:jc w:val="both"/>
        <w:rPr>
          <w:rFonts w:ascii="Abadi" w:hAnsi="Abadi" w:cs="Amasis MT Pro Light"/>
          <w:sz w:val="21"/>
          <w:szCs w:val="21"/>
        </w:rPr>
      </w:pPr>
      <w:r>
        <w:rPr>
          <w:rFonts w:ascii="Abadi" w:hAnsi="Abadi" w:cs="Amasis MT Pro Light"/>
          <w:sz w:val="21"/>
          <w:szCs w:val="21"/>
        </w:rPr>
        <w:tab/>
      </w:r>
      <w:r w:rsidRPr="00DB7034">
        <w:rPr>
          <w:rFonts w:ascii="Abadi" w:hAnsi="Abadi" w:cs="Amasis MT Pro Light"/>
          <w:sz w:val="21"/>
          <w:szCs w:val="21"/>
        </w:rPr>
        <w:t>La designación, otorgamiento de nombramiento o contratación que realice un</w:t>
      </w:r>
      <w:r>
        <w:rPr>
          <w:rFonts w:ascii="Abadi" w:hAnsi="Abadi" w:cs="Amasis MT Pro Light"/>
          <w:sz w:val="21"/>
          <w:szCs w:val="21"/>
        </w:rPr>
        <w:t xml:space="preserve"> </w:t>
      </w:r>
      <w:r w:rsidRPr="00DB7034">
        <w:rPr>
          <w:rFonts w:ascii="Abadi" w:hAnsi="Abadi" w:cs="Amasis MT Pro Light"/>
          <w:sz w:val="21"/>
          <w:szCs w:val="21"/>
        </w:rPr>
        <w:t xml:space="preserve">servidor </w:t>
      </w:r>
      <w:r>
        <w:rPr>
          <w:rFonts w:ascii="Abadi" w:hAnsi="Abadi" w:cs="Amasis MT Pro Light"/>
          <w:sz w:val="21"/>
          <w:szCs w:val="21"/>
        </w:rPr>
        <w:tab/>
      </w:r>
      <w:r w:rsidRPr="00DB7034">
        <w:rPr>
          <w:rFonts w:ascii="Abadi" w:hAnsi="Abadi" w:cs="Amasis MT Pro Light"/>
          <w:sz w:val="21"/>
          <w:szCs w:val="21"/>
        </w:rPr>
        <w:t>público de personas con las que tenga lazos de parentesco por</w:t>
      </w:r>
      <w:r>
        <w:rPr>
          <w:rFonts w:ascii="Abadi" w:hAnsi="Abadi" w:cs="Amasis MT Pro Light"/>
          <w:sz w:val="21"/>
          <w:szCs w:val="21"/>
        </w:rPr>
        <w:t xml:space="preserve"> </w:t>
      </w:r>
      <w:r w:rsidRPr="00DB7034">
        <w:rPr>
          <w:rFonts w:ascii="Abadi" w:hAnsi="Abadi" w:cs="Amasis MT Pro Light"/>
          <w:sz w:val="21"/>
          <w:szCs w:val="21"/>
        </w:rPr>
        <w:t xml:space="preserve">consanguinidad hasta el </w:t>
      </w:r>
      <w:r>
        <w:rPr>
          <w:rFonts w:ascii="Abadi" w:hAnsi="Abadi" w:cs="Amasis MT Pro Light"/>
          <w:sz w:val="21"/>
          <w:szCs w:val="21"/>
        </w:rPr>
        <w:tab/>
      </w:r>
      <w:r w:rsidRPr="00DB7034">
        <w:rPr>
          <w:rFonts w:ascii="Abadi" w:hAnsi="Abadi" w:cs="Amasis MT Pro Light"/>
          <w:sz w:val="21"/>
          <w:szCs w:val="21"/>
        </w:rPr>
        <w:t>cuarto grado, de afinidad hasta el segundo grado, o</w:t>
      </w:r>
      <w:r>
        <w:rPr>
          <w:rFonts w:ascii="Abadi" w:hAnsi="Abadi" w:cs="Amasis MT Pro Light"/>
          <w:sz w:val="21"/>
          <w:szCs w:val="21"/>
        </w:rPr>
        <w:t xml:space="preserve"> </w:t>
      </w:r>
      <w:r w:rsidRPr="00DB7034">
        <w:rPr>
          <w:rFonts w:ascii="Abadi" w:hAnsi="Abadi" w:cs="Amasis MT Pro Light"/>
          <w:sz w:val="21"/>
          <w:szCs w:val="21"/>
        </w:rPr>
        <w:t xml:space="preserve">vínculo de matrimonio o concubinato </w:t>
      </w:r>
      <w:r>
        <w:rPr>
          <w:rFonts w:ascii="Abadi" w:hAnsi="Abadi" w:cs="Amasis MT Pro Light"/>
          <w:sz w:val="21"/>
          <w:szCs w:val="21"/>
        </w:rPr>
        <w:tab/>
      </w:r>
      <w:r w:rsidRPr="00DB7034">
        <w:rPr>
          <w:rFonts w:ascii="Abadi" w:hAnsi="Abadi" w:cs="Amasis MT Pro Light"/>
          <w:sz w:val="21"/>
          <w:szCs w:val="21"/>
        </w:rPr>
        <w:t>para que preste sus servicios en la misma</w:t>
      </w:r>
      <w:r>
        <w:rPr>
          <w:rFonts w:ascii="Abadi" w:hAnsi="Abadi" w:cs="Amasis MT Pro Light"/>
          <w:sz w:val="21"/>
          <w:szCs w:val="21"/>
        </w:rPr>
        <w:t xml:space="preserve"> </w:t>
      </w:r>
      <w:r w:rsidRPr="00DB7034">
        <w:rPr>
          <w:rFonts w:ascii="Abadi" w:hAnsi="Abadi" w:cs="Amasis MT Pro Light"/>
          <w:sz w:val="21"/>
          <w:szCs w:val="21"/>
        </w:rPr>
        <w:t xml:space="preserve">institución, dependencia o ente público en que </w:t>
      </w:r>
      <w:r>
        <w:rPr>
          <w:rFonts w:ascii="Abadi" w:hAnsi="Abadi" w:cs="Amasis MT Pro Light"/>
          <w:sz w:val="21"/>
          <w:szCs w:val="21"/>
        </w:rPr>
        <w:tab/>
      </w:r>
      <w:r w:rsidRPr="00DB7034">
        <w:rPr>
          <w:rFonts w:ascii="Abadi" w:hAnsi="Abadi" w:cs="Amasis MT Pro Light"/>
          <w:sz w:val="21"/>
          <w:szCs w:val="21"/>
        </w:rPr>
        <w:t>éste labore</w:t>
      </w:r>
      <w:r>
        <w:rPr>
          <w:rStyle w:val="Refdenotaalpie"/>
          <w:rFonts w:ascii="Abadi" w:hAnsi="Abadi" w:cs="Amasis MT Pro Light"/>
          <w:sz w:val="21"/>
          <w:szCs w:val="21"/>
        </w:rPr>
        <w:footnoteReference w:id="60"/>
      </w:r>
      <w:r w:rsidRPr="00DB7034">
        <w:rPr>
          <w:rFonts w:ascii="Abadi" w:hAnsi="Abadi" w:cs="Amasis MT Pro Light"/>
          <w:sz w:val="21"/>
          <w:szCs w:val="21"/>
        </w:rPr>
        <w:t>.</w:t>
      </w:r>
    </w:p>
    <w:p w14:paraId="709E1D1E" w14:textId="77777777" w:rsidR="00A022D9" w:rsidRDefault="00A022D9" w:rsidP="00A022D9">
      <w:pPr>
        <w:autoSpaceDE w:val="0"/>
        <w:autoSpaceDN w:val="0"/>
        <w:adjustRightInd w:val="0"/>
        <w:jc w:val="both"/>
        <w:rPr>
          <w:rFonts w:ascii="Abadi" w:hAnsi="Abadi" w:cs="Amasis MT Pro Light"/>
          <w:sz w:val="21"/>
          <w:szCs w:val="21"/>
        </w:rPr>
      </w:pPr>
    </w:p>
    <w:p w14:paraId="7CCFFA89" w14:textId="2714E6F9" w:rsidR="00A022D9" w:rsidRPr="00DB7034" w:rsidRDefault="000A21C2" w:rsidP="00A022D9">
      <w:pPr>
        <w:autoSpaceDE w:val="0"/>
        <w:autoSpaceDN w:val="0"/>
        <w:adjustRightInd w:val="0"/>
        <w:jc w:val="both"/>
        <w:rPr>
          <w:rFonts w:ascii="Abadi" w:hAnsi="Abadi" w:cs="Amasis MT Pro Light"/>
          <w:sz w:val="21"/>
          <w:szCs w:val="21"/>
        </w:rPr>
      </w:pPr>
      <w:r w:rsidRPr="00DB7034">
        <w:rPr>
          <w:rFonts w:ascii="Abadi" w:hAnsi="Abadi" w:cs="Amasis MT Pro Light"/>
          <w:noProof/>
          <w:sz w:val="21"/>
          <w:szCs w:val="21"/>
        </w:rPr>
        <w:drawing>
          <wp:anchor distT="0" distB="0" distL="114300" distR="114300" simplePos="0" relativeHeight="251661312" behindDoc="0" locked="0" layoutInCell="1" allowOverlap="1" wp14:anchorId="5404B415" wp14:editId="76A1A71C">
            <wp:simplePos x="0" y="0"/>
            <wp:positionH relativeFrom="column">
              <wp:posOffset>17253</wp:posOffset>
            </wp:positionH>
            <wp:positionV relativeFrom="paragraph">
              <wp:posOffset>1301954</wp:posOffset>
            </wp:positionV>
            <wp:extent cx="2538095" cy="1663065"/>
            <wp:effectExtent l="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38095" cy="1663065"/>
                    </a:xfrm>
                    <a:prstGeom prst="rect">
                      <a:avLst/>
                    </a:prstGeom>
                    <a:noFill/>
                    <a:ln>
                      <a:noFill/>
                    </a:ln>
                  </pic:spPr>
                </pic:pic>
              </a:graphicData>
            </a:graphic>
          </wp:anchor>
        </w:drawing>
      </w:r>
      <w:r w:rsidR="00A022D9" w:rsidRPr="00DB7034">
        <w:rPr>
          <w:rFonts w:ascii="Abadi" w:hAnsi="Abadi" w:cs="Amasis MT Pro Light"/>
          <w:sz w:val="21"/>
          <w:szCs w:val="21"/>
        </w:rPr>
        <w:t>Al mismo tiempo, se publicó la reforma a la Ley General de Responsabilidades</w:t>
      </w:r>
      <w:r w:rsidR="00A022D9">
        <w:rPr>
          <w:rFonts w:ascii="Abadi" w:hAnsi="Abadi" w:cs="Amasis MT Pro Light"/>
          <w:sz w:val="21"/>
          <w:szCs w:val="21"/>
        </w:rPr>
        <w:t xml:space="preserve"> </w:t>
      </w:r>
      <w:r w:rsidR="00A022D9" w:rsidRPr="00DB7034">
        <w:rPr>
          <w:rFonts w:ascii="Abadi" w:hAnsi="Abadi" w:cs="Amasis MT Pro Light"/>
          <w:sz w:val="21"/>
          <w:szCs w:val="21"/>
        </w:rPr>
        <w:t>Administrativas mediante la cual, entre otras cosas, se adicionó un artículo para</w:t>
      </w:r>
      <w:r w:rsidR="00A022D9">
        <w:rPr>
          <w:rFonts w:ascii="Abadi" w:hAnsi="Abadi" w:cs="Amasis MT Pro Light"/>
          <w:sz w:val="21"/>
          <w:szCs w:val="21"/>
        </w:rPr>
        <w:t xml:space="preserve"> </w:t>
      </w:r>
      <w:r w:rsidR="00A022D9" w:rsidRPr="00DB7034">
        <w:rPr>
          <w:rFonts w:ascii="Abadi" w:hAnsi="Abadi" w:cs="Amasis MT Pro Light"/>
          <w:sz w:val="21"/>
          <w:szCs w:val="21"/>
        </w:rPr>
        <w:t>reconocer el nepotismo como una falta administrativa grave de los servidores</w:t>
      </w:r>
      <w:r w:rsidR="00A022D9">
        <w:rPr>
          <w:rFonts w:ascii="Abadi" w:hAnsi="Abadi" w:cs="Amasis MT Pro Light"/>
          <w:sz w:val="21"/>
          <w:szCs w:val="21"/>
        </w:rPr>
        <w:t xml:space="preserve"> </w:t>
      </w:r>
      <w:r w:rsidR="00A022D9" w:rsidRPr="00DB7034">
        <w:rPr>
          <w:rFonts w:ascii="Abadi" w:hAnsi="Abadi" w:cs="Amasis MT Pro Light"/>
          <w:sz w:val="21"/>
          <w:szCs w:val="21"/>
        </w:rPr>
        <w:t>públicos, con lo cual deben abstenerse de realizarlas mediante cualquier acto u</w:t>
      </w:r>
      <w:r w:rsidR="00A022D9">
        <w:rPr>
          <w:rFonts w:ascii="Abadi" w:hAnsi="Abadi" w:cs="Amasis MT Pro Light"/>
          <w:sz w:val="21"/>
          <w:szCs w:val="21"/>
        </w:rPr>
        <w:t xml:space="preserve"> </w:t>
      </w:r>
      <w:r w:rsidR="00A022D9" w:rsidRPr="00DB7034">
        <w:rPr>
          <w:rFonts w:ascii="Abadi" w:hAnsi="Abadi" w:cs="Amasis MT Pro Light"/>
          <w:sz w:val="21"/>
          <w:szCs w:val="21"/>
        </w:rPr>
        <w:t>omisión.</w:t>
      </w:r>
    </w:p>
    <w:p w14:paraId="51CB56AD" w14:textId="0485A9B9" w:rsidR="00A022D9" w:rsidRDefault="00A022D9" w:rsidP="00A022D9">
      <w:pPr>
        <w:autoSpaceDE w:val="0"/>
        <w:autoSpaceDN w:val="0"/>
        <w:adjustRightInd w:val="0"/>
        <w:jc w:val="both"/>
        <w:rPr>
          <w:rFonts w:ascii="Abadi" w:hAnsi="Abadi" w:cs="Amasis MT Pro Light"/>
          <w:sz w:val="21"/>
          <w:szCs w:val="21"/>
        </w:rPr>
      </w:pPr>
    </w:p>
    <w:p w14:paraId="00C8FCE6" w14:textId="48A618DE" w:rsidR="00A022D9" w:rsidRPr="00DB7034" w:rsidRDefault="00A022D9" w:rsidP="00A022D9">
      <w:pPr>
        <w:autoSpaceDE w:val="0"/>
        <w:autoSpaceDN w:val="0"/>
        <w:adjustRightInd w:val="0"/>
        <w:jc w:val="both"/>
        <w:rPr>
          <w:rFonts w:ascii="Abadi" w:hAnsi="Abadi" w:cs="Amasis MT Pro Light"/>
          <w:sz w:val="21"/>
          <w:szCs w:val="21"/>
        </w:rPr>
      </w:pPr>
      <w:r w:rsidRPr="00DB7034">
        <w:rPr>
          <w:rFonts w:ascii="Abadi" w:hAnsi="Abadi" w:cs="Amasis MT Pro Light"/>
          <w:sz w:val="21"/>
          <w:szCs w:val="21"/>
        </w:rPr>
        <w:t>A nivel subnacional, pueden referirse ejemplos como el relativo al estado de</w:t>
      </w:r>
      <w:r>
        <w:rPr>
          <w:rFonts w:ascii="Abadi" w:hAnsi="Abadi" w:cs="Amasis MT Pro Light"/>
          <w:sz w:val="21"/>
          <w:szCs w:val="21"/>
        </w:rPr>
        <w:t xml:space="preserve"> </w:t>
      </w:r>
      <w:r w:rsidRPr="00DB7034">
        <w:rPr>
          <w:rFonts w:ascii="Abadi" w:hAnsi="Abadi" w:cs="Amasis MT Pro Light"/>
          <w:sz w:val="21"/>
          <w:szCs w:val="21"/>
        </w:rPr>
        <w:t xml:space="preserve">Hidalgo, en donde su Ley de Responsabilidades </w:t>
      </w:r>
      <w:r w:rsidRPr="00DB7034">
        <w:rPr>
          <w:rFonts w:ascii="Abadi" w:hAnsi="Abadi" w:cs="Amasis MT Pro Light"/>
          <w:sz w:val="21"/>
          <w:szCs w:val="21"/>
        </w:rPr>
        <w:lastRenderedPageBreak/>
        <w:t>Administrativas</w:t>
      </w:r>
      <w:r>
        <w:rPr>
          <w:rStyle w:val="Refdenotaalpie"/>
          <w:rFonts w:ascii="Abadi" w:hAnsi="Abadi" w:cs="Amasis MT Pro Light"/>
          <w:sz w:val="21"/>
          <w:szCs w:val="21"/>
        </w:rPr>
        <w:footnoteReference w:id="61"/>
      </w:r>
      <w:r w:rsidRPr="00DB7034">
        <w:rPr>
          <w:rFonts w:ascii="Abadi" w:hAnsi="Abadi" w:cs="Amasis MT Pro Light"/>
          <w:sz w:val="21"/>
          <w:szCs w:val="21"/>
        </w:rPr>
        <w:t xml:space="preserve"> reconoce el</w:t>
      </w:r>
      <w:r>
        <w:rPr>
          <w:rFonts w:ascii="Abadi" w:hAnsi="Abadi" w:cs="Amasis MT Pro Light"/>
          <w:sz w:val="21"/>
          <w:szCs w:val="21"/>
        </w:rPr>
        <w:t xml:space="preserve"> </w:t>
      </w:r>
      <w:r w:rsidRPr="00DB7034">
        <w:rPr>
          <w:rFonts w:ascii="Abadi" w:hAnsi="Abadi" w:cs="Amasis MT Pro Light"/>
          <w:sz w:val="21"/>
          <w:szCs w:val="21"/>
        </w:rPr>
        <w:t>nepotismo como falta administrativa grave. De igual forma, otras entidades como</w:t>
      </w:r>
      <w:r>
        <w:rPr>
          <w:rFonts w:ascii="Abadi" w:hAnsi="Abadi" w:cs="Amasis MT Pro Light"/>
          <w:sz w:val="21"/>
          <w:szCs w:val="21"/>
        </w:rPr>
        <w:t xml:space="preserve"> </w:t>
      </w:r>
      <w:r w:rsidRPr="00DB7034">
        <w:rPr>
          <w:rFonts w:ascii="Abadi" w:hAnsi="Abadi" w:cs="Amasis MT Pro Light"/>
          <w:sz w:val="21"/>
          <w:szCs w:val="21"/>
        </w:rPr>
        <w:t>Morelos o Jalisco incorporan el nepotismo como falta administrativa grave</w:t>
      </w:r>
      <w:r>
        <w:rPr>
          <w:rFonts w:ascii="Abadi" w:hAnsi="Abadi" w:cs="Amasis MT Pro Light"/>
          <w:sz w:val="21"/>
          <w:szCs w:val="21"/>
        </w:rPr>
        <w:t xml:space="preserve"> </w:t>
      </w:r>
      <w:r w:rsidRPr="00DB7034">
        <w:rPr>
          <w:rFonts w:ascii="Abadi" w:hAnsi="Abadi" w:cs="Amasis MT Pro Light"/>
          <w:sz w:val="21"/>
          <w:szCs w:val="21"/>
        </w:rPr>
        <w:t>refiriendo dentro de su ordenamiento local el reconocimiento de las faltas</w:t>
      </w:r>
      <w:r>
        <w:rPr>
          <w:rFonts w:ascii="Abadi" w:hAnsi="Abadi" w:cs="Amasis MT Pro Light"/>
          <w:sz w:val="21"/>
          <w:szCs w:val="21"/>
        </w:rPr>
        <w:t xml:space="preserve"> </w:t>
      </w:r>
      <w:r w:rsidRPr="00DB7034">
        <w:rPr>
          <w:rFonts w:ascii="Abadi" w:hAnsi="Abadi" w:cs="Amasis MT Pro Light"/>
          <w:sz w:val="21"/>
          <w:szCs w:val="21"/>
        </w:rPr>
        <w:t>administrativas graves mediante la referencia directa a la Ley General de</w:t>
      </w:r>
      <w:r>
        <w:rPr>
          <w:rFonts w:ascii="Abadi" w:hAnsi="Abadi" w:cs="Amasis MT Pro Light"/>
          <w:sz w:val="21"/>
          <w:szCs w:val="21"/>
        </w:rPr>
        <w:t xml:space="preserve"> </w:t>
      </w:r>
      <w:r w:rsidRPr="00DB7034">
        <w:rPr>
          <w:rFonts w:ascii="Abadi" w:hAnsi="Abadi" w:cs="Amasis MT Pro Light"/>
          <w:sz w:val="21"/>
          <w:szCs w:val="21"/>
        </w:rPr>
        <w:t>Responsabilidades Administrativas.</w:t>
      </w:r>
    </w:p>
    <w:p w14:paraId="399AB30F" w14:textId="77777777" w:rsidR="00A022D9" w:rsidRDefault="00A022D9" w:rsidP="00A022D9">
      <w:pPr>
        <w:jc w:val="both"/>
        <w:rPr>
          <w:rFonts w:ascii="Abadi" w:hAnsi="Abadi" w:cs="Amasis MT Pro Light"/>
          <w:sz w:val="21"/>
          <w:szCs w:val="21"/>
        </w:rPr>
      </w:pPr>
    </w:p>
    <w:p w14:paraId="7ED4266E" w14:textId="77777777" w:rsidR="00A022D9" w:rsidRPr="00DB7034" w:rsidRDefault="00A022D9" w:rsidP="00A022D9">
      <w:pPr>
        <w:jc w:val="both"/>
        <w:rPr>
          <w:rFonts w:ascii="Abadi" w:hAnsi="Abadi" w:cs="Amasis MT Pro Light"/>
          <w:b/>
          <w:bCs/>
          <w:sz w:val="21"/>
          <w:szCs w:val="21"/>
        </w:rPr>
      </w:pPr>
      <w:r w:rsidRPr="00DB7034">
        <w:rPr>
          <w:rFonts w:ascii="Abadi" w:hAnsi="Abadi" w:cs="Amasis MT Pro Light"/>
          <w:b/>
          <w:bCs/>
          <w:sz w:val="21"/>
          <w:szCs w:val="21"/>
        </w:rPr>
        <w:t>Problema público</w:t>
      </w:r>
    </w:p>
    <w:p w14:paraId="2BD3496A" w14:textId="77777777" w:rsidR="00A022D9" w:rsidRPr="00DB7034" w:rsidRDefault="00A022D9" w:rsidP="00A022D9">
      <w:pPr>
        <w:autoSpaceDE w:val="0"/>
        <w:autoSpaceDN w:val="0"/>
        <w:adjustRightInd w:val="0"/>
        <w:jc w:val="both"/>
        <w:rPr>
          <w:rFonts w:ascii="Abadi" w:hAnsi="Abadi" w:cs="Amasis MT Pro Light"/>
          <w:sz w:val="21"/>
          <w:szCs w:val="21"/>
        </w:rPr>
      </w:pPr>
      <w:r w:rsidRPr="00DB7034">
        <w:rPr>
          <w:rFonts w:ascii="Abadi" w:hAnsi="Abadi" w:cs="Amasis MT Pro Light"/>
          <w:sz w:val="21"/>
          <w:szCs w:val="21"/>
        </w:rPr>
        <w:t>El nepotismo es un problema que se enquistó durante décadas en todas las</w:t>
      </w:r>
      <w:r>
        <w:rPr>
          <w:rFonts w:ascii="Abadi" w:hAnsi="Abadi" w:cs="Amasis MT Pro Light"/>
          <w:sz w:val="21"/>
          <w:szCs w:val="21"/>
        </w:rPr>
        <w:t xml:space="preserve"> </w:t>
      </w:r>
      <w:r w:rsidRPr="00DB7034">
        <w:rPr>
          <w:rFonts w:ascii="Abadi" w:hAnsi="Abadi" w:cs="Amasis MT Pro Light"/>
          <w:sz w:val="21"/>
          <w:szCs w:val="21"/>
        </w:rPr>
        <w:t>instituciones del Estado, en los tres niveles de gobierno, por lo cual esta práctica</w:t>
      </w:r>
      <w:r>
        <w:rPr>
          <w:rFonts w:ascii="Abadi" w:hAnsi="Abadi" w:cs="Amasis MT Pro Light"/>
          <w:sz w:val="21"/>
          <w:szCs w:val="21"/>
        </w:rPr>
        <w:t xml:space="preserve"> </w:t>
      </w:r>
      <w:r w:rsidRPr="00DB7034">
        <w:rPr>
          <w:rFonts w:ascii="Abadi" w:hAnsi="Abadi" w:cs="Amasis MT Pro Light"/>
          <w:sz w:val="21"/>
          <w:szCs w:val="21"/>
        </w:rPr>
        <w:t>ha sido documentada sistemáticamente.</w:t>
      </w:r>
    </w:p>
    <w:p w14:paraId="63B4404C" w14:textId="77777777" w:rsidR="00A022D9" w:rsidRDefault="00A022D9" w:rsidP="00A022D9">
      <w:pPr>
        <w:autoSpaceDE w:val="0"/>
        <w:autoSpaceDN w:val="0"/>
        <w:adjustRightInd w:val="0"/>
        <w:jc w:val="both"/>
        <w:rPr>
          <w:rFonts w:ascii="Abadi" w:hAnsi="Abadi" w:cs="Amasis MT Pro Light"/>
          <w:sz w:val="21"/>
          <w:szCs w:val="21"/>
        </w:rPr>
      </w:pPr>
    </w:p>
    <w:p w14:paraId="151386D1" w14:textId="77777777" w:rsidR="00A022D9" w:rsidRPr="00DB7034" w:rsidRDefault="00A022D9" w:rsidP="00A022D9">
      <w:pPr>
        <w:autoSpaceDE w:val="0"/>
        <w:autoSpaceDN w:val="0"/>
        <w:adjustRightInd w:val="0"/>
        <w:jc w:val="both"/>
        <w:rPr>
          <w:rFonts w:ascii="Abadi" w:hAnsi="Abadi" w:cs="Amasis MT Pro Light"/>
          <w:sz w:val="21"/>
          <w:szCs w:val="21"/>
        </w:rPr>
      </w:pPr>
      <w:r w:rsidRPr="00DB7034">
        <w:rPr>
          <w:rFonts w:ascii="Abadi" w:hAnsi="Abadi" w:cs="Amasis MT Pro Light"/>
          <w:sz w:val="21"/>
          <w:szCs w:val="21"/>
        </w:rPr>
        <w:t>Uno de los casos más recientes se dio en 2018 en el Poder Judicial de la</w:t>
      </w:r>
      <w:r>
        <w:rPr>
          <w:rFonts w:ascii="Abadi" w:hAnsi="Abadi" w:cs="Amasis MT Pro Light"/>
          <w:sz w:val="21"/>
          <w:szCs w:val="21"/>
        </w:rPr>
        <w:t xml:space="preserve"> </w:t>
      </w:r>
      <w:r w:rsidRPr="00DB7034">
        <w:rPr>
          <w:rFonts w:ascii="Abadi" w:hAnsi="Abadi" w:cs="Amasis MT Pro Light"/>
          <w:sz w:val="21"/>
          <w:szCs w:val="21"/>
        </w:rPr>
        <w:t>Federación, cuando se evidenció que el 51% de los de los jueces y magistrados</w:t>
      </w:r>
      <w:r>
        <w:rPr>
          <w:rFonts w:ascii="Abadi" w:hAnsi="Abadi" w:cs="Amasis MT Pro Light"/>
          <w:sz w:val="21"/>
          <w:szCs w:val="21"/>
        </w:rPr>
        <w:t xml:space="preserve"> </w:t>
      </w:r>
      <w:r w:rsidRPr="00DB7034">
        <w:rPr>
          <w:rFonts w:ascii="Abadi" w:hAnsi="Abadi" w:cs="Amasis MT Pro Light"/>
          <w:sz w:val="21"/>
          <w:szCs w:val="21"/>
        </w:rPr>
        <w:t>tenía al menos a un familiar laborando en su propio circuito, de los cuales 68%</w:t>
      </w:r>
      <w:r>
        <w:rPr>
          <w:rFonts w:ascii="Abadi" w:hAnsi="Abadi" w:cs="Amasis MT Pro Light"/>
          <w:sz w:val="21"/>
          <w:szCs w:val="21"/>
        </w:rPr>
        <w:t xml:space="preserve"> </w:t>
      </w:r>
      <w:r w:rsidRPr="00DB7034">
        <w:rPr>
          <w:rFonts w:ascii="Abadi" w:hAnsi="Abadi" w:cs="Amasis MT Pro Light"/>
          <w:sz w:val="21"/>
          <w:szCs w:val="21"/>
        </w:rPr>
        <w:t>eran familiares por consanguinidad y 32% por afinidad</w:t>
      </w:r>
      <w:r>
        <w:rPr>
          <w:rStyle w:val="Refdenotaalpie"/>
          <w:rFonts w:ascii="Abadi" w:hAnsi="Abadi" w:cs="Amasis MT Pro Light"/>
          <w:sz w:val="21"/>
          <w:szCs w:val="21"/>
        </w:rPr>
        <w:footnoteReference w:id="62"/>
      </w:r>
      <w:r w:rsidRPr="00DB7034">
        <w:rPr>
          <w:rFonts w:ascii="Abadi" w:hAnsi="Abadi" w:cs="Amasis MT Pro Light"/>
          <w:sz w:val="21"/>
          <w:szCs w:val="21"/>
        </w:rPr>
        <w:t>. En el mismo sentido, se</w:t>
      </w:r>
      <w:r>
        <w:rPr>
          <w:rFonts w:ascii="Abadi" w:hAnsi="Abadi" w:cs="Amasis MT Pro Light"/>
          <w:sz w:val="21"/>
          <w:szCs w:val="21"/>
        </w:rPr>
        <w:t xml:space="preserve"> </w:t>
      </w:r>
      <w:r w:rsidRPr="00DB7034">
        <w:rPr>
          <w:rFonts w:ascii="Abadi" w:hAnsi="Abadi" w:cs="Amasis MT Pro Light"/>
          <w:sz w:val="21"/>
          <w:szCs w:val="21"/>
        </w:rPr>
        <w:t>documentó cómo un magistrado del XXV Circuito, correspondiente a Durango,</w:t>
      </w:r>
      <w:r>
        <w:rPr>
          <w:rFonts w:ascii="Abadi" w:hAnsi="Abadi" w:cs="Amasis MT Pro Light"/>
          <w:sz w:val="21"/>
          <w:szCs w:val="21"/>
        </w:rPr>
        <w:t xml:space="preserve"> </w:t>
      </w:r>
      <w:r w:rsidRPr="00DB7034">
        <w:rPr>
          <w:rFonts w:ascii="Abadi" w:hAnsi="Abadi" w:cs="Amasis MT Pro Light"/>
          <w:sz w:val="21"/>
          <w:szCs w:val="21"/>
        </w:rPr>
        <w:t>integró una red de 17 familiares en diversos puestos</w:t>
      </w:r>
      <w:r>
        <w:rPr>
          <w:rStyle w:val="Refdenotaalpie"/>
          <w:rFonts w:ascii="Abadi" w:hAnsi="Abadi" w:cs="Amasis MT Pro Light"/>
          <w:sz w:val="21"/>
          <w:szCs w:val="21"/>
        </w:rPr>
        <w:footnoteReference w:id="63"/>
      </w:r>
      <w:r w:rsidRPr="00DB7034">
        <w:rPr>
          <w:rFonts w:ascii="Abadi" w:hAnsi="Abadi" w:cs="Amasis MT Pro Light"/>
          <w:sz w:val="21"/>
          <w:szCs w:val="21"/>
        </w:rPr>
        <w:t>.</w:t>
      </w:r>
    </w:p>
    <w:p w14:paraId="2927C649" w14:textId="77777777" w:rsidR="00A022D9" w:rsidRDefault="00A022D9" w:rsidP="00A022D9">
      <w:pPr>
        <w:autoSpaceDE w:val="0"/>
        <w:autoSpaceDN w:val="0"/>
        <w:adjustRightInd w:val="0"/>
        <w:jc w:val="both"/>
        <w:rPr>
          <w:rFonts w:ascii="Abadi" w:hAnsi="Abadi" w:cs="Amasis MT Pro Light"/>
          <w:sz w:val="21"/>
          <w:szCs w:val="21"/>
        </w:rPr>
      </w:pPr>
    </w:p>
    <w:p w14:paraId="75EEA77F" w14:textId="77777777" w:rsidR="00A022D9" w:rsidRPr="00DB7034" w:rsidRDefault="00A022D9" w:rsidP="00A022D9">
      <w:pPr>
        <w:autoSpaceDE w:val="0"/>
        <w:autoSpaceDN w:val="0"/>
        <w:adjustRightInd w:val="0"/>
        <w:jc w:val="both"/>
        <w:rPr>
          <w:rFonts w:ascii="Abadi" w:hAnsi="Abadi" w:cs="Amasis MT Pro Light"/>
          <w:sz w:val="21"/>
          <w:szCs w:val="21"/>
        </w:rPr>
      </w:pPr>
      <w:r w:rsidRPr="00DB7034">
        <w:rPr>
          <w:rFonts w:ascii="Abadi" w:hAnsi="Abadi" w:cs="Amasis MT Pro Light"/>
          <w:sz w:val="21"/>
          <w:szCs w:val="21"/>
        </w:rPr>
        <w:t>En el estado de Guanajuato, el nepotismo no es una práctica ausente de las</w:t>
      </w:r>
      <w:r>
        <w:rPr>
          <w:rFonts w:ascii="Abadi" w:hAnsi="Abadi" w:cs="Amasis MT Pro Light"/>
          <w:sz w:val="21"/>
          <w:szCs w:val="21"/>
        </w:rPr>
        <w:t xml:space="preserve"> </w:t>
      </w:r>
      <w:r w:rsidRPr="00DB7034">
        <w:rPr>
          <w:rFonts w:ascii="Abadi" w:hAnsi="Abadi" w:cs="Amasis MT Pro Light"/>
          <w:sz w:val="21"/>
          <w:szCs w:val="21"/>
        </w:rPr>
        <w:t>estructuras administrativas ni de los Poderes Ejecutivo, Legislativo y Judicial, ni de</w:t>
      </w:r>
      <w:r>
        <w:rPr>
          <w:rFonts w:ascii="Abadi" w:hAnsi="Abadi" w:cs="Amasis MT Pro Light"/>
          <w:sz w:val="21"/>
          <w:szCs w:val="21"/>
        </w:rPr>
        <w:t xml:space="preserve"> </w:t>
      </w:r>
      <w:r w:rsidRPr="00DB7034">
        <w:rPr>
          <w:rFonts w:ascii="Abadi" w:hAnsi="Abadi" w:cs="Amasis MT Pro Light"/>
          <w:sz w:val="21"/>
          <w:szCs w:val="21"/>
        </w:rPr>
        <w:t>los organismos autónomos.</w:t>
      </w:r>
    </w:p>
    <w:p w14:paraId="5F9CB031" w14:textId="77777777" w:rsidR="00A022D9" w:rsidRDefault="00A022D9" w:rsidP="00A022D9">
      <w:pPr>
        <w:autoSpaceDE w:val="0"/>
        <w:autoSpaceDN w:val="0"/>
        <w:adjustRightInd w:val="0"/>
        <w:jc w:val="both"/>
        <w:rPr>
          <w:rFonts w:ascii="Abadi" w:hAnsi="Abadi" w:cs="Amasis MT Pro Light"/>
          <w:sz w:val="21"/>
          <w:szCs w:val="21"/>
        </w:rPr>
      </w:pPr>
    </w:p>
    <w:p w14:paraId="192027C9" w14:textId="77777777" w:rsidR="00A022D9" w:rsidRPr="00DB7034" w:rsidRDefault="00A022D9" w:rsidP="00A022D9">
      <w:pPr>
        <w:autoSpaceDE w:val="0"/>
        <w:autoSpaceDN w:val="0"/>
        <w:adjustRightInd w:val="0"/>
        <w:jc w:val="both"/>
        <w:rPr>
          <w:rFonts w:ascii="Abadi" w:hAnsi="Abadi" w:cs="Amasis MT Pro Light"/>
          <w:sz w:val="21"/>
          <w:szCs w:val="21"/>
        </w:rPr>
      </w:pPr>
      <w:r w:rsidRPr="00DB7034">
        <w:rPr>
          <w:rFonts w:ascii="Abadi" w:hAnsi="Abadi" w:cs="Amasis MT Pro Light"/>
          <w:sz w:val="21"/>
          <w:szCs w:val="21"/>
        </w:rPr>
        <w:t>Un ejemplo local puede encontrarse en el Poder Judicial. En este caso, durante la</w:t>
      </w:r>
      <w:r>
        <w:rPr>
          <w:rFonts w:ascii="Abadi" w:hAnsi="Abadi" w:cs="Amasis MT Pro Light"/>
          <w:sz w:val="21"/>
          <w:szCs w:val="21"/>
        </w:rPr>
        <w:t xml:space="preserve"> </w:t>
      </w:r>
      <w:r w:rsidRPr="00DB7034">
        <w:rPr>
          <w:rFonts w:ascii="Abadi" w:hAnsi="Abadi" w:cs="Amasis MT Pro Light"/>
          <w:sz w:val="21"/>
          <w:szCs w:val="21"/>
        </w:rPr>
        <w:t>revisión de la Cuenta Pública 2019 realizada por la Auditoría Superior del Estado</w:t>
      </w:r>
      <w:r>
        <w:rPr>
          <w:rFonts w:ascii="Abadi" w:hAnsi="Abadi" w:cs="Amasis MT Pro Light"/>
          <w:sz w:val="21"/>
          <w:szCs w:val="21"/>
        </w:rPr>
        <w:t xml:space="preserve"> </w:t>
      </w:r>
      <w:r w:rsidRPr="00DB7034">
        <w:rPr>
          <w:rFonts w:ascii="Abadi" w:hAnsi="Abadi" w:cs="Amasis MT Pro Light"/>
          <w:sz w:val="21"/>
          <w:szCs w:val="21"/>
        </w:rPr>
        <w:t>de Guanajuato, se encontraron diversas irregularidades entre las que destacaron</w:t>
      </w:r>
      <w:r>
        <w:rPr>
          <w:rFonts w:ascii="Abadi" w:hAnsi="Abadi" w:cs="Amasis MT Pro Light"/>
          <w:sz w:val="21"/>
          <w:szCs w:val="21"/>
        </w:rPr>
        <w:t xml:space="preserve"> </w:t>
      </w:r>
      <w:r w:rsidRPr="00DB7034">
        <w:rPr>
          <w:rFonts w:ascii="Abadi" w:hAnsi="Abadi" w:cs="Amasis MT Pro Light"/>
          <w:sz w:val="21"/>
          <w:szCs w:val="21"/>
        </w:rPr>
        <w:t>las redes de nepotismo al interior de dicha institución.</w:t>
      </w:r>
    </w:p>
    <w:p w14:paraId="01A317A6" w14:textId="77777777" w:rsidR="00A022D9" w:rsidRDefault="00A022D9" w:rsidP="00A022D9">
      <w:pPr>
        <w:autoSpaceDE w:val="0"/>
        <w:autoSpaceDN w:val="0"/>
        <w:adjustRightInd w:val="0"/>
        <w:jc w:val="both"/>
        <w:rPr>
          <w:rFonts w:ascii="Abadi" w:hAnsi="Abadi" w:cs="Amasis MT Pro Light"/>
          <w:sz w:val="21"/>
          <w:szCs w:val="21"/>
        </w:rPr>
      </w:pPr>
    </w:p>
    <w:p w14:paraId="68CEF5AC" w14:textId="77777777" w:rsidR="00A022D9" w:rsidRPr="00DB7034" w:rsidRDefault="00A022D9" w:rsidP="00A022D9">
      <w:pPr>
        <w:autoSpaceDE w:val="0"/>
        <w:autoSpaceDN w:val="0"/>
        <w:adjustRightInd w:val="0"/>
        <w:jc w:val="both"/>
        <w:rPr>
          <w:rFonts w:ascii="Abadi" w:hAnsi="Abadi" w:cs="Amasis MT Pro Light"/>
          <w:sz w:val="21"/>
          <w:szCs w:val="21"/>
        </w:rPr>
      </w:pPr>
      <w:r w:rsidRPr="00DB7034">
        <w:rPr>
          <w:rFonts w:ascii="Abadi" w:hAnsi="Abadi" w:cs="Amasis MT Pro Light"/>
          <w:sz w:val="21"/>
          <w:szCs w:val="21"/>
        </w:rPr>
        <w:t>Según el informe de resultados de la auditoría en mención, 21 servidores públicos</w:t>
      </w:r>
      <w:r>
        <w:rPr>
          <w:rFonts w:ascii="Abadi" w:hAnsi="Abadi" w:cs="Amasis MT Pro Light"/>
          <w:sz w:val="21"/>
          <w:szCs w:val="21"/>
        </w:rPr>
        <w:t xml:space="preserve"> </w:t>
      </w:r>
      <w:r w:rsidRPr="00DB7034">
        <w:rPr>
          <w:rFonts w:ascii="Abadi" w:hAnsi="Abadi" w:cs="Amasis MT Pro Light"/>
          <w:sz w:val="21"/>
          <w:szCs w:val="21"/>
        </w:rPr>
        <w:t>del Poder Judicial del Estado de Guanajuato tienen un vínculo matrimonial o de</w:t>
      </w:r>
      <w:r>
        <w:rPr>
          <w:rFonts w:ascii="Abadi" w:hAnsi="Abadi" w:cs="Amasis MT Pro Light"/>
          <w:sz w:val="21"/>
          <w:szCs w:val="21"/>
        </w:rPr>
        <w:t xml:space="preserve"> </w:t>
      </w:r>
      <w:r w:rsidRPr="00DB7034">
        <w:rPr>
          <w:rFonts w:ascii="Abadi" w:hAnsi="Abadi" w:cs="Amasis MT Pro Light"/>
          <w:sz w:val="21"/>
          <w:szCs w:val="21"/>
        </w:rPr>
        <w:t>parentesco dentro del segundo grado, encontrándose adscritos a un mismo órgano</w:t>
      </w:r>
      <w:r>
        <w:rPr>
          <w:rFonts w:ascii="Abadi" w:hAnsi="Abadi" w:cs="Amasis MT Pro Light"/>
          <w:sz w:val="21"/>
          <w:szCs w:val="21"/>
        </w:rPr>
        <w:t xml:space="preserve"> </w:t>
      </w:r>
      <w:r w:rsidRPr="00DB7034">
        <w:rPr>
          <w:rFonts w:ascii="Abadi" w:hAnsi="Abadi" w:cs="Amasis MT Pro Light"/>
          <w:sz w:val="21"/>
          <w:szCs w:val="21"/>
        </w:rPr>
        <w:t>jurisdiccional o dependencia administrativa.</w:t>
      </w:r>
    </w:p>
    <w:p w14:paraId="66B3B46E" w14:textId="77777777" w:rsidR="00A022D9" w:rsidRDefault="00A022D9" w:rsidP="00A022D9">
      <w:pPr>
        <w:autoSpaceDE w:val="0"/>
        <w:autoSpaceDN w:val="0"/>
        <w:adjustRightInd w:val="0"/>
        <w:jc w:val="both"/>
        <w:rPr>
          <w:rFonts w:ascii="Abadi" w:hAnsi="Abadi" w:cs="Amasis MT Pro Light"/>
          <w:sz w:val="21"/>
          <w:szCs w:val="21"/>
        </w:rPr>
      </w:pPr>
    </w:p>
    <w:p w14:paraId="171DC950" w14:textId="77777777" w:rsidR="00A022D9" w:rsidRPr="00DB7034" w:rsidRDefault="00A022D9" w:rsidP="00A022D9">
      <w:pPr>
        <w:autoSpaceDE w:val="0"/>
        <w:autoSpaceDN w:val="0"/>
        <w:adjustRightInd w:val="0"/>
        <w:jc w:val="both"/>
        <w:rPr>
          <w:rFonts w:ascii="Abadi" w:hAnsi="Abadi" w:cs="Amasis MT Pro Light"/>
          <w:sz w:val="21"/>
          <w:szCs w:val="21"/>
        </w:rPr>
      </w:pPr>
      <w:r w:rsidRPr="00DB7034">
        <w:rPr>
          <w:rFonts w:ascii="Abadi" w:hAnsi="Abadi" w:cs="Amasis MT Pro Light"/>
          <w:sz w:val="21"/>
          <w:szCs w:val="21"/>
        </w:rPr>
        <w:t>En el mismo sentido, una Magistrada Presidenta del Supremo Tribunal de Justicia</w:t>
      </w:r>
      <w:r>
        <w:rPr>
          <w:rFonts w:ascii="Abadi" w:hAnsi="Abadi" w:cs="Amasis MT Pro Light"/>
          <w:sz w:val="21"/>
          <w:szCs w:val="21"/>
        </w:rPr>
        <w:t xml:space="preserve"> </w:t>
      </w:r>
      <w:r w:rsidRPr="00DB7034">
        <w:rPr>
          <w:rFonts w:ascii="Abadi" w:hAnsi="Abadi" w:cs="Amasis MT Pro Light"/>
          <w:sz w:val="21"/>
          <w:szCs w:val="21"/>
        </w:rPr>
        <w:t>no se abstuvo de votar el nombramiento de una Coordinadora de Apoyo Regional</w:t>
      </w:r>
      <w:r>
        <w:rPr>
          <w:rFonts w:ascii="Abadi" w:hAnsi="Abadi" w:cs="Amasis MT Pro Light"/>
          <w:sz w:val="21"/>
          <w:szCs w:val="21"/>
        </w:rPr>
        <w:t xml:space="preserve"> </w:t>
      </w:r>
      <w:r w:rsidRPr="00DB7034">
        <w:rPr>
          <w:rFonts w:ascii="Abadi" w:hAnsi="Abadi" w:cs="Amasis MT Pro Light"/>
          <w:sz w:val="21"/>
          <w:szCs w:val="21"/>
        </w:rPr>
        <w:t>en la zona Celaya, pese a tener impedimento por parentesco con la persona</w:t>
      </w:r>
      <w:r>
        <w:rPr>
          <w:rFonts w:ascii="Abadi" w:hAnsi="Abadi" w:cs="Amasis MT Pro Light"/>
          <w:sz w:val="21"/>
          <w:szCs w:val="21"/>
        </w:rPr>
        <w:t xml:space="preserve"> </w:t>
      </w:r>
      <w:r w:rsidRPr="00DB7034">
        <w:rPr>
          <w:rFonts w:ascii="Abadi" w:hAnsi="Abadi" w:cs="Amasis MT Pro Light"/>
          <w:sz w:val="21"/>
          <w:szCs w:val="21"/>
        </w:rPr>
        <w:t>nombrada.</w:t>
      </w:r>
    </w:p>
    <w:p w14:paraId="6CC0C45F" w14:textId="77777777" w:rsidR="00A022D9" w:rsidRDefault="00A022D9" w:rsidP="00A022D9">
      <w:pPr>
        <w:autoSpaceDE w:val="0"/>
        <w:autoSpaceDN w:val="0"/>
        <w:adjustRightInd w:val="0"/>
        <w:jc w:val="both"/>
        <w:rPr>
          <w:rFonts w:ascii="Abadi" w:hAnsi="Abadi" w:cs="Amasis MT Pro Light"/>
          <w:sz w:val="21"/>
          <w:szCs w:val="21"/>
        </w:rPr>
      </w:pPr>
    </w:p>
    <w:p w14:paraId="3A3A6733" w14:textId="77777777" w:rsidR="00A022D9" w:rsidRPr="00DB7034" w:rsidRDefault="00A022D9" w:rsidP="00A022D9">
      <w:pPr>
        <w:autoSpaceDE w:val="0"/>
        <w:autoSpaceDN w:val="0"/>
        <w:adjustRightInd w:val="0"/>
        <w:jc w:val="both"/>
        <w:rPr>
          <w:rFonts w:ascii="Abadi" w:hAnsi="Abadi" w:cs="Amasis MT Pro Light"/>
          <w:sz w:val="21"/>
          <w:szCs w:val="21"/>
        </w:rPr>
      </w:pPr>
      <w:r w:rsidRPr="00DB7034">
        <w:rPr>
          <w:rFonts w:ascii="Abadi" w:hAnsi="Abadi" w:cs="Amasis MT Pro Light"/>
          <w:sz w:val="21"/>
          <w:szCs w:val="21"/>
        </w:rPr>
        <w:t>En el caso de esa revisión, aprobada en mayo de 2021 por este Congreso, la mayor</w:t>
      </w:r>
      <w:r>
        <w:rPr>
          <w:rFonts w:ascii="Abadi" w:hAnsi="Abadi" w:cs="Amasis MT Pro Light"/>
          <w:sz w:val="21"/>
          <w:szCs w:val="21"/>
        </w:rPr>
        <w:t xml:space="preserve"> </w:t>
      </w:r>
      <w:r w:rsidRPr="00DB7034">
        <w:rPr>
          <w:rFonts w:ascii="Abadi" w:hAnsi="Abadi" w:cs="Amasis MT Pro Light"/>
          <w:sz w:val="21"/>
          <w:szCs w:val="21"/>
        </w:rPr>
        <w:t>parte de observaciones terminaron suspendidas por falta de causas para la</w:t>
      </w:r>
      <w:r>
        <w:rPr>
          <w:rFonts w:ascii="Abadi" w:hAnsi="Abadi" w:cs="Amasis MT Pro Light"/>
          <w:sz w:val="21"/>
          <w:szCs w:val="21"/>
        </w:rPr>
        <w:t xml:space="preserve"> </w:t>
      </w:r>
      <w:r w:rsidRPr="00DB7034">
        <w:rPr>
          <w:rFonts w:ascii="Abadi" w:hAnsi="Abadi" w:cs="Amasis MT Pro Light"/>
          <w:sz w:val="21"/>
          <w:szCs w:val="21"/>
        </w:rPr>
        <w:t>sanción</w:t>
      </w:r>
      <w:r>
        <w:rPr>
          <w:rStyle w:val="Refdenotaalpie"/>
          <w:rFonts w:ascii="Abadi" w:hAnsi="Abadi" w:cs="Amasis MT Pro Light"/>
          <w:sz w:val="21"/>
          <w:szCs w:val="21"/>
        </w:rPr>
        <w:footnoteReference w:id="64"/>
      </w:r>
      <w:r w:rsidRPr="00DB7034">
        <w:rPr>
          <w:rFonts w:ascii="Abadi" w:hAnsi="Abadi" w:cs="Amasis MT Pro Light"/>
          <w:sz w:val="21"/>
          <w:szCs w:val="21"/>
        </w:rPr>
        <w:t>.</w:t>
      </w:r>
    </w:p>
    <w:p w14:paraId="6D95DE93" w14:textId="77777777" w:rsidR="00A022D9" w:rsidRDefault="00A022D9" w:rsidP="00A022D9">
      <w:pPr>
        <w:autoSpaceDE w:val="0"/>
        <w:autoSpaceDN w:val="0"/>
        <w:adjustRightInd w:val="0"/>
        <w:jc w:val="both"/>
        <w:rPr>
          <w:rFonts w:ascii="Abadi" w:hAnsi="Abadi" w:cs="Amasis MT Pro Light"/>
          <w:sz w:val="21"/>
          <w:szCs w:val="21"/>
        </w:rPr>
      </w:pPr>
    </w:p>
    <w:p w14:paraId="29889F72" w14:textId="77777777" w:rsidR="00A022D9" w:rsidRPr="00DB7034" w:rsidRDefault="00A022D9" w:rsidP="00A022D9">
      <w:pPr>
        <w:autoSpaceDE w:val="0"/>
        <w:autoSpaceDN w:val="0"/>
        <w:adjustRightInd w:val="0"/>
        <w:jc w:val="both"/>
        <w:rPr>
          <w:rFonts w:ascii="Abadi" w:hAnsi="Abadi" w:cs="Amasis MT Pro Light"/>
          <w:sz w:val="21"/>
          <w:szCs w:val="21"/>
        </w:rPr>
      </w:pPr>
      <w:r w:rsidRPr="00DB7034">
        <w:rPr>
          <w:rFonts w:ascii="Abadi" w:hAnsi="Abadi" w:cs="Amasis MT Pro Light"/>
          <w:sz w:val="21"/>
          <w:szCs w:val="21"/>
        </w:rPr>
        <w:t>Con lo anterior, las y los iniciantes de la presente propuesta consideran necesario</w:t>
      </w:r>
      <w:r>
        <w:rPr>
          <w:rFonts w:ascii="Abadi" w:hAnsi="Abadi" w:cs="Amasis MT Pro Light"/>
          <w:sz w:val="21"/>
          <w:szCs w:val="21"/>
        </w:rPr>
        <w:t xml:space="preserve"> </w:t>
      </w:r>
      <w:r w:rsidRPr="00DB7034">
        <w:rPr>
          <w:rFonts w:ascii="Abadi" w:hAnsi="Abadi" w:cs="Amasis MT Pro Light"/>
          <w:sz w:val="21"/>
          <w:szCs w:val="21"/>
        </w:rPr>
        <w:t>actualizar el marco jurídico del estado de Guanajuato para reconocer y combatir</w:t>
      </w:r>
      <w:r>
        <w:rPr>
          <w:rFonts w:ascii="Abadi" w:hAnsi="Abadi" w:cs="Amasis MT Pro Light"/>
          <w:sz w:val="21"/>
          <w:szCs w:val="21"/>
        </w:rPr>
        <w:t xml:space="preserve"> </w:t>
      </w:r>
      <w:r w:rsidRPr="00DB7034">
        <w:rPr>
          <w:rFonts w:ascii="Abadi" w:hAnsi="Abadi" w:cs="Amasis MT Pro Light"/>
          <w:sz w:val="21"/>
          <w:szCs w:val="21"/>
        </w:rPr>
        <w:t>esta práctica, incluyendo el nepotismo cruzado.</w:t>
      </w:r>
    </w:p>
    <w:p w14:paraId="79599D92" w14:textId="77777777" w:rsidR="00A022D9" w:rsidRDefault="00A022D9" w:rsidP="00A022D9">
      <w:pPr>
        <w:autoSpaceDE w:val="0"/>
        <w:autoSpaceDN w:val="0"/>
        <w:adjustRightInd w:val="0"/>
        <w:jc w:val="both"/>
        <w:rPr>
          <w:rFonts w:ascii="Abadi" w:hAnsi="Abadi" w:cs="Amasis MT Pro Light"/>
          <w:sz w:val="21"/>
          <w:szCs w:val="21"/>
        </w:rPr>
      </w:pPr>
    </w:p>
    <w:p w14:paraId="7DFEDCFA" w14:textId="77777777" w:rsidR="00A022D9" w:rsidRPr="00647ED1" w:rsidRDefault="00A022D9" w:rsidP="00A022D9">
      <w:pPr>
        <w:autoSpaceDE w:val="0"/>
        <w:autoSpaceDN w:val="0"/>
        <w:adjustRightInd w:val="0"/>
        <w:jc w:val="both"/>
        <w:rPr>
          <w:rFonts w:ascii="Abadi" w:hAnsi="Abadi" w:cs="Amasis MT Pro Light"/>
          <w:b/>
          <w:bCs/>
          <w:sz w:val="21"/>
          <w:szCs w:val="21"/>
        </w:rPr>
      </w:pPr>
      <w:r w:rsidRPr="00647ED1">
        <w:rPr>
          <w:rFonts w:ascii="Abadi" w:hAnsi="Abadi" w:cs="Amasis MT Pro Light"/>
          <w:b/>
          <w:bCs/>
          <w:sz w:val="21"/>
          <w:szCs w:val="21"/>
        </w:rPr>
        <w:t>Propuesta</w:t>
      </w:r>
    </w:p>
    <w:p w14:paraId="3570553D" w14:textId="77777777" w:rsidR="00A022D9" w:rsidRDefault="00A022D9" w:rsidP="00A022D9">
      <w:pPr>
        <w:autoSpaceDE w:val="0"/>
        <w:autoSpaceDN w:val="0"/>
        <w:adjustRightInd w:val="0"/>
        <w:jc w:val="both"/>
        <w:rPr>
          <w:rFonts w:ascii="Abadi" w:hAnsi="Abadi" w:cs="Amasis MT Pro Light"/>
          <w:sz w:val="21"/>
          <w:szCs w:val="21"/>
        </w:rPr>
      </w:pPr>
    </w:p>
    <w:p w14:paraId="3182C6B9" w14:textId="77777777" w:rsidR="00A022D9" w:rsidRPr="00DB7034" w:rsidRDefault="00A022D9" w:rsidP="00A022D9">
      <w:pPr>
        <w:autoSpaceDE w:val="0"/>
        <w:autoSpaceDN w:val="0"/>
        <w:adjustRightInd w:val="0"/>
        <w:jc w:val="both"/>
        <w:rPr>
          <w:rFonts w:ascii="Abadi" w:hAnsi="Abadi" w:cs="Amasis MT Pro Light"/>
          <w:sz w:val="21"/>
          <w:szCs w:val="21"/>
        </w:rPr>
      </w:pPr>
      <w:r w:rsidRPr="00DB7034">
        <w:rPr>
          <w:rFonts w:ascii="Abadi" w:hAnsi="Abadi" w:cs="Amasis MT Pro Light"/>
          <w:sz w:val="21"/>
          <w:szCs w:val="21"/>
        </w:rPr>
        <w:t>Se propone incorporar al nepotismo como una falta administrativa grave en la Ley</w:t>
      </w:r>
      <w:r>
        <w:rPr>
          <w:rFonts w:ascii="Abadi" w:hAnsi="Abadi" w:cs="Amasis MT Pro Light"/>
          <w:sz w:val="21"/>
          <w:szCs w:val="21"/>
        </w:rPr>
        <w:t xml:space="preserve"> </w:t>
      </w:r>
      <w:r w:rsidRPr="00DB7034">
        <w:rPr>
          <w:rFonts w:ascii="Abadi" w:hAnsi="Abadi" w:cs="Amasis MT Pro Light"/>
          <w:sz w:val="21"/>
          <w:szCs w:val="21"/>
        </w:rPr>
        <w:t>de Responsabilidades Administrativas para el Estado de Guanajuato en armonía</w:t>
      </w:r>
      <w:r>
        <w:rPr>
          <w:rFonts w:ascii="Abadi" w:hAnsi="Abadi" w:cs="Amasis MT Pro Light"/>
          <w:sz w:val="21"/>
          <w:szCs w:val="21"/>
        </w:rPr>
        <w:t xml:space="preserve"> </w:t>
      </w:r>
      <w:r w:rsidRPr="00DB7034">
        <w:rPr>
          <w:rFonts w:ascii="Abadi" w:hAnsi="Abadi" w:cs="Amasis MT Pro Light"/>
          <w:sz w:val="21"/>
          <w:szCs w:val="21"/>
        </w:rPr>
        <w:t>con la Ley General en la materia.</w:t>
      </w:r>
    </w:p>
    <w:p w14:paraId="010E7E94" w14:textId="77777777" w:rsidR="00A022D9" w:rsidRDefault="00A022D9" w:rsidP="00A022D9">
      <w:pPr>
        <w:autoSpaceDE w:val="0"/>
        <w:autoSpaceDN w:val="0"/>
        <w:adjustRightInd w:val="0"/>
        <w:jc w:val="both"/>
        <w:rPr>
          <w:rFonts w:ascii="Abadi" w:hAnsi="Abadi" w:cs="Amasis MT Pro Light"/>
          <w:sz w:val="21"/>
          <w:szCs w:val="21"/>
        </w:rPr>
      </w:pPr>
    </w:p>
    <w:p w14:paraId="241A9F4D" w14:textId="77777777" w:rsidR="00A022D9" w:rsidRPr="00DB7034" w:rsidRDefault="00A022D9" w:rsidP="00A022D9">
      <w:pPr>
        <w:autoSpaceDE w:val="0"/>
        <w:autoSpaceDN w:val="0"/>
        <w:adjustRightInd w:val="0"/>
        <w:jc w:val="both"/>
        <w:rPr>
          <w:rFonts w:ascii="Abadi" w:hAnsi="Abadi" w:cs="Amasis MT Pro Light"/>
          <w:sz w:val="21"/>
          <w:szCs w:val="21"/>
        </w:rPr>
      </w:pPr>
      <w:r w:rsidRPr="00DB7034">
        <w:rPr>
          <w:rFonts w:ascii="Abadi" w:hAnsi="Abadi" w:cs="Amasis MT Pro Light"/>
          <w:sz w:val="21"/>
          <w:szCs w:val="21"/>
        </w:rPr>
        <w:t>De ser aprobada, la presente iniciativa tendría los siguientes impactos:</w:t>
      </w:r>
    </w:p>
    <w:p w14:paraId="2C5E14E8" w14:textId="77777777" w:rsidR="00A022D9" w:rsidRDefault="00A022D9" w:rsidP="00A022D9">
      <w:pPr>
        <w:autoSpaceDE w:val="0"/>
        <w:autoSpaceDN w:val="0"/>
        <w:adjustRightInd w:val="0"/>
        <w:jc w:val="both"/>
        <w:rPr>
          <w:rFonts w:ascii="Abadi" w:hAnsi="Abadi" w:cs="Amasis MT Pro Light"/>
          <w:sz w:val="21"/>
          <w:szCs w:val="21"/>
        </w:rPr>
      </w:pPr>
    </w:p>
    <w:p w14:paraId="3054D5A5" w14:textId="77777777" w:rsidR="00A022D9" w:rsidRPr="00647ED1" w:rsidRDefault="00A022D9" w:rsidP="00A022D9">
      <w:pPr>
        <w:pStyle w:val="Prrafodelista"/>
        <w:numPr>
          <w:ilvl w:val="0"/>
          <w:numId w:val="26"/>
        </w:numPr>
        <w:autoSpaceDE w:val="0"/>
        <w:autoSpaceDN w:val="0"/>
        <w:adjustRightInd w:val="0"/>
        <w:contextualSpacing/>
        <w:jc w:val="both"/>
        <w:rPr>
          <w:rFonts w:ascii="Abadi" w:hAnsi="Abadi" w:cs="Amasis MT Pro Light"/>
          <w:sz w:val="21"/>
          <w:szCs w:val="21"/>
        </w:rPr>
      </w:pPr>
      <w:r w:rsidRPr="00647ED1">
        <w:rPr>
          <w:rFonts w:ascii="Abadi" w:hAnsi="Abadi" w:cs="Amasis MT Pro Light"/>
          <w:b/>
          <w:bCs/>
          <w:sz w:val="21"/>
          <w:szCs w:val="21"/>
        </w:rPr>
        <w:t>Jurídico:</w:t>
      </w:r>
      <w:r w:rsidRPr="00647ED1">
        <w:rPr>
          <w:rFonts w:ascii="Abadi" w:hAnsi="Abadi" w:cs="Amasis MT Pro Light"/>
          <w:sz w:val="21"/>
          <w:szCs w:val="21"/>
        </w:rPr>
        <w:t xml:space="preserve"> Se reforma la Ley de Responsabilidades Administrativas para el Estado de Guanajuato, armonizándola con la Ley General en la materia por lo que hace al nepotismo como causa de responsabilidad administrativa grave, y adicionando la causal de nepotismo cruzado, con la finalidad de reconocer una nueva responsabilidad administrativa grave.</w:t>
      </w:r>
    </w:p>
    <w:p w14:paraId="4194F677" w14:textId="77777777" w:rsidR="00A022D9" w:rsidRDefault="00A022D9" w:rsidP="00A022D9">
      <w:pPr>
        <w:autoSpaceDE w:val="0"/>
        <w:autoSpaceDN w:val="0"/>
        <w:adjustRightInd w:val="0"/>
        <w:jc w:val="both"/>
        <w:rPr>
          <w:rFonts w:ascii="Abadi" w:hAnsi="Abadi" w:cs="Amasis MT Pro Light"/>
          <w:sz w:val="21"/>
          <w:szCs w:val="21"/>
        </w:rPr>
      </w:pPr>
    </w:p>
    <w:p w14:paraId="0AC01B6C" w14:textId="77777777" w:rsidR="00A022D9" w:rsidRPr="00647ED1" w:rsidRDefault="00A022D9" w:rsidP="00A022D9">
      <w:pPr>
        <w:pStyle w:val="Prrafodelista"/>
        <w:numPr>
          <w:ilvl w:val="0"/>
          <w:numId w:val="26"/>
        </w:numPr>
        <w:autoSpaceDE w:val="0"/>
        <w:autoSpaceDN w:val="0"/>
        <w:adjustRightInd w:val="0"/>
        <w:contextualSpacing/>
        <w:jc w:val="both"/>
        <w:rPr>
          <w:rFonts w:ascii="Abadi" w:hAnsi="Abadi" w:cs="Amasis MT Pro Light"/>
          <w:sz w:val="21"/>
          <w:szCs w:val="21"/>
        </w:rPr>
      </w:pPr>
      <w:r w:rsidRPr="00647ED1">
        <w:rPr>
          <w:rFonts w:ascii="Abadi" w:hAnsi="Abadi" w:cs="Amasis MT Pro Light"/>
          <w:b/>
          <w:bCs/>
          <w:sz w:val="21"/>
          <w:szCs w:val="21"/>
        </w:rPr>
        <w:t>Administrativo:</w:t>
      </w:r>
      <w:r w:rsidRPr="00647ED1">
        <w:rPr>
          <w:rFonts w:ascii="Abadi" w:hAnsi="Abadi" w:cs="Amasis MT Pro Light"/>
          <w:sz w:val="21"/>
          <w:szCs w:val="21"/>
        </w:rPr>
        <w:t xml:space="preserve"> La presente iniciativa no crea nuevas estructuras administrativas.</w:t>
      </w:r>
    </w:p>
    <w:p w14:paraId="06E8B47C" w14:textId="77777777" w:rsidR="00A022D9" w:rsidRDefault="00A022D9" w:rsidP="00A022D9">
      <w:pPr>
        <w:autoSpaceDE w:val="0"/>
        <w:autoSpaceDN w:val="0"/>
        <w:adjustRightInd w:val="0"/>
        <w:jc w:val="both"/>
        <w:rPr>
          <w:rFonts w:ascii="Abadi" w:hAnsi="Abadi" w:cs="Amasis MT Pro Light"/>
          <w:sz w:val="21"/>
          <w:szCs w:val="21"/>
        </w:rPr>
      </w:pPr>
    </w:p>
    <w:p w14:paraId="2860C001" w14:textId="77777777" w:rsidR="00A022D9" w:rsidRPr="00647ED1" w:rsidRDefault="00A022D9" w:rsidP="00A022D9">
      <w:pPr>
        <w:pStyle w:val="Prrafodelista"/>
        <w:numPr>
          <w:ilvl w:val="0"/>
          <w:numId w:val="26"/>
        </w:numPr>
        <w:autoSpaceDE w:val="0"/>
        <w:autoSpaceDN w:val="0"/>
        <w:adjustRightInd w:val="0"/>
        <w:contextualSpacing/>
        <w:jc w:val="both"/>
        <w:rPr>
          <w:rFonts w:ascii="Abadi" w:hAnsi="Abadi" w:cs="Amasis MT Pro Light"/>
          <w:sz w:val="21"/>
          <w:szCs w:val="21"/>
        </w:rPr>
      </w:pPr>
      <w:r w:rsidRPr="00647ED1">
        <w:rPr>
          <w:rFonts w:ascii="Abadi" w:hAnsi="Abadi" w:cs="Amasis MT Pro Light"/>
          <w:b/>
          <w:bCs/>
          <w:sz w:val="21"/>
          <w:szCs w:val="21"/>
        </w:rPr>
        <w:t>Presupuestal:</w:t>
      </w:r>
      <w:r w:rsidRPr="00647ED1">
        <w:rPr>
          <w:rFonts w:ascii="Abadi" w:hAnsi="Abadi" w:cs="Amasis MT Pro Light"/>
          <w:sz w:val="21"/>
          <w:szCs w:val="21"/>
        </w:rPr>
        <w:t xml:space="preserve"> La presente iniciativa no incluye impactos presupuestales directos.</w:t>
      </w:r>
    </w:p>
    <w:p w14:paraId="22B2C0BB" w14:textId="77777777" w:rsidR="00A022D9" w:rsidRDefault="00A022D9" w:rsidP="00A022D9">
      <w:pPr>
        <w:autoSpaceDE w:val="0"/>
        <w:autoSpaceDN w:val="0"/>
        <w:adjustRightInd w:val="0"/>
        <w:jc w:val="both"/>
        <w:rPr>
          <w:rFonts w:ascii="Abadi" w:hAnsi="Abadi" w:cs="Amasis MT Pro Light"/>
          <w:sz w:val="21"/>
          <w:szCs w:val="21"/>
        </w:rPr>
      </w:pPr>
    </w:p>
    <w:p w14:paraId="3E987BA8" w14:textId="77777777" w:rsidR="00A022D9" w:rsidRPr="00647ED1" w:rsidRDefault="00A022D9" w:rsidP="00A022D9">
      <w:pPr>
        <w:pStyle w:val="Prrafodelista"/>
        <w:numPr>
          <w:ilvl w:val="0"/>
          <w:numId w:val="26"/>
        </w:numPr>
        <w:autoSpaceDE w:val="0"/>
        <w:autoSpaceDN w:val="0"/>
        <w:adjustRightInd w:val="0"/>
        <w:contextualSpacing/>
        <w:jc w:val="both"/>
        <w:rPr>
          <w:rFonts w:ascii="Abadi" w:hAnsi="Abadi" w:cs="Amasis MT Pro Light"/>
          <w:sz w:val="21"/>
          <w:szCs w:val="21"/>
        </w:rPr>
      </w:pPr>
      <w:r w:rsidRPr="00647ED1">
        <w:rPr>
          <w:rFonts w:ascii="Abadi" w:hAnsi="Abadi" w:cs="Amasis MT Pro Light"/>
          <w:b/>
          <w:bCs/>
          <w:sz w:val="21"/>
          <w:szCs w:val="21"/>
        </w:rPr>
        <w:t>Social:</w:t>
      </w:r>
      <w:r w:rsidRPr="00647ED1">
        <w:rPr>
          <w:rFonts w:ascii="Abadi" w:hAnsi="Abadi" w:cs="Amasis MT Pro Light"/>
          <w:sz w:val="21"/>
          <w:szCs w:val="21"/>
        </w:rPr>
        <w:t xml:space="preserve"> Con la presente iniciativa se contribuye al combate a la corrupción mediante el reconocimiento de una de sus manifestaciones, con la finalidad de investigarla y, en su caso, sancionarla.</w:t>
      </w:r>
    </w:p>
    <w:p w14:paraId="7ACCBEEF" w14:textId="77777777" w:rsidR="00A022D9" w:rsidRDefault="00A022D9" w:rsidP="00A022D9">
      <w:pPr>
        <w:autoSpaceDE w:val="0"/>
        <w:autoSpaceDN w:val="0"/>
        <w:adjustRightInd w:val="0"/>
        <w:jc w:val="both"/>
        <w:rPr>
          <w:rFonts w:ascii="Abadi" w:hAnsi="Abadi" w:cs="Amasis MT Pro Light"/>
          <w:sz w:val="21"/>
          <w:szCs w:val="21"/>
        </w:rPr>
      </w:pPr>
    </w:p>
    <w:p w14:paraId="1BC5CE0A" w14:textId="77777777" w:rsidR="00A022D9" w:rsidRPr="00DB7034" w:rsidRDefault="00A022D9" w:rsidP="00A022D9">
      <w:pPr>
        <w:autoSpaceDE w:val="0"/>
        <w:autoSpaceDN w:val="0"/>
        <w:adjustRightInd w:val="0"/>
        <w:jc w:val="both"/>
        <w:rPr>
          <w:rFonts w:ascii="Abadi" w:hAnsi="Abadi" w:cs="Amasis MT Pro Light"/>
          <w:sz w:val="21"/>
          <w:szCs w:val="21"/>
        </w:rPr>
      </w:pPr>
      <w:r w:rsidRPr="00DB7034">
        <w:rPr>
          <w:rFonts w:ascii="Abadi" w:hAnsi="Abadi" w:cs="Amasis MT Pro Light"/>
          <w:sz w:val="21"/>
          <w:szCs w:val="21"/>
        </w:rPr>
        <w:t>Por lo anterior, nos permitimos someter a consideración del pleno de esta</w:t>
      </w:r>
      <w:r>
        <w:rPr>
          <w:rFonts w:ascii="Abadi" w:hAnsi="Abadi" w:cs="Amasis MT Pro Light"/>
          <w:sz w:val="21"/>
          <w:szCs w:val="21"/>
        </w:rPr>
        <w:t xml:space="preserve"> </w:t>
      </w:r>
      <w:r w:rsidRPr="00DB7034">
        <w:rPr>
          <w:rFonts w:ascii="Abadi" w:hAnsi="Abadi" w:cs="Amasis MT Pro Light"/>
          <w:sz w:val="21"/>
          <w:szCs w:val="21"/>
        </w:rPr>
        <w:t>asamblea, el siguiente proyecto de:</w:t>
      </w:r>
    </w:p>
    <w:p w14:paraId="0E7E08D0" w14:textId="77777777" w:rsidR="00A022D9" w:rsidRDefault="00A022D9" w:rsidP="00A022D9">
      <w:pPr>
        <w:autoSpaceDE w:val="0"/>
        <w:autoSpaceDN w:val="0"/>
        <w:adjustRightInd w:val="0"/>
        <w:jc w:val="both"/>
        <w:rPr>
          <w:rFonts w:ascii="Abadi" w:hAnsi="Abadi" w:cs="Amasis MT Pro Light"/>
          <w:sz w:val="21"/>
          <w:szCs w:val="21"/>
        </w:rPr>
      </w:pPr>
    </w:p>
    <w:p w14:paraId="1424C95D" w14:textId="77777777" w:rsidR="00A022D9" w:rsidRPr="00647ED1" w:rsidRDefault="00A022D9" w:rsidP="00A022D9">
      <w:pPr>
        <w:autoSpaceDE w:val="0"/>
        <w:autoSpaceDN w:val="0"/>
        <w:adjustRightInd w:val="0"/>
        <w:jc w:val="center"/>
        <w:rPr>
          <w:rFonts w:ascii="Abadi" w:hAnsi="Abadi" w:cs="Amasis MT Pro Light"/>
          <w:b/>
          <w:bCs/>
          <w:sz w:val="21"/>
          <w:szCs w:val="21"/>
        </w:rPr>
      </w:pPr>
      <w:r w:rsidRPr="00647ED1">
        <w:rPr>
          <w:rFonts w:ascii="Abadi" w:hAnsi="Abadi" w:cs="Amasis MT Pro Light"/>
          <w:b/>
          <w:bCs/>
          <w:sz w:val="21"/>
          <w:szCs w:val="21"/>
        </w:rPr>
        <w:t>D E C R E T O</w:t>
      </w:r>
    </w:p>
    <w:p w14:paraId="624DB84B" w14:textId="77777777" w:rsidR="00A022D9" w:rsidRPr="00647ED1" w:rsidRDefault="00A022D9" w:rsidP="00A022D9">
      <w:pPr>
        <w:autoSpaceDE w:val="0"/>
        <w:autoSpaceDN w:val="0"/>
        <w:adjustRightInd w:val="0"/>
        <w:jc w:val="both"/>
        <w:rPr>
          <w:rFonts w:ascii="Abadi" w:hAnsi="Abadi" w:cs="Amasis MT Pro Light"/>
          <w:b/>
          <w:bCs/>
          <w:sz w:val="21"/>
          <w:szCs w:val="21"/>
        </w:rPr>
      </w:pPr>
    </w:p>
    <w:p w14:paraId="5AA40856" w14:textId="77777777" w:rsidR="00A022D9" w:rsidRPr="00DB7034" w:rsidRDefault="00A022D9" w:rsidP="00A022D9">
      <w:pPr>
        <w:autoSpaceDE w:val="0"/>
        <w:autoSpaceDN w:val="0"/>
        <w:adjustRightInd w:val="0"/>
        <w:jc w:val="both"/>
        <w:rPr>
          <w:rFonts w:ascii="Abadi" w:hAnsi="Abadi" w:cs="Amasis MT Pro Light"/>
          <w:sz w:val="21"/>
          <w:szCs w:val="21"/>
        </w:rPr>
      </w:pPr>
      <w:r w:rsidRPr="00647ED1">
        <w:rPr>
          <w:rFonts w:ascii="Abadi" w:hAnsi="Abadi" w:cs="Amasis MT Pro Light"/>
          <w:b/>
          <w:bCs/>
          <w:sz w:val="21"/>
          <w:szCs w:val="21"/>
        </w:rPr>
        <w:t>ARTÍCULO ÚNICO.</w:t>
      </w:r>
      <w:r w:rsidRPr="00DB7034">
        <w:rPr>
          <w:rFonts w:ascii="Abadi" w:hAnsi="Abadi" w:cs="Amasis MT Pro Light"/>
          <w:sz w:val="21"/>
          <w:szCs w:val="21"/>
        </w:rPr>
        <w:t xml:space="preserve"> Se adiciona un artículo 63-1 y 63-2 a la Ley de</w:t>
      </w:r>
      <w:r>
        <w:rPr>
          <w:rFonts w:ascii="Abadi" w:hAnsi="Abadi" w:cs="Amasis MT Pro Light"/>
          <w:sz w:val="21"/>
          <w:szCs w:val="21"/>
        </w:rPr>
        <w:t xml:space="preserve"> </w:t>
      </w:r>
      <w:r w:rsidRPr="00DB7034">
        <w:rPr>
          <w:rFonts w:ascii="Abadi" w:hAnsi="Abadi" w:cs="Amasis MT Pro Light"/>
          <w:sz w:val="21"/>
          <w:szCs w:val="21"/>
        </w:rPr>
        <w:t>Responsabilidades Administrativas para el Estado de Guanajuato, para quedar</w:t>
      </w:r>
      <w:r>
        <w:rPr>
          <w:rFonts w:ascii="Abadi" w:hAnsi="Abadi" w:cs="Amasis MT Pro Light"/>
          <w:sz w:val="21"/>
          <w:szCs w:val="21"/>
        </w:rPr>
        <w:t xml:space="preserve"> </w:t>
      </w:r>
      <w:r w:rsidRPr="00DB7034">
        <w:rPr>
          <w:rFonts w:ascii="Abadi" w:hAnsi="Abadi" w:cs="Amasis MT Pro Light"/>
          <w:sz w:val="21"/>
          <w:szCs w:val="21"/>
        </w:rPr>
        <w:t>como sigue:</w:t>
      </w:r>
    </w:p>
    <w:p w14:paraId="61E0A514" w14:textId="77777777" w:rsidR="00A022D9" w:rsidRDefault="00A022D9" w:rsidP="00A022D9">
      <w:pPr>
        <w:autoSpaceDE w:val="0"/>
        <w:autoSpaceDN w:val="0"/>
        <w:adjustRightInd w:val="0"/>
        <w:jc w:val="both"/>
        <w:rPr>
          <w:rFonts w:ascii="Abadi" w:hAnsi="Abadi" w:cs="Amasis MT Pro Light"/>
          <w:sz w:val="21"/>
          <w:szCs w:val="21"/>
        </w:rPr>
      </w:pPr>
    </w:p>
    <w:p w14:paraId="1CC1AB5D" w14:textId="4A8C3A9B" w:rsidR="00A022D9" w:rsidRPr="00647ED1" w:rsidRDefault="00A022D9" w:rsidP="00A022D9">
      <w:pPr>
        <w:autoSpaceDE w:val="0"/>
        <w:autoSpaceDN w:val="0"/>
        <w:adjustRightInd w:val="0"/>
        <w:ind w:left="567"/>
        <w:jc w:val="both"/>
        <w:rPr>
          <w:rFonts w:ascii="Abadi" w:hAnsi="Abadi" w:cs="Amasis MT Pro Light"/>
          <w:b/>
          <w:bCs/>
          <w:sz w:val="21"/>
          <w:szCs w:val="21"/>
        </w:rPr>
      </w:pPr>
      <w:r w:rsidRPr="00647ED1">
        <w:rPr>
          <w:rFonts w:ascii="Abadi" w:hAnsi="Abadi" w:cs="Amasis MT Pro Light"/>
          <w:b/>
          <w:bCs/>
          <w:sz w:val="21"/>
          <w:szCs w:val="21"/>
        </w:rPr>
        <w:t>Artículo 63-1. Cometerá nepotismo el servidor público que, valiéndose de las</w:t>
      </w:r>
      <w:r>
        <w:rPr>
          <w:rFonts w:ascii="Abadi" w:hAnsi="Abadi" w:cs="Amasis MT Pro Light"/>
          <w:b/>
          <w:bCs/>
          <w:sz w:val="21"/>
          <w:szCs w:val="21"/>
        </w:rPr>
        <w:t xml:space="preserve"> </w:t>
      </w:r>
      <w:r w:rsidRPr="00647ED1">
        <w:rPr>
          <w:rFonts w:ascii="Abadi" w:hAnsi="Abadi" w:cs="Amasis MT Pro Light"/>
          <w:b/>
          <w:bCs/>
          <w:sz w:val="21"/>
          <w:szCs w:val="21"/>
        </w:rPr>
        <w:t>atribuciones o facultades de su empleo, cargo o comisión, directa o</w:t>
      </w:r>
      <w:r>
        <w:rPr>
          <w:rFonts w:ascii="Abadi" w:hAnsi="Abadi" w:cs="Amasis MT Pro Light"/>
          <w:b/>
          <w:bCs/>
          <w:sz w:val="21"/>
          <w:szCs w:val="21"/>
        </w:rPr>
        <w:t xml:space="preserve"> </w:t>
      </w:r>
      <w:r w:rsidRPr="00647ED1">
        <w:rPr>
          <w:rFonts w:ascii="Abadi" w:hAnsi="Abadi" w:cs="Amasis MT Pro Light"/>
          <w:b/>
          <w:bCs/>
          <w:sz w:val="21"/>
          <w:szCs w:val="21"/>
        </w:rPr>
        <w:t>indirectamente, designe, nombre o intervenga para que se contrate como personal</w:t>
      </w:r>
      <w:r>
        <w:rPr>
          <w:rFonts w:ascii="Abadi" w:hAnsi="Abadi" w:cs="Amasis MT Pro Light"/>
          <w:b/>
          <w:bCs/>
          <w:sz w:val="21"/>
          <w:szCs w:val="21"/>
        </w:rPr>
        <w:t xml:space="preserve"> </w:t>
      </w:r>
      <w:r w:rsidRPr="00647ED1">
        <w:rPr>
          <w:rFonts w:ascii="Abadi" w:hAnsi="Abadi" w:cs="Amasis MT Pro Light"/>
          <w:b/>
          <w:bCs/>
          <w:sz w:val="21"/>
          <w:szCs w:val="21"/>
        </w:rPr>
        <w:t>de confianza, de estructura, de base o por honorarios en el ente público en que</w:t>
      </w:r>
      <w:r>
        <w:rPr>
          <w:rFonts w:ascii="Abadi" w:hAnsi="Abadi" w:cs="Amasis MT Pro Light"/>
          <w:b/>
          <w:bCs/>
          <w:sz w:val="21"/>
          <w:szCs w:val="21"/>
        </w:rPr>
        <w:t xml:space="preserve"> </w:t>
      </w:r>
      <w:r w:rsidRPr="00647ED1">
        <w:rPr>
          <w:rFonts w:ascii="Abadi" w:hAnsi="Abadi" w:cs="Amasis MT Pro Light"/>
          <w:b/>
          <w:bCs/>
          <w:sz w:val="21"/>
          <w:szCs w:val="21"/>
        </w:rPr>
        <w:t>ejerza sus funciones, a personas con las que tenga lazos de parentesco por</w:t>
      </w:r>
      <w:r w:rsidR="00FC192C">
        <w:rPr>
          <w:rFonts w:ascii="Abadi" w:hAnsi="Abadi" w:cs="Amasis MT Pro Light"/>
          <w:b/>
          <w:bCs/>
          <w:sz w:val="21"/>
          <w:szCs w:val="21"/>
        </w:rPr>
        <w:t xml:space="preserve"> </w:t>
      </w:r>
      <w:r w:rsidRPr="00647ED1">
        <w:rPr>
          <w:rFonts w:ascii="Abadi" w:hAnsi="Abadi" w:cs="Amasis MT Pro Light"/>
          <w:b/>
          <w:bCs/>
          <w:sz w:val="21"/>
          <w:szCs w:val="21"/>
        </w:rPr>
        <w:t>consanguinidad hasta el cuarto grado, de afinidad hasta el segundo grado, o</w:t>
      </w:r>
      <w:r>
        <w:rPr>
          <w:rFonts w:ascii="Abadi" w:hAnsi="Abadi" w:cs="Amasis MT Pro Light"/>
          <w:b/>
          <w:bCs/>
          <w:sz w:val="21"/>
          <w:szCs w:val="21"/>
        </w:rPr>
        <w:t xml:space="preserve"> </w:t>
      </w:r>
      <w:r w:rsidRPr="00647ED1">
        <w:rPr>
          <w:rFonts w:ascii="Abadi" w:hAnsi="Abadi" w:cs="Amasis MT Pro Light"/>
          <w:b/>
          <w:bCs/>
          <w:sz w:val="21"/>
          <w:szCs w:val="21"/>
        </w:rPr>
        <w:t>vínculo de matrimonio o concubinato.</w:t>
      </w:r>
    </w:p>
    <w:p w14:paraId="4CD7DD03" w14:textId="77777777" w:rsidR="00A022D9" w:rsidRDefault="00A022D9" w:rsidP="00A022D9">
      <w:pPr>
        <w:autoSpaceDE w:val="0"/>
        <w:autoSpaceDN w:val="0"/>
        <w:adjustRightInd w:val="0"/>
        <w:ind w:left="567"/>
        <w:jc w:val="both"/>
        <w:rPr>
          <w:rFonts w:ascii="Abadi" w:hAnsi="Abadi" w:cs="Amasis MT Pro Light"/>
          <w:b/>
          <w:bCs/>
          <w:sz w:val="21"/>
          <w:szCs w:val="21"/>
        </w:rPr>
      </w:pPr>
    </w:p>
    <w:p w14:paraId="10469ED9" w14:textId="77777777" w:rsidR="00A022D9" w:rsidRPr="00647ED1" w:rsidRDefault="00A022D9" w:rsidP="00A022D9">
      <w:pPr>
        <w:autoSpaceDE w:val="0"/>
        <w:autoSpaceDN w:val="0"/>
        <w:adjustRightInd w:val="0"/>
        <w:ind w:left="567"/>
        <w:jc w:val="both"/>
        <w:rPr>
          <w:rFonts w:ascii="Abadi" w:hAnsi="Abadi" w:cs="Amasis MT Pro Light"/>
          <w:b/>
          <w:bCs/>
          <w:sz w:val="21"/>
          <w:szCs w:val="21"/>
        </w:rPr>
      </w:pPr>
      <w:r w:rsidRPr="00647ED1">
        <w:rPr>
          <w:rFonts w:ascii="Abadi" w:hAnsi="Abadi" w:cs="Amasis MT Pro Light"/>
          <w:b/>
          <w:bCs/>
          <w:sz w:val="21"/>
          <w:szCs w:val="21"/>
        </w:rPr>
        <w:t>Artículo 63-2. Cometerán nepotismo cruzado, los servidores públicos que,</w:t>
      </w:r>
      <w:r>
        <w:rPr>
          <w:rFonts w:ascii="Abadi" w:hAnsi="Abadi" w:cs="Amasis MT Pro Light"/>
          <w:b/>
          <w:bCs/>
          <w:sz w:val="21"/>
          <w:szCs w:val="21"/>
        </w:rPr>
        <w:t xml:space="preserve"> </w:t>
      </w:r>
      <w:r w:rsidRPr="00647ED1">
        <w:rPr>
          <w:rFonts w:ascii="Abadi" w:hAnsi="Abadi" w:cs="Amasis MT Pro Light"/>
          <w:b/>
          <w:bCs/>
          <w:sz w:val="21"/>
          <w:szCs w:val="21"/>
        </w:rPr>
        <w:t>valiéndose de las atribuciones o facultades de su empleo, cargo o comisión,</w:t>
      </w:r>
      <w:r>
        <w:rPr>
          <w:rFonts w:ascii="Abadi" w:hAnsi="Abadi" w:cs="Amasis MT Pro Light"/>
          <w:b/>
          <w:bCs/>
          <w:sz w:val="21"/>
          <w:szCs w:val="21"/>
        </w:rPr>
        <w:t xml:space="preserve"> </w:t>
      </w:r>
      <w:r w:rsidRPr="00647ED1">
        <w:rPr>
          <w:rFonts w:ascii="Abadi" w:hAnsi="Abadi" w:cs="Amasis MT Pro Light"/>
          <w:b/>
          <w:bCs/>
          <w:sz w:val="21"/>
          <w:szCs w:val="21"/>
        </w:rPr>
        <w:t>acuerden designar mutuamente a los familiares del otro como intercambio de</w:t>
      </w:r>
      <w:r>
        <w:rPr>
          <w:rFonts w:ascii="Abadi" w:hAnsi="Abadi" w:cs="Amasis MT Pro Light"/>
          <w:b/>
          <w:bCs/>
          <w:sz w:val="21"/>
          <w:szCs w:val="21"/>
        </w:rPr>
        <w:t xml:space="preserve"> </w:t>
      </w:r>
      <w:r w:rsidRPr="00647ED1">
        <w:rPr>
          <w:rFonts w:ascii="Abadi" w:hAnsi="Abadi" w:cs="Amasis MT Pro Light"/>
          <w:b/>
          <w:bCs/>
          <w:sz w:val="21"/>
          <w:szCs w:val="21"/>
        </w:rPr>
        <w:t>favores.</w:t>
      </w:r>
    </w:p>
    <w:p w14:paraId="0048ADBF" w14:textId="77777777" w:rsidR="00A022D9" w:rsidRDefault="00A022D9" w:rsidP="00A022D9">
      <w:pPr>
        <w:autoSpaceDE w:val="0"/>
        <w:autoSpaceDN w:val="0"/>
        <w:adjustRightInd w:val="0"/>
        <w:jc w:val="both"/>
        <w:rPr>
          <w:rFonts w:ascii="Abadi" w:hAnsi="Abadi" w:cs="Amasis MT Pro Light"/>
          <w:b/>
          <w:bCs/>
          <w:sz w:val="21"/>
          <w:szCs w:val="21"/>
        </w:rPr>
      </w:pPr>
    </w:p>
    <w:p w14:paraId="7F3E33BA" w14:textId="77777777" w:rsidR="00A022D9" w:rsidRPr="00647ED1" w:rsidRDefault="00A022D9" w:rsidP="00A022D9">
      <w:pPr>
        <w:autoSpaceDE w:val="0"/>
        <w:autoSpaceDN w:val="0"/>
        <w:adjustRightInd w:val="0"/>
        <w:jc w:val="center"/>
        <w:rPr>
          <w:rFonts w:ascii="Abadi" w:hAnsi="Abadi" w:cs="Amasis MT Pro Light"/>
          <w:b/>
          <w:bCs/>
          <w:sz w:val="21"/>
          <w:szCs w:val="21"/>
        </w:rPr>
      </w:pPr>
      <w:r w:rsidRPr="00647ED1">
        <w:rPr>
          <w:rFonts w:ascii="Abadi" w:hAnsi="Abadi" w:cs="Amasis MT Pro Light"/>
          <w:b/>
          <w:bCs/>
          <w:sz w:val="21"/>
          <w:szCs w:val="21"/>
        </w:rPr>
        <w:t>TRANSITORIOS</w:t>
      </w:r>
    </w:p>
    <w:p w14:paraId="10536162" w14:textId="77777777" w:rsidR="00A022D9" w:rsidRDefault="00A022D9" w:rsidP="00A022D9">
      <w:pPr>
        <w:autoSpaceDE w:val="0"/>
        <w:autoSpaceDN w:val="0"/>
        <w:adjustRightInd w:val="0"/>
        <w:jc w:val="both"/>
        <w:rPr>
          <w:rFonts w:ascii="Abadi" w:hAnsi="Abadi" w:cs="Amasis MT Pro Light"/>
          <w:b/>
          <w:bCs/>
          <w:sz w:val="21"/>
          <w:szCs w:val="21"/>
        </w:rPr>
      </w:pPr>
    </w:p>
    <w:p w14:paraId="69CBA35F" w14:textId="77777777" w:rsidR="00A022D9" w:rsidRPr="00DB7034" w:rsidRDefault="00A022D9" w:rsidP="00A022D9">
      <w:pPr>
        <w:autoSpaceDE w:val="0"/>
        <w:autoSpaceDN w:val="0"/>
        <w:adjustRightInd w:val="0"/>
        <w:jc w:val="both"/>
        <w:rPr>
          <w:rFonts w:ascii="Abadi" w:hAnsi="Abadi" w:cs="Amasis MT Pro Light"/>
          <w:sz w:val="21"/>
          <w:szCs w:val="21"/>
        </w:rPr>
      </w:pPr>
      <w:r w:rsidRPr="00647ED1">
        <w:rPr>
          <w:rFonts w:ascii="Abadi" w:hAnsi="Abadi" w:cs="Amasis MT Pro Light"/>
          <w:b/>
          <w:bCs/>
          <w:sz w:val="21"/>
          <w:szCs w:val="21"/>
        </w:rPr>
        <w:t>ARTÍCULO ÚNICO.</w:t>
      </w:r>
      <w:r w:rsidRPr="00DB7034">
        <w:rPr>
          <w:rFonts w:ascii="Abadi" w:hAnsi="Abadi" w:cs="Amasis MT Pro Light"/>
          <w:sz w:val="21"/>
          <w:szCs w:val="21"/>
        </w:rPr>
        <w:t xml:space="preserve"> El presente Decreto entrará en vigor al día siguiente de su</w:t>
      </w:r>
      <w:r>
        <w:rPr>
          <w:rFonts w:ascii="Abadi" w:hAnsi="Abadi" w:cs="Amasis MT Pro Light"/>
          <w:sz w:val="21"/>
          <w:szCs w:val="21"/>
        </w:rPr>
        <w:t xml:space="preserve"> </w:t>
      </w:r>
      <w:r w:rsidRPr="00DB7034">
        <w:rPr>
          <w:rFonts w:ascii="Abadi" w:hAnsi="Abadi" w:cs="Amasis MT Pro Light"/>
          <w:sz w:val="21"/>
          <w:szCs w:val="21"/>
        </w:rPr>
        <w:t>publicación en el Periódico Oficial del Gobierno del Estado.</w:t>
      </w:r>
    </w:p>
    <w:p w14:paraId="44476B3F" w14:textId="77777777" w:rsidR="00A022D9" w:rsidRPr="00647ED1" w:rsidRDefault="00A022D9" w:rsidP="00A022D9">
      <w:pPr>
        <w:jc w:val="center"/>
        <w:rPr>
          <w:rFonts w:ascii="Abadi" w:hAnsi="Abadi" w:cs="Amasis MT Pro Light"/>
          <w:b/>
          <w:bCs/>
          <w:sz w:val="21"/>
          <w:szCs w:val="21"/>
        </w:rPr>
      </w:pPr>
    </w:p>
    <w:p w14:paraId="02EA33C5" w14:textId="77777777" w:rsidR="00A022D9" w:rsidRPr="00647ED1" w:rsidRDefault="00A022D9" w:rsidP="00A022D9">
      <w:pPr>
        <w:jc w:val="center"/>
        <w:rPr>
          <w:rFonts w:ascii="Abadi" w:hAnsi="Abadi"/>
          <w:b/>
          <w:bCs/>
          <w:sz w:val="21"/>
          <w:szCs w:val="21"/>
        </w:rPr>
      </w:pPr>
      <w:r w:rsidRPr="00647ED1">
        <w:rPr>
          <w:rFonts w:ascii="Abadi" w:hAnsi="Abadi" w:cs="Amasis MT Pro Light"/>
          <w:b/>
          <w:bCs/>
          <w:sz w:val="21"/>
          <w:szCs w:val="21"/>
        </w:rPr>
        <w:t>GRUPO PARLAMENTARIO DE MORENA</w:t>
      </w:r>
    </w:p>
    <w:p w14:paraId="1BB78B0B" w14:textId="6B5DE881" w:rsidR="005A51AE" w:rsidRDefault="005A51AE" w:rsidP="00E462B6">
      <w:pPr>
        <w:autoSpaceDE w:val="0"/>
        <w:autoSpaceDN w:val="0"/>
        <w:adjustRightInd w:val="0"/>
        <w:jc w:val="both"/>
        <w:rPr>
          <w:rFonts w:ascii="Abadi" w:hAnsi="Abadi" w:cs="ArialMT"/>
          <w:b/>
          <w:bCs/>
          <w:sz w:val="20"/>
          <w:szCs w:val="21"/>
        </w:rPr>
      </w:pPr>
    </w:p>
    <w:p w14:paraId="0CAD8FF5" w14:textId="79785D7A" w:rsidR="005A51AE" w:rsidRDefault="005A51AE" w:rsidP="00E462B6">
      <w:pPr>
        <w:autoSpaceDE w:val="0"/>
        <w:autoSpaceDN w:val="0"/>
        <w:adjustRightInd w:val="0"/>
        <w:jc w:val="both"/>
        <w:rPr>
          <w:rFonts w:ascii="Abadi" w:hAnsi="Abadi" w:cs="ArialMT"/>
          <w:b/>
          <w:bCs/>
          <w:sz w:val="20"/>
          <w:szCs w:val="21"/>
        </w:rPr>
      </w:pPr>
    </w:p>
    <w:p w14:paraId="7FC61EF7" w14:textId="77777777" w:rsidR="00FC192C" w:rsidRPr="00AA7107" w:rsidRDefault="00FC192C" w:rsidP="00FC192C">
      <w:pPr>
        <w:jc w:val="both"/>
        <w:rPr>
          <w:rFonts w:ascii="Abadi" w:hAnsi="Abadi"/>
          <w:sz w:val="21"/>
          <w:szCs w:val="21"/>
        </w:rPr>
      </w:pPr>
      <w:r>
        <w:rPr>
          <w:rFonts w:ascii="Abadi" w:hAnsi="Abadi"/>
          <w:sz w:val="21"/>
          <w:szCs w:val="21"/>
        </w:rPr>
        <w:tab/>
      </w:r>
      <w:r w:rsidRPr="001A4D01">
        <w:rPr>
          <w:rFonts w:ascii="Abadi" w:hAnsi="Abadi"/>
          <w:b/>
          <w:bCs/>
          <w:sz w:val="21"/>
          <w:szCs w:val="21"/>
        </w:rPr>
        <w:t>- El Presidente.-</w:t>
      </w:r>
      <w:r w:rsidRPr="00AA7107">
        <w:rPr>
          <w:rFonts w:ascii="Abadi" w:hAnsi="Abadi"/>
          <w:sz w:val="21"/>
          <w:szCs w:val="21"/>
        </w:rPr>
        <w:t xml:space="preserve"> Pedimos ahora al diputado Ernesto Millán Soberanes dar lectura a la exposición de motivos de la iniciativa referida en el punto 9 de nuestra orden del </w:t>
      </w:r>
      <w:r w:rsidRPr="00AA7107">
        <w:rPr>
          <w:rFonts w:ascii="Abadi" w:hAnsi="Abadi"/>
          <w:sz w:val="21"/>
          <w:szCs w:val="21"/>
        </w:rPr>
        <w:t>día adelante diputado, Ernesto Millán. (ELD 312/LXV-I)</w:t>
      </w:r>
    </w:p>
    <w:p w14:paraId="6E9EF505" w14:textId="77777777" w:rsidR="00FC192C" w:rsidRPr="00AA7107" w:rsidRDefault="00FC192C" w:rsidP="00FC192C">
      <w:pPr>
        <w:jc w:val="both"/>
        <w:rPr>
          <w:rFonts w:ascii="Abadi" w:hAnsi="Abadi"/>
          <w:sz w:val="21"/>
          <w:szCs w:val="21"/>
        </w:rPr>
      </w:pPr>
    </w:p>
    <w:p w14:paraId="632AB46E" w14:textId="77777777" w:rsidR="00FC192C" w:rsidRPr="00AA7107" w:rsidRDefault="00FC192C" w:rsidP="00FC192C">
      <w:pPr>
        <w:jc w:val="both"/>
        <w:rPr>
          <w:rFonts w:ascii="Abadi" w:hAnsi="Abadi"/>
          <w:b/>
          <w:bCs/>
          <w:sz w:val="21"/>
          <w:szCs w:val="21"/>
        </w:rPr>
      </w:pPr>
      <w:r w:rsidRPr="00AA7107">
        <w:rPr>
          <w:rFonts w:ascii="Abadi" w:hAnsi="Abadi"/>
          <w:b/>
          <w:bCs/>
          <w:sz w:val="21"/>
          <w:szCs w:val="21"/>
        </w:rPr>
        <w:t>(Sube a tribuna el diputado Ernesto Millán Soberanes, para dar lectura a la iniciativa en referencia)</w:t>
      </w:r>
    </w:p>
    <w:p w14:paraId="7858C449" w14:textId="77777777" w:rsidR="00FC192C" w:rsidRPr="00AA7107" w:rsidRDefault="00FC192C" w:rsidP="00FC192C">
      <w:pPr>
        <w:jc w:val="both"/>
        <w:rPr>
          <w:rFonts w:ascii="Abadi" w:hAnsi="Abadi"/>
          <w:b/>
          <w:bCs/>
          <w:sz w:val="21"/>
          <w:szCs w:val="21"/>
        </w:rPr>
      </w:pPr>
    </w:p>
    <w:p w14:paraId="006F2D0B" w14:textId="77777777" w:rsidR="00FC192C" w:rsidRPr="00AA7107" w:rsidRDefault="00FC192C" w:rsidP="00FC192C">
      <w:pPr>
        <w:jc w:val="center"/>
        <w:rPr>
          <w:rFonts w:ascii="Abadi" w:hAnsi="Abadi"/>
          <w:b/>
          <w:bCs/>
          <w:sz w:val="21"/>
          <w:szCs w:val="21"/>
        </w:rPr>
      </w:pPr>
      <w:r w:rsidRPr="00AA7107">
        <w:rPr>
          <w:rFonts w:ascii="Abadi" w:hAnsi="Abadi"/>
          <w:b/>
          <w:bCs/>
          <w:sz w:val="21"/>
          <w:szCs w:val="21"/>
        </w:rPr>
        <w:t>(Posicionamiento)</w:t>
      </w:r>
    </w:p>
    <w:p w14:paraId="441FB0AC" w14:textId="63E9F2B6" w:rsidR="00FC192C" w:rsidRPr="00AA7107" w:rsidRDefault="00FC192C" w:rsidP="00FC192C">
      <w:pPr>
        <w:jc w:val="both"/>
        <w:rPr>
          <w:rFonts w:ascii="Abadi" w:hAnsi="Abadi"/>
          <w:b/>
          <w:bCs/>
          <w:sz w:val="21"/>
          <w:szCs w:val="21"/>
        </w:rPr>
      </w:pPr>
      <w:r w:rsidRPr="00AA7107">
        <w:rPr>
          <w:noProof/>
          <w:sz w:val="21"/>
          <w:szCs w:val="21"/>
        </w:rPr>
        <w:drawing>
          <wp:anchor distT="0" distB="0" distL="114300" distR="114300" simplePos="0" relativeHeight="251676672" behindDoc="1" locked="0" layoutInCell="1" allowOverlap="1" wp14:anchorId="365C34C1" wp14:editId="28011C69">
            <wp:simplePos x="0" y="0"/>
            <wp:positionH relativeFrom="column">
              <wp:posOffset>648970</wp:posOffset>
            </wp:positionH>
            <wp:positionV relativeFrom="paragraph">
              <wp:posOffset>462915</wp:posOffset>
            </wp:positionV>
            <wp:extent cx="1539240" cy="800735"/>
            <wp:effectExtent l="247650" t="228600" r="251460" b="780415"/>
            <wp:wrapTight wrapText="bothSides">
              <wp:wrapPolygon edited="0">
                <wp:start x="-3475" y="-6167"/>
                <wp:lineTo x="-3475" y="42138"/>
                <wp:lineTo x="24861" y="42138"/>
                <wp:lineTo x="24861" y="-6167"/>
                <wp:lineTo x="-3475" y="-6167"/>
              </wp:wrapPolygon>
            </wp:wrapTight>
            <wp:docPr id="25" name="Imagen 2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Interfaz de usuario gráfica, Aplicación&#10;&#10;Descripción generada automáticamente"/>
                    <pic:cNvPicPr/>
                  </pic:nvPicPr>
                  <pic:blipFill rotWithShape="1">
                    <a:blip r:embed="rId28" cstate="print">
                      <a:extLst>
                        <a:ext uri="{28A0092B-C50C-407E-A947-70E740481C1C}">
                          <a14:useLocalDpi xmlns:a14="http://schemas.microsoft.com/office/drawing/2010/main" val="0"/>
                        </a:ext>
                      </a:extLst>
                    </a:blip>
                    <a:srcRect b="7497"/>
                    <a:stretch/>
                  </pic:blipFill>
                  <pic:spPr bwMode="auto">
                    <a:xfrm>
                      <a:off x="0" y="0"/>
                      <a:ext cx="1539240" cy="80073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0EC9A0BD" w14:textId="79A90321" w:rsidR="00FC192C" w:rsidRPr="00AA7107" w:rsidRDefault="00FC192C" w:rsidP="00FC192C">
      <w:pPr>
        <w:jc w:val="both"/>
        <w:rPr>
          <w:rFonts w:ascii="Abadi" w:hAnsi="Abadi"/>
          <w:b/>
          <w:bCs/>
          <w:sz w:val="21"/>
          <w:szCs w:val="21"/>
        </w:rPr>
      </w:pPr>
    </w:p>
    <w:p w14:paraId="682820F7" w14:textId="21111559" w:rsidR="00FC192C" w:rsidRDefault="00FC192C" w:rsidP="00FC192C">
      <w:pPr>
        <w:jc w:val="both"/>
        <w:rPr>
          <w:rFonts w:ascii="Abadi" w:hAnsi="Abadi"/>
          <w:sz w:val="21"/>
          <w:szCs w:val="21"/>
        </w:rPr>
      </w:pPr>
    </w:p>
    <w:p w14:paraId="276CBA05" w14:textId="73AFD2AC" w:rsidR="00FC192C" w:rsidRDefault="00FC192C" w:rsidP="00FC192C">
      <w:pPr>
        <w:jc w:val="both"/>
        <w:rPr>
          <w:rFonts w:ascii="Abadi" w:hAnsi="Abadi"/>
          <w:sz w:val="21"/>
          <w:szCs w:val="21"/>
        </w:rPr>
      </w:pPr>
    </w:p>
    <w:p w14:paraId="3B320885" w14:textId="097DAFDC" w:rsidR="00FC192C" w:rsidRDefault="00FC192C" w:rsidP="00FC192C">
      <w:pPr>
        <w:jc w:val="both"/>
        <w:rPr>
          <w:rFonts w:ascii="Abadi" w:hAnsi="Abadi"/>
          <w:sz w:val="21"/>
          <w:szCs w:val="21"/>
        </w:rPr>
      </w:pPr>
    </w:p>
    <w:p w14:paraId="35D040B9" w14:textId="114FBCB8" w:rsidR="00FC192C" w:rsidRDefault="00FC192C" w:rsidP="00FC192C">
      <w:pPr>
        <w:jc w:val="both"/>
        <w:rPr>
          <w:rFonts w:ascii="Abadi" w:hAnsi="Abadi"/>
          <w:sz w:val="21"/>
          <w:szCs w:val="21"/>
        </w:rPr>
      </w:pPr>
    </w:p>
    <w:p w14:paraId="3B07AB92" w14:textId="304DD9E1" w:rsidR="00FC192C" w:rsidRDefault="00FC192C" w:rsidP="00FC192C">
      <w:pPr>
        <w:jc w:val="both"/>
        <w:rPr>
          <w:rFonts w:ascii="Abadi" w:hAnsi="Abadi"/>
          <w:sz w:val="21"/>
          <w:szCs w:val="21"/>
        </w:rPr>
      </w:pPr>
    </w:p>
    <w:p w14:paraId="35AC5E69" w14:textId="30AEBB89" w:rsidR="00FC192C" w:rsidRDefault="00FC192C" w:rsidP="00FC192C">
      <w:pPr>
        <w:jc w:val="both"/>
        <w:rPr>
          <w:rFonts w:ascii="Abadi" w:hAnsi="Abadi"/>
          <w:sz w:val="21"/>
          <w:szCs w:val="21"/>
        </w:rPr>
      </w:pPr>
    </w:p>
    <w:p w14:paraId="3A5D44FF" w14:textId="272CB664" w:rsidR="00FC192C" w:rsidRDefault="00FC192C" w:rsidP="00FC192C">
      <w:pPr>
        <w:jc w:val="both"/>
        <w:rPr>
          <w:rFonts w:ascii="Abadi" w:hAnsi="Abadi"/>
          <w:sz w:val="21"/>
          <w:szCs w:val="21"/>
        </w:rPr>
      </w:pPr>
    </w:p>
    <w:p w14:paraId="795DE64D" w14:textId="22591F38" w:rsidR="00FC192C" w:rsidRDefault="00FC192C" w:rsidP="00FC192C">
      <w:pPr>
        <w:jc w:val="both"/>
        <w:rPr>
          <w:rFonts w:ascii="Abadi" w:hAnsi="Abadi"/>
          <w:sz w:val="21"/>
          <w:szCs w:val="21"/>
        </w:rPr>
      </w:pPr>
    </w:p>
    <w:p w14:paraId="500F7BF0" w14:textId="7D1282CC" w:rsidR="00FC192C" w:rsidRDefault="00FC192C" w:rsidP="00FC192C">
      <w:pPr>
        <w:jc w:val="both"/>
        <w:rPr>
          <w:rFonts w:ascii="Abadi" w:hAnsi="Abadi"/>
          <w:sz w:val="21"/>
          <w:szCs w:val="21"/>
        </w:rPr>
      </w:pPr>
    </w:p>
    <w:p w14:paraId="4A30B96E" w14:textId="4A468B66" w:rsidR="00FC192C" w:rsidRDefault="00FC192C" w:rsidP="00FC192C">
      <w:pPr>
        <w:jc w:val="both"/>
        <w:rPr>
          <w:rFonts w:ascii="Abadi" w:hAnsi="Abadi"/>
          <w:sz w:val="21"/>
          <w:szCs w:val="21"/>
        </w:rPr>
      </w:pPr>
    </w:p>
    <w:p w14:paraId="0F5EAB1D" w14:textId="3DD72FF5" w:rsidR="00FC192C" w:rsidRDefault="00FC192C" w:rsidP="00FC192C">
      <w:pPr>
        <w:jc w:val="both"/>
        <w:rPr>
          <w:rFonts w:ascii="Abadi" w:hAnsi="Abadi"/>
          <w:sz w:val="21"/>
          <w:szCs w:val="21"/>
        </w:rPr>
      </w:pPr>
    </w:p>
    <w:p w14:paraId="03579B3B" w14:textId="52EAD603" w:rsidR="00FC192C" w:rsidRDefault="00FC192C" w:rsidP="00FC192C">
      <w:pPr>
        <w:jc w:val="both"/>
        <w:rPr>
          <w:rFonts w:ascii="Abadi" w:hAnsi="Abadi"/>
          <w:sz w:val="21"/>
          <w:szCs w:val="21"/>
        </w:rPr>
      </w:pPr>
    </w:p>
    <w:p w14:paraId="1621180B" w14:textId="77777777" w:rsidR="00FC192C" w:rsidRPr="00AA7107" w:rsidRDefault="00FC192C" w:rsidP="00FC192C">
      <w:pPr>
        <w:jc w:val="both"/>
        <w:rPr>
          <w:rFonts w:ascii="Abadi" w:hAnsi="Abadi"/>
          <w:sz w:val="21"/>
          <w:szCs w:val="21"/>
        </w:rPr>
      </w:pPr>
    </w:p>
    <w:p w14:paraId="6685874F" w14:textId="77777777" w:rsidR="00FC192C" w:rsidRPr="00AA7107" w:rsidRDefault="00FC192C" w:rsidP="00D417A8">
      <w:pPr>
        <w:jc w:val="center"/>
        <w:rPr>
          <w:rFonts w:ascii="Abadi" w:hAnsi="Abadi"/>
          <w:b/>
          <w:bCs/>
          <w:sz w:val="21"/>
          <w:szCs w:val="21"/>
        </w:rPr>
      </w:pPr>
      <w:r w:rsidRPr="00AA7107">
        <w:rPr>
          <w:rFonts w:ascii="Abadi" w:hAnsi="Abadi"/>
          <w:b/>
          <w:bCs/>
          <w:sz w:val="21"/>
          <w:szCs w:val="21"/>
        </w:rPr>
        <w:t>- Diputado Ernesto Millán Soberanes –</w:t>
      </w:r>
    </w:p>
    <w:p w14:paraId="2BA4CAE6" w14:textId="77777777" w:rsidR="00FC192C" w:rsidRPr="00AA7107" w:rsidRDefault="00FC192C" w:rsidP="00FC192C">
      <w:pPr>
        <w:jc w:val="both"/>
        <w:rPr>
          <w:rFonts w:ascii="Abadi" w:hAnsi="Abadi"/>
          <w:b/>
          <w:bCs/>
          <w:sz w:val="21"/>
          <w:szCs w:val="21"/>
        </w:rPr>
      </w:pPr>
    </w:p>
    <w:p w14:paraId="6C08B44A" w14:textId="63FA9910" w:rsidR="00FC192C" w:rsidRDefault="00FC192C" w:rsidP="00FC192C">
      <w:pPr>
        <w:jc w:val="both"/>
        <w:rPr>
          <w:rFonts w:ascii="Abadi" w:hAnsi="Abadi"/>
          <w:sz w:val="21"/>
          <w:szCs w:val="21"/>
        </w:rPr>
      </w:pPr>
      <w:r w:rsidRPr="00AA7107">
        <w:rPr>
          <w:rFonts w:ascii="Abadi" w:hAnsi="Abadi"/>
          <w:sz w:val="21"/>
          <w:szCs w:val="21"/>
        </w:rPr>
        <w:t xml:space="preserve">- Muchas gracias, Presidente muy buenos días a todos y a todos un gusto saludarles compañeras y compañeros diputados, a los medios que nos acompañan muchas gracias, por siempre estar aquí pendiente de las sesiones, a los que nos ven a distancia a través de las redes sociales y </w:t>
      </w:r>
      <w:r w:rsidR="00D417A8">
        <w:rPr>
          <w:rFonts w:ascii="Abadi" w:hAnsi="Abadi"/>
          <w:sz w:val="21"/>
          <w:szCs w:val="21"/>
        </w:rPr>
        <w:t xml:space="preserve">los </w:t>
      </w:r>
      <w:r w:rsidR="00D417A8" w:rsidRPr="00AA7107">
        <w:rPr>
          <w:rFonts w:ascii="Abadi" w:hAnsi="Abadi"/>
          <w:sz w:val="21"/>
          <w:szCs w:val="21"/>
        </w:rPr>
        <w:t>diferentes</w:t>
      </w:r>
      <w:r w:rsidRPr="00AA7107">
        <w:rPr>
          <w:rFonts w:ascii="Abadi" w:hAnsi="Abadi"/>
          <w:sz w:val="21"/>
          <w:szCs w:val="21"/>
        </w:rPr>
        <w:t xml:space="preserve"> medios, muchas gracias a todas y todos compañeras, compañeros. </w:t>
      </w:r>
    </w:p>
    <w:p w14:paraId="745F3416" w14:textId="77777777" w:rsidR="00D417A8" w:rsidRPr="00AA7107" w:rsidRDefault="00D417A8" w:rsidP="00FC192C">
      <w:pPr>
        <w:jc w:val="both"/>
        <w:rPr>
          <w:rFonts w:ascii="Abadi" w:hAnsi="Abadi"/>
          <w:sz w:val="21"/>
          <w:szCs w:val="21"/>
        </w:rPr>
      </w:pPr>
    </w:p>
    <w:p w14:paraId="24F979D0" w14:textId="1FCEE0CB" w:rsidR="00FC192C" w:rsidRDefault="00FC192C" w:rsidP="00FC192C">
      <w:pPr>
        <w:jc w:val="both"/>
        <w:rPr>
          <w:rFonts w:ascii="Abadi" w:hAnsi="Abadi"/>
          <w:sz w:val="21"/>
          <w:szCs w:val="21"/>
        </w:rPr>
      </w:pPr>
      <w:r w:rsidRPr="00AA7107">
        <w:rPr>
          <w:rFonts w:ascii="Abadi" w:hAnsi="Abadi"/>
          <w:sz w:val="21"/>
          <w:szCs w:val="21"/>
        </w:rPr>
        <w:t xml:space="preserve">- Hay un tema que ha estado sin atención, quizá que ha venido creciendo de manera muy importante en los últimos años y que difícilmente volteamos a verlo, es, sí, precisamente que tiene que ver con la cuatro T compañero, que es la anticorrupción ¡justamente! ¡le diste en el clavo! </w:t>
      </w:r>
      <w:r w:rsidRPr="00AA7107">
        <w:rPr>
          <w:rFonts w:ascii="Abadi" w:hAnsi="Abadi"/>
          <w:b/>
          <w:bCs/>
          <w:sz w:val="21"/>
          <w:szCs w:val="21"/>
        </w:rPr>
        <w:t>(Voz) diputado Presidente,</w:t>
      </w:r>
      <w:r w:rsidRPr="00AA7107">
        <w:rPr>
          <w:rFonts w:ascii="Abadi" w:hAnsi="Abadi"/>
          <w:sz w:val="21"/>
          <w:szCs w:val="21"/>
        </w:rPr>
        <w:t xml:space="preserve"> solicita a los diputados Ernesto Millán y Miguel Angel Salim, favor de no hacer interpelación ni diálogos mediante durante la presentación de la exposición de motivos ¡por favor!</w:t>
      </w:r>
    </w:p>
    <w:p w14:paraId="5E928763" w14:textId="77777777" w:rsidR="00D417A8" w:rsidRPr="00AA7107" w:rsidRDefault="00D417A8" w:rsidP="00FC192C">
      <w:pPr>
        <w:jc w:val="both"/>
        <w:rPr>
          <w:rFonts w:ascii="Abadi" w:hAnsi="Abadi"/>
          <w:sz w:val="21"/>
          <w:szCs w:val="21"/>
        </w:rPr>
      </w:pPr>
    </w:p>
    <w:p w14:paraId="11C2EF04" w14:textId="3660D149" w:rsidR="00FC192C" w:rsidRDefault="00FC192C" w:rsidP="00FC192C">
      <w:pPr>
        <w:jc w:val="both"/>
        <w:rPr>
          <w:rFonts w:ascii="Abadi" w:hAnsi="Abadi"/>
          <w:sz w:val="21"/>
          <w:szCs w:val="21"/>
        </w:rPr>
      </w:pPr>
      <w:r w:rsidRPr="00AA7107">
        <w:rPr>
          <w:rFonts w:ascii="Abadi" w:hAnsi="Abadi"/>
          <w:b/>
          <w:bCs/>
          <w:sz w:val="21"/>
          <w:szCs w:val="21"/>
        </w:rPr>
        <w:t>(Voz) diputado Ernesto Millán,</w:t>
      </w:r>
      <w:r w:rsidRPr="00AA7107">
        <w:rPr>
          <w:rFonts w:ascii="Abadi" w:hAnsi="Abadi"/>
          <w:sz w:val="21"/>
          <w:szCs w:val="21"/>
        </w:rPr>
        <w:t xml:space="preserve"> ¡bien! Presidente se atiende, </w:t>
      </w:r>
      <w:r>
        <w:rPr>
          <w:rFonts w:ascii="Abadi" w:hAnsi="Abadi"/>
          <w:sz w:val="21"/>
          <w:szCs w:val="21"/>
        </w:rPr>
        <w:t>¡</w:t>
      </w:r>
      <w:r w:rsidRPr="00AA7107">
        <w:rPr>
          <w:rFonts w:ascii="Abadi" w:hAnsi="Abadi"/>
          <w:sz w:val="21"/>
          <w:szCs w:val="21"/>
        </w:rPr>
        <w:t>gracias</w:t>
      </w:r>
      <w:r>
        <w:rPr>
          <w:rFonts w:ascii="Abadi" w:hAnsi="Abadi"/>
          <w:sz w:val="21"/>
          <w:szCs w:val="21"/>
        </w:rPr>
        <w:t>!</w:t>
      </w:r>
      <w:r w:rsidRPr="00AA7107">
        <w:rPr>
          <w:rFonts w:ascii="Abadi" w:hAnsi="Abadi"/>
          <w:sz w:val="21"/>
          <w:szCs w:val="21"/>
        </w:rPr>
        <w:t xml:space="preserve"> y con el permiso y la venia de la Mesa, la presente iniciativa tiene como finalidad fortalecer el combate a la corrupción; en tanto que este problema público representa altos costos en términos sociales políticos y económicos; pues vulnera el debido funcionamiento de las </w:t>
      </w:r>
      <w:r w:rsidRPr="00AA7107">
        <w:rPr>
          <w:rFonts w:ascii="Abadi" w:hAnsi="Abadi"/>
          <w:sz w:val="21"/>
          <w:szCs w:val="21"/>
        </w:rPr>
        <w:lastRenderedPageBreak/>
        <w:t xml:space="preserve">distintas dependencias del gobierno general estatal desde el Poder Judicial hasta la </w:t>
      </w:r>
      <w:r>
        <w:rPr>
          <w:rFonts w:ascii="Abadi" w:hAnsi="Abadi"/>
          <w:sz w:val="21"/>
          <w:szCs w:val="21"/>
        </w:rPr>
        <w:t>F</w:t>
      </w:r>
      <w:r w:rsidRPr="00AA7107">
        <w:rPr>
          <w:rFonts w:ascii="Abadi" w:hAnsi="Abadi"/>
          <w:sz w:val="21"/>
          <w:szCs w:val="21"/>
        </w:rPr>
        <w:t xml:space="preserve">iscalía </w:t>
      </w:r>
      <w:r>
        <w:rPr>
          <w:rFonts w:ascii="Abadi" w:hAnsi="Abadi"/>
          <w:sz w:val="21"/>
          <w:szCs w:val="21"/>
        </w:rPr>
        <w:t>G</w:t>
      </w:r>
      <w:r w:rsidRPr="00AA7107">
        <w:rPr>
          <w:rFonts w:ascii="Abadi" w:hAnsi="Abadi"/>
          <w:sz w:val="21"/>
          <w:szCs w:val="21"/>
        </w:rPr>
        <w:t>eneral del Estado pasando por los otros poderes y organismos autónomos.</w:t>
      </w:r>
    </w:p>
    <w:p w14:paraId="3B499BB6" w14:textId="77777777" w:rsidR="00D417A8" w:rsidRPr="00AA7107" w:rsidRDefault="00D417A8" w:rsidP="00FC192C">
      <w:pPr>
        <w:jc w:val="both"/>
        <w:rPr>
          <w:rFonts w:ascii="Abadi" w:hAnsi="Abadi"/>
          <w:sz w:val="21"/>
          <w:szCs w:val="21"/>
        </w:rPr>
      </w:pPr>
    </w:p>
    <w:p w14:paraId="7E5826BE" w14:textId="11E765D1" w:rsidR="00FC192C" w:rsidRDefault="00FC192C" w:rsidP="00FC192C">
      <w:pPr>
        <w:jc w:val="both"/>
        <w:rPr>
          <w:rFonts w:ascii="Abadi" w:hAnsi="Abadi"/>
          <w:sz w:val="21"/>
          <w:szCs w:val="21"/>
        </w:rPr>
      </w:pPr>
      <w:r w:rsidRPr="00AA7107">
        <w:rPr>
          <w:rFonts w:ascii="Abadi" w:hAnsi="Abadi"/>
          <w:sz w:val="21"/>
          <w:szCs w:val="21"/>
        </w:rPr>
        <w:t>- En lo particular el propósito es reconocer el nepotismo como una práctica que subordina el interés público, a los intereses familiares y personales de los servidores públicos, que incurren en dicha práctica, por lo cual debe de ser vigilada investigada y en su caso castigada; el nepotismo puede entenderse como una modalidad de corrupción en los procesos de selección y designación de cargos o puestos públicos por parte de las autoridades con potestad o capacidad indirecta para nombrar o contratar personal aprovechándose de esta condición para favorecer ilegalmente a sus parientes o familiares.</w:t>
      </w:r>
    </w:p>
    <w:p w14:paraId="7539CE73" w14:textId="77777777" w:rsidR="00D417A8" w:rsidRPr="00AA7107" w:rsidRDefault="00D417A8" w:rsidP="00FC192C">
      <w:pPr>
        <w:jc w:val="both"/>
        <w:rPr>
          <w:rFonts w:ascii="Abadi" w:hAnsi="Abadi"/>
          <w:sz w:val="21"/>
          <w:szCs w:val="21"/>
        </w:rPr>
      </w:pPr>
    </w:p>
    <w:p w14:paraId="16D3535E" w14:textId="3BB1F5DD" w:rsidR="00FC192C" w:rsidRDefault="00FC192C" w:rsidP="00FC192C">
      <w:pPr>
        <w:jc w:val="both"/>
        <w:rPr>
          <w:rFonts w:ascii="Abadi" w:hAnsi="Abadi"/>
          <w:sz w:val="21"/>
          <w:szCs w:val="21"/>
        </w:rPr>
      </w:pPr>
      <w:r w:rsidRPr="00AA7107">
        <w:rPr>
          <w:rFonts w:ascii="Abadi" w:hAnsi="Abadi"/>
          <w:sz w:val="21"/>
          <w:szCs w:val="21"/>
        </w:rPr>
        <w:t xml:space="preserve">- En este sentido existe consenso en entender al nepotismo como una manifestación de corrupción tradicional que se constituye como un abierto reemplazo del mérito por el parentesco de esta manera los vínculos familiares son un pilar analítico de la caracterización del nepotismo por lo cual es necesario precisar que además de los lazos de matrimonio o c concubinato existen dos tipos de lazos de parentesco por consanguinidad y por afinidad. </w:t>
      </w:r>
    </w:p>
    <w:p w14:paraId="3531F6CD" w14:textId="77777777" w:rsidR="00D417A8" w:rsidRPr="00AA7107" w:rsidRDefault="00D417A8" w:rsidP="00FC192C">
      <w:pPr>
        <w:jc w:val="both"/>
        <w:rPr>
          <w:rFonts w:ascii="Abadi" w:hAnsi="Abadi"/>
          <w:sz w:val="21"/>
          <w:szCs w:val="21"/>
        </w:rPr>
      </w:pPr>
    </w:p>
    <w:p w14:paraId="4431F8DE" w14:textId="439D4876" w:rsidR="00FC192C" w:rsidRDefault="00FC192C" w:rsidP="00FC192C">
      <w:pPr>
        <w:jc w:val="both"/>
        <w:rPr>
          <w:rFonts w:ascii="Abadi" w:hAnsi="Abadi"/>
          <w:sz w:val="21"/>
          <w:szCs w:val="21"/>
        </w:rPr>
      </w:pPr>
      <w:r w:rsidRPr="00AA7107">
        <w:rPr>
          <w:rFonts w:ascii="Abadi" w:hAnsi="Abadi"/>
          <w:sz w:val="21"/>
          <w:szCs w:val="21"/>
        </w:rPr>
        <w:t>- Adicionalmente existe una práctica a la que se le ha denominado nepotismo cruzado la cual es mucho más común de lo que pudiéramos pensar; que consiste en el acuerdo entre dos o más funcionarios públicos para emplear a los miembros de la familia de cada uno de ellos como intercambio de favores, fue  hasta el cierre del 2019 cuando se exhibió la Ley Federal de Austeridad Republicana, en qué se defendió ¡perdón! en que se definió el nepotismo como la designación otorgamiento de nombramiento o contratación que realiza servidor público de personas con las que tengan lazos de parentesco por consanguinidad hasta el cuarto grado, de afinidad hasta el segundo grado, o vínculo del matrimonio o concubinato para que preste sus servicios de la misma institución dependencia o ente público, en que este labore</w:t>
      </w:r>
      <w:r w:rsidR="00D417A8">
        <w:rPr>
          <w:rFonts w:ascii="Abadi" w:hAnsi="Abadi"/>
          <w:sz w:val="21"/>
          <w:szCs w:val="21"/>
        </w:rPr>
        <w:t>.</w:t>
      </w:r>
    </w:p>
    <w:p w14:paraId="03F19E81" w14:textId="77777777" w:rsidR="00D417A8" w:rsidRPr="00AA7107" w:rsidRDefault="00D417A8" w:rsidP="00FC192C">
      <w:pPr>
        <w:jc w:val="both"/>
        <w:rPr>
          <w:rFonts w:ascii="Abadi" w:hAnsi="Abadi"/>
          <w:sz w:val="21"/>
          <w:szCs w:val="21"/>
        </w:rPr>
      </w:pPr>
    </w:p>
    <w:p w14:paraId="4C252D92" w14:textId="675A60DA" w:rsidR="00FC192C" w:rsidRDefault="00FC192C" w:rsidP="00FC192C">
      <w:pPr>
        <w:jc w:val="both"/>
        <w:rPr>
          <w:rFonts w:ascii="Abadi" w:hAnsi="Abadi"/>
          <w:sz w:val="21"/>
          <w:szCs w:val="21"/>
        </w:rPr>
      </w:pPr>
      <w:r w:rsidRPr="00AA7107">
        <w:rPr>
          <w:rFonts w:ascii="Abadi" w:hAnsi="Abadi"/>
          <w:sz w:val="21"/>
          <w:szCs w:val="21"/>
        </w:rPr>
        <w:t xml:space="preserve">- Al mismo tiempo se publicó la reforma de la Ley General de Responsabilidades </w:t>
      </w:r>
      <w:r w:rsidRPr="00AA7107">
        <w:rPr>
          <w:rFonts w:ascii="Abadi" w:hAnsi="Abadi"/>
          <w:sz w:val="21"/>
          <w:szCs w:val="21"/>
        </w:rPr>
        <w:t>Administrativas mediante la cual entre otras cosas se adicionó un artículo para reconocer el nepotismo como una falta de iniciativa grave, de los servidores públicos con lo cual debe deben abstenerse de realizar de realizarlas mediante cualquier acto u omisión.</w:t>
      </w:r>
    </w:p>
    <w:p w14:paraId="1142688F" w14:textId="77777777" w:rsidR="00D417A8" w:rsidRPr="00AA7107" w:rsidRDefault="00D417A8" w:rsidP="00FC192C">
      <w:pPr>
        <w:jc w:val="both"/>
        <w:rPr>
          <w:rFonts w:ascii="Abadi" w:hAnsi="Abadi"/>
          <w:sz w:val="21"/>
          <w:szCs w:val="21"/>
        </w:rPr>
      </w:pPr>
    </w:p>
    <w:p w14:paraId="49521A79" w14:textId="45B21594" w:rsidR="00FC192C" w:rsidRDefault="00FC192C" w:rsidP="00FC192C">
      <w:pPr>
        <w:jc w:val="both"/>
        <w:rPr>
          <w:rFonts w:ascii="Abadi" w:hAnsi="Abadi"/>
          <w:sz w:val="21"/>
          <w:szCs w:val="21"/>
        </w:rPr>
      </w:pPr>
      <w:r w:rsidRPr="00AA7107">
        <w:rPr>
          <w:rFonts w:ascii="Abadi" w:hAnsi="Abadi"/>
          <w:sz w:val="21"/>
          <w:szCs w:val="21"/>
        </w:rPr>
        <w:t>- En los estados puede referirse ejemplos como alternativo al Estado de Hidalgo en donde su Ley de Responsabilidades Administrativas reconoce el nepotismo como falta administrativa grave; de igual forma otras entidades como Morelos o Jalisco, incorporan al nepotismo como falta administrativa grave refiriendo dentro de su ordenamiento local el reconocimiento de las faltas administrativas graves mediante la referencia directa a la Ley General de Responsabilidades Administrativas.</w:t>
      </w:r>
    </w:p>
    <w:p w14:paraId="5BF295B9" w14:textId="77777777" w:rsidR="00D417A8" w:rsidRPr="00AA7107" w:rsidRDefault="00D417A8" w:rsidP="00FC192C">
      <w:pPr>
        <w:jc w:val="both"/>
        <w:rPr>
          <w:rFonts w:ascii="Abadi" w:hAnsi="Abadi"/>
          <w:sz w:val="21"/>
          <w:szCs w:val="21"/>
        </w:rPr>
      </w:pPr>
    </w:p>
    <w:p w14:paraId="6DCE6507" w14:textId="0466B493" w:rsidR="00FC192C" w:rsidRDefault="00FC192C" w:rsidP="00FC192C">
      <w:pPr>
        <w:jc w:val="both"/>
        <w:rPr>
          <w:rFonts w:ascii="Abadi" w:hAnsi="Abadi"/>
          <w:sz w:val="21"/>
          <w:szCs w:val="21"/>
        </w:rPr>
      </w:pPr>
      <w:r w:rsidRPr="00AA7107">
        <w:rPr>
          <w:rFonts w:ascii="Abadi" w:hAnsi="Abadi"/>
          <w:sz w:val="21"/>
          <w:szCs w:val="21"/>
        </w:rPr>
        <w:t xml:space="preserve">- El nepotismo es un problema que se enquisto durante décadas, en todas las instituciones del estado, en los tres niveles de gobierno; por lo cual está practica a estado documentada sistemáticamente. </w:t>
      </w:r>
    </w:p>
    <w:p w14:paraId="732A2120" w14:textId="77777777" w:rsidR="00D417A8" w:rsidRPr="00AA7107" w:rsidRDefault="00D417A8" w:rsidP="00FC192C">
      <w:pPr>
        <w:jc w:val="both"/>
        <w:rPr>
          <w:rFonts w:ascii="Abadi" w:hAnsi="Abadi"/>
          <w:sz w:val="21"/>
          <w:szCs w:val="21"/>
        </w:rPr>
      </w:pPr>
    </w:p>
    <w:p w14:paraId="2206ABEA" w14:textId="58D5F64E" w:rsidR="00FC192C" w:rsidRDefault="00FC192C" w:rsidP="00FC192C">
      <w:pPr>
        <w:jc w:val="both"/>
        <w:rPr>
          <w:rFonts w:ascii="Abadi" w:hAnsi="Abadi"/>
          <w:sz w:val="21"/>
          <w:szCs w:val="21"/>
        </w:rPr>
      </w:pPr>
      <w:r w:rsidRPr="00AA7107">
        <w:rPr>
          <w:rFonts w:ascii="Abadi" w:hAnsi="Abadi"/>
          <w:sz w:val="21"/>
          <w:szCs w:val="21"/>
        </w:rPr>
        <w:t xml:space="preserve">- Uno de los casos más recientes se dio en 2018, en el poder de la Federación  cuando se evidencio que el 51% de los jueces y magistrados, tenían al menos un familiar laborando, en su propio circuito de los cuales 68% eran familiares por consanguinidad y 32% por afinidad, en el mismo sentido se documentó como un magistrado, del vigésimo quinto correspondiente a Durango integró una red 17 familiares en diversos puestos, un ejemplo local puede encontrarse en el Poder Judicial del Estado de Guanajuato, en este caso durante la revisión de la cuenta pública 2019 realizada por la Auditoría Superior del Estado se encontraron diversas irregularidades entre las que destacaron las redes de nepotismo al interior de dicha institución, según el informe de resultados de la auditoría en mención 21 servidores del Poder Judicial del Estado de Guanajuato, tiene un vínculo matrimonial o de parentesco dentro del segundo grado, encontrándose adscritos a un mismo órgano jurisdiccional o dependencia administrativa, en el mismo sentido una magistrada presidenta del Supremo Tribunal de justicia no se abstuvo de votar el nombramiento de una Coordinadora de Apoyo Regional en la zona Celaya, pese a tener impedimento por parentesco con la persona nombrada. </w:t>
      </w:r>
    </w:p>
    <w:p w14:paraId="2356F464" w14:textId="77777777" w:rsidR="00D417A8" w:rsidRPr="00AA7107" w:rsidRDefault="00D417A8" w:rsidP="00FC192C">
      <w:pPr>
        <w:jc w:val="both"/>
        <w:rPr>
          <w:rFonts w:ascii="Abadi" w:hAnsi="Abadi"/>
          <w:sz w:val="21"/>
          <w:szCs w:val="21"/>
        </w:rPr>
      </w:pPr>
    </w:p>
    <w:p w14:paraId="74FDF8E9" w14:textId="59EA62F0" w:rsidR="00FC192C" w:rsidRDefault="00FC192C" w:rsidP="00FC192C">
      <w:pPr>
        <w:jc w:val="both"/>
        <w:rPr>
          <w:rFonts w:ascii="Abadi" w:hAnsi="Abadi"/>
          <w:sz w:val="21"/>
          <w:szCs w:val="21"/>
        </w:rPr>
      </w:pPr>
      <w:r w:rsidRPr="00AA7107">
        <w:rPr>
          <w:rFonts w:ascii="Abadi" w:hAnsi="Abadi"/>
          <w:sz w:val="21"/>
          <w:szCs w:val="21"/>
        </w:rPr>
        <w:t xml:space="preserve">- Esto en el Poder Judicial pero en el Poder Ejecutivo no se queda atrás y es bien sabido al interior de las dependencias y por los ciudadanos que existe un sinnúmero de ejemplos donde el parentesco es más importante que la capacidad y las habilidades laborales donde ascienden a niveles directivos hacia al familiar sin experiencia dejando atrás al que trae una larga experiencia y conocimiento laboral del tema o del área en el que están. </w:t>
      </w:r>
    </w:p>
    <w:p w14:paraId="0FE27D63" w14:textId="77777777" w:rsidR="00D417A8" w:rsidRPr="00AA7107" w:rsidRDefault="00D417A8" w:rsidP="00FC192C">
      <w:pPr>
        <w:jc w:val="both"/>
        <w:rPr>
          <w:rFonts w:ascii="Abadi" w:hAnsi="Abadi"/>
          <w:sz w:val="21"/>
          <w:szCs w:val="21"/>
        </w:rPr>
      </w:pPr>
    </w:p>
    <w:p w14:paraId="4E42F8BB" w14:textId="77777777" w:rsidR="00FC192C" w:rsidRPr="00AA7107" w:rsidRDefault="00FC192C" w:rsidP="00FC192C">
      <w:pPr>
        <w:jc w:val="both"/>
        <w:rPr>
          <w:rFonts w:ascii="Abadi" w:hAnsi="Abadi"/>
          <w:sz w:val="21"/>
          <w:szCs w:val="21"/>
        </w:rPr>
      </w:pPr>
      <w:r w:rsidRPr="00AA7107">
        <w:rPr>
          <w:rFonts w:ascii="Abadi" w:hAnsi="Abadi"/>
          <w:sz w:val="21"/>
          <w:szCs w:val="21"/>
        </w:rPr>
        <w:t>- Ayuntamientos donde para obtener votaciones favorables el Presidente municipal otorga espacio laborales síndicos o espacios para las familias de los Directores Generales para crear así una red de corrupción y nepotismo al interior de los municipios, incluso hay municipios donde sólo les falta llevarse al perico para estar en la nómina de ese municipio, sin tener ninguna actividad específica ¡caracoles en serio!</w:t>
      </w:r>
    </w:p>
    <w:p w14:paraId="7A4D01F6" w14:textId="7EF0FD87" w:rsidR="00FC192C" w:rsidRDefault="00FC192C" w:rsidP="00FC192C">
      <w:pPr>
        <w:jc w:val="both"/>
        <w:rPr>
          <w:rFonts w:ascii="Abadi" w:hAnsi="Abadi"/>
          <w:sz w:val="21"/>
          <w:szCs w:val="21"/>
        </w:rPr>
      </w:pPr>
      <w:r w:rsidRPr="00AA7107">
        <w:rPr>
          <w:rFonts w:ascii="Abadi" w:hAnsi="Abadi"/>
          <w:sz w:val="21"/>
          <w:szCs w:val="21"/>
        </w:rPr>
        <w:t>¡de cuidado! ¡recaspita! con lo anterior las y los iniciantes de la presente propuesta que es el Grupo Parlamentario de Morena consideramos necesario actualizar el marco jurídico del estado de guanajuato para reconocer y combatir esta práctica incluyendo el nepotismo cruzado se propone incorporar el nepotismo como una falta administrativa grave, en la Ley de Responsabilidades Administrativas para el Estado de Guanajuato en armonía con la Ley General en la materia con la finalidad de contribuir al combate a la corrupción mediante el reconocimiento de una de sus manifestaciones con la finalidad de investigarla y en su caso sancionarla, castigando así a los servidores públicos que valiéndose de las atribuciones o facultades de su empleo designe para que se contrate como personal de confianza de estructura de base o por honorarios y de cualquier forma a personas con las que tengan lazos de parentesco por consanguinidad hasta el cuarto grado, de afinidad hasta el segundo grado, o vínculo de matrimonio o concubinato.</w:t>
      </w:r>
    </w:p>
    <w:p w14:paraId="7E3B1794" w14:textId="77777777" w:rsidR="00D417A8" w:rsidRPr="00AA7107" w:rsidRDefault="00D417A8" w:rsidP="00FC192C">
      <w:pPr>
        <w:jc w:val="both"/>
        <w:rPr>
          <w:rFonts w:ascii="Abadi" w:hAnsi="Abadi"/>
          <w:sz w:val="21"/>
          <w:szCs w:val="21"/>
        </w:rPr>
      </w:pPr>
    </w:p>
    <w:p w14:paraId="77512703" w14:textId="288FD5F8" w:rsidR="00FC192C" w:rsidRDefault="00FC192C" w:rsidP="00FC192C">
      <w:pPr>
        <w:jc w:val="both"/>
        <w:rPr>
          <w:rFonts w:ascii="Abadi" w:hAnsi="Abadi"/>
          <w:sz w:val="21"/>
          <w:szCs w:val="21"/>
        </w:rPr>
      </w:pPr>
      <w:r w:rsidRPr="00AA7107">
        <w:rPr>
          <w:rFonts w:ascii="Abadi" w:hAnsi="Abadi"/>
          <w:sz w:val="21"/>
          <w:szCs w:val="21"/>
        </w:rPr>
        <w:t xml:space="preserve">- Estamos en una legislatura que tenemos la oportunidad de cambiar muchas prácticas que se venían haciendo desde pasado yo los invito compañeras compañeros que reflexionemos este es un tema histórico que nos había tocado, que no habíamos volteado a ver y creo que estamos en el momento justo para poder corregir el rumbo, el rumbo, de situaciones </w:t>
      </w:r>
      <w:r w:rsidRPr="00AA7107">
        <w:rPr>
          <w:rFonts w:ascii="Abadi" w:hAnsi="Abadi"/>
          <w:sz w:val="21"/>
          <w:szCs w:val="21"/>
        </w:rPr>
        <w:t>que tanto dañan a nuestra población además necesitados como es el tema de la corrupción y el nepotismo es una de las faltas más graves, que se puede tener en materia de corrupción.</w:t>
      </w:r>
    </w:p>
    <w:p w14:paraId="31105400" w14:textId="77777777" w:rsidR="00BB3BD9" w:rsidRPr="00AA7107" w:rsidRDefault="00BB3BD9" w:rsidP="00FC192C">
      <w:pPr>
        <w:jc w:val="both"/>
        <w:rPr>
          <w:rFonts w:ascii="Abadi" w:hAnsi="Abadi"/>
          <w:sz w:val="21"/>
          <w:szCs w:val="21"/>
        </w:rPr>
      </w:pPr>
    </w:p>
    <w:p w14:paraId="7F52869C" w14:textId="3C048C91" w:rsidR="00FC192C" w:rsidRDefault="00FC192C" w:rsidP="00FC192C">
      <w:pPr>
        <w:jc w:val="both"/>
        <w:rPr>
          <w:rFonts w:ascii="Abadi" w:hAnsi="Abadi"/>
          <w:sz w:val="21"/>
          <w:szCs w:val="21"/>
        </w:rPr>
      </w:pPr>
      <w:r w:rsidRPr="00AA7107">
        <w:rPr>
          <w:rFonts w:ascii="Abadi" w:hAnsi="Abadi"/>
          <w:sz w:val="21"/>
          <w:szCs w:val="21"/>
        </w:rPr>
        <w:t>- Es cuanto muchas gracias.</w:t>
      </w:r>
    </w:p>
    <w:p w14:paraId="15915DA3" w14:textId="77777777" w:rsidR="00D417A8" w:rsidRPr="00AA7107" w:rsidRDefault="00D417A8" w:rsidP="00FC192C">
      <w:pPr>
        <w:jc w:val="both"/>
        <w:rPr>
          <w:rFonts w:ascii="Abadi" w:hAnsi="Abadi"/>
          <w:sz w:val="21"/>
          <w:szCs w:val="21"/>
        </w:rPr>
      </w:pPr>
    </w:p>
    <w:p w14:paraId="1C031DDD" w14:textId="04C1EA38" w:rsidR="00FC192C" w:rsidRDefault="00FC192C" w:rsidP="00FC192C">
      <w:pPr>
        <w:jc w:val="both"/>
        <w:rPr>
          <w:rFonts w:ascii="Abadi" w:hAnsi="Abadi"/>
          <w:sz w:val="21"/>
          <w:szCs w:val="21"/>
        </w:rPr>
      </w:pPr>
      <w:r w:rsidRPr="00AA7107">
        <w:rPr>
          <w:rFonts w:ascii="Abadi" w:hAnsi="Abadi"/>
          <w:sz w:val="21"/>
          <w:szCs w:val="21"/>
        </w:rPr>
        <w:tab/>
      </w:r>
      <w:r w:rsidRPr="00AA7107">
        <w:rPr>
          <w:rFonts w:ascii="Abadi" w:hAnsi="Abadi"/>
          <w:b/>
          <w:bCs/>
          <w:sz w:val="21"/>
          <w:szCs w:val="21"/>
        </w:rPr>
        <w:t>- El Presidente.-</w:t>
      </w:r>
      <w:r w:rsidRPr="00AA7107">
        <w:rPr>
          <w:rFonts w:ascii="Abadi" w:hAnsi="Abadi"/>
          <w:sz w:val="21"/>
          <w:szCs w:val="21"/>
        </w:rPr>
        <w:t xml:space="preserve"> Gracias diputado Ernesto Millán. </w:t>
      </w:r>
    </w:p>
    <w:p w14:paraId="1E431C12" w14:textId="77777777" w:rsidR="00D417A8" w:rsidRPr="00AA7107" w:rsidRDefault="00D417A8" w:rsidP="00FC192C">
      <w:pPr>
        <w:jc w:val="both"/>
        <w:rPr>
          <w:rFonts w:ascii="Abadi" w:hAnsi="Abadi"/>
          <w:sz w:val="21"/>
          <w:szCs w:val="21"/>
        </w:rPr>
      </w:pPr>
    </w:p>
    <w:p w14:paraId="3E9D5F42" w14:textId="77777777" w:rsidR="00FC192C" w:rsidRPr="00AA7107" w:rsidRDefault="00FC192C" w:rsidP="00D417A8">
      <w:pPr>
        <w:ind w:left="426" w:right="283"/>
        <w:jc w:val="both"/>
        <w:rPr>
          <w:rFonts w:ascii="Abadi" w:hAnsi="Abadi"/>
          <w:b/>
          <w:bCs/>
          <w:i/>
          <w:iCs/>
          <w:sz w:val="21"/>
          <w:szCs w:val="21"/>
          <w:u w:val="single"/>
        </w:rPr>
      </w:pPr>
      <w:r w:rsidRPr="00AA7107">
        <w:rPr>
          <w:rFonts w:ascii="Abadi" w:hAnsi="Abadi"/>
          <w:b/>
          <w:bCs/>
          <w:i/>
          <w:iCs/>
          <w:sz w:val="21"/>
          <w:szCs w:val="21"/>
          <w:u w:val="single"/>
        </w:rPr>
        <w:t>Se turna a la Comisión de Gobernación y Puntos Constitucionales con fundamento en el artículo 111 fracción II de nuestra Ley Orgánica para su estudio y dictamen.</w:t>
      </w:r>
    </w:p>
    <w:p w14:paraId="19A7095C" w14:textId="381EC199" w:rsidR="005A51AE" w:rsidRDefault="005A51AE" w:rsidP="00E462B6">
      <w:pPr>
        <w:autoSpaceDE w:val="0"/>
        <w:autoSpaceDN w:val="0"/>
        <w:adjustRightInd w:val="0"/>
        <w:jc w:val="both"/>
        <w:rPr>
          <w:rFonts w:ascii="Abadi" w:hAnsi="Abadi" w:cs="ArialMT"/>
          <w:b/>
          <w:bCs/>
          <w:sz w:val="20"/>
          <w:szCs w:val="21"/>
        </w:rPr>
      </w:pPr>
    </w:p>
    <w:p w14:paraId="0EF5E6BF" w14:textId="77777777" w:rsidR="005A51AE" w:rsidRPr="0028553C" w:rsidRDefault="005A51AE" w:rsidP="00E462B6">
      <w:pPr>
        <w:autoSpaceDE w:val="0"/>
        <w:autoSpaceDN w:val="0"/>
        <w:adjustRightInd w:val="0"/>
        <w:jc w:val="both"/>
        <w:rPr>
          <w:rFonts w:ascii="Abadi" w:hAnsi="Abadi" w:cs="ArialMT"/>
          <w:b/>
          <w:bCs/>
          <w:sz w:val="20"/>
          <w:szCs w:val="21"/>
        </w:rPr>
      </w:pPr>
    </w:p>
    <w:p w14:paraId="06839F96" w14:textId="77777777" w:rsidR="00E462B6" w:rsidRPr="0028553C" w:rsidRDefault="00E462B6" w:rsidP="00685FAB">
      <w:pPr>
        <w:pStyle w:val="Prrafodelista"/>
        <w:numPr>
          <w:ilvl w:val="0"/>
          <w:numId w:val="14"/>
        </w:numPr>
        <w:autoSpaceDE w:val="0"/>
        <w:autoSpaceDN w:val="0"/>
        <w:adjustRightInd w:val="0"/>
        <w:ind w:left="426"/>
        <w:contextualSpacing/>
        <w:jc w:val="both"/>
        <w:rPr>
          <w:rFonts w:ascii="Abadi" w:hAnsi="Abadi" w:cs="ArialMT"/>
          <w:b/>
          <w:bCs/>
          <w:sz w:val="20"/>
          <w:szCs w:val="21"/>
        </w:rPr>
      </w:pPr>
      <w:r w:rsidRPr="0028553C">
        <w:rPr>
          <w:rFonts w:ascii="Abadi" w:hAnsi="Abadi" w:cs="ArialMT"/>
          <w:b/>
          <w:bCs/>
          <w:sz w:val="20"/>
          <w:szCs w:val="21"/>
        </w:rPr>
        <w:t>PRESENTACIÓN DE LA INICIATIVA SUSCRITA POR LAS DIPUTADAS YULMA ROCHA AGUILAR, MARTHA LOURDES ORTEGA ROQUE Y DESSIRE ANGEL ROCHA, A EFECTO DE REFORMAR DIVERSOS ARTÍCULOS DE LA LEY ORGÁNICA DEL PODER EJECUTIVO PARA EL ESTADO DE GUANAJUATO Y DE LA LEY ORGÁNICA MUNICIPAL PARA EL ESTADO DE GUANAJUATO.</w:t>
      </w:r>
    </w:p>
    <w:p w14:paraId="028DE642" w14:textId="1D8F0DD9" w:rsidR="00E462B6" w:rsidRDefault="00E462B6" w:rsidP="00E462B6">
      <w:pPr>
        <w:autoSpaceDE w:val="0"/>
        <w:autoSpaceDN w:val="0"/>
        <w:adjustRightInd w:val="0"/>
        <w:jc w:val="both"/>
        <w:rPr>
          <w:rFonts w:ascii="Abadi" w:hAnsi="Abadi" w:cs="ArialMT"/>
          <w:b/>
          <w:bCs/>
          <w:sz w:val="20"/>
          <w:szCs w:val="21"/>
        </w:rPr>
      </w:pPr>
    </w:p>
    <w:p w14:paraId="1412F6EE" w14:textId="3697CBAC" w:rsidR="00A41305" w:rsidRDefault="00A41305" w:rsidP="00E462B6">
      <w:pPr>
        <w:autoSpaceDE w:val="0"/>
        <w:autoSpaceDN w:val="0"/>
        <w:adjustRightInd w:val="0"/>
        <w:jc w:val="both"/>
        <w:rPr>
          <w:rFonts w:ascii="Abadi" w:hAnsi="Abadi" w:cs="ArialMT"/>
          <w:b/>
          <w:bCs/>
          <w:sz w:val="20"/>
          <w:szCs w:val="21"/>
        </w:rPr>
      </w:pPr>
    </w:p>
    <w:p w14:paraId="430BA239" w14:textId="77777777" w:rsidR="00677B7E" w:rsidRPr="00401C70" w:rsidRDefault="00677B7E" w:rsidP="00677B7E">
      <w:pPr>
        <w:autoSpaceDE w:val="0"/>
        <w:autoSpaceDN w:val="0"/>
        <w:adjustRightInd w:val="0"/>
        <w:jc w:val="both"/>
        <w:rPr>
          <w:rFonts w:ascii="Abadi" w:hAnsi="Abadi" w:cs="Arial"/>
          <w:b/>
          <w:bCs/>
          <w:sz w:val="21"/>
          <w:szCs w:val="21"/>
        </w:rPr>
      </w:pPr>
      <w:r w:rsidRPr="00401C70">
        <w:rPr>
          <w:rFonts w:ascii="Abadi" w:hAnsi="Abadi" w:cs="Arial"/>
          <w:b/>
          <w:bCs/>
          <w:sz w:val="21"/>
          <w:szCs w:val="21"/>
        </w:rPr>
        <w:t>DIP. MARTÍN LÓPEZ CAMACHO</w:t>
      </w:r>
    </w:p>
    <w:p w14:paraId="305B393A" w14:textId="77777777" w:rsidR="00677B7E" w:rsidRPr="00401C70" w:rsidRDefault="00677B7E" w:rsidP="00677B7E">
      <w:pPr>
        <w:autoSpaceDE w:val="0"/>
        <w:autoSpaceDN w:val="0"/>
        <w:adjustRightInd w:val="0"/>
        <w:jc w:val="both"/>
        <w:rPr>
          <w:rFonts w:ascii="Abadi" w:hAnsi="Abadi" w:cs="Arial"/>
          <w:b/>
          <w:bCs/>
          <w:sz w:val="21"/>
          <w:szCs w:val="21"/>
        </w:rPr>
      </w:pPr>
      <w:r w:rsidRPr="00401C70">
        <w:rPr>
          <w:rFonts w:ascii="Abadi" w:hAnsi="Abadi" w:cs="Arial"/>
          <w:b/>
          <w:bCs/>
          <w:sz w:val="21"/>
          <w:szCs w:val="21"/>
        </w:rPr>
        <w:t>PRESIDENTE DE LA MESA DIRECTIVA</w:t>
      </w:r>
    </w:p>
    <w:p w14:paraId="36AF3BB7" w14:textId="77777777" w:rsidR="00677B7E" w:rsidRPr="00401C70" w:rsidRDefault="00677B7E" w:rsidP="00677B7E">
      <w:pPr>
        <w:autoSpaceDE w:val="0"/>
        <w:autoSpaceDN w:val="0"/>
        <w:adjustRightInd w:val="0"/>
        <w:jc w:val="both"/>
        <w:rPr>
          <w:rFonts w:ascii="Abadi" w:hAnsi="Abadi" w:cs="Arial"/>
          <w:b/>
          <w:bCs/>
          <w:sz w:val="21"/>
          <w:szCs w:val="21"/>
        </w:rPr>
      </w:pPr>
      <w:r w:rsidRPr="00401C70">
        <w:rPr>
          <w:rFonts w:ascii="Abadi" w:hAnsi="Abadi" w:cs="Arial"/>
          <w:b/>
          <w:bCs/>
          <w:sz w:val="21"/>
          <w:szCs w:val="21"/>
        </w:rPr>
        <w:t>CONGRESO DEL ESTADO DE GUANAJUATO</w:t>
      </w:r>
    </w:p>
    <w:p w14:paraId="7B92A68E" w14:textId="77777777" w:rsidR="00677B7E" w:rsidRPr="00401C70" w:rsidRDefault="00677B7E" w:rsidP="00677B7E">
      <w:pPr>
        <w:autoSpaceDE w:val="0"/>
        <w:autoSpaceDN w:val="0"/>
        <w:adjustRightInd w:val="0"/>
        <w:jc w:val="both"/>
        <w:rPr>
          <w:rFonts w:ascii="Abadi" w:hAnsi="Abadi" w:cs="Arial"/>
          <w:b/>
          <w:bCs/>
          <w:sz w:val="21"/>
          <w:szCs w:val="21"/>
        </w:rPr>
      </w:pPr>
      <w:r w:rsidRPr="00401C70">
        <w:rPr>
          <w:rFonts w:ascii="Abadi" w:hAnsi="Abadi" w:cs="Arial"/>
          <w:b/>
          <w:bCs/>
          <w:sz w:val="21"/>
          <w:szCs w:val="21"/>
        </w:rPr>
        <w:t>LXV LEGISLATURA</w:t>
      </w:r>
    </w:p>
    <w:p w14:paraId="440C95F0" w14:textId="77777777" w:rsidR="00677B7E" w:rsidRPr="00401C70" w:rsidRDefault="00677B7E" w:rsidP="00677B7E">
      <w:pPr>
        <w:autoSpaceDE w:val="0"/>
        <w:autoSpaceDN w:val="0"/>
        <w:adjustRightInd w:val="0"/>
        <w:jc w:val="both"/>
        <w:rPr>
          <w:rFonts w:ascii="Abadi" w:hAnsi="Abadi" w:cs="Arial"/>
          <w:b/>
          <w:bCs/>
          <w:sz w:val="21"/>
          <w:szCs w:val="21"/>
        </w:rPr>
      </w:pPr>
      <w:r w:rsidRPr="00401C70">
        <w:rPr>
          <w:rFonts w:ascii="Abadi" w:hAnsi="Abadi" w:cs="Arial"/>
          <w:b/>
          <w:bCs/>
          <w:sz w:val="21"/>
          <w:szCs w:val="21"/>
        </w:rPr>
        <w:t>PRESENTE</w:t>
      </w:r>
    </w:p>
    <w:p w14:paraId="31E0F7DF" w14:textId="77777777" w:rsidR="00677B7E" w:rsidRDefault="00677B7E" w:rsidP="00677B7E">
      <w:pPr>
        <w:autoSpaceDE w:val="0"/>
        <w:autoSpaceDN w:val="0"/>
        <w:adjustRightInd w:val="0"/>
        <w:jc w:val="both"/>
        <w:rPr>
          <w:rFonts w:ascii="Abadi" w:hAnsi="Abadi" w:cs="Arial"/>
          <w:sz w:val="21"/>
          <w:szCs w:val="21"/>
        </w:rPr>
      </w:pPr>
    </w:p>
    <w:p w14:paraId="1E91FE21" w14:textId="77777777" w:rsidR="00677B7E" w:rsidRPr="00401C70" w:rsidRDefault="00677B7E" w:rsidP="00677B7E">
      <w:pPr>
        <w:autoSpaceDE w:val="0"/>
        <w:autoSpaceDN w:val="0"/>
        <w:adjustRightInd w:val="0"/>
        <w:jc w:val="both"/>
        <w:rPr>
          <w:rFonts w:ascii="Abadi" w:hAnsi="Abadi" w:cs="Arial"/>
          <w:b/>
          <w:bCs/>
          <w:sz w:val="21"/>
          <w:szCs w:val="21"/>
        </w:rPr>
      </w:pPr>
      <w:r w:rsidRPr="00401C70">
        <w:rPr>
          <w:rFonts w:ascii="Abadi" w:hAnsi="Abadi" w:cs="Arial"/>
          <w:sz w:val="21"/>
          <w:szCs w:val="21"/>
        </w:rPr>
        <w:t xml:space="preserve">Quienes suscriben, </w:t>
      </w:r>
      <w:r w:rsidRPr="00401C70">
        <w:rPr>
          <w:rFonts w:ascii="Abadi" w:hAnsi="Abadi" w:cs="Arial"/>
          <w:b/>
          <w:bCs/>
          <w:sz w:val="21"/>
          <w:szCs w:val="21"/>
        </w:rPr>
        <w:t>Diputadas Yulma Rocha Aguilar, Martha Lourdes Ortega Roque y</w:t>
      </w:r>
      <w:r>
        <w:rPr>
          <w:rFonts w:ascii="Abadi" w:hAnsi="Abadi" w:cs="Arial"/>
          <w:b/>
          <w:bCs/>
          <w:sz w:val="21"/>
          <w:szCs w:val="21"/>
        </w:rPr>
        <w:t xml:space="preserve"> </w:t>
      </w:r>
      <w:r w:rsidRPr="00401C70">
        <w:rPr>
          <w:rFonts w:ascii="Abadi" w:hAnsi="Abadi" w:cs="Arial"/>
          <w:b/>
          <w:bCs/>
          <w:sz w:val="21"/>
          <w:szCs w:val="21"/>
        </w:rPr>
        <w:t>Dessire Ángel</w:t>
      </w:r>
      <w:r>
        <w:rPr>
          <w:rFonts w:ascii="Abadi" w:hAnsi="Abadi" w:cs="Arial"/>
          <w:b/>
          <w:bCs/>
          <w:sz w:val="21"/>
          <w:szCs w:val="21"/>
        </w:rPr>
        <w:t xml:space="preserve"> </w:t>
      </w:r>
      <w:r w:rsidRPr="00401C70">
        <w:rPr>
          <w:rFonts w:ascii="Abadi" w:hAnsi="Abadi" w:cs="Arial"/>
          <w:b/>
          <w:bCs/>
          <w:sz w:val="21"/>
          <w:szCs w:val="21"/>
        </w:rPr>
        <w:t xml:space="preserve">Rocha, </w:t>
      </w:r>
      <w:r w:rsidRPr="00401C70">
        <w:rPr>
          <w:rFonts w:ascii="Abadi" w:hAnsi="Abadi" w:cs="Arial"/>
          <w:sz w:val="21"/>
          <w:szCs w:val="21"/>
        </w:rPr>
        <w:t>con fundamento en lo dispuesto por el Artículo 56, fracción II, de la</w:t>
      </w:r>
      <w:r>
        <w:rPr>
          <w:rFonts w:ascii="Abadi" w:hAnsi="Abadi" w:cs="Arial"/>
          <w:sz w:val="21"/>
          <w:szCs w:val="21"/>
        </w:rPr>
        <w:t xml:space="preserve"> </w:t>
      </w:r>
      <w:r w:rsidRPr="00401C70">
        <w:rPr>
          <w:rFonts w:ascii="Abadi" w:hAnsi="Abadi" w:cs="Arial"/>
          <w:sz w:val="21"/>
          <w:szCs w:val="21"/>
        </w:rPr>
        <w:t>Constitución Política para el Estado de Guanajuato; así como por lo establecido en los</w:t>
      </w:r>
      <w:r>
        <w:rPr>
          <w:rFonts w:ascii="Abadi" w:hAnsi="Abadi" w:cs="Arial"/>
          <w:sz w:val="21"/>
          <w:szCs w:val="21"/>
        </w:rPr>
        <w:t xml:space="preserve">  </w:t>
      </w:r>
      <w:r w:rsidRPr="00401C70">
        <w:rPr>
          <w:rFonts w:ascii="Abadi" w:hAnsi="Abadi" w:cs="Arial"/>
          <w:sz w:val="21"/>
          <w:szCs w:val="21"/>
        </w:rPr>
        <w:t>Artículos 167, fracción II, 168 y 209 de la Ley Orgánica del Poder Legislativo del Estado de</w:t>
      </w:r>
      <w:r>
        <w:rPr>
          <w:rFonts w:ascii="Abadi" w:hAnsi="Abadi" w:cs="Arial"/>
          <w:sz w:val="21"/>
          <w:szCs w:val="21"/>
        </w:rPr>
        <w:t xml:space="preserve"> </w:t>
      </w:r>
      <w:r w:rsidRPr="00401C70">
        <w:rPr>
          <w:rFonts w:ascii="Abadi" w:hAnsi="Abadi" w:cs="Arial"/>
          <w:sz w:val="21"/>
          <w:szCs w:val="21"/>
        </w:rPr>
        <w:t>Guanajuato, nos permitimos someter a la consideración de esta Honorable Asamblea para</w:t>
      </w:r>
      <w:r>
        <w:rPr>
          <w:rFonts w:ascii="Abadi" w:hAnsi="Abadi" w:cs="Arial"/>
          <w:sz w:val="21"/>
          <w:szCs w:val="21"/>
        </w:rPr>
        <w:t xml:space="preserve"> </w:t>
      </w:r>
      <w:r w:rsidRPr="00401C70">
        <w:rPr>
          <w:rFonts w:ascii="Abadi" w:hAnsi="Abadi" w:cs="Arial"/>
          <w:sz w:val="21"/>
          <w:szCs w:val="21"/>
        </w:rPr>
        <w:t xml:space="preserve">su aprobación, la presente </w:t>
      </w:r>
      <w:r w:rsidRPr="00401C70">
        <w:rPr>
          <w:rFonts w:ascii="Abadi" w:hAnsi="Abadi" w:cs="Arial"/>
          <w:b/>
          <w:bCs/>
          <w:sz w:val="21"/>
          <w:szCs w:val="21"/>
        </w:rPr>
        <w:t xml:space="preserve">Iniciativa </w:t>
      </w:r>
      <w:r w:rsidRPr="00401C70">
        <w:rPr>
          <w:rFonts w:ascii="Abadi" w:hAnsi="Abadi" w:cs="Arial"/>
          <w:sz w:val="21"/>
          <w:szCs w:val="21"/>
        </w:rPr>
        <w:t xml:space="preserve">con proyecto de </w:t>
      </w:r>
      <w:r w:rsidRPr="00401C70">
        <w:rPr>
          <w:rFonts w:ascii="Abadi" w:hAnsi="Abadi" w:cs="Arial"/>
          <w:b/>
          <w:bCs/>
          <w:sz w:val="21"/>
          <w:szCs w:val="21"/>
        </w:rPr>
        <w:t>DECRETO</w:t>
      </w:r>
      <w:r w:rsidRPr="00401C70">
        <w:rPr>
          <w:rFonts w:ascii="Abadi" w:hAnsi="Abadi" w:cs="Arial"/>
          <w:sz w:val="21"/>
          <w:szCs w:val="21"/>
        </w:rPr>
        <w:t xml:space="preserve">, </w:t>
      </w:r>
      <w:r w:rsidRPr="00401C70">
        <w:rPr>
          <w:rFonts w:ascii="Abadi" w:hAnsi="Abadi" w:cs="Arial"/>
          <w:b/>
          <w:bCs/>
          <w:sz w:val="21"/>
          <w:szCs w:val="21"/>
        </w:rPr>
        <w:t>por la que se reforman</w:t>
      </w:r>
      <w:r>
        <w:rPr>
          <w:rFonts w:ascii="Abadi" w:hAnsi="Abadi" w:cs="Arial"/>
          <w:b/>
          <w:bCs/>
          <w:sz w:val="21"/>
          <w:szCs w:val="21"/>
        </w:rPr>
        <w:t xml:space="preserve"> </w:t>
      </w:r>
      <w:r w:rsidRPr="00401C70">
        <w:rPr>
          <w:rFonts w:ascii="Abadi" w:hAnsi="Abadi" w:cs="Arial"/>
          <w:b/>
          <w:bCs/>
          <w:sz w:val="21"/>
          <w:szCs w:val="21"/>
        </w:rPr>
        <w:t>diversos artículos de la Ley Orgánica del Poder Ejecutivo para el Estado de</w:t>
      </w:r>
      <w:r>
        <w:rPr>
          <w:rFonts w:ascii="Abadi" w:hAnsi="Abadi" w:cs="Arial"/>
          <w:b/>
          <w:bCs/>
          <w:sz w:val="21"/>
          <w:szCs w:val="21"/>
        </w:rPr>
        <w:t xml:space="preserve"> </w:t>
      </w:r>
      <w:r w:rsidRPr="00401C70">
        <w:rPr>
          <w:rFonts w:ascii="Abadi" w:hAnsi="Abadi" w:cs="Arial"/>
          <w:b/>
          <w:bCs/>
          <w:sz w:val="21"/>
          <w:szCs w:val="21"/>
        </w:rPr>
        <w:t>Guanajuato y de la Ley Orgánica Municipal para el Estado de Guanajuato con la</w:t>
      </w:r>
      <w:r>
        <w:rPr>
          <w:rFonts w:ascii="Abadi" w:hAnsi="Abadi" w:cs="Arial"/>
          <w:b/>
          <w:bCs/>
          <w:sz w:val="21"/>
          <w:szCs w:val="21"/>
        </w:rPr>
        <w:t xml:space="preserve"> </w:t>
      </w:r>
      <w:r w:rsidRPr="00401C70">
        <w:rPr>
          <w:rFonts w:ascii="Abadi" w:hAnsi="Abadi" w:cs="Arial"/>
          <w:b/>
          <w:bCs/>
          <w:sz w:val="21"/>
          <w:szCs w:val="21"/>
        </w:rPr>
        <w:t>finalidad de garantizar el cumplimiento del principio de paridad de género en los</w:t>
      </w:r>
      <w:r>
        <w:rPr>
          <w:rFonts w:ascii="Abadi" w:hAnsi="Abadi" w:cs="Arial"/>
          <w:b/>
          <w:bCs/>
          <w:sz w:val="21"/>
          <w:szCs w:val="21"/>
        </w:rPr>
        <w:t xml:space="preserve"> </w:t>
      </w:r>
      <w:r w:rsidRPr="00401C70">
        <w:rPr>
          <w:rFonts w:ascii="Abadi" w:hAnsi="Abadi" w:cs="Arial"/>
          <w:b/>
          <w:bCs/>
          <w:sz w:val="21"/>
          <w:szCs w:val="21"/>
        </w:rPr>
        <w:t>puestos de toma de decisión de la administración pública estatal y municipal</w:t>
      </w:r>
      <w:r>
        <w:rPr>
          <w:rFonts w:ascii="Abadi" w:hAnsi="Abadi" w:cs="Arial"/>
          <w:b/>
          <w:bCs/>
          <w:sz w:val="21"/>
          <w:szCs w:val="21"/>
        </w:rPr>
        <w:t xml:space="preserve"> </w:t>
      </w:r>
      <w:r w:rsidRPr="00401C70">
        <w:rPr>
          <w:rFonts w:ascii="Abadi" w:hAnsi="Abadi" w:cs="Arial"/>
          <w:b/>
          <w:bCs/>
          <w:sz w:val="21"/>
          <w:szCs w:val="21"/>
        </w:rPr>
        <w:t>conforme a la siguiente:</w:t>
      </w:r>
    </w:p>
    <w:p w14:paraId="61CF02D7" w14:textId="77777777" w:rsidR="00677B7E" w:rsidRDefault="00677B7E" w:rsidP="00677B7E">
      <w:pPr>
        <w:autoSpaceDE w:val="0"/>
        <w:autoSpaceDN w:val="0"/>
        <w:adjustRightInd w:val="0"/>
        <w:jc w:val="both"/>
        <w:rPr>
          <w:rFonts w:ascii="Abadi" w:hAnsi="Abadi" w:cs="Arial"/>
          <w:b/>
          <w:bCs/>
          <w:sz w:val="21"/>
          <w:szCs w:val="21"/>
        </w:rPr>
      </w:pPr>
    </w:p>
    <w:p w14:paraId="5DACDD8D" w14:textId="77777777" w:rsidR="00677B7E" w:rsidRPr="00401C70" w:rsidRDefault="00677B7E" w:rsidP="00677B7E">
      <w:pPr>
        <w:autoSpaceDE w:val="0"/>
        <w:autoSpaceDN w:val="0"/>
        <w:adjustRightInd w:val="0"/>
        <w:jc w:val="center"/>
        <w:rPr>
          <w:rFonts w:ascii="Abadi" w:hAnsi="Abadi" w:cs="Arial"/>
          <w:b/>
          <w:bCs/>
          <w:sz w:val="21"/>
          <w:szCs w:val="21"/>
        </w:rPr>
      </w:pPr>
      <w:r w:rsidRPr="00401C70">
        <w:rPr>
          <w:rFonts w:ascii="Abadi" w:hAnsi="Abadi" w:cs="Arial"/>
          <w:b/>
          <w:bCs/>
          <w:sz w:val="21"/>
          <w:szCs w:val="21"/>
        </w:rPr>
        <w:lastRenderedPageBreak/>
        <w:t>EXPOSICIÓN DE MOTIVOS</w:t>
      </w:r>
    </w:p>
    <w:p w14:paraId="4BBC5632" w14:textId="77777777" w:rsidR="00677B7E" w:rsidRDefault="00677B7E" w:rsidP="00677B7E">
      <w:pPr>
        <w:autoSpaceDE w:val="0"/>
        <w:autoSpaceDN w:val="0"/>
        <w:adjustRightInd w:val="0"/>
        <w:jc w:val="center"/>
        <w:rPr>
          <w:rFonts w:ascii="Abadi" w:hAnsi="Abadi" w:cs="Arial"/>
          <w:sz w:val="21"/>
          <w:szCs w:val="21"/>
        </w:rPr>
      </w:pPr>
    </w:p>
    <w:p w14:paraId="13438C31" w14:textId="77777777" w:rsidR="00677B7E" w:rsidRPr="00401C70" w:rsidRDefault="00677B7E" w:rsidP="00677B7E">
      <w:pPr>
        <w:autoSpaceDE w:val="0"/>
        <w:autoSpaceDN w:val="0"/>
        <w:adjustRightInd w:val="0"/>
        <w:jc w:val="both"/>
        <w:rPr>
          <w:rFonts w:ascii="Abadi" w:hAnsi="Abadi" w:cs="Arial"/>
          <w:sz w:val="21"/>
          <w:szCs w:val="21"/>
        </w:rPr>
      </w:pPr>
      <w:r w:rsidRPr="00401C70">
        <w:rPr>
          <w:rFonts w:ascii="Abadi" w:hAnsi="Abadi" w:cs="Arial"/>
          <w:sz w:val="21"/>
          <w:szCs w:val="21"/>
        </w:rPr>
        <w:t>La Paridad es un principio constitucional que de manera concisa significa igualdad</w:t>
      </w:r>
      <w:r>
        <w:rPr>
          <w:rFonts w:ascii="Abadi" w:hAnsi="Abadi" w:cs="Arial"/>
          <w:sz w:val="21"/>
          <w:szCs w:val="21"/>
        </w:rPr>
        <w:t xml:space="preserve"> </w:t>
      </w:r>
      <w:r w:rsidRPr="00401C70">
        <w:rPr>
          <w:rFonts w:ascii="Abadi" w:hAnsi="Abadi" w:cs="Arial"/>
          <w:sz w:val="21"/>
          <w:szCs w:val="21"/>
        </w:rPr>
        <w:t>política entre mujeres y hombres y es una medida que se ha implementado para</w:t>
      </w:r>
      <w:r>
        <w:rPr>
          <w:rFonts w:ascii="Abadi" w:hAnsi="Abadi" w:cs="Arial"/>
          <w:sz w:val="21"/>
          <w:szCs w:val="21"/>
        </w:rPr>
        <w:t xml:space="preserve"> </w:t>
      </w:r>
      <w:r w:rsidRPr="00401C70">
        <w:rPr>
          <w:rFonts w:ascii="Abadi" w:hAnsi="Abadi" w:cs="Arial"/>
          <w:sz w:val="21"/>
          <w:szCs w:val="21"/>
        </w:rPr>
        <w:t>garantizar la inclusión política de las mujeres en los espacios de toma de decisión</w:t>
      </w:r>
      <w:r>
        <w:rPr>
          <w:rFonts w:ascii="Abadi" w:hAnsi="Abadi" w:cs="Arial"/>
          <w:sz w:val="21"/>
          <w:szCs w:val="21"/>
        </w:rPr>
        <w:t xml:space="preserve"> </w:t>
      </w:r>
      <w:r w:rsidRPr="00401C70">
        <w:rPr>
          <w:rFonts w:ascii="Abadi" w:hAnsi="Abadi" w:cs="Arial"/>
          <w:sz w:val="21"/>
          <w:szCs w:val="21"/>
        </w:rPr>
        <w:t>de los asuntos públicos1. Su incorporación en nuestro marco legal ha sido algo</w:t>
      </w:r>
      <w:r>
        <w:rPr>
          <w:rFonts w:ascii="Abadi" w:hAnsi="Abadi" w:cs="Arial"/>
          <w:sz w:val="21"/>
          <w:szCs w:val="21"/>
        </w:rPr>
        <w:t xml:space="preserve"> </w:t>
      </w:r>
      <w:r w:rsidRPr="00401C70">
        <w:rPr>
          <w:rFonts w:ascii="Abadi" w:hAnsi="Abadi" w:cs="Arial"/>
          <w:sz w:val="21"/>
          <w:szCs w:val="21"/>
        </w:rPr>
        <w:t>histórico, pues vino a cuestionar y distribuir las relaciones de poder existentes, a</w:t>
      </w:r>
      <w:r>
        <w:rPr>
          <w:rFonts w:ascii="Abadi" w:hAnsi="Abadi" w:cs="Arial"/>
          <w:sz w:val="21"/>
          <w:szCs w:val="21"/>
        </w:rPr>
        <w:t xml:space="preserve"> </w:t>
      </w:r>
      <w:r w:rsidRPr="00401C70">
        <w:rPr>
          <w:rFonts w:ascii="Abadi" w:hAnsi="Abadi" w:cs="Arial"/>
          <w:sz w:val="21"/>
          <w:szCs w:val="21"/>
        </w:rPr>
        <w:t>modificar la manera en la que se ha venido desarrollando nuestra política, a</w:t>
      </w:r>
      <w:r>
        <w:rPr>
          <w:rFonts w:ascii="Abadi" w:hAnsi="Abadi" w:cs="Arial"/>
          <w:sz w:val="21"/>
          <w:szCs w:val="21"/>
        </w:rPr>
        <w:t xml:space="preserve"> </w:t>
      </w:r>
      <w:r w:rsidRPr="00401C70">
        <w:rPr>
          <w:rFonts w:ascii="Abadi" w:hAnsi="Abadi" w:cs="Arial"/>
          <w:sz w:val="21"/>
          <w:szCs w:val="21"/>
        </w:rPr>
        <w:t xml:space="preserve">constituir </w:t>
      </w:r>
      <w:r w:rsidRPr="00401C70">
        <w:rPr>
          <w:rFonts w:ascii="Abadi" w:hAnsi="Abadi" w:cs="ArialMT"/>
          <w:sz w:val="21"/>
          <w:szCs w:val="21"/>
        </w:rPr>
        <w:t>“</w:t>
      </w:r>
      <w:r w:rsidRPr="00401C70">
        <w:rPr>
          <w:rFonts w:ascii="Abadi" w:hAnsi="Abadi" w:cs="Arial"/>
          <w:sz w:val="21"/>
          <w:szCs w:val="21"/>
        </w:rPr>
        <w:t>un avance en la construcción de una democracia paritaria y a contribuir a</w:t>
      </w:r>
      <w:r>
        <w:rPr>
          <w:rFonts w:ascii="Abadi" w:hAnsi="Abadi" w:cs="Arial"/>
          <w:sz w:val="21"/>
          <w:szCs w:val="21"/>
        </w:rPr>
        <w:t xml:space="preserve"> </w:t>
      </w:r>
      <w:r w:rsidRPr="00401C70">
        <w:rPr>
          <w:rFonts w:ascii="Abadi" w:hAnsi="Abadi" w:cs="ArialMT"/>
          <w:sz w:val="21"/>
          <w:szCs w:val="21"/>
        </w:rPr>
        <w:t>la creación de un país más justo e igualitario” (</w:t>
      </w:r>
      <w:r w:rsidRPr="00401C70">
        <w:rPr>
          <w:rFonts w:ascii="Abadi" w:hAnsi="Abadi" w:cs="Arial"/>
          <w:sz w:val="21"/>
          <w:szCs w:val="21"/>
        </w:rPr>
        <w:t>Alanís, 2019)2</w:t>
      </w:r>
    </w:p>
    <w:p w14:paraId="2165E6FB" w14:textId="77777777" w:rsidR="00677B7E" w:rsidRDefault="00677B7E" w:rsidP="00677B7E">
      <w:pPr>
        <w:autoSpaceDE w:val="0"/>
        <w:autoSpaceDN w:val="0"/>
        <w:adjustRightInd w:val="0"/>
        <w:jc w:val="both"/>
        <w:rPr>
          <w:rFonts w:ascii="Abadi" w:hAnsi="Abadi" w:cs="Arial"/>
          <w:sz w:val="21"/>
          <w:szCs w:val="21"/>
        </w:rPr>
      </w:pPr>
    </w:p>
    <w:p w14:paraId="5D5AE0FB" w14:textId="77777777" w:rsidR="00677B7E" w:rsidRPr="00401C70" w:rsidRDefault="00677B7E" w:rsidP="00677B7E">
      <w:pPr>
        <w:autoSpaceDE w:val="0"/>
        <w:autoSpaceDN w:val="0"/>
        <w:adjustRightInd w:val="0"/>
        <w:jc w:val="both"/>
        <w:rPr>
          <w:rFonts w:ascii="Abadi" w:hAnsi="Abadi" w:cs="Arial"/>
          <w:sz w:val="21"/>
          <w:szCs w:val="21"/>
        </w:rPr>
      </w:pPr>
      <w:r w:rsidRPr="00401C70">
        <w:rPr>
          <w:rFonts w:ascii="Abadi" w:hAnsi="Abadi" w:cs="Arial"/>
          <w:sz w:val="21"/>
          <w:szCs w:val="21"/>
        </w:rPr>
        <w:t>Introducir un nuevo orden de ideas y cambiar no es fácil, y menos en un país como</w:t>
      </w:r>
      <w:r>
        <w:rPr>
          <w:rFonts w:ascii="Abadi" w:hAnsi="Abadi" w:cs="Arial"/>
          <w:sz w:val="21"/>
          <w:szCs w:val="21"/>
        </w:rPr>
        <w:t xml:space="preserve"> </w:t>
      </w:r>
      <w:r w:rsidRPr="00401C70">
        <w:rPr>
          <w:rFonts w:ascii="Abadi" w:hAnsi="Abadi" w:cs="Arial"/>
          <w:sz w:val="21"/>
          <w:szCs w:val="21"/>
        </w:rPr>
        <w:t>el nuestro dónde se ha desplegado una creencia social de que la política y la toma</w:t>
      </w:r>
      <w:r>
        <w:rPr>
          <w:rFonts w:ascii="Abadi" w:hAnsi="Abadi" w:cs="Arial"/>
          <w:sz w:val="21"/>
          <w:szCs w:val="21"/>
        </w:rPr>
        <w:t xml:space="preserve"> </w:t>
      </w:r>
      <w:r w:rsidRPr="00401C70">
        <w:rPr>
          <w:rFonts w:ascii="Abadi" w:hAnsi="Abadi" w:cs="Arial"/>
          <w:sz w:val="21"/>
          <w:szCs w:val="21"/>
        </w:rPr>
        <w:t>de decisiones públicas les corresponde a los hombres, orillando a las mujeres a</w:t>
      </w:r>
      <w:r>
        <w:rPr>
          <w:rFonts w:ascii="Abadi" w:hAnsi="Abadi" w:cs="Arial"/>
          <w:sz w:val="21"/>
          <w:szCs w:val="21"/>
        </w:rPr>
        <w:t xml:space="preserve"> </w:t>
      </w:r>
      <w:r w:rsidRPr="00401C70">
        <w:rPr>
          <w:rFonts w:ascii="Abadi" w:hAnsi="Abadi" w:cs="Arial"/>
          <w:sz w:val="21"/>
          <w:szCs w:val="21"/>
        </w:rPr>
        <w:t>permanecer en el ámbito privado.</w:t>
      </w:r>
    </w:p>
    <w:p w14:paraId="0275E710" w14:textId="77777777" w:rsidR="00677B7E" w:rsidRDefault="00677B7E" w:rsidP="00677B7E">
      <w:pPr>
        <w:autoSpaceDE w:val="0"/>
        <w:autoSpaceDN w:val="0"/>
        <w:adjustRightInd w:val="0"/>
        <w:jc w:val="both"/>
        <w:rPr>
          <w:rFonts w:ascii="Abadi" w:hAnsi="Abadi" w:cs="Arial"/>
          <w:sz w:val="21"/>
          <w:szCs w:val="21"/>
        </w:rPr>
      </w:pPr>
    </w:p>
    <w:p w14:paraId="002DF72E" w14:textId="77777777" w:rsidR="00677B7E" w:rsidRPr="00401C70" w:rsidRDefault="00677B7E" w:rsidP="00677B7E">
      <w:pPr>
        <w:autoSpaceDE w:val="0"/>
        <w:autoSpaceDN w:val="0"/>
        <w:adjustRightInd w:val="0"/>
        <w:jc w:val="both"/>
        <w:rPr>
          <w:rFonts w:ascii="Abadi" w:hAnsi="Abadi" w:cs="Arial"/>
          <w:sz w:val="21"/>
          <w:szCs w:val="21"/>
        </w:rPr>
      </w:pPr>
      <w:r w:rsidRPr="00401C70">
        <w:rPr>
          <w:rFonts w:ascii="Abadi" w:hAnsi="Abadi" w:cs="Arial"/>
          <w:sz w:val="21"/>
          <w:szCs w:val="21"/>
        </w:rPr>
        <w:t>Por ello, hablar de paridad es referirnos a una transformación muy profunda que</w:t>
      </w:r>
      <w:r>
        <w:rPr>
          <w:rFonts w:ascii="Abadi" w:hAnsi="Abadi" w:cs="Arial"/>
          <w:sz w:val="21"/>
          <w:szCs w:val="21"/>
        </w:rPr>
        <w:t xml:space="preserve"> </w:t>
      </w:r>
      <w:r w:rsidRPr="00401C70">
        <w:rPr>
          <w:rFonts w:ascii="Abadi" w:hAnsi="Abadi" w:cs="Arial"/>
          <w:sz w:val="21"/>
          <w:szCs w:val="21"/>
        </w:rPr>
        <w:t>trastoca nuestra cultura y que genera resistencias sociales. Hay que reconocer que</w:t>
      </w:r>
      <w:r>
        <w:rPr>
          <w:rFonts w:ascii="Abadi" w:hAnsi="Abadi" w:cs="Arial"/>
          <w:sz w:val="21"/>
          <w:szCs w:val="21"/>
        </w:rPr>
        <w:t xml:space="preserve"> </w:t>
      </w:r>
      <w:r w:rsidRPr="00401C70">
        <w:rPr>
          <w:rFonts w:ascii="Abadi" w:hAnsi="Abadi" w:cs="Arial"/>
          <w:sz w:val="21"/>
          <w:szCs w:val="21"/>
        </w:rPr>
        <w:t>este principio, como lo conocemos ahora y los derechos políticos que este conlleva</w:t>
      </w:r>
      <w:r>
        <w:rPr>
          <w:rFonts w:ascii="Abadi" w:hAnsi="Abadi" w:cs="Arial"/>
          <w:sz w:val="21"/>
          <w:szCs w:val="21"/>
        </w:rPr>
        <w:t xml:space="preserve"> </w:t>
      </w:r>
      <w:r w:rsidRPr="00401C70">
        <w:rPr>
          <w:rFonts w:ascii="Abadi" w:hAnsi="Abadi" w:cs="Arial"/>
          <w:sz w:val="21"/>
          <w:szCs w:val="21"/>
        </w:rPr>
        <w:t>no fueron otorgados por voluntad, sino que han sido conquistados; son el resultado</w:t>
      </w:r>
      <w:r>
        <w:rPr>
          <w:rFonts w:ascii="Abadi" w:hAnsi="Abadi" w:cs="Arial"/>
          <w:sz w:val="21"/>
          <w:szCs w:val="21"/>
        </w:rPr>
        <w:t xml:space="preserve"> </w:t>
      </w:r>
      <w:r w:rsidRPr="00401C70">
        <w:rPr>
          <w:rFonts w:ascii="Abadi" w:hAnsi="Abadi" w:cs="Arial"/>
          <w:sz w:val="21"/>
          <w:szCs w:val="21"/>
        </w:rPr>
        <w:t>de la presión social y de la lucha que han realizado en nuestro país miles de mujeres</w:t>
      </w:r>
      <w:r>
        <w:rPr>
          <w:rFonts w:ascii="Abadi" w:hAnsi="Abadi" w:cs="Arial"/>
          <w:sz w:val="21"/>
          <w:szCs w:val="21"/>
        </w:rPr>
        <w:t xml:space="preserve"> </w:t>
      </w:r>
      <w:r w:rsidRPr="00401C70">
        <w:rPr>
          <w:rFonts w:ascii="Abadi" w:hAnsi="Abadi" w:cs="Arial"/>
          <w:sz w:val="21"/>
          <w:szCs w:val="21"/>
        </w:rPr>
        <w:t>incluso desde mucho antes de 1953, fecha en la que se les otorgó la ciudadanía y</w:t>
      </w:r>
      <w:r>
        <w:rPr>
          <w:rFonts w:ascii="Abadi" w:hAnsi="Abadi" w:cs="Arial"/>
          <w:sz w:val="21"/>
          <w:szCs w:val="21"/>
        </w:rPr>
        <w:t xml:space="preserve"> </w:t>
      </w:r>
      <w:r w:rsidRPr="00401C70">
        <w:rPr>
          <w:rFonts w:ascii="Abadi" w:hAnsi="Abadi" w:cs="Arial"/>
          <w:sz w:val="21"/>
          <w:szCs w:val="21"/>
        </w:rPr>
        <w:t>el derecho al voto.</w:t>
      </w:r>
    </w:p>
    <w:p w14:paraId="7E70532F" w14:textId="77777777" w:rsidR="00677B7E" w:rsidRDefault="00677B7E" w:rsidP="00677B7E">
      <w:pPr>
        <w:autoSpaceDE w:val="0"/>
        <w:autoSpaceDN w:val="0"/>
        <w:adjustRightInd w:val="0"/>
        <w:jc w:val="both"/>
        <w:rPr>
          <w:rFonts w:ascii="Abadi" w:hAnsi="Abadi" w:cs="Arial"/>
          <w:sz w:val="21"/>
          <w:szCs w:val="21"/>
        </w:rPr>
      </w:pPr>
    </w:p>
    <w:p w14:paraId="3634411C" w14:textId="77777777" w:rsidR="00677B7E" w:rsidRPr="00401C70" w:rsidRDefault="00677B7E" w:rsidP="00677B7E">
      <w:pPr>
        <w:autoSpaceDE w:val="0"/>
        <w:autoSpaceDN w:val="0"/>
        <w:adjustRightInd w:val="0"/>
        <w:jc w:val="both"/>
        <w:rPr>
          <w:rFonts w:ascii="Abadi" w:hAnsi="Abadi" w:cs="Arial"/>
          <w:sz w:val="21"/>
          <w:szCs w:val="21"/>
        </w:rPr>
      </w:pPr>
      <w:r w:rsidRPr="00401C70">
        <w:rPr>
          <w:rFonts w:ascii="Abadi" w:hAnsi="Abadi" w:cs="Arial"/>
          <w:sz w:val="21"/>
          <w:szCs w:val="21"/>
        </w:rPr>
        <w:t>Las reformas de paridad son entonces, modificaciones que se han hecho para</w:t>
      </w:r>
      <w:r>
        <w:rPr>
          <w:rFonts w:ascii="Abadi" w:hAnsi="Abadi" w:cs="Arial"/>
          <w:sz w:val="21"/>
          <w:szCs w:val="21"/>
        </w:rPr>
        <w:t xml:space="preserve"> </w:t>
      </w:r>
      <w:r w:rsidRPr="00401C70">
        <w:rPr>
          <w:rFonts w:ascii="Abadi" w:hAnsi="Abadi" w:cs="Arial"/>
          <w:sz w:val="21"/>
          <w:szCs w:val="21"/>
        </w:rPr>
        <w:t>compensar las desigualdades existentes entre mujeres y hombres, y aunque desde</w:t>
      </w:r>
      <w:r>
        <w:rPr>
          <w:rFonts w:ascii="Abadi" w:hAnsi="Abadi" w:cs="Arial"/>
          <w:sz w:val="21"/>
          <w:szCs w:val="21"/>
        </w:rPr>
        <w:t xml:space="preserve"> </w:t>
      </w:r>
      <w:r w:rsidRPr="00401C70">
        <w:rPr>
          <w:rFonts w:ascii="Abadi" w:hAnsi="Abadi" w:cs="Arial"/>
          <w:sz w:val="21"/>
          <w:szCs w:val="21"/>
        </w:rPr>
        <w:t>la década de los noventa comenzaron a realizarse distintas modificaciones a la</w:t>
      </w:r>
      <w:r>
        <w:rPr>
          <w:rFonts w:ascii="Abadi" w:hAnsi="Abadi" w:cs="Arial"/>
          <w:sz w:val="21"/>
          <w:szCs w:val="21"/>
        </w:rPr>
        <w:t xml:space="preserve"> </w:t>
      </w:r>
      <w:r w:rsidRPr="00401C70">
        <w:rPr>
          <w:rFonts w:ascii="Abadi" w:hAnsi="Abadi" w:cs="Arial"/>
          <w:sz w:val="21"/>
          <w:szCs w:val="21"/>
        </w:rPr>
        <w:t>legislación para hacer posible que las mujeres accedieran a puestos de toma de</w:t>
      </w:r>
      <w:r>
        <w:rPr>
          <w:rFonts w:ascii="Abadi" w:hAnsi="Abadi" w:cs="Arial"/>
          <w:sz w:val="21"/>
          <w:szCs w:val="21"/>
        </w:rPr>
        <w:t xml:space="preserve"> </w:t>
      </w:r>
      <w:r w:rsidRPr="00401C70">
        <w:rPr>
          <w:rFonts w:ascii="Abadi" w:hAnsi="Abadi" w:cs="Arial"/>
          <w:sz w:val="21"/>
          <w:szCs w:val="21"/>
        </w:rPr>
        <w:t>decisión públicos, el principio se incorporó a nuestro marco legal hasta el 2014, año</w:t>
      </w:r>
      <w:r>
        <w:rPr>
          <w:rFonts w:ascii="Abadi" w:hAnsi="Abadi" w:cs="Arial"/>
          <w:sz w:val="21"/>
          <w:szCs w:val="21"/>
        </w:rPr>
        <w:t xml:space="preserve"> </w:t>
      </w:r>
      <w:r w:rsidRPr="00401C70">
        <w:rPr>
          <w:rFonts w:ascii="Abadi" w:hAnsi="Abadi" w:cs="Arial"/>
          <w:sz w:val="21"/>
          <w:szCs w:val="21"/>
        </w:rPr>
        <w:t>en el que fue incluido formalmente en la Constitución Federal haciéndolo obligatorio</w:t>
      </w:r>
      <w:r>
        <w:rPr>
          <w:rFonts w:ascii="Abadi" w:hAnsi="Abadi" w:cs="Arial"/>
          <w:sz w:val="21"/>
          <w:szCs w:val="21"/>
        </w:rPr>
        <w:t xml:space="preserve"> </w:t>
      </w:r>
      <w:r w:rsidRPr="00401C70">
        <w:rPr>
          <w:rFonts w:ascii="Abadi" w:hAnsi="Abadi" w:cs="Arial"/>
          <w:sz w:val="21"/>
          <w:szCs w:val="21"/>
        </w:rPr>
        <w:t>en la postulación de candidaturas y se consolidó con la reforma del 2019, conocida</w:t>
      </w:r>
      <w:r>
        <w:rPr>
          <w:rFonts w:ascii="Abadi" w:hAnsi="Abadi" w:cs="Arial"/>
          <w:sz w:val="21"/>
          <w:szCs w:val="21"/>
        </w:rPr>
        <w:t xml:space="preserve"> </w:t>
      </w:r>
      <w:r w:rsidRPr="00401C70">
        <w:rPr>
          <w:rFonts w:ascii="Abadi" w:hAnsi="Abadi" w:cs="ArialMT"/>
          <w:sz w:val="21"/>
          <w:szCs w:val="21"/>
        </w:rPr>
        <w:t xml:space="preserve">coloquialmente como “Paridad en Todo” y mediante la cual se </w:t>
      </w:r>
      <w:r w:rsidRPr="00401C70">
        <w:rPr>
          <w:rFonts w:ascii="Abadi" w:hAnsi="Abadi" w:cs="Arial"/>
          <w:sz w:val="21"/>
          <w:szCs w:val="21"/>
        </w:rPr>
        <w:t>reformaron los</w:t>
      </w:r>
      <w:r>
        <w:rPr>
          <w:rFonts w:ascii="Abadi" w:hAnsi="Abadi" w:cs="Arial"/>
          <w:sz w:val="21"/>
          <w:szCs w:val="21"/>
        </w:rPr>
        <w:t xml:space="preserve"> </w:t>
      </w:r>
      <w:r w:rsidRPr="00401C70">
        <w:rPr>
          <w:rFonts w:ascii="Abadi" w:hAnsi="Abadi" w:cs="Arial"/>
          <w:sz w:val="21"/>
          <w:szCs w:val="21"/>
        </w:rPr>
        <w:t xml:space="preserve">artículos 2, 4, 35, 41, 52, 53, 56, 94 y 115 de la Constitución Política de los </w:t>
      </w:r>
      <w:r w:rsidRPr="00401C70">
        <w:rPr>
          <w:rFonts w:ascii="Abadi" w:hAnsi="Abadi" w:cs="Arial"/>
          <w:sz w:val="21"/>
          <w:szCs w:val="21"/>
        </w:rPr>
        <w:t>Estados</w:t>
      </w:r>
      <w:r>
        <w:rPr>
          <w:rFonts w:ascii="Abadi" w:hAnsi="Abadi" w:cs="Arial"/>
          <w:sz w:val="21"/>
          <w:szCs w:val="21"/>
        </w:rPr>
        <w:t xml:space="preserve"> </w:t>
      </w:r>
      <w:r w:rsidRPr="00401C70">
        <w:rPr>
          <w:rFonts w:ascii="Abadi" w:hAnsi="Abadi" w:cs="Arial"/>
          <w:sz w:val="21"/>
          <w:szCs w:val="21"/>
        </w:rPr>
        <w:t>Unidos Mexicanos para garantizar que la mitad de los cargos de decisión política en</w:t>
      </w:r>
      <w:r>
        <w:rPr>
          <w:rFonts w:ascii="Abadi" w:hAnsi="Abadi" w:cs="Arial"/>
          <w:sz w:val="21"/>
          <w:szCs w:val="21"/>
        </w:rPr>
        <w:t xml:space="preserve"> </w:t>
      </w:r>
      <w:r w:rsidRPr="00401C70">
        <w:rPr>
          <w:rFonts w:ascii="Abadi" w:hAnsi="Abadi" w:cs="Arial"/>
          <w:sz w:val="21"/>
          <w:szCs w:val="21"/>
        </w:rPr>
        <w:t>los tres niveles de gobierno (federal, estatal y municipal), en los tres poderes de la</w:t>
      </w:r>
      <w:r>
        <w:rPr>
          <w:rFonts w:ascii="Abadi" w:hAnsi="Abadi" w:cs="Arial"/>
          <w:sz w:val="21"/>
          <w:szCs w:val="21"/>
        </w:rPr>
        <w:t xml:space="preserve"> </w:t>
      </w:r>
      <w:r w:rsidRPr="00401C70">
        <w:rPr>
          <w:rFonts w:ascii="Abadi" w:hAnsi="Abadi" w:cs="Arial"/>
          <w:sz w:val="21"/>
          <w:szCs w:val="21"/>
        </w:rPr>
        <w:t>Unión (legislativo, ejecutivo y judicial) y en los organismos autónomos fueran</w:t>
      </w:r>
      <w:r>
        <w:rPr>
          <w:rFonts w:ascii="Abadi" w:hAnsi="Abadi" w:cs="Arial"/>
          <w:sz w:val="21"/>
          <w:szCs w:val="21"/>
        </w:rPr>
        <w:t xml:space="preserve"> </w:t>
      </w:r>
      <w:r w:rsidRPr="00401C70">
        <w:rPr>
          <w:rFonts w:ascii="Abadi" w:hAnsi="Abadi" w:cs="Arial"/>
          <w:sz w:val="21"/>
          <w:szCs w:val="21"/>
        </w:rPr>
        <w:t>ocupados por mujeres. Es decir, el principio evolucionó al pasar únicamente de la</w:t>
      </w:r>
      <w:r>
        <w:rPr>
          <w:rFonts w:ascii="Abadi" w:hAnsi="Abadi" w:cs="Arial"/>
          <w:sz w:val="21"/>
          <w:szCs w:val="21"/>
        </w:rPr>
        <w:t xml:space="preserve"> </w:t>
      </w:r>
      <w:r w:rsidRPr="00401C70">
        <w:rPr>
          <w:rFonts w:ascii="Abadi" w:hAnsi="Abadi" w:cs="Arial"/>
          <w:sz w:val="21"/>
          <w:szCs w:val="21"/>
        </w:rPr>
        <w:t>composición de las candidaturas a la integración en los espacios de toma de</w:t>
      </w:r>
      <w:r>
        <w:rPr>
          <w:rFonts w:ascii="Abadi" w:hAnsi="Abadi" w:cs="Arial"/>
          <w:sz w:val="21"/>
          <w:szCs w:val="21"/>
        </w:rPr>
        <w:t xml:space="preserve"> </w:t>
      </w:r>
      <w:r w:rsidRPr="00401C70">
        <w:rPr>
          <w:rFonts w:ascii="Abadi" w:hAnsi="Abadi" w:cs="Arial"/>
          <w:sz w:val="21"/>
          <w:szCs w:val="21"/>
        </w:rPr>
        <w:t>decisión dentro de las Instituciones.</w:t>
      </w:r>
    </w:p>
    <w:p w14:paraId="0DB28F64" w14:textId="77777777" w:rsidR="00677B7E" w:rsidRDefault="00677B7E" w:rsidP="00677B7E">
      <w:pPr>
        <w:autoSpaceDE w:val="0"/>
        <w:autoSpaceDN w:val="0"/>
        <w:adjustRightInd w:val="0"/>
        <w:jc w:val="both"/>
        <w:rPr>
          <w:rFonts w:ascii="Abadi" w:hAnsi="Abadi" w:cs="Arial"/>
          <w:sz w:val="21"/>
          <w:szCs w:val="21"/>
        </w:rPr>
      </w:pPr>
    </w:p>
    <w:p w14:paraId="163395FE" w14:textId="77777777" w:rsidR="00677B7E" w:rsidRPr="00401C70" w:rsidRDefault="00677B7E" w:rsidP="00677B7E">
      <w:pPr>
        <w:autoSpaceDE w:val="0"/>
        <w:autoSpaceDN w:val="0"/>
        <w:adjustRightInd w:val="0"/>
        <w:jc w:val="both"/>
        <w:rPr>
          <w:rFonts w:ascii="Abadi" w:hAnsi="Abadi" w:cs="Arial"/>
          <w:sz w:val="21"/>
          <w:szCs w:val="21"/>
        </w:rPr>
      </w:pPr>
      <w:r w:rsidRPr="00401C70">
        <w:rPr>
          <w:rFonts w:ascii="Abadi" w:hAnsi="Abadi" w:cs="Arial"/>
          <w:sz w:val="21"/>
          <w:szCs w:val="21"/>
        </w:rPr>
        <w:t>Dichas reformas han dado como resultado que hoy México tenga 9 mujeres</w:t>
      </w:r>
      <w:r>
        <w:rPr>
          <w:rFonts w:ascii="Abadi" w:hAnsi="Abadi" w:cs="Arial"/>
          <w:sz w:val="21"/>
          <w:szCs w:val="21"/>
        </w:rPr>
        <w:t xml:space="preserve"> </w:t>
      </w:r>
      <w:r w:rsidRPr="00401C70">
        <w:rPr>
          <w:rFonts w:ascii="Abadi" w:hAnsi="Abadi" w:cs="Arial"/>
          <w:sz w:val="21"/>
          <w:szCs w:val="21"/>
        </w:rPr>
        <w:t>gobernando entidades federativas de manera simultánea3. Ello representa un gran</w:t>
      </w:r>
      <w:r>
        <w:rPr>
          <w:rFonts w:ascii="Abadi" w:hAnsi="Abadi" w:cs="Arial"/>
          <w:sz w:val="21"/>
          <w:szCs w:val="21"/>
        </w:rPr>
        <w:t xml:space="preserve"> </w:t>
      </w:r>
      <w:r w:rsidRPr="00401C70">
        <w:rPr>
          <w:rFonts w:ascii="Abadi" w:hAnsi="Abadi" w:cs="Arial"/>
          <w:sz w:val="21"/>
          <w:szCs w:val="21"/>
        </w:rPr>
        <w:t>avance dado que en toda la historia de nuestro país se habían tenido un total de 9</w:t>
      </w:r>
      <w:r>
        <w:rPr>
          <w:rFonts w:ascii="Abadi" w:hAnsi="Abadi" w:cs="Arial"/>
          <w:sz w:val="21"/>
          <w:szCs w:val="21"/>
        </w:rPr>
        <w:t xml:space="preserve"> </w:t>
      </w:r>
      <w:r w:rsidRPr="00401C70">
        <w:rPr>
          <w:rFonts w:ascii="Abadi" w:hAnsi="Abadi" w:cs="Arial"/>
          <w:sz w:val="21"/>
          <w:szCs w:val="21"/>
        </w:rPr>
        <w:t>gobernadoras4, de las cuales 2 fueron interinas5 y una lamentablemente falleció</w:t>
      </w:r>
      <w:r>
        <w:rPr>
          <w:rFonts w:ascii="Abadi" w:hAnsi="Abadi" w:cs="Arial"/>
          <w:sz w:val="21"/>
          <w:szCs w:val="21"/>
        </w:rPr>
        <w:t xml:space="preserve"> </w:t>
      </w:r>
      <w:r w:rsidRPr="00401C70">
        <w:rPr>
          <w:rFonts w:ascii="Abadi" w:hAnsi="Abadi" w:cs="Arial"/>
          <w:sz w:val="21"/>
          <w:szCs w:val="21"/>
        </w:rPr>
        <w:t>cuando su gobierno apenas había iniciado6.</w:t>
      </w:r>
    </w:p>
    <w:p w14:paraId="540E009F" w14:textId="77777777" w:rsidR="00677B7E" w:rsidRDefault="00677B7E" w:rsidP="00677B7E">
      <w:pPr>
        <w:autoSpaceDE w:val="0"/>
        <w:autoSpaceDN w:val="0"/>
        <w:adjustRightInd w:val="0"/>
        <w:jc w:val="both"/>
        <w:rPr>
          <w:rFonts w:ascii="Abadi" w:hAnsi="Abadi" w:cs="Arial"/>
          <w:sz w:val="21"/>
          <w:szCs w:val="21"/>
        </w:rPr>
      </w:pPr>
    </w:p>
    <w:p w14:paraId="383ABB50" w14:textId="77777777" w:rsidR="00677B7E" w:rsidRPr="00401C70" w:rsidRDefault="00677B7E" w:rsidP="00677B7E">
      <w:pPr>
        <w:autoSpaceDE w:val="0"/>
        <w:autoSpaceDN w:val="0"/>
        <w:adjustRightInd w:val="0"/>
        <w:jc w:val="both"/>
        <w:rPr>
          <w:rFonts w:ascii="Abadi" w:hAnsi="Abadi" w:cs="Arial"/>
          <w:sz w:val="21"/>
          <w:szCs w:val="21"/>
        </w:rPr>
      </w:pPr>
      <w:r w:rsidRPr="00401C70">
        <w:rPr>
          <w:rFonts w:ascii="Abadi" w:hAnsi="Abadi" w:cs="Arial"/>
          <w:sz w:val="21"/>
          <w:szCs w:val="21"/>
        </w:rPr>
        <w:t>Sobre los Congresos locales, ya 7 han alcanzado una paridad cuantitativa exacta7,</w:t>
      </w:r>
      <w:r>
        <w:rPr>
          <w:rFonts w:ascii="Abadi" w:hAnsi="Abadi" w:cs="Arial"/>
          <w:sz w:val="21"/>
          <w:szCs w:val="21"/>
        </w:rPr>
        <w:t xml:space="preserve"> </w:t>
      </w:r>
      <w:r w:rsidRPr="00401C70">
        <w:rPr>
          <w:rFonts w:ascii="Abadi" w:hAnsi="Abadi" w:cs="Arial"/>
          <w:sz w:val="21"/>
          <w:szCs w:val="21"/>
        </w:rPr>
        <w:t>en 11 hay una paridad parcial con una diferencia de 1 hombre o 1 mujer dado que</w:t>
      </w:r>
      <w:r>
        <w:rPr>
          <w:rFonts w:ascii="Abadi" w:hAnsi="Abadi" w:cs="Arial"/>
          <w:sz w:val="21"/>
          <w:szCs w:val="21"/>
        </w:rPr>
        <w:t xml:space="preserve"> </w:t>
      </w:r>
      <w:r w:rsidRPr="00401C70">
        <w:rPr>
          <w:rFonts w:ascii="Abadi" w:hAnsi="Abadi" w:cs="Arial"/>
          <w:sz w:val="21"/>
          <w:szCs w:val="21"/>
        </w:rPr>
        <w:t>su composición total es impar8, mientras que, en el resto, hay mayoría de mujeres9.</w:t>
      </w:r>
    </w:p>
    <w:p w14:paraId="4030C6F3" w14:textId="77777777" w:rsidR="00677B7E" w:rsidRDefault="00677B7E" w:rsidP="00677B7E">
      <w:pPr>
        <w:autoSpaceDE w:val="0"/>
        <w:autoSpaceDN w:val="0"/>
        <w:adjustRightInd w:val="0"/>
        <w:jc w:val="both"/>
        <w:rPr>
          <w:rFonts w:ascii="Abadi" w:hAnsi="Abadi" w:cs="Arial"/>
          <w:sz w:val="21"/>
          <w:szCs w:val="21"/>
        </w:rPr>
      </w:pPr>
    </w:p>
    <w:p w14:paraId="2A4D3EC8" w14:textId="77777777" w:rsidR="00677B7E" w:rsidRPr="00401C70" w:rsidRDefault="00677B7E" w:rsidP="00677B7E">
      <w:pPr>
        <w:autoSpaceDE w:val="0"/>
        <w:autoSpaceDN w:val="0"/>
        <w:adjustRightInd w:val="0"/>
        <w:jc w:val="both"/>
        <w:rPr>
          <w:rFonts w:ascii="Abadi" w:hAnsi="Abadi" w:cs="Arial"/>
          <w:sz w:val="21"/>
          <w:szCs w:val="21"/>
        </w:rPr>
      </w:pPr>
      <w:r w:rsidRPr="00401C70">
        <w:rPr>
          <w:rFonts w:ascii="Abadi" w:hAnsi="Abadi" w:cs="Arial"/>
          <w:sz w:val="21"/>
          <w:szCs w:val="21"/>
        </w:rPr>
        <w:t>Guanajuato en lo particular se caracteriza porque siempre ha innovado y ha sido</w:t>
      </w:r>
      <w:r>
        <w:rPr>
          <w:rFonts w:ascii="Abadi" w:hAnsi="Abadi" w:cs="Arial"/>
          <w:sz w:val="21"/>
          <w:szCs w:val="21"/>
        </w:rPr>
        <w:t xml:space="preserve"> </w:t>
      </w:r>
      <w:r w:rsidRPr="00401C70">
        <w:rPr>
          <w:rFonts w:ascii="Abadi" w:hAnsi="Abadi" w:cs="Arial"/>
          <w:sz w:val="21"/>
          <w:szCs w:val="21"/>
        </w:rPr>
        <w:t>pionero en la aplicación progresiva de este principio, ejemplo de ello es que fue uno</w:t>
      </w:r>
      <w:r>
        <w:rPr>
          <w:rFonts w:ascii="Abadi" w:hAnsi="Abadi" w:cs="Arial"/>
          <w:sz w:val="21"/>
          <w:szCs w:val="21"/>
        </w:rPr>
        <w:t xml:space="preserve"> </w:t>
      </w:r>
      <w:r w:rsidRPr="00401C70">
        <w:rPr>
          <w:rFonts w:ascii="Abadi" w:hAnsi="Abadi" w:cs="Arial"/>
          <w:sz w:val="21"/>
          <w:szCs w:val="21"/>
        </w:rPr>
        <w:t>de los primeros Estados en los que se presentó la iniciativa de paridad en marzo del</w:t>
      </w:r>
      <w:r>
        <w:rPr>
          <w:rFonts w:ascii="Abadi" w:hAnsi="Abadi" w:cs="Arial"/>
          <w:sz w:val="21"/>
          <w:szCs w:val="21"/>
        </w:rPr>
        <w:t xml:space="preserve"> </w:t>
      </w:r>
      <w:r w:rsidRPr="00401C70">
        <w:rPr>
          <w:rFonts w:ascii="Abadi" w:hAnsi="Abadi" w:cs="Arial"/>
          <w:sz w:val="21"/>
          <w:szCs w:val="21"/>
        </w:rPr>
        <w:t>2013, meses antes de que fuera presentada a nivel federal10, y en el mismo sentido</w:t>
      </w:r>
      <w:r>
        <w:rPr>
          <w:rFonts w:ascii="Abadi" w:hAnsi="Abadi" w:cs="Arial"/>
          <w:sz w:val="21"/>
          <w:szCs w:val="21"/>
        </w:rPr>
        <w:t xml:space="preserve"> </w:t>
      </w:r>
      <w:r w:rsidRPr="00401C70">
        <w:rPr>
          <w:rFonts w:ascii="Abadi" w:hAnsi="Abadi" w:cs="Arial"/>
          <w:sz w:val="21"/>
          <w:szCs w:val="21"/>
        </w:rPr>
        <w:t>fue una de las 7 entidades en las que durante el proceso electoral del 2020-2021 ya</w:t>
      </w:r>
      <w:r>
        <w:rPr>
          <w:rFonts w:ascii="Abadi" w:hAnsi="Abadi" w:cs="Arial"/>
          <w:sz w:val="21"/>
          <w:szCs w:val="21"/>
        </w:rPr>
        <w:t xml:space="preserve"> </w:t>
      </w:r>
      <w:r w:rsidRPr="00401C70">
        <w:rPr>
          <w:rFonts w:ascii="Abadi" w:hAnsi="Abadi" w:cs="Arial"/>
          <w:sz w:val="21"/>
          <w:szCs w:val="21"/>
        </w:rPr>
        <w:t>tenía regulada en su legislación no únicamente la paridad en las candidaturas, sino</w:t>
      </w:r>
      <w:r>
        <w:rPr>
          <w:rFonts w:ascii="Abadi" w:hAnsi="Abadi" w:cs="Arial"/>
          <w:sz w:val="21"/>
          <w:szCs w:val="21"/>
        </w:rPr>
        <w:t xml:space="preserve"> </w:t>
      </w:r>
      <w:r w:rsidRPr="00401C70">
        <w:rPr>
          <w:rFonts w:ascii="Abadi" w:hAnsi="Abadi" w:cs="Arial"/>
          <w:sz w:val="21"/>
          <w:szCs w:val="21"/>
        </w:rPr>
        <w:t>también en la integración de las legislaturas, para lo cual, incluso se facultó al</w:t>
      </w:r>
      <w:r>
        <w:rPr>
          <w:rFonts w:ascii="Abadi" w:hAnsi="Abadi" w:cs="Arial"/>
          <w:sz w:val="21"/>
          <w:szCs w:val="21"/>
        </w:rPr>
        <w:t xml:space="preserve"> </w:t>
      </w:r>
      <w:r w:rsidRPr="00401C70">
        <w:rPr>
          <w:rFonts w:ascii="Abadi" w:hAnsi="Abadi" w:cs="Arial"/>
          <w:sz w:val="21"/>
          <w:szCs w:val="21"/>
        </w:rPr>
        <w:t>Instituto Electoral del Estado de Guanajuato (IEEG) para que realizara los ajustes necesarios durante el proceso electoral a fin de que se lograra la integración</w:t>
      </w:r>
      <w:r>
        <w:rPr>
          <w:rFonts w:ascii="Abadi" w:hAnsi="Abadi" w:cs="Arial"/>
          <w:sz w:val="21"/>
          <w:szCs w:val="21"/>
        </w:rPr>
        <w:t xml:space="preserve"> </w:t>
      </w:r>
      <w:r w:rsidRPr="00401C70">
        <w:rPr>
          <w:rFonts w:ascii="Abadi" w:hAnsi="Abadi" w:cs="Arial"/>
          <w:sz w:val="21"/>
          <w:szCs w:val="21"/>
        </w:rPr>
        <w:t>paritaria en el Congreso. (Vázquez, 2022).11</w:t>
      </w:r>
    </w:p>
    <w:p w14:paraId="706E44B6" w14:textId="77777777" w:rsidR="00677B7E" w:rsidRDefault="00677B7E" w:rsidP="00677B7E">
      <w:pPr>
        <w:autoSpaceDE w:val="0"/>
        <w:autoSpaceDN w:val="0"/>
        <w:adjustRightInd w:val="0"/>
        <w:jc w:val="both"/>
        <w:rPr>
          <w:rFonts w:ascii="Abadi" w:hAnsi="Abadi" w:cs="Arial"/>
          <w:sz w:val="21"/>
          <w:szCs w:val="21"/>
        </w:rPr>
      </w:pPr>
    </w:p>
    <w:p w14:paraId="5CF1989A" w14:textId="52BD1DE2" w:rsidR="00677B7E" w:rsidRPr="00401C70" w:rsidRDefault="00677B7E" w:rsidP="00677B7E">
      <w:pPr>
        <w:autoSpaceDE w:val="0"/>
        <w:autoSpaceDN w:val="0"/>
        <w:adjustRightInd w:val="0"/>
        <w:jc w:val="both"/>
        <w:rPr>
          <w:rFonts w:ascii="Abadi" w:hAnsi="Abadi" w:cs="Arial"/>
          <w:sz w:val="21"/>
          <w:szCs w:val="21"/>
        </w:rPr>
      </w:pPr>
      <w:r w:rsidRPr="00401C70">
        <w:rPr>
          <w:rFonts w:ascii="Abadi" w:hAnsi="Abadi" w:cs="Arial"/>
          <w:sz w:val="21"/>
          <w:szCs w:val="21"/>
        </w:rPr>
        <w:t>El avance en la aplicación del principio de paridad puede analizarse desde dos</w:t>
      </w:r>
      <w:r>
        <w:rPr>
          <w:rFonts w:ascii="Abadi" w:hAnsi="Abadi" w:cs="Arial"/>
          <w:sz w:val="21"/>
          <w:szCs w:val="21"/>
        </w:rPr>
        <w:t xml:space="preserve"> </w:t>
      </w:r>
      <w:r w:rsidRPr="00401C70">
        <w:rPr>
          <w:rFonts w:ascii="Abadi" w:hAnsi="Abadi" w:cs="Arial"/>
          <w:sz w:val="21"/>
          <w:szCs w:val="21"/>
        </w:rPr>
        <w:t>perspectivas, siendo estas la representación descriptiva y la representación</w:t>
      </w:r>
      <w:r>
        <w:rPr>
          <w:rFonts w:ascii="Abadi" w:hAnsi="Abadi" w:cs="Arial"/>
          <w:sz w:val="21"/>
          <w:szCs w:val="21"/>
        </w:rPr>
        <w:t xml:space="preserve"> </w:t>
      </w:r>
      <w:r w:rsidRPr="00401C70">
        <w:rPr>
          <w:rFonts w:ascii="Abadi" w:hAnsi="Abadi" w:cs="Arial"/>
          <w:sz w:val="21"/>
          <w:szCs w:val="21"/>
        </w:rPr>
        <w:t>sustantiva. La descriptiva refiere al impacto cuantitativo, es decir la cantidad de</w:t>
      </w:r>
      <w:r>
        <w:rPr>
          <w:rFonts w:ascii="Abadi" w:hAnsi="Abadi" w:cs="Arial"/>
          <w:sz w:val="21"/>
          <w:szCs w:val="21"/>
        </w:rPr>
        <w:t xml:space="preserve"> </w:t>
      </w:r>
      <w:r w:rsidRPr="00401C70">
        <w:rPr>
          <w:rFonts w:ascii="Abadi" w:hAnsi="Abadi" w:cs="Arial"/>
          <w:sz w:val="21"/>
          <w:szCs w:val="21"/>
        </w:rPr>
        <w:t>mujeres que han logrado acceder a los puestos de toma de decisión, aspirando a</w:t>
      </w:r>
      <w:r>
        <w:rPr>
          <w:rFonts w:ascii="Abadi" w:hAnsi="Abadi" w:cs="Arial"/>
          <w:sz w:val="21"/>
          <w:szCs w:val="21"/>
        </w:rPr>
        <w:t xml:space="preserve"> </w:t>
      </w:r>
      <w:r w:rsidRPr="00401C70">
        <w:rPr>
          <w:rFonts w:ascii="Abadi" w:hAnsi="Abadi" w:cs="Arial"/>
          <w:sz w:val="21"/>
          <w:szCs w:val="21"/>
        </w:rPr>
        <w:t xml:space="preserve">que, en los tres niveles de </w:t>
      </w:r>
      <w:r w:rsidRPr="00401C70">
        <w:rPr>
          <w:rFonts w:ascii="Abadi" w:hAnsi="Abadi" w:cs="Arial"/>
          <w:sz w:val="21"/>
          <w:szCs w:val="21"/>
        </w:rPr>
        <w:lastRenderedPageBreak/>
        <w:t>gobierno, en los tres poderes y en los organismos</w:t>
      </w:r>
      <w:r w:rsidR="0040409F">
        <w:rPr>
          <w:rFonts w:ascii="Abadi" w:hAnsi="Abadi" w:cs="Arial"/>
          <w:sz w:val="21"/>
          <w:szCs w:val="21"/>
        </w:rPr>
        <w:t xml:space="preserve"> </w:t>
      </w:r>
      <w:r w:rsidRPr="00401C70">
        <w:rPr>
          <w:rFonts w:ascii="Abadi" w:hAnsi="Abadi" w:cs="Arial"/>
          <w:sz w:val="21"/>
          <w:szCs w:val="21"/>
        </w:rPr>
        <w:t>autónomos se alcance una integración de 50% mujeres y 50% hombres. La</w:t>
      </w:r>
      <w:r>
        <w:rPr>
          <w:rFonts w:ascii="Abadi" w:hAnsi="Abadi" w:cs="Arial"/>
          <w:sz w:val="21"/>
          <w:szCs w:val="21"/>
        </w:rPr>
        <w:t xml:space="preserve"> </w:t>
      </w:r>
      <w:r w:rsidRPr="00401C70">
        <w:rPr>
          <w:rFonts w:ascii="Abadi" w:hAnsi="Abadi" w:cs="Arial"/>
          <w:sz w:val="21"/>
          <w:szCs w:val="21"/>
        </w:rPr>
        <w:t>representación sustantiva por otra parte alude a la incidencia que ha tenido en la</w:t>
      </w:r>
      <w:r>
        <w:rPr>
          <w:rFonts w:ascii="Abadi" w:hAnsi="Abadi" w:cs="Arial"/>
          <w:sz w:val="21"/>
          <w:szCs w:val="21"/>
        </w:rPr>
        <w:t xml:space="preserve"> </w:t>
      </w:r>
      <w:r w:rsidRPr="00401C70">
        <w:rPr>
          <w:rFonts w:ascii="Abadi" w:hAnsi="Abadi" w:cs="Arial"/>
          <w:sz w:val="21"/>
          <w:szCs w:val="21"/>
        </w:rPr>
        <w:t>agenda pública y actividades de las instituciones el que las mujeres estén llegando</w:t>
      </w:r>
      <w:r>
        <w:rPr>
          <w:rFonts w:ascii="Abadi" w:hAnsi="Abadi" w:cs="Arial"/>
          <w:sz w:val="21"/>
          <w:szCs w:val="21"/>
        </w:rPr>
        <w:t xml:space="preserve"> </w:t>
      </w:r>
      <w:r w:rsidRPr="00401C70">
        <w:rPr>
          <w:rFonts w:ascii="Abadi" w:hAnsi="Abadi" w:cs="Arial"/>
          <w:sz w:val="21"/>
          <w:szCs w:val="21"/>
        </w:rPr>
        <w:t>a los puestos de toma de decisión. El que exista una representación descriptiva,</w:t>
      </w:r>
      <w:r>
        <w:rPr>
          <w:rFonts w:ascii="Abadi" w:hAnsi="Abadi" w:cs="Arial"/>
          <w:sz w:val="21"/>
          <w:szCs w:val="21"/>
        </w:rPr>
        <w:t xml:space="preserve"> </w:t>
      </w:r>
      <w:r w:rsidRPr="00401C70">
        <w:rPr>
          <w:rFonts w:ascii="Abadi" w:hAnsi="Abadi" w:cs="Arial"/>
          <w:sz w:val="21"/>
          <w:szCs w:val="21"/>
        </w:rPr>
        <w:t>aunque indudablemente es un gran avance, no garantiza la existencia de la</w:t>
      </w:r>
      <w:r>
        <w:rPr>
          <w:rFonts w:ascii="Abadi" w:hAnsi="Abadi" w:cs="Arial"/>
          <w:sz w:val="21"/>
          <w:szCs w:val="21"/>
        </w:rPr>
        <w:t xml:space="preserve"> </w:t>
      </w:r>
      <w:r w:rsidRPr="00401C70">
        <w:rPr>
          <w:rFonts w:ascii="Abadi" w:hAnsi="Abadi" w:cs="Arial"/>
          <w:sz w:val="21"/>
          <w:szCs w:val="21"/>
        </w:rPr>
        <w:t>representación sustantiva, pero es un paso importante para lograrlo.</w:t>
      </w:r>
    </w:p>
    <w:p w14:paraId="3B78384B" w14:textId="77777777" w:rsidR="00677B7E" w:rsidRDefault="00677B7E" w:rsidP="00677B7E">
      <w:pPr>
        <w:autoSpaceDE w:val="0"/>
        <w:autoSpaceDN w:val="0"/>
        <w:adjustRightInd w:val="0"/>
        <w:jc w:val="both"/>
        <w:rPr>
          <w:rFonts w:ascii="Abadi" w:hAnsi="Abadi" w:cs="Arial"/>
          <w:sz w:val="21"/>
          <w:szCs w:val="21"/>
        </w:rPr>
      </w:pPr>
    </w:p>
    <w:p w14:paraId="0E1461C0" w14:textId="77777777" w:rsidR="00677B7E" w:rsidRPr="00401C70" w:rsidRDefault="00677B7E" w:rsidP="00677B7E">
      <w:pPr>
        <w:autoSpaceDE w:val="0"/>
        <w:autoSpaceDN w:val="0"/>
        <w:adjustRightInd w:val="0"/>
        <w:jc w:val="both"/>
        <w:rPr>
          <w:rFonts w:ascii="Abadi" w:hAnsi="Abadi" w:cs="Arial"/>
          <w:sz w:val="21"/>
          <w:szCs w:val="21"/>
        </w:rPr>
      </w:pPr>
      <w:r w:rsidRPr="00401C70">
        <w:rPr>
          <w:rFonts w:ascii="Abadi" w:hAnsi="Abadi" w:cs="Arial"/>
          <w:sz w:val="21"/>
          <w:szCs w:val="21"/>
        </w:rPr>
        <w:t>Sucede que estas dos perspectivas son complementarias, pues para tener un</w:t>
      </w:r>
      <w:r>
        <w:rPr>
          <w:rFonts w:ascii="Abadi" w:hAnsi="Abadi" w:cs="Arial"/>
          <w:sz w:val="21"/>
          <w:szCs w:val="21"/>
        </w:rPr>
        <w:t xml:space="preserve"> </w:t>
      </w:r>
      <w:r w:rsidRPr="00401C70">
        <w:rPr>
          <w:rFonts w:ascii="Abadi" w:hAnsi="Abadi" w:cs="Arial"/>
          <w:sz w:val="21"/>
          <w:szCs w:val="21"/>
        </w:rPr>
        <w:t>análisis integral sobre la evolución que ha tenido este principio deben estudiarse de</w:t>
      </w:r>
      <w:r>
        <w:rPr>
          <w:rFonts w:ascii="Abadi" w:hAnsi="Abadi" w:cs="Arial"/>
          <w:sz w:val="21"/>
          <w:szCs w:val="21"/>
        </w:rPr>
        <w:t xml:space="preserve"> </w:t>
      </w:r>
      <w:r w:rsidRPr="00401C70">
        <w:rPr>
          <w:rFonts w:ascii="Abadi" w:hAnsi="Abadi" w:cs="Arial"/>
          <w:sz w:val="21"/>
          <w:szCs w:val="21"/>
        </w:rPr>
        <w:t>manera conjunta los avances y retos tanto cualitativos como cuantitativos, debido a</w:t>
      </w:r>
      <w:r>
        <w:rPr>
          <w:rFonts w:ascii="Abadi" w:hAnsi="Abadi" w:cs="Arial"/>
          <w:sz w:val="21"/>
          <w:szCs w:val="21"/>
        </w:rPr>
        <w:t xml:space="preserve"> </w:t>
      </w:r>
      <w:r w:rsidRPr="00401C70">
        <w:rPr>
          <w:rFonts w:ascii="Abadi" w:hAnsi="Abadi" w:cs="Arial"/>
          <w:sz w:val="21"/>
          <w:szCs w:val="21"/>
        </w:rPr>
        <w:t>que hay que tener claro que las distintas reformas que se han realizado en la materia</w:t>
      </w:r>
      <w:r>
        <w:rPr>
          <w:rFonts w:ascii="Abadi" w:hAnsi="Abadi" w:cs="Arial"/>
          <w:sz w:val="21"/>
          <w:szCs w:val="21"/>
        </w:rPr>
        <w:t xml:space="preserve"> </w:t>
      </w:r>
      <w:r w:rsidRPr="00401C70">
        <w:rPr>
          <w:rFonts w:ascii="Abadi" w:hAnsi="Abadi" w:cs="Arial"/>
          <w:sz w:val="21"/>
          <w:szCs w:val="21"/>
        </w:rPr>
        <w:t>no buscan únicamente lograr que más mujeres accedan a los puestos de decisión,</w:t>
      </w:r>
      <w:r>
        <w:rPr>
          <w:rFonts w:ascii="Abadi" w:hAnsi="Abadi" w:cs="Arial"/>
          <w:sz w:val="21"/>
          <w:szCs w:val="21"/>
        </w:rPr>
        <w:t xml:space="preserve"> </w:t>
      </w:r>
      <w:r w:rsidRPr="00401C70">
        <w:rPr>
          <w:rFonts w:ascii="Abadi" w:hAnsi="Abadi" w:cs="Arial"/>
          <w:sz w:val="21"/>
          <w:szCs w:val="21"/>
        </w:rPr>
        <w:t>sino que su finalidad esencial es abrir el debate, visualizarlas, representarlas e</w:t>
      </w:r>
      <w:r>
        <w:rPr>
          <w:rFonts w:ascii="Abadi" w:hAnsi="Abadi" w:cs="Arial"/>
          <w:sz w:val="21"/>
          <w:szCs w:val="21"/>
        </w:rPr>
        <w:t xml:space="preserve"> </w:t>
      </w:r>
      <w:r w:rsidRPr="00401C70">
        <w:rPr>
          <w:rFonts w:ascii="Abadi" w:hAnsi="Abadi" w:cs="Arial"/>
          <w:sz w:val="21"/>
          <w:szCs w:val="21"/>
        </w:rPr>
        <w:t>incorporar a las agendas públicas los temas que les afectan e importan a ellas y</w:t>
      </w:r>
      <w:r>
        <w:rPr>
          <w:rFonts w:ascii="Abadi" w:hAnsi="Abadi" w:cs="Arial"/>
          <w:sz w:val="21"/>
          <w:szCs w:val="21"/>
        </w:rPr>
        <w:t xml:space="preserve"> </w:t>
      </w:r>
      <w:r w:rsidRPr="00401C70">
        <w:rPr>
          <w:rFonts w:ascii="Abadi" w:hAnsi="Abadi" w:cs="Arial"/>
          <w:sz w:val="21"/>
          <w:szCs w:val="21"/>
        </w:rPr>
        <w:t>para eso, primero hay que asegurar su acceso a estos puestos.</w:t>
      </w:r>
    </w:p>
    <w:p w14:paraId="3EF6C7AF" w14:textId="77777777" w:rsidR="00677B7E" w:rsidRDefault="00677B7E" w:rsidP="00677B7E">
      <w:pPr>
        <w:autoSpaceDE w:val="0"/>
        <w:autoSpaceDN w:val="0"/>
        <w:adjustRightInd w:val="0"/>
        <w:jc w:val="both"/>
        <w:rPr>
          <w:rFonts w:ascii="Abadi" w:hAnsi="Abadi" w:cs="Arial"/>
          <w:sz w:val="21"/>
          <w:szCs w:val="21"/>
        </w:rPr>
      </w:pPr>
    </w:p>
    <w:p w14:paraId="1C57629D" w14:textId="77777777" w:rsidR="00677B7E" w:rsidRPr="00401C70" w:rsidRDefault="00677B7E" w:rsidP="00677B7E">
      <w:pPr>
        <w:autoSpaceDE w:val="0"/>
        <w:autoSpaceDN w:val="0"/>
        <w:adjustRightInd w:val="0"/>
        <w:jc w:val="both"/>
        <w:rPr>
          <w:rFonts w:ascii="Abadi" w:hAnsi="Abadi" w:cs="Arial"/>
          <w:sz w:val="21"/>
          <w:szCs w:val="21"/>
        </w:rPr>
      </w:pPr>
      <w:r w:rsidRPr="00401C70">
        <w:rPr>
          <w:rFonts w:ascii="Abadi" w:hAnsi="Abadi" w:cs="Arial"/>
          <w:sz w:val="21"/>
          <w:szCs w:val="21"/>
        </w:rPr>
        <w:t>Es decir, la representación descriptiva es el medio y la representación sustantiva el</w:t>
      </w:r>
      <w:r>
        <w:rPr>
          <w:rFonts w:ascii="Abadi" w:hAnsi="Abadi" w:cs="Arial"/>
          <w:sz w:val="21"/>
          <w:szCs w:val="21"/>
        </w:rPr>
        <w:t xml:space="preserve"> </w:t>
      </w:r>
      <w:r w:rsidRPr="00401C70">
        <w:rPr>
          <w:rFonts w:ascii="Abadi" w:hAnsi="Abadi" w:cs="Arial"/>
          <w:sz w:val="21"/>
          <w:szCs w:val="21"/>
        </w:rPr>
        <w:t>fin: se busca incluir a las mujeres en los cargos de toma de decisiones</w:t>
      </w:r>
      <w:r>
        <w:rPr>
          <w:rFonts w:ascii="Abadi" w:hAnsi="Abadi" w:cs="Arial"/>
          <w:sz w:val="21"/>
          <w:szCs w:val="21"/>
        </w:rPr>
        <w:t xml:space="preserve"> </w:t>
      </w:r>
      <w:r w:rsidRPr="00401C70">
        <w:rPr>
          <w:rFonts w:ascii="Abadi" w:hAnsi="Abadi" w:cs="Arial"/>
          <w:sz w:val="21"/>
          <w:szCs w:val="21"/>
        </w:rPr>
        <w:t>gubernamentales para entonces, de esta manera lograr que derivado de su incorporación a los mismos se tenga un verdadero impacto en el desempeño</w:t>
      </w:r>
      <w:r>
        <w:rPr>
          <w:rFonts w:ascii="Abadi" w:hAnsi="Abadi" w:cs="Arial"/>
          <w:sz w:val="21"/>
          <w:szCs w:val="21"/>
        </w:rPr>
        <w:t xml:space="preserve"> </w:t>
      </w:r>
      <w:r w:rsidRPr="00401C70">
        <w:rPr>
          <w:rFonts w:ascii="Abadi" w:hAnsi="Abadi" w:cs="Arial"/>
          <w:sz w:val="21"/>
          <w:szCs w:val="21"/>
        </w:rPr>
        <w:t>cotidiano de las instituciones y en las resoluciones o políticas que estas emitan.</w:t>
      </w:r>
    </w:p>
    <w:p w14:paraId="5F6ED2F0" w14:textId="77777777" w:rsidR="00677B7E" w:rsidRDefault="00677B7E" w:rsidP="00677B7E">
      <w:pPr>
        <w:autoSpaceDE w:val="0"/>
        <w:autoSpaceDN w:val="0"/>
        <w:adjustRightInd w:val="0"/>
        <w:jc w:val="both"/>
        <w:rPr>
          <w:rFonts w:ascii="Abadi" w:hAnsi="Abadi" w:cs="Arial"/>
          <w:sz w:val="21"/>
          <w:szCs w:val="21"/>
        </w:rPr>
      </w:pPr>
    </w:p>
    <w:p w14:paraId="399F19FA" w14:textId="77777777" w:rsidR="00677B7E" w:rsidRPr="00401C70" w:rsidRDefault="00677B7E" w:rsidP="00677B7E">
      <w:pPr>
        <w:autoSpaceDE w:val="0"/>
        <w:autoSpaceDN w:val="0"/>
        <w:adjustRightInd w:val="0"/>
        <w:jc w:val="both"/>
        <w:rPr>
          <w:rFonts w:ascii="Abadi" w:hAnsi="Abadi" w:cs="Arial"/>
          <w:sz w:val="21"/>
          <w:szCs w:val="21"/>
        </w:rPr>
      </w:pPr>
      <w:r w:rsidRPr="00401C70">
        <w:rPr>
          <w:rFonts w:ascii="Abadi" w:hAnsi="Abadi" w:cs="Arial"/>
          <w:sz w:val="21"/>
          <w:szCs w:val="21"/>
        </w:rPr>
        <w:t>Por ello, las cuotas de género no deben ser vistas como un techo máximo, sino</w:t>
      </w:r>
      <w:r>
        <w:rPr>
          <w:rFonts w:ascii="Abadi" w:hAnsi="Abadi" w:cs="Arial"/>
          <w:sz w:val="21"/>
          <w:szCs w:val="21"/>
        </w:rPr>
        <w:t xml:space="preserve"> </w:t>
      </w:r>
      <w:r w:rsidRPr="00401C70">
        <w:rPr>
          <w:rFonts w:ascii="Abadi" w:hAnsi="Abadi" w:cs="Arial"/>
          <w:sz w:val="21"/>
          <w:szCs w:val="21"/>
        </w:rPr>
        <w:t>como un piso mínimo, pues el principio de paridad debe interpretarse y entenderse</w:t>
      </w:r>
      <w:r>
        <w:rPr>
          <w:rFonts w:ascii="Abadi" w:hAnsi="Abadi" w:cs="Arial"/>
          <w:sz w:val="21"/>
          <w:szCs w:val="21"/>
        </w:rPr>
        <w:t xml:space="preserve"> </w:t>
      </w:r>
      <w:r w:rsidRPr="00401C70">
        <w:rPr>
          <w:rFonts w:ascii="Abadi" w:hAnsi="Abadi" w:cs="Arial"/>
          <w:sz w:val="21"/>
          <w:szCs w:val="21"/>
        </w:rPr>
        <w:t>de manera progresiva</w:t>
      </w:r>
      <w:r w:rsidRPr="00401C70">
        <w:rPr>
          <w:rFonts w:ascii="Abadi" w:hAnsi="Abadi" w:cs="ArialMT"/>
          <w:sz w:val="21"/>
          <w:szCs w:val="21"/>
        </w:rPr>
        <w:t>, cuya aplicación “implique para todos los cargos de toma de</w:t>
      </w:r>
      <w:r>
        <w:rPr>
          <w:rFonts w:ascii="Abadi" w:hAnsi="Abadi" w:cs="ArialMT"/>
          <w:sz w:val="21"/>
          <w:szCs w:val="21"/>
        </w:rPr>
        <w:t xml:space="preserve"> </w:t>
      </w:r>
      <w:r w:rsidRPr="00401C70">
        <w:rPr>
          <w:rFonts w:ascii="Abadi" w:hAnsi="Abadi" w:cs="Arial"/>
          <w:sz w:val="21"/>
          <w:szCs w:val="21"/>
        </w:rPr>
        <w:t>decisión del servicio público, aunque la Constitución no mencione cada uno</w:t>
      </w:r>
      <w:r>
        <w:rPr>
          <w:rFonts w:ascii="Abadi" w:hAnsi="Abadi" w:cs="Arial"/>
          <w:sz w:val="21"/>
          <w:szCs w:val="21"/>
        </w:rPr>
        <w:t xml:space="preserve"> </w:t>
      </w:r>
      <w:r w:rsidRPr="00401C70">
        <w:rPr>
          <w:rFonts w:ascii="Abadi" w:hAnsi="Abadi" w:cs="ArialMT"/>
          <w:sz w:val="21"/>
          <w:szCs w:val="21"/>
        </w:rPr>
        <w:t>explícitamente”.</w:t>
      </w:r>
      <w:r w:rsidRPr="00401C70">
        <w:rPr>
          <w:rFonts w:ascii="Abadi" w:hAnsi="Abadi" w:cs="Arial"/>
          <w:sz w:val="21"/>
          <w:szCs w:val="21"/>
        </w:rPr>
        <w:t>12</w:t>
      </w:r>
    </w:p>
    <w:p w14:paraId="27B46F07" w14:textId="77777777" w:rsidR="00677B7E" w:rsidRDefault="00677B7E" w:rsidP="00677B7E">
      <w:pPr>
        <w:autoSpaceDE w:val="0"/>
        <w:autoSpaceDN w:val="0"/>
        <w:adjustRightInd w:val="0"/>
        <w:jc w:val="both"/>
        <w:rPr>
          <w:rFonts w:ascii="Abadi" w:hAnsi="Abadi" w:cs="Arial"/>
          <w:sz w:val="21"/>
          <w:szCs w:val="21"/>
        </w:rPr>
      </w:pPr>
    </w:p>
    <w:p w14:paraId="501425E6" w14:textId="77777777" w:rsidR="00677B7E" w:rsidRPr="00401C70" w:rsidRDefault="00677B7E" w:rsidP="00677B7E">
      <w:pPr>
        <w:autoSpaceDE w:val="0"/>
        <w:autoSpaceDN w:val="0"/>
        <w:adjustRightInd w:val="0"/>
        <w:jc w:val="both"/>
        <w:rPr>
          <w:rFonts w:ascii="Abadi" w:hAnsi="Abadi" w:cs="Arial"/>
          <w:sz w:val="21"/>
          <w:szCs w:val="21"/>
        </w:rPr>
      </w:pPr>
      <w:r w:rsidRPr="00401C70">
        <w:rPr>
          <w:rFonts w:ascii="Abadi" w:hAnsi="Abadi" w:cs="Arial"/>
          <w:sz w:val="21"/>
          <w:szCs w:val="21"/>
        </w:rPr>
        <w:t>Sin embargo, en México, como suele pasar con la integración de un nuevo orden</w:t>
      </w:r>
      <w:r>
        <w:rPr>
          <w:rFonts w:ascii="Abadi" w:hAnsi="Abadi" w:cs="Arial"/>
          <w:sz w:val="21"/>
          <w:szCs w:val="21"/>
        </w:rPr>
        <w:t xml:space="preserve"> </w:t>
      </w:r>
      <w:r w:rsidRPr="00401C70">
        <w:rPr>
          <w:rFonts w:ascii="Abadi" w:hAnsi="Abadi" w:cs="Arial"/>
          <w:sz w:val="21"/>
          <w:szCs w:val="21"/>
        </w:rPr>
        <w:t>de ideas o el reconocimiento de derechos, la paridad ha sido entendida como un</w:t>
      </w:r>
      <w:r>
        <w:rPr>
          <w:rFonts w:ascii="Abadi" w:hAnsi="Abadi" w:cs="Arial"/>
          <w:sz w:val="21"/>
          <w:szCs w:val="21"/>
        </w:rPr>
        <w:t xml:space="preserve"> </w:t>
      </w:r>
      <w:r w:rsidRPr="00401C70">
        <w:rPr>
          <w:rFonts w:ascii="Abadi" w:hAnsi="Abadi" w:cs="Arial"/>
          <w:sz w:val="21"/>
          <w:szCs w:val="21"/>
        </w:rPr>
        <w:t>requisito limitativo, que se cumple únicamente porque lo establece la Ley y no</w:t>
      </w:r>
      <w:r>
        <w:rPr>
          <w:rFonts w:ascii="Abadi" w:hAnsi="Abadi" w:cs="Arial"/>
          <w:sz w:val="21"/>
          <w:szCs w:val="21"/>
        </w:rPr>
        <w:t xml:space="preserve"> </w:t>
      </w:r>
      <w:r w:rsidRPr="00401C70">
        <w:rPr>
          <w:rFonts w:ascii="Abadi" w:hAnsi="Abadi" w:cs="Arial"/>
          <w:sz w:val="21"/>
          <w:szCs w:val="21"/>
        </w:rPr>
        <w:t xml:space="preserve">porque se tenga la voluntad de aspirar, reconocer u otorgar </w:t>
      </w:r>
      <w:r w:rsidRPr="00401C70">
        <w:rPr>
          <w:rFonts w:ascii="Abadi" w:hAnsi="Abadi" w:cs="Arial"/>
          <w:sz w:val="21"/>
          <w:szCs w:val="21"/>
        </w:rPr>
        <w:t>posibilidades más allá</w:t>
      </w:r>
      <w:r>
        <w:rPr>
          <w:rFonts w:ascii="Abadi" w:hAnsi="Abadi" w:cs="Arial"/>
          <w:sz w:val="21"/>
          <w:szCs w:val="21"/>
        </w:rPr>
        <w:t xml:space="preserve"> </w:t>
      </w:r>
      <w:r w:rsidRPr="00401C70">
        <w:rPr>
          <w:rFonts w:ascii="Abadi" w:hAnsi="Abadi" w:cs="Arial"/>
          <w:sz w:val="21"/>
          <w:szCs w:val="21"/>
        </w:rPr>
        <w:t>de lo que esta señala. Prueba de ello es que la aplicación de este principio ha tenido</w:t>
      </w:r>
      <w:r>
        <w:rPr>
          <w:rFonts w:ascii="Abadi" w:hAnsi="Abadi" w:cs="Arial"/>
          <w:sz w:val="21"/>
          <w:szCs w:val="21"/>
        </w:rPr>
        <w:t xml:space="preserve"> </w:t>
      </w:r>
      <w:r w:rsidRPr="00401C70">
        <w:rPr>
          <w:rFonts w:ascii="Abadi" w:hAnsi="Abadi" w:cs="Arial"/>
          <w:sz w:val="21"/>
          <w:szCs w:val="21"/>
        </w:rPr>
        <w:t>que ser reformado en varias ocasiones para ponerle candados buscando garantizar</w:t>
      </w:r>
      <w:r>
        <w:rPr>
          <w:rFonts w:ascii="Abadi" w:hAnsi="Abadi" w:cs="Arial"/>
          <w:sz w:val="21"/>
          <w:szCs w:val="21"/>
        </w:rPr>
        <w:t xml:space="preserve"> </w:t>
      </w:r>
      <w:r w:rsidRPr="00401C70">
        <w:rPr>
          <w:rFonts w:ascii="Abadi" w:hAnsi="Abadi" w:cs="Arial"/>
          <w:sz w:val="21"/>
          <w:szCs w:val="21"/>
        </w:rPr>
        <w:t>que sea respetado, situación que motiva esta iniciativa.</w:t>
      </w:r>
    </w:p>
    <w:p w14:paraId="2FFED7E6" w14:textId="77777777" w:rsidR="00677B7E" w:rsidRDefault="00677B7E" w:rsidP="00677B7E">
      <w:pPr>
        <w:autoSpaceDE w:val="0"/>
        <w:autoSpaceDN w:val="0"/>
        <w:adjustRightInd w:val="0"/>
        <w:jc w:val="both"/>
        <w:rPr>
          <w:rFonts w:ascii="Abadi" w:hAnsi="Abadi" w:cs="Arial"/>
          <w:sz w:val="21"/>
          <w:szCs w:val="21"/>
        </w:rPr>
      </w:pPr>
    </w:p>
    <w:p w14:paraId="5EAD693F" w14:textId="77777777" w:rsidR="00677B7E" w:rsidRPr="00401C70" w:rsidRDefault="00677B7E" w:rsidP="00677B7E">
      <w:pPr>
        <w:autoSpaceDE w:val="0"/>
        <w:autoSpaceDN w:val="0"/>
        <w:adjustRightInd w:val="0"/>
        <w:jc w:val="both"/>
        <w:rPr>
          <w:rFonts w:ascii="Abadi" w:hAnsi="Abadi" w:cs="Arial"/>
          <w:sz w:val="21"/>
          <w:szCs w:val="21"/>
        </w:rPr>
      </w:pPr>
      <w:r w:rsidRPr="00401C70">
        <w:rPr>
          <w:rFonts w:ascii="Abadi" w:hAnsi="Abadi" w:cs="Arial"/>
          <w:sz w:val="21"/>
          <w:szCs w:val="21"/>
        </w:rPr>
        <w:t>Para explicar el origen de esta propuesta es necesario remontarnos a la reforma</w:t>
      </w:r>
      <w:r>
        <w:rPr>
          <w:rFonts w:ascii="Abadi" w:hAnsi="Abadi" w:cs="Arial"/>
          <w:sz w:val="21"/>
          <w:szCs w:val="21"/>
        </w:rPr>
        <w:t xml:space="preserve"> </w:t>
      </w:r>
      <w:r w:rsidRPr="00401C70">
        <w:rPr>
          <w:rFonts w:ascii="Abadi" w:hAnsi="Abadi" w:cs="Arial"/>
          <w:sz w:val="21"/>
          <w:szCs w:val="21"/>
        </w:rPr>
        <w:t>constitucional publicada en el Diario Oficial de la Federación el 6 de junio del 201913,</w:t>
      </w:r>
      <w:r>
        <w:rPr>
          <w:rFonts w:ascii="Abadi" w:hAnsi="Abadi" w:cs="Arial"/>
          <w:sz w:val="21"/>
          <w:szCs w:val="21"/>
        </w:rPr>
        <w:t xml:space="preserve"> </w:t>
      </w:r>
      <w:r w:rsidRPr="00401C70">
        <w:rPr>
          <w:rFonts w:ascii="Abadi" w:hAnsi="Abadi" w:cs="Arial"/>
          <w:sz w:val="21"/>
          <w:szCs w:val="21"/>
        </w:rPr>
        <w:t>en la que se estableció la obligatoriedad de observar el principio de paridad de</w:t>
      </w:r>
      <w:r>
        <w:rPr>
          <w:rFonts w:ascii="Abadi" w:hAnsi="Abadi" w:cs="Arial"/>
          <w:sz w:val="21"/>
          <w:szCs w:val="21"/>
        </w:rPr>
        <w:t xml:space="preserve"> </w:t>
      </w:r>
      <w:r w:rsidRPr="00401C70">
        <w:rPr>
          <w:rFonts w:ascii="Abadi" w:hAnsi="Abadi" w:cs="Arial"/>
          <w:sz w:val="21"/>
          <w:szCs w:val="21"/>
        </w:rPr>
        <w:t>género en la integración de los distintos niveles y poderes de gobierno, así como en</w:t>
      </w:r>
      <w:r>
        <w:rPr>
          <w:rFonts w:ascii="Abadi" w:hAnsi="Abadi" w:cs="Arial"/>
          <w:sz w:val="21"/>
          <w:szCs w:val="21"/>
        </w:rPr>
        <w:t xml:space="preserve"> </w:t>
      </w:r>
      <w:r w:rsidRPr="00401C70">
        <w:rPr>
          <w:rFonts w:ascii="Abadi" w:hAnsi="Abadi" w:cs="Arial"/>
          <w:sz w:val="21"/>
          <w:szCs w:val="21"/>
        </w:rPr>
        <w:t>los organismos autónomos, toda vez que en el artículo 41 constitucional federal</w:t>
      </w:r>
      <w:r>
        <w:rPr>
          <w:rFonts w:ascii="Abadi" w:hAnsi="Abadi" w:cs="Arial"/>
          <w:sz w:val="21"/>
          <w:szCs w:val="21"/>
        </w:rPr>
        <w:t xml:space="preserve"> </w:t>
      </w:r>
      <w:r w:rsidRPr="00401C70">
        <w:rPr>
          <w:rFonts w:ascii="Abadi" w:hAnsi="Abadi" w:cs="Arial"/>
          <w:sz w:val="21"/>
          <w:szCs w:val="21"/>
        </w:rPr>
        <w:t>especificó que también se debía observar este principio en los nombramientos de</w:t>
      </w:r>
      <w:r>
        <w:rPr>
          <w:rFonts w:ascii="Abadi" w:hAnsi="Abadi" w:cs="Arial"/>
          <w:sz w:val="21"/>
          <w:szCs w:val="21"/>
        </w:rPr>
        <w:t xml:space="preserve"> </w:t>
      </w:r>
      <w:r w:rsidRPr="00401C70">
        <w:rPr>
          <w:rFonts w:ascii="Abadi" w:hAnsi="Abadi" w:cs="Arial"/>
          <w:sz w:val="21"/>
          <w:szCs w:val="21"/>
        </w:rPr>
        <w:t>las personas titulares de las secretarías de despacho del Poder Ejecutivo Federal y</w:t>
      </w:r>
      <w:r>
        <w:rPr>
          <w:rFonts w:ascii="Abadi" w:hAnsi="Abadi" w:cs="Arial"/>
          <w:sz w:val="21"/>
          <w:szCs w:val="21"/>
        </w:rPr>
        <w:t xml:space="preserve"> </w:t>
      </w:r>
      <w:r w:rsidRPr="00401C70">
        <w:rPr>
          <w:rFonts w:ascii="Abadi" w:hAnsi="Abadi" w:cs="Arial"/>
          <w:sz w:val="21"/>
          <w:szCs w:val="21"/>
        </w:rPr>
        <w:t>sus equivalentes en las entidades federativas.</w:t>
      </w:r>
    </w:p>
    <w:p w14:paraId="3DAB75CC" w14:textId="77777777" w:rsidR="00677B7E" w:rsidRDefault="00677B7E" w:rsidP="00677B7E">
      <w:pPr>
        <w:autoSpaceDE w:val="0"/>
        <w:autoSpaceDN w:val="0"/>
        <w:adjustRightInd w:val="0"/>
        <w:jc w:val="both"/>
        <w:rPr>
          <w:rFonts w:ascii="Abadi" w:hAnsi="Abadi" w:cs="Arial"/>
          <w:sz w:val="21"/>
          <w:szCs w:val="21"/>
        </w:rPr>
      </w:pPr>
    </w:p>
    <w:p w14:paraId="75D2D9C4" w14:textId="77777777" w:rsidR="00677B7E" w:rsidRPr="00401C70" w:rsidRDefault="00677B7E" w:rsidP="00677B7E">
      <w:pPr>
        <w:autoSpaceDE w:val="0"/>
        <w:autoSpaceDN w:val="0"/>
        <w:adjustRightInd w:val="0"/>
        <w:jc w:val="both"/>
        <w:rPr>
          <w:rFonts w:ascii="Abadi" w:hAnsi="Abadi" w:cs="Arial"/>
          <w:sz w:val="21"/>
          <w:szCs w:val="21"/>
        </w:rPr>
      </w:pPr>
      <w:r w:rsidRPr="00401C70">
        <w:rPr>
          <w:rFonts w:ascii="Abadi" w:hAnsi="Abadi" w:cs="Arial"/>
          <w:sz w:val="21"/>
          <w:szCs w:val="21"/>
        </w:rPr>
        <w:t>Con la finalidad de darle efectividad a dicho dispositivo, en el Decreto se incluyeron</w:t>
      </w:r>
      <w:r>
        <w:rPr>
          <w:rFonts w:ascii="Abadi" w:hAnsi="Abadi" w:cs="Arial"/>
          <w:sz w:val="21"/>
          <w:szCs w:val="21"/>
        </w:rPr>
        <w:t xml:space="preserve"> </w:t>
      </w:r>
      <w:r w:rsidRPr="00401C70">
        <w:rPr>
          <w:rFonts w:ascii="Abadi" w:hAnsi="Abadi" w:cs="Arial"/>
          <w:sz w:val="21"/>
          <w:szCs w:val="21"/>
        </w:rPr>
        <w:t>los artículos tercero y cuarto transitorios para establecer que ello sería aplicable a</w:t>
      </w:r>
      <w:r>
        <w:rPr>
          <w:rFonts w:ascii="Abadi" w:hAnsi="Abadi" w:cs="Arial"/>
          <w:sz w:val="21"/>
          <w:szCs w:val="21"/>
        </w:rPr>
        <w:t xml:space="preserve"> </w:t>
      </w:r>
      <w:r w:rsidRPr="00401C70">
        <w:rPr>
          <w:rFonts w:ascii="Abadi" w:hAnsi="Abadi" w:cs="Arial"/>
          <w:sz w:val="21"/>
          <w:szCs w:val="21"/>
        </w:rPr>
        <w:t>quiénes tomen posesión de su encargo, a partir del proceso electoral federal o local</w:t>
      </w:r>
      <w:r>
        <w:rPr>
          <w:rFonts w:ascii="Abadi" w:hAnsi="Abadi" w:cs="Arial"/>
          <w:sz w:val="21"/>
          <w:szCs w:val="21"/>
        </w:rPr>
        <w:t xml:space="preserve"> </w:t>
      </w:r>
      <w:r w:rsidRPr="00401C70">
        <w:rPr>
          <w:rFonts w:ascii="Abadi" w:hAnsi="Abadi" w:cs="Arial"/>
          <w:sz w:val="21"/>
          <w:szCs w:val="21"/>
        </w:rPr>
        <w:t>siguiente a la entrada en vigor del mismo; y que las legislaturas de las entidades</w:t>
      </w:r>
      <w:r>
        <w:rPr>
          <w:rFonts w:ascii="Abadi" w:hAnsi="Abadi" w:cs="Arial"/>
          <w:sz w:val="21"/>
          <w:szCs w:val="21"/>
        </w:rPr>
        <w:t xml:space="preserve"> </w:t>
      </w:r>
      <w:r w:rsidRPr="00401C70">
        <w:rPr>
          <w:rFonts w:ascii="Abadi" w:hAnsi="Abadi" w:cs="Arial"/>
          <w:sz w:val="21"/>
          <w:szCs w:val="21"/>
        </w:rPr>
        <w:t>federativas, en el ámbito de su competencia, deberían realizar las reformas</w:t>
      </w:r>
      <w:r>
        <w:rPr>
          <w:rFonts w:ascii="Abadi" w:hAnsi="Abadi" w:cs="Arial"/>
          <w:sz w:val="21"/>
          <w:szCs w:val="21"/>
        </w:rPr>
        <w:t xml:space="preserve"> </w:t>
      </w:r>
      <w:r w:rsidRPr="00401C70">
        <w:rPr>
          <w:rFonts w:ascii="Abadi" w:hAnsi="Abadi" w:cs="Arial"/>
          <w:sz w:val="21"/>
          <w:szCs w:val="21"/>
        </w:rPr>
        <w:t>correspondientes en su legislación, para procurar la observancia del principio de</w:t>
      </w:r>
      <w:r>
        <w:rPr>
          <w:rFonts w:ascii="Abadi" w:hAnsi="Abadi" w:cs="Arial"/>
          <w:sz w:val="21"/>
          <w:szCs w:val="21"/>
        </w:rPr>
        <w:t xml:space="preserve"> </w:t>
      </w:r>
      <w:r w:rsidRPr="00401C70">
        <w:rPr>
          <w:rFonts w:ascii="Abadi" w:hAnsi="Abadi" w:cs="Arial"/>
          <w:sz w:val="21"/>
          <w:szCs w:val="21"/>
        </w:rPr>
        <w:t>paridad de género en los términos del artículo 41 referido.</w:t>
      </w:r>
    </w:p>
    <w:p w14:paraId="34F9190F" w14:textId="77777777" w:rsidR="00677B7E" w:rsidRDefault="00677B7E" w:rsidP="00677B7E">
      <w:pPr>
        <w:autoSpaceDE w:val="0"/>
        <w:autoSpaceDN w:val="0"/>
        <w:adjustRightInd w:val="0"/>
        <w:jc w:val="both"/>
        <w:rPr>
          <w:rFonts w:ascii="Abadi" w:hAnsi="Abadi" w:cs="Arial"/>
          <w:sz w:val="21"/>
          <w:szCs w:val="21"/>
        </w:rPr>
      </w:pPr>
    </w:p>
    <w:p w14:paraId="53431ACE" w14:textId="77777777" w:rsidR="00677B7E" w:rsidRPr="00401C70" w:rsidRDefault="00677B7E" w:rsidP="00677B7E">
      <w:pPr>
        <w:autoSpaceDE w:val="0"/>
        <w:autoSpaceDN w:val="0"/>
        <w:adjustRightInd w:val="0"/>
        <w:jc w:val="both"/>
        <w:rPr>
          <w:rFonts w:ascii="Abadi" w:hAnsi="Abadi" w:cs="Arial"/>
          <w:sz w:val="21"/>
          <w:szCs w:val="21"/>
        </w:rPr>
      </w:pPr>
      <w:r w:rsidRPr="00401C70">
        <w:rPr>
          <w:rFonts w:ascii="Abadi" w:hAnsi="Abadi" w:cs="Arial"/>
          <w:sz w:val="21"/>
          <w:szCs w:val="21"/>
        </w:rPr>
        <w:t>Para atender este mandato, el Congreso del Estado de Guanajuato hizo lo propio y</w:t>
      </w:r>
      <w:r>
        <w:rPr>
          <w:rFonts w:ascii="Abadi" w:hAnsi="Abadi" w:cs="Arial"/>
          <w:sz w:val="21"/>
          <w:szCs w:val="21"/>
        </w:rPr>
        <w:t xml:space="preserve"> </w:t>
      </w:r>
      <w:r w:rsidRPr="00401C70">
        <w:rPr>
          <w:rFonts w:ascii="Abadi" w:hAnsi="Abadi" w:cs="Arial"/>
          <w:sz w:val="21"/>
          <w:szCs w:val="21"/>
        </w:rPr>
        <w:t>el 24 de agosto del 2020 fue publicado en el Periódico Oficial del Estado de</w:t>
      </w:r>
      <w:r>
        <w:rPr>
          <w:rFonts w:ascii="Abadi" w:hAnsi="Abadi" w:cs="Arial"/>
          <w:sz w:val="21"/>
          <w:szCs w:val="21"/>
        </w:rPr>
        <w:t xml:space="preserve"> </w:t>
      </w:r>
      <w:r w:rsidRPr="00401C70">
        <w:rPr>
          <w:rFonts w:ascii="Abadi" w:hAnsi="Abadi" w:cs="Arial"/>
          <w:sz w:val="21"/>
          <w:szCs w:val="21"/>
        </w:rPr>
        <w:t>Guanajuato el Decreto legislativo número 213, mediante el cual se reformó la</w:t>
      </w:r>
      <w:r>
        <w:rPr>
          <w:rFonts w:ascii="Abadi" w:hAnsi="Abadi" w:cs="Arial"/>
          <w:sz w:val="21"/>
          <w:szCs w:val="21"/>
        </w:rPr>
        <w:t xml:space="preserve"> </w:t>
      </w:r>
      <w:r w:rsidRPr="00401C70">
        <w:rPr>
          <w:rFonts w:ascii="Abadi" w:hAnsi="Abadi" w:cs="Arial"/>
          <w:sz w:val="21"/>
          <w:szCs w:val="21"/>
        </w:rPr>
        <w:t>Constitución local para establecer en el artículo 80 la obligatoriedad de observar</w:t>
      </w:r>
      <w:r>
        <w:rPr>
          <w:rFonts w:ascii="Abadi" w:hAnsi="Abadi" w:cs="Arial"/>
          <w:sz w:val="21"/>
          <w:szCs w:val="21"/>
        </w:rPr>
        <w:t xml:space="preserve"> </w:t>
      </w:r>
      <w:r w:rsidRPr="00401C70">
        <w:rPr>
          <w:rFonts w:ascii="Abadi" w:hAnsi="Abadi" w:cs="Arial"/>
          <w:sz w:val="21"/>
          <w:szCs w:val="21"/>
        </w:rPr>
        <w:t>este principio en los nombramientos de las personas titulares de las Dependencias</w:t>
      </w:r>
      <w:r>
        <w:rPr>
          <w:rFonts w:ascii="Abadi" w:hAnsi="Abadi" w:cs="Arial"/>
          <w:sz w:val="21"/>
          <w:szCs w:val="21"/>
        </w:rPr>
        <w:t xml:space="preserve"> </w:t>
      </w:r>
      <w:r w:rsidRPr="00401C70">
        <w:rPr>
          <w:rFonts w:ascii="Abadi" w:hAnsi="Abadi" w:cs="Arial"/>
          <w:sz w:val="21"/>
          <w:szCs w:val="21"/>
        </w:rPr>
        <w:t>y Paraestatales del Ejecutivo, aunque delegando dicha regulación a la Ley</w:t>
      </w:r>
      <w:r>
        <w:rPr>
          <w:rFonts w:ascii="Abadi" w:hAnsi="Abadi" w:cs="Arial"/>
          <w:sz w:val="21"/>
          <w:szCs w:val="21"/>
        </w:rPr>
        <w:t xml:space="preserve"> </w:t>
      </w:r>
      <w:r w:rsidRPr="00401C70">
        <w:rPr>
          <w:rFonts w:ascii="Abadi" w:hAnsi="Abadi" w:cs="Arial"/>
          <w:sz w:val="21"/>
          <w:szCs w:val="21"/>
        </w:rPr>
        <w:t>secundaria en la materia, es decir, la Ley Orgánica del Poder Ejecutivo para el</w:t>
      </w:r>
      <w:r>
        <w:rPr>
          <w:rFonts w:ascii="Abadi" w:hAnsi="Abadi" w:cs="Arial"/>
          <w:sz w:val="21"/>
          <w:szCs w:val="21"/>
        </w:rPr>
        <w:t xml:space="preserve"> </w:t>
      </w:r>
      <w:r w:rsidRPr="00401C70">
        <w:rPr>
          <w:rFonts w:ascii="Abadi" w:hAnsi="Abadi" w:cs="Arial"/>
          <w:sz w:val="21"/>
          <w:szCs w:val="21"/>
        </w:rPr>
        <w:t>Estado de Guanajuato y señalando en el Segundo Artículo Transitorio que la misma</w:t>
      </w:r>
      <w:r>
        <w:rPr>
          <w:rFonts w:ascii="Abadi" w:hAnsi="Abadi" w:cs="Arial"/>
          <w:sz w:val="21"/>
          <w:szCs w:val="21"/>
        </w:rPr>
        <w:t xml:space="preserve"> </w:t>
      </w:r>
      <w:r w:rsidRPr="00401C70">
        <w:rPr>
          <w:rFonts w:ascii="Abadi" w:hAnsi="Abadi" w:cs="Arial"/>
          <w:sz w:val="21"/>
          <w:szCs w:val="21"/>
        </w:rPr>
        <w:t>debía ser reformada en un plazo de un año a partir de la entrada en vigor de dicho</w:t>
      </w:r>
      <w:r>
        <w:rPr>
          <w:rFonts w:ascii="Abadi" w:hAnsi="Abadi" w:cs="Arial"/>
          <w:sz w:val="21"/>
          <w:szCs w:val="21"/>
        </w:rPr>
        <w:t xml:space="preserve"> </w:t>
      </w:r>
      <w:r w:rsidRPr="00401C70">
        <w:rPr>
          <w:rFonts w:ascii="Abadi" w:hAnsi="Abadi" w:cs="Arial"/>
          <w:sz w:val="21"/>
          <w:szCs w:val="21"/>
        </w:rPr>
        <w:t>Decreto a efectos de realizar las adecuaciones correspondientes que garantizaran</w:t>
      </w:r>
      <w:r>
        <w:rPr>
          <w:rFonts w:ascii="Abadi" w:hAnsi="Abadi" w:cs="Arial"/>
          <w:sz w:val="21"/>
          <w:szCs w:val="21"/>
        </w:rPr>
        <w:t xml:space="preserve"> </w:t>
      </w:r>
      <w:r w:rsidRPr="00401C70">
        <w:rPr>
          <w:rFonts w:ascii="Abadi" w:hAnsi="Abadi" w:cs="Arial"/>
          <w:sz w:val="21"/>
          <w:szCs w:val="21"/>
        </w:rPr>
        <w:t xml:space="preserve">el </w:t>
      </w:r>
      <w:r w:rsidRPr="00401C70">
        <w:rPr>
          <w:rFonts w:ascii="Abadi" w:hAnsi="Abadi" w:cs="Arial"/>
          <w:sz w:val="21"/>
          <w:szCs w:val="21"/>
        </w:rPr>
        <w:lastRenderedPageBreak/>
        <w:t>cumplimiento de lo estipulado en el artículo 80, es decir, de regular los</w:t>
      </w:r>
      <w:r>
        <w:rPr>
          <w:rFonts w:ascii="Abadi" w:hAnsi="Abadi" w:cs="Arial"/>
          <w:sz w:val="21"/>
          <w:szCs w:val="21"/>
        </w:rPr>
        <w:t xml:space="preserve"> </w:t>
      </w:r>
      <w:r w:rsidRPr="00401C70">
        <w:rPr>
          <w:rFonts w:ascii="Abadi" w:hAnsi="Abadi" w:cs="Arial"/>
          <w:sz w:val="21"/>
          <w:szCs w:val="21"/>
        </w:rPr>
        <w:t>nombramientos de las personas titulares de las dependencias centralizadas y</w:t>
      </w:r>
      <w:r>
        <w:rPr>
          <w:rFonts w:ascii="Abadi" w:hAnsi="Abadi" w:cs="Arial"/>
          <w:sz w:val="21"/>
          <w:szCs w:val="21"/>
        </w:rPr>
        <w:t xml:space="preserve"> </w:t>
      </w:r>
      <w:r w:rsidRPr="00401C70">
        <w:rPr>
          <w:rFonts w:ascii="Abadi" w:hAnsi="Abadi" w:cs="Arial"/>
          <w:sz w:val="21"/>
          <w:szCs w:val="21"/>
        </w:rPr>
        <w:t>paraestatales de la Administración Pública Estatal.</w:t>
      </w:r>
    </w:p>
    <w:p w14:paraId="5068402E" w14:textId="77777777" w:rsidR="00677B7E" w:rsidRDefault="00677B7E" w:rsidP="00677B7E">
      <w:pPr>
        <w:autoSpaceDE w:val="0"/>
        <w:autoSpaceDN w:val="0"/>
        <w:adjustRightInd w:val="0"/>
        <w:jc w:val="both"/>
        <w:rPr>
          <w:rFonts w:ascii="Abadi" w:hAnsi="Abadi" w:cs="Arial"/>
          <w:sz w:val="21"/>
          <w:szCs w:val="21"/>
        </w:rPr>
      </w:pPr>
    </w:p>
    <w:p w14:paraId="4A72FB67" w14:textId="77777777" w:rsidR="00677B7E" w:rsidRPr="00401C70" w:rsidRDefault="00677B7E" w:rsidP="00677B7E">
      <w:pPr>
        <w:autoSpaceDE w:val="0"/>
        <w:autoSpaceDN w:val="0"/>
        <w:adjustRightInd w:val="0"/>
        <w:jc w:val="both"/>
        <w:rPr>
          <w:rFonts w:ascii="Abadi" w:hAnsi="Abadi" w:cs="Arial"/>
          <w:sz w:val="21"/>
          <w:szCs w:val="21"/>
        </w:rPr>
      </w:pPr>
      <w:r w:rsidRPr="00401C70">
        <w:rPr>
          <w:rFonts w:ascii="Abadi" w:hAnsi="Abadi" w:cs="Arial"/>
          <w:sz w:val="21"/>
          <w:szCs w:val="21"/>
        </w:rPr>
        <w:t>Sin embargo, el periodo señalado ya concluyó y las adecuaciones no se realizaron;</w:t>
      </w:r>
      <w:r>
        <w:rPr>
          <w:rFonts w:ascii="Abadi" w:hAnsi="Abadi" w:cs="Arial"/>
          <w:sz w:val="21"/>
          <w:szCs w:val="21"/>
        </w:rPr>
        <w:t xml:space="preserve"> </w:t>
      </w:r>
      <w:r w:rsidRPr="00401C70">
        <w:rPr>
          <w:rFonts w:ascii="Abadi" w:hAnsi="Abadi" w:cs="Arial"/>
          <w:sz w:val="21"/>
          <w:szCs w:val="21"/>
        </w:rPr>
        <w:t>el Congreso ha sido omiso con lo mandatado en el segundo artículo transitorio de</w:t>
      </w:r>
      <w:r>
        <w:rPr>
          <w:rFonts w:ascii="Abadi" w:hAnsi="Abadi" w:cs="Arial"/>
          <w:sz w:val="21"/>
          <w:szCs w:val="21"/>
        </w:rPr>
        <w:t xml:space="preserve"> </w:t>
      </w:r>
      <w:r w:rsidRPr="00401C70">
        <w:rPr>
          <w:rFonts w:ascii="Abadi" w:hAnsi="Abadi" w:cs="Arial"/>
          <w:sz w:val="21"/>
          <w:szCs w:val="21"/>
        </w:rPr>
        <w:t>dicho Decreto, por lo que esta iniciativa nace para regular en la Ley Orgánica las</w:t>
      </w:r>
      <w:r>
        <w:rPr>
          <w:rFonts w:ascii="Abadi" w:hAnsi="Abadi" w:cs="Arial"/>
          <w:sz w:val="21"/>
          <w:szCs w:val="21"/>
        </w:rPr>
        <w:t xml:space="preserve"> </w:t>
      </w:r>
      <w:r w:rsidRPr="00401C70">
        <w:rPr>
          <w:rFonts w:ascii="Abadi" w:hAnsi="Abadi" w:cs="Arial"/>
          <w:sz w:val="21"/>
          <w:szCs w:val="21"/>
        </w:rPr>
        <w:t>formas y modalidades que garanticen la observancia del principio de paridad de</w:t>
      </w:r>
      <w:r>
        <w:rPr>
          <w:rFonts w:ascii="Abadi" w:hAnsi="Abadi" w:cs="Arial"/>
          <w:sz w:val="21"/>
          <w:szCs w:val="21"/>
        </w:rPr>
        <w:t xml:space="preserve"> </w:t>
      </w:r>
      <w:r w:rsidRPr="00401C70">
        <w:rPr>
          <w:rFonts w:ascii="Abadi" w:hAnsi="Abadi" w:cs="Arial"/>
          <w:sz w:val="21"/>
          <w:szCs w:val="21"/>
        </w:rPr>
        <w:t>género en los nombramientos de las personas titulares de las Dependencias y</w:t>
      </w:r>
      <w:r>
        <w:rPr>
          <w:rFonts w:ascii="Abadi" w:hAnsi="Abadi" w:cs="Arial"/>
          <w:sz w:val="21"/>
          <w:szCs w:val="21"/>
        </w:rPr>
        <w:t xml:space="preserve"> </w:t>
      </w:r>
      <w:r w:rsidRPr="00401C70">
        <w:rPr>
          <w:rFonts w:ascii="Abadi" w:hAnsi="Abadi" w:cs="Arial"/>
          <w:sz w:val="21"/>
          <w:szCs w:val="21"/>
        </w:rPr>
        <w:t>Paraestatales del Poder Ejecutivo, así como en la integración de los órganos</w:t>
      </w:r>
      <w:r>
        <w:rPr>
          <w:rFonts w:ascii="Abadi" w:hAnsi="Abadi" w:cs="Arial"/>
          <w:sz w:val="21"/>
          <w:szCs w:val="21"/>
        </w:rPr>
        <w:t xml:space="preserve"> </w:t>
      </w:r>
      <w:r w:rsidRPr="00401C70">
        <w:rPr>
          <w:rFonts w:ascii="Abadi" w:hAnsi="Abadi" w:cs="Arial"/>
          <w:sz w:val="21"/>
          <w:szCs w:val="21"/>
        </w:rPr>
        <w:t>consultivos de los organismos descentralizados toda vez que, aunque de</w:t>
      </w:r>
      <w:r>
        <w:rPr>
          <w:rFonts w:ascii="Abadi" w:hAnsi="Abadi" w:cs="Arial"/>
          <w:sz w:val="21"/>
          <w:szCs w:val="21"/>
        </w:rPr>
        <w:t xml:space="preserve"> </w:t>
      </w:r>
      <w:r w:rsidRPr="00401C70">
        <w:rPr>
          <w:rFonts w:ascii="Abadi" w:hAnsi="Abadi" w:cs="Arial"/>
          <w:sz w:val="21"/>
          <w:szCs w:val="21"/>
        </w:rPr>
        <w:t>conformidad con el artículo Tercero Transitorio del del Decreto Legislativo Número 213 mediante el cual se reforman diversos artículos de la Constitución Política para</w:t>
      </w:r>
      <w:r>
        <w:rPr>
          <w:rFonts w:ascii="Abadi" w:hAnsi="Abadi" w:cs="Arial"/>
          <w:sz w:val="21"/>
          <w:szCs w:val="21"/>
        </w:rPr>
        <w:t xml:space="preserve"> </w:t>
      </w:r>
      <w:r w:rsidRPr="00401C70">
        <w:rPr>
          <w:rFonts w:ascii="Abadi" w:hAnsi="Abadi" w:cs="Arial"/>
          <w:sz w:val="21"/>
          <w:szCs w:val="21"/>
        </w:rPr>
        <w:t>el Estado de Guanajuato, publicado en el Periódico Oficial del Gobierno del Estado</w:t>
      </w:r>
      <w:r>
        <w:rPr>
          <w:rFonts w:ascii="Abadi" w:hAnsi="Abadi" w:cs="Arial"/>
          <w:sz w:val="21"/>
          <w:szCs w:val="21"/>
        </w:rPr>
        <w:t xml:space="preserve"> </w:t>
      </w:r>
      <w:r w:rsidRPr="00401C70">
        <w:rPr>
          <w:rFonts w:ascii="Abadi" w:hAnsi="Abadi" w:cs="Arial"/>
          <w:sz w:val="21"/>
          <w:szCs w:val="21"/>
        </w:rPr>
        <w:t>de Guanajuato el 24 de agosto del 2020, su observancia será obligatoria hasta</w:t>
      </w:r>
      <w:r>
        <w:rPr>
          <w:rFonts w:ascii="Abadi" w:hAnsi="Abadi" w:cs="Arial"/>
          <w:sz w:val="21"/>
          <w:szCs w:val="21"/>
        </w:rPr>
        <w:t xml:space="preserve"> </w:t>
      </w:r>
      <w:r w:rsidRPr="00401C70">
        <w:rPr>
          <w:rFonts w:ascii="Abadi" w:hAnsi="Abadi" w:cs="Arial"/>
          <w:sz w:val="21"/>
          <w:szCs w:val="21"/>
        </w:rPr>
        <w:t>después de las elecciones del 2024, resulta necesario dar la certeza jurídica de que</w:t>
      </w:r>
      <w:r>
        <w:rPr>
          <w:rFonts w:ascii="Abadi" w:hAnsi="Abadi" w:cs="Arial"/>
          <w:sz w:val="21"/>
          <w:szCs w:val="21"/>
        </w:rPr>
        <w:t xml:space="preserve"> </w:t>
      </w:r>
      <w:r w:rsidRPr="00401C70">
        <w:rPr>
          <w:rFonts w:ascii="Abadi" w:hAnsi="Abadi" w:cs="Arial"/>
          <w:sz w:val="21"/>
          <w:szCs w:val="21"/>
        </w:rPr>
        <w:t>no existan vacíos legales que pongan en riesgo su aplicación llegado el momento.</w:t>
      </w:r>
    </w:p>
    <w:p w14:paraId="38237E54" w14:textId="77777777" w:rsidR="00677B7E" w:rsidRDefault="00677B7E" w:rsidP="00677B7E">
      <w:pPr>
        <w:autoSpaceDE w:val="0"/>
        <w:autoSpaceDN w:val="0"/>
        <w:adjustRightInd w:val="0"/>
        <w:jc w:val="both"/>
        <w:rPr>
          <w:rFonts w:ascii="Abadi" w:hAnsi="Abadi" w:cs="Arial"/>
          <w:sz w:val="21"/>
          <w:szCs w:val="21"/>
        </w:rPr>
      </w:pPr>
    </w:p>
    <w:p w14:paraId="44B2232C" w14:textId="77777777" w:rsidR="00677B7E" w:rsidRPr="00401C70" w:rsidRDefault="00677B7E" w:rsidP="00677B7E">
      <w:pPr>
        <w:autoSpaceDE w:val="0"/>
        <w:autoSpaceDN w:val="0"/>
        <w:adjustRightInd w:val="0"/>
        <w:jc w:val="both"/>
        <w:rPr>
          <w:rFonts w:ascii="Abadi" w:hAnsi="Abadi" w:cs="Arial"/>
          <w:sz w:val="21"/>
          <w:szCs w:val="21"/>
        </w:rPr>
      </w:pPr>
      <w:r w:rsidRPr="00401C70">
        <w:rPr>
          <w:rFonts w:ascii="Abadi" w:hAnsi="Abadi" w:cs="Arial"/>
          <w:sz w:val="21"/>
          <w:szCs w:val="21"/>
        </w:rPr>
        <w:t>Adicional a lo anterior, también se propone establecer la obligación de observar el</w:t>
      </w:r>
      <w:r>
        <w:rPr>
          <w:rFonts w:ascii="Abadi" w:hAnsi="Abadi" w:cs="Arial"/>
          <w:sz w:val="21"/>
          <w:szCs w:val="21"/>
        </w:rPr>
        <w:t xml:space="preserve"> </w:t>
      </w:r>
      <w:r w:rsidRPr="00401C70">
        <w:rPr>
          <w:rFonts w:ascii="Abadi" w:hAnsi="Abadi" w:cs="Arial"/>
          <w:sz w:val="21"/>
          <w:szCs w:val="21"/>
        </w:rPr>
        <w:t>principio de paridad de género en los nombramientos de las personas titulares de</w:t>
      </w:r>
      <w:r>
        <w:rPr>
          <w:rFonts w:ascii="Abadi" w:hAnsi="Abadi" w:cs="Arial"/>
          <w:sz w:val="21"/>
          <w:szCs w:val="21"/>
        </w:rPr>
        <w:t xml:space="preserve"> </w:t>
      </w:r>
      <w:r w:rsidRPr="00401C70">
        <w:rPr>
          <w:rFonts w:ascii="Abadi" w:hAnsi="Abadi" w:cs="Arial"/>
          <w:sz w:val="21"/>
          <w:szCs w:val="21"/>
        </w:rPr>
        <w:t>las diversas dependencias y entidades que forman parte de los Gobiernos</w:t>
      </w:r>
      <w:r>
        <w:rPr>
          <w:rFonts w:ascii="Abadi" w:hAnsi="Abadi" w:cs="Arial"/>
          <w:sz w:val="21"/>
          <w:szCs w:val="21"/>
        </w:rPr>
        <w:t xml:space="preserve"> </w:t>
      </w:r>
      <w:r w:rsidRPr="00401C70">
        <w:rPr>
          <w:rFonts w:ascii="Abadi" w:hAnsi="Abadi" w:cs="Arial"/>
          <w:sz w:val="21"/>
          <w:szCs w:val="21"/>
        </w:rPr>
        <w:t>Municipales, de las personas delegadas municipales, así como en la integración de</w:t>
      </w:r>
      <w:r>
        <w:rPr>
          <w:rFonts w:ascii="Abadi" w:hAnsi="Abadi" w:cs="Arial"/>
          <w:sz w:val="21"/>
          <w:szCs w:val="21"/>
        </w:rPr>
        <w:t xml:space="preserve"> </w:t>
      </w:r>
      <w:r w:rsidRPr="00401C70">
        <w:rPr>
          <w:rFonts w:ascii="Abadi" w:hAnsi="Abadi" w:cs="Arial"/>
          <w:sz w:val="21"/>
          <w:szCs w:val="21"/>
        </w:rPr>
        <w:t>las Comisiones de los Ayuntamientos y de los Consejos de Planeación de Desarrollo</w:t>
      </w:r>
      <w:r>
        <w:rPr>
          <w:rFonts w:ascii="Abadi" w:hAnsi="Abadi" w:cs="Arial"/>
          <w:sz w:val="21"/>
          <w:szCs w:val="21"/>
        </w:rPr>
        <w:t xml:space="preserve"> </w:t>
      </w:r>
      <w:r w:rsidRPr="00401C70">
        <w:rPr>
          <w:rFonts w:ascii="Abadi" w:hAnsi="Abadi" w:cs="Arial"/>
          <w:sz w:val="21"/>
          <w:szCs w:val="21"/>
        </w:rPr>
        <w:t>Municipales, pues como ya se mencionó previamente, el principio de paridad debe</w:t>
      </w:r>
      <w:r>
        <w:rPr>
          <w:rFonts w:ascii="Abadi" w:hAnsi="Abadi" w:cs="Arial"/>
          <w:sz w:val="21"/>
          <w:szCs w:val="21"/>
        </w:rPr>
        <w:t xml:space="preserve"> </w:t>
      </w:r>
      <w:r w:rsidRPr="00401C70">
        <w:rPr>
          <w:rFonts w:ascii="Abadi" w:hAnsi="Abadi" w:cs="Arial"/>
          <w:sz w:val="21"/>
          <w:szCs w:val="21"/>
        </w:rPr>
        <w:t xml:space="preserve">interpretarse y aplicarse de manera progresiva </w:t>
      </w:r>
      <w:r w:rsidRPr="00401C70">
        <w:rPr>
          <w:rFonts w:ascii="Abadi" w:hAnsi="Abadi" w:cs="ArialMT"/>
          <w:sz w:val="21"/>
          <w:szCs w:val="21"/>
        </w:rPr>
        <w:t>“</w:t>
      </w:r>
      <w:r w:rsidRPr="00401C70">
        <w:rPr>
          <w:rFonts w:ascii="Abadi" w:hAnsi="Abadi" w:cs="Arial"/>
          <w:sz w:val="21"/>
          <w:szCs w:val="21"/>
        </w:rPr>
        <w:t>para todos los cargos de toma de</w:t>
      </w:r>
      <w:r>
        <w:rPr>
          <w:rFonts w:ascii="Abadi" w:hAnsi="Abadi" w:cs="Arial"/>
          <w:sz w:val="21"/>
          <w:szCs w:val="21"/>
        </w:rPr>
        <w:t xml:space="preserve"> </w:t>
      </w:r>
      <w:r w:rsidRPr="00401C70">
        <w:rPr>
          <w:rFonts w:ascii="Abadi" w:hAnsi="Abadi" w:cs="Arial"/>
          <w:sz w:val="21"/>
          <w:szCs w:val="21"/>
        </w:rPr>
        <w:t>decisión del servicio público, aunque la Constitución no mencione cada uno</w:t>
      </w:r>
      <w:r>
        <w:rPr>
          <w:rFonts w:ascii="Abadi" w:hAnsi="Abadi" w:cs="Arial"/>
          <w:sz w:val="21"/>
          <w:szCs w:val="21"/>
        </w:rPr>
        <w:t xml:space="preserve"> </w:t>
      </w:r>
      <w:r w:rsidRPr="00401C70">
        <w:rPr>
          <w:rFonts w:ascii="Abadi" w:hAnsi="Abadi" w:cs="ArialMT"/>
          <w:sz w:val="21"/>
          <w:szCs w:val="21"/>
        </w:rPr>
        <w:t>explícitamente”</w:t>
      </w:r>
      <w:r w:rsidRPr="00401C70">
        <w:rPr>
          <w:rFonts w:ascii="Abadi" w:hAnsi="Abadi" w:cs="Arial"/>
          <w:sz w:val="21"/>
          <w:szCs w:val="21"/>
        </w:rPr>
        <w:t>.</w:t>
      </w:r>
    </w:p>
    <w:p w14:paraId="00FC33D8" w14:textId="77777777" w:rsidR="00677B7E" w:rsidRDefault="00677B7E" w:rsidP="00677B7E">
      <w:pPr>
        <w:autoSpaceDE w:val="0"/>
        <w:autoSpaceDN w:val="0"/>
        <w:adjustRightInd w:val="0"/>
        <w:jc w:val="both"/>
        <w:rPr>
          <w:rFonts w:ascii="Abadi" w:hAnsi="Abadi" w:cs="Arial"/>
          <w:sz w:val="21"/>
          <w:szCs w:val="21"/>
        </w:rPr>
      </w:pPr>
    </w:p>
    <w:p w14:paraId="665D8550" w14:textId="77777777" w:rsidR="00677B7E" w:rsidRPr="00401C70" w:rsidRDefault="00677B7E" w:rsidP="00677B7E">
      <w:pPr>
        <w:autoSpaceDE w:val="0"/>
        <w:autoSpaceDN w:val="0"/>
        <w:adjustRightInd w:val="0"/>
        <w:jc w:val="both"/>
        <w:rPr>
          <w:rFonts w:ascii="Abadi" w:hAnsi="Abadi" w:cs="Arial"/>
          <w:sz w:val="21"/>
          <w:szCs w:val="21"/>
        </w:rPr>
      </w:pPr>
      <w:r w:rsidRPr="00401C70">
        <w:rPr>
          <w:rFonts w:ascii="Abadi" w:hAnsi="Abadi" w:cs="Arial"/>
          <w:sz w:val="21"/>
          <w:szCs w:val="21"/>
        </w:rPr>
        <w:t>En el caso de los Gobiernos Municipales, si bien, aunque en los 46 municipios del</w:t>
      </w:r>
      <w:r>
        <w:rPr>
          <w:rFonts w:ascii="Abadi" w:hAnsi="Abadi" w:cs="Arial"/>
          <w:sz w:val="21"/>
          <w:szCs w:val="21"/>
        </w:rPr>
        <w:t xml:space="preserve"> </w:t>
      </w:r>
      <w:r w:rsidRPr="00401C70">
        <w:rPr>
          <w:rFonts w:ascii="Abadi" w:hAnsi="Abadi" w:cs="Arial"/>
          <w:sz w:val="21"/>
          <w:szCs w:val="21"/>
        </w:rPr>
        <w:t>estado ya operan ayuntamientos paritarios y actualmente 14 tienen a una mujer</w:t>
      </w:r>
      <w:r>
        <w:rPr>
          <w:rFonts w:ascii="Abadi" w:hAnsi="Abadi" w:cs="Arial"/>
          <w:sz w:val="21"/>
          <w:szCs w:val="21"/>
        </w:rPr>
        <w:t xml:space="preserve"> </w:t>
      </w:r>
      <w:r w:rsidRPr="00401C70">
        <w:rPr>
          <w:rFonts w:ascii="Abadi" w:hAnsi="Abadi" w:cs="Arial"/>
          <w:sz w:val="21"/>
          <w:szCs w:val="21"/>
        </w:rPr>
        <w:t>como presidenta municipal, sus gabinetes continúan siendo integrados en su</w:t>
      </w:r>
      <w:r>
        <w:rPr>
          <w:rFonts w:ascii="Abadi" w:hAnsi="Abadi" w:cs="Arial"/>
          <w:sz w:val="21"/>
          <w:szCs w:val="21"/>
        </w:rPr>
        <w:t xml:space="preserve"> </w:t>
      </w:r>
      <w:r w:rsidRPr="00401C70">
        <w:rPr>
          <w:rFonts w:ascii="Abadi" w:hAnsi="Abadi" w:cs="Arial"/>
          <w:sz w:val="21"/>
          <w:szCs w:val="21"/>
        </w:rPr>
        <w:t xml:space="preserve">mayoría por hombres, a excepción de León, donde de acuerdo con </w:t>
      </w:r>
      <w:r w:rsidRPr="00401C70">
        <w:rPr>
          <w:rFonts w:ascii="Abadi" w:hAnsi="Abadi" w:cs="Arial"/>
          <w:sz w:val="21"/>
          <w:szCs w:val="21"/>
        </w:rPr>
        <w:t>información</w:t>
      </w:r>
      <w:r>
        <w:rPr>
          <w:rFonts w:ascii="Abadi" w:hAnsi="Abadi" w:cs="Arial"/>
          <w:sz w:val="21"/>
          <w:szCs w:val="21"/>
        </w:rPr>
        <w:t xml:space="preserve"> </w:t>
      </w:r>
      <w:r w:rsidRPr="00401C70">
        <w:rPr>
          <w:rFonts w:ascii="Abadi" w:hAnsi="Abadi" w:cs="Arial"/>
          <w:sz w:val="21"/>
          <w:szCs w:val="21"/>
        </w:rPr>
        <w:t>proporcionada a la Comisión para la Igualdad de Género del Congreso del Estado</w:t>
      </w:r>
      <w:r>
        <w:rPr>
          <w:rFonts w:ascii="Abadi" w:hAnsi="Abadi" w:cs="Arial"/>
          <w:sz w:val="21"/>
          <w:szCs w:val="21"/>
        </w:rPr>
        <w:t xml:space="preserve"> </w:t>
      </w:r>
      <w:r w:rsidRPr="00401C70">
        <w:rPr>
          <w:rFonts w:ascii="Abadi" w:hAnsi="Abadi" w:cs="Arial"/>
          <w:sz w:val="21"/>
          <w:szCs w:val="21"/>
        </w:rPr>
        <w:t>de Guanajuato, de 17 puestos titulares de la Administración Pública Municipal</w:t>
      </w:r>
      <w:r>
        <w:rPr>
          <w:rFonts w:ascii="Abadi" w:hAnsi="Abadi" w:cs="Arial"/>
          <w:sz w:val="21"/>
          <w:szCs w:val="21"/>
        </w:rPr>
        <w:t xml:space="preserve"> </w:t>
      </w:r>
      <w:r w:rsidRPr="00401C70">
        <w:rPr>
          <w:rFonts w:ascii="Abadi" w:hAnsi="Abadi" w:cs="Arial"/>
          <w:sz w:val="21"/>
          <w:szCs w:val="21"/>
        </w:rPr>
        <w:t>Centralizada 9 están encabezados por mujeres, es decir, el 53%.</w:t>
      </w:r>
    </w:p>
    <w:p w14:paraId="2CD02F79" w14:textId="77777777" w:rsidR="00677B7E" w:rsidRDefault="00677B7E" w:rsidP="00677B7E">
      <w:pPr>
        <w:autoSpaceDE w:val="0"/>
        <w:autoSpaceDN w:val="0"/>
        <w:adjustRightInd w:val="0"/>
        <w:jc w:val="both"/>
        <w:rPr>
          <w:rFonts w:ascii="Abadi" w:hAnsi="Abadi" w:cs="Arial"/>
          <w:sz w:val="21"/>
          <w:szCs w:val="21"/>
        </w:rPr>
      </w:pPr>
    </w:p>
    <w:p w14:paraId="69026DA0" w14:textId="08BC322F" w:rsidR="00677B7E" w:rsidRPr="00401C70" w:rsidRDefault="00677B7E" w:rsidP="00677B7E">
      <w:pPr>
        <w:autoSpaceDE w:val="0"/>
        <w:autoSpaceDN w:val="0"/>
        <w:adjustRightInd w:val="0"/>
        <w:jc w:val="both"/>
        <w:rPr>
          <w:rFonts w:ascii="Abadi" w:hAnsi="Abadi" w:cs="Arial"/>
          <w:sz w:val="21"/>
          <w:szCs w:val="21"/>
        </w:rPr>
      </w:pPr>
      <w:r w:rsidRPr="00401C70">
        <w:rPr>
          <w:rFonts w:ascii="Abadi" w:hAnsi="Abadi" w:cs="Arial"/>
          <w:sz w:val="21"/>
          <w:szCs w:val="21"/>
        </w:rPr>
        <w:t>Es importante que la observancia del principio de paridad se amplíe también a la</w:t>
      </w:r>
      <w:r w:rsidR="00023711">
        <w:rPr>
          <w:rFonts w:ascii="Abadi" w:hAnsi="Abadi" w:cs="Arial"/>
          <w:sz w:val="21"/>
          <w:szCs w:val="21"/>
        </w:rPr>
        <w:t xml:space="preserve"> </w:t>
      </w:r>
      <w:r w:rsidRPr="00401C70">
        <w:rPr>
          <w:rFonts w:ascii="Abadi" w:hAnsi="Abadi" w:cs="Arial"/>
          <w:sz w:val="21"/>
          <w:szCs w:val="21"/>
        </w:rPr>
        <w:t>administración pública municipal, porque en esas dependencias y entidades se</w:t>
      </w:r>
      <w:r w:rsidR="00023711">
        <w:rPr>
          <w:rFonts w:ascii="Abadi" w:hAnsi="Abadi" w:cs="Arial"/>
          <w:sz w:val="21"/>
          <w:szCs w:val="21"/>
        </w:rPr>
        <w:t xml:space="preserve"> </w:t>
      </w:r>
      <w:r w:rsidRPr="00401C70">
        <w:rPr>
          <w:rFonts w:ascii="Abadi" w:hAnsi="Abadi" w:cs="Arial"/>
          <w:sz w:val="21"/>
          <w:szCs w:val="21"/>
        </w:rPr>
        <w:t>toman decisiones importantes y se realizan actividades que impactan en la agenda</w:t>
      </w:r>
      <w:r w:rsidR="00023711">
        <w:rPr>
          <w:rFonts w:ascii="Abadi" w:hAnsi="Abadi" w:cs="Arial"/>
          <w:sz w:val="21"/>
          <w:szCs w:val="21"/>
        </w:rPr>
        <w:t xml:space="preserve"> </w:t>
      </w:r>
      <w:r w:rsidRPr="00401C70">
        <w:rPr>
          <w:rFonts w:ascii="Abadi" w:hAnsi="Abadi" w:cs="Arial"/>
          <w:sz w:val="21"/>
          <w:szCs w:val="21"/>
        </w:rPr>
        <w:t>pública, que le incumben la sociedad y causan efectos sobre la misma, siendo así</w:t>
      </w:r>
      <w:r w:rsidR="00023711">
        <w:rPr>
          <w:rFonts w:ascii="Abadi" w:hAnsi="Abadi" w:cs="Arial"/>
          <w:sz w:val="21"/>
          <w:szCs w:val="21"/>
        </w:rPr>
        <w:t xml:space="preserve"> </w:t>
      </w:r>
      <w:r w:rsidRPr="00401C70">
        <w:rPr>
          <w:rFonts w:ascii="Abadi" w:hAnsi="Abadi" w:cs="Arial"/>
          <w:sz w:val="21"/>
          <w:szCs w:val="21"/>
        </w:rPr>
        <w:t>que la integración de las mujeres a estos espacios es fundamental para que además</w:t>
      </w:r>
      <w:r w:rsidR="00023711">
        <w:rPr>
          <w:rFonts w:ascii="Abadi" w:hAnsi="Abadi" w:cs="Arial"/>
          <w:sz w:val="21"/>
          <w:szCs w:val="21"/>
        </w:rPr>
        <w:t xml:space="preserve"> </w:t>
      </w:r>
      <w:r w:rsidRPr="00401C70">
        <w:rPr>
          <w:rFonts w:ascii="Abadi" w:hAnsi="Abadi" w:cs="Arial"/>
          <w:sz w:val="21"/>
          <w:szCs w:val="21"/>
        </w:rPr>
        <w:t>de darles visibilidad y representatividad en este ámbito, también puedan posicionar a nivel local los temas que les conciernen, interesan o impactan e incidir en las</w:t>
      </w:r>
      <w:r w:rsidR="00023711">
        <w:rPr>
          <w:rFonts w:ascii="Abadi" w:hAnsi="Abadi" w:cs="Arial"/>
          <w:sz w:val="21"/>
          <w:szCs w:val="21"/>
        </w:rPr>
        <w:t xml:space="preserve"> </w:t>
      </w:r>
      <w:r w:rsidRPr="00401C70">
        <w:rPr>
          <w:rFonts w:ascii="Abadi" w:hAnsi="Abadi" w:cs="Arial"/>
          <w:sz w:val="21"/>
          <w:szCs w:val="21"/>
        </w:rPr>
        <w:t>resoluciones y actividades gubernamentales.</w:t>
      </w:r>
    </w:p>
    <w:p w14:paraId="1D347642" w14:textId="77777777" w:rsidR="00677B7E" w:rsidRDefault="00677B7E" w:rsidP="00677B7E">
      <w:pPr>
        <w:autoSpaceDE w:val="0"/>
        <w:autoSpaceDN w:val="0"/>
        <w:adjustRightInd w:val="0"/>
        <w:jc w:val="both"/>
        <w:rPr>
          <w:rFonts w:ascii="Abadi" w:hAnsi="Abadi" w:cs="Arial"/>
          <w:sz w:val="21"/>
          <w:szCs w:val="21"/>
        </w:rPr>
      </w:pPr>
    </w:p>
    <w:p w14:paraId="66651FB0" w14:textId="6979F8AF" w:rsidR="00677B7E" w:rsidRPr="00401C70" w:rsidRDefault="00677B7E" w:rsidP="00677B7E">
      <w:pPr>
        <w:autoSpaceDE w:val="0"/>
        <w:autoSpaceDN w:val="0"/>
        <w:adjustRightInd w:val="0"/>
        <w:jc w:val="both"/>
        <w:rPr>
          <w:rFonts w:ascii="Abadi" w:hAnsi="Abadi" w:cs="Arial"/>
          <w:sz w:val="21"/>
          <w:szCs w:val="21"/>
        </w:rPr>
      </w:pPr>
      <w:r w:rsidRPr="00401C70">
        <w:rPr>
          <w:rFonts w:ascii="Abadi" w:hAnsi="Abadi" w:cs="Arial"/>
          <w:sz w:val="21"/>
          <w:szCs w:val="21"/>
        </w:rPr>
        <w:t>Estas propuestas se realizan considerando que, para el despacho y estudio de los</w:t>
      </w:r>
      <w:r w:rsidR="00023711">
        <w:rPr>
          <w:rFonts w:ascii="Abadi" w:hAnsi="Abadi" w:cs="Arial"/>
          <w:sz w:val="21"/>
          <w:szCs w:val="21"/>
        </w:rPr>
        <w:t xml:space="preserve"> </w:t>
      </w:r>
      <w:r w:rsidRPr="00401C70">
        <w:rPr>
          <w:rFonts w:ascii="Abadi" w:hAnsi="Abadi" w:cs="Arial"/>
          <w:sz w:val="21"/>
          <w:szCs w:val="21"/>
        </w:rPr>
        <w:t>diversos ramos que le competen al Poder Ejecutivo y a los Ayuntamientos, tanto la</w:t>
      </w:r>
      <w:r w:rsidR="00111D38">
        <w:rPr>
          <w:rFonts w:ascii="Abadi" w:hAnsi="Abadi" w:cs="Arial"/>
          <w:sz w:val="21"/>
          <w:szCs w:val="21"/>
        </w:rPr>
        <w:t xml:space="preserve"> </w:t>
      </w:r>
      <w:r w:rsidRPr="00401C70">
        <w:rPr>
          <w:rFonts w:ascii="Abadi" w:hAnsi="Abadi" w:cs="Arial"/>
          <w:sz w:val="21"/>
          <w:szCs w:val="21"/>
        </w:rPr>
        <w:t>administración pública estatal como municipal se dividen en centralizada y</w:t>
      </w:r>
      <w:r w:rsidR="00023711">
        <w:rPr>
          <w:rFonts w:ascii="Abadi" w:hAnsi="Abadi" w:cs="Arial"/>
          <w:sz w:val="21"/>
          <w:szCs w:val="21"/>
        </w:rPr>
        <w:t xml:space="preserve"> </w:t>
      </w:r>
      <w:r w:rsidRPr="00401C70">
        <w:rPr>
          <w:rFonts w:ascii="Abadi" w:hAnsi="Abadi" w:cs="Arial"/>
          <w:sz w:val="21"/>
          <w:szCs w:val="21"/>
        </w:rPr>
        <w:t>paraestatal o paramunicipal según corresponda. Las dependencias que conforman</w:t>
      </w:r>
      <w:r w:rsidR="00023711">
        <w:rPr>
          <w:rFonts w:ascii="Abadi" w:hAnsi="Abadi" w:cs="Arial"/>
          <w:sz w:val="21"/>
          <w:szCs w:val="21"/>
        </w:rPr>
        <w:t xml:space="preserve"> </w:t>
      </w:r>
      <w:r w:rsidRPr="00401C70">
        <w:rPr>
          <w:rFonts w:ascii="Abadi" w:hAnsi="Abadi" w:cs="Arial"/>
          <w:sz w:val="21"/>
          <w:szCs w:val="21"/>
        </w:rPr>
        <w:t>la administración pública centralizada son las llamadas Secretarías o Direcciones</w:t>
      </w:r>
      <w:r w:rsidR="00023711">
        <w:rPr>
          <w:rFonts w:ascii="Abadi" w:hAnsi="Abadi" w:cs="Arial"/>
          <w:sz w:val="21"/>
          <w:szCs w:val="21"/>
        </w:rPr>
        <w:t xml:space="preserve"> </w:t>
      </w:r>
      <w:r w:rsidRPr="00401C70">
        <w:rPr>
          <w:rFonts w:ascii="Abadi" w:hAnsi="Abadi" w:cs="Arial"/>
          <w:sz w:val="21"/>
          <w:szCs w:val="21"/>
        </w:rPr>
        <w:t>Generales, dependiendo el nivel de gobierno. En el caso de los municipios, además</w:t>
      </w:r>
      <w:r w:rsidR="00023711">
        <w:rPr>
          <w:rFonts w:ascii="Abadi" w:hAnsi="Abadi" w:cs="Arial"/>
          <w:sz w:val="21"/>
          <w:szCs w:val="21"/>
        </w:rPr>
        <w:t xml:space="preserve"> </w:t>
      </w:r>
      <w:r w:rsidRPr="00401C70">
        <w:rPr>
          <w:rFonts w:ascii="Abadi" w:hAnsi="Abadi" w:cs="Arial"/>
          <w:sz w:val="21"/>
          <w:szCs w:val="21"/>
        </w:rPr>
        <w:t>también están quienes tutelan la Secretaría de Ayuntamiento, la Tesorería</w:t>
      </w:r>
      <w:r w:rsidR="00023711">
        <w:rPr>
          <w:rFonts w:ascii="Abadi" w:hAnsi="Abadi" w:cs="Arial"/>
          <w:sz w:val="21"/>
          <w:szCs w:val="21"/>
        </w:rPr>
        <w:t xml:space="preserve"> </w:t>
      </w:r>
      <w:r w:rsidRPr="00401C70">
        <w:rPr>
          <w:rFonts w:ascii="Abadi" w:hAnsi="Abadi" w:cs="Arial"/>
          <w:sz w:val="21"/>
          <w:szCs w:val="21"/>
        </w:rPr>
        <w:t>Municipal, la Unidad de Transparencia y la Contraloría.</w:t>
      </w:r>
    </w:p>
    <w:p w14:paraId="507D7FC6" w14:textId="77777777" w:rsidR="00677B7E" w:rsidRDefault="00677B7E" w:rsidP="00677B7E">
      <w:pPr>
        <w:autoSpaceDE w:val="0"/>
        <w:autoSpaceDN w:val="0"/>
        <w:adjustRightInd w:val="0"/>
        <w:jc w:val="both"/>
        <w:rPr>
          <w:rFonts w:ascii="Abadi" w:hAnsi="Abadi" w:cs="Arial"/>
          <w:sz w:val="21"/>
          <w:szCs w:val="21"/>
        </w:rPr>
      </w:pPr>
    </w:p>
    <w:p w14:paraId="220DABAD" w14:textId="06117AE4" w:rsidR="00677B7E" w:rsidRPr="00401C70" w:rsidRDefault="00677B7E" w:rsidP="00677B7E">
      <w:pPr>
        <w:autoSpaceDE w:val="0"/>
        <w:autoSpaceDN w:val="0"/>
        <w:adjustRightInd w:val="0"/>
        <w:jc w:val="both"/>
        <w:rPr>
          <w:rFonts w:ascii="Abadi" w:hAnsi="Abadi" w:cs="Arial"/>
          <w:sz w:val="21"/>
          <w:szCs w:val="21"/>
        </w:rPr>
      </w:pPr>
      <w:r w:rsidRPr="00401C70">
        <w:rPr>
          <w:rFonts w:ascii="Abadi" w:hAnsi="Abadi" w:cs="Arial"/>
          <w:sz w:val="21"/>
          <w:szCs w:val="21"/>
        </w:rPr>
        <w:t>La administración pública paraestatal y paramunicipal, por su parte, se constituye</w:t>
      </w:r>
      <w:r w:rsidR="00023711">
        <w:rPr>
          <w:rFonts w:ascii="Abadi" w:hAnsi="Abadi" w:cs="Arial"/>
          <w:sz w:val="21"/>
          <w:szCs w:val="21"/>
        </w:rPr>
        <w:t xml:space="preserve"> </w:t>
      </w:r>
      <w:r w:rsidRPr="00401C70">
        <w:rPr>
          <w:rFonts w:ascii="Abadi" w:hAnsi="Abadi" w:cs="Arial"/>
          <w:sz w:val="21"/>
          <w:szCs w:val="21"/>
        </w:rPr>
        <w:t>por los organismos descentralizados, las empresas de participación estatal o</w:t>
      </w:r>
      <w:r w:rsidR="00023711">
        <w:rPr>
          <w:rFonts w:ascii="Abadi" w:hAnsi="Abadi" w:cs="Arial"/>
          <w:sz w:val="21"/>
          <w:szCs w:val="21"/>
        </w:rPr>
        <w:t xml:space="preserve"> </w:t>
      </w:r>
      <w:r w:rsidRPr="00401C70">
        <w:rPr>
          <w:rFonts w:ascii="Abadi" w:hAnsi="Abadi" w:cs="Arial"/>
          <w:sz w:val="21"/>
          <w:szCs w:val="21"/>
        </w:rPr>
        <w:t>municipal, fideicomisos públicos, comisiones, patronatos y comités.</w:t>
      </w:r>
    </w:p>
    <w:p w14:paraId="017FC4CC" w14:textId="77777777" w:rsidR="00677B7E" w:rsidRDefault="00677B7E" w:rsidP="00677B7E">
      <w:pPr>
        <w:autoSpaceDE w:val="0"/>
        <w:autoSpaceDN w:val="0"/>
        <w:adjustRightInd w:val="0"/>
        <w:jc w:val="both"/>
        <w:rPr>
          <w:rFonts w:ascii="Abadi" w:hAnsi="Abadi" w:cs="Arial"/>
          <w:sz w:val="21"/>
          <w:szCs w:val="21"/>
        </w:rPr>
      </w:pPr>
    </w:p>
    <w:p w14:paraId="72EC9B3B" w14:textId="4A920747" w:rsidR="00677B7E" w:rsidRPr="00401C70" w:rsidRDefault="00677B7E" w:rsidP="00677B7E">
      <w:pPr>
        <w:autoSpaceDE w:val="0"/>
        <w:autoSpaceDN w:val="0"/>
        <w:adjustRightInd w:val="0"/>
        <w:jc w:val="both"/>
        <w:rPr>
          <w:rFonts w:ascii="Abadi" w:hAnsi="Abadi" w:cs="Arial"/>
          <w:sz w:val="21"/>
          <w:szCs w:val="21"/>
        </w:rPr>
      </w:pPr>
      <w:r w:rsidRPr="00401C70">
        <w:rPr>
          <w:rFonts w:ascii="Abadi" w:hAnsi="Abadi" w:cs="Arial"/>
          <w:sz w:val="21"/>
          <w:szCs w:val="21"/>
        </w:rPr>
        <w:t>En concreto, lo que se propone con esta iniciativa es regular desde la Ley Orgánica</w:t>
      </w:r>
      <w:r w:rsidR="00023711">
        <w:rPr>
          <w:rFonts w:ascii="Abadi" w:hAnsi="Abadi" w:cs="Arial"/>
          <w:sz w:val="21"/>
          <w:szCs w:val="21"/>
        </w:rPr>
        <w:t xml:space="preserve"> </w:t>
      </w:r>
      <w:r w:rsidRPr="00401C70">
        <w:rPr>
          <w:rFonts w:ascii="Abadi" w:hAnsi="Abadi" w:cs="Arial"/>
          <w:sz w:val="21"/>
          <w:szCs w:val="21"/>
        </w:rPr>
        <w:t>del Poder Ejecutivo para el Estado de Guanajuato y la Ley Orgánica Municipal para</w:t>
      </w:r>
      <w:r w:rsidR="00023711">
        <w:rPr>
          <w:rFonts w:ascii="Abadi" w:hAnsi="Abadi" w:cs="Arial"/>
          <w:sz w:val="21"/>
          <w:szCs w:val="21"/>
        </w:rPr>
        <w:t xml:space="preserve"> </w:t>
      </w:r>
      <w:r w:rsidRPr="00401C70">
        <w:rPr>
          <w:rFonts w:ascii="Abadi" w:hAnsi="Abadi" w:cs="Arial"/>
          <w:sz w:val="21"/>
          <w:szCs w:val="21"/>
        </w:rPr>
        <w:t>el Estado de Guanajuato, los nombramientos de las personas titulares de todas</w:t>
      </w:r>
      <w:r w:rsidR="00023711">
        <w:rPr>
          <w:rFonts w:ascii="Abadi" w:hAnsi="Abadi" w:cs="Arial"/>
          <w:sz w:val="21"/>
          <w:szCs w:val="21"/>
        </w:rPr>
        <w:t xml:space="preserve"> </w:t>
      </w:r>
      <w:r w:rsidRPr="00401C70">
        <w:rPr>
          <w:rFonts w:ascii="Abadi" w:hAnsi="Abadi" w:cs="Arial"/>
          <w:sz w:val="21"/>
          <w:szCs w:val="21"/>
        </w:rPr>
        <w:t>estas dependencias y entidades a efectos de garantizar la integración de las</w:t>
      </w:r>
      <w:r w:rsidR="00023711">
        <w:rPr>
          <w:rFonts w:ascii="Abadi" w:hAnsi="Abadi" w:cs="Arial"/>
          <w:sz w:val="21"/>
          <w:szCs w:val="21"/>
        </w:rPr>
        <w:t xml:space="preserve"> </w:t>
      </w:r>
      <w:r w:rsidRPr="00401C70">
        <w:rPr>
          <w:rFonts w:ascii="Abadi" w:hAnsi="Abadi" w:cs="Arial"/>
          <w:sz w:val="21"/>
          <w:szCs w:val="21"/>
        </w:rPr>
        <w:t>mujeres a estos espacios de toma de decisión.</w:t>
      </w:r>
    </w:p>
    <w:p w14:paraId="7A0C09C0" w14:textId="77777777" w:rsidR="00677B7E" w:rsidRDefault="00677B7E" w:rsidP="00677B7E">
      <w:pPr>
        <w:autoSpaceDE w:val="0"/>
        <w:autoSpaceDN w:val="0"/>
        <w:adjustRightInd w:val="0"/>
        <w:jc w:val="both"/>
        <w:rPr>
          <w:rFonts w:ascii="Abadi" w:hAnsi="Abadi" w:cs="Arial"/>
          <w:sz w:val="21"/>
          <w:szCs w:val="21"/>
        </w:rPr>
      </w:pPr>
    </w:p>
    <w:p w14:paraId="3ADEFA52" w14:textId="77777777" w:rsidR="00677B7E" w:rsidRPr="00401C70" w:rsidRDefault="00677B7E" w:rsidP="00677B7E">
      <w:pPr>
        <w:autoSpaceDE w:val="0"/>
        <w:autoSpaceDN w:val="0"/>
        <w:adjustRightInd w:val="0"/>
        <w:jc w:val="both"/>
        <w:rPr>
          <w:rFonts w:ascii="Abadi" w:hAnsi="Abadi" w:cs="Arial"/>
          <w:sz w:val="21"/>
          <w:szCs w:val="21"/>
        </w:rPr>
      </w:pPr>
      <w:r w:rsidRPr="00401C70">
        <w:rPr>
          <w:rFonts w:ascii="Abadi" w:hAnsi="Abadi" w:cs="Arial"/>
          <w:sz w:val="21"/>
          <w:szCs w:val="21"/>
        </w:rPr>
        <w:lastRenderedPageBreak/>
        <w:t>Lo anterior, no sin antes exponer las siguientes precisiones en lo concerniente a las</w:t>
      </w:r>
    </w:p>
    <w:p w14:paraId="1735E11A" w14:textId="77777777" w:rsidR="00677B7E" w:rsidRPr="00401C70" w:rsidRDefault="00677B7E" w:rsidP="00677B7E">
      <w:pPr>
        <w:autoSpaceDE w:val="0"/>
        <w:autoSpaceDN w:val="0"/>
        <w:adjustRightInd w:val="0"/>
        <w:jc w:val="both"/>
        <w:rPr>
          <w:rFonts w:ascii="Abadi" w:hAnsi="Abadi" w:cs="Arial"/>
          <w:sz w:val="21"/>
          <w:szCs w:val="21"/>
        </w:rPr>
      </w:pPr>
      <w:r w:rsidRPr="00401C70">
        <w:rPr>
          <w:rFonts w:ascii="Abadi" w:hAnsi="Abadi" w:cs="Arial"/>
          <w:sz w:val="21"/>
          <w:szCs w:val="21"/>
        </w:rPr>
        <w:t>entidades paraestatales y paramunicipales.</w:t>
      </w:r>
    </w:p>
    <w:p w14:paraId="09095699" w14:textId="77777777" w:rsidR="00677B7E" w:rsidRDefault="00677B7E" w:rsidP="00677B7E">
      <w:pPr>
        <w:autoSpaceDE w:val="0"/>
        <w:autoSpaceDN w:val="0"/>
        <w:adjustRightInd w:val="0"/>
        <w:jc w:val="both"/>
        <w:rPr>
          <w:rFonts w:ascii="Abadi" w:hAnsi="Abadi" w:cs="Arial"/>
          <w:sz w:val="21"/>
          <w:szCs w:val="21"/>
        </w:rPr>
      </w:pPr>
    </w:p>
    <w:p w14:paraId="741A2AA5" w14:textId="29310356" w:rsidR="00677B7E" w:rsidRPr="00401C70" w:rsidRDefault="00677B7E" w:rsidP="00023711">
      <w:pPr>
        <w:autoSpaceDE w:val="0"/>
        <w:autoSpaceDN w:val="0"/>
        <w:adjustRightInd w:val="0"/>
        <w:jc w:val="both"/>
        <w:rPr>
          <w:rFonts w:ascii="Abadi" w:hAnsi="Abadi" w:cs="Arial"/>
          <w:sz w:val="21"/>
          <w:szCs w:val="21"/>
        </w:rPr>
      </w:pPr>
      <w:r w:rsidRPr="00401C70">
        <w:rPr>
          <w:rFonts w:ascii="Abadi" w:hAnsi="Abadi" w:cs="Arial"/>
          <w:sz w:val="21"/>
          <w:szCs w:val="21"/>
        </w:rPr>
        <w:t>Se plantea que tanto el nombramiento de las personas servidoras públicas que</w:t>
      </w:r>
      <w:r w:rsidR="00023711">
        <w:rPr>
          <w:rFonts w:ascii="Abadi" w:hAnsi="Abadi" w:cs="Arial"/>
          <w:sz w:val="21"/>
          <w:szCs w:val="21"/>
        </w:rPr>
        <w:t xml:space="preserve"> </w:t>
      </w:r>
      <w:r w:rsidRPr="00401C70">
        <w:rPr>
          <w:rFonts w:ascii="Abadi" w:hAnsi="Abadi" w:cs="Arial"/>
          <w:sz w:val="21"/>
          <w:szCs w:val="21"/>
        </w:rPr>
        <w:t>deban ejercer las atribuciones de titularidad de las acciones o partes sociales que</w:t>
      </w:r>
      <w:r w:rsidR="00023711">
        <w:rPr>
          <w:rFonts w:ascii="Abadi" w:hAnsi="Abadi" w:cs="Arial"/>
          <w:sz w:val="21"/>
          <w:szCs w:val="21"/>
        </w:rPr>
        <w:t xml:space="preserve"> </w:t>
      </w:r>
      <w:r w:rsidRPr="00401C70">
        <w:rPr>
          <w:rFonts w:ascii="Abadi" w:hAnsi="Abadi" w:cs="Arial"/>
          <w:sz w:val="21"/>
          <w:szCs w:val="21"/>
        </w:rPr>
        <w:t>integren el capital social de las empresas de participación mayoritaria, así como el</w:t>
      </w:r>
      <w:r w:rsidR="00023711">
        <w:rPr>
          <w:rFonts w:ascii="Abadi" w:hAnsi="Abadi" w:cs="Arial"/>
          <w:sz w:val="21"/>
          <w:szCs w:val="21"/>
        </w:rPr>
        <w:t xml:space="preserve"> </w:t>
      </w:r>
      <w:r w:rsidRPr="00401C70">
        <w:rPr>
          <w:rFonts w:ascii="Abadi" w:hAnsi="Abadi" w:cs="Arial"/>
          <w:sz w:val="21"/>
          <w:szCs w:val="21"/>
        </w:rPr>
        <w:t>de las y los integrantes del órgano de gobierno que represente la participación de la</w:t>
      </w:r>
      <w:r w:rsidR="00023711">
        <w:rPr>
          <w:rFonts w:ascii="Abadi" w:hAnsi="Abadi" w:cs="Arial"/>
          <w:sz w:val="21"/>
          <w:szCs w:val="21"/>
        </w:rPr>
        <w:t xml:space="preserve"> </w:t>
      </w:r>
      <w:r w:rsidRPr="00401C70">
        <w:rPr>
          <w:rFonts w:ascii="Abadi" w:hAnsi="Abadi" w:cs="Arial"/>
          <w:sz w:val="21"/>
          <w:szCs w:val="21"/>
        </w:rPr>
        <w:t>Administración Pública Estatal se realice observando este principio.</w:t>
      </w:r>
    </w:p>
    <w:p w14:paraId="5BFFFBEA" w14:textId="77777777" w:rsidR="0070089F" w:rsidRDefault="0070089F" w:rsidP="00677B7E">
      <w:pPr>
        <w:autoSpaceDE w:val="0"/>
        <w:autoSpaceDN w:val="0"/>
        <w:adjustRightInd w:val="0"/>
        <w:jc w:val="both"/>
        <w:rPr>
          <w:rFonts w:ascii="Abadi" w:hAnsi="Abadi" w:cs="Arial"/>
          <w:sz w:val="21"/>
          <w:szCs w:val="21"/>
        </w:rPr>
      </w:pPr>
    </w:p>
    <w:p w14:paraId="49366998" w14:textId="53946D3F" w:rsidR="00677B7E" w:rsidRPr="00401C70" w:rsidRDefault="00677B7E" w:rsidP="00677B7E">
      <w:pPr>
        <w:autoSpaceDE w:val="0"/>
        <w:autoSpaceDN w:val="0"/>
        <w:adjustRightInd w:val="0"/>
        <w:jc w:val="both"/>
        <w:rPr>
          <w:rFonts w:ascii="Abadi" w:hAnsi="Abadi" w:cs="Arial"/>
          <w:sz w:val="21"/>
          <w:szCs w:val="21"/>
        </w:rPr>
      </w:pPr>
      <w:r w:rsidRPr="00401C70">
        <w:rPr>
          <w:rFonts w:ascii="Abadi" w:hAnsi="Abadi" w:cs="Arial"/>
          <w:sz w:val="21"/>
          <w:szCs w:val="21"/>
        </w:rPr>
        <w:t>Para el caso de los fideicomisos públicos, a nivel Estatal, estos se rigen por un</w:t>
      </w:r>
      <w:r w:rsidR="0062327C">
        <w:rPr>
          <w:rFonts w:ascii="Abadi" w:hAnsi="Abadi" w:cs="Arial"/>
          <w:sz w:val="21"/>
          <w:szCs w:val="21"/>
        </w:rPr>
        <w:t xml:space="preserve"> </w:t>
      </w:r>
      <w:r w:rsidRPr="00401C70">
        <w:rPr>
          <w:rFonts w:ascii="Abadi" w:hAnsi="Abadi" w:cs="Arial"/>
          <w:sz w:val="21"/>
          <w:szCs w:val="21"/>
        </w:rPr>
        <w:t>comité técnico que funge como un órgano de gobierno14 y cuyos integrantes son</w:t>
      </w:r>
      <w:r w:rsidR="0062327C">
        <w:rPr>
          <w:rFonts w:ascii="Abadi" w:hAnsi="Abadi" w:cs="Arial"/>
          <w:sz w:val="21"/>
          <w:szCs w:val="21"/>
        </w:rPr>
        <w:t xml:space="preserve"> </w:t>
      </w:r>
      <w:r w:rsidRPr="00401C70">
        <w:rPr>
          <w:rFonts w:ascii="Abadi" w:hAnsi="Abadi" w:cs="Arial"/>
          <w:sz w:val="21"/>
          <w:szCs w:val="21"/>
        </w:rPr>
        <w:t>designados por el Gobernador, a nivel municipal, estos cuentan con un Comité</w:t>
      </w:r>
      <w:r w:rsidR="0062327C">
        <w:rPr>
          <w:rFonts w:ascii="Abadi" w:hAnsi="Abadi" w:cs="Arial"/>
          <w:sz w:val="21"/>
          <w:szCs w:val="21"/>
        </w:rPr>
        <w:t xml:space="preserve"> </w:t>
      </w:r>
      <w:r w:rsidRPr="00401C70">
        <w:rPr>
          <w:rFonts w:ascii="Abadi" w:hAnsi="Abadi" w:cs="Arial"/>
          <w:sz w:val="21"/>
          <w:szCs w:val="21"/>
        </w:rPr>
        <w:t>Técnico de Vigilancia en donde sus integrantes son nombrados por el</w:t>
      </w:r>
      <w:r w:rsidR="0062327C">
        <w:rPr>
          <w:rFonts w:ascii="Abadi" w:hAnsi="Abadi" w:cs="Arial"/>
          <w:sz w:val="21"/>
          <w:szCs w:val="21"/>
        </w:rPr>
        <w:t xml:space="preserve"> </w:t>
      </w:r>
      <w:r w:rsidRPr="00401C70">
        <w:rPr>
          <w:rFonts w:ascii="Abadi" w:hAnsi="Abadi" w:cs="Arial"/>
          <w:sz w:val="21"/>
          <w:szCs w:val="21"/>
        </w:rPr>
        <w:t>Ayuntamiento,15 por lo que para estos casos se propone que las designaciones de</w:t>
      </w:r>
      <w:r w:rsidR="0062327C">
        <w:rPr>
          <w:rFonts w:ascii="Abadi" w:hAnsi="Abadi" w:cs="Arial"/>
          <w:sz w:val="21"/>
          <w:szCs w:val="21"/>
        </w:rPr>
        <w:t xml:space="preserve"> </w:t>
      </w:r>
      <w:r w:rsidRPr="00401C70">
        <w:rPr>
          <w:rFonts w:ascii="Abadi" w:hAnsi="Abadi" w:cs="Arial"/>
          <w:sz w:val="21"/>
          <w:szCs w:val="21"/>
        </w:rPr>
        <w:t>dichos Comités, se realicen observando el principio antes referido, así como</w:t>
      </w:r>
      <w:r w:rsidR="0062327C">
        <w:rPr>
          <w:rFonts w:ascii="Abadi" w:hAnsi="Abadi" w:cs="Arial"/>
          <w:sz w:val="21"/>
          <w:szCs w:val="21"/>
        </w:rPr>
        <w:t xml:space="preserve"> </w:t>
      </w:r>
      <w:r w:rsidRPr="00401C70">
        <w:rPr>
          <w:rFonts w:ascii="Abadi" w:hAnsi="Abadi" w:cs="Arial"/>
          <w:sz w:val="21"/>
          <w:szCs w:val="21"/>
        </w:rPr>
        <w:t>especificar que las personas suplentes deberán ser del mismo género que las</w:t>
      </w:r>
      <w:r w:rsidR="00023711">
        <w:rPr>
          <w:rFonts w:ascii="Abadi" w:hAnsi="Abadi" w:cs="Arial"/>
          <w:sz w:val="21"/>
          <w:szCs w:val="21"/>
        </w:rPr>
        <w:t xml:space="preserve"> </w:t>
      </w:r>
      <w:r w:rsidRPr="00401C70">
        <w:rPr>
          <w:rFonts w:ascii="Abadi" w:hAnsi="Abadi" w:cs="Arial"/>
          <w:sz w:val="21"/>
          <w:szCs w:val="21"/>
        </w:rPr>
        <w:t>propietarias.</w:t>
      </w:r>
    </w:p>
    <w:p w14:paraId="477DB60F" w14:textId="77777777" w:rsidR="00677B7E" w:rsidRDefault="00677B7E" w:rsidP="00677B7E">
      <w:pPr>
        <w:autoSpaceDE w:val="0"/>
        <w:autoSpaceDN w:val="0"/>
        <w:adjustRightInd w:val="0"/>
        <w:jc w:val="both"/>
        <w:rPr>
          <w:rFonts w:ascii="Abadi" w:hAnsi="Abadi" w:cs="Arial"/>
          <w:sz w:val="21"/>
          <w:szCs w:val="21"/>
        </w:rPr>
      </w:pPr>
    </w:p>
    <w:p w14:paraId="3CBE4AB2" w14:textId="77777777" w:rsidR="00677B7E" w:rsidRPr="00401C70" w:rsidRDefault="00677B7E" w:rsidP="00677B7E">
      <w:pPr>
        <w:autoSpaceDE w:val="0"/>
        <w:autoSpaceDN w:val="0"/>
        <w:adjustRightInd w:val="0"/>
        <w:jc w:val="both"/>
        <w:rPr>
          <w:rFonts w:ascii="Abadi" w:hAnsi="Abadi" w:cs="Arial"/>
          <w:sz w:val="21"/>
          <w:szCs w:val="21"/>
        </w:rPr>
      </w:pPr>
      <w:r w:rsidRPr="00401C70">
        <w:rPr>
          <w:rFonts w:ascii="Abadi" w:hAnsi="Abadi" w:cs="Arial"/>
          <w:sz w:val="21"/>
          <w:szCs w:val="21"/>
        </w:rPr>
        <w:t>En lo concerniente a los organismos descentralizados del Poder Ejecutivo, estos si</w:t>
      </w:r>
    </w:p>
    <w:p w14:paraId="67D12D48" w14:textId="2618D97F" w:rsidR="00677B7E" w:rsidRPr="00401C70" w:rsidRDefault="00677B7E" w:rsidP="00677B7E">
      <w:pPr>
        <w:autoSpaceDE w:val="0"/>
        <w:autoSpaceDN w:val="0"/>
        <w:adjustRightInd w:val="0"/>
        <w:jc w:val="both"/>
        <w:rPr>
          <w:rFonts w:ascii="Abadi" w:hAnsi="Abadi" w:cs="Arial"/>
          <w:sz w:val="21"/>
          <w:szCs w:val="21"/>
        </w:rPr>
      </w:pPr>
      <w:r w:rsidRPr="00401C70">
        <w:rPr>
          <w:rFonts w:ascii="Abadi" w:hAnsi="Abadi" w:cs="Arial"/>
          <w:sz w:val="21"/>
          <w:szCs w:val="21"/>
        </w:rPr>
        <w:t>cuentan con una dirección general que es designada por el Gobernador16, pero son</w:t>
      </w:r>
      <w:r w:rsidR="0062327C">
        <w:rPr>
          <w:rFonts w:ascii="Abadi" w:hAnsi="Abadi" w:cs="Arial"/>
          <w:sz w:val="21"/>
          <w:szCs w:val="21"/>
        </w:rPr>
        <w:t xml:space="preserve"> </w:t>
      </w:r>
      <w:r w:rsidRPr="00401C70">
        <w:rPr>
          <w:rFonts w:ascii="Abadi" w:hAnsi="Abadi" w:cs="Arial"/>
          <w:sz w:val="21"/>
          <w:szCs w:val="21"/>
        </w:rPr>
        <w:t>administrados en conjunto con un órgano de gobierno; a nivel municipal, estas</w:t>
      </w:r>
      <w:r w:rsidR="0062327C">
        <w:rPr>
          <w:rFonts w:ascii="Abadi" w:hAnsi="Abadi" w:cs="Arial"/>
          <w:sz w:val="21"/>
          <w:szCs w:val="21"/>
        </w:rPr>
        <w:t xml:space="preserve"> </w:t>
      </w:r>
      <w:r w:rsidRPr="00401C70">
        <w:rPr>
          <w:rFonts w:ascii="Abadi" w:hAnsi="Abadi" w:cs="Arial"/>
          <w:sz w:val="21"/>
          <w:szCs w:val="21"/>
        </w:rPr>
        <w:t>entidades se encuentran administradas únicamente por un órgano de gobierno,</w:t>
      </w:r>
      <w:r w:rsidR="0062327C">
        <w:rPr>
          <w:rFonts w:ascii="Abadi" w:hAnsi="Abadi" w:cs="Arial"/>
          <w:sz w:val="21"/>
          <w:szCs w:val="21"/>
        </w:rPr>
        <w:t xml:space="preserve"> </w:t>
      </w:r>
      <w:r w:rsidRPr="00401C70">
        <w:rPr>
          <w:rFonts w:ascii="Abadi" w:hAnsi="Abadi" w:cs="Arial"/>
          <w:sz w:val="21"/>
          <w:szCs w:val="21"/>
        </w:rPr>
        <w:t>entre cuyas atribuciones se encuentran elegir a su presidente, designar al Director</w:t>
      </w:r>
      <w:r w:rsidR="0062327C">
        <w:rPr>
          <w:rFonts w:ascii="Abadi" w:hAnsi="Abadi" w:cs="Arial"/>
          <w:sz w:val="21"/>
          <w:szCs w:val="21"/>
        </w:rPr>
        <w:t xml:space="preserve"> </w:t>
      </w:r>
      <w:r w:rsidRPr="00401C70">
        <w:rPr>
          <w:rFonts w:ascii="Abadi" w:hAnsi="Abadi" w:cs="Arial"/>
          <w:sz w:val="21"/>
          <w:szCs w:val="21"/>
        </w:rPr>
        <w:t>General y nombrar a Titular de su Unidad de Transparencia17.</w:t>
      </w:r>
    </w:p>
    <w:p w14:paraId="5EC30217" w14:textId="77777777" w:rsidR="00677B7E" w:rsidRDefault="00677B7E" w:rsidP="00677B7E">
      <w:pPr>
        <w:autoSpaceDE w:val="0"/>
        <w:autoSpaceDN w:val="0"/>
        <w:adjustRightInd w:val="0"/>
        <w:jc w:val="both"/>
        <w:rPr>
          <w:rFonts w:ascii="Abadi" w:hAnsi="Abadi" w:cs="Arial"/>
          <w:sz w:val="21"/>
          <w:szCs w:val="21"/>
        </w:rPr>
      </w:pPr>
    </w:p>
    <w:p w14:paraId="276DA09C" w14:textId="37B38621" w:rsidR="00677B7E" w:rsidRPr="00401C70" w:rsidRDefault="00677B7E" w:rsidP="00677B7E">
      <w:pPr>
        <w:autoSpaceDE w:val="0"/>
        <w:autoSpaceDN w:val="0"/>
        <w:adjustRightInd w:val="0"/>
        <w:jc w:val="both"/>
        <w:rPr>
          <w:rFonts w:ascii="Abadi" w:hAnsi="Abadi" w:cs="Arial"/>
          <w:sz w:val="21"/>
          <w:szCs w:val="21"/>
        </w:rPr>
      </w:pPr>
      <w:r w:rsidRPr="00401C70">
        <w:rPr>
          <w:rFonts w:ascii="Abadi" w:hAnsi="Abadi" w:cs="Arial"/>
          <w:sz w:val="21"/>
          <w:szCs w:val="21"/>
        </w:rPr>
        <w:t>Por lo anterior, es que, para estos casos, resulta oportuno que no nada más las</w:t>
      </w:r>
      <w:r w:rsidR="0062327C">
        <w:rPr>
          <w:rFonts w:ascii="Abadi" w:hAnsi="Abadi" w:cs="Arial"/>
          <w:sz w:val="21"/>
          <w:szCs w:val="21"/>
        </w:rPr>
        <w:t xml:space="preserve"> </w:t>
      </w:r>
      <w:r w:rsidRPr="00401C70">
        <w:rPr>
          <w:rFonts w:ascii="Abadi" w:hAnsi="Abadi" w:cs="Arial"/>
          <w:sz w:val="21"/>
          <w:szCs w:val="21"/>
        </w:rPr>
        <w:t>personas titulares sean nombradas observando el principio de paridad, sino también</w:t>
      </w:r>
      <w:r w:rsidR="0062327C">
        <w:rPr>
          <w:rFonts w:ascii="Abadi" w:hAnsi="Abadi" w:cs="Arial"/>
          <w:sz w:val="21"/>
          <w:szCs w:val="21"/>
        </w:rPr>
        <w:t xml:space="preserve"> </w:t>
      </w:r>
      <w:r w:rsidRPr="00401C70">
        <w:rPr>
          <w:rFonts w:ascii="Abadi" w:hAnsi="Abadi" w:cs="Arial"/>
          <w:sz w:val="21"/>
          <w:szCs w:val="21"/>
        </w:rPr>
        <w:t>quienes integren los órganos de gobierno, toda vez que éstos también tienen a su</w:t>
      </w:r>
      <w:r w:rsidR="0062327C">
        <w:rPr>
          <w:rFonts w:ascii="Abadi" w:hAnsi="Abadi" w:cs="Arial"/>
          <w:sz w:val="21"/>
          <w:szCs w:val="21"/>
        </w:rPr>
        <w:t xml:space="preserve"> </w:t>
      </w:r>
      <w:r w:rsidRPr="00401C70">
        <w:rPr>
          <w:rFonts w:ascii="Abadi" w:hAnsi="Abadi" w:cs="Arial"/>
          <w:sz w:val="21"/>
          <w:szCs w:val="21"/>
        </w:rPr>
        <w:t>cargo la toma de decisiones y responsabilidades importantes dentro de estas</w:t>
      </w:r>
      <w:r w:rsidR="0062327C">
        <w:rPr>
          <w:rFonts w:ascii="Abadi" w:hAnsi="Abadi" w:cs="Arial"/>
          <w:sz w:val="21"/>
          <w:szCs w:val="21"/>
        </w:rPr>
        <w:t xml:space="preserve"> </w:t>
      </w:r>
      <w:r w:rsidRPr="00401C70">
        <w:rPr>
          <w:rFonts w:ascii="Abadi" w:hAnsi="Abadi" w:cs="Arial"/>
          <w:sz w:val="21"/>
          <w:szCs w:val="21"/>
        </w:rPr>
        <w:t>entidades.</w:t>
      </w:r>
    </w:p>
    <w:p w14:paraId="33B747DB" w14:textId="77777777" w:rsidR="00677B7E" w:rsidRDefault="00677B7E" w:rsidP="00677B7E">
      <w:pPr>
        <w:autoSpaceDE w:val="0"/>
        <w:autoSpaceDN w:val="0"/>
        <w:adjustRightInd w:val="0"/>
        <w:jc w:val="both"/>
        <w:rPr>
          <w:rFonts w:ascii="Abadi" w:hAnsi="Abadi" w:cs="Arial"/>
          <w:sz w:val="21"/>
          <w:szCs w:val="21"/>
        </w:rPr>
      </w:pPr>
    </w:p>
    <w:p w14:paraId="4AE8B527" w14:textId="23944CC7" w:rsidR="00677B7E" w:rsidRPr="00401C70" w:rsidRDefault="00677B7E" w:rsidP="00677B7E">
      <w:pPr>
        <w:autoSpaceDE w:val="0"/>
        <w:autoSpaceDN w:val="0"/>
        <w:adjustRightInd w:val="0"/>
        <w:jc w:val="both"/>
        <w:rPr>
          <w:rFonts w:ascii="Abadi" w:hAnsi="Abadi" w:cs="Arial"/>
          <w:sz w:val="21"/>
          <w:szCs w:val="21"/>
        </w:rPr>
      </w:pPr>
      <w:r w:rsidRPr="00401C70">
        <w:rPr>
          <w:rFonts w:ascii="Abadi" w:hAnsi="Abadi" w:cs="Arial"/>
          <w:sz w:val="21"/>
          <w:szCs w:val="21"/>
        </w:rPr>
        <w:t>En el caso de las Contralorías y Juzgados Administrativos Municipales, las personas</w:t>
      </w:r>
      <w:r w:rsidR="00D01D0B">
        <w:rPr>
          <w:rFonts w:ascii="Abadi" w:hAnsi="Abadi" w:cs="Arial"/>
          <w:sz w:val="21"/>
          <w:szCs w:val="21"/>
        </w:rPr>
        <w:t xml:space="preserve"> </w:t>
      </w:r>
      <w:r w:rsidRPr="00401C70">
        <w:rPr>
          <w:rFonts w:ascii="Abadi" w:hAnsi="Abadi" w:cs="Arial"/>
          <w:sz w:val="21"/>
          <w:szCs w:val="21"/>
        </w:rPr>
        <w:t>titulares son seleccionadas a partir de ternas que se conforman derivadas de</w:t>
      </w:r>
      <w:r w:rsidR="00D01D0B">
        <w:rPr>
          <w:rFonts w:ascii="Abadi" w:hAnsi="Abadi" w:cs="Arial"/>
          <w:sz w:val="21"/>
          <w:szCs w:val="21"/>
        </w:rPr>
        <w:t xml:space="preserve"> </w:t>
      </w:r>
      <w:r w:rsidRPr="00401C70">
        <w:rPr>
          <w:rFonts w:ascii="Abadi" w:hAnsi="Abadi" w:cs="Arial"/>
          <w:sz w:val="21"/>
          <w:szCs w:val="21"/>
        </w:rPr>
        <w:t xml:space="preserve">consultas </w:t>
      </w:r>
      <w:r w:rsidRPr="00401C70">
        <w:rPr>
          <w:rFonts w:ascii="Abadi" w:hAnsi="Abadi" w:cs="Arial"/>
          <w:sz w:val="21"/>
          <w:szCs w:val="21"/>
        </w:rPr>
        <w:t>públicas. Aquí lo que se propone es que desde la conformación de las</w:t>
      </w:r>
      <w:r w:rsidR="00D01D0B">
        <w:rPr>
          <w:rFonts w:ascii="Abadi" w:hAnsi="Abadi" w:cs="Arial"/>
          <w:sz w:val="21"/>
          <w:szCs w:val="21"/>
        </w:rPr>
        <w:t xml:space="preserve"> </w:t>
      </w:r>
      <w:r w:rsidRPr="00401C70">
        <w:rPr>
          <w:rFonts w:ascii="Abadi" w:hAnsi="Abadi" w:cs="Arial"/>
          <w:sz w:val="21"/>
          <w:szCs w:val="21"/>
        </w:rPr>
        <w:t>ternas se garantice la alternancia en el género de quienes vayan a ocupar la</w:t>
      </w:r>
      <w:r w:rsidR="00D01D0B">
        <w:rPr>
          <w:rFonts w:ascii="Abadi" w:hAnsi="Abadi" w:cs="Arial"/>
          <w:sz w:val="21"/>
          <w:szCs w:val="21"/>
        </w:rPr>
        <w:t xml:space="preserve"> </w:t>
      </w:r>
      <w:r w:rsidRPr="00401C70">
        <w:rPr>
          <w:rFonts w:ascii="Abadi" w:hAnsi="Abadi" w:cs="Arial"/>
          <w:sz w:val="21"/>
          <w:szCs w:val="21"/>
        </w:rPr>
        <w:t>titularidad, Ello con la finalidad no nada más de garantizar el cumplimiento del principio de paridad en la composición de la terna, sino en la ocupación del puesto</w:t>
      </w:r>
      <w:r w:rsidR="00E60BE1">
        <w:rPr>
          <w:rFonts w:ascii="Abadi" w:hAnsi="Abadi" w:cs="Arial"/>
          <w:sz w:val="21"/>
          <w:szCs w:val="21"/>
        </w:rPr>
        <w:t xml:space="preserve"> </w:t>
      </w:r>
      <w:r w:rsidRPr="00401C70">
        <w:rPr>
          <w:rFonts w:ascii="Abadi" w:hAnsi="Abadi" w:cs="Arial"/>
          <w:sz w:val="21"/>
          <w:szCs w:val="21"/>
        </w:rPr>
        <w:t>de titularidad, toda vez que una terna paritaria por sí misma no garantiza el acceso</w:t>
      </w:r>
      <w:r w:rsidR="00E60BE1">
        <w:rPr>
          <w:rFonts w:ascii="Abadi" w:hAnsi="Abadi" w:cs="Arial"/>
          <w:sz w:val="21"/>
          <w:szCs w:val="21"/>
        </w:rPr>
        <w:t xml:space="preserve"> </w:t>
      </w:r>
      <w:r w:rsidRPr="00401C70">
        <w:rPr>
          <w:rFonts w:ascii="Abadi" w:hAnsi="Abadi" w:cs="Arial"/>
          <w:sz w:val="21"/>
          <w:szCs w:val="21"/>
        </w:rPr>
        <w:t>de las mujeres a estos puestos de toma de decisión, pero la alternancia por el</w:t>
      </w:r>
      <w:r w:rsidR="00E60BE1">
        <w:rPr>
          <w:rFonts w:ascii="Abadi" w:hAnsi="Abadi" w:cs="Arial"/>
          <w:sz w:val="21"/>
          <w:szCs w:val="21"/>
        </w:rPr>
        <w:t xml:space="preserve"> </w:t>
      </w:r>
      <w:r w:rsidRPr="00401C70">
        <w:rPr>
          <w:rFonts w:ascii="Abadi" w:hAnsi="Abadi" w:cs="Arial"/>
          <w:sz w:val="21"/>
          <w:szCs w:val="21"/>
        </w:rPr>
        <w:t>contrario sí.</w:t>
      </w:r>
    </w:p>
    <w:p w14:paraId="5C7A6C43" w14:textId="77777777" w:rsidR="00677B7E" w:rsidRDefault="00677B7E" w:rsidP="00677B7E">
      <w:pPr>
        <w:autoSpaceDE w:val="0"/>
        <w:autoSpaceDN w:val="0"/>
        <w:adjustRightInd w:val="0"/>
        <w:jc w:val="both"/>
        <w:rPr>
          <w:rFonts w:ascii="Abadi" w:hAnsi="Abadi" w:cs="Arial"/>
          <w:sz w:val="21"/>
          <w:szCs w:val="21"/>
        </w:rPr>
      </w:pPr>
    </w:p>
    <w:p w14:paraId="20852953" w14:textId="0B2CBBAB" w:rsidR="00677B7E" w:rsidRPr="00401C70" w:rsidRDefault="00677B7E" w:rsidP="00677B7E">
      <w:pPr>
        <w:autoSpaceDE w:val="0"/>
        <w:autoSpaceDN w:val="0"/>
        <w:adjustRightInd w:val="0"/>
        <w:jc w:val="both"/>
        <w:rPr>
          <w:rFonts w:ascii="Abadi" w:hAnsi="Abadi" w:cs="Arial"/>
          <w:sz w:val="21"/>
          <w:szCs w:val="21"/>
        </w:rPr>
      </w:pPr>
      <w:r w:rsidRPr="00401C70">
        <w:rPr>
          <w:rFonts w:ascii="Abadi" w:hAnsi="Abadi" w:cs="Arial"/>
          <w:sz w:val="21"/>
          <w:szCs w:val="21"/>
        </w:rPr>
        <w:t>Ya hemos mencionado que la realidad nos ha demostrado que, por lo general,</w:t>
      </w:r>
      <w:r w:rsidR="0039156A">
        <w:rPr>
          <w:rFonts w:ascii="Abadi" w:hAnsi="Abadi" w:cs="Arial"/>
          <w:sz w:val="21"/>
          <w:szCs w:val="21"/>
        </w:rPr>
        <w:t xml:space="preserve"> </w:t>
      </w:r>
      <w:r w:rsidRPr="00401C70">
        <w:rPr>
          <w:rFonts w:ascii="Abadi" w:hAnsi="Abadi" w:cs="Arial"/>
          <w:sz w:val="21"/>
          <w:szCs w:val="21"/>
        </w:rPr>
        <w:t>cuando se trata de derechos y oportunidades, la ley debe ser lo más clara posible,</w:t>
      </w:r>
      <w:r w:rsidR="0039156A">
        <w:rPr>
          <w:rFonts w:ascii="Abadi" w:hAnsi="Abadi" w:cs="Arial"/>
          <w:sz w:val="21"/>
          <w:szCs w:val="21"/>
        </w:rPr>
        <w:t xml:space="preserve"> </w:t>
      </w:r>
      <w:r w:rsidRPr="00401C70">
        <w:rPr>
          <w:rFonts w:ascii="Abadi" w:hAnsi="Abadi" w:cs="Arial"/>
          <w:sz w:val="21"/>
          <w:szCs w:val="21"/>
        </w:rPr>
        <w:t>pues en estos casos lo que no se menciona se excluye y se invisibiliza, por ello,</w:t>
      </w:r>
      <w:r w:rsidR="0039156A">
        <w:rPr>
          <w:rFonts w:ascii="Abadi" w:hAnsi="Abadi" w:cs="Arial"/>
          <w:sz w:val="21"/>
          <w:szCs w:val="21"/>
        </w:rPr>
        <w:t xml:space="preserve"> </w:t>
      </w:r>
      <w:r w:rsidRPr="00401C70">
        <w:rPr>
          <w:rFonts w:ascii="Abadi" w:hAnsi="Abadi" w:cs="Arial"/>
          <w:sz w:val="21"/>
          <w:szCs w:val="21"/>
        </w:rPr>
        <w:t>finalmente también proponemos diversas modificaciones a efectos de incorporar el</w:t>
      </w:r>
      <w:r w:rsidR="0039156A">
        <w:rPr>
          <w:rFonts w:ascii="Abadi" w:hAnsi="Abadi" w:cs="Arial"/>
          <w:sz w:val="21"/>
          <w:szCs w:val="21"/>
        </w:rPr>
        <w:t xml:space="preserve"> </w:t>
      </w:r>
      <w:r w:rsidRPr="00401C70">
        <w:rPr>
          <w:rFonts w:ascii="Abadi" w:hAnsi="Abadi" w:cs="Arial"/>
          <w:sz w:val="21"/>
          <w:szCs w:val="21"/>
        </w:rPr>
        <w:t>uso del lenguaje incluyente y no sexista en los marcos jurídicos señalados con la</w:t>
      </w:r>
      <w:r w:rsidR="0039156A">
        <w:rPr>
          <w:rFonts w:ascii="Abadi" w:hAnsi="Abadi" w:cs="Arial"/>
          <w:sz w:val="21"/>
          <w:szCs w:val="21"/>
        </w:rPr>
        <w:t xml:space="preserve"> </w:t>
      </w:r>
      <w:r w:rsidRPr="00401C70">
        <w:rPr>
          <w:rFonts w:ascii="Abadi" w:hAnsi="Abadi" w:cs="Arial"/>
          <w:sz w:val="21"/>
          <w:szCs w:val="21"/>
        </w:rPr>
        <w:t>finalidad de promover relaciones de respeto e igualdad entre todas las personas.</w:t>
      </w:r>
    </w:p>
    <w:p w14:paraId="2F8F0FE6" w14:textId="77777777" w:rsidR="00677B7E" w:rsidRDefault="00677B7E" w:rsidP="00677B7E">
      <w:pPr>
        <w:autoSpaceDE w:val="0"/>
        <w:autoSpaceDN w:val="0"/>
        <w:adjustRightInd w:val="0"/>
        <w:jc w:val="both"/>
        <w:rPr>
          <w:rFonts w:ascii="Abadi" w:hAnsi="Abadi" w:cs="Arial"/>
          <w:sz w:val="21"/>
          <w:szCs w:val="21"/>
        </w:rPr>
      </w:pPr>
    </w:p>
    <w:p w14:paraId="244E4FAE" w14:textId="26E9E91F" w:rsidR="00677B7E" w:rsidRPr="00401C70" w:rsidRDefault="00677B7E" w:rsidP="0039156A">
      <w:pPr>
        <w:autoSpaceDE w:val="0"/>
        <w:autoSpaceDN w:val="0"/>
        <w:adjustRightInd w:val="0"/>
        <w:jc w:val="both"/>
        <w:rPr>
          <w:rFonts w:ascii="Abadi" w:hAnsi="Abadi" w:cs="Arial"/>
          <w:sz w:val="21"/>
          <w:szCs w:val="21"/>
        </w:rPr>
      </w:pPr>
      <w:r w:rsidRPr="00401C70">
        <w:rPr>
          <w:rFonts w:ascii="Abadi" w:hAnsi="Abadi" w:cs="Arial"/>
          <w:sz w:val="21"/>
          <w:szCs w:val="21"/>
        </w:rPr>
        <w:t xml:space="preserve">A continuación, se presenta un </w:t>
      </w:r>
      <w:r w:rsidR="00023711" w:rsidRPr="00401C70">
        <w:rPr>
          <w:rFonts w:ascii="Abadi" w:hAnsi="Abadi" w:cs="Arial"/>
          <w:sz w:val="21"/>
          <w:szCs w:val="21"/>
        </w:rPr>
        <w:t xml:space="preserve">cuadro </w:t>
      </w:r>
      <w:r w:rsidR="00023711">
        <w:rPr>
          <w:rFonts w:ascii="Abadi" w:hAnsi="Abadi" w:cs="Arial"/>
          <w:sz w:val="21"/>
          <w:szCs w:val="21"/>
        </w:rPr>
        <w:t>comparativo</w:t>
      </w:r>
      <w:r w:rsidRPr="00401C70">
        <w:rPr>
          <w:rFonts w:ascii="Abadi" w:hAnsi="Abadi" w:cs="Arial"/>
          <w:sz w:val="21"/>
          <w:szCs w:val="21"/>
        </w:rPr>
        <w:t xml:space="preserve"> para dar mayor claridad a las</w:t>
      </w:r>
      <w:r w:rsidR="0039156A">
        <w:rPr>
          <w:rFonts w:ascii="Abadi" w:hAnsi="Abadi" w:cs="Arial"/>
          <w:sz w:val="21"/>
          <w:szCs w:val="21"/>
        </w:rPr>
        <w:t xml:space="preserve"> </w:t>
      </w:r>
      <w:r w:rsidRPr="00401C70">
        <w:rPr>
          <w:rFonts w:ascii="Abadi" w:hAnsi="Abadi" w:cs="Arial"/>
          <w:sz w:val="21"/>
          <w:szCs w:val="21"/>
        </w:rPr>
        <w:t>propuestas señaladas previamente:</w:t>
      </w:r>
    </w:p>
    <w:p w14:paraId="6B539269" w14:textId="77777777" w:rsidR="00677B7E" w:rsidRPr="00401C70" w:rsidRDefault="00677B7E" w:rsidP="00677B7E">
      <w:pPr>
        <w:kinsoku w:val="0"/>
        <w:overflowPunct w:val="0"/>
        <w:autoSpaceDE w:val="0"/>
        <w:autoSpaceDN w:val="0"/>
        <w:adjustRightInd w:val="0"/>
        <w:spacing w:before="10" w:after="1"/>
        <w:jc w:val="both"/>
        <w:rPr>
          <w:rFonts w:ascii="Abadi" w:hAnsi="Abadi"/>
          <w:sz w:val="21"/>
          <w:szCs w:val="21"/>
        </w:rPr>
      </w:pPr>
    </w:p>
    <w:tbl>
      <w:tblPr>
        <w:tblW w:w="4531" w:type="dxa"/>
        <w:tblLayout w:type="fixed"/>
        <w:tblCellMar>
          <w:left w:w="0" w:type="dxa"/>
          <w:right w:w="0" w:type="dxa"/>
        </w:tblCellMar>
        <w:tblLook w:val="0000" w:firstRow="0" w:lastRow="0" w:firstColumn="0" w:lastColumn="0" w:noHBand="0" w:noVBand="0"/>
      </w:tblPr>
      <w:tblGrid>
        <w:gridCol w:w="2051"/>
        <w:gridCol w:w="2480"/>
      </w:tblGrid>
      <w:tr w:rsidR="00677B7E" w:rsidRPr="00401C70" w14:paraId="429B0350" w14:textId="77777777" w:rsidTr="003343AD">
        <w:trPr>
          <w:trHeight w:val="880"/>
        </w:trPr>
        <w:tc>
          <w:tcPr>
            <w:tcW w:w="2051" w:type="dxa"/>
            <w:tcBorders>
              <w:top w:val="single" w:sz="4" w:space="0" w:color="000000"/>
              <w:left w:val="single" w:sz="4" w:space="0" w:color="000000"/>
              <w:bottom w:val="single" w:sz="4" w:space="0" w:color="000000"/>
              <w:right w:val="single" w:sz="4" w:space="0" w:color="000000"/>
            </w:tcBorders>
            <w:shd w:val="clear" w:color="auto" w:fill="D9D9D9"/>
          </w:tcPr>
          <w:p w14:paraId="0024BBF0" w14:textId="77777777" w:rsidR="00677B7E" w:rsidRPr="00401C70" w:rsidRDefault="00677B7E" w:rsidP="00FA2590">
            <w:pPr>
              <w:kinsoku w:val="0"/>
              <w:overflowPunct w:val="0"/>
              <w:autoSpaceDE w:val="0"/>
              <w:autoSpaceDN w:val="0"/>
              <w:adjustRightInd w:val="0"/>
              <w:spacing w:line="293" w:lineRule="exact"/>
              <w:ind w:left="287" w:right="279"/>
              <w:jc w:val="both"/>
              <w:rPr>
                <w:rFonts w:ascii="Abadi" w:hAnsi="Abadi" w:cs="Calibri"/>
                <w:b/>
                <w:bCs/>
                <w:sz w:val="21"/>
                <w:szCs w:val="21"/>
              </w:rPr>
            </w:pPr>
            <w:r w:rsidRPr="00401C70">
              <w:rPr>
                <w:rFonts w:ascii="Abadi" w:hAnsi="Abadi" w:cs="Calibri"/>
                <w:b/>
                <w:bCs/>
                <w:sz w:val="21"/>
                <w:szCs w:val="21"/>
              </w:rPr>
              <w:t>LEY ORGÁNICA DEL</w:t>
            </w:r>
            <w:r w:rsidRPr="00401C70">
              <w:rPr>
                <w:rFonts w:ascii="Abadi" w:hAnsi="Abadi" w:cs="Calibri"/>
                <w:b/>
                <w:bCs/>
                <w:spacing w:val="-1"/>
                <w:sz w:val="21"/>
                <w:szCs w:val="21"/>
              </w:rPr>
              <w:t xml:space="preserve"> </w:t>
            </w:r>
            <w:r w:rsidRPr="00401C70">
              <w:rPr>
                <w:rFonts w:ascii="Abadi" w:hAnsi="Abadi" w:cs="Calibri"/>
                <w:b/>
                <w:bCs/>
                <w:sz w:val="21"/>
                <w:szCs w:val="21"/>
              </w:rPr>
              <w:t>PODER</w:t>
            </w:r>
            <w:r w:rsidRPr="00401C70">
              <w:rPr>
                <w:rFonts w:ascii="Abadi" w:hAnsi="Abadi" w:cs="Calibri"/>
                <w:b/>
                <w:bCs/>
                <w:spacing w:val="-1"/>
                <w:sz w:val="21"/>
                <w:szCs w:val="21"/>
              </w:rPr>
              <w:t xml:space="preserve"> </w:t>
            </w:r>
            <w:r w:rsidRPr="00401C70">
              <w:rPr>
                <w:rFonts w:ascii="Abadi" w:hAnsi="Abadi" w:cs="Calibri"/>
                <w:b/>
                <w:bCs/>
                <w:sz w:val="21"/>
                <w:szCs w:val="21"/>
              </w:rPr>
              <w:t>EJECUTIVO</w:t>
            </w:r>
          </w:p>
          <w:p w14:paraId="1C4A87FC" w14:textId="77777777" w:rsidR="00677B7E" w:rsidRPr="00401C70" w:rsidRDefault="00677B7E" w:rsidP="00FA2590">
            <w:pPr>
              <w:kinsoku w:val="0"/>
              <w:overflowPunct w:val="0"/>
              <w:autoSpaceDE w:val="0"/>
              <w:autoSpaceDN w:val="0"/>
              <w:adjustRightInd w:val="0"/>
              <w:spacing w:line="290" w:lineRule="atLeast"/>
              <w:ind w:left="287" w:right="278"/>
              <w:jc w:val="both"/>
              <w:rPr>
                <w:rFonts w:ascii="Abadi" w:hAnsi="Abadi" w:cs="Calibri"/>
                <w:b/>
                <w:bCs/>
                <w:sz w:val="21"/>
                <w:szCs w:val="21"/>
              </w:rPr>
            </w:pPr>
            <w:r w:rsidRPr="00401C70">
              <w:rPr>
                <w:rFonts w:ascii="Abadi" w:hAnsi="Abadi" w:cs="Calibri"/>
                <w:b/>
                <w:bCs/>
                <w:sz w:val="21"/>
                <w:szCs w:val="21"/>
              </w:rPr>
              <w:t>PARA</w:t>
            </w:r>
            <w:r w:rsidRPr="00401C70">
              <w:rPr>
                <w:rFonts w:ascii="Abadi" w:hAnsi="Abadi" w:cs="Calibri"/>
                <w:b/>
                <w:bCs/>
                <w:spacing w:val="-3"/>
                <w:sz w:val="21"/>
                <w:szCs w:val="21"/>
              </w:rPr>
              <w:t xml:space="preserve"> </w:t>
            </w:r>
            <w:r w:rsidRPr="00401C70">
              <w:rPr>
                <w:rFonts w:ascii="Abadi" w:hAnsi="Abadi" w:cs="Calibri"/>
                <w:b/>
                <w:bCs/>
                <w:sz w:val="21"/>
                <w:szCs w:val="21"/>
              </w:rPr>
              <w:t>EL</w:t>
            </w:r>
            <w:r w:rsidRPr="00401C70">
              <w:rPr>
                <w:rFonts w:ascii="Abadi" w:hAnsi="Abadi" w:cs="Calibri"/>
                <w:b/>
                <w:bCs/>
                <w:spacing w:val="-3"/>
                <w:sz w:val="21"/>
                <w:szCs w:val="21"/>
              </w:rPr>
              <w:t xml:space="preserve"> </w:t>
            </w:r>
            <w:r w:rsidRPr="00401C70">
              <w:rPr>
                <w:rFonts w:ascii="Abadi" w:hAnsi="Abadi" w:cs="Calibri"/>
                <w:b/>
                <w:bCs/>
                <w:sz w:val="21"/>
                <w:szCs w:val="21"/>
              </w:rPr>
              <w:t>ESTADO</w:t>
            </w:r>
            <w:r w:rsidRPr="00401C70">
              <w:rPr>
                <w:rFonts w:ascii="Abadi" w:hAnsi="Abadi" w:cs="Calibri"/>
                <w:b/>
                <w:bCs/>
                <w:spacing w:val="-4"/>
                <w:sz w:val="21"/>
                <w:szCs w:val="21"/>
              </w:rPr>
              <w:t xml:space="preserve"> </w:t>
            </w:r>
            <w:r w:rsidRPr="00401C70">
              <w:rPr>
                <w:rFonts w:ascii="Abadi" w:hAnsi="Abadi" w:cs="Calibri"/>
                <w:b/>
                <w:bCs/>
                <w:sz w:val="21"/>
                <w:szCs w:val="21"/>
              </w:rPr>
              <w:t>DE</w:t>
            </w:r>
            <w:r w:rsidRPr="00401C70">
              <w:rPr>
                <w:rFonts w:ascii="Abadi" w:hAnsi="Abadi" w:cs="Calibri"/>
                <w:b/>
                <w:bCs/>
                <w:spacing w:val="-3"/>
                <w:sz w:val="21"/>
                <w:szCs w:val="21"/>
              </w:rPr>
              <w:t xml:space="preserve"> </w:t>
            </w:r>
            <w:r w:rsidRPr="00401C70">
              <w:rPr>
                <w:rFonts w:ascii="Abadi" w:hAnsi="Abadi" w:cs="Calibri"/>
                <w:b/>
                <w:bCs/>
                <w:sz w:val="21"/>
                <w:szCs w:val="21"/>
              </w:rPr>
              <w:t>GUANAJUATO</w:t>
            </w:r>
            <w:r w:rsidRPr="00401C70">
              <w:rPr>
                <w:rFonts w:ascii="Abadi" w:hAnsi="Abadi" w:cs="Calibri"/>
                <w:b/>
                <w:bCs/>
                <w:spacing w:val="-51"/>
                <w:sz w:val="21"/>
                <w:szCs w:val="21"/>
              </w:rPr>
              <w:t xml:space="preserve"> </w:t>
            </w:r>
            <w:r w:rsidRPr="00401C70">
              <w:rPr>
                <w:rFonts w:ascii="Abadi" w:hAnsi="Abadi" w:cs="Calibri"/>
                <w:b/>
                <w:bCs/>
                <w:sz w:val="21"/>
                <w:szCs w:val="21"/>
              </w:rPr>
              <w:t>(VIGENTE)</w:t>
            </w:r>
          </w:p>
        </w:tc>
        <w:tc>
          <w:tcPr>
            <w:tcW w:w="2480" w:type="dxa"/>
            <w:tcBorders>
              <w:top w:val="single" w:sz="4" w:space="0" w:color="000000"/>
              <w:left w:val="single" w:sz="4" w:space="0" w:color="000000"/>
              <w:bottom w:val="single" w:sz="4" w:space="0" w:color="000000"/>
              <w:right w:val="single" w:sz="4" w:space="0" w:color="000000"/>
            </w:tcBorders>
            <w:shd w:val="clear" w:color="auto" w:fill="D9D9D9"/>
          </w:tcPr>
          <w:p w14:paraId="724F7EF3" w14:textId="77777777" w:rsidR="00677B7E" w:rsidRPr="00401C70" w:rsidRDefault="00677B7E" w:rsidP="00FA2590">
            <w:pPr>
              <w:kinsoku w:val="0"/>
              <w:overflowPunct w:val="0"/>
              <w:autoSpaceDE w:val="0"/>
              <w:autoSpaceDN w:val="0"/>
              <w:adjustRightInd w:val="0"/>
              <w:spacing w:line="293" w:lineRule="exact"/>
              <w:ind w:left="287" w:right="279"/>
              <w:jc w:val="both"/>
              <w:rPr>
                <w:rFonts w:ascii="Abadi" w:hAnsi="Abadi" w:cs="Calibri"/>
                <w:b/>
                <w:bCs/>
                <w:sz w:val="21"/>
                <w:szCs w:val="21"/>
              </w:rPr>
            </w:pPr>
            <w:r w:rsidRPr="00401C70">
              <w:rPr>
                <w:rFonts w:ascii="Abadi" w:hAnsi="Abadi" w:cs="Calibri"/>
                <w:b/>
                <w:bCs/>
                <w:sz w:val="21"/>
                <w:szCs w:val="21"/>
              </w:rPr>
              <w:t>LEY ORGÁNICA DEL</w:t>
            </w:r>
            <w:r w:rsidRPr="00401C70">
              <w:rPr>
                <w:rFonts w:ascii="Abadi" w:hAnsi="Abadi" w:cs="Calibri"/>
                <w:b/>
                <w:bCs/>
                <w:spacing w:val="-1"/>
                <w:sz w:val="21"/>
                <w:szCs w:val="21"/>
              </w:rPr>
              <w:t xml:space="preserve"> </w:t>
            </w:r>
            <w:r w:rsidRPr="00401C70">
              <w:rPr>
                <w:rFonts w:ascii="Abadi" w:hAnsi="Abadi" w:cs="Calibri"/>
                <w:b/>
                <w:bCs/>
                <w:sz w:val="21"/>
                <w:szCs w:val="21"/>
              </w:rPr>
              <w:t>PODER</w:t>
            </w:r>
            <w:r w:rsidRPr="00401C70">
              <w:rPr>
                <w:rFonts w:ascii="Abadi" w:hAnsi="Abadi" w:cs="Calibri"/>
                <w:b/>
                <w:bCs/>
                <w:spacing w:val="-1"/>
                <w:sz w:val="21"/>
                <w:szCs w:val="21"/>
              </w:rPr>
              <w:t xml:space="preserve"> </w:t>
            </w:r>
            <w:r w:rsidRPr="00401C70">
              <w:rPr>
                <w:rFonts w:ascii="Abadi" w:hAnsi="Abadi" w:cs="Calibri"/>
                <w:b/>
                <w:bCs/>
                <w:sz w:val="21"/>
                <w:szCs w:val="21"/>
              </w:rPr>
              <w:t>EJECUTIVO</w:t>
            </w:r>
          </w:p>
          <w:p w14:paraId="6EC6258A" w14:textId="77777777" w:rsidR="00677B7E" w:rsidRPr="00401C70" w:rsidRDefault="00677B7E" w:rsidP="00FA2590">
            <w:pPr>
              <w:kinsoku w:val="0"/>
              <w:overflowPunct w:val="0"/>
              <w:autoSpaceDE w:val="0"/>
              <w:autoSpaceDN w:val="0"/>
              <w:adjustRightInd w:val="0"/>
              <w:spacing w:line="290" w:lineRule="atLeast"/>
              <w:ind w:left="287" w:right="276"/>
              <w:jc w:val="both"/>
              <w:rPr>
                <w:rFonts w:ascii="Abadi" w:hAnsi="Abadi" w:cs="Calibri"/>
                <w:b/>
                <w:bCs/>
                <w:sz w:val="21"/>
                <w:szCs w:val="21"/>
              </w:rPr>
            </w:pPr>
            <w:r w:rsidRPr="00401C70">
              <w:rPr>
                <w:rFonts w:ascii="Abadi" w:hAnsi="Abadi" w:cs="Calibri"/>
                <w:b/>
                <w:bCs/>
                <w:sz w:val="21"/>
                <w:szCs w:val="21"/>
              </w:rPr>
              <w:t>PARA</w:t>
            </w:r>
            <w:r w:rsidRPr="00401C70">
              <w:rPr>
                <w:rFonts w:ascii="Abadi" w:hAnsi="Abadi" w:cs="Calibri"/>
                <w:b/>
                <w:bCs/>
                <w:spacing w:val="-3"/>
                <w:sz w:val="21"/>
                <w:szCs w:val="21"/>
              </w:rPr>
              <w:t xml:space="preserve"> </w:t>
            </w:r>
            <w:r w:rsidRPr="00401C70">
              <w:rPr>
                <w:rFonts w:ascii="Abadi" w:hAnsi="Abadi" w:cs="Calibri"/>
                <w:b/>
                <w:bCs/>
                <w:sz w:val="21"/>
                <w:szCs w:val="21"/>
              </w:rPr>
              <w:t>EL</w:t>
            </w:r>
            <w:r w:rsidRPr="00401C70">
              <w:rPr>
                <w:rFonts w:ascii="Abadi" w:hAnsi="Abadi" w:cs="Calibri"/>
                <w:b/>
                <w:bCs/>
                <w:spacing w:val="-3"/>
                <w:sz w:val="21"/>
                <w:szCs w:val="21"/>
              </w:rPr>
              <w:t xml:space="preserve"> </w:t>
            </w:r>
            <w:r w:rsidRPr="00401C70">
              <w:rPr>
                <w:rFonts w:ascii="Abadi" w:hAnsi="Abadi" w:cs="Calibri"/>
                <w:b/>
                <w:bCs/>
                <w:sz w:val="21"/>
                <w:szCs w:val="21"/>
              </w:rPr>
              <w:t>ESTADO</w:t>
            </w:r>
            <w:r w:rsidRPr="00401C70">
              <w:rPr>
                <w:rFonts w:ascii="Abadi" w:hAnsi="Abadi" w:cs="Calibri"/>
                <w:b/>
                <w:bCs/>
                <w:spacing w:val="-4"/>
                <w:sz w:val="21"/>
                <w:szCs w:val="21"/>
              </w:rPr>
              <w:t xml:space="preserve"> </w:t>
            </w:r>
            <w:r w:rsidRPr="00401C70">
              <w:rPr>
                <w:rFonts w:ascii="Abadi" w:hAnsi="Abadi" w:cs="Calibri"/>
                <w:b/>
                <w:bCs/>
                <w:sz w:val="21"/>
                <w:szCs w:val="21"/>
              </w:rPr>
              <w:t>DE</w:t>
            </w:r>
            <w:r w:rsidRPr="00401C70">
              <w:rPr>
                <w:rFonts w:ascii="Abadi" w:hAnsi="Abadi" w:cs="Calibri"/>
                <w:b/>
                <w:bCs/>
                <w:spacing w:val="-3"/>
                <w:sz w:val="21"/>
                <w:szCs w:val="21"/>
              </w:rPr>
              <w:t xml:space="preserve"> </w:t>
            </w:r>
            <w:r w:rsidRPr="00401C70">
              <w:rPr>
                <w:rFonts w:ascii="Abadi" w:hAnsi="Abadi" w:cs="Calibri"/>
                <w:b/>
                <w:bCs/>
                <w:sz w:val="21"/>
                <w:szCs w:val="21"/>
              </w:rPr>
              <w:t>GUANAJUATO</w:t>
            </w:r>
            <w:r w:rsidRPr="00401C70">
              <w:rPr>
                <w:rFonts w:ascii="Abadi" w:hAnsi="Abadi" w:cs="Calibri"/>
                <w:b/>
                <w:bCs/>
                <w:spacing w:val="-51"/>
                <w:sz w:val="21"/>
                <w:szCs w:val="21"/>
              </w:rPr>
              <w:t xml:space="preserve"> </w:t>
            </w:r>
            <w:r w:rsidRPr="00401C70">
              <w:rPr>
                <w:rFonts w:ascii="Abadi" w:hAnsi="Abadi" w:cs="Calibri"/>
                <w:b/>
                <w:bCs/>
                <w:sz w:val="21"/>
                <w:szCs w:val="21"/>
              </w:rPr>
              <w:t>(PROPUESTA INICIATIVA)</w:t>
            </w:r>
          </w:p>
        </w:tc>
      </w:tr>
      <w:tr w:rsidR="00677B7E" w:rsidRPr="00401C70" w14:paraId="4C5B4656" w14:textId="77777777" w:rsidTr="003343AD">
        <w:trPr>
          <w:trHeight w:val="1226"/>
        </w:trPr>
        <w:tc>
          <w:tcPr>
            <w:tcW w:w="2051" w:type="dxa"/>
            <w:tcBorders>
              <w:top w:val="single" w:sz="4" w:space="0" w:color="000000"/>
              <w:left w:val="single" w:sz="4" w:space="0" w:color="000000"/>
              <w:bottom w:val="none" w:sz="6" w:space="0" w:color="auto"/>
              <w:right w:val="single" w:sz="4" w:space="0" w:color="000000"/>
            </w:tcBorders>
          </w:tcPr>
          <w:p w14:paraId="4FDAE85B" w14:textId="77777777" w:rsidR="00677B7E" w:rsidRPr="00401C70" w:rsidRDefault="00677B7E" w:rsidP="00FA2590">
            <w:pPr>
              <w:kinsoku w:val="0"/>
              <w:overflowPunct w:val="0"/>
              <w:autoSpaceDE w:val="0"/>
              <w:autoSpaceDN w:val="0"/>
              <w:adjustRightInd w:val="0"/>
              <w:ind w:left="107" w:right="93"/>
              <w:jc w:val="both"/>
              <w:rPr>
                <w:rFonts w:ascii="Abadi" w:hAnsi="Abadi" w:cs="Calibri"/>
                <w:sz w:val="21"/>
                <w:szCs w:val="21"/>
              </w:rPr>
            </w:pPr>
            <w:r w:rsidRPr="00401C70">
              <w:rPr>
                <w:rFonts w:ascii="Abadi" w:hAnsi="Abadi" w:cs="Calibri"/>
                <w:b/>
                <w:bCs/>
                <w:sz w:val="21"/>
                <w:szCs w:val="21"/>
              </w:rPr>
              <w:t xml:space="preserve">Artículo 3o.- </w:t>
            </w:r>
            <w:r w:rsidRPr="00401C70">
              <w:rPr>
                <w:rFonts w:ascii="Abadi" w:hAnsi="Abadi" w:cs="Calibri"/>
                <w:sz w:val="21"/>
                <w:szCs w:val="21"/>
              </w:rPr>
              <w:t>Para el despacho de los asuntos</w:t>
            </w:r>
            <w:r w:rsidRPr="00401C70">
              <w:rPr>
                <w:rFonts w:ascii="Abadi" w:hAnsi="Abadi" w:cs="Calibri"/>
                <w:spacing w:val="1"/>
                <w:sz w:val="21"/>
                <w:szCs w:val="21"/>
              </w:rPr>
              <w:t xml:space="preserve"> </w:t>
            </w:r>
            <w:r w:rsidRPr="00401C70">
              <w:rPr>
                <w:rFonts w:ascii="Abadi" w:hAnsi="Abadi" w:cs="Calibri"/>
                <w:sz w:val="21"/>
                <w:szCs w:val="21"/>
              </w:rPr>
              <w:t>que competen al Poder Ejecutivo del Estado, la</w:t>
            </w:r>
            <w:r w:rsidRPr="00401C70">
              <w:rPr>
                <w:rFonts w:ascii="Abadi" w:hAnsi="Abadi" w:cs="Calibri"/>
                <w:spacing w:val="-47"/>
                <w:sz w:val="21"/>
                <w:szCs w:val="21"/>
              </w:rPr>
              <w:t xml:space="preserve"> </w:t>
            </w:r>
            <w:r w:rsidRPr="00401C70">
              <w:rPr>
                <w:rFonts w:ascii="Abadi" w:hAnsi="Abadi" w:cs="Calibri"/>
                <w:sz w:val="21"/>
                <w:szCs w:val="21"/>
              </w:rPr>
              <w:t>Administración</w:t>
            </w:r>
            <w:r w:rsidRPr="00401C70">
              <w:rPr>
                <w:rFonts w:ascii="Abadi" w:hAnsi="Abadi" w:cs="Calibri"/>
                <w:spacing w:val="1"/>
                <w:sz w:val="21"/>
                <w:szCs w:val="21"/>
              </w:rPr>
              <w:t xml:space="preserve"> </w:t>
            </w:r>
            <w:r w:rsidRPr="00401C70">
              <w:rPr>
                <w:rFonts w:ascii="Abadi" w:hAnsi="Abadi" w:cs="Calibri"/>
                <w:sz w:val="21"/>
                <w:szCs w:val="21"/>
              </w:rPr>
              <w:t>Pública</w:t>
            </w:r>
            <w:r w:rsidRPr="00401C70">
              <w:rPr>
                <w:rFonts w:ascii="Abadi" w:hAnsi="Abadi" w:cs="Calibri"/>
                <w:spacing w:val="1"/>
                <w:sz w:val="21"/>
                <w:szCs w:val="21"/>
              </w:rPr>
              <w:t xml:space="preserve"> </w:t>
            </w:r>
            <w:r w:rsidRPr="00401C70">
              <w:rPr>
                <w:rFonts w:ascii="Abadi" w:hAnsi="Abadi" w:cs="Calibri"/>
                <w:sz w:val="21"/>
                <w:szCs w:val="21"/>
              </w:rPr>
              <w:t>se</w:t>
            </w:r>
            <w:r w:rsidRPr="00401C70">
              <w:rPr>
                <w:rFonts w:ascii="Abadi" w:hAnsi="Abadi" w:cs="Calibri"/>
                <w:spacing w:val="1"/>
                <w:sz w:val="21"/>
                <w:szCs w:val="21"/>
              </w:rPr>
              <w:t xml:space="preserve"> </w:t>
            </w:r>
            <w:r w:rsidRPr="00401C70">
              <w:rPr>
                <w:rFonts w:ascii="Abadi" w:hAnsi="Abadi" w:cs="Calibri"/>
                <w:sz w:val="21"/>
                <w:szCs w:val="21"/>
              </w:rPr>
              <w:t>divide</w:t>
            </w:r>
            <w:r w:rsidRPr="00401C70">
              <w:rPr>
                <w:rFonts w:ascii="Abadi" w:hAnsi="Abadi" w:cs="Calibri"/>
                <w:spacing w:val="1"/>
                <w:sz w:val="21"/>
                <w:szCs w:val="21"/>
              </w:rPr>
              <w:t xml:space="preserve"> </w:t>
            </w:r>
            <w:r w:rsidRPr="00401C70">
              <w:rPr>
                <w:rFonts w:ascii="Abadi" w:hAnsi="Abadi" w:cs="Calibri"/>
                <w:sz w:val="21"/>
                <w:szCs w:val="21"/>
              </w:rPr>
              <w:t>en</w:t>
            </w:r>
            <w:r w:rsidRPr="00401C70">
              <w:rPr>
                <w:rFonts w:ascii="Abadi" w:hAnsi="Abadi" w:cs="Calibri"/>
                <w:spacing w:val="1"/>
                <w:sz w:val="21"/>
                <w:szCs w:val="21"/>
              </w:rPr>
              <w:t xml:space="preserve"> </w:t>
            </w:r>
            <w:r w:rsidRPr="00401C70">
              <w:rPr>
                <w:rFonts w:ascii="Abadi" w:hAnsi="Abadi" w:cs="Calibri"/>
                <w:sz w:val="21"/>
                <w:szCs w:val="21"/>
              </w:rPr>
              <w:t>Centralizada</w:t>
            </w:r>
            <w:r w:rsidRPr="00401C70">
              <w:rPr>
                <w:rFonts w:ascii="Abadi" w:hAnsi="Abadi" w:cs="Calibri"/>
                <w:spacing w:val="-1"/>
                <w:sz w:val="21"/>
                <w:szCs w:val="21"/>
              </w:rPr>
              <w:t xml:space="preserve"> </w:t>
            </w:r>
            <w:r w:rsidRPr="00401C70">
              <w:rPr>
                <w:rFonts w:ascii="Abadi" w:hAnsi="Abadi" w:cs="Calibri"/>
                <w:sz w:val="21"/>
                <w:szCs w:val="21"/>
              </w:rPr>
              <w:t>y</w:t>
            </w:r>
            <w:r w:rsidRPr="00401C70">
              <w:rPr>
                <w:rFonts w:ascii="Abadi" w:hAnsi="Abadi" w:cs="Calibri"/>
                <w:spacing w:val="-2"/>
                <w:sz w:val="21"/>
                <w:szCs w:val="21"/>
              </w:rPr>
              <w:t xml:space="preserve"> </w:t>
            </w:r>
            <w:r w:rsidRPr="00401C70">
              <w:rPr>
                <w:rFonts w:ascii="Abadi" w:hAnsi="Abadi" w:cs="Calibri"/>
                <w:sz w:val="21"/>
                <w:szCs w:val="21"/>
              </w:rPr>
              <w:t>Paraestatal.</w:t>
            </w:r>
          </w:p>
        </w:tc>
        <w:tc>
          <w:tcPr>
            <w:tcW w:w="2480" w:type="dxa"/>
            <w:tcBorders>
              <w:top w:val="single" w:sz="4" w:space="0" w:color="000000"/>
              <w:left w:val="single" w:sz="4" w:space="0" w:color="000000"/>
              <w:bottom w:val="none" w:sz="6" w:space="0" w:color="auto"/>
              <w:right w:val="single" w:sz="4" w:space="0" w:color="000000"/>
            </w:tcBorders>
          </w:tcPr>
          <w:p w14:paraId="1C10D22A" w14:textId="77777777" w:rsidR="00677B7E" w:rsidRPr="00401C70" w:rsidRDefault="00677B7E" w:rsidP="00FA2590">
            <w:pPr>
              <w:kinsoku w:val="0"/>
              <w:overflowPunct w:val="0"/>
              <w:autoSpaceDE w:val="0"/>
              <w:autoSpaceDN w:val="0"/>
              <w:adjustRightInd w:val="0"/>
              <w:ind w:left="107" w:right="93"/>
              <w:jc w:val="both"/>
              <w:rPr>
                <w:rFonts w:ascii="Abadi" w:hAnsi="Abadi" w:cs="Calibri"/>
                <w:sz w:val="21"/>
                <w:szCs w:val="21"/>
              </w:rPr>
            </w:pPr>
            <w:r w:rsidRPr="00401C70">
              <w:rPr>
                <w:rFonts w:ascii="Abadi" w:hAnsi="Abadi" w:cs="Calibri"/>
                <w:b/>
                <w:bCs/>
                <w:sz w:val="21"/>
                <w:szCs w:val="21"/>
              </w:rPr>
              <w:t xml:space="preserve">Artículo 3o.- </w:t>
            </w:r>
            <w:r w:rsidRPr="00401C70">
              <w:rPr>
                <w:rFonts w:ascii="Abadi" w:hAnsi="Abadi" w:cs="Calibri"/>
                <w:sz w:val="21"/>
                <w:szCs w:val="21"/>
              </w:rPr>
              <w:t>Para el despacho de los asuntos</w:t>
            </w:r>
            <w:r w:rsidRPr="00401C70">
              <w:rPr>
                <w:rFonts w:ascii="Abadi" w:hAnsi="Abadi" w:cs="Calibri"/>
                <w:spacing w:val="1"/>
                <w:sz w:val="21"/>
                <w:szCs w:val="21"/>
              </w:rPr>
              <w:t xml:space="preserve"> </w:t>
            </w:r>
            <w:r w:rsidRPr="00401C70">
              <w:rPr>
                <w:rFonts w:ascii="Abadi" w:hAnsi="Abadi" w:cs="Calibri"/>
                <w:sz w:val="21"/>
                <w:szCs w:val="21"/>
              </w:rPr>
              <w:t>que competen al Poder Ejecutivo del Estado, la</w:t>
            </w:r>
            <w:r w:rsidRPr="00401C70">
              <w:rPr>
                <w:rFonts w:ascii="Abadi" w:hAnsi="Abadi" w:cs="Calibri"/>
                <w:spacing w:val="-47"/>
                <w:sz w:val="21"/>
                <w:szCs w:val="21"/>
              </w:rPr>
              <w:t xml:space="preserve"> </w:t>
            </w:r>
            <w:r w:rsidRPr="00401C70">
              <w:rPr>
                <w:rFonts w:ascii="Abadi" w:hAnsi="Abadi" w:cs="Calibri"/>
                <w:sz w:val="21"/>
                <w:szCs w:val="21"/>
              </w:rPr>
              <w:t>Administración</w:t>
            </w:r>
            <w:r w:rsidRPr="00401C70">
              <w:rPr>
                <w:rFonts w:ascii="Abadi" w:hAnsi="Abadi" w:cs="Calibri"/>
                <w:spacing w:val="1"/>
                <w:sz w:val="21"/>
                <w:szCs w:val="21"/>
              </w:rPr>
              <w:t xml:space="preserve"> </w:t>
            </w:r>
            <w:r w:rsidRPr="00401C70">
              <w:rPr>
                <w:rFonts w:ascii="Abadi" w:hAnsi="Abadi" w:cs="Calibri"/>
                <w:sz w:val="21"/>
                <w:szCs w:val="21"/>
              </w:rPr>
              <w:t>Pública</w:t>
            </w:r>
            <w:r w:rsidRPr="00401C70">
              <w:rPr>
                <w:rFonts w:ascii="Abadi" w:hAnsi="Abadi" w:cs="Calibri"/>
                <w:spacing w:val="1"/>
                <w:sz w:val="21"/>
                <w:szCs w:val="21"/>
              </w:rPr>
              <w:t xml:space="preserve"> </w:t>
            </w:r>
            <w:r w:rsidRPr="00401C70">
              <w:rPr>
                <w:rFonts w:ascii="Abadi" w:hAnsi="Abadi" w:cs="Calibri"/>
                <w:sz w:val="21"/>
                <w:szCs w:val="21"/>
              </w:rPr>
              <w:t>se</w:t>
            </w:r>
            <w:r w:rsidRPr="00401C70">
              <w:rPr>
                <w:rFonts w:ascii="Abadi" w:hAnsi="Abadi" w:cs="Calibri"/>
                <w:spacing w:val="1"/>
                <w:sz w:val="21"/>
                <w:szCs w:val="21"/>
              </w:rPr>
              <w:t xml:space="preserve"> </w:t>
            </w:r>
            <w:r w:rsidRPr="00401C70">
              <w:rPr>
                <w:rFonts w:ascii="Abadi" w:hAnsi="Abadi" w:cs="Calibri"/>
                <w:sz w:val="21"/>
                <w:szCs w:val="21"/>
              </w:rPr>
              <w:t>divide</w:t>
            </w:r>
            <w:r w:rsidRPr="00401C70">
              <w:rPr>
                <w:rFonts w:ascii="Abadi" w:hAnsi="Abadi" w:cs="Calibri"/>
                <w:spacing w:val="1"/>
                <w:sz w:val="21"/>
                <w:szCs w:val="21"/>
              </w:rPr>
              <w:t xml:space="preserve"> </w:t>
            </w:r>
            <w:r w:rsidRPr="00401C70">
              <w:rPr>
                <w:rFonts w:ascii="Abadi" w:hAnsi="Abadi" w:cs="Calibri"/>
                <w:sz w:val="21"/>
                <w:szCs w:val="21"/>
              </w:rPr>
              <w:t>en</w:t>
            </w:r>
            <w:r w:rsidRPr="00401C70">
              <w:rPr>
                <w:rFonts w:ascii="Abadi" w:hAnsi="Abadi" w:cs="Calibri"/>
                <w:spacing w:val="1"/>
                <w:sz w:val="21"/>
                <w:szCs w:val="21"/>
              </w:rPr>
              <w:t xml:space="preserve"> </w:t>
            </w:r>
            <w:r w:rsidRPr="00401C70">
              <w:rPr>
                <w:rFonts w:ascii="Abadi" w:hAnsi="Abadi" w:cs="Calibri"/>
                <w:sz w:val="21"/>
                <w:szCs w:val="21"/>
              </w:rPr>
              <w:t>Centralizada</w:t>
            </w:r>
            <w:r w:rsidRPr="00401C70">
              <w:rPr>
                <w:rFonts w:ascii="Abadi" w:hAnsi="Abadi" w:cs="Calibri"/>
                <w:spacing w:val="-1"/>
                <w:sz w:val="21"/>
                <w:szCs w:val="21"/>
              </w:rPr>
              <w:t xml:space="preserve"> </w:t>
            </w:r>
            <w:r w:rsidRPr="00401C70">
              <w:rPr>
                <w:rFonts w:ascii="Abadi" w:hAnsi="Abadi" w:cs="Calibri"/>
                <w:sz w:val="21"/>
                <w:szCs w:val="21"/>
              </w:rPr>
              <w:t>y</w:t>
            </w:r>
            <w:r w:rsidRPr="00401C70">
              <w:rPr>
                <w:rFonts w:ascii="Abadi" w:hAnsi="Abadi" w:cs="Calibri"/>
                <w:spacing w:val="-2"/>
                <w:sz w:val="21"/>
                <w:szCs w:val="21"/>
              </w:rPr>
              <w:t xml:space="preserve"> </w:t>
            </w:r>
            <w:r w:rsidRPr="00401C70">
              <w:rPr>
                <w:rFonts w:ascii="Abadi" w:hAnsi="Abadi" w:cs="Calibri"/>
                <w:sz w:val="21"/>
                <w:szCs w:val="21"/>
              </w:rPr>
              <w:t>Paraestatal.</w:t>
            </w:r>
          </w:p>
        </w:tc>
      </w:tr>
      <w:tr w:rsidR="00677B7E" w:rsidRPr="00401C70" w14:paraId="7E3280C8" w14:textId="77777777" w:rsidTr="003343AD">
        <w:trPr>
          <w:trHeight w:val="1075"/>
        </w:trPr>
        <w:tc>
          <w:tcPr>
            <w:tcW w:w="2051" w:type="dxa"/>
            <w:tcBorders>
              <w:top w:val="none" w:sz="6" w:space="0" w:color="auto"/>
              <w:left w:val="single" w:sz="4" w:space="0" w:color="000000"/>
              <w:bottom w:val="none" w:sz="6" w:space="0" w:color="auto"/>
              <w:right w:val="single" w:sz="4" w:space="0" w:color="000000"/>
            </w:tcBorders>
          </w:tcPr>
          <w:p w14:paraId="64A62A1B" w14:textId="77777777" w:rsidR="00677B7E" w:rsidRPr="00401C70" w:rsidRDefault="00677B7E" w:rsidP="00FA2590">
            <w:pPr>
              <w:kinsoku w:val="0"/>
              <w:overflowPunct w:val="0"/>
              <w:autoSpaceDE w:val="0"/>
              <w:autoSpaceDN w:val="0"/>
              <w:adjustRightInd w:val="0"/>
              <w:spacing w:before="114"/>
              <w:ind w:left="107" w:right="94"/>
              <w:jc w:val="both"/>
              <w:rPr>
                <w:rFonts w:ascii="Abadi" w:hAnsi="Abadi" w:cs="Calibri"/>
                <w:sz w:val="21"/>
                <w:szCs w:val="21"/>
              </w:rPr>
            </w:pPr>
            <w:r w:rsidRPr="00401C70">
              <w:rPr>
                <w:rFonts w:ascii="Abadi" w:hAnsi="Abadi" w:cs="Calibri"/>
                <w:sz w:val="21"/>
                <w:szCs w:val="21"/>
              </w:rPr>
              <w:t>La Administración Pública Centralizada estará</w:t>
            </w:r>
            <w:r w:rsidRPr="00401C70">
              <w:rPr>
                <w:rFonts w:ascii="Abadi" w:hAnsi="Abadi" w:cs="Calibri"/>
                <w:spacing w:val="1"/>
                <w:sz w:val="21"/>
                <w:szCs w:val="21"/>
              </w:rPr>
              <w:t xml:space="preserve"> </w:t>
            </w:r>
            <w:r w:rsidRPr="00401C70">
              <w:rPr>
                <w:rFonts w:ascii="Abadi" w:hAnsi="Abadi" w:cs="Calibri"/>
                <w:spacing w:val="-1"/>
                <w:sz w:val="21"/>
                <w:szCs w:val="21"/>
              </w:rPr>
              <w:t>integrada</w:t>
            </w:r>
            <w:r w:rsidRPr="00401C70">
              <w:rPr>
                <w:rFonts w:ascii="Abadi" w:hAnsi="Abadi" w:cs="Calibri"/>
                <w:spacing w:val="-10"/>
                <w:sz w:val="21"/>
                <w:szCs w:val="21"/>
              </w:rPr>
              <w:t xml:space="preserve"> </w:t>
            </w:r>
            <w:r w:rsidRPr="00401C70">
              <w:rPr>
                <w:rFonts w:ascii="Abadi" w:hAnsi="Abadi" w:cs="Calibri"/>
                <w:sz w:val="21"/>
                <w:szCs w:val="21"/>
              </w:rPr>
              <w:t>por</w:t>
            </w:r>
            <w:r w:rsidRPr="00401C70">
              <w:rPr>
                <w:rFonts w:ascii="Abadi" w:hAnsi="Abadi" w:cs="Calibri"/>
                <w:spacing w:val="-12"/>
                <w:sz w:val="21"/>
                <w:szCs w:val="21"/>
              </w:rPr>
              <w:t xml:space="preserve"> </w:t>
            </w:r>
            <w:r w:rsidRPr="00401C70">
              <w:rPr>
                <w:rFonts w:ascii="Abadi" w:hAnsi="Abadi" w:cs="Calibri"/>
                <w:sz w:val="21"/>
                <w:szCs w:val="21"/>
              </w:rPr>
              <w:t>las</w:t>
            </w:r>
            <w:r w:rsidRPr="00401C70">
              <w:rPr>
                <w:rFonts w:ascii="Abadi" w:hAnsi="Abadi" w:cs="Calibri"/>
                <w:spacing w:val="-12"/>
                <w:sz w:val="21"/>
                <w:szCs w:val="21"/>
              </w:rPr>
              <w:t xml:space="preserve"> </w:t>
            </w:r>
            <w:r w:rsidRPr="00401C70">
              <w:rPr>
                <w:rFonts w:ascii="Abadi" w:hAnsi="Abadi" w:cs="Calibri"/>
                <w:sz w:val="21"/>
                <w:szCs w:val="21"/>
              </w:rPr>
              <w:t>Secretarías</w:t>
            </w:r>
            <w:r w:rsidRPr="00401C70">
              <w:rPr>
                <w:rFonts w:ascii="Abadi" w:hAnsi="Abadi" w:cs="Calibri"/>
                <w:spacing w:val="-9"/>
                <w:sz w:val="21"/>
                <w:szCs w:val="21"/>
              </w:rPr>
              <w:t xml:space="preserve"> </w:t>
            </w:r>
            <w:r w:rsidRPr="00401C70">
              <w:rPr>
                <w:rFonts w:ascii="Abadi" w:hAnsi="Abadi" w:cs="Calibri"/>
                <w:sz w:val="21"/>
                <w:szCs w:val="21"/>
              </w:rPr>
              <w:t>que</w:t>
            </w:r>
            <w:r w:rsidRPr="00401C70">
              <w:rPr>
                <w:rFonts w:ascii="Abadi" w:hAnsi="Abadi" w:cs="Calibri"/>
                <w:spacing w:val="-10"/>
                <w:sz w:val="21"/>
                <w:szCs w:val="21"/>
              </w:rPr>
              <w:t xml:space="preserve"> </w:t>
            </w:r>
            <w:r w:rsidRPr="00401C70">
              <w:rPr>
                <w:rFonts w:ascii="Abadi" w:hAnsi="Abadi" w:cs="Calibri"/>
                <w:sz w:val="21"/>
                <w:szCs w:val="21"/>
              </w:rPr>
              <w:t>establece</w:t>
            </w:r>
            <w:r w:rsidRPr="00401C70">
              <w:rPr>
                <w:rFonts w:ascii="Abadi" w:hAnsi="Abadi" w:cs="Calibri"/>
                <w:spacing w:val="-11"/>
                <w:sz w:val="21"/>
                <w:szCs w:val="21"/>
              </w:rPr>
              <w:t xml:space="preserve"> </w:t>
            </w:r>
            <w:r w:rsidRPr="00401C70">
              <w:rPr>
                <w:rFonts w:ascii="Abadi" w:hAnsi="Abadi" w:cs="Calibri"/>
                <w:sz w:val="21"/>
                <w:szCs w:val="21"/>
              </w:rPr>
              <w:t>esta</w:t>
            </w:r>
            <w:r w:rsidRPr="00401C70">
              <w:rPr>
                <w:rFonts w:ascii="Abadi" w:hAnsi="Abadi" w:cs="Calibri"/>
                <w:spacing w:val="-47"/>
                <w:sz w:val="21"/>
                <w:szCs w:val="21"/>
              </w:rPr>
              <w:t xml:space="preserve"> </w:t>
            </w:r>
            <w:r w:rsidRPr="00401C70">
              <w:rPr>
                <w:rFonts w:ascii="Abadi" w:hAnsi="Abadi" w:cs="Calibri"/>
                <w:sz w:val="21"/>
                <w:szCs w:val="21"/>
              </w:rPr>
              <w:t>ley.</w:t>
            </w:r>
          </w:p>
        </w:tc>
        <w:tc>
          <w:tcPr>
            <w:tcW w:w="2480" w:type="dxa"/>
            <w:tcBorders>
              <w:top w:val="none" w:sz="6" w:space="0" w:color="auto"/>
              <w:left w:val="single" w:sz="4" w:space="0" w:color="000000"/>
              <w:bottom w:val="none" w:sz="6" w:space="0" w:color="auto"/>
              <w:right w:val="single" w:sz="4" w:space="0" w:color="000000"/>
            </w:tcBorders>
          </w:tcPr>
          <w:p w14:paraId="55AA37FB" w14:textId="77777777" w:rsidR="00677B7E" w:rsidRPr="00401C70" w:rsidRDefault="00677B7E" w:rsidP="00FA2590">
            <w:pPr>
              <w:kinsoku w:val="0"/>
              <w:overflowPunct w:val="0"/>
              <w:autoSpaceDE w:val="0"/>
              <w:autoSpaceDN w:val="0"/>
              <w:adjustRightInd w:val="0"/>
              <w:spacing w:before="114"/>
              <w:ind w:left="107" w:right="94"/>
              <w:jc w:val="both"/>
              <w:rPr>
                <w:rFonts w:ascii="Abadi" w:hAnsi="Abadi" w:cs="Calibri"/>
                <w:sz w:val="21"/>
                <w:szCs w:val="21"/>
              </w:rPr>
            </w:pPr>
            <w:r w:rsidRPr="00401C70">
              <w:rPr>
                <w:rFonts w:ascii="Abadi" w:hAnsi="Abadi" w:cs="Calibri"/>
                <w:sz w:val="21"/>
                <w:szCs w:val="21"/>
              </w:rPr>
              <w:t>La Administración Pública Centralizada estará</w:t>
            </w:r>
            <w:r w:rsidRPr="00401C70">
              <w:rPr>
                <w:rFonts w:ascii="Abadi" w:hAnsi="Abadi" w:cs="Calibri"/>
                <w:spacing w:val="1"/>
                <w:sz w:val="21"/>
                <w:szCs w:val="21"/>
              </w:rPr>
              <w:t xml:space="preserve"> </w:t>
            </w:r>
            <w:r w:rsidRPr="00401C70">
              <w:rPr>
                <w:rFonts w:ascii="Abadi" w:hAnsi="Abadi" w:cs="Calibri"/>
                <w:spacing w:val="-1"/>
                <w:sz w:val="21"/>
                <w:szCs w:val="21"/>
              </w:rPr>
              <w:t>integrada</w:t>
            </w:r>
            <w:r w:rsidRPr="00401C70">
              <w:rPr>
                <w:rFonts w:ascii="Abadi" w:hAnsi="Abadi" w:cs="Calibri"/>
                <w:spacing w:val="-10"/>
                <w:sz w:val="21"/>
                <w:szCs w:val="21"/>
              </w:rPr>
              <w:t xml:space="preserve"> </w:t>
            </w:r>
            <w:r w:rsidRPr="00401C70">
              <w:rPr>
                <w:rFonts w:ascii="Abadi" w:hAnsi="Abadi" w:cs="Calibri"/>
                <w:sz w:val="21"/>
                <w:szCs w:val="21"/>
              </w:rPr>
              <w:t>por</w:t>
            </w:r>
            <w:r w:rsidRPr="00401C70">
              <w:rPr>
                <w:rFonts w:ascii="Abadi" w:hAnsi="Abadi" w:cs="Calibri"/>
                <w:spacing w:val="-12"/>
                <w:sz w:val="21"/>
                <w:szCs w:val="21"/>
              </w:rPr>
              <w:t xml:space="preserve"> </w:t>
            </w:r>
            <w:r w:rsidRPr="00401C70">
              <w:rPr>
                <w:rFonts w:ascii="Abadi" w:hAnsi="Abadi" w:cs="Calibri"/>
                <w:sz w:val="21"/>
                <w:szCs w:val="21"/>
              </w:rPr>
              <w:t>las</w:t>
            </w:r>
            <w:r w:rsidRPr="00401C70">
              <w:rPr>
                <w:rFonts w:ascii="Abadi" w:hAnsi="Abadi" w:cs="Calibri"/>
                <w:spacing w:val="-12"/>
                <w:sz w:val="21"/>
                <w:szCs w:val="21"/>
              </w:rPr>
              <w:t xml:space="preserve"> </w:t>
            </w:r>
            <w:r w:rsidRPr="00401C70">
              <w:rPr>
                <w:rFonts w:ascii="Abadi" w:hAnsi="Abadi" w:cs="Calibri"/>
                <w:sz w:val="21"/>
                <w:szCs w:val="21"/>
              </w:rPr>
              <w:t>Secretarías</w:t>
            </w:r>
            <w:r w:rsidRPr="00401C70">
              <w:rPr>
                <w:rFonts w:ascii="Abadi" w:hAnsi="Abadi" w:cs="Calibri"/>
                <w:spacing w:val="-9"/>
                <w:sz w:val="21"/>
                <w:szCs w:val="21"/>
              </w:rPr>
              <w:t xml:space="preserve"> </w:t>
            </w:r>
            <w:r w:rsidRPr="00401C70">
              <w:rPr>
                <w:rFonts w:ascii="Abadi" w:hAnsi="Abadi" w:cs="Calibri"/>
                <w:sz w:val="21"/>
                <w:szCs w:val="21"/>
              </w:rPr>
              <w:t>que</w:t>
            </w:r>
            <w:r w:rsidRPr="00401C70">
              <w:rPr>
                <w:rFonts w:ascii="Abadi" w:hAnsi="Abadi" w:cs="Calibri"/>
                <w:spacing w:val="-10"/>
                <w:sz w:val="21"/>
                <w:szCs w:val="21"/>
              </w:rPr>
              <w:t xml:space="preserve"> </w:t>
            </w:r>
            <w:r w:rsidRPr="00401C70">
              <w:rPr>
                <w:rFonts w:ascii="Abadi" w:hAnsi="Abadi" w:cs="Calibri"/>
                <w:sz w:val="21"/>
                <w:szCs w:val="21"/>
              </w:rPr>
              <w:t>establece</w:t>
            </w:r>
            <w:r w:rsidRPr="00401C70">
              <w:rPr>
                <w:rFonts w:ascii="Abadi" w:hAnsi="Abadi" w:cs="Calibri"/>
                <w:spacing w:val="-11"/>
                <w:sz w:val="21"/>
                <w:szCs w:val="21"/>
              </w:rPr>
              <w:t xml:space="preserve"> </w:t>
            </w:r>
            <w:r w:rsidRPr="00401C70">
              <w:rPr>
                <w:rFonts w:ascii="Abadi" w:hAnsi="Abadi" w:cs="Calibri"/>
                <w:sz w:val="21"/>
                <w:szCs w:val="21"/>
              </w:rPr>
              <w:t>esta</w:t>
            </w:r>
            <w:r w:rsidRPr="00401C70">
              <w:rPr>
                <w:rFonts w:ascii="Abadi" w:hAnsi="Abadi" w:cs="Calibri"/>
                <w:spacing w:val="-47"/>
                <w:sz w:val="21"/>
                <w:szCs w:val="21"/>
              </w:rPr>
              <w:t xml:space="preserve"> </w:t>
            </w:r>
            <w:r w:rsidRPr="00401C70">
              <w:rPr>
                <w:rFonts w:ascii="Abadi" w:hAnsi="Abadi" w:cs="Calibri"/>
                <w:sz w:val="21"/>
                <w:szCs w:val="21"/>
              </w:rPr>
              <w:t>ley.</w:t>
            </w:r>
          </w:p>
        </w:tc>
      </w:tr>
      <w:tr w:rsidR="00677B7E" w:rsidRPr="00401C70" w14:paraId="02ECBD9D" w14:textId="77777777" w:rsidTr="003343AD">
        <w:trPr>
          <w:trHeight w:val="1891"/>
        </w:trPr>
        <w:tc>
          <w:tcPr>
            <w:tcW w:w="2051" w:type="dxa"/>
            <w:tcBorders>
              <w:top w:val="none" w:sz="6" w:space="0" w:color="auto"/>
              <w:left w:val="single" w:sz="4" w:space="0" w:color="000000"/>
              <w:bottom w:val="none" w:sz="6" w:space="0" w:color="auto"/>
              <w:right w:val="single" w:sz="4" w:space="0" w:color="000000"/>
            </w:tcBorders>
          </w:tcPr>
          <w:p w14:paraId="7283685F" w14:textId="77777777" w:rsidR="00677B7E" w:rsidRPr="00401C70" w:rsidRDefault="00677B7E" w:rsidP="00FA2590">
            <w:pPr>
              <w:kinsoku w:val="0"/>
              <w:overflowPunct w:val="0"/>
              <w:autoSpaceDE w:val="0"/>
              <w:autoSpaceDN w:val="0"/>
              <w:adjustRightInd w:val="0"/>
              <w:spacing w:before="114"/>
              <w:ind w:left="107" w:right="95"/>
              <w:jc w:val="both"/>
              <w:rPr>
                <w:rFonts w:ascii="Abadi" w:hAnsi="Abadi" w:cs="Calibri"/>
                <w:sz w:val="21"/>
                <w:szCs w:val="21"/>
              </w:rPr>
            </w:pPr>
            <w:r w:rsidRPr="00401C70">
              <w:rPr>
                <w:rFonts w:ascii="Abadi" w:hAnsi="Abadi" w:cs="Calibri"/>
                <w:sz w:val="21"/>
                <w:szCs w:val="21"/>
              </w:rPr>
              <w:lastRenderedPageBreak/>
              <w:t>La</w:t>
            </w:r>
            <w:r w:rsidRPr="00401C70">
              <w:rPr>
                <w:rFonts w:ascii="Abadi" w:hAnsi="Abadi" w:cs="Calibri"/>
                <w:spacing w:val="1"/>
                <w:sz w:val="21"/>
                <w:szCs w:val="21"/>
              </w:rPr>
              <w:t xml:space="preserve"> </w:t>
            </w:r>
            <w:r w:rsidRPr="00401C70">
              <w:rPr>
                <w:rFonts w:ascii="Abadi" w:hAnsi="Abadi" w:cs="Calibri"/>
                <w:sz w:val="21"/>
                <w:szCs w:val="21"/>
              </w:rPr>
              <w:t>Administración</w:t>
            </w:r>
            <w:r w:rsidRPr="00401C70">
              <w:rPr>
                <w:rFonts w:ascii="Abadi" w:hAnsi="Abadi" w:cs="Calibri"/>
                <w:spacing w:val="1"/>
                <w:sz w:val="21"/>
                <w:szCs w:val="21"/>
              </w:rPr>
              <w:t xml:space="preserve"> </w:t>
            </w:r>
            <w:r w:rsidRPr="00401C70">
              <w:rPr>
                <w:rFonts w:ascii="Abadi" w:hAnsi="Abadi" w:cs="Calibri"/>
                <w:sz w:val="21"/>
                <w:szCs w:val="21"/>
              </w:rPr>
              <w:t>Pública</w:t>
            </w:r>
            <w:r w:rsidRPr="00401C70">
              <w:rPr>
                <w:rFonts w:ascii="Abadi" w:hAnsi="Abadi" w:cs="Calibri"/>
                <w:spacing w:val="1"/>
                <w:sz w:val="21"/>
                <w:szCs w:val="21"/>
              </w:rPr>
              <w:t xml:space="preserve"> </w:t>
            </w:r>
            <w:r w:rsidRPr="00401C70">
              <w:rPr>
                <w:rFonts w:ascii="Abadi" w:hAnsi="Abadi" w:cs="Calibri"/>
                <w:sz w:val="21"/>
                <w:szCs w:val="21"/>
              </w:rPr>
              <w:t>Paraestatal</w:t>
            </w:r>
            <w:r w:rsidRPr="00401C70">
              <w:rPr>
                <w:rFonts w:ascii="Abadi" w:hAnsi="Abadi" w:cs="Calibri"/>
                <w:spacing w:val="1"/>
                <w:sz w:val="21"/>
                <w:szCs w:val="21"/>
              </w:rPr>
              <w:t xml:space="preserve"> </w:t>
            </w:r>
            <w:r w:rsidRPr="00401C70">
              <w:rPr>
                <w:rFonts w:ascii="Abadi" w:hAnsi="Abadi" w:cs="Calibri"/>
                <w:sz w:val="21"/>
                <w:szCs w:val="21"/>
              </w:rPr>
              <w:t>estará</w:t>
            </w:r>
            <w:r w:rsidRPr="00401C70">
              <w:rPr>
                <w:rFonts w:ascii="Abadi" w:hAnsi="Abadi" w:cs="Calibri"/>
                <w:spacing w:val="-47"/>
                <w:sz w:val="21"/>
                <w:szCs w:val="21"/>
              </w:rPr>
              <w:t xml:space="preserve"> </w:t>
            </w:r>
            <w:r w:rsidRPr="00401C70">
              <w:rPr>
                <w:rFonts w:ascii="Abadi" w:hAnsi="Abadi" w:cs="Calibri"/>
                <w:sz w:val="21"/>
                <w:szCs w:val="21"/>
              </w:rPr>
              <w:t>integrada por los organismos descentralizados,</w:t>
            </w:r>
            <w:r w:rsidRPr="00401C70">
              <w:rPr>
                <w:rFonts w:ascii="Abadi" w:hAnsi="Abadi" w:cs="Calibri"/>
                <w:spacing w:val="-47"/>
                <w:sz w:val="21"/>
                <w:szCs w:val="21"/>
              </w:rPr>
              <w:t xml:space="preserve"> </w:t>
            </w:r>
            <w:r w:rsidRPr="00401C70">
              <w:rPr>
                <w:rFonts w:ascii="Abadi" w:hAnsi="Abadi" w:cs="Calibri"/>
                <w:sz w:val="21"/>
                <w:szCs w:val="21"/>
              </w:rPr>
              <w:t>las</w:t>
            </w:r>
            <w:r w:rsidRPr="00401C70">
              <w:rPr>
                <w:rFonts w:ascii="Abadi" w:hAnsi="Abadi" w:cs="Calibri"/>
                <w:spacing w:val="1"/>
                <w:sz w:val="21"/>
                <w:szCs w:val="21"/>
              </w:rPr>
              <w:t xml:space="preserve"> </w:t>
            </w:r>
            <w:r w:rsidRPr="00401C70">
              <w:rPr>
                <w:rFonts w:ascii="Abadi" w:hAnsi="Abadi" w:cs="Calibri"/>
                <w:sz w:val="21"/>
                <w:szCs w:val="21"/>
              </w:rPr>
              <w:t>empresas</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participación</w:t>
            </w:r>
            <w:r w:rsidRPr="00401C70">
              <w:rPr>
                <w:rFonts w:ascii="Abadi" w:hAnsi="Abadi" w:cs="Calibri"/>
                <w:spacing w:val="1"/>
                <w:sz w:val="21"/>
                <w:szCs w:val="21"/>
              </w:rPr>
              <w:t xml:space="preserve"> </w:t>
            </w:r>
            <w:r w:rsidRPr="00401C70">
              <w:rPr>
                <w:rFonts w:ascii="Abadi" w:hAnsi="Abadi" w:cs="Calibri"/>
                <w:sz w:val="21"/>
                <w:szCs w:val="21"/>
              </w:rPr>
              <w:t>estatal</w:t>
            </w:r>
            <w:r w:rsidRPr="00401C70">
              <w:rPr>
                <w:rFonts w:ascii="Abadi" w:hAnsi="Abadi" w:cs="Calibri"/>
                <w:spacing w:val="1"/>
                <w:sz w:val="21"/>
                <w:szCs w:val="21"/>
              </w:rPr>
              <w:t xml:space="preserve"> </w:t>
            </w:r>
            <w:r w:rsidRPr="00401C70">
              <w:rPr>
                <w:rFonts w:ascii="Abadi" w:hAnsi="Abadi" w:cs="Calibri"/>
                <w:sz w:val="21"/>
                <w:szCs w:val="21"/>
              </w:rPr>
              <w:t>mayoritaria,</w:t>
            </w:r>
            <w:r w:rsidRPr="00401C70">
              <w:rPr>
                <w:rFonts w:ascii="Abadi" w:hAnsi="Abadi" w:cs="Calibri"/>
                <w:spacing w:val="1"/>
                <w:sz w:val="21"/>
                <w:szCs w:val="21"/>
              </w:rPr>
              <w:t xml:space="preserve"> </w:t>
            </w: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fideicomisos</w:t>
            </w:r>
            <w:r w:rsidRPr="00401C70">
              <w:rPr>
                <w:rFonts w:ascii="Abadi" w:hAnsi="Abadi" w:cs="Calibri"/>
                <w:spacing w:val="1"/>
                <w:sz w:val="21"/>
                <w:szCs w:val="21"/>
              </w:rPr>
              <w:t xml:space="preserve"> </w:t>
            </w:r>
            <w:r w:rsidRPr="00401C70">
              <w:rPr>
                <w:rFonts w:ascii="Abadi" w:hAnsi="Abadi" w:cs="Calibri"/>
                <w:sz w:val="21"/>
                <w:szCs w:val="21"/>
              </w:rPr>
              <w:t>públicos,</w:t>
            </w:r>
            <w:r w:rsidRPr="00401C70">
              <w:rPr>
                <w:rFonts w:ascii="Abadi" w:hAnsi="Abadi" w:cs="Calibri"/>
                <w:spacing w:val="1"/>
                <w:sz w:val="21"/>
                <w:szCs w:val="21"/>
              </w:rPr>
              <w:t xml:space="preserve"> </w:t>
            </w: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patronatos,</w:t>
            </w:r>
            <w:r w:rsidRPr="00401C70">
              <w:rPr>
                <w:rFonts w:ascii="Abadi" w:hAnsi="Abadi" w:cs="Calibri"/>
                <w:spacing w:val="1"/>
                <w:sz w:val="21"/>
                <w:szCs w:val="21"/>
              </w:rPr>
              <w:t xml:space="preserve"> </w:t>
            </w:r>
            <w:r w:rsidRPr="00401C70">
              <w:rPr>
                <w:rFonts w:ascii="Abadi" w:hAnsi="Abadi" w:cs="Calibri"/>
                <w:sz w:val="21"/>
                <w:szCs w:val="21"/>
              </w:rPr>
              <w:t>las</w:t>
            </w:r>
            <w:r w:rsidRPr="00401C70">
              <w:rPr>
                <w:rFonts w:ascii="Abadi" w:hAnsi="Abadi" w:cs="Calibri"/>
                <w:spacing w:val="1"/>
                <w:sz w:val="21"/>
                <w:szCs w:val="21"/>
              </w:rPr>
              <w:t xml:space="preserve"> </w:t>
            </w:r>
            <w:r w:rsidRPr="00401C70">
              <w:rPr>
                <w:rFonts w:ascii="Abadi" w:hAnsi="Abadi" w:cs="Calibri"/>
                <w:sz w:val="21"/>
                <w:szCs w:val="21"/>
              </w:rPr>
              <w:t>comisiones</w:t>
            </w:r>
            <w:r w:rsidRPr="00401C70">
              <w:rPr>
                <w:rFonts w:ascii="Abadi" w:hAnsi="Abadi" w:cs="Calibri"/>
                <w:spacing w:val="1"/>
                <w:sz w:val="21"/>
                <w:szCs w:val="21"/>
              </w:rPr>
              <w:t xml:space="preserve"> </w:t>
            </w:r>
            <w:r w:rsidRPr="00401C70">
              <w:rPr>
                <w:rFonts w:ascii="Abadi" w:hAnsi="Abadi" w:cs="Calibri"/>
                <w:sz w:val="21"/>
                <w:szCs w:val="21"/>
              </w:rPr>
              <w:t>y</w:t>
            </w:r>
            <w:r w:rsidRPr="00401C70">
              <w:rPr>
                <w:rFonts w:ascii="Abadi" w:hAnsi="Abadi" w:cs="Calibri"/>
                <w:spacing w:val="1"/>
                <w:sz w:val="21"/>
                <w:szCs w:val="21"/>
              </w:rPr>
              <w:t xml:space="preserve"> </w:t>
            </w: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comités,</w:t>
            </w:r>
            <w:r w:rsidRPr="00401C70">
              <w:rPr>
                <w:rFonts w:ascii="Abadi" w:hAnsi="Abadi" w:cs="Calibri"/>
                <w:spacing w:val="1"/>
                <w:sz w:val="21"/>
                <w:szCs w:val="21"/>
              </w:rPr>
              <w:t xml:space="preserve"> </w:t>
            </w:r>
            <w:r w:rsidRPr="00401C70">
              <w:rPr>
                <w:rFonts w:ascii="Abadi" w:hAnsi="Abadi" w:cs="Calibri"/>
                <w:sz w:val="21"/>
                <w:szCs w:val="21"/>
              </w:rPr>
              <w:t>regulados</w:t>
            </w:r>
            <w:r w:rsidRPr="00401C70">
              <w:rPr>
                <w:rFonts w:ascii="Abadi" w:hAnsi="Abadi" w:cs="Calibri"/>
                <w:spacing w:val="-1"/>
                <w:sz w:val="21"/>
                <w:szCs w:val="21"/>
              </w:rPr>
              <w:t xml:space="preserve"> </w:t>
            </w:r>
            <w:r w:rsidRPr="00401C70">
              <w:rPr>
                <w:rFonts w:ascii="Abadi" w:hAnsi="Abadi" w:cs="Calibri"/>
                <w:sz w:val="21"/>
                <w:szCs w:val="21"/>
              </w:rPr>
              <w:t>conforme</w:t>
            </w:r>
            <w:r w:rsidRPr="00401C70">
              <w:rPr>
                <w:rFonts w:ascii="Abadi" w:hAnsi="Abadi" w:cs="Calibri"/>
                <w:spacing w:val="1"/>
                <w:sz w:val="21"/>
                <w:szCs w:val="21"/>
              </w:rPr>
              <w:t xml:space="preserve"> </w:t>
            </w:r>
            <w:r w:rsidRPr="00401C70">
              <w:rPr>
                <w:rFonts w:ascii="Abadi" w:hAnsi="Abadi" w:cs="Calibri"/>
                <w:sz w:val="21"/>
                <w:szCs w:val="21"/>
              </w:rPr>
              <w:t>a la</w:t>
            </w:r>
            <w:r w:rsidRPr="00401C70">
              <w:rPr>
                <w:rFonts w:ascii="Abadi" w:hAnsi="Abadi" w:cs="Calibri"/>
                <w:spacing w:val="-3"/>
                <w:sz w:val="21"/>
                <w:szCs w:val="21"/>
              </w:rPr>
              <w:t xml:space="preserve"> </w:t>
            </w:r>
            <w:r w:rsidRPr="00401C70">
              <w:rPr>
                <w:rFonts w:ascii="Abadi" w:hAnsi="Abadi" w:cs="Calibri"/>
                <w:sz w:val="21"/>
                <w:szCs w:val="21"/>
              </w:rPr>
              <w:t>Ley.</w:t>
            </w:r>
          </w:p>
        </w:tc>
        <w:tc>
          <w:tcPr>
            <w:tcW w:w="2480" w:type="dxa"/>
            <w:tcBorders>
              <w:top w:val="none" w:sz="6" w:space="0" w:color="auto"/>
              <w:left w:val="single" w:sz="4" w:space="0" w:color="000000"/>
              <w:bottom w:val="none" w:sz="6" w:space="0" w:color="auto"/>
              <w:right w:val="single" w:sz="4" w:space="0" w:color="000000"/>
            </w:tcBorders>
          </w:tcPr>
          <w:p w14:paraId="3647FE1F" w14:textId="77777777" w:rsidR="00677B7E" w:rsidRPr="00401C70" w:rsidRDefault="00677B7E" w:rsidP="00FA2590">
            <w:pPr>
              <w:kinsoku w:val="0"/>
              <w:overflowPunct w:val="0"/>
              <w:autoSpaceDE w:val="0"/>
              <w:autoSpaceDN w:val="0"/>
              <w:adjustRightInd w:val="0"/>
              <w:spacing w:before="114"/>
              <w:ind w:left="107" w:right="94"/>
              <w:jc w:val="both"/>
              <w:rPr>
                <w:rFonts w:ascii="Abadi" w:hAnsi="Abadi" w:cs="Calibri"/>
                <w:sz w:val="21"/>
                <w:szCs w:val="21"/>
              </w:rPr>
            </w:pP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Administración</w:t>
            </w:r>
            <w:r w:rsidRPr="00401C70">
              <w:rPr>
                <w:rFonts w:ascii="Abadi" w:hAnsi="Abadi" w:cs="Calibri"/>
                <w:spacing w:val="1"/>
                <w:sz w:val="21"/>
                <w:szCs w:val="21"/>
              </w:rPr>
              <w:t xml:space="preserve"> </w:t>
            </w:r>
            <w:r w:rsidRPr="00401C70">
              <w:rPr>
                <w:rFonts w:ascii="Abadi" w:hAnsi="Abadi" w:cs="Calibri"/>
                <w:sz w:val="21"/>
                <w:szCs w:val="21"/>
              </w:rPr>
              <w:t>Pública</w:t>
            </w:r>
            <w:r w:rsidRPr="00401C70">
              <w:rPr>
                <w:rFonts w:ascii="Abadi" w:hAnsi="Abadi" w:cs="Calibri"/>
                <w:spacing w:val="1"/>
                <w:sz w:val="21"/>
                <w:szCs w:val="21"/>
              </w:rPr>
              <w:t xml:space="preserve"> </w:t>
            </w:r>
            <w:r w:rsidRPr="00401C70">
              <w:rPr>
                <w:rFonts w:ascii="Abadi" w:hAnsi="Abadi" w:cs="Calibri"/>
                <w:sz w:val="21"/>
                <w:szCs w:val="21"/>
              </w:rPr>
              <w:t>Paraestatal</w:t>
            </w:r>
            <w:r w:rsidRPr="00401C70">
              <w:rPr>
                <w:rFonts w:ascii="Abadi" w:hAnsi="Abadi" w:cs="Calibri"/>
                <w:spacing w:val="1"/>
                <w:sz w:val="21"/>
                <w:szCs w:val="21"/>
              </w:rPr>
              <w:t xml:space="preserve"> </w:t>
            </w:r>
            <w:r w:rsidRPr="00401C70">
              <w:rPr>
                <w:rFonts w:ascii="Abadi" w:hAnsi="Abadi" w:cs="Calibri"/>
                <w:sz w:val="21"/>
                <w:szCs w:val="21"/>
              </w:rPr>
              <w:t>estará</w:t>
            </w:r>
            <w:r w:rsidRPr="00401C70">
              <w:rPr>
                <w:rFonts w:ascii="Abadi" w:hAnsi="Abadi" w:cs="Calibri"/>
                <w:spacing w:val="-47"/>
                <w:sz w:val="21"/>
                <w:szCs w:val="21"/>
              </w:rPr>
              <w:t xml:space="preserve"> </w:t>
            </w:r>
            <w:r w:rsidRPr="00401C70">
              <w:rPr>
                <w:rFonts w:ascii="Abadi" w:hAnsi="Abadi" w:cs="Calibri"/>
                <w:sz w:val="21"/>
                <w:szCs w:val="21"/>
              </w:rPr>
              <w:t>integrada por los organismos descentralizados,</w:t>
            </w:r>
            <w:r w:rsidRPr="00401C70">
              <w:rPr>
                <w:rFonts w:ascii="Abadi" w:hAnsi="Abadi" w:cs="Calibri"/>
                <w:spacing w:val="-47"/>
                <w:sz w:val="21"/>
                <w:szCs w:val="21"/>
              </w:rPr>
              <w:t xml:space="preserve"> </w:t>
            </w:r>
            <w:r w:rsidRPr="00401C70">
              <w:rPr>
                <w:rFonts w:ascii="Abadi" w:hAnsi="Abadi" w:cs="Calibri"/>
                <w:sz w:val="21"/>
                <w:szCs w:val="21"/>
              </w:rPr>
              <w:t>las</w:t>
            </w:r>
            <w:r w:rsidRPr="00401C70">
              <w:rPr>
                <w:rFonts w:ascii="Abadi" w:hAnsi="Abadi" w:cs="Calibri"/>
                <w:spacing w:val="1"/>
                <w:sz w:val="21"/>
                <w:szCs w:val="21"/>
              </w:rPr>
              <w:t xml:space="preserve"> </w:t>
            </w:r>
            <w:r w:rsidRPr="00401C70">
              <w:rPr>
                <w:rFonts w:ascii="Abadi" w:hAnsi="Abadi" w:cs="Calibri"/>
                <w:sz w:val="21"/>
                <w:szCs w:val="21"/>
              </w:rPr>
              <w:t>empresas</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participación</w:t>
            </w:r>
            <w:r w:rsidRPr="00401C70">
              <w:rPr>
                <w:rFonts w:ascii="Abadi" w:hAnsi="Abadi" w:cs="Calibri"/>
                <w:spacing w:val="1"/>
                <w:sz w:val="21"/>
                <w:szCs w:val="21"/>
              </w:rPr>
              <w:t xml:space="preserve"> </w:t>
            </w:r>
            <w:r w:rsidRPr="00401C70">
              <w:rPr>
                <w:rFonts w:ascii="Abadi" w:hAnsi="Abadi" w:cs="Calibri"/>
                <w:sz w:val="21"/>
                <w:szCs w:val="21"/>
              </w:rPr>
              <w:t>estatal</w:t>
            </w:r>
            <w:r w:rsidRPr="00401C70">
              <w:rPr>
                <w:rFonts w:ascii="Abadi" w:hAnsi="Abadi" w:cs="Calibri"/>
                <w:spacing w:val="1"/>
                <w:sz w:val="21"/>
                <w:szCs w:val="21"/>
              </w:rPr>
              <w:t xml:space="preserve"> </w:t>
            </w:r>
            <w:r w:rsidRPr="00401C70">
              <w:rPr>
                <w:rFonts w:ascii="Abadi" w:hAnsi="Abadi" w:cs="Calibri"/>
                <w:sz w:val="21"/>
                <w:szCs w:val="21"/>
              </w:rPr>
              <w:t>mayoritaria,</w:t>
            </w:r>
            <w:r w:rsidRPr="00401C70">
              <w:rPr>
                <w:rFonts w:ascii="Abadi" w:hAnsi="Abadi" w:cs="Calibri"/>
                <w:spacing w:val="1"/>
                <w:sz w:val="21"/>
                <w:szCs w:val="21"/>
              </w:rPr>
              <w:t xml:space="preserve"> </w:t>
            </w: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fideicomisos</w:t>
            </w:r>
            <w:r w:rsidRPr="00401C70">
              <w:rPr>
                <w:rFonts w:ascii="Abadi" w:hAnsi="Abadi" w:cs="Calibri"/>
                <w:spacing w:val="1"/>
                <w:sz w:val="21"/>
                <w:szCs w:val="21"/>
              </w:rPr>
              <w:t xml:space="preserve"> </w:t>
            </w:r>
            <w:r w:rsidRPr="00401C70">
              <w:rPr>
                <w:rFonts w:ascii="Abadi" w:hAnsi="Abadi" w:cs="Calibri"/>
                <w:sz w:val="21"/>
                <w:szCs w:val="21"/>
              </w:rPr>
              <w:t>públicos,</w:t>
            </w:r>
            <w:r w:rsidRPr="00401C70">
              <w:rPr>
                <w:rFonts w:ascii="Abadi" w:hAnsi="Abadi" w:cs="Calibri"/>
                <w:spacing w:val="1"/>
                <w:sz w:val="21"/>
                <w:szCs w:val="21"/>
              </w:rPr>
              <w:t xml:space="preserve"> </w:t>
            </w: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patronatos,</w:t>
            </w:r>
            <w:r w:rsidRPr="00401C70">
              <w:rPr>
                <w:rFonts w:ascii="Abadi" w:hAnsi="Abadi" w:cs="Calibri"/>
                <w:spacing w:val="1"/>
                <w:sz w:val="21"/>
                <w:szCs w:val="21"/>
              </w:rPr>
              <w:t xml:space="preserve"> </w:t>
            </w:r>
            <w:r w:rsidRPr="00401C70">
              <w:rPr>
                <w:rFonts w:ascii="Abadi" w:hAnsi="Abadi" w:cs="Calibri"/>
                <w:sz w:val="21"/>
                <w:szCs w:val="21"/>
              </w:rPr>
              <w:t>las</w:t>
            </w:r>
            <w:r w:rsidRPr="00401C70">
              <w:rPr>
                <w:rFonts w:ascii="Abadi" w:hAnsi="Abadi" w:cs="Calibri"/>
                <w:spacing w:val="1"/>
                <w:sz w:val="21"/>
                <w:szCs w:val="21"/>
              </w:rPr>
              <w:t xml:space="preserve"> </w:t>
            </w:r>
            <w:r w:rsidRPr="00401C70">
              <w:rPr>
                <w:rFonts w:ascii="Abadi" w:hAnsi="Abadi" w:cs="Calibri"/>
                <w:sz w:val="21"/>
                <w:szCs w:val="21"/>
              </w:rPr>
              <w:t>comisiones</w:t>
            </w:r>
            <w:r w:rsidRPr="00401C70">
              <w:rPr>
                <w:rFonts w:ascii="Abadi" w:hAnsi="Abadi" w:cs="Calibri"/>
                <w:spacing w:val="1"/>
                <w:sz w:val="21"/>
                <w:szCs w:val="21"/>
              </w:rPr>
              <w:t xml:space="preserve"> </w:t>
            </w:r>
            <w:r w:rsidRPr="00401C70">
              <w:rPr>
                <w:rFonts w:ascii="Abadi" w:hAnsi="Abadi" w:cs="Calibri"/>
                <w:sz w:val="21"/>
                <w:szCs w:val="21"/>
              </w:rPr>
              <w:t>y</w:t>
            </w:r>
            <w:r w:rsidRPr="00401C70">
              <w:rPr>
                <w:rFonts w:ascii="Abadi" w:hAnsi="Abadi" w:cs="Calibri"/>
                <w:spacing w:val="1"/>
                <w:sz w:val="21"/>
                <w:szCs w:val="21"/>
              </w:rPr>
              <w:t xml:space="preserve"> </w:t>
            </w: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comités,</w:t>
            </w:r>
            <w:r w:rsidRPr="00401C70">
              <w:rPr>
                <w:rFonts w:ascii="Abadi" w:hAnsi="Abadi" w:cs="Calibri"/>
                <w:spacing w:val="1"/>
                <w:sz w:val="21"/>
                <w:szCs w:val="21"/>
              </w:rPr>
              <w:t xml:space="preserve"> </w:t>
            </w:r>
            <w:r w:rsidRPr="00401C70">
              <w:rPr>
                <w:rFonts w:ascii="Abadi" w:hAnsi="Abadi" w:cs="Calibri"/>
                <w:sz w:val="21"/>
                <w:szCs w:val="21"/>
              </w:rPr>
              <w:t>regulados</w:t>
            </w:r>
            <w:r w:rsidRPr="00401C70">
              <w:rPr>
                <w:rFonts w:ascii="Abadi" w:hAnsi="Abadi" w:cs="Calibri"/>
                <w:spacing w:val="-1"/>
                <w:sz w:val="21"/>
                <w:szCs w:val="21"/>
              </w:rPr>
              <w:t xml:space="preserve"> </w:t>
            </w:r>
            <w:r w:rsidRPr="00401C70">
              <w:rPr>
                <w:rFonts w:ascii="Abadi" w:hAnsi="Abadi" w:cs="Calibri"/>
                <w:sz w:val="21"/>
                <w:szCs w:val="21"/>
              </w:rPr>
              <w:t>conforme</w:t>
            </w:r>
            <w:r w:rsidRPr="00401C70">
              <w:rPr>
                <w:rFonts w:ascii="Abadi" w:hAnsi="Abadi" w:cs="Calibri"/>
                <w:spacing w:val="1"/>
                <w:sz w:val="21"/>
                <w:szCs w:val="21"/>
              </w:rPr>
              <w:t xml:space="preserve"> </w:t>
            </w:r>
            <w:r w:rsidRPr="00401C70">
              <w:rPr>
                <w:rFonts w:ascii="Abadi" w:hAnsi="Abadi" w:cs="Calibri"/>
                <w:sz w:val="21"/>
                <w:szCs w:val="21"/>
              </w:rPr>
              <w:t>a la</w:t>
            </w:r>
            <w:r w:rsidRPr="00401C70">
              <w:rPr>
                <w:rFonts w:ascii="Abadi" w:hAnsi="Abadi" w:cs="Calibri"/>
                <w:spacing w:val="-3"/>
                <w:sz w:val="21"/>
                <w:szCs w:val="21"/>
              </w:rPr>
              <w:t xml:space="preserve"> </w:t>
            </w:r>
            <w:r w:rsidRPr="00401C70">
              <w:rPr>
                <w:rFonts w:ascii="Abadi" w:hAnsi="Abadi" w:cs="Calibri"/>
                <w:sz w:val="21"/>
                <w:szCs w:val="21"/>
              </w:rPr>
              <w:t>Ley.</w:t>
            </w:r>
          </w:p>
        </w:tc>
      </w:tr>
      <w:tr w:rsidR="00677B7E" w:rsidRPr="00401C70" w14:paraId="416827D6" w14:textId="77777777" w:rsidTr="003343AD">
        <w:trPr>
          <w:trHeight w:val="664"/>
        </w:trPr>
        <w:tc>
          <w:tcPr>
            <w:tcW w:w="2051" w:type="dxa"/>
            <w:tcBorders>
              <w:top w:val="none" w:sz="6" w:space="0" w:color="auto"/>
              <w:left w:val="single" w:sz="4" w:space="0" w:color="000000"/>
              <w:bottom w:val="single" w:sz="4" w:space="0" w:color="000000"/>
              <w:right w:val="single" w:sz="4" w:space="0" w:color="000000"/>
            </w:tcBorders>
          </w:tcPr>
          <w:p w14:paraId="4F32D50D" w14:textId="77777777" w:rsidR="00677B7E" w:rsidRPr="00401C70" w:rsidRDefault="00677B7E" w:rsidP="00FA2590">
            <w:pPr>
              <w:kinsoku w:val="0"/>
              <w:overflowPunct w:val="0"/>
              <w:autoSpaceDE w:val="0"/>
              <w:autoSpaceDN w:val="0"/>
              <w:adjustRightInd w:val="0"/>
              <w:jc w:val="both"/>
              <w:rPr>
                <w:rFonts w:ascii="Abadi" w:hAnsi="Abadi"/>
                <w:sz w:val="21"/>
                <w:szCs w:val="21"/>
              </w:rPr>
            </w:pPr>
          </w:p>
        </w:tc>
        <w:tc>
          <w:tcPr>
            <w:tcW w:w="2480" w:type="dxa"/>
            <w:tcBorders>
              <w:top w:val="none" w:sz="6" w:space="0" w:color="auto"/>
              <w:left w:val="single" w:sz="4" w:space="0" w:color="000000"/>
              <w:bottom w:val="single" w:sz="4" w:space="0" w:color="000000"/>
              <w:right w:val="single" w:sz="4" w:space="0" w:color="000000"/>
            </w:tcBorders>
          </w:tcPr>
          <w:p w14:paraId="6C242339" w14:textId="77777777" w:rsidR="00677B7E" w:rsidRPr="00401C70" w:rsidRDefault="00677B7E" w:rsidP="00FA2590">
            <w:pPr>
              <w:kinsoku w:val="0"/>
              <w:overflowPunct w:val="0"/>
              <w:autoSpaceDE w:val="0"/>
              <w:autoSpaceDN w:val="0"/>
              <w:adjustRightInd w:val="0"/>
              <w:spacing w:before="105" w:line="270" w:lineRule="atLeast"/>
              <w:ind w:left="107"/>
              <w:jc w:val="both"/>
              <w:rPr>
                <w:rFonts w:ascii="Abadi" w:hAnsi="Abadi" w:cs="Calibri"/>
                <w:b/>
                <w:bCs/>
                <w:i/>
                <w:iCs/>
                <w:sz w:val="21"/>
                <w:szCs w:val="21"/>
              </w:rPr>
            </w:pPr>
            <w:r w:rsidRPr="00401C70">
              <w:rPr>
                <w:rFonts w:ascii="Abadi" w:hAnsi="Abadi" w:cs="Calibri"/>
                <w:b/>
                <w:bCs/>
                <w:i/>
                <w:iCs/>
                <w:sz w:val="21"/>
                <w:szCs w:val="21"/>
              </w:rPr>
              <w:t>En</w:t>
            </w:r>
            <w:r w:rsidRPr="00401C70">
              <w:rPr>
                <w:rFonts w:ascii="Abadi" w:hAnsi="Abadi" w:cs="Calibri"/>
                <w:b/>
                <w:bCs/>
                <w:i/>
                <w:iCs/>
                <w:spacing w:val="43"/>
                <w:sz w:val="21"/>
                <w:szCs w:val="21"/>
              </w:rPr>
              <w:t xml:space="preserve"> </w:t>
            </w:r>
            <w:r w:rsidRPr="00401C70">
              <w:rPr>
                <w:rFonts w:ascii="Abadi" w:hAnsi="Abadi" w:cs="Calibri"/>
                <w:b/>
                <w:bCs/>
                <w:i/>
                <w:iCs/>
                <w:sz w:val="21"/>
                <w:szCs w:val="21"/>
              </w:rPr>
              <w:t>los</w:t>
            </w:r>
            <w:r w:rsidRPr="00401C70">
              <w:rPr>
                <w:rFonts w:ascii="Abadi" w:hAnsi="Abadi" w:cs="Calibri"/>
                <w:b/>
                <w:bCs/>
                <w:i/>
                <w:iCs/>
                <w:spacing w:val="41"/>
                <w:sz w:val="21"/>
                <w:szCs w:val="21"/>
              </w:rPr>
              <w:t xml:space="preserve"> </w:t>
            </w:r>
            <w:r w:rsidRPr="00401C70">
              <w:rPr>
                <w:rFonts w:ascii="Abadi" w:hAnsi="Abadi" w:cs="Calibri"/>
                <w:b/>
                <w:bCs/>
                <w:i/>
                <w:iCs/>
                <w:sz w:val="21"/>
                <w:szCs w:val="21"/>
              </w:rPr>
              <w:t>nombramientos</w:t>
            </w:r>
            <w:r w:rsidRPr="00401C70">
              <w:rPr>
                <w:rFonts w:ascii="Abadi" w:hAnsi="Abadi" w:cs="Calibri"/>
                <w:b/>
                <w:bCs/>
                <w:i/>
                <w:iCs/>
                <w:spacing w:val="41"/>
                <w:sz w:val="21"/>
                <w:szCs w:val="21"/>
              </w:rPr>
              <w:t xml:space="preserve"> </w:t>
            </w:r>
            <w:r w:rsidRPr="00401C70">
              <w:rPr>
                <w:rFonts w:ascii="Abadi" w:hAnsi="Abadi" w:cs="Calibri"/>
                <w:b/>
                <w:bCs/>
                <w:i/>
                <w:iCs/>
                <w:sz w:val="21"/>
                <w:szCs w:val="21"/>
              </w:rPr>
              <w:t>de</w:t>
            </w:r>
            <w:r w:rsidRPr="00401C70">
              <w:rPr>
                <w:rFonts w:ascii="Abadi" w:hAnsi="Abadi" w:cs="Calibri"/>
                <w:b/>
                <w:bCs/>
                <w:i/>
                <w:iCs/>
                <w:spacing w:val="41"/>
                <w:sz w:val="21"/>
                <w:szCs w:val="21"/>
              </w:rPr>
              <w:t xml:space="preserve"> </w:t>
            </w:r>
            <w:r w:rsidRPr="00401C70">
              <w:rPr>
                <w:rFonts w:ascii="Abadi" w:hAnsi="Abadi" w:cs="Calibri"/>
                <w:b/>
                <w:bCs/>
                <w:i/>
                <w:iCs/>
                <w:sz w:val="21"/>
                <w:szCs w:val="21"/>
              </w:rPr>
              <w:t>las</w:t>
            </w:r>
            <w:r w:rsidRPr="00401C70">
              <w:rPr>
                <w:rFonts w:ascii="Abadi" w:hAnsi="Abadi" w:cs="Calibri"/>
                <w:b/>
                <w:bCs/>
                <w:i/>
                <w:iCs/>
                <w:spacing w:val="38"/>
                <w:sz w:val="21"/>
                <w:szCs w:val="21"/>
              </w:rPr>
              <w:t xml:space="preserve"> </w:t>
            </w:r>
            <w:r w:rsidRPr="00401C70">
              <w:rPr>
                <w:rFonts w:ascii="Abadi" w:hAnsi="Abadi" w:cs="Calibri"/>
                <w:b/>
                <w:bCs/>
                <w:i/>
                <w:iCs/>
                <w:sz w:val="21"/>
                <w:szCs w:val="21"/>
              </w:rPr>
              <w:t>personas</w:t>
            </w:r>
            <w:r w:rsidRPr="00401C70">
              <w:rPr>
                <w:rFonts w:ascii="Abadi" w:hAnsi="Abadi" w:cs="Calibri"/>
                <w:b/>
                <w:bCs/>
                <w:i/>
                <w:iCs/>
                <w:spacing w:val="-47"/>
                <w:sz w:val="21"/>
                <w:szCs w:val="21"/>
              </w:rPr>
              <w:t xml:space="preserve"> </w:t>
            </w:r>
            <w:r w:rsidRPr="00401C70">
              <w:rPr>
                <w:rFonts w:ascii="Abadi" w:hAnsi="Abadi" w:cs="Calibri"/>
                <w:b/>
                <w:bCs/>
                <w:i/>
                <w:iCs/>
                <w:sz w:val="21"/>
                <w:szCs w:val="21"/>
              </w:rPr>
              <w:t>titulares</w:t>
            </w:r>
            <w:r w:rsidRPr="00401C70">
              <w:rPr>
                <w:rFonts w:ascii="Abadi" w:hAnsi="Abadi" w:cs="Calibri"/>
                <w:b/>
                <w:bCs/>
                <w:i/>
                <w:iCs/>
                <w:spacing w:val="6"/>
                <w:sz w:val="21"/>
                <w:szCs w:val="21"/>
              </w:rPr>
              <w:t xml:space="preserve"> </w:t>
            </w:r>
            <w:r w:rsidRPr="00401C70">
              <w:rPr>
                <w:rFonts w:ascii="Abadi" w:hAnsi="Abadi" w:cs="Calibri"/>
                <w:b/>
                <w:bCs/>
                <w:i/>
                <w:iCs/>
                <w:sz w:val="21"/>
                <w:szCs w:val="21"/>
              </w:rPr>
              <w:t>de</w:t>
            </w:r>
            <w:r w:rsidRPr="00401C70">
              <w:rPr>
                <w:rFonts w:ascii="Abadi" w:hAnsi="Abadi" w:cs="Calibri"/>
                <w:b/>
                <w:bCs/>
                <w:i/>
                <w:iCs/>
                <w:spacing w:val="8"/>
                <w:sz w:val="21"/>
                <w:szCs w:val="21"/>
              </w:rPr>
              <w:t xml:space="preserve"> </w:t>
            </w:r>
            <w:r w:rsidRPr="00401C70">
              <w:rPr>
                <w:rFonts w:ascii="Abadi" w:hAnsi="Abadi" w:cs="Calibri"/>
                <w:b/>
                <w:bCs/>
                <w:i/>
                <w:iCs/>
                <w:sz w:val="21"/>
                <w:szCs w:val="21"/>
              </w:rPr>
              <w:t>las</w:t>
            </w:r>
            <w:r w:rsidRPr="00401C70">
              <w:rPr>
                <w:rFonts w:ascii="Abadi" w:hAnsi="Abadi" w:cs="Calibri"/>
                <w:b/>
                <w:bCs/>
                <w:i/>
                <w:iCs/>
                <w:spacing w:val="5"/>
                <w:sz w:val="21"/>
                <w:szCs w:val="21"/>
              </w:rPr>
              <w:t xml:space="preserve"> </w:t>
            </w:r>
            <w:r w:rsidRPr="00401C70">
              <w:rPr>
                <w:rFonts w:ascii="Abadi" w:hAnsi="Abadi" w:cs="Calibri"/>
                <w:b/>
                <w:bCs/>
                <w:i/>
                <w:iCs/>
                <w:sz w:val="21"/>
                <w:szCs w:val="21"/>
              </w:rPr>
              <w:t>dependencias</w:t>
            </w:r>
            <w:r w:rsidRPr="00401C70">
              <w:rPr>
                <w:rFonts w:ascii="Abadi" w:hAnsi="Abadi" w:cs="Calibri"/>
                <w:b/>
                <w:bCs/>
                <w:i/>
                <w:iCs/>
                <w:spacing w:val="8"/>
                <w:sz w:val="21"/>
                <w:szCs w:val="21"/>
              </w:rPr>
              <w:t xml:space="preserve"> </w:t>
            </w:r>
            <w:r w:rsidRPr="00401C70">
              <w:rPr>
                <w:rFonts w:ascii="Abadi" w:hAnsi="Abadi" w:cs="Calibri"/>
                <w:b/>
                <w:bCs/>
                <w:i/>
                <w:iCs/>
                <w:sz w:val="21"/>
                <w:szCs w:val="21"/>
              </w:rPr>
              <w:t>y</w:t>
            </w:r>
            <w:r w:rsidRPr="00401C70">
              <w:rPr>
                <w:rFonts w:ascii="Abadi" w:hAnsi="Abadi" w:cs="Calibri"/>
                <w:b/>
                <w:bCs/>
                <w:i/>
                <w:iCs/>
                <w:spacing w:val="7"/>
                <w:sz w:val="21"/>
                <w:szCs w:val="21"/>
              </w:rPr>
              <w:t xml:space="preserve"> </w:t>
            </w:r>
            <w:r w:rsidRPr="00401C70">
              <w:rPr>
                <w:rFonts w:ascii="Abadi" w:hAnsi="Abadi" w:cs="Calibri"/>
                <w:b/>
                <w:bCs/>
                <w:i/>
                <w:iCs/>
                <w:sz w:val="21"/>
                <w:szCs w:val="21"/>
              </w:rPr>
              <w:t>entidades</w:t>
            </w:r>
            <w:r w:rsidRPr="00401C70">
              <w:rPr>
                <w:rFonts w:ascii="Abadi" w:hAnsi="Abadi" w:cs="Calibri"/>
                <w:b/>
                <w:bCs/>
                <w:i/>
                <w:iCs/>
                <w:spacing w:val="5"/>
                <w:sz w:val="21"/>
                <w:szCs w:val="21"/>
              </w:rPr>
              <w:t xml:space="preserve"> </w:t>
            </w:r>
            <w:r w:rsidRPr="00401C70">
              <w:rPr>
                <w:rFonts w:ascii="Abadi" w:hAnsi="Abadi" w:cs="Calibri"/>
                <w:b/>
                <w:bCs/>
                <w:i/>
                <w:iCs/>
                <w:sz w:val="21"/>
                <w:szCs w:val="21"/>
              </w:rPr>
              <w:t>que</w:t>
            </w:r>
          </w:p>
        </w:tc>
      </w:tr>
    </w:tbl>
    <w:p w14:paraId="53CD0665" w14:textId="77777777" w:rsidR="00677B7E" w:rsidRPr="00401C70" w:rsidRDefault="00677B7E" w:rsidP="00677B7E">
      <w:pPr>
        <w:kinsoku w:val="0"/>
        <w:overflowPunct w:val="0"/>
        <w:autoSpaceDE w:val="0"/>
        <w:autoSpaceDN w:val="0"/>
        <w:adjustRightInd w:val="0"/>
        <w:spacing w:before="8" w:after="1"/>
        <w:jc w:val="both"/>
        <w:rPr>
          <w:rFonts w:ascii="Abadi" w:hAnsi="Abadi"/>
          <w:sz w:val="21"/>
          <w:szCs w:val="21"/>
        </w:rPr>
      </w:pPr>
    </w:p>
    <w:tbl>
      <w:tblPr>
        <w:tblW w:w="5000" w:type="pct"/>
        <w:tblCellMar>
          <w:left w:w="0" w:type="dxa"/>
          <w:right w:w="0" w:type="dxa"/>
        </w:tblCellMar>
        <w:tblLook w:val="0000" w:firstRow="0" w:lastRow="0" w:firstColumn="0" w:lastColumn="0" w:noHBand="0" w:noVBand="0"/>
      </w:tblPr>
      <w:tblGrid>
        <w:gridCol w:w="2050"/>
        <w:gridCol w:w="2051"/>
      </w:tblGrid>
      <w:tr w:rsidR="00677B7E" w:rsidRPr="00401C70" w14:paraId="0C46D983" w14:textId="77777777" w:rsidTr="003343AD">
        <w:trPr>
          <w:trHeight w:val="1074"/>
        </w:trPr>
        <w:tc>
          <w:tcPr>
            <w:tcW w:w="2500" w:type="pct"/>
            <w:tcBorders>
              <w:top w:val="single" w:sz="4" w:space="0" w:color="000000"/>
              <w:left w:val="single" w:sz="4" w:space="0" w:color="000000"/>
              <w:bottom w:val="single" w:sz="4" w:space="0" w:color="000000"/>
              <w:right w:val="single" w:sz="4" w:space="0" w:color="000000"/>
            </w:tcBorders>
          </w:tcPr>
          <w:p w14:paraId="7B7B3FBB" w14:textId="77777777" w:rsidR="00677B7E" w:rsidRPr="00401C70" w:rsidRDefault="00677B7E" w:rsidP="00FA2590">
            <w:pPr>
              <w:kinsoku w:val="0"/>
              <w:overflowPunct w:val="0"/>
              <w:autoSpaceDE w:val="0"/>
              <w:autoSpaceDN w:val="0"/>
              <w:adjustRightInd w:val="0"/>
              <w:jc w:val="both"/>
              <w:rPr>
                <w:rFonts w:ascii="Abadi" w:hAnsi="Abadi"/>
                <w:sz w:val="21"/>
                <w:szCs w:val="21"/>
              </w:rPr>
            </w:pPr>
          </w:p>
        </w:tc>
        <w:tc>
          <w:tcPr>
            <w:tcW w:w="2500" w:type="pct"/>
            <w:tcBorders>
              <w:top w:val="single" w:sz="4" w:space="0" w:color="000000"/>
              <w:left w:val="single" w:sz="4" w:space="0" w:color="000000"/>
              <w:bottom w:val="single" w:sz="4" w:space="0" w:color="000000"/>
              <w:right w:val="single" w:sz="4" w:space="0" w:color="000000"/>
            </w:tcBorders>
          </w:tcPr>
          <w:p w14:paraId="4248F07B" w14:textId="77777777" w:rsidR="00677B7E" w:rsidRPr="00401C70" w:rsidRDefault="00677B7E" w:rsidP="00FA2590">
            <w:pPr>
              <w:kinsoku w:val="0"/>
              <w:overflowPunct w:val="0"/>
              <w:autoSpaceDE w:val="0"/>
              <w:autoSpaceDN w:val="0"/>
              <w:adjustRightInd w:val="0"/>
              <w:ind w:left="107" w:right="95"/>
              <w:jc w:val="both"/>
              <w:rPr>
                <w:rFonts w:ascii="Abadi" w:hAnsi="Abadi" w:cs="Calibri"/>
                <w:b/>
                <w:bCs/>
                <w:i/>
                <w:iCs/>
                <w:sz w:val="21"/>
                <w:szCs w:val="21"/>
              </w:rPr>
            </w:pPr>
            <w:r w:rsidRPr="00401C70">
              <w:rPr>
                <w:rFonts w:ascii="Abadi" w:hAnsi="Abadi" w:cs="Calibri"/>
                <w:b/>
                <w:bCs/>
                <w:i/>
                <w:iCs/>
                <w:sz w:val="21"/>
                <w:szCs w:val="21"/>
              </w:rPr>
              <w:t>conforman</w:t>
            </w:r>
            <w:r w:rsidRPr="00401C70">
              <w:rPr>
                <w:rFonts w:ascii="Abadi" w:hAnsi="Abadi" w:cs="Calibri"/>
                <w:b/>
                <w:bCs/>
                <w:i/>
                <w:iCs/>
                <w:spacing w:val="1"/>
                <w:sz w:val="21"/>
                <w:szCs w:val="21"/>
              </w:rPr>
              <w:t xml:space="preserve"> </w:t>
            </w:r>
            <w:r w:rsidRPr="00401C70">
              <w:rPr>
                <w:rFonts w:ascii="Abadi" w:hAnsi="Abadi" w:cs="Calibri"/>
                <w:b/>
                <w:bCs/>
                <w:i/>
                <w:iCs/>
                <w:sz w:val="21"/>
                <w:szCs w:val="21"/>
              </w:rPr>
              <w:t>la</w:t>
            </w:r>
            <w:r w:rsidRPr="00401C70">
              <w:rPr>
                <w:rFonts w:ascii="Abadi" w:hAnsi="Abadi" w:cs="Calibri"/>
                <w:b/>
                <w:bCs/>
                <w:i/>
                <w:iCs/>
                <w:spacing w:val="1"/>
                <w:sz w:val="21"/>
                <w:szCs w:val="21"/>
              </w:rPr>
              <w:t xml:space="preserve"> </w:t>
            </w:r>
            <w:r w:rsidRPr="00401C70">
              <w:rPr>
                <w:rFonts w:ascii="Abadi" w:hAnsi="Abadi" w:cs="Calibri"/>
                <w:b/>
                <w:bCs/>
                <w:i/>
                <w:iCs/>
                <w:sz w:val="21"/>
                <w:szCs w:val="21"/>
              </w:rPr>
              <w:t>administración</w:t>
            </w:r>
            <w:r w:rsidRPr="00401C70">
              <w:rPr>
                <w:rFonts w:ascii="Abadi" w:hAnsi="Abadi" w:cs="Calibri"/>
                <w:b/>
                <w:bCs/>
                <w:i/>
                <w:iCs/>
                <w:spacing w:val="1"/>
                <w:sz w:val="21"/>
                <w:szCs w:val="21"/>
              </w:rPr>
              <w:t xml:space="preserve"> </w:t>
            </w:r>
            <w:r w:rsidRPr="00401C70">
              <w:rPr>
                <w:rFonts w:ascii="Abadi" w:hAnsi="Abadi" w:cs="Calibri"/>
                <w:b/>
                <w:bCs/>
                <w:i/>
                <w:iCs/>
                <w:sz w:val="21"/>
                <w:szCs w:val="21"/>
              </w:rPr>
              <w:t>pública</w:t>
            </w:r>
            <w:r w:rsidRPr="00401C70">
              <w:rPr>
                <w:rFonts w:ascii="Abadi" w:hAnsi="Abadi" w:cs="Calibri"/>
                <w:b/>
                <w:bCs/>
                <w:i/>
                <w:iCs/>
                <w:spacing w:val="1"/>
                <w:sz w:val="21"/>
                <w:szCs w:val="21"/>
              </w:rPr>
              <w:t xml:space="preserve"> </w:t>
            </w:r>
            <w:r w:rsidRPr="00401C70">
              <w:rPr>
                <w:rFonts w:ascii="Abadi" w:hAnsi="Abadi" w:cs="Calibri"/>
                <w:b/>
                <w:bCs/>
                <w:i/>
                <w:iCs/>
                <w:sz w:val="21"/>
                <w:szCs w:val="21"/>
              </w:rPr>
              <w:t>centralizada y paraestatal del Poder Ejecutivo</w:t>
            </w:r>
            <w:r w:rsidRPr="00401C70">
              <w:rPr>
                <w:rFonts w:ascii="Abadi" w:hAnsi="Abadi" w:cs="Calibri"/>
                <w:b/>
                <w:bCs/>
                <w:i/>
                <w:iCs/>
                <w:spacing w:val="-47"/>
                <w:sz w:val="21"/>
                <w:szCs w:val="21"/>
              </w:rPr>
              <w:t xml:space="preserve"> </w:t>
            </w:r>
            <w:r w:rsidRPr="00401C70">
              <w:rPr>
                <w:rFonts w:ascii="Abadi" w:hAnsi="Abadi" w:cs="Calibri"/>
                <w:b/>
                <w:bCs/>
                <w:i/>
                <w:iCs/>
                <w:sz w:val="21"/>
                <w:szCs w:val="21"/>
              </w:rPr>
              <w:t>se</w:t>
            </w:r>
            <w:r w:rsidRPr="00401C70">
              <w:rPr>
                <w:rFonts w:ascii="Abadi" w:hAnsi="Abadi" w:cs="Calibri"/>
                <w:b/>
                <w:bCs/>
                <w:i/>
                <w:iCs/>
                <w:spacing w:val="10"/>
                <w:sz w:val="21"/>
                <w:szCs w:val="21"/>
              </w:rPr>
              <w:t xml:space="preserve"> </w:t>
            </w:r>
            <w:r w:rsidRPr="00401C70">
              <w:rPr>
                <w:rFonts w:ascii="Abadi" w:hAnsi="Abadi" w:cs="Calibri"/>
                <w:b/>
                <w:bCs/>
                <w:i/>
                <w:iCs/>
                <w:sz w:val="21"/>
                <w:szCs w:val="21"/>
              </w:rPr>
              <w:t>deberá</w:t>
            </w:r>
            <w:r w:rsidRPr="00401C70">
              <w:rPr>
                <w:rFonts w:ascii="Abadi" w:hAnsi="Abadi" w:cs="Calibri"/>
                <w:b/>
                <w:bCs/>
                <w:i/>
                <w:iCs/>
                <w:spacing w:val="11"/>
                <w:sz w:val="21"/>
                <w:szCs w:val="21"/>
              </w:rPr>
              <w:t xml:space="preserve"> </w:t>
            </w:r>
            <w:r w:rsidRPr="00401C70">
              <w:rPr>
                <w:rFonts w:ascii="Abadi" w:hAnsi="Abadi" w:cs="Calibri"/>
                <w:b/>
                <w:bCs/>
                <w:i/>
                <w:iCs/>
                <w:sz w:val="21"/>
                <w:szCs w:val="21"/>
              </w:rPr>
              <w:t>observar</w:t>
            </w:r>
            <w:r w:rsidRPr="00401C70">
              <w:rPr>
                <w:rFonts w:ascii="Abadi" w:hAnsi="Abadi" w:cs="Calibri"/>
                <w:b/>
                <w:bCs/>
                <w:i/>
                <w:iCs/>
                <w:spacing w:val="10"/>
                <w:sz w:val="21"/>
                <w:szCs w:val="21"/>
              </w:rPr>
              <w:t xml:space="preserve"> </w:t>
            </w:r>
            <w:r w:rsidRPr="00401C70">
              <w:rPr>
                <w:rFonts w:ascii="Abadi" w:hAnsi="Abadi" w:cs="Calibri"/>
                <w:b/>
                <w:bCs/>
                <w:i/>
                <w:iCs/>
                <w:sz w:val="21"/>
                <w:szCs w:val="21"/>
              </w:rPr>
              <w:t>el</w:t>
            </w:r>
            <w:r w:rsidRPr="00401C70">
              <w:rPr>
                <w:rFonts w:ascii="Abadi" w:hAnsi="Abadi" w:cs="Calibri"/>
                <w:b/>
                <w:bCs/>
                <w:i/>
                <w:iCs/>
                <w:spacing w:val="11"/>
                <w:sz w:val="21"/>
                <w:szCs w:val="21"/>
              </w:rPr>
              <w:t xml:space="preserve"> </w:t>
            </w:r>
            <w:r w:rsidRPr="00401C70">
              <w:rPr>
                <w:rFonts w:ascii="Abadi" w:hAnsi="Abadi" w:cs="Calibri"/>
                <w:b/>
                <w:bCs/>
                <w:i/>
                <w:iCs/>
                <w:sz w:val="21"/>
                <w:szCs w:val="21"/>
              </w:rPr>
              <w:t>principio</w:t>
            </w:r>
            <w:r w:rsidRPr="00401C70">
              <w:rPr>
                <w:rFonts w:ascii="Abadi" w:hAnsi="Abadi" w:cs="Calibri"/>
                <w:b/>
                <w:bCs/>
                <w:i/>
                <w:iCs/>
                <w:spacing w:val="11"/>
                <w:sz w:val="21"/>
                <w:szCs w:val="21"/>
              </w:rPr>
              <w:t xml:space="preserve"> </w:t>
            </w:r>
            <w:r w:rsidRPr="00401C70">
              <w:rPr>
                <w:rFonts w:ascii="Abadi" w:hAnsi="Abadi" w:cs="Calibri"/>
                <w:b/>
                <w:bCs/>
                <w:i/>
                <w:iCs/>
                <w:sz w:val="21"/>
                <w:szCs w:val="21"/>
              </w:rPr>
              <w:t>de</w:t>
            </w:r>
            <w:r w:rsidRPr="00401C70">
              <w:rPr>
                <w:rFonts w:ascii="Abadi" w:hAnsi="Abadi" w:cs="Calibri"/>
                <w:b/>
                <w:bCs/>
                <w:i/>
                <w:iCs/>
                <w:spacing w:val="10"/>
                <w:sz w:val="21"/>
                <w:szCs w:val="21"/>
              </w:rPr>
              <w:t xml:space="preserve"> </w:t>
            </w:r>
            <w:r w:rsidRPr="00401C70">
              <w:rPr>
                <w:rFonts w:ascii="Abadi" w:hAnsi="Abadi" w:cs="Calibri"/>
                <w:b/>
                <w:bCs/>
                <w:i/>
                <w:iCs/>
                <w:sz w:val="21"/>
                <w:szCs w:val="21"/>
              </w:rPr>
              <w:t>paridad</w:t>
            </w:r>
            <w:r w:rsidRPr="00401C70">
              <w:rPr>
                <w:rFonts w:ascii="Abadi" w:hAnsi="Abadi" w:cs="Calibri"/>
                <w:b/>
                <w:bCs/>
                <w:i/>
                <w:iCs/>
                <w:spacing w:val="10"/>
                <w:sz w:val="21"/>
                <w:szCs w:val="21"/>
              </w:rPr>
              <w:t xml:space="preserve"> </w:t>
            </w:r>
            <w:r w:rsidRPr="00401C70">
              <w:rPr>
                <w:rFonts w:ascii="Abadi" w:hAnsi="Abadi" w:cs="Calibri"/>
                <w:b/>
                <w:bCs/>
                <w:i/>
                <w:iCs/>
                <w:sz w:val="21"/>
                <w:szCs w:val="21"/>
              </w:rPr>
              <w:t>de</w:t>
            </w:r>
          </w:p>
          <w:p w14:paraId="033E68CB" w14:textId="77777777" w:rsidR="00677B7E" w:rsidRPr="00401C70" w:rsidRDefault="00677B7E" w:rsidP="00FA2590">
            <w:pPr>
              <w:kinsoku w:val="0"/>
              <w:overflowPunct w:val="0"/>
              <w:autoSpaceDE w:val="0"/>
              <w:autoSpaceDN w:val="0"/>
              <w:adjustRightInd w:val="0"/>
              <w:spacing w:line="249" w:lineRule="exact"/>
              <w:ind w:left="107"/>
              <w:jc w:val="both"/>
              <w:rPr>
                <w:rFonts w:ascii="Abadi" w:hAnsi="Abadi" w:cs="Calibri"/>
                <w:b/>
                <w:bCs/>
                <w:i/>
                <w:iCs/>
                <w:sz w:val="21"/>
                <w:szCs w:val="21"/>
              </w:rPr>
            </w:pPr>
            <w:r w:rsidRPr="00401C70">
              <w:rPr>
                <w:rFonts w:ascii="Abadi" w:hAnsi="Abadi" w:cs="Calibri"/>
                <w:b/>
                <w:bCs/>
                <w:i/>
                <w:iCs/>
                <w:sz w:val="21"/>
                <w:szCs w:val="21"/>
              </w:rPr>
              <w:t>género.</w:t>
            </w:r>
          </w:p>
        </w:tc>
      </w:tr>
      <w:tr w:rsidR="00677B7E" w:rsidRPr="00401C70" w14:paraId="60140EEE" w14:textId="77777777" w:rsidTr="003343AD">
        <w:trPr>
          <w:trHeight w:val="2034"/>
        </w:trPr>
        <w:tc>
          <w:tcPr>
            <w:tcW w:w="2500" w:type="pct"/>
            <w:tcBorders>
              <w:top w:val="single" w:sz="4" w:space="0" w:color="000000"/>
              <w:left w:val="single" w:sz="4" w:space="0" w:color="000000"/>
              <w:bottom w:val="none" w:sz="6" w:space="0" w:color="auto"/>
              <w:right w:val="single" w:sz="4" w:space="0" w:color="000000"/>
            </w:tcBorders>
          </w:tcPr>
          <w:p w14:paraId="15133F0D" w14:textId="77777777" w:rsidR="00677B7E" w:rsidRPr="00401C70" w:rsidRDefault="00677B7E" w:rsidP="00FA2590">
            <w:pPr>
              <w:kinsoku w:val="0"/>
              <w:overflowPunct w:val="0"/>
              <w:autoSpaceDE w:val="0"/>
              <w:autoSpaceDN w:val="0"/>
              <w:adjustRightInd w:val="0"/>
              <w:ind w:left="107" w:right="92"/>
              <w:jc w:val="both"/>
              <w:rPr>
                <w:rFonts w:ascii="Abadi" w:hAnsi="Abadi" w:cs="Calibri"/>
                <w:sz w:val="21"/>
                <w:szCs w:val="21"/>
              </w:rPr>
            </w:pPr>
            <w:r w:rsidRPr="00401C70">
              <w:rPr>
                <w:rFonts w:ascii="Abadi" w:hAnsi="Abadi" w:cs="Calibri"/>
                <w:b/>
                <w:bCs/>
                <w:sz w:val="21"/>
                <w:szCs w:val="21"/>
              </w:rPr>
              <w:t>Artículo</w:t>
            </w:r>
            <w:r w:rsidRPr="00401C70">
              <w:rPr>
                <w:rFonts w:ascii="Abadi" w:hAnsi="Abadi" w:cs="Calibri"/>
                <w:b/>
                <w:bCs/>
                <w:spacing w:val="1"/>
                <w:sz w:val="21"/>
                <w:szCs w:val="21"/>
              </w:rPr>
              <w:t xml:space="preserve"> </w:t>
            </w:r>
            <w:r w:rsidRPr="00401C70">
              <w:rPr>
                <w:rFonts w:ascii="Abadi" w:hAnsi="Abadi" w:cs="Calibri"/>
                <w:b/>
                <w:bCs/>
                <w:sz w:val="21"/>
                <w:szCs w:val="21"/>
              </w:rPr>
              <w:t>17.-</w:t>
            </w:r>
            <w:r w:rsidRPr="00401C70">
              <w:rPr>
                <w:rFonts w:ascii="Abadi" w:hAnsi="Abadi" w:cs="Calibri"/>
                <w:b/>
                <w:bCs/>
                <w:spacing w:val="1"/>
                <w:sz w:val="21"/>
                <w:szCs w:val="21"/>
              </w:rPr>
              <w:t xml:space="preserve"> </w:t>
            </w: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titulares</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las</w:t>
            </w:r>
            <w:r w:rsidRPr="00401C70">
              <w:rPr>
                <w:rFonts w:ascii="Abadi" w:hAnsi="Abadi" w:cs="Calibri"/>
                <w:spacing w:val="1"/>
                <w:sz w:val="21"/>
                <w:szCs w:val="21"/>
              </w:rPr>
              <w:t xml:space="preserve"> </w:t>
            </w:r>
            <w:r w:rsidRPr="00401C70">
              <w:rPr>
                <w:rFonts w:ascii="Abadi" w:hAnsi="Abadi" w:cs="Calibri"/>
                <w:sz w:val="21"/>
                <w:szCs w:val="21"/>
              </w:rPr>
              <w:t>Secretarías</w:t>
            </w:r>
            <w:r w:rsidRPr="00401C70">
              <w:rPr>
                <w:rFonts w:ascii="Abadi" w:hAnsi="Abadi" w:cs="Calibri"/>
                <w:spacing w:val="-47"/>
                <w:sz w:val="21"/>
                <w:szCs w:val="21"/>
              </w:rPr>
              <w:t xml:space="preserve"> </w:t>
            </w:r>
            <w:r w:rsidRPr="00401C70">
              <w:rPr>
                <w:rFonts w:ascii="Abadi" w:hAnsi="Abadi" w:cs="Calibri"/>
                <w:sz w:val="21"/>
                <w:szCs w:val="21"/>
              </w:rPr>
              <w:t>serán</w:t>
            </w:r>
            <w:r w:rsidRPr="00401C70">
              <w:rPr>
                <w:rFonts w:ascii="Abadi" w:hAnsi="Abadi" w:cs="Calibri"/>
                <w:spacing w:val="1"/>
                <w:sz w:val="21"/>
                <w:szCs w:val="21"/>
              </w:rPr>
              <w:t xml:space="preserve"> </w:t>
            </w:r>
            <w:r w:rsidRPr="00401C70">
              <w:rPr>
                <w:rFonts w:ascii="Abadi" w:hAnsi="Abadi" w:cs="Calibri"/>
                <w:sz w:val="21"/>
                <w:szCs w:val="21"/>
              </w:rPr>
              <w:t>nombrados</w:t>
            </w:r>
            <w:r w:rsidRPr="00401C70">
              <w:rPr>
                <w:rFonts w:ascii="Abadi" w:hAnsi="Abadi" w:cs="Calibri"/>
                <w:spacing w:val="1"/>
                <w:sz w:val="21"/>
                <w:szCs w:val="21"/>
              </w:rPr>
              <w:t xml:space="preserve"> </w:t>
            </w:r>
            <w:r w:rsidRPr="00401C70">
              <w:rPr>
                <w:rFonts w:ascii="Abadi" w:hAnsi="Abadi" w:cs="Calibri"/>
                <w:sz w:val="21"/>
                <w:szCs w:val="21"/>
              </w:rPr>
              <w:t>por</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Gobernador</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Estado, ejercerán</w:t>
            </w:r>
            <w:r w:rsidRPr="00401C70">
              <w:rPr>
                <w:rFonts w:ascii="Abadi" w:hAnsi="Abadi" w:cs="Calibri"/>
                <w:spacing w:val="1"/>
                <w:sz w:val="21"/>
                <w:szCs w:val="21"/>
              </w:rPr>
              <w:t xml:space="preserve"> </w:t>
            </w:r>
            <w:r w:rsidRPr="00401C70">
              <w:rPr>
                <w:rFonts w:ascii="Abadi" w:hAnsi="Abadi" w:cs="Calibri"/>
                <w:sz w:val="21"/>
                <w:szCs w:val="21"/>
              </w:rPr>
              <w:t>sus</w:t>
            </w:r>
            <w:r w:rsidRPr="00401C70">
              <w:rPr>
                <w:rFonts w:ascii="Abadi" w:hAnsi="Abadi" w:cs="Calibri"/>
                <w:spacing w:val="1"/>
                <w:sz w:val="21"/>
                <w:szCs w:val="21"/>
              </w:rPr>
              <w:t xml:space="preserve"> </w:t>
            </w:r>
            <w:r w:rsidRPr="00401C70">
              <w:rPr>
                <w:rFonts w:ascii="Abadi" w:hAnsi="Abadi" w:cs="Calibri"/>
                <w:sz w:val="21"/>
                <w:szCs w:val="21"/>
              </w:rPr>
              <w:t>funciones</w:t>
            </w:r>
            <w:r w:rsidRPr="00401C70">
              <w:rPr>
                <w:rFonts w:ascii="Abadi" w:hAnsi="Abadi" w:cs="Calibri"/>
                <w:spacing w:val="1"/>
                <w:sz w:val="21"/>
                <w:szCs w:val="21"/>
              </w:rPr>
              <w:t xml:space="preserve"> </w:t>
            </w:r>
            <w:r w:rsidRPr="00401C70">
              <w:rPr>
                <w:rFonts w:ascii="Abadi" w:hAnsi="Abadi" w:cs="Calibri"/>
                <w:sz w:val="21"/>
                <w:szCs w:val="21"/>
              </w:rPr>
              <w:t>por</w:t>
            </w:r>
            <w:r w:rsidRPr="00401C70">
              <w:rPr>
                <w:rFonts w:ascii="Abadi" w:hAnsi="Abadi" w:cs="Calibri"/>
                <w:spacing w:val="1"/>
                <w:sz w:val="21"/>
                <w:szCs w:val="21"/>
              </w:rPr>
              <w:t xml:space="preserve"> </w:t>
            </w:r>
            <w:r w:rsidRPr="00401C70">
              <w:rPr>
                <w:rFonts w:ascii="Abadi" w:hAnsi="Abadi" w:cs="Calibri"/>
                <w:sz w:val="21"/>
                <w:szCs w:val="21"/>
              </w:rPr>
              <w:t>acuerdo</w:t>
            </w:r>
            <w:r w:rsidRPr="00401C70">
              <w:rPr>
                <w:rFonts w:ascii="Abadi" w:hAnsi="Abadi" w:cs="Calibri"/>
                <w:spacing w:val="1"/>
                <w:sz w:val="21"/>
                <w:szCs w:val="21"/>
              </w:rPr>
              <w:t xml:space="preserve"> </w:t>
            </w:r>
            <w:r w:rsidRPr="00401C70">
              <w:rPr>
                <w:rFonts w:ascii="Abadi" w:hAnsi="Abadi" w:cs="Calibri"/>
                <w:sz w:val="21"/>
                <w:szCs w:val="21"/>
              </w:rPr>
              <w:t>del mismo, de conformidad con lo que señala</w:t>
            </w:r>
            <w:r w:rsidRPr="00401C70">
              <w:rPr>
                <w:rFonts w:ascii="Abadi" w:hAnsi="Abadi" w:cs="Calibri"/>
                <w:spacing w:val="1"/>
                <w:sz w:val="21"/>
                <w:szCs w:val="21"/>
              </w:rPr>
              <w:t xml:space="preserve"> </w:t>
            </w:r>
            <w:r w:rsidRPr="00401C70">
              <w:rPr>
                <w:rFonts w:ascii="Abadi" w:hAnsi="Abadi" w:cs="Calibri"/>
                <w:sz w:val="21"/>
                <w:szCs w:val="21"/>
              </w:rPr>
              <w:t>esta</w:t>
            </w:r>
            <w:r w:rsidRPr="00401C70">
              <w:rPr>
                <w:rFonts w:ascii="Abadi" w:hAnsi="Abadi" w:cs="Calibri"/>
                <w:spacing w:val="1"/>
                <w:sz w:val="21"/>
                <w:szCs w:val="21"/>
              </w:rPr>
              <w:t xml:space="preserve"> </w:t>
            </w:r>
            <w:r w:rsidRPr="00401C70">
              <w:rPr>
                <w:rFonts w:ascii="Abadi" w:hAnsi="Abadi" w:cs="Calibri"/>
                <w:sz w:val="21"/>
                <w:szCs w:val="21"/>
              </w:rPr>
              <w:t>Ley</w:t>
            </w:r>
            <w:r w:rsidRPr="00401C70">
              <w:rPr>
                <w:rFonts w:ascii="Abadi" w:hAnsi="Abadi" w:cs="Calibri"/>
                <w:spacing w:val="1"/>
                <w:sz w:val="21"/>
                <w:szCs w:val="21"/>
              </w:rPr>
              <w:t xml:space="preserve"> </w:t>
            </w:r>
            <w:r w:rsidRPr="00401C70">
              <w:rPr>
                <w:rFonts w:ascii="Abadi" w:hAnsi="Abadi" w:cs="Calibri"/>
                <w:sz w:val="21"/>
                <w:szCs w:val="21"/>
              </w:rPr>
              <w:t>y</w:t>
            </w:r>
            <w:r w:rsidRPr="00401C70">
              <w:rPr>
                <w:rFonts w:ascii="Abadi" w:hAnsi="Abadi" w:cs="Calibri"/>
                <w:spacing w:val="1"/>
                <w:sz w:val="21"/>
                <w:szCs w:val="21"/>
              </w:rPr>
              <w:t xml:space="preserve"> </w:t>
            </w:r>
            <w:r w:rsidRPr="00401C70">
              <w:rPr>
                <w:rFonts w:ascii="Abadi" w:hAnsi="Abadi" w:cs="Calibri"/>
                <w:sz w:val="21"/>
                <w:szCs w:val="21"/>
              </w:rPr>
              <w:t>dictarán</w:t>
            </w:r>
            <w:r w:rsidRPr="00401C70">
              <w:rPr>
                <w:rFonts w:ascii="Abadi" w:hAnsi="Abadi" w:cs="Calibri"/>
                <w:spacing w:val="1"/>
                <w:sz w:val="21"/>
                <w:szCs w:val="21"/>
              </w:rPr>
              <w:t xml:space="preserve"> </w:t>
            </w:r>
            <w:r w:rsidRPr="00401C70">
              <w:rPr>
                <w:rFonts w:ascii="Abadi" w:hAnsi="Abadi" w:cs="Calibri"/>
                <w:sz w:val="21"/>
                <w:szCs w:val="21"/>
              </w:rPr>
              <w:t>las</w:t>
            </w:r>
            <w:r w:rsidRPr="00401C70">
              <w:rPr>
                <w:rFonts w:ascii="Abadi" w:hAnsi="Abadi" w:cs="Calibri"/>
                <w:spacing w:val="1"/>
                <w:sz w:val="21"/>
                <w:szCs w:val="21"/>
              </w:rPr>
              <w:t xml:space="preserve"> </w:t>
            </w:r>
            <w:r w:rsidRPr="00401C70">
              <w:rPr>
                <w:rFonts w:ascii="Abadi" w:hAnsi="Abadi" w:cs="Calibri"/>
                <w:sz w:val="21"/>
                <w:szCs w:val="21"/>
              </w:rPr>
              <w:t>resoluciones</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les</w:t>
            </w:r>
            <w:r w:rsidRPr="00401C70">
              <w:rPr>
                <w:rFonts w:ascii="Abadi" w:hAnsi="Abadi" w:cs="Calibri"/>
                <w:spacing w:val="-47"/>
                <w:sz w:val="21"/>
                <w:szCs w:val="21"/>
              </w:rPr>
              <w:t xml:space="preserve"> </w:t>
            </w:r>
            <w:r w:rsidRPr="00401C70">
              <w:rPr>
                <w:rFonts w:ascii="Abadi" w:hAnsi="Abadi" w:cs="Calibri"/>
                <w:sz w:val="21"/>
                <w:szCs w:val="21"/>
              </w:rPr>
              <w:t>competan.</w:t>
            </w:r>
          </w:p>
        </w:tc>
        <w:tc>
          <w:tcPr>
            <w:tcW w:w="2500" w:type="pct"/>
            <w:tcBorders>
              <w:top w:val="single" w:sz="4" w:space="0" w:color="000000"/>
              <w:left w:val="single" w:sz="4" w:space="0" w:color="000000"/>
              <w:bottom w:val="none" w:sz="6" w:space="0" w:color="auto"/>
              <w:right w:val="single" w:sz="4" w:space="0" w:color="000000"/>
            </w:tcBorders>
          </w:tcPr>
          <w:p w14:paraId="1E6692A2" w14:textId="77777777" w:rsidR="00677B7E" w:rsidRPr="00401C70" w:rsidRDefault="00677B7E" w:rsidP="00FA2590">
            <w:pPr>
              <w:kinsoku w:val="0"/>
              <w:overflowPunct w:val="0"/>
              <w:autoSpaceDE w:val="0"/>
              <w:autoSpaceDN w:val="0"/>
              <w:adjustRightInd w:val="0"/>
              <w:ind w:left="107" w:right="91"/>
              <w:jc w:val="both"/>
              <w:rPr>
                <w:rFonts w:ascii="Abadi" w:hAnsi="Abadi" w:cs="Calibri"/>
                <w:sz w:val="21"/>
                <w:szCs w:val="21"/>
              </w:rPr>
            </w:pPr>
            <w:r w:rsidRPr="00401C70">
              <w:rPr>
                <w:rFonts w:ascii="Abadi" w:hAnsi="Abadi" w:cs="Calibri"/>
                <w:b/>
                <w:bCs/>
                <w:sz w:val="21"/>
                <w:szCs w:val="21"/>
              </w:rPr>
              <w:t>Artículo</w:t>
            </w:r>
            <w:r w:rsidRPr="00401C70">
              <w:rPr>
                <w:rFonts w:ascii="Abadi" w:hAnsi="Abadi" w:cs="Calibri"/>
                <w:b/>
                <w:bCs/>
                <w:spacing w:val="1"/>
                <w:sz w:val="21"/>
                <w:szCs w:val="21"/>
              </w:rPr>
              <w:t xml:space="preserve"> </w:t>
            </w:r>
            <w:r w:rsidRPr="00401C70">
              <w:rPr>
                <w:rFonts w:ascii="Abadi" w:hAnsi="Abadi" w:cs="Calibri"/>
                <w:b/>
                <w:bCs/>
                <w:sz w:val="21"/>
                <w:szCs w:val="21"/>
              </w:rPr>
              <w:t>17.-</w:t>
            </w:r>
            <w:r w:rsidRPr="00401C70">
              <w:rPr>
                <w:rFonts w:ascii="Abadi" w:hAnsi="Abadi" w:cs="Calibri"/>
                <w:b/>
                <w:bCs/>
                <w:spacing w:val="1"/>
                <w:sz w:val="21"/>
                <w:szCs w:val="21"/>
              </w:rPr>
              <w:t xml:space="preserve"> </w:t>
            </w:r>
            <w:r w:rsidRPr="00401C70">
              <w:rPr>
                <w:rFonts w:ascii="Abadi" w:hAnsi="Abadi" w:cs="Calibri"/>
                <w:b/>
                <w:bCs/>
                <w:i/>
                <w:iCs/>
                <w:sz w:val="21"/>
                <w:szCs w:val="21"/>
              </w:rPr>
              <w:t>Las</w:t>
            </w:r>
            <w:r w:rsidRPr="00401C70">
              <w:rPr>
                <w:rFonts w:ascii="Abadi" w:hAnsi="Abadi" w:cs="Calibri"/>
                <w:b/>
                <w:bCs/>
                <w:i/>
                <w:iCs/>
                <w:spacing w:val="1"/>
                <w:sz w:val="21"/>
                <w:szCs w:val="21"/>
              </w:rPr>
              <w:t xml:space="preserve"> </w:t>
            </w:r>
            <w:r w:rsidRPr="00401C70">
              <w:rPr>
                <w:rFonts w:ascii="Abadi" w:hAnsi="Abadi" w:cs="Calibri"/>
                <w:b/>
                <w:bCs/>
                <w:i/>
                <w:iCs/>
                <w:sz w:val="21"/>
                <w:szCs w:val="21"/>
              </w:rPr>
              <w:t>personas</w:t>
            </w:r>
            <w:r w:rsidRPr="00401C70">
              <w:rPr>
                <w:rFonts w:ascii="Abadi" w:hAnsi="Abadi" w:cs="Calibri"/>
                <w:b/>
                <w:bCs/>
                <w:i/>
                <w:iCs/>
                <w:spacing w:val="1"/>
                <w:sz w:val="21"/>
                <w:szCs w:val="21"/>
              </w:rPr>
              <w:t xml:space="preserve"> </w:t>
            </w:r>
            <w:r w:rsidRPr="00401C70">
              <w:rPr>
                <w:rFonts w:ascii="Abadi" w:hAnsi="Abadi" w:cs="Calibri"/>
                <w:sz w:val="21"/>
                <w:szCs w:val="21"/>
              </w:rPr>
              <w:t>titulares</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las</w:t>
            </w:r>
            <w:r w:rsidRPr="00401C70">
              <w:rPr>
                <w:rFonts w:ascii="Abadi" w:hAnsi="Abadi" w:cs="Calibri"/>
                <w:spacing w:val="1"/>
                <w:sz w:val="21"/>
                <w:szCs w:val="21"/>
              </w:rPr>
              <w:t xml:space="preserve"> </w:t>
            </w:r>
            <w:r w:rsidRPr="00401C70">
              <w:rPr>
                <w:rFonts w:ascii="Abadi" w:hAnsi="Abadi" w:cs="Calibri"/>
                <w:sz w:val="21"/>
                <w:szCs w:val="21"/>
              </w:rPr>
              <w:t>Secretarías</w:t>
            </w:r>
            <w:r w:rsidRPr="00401C70">
              <w:rPr>
                <w:rFonts w:ascii="Abadi" w:hAnsi="Abadi" w:cs="Calibri"/>
                <w:spacing w:val="1"/>
                <w:sz w:val="21"/>
                <w:szCs w:val="21"/>
              </w:rPr>
              <w:t xml:space="preserve"> </w:t>
            </w:r>
            <w:r w:rsidRPr="00401C70">
              <w:rPr>
                <w:rFonts w:ascii="Abadi" w:hAnsi="Abadi" w:cs="Calibri"/>
                <w:sz w:val="21"/>
                <w:szCs w:val="21"/>
              </w:rPr>
              <w:t>serán</w:t>
            </w:r>
            <w:r w:rsidRPr="00401C70">
              <w:rPr>
                <w:rFonts w:ascii="Abadi" w:hAnsi="Abadi" w:cs="Calibri"/>
                <w:spacing w:val="1"/>
                <w:sz w:val="21"/>
                <w:szCs w:val="21"/>
              </w:rPr>
              <w:t xml:space="preserve"> </w:t>
            </w:r>
            <w:r w:rsidRPr="00401C70">
              <w:rPr>
                <w:rFonts w:ascii="Abadi" w:hAnsi="Abadi" w:cs="Calibri"/>
                <w:b/>
                <w:bCs/>
                <w:i/>
                <w:iCs/>
                <w:sz w:val="21"/>
                <w:szCs w:val="21"/>
              </w:rPr>
              <w:t>nombradas</w:t>
            </w:r>
            <w:r w:rsidRPr="00401C70">
              <w:rPr>
                <w:rFonts w:ascii="Abadi" w:hAnsi="Abadi" w:cs="Calibri"/>
                <w:b/>
                <w:bCs/>
                <w:i/>
                <w:iCs/>
                <w:spacing w:val="1"/>
                <w:sz w:val="21"/>
                <w:szCs w:val="21"/>
              </w:rPr>
              <w:t xml:space="preserve"> </w:t>
            </w:r>
            <w:r w:rsidRPr="00401C70">
              <w:rPr>
                <w:rFonts w:ascii="Abadi" w:hAnsi="Abadi" w:cs="Calibri"/>
                <w:sz w:val="21"/>
                <w:szCs w:val="21"/>
              </w:rPr>
              <w:t>por</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47"/>
                <w:sz w:val="21"/>
                <w:szCs w:val="21"/>
              </w:rPr>
              <w:t xml:space="preserve"> </w:t>
            </w:r>
            <w:r w:rsidRPr="00401C70">
              <w:rPr>
                <w:rFonts w:ascii="Abadi" w:hAnsi="Abadi" w:cs="Calibri"/>
                <w:spacing w:val="-1"/>
                <w:sz w:val="21"/>
                <w:szCs w:val="21"/>
              </w:rPr>
              <w:t>Gobernador</w:t>
            </w:r>
            <w:r w:rsidRPr="00401C70">
              <w:rPr>
                <w:rFonts w:ascii="Abadi" w:hAnsi="Abadi" w:cs="Calibri"/>
                <w:spacing w:val="-11"/>
                <w:sz w:val="21"/>
                <w:szCs w:val="21"/>
              </w:rPr>
              <w:t xml:space="preserve"> </w:t>
            </w:r>
            <w:r w:rsidRPr="00401C70">
              <w:rPr>
                <w:rFonts w:ascii="Abadi" w:hAnsi="Abadi" w:cs="Calibri"/>
                <w:sz w:val="21"/>
                <w:szCs w:val="21"/>
              </w:rPr>
              <w:t>del</w:t>
            </w:r>
            <w:r w:rsidRPr="00401C70">
              <w:rPr>
                <w:rFonts w:ascii="Abadi" w:hAnsi="Abadi" w:cs="Calibri"/>
                <w:spacing w:val="-10"/>
                <w:sz w:val="21"/>
                <w:szCs w:val="21"/>
              </w:rPr>
              <w:t xml:space="preserve"> </w:t>
            </w:r>
            <w:r w:rsidRPr="00401C70">
              <w:rPr>
                <w:rFonts w:ascii="Abadi" w:hAnsi="Abadi" w:cs="Calibri"/>
                <w:sz w:val="21"/>
                <w:szCs w:val="21"/>
              </w:rPr>
              <w:t>Estado</w:t>
            </w:r>
            <w:r w:rsidRPr="00401C70">
              <w:rPr>
                <w:rFonts w:ascii="Abadi" w:hAnsi="Abadi" w:cs="Calibri"/>
                <w:spacing w:val="-12"/>
                <w:sz w:val="21"/>
                <w:szCs w:val="21"/>
              </w:rPr>
              <w:t xml:space="preserve"> </w:t>
            </w:r>
            <w:r w:rsidRPr="00401C70">
              <w:rPr>
                <w:rFonts w:ascii="Abadi" w:hAnsi="Abadi" w:cs="Calibri"/>
                <w:b/>
                <w:bCs/>
                <w:i/>
                <w:iCs/>
                <w:sz w:val="21"/>
                <w:szCs w:val="21"/>
              </w:rPr>
              <w:t>observando</w:t>
            </w:r>
            <w:r w:rsidRPr="00401C70">
              <w:rPr>
                <w:rFonts w:ascii="Abadi" w:hAnsi="Abadi" w:cs="Calibri"/>
                <w:b/>
                <w:bCs/>
                <w:i/>
                <w:iCs/>
                <w:spacing w:val="-9"/>
                <w:sz w:val="21"/>
                <w:szCs w:val="21"/>
              </w:rPr>
              <w:t xml:space="preserve"> </w:t>
            </w:r>
            <w:r w:rsidRPr="00401C70">
              <w:rPr>
                <w:rFonts w:ascii="Abadi" w:hAnsi="Abadi" w:cs="Calibri"/>
                <w:b/>
                <w:bCs/>
                <w:i/>
                <w:iCs/>
                <w:sz w:val="21"/>
                <w:szCs w:val="21"/>
              </w:rPr>
              <w:t>el</w:t>
            </w:r>
            <w:r w:rsidRPr="00401C70">
              <w:rPr>
                <w:rFonts w:ascii="Abadi" w:hAnsi="Abadi" w:cs="Calibri"/>
                <w:b/>
                <w:bCs/>
                <w:i/>
                <w:iCs/>
                <w:spacing w:val="-11"/>
                <w:sz w:val="21"/>
                <w:szCs w:val="21"/>
              </w:rPr>
              <w:t xml:space="preserve"> </w:t>
            </w:r>
            <w:r w:rsidRPr="00401C70">
              <w:rPr>
                <w:rFonts w:ascii="Abadi" w:hAnsi="Abadi" w:cs="Calibri"/>
                <w:b/>
                <w:bCs/>
                <w:i/>
                <w:iCs/>
                <w:sz w:val="21"/>
                <w:szCs w:val="21"/>
              </w:rPr>
              <w:t>principio</w:t>
            </w:r>
            <w:r w:rsidRPr="00401C70">
              <w:rPr>
                <w:rFonts w:ascii="Abadi" w:hAnsi="Abadi" w:cs="Calibri"/>
                <w:b/>
                <w:bCs/>
                <w:i/>
                <w:iCs/>
                <w:spacing w:val="-47"/>
                <w:sz w:val="21"/>
                <w:szCs w:val="21"/>
              </w:rPr>
              <w:t xml:space="preserve"> </w:t>
            </w:r>
            <w:r w:rsidRPr="00401C70">
              <w:rPr>
                <w:rFonts w:ascii="Abadi" w:hAnsi="Abadi" w:cs="Calibri"/>
                <w:b/>
                <w:bCs/>
                <w:i/>
                <w:iCs/>
                <w:spacing w:val="-1"/>
                <w:sz w:val="21"/>
                <w:szCs w:val="21"/>
              </w:rPr>
              <w:t>de</w:t>
            </w:r>
            <w:r w:rsidRPr="00401C70">
              <w:rPr>
                <w:rFonts w:ascii="Abadi" w:hAnsi="Abadi" w:cs="Calibri"/>
                <w:b/>
                <w:bCs/>
                <w:i/>
                <w:iCs/>
                <w:spacing w:val="-10"/>
                <w:sz w:val="21"/>
                <w:szCs w:val="21"/>
              </w:rPr>
              <w:t xml:space="preserve"> </w:t>
            </w:r>
            <w:r w:rsidRPr="00401C70">
              <w:rPr>
                <w:rFonts w:ascii="Abadi" w:hAnsi="Abadi" w:cs="Calibri"/>
                <w:b/>
                <w:bCs/>
                <w:i/>
                <w:iCs/>
                <w:spacing w:val="-1"/>
                <w:sz w:val="21"/>
                <w:szCs w:val="21"/>
              </w:rPr>
              <w:t>paridad</w:t>
            </w:r>
            <w:r w:rsidRPr="00401C70">
              <w:rPr>
                <w:rFonts w:ascii="Abadi" w:hAnsi="Abadi" w:cs="Calibri"/>
                <w:b/>
                <w:bCs/>
                <w:i/>
                <w:iCs/>
                <w:spacing w:val="-8"/>
                <w:sz w:val="21"/>
                <w:szCs w:val="21"/>
              </w:rPr>
              <w:t xml:space="preserve"> </w:t>
            </w:r>
            <w:r w:rsidRPr="00401C70">
              <w:rPr>
                <w:rFonts w:ascii="Abadi" w:hAnsi="Abadi" w:cs="Calibri"/>
                <w:b/>
                <w:bCs/>
                <w:i/>
                <w:iCs/>
                <w:sz w:val="21"/>
                <w:szCs w:val="21"/>
              </w:rPr>
              <w:t>de</w:t>
            </w:r>
            <w:r w:rsidRPr="00401C70">
              <w:rPr>
                <w:rFonts w:ascii="Abadi" w:hAnsi="Abadi" w:cs="Calibri"/>
                <w:b/>
                <w:bCs/>
                <w:i/>
                <w:iCs/>
                <w:spacing w:val="-12"/>
                <w:sz w:val="21"/>
                <w:szCs w:val="21"/>
              </w:rPr>
              <w:t xml:space="preserve"> </w:t>
            </w:r>
            <w:r w:rsidRPr="00401C70">
              <w:rPr>
                <w:rFonts w:ascii="Abadi" w:hAnsi="Abadi" w:cs="Calibri"/>
                <w:b/>
                <w:bCs/>
                <w:i/>
                <w:iCs/>
                <w:sz w:val="21"/>
                <w:szCs w:val="21"/>
              </w:rPr>
              <w:t>género</w:t>
            </w:r>
            <w:r w:rsidRPr="00401C70">
              <w:rPr>
                <w:rFonts w:ascii="Abadi" w:hAnsi="Abadi" w:cs="Calibri"/>
                <w:b/>
                <w:bCs/>
                <w:i/>
                <w:iCs/>
                <w:spacing w:val="-7"/>
                <w:sz w:val="21"/>
                <w:szCs w:val="21"/>
              </w:rPr>
              <w:t xml:space="preserve"> </w:t>
            </w:r>
            <w:r w:rsidRPr="00401C70">
              <w:rPr>
                <w:rFonts w:ascii="Abadi" w:hAnsi="Abadi" w:cs="Calibri"/>
                <w:b/>
                <w:bCs/>
                <w:i/>
                <w:iCs/>
                <w:sz w:val="21"/>
                <w:szCs w:val="21"/>
              </w:rPr>
              <w:t>y</w:t>
            </w:r>
            <w:r w:rsidRPr="00401C70">
              <w:rPr>
                <w:rFonts w:ascii="Abadi" w:hAnsi="Abadi" w:cs="Calibri"/>
                <w:b/>
                <w:bCs/>
                <w:i/>
                <w:iCs/>
                <w:spacing w:val="-9"/>
                <w:sz w:val="21"/>
                <w:szCs w:val="21"/>
              </w:rPr>
              <w:t xml:space="preserve"> </w:t>
            </w:r>
            <w:r w:rsidRPr="00401C70">
              <w:rPr>
                <w:rFonts w:ascii="Abadi" w:hAnsi="Abadi" w:cs="Calibri"/>
                <w:sz w:val="21"/>
                <w:szCs w:val="21"/>
              </w:rPr>
              <w:t>ejercerán</w:t>
            </w:r>
            <w:r w:rsidRPr="00401C70">
              <w:rPr>
                <w:rFonts w:ascii="Abadi" w:hAnsi="Abadi" w:cs="Calibri"/>
                <w:spacing w:val="-10"/>
                <w:sz w:val="21"/>
                <w:szCs w:val="21"/>
              </w:rPr>
              <w:t xml:space="preserve"> </w:t>
            </w:r>
            <w:r w:rsidRPr="00401C70">
              <w:rPr>
                <w:rFonts w:ascii="Abadi" w:hAnsi="Abadi" w:cs="Calibri"/>
                <w:sz w:val="21"/>
                <w:szCs w:val="21"/>
              </w:rPr>
              <w:t>sus</w:t>
            </w:r>
            <w:r w:rsidRPr="00401C70">
              <w:rPr>
                <w:rFonts w:ascii="Abadi" w:hAnsi="Abadi" w:cs="Calibri"/>
                <w:spacing w:val="-9"/>
                <w:sz w:val="21"/>
                <w:szCs w:val="21"/>
              </w:rPr>
              <w:t xml:space="preserve"> </w:t>
            </w:r>
            <w:r w:rsidRPr="00401C70">
              <w:rPr>
                <w:rFonts w:ascii="Abadi" w:hAnsi="Abadi" w:cs="Calibri"/>
                <w:sz w:val="21"/>
                <w:szCs w:val="21"/>
              </w:rPr>
              <w:t>funciones</w:t>
            </w:r>
            <w:r w:rsidRPr="00401C70">
              <w:rPr>
                <w:rFonts w:ascii="Abadi" w:hAnsi="Abadi" w:cs="Calibri"/>
                <w:spacing w:val="-48"/>
                <w:sz w:val="21"/>
                <w:szCs w:val="21"/>
              </w:rPr>
              <w:t xml:space="preserve"> </w:t>
            </w:r>
            <w:r w:rsidRPr="00401C70">
              <w:rPr>
                <w:rFonts w:ascii="Abadi" w:hAnsi="Abadi" w:cs="Calibri"/>
                <w:sz w:val="21"/>
                <w:szCs w:val="21"/>
              </w:rPr>
              <w:t>por acuerdo del mismo, de conformidad con lo</w:t>
            </w:r>
            <w:r w:rsidRPr="00401C70">
              <w:rPr>
                <w:rFonts w:ascii="Abadi" w:hAnsi="Abadi" w:cs="Calibri"/>
                <w:spacing w:val="-47"/>
                <w:sz w:val="21"/>
                <w:szCs w:val="21"/>
              </w:rPr>
              <w:t xml:space="preserve"> </w:t>
            </w:r>
            <w:r w:rsidRPr="00401C70">
              <w:rPr>
                <w:rFonts w:ascii="Abadi" w:hAnsi="Abadi" w:cs="Calibri"/>
                <w:sz w:val="21"/>
                <w:szCs w:val="21"/>
              </w:rPr>
              <w:t>que señala esta Ley y dictarán las resoluciones</w:t>
            </w:r>
            <w:r w:rsidRPr="00401C70">
              <w:rPr>
                <w:rFonts w:ascii="Abadi" w:hAnsi="Abadi" w:cs="Calibri"/>
                <w:spacing w:val="1"/>
                <w:sz w:val="21"/>
                <w:szCs w:val="21"/>
              </w:rPr>
              <w:t xml:space="preserve"> </w:t>
            </w:r>
            <w:r w:rsidRPr="00401C70">
              <w:rPr>
                <w:rFonts w:ascii="Abadi" w:hAnsi="Abadi" w:cs="Calibri"/>
                <w:sz w:val="21"/>
                <w:szCs w:val="21"/>
              </w:rPr>
              <w:t>que les competan.</w:t>
            </w:r>
          </w:p>
        </w:tc>
      </w:tr>
      <w:tr w:rsidR="00677B7E" w:rsidRPr="00401C70" w14:paraId="6DDBD625" w14:textId="77777777" w:rsidTr="003343AD">
        <w:trPr>
          <w:trHeight w:val="4028"/>
        </w:trPr>
        <w:tc>
          <w:tcPr>
            <w:tcW w:w="2500" w:type="pct"/>
            <w:tcBorders>
              <w:top w:val="none" w:sz="6" w:space="0" w:color="auto"/>
              <w:left w:val="single" w:sz="4" w:space="0" w:color="000000"/>
              <w:bottom w:val="none" w:sz="6" w:space="0" w:color="auto"/>
              <w:right w:val="single" w:sz="4" w:space="0" w:color="000000"/>
            </w:tcBorders>
          </w:tcPr>
          <w:p w14:paraId="7C8D99E2" w14:textId="77777777" w:rsidR="00677B7E" w:rsidRPr="00401C70" w:rsidRDefault="00677B7E" w:rsidP="00FA2590">
            <w:pPr>
              <w:kinsoku w:val="0"/>
              <w:overflowPunct w:val="0"/>
              <w:autoSpaceDE w:val="0"/>
              <w:autoSpaceDN w:val="0"/>
              <w:adjustRightInd w:val="0"/>
              <w:spacing w:before="113"/>
              <w:ind w:left="107" w:right="90"/>
              <w:jc w:val="both"/>
              <w:rPr>
                <w:rFonts w:ascii="Abadi" w:hAnsi="Abadi" w:cs="Calibri"/>
                <w:sz w:val="21"/>
                <w:szCs w:val="21"/>
              </w:rPr>
            </w:pPr>
            <w:r w:rsidRPr="00401C70">
              <w:rPr>
                <w:rFonts w:ascii="Abadi" w:hAnsi="Abadi" w:cs="Calibri"/>
                <w:sz w:val="21"/>
                <w:szCs w:val="21"/>
              </w:rPr>
              <w:t>El titular de la Secretaría de la Transparencia y</w:t>
            </w:r>
            <w:r w:rsidRPr="00401C70">
              <w:rPr>
                <w:rFonts w:ascii="Abadi" w:hAnsi="Abadi" w:cs="Calibri"/>
                <w:spacing w:val="1"/>
                <w:sz w:val="21"/>
                <w:szCs w:val="21"/>
              </w:rPr>
              <w:t xml:space="preserve"> </w:t>
            </w:r>
            <w:r w:rsidRPr="00401C70">
              <w:rPr>
                <w:rFonts w:ascii="Abadi" w:hAnsi="Abadi" w:cs="Calibri"/>
                <w:sz w:val="21"/>
                <w:szCs w:val="21"/>
              </w:rPr>
              <w:t>Rendición de</w:t>
            </w:r>
            <w:r w:rsidRPr="00401C70">
              <w:rPr>
                <w:rFonts w:ascii="Abadi" w:hAnsi="Abadi" w:cs="Calibri"/>
                <w:spacing w:val="1"/>
                <w:sz w:val="21"/>
                <w:szCs w:val="21"/>
              </w:rPr>
              <w:t xml:space="preserve"> </w:t>
            </w:r>
            <w:r w:rsidRPr="00401C70">
              <w:rPr>
                <w:rFonts w:ascii="Abadi" w:hAnsi="Abadi" w:cs="Calibri"/>
                <w:sz w:val="21"/>
                <w:szCs w:val="21"/>
              </w:rPr>
              <w:t>Cuentas será</w:t>
            </w:r>
            <w:r w:rsidRPr="00401C70">
              <w:rPr>
                <w:rFonts w:ascii="Abadi" w:hAnsi="Abadi" w:cs="Calibri"/>
                <w:spacing w:val="1"/>
                <w:sz w:val="21"/>
                <w:szCs w:val="21"/>
              </w:rPr>
              <w:t xml:space="preserve"> </w:t>
            </w:r>
            <w:r w:rsidRPr="00401C70">
              <w:rPr>
                <w:rFonts w:ascii="Abadi" w:hAnsi="Abadi" w:cs="Calibri"/>
                <w:sz w:val="21"/>
                <w:szCs w:val="21"/>
              </w:rPr>
              <w:t>nombrado por el</w:t>
            </w:r>
            <w:r w:rsidRPr="00401C70">
              <w:rPr>
                <w:rFonts w:ascii="Abadi" w:hAnsi="Abadi" w:cs="Calibri"/>
                <w:spacing w:val="1"/>
                <w:sz w:val="21"/>
                <w:szCs w:val="21"/>
              </w:rPr>
              <w:t xml:space="preserve"> </w:t>
            </w:r>
            <w:r w:rsidRPr="00401C70">
              <w:rPr>
                <w:rFonts w:ascii="Abadi" w:hAnsi="Abadi" w:cs="Calibri"/>
                <w:sz w:val="21"/>
                <w:szCs w:val="21"/>
              </w:rPr>
              <w:t>Gobernador</w:t>
            </w:r>
            <w:r w:rsidRPr="00401C70">
              <w:rPr>
                <w:rFonts w:ascii="Abadi" w:hAnsi="Abadi" w:cs="Calibri"/>
                <w:spacing w:val="-10"/>
                <w:sz w:val="21"/>
                <w:szCs w:val="21"/>
              </w:rPr>
              <w:t xml:space="preserve"> </w:t>
            </w:r>
            <w:r w:rsidRPr="00401C70">
              <w:rPr>
                <w:rFonts w:ascii="Abadi" w:hAnsi="Abadi" w:cs="Calibri"/>
                <w:sz w:val="21"/>
                <w:szCs w:val="21"/>
              </w:rPr>
              <w:t>del</w:t>
            </w:r>
            <w:r w:rsidRPr="00401C70">
              <w:rPr>
                <w:rFonts w:ascii="Abadi" w:hAnsi="Abadi" w:cs="Calibri"/>
                <w:spacing w:val="-9"/>
                <w:sz w:val="21"/>
                <w:szCs w:val="21"/>
              </w:rPr>
              <w:t xml:space="preserve"> </w:t>
            </w:r>
            <w:r w:rsidRPr="00401C70">
              <w:rPr>
                <w:rFonts w:ascii="Abadi" w:hAnsi="Abadi" w:cs="Calibri"/>
                <w:sz w:val="21"/>
                <w:szCs w:val="21"/>
              </w:rPr>
              <w:t>Estado</w:t>
            </w:r>
            <w:r w:rsidRPr="00401C70">
              <w:rPr>
                <w:rFonts w:ascii="Abadi" w:hAnsi="Abadi" w:cs="Calibri"/>
                <w:spacing w:val="-8"/>
                <w:sz w:val="21"/>
                <w:szCs w:val="21"/>
              </w:rPr>
              <w:t xml:space="preserve"> </w:t>
            </w:r>
            <w:r w:rsidRPr="00401C70">
              <w:rPr>
                <w:rFonts w:ascii="Abadi" w:hAnsi="Abadi" w:cs="Calibri"/>
                <w:sz w:val="21"/>
                <w:szCs w:val="21"/>
              </w:rPr>
              <w:t>con</w:t>
            </w:r>
            <w:r w:rsidRPr="00401C70">
              <w:rPr>
                <w:rFonts w:ascii="Abadi" w:hAnsi="Abadi" w:cs="Calibri"/>
                <w:spacing w:val="-10"/>
                <w:sz w:val="21"/>
                <w:szCs w:val="21"/>
              </w:rPr>
              <w:t xml:space="preserve"> </w:t>
            </w:r>
            <w:r w:rsidRPr="00401C70">
              <w:rPr>
                <w:rFonts w:ascii="Abadi" w:hAnsi="Abadi" w:cs="Calibri"/>
                <w:sz w:val="21"/>
                <w:szCs w:val="21"/>
              </w:rPr>
              <w:t>la</w:t>
            </w:r>
            <w:r w:rsidRPr="00401C70">
              <w:rPr>
                <w:rFonts w:ascii="Abadi" w:hAnsi="Abadi" w:cs="Calibri"/>
                <w:spacing w:val="-11"/>
                <w:sz w:val="21"/>
                <w:szCs w:val="21"/>
              </w:rPr>
              <w:t xml:space="preserve"> </w:t>
            </w:r>
            <w:r w:rsidRPr="00401C70">
              <w:rPr>
                <w:rFonts w:ascii="Abadi" w:hAnsi="Abadi" w:cs="Calibri"/>
                <w:sz w:val="21"/>
                <w:szCs w:val="21"/>
              </w:rPr>
              <w:t>ratificación</w:t>
            </w:r>
            <w:r w:rsidRPr="00401C70">
              <w:rPr>
                <w:rFonts w:ascii="Abadi" w:hAnsi="Abadi" w:cs="Calibri"/>
                <w:spacing w:val="-10"/>
                <w:sz w:val="21"/>
                <w:szCs w:val="21"/>
              </w:rPr>
              <w:t xml:space="preserve"> </w:t>
            </w:r>
            <w:r w:rsidRPr="00401C70">
              <w:rPr>
                <w:rFonts w:ascii="Abadi" w:hAnsi="Abadi" w:cs="Calibri"/>
                <w:sz w:val="21"/>
                <w:szCs w:val="21"/>
              </w:rPr>
              <w:t>de</w:t>
            </w:r>
            <w:r w:rsidRPr="00401C70">
              <w:rPr>
                <w:rFonts w:ascii="Abadi" w:hAnsi="Abadi" w:cs="Calibri"/>
                <w:spacing w:val="-9"/>
                <w:sz w:val="21"/>
                <w:szCs w:val="21"/>
              </w:rPr>
              <w:t xml:space="preserve"> </w:t>
            </w:r>
            <w:r w:rsidRPr="00401C70">
              <w:rPr>
                <w:rFonts w:ascii="Abadi" w:hAnsi="Abadi" w:cs="Calibri"/>
                <w:sz w:val="21"/>
                <w:szCs w:val="21"/>
              </w:rPr>
              <w:t>las</w:t>
            </w:r>
            <w:r w:rsidRPr="00401C70">
              <w:rPr>
                <w:rFonts w:ascii="Abadi" w:hAnsi="Abadi" w:cs="Calibri"/>
                <w:spacing w:val="-48"/>
                <w:sz w:val="21"/>
                <w:szCs w:val="21"/>
              </w:rPr>
              <w:t xml:space="preserve"> </w:t>
            </w:r>
            <w:r w:rsidRPr="00401C70">
              <w:rPr>
                <w:rFonts w:ascii="Abadi" w:hAnsi="Abadi" w:cs="Calibri"/>
                <w:sz w:val="21"/>
                <w:szCs w:val="21"/>
              </w:rPr>
              <w:t>dos</w:t>
            </w:r>
            <w:r w:rsidRPr="00401C70">
              <w:rPr>
                <w:rFonts w:ascii="Abadi" w:hAnsi="Abadi" w:cs="Calibri"/>
                <w:spacing w:val="1"/>
                <w:sz w:val="21"/>
                <w:szCs w:val="21"/>
              </w:rPr>
              <w:t xml:space="preserve"> </w:t>
            </w:r>
            <w:r w:rsidRPr="00401C70">
              <w:rPr>
                <w:rFonts w:ascii="Abadi" w:hAnsi="Abadi" w:cs="Calibri"/>
                <w:sz w:val="21"/>
                <w:szCs w:val="21"/>
              </w:rPr>
              <w:t>terceras</w:t>
            </w:r>
            <w:r w:rsidRPr="00401C70">
              <w:rPr>
                <w:rFonts w:ascii="Abadi" w:hAnsi="Abadi" w:cs="Calibri"/>
                <w:spacing w:val="1"/>
                <w:sz w:val="21"/>
                <w:szCs w:val="21"/>
              </w:rPr>
              <w:t xml:space="preserve"> </w:t>
            </w:r>
            <w:r w:rsidRPr="00401C70">
              <w:rPr>
                <w:rFonts w:ascii="Abadi" w:hAnsi="Abadi" w:cs="Calibri"/>
                <w:sz w:val="21"/>
                <w:szCs w:val="21"/>
              </w:rPr>
              <w:t>partes</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integrantes</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Congreso del Estado; en tanto se apruebe el</w:t>
            </w:r>
            <w:r w:rsidRPr="00401C70">
              <w:rPr>
                <w:rFonts w:ascii="Abadi" w:hAnsi="Abadi" w:cs="Calibri"/>
                <w:spacing w:val="1"/>
                <w:sz w:val="21"/>
                <w:szCs w:val="21"/>
              </w:rPr>
              <w:t xml:space="preserve"> </w:t>
            </w:r>
            <w:r w:rsidRPr="00401C70">
              <w:rPr>
                <w:rFonts w:ascii="Abadi" w:hAnsi="Abadi" w:cs="Calibri"/>
                <w:sz w:val="21"/>
                <w:szCs w:val="21"/>
              </w:rPr>
              <w:t>nombramiento</w:t>
            </w:r>
            <w:r w:rsidRPr="00401C70">
              <w:rPr>
                <w:rFonts w:ascii="Abadi" w:hAnsi="Abadi" w:cs="Calibri"/>
                <w:spacing w:val="1"/>
                <w:sz w:val="21"/>
                <w:szCs w:val="21"/>
              </w:rPr>
              <w:t xml:space="preserve"> </w:t>
            </w:r>
            <w:r w:rsidRPr="00401C70">
              <w:rPr>
                <w:rFonts w:ascii="Abadi" w:hAnsi="Abadi" w:cs="Calibri"/>
                <w:sz w:val="21"/>
                <w:szCs w:val="21"/>
              </w:rPr>
              <w:t>aquél,</w:t>
            </w:r>
            <w:r w:rsidRPr="00401C70">
              <w:rPr>
                <w:rFonts w:ascii="Abadi" w:hAnsi="Abadi" w:cs="Calibri"/>
                <w:spacing w:val="1"/>
                <w:sz w:val="21"/>
                <w:szCs w:val="21"/>
              </w:rPr>
              <w:t xml:space="preserve"> </w:t>
            </w:r>
            <w:r w:rsidRPr="00401C70">
              <w:rPr>
                <w:rFonts w:ascii="Abadi" w:hAnsi="Abadi" w:cs="Calibri"/>
                <w:sz w:val="21"/>
                <w:szCs w:val="21"/>
              </w:rPr>
              <w:t>podrá</w:t>
            </w:r>
            <w:r w:rsidRPr="00401C70">
              <w:rPr>
                <w:rFonts w:ascii="Abadi" w:hAnsi="Abadi" w:cs="Calibri"/>
                <w:spacing w:val="1"/>
                <w:sz w:val="21"/>
                <w:szCs w:val="21"/>
              </w:rPr>
              <w:t xml:space="preserve"> </w:t>
            </w:r>
            <w:r w:rsidRPr="00401C70">
              <w:rPr>
                <w:rFonts w:ascii="Abadi" w:hAnsi="Abadi" w:cs="Calibri"/>
                <w:sz w:val="21"/>
                <w:szCs w:val="21"/>
              </w:rPr>
              <w:t>designar</w:t>
            </w:r>
            <w:r w:rsidRPr="00401C70">
              <w:rPr>
                <w:rFonts w:ascii="Abadi" w:hAnsi="Abadi" w:cs="Calibri"/>
                <w:spacing w:val="1"/>
                <w:sz w:val="21"/>
                <w:szCs w:val="21"/>
              </w:rPr>
              <w:t xml:space="preserve"> </w:t>
            </w:r>
            <w:r w:rsidRPr="00401C70">
              <w:rPr>
                <w:rFonts w:ascii="Abadi" w:hAnsi="Abadi" w:cs="Calibri"/>
                <w:sz w:val="21"/>
                <w:szCs w:val="21"/>
              </w:rPr>
              <w:t>un</w:t>
            </w:r>
            <w:r w:rsidRPr="00401C70">
              <w:rPr>
                <w:rFonts w:ascii="Abadi" w:hAnsi="Abadi" w:cs="Calibri"/>
                <w:spacing w:val="1"/>
                <w:sz w:val="21"/>
                <w:szCs w:val="21"/>
              </w:rPr>
              <w:t xml:space="preserve"> </w:t>
            </w:r>
            <w:r w:rsidRPr="00401C70">
              <w:rPr>
                <w:rFonts w:ascii="Abadi" w:hAnsi="Abadi" w:cs="Calibri"/>
                <w:sz w:val="21"/>
                <w:szCs w:val="21"/>
              </w:rPr>
              <w:t>encargado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despacho.</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persona</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pacing w:val="-1"/>
                <w:sz w:val="21"/>
                <w:szCs w:val="21"/>
              </w:rPr>
              <w:t>nombre</w:t>
            </w:r>
            <w:r w:rsidRPr="00401C70">
              <w:rPr>
                <w:rFonts w:ascii="Abadi" w:hAnsi="Abadi" w:cs="Calibri"/>
                <w:spacing w:val="-11"/>
                <w:sz w:val="21"/>
                <w:szCs w:val="21"/>
              </w:rPr>
              <w:t xml:space="preserve"> </w:t>
            </w:r>
            <w:r w:rsidRPr="00401C70">
              <w:rPr>
                <w:rFonts w:ascii="Abadi" w:hAnsi="Abadi" w:cs="Calibri"/>
                <w:spacing w:val="-1"/>
                <w:sz w:val="21"/>
                <w:szCs w:val="21"/>
              </w:rPr>
              <w:t>el</w:t>
            </w:r>
            <w:r w:rsidRPr="00401C70">
              <w:rPr>
                <w:rFonts w:ascii="Abadi" w:hAnsi="Abadi" w:cs="Calibri"/>
                <w:spacing w:val="-9"/>
                <w:sz w:val="21"/>
                <w:szCs w:val="21"/>
              </w:rPr>
              <w:t xml:space="preserve"> </w:t>
            </w:r>
            <w:r w:rsidRPr="00401C70">
              <w:rPr>
                <w:rFonts w:ascii="Abadi" w:hAnsi="Abadi" w:cs="Calibri"/>
                <w:sz w:val="21"/>
                <w:szCs w:val="21"/>
              </w:rPr>
              <w:t>Gobernador</w:t>
            </w:r>
            <w:r w:rsidRPr="00401C70">
              <w:rPr>
                <w:rFonts w:ascii="Abadi" w:hAnsi="Abadi" w:cs="Calibri"/>
                <w:spacing w:val="-9"/>
                <w:sz w:val="21"/>
                <w:szCs w:val="21"/>
              </w:rPr>
              <w:t xml:space="preserve"> </w:t>
            </w:r>
            <w:r w:rsidRPr="00401C70">
              <w:rPr>
                <w:rFonts w:ascii="Abadi" w:hAnsi="Abadi" w:cs="Calibri"/>
                <w:sz w:val="21"/>
                <w:szCs w:val="21"/>
              </w:rPr>
              <w:t>del</w:t>
            </w:r>
            <w:r w:rsidRPr="00401C70">
              <w:rPr>
                <w:rFonts w:ascii="Abadi" w:hAnsi="Abadi" w:cs="Calibri"/>
                <w:spacing w:val="-14"/>
                <w:sz w:val="21"/>
                <w:szCs w:val="21"/>
              </w:rPr>
              <w:t xml:space="preserve"> </w:t>
            </w:r>
            <w:r w:rsidRPr="00401C70">
              <w:rPr>
                <w:rFonts w:ascii="Abadi" w:hAnsi="Abadi" w:cs="Calibri"/>
                <w:sz w:val="21"/>
                <w:szCs w:val="21"/>
              </w:rPr>
              <w:t>Estado,</w:t>
            </w:r>
            <w:r w:rsidRPr="00401C70">
              <w:rPr>
                <w:rFonts w:ascii="Abadi" w:hAnsi="Abadi" w:cs="Calibri"/>
                <w:spacing w:val="-12"/>
                <w:sz w:val="21"/>
                <w:szCs w:val="21"/>
              </w:rPr>
              <w:t xml:space="preserve"> </w:t>
            </w:r>
            <w:r w:rsidRPr="00401C70">
              <w:rPr>
                <w:rFonts w:ascii="Abadi" w:hAnsi="Abadi" w:cs="Calibri"/>
                <w:sz w:val="21"/>
                <w:szCs w:val="21"/>
              </w:rPr>
              <w:t>no</w:t>
            </w:r>
            <w:r w:rsidRPr="00401C70">
              <w:rPr>
                <w:rFonts w:ascii="Abadi" w:hAnsi="Abadi" w:cs="Calibri"/>
                <w:spacing w:val="-11"/>
                <w:sz w:val="21"/>
                <w:szCs w:val="21"/>
              </w:rPr>
              <w:t xml:space="preserve"> </w:t>
            </w:r>
            <w:r w:rsidRPr="00401C70">
              <w:rPr>
                <w:rFonts w:ascii="Abadi" w:hAnsi="Abadi" w:cs="Calibri"/>
                <w:sz w:val="21"/>
                <w:szCs w:val="21"/>
              </w:rPr>
              <w:t>podrá</w:t>
            </w:r>
            <w:r w:rsidRPr="00401C70">
              <w:rPr>
                <w:rFonts w:ascii="Abadi" w:hAnsi="Abadi" w:cs="Calibri"/>
                <w:spacing w:val="-10"/>
                <w:sz w:val="21"/>
                <w:szCs w:val="21"/>
              </w:rPr>
              <w:t xml:space="preserve"> </w:t>
            </w:r>
            <w:r w:rsidRPr="00401C70">
              <w:rPr>
                <w:rFonts w:ascii="Abadi" w:hAnsi="Abadi" w:cs="Calibri"/>
                <w:sz w:val="21"/>
                <w:szCs w:val="21"/>
              </w:rPr>
              <w:t>ser</w:t>
            </w:r>
            <w:r w:rsidRPr="00401C70">
              <w:rPr>
                <w:rFonts w:ascii="Abadi" w:hAnsi="Abadi" w:cs="Calibri"/>
                <w:spacing w:val="-48"/>
                <w:sz w:val="21"/>
                <w:szCs w:val="21"/>
              </w:rPr>
              <w:t xml:space="preserve"> </w:t>
            </w:r>
            <w:r w:rsidRPr="00401C70">
              <w:rPr>
                <w:rFonts w:ascii="Abadi" w:hAnsi="Abadi" w:cs="Calibri"/>
                <w:sz w:val="21"/>
                <w:szCs w:val="21"/>
              </w:rPr>
              <w:t>o haber sido dirigente de partido o asociación</w:t>
            </w:r>
            <w:r w:rsidRPr="00401C70">
              <w:rPr>
                <w:rFonts w:ascii="Abadi" w:hAnsi="Abadi" w:cs="Calibri"/>
                <w:spacing w:val="1"/>
                <w:sz w:val="21"/>
                <w:szCs w:val="21"/>
              </w:rPr>
              <w:t xml:space="preserve"> </w:t>
            </w:r>
            <w:r w:rsidRPr="00401C70">
              <w:rPr>
                <w:rFonts w:ascii="Abadi" w:hAnsi="Abadi" w:cs="Calibri"/>
                <w:sz w:val="21"/>
                <w:szCs w:val="21"/>
              </w:rPr>
              <w:t>política a nivel nacional, estatal o municipal o</w:t>
            </w:r>
            <w:r w:rsidRPr="00401C70">
              <w:rPr>
                <w:rFonts w:ascii="Abadi" w:hAnsi="Abadi" w:cs="Calibri"/>
                <w:spacing w:val="1"/>
                <w:sz w:val="21"/>
                <w:szCs w:val="21"/>
              </w:rPr>
              <w:t xml:space="preserve"> </w:t>
            </w:r>
            <w:r w:rsidRPr="00401C70">
              <w:rPr>
                <w:rFonts w:ascii="Abadi" w:hAnsi="Abadi" w:cs="Calibri"/>
                <w:sz w:val="21"/>
                <w:szCs w:val="21"/>
              </w:rPr>
              <w:t>candidato a un puesto de elección popular, ni</w:t>
            </w:r>
            <w:r w:rsidRPr="00401C70">
              <w:rPr>
                <w:rFonts w:ascii="Abadi" w:hAnsi="Abadi" w:cs="Calibri"/>
                <w:spacing w:val="1"/>
                <w:sz w:val="21"/>
                <w:szCs w:val="21"/>
              </w:rPr>
              <w:t xml:space="preserve"> </w:t>
            </w:r>
            <w:r w:rsidRPr="00401C70">
              <w:rPr>
                <w:rFonts w:ascii="Abadi" w:hAnsi="Abadi" w:cs="Calibri"/>
                <w:sz w:val="21"/>
                <w:szCs w:val="21"/>
              </w:rPr>
              <w:t>ministro de ningún culto religioso, en los cinco</w:t>
            </w:r>
            <w:r w:rsidRPr="00401C70">
              <w:rPr>
                <w:rFonts w:ascii="Abadi" w:hAnsi="Abadi" w:cs="Calibri"/>
                <w:spacing w:val="1"/>
                <w:sz w:val="21"/>
                <w:szCs w:val="21"/>
              </w:rPr>
              <w:t xml:space="preserve"> </w:t>
            </w:r>
            <w:r w:rsidRPr="00401C70">
              <w:rPr>
                <w:rFonts w:ascii="Abadi" w:hAnsi="Abadi" w:cs="Calibri"/>
                <w:sz w:val="21"/>
                <w:szCs w:val="21"/>
              </w:rPr>
              <w:t>años</w:t>
            </w:r>
            <w:r w:rsidRPr="00401C70">
              <w:rPr>
                <w:rFonts w:ascii="Abadi" w:hAnsi="Abadi" w:cs="Calibri"/>
                <w:spacing w:val="-1"/>
                <w:sz w:val="21"/>
                <w:szCs w:val="21"/>
              </w:rPr>
              <w:t xml:space="preserve"> </w:t>
            </w:r>
            <w:r w:rsidRPr="00401C70">
              <w:rPr>
                <w:rFonts w:ascii="Abadi" w:hAnsi="Abadi" w:cs="Calibri"/>
                <w:sz w:val="21"/>
                <w:szCs w:val="21"/>
              </w:rPr>
              <w:t>anteriores</w:t>
            </w:r>
            <w:r w:rsidRPr="00401C70">
              <w:rPr>
                <w:rFonts w:ascii="Abadi" w:hAnsi="Abadi" w:cs="Calibri"/>
                <w:spacing w:val="1"/>
                <w:sz w:val="21"/>
                <w:szCs w:val="21"/>
              </w:rPr>
              <w:t xml:space="preserve"> </w:t>
            </w:r>
            <w:r w:rsidRPr="00401C70">
              <w:rPr>
                <w:rFonts w:ascii="Abadi" w:hAnsi="Abadi" w:cs="Calibri"/>
                <w:sz w:val="21"/>
                <w:szCs w:val="21"/>
              </w:rPr>
              <w:t>a</w:t>
            </w:r>
            <w:r w:rsidRPr="00401C70">
              <w:rPr>
                <w:rFonts w:ascii="Abadi" w:hAnsi="Abadi" w:cs="Calibri"/>
                <w:spacing w:val="-2"/>
                <w:sz w:val="21"/>
                <w:szCs w:val="21"/>
              </w:rPr>
              <w:t xml:space="preserve"> </w:t>
            </w:r>
            <w:r w:rsidRPr="00401C70">
              <w:rPr>
                <w:rFonts w:ascii="Abadi" w:hAnsi="Abadi" w:cs="Calibri"/>
                <w:sz w:val="21"/>
                <w:szCs w:val="21"/>
              </w:rPr>
              <w:t>su nombramiento.</w:t>
            </w:r>
          </w:p>
        </w:tc>
        <w:tc>
          <w:tcPr>
            <w:tcW w:w="2500" w:type="pct"/>
            <w:tcBorders>
              <w:top w:val="none" w:sz="6" w:space="0" w:color="auto"/>
              <w:left w:val="single" w:sz="4" w:space="0" w:color="000000"/>
              <w:bottom w:val="none" w:sz="6" w:space="0" w:color="auto"/>
              <w:right w:val="single" w:sz="4" w:space="0" w:color="000000"/>
            </w:tcBorders>
          </w:tcPr>
          <w:p w14:paraId="5F557E51" w14:textId="77777777" w:rsidR="00677B7E" w:rsidRPr="00401C70" w:rsidRDefault="00677B7E" w:rsidP="00FA2590">
            <w:pPr>
              <w:kinsoku w:val="0"/>
              <w:overflowPunct w:val="0"/>
              <w:autoSpaceDE w:val="0"/>
              <w:autoSpaceDN w:val="0"/>
              <w:adjustRightInd w:val="0"/>
              <w:spacing w:before="113"/>
              <w:ind w:left="107" w:right="91"/>
              <w:jc w:val="both"/>
              <w:rPr>
                <w:rFonts w:ascii="Abadi" w:hAnsi="Abadi" w:cs="Calibri"/>
                <w:sz w:val="21"/>
                <w:szCs w:val="21"/>
              </w:rPr>
            </w:pPr>
            <w:r w:rsidRPr="00401C70">
              <w:rPr>
                <w:rFonts w:ascii="Abadi" w:hAnsi="Abadi" w:cs="Calibri"/>
                <w:b/>
                <w:bCs/>
                <w:i/>
                <w:iCs/>
                <w:sz w:val="21"/>
                <w:szCs w:val="21"/>
              </w:rPr>
              <w:t>La</w:t>
            </w:r>
            <w:r w:rsidRPr="00401C70">
              <w:rPr>
                <w:rFonts w:ascii="Abadi" w:hAnsi="Abadi" w:cs="Calibri"/>
                <w:b/>
                <w:bCs/>
                <w:i/>
                <w:iCs/>
                <w:spacing w:val="1"/>
                <w:sz w:val="21"/>
                <w:szCs w:val="21"/>
              </w:rPr>
              <w:t xml:space="preserve"> </w:t>
            </w:r>
            <w:r w:rsidRPr="00401C70">
              <w:rPr>
                <w:rFonts w:ascii="Abadi" w:hAnsi="Abadi" w:cs="Calibri"/>
                <w:b/>
                <w:bCs/>
                <w:i/>
                <w:iCs/>
                <w:sz w:val="21"/>
                <w:szCs w:val="21"/>
              </w:rPr>
              <w:t>persona</w:t>
            </w:r>
            <w:r w:rsidRPr="00401C70">
              <w:rPr>
                <w:rFonts w:ascii="Abadi" w:hAnsi="Abadi" w:cs="Calibri"/>
                <w:b/>
                <w:bCs/>
                <w:i/>
                <w:iCs/>
                <w:spacing w:val="1"/>
                <w:sz w:val="21"/>
                <w:szCs w:val="21"/>
              </w:rPr>
              <w:t xml:space="preserve"> </w:t>
            </w:r>
            <w:r w:rsidRPr="00401C70">
              <w:rPr>
                <w:rFonts w:ascii="Abadi" w:hAnsi="Abadi" w:cs="Calibri"/>
                <w:sz w:val="21"/>
                <w:szCs w:val="21"/>
              </w:rPr>
              <w:t>titular</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Secretaría</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47"/>
                <w:sz w:val="21"/>
                <w:szCs w:val="21"/>
              </w:rPr>
              <w:t xml:space="preserve"> </w:t>
            </w:r>
            <w:r w:rsidRPr="00401C70">
              <w:rPr>
                <w:rFonts w:ascii="Abadi" w:hAnsi="Abadi" w:cs="Calibri"/>
                <w:sz w:val="21"/>
                <w:szCs w:val="21"/>
              </w:rPr>
              <w:t>Transparencia</w:t>
            </w:r>
            <w:r w:rsidRPr="00401C70">
              <w:rPr>
                <w:rFonts w:ascii="Abadi" w:hAnsi="Abadi" w:cs="Calibri"/>
                <w:spacing w:val="1"/>
                <w:sz w:val="21"/>
                <w:szCs w:val="21"/>
              </w:rPr>
              <w:t xml:space="preserve"> </w:t>
            </w:r>
            <w:r w:rsidRPr="00401C70">
              <w:rPr>
                <w:rFonts w:ascii="Abadi" w:hAnsi="Abadi" w:cs="Calibri"/>
                <w:sz w:val="21"/>
                <w:szCs w:val="21"/>
              </w:rPr>
              <w:t>y</w:t>
            </w:r>
            <w:r w:rsidRPr="00401C70">
              <w:rPr>
                <w:rFonts w:ascii="Abadi" w:hAnsi="Abadi" w:cs="Calibri"/>
                <w:spacing w:val="1"/>
                <w:sz w:val="21"/>
                <w:szCs w:val="21"/>
              </w:rPr>
              <w:t xml:space="preserve"> </w:t>
            </w:r>
            <w:r w:rsidRPr="00401C70">
              <w:rPr>
                <w:rFonts w:ascii="Abadi" w:hAnsi="Abadi" w:cs="Calibri"/>
                <w:sz w:val="21"/>
                <w:szCs w:val="21"/>
              </w:rPr>
              <w:t>Rendición</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Cuentas</w:t>
            </w:r>
            <w:r w:rsidRPr="00401C70">
              <w:rPr>
                <w:rFonts w:ascii="Abadi" w:hAnsi="Abadi" w:cs="Calibri"/>
                <w:spacing w:val="1"/>
                <w:sz w:val="21"/>
                <w:szCs w:val="21"/>
              </w:rPr>
              <w:t xml:space="preserve"> </w:t>
            </w:r>
            <w:r w:rsidRPr="00401C70">
              <w:rPr>
                <w:rFonts w:ascii="Abadi" w:hAnsi="Abadi" w:cs="Calibri"/>
                <w:sz w:val="21"/>
                <w:szCs w:val="21"/>
              </w:rPr>
              <w:t>será</w:t>
            </w:r>
            <w:r w:rsidRPr="00401C70">
              <w:rPr>
                <w:rFonts w:ascii="Abadi" w:hAnsi="Abadi" w:cs="Calibri"/>
                <w:spacing w:val="1"/>
                <w:sz w:val="21"/>
                <w:szCs w:val="21"/>
              </w:rPr>
              <w:t xml:space="preserve"> </w:t>
            </w:r>
            <w:r w:rsidRPr="00401C70">
              <w:rPr>
                <w:rFonts w:ascii="Abadi" w:hAnsi="Abadi" w:cs="Calibri"/>
                <w:b/>
                <w:bCs/>
                <w:i/>
                <w:iCs/>
                <w:sz w:val="21"/>
                <w:szCs w:val="21"/>
              </w:rPr>
              <w:t>nombrada</w:t>
            </w:r>
            <w:r w:rsidRPr="00401C70">
              <w:rPr>
                <w:rFonts w:ascii="Abadi" w:hAnsi="Abadi" w:cs="Calibri"/>
                <w:b/>
                <w:bCs/>
                <w:i/>
                <w:iCs/>
                <w:spacing w:val="-2"/>
                <w:sz w:val="21"/>
                <w:szCs w:val="21"/>
              </w:rPr>
              <w:t xml:space="preserve"> </w:t>
            </w:r>
            <w:r w:rsidRPr="00401C70">
              <w:rPr>
                <w:rFonts w:ascii="Abadi" w:hAnsi="Abadi" w:cs="Calibri"/>
                <w:sz w:val="21"/>
                <w:szCs w:val="21"/>
              </w:rPr>
              <w:t>por</w:t>
            </w:r>
            <w:r w:rsidRPr="00401C70">
              <w:rPr>
                <w:rFonts w:ascii="Abadi" w:hAnsi="Abadi" w:cs="Calibri"/>
                <w:spacing w:val="-4"/>
                <w:sz w:val="21"/>
                <w:szCs w:val="21"/>
              </w:rPr>
              <w:t xml:space="preserve"> </w:t>
            </w:r>
            <w:r w:rsidRPr="00401C70">
              <w:rPr>
                <w:rFonts w:ascii="Abadi" w:hAnsi="Abadi" w:cs="Calibri"/>
                <w:sz w:val="21"/>
                <w:szCs w:val="21"/>
              </w:rPr>
              <w:t>el</w:t>
            </w:r>
            <w:r w:rsidRPr="00401C70">
              <w:rPr>
                <w:rFonts w:ascii="Abadi" w:hAnsi="Abadi" w:cs="Calibri"/>
                <w:spacing w:val="-4"/>
                <w:sz w:val="21"/>
                <w:szCs w:val="21"/>
              </w:rPr>
              <w:t xml:space="preserve"> </w:t>
            </w:r>
            <w:r w:rsidRPr="00401C70">
              <w:rPr>
                <w:rFonts w:ascii="Abadi" w:hAnsi="Abadi" w:cs="Calibri"/>
                <w:sz w:val="21"/>
                <w:szCs w:val="21"/>
              </w:rPr>
              <w:t>Gobernador</w:t>
            </w:r>
            <w:r w:rsidRPr="00401C70">
              <w:rPr>
                <w:rFonts w:ascii="Abadi" w:hAnsi="Abadi" w:cs="Calibri"/>
                <w:spacing w:val="-4"/>
                <w:sz w:val="21"/>
                <w:szCs w:val="21"/>
              </w:rPr>
              <w:t xml:space="preserve"> </w:t>
            </w:r>
            <w:r w:rsidRPr="00401C70">
              <w:rPr>
                <w:rFonts w:ascii="Abadi" w:hAnsi="Abadi" w:cs="Calibri"/>
                <w:sz w:val="21"/>
                <w:szCs w:val="21"/>
              </w:rPr>
              <w:t>del</w:t>
            </w:r>
            <w:r w:rsidRPr="00401C70">
              <w:rPr>
                <w:rFonts w:ascii="Abadi" w:hAnsi="Abadi" w:cs="Calibri"/>
                <w:spacing w:val="-3"/>
                <w:sz w:val="21"/>
                <w:szCs w:val="21"/>
              </w:rPr>
              <w:t xml:space="preserve"> </w:t>
            </w:r>
            <w:r w:rsidRPr="00401C70">
              <w:rPr>
                <w:rFonts w:ascii="Abadi" w:hAnsi="Abadi" w:cs="Calibri"/>
                <w:sz w:val="21"/>
                <w:szCs w:val="21"/>
              </w:rPr>
              <w:t>Estado</w:t>
            </w:r>
            <w:r w:rsidRPr="00401C70">
              <w:rPr>
                <w:rFonts w:ascii="Abadi" w:hAnsi="Abadi" w:cs="Calibri"/>
                <w:spacing w:val="-6"/>
                <w:sz w:val="21"/>
                <w:szCs w:val="21"/>
              </w:rPr>
              <w:t xml:space="preserve"> </w:t>
            </w:r>
            <w:r w:rsidRPr="00401C70">
              <w:rPr>
                <w:rFonts w:ascii="Abadi" w:hAnsi="Abadi" w:cs="Calibri"/>
                <w:sz w:val="21"/>
                <w:szCs w:val="21"/>
              </w:rPr>
              <w:t>con</w:t>
            </w:r>
            <w:r w:rsidRPr="00401C70">
              <w:rPr>
                <w:rFonts w:ascii="Abadi" w:hAnsi="Abadi" w:cs="Calibri"/>
                <w:spacing w:val="-5"/>
                <w:sz w:val="21"/>
                <w:szCs w:val="21"/>
              </w:rPr>
              <w:t xml:space="preserve"> </w:t>
            </w:r>
            <w:r w:rsidRPr="00401C70">
              <w:rPr>
                <w:rFonts w:ascii="Abadi" w:hAnsi="Abadi" w:cs="Calibri"/>
                <w:sz w:val="21"/>
                <w:szCs w:val="21"/>
              </w:rPr>
              <w:t>la</w:t>
            </w:r>
            <w:r w:rsidRPr="00401C70">
              <w:rPr>
                <w:rFonts w:ascii="Abadi" w:hAnsi="Abadi" w:cs="Calibri"/>
                <w:spacing w:val="-47"/>
                <w:sz w:val="21"/>
                <w:szCs w:val="21"/>
              </w:rPr>
              <w:t xml:space="preserve"> </w:t>
            </w:r>
            <w:r w:rsidRPr="00401C70">
              <w:rPr>
                <w:rFonts w:ascii="Abadi" w:hAnsi="Abadi" w:cs="Calibri"/>
                <w:sz w:val="21"/>
                <w:szCs w:val="21"/>
              </w:rPr>
              <w:t xml:space="preserve">ratificación de las dos terceras partes de </w:t>
            </w:r>
            <w:r w:rsidRPr="00401C70">
              <w:rPr>
                <w:rFonts w:ascii="Abadi" w:hAnsi="Abadi" w:cs="Calibri"/>
                <w:b/>
                <w:bCs/>
                <w:i/>
                <w:iCs/>
                <w:sz w:val="21"/>
                <w:szCs w:val="21"/>
              </w:rPr>
              <w:t>las y</w:t>
            </w:r>
            <w:r w:rsidRPr="00401C70">
              <w:rPr>
                <w:rFonts w:ascii="Abadi" w:hAnsi="Abadi" w:cs="Calibri"/>
                <w:b/>
                <w:bCs/>
                <w:i/>
                <w:iCs/>
                <w:spacing w:val="1"/>
                <w:sz w:val="21"/>
                <w:szCs w:val="21"/>
              </w:rPr>
              <w:t xml:space="preserve"> </w:t>
            </w: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integrantes</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Congreso</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Estado;</w:t>
            </w:r>
            <w:r w:rsidRPr="00401C70">
              <w:rPr>
                <w:rFonts w:ascii="Abadi" w:hAnsi="Abadi" w:cs="Calibri"/>
                <w:spacing w:val="1"/>
                <w:sz w:val="21"/>
                <w:szCs w:val="21"/>
              </w:rPr>
              <w:t xml:space="preserve"> </w:t>
            </w:r>
            <w:r w:rsidRPr="00401C70">
              <w:rPr>
                <w:rFonts w:ascii="Abadi" w:hAnsi="Abadi" w:cs="Calibri"/>
                <w:sz w:val="21"/>
                <w:szCs w:val="21"/>
              </w:rPr>
              <w:t>en</w:t>
            </w:r>
            <w:r w:rsidRPr="00401C70">
              <w:rPr>
                <w:rFonts w:ascii="Abadi" w:hAnsi="Abadi" w:cs="Calibri"/>
                <w:spacing w:val="1"/>
                <w:sz w:val="21"/>
                <w:szCs w:val="21"/>
              </w:rPr>
              <w:t xml:space="preserve"> </w:t>
            </w:r>
            <w:r w:rsidRPr="00401C70">
              <w:rPr>
                <w:rFonts w:ascii="Abadi" w:hAnsi="Abadi" w:cs="Calibri"/>
                <w:sz w:val="21"/>
                <w:szCs w:val="21"/>
              </w:rPr>
              <w:t>tanto</w:t>
            </w:r>
            <w:r w:rsidRPr="00401C70">
              <w:rPr>
                <w:rFonts w:ascii="Abadi" w:hAnsi="Abadi" w:cs="Calibri"/>
                <w:spacing w:val="1"/>
                <w:sz w:val="21"/>
                <w:szCs w:val="21"/>
              </w:rPr>
              <w:t xml:space="preserve"> </w:t>
            </w:r>
            <w:r w:rsidRPr="00401C70">
              <w:rPr>
                <w:rFonts w:ascii="Abadi" w:hAnsi="Abadi" w:cs="Calibri"/>
                <w:sz w:val="21"/>
                <w:szCs w:val="21"/>
              </w:rPr>
              <w:t>se</w:t>
            </w:r>
            <w:r w:rsidRPr="00401C70">
              <w:rPr>
                <w:rFonts w:ascii="Abadi" w:hAnsi="Abadi" w:cs="Calibri"/>
                <w:spacing w:val="1"/>
                <w:sz w:val="21"/>
                <w:szCs w:val="21"/>
              </w:rPr>
              <w:t xml:space="preserve"> </w:t>
            </w:r>
            <w:r w:rsidRPr="00401C70">
              <w:rPr>
                <w:rFonts w:ascii="Abadi" w:hAnsi="Abadi" w:cs="Calibri"/>
                <w:sz w:val="21"/>
                <w:szCs w:val="21"/>
              </w:rPr>
              <w:t>apruebe</w:t>
            </w:r>
            <w:r w:rsidRPr="00401C70">
              <w:rPr>
                <w:rFonts w:ascii="Abadi" w:hAnsi="Abadi" w:cs="Calibri"/>
                <w:spacing w:val="1"/>
                <w:sz w:val="21"/>
                <w:szCs w:val="21"/>
              </w:rPr>
              <w:t xml:space="preserve"> </w:t>
            </w:r>
            <w:r w:rsidRPr="00401C70">
              <w:rPr>
                <w:rFonts w:ascii="Abadi" w:hAnsi="Abadi" w:cs="Calibri"/>
                <w:b/>
                <w:bCs/>
                <w:i/>
                <w:iCs/>
                <w:sz w:val="21"/>
                <w:szCs w:val="21"/>
              </w:rPr>
              <w:t>su</w:t>
            </w:r>
            <w:r w:rsidRPr="00401C70">
              <w:rPr>
                <w:rFonts w:ascii="Abadi" w:hAnsi="Abadi" w:cs="Calibri"/>
                <w:b/>
                <w:bCs/>
                <w:i/>
                <w:iCs/>
                <w:spacing w:val="1"/>
                <w:sz w:val="21"/>
                <w:szCs w:val="21"/>
              </w:rPr>
              <w:t xml:space="preserve"> </w:t>
            </w:r>
            <w:r w:rsidRPr="00401C70">
              <w:rPr>
                <w:rFonts w:ascii="Abadi" w:hAnsi="Abadi" w:cs="Calibri"/>
                <w:b/>
                <w:bCs/>
                <w:i/>
                <w:iCs/>
                <w:sz w:val="21"/>
                <w:szCs w:val="21"/>
              </w:rPr>
              <w:t>nombramiento</w:t>
            </w:r>
            <w:r w:rsidRPr="00401C70">
              <w:rPr>
                <w:rFonts w:ascii="Abadi" w:hAnsi="Abadi" w:cs="Calibri"/>
                <w:sz w:val="21"/>
                <w:szCs w:val="21"/>
              </w:rPr>
              <w:t>,</w:t>
            </w:r>
            <w:r w:rsidRPr="00401C70">
              <w:rPr>
                <w:rFonts w:ascii="Abadi" w:hAnsi="Abadi" w:cs="Calibri"/>
                <w:spacing w:val="1"/>
                <w:sz w:val="21"/>
                <w:szCs w:val="21"/>
              </w:rPr>
              <w:t xml:space="preserve"> </w:t>
            </w:r>
            <w:r w:rsidRPr="00401C70">
              <w:rPr>
                <w:rFonts w:ascii="Abadi" w:hAnsi="Abadi" w:cs="Calibri"/>
                <w:sz w:val="21"/>
                <w:szCs w:val="21"/>
              </w:rPr>
              <w:t>podrá</w:t>
            </w:r>
            <w:r w:rsidRPr="00401C70">
              <w:rPr>
                <w:rFonts w:ascii="Abadi" w:hAnsi="Abadi" w:cs="Calibri"/>
                <w:spacing w:val="1"/>
                <w:sz w:val="21"/>
                <w:szCs w:val="21"/>
              </w:rPr>
              <w:t xml:space="preserve"> </w:t>
            </w:r>
            <w:r w:rsidRPr="00401C70">
              <w:rPr>
                <w:rFonts w:ascii="Abadi" w:hAnsi="Abadi" w:cs="Calibri"/>
                <w:sz w:val="21"/>
                <w:szCs w:val="21"/>
              </w:rPr>
              <w:t>designar</w:t>
            </w:r>
            <w:r w:rsidRPr="00401C70">
              <w:rPr>
                <w:rFonts w:ascii="Abadi" w:hAnsi="Abadi" w:cs="Calibri"/>
                <w:spacing w:val="1"/>
                <w:sz w:val="21"/>
                <w:szCs w:val="21"/>
              </w:rPr>
              <w:t xml:space="preserve"> </w:t>
            </w:r>
            <w:r w:rsidRPr="00401C70">
              <w:rPr>
                <w:rFonts w:ascii="Abadi" w:hAnsi="Abadi" w:cs="Calibri"/>
                <w:b/>
                <w:bCs/>
                <w:i/>
                <w:iCs/>
                <w:sz w:val="21"/>
                <w:szCs w:val="21"/>
              </w:rPr>
              <w:t>a</w:t>
            </w:r>
            <w:r w:rsidRPr="00401C70">
              <w:rPr>
                <w:rFonts w:ascii="Abadi" w:hAnsi="Abadi" w:cs="Calibri"/>
                <w:b/>
                <w:bCs/>
                <w:i/>
                <w:iCs/>
                <w:spacing w:val="1"/>
                <w:sz w:val="21"/>
                <w:szCs w:val="21"/>
              </w:rPr>
              <w:t xml:space="preserve"> </w:t>
            </w:r>
            <w:r w:rsidRPr="00401C70">
              <w:rPr>
                <w:rFonts w:ascii="Abadi" w:hAnsi="Abadi" w:cs="Calibri"/>
                <w:b/>
                <w:bCs/>
                <w:i/>
                <w:iCs/>
                <w:sz w:val="21"/>
                <w:szCs w:val="21"/>
              </w:rPr>
              <w:t>una</w:t>
            </w:r>
            <w:r w:rsidRPr="00401C70">
              <w:rPr>
                <w:rFonts w:ascii="Abadi" w:hAnsi="Abadi" w:cs="Calibri"/>
                <w:b/>
                <w:bCs/>
                <w:i/>
                <w:iCs/>
                <w:spacing w:val="1"/>
                <w:sz w:val="21"/>
                <w:szCs w:val="21"/>
              </w:rPr>
              <w:t xml:space="preserve"> </w:t>
            </w:r>
            <w:r w:rsidRPr="00401C70">
              <w:rPr>
                <w:rFonts w:ascii="Abadi" w:hAnsi="Abadi" w:cs="Calibri"/>
                <w:b/>
                <w:bCs/>
                <w:i/>
                <w:iCs/>
                <w:sz w:val="21"/>
                <w:szCs w:val="21"/>
              </w:rPr>
              <w:t>persona</w:t>
            </w:r>
            <w:r w:rsidRPr="00401C70">
              <w:rPr>
                <w:rFonts w:ascii="Abadi" w:hAnsi="Abadi" w:cs="Calibri"/>
                <w:b/>
                <w:bCs/>
                <w:i/>
                <w:iCs/>
                <w:spacing w:val="1"/>
                <w:sz w:val="21"/>
                <w:szCs w:val="21"/>
              </w:rPr>
              <w:t xml:space="preserve"> </w:t>
            </w:r>
            <w:r w:rsidRPr="00401C70">
              <w:rPr>
                <w:rFonts w:ascii="Abadi" w:hAnsi="Abadi" w:cs="Calibri"/>
                <w:b/>
                <w:bCs/>
                <w:i/>
                <w:iCs/>
                <w:sz w:val="21"/>
                <w:szCs w:val="21"/>
              </w:rPr>
              <w:t>encargada</w:t>
            </w:r>
            <w:r w:rsidRPr="00401C70">
              <w:rPr>
                <w:rFonts w:ascii="Abadi" w:hAnsi="Abadi" w:cs="Calibri"/>
                <w:b/>
                <w:bCs/>
                <w:i/>
                <w:iCs/>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despacho.</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persona</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nombre</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Gobernador del Estado, no podrá ser o haber</w:t>
            </w:r>
            <w:r w:rsidRPr="00401C70">
              <w:rPr>
                <w:rFonts w:ascii="Abadi" w:hAnsi="Abadi" w:cs="Calibri"/>
                <w:spacing w:val="1"/>
                <w:sz w:val="21"/>
                <w:szCs w:val="21"/>
              </w:rPr>
              <w:t xml:space="preserve"> </w:t>
            </w:r>
            <w:r w:rsidRPr="00401C70">
              <w:rPr>
                <w:rFonts w:ascii="Abadi" w:hAnsi="Abadi" w:cs="Calibri"/>
                <w:sz w:val="21"/>
                <w:szCs w:val="21"/>
              </w:rPr>
              <w:t>sido</w:t>
            </w:r>
            <w:r w:rsidRPr="00401C70">
              <w:rPr>
                <w:rFonts w:ascii="Abadi" w:hAnsi="Abadi" w:cs="Calibri"/>
                <w:spacing w:val="-2"/>
                <w:sz w:val="21"/>
                <w:szCs w:val="21"/>
              </w:rPr>
              <w:t xml:space="preserve"> </w:t>
            </w:r>
            <w:r w:rsidRPr="00401C70">
              <w:rPr>
                <w:rFonts w:ascii="Abadi" w:hAnsi="Abadi" w:cs="Calibri"/>
                <w:sz w:val="21"/>
                <w:szCs w:val="21"/>
              </w:rPr>
              <w:t>dirigente</w:t>
            </w:r>
            <w:r w:rsidRPr="00401C70">
              <w:rPr>
                <w:rFonts w:ascii="Abadi" w:hAnsi="Abadi" w:cs="Calibri"/>
                <w:spacing w:val="-2"/>
                <w:sz w:val="21"/>
                <w:szCs w:val="21"/>
              </w:rPr>
              <w:t xml:space="preserve"> </w:t>
            </w:r>
            <w:r w:rsidRPr="00401C70">
              <w:rPr>
                <w:rFonts w:ascii="Abadi" w:hAnsi="Abadi" w:cs="Calibri"/>
                <w:sz w:val="21"/>
                <w:szCs w:val="21"/>
              </w:rPr>
              <w:t>de</w:t>
            </w:r>
            <w:r w:rsidRPr="00401C70">
              <w:rPr>
                <w:rFonts w:ascii="Abadi" w:hAnsi="Abadi" w:cs="Calibri"/>
                <w:spacing w:val="-3"/>
                <w:sz w:val="21"/>
                <w:szCs w:val="21"/>
              </w:rPr>
              <w:t xml:space="preserve"> </w:t>
            </w:r>
            <w:r w:rsidRPr="00401C70">
              <w:rPr>
                <w:rFonts w:ascii="Abadi" w:hAnsi="Abadi" w:cs="Calibri"/>
                <w:sz w:val="21"/>
                <w:szCs w:val="21"/>
              </w:rPr>
              <w:t>partido</w:t>
            </w:r>
            <w:r w:rsidRPr="00401C70">
              <w:rPr>
                <w:rFonts w:ascii="Abadi" w:hAnsi="Abadi" w:cs="Calibri"/>
                <w:spacing w:val="-1"/>
                <w:sz w:val="21"/>
                <w:szCs w:val="21"/>
              </w:rPr>
              <w:t xml:space="preserve"> </w:t>
            </w:r>
            <w:r w:rsidRPr="00401C70">
              <w:rPr>
                <w:rFonts w:ascii="Abadi" w:hAnsi="Abadi" w:cs="Calibri"/>
                <w:sz w:val="21"/>
                <w:szCs w:val="21"/>
              </w:rPr>
              <w:t>o</w:t>
            </w:r>
            <w:r w:rsidRPr="00401C70">
              <w:rPr>
                <w:rFonts w:ascii="Abadi" w:hAnsi="Abadi" w:cs="Calibri"/>
                <w:spacing w:val="-4"/>
                <w:sz w:val="21"/>
                <w:szCs w:val="21"/>
              </w:rPr>
              <w:t xml:space="preserve"> </w:t>
            </w:r>
            <w:r w:rsidRPr="00401C70">
              <w:rPr>
                <w:rFonts w:ascii="Abadi" w:hAnsi="Abadi" w:cs="Calibri"/>
                <w:sz w:val="21"/>
                <w:szCs w:val="21"/>
              </w:rPr>
              <w:t>asociación</w:t>
            </w:r>
            <w:r w:rsidRPr="00401C70">
              <w:rPr>
                <w:rFonts w:ascii="Abadi" w:hAnsi="Abadi" w:cs="Calibri"/>
                <w:spacing w:val="-4"/>
                <w:sz w:val="21"/>
                <w:szCs w:val="21"/>
              </w:rPr>
              <w:t xml:space="preserve"> </w:t>
            </w:r>
            <w:r w:rsidRPr="00401C70">
              <w:rPr>
                <w:rFonts w:ascii="Abadi" w:hAnsi="Abadi" w:cs="Calibri"/>
                <w:sz w:val="21"/>
                <w:szCs w:val="21"/>
              </w:rPr>
              <w:t>política</w:t>
            </w:r>
            <w:r w:rsidRPr="00401C70">
              <w:rPr>
                <w:rFonts w:ascii="Abadi" w:hAnsi="Abadi" w:cs="Calibri"/>
                <w:spacing w:val="-2"/>
                <w:sz w:val="21"/>
                <w:szCs w:val="21"/>
              </w:rPr>
              <w:t xml:space="preserve"> </w:t>
            </w:r>
            <w:r w:rsidRPr="00401C70">
              <w:rPr>
                <w:rFonts w:ascii="Abadi" w:hAnsi="Abadi" w:cs="Calibri"/>
                <w:sz w:val="21"/>
                <w:szCs w:val="21"/>
              </w:rPr>
              <w:t>a</w:t>
            </w:r>
            <w:r w:rsidRPr="00401C70">
              <w:rPr>
                <w:rFonts w:ascii="Abadi" w:hAnsi="Abadi" w:cs="Calibri"/>
                <w:spacing w:val="-48"/>
                <w:sz w:val="21"/>
                <w:szCs w:val="21"/>
              </w:rPr>
              <w:t xml:space="preserve"> </w:t>
            </w:r>
            <w:r w:rsidRPr="00401C70">
              <w:rPr>
                <w:rFonts w:ascii="Abadi" w:hAnsi="Abadi" w:cs="Calibri"/>
                <w:sz w:val="21"/>
                <w:szCs w:val="21"/>
              </w:rPr>
              <w:t xml:space="preserve">nivel nacional, estatal o municipal o </w:t>
            </w:r>
            <w:r w:rsidRPr="00401C70">
              <w:rPr>
                <w:rFonts w:ascii="Abadi" w:hAnsi="Abadi" w:cs="Calibri"/>
                <w:b/>
                <w:bCs/>
                <w:i/>
                <w:iCs/>
                <w:sz w:val="21"/>
                <w:szCs w:val="21"/>
              </w:rPr>
              <w:t>candidata</w:t>
            </w:r>
            <w:r w:rsidRPr="00401C70">
              <w:rPr>
                <w:rFonts w:ascii="Abadi" w:hAnsi="Abadi" w:cs="Calibri"/>
                <w:b/>
                <w:bCs/>
                <w:i/>
                <w:iCs/>
                <w:spacing w:val="-47"/>
                <w:sz w:val="21"/>
                <w:szCs w:val="21"/>
              </w:rPr>
              <w:t xml:space="preserve"> </w:t>
            </w:r>
            <w:r w:rsidRPr="00401C70">
              <w:rPr>
                <w:rFonts w:ascii="Abadi" w:hAnsi="Abadi" w:cs="Calibri"/>
                <w:sz w:val="21"/>
                <w:szCs w:val="21"/>
              </w:rPr>
              <w:t>a</w:t>
            </w:r>
            <w:r w:rsidRPr="00401C70">
              <w:rPr>
                <w:rFonts w:ascii="Abadi" w:hAnsi="Abadi" w:cs="Calibri"/>
                <w:spacing w:val="-3"/>
                <w:sz w:val="21"/>
                <w:szCs w:val="21"/>
              </w:rPr>
              <w:t xml:space="preserve"> </w:t>
            </w:r>
            <w:r w:rsidRPr="00401C70">
              <w:rPr>
                <w:rFonts w:ascii="Abadi" w:hAnsi="Abadi" w:cs="Calibri"/>
                <w:sz w:val="21"/>
                <w:szCs w:val="21"/>
              </w:rPr>
              <w:t>un</w:t>
            </w:r>
            <w:r w:rsidRPr="00401C70">
              <w:rPr>
                <w:rFonts w:ascii="Abadi" w:hAnsi="Abadi" w:cs="Calibri"/>
                <w:spacing w:val="-3"/>
                <w:sz w:val="21"/>
                <w:szCs w:val="21"/>
              </w:rPr>
              <w:t xml:space="preserve"> </w:t>
            </w:r>
            <w:r w:rsidRPr="00401C70">
              <w:rPr>
                <w:rFonts w:ascii="Abadi" w:hAnsi="Abadi" w:cs="Calibri"/>
                <w:sz w:val="21"/>
                <w:szCs w:val="21"/>
              </w:rPr>
              <w:t>puesto</w:t>
            </w:r>
            <w:r w:rsidRPr="00401C70">
              <w:rPr>
                <w:rFonts w:ascii="Abadi" w:hAnsi="Abadi" w:cs="Calibri"/>
                <w:spacing w:val="-2"/>
                <w:sz w:val="21"/>
                <w:szCs w:val="21"/>
              </w:rPr>
              <w:t xml:space="preserve"> </w:t>
            </w:r>
            <w:r w:rsidRPr="00401C70">
              <w:rPr>
                <w:rFonts w:ascii="Abadi" w:hAnsi="Abadi" w:cs="Calibri"/>
                <w:sz w:val="21"/>
                <w:szCs w:val="21"/>
              </w:rPr>
              <w:t>de</w:t>
            </w:r>
            <w:r w:rsidRPr="00401C70">
              <w:rPr>
                <w:rFonts w:ascii="Abadi" w:hAnsi="Abadi" w:cs="Calibri"/>
                <w:spacing w:val="-4"/>
                <w:sz w:val="21"/>
                <w:szCs w:val="21"/>
              </w:rPr>
              <w:t xml:space="preserve"> </w:t>
            </w:r>
            <w:r w:rsidRPr="00401C70">
              <w:rPr>
                <w:rFonts w:ascii="Abadi" w:hAnsi="Abadi" w:cs="Calibri"/>
                <w:sz w:val="21"/>
                <w:szCs w:val="21"/>
              </w:rPr>
              <w:t>elección</w:t>
            </w:r>
            <w:r w:rsidRPr="00401C70">
              <w:rPr>
                <w:rFonts w:ascii="Abadi" w:hAnsi="Abadi" w:cs="Calibri"/>
                <w:spacing w:val="-4"/>
                <w:sz w:val="21"/>
                <w:szCs w:val="21"/>
              </w:rPr>
              <w:t xml:space="preserve"> </w:t>
            </w:r>
            <w:r w:rsidRPr="00401C70">
              <w:rPr>
                <w:rFonts w:ascii="Abadi" w:hAnsi="Abadi" w:cs="Calibri"/>
                <w:sz w:val="21"/>
                <w:szCs w:val="21"/>
              </w:rPr>
              <w:t>popular,</w:t>
            </w:r>
            <w:r w:rsidRPr="00401C70">
              <w:rPr>
                <w:rFonts w:ascii="Abadi" w:hAnsi="Abadi" w:cs="Calibri"/>
                <w:spacing w:val="-2"/>
                <w:sz w:val="21"/>
                <w:szCs w:val="21"/>
              </w:rPr>
              <w:t xml:space="preserve"> </w:t>
            </w:r>
            <w:r w:rsidRPr="00401C70">
              <w:rPr>
                <w:rFonts w:ascii="Abadi" w:hAnsi="Abadi" w:cs="Calibri"/>
                <w:sz w:val="21"/>
                <w:szCs w:val="21"/>
              </w:rPr>
              <w:t>ni</w:t>
            </w:r>
            <w:r w:rsidRPr="00401C70">
              <w:rPr>
                <w:rFonts w:ascii="Abadi" w:hAnsi="Abadi" w:cs="Calibri"/>
                <w:spacing w:val="-3"/>
                <w:sz w:val="21"/>
                <w:szCs w:val="21"/>
              </w:rPr>
              <w:t xml:space="preserve"> </w:t>
            </w:r>
            <w:r w:rsidRPr="00401C70">
              <w:rPr>
                <w:rFonts w:ascii="Abadi" w:hAnsi="Abadi" w:cs="Calibri"/>
                <w:b/>
                <w:bCs/>
                <w:i/>
                <w:iCs/>
                <w:sz w:val="21"/>
                <w:szCs w:val="21"/>
              </w:rPr>
              <w:t>ministra</w:t>
            </w:r>
            <w:r w:rsidRPr="00401C70">
              <w:rPr>
                <w:rFonts w:ascii="Abadi" w:hAnsi="Abadi" w:cs="Calibri"/>
                <w:b/>
                <w:bCs/>
                <w:i/>
                <w:iCs/>
                <w:spacing w:val="-1"/>
                <w:sz w:val="21"/>
                <w:szCs w:val="21"/>
              </w:rPr>
              <w:t xml:space="preserve"> </w:t>
            </w:r>
            <w:r w:rsidRPr="00401C70">
              <w:rPr>
                <w:rFonts w:ascii="Abadi" w:hAnsi="Abadi" w:cs="Calibri"/>
                <w:sz w:val="21"/>
                <w:szCs w:val="21"/>
              </w:rPr>
              <w:t>de</w:t>
            </w:r>
            <w:r w:rsidRPr="00401C70">
              <w:rPr>
                <w:rFonts w:ascii="Abadi" w:hAnsi="Abadi" w:cs="Calibri"/>
                <w:spacing w:val="-48"/>
                <w:sz w:val="21"/>
                <w:szCs w:val="21"/>
              </w:rPr>
              <w:t xml:space="preserve"> </w:t>
            </w:r>
            <w:r w:rsidRPr="00401C70">
              <w:rPr>
                <w:rFonts w:ascii="Abadi" w:hAnsi="Abadi" w:cs="Calibri"/>
                <w:sz w:val="21"/>
                <w:szCs w:val="21"/>
              </w:rPr>
              <w:t>ningún</w:t>
            </w:r>
            <w:r w:rsidRPr="00401C70">
              <w:rPr>
                <w:rFonts w:ascii="Abadi" w:hAnsi="Abadi" w:cs="Calibri"/>
                <w:spacing w:val="1"/>
                <w:sz w:val="21"/>
                <w:szCs w:val="21"/>
              </w:rPr>
              <w:t xml:space="preserve"> </w:t>
            </w:r>
            <w:r w:rsidRPr="00401C70">
              <w:rPr>
                <w:rFonts w:ascii="Abadi" w:hAnsi="Abadi" w:cs="Calibri"/>
                <w:sz w:val="21"/>
                <w:szCs w:val="21"/>
              </w:rPr>
              <w:t>culto</w:t>
            </w:r>
            <w:r w:rsidRPr="00401C70">
              <w:rPr>
                <w:rFonts w:ascii="Abadi" w:hAnsi="Abadi" w:cs="Calibri"/>
                <w:spacing w:val="1"/>
                <w:sz w:val="21"/>
                <w:szCs w:val="21"/>
              </w:rPr>
              <w:t xml:space="preserve"> </w:t>
            </w:r>
            <w:r w:rsidRPr="00401C70">
              <w:rPr>
                <w:rFonts w:ascii="Abadi" w:hAnsi="Abadi" w:cs="Calibri"/>
                <w:sz w:val="21"/>
                <w:szCs w:val="21"/>
              </w:rPr>
              <w:t>religioso,</w:t>
            </w:r>
            <w:r w:rsidRPr="00401C70">
              <w:rPr>
                <w:rFonts w:ascii="Abadi" w:hAnsi="Abadi" w:cs="Calibri"/>
                <w:spacing w:val="1"/>
                <w:sz w:val="21"/>
                <w:szCs w:val="21"/>
              </w:rPr>
              <w:t xml:space="preserve"> </w:t>
            </w:r>
            <w:r w:rsidRPr="00401C70">
              <w:rPr>
                <w:rFonts w:ascii="Abadi" w:hAnsi="Abadi" w:cs="Calibri"/>
                <w:sz w:val="21"/>
                <w:szCs w:val="21"/>
              </w:rPr>
              <w:t>en</w:t>
            </w:r>
            <w:r w:rsidRPr="00401C70">
              <w:rPr>
                <w:rFonts w:ascii="Abadi" w:hAnsi="Abadi" w:cs="Calibri"/>
                <w:spacing w:val="1"/>
                <w:sz w:val="21"/>
                <w:szCs w:val="21"/>
              </w:rPr>
              <w:t xml:space="preserve"> </w:t>
            </w: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cinco</w:t>
            </w:r>
            <w:r w:rsidRPr="00401C70">
              <w:rPr>
                <w:rFonts w:ascii="Abadi" w:hAnsi="Abadi" w:cs="Calibri"/>
                <w:spacing w:val="1"/>
                <w:sz w:val="21"/>
                <w:szCs w:val="21"/>
              </w:rPr>
              <w:t xml:space="preserve"> </w:t>
            </w:r>
            <w:r w:rsidRPr="00401C70">
              <w:rPr>
                <w:rFonts w:ascii="Abadi" w:hAnsi="Abadi" w:cs="Calibri"/>
                <w:sz w:val="21"/>
                <w:szCs w:val="21"/>
              </w:rPr>
              <w:t>años</w:t>
            </w:r>
            <w:r w:rsidRPr="00401C70">
              <w:rPr>
                <w:rFonts w:ascii="Abadi" w:hAnsi="Abadi" w:cs="Calibri"/>
                <w:spacing w:val="1"/>
                <w:sz w:val="21"/>
                <w:szCs w:val="21"/>
              </w:rPr>
              <w:t xml:space="preserve"> </w:t>
            </w:r>
            <w:r w:rsidRPr="00401C70">
              <w:rPr>
                <w:rFonts w:ascii="Abadi" w:hAnsi="Abadi" w:cs="Calibri"/>
                <w:sz w:val="21"/>
                <w:szCs w:val="21"/>
              </w:rPr>
              <w:t>anteriores a</w:t>
            </w:r>
            <w:r w:rsidRPr="00401C70">
              <w:rPr>
                <w:rFonts w:ascii="Abadi" w:hAnsi="Abadi" w:cs="Calibri"/>
                <w:spacing w:val="-2"/>
                <w:sz w:val="21"/>
                <w:szCs w:val="21"/>
              </w:rPr>
              <w:t xml:space="preserve"> </w:t>
            </w:r>
            <w:r w:rsidRPr="00401C70">
              <w:rPr>
                <w:rFonts w:ascii="Abadi" w:hAnsi="Abadi" w:cs="Calibri"/>
                <w:sz w:val="21"/>
                <w:szCs w:val="21"/>
              </w:rPr>
              <w:t>su nombramiento.</w:t>
            </w:r>
          </w:p>
        </w:tc>
      </w:tr>
      <w:tr w:rsidR="00677B7E" w:rsidRPr="00401C70" w14:paraId="0C35DEC5" w14:textId="77777777" w:rsidTr="003343AD">
        <w:trPr>
          <w:trHeight w:val="1610"/>
        </w:trPr>
        <w:tc>
          <w:tcPr>
            <w:tcW w:w="2500" w:type="pct"/>
            <w:tcBorders>
              <w:top w:val="none" w:sz="6" w:space="0" w:color="auto"/>
              <w:left w:val="single" w:sz="4" w:space="0" w:color="000000"/>
              <w:bottom w:val="none" w:sz="6" w:space="0" w:color="auto"/>
              <w:right w:val="single" w:sz="4" w:space="0" w:color="000000"/>
            </w:tcBorders>
          </w:tcPr>
          <w:p w14:paraId="25B338C9" w14:textId="77777777" w:rsidR="00677B7E" w:rsidRPr="00401C70" w:rsidRDefault="00677B7E" w:rsidP="00FA2590">
            <w:pPr>
              <w:kinsoku w:val="0"/>
              <w:overflowPunct w:val="0"/>
              <w:autoSpaceDE w:val="0"/>
              <w:autoSpaceDN w:val="0"/>
              <w:adjustRightInd w:val="0"/>
              <w:spacing w:before="114"/>
              <w:ind w:left="107" w:right="93"/>
              <w:jc w:val="both"/>
              <w:rPr>
                <w:rFonts w:ascii="Abadi" w:hAnsi="Abadi" w:cs="Calibri"/>
                <w:sz w:val="21"/>
                <w:szCs w:val="21"/>
              </w:rPr>
            </w:pPr>
            <w:r w:rsidRPr="00401C70">
              <w:rPr>
                <w:rFonts w:ascii="Abadi" w:hAnsi="Abadi" w:cs="Calibri"/>
                <w:sz w:val="21"/>
                <w:szCs w:val="21"/>
              </w:rPr>
              <w:t>El titular de la Secretaría de la Transparencia y</w:t>
            </w:r>
            <w:r w:rsidRPr="00401C70">
              <w:rPr>
                <w:rFonts w:ascii="Abadi" w:hAnsi="Abadi" w:cs="Calibri"/>
                <w:spacing w:val="1"/>
                <w:sz w:val="21"/>
                <w:szCs w:val="21"/>
              </w:rPr>
              <w:t xml:space="preserve"> </w:t>
            </w:r>
            <w:r w:rsidRPr="00401C70">
              <w:rPr>
                <w:rFonts w:ascii="Abadi" w:hAnsi="Abadi" w:cs="Calibri"/>
                <w:sz w:val="21"/>
                <w:szCs w:val="21"/>
              </w:rPr>
              <w:t>Rendición</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Cuentas</w:t>
            </w:r>
            <w:r w:rsidRPr="00401C70">
              <w:rPr>
                <w:rFonts w:ascii="Abadi" w:hAnsi="Abadi" w:cs="Calibri"/>
                <w:spacing w:val="1"/>
                <w:sz w:val="21"/>
                <w:szCs w:val="21"/>
              </w:rPr>
              <w:t xml:space="preserve"> </w:t>
            </w:r>
            <w:r w:rsidRPr="00401C70">
              <w:rPr>
                <w:rFonts w:ascii="Abadi" w:hAnsi="Abadi" w:cs="Calibri"/>
                <w:sz w:val="21"/>
                <w:szCs w:val="21"/>
              </w:rPr>
              <w:t>deberá</w:t>
            </w:r>
            <w:r w:rsidRPr="00401C70">
              <w:rPr>
                <w:rFonts w:ascii="Abadi" w:hAnsi="Abadi" w:cs="Calibri"/>
                <w:spacing w:val="1"/>
                <w:sz w:val="21"/>
                <w:szCs w:val="21"/>
              </w:rPr>
              <w:t xml:space="preserve"> </w:t>
            </w:r>
            <w:r w:rsidRPr="00401C70">
              <w:rPr>
                <w:rFonts w:ascii="Abadi" w:hAnsi="Abadi" w:cs="Calibri"/>
                <w:sz w:val="21"/>
                <w:szCs w:val="21"/>
              </w:rPr>
              <w:t>contar</w:t>
            </w:r>
            <w:r w:rsidRPr="00401C70">
              <w:rPr>
                <w:rFonts w:ascii="Abadi" w:hAnsi="Abadi" w:cs="Calibri"/>
                <w:spacing w:val="1"/>
                <w:sz w:val="21"/>
                <w:szCs w:val="21"/>
              </w:rPr>
              <w:t xml:space="preserve"> </w:t>
            </w:r>
            <w:r w:rsidRPr="00401C70">
              <w:rPr>
                <w:rFonts w:ascii="Abadi" w:hAnsi="Abadi" w:cs="Calibri"/>
                <w:sz w:val="21"/>
                <w:szCs w:val="21"/>
              </w:rPr>
              <w:t>con</w:t>
            </w:r>
            <w:r w:rsidRPr="00401C70">
              <w:rPr>
                <w:rFonts w:ascii="Abadi" w:hAnsi="Abadi" w:cs="Calibri"/>
                <w:spacing w:val="1"/>
                <w:sz w:val="21"/>
                <w:szCs w:val="21"/>
              </w:rPr>
              <w:t xml:space="preserve"> </w:t>
            </w:r>
            <w:r w:rsidRPr="00401C70">
              <w:rPr>
                <w:rFonts w:ascii="Abadi" w:hAnsi="Abadi" w:cs="Calibri"/>
                <w:sz w:val="21"/>
                <w:szCs w:val="21"/>
              </w:rPr>
              <w:t>experiencia</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cuando</w:t>
            </w:r>
            <w:r w:rsidRPr="00401C70">
              <w:rPr>
                <w:rFonts w:ascii="Abadi" w:hAnsi="Abadi" w:cs="Calibri"/>
                <w:spacing w:val="1"/>
                <w:sz w:val="21"/>
                <w:szCs w:val="21"/>
              </w:rPr>
              <w:t xml:space="preserve"> </w:t>
            </w:r>
            <w:r w:rsidRPr="00401C70">
              <w:rPr>
                <w:rFonts w:ascii="Abadi" w:hAnsi="Abadi" w:cs="Calibri"/>
                <w:sz w:val="21"/>
                <w:szCs w:val="21"/>
              </w:rPr>
              <w:t>menos</w:t>
            </w:r>
            <w:r w:rsidRPr="00401C70">
              <w:rPr>
                <w:rFonts w:ascii="Abadi" w:hAnsi="Abadi" w:cs="Calibri"/>
                <w:spacing w:val="1"/>
                <w:sz w:val="21"/>
                <w:szCs w:val="21"/>
              </w:rPr>
              <w:t xml:space="preserve"> </w:t>
            </w:r>
            <w:r w:rsidRPr="00401C70">
              <w:rPr>
                <w:rFonts w:ascii="Abadi" w:hAnsi="Abadi" w:cs="Calibri"/>
                <w:sz w:val="21"/>
                <w:szCs w:val="21"/>
              </w:rPr>
              <w:t>dos</w:t>
            </w:r>
            <w:r w:rsidRPr="00401C70">
              <w:rPr>
                <w:rFonts w:ascii="Abadi" w:hAnsi="Abadi" w:cs="Calibri"/>
                <w:spacing w:val="1"/>
                <w:sz w:val="21"/>
                <w:szCs w:val="21"/>
              </w:rPr>
              <w:t xml:space="preserve"> </w:t>
            </w:r>
            <w:r w:rsidRPr="00401C70">
              <w:rPr>
                <w:rFonts w:ascii="Abadi" w:hAnsi="Abadi" w:cs="Calibri"/>
                <w:sz w:val="21"/>
                <w:szCs w:val="21"/>
              </w:rPr>
              <w:t>años</w:t>
            </w:r>
            <w:r w:rsidRPr="00401C70">
              <w:rPr>
                <w:rFonts w:ascii="Abadi" w:hAnsi="Abadi" w:cs="Calibri"/>
                <w:spacing w:val="1"/>
                <w:sz w:val="21"/>
                <w:szCs w:val="21"/>
              </w:rPr>
              <w:t xml:space="preserve"> </w:t>
            </w:r>
            <w:r w:rsidRPr="00401C70">
              <w:rPr>
                <w:rFonts w:ascii="Abadi" w:hAnsi="Abadi" w:cs="Calibri"/>
                <w:sz w:val="21"/>
                <w:szCs w:val="21"/>
              </w:rPr>
              <w:t>en</w:t>
            </w:r>
            <w:r w:rsidRPr="00401C70">
              <w:rPr>
                <w:rFonts w:ascii="Abadi" w:hAnsi="Abadi" w:cs="Calibri"/>
                <w:spacing w:val="1"/>
                <w:sz w:val="21"/>
                <w:szCs w:val="21"/>
              </w:rPr>
              <w:t xml:space="preserve"> </w:t>
            </w:r>
            <w:r w:rsidRPr="00401C70">
              <w:rPr>
                <w:rFonts w:ascii="Abadi" w:hAnsi="Abadi" w:cs="Calibri"/>
                <w:sz w:val="21"/>
                <w:szCs w:val="21"/>
              </w:rPr>
              <w:t>materia</w:t>
            </w:r>
            <w:r w:rsidRPr="00401C70">
              <w:rPr>
                <w:rFonts w:ascii="Abadi" w:hAnsi="Abadi" w:cs="Calibri"/>
                <w:spacing w:val="-4"/>
                <w:sz w:val="21"/>
                <w:szCs w:val="21"/>
              </w:rPr>
              <w:t xml:space="preserve"> </w:t>
            </w:r>
            <w:r w:rsidRPr="00401C70">
              <w:rPr>
                <w:rFonts w:ascii="Abadi" w:hAnsi="Abadi" w:cs="Calibri"/>
                <w:sz w:val="21"/>
                <w:szCs w:val="21"/>
              </w:rPr>
              <w:t>de</w:t>
            </w:r>
            <w:r w:rsidRPr="00401C70">
              <w:rPr>
                <w:rFonts w:ascii="Abadi" w:hAnsi="Abadi" w:cs="Calibri"/>
                <w:spacing w:val="-3"/>
                <w:sz w:val="21"/>
                <w:szCs w:val="21"/>
              </w:rPr>
              <w:t xml:space="preserve"> </w:t>
            </w:r>
            <w:r w:rsidRPr="00401C70">
              <w:rPr>
                <w:rFonts w:ascii="Abadi" w:hAnsi="Abadi" w:cs="Calibri"/>
                <w:sz w:val="21"/>
                <w:szCs w:val="21"/>
              </w:rPr>
              <w:t>fiscalización</w:t>
            </w:r>
            <w:r w:rsidRPr="00401C70">
              <w:rPr>
                <w:rFonts w:ascii="Abadi" w:hAnsi="Abadi" w:cs="Calibri"/>
                <w:spacing w:val="-4"/>
                <w:sz w:val="21"/>
                <w:szCs w:val="21"/>
              </w:rPr>
              <w:t xml:space="preserve"> </w:t>
            </w:r>
            <w:r w:rsidRPr="00401C70">
              <w:rPr>
                <w:rFonts w:ascii="Abadi" w:hAnsi="Abadi" w:cs="Calibri"/>
                <w:sz w:val="21"/>
                <w:szCs w:val="21"/>
              </w:rPr>
              <w:t>y</w:t>
            </w:r>
            <w:r w:rsidRPr="00401C70">
              <w:rPr>
                <w:rFonts w:ascii="Abadi" w:hAnsi="Abadi" w:cs="Calibri"/>
                <w:spacing w:val="-5"/>
                <w:sz w:val="21"/>
                <w:szCs w:val="21"/>
              </w:rPr>
              <w:t xml:space="preserve"> </w:t>
            </w:r>
            <w:r w:rsidRPr="00401C70">
              <w:rPr>
                <w:rFonts w:ascii="Abadi" w:hAnsi="Abadi" w:cs="Calibri"/>
                <w:sz w:val="21"/>
                <w:szCs w:val="21"/>
              </w:rPr>
              <w:t>rendición</w:t>
            </w:r>
            <w:r w:rsidRPr="00401C70">
              <w:rPr>
                <w:rFonts w:ascii="Abadi" w:hAnsi="Abadi" w:cs="Calibri"/>
                <w:spacing w:val="-5"/>
                <w:sz w:val="21"/>
                <w:szCs w:val="21"/>
              </w:rPr>
              <w:t xml:space="preserve"> </w:t>
            </w:r>
            <w:r w:rsidRPr="00401C70">
              <w:rPr>
                <w:rFonts w:ascii="Abadi" w:hAnsi="Abadi" w:cs="Calibri"/>
                <w:sz w:val="21"/>
                <w:szCs w:val="21"/>
              </w:rPr>
              <w:t>de</w:t>
            </w:r>
            <w:r w:rsidRPr="00401C70">
              <w:rPr>
                <w:rFonts w:ascii="Abadi" w:hAnsi="Abadi" w:cs="Calibri"/>
                <w:spacing w:val="-5"/>
                <w:sz w:val="21"/>
                <w:szCs w:val="21"/>
              </w:rPr>
              <w:t xml:space="preserve"> </w:t>
            </w:r>
            <w:r w:rsidRPr="00401C70">
              <w:rPr>
                <w:rFonts w:ascii="Abadi" w:hAnsi="Abadi" w:cs="Calibri"/>
                <w:sz w:val="21"/>
                <w:szCs w:val="21"/>
              </w:rPr>
              <w:t>cuentas.</w:t>
            </w:r>
          </w:p>
        </w:tc>
        <w:tc>
          <w:tcPr>
            <w:tcW w:w="2500" w:type="pct"/>
            <w:tcBorders>
              <w:top w:val="none" w:sz="6" w:space="0" w:color="auto"/>
              <w:left w:val="single" w:sz="4" w:space="0" w:color="000000"/>
              <w:bottom w:val="none" w:sz="6" w:space="0" w:color="auto"/>
              <w:right w:val="single" w:sz="4" w:space="0" w:color="000000"/>
            </w:tcBorders>
          </w:tcPr>
          <w:p w14:paraId="67964DDC" w14:textId="77777777" w:rsidR="00677B7E" w:rsidRPr="00401C70" w:rsidRDefault="00677B7E" w:rsidP="00FA2590">
            <w:pPr>
              <w:kinsoku w:val="0"/>
              <w:overflowPunct w:val="0"/>
              <w:autoSpaceDE w:val="0"/>
              <w:autoSpaceDN w:val="0"/>
              <w:adjustRightInd w:val="0"/>
              <w:spacing w:before="114"/>
              <w:ind w:left="107" w:right="93"/>
              <w:jc w:val="both"/>
              <w:rPr>
                <w:rFonts w:ascii="Abadi" w:hAnsi="Abadi" w:cs="Calibri"/>
                <w:sz w:val="21"/>
                <w:szCs w:val="21"/>
              </w:rPr>
            </w:pPr>
            <w:r w:rsidRPr="00401C70">
              <w:rPr>
                <w:rFonts w:ascii="Abadi" w:hAnsi="Abadi" w:cs="Calibri"/>
                <w:b/>
                <w:bCs/>
                <w:i/>
                <w:iCs/>
                <w:sz w:val="21"/>
                <w:szCs w:val="21"/>
              </w:rPr>
              <w:t>La</w:t>
            </w:r>
            <w:r w:rsidRPr="00401C70">
              <w:rPr>
                <w:rFonts w:ascii="Abadi" w:hAnsi="Abadi" w:cs="Calibri"/>
                <w:b/>
                <w:bCs/>
                <w:i/>
                <w:iCs/>
                <w:spacing w:val="1"/>
                <w:sz w:val="21"/>
                <w:szCs w:val="21"/>
              </w:rPr>
              <w:t xml:space="preserve"> </w:t>
            </w:r>
            <w:r w:rsidRPr="00401C70">
              <w:rPr>
                <w:rFonts w:ascii="Abadi" w:hAnsi="Abadi" w:cs="Calibri"/>
                <w:b/>
                <w:bCs/>
                <w:i/>
                <w:iCs/>
                <w:sz w:val="21"/>
                <w:szCs w:val="21"/>
              </w:rPr>
              <w:t>persona</w:t>
            </w:r>
            <w:r w:rsidRPr="00401C70">
              <w:rPr>
                <w:rFonts w:ascii="Abadi" w:hAnsi="Abadi" w:cs="Calibri"/>
                <w:b/>
                <w:bCs/>
                <w:i/>
                <w:iCs/>
                <w:spacing w:val="1"/>
                <w:sz w:val="21"/>
                <w:szCs w:val="21"/>
              </w:rPr>
              <w:t xml:space="preserve"> </w:t>
            </w:r>
            <w:r w:rsidRPr="00401C70">
              <w:rPr>
                <w:rFonts w:ascii="Abadi" w:hAnsi="Abadi" w:cs="Calibri"/>
                <w:sz w:val="21"/>
                <w:szCs w:val="21"/>
              </w:rPr>
              <w:t>titular</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Secretaría</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47"/>
                <w:sz w:val="21"/>
                <w:szCs w:val="21"/>
              </w:rPr>
              <w:t xml:space="preserve"> </w:t>
            </w:r>
            <w:r w:rsidRPr="00401C70">
              <w:rPr>
                <w:rFonts w:ascii="Abadi" w:hAnsi="Abadi" w:cs="Calibri"/>
                <w:sz w:val="21"/>
                <w:szCs w:val="21"/>
              </w:rPr>
              <w:t>Transparencia y Rendición de Cuentas deberá</w:t>
            </w:r>
            <w:r w:rsidRPr="00401C70">
              <w:rPr>
                <w:rFonts w:ascii="Abadi" w:hAnsi="Abadi" w:cs="Calibri"/>
                <w:spacing w:val="1"/>
                <w:sz w:val="21"/>
                <w:szCs w:val="21"/>
              </w:rPr>
              <w:t xml:space="preserve"> </w:t>
            </w:r>
            <w:r w:rsidRPr="00401C70">
              <w:rPr>
                <w:rFonts w:ascii="Abadi" w:hAnsi="Abadi" w:cs="Calibri"/>
                <w:sz w:val="21"/>
                <w:szCs w:val="21"/>
              </w:rPr>
              <w:t>contar con experiencia de cuando menos dos</w:t>
            </w:r>
            <w:r w:rsidRPr="00401C70">
              <w:rPr>
                <w:rFonts w:ascii="Abadi" w:hAnsi="Abadi" w:cs="Calibri"/>
                <w:spacing w:val="1"/>
                <w:sz w:val="21"/>
                <w:szCs w:val="21"/>
              </w:rPr>
              <w:t xml:space="preserve"> </w:t>
            </w:r>
            <w:r w:rsidRPr="00401C70">
              <w:rPr>
                <w:rFonts w:ascii="Abadi" w:hAnsi="Abadi" w:cs="Calibri"/>
                <w:sz w:val="21"/>
                <w:szCs w:val="21"/>
              </w:rPr>
              <w:t>años en materia de fiscalización y rendición de</w:t>
            </w:r>
            <w:r w:rsidRPr="00401C70">
              <w:rPr>
                <w:rFonts w:ascii="Abadi" w:hAnsi="Abadi" w:cs="Calibri"/>
                <w:spacing w:val="-47"/>
                <w:sz w:val="21"/>
                <w:szCs w:val="21"/>
              </w:rPr>
              <w:t xml:space="preserve"> </w:t>
            </w:r>
            <w:r w:rsidRPr="00401C70">
              <w:rPr>
                <w:rFonts w:ascii="Abadi" w:hAnsi="Abadi" w:cs="Calibri"/>
                <w:sz w:val="21"/>
                <w:szCs w:val="21"/>
              </w:rPr>
              <w:t>cuentas.</w:t>
            </w:r>
          </w:p>
        </w:tc>
      </w:tr>
      <w:tr w:rsidR="00677B7E" w:rsidRPr="00401C70" w14:paraId="4CF32F8C" w14:textId="77777777" w:rsidTr="003343AD">
        <w:trPr>
          <w:trHeight w:val="2149"/>
        </w:trPr>
        <w:tc>
          <w:tcPr>
            <w:tcW w:w="2500" w:type="pct"/>
            <w:tcBorders>
              <w:top w:val="none" w:sz="6" w:space="0" w:color="auto"/>
              <w:left w:val="single" w:sz="4" w:space="0" w:color="000000"/>
              <w:bottom w:val="none" w:sz="6" w:space="0" w:color="auto"/>
              <w:right w:val="single" w:sz="4" w:space="0" w:color="000000"/>
            </w:tcBorders>
          </w:tcPr>
          <w:p w14:paraId="09AFE9FC" w14:textId="77777777" w:rsidR="00677B7E" w:rsidRPr="00401C70" w:rsidRDefault="00677B7E" w:rsidP="00FA2590">
            <w:pPr>
              <w:kinsoku w:val="0"/>
              <w:overflowPunct w:val="0"/>
              <w:autoSpaceDE w:val="0"/>
              <w:autoSpaceDN w:val="0"/>
              <w:adjustRightInd w:val="0"/>
              <w:spacing w:before="114"/>
              <w:ind w:left="107" w:right="94"/>
              <w:jc w:val="both"/>
              <w:rPr>
                <w:rFonts w:ascii="Abadi" w:hAnsi="Abadi" w:cs="Calibri"/>
                <w:sz w:val="21"/>
                <w:szCs w:val="21"/>
              </w:rPr>
            </w:pPr>
            <w:r w:rsidRPr="00401C70">
              <w:rPr>
                <w:rFonts w:ascii="Abadi" w:hAnsi="Abadi" w:cs="Calibri"/>
                <w:sz w:val="21"/>
                <w:szCs w:val="21"/>
              </w:rPr>
              <w:lastRenderedPageBreak/>
              <w:t>El nombramiento del titular de la Secretaría de</w:t>
            </w:r>
            <w:r w:rsidRPr="00401C70">
              <w:rPr>
                <w:rFonts w:ascii="Abadi" w:hAnsi="Abadi" w:cs="Calibri"/>
                <w:spacing w:val="-47"/>
                <w:sz w:val="21"/>
                <w:szCs w:val="21"/>
              </w:rPr>
              <w:t xml:space="preserve"> </w:t>
            </w:r>
            <w:r w:rsidRPr="00401C70">
              <w:rPr>
                <w:rFonts w:ascii="Abadi" w:hAnsi="Abadi" w:cs="Calibri"/>
                <w:sz w:val="21"/>
                <w:szCs w:val="21"/>
              </w:rPr>
              <w:t>la Transparencia y Rendición de Cuentas que</w:t>
            </w:r>
            <w:r w:rsidRPr="00401C70">
              <w:rPr>
                <w:rFonts w:ascii="Abadi" w:hAnsi="Abadi" w:cs="Calibri"/>
                <w:spacing w:val="1"/>
                <w:sz w:val="21"/>
                <w:szCs w:val="21"/>
              </w:rPr>
              <w:t xml:space="preserve"> </w:t>
            </w:r>
            <w:r w:rsidRPr="00401C70">
              <w:rPr>
                <w:rFonts w:ascii="Abadi" w:hAnsi="Abadi" w:cs="Calibri"/>
                <w:sz w:val="21"/>
                <w:szCs w:val="21"/>
              </w:rPr>
              <w:t>someta el Gobernador del Estado a ratificación</w:t>
            </w:r>
            <w:r w:rsidRPr="00401C70">
              <w:rPr>
                <w:rFonts w:ascii="Abadi" w:hAnsi="Abadi" w:cs="Calibri"/>
                <w:spacing w:val="-47"/>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Congreso</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Estado,</w:t>
            </w:r>
            <w:r w:rsidRPr="00401C70">
              <w:rPr>
                <w:rFonts w:ascii="Abadi" w:hAnsi="Abadi" w:cs="Calibri"/>
                <w:spacing w:val="1"/>
                <w:sz w:val="21"/>
                <w:szCs w:val="21"/>
              </w:rPr>
              <w:t xml:space="preserve"> </w:t>
            </w:r>
            <w:r w:rsidRPr="00401C70">
              <w:rPr>
                <w:rFonts w:ascii="Abadi" w:hAnsi="Abadi" w:cs="Calibri"/>
                <w:sz w:val="21"/>
                <w:szCs w:val="21"/>
              </w:rPr>
              <w:t>deberá</w:t>
            </w:r>
            <w:r w:rsidRPr="00401C70">
              <w:rPr>
                <w:rFonts w:ascii="Abadi" w:hAnsi="Abadi" w:cs="Calibri"/>
                <w:spacing w:val="1"/>
                <w:sz w:val="21"/>
                <w:szCs w:val="21"/>
              </w:rPr>
              <w:t xml:space="preserve"> </w:t>
            </w:r>
            <w:r w:rsidRPr="00401C70">
              <w:rPr>
                <w:rFonts w:ascii="Abadi" w:hAnsi="Abadi" w:cs="Calibri"/>
                <w:sz w:val="21"/>
                <w:szCs w:val="21"/>
              </w:rPr>
              <w:t>estar</w:t>
            </w:r>
            <w:r w:rsidRPr="00401C70">
              <w:rPr>
                <w:rFonts w:ascii="Abadi" w:hAnsi="Abadi" w:cs="Calibri"/>
                <w:spacing w:val="1"/>
                <w:sz w:val="21"/>
                <w:szCs w:val="21"/>
              </w:rPr>
              <w:t xml:space="preserve"> </w:t>
            </w:r>
            <w:r w:rsidRPr="00401C70">
              <w:rPr>
                <w:rFonts w:ascii="Abadi" w:hAnsi="Abadi" w:cs="Calibri"/>
                <w:sz w:val="21"/>
                <w:szCs w:val="21"/>
              </w:rPr>
              <w:t>acompañado de la declaración de interés de la</w:t>
            </w:r>
            <w:r w:rsidRPr="00401C70">
              <w:rPr>
                <w:rFonts w:ascii="Abadi" w:hAnsi="Abadi" w:cs="Calibri"/>
                <w:spacing w:val="1"/>
                <w:sz w:val="21"/>
                <w:szCs w:val="21"/>
              </w:rPr>
              <w:t xml:space="preserve"> </w:t>
            </w:r>
            <w:r w:rsidRPr="00401C70">
              <w:rPr>
                <w:rFonts w:ascii="Abadi" w:hAnsi="Abadi" w:cs="Calibri"/>
                <w:sz w:val="21"/>
                <w:szCs w:val="21"/>
              </w:rPr>
              <w:t>persona propuesta, en los términos previstos</w:t>
            </w:r>
            <w:r w:rsidRPr="00401C70">
              <w:rPr>
                <w:rFonts w:ascii="Abadi" w:hAnsi="Abadi" w:cs="Calibri"/>
                <w:spacing w:val="1"/>
                <w:sz w:val="21"/>
                <w:szCs w:val="21"/>
              </w:rPr>
              <w:t xml:space="preserve"> </w:t>
            </w:r>
            <w:r w:rsidRPr="00401C70">
              <w:rPr>
                <w:rFonts w:ascii="Abadi" w:hAnsi="Abadi" w:cs="Calibri"/>
                <w:sz w:val="21"/>
                <w:szCs w:val="21"/>
              </w:rPr>
              <w:t>en</w:t>
            </w:r>
            <w:r w:rsidRPr="00401C70">
              <w:rPr>
                <w:rFonts w:ascii="Abadi" w:hAnsi="Abadi" w:cs="Calibri"/>
                <w:spacing w:val="-1"/>
                <w:sz w:val="21"/>
                <w:szCs w:val="21"/>
              </w:rPr>
              <w:t xml:space="preserve"> </w:t>
            </w:r>
            <w:r w:rsidRPr="00401C70">
              <w:rPr>
                <w:rFonts w:ascii="Abadi" w:hAnsi="Abadi" w:cs="Calibri"/>
                <w:sz w:val="21"/>
                <w:szCs w:val="21"/>
              </w:rPr>
              <w:t>la Ley</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3"/>
                <w:sz w:val="21"/>
                <w:szCs w:val="21"/>
              </w:rPr>
              <w:t xml:space="preserve"> </w:t>
            </w:r>
            <w:r w:rsidRPr="00401C70">
              <w:rPr>
                <w:rFonts w:ascii="Abadi" w:hAnsi="Abadi" w:cs="Calibri"/>
                <w:sz w:val="21"/>
                <w:szCs w:val="21"/>
              </w:rPr>
              <w:t>materia.</w:t>
            </w:r>
          </w:p>
        </w:tc>
        <w:tc>
          <w:tcPr>
            <w:tcW w:w="2500" w:type="pct"/>
            <w:tcBorders>
              <w:top w:val="none" w:sz="6" w:space="0" w:color="auto"/>
              <w:left w:val="single" w:sz="4" w:space="0" w:color="000000"/>
              <w:bottom w:val="none" w:sz="6" w:space="0" w:color="auto"/>
              <w:right w:val="single" w:sz="4" w:space="0" w:color="000000"/>
            </w:tcBorders>
          </w:tcPr>
          <w:p w14:paraId="3CB027C9" w14:textId="77777777" w:rsidR="00677B7E" w:rsidRPr="00401C70" w:rsidRDefault="00677B7E" w:rsidP="00FA2590">
            <w:pPr>
              <w:kinsoku w:val="0"/>
              <w:overflowPunct w:val="0"/>
              <w:autoSpaceDE w:val="0"/>
              <w:autoSpaceDN w:val="0"/>
              <w:adjustRightInd w:val="0"/>
              <w:spacing w:before="114"/>
              <w:ind w:left="107" w:right="92"/>
              <w:jc w:val="both"/>
              <w:rPr>
                <w:rFonts w:ascii="Abadi" w:hAnsi="Abadi" w:cs="Calibri"/>
                <w:sz w:val="21"/>
                <w:szCs w:val="21"/>
              </w:rPr>
            </w:pPr>
            <w:r w:rsidRPr="00401C70">
              <w:rPr>
                <w:rFonts w:ascii="Abadi" w:hAnsi="Abadi" w:cs="Calibri"/>
                <w:sz w:val="21"/>
                <w:szCs w:val="21"/>
              </w:rPr>
              <w:t xml:space="preserve">El nombramiento </w:t>
            </w:r>
            <w:r w:rsidRPr="00401C70">
              <w:rPr>
                <w:rFonts w:ascii="Abadi" w:hAnsi="Abadi" w:cs="Calibri"/>
                <w:b/>
                <w:bCs/>
                <w:i/>
                <w:iCs/>
                <w:sz w:val="21"/>
                <w:szCs w:val="21"/>
              </w:rPr>
              <w:t xml:space="preserve">de la persona </w:t>
            </w:r>
            <w:r w:rsidRPr="00401C70">
              <w:rPr>
                <w:rFonts w:ascii="Abadi" w:hAnsi="Abadi" w:cs="Calibri"/>
                <w:sz w:val="21"/>
                <w:szCs w:val="21"/>
              </w:rPr>
              <w:t>titular de la</w:t>
            </w:r>
            <w:r w:rsidRPr="00401C70">
              <w:rPr>
                <w:rFonts w:ascii="Abadi" w:hAnsi="Abadi" w:cs="Calibri"/>
                <w:spacing w:val="1"/>
                <w:sz w:val="21"/>
                <w:szCs w:val="21"/>
              </w:rPr>
              <w:t xml:space="preserve"> </w:t>
            </w:r>
            <w:r w:rsidRPr="00401C70">
              <w:rPr>
                <w:rFonts w:ascii="Abadi" w:hAnsi="Abadi" w:cs="Calibri"/>
                <w:sz w:val="21"/>
                <w:szCs w:val="21"/>
              </w:rPr>
              <w:t>Secretaría de la Transparencia y Rendición de</w:t>
            </w:r>
            <w:r w:rsidRPr="00401C70">
              <w:rPr>
                <w:rFonts w:ascii="Abadi" w:hAnsi="Abadi" w:cs="Calibri"/>
                <w:spacing w:val="1"/>
                <w:sz w:val="21"/>
                <w:szCs w:val="21"/>
              </w:rPr>
              <w:t xml:space="preserve"> </w:t>
            </w:r>
            <w:r w:rsidRPr="00401C70">
              <w:rPr>
                <w:rFonts w:ascii="Abadi" w:hAnsi="Abadi" w:cs="Calibri"/>
                <w:sz w:val="21"/>
                <w:szCs w:val="21"/>
              </w:rPr>
              <w:t>Cuentas que someta el Gobernador del Estado</w:t>
            </w:r>
            <w:r w:rsidRPr="00401C70">
              <w:rPr>
                <w:rFonts w:ascii="Abadi" w:hAnsi="Abadi" w:cs="Calibri"/>
                <w:spacing w:val="1"/>
                <w:sz w:val="21"/>
                <w:szCs w:val="21"/>
              </w:rPr>
              <w:t xml:space="preserve"> </w:t>
            </w:r>
            <w:r w:rsidRPr="00401C70">
              <w:rPr>
                <w:rFonts w:ascii="Abadi" w:hAnsi="Abadi" w:cs="Calibri"/>
                <w:sz w:val="21"/>
                <w:szCs w:val="21"/>
              </w:rPr>
              <w:t>a ratificación del Congreso del Estado, deberá</w:t>
            </w:r>
            <w:r w:rsidRPr="00401C70">
              <w:rPr>
                <w:rFonts w:ascii="Abadi" w:hAnsi="Abadi" w:cs="Calibri"/>
                <w:spacing w:val="1"/>
                <w:sz w:val="21"/>
                <w:szCs w:val="21"/>
              </w:rPr>
              <w:t xml:space="preserve"> </w:t>
            </w:r>
            <w:r w:rsidRPr="00401C70">
              <w:rPr>
                <w:rFonts w:ascii="Abadi" w:hAnsi="Abadi" w:cs="Calibri"/>
                <w:sz w:val="21"/>
                <w:szCs w:val="21"/>
              </w:rPr>
              <w:t>estar acompañado de la declaración de interés</w:t>
            </w:r>
            <w:r w:rsidRPr="00401C70">
              <w:rPr>
                <w:rFonts w:ascii="Abadi" w:hAnsi="Abadi" w:cs="Calibri"/>
                <w:spacing w:val="-47"/>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persona</w:t>
            </w:r>
            <w:r w:rsidRPr="00401C70">
              <w:rPr>
                <w:rFonts w:ascii="Abadi" w:hAnsi="Abadi" w:cs="Calibri"/>
                <w:spacing w:val="1"/>
                <w:sz w:val="21"/>
                <w:szCs w:val="21"/>
              </w:rPr>
              <w:t xml:space="preserve"> </w:t>
            </w:r>
            <w:r w:rsidRPr="00401C70">
              <w:rPr>
                <w:rFonts w:ascii="Abadi" w:hAnsi="Abadi" w:cs="Calibri"/>
                <w:sz w:val="21"/>
                <w:szCs w:val="21"/>
              </w:rPr>
              <w:t>propuesta,</w:t>
            </w:r>
            <w:r w:rsidRPr="00401C70">
              <w:rPr>
                <w:rFonts w:ascii="Abadi" w:hAnsi="Abadi" w:cs="Calibri"/>
                <w:spacing w:val="1"/>
                <w:sz w:val="21"/>
                <w:szCs w:val="21"/>
              </w:rPr>
              <w:t xml:space="preserve"> </w:t>
            </w:r>
            <w:r w:rsidRPr="00401C70">
              <w:rPr>
                <w:rFonts w:ascii="Abadi" w:hAnsi="Abadi" w:cs="Calibri"/>
                <w:sz w:val="21"/>
                <w:szCs w:val="21"/>
              </w:rPr>
              <w:t>en</w:t>
            </w:r>
            <w:r w:rsidRPr="00401C70">
              <w:rPr>
                <w:rFonts w:ascii="Abadi" w:hAnsi="Abadi" w:cs="Calibri"/>
                <w:spacing w:val="1"/>
                <w:sz w:val="21"/>
                <w:szCs w:val="21"/>
              </w:rPr>
              <w:t xml:space="preserve"> </w:t>
            </w: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términos</w:t>
            </w:r>
            <w:r w:rsidRPr="00401C70">
              <w:rPr>
                <w:rFonts w:ascii="Abadi" w:hAnsi="Abadi" w:cs="Calibri"/>
                <w:spacing w:val="1"/>
                <w:sz w:val="21"/>
                <w:szCs w:val="21"/>
              </w:rPr>
              <w:t xml:space="preserve"> </w:t>
            </w:r>
            <w:r w:rsidRPr="00401C70">
              <w:rPr>
                <w:rFonts w:ascii="Abadi" w:hAnsi="Abadi" w:cs="Calibri"/>
                <w:sz w:val="21"/>
                <w:szCs w:val="21"/>
              </w:rPr>
              <w:t>previstos</w:t>
            </w:r>
            <w:r w:rsidRPr="00401C70">
              <w:rPr>
                <w:rFonts w:ascii="Abadi" w:hAnsi="Abadi" w:cs="Calibri"/>
                <w:spacing w:val="-2"/>
                <w:sz w:val="21"/>
                <w:szCs w:val="21"/>
              </w:rPr>
              <w:t xml:space="preserve"> </w:t>
            </w:r>
            <w:r w:rsidRPr="00401C70">
              <w:rPr>
                <w:rFonts w:ascii="Abadi" w:hAnsi="Abadi" w:cs="Calibri"/>
                <w:sz w:val="21"/>
                <w:szCs w:val="21"/>
              </w:rPr>
              <w:t>en la</w:t>
            </w:r>
            <w:r w:rsidRPr="00401C70">
              <w:rPr>
                <w:rFonts w:ascii="Abadi" w:hAnsi="Abadi" w:cs="Calibri"/>
                <w:spacing w:val="-2"/>
                <w:sz w:val="21"/>
                <w:szCs w:val="21"/>
              </w:rPr>
              <w:t xml:space="preserve"> </w:t>
            </w:r>
            <w:r w:rsidRPr="00401C70">
              <w:rPr>
                <w:rFonts w:ascii="Abadi" w:hAnsi="Abadi" w:cs="Calibri"/>
                <w:sz w:val="21"/>
                <w:szCs w:val="21"/>
              </w:rPr>
              <w:t>Ley de la</w:t>
            </w:r>
            <w:r w:rsidRPr="00401C70">
              <w:rPr>
                <w:rFonts w:ascii="Abadi" w:hAnsi="Abadi" w:cs="Calibri"/>
                <w:spacing w:val="-3"/>
                <w:sz w:val="21"/>
                <w:szCs w:val="21"/>
              </w:rPr>
              <w:t xml:space="preserve"> </w:t>
            </w:r>
            <w:r w:rsidRPr="00401C70">
              <w:rPr>
                <w:rFonts w:ascii="Abadi" w:hAnsi="Abadi" w:cs="Calibri"/>
                <w:sz w:val="21"/>
                <w:szCs w:val="21"/>
              </w:rPr>
              <w:t>materia.</w:t>
            </w:r>
          </w:p>
        </w:tc>
      </w:tr>
      <w:tr w:rsidR="00677B7E" w:rsidRPr="00401C70" w14:paraId="2BC5AE88" w14:textId="77777777" w:rsidTr="003343AD">
        <w:trPr>
          <w:trHeight w:val="920"/>
        </w:trPr>
        <w:tc>
          <w:tcPr>
            <w:tcW w:w="2500" w:type="pct"/>
            <w:tcBorders>
              <w:top w:val="none" w:sz="6" w:space="0" w:color="auto"/>
              <w:left w:val="single" w:sz="4" w:space="0" w:color="000000"/>
              <w:bottom w:val="single" w:sz="4" w:space="0" w:color="000000"/>
              <w:right w:val="single" w:sz="4" w:space="0" w:color="000000"/>
            </w:tcBorders>
          </w:tcPr>
          <w:p w14:paraId="2873EC6C" w14:textId="77777777" w:rsidR="00677B7E" w:rsidRPr="00401C70" w:rsidRDefault="00677B7E" w:rsidP="00FA2590">
            <w:pPr>
              <w:kinsoku w:val="0"/>
              <w:overflowPunct w:val="0"/>
              <w:autoSpaceDE w:val="0"/>
              <w:autoSpaceDN w:val="0"/>
              <w:adjustRightInd w:val="0"/>
              <w:spacing w:before="92" w:line="270" w:lineRule="atLeast"/>
              <w:ind w:left="107" w:right="90"/>
              <w:jc w:val="both"/>
              <w:rPr>
                <w:rFonts w:ascii="Abadi" w:hAnsi="Abadi" w:cs="Calibri"/>
                <w:sz w:val="21"/>
                <w:szCs w:val="21"/>
              </w:rPr>
            </w:pPr>
            <w:r w:rsidRPr="00401C70">
              <w:rPr>
                <w:rFonts w:ascii="Abadi" w:hAnsi="Abadi" w:cs="Calibri"/>
                <w:sz w:val="21"/>
                <w:szCs w:val="21"/>
              </w:rPr>
              <w:t>Para</w:t>
            </w:r>
            <w:r w:rsidRPr="00401C70">
              <w:rPr>
                <w:rFonts w:ascii="Abadi" w:hAnsi="Abadi" w:cs="Calibri"/>
                <w:spacing w:val="-4"/>
                <w:sz w:val="21"/>
                <w:szCs w:val="21"/>
              </w:rPr>
              <w:t xml:space="preserve"> </w:t>
            </w:r>
            <w:r w:rsidRPr="00401C70">
              <w:rPr>
                <w:rFonts w:ascii="Abadi" w:hAnsi="Abadi" w:cs="Calibri"/>
                <w:sz w:val="21"/>
                <w:szCs w:val="21"/>
              </w:rPr>
              <w:t>auxiliar</w:t>
            </w:r>
            <w:r w:rsidRPr="00401C70">
              <w:rPr>
                <w:rFonts w:ascii="Abadi" w:hAnsi="Abadi" w:cs="Calibri"/>
                <w:spacing w:val="-6"/>
                <w:sz w:val="21"/>
                <w:szCs w:val="21"/>
              </w:rPr>
              <w:t xml:space="preserve"> </w:t>
            </w:r>
            <w:r w:rsidRPr="00401C70">
              <w:rPr>
                <w:rFonts w:ascii="Abadi" w:hAnsi="Abadi" w:cs="Calibri"/>
                <w:sz w:val="21"/>
                <w:szCs w:val="21"/>
              </w:rPr>
              <w:t>a</w:t>
            </w:r>
            <w:r w:rsidRPr="00401C70">
              <w:rPr>
                <w:rFonts w:ascii="Abadi" w:hAnsi="Abadi" w:cs="Calibri"/>
                <w:spacing w:val="-3"/>
                <w:sz w:val="21"/>
                <w:szCs w:val="21"/>
              </w:rPr>
              <w:t xml:space="preserve"> </w:t>
            </w:r>
            <w:r w:rsidRPr="00401C70">
              <w:rPr>
                <w:rFonts w:ascii="Abadi" w:hAnsi="Abadi" w:cs="Calibri"/>
                <w:sz w:val="21"/>
                <w:szCs w:val="21"/>
              </w:rPr>
              <w:t>los</w:t>
            </w:r>
            <w:r w:rsidRPr="00401C70">
              <w:rPr>
                <w:rFonts w:ascii="Abadi" w:hAnsi="Abadi" w:cs="Calibri"/>
                <w:spacing w:val="-3"/>
                <w:sz w:val="21"/>
                <w:szCs w:val="21"/>
              </w:rPr>
              <w:t xml:space="preserve"> </w:t>
            </w:r>
            <w:r w:rsidRPr="00401C70">
              <w:rPr>
                <w:rFonts w:ascii="Abadi" w:hAnsi="Abadi" w:cs="Calibri"/>
                <w:sz w:val="21"/>
                <w:szCs w:val="21"/>
              </w:rPr>
              <w:t>titulares</w:t>
            </w:r>
            <w:r w:rsidRPr="00401C70">
              <w:rPr>
                <w:rFonts w:ascii="Abadi" w:hAnsi="Abadi" w:cs="Calibri"/>
                <w:spacing w:val="-6"/>
                <w:sz w:val="21"/>
                <w:szCs w:val="21"/>
              </w:rPr>
              <w:t xml:space="preserve"> </w:t>
            </w:r>
            <w:r w:rsidRPr="00401C70">
              <w:rPr>
                <w:rFonts w:ascii="Abadi" w:hAnsi="Abadi" w:cs="Calibri"/>
                <w:sz w:val="21"/>
                <w:szCs w:val="21"/>
              </w:rPr>
              <w:t>de</w:t>
            </w:r>
            <w:r w:rsidRPr="00401C70">
              <w:rPr>
                <w:rFonts w:ascii="Abadi" w:hAnsi="Abadi" w:cs="Calibri"/>
                <w:spacing w:val="-3"/>
                <w:sz w:val="21"/>
                <w:szCs w:val="21"/>
              </w:rPr>
              <w:t xml:space="preserve"> </w:t>
            </w:r>
            <w:r w:rsidRPr="00401C70">
              <w:rPr>
                <w:rFonts w:ascii="Abadi" w:hAnsi="Abadi" w:cs="Calibri"/>
                <w:sz w:val="21"/>
                <w:szCs w:val="21"/>
              </w:rPr>
              <w:t>las</w:t>
            </w:r>
            <w:r w:rsidRPr="00401C70">
              <w:rPr>
                <w:rFonts w:ascii="Abadi" w:hAnsi="Abadi" w:cs="Calibri"/>
                <w:spacing w:val="-3"/>
                <w:sz w:val="21"/>
                <w:szCs w:val="21"/>
              </w:rPr>
              <w:t xml:space="preserve"> </w:t>
            </w:r>
            <w:r w:rsidRPr="00401C70">
              <w:rPr>
                <w:rFonts w:ascii="Abadi" w:hAnsi="Abadi" w:cs="Calibri"/>
                <w:sz w:val="21"/>
                <w:szCs w:val="21"/>
              </w:rPr>
              <w:t>Secretarías,</w:t>
            </w:r>
            <w:r w:rsidRPr="00401C70">
              <w:rPr>
                <w:rFonts w:ascii="Abadi" w:hAnsi="Abadi" w:cs="Calibri"/>
                <w:spacing w:val="-3"/>
                <w:sz w:val="21"/>
                <w:szCs w:val="21"/>
              </w:rPr>
              <w:t xml:space="preserve"> </w:t>
            </w:r>
            <w:r w:rsidRPr="00401C70">
              <w:rPr>
                <w:rFonts w:ascii="Abadi" w:hAnsi="Abadi" w:cs="Calibri"/>
                <w:sz w:val="21"/>
                <w:szCs w:val="21"/>
              </w:rPr>
              <w:t>el</w:t>
            </w:r>
            <w:r w:rsidRPr="00401C70">
              <w:rPr>
                <w:rFonts w:ascii="Abadi" w:hAnsi="Abadi" w:cs="Calibri"/>
                <w:spacing w:val="-48"/>
                <w:sz w:val="21"/>
                <w:szCs w:val="21"/>
              </w:rPr>
              <w:t xml:space="preserve"> </w:t>
            </w:r>
            <w:r w:rsidRPr="00401C70">
              <w:rPr>
                <w:rFonts w:ascii="Abadi" w:hAnsi="Abadi" w:cs="Calibri"/>
                <w:sz w:val="21"/>
                <w:szCs w:val="21"/>
              </w:rPr>
              <w:t>Gobernador</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Estado</w:t>
            </w:r>
            <w:r w:rsidRPr="00401C70">
              <w:rPr>
                <w:rFonts w:ascii="Abadi" w:hAnsi="Abadi" w:cs="Calibri"/>
                <w:spacing w:val="1"/>
                <w:sz w:val="21"/>
                <w:szCs w:val="21"/>
              </w:rPr>
              <w:t xml:space="preserve"> </w:t>
            </w:r>
            <w:r w:rsidRPr="00401C70">
              <w:rPr>
                <w:rFonts w:ascii="Abadi" w:hAnsi="Abadi" w:cs="Calibri"/>
                <w:sz w:val="21"/>
                <w:szCs w:val="21"/>
              </w:rPr>
              <w:t>podrá</w:t>
            </w:r>
            <w:r w:rsidRPr="00401C70">
              <w:rPr>
                <w:rFonts w:ascii="Abadi" w:hAnsi="Abadi" w:cs="Calibri"/>
                <w:spacing w:val="1"/>
                <w:sz w:val="21"/>
                <w:szCs w:val="21"/>
              </w:rPr>
              <w:t xml:space="preserve"> </w:t>
            </w:r>
            <w:r w:rsidRPr="00401C70">
              <w:rPr>
                <w:rFonts w:ascii="Abadi" w:hAnsi="Abadi" w:cs="Calibri"/>
                <w:sz w:val="21"/>
                <w:szCs w:val="21"/>
              </w:rPr>
              <w:t>designar</w:t>
            </w:r>
            <w:r w:rsidRPr="00401C70">
              <w:rPr>
                <w:rFonts w:ascii="Abadi" w:hAnsi="Abadi" w:cs="Calibri"/>
                <w:spacing w:val="1"/>
                <w:sz w:val="21"/>
                <w:szCs w:val="21"/>
              </w:rPr>
              <w:t xml:space="preserve"> </w:t>
            </w:r>
            <w:r w:rsidRPr="00401C70">
              <w:rPr>
                <w:rFonts w:ascii="Abadi" w:hAnsi="Abadi" w:cs="Calibri"/>
                <w:sz w:val="21"/>
                <w:szCs w:val="21"/>
              </w:rPr>
              <w:t>Subsecretarios</w:t>
            </w:r>
            <w:r w:rsidRPr="00401C70">
              <w:rPr>
                <w:rFonts w:ascii="Abadi" w:hAnsi="Abadi" w:cs="Calibri"/>
                <w:spacing w:val="2"/>
                <w:sz w:val="21"/>
                <w:szCs w:val="21"/>
              </w:rPr>
              <w:t xml:space="preserve"> </w:t>
            </w:r>
            <w:r w:rsidRPr="00401C70">
              <w:rPr>
                <w:rFonts w:ascii="Abadi" w:hAnsi="Abadi" w:cs="Calibri"/>
                <w:sz w:val="21"/>
                <w:szCs w:val="21"/>
              </w:rPr>
              <w:t>del ramo, los</w:t>
            </w:r>
            <w:r w:rsidRPr="00401C70">
              <w:rPr>
                <w:rFonts w:ascii="Abadi" w:hAnsi="Abadi" w:cs="Calibri"/>
                <w:spacing w:val="2"/>
                <w:sz w:val="21"/>
                <w:szCs w:val="21"/>
              </w:rPr>
              <w:t xml:space="preserve"> </w:t>
            </w:r>
            <w:r w:rsidRPr="00401C70">
              <w:rPr>
                <w:rFonts w:ascii="Abadi" w:hAnsi="Abadi" w:cs="Calibri"/>
                <w:sz w:val="21"/>
                <w:szCs w:val="21"/>
              </w:rPr>
              <w:t>cuales tendrán</w:t>
            </w:r>
            <w:r w:rsidRPr="00401C70">
              <w:rPr>
                <w:rFonts w:ascii="Abadi" w:hAnsi="Abadi" w:cs="Calibri"/>
                <w:spacing w:val="2"/>
                <w:sz w:val="21"/>
                <w:szCs w:val="21"/>
              </w:rPr>
              <w:t xml:space="preserve"> </w:t>
            </w:r>
            <w:r w:rsidRPr="00401C70">
              <w:rPr>
                <w:rFonts w:ascii="Abadi" w:hAnsi="Abadi" w:cs="Calibri"/>
                <w:sz w:val="21"/>
                <w:szCs w:val="21"/>
              </w:rPr>
              <w:t>las</w:t>
            </w:r>
          </w:p>
        </w:tc>
        <w:tc>
          <w:tcPr>
            <w:tcW w:w="2500" w:type="pct"/>
            <w:tcBorders>
              <w:top w:val="none" w:sz="6" w:space="0" w:color="auto"/>
              <w:left w:val="single" w:sz="4" w:space="0" w:color="000000"/>
              <w:bottom w:val="single" w:sz="4" w:space="0" w:color="000000"/>
              <w:right w:val="single" w:sz="4" w:space="0" w:color="000000"/>
            </w:tcBorders>
          </w:tcPr>
          <w:p w14:paraId="0241A78E" w14:textId="77777777" w:rsidR="00677B7E" w:rsidRPr="00401C70" w:rsidRDefault="00677B7E" w:rsidP="00FA2590">
            <w:pPr>
              <w:kinsoku w:val="0"/>
              <w:overflowPunct w:val="0"/>
              <w:autoSpaceDE w:val="0"/>
              <w:autoSpaceDN w:val="0"/>
              <w:adjustRightInd w:val="0"/>
              <w:spacing w:before="92" w:line="270" w:lineRule="atLeast"/>
              <w:ind w:left="107" w:right="93"/>
              <w:jc w:val="both"/>
              <w:rPr>
                <w:rFonts w:ascii="Abadi" w:hAnsi="Abadi" w:cs="Calibri"/>
                <w:b/>
                <w:bCs/>
                <w:i/>
                <w:iCs/>
                <w:sz w:val="21"/>
                <w:szCs w:val="21"/>
              </w:rPr>
            </w:pPr>
            <w:r w:rsidRPr="00401C70">
              <w:rPr>
                <w:rFonts w:ascii="Abadi" w:hAnsi="Abadi" w:cs="Calibri"/>
                <w:sz w:val="21"/>
                <w:szCs w:val="21"/>
              </w:rPr>
              <w:t>Para</w:t>
            </w:r>
            <w:r w:rsidRPr="00401C70">
              <w:rPr>
                <w:rFonts w:ascii="Abadi" w:hAnsi="Abadi" w:cs="Calibri"/>
                <w:spacing w:val="1"/>
                <w:sz w:val="21"/>
                <w:szCs w:val="21"/>
              </w:rPr>
              <w:t xml:space="preserve"> </w:t>
            </w:r>
            <w:r w:rsidRPr="00401C70">
              <w:rPr>
                <w:rFonts w:ascii="Abadi" w:hAnsi="Abadi" w:cs="Calibri"/>
                <w:sz w:val="21"/>
                <w:szCs w:val="21"/>
              </w:rPr>
              <w:t>auxiliar</w:t>
            </w:r>
            <w:r w:rsidRPr="00401C70">
              <w:rPr>
                <w:rFonts w:ascii="Abadi" w:hAnsi="Abadi" w:cs="Calibri"/>
                <w:spacing w:val="1"/>
                <w:sz w:val="21"/>
                <w:szCs w:val="21"/>
              </w:rPr>
              <w:t xml:space="preserve"> </w:t>
            </w:r>
            <w:r w:rsidRPr="00401C70">
              <w:rPr>
                <w:rFonts w:ascii="Abadi" w:hAnsi="Abadi" w:cs="Calibri"/>
                <w:sz w:val="21"/>
                <w:szCs w:val="21"/>
              </w:rPr>
              <w:t>a</w:t>
            </w:r>
            <w:r w:rsidRPr="00401C70">
              <w:rPr>
                <w:rFonts w:ascii="Abadi" w:hAnsi="Abadi" w:cs="Calibri"/>
                <w:spacing w:val="1"/>
                <w:sz w:val="21"/>
                <w:szCs w:val="21"/>
              </w:rPr>
              <w:t xml:space="preserve"> </w:t>
            </w:r>
            <w:r w:rsidRPr="00401C70">
              <w:rPr>
                <w:rFonts w:ascii="Abadi" w:hAnsi="Abadi" w:cs="Calibri"/>
                <w:b/>
                <w:bCs/>
                <w:i/>
                <w:iCs/>
                <w:sz w:val="21"/>
                <w:szCs w:val="21"/>
              </w:rPr>
              <w:t>las</w:t>
            </w:r>
            <w:r w:rsidRPr="00401C70">
              <w:rPr>
                <w:rFonts w:ascii="Abadi" w:hAnsi="Abadi" w:cs="Calibri"/>
                <w:b/>
                <w:bCs/>
                <w:i/>
                <w:iCs/>
                <w:spacing w:val="1"/>
                <w:sz w:val="21"/>
                <w:szCs w:val="21"/>
              </w:rPr>
              <w:t xml:space="preserve"> </w:t>
            </w:r>
            <w:r w:rsidRPr="00401C70">
              <w:rPr>
                <w:rFonts w:ascii="Abadi" w:hAnsi="Abadi" w:cs="Calibri"/>
                <w:b/>
                <w:bCs/>
                <w:i/>
                <w:iCs/>
                <w:sz w:val="21"/>
                <w:szCs w:val="21"/>
              </w:rPr>
              <w:t>personas</w:t>
            </w:r>
            <w:r w:rsidRPr="00401C70">
              <w:rPr>
                <w:rFonts w:ascii="Abadi" w:hAnsi="Abadi" w:cs="Calibri"/>
                <w:b/>
                <w:bCs/>
                <w:i/>
                <w:iCs/>
                <w:spacing w:val="1"/>
                <w:sz w:val="21"/>
                <w:szCs w:val="21"/>
              </w:rPr>
              <w:t xml:space="preserve"> </w:t>
            </w:r>
            <w:r w:rsidRPr="00401C70">
              <w:rPr>
                <w:rFonts w:ascii="Abadi" w:hAnsi="Abadi" w:cs="Calibri"/>
                <w:sz w:val="21"/>
                <w:szCs w:val="21"/>
              </w:rPr>
              <w:t>titulares</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las</w:t>
            </w:r>
            <w:r w:rsidRPr="00401C70">
              <w:rPr>
                <w:rFonts w:ascii="Abadi" w:hAnsi="Abadi" w:cs="Calibri"/>
                <w:spacing w:val="1"/>
                <w:sz w:val="21"/>
                <w:szCs w:val="21"/>
              </w:rPr>
              <w:t xml:space="preserve"> </w:t>
            </w:r>
            <w:r w:rsidRPr="00401C70">
              <w:rPr>
                <w:rFonts w:ascii="Abadi" w:hAnsi="Abadi" w:cs="Calibri"/>
                <w:sz w:val="21"/>
                <w:szCs w:val="21"/>
              </w:rPr>
              <w:t>Secretarías,</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Gobernador</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Estado,</w:t>
            </w:r>
            <w:r w:rsidRPr="00401C70">
              <w:rPr>
                <w:rFonts w:ascii="Abadi" w:hAnsi="Abadi" w:cs="Calibri"/>
                <w:spacing w:val="1"/>
                <w:sz w:val="21"/>
                <w:szCs w:val="21"/>
              </w:rPr>
              <w:t xml:space="preserve"> </w:t>
            </w:r>
            <w:r w:rsidRPr="00401C70">
              <w:rPr>
                <w:rFonts w:ascii="Abadi" w:hAnsi="Abadi" w:cs="Calibri"/>
                <w:b/>
                <w:bCs/>
                <w:i/>
                <w:iCs/>
                <w:sz w:val="21"/>
                <w:szCs w:val="21"/>
              </w:rPr>
              <w:t>observando</w:t>
            </w:r>
            <w:r w:rsidRPr="00401C70">
              <w:rPr>
                <w:rFonts w:ascii="Abadi" w:hAnsi="Abadi" w:cs="Calibri"/>
                <w:b/>
                <w:bCs/>
                <w:i/>
                <w:iCs/>
                <w:spacing w:val="-1"/>
                <w:sz w:val="21"/>
                <w:szCs w:val="21"/>
              </w:rPr>
              <w:t xml:space="preserve"> </w:t>
            </w:r>
            <w:r w:rsidRPr="00401C70">
              <w:rPr>
                <w:rFonts w:ascii="Abadi" w:hAnsi="Abadi" w:cs="Calibri"/>
                <w:b/>
                <w:bCs/>
                <w:i/>
                <w:iCs/>
                <w:sz w:val="21"/>
                <w:szCs w:val="21"/>
              </w:rPr>
              <w:t>el</w:t>
            </w:r>
            <w:r w:rsidRPr="00401C70">
              <w:rPr>
                <w:rFonts w:ascii="Abadi" w:hAnsi="Abadi" w:cs="Calibri"/>
                <w:b/>
                <w:bCs/>
                <w:i/>
                <w:iCs/>
                <w:spacing w:val="-2"/>
                <w:sz w:val="21"/>
                <w:szCs w:val="21"/>
              </w:rPr>
              <w:t xml:space="preserve"> </w:t>
            </w:r>
            <w:r w:rsidRPr="00401C70">
              <w:rPr>
                <w:rFonts w:ascii="Abadi" w:hAnsi="Abadi" w:cs="Calibri"/>
                <w:b/>
                <w:bCs/>
                <w:i/>
                <w:iCs/>
                <w:sz w:val="21"/>
                <w:szCs w:val="21"/>
              </w:rPr>
              <w:t>principio</w:t>
            </w:r>
            <w:r w:rsidRPr="00401C70">
              <w:rPr>
                <w:rFonts w:ascii="Abadi" w:hAnsi="Abadi" w:cs="Calibri"/>
                <w:b/>
                <w:bCs/>
                <w:i/>
                <w:iCs/>
                <w:spacing w:val="-1"/>
                <w:sz w:val="21"/>
                <w:szCs w:val="21"/>
              </w:rPr>
              <w:t xml:space="preserve"> </w:t>
            </w:r>
            <w:r w:rsidRPr="00401C70">
              <w:rPr>
                <w:rFonts w:ascii="Abadi" w:hAnsi="Abadi" w:cs="Calibri"/>
                <w:b/>
                <w:bCs/>
                <w:i/>
                <w:iCs/>
                <w:sz w:val="21"/>
                <w:szCs w:val="21"/>
              </w:rPr>
              <w:t>de</w:t>
            </w:r>
            <w:r w:rsidRPr="00401C70">
              <w:rPr>
                <w:rFonts w:ascii="Abadi" w:hAnsi="Abadi" w:cs="Calibri"/>
                <w:b/>
                <w:bCs/>
                <w:i/>
                <w:iCs/>
                <w:spacing w:val="-3"/>
                <w:sz w:val="21"/>
                <w:szCs w:val="21"/>
              </w:rPr>
              <w:t xml:space="preserve"> </w:t>
            </w:r>
            <w:r w:rsidRPr="00401C70">
              <w:rPr>
                <w:rFonts w:ascii="Abadi" w:hAnsi="Abadi" w:cs="Calibri"/>
                <w:b/>
                <w:bCs/>
                <w:i/>
                <w:iCs/>
                <w:sz w:val="21"/>
                <w:szCs w:val="21"/>
              </w:rPr>
              <w:t>paridad</w:t>
            </w:r>
            <w:r w:rsidRPr="00401C70">
              <w:rPr>
                <w:rFonts w:ascii="Abadi" w:hAnsi="Abadi" w:cs="Calibri"/>
                <w:b/>
                <w:bCs/>
                <w:i/>
                <w:iCs/>
                <w:spacing w:val="-1"/>
                <w:sz w:val="21"/>
                <w:szCs w:val="21"/>
              </w:rPr>
              <w:t xml:space="preserve"> </w:t>
            </w:r>
            <w:r w:rsidRPr="00401C70">
              <w:rPr>
                <w:rFonts w:ascii="Abadi" w:hAnsi="Abadi" w:cs="Calibri"/>
                <w:b/>
                <w:bCs/>
                <w:i/>
                <w:iCs/>
                <w:sz w:val="21"/>
                <w:szCs w:val="21"/>
              </w:rPr>
              <w:t>de</w:t>
            </w:r>
            <w:r w:rsidRPr="00401C70">
              <w:rPr>
                <w:rFonts w:ascii="Abadi" w:hAnsi="Abadi" w:cs="Calibri"/>
                <w:b/>
                <w:bCs/>
                <w:i/>
                <w:iCs/>
                <w:spacing w:val="-2"/>
                <w:sz w:val="21"/>
                <w:szCs w:val="21"/>
              </w:rPr>
              <w:t xml:space="preserve"> </w:t>
            </w:r>
            <w:r w:rsidRPr="00401C70">
              <w:rPr>
                <w:rFonts w:ascii="Abadi" w:hAnsi="Abadi" w:cs="Calibri"/>
                <w:b/>
                <w:bCs/>
                <w:i/>
                <w:iCs/>
                <w:sz w:val="21"/>
                <w:szCs w:val="21"/>
              </w:rPr>
              <w:t>género,</w:t>
            </w:r>
          </w:p>
        </w:tc>
      </w:tr>
    </w:tbl>
    <w:p w14:paraId="59C556DF" w14:textId="77777777" w:rsidR="00677B7E" w:rsidRPr="00401C70" w:rsidRDefault="00677B7E" w:rsidP="00677B7E">
      <w:pPr>
        <w:kinsoku w:val="0"/>
        <w:overflowPunct w:val="0"/>
        <w:autoSpaceDE w:val="0"/>
        <w:autoSpaceDN w:val="0"/>
        <w:adjustRightInd w:val="0"/>
        <w:spacing w:before="3"/>
        <w:jc w:val="both"/>
        <w:rPr>
          <w:rFonts w:ascii="Abadi" w:hAnsi="Abadi"/>
          <w:sz w:val="21"/>
          <w:szCs w:val="21"/>
        </w:rPr>
      </w:pPr>
    </w:p>
    <w:tbl>
      <w:tblPr>
        <w:tblW w:w="5000" w:type="pct"/>
        <w:tblCellMar>
          <w:left w:w="0" w:type="dxa"/>
          <w:right w:w="0" w:type="dxa"/>
        </w:tblCellMar>
        <w:tblLook w:val="0000" w:firstRow="0" w:lastRow="0" w:firstColumn="0" w:lastColumn="0" w:noHBand="0" w:noVBand="0"/>
      </w:tblPr>
      <w:tblGrid>
        <w:gridCol w:w="2050"/>
        <w:gridCol w:w="2051"/>
      </w:tblGrid>
      <w:tr w:rsidR="00677B7E" w:rsidRPr="00401C70" w14:paraId="57F15EE4" w14:textId="77777777" w:rsidTr="003343AD">
        <w:trPr>
          <w:trHeight w:val="1497"/>
        </w:trPr>
        <w:tc>
          <w:tcPr>
            <w:tcW w:w="2500" w:type="pct"/>
            <w:tcBorders>
              <w:top w:val="single" w:sz="4" w:space="0" w:color="000000"/>
              <w:left w:val="single" w:sz="4" w:space="0" w:color="000000"/>
              <w:bottom w:val="none" w:sz="6" w:space="0" w:color="auto"/>
              <w:right w:val="single" w:sz="4" w:space="0" w:color="000000"/>
            </w:tcBorders>
          </w:tcPr>
          <w:p w14:paraId="02A29417" w14:textId="77777777" w:rsidR="00677B7E" w:rsidRPr="00401C70" w:rsidRDefault="00677B7E" w:rsidP="00FA2590">
            <w:pPr>
              <w:kinsoku w:val="0"/>
              <w:overflowPunct w:val="0"/>
              <w:autoSpaceDE w:val="0"/>
              <w:autoSpaceDN w:val="0"/>
              <w:adjustRightInd w:val="0"/>
              <w:ind w:left="107" w:right="91"/>
              <w:jc w:val="both"/>
              <w:rPr>
                <w:rFonts w:ascii="Abadi" w:hAnsi="Abadi" w:cs="Calibri"/>
                <w:sz w:val="21"/>
                <w:szCs w:val="21"/>
              </w:rPr>
            </w:pPr>
            <w:r w:rsidRPr="00401C70">
              <w:rPr>
                <w:rFonts w:ascii="Abadi" w:hAnsi="Abadi" w:cs="Calibri"/>
                <w:sz w:val="21"/>
                <w:szCs w:val="21"/>
              </w:rPr>
              <w:t>atribuciones</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reglamento</w:t>
            </w:r>
            <w:r w:rsidRPr="00401C70">
              <w:rPr>
                <w:rFonts w:ascii="Abadi" w:hAnsi="Abadi" w:cs="Calibri"/>
                <w:spacing w:val="1"/>
                <w:sz w:val="21"/>
                <w:szCs w:val="21"/>
              </w:rPr>
              <w:t xml:space="preserve"> </w:t>
            </w:r>
            <w:r w:rsidRPr="00401C70">
              <w:rPr>
                <w:rFonts w:ascii="Abadi" w:hAnsi="Abadi" w:cs="Calibri"/>
                <w:sz w:val="21"/>
                <w:szCs w:val="21"/>
              </w:rPr>
              <w:t>interior</w:t>
            </w:r>
            <w:r w:rsidRPr="00401C70">
              <w:rPr>
                <w:rFonts w:ascii="Abadi" w:hAnsi="Abadi" w:cs="Calibri"/>
                <w:spacing w:val="1"/>
                <w:sz w:val="21"/>
                <w:szCs w:val="21"/>
              </w:rPr>
              <w:t xml:space="preserve"> </w:t>
            </w:r>
            <w:r w:rsidRPr="00401C70">
              <w:rPr>
                <w:rFonts w:ascii="Abadi" w:hAnsi="Abadi" w:cs="Calibri"/>
                <w:sz w:val="21"/>
                <w:szCs w:val="21"/>
              </w:rPr>
              <w:t>correspondiente</w:t>
            </w:r>
            <w:r w:rsidRPr="00401C70">
              <w:rPr>
                <w:rFonts w:ascii="Abadi" w:hAnsi="Abadi" w:cs="Calibri"/>
                <w:spacing w:val="1"/>
                <w:sz w:val="21"/>
                <w:szCs w:val="21"/>
              </w:rPr>
              <w:t xml:space="preserve"> </w:t>
            </w:r>
            <w:r w:rsidRPr="00401C70">
              <w:rPr>
                <w:rFonts w:ascii="Abadi" w:hAnsi="Abadi" w:cs="Calibri"/>
                <w:sz w:val="21"/>
                <w:szCs w:val="21"/>
              </w:rPr>
              <w:t>establezca,</w:t>
            </w:r>
            <w:r w:rsidRPr="00401C70">
              <w:rPr>
                <w:rFonts w:ascii="Abadi" w:hAnsi="Abadi" w:cs="Calibri"/>
                <w:spacing w:val="1"/>
                <w:sz w:val="21"/>
                <w:szCs w:val="21"/>
              </w:rPr>
              <w:t xml:space="preserve"> </w:t>
            </w:r>
            <w:r w:rsidRPr="00401C70">
              <w:rPr>
                <w:rFonts w:ascii="Abadi" w:hAnsi="Abadi" w:cs="Calibri"/>
                <w:sz w:val="21"/>
                <w:szCs w:val="21"/>
              </w:rPr>
              <w:t>mismas</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no</w:t>
            </w:r>
            <w:r w:rsidRPr="00401C70">
              <w:rPr>
                <w:rFonts w:ascii="Abadi" w:hAnsi="Abadi" w:cs="Calibri"/>
                <w:spacing w:val="1"/>
                <w:sz w:val="21"/>
                <w:szCs w:val="21"/>
              </w:rPr>
              <w:t xml:space="preserve"> </w:t>
            </w:r>
            <w:r w:rsidRPr="00401C70">
              <w:rPr>
                <w:rFonts w:ascii="Abadi" w:hAnsi="Abadi" w:cs="Calibri"/>
                <w:sz w:val="21"/>
                <w:szCs w:val="21"/>
              </w:rPr>
              <w:t>excederán</w:t>
            </w:r>
            <w:r w:rsidRPr="00401C70">
              <w:rPr>
                <w:rFonts w:ascii="Abadi" w:hAnsi="Abadi" w:cs="Calibri"/>
                <w:spacing w:val="1"/>
                <w:sz w:val="21"/>
                <w:szCs w:val="21"/>
              </w:rPr>
              <w:t xml:space="preserve"> </w:t>
            </w:r>
            <w:r w:rsidRPr="00401C70">
              <w:rPr>
                <w:rFonts w:ascii="Abadi" w:hAnsi="Abadi" w:cs="Calibri"/>
                <w:sz w:val="21"/>
                <w:szCs w:val="21"/>
              </w:rPr>
              <w:t>las</w:t>
            </w:r>
            <w:r w:rsidRPr="00401C70">
              <w:rPr>
                <w:rFonts w:ascii="Abadi" w:hAnsi="Abadi" w:cs="Calibri"/>
                <w:spacing w:val="1"/>
                <w:sz w:val="21"/>
                <w:szCs w:val="21"/>
              </w:rPr>
              <w:t xml:space="preserve"> </w:t>
            </w:r>
            <w:r w:rsidRPr="00401C70">
              <w:rPr>
                <w:rFonts w:ascii="Abadi" w:hAnsi="Abadi" w:cs="Calibri"/>
                <w:sz w:val="21"/>
                <w:szCs w:val="21"/>
              </w:rPr>
              <w:t>atribuciones</w:t>
            </w:r>
            <w:r w:rsidRPr="00401C70">
              <w:rPr>
                <w:rFonts w:ascii="Abadi" w:hAnsi="Abadi" w:cs="Calibri"/>
                <w:spacing w:val="1"/>
                <w:sz w:val="21"/>
                <w:szCs w:val="21"/>
              </w:rPr>
              <w:t xml:space="preserve"> </w:t>
            </w:r>
            <w:r w:rsidRPr="00401C70">
              <w:rPr>
                <w:rFonts w:ascii="Abadi" w:hAnsi="Abadi" w:cs="Calibri"/>
                <w:sz w:val="21"/>
                <w:szCs w:val="21"/>
              </w:rPr>
              <w:t>conferidas</w:t>
            </w:r>
            <w:r w:rsidRPr="00401C70">
              <w:rPr>
                <w:rFonts w:ascii="Abadi" w:hAnsi="Abadi" w:cs="Calibri"/>
                <w:spacing w:val="1"/>
                <w:sz w:val="21"/>
                <w:szCs w:val="21"/>
              </w:rPr>
              <w:t xml:space="preserve"> </w:t>
            </w:r>
            <w:r w:rsidRPr="00401C70">
              <w:rPr>
                <w:rFonts w:ascii="Abadi" w:hAnsi="Abadi" w:cs="Calibri"/>
                <w:sz w:val="21"/>
                <w:szCs w:val="21"/>
              </w:rPr>
              <w:t>por</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47"/>
                <w:sz w:val="21"/>
                <w:szCs w:val="21"/>
              </w:rPr>
              <w:t xml:space="preserve"> </w:t>
            </w:r>
            <w:r w:rsidRPr="00401C70">
              <w:rPr>
                <w:rFonts w:ascii="Abadi" w:hAnsi="Abadi" w:cs="Calibri"/>
                <w:sz w:val="21"/>
                <w:szCs w:val="21"/>
              </w:rPr>
              <w:t>Ley.</w:t>
            </w:r>
          </w:p>
        </w:tc>
        <w:tc>
          <w:tcPr>
            <w:tcW w:w="2500" w:type="pct"/>
            <w:tcBorders>
              <w:top w:val="single" w:sz="4" w:space="0" w:color="000000"/>
              <w:left w:val="single" w:sz="4" w:space="0" w:color="000000"/>
              <w:bottom w:val="none" w:sz="6" w:space="0" w:color="auto"/>
              <w:right w:val="single" w:sz="4" w:space="0" w:color="000000"/>
            </w:tcBorders>
          </w:tcPr>
          <w:p w14:paraId="3217D920" w14:textId="77777777" w:rsidR="00677B7E" w:rsidRPr="00401C70" w:rsidRDefault="00677B7E" w:rsidP="00FA2590">
            <w:pPr>
              <w:kinsoku w:val="0"/>
              <w:overflowPunct w:val="0"/>
              <w:autoSpaceDE w:val="0"/>
              <w:autoSpaceDN w:val="0"/>
              <w:adjustRightInd w:val="0"/>
              <w:ind w:left="107" w:right="92"/>
              <w:jc w:val="both"/>
              <w:rPr>
                <w:rFonts w:ascii="Abadi" w:hAnsi="Abadi" w:cs="Calibri"/>
                <w:sz w:val="21"/>
                <w:szCs w:val="21"/>
              </w:rPr>
            </w:pPr>
            <w:r w:rsidRPr="00401C70">
              <w:rPr>
                <w:rFonts w:ascii="Abadi" w:hAnsi="Abadi" w:cs="Calibri"/>
                <w:sz w:val="21"/>
                <w:szCs w:val="21"/>
              </w:rPr>
              <w:t>podrá</w:t>
            </w:r>
            <w:r w:rsidRPr="00401C70">
              <w:rPr>
                <w:rFonts w:ascii="Abadi" w:hAnsi="Abadi" w:cs="Calibri"/>
                <w:spacing w:val="1"/>
                <w:sz w:val="21"/>
                <w:szCs w:val="21"/>
              </w:rPr>
              <w:t xml:space="preserve"> </w:t>
            </w:r>
            <w:r w:rsidRPr="00401C70">
              <w:rPr>
                <w:rFonts w:ascii="Abadi" w:hAnsi="Abadi" w:cs="Calibri"/>
                <w:sz w:val="21"/>
                <w:szCs w:val="21"/>
              </w:rPr>
              <w:t>designar</w:t>
            </w:r>
            <w:r w:rsidRPr="00401C70">
              <w:rPr>
                <w:rFonts w:ascii="Abadi" w:hAnsi="Abadi" w:cs="Calibri"/>
                <w:spacing w:val="1"/>
                <w:sz w:val="21"/>
                <w:szCs w:val="21"/>
              </w:rPr>
              <w:t xml:space="preserve"> </w:t>
            </w:r>
            <w:r w:rsidRPr="00401C70">
              <w:rPr>
                <w:rFonts w:ascii="Abadi" w:hAnsi="Abadi" w:cs="Calibri"/>
                <w:b/>
                <w:bCs/>
                <w:i/>
                <w:iCs/>
                <w:sz w:val="21"/>
                <w:szCs w:val="21"/>
              </w:rPr>
              <w:t>Subsecretarías</w:t>
            </w:r>
            <w:r w:rsidRPr="00401C70">
              <w:rPr>
                <w:rFonts w:ascii="Abadi" w:hAnsi="Abadi" w:cs="Calibri"/>
                <w:b/>
                <w:bCs/>
                <w:i/>
                <w:iCs/>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ramo,</w:t>
            </w:r>
            <w:r w:rsidRPr="00401C70">
              <w:rPr>
                <w:rFonts w:ascii="Abadi" w:hAnsi="Abadi" w:cs="Calibri"/>
                <w:spacing w:val="1"/>
                <w:sz w:val="21"/>
                <w:szCs w:val="21"/>
              </w:rPr>
              <w:t xml:space="preserve"> </w:t>
            </w:r>
            <w:r w:rsidRPr="00401C70">
              <w:rPr>
                <w:rFonts w:ascii="Abadi" w:hAnsi="Abadi" w:cs="Calibri"/>
                <w:b/>
                <w:bCs/>
                <w:i/>
                <w:iCs/>
                <w:sz w:val="21"/>
                <w:szCs w:val="21"/>
              </w:rPr>
              <w:t>las</w:t>
            </w:r>
            <w:r w:rsidRPr="00401C70">
              <w:rPr>
                <w:rFonts w:ascii="Abadi" w:hAnsi="Abadi" w:cs="Calibri"/>
                <w:b/>
                <w:bCs/>
                <w:i/>
                <w:iCs/>
                <w:spacing w:val="-47"/>
                <w:sz w:val="21"/>
                <w:szCs w:val="21"/>
              </w:rPr>
              <w:t xml:space="preserve"> </w:t>
            </w:r>
            <w:r w:rsidRPr="00401C70">
              <w:rPr>
                <w:rFonts w:ascii="Abadi" w:hAnsi="Abadi" w:cs="Calibri"/>
                <w:b/>
                <w:bCs/>
                <w:i/>
                <w:iCs/>
                <w:sz w:val="21"/>
                <w:szCs w:val="21"/>
              </w:rPr>
              <w:t>cuales</w:t>
            </w:r>
            <w:r w:rsidRPr="00401C70">
              <w:rPr>
                <w:rFonts w:ascii="Abadi" w:hAnsi="Abadi" w:cs="Calibri"/>
                <w:b/>
                <w:bCs/>
                <w:i/>
                <w:iCs/>
                <w:spacing w:val="1"/>
                <w:sz w:val="21"/>
                <w:szCs w:val="21"/>
              </w:rPr>
              <w:t xml:space="preserve"> </w:t>
            </w:r>
            <w:r w:rsidRPr="00401C70">
              <w:rPr>
                <w:rFonts w:ascii="Abadi" w:hAnsi="Abadi" w:cs="Calibri"/>
                <w:sz w:val="21"/>
                <w:szCs w:val="21"/>
              </w:rPr>
              <w:t>tendrán</w:t>
            </w:r>
            <w:r w:rsidRPr="00401C70">
              <w:rPr>
                <w:rFonts w:ascii="Abadi" w:hAnsi="Abadi" w:cs="Calibri"/>
                <w:spacing w:val="1"/>
                <w:sz w:val="21"/>
                <w:szCs w:val="21"/>
              </w:rPr>
              <w:t xml:space="preserve"> </w:t>
            </w:r>
            <w:r w:rsidRPr="00401C70">
              <w:rPr>
                <w:rFonts w:ascii="Abadi" w:hAnsi="Abadi" w:cs="Calibri"/>
                <w:sz w:val="21"/>
                <w:szCs w:val="21"/>
              </w:rPr>
              <w:t>las</w:t>
            </w:r>
            <w:r w:rsidRPr="00401C70">
              <w:rPr>
                <w:rFonts w:ascii="Abadi" w:hAnsi="Abadi" w:cs="Calibri"/>
                <w:spacing w:val="1"/>
                <w:sz w:val="21"/>
                <w:szCs w:val="21"/>
              </w:rPr>
              <w:t xml:space="preserve"> </w:t>
            </w:r>
            <w:r w:rsidRPr="00401C70">
              <w:rPr>
                <w:rFonts w:ascii="Abadi" w:hAnsi="Abadi" w:cs="Calibri"/>
                <w:sz w:val="21"/>
                <w:szCs w:val="21"/>
              </w:rPr>
              <w:t>atribuciones</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reglamento</w:t>
            </w:r>
            <w:r w:rsidRPr="00401C70">
              <w:rPr>
                <w:rFonts w:ascii="Abadi" w:hAnsi="Abadi" w:cs="Calibri"/>
                <w:spacing w:val="1"/>
                <w:sz w:val="21"/>
                <w:szCs w:val="21"/>
              </w:rPr>
              <w:t xml:space="preserve"> </w:t>
            </w:r>
            <w:r w:rsidRPr="00401C70">
              <w:rPr>
                <w:rFonts w:ascii="Abadi" w:hAnsi="Abadi" w:cs="Calibri"/>
                <w:sz w:val="21"/>
                <w:szCs w:val="21"/>
              </w:rPr>
              <w:t>interior</w:t>
            </w:r>
            <w:r w:rsidRPr="00401C70">
              <w:rPr>
                <w:rFonts w:ascii="Abadi" w:hAnsi="Abadi" w:cs="Calibri"/>
                <w:spacing w:val="1"/>
                <w:sz w:val="21"/>
                <w:szCs w:val="21"/>
              </w:rPr>
              <w:t xml:space="preserve"> </w:t>
            </w:r>
            <w:r w:rsidRPr="00401C70">
              <w:rPr>
                <w:rFonts w:ascii="Abadi" w:hAnsi="Abadi" w:cs="Calibri"/>
                <w:sz w:val="21"/>
                <w:szCs w:val="21"/>
              </w:rPr>
              <w:t>correspondiente</w:t>
            </w:r>
            <w:r w:rsidRPr="00401C70">
              <w:rPr>
                <w:rFonts w:ascii="Abadi" w:hAnsi="Abadi" w:cs="Calibri"/>
                <w:spacing w:val="-47"/>
                <w:sz w:val="21"/>
                <w:szCs w:val="21"/>
              </w:rPr>
              <w:t xml:space="preserve"> </w:t>
            </w:r>
            <w:r w:rsidRPr="00401C70">
              <w:rPr>
                <w:rFonts w:ascii="Abadi" w:hAnsi="Abadi" w:cs="Calibri"/>
                <w:sz w:val="21"/>
                <w:szCs w:val="21"/>
              </w:rPr>
              <w:t>establezca,</w:t>
            </w:r>
            <w:r w:rsidRPr="00401C70">
              <w:rPr>
                <w:rFonts w:ascii="Abadi" w:hAnsi="Abadi" w:cs="Calibri"/>
                <w:spacing w:val="1"/>
                <w:sz w:val="21"/>
                <w:szCs w:val="21"/>
              </w:rPr>
              <w:t xml:space="preserve"> </w:t>
            </w:r>
            <w:r w:rsidRPr="00401C70">
              <w:rPr>
                <w:rFonts w:ascii="Abadi" w:hAnsi="Abadi" w:cs="Calibri"/>
                <w:sz w:val="21"/>
                <w:szCs w:val="21"/>
              </w:rPr>
              <w:t>mismas</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no</w:t>
            </w:r>
            <w:r w:rsidRPr="00401C70">
              <w:rPr>
                <w:rFonts w:ascii="Abadi" w:hAnsi="Abadi" w:cs="Calibri"/>
                <w:spacing w:val="1"/>
                <w:sz w:val="21"/>
                <w:szCs w:val="21"/>
              </w:rPr>
              <w:t xml:space="preserve"> </w:t>
            </w:r>
            <w:r w:rsidRPr="00401C70">
              <w:rPr>
                <w:rFonts w:ascii="Abadi" w:hAnsi="Abadi" w:cs="Calibri"/>
                <w:sz w:val="21"/>
                <w:szCs w:val="21"/>
              </w:rPr>
              <w:t>excederán</w:t>
            </w:r>
            <w:r w:rsidRPr="00401C70">
              <w:rPr>
                <w:rFonts w:ascii="Abadi" w:hAnsi="Abadi" w:cs="Calibri"/>
                <w:spacing w:val="1"/>
                <w:sz w:val="21"/>
                <w:szCs w:val="21"/>
              </w:rPr>
              <w:t xml:space="preserve"> </w:t>
            </w:r>
            <w:r w:rsidRPr="00401C70">
              <w:rPr>
                <w:rFonts w:ascii="Abadi" w:hAnsi="Abadi" w:cs="Calibri"/>
                <w:sz w:val="21"/>
                <w:szCs w:val="21"/>
              </w:rPr>
              <w:t>las</w:t>
            </w:r>
            <w:r w:rsidRPr="00401C70">
              <w:rPr>
                <w:rFonts w:ascii="Abadi" w:hAnsi="Abadi" w:cs="Calibri"/>
                <w:spacing w:val="-47"/>
                <w:sz w:val="21"/>
                <w:szCs w:val="21"/>
              </w:rPr>
              <w:t xml:space="preserve"> </w:t>
            </w:r>
            <w:r w:rsidRPr="00401C70">
              <w:rPr>
                <w:rFonts w:ascii="Abadi" w:hAnsi="Abadi" w:cs="Calibri"/>
                <w:sz w:val="21"/>
                <w:szCs w:val="21"/>
              </w:rPr>
              <w:t>atribuciones</w:t>
            </w:r>
            <w:r w:rsidRPr="00401C70">
              <w:rPr>
                <w:rFonts w:ascii="Abadi" w:hAnsi="Abadi" w:cs="Calibri"/>
                <w:spacing w:val="-3"/>
                <w:sz w:val="21"/>
                <w:szCs w:val="21"/>
              </w:rPr>
              <w:t xml:space="preserve"> </w:t>
            </w:r>
            <w:r w:rsidRPr="00401C70">
              <w:rPr>
                <w:rFonts w:ascii="Abadi" w:hAnsi="Abadi" w:cs="Calibri"/>
                <w:sz w:val="21"/>
                <w:szCs w:val="21"/>
              </w:rPr>
              <w:t>conferidas por</w:t>
            </w:r>
            <w:r w:rsidRPr="00401C70">
              <w:rPr>
                <w:rFonts w:ascii="Abadi" w:hAnsi="Abadi" w:cs="Calibri"/>
                <w:spacing w:val="-3"/>
                <w:sz w:val="21"/>
                <w:szCs w:val="21"/>
              </w:rPr>
              <w:t xml:space="preserve"> </w:t>
            </w:r>
            <w:r w:rsidRPr="00401C70">
              <w:rPr>
                <w:rFonts w:ascii="Abadi" w:hAnsi="Abadi" w:cs="Calibri"/>
                <w:sz w:val="21"/>
                <w:szCs w:val="21"/>
              </w:rPr>
              <w:t>la Ley.</w:t>
            </w:r>
          </w:p>
        </w:tc>
      </w:tr>
      <w:tr w:rsidR="00677B7E" w:rsidRPr="00401C70" w14:paraId="3A6449BE" w14:textId="77777777" w:rsidTr="003343AD">
        <w:trPr>
          <w:trHeight w:val="1074"/>
        </w:trPr>
        <w:tc>
          <w:tcPr>
            <w:tcW w:w="2500" w:type="pct"/>
            <w:tcBorders>
              <w:top w:val="none" w:sz="6" w:space="0" w:color="auto"/>
              <w:left w:val="single" w:sz="4" w:space="0" w:color="000000"/>
              <w:bottom w:val="none" w:sz="6" w:space="0" w:color="auto"/>
              <w:right w:val="single" w:sz="4" w:space="0" w:color="000000"/>
            </w:tcBorders>
          </w:tcPr>
          <w:p w14:paraId="61D23F7F" w14:textId="77777777" w:rsidR="00677B7E" w:rsidRPr="00401C70" w:rsidRDefault="00677B7E" w:rsidP="00FA2590">
            <w:pPr>
              <w:kinsoku w:val="0"/>
              <w:overflowPunct w:val="0"/>
              <w:autoSpaceDE w:val="0"/>
              <w:autoSpaceDN w:val="0"/>
              <w:adjustRightInd w:val="0"/>
              <w:spacing w:before="114"/>
              <w:ind w:left="107" w:right="95"/>
              <w:jc w:val="both"/>
              <w:rPr>
                <w:rFonts w:ascii="Abadi" w:hAnsi="Abadi" w:cs="Calibri"/>
                <w:sz w:val="21"/>
                <w:szCs w:val="21"/>
              </w:rPr>
            </w:pPr>
            <w:r w:rsidRPr="00401C70">
              <w:rPr>
                <w:rFonts w:ascii="Abadi" w:hAnsi="Abadi" w:cs="Calibri"/>
                <w:spacing w:val="-1"/>
                <w:sz w:val="21"/>
                <w:szCs w:val="21"/>
              </w:rPr>
              <w:t>Los</w:t>
            </w:r>
            <w:r w:rsidRPr="00401C70">
              <w:rPr>
                <w:rFonts w:ascii="Abadi" w:hAnsi="Abadi" w:cs="Calibri"/>
                <w:spacing w:val="-12"/>
                <w:sz w:val="21"/>
                <w:szCs w:val="21"/>
              </w:rPr>
              <w:t xml:space="preserve"> </w:t>
            </w:r>
            <w:r w:rsidRPr="00401C70">
              <w:rPr>
                <w:rFonts w:ascii="Abadi" w:hAnsi="Abadi" w:cs="Calibri"/>
                <w:spacing w:val="-1"/>
                <w:sz w:val="21"/>
                <w:szCs w:val="21"/>
              </w:rPr>
              <w:t>titulares</w:t>
            </w:r>
            <w:r w:rsidRPr="00401C70">
              <w:rPr>
                <w:rFonts w:ascii="Abadi" w:hAnsi="Abadi" w:cs="Calibri"/>
                <w:spacing w:val="-12"/>
                <w:sz w:val="21"/>
                <w:szCs w:val="21"/>
              </w:rPr>
              <w:t xml:space="preserve"> </w:t>
            </w:r>
            <w:r w:rsidRPr="00401C70">
              <w:rPr>
                <w:rFonts w:ascii="Abadi" w:hAnsi="Abadi" w:cs="Calibri"/>
                <w:sz w:val="21"/>
                <w:szCs w:val="21"/>
              </w:rPr>
              <w:t>de</w:t>
            </w:r>
            <w:r w:rsidRPr="00401C70">
              <w:rPr>
                <w:rFonts w:ascii="Abadi" w:hAnsi="Abadi" w:cs="Calibri"/>
                <w:spacing w:val="-11"/>
                <w:sz w:val="21"/>
                <w:szCs w:val="21"/>
              </w:rPr>
              <w:t xml:space="preserve"> </w:t>
            </w:r>
            <w:r w:rsidRPr="00401C70">
              <w:rPr>
                <w:rFonts w:ascii="Abadi" w:hAnsi="Abadi" w:cs="Calibri"/>
                <w:sz w:val="21"/>
                <w:szCs w:val="21"/>
              </w:rPr>
              <w:t>las</w:t>
            </w:r>
            <w:r w:rsidRPr="00401C70">
              <w:rPr>
                <w:rFonts w:ascii="Abadi" w:hAnsi="Abadi" w:cs="Calibri"/>
                <w:spacing w:val="-11"/>
                <w:sz w:val="21"/>
                <w:szCs w:val="21"/>
              </w:rPr>
              <w:t xml:space="preserve"> </w:t>
            </w:r>
            <w:r w:rsidRPr="00401C70">
              <w:rPr>
                <w:rFonts w:ascii="Abadi" w:hAnsi="Abadi" w:cs="Calibri"/>
                <w:sz w:val="21"/>
                <w:szCs w:val="21"/>
              </w:rPr>
              <w:t>Secretarías,</w:t>
            </w:r>
            <w:r w:rsidRPr="00401C70">
              <w:rPr>
                <w:rFonts w:ascii="Abadi" w:hAnsi="Abadi" w:cs="Calibri"/>
                <w:spacing w:val="-12"/>
                <w:sz w:val="21"/>
                <w:szCs w:val="21"/>
              </w:rPr>
              <w:t xml:space="preserve"> </w:t>
            </w:r>
            <w:r w:rsidRPr="00401C70">
              <w:rPr>
                <w:rFonts w:ascii="Abadi" w:hAnsi="Abadi" w:cs="Calibri"/>
                <w:sz w:val="21"/>
                <w:szCs w:val="21"/>
              </w:rPr>
              <w:t>en</w:t>
            </w:r>
            <w:r w:rsidRPr="00401C70">
              <w:rPr>
                <w:rFonts w:ascii="Abadi" w:hAnsi="Abadi" w:cs="Calibri"/>
                <w:spacing w:val="-9"/>
                <w:sz w:val="21"/>
                <w:szCs w:val="21"/>
              </w:rPr>
              <w:t xml:space="preserve"> </w:t>
            </w:r>
            <w:r w:rsidRPr="00401C70">
              <w:rPr>
                <w:rFonts w:ascii="Abadi" w:hAnsi="Abadi" w:cs="Calibri"/>
                <w:sz w:val="21"/>
                <w:szCs w:val="21"/>
              </w:rPr>
              <w:t>sus</w:t>
            </w:r>
            <w:r w:rsidRPr="00401C70">
              <w:rPr>
                <w:rFonts w:ascii="Abadi" w:hAnsi="Abadi" w:cs="Calibri"/>
                <w:spacing w:val="-11"/>
                <w:sz w:val="21"/>
                <w:szCs w:val="21"/>
              </w:rPr>
              <w:t xml:space="preserve"> </w:t>
            </w:r>
            <w:r w:rsidRPr="00401C70">
              <w:rPr>
                <w:rFonts w:ascii="Abadi" w:hAnsi="Abadi" w:cs="Calibri"/>
                <w:sz w:val="21"/>
                <w:szCs w:val="21"/>
              </w:rPr>
              <w:t>ausencias</w:t>
            </w:r>
            <w:r w:rsidRPr="00401C70">
              <w:rPr>
                <w:rFonts w:ascii="Abadi" w:hAnsi="Abadi" w:cs="Calibri"/>
                <w:spacing w:val="-48"/>
                <w:sz w:val="21"/>
                <w:szCs w:val="21"/>
              </w:rPr>
              <w:t xml:space="preserve"> </w:t>
            </w:r>
            <w:r w:rsidRPr="00401C70">
              <w:rPr>
                <w:rFonts w:ascii="Abadi" w:hAnsi="Abadi" w:cs="Calibri"/>
                <w:sz w:val="21"/>
                <w:szCs w:val="21"/>
              </w:rPr>
              <w:t>temporales serán suplidos en los términos que</w:t>
            </w:r>
            <w:r w:rsidRPr="00401C70">
              <w:rPr>
                <w:rFonts w:ascii="Abadi" w:hAnsi="Abadi" w:cs="Calibri"/>
                <w:spacing w:val="-47"/>
                <w:sz w:val="21"/>
                <w:szCs w:val="21"/>
              </w:rPr>
              <w:t xml:space="preserve"> </w:t>
            </w:r>
            <w:r w:rsidRPr="00401C70">
              <w:rPr>
                <w:rFonts w:ascii="Abadi" w:hAnsi="Abadi" w:cs="Calibri"/>
                <w:sz w:val="21"/>
                <w:szCs w:val="21"/>
              </w:rPr>
              <w:t>señale</w:t>
            </w:r>
            <w:r w:rsidRPr="00401C70">
              <w:rPr>
                <w:rFonts w:ascii="Abadi" w:hAnsi="Abadi" w:cs="Calibri"/>
                <w:spacing w:val="-1"/>
                <w:sz w:val="21"/>
                <w:szCs w:val="21"/>
              </w:rPr>
              <w:t xml:space="preserve"> </w:t>
            </w:r>
            <w:r w:rsidRPr="00401C70">
              <w:rPr>
                <w:rFonts w:ascii="Abadi" w:hAnsi="Abadi" w:cs="Calibri"/>
                <w:sz w:val="21"/>
                <w:szCs w:val="21"/>
              </w:rPr>
              <w:t>su reglamento</w:t>
            </w:r>
            <w:r w:rsidRPr="00401C70">
              <w:rPr>
                <w:rFonts w:ascii="Abadi" w:hAnsi="Abadi" w:cs="Calibri"/>
                <w:spacing w:val="1"/>
                <w:sz w:val="21"/>
                <w:szCs w:val="21"/>
              </w:rPr>
              <w:t xml:space="preserve"> </w:t>
            </w:r>
            <w:r w:rsidRPr="00401C70">
              <w:rPr>
                <w:rFonts w:ascii="Abadi" w:hAnsi="Abadi" w:cs="Calibri"/>
                <w:sz w:val="21"/>
                <w:szCs w:val="21"/>
              </w:rPr>
              <w:t>interior.</w:t>
            </w:r>
          </w:p>
        </w:tc>
        <w:tc>
          <w:tcPr>
            <w:tcW w:w="2500" w:type="pct"/>
            <w:tcBorders>
              <w:top w:val="none" w:sz="6" w:space="0" w:color="auto"/>
              <w:left w:val="single" w:sz="4" w:space="0" w:color="000000"/>
              <w:bottom w:val="none" w:sz="6" w:space="0" w:color="auto"/>
              <w:right w:val="single" w:sz="4" w:space="0" w:color="000000"/>
            </w:tcBorders>
          </w:tcPr>
          <w:p w14:paraId="59DACFD7" w14:textId="77777777" w:rsidR="00677B7E" w:rsidRPr="00401C70" w:rsidRDefault="00677B7E" w:rsidP="00FA2590">
            <w:pPr>
              <w:kinsoku w:val="0"/>
              <w:overflowPunct w:val="0"/>
              <w:autoSpaceDE w:val="0"/>
              <w:autoSpaceDN w:val="0"/>
              <w:adjustRightInd w:val="0"/>
              <w:spacing w:before="114"/>
              <w:ind w:left="107" w:right="93"/>
              <w:jc w:val="both"/>
              <w:rPr>
                <w:rFonts w:ascii="Abadi" w:hAnsi="Abadi" w:cs="Calibri"/>
                <w:sz w:val="21"/>
                <w:szCs w:val="21"/>
              </w:rPr>
            </w:pPr>
            <w:r w:rsidRPr="00401C70">
              <w:rPr>
                <w:rFonts w:ascii="Abadi" w:hAnsi="Abadi" w:cs="Calibri"/>
                <w:b/>
                <w:bCs/>
                <w:i/>
                <w:iCs/>
                <w:sz w:val="21"/>
                <w:szCs w:val="21"/>
              </w:rPr>
              <w:t>Las</w:t>
            </w:r>
            <w:r w:rsidRPr="00401C70">
              <w:rPr>
                <w:rFonts w:ascii="Abadi" w:hAnsi="Abadi" w:cs="Calibri"/>
                <w:b/>
                <w:bCs/>
                <w:i/>
                <w:iCs/>
                <w:spacing w:val="-10"/>
                <w:sz w:val="21"/>
                <w:szCs w:val="21"/>
              </w:rPr>
              <w:t xml:space="preserve"> </w:t>
            </w:r>
            <w:r w:rsidRPr="00401C70">
              <w:rPr>
                <w:rFonts w:ascii="Abadi" w:hAnsi="Abadi" w:cs="Calibri"/>
                <w:b/>
                <w:bCs/>
                <w:i/>
                <w:iCs/>
                <w:sz w:val="21"/>
                <w:szCs w:val="21"/>
              </w:rPr>
              <w:t>personas</w:t>
            </w:r>
            <w:r w:rsidRPr="00401C70">
              <w:rPr>
                <w:rFonts w:ascii="Abadi" w:hAnsi="Abadi" w:cs="Calibri"/>
                <w:b/>
                <w:bCs/>
                <w:i/>
                <w:iCs/>
                <w:spacing w:val="-5"/>
                <w:sz w:val="21"/>
                <w:szCs w:val="21"/>
              </w:rPr>
              <w:t xml:space="preserve"> </w:t>
            </w:r>
            <w:r w:rsidRPr="00401C70">
              <w:rPr>
                <w:rFonts w:ascii="Abadi" w:hAnsi="Abadi" w:cs="Calibri"/>
                <w:sz w:val="21"/>
                <w:szCs w:val="21"/>
              </w:rPr>
              <w:t>titulares</w:t>
            </w:r>
            <w:r w:rsidRPr="00401C70">
              <w:rPr>
                <w:rFonts w:ascii="Abadi" w:hAnsi="Abadi" w:cs="Calibri"/>
                <w:spacing w:val="-6"/>
                <w:sz w:val="21"/>
                <w:szCs w:val="21"/>
              </w:rPr>
              <w:t xml:space="preserve"> </w:t>
            </w:r>
            <w:r w:rsidRPr="00401C70">
              <w:rPr>
                <w:rFonts w:ascii="Abadi" w:hAnsi="Abadi" w:cs="Calibri"/>
                <w:sz w:val="21"/>
                <w:szCs w:val="21"/>
              </w:rPr>
              <w:t>de</w:t>
            </w:r>
            <w:r w:rsidRPr="00401C70">
              <w:rPr>
                <w:rFonts w:ascii="Abadi" w:hAnsi="Abadi" w:cs="Calibri"/>
                <w:spacing w:val="-5"/>
                <w:sz w:val="21"/>
                <w:szCs w:val="21"/>
              </w:rPr>
              <w:t xml:space="preserve"> </w:t>
            </w:r>
            <w:r w:rsidRPr="00401C70">
              <w:rPr>
                <w:rFonts w:ascii="Abadi" w:hAnsi="Abadi" w:cs="Calibri"/>
                <w:sz w:val="21"/>
                <w:szCs w:val="21"/>
              </w:rPr>
              <w:t>las</w:t>
            </w:r>
            <w:r w:rsidRPr="00401C70">
              <w:rPr>
                <w:rFonts w:ascii="Abadi" w:hAnsi="Abadi" w:cs="Calibri"/>
                <w:spacing w:val="-6"/>
                <w:sz w:val="21"/>
                <w:szCs w:val="21"/>
              </w:rPr>
              <w:t xml:space="preserve"> </w:t>
            </w:r>
            <w:r w:rsidRPr="00401C70">
              <w:rPr>
                <w:rFonts w:ascii="Abadi" w:hAnsi="Abadi" w:cs="Calibri"/>
                <w:sz w:val="21"/>
                <w:szCs w:val="21"/>
              </w:rPr>
              <w:t>Secretarías,</w:t>
            </w:r>
            <w:r w:rsidRPr="00401C70">
              <w:rPr>
                <w:rFonts w:ascii="Abadi" w:hAnsi="Abadi" w:cs="Calibri"/>
                <w:spacing w:val="-9"/>
                <w:sz w:val="21"/>
                <w:szCs w:val="21"/>
              </w:rPr>
              <w:t xml:space="preserve"> </w:t>
            </w:r>
            <w:r w:rsidRPr="00401C70">
              <w:rPr>
                <w:rFonts w:ascii="Abadi" w:hAnsi="Abadi" w:cs="Calibri"/>
                <w:sz w:val="21"/>
                <w:szCs w:val="21"/>
              </w:rPr>
              <w:t>en</w:t>
            </w:r>
            <w:r w:rsidRPr="00401C70">
              <w:rPr>
                <w:rFonts w:ascii="Abadi" w:hAnsi="Abadi" w:cs="Calibri"/>
                <w:spacing w:val="-6"/>
                <w:sz w:val="21"/>
                <w:szCs w:val="21"/>
              </w:rPr>
              <w:t xml:space="preserve"> </w:t>
            </w:r>
            <w:r w:rsidRPr="00401C70">
              <w:rPr>
                <w:rFonts w:ascii="Abadi" w:hAnsi="Abadi" w:cs="Calibri"/>
                <w:sz w:val="21"/>
                <w:szCs w:val="21"/>
              </w:rPr>
              <w:t>sus</w:t>
            </w:r>
            <w:r w:rsidRPr="00401C70">
              <w:rPr>
                <w:rFonts w:ascii="Abadi" w:hAnsi="Abadi" w:cs="Calibri"/>
                <w:spacing w:val="-47"/>
                <w:sz w:val="21"/>
                <w:szCs w:val="21"/>
              </w:rPr>
              <w:t xml:space="preserve"> </w:t>
            </w:r>
            <w:r w:rsidRPr="00401C70">
              <w:rPr>
                <w:rFonts w:ascii="Abadi" w:hAnsi="Abadi" w:cs="Calibri"/>
                <w:sz w:val="21"/>
                <w:szCs w:val="21"/>
              </w:rPr>
              <w:t>ausencias</w:t>
            </w:r>
            <w:r w:rsidRPr="00401C70">
              <w:rPr>
                <w:rFonts w:ascii="Abadi" w:hAnsi="Abadi" w:cs="Calibri"/>
                <w:spacing w:val="1"/>
                <w:sz w:val="21"/>
                <w:szCs w:val="21"/>
              </w:rPr>
              <w:t xml:space="preserve"> </w:t>
            </w:r>
            <w:r w:rsidRPr="00401C70">
              <w:rPr>
                <w:rFonts w:ascii="Abadi" w:hAnsi="Abadi" w:cs="Calibri"/>
                <w:sz w:val="21"/>
                <w:szCs w:val="21"/>
              </w:rPr>
              <w:t>temporales</w:t>
            </w:r>
            <w:r w:rsidRPr="00401C70">
              <w:rPr>
                <w:rFonts w:ascii="Abadi" w:hAnsi="Abadi" w:cs="Calibri"/>
                <w:spacing w:val="1"/>
                <w:sz w:val="21"/>
                <w:szCs w:val="21"/>
              </w:rPr>
              <w:t xml:space="preserve"> </w:t>
            </w:r>
            <w:r w:rsidRPr="00401C70">
              <w:rPr>
                <w:rFonts w:ascii="Abadi" w:hAnsi="Abadi" w:cs="Calibri"/>
                <w:sz w:val="21"/>
                <w:szCs w:val="21"/>
              </w:rPr>
              <w:t>serán</w:t>
            </w:r>
            <w:r w:rsidRPr="00401C70">
              <w:rPr>
                <w:rFonts w:ascii="Abadi" w:hAnsi="Abadi" w:cs="Calibri"/>
                <w:spacing w:val="1"/>
                <w:sz w:val="21"/>
                <w:szCs w:val="21"/>
              </w:rPr>
              <w:t xml:space="preserve"> </w:t>
            </w:r>
            <w:r w:rsidRPr="00401C70">
              <w:rPr>
                <w:rFonts w:ascii="Abadi" w:hAnsi="Abadi" w:cs="Calibri"/>
                <w:b/>
                <w:bCs/>
                <w:i/>
                <w:iCs/>
                <w:sz w:val="21"/>
                <w:szCs w:val="21"/>
              </w:rPr>
              <w:t>suplidas</w:t>
            </w:r>
            <w:r w:rsidRPr="00401C70">
              <w:rPr>
                <w:rFonts w:ascii="Abadi" w:hAnsi="Abadi" w:cs="Calibri"/>
                <w:b/>
                <w:bCs/>
                <w:i/>
                <w:iCs/>
                <w:spacing w:val="1"/>
                <w:sz w:val="21"/>
                <w:szCs w:val="21"/>
              </w:rPr>
              <w:t xml:space="preserve"> </w:t>
            </w:r>
            <w:r w:rsidRPr="00401C70">
              <w:rPr>
                <w:rFonts w:ascii="Abadi" w:hAnsi="Abadi" w:cs="Calibri"/>
                <w:sz w:val="21"/>
                <w:szCs w:val="21"/>
              </w:rPr>
              <w:t>en</w:t>
            </w:r>
            <w:r w:rsidRPr="00401C70">
              <w:rPr>
                <w:rFonts w:ascii="Abadi" w:hAnsi="Abadi" w:cs="Calibri"/>
                <w:spacing w:val="1"/>
                <w:sz w:val="21"/>
                <w:szCs w:val="21"/>
              </w:rPr>
              <w:t xml:space="preserve"> </w:t>
            </w: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términos</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2"/>
                <w:sz w:val="21"/>
                <w:szCs w:val="21"/>
              </w:rPr>
              <w:t xml:space="preserve"> </w:t>
            </w:r>
            <w:r w:rsidRPr="00401C70">
              <w:rPr>
                <w:rFonts w:ascii="Abadi" w:hAnsi="Abadi" w:cs="Calibri"/>
                <w:sz w:val="21"/>
                <w:szCs w:val="21"/>
              </w:rPr>
              <w:t>señale</w:t>
            </w:r>
            <w:r w:rsidRPr="00401C70">
              <w:rPr>
                <w:rFonts w:ascii="Abadi" w:hAnsi="Abadi" w:cs="Calibri"/>
                <w:spacing w:val="-3"/>
                <w:sz w:val="21"/>
                <w:szCs w:val="21"/>
              </w:rPr>
              <w:t xml:space="preserve"> </w:t>
            </w:r>
            <w:r w:rsidRPr="00401C70">
              <w:rPr>
                <w:rFonts w:ascii="Abadi" w:hAnsi="Abadi" w:cs="Calibri"/>
                <w:sz w:val="21"/>
                <w:szCs w:val="21"/>
              </w:rPr>
              <w:t>su reglamento interior.</w:t>
            </w:r>
          </w:p>
        </w:tc>
      </w:tr>
      <w:tr w:rsidR="00677B7E" w:rsidRPr="00401C70" w14:paraId="4E89B14E" w14:textId="77777777" w:rsidTr="003343AD">
        <w:trPr>
          <w:trHeight w:val="2533"/>
        </w:trPr>
        <w:tc>
          <w:tcPr>
            <w:tcW w:w="2500" w:type="pct"/>
            <w:tcBorders>
              <w:top w:val="none" w:sz="6" w:space="0" w:color="auto"/>
              <w:left w:val="single" w:sz="4" w:space="0" w:color="000000"/>
              <w:bottom w:val="single" w:sz="4" w:space="0" w:color="000000"/>
              <w:right w:val="single" w:sz="4" w:space="0" w:color="000000"/>
            </w:tcBorders>
          </w:tcPr>
          <w:p w14:paraId="346DC14F" w14:textId="77777777" w:rsidR="00677B7E" w:rsidRPr="00401C70" w:rsidRDefault="00677B7E" w:rsidP="00FA2590">
            <w:pPr>
              <w:kinsoku w:val="0"/>
              <w:overflowPunct w:val="0"/>
              <w:autoSpaceDE w:val="0"/>
              <w:autoSpaceDN w:val="0"/>
              <w:adjustRightInd w:val="0"/>
              <w:spacing w:before="92" w:line="270" w:lineRule="atLeast"/>
              <w:ind w:left="107" w:right="90"/>
              <w:jc w:val="both"/>
              <w:rPr>
                <w:rFonts w:ascii="Abadi" w:hAnsi="Abadi" w:cs="Calibri"/>
                <w:sz w:val="21"/>
                <w:szCs w:val="21"/>
              </w:rPr>
            </w:pPr>
            <w:r w:rsidRPr="00401C70">
              <w:rPr>
                <w:rFonts w:ascii="Abadi" w:hAnsi="Abadi" w:cs="Calibri"/>
                <w:sz w:val="21"/>
                <w:szCs w:val="21"/>
              </w:rPr>
              <w:t>Para</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trámite</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asuntos</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su</w:t>
            </w:r>
            <w:r w:rsidRPr="00401C70">
              <w:rPr>
                <w:rFonts w:ascii="Abadi" w:hAnsi="Abadi" w:cs="Calibri"/>
                <w:spacing w:val="1"/>
                <w:sz w:val="21"/>
                <w:szCs w:val="21"/>
              </w:rPr>
              <w:t xml:space="preserve"> </w:t>
            </w:r>
            <w:r w:rsidRPr="00401C70">
              <w:rPr>
                <w:rFonts w:ascii="Abadi" w:hAnsi="Abadi" w:cs="Calibri"/>
                <w:sz w:val="21"/>
                <w:szCs w:val="21"/>
              </w:rPr>
              <w:t>competencia,</w:t>
            </w:r>
            <w:r w:rsidRPr="00401C70">
              <w:rPr>
                <w:rFonts w:ascii="Abadi" w:hAnsi="Abadi" w:cs="Calibri"/>
                <w:spacing w:val="1"/>
                <w:sz w:val="21"/>
                <w:szCs w:val="21"/>
              </w:rPr>
              <w:t xml:space="preserve"> </w:t>
            </w:r>
            <w:r w:rsidRPr="00401C70">
              <w:rPr>
                <w:rFonts w:ascii="Abadi" w:hAnsi="Abadi" w:cs="Calibri"/>
                <w:sz w:val="21"/>
                <w:szCs w:val="21"/>
              </w:rPr>
              <w:t>las</w:t>
            </w:r>
            <w:r w:rsidRPr="00401C70">
              <w:rPr>
                <w:rFonts w:ascii="Abadi" w:hAnsi="Abadi" w:cs="Calibri"/>
                <w:spacing w:val="1"/>
                <w:sz w:val="21"/>
                <w:szCs w:val="21"/>
              </w:rPr>
              <w:t xml:space="preserve"> </w:t>
            </w:r>
            <w:r w:rsidRPr="00401C70">
              <w:rPr>
                <w:rFonts w:ascii="Abadi" w:hAnsi="Abadi" w:cs="Calibri"/>
                <w:sz w:val="21"/>
                <w:szCs w:val="21"/>
              </w:rPr>
              <w:t>dependencias</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Poder</w:t>
            </w:r>
            <w:r w:rsidRPr="00401C70">
              <w:rPr>
                <w:rFonts w:ascii="Abadi" w:hAnsi="Abadi" w:cs="Calibri"/>
                <w:spacing w:val="1"/>
                <w:sz w:val="21"/>
                <w:szCs w:val="21"/>
              </w:rPr>
              <w:t xml:space="preserve"> </w:t>
            </w:r>
            <w:r w:rsidRPr="00401C70">
              <w:rPr>
                <w:rFonts w:ascii="Abadi" w:hAnsi="Abadi" w:cs="Calibri"/>
                <w:sz w:val="21"/>
                <w:szCs w:val="21"/>
              </w:rPr>
              <w:t>Ejecutivo</w:t>
            </w:r>
            <w:r w:rsidRPr="00401C70">
              <w:rPr>
                <w:rFonts w:ascii="Abadi" w:hAnsi="Abadi" w:cs="Calibri"/>
                <w:spacing w:val="1"/>
                <w:sz w:val="21"/>
                <w:szCs w:val="21"/>
              </w:rPr>
              <w:t xml:space="preserve"> </w:t>
            </w:r>
            <w:r w:rsidRPr="00401C70">
              <w:rPr>
                <w:rFonts w:ascii="Abadi" w:hAnsi="Abadi" w:cs="Calibri"/>
                <w:sz w:val="21"/>
                <w:szCs w:val="21"/>
              </w:rPr>
              <w:t>se</w:t>
            </w:r>
            <w:r w:rsidRPr="00401C70">
              <w:rPr>
                <w:rFonts w:ascii="Abadi" w:hAnsi="Abadi" w:cs="Calibri"/>
                <w:spacing w:val="1"/>
                <w:sz w:val="21"/>
                <w:szCs w:val="21"/>
              </w:rPr>
              <w:t xml:space="preserve"> </w:t>
            </w:r>
            <w:r w:rsidRPr="00401C70">
              <w:rPr>
                <w:rFonts w:ascii="Abadi" w:hAnsi="Abadi" w:cs="Calibri"/>
                <w:sz w:val="21"/>
                <w:szCs w:val="21"/>
              </w:rPr>
              <w:t>auxiliarán</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las</w:t>
            </w:r>
            <w:r w:rsidRPr="00401C70">
              <w:rPr>
                <w:rFonts w:ascii="Abadi" w:hAnsi="Abadi" w:cs="Calibri"/>
                <w:spacing w:val="1"/>
                <w:sz w:val="21"/>
                <w:szCs w:val="21"/>
              </w:rPr>
              <w:t xml:space="preserve"> </w:t>
            </w:r>
            <w:r w:rsidRPr="00401C70">
              <w:rPr>
                <w:rFonts w:ascii="Abadi" w:hAnsi="Abadi" w:cs="Calibri"/>
                <w:sz w:val="21"/>
                <w:szCs w:val="21"/>
              </w:rPr>
              <w:t>unidades</w:t>
            </w:r>
            <w:r w:rsidRPr="00401C70">
              <w:rPr>
                <w:rFonts w:ascii="Abadi" w:hAnsi="Abadi" w:cs="Calibri"/>
                <w:spacing w:val="-47"/>
                <w:sz w:val="21"/>
                <w:szCs w:val="21"/>
              </w:rPr>
              <w:t xml:space="preserve"> </w:t>
            </w:r>
            <w:r w:rsidRPr="00401C70">
              <w:rPr>
                <w:rFonts w:ascii="Abadi" w:hAnsi="Abadi" w:cs="Calibri"/>
                <w:sz w:val="21"/>
                <w:szCs w:val="21"/>
              </w:rPr>
              <w:t>administrativas que establezca el reglamento</w:t>
            </w:r>
            <w:r w:rsidRPr="00401C70">
              <w:rPr>
                <w:rFonts w:ascii="Abadi" w:hAnsi="Abadi" w:cs="Calibri"/>
                <w:spacing w:val="1"/>
                <w:sz w:val="21"/>
                <w:szCs w:val="21"/>
              </w:rPr>
              <w:t xml:space="preserve"> </w:t>
            </w:r>
            <w:r w:rsidRPr="00401C70">
              <w:rPr>
                <w:rFonts w:ascii="Abadi" w:hAnsi="Abadi" w:cs="Calibri"/>
                <w:sz w:val="21"/>
                <w:szCs w:val="21"/>
              </w:rPr>
              <w:t>interior respectivo y que se requieran para el</w:t>
            </w:r>
            <w:r w:rsidRPr="00401C70">
              <w:rPr>
                <w:rFonts w:ascii="Abadi" w:hAnsi="Abadi" w:cs="Calibri"/>
                <w:spacing w:val="1"/>
                <w:sz w:val="21"/>
                <w:szCs w:val="21"/>
              </w:rPr>
              <w:t xml:space="preserve"> </w:t>
            </w:r>
            <w:r w:rsidRPr="00401C70">
              <w:rPr>
                <w:rFonts w:ascii="Abadi" w:hAnsi="Abadi" w:cs="Calibri"/>
                <w:sz w:val="21"/>
                <w:szCs w:val="21"/>
              </w:rPr>
              <w:t>eficaz</w:t>
            </w:r>
            <w:r w:rsidRPr="00401C70">
              <w:rPr>
                <w:rFonts w:ascii="Abadi" w:hAnsi="Abadi" w:cs="Calibri"/>
                <w:spacing w:val="1"/>
                <w:sz w:val="21"/>
                <w:szCs w:val="21"/>
              </w:rPr>
              <w:t xml:space="preserve"> </w:t>
            </w:r>
            <w:r w:rsidRPr="00401C70">
              <w:rPr>
                <w:rFonts w:ascii="Abadi" w:hAnsi="Abadi" w:cs="Calibri"/>
                <w:sz w:val="21"/>
                <w:szCs w:val="21"/>
              </w:rPr>
              <w:t>desempeño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sus</w:t>
            </w:r>
            <w:r w:rsidRPr="00401C70">
              <w:rPr>
                <w:rFonts w:ascii="Abadi" w:hAnsi="Abadi" w:cs="Calibri"/>
                <w:spacing w:val="1"/>
                <w:sz w:val="21"/>
                <w:szCs w:val="21"/>
              </w:rPr>
              <w:t xml:space="preserve"> </w:t>
            </w:r>
            <w:r w:rsidRPr="00401C70">
              <w:rPr>
                <w:rFonts w:ascii="Abadi" w:hAnsi="Abadi" w:cs="Calibri"/>
                <w:sz w:val="21"/>
                <w:szCs w:val="21"/>
              </w:rPr>
              <w:t>atribuciones.</w:t>
            </w:r>
            <w:r w:rsidRPr="00401C70">
              <w:rPr>
                <w:rFonts w:ascii="Abadi" w:hAnsi="Abadi" w:cs="Calibri"/>
                <w:spacing w:val="1"/>
                <w:sz w:val="21"/>
                <w:szCs w:val="21"/>
              </w:rPr>
              <w:t xml:space="preserve"> </w:t>
            </w:r>
            <w:r w:rsidRPr="00401C70">
              <w:rPr>
                <w:rFonts w:ascii="Abadi" w:hAnsi="Abadi" w:cs="Calibri"/>
                <w:sz w:val="21"/>
                <w:szCs w:val="21"/>
              </w:rPr>
              <w:t>Sólo</w:t>
            </w:r>
            <w:r w:rsidRPr="00401C70">
              <w:rPr>
                <w:rFonts w:ascii="Abadi" w:hAnsi="Abadi" w:cs="Calibri"/>
                <w:spacing w:val="1"/>
                <w:sz w:val="21"/>
                <w:szCs w:val="21"/>
              </w:rPr>
              <w:t xml:space="preserve"> </w:t>
            </w:r>
            <w:r w:rsidRPr="00401C70">
              <w:rPr>
                <w:rFonts w:ascii="Abadi" w:hAnsi="Abadi" w:cs="Calibri"/>
                <w:sz w:val="21"/>
                <w:szCs w:val="21"/>
              </w:rPr>
              <w:t>podrán</w:t>
            </w:r>
            <w:r w:rsidRPr="00401C70">
              <w:rPr>
                <w:rFonts w:ascii="Abadi" w:hAnsi="Abadi" w:cs="Calibri"/>
                <w:spacing w:val="1"/>
                <w:sz w:val="21"/>
                <w:szCs w:val="21"/>
              </w:rPr>
              <w:t xml:space="preserve"> </w:t>
            </w:r>
            <w:r w:rsidRPr="00401C70">
              <w:rPr>
                <w:rFonts w:ascii="Abadi" w:hAnsi="Abadi" w:cs="Calibri"/>
                <w:sz w:val="21"/>
                <w:szCs w:val="21"/>
              </w:rPr>
              <w:t>adicionar,</w:t>
            </w:r>
            <w:r w:rsidRPr="00401C70">
              <w:rPr>
                <w:rFonts w:ascii="Abadi" w:hAnsi="Abadi" w:cs="Calibri"/>
                <w:spacing w:val="1"/>
                <w:sz w:val="21"/>
                <w:szCs w:val="21"/>
              </w:rPr>
              <w:t xml:space="preserve"> </w:t>
            </w:r>
            <w:r w:rsidRPr="00401C70">
              <w:rPr>
                <w:rFonts w:ascii="Abadi" w:hAnsi="Abadi" w:cs="Calibri"/>
                <w:sz w:val="21"/>
                <w:szCs w:val="21"/>
              </w:rPr>
              <w:t>transferir,</w:t>
            </w:r>
            <w:r w:rsidRPr="00401C70">
              <w:rPr>
                <w:rFonts w:ascii="Abadi" w:hAnsi="Abadi" w:cs="Calibri"/>
                <w:spacing w:val="1"/>
                <w:sz w:val="21"/>
                <w:szCs w:val="21"/>
              </w:rPr>
              <w:t xml:space="preserve"> </w:t>
            </w:r>
            <w:r w:rsidRPr="00401C70">
              <w:rPr>
                <w:rFonts w:ascii="Abadi" w:hAnsi="Abadi" w:cs="Calibri"/>
                <w:sz w:val="21"/>
                <w:szCs w:val="21"/>
              </w:rPr>
              <w:t>fusionar</w:t>
            </w:r>
            <w:r w:rsidRPr="00401C70">
              <w:rPr>
                <w:rFonts w:ascii="Abadi" w:hAnsi="Abadi" w:cs="Calibri"/>
                <w:spacing w:val="1"/>
                <w:sz w:val="21"/>
                <w:szCs w:val="21"/>
              </w:rPr>
              <w:t xml:space="preserve"> </w:t>
            </w:r>
            <w:r w:rsidRPr="00401C70">
              <w:rPr>
                <w:rFonts w:ascii="Abadi" w:hAnsi="Abadi" w:cs="Calibri"/>
                <w:sz w:val="21"/>
                <w:szCs w:val="21"/>
              </w:rPr>
              <w:t>o</w:t>
            </w:r>
            <w:r w:rsidRPr="00401C70">
              <w:rPr>
                <w:rFonts w:ascii="Abadi" w:hAnsi="Abadi" w:cs="Calibri"/>
                <w:spacing w:val="1"/>
                <w:sz w:val="21"/>
                <w:szCs w:val="21"/>
              </w:rPr>
              <w:t xml:space="preserve"> </w:t>
            </w:r>
            <w:r w:rsidRPr="00401C70">
              <w:rPr>
                <w:rFonts w:ascii="Abadi" w:hAnsi="Abadi" w:cs="Calibri"/>
                <w:sz w:val="21"/>
                <w:szCs w:val="21"/>
              </w:rPr>
              <w:t>suprimir</w:t>
            </w:r>
            <w:r w:rsidRPr="00401C70">
              <w:rPr>
                <w:rFonts w:ascii="Abadi" w:hAnsi="Abadi" w:cs="Calibri"/>
                <w:spacing w:val="1"/>
                <w:sz w:val="21"/>
                <w:szCs w:val="21"/>
              </w:rPr>
              <w:t xml:space="preserve"> </w:t>
            </w:r>
            <w:r w:rsidRPr="00401C70">
              <w:rPr>
                <w:rFonts w:ascii="Abadi" w:hAnsi="Abadi" w:cs="Calibri"/>
                <w:sz w:val="21"/>
                <w:szCs w:val="21"/>
              </w:rPr>
              <w:t>unidades</w:t>
            </w:r>
            <w:r w:rsidRPr="00401C70">
              <w:rPr>
                <w:rFonts w:ascii="Abadi" w:hAnsi="Abadi" w:cs="Calibri"/>
                <w:spacing w:val="1"/>
                <w:sz w:val="21"/>
                <w:szCs w:val="21"/>
              </w:rPr>
              <w:t xml:space="preserve"> </w:t>
            </w:r>
            <w:r w:rsidRPr="00401C70">
              <w:rPr>
                <w:rFonts w:ascii="Abadi" w:hAnsi="Abadi" w:cs="Calibri"/>
                <w:sz w:val="21"/>
                <w:szCs w:val="21"/>
              </w:rPr>
              <w:t>administrativas</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se</w:t>
            </w:r>
            <w:r w:rsidRPr="00401C70">
              <w:rPr>
                <w:rFonts w:ascii="Abadi" w:hAnsi="Abadi" w:cs="Calibri"/>
                <w:spacing w:val="1"/>
                <w:sz w:val="21"/>
                <w:szCs w:val="21"/>
              </w:rPr>
              <w:t xml:space="preserve"> </w:t>
            </w:r>
            <w:r w:rsidRPr="00401C70">
              <w:rPr>
                <w:rFonts w:ascii="Abadi" w:hAnsi="Abadi" w:cs="Calibri"/>
                <w:sz w:val="21"/>
                <w:szCs w:val="21"/>
              </w:rPr>
              <w:t>encuentren</w:t>
            </w:r>
            <w:r w:rsidRPr="00401C70">
              <w:rPr>
                <w:rFonts w:ascii="Abadi" w:hAnsi="Abadi" w:cs="Calibri"/>
                <w:spacing w:val="-1"/>
                <w:sz w:val="21"/>
                <w:szCs w:val="21"/>
              </w:rPr>
              <w:t xml:space="preserve"> </w:t>
            </w:r>
            <w:r w:rsidRPr="00401C70">
              <w:rPr>
                <w:rFonts w:ascii="Abadi" w:hAnsi="Abadi" w:cs="Calibri"/>
                <w:sz w:val="21"/>
                <w:szCs w:val="21"/>
              </w:rPr>
              <w:t>referidas</w:t>
            </w:r>
            <w:r w:rsidRPr="00401C70">
              <w:rPr>
                <w:rFonts w:ascii="Abadi" w:hAnsi="Abadi" w:cs="Calibri"/>
                <w:spacing w:val="-3"/>
                <w:sz w:val="21"/>
                <w:szCs w:val="21"/>
              </w:rPr>
              <w:t xml:space="preserve"> </w:t>
            </w:r>
            <w:r w:rsidRPr="00401C70">
              <w:rPr>
                <w:rFonts w:ascii="Abadi" w:hAnsi="Abadi" w:cs="Calibri"/>
                <w:sz w:val="21"/>
                <w:szCs w:val="21"/>
              </w:rPr>
              <w:t>en</w:t>
            </w:r>
            <w:r w:rsidRPr="00401C70">
              <w:rPr>
                <w:rFonts w:ascii="Abadi" w:hAnsi="Abadi" w:cs="Calibri"/>
                <w:spacing w:val="-2"/>
                <w:sz w:val="21"/>
                <w:szCs w:val="21"/>
              </w:rPr>
              <w:t xml:space="preserve"> </w:t>
            </w:r>
            <w:r w:rsidRPr="00401C70">
              <w:rPr>
                <w:rFonts w:ascii="Abadi" w:hAnsi="Abadi" w:cs="Calibri"/>
                <w:sz w:val="21"/>
                <w:szCs w:val="21"/>
              </w:rPr>
              <w:t>sus reglamentos.</w:t>
            </w:r>
          </w:p>
        </w:tc>
        <w:tc>
          <w:tcPr>
            <w:tcW w:w="2500" w:type="pct"/>
            <w:tcBorders>
              <w:top w:val="none" w:sz="6" w:space="0" w:color="auto"/>
              <w:left w:val="single" w:sz="4" w:space="0" w:color="000000"/>
              <w:bottom w:val="single" w:sz="4" w:space="0" w:color="000000"/>
              <w:right w:val="single" w:sz="4" w:space="0" w:color="000000"/>
            </w:tcBorders>
          </w:tcPr>
          <w:p w14:paraId="719DD1E2" w14:textId="77777777" w:rsidR="00677B7E" w:rsidRPr="00401C70" w:rsidRDefault="00677B7E" w:rsidP="00FA2590">
            <w:pPr>
              <w:kinsoku w:val="0"/>
              <w:overflowPunct w:val="0"/>
              <w:autoSpaceDE w:val="0"/>
              <w:autoSpaceDN w:val="0"/>
              <w:adjustRightInd w:val="0"/>
              <w:spacing w:before="92" w:line="270" w:lineRule="atLeast"/>
              <w:ind w:left="107" w:right="90"/>
              <w:jc w:val="both"/>
              <w:rPr>
                <w:rFonts w:ascii="Abadi" w:hAnsi="Abadi" w:cs="Calibri"/>
                <w:sz w:val="21"/>
                <w:szCs w:val="21"/>
              </w:rPr>
            </w:pPr>
            <w:r w:rsidRPr="00401C70">
              <w:rPr>
                <w:rFonts w:ascii="Abadi" w:hAnsi="Abadi" w:cs="Calibri"/>
                <w:sz w:val="21"/>
                <w:szCs w:val="21"/>
              </w:rPr>
              <w:t>Para</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trámite</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asuntos</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su</w:t>
            </w:r>
            <w:r w:rsidRPr="00401C70">
              <w:rPr>
                <w:rFonts w:ascii="Abadi" w:hAnsi="Abadi" w:cs="Calibri"/>
                <w:spacing w:val="1"/>
                <w:sz w:val="21"/>
                <w:szCs w:val="21"/>
              </w:rPr>
              <w:t xml:space="preserve"> </w:t>
            </w:r>
            <w:r w:rsidRPr="00401C70">
              <w:rPr>
                <w:rFonts w:ascii="Abadi" w:hAnsi="Abadi" w:cs="Calibri"/>
                <w:sz w:val="21"/>
                <w:szCs w:val="21"/>
              </w:rPr>
              <w:t>competencia,</w:t>
            </w:r>
            <w:r w:rsidRPr="00401C70">
              <w:rPr>
                <w:rFonts w:ascii="Abadi" w:hAnsi="Abadi" w:cs="Calibri"/>
                <w:spacing w:val="1"/>
                <w:sz w:val="21"/>
                <w:szCs w:val="21"/>
              </w:rPr>
              <w:t xml:space="preserve"> </w:t>
            </w:r>
            <w:r w:rsidRPr="00401C70">
              <w:rPr>
                <w:rFonts w:ascii="Abadi" w:hAnsi="Abadi" w:cs="Calibri"/>
                <w:sz w:val="21"/>
                <w:szCs w:val="21"/>
              </w:rPr>
              <w:t>las</w:t>
            </w:r>
            <w:r w:rsidRPr="00401C70">
              <w:rPr>
                <w:rFonts w:ascii="Abadi" w:hAnsi="Abadi" w:cs="Calibri"/>
                <w:spacing w:val="1"/>
                <w:sz w:val="21"/>
                <w:szCs w:val="21"/>
              </w:rPr>
              <w:t xml:space="preserve"> </w:t>
            </w:r>
            <w:r w:rsidRPr="00401C70">
              <w:rPr>
                <w:rFonts w:ascii="Abadi" w:hAnsi="Abadi" w:cs="Calibri"/>
                <w:sz w:val="21"/>
                <w:szCs w:val="21"/>
              </w:rPr>
              <w:t>dependencias</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Poder</w:t>
            </w:r>
            <w:r w:rsidRPr="00401C70">
              <w:rPr>
                <w:rFonts w:ascii="Abadi" w:hAnsi="Abadi" w:cs="Calibri"/>
                <w:spacing w:val="1"/>
                <w:sz w:val="21"/>
                <w:szCs w:val="21"/>
              </w:rPr>
              <w:t xml:space="preserve"> </w:t>
            </w:r>
            <w:r w:rsidRPr="00401C70">
              <w:rPr>
                <w:rFonts w:ascii="Abadi" w:hAnsi="Abadi" w:cs="Calibri"/>
                <w:sz w:val="21"/>
                <w:szCs w:val="21"/>
              </w:rPr>
              <w:t>Ejecutivo</w:t>
            </w:r>
            <w:r w:rsidRPr="00401C70">
              <w:rPr>
                <w:rFonts w:ascii="Abadi" w:hAnsi="Abadi" w:cs="Calibri"/>
                <w:spacing w:val="1"/>
                <w:sz w:val="21"/>
                <w:szCs w:val="21"/>
              </w:rPr>
              <w:t xml:space="preserve"> </w:t>
            </w:r>
            <w:r w:rsidRPr="00401C70">
              <w:rPr>
                <w:rFonts w:ascii="Abadi" w:hAnsi="Abadi" w:cs="Calibri"/>
                <w:sz w:val="21"/>
                <w:szCs w:val="21"/>
              </w:rPr>
              <w:t>se</w:t>
            </w:r>
            <w:r w:rsidRPr="00401C70">
              <w:rPr>
                <w:rFonts w:ascii="Abadi" w:hAnsi="Abadi" w:cs="Calibri"/>
                <w:spacing w:val="1"/>
                <w:sz w:val="21"/>
                <w:szCs w:val="21"/>
              </w:rPr>
              <w:t xml:space="preserve"> </w:t>
            </w:r>
            <w:r w:rsidRPr="00401C70">
              <w:rPr>
                <w:rFonts w:ascii="Abadi" w:hAnsi="Abadi" w:cs="Calibri"/>
                <w:sz w:val="21"/>
                <w:szCs w:val="21"/>
              </w:rPr>
              <w:t>auxiliarán</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las</w:t>
            </w:r>
            <w:r w:rsidRPr="00401C70">
              <w:rPr>
                <w:rFonts w:ascii="Abadi" w:hAnsi="Abadi" w:cs="Calibri"/>
                <w:spacing w:val="1"/>
                <w:sz w:val="21"/>
                <w:szCs w:val="21"/>
              </w:rPr>
              <w:t xml:space="preserve"> </w:t>
            </w:r>
            <w:r w:rsidRPr="00401C70">
              <w:rPr>
                <w:rFonts w:ascii="Abadi" w:hAnsi="Abadi" w:cs="Calibri"/>
                <w:sz w:val="21"/>
                <w:szCs w:val="21"/>
              </w:rPr>
              <w:t>unidades</w:t>
            </w:r>
            <w:r w:rsidRPr="00401C70">
              <w:rPr>
                <w:rFonts w:ascii="Abadi" w:hAnsi="Abadi" w:cs="Calibri"/>
                <w:spacing w:val="-47"/>
                <w:sz w:val="21"/>
                <w:szCs w:val="21"/>
              </w:rPr>
              <w:t xml:space="preserve"> </w:t>
            </w:r>
            <w:r w:rsidRPr="00401C70">
              <w:rPr>
                <w:rFonts w:ascii="Abadi" w:hAnsi="Abadi" w:cs="Calibri"/>
                <w:sz w:val="21"/>
                <w:szCs w:val="21"/>
              </w:rPr>
              <w:t>administrativas que establezca el reglamento</w:t>
            </w:r>
            <w:r w:rsidRPr="00401C70">
              <w:rPr>
                <w:rFonts w:ascii="Abadi" w:hAnsi="Abadi" w:cs="Calibri"/>
                <w:spacing w:val="1"/>
                <w:sz w:val="21"/>
                <w:szCs w:val="21"/>
              </w:rPr>
              <w:t xml:space="preserve"> </w:t>
            </w:r>
            <w:r w:rsidRPr="00401C70">
              <w:rPr>
                <w:rFonts w:ascii="Abadi" w:hAnsi="Abadi" w:cs="Calibri"/>
                <w:sz w:val="21"/>
                <w:szCs w:val="21"/>
              </w:rPr>
              <w:t>interior respectivo y que se requieran para el</w:t>
            </w:r>
            <w:r w:rsidRPr="00401C70">
              <w:rPr>
                <w:rFonts w:ascii="Abadi" w:hAnsi="Abadi" w:cs="Calibri"/>
                <w:spacing w:val="1"/>
                <w:sz w:val="21"/>
                <w:szCs w:val="21"/>
              </w:rPr>
              <w:t xml:space="preserve"> </w:t>
            </w:r>
            <w:r w:rsidRPr="00401C70">
              <w:rPr>
                <w:rFonts w:ascii="Abadi" w:hAnsi="Abadi" w:cs="Calibri"/>
                <w:sz w:val="21"/>
                <w:szCs w:val="21"/>
              </w:rPr>
              <w:t>eficaz</w:t>
            </w:r>
            <w:r w:rsidRPr="00401C70">
              <w:rPr>
                <w:rFonts w:ascii="Abadi" w:hAnsi="Abadi" w:cs="Calibri"/>
                <w:spacing w:val="1"/>
                <w:sz w:val="21"/>
                <w:szCs w:val="21"/>
              </w:rPr>
              <w:t xml:space="preserve"> </w:t>
            </w:r>
            <w:r w:rsidRPr="00401C70">
              <w:rPr>
                <w:rFonts w:ascii="Abadi" w:hAnsi="Abadi" w:cs="Calibri"/>
                <w:sz w:val="21"/>
                <w:szCs w:val="21"/>
              </w:rPr>
              <w:t>desempeño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sus</w:t>
            </w:r>
            <w:r w:rsidRPr="00401C70">
              <w:rPr>
                <w:rFonts w:ascii="Abadi" w:hAnsi="Abadi" w:cs="Calibri"/>
                <w:spacing w:val="1"/>
                <w:sz w:val="21"/>
                <w:szCs w:val="21"/>
              </w:rPr>
              <w:t xml:space="preserve"> </w:t>
            </w:r>
            <w:r w:rsidRPr="00401C70">
              <w:rPr>
                <w:rFonts w:ascii="Abadi" w:hAnsi="Abadi" w:cs="Calibri"/>
                <w:sz w:val="21"/>
                <w:szCs w:val="21"/>
              </w:rPr>
              <w:t>atribuciones.</w:t>
            </w:r>
            <w:r w:rsidRPr="00401C70">
              <w:rPr>
                <w:rFonts w:ascii="Abadi" w:hAnsi="Abadi" w:cs="Calibri"/>
                <w:spacing w:val="1"/>
                <w:sz w:val="21"/>
                <w:szCs w:val="21"/>
              </w:rPr>
              <w:t xml:space="preserve"> </w:t>
            </w:r>
            <w:r w:rsidRPr="00401C70">
              <w:rPr>
                <w:rFonts w:ascii="Abadi" w:hAnsi="Abadi" w:cs="Calibri"/>
                <w:sz w:val="21"/>
                <w:szCs w:val="21"/>
              </w:rPr>
              <w:t>Sólo</w:t>
            </w:r>
            <w:r w:rsidRPr="00401C70">
              <w:rPr>
                <w:rFonts w:ascii="Abadi" w:hAnsi="Abadi" w:cs="Calibri"/>
                <w:spacing w:val="1"/>
                <w:sz w:val="21"/>
                <w:szCs w:val="21"/>
              </w:rPr>
              <w:t xml:space="preserve"> </w:t>
            </w:r>
            <w:r w:rsidRPr="00401C70">
              <w:rPr>
                <w:rFonts w:ascii="Abadi" w:hAnsi="Abadi" w:cs="Calibri"/>
                <w:sz w:val="21"/>
                <w:szCs w:val="21"/>
              </w:rPr>
              <w:t>podrán</w:t>
            </w:r>
            <w:r w:rsidRPr="00401C70">
              <w:rPr>
                <w:rFonts w:ascii="Abadi" w:hAnsi="Abadi" w:cs="Calibri"/>
                <w:spacing w:val="1"/>
                <w:sz w:val="21"/>
                <w:szCs w:val="21"/>
              </w:rPr>
              <w:t xml:space="preserve"> </w:t>
            </w:r>
            <w:r w:rsidRPr="00401C70">
              <w:rPr>
                <w:rFonts w:ascii="Abadi" w:hAnsi="Abadi" w:cs="Calibri"/>
                <w:sz w:val="21"/>
                <w:szCs w:val="21"/>
              </w:rPr>
              <w:t>adicionar,</w:t>
            </w:r>
            <w:r w:rsidRPr="00401C70">
              <w:rPr>
                <w:rFonts w:ascii="Abadi" w:hAnsi="Abadi" w:cs="Calibri"/>
                <w:spacing w:val="1"/>
                <w:sz w:val="21"/>
                <w:szCs w:val="21"/>
              </w:rPr>
              <w:t xml:space="preserve"> </w:t>
            </w:r>
            <w:r w:rsidRPr="00401C70">
              <w:rPr>
                <w:rFonts w:ascii="Abadi" w:hAnsi="Abadi" w:cs="Calibri"/>
                <w:sz w:val="21"/>
                <w:szCs w:val="21"/>
              </w:rPr>
              <w:t>transferir,</w:t>
            </w:r>
            <w:r w:rsidRPr="00401C70">
              <w:rPr>
                <w:rFonts w:ascii="Abadi" w:hAnsi="Abadi" w:cs="Calibri"/>
                <w:spacing w:val="1"/>
                <w:sz w:val="21"/>
                <w:szCs w:val="21"/>
              </w:rPr>
              <w:t xml:space="preserve"> </w:t>
            </w:r>
            <w:r w:rsidRPr="00401C70">
              <w:rPr>
                <w:rFonts w:ascii="Abadi" w:hAnsi="Abadi" w:cs="Calibri"/>
                <w:sz w:val="21"/>
                <w:szCs w:val="21"/>
              </w:rPr>
              <w:t>fusionar</w:t>
            </w:r>
            <w:r w:rsidRPr="00401C70">
              <w:rPr>
                <w:rFonts w:ascii="Abadi" w:hAnsi="Abadi" w:cs="Calibri"/>
                <w:spacing w:val="1"/>
                <w:sz w:val="21"/>
                <w:szCs w:val="21"/>
              </w:rPr>
              <w:t xml:space="preserve"> </w:t>
            </w:r>
            <w:r w:rsidRPr="00401C70">
              <w:rPr>
                <w:rFonts w:ascii="Abadi" w:hAnsi="Abadi" w:cs="Calibri"/>
                <w:sz w:val="21"/>
                <w:szCs w:val="21"/>
              </w:rPr>
              <w:t>o</w:t>
            </w:r>
            <w:r w:rsidRPr="00401C70">
              <w:rPr>
                <w:rFonts w:ascii="Abadi" w:hAnsi="Abadi" w:cs="Calibri"/>
                <w:spacing w:val="1"/>
                <w:sz w:val="21"/>
                <w:szCs w:val="21"/>
              </w:rPr>
              <w:t xml:space="preserve"> </w:t>
            </w:r>
            <w:r w:rsidRPr="00401C70">
              <w:rPr>
                <w:rFonts w:ascii="Abadi" w:hAnsi="Abadi" w:cs="Calibri"/>
                <w:sz w:val="21"/>
                <w:szCs w:val="21"/>
              </w:rPr>
              <w:t>suprimir</w:t>
            </w:r>
            <w:r w:rsidRPr="00401C70">
              <w:rPr>
                <w:rFonts w:ascii="Abadi" w:hAnsi="Abadi" w:cs="Calibri"/>
                <w:spacing w:val="1"/>
                <w:sz w:val="21"/>
                <w:szCs w:val="21"/>
              </w:rPr>
              <w:t xml:space="preserve"> </w:t>
            </w:r>
            <w:r w:rsidRPr="00401C70">
              <w:rPr>
                <w:rFonts w:ascii="Abadi" w:hAnsi="Abadi" w:cs="Calibri"/>
                <w:sz w:val="21"/>
                <w:szCs w:val="21"/>
              </w:rPr>
              <w:t>unidades</w:t>
            </w:r>
            <w:r w:rsidRPr="00401C70">
              <w:rPr>
                <w:rFonts w:ascii="Abadi" w:hAnsi="Abadi" w:cs="Calibri"/>
                <w:spacing w:val="1"/>
                <w:sz w:val="21"/>
                <w:szCs w:val="21"/>
              </w:rPr>
              <w:t xml:space="preserve"> </w:t>
            </w:r>
            <w:r w:rsidRPr="00401C70">
              <w:rPr>
                <w:rFonts w:ascii="Abadi" w:hAnsi="Abadi" w:cs="Calibri"/>
                <w:sz w:val="21"/>
                <w:szCs w:val="21"/>
              </w:rPr>
              <w:t>administrativas</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se</w:t>
            </w:r>
            <w:r w:rsidRPr="00401C70">
              <w:rPr>
                <w:rFonts w:ascii="Abadi" w:hAnsi="Abadi" w:cs="Calibri"/>
                <w:spacing w:val="1"/>
                <w:sz w:val="21"/>
                <w:szCs w:val="21"/>
              </w:rPr>
              <w:t xml:space="preserve"> </w:t>
            </w:r>
            <w:r w:rsidRPr="00401C70">
              <w:rPr>
                <w:rFonts w:ascii="Abadi" w:hAnsi="Abadi" w:cs="Calibri"/>
                <w:sz w:val="21"/>
                <w:szCs w:val="21"/>
              </w:rPr>
              <w:t>encuentren</w:t>
            </w:r>
            <w:r w:rsidRPr="00401C70">
              <w:rPr>
                <w:rFonts w:ascii="Abadi" w:hAnsi="Abadi" w:cs="Calibri"/>
                <w:spacing w:val="-1"/>
                <w:sz w:val="21"/>
                <w:szCs w:val="21"/>
              </w:rPr>
              <w:t xml:space="preserve"> </w:t>
            </w:r>
            <w:r w:rsidRPr="00401C70">
              <w:rPr>
                <w:rFonts w:ascii="Abadi" w:hAnsi="Abadi" w:cs="Calibri"/>
                <w:sz w:val="21"/>
                <w:szCs w:val="21"/>
              </w:rPr>
              <w:t>referidas</w:t>
            </w:r>
            <w:r w:rsidRPr="00401C70">
              <w:rPr>
                <w:rFonts w:ascii="Abadi" w:hAnsi="Abadi" w:cs="Calibri"/>
                <w:spacing w:val="-3"/>
                <w:sz w:val="21"/>
                <w:szCs w:val="21"/>
              </w:rPr>
              <w:t xml:space="preserve"> </w:t>
            </w:r>
            <w:r w:rsidRPr="00401C70">
              <w:rPr>
                <w:rFonts w:ascii="Abadi" w:hAnsi="Abadi" w:cs="Calibri"/>
                <w:sz w:val="21"/>
                <w:szCs w:val="21"/>
              </w:rPr>
              <w:t>en</w:t>
            </w:r>
            <w:r w:rsidRPr="00401C70">
              <w:rPr>
                <w:rFonts w:ascii="Abadi" w:hAnsi="Abadi" w:cs="Calibri"/>
                <w:spacing w:val="-2"/>
                <w:sz w:val="21"/>
                <w:szCs w:val="21"/>
              </w:rPr>
              <w:t xml:space="preserve"> </w:t>
            </w:r>
            <w:r w:rsidRPr="00401C70">
              <w:rPr>
                <w:rFonts w:ascii="Abadi" w:hAnsi="Abadi" w:cs="Calibri"/>
                <w:sz w:val="21"/>
                <w:szCs w:val="21"/>
              </w:rPr>
              <w:t>sus reglamentos.</w:t>
            </w:r>
          </w:p>
        </w:tc>
      </w:tr>
      <w:tr w:rsidR="00677B7E" w:rsidRPr="00401C70" w14:paraId="468C6DC3" w14:textId="77777777" w:rsidTr="003343AD">
        <w:trPr>
          <w:trHeight w:val="2033"/>
        </w:trPr>
        <w:tc>
          <w:tcPr>
            <w:tcW w:w="2500" w:type="pct"/>
            <w:tcBorders>
              <w:top w:val="single" w:sz="4" w:space="0" w:color="000000"/>
              <w:left w:val="single" w:sz="4" w:space="0" w:color="000000"/>
              <w:bottom w:val="none" w:sz="6" w:space="0" w:color="auto"/>
              <w:right w:val="single" w:sz="4" w:space="0" w:color="000000"/>
            </w:tcBorders>
          </w:tcPr>
          <w:p w14:paraId="1363CDE3" w14:textId="77777777" w:rsidR="00677B7E" w:rsidRPr="00401C70" w:rsidRDefault="00677B7E" w:rsidP="00FA2590">
            <w:pPr>
              <w:kinsoku w:val="0"/>
              <w:overflowPunct w:val="0"/>
              <w:autoSpaceDE w:val="0"/>
              <w:autoSpaceDN w:val="0"/>
              <w:adjustRightInd w:val="0"/>
              <w:ind w:left="107" w:right="92"/>
              <w:jc w:val="both"/>
              <w:rPr>
                <w:rFonts w:ascii="Abadi" w:hAnsi="Abadi" w:cs="Calibri"/>
                <w:sz w:val="21"/>
                <w:szCs w:val="21"/>
              </w:rPr>
            </w:pPr>
            <w:r w:rsidRPr="00401C70">
              <w:rPr>
                <w:rFonts w:ascii="Abadi" w:hAnsi="Abadi" w:cs="Calibri"/>
                <w:b/>
                <w:bCs/>
                <w:sz w:val="21"/>
                <w:szCs w:val="21"/>
              </w:rPr>
              <w:t>Artículo</w:t>
            </w:r>
            <w:r w:rsidRPr="00401C70">
              <w:rPr>
                <w:rFonts w:ascii="Abadi" w:hAnsi="Abadi" w:cs="Calibri"/>
                <w:b/>
                <w:bCs/>
                <w:spacing w:val="1"/>
                <w:sz w:val="21"/>
                <w:szCs w:val="21"/>
              </w:rPr>
              <w:t xml:space="preserve"> </w:t>
            </w:r>
            <w:r w:rsidRPr="00401C70">
              <w:rPr>
                <w:rFonts w:ascii="Abadi" w:hAnsi="Abadi" w:cs="Calibri"/>
                <w:b/>
                <w:bCs/>
                <w:sz w:val="21"/>
                <w:szCs w:val="21"/>
              </w:rPr>
              <w:t>37.-</w:t>
            </w:r>
            <w:r w:rsidRPr="00401C70">
              <w:rPr>
                <w:rFonts w:ascii="Abadi" w:hAnsi="Abadi" w:cs="Calibri"/>
                <w:b/>
                <w:bCs/>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Gobernador</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Estado</w:t>
            </w:r>
            <w:r w:rsidRPr="00401C70">
              <w:rPr>
                <w:rFonts w:ascii="Abadi" w:hAnsi="Abadi" w:cs="Calibri"/>
                <w:spacing w:val="-47"/>
                <w:sz w:val="21"/>
                <w:szCs w:val="21"/>
              </w:rPr>
              <w:t xml:space="preserve"> </w:t>
            </w:r>
            <w:r w:rsidRPr="00401C70">
              <w:rPr>
                <w:rFonts w:ascii="Abadi" w:hAnsi="Abadi" w:cs="Calibri"/>
                <w:sz w:val="21"/>
                <w:szCs w:val="21"/>
              </w:rPr>
              <w:t>designará a quien deba presidir los órganos de</w:t>
            </w:r>
            <w:r w:rsidRPr="00401C70">
              <w:rPr>
                <w:rFonts w:ascii="Abadi" w:hAnsi="Abadi" w:cs="Calibri"/>
                <w:spacing w:val="1"/>
                <w:sz w:val="21"/>
                <w:szCs w:val="21"/>
              </w:rPr>
              <w:t xml:space="preserve"> </w:t>
            </w:r>
            <w:r w:rsidRPr="00401C70">
              <w:rPr>
                <w:rFonts w:ascii="Abadi" w:hAnsi="Abadi" w:cs="Calibri"/>
                <w:sz w:val="21"/>
                <w:szCs w:val="21"/>
              </w:rPr>
              <w:t>gobierno y de administración de las entidades</w:t>
            </w:r>
            <w:r w:rsidRPr="00401C70">
              <w:rPr>
                <w:rFonts w:ascii="Abadi" w:hAnsi="Abadi" w:cs="Calibri"/>
                <w:spacing w:val="1"/>
                <w:sz w:val="21"/>
                <w:szCs w:val="21"/>
              </w:rPr>
              <w:t xml:space="preserve"> </w:t>
            </w:r>
            <w:r w:rsidRPr="00401C70">
              <w:rPr>
                <w:rFonts w:ascii="Abadi" w:hAnsi="Abadi" w:cs="Calibri"/>
                <w:sz w:val="21"/>
                <w:szCs w:val="21"/>
              </w:rPr>
              <w:t>estatales,</w:t>
            </w:r>
            <w:r w:rsidRPr="00401C70">
              <w:rPr>
                <w:rFonts w:ascii="Abadi" w:hAnsi="Abadi" w:cs="Calibri"/>
                <w:spacing w:val="1"/>
                <w:sz w:val="21"/>
                <w:szCs w:val="21"/>
              </w:rPr>
              <w:t xml:space="preserve"> </w:t>
            </w:r>
            <w:r w:rsidRPr="00401C70">
              <w:rPr>
                <w:rFonts w:ascii="Abadi" w:hAnsi="Abadi" w:cs="Calibri"/>
                <w:sz w:val="21"/>
                <w:szCs w:val="21"/>
              </w:rPr>
              <w:t>sujetándose</w:t>
            </w:r>
            <w:r w:rsidRPr="00401C70">
              <w:rPr>
                <w:rFonts w:ascii="Abadi" w:hAnsi="Abadi" w:cs="Calibri"/>
                <w:spacing w:val="1"/>
                <w:sz w:val="21"/>
                <w:szCs w:val="21"/>
              </w:rPr>
              <w:t xml:space="preserve"> </w:t>
            </w:r>
            <w:r w:rsidRPr="00401C70">
              <w:rPr>
                <w:rFonts w:ascii="Abadi" w:hAnsi="Abadi" w:cs="Calibri"/>
                <w:sz w:val="21"/>
                <w:szCs w:val="21"/>
              </w:rPr>
              <w:t>a</w:t>
            </w:r>
            <w:r w:rsidRPr="00401C70">
              <w:rPr>
                <w:rFonts w:ascii="Abadi" w:hAnsi="Abadi" w:cs="Calibri"/>
                <w:spacing w:val="1"/>
                <w:sz w:val="21"/>
                <w:szCs w:val="21"/>
              </w:rPr>
              <w:t xml:space="preserve"> </w:t>
            </w:r>
            <w:r w:rsidRPr="00401C70">
              <w:rPr>
                <w:rFonts w:ascii="Abadi" w:hAnsi="Abadi" w:cs="Calibri"/>
                <w:sz w:val="21"/>
                <w:szCs w:val="21"/>
              </w:rPr>
              <w:t>las</w:t>
            </w:r>
            <w:r w:rsidRPr="00401C70">
              <w:rPr>
                <w:rFonts w:ascii="Abadi" w:hAnsi="Abadi" w:cs="Calibri"/>
                <w:spacing w:val="1"/>
                <w:sz w:val="21"/>
                <w:szCs w:val="21"/>
              </w:rPr>
              <w:t xml:space="preserve"> </w:t>
            </w:r>
            <w:r w:rsidRPr="00401C70">
              <w:rPr>
                <w:rFonts w:ascii="Abadi" w:hAnsi="Abadi" w:cs="Calibri"/>
                <w:sz w:val="21"/>
                <w:szCs w:val="21"/>
              </w:rPr>
              <w:t>disposiciones</w:t>
            </w:r>
            <w:r w:rsidRPr="00401C70">
              <w:rPr>
                <w:rFonts w:ascii="Abadi" w:hAnsi="Abadi" w:cs="Calibri"/>
                <w:spacing w:val="1"/>
                <w:sz w:val="21"/>
                <w:szCs w:val="21"/>
              </w:rPr>
              <w:t xml:space="preserve"> </w:t>
            </w:r>
            <w:r w:rsidRPr="00401C70">
              <w:rPr>
                <w:rFonts w:ascii="Abadi" w:hAnsi="Abadi" w:cs="Calibri"/>
                <w:sz w:val="21"/>
                <w:szCs w:val="21"/>
              </w:rPr>
              <w:t>previstas</w:t>
            </w:r>
            <w:r w:rsidRPr="00401C70">
              <w:rPr>
                <w:rFonts w:ascii="Abadi" w:hAnsi="Abadi" w:cs="Calibri"/>
                <w:spacing w:val="-10"/>
                <w:sz w:val="21"/>
                <w:szCs w:val="21"/>
              </w:rPr>
              <w:t xml:space="preserve"> </w:t>
            </w:r>
            <w:r w:rsidRPr="00401C70">
              <w:rPr>
                <w:rFonts w:ascii="Abadi" w:hAnsi="Abadi" w:cs="Calibri"/>
                <w:sz w:val="21"/>
                <w:szCs w:val="21"/>
              </w:rPr>
              <w:t>en</w:t>
            </w:r>
            <w:r w:rsidRPr="00401C70">
              <w:rPr>
                <w:rFonts w:ascii="Abadi" w:hAnsi="Abadi" w:cs="Calibri"/>
                <w:spacing w:val="-5"/>
                <w:sz w:val="21"/>
                <w:szCs w:val="21"/>
              </w:rPr>
              <w:t xml:space="preserve"> </w:t>
            </w:r>
            <w:r w:rsidRPr="00401C70">
              <w:rPr>
                <w:rFonts w:ascii="Abadi" w:hAnsi="Abadi" w:cs="Calibri"/>
                <w:sz w:val="21"/>
                <w:szCs w:val="21"/>
              </w:rPr>
              <w:t>esta</w:t>
            </w:r>
            <w:r w:rsidRPr="00401C70">
              <w:rPr>
                <w:rFonts w:ascii="Abadi" w:hAnsi="Abadi" w:cs="Calibri"/>
                <w:spacing w:val="-7"/>
                <w:sz w:val="21"/>
                <w:szCs w:val="21"/>
              </w:rPr>
              <w:t xml:space="preserve"> </w:t>
            </w:r>
            <w:r w:rsidRPr="00401C70">
              <w:rPr>
                <w:rFonts w:ascii="Abadi" w:hAnsi="Abadi" w:cs="Calibri"/>
                <w:sz w:val="21"/>
                <w:szCs w:val="21"/>
              </w:rPr>
              <w:t>Ley,</w:t>
            </w:r>
            <w:r w:rsidRPr="00401C70">
              <w:rPr>
                <w:rFonts w:ascii="Abadi" w:hAnsi="Abadi" w:cs="Calibri"/>
                <w:spacing w:val="-7"/>
                <w:sz w:val="21"/>
                <w:szCs w:val="21"/>
              </w:rPr>
              <w:t xml:space="preserve"> </w:t>
            </w:r>
            <w:r w:rsidRPr="00401C70">
              <w:rPr>
                <w:rFonts w:ascii="Abadi" w:hAnsi="Abadi" w:cs="Calibri"/>
                <w:sz w:val="21"/>
                <w:szCs w:val="21"/>
              </w:rPr>
              <w:t>así</w:t>
            </w:r>
            <w:r w:rsidRPr="00401C70">
              <w:rPr>
                <w:rFonts w:ascii="Abadi" w:hAnsi="Abadi" w:cs="Calibri"/>
                <w:spacing w:val="-8"/>
                <w:sz w:val="21"/>
                <w:szCs w:val="21"/>
              </w:rPr>
              <w:t xml:space="preserve"> </w:t>
            </w:r>
            <w:r w:rsidRPr="00401C70">
              <w:rPr>
                <w:rFonts w:ascii="Abadi" w:hAnsi="Abadi" w:cs="Calibri"/>
                <w:sz w:val="21"/>
                <w:szCs w:val="21"/>
              </w:rPr>
              <w:t>como</w:t>
            </w:r>
            <w:r w:rsidRPr="00401C70">
              <w:rPr>
                <w:rFonts w:ascii="Abadi" w:hAnsi="Abadi" w:cs="Calibri"/>
                <w:spacing w:val="-6"/>
                <w:sz w:val="21"/>
                <w:szCs w:val="21"/>
              </w:rPr>
              <w:t xml:space="preserve"> </w:t>
            </w:r>
            <w:r w:rsidRPr="00401C70">
              <w:rPr>
                <w:rFonts w:ascii="Abadi" w:hAnsi="Abadi" w:cs="Calibri"/>
                <w:sz w:val="21"/>
                <w:szCs w:val="21"/>
              </w:rPr>
              <w:t>a</w:t>
            </w:r>
            <w:r w:rsidRPr="00401C70">
              <w:rPr>
                <w:rFonts w:ascii="Abadi" w:hAnsi="Abadi" w:cs="Calibri"/>
                <w:spacing w:val="-7"/>
                <w:sz w:val="21"/>
                <w:szCs w:val="21"/>
              </w:rPr>
              <w:t xml:space="preserve"> </w:t>
            </w:r>
            <w:r w:rsidRPr="00401C70">
              <w:rPr>
                <w:rFonts w:ascii="Abadi" w:hAnsi="Abadi" w:cs="Calibri"/>
                <w:sz w:val="21"/>
                <w:szCs w:val="21"/>
              </w:rPr>
              <w:t>lo</w:t>
            </w:r>
            <w:r w:rsidRPr="00401C70">
              <w:rPr>
                <w:rFonts w:ascii="Abadi" w:hAnsi="Abadi" w:cs="Calibri"/>
                <w:spacing w:val="-6"/>
                <w:sz w:val="21"/>
                <w:szCs w:val="21"/>
              </w:rPr>
              <w:t xml:space="preserve"> </w:t>
            </w:r>
            <w:r w:rsidRPr="00401C70">
              <w:rPr>
                <w:rFonts w:ascii="Abadi" w:hAnsi="Abadi" w:cs="Calibri"/>
                <w:sz w:val="21"/>
                <w:szCs w:val="21"/>
              </w:rPr>
              <w:t>señalado</w:t>
            </w:r>
            <w:r w:rsidRPr="00401C70">
              <w:rPr>
                <w:rFonts w:ascii="Abadi" w:hAnsi="Abadi" w:cs="Calibri"/>
                <w:spacing w:val="-7"/>
                <w:sz w:val="21"/>
                <w:szCs w:val="21"/>
              </w:rPr>
              <w:t xml:space="preserve"> </w:t>
            </w:r>
            <w:r w:rsidRPr="00401C70">
              <w:rPr>
                <w:rFonts w:ascii="Abadi" w:hAnsi="Abadi" w:cs="Calibri"/>
                <w:sz w:val="21"/>
                <w:szCs w:val="21"/>
              </w:rPr>
              <w:t>en</w:t>
            </w:r>
            <w:r w:rsidRPr="00401C70">
              <w:rPr>
                <w:rFonts w:ascii="Abadi" w:hAnsi="Abadi" w:cs="Calibri"/>
                <w:spacing w:val="-47"/>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ordenamiento</w:t>
            </w:r>
            <w:r w:rsidRPr="00401C70">
              <w:rPr>
                <w:rFonts w:ascii="Abadi" w:hAnsi="Abadi" w:cs="Calibri"/>
                <w:spacing w:val="-1"/>
                <w:sz w:val="21"/>
                <w:szCs w:val="21"/>
              </w:rPr>
              <w:t xml:space="preserve"> </w:t>
            </w:r>
            <w:r w:rsidRPr="00401C70">
              <w:rPr>
                <w:rFonts w:ascii="Abadi" w:hAnsi="Abadi" w:cs="Calibri"/>
                <w:sz w:val="21"/>
                <w:szCs w:val="21"/>
              </w:rPr>
              <w:t>jurídico</w:t>
            </w:r>
            <w:r w:rsidRPr="00401C70">
              <w:rPr>
                <w:rFonts w:ascii="Abadi" w:hAnsi="Abadi" w:cs="Calibri"/>
                <w:spacing w:val="-2"/>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las</w:t>
            </w:r>
            <w:r w:rsidRPr="00401C70">
              <w:rPr>
                <w:rFonts w:ascii="Abadi" w:hAnsi="Abadi" w:cs="Calibri"/>
                <w:spacing w:val="-1"/>
                <w:sz w:val="21"/>
                <w:szCs w:val="21"/>
              </w:rPr>
              <w:t xml:space="preserve"> </w:t>
            </w:r>
            <w:r w:rsidRPr="00401C70">
              <w:rPr>
                <w:rFonts w:ascii="Abadi" w:hAnsi="Abadi" w:cs="Calibri"/>
                <w:sz w:val="21"/>
                <w:szCs w:val="21"/>
              </w:rPr>
              <w:t>crea.</w:t>
            </w:r>
          </w:p>
        </w:tc>
        <w:tc>
          <w:tcPr>
            <w:tcW w:w="2500" w:type="pct"/>
            <w:tcBorders>
              <w:top w:val="single" w:sz="4" w:space="0" w:color="000000"/>
              <w:left w:val="single" w:sz="4" w:space="0" w:color="000000"/>
              <w:bottom w:val="none" w:sz="6" w:space="0" w:color="auto"/>
              <w:right w:val="single" w:sz="4" w:space="0" w:color="000000"/>
            </w:tcBorders>
          </w:tcPr>
          <w:p w14:paraId="76DE3B0E" w14:textId="77777777" w:rsidR="00677B7E" w:rsidRPr="00401C70" w:rsidRDefault="00677B7E" w:rsidP="00FA2590">
            <w:pPr>
              <w:kinsoku w:val="0"/>
              <w:overflowPunct w:val="0"/>
              <w:autoSpaceDE w:val="0"/>
              <w:autoSpaceDN w:val="0"/>
              <w:adjustRightInd w:val="0"/>
              <w:ind w:left="107" w:right="91"/>
              <w:jc w:val="both"/>
              <w:rPr>
                <w:rFonts w:ascii="Abadi" w:hAnsi="Abadi" w:cs="Calibri"/>
                <w:sz w:val="21"/>
                <w:szCs w:val="21"/>
              </w:rPr>
            </w:pPr>
            <w:r w:rsidRPr="00401C70">
              <w:rPr>
                <w:rFonts w:ascii="Abadi" w:hAnsi="Abadi" w:cs="Calibri"/>
                <w:b/>
                <w:bCs/>
                <w:sz w:val="21"/>
                <w:szCs w:val="21"/>
              </w:rPr>
              <w:t>Artículo</w:t>
            </w:r>
            <w:r w:rsidRPr="00401C70">
              <w:rPr>
                <w:rFonts w:ascii="Abadi" w:hAnsi="Abadi" w:cs="Calibri"/>
                <w:b/>
                <w:bCs/>
                <w:spacing w:val="1"/>
                <w:sz w:val="21"/>
                <w:szCs w:val="21"/>
              </w:rPr>
              <w:t xml:space="preserve"> </w:t>
            </w:r>
            <w:r w:rsidRPr="00401C70">
              <w:rPr>
                <w:rFonts w:ascii="Abadi" w:hAnsi="Abadi" w:cs="Calibri"/>
                <w:b/>
                <w:bCs/>
                <w:sz w:val="21"/>
                <w:szCs w:val="21"/>
              </w:rPr>
              <w:t>37.-</w:t>
            </w:r>
            <w:r w:rsidRPr="00401C70">
              <w:rPr>
                <w:rFonts w:ascii="Abadi" w:hAnsi="Abadi" w:cs="Calibri"/>
                <w:b/>
                <w:bCs/>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Gobernador</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Estado,</w:t>
            </w:r>
            <w:r w:rsidRPr="00401C70">
              <w:rPr>
                <w:rFonts w:ascii="Abadi" w:hAnsi="Abadi" w:cs="Calibri"/>
                <w:spacing w:val="1"/>
                <w:sz w:val="21"/>
                <w:szCs w:val="21"/>
              </w:rPr>
              <w:t xml:space="preserve"> </w:t>
            </w:r>
            <w:r w:rsidRPr="00401C70">
              <w:rPr>
                <w:rFonts w:ascii="Abadi" w:hAnsi="Abadi" w:cs="Calibri"/>
                <w:b/>
                <w:bCs/>
                <w:i/>
                <w:iCs/>
                <w:sz w:val="21"/>
                <w:szCs w:val="21"/>
              </w:rPr>
              <w:t>observando el principio de paridad de género,</w:t>
            </w:r>
            <w:r w:rsidRPr="00401C70">
              <w:rPr>
                <w:rFonts w:ascii="Abadi" w:hAnsi="Abadi" w:cs="Calibri"/>
                <w:b/>
                <w:bCs/>
                <w:i/>
                <w:iCs/>
                <w:spacing w:val="-47"/>
                <w:sz w:val="21"/>
                <w:szCs w:val="21"/>
              </w:rPr>
              <w:t xml:space="preserve"> </w:t>
            </w:r>
            <w:r w:rsidRPr="00401C70">
              <w:rPr>
                <w:rFonts w:ascii="Abadi" w:hAnsi="Abadi" w:cs="Calibri"/>
                <w:sz w:val="21"/>
                <w:szCs w:val="21"/>
              </w:rPr>
              <w:t>designará a quien deba presidir los órganos de</w:t>
            </w:r>
            <w:r w:rsidRPr="00401C70">
              <w:rPr>
                <w:rFonts w:ascii="Abadi" w:hAnsi="Abadi" w:cs="Calibri"/>
                <w:spacing w:val="1"/>
                <w:sz w:val="21"/>
                <w:szCs w:val="21"/>
              </w:rPr>
              <w:t xml:space="preserve"> </w:t>
            </w:r>
            <w:r w:rsidRPr="00401C70">
              <w:rPr>
                <w:rFonts w:ascii="Abadi" w:hAnsi="Abadi" w:cs="Calibri"/>
                <w:sz w:val="21"/>
                <w:szCs w:val="21"/>
              </w:rPr>
              <w:t>gobierno y de administración de las entidades</w:t>
            </w:r>
            <w:r w:rsidRPr="00401C70">
              <w:rPr>
                <w:rFonts w:ascii="Abadi" w:hAnsi="Abadi" w:cs="Calibri"/>
                <w:spacing w:val="1"/>
                <w:sz w:val="21"/>
                <w:szCs w:val="21"/>
              </w:rPr>
              <w:t xml:space="preserve"> </w:t>
            </w:r>
            <w:r w:rsidRPr="00401C70">
              <w:rPr>
                <w:rFonts w:ascii="Abadi" w:hAnsi="Abadi" w:cs="Calibri"/>
                <w:sz w:val="21"/>
                <w:szCs w:val="21"/>
              </w:rPr>
              <w:t>estatales,</w:t>
            </w:r>
            <w:r w:rsidRPr="00401C70">
              <w:rPr>
                <w:rFonts w:ascii="Abadi" w:hAnsi="Abadi" w:cs="Calibri"/>
                <w:spacing w:val="1"/>
                <w:sz w:val="21"/>
                <w:szCs w:val="21"/>
              </w:rPr>
              <w:t xml:space="preserve"> </w:t>
            </w:r>
            <w:r w:rsidRPr="00401C70">
              <w:rPr>
                <w:rFonts w:ascii="Abadi" w:hAnsi="Abadi" w:cs="Calibri"/>
                <w:sz w:val="21"/>
                <w:szCs w:val="21"/>
              </w:rPr>
              <w:t>sujetándose</w:t>
            </w:r>
            <w:r w:rsidRPr="00401C70">
              <w:rPr>
                <w:rFonts w:ascii="Abadi" w:hAnsi="Abadi" w:cs="Calibri"/>
                <w:spacing w:val="1"/>
                <w:sz w:val="21"/>
                <w:szCs w:val="21"/>
              </w:rPr>
              <w:t xml:space="preserve"> </w:t>
            </w:r>
            <w:r w:rsidRPr="00401C70">
              <w:rPr>
                <w:rFonts w:ascii="Abadi" w:hAnsi="Abadi" w:cs="Calibri"/>
                <w:sz w:val="21"/>
                <w:szCs w:val="21"/>
              </w:rPr>
              <w:t>a</w:t>
            </w:r>
            <w:r w:rsidRPr="00401C70">
              <w:rPr>
                <w:rFonts w:ascii="Abadi" w:hAnsi="Abadi" w:cs="Calibri"/>
                <w:spacing w:val="1"/>
                <w:sz w:val="21"/>
                <w:szCs w:val="21"/>
              </w:rPr>
              <w:t xml:space="preserve"> </w:t>
            </w:r>
            <w:r w:rsidRPr="00401C70">
              <w:rPr>
                <w:rFonts w:ascii="Abadi" w:hAnsi="Abadi" w:cs="Calibri"/>
                <w:sz w:val="21"/>
                <w:szCs w:val="21"/>
              </w:rPr>
              <w:t>las</w:t>
            </w:r>
            <w:r w:rsidRPr="00401C70">
              <w:rPr>
                <w:rFonts w:ascii="Abadi" w:hAnsi="Abadi" w:cs="Calibri"/>
                <w:spacing w:val="1"/>
                <w:sz w:val="21"/>
                <w:szCs w:val="21"/>
              </w:rPr>
              <w:t xml:space="preserve"> </w:t>
            </w:r>
            <w:r w:rsidRPr="00401C70">
              <w:rPr>
                <w:rFonts w:ascii="Abadi" w:hAnsi="Abadi" w:cs="Calibri"/>
                <w:sz w:val="21"/>
                <w:szCs w:val="21"/>
              </w:rPr>
              <w:t>disposiciones</w:t>
            </w:r>
            <w:r w:rsidRPr="00401C70">
              <w:rPr>
                <w:rFonts w:ascii="Abadi" w:hAnsi="Abadi" w:cs="Calibri"/>
                <w:spacing w:val="1"/>
                <w:sz w:val="21"/>
                <w:szCs w:val="21"/>
              </w:rPr>
              <w:t xml:space="preserve"> </w:t>
            </w:r>
            <w:r w:rsidRPr="00401C70">
              <w:rPr>
                <w:rFonts w:ascii="Abadi" w:hAnsi="Abadi" w:cs="Calibri"/>
                <w:sz w:val="21"/>
                <w:szCs w:val="21"/>
              </w:rPr>
              <w:t>previstas</w:t>
            </w:r>
            <w:r w:rsidRPr="00401C70">
              <w:rPr>
                <w:rFonts w:ascii="Abadi" w:hAnsi="Abadi" w:cs="Calibri"/>
                <w:spacing w:val="-10"/>
                <w:sz w:val="21"/>
                <w:szCs w:val="21"/>
              </w:rPr>
              <w:t xml:space="preserve"> </w:t>
            </w:r>
            <w:r w:rsidRPr="00401C70">
              <w:rPr>
                <w:rFonts w:ascii="Abadi" w:hAnsi="Abadi" w:cs="Calibri"/>
                <w:sz w:val="21"/>
                <w:szCs w:val="21"/>
              </w:rPr>
              <w:t>en</w:t>
            </w:r>
            <w:r w:rsidRPr="00401C70">
              <w:rPr>
                <w:rFonts w:ascii="Abadi" w:hAnsi="Abadi" w:cs="Calibri"/>
                <w:spacing w:val="-5"/>
                <w:sz w:val="21"/>
                <w:szCs w:val="21"/>
              </w:rPr>
              <w:t xml:space="preserve"> </w:t>
            </w:r>
            <w:r w:rsidRPr="00401C70">
              <w:rPr>
                <w:rFonts w:ascii="Abadi" w:hAnsi="Abadi" w:cs="Calibri"/>
                <w:sz w:val="21"/>
                <w:szCs w:val="21"/>
              </w:rPr>
              <w:t>esta</w:t>
            </w:r>
            <w:r w:rsidRPr="00401C70">
              <w:rPr>
                <w:rFonts w:ascii="Abadi" w:hAnsi="Abadi" w:cs="Calibri"/>
                <w:spacing w:val="-7"/>
                <w:sz w:val="21"/>
                <w:szCs w:val="21"/>
              </w:rPr>
              <w:t xml:space="preserve"> </w:t>
            </w:r>
            <w:r w:rsidRPr="00401C70">
              <w:rPr>
                <w:rFonts w:ascii="Abadi" w:hAnsi="Abadi" w:cs="Calibri"/>
                <w:sz w:val="21"/>
                <w:szCs w:val="21"/>
              </w:rPr>
              <w:t>Ley,</w:t>
            </w:r>
            <w:r w:rsidRPr="00401C70">
              <w:rPr>
                <w:rFonts w:ascii="Abadi" w:hAnsi="Abadi" w:cs="Calibri"/>
                <w:spacing w:val="-7"/>
                <w:sz w:val="21"/>
                <w:szCs w:val="21"/>
              </w:rPr>
              <w:t xml:space="preserve"> </w:t>
            </w:r>
            <w:r w:rsidRPr="00401C70">
              <w:rPr>
                <w:rFonts w:ascii="Abadi" w:hAnsi="Abadi" w:cs="Calibri"/>
                <w:sz w:val="21"/>
                <w:szCs w:val="21"/>
              </w:rPr>
              <w:t>así</w:t>
            </w:r>
            <w:r w:rsidRPr="00401C70">
              <w:rPr>
                <w:rFonts w:ascii="Abadi" w:hAnsi="Abadi" w:cs="Calibri"/>
                <w:spacing w:val="-8"/>
                <w:sz w:val="21"/>
                <w:szCs w:val="21"/>
              </w:rPr>
              <w:t xml:space="preserve"> </w:t>
            </w:r>
            <w:r w:rsidRPr="00401C70">
              <w:rPr>
                <w:rFonts w:ascii="Abadi" w:hAnsi="Abadi" w:cs="Calibri"/>
                <w:sz w:val="21"/>
                <w:szCs w:val="21"/>
              </w:rPr>
              <w:t>como</w:t>
            </w:r>
            <w:r w:rsidRPr="00401C70">
              <w:rPr>
                <w:rFonts w:ascii="Abadi" w:hAnsi="Abadi" w:cs="Calibri"/>
                <w:spacing w:val="-6"/>
                <w:sz w:val="21"/>
                <w:szCs w:val="21"/>
              </w:rPr>
              <w:t xml:space="preserve"> </w:t>
            </w:r>
            <w:r w:rsidRPr="00401C70">
              <w:rPr>
                <w:rFonts w:ascii="Abadi" w:hAnsi="Abadi" w:cs="Calibri"/>
                <w:sz w:val="21"/>
                <w:szCs w:val="21"/>
              </w:rPr>
              <w:t>a</w:t>
            </w:r>
            <w:r w:rsidRPr="00401C70">
              <w:rPr>
                <w:rFonts w:ascii="Abadi" w:hAnsi="Abadi" w:cs="Calibri"/>
                <w:spacing w:val="-7"/>
                <w:sz w:val="21"/>
                <w:szCs w:val="21"/>
              </w:rPr>
              <w:t xml:space="preserve"> </w:t>
            </w:r>
            <w:r w:rsidRPr="00401C70">
              <w:rPr>
                <w:rFonts w:ascii="Abadi" w:hAnsi="Abadi" w:cs="Calibri"/>
                <w:sz w:val="21"/>
                <w:szCs w:val="21"/>
              </w:rPr>
              <w:t>lo</w:t>
            </w:r>
            <w:r w:rsidRPr="00401C70">
              <w:rPr>
                <w:rFonts w:ascii="Abadi" w:hAnsi="Abadi" w:cs="Calibri"/>
                <w:spacing w:val="-6"/>
                <w:sz w:val="21"/>
                <w:szCs w:val="21"/>
              </w:rPr>
              <w:t xml:space="preserve"> </w:t>
            </w:r>
            <w:r w:rsidRPr="00401C70">
              <w:rPr>
                <w:rFonts w:ascii="Abadi" w:hAnsi="Abadi" w:cs="Calibri"/>
                <w:sz w:val="21"/>
                <w:szCs w:val="21"/>
              </w:rPr>
              <w:t>señalado</w:t>
            </w:r>
            <w:r w:rsidRPr="00401C70">
              <w:rPr>
                <w:rFonts w:ascii="Abadi" w:hAnsi="Abadi" w:cs="Calibri"/>
                <w:spacing w:val="-7"/>
                <w:sz w:val="21"/>
                <w:szCs w:val="21"/>
              </w:rPr>
              <w:t xml:space="preserve"> </w:t>
            </w:r>
            <w:r w:rsidRPr="00401C70">
              <w:rPr>
                <w:rFonts w:ascii="Abadi" w:hAnsi="Abadi" w:cs="Calibri"/>
                <w:sz w:val="21"/>
                <w:szCs w:val="21"/>
              </w:rPr>
              <w:t>en</w:t>
            </w:r>
            <w:r w:rsidRPr="00401C70">
              <w:rPr>
                <w:rFonts w:ascii="Abadi" w:hAnsi="Abadi" w:cs="Calibri"/>
                <w:spacing w:val="-47"/>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ordenamiento</w:t>
            </w:r>
            <w:r w:rsidRPr="00401C70">
              <w:rPr>
                <w:rFonts w:ascii="Abadi" w:hAnsi="Abadi" w:cs="Calibri"/>
                <w:spacing w:val="-1"/>
                <w:sz w:val="21"/>
                <w:szCs w:val="21"/>
              </w:rPr>
              <w:t xml:space="preserve"> </w:t>
            </w:r>
            <w:r w:rsidRPr="00401C70">
              <w:rPr>
                <w:rFonts w:ascii="Abadi" w:hAnsi="Abadi" w:cs="Calibri"/>
                <w:sz w:val="21"/>
                <w:szCs w:val="21"/>
              </w:rPr>
              <w:t>jurídico</w:t>
            </w:r>
            <w:r w:rsidRPr="00401C70">
              <w:rPr>
                <w:rFonts w:ascii="Abadi" w:hAnsi="Abadi" w:cs="Calibri"/>
                <w:spacing w:val="-2"/>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las</w:t>
            </w:r>
            <w:r w:rsidRPr="00401C70">
              <w:rPr>
                <w:rFonts w:ascii="Abadi" w:hAnsi="Abadi" w:cs="Calibri"/>
                <w:spacing w:val="-1"/>
                <w:sz w:val="21"/>
                <w:szCs w:val="21"/>
              </w:rPr>
              <w:t xml:space="preserve"> </w:t>
            </w:r>
            <w:r w:rsidRPr="00401C70">
              <w:rPr>
                <w:rFonts w:ascii="Abadi" w:hAnsi="Abadi" w:cs="Calibri"/>
                <w:sz w:val="21"/>
                <w:szCs w:val="21"/>
              </w:rPr>
              <w:t>crea.</w:t>
            </w:r>
          </w:p>
        </w:tc>
      </w:tr>
      <w:tr w:rsidR="00677B7E" w:rsidRPr="00401C70" w14:paraId="2D233729" w14:textId="77777777" w:rsidTr="003343AD">
        <w:trPr>
          <w:trHeight w:val="2686"/>
        </w:trPr>
        <w:tc>
          <w:tcPr>
            <w:tcW w:w="2500" w:type="pct"/>
            <w:tcBorders>
              <w:top w:val="none" w:sz="6" w:space="0" w:color="auto"/>
              <w:left w:val="single" w:sz="4" w:space="0" w:color="000000"/>
              <w:bottom w:val="none" w:sz="6" w:space="0" w:color="auto"/>
              <w:right w:val="single" w:sz="4" w:space="0" w:color="000000"/>
            </w:tcBorders>
          </w:tcPr>
          <w:p w14:paraId="145BBE6A" w14:textId="77777777" w:rsidR="00677B7E" w:rsidRPr="00401C70" w:rsidRDefault="00677B7E" w:rsidP="00FA2590">
            <w:pPr>
              <w:kinsoku w:val="0"/>
              <w:overflowPunct w:val="0"/>
              <w:autoSpaceDE w:val="0"/>
              <w:autoSpaceDN w:val="0"/>
              <w:adjustRightInd w:val="0"/>
              <w:spacing w:before="114"/>
              <w:ind w:left="107" w:right="92"/>
              <w:jc w:val="both"/>
              <w:rPr>
                <w:rFonts w:ascii="Abadi" w:hAnsi="Abadi" w:cs="Calibri"/>
                <w:sz w:val="21"/>
                <w:szCs w:val="21"/>
              </w:rPr>
            </w:pP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órgano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gobierno</w:t>
            </w:r>
            <w:r w:rsidRPr="00401C70">
              <w:rPr>
                <w:rFonts w:ascii="Abadi" w:hAnsi="Abadi" w:cs="Calibri"/>
                <w:spacing w:val="1"/>
                <w:sz w:val="21"/>
                <w:szCs w:val="21"/>
              </w:rPr>
              <w:t xml:space="preserve"> </w:t>
            </w:r>
            <w:r w:rsidRPr="00401C70">
              <w:rPr>
                <w:rFonts w:ascii="Abadi" w:hAnsi="Abadi" w:cs="Calibri"/>
                <w:sz w:val="21"/>
                <w:szCs w:val="21"/>
              </w:rPr>
              <w:t>será</w:t>
            </w:r>
            <w:r w:rsidRPr="00401C70">
              <w:rPr>
                <w:rFonts w:ascii="Abadi" w:hAnsi="Abadi" w:cs="Calibri"/>
                <w:spacing w:val="1"/>
                <w:sz w:val="21"/>
                <w:szCs w:val="21"/>
              </w:rPr>
              <w:t xml:space="preserve"> </w:t>
            </w:r>
            <w:r w:rsidRPr="00401C70">
              <w:rPr>
                <w:rFonts w:ascii="Abadi" w:hAnsi="Abadi" w:cs="Calibri"/>
                <w:sz w:val="21"/>
                <w:szCs w:val="21"/>
              </w:rPr>
              <w:t>presidido</w:t>
            </w:r>
            <w:r w:rsidRPr="00401C70">
              <w:rPr>
                <w:rFonts w:ascii="Abadi" w:hAnsi="Abadi" w:cs="Calibri"/>
                <w:spacing w:val="1"/>
                <w:sz w:val="21"/>
                <w:szCs w:val="21"/>
              </w:rPr>
              <w:t xml:space="preserve"> </w:t>
            </w:r>
            <w:r w:rsidRPr="00401C70">
              <w:rPr>
                <w:rFonts w:ascii="Abadi" w:hAnsi="Abadi" w:cs="Calibri"/>
                <w:sz w:val="21"/>
                <w:szCs w:val="21"/>
              </w:rPr>
              <w:t>por</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47"/>
                <w:sz w:val="21"/>
                <w:szCs w:val="21"/>
              </w:rPr>
              <w:t xml:space="preserve"> </w:t>
            </w:r>
            <w:r w:rsidRPr="00401C70">
              <w:rPr>
                <w:rFonts w:ascii="Abadi" w:hAnsi="Abadi" w:cs="Calibri"/>
                <w:sz w:val="21"/>
                <w:szCs w:val="21"/>
              </w:rPr>
              <w:t>titular de la Secretaría coordinadora de sector</w:t>
            </w:r>
            <w:r w:rsidRPr="00401C70">
              <w:rPr>
                <w:rFonts w:ascii="Abadi" w:hAnsi="Abadi" w:cs="Calibri"/>
                <w:spacing w:val="1"/>
                <w:sz w:val="21"/>
                <w:szCs w:val="21"/>
              </w:rPr>
              <w:t xml:space="preserve"> </w:t>
            </w:r>
            <w:r w:rsidRPr="00401C70">
              <w:rPr>
                <w:rFonts w:ascii="Abadi" w:hAnsi="Abadi" w:cs="Calibri"/>
                <w:sz w:val="21"/>
                <w:szCs w:val="21"/>
              </w:rPr>
              <w:t>en</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se</w:t>
            </w:r>
            <w:r w:rsidRPr="00401C70">
              <w:rPr>
                <w:rFonts w:ascii="Abadi" w:hAnsi="Abadi" w:cs="Calibri"/>
                <w:spacing w:val="1"/>
                <w:sz w:val="21"/>
                <w:szCs w:val="21"/>
              </w:rPr>
              <w:t xml:space="preserve"> </w:t>
            </w:r>
            <w:r w:rsidRPr="00401C70">
              <w:rPr>
                <w:rFonts w:ascii="Abadi" w:hAnsi="Abadi" w:cs="Calibri"/>
                <w:sz w:val="21"/>
                <w:szCs w:val="21"/>
              </w:rPr>
              <w:t>encuentre</w:t>
            </w:r>
            <w:r w:rsidRPr="00401C70">
              <w:rPr>
                <w:rFonts w:ascii="Abadi" w:hAnsi="Abadi" w:cs="Calibri"/>
                <w:spacing w:val="1"/>
                <w:sz w:val="21"/>
                <w:szCs w:val="21"/>
              </w:rPr>
              <w:t xml:space="preserve"> </w:t>
            </w:r>
            <w:r w:rsidRPr="00401C70">
              <w:rPr>
                <w:rFonts w:ascii="Abadi" w:hAnsi="Abadi" w:cs="Calibri"/>
                <w:sz w:val="21"/>
                <w:szCs w:val="21"/>
              </w:rPr>
              <w:t>agrupada</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entidad</w:t>
            </w:r>
            <w:r w:rsidRPr="00401C70">
              <w:rPr>
                <w:rFonts w:ascii="Abadi" w:hAnsi="Abadi" w:cs="Calibri"/>
                <w:spacing w:val="1"/>
                <w:sz w:val="21"/>
                <w:szCs w:val="21"/>
              </w:rPr>
              <w:t xml:space="preserve"> </w:t>
            </w:r>
            <w:r w:rsidRPr="00401C70">
              <w:rPr>
                <w:rFonts w:ascii="Abadi" w:hAnsi="Abadi" w:cs="Calibri"/>
                <w:sz w:val="21"/>
                <w:szCs w:val="21"/>
              </w:rPr>
              <w:t>estatal,</w:t>
            </w:r>
            <w:r w:rsidRPr="00401C70">
              <w:rPr>
                <w:rFonts w:ascii="Abadi" w:hAnsi="Abadi" w:cs="Calibri"/>
                <w:spacing w:val="1"/>
                <w:sz w:val="21"/>
                <w:szCs w:val="21"/>
              </w:rPr>
              <w:t xml:space="preserve"> </w:t>
            </w:r>
            <w:r w:rsidRPr="00401C70">
              <w:rPr>
                <w:rFonts w:ascii="Abadi" w:hAnsi="Abadi" w:cs="Calibri"/>
                <w:sz w:val="21"/>
                <w:szCs w:val="21"/>
              </w:rPr>
              <w:t>salvo</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por</w:t>
            </w:r>
            <w:r w:rsidRPr="00401C70">
              <w:rPr>
                <w:rFonts w:ascii="Abadi" w:hAnsi="Abadi" w:cs="Calibri"/>
                <w:spacing w:val="1"/>
                <w:sz w:val="21"/>
                <w:szCs w:val="21"/>
              </w:rPr>
              <w:t xml:space="preserve"> </w:t>
            </w:r>
            <w:r w:rsidRPr="00401C70">
              <w:rPr>
                <w:rFonts w:ascii="Abadi" w:hAnsi="Abadi" w:cs="Calibri"/>
                <w:sz w:val="21"/>
                <w:szCs w:val="21"/>
              </w:rPr>
              <w:t>disposición</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lastRenderedPageBreak/>
              <w:t>ordenamiento</w:t>
            </w:r>
            <w:r w:rsidRPr="00401C70">
              <w:rPr>
                <w:rFonts w:ascii="Abadi" w:hAnsi="Abadi" w:cs="Calibri"/>
                <w:spacing w:val="1"/>
                <w:sz w:val="21"/>
                <w:szCs w:val="21"/>
              </w:rPr>
              <w:t xml:space="preserve"> </w:t>
            </w:r>
            <w:r w:rsidRPr="00401C70">
              <w:rPr>
                <w:rFonts w:ascii="Abadi" w:hAnsi="Abadi" w:cs="Calibri"/>
                <w:sz w:val="21"/>
                <w:szCs w:val="21"/>
              </w:rPr>
              <w:t>jurídico</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crea,</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presidencia</w:t>
            </w:r>
            <w:r w:rsidRPr="00401C70">
              <w:rPr>
                <w:rFonts w:ascii="Abadi" w:hAnsi="Abadi" w:cs="Calibri"/>
                <w:spacing w:val="1"/>
                <w:sz w:val="21"/>
                <w:szCs w:val="21"/>
              </w:rPr>
              <w:t xml:space="preserve"> </w:t>
            </w:r>
            <w:r w:rsidRPr="00401C70">
              <w:rPr>
                <w:rFonts w:ascii="Abadi" w:hAnsi="Abadi" w:cs="Calibri"/>
                <w:sz w:val="21"/>
                <w:szCs w:val="21"/>
              </w:rPr>
              <w:t>se</w:t>
            </w:r>
            <w:r w:rsidRPr="00401C70">
              <w:rPr>
                <w:rFonts w:ascii="Abadi" w:hAnsi="Abadi" w:cs="Calibri"/>
                <w:spacing w:val="1"/>
                <w:sz w:val="21"/>
                <w:szCs w:val="21"/>
              </w:rPr>
              <w:t xml:space="preserve"> </w:t>
            </w:r>
            <w:r w:rsidRPr="00401C70">
              <w:rPr>
                <w:rFonts w:ascii="Abadi" w:hAnsi="Abadi" w:cs="Calibri"/>
                <w:sz w:val="21"/>
                <w:szCs w:val="21"/>
              </w:rPr>
              <w:t>le</w:t>
            </w:r>
            <w:r w:rsidRPr="00401C70">
              <w:rPr>
                <w:rFonts w:ascii="Abadi" w:hAnsi="Abadi" w:cs="Calibri"/>
                <w:spacing w:val="1"/>
                <w:sz w:val="21"/>
                <w:szCs w:val="21"/>
              </w:rPr>
              <w:t xml:space="preserve"> </w:t>
            </w:r>
            <w:r w:rsidRPr="00401C70">
              <w:rPr>
                <w:rFonts w:ascii="Abadi" w:hAnsi="Abadi" w:cs="Calibri"/>
                <w:sz w:val="21"/>
                <w:szCs w:val="21"/>
              </w:rPr>
              <w:t>asigne</w:t>
            </w:r>
            <w:r w:rsidRPr="00401C70">
              <w:rPr>
                <w:rFonts w:ascii="Abadi" w:hAnsi="Abadi" w:cs="Calibri"/>
                <w:spacing w:val="1"/>
                <w:sz w:val="21"/>
                <w:szCs w:val="21"/>
              </w:rPr>
              <w:t xml:space="preserve"> </w:t>
            </w:r>
            <w:r w:rsidRPr="00401C70">
              <w:rPr>
                <w:rFonts w:ascii="Abadi" w:hAnsi="Abadi" w:cs="Calibri"/>
                <w:sz w:val="21"/>
                <w:szCs w:val="21"/>
              </w:rPr>
              <w:t>al</w:t>
            </w:r>
            <w:r w:rsidRPr="00401C70">
              <w:rPr>
                <w:rFonts w:ascii="Abadi" w:hAnsi="Abadi" w:cs="Calibri"/>
                <w:spacing w:val="1"/>
                <w:sz w:val="21"/>
                <w:szCs w:val="21"/>
              </w:rPr>
              <w:t xml:space="preserve"> </w:t>
            </w:r>
            <w:r w:rsidRPr="00401C70">
              <w:rPr>
                <w:rFonts w:ascii="Abadi" w:hAnsi="Abadi" w:cs="Calibri"/>
                <w:sz w:val="21"/>
                <w:szCs w:val="21"/>
              </w:rPr>
              <w:t>Gobernador</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Estado o a una dependencia o entidad, o a un</w:t>
            </w:r>
            <w:r w:rsidRPr="00401C70">
              <w:rPr>
                <w:rFonts w:ascii="Abadi" w:hAnsi="Abadi" w:cs="Calibri"/>
                <w:spacing w:val="1"/>
                <w:sz w:val="21"/>
                <w:szCs w:val="21"/>
              </w:rPr>
              <w:t xml:space="preserve"> </w:t>
            </w:r>
            <w:r w:rsidRPr="00401C70">
              <w:rPr>
                <w:rFonts w:ascii="Abadi" w:hAnsi="Abadi" w:cs="Calibri"/>
                <w:sz w:val="21"/>
                <w:szCs w:val="21"/>
              </w:rPr>
              <w:t>ciudadano</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no</w:t>
            </w:r>
            <w:r w:rsidRPr="00401C70">
              <w:rPr>
                <w:rFonts w:ascii="Abadi" w:hAnsi="Abadi" w:cs="Calibri"/>
                <w:spacing w:val="1"/>
                <w:sz w:val="21"/>
                <w:szCs w:val="21"/>
              </w:rPr>
              <w:t xml:space="preserve"> </w:t>
            </w:r>
            <w:r w:rsidRPr="00401C70">
              <w:rPr>
                <w:rFonts w:ascii="Abadi" w:hAnsi="Abadi" w:cs="Calibri"/>
                <w:sz w:val="21"/>
                <w:szCs w:val="21"/>
              </w:rPr>
              <w:t>forme</w:t>
            </w:r>
            <w:r w:rsidRPr="00401C70">
              <w:rPr>
                <w:rFonts w:ascii="Abadi" w:hAnsi="Abadi" w:cs="Calibri"/>
                <w:spacing w:val="1"/>
                <w:sz w:val="21"/>
                <w:szCs w:val="21"/>
              </w:rPr>
              <w:t xml:space="preserve"> </w:t>
            </w:r>
            <w:r w:rsidRPr="00401C70">
              <w:rPr>
                <w:rFonts w:ascii="Abadi" w:hAnsi="Abadi" w:cs="Calibri"/>
                <w:sz w:val="21"/>
                <w:szCs w:val="21"/>
              </w:rPr>
              <w:t>parte</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Administración</w:t>
            </w:r>
            <w:r w:rsidRPr="00401C70">
              <w:rPr>
                <w:rFonts w:ascii="Abadi" w:hAnsi="Abadi" w:cs="Calibri"/>
                <w:spacing w:val="-2"/>
                <w:sz w:val="21"/>
                <w:szCs w:val="21"/>
              </w:rPr>
              <w:t xml:space="preserve"> </w:t>
            </w:r>
            <w:r w:rsidRPr="00401C70">
              <w:rPr>
                <w:rFonts w:ascii="Abadi" w:hAnsi="Abadi" w:cs="Calibri"/>
                <w:sz w:val="21"/>
                <w:szCs w:val="21"/>
              </w:rPr>
              <w:t>Pública</w:t>
            </w:r>
            <w:r w:rsidRPr="00401C70">
              <w:rPr>
                <w:rFonts w:ascii="Abadi" w:hAnsi="Abadi" w:cs="Calibri"/>
                <w:spacing w:val="-3"/>
                <w:sz w:val="21"/>
                <w:szCs w:val="21"/>
              </w:rPr>
              <w:t xml:space="preserve"> </w:t>
            </w:r>
            <w:r w:rsidRPr="00401C70">
              <w:rPr>
                <w:rFonts w:ascii="Abadi" w:hAnsi="Abadi" w:cs="Calibri"/>
                <w:sz w:val="21"/>
                <w:szCs w:val="21"/>
              </w:rPr>
              <w:t>del</w:t>
            </w:r>
            <w:r w:rsidRPr="00401C70">
              <w:rPr>
                <w:rFonts w:ascii="Abadi" w:hAnsi="Abadi" w:cs="Calibri"/>
                <w:spacing w:val="-2"/>
                <w:sz w:val="21"/>
                <w:szCs w:val="21"/>
              </w:rPr>
              <w:t xml:space="preserve"> </w:t>
            </w:r>
            <w:r w:rsidRPr="00401C70">
              <w:rPr>
                <w:rFonts w:ascii="Abadi" w:hAnsi="Abadi" w:cs="Calibri"/>
                <w:sz w:val="21"/>
                <w:szCs w:val="21"/>
              </w:rPr>
              <w:t>Estado.</w:t>
            </w:r>
          </w:p>
        </w:tc>
        <w:tc>
          <w:tcPr>
            <w:tcW w:w="2500" w:type="pct"/>
            <w:tcBorders>
              <w:top w:val="none" w:sz="6" w:space="0" w:color="auto"/>
              <w:left w:val="single" w:sz="4" w:space="0" w:color="000000"/>
              <w:bottom w:val="none" w:sz="6" w:space="0" w:color="auto"/>
              <w:right w:val="single" w:sz="4" w:space="0" w:color="000000"/>
            </w:tcBorders>
          </w:tcPr>
          <w:p w14:paraId="1EA4A38E" w14:textId="77777777" w:rsidR="00677B7E" w:rsidRPr="00401C70" w:rsidRDefault="00677B7E" w:rsidP="00FA2590">
            <w:pPr>
              <w:kinsoku w:val="0"/>
              <w:overflowPunct w:val="0"/>
              <w:autoSpaceDE w:val="0"/>
              <w:autoSpaceDN w:val="0"/>
              <w:adjustRightInd w:val="0"/>
              <w:spacing w:before="114"/>
              <w:ind w:left="107" w:right="93"/>
              <w:jc w:val="both"/>
              <w:rPr>
                <w:rFonts w:ascii="Abadi" w:hAnsi="Abadi" w:cs="Calibri"/>
                <w:sz w:val="21"/>
                <w:szCs w:val="21"/>
              </w:rPr>
            </w:pPr>
            <w:r w:rsidRPr="00401C70">
              <w:rPr>
                <w:rFonts w:ascii="Abadi" w:hAnsi="Abadi" w:cs="Calibri"/>
                <w:sz w:val="21"/>
                <w:szCs w:val="21"/>
              </w:rPr>
              <w:lastRenderedPageBreak/>
              <w:t>El</w:t>
            </w:r>
            <w:r w:rsidRPr="00401C70">
              <w:rPr>
                <w:rFonts w:ascii="Abadi" w:hAnsi="Abadi" w:cs="Calibri"/>
                <w:spacing w:val="1"/>
                <w:sz w:val="21"/>
                <w:szCs w:val="21"/>
              </w:rPr>
              <w:t xml:space="preserve"> </w:t>
            </w:r>
            <w:r w:rsidRPr="00401C70">
              <w:rPr>
                <w:rFonts w:ascii="Abadi" w:hAnsi="Abadi" w:cs="Calibri"/>
                <w:sz w:val="21"/>
                <w:szCs w:val="21"/>
              </w:rPr>
              <w:t>órgano de</w:t>
            </w:r>
            <w:r w:rsidRPr="00401C70">
              <w:rPr>
                <w:rFonts w:ascii="Abadi" w:hAnsi="Abadi" w:cs="Calibri"/>
                <w:spacing w:val="1"/>
                <w:sz w:val="21"/>
                <w:szCs w:val="21"/>
              </w:rPr>
              <w:t xml:space="preserve"> </w:t>
            </w:r>
            <w:r w:rsidRPr="00401C70">
              <w:rPr>
                <w:rFonts w:ascii="Abadi" w:hAnsi="Abadi" w:cs="Calibri"/>
                <w:sz w:val="21"/>
                <w:szCs w:val="21"/>
              </w:rPr>
              <w:t>gobierno</w:t>
            </w:r>
            <w:r w:rsidRPr="00401C70">
              <w:rPr>
                <w:rFonts w:ascii="Abadi" w:hAnsi="Abadi" w:cs="Calibri"/>
                <w:spacing w:val="1"/>
                <w:sz w:val="21"/>
                <w:szCs w:val="21"/>
              </w:rPr>
              <w:t xml:space="preserve"> </w:t>
            </w:r>
            <w:r w:rsidRPr="00401C70">
              <w:rPr>
                <w:rFonts w:ascii="Abadi" w:hAnsi="Abadi" w:cs="Calibri"/>
                <w:sz w:val="21"/>
                <w:szCs w:val="21"/>
              </w:rPr>
              <w:t>será</w:t>
            </w:r>
            <w:r w:rsidRPr="00401C70">
              <w:rPr>
                <w:rFonts w:ascii="Abadi" w:hAnsi="Abadi" w:cs="Calibri"/>
                <w:spacing w:val="1"/>
                <w:sz w:val="21"/>
                <w:szCs w:val="21"/>
              </w:rPr>
              <w:t xml:space="preserve"> </w:t>
            </w:r>
            <w:r w:rsidRPr="00401C70">
              <w:rPr>
                <w:rFonts w:ascii="Abadi" w:hAnsi="Abadi" w:cs="Calibri"/>
                <w:sz w:val="21"/>
                <w:szCs w:val="21"/>
              </w:rPr>
              <w:t>presidido</w:t>
            </w:r>
            <w:r w:rsidRPr="00401C70">
              <w:rPr>
                <w:rFonts w:ascii="Abadi" w:hAnsi="Abadi" w:cs="Calibri"/>
                <w:spacing w:val="1"/>
                <w:sz w:val="21"/>
                <w:szCs w:val="21"/>
              </w:rPr>
              <w:t xml:space="preserve"> </w:t>
            </w:r>
            <w:r w:rsidRPr="00401C70">
              <w:rPr>
                <w:rFonts w:ascii="Abadi" w:hAnsi="Abadi" w:cs="Calibri"/>
                <w:sz w:val="21"/>
                <w:szCs w:val="21"/>
              </w:rPr>
              <w:t>por</w:t>
            </w:r>
            <w:r w:rsidRPr="00401C70">
              <w:rPr>
                <w:rFonts w:ascii="Abadi" w:hAnsi="Abadi" w:cs="Calibri"/>
                <w:spacing w:val="1"/>
                <w:sz w:val="21"/>
                <w:szCs w:val="21"/>
              </w:rPr>
              <w:t xml:space="preserve"> </w:t>
            </w:r>
            <w:r w:rsidRPr="00401C70">
              <w:rPr>
                <w:rFonts w:ascii="Abadi" w:hAnsi="Abadi" w:cs="Calibri"/>
                <w:b/>
                <w:bCs/>
                <w:i/>
                <w:iCs/>
                <w:sz w:val="21"/>
                <w:szCs w:val="21"/>
              </w:rPr>
              <w:t>la</w:t>
            </w:r>
            <w:r w:rsidRPr="00401C70">
              <w:rPr>
                <w:rFonts w:ascii="Abadi" w:hAnsi="Abadi" w:cs="Calibri"/>
                <w:b/>
                <w:bCs/>
                <w:i/>
                <w:iCs/>
                <w:spacing w:val="-47"/>
                <w:sz w:val="21"/>
                <w:szCs w:val="21"/>
              </w:rPr>
              <w:t xml:space="preserve"> </w:t>
            </w:r>
            <w:r w:rsidRPr="00401C70">
              <w:rPr>
                <w:rFonts w:ascii="Abadi" w:hAnsi="Abadi" w:cs="Calibri"/>
                <w:b/>
                <w:bCs/>
                <w:i/>
                <w:iCs/>
                <w:sz w:val="21"/>
                <w:szCs w:val="21"/>
              </w:rPr>
              <w:t xml:space="preserve">persona titular </w:t>
            </w:r>
            <w:r w:rsidRPr="00401C70">
              <w:rPr>
                <w:rFonts w:ascii="Abadi" w:hAnsi="Abadi" w:cs="Calibri"/>
                <w:sz w:val="21"/>
                <w:szCs w:val="21"/>
              </w:rPr>
              <w:t>de la Secretaría coordinadora</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sector</w:t>
            </w:r>
            <w:r w:rsidRPr="00401C70">
              <w:rPr>
                <w:rFonts w:ascii="Abadi" w:hAnsi="Abadi" w:cs="Calibri"/>
                <w:spacing w:val="1"/>
                <w:sz w:val="21"/>
                <w:szCs w:val="21"/>
              </w:rPr>
              <w:t xml:space="preserve"> </w:t>
            </w:r>
            <w:r w:rsidRPr="00401C70">
              <w:rPr>
                <w:rFonts w:ascii="Abadi" w:hAnsi="Abadi" w:cs="Calibri"/>
                <w:sz w:val="21"/>
                <w:szCs w:val="21"/>
              </w:rPr>
              <w:t>en</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se</w:t>
            </w:r>
            <w:r w:rsidRPr="00401C70">
              <w:rPr>
                <w:rFonts w:ascii="Abadi" w:hAnsi="Abadi" w:cs="Calibri"/>
                <w:spacing w:val="1"/>
                <w:sz w:val="21"/>
                <w:szCs w:val="21"/>
              </w:rPr>
              <w:t xml:space="preserve"> </w:t>
            </w:r>
            <w:r w:rsidRPr="00401C70">
              <w:rPr>
                <w:rFonts w:ascii="Abadi" w:hAnsi="Abadi" w:cs="Calibri"/>
                <w:sz w:val="21"/>
                <w:szCs w:val="21"/>
              </w:rPr>
              <w:t>encuentre</w:t>
            </w:r>
            <w:r w:rsidRPr="00401C70">
              <w:rPr>
                <w:rFonts w:ascii="Abadi" w:hAnsi="Abadi" w:cs="Calibri"/>
                <w:spacing w:val="1"/>
                <w:sz w:val="21"/>
                <w:szCs w:val="21"/>
              </w:rPr>
              <w:t xml:space="preserve"> </w:t>
            </w:r>
            <w:r w:rsidRPr="00401C70">
              <w:rPr>
                <w:rFonts w:ascii="Abadi" w:hAnsi="Abadi" w:cs="Calibri"/>
                <w:sz w:val="21"/>
                <w:szCs w:val="21"/>
              </w:rPr>
              <w:t>agrupada</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47"/>
                <w:sz w:val="21"/>
                <w:szCs w:val="21"/>
              </w:rPr>
              <w:t xml:space="preserve"> </w:t>
            </w:r>
            <w:r w:rsidRPr="00401C70">
              <w:rPr>
                <w:rFonts w:ascii="Abadi" w:hAnsi="Abadi" w:cs="Calibri"/>
                <w:sz w:val="21"/>
                <w:szCs w:val="21"/>
              </w:rPr>
              <w:t>entidad estatal, salvo que por disposición del</w:t>
            </w:r>
            <w:r w:rsidRPr="00401C70">
              <w:rPr>
                <w:rFonts w:ascii="Abadi" w:hAnsi="Abadi" w:cs="Calibri"/>
                <w:spacing w:val="1"/>
                <w:sz w:val="21"/>
                <w:szCs w:val="21"/>
              </w:rPr>
              <w:t xml:space="preserve"> </w:t>
            </w:r>
            <w:r w:rsidRPr="00401C70">
              <w:rPr>
                <w:rFonts w:ascii="Abadi" w:hAnsi="Abadi" w:cs="Calibri"/>
                <w:sz w:val="21"/>
                <w:szCs w:val="21"/>
              </w:rPr>
              <w:lastRenderedPageBreak/>
              <w:t>ordenamiento</w:t>
            </w:r>
            <w:r w:rsidRPr="00401C70">
              <w:rPr>
                <w:rFonts w:ascii="Abadi" w:hAnsi="Abadi" w:cs="Calibri"/>
                <w:spacing w:val="1"/>
                <w:sz w:val="21"/>
                <w:szCs w:val="21"/>
              </w:rPr>
              <w:t xml:space="preserve"> </w:t>
            </w:r>
            <w:r w:rsidRPr="00401C70">
              <w:rPr>
                <w:rFonts w:ascii="Abadi" w:hAnsi="Abadi" w:cs="Calibri"/>
                <w:sz w:val="21"/>
                <w:szCs w:val="21"/>
              </w:rPr>
              <w:t>jurídico</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crea,</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presidencia</w:t>
            </w:r>
            <w:r w:rsidRPr="00401C70">
              <w:rPr>
                <w:rFonts w:ascii="Abadi" w:hAnsi="Abadi" w:cs="Calibri"/>
                <w:spacing w:val="1"/>
                <w:sz w:val="21"/>
                <w:szCs w:val="21"/>
              </w:rPr>
              <w:t xml:space="preserve"> </w:t>
            </w:r>
            <w:r w:rsidRPr="00401C70">
              <w:rPr>
                <w:rFonts w:ascii="Abadi" w:hAnsi="Abadi" w:cs="Calibri"/>
                <w:sz w:val="21"/>
                <w:szCs w:val="21"/>
              </w:rPr>
              <w:t>se</w:t>
            </w:r>
            <w:r w:rsidRPr="00401C70">
              <w:rPr>
                <w:rFonts w:ascii="Abadi" w:hAnsi="Abadi" w:cs="Calibri"/>
                <w:spacing w:val="1"/>
                <w:sz w:val="21"/>
                <w:szCs w:val="21"/>
              </w:rPr>
              <w:t xml:space="preserve"> </w:t>
            </w:r>
            <w:r w:rsidRPr="00401C70">
              <w:rPr>
                <w:rFonts w:ascii="Abadi" w:hAnsi="Abadi" w:cs="Calibri"/>
                <w:sz w:val="21"/>
                <w:szCs w:val="21"/>
              </w:rPr>
              <w:t>le</w:t>
            </w:r>
            <w:r w:rsidRPr="00401C70">
              <w:rPr>
                <w:rFonts w:ascii="Abadi" w:hAnsi="Abadi" w:cs="Calibri"/>
                <w:spacing w:val="1"/>
                <w:sz w:val="21"/>
                <w:szCs w:val="21"/>
              </w:rPr>
              <w:t xml:space="preserve"> </w:t>
            </w:r>
            <w:r w:rsidRPr="00401C70">
              <w:rPr>
                <w:rFonts w:ascii="Abadi" w:hAnsi="Abadi" w:cs="Calibri"/>
                <w:sz w:val="21"/>
                <w:szCs w:val="21"/>
              </w:rPr>
              <w:t>asigne</w:t>
            </w:r>
            <w:r w:rsidRPr="00401C70">
              <w:rPr>
                <w:rFonts w:ascii="Abadi" w:hAnsi="Abadi" w:cs="Calibri"/>
                <w:spacing w:val="1"/>
                <w:sz w:val="21"/>
                <w:szCs w:val="21"/>
              </w:rPr>
              <w:t xml:space="preserve"> </w:t>
            </w:r>
            <w:r w:rsidRPr="00401C70">
              <w:rPr>
                <w:rFonts w:ascii="Abadi" w:hAnsi="Abadi" w:cs="Calibri"/>
                <w:sz w:val="21"/>
                <w:szCs w:val="21"/>
              </w:rPr>
              <w:t>al</w:t>
            </w:r>
            <w:r w:rsidRPr="00401C70">
              <w:rPr>
                <w:rFonts w:ascii="Abadi" w:hAnsi="Abadi" w:cs="Calibri"/>
                <w:spacing w:val="1"/>
                <w:sz w:val="21"/>
                <w:szCs w:val="21"/>
              </w:rPr>
              <w:t xml:space="preserve"> </w:t>
            </w:r>
            <w:r w:rsidRPr="00401C70">
              <w:rPr>
                <w:rFonts w:ascii="Abadi" w:hAnsi="Abadi" w:cs="Calibri"/>
                <w:sz w:val="21"/>
                <w:szCs w:val="21"/>
              </w:rPr>
              <w:t>Gobernador</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 xml:space="preserve">Estado o a una dependencia o entidad, o a </w:t>
            </w:r>
            <w:r w:rsidRPr="00401C70">
              <w:rPr>
                <w:rFonts w:ascii="Abadi" w:hAnsi="Abadi" w:cs="Calibri"/>
                <w:b/>
                <w:bCs/>
                <w:i/>
                <w:iCs/>
                <w:sz w:val="21"/>
                <w:szCs w:val="21"/>
              </w:rPr>
              <w:t>una</w:t>
            </w:r>
            <w:r w:rsidRPr="00401C70">
              <w:rPr>
                <w:rFonts w:ascii="Abadi" w:hAnsi="Abadi" w:cs="Calibri"/>
                <w:b/>
                <w:bCs/>
                <w:i/>
                <w:iCs/>
                <w:spacing w:val="-47"/>
                <w:sz w:val="21"/>
                <w:szCs w:val="21"/>
              </w:rPr>
              <w:t xml:space="preserve"> </w:t>
            </w:r>
            <w:r w:rsidRPr="00401C70">
              <w:rPr>
                <w:rFonts w:ascii="Abadi" w:hAnsi="Abadi" w:cs="Calibri"/>
                <w:b/>
                <w:bCs/>
                <w:i/>
                <w:iCs/>
                <w:sz w:val="21"/>
                <w:szCs w:val="21"/>
              </w:rPr>
              <w:t xml:space="preserve">ciudadana o </w:t>
            </w:r>
            <w:r w:rsidRPr="00401C70">
              <w:rPr>
                <w:rFonts w:ascii="Abadi" w:hAnsi="Abadi" w:cs="Calibri"/>
                <w:sz w:val="21"/>
                <w:szCs w:val="21"/>
              </w:rPr>
              <w:t>ciudadano que no forme parte de</w:t>
            </w:r>
            <w:r w:rsidRPr="00401C70">
              <w:rPr>
                <w:rFonts w:ascii="Abadi" w:hAnsi="Abadi" w:cs="Calibri"/>
                <w:spacing w:val="-47"/>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Administración</w:t>
            </w:r>
            <w:r w:rsidRPr="00401C70">
              <w:rPr>
                <w:rFonts w:ascii="Abadi" w:hAnsi="Abadi" w:cs="Calibri"/>
                <w:spacing w:val="-3"/>
                <w:sz w:val="21"/>
                <w:szCs w:val="21"/>
              </w:rPr>
              <w:t xml:space="preserve"> </w:t>
            </w:r>
            <w:r w:rsidRPr="00401C70">
              <w:rPr>
                <w:rFonts w:ascii="Abadi" w:hAnsi="Abadi" w:cs="Calibri"/>
                <w:sz w:val="21"/>
                <w:szCs w:val="21"/>
              </w:rPr>
              <w:t>Pública del Estado.</w:t>
            </w:r>
          </w:p>
        </w:tc>
      </w:tr>
      <w:tr w:rsidR="00677B7E" w:rsidRPr="00401C70" w14:paraId="51BED374" w14:textId="77777777" w:rsidTr="003343AD">
        <w:trPr>
          <w:trHeight w:val="1456"/>
        </w:trPr>
        <w:tc>
          <w:tcPr>
            <w:tcW w:w="2500" w:type="pct"/>
            <w:tcBorders>
              <w:top w:val="none" w:sz="6" w:space="0" w:color="auto"/>
              <w:left w:val="single" w:sz="4" w:space="0" w:color="000000"/>
              <w:bottom w:val="single" w:sz="4" w:space="0" w:color="000000"/>
              <w:right w:val="single" w:sz="4" w:space="0" w:color="000000"/>
            </w:tcBorders>
          </w:tcPr>
          <w:p w14:paraId="3B07D8B1" w14:textId="77777777" w:rsidR="00677B7E" w:rsidRPr="00401C70" w:rsidRDefault="00677B7E" w:rsidP="00FA2590">
            <w:pPr>
              <w:kinsoku w:val="0"/>
              <w:overflowPunct w:val="0"/>
              <w:autoSpaceDE w:val="0"/>
              <w:autoSpaceDN w:val="0"/>
              <w:adjustRightInd w:val="0"/>
              <w:spacing w:before="114"/>
              <w:ind w:left="107" w:right="92"/>
              <w:jc w:val="both"/>
              <w:rPr>
                <w:rFonts w:ascii="Abadi" w:hAnsi="Abadi" w:cs="Calibri"/>
                <w:sz w:val="21"/>
                <w:szCs w:val="21"/>
              </w:rPr>
            </w:pPr>
            <w:r w:rsidRPr="00401C70">
              <w:rPr>
                <w:rFonts w:ascii="Abadi" w:hAnsi="Abadi" w:cs="Calibri"/>
                <w:sz w:val="21"/>
                <w:szCs w:val="21"/>
              </w:rPr>
              <w:lastRenderedPageBreak/>
              <w:t>A</w:t>
            </w:r>
            <w:r w:rsidRPr="00401C70">
              <w:rPr>
                <w:rFonts w:ascii="Abadi" w:hAnsi="Abadi" w:cs="Calibri"/>
                <w:spacing w:val="1"/>
                <w:sz w:val="21"/>
                <w:szCs w:val="21"/>
              </w:rPr>
              <w:t xml:space="preserve"> </w:t>
            </w:r>
            <w:r w:rsidRPr="00401C70">
              <w:rPr>
                <w:rFonts w:ascii="Abadi" w:hAnsi="Abadi" w:cs="Calibri"/>
                <w:sz w:val="21"/>
                <w:szCs w:val="21"/>
              </w:rPr>
              <w:t>falta</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disposición</w:t>
            </w:r>
            <w:r w:rsidRPr="00401C70">
              <w:rPr>
                <w:rFonts w:ascii="Abadi" w:hAnsi="Abadi" w:cs="Calibri"/>
                <w:spacing w:val="1"/>
                <w:sz w:val="21"/>
                <w:szCs w:val="21"/>
              </w:rPr>
              <w:t xml:space="preserve"> </w:t>
            </w:r>
            <w:r w:rsidRPr="00401C70">
              <w:rPr>
                <w:rFonts w:ascii="Abadi" w:hAnsi="Abadi" w:cs="Calibri"/>
                <w:sz w:val="21"/>
                <w:szCs w:val="21"/>
              </w:rPr>
              <w:t>expresa</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a</w:t>
            </w:r>
            <w:r w:rsidRPr="00401C70">
              <w:rPr>
                <w:rFonts w:ascii="Abadi" w:hAnsi="Abadi" w:cs="Calibri"/>
                <w:spacing w:val="1"/>
                <w:sz w:val="21"/>
                <w:szCs w:val="21"/>
              </w:rPr>
              <w:t xml:space="preserve"> </w:t>
            </w:r>
            <w:r w:rsidRPr="00401C70">
              <w:rPr>
                <w:rFonts w:ascii="Abadi" w:hAnsi="Abadi" w:cs="Calibri"/>
                <w:sz w:val="21"/>
                <w:szCs w:val="21"/>
              </w:rPr>
              <w:t>quién</w:t>
            </w:r>
            <w:r w:rsidRPr="00401C70">
              <w:rPr>
                <w:rFonts w:ascii="Abadi" w:hAnsi="Abadi" w:cs="Calibri"/>
                <w:spacing w:val="1"/>
                <w:sz w:val="21"/>
                <w:szCs w:val="21"/>
              </w:rPr>
              <w:t xml:space="preserve"> </w:t>
            </w:r>
            <w:r w:rsidRPr="00401C70">
              <w:rPr>
                <w:rFonts w:ascii="Abadi" w:hAnsi="Abadi" w:cs="Calibri"/>
                <w:sz w:val="21"/>
                <w:szCs w:val="21"/>
              </w:rPr>
              <w:t>corresponde la remoción del Director General</w:t>
            </w:r>
            <w:r w:rsidRPr="00401C70">
              <w:rPr>
                <w:rFonts w:ascii="Abadi" w:hAnsi="Abadi" w:cs="Calibri"/>
                <w:spacing w:val="1"/>
                <w:sz w:val="21"/>
                <w:szCs w:val="21"/>
              </w:rPr>
              <w:t xml:space="preserve"> </w:t>
            </w:r>
            <w:r w:rsidRPr="00401C70">
              <w:rPr>
                <w:rFonts w:ascii="Abadi" w:hAnsi="Abadi" w:cs="Calibri"/>
                <w:sz w:val="21"/>
                <w:szCs w:val="21"/>
              </w:rPr>
              <w:t>o</w:t>
            </w:r>
            <w:r w:rsidRPr="00401C70">
              <w:rPr>
                <w:rFonts w:ascii="Abadi" w:hAnsi="Abadi" w:cs="Calibri"/>
                <w:spacing w:val="1"/>
                <w:sz w:val="21"/>
                <w:szCs w:val="21"/>
              </w:rPr>
              <w:t xml:space="preserve"> </w:t>
            </w:r>
            <w:r w:rsidRPr="00401C70">
              <w:rPr>
                <w:rFonts w:ascii="Abadi" w:hAnsi="Abadi" w:cs="Calibri"/>
                <w:sz w:val="21"/>
                <w:szCs w:val="21"/>
              </w:rPr>
              <w:t>su</w:t>
            </w:r>
            <w:r w:rsidRPr="00401C70">
              <w:rPr>
                <w:rFonts w:ascii="Abadi" w:hAnsi="Abadi" w:cs="Calibri"/>
                <w:spacing w:val="1"/>
                <w:sz w:val="21"/>
                <w:szCs w:val="21"/>
              </w:rPr>
              <w:t xml:space="preserve"> </w:t>
            </w:r>
            <w:r w:rsidRPr="00401C70">
              <w:rPr>
                <w:rFonts w:ascii="Abadi" w:hAnsi="Abadi" w:cs="Calibri"/>
                <w:sz w:val="21"/>
                <w:szCs w:val="21"/>
              </w:rPr>
              <w:t>equivalente</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entidad</w:t>
            </w:r>
            <w:r w:rsidRPr="00401C70">
              <w:rPr>
                <w:rFonts w:ascii="Abadi" w:hAnsi="Abadi" w:cs="Calibri"/>
                <w:spacing w:val="1"/>
                <w:sz w:val="21"/>
                <w:szCs w:val="21"/>
              </w:rPr>
              <w:t xml:space="preserve"> </w:t>
            </w:r>
            <w:r w:rsidRPr="00401C70">
              <w:rPr>
                <w:rFonts w:ascii="Abadi" w:hAnsi="Abadi" w:cs="Calibri"/>
                <w:sz w:val="21"/>
                <w:szCs w:val="21"/>
              </w:rPr>
              <w:t>estatal,</w:t>
            </w:r>
            <w:r w:rsidRPr="00401C70">
              <w:rPr>
                <w:rFonts w:ascii="Abadi" w:hAnsi="Abadi" w:cs="Calibri"/>
                <w:spacing w:val="1"/>
                <w:sz w:val="21"/>
                <w:szCs w:val="21"/>
              </w:rPr>
              <w:t xml:space="preserve"> </w:t>
            </w:r>
            <w:r w:rsidRPr="00401C70">
              <w:rPr>
                <w:rFonts w:ascii="Abadi" w:hAnsi="Abadi" w:cs="Calibri"/>
                <w:sz w:val="21"/>
                <w:szCs w:val="21"/>
              </w:rPr>
              <w:t>ésta</w:t>
            </w:r>
            <w:r w:rsidRPr="00401C70">
              <w:rPr>
                <w:rFonts w:ascii="Abadi" w:hAnsi="Abadi" w:cs="Calibri"/>
                <w:spacing w:val="-47"/>
                <w:sz w:val="21"/>
                <w:szCs w:val="21"/>
              </w:rPr>
              <w:t xml:space="preserve"> </w:t>
            </w:r>
            <w:r w:rsidRPr="00401C70">
              <w:rPr>
                <w:rFonts w:ascii="Abadi" w:hAnsi="Abadi" w:cs="Calibri"/>
                <w:sz w:val="21"/>
                <w:szCs w:val="21"/>
              </w:rPr>
              <w:t>facultad</w:t>
            </w:r>
            <w:r w:rsidRPr="00401C70">
              <w:rPr>
                <w:rFonts w:ascii="Abadi" w:hAnsi="Abadi" w:cs="Calibri"/>
                <w:spacing w:val="10"/>
                <w:sz w:val="21"/>
                <w:szCs w:val="21"/>
              </w:rPr>
              <w:t xml:space="preserve"> </w:t>
            </w:r>
            <w:r w:rsidRPr="00401C70">
              <w:rPr>
                <w:rFonts w:ascii="Abadi" w:hAnsi="Abadi" w:cs="Calibri"/>
                <w:sz w:val="21"/>
                <w:szCs w:val="21"/>
              </w:rPr>
              <w:t>corresponderá</w:t>
            </w:r>
            <w:r w:rsidRPr="00401C70">
              <w:rPr>
                <w:rFonts w:ascii="Abadi" w:hAnsi="Abadi" w:cs="Calibri"/>
                <w:spacing w:val="9"/>
                <w:sz w:val="21"/>
                <w:szCs w:val="21"/>
              </w:rPr>
              <w:t xml:space="preserve"> </w:t>
            </w:r>
            <w:r w:rsidRPr="00401C70">
              <w:rPr>
                <w:rFonts w:ascii="Abadi" w:hAnsi="Abadi" w:cs="Calibri"/>
                <w:sz w:val="21"/>
                <w:szCs w:val="21"/>
              </w:rPr>
              <w:t>al</w:t>
            </w:r>
            <w:r w:rsidRPr="00401C70">
              <w:rPr>
                <w:rFonts w:ascii="Abadi" w:hAnsi="Abadi" w:cs="Calibri"/>
                <w:spacing w:val="10"/>
                <w:sz w:val="21"/>
                <w:szCs w:val="21"/>
              </w:rPr>
              <w:t xml:space="preserve"> </w:t>
            </w:r>
            <w:r w:rsidRPr="00401C70">
              <w:rPr>
                <w:rFonts w:ascii="Abadi" w:hAnsi="Abadi" w:cs="Calibri"/>
                <w:sz w:val="21"/>
                <w:szCs w:val="21"/>
              </w:rPr>
              <w:t>Gobernador</w:t>
            </w:r>
            <w:r w:rsidRPr="00401C70">
              <w:rPr>
                <w:rFonts w:ascii="Abadi" w:hAnsi="Abadi" w:cs="Calibri"/>
                <w:spacing w:val="11"/>
                <w:sz w:val="21"/>
                <w:szCs w:val="21"/>
              </w:rPr>
              <w:t xml:space="preserve"> </w:t>
            </w:r>
            <w:r w:rsidRPr="00401C70">
              <w:rPr>
                <w:rFonts w:ascii="Abadi" w:hAnsi="Abadi" w:cs="Calibri"/>
                <w:sz w:val="21"/>
                <w:szCs w:val="21"/>
              </w:rPr>
              <w:t>del</w:t>
            </w:r>
          </w:p>
          <w:p w14:paraId="3710CC01" w14:textId="77777777" w:rsidR="00677B7E" w:rsidRPr="00401C70" w:rsidRDefault="00677B7E" w:rsidP="00FA2590">
            <w:pPr>
              <w:kinsoku w:val="0"/>
              <w:overflowPunct w:val="0"/>
              <w:autoSpaceDE w:val="0"/>
              <w:autoSpaceDN w:val="0"/>
              <w:adjustRightInd w:val="0"/>
              <w:spacing w:line="248" w:lineRule="exact"/>
              <w:ind w:left="107"/>
              <w:jc w:val="both"/>
              <w:rPr>
                <w:rFonts w:ascii="Abadi" w:hAnsi="Abadi" w:cs="Calibri"/>
                <w:sz w:val="21"/>
                <w:szCs w:val="21"/>
              </w:rPr>
            </w:pPr>
            <w:r w:rsidRPr="00401C70">
              <w:rPr>
                <w:rFonts w:ascii="Abadi" w:hAnsi="Abadi" w:cs="Calibri"/>
                <w:sz w:val="21"/>
                <w:szCs w:val="21"/>
              </w:rPr>
              <w:t>Estado.</w:t>
            </w:r>
          </w:p>
        </w:tc>
        <w:tc>
          <w:tcPr>
            <w:tcW w:w="2500" w:type="pct"/>
            <w:tcBorders>
              <w:top w:val="none" w:sz="6" w:space="0" w:color="auto"/>
              <w:left w:val="single" w:sz="4" w:space="0" w:color="000000"/>
              <w:bottom w:val="single" w:sz="4" w:space="0" w:color="000000"/>
              <w:right w:val="single" w:sz="4" w:space="0" w:color="000000"/>
            </w:tcBorders>
          </w:tcPr>
          <w:p w14:paraId="1A6F03B4" w14:textId="77777777" w:rsidR="00677B7E" w:rsidRPr="00401C70" w:rsidRDefault="00677B7E" w:rsidP="00FA2590">
            <w:pPr>
              <w:kinsoku w:val="0"/>
              <w:overflowPunct w:val="0"/>
              <w:autoSpaceDE w:val="0"/>
              <w:autoSpaceDN w:val="0"/>
              <w:adjustRightInd w:val="0"/>
              <w:spacing w:before="114"/>
              <w:ind w:left="107" w:right="92"/>
              <w:jc w:val="both"/>
              <w:rPr>
                <w:rFonts w:ascii="Abadi" w:hAnsi="Abadi" w:cs="Calibri"/>
                <w:sz w:val="21"/>
                <w:szCs w:val="21"/>
              </w:rPr>
            </w:pPr>
            <w:r w:rsidRPr="00401C70">
              <w:rPr>
                <w:rFonts w:ascii="Abadi" w:hAnsi="Abadi" w:cs="Calibri"/>
                <w:sz w:val="21"/>
                <w:szCs w:val="21"/>
              </w:rPr>
              <w:t>A</w:t>
            </w:r>
            <w:r w:rsidRPr="00401C70">
              <w:rPr>
                <w:rFonts w:ascii="Abadi" w:hAnsi="Abadi" w:cs="Calibri"/>
                <w:spacing w:val="1"/>
                <w:sz w:val="21"/>
                <w:szCs w:val="21"/>
              </w:rPr>
              <w:t xml:space="preserve"> </w:t>
            </w:r>
            <w:r w:rsidRPr="00401C70">
              <w:rPr>
                <w:rFonts w:ascii="Abadi" w:hAnsi="Abadi" w:cs="Calibri"/>
                <w:sz w:val="21"/>
                <w:szCs w:val="21"/>
              </w:rPr>
              <w:t>falta</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disposición</w:t>
            </w:r>
            <w:r w:rsidRPr="00401C70">
              <w:rPr>
                <w:rFonts w:ascii="Abadi" w:hAnsi="Abadi" w:cs="Calibri"/>
                <w:spacing w:val="1"/>
                <w:sz w:val="21"/>
                <w:szCs w:val="21"/>
              </w:rPr>
              <w:t xml:space="preserve"> </w:t>
            </w:r>
            <w:r w:rsidRPr="00401C70">
              <w:rPr>
                <w:rFonts w:ascii="Abadi" w:hAnsi="Abadi" w:cs="Calibri"/>
                <w:sz w:val="21"/>
                <w:szCs w:val="21"/>
              </w:rPr>
              <w:t>expresa</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a</w:t>
            </w:r>
            <w:r w:rsidRPr="00401C70">
              <w:rPr>
                <w:rFonts w:ascii="Abadi" w:hAnsi="Abadi" w:cs="Calibri"/>
                <w:spacing w:val="1"/>
                <w:sz w:val="21"/>
                <w:szCs w:val="21"/>
              </w:rPr>
              <w:t xml:space="preserve"> </w:t>
            </w:r>
            <w:r w:rsidRPr="00401C70">
              <w:rPr>
                <w:rFonts w:ascii="Abadi" w:hAnsi="Abadi" w:cs="Calibri"/>
                <w:sz w:val="21"/>
                <w:szCs w:val="21"/>
              </w:rPr>
              <w:t>quién</w:t>
            </w:r>
            <w:r w:rsidRPr="00401C70">
              <w:rPr>
                <w:rFonts w:ascii="Abadi" w:hAnsi="Abadi" w:cs="Calibri"/>
                <w:spacing w:val="1"/>
                <w:sz w:val="21"/>
                <w:szCs w:val="21"/>
              </w:rPr>
              <w:t xml:space="preserve"> </w:t>
            </w:r>
            <w:r w:rsidRPr="00401C70">
              <w:rPr>
                <w:rFonts w:ascii="Abadi" w:hAnsi="Abadi" w:cs="Calibri"/>
                <w:sz w:val="21"/>
                <w:szCs w:val="21"/>
              </w:rPr>
              <w:t xml:space="preserve">corresponde la remoción </w:t>
            </w:r>
            <w:r w:rsidRPr="00401C70">
              <w:rPr>
                <w:rFonts w:ascii="Abadi" w:hAnsi="Abadi" w:cs="Calibri"/>
                <w:b/>
                <w:bCs/>
                <w:i/>
                <w:iCs/>
                <w:sz w:val="21"/>
                <w:szCs w:val="21"/>
              </w:rPr>
              <w:t>de la persona titular</w:t>
            </w:r>
            <w:r w:rsidRPr="00401C70">
              <w:rPr>
                <w:rFonts w:ascii="Abadi" w:hAnsi="Abadi" w:cs="Calibri"/>
                <w:b/>
                <w:bCs/>
                <w:i/>
                <w:iCs/>
                <w:spacing w:val="1"/>
                <w:sz w:val="21"/>
                <w:szCs w:val="21"/>
              </w:rPr>
              <w:t xml:space="preserve"> </w:t>
            </w:r>
            <w:r w:rsidRPr="00401C70">
              <w:rPr>
                <w:rFonts w:ascii="Abadi" w:hAnsi="Abadi" w:cs="Calibri"/>
                <w:b/>
                <w:bCs/>
                <w:i/>
                <w:iCs/>
                <w:sz w:val="21"/>
                <w:szCs w:val="21"/>
              </w:rPr>
              <w:t xml:space="preserve">de la Dirección General </w:t>
            </w:r>
            <w:r w:rsidRPr="00401C70">
              <w:rPr>
                <w:rFonts w:ascii="Abadi" w:hAnsi="Abadi" w:cs="Calibri"/>
                <w:sz w:val="21"/>
                <w:szCs w:val="21"/>
              </w:rPr>
              <w:t>o su equivalente de la</w:t>
            </w:r>
            <w:r w:rsidRPr="00401C70">
              <w:rPr>
                <w:rFonts w:ascii="Abadi" w:hAnsi="Abadi" w:cs="Calibri"/>
                <w:spacing w:val="1"/>
                <w:sz w:val="21"/>
                <w:szCs w:val="21"/>
              </w:rPr>
              <w:t xml:space="preserve"> </w:t>
            </w:r>
            <w:r w:rsidRPr="00401C70">
              <w:rPr>
                <w:rFonts w:ascii="Abadi" w:hAnsi="Abadi" w:cs="Calibri"/>
                <w:sz w:val="21"/>
                <w:szCs w:val="21"/>
              </w:rPr>
              <w:t>entidad</w:t>
            </w:r>
            <w:r w:rsidRPr="00401C70">
              <w:rPr>
                <w:rFonts w:ascii="Abadi" w:hAnsi="Abadi" w:cs="Calibri"/>
                <w:spacing w:val="5"/>
                <w:sz w:val="21"/>
                <w:szCs w:val="21"/>
              </w:rPr>
              <w:t xml:space="preserve"> </w:t>
            </w:r>
            <w:r w:rsidRPr="00401C70">
              <w:rPr>
                <w:rFonts w:ascii="Abadi" w:hAnsi="Abadi" w:cs="Calibri"/>
                <w:sz w:val="21"/>
                <w:szCs w:val="21"/>
              </w:rPr>
              <w:t>estatal,</w:t>
            </w:r>
            <w:r w:rsidRPr="00401C70">
              <w:rPr>
                <w:rFonts w:ascii="Abadi" w:hAnsi="Abadi" w:cs="Calibri"/>
                <w:spacing w:val="5"/>
                <w:sz w:val="21"/>
                <w:szCs w:val="21"/>
              </w:rPr>
              <w:t xml:space="preserve"> </w:t>
            </w:r>
            <w:r w:rsidRPr="00401C70">
              <w:rPr>
                <w:rFonts w:ascii="Abadi" w:hAnsi="Abadi" w:cs="Calibri"/>
                <w:sz w:val="21"/>
                <w:szCs w:val="21"/>
              </w:rPr>
              <w:t>ésta</w:t>
            </w:r>
            <w:r w:rsidRPr="00401C70">
              <w:rPr>
                <w:rFonts w:ascii="Abadi" w:hAnsi="Abadi" w:cs="Calibri"/>
                <w:spacing w:val="5"/>
                <w:sz w:val="21"/>
                <w:szCs w:val="21"/>
              </w:rPr>
              <w:t xml:space="preserve"> </w:t>
            </w:r>
            <w:r w:rsidRPr="00401C70">
              <w:rPr>
                <w:rFonts w:ascii="Abadi" w:hAnsi="Abadi" w:cs="Calibri"/>
                <w:sz w:val="21"/>
                <w:szCs w:val="21"/>
              </w:rPr>
              <w:t>facultad</w:t>
            </w:r>
            <w:r w:rsidRPr="00401C70">
              <w:rPr>
                <w:rFonts w:ascii="Abadi" w:hAnsi="Abadi" w:cs="Calibri"/>
                <w:spacing w:val="6"/>
                <w:sz w:val="21"/>
                <w:szCs w:val="21"/>
              </w:rPr>
              <w:t xml:space="preserve"> </w:t>
            </w:r>
            <w:r w:rsidRPr="00401C70">
              <w:rPr>
                <w:rFonts w:ascii="Abadi" w:hAnsi="Abadi" w:cs="Calibri"/>
                <w:sz w:val="21"/>
                <w:szCs w:val="21"/>
              </w:rPr>
              <w:t>corresponderá</w:t>
            </w:r>
            <w:r w:rsidRPr="00401C70">
              <w:rPr>
                <w:rFonts w:ascii="Abadi" w:hAnsi="Abadi" w:cs="Calibri"/>
                <w:spacing w:val="5"/>
                <w:sz w:val="21"/>
                <w:szCs w:val="21"/>
              </w:rPr>
              <w:t xml:space="preserve"> </w:t>
            </w:r>
            <w:r w:rsidRPr="00401C70">
              <w:rPr>
                <w:rFonts w:ascii="Abadi" w:hAnsi="Abadi" w:cs="Calibri"/>
                <w:sz w:val="21"/>
                <w:szCs w:val="21"/>
              </w:rPr>
              <w:t>al</w:t>
            </w:r>
          </w:p>
          <w:p w14:paraId="2FEDD2DA" w14:textId="77777777" w:rsidR="00677B7E" w:rsidRPr="00401C70" w:rsidRDefault="00677B7E" w:rsidP="00FA2590">
            <w:pPr>
              <w:kinsoku w:val="0"/>
              <w:overflowPunct w:val="0"/>
              <w:autoSpaceDE w:val="0"/>
              <w:autoSpaceDN w:val="0"/>
              <w:adjustRightInd w:val="0"/>
              <w:spacing w:line="248" w:lineRule="exact"/>
              <w:ind w:left="107"/>
              <w:jc w:val="both"/>
              <w:rPr>
                <w:rFonts w:ascii="Abadi" w:hAnsi="Abadi" w:cs="Calibri"/>
                <w:sz w:val="21"/>
                <w:szCs w:val="21"/>
              </w:rPr>
            </w:pPr>
            <w:r w:rsidRPr="00401C70">
              <w:rPr>
                <w:rFonts w:ascii="Abadi" w:hAnsi="Abadi" w:cs="Calibri"/>
                <w:sz w:val="21"/>
                <w:szCs w:val="21"/>
              </w:rPr>
              <w:t>Gobernador</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3"/>
                <w:sz w:val="21"/>
                <w:szCs w:val="21"/>
              </w:rPr>
              <w:t xml:space="preserve"> </w:t>
            </w:r>
            <w:r w:rsidRPr="00401C70">
              <w:rPr>
                <w:rFonts w:ascii="Abadi" w:hAnsi="Abadi" w:cs="Calibri"/>
                <w:sz w:val="21"/>
                <w:szCs w:val="21"/>
              </w:rPr>
              <w:t>Estado.</w:t>
            </w:r>
          </w:p>
        </w:tc>
      </w:tr>
      <w:tr w:rsidR="00677B7E" w:rsidRPr="00401C70" w14:paraId="5BBE87B0" w14:textId="77777777" w:rsidTr="003343AD">
        <w:trPr>
          <w:trHeight w:val="539"/>
        </w:trPr>
        <w:tc>
          <w:tcPr>
            <w:tcW w:w="2500" w:type="pct"/>
            <w:tcBorders>
              <w:top w:val="single" w:sz="4" w:space="0" w:color="000000"/>
              <w:left w:val="single" w:sz="4" w:space="0" w:color="000000"/>
              <w:bottom w:val="single" w:sz="4" w:space="0" w:color="000000"/>
              <w:right w:val="single" w:sz="4" w:space="0" w:color="000000"/>
            </w:tcBorders>
          </w:tcPr>
          <w:p w14:paraId="20C2F650" w14:textId="77777777" w:rsidR="00677B7E" w:rsidRPr="00401C70" w:rsidRDefault="00677B7E" w:rsidP="00FA2590">
            <w:pPr>
              <w:kinsoku w:val="0"/>
              <w:overflowPunct w:val="0"/>
              <w:autoSpaceDE w:val="0"/>
              <w:autoSpaceDN w:val="0"/>
              <w:adjustRightInd w:val="0"/>
              <w:spacing w:line="268" w:lineRule="exact"/>
              <w:ind w:left="107"/>
              <w:jc w:val="both"/>
              <w:rPr>
                <w:rFonts w:ascii="Abadi" w:hAnsi="Abadi" w:cs="Calibri"/>
                <w:sz w:val="21"/>
                <w:szCs w:val="21"/>
              </w:rPr>
            </w:pPr>
            <w:r w:rsidRPr="00401C70">
              <w:rPr>
                <w:rFonts w:ascii="Abadi" w:hAnsi="Abadi" w:cs="Calibri"/>
                <w:b/>
                <w:bCs/>
                <w:sz w:val="21"/>
                <w:szCs w:val="21"/>
              </w:rPr>
              <w:t>Artículo</w:t>
            </w:r>
            <w:r w:rsidRPr="00401C70">
              <w:rPr>
                <w:rFonts w:ascii="Abadi" w:hAnsi="Abadi" w:cs="Calibri"/>
                <w:b/>
                <w:bCs/>
                <w:spacing w:val="22"/>
                <w:sz w:val="21"/>
                <w:szCs w:val="21"/>
              </w:rPr>
              <w:t xml:space="preserve"> </w:t>
            </w:r>
            <w:r w:rsidRPr="00401C70">
              <w:rPr>
                <w:rFonts w:ascii="Abadi" w:hAnsi="Abadi" w:cs="Calibri"/>
                <w:b/>
                <w:bCs/>
                <w:sz w:val="21"/>
                <w:szCs w:val="21"/>
              </w:rPr>
              <w:t>47.-</w:t>
            </w:r>
            <w:r w:rsidRPr="00401C70">
              <w:rPr>
                <w:rFonts w:ascii="Abadi" w:hAnsi="Abadi" w:cs="Calibri"/>
                <w:b/>
                <w:bCs/>
                <w:spacing w:val="23"/>
                <w:sz w:val="21"/>
                <w:szCs w:val="21"/>
              </w:rPr>
              <w:t xml:space="preserve"> </w:t>
            </w:r>
            <w:r w:rsidRPr="00401C70">
              <w:rPr>
                <w:rFonts w:ascii="Abadi" w:hAnsi="Abadi" w:cs="Calibri"/>
                <w:sz w:val="21"/>
                <w:szCs w:val="21"/>
              </w:rPr>
              <w:t>La</w:t>
            </w:r>
            <w:r w:rsidRPr="00401C70">
              <w:rPr>
                <w:rFonts w:ascii="Abadi" w:hAnsi="Abadi" w:cs="Calibri"/>
                <w:spacing w:val="24"/>
                <w:sz w:val="21"/>
                <w:szCs w:val="21"/>
              </w:rPr>
              <w:t xml:space="preserve"> </w:t>
            </w:r>
            <w:r w:rsidRPr="00401C70">
              <w:rPr>
                <w:rFonts w:ascii="Abadi" w:hAnsi="Abadi" w:cs="Calibri"/>
                <w:sz w:val="21"/>
                <w:szCs w:val="21"/>
              </w:rPr>
              <w:t>dirección</w:t>
            </w:r>
            <w:r w:rsidRPr="00401C70">
              <w:rPr>
                <w:rFonts w:ascii="Abadi" w:hAnsi="Abadi" w:cs="Calibri"/>
                <w:spacing w:val="22"/>
                <w:sz w:val="21"/>
                <w:szCs w:val="21"/>
              </w:rPr>
              <w:t xml:space="preserve"> </w:t>
            </w:r>
            <w:r w:rsidRPr="00401C70">
              <w:rPr>
                <w:rFonts w:ascii="Abadi" w:hAnsi="Abadi" w:cs="Calibri"/>
                <w:sz w:val="21"/>
                <w:szCs w:val="21"/>
              </w:rPr>
              <w:t>y</w:t>
            </w:r>
            <w:r w:rsidRPr="00401C70">
              <w:rPr>
                <w:rFonts w:ascii="Abadi" w:hAnsi="Abadi" w:cs="Calibri"/>
                <w:spacing w:val="26"/>
                <w:sz w:val="21"/>
                <w:szCs w:val="21"/>
              </w:rPr>
              <w:t xml:space="preserve"> </w:t>
            </w:r>
            <w:r w:rsidRPr="00401C70">
              <w:rPr>
                <w:rFonts w:ascii="Abadi" w:hAnsi="Abadi" w:cs="Calibri"/>
                <w:sz w:val="21"/>
                <w:szCs w:val="21"/>
              </w:rPr>
              <w:t>administración</w:t>
            </w:r>
            <w:r w:rsidRPr="00401C70">
              <w:rPr>
                <w:rFonts w:ascii="Abadi" w:hAnsi="Abadi" w:cs="Calibri"/>
                <w:spacing w:val="25"/>
                <w:sz w:val="21"/>
                <w:szCs w:val="21"/>
              </w:rPr>
              <w:t xml:space="preserve"> </w:t>
            </w:r>
            <w:r w:rsidRPr="00401C70">
              <w:rPr>
                <w:rFonts w:ascii="Abadi" w:hAnsi="Abadi" w:cs="Calibri"/>
                <w:sz w:val="21"/>
                <w:szCs w:val="21"/>
              </w:rPr>
              <w:t>de</w:t>
            </w:r>
          </w:p>
          <w:p w14:paraId="7270277D" w14:textId="77777777" w:rsidR="00677B7E" w:rsidRPr="00401C70" w:rsidRDefault="00677B7E" w:rsidP="00FA2590">
            <w:pPr>
              <w:kinsoku w:val="0"/>
              <w:overflowPunct w:val="0"/>
              <w:autoSpaceDE w:val="0"/>
              <w:autoSpaceDN w:val="0"/>
              <w:adjustRightInd w:val="0"/>
              <w:spacing w:line="252" w:lineRule="exact"/>
              <w:ind w:left="107"/>
              <w:jc w:val="both"/>
              <w:rPr>
                <w:rFonts w:ascii="Abadi" w:hAnsi="Abadi" w:cs="Calibri"/>
                <w:sz w:val="21"/>
                <w:szCs w:val="21"/>
              </w:rPr>
            </w:pPr>
            <w:r w:rsidRPr="00401C70">
              <w:rPr>
                <w:rFonts w:ascii="Abadi" w:hAnsi="Abadi" w:cs="Calibri"/>
                <w:sz w:val="21"/>
                <w:szCs w:val="21"/>
              </w:rPr>
              <w:t>los</w:t>
            </w:r>
            <w:r w:rsidRPr="00401C70">
              <w:rPr>
                <w:rFonts w:ascii="Abadi" w:hAnsi="Abadi" w:cs="Calibri"/>
                <w:spacing w:val="-10"/>
                <w:sz w:val="21"/>
                <w:szCs w:val="21"/>
              </w:rPr>
              <w:t xml:space="preserve"> </w:t>
            </w:r>
            <w:r w:rsidRPr="00401C70">
              <w:rPr>
                <w:rFonts w:ascii="Abadi" w:hAnsi="Abadi" w:cs="Calibri"/>
                <w:sz w:val="21"/>
                <w:szCs w:val="21"/>
              </w:rPr>
              <w:t>organismos</w:t>
            </w:r>
            <w:r w:rsidRPr="00401C70">
              <w:rPr>
                <w:rFonts w:ascii="Abadi" w:hAnsi="Abadi" w:cs="Calibri"/>
                <w:spacing w:val="-9"/>
                <w:sz w:val="21"/>
                <w:szCs w:val="21"/>
              </w:rPr>
              <w:t xml:space="preserve"> </w:t>
            </w:r>
            <w:r w:rsidRPr="00401C70">
              <w:rPr>
                <w:rFonts w:ascii="Abadi" w:hAnsi="Abadi" w:cs="Calibri"/>
                <w:sz w:val="21"/>
                <w:szCs w:val="21"/>
              </w:rPr>
              <w:t>descentralizados</w:t>
            </w:r>
            <w:r w:rsidRPr="00401C70">
              <w:rPr>
                <w:rFonts w:ascii="Abadi" w:hAnsi="Abadi" w:cs="Calibri"/>
                <w:spacing w:val="-9"/>
                <w:sz w:val="21"/>
                <w:szCs w:val="21"/>
              </w:rPr>
              <w:t xml:space="preserve"> </w:t>
            </w:r>
            <w:r w:rsidRPr="00401C70">
              <w:rPr>
                <w:rFonts w:ascii="Abadi" w:hAnsi="Abadi" w:cs="Calibri"/>
                <w:sz w:val="21"/>
                <w:szCs w:val="21"/>
              </w:rPr>
              <w:t>estará</w:t>
            </w:r>
            <w:r w:rsidRPr="00401C70">
              <w:rPr>
                <w:rFonts w:ascii="Abadi" w:hAnsi="Abadi" w:cs="Calibri"/>
                <w:spacing w:val="-10"/>
                <w:sz w:val="21"/>
                <w:szCs w:val="21"/>
              </w:rPr>
              <w:t xml:space="preserve"> </w:t>
            </w:r>
            <w:r w:rsidRPr="00401C70">
              <w:rPr>
                <w:rFonts w:ascii="Abadi" w:hAnsi="Abadi" w:cs="Calibri"/>
                <w:sz w:val="21"/>
                <w:szCs w:val="21"/>
              </w:rPr>
              <w:t>a</w:t>
            </w:r>
            <w:r w:rsidRPr="00401C70">
              <w:rPr>
                <w:rFonts w:ascii="Abadi" w:hAnsi="Abadi" w:cs="Calibri"/>
                <w:spacing w:val="-10"/>
                <w:sz w:val="21"/>
                <w:szCs w:val="21"/>
              </w:rPr>
              <w:t xml:space="preserve"> </w:t>
            </w:r>
            <w:r w:rsidRPr="00401C70">
              <w:rPr>
                <w:rFonts w:ascii="Abadi" w:hAnsi="Abadi" w:cs="Calibri"/>
                <w:sz w:val="21"/>
                <w:szCs w:val="21"/>
              </w:rPr>
              <w:t>cargo,</w:t>
            </w:r>
          </w:p>
        </w:tc>
        <w:tc>
          <w:tcPr>
            <w:tcW w:w="2500" w:type="pct"/>
            <w:tcBorders>
              <w:top w:val="single" w:sz="4" w:space="0" w:color="000000"/>
              <w:left w:val="single" w:sz="4" w:space="0" w:color="000000"/>
              <w:bottom w:val="single" w:sz="4" w:space="0" w:color="000000"/>
              <w:right w:val="single" w:sz="4" w:space="0" w:color="000000"/>
            </w:tcBorders>
          </w:tcPr>
          <w:p w14:paraId="53A7CABD" w14:textId="77777777" w:rsidR="00677B7E" w:rsidRPr="00401C70" w:rsidRDefault="00677B7E" w:rsidP="00FA2590">
            <w:pPr>
              <w:kinsoku w:val="0"/>
              <w:overflowPunct w:val="0"/>
              <w:autoSpaceDE w:val="0"/>
              <w:autoSpaceDN w:val="0"/>
              <w:adjustRightInd w:val="0"/>
              <w:spacing w:line="268" w:lineRule="exact"/>
              <w:ind w:left="107"/>
              <w:jc w:val="both"/>
              <w:rPr>
                <w:rFonts w:ascii="Abadi" w:hAnsi="Abadi" w:cs="Calibri"/>
                <w:sz w:val="21"/>
                <w:szCs w:val="21"/>
              </w:rPr>
            </w:pPr>
            <w:r w:rsidRPr="00401C70">
              <w:rPr>
                <w:rFonts w:ascii="Abadi" w:hAnsi="Abadi" w:cs="Calibri"/>
                <w:b/>
                <w:bCs/>
                <w:sz w:val="21"/>
                <w:szCs w:val="21"/>
              </w:rPr>
              <w:t>Artículo</w:t>
            </w:r>
            <w:r w:rsidRPr="00401C70">
              <w:rPr>
                <w:rFonts w:ascii="Abadi" w:hAnsi="Abadi" w:cs="Calibri"/>
                <w:b/>
                <w:bCs/>
                <w:spacing w:val="22"/>
                <w:sz w:val="21"/>
                <w:szCs w:val="21"/>
              </w:rPr>
              <w:t xml:space="preserve"> </w:t>
            </w:r>
            <w:r w:rsidRPr="00401C70">
              <w:rPr>
                <w:rFonts w:ascii="Abadi" w:hAnsi="Abadi" w:cs="Calibri"/>
                <w:b/>
                <w:bCs/>
                <w:sz w:val="21"/>
                <w:szCs w:val="21"/>
              </w:rPr>
              <w:t>47.-</w:t>
            </w:r>
            <w:r w:rsidRPr="00401C70">
              <w:rPr>
                <w:rFonts w:ascii="Abadi" w:hAnsi="Abadi" w:cs="Calibri"/>
                <w:b/>
                <w:bCs/>
                <w:spacing w:val="23"/>
                <w:sz w:val="21"/>
                <w:szCs w:val="21"/>
              </w:rPr>
              <w:t xml:space="preserve"> </w:t>
            </w:r>
            <w:r w:rsidRPr="00401C70">
              <w:rPr>
                <w:rFonts w:ascii="Abadi" w:hAnsi="Abadi" w:cs="Calibri"/>
                <w:sz w:val="21"/>
                <w:szCs w:val="21"/>
              </w:rPr>
              <w:t>La</w:t>
            </w:r>
            <w:r w:rsidRPr="00401C70">
              <w:rPr>
                <w:rFonts w:ascii="Abadi" w:hAnsi="Abadi" w:cs="Calibri"/>
                <w:spacing w:val="25"/>
                <w:sz w:val="21"/>
                <w:szCs w:val="21"/>
              </w:rPr>
              <w:t xml:space="preserve"> </w:t>
            </w:r>
            <w:r w:rsidRPr="00401C70">
              <w:rPr>
                <w:rFonts w:ascii="Abadi" w:hAnsi="Abadi" w:cs="Calibri"/>
                <w:sz w:val="21"/>
                <w:szCs w:val="21"/>
              </w:rPr>
              <w:t>dirección</w:t>
            </w:r>
            <w:r w:rsidRPr="00401C70">
              <w:rPr>
                <w:rFonts w:ascii="Abadi" w:hAnsi="Abadi" w:cs="Calibri"/>
                <w:spacing w:val="22"/>
                <w:sz w:val="21"/>
                <w:szCs w:val="21"/>
              </w:rPr>
              <w:t xml:space="preserve"> </w:t>
            </w:r>
            <w:r w:rsidRPr="00401C70">
              <w:rPr>
                <w:rFonts w:ascii="Abadi" w:hAnsi="Abadi" w:cs="Calibri"/>
                <w:sz w:val="21"/>
                <w:szCs w:val="21"/>
              </w:rPr>
              <w:t>y</w:t>
            </w:r>
            <w:r w:rsidRPr="00401C70">
              <w:rPr>
                <w:rFonts w:ascii="Abadi" w:hAnsi="Abadi" w:cs="Calibri"/>
                <w:spacing w:val="26"/>
                <w:sz w:val="21"/>
                <w:szCs w:val="21"/>
              </w:rPr>
              <w:t xml:space="preserve"> </w:t>
            </w:r>
            <w:r w:rsidRPr="00401C70">
              <w:rPr>
                <w:rFonts w:ascii="Abadi" w:hAnsi="Abadi" w:cs="Calibri"/>
                <w:sz w:val="21"/>
                <w:szCs w:val="21"/>
              </w:rPr>
              <w:t>administración</w:t>
            </w:r>
            <w:r w:rsidRPr="00401C70">
              <w:rPr>
                <w:rFonts w:ascii="Abadi" w:hAnsi="Abadi" w:cs="Calibri"/>
                <w:spacing w:val="25"/>
                <w:sz w:val="21"/>
                <w:szCs w:val="21"/>
              </w:rPr>
              <w:t xml:space="preserve"> </w:t>
            </w:r>
            <w:r w:rsidRPr="00401C70">
              <w:rPr>
                <w:rFonts w:ascii="Abadi" w:hAnsi="Abadi" w:cs="Calibri"/>
                <w:sz w:val="21"/>
                <w:szCs w:val="21"/>
              </w:rPr>
              <w:t>de</w:t>
            </w:r>
          </w:p>
          <w:p w14:paraId="671996E4" w14:textId="77777777" w:rsidR="00677B7E" w:rsidRPr="00401C70" w:rsidRDefault="00677B7E" w:rsidP="00FA2590">
            <w:pPr>
              <w:kinsoku w:val="0"/>
              <w:overflowPunct w:val="0"/>
              <w:autoSpaceDE w:val="0"/>
              <w:autoSpaceDN w:val="0"/>
              <w:adjustRightInd w:val="0"/>
              <w:spacing w:line="252" w:lineRule="exact"/>
              <w:ind w:left="107"/>
              <w:jc w:val="both"/>
              <w:rPr>
                <w:rFonts w:ascii="Abadi" w:hAnsi="Abadi" w:cs="Calibri"/>
                <w:sz w:val="21"/>
                <w:szCs w:val="21"/>
              </w:rPr>
            </w:pPr>
            <w:r w:rsidRPr="00401C70">
              <w:rPr>
                <w:rFonts w:ascii="Abadi" w:hAnsi="Abadi" w:cs="Calibri"/>
                <w:sz w:val="21"/>
                <w:szCs w:val="21"/>
              </w:rPr>
              <w:t>los</w:t>
            </w:r>
            <w:r w:rsidRPr="00401C70">
              <w:rPr>
                <w:rFonts w:ascii="Abadi" w:hAnsi="Abadi" w:cs="Calibri"/>
                <w:spacing w:val="-10"/>
                <w:sz w:val="21"/>
                <w:szCs w:val="21"/>
              </w:rPr>
              <w:t xml:space="preserve"> </w:t>
            </w:r>
            <w:r w:rsidRPr="00401C70">
              <w:rPr>
                <w:rFonts w:ascii="Abadi" w:hAnsi="Abadi" w:cs="Calibri"/>
                <w:sz w:val="21"/>
                <w:szCs w:val="21"/>
              </w:rPr>
              <w:t>organismos</w:t>
            </w:r>
            <w:r w:rsidRPr="00401C70">
              <w:rPr>
                <w:rFonts w:ascii="Abadi" w:hAnsi="Abadi" w:cs="Calibri"/>
                <w:spacing w:val="-9"/>
                <w:sz w:val="21"/>
                <w:szCs w:val="21"/>
              </w:rPr>
              <w:t xml:space="preserve"> </w:t>
            </w:r>
            <w:r w:rsidRPr="00401C70">
              <w:rPr>
                <w:rFonts w:ascii="Abadi" w:hAnsi="Abadi" w:cs="Calibri"/>
                <w:sz w:val="21"/>
                <w:szCs w:val="21"/>
              </w:rPr>
              <w:t>descentralizados</w:t>
            </w:r>
            <w:r w:rsidRPr="00401C70">
              <w:rPr>
                <w:rFonts w:ascii="Abadi" w:hAnsi="Abadi" w:cs="Calibri"/>
                <w:spacing w:val="-9"/>
                <w:sz w:val="21"/>
                <w:szCs w:val="21"/>
              </w:rPr>
              <w:t xml:space="preserve"> </w:t>
            </w:r>
            <w:r w:rsidRPr="00401C70">
              <w:rPr>
                <w:rFonts w:ascii="Abadi" w:hAnsi="Abadi" w:cs="Calibri"/>
                <w:sz w:val="21"/>
                <w:szCs w:val="21"/>
              </w:rPr>
              <w:t>estará</w:t>
            </w:r>
            <w:r w:rsidRPr="00401C70">
              <w:rPr>
                <w:rFonts w:ascii="Abadi" w:hAnsi="Abadi" w:cs="Calibri"/>
                <w:spacing w:val="-10"/>
                <w:sz w:val="21"/>
                <w:szCs w:val="21"/>
              </w:rPr>
              <w:t xml:space="preserve"> </w:t>
            </w:r>
            <w:r w:rsidRPr="00401C70">
              <w:rPr>
                <w:rFonts w:ascii="Abadi" w:hAnsi="Abadi" w:cs="Calibri"/>
                <w:sz w:val="21"/>
                <w:szCs w:val="21"/>
              </w:rPr>
              <w:t>a</w:t>
            </w:r>
            <w:r w:rsidRPr="00401C70">
              <w:rPr>
                <w:rFonts w:ascii="Abadi" w:hAnsi="Abadi" w:cs="Calibri"/>
                <w:spacing w:val="-10"/>
                <w:sz w:val="21"/>
                <w:szCs w:val="21"/>
              </w:rPr>
              <w:t xml:space="preserve"> </w:t>
            </w:r>
            <w:r w:rsidRPr="00401C70">
              <w:rPr>
                <w:rFonts w:ascii="Abadi" w:hAnsi="Abadi" w:cs="Calibri"/>
                <w:sz w:val="21"/>
                <w:szCs w:val="21"/>
              </w:rPr>
              <w:t>cargo,</w:t>
            </w:r>
          </w:p>
        </w:tc>
      </w:tr>
    </w:tbl>
    <w:p w14:paraId="37684321" w14:textId="77777777" w:rsidR="00677B7E" w:rsidRPr="00401C70" w:rsidRDefault="00677B7E" w:rsidP="00677B7E">
      <w:pPr>
        <w:kinsoku w:val="0"/>
        <w:overflowPunct w:val="0"/>
        <w:autoSpaceDE w:val="0"/>
        <w:autoSpaceDN w:val="0"/>
        <w:adjustRightInd w:val="0"/>
        <w:spacing w:after="1"/>
        <w:jc w:val="both"/>
        <w:rPr>
          <w:rFonts w:ascii="Abadi" w:hAnsi="Abadi"/>
          <w:sz w:val="21"/>
          <w:szCs w:val="21"/>
        </w:rPr>
      </w:pPr>
    </w:p>
    <w:tbl>
      <w:tblPr>
        <w:tblW w:w="5000" w:type="pct"/>
        <w:tblCellMar>
          <w:left w:w="0" w:type="dxa"/>
          <w:right w:w="0" w:type="dxa"/>
        </w:tblCellMar>
        <w:tblLook w:val="0000" w:firstRow="0" w:lastRow="0" w:firstColumn="0" w:lastColumn="0" w:noHBand="0" w:noVBand="0"/>
      </w:tblPr>
      <w:tblGrid>
        <w:gridCol w:w="2050"/>
        <w:gridCol w:w="2051"/>
      </w:tblGrid>
      <w:tr w:rsidR="00677B7E" w:rsidRPr="00401C70" w14:paraId="68C77F62" w14:textId="77777777" w:rsidTr="003343AD">
        <w:trPr>
          <w:trHeight w:val="2685"/>
        </w:trPr>
        <w:tc>
          <w:tcPr>
            <w:tcW w:w="2500" w:type="pct"/>
            <w:tcBorders>
              <w:top w:val="single" w:sz="4" w:space="0" w:color="000000"/>
              <w:left w:val="single" w:sz="4" w:space="0" w:color="000000"/>
              <w:bottom w:val="single" w:sz="4" w:space="0" w:color="000000"/>
              <w:right w:val="single" w:sz="4" w:space="0" w:color="000000"/>
            </w:tcBorders>
          </w:tcPr>
          <w:p w14:paraId="35E41AD0" w14:textId="77777777" w:rsidR="00677B7E" w:rsidRPr="00401C70" w:rsidRDefault="00677B7E" w:rsidP="00FA2590">
            <w:pPr>
              <w:kinsoku w:val="0"/>
              <w:overflowPunct w:val="0"/>
              <w:autoSpaceDE w:val="0"/>
              <w:autoSpaceDN w:val="0"/>
              <w:adjustRightInd w:val="0"/>
              <w:ind w:left="107" w:right="89"/>
              <w:jc w:val="both"/>
              <w:rPr>
                <w:rFonts w:ascii="Abadi" w:hAnsi="Abadi" w:cs="Calibri"/>
                <w:sz w:val="21"/>
                <w:szCs w:val="21"/>
              </w:rPr>
            </w:pPr>
            <w:r w:rsidRPr="00401C70">
              <w:rPr>
                <w:rFonts w:ascii="Abadi" w:hAnsi="Abadi" w:cs="Calibri"/>
                <w:sz w:val="21"/>
                <w:szCs w:val="21"/>
              </w:rPr>
              <w:t>de</w:t>
            </w:r>
            <w:r w:rsidRPr="00401C70">
              <w:rPr>
                <w:rFonts w:ascii="Abadi" w:hAnsi="Abadi" w:cs="Calibri"/>
                <w:spacing w:val="-4"/>
                <w:sz w:val="21"/>
                <w:szCs w:val="21"/>
              </w:rPr>
              <w:t xml:space="preserve"> </w:t>
            </w:r>
            <w:r w:rsidRPr="00401C70">
              <w:rPr>
                <w:rFonts w:ascii="Abadi" w:hAnsi="Abadi" w:cs="Calibri"/>
                <w:sz w:val="21"/>
                <w:szCs w:val="21"/>
              </w:rPr>
              <w:t>un</w:t>
            </w:r>
            <w:r w:rsidRPr="00401C70">
              <w:rPr>
                <w:rFonts w:ascii="Abadi" w:hAnsi="Abadi" w:cs="Calibri"/>
                <w:spacing w:val="-5"/>
                <w:sz w:val="21"/>
                <w:szCs w:val="21"/>
              </w:rPr>
              <w:t xml:space="preserve"> </w:t>
            </w:r>
            <w:r w:rsidRPr="00401C70">
              <w:rPr>
                <w:rFonts w:ascii="Abadi" w:hAnsi="Abadi" w:cs="Calibri"/>
                <w:sz w:val="21"/>
                <w:szCs w:val="21"/>
              </w:rPr>
              <w:t>órgano</w:t>
            </w:r>
            <w:r w:rsidRPr="00401C70">
              <w:rPr>
                <w:rFonts w:ascii="Abadi" w:hAnsi="Abadi" w:cs="Calibri"/>
                <w:spacing w:val="-3"/>
                <w:sz w:val="21"/>
                <w:szCs w:val="21"/>
              </w:rPr>
              <w:t xml:space="preserve"> </w:t>
            </w:r>
            <w:r w:rsidRPr="00401C70">
              <w:rPr>
                <w:rFonts w:ascii="Abadi" w:hAnsi="Abadi" w:cs="Calibri"/>
                <w:sz w:val="21"/>
                <w:szCs w:val="21"/>
              </w:rPr>
              <w:t>de</w:t>
            </w:r>
            <w:r w:rsidRPr="00401C70">
              <w:rPr>
                <w:rFonts w:ascii="Abadi" w:hAnsi="Abadi" w:cs="Calibri"/>
                <w:spacing w:val="-4"/>
                <w:sz w:val="21"/>
                <w:szCs w:val="21"/>
              </w:rPr>
              <w:t xml:space="preserve"> </w:t>
            </w:r>
            <w:r w:rsidRPr="00401C70">
              <w:rPr>
                <w:rFonts w:ascii="Abadi" w:hAnsi="Abadi" w:cs="Calibri"/>
                <w:sz w:val="21"/>
                <w:szCs w:val="21"/>
              </w:rPr>
              <w:t>gobierno</w:t>
            </w:r>
            <w:r w:rsidRPr="00401C70">
              <w:rPr>
                <w:rFonts w:ascii="Abadi" w:hAnsi="Abadi" w:cs="Calibri"/>
                <w:spacing w:val="-2"/>
                <w:sz w:val="21"/>
                <w:szCs w:val="21"/>
              </w:rPr>
              <w:t xml:space="preserve"> </w:t>
            </w:r>
            <w:r w:rsidRPr="00401C70">
              <w:rPr>
                <w:rFonts w:ascii="Abadi" w:hAnsi="Abadi" w:cs="Calibri"/>
                <w:sz w:val="21"/>
                <w:szCs w:val="21"/>
              </w:rPr>
              <w:t>y</w:t>
            </w:r>
            <w:r w:rsidRPr="00401C70">
              <w:rPr>
                <w:rFonts w:ascii="Abadi" w:hAnsi="Abadi" w:cs="Calibri"/>
                <w:spacing w:val="-6"/>
                <w:sz w:val="21"/>
                <w:szCs w:val="21"/>
              </w:rPr>
              <w:t xml:space="preserve"> </w:t>
            </w:r>
            <w:r w:rsidRPr="00401C70">
              <w:rPr>
                <w:rFonts w:ascii="Abadi" w:hAnsi="Abadi" w:cs="Calibri"/>
                <w:sz w:val="21"/>
                <w:szCs w:val="21"/>
              </w:rPr>
              <w:t>un</w:t>
            </w:r>
            <w:r w:rsidRPr="00401C70">
              <w:rPr>
                <w:rFonts w:ascii="Abadi" w:hAnsi="Abadi" w:cs="Calibri"/>
                <w:spacing w:val="-5"/>
                <w:sz w:val="21"/>
                <w:szCs w:val="21"/>
              </w:rPr>
              <w:t xml:space="preserve"> </w:t>
            </w:r>
            <w:r w:rsidRPr="00401C70">
              <w:rPr>
                <w:rFonts w:ascii="Abadi" w:hAnsi="Abadi" w:cs="Calibri"/>
                <w:sz w:val="21"/>
                <w:szCs w:val="21"/>
              </w:rPr>
              <w:t>director</w:t>
            </w:r>
            <w:r w:rsidRPr="00401C70">
              <w:rPr>
                <w:rFonts w:ascii="Abadi" w:hAnsi="Abadi" w:cs="Calibri"/>
                <w:spacing w:val="-5"/>
                <w:sz w:val="21"/>
                <w:szCs w:val="21"/>
              </w:rPr>
              <w:t xml:space="preserve"> </w:t>
            </w:r>
            <w:r w:rsidRPr="00401C70">
              <w:rPr>
                <w:rFonts w:ascii="Abadi" w:hAnsi="Abadi" w:cs="Calibri"/>
                <w:sz w:val="21"/>
                <w:szCs w:val="21"/>
              </w:rPr>
              <w:t>general</w:t>
            </w:r>
            <w:r w:rsidRPr="00401C70">
              <w:rPr>
                <w:rFonts w:ascii="Abadi" w:hAnsi="Abadi" w:cs="Calibri"/>
                <w:spacing w:val="-47"/>
                <w:sz w:val="21"/>
                <w:szCs w:val="21"/>
              </w:rPr>
              <w:t xml:space="preserve"> </w:t>
            </w:r>
            <w:r w:rsidRPr="00401C70">
              <w:rPr>
                <w:rFonts w:ascii="Abadi" w:hAnsi="Abadi" w:cs="Calibri"/>
                <w:spacing w:val="-1"/>
                <w:sz w:val="21"/>
                <w:szCs w:val="21"/>
              </w:rPr>
              <w:t>o</w:t>
            </w:r>
            <w:r w:rsidRPr="00401C70">
              <w:rPr>
                <w:rFonts w:ascii="Abadi" w:hAnsi="Abadi" w:cs="Calibri"/>
                <w:spacing w:val="-8"/>
                <w:sz w:val="21"/>
                <w:szCs w:val="21"/>
              </w:rPr>
              <w:t xml:space="preserve"> </w:t>
            </w:r>
            <w:r w:rsidRPr="00401C70">
              <w:rPr>
                <w:rFonts w:ascii="Abadi" w:hAnsi="Abadi" w:cs="Calibri"/>
                <w:spacing w:val="-1"/>
                <w:sz w:val="21"/>
                <w:szCs w:val="21"/>
              </w:rPr>
              <w:t>por</w:t>
            </w:r>
            <w:r w:rsidRPr="00401C70">
              <w:rPr>
                <w:rFonts w:ascii="Abadi" w:hAnsi="Abadi" w:cs="Calibri"/>
                <w:spacing w:val="-12"/>
                <w:sz w:val="21"/>
                <w:szCs w:val="21"/>
              </w:rPr>
              <w:t xml:space="preserve"> </w:t>
            </w:r>
            <w:r w:rsidRPr="00401C70">
              <w:rPr>
                <w:rFonts w:ascii="Abadi" w:hAnsi="Abadi" w:cs="Calibri"/>
                <w:spacing w:val="-1"/>
                <w:sz w:val="21"/>
                <w:szCs w:val="21"/>
              </w:rPr>
              <w:t>quien</w:t>
            </w:r>
            <w:r w:rsidRPr="00401C70">
              <w:rPr>
                <w:rFonts w:ascii="Abadi" w:hAnsi="Abadi" w:cs="Calibri"/>
                <w:spacing w:val="-10"/>
                <w:sz w:val="21"/>
                <w:szCs w:val="21"/>
              </w:rPr>
              <w:t xml:space="preserve"> </w:t>
            </w:r>
            <w:r w:rsidRPr="00401C70">
              <w:rPr>
                <w:rFonts w:ascii="Abadi" w:hAnsi="Abadi" w:cs="Calibri"/>
                <w:spacing w:val="-1"/>
                <w:sz w:val="21"/>
                <w:szCs w:val="21"/>
              </w:rPr>
              <w:t>haga</w:t>
            </w:r>
            <w:r w:rsidRPr="00401C70">
              <w:rPr>
                <w:rFonts w:ascii="Abadi" w:hAnsi="Abadi" w:cs="Calibri"/>
                <w:spacing w:val="-9"/>
                <w:sz w:val="21"/>
                <w:szCs w:val="21"/>
              </w:rPr>
              <w:t xml:space="preserve"> </w:t>
            </w:r>
            <w:r w:rsidRPr="00401C70">
              <w:rPr>
                <w:rFonts w:ascii="Abadi" w:hAnsi="Abadi" w:cs="Calibri"/>
                <w:sz w:val="21"/>
                <w:szCs w:val="21"/>
              </w:rPr>
              <w:t>sus</w:t>
            </w:r>
            <w:r w:rsidRPr="00401C70">
              <w:rPr>
                <w:rFonts w:ascii="Abadi" w:hAnsi="Abadi" w:cs="Calibri"/>
                <w:spacing w:val="-12"/>
                <w:sz w:val="21"/>
                <w:szCs w:val="21"/>
              </w:rPr>
              <w:t xml:space="preserve"> </w:t>
            </w:r>
            <w:r w:rsidRPr="00401C70">
              <w:rPr>
                <w:rFonts w:ascii="Abadi" w:hAnsi="Abadi" w:cs="Calibri"/>
                <w:sz w:val="21"/>
                <w:szCs w:val="21"/>
              </w:rPr>
              <w:t>veces,</w:t>
            </w:r>
            <w:r w:rsidRPr="00401C70">
              <w:rPr>
                <w:rFonts w:ascii="Abadi" w:hAnsi="Abadi" w:cs="Calibri"/>
                <w:spacing w:val="-14"/>
                <w:sz w:val="21"/>
                <w:szCs w:val="21"/>
              </w:rPr>
              <w:t xml:space="preserve"> </w:t>
            </w:r>
            <w:r w:rsidRPr="00401C70">
              <w:rPr>
                <w:rFonts w:ascii="Abadi" w:hAnsi="Abadi" w:cs="Calibri"/>
                <w:sz w:val="21"/>
                <w:szCs w:val="21"/>
              </w:rPr>
              <w:t>respectivamente.</w:t>
            </w:r>
            <w:r w:rsidRPr="00401C70">
              <w:rPr>
                <w:rFonts w:ascii="Abadi" w:hAnsi="Abadi" w:cs="Calibri"/>
                <w:spacing w:val="-8"/>
                <w:sz w:val="21"/>
                <w:szCs w:val="21"/>
              </w:rPr>
              <w:t xml:space="preserve"> </w:t>
            </w:r>
            <w:r w:rsidRPr="00401C70">
              <w:rPr>
                <w:rFonts w:ascii="Abadi" w:hAnsi="Abadi" w:cs="Calibri"/>
                <w:sz w:val="21"/>
                <w:szCs w:val="21"/>
              </w:rPr>
              <w:t>El</w:t>
            </w:r>
            <w:r w:rsidRPr="00401C70">
              <w:rPr>
                <w:rFonts w:ascii="Abadi" w:hAnsi="Abadi" w:cs="Calibri"/>
                <w:spacing w:val="-48"/>
                <w:sz w:val="21"/>
                <w:szCs w:val="21"/>
              </w:rPr>
              <w:t xml:space="preserve"> </w:t>
            </w:r>
            <w:r w:rsidRPr="00401C70">
              <w:rPr>
                <w:rFonts w:ascii="Abadi" w:hAnsi="Abadi" w:cs="Calibri"/>
                <w:sz w:val="21"/>
                <w:szCs w:val="21"/>
              </w:rPr>
              <w:t>control</w:t>
            </w:r>
            <w:r w:rsidRPr="00401C70">
              <w:rPr>
                <w:rFonts w:ascii="Abadi" w:hAnsi="Abadi" w:cs="Calibri"/>
                <w:spacing w:val="1"/>
                <w:sz w:val="21"/>
                <w:szCs w:val="21"/>
              </w:rPr>
              <w:t xml:space="preserve"> </w:t>
            </w:r>
            <w:r w:rsidRPr="00401C70">
              <w:rPr>
                <w:rFonts w:ascii="Abadi" w:hAnsi="Abadi" w:cs="Calibri"/>
                <w:sz w:val="21"/>
                <w:szCs w:val="21"/>
              </w:rPr>
              <w:t>interno</w:t>
            </w:r>
            <w:r w:rsidRPr="00401C70">
              <w:rPr>
                <w:rFonts w:ascii="Abadi" w:hAnsi="Abadi" w:cs="Calibri"/>
                <w:spacing w:val="1"/>
                <w:sz w:val="21"/>
                <w:szCs w:val="21"/>
              </w:rPr>
              <w:t xml:space="preserve"> </w:t>
            </w:r>
            <w:r w:rsidRPr="00401C70">
              <w:rPr>
                <w:rFonts w:ascii="Abadi" w:hAnsi="Abadi" w:cs="Calibri"/>
                <w:sz w:val="21"/>
                <w:szCs w:val="21"/>
              </w:rPr>
              <w:t>corresponderá</w:t>
            </w:r>
            <w:r w:rsidRPr="00401C70">
              <w:rPr>
                <w:rFonts w:ascii="Abadi" w:hAnsi="Abadi" w:cs="Calibri"/>
                <w:spacing w:val="1"/>
                <w:sz w:val="21"/>
                <w:szCs w:val="21"/>
              </w:rPr>
              <w:t xml:space="preserve"> </w:t>
            </w:r>
            <w:r w:rsidRPr="00401C70">
              <w:rPr>
                <w:rFonts w:ascii="Abadi" w:hAnsi="Abadi" w:cs="Calibri"/>
                <w:sz w:val="21"/>
                <w:szCs w:val="21"/>
              </w:rPr>
              <w:t>al</w:t>
            </w:r>
            <w:r w:rsidRPr="00401C70">
              <w:rPr>
                <w:rFonts w:ascii="Abadi" w:hAnsi="Abadi" w:cs="Calibri"/>
                <w:spacing w:val="1"/>
                <w:sz w:val="21"/>
                <w:szCs w:val="21"/>
              </w:rPr>
              <w:t xml:space="preserve"> </w:t>
            </w:r>
            <w:r w:rsidRPr="00401C70">
              <w:rPr>
                <w:rFonts w:ascii="Abadi" w:hAnsi="Abadi" w:cs="Calibri"/>
                <w:sz w:val="21"/>
                <w:szCs w:val="21"/>
              </w:rPr>
              <w:t>órgano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vigilancia.</w:t>
            </w:r>
          </w:p>
          <w:p w14:paraId="0AE55E87" w14:textId="77777777" w:rsidR="00677B7E" w:rsidRPr="00401C70" w:rsidRDefault="00677B7E" w:rsidP="00FA2590">
            <w:pPr>
              <w:kinsoku w:val="0"/>
              <w:overflowPunct w:val="0"/>
              <w:autoSpaceDE w:val="0"/>
              <w:autoSpaceDN w:val="0"/>
              <w:adjustRightInd w:val="0"/>
              <w:jc w:val="both"/>
              <w:rPr>
                <w:rFonts w:ascii="Abadi" w:hAnsi="Abadi"/>
                <w:sz w:val="21"/>
                <w:szCs w:val="21"/>
              </w:rPr>
            </w:pPr>
          </w:p>
          <w:p w14:paraId="1C682707" w14:textId="77777777" w:rsidR="00677B7E" w:rsidRPr="00401C70" w:rsidRDefault="00677B7E" w:rsidP="00FA2590">
            <w:pPr>
              <w:kinsoku w:val="0"/>
              <w:overflowPunct w:val="0"/>
              <w:autoSpaceDE w:val="0"/>
              <w:autoSpaceDN w:val="0"/>
              <w:adjustRightInd w:val="0"/>
              <w:ind w:left="107" w:right="94"/>
              <w:jc w:val="both"/>
              <w:rPr>
                <w:rFonts w:ascii="Abadi" w:hAnsi="Abadi" w:cs="Calibri"/>
                <w:sz w:val="21"/>
                <w:szCs w:val="21"/>
              </w:rPr>
            </w:pPr>
            <w:r w:rsidRPr="00401C70">
              <w:rPr>
                <w:rFonts w:ascii="Abadi" w:hAnsi="Abadi" w:cs="Calibri"/>
                <w:sz w:val="21"/>
                <w:szCs w:val="21"/>
              </w:rPr>
              <w:t>Asimismo</w:t>
            </w:r>
            <w:r w:rsidRPr="00401C70">
              <w:rPr>
                <w:rFonts w:ascii="Abadi" w:hAnsi="Abadi" w:cs="Calibri"/>
                <w:spacing w:val="1"/>
                <w:sz w:val="21"/>
                <w:szCs w:val="21"/>
              </w:rPr>
              <w:t xml:space="preserve"> </w:t>
            </w:r>
            <w:r w:rsidRPr="00401C70">
              <w:rPr>
                <w:rFonts w:ascii="Abadi" w:hAnsi="Abadi" w:cs="Calibri"/>
                <w:sz w:val="21"/>
                <w:szCs w:val="21"/>
              </w:rPr>
              <w:t>podrán</w:t>
            </w:r>
            <w:r w:rsidRPr="00401C70">
              <w:rPr>
                <w:rFonts w:ascii="Abadi" w:hAnsi="Abadi" w:cs="Calibri"/>
                <w:spacing w:val="1"/>
                <w:sz w:val="21"/>
                <w:szCs w:val="21"/>
              </w:rPr>
              <w:t xml:space="preserve"> </w:t>
            </w:r>
            <w:r w:rsidRPr="00401C70">
              <w:rPr>
                <w:rFonts w:ascii="Abadi" w:hAnsi="Abadi" w:cs="Calibri"/>
                <w:sz w:val="21"/>
                <w:szCs w:val="21"/>
              </w:rPr>
              <w:t>contar</w:t>
            </w:r>
            <w:r w:rsidRPr="00401C70">
              <w:rPr>
                <w:rFonts w:ascii="Abadi" w:hAnsi="Abadi" w:cs="Calibri"/>
                <w:spacing w:val="1"/>
                <w:sz w:val="21"/>
                <w:szCs w:val="21"/>
              </w:rPr>
              <w:t xml:space="preserve"> </w:t>
            </w:r>
            <w:r w:rsidRPr="00401C70">
              <w:rPr>
                <w:rFonts w:ascii="Abadi" w:hAnsi="Abadi" w:cs="Calibri"/>
                <w:sz w:val="21"/>
                <w:szCs w:val="21"/>
              </w:rPr>
              <w:t>con</w:t>
            </w:r>
            <w:r w:rsidRPr="00401C70">
              <w:rPr>
                <w:rFonts w:ascii="Abadi" w:hAnsi="Abadi" w:cs="Calibri"/>
                <w:spacing w:val="1"/>
                <w:sz w:val="21"/>
                <w:szCs w:val="21"/>
              </w:rPr>
              <w:t xml:space="preserve"> </w:t>
            </w:r>
            <w:r w:rsidRPr="00401C70">
              <w:rPr>
                <w:rFonts w:ascii="Abadi" w:hAnsi="Abadi" w:cs="Calibri"/>
                <w:sz w:val="21"/>
                <w:szCs w:val="21"/>
              </w:rPr>
              <w:t>órganos</w:t>
            </w:r>
            <w:r w:rsidRPr="00401C70">
              <w:rPr>
                <w:rFonts w:ascii="Abadi" w:hAnsi="Abadi" w:cs="Calibri"/>
                <w:spacing w:val="1"/>
                <w:sz w:val="21"/>
                <w:szCs w:val="21"/>
              </w:rPr>
              <w:t xml:space="preserve"> </w:t>
            </w:r>
            <w:r w:rsidRPr="00401C70">
              <w:rPr>
                <w:rFonts w:ascii="Abadi" w:hAnsi="Abadi" w:cs="Calibri"/>
                <w:sz w:val="21"/>
                <w:szCs w:val="21"/>
              </w:rPr>
              <w:t>consultivos que tendrán la función de asesoría,</w:t>
            </w:r>
            <w:r w:rsidRPr="00401C70">
              <w:rPr>
                <w:rFonts w:ascii="Abadi" w:hAnsi="Abadi" w:cs="Calibri"/>
                <w:spacing w:val="-47"/>
                <w:sz w:val="21"/>
                <w:szCs w:val="21"/>
              </w:rPr>
              <w:t xml:space="preserve"> </w:t>
            </w:r>
            <w:r w:rsidRPr="00401C70">
              <w:rPr>
                <w:rFonts w:ascii="Abadi" w:hAnsi="Abadi" w:cs="Calibri"/>
                <w:sz w:val="21"/>
                <w:szCs w:val="21"/>
              </w:rPr>
              <w:t>de</w:t>
            </w:r>
            <w:r w:rsidRPr="00401C70">
              <w:rPr>
                <w:rFonts w:ascii="Abadi" w:hAnsi="Abadi" w:cs="Calibri"/>
                <w:spacing w:val="28"/>
                <w:sz w:val="21"/>
                <w:szCs w:val="21"/>
              </w:rPr>
              <w:t xml:space="preserve"> </w:t>
            </w:r>
            <w:r w:rsidRPr="00401C70">
              <w:rPr>
                <w:rFonts w:ascii="Abadi" w:hAnsi="Abadi" w:cs="Calibri"/>
                <w:sz w:val="21"/>
                <w:szCs w:val="21"/>
              </w:rPr>
              <w:t>conformidad</w:t>
            </w:r>
            <w:r w:rsidRPr="00401C70">
              <w:rPr>
                <w:rFonts w:ascii="Abadi" w:hAnsi="Abadi" w:cs="Calibri"/>
                <w:spacing w:val="26"/>
                <w:sz w:val="21"/>
                <w:szCs w:val="21"/>
              </w:rPr>
              <w:t xml:space="preserve"> </w:t>
            </w:r>
            <w:r w:rsidRPr="00401C70">
              <w:rPr>
                <w:rFonts w:ascii="Abadi" w:hAnsi="Abadi" w:cs="Calibri"/>
                <w:sz w:val="21"/>
                <w:szCs w:val="21"/>
              </w:rPr>
              <w:t>con</w:t>
            </w:r>
            <w:r w:rsidRPr="00401C70">
              <w:rPr>
                <w:rFonts w:ascii="Abadi" w:hAnsi="Abadi" w:cs="Calibri"/>
                <w:spacing w:val="25"/>
                <w:sz w:val="21"/>
                <w:szCs w:val="21"/>
              </w:rPr>
              <w:t xml:space="preserve"> </w:t>
            </w:r>
            <w:r w:rsidRPr="00401C70">
              <w:rPr>
                <w:rFonts w:ascii="Abadi" w:hAnsi="Abadi" w:cs="Calibri"/>
                <w:sz w:val="21"/>
                <w:szCs w:val="21"/>
              </w:rPr>
              <w:t>el</w:t>
            </w:r>
            <w:r w:rsidRPr="00401C70">
              <w:rPr>
                <w:rFonts w:ascii="Abadi" w:hAnsi="Abadi" w:cs="Calibri"/>
                <w:spacing w:val="25"/>
                <w:sz w:val="21"/>
                <w:szCs w:val="21"/>
              </w:rPr>
              <w:t xml:space="preserve"> </w:t>
            </w:r>
            <w:r w:rsidRPr="00401C70">
              <w:rPr>
                <w:rFonts w:ascii="Abadi" w:hAnsi="Abadi" w:cs="Calibri"/>
                <w:sz w:val="21"/>
                <w:szCs w:val="21"/>
              </w:rPr>
              <w:t>ordenamiento</w:t>
            </w:r>
            <w:r w:rsidRPr="00401C70">
              <w:rPr>
                <w:rFonts w:ascii="Abadi" w:hAnsi="Abadi" w:cs="Calibri"/>
                <w:spacing w:val="26"/>
                <w:sz w:val="21"/>
                <w:szCs w:val="21"/>
              </w:rPr>
              <w:t xml:space="preserve"> </w:t>
            </w:r>
            <w:r w:rsidRPr="00401C70">
              <w:rPr>
                <w:rFonts w:ascii="Abadi" w:hAnsi="Abadi" w:cs="Calibri"/>
                <w:sz w:val="21"/>
                <w:szCs w:val="21"/>
              </w:rPr>
              <w:t>jurídico</w:t>
            </w:r>
          </w:p>
          <w:p w14:paraId="62AE040B" w14:textId="77777777" w:rsidR="00677B7E" w:rsidRPr="00401C70" w:rsidRDefault="00677B7E" w:rsidP="00FA2590">
            <w:pPr>
              <w:kinsoku w:val="0"/>
              <w:overflowPunct w:val="0"/>
              <w:autoSpaceDE w:val="0"/>
              <w:autoSpaceDN w:val="0"/>
              <w:adjustRightInd w:val="0"/>
              <w:spacing w:line="248" w:lineRule="exact"/>
              <w:ind w:left="107"/>
              <w:jc w:val="both"/>
              <w:rPr>
                <w:rFonts w:ascii="Abadi" w:hAnsi="Abadi" w:cs="Calibri"/>
                <w:sz w:val="21"/>
                <w:szCs w:val="21"/>
              </w:rPr>
            </w:pP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los</w:t>
            </w:r>
            <w:r w:rsidRPr="00401C70">
              <w:rPr>
                <w:rFonts w:ascii="Abadi" w:hAnsi="Abadi" w:cs="Calibri"/>
                <w:spacing w:val="-2"/>
                <w:sz w:val="21"/>
                <w:szCs w:val="21"/>
              </w:rPr>
              <w:t xml:space="preserve"> </w:t>
            </w:r>
            <w:r w:rsidRPr="00401C70">
              <w:rPr>
                <w:rFonts w:ascii="Abadi" w:hAnsi="Abadi" w:cs="Calibri"/>
                <w:sz w:val="21"/>
                <w:szCs w:val="21"/>
              </w:rPr>
              <w:t>cree.</w:t>
            </w:r>
          </w:p>
        </w:tc>
        <w:tc>
          <w:tcPr>
            <w:tcW w:w="2500" w:type="pct"/>
            <w:tcBorders>
              <w:top w:val="single" w:sz="4" w:space="0" w:color="000000"/>
              <w:left w:val="single" w:sz="4" w:space="0" w:color="000000"/>
              <w:bottom w:val="single" w:sz="4" w:space="0" w:color="000000"/>
              <w:right w:val="single" w:sz="4" w:space="0" w:color="000000"/>
            </w:tcBorders>
          </w:tcPr>
          <w:p w14:paraId="48DE054B" w14:textId="77777777" w:rsidR="00677B7E" w:rsidRPr="00401C70" w:rsidRDefault="00677B7E" w:rsidP="00FA2590">
            <w:pPr>
              <w:kinsoku w:val="0"/>
              <w:overflowPunct w:val="0"/>
              <w:autoSpaceDE w:val="0"/>
              <w:autoSpaceDN w:val="0"/>
              <w:adjustRightInd w:val="0"/>
              <w:ind w:left="107" w:right="93"/>
              <w:jc w:val="both"/>
              <w:rPr>
                <w:rFonts w:ascii="Abadi" w:hAnsi="Abadi" w:cs="Calibri"/>
                <w:sz w:val="21"/>
                <w:szCs w:val="21"/>
              </w:rPr>
            </w:pPr>
            <w:r w:rsidRPr="00401C70">
              <w:rPr>
                <w:rFonts w:ascii="Abadi" w:hAnsi="Abadi" w:cs="Calibri"/>
                <w:spacing w:val="-1"/>
                <w:sz w:val="21"/>
                <w:szCs w:val="21"/>
              </w:rPr>
              <w:t>de</w:t>
            </w:r>
            <w:r w:rsidRPr="00401C70">
              <w:rPr>
                <w:rFonts w:ascii="Abadi" w:hAnsi="Abadi" w:cs="Calibri"/>
                <w:spacing w:val="-11"/>
                <w:sz w:val="21"/>
                <w:szCs w:val="21"/>
              </w:rPr>
              <w:t xml:space="preserve"> </w:t>
            </w:r>
            <w:r w:rsidRPr="00401C70">
              <w:rPr>
                <w:rFonts w:ascii="Abadi" w:hAnsi="Abadi" w:cs="Calibri"/>
                <w:sz w:val="21"/>
                <w:szCs w:val="21"/>
              </w:rPr>
              <w:t>un</w:t>
            </w:r>
            <w:r w:rsidRPr="00401C70">
              <w:rPr>
                <w:rFonts w:ascii="Abadi" w:hAnsi="Abadi" w:cs="Calibri"/>
                <w:spacing w:val="-11"/>
                <w:sz w:val="21"/>
                <w:szCs w:val="21"/>
              </w:rPr>
              <w:t xml:space="preserve"> </w:t>
            </w:r>
            <w:r w:rsidRPr="00401C70">
              <w:rPr>
                <w:rFonts w:ascii="Abadi" w:hAnsi="Abadi" w:cs="Calibri"/>
                <w:sz w:val="21"/>
                <w:szCs w:val="21"/>
              </w:rPr>
              <w:t>órgano</w:t>
            </w:r>
            <w:r w:rsidRPr="00401C70">
              <w:rPr>
                <w:rFonts w:ascii="Abadi" w:hAnsi="Abadi" w:cs="Calibri"/>
                <w:spacing w:val="-9"/>
                <w:sz w:val="21"/>
                <w:szCs w:val="21"/>
              </w:rPr>
              <w:t xml:space="preserve"> </w:t>
            </w:r>
            <w:r w:rsidRPr="00401C70">
              <w:rPr>
                <w:rFonts w:ascii="Abadi" w:hAnsi="Abadi" w:cs="Calibri"/>
                <w:sz w:val="21"/>
                <w:szCs w:val="21"/>
              </w:rPr>
              <w:t>de</w:t>
            </w:r>
            <w:r w:rsidRPr="00401C70">
              <w:rPr>
                <w:rFonts w:ascii="Abadi" w:hAnsi="Abadi" w:cs="Calibri"/>
                <w:spacing w:val="-11"/>
                <w:sz w:val="21"/>
                <w:szCs w:val="21"/>
              </w:rPr>
              <w:t xml:space="preserve"> </w:t>
            </w:r>
            <w:r w:rsidRPr="00401C70">
              <w:rPr>
                <w:rFonts w:ascii="Abadi" w:hAnsi="Abadi" w:cs="Calibri"/>
                <w:sz w:val="21"/>
                <w:szCs w:val="21"/>
              </w:rPr>
              <w:t>gobierno</w:t>
            </w:r>
            <w:r w:rsidRPr="00401C70">
              <w:rPr>
                <w:rFonts w:ascii="Abadi" w:hAnsi="Abadi" w:cs="Calibri"/>
                <w:spacing w:val="-9"/>
                <w:sz w:val="21"/>
                <w:szCs w:val="21"/>
              </w:rPr>
              <w:t xml:space="preserve"> </w:t>
            </w:r>
            <w:r w:rsidRPr="00401C70">
              <w:rPr>
                <w:rFonts w:ascii="Abadi" w:hAnsi="Abadi" w:cs="Calibri"/>
                <w:sz w:val="21"/>
                <w:szCs w:val="21"/>
              </w:rPr>
              <w:t>y</w:t>
            </w:r>
            <w:r w:rsidRPr="00401C70">
              <w:rPr>
                <w:rFonts w:ascii="Abadi" w:hAnsi="Abadi" w:cs="Calibri"/>
                <w:spacing w:val="-12"/>
                <w:sz w:val="21"/>
                <w:szCs w:val="21"/>
              </w:rPr>
              <w:t xml:space="preserve"> </w:t>
            </w:r>
            <w:r w:rsidRPr="00401C70">
              <w:rPr>
                <w:rFonts w:ascii="Abadi" w:hAnsi="Abadi" w:cs="Calibri"/>
                <w:b/>
                <w:bCs/>
                <w:i/>
                <w:iCs/>
                <w:sz w:val="21"/>
                <w:szCs w:val="21"/>
              </w:rPr>
              <w:t>una</w:t>
            </w:r>
            <w:r w:rsidRPr="00401C70">
              <w:rPr>
                <w:rFonts w:ascii="Abadi" w:hAnsi="Abadi" w:cs="Calibri"/>
                <w:b/>
                <w:bCs/>
                <w:i/>
                <w:iCs/>
                <w:spacing w:val="-12"/>
                <w:sz w:val="21"/>
                <w:szCs w:val="21"/>
              </w:rPr>
              <w:t xml:space="preserve"> </w:t>
            </w:r>
            <w:r w:rsidRPr="00401C70">
              <w:rPr>
                <w:rFonts w:ascii="Abadi" w:hAnsi="Abadi" w:cs="Calibri"/>
                <w:b/>
                <w:bCs/>
                <w:i/>
                <w:iCs/>
                <w:sz w:val="21"/>
                <w:szCs w:val="21"/>
              </w:rPr>
              <w:t>persona</w:t>
            </w:r>
            <w:r w:rsidRPr="00401C70">
              <w:rPr>
                <w:rFonts w:ascii="Abadi" w:hAnsi="Abadi" w:cs="Calibri"/>
                <w:b/>
                <w:bCs/>
                <w:i/>
                <w:iCs/>
                <w:spacing w:val="-11"/>
                <w:sz w:val="21"/>
                <w:szCs w:val="21"/>
              </w:rPr>
              <w:t xml:space="preserve"> </w:t>
            </w:r>
            <w:r w:rsidRPr="00401C70">
              <w:rPr>
                <w:rFonts w:ascii="Abadi" w:hAnsi="Abadi" w:cs="Calibri"/>
                <w:b/>
                <w:bCs/>
                <w:i/>
                <w:iCs/>
                <w:sz w:val="21"/>
                <w:szCs w:val="21"/>
              </w:rPr>
              <w:t>titular</w:t>
            </w:r>
            <w:r w:rsidRPr="00401C70">
              <w:rPr>
                <w:rFonts w:ascii="Abadi" w:hAnsi="Abadi" w:cs="Calibri"/>
                <w:b/>
                <w:bCs/>
                <w:i/>
                <w:iCs/>
                <w:spacing w:val="-47"/>
                <w:sz w:val="21"/>
                <w:szCs w:val="21"/>
              </w:rPr>
              <w:t xml:space="preserve"> </w:t>
            </w:r>
            <w:r w:rsidRPr="00401C70">
              <w:rPr>
                <w:rFonts w:ascii="Abadi" w:hAnsi="Abadi" w:cs="Calibri"/>
                <w:b/>
                <w:bCs/>
                <w:i/>
                <w:iCs/>
                <w:sz w:val="21"/>
                <w:szCs w:val="21"/>
              </w:rPr>
              <w:t xml:space="preserve">de la dirección general </w:t>
            </w:r>
            <w:r w:rsidRPr="00401C70">
              <w:rPr>
                <w:rFonts w:ascii="Abadi" w:hAnsi="Abadi" w:cs="Calibri"/>
                <w:sz w:val="21"/>
                <w:szCs w:val="21"/>
              </w:rPr>
              <w:t>o por quien haga sus</w:t>
            </w:r>
            <w:r w:rsidRPr="00401C70">
              <w:rPr>
                <w:rFonts w:ascii="Abadi" w:hAnsi="Abadi" w:cs="Calibri"/>
                <w:spacing w:val="1"/>
                <w:sz w:val="21"/>
                <w:szCs w:val="21"/>
              </w:rPr>
              <w:t xml:space="preserve"> </w:t>
            </w:r>
            <w:r w:rsidRPr="00401C70">
              <w:rPr>
                <w:rFonts w:ascii="Abadi" w:hAnsi="Abadi" w:cs="Calibri"/>
                <w:sz w:val="21"/>
                <w:szCs w:val="21"/>
              </w:rPr>
              <w:t>veces,</w:t>
            </w:r>
            <w:r w:rsidRPr="00401C70">
              <w:rPr>
                <w:rFonts w:ascii="Abadi" w:hAnsi="Abadi" w:cs="Calibri"/>
                <w:spacing w:val="1"/>
                <w:sz w:val="21"/>
                <w:szCs w:val="21"/>
              </w:rPr>
              <w:t xml:space="preserve"> </w:t>
            </w:r>
            <w:r w:rsidRPr="00401C70">
              <w:rPr>
                <w:rFonts w:ascii="Abadi" w:hAnsi="Abadi" w:cs="Calibri"/>
                <w:sz w:val="21"/>
                <w:szCs w:val="21"/>
              </w:rPr>
              <w:t>respectivamente.</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control</w:t>
            </w:r>
            <w:r w:rsidRPr="00401C70">
              <w:rPr>
                <w:rFonts w:ascii="Abadi" w:hAnsi="Abadi" w:cs="Calibri"/>
                <w:spacing w:val="1"/>
                <w:sz w:val="21"/>
                <w:szCs w:val="21"/>
              </w:rPr>
              <w:t xml:space="preserve"> </w:t>
            </w:r>
            <w:r w:rsidRPr="00401C70">
              <w:rPr>
                <w:rFonts w:ascii="Abadi" w:hAnsi="Abadi" w:cs="Calibri"/>
                <w:sz w:val="21"/>
                <w:szCs w:val="21"/>
              </w:rPr>
              <w:t>interno</w:t>
            </w:r>
            <w:r w:rsidRPr="00401C70">
              <w:rPr>
                <w:rFonts w:ascii="Abadi" w:hAnsi="Abadi" w:cs="Calibri"/>
                <w:spacing w:val="-47"/>
                <w:sz w:val="21"/>
                <w:szCs w:val="21"/>
              </w:rPr>
              <w:t xml:space="preserve"> </w:t>
            </w:r>
            <w:r w:rsidRPr="00401C70">
              <w:rPr>
                <w:rFonts w:ascii="Abadi" w:hAnsi="Abadi" w:cs="Calibri"/>
                <w:sz w:val="21"/>
                <w:szCs w:val="21"/>
              </w:rPr>
              <w:t>corresponderá</w:t>
            </w:r>
            <w:r w:rsidRPr="00401C70">
              <w:rPr>
                <w:rFonts w:ascii="Abadi" w:hAnsi="Abadi" w:cs="Calibri"/>
                <w:spacing w:val="-3"/>
                <w:sz w:val="21"/>
                <w:szCs w:val="21"/>
              </w:rPr>
              <w:t xml:space="preserve"> </w:t>
            </w:r>
            <w:r w:rsidRPr="00401C70">
              <w:rPr>
                <w:rFonts w:ascii="Abadi" w:hAnsi="Abadi" w:cs="Calibri"/>
                <w:sz w:val="21"/>
                <w:szCs w:val="21"/>
              </w:rPr>
              <w:t>al órgano de</w:t>
            </w:r>
            <w:r w:rsidRPr="00401C70">
              <w:rPr>
                <w:rFonts w:ascii="Abadi" w:hAnsi="Abadi" w:cs="Calibri"/>
                <w:spacing w:val="1"/>
                <w:sz w:val="21"/>
                <w:szCs w:val="21"/>
              </w:rPr>
              <w:t xml:space="preserve"> </w:t>
            </w:r>
            <w:r w:rsidRPr="00401C70">
              <w:rPr>
                <w:rFonts w:ascii="Abadi" w:hAnsi="Abadi" w:cs="Calibri"/>
                <w:sz w:val="21"/>
                <w:szCs w:val="21"/>
              </w:rPr>
              <w:t>vigilancia.</w:t>
            </w:r>
          </w:p>
          <w:p w14:paraId="087DEC49" w14:textId="77777777" w:rsidR="00677B7E" w:rsidRPr="00401C70" w:rsidRDefault="00677B7E" w:rsidP="00FA2590">
            <w:pPr>
              <w:kinsoku w:val="0"/>
              <w:overflowPunct w:val="0"/>
              <w:autoSpaceDE w:val="0"/>
              <w:autoSpaceDN w:val="0"/>
              <w:adjustRightInd w:val="0"/>
              <w:jc w:val="both"/>
              <w:rPr>
                <w:rFonts w:ascii="Abadi" w:hAnsi="Abadi"/>
                <w:sz w:val="21"/>
                <w:szCs w:val="21"/>
              </w:rPr>
            </w:pPr>
          </w:p>
          <w:p w14:paraId="61DE5E6C" w14:textId="77777777" w:rsidR="00677B7E" w:rsidRPr="00401C70" w:rsidRDefault="00677B7E" w:rsidP="00FA2590">
            <w:pPr>
              <w:kinsoku w:val="0"/>
              <w:overflowPunct w:val="0"/>
              <w:autoSpaceDE w:val="0"/>
              <w:autoSpaceDN w:val="0"/>
              <w:adjustRightInd w:val="0"/>
              <w:ind w:left="107" w:right="93"/>
              <w:jc w:val="both"/>
              <w:rPr>
                <w:rFonts w:ascii="Abadi" w:hAnsi="Abadi" w:cs="Calibri"/>
                <w:sz w:val="21"/>
                <w:szCs w:val="21"/>
              </w:rPr>
            </w:pPr>
            <w:r w:rsidRPr="00401C70">
              <w:rPr>
                <w:rFonts w:ascii="Abadi" w:hAnsi="Abadi" w:cs="Calibri"/>
                <w:sz w:val="21"/>
                <w:szCs w:val="21"/>
              </w:rPr>
              <w:t>Asimismo</w:t>
            </w:r>
            <w:r w:rsidRPr="00401C70">
              <w:rPr>
                <w:rFonts w:ascii="Abadi" w:hAnsi="Abadi" w:cs="Calibri"/>
                <w:spacing w:val="1"/>
                <w:sz w:val="21"/>
                <w:szCs w:val="21"/>
              </w:rPr>
              <w:t xml:space="preserve"> </w:t>
            </w:r>
            <w:r w:rsidRPr="00401C70">
              <w:rPr>
                <w:rFonts w:ascii="Abadi" w:hAnsi="Abadi" w:cs="Calibri"/>
                <w:sz w:val="21"/>
                <w:szCs w:val="21"/>
              </w:rPr>
              <w:t>podrán</w:t>
            </w:r>
            <w:r w:rsidRPr="00401C70">
              <w:rPr>
                <w:rFonts w:ascii="Abadi" w:hAnsi="Abadi" w:cs="Calibri"/>
                <w:spacing w:val="1"/>
                <w:sz w:val="21"/>
                <w:szCs w:val="21"/>
              </w:rPr>
              <w:t xml:space="preserve"> </w:t>
            </w:r>
            <w:r w:rsidRPr="00401C70">
              <w:rPr>
                <w:rFonts w:ascii="Abadi" w:hAnsi="Abadi" w:cs="Calibri"/>
                <w:sz w:val="21"/>
                <w:szCs w:val="21"/>
              </w:rPr>
              <w:t>contar</w:t>
            </w:r>
            <w:r w:rsidRPr="00401C70">
              <w:rPr>
                <w:rFonts w:ascii="Abadi" w:hAnsi="Abadi" w:cs="Calibri"/>
                <w:spacing w:val="1"/>
                <w:sz w:val="21"/>
                <w:szCs w:val="21"/>
              </w:rPr>
              <w:t xml:space="preserve"> </w:t>
            </w:r>
            <w:r w:rsidRPr="00401C70">
              <w:rPr>
                <w:rFonts w:ascii="Abadi" w:hAnsi="Abadi" w:cs="Calibri"/>
                <w:sz w:val="21"/>
                <w:szCs w:val="21"/>
              </w:rPr>
              <w:t>con</w:t>
            </w:r>
            <w:r w:rsidRPr="00401C70">
              <w:rPr>
                <w:rFonts w:ascii="Abadi" w:hAnsi="Abadi" w:cs="Calibri"/>
                <w:spacing w:val="1"/>
                <w:sz w:val="21"/>
                <w:szCs w:val="21"/>
              </w:rPr>
              <w:t xml:space="preserve"> </w:t>
            </w:r>
            <w:r w:rsidRPr="00401C70">
              <w:rPr>
                <w:rFonts w:ascii="Abadi" w:hAnsi="Abadi" w:cs="Calibri"/>
                <w:sz w:val="21"/>
                <w:szCs w:val="21"/>
              </w:rPr>
              <w:t>órganos</w:t>
            </w:r>
            <w:r w:rsidRPr="00401C70">
              <w:rPr>
                <w:rFonts w:ascii="Abadi" w:hAnsi="Abadi" w:cs="Calibri"/>
                <w:spacing w:val="1"/>
                <w:sz w:val="21"/>
                <w:szCs w:val="21"/>
              </w:rPr>
              <w:t xml:space="preserve"> </w:t>
            </w:r>
            <w:r w:rsidRPr="00401C70">
              <w:rPr>
                <w:rFonts w:ascii="Abadi" w:hAnsi="Abadi" w:cs="Calibri"/>
                <w:sz w:val="21"/>
                <w:szCs w:val="21"/>
              </w:rPr>
              <w:t>consultivos que tendrán la función de asesoría,</w:t>
            </w:r>
            <w:r w:rsidRPr="00401C70">
              <w:rPr>
                <w:rFonts w:ascii="Abadi" w:hAnsi="Abadi" w:cs="Calibri"/>
                <w:spacing w:val="-47"/>
                <w:sz w:val="21"/>
                <w:szCs w:val="21"/>
              </w:rPr>
              <w:t xml:space="preserve"> </w:t>
            </w:r>
            <w:r w:rsidRPr="00401C70">
              <w:rPr>
                <w:rFonts w:ascii="Abadi" w:hAnsi="Abadi" w:cs="Calibri"/>
                <w:sz w:val="21"/>
                <w:szCs w:val="21"/>
              </w:rPr>
              <w:t>de</w:t>
            </w:r>
            <w:r w:rsidRPr="00401C70">
              <w:rPr>
                <w:rFonts w:ascii="Abadi" w:hAnsi="Abadi" w:cs="Calibri"/>
                <w:spacing w:val="28"/>
                <w:sz w:val="21"/>
                <w:szCs w:val="21"/>
              </w:rPr>
              <w:t xml:space="preserve"> </w:t>
            </w:r>
            <w:r w:rsidRPr="00401C70">
              <w:rPr>
                <w:rFonts w:ascii="Abadi" w:hAnsi="Abadi" w:cs="Calibri"/>
                <w:sz w:val="21"/>
                <w:szCs w:val="21"/>
              </w:rPr>
              <w:t>conformidad</w:t>
            </w:r>
            <w:r w:rsidRPr="00401C70">
              <w:rPr>
                <w:rFonts w:ascii="Abadi" w:hAnsi="Abadi" w:cs="Calibri"/>
                <w:spacing w:val="26"/>
                <w:sz w:val="21"/>
                <w:szCs w:val="21"/>
              </w:rPr>
              <w:t xml:space="preserve"> </w:t>
            </w:r>
            <w:r w:rsidRPr="00401C70">
              <w:rPr>
                <w:rFonts w:ascii="Abadi" w:hAnsi="Abadi" w:cs="Calibri"/>
                <w:sz w:val="21"/>
                <w:szCs w:val="21"/>
              </w:rPr>
              <w:t>con</w:t>
            </w:r>
            <w:r w:rsidRPr="00401C70">
              <w:rPr>
                <w:rFonts w:ascii="Abadi" w:hAnsi="Abadi" w:cs="Calibri"/>
                <w:spacing w:val="25"/>
                <w:sz w:val="21"/>
                <w:szCs w:val="21"/>
              </w:rPr>
              <w:t xml:space="preserve"> </w:t>
            </w:r>
            <w:r w:rsidRPr="00401C70">
              <w:rPr>
                <w:rFonts w:ascii="Abadi" w:hAnsi="Abadi" w:cs="Calibri"/>
                <w:sz w:val="21"/>
                <w:szCs w:val="21"/>
              </w:rPr>
              <w:t>el</w:t>
            </w:r>
            <w:r w:rsidRPr="00401C70">
              <w:rPr>
                <w:rFonts w:ascii="Abadi" w:hAnsi="Abadi" w:cs="Calibri"/>
                <w:spacing w:val="25"/>
                <w:sz w:val="21"/>
                <w:szCs w:val="21"/>
              </w:rPr>
              <w:t xml:space="preserve"> </w:t>
            </w:r>
            <w:r w:rsidRPr="00401C70">
              <w:rPr>
                <w:rFonts w:ascii="Abadi" w:hAnsi="Abadi" w:cs="Calibri"/>
                <w:sz w:val="21"/>
                <w:szCs w:val="21"/>
              </w:rPr>
              <w:t>ordenamiento</w:t>
            </w:r>
            <w:r w:rsidRPr="00401C70">
              <w:rPr>
                <w:rFonts w:ascii="Abadi" w:hAnsi="Abadi" w:cs="Calibri"/>
                <w:spacing w:val="26"/>
                <w:sz w:val="21"/>
                <w:szCs w:val="21"/>
              </w:rPr>
              <w:t xml:space="preserve"> </w:t>
            </w:r>
            <w:r w:rsidRPr="00401C70">
              <w:rPr>
                <w:rFonts w:ascii="Abadi" w:hAnsi="Abadi" w:cs="Calibri"/>
                <w:sz w:val="21"/>
                <w:szCs w:val="21"/>
              </w:rPr>
              <w:t>jurídico</w:t>
            </w:r>
          </w:p>
          <w:p w14:paraId="2AD92E07" w14:textId="77777777" w:rsidR="00677B7E" w:rsidRPr="00401C70" w:rsidRDefault="00677B7E" w:rsidP="00FA2590">
            <w:pPr>
              <w:kinsoku w:val="0"/>
              <w:overflowPunct w:val="0"/>
              <w:autoSpaceDE w:val="0"/>
              <w:autoSpaceDN w:val="0"/>
              <w:adjustRightInd w:val="0"/>
              <w:spacing w:line="248" w:lineRule="exact"/>
              <w:ind w:left="107"/>
              <w:jc w:val="both"/>
              <w:rPr>
                <w:rFonts w:ascii="Abadi" w:hAnsi="Abadi" w:cs="Calibri"/>
                <w:sz w:val="21"/>
                <w:szCs w:val="21"/>
              </w:rPr>
            </w:pP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los</w:t>
            </w:r>
            <w:r w:rsidRPr="00401C70">
              <w:rPr>
                <w:rFonts w:ascii="Abadi" w:hAnsi="Abadi" w:cs="Calibri"/>
                <w:spacing w:val="-2"/>
                <w:sz w:val="21"/>
                <w:szCs w:val="21"/>
              </w:rPr>
              <w:t xml:space="preserve"> </w:t>
            </w:r>
            <w:r w:rsidRPr="00401C70">
              <w:rPr>
                <w:rFonts w:ascii="Abadi" w:hAnsi="Abadi" w:cs="Calibri"/>
                <w:sz w:val="21"/>
                <w:szCs w:val="21"/>
              </w:rPr>
              <w:t>cree.</w:t>
            </w:r>
          </w:p>
        </w:tc>
      </w:tr>
      <w:tr w:rsidR="00677B7E" w:rsidRPr="00401C70" w14:paraId="54A89B0B" w14:textId="77777777" w:rsidTr="003343AD">
        <w:trPr>
          <w:trHeight w:val="1766"/>
        </w:trPr>
        <w:tc>
          <w:tcPr>
            <w:tcW w:w="2500" w:type="pct"/>
            <w:tcBorders>
              <w:top w:val="single" w:sz="4" w:space="0" w:color="000000"/>
              <w:left w:val="single" w:sz="4" w:space="0" w:color="000000"/>
              <w:bottom w:val="none" w:sz="6" w:space="0" w:color="auto"/>
              <w:right w:val="single" w:sz="4" w:space="0" w:color="000000"/>
            </w:tcBorders>
          </w:tcPr>
          <w:p w14:paraId="486EBF53" w14:textId="77777777" w:rsidR="00677B7E" w:rsidRPr="00401C70" w:rsidRDefault="00677B7E" w:rsidP="00FA2590">
            <w:pPr>
              <w:kinsoku w:val="0"/>
              <w:overflowPunct w:val="0"/>
              <w:autoSpaceDE w:val="0"/>
              <w:autoSpaceDN w:val="0"/>
              <w:adjustRightInd w:val="0"/>
              <w:spacing w:before="1"/>
              <w:ind w:left="107" w:right="94"/>
              <w:jc w:val="both"/>
              <w:rPr>
                <w:rFonts w:ascii="Abadi" w:hAnsi="Abadi" w:cs="Calibri"/>
                <w:sz w:val="21"/>
                <w:szCs w:val="21"/>
              </w:rPr>
            </w:pPr>
            <w:r w:rsidRPr="00401C70">
              <w:rPr>
                <w:rFonts w:ascii="Abadi" w:hAnsi="Abadi" w:cs="Calibri"/>
                <w:b/>
                <w:bCs/>
                <w:sz w:val="21"/>
                <w:szCs w:val="21"/>
              </w:rPr>
              <w:t>Artículo</w:t>
            </w:r>
            <w:r w:rsidRPr="00401C70">
              <w:rPr>
                <w:rFonts w:ascii="Abadi" w:hAnsi="Abadi" w:cs="Calibri"/>
                <w:b/>
                <w:bCs/>
                <w:spacing w:val="1"/>
                <w:sz w:val="21"/>
                <w:szCs w:val="21"/>
              </w:rPr>
              <w:t xml:space="preserve"> </w:t>
            </w:r>
            <w:r w:rsidRPr="00401C70">
              <w:rPr>
                <w:rFonts w:ascii="Abadi" w:hAnsi="Abadi" w:cs="Calibri"/>
                <w:b/>
                <w:bCs/>
                <w:sz w:val="21"/>
                <w:szCs w:val="21"/>
              </w:rPr>
              <w:t>48.-</w:t>
            </w:r>
            <w:r w:rsidRPr="00401C70">
              <w:rPr>
                <w:rFonts w:ascii="Abadi" w:hAnsi="Abadi" w:cs="Calibri"/>
                <w:b/>
                <w:bCs/>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órgano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gobierno</w:t>
            </w:r>
            <w:r w:rsidRPr="00401C70">
              <w:rPr>
                <w:rFonts w:ascii="Abadi" w:hAnsi="Abadi" w:cs="Calibri"/>
                <w:spacing w:val="1"/>
                <w:sz w:val="21"/>
                <w:szCs w:val="21"/>
              </w:rPr>
              <w:t xml:space="preserve"> </w:t>
            </w:r>
            <w:r w:rsidRPr="00401C70">
              <w:rPr>
                <w:rFonts w:ascii="Abadi" w:hAnsi="Abadi" w:cs="Calibri"/>
                <w:sz w:val="21"/>
                <w:szCs w:val="21"/>
              </w:rPr>
              <w:t>estará</w:t>
            </w:r>
            <w:r w:rsidRPr="00401C70">
              <w:rPr>
                <w:rFonts w:ascii="Abadi" w:hAnsi="Abadi" w:cs="Calibri"/>
                <w:spacing w:val="1"/>
                <w:sz w:val="21"/>
                <w:szCs w:val="21"/>
              </w:rPr>
              <w:t xml:space="preserve"> </w:t>
            </w:r>
            <w:r w:rsidRPr="00401C70">
              <w:rPr>
                <w:rFonts w:ascii="Abadi" w:hAnsi="Abadi" w:cs="Calibri"/>
                <w:sz w:val="21"/>
                <w:szCs w:val="21"/>
              </w:rPr>
              <w:t>conformado por integrantes propietarios y sus</w:t>
            </w:r>
            <w:r w:rsidRPr="00401C70">
              <w:rPr>
                <w:rFonts w:ascii="Abadi" w:hAnsi="Abadi" w:cs="Calibri"/>
                <w:spacing w:val="1"/>
                <w:sz w:val="21"/>
                <w:szCs w:val="21"/>
              </w:rPr>
              <w:t xml:space="preserve"> </w:t>
            </w:r>
            <w:r w:rsidRPr="00401C70">
              <w:rPr>
                <w:rFonts w:ascii="Abadi" w:hAnsi="Abadi" w:cs="Calibri"/>
                <w:sz w:val="21"/>
                <w:szCs w:val="21"/>
              </w:rPr>
              <w:t>respectivos</w:t>
            </w:r>
            <w:r w:rsidRPr="00401C70">
              <w:rPr>
                <w:rFonts w:ascii="Abadi" w:hAnsi="Abadi" w:cs="Calibri"/>
                <w:spacing w:val="-1"/>
                <w:sz w:val="21"/>
                <w:szCs w:val="21"/>
              </w:rPr>
              <w:t xml:space="preserve"> </w:t>
            </w:r>
            <w:r w:rsidRPr="00401C70">
              <w:rPr>
                <w:rFonts w:ascii="Abadi" w:hAnsi="Abadi" w:cs="Calibri"/>
                <w:sz w:val="21"/>
                <w:szCs w:val="21"/>
              </w:rPr>
              <w:t>suplentes.</w:t>
            </w:r>
          </w:p>
        </w:tc>
        <w:tc>
          <w:tcPr>
            <w:tcW w:w="2500" w:type="pct"/>
            <w:tcBorders>
              <w:top w:val="single" w:sz="4" w:space="0" w:color="000000"/>
              <w:left w:val="single" w:sz="4" w:space="0" w:color="000000"/>
              <w:bottom w:val="none" w:sz="6" w:space="0" w:color="auto"/>
              <w:right w:val="single" w:sz="4" w:space="0" w:color="000000"/>
            </w:tcBorders>
          </w:tcPr>
          <w:p w14:paraId="5BAE9C22" w14:textId="77777777" w:rsidR="00677B7E" w:rsidRPr="00401C70" w:rsidRDefault="00677B7E" w:rsidP="00FA2590">
            <w:pPr>
              <w:kinsoku w:val="0"/>
              <w:overflowPunct w:val="0"/>
              <w:autoSpaceDE w:val="0"/>
              <w:autoSpaceDN w:val="0"/>
              <w:adjustRightInd w:val="0"/>
              <w:spacing w:before="1"/>
              <w:ind w:left="107" w:right="93"/>
              <w:jc w:val="both"/>
              <w:rPr>
                <w:rFonts w:ascii="Abadi" w:hAnsi="Abadi" w:cs="Calibri"/>
                <w:b/>
                <w:bCs/>
                <w:i/>
                <w:iCs/>
                <w:sz w:val="21"/>
                <w:szCs w:val="21"/>
              </w:rPr>
            </w:pPr>
            <w:r w:rsidRPr="00401C70">
              <w:rPr>
                <w:rFonts w:ascii="Abadi" w:hAnsi="Abadi" w:cs="Calibri"/>
                <w:b/>
                <w:bCs/>
                <w:sz w:val="21"/>
                <w:szCs w:val="21"/>
              </w:rPr>
              <w:t>Artículo</w:t>
            </w:r>
            <w:r w:rsidRPr="00401C70">
              <w:rPr>
                <w:rFonts w:ascii="Abadi" w:hAnsi="Abadi" w:cs="Calibri"/>
                <w:b/>
                <w:bCs/>
                <w:spacing w:val="1"/>
                <w:sz w:val="21"/>
                <w:szCs w:val="21"/>
              </w:rPr>
              <w:t xml:space="preserve"> </w:t>
            </w:r>
            <w:r w:rsidRPr="00401C70">
              <w:rPr>
                <w:rFonts w:ascii="Abadi" w:hAnsi="Abadi" w:cs="Calibri"/>
                <w:b/>
                <w:bCs/>
                <w:sz w:val="21"/>
                <w:szCs w:val="21"/>
              </w:rPr>
              <w:t>48.-</w:t>
            </w:r>
            <w:r w:rsidRPr="00401C70">
              <w:rPr>
                <w:rFonts w:ascii="Abadi" w:hAnsi="Abadi" w:cs="Calibri"/>
                <w:b/>
                <w:bCs/>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órgano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gobierno</w:t>
            </w:r>
            <w:r w:rsidRPr="00401C70">
              <w:rPr>
                <w:rFonts w:ascii="Abadi" w:hAnsi="Abadi" w:cs="Calibri"/>
                <w:spacing w:val="1"/>
                <w:sz w:val="21"/>
                <w:szCs w:val="21"/>
              </w:rPr>
              <w:t xml:space="preserve"> </w:t>
            </w:r>
            <w:r w:rsidRPr="00401C70">
              <w:rPr>
                <w:rFonts w:ascii="Abadi" w:hAnsi="Abadi" w:cs="Calibri"/>
                <w:sz w:val="21"/>
                <w:szCs w:val="21"/>
              </w:rPr>
              <w:t>estará</w:t>
            </w:r>
            <w:r w:rsidRPr="00401C70">
              <w:rPr>
                <w:rFonts w:ascii="Abadi" w:hAnsi="Abadi" w:cs="Calibri"/>
                <w:spacing w:val="1"/>
                <w:sz w:val="21"/>
                <w:szCs w:val="21"/>
              </w:rPr>
              <w:t xml:space="preserve"> </w:t>
            </w:r>
            <w:r w:rsidRPr="00401C70">
              <w:rPr>
                <w:rFonts w:ascii="Abadi" w:hAnsi="Abadi" w:cs="Calibri"/>
                <w:sz w:val="21"/>
                <w:szCs w:val="21"/>
              </w:rPr>
              <w:t>conformado</w:t>
            </w:r>
            <w:r w:rsidRPr="00401C70">
              <w:rPr>
                <w:rFonts w:ascii="Abadi" w:hAnsi="Abadi" w:cs="Calibri"/>
                <w:spacing w:val="1"/>
                <w:sz w:val="21"/>
                <w:szCs w:val="21"/>
              </w:rPr>
              <w:t xml:space="preserve"> </w:t>
            </w:r>
            <w:r w:rsidRPr="00401C70">
              <w:rPr>
                <w:rFonts w:ascii="Abadi" w:hAnsi="Abadi" w:cs="Calibri"/>
                <w:sz w:val="21"/>
                <w:szCs w:val="21"/>
              </w:rPr>
              <w:t>por</w:t>
            </w:r>
            <w:r w:rsidRPr="00401C70">
              <w:rPr>
                <w:rFonts w:ascii="Abadi" w:hAnsi="Abadi" w:cs="Calibri"/>
                <w:spacing w:val="1"/>
                <w:sz w:val="21"/>
                <w:szCs w:val="21"/>
              </w:rPr>
              <w:t xml:space="preserve"> </w:t>
            </w:r>
            <w:r w:rsidRPr="00401C70">
              <w:rPr>
                <w:rFonts w:ascii="Abadi" w:hAnsi="Abadi" w:cs="Calibri"/>
                <w:b/>
                <w:bCs/>
                <w:i/>
                <w:iCs/>
                <w:sz w:val="21"/>
                <w:szCs w:val="21"/>
              </w:rPr>
              <w:t>personas</w:t>
            </w:r>
            <w:r w:rsidRPr="00401C70">
              <w:rPr>
                <w:rFonts w:ascii="Abadi" w:hAnsi="Abadi" w:cs="Calibri"/>
                <w:b/>
                <w:bCs/>
                <w:i/>
                <w:iCs/>
                <w:spacing w:val="1"/>
                <w:sz w:val="21"/>
                <w:szCs w:val="21"/>
              </w:rPr>
              <w:t xml:space="preserve"> </w:t>
            </w:r>
            <w:r w:rsidRPr="00401C70">
              <w:rPr>
                <w:rFonts w:ascii="Abadi" w:hAnsi="Abadi" w:cs="Calibri"/>
                <w:sz w:val="21"/>
                <w:szCs w:val="21"/>
              </w:rPr>
              <w:t>integrantes</w:t>
            </w:r>
            <w:r w:rsidRPr="00401C70">
              <w:rPr>
                <w:rFonts w:ascii="Abadi" w:hAnsi="Abadi" w:cs="Calibri"/>
                <w:spacing w:val="1"/>
                <w:sz w:val="21"/>
                <w:szCs w:val="21"/>
              </w:rPr>
              <w:t xml:space="preserve"> </w:t>
            </w:r>
            <w:r w:rsidRPr="00401C70">
              <w:rPr>
                <w:rFonts w:ascii="Abadi" w:hAnsi="Abadi" w:cs="Calibri"/>
                <w:b/>
                <w:bCs/>
                <w:i/>
                <w:iCs/>
                <w:sz w:val="21"/>
                <w:szCs w:val="21"/>
              </w:rPr>
              <w:t>propietarias</w:t>
            </w:r>
            <w:r w:rsidRPr="00401C70">
              <w:rPr>
                <w:rFonts w:ascii="Abadi" w:hAnsi="Abadi" w:cs="Calibri"/>
                <w:b/>
                <w:bCs/>
                <w:i/>
                <w:iCs/>
                <w:spacing w:val="1"/>
                <w:sz w:val="21"/>
                <w:szCs w:val="21"/>
              </w:rPr>
              <w:t xml:space="preserve"> </w:t>
            </w:r>
            <w:r w:rsidRPr="00401C70">
              <w:rPr>
                <w:rFonts w:ascii="Abadi" w:hAnsi="Abadi" w:cs="Calibri"/>
                <w:sz w:val="21"/>
                <w:szCs w:val="21"/>
              </w:rPr>
              <w:t>y</w:t>
            </w:r>
            <w:r w:rsidRPr="00401C70">
              <w:rPr>
                <w:rFonts w:ascii="Abadi" w:hAnsi="Abadi" w:cs="Calibri"/>
                <w:spacing w:val="1"/>
                <w:sz w:val="21"/>
                <w:szCs w:val="21"/>
              </w:rPr>
              <w:t xml:space="preserve"> </w:t>
            </w:r>
            <w:r w:rsidRPr="00401C70">
              <w:rPr>
                <w:rFonts w:ascii="Abadi" w:hAnsi="Abadi" w:cs="Calibri"/>
                <w:sz w:val="21"/>
                <w:szCs w:val="21"/>
              </w:rPr>
              <w:t>sus</w:t>
            </w:r>
            <w:r w:rsidRPr="00401C70">
              <w:rPr>
                <w:rFonts w:ascii="Abadi" w:hAnsi="Abadi" w:cs="Calibri"/>
                <w:spacing w:val="1"/>
                <w:sz w:val="21"/>
                <w:szCs w:val="21"/>
              </w:rPr>
              <w:t xml:space="preserve"> </w:t>
            </w:r>
            <w:r w:rsidRPr="00401C70">
              <w:rPr>
                <w:rFonts w:ascii="Abadi" w:hAnsi="Abadi" w:cs="Calibri"/>
                <w:b/>
                <w:bCs/>
                <w:i/>
                <w:iCs/>
                <w:sz w:val="21"/>
                <w:szCs w:val="21"/>
              </w:rPr>
              <w:t>respectivas</w:t>
            </w:r>
            <w:r w:rsidRPr="00401C70">
              <w:rPr>
                <w:rFonts w:ascii="Abadi" w:hAnsi="Abadi" w:cs="Calibri"/>
                <w:b/>
                <w:bCs/>
                <w:i/>
                <w:iCs/>
                <w:spacing w:val="1"/>
                <w:sz w:val="21"/>
                <w:szCs w:val="21"/>
              </w:rPr>
              <w:t xml:space="preserve"> </w:t>
            </w:r>
            <w:r w:rsidRPr="00401C70">
              <w:rPr>
                <w:rFonts w:ascii="Abadi" w:hAnsi="Abadi" w:cs="Calibri"/>
                <w:sz w:val="21"/>
                <w:szCs w:val="21"/>
              </w:rPr>
              <w:t>suplentes,</w:t>
            </w:r>
            <w:r w:rsidRPr="00401C70">
              <w:rPr>
                <w:rFonts w:ascii="Abadi" w:hAnsi="Abadi" w:cs="Calibri"/>
                <w:spacing w:val="1"/>
                <w:sz w:val="21"/>
                <w:szCs w:val="21"/>
              </w:rPr>
              <w:t xml:space="preserve"> </w:t>
            </w:r>
            <w:r w:rsidRPr="00401C70">
              <w:rPr>
                <w:rFonts w:ascii="Abadi" w:hAnsi="Abadi" w:cs="Calibri"/>
                <w:b/>
                <w:bCs/>
                <w:i/>
                <w:iCs/>
                <w:sz w:val="21"/>
                <w:szCs w:val="21"/>
              </w:rPr>
              <w:t>quienes</w:t>
            </w:r>
            <w:r w:rsidRPr="00401C70">
              <w:rPr>
                <w:rFonts w:ascii="Abadi" w:hAnsi="Abadi" w:cs="Calibri"/>
                <w:b/>
                <w:bCs/>
                <w:i/>
                <w:iCs/>
                <w:spacing w:val="-8"/>
                <w:sz w:val="21"/>
                <w:szCs w:val="21"/>
              </w:rPr>
              <w:t xml:space="preserve"> </w:t>
            </w:r>
            <w:r w:rsidRPr="00401C70">
              <w:rPr>
                <w:rFonts w:ascii="Abadi" w:hAnsi="Abadi" w:cs="Calibri"/>
                <w:b/>
                <w:bCs/>
                <w:i/>
                <w:iCs/>
                <w:sz w:val="21"/>
                <w:szCs w:val="21"/>
              </w:rPr>
              <w:t>deberán</w:t>
            </w:r>
            <w:r w:rsidRPr="00401C70">
              <w:rPr>
                <w:rFonts w:ascii="Abadi" w:hAnsi="Abadi" w:cs="Calibri"/>
                <w:b/>
                <w:bCs/>
                <w:i/>
                <w:iCs/>
                <w:spacing w:val="-3"/>
                <w:sz w:val="21"/>
                <w:szCs w:val="21"/>
              </w:rPr>
              <w:t xml:space="preserve"> </w:t>
            </w:r>
            <w:r w:rsidRPr="00401C70">
              <w:rPr>
                <w:rFonts w:ascii="Abadi" w:hAnsi="Abadi" w:cs="Calibri"/>
                <w:b/>
                <w:bCs/>
                <w:i/>
                <w:iCs/>
                <w:sz w:val="21"/>
                <w:szCs w:val="21"/>
              </w:rPr>
              <w:t>ser</w:t>
            </w:r>
            <w:r w:rsidRPr="00401C70">
              <w:rPr>
                <w:rFonts w:ascii="Abadi" w:hAnsi="Abadi" w:cs="Calibri"/>
                <w:b/>
                <w:bCs/>
                <w:i/>
                <w:iCs/>
                <w:spacing w:val="-7"/>
                <w:sz w:val="21"/>
                <w:szCs w:val="21"/>
              </w:rPr>
              <w:t xml:space="preserve"> </w:t>
            </w:r>
            <w:r w:rsidRPr="00401C70">
              <w:rPr>
                <w:rFonts w:ascii="Abadi" w:hAnsi="Abadi" w:cs="Calibri"/>
                <w:b/>
                <w:bCs/>
                <w:i/>
                <w:iCs/>
                <w:sz w:val="21"/>
                <w:szCs w:val="21"/>
              </w:rPr>
              <w:t>del</w:t>
            </w:r>
            <w:r w:rsidRPr="00401C70">
              <w:rPr>
                <w:rFonts w:ascii="Abadi" w:hAnsi="Abadi" w:cs="Calibri"/>
                <w:b/>
                <w:bCs/>
                <w:i/>
                <w:iCs/>
                <w:spacing w:val="-3"/>
                <w:sz w:val="21"/>
                <w:szCs w:val="21"/>
              </w:rPr>
              <w:t xml:space="preserve"> </w:t>
            </w:r>
            <w:r w:rsidRPr="00401C70">
              <w:rPr>
                <w:rFonts w:ascii="Abadi" w:hAnsi="Abadi" w:cs="Calibri"/>
                <w:b/>
                <w:bCs/>
                <w:i/>
                <w:iCs/>
                <w:sz w:val="21"/>
                <w:szCs w:val="21"/>
              </w:rPr>
              <w:t>mismo</w:t>
            </w:r>
            <w:r w:rsidRPr="00401C70">
              <w:rPr>
                <w:rFonts w:ascii="Abadi" w:hAnsi="Abadi" w:cs="Calibri"/>
                <w:b/>
                <w:bCs/>
                <w:i/>
                <w:iCs/>
                <w:spacing w:val="-4"/>
                <w:sz w:val="21"/>
                <w:szCs w:val="21"/>
              </w:rPr>
              <w:t xml:space="preserve"> </w:t>
            </w:r>
            <w:r w:rsidRPr="00401C70">
              <w:rPr>
                <w:rFonts w:ascii="Abadi" w:hAnsi="Abadi" w:cs="Calibri"/>
                <w:b/>
                <w:bCs/>
                <w:i/>
                <w:iCs/>
                <w:sz w:val="21"/>
                <w:szCs w:val="21"/>
              </w:rPr>
              <w:t>género</w:t>
            </w:r>
            <w:r w:rsidRPr="00401C70">
              <w:rPr>
                <w:rFonts w:ascii="Abadi" w:hAnsi="Abadi" w:cs="Calibri"/>
                <w:b/>
                <w:bCs/>
                <w:i/>
                <w:iCs/>
                <w:spacing w:val="-5"/>
                <w:sz w:val="21"/>
                <w:szCs w:val="21"/>
              </w:rPr>
              <w:t xml:space="preserve"> </w:t>
            </w:r>
            <w:r w:rsidRPr="00401C70">
              <w:rPr>
                <w:rFonts w:ascii="Abadi" w:hAnsi="Abadi" w:cs="Calibri"/>
                <w:b/>
                <w:bCs/>
                <w:i/>
                <w:iCs/>
                <w:sz w:val="21"/>
                <w:szCs w:val="21"/>
              </w:rPr>
              <w:t>que</w:t>
            </w:r>
            <w:r w:rsidRPr="00401C70">
              <w:rPr>
                <w:rFonts w:ascii="Abadi" w:hAnsi="Abadi" w:cs="Calibri"/>
                <w:b/>
                <w:bCs/>
                <w:i/>
                <w:iCs/>
                <w:spacing w:val="-4"/>
                <w:sz w:val="21"/>
                <w:szCs w:val="21"/>
              </w:rPr>
              <w:t xml:space="preserve"> </w:t>
            </w:r>
            <w:r w:rsidRPr="00401C70">
              <w:rPr>
                <w:rFonts w:ascii="Abadi" w:hAnsi="Abadi" w:cs="Calibri"/>
                <w:b/>
                <w:bCs/>
                <w:i/>
                <w:iCs/>
                <w:sz w:val="21"/>
                <w:szCs w:val="21"/>
              </w:rPr>
              <w:t>las</w:t>
            </w:r>
            <w:r w:rsidRPr="00401C70">
              <w:rPr>
                <w:rFonts w:ascii="Abadi" w:hAnsi="Abadi" w:cs="Calibri"/>
                <w:b/>
                <w:bCs/>
                <w:i/>
                <w:iCs/>
                <w:spacing w:val="-48"/>
                <w:sz w:val="21"/>
                <w:szCs w:val="21"/>
              </w:rPr>
              <w:t xml:space="preserve"> </w:t>
            </w:r>
            <w:r w:rsidRPr="00401C70">
              <w:rPr>
                <w:rFonts w:ascii="Abadi" w:hAnsi="Abadi" w:cs="Calibri"/>
                <w:b/>
                <w:bCs/>
                <w:i/>
                <w:iCs/>
                <w:sz w:val="21"/>
                <w:szCs w:val="21"/>
              </w:rPr>
              <w:t>propietarias</w:t>
            </w:r>
            <w:r w:rsidRPr="00401C70">
              <w:rPr>
                <w:rFonts w:ascii="Abadi" w:hAnsi="Abadi" w:cs="Calibri"/>
                <w:sz w:val="21"/>
                <w:szCs w:val="21"/>
              </w:rPr>
              <w:t>.</w:t>
            </w:r>
            <w:r w:rsidRPr="00401C70">
              <w:rPr>
                <w:rFonts w:ascii="Abadi" w:hAnsi="Abadi" w:cs="Calibri"/>
                <w:spacing w:val="1"/>
                <w:sz w:val="21"/>
                <w:szCs w:val="21"/>
              </w:rPr>
              <w:t xml:space="preserve"> </w:t>
            </w:r>
            <w:r w:rsidRPr="00401C70">
              <w:rPr>
                <w:rFonts w:ascii="Abadi" w:hAnsi="Abadi" w:cs="Calibri"/>
                <w:b/>
                <w:bCs/>
                <w:i/>
                <w:iCs/>
                <w:sz w:val="21"/>
                <w:szCs w:val="21"/>
              </w:rPr>
              <w:t>En</w:t>
            </w:r>
            <w:r w:rsidRPr="00401C70">
              <w:rPr>
                <w:rFonts w:ascii="Abadi" w:hAnsi="Abadi" w:cs="Calibri"/>
                <w:b/>
                <w:bCs/>
                <w:i/>
                <w:iCs/>
                <w:spacing w:val="1"/>
                <w:sz w:val="21"/>
                <w:szCs w:val="21"/>
              </w:rPr>
              <w:t xml:space="preserve"> </w:t>
            </w:r>
            <w:r w:rsidRPr="00401C70">
              <w:rPr>
                <w:rFonts w:ascii="Abadi" w:hAnsi="Abadi" w:cs="Calibri"/>
                <w:b/>
                <w:bCs/>
                <w:i/>
                <w:iCs/>
                <w:sz w:val="21"/>
                <w:szCs w:val="21"/>
              </w:rPr>
              <w:t>su</w:t>
            </w:r>
            <w:r w:rsidRPr="00401C70">
              <w:rPr>
                <w:rFonts w:ascii="Abadi" w:hAnsi="Abadi" w:cs="Calibri"/>
                <w:b/>
                <w:bCs/>
                <w:i/>
                <w:iCs/>
                <w:spacing w:val="1"/>
                <w:sz w:val="21"/>
                <w:szCs w:val="21"/>
              </w:rPr>
              <w:t xml:space="preserve"> </w:t>
            </w:r>
            <w:r w:rsidRPr="00401C70">
              <w:rPr>
                <w:rFonts w:ascii="Abadi" w:hAnsi="Abadi" w:cs="Calibri"/>
                <w:b/>
                <w:bCs/>
                <w:i/>
                <w:iCs/>
                <w:sz w:val="21"/>
                <w:szCs w:val="21"/>
              </w:rPr>
              <w:t>integración</w:t>
            </w:r>
            <w:r w:rsidRPr="00401C70">
              <w:rPr>
                <w:rFonts w:ascii="Abadi" w:hAnsi="Abadi" w:cs="Calibri"/>
                <w:b/>
                <w:bCs/>
                <w:i/>
                <w:iCs/>
                <w:spacing w:val="1"/>
                <w:sz w:val="21"/>
                <w:szCs w:val="21"/>
              </w:rPr>
              <w:t xml:space="preserve"> </w:t>
            </w:r>
            <w:r w:rsidRPr="00401C70">
              <w:rPr>
                <w:rFonts w:ascii="Abadi" w:hAnsi="Abadi" w:cs="Calibri"/>
                <w:b/>
                <w:bCs/>
                <w:i/>
                <w:iCs/>
                <w:sz w:val="21"/>
                <w:szCs w:val="21"/>
              </w:rPr>
              <w:t>se</w:t>
            </w:r>
            <w:r w:rsidRPr="00401C70">
              <w:rPr>
                <w:rFonts w:ascii="Abadi" w:hAnsi="Abadi" w:cs="Calibri"/>
                <w:b/>
                <w:bCs/>
                <w:i/>
                <w:iCs/>
                <w:spacing w:val="1"/>
                <w:sz w:val="21"/>
                <w:szCs w:val="21"/>
              </w:rPr>
              <w:t xml:space="preserve"> </w:t>
            </w:r>
            <w:r w:rsidRPr="00401C70">
              <w:rPr>
                <w:rFonts w:ascii="Abadi" w:hAnsi="Abadi" w:cs="Calibri"/>
                <w:b/>
                <w:bCs/>
                <w:i/>
                <w:iCs/>
                <w:sz w:val="21"/>
                <w:szCs w:val="21"/>
              </w:rPr>
              <w:t>deberá</w:t>
            </w:r>
            <w:r w:rsidRPr="00401C70">
              <w:rPr>
                <w:rFonts w:ascii="Abadi" w:hAnsi="Abadi" w:cs="Calibri"/>
                <w:b/>
                <w:bCs/>
                <w:i/>
                <w:iCs/>
                <w:spacing w:val="1"/>
                <w:sz w:val="21"/>
                <w:szCs w:val="21"/>
              </w:rPr>
              <w:t xml:space="preserve"> </w:t>
            </w:r>
            <w:r w:rsidRPr="00401C70">
              <w:rPr>
                <w:rFonts w:ascii="Abadi" w:hAnsi="Abadi" w:cs="Calibri"/>
                <w:b/>
                <w:bCs/>
                <w:i/>
                <w:iCs/>
                <w:sz w:val="21"/>
                <w:szCs w:val="21"/>
              </w:rPr>
              <w:t>observar</w:t>
            </w:r>
            <w:r w:rsidRPr="00401C70">
              <w:rPr>
                <w:rFonts w:ascii="Abadi" w:hAnsi="Abadi" w:cs="Calibri"/>
                <w:b/>
                <w:bCs/>
                <w:i/>
                <w:iCs/>
                <w:spacing w:val="-2"/>
                <w:sz w:val="21"/>
                <w:szCs w:val="21"/>
              </w:rPr>
              <w:t xml:space="preserve"> </w:t>
            </w:r>
            <w:r w:rsidRPr="00401C70">
              <w:rPr>
                <w:rFonts w:ascii="Abadi" w:hAnsi="Abadi" w:cs="Calibri"/>
                <w:b/>
                <w:bCs/>
                <w:i/>
                <w:iCs/>
                <w:sz w:val="21"/>
                <w:szCs w:val="21"/>
              </w:rPr>
              <w:t>el</w:t>
            </w:r>
            <w:r w:rsidRPr="00401C70">
              <w:rPr>
                <w:rFonts w:ascii="Abadi" w:hAnsi="Abadi" w:cs="Calibri"/>
                <w:b/>
                <w:bCs/>
                <w:i/>
                <w:iCs/>
                <w:spacing w:val="-3"/>
                <w:sz w:val="21"/>
                <w:szCs w:val="21"/>
              </w:rPr>
              <w:t xml:space="preserve"> </w:t>
            </w:r>
            <w:r w:rsidRPr="00401C70">
              <w:rPr>
                <w:rFonts w:ascii="Abadi" w:hAnsi="Abadi" w:cs="Calibri"/>
                <w:b/>
                <w:bCs/>
                <w:i/>
                <w:iCs/>
                <w:sz w:val="21"/>
                <w:szCs w:val="21"/>
              </w:rPr>
              <w:t>principio</w:t>
            </w:r>
            <w:r w:rsidRPr="00401C70">
              <w:rPr>
                <w:rFonts w:ascii="Abadi" w:hAnsi="Abadi" w:cs="Calibri"/>
                <w:b/>
                <w:bCs/>
                <w:i/>
                <w:iCs/>
                <w:spacing w:val="-2"/>
                <w:sz w:val="21"/>
                <w:szCs w:val="21"/>
              </w:rPr>
              <w:t xml:space="preserve"> </w:t>
            </w:r>
            <w:r w:rsidRPr="00401C70">
              <w:rPr>
                <w:rFonts w:ascii="Abadi" w:hAnsi="Abadi" w:cs="Calibri"/>
                <w:b/>
                <w:bCs/>
                <w:i/>
                <w:iCs/>
                <w:sz w:val="21"/>
                <w:szCs w:val="21"/>
              </w:rPr>
              <w:t>de</w:t>
            </w:r>
            <w:r w:rsidRPr="00401C70">
              <w:rPr>
                <w:rFonts w:ascii="Abadi" w:hAnsi="Abadi" w:cs="Calibri"/>
                <w:b/>
                <w:bCs/>
                <w:i/>
                <w:iCs/>
                <w:spacing w:val="-3"/>
                <w:sz w:val="21"/>
                <w:szCs w:val="21"/>
              </w:rPr>
              <w:t xml:space="preserve"> </w:t>
            </w:r>
            <w:r w:rsidRPr="00401C70">
              <w:rPr>
                <w:rFonts w:ascii="Abadi" w:hAnsi="Abadi" w:cs="Calibri"/>
                <w:b/>
                <w:bCs/>
                <w:i/>
                <w:iCs/>
                <w:sz w:val="21"/>
                <w:szCs w:val="21"/>
              </w:rPr>
              <w:t>paridad</w:t>
            </w:r>
            <w:r w:rsidRPr="00401C70">
              <w:rPr>
                <w:rFonts w:ascii="Abadi" w:hAnsi="Abadi" w:cs="Calibri"/>
                <w:b/>
                <w:bCs/>
                <w:i/>
                <w:iCs/>
                <w:spacing w:val="-2"/>
                <w:sz w:val="21"/>
                <w:szCs w:val="21"/>
              </w:rPr>
              <w:t xml:space="preserve"> </w:t>
            </w:r>
            <w:r w:rsidRPr="00401C70">
              <w:rPr>
                <w:rFonts w:ascii="Abadi" w:hAnsi="Abadi" w:cs="Calibri"/>
                <w:b/>
                <w:bCs/>
                <w:i/>
                <w:iCs/>
                <w:sz w:val="21"/>
                <w:szCs w:val="21"/>
              </w:rPr>
              <w:t>de</w:t>
            </w:r>
            <w:r w:rsidRPr="00401C70">
              <w:rPr>
                <w:rFonts w:ascii="Abadi" w:hAnsi="Abadi" w:cs="Calibri"/>
                <w:b/>
                <w:bCs/>
                <w:i/>
                <w:iCs/>
                <w:spacing w:val="-4"/>
                <w:sz w:val="21"/>
                <w:szCs w:val="21"/>
              </w:rPr>
              <w:t xml:space="preserve"> </w:t>
            </w:r>
            <w:r w:rsidRPr="00401C70">
              <w:rPr>
                <w:rFonts w:ascii="Abadi" w:hAnsi="Abadi" w:cs="Calibri"/>
                <w:b/>
                <w:bCs/>
                <w:i/>
                <w:iCs/>
                <w:sz w:val="21"/>
                <w:szCs w:val="21"/>
              </w:rPr>
              <w:t>género.</w:t>
            </w:r>
          </w:p>
        </w:tc>
      </w:tr>
      <w:tr w:rsidR="00677B7E" w:rsidRPr="00401C70" w14:paraId="5CEC720A" w14:textId="77777777" w:rsidTr="003343AD">
        <w:trPr>
          <w:trHeight w:val="1073"/>
        </w:trPr>
        <w:tc>
          <w:tcPr>
            <w:tcW w:w="2500" w:type="pct"/>
            <w:tcBorders>
              <w:top w:val="none" w:sz="6" w:space="0" w:color="auto"/>
              <w:left w:val="single" w:sz="4" w:space="0" w:color="000000"/>
              <w:bottom w:val="none" w:sz="6" w:space="0" w:color="auto"/>
              <w:right w:val="single" w:sz="4" w:space="0" w:color="000000"/>
            </w:tcBorders>
          </w:tcPr>
          <w:p w14:paraId="6350D4E7" w14:textId="77777777" w:rsidR="00677B7E" w:rsidRPr="00401C70" w:rsidRDefault="00677B7E" w:rsidP="00FA2590">
            <w:pPr>
              <w:kinsoku w:val="0"/>
              <w:overflowPunct w:val="0"/>
              <w:autoSpaceDE w:val="0"/>
              <w:autoSpaceDN w:val="0"/>
              <w:adjustRightInd w:val="0"/>
              <w:spacing w:before="114"/>
              <w:ind w:left="107" w:right="94"/>
              <w:jc w:val="both"/>
              <w:rPr>
                <w:rFonts w:ascii="Abadi" w:hAnsi="Abadi" w:cs="Calibri"/>
                <w:sz w:val="21"/>
                <w:szCs w:val="21"/>
              </w:rPr>
            </w:pPr>
            <w:r w:rsidRPr="00401C70">
              <w:rPr>
                <w:rFonts w:ascii="Abadi" w:hAnsi="Abadi" w:cs="Calibri"/>
                <w:sz w:val="21"/>
                <w:szCs w:val="21"/>
              </w:rPr>
              <w:t>El órgano de gobierno deberá estar integrado</w:t>
            </w:r>
            <w:r w:rsidRPr="00401C70">
              <w:rPr>
                <w:rFonts w:ascii="Abadi" w:hAnsi="Abadi" w:cs="Calibri"/>
                <w:spacing w:val="1"/>
                <w:sz w:val="21"/>
                <w:szCs w:val="21"/>
              </w:rPr>
              <w:t xml:space="preserve"> </w:t>
            </w:r>
            <w:r w:rsidRPr="00401C70">
              <w:rPr>
                <w:rFonts w:ascii="Abadi" w:hAnsi="Abadi" w:cs="Calibri"/>
                <w:sz w:val="21"/>
                <w:szCs w:val="21"/>
              </w:rPr>
              <w:t>por cuando menos la mitad de miembros de la</w:t>
            </w:r>
            <w:r w:rsidRPr="00401C70">
              <w:rPr>
                <w:rFonts w:ascii="Abadi" w:hAnsi="Abadi" w:cs="Calibri"/>
                <w:spacing w:val="-47"/>
                <w:sz w:val="21"/>
                <w:szCs w:val="21"/>
              </w:rPr>
              <w:t xml:space="preserve"> </w:t>
            </w:r>
            <w:r w:rsidRPr="00401C70">
              <w:rPr>
                <w:rFonts w:ascii="Abadi" w:hAnsi="Abadi" w:cs="Calibri"/>
                <w:sz w:val="21"/>
                <w:szCs w:val="21"/>
              </w:rPr>
              <w:t>Administración</w:t>
            </w:r>
            <w:r w:rsidRPr="00401C70">
              <w:rPr>
                <w:rFonts w:ascii="Abadi" w:hAnsi="Abadi" w:cs="Calibri"/>
                <w:spacing w:val="-1"/>
                <w:sz w:val="21"/>
                <w:szCs w:val="21"/>
              </w:rPr>
              <w:t xml:space="preserve"> </w:t>
            </w:r>
            <w:r w:rsidRPr="00401C70">
              <w:rPr>
                <w:rFonts w:ascii="Abadi" w:hAnsi="Abadi" w:cs="Calibri"/>
                <w:sz w:val="21"/>
                <w:szCs w:val="21"/>
              </w:rPr>
              <w:t>Pública.</w:t>
            </w:r>
          </w:p>
        </w:tc>
        <w:tc>
          <w:tcPr>
            <w:tcW w:w="2500" w:type="pct"/>
            <w:tcBorders>
              <w:top w:val="none" w:sz="6" w:space="0" w:color="auto"/>
              <w:left w:val="single" w:sz="4" w:space="0" w:color="000000"/>
              <w:bottom w:val="none" w:sz="6" w:space="0" w:color="auto"/>
              <w:right w:val="single" w:sz="4" w:space="0" w:color="000000"/>
            </w:tcBorders>
          </w:tcPr>
          <w:p w14:paraId="2F048EF1" w14:textId="77777777" w:rsidR="00677B7E" w:rsidRPr="00401C70" w:rsidRDefault="00677B7E" w:rsidP="00FA2590">
            <w:pPr>
              <w:kinsoku w:val="0"/>
              <w:overflowPunct w:val="0"/>
              <w:autoSpaceDE w:val="0"/>
              <w:autoSpaceDN w:val="0"/>
              <w:adjustRightInd w:val="0"/>
              <w:spacing w:before="114"/>
              <w:ind w:left="107" w:right="93"/>
              <w:jc w:val="both"/>
              <w:rPr>
                <w:rFonts w:ascii="Abadi" w:hAnsi="Abadi" w:cs="Calibri"/>
                <w:sz w:val="21"/>
                <w:szCs w:val="21"/>
              </w:rPr>
            </w:pP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órgano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gobierno</w:t>
            </w:r>
            <w:r w:rsidRPr="00401C70">
              <w:rPr>
                <w:rFonts w:ascii="Abadi" w:hAnsi="Abadi" w:cs="Calibri"/>
                <w:spacing w:val="1"/>
                <w:sz w:val="21"/>
                <w:szCs w:val="21"/>
              </w:rPr>
              <w:t xml:space="preserve"> </w:t>
            </w:r>
            <w:r w:rsidRPr="00401C70">
              <w:rPr>
                <w:rFonts w:ascii="Abadi" w:hAnsi="Abadi" w:cs="Calibri"/>
                <w:sz w:val="21"/>
                <w:szCs w:val="21"/>
              </w:rPr>
              <w:t>deberá</w:t>
            </w:r>
            <w:r w:rsidRPr="00401C70">
              <w:rPr>
                <w:rFonts w:ascii="Abadi" w:hAnsi="Abadi" w:cs="Calibri"/>
                <w:spacing w:val="1"/>
                <w:sz w:val="21"/>
                <w:szCs w:val="21"/>
              </w:rPr>
              <w:t xml:space="preserve"> </w:t>
            </w:r>
            <w:r w:rsidRPr="00401C70">
              <w:rPr>
                <w:rFonts w:ascii="Abadi" w:hAnsi="Abadi" w:cs="Calibri"/>
                <w:sz w:val="21"/>
                <w:szCs w:val="21"/>
              </w:rPr>
              <w:t>estar</w:t>
            </w:r>
            <w:r w:rsidRPr="00401C70">
              <w:rPr>
                <w:rFonts w:ascii="Abadi" w:hAnsi="Abadi" w:cs="Calibri"/>
                <w:spacing w:val="1"/>
                <w:sz w:val="21"/>
                <w:szCs w:val="21"/>
              </w:rPr>
              <w:t xml:space="preserve"> </w:t>
            </w:r>
            <w:r w:rsidRPr="00401C70">
              <w:rPr>
                <w:rFonts w:ascii="Abadi" w:hAnsi="Abadi" w:cs="Calibri"/>
                <w:b/>
                <w:bCs/>
                <w:i/>
                <w:iCs/>
                <w:sz w:val="21"/>
                <w:szCs w:val="21"/>
              </w:rPr>
              <w:t>conformado</w:t>
            </w:r>
            <w:r w:rsidRPr="00401C70">
              <w:rPr>
                <w:rFonts w:ascii="Abadi" w:hAnsi="Abadi" w:cs="Calibri"/>
                <w:b/>
                <w:bCs/>
                <w:i/>
                <w:iCs/>
                <w:spacing w:val="1"/>
                <w:sz w:val="21"/>
                <w:szCs w:val="21"/>
              </w:rPr>
              <w:t xml:space="preserve"> </w:t>
            </w:r>
            <w:r w:rsidRPr="00401C70">
              <w:rPr>
                <w:rFonts w:ascii="Abadi" w:hAnsi="Abadi" w:cs="Calibri"/>
                <w:sz w:val="21"/>
                <w:szCs w:val="21"/>
              </w:rPr>
              <w:t>por</w:t>
            </w:r>
            <w:r w:rsidRPr="00401C70">
              <w:rPr>
                <w:rFonts w:ascii="Abadi" w:hAnsi="Abadi" w:cs="Calibri"/>
                <w:spacing w:val="1"/>
                <w:sz w:val="21"/>
                <w:szCs w:val="21"/>
              </w:rPr>
              <w:t xml:space="preserve"> </w:t>
            </w:r>
            <w:r w:rsidRPr="00401C70">
              <w:rPr>
                <w:rFonts w:ascii="Abadi" w:hAnsi="Abadi" w:cs="Calibri"/>
                <w:sz w:val="21"/>
                <w:szCs w:val="21"/>
              </w:rPr>
              <w:t>cuando</w:t>
            </w:r>
            <w:r w:rsidRPr="00401C70">
              <w:rPr>
                <w:rFonts w:ascii="Abadi" w:hAnsi="Abadi" w:cs="Calibri"/>
                <w:spacing w:val="1"/>
                <w:sz w:val="21"/>
                <w:szCs w:val="21"/>
              </w:rPr>
              <w:t xml:space="preserve"> </w:t>
            </w:r>
            <w:r w:rsidRPr="00401C70">
              <w:rPr>
                <w:rFonts w:ascii="Abadi" w:hAnsi="Abadi" w:cs="Calibri"/>
                <w:sz w:val="21"/>
                <w:szCs w:val="21"/>
              </w:rPr>
              <w:t>menos</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mitad</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47"/>
                <w:sz w:val="21"/>
                <w:szCs w:val="21"/>
              </w:rPr>
              <w:t xml:space="preserve"> </w:t>
            </w:r>
            <w:r w:rsidRPr="00401C70">
              <w:rPr>
                <w:rFonts w:ascii="Abadi" w:hAnsi="Abadi" w:cs="Calibri"/>
                <w:b/>
                <w:bCs/>
                <w:i/>
                <w:iCs/>
                <w:sz w:val="21"/>
                <w:szCs w:val="21"/>
              </w:rPr>
              <w:t>integrantes</w:t>
            </w:r>
            <w:r w:rsidRPr="00401C70">
              <w:rPr>
                <w:rFonts w:ascii="Abadi" w:hAnsi="Abadi" w:cs="Calibri"/>
                <w:b/>
                <w:bCs/>
                <w:i/>
                <w:iCs/>
                <w:spacing w:val="-1"/>
                <w:sz w:val="21"/>
                <w:szCs w:val="21"/>
              </w:rPr>
              <w:t xml:space="preserve"> </w:t>
            </w:r>
            <w:r w:rsidRPr="00401C70">
              <w:rPr>
                <w:rFonts w:ascii="Abadi" w:hAnsi="Abadi" w:cs="Calibri"/>
                <w:sz w:val="21"/>
                <w:szCs w:val="21"/>
              </w:rPr>
              <w:t>de</w:t>
            </w:r>
            <w:r w:rsidRPr="00401C70">
              <w:rPr>
                <w:rFonts w:ascii="Abadi" w:hAnsi="Abadi" w:cs="Calibri"/>
                <w:spacing w:val="-2"/>
                <w:sz w:val="21"/>
                <w:szCs w:val="21"/>
              </w:rPr>
              <w:t xml:space="preserve"> </w:t>
            </w:r>
            <w:r w:rsidRPr="00401C70">
              <w:rPr>
                <w:rFonts w:ascii="Abadi" w:hAnsi="Abadi" w:cs="Calibri"/>
                <w:sz w:val="21"/>
                <w:szCs w:val="21"/>
              </w:rPr>
              <w:t>la Administración</w:t>
            </w:r>
            <w:r w:rsidRPr="00401C70">
              <w:rPr>
                <w:rFonts w:ascii="Abadi" w:hAnsi="Abadi" w:cs="Calibri"/>
                <w:spacing w:val="-3"/>
                <w:sz w:val="21"/>
                <w:szCs w:val="21"/>
              </w:rPr>
              <w:t xml:space="preserve"> </w:t>
            </w:r>
            <w:r w:rsidRPr="00401C70">
              <w:rPr>
                <w:rFonts w:ascii="Abadi" w:hAnsi="Abadi" w:cs="Calibri"/>
                <w:sz w:val="21"/>
                <w:szCs w:val="21"/>
              </w:rPr>
              <w:t>Pública.</w:t>
            </w:r>
          </w:p>
        </w:tc>
      </w:tr>
      <w:tr w:rsidR="00677B7E" w:rsidRPr="00401C70" w14:paraId="7ADFC48A" w14:textId="77777777" w:rsidTr="003343AD">
        <w:trPr>
          <w:trHeight w:val="920"/>
        </w:trPr>
        <w:tc>
          <w:tcPr>
            <w:tcW w:w="2500" w:type="pct"/>
            <w:tcBorders>
              <w:top w:val="none" w:sz="6" w:space="0" w:color="auto"/>
              <w:left w:val="single" w:sz="4" w:space="0" w:color="000000"/>
              <w:bottom w:val="single" w:sz="4" w:space="0" w:color="000000"/>
              <w:right w:val="single" w:sz="4" w:space="0" w:color="000000"/>
            </w:tcBorders>
          </w:tcPr>
          <w:p w14:paraId="75DFD633" w14:textId="77777777" w:rsidR="00677B7E" w:rsidRPr="00401C70" w:rsidRDefault="00677B7E" w:rsidP="00FA2590">
            <w:pPr>
              <w:kinsoku w:val="0"/>
              <w:overflowPunct w:val="0"/>
              <w:autoSpaceDE w:val="0"/>
              <w:autoSpaceDN w:val="0"/>
              <w:adjustRightInd w:val="0"/>
              <w:spacing w:before="96" w:line="268" w:lineRule="exact"/>
              <w:ind w:left="107" w:right="93"/>
              <w:jc w:val="both"/>
              <w:rPr>
                <w:rFonts w:ascii="Abadi" w:hAnsi="Abadi" w:cs="Calibri"/>
                <w:sz w:val="21"/>
                <w:szCs w:val="21"/>
              </w:rPr>
            </w:pP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integrantes</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órgano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gobierno</w:t>
            </w:r>
            <w:r w:rsidRPr="00401C70">
              <w:rPr>
                <w:rFonts w:ascii="Abadi" w:hAnsi="Abadi" w:cs="Calibri"/>
                <w:spacing w:val="1"/>
                <w:sz w:val="21"/>
                <w:szCs w:val="21"/>
              </w:rPr>
              <w:t xml:space="preserve"> </w:t>
            </w:r>
            <w:r w:rsidRPr="00401C70">
              <w:rPr>
                <w:rFonts w:ascii="Abadi" w:hAnsi="Abadi" w:cs="Calibri"/>
                <w:sz w:val="21"/>
                <w:szCs w:val="21"/>
              </w:rPr>
              <w:t>deberán</w:t>
            </w:r>
            <w:r w:rsidRPr="00401C70">
              <w:rPr>
                <w:rFonts w:ascii="Abadi" w:hAnsi="Abadi" w:cs="Calibri"/>
                <w:spacing w:val="1"/>
                <w:sz w:val="21"/>
                <w:szCs w:val="21"/>
              </w:rPr>
              <w:t xml:space="preserve"> </w:t>
            </w:r>
            <w:r w:rsidRPr="00401C70">
              <w:rPr>
                <w:rFonts w:ascii="Abadi" w:hAnsi="Abadi" w:cs="Calibri"/>
                <w:sz w:val="21"/>
                <w:szCs w:val="21"/>
              </w:rPr>
              <w:t>desempeñar</w:t>
            </w:r>
            <w:r w:rsidRPr="00401C70">
              <w:rPr>
                <w:rFonts w:ascii="Abadi" w:hAnsi="Abadi" w:cs="Calibri"/>
                <w:spacing w:val="1"/>
                <w:sz w:val="21"/>
                <w:szCs w:val="21"/>
              </w:rPr>
              <w:t xml:space="preserve"> </w:t>
            </w:r>
            <w:r w:rsidRPr="00401C70">
              <w:rPr>
                <w:rFonts w:ascii="Abadi" w:hAnsi="Abadi" w:cs="Calibri"/>
                <w:sz w:val="21"/>
                <w:szCs w:val="21"/>
              </w:rPr>
              <w:t>su</w:t>
            </w:r>
            <w:r w:rsidRPr="00401C70">
              <w:rPr>
                <w:rFonts w:ascii="Abadi" w:hAnsi="Abadi" w:cs="Calibri"/>
                <w:spacing w:val="1"/>
                <w:sz w:val="21"/>
                <w:szCs w:val="21"/>
              </w:rPr>
              <w:t xml:space="preserve"> </w:t>
            </w:r>
            <w:r w:rsidRPr="00401C70">
              <w:rPr>
                <w:rFonts w:ascii="Abadi" w:hAnsi="Abadi" w:cs="Calibri"/>
                <w:sz w:val="21"/>
                <w:szCs w:val="21"/>
              </w:rPr>
              <w:t>función</w:t>
            </w:r>
            <w:r w:rsidRPr="00401C70">
              <w:rPr>
                <w:rFonts w:ascii="Abadi" w:hAnsi="Abadi" w:cs="Calibri"/>
                <w:spacing w:val="1"/>
                <w:sz w:val="21"/>
                <w:szCs w:val="21"/>
              </w:rPr>
              <w:t xml:space="preserve"> </w:t>
            </w:r>
            <w:r w:rsidRPr="00401C70">
              <w:rPr>
                <w:rFonts w:ascii="Abadi" w:hAnsi="Abadi" w:cs="Calibri"/>
                <w:sz w:val="21"/>
                <w:szCs w:val="21"/>
              </w:rPr>
              <w:t>personalmente.</w:t>
            </w:r>
          </w:p>
        </w:tc>
        <w:tc>
          <w:tcPr>
            <w:tcW w:w="2500" w:type="pct"/>
            <w:tcBorders>
              <w:top w:val="none" w:sz="6" w:space="0" w:color="auto"/>
              <w:left w:val="single" w:sz="4" w:space="0" w:color="000000"/>
              <w:bottom w:val="single" w:sz="4" w:space="0" w:color="000000"/>
              <w:right w:val="single" w:sz="4" w:space="0" w:color="000000"/>
            </w:tcBorders>
          </w:tcPr>
          <w:p w14:paraId="27296A4D" w14:textId="77777777" w:rsidR="00677B7E" w:rsidRPr="00401C70" w:rsidRDefault="00677B7E" w:rsidP="00FA2590">
            <w:pPr>
              <w:kinsoku w:val="0"/>
              <w:overflowPunct w:val="0"/>
              <w:autoSpaceDE w:val="0"/>
              <w:autoSpaceDN w:val="0"/>
              <w:adjustRightInd w:val="0"/>
              <w:spacing w:before="96" w:line="268" w:lineRule="exact"/>
              <w:ind w:left="107" w:right="91"/>
              <w:jc w:val="both"/>
              <w:rPr>
                <w:rFonts w:ascii="Abadi" w:hAnsi="Abadi" w:cs="Calibri"/>
                <w:sz w:val="21"/>
                <w:szCs w:val="21"/>
              </w:rPr>
            </w:pPr>
            <w:r w:rsidRPr="00401C70">
              <w:rPr>
                <w:rFonts w:ascii="Abadi" w:hAnsi="Abadi" w:cs="Calibri"/>
                <w:b/>
                <w:bCs/>
                <w:i/>
                <w:iCs/>
                <w:sz w:val="21"/>
                <w:szCs w:val="21"/>
              </w:rPr>
              <w:t>Las</w:t>
            </w:r>
            <w:r w:rsidRPr="00401C70">
              <w:rPr>
                <w:rFonts w:ascii="Abadi" w:hAnsi="Abadi" w:cs="Calibri"/>
                <w:b/>
                <w:bCs/>
                <w:i/>
                <w:iCs/>
                <w:spacing w:val="1"/>
                <w:sz w:val="21"/>
                <w:szCs w:val="21"/>
              </w:rPr>
              <w:t xml:space="preserve"> </w:t>
            </w:r>
            <w:r w:rsidRPr="00401C70">
              <w:rPr>
                <w:rFonts w:ascii="Abadi" w:hAnsi="Abadi" w:cs="Calibri"/>
                <w:b/>
                <w:bCs/>
                <w:i/>
                <w:iCs/>
                <w:sz w:val="21"/>
                <w:szCs w:val="21"/>
              </w:rPr>
              <w:t>personas</w:t>
            </w:r>
            <w:r w:rsidRPr="00401C70">
              <w:rPr>
                <w:rFonts w:ascii="Abadi" w:hAnsi="Abadi" w:cs="Calibri"/>
                <w:b/>
                <w:bCs/>
                <w:i/>
                <w:iCs/>
                <w:spacing w:val="1"/>
                <w:sz w:val="21"/>
                <w:szCs w:val="21"/>
              </w:rPr>
              <w:t xml:space="preserve"> </w:t>
            </w:r>
            <w:r w:rsidRPr="00401C70">
              <w:rPr>
                <w:rFonts w:ascii="Abadi" w:hAnsi="Abadi" w:cs="Calibri"/>
                <w:sz w:val="21"/>
                <w:szCs w:val="21"/>
              </w:rPr>
              <w:t>integrantes</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órgano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gobierno</w:t>
            </w:r>
            <w:r w:rsidRPr="00401C70">
              <w:rPr>
                <w:rFonts w:ascii="Abadi" w:hAnsi="Abadi" w:cs="Calibri"/>
                <w:spacing w:val="1"/>
                <w:sz w:val="21"/>
                <w:szCs w:val="21"/>
              </w:rPr>
              <w:t xml:space="preserve"> </w:t>
            </w:r>
            <w:r w:rsidRPr="00401C70">
              <w:rPr>
                <w:rFonts w:ascii="Abadi" w:hAnsi="Abadi" w:cs="Calibri"/>
                <w:sz w:val="21"/>
                <w:szCs w:val="21"/>
              </w:rPr>
              <w:t>deberán</w:t>
            </w:r>
            <w:r w:rsidRPr="00401C70">
              <w:rPr>
                <w:rFonts w:ascii="Abadi" w:hAnsi="Abadi" w:cs="Calibri"/>
                <w:spacing w:val="1"/>
                <w:sz w:val="21"/>
                <w:szCs w:val="21"/>
              </w:rPr>
              <w:t xml:space="preserve"> </w:t>
            </w:r>
            <w:r w:rsidRPr="00401C70">
              <w:rPr>
                <w:rFonts w:ascii="Abadi" w:hAnsi="Abadi" w:cs="Calibri"/>
                <w:sz w:val="21"/>
                <w:szCs w:val="21"/>
              </w:rPr>
              <w:t>desempeñar</w:t>
            </w:r>
            <w:r w:rsidRPr="00401C70">
              <w:rPr>
                <w:rFonts w:ascii="Abadi" w:hAnsi="Abadi" w:cs="Calibri"/>
                <w:spacing w:val="1"/>
                <w:sz w:val="21"/>
                <w:szCs w:val="21"/>
              </w:rPr>
              <w:t xml:space="preserve"> </w:t>
            </w:r>
            <w:r w:rsidRPr="00401C70">
              <w:rPr>
                <w:rFonts w:ascii="Abadi" w:hAnsi="Abadi" w:cs="Calibri"/>
                <w:sz w:val="21"/>
                <w:szCs w:val="21"/>
              </w:rPr>
              <w:t>su</w:t>
            </w:r>
            <w:r w:rsidRPr="00401C70">
              <w:rPr>
                <w:rFonts w:ascii="Abadi" w:hAnsi="Abadi" w:cs="Calibri"/>
                <w:spacing w:val="1"/>
                <w:sz w:val="21"/>
                <w:szCs w:val="21"/>
              </w:rPr>
              <w:t xml:space="preserve"> </w:t>
            </w:r>
            <w:r w:rsidRPr="00401C70">
              <w:rPr>
                <w:rFonts w:ascii="Abadi" w:hAnsi="Abadi" w:cs="Calibri"/>
                <w:sz w:val="21"/>
                <w:szCs w:val="21"/>
              </w:rPr>
              <w:t>función</w:t>
            </w:r>
            <w:r w:rsidRPr="00401C70">
              <w:rPr>
                <w:rFonts w:ascii="Abadi" w:hAnsi="Abadi" w:cs="Calibri"/>
                <w:spacing w:val="1"/>
                <w:sz w:val="21"/>
                <w:szCs w:val="21"/>
              </w:rPr>
              <w:t xml:space="preserve"> </w:t>
            </w:r>
            <w:r w:rsidRPr="00401C70">
              <w:rPr>
                <w:rFonts w:ascii="Abadi" w:hAnsi="Abadi" w:cs="Calibri"/>
                <w:sz w:val="21"/>
                <w:szCs w:val="21"/>
              </w:rPr>
              <w:t>personalmente.</w:t>
            </w:r>
          </w:p>
        </w:tc>
      </w:tr>
      <w:tr w:rsidR="00677B7E" w:rsidRPr="00401C70" w14:paraId="1A31DE74" w14:textId="77777777" w:rsidTr="003343AD">
        <w:trPr>
          <w:trHeight w:val="2033"/>
        </w:trPr>
        <w:tc>
          <w:tcPr>
            <w:tcW w:w="2500" w:type="pct"/>
            <w:tcBorders>
              <w:top w:val="single" w:sz="4" w:space="0" w:color="000000"/>
              <w:left w:val="single" w:sz="4" w:space="0" w:color="000000"/>
              <w:bottom w:val="none" w:sz="6" w:space="0" w:color="auto"/>
              <w:right w:val="single" w:sz="4" w:space="0" w:color="000000"/>
            </w:tcBorders>
          </w:tcPr>
          <w:p w14:paraId="7583E7A7" w14:textId="77777777" w:rsidR="00677B7E" w:rsidRPr="00401C70" w:rsidRDefault="00677B7E" w:rsidP="00FA2590">
            <w:pPr>
              <w:kinsoku w:val="0"/>
              <w:overflowPunct w:val="0"/>
              <w:autoSpaceDE w:val="0"/>
              <w:autoSpaceDN w:val="0"/>
              <w:adjustRightInd w:val="0"/>
              <w:ind w:left="107" w:right="93"/>
              <w:jc w:val="both"/>
              <w:rPr>
                <w:rFonts w:ascii="Abadi" w:hAnsi="Abadi" w:cs="Calibri"/>
                <w:sz w:val="21"/>
                <w:szCs w:val="21"/>
              </w:rPr>
            </w:pPr>
            <w:r w:rsidRPr="00401C70">
              <w:rPr>
                <w:rFonts w:ascii="Abadi" w:hAnsi="Abadi" w:cs="Calibri"/>
                <w:b/>
                <w:bCs/>
                <w:sz w:val="21"/>
                <w:szCs w:val="21"/>
              </w:rPr>
              <w:t xml:space="preserve">Artículo 53.- </w:t>
            </w:r>
            <w:r w:rsidRPr="00401C70">
              <w:rPr>
                <w:rFonts w:ascii="Abadi" w:hAnsi="Abadi" w:cs="Calibri"/>
                <w:sz w:val="21"/>
                <w:szCs w:val="21"/>
              </w:rPr>
              <w:t>Los directores</w:t>
            </w:r>
            <w:r w:rsidRPr="00401C70">
              <w:rPr>
                <w:rFonts w:ascii="Abadi" w:hAnsi="Abadi" w:cs="Calibri"/>
                <w:spacing w:val="1"/>
                <w:sz w:val="21"/>
                <w:szCs w:val="21"/>
              </w:rPr>
              <w:t xml:space="preserve"> </w:t>
            </w:r>
            <w:r w:rsidRPr="00401C70">
              <w:rPr>
                <w:rFonts w:ascii="Abadi" w:hAnsi="Abadi" w:cs="Calibri"/>
                <w:sz w:val="21"/>
                <w:szCs w:val="21"/>
              </w:rPr>
              <w:t>generales de</w:t>
            </w:r>
            <w:r w:rsidRPr="00401C70">
              <w:rPr>
                <w:rFonts w:ascii="Abadi" w:hAnsi="Abadi" w:cs="Calibri"/>
                <w:spacing w:val="1"/>
                <w:sz w:val="21"/>
                <w:szCs w:val="21"/>
              </w:rPr>
              <w:t xml:space="preserve"> </w:t>
            </w: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organismos descentralizados serán designados</w:t>
            </w:r>
            <w:r w:rsidRPr="00401C70">
              <w:rPr>
                <w:rFonts w:ascii="Abadi" w:hAnsi="Abadi" w:cs="Calibri"/>
                <w:spacing w:val="-47"/>
                <w:sz w:val="21"/>
                <w:szCs w:val="21"/>
              </w:rPr>
              <w:t xml:space="preserve"> </w:t>
            </w:r>
            <w:r w:rsidRPr="00401C70">
              <w:rPr>
                <w:rFonts w:ascii="Abadi" w:hAnsi="Abadi" w:cs="Calibri"/>
                <w:sz w:val="21"/>
                <w:szCs w:val="21"/>
              </w:rPr>
              <w:t>por</w:t>
            </w:r>
            <w:r w:rsidRPr="00401C70">
              <w:rPr>
                <w:rFonts w:ascii="Abadi" w:hAnsi="Abadi" w:cs="Calibri"/>
                <w:spacing w:val="-10"/>
                <w:sz w:val="21"/>
                <w:szCs w:val="21"/>
              </w:rPr>
              <w:t xml:space="preserve"> </w:t>
            </w:r>
            <w:r w:rsidRPr="00401C70">
              <w:rPr>
                <w:rFonts w:ascii="Abadi" w:hAnsi="Abadi" w:cs="Calibri"/>
                <w:sz w:val="21"/>
                <w:szCs w:val="21"/>
              </w:rPr>
              <w:t>el</w:t>
            </w:r>
            <w:r w:rsidRPr="00401C70">
              <w:rPr>
                <w:rFonts w:ascii="Abadi" w:hAnsi="Abadi" w:cs="Calibri"/>
                <w:spacing w:val="-10"/>
                <w:sz w:val="21"/>
                <w:szCs w:val="21"/>
              </w:rPr>
              <w:t xml:space="preserve"> </w:t>
            </w:r>
            <w:r w:rsidRPr="00401C70">
              <w:rPr>
                <w:rFonts w:ascii="Abadi" w:hAnsi="Abadi" w:cs="Calibri"/>
                <w:sz w:val="21"/>
                <w:szCs w:val="21"/>
              </w:rPr>
              <w:t>Gobernador</w:t>
            </w:r>
            <w:r w:rsidRPr="00401C70">
              <w:rPr>
                <w:rFonts w:ascii="Abadi" w:hAnsi="Abadi" w:cs="Calibri"/>
                <w:spacing w:val="-9"/>
                <w:sz w:val="21"/>
                <w:szCs w:val="21"/>
              </w:rPr>
              <w:t xml:space="preserve"> </w:t>
            </w:r>
            <w:r w:rsidRPr="00401C70">
              <w:rPr>
                <w:rFonts w:ascii="Abadi" w:hAnsi="Abadi" w:cs="Calibri"/>
                <w:sz w:val="21"/>
                <w:szCs w:val="21"/>
              </w:rPr>
              <w:t>del</w:t>
            </w:r>
            <w:r w:rsidRPr="00401C70">
              <w:rPr>
                <w:rFonts w:ascii="Abadi" w:hAnsi="Abadi" w:cs="Calibri"/>
                <w:spacing w:val="-10"/>
                <w:sz w:val="21"/>
                <w:szCs w:val="21"/>
              </w:rPr>
              <w:t xml:space="preserve"> </w:t>
            </w:r>
            <w:r w:rsidRPr="00401C70">
              <w:rPr>
                <w:rFonts w:ascii="Abadi" w:hAnsi="Abadi" w:cs="Calibri"/>
                <w:sz w:val="21"/>
                <w:szCs w:val="21"/>
              </w:rPr>
              <w:t>Estado</w:t>
            </w:r>
            <w:r w:rsidRPr="00401C70">
              <w:rPr>
                <w:rFonts w:ascii="Abadi" w:hAnsi="Abadi" w:cs="Calibri"/>
                <w:spacing w:val="-9"/>
                <w:sz w:val="21"/>
                <w:szCs w:val="21"/>
              </w:rPr>
              <w:t xml:space="preserve"> </w:t>
            </w:r>
            <w:r w:rsidRPr="00401C70">
              <w:rPr>
                <w:rFonts w:ascii="Abadi" w:hAnsi="Abadi" w:cs="Calibri"/>
                <w:sz w:val="21"/>
                <w:szCs w:val="21"/>
              </w:rPr>
              <w:t>con</w:t>
            </w:r>
            <w:r w:rsidRPr="00401C70">
              <w:rPr>
                <w:rFonts w:ascii="Abadi" w:hAnsi="Abadi" w:cs="Calibri"/>
                <w:spacing w:val="-10"/>
                <w:sz w:val="21"/>
                <w:szCs w:val="21"/>
              </w:rPr>
              <w:t xml:space="preserve"> </w:t>
            </w:r>
            <w:r w:rsidRPr="00401C70">
              <w:rPr>
                <w:rFonts w:ascii="Abadi" w:hAnsi="Abadi" w:cs="Calibri"/>
                <w:sz w:val="21"/>
                <w:szCs w:val="21"/>
              </w:rPr>
              <w:t>la</w:t>
            </w:r>
            <w:r w:rsidRPr="00401C70">
              <w:rPr>
                <w:rFonts w:ascii="Abadi" w:hAnsi="Abadi" w:cs="Calibri"/>
                <w:spacing w:val="-11"/>
                <w:sz w:val="21"/>
                <w:szCs w:val="21"/>
              </w:rPr>
              <w:t xml:space="preserve"> </w:t>
            </w:r>
            <w:r w:rsidRPr="00401C70">
              <w:rPr>
                <w:rFonts w:ascii="Abadi" w:hAnsi="Abadi" w:cs="Calibri"/>
                <w:sz w:val="21"/>
                <w:szCs w:val="21"/>
              </w:rPr>
              <w:t>ratificación</w:t>
            </w:r>
            <w:r w:rsidRPr="00401C70">
              <w:rPr>
                <w:rFonts w:ascii="Abadi" w:hAnsi="Abadi" w:cs="Calibri"/>
                <w:spacing w:val="-47"/>
                <w:sz w:val="21"/>
                <w:szCs w:val="21"/>
              </w:rPr>
              <w:t xml:space="preserve"> </w:t>
            </w:r>
            <w:r w:rsidRPr="00401C70">
              <w:rPr>
                <w:rFonts w:ascii="Abadi" w:hAnsi="Abadi" w:cs="Calibri"/>
                <w:sz w:val="21"/>
                <w:szCs w:val="21"/>
              </w:rPr>
              <w:t>de sus órganos de gobierno, salvo lo dispuesto</w:t>
            </w:r>
            <w:r w:rsidRPr="00401C70">
              <w:rPr>
                <w:rFonts w:ascii="Abadi" w:hAnsi="Abadi" w:cs="Calibri"/>
                <w:spacing w:val="-47"/>
                <w:sz w:val="21"/>
                <w:szCs w:val="21"/>
              </w:rPr>
              <w:t xml:space="preserve"> </w:t>
            </w:r>
            <w:r w:rsidRPr="00401C70">
              <w:rPr>
                <w:rFonts w:ascii="Abadi" w:hAnsi="Abadi" w:cs="Calibri"/>
                <w:sz w:val="21"/>
                <w:szCs w:val="21"/>
              </w:rPr>
              <w:t>por</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2"/>
                <w:sz w:val="21"/>
                <w:szCs w:val="21"/>
              </w:rPr>
              <w:t xml:space="preserve"> </w:t>
            </w:r>
            <w:r w:rsidRPr="00401C70">
              <w:rPr>
                <w:rFonts w:ascii="Abadi" w:hAnsi="Abadi" w:cs="Calibri"/>
                <w:sz w:val="21"/>
                <w:szCs w:val="21"/>
              </w:rPr>
              <w:t>ordenamiento</w:t>
            </w:r>
            <w:r w:rsidRPr="00401C70">
              <w:rPr>
                <w:rFonts w:ascii="Abadi" w:hAnsi="Abadi" w:cs="Calibri"/>
                <w:spacing w:val="-1"/>
                <w:sz w:val="21"/>
                <w:szCs w:val="21"/>
              </w:rPr>
              <w:t xml:space="preserve"> </w:t>
            </w:r>
            <w:r w:rsidRPr="00401C70">
              <w:rPr>
                <w:rFonts w:ascii="Abadi" w:hAnsi="Abadi" w:cs="Calibri"/>
                <w:sz w:val="21"/>
                <w:szCs w:val="21"/>
              </w:rPr>
              <w:t>jurídico que</w:t>
            </w:r>
            <w:r w:rsidRPr="00401C70">
              <w:rPr>
                <w:rFonts w:ascii="Abadi" w:hAnsi="Abadi" w:cs="Calibri"/>
                <w:spacing w:val="1"/>
                <w:sz w:val="21"/>
                <w:szCs w:val="21"/>
              </w:rPr>
              <w:t xml:space="preserve"> </w:t>
            </w:r>
            <w:r w:rsidRPr="00401C70">
              <w:rPr>
                <w:rFonts w:ascii="Abadi" w:hAnsi="Abadi" w:cs="Calibri"/>
                <w:sz w:val="21"/>
                <w:szCs w:val="21"/>
              </w:rPr>
              <w:t>los regule.</w:t>
            </w:r>
          </w:p>
        </w:tc>
        <w:tc>
          <w:tcPr>
            <w:tcW w:w="2500" w:type="pct"/>
            <w:tcBorders>
              <w:top w:val="single" w:sz="4" w:space="0" w:color="000000"/>
              <w:left w:val="single" w:sz="4" w:space="0" w:color="000000"/>
              <w:bottom w:val="none" w:sz="6" w:space="0" w:color="auto"/>
              <w:right w:val="single" w:sz="4" w:space="0" w:color="000000"/>
            </w:tcBorders>
          </w:tcPr>
          <w:p w14:paraId="605AE5E1" w14:textId="77777777" w:rsidR="00677B7E" w:rsidRPr="00401C70" w:rsidRDefault="00677B7E" w:rsidP="00FA2590">
            <w:pPr>
              <w:kinsoku w:val="0"/>
              <w:overflowPunct w:val="0"/>
              <w:autoSpaceDE w:val="0"/>
              <w:autoSpaceDN w:val="0"/>
              <w:adjustRightInd w:val="0"/>
              <w:ind w:left="107" w:right="93"/>
              <w:jc w:val="both"/>
              <w:rPr>
                <w:rFonts w:ascii="Abadi" w:hAnsi="Abadi" w:cs="Calibri"/>
                <w:sz w:val="21"/>
                <w:szCs w:val="21"/>
              </w:rPr>
            </w:pPr>
            <w:r w:rsidRPr="00401C70">
              <w:rPr>
                <w:rFonts w:ascii="Abadi" w:hAnsi="Abadi" w:cs="Calibri"/>
                <w:b/>
                <w:bCs/>
                <w:sz w:val="21"/>
                <w:szCs w:val="21"/>
              </w:rPr>
              <w:t>Artículo</w:t>
            </w:r>
            <w:r w:rsidRPr="00401C70">
              <w:rPr>
                <w:rFonts w:ascii="Abadi" w:hAnsi="Abadi" w:cs="Calibri"/>
                <w:b/>
                <w:bCs/>
                <w:spacing w:val="1"/>
                <w:sz w:val="21"/>
                <w:szCs w:val="21"/>
              </w:rPr>
              <w:t xml:space="preserve"> </w:t>
            </w:r>
            <w:r w:rsidRPr="00401C70">
              <w:rPr>
                <w:rFonts w:ascii="Abadi" w:hAnsi="Abadi" w:cs="Calibri"/>
                <w:b/>
                <w:bCs/>
                <w:sz w:val="21"/>
                <w:szCs w:val="21"/>
              </w:rPr>
              <w:t>53.-</w:t>
            </w:r>
            <w:r w:rsidRPr="00401C70">
              <w:rPr>
                <w:rFonts w:ascii="Abadi" w:hAnsi="Abadi" w:cs="Calibri"/>
                <w:b/>
                <w:bCs/>
                <w:spacing w:val="1"/>
                <w:sz w:val="21"/>
                <w:szCs w:val="21"/>
              </w:rPr>
              <w:t xml:space="preserve"> </w:t>
            </w:r>
            <w:r w:rsidRPr="00401C70">
              <w:rPr>
                <w:rFonts w:ascii="Abadi" w:hAnsi="Abadi" w:cs="Calibri"/>
                <w:b/>
                <w:bCs/>
                <w:i/>
                <w:iCs/>
                <w:sz w:val="21"/>
                <w:szCs w:val="21"/>
              </w:rPr>
              <w:t>Las</w:t>
            </w:r>
            <w:r w:rsidRPr="00401C70">
              <w:rPr>
                <w:rFonts w:ascii="Abadi" w:hAnsi="Abadi" w:cs="Calibri"/>
                <w:b/>
                <w:bCs/>
                <w:i/>
                <w:iCs/>
                <w:spacing w:val="1"/>
                <w:sz w:val="21"/>
                <w:szCs w:val="21"/>
              </w:rPr>
              <w:t xml:space="preserve"> </w:t>
            </w:r>
            <w:r w:rsidRPr="00401C70">
              <w:rPr>
                <w:rFonts w:ascii="Abadi" w:hAnsi="Abadi" w:cs="Calibri"/>
                <w:b/>
                <w:bCs/>
                <w:i/>
                <w:iCs/>
                <w:sz w:val="21"/>
                <w:szCs w:val="21"/>
              </w:rPr>
              <w:t>personas</w:t>
            </w:r>
            <w:r w:rsidRPr="00401C70">
              <w:rPr>
                <w:rFonts w:ascii="Abadi" w:hAnsi="Abadi" w:cs="Calibri"/>
                <w:b/>
                <w:bCs/>
                <w:i/>
                <w:iCs/>
                <w:spacing w:val="1"/>
                <w:sz w:val="21"/>
                <w:szCs w:val="21"/>
              </w:rPr>
              <w:t xml:space="preserve"> </w:t>
            </w:r>
            <w:r w:rsidRPr="00401C70">
              <w:rPr>
                <w:rFonts w:ascii="Abadi" w:hAnsi="Abadi" w:cs="Calibri"/>
                <w:b/>
                <w:bCs/>
                <w:i/>
                <w:iCs/>
                <w:sz w:val="21"/>
                <w:szCs w:val="21"/>
              </w:rPr>
              <w:t>titulares</w:t>
            </w:r>
            <w:r w:rsidRPr="00401C70">
              <w:rPr>
                <w:rFonts w:ascii="Abadi" w:hAnsi="Abadi" w:cs="Calibri"/>
                <w:b/>
                <w:bCs/>
                <w:i/>
                <w:iCs/>
                <w:spacing w:val="1"/>
                <w:sz w:val="21"/>
                <w:szCs w:val="21"/>
              </w:rPr>
              <w:t xml:space="preserve"> </w:t>
            </w:r>
            <w:r w:rsidRPr="00401C70">
              <w:rPr>
                <w:rFonts w:ascii="Abadi" w:hAnsi="Abadi" w:cs="Calibri"/>
                <w:b/>
                <w:bCs/>
                <w:i/>
                <w:iCs/>
                <w:sz w:val="21"/>
                <w:szCs w:val="21"/>
              </w:rPr>
              <w:t>de</w:t>
            </w:r>
            <w:r w:rsidRPr="00401C70">
              <w:rPr>
                <w:rFonts w:ascii="Abadi" w:hAnsi="Abadi" w:cs="Calibri"/>
                <w:b/>
                <w:bCs/>
                <w:i/>
                <w:iCs/>
                <w:spacing w:val="1"/>
                <w:sz w:val="21"/>
                <w:szCs w:val="21"/>
              </w:rPr>
              <w:t xml:space="preserve"> </w:t>
            </w:r>
            <w:r w:rsidRPr="00401C70">
              <w:rPr>
                <w:rFonts w:ascii="Abadi" w:hAnsi="Abadi" w:cs="Calibri"/>
                <w:b/>
                <w:bCs/>
                <w:i/>
                <w:iCs/>
                <w:sz w:val="21"/>
                <w:szCs w:val="21"/>
              </w:rPr>
              <w:t>las</w:t>
            </w:r>
            <w:r w:rsidRPr="00401C70">
              <w:rPr>
                <w:rFonts w:ascii="Abadi" w:hAnsi="Abadi" w:cs="Calibri"/>
                <w:b/>
                <w:bCs/>
                <w:i/>
                <w:iCs/>
                <w:spacing w:val="1"/>
                <w:sz w:val="21"/>
                <w:szCs w:val="21"/>
              </w:rPr>
              <w:t xml:space="preserve"> </w:t>
            </w:r>
            <w:r w:rsidRPr="00401C70">
              <w:rPr>
                <w:rFonts w:ascii="Abadi" w:hAnsi="Abadi" w:cs="Calibri"/>
                <w:b/>
                <w:bCs/>
                <w:i/>
                <w:iCs/>
                <w:sz w:val="21"/>
                <w:szCs w:val="21"/>
              </w:rPr>
              <w:t>direcciones</w:t>
            </w:r>
            <w:r w:rsidRPr="00401C70">
              <w:rPr>
                <w:rFonts w:ascii="Abadi" w:hAnsi="Abadi" w:cs="Calibri"/>
                <w:b/>
                <w:bCs/>
                <w:i/>
                <w:iCs/>
                <w:spacing w:val="1"/>
                <w:sz w:val="21"/>
                <w:szCs w:val="21"/>
              </w:rPr>
              <w:t xml:space="preserve"> </w:t>
            </w:r>
            <w:r w:rsidRPr="00401C70">
              <w:rPr>
                <w:rFonts w:ascii="Abadi" w:hAnsi="Abadi" w:cs="Calibri"/>
                <w:b/>
                <w:bCs/>
                <w:i/>
                <w:iCs/>
                <w:sz w:val="21"/>
                <w:szCs w:val="21"/>
              </w:rPr>
              <w:t>generales</w:t>
            </w:r>
            <w:r w:rsidRPr="00401C70">
              <w:rPr>
                <w:rFonts w:ascii="Abadi" w:hAnsi="Abadi" w:cs="Calibri"/>
                <w:b/>
                <w:bCs/>
                <w:i/>
                <w:iCs/>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organismos</w:t>
            </w:r>
            <w:r w:rsidRPr="00401C70">
              <w:rPr>
                <w:rFonts w:ascii="Abadi" w:hAnsi="Abadi" w:cs="Calibri"/>
                <w:spacing w:val="1"/>
                <w:sz w:val="21"/>
                <w:szCs w:val="21"/>
              </w:rPr>
              <w:t xml:space="preserve"> </w:t>
            </w:r>
            <w:r w:rsidRPr="00401C70">
              <w:rPr>
                <w:rFonts w:ascii="Abadi" w:hAnsi="Abadi" w:cs="Calibri"/>
                <w:sz w:val="21"/>
                <w:szCs w:val="21"/>
              </w:rPr>
              <w:t>descentralizados</w:t>
            </w:r>
            <w:r w:rsidRPr="00401C70">
              <w:rPr>
                <w:rFonts w:ascii="Abadi" w:hAnsi="Abadi" w:cs="Calibri"/>
                <w:spacing w:val="1"/>
                <w:sz w:val="21"/>
                <w:szCs w:val="21"/>
              </w:rPr>
              <w:t xml:space="preserve"> </w:t>
            </w:r>
            <w:r w:rsidRPr="00401C70">
              <w:rPr>
                <w:rFonts w:ascii="Abadi" w:hAnsi="Abadi" w:cs="Calibri"/>
                <w:sz w:val="21"/>
                <w:szCs w:val="21"/>
              </w:rPr>
              <w:t>serán</w:t>
            </w:r>
            <w:r w:rsidRPr="00401C70">
              <w:rPr>
                <w:rFonts w:ascii="Abadi" w:hAnsi="Abadi" w:cs="Calibri"/>
                <w:spacing w:val="1"/>
                <w:sz w:val="21"/>
                <w:szCs w:val="21"/>
              </w:rPr>
              <w:t xml:space="preserve"> </w:t>
            </w:r>
            <w:r w:rsidRPr="00401C70">
              <w:rPr>
                <w:rFonts w:ascii="Abadi" w:hAnsi="Abadi" w:cs="Calibri"/>
                <w:b/>
                <w:bCs/>
                <w:i/>
                <w:iCs/>
                <w:sz w:val="21"/>
                <w:szCs w:val="21"/>
              </w:rPr>
              <w:t>designadas</w:t>
            </w:r>
            <w:r w:rsidRPr="00401C70">
              <w:rPr>
                <w:rFonts w:ascii="Abadi" w:hAnsi="Abadi" w:cs="Calibri"/>
                <w:b/>
                <w:bCs/>
                <w:i/>
                <w:iCs/>
                <w:spacing w:val="1"/>
                <w:sz w:val="21"/>
                <w:szCs w:val="21"/>
              </w:rPr>
              <w:t xml:space="preserve"> </w:t>
            </w:r>
            <w:r w:rsidRPr="00401C70">
              <w:rPr>
                <w:rFonts w:ascii="Abadi" w:hAnsi="Abadi" w:cs="Calibri"/>
                <w:sz w:val="21"/>
                <w:szCs w:val="21"/>
              </w:rPr>
              <w:t>por</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pacing w:val="-1"/>
                <w:sz w:val="21"/>
                <w:szCs w:val="21"/>
              </w:rPr>
              <w:t>Gobernador</w:t>
            </w:r>
            <w:r w:rsidRPr="00401C70">
              <w:rPr>
                <w:rFonts w:ascii="Abadi" w:hAnsi="Abadi" w:cs="Calibri"/>
                <w:spacing w:val="-11"/>
                <w:sz w:val="21"/>
                <w:szCs w:val="21"/>
              </w:rPr>
              <w:t xml:space="preserve"> </w:t>
            </w:r>
            <w:r w:rsidRPr="00401C70">
              <w:rPr>
                <w:rFonts w:ascii="Abadi" w:hAnsi="Abadi" w:cs="Calibri"/>
                <w:sz w:val="21"/>
                <w:szCs w:val="21"/>
              </w:rPr>
              <w:t>del</w:t>
            </w:r>
            <w:r w:rsidRPr="00401C70">
              <w:rPr>
                <w:rFonts w:ascii="Abadi" w:hAnsi="Abadi" w:cs="Calibri"/>
                <w:spacing w:val="-11"/>
                <w:sz w:val="21"/>
                <w:szCs w:val="21"/>
              </w:rPr>
              <w:t xml:space="preserve"> </w:t>
            </w:r>
            <w:r w:rsidRPr="00401C70">
              <w:rPr>
                <w:rFonts w:ascii="Abadi" w:hAnsi="Abadi" w:cs="Calibri"/>
                <w:sz w:val="21"/>
                <w:szCs w:val="21"/>
              </w:rPr>
              <w:t>Estado</w:t>
            </w:r>
            <w:r w:rsidRPr="00401C70">
              <w:rPr>
                <w:rFonts w:ascii="Abadi" w:hAnsi="Abadi" w:cs="Calibri"/>
                <w:spacing w:val="-11"/>
                <w:sz w:val="21"/>
                <w:szCs w:val="21"/>
              </w:rPr>
              <w:t xml:space="preserve"> </w:t>
            </w:r>
            <w:r w:rsidRPr="00401C70">
              <w:rPr>
                <w:rFonts w:ascii="Abadi" w:hAnsi="Abadi" w:cs="Calibri"/>
                <w:b/>
                <w:bCs/>
                <w:i/>
                <w:iCs/>
                <w:sz w:val="21"/>
                <w:szCs w:val="21"/>
              </w:rPr>
              <w:t>observando</w:t>
            </w:r>
            <w:r w:rsidRPr="00401C70">
              <w:rPr>
                <w:rFonts w:ascii="Abadi" w:hAnsi="Abadi" w:cs="Calibri"/>
                <w:b/>
                <w:bCs/>
                <w:i/>
                <w:iCs/>
                <w:spacing w:val="-10"/>
                <w:sz w:val="21"/>
                <w:szCs w:val="21"/>
              </w:rPr>
              <w:t xml:space="preserve"> </w:t>
            </w:r>
            <w:r w:rsidRPr="00401C70">
              <w:rPr>
                <w:rFonts w:ascii="Abadi" w:hAnsi="Abadi" w:cs="Calibri"/>
                <w:b/>
                <w:bCs/>
                <w:i/>
                <w:iCs/>
                <w:sz w:val="21"/>
                <w:szCs w:val="21"/>
              </w:rPr>
              <w:t>el</w:t>
            </w:r>
            <w:r w:rsidRPr="00401C70">
              <w:rPr>
                <w:rFonts w:ascii="Abadi" w:hAnsi="Abadi" w:cs="Calibri"/>
                <w:b/>
                <w:bCs/>
                <w:i/>
                <w:iCs/>
                <w:spacing w:val="-10"/>
                <w:sz w:val="21"/>
                <w:szCs w:val="21"/>
              </w:rPr>
              <w:t xml:space="preserve"> </w:t>
            </w:r>
            <w:r w:rsidRPr="00401C70">
              <w:rPr>
                <w:rFonts w:ascii="Abadi" w:hAnsi="Abadi" w:cs="Calibri"/>
                <w:b/>
                <w:bCs/>
                <w:i/>
                <w:iCs/>
                <w:sz w:val="21"/>
                <w:szCs w:val="21"/>
              </w:rPr>
              <w:t>principio</w:t>
            </w:r>
            <w:r w:rsidRPr="00401C70">
              <w:rPr>
                <w:rFonts w:ascii="Abadi" w:hAnsi="Abadi" w:cs="Calibri"/>
                <w:b/>
                <w:bCs/>
                <w:i/>
                <w:iCs/>
                <w:spacing w:val="-47"/>
                <w:sz w:val="21"/>
                <w:szCs w:val="21"/>
              </w:rPr>
              <w:t xml:space="preserve"> </w:t>
            </w:r>
            <w:r w:rsidRPr="00401C70">
              <w:rPr>
                <w:rFonts w:ascii="Abadi" w:hAnsi="Abadi" w:cs="Calibri"/>
                <w:b/>
                <w:bCs/>
                <w:i/>
                <w:iCs/>
                <w:sz w:val="21"/>
                <w:szCs w:val="21"/>
              </w:rPr>
              <w:t xml:space="preserve">de paridad de género y </w:t>
            </w:r>
            <w:r w:rsidRPr="00401C70">
              <w:rPr>
                <w:rFonts w:ascii="Abadi" w:hAnsi="Abadi" w:cs="Calibri"/>
                <w:sz w:val="21"/>
                <w:szCs w:val="21"/>
              </w:rPr>
              <w:t>con la ratificación de</w:t>
            </w:r>
            <w:r w:rsidRPr="00401C70">
              <w:rPr>
                <w:rFonts w:ascii="Abadi" w:hAnsi="Abadi" w:cs="Calibri"/>
                <w:spacing w:val="1"/>
                <w:sz w:val="21"/>
                <w:szCs w:val="21"/>
              </w:rPr>
              <w:t xml:space="preserve"> </w:t>
            </w:r>
            <w:r w:rsidRPr="00401C70">
              <w:rPr>
                <w:rFonts w:ascii="Abadi" w:hAnsi="Abadi" w:cs="Calibri"/>
                <w:sz w:val="21"/>
                <w:szCs w:val="21"/>
              </w:rPr>
              <w:t>sus</w:t>
            </w:r>
            <w:r w:rsidRPr="00401C70">
              <w:rPr>
                <w:rFonts w:ascii="Abadi" w:hAnsi="Abadi" w:cs="Calibri"/>
                <w:spacing w:val="-10"/>
                <w:sz w:val="21"/>
                <w:szCs w:val="21"/>
              </w:rPr>
              <w:t xml:space="preserve"> </w:t>
            </w:r>
            <w:r w:rsidRPr="00401C70">
              <w:rPr>
                <w:rFonts w:ascii="Abadi" w:hAnsi="Abadi" w:cs="Calibri"/>
                <w:sz w:val="21"/>
                <w:szCs w:val="21"/>
              </w:rPr>
              <w:t>órganos</w:t>
            </w:r>
            <w:r w:rsidRPr="00401C70">
              <w:rPr>
                <w:rFonts w:ascii="Abadi" w:hAnsi="Abadi" w:cs="Calibri"/>
                <w:spacing w:val="-8"/>
                <w:sz w:val="21"/>
                <w:szCs w:val="21"/>
              </w:rPr>
              <w:t xml:space="preserve"> </w:t>
            </w:r>
            <w:r w:rsidRPr="00401C70">
              <w:rPr>
                <w:rFonts w:ascii="Abadi" w:hAnsi="Abadi" w:cs="Calibri"/>
                <w:sz w:val="21"/>
                <w:szCs w:val="21"/>
              </w:rPr>
              <w:t>de</w:t>
            </w:r>
            <w:r w:rsidRPr="00401C70">
              <w:rPr>
                <w:rFonts w:ascii="Abadi" w:hAnsi="Abadi" w:cs="Calibri"/>
                <w:spacing w:val="-7"/>
                <w:sz w:val="21"/>
                <w:szCs w:val="21"/>
              </w:rPr>
              <w:t xml:space="preserve"> </w:t>
            </w:r>
            <w:r w:rsidRPr="00401C70">
              <w:rPr>
                <w:rFonts w:ascii="Abadi" w:hAnsi="Abadi" w:cs="Calibri"/>
                <w:sz w:val="21"/>
                <w:szCs w:val="21"/>
              </w:rPr>
              <w:t>gobierno,</w:t>
            </w:r>
            <w:r w:rsidRPr="00401C70">
              <w:rPr>
                <w:rFonts w:ascii="Abadi" w:hAnsi="Abadi" w:cs="Calibri"/>
                <w:spacing w:val="-9"/>
                <w:sz w:val="21"/>
                <w:szCs w:val="21"/>
              </w:rPr>
              <w:t xml:space="preserve"> </w:t>
            </w:r>
            <w:r w:rsidRPr="00401C70">
              <w:rPr>
                <w:rFonts w:ascii="Abadi" w:hAnsi="Abadi" w:cs="Calibri"/>
                <w:sz w:val="21"/>
                <w:szCs w:val="21"/>
              </w:rPr>
              <w:t>salvo</w:t>
            </w:r>
            <w:r w:rsidRPr="00401C70">
              <w:rPr>
                <w:rFonts w:ascii="Abadi" w:hAnsi="Abadi" w:cs="Calibri"/>
                <w:spacing w:val="-6"/>
                <w:sz w:val="21"/>
                <w:szCs w:val="21"/>
              </w:rPr>
              <w:t xml:space="preserve"> </w:t>
            </w:r>
            <w:r w:rsidRPr="00401C70">
              <w:rPr>
                <w:rFonts w:ascii="Abadi" w:hAnsi="Abadi" w:cs="Calibri"/>
                <w:sz w:val="21"/>
                <w:szCs w:val="21"/>
              </w:rPr>
              <w:t>lo</w:t>
            </w:r>
            <w:r w:rsidRPr="00401C70">
              <w:rPr>
                <w:rFonts w:ascii="Abadi" w:hAnsi="Abadi" w:cs="Calibri"/>
                <w:spacing w:val="-4"/>
                <w:sz w:val="21"/>
                <w:szCs w:val="21"/>
              </w:rPr>
              <w:t xml:space="preserve"> </w:t>
            </w:r>
            <w:r w:rsidRPr="00401C70">
              <w:rPr>
                <w:rFonts w:ascii="Abadi" w:hAnsi="Abadi" w:cs="Calibri"/>
                <w:sz w:val="21"/>
                <w:szCs w:val="21"/>
              </w:rPr>
              <w:t>dispuesto</w:t>
            </w:r>
            <w:r w:rsidRPr="00401C70">
              <w:rPr>
                <w:rFonts w:ascii="Abadi" w:hAnsi="Abadi" w:cs="Calibri"/>
                <w:spacing w:val="-7"/>
                <w:sz w:val="21"/>
                <w:szCs w:val="21"/>
              </w:rPr>
              <w:t xml:space="preserve"> </w:t>
            </w:r>
            <w:r w:rsidRPr="00401C70">
              <w:rPr>
                <w:rFonts w:ascii="Abadi" w:hAnsi="Abadi" w:cs="Calibri"/>
                <w:sz w:val="21"/>
                <w:szCs w:val="21"/>
              </w:rPr>
              <w:t>por</w:t>
            </w:r>
            <w:r w:rsidRPr="00401C70">
              <w:rPr>
                <w:rFonts w:ascii="Abadi" w:hAnsi="Abadi" w:cs="Calibri"/>
                <w:spacing w:val="-47"/>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ordenamiento</w:t>
            </w:r>
            <w:r w:rsidRPr="00401C70">
              <w:rPr>
                <w:rFonts w:ascii="Abadi" w:hAnsi="Abadi" w:cs="Calibri"/>
                <w:spacing w:val="-1"/>
                <w:sz w:val="21"/>
                <w:szCs w:val="21"/>
              </w:rPr>
              <w:t xml:space="preserve"> </w:t>
            </w:r>
            <w:r w:rsidRPr="00401C70">
              <w:rPr>
                <w:rFonts w:ascii="Abadi" w:hAnsi="Abadi" w:cs="Calibri"/>
                <w:sz w:val="21"/>
                <w:szCs w:val="21"/>
              </w:rPr>
              <w:t>jurídico</w:t>
            </w:r>
            <w:r w:rsidRPr="00401C70">
              <w:rPr>
                <w:rFonts w:ascii="Abadi" w:hAnsi="Abadi" w:cs="Calibri"/>
                <w:spacing w:val="-2"/>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los</w:t>
            </w:r>
            <w:r w:rsidRPr="00401C70">
              <w:rPr>
                <w:rFonts w:ascii="Abadi" w:hAnsi="Abadi" w:cs="Calibri"/>
                <w:spacing w:val="-3"/>
                <w:sz w:val="21"/>
                <w:szCs w:val="21"/>
              </w:rPr>
              <w:t xml:space="preserve"> </w:t>
            </w:r>
            <w:r w:rsidRPr="00401C70">
              <w:rPr>
                <w:rFonts w:ascii="Abadi" w:hAnsi="Abadi" w:cs="Calibri"/>
                <w:sz w:val="21"/>
                <w:szCs w:val="21"/>
              </w:rPr>
              <w:t>regule.</w:t>
            </w:r>
          </w:p>
        </w:tc>
      </w:tr>
      <w:tr w:rsidR="00677B7E" w:rsidRPr="00401C70" w14:paraId="540A33EB" w14:textId="77777777" w:rsidTr="003343AD">
        <w:trPr>
          <w:trHeight w:val="920"/>
        </w:trPr>
        <w:tc>
          <w:tcPr>
            <w:tcW w:w="2500" w:type="pct"/>
            <w:tcBorders>
              <w:top w:val="none" w:sz="6" w:space="0" w:color="auto"/>
              <w:left w:val="single" w:sz="4" w:space="0" w:color="000000"/>
              <w:bottom w:val="single" w:sz="4" w:space="0" w:color="000000"/>
              <w:right w:val="single" w:sz="4" w:space="0" w:color="000000"/>
            </w:tcBorders>
          </w:tcPr>
          <w:p w14:paraId="062FC955" w14:textId="77777777" w:rsidR="00677B7E" w:rsidRPr="00401C70" w:rsidRDefault="00677B7E" w:rsidP="00FA2590">
            <w:pPr>
              <w:kinsoku w:val="0"/>
              <w:overflowPunct w:val="0"/>
              <w:autoSpaceDE w:val="0"/>
              <w:autoSpaceDN w:val="0"/>
              <w:adjustRightInd w:val="0"/>
              <w:spacing w:before="113"/>
              <w:ind w:left="107" w:right="84"/>
              <w:jc w:val="both"/>
              <w:rPr>
                <w:rFonts w:ascii="Abadi" w:hAnsi="Abadi" w:cs="Calibri"/>
                <w:sz w:val="21"/>
                <w:szCs w:val="21"/>
              </w:rPr>
            </w:pPr>
            <w:r w:rsidRPr="00401C70">
              <w:rPr>
                <w:rFonts w:ascii="Abadi" w:hAnsi="Abadi" w:cs="Calibri"/>
                <w:sz w:val="21"/>
                <w:szCs w:val="21"/>
              </w:rPr>
              <w:t xml:space="preserve">Los     </w:t>
            </w:r>
            <w:r w:rsidRPr="00401C70">
              <w:rPr>
                <w:rFonts w:ascii="Abadi" w:hAnsi="Abadi" w:cs="Calibri"/>
                <w:spacing w:val="17"/>
                <w:sz w:val="21"/>
                <w:szCs w:val="21"/>
              </w:rPr>
              <w:t xml:space="preserve"> </w:t>
            </w:r>
            <w:r w:rsidRPr="00401C70">
              <w:rPr>
                <w:rFonts w:ascii="Abadi" w:hAnsi="Abadi" w:cs="Calibri"/>
                <w:spacing w:val="-1"/>
                <w:sz w:val="21"/>
                <w:szCs w:val="21"/>
              </w:rPr>
              <w:t>directores</w:t>
            </w:r>
            <w:r w:rsidRPr="00401C70">
              <w:rPr>
                <w:rFonts w:ascii="Abadi" w:hAnsi="Abadi" w:cs="Calibri"/>
                <w:spacing w:val="58"/>
                <w:sz w:val="21"/>
                <w:szCs w:val="21"/>
              </w:rPr>
              <w:t xml:space="preserve">   </w:t>
            </w:r>
            <w:r w:rsidRPr="00401C70">
              <w:rPr>
                <w:rFonts w:ascii="Abadi" w:hAnsi="Abadi" w:cs="Calibri"/>
                <w:spacing w:val="-1"/>
                <w:sz w:val="21"/>
                <w:szCs w:val="21"/>
              </w:rPr>
              <w:t>generales</w:t>
            </w:r>
            <w:r w:rsidRPr="00401C70">
              <w:rPr>
                <w:rFonts w:ascii="Abadi" w:hAnsi="Abadi" w:cs="Calibri"/>
                <w:spacing w:val="57"/>
                <w:sz w:val="21"/>
                <w:szCs w:val="21"/>
              </w:rPr>
              <w:t xml:space="preserve">   </w:t>
            </w:r>
            <w:r w:rsidRPr="00401C70">
              <w:rPr>
                <w:rFonts w:ascii="Abadi" w:hAnsi="Abadi" w:cs="Calibri"/>
                <w:spacing w:val="-1"/>
                <w:sz w:val="21"/>
                <w:szCs w:val="21"/>
              </w:rPr>
              <w:t>tendrán</w:t>
            </w:r>
            <w:r w:rsidRPr="00401C70">
              <w:rPr>
                <w:rFonts w:ascii="Abadi" w:hAnsi="Abadi" w:cs="Calibri"/>
                <w:spacing w:val="57"/>
                <w:sz w:val="21"/>
                <w:szCs w:val="21"/>
              </w:rPr>
              <w:t xml:space="preserve">  </w:t>
            </w:r>
            <w:r w:rsidRPr="00401C70">
              <w:rPr>
                <w:rFonts w:ascii="Abadi" w:hAnsi="Abadi" w:cs="Calibri"/>
                <w:spacing w:val="58"/>
                <w:sz w:val="21"/>
                <w:szCs w:val="21"/>
              </w:rPr>
              <w:t xml:space="preserve"> </w:t>
            </w:r>
            <w:r w:rsidRPr="00401C70">
              <w:rPr>
                <w:rFonts w:ascii="Abadi" w:hAnsi="Abadi" w:cs="Calibri"/>
                <w:sz w:val="21"/>
                <w:szCs w:val="21"/>
              </w:rPr>
              <w:t>la</w:t>
            </w:r>
            <w:r w:rsidRPr="00401C70">
              <w:rPr>
                <w:rFonts w:ascii="Abadi" w:hAnsi="Abadi" w:cs="Calibri"/>
                <w:spacing w:val="-47"/>
                <w:sz w:val="21"/>
                <w:szCs w:val="21"/>
              </w:rPr>
              <w:t xml:space="preserve"> </w:t>
            </w:r>
            <w:r w:rsidRPr="00401C70">
              <w:rPr>
                <w:rFonts w:ascii="Abadi" w:hAnsi="Abadi" w:cs="Calibri"/>
                <w:sz w:val="21"/>
                <w:szCs w:val="21"/>
              </w:rPr>
              <w:t>representación</w:t>
            </w:r>
            <w:r w:rsidRPr="00401C70">
              <w:rPr>
                <w:rFonts w:ascii="Abadi" w:hAnsi="Abadi" w:cs="Calibri"/>
                <w:spacing w:val="-2"/>
                <w:sz w:val="21"/>
                <w:szCs w:val="21"/>
              </w:rPr>
              <w:t xml:space="preserve"> </w:t>
            </w:r>
            <w:r w:rsidRPr="00401C70">
              <w:rPr>
                <w:rFonts w:ascii="Abadi" w:hAnsi="Abadi" w:cs="Calibri"/>
                <w:sz w:val="21"/>
                <w:szCs w:val="21"/>
              </w:rPr>
              <w:t>legal</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2"/>
                <w:sz w:val="21"/>
                <w:szCs w:val="21"/>
              </w:rPr>
              <w:t xml:space="preserve"> </w:t>
            </w:r>
            <w:r w:rsidRPr="00401C70">
              <w:rPr>
                <w:rFonts w:ascii="Abadi" w:hAnsi="Abadi" w:cs="Calibri"/>
                <w:sz w:val="21"/>
                <w:szCs w:val="21"/>
              </w:rPr>
              <w:t>organismo.</w:t>
            </w:r>
          </w:p>
        </w:tc>
        <w:tc>
          <w:tcPr>
            <w:tcW w:w="2500" w:type="pct"/>
            <w:tcBorders>
              <w:top w:val="none" w:sz="6" w:space="0" w:color="auto"/>
              <w:left w:val="single" w:sz="4" w:space="0" w:color="000000"/>
              <w:bottom w:val="single" w:sz="4" w:space="0" w:color="000000"/>
              <w:right w:val="single" w:sz="4" w:space="0" w:color="000000"/>
            </w:tcBorders>
          </w:tcPr>
          <w:p w14:paraId="724B7667" w14:textId="77777777" w:rsidR="00677B7E" w:rsidRPr="00401C70" w:rsidRDefault="00677B7E" w:rsidP="00FA2590">
            <w:pPr>
              <w:kinsoku w:val="0"/>
              <w:overflowPunct w:val="0"/>
              <w:autoSpaceDE w:val="0"/>
              <w:autoSpaceDN w:val="0"/>
              <w:adjustRightInd w:val="0"/>
              <w:spacing w:before="92" w:line="270" w:lineRule="atLeast"/>
              <w:ind w:left="107" w:right="93"/>
              <w:jc w:val="both"/>
              <w:rPr>
                <w:rFonts w:ascii="Abadi" w:hAnsi="Abadi" w:cs="Calibri"/>
                <w:sz w:val="21"/>
                <w:szCs w:val="21"/>
              </w:rPr>
            </w:pPr>
            <w:r w:rsidRPr="00401C70">
              <w:rPr>
                <w:rFonts w:ascii="Abadi" w:hAnsi="Abadi" w:cs="Calibri"/>
                <w:b/>
                <w:bCs/>
                <w:i/>
                <w:iCs/>
                <w:sz w:val="21"/>
                <w:szCs w:val="21"/>
              </w:rPr>
              <w:t>Las</w:t>
            </w:r>
            <w:r w:rsidRPr="00401C70">
              <w:rPr>
                <w:rFonts w:ascii="Abadi" w:hAnsi="Abadi" w:cs="Calibri"/>
                <w:b/>
                <w:bCs/>
                <w:i/>
                <w:iCs/>
                <w:spacing w:val="1"/>
                <w:sz w:val="21"/>
                <w:szCs w:val="21"/>
              </w:rPr>
              <w:t xml:space="preserve"> </w:t>
            </w:r>
            <w:r w:rsidRPr="00401C70">
              <w:rPr>
                <w:rFonts w:ascii="Abadi" w:hAnsi="Abadi" w:cs="Calibri"/>
                <w:b/>
                <w:bCs/>
                <w:i/>
                <w:iCs/>
                <w:sz w:val="21"/>
                <w:szCs w:val="21"/>
              </w:rPr>
              <w:t>personas</w:t>
            </w:r>
            <w:r w:rsidRPr="00401C70">
              <w:rPr>
                <w:rFonts w:ascii="Abadi" w:hAnsi="Abadi" w:cs="Calibri"/>
                <w:b/>
                <w:bCs/>
                <w:i/>
                <w:iCs/>
                <w:spacing w:val="1"/>
                <w:sz w:val="21"/>
                <w:szCs w:val="21"/>
              </w:rPr>
              <w:t xml:space="preserve"> </w:t>
            </w:r>
            <w:r w:rsidRPr="00401C70">
              <w:rPr>
                <w:rFonts w:ascii="Abadi" w:hAnsi="Abadi" w:cs="Calibri"/>
                <w:b/>
                <w:bCs/>
                <w:i/>
                <w:iCs/>
                <w:sz w:val="21"/>
                <w:szCs w:val="21"/>
              </w:rPr>
              <w:t>titulares</w:t>
            </w:r>
            <w:r w:rsidRPr="00401C70">
              <w:rPr>
                <w:rFonts w:ascii="Abadi" w:hAnsi="Abadi" w:cs="Calibri"/>
                <w:b/>
                <w:bCs/>
                <w:i/>
                <w:iCs/>
                <w:spacing w:val="1"/>
                <w:sz w:val="21"/>
                <w:szCs w:val="21"/>
              </w:rPr>
              <w:t xml:space="preserve"> </w:t>
            </w:r>
            <w:r w:rsidRPr="00401C70">
              <w:rPr>
                <w:rFonts w:ascii="Abadi" w:hAnsi="Abadi" w:cs="Calibri"/>
                <w:b/>
                <w:bCs/>
                <w:i/>
                <w:iCs/>
                <w:sz w:val="21"/>
                <w:szCs w:val="21"/>
              </w:rPr>
              <w:t>de</w:t>
            </w:r>
            <w:r w:rsidRPr="00401C70">
              <w:rPr>
                <w:rFonts w:ascii="Abadi" w:hAnsi="Abadi" w:cs="Calibri"/>
                <w:b/>
                <w:bCs/>
                <w:i/>
                <w:iCs/>
                <w:spacing w:val="1"/>
                <w:sz w:val="21"/>
                <w:szCs w:val="21"/>
              </w:rPr>
              <w:t xml:space="preserve"> </w:t>
            </w:r>
            <w:r w:rsidRPr="00401C70">
              <w:rPr>
                <w:rFonts w:ascii="Abadi" w:hAnsi="Abadi" w:cs="Calibri"/>
                <w:b/>
                <w:bCs/>
                <w:i/>
                <w:iCs/>
                <w:sz w:val="21"/>
                <w:szCs w:val="21"/>
              </w:rPr>
              <w:t>las</w:t>
            </w:r>
            <w:r w:rsidRPr="00401C70">
              <w:rPr>
                <w:rFonts w:ascii="Abadi" w:hAnsi="Abadi" w:cs="Calibri"/>
                <w:b/>
                <w:bCs/>
                <w:i/>
                <w:iCs/>
                <w:spacing w:val="1"/>
                <w:sz w:val="21"/>
                <w:szCs w:val="21"/>
              </w:rPr>
              <w:t xml:space="preserve"> </w:t>
            </w:r>
            <w:r w:rsidRPr="00401C70">
              <w:rPr>
                <w:rFonts w:ascii="Abadi" w:hAnsi="Abadi" w:cs="Calibri"/>
                <w:b/>
                <w:bCs/>
                <w:i/>
                <w:iCs/>
                <w:sz w:val="21"/>
                <w:szCs w:val="21"/>
              </w:rPr>
              <w:t>direcciones</w:t>
            </w:r>
            <w:r w:rsidRPr="00401C70">
              <w:rPr>
                <w:rFonts w:ascii="Abadi" w:hAnsi="Abadi" w:cs="Calibri"/>
                <w:b/>
                <w:bCs/>
                <w:i/>
                <w:iCs/>
                <w:spacing w:val="1"/>
                <w:sz w:val="21"/>
                <w:szCs w:val="21"/>
              </w:rPr>
              <w:t xml:space="preserve"> </w:t>
            </w:r>
            <w:r w:rsidRPr="00401C70">
              <w:rPr>
                <w:rFonts w:ascii="Abadi" w:hAnsi="Abadi" w:cs="Calibri"/>
                <w:b/>
                <w:bCs/>
                <w:i/>
                <w:iCs/>
                <w:sz w:val="21"/>
                <w:szCs w:val="21"/>
              </w:rPr>
              <w:t xml:space="preserve">generales </w:t>
            </w:r>
            <w:r w:rsidRPr="00401C70">
              <w:rPr>
                <w:rFonts w:ascii="Abadi" w:hAnsi="Abadi" w:cs="Calibri"/>
                <w:sz w:val="21"/>
                <w:szCs w:val="21"/>
              </w:rPr>
              <w:t xml:space="preserve">tendrán la </w:t>
            </w:r>
            <w:r w:rsidRPr="00401C70">
              <w:rPr>
                <w:rFonts w:ascii="Abadi" w:hAnsi="Abadi" w:cs="Calibri"/>
                <w:sz w:val="21"/>
                <w:szCs w:val="21"/>
              </w:rPr>
              <w:lastRenderedPageBreak/>
              <w:t>representación legal del</w:t>
            </w:r>
            <w:r w:rsidRPr="00401C70">
              <w:rPr>
                <w:rFonts w:ascii="Abadi" w:hAnsi="Abadi" w:cs="Calibri"/>
                <w:spacing w:val="1"/>
                <w:sz w:val="21"/>
                <w:szCs w:val="21"/>
              </w:rPr>
              <w:t xml:space="preserve"> </w:t>
            </w:r>
            <w:r w:rsidRPr="00401C70">
              <w:rPr>
                <w:rFonts w:ascii="Abadi" w:hAnsi="Abadi" w:cs="Calibri"/>
                <w:sz w:val="21"/>
                <w:szCs w:val="21"/>
              </w:rPr>
              <w:t>organismo.</w:t>
            </w:r>
          </w:p>
        </w:tc>
      </w:tr>
      <w:tr w:rsidR="00677B7E" w:rsidRPr="00401C70" w14:paraId="09D28229" w14:textId="77777777" w:rsidTr="003343AD">
        <w:trPr>
          <w:trHeight w:val="1632"/>
        </w:trPr>
        <w:tc>
          <w:tcPr>
            <w:tcW w:w="2500" w:type="pct"/>
            <w:tcBorders>
              <w:top w:val="single" w:sz="4" w:space="0" w:color="000000"/>
              <w:left w:val="single" w:sz="4" w:space="0" w:color="000000"/>
              <w:bottom w:val="none" w:sz="6" w:space="0" w:color="auto"/>
              <w:right w:val="single" w:sz="4" w:space="0" w:color="000000"/>
            </w:tcBorders>
          </w:tcPr>
          <w:p w14:paraId="2676AACB" w14:textId="77777777" w:rsidR="00677B7E" w:rsidRPr="00401C70" w:rsidRDefault="00677B7E" w:rsidP="00FA2590">
            <w:pPr>
              <w:kinsoku w:val="0"/>
              <w:overflowPunct w:val="0"/>
              <w:autoSpaceDE w:val="0"/>
              <w:autoSpaceDN w:val="0"/>
              <w:adjustRightInd w:val="0"/>
              <w:ind w:left="107" w:right="93"/>
              <w:jc w:val="both"/>
              <w:rPr>
                <w:rFonts w:ascii="Abadi" w:hAnsi="Abadi" w:cs="Calibri"/>
                <w:sz w:val="21"/>
                <w:szCs w:val="21"/>
              </w:rPr>
            </w:pPr>
            <w:r w:rsidRPr="00401C70">
              <w:rPr>
                <w:rFonts w:ascii="Abadi" w:hAnsi="Abadi" w:cs="Calibri"/>
                <w:b/>
                <w:bCs/>
                <w:sz w:val="21"/>
                <w:szCs w:val="21"/>
              </w:rPr>
              <w:lastRenderedPageBreak/>
              <w:t xml:space="preserve">Artículo 54.- </w:t>
            </w:r>
            <w:r w:rsidRPr="00401C70">
              <w:rPr>
                <w:rFonts w:ascii="Abadi" w:hAnsi="Abadi" w:cs="Calibri"/>
                <w:sz w:val="21"/>
                <w:szCs w:val="21"/>
              </w:rPr>
              <w:t>Los directores</w:t>
            </w:r>
            <w:r w:rsidRPr="00401C70">
              <w:rPr>
                <w:rFonts w:ascii="Abadi" w:hAnsi="Abadi" w:cs="Calibri"/>
                <w:spacing w:val="1"/>
                <w:sz w:val="21"/>
                <w:szCs w:val="21"/>
              </w:rPr>
              <w:t xml:space="preserve"> </w:t>
            </w:r>
            <w:r w:rsidRPr="00401C70">
              <w:rPr>
                <w:rFonts w:ascii="Abadi" w:hAnsi="Abadi" w:cs="Calibri"/>
                <w:sz w:val="21"/>
                <w:szCs w:val="21"/>
              </w:rPr>
              <w:t>generales de</w:t>
            </w:r>
            <w:r w:rsidRPr="00401C70">
              <w:rPr>
                <w:rFonts w:ascii="Abadi" w:hAnsi="Abadi" w:cs="Calibri"/>
                <w:spacing w:val="1"/>
                <w:sz w:val="21"/>
                <w:szCs w:val="21"/>
              </w:rPr>
              <w:t xml:space="preserve"> </w:t>
            </w: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organismos descentralizados, sin perjuicio de</w:t>
            </w:r>
            <w:r w:rsidRPr="00401C70">
              <w:rPr>
                <w:rFonts w:ascii="Abadi" w:hAnsi="Abadi" w:cs="Calibri"/>
                <w:spacing w:val="1"/>
                <w:sz w:val="21"/>
                <w:szCs w:val="21"/>
              </w:rPr>
              <w:t xml:space="preserve"> </w:t>
            </w:r>
            <w:r w:rsidRPr="00401C70">
              <w:rPr>
                <w:rFonts w:ascii="Abadi" w:hAnsi="Abadi" w:cs="Calibri"/>
                <w:sz w:val="21"/>
                <w:szCs w:val="21"/>
              </w:rPr>
              <w:t>las atribuciones que se les otorguen en otras</w:t>
            </w:r>
            <w:r w:rsidRPr="00401C70">
              <w:rPr>
                <w:rFonts w:ascii="Abadi" w:hAnsi="Abadi" w:cs="Calibri"/>
                <w:spacing w:val="1"/>
                <w:sz w:val="21"/>
                <w:szCs w:val="21"/>
              </w:rPr>
              <w:t xml:space="preserve"> </w:t>
            </w:r>
            <w:r w:rsidRPr="00401C70">
              <w:rPr>
                <w:rFonts w:ascii="Abadi" w:hAnsi="Abadi" w:cs="Calibri"/>
                <w:sz w:val="21"/>
                <w:szCs w:val="21"/>
              </w:rPr>
              <w:t>disposiciones</w:t>
            </w:r>
            <w:r w:rsidRPr="00401C70">
              <w:rPr>
                <w:rFonts w:ascii="Abadi" w:hAnsi="Abadi" w:cs="Calibri"/>
                <w:spacing w:val="1"/>
                <w:sz w:val="21"/>
                <w:szCs w:val="21"/>
              </w:rPr>
              <w:t xml:space="preserve"> </w:t>
            </w:r>
            <w:r w:rsidRPr="00401C70">
              <w:rPr>
                <w:rFonts w:ascii="Abadi" w:hAnsi="Abadi" w:cs="Calibri"/>
                <w:sz w:val="21"/>
                <w:szCs w:val="21"/>
              </w:rPr>
              <w:t>legales</w:t>
            </w:r>
            <w:r w:rsidRPr="00401C70">
              <w:rPr>
                <w:rFonts w:ascii="Abadi" w:hAnsi="Abadi" w:cs="Calibri"/>
                <w:spacing w:val="1"/>
                <w:sz w:val="21"/>
                <w:szCs w:val="21"/>
              </w:rPr>
              <w:t xml:space="preserve"> </w:t>
            </w:r>
            <w:r w:rsidRPr="00401C70">
              <w:rPr>
                <w:rFonts w:ascii="Abadi" w:hAnsi="Abadi" w:cs="Calibri"/>
                <w:sz w:val="21"/>
                <w:szCs w:val="21"/>
              </w:rPr>
              <w:t>aplicables,</w:t>
            </w:r>
            <w:r w:rsidRPr="00401C70">
              <w:rPr>
                <w:rFonts w:ascii="Abadi" w:hAnsi="Abadi" w:cs="Calibri"/>
                <w:spacing w:val="1"/>
                <w:sz w:val="21"/>
                <w:szCs w:val="21"/>
              </w:rPr>
              <w:t xml:space="preserve"> </w:t>
            </w:r>
            <w:r w:rsidRPr="00401C70">
              <w:rPr>
                <w:rFonts w:ascii="Abadi" w:hAnsi="Abadi" w:cs="Calibri"/>
                <w:sz w:val="21"/>
                <w:szCs w:val="21"/>
              </w:rPr>
              <w:t>tendrán</w:t>
            </w:r>
            <w:r w:rsidRPr="00401C70">
              <w:rPr>
                <w:rFonts w:ascii="Abadi" w:hAnsi="Abadi" w:cs="Calibri"/>
                <w:spacing w:val="1"/>
                <w:sz w:val="21"/>
                <w:szCs w:val="21"/>
              </w:rPr>
              <w:t xml:space="preserve"> </w:t>
            </w:r>
            <w:r w:rsidRPr="00401C70">
              <w:rPr>
                <w:rFonts w:ascii="Abadi" w:hAnsi="Abadi" w:cs="Calibri"/>
                <w:sz w:val="21"/>
                <w:szCs w:val="21"/>
              </w:rPr>
              <w:t>las</w:t>
            </w:r>
            <w:r w:rsidRPr="00401C70">
              <w:rPr>
                <w:rFonts w:ascii="Abadi" w:hAnsi="Abadi" w:cs="Calibri"/>
                <w:spacing w:val="1"/>
                <w:sz w:val="21"/>
                <w:szCs w:val="21"/>
              </w:rPr>
              <w:t xml:space="preserve"> </w:t>
            </w:r>
            <w:r w:rsidRPr="00401C70">
              <w:rPr>
                <w:rFonts w:ascii="Abadi" w:hAnsi="Abadi" w:cs="Calibri"/>
                <w:sz w:val="21"/>
                <w:szCs w:val="21"/>
              </w:rPr>
              <w:t>siguientes:</w:t>
            </w:r>
          </w:p>
        </w:tc>
        <w:tc>
          <w:tcPr>
            <w:tcW w:w="2500" w:type="pct"/>
            <w:tcBorders>
              <w:top w:val="single" w:sz="4" w:space="0" w:color="000000"/>
              <w:left w:val="single" w:sz="4" w:space="0" w:color="000000"/>
              <w:bottom w:val="none" w:sz="6" w:space="0" w:color="auto"/>
              <w:right w:val="single" w:sz="4" w:space="0" w:color="000000"/>
            </w:tcBorders>
          </w:tcPr>
          <w:p w14:paraId="31830138" w14:textId="77777777" w:rsidR="00677B7E" w:rsidRPr="00401C70" w:rsidRDefault="00677B7E" w:rsidP="00FA2590">
            <w:pPr>
              <w:kinsoku w:val="0"/>
              <w:overflowPunct w:val="0"/>
              <w:autoSpaceDE w:val="0"/>
              <w:autoSpaceDN w:val="0"/>
              <w:adjustRightInd w:val="0"/>
              <w:ind w:left="107" w:right="93"/>
              <w:jc w:val="both"/>
              <w:rPr>
                <w:rFonts w:ascii="Abadi" w:hAnsi="Abadi" w:cs="Calibri"/>
                <w:sz w:val="21"/>
                <w:szCs w:val="21"/>
              </w:rPr>
            </w:pPr>
            <w:r w:rsidRPr="00401C70">
              <w:rPr>
                <w:rFonts w:ascii="Abadi" w:hAnsi="Abadi" w:cs="Calibri"/>
                <w:b/>
                <w:bCs/>
                <w:sz w:val="21"/>
                <w:szCs w:val="21"/>
              </w:rPr>
              <w:t>Artículo</w:t>
            </w:r>
            <w:r w:rsidRPr="00401C70">
              <w:rPr>
                <w:rFonts w:ascii="Abadi" w:hAnsi="Abadi" w:cs="Calibri"/>
                <w:b/>
                <w:bCs/>
                <w:spacing w:val="1"/>
                <w:sz w:val="21"/>
                <w:szCs w:val="21"/>
              </w:rPr>
              <w:t xml:space="preserve"> </w:t>
            </w:r>
            <w:r w:rsidRPr="00401C70">
              <w:rPr>
                <w:rFonts w:ascii="Abadi" w:hAnsi="Abadi" w:cs="Calibri"/>
                <w:b/>
                <w:bCs/>
                <w:sz w:val="21"/>
                <w:szCs w:val="21"/>
              </w:rPr>
              <w:t>54.-</w:t>
            </w:r>
            <w:r w:rsidRPr="00401C70">
              <w:rPr>
                <w:rFonts w:ascii="Abadi" w:hAnsi="Abadi" w:cs="Calibri"/>
                <w:b/>
                <w:bCs/>
                <w:spacing w:val="1"/>
                <w:sz w:val="21"/>
                <w:szCs w:val="21"/>
              </w:rPr>
              <w:t xml:space="preserve"> </w:t>
            </w:r>
            <w:r w:rsidRPr="00401C70">
              <w:rPr>
                <w:rFonts w:ascii="Abadi" w:hAnsi="Abadi" w:cs="Calibri"/>
                <w:b/>
                <w:bCs/>
                <w:i/>
                <w:iCs/>
                <w:sz w:val="21"/>
                <w:szCs w:val="21"/>
              </w:rPr>
              <w:t>Las</w:t>
            </w:r>
            <w:r w:rsidRPr="00401C70">
              <w:rPr>
                <w:rFonts w:ascii="Abadi" w:hAnsi="Abadi" w:cs="Calibri"/>
                <w:b/>
                <w:bCs/>
                <w:i/>
                <w:iCs/>
                <w:spacing w:val="1"/>
                <w:sz w:val="21"/>
                <w:szCs w:val="21"/>
              </w:rPr>
              <w:t xml:space="preserve"> </w:t>
            </w:r>
            <w:r w:rsidRPr="00401C70">
              <w:rPr>
                <w:rFonts w:ascii="Abadi" w:hAnsi="Abadi" w:cs="Calibri"/>
                <w:b/>
                <w:bCs/>
                <w:i/>
                <w:iCs/>
                <w:sz w:val="21"/>
                <w:szCs w:val="21"/>
              </w:rPr>
              <w:t>personas</w:t>
            </w:r>
            <w:r w:rsidRPr="00401C70">
              <w:rPr>
                <w:rFonts w:ascii="Abadi" w:hAnsi="Abadi" w:cs="Calibri"/>
                <w:b/>
                <w:bCs/>
                <w:i/>
                <w:iCs/>
                <w:spacing w:val="1"/>
                <w:sz w:val="21"/>
                <w:szCs w:val="21"/>
              </w:rPr>
              <w:t xml:space="preserve"> </w:t>
            </w:r>
            <w:r w:rsidRPr="00401C70">
              <w:rPr>
                <w:rFonts w:ascii="Abadi" w:hAnsi="Abadi" w:cs="Calibri"/>
                <w:b/>
                <w:bCs/>
                <w:i/>
                <w:iCs/>
                <w:sz w:val="21"/>
                <w:szCs w:val="21"/>
              </w:rPr>
              <w:t>titulares</w:t>
            </w:r>
            <w:r w:rsidRPr="00401C70">
              <w:rPr>
                <w:rFonts w:ascii="Abadi" w:hAnsi="Abadi" w:cs="Calibri"/>
                <w:b/>
                <w:bCs/>
                <w:i/>
                <w:iCs/>
                <w:spacing w:val="1"/>
                <w:sz w:val="21"/>
                <w:szCs w:val="21"/>
              </w:rPr>
              <w:t xml:space="preserve"> </w:t>
            </w:r>
            <w:r w:rsidRPr="00401C70">
              <w:rPr>
                <w:rFonts w:ascii="Abadi" w:hAnsi="Abadi" w:cs="Calibri"/>
                <w:b/>
                <w:bCs/>
                <w:i/>
                <w:iCs/>
                <w:sz w:val="21"/>
                <w:szCs w:val="21"/>
              </w:rPr>
              <w:t>de</w:t>
            </w:r>
            <w:r w:rsidRPr="00401C70">
              <w:rPr>
                <w:rFonts w:ascii="Abadi" w:hAnsi="Abadi" w:cs="Calibri"/>
                <w:b/>
                <w:bCs/>
                <w:i/>
                <w:iCs/>
                <w:spacing w:val="1"/>
                <w:sz w:val="21"/>
                <w:szCs w:val="21"/>
              </w:rPr>
              <w:t xml:space="preserve"> </w:t>
            </w:r>
            <w:r w:rsidRPr="00401C70">
              <w:rPr>
                <w:rFonts w:ascii="Abadi" w:hAnsi="Abadi" w:cs="Calibri"/>
                <w:b/>
                <w:bCs/>
                <w:i/>
                <w:iCs/>
                <w:sz w:val="21"/>
                <w:szCs w:val="21"/>
              </w:rPr>
              <w:t>las</w:t>
            </w:r>
            <w:r w:rsidRPr="00401C70">
              <w:rPr>
                <w:rFonts w:ascii="Abadi" w:hAnsi="Abadi" w:cs="Calibri"/>
                <w:b/>
                <w:bCs/>
                <w:i/>
                <w:iCs/>
                <w:spacing w:val="1"/>
                <w:sz w:val="21"/>
                <w:szCs w:val="21"/>
              </w:rPr>
              <w:t xml:space="preserve"> </w:t>
            </w:r>
            <w:r w:rsidRPr="00401C70">
              <w:rPr>
                <w:rFonts w:ascii="Abadi" w:hAnsi="Abadi" w:cs="Calibri"/>
                <w:b/>
                <w:bCs/>
                <w:i/>
                <w:iCs/>
                <w:sz w:val="21"/>
                <w:szCs w:val="21"/>
              </w:rPr>
              <w:t>direcciones</w:t>
            </w:r>
            <w:r w:rsidRPr="00401C70">
              <w:rPr>
                <w:rFonts w:ascii="Abadi" w:hAnsi="Abadi" w:cs="Calibri"/>
                <w:b/>
                <w:bCs/>
                <w:i/>
                <w:iCs/>
                <w:spacing w:val="1"/>
                <w:sz w:val="21"/>
                <w:szCs w:val="21"/>
              </w:rPr>
              <w:t xml:space="preserve"> </w:t>
            </w:r>
            <w:r w:rsidRPr="00401C70">
              <w:rPr>
                <w:rFonts w:ascii="Abadi" w:hAnsi="Abadi" w:cs="Calibri"/>
                <w:sz w:val="21"/>
                <w:szCs w:val="21"/>
              </w:rPr>
              <w:t>generales</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organismos</w:t>
            </w:r>
            <w:r w:rsidRPr="00401C70">
              <w:rPr>
                <w:rFonts w:ascii="Abadi" w:hAnsi="Abadi" w:cs="Calibri"/>
                <w:spacing w:val="1"/>
                <w:sz w:val="21"/>
                <w:szCs w:val="21"/>
              </w:rPr>
              <w:t xml:space="preserve"> </w:t>
            </w:r>
            <w:r w:rsidRPr="00401C70">
              <w:rPr>
                <w:rFonts w:ascii="Abadi" w:hAnsi="Abadi" w:cs="Calibri"/>
                <w:sz w:val="21"/>
                <w:szCs w:val="21"/>
              </w:rPr>
              <w:t>descentralizados,</w:t>
            </w:r>
            <w:r w:rsidRPr="00401C70">
              <w:rPr>
                <w:rFonts w:ascii="Abadi" w:hAnsi="Abadi" w:cs="Calibri"/>
                <w:spacing w:val="1"/>
                <w:sz w:val="21"/>
                <w:szCs w:val="21"/>
              </w:rPr>
              <w:t xml:space="preserve"> </w:t>
            </w:r>
            <w:r w:rsidRPr="00401C70">
              <w:rPr>
                <w:rFonts w:ascii="Abadi" w:hAnsi="Abadi" w:cs="Calibri"/>
                <w:sz w:val="21"/>
                <w:szCs w:val="21"/>
              </w:rPr>
              <w:t>sin</w:t>
            </w:r>
            <w:r w:rsidRPr="00401C70">
              <w:rPr>
                <w:rFonts w:ascii="Abadi" w:hAnsi="Abadi" w:cs="Calibri"/>
                <w:spacing w:val="1"/>
                <w:sz w:val="21"/>
                <w:szCs w:val="21"/>
              </w:rPr>
              <w:t xml:space="preserve"> </w:t>
            </w:r>
            <w:r w:rsidRPr="00401C70">
              <w:rPr>
                <w:rFonts w:ascii="Abadi" w:hAnsi="Abadi" w:cs="Calibri"/>
                <w:sz w:val="21"/>
                <w:szCs w:val="21"/>
              </w:rPr>
              <w:t>perjuicio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las</w:t>
            </w:r>
            <w:r w:rsidRPr="00401C70">
              <w:rPr>
                <w:rFonts w:ascii="Abadi" w:hAnsi="Abadi" w:cs="Calibri"/>
                <w:spacing w:val="1"/>
                <w:sz w:val="21"/>
                <w:szCs w:val="21"/>
              </w:rPr>
              <w:t xml:space="preserve"> </w:t>
            </w:r>
            <w:r w:rsidRPr="00401C70">
              <w:rPr>
                <w:rFonts w:ascii="Abadi" w:hAnsi="Abadi" w:cs="Calibri"/>
                <w:sz w:val="21"/>
                <w:szCs w:val="21"/>
              </w:rPr>
              <w:t>atribuciones</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se</w:t>
            </w:r>
            <w:r w:rsidRPr="00401C70">
              <w:rPr>
                <w:rFonts w:ascii="Abadi" w:hAnsi="Abadi" w:cs="Calibri"/>
                <w:spacing w:val="1"/>
                <w:sz w:val="21"/>
                <w:szCs w:val="21"/>
              </w:rPr>
              <w:t xml:space="preserve"> </w:t>
            </w:r>
            <w:r w:rsidRPr="00401C70">
              <w:rPr>
                <w:rFonts w:ascii="Abadi" w:hAnsi="Abadi" w:cs="Calibri"/>
                <w:sz w:val="21"/>
                <w:szCs w:val="21"/>
              </w:rPr>
              <w:t>les</w:t>
            </w:r>
            <w:r w:rsidRPr="00401C70">
              <w:rPr>
                <w:rFonts w:ascii="Abadi" w:hAnsi="Abadi" w:cs="Calibri"/>
                <w:spacing w:val="1"/>
                <w:sz w:val="21"/>
                <w:szCs w:val="21"/>
              </w:rPr>
              <w:t xml:space="preserve"> </w:t>
            </w:r>
            <w:r w:rsidRPr="00401C70">
              <w:rPr>
                <w:rFonts w:ascii="Abadi" w:hAnsi="Abadi" w:cs="Calibri"/>
                <w:sz w:val="21"/>
                <w:szCs w:val="21"/>
              </w:rPr>
              <w:t>otorguen</w:t>
            </w:r>
            <w:r w:rsidRPr="00401C70">
              <w:rPr>
                <w:rFonts w:ascii="Abadi" w:hAnsi="Abadi" w:cs="Calibri"/>
                <w:spacing w:val="1"/>
                <w:sz w:val="21"/>
                <w:szCs w:val="21"/>
              </w:rPr>
              <w:t xml:space="preserve"> </w:t>
            </w:r>
            <w:r w:rsidRPr="00401C70">
              <w:rPr>
                <w:rFonts w:ascii="Abadi" w:hAnsi="Abadi" w:cs="Calibri"/>
                <w:sz w:val="21"/>
                <w:szCs w:val="21"/>
              </w:rPr>
              <w:t>en</w:t>
            </w:r>
            <w:r w:rsidRPr="00401C70">
              <w:rPr>
                <w:rFonts w:ascii="Abadi" w:hAnsi="Abadi" w:cs="Calibri"/>
                <w:spacing w:val="1"/>
                <w:sz w:val="21"/>
                <w:szCs w:val="21"/>
              </w:rPr>
              <w:t xml:space="preserve"> </w:t>
            </w:r>
            <w:r w:rsidRPr="00401C70">
              <w:rPr>
                <w:rFonts w:ascii="Abadi" w:hAnsi="Abadi" w:cs="Calibri"/>
                <w:sz w:val="21"/>
                <w:szCs w:val="21"/>
              </w:rPr>
              <w:t>otras</w:t>
            </w:r>
            <w:r w:rsidRPr="00401C70">
              <w:rPr>
                <w:rFonts w:ascii="Abadi" w:hAnsi="Abadi" w:cs="Calibri"/>
                <w:spacing w:val="1"/>
                <w:sz w:val="21"/>
                <w:szCs w:val="21"/>
              </w:rPr>
              <w:t xml:space="preserve"> </w:t>
            </w:r>
            <w:r w:rsidRPr="00401C70">
              <w:rPr>
                <w:rFonts w:ascii="Abadi" w:hAnsi="Abadi" w:cs="Calibri"/>
                <w:sz w:val="21"/>
                <w:szCs w:val="21"/>
              </w:rPr>
              <w:t>disposiciones</w:t>
            </w:r>
            <w:r w:rsidRPr="00401C70">
              <w:rPr>
                <w:rFonts w:ascii="Abadi" w:hAnsi="Abadi" w:cs="Calibri"/>
                <w:spacing w:val="1"/>
                <w:sz w:val="21"/>
                <w:szCs w:val="21"/>
              </w:rPr>
              <w:t xml:space="preserve"> </w:t>
            </w:r>
            <w:r w:rsidRPr="00401C70">
              <w:rPr>
                <w:rFonts w:ascii="Abadi" w:hAnsi="Abadi" w:cs="Calibri"/>
                <w:sz w:val="21"/>
                <w:szCs w:val="21"/>
              </w:rPr>
              <w:t>legales</w:t>
            </w:r>
            <w:r w:rsidRPr="00401C70">
              <w:rPr>
                <w:rFonts w:ascii="Abadi" w:hAnsi="Abadi" w:cs="Calibri"/>
                <w:spacing w:val="1"/>
                <w:sz w:val="21"/>
                <w:szCs w:val="21"/>
              </w:rPr>
              <w:t xml:space="preserve"> </w:t>
            </w:r>
            <w:r w:rsidRPr="00401C70">
              <w:rPr>
                <w:rFonts w:ascii="Abadi" w:hAnsi="Abadi" w:cs="Calibri"/>
                <w:sz w:val="21"/>
                <w:szCs w:val="21"/>
              </w:rPr>
              <w:t>aplicables,</w:t>
            </w:r>
            <w:r w:rsidRPr="00401C70">
              <w:rPr>
                <w:rFonts w:ascii="Abadi" w:hAnsi="Abadi" w:cs="Calibri"/>
                <w:spacing w:val="1"/>
                <w:sz w:val="21"/>
                <w:szCs w:val="21"/>
              </w:rPr>
              <w:t xml:space="preserve"> </w:t>
            </w:r>
            <w:r w:rsidRPr="00401C70">
              <w:rPr>
                <w:rFonts w:ascii="Abadi" w:hAnsi="Abadi" w:cs="Calibri"/>
                <w:sz w:val="21"/>
                <w:szCs w:val="21"/>
              </w:rPr>
              <w:t>tendrán</w:t>
            </w:r>
            <w:r w:rsidRPr="00401C70">
              <w:rPr>
                <w:rFonts w:ascii="Abadi" w:hAnsi="Abadi" w:cs="Calibri"/>
                <w:spacing w:val="1"/>
                <w:sz w:val="21"/>
                <w:szCs w:val="21"/>
              </w:rPr>
              <w:t xml:space="preserve"> </w:t>
            </w:r>
            <w:r w:rsidRPr="00401C70">
              <w:rPr>
                <w:rFonts w:ascii="Abadi" w:hAnsi="Abadi" w:cs="Calibri"/>
                <w:sz w:val="21"/>
                <w:szCs w:val="21"/>
              </w:rPr>
              <w:t>las</w:t>
            </w:r>
            <w:r w:rsidRPr="00401C70">
              <w:rPr>
                <w:rFonts w:ascii="Abadi" w:hAnsi="Abadi" w:cs="Calibri"/>
                <w:spacing w:val="1"/>
                <w:sz w:val="21"/>
                <w:szCs w:val="21"/>
              </w:rPr>
              <w:t xml:space="preserve"> </w:t>
            </w:r>
            <w:r w:rsidRPr="00401C70">
              <w:rPr>
                <w:rFonts w:ascii="Abadi" w:hAnsi="Abadi" w:cs="Calibri"/>
                <w:sz w:val="21"/>
                <w:szCs w:val="21"/>
              </w:rPr>
              <w:t>siguientes:</w:t>
            </w:r>
          </w:p>
        </w:tc>
      </w:tr>
      <w:tr w:rsidR="00677B7E" w:rsidRPr="00401C70" w14:paraId="011942A9" w14:textId="77777777" w:rsidTr="003343AD">
        <w:trPr>
          <w:trHeight w:val="786"/>
        </w:trPr>
        <w:tc>
          <w:tcPr>
            <w:tcW w:w="2500" w:type="pct"/>
            <w:tcBorders>
              <w:top w:val="none" w:sz="6" w:space="0" w:color="auto"/>
              <w:left w:val="single" w:sz="4" w:space="0" w:color="000000"/>
              <w:bottom w:val="single" w:sz="4" w:space="0" w:color="000000"/>
              <w:right w:val="single" w:sz="4" w:space="0" w:color="000000"/>
            </w:tcBorders>
          </w:tcPr>
          <w:p w14:paraId="6BD816F0" w14:textId="77777777" w:rsidR="00677B7E" w:rsidRPr="00401C70" w:rsidRDefault="00677B7E" w:rsidP="00FA2590">
            <w:pPr>
              <w:kinsoku w:val="0"/>
              <w:overflowPunct w:val="0"/>
              <w:autoSpaceDE w:val="0"/>
              <w:autoSpaceDN w:val="0"/>
              <w:adjustRightInd w:val="0"/>
              <w:spacing w:line="249" w:lineRule="exact"/>
              <w:ind w:left="107"/>
              <w:jc w:val="both"/>
              <w:rPr>
                <w:rFonts w:ascii="Abadi" w:hAnsi="Abadi" w:cs="Calibri"/>
                <w:sz w:val="21"/>
                <w:szCs w:val="21"/>
              </w:rPr>
            </w:pPr>
            <w:r w:rsidRPr="00401C70">
              <w:rPr>
                <w:rFonts w:ascii="Abadi" w:hAnsi="Abadi" w:cs="Calibri"/>
                <w:b/>
                <w:bCs/>
                <w:sz w:val="21"/>
                <w:szCs w:val="21"/>
              </w:rPr>
              <w:t>I.-</w:t>
            </w:r>
            <w:r w:rsidRPr="00401C70">
              <w:rPr>
                <w:rFonts w:ascii="Abadi" w:hAnsi="Abadi" w:cs="Calibri"/>
                <w:b/>
                <w:bCs/>
                <w:spacing w:val="20"/>
                <w:sz w:val="21"/>
                <w:szCs w:val="21"/>
              </w:rPr>
              <w:t xml:space="preserve"> </w:t>
            </w:r>
            <w:r w:rsidRPr="00401C70">
              <w:rPr>
                <w:rFonts w:ascii="Abadi" w:hAnsi="Abadi" w:cs="Calibri"/>
                <w:sz w:val="21"/>
                <w:szCs w:val="21"/>
              </w:rPr>
              <w:t>Formular</w:t>
            </w:r>
            <w:r w:rsidRPr="00401C70">
              <w:rPr>
                <w:rFonts w:ascii="Abadi" w:hAnsi="Abadi" w:cs="Calibri"/>
                <w:spacing w:val="20"/>
                <w:sz w:val="21"/>
                <w:szCs w:val="21"/>
              </w:rPr>
              <w:t xml:space="preserve"> </w:t>
            </w:r>
            <w:r w:rsidRPr="00401C70">
              <w:rPr>
                <w:rFonts w:ascii="Abadi" w:hAnsi="Abadi" w:cs="Calibri"/>
                <w:sz w:val="21"/>
                <w:szCs w:val="21"/>
              </w:rPr>
              <w:t>el</w:t>
            </w:r>
            <w:r w:rsidRPr="00401C70">
              <w:rPr>
                <w:rFonts w:ascii="Abadi" w:hAnsi="Abadi" w:cs="Calibri"/>
                <w:spacing w:val="23"/>
                <w:sz w:val="21"/>
                <w:szCs w:val="21"/>
              </w:rPr>
              <w:t xml:space="preserve"> </w:t>
            </w:r>
            <w:r w:rsidRPr="00401C70">
              <w:rPr>
                <w:rFonts w:ascii="Abadi" w:hAnsi="Abadi" w:cs="Calibri"/>
                <w:sz w:val="21"/>
                <w:szCs w:val="21"/>
              </w:rPr>
              <w:t>programa</w:t>
            </w:r>
            <w:r w:rsidRPr="00401C70">
              <w:rPr>
                <w:rFonts w:ascii="Abadi" w:hAnsi="Abadi" w:cs="Calibri"/>
                <w:spacing w:val="23"/>
                <w:sz w:val="21"/>
                <w:szCs w:val="21"/>
              </w:rPr>
              <w:t xml:space="preserve"> </w:t>
            </w:r>
            <w:r w:rsidRPr="00401C70">
              <w:rPr>
                <w:rFonts w:ascii="Abadi" w:hAnsi="Abadi" w:cs="Calibri"/>
                <w:sz w:val="21"/>
                <w:szCs w:val="21"/>
              </w:rPr>
              <w:t>anual</w:t>
            </w:r>
            <w:r w:rsidRPr="00401C70">
              <w:rPr>
                <w:rFonts w:ascii="Abadi" w:hAnsi="Abadi" w:cs="Calibri"/>
                <w:spacing w:val="22"/>
                <w:sz w:val="21"/>
                <w:szCs w:val="21"/>
              </w:rPr>
              <w:t xml:space="preserve"> </w:t>
            </w:r>
            <w:r w:rsidRPr="00401C70">
              <w:rPr>
                <w:rFonts w:ascii="Abadi" w:hAnsi="Abadi" w:cs="Calibri"/>
                <w:sz w:val="21"/>
                <w:szCs w:val="21"/>
              </w:rPr>
              <w:t>de</w:t>
            </w:r>
            <w:r w:rsidRPr="00401C70">
              <w:rPr>
                <w:rFonts w:ascii="Abadi" w:hAnsi="Abadi" w:cs="Calibri"/>
                <w:spacing w:val="23"/>
                <w:sz w:val="21"/>
                <w:szCs w:val="21"/>
              </w:rPr>
              <w:t xml:space="preserve"> </w:t>
            </w:r>
            <w:r w:rsidRPr="00401C70">
              <w:rPr>
                <w:rFonts w:ascii="Abadi" w:hAnsi="Abadi" w:cs="Calibri"/>
                <w:sz w:val="21"/>
                <w:szCs w:val="21"/>
              </w:rPr>
              <w:t>actividades</w:t>
            </w:r>
          </w:p>
          <w:p w14:paraId="5BF4F04B" w14:textId="77777777" w:rsidR="00677B7E" w:rsidRPr="00401C70" w:rsidRDefault="00677B7E" w:rsidP="00FA2590">
            <w:pPr>
              <w:kinsoku w:val="0"/>
              <w:overflowPunct w:val="0"/>
              <w:autoSpaceDE w:val="0"/>
              <w:autoSpaceDN w:val="0"/>
              <w:adjustRightInd w:val="0"/>
              <w:ind w:left="107"/>
              <w:jc w:val="both"/>
              <w:rPr>
                <w:rFonts w:ascii="Abadi" w:hAnsi="Abadi" w:cs="Calibri"/>
                <w:sz w:val="21"/>
                <w:szCs w:val="21"/>
              </w:rPr>
            </w:pP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organismo;</w:t>
            </w:r>
          </w:p>
        </w:tc>
        <w:tc>
          <w:tcPr>
            <w:tcW w:w="2500" w:type="pct"/>
            <w:tcBorders>
              <w:top w:val="none" w:sz="6" w:space="0" w:color="auto"/>
              <w:left w:val="single" w:sz="4" w:space="0" w:color="000000"/>
              <w:bottom w:val="single" w:sz="4" w:space="0" w:color="000000"/>
              <w:right w:val="single" w:sz="4" w:space="0" w:color="000000"/>
            </w:tcBorders>
          </w:tcPr>
          <w:p w14:paraId="5EB357DE" w14:textId="77777777" w:rsidR="00677B7E" w:rsidRPr="00401C70" w:rsidRDefault="00677B7E" w:rsidP="00FA2590">
            <w:pPr>
              <w:kinsoku w:val="0"/>
              <w:overflowPunct w:val="0"/>
              <w:autoSpaceDE w:val="0"/>
              <w:autoSpaceDN w:val="0"/>
              <w:adjustRightInd w:val="0"/>
              <w:spacing w:before="8"/>
              <w:jc w:val="both"/>
              <w:rPr>
                <w:rFonts w:ascii="Abadi" w:hAnsi="Abadi"/>
                <w:sz w:val="21"/>
                <w:szCs w:val="21"/>
              </w:rPr>
            </w:pPr>
          </w:p>
          <w:p w14:paraId="213ECBB2" w14:textId="77777777" w:rsidR="00677B7E" w:rsidRPr="00401C70" w:rsidRDefault="00677B7E" w:rsidP="00FA2590">
            <w:pPr>
              <w:kinsoku w:val="0"/>
              <w:overflowPunct w:val="0"/>
              <w:autoSpaceDE w:val="0"/>
              <w:autoSpaceDN w:val="0"/>
              <w:adjustRightInd w:val="0"/>
              <w:spacing w:before="1" w:line="270" w:lineRule="atLeast"/>
              <w:ind w:left="107" w:right="87"/>
              <w:jc w:val="both"/>
              <w:rPr>
                <w:rFonts w:ascii="Abadi" w:hAnsi="Abadi" w:cs="Calibri"/>
                <w:sz w:val="21"/>
                <w:szCs w:val="21"/>
              </w:rPr>
            </w:pPr>
            <w:r w:rsidRPr="00401C70">
              <w:rPr>
                <w:rFonts w:ascii="Abadi" w:hAnsi="Abadi" w:cs="Calibri"/>
                <w:b/>
                <w:bCs/>
                <w:sz w:val="21"/>
                <w:szCs w:val="21"/>
              </w:rPr>
              <w:t>I.-</w:t>
            </w:r>
            <w:r w:rsidRPr="00401C70">
              <w:rPr>
                <w:rFonts w:ascii="Abadi" w:hAnsi="Abadi" w:cs="Calibri"/>
                <w:b/>
                <w:bCs/>
                <w:spacing w:val="19"/>
                <w:sz w:val="21"/>
                <w:szCs w:val="21"/>
              </w:rPr>
              <w:t xml:space="preserve"> </w:t>
            </w:r>
            <w:r w:rsidRPr="00401C70">
              <w:rPr>
                <w:rFonts w:ascii="Abadi" w:hAnsi="Abadi" w:cs="Calibri"/>
                <w:sz w:val="21"/>
                <w:szCs w:val="21"/>
              </w:rPr>
              <w:t>Formular</w:t>
            </w:r>
            <w:r w:rsidRPr="00401C70">
              <w:rPr>
                <w:rFonts w:ascii="Abadi" w:hAnsi="Abadi" w:cs="Calibri"/>
                <w:spacing w:val="20"/>
                <w:sz w:val="21"/>
                <w:szCs w:val="21"/>
              </w:rPr>
              <w:t xml:space="preserve"> </w:t>
            </w:r>
            <w:r w:rsidRPr="00401C70">
              <w:rPr>
                <w:rFonts w:ascii="Abadi" w:hAnsi="Abadi" w:cs="Calibri"/>
                <w:sz w:val="21"/>
                <w:szCs w:val="21"/>
              </w:rPr>
              <w:t>el</w:t>
            </w:r>
            <w:r w:rsidRPr="00401C70">
              <w:rPr>
                <w:rFonts w:ascii="Abadi" w:hAnsi="Abadi" w:cs="Calibri"/>
                <w:spacing w:val="23"/>
                <w:sz w:val="21"/>
                <w:szCs w:val="21"/>
              </w:rPr>
              <w:t xml:space="preserve"> </w:t>
            </w:r>
            <w:r w:rsidRPr="00401C70">
              <w:rPr>
                <w:rFonts w:ascii="Abadi" w:hAnsi="Abadi" w:cs="Calibri"/>
                <w:sz w:val="21"/>
                <w:szCs w:val="21"/>
              </w:rPr>
              <w:t>programa</w:t>
            </w:r>
            <w:r w:rsidRPr="00401C70">
              <w:rPr>
                <w:rFonts w:ascii="Abadi" w:hAnsi="Abadi" w:cs="Calibri"/>
                <w:spacing w:val="25"/>
                <w:sz w:val="21"/>
                <w:szCs w:val="21"/>
              </w:rPr>
              <w:t xml:space="preserve"> </w:t>
            </w:r>
            <w:r w:rsidRPr="00401C70">
              <w:rPr>
                <w:rFonts w:ascii="Abadi" w:hAnsi="Abadi" w:cs="Calibri"/>
                <w:sz w:val="21"/>
                <w:szCs w:val="21"/>
              </w:rPr>
              <w:t>anual</w:t>
            </w:r>
            <w:r w:rsidRPr="00401C70">
              <w:rPr>
                <w:rFonts w:ascii="Abadi" w:hAnsi="Abadi" w:cs="Calibri"/>
                <w:spacing w:val="21"/>
                <w:sz w:val="21"/>
                <w:szCs w:val="21"/>
              </w:rPr>
              <w:t xml:space="preserve"> </w:t>
            </w:r>
            <w:r w:rsidRPr="00401C70">
              <w:rPr>
                <w:rFonts w:ascii="Abadi" w:hAnsi="Abadi" w:cs="Calibri"/>
                <w:sz w:val="21"/>
                <w:szCs w:val="21"/>
              </w:rPr>
              <w:t>de</w:t>
            </w:r>
            <w:r w:rsidRPr="00401C70">
              <w:rPr>
                <w:rFonts w:ascii="Abadi" w:hAnsi="Abadi" w:cs="Calibri"/>
                <w:spacing w:val="24"/>
                <w:sz w:val="21"/>
                <w:szCs w:val="21"/>
              </w:rPr>
              <w:t xml:space="preserve"> </w:t>
            </w:r>
            <w:r w:rsidRPr="00401C70">
              <w:rPr>
                <w:rFonts w:ascii="Abadi" w:hAnsi="Abadi" w:cs="Calibri"/>
                <w:sz w:val="21"/>
                <w:szCs w:val="21"/>
              </w:rPr>
              <w:t>actividades</w:t>
            </w:r>
            <w:r w:rsidRPr="00401C70">
              <w:rPr>
                <w:rFonts w:ascii="Abadi" w:hAnsi="Abadi" w:cs="Calibri"/>
                <w:spacing w:val="-47"/>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organismo;</w:t>
            </w:r>
          </w:p>
        </w:tc>
      </w:tr>
    </w:tbl>
    <w:p w14:paraId="411EFC73" w14:textId="77777777" w:rsidR="00677B7E" w:rsidRPr="00401C70" w:rsidRDefault="00677B7E" w:rsidP="00677B7E">
      <w:pPr>
        <w:kinsoku w:val="0"/>
        <w:overflowPunct w:val="0"/>
        <w:autoSpaceDE w:val="0"/>
        <w:autoSpaceDN w:val="0"/>
        <w:adjustRightInd w:val="0"/>
        <w:spacing w:after="1"/>
        <w:jc w:val="both"/>
        <w:rPr>
          <w:rFonts w:ascii="Abadi" w:hAnsi="Abadi"/>
          <w:sz w:val="21"/>
          <w:szCs w:val="21"/>
        </w:rPr>
      </w:pPr>
    </w:p>
    <w:tbl>
      <w:tblPr>
        <w:tblW w:w="5000" w:type="pct"/>
        <w:tblCellMar>
          <w:left w:w="0" w:type="dxa"/>
          <w:right w:w="0" w:type="dxa"/>
        </w:tblCellMar>
        <w:tblLook w:val="0000" w:firstRow="0" w:lastRow="0" w:firstColumn="0" w:lastColumn="0" w:noHBand="0" w:noVBand="0"/>
      </w:tblPr>
      <w:tblGrid>
        <w:gridCol w:w="2050"/>
        <w:gridCol w:w="2051"/>
      </w:tblGrid>
      <w:tr w:rsidR="00677B7E" w:rsidRPr="00401C70" w14:paraId="429FB1A3" w14:textId="77777777" w:rsidTr="003343AD">
        <w:trPr>
          <w:trHeight w:val="4029"/>
        </w:trPr>
        <w:tc>
          <w:tcPr>
            <w:tcW w:w="2500" w:type="pct"/>
            <w:tcBorders>
              <w:top w:val="single" w:sz="4" w:space="0" w:color="000000"/>
              <w:left w:val="single" w:sz="4" w:space="0" w:color="000000"/>
              <w:bottom w:val="single" w:sz="4" w:space="0" w:color="000000"/>
              <w:right w:val="single" w:sz="4" w:space="0" w:color="000000"/>
            </w:tcBorders>
          </w:tcPr>
          <w:p w14:paraId="5CC7A450" w14:textId="77777777" w:rsidR="00677B7E" w:rsidRPr="00401C70" w:rsidRDefault="00677B7E" w:rsidP="00FA2590">
            <w:pPr>
              <w:kinsoku w:val="0"/>
              <w:overflowPunct w:val="0"/>
              <w:autoSpaceDE w:val="0"/>
              <w:autoSpaceDN w:val="0"/>
              <w:adjustRightInd w:val="0"/>
              <w:ind w:left="107" w:right="94"/>
              <w:jc w:val="both"/>
              <w:rPr>
                <w:rFonts w:ascii="Abadi" w:hAnsi="Abadi" w:cs="Calibri"/>
                <w:sz w:val="21"/>
                <w:szCs w:val="21"/>
              </w:rPr>
            </w:pPr>
            <w:r w:rsidRPr="00401C70">
              <w:rPr>
                <w:rFonts w:ascii="Abadi" w:hAnsi="Abadi" w:cs="Calibri"/>
                <w:b/>
                <w:bCs/>
                <w:spacing w:val="-1"/>
                <w:sz w:val="21"/>
                <w:szCs w:val="21"/>
              </w:rPr>
              <w:t>II.-</w:t>
            </w:r>
            <w:r w:rsidRPr="00401C70">
              <w:rPr>
                <w:rFonts w:ascii="Abadi" w:hAnsi="Abadi" w:cs="Calibri"/>
                <w:b/>
                <w:bCs/>
                <w:spacing w:val="-12"/>
                <w:sz w:val="21"/>
                <w:szCs w:val="21"/>
              </w:rPr>
              <w:t xml:space="preserve"> </w:t>
            </w:r>
            <w:r w:rsidRPr="00401C70">
              <w:rPr>
                <w:rFonts w:ascii="Abadi" w:hAnsi="Abadi" w:cs="Calibri"/>
                <w:spacing w:val="-1"/>
                <w:sz w:val="21"/>
                <w:szCs w:val="21"/>
              </w:rPr>
              <w:t>Formular</w:t>
            </w:r>
            <w:r w:rsidRPr="00401C70">
              <w:rPr>
                <w:rFonts w:ascii="Abadi" w:hAnsi="Abadi" w:cs="Calibri"/>
                <w:spacing w:val="-14"/>
                <w:sz w:val="21"/>
                <w:szCs w:val="21"/>
              </w:rPr>
              <w:t xml:space="preserve"> </w:t>
            </w:r>
            <w:r w:rsidRPr="00401C70">
              <w:rPr>
                <w:rFonts w:ascii="Abadi" w:hAnsi="Abadi" w:cs="Calibri"/>
                <w:sz w:val="21"/>
                <w:szCs w:val="21"/>
              </w:rPr>
              <w:t>el</w:t>
            </w:r>
            <w:r w:rsidRPr="00401C70">
              <w:rPr>
                <w:rFonts w:ascii="Abadi" w:hAnsi="Abadi" w:cs="Calibri"/>
                <w:spacing w:val="-12"/>
                <w:sz w:val="21"/>
                <w:szCs w:val="21"/>
              </w:rPr>
              <w:t xml:space="preserve"> </w:t>
            </w:r>
            <w:r w:rsidRPr="00401C70">
              <w:rPr>
                <w:rFonts w:ascii="Abadi" w:hAnsi="Abadi" w:cs="Calibri"/>
                <w:sz w:val="21"/>
                <w:szCs w:val="21"/>
              </w:rPr>
              <w:t>anteproyecto</w:t>
            </w:r>
            <w:r w:rsidRPr="00401C70">
              <w:rPr>
                <w:rFonts w:ascii="Abadi" w:hAnsi="Abadi" w:cs="Calibri"/>
                <w:spacing w:val="-10"/>
                <w:sz w:val="21"/>
                <w:szCs w:val="21"/>
              </w:rPr>
              <w:t xml:space="preserve"> </w:t>
            </w:r>
            <w:r w:rsidRPr="00401C70">
              <w:rPr>
                <w:rFonts w:ascii="Abadi" w:hAnsi="Abadi" w:cs="Calibri"/>
                <w:sz w:val="21"/>
                <w:szCs w:val="21"/>
              </w:rPr>
              <w:t>de</w:t>
            </w:r>
            <w:r w:rsidRPr="00401C70">
              <w:rPr>
                <w:rFonts w:ascii="Abadi" w:hAnsi="Abadi" w:cs="Calibri"/>
                <w:spacing w:val="-14"/>
                <w:sz w:val="21"/>
                <w:szCs w:val="21"/>
              </w:rPr>
              <w:t xml:space="preserve"> </w:t>
            </w:r>
            <w:r w:rsidRPr="00401C70">
              <w:rPr>
                <w:rFonts w:ascii="Abadi" w:hAnsi="Abadi" w:cs="Calibri"/>
                <w:sz w:val="21"/>
                <w:szCs w:val="21"/>
              </w:rPr>
              <w:t>su</w:t>
            </w:r>
            <w:r w:rsidRPr="00401C70">
              <w:rPr>
                <w:rFonts w:ascii="Abadi" w:hAnsi="Abadi" w:cs="Calibri"/>
                <w:spacing w:val="-12"/>
                <w:sz w:val="21"/>
                <w:szCs w:val="21"/>
              </w:rPr>
              <w:t xml:space="preserve"> </w:t>
            </w:r>
            <w:r w:rsidRPr="00401C70">
              <w:rPr>
                <w:rFonts w:ascii="Abadi" w:hAnsi="Abadi" w:cs="Calibri"/>
                <w:sz w:val="21"/>
                <w:szCs w:val="21"/>
              </w:rPr>
              <w:t>presupuesto</w:t>
            </w:r>
            <w:r w:rsidRPr="00401C70">
              <w:rPr>
                <w:rFonts w:ascii="Abadi" w:hAnsi="Abadi" w:cs="Calibri"/>
                <w:spacing w:val="-48"/>
                <w:sz w:val="21"/>
                <w:szCs w:val="21"/>
              </w:rPr>
              <w:t xml:space="preserve"> </w:t>
            </w:r>
            <w:r w:rsidRPr="00401C70">
              <w:rPr>
                <w:rFonts w:ascii="Abadi" w:hAnsi="Abadi" w:cs="Calibri"/>
                <w:sz w:val="21"/>
                <w:szCs w:val="21"/>
              </w:rPr>
              <w:t>de egresos;</w:t>
            </w:r>
          </w:p>
          <w:p w14:paraId="71F782E0" w14:textId="77777777" w:rsidR="00677B7E" w:rsidRPr="00401C70" w:rsidRDefault="00677B7E" w:rsidP="00FA2590">
            <w:pPr>
              <w:kinsoku w:val="0"/>
              <w:overflowPunct w:val="0"/>
              <w:autoSpaceDE w:val="0"/>
              <w:autoSpaceDN w:val="0"/>
              <w:adjustRightInd w:val="0"/>
              <w:ind w:left="107" w:right="97"/>
              <w:jc w:val="both"/>
              <w:rPr>
                <w:rFonts w:ascii="Abadi" w:hAnsi="Abadi" w:cs="Calibri"/>
                <w:sz w:val="21"/>
                <w:szCs w:val="21"/>
              </w:rPr>
            </w:pPr>
            <w:r w:rsidRPr="00401C70">
              <w:rPr>
                <w:rFonts w:ascii="Abadi" w:hAnsi="Abadi" w:cs="Calibri"/>
                <w:b/>
                <w:bCs/>
                <w:sz w:val="21"/>
                <w:szCs w:val="21"/>
              </w:rPr>
              <w:t xml:space="preserve">III.- </w:t>
            </w:r>
            <w:r w:rsidRPr="00401C70">
              <w:rPr>
                <w:rFonts w:ascii="Abadi" w:hAnsi="Abadi" w:cs="Calibri"/>
                <w:sz w:val="21"/>
                <w:szCs w:val="21"/>
              </w:rPr>
              <w:t>Ejecutar los acuerdos que dicte el órgano</w:t>
            </w:r>
            <w:r w:rsidRPr="00401C70">
              <w:rPr>
                <w:rFonts w:ascii="Abadi" w:hAnsi="Abadi" w:cs="Calibri"/>
                <w:spacing w:val="1"/>
                <w:sz w:val="21"/>
                <w:szCs w:val="21"/>
              </w:rPr>
              <w:t xml:space="preserve"> </w:t>
            </w:r>
            <w:r w:rsidRPr="00401C70">
              <w:rPr>
                <w:rFonts w:ascii="Abadi" w:hAnsi="Abadi" w:cs="Calibri"/>
                <w:sz w:val="21"/>
                <w:szCs w:val="21"/>
              </w:rPr>
              <w:t>de gobierno;</w:t>
            </w:r>
          </w:p>
          <w:p w14:paraId="3F64C835" w14:textId="77777777" w:rsidR="00677B7E" w:rsidRPr="00401C70" w:rsidRDefault="00677B7E" w:rsidP="00FA2590">
            <w:pPr>
              <w:kinsoku w:val="0"/>
              <w:overflowPunct w:val="0"/>
              <w:autoSpaceDE w:val="0"/>
              <w:autoSpaceDN w:val="0"/>
              <w:adjustRightInd w:val="0"/>
              <w:ind w:left="107" w:right="96"/>
              <w:jc w:val="both"/>
              <w:rPr>
                <w:rFonts w:ascii="Abadi" w:hAnsi="Abadi" w:cs="Calibri"/>
                <w:sz w:val="21"/>
                <w:szCs w:val="21"/>
              </w:rPr>
            </w:pPr>
            <w:r w:rsidRPr="00401C70">
              <w:rPr>
                <w:rFonts w:ascii="Abadi" w:hAnsi="Abadi" w:cs="Calibri"/>
                <w:b/>
                <w:bCs/>
                <w:sz w:val="21"/>
                <w:szCs w:val="21"/>
              </w:rPr>
              <w:t xml:space="preserve">IV.- </w:t>
            </w:r>
            <w:r w:rsidRPr="00401C70">
              <w:rPr>
                <w:rFonts w:ascii="Abadi" w:hAnsi="Abadi" w:cs="Calibri"/>
                <w:sz w:val="21"/>
                <w:szCs w:val="21"/>
              </w:rPr>
              <w:t>Celebrar toda clase de actos, contratos y</w:t>
            </w:r>
            <w:r w:rsidRPr="00401C70">
              <w:rPr>
                <w:rFonts w:ascii="Abadi" w:hAnsi="Abadi" w:cs="Calibri"/>
                <w:spacing w:val="1"/>
                <w:sz w:val="21"/>
                <w:szCs w:val="21"/>
              </w:rPr>
              <w:t xml:space="preserve"> </w:t>
            </w:r>
            <w:r w:rsidRPr="00401C70">
              <w:rPr>
                <w:rFonts w:ascii="Abadi" w:hAnsi="Abadi" w:cs="Calibri"/>
                <w:sz w:val="21"/>
                <w:szCs w:val="21"/>
              </w:rPr>
              <w:t>convenios</w:t>
            </w:r>
            <w:r w:rsidRPr="00401C70">
              <w:rPr>
                <w:rFonts w:ascii="Abadi" w:hAnsi="Abadi" w:cs="Calibri"/>
                <w:spacing w:val="-3"/>
                <w:sz w:val="21"/>
                <w:szCs w:val="21"/>
              </w:rPr>
              <w:t xml:space="preserve"> </w:t>
            </w:r>
            <w:r w:rsidRPr="00401C70">
              <w:rPr>
                <w:rFonts w:ascii="Abadi" w:hAnsi="Abadi" w:cs="Calibri"/>
                <w:sz w:val="21"/>
                <w:szCs w:val="21"/>
              </w:rPr>
              <w:t>inherentes</w:t>
            </w:r>
            <w:r w:rsidRPr="00401C70">
              <w:rPr>
                <w:rFonts w:ascii="Abadi" w:hAnsi="Abadi" w:cs="Calibri"/>
                <w:spacing w:val="1"/>
                <w:sz w:val="21"/>
                <w:szCs w:val="21"/>
              </w:rPr>
              <w:t xml:space="preserve"> </w:t>
            </w:r>
            <w:r w:rsidRPr="00401C70">
              <w:rPr>
                <w:rFonts w:ascii="Abadi" w:hAnsi="Abadi" w:cs="Calibri"/>
                <w:sz w:val="21"/>
                <w:szCs w:val="21"/>
              </w:rPr>
              <w:t>a su</w:t>
            </w:r>
            <w:r w:rsidRPr="00401C70">
              <w:rPr>
                <w:rFonts w:ascii="Abadi" w:hAnsi="Abadi" w:cs="Calibri"/>
                <w:spacing w:val="-5"/>
                <w:sz w:val="21"/>
                <w:szCs w:val="21"/>
              </w:rPr>
              <w:t xml:space="preserve"> </w:t>
            </w:r>
            <w:r w:rsidRPr="00401C70">
              <w:rPr>
                <w:rFonts w:ascii="Abadi" w:hAnsi="Abadi" w:cs="Calibri"/>
                <w:sz w:val="21"/>
                <w:szCs w:val="21"/>
              </w:rPr>
              <w:t>objeto;</w:t>
            </w:r>
          </w:p>
          <w:p w14:paraId="18616469" w14:textId="77777777" w:rsidR="00677B7E" w:rsidRPr="00401C70" w:rsidRDefault="00677B7E" w:rsidP="00FA2590">
            <w:pPr>
              <w:kinsoku w:val="0"/>
              <w:overflowPunct w:val="0"/>
              <w:autoSpaceDE w:val="0"/>
              <w:autoSpaceDN w:val="0"/>
              <w:adjustRightInd w:val="0"/>
              <w:ind w:left="107" w:right="94"/>
              <w:jc w:val="both"/>
              <w:rPr>
                <w:rFonts w:ascii="Abadi" w:hAnsi="Abadi" w:cs="Calibri"/>
                <w:sz w:val="21"/>
                <w:szCs w:val="21"/>
              </w:rPr>
            </w:pPr>
            <w:r w:rsidRPr="00401C70">
              <w:rPr>
                <w:rFonts w:ascii="Abadi" w:hAnsi="Abadi" w:cs="Calibri"/>
                <w:b/>
                <w:bCs/>
                <w:sz w:val="21"/>
                <w:szCs w:val="21"/>
              </w:rPr>
              <w:t>V.-</w:t>
            </w:r>
            <w:r w:rsidRPr="00401C70">
              <w:rPr>
                <w:rFonts w:ascii="Abadi" w:hAnsi="Abadi" w:cs="Calibri"/>
                <w:b/>
                <w:bCs/>
                <w:spacing w:val="1"/>
                <w:sz w:val="21"/>
                <w:szCs w:val="21"/>
              </w:rPr>
              <w:t xml:space="preserve"> </w:t>
            </w:r>
            <w:r w:rsidRPr="00401C70">
              <w:rPr>
                <w:rFonts w:ascii="Abadi" w:hAnsi="Abadi" w:cs="Calibri"/>
                <w:sz w:val="21"/>
                <w:szCs w:val="21"/>
              </w:rPr>
              <w:t>Delegar</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representación</w:t>
            </w:r>
            <w:r w:rsidRPr="00401C70">
              <w:rPr>
                <w:rFonts w:ascii="Abadi" w:hAnsi="Abadi" w:cs="Calibri"/>
                <w:spacing w:val="1"/>
                <w:sz w:val="21"/>
                <w:szCs w:val="21"/>
              </w:rPr>
              <w:t xml:space="preserve"> </w:t>
            </w:r>
            <w:r w:rsidRPr="00401C70">
              <w:rPr>
                <w:rFonts w:ascii="Abadi" w:hAnsi="Abadi" w:cs="Calibri"/>
                <w:sz w:val="21"/>
                <w:szCs w:val="21"/>
              </w:rPr>
              <w:t>jurídica</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organismo;</w:t>
            </w:r>
          </w:p>
          <w:p w14:paraId="6B55CABC" w14:textId="77777777" w:rsidR="00677B7E" w:rsidRPr="00401C70" w:rsidRDefault="00677B7E" w:rsidP="00FA2590">
            <w:pPr>
              <w:kinsoku w:val="0"/>
              <w:overflowPunct w:val="0"/>
              <w:autoSpaceDE w:val="0"/>
              <w:autoSpaceDN w:val="0"/>
              <w:adjustRightInd w:val="0"/>
              <w:spacing w:before="1"/>
              <w:ind w:left="107" w:right="93"/>
              <w:jc w:val="both"/>
              <w:rPr>
                <w:rFonts w:ascii="Abadi" w:hAnsi="Abadi" w:cs="Calibri"/>
                <w:sz w:val="21"/>
                <w:szCs w:val="21"/>
              </w:rPr>
            </w:pPr>
            <w:r w:rsidRPr="00401C70">
              <w:rPr>
                <w:rFonts w:ascii="Abadi" w:hAnsi="Abadi" w:cs="Calibri"/>
                <w:b/>
                <w:bCs/>
                <w:sz w:val="21"/>
                <w:szCs w:val="21"/>
              </w:rPr>
              <w:t>VI.-</w:t>
            </w:r>
            <w:r w:rsidRPr="00401C70">
              <w:rPr>
                <w:rFonts w:ascii="Abadi" w:hAnsi="Abadi" w:cs="Calibri"/>
                <w:b/>
                <w:bCs/>
                <w:spacing w:val="1"/>
                <w:sz w:val="21"/>
                <w:szCs w:val="21"/>
              </w:rPr>
              <w:t xml:space="preserve"> </w:t>
            </w:r>
            <w:r w:rsidRPr="00401C70">
              <w:rPr>
                <w:rFonts w:ascii="Abadi" w:hAnsi="Abadi" w:cs="Calibri"/>
                <w:sz w:val="21"/>
                <w:szCs w:val="21"/>
              </w:rPr>
              <w:t>Proponer</w:t>
            </w:r>
            <w:r w:rsidRPr="00401C70">
              <w:rPr>
                <w:rFonts w:ascii="Abadi" w:hAnsi="Abadi" w:cs="Calibri"/>
                <w:spacing w:val="1"/>
                <w:sz w:val="21"/>
                <w:szCs w:val="21"/>
              </w:rPr>
              <w:t xml:space="preserve"> </w:t>
            </w:r>
            <w:r w:rsidRPr="00401C70">
              <w:rPr>
                <w:rFonts w:ascii="Abadi" w:hAnsi="Abadi" w:cs="Calibri"/>
                <w:sz w:val="21"/>
                <w:szCs w:val="21"/>
              </w:rPr>
              <w:t>al</w:t>
            </w:r>
            <w:r w:rsidRPr="00401C70">
              <w:rPr>
                <w:rFonts w:ascii="Abadi" w:hAnsi="Abadi" w:cs="Calibri"/>
                <w:spacing w:val="1"/>
                <w:sz w:val="21"/>
                <w:szCs w:val="21"/>
              </w:rPr>
              <w:t xml:space="preserve"> </w:t>
            </w:r>
            <w:r w:rsidRPr="00401C70">
              <w:rPr>
                <w:rFonts w:ascii="Abadi" w:hAnsi="Abadi" w:cs="Calibri"/>
                <w:sz w:val="21"/>
                <w:szCs w:val="21"/>
              </w:rPr>
              <w:t>órgano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gobierno</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nombramiento o la remoción de los servidores</w:t>
            </w:r>
            <w:r w:rsidRPr="00401C70">
              <w:rPr>
                <w:rFonts w:ascii="Abadi" w:hAnsi="Abadi" w:cs="Calibri"/>
                <w:spacing w:val="-47"/>
                <w:sz w:val="21"/>
                <w:szCs w:val="21"/>
              </w:rPr>
              <w:t xml:space="preserve"> </w:t>
            </w:r>
            <w:r w:rsidRPr="00401C70">
              <w:rPr>
                <w:rFonts w:ascii="Abadi" w:hAnsi="Abadi" w:cs="Calibri"/>
                <w:sz w:val="21"/>
                <w:szCs w:val="21"/>
              </w:rPr>
              <w:t>públicos</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2"/>
                <w:sz w:val="21"/>
                <w:szCs w:val="21"/>
              </w:rPr>
              <w:t xml:space="preserve"> </w:t>
            </w:r>
            <w:r w:rsidRPr="00401C70">
              <w:rPr>
                <w:rFonts w:ascii="Abadi" w:hAnsi="Abadi" w:cs="Calibri"/>
                <w:sz w:val="21"/>
                <w:szCs w:val="21"/>
              </w:rPr>
              <w:t>organismo;</w:t>
            </w:r>
          </w:p>
          <w:p w14:paraId="554F9026" w14:textId="77777777" w:rsidR="00677B7E" w:rsidRPr="00401C70" w:rsidRDefault="00677B7E" w:rsidP="00FA2590">
            <w:pPr>
              <w:kinsoku w:val="0"/>
              <w:overflowPunct w:val="0"/>
              <w:autoSpaceDE w:val="0"/>
              <w:autoSpaceDN w:val="0"/>
              <w:adjustRightInd w:val="0"/>
              <w:ind w:left="107" w:right="92"/>
              <w:jc w:val="both"/>
              <w:rPr>
                <w:rFonts w:ascii="Abadi" w:hAnsi="Abadi" w:cs="Calibri"/>
                <w:sz w:val="21"/>
                <w:szCs w:val="21"/>
              </w:rPr>
            </w:pPr>
            <w:r w:rsidRPr="00401C70">
              <w:rPr>
                <w:rFonts w:ascii="Abadi" w:hAnsi="Abadi" w:cs="Calibri"/>
                <w:b/>
                <w:bCs/>
                <w:sz w:val="21"/>
                <w:szCs w:val="21"/>
              </w:rPr>
              <w:t>VII.-</w:t>
            </w:r>
            <w:r w:rsidRPr="00401C70">
              <w:rPr>
                <w:rFonts w:ascii="Abadi" w:hAnsi="Abadi" w:cs="Calibri"/>
                <w:b/>
                <w:bCs/>
                <w:spacing w:val="-8"/>
                <w:sz w:val="21"/>
                <w:szCs w:val="21"/>
              </w:rPr>
              <w:t xml:space="preserve"> </w:t>
            </w:r>
            <w:r w:rsidRPr="00401C70">
              <w:rPr>
                <w:rFonts w:ascii="Abadi" w:hAnsi="Abadi" w:cs="Calibri"/>
                <w:sz w:val="21"/>
                <w:szCs w:val="21"/>
              </w:rPr>
              <w:t>Rendir</w:t>
            </w:r>
            <w:r w:rsidRPr="00401C70">
              <w:rPr>
                <w:rFonts w:ascii="Abadi" w:hAnsi="Abadi" w:cs="Calibri"/>
                <w:spacing w:val="-6"/>
                <w:sz w:val="21"/>
                <w:szCs w:val="21"/>
              </w:rPr>
              <w:t xml:space="preserve"> </w:t>
            </w:r>
            <w:r w:rsidRPr="00401C70">
              <w:rPr>
                <w:rFonts w:ascii="Abadi" w:hAnsi="Abadi" w:cs="Calibri"/>
                <w:sz w:val="21"/>
                <w:szCs w:val="21"/>
              </w:rPr>
              <w:t>informes</w:t>
            </w:r>
            <w:r w:rsidRPr="00401C70">
              <w:rPr>
                <w:rFonts w:ascii="Abadi" w:hAnsi="Abadi" w:cs="Calibri"/>
                <w:spacing w:val="-6"/>
                <w:sz w:val="21"/>
                <w:szCs w:val="21"/>
              </w:rPr>
              <w:t xml:space="preserve"> </w:t>
            </w:r>
            <w:r w:rsidRPr="00401C70">
              <w:rPr>
                <w:rFonts w:ascii="Abadi" w:hAnsi="Abadi" w:cs="Calibri"/>
                <w:sz w:val="21"/>
                <w:szCs w:val="21"/>
              </w:rPr>
              <w:t>del</w:t>
            </w:r>
            <w:r w:rsidRPr="00401C70">
              <w:rPr>
                <w:rFonts w:ascii="Abadi" w:hAnsi="Abadi" w:cs="Calibri"/>
                <w:spacing w:val="-5"/>
                <w:sz w:val="21"/>
                <w:szCs w:val="21"/>
              </w:rPr>
              <w:t xml:space="preserve"> </w:t>
            </w:r>
            <w:r w:rsidRPr="00401C70">
              <w:rPr>
                <w:rFonts w:ascii="Abadi" w:hAnsi="Abadi" w:cs="Calibri"/>
                <w:sz w:val="21"/>
                <w:szCs w:val="21"/>
              </w:rPr>
              <w:t>ejercicio</w:t>
            </w:r>
            <w:r w:rsidRPr="00401C70">
              <w:rPr>
                <w:rFonts w:ascii="Abadi" w:hAnsi="Abadi" w:cs="Calibri"/>
                <w:spacing w:val="-6"/>
                <w:sz w:val="21"/>
                <w:szCs w:val="21"/>
              </w:rPr>
              <w:t xml:space="preserve"> </w:t>
            </w:r>
            <w:r w:rsidRPr="00401C70">
              <w:rPr>
                <w:rFonts w:ascii="Abadi" w:hAnsi="Abadi" w:cs="Calibri"/>
                <w:sz w:val="21"/>
                <w:szCs w:val="21"/>
              </w:rPr>
              <w:t>de</w:t>
            </w:r>
            <w:r w:rsidRPr="00401C70">
              <w:rPr>
                <w:rFonts w:ascii="Abadi" w:hAnsi="Abadi" w:cs="Calibri"/>
                <w:spacing w:val="-7"/>
                <w:sz w:val="21"/>
                <w:szCs w:val="21"/>
              </w:rPr>
              <w:t xml:space="preserve"> </w:t>
            </w:r>
            <w:r w:rsidRPr="00401C70">
              <w:rPr>
                <w:rFonts w:ascii="Abadi" w:hAnsi="Abadi" w:cs="Calibri"/>
                <w:sz w:val="21"/>
                <w:szCs w:val="21"/>
              </w:rPr>
              <w:t>su</w:t>
            </w:r>
            <w:r w:rsidRPr="00401C70">
              <w:rPr>
                <w:rFonts w:ascii="Abadi" w:hAnsi="Abadi" w:cs="Calibri"/>
                <w:spacing w:val="-5"/>
                <w:sz w:val="21"/>
                <w:szCs w:val="21"/>
              </w:rPr>
              <w:t xml:space="preserve"> </w:t>
            </w:r>
            <w:r w:rsidRPr="00401C70">
              <w:rPr>
                <w:rFonts w:ascii="Abadi" w:hAnsi="Abadi" w:cs="Calibri"/>
                <w:sz w:val="21"/>
                <w:szCs w:val="21"/>
              </w:rPr>
              <w:t>función</w:t>
            </w:r>
            <w:r w:rsidRPr="00401C70">
              <w:rPr>
                <w:rFonts w:ascii="Abadi" w:hAnsi="Abadi" w:cs="Calibri"/>
                <w:spacing w:val="-48"/>
                <w:sz w:val="21"/>
                <w:szCs w:val="21"/>
              </w:rPr>
              <w:t xml:space="preserve"> </w:t>
            </w:r>
            <w:r w:rsidRPr="00401C70">
              <w:rPr>
                <w:rFonts w:ascii="Abadi" w:hAnsi="Abadi" w:cs="Calibri"/>
                <w:sz w:val="21"/>
                <w:szCs w:val="21"/>
              </w:rPr>
              <w:t>en cada sesión</w:t>
            </w:r>
            <w:r w:rsidRPr="00401C70">
              <w:rPr>
                <w:rFonts w:ascii="Abadi" w:hAnsi="Abadi" w:cs="Calibri"/>
                <w:spacing w:val="-3"/>
                <w:sz w:val="21"/>
                <w:szCs w:val="21"/>
              </w:rPr>
              <w:t xml:space="preserve"> </w:t>
            </w:r>
            <w:r w:rsidRPr="00401C70">
              <w:rPr>
                <w:rFonts w:ascii="Abadi" w:hAnsi="Abadi" w:cs="Calibri"/>
                <w:sz w:val="21"/>
                <w:szCs w:val="21"/>
              </w:rPr>
              <w:t>ordinaria;</w:t>
            </w:r>
            <w:r w:rsidRPr="00401C70">
              <w:rPr>
                <w:rFonts w:ascii="Abadi" w:hAnsi="Abadi" w:cs="Calibri"/>
                <w:spacing w:val="-2"/>
                <w:sz w:val="21"/>
                <w:szCs w:val="21"/>
              </w:rPr>
              <w:t xml:space="preserve"> </w:t>
            </w:r>
            <w:r w:rsidRPr="00401C70">
              <w:rPr>
                <w:rFonts w:ascii="Abadi" w:hAnsi="Abadi" w:cs="Calibri"/>
                <w:sz w:val="21"/>
                <w:szCs w:val="21"/>
              </w:rPr>
              <w:t>y</w:t>
            </w:r>
          </w:p>
          <w:p w14:paraId="6859D366" w14:textId="77777777" w:rsidR="00677B7E" w:rsidRPr="00401C70" w:rsidRDefault="00677B7E" w:rsidP="00FA2590">
            <w:pPr>
              <w:kinsoku w:val="0"/>
              <w:overflowPunct w:val="0"/>
              <w:autoSpaceDE w:val="0"/>
              <w:autoSpaceDN w:val="0"/>
              <w:adjustRightInd w:val="0"/>
              <w:spacing w:line="270" w:lineRule="atLeast"/>
              <w:ind w:left="107" w:right="94"/>
              <w:jc w:val="both"/>
              <w:rPr>
                <w:rFonts w:ascii="Abadi" w:hAnsi="Abadi" w:cs="Calibri"/>
                <w:sz w:val="21"/>
                <w:szCs w:val="21"/>
              </w:rPr>
            </w:pPr>
            <w:r w:rsidRPr="00401C70">
              <w:rPr>
                <w:rFonts w:ascii="Abadi" w:hAnsi="Abadi" w:cs="Calibri"/>
                <w:b/>
                <w:bCs/>
                <w:sz w:val="21"/>
                <w:szCs w:val="21"/>
              </w:rPr>
              <w:t xml:space="preserve">VIII.- </w:t>
            </w:r>
            <w:r w:rsidRPr="00401C70">
              <w:rPr>
                <w:rFonts w:ascii="Abadi" w:hAnsi="Abadi" w:cs="Calibri"/>
                <w:sz w:val="21"/>
                <w:szCs w:val="21"/>
              </w:rPr>
              <w:t>Las</w:t>
            </w:r>
            <w:r w:rsidRPr="00401C70">
              <w:rPr>
                <w:rFonts w:ascii="Abadi" w:hAnsi="Abadi" w:cs="Calibri"/>
                <w:spacing w:val="1"/>
                <w:sz w:val="21"/>
                <w:szCs w:val="21"/>
              </w:rPr>
              <w:t xml:space="preserve"> </w:t>
            </w:r>
            <w:r w:rsidRPr="00401C70">
              <w:rPr>
                <w:rFonts w:ascii="Abadi" w:hAnsi="Abadi" w:cs="Calibri"/>
                <w:sz w:val="21"/>
                <w:szCs w:val="21"/>
              </w:rPr>
              <w:t>demás</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le</w:t>
            </w:r>
            <w:r w:rsidRPr="00401C70">
              <w:rPr>
                <w:rFonts w:ascii="Abadi" w:hAnsi="Abadi" w:cs="Calibri"/>
                <w:spacing w:val="1"/>
                <w:sz w:val="21"/>
                <w:szCs w:val="21"/>
              </w:rPr>
              <w:t xml:space="preserve"> </w:t>
            </w:r>
            <w:r w:rsidRPr="00401C70">
              <w:rPr>
                <w:rFonts w:ascii="Abadi" w:hAnsi="Abadi" w:cs="Calibri"/>
                <w:sz w:val="21"/>
                <w:szCs w:val="21"/>
              </w:rPr>
              <w:t>señale</w:t>
            </w:r>
            <w:r w:rsidRPr="00401C70">
              <w:rPr>
                <w:rFonts w:ascii="Abadi" w:hAnsi="Abadi" w:cs="Calibri"/>
                <w:spacing w:val="1"/>
                <w:sz w:val="21"/>
                <w:szCs w:val="21"/>
              </w:rPr>
              <w:t xml:space="preserve"> </w:t>
            </w:r>
            <w:r w:rsidRPr="00401C70">
              <w:rPr>
                <w:rFonts w:ascii="Abadi" w:hAnsi="Abadi" w:cs="Calibri"/>
                <w:sz w:val="21"/>
                <w:szCs w:val="21"/>
              </w:rPr>
              <w:t>esta Ley y</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 xml:space="preserve">ordenamiento </w:t>
            </w:r>
            <w:r w:rsidRPr="00401C70">
              <w:rPr>
                <w:rFonts w:ascii="Abadi" w:hAnsi="Abadi" w:cs="Calibri"/>
                <w:sz w:val="21"/>
                <w:szCs w:val="21"/>
              </w:rPr>
              <w:t>jurídico</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3"/>
                <w:sz w:val="21"/>
                <w:szCs w:val="21"/>
              </w:rPr>
              <w:t xml:space="preserve"> </w:t>
            </w:r>
            <w:r w:rsidRPr="00401C70">
              <w:rPr>
                <w:rFonts w:ascii="Abadi" w:hAnsi="Abadi" w:cs="Calibri"/>
                <w:sz w:val="21"/>
                <w:szCs w:val="21"/>
              </w:rPr>
              <w:t>lo</w:t>
            </w:r>
            <w:r w:rsidRPr="00401C70">
              <w:rPr>
                <w:rFonts w:ascii="Abadi" w:hAnsi="Abadi" w:cs="Calibri"/>
                <w:spacing w:val="2"/>
                <w:sz w:val="21"/>
                <w:szCs w:val="21"/>
              </w:rPr>
              <w:t xml:space="preserve"> </w:t>
            </w:r>
            <w:r w:rsidRPr="00401C70">
              <w:rPr>
                <w:rFonts w:ascii="Abadi" w:hAnsi="Abadi" w:cs="Calibri"/>
                <w:sz w:val="21"/>
                <w:szCs w:val="21"/>
              </w:rPr>
              <w:t>norme.</w:t>
            </w:r>
          </w:p>
        </w:tc>
        <w:tc>
          <w:tcPr>
            <w:tcW w:w="2500" w:type="pct"/>
            <w:tcBorders>
              <w:top w:val="single" w:sz="4" w:space="0" w:color="000000"/>
              <w:left w:val="single" w:sz="4" w:space="0" w:color="000000"/>
              <w:bottom w:val="single" w:sz="4" w:space="0" w:color="000000"/>
              <w:right w:val="single" w:sz="4" w:space="0" w:color="000000"/>
            </w:tcBorders>
          </w:tcPr>
          <w:p w14:paraId="590FE8D6" w14:textId="77777777" w:rsidR="00677B7E" w:rsidRPr="00401C70" w:rsidRDefault="00677B7E" w:rsidP="00FA2590">
            <w:pPr>
              <w:kinsoku w:val="0"/>
              <w:overflowPunct w:val="0"/>
              <w:autoSpaceDE w:val="0"/>
              <w:autoSpaceDN w:val="0"/>
              <w:adjustRightInd w:val="0"/>
              <w:ind w:left="107" w:right="94"/>
              <w:jc w:val="both"/>
              <w:rPr>
                <w:rFonts w:ascii="Abadi" w:hAnsi="Abadi" w:cs="Calibri"/>
                <w:sz w:val="21"/>
                <w:szCs w:val="21"/>
              </w:rPr>
            </w:pPr>
            <w:r w:rsidRPr="00401C70">
              <w:rPr>
                <w:rFonts w:ascii="Abadi" w:hAnsi="Abadi" w:cs="Calibri"/>
                <w:b/>
                <w:bCs/>
                <w:spacing w:val="-1"/>
                <w:sz w:val="21"/>
                <w:szCs w:val="21"/>
              </w:rPr>
              <w:t>II.-</w:t>
            </w:r>
            <w:r w:rsidRPr="00401C70">
              <w:rPr>
                <w:rFonts w:ascii="Abadi" w:hAnsi="Abadi" w:cs="Calibri"/>
                <w:b/>
                <w:bCs/>
                <w:spacing w:val="-12"/>
                <w:sz w:val="21"/>
                <w:szCs w:val="21"/>
              </w:rPr>
              <w:t xml:space="preserve"> </w:t>
            </w:r>
            <w:r w:rsidRPr="00401C70">
              <w:rPr>
                <w:rFonts w:ascii="Abadi" w:hAnsi="Abadi" w:cs="Calibri"/>
                <w:spacing w:val="-1"/>
                <w:sz w:val="21"/>
                <w:szCs w:val="21"/>
              </w:rPr>
              <w:t>Formular</w:t>
            </w:r>
            <w:r w:rsidRPr="00401C70">
              <w:rPr>
                <w:rFonts w:ascii="Abadi" w:hAnsi="Abadi" w:cs="Calibri"/>
                <w:spacing w:val="-14"/>
                <w:sz w:val="21"/>
                <w:szCs w:val="21"/>
              </w:rPr>
              <w:t xml:space="preserve"> </w:t>
            </w:r>
            <w:r w:rsidRPr="00401C70">
              <w:rPr>
                <w:rFonts w:ascii="Abadi" w:hAnsi="Abadi" w:cs="Calibri"/>
                <w:sz w:val="21"/>
                <w:szCs w:val="21"/>
              </w:rPr>
              <w:t>el</w:t>
            </w:r>
            <w:r w:rsidRPr="00401C70">
              <w:rPr>
                <w:rFonts w:ascii="Abadi" w:hAnsi="Abadi" w:cs="Calibri"/>
                <w:spacing w:val="-12"/>
                <w:sz w:val="21"/>
                <w:szCs w:val="21"/>
              </w:rPr>
              <w:t xml:space="preserve"> </w:t>
            </w:r>
            <w:r w:rsidRPr="00401C70">
              <w:rPr>
                <w:rFonts w:ascii="Abadi" w:hAnsi="Abadi" w:cs="Calibri"/>
                <w:sz w:val="21"/>
                <w:szCs w:val="21"/>
              </w:rPr>
              <w:t>anteproyecto</w:t>
            </w:r>
            <w:r w:rsidRPr="00401C70">
              <w:rPr>
                <w:rFonts w:ascii="Abadi" w:hAnsi="Abadi" w:cs="Calibri"/>
                <w:spacing w:val="-10"/>
                <w:sz w:val="21"/>
                <w:szCs w:val="21"/>
              </w:rPr>
              <w:t xml:space="preserve"> </w:t>
            </w:r>
            <w:r w:rsidRPr="00401C70">
              <w:rPr>
                <w:rFonts w:ascii="Abadi" w:hAnsi="Abadi" w:cs="Calibri"/>
                <w:sz w:val="21"/>
                <w:szCs w:val="21"/>
              </w:rPr>
              <w:t>de</w:t>
            </w:r>
            <w:r w:rsidRPr="00401C70">
              <w:rPr>
                <w:rFonts w:ascii="Abadi" w:hAnsi="Abadi" w:cs="Calibri"/>
                <w:spacing w:val="-14"/>
                <w:sz w:val="21"/>
                <w:szCs w:val="21"/>
              </w:rPr>
              <w:t xml:space="preserve"> </w:t>
            </w:r>
            <w:r w:rsidRPr="00401C70">
              <w:rPr>
                <w:rFonts w:ascii="Abadi" w:hAnsi="Abadi" w:cs="Calibri"/>
                <w:sz w:val="21"/>
                <w:szCs w:val="21"/>
              </w:rPr>
              <w:t>su</w:t>
            </w:r>
            <w:r w:rsidRPr="00401C70">
              <w:rPr>
                <w:rFonts w:ascii="Abadi" w:hAnsi="Abadi" w:cs="Calibri"/>
                <w:spacing w:val="-12"/>
                <w:sz w:val="21"/>
                <w:szCs w:val="21"/>
              </w:rPr>
              <w:t xml:space="preserve"> </w:t>
            </w:r>
            <w:r w:rsidRPr="00401C70">
              <w:rPr>
                <w:rFonts w:ascii="Abadi" w:hAnsi="Abadi" w:cs="Calibri"/>
                <w:sz w:val="21"/>
                <w:szCs w:val="21"/>
              </w:rPr>
              <w:t>presupuesto</w:t>
            </w:r>
            <w:r w:rsidRPr="00401C70">
              <w:rPr>
                <w:rFonts w:ascii="Abadi" w:hAnsi="Abadi" w:cs="Calibri"/>
                <w:spacing w:val="-48"/>
                <w:sz w:val="21"/>
                <w:szCs w:val="21"/>
              </w:rPr>
              <w:t xml:space="preserve"> </w:t>
            </w:r>
            <w:r w:rsidRPr="00401C70">
              <w:rPr>
                <w:rFonts w:ascii="Abadi" w:hAnsi="Abadi" w:cs="Calibri"/>
                <w:sz w:val="21"/>
                <w:szCs w:val="21"/>
              </w:rPr>
              <w:t>de egresos;</w:t>
            </w:r>
          </w:p>
          <w:p w14:paraId="52645273" w14:textId="77777777" w:rsidR="00677B7E" w:rsidRPr="00401C70" w:rsidRDefault="00677B7E" w:rsidP="00FA2590">
            <w:pPr>
              <w:kinsoku w:val="0"/>
              <w:overflowPunct w:val="0"/>
              <w:autoSpaceDE w:val="0"/>
              <w:autoSpaceDN w:val="0"/>
              <w:adjustRightInd w:val="0"/>
              <w:ind w:left="107" w:right="96"/>
              <w:jc w:val="both"/>
              <w:rPr>
                <w:rFonts w:ascii="Abadi" w:hAnsi="Abadi" w:cs="Calibri"/>
                <w:sz w:val="21"/>
                <w:szCs w:val="21"/>
              </w:rPr>
            </w:pPr>
            <w:r w:rsidRPr="00401C70">
              <w:rPr>
                <w:rFonts w:ascii="Abadi" w:hAnsi="Abadi" w:cs="Calibri"/>
                <w:b/>
                <w:bCs/>
                <w:sz w:val="21"/>
                <w:szCs w:val="21"/>
              </w:rPr>
              <w:t xml:space="preserve">III.- </w:t>
            </w:r>
            <w:r w:rsidRPr="00401C70">
              <w:rPr>
                <w:rFonts w:ascii="Abadi" w:hAnsi="Abadi" w:cs="Calibri"/>
                <w:sz w:val="21"/>
                <w:szCs w:val="21"/>
              </w:rPr>
              <w:t>Ejecutar los acuerdos que dicte el órgano</w:t>
            </w:r>
            <w:r w:rsidRPr="00401C70">
              <w:rPr>
                <w:rFonts w:ascii="Abadi" w:hAnsi="Abadi" w:cs="Calibri"/>
                <w:spacing w:val="1"/>
                <w:sz w:val="21"/>
                <w:szCs w:val="21"/>
              </w:rPr>
              <w:t xml:space="preserve"> </w:t>
            </w:r>
            <w:r w:rsidRPr="00401C70">
              <w:rPr>
                <w:rFonts w:ascii="Abadi" w:hAnsi="Abadi" w:cs="Calibri"/>
                <w:sz w:val="21"/>
                <w:szCs w:val="21"/>
              </w:rPr>
              <w:t>de gobierno;</w:t>
            </w:r>
          </w:p>
          <w:p w14:paraId="6DBBF784" w14:textId="77777777" w:rsidR="00677B7E" w:rsidRPr="00401C70" w:rsidRDefault="00677B7E" w:rsidP="00FA2590">
            <w:pPr>
              <w:kinsoku w:val="0"/>
              <w:overflowPunct w:val="0"/>
              <w:autoSpaceDE w:val="0"/>
              <w:autoSpaceDN w:val="0"/>
              <w:adjustRightInd w:val="0"/>
              <w:ind w:left="107" w:right="96"/>
              <w:jc w:val="both"/>
              <w:rPr>
                <w:rFonts w:ascii="Abadi" w:hAnsi="Abadi" w:cs="Calibri"/>
                <w:sz w:val="21"/>
                <w:szCs w:val="21"/>
              </w:rPr>
            </w:pPr>
            <w:r w:rsidRPr="00401C70">
              <w:rPr>
                <w:rFonts w:ascii="Abadi" w:hAnsi="Abadi" w:cs="Calibri"/>
                <w:b/>
                <w:bCs/>
                <w:sz w:val="21"/>
                <w:szCs w:val="21"/>
              </w:rPr>
              <w:t xml:space="preserve">IV.- </w:t>
            </w:r>
            <w:r w:rsidRPr="00401C70">
              <w:rPr>
                <w:rFonts w:ascii="Abadi" w:hAnsi="Abadi" w:cs="Calibri"/>
                <w:sz w:val="21"/>
                <w:szCs w:val="21"/>
              </w:rPr>
              <w:t>Celebrar toda clase de actos, contratos y</w:t>
            </w:r>
            <w:r w:rsidRPr="00401C70">
              <w:rPr>
                <w:rFonts w:ascii="Abadi" w:hAnsi="Abadi" w:cs="Calibri"/>
                <w:spacing w:val="1"/>
                <w:sz w:val="21"/>
                <w:szCs w:val="21"/>
              </w:rPr>
              <w:t xml:space="preserve"> </w:t>
            </w:r>
            <w:r w:rsidRPr="00401C70">
              <w:rPr>
                <w:rFonts w:ascii="Abadi" w:hAnsi="Abadi" w:cs="Calibri"/>
                <w:sz w:val="21"/>
                <w:szCs w:val="21"/>
              </w:rPr>
              <w:t>convenios</w:t>
            </w:r>
            <w:r w:rsidRPr="00401C70">
              <w:rPr>
                <w:rFonts w:ascii="Abadi" w:hAnsi="Abadi" w:cs="Calibri"/>
                <w:spacing w:val="-3"/>
                <w:sz w:val="21"/>
                <w:szCs w:val="21"/>
              </w:rPr>
              <w:t xml:space="preserve"> </w:t>
            </w:r>
            <w:r w:rsidRPr="00401C70">
              <w:rPr>
                <w:rFonts w:ascii="Abadi" w:hAnsi="Abadi" w:cs="Calibri"/>
                <w:sz w:val="21"/>
                <w:szCs w:val="21"/>
              </w:rPr>
              <w:t>inherentes</w:t>
            </w:r>
            <w:r w:rsidRPr="00401C70">
              <w:rPr>
                <w:rFonts w:ascii="Abadi" w:hAnsi="Abadi" w:cs="Calibri"/>
                <w:spacing w:val="1"/>
                <w:sz w:val="21"/>
                <w:szCs w:val="21"/>
              </w:rPr>
              <w:t xml:space="preserve"> </w:t>
            </w:r>
            <w:r w:rsidRPr="00401C70">
              <w:rPr>
                <w:rFonts w:ascii="Abadi" w:hAnsi="Abadi" w:cs="Calibri"/>
                <w:sz w:val="21"/>
                <w:szCs w:val="21"/>
              </w:rPr>
              <w:t>a su</w:t>
            </w:r>
            <w:r w:rsidRPr="00401C70">
              <w:rPr>
                <w:rFonts w:ascii="Abadi" w:hAnsi="Abadi" w:cs="Calibri"/>
                <w:spacing w:val="-5"/>
                <w:sz w:val="21"/>
                <w:szCs w:val="21"/>
              </w:rPr>
              <w:t xml:space="preserve"> </w:t>
            </w:r>
            <w:r w:rsidRPr="00401C70">
              <w:rPr>
                <w:rFonts w:ascii="Abadi" w:hAnsi="Abadi" w:cs="Calibri"/>
                <w:sz w:val="21"/>
                <w:szCs w:val="21"/>
              </w:rPr>
              <w:t>objeto;</w:t>
            </w:r>
          </w:p>
          <w:p w14:paraId="5F1378D0" w14:textId="77777777" w:rsidR="00677B7E" w:rsidRPr="00401C70" w:rsidRDefault="00677B7E" w:rsidP="00FA2590">
            <w:pPr>
              <w:kinsoku w:val="0"/>
              <w:overflowPunct w:val="0"/>
              <w:autoSpaceDE w:val="0"/>
              <w:autoSpaceDN w:val="0"/>
              <w:adjustRightInd w:val="0"/>
              <w:ind w:left="107" w:right="94"/>
              <w:jc w:val="both"/>
              <w:rPr>
                <w:rFonts w:ascii="Abadi" w:hAnsi="Abadi" w:cs="Calibri"/>
                <w:sz w:val="21"/>
                <w:szCs w:val="21"/>
              </w:rPr>
            </w:pPr>
            <w:r w:rsidRPr="00401C70">
              <w:rPr>
                <w:rFonts w:ascii="Abadi" w:hAnsi="Abadi" w:cs="Calibri"/>
                <w:b/>
                <w:bCs/>
                <w:sz w:val="21"/>
                <w:szCs w:val="21"/>
              </w:rPr>
              <w:t>V.-</w:t>
            </w:r>
            <w:r w:rsidRPr="00401C70">
              <w:rPr>
                <w:rFonts w:ascii="Abadi" w:hAnsi="Abadi" w:cs="Calibri"/>
                <w:b/>
                <w:bCs/>
                <w:spacing w:val="1"/>
                <w:sz w:val="21"/>
                <w:szCs w:val="21"/>
              </w:rPr>
              <w:t xml:space="preserve"> </w:t>
            </w:r>
            <w:r w:rsidRPr="00401C70">
              <w:rPr>
                <w:rFonts w:ascii="Abadi" w:hAnsi="Abadi" w:cs="Calibri"/>
                <w:sz w:val="21"/>
                <w:szCs w:val="21"/>
              </w:rPr>
              <w:t>Delegar</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representación</w:t>
            </w:r>
            <w:r w:rsidRPr="00401C70">
              <w:rPr>
                <w:rFonts w:ascii="Abadi" w:hAnsi="Abadi" w:cs="Calibri"/>
                <w:spacing w:val="1"/>
                <w:sz w:val="21"/>
                <w:szCs w:val="21"/>
              </w:rPr>
              <w:t xml:space="preserve"> </w:t>
            </w:r>
            <w:r w:rsidRPr="00401C70">
              <w:rPr>
                <w:rFonts w:ascii="Abadi" w:hAnsi="Abadi" w:cs="Calibri"/>
                <w:sz w:val="21"/>
                <w:szCs w:val="21"/>
              </w:rPr>
              <w:t>jurídica</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organismo;</w:t>
            </w:r>
          </w:p>
          <w:p w14:paraId="090EB921" w14:textId="77777777" w:rsidR="00677B7E" w:rsidRPr="00401C70" w:rsidRDefault="00677B7E" w:rsidP="00FA2590">
            <w:pPr>
              <w:kinsoku w:val="0"/>
              <w:overflowPunct w:val="0"/>
              <w:autoSpaceDE w:val="0"/>
              <w:autoSpaceDN w:val="0"/>
              <w:adjustRightInd w:val="0"/>
              <w:spacing w:before="1"/>
              <w:ind w:left="107" w:right="93"/>
              <w:jc w:val="both"/>
              <w:rPr>
                <w:rFonts w:ascii="Abadi" w:hAnsi="Abadi" w:cs="Calibri"/>
                <w:sz w:val="21"/>
                <w:szCs w:val="21"/>
              </w:rPr>
            </w:pPr>
            <w:r w:rsidRPr="00401C70">
              <w:rPr>
                <w:rFonts w:ascii="Abadi" w:hAnsi="Abadi" w:cs="Calibri"/>
                <w:b/>
                <w:bCs/>
                <w:sz w:val="21"/>
                <w:szCs w:val="21"/>
              </w:rPr>
              <w:t>VI.-</w:t>
            </w:r>
            <w:r w:rsidRPr="00401C70">
              <w:rPr>
                <w:rFonts w:ascii="Abadi" w:hAnsi="Abadi" w:cs="Calibri"/>
                <w:b/>
                <w:bCs/>
                <w:spacing w:val="1"/>
                <w:sz w:val="21"/>
                <w:szCs w:val="21"/>
              </w:rPr>
              <w:t xml:space="preserve"> </w:t>
            </w:r>
            <w:r w:rsidRPr="00401C70">
              <w:rPr>
                <w:rFonts w:ascii="Abadi" w:hAnsi="Abadi" w:cs="Calibri"/>
                <w:sz w:val="21"/>
                <w:szCs w:val="21"/>
              </w:rPr>
              <w:t>Proponer</w:t>
            </w:r>
            <w:r w:rsidRPr="00401C70">
              <w:rPr>
                <w:rFonts w:ascii="Abadi" w:hAnsi="Abadi" w:cs="Calibri"/>
                <w:spacing w:val="1"/>
                <w:sz w:val="21"/>
                <w:szCs w:val="21"/>
              </w:rPr>
              <w:t xml:space="preserve"> </w:t>
            </w:r>
            <w:r w:rsidRPr="00401C70">
              <w:rPr>
                <w:rFonts w:ascii="Abadi" w:hAnsi="Abadi" w:cs="Calibri"/>
                <w:sz w:val="21"/>
                <w:szCs w:val="21"/>
              </w:rPr>
              <w:t>al</w:t>
            </w:r>
            <w:r w:rsidRPr="00401C70">
              <w:rPr>
                <w:rFonts w:ascii="Abadi" w:hAnsi="Abadi" w:cs="Calibri"/>
                <w:spacing w:val="1"/>
                <w:sz w:val="21"/>
                <w:szCs w:val="21"/>
              </w:rPr>
              <w:t xml:space="preserve"> </w:t>
            </w:r>
            <w:r w:rsidRPr="00401C70">
              <w:rPr>
                <w:rFonts w:ascii="Abadi" w:hAnsi="Abadi" w:cs="Calibri"/>
                <w:sz w:val="21"/>
                <w:szCs w:val="21"/>
              </w:rPr>
              <w:t>órgano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gobierno</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 xml:space="preserve">nombramiento o la remoción de </w:t>
            </w:r>
            <w:r w:rsidRPr="00401C70">
              <w:rPr>
                <w:rFonts w:ascii="Abadi" w:hAnsi="Abadi" w:cs="Calibri"/>
                <w:b/>
                <w:bCs/>
                <w:i/>
                <w:iCs/>
                <w:sz w:val="21"/>
                <w:szCs w:val="21"/>
              </w:rPr>
              <w:t>las personas</w:t>
            </w:r>
            <w:r w:rsidRPr="00401C70">
              <w:rPr>
                <w:rFonts w:ascii="Abadi" w:hAnsi="Abadi" w:cs="Calibri"/>
                <w:b/>
                <w:bCs/>
                <w:i/>
                <w:iCs/>
                <w:spacing w:val="1"/>
                <w:sz w:val="21"/>
                <w:szCs w:val="21"/>
              </w:rPr>
              <w:t xml:space="preserve"> </w:t>
            </w:r>
            <w:r w:rsidRPr="00401C70">
              <w:rPr>
                <w:rFonts w:ascii="Abadi" w:hAnsi="Abadi" w:cs="Calibri"/>
                <w:b/>
                <w:bCs/>
                <w:i/>
                <w:iCs/>
                <w:sz w:val="21"/>
                <w:szCs w:val="21"/>
              </w:rPr>
              <w:t>servidoras</w:t>
            </w:r>
            <w:r w:rsidRPr="00401C70">
              <w:rPr>
                <w:rFonts w:ascii="Abadi" w:hAnsi="Abadi" w:cs="Calibri"/>
                <w:b/>
                <w:bCs/>
                <w:i/>
                <w:iCs/>
                <w:spacing w:val="-1"/>
                <w:sz w:val="21"/>
                <w:szCs w:val="21"/>
              </w:rPr>
              <w:t xml:space="preserve"> </w:t>
            </w:r>
            <w:r w:rsidRPr="00401C70">
              <w:rPr>
                <w:rFonts w:ascii="Abadi" w:hAnsi="Abadi" w:cs="Calibri"/>
                <w:b/>
                <w:bCs/>
                <w:i/>
                <w:iCs/>
                <w:sz w:val="21"/>
                <w:szCs w:val="21"/>
              </w:rPr>
              <w:t>públicas</w:t>
            </w:r>
            <w:r w:rsidRPr="00401C70">
              <w:rPr>
                <w:rFonts w:ascii="Abadi" w:hAnsi="Abadi" w:cs="Calibri"/>
                <w:b/>
                <w:bCs/>
                <w:i/>
                <w:iCs/>
                <w:spacing w:val="1"/>
                <w:sz w:val="21"/>
                <w:szCs w:val="21"/>
              </w:rPr>
              <w:t xml:space="preserve"> </w:t>
            </w:r>
            <w:r w:rsidRPr="00401C70">
              <w:rPr>
                <w:rFonts w:ascii="Abadi" w:hAnsi="Abadi" w:cs="Calibri"/>
                <w:sz w:val="21"/>
                <w:szCs w:val="21"/>
              </w:rPr>
              <w:t>del</w:t>
            </w:r>
            <w:r w:rsidRPr="00401C70">
              <w:rPr>
                <w:rFonts w:ascii="Abadi" w:hAnsi="Abadi" w:cs="Calibri"/>
                <w:spacing w:val="-3"/>
                <w:sz w:val="21"/>
                <w:szCs w:val="21"/>
              </w:rPr>
              <w:t xml:space="preserve"> </w:t>
            </w:r>
            <w:r w:rsidRPr="00401C70">
              <w:rPr>
                <w:rFonts w:ascii="Abadi" w:hAnsi="Abadi" w:cs="Calibri"/>
                <w:sz w:val="21"/>
                <w:szCs w:val="21"/>
              </w:rPr>
              <w:t>organismo;</w:t>
            </w:r>
          </w:p>
          <w:p w14:paraId="14E0DA3E" w14:textId="77777777" w:rsidR="00677B7E" w:rsidRPr="00401C70" w:rsidRDefault="00677B7E" w:rsidP="00FA2590">
            <w:pPr>
              <w:kinsoku w:val="0"/>
              <w:overflowPunct w:val="0"/>
              <w:autoSpaceDE w:val="0"/>
              <w:autoSpaceDN w:val="0"/>
              <w:adjustRightInd w:val="0"/>
              <w:ind w:left="107" w:right="91"/>
              <w:jc w:val="both"/>
              <w:rPr>
                <w:rFonts w:ascii="Abadi" w:hAnsi="Abadi" w:cs="Calibri"/>
                <w:sz w:val="21"/>
                <w:szCs w:val="21"/>
              </w:rPr>
            </w:pPr>
            <w:r w:rsidRPr="00401C70">
              <w:rPr>
                <w:rFonts w:ascii="Abadi" w:hAnsi="Abadi" w:cs="Calibri"/>
                <w:b/>
                <w:bCs/>
                <w:sz w:val="21"/>
                <w:szCs w:val="21"/>
              </w:rPr>
              <w:t>VII.-</w:t>
            </w:r>
            <w:r w:rsidRPr="00401C70">
              <w:rPr>
                <w:rFonts w:ascii="Abadi" w:hAnsi="Abadi" w:cs="Calibri"/>
                <w:b/>
                <w:bCs/>
                <w:spacing w:val="-8"/>
                <w:sz w:val="21"/>
                <w:szCs w:val="21"/>
              </w:rPr>
              <w:t xml:space="preserve"> </w:t>
            </w:r>
            <w:r w:rsidRPr="00401C70">
              <w:rPr>
                <w:rFonts w:ascii="Abadi" w:hAnsi="Abadi" w:cs="Calibri"/>
                <w:sz w:val="21"/>
                <w:szCs w:val="21"/>
              </w:rPr>
              <w:t>Rendir</w:t>
            </w:r>
            <w:r w:rsidRPr="00401C70">
              <w:rPr>
                <w:rFonts w:ascii="Abadi" w:hAnsi="Abadi" w:cs="Calibri"/>
                <w:spacing w:val="-6"/>
                <w:sz w:val="21"/>
                <w:szCs w:val="21"/>
              </w:rPr>
              <w:t xml:space="preserve"> </w:t>
            </w:r>
            <w:r w:rsidRPr="00401C70">
              <w:rPr>
                <w:rFonts w:ascii="Abadi" w:hAnsi="Abadi" w:cs="Calibri"/>
                <w:sz w:val="21"/>
                <w:szCs w:val="21"/>
              </w:rPr>
              <w:t>informes</w:t>
            </w:r>
            <w:r w:rsidRPr="00401C70">
              <w:rPr>
                <w:rFonts w:ascii="Abadi" w:hAnsi="Abadi" w:cs="Calibri"/>
                <w:spacing w:val="-6"/>
                <w:sz w:val="21"/>
                <w:szCs w:val="21"/>
              </w:rPr>
              <w:t xml:space="preserve"> </w:t>
            </w:r>
            <w:r w:rsidRPr="00401C70">
              <w:rPr>
                <w:rFonts w:ascii="Abadi" w:hAnsi="Abadi" w:cs="Calibri"/>
                <w:sz w:val="21"/>
                <w:szCs w:val="21"/>
              </w:rPr>
              <w:t>del</w:t>
            </w:r>
            <w:r w:rsidRPr="00401C70">
              <w:rPr>
                <w:rFonts w:ascii="Abadi" w:hAnsi="Abadi" w:cs="Calibri"/>
                <w:spacing w:val="-5"/>
                <w:sz w:val="21"/>
                <w:szCs w:val="21"/>
              </w:rPr>
              <w:t xml:space="preserve"> </w:t>
            </w:r>
            <w:r w:rsidRPr="00401C70">
              <w:rPr>
                <w:rFonts w:ascii="Abadi" w:hAnsi="Abadi" w:cs="Calibri"/>
                <w:sz w:val="21"/>
                <w:szCs w:val="21"/>
              </w:rPr>
              <w:t>ejercicio</w:t>
            </w:r>
            <w:r w:rsidRPr="00401C70">
              <w:rPr>
                <w:rFonts w:ascii="Abadi" w:hAnsi="Abadi" w:cs="Calibri"/>
                <w:spacing w:val="-6"/>
                <w:sz w:val="21"/>
                <w:szCs w:val="21"/>
              </w:rPr>
              <w:t xml:space="preserve"> </w:t>
            </w:r>
            <w:r w:rsidRPr="00401C70">
              <w:rPr>
                <w:rFonts w:ascii="Abadi" w:hAnsi="Abadi" w:cs="Calibri"/>
                <w:sz w:val="21"/>
                <w:szCs w:val="21"/>
              </w:rPr>
              <w:t>de</w:t>
            </w:r>
            <w:r w:rsidRPr="00401C70">
              <w:rPr>
                <w:rFonts w:ascii="Abadi" w:hAnsi="Abadi" w:cs="Calibri"/>
                <w:spacing w:val="-7"/>
                <w:sz w:val="21"/>
                <w:szCs w:val="21"/>
              </w:rPr>
              <w:t xml:space="preserve"> </w:t>
            </w:r>
            <w:r w:rsidRPr="00401C70">
              <w:rPr>
                <w:rFonts w:ascii="Abadi" w:hAnsi="Abadi" w:cs="Calibri"/>
                <w:sz w:val="21"/>
                <w:szCs w:val="21"/>
              </w:rPr>
              <w:t>su</w:t>
            </w:r>
            <w:r w:rsidRPr="00401C70">
              <w:rPr>
                <w:rFonts w:ascii="Abadi" w:hAnsi="Abadi" w:cs="Calibri"/>
                <w:spacing w:val="-5"/>
                <w:sz w:val="21"/>
                <w:szCs w:val="21"/>
              </w:rPr>
              <w:t xml:space="preserve"> </w:t>
            </w:r>
            <w:r w:rsidRPr="00401C70">
              <w:rPr>
                <w:rFonts w:ascii="Abadi" w:hAnsi="Abadi" w:cs="Calibri"/>
                <w:sz w:val="21"/>
                <w:szCs w:val="21"/>
              </w:rPr>
              <w:t>función</w:t>
            </w:r>
            <w:r w:rsidRPr="00401C70">
              <w:rPr>
                <w:rFonts w:ascii="Abadi" w:hAnsi="Abadi" w:cs="Calibri"/>
                <w:spacing w:val="-47"/>
                <w:sz w:val="21"/>
                <w:szCs w:val="21"/>
              </w:rPr>
              <w:t xml:space="preserve"> </w:t>
            </w:r>
            <w:r w:rsidRPr="00401C70">
              <w:rPr>
                <w:rFonts w:ascii="Abadi" w:hAnsi="Abadi" w:cs="Calibri"/>
                <w:sz w:val="21"/>
                <w:szCs w:val="21"/>
              </w:rPr>
              <w:t>en cada sesión</w:t>
            </w:r>
            <w:r w:rsidRPr="00401C70">
              <w:rPr>
                <w:rFonts w:ascii="Abadi" w:hAnsi="Abadi" w:cs="Calibri"/>
                <w:spacing w:val="-3"/>
                <w:sz w:val="21"/>
                <w:szCs w:val="21"/>
              </w:rPr>
              <w:t xml:space="preserve"> </w:t>
            </w:r>
            <w:r w:rsidRPr="00401C70">
              <w:rPr>
                <w:rFonts w:ascii="Abadi" w:hAnsi="Abadi" w:cs="Calibri"/>
                <w:sz w:val="21"/>
                <w:szCs w:val="21"/>
              </w:rPr>
              <w:t>ordinaria;</w:t>
            </w:r>
            <w:r w:rsidRPr="00401C70">
              <w:rPr>
                <w:rFonts w:ascii="Abadi" w:hAnsi="Abadi" w:cs="Calibri"/>
                <w:spacing w:val="-2"/>
                <w:sz w:val="21"/>
                <w:szCs w:val="21"/>
              </w:rPr>
              <w:t xml:space="preserve"> </w:t>
            </w:r>
            <w:r w:rsidRPr="00401C70">
              <w:rPr>
                <w:rFonts w:ascii="Abadi" w:hAnsi="Abadi" w:cs="Calibri"/>
                <w:sz w:val="21"/>
                <w:szCs w:val="21"/>
              </w:rPr>
              <w:t>y</w:t>
            </w:r>
          </w:p>
          <w:p w14:paraId="1121394B" w14:textId="77777777" w:rsidR="00677B7E" w:rsidRPr="00401C70" w:rsidRDefault="00677B7E" w:rsidP="00FA2590">
            <w:pPr>
              <w:kinsoku w:val="0"/>
              <w:overflowPunct w:val="0"/>
              <w:autoSpaceDE w:val="0"/>
              <w:autoSpaceDN w:val="0"/>
              <w:adjustRightInd w:val="0"/>
              <w:spacing w:line="270" w:lineRule="atLeast"/>
              <w:ind w:left="107" w:right="92"/>
              <w:jc w:val="both"/>
              <w:rPr>
                <w:rFonts w:ascii="Abadi" w:hAnsi="Abadi" w:cs="Calibri"/>
                <w:sz w:val="21"/>
                <w:szCs w:val="21"/>
              </w:rPr>
            </w:pPr>
            <w:r w:rsidRPr="00401C70">
              <w:rPr>
                <w:rFonts w:ascii="Abadi" w:hAnsi="Abadi" w:cs="Calibri"/>
                <w:b/>
                <w:bCs/>
                <w:sz w:val="21"/>
                <w:szCs w:val="21"/>
              </w:rPr>
              <w:t xml:space="preserve">VIII.- </w:t>
            </w:r>
            <w:r w:rsidRPr="00401C70">
              <w:rPr>
                <w:rFonts w:ascii="Abadi" w:hAnsi="Abadi" w:cs="Calibri"/>
                <w:sz w:val="21"/>
                <w:szCs w:val="21"/>
              </w:rPr>
              <w:t>Las</w:t>
            </w:r>
            <w:r w:rsidRPr="00401C70">
              <w:rPr>
                <w:rFonts w:ascii="Abadi" w:hAnsi="Abadi" w:cs="Calibri"/>
                <w:spacing w:val="1"/>
                <w:sz w:val="21"/>
                <w:szCs w:val="21"/>
              </w:rPr>
              <w:t xml:space="preserve"> </w:t>
            </w:r>
            <w:r w:rsidRPr="00401C70">
              <w:rPr>
                <w:rFonts w:ascii="Abadi" w:hAnsi="Abadi" w:cs="Calibri"/>
                <w:sz w:val="21"/>
                <w:szCs w:val="21"/>
              </w:rPr>
              <w:t>demás</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le</w:t>
            </w:r>
            <w:r w:rsidRPr="00401C70">
              <w:rPr>
                <w:rFonts w:ascii="Abadi" w:hAnsi="Abadi" w:cs="Calibri"/>
                <w:spacing w:val="1"/>
                <w:sz w:val="21"/>
                <w:szCs w:val="21"/>
              </w:rPr>
              <w:t xml:space="preserve"> </w:t>
            </w:r>
            <w:r w:rsidRPr="00401C70">
              <w:rPr>
                <w:rFonts w:ascii="Abadi" w:hAnsi="Abadi" w:cs="Calibri"/>
                <w:sz w:val="21"/>
                <w:szCs w:val="21"/>
              </w:rPr>
              <w:t>señale</w:t>
            </w:r>
            <w:r w:rsidRPr="00401C70">
              <w:rPr>
                <w:rFonts w:ascii="Abadi" w:hAnsi="Abadi" w:cs="Calibri"/>
                <w:spacing w:val="1"/>
                <w:sz w:val="21"/>
                <w:szCs w:val="21"/>
              </w:rPr>
              <w:t xml:space="preserve"> </w:t>
            </w:r>
            <w:r w:rsidRPr="00401C70">
              <w:rPr>
                <w:rFonts w:ascii="Abadi" w:hAnsi="Abadi" w:cs="Calibri"/>
                <w:sz w:val="21"/>
                <w:szCs w:val="21"/>
              </w:rPr>
              <w:t>esta Ley y</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ordenamiento jurídico</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3"/>
                <w:sz w:val="21"/>
                <w:szCs w:val="21"/>
              </w:rPr>
              <w:t xml:space="preserve"> </w:t>
            </w:r>
            <w:r w:rsidRPr="00401C70">
              <w:rPr>
                <w:rFonts w:ascii="Abadi" w:hAnsi="Abadi" w:cs="Calibri"/>
                <w:sz w:val="21"/>
                <w:szCs w:val="21"/>
              </w:rPr>
              <w:t>lo norme.</w:t>
            </w:r>
          </w:p>
        </w:tc>
      </w:tr>
      <w:tr w:rsidR="00677B7E" w:rsidRPr="00401C70" w14:paraId="49DDCD67" w14:textId="77777777" w:rsidTr="003343AD">
        <w:trPr>
          <w:trHeight w:val="2146"/>
        </w:trPr>
        <w:tc>
          <w:tcPr>
            <w:tcW w:w="2500" w:type="pct"/>
            <w:tcBorders>
              <w:top w:val="single" w:sz="4" w:space="0" w:color="000000"/>
              <w:left w:val="single" w:sz="4" w:space="0" w:color="000000"/>
              <w:bottom w:val="single" w:sz="4" w:space="0" w:color="000000"/>
              <w:right w:val="single" w:sz="4" w:space="0" w:color="000000"/>
            </w:tcBorders>
          </w:tcPr>
          <w:p w14:paraId="036E8752" w14:textId="77777777" w:rsidR="00677B7E" w:rsidRPr="00401C70" w:rsidRDefault="00677B7E" w:rsidP="00FA2590">
            <w:pPr>
              <w:kinsoku w:val="0"/>
              <w:overflowPunct w:val="0"/>
              <w:autoSpaceDE w:val="0"/>
              <w:autoSpaceDN w:val="0"/>
              <w:adjustRightInd w:val="0"/>
              <w:ind w:left="107" w:right="93"/>
              <w:jc w:val="both"/>
              <w:rPr>
                <w:rFonts w:ascii="Abadi" w:hAnsi="Abadi" w:cs="Calibri"/>
                <w:sz w:val="21"/>
                <w:szCs w:val="21"/>
              </w:rPr>
            </w:pPr>
            <w:r w:rsidRPr="00401C70">
              <w:rPr>
                <w:rFonts w:ascii="Abadi" w:hAnsi="Abadi" w:cs="Calibri"/>
                <w:b/>
                <w:bCs/>
                <w:sz w:val="21"/>
                <w:szCs w:val="21"/>
              </w:rPr>
              <w:t>Artículo</w:t>
            </w:r>
            <w:r w:rsidRPr="00401C70">
              <w:rPr>
                <w:rFonts w:ascii="Abadi" w:hAnsi="Abadi" w:cs="Calibri"/>
                <w:b/>
                <w:bCs/>
                <w:spacing w:val="1"/>
                <w:sz w:val="21"/>
                <w:szCs w:val="21"/>
              </w:rPr>
              <w:t xml:space="preserve"> </w:t>
            </w:r>
            <w:r w:rsidRPr="00401C70">
              <w:rPr>
                <w:rFonts w:ascii="Abadi" w:hAnsi="Abadi" w:cs="Calibri"/>
                <w:b/>
                <w:bCs/>
                <w:sz w:val="21"/>
                <w:szCs w:val="21"/>
              </w:rPr>
              <w:t>55.-</w:t>
            </w:r>
            <w:r w:rsidRPr="00401C70">
              <w:rPr>
                <w:rFonts w:ascii="Abadi" w:hAnsi="Abadi" w:cs="Calibri"/>
                <w:b/>
                <w:bCs/>
                <w:spacing w:val="1"/>
                <w:sz w:val="21"/>
                <w:szCs w:val="21"/>
              </w:rPr>
              <w:t xml:space="preserve"> </w:t>
            </w:r>
            <w:r w:rsidRPr="00401C70">
              <w:rPr>
                <w:rFonts w:ascii="Abadi" w:hAnsi="Abadi" w:cs="Calibri"/>
                <w:sz w:val="21"/>
                <w:szCs w:val="21"/>
              </w:rPr>
              <w:t>En</w:t>
            </w:r>
            <w:r w:rsidRPr="00401C70">
              <w:rPr>
                <w:rFonts w:ascii="Abadi" w:hAnsi="Abadi" w:cs="Calibri"/>
                <w:spacing w:val="1"/>
                <w:sz w:val="21"/>
                <w:szCs w:val="21"/>
              </w:rPr>
              <w:t xml:space="preserve"> </w:t>
            </w: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órganos</w:t>
            </w:r>
            <w:r w:rsidRPr="00401C70">
              <w:rPr>
                <w:rFonts w:ascii="Abadi" w:hAnsi="Abadi" w:cs="Calibri"/>
                <w:spacing w:val="1"/>
                <w:sz w:val="21"/>
                <w:szCs w:val="21"/>
              </w:rPr>
              <w:t xml:space="preserve"> </w:t>
            </w:r>
            <w:r w:rsidRPr="00401C70">
              <w:rPr>
                <w:rFonts w:ascii="Abadi" w:hAnsi="Abadi" w:cs="Calibri"/>
                <w:sz w:val="21"/>
                <w:szCs w:val="21"/>
              </w:rPr>
              <w:t>consultivos</w:t>
            </w:r>
            <w:r w:rsidRPr="00401C70">
              <w:rPr>
                <w:rFonts w:ascii="Abadi" w:hAnsi="Abadi" w:cs="Calibri"/>
                <w:spacing w:val="1"/>
                <w:sz w:val="21"/>
                <w:szCs w:val="21"/>
              </w:rPr>
              <w:t xml:space="preserve"> </w:t>
            </w:r>
            <w:r w:rsidRPr="00401C70">
              <w:rPr>
                <w:rFonts w:ascii="Abadi" w:hAnsi="Abadi" w:cs="Calibri"/>
                <w:sz w:val="21"/>
                <w:szCs w:val="21"/>
              </w:rPr>
              <w:t>se</w:t>
            </w:r>
            <w:r w:rsidRPr="00401C70">
              <w:rPr>
                <w:rFonts w:ascii="Abadi" w:hAnsi="Abadi" w:cs="Calibri"/>
                <w:spacing w:val="1"/>
                <w:sz w:val="21"/>
                <w:szCs w:val="21"/>
              </w:rPr>
              <w:t xml:space="preserve"> </w:t>
            </w:r>
            <w:r w:rsidRPr="00401C70">
              <w:rPr>
                <w:rFonts w:ascii="Abadi" w:hAnsi="Abadi" w:cs="Calibri"/>
                <w:sz w:val="21"/>
                <w:szCs w:val="21"/>
              </w:rPr>
              <w:t>deberá</w:t>
            </w:r>
            <w:r w:rsidRPr="00401C70">
              <w:rPr>
                <w:rFonts w:ascii="Abadi" w:hAnsi="Abadi" w:cs="Calibri"/>
                <w:spacing w:val="1"/>
                <w:sz w:val="21"/>
                <w:szCs w:val="21"/>
              </w:rPr>
              <w:t xml:space="preserve"> </w:t>
            </w:r>
            <w:r w:rsidRPr="00401C70">
              <w:rPr>
                <w:rFonts w:ascii="Abadi" w:hAnsi="Abadi" w:cs="Calibri"/>
                <w:sz w:val="21"/>
                <w:szCs w:val="21"/>
              </w:rPr>
              <w:t>contar</w:t>
            </w:r>
            <w:r w:rsidRPr="00401C70">
              <w:rPr>
                <w:rFonts w:ascii="Abadi" w:hAnsi="Abadi" w:cs="Calibri"/>
                <w:spacing w:val="1"/>
                <w:sz w:val="21"/>
                <w:szCs w:val="21"/>
              </w:rPr>
              <w:t xml:space="preserve"> </w:t>
            </w:r>
            <w:r w:rsidRPr="00401C70">
              <w:rPr>
                <w:rFonts w:ascii="Abadi" w:hAnsi="Abadi" w:cs="Calibri"/>
                <w:sz w:val="21"/>
                <w:szCs w:val="21"/>
              </w:rPr>
              <w:t>con</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participación</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representantes</w:t>
            </w:r>
            <w:r w:rsidRPr="00401C70">
              <w:rPr>
                <w:rFonts w:ascii="Abadi" w:hAnsi="Abadi" w:cs="Calibri"/>
                <w:spacing w:val="-11"/>
                <w:sz w:val="21"/>
                <w:szCs w:val="21"/>
              </w:rPr>
              <w:t xml:space="preserve"> </w:t>
            </w:r>
            <w:r w:rsidRPr="00401C70">
              <w:rPr>
                <w:rFonts w:ascii="Abadi" w:hAnsi="Abadi" w:cs="Calibri"/>
                <w:sz w:val="21"/>
                <w:szCs w:val="21"/>
              </w:rPr>
              <w:t>de</w:t>
            </w:r>
            <w:r w:rsidRPr="00401C70">
              <w:rPr>
                <w:rFonts w:ascii="Abadi" w:hAnsi="Abadi" w:cs="Calibri"/>
                <w:spacing w:val="-10"/>
                <w:sz w:val="21"/>
                <w:szCs w:val="21"/>
              </w:rPr>
              <w:t xml:space="preserve"> </w:t>
            </w:r>
            <w:r w:rsidRPr="00401C70">
              <w:rPr>
                <w:rFonts w:ascii="Abadi" w:hAnsi="Abadi" w:cs="Calibri"/>
                <w:sz w:val="21"/>
                <w:szCs w:val="21"/>
              </w:rPr>
              <w:t>organizaciones</w:t>
            </w:r>
            <w:r w:rsidRPr="00401C70">
              <w:rPr>
                <w:rFonts w:ascii="Abadi" w:hAnsi="Abadi" w:cs="Calibri"/>
                <w:spacing w:val="-12"/>
                <w:sz w:val="21"/>
                <w:szCs w:val="21"/>
              </w:rPr>
              <w:t xml:space="preserve"> </w:t>
            </w:r>
            <w:r w:rsidRPr="00401C70">
              <w:rPr>
                <w:rFonts w:ascii="Abadi" w:hAnsi="Abadi" w:cs="Calibri"/>
                <w:sz w:val="21"/>
                <w:szCs w:val="21"/>
              </w:rPr>
              <w:t>sociales</w:t>
            </w:r>
            <w:r w:rsidRPr="00401C70">
              <w:rPr>
                <w:rFonts w:ascii="Abadi" w:hAnsi="Abadi" w:cs="Calibri"/>
                <w:spacing w:val="-10"/>
                <w:sz w:val="21"/>
                <w:szCs w:val="21"/>
              </w:rPr>
              <w:t xml:space="preserve"> </w:t>
            </w:r>
            <w:r w:rsidRPr="00401C70">
              <w:rPr>
                <w:rFonts w:ascii="Abadi" w:hAnsi="Abadi" w:cs="Calibri"/>
                <w:sz w:val="21"/>
                <w:szCs w:val="21"/>
              </w:rPr>
              <w:t>de</w:t>
            </w:r>
            <w:r w:rsidRPr="00401C70">
              <w:rPr>
                <w:rFonts w:ascii="Abadi" w:hAnsi="Abadi" w:cs="Calibri"/>
                <w:spacing w:val="-12"/>
                <w:sz w:val="21"/>
                <w:szCs w:val="21"/>
              </w:rPr>
              <w:t xml:space="preserve"> </w:t>
            </w:r>
            <w:r w:rsidRPr="00401C70">
              <w:rPr>
                <w:rFonts w:ascii="Abadi" w:hAnsi="Abadi" w:cs="Calibri"/>
                <w:sz w:val="21"/>
                <w:szCs w:val="21"/>
              </w:rPr>
              <w:t>la</w:t>
            </w:r>
            <w:r w:rsidRPr="00401C70">
              <w:rPr>
                <w:rFonts w:ascii="Abadi" w:hAnsi="Abadi" w:cs="Calibri"/>
                <w:spacing w:val="-47"/>
                <w:sz w:val="21"/>
                <w:szCs w:val="21"/>
              </w:rPr>
              <w:t xml:space="preserve"> </w:t>
            </w:r>
            <w:r w:rsidRPr="00401C70">
              <w:rPr>
                <w:rFonts w:ascii="Abadi" w:hAnsi="Abadi" w:cs="Calibri"/>
                <w:sz w:val="21"/>
                <w:szCs w:val="21"/>
              </w:rPr>
              <w:t>materia</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corresponda</w:t>
            </w:r>
            <w:r w:rsidRPr="00401C70">
              <w:rPr>
                <w:rFonts w:ascii="Abadi" w:hAnsi="Abadi" w:cs="Calibri"/>
                <w:spacing w:val="1"/>
                <w:sz w:val="21"/>
                <w:szCs w:val="21"/>
              </w:rPr>
              <w:t xml:space="preserve"> </w:t>
            </w:r>
            <w:r w:rsidRPr="00401C70">
              <w:rPr>
                <w:rFonts w:ascii="Abadi" w:hAnsi="Abadi" w:cs="Calibri"/>
                <w:sz w:val="21"/>
                <w:szCs w:val="21"/>
              </w:rPr>
              <w:t>al</w:t>
            </w:r>
            <w:r w:rsidRPr="00401C70">
              <w:rPr>
                <w:rFonts w:ascii="Abadi" w:hAnsi="Abadi" w:cs="Calibri"/>
                <w:spacing w:val="1"/>
                <w:sz w:val="21"/>
                <w:szCs w:val="21"/>
              </w:rPr>
              <w:t xml:space="preserve"> </w:t>
            </w:r>
            <w:r w:rsidRPr="00401C70">
              <w:rPr>
                <w:rFonts w:ascii="Abadi" w:hAnsi="Abadi" w:cs="Calibri"/>
                <w:sz w:val="21"/>
                <w:szCs w:val="21"/>
              </w:rPr>
              <w:t>objeto</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47"/>
                <w:sz w:val="21"/>
                <w:szCs w:val="21"/>
              </w:rPr>
              <w:t xml:space="preserve"> </w:t>
            </w:r>
            <w:r w:rsidRPr="00401C70">
              <w:rPr>
                <w:rFonts w:ascii="Abadi" w:hAnsi="Abadi" w:cs="Calibri"/>
                <w:sz w:val="21"/>
                <w:szCs w:val="21"/>
              </w:rPr>
              <w:t>organismo descentralizado, designados en los</w:t>
            </w:r>
            <w:r w:rsidRPr="00401C70">
              <w:rPr>
                <w:rFonts w:ascii="Abadi" w:hAnsi="Abadi" w:cs="Calibri"/>
                <w:spacing w:val="1"/>
                <w:sz w:val="21"/>
                <w:szCs w:val="21"/>
              </w:rPr>
              <w:t xml:space="preserve"> </w:t>
            </w:r>
            <w:r w:rsidRPr="00401C70">
              <w:rPr>
                <w:rFonts w:ascii="Abadi" w:hAnsi="Abadi" w:cs="Calibri"/>
                <w:sz w:val="21"/>
                <w:szCs w:val="21"/>
              </w:rPr>
              <w:t>términos</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ordenamiento</w:t>
            </w:r>
            <w:r w:rsidRPr="00401C70">
              <w:rPr>
                <w:rFonts w:ascii="Abadi" w:hAnsi="Abadi" w:cs="Calibri"/>
                <w:spacing w:val="1"/>
                <w:sz w:val="21"/>
                <w:szCs w:val="21"/>
              </w:rPr>
              <w:t xml:space="preserve"> </w:t>
            </w:r>
            <w:r w:rsidRPr="00401C70">
              <w:rPr>
                <w:rFonts w:ascii="Abadi" w:hAnsi="Abadi" w:cs="Calibri"/>
                <w:sz w:val="21"/>
                <w:szCs w:val="21"/>
              </w:rPr>
              <w:t>jurídico</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lo</w:t>
            </w:r>
            <w:r w:rsidRPr="00401C70">
              <w:rPr>
                <w:rFonts w:ascii="Abadi" w:hAnsi="Abadi" w:cs="Calibri"/>
                <w:spacing w:val="1"/>
                <w:sz w:val="21"/>
                <w:szCs w:val="21"/>
              </w:rPr>
              <w:t xml:space="preserve"> </w:t>
            </w:r>
            <w:r w:rsidRPr="00401C70">
              <w:rPr>
                <w:rFonts w:ascii="Abadi" w:hAnsi="Abadi" w:cs="Calibri"/>
                <w:sz w:val="21"/>
                <w:szCs w:val="21"/>
              </w:rPr>
              <w:t>norme.</w:t>
            </w:r>
          </w:p>
        </w:tc>
        <w:tc>
          <w:tcPr>
            <w:tcW w:w="2500" w:type="pct"/>
            <w:tcBorders>
              <w:top w:val="single" w:sz="4" w:space="0" w:color="000000"/>
              <w:left w:val="single" w:sz="4" w:space="0" w:color="000000"/>
              <w:bottom w:val="single" w:sz="4" w:space="0" w:color="000000"/>
              <w:right w:val="single" w:sz="4" w:space="0" w:color="000000"/>
            </w:tcBorders>
          </w:tcPr>
          <w:p w14:paraId="424A04BE" w14:textId="77777777" w:rsidR="00677B7E" w:rsidRPr="00401C70" w:rsidRDefault="00677B7E" w:rsidP="00FA2590">
            <w:pPr>
              <w:kinsoku w:val="0"/>
              <w:overflowPunct w:val="0"/>
              <w:autoSpaceDE w:val="0"/>
              <w:autoSpaceDN w:val="0"/>
              <w:adjustRightInd w:val="0"/>
              <w:ind w:left="107" w:right="90"/>
              <w:jc w:val="both"/>
              <w:rPr>
                <w:rFonts w:ascii="Abadi" w:hAnsi="Abadi" w:cs="Calibri"/>
                <w:b/>
                <w:bCs/>
                <w:i/>
                <w:iCs/>
                <w:sz w:val="21"/>
                <w:szCs w:val="21"/>
              </w:rPr>
            </w:pPr>
            <w:r w:rsidRPr="00401C70">
              <w:rPr>
                <w:rFonts w:ascii="Abadi" w:hAnsi="Abadi" w:cs="Calibri"/>
                <w:b/>
                <w:bCs/>
                <w:sz w:val="21"/>
                <w:szCs w:val="21"/>
              </w:rPr>
              <w:t>Artículo</w:t>
            </w:r>
            <w:r w:rsidRPr="00401C70">
              <w:rPr>
                <w:rFonts w:ascii="Abadi" w:hAnsi="Abadi" w:cs="Calibri"/>
                <w:b/>
                <w:bCs/>
                <w:spacing w:val="1"/>
                <w:sz w:val="21"/>
                <w:szCs w:val="21"/>
              </w:rPr>
              <w:t xml:space="preserve"> </w:t>
            </w:r>
            <w:r w:rsidRPr="00401C70">
              <w:rPr>
                <w:rFonts w:ascii="Abadi" w:hAnsi="Abadi" w:cs="Calibri"/>
                <w:b/>
                <w:bCs/>
                <w:sz w:val="21"/>
                <w:szCs w:val="21"/>
              </w:rPr>
              <w:t>55.-</w:t>
            </w:r>
            <w:r w:rsidRPr="00401C70">
              <w:rPr>
                <w:rFonts w:ascii="Abadi" w:hAnsi="Abadi" w:cs="Calibri"/>
                <w:b/>
                <w:bCs/>
                <w:spacing w:val="1"/>
                <w:sz w:val="21"/>
                <w:szCs w:val="21"/>
              </w:rPr>
              <w:t xml:space="preserve"> </w:t>
            </w:r>
            <w:r w:rsidRPr="00401C70">
              <w:rPr>
                <w:rFonts w:ascii="Abadi" w:hAnsi="Abadi" w:cs="Calibri"/>
                <w:sz w:val="21"/>
                <w:szCs w:val="21"/>
              </w:rPr>
              <w:t>En</w:t>
            </w:r>
            <w:r w:rsidRPr="00401C70">
              <w:rPr>
                <w:rFonts w:ascii="Abadi" w:hAnsi="Abadi" w:cs="Calibri"/>
                <w:spacing w:val="1"/>
                <w:sz w:val="21"/>
                <w:szCs w:val="21"/>
              </w:rPr>
              <w:t xml:space="preserve"> </w:t>
            </w: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órganos</w:t>
            </w:r>
            <w:r w:rsidRPr="00401C70">
              <w:rPr>
                <w:rFonts w:ascii="Abadi" w:hAnsi="Abadi" w:cs="Calibri"/>
                <w:spacing w:val="1"/>
                <w:sz w:val="21"/>
                <w:szCs w:val="21"/>
              </w:rPr>
              <w:t xml:space="preserve"> </w:t>
            </w:r>
            <w:r w:rsidRPr="00401C70">
              <w:rPr>
                <w:rFonts w:ascii="Abadi" w:hAnsi="Abadi" w:cs="Calibri"/>
                <w:sz w:val="21"/>
                <w:szCs w:val="21"/>
              </w:rPr>
              <w:t>consultivos</w:t>
            </w:r>
            <w:r w:rsidRPr="00401C70">
              <w:rPr>
                <w:rFonts w:ascii="Abadi" w:hAnsi="Abadi" w:cs="Calibri"/>
                <w:spacing w:val="1"/>
                <w:sz w:val="21"/>
                <w:szCs w:val="21"/>
              </w:rPr>
              <w:t xml:space="preserve"> </w:t>
            </w:r>
            <w:r w:rsidRPr="00401C70">
              <w:rPr>
                <w:rFonts w:ascii="Abadi" w:hAnsi="Abadi" w:cs="Calibri"/>
                <w:sz w:val="21"/>
                <w:szCs w:val="21"/>
              </w:rPr>
              <w:t>se</w:t>
            </w:r>
            <w:r w:rsidRPr="00401C70">
              <w:rPr>
                <w:rFonts w:ascii="Abadi" w:hAnsi="Abadi" w:cs="Calibri"/>
                <w:spacing w:val="1"/>
                <w:sz w:val="21"/>
                <w:szCs w:val="21"/>
              </w:rPr>
              <w:t xml:space="preserve"> </w:t>
            </w:r>
            <w:r w:rsidRPr="00401C70">
              <w:rPr>
                <w:rFonts w:ascii="Abadi" w:hAnsi="Abadi" w:cs="Calibri"/>
                <w:sz w:val="21"/>
                <w:szCs w:val="21"/>
              </w:rPr>
              <w:t>deberá</w:t>
            </w:r>
            <w:r w:rsidRPr="00401C70">
              <w:rPr>
                <w:rFonts w:ascii="Abadi" w:hAnsi="Abadi" w:cs="Calibri"/>
                <w:spacing w:val="1"/>
                <w:sz w:val="21"/>
                <w:szCs w:val="21"/>
              </w:rPr>
              <w:t xml:space="preserve"> </w:t>
            </w:r>
            <w:r w:rsidRPr="00401C70">
              <w:rPr>
                <w:rFonts w:ascii="Abadi" w:hAnsi="Abadi" w:cs="Calibri"/>
                <w:sz w:val="21"/>
                <w:szCs w:val="21"/>
              </w:rPr>
              <w:t>contar</w:t>
            </w:r>
            <w:r w:rsidRPr="00401C70">
              <w:rPr>
                <w:rFonts w:ascii="Abadi" w:hAnsi="Abadi" w:cs="Calibri"/>
                <w:spacing w:val="1"/>
                <w:sz w:val="21"/>
                <w:szCs w:val="21"/>
              </w:rPr>
              <w:t xml:space="preserve"> </w:t>
            </w:r>
            <w:r w:rsidRPr="00401C70">
              <w:rPr>
                <w:rFonts w:ascii="Abadi" w:hAnsi="Abadi" w:cs="Calibri"/>
                <w:sz w:val="21"/>
                <w:szCs w:val="21"/>
              </w:rPr>
              <w:t>con</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participación</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representantes</w:t>
            </w:r>
            <w:r w:rsidRPr="00401C70">
              <w:rPr>
                <w:rFonts w:ascii="Abadi" w:hAnsi="Abadi" w:cs="Calibri"/>
                <w:spacing w:val="-11"/>
                <w:sz w:val="21"/>
                <w:szCs w:val="21"/>
              </w:rPr>
              <w:t xml:space="preserve"> </w:t>
            </w:r>
            <w:r w:rsidRPr="00401C70">
              <w:rPr>
                <w:rFonts w:ascii="Abadi" w:hAnsi="Abadi" w:cs="Calibri"/>
                <w:sz w:val="21"/>
                <w:szCs w:val="21"/>
              </w:rPr>
              <w:t>de</w:t>
            </w:r>
            <w:r w:rsidRPr="00401C70">
              <w:rPr>
                <w:rFonts w:ascii="Abadi" w:hAnsi="Abadi" w:cs="Calibri"/>
                <w:spacing w:val="-10"/>
                <w:sz w:val="21"/>
                <w:szCs w:val="21"/>
              </w:rPr>
              <w:t xml:space="preserve"> </w:t>
            </w:r>
            <w:r w:rsidRPr="00401C70">
              <w:rPr>
                <w:rFonts w:ascii="Abadi" w:hAnsi="Abadi" w:cs="Calibri"/>
                <w:sz w:val="21"/>
                <w:szCs w:val="21"/>
              </w:rPr>
              <w:t>organizaciones</w:t>
            </w:r>
            <w:r w:rsidRPr="00401C70">
              <w:rPr>
                <w:rFonts w:ascii="Abadi" w:hAnsi="Abadi" w:cs="Calibri"/>
                <w:spacing w:val="-12"/>
                <w:sz w:val="21"/>
                <w:szCs w:val="21"/>
              </w:rPr>
              <w:t xml:space="preserve"> </w:t>
            </w:r>
            <w:r w:rsidRPr="00401C70">
              <w:rPr>
                <w:rFonts w:ascii="Abadi" w:hAnsi="Abadi" w:cs="Calibri"/>
                <w:sz w:val="21"/>
                <w:szCs w:val="21"/>
              </w:rPr>
              <w:t>sociales</w:t>
            </w:r>
            <w:r w:rsidRPr="00401C70">
              <w:rPr>
                <w:rFonts w:ascii="Abadi" w:hAnsi="Abadi" w:cs="Calibri"/>
                <w:spacing w:val="-10"/>
                <w:sz w:val="21"/>
                <w:szCs w:val="21"/>
              </w:rPr>
              <w:t xml:space="preserve"> </w:t>
            </w:r>
            <w:r w:rsidRPr="00401C70">
              <w:rPr>
                <w:rFonts w:ascii="Abadi" w:hAnsi="Abadi" w:cs="Calibri"/>
                <w:sz w:val="21"/>
                <w:szCs w:val="21"/>
              </w:rPr>
              <w:t>de</w:t>
            </w:r>
            <w:r w:rsidRPr="00401C70">
              <w:rPr>
                <w:rFonts w:ascii="Abadi" w:hAnsi="Abadi" w:cs="Calibri"/>
                <w:spacing w:val="-12"/>
                <w:sz w:val="21"/>
                <w:szCs w:val="21"/>
              </w:rPr>
              <w:t xml:space="preserve"> </w:t>
            </w:r>
            <w:r w:rsidRPr="00401C70">
              <w:rPr>
                <w:rFonts w:ascii="Abadi" w:hAnsi="Abadi" w:cs="Calibri"/>
                <w:sz w:val="21"/>
                <w:szCs w:val="21"/>
              </w:rPr>
              <w:t>la</w:t>
            </w:r>
            <w:r w:rsidRPr="00401C70">
              <w:rPr>
                <w:rFonts w:ascii="Abadi" w:hAnsi="Abadi" w:cs="Calibri"/>
                <w:spacing w:val="-47"/>
                <w:sz w:val="21"/>
                <w:szCs w:val="21"/>
              </w:rPr>
              <w:t xml:space="preserve"> </w:t>
            </w:r>
            <w:r w:rsidRPr="00401C70">
              <w:rPr>
                <w:rFonts w:ascii="Abadi" w:hAnsi="Abadi" w:cs="Calibri"/>
                <w:sz w:val="21"/>
                <w:szCs w:val="21"/>
              </w:rPr>
              <w:t>materia</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corresponda</w:t>
            </w:r>
            <w:r w:rsidRPr="00401C70">
              <w:rPr>
                <w:rFonts w:ascii="Abadi" w:hAnsi="Abadi" w:cs="Calibri"/>
                <w:spacing w:val="1"/>
                <w:sz w:val="21"/>
                <w:szCs w:val="21"/>
              </w:rPr>
              <w:t xml:space="preserve"> </w:t>
            </w:r>
            <w:r w:rsidRPr="00401C70">
              <w:rPr>
                <w:rFonts w:ascii="Abadi" w:hAnsi="Abadi" w:cs="Calibri"/>
                <w:sz w:val="21"/>
                <w:szCs w:val="21"/>
              </w:rPr>
              <w:t>al</w:t>
            </w:r>
            <w:r w:rsidRPr="00401C70">
              <w:rPr>
                <w:rFonts w:ascii="Abadi" w:hAnsi="Abadi" w:cs="Calibri"/>
                <w:spacing w:val="1"/>
                <w:sz w:val="21"/>
                <w:szCs w:val="21"/>
              </w:rPr>
              <w:t xml:space="preserve"> </w:t>
            </w:r>
            <w:r w:rsidRPr="00401C70">
              <w:rPr>
                <w:rFonts w:ascii="Abadi" w:hAnsi="Abadi" w:cs="Calibri"/>
                <w:sz w:val="21"/>
                <w:szCs w:val="21"/>
              </w:rPr>
              <w:t>objeto</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47"/>
                <w:sz w:val="21"/>
                <w:szCs w:val="21"/>
              </w:rPr>
              <w:t xml:space="preserve"> </w:t>
            </w:r>
            <w:r w:rsidRPr="00401C70">
              <w:rPr>
                <w:rFonts w:ascii="Abadi" w:hAnsi="Abadi" w:cs="Calibri"/>
                <w:sz w:val="21"/>
                <w:szCs w:val="21"/>
              </w:rPr>
              <w:t xml:space="preserve">organismo descentralizado, </w:t>
            </w:r>
            <w:r w:rsidRPr="00401C70">
              <w:rPr>
                <w:rFonts w:ascii="Abadi" w:hAnsi="Abadi" w:cs="Calibri"/>
                <w:b/>
                <w:bCs/>
                <w:i/>
                <w:iCs/>
                <w:sz w:val="21"/>
                <w:szCs w:val="21"/>
              </w:rPr>
              <w:t>cuya designación</w:t>
            </w:r>
            <w:r w:rsidRPr="00401C70">
              <w:rPr>
                <w:rFonts w:ascii="Abadi" w:hAnsi="Abadi" w:cs="Calibri"/>
                <w:b/>
                <w:bCs/>
                <w:i/>
                <w:iCs/>
                <w:spacing w:val="1"/>
                <w:sz w:val="21"/>
                <w:szCs w:val="21"/>
              </w:rPr>
              <w:t xml:space="preserve"> </w:t>
            </w:r>
            <w:r w:rsidRPr="00401C70">
              <w:rPr>
                <w:rFonts w:ascii="Abadi" w:hAnsi="Abadi" w:cs="Calibri"/>
                <w:sz w:val="21"/>
                <w:szCs w:val="21"/>
              </w:rPr>
              <w:t>deberá</w:t>
            </w:r>
            <w:r w:rsidRPr="00401C70">
              <w:rPr>
                <w:rFonts w:ascii="Abadi" w:hAnsi="Abadi" w:cs="Calibri"/>
                <w:spacing w:val="1"/>
                <w:sz w:val="21"/>
                <w:szCs w:val="21"/>
              </w:rPr>
              <w:t xml:space="preserve"> </w:t>
            </w:r>
            <w:r w:rsidRPr="00401C70">
              <w:rPr>
                <w:rFonts w:ascii="Abadi" w:hAnsi="Abadi" w:cs="Calibri"/>
                <w:sz w:val="21"/>
                <w:szCs w:val="21"/>
              </w:rPr>
              <w:t>realizarse</w:t>
            </w:r>
            <w:r w:rsidRPr="00401C70">
              <w:rPr>
                <w:rFonts w:ascii="Abadi" w:hAnsi="Abadi" w:cs="Calibri"/>
                <w:spacing w:val="1"/>
                <w:sz w:val="21"/>
                <w:szCs w:val="21"/>
              </w:rPr>
              <w:t xml:space="preserve"> </w:t>
            </w:r>
            <w:r w:rsidRPr="00401C70">
              <w:rPr>
                <w:rFonts w:ascii="Abadi" w:hAnsi="Abadi" w:cs="Calibri"/>
                <w:sz w:val="21"/>
                <w:szCs w:val="21"/>
              </w:rPr>
              <w:t>en</w:t>
            </w:r>
            <w:r w:rsidRPr="00401C70">
              <w:rPr>
                <w:rFonts w:ascii="Abadi" w:hAnsi="Abadi" w:cs="Calibri"/>
                <w:spacing w:val="1"/>
                <w:sz w:val="21"/>
                <w:szCs w:val="21"/>
              </w:rPr>
              <w:t xml:space="preserve"> </w:t>
            </w: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términos</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ordenamiento</w:t>
            </w:r>
            <w:r w:rsidRPr="00401C70">
              <w:rPr>
                <w:rFonts w:ascii="Abadi" w:hAnsi="Abadi" w:cs="Calibri"/>
                <w:spacing w:val="10"/>
                <w:sz w:val="21"/>
                <w:szCs w:val="21"/>
              </w:rPr>
              <w:t xml:space="preserve"> </w:t>
            </w:r>
            <w:r w:rsidRPr="00401C70">
              <w:rPr>
                <w:rFonts w:ascii="Abadi" w:hAnsi="Abadi" w:cs="Calibri"/>
                <w:sz w:val="21"/>
                <w:szCs w:val="21"/>
              </w:rPr>
              <w:t>jurídico</w:t>
            </w:r>
            <w:r w:rsidRPr="00401C70">
              <w:rPr>
                <w:rFonts w:ascii="Abadi" w:hAnsi="Abadi" w:cs="Calibri"/>
                <w:spacing w:val="8"/>
                <w:sz w:val="21"/>
                <w:szCs w:val="21"/>
              </w:rPr>
              <w:t xml:space="preserve"> </w:t>
            </w:r>
            <w:r w:rsidRPr="00401C70">
              <w:rPr>
                <w:rFonts w:ascii="Abadi" w:hAnsi="Abadi" w:cs="Calibri"/>
                <w:sz w:val="21"/>
                <w:szCs w:val="21"/>
              </w:rPr>
              <w:t>que</w:t>
            </w:r>
            <w:r w:rsidRPr="00401C70">
              <w:rPr>
                <w:rFonts w:ascii="Abadi" w:hAnsi="Abadi" w:cs="Calibri"/>
                <w:spacing w:val="10"/>
                <w:sz w:val="21"/>
                <w:szCs w:val="21"/>
              </w:rPr>
              <w:t xml:space="preserve"> </w:t>
            </w:r>
            <w:r w:rsidRPr="00401C70">
              <w:rPr>
                <w:rFonts w:ascii="Abadi" w:hAnsi="Abadi" w:cs="Calibri"/>
                <w:sz w:val="21"/>
                <w:szCs w:val="21"/>
              </w:rPr>
              <w:t>lo</w:t>
            </w:r>
            <w:r w:rsidRPr="00401C70">
              <w:rPr>
                <w:rFonts w:ascii="Abadi" w:hAnsi="Abadi" w:cs="Calibri"/>
                <w:spacing w:val="10"/>
                <w:sz w:val="21"/>
                <w:szCs w:val="21"/>
              </w:rPr>
              <w:t xml:space="preserve"> </w:t>
            </w:r>
            <w:r w:rsidRPr="00401C70">
              <w:rPr>
                <w:rFonts w:ascii="Abadi" w:hAnsi="Abadi" w:cs="Calibri"/>
                <w:sz w:val="21"/>
                <w:szCs w:val="21"/>
              </w:rPr>
              <w:t>norme</w:t>
            </w:r>
            <w:r w:rsidRPr="00401C70">
              <w:rPr>
                <w:rFonts w:ascii="Abadi" w:hAnsi="Abadi" w:cs="Calibri"/>
                <w:spacing w:val="11"/>
                <w:sz w:val="21"/>
                <w:szCs w:val="21"/>
              </w:rPr>
              <w:t xml:space="preserve"> </w:t>
            </w:r>
            <w:r w:rsidRPr="00401C70">
              <w:rPr>
                <w:rFonts w:ascii="Abadi" w:hAnsi="Abadi" w:cs="Calibri"/>
                <w:b/>
                <w:bCs/>
                <w:i/>
                <w:iCs/>
                <w:sz w:val="21"/>
                <w:szCs w:val="21"/>
              </w:rPr>
              <w:t>y</w:t>
            </w:r>
          </w:p>
          <w:p w14:paraId="2CA4D074" w14:textId="77777777" w:rsidR="00677B7E" w:rsidRPr="00401C70" w:rsidRDefault="00677B7E" w:rsidP="00FA2590">
            <w:pPr>
              <w:kinsoku w:val="0"/>
              <w:overflowPunct w:val="0"/>
              <w:autoSpaceDE w:val="0"/>
              <w:autoSpaceDN w:val="0"/>
              <w:adjustRightInd w:val="0"/>
              <w:spacing w:line="249" w:lineRule="exact"/>
              <w:ind w:left="107"/>
              <w:jc w:val="both"/>
              <w:rPr>
                <w:rFonts w:ascii="Abadi" w:hAnsi="Abadi" w:cs="Calibri"/>
                <w:b/>
                <w:bCs/>
                <w:i/>
                <w:iCs/>
                <w:sz w:val="21"/>
                <w:szCs w:val="21"/>
              </w:rPr>
            </w:pPr>
            <w:r w:rsidRPr="00401C70">
              <w:rPr>
                <w:rFonts w:ascii="Abadi" w:hAnsi="Abadi" w:cs="Calibri"/>
                <w:b/>
                <w:bCs/>
                <w:i/>
                <w:iCs/>
                <w:sz w:val="21"/>
                <w:szCs w:val="21"/>
              </w:rPr>
              <w:t>observando</w:t>
            </w:r>
            <w:r w:rsidRPr="00401C70">
              <w:rPr>
                <w:rFonts w:ascii="Abadi" w:hAnsi="Abadi" w:cs="Calibri"/>
                <w:b/>
                <w:bCs/>
                <w:i/>
                <w:iCs/>
                <w:spacing w:val="-4"/>
                <w:sz w:val="21"/>
                <w:szCs w:val="21"/>
              </w:rPr>
              <w:t xml:space="preserve"> </w:t>
            </w:r>
            <w:r w:rsidRPr="00401C70">
              <w:rPr>
                <w:rFonts w:ascii="Abadi" w:hAnsi="Abadi" w:cs="Calibri"/>
                <w:b/>
                <w:bCs/>
                <w:i/>
                <w:iCs/>
                <w:sz w:val="21"/>
                <w:szCs w:val="21"/>
              </w:rPr>
              <w:t>el</w:t>
            </w:r>
            <w:r w:rsidRPr="00401C70">
              <w:rPr>
                <w:rFonts w:ascii="Abadi" w:hAnsi="Abadi" w:cs="Calibri"/>
                <w:b/>
                <w:bCs/>
                <w:i/>
                <w:iCs/>
                <w:spacing w:val="-3"/>
                <w:sz w:val="21"/>
                <w:szCs w:val="21"/>
              </w:rPr>
              <w:t xml:space="preserve"> </w:t>
            </w:r>
            <w:r w:rsidRPr="00401C70">
              <w:rPr>
                <w:rFonts w:ascii="Abadi" w:hAnsi="Abadi" w:cs="Calibri"/>
                <w:b/>
                <w:bCs/>
                <w:i/>
                <w:iCs/>
                <w:sz w:val="21"/>
                <w:szCs w:val="21"/>
              </w:rPr>
              <w:t>principio</w:t>
            </w:r>
            <w:r w:rsidRPr="00401C70">
              <w:rPr>
                <w:rFonts w:ascii="Abadi" w:hAnsi="Abadi" w:cs="Calibri"/>
                <w:b/>
                <w:bCs/>
                <w:i/>
                <w:iCs/>
                <w:spacing w:val="-3"/>
                <w:sz w:val="21"/>
                <w:szCs w:val="21"/>
              </w:rPr>
              <w:t xml:space="preserve"> </w:t>
            </w:r>
            <w:r w:rsidRPr="00401C70">
              <w:rPr>
                <w:rFonts w:ascii="Abadi" w:hAnsi="Abadi" w:cs="Calibri"/>
                <w:b/>
                <w:bCs/>
                <w:i/>
                <w:iCs/>
                <w:sz w:val="21"/>
                <w:szCs w:val="21"/>
              </w:rPr>
              <w:t>de</w:t>
            </w:r>
            <w:r w:rsidRPr="00401C70">
              <w:rPr>
                <w:rFonts w:ascii="Abadi" w:hAnsi="Abadi" w:cs="Calibri"/>
                <w:b/>
                <w:bCs/>
                <w:i/>
                <w:iCs/>
                <w:spacing w:val="-4"/>
                <w:sz w:val="21"/>
                <w:szCs w:val="21"/>
              </w:rPr>
              <w:t xml:space="preserve"> </w:t>
            </w:r>
            <w:r w:rsidRPr="00401C70">
              <w:rPr>
                <w:rFonts w:ascii="Abadi" w:hAnsi="Abadi" w:cs="Calibri"/>
                <w:b/>
                <w:bCs/>
                <w:i/>
                <w:iCs/>
                <w:sz w:val="21"/>
                <w:szCs w:val="21"/>
              </w:rPr>
              <w:t>paridad</w:t>
            </w:r>
            <w:r w:rsidRPr="00401C70">
              <w:rPr>
                <w:rFonts w:ascii="Abadi" w:hAnsi="Abadi" w:cs="Calibri"/>
                <w:b/>
                <w:bCs/>
                <w:i/>
                <w:iCs/>
                <w:spacing w:val="-4"/>
                <w:sz w:val="21"/>
                <w:szCs w:val="21"/>
              </w:rPr>
              <w:t xml:space="preserve"> </w:t>
            </w:r>
            <w:r w:rsidRPr="00401C70">
              <w:rPr>
                <w:rFonts w:ascii="Abadi" w:hAnsi="Abadi" w:cs="Calibri"/>
                <w:b/>
                <w:bCs/>
                <w:i/>
                <w:iCs/>
                <w:sz w:val="21"/>
                <w:szCs w:val="21"/>
              </w:rPr>
              <w:t>de</w:t>
            </w:r>
            <w:r w:rsidRPr="00401C70">
              <w:rPr>
                <w:rFonts w:ascii="Abadi" w:hAnsi="Abadi" w:cs="Calibri"/>
                <w:b/>
                <w:bCs/>
                <w:i/>
                <w:iCs/>
                <w:spacing w:val="-4"/>
                <w:sz w:val="21"/>
                <w:szCs w:val="21"/>
              </w:rPr>
              <w:t xml:space="preserve"> </w:t>
            </w:r>
            <w:r w:rsidRPr="00401C70">
              <w:rPr>
                <w:rFonts w:ascii="Abadi" w:hAnsi="Abadi" w:cs="Calibri"/>
                <w:b/>
                <w:bCs/>
                <w:i/>
                <w:iCs/>
                <w:sz w:val="21"/>
                <w:szCs w:val="21"/>
              </w:rPr>
              <w:t>género.</w:t>
            </w:r>
          </w:p>
        </w:tc>
      </w:tr>
      <w:tr w:rsidR="00677B7E" w:rsidRPr="00401C70" w14:paraId="1DBE3389" w14:textId="77777777" w:rsidTr="003343AD">
        <w:trPr>
          <w:trHeight w:val="5642"/>
        </w:trPr>
        <w:tc>
          <w:tcPr>
            <w:tcW w:w="2500" w:type="pct"/>
            <w:tcBorders>
              <w:top w:val="single" w:sz="4" w:space="0" w:color="000000"/>
              <w:left w:val="single" w:sz="4" w:space="0" w:color="000000"/>
              <w:bottom w:val="single" w:sz="4" w:space="0" w:color="000000"/>
              <w:right w:val="single" w:sz="4" w:space="0" w:color="000000"/>
            </w:tcBorders>
          </w:tcPr>
          <w:p w14:paraId="5D1DCB66" w14:textId="77777777" w:rsidR="00677B7E" w:rsidRPr="00401C70" w:rsidRDefault="00677B7E" w:rsidP="00FA2590">
            <w:pPr>
              <w:kinsoku w:val="0"/>
              <w:overflowPunct w:val="0"/>
              <w:autoSpaceDE w:val="0"/>
              <w:autoSpaceDN w:val="0"/>
              <w:adjustRightInd w:val="0"/>
              <w:ind w:left="107" w:right="92"/>
              <w:jc w:val="both"/>
              <w:rPr>
                <w:rFonts w:ascii="Abadi" w:hAnsi="Abadi" w:cs="Calibri"/>
                <w:sz w:val="21"/>
                <w:szCs w:val="21"/>
              </w:rPr>
            </w:pPr>
            <w:r w:rsidRPr="00401C70">
              <w:rPr>
                <w:rFonts w:ascii="Abadi" w:hAnsi="Abadi" w:cs="Calibri"/>
                <w:b/>
                <w:bCs/>
                <w:sz w:val="21"/>
                <w:szCs w:val="21"/>
              </w:rPr>
              <w:lastRenderedPageBreak/>
              <w:t>Artículo</w:t>
            </w:r>
            <w:r w:rsidRPr="00401C70">
              <w:rPr>
                <w:rFonts w:ascii="Abadi" w:hAnsi="Abadi" w:cs="Calibri"/>
                <w:b/>
                <w:bCs/>
                <w:spacing w:val="15"/>
                <w:sz w:val="21"/>
                <w:szCs w:val="21"/>
              </w:rPr>
              <w:t xml:space="preserve"> </w:t>
            </w:r>
            <w:r w:rsidRPr="00401C70">
              <w:rPr>
                <w:rFonts w:ascii="Abadi" w:hAnsi="Abadi" w:cs="Calibri"/>
                <w:b/>
                <w:bCs/>
                <w:sz w:val="21"/>
                <w:szCs w:val="21"/>
              </w:rPr>
              <w:t>58.-</w:t>
            </w:r>
            <w:r w:rsidRPr="00401C70">
              <w:rPr>
                <w:rFonts w:ascii="Abadi" w:hAnsi="Abadi" w:cs="Calibri"/>
                <w:b/>
                <w:bCs/>
                <w:spacing w:val="18"/>
                <w:sz w:val="21"/>
                <w:szCs w:val="21"/>
              </w:rPr>
              <w:t xml:space="preserve"> </w:t>
            </w:r>
            <w:r w:rsidRPr="00401C70">
              <w:rPr>
                <w:rFonts w:ascii="Abadi" w:hAnsi="Abadi" w:cs="Calibri"/>
                <w:sz w:val="21"/>
                <w:szCs w:val="21"/>
              </w:rPr>
              <w:t>Se</w:t>
            </w:r>
            <w:r w:rsidRPr="00401C70">
              <w:rPr>
                <w:rFonts w:ascii="Abadi" w:hAnsi="Abadi" w:cs="Calibri"/>
                <w:spacing w:val="18"/>
                <w:sz w:val="21"/>
                <w:szCs w:val="21"/>
              </w:rPr>
              <w:t xml:space="preserve"> </w:t>
            </w:r>
            <w:r w:rsidRPr="00401C70">
              <w:rPr>
                <w:rFonts w:ascii="Abadi" w:hAnsi="Abadi" w:cs="Calibri"/>
                <w:sz w:val="21"/>
                <w:szCs w:val="21"/>
              </w:rPr>
              <w:t>consideran</w:t>
            </w:r>
            <w:r w:rsidRPr="00401C70">
              <w:rPr>
                <w:rFonts w:ascii="Abadi" w:hAnsi="Abadi" w:cs="Calibri"/>
                <w:spacing w:val="18"/>
                <w:sz w:val="21"/>
                <w:szCs w:val="21"/>
              </w:rPr>
              <w:t xml:space="preserve"> </w:t>
            </w:r>
            <w:r w:rsidRPr="00401C70">
              <w:rPr>
                <w:rFonts w:ascii="Abadi" w:hAnsi="Abadi" w:cs="Calibri"/>
                <w:sz w:val="21"/>
                <w:szCs w:val="21"/>
              </w:rPr>
              <w:t>empresas</w:t>
            </w:r>
            <w:r w:rsidRPr="00401C70">
              <w:rPr>
                <w:rFonts w:ascii="Abadi" w:hAnsi="Abadi" w:cs="Calibri"/>
                <w:spacing w:val="19"/>
                <w:sz w:val="21"/>
                <w:szCs w:val="21"/>
              </w:rPr>
              <w:t xml:space="preserve"> </w:t>
            </w:r>
            <w:r w:rsidRPr="00401C70">
              <w:rPr>
                <w:rFonts w:ascii="Abadi" w:hAnsi="Abadi" w:cs="Calibri"/>
                <w:sz w:val="21"/>
                <w:szCs w:val="21"/>
              </w:rPr>
              <w:t>de</w:t>
            </w:r>
            <w:r w:rsidRPr="00401C70">
              <w:rPr>
                <w:rFonts w:ascii="Abadi" w:hAnsi="Abadi" w:cs="Calibri"/>
                <w:spacing w:val="-47"/>
                <w:sz w:val="21"/>
                <w:szCs w:val="21"/>
              </w:rPr>
              <w:t xml:space="preserve"> </w:t>
            </w:r>
            <w:r w:rsidRPr="00401C70">
              <w:rPr>
                <w:rFonts w:ascii="Abadi" w:hAnsi="Abadi" w:cs="Calibri"/>
                <w:sz w:val="21"/>
                <w:szCs w:val="21"/>
              </w:rPr>
              <w:t>participación</w:t>
            </w:r>
            <w:r w:rsidRPr="00401C70">
              <w:rPr>
                <w:rFonts w:ascii="Abadi" w:hAnsi="Abadi" w:cs="Calibri"/>
                <w:spacing w:val="27"/>
                <w:sz w:val="21"/>
                <w:szCs w:val="21"/>
              </w:rPr>
              <w:t xml:space="preserve"> </w:t>
            </w:r>
            <w:r w:rsidRPr="00401C70">
              <w:rPr>
                <w:rFonts w:ascii="Abadi" w:hAnsi="Abadi" w:cs="Calibri"/>
                <w:sz w:val="21"/>
                <w:szCs w:val="21"/>
              </w:rPr>
              <w:t>estatal</w:t>
            </w:r>
            <w:r w:rsidRPr="00401C70">
              <w:rPr>
                <w:rFonts w:ascii="Abadi" w:hAnsi="Abadi" w:cs="Calibri"/>
                <w:spacing w:val="26"/>
                <w:sz w:val="21"/>
                <w:szCs w:val="21"/>
              </w:rPr>
              <w:t xml:space="preserve"> </w:t>
            </w:r>
            <w:r w:rsidRPr="00401C70">
              <w:rPr>
                <w:rFonts w:ascii="Abadi" w:hAnsi="Abadi" w:cs="Calibri"/>
                <w:sz w:val="21"/>
                <w:szCs w:val="21"/>
              </w:rPr>
              <w:t>mayoritaria</w:t>
            </w:r>
            <w:r w:rsidRPr="00401C70">
              <w:rPr>
                <w:rFonts w:ascii="Abadi" w:hAnsi="Abadi" w:cs="Calibri"/>
                <w:spacing w:val="28"/>
                <w:sz w:val="21"/>
                <w:szCs w:val="21"/>
              </w:rPr>
              <w:t xml:space="preserve"> </w:t>
            </w:r>
            <w:r w:rsidRPr="00401C70">
              <w:rPr>
                <w:rFonts w:ascii="Abadi" w:hAnsi="Abadi" w:cs="Calibri"/>
                <w:sz w:val="21"/>
                <w:szCs w:val="21"/>
              </w:rPr>
              <w:t>aquéllas</w:t>
            </w:r>
            <w:r w:rsidRPr="00401C70">
              <w:rPr>
                <w:rFonts w:ascii="Abadi" w:hAnsi="Abadi" w:cs="Calibri"/>
                <w:spacing w:val="29"/>
                <w:sz w:val="21"/>
                <w:szCs w:val="21"/>
              </w:rPr>
              <w:t xml:space="preserve"> </w:t>
            </w:r>
            <w:r w:rsidRPr="00401C70">
              <w:rPr>
                <w:rFonts w:ascii="Abadi" w:hAnsi="Abadi" w:cs="Calibri"/>
                <w:sz w:val="21"/>
                <w:szCs w:val="21"/>
              </w:rPr>
              <w:t>que</w:t>
            </w:r>
            <w:r w:rsidRPr="00401C70">
              <w:rPr>
                <w:rFonts w:ascii="Abadi" w:hAnsi="Abadi" w:cs="Calibri"/>
                <w:spacing w:val="-47"/>
                <w:sz w:val="21"/>
                <w:szCs w:val="21"/>
              </w:rPr>
              <w:t xml:space="preserve"> </w:t>
            </w:r>
            <w:r w:rsidRPr="00401C70">
              <w:rPr>
                <w:rFonts w:ascii="Abadi" w:hAnsi="Abadi" w:cs="Calibri"/>
                <w:sz w:val="21"/>
                <w:szCs w:val="21"/>
              </w:rPr>
              <w:t>satisfagan alguno de los siguientes requisitos:</w:t>
            </w:r>
            <w:r w:rsidRPr="00401C70">
              <w:rPr>
                <w:rFonts w:ascii="Abadi" w:hAnsi="Abadi" w:cs="Calibri"/>
                <w:spacing w:val="1"/>
                <w:sz w:val="21"/>
                <w:szCs w:val="21"/>
              </w:rPr>
              <w:t xml:space="preserve"> </w:t>
            </w:r>
            <w:r w:rsidRPr="00401C70">
              <w:rPr>
                <w:rFonts w:ascii="Abadi" w:hAnsi="Abadi" w:cs="Calibri"/>
                <w:b/>
                <w:bCs/>
                <w:sz w:val="21"/>
                <w:szCs w:val="21"/>
              </w:rPr>
              <w:t>I.-</w:t>
            </w:r>
            <w:r w:rsidRPr="00401C70">
              <w:rPr>
                <w:rFonts w:ascii="Abadi" w:hAnsi="Abadi" w:cs="Calibri"/>
                <w:b/>
                <w:bCs/>
                <w:spacing w:val="12"/>
                <w:sz w:val="21"/>
                <w:szCs w:val="21"/>
              </w:rPr>
              <w:t xml:space="preserve"> </w:t>
            </w:r>
            <w:r w:rsidRPr="00401C70">
              <w:rPr>
                <w:rFonts w:ascii="Abadi" w:hAnsi="Abadi" w:cs="Calibri"/>
                <w:sz w:val="21"/>
                <w:szCs w:val="21"/>
              </w:rPr>
              <w:t>Que</w:t>
            </w:r>
            <w:r w:rsidRPr="00401C70">
              <w:rPr>
                <w:rFonts w:ascii="Abadi" w:hAnsi="Abadi" w:cs="Calibri"/>
                <w:spacing w:val="9"/>
                <w:sz w:val="21"/>
                <w:szCs w:val="21"/>
              </w:rPr>
              <w:t xml:space="preserve"> </w:t>
            </w:r>
            <w:r w:rsidRPr="00401C70">
              <w:rPr>
                <w:rFonts w:ascii="Abadi" w:hAnsi="Abadi" w:cs="Calibri"/>
                <w:sz w:val="21"/>
                <w:szCs w:val="21"/>
              </w:rPr>
              <w:t>en</w:t>
            </w:r>
            <w:r w:rsidRPr="00401C70">
              <w:rPr>
                <w:rFonts w:ascii="Abadi" w:hAnsi="Abadi" w:cs="Calibri"/>
                <w:spacing w:val="12"/>
                <w:sz w:val="21"/>
                <w:szCs w:val="21"/>
              </w:rPr>
              <w:t xml:space="preserve"> </w:t>
            </w:r>
            <w:r w:rsidRPr="00401C70">
              <w:rPr>
                <w:rFonts w:ascii="Abadi" w:hAnsi="Abadi" w:cs="Calibri"/>
                <w:sz w:val="21"/>
                <w:szCs w:val="21"/>
              </w:rPr>
              <w:t>la</w:t>
            </w:r>
            <w:r w:rsidRPr="00401C70">
              <w:rPr>
                <w:rFonts w:ascii="Abadi" w:hAnsi="Abadi" w:cs="Calibri"/>
                <w:spacing w:val="13"/>
                <w:sz w:val="21"/>
                <w:szCs w:val="21"/>
              </w:rPr>
              <w:t xml:space="preserve"> </w:t>
            </w:r>
            <w:r w:rsidRPr="00401C70">
              <w:rPr>
                <w:rFonts w:ascii="Abadi" w:hAnsi="Abadi" w:cs="Calibri"/>
                <w:sz w:val="21"/>
                <w:szCs w:val="21"/>
              </w:rPr>
              <w:t>constitución</w:t>
            </w:r>
            <w:r w:rsidRPr="00401C70">
              <w:rPr>
                <w:rFonts w:ascii="Abadi" w:hAnsi="Abadi" w:cs="Calibri"/>
                <w:spacing w:val="11"/>
                <w:sz w:val="21"/>
                <w:szCs w:val="21"/>
              </w:rPr>
              <w:t xml:space="preserve"> </w:t>
            </w:r>
            <w:r w:rsidRPr="00401C70">
              <w:rPr>
                <w:rFonts w:ascii="Abadi" w:hAnsi="Abadi" w:cs="Calibri"/>
                <w:sz w:val="21"/>
                <w:szCs w:val="21"/>
              </w:rPr>
              <w:t>de</w:t>
            </w:r>
            <w:r w:rsidRPr="00401C70">
              <w:rPr>
                <w:rFonts w:ascii="Abadi" w:hAnsi="Abadi" w:cs="Calibri"/>
                <w:spacing w:val="13"/>
                <w:sz w:val="21"/>
                <w:szCs w:val="21"/>
              </w:rPr>
              <w:t xml:space="preserve"> </w:t>
            </w:r>
            <w:r w:rsidRPr="00401C70">
              <w:rPr>
                <w:rFonts w:ascii="Abadi" w:hAnsi="Abadi" w:cs="Calibri"/>
                <w:sz w:val="21"/>
                <w:szCs w:val="21"/>
              </w:rPr>
              <w:t>su</w:t>
            </w:r>
            <w:r w:rsidRPr="00401C70">
              <w:rPr>
                <w:rFonts w:ascii="Abadi" w:hAnsi="Abadi" w:cs="Calibri"/>
                <w:spacing w:val="12"/>
                <w:sz w:val="21"/>
                <w:szCs w:val="21"/>
              </w:rPr>
              <w:t xml:space="preserve"> </w:t>
            </w:r>
            <w:r w:rsidRPr="00401C70">
              <w:rPr>
                <w:rFonts w:ascii="Abadi" w:hAnsi="Abadi" w:cs="Calibri"/>
                <w:sz w:val="21"/>
                <w:szCs w:val="21"/>
              </w:rPr>
              <w:t>capital</w:t>
            </w:r>
            <w:r w:rsidRPr="00401C70">
              <w:rPr>
                <w:rFonts w:ascii="Abadi" w:hAnsi="Abadi" w:cs="Calibri"/>
                <w:spacing w:val="12"/>
                <w:sz w:val="21"/>
                <w:szCs w:val="21"/>
              </w:rPr>
              <w:t xml:space="preserve"> </w:t>
            </w:r>
            <w:r w:rsidRPr="00401C70">
              <w:rPr>
                <w:rFonts w:ascii="Abadi" w:hAnsi="Abadi" w:cs="Calibri"/>
                <w:sz w:val="21"/>
                <w:szCs w:val="21"/>
              </w:rPr>
              <w:t>figuren</w:t>
            </w:r>
            <w:r w:rsidRPr="00401C70">
              <w:rPr>
                <w:rFonts w:ascii="Abadi" w:hAnsi="Abadi" w:cs="Calibri"/>
                <w:spacing w:val="-47"/>
                <w:sz w:val="21"/>
                <w:szCs w:val="21"/>
              </w:rPr>
              <w:t xml:space="preserve"> </w:t>
            </w:r>
            <w:r w:rsidRPr="00401C70">
              <w:rPr>
                <w:rFonts w:ascii="Abadi" w:hAnsi="Abadi" w:cs="Calibri"/>
                <w:sz w:val="21"/>
                <w:szCs w:val="21"/>
              </w:rPr>
              <w:t>acciones</w:t>
            </w:r>
            <w:r w:rsidRPr="00401C70">
              <w:rPr>
                <w:rFonts w:ascii="Abadi" w:hAnsi="Abadi" w:cs="Calibri"/>
                <w:spacing w:val="6"/>
                <w:sz w:val="21"/>
                <w:szCs w:val="21"/>
              </w:rPr>
              <w:t xml:space="preserve"> </w:t>
            </w:r>
            <w:r w:rsidRPr="00401C70">
              <w:rPr>
                <w:rFonts w:ascii="Abadi" w:hAnsi="Abadi" w:cs="Calibri"/>
                <w:sz w:val="21"/>
                <w:szCs w:val="21"/>
              </w:rPr>
              <w:t>de</w:t>
            </w:r>
            <w:r w:rsidRPr="00401C70">
              <w:rPr>
                <w:rFonts w:ascii="Abadi" w:hAnsi="Abadi" w:cs="Calibri"/>
                <w:spacing w:val="4"/>
                <w:sz w:val="21"/>
                <w:szCs w:val="21"/>
              </w:rPr>
              <w:t xml:space="preserve"> </w:t>
            </w:r>
            <w:r w:rsidRPr="00401C70">
              <w:rPr>
                <w:rFonts w:ascii="Abadi" w:hAnsi="Abadi" w:cs="Calibri"/>
                <w:sz w:val="21"/>
                <w:szCs w:val="21"/>
              </w:rPr>
              <w:t>serie</w:t>
            </w:r>
            <w:r w:rsidRPr="00401C70">
              <w:rPr>
                <w:rFonts w:ascii="Abadi" w:hAnsi="Abadi" w:cs="Calibri"/>
                <w:spacing w:val="4"/>
                <w:sz w:val="21"/>
                <w:szCs w:val="21"/>
              </w:rPr>
              <w:t xml:space="preserve"> </w:t>
            </w:r>
            <w:r w:rsidRPr="00401C70">
              <w:rPr>
                <w:rFonts w:ascii="Abadi" w:hAnsi="Abadi" w:cs="Calibri"/>
                <w:sz w:val="21"/>
                <w:szCs w:val="21"/>
              </w:rPr>
              <w:t>especial</w:t>
            </w:r>
            <w:r w:rsidRPr="00401C70">
              <w:rPr>
                <w:rFonts w:ascii="Abadi" w:hAnsi="Abadi" w:cs="Calibri"/>
                <w:spacing w:val="3"/>
                <w:sz w:val="21"/>
                <w:szCs w:val="21"/>
              </w:rPr>
              <w:t xml:space="preserve"> </w:t>
            </w:r>
            <w:r w:rsidRPr="00401C70">
              <w:rPr>
                <w:rFonts w:ascii="Abadi" w:hAnsi="Abadi" w:cs="Calibri"/>
                <w:sz w:val="21"/>
                <w:szCs w:val="21"/>
              </w:rPr>
              <w:t>que</w:t>
            </w:r>
            <w:r w:rsidRPr="00401C70">
              <w:rPr>
                <w:rFonts w:ascii="Abadi" w:hAnsi="Abadi" w:cs="Calibri"/>
                <w:spacing w:val="7"/>
                <w:sz w:val="21"/>
                <w:szCs w:val="21"/>
              </w:rPr>
              <w:t xml:space="preserve"> </w:t>
            </w:r>
            <w:r w:rsidRPr="00401C70">
              <w:rPr>
                <w:rFonts w:ascii="Abadi" w:hAnsi="Abadi" w:cs="Calibri"/>
                <w:sz w:val="21"/>
                <w:szCs w:val="21"/>
              </w:rPr>
              <w:t>sólo</w:t>
            </w:r>
            <w:r w:rsidRPr="00401C70">
              <w:rPr>
                <w:rFonts w:ascii="Abadi" w:hAnsi="Abadi" w:cs="Calibri"/>
                <w:spacing w:val="5"/>
                <w:sz w:val="21"/>
                <w:szCs w:val="21"/>
              </w:rPr>
              <w:t xml:space="preserve"> </w:t>
            </w:r>
            <w:r w:rsidRPr="00401C70">
              <w:rPr>
                <w:rFonts w:ascii="Abadi" w:hAnsi="Abadi" w:cs="Calibri"/>
                <w:sz w:val="21"/>
                <w:szCs w:val="21"/>
              </w:rPr>
              <w:t>puedan</w:t>
            </w:r>
            <w:r w:rsidRPr="00401C70">
              <w:rPr>
                <w:rFonts w:ascii="Abadi" w:hAnsi="Abadi" w:cs="Calibri"/>
                <w:spacing w:val="5"/>
                <w:sz w:val="21"/>
                <w:szCs w:val="21"/>
              </w:rPr>
              <w:t xml:space="preserve"> </w:t>
            </w:r>
            <w:r w:rsidRPr="00401C70">
              <w:rPr>
                <w:rFonts w:ascii="Abadi" w:hAnsi="Abadi" w:cs="Calibri"/>
                <w:sz w:val="21"/>
                <w:szCs w:val="21"/>
              </w:rPr>
              <w:t>ser</w:t>
            </w:r>
            <w:r w:rsidRPr="00401C70">
              <w:rPr>
                <w:rFonts w:ascii="Abadi" w:hAnsi="Abadi" w:cs="Calibri"/>
                <w:spacing w:val="-47"/>
                <w:sz w:val="21"/>
                <w:szCs w:val="21"/>
              </w:rPr>
              <w:t xml:space="preserve"> </w:t>
            </w:r>
            <w:r w:rsidRPr="00401C70">
              <w:rPr>
                <w:rFonts w:ascii="Abadi" w:hAnsi="Abadi" w:cs="Calibri"/>
                <w:sz w:val="21"/>
                <w:szCs w:val="21"/>
              </w:rPr>
              <w:t>suscritas</w:t>
            </w:r>
            <w:r w:rsidRPr="00401C70">
              <w:rPr>
                <w:rFonts w:ascii="Abadi" w:hAnsi="Abadi" w:cs="Calibri"/>
                <w:spacing w:val="-1"/>
                <w:sz w:val="21"/>
                <w:szCs w:val="21"/>
              </w:rPr>
              <w:t xml:space="preserve"> </w:t>
            </w:r>
            <w:r w:rsidRPr="00401C70">
              <w:rPr>
                <w:rFonts w:ascii="Abadi" w:hAnsi="Abadi" w:cs="Calibri"/>
                <w:sz w:val="21"/>
                <w:szCs w:val="21"/>
              </w:rPr>
              <w:t>por el</w:t>
            </w:r>
            <w:r w:rsidRPr="00401C70">
              <w:rPr>
                <w:rFonts w:ascii="Abadi" w:hAnsi="Abadi" w:cs="Calibri"/>
                <w:spacing w:val="-4"/>
                <w:sz w:val="21"/>
                <w:szCs w:val="21"/>
              </w:rPr>
              <w:t xml:space="preserve"> </w:t>
            </w:r>
            <w:r w:rsidRPr="00401C70">
              <w:rPr>
                <w:rFonts w:ascii="Abadi" w:hAnsi="Abadi" w:cs="Calibri"/>
                <w:sz w:val="21"/>
                <w:szCs w:val="21"/>
              </w:rPr>
              <w:t>Gobierno del</w:t>
            </w:r>
            <w:r w:rsidRPr="00401C70">
              <w:rPr>
                <w:rFonts w:ascii="Abadi" w:hAnsi="Abadi" w:cs="Calibri"/>
                <w:spacing w:val="-1"/>
                <w:sz w:val="21"/>
                <w:szCs w:val="21"/>
              </w:rPr>
              <w:t xml:space="preserve"> </w:t>
            </w:r>
            <w:r w:rsidRPr="00401C70">
              <w:rPr>
                <w:rFonts w:ascii="Abadi" w:hAnsi="Abadi" w:cs="Calibri"/>
                <w:sz w:val="21"/>
                <w:szCs w:val="21"/>
              </w:rPr>
              <w:t>Estado;</w:t>
            </w:r>
          </w:p>
          <w:p w14:paraId="5B10DFDF" w14:textId="77777777" w:rsidR="00677B7E" w:rsidRPr="00401C70" w:rsidRDefault="00677B7E" w:rsidP="00FA2590">
            <w:pPr>
              <w:kinsoku w:val="0"/>
              <w:overflowPunct w:val="0"/>
              <w:autoSpaceDE w:val="0"/>
              <w:autoSpaceDN w:val="0"/>
              <w:adjustRightInd w:val="0"/>
              <w:ind w:left="107" w:right="91"/>
              <w:jc w:val="both"/>
              <w:rPr>
                <w:rFonts w:ascii="Abadi" w:hAnsi="Abadi" w:cs="Calibri"/>
                <w:sz w:val="21"/>
                <w:szCs w:val="21"/>
              </w:rPr>
            </w:pPr>
            <w:r w:rsidRPr="00401C70">
              <w:rPr>
                <w:rFonts w:ascii="Abadi" w:hAnsi="Abadi" w:cs="Calibri"/>
                <w:b/>
                <w:bCs/>
                <w:sz w:val="21"/>
                <w:szCs w:val="21"/>
              </w:rPr>
              <w:t>II.-</w:t>
            </w:r>
            <w:r w:rsidRPr="00401C70">
              <w:rPr>
                <w:rFonts w:ascii="Abadi" w:hAnsi="Abadi" w:cs="Calibri"/>
                <w:b/>
                <w:bCs/>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al</w:t>
            </w:r>
            <w:r w:rsidRPr="00401C70">
              <w:rPr>
                <w:rFonts w:ascii="Abadi" w:hAnsi="Abadi" w:cs="Calibri"/>
                <w:spacing w:val="1"/>
                <w:sz w:val="21"/>
                <w:szCs w:val="21"/>
              </w:rPr>
              <w:t xml:space="preserve"> </w:t>
            </w:r>
            <w:r w:rsidRPr="00401C70">
              <w:rPr>
                <w:rFonts w:ascii="Abadi" w:hAnsi="Abadi" w:cs="Calibri"/>
                <w:sz w:val="21"/>
                <w:szCs w:val="21"/>
              </w:rPr>
              <w:t>Gobernador</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Estado</w:t>
            </w:r>
            <w:r w:rsidRPr="00401C70">
              <w:rPr>
                <w:rFonts w:ascii="Abadi" w:hAnsi="Abadi" w:cs="Calibri"/>
                <w:spacing w:val="1"/>
                <w:sz w:val="21"/>
                <w:szCs w:val="21"/>
              </w:rPr>
              <w:t xml:space="preserve"> </w:t>
            </w:r>
            <w:r w:rsidRPr="00401C70">
              <w:rPr>
                <w:rFonts w:ascii="Abadi" w:hAnsi="Abadi" w:cs="Calibri"/>
                <w:sz w:val="21"/>
                <w:szCs w:val="21"/>
              </w:rPr>
              <w:t>le</w:t>
            </w:r>
            <w:r w:rsidRPr="00401C70">
              <w:rPr>
                <w:rFonts w:ascii="Abadi" w:hAnsi="Abadi" w:cs="Calibri"/>
                <w:spacing w:val="1"/>
                <w:sz w:val="21"/>
                <w:szCs w:val="21"/>
              </w:rPr>
              <w:t xml:space="preserve"> </w:t>
            </w:r>
            <w:r w:rsidRPr="00401C70">
              <w:rPr>
                <w:rFonts w:ascii="Abadi" w:hAnsi="Abadi" w:cs="Calibri"/>
                <w:sz w:val="21"/>
                <w:szCs w:val="21"/>
              </w:rPr>
              <w:t>corresponda</w:t>
            </w:r>
            <w:r w:rsidRPr="00401C70">
              <w:rPr>
                <w:rFonts w:ascii="Abadi" w:hAnsi="Abadi" w:cs="Calibri"/>
                <w:spacing w:val="1"/>
                <w:sz w:val="21"/>
                <w:szCs w:val="21"/>
              </w:rPr>
              <w:t xml:space="preserve"> </w:t>
            </w:r>
            <w:r w:rsidRPr="00401C70">
              <w:rPr>
                <w:rFonts w:ascii="Abadi" w:hAnsi="Abadi" w:cs="Calibri"/>
                <w:sz w:val="21"/>
                <w:szCs w:val="21"/>
              </w:rPr>
              <w:t>nombrar</w:t>
            </w:r>
            <w:r w:rsidRPr="00401C70">
              <w:rPr>
                <w:rFonts w:ascii="Abadi" w:hAnsi="Abadi" w:cs="Calibri"/>
                <w:spacing w:val="1"/>
                <w:sz w:val="21"/>
                <w:szCs w:val="21"/>
              </w:rPr>
              <w:t xml:space="preserve"> </w:t>
            </w:r>
            <w:r w:rsidRPr="00401C70">
              <w:rPr>
                <w:rFonts w:ascii="Abadi" w:hAnsi="Abadi" w:cs="Calibri"/>
                <w:sz w:val="21"/>
                <w:szCs w:val="21"/>
              </w:rPr>
              <w:t>a</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mayoría</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miembros</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órgano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gobierno,</w:t>
            </w:r>
            <w:r w:rsidRPr="00401C70">
              <w:rPr>
                <w:rFonts w:ascii="Abadi" w:hAnsi="Abadi" w:cs="Calibri"/>
                <w:spacing w:val="1"/>
                <w:sz w:val="21"/>
                <w:szCs w:val="21"/>
              </w:rPr>
              <w:t xml:space="preserve"> </w:t>
            </w:r>
            <w:r w:rsidRPr="00401C70">
              <w:rPr>
                <w:rFonts w:ascii="Abadi" w:hAnsi="Abadi" w:cs="Calibri"/>
                <w:sz w:val="21"/>
                <w:szCs w:val="21"/>
              </w:rPr>
              <w:t>o</w:t>
            </w:r>
            <w:r w:rsidRPr="00401C70">
              <w:rPr>
                <w:rFonts w:ascii="Abadi" w:hAnsi="Abadi" w:cs="Calibri"/>
                <w:spacing w:val="1"/>
                <w:sz w:val="21"/>
                <w:szCs w:val="21"/>
              </w:rPr>
              <w:t xml:space="preserve"> </w:t>
            </w:r>
            <w:r w:rsidRPr="00401C70">
              <w:rPr>
                <w:rFonts w:ascii="Abadi" w:hAnsi="Abadi" w:cs="Calibri"/>
                <w:sz w:val="21"/>
                <w:szCs w:val="21"/>
              </w:rPr>
              <w:t>bien</w:t>
            </w:r>
            <w:r w:rsidRPr="00401C70">
              <w:rPr>
                <w:rFonts w:ascii="Abadi" w:hAnsi="Abadi" w:cs="Calibri"/>
                <w:spacing w:val="1"/>
                <w:sz w:val="21"/>
                <w:szCs w:val="21"/>
              </w:rPr>
              <w:t xml:space="preserve"> </w:t>
            </w:r>
            <w:r w:rsidRPr="00401C70">
              <w:rPr>
                <w:rFonts w:ascii="Abadi" w:hAnsi="Abadi" w:cs="Calibri"/>
                <w:sz w:val="21"/>
                <w:szCs w:val="21"/>
              </w:rPr>
              <w:t>designar al presidente o al director, o quien</w:t>
            </w:r>
            <w:r w:rsidRPr="00401C70">
              <w:rPr>
                <w:rFonts w:ascii="Abadi" w:hAnsi="Abadi" w:cs="Calibri"/>
                <w:spacing w:val="1"/>
                <w:sz w:val="21"/>
                <w:szCs w:val="21"/>
              </w:rPr>
              <w:t xml:space="preserve"> </w:t>
            </w:r>
            <w:r w:rsidRPr="00401C70">
              <w:rPr>
                <w:rFonts w:ascii="Abadi" w:hAnsi="Abadi" w:cs="Calibri"/>
                <w:sz w:val="21"/>
                <w:szCs w:val="21"/>
              </w:rPr>
              <w:t>haga</w:t>
            </w:r>
            <w:r w:rsidRPr="00401C70">
              <w:rPr>
                <w:rFonts w:ascii="Abadi" w:hAnsi="Abadi" w:cs="Calibri"/>
                <w:spacing w:val="-6"/>
                <w:sz w:val="21"/>
                <w:szCs w:val="21"/>
              </w:rPr>
              <w:t xml:space="preserve"> </w:t>
            </w:r>
            <w:r w:rsidRPr="00401C70">
              <w:rPr>
                <w:rFonts w:ascii="Abadi" w:hAnsi="Abadi" w:cs="Calibri"/>
                <w:sz w:val="21"/>
                <w:szCs w:val="21"/>
              </w:rPr>
              <w:t>sus</w:t>
            </w:r>
            <w:r w:rsidRPr="00401C70">
              <w:rPr>
                <w:rFonts w:ascii="Abadi" w:hAnsi="Abadi" w:cs="Calibri"/>
                <w:spacing w:val="-6"/>
                <w:sz w:val="21"/>
                <w:szCs w:val="21"/>
              </w:rPr>
              <w:t xml:space="preserve"> </w:t>
            </w:r>
            <w:r w:rsidRPr="00401C70">
              <w:rPr>
                <w:rFonts w:ascii="Abadi" w:hAnsi="Abadi" w:cs="Calibri"/>
                <w:sz w:val="21"/>
                <w:szCs w:val="21"/>
              </w:rPr>
              <w:t>veces,</w:t>
            </w:r>
            <w:r w:rsidRPr="00401C70">
              <w:rPr>
                <w:rFonts w:ascii="Abadi" w:hAnsi="Abadi" w:cs="Calibri"/>
                <w:spacing w:val="-6"/>
                <w:sz w:val="21"/>
                <w:szCs w:val="21"/>
              </w:rPr>
              <w:t xml:space="preserve"> </w:t>
            </w:r>
            <w:r w:rsidRPr="00401C70">
              <w:rPr>
                <w:rFonts w:ascii="Abadi" w:hAnsi="Abadi" w:cs="Calibri"/>
                <w:sz w:val="21"/>
                <w:szCs w:val="21"/>
              </w:rPr>
              <w:t>o</w:t>
            </w:r>
            <w:r w:rsidRPr="00401C70">
              <w:rPr>
                <w:rFonts w:ascii="Abadi" w:hAnsi="Abadi" w:cs="Calibri"/>
                <w:spacing w:val="-4"/>
                <w:sz w:val="21"/>
                <w:szCs w:val="21"/>
              </w:rPr>
              <w:t xml:space="preserve"> </w:t>
            </w:r>
            <w:r w:rsidRPr="00401C70">
              <w:rPr>
                <w:rFonts w:ascii="Abadi" w:hAnsi="Abadi" w:cs="Calibri"/>
                <w:sz w:val="21"/>
                <w:szCs w:val="21"/>
              </w:rPr>
              <w:t>cuando</w:t>
            </w:r>
            <w:r w:rsidRPr="00401C70">
              <w:rPr>
                <w:rFonts w:ascii="Abadi" w:hAnsi="Abadi" w:cs="Calibri"/>
                <w:spacing w:val="-6"/>
                <w:sz w:val="21"/>
                <w:szCs w:val="21"/>
              </w:rPr>
              <w:t xml:space="preserve"> </w:t>
            </w:r>
            <w:r w:rsidRPr="00401C70">
              <w:rPr>
                <w:rFonts w:ascii="Abadi" w:hAnsi="Abadi" w:cs="Calibri"/>
                <w:sz w:val="21"/>
                <w:szCs w:val="21"/>
              </w:rPr>
              <w:t>tenga</w:t>
            </w:r>
            <w:r w:rsidRPr="00401C70">
              <w:rPr>
                <w:rFonts w:ascii="Abadi" w:hAnsi="Abadi" w:cs="Calibri"/>
                <w:spacing w:val="-6"/>
                <w:sz w:val="21"/>
                <w:szCs w:val="21"/>
              </w:rPr>
              <w:t xml:space="preserve"> </w:t>
            </w:r>
            <w:r w:rsidRPr="00401C70">
              <w:rPr>
                <w:rFonts w:ascii="Abadi" w:hAnsi="Abadi" w:cs="Calibri"/>
                <w:sz w:val="21"/>
                <w:szCs w:val="21"/>
              </w:rPr>
              <w:t>facultades</w:t>
            </w:r>
            <w:r w:rsidRPr="00401C70">
              <w:rPr>
                <w:rFonts w:ascii="Abadi" w:hAnsi="Abadi" w:cs="Calibri"/>
                <w:spacing w:val="-4"/>
                <w:sz w:val="21"/>
                <w:szCs w:val="21"/>
              </w:rPr>
              <w:t xml:space="preserve"> </w:t>
            </w:r>
            <w:r w:rsidRPr="00401C70">
              <w:rPr>
                <w:rFonts w:ascii="Abadi" w:hAnsi="Abadi" w:cs="Calibri"/>
                <w:sz w:val="21"/>
                <w:szCs w:val="21"/>
              </w:rPr>
              <w:t>para</w:t>
            </w:r>
            <w:r w:rsidRPr="00401C70">
              <w:rPr>
                <w:rFonts w:ascii="Abadi" w:hAnsi="Abadi" w:cs="Calibri"/>
                <w:spacing w:val="-48"/>
                <w:sz w:val="21"/>
                <w:szCs w:val="21"/>
              </w:rPr>
              <w:t xml:space="preserve"> </w:t>
            </w:r>
            <w:r w:rsidRPr="00401C70">
              <w:rPr>
                <w:rFonts w:ascii="Abadi" w:hAnsi="Abadi" w:cs="Calibri"/>
                <w:sz w:val="21"/>
                <w:szCs w:val="21"/>
              </w:rPr>
              <w:t>revocar</w:t>
            </w:r>
            <w:r w:rsidRPr="00401C70">
              <w:rPr>
                <w:rFonts w:ascii="Abadi" w:hAnsi="Abadi" w:cs="Calibri"/>
                <w:spacing w:val="-3"/>
                <w:sz w:val="21"/>
                <w:szCs w:val="21"/>
              </w:rPr>
              <w:t xml:space="preserve"> </w:t>
            </w:r>
            <w:r w:rsidRPr="00401C70">
              <w:rPr>
                <w:rFonts w:ascii="Abadi" w:hAnsi="Abadi" w:cs="Calibri"/>
                <w:sz w:val="21"/>
                <w:szCs w:val="21"/>
              </w:rPr>
              <w:t>los</w:t>
            </w:r>
            <w:r w:rsidRPr="00401C70">
              <w:rPr>
                <w:rFonts w:ascii="Abadi" w:hAnsi="Abadi" w:cs="Calibri"/>
                <w:spacing w:val="-2"/>
                <w:sz w:val="21"/>
                <w:szCs w:val="21"/>
              </w:rPr>
              <w:t xml:space="preserve"> </w:t>
            </w:r>
            <w:r w:rsidRPr="00401C70">
              <w:rPr>
                <w:rFonts w:ascii="Abadi" w:hAnsi="Abadi" w:cs="Calibri"/>
                <w:sz w:val="21"/>
                <w:szCs w:val="21"/>
              </w:rPr>
              <w:t>acuerdos</w:t>
            </w:r>
            <w:r w:rsidRPr="00401C70">
              <w:rPr>
                <w:rFonts w:ascii="Abadi" w:hAnsi="Abadi" w:cs="Calibri"/>
                <w:spacing w:val="-2"/>
                <w:sz w:val="21"/>
                <w:szCs w:val="21"/>
              </w:rPr>
              <w:t xml:space="preserve"> </w:t>
            </w:r>
            <w:r w:rsidRPr="00401C70">
              <w:rPr>
                <w:rFonts w:ascii="Abadi" w:hAnsi="Abadi" w:cs="Calibri"/>
                <w:sz w:val="21"/>
                <w:szCs w:val="21"/>
              </w:rPr>
              <w:t>del</w:t>
            </w:r>
            <w:r w:rsidRPr="00401C70">
              <w:rPr>
                <w:rFonts w:ascii="Abadi" w:hAnsi="Abadi" w:cs="Calibri"/>
                <w:spacing w:val="-3"/>
                <w:sz w:val="21"/>
                <w:szCs w:val="21"/>
              </w:rPr>
              <w:t xml:space="preserve"> </w:t>
            </w:r>
            <w:r w:rsidRPr="00401C70">
              <w:rPr>
                <w:rFonts w:ascii="Abadi" w:hAnsi="Abadi" w:cs="Calibri"/>
                <w:sz w:val="21"/>
                <w:szCs w:val="21"/>
              </w:rPr>
              <w:t>órgano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2"/>
                <w:sz w:val="21"/>
                <w:szCs w:val="21"/>
              </w:rPr>
              <w:t xml:space="preserve"> </w:t>
            </w:r>
            <w:r w:rsidRPr="00401C70">
              <w:rPr>
                <w:rFonts w:ascii="Abadi" w:hAnsi="Abadi" w:cs="Calibri"/>
                <w:sz w:val="21"/>
                <w:szCs w:val="21"/>
              </w:rPr>
              <w:t>gobierno;</w:t>
            </w:r>
            <w:r w:rsidRPr="00401C70">
              <w:rPr>
                <w:rFonts w:ascii="Abadi" w:hAnsi="Abadi" w:cs="Calibri"/>
                <w:spacing w:val="-2"/>
                <w:sz w:val="21"/>
                <w:szCs w:val="21"/>
              </w:rPr>
              <w:t xml:space="preserve"> </w:t>
            </w:r>
            <w:r w:rsidRPr="00401C70">
              <w:rPr>
                <w:rFonts w:ascii="Abadi" w:hAnsi="Abadi" w:cs="Calibri"/>
                <w:sz w:val="21"/>
                <w:szCs w:val="21"/>
              </w:rPr>
              <w:t>o</w:t>
            </w:r>
            <w:r w:rsidRPr="00401C70">
              <w:rPr>
                <w:rFonts w:ascii="Abadi" w:hAnsi="Abadi" w:cs="Calibri"/>
                <w:spacing w:val="-48"/>
                <w:sz w:val="21"/>
                <w:szCs w:val="21"/>
              </w:rPr>
              <w:t xml:space="preserve"> </w:t>
            </w:r>
            <w:r w:rsidRPr="00401C70">
              <w:rPr>
                <w:rFonts w:ascii="Abadi" w:hAnsi="Abadi" w:cs="Calibri"/>
                <w:b/>
                <w:bCs/>
                <w:sz w:val="21"/>
                <w:szCs w:val="21"/>
              </w:rPr>
              <w:t>III.-</w:t>
            </w:r>
            <w:r w:rsidRPr="00401C70">
              <w:rPr>
                <w:rFonts w:ascii="Abadi" w:hAnsi="Abadi" w:cs="Calibri"/>
                <w:b/>
                <w:bCs/>
                <w:spacing w:val="-6"/>
                <w:sz w:val="21"/>
                <w:szCs w:val="21"/>
              </w:rPr>
              <w:t xml:space="preserve"> </w:t>
            </w:r>
            <w:r w:rsidRPr="00401C70">
              <w:rPr>
                <w:rFonts w:ascii="Abadi" w:hAnsi="Abadi" w:cs="Calibri"/>
                <w:sz w:val="21"/>
                <w:szCs w:val="21"/>
              </w:rPr>
              <w:t>Que</w:t>
            </w:r>
            <w:r w:rsidRPr="00401C70">
              <w:rPr>
                <w:rFonts w:ascii="Abadi" w:hAnsi="Abadi" w:cs="Calibri"/>
                <w:spacing w:val="-5"/>
                <w:sz w:val="21"/>
                <w:szCs w:val="21"/>
              </w:rPr>
              <w:t xml:space="preserve"> </w:t>
            </w:r>
            <w:r w:rsidRPr="00401C70">
              <w:rPr>
                <w:rFonts w:ascii="Abadi" w:hAnsi="Abadi" w:cs="Calibri"/>
                <w:sz w:val="21"/>
                <w:szCs w:val="21"/>
              </w:rPr>
              <w:t>el</w:t>
            </w:r>
            <w:r w:rsidRPr="00401C70">
              <w:rPr>
                <w:rFonts w:ascii="Abadi" w:hAnsi="Abadi" w:cs="Calibri"/>
                <w:spacing w:val="-2"/>
                <w:sz w:val="21"/>
                <w:szCs w:val="21"/>
              </w:rPr>
              <w:t xml:space="preserve"> </w:t>
            </w:r>
            <w:r w:rsidRPr="00401C70">
              <w:rPr>
                <w:rFonts w:ascii="Abadi" w:hAnsi="Abadi" w:cs="Calibri"/>
                <w:sz w:val="21"/>
                <w:szCs w:val="21"/>
              </w:rPr>
              <w:t>Gobierno</w:t>
            </w:r>
            <w:r w:rsidRPr="00401C70">
              <w:rPr>
                <w:rFonts w:ascii="Abadi" w:hAnsi="Abadi" w:cs="Calibri"/>
                <w:spacing w:val="-4"/>
                <w:sz w:val="21"/>
                <w:szCs w:val="21"/>
              </w:rPr>
              <w:t xml:space="preserve"> </w:t>
            </w:r>
            <w:r w:rsidRPr="00401C70">
              <w:rPr>
                <w:rFonts w:ascii="Abadi" w:hAnsi="Abadi" w:cs="Calibri"/>
                <w:sz w:val="21"/>
                <w:szCs w:val="21"/>
              </w:rPr>
              <w:t>del</w:t>
            </w:r>
            <w:r w:rsidRPr="00401C70">
              <w:rPr>
                <w:rFonts w:ascii="Abadi" w:hAnsi="Abadi" w:cs="Calibri"/>
                <w:spacing w:val="-2"/>
                <w:sz w:val="21"/>
                <w:szCs w:val="21"/>
              </w:rPr>
              <w:t xml:space="preserve"> </w:t>
            </w:r>
            <w:r w:rsidRPr="00401C70">
              <w:rPr>
                <w:rFonts w:ascii="Abadi" w:hAnsi="Abadi" w:cs="Calibri"/>
                <w:sz w:val="21"/>
                <w:szCs w:val="21"/>
              </w:rPr>
              <w:t>Estado</w:t>
            </w:r>
            <w:r w:rsidRPr="00401C70">
              <w:rPr>
                <w:rFonts w:ascii="Abadi" w:hAnsi="Abadi" w:cs="Calibri"/>
                <w:spacing w:val="-3"/>
                <w:sz w:val="21"/>
                <w:szCs w:val="21"/>
              </w:rPr>
              <w:t xml:space="preserve"> </w:t>
            </w:r>
            <w:r w:rsidRPr="00401C70">
              <w:rPr>
                <w:rFonts w:ascii="Abadi" w:hAnsi="Abadi" w:cs="Calibri"/>
                <w:sz w:val="21"/>
                <w:szCs w:val="21"/>
              </w:rPr>
              <w:t>o</w:t>
            </w:r>
            <w:r w:rsidRPr="00401C70">
              <w:rPr>
                <w:rFonts w:ascii="Abadi" w:hAnsi="Abadi" w:cs="Calibri"/>
                <w:spacing w:val="-2"/>
                <w:sz w:val="21"/>
                <w:szCs w:val="21"/>
              </w:rPr>
              <w:t xml:space="preserve"> </w:t>
            </w:r>
            <w:r w:rsidRPr="00401C70">
              <w:rPr>
                <w:rFonts w:ascii="Abadi" w:hAnsi="Abadi" w:cs="Calibri"/>
                <w:sz w:val="21"/>
                <w:szCs w:val="21"/>
              </w:rPr>
              <w:t>uno</w:t>
            </w:r>
            <w:r w:rsidRPr="00401C70">
              <w:rPr>
                <w:rFonts w:ascii="Abadi" w:hAnsi="Abadi" w:cs="Calibri"/>
                <w:spacing w:val="-3"/>
                <w:sz w:val="21"/>
                <w:szCs w:val="21"/>
              </w:rPr>
              <w:t xml:space="preserve"> </w:t>
            </w:r>
            <w:r w:rsidRPr="00401C70">
              <w:rPr>
                <w:rFonts w:ascii="Abadi" w:hAnsi="Abadi" w:cs="Calibri"/>
                <w:sz w:val="21"/>
                <w:szCs w:val="21"/>
              </w:rPr>
              <w:t>o</w:t>
            </w:r>
            <w:r w:rsidRPr="00401C70">
              <w:rPr>
                <w:rFonts w:ascii="Abadi" w:hAnsi="Abadi" w:cs="Calibri"/>
                <w:spacing w:val="-3"/>
                <w:sz w:val="21"/>
                <w:szCs w:val="21"/>
              </w:rPr>
              <w:t xml:space="preserve"> </w:t>
            </w:r>
            <w:r w:rsidRPr="00401C70">
              <w:rPr>
                <w:rFonts w:ascii="Abadi" w:hAnsi="Abadi" w:cs="Calibri"/>
                <w:sz w:val="21"/>
                <w:szCs w:val="21"/>
              </w:rPr>
              <w:t>más</w:t>
            </w:r>
            <w:r w:rsidRPr="00401C70">
              <w:rPr>
                <w:rFonts w:ascii="Abadi" w:hAnsi="Abadi" w:cs="Calibri"/>
                <w:spacing w:val="-6"/>
                <w:sz w:val="21"/>
                <w:szCs w:val="21"/>
              </w:rPr>
              <w:t xml:space="preserve"> </w:t>
            </w:r>
            <w:r w:rsidRPr="00401C70">
              <w:rPr>
                <w:rFonts w:ascii="Abadi" w:hAnsi="Abadi" w:cs="Calibri"/>
                <w:sz w:val="21"/>
                <w:szCs w:val="21"/>
              </w:rPr>
              <w:t>de</w:t>
            </w:r>
            <w:r w:rsidRPr="00401C70">
              <w:rPr>
                <w:rFonts w:ascii="Abadi" w:hAnsi="Abadi" w:cs="Calibri"/>
                <w:spacing w:val="-47"/>
                <w:sz w:val="21"/>
                <w:szCs w:val="21"/>
              </w:rPr>
              <w:t xml:space="preserve"> </w:t>
            </w:r>
            <w:r w:rsidRPr="00401C70">
              <w:rPr>
                <w:rFonts w:ascii="Abadi" w:hAnsi="Abadi" w:cs="Calibri"/>
                <w:sz w:val="21"/>
                <w:szCs w:val="21"/>
              </w:rPr>
              <w:t>sus organismos públicos descentralizados, de</w:t>
            </w:r>
            <w:r w:rsidRPr="00401C70">
              <w:rPr>
                <w:rFonts w:ascii="Abadi" w:hAnsi="Abadi" w:cs="Calibri"/>
                <w:spacing w:val="1"/>
                <w:sz w:val="21"/>
                <w:szCs w:val="21"/>
              </w:rPr>
              <w:t xml:space="preserve"> </w:t>
            </w:r>
            <w:r w:rsidRPr="00401C70">
              <w:rPr>
                <w:rFonts w:ascii="Abadi" w:hAnsi="Abadi" w:cs="Calibri"/>
                <w:sz w:val="21"/>
                <w:szCs w:val="21"/>
              </w:rPr>
              <w:t>sus</w:t>
            </w:r>
            <w:r w:rsidRPr="00401C70">
              <w:rPr>
                <w:rFonts w:ascii="Abadi" w:hAnsi="Abadi" w:cs="Calibri"/>
                <w:spacing w:val="1"/>
                <w:sz w:val="21"/>
                <w:szCs w:val="21"/>
              </w:rPr>
              <w:t xml:space="preserve"> </w:t>
            </w:r>
            <w:r w:rsidRPr="00401C70">
              <w:rPr>
                <w:rFonts w:ascii="Abadi" w:hAnsi="Abadi" w:cs="Calibri"/>
                <w:sz w:val="21"/>
                <w:szCs w:val="21"/>
              </w:rPr>
              <w:t>empresas</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participación</w:t>
            </w:r>
            <w:r w:rsidRPr="00401C70">
              <w:rPr>
                <w:rFonts w:ascii="Abadi" w:hAnsi="Abadi" w:cs="Calibri"/>
                <w:spacing w:val="1"/>
                <w:sz w:val="21"/>
                <w:szCs w:val="21"/>
              </w:rPr>
              <w:t xml:space="preserve"> </w:t>
            </w:r>
            <w:r w:rsidRPr="00401C70">
              <w:rPr>
                <w:rFonts w:ascii="Abadi" w:hAnsi="Abadi" w:cs="Calibri"/>
                <w:sz w:val="21"/>
                <w:szCs w:val="21"/>
              </w:rPr>
              <w:t>estatal</w:t>
            </w:r>
            <w:r w:rsidRPr="00401C70">
              <w:rPr>
                <w:rFonts w:ascii="Abadi" w:hAnsi="Abadi" w:cs="Calibri"/>
                <w:spacing w:val="1"/>
                <w:sz w:val="21"/>
                <w:szCs w:val="21"/>
              </w:rPr>
              <w:t xml:space="preserve"> </w:t>
            </w:r>
            <w:r w:rsidRPr="00401C70">
              <w:rPr>
                <w:rFonts w:ascii="Abadi" w:hAnsi="Abadi" w:cs="Calibri"/>
                <w:sz w:val="21"/>
                <w:szCs w:val="21"/>
              </w:rPr>
              <w:t>mayoritaria</w:t>
            </w:r>
            <w:r w:rsidRPr="00401C70">
              <w:rPr>
                <w:rFonts w:ascii="Abadi" w:hAnsi="Abadi" w:cs="Calibri"/>
                <w:spacing w:val="1"/>
                <w:sz w:val="21"/>
                <w:szCs w:val="21"/>
              </w:rPr>
              <w:t xml:space="preserve"> </w:t>
            </w:r>
            <w:r w:rsidRPr="00401C70">
              <w:rPr>
                <w:rFonts w:ascii="Abadi" w:hAnsi="Abadi" w:cs="Calibri"/>
                <w:sz w:val="21"/>
                <w:szCs w:val="21"/>
              </w:rPr>
              <w:t>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sus</w:t>
            </w:r>
            <w:r w:rsidRPr="00401C70">
              <w:rPr>
                <w:rFonts w:ascii="Abadi" w:hAnsi="Abadi" w:cs="Calibri"/>
                <w:spacing w:val="1"/>
                <w:sz w:val="21"/>
                <w:szCs w:val="21"/>
              </w:rPr>
              <w:t xml:space="preserve"> </w:t>
            </w:r>
            <w:r w:rsidRPr="00401C70">
              <w:rPr>
                <w:rFonts w:ascii="Abadi" w:hAnsi="Abadi" w:cs="Calibri"/>
                <w:sz w:val="21"/>
                <w:szCs w:val="21"/>
              </w:rPr>
              <w:t>fideicomisos</w:t>
            </w:r>
            <w:r w:rsidRPr="00401C70">
              <w:rPr>
                <w:rFonts w:ascii="Abadi" w:hAnsi="Abadi" w:cs="Calibri"/>
                <w:spacing w:val="1"/>
                <w:sz w:val="21"/>
                <w:szCs w:val="21"/>
              </w:rPr>
              <w:t xml:space="preserve"> </w:t>
            </w:r>
            <w:r w:rsidRPr="00401C70">
              <w:rPr>
                <w:rFonts w:ascii="Abadi" w:hAnsi="Abadi" w:cs="Calibri"/>
                <w:sz w:val="21"/>
                <w:szCs w:val="21"/>
              </w:rPr>
              <w:t>públicos,</w:t>
            </w:r>
            <w:r w:rsidRPr="00401C70">
              <w:rPr>
                <w:rFonts w:ascii="Abadi" w:hAnsi="Abadi" w:cs="Calibri"/>
                <w:spacing w:val="1"/>
                <w:sz w:val="21"/>
                <w:szCs w:val="21"/>
              </w:rPr>
              <w:t xml:space="preserve"> </w:t>
            </w:r>
            <w:r w:rsidRPr="00401C70">
              <w:rPr>
                <w:rFonts w:ascii="Abadi" w:hAnsi="Abadi" w:cs="Calibri"/>
                <w:sz w:val="21"/>
                <w:szCs w:val="21"/>
              </w:rPr>
              <w:t>considerados</w:t>
            </w:r>
            <w:r w:rsidRPr="00401C70">
              <w:rPr>
                <w:rFonts w:ascii="Abadi" w:hAnsi="Abadi" w:cs="Calibri"/>
                <w:spacing w:val="1"/>
                <w:sz w:val="21"/>
                <w:szCs w:val="21"/>
              </w:rPr>
              <w:t xml:space="preserve"> </w:t>
            </w:r>
            <w:r w:rsidRPr="00401C70">
              <w:rPr>
                <w:rFonts w:ascii="Abadi" w:hAnsi="Abadi" w:cs="Calibri"/>
                <w:sz w:val="21"/>
                <w:szCs w:val="21"/>
              </w:rPr>
              <w:t>conjunta</w:t>
            </w:r>
            <w:r w:rsidRPr="00401C70">
              <w:rPr>
                <w:rFonts w:ascii="Abadi" w:hAnsi="Abadi" w:cs="Calibri"/>
                <w:spacing w:val="1"/>
                <w:sz w:val="21"/>
                <w:szCs w:val="21"/>
              </w:rPr>
              <w:t xml:space="preserve"> </w:t>
            </w:r>
            <w:r w:rsidRPr="00401C70">
              <w:rPr>
                <w:rFonts w:ascii="Abadi" w:hAnsi="Abadi" w:cs="Calibri"/>
                <w:sz w:val="21"/>
                <w:szCs w:val="21"/>
              </w:rPr>
              <w:t>o</w:t>
            </w:r>
            <w:r w:rsidRPr="00401C70">
              <w:rPr>
                <w:rFonts w:ascii="Abadi" w:hAnsi="Abadi" w:cs="Calibri"/>
                <w:spacing w:val="1"/>
                <w:sz w:val="21"/>
                <w:szCs w:val="21"/>
              </w:rPr>
              <w:t xml:space="preserve"> </w:t>
            </w:r>
            <w:r w:rsidRPr="00401C70">
              <w:rPr>
                <w:rFonts w:ascii="Abadi" w:hAnsi="Abadi" w:cs="Calibri"/>
                <w:sz w:val="21"/>
                <w:szCs w:val="21"/>
              </w:rPr>
              <w:t>separadamente,</w:t>
            </w:r>
            <w:r w:rsidRPr="00401C70">
              <w:rPr>
                <w:rFonts w:ascii="Abadi" w:hAnsi="Abadi" w:cs="Calibri"/>
                <w:spacing w:val="1"/>
                <w:sz w:val="21"/>
                <w:szCs w:val="21"/>
              </w:rPr>
              <w:t xml:space="preserve"> </w:t>
            </w:r>
            <w:r w:rsidRPr="00401C70">
              <w:rPr>
                <w:rFonts w:ascii="Abadi" w:hAnsi="Abadi" w:cs="Calibri"/>
                <w:sz w:val="21"/>
                <w:szCs w:val="21"/>
              </w:rPr>
              <w:t>aporten</w:t>
            </w:r>
            <w:r w:rsidRPr="00401C70">
              <w:rPr>
                <w:rFonts w:ascii="Abadi" w:hAnsi="Abadi" w:cs="Calibri"/>
                <w:spacing w:val="-10"/>
                <w:sz w:val="21"/>
                <w:szCs w:val="21"/>
              </w:rPr>
              <w:t xml:space="preserve"> </w:t>
            </w:r>
            <w:r w:rsidRPr="00401C70">
              <w:rPr>
                <w:rFonts w:ascii="Abadi" w:hAnsi="Abadi" w:cs="Calibri"/>
                <w:sz w:val="21"/>
                <w:szCs w:val="21"/>
              </w:rPr>
              <w:t>o</w:t>
            </w:r>
            <w:r w:rsidRPr="00401C70">
              <w:rPr>
                <w:rFonts w:ascii="Abadi" w:hAnsi="Abadi" w:cs="Calibri"/>
                <w:spacing w:val="-8"/>
                <w:sz w:val="21"/>
                <w:szCs w:val="21"/>
              </w:rPr>
              <w:t xml:space="preserve"> </w:t>
            </w:r>
            <w:r w:rsidRPr="00401C70">
              <w:rPr>
                <w:rFonts w:ascii="Abadi" w:hAnsi="Abadi" w:cs="Calibri"/>
                <w:sz w:val="21"/>
                <w:szCs w:val="21"/>
              </w:rPr>
              <w:t>sean</w:t>
            </w:r>
            <w:r w:rsidRPr="00401C70">
              <w:rPr>
                <w:rFonts w:ascii="Abadi" w:hAnsi="Abadi" w:cs="Calibri"/>
                <w:spacing w:val="-10"/>
                <w:sz w:val="21"/>
                <w:szCs w:val="21"/>
              </w:rPr>
              <w:t xml:space="preserve"> </w:t>
            </w:r>
            <w:r w:rsidRPr="00401C70">
              <w:rPr>
                <w:rFonts w:ascii="Abadi" w:hAnsi="Abadi" w:cs="Calibri"/>
                <w:sz w:val="21"/>
                <w:szCs w:val="21"/>
              </w:rPr>
              <w:t>propietarios</w:t>
            </w:r>
            <w:r w:rsidRPr="00401C70">
              <w:rPr>
                <w:rFonts w:ascii="Abadi" w:hAnsi="Abadi" w:cs="Calibri"/>
                <w:spacing w:val="-7"/>
                <w:sz w:val="21"/>
                <w:szCs w:val="21"/>
              </w:rPr>
              <w:t xml:space="preserve"> </w:t>
            </w:r>
            <w:r w:rsidRPr="00401C70">
              <w:rPr>
                <w:rFonts w:ascii="Abadi" w:hAnsi="Abadi" w:cs="Calibri"/>
                <w:sz w:val="21"/>
                <w:szCs w:val="21"/>
              </w:rPr>
              <w:t>de</w:t>
            </w:r>
            <w:r w:rsidRPr="00401C70">
              <w:rPr>
                <w:rFonts w:ascii="Abadi" w:hAnsi="Abadi" w:cs="Calibri"/>
                <w:spacing w:val="-9"/>
                <w:sz w:val="21"/>
                <w:szCs w:val="21"/>
              </w:rPr>
              <w:t xml:space="preserve"> </w:t>
            </w:r>
            <w:r w:rsidRPr="00401C70">
              <w:rPr>
                <w:rFonts w:ascii="Abadi" w:hAnsi="Abadi" w:cs="Calibri"/>
                <w:sz w:val="21"/>
                <w:szCs w:val="21"/>
              </w:rPr>
              <w:t>más</w:t>
            </w:r>
            <w:r w:rsidRPr="00401C70">
              <w:rPr>
                <w:rFonts w:ascii="Abadi" w:hAnsi="Abadi" w:cs="Calibri"/>
                <w:spacing w:val="-9"/>
                <w:sz w:val="21"/>
                <w:szCs w:val="21"/>
              </w:rPr>
              <w:t xml:space="preserve"> </w:t>
            </w:r>
            <w:r w:rsidRPr="00401C70">
              <w:rPr>
                <w:rFonts w:ascii="Abadi" w:hAnsi="Abadi" w:cs="Calibri"/>
                <w:sz w:val="21"/>
                <w:szCs w:val="21"/>
              </w:rPr>
              <w:t>del</w:t>
            </w:r>
            <w:r w:rsidRPr="00401C70">
              <w:rPr>
                <w:rFonts w:ascii="Abadi" w:hAnsi="Abadi" w:cs="Calibri"/>
                <w:spacing w:val="-9"/>
                <w:sz w:val="21"/>
                <w:szCs w:val="21"/>
              </w:rPr>
              <w:t xml:space="preserve"> </w:t>
            </w:r>
            <w:r w:rsidRPr="00401C70">
              <w:rPr>
                <w:rFonts w:ascii="Abadi" w:hAnsi="Abadi" w:cs="Calibri"/>
                <w:sz w:val="21"/>
                <w:szCs w:val="21"/>
              </w:rPr>
              <w:t>50%</w:t>
            </w:r>
            <w:r w:rsidRPr="00401C70">
              <w:rPr>
                <w:rFonts w:ascii="Abadi" w:hAnsi="Abadi" w:cs="Calibri"/>
                <w:spacing w:val="-6"/>
                <w:sz w:val="21"/>
                <w:szCs w:val="21"/>
              </w:rPr>
              <w:t xml:space="preserve"> </w:t>
            </w:r>
            <w:r w:rsidRPr="00401C70">
              <w:rPr>
                <w:rFonts w:ascii="Abadi" w:hAnsi="Abadi" w:cs="Calibri"/>
                <w:sz w:val="21"/>
                <w:szCs w:val="21"/>
              </w:rPr>
              <w:t>del</w:t>
            </w:r>
            <w:r w:rsidRPr="00401C70">
              <w:rPr>
                <w:rFonts w:ascii="Abadi" w:hAnsi="Abadi" w:cs="Calibri"/>
                <w:spacing w:val="-48"/>
                <w:sz w:val="21"/>
                <w:szCs w:val="21"/>
              </w:rPr>
              <w:t xml:space="preserve"> </w:t>
            </w:r>
            <w:r w:rsidRPr="00401C70">
              <w:rPr>
                <w:rFonts w:ascii="Abadi" w:hAnsi="Abadi" w:cs="Calibri"/>
                <w:sz w:val="21"/>
                <w:szCs w:val="21"/>
              </w:rPr>
              <w:t>capital social.</w:t>
            </w:r>
          </w:p>
        </w:tc>
        <w:tc>
          <w:tcPr>
            <w:tcW w:w="2500" w:type="pct"/>
            <w:tcBorders>
              <w:top w:val="single" w:sz="4" w:space="0" w:color="000000"/>
              <w:left w:val="single" w:sz="4" w:space="0" w:color="000000"/>
              <w:bottom w:val="single" w:sz="4" w:space="0" w:color="000000"/>
              <w:right w:val="single" w:sz="4" w:space="0" w:color="000000"/>
            </w:tcBorders>
          </w:tcPr>
          <w:p w14:paraId="3169435B" w14:textId="77777777" w:rsidR="00677B7E" w:rsidRPr="00401C70" w:rsidRDefault="00677B7E" w:rsidP="00FA2590">
            <w:pPr>
              <w:kinsoku w:val="0"/>
              <w:overflowPunct w:val="0"/>
              <w:autoSpaceDE w:val="0"/>
              <w:autoSpaceDN w:val="0"/>
              <w:adjustRightInd w:val="0"/>
              <w:ind w:left="107" w:right="92"/>
              <w:jc w:val="both"/>
              <w:rPr>
                <w:rFonts w:ascii="Abadi" w:hAnsi="Abadi" w:cs="Calibri"/>
                <w:sz w:val="21"/>
                <w:szCs w:val="21"/>
              </w:rPr>
            </w:pPr>
            <w:r w:rsidRPr="00401C70">
              <w:rPr>
                <w:rFonts w:ascii="Abadi" w:hAnsi="Abadi" w:cs="Calibri"/>
                <w:b/>
                <w:bCs/>
                <w:sz w:val="21"/>
                <w:szCs w:val="21"/>
              </w:rPr>
              <w:t>Artículo</w:t>
            </w:r>
            <w:r w:rsidRPr="00401C70">
              <w:rPr>
                <w:rFonts w:ascii="Abadi" w:hAnsi="Abadi" w:cs="Calibri"/>
                <w:b/>
                <w:bCs/>
                <w:spacing w:val="15"/>
                <w:sz w:val="21"/>
                <w:szCs w:val="21"/>
              </w:rPr>
              <w:t xml:space="preserve"> </w:t>
            </w:r>
            <w:r w:rsidRPr="00401C70">
              <w:rPr>
                <w:rFonts w:ascii="Abadi" w:hAnsi="Abadi" w:cs="Calibri"/>
                <w:b/>
                <w:bCs/>
                <w:sz w:val="21"/>
                <w:szCs w:val="21"/>
              </w:rPr>
              <w:t>58.-</w:t>
            </w:r>
            <w:r w:rsidRPr="00401C70">
              <w:rPr>
                <w:rFonts w:ascii="Abadi" w:hAnsi="Abadi" w:cs="Calibri"/>
                <w:b/>
                <w:bCs/>
                <w:spacing w:val="18"/>
                <w:sz w:val="21"/>
                <w:szCs w:val="21"/>
              </w:rPr>
              <w:t xml:space="preserve"> </w:t>
            </w:r>
            <w:r w:rsidRPr="00401C70">
              <w:rPr>
                <w:rFonts w:ascii="Abadi" w:hAnsi="Abadi" w:cs="Calibri"/>
                <w:sz w:val="21"/>
                <w:szCs w:val="21"/>
              </w:rPr>
              <w:t>Se</w:t>
            </w:r>
            <w:r w:rsidRPr="00401C70">
              <w:rPr>
                <w:rFonts w:ascii="Abadi" w:hAnsi="Abadi" w:cs="Calibri"/>
                <w:spacing w:val="18"/>
                <w:sz w:val="21"/>
                <w:szCs w:val="21"/>
              </w:rPr>
              <w:t xml:space="preserve"> </w:t>
            </w:r>
            <w:r w:rsidRPr="00401C70">
              <w:rPr>
                <w:rFonts w:ascii="Abadi" w:hAnsi="Abadi" w:cs="Calibri"/>
                <w:sz w:val="21"/>
                <w:szCs w:val="21"/>
              </w:rPr>
              <w:t>consideran</w:t>
            </w:r>
            <w:r w:rsidRPr="00401C70">
              <w:rPr>
                <w:rFonts w:ascii="Abadi" w:hAnsi="Abadi" w:cs="Calibri"/>
                <w:spacing w:val="18"/>
                <w:sz w:val="21"/>
                <w:szCs w:val="21"/>
              </w:rPr>
              <w:t xml:space="preserve"> </w:t>
            </w:r>
            <w:r w:rsidRPr="00401C70">
              <w:rPr>
                <w:rFonts w:ascii="Abadi" w:hAnsi="Abadi" w:cs="Calibri"/>
                <w:sz w:val="21"/>
                <w:szCs w:val="21"/>
              </w:rPr>
              <w:t>empresas</w:t>
            </w:r>
            <w:r w:rsidRPr="00401C70">
              <w:rPr>
                <w:rFonts w:ascii="Abadi" w:hAnsi="Abadi" w:cs="Calibri"/>
                <w:spacing w:val="19"/>
                <w:sz w:val="21"/>
                <w:szCs w:val="21"/>
              </w:rPr>
              <w:t xml:space="preserve"> </w:t>
            </w:r>
            <w:r w:rsidRPr="00401C70">
              <w:rPr>
                <w:rFonts w:ascii="Abadi" w:hAnsi="Abadi" w:cs="Calibri"/>
                <w:sz w:val="21"/>
                <w:szCs w:val="21"/>
              </w:rPr>
              <w:t>de</w:t>
            </w:r>
            <w:r w:rsidRPr="00401C70">
              <w:rPr>
                <w:rFonts w:ascii="Abadi" w:hAnsi="Abadi" w:cs="Calibri"/>
                <w:spacing w:val="-47"/>
                <w:sz w:val="21"/>
                <w:szCs w:val="21"/>
              </w:rPr>
              <w:t xml:space="preserve"> </w:t>
            </w:r>
            <w:r w:rsidRPr="00401C70">
              <w:rPr>
                <w:rFonts w:ascii="Abadi" w:hAnsi="Abadi" w:cs="Calibri"/>
                <w:sz w:val="21"/>
                <w:szCs w:val="21"/>
              </w:rPr>
              <w:t>participación</w:t>
            </w:r>
            <w:r w:rsidRPr="00401C70">
              <w:rPr>
                <w:rFonts w:ascii="Abadi" w:hAnsi="Abadi" w:cs="Calibri"/>
                <w:spacing w:val="27"/>
                <w:sz w:val="21"/>
                <w:szCs w:val="21"/>
              </w:rPr>
              <w:t xml:space="preserve"> </w:t>
            </w:r>
            <w:r w:rsidRPr="00401C70">
              <w:rPr>
                <w:rFonts w:ascii="Abadi" w:hAnsi="Abadi" w:cs="Calibri"/>
                <w:sz w:val="21"/>
                <w:szCs w:val="21"/>
              </w:rPr>
              <w:t>estatal</w:t>
            </w:r>
            <w:r w:rsidRPr="00401C70">
              <w:rPr>
                <w:rFonts w:ascii="Abadi" w:hAnsi="Abadi" w:cs="Calibri"/>
                <w:spacing w:val="26"/>
                <w:sz w:val="21"/>
                <w:szCs w:val="21"/>
              </w:rPr>
              <w:t xml:space="preserve"> </w:t>
            </w:r>
            <w:r w:rsidRPr="00401C70">
              <w:rPr>
                <w:rFonts w:ascii="Abadi" w:hAnsi="Abadi" w:cs="Calibri"/>
                <w:sz w:val="21"/>
                <w:szCs w:val="21"/>
              </w:rPr>
              <w:t>mayoritaria</w:t>
            </w:r>
            <w:r w:rsidRPr="00401C70">
              <w:rPr>
                <w:rFonts w:ascii="Abadi" w:hAnsi="Abadi" w:cs="Calibri"/>
                <w:spacing w:val="28"/>
                <w:sz w:val="21"/>
                <w:szCs w:val="21"/>
              </w:rPr>
              <w:t xml:space="preserve"> </w:t>
            </w:r>
            <w:r w:rsidRPr="00401C70">
              <w:rPr>
                <w:rFonts w:ascii="Abadi" w:hAnsi="Abadi" w:cs="Calibri"/>
                <w:sz w:val="21"/>
                <w:szCs w:val="21"/>
              </w:rPr>
              <w:t>aquéllas</w:t>
            </w:r>
            <w:r w:rsidRPr="00401C70">
              <w:rPr>
                <w:rFonts w:ascii="Abadi" w:hAnsi="Abadi" w:cs="Calibri"/>
                <w:spacing w:val="29"/>
                <w:sz w:val="21"/>
                <w:szCs w:val="21"/>
              </w:rPr>
              <w:t xml:space="preserve"> </w:t>
            </w:r>
            <w:r w:rsidRPr="00401C70">
              <w:rPr>
                <w:rFonts w:ascii="Abadi" w:hAnsi="Abadi" w:cs="Calibri"/>
                <w:sz w:val="21"/>
                <w:szCs w:val="21"/>
              </w:rPr>
              <w:t>que</w:t>
            </w:r>
            <w:r w:rsidRPr="00401C70">
              <w:rPr>
                <w:rFonts w:ascii="Abadi" w:hAnsi="Abadi" w:cs="Calibri"/>
                <w:spacing w:val="-47"/>
                <w:sz w:val="21"/>
                <w:szCs w:val="21"/>
              </w:rPr>
              <w:t xml:space="preserve"> </w:t>
            </w:r>
            <w:r w:rsidRPr="00401C70">
              <w:rPr>
                <w:rFonts w:ascii="Abadi" w:hAnsi="Abadi" w:cs="Calibri"/>
                <w:sz w:val="21"/>
                <w:szCs w:val="21"/>
              </w:rPr>
              <w:t>satisfagan alguno de los siguientes requisitos:</w:t>
            </w:r>
            <w:r w:rsidRPr="00401C70">
              <w:rPr>
                <w:rFonts w:ascii="Abadi" w:hAnsi="Abadi" w:cs="Calibri"/>
                <w:spacing w:val="1"/>
                <w:sz w:val="21"/>
                <w:szCs w:val="21"/>
              </w:rPr>
              <w:t xml:space="preserve"> </w:t>
            </w:r>
            <w:r w:rsidRPr="00401C70">
              <w:rPr>
                <w:rFonts w:ascii="Abadi" w:hAnsi="Abadi" w:cs="Calibri"/>
                <w:b/>
                <w:bCs/>
                <w:sz w:val="21"/>
                <w:szCs w:val="21"/>
              </w:rPr>
              <w:t>I.-</w:t>
            </w:r>
            <w:r w:rsidRPr="00401C70">
              <w:rPr>
                <w:rFonts w:ascii="Abadi" w:hAnsi="Abadi" w:cs="Calibri"/>
                <w:b/>
                <w:bCs/>
                <w:spacing w:val="12"/>
                <w:sz w:val="21"/>
                <w:szCs w:val="21"/>
              </w:rPr>
              <w:t xml:space="preserve"> </w:t>
            </w:r>
            <w:r w:rsidRPr="00401C70">
              <w:rPr>
                <w:rFonts w:ascii="Abadi" w:hAnsi="Abadi" w:cs="Calibri"/>
                <w:sz w:val="21"/>
                <w:szCs w:val="21"/>
              </w:rPr>
              <w:t>Que</w:t>
            </w:r>
            <w:r w:rsidRPr="00401C70">
              <w:rPr>
                <w:rFonts w:ascii="Abadi" w:hAnsi="Abadi" w:cs="Calibri"/>
                <w:spacing w:val="9"/>
                <w:sz w:val="21"/>
                <w:szCs w:val="21"/>
              </w:rPr>
              <w:t xml:space="preserve"> </w:t>
            </w:r>
            <w:r w:rsidRPr="00401C70">
              <w:rPr>
                <w:rFonts w:ascii="Abadi" w:hAnsi="Abadi" w:cs="Calibri"/>
                <w:sz w:val="21"/>
                <w:szCs w:val="21"/>
              </w:rPr>
              <w:t>en</w:t>
            </w:r>
            <w:r w:rsidRPr="00401C70">
              <w:rPr>
                <w:rFonts w:ascii="Abadi" w:hAnsi="Abadi" w:cs="Calibri"/>
                <w:spacing w:val="12"/>
                <w:sz w:val="21"/>
                <w:szCs w:val="21"/>
              </w:rPr>
              <w:t xml:space="preserve"> </w:t>
            </w:r>
            <w:r w:rsidRPr="00401C70">
              <w:rPr>
                <w:rFonts w:ascii="Abadi" w:hAnsi="Abadi" w:cs="Calibri"/>
                <w:sz w:val="21"/>
                <w:szCs w:val="21"/>
              </w:rPr>
              <w:t>la</w:t>
            </w:r>
            <w:r w:rsidRPr="00401C70">
              <w:rPr>
                <w:rFonts w:ascii="Abadi" w:hAnsi="Abadi" w:cs="Calibri"/>
                <w:spacing w:val="13"/>
                <w:sz w:val="21"/>
                <w:szCs w:val="21"/>
              </w:rPr>
              <w:t xml:space="preserve"> </w:t>
            </w:r>
            <w:r w:rsidRPr="00401C70">
              <w:rPr>
                <w:rFonts w:ascii="Abadi" w:hAnsi="Abadi" w:cs="Calibri"/>
                <w:sz w:val="21"/>
                <w:szCs w:val="21"/>
              </w:rPr>
              <w:t>constitución</w:t>
            </w:r>
            <w:r w:rsidRPr="00401C70">
              <w:rPr>
                <w:rFonts w:ascii="Abadi" w:hAnsi="Abadi" w:cs="Calibri"/>
                <w:spacing w:val="11"/>
                <w:sz w:val="21"/>
                <w:szCs w:val="21"/>
              </w:rPr>
              <w:t xml:space="preserve"> </w:t>
            </w:r>
            <w:r w:rsidRPr="00401C70">
              <w:rPr>
                <w:rFonts w:ascii="Abadi" w:hAnsi="Abadi" w:cs="Calibri"/>
                <w:sz w:val="21"/>
                <w:szCs w:val="21"/>
              </w:rPr>
              <w:t>de</w:t>
            </w:r>
            <w:r w:rsidRPr="00401C70">
              <w:rPr>
                <w:rFonts w:ascii="Abadi" w:hAnsi="Abadi" w:cs="Calibri"/>
                <w:spacing w:val="13"/>
                <w:sz w:val="21"/>
                <w:szCs w:val="21"/>
              </w:rPr>
              <w:t xml:space="preserve"> </w:t>
            </w:r>
            <w:r w:rsidRPr="00401C70">
              <w:rPr>
                <w:rFonts w:ascii="Abadi" w:hAnsi="Abadi" w:cs="Calibri"/>
                <w:sz w:val="21"/>
                <w:szCs w:val="21"/>
              </w:rPr>
              <w:t>su</w:t>
            </w:r>
            <w:r w:rsidRPr="00401C70">
              <w:rPr>
                <w:rFonts w:ascii="Abadi" w:hAnsi="Abadi" w:cs="Calibri"/>
                <w:spacing w:val="12"/>
                <w:sz w:val="21"/>
                <w:szCs w:val="21"/>
              </w:rPr>
              <w:t xml:space="preserve"> </w:t>
            </w:r>
            <w:r w:rsidRPr="00401C70">
              <w:rPr>
                <w:rFonts w:ascii="Abadi" w:hAnsi="Abadi" w:cs="Calibri"/>
                <w:sz w:val="21"/>
                <w:szCs w:val="21"/>
              </w:rPr>
              <w:t>capital</w:t>
            </w:r>
            <w:r w:rsidRPr="00401C70">
              <w:rPr>
                <w:rFonts w:ascii="Abadi" w:hAnsi="Abadi" w:cs="Calibri"/>
                <w:spacing w:val="12"/>
                <w:sz w:val="21"/>
                <w:szCs w:val="21"/>
              </w:rPr>
              <w:t xml:space="preserve"> </w:t>
            </w:r>
            <w:r w:rsidRPr="00401C70">
              <w:rPr>
                <w:rFonts w:ascii="Abadi" w:hAnsi="Abadi" w:cs="Calibri"/>
                <w:sz w:val="21"/>
                <w:szCs w:val="21"/>
              </w:rPr>
              <w:t>figuren</w:t>
            </w:r>
            <w:r w:rsidRPr="00401C70">
              <w:rPr>
                <w:rFonts w:ascii="Abadi" w:hAnsi="Abadi" w:cs="Calibri"/>
                <w:spacing w:val="-47"/>
                <w:sz w:val="21"/>
                <w:szCs w:val="21"/>
              </w:rPr>
              <w:t xml:space="preserve"> </w:t>
            </w:r>
            <w:r w:rsidRPr="00401C70">
              <w:rPr>
                <w:rFonts w:ascii="Abadi" w:hAnsi="Abadi" w:cs="Calibri"/>
                <w:sz w:val="21"/>
                <w:szCs w:val="21"/>
              </w:rPr>
              <w:t>acciones</w:t>
            </w:r>
            <w:r w:rsidRPr="00401C70">
              <w:rPr>
                <w:rFonts w:ascii="Abadi" w:hAnsi="Abadi" w:cs="Calibri"/>
                <w:spacing w:val="6"/>
                <w:sz w:val="21"/>
                <w:szCs w:val="21"/>
              </w:rPr>
              <w:t xml:space="preserve"> </w:t>
            </w:r>
            <w:r w:rsidRPr="00401C70">
              <w:rPr>
                <w:rFonts w:ascii="Abadi" w:hAnsi="Abadi" w:cs="Calibri"/>
                <w:sz w:val="21"/>
                <w:szCs w:val="21"/>
              </w:rPr>
              <w:t>de</w:t>
            </w:r>
            <w:r w:rsidRPr="00401C70">
              <w:rPr>
                <w:rFonts w:ascii="Abadi" w:hAnsi="Abadi" w:cs="Calibri"/>
                <w:spacing w:val="4"/>
                <w:sz w:val="21"/>
                <w:szCs w:val="21"/>
              </w:rPr>
              <w:t xml:space="preserve"> </w:t>
            </w:r>
            <w:r w:rsidRPr="00401C70">
              <w:rPr>
                <w:rFonts w:ascii="Abadi" w:hAnsi="Abadi" w:cs="Calibri"/>
                <w:sz w:val="21"/>
                <w:szCs w:val="21"/>
              </w:rPr>
              <w:t>serie</w:t>
            </w:r>
            <w:r w:rsidRPr="00401C70">
              <w:rPr>
                <w:rFonts w:ascii="Abadi" w:hAnsi="Abadi" w:cs="Calibri"/>
                <w:spacing w:val="4"/>
                <w:sz w:val="21"/>
                <w:szCs w:val="21"/>
              </w:rPr>
              <w:t xml:space="preserve"> </w:t>
            </w:r>
            <w:r w:rsidRPr="00401C70">
              <w:rPr>
                <w:rFonts w:ascii="Abadi" w:hAnsi="Abadi" w:cs="Calibri"/>
                <w:sz w:val="21"/>
                <w:szCs w:val="21"/>
              </w:rPr>
              <w:t>especial</w:t>
            </w:r>
            <w:r w:rsidRPr="00401C70">
              <w:rPr>
                <w:rFonts w:ascii="Abadi" w:hAnsi="Abadi" w:cs="Calibri"/>
                <w:spacing w:val="3"/>
                <w:sz w:val="21"/>
                <w:szCs w:val="21"/>
              </w:rPr>
              <w:t xml:space="preserve"> </w:t>
            </w:r>
            <w:r w:rsidRPr="00401C70">
              <w:rPr>
                <w:rFonts w:ascii="Abadi" w:hAnsi="Abadi" w:cs="Calibri"/>
                <w:sz w:val="21"/>
                <w:szCs w:val="21"/>
              </w:rPr>
              <w:t>que</w:t>
            </w:r>
            <w:r w:rsidRPr="00401C70">
              <w:rPr>
                <w:rFonts w:ascii="Abadi" w:hAnsi="Abadi" w:cs="Calibri"/>
                <w:spacing w:val="7"/>
                <w:sz w:val="21"/>
                <w:szCs w:val="21"/>
              </w:rPr>
              <w:t xml:space="preserve"> </w:t>
            </w:r>
            <w:r w:rsidRPr="00401C70">
              <w:rPr>
                <w:rFonts w:ascii="Abadi" w:hAnsi="Abadi" w:cs="Calibri"/>
                <w:sz w:val="21"/>
                <w:szCs w:val="21"/>
              </w:rPr>
              <w:t>sólo</w:t>
            </w:r>
            <w:r w:rsidRPr="00401C70">
              <w:rPr>
                <w:rFonts w:ascii="Abadi" w:hAnsi="Abadi" w:cs="Calibri"/>
                <w:spacing w:val="5"/>
                <w:sz w:val="21"/>
                <w:szCs w:val="21"/>
              </w:rPr>
              <w:t xml:space="preserve"> </w:t>
            </w:r>
            <w:r w:rsidRPr="00401C70">
              <w:rPr>
                <w:rFonts w:ascii="Abadi" w:hAnsi="Abadi" w:cs="Calibri"/>
                <w:sz w:val="21"/>
                <w:szCs w:val="21"/>
              </w:rPr>
              <w:t>puedan</w:t>
            </w:r>
            <w:r w:rsidRPr="00401C70">
              <w:rPr>
                <w:rFonts w:ascii="Abadi" w:hAnsi="Abadi" w:cs="Calibri"/>
                <w:spacing w:val="5"/>
                <w:sz w:val="21"/>
                <w:szCs w:val="21"/>
              </w:rPr>
              <w:t xml:space="preserve"> </w:t>
            </w:r>
            <w:r w:rsidRPr="00401C70">
              <w:rPr>
                <w:rFonts w:ascii="Abadi" w:hAnsi="Abadi" w:cs="Calibri"/>
                <w:sz w:val="21"/>
                <w:szCs w:val="21"/>
              </w:rPr>
              <w:t>ser</w:t>
            </w:r>
            <w:r w:rsidRPr="00401C70">
              <w:rPr>
                <w:rFonts w:ascii="Abadi" w:hAnsi="Abadi" w:cs="Calibri"/>
                <w:spacing w:val="-47"/>
                <w:sz w:val="21"/>
                <w:szCs w:val="21"/>
              </w:rPr>
              <w:t xml:space="preserve"> </w:t>
            </w:r>
            <w:r w:rsidRPr="00401C70">
              <w:rPr>
                <w:rFonts w:ascii="Abadi" w:hAnsi="Abadi" w:cs="Calibri"/>
                <w:sz w:val="21"/>
                <w:szCs w:val="21"/>
              </w:rPr>
              <w:t>suscritas</w:t>
            </w:r>
            <w:r w:rsidRPr="00401C70">
              <w:rPr>
                <w:rFonts w:ascii="Abadi" w:hAnsi="Abadi" w:cs="Calibri"/>
                <w:spacing w:val="-1"/>
                <w:sz w:val="21"/>
                <w:szCs w:val="21"/>
              </w:rPr>
              <w:t xml:space="preserve"> </w:t>
            </w:r>
            <w:r w:rsidRPr="00401C70">
              <w:rPr>
                <w:rFonts w:ascii="Abadi" w:hAnsi="Abadi" w:cs="Calibri"/>
                <w:sz w:val="21"/>
                <w:szCs w:val="21"/>
              </w:rPr>
              <w:t>por el</w:t>
            </w:r>
            <w:r w:rsidRPr="00401C70">
              <w:rPr>
                <w:rFonts w:ascii="Abadi" w:hAnsi="Abadi" w:cs="Calibri"/>
                <w:spacing w:val="-3"/>
                <w:sz w:val="21"/>
                <w:szCs w:val="21"/>
              </w:rPr>
              <w:t xml:space="preserve"> </w:t>
            </w:r>
            <w:r w:rsidRPr="00401C70">
              <w:rPr>
                <w:rFonts w:ascii="Abadi" w:hAnsi="Abadi" w:cs="Calibri"/>
                <w:sz w:val="21"/>
                <w:szCs w:val="21"/>
              </w:rPr>
              <w:t>Gobierno del</w:t>
            </w:r>
            <w:r w:rsidRPr="00401C70">
              <w:rPr>
                <w:rFonts w:ascii="Abadi" w:hAnsi="Abadi" w:cs="Calibri"/>
                <w:spacing w:val="-1"/>
                <w:sz w:val="21"/>
                <w:szCs w:val="21"/>
              </w:rPr>
              <w:t xml:space="preserve"> </w:t>
            </w:r>
            <w:r w:rsidRPr="00401C70">
              <w:rPr>
                <w:rFonts w:ascii="Abadi" w:hAnsi="Abadi" w:cs="Calibri"/>
                <w:sz w:val="21"/>
                <w:szCs w:val="21"/>
              </w:rPr>
              <w:t>Estado;</w:t>
            </w:r>
          </w:p>
          <w:p w14:paraId="2E49CFA1" w14:textId="77777777" w:rsidR="00677B7E" w:rsidRPr="00401C70" w:rsidRDefault="00677B7E" w:rsidP="00FA2590">
            <w:pPr>
              <w:kinsoku w:val="0"/>
              <w:overflowPunct w:val="0"/>
              <w:autoSpaceDE w:val="0"/>
              <w:autoSpaceDN w:val="0"/>
              <w:adjustRightInd w:val="0"/>
              <w:ind w:left="107" w:right="91"/>
              <w:jc w:val="both"/>
              <w:rPr>
                <w:rFonts w:ascii="Abadi" w:hAnsi="Abadi" w:cs="Calibri"/>
                <w:sz w:val="21"/>
                <w:szCs w:val="21"/>
              </w:rPr>
            </w:pPr>
            <w:r w:rsidRPr="00401C70">
              <w:rPr>
                <w:rFonts w:ascii="Abadi" w:hAnsi="Abadi" w:cs="Calibri"/>
                <w:b/>
                <w:bCs/>
                <w:sz w:val="21"/>
                <w:szCs w:val="21"/>
              </w:rPr>
              <w:t>II.-</w:t>
            </w:r>
            <w:r w:rsidRPr="00401C70">
              <w:rPr>
                <w:rFonts w:ascii="Abadi" w:hAnsi="Abadi" w:cs="Calibri"/>
                <w:b/>
                <w:bCs/>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al</w:t>
            </w:r>
            <w:r w:rsidRPr="00401C70">
              <w:rPr>
                <w:rFonts w:ascii="Abadi" w:hAnsi="Abadi" w:cs="Calibri"/>
                <w:spacing w:val="1"/>
                <w:sz w:val="21"/>
                <w:szCs w:val="21"/>
              </w:rPr>
              <w:t xml:space="preserve"> </w:t>
            </w:r>
            <w:r w:rsidRPr="00401C70">
              <w:rPr>
                <w:rFonts w:ascii="Abadi" w:hAnsi="Abadi" w:cs="Calibri"/>
                <w:sz w:val="21"/>
                <w:szCs w:val="21"/>
              </w:rPr>
              <w:t>Gobernador</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Estado</w:t>
            </w:r>
            <w:r w:rsidRPr="00401C70">
              <w:rPr>
                <w:rFonts w:ascii="Abadi" w:hAnsi="Abadi" w:cs="Calibri"/>
                <w:spacing w:val="1"/>
                <w:sz w:val="21"/>
                <w:szCs w:val="21"/>
              </w:rPr>
              <w:t xml:space="preserve"> </w:t>
            </w:r>
            <w:r w:rsidRPr="00401C70">
              <w:rPr>
                <w:rFonts w:ascii="Abadi" w:hAnsi="Abadi" w:cs="Calibri"/>
                <w:sz w:val="21"/>
                <w:szCs w:val="21"/>
              </w:rPr>
              <w:t>le</w:t>
            </w:r>
            <w:r w:rsidRPr="00401C70">
              <w:rPr>
                <w:rFonts w:ascii="Abadi" w:hAnsi="Abadi" w:cs="Calibri"/>
                <w:spacing w:val="1"/>
                <w:sz w:val="21"/>
                <w:szCs w:val="21"/>
              </w:rPr>
              <w:t xml:space="preserve"> </w:t>
            </w:r>
            <w:r w:rsidRPr="00401C70">
              <w:rPr>
                <w:rFonts w:ascii="Abadi" w:hAnsi="Abadi" w:cs="Calibri"/>
                <w:sz w:val="21"/>
                <w:szCs w:val="21"/>
              </w:rPr>
              <w:t>corresponda</w:t>
            </w:r>
            <w:r w:rsidRPr="00401C70">
              <w:rPr>
                <w:rFonts w:ascii="Abadi" w:hAnsi="Abadi" w:cs="Calibri"/>
                <w:spacing w:val="1"/>
                <w:sz w:val="21"/>
                <w:szCs w:val="21"/>
              </w:rPr>
              <w:t xml:space="preserve"> </w:t>
            </w:r>
            <w:r w:rsidRPr="00401C70">
              <w:rPr>
                <w:rFonts w:ascii="Abadi" w:hAnsi="Abadi" w:cs="Calibri"/>
                <w:sz w:val="21"/>
                <w:szCs w:val="21"/>
              </w:rPr>
              <w:t>nombrar</w:t>
            </w:r>
            <w:r w:rsidRPr="00401C70">
              <w:rPr>
                <w:rFonts w:ascii="Abadi" w:hAnsi="Abadi" w:cs="Calibri"/>
                <w:spacing w:val="1"/>
                <w:sz w:val="21"/>
                <w:szCs w:val="21"/>
              </w:rPr>
              <w:t xml:space="preserve"> </w:t>
            </w:r>
            <w:r w:rsidRPr="00401C70">
              <w:rPr>
                <w:rFonts w:ascii="Abadi" w:hAnsi="Abadi" w:cs="Calibri"/>
                <w:sz w:val="21"/>
                <w:szCs w:val="21"/>
              </w:rPr>
              <w:t>a</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mayoría</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b/>
                <w:bCs/>
                <w:i/>
                <w:iCs/>
                <w:sz w:val="21"/>
                <w:szCs w:val="21"/>
              </w:rPr>
              <w:t>las</w:t>
            </w:r>
            <w:r w:rsidRPr="00401C70">
              <w:rPr>
                <w:rFonts w:ascii="Abadi" w:hAnsi="Abadi" w:cs="Calibri"/>
                <w:b/>
                <w:bCs/>
                <w:i/>
                <w:iCs/>
                <w:spacing w:val="1"/>
                <w:sz w:val="21"/>
                <w:szCs w:val="21"/>
              </w:rPr>
              <w:t xml:space="preserve"> </w:t>
            </w:r>
            <w:r w:rsidRPr="00401C70">
              <w:rPr>
                <w:rFonts w:ascii="Abadi" w:hAnsi="Abadi" w:cs="Calibri"/>
                <w:b/>
                <w:bCs/>
                <w:i/>
                <w:iCs/>
                <w:sz w:val="21"/>
                <w:szCs w:val="21"/>
              </w:rPr>
              <w:t xml:space="preserve">personas integrantes </w:t>
            </w:r>
            <w:r w:rsidRPr="00401C70">
              <w:rPr>
                <w:rFonts w:ascii="Abadi" w:hAnsi="Abadi" w:cs="Calibri"/>
                <w:sz w:val="21"/>
                <w:szCs w:val="21"/>
              </w:rPr>
              <w:t>del órgano de gobierno,</w:t>
            </w:r>
            <w:r w:rsidRPr="00401C70">
              <w:rPr>
                <w:rFonts w:ascii="Abadi" w:hAnsi="Abadi" w:cs="Calibri"/>
                <w:spacing w:val="1"/>
                <w:sz w:val="21"/>
                <w:szCs w:val="21"/>
              </w:rPr>
              <w:t xml:space="preserve"> </w:t>
            </w:r>
            <w:r w:rsidRPr="00401C70">
              <w:rPr>
                <w:rFonts w:ascii="Abadi" w:hAnsi="Abadi" w:cs="Calibri"/>
                <w:sz w:val="21"/>
                <w:szCs w:val="21"/>
              </w:rPr>
              <w:t>o</w:t>
            </w:r>
            <w:r w:rsidRPr="00401C70">
              <w:rPr>
                <w:rFonts w:ascii="Abadi" w:hAnsi="Abadi" w:cs="Calibri"/>
                <w:spacing w:val="1"/>
                <w:sz w:val="21"/>
                <w:szCs w:val="21"/>
              </w:rPr>
              <w:t xml:space="preserve"> </w:t>
            </w:r>
            <w:r w:rsidRPr="00401C70">
              <w:rPr>
                <w:rFonts w:ascii="Abadi" w:hAnsi="Abadi" w:cs="Calibri"/>
                <w:sz w:val="21"/>
                <w:szCs w:val="21"/>
              </w:rPr>
              <w:t>bien</w:t>
            </w:r>
            <w:r w:rsidRPr="00401C70">
              <w:rPr>
                <w:rFonts w:ascii="Abadi" w:hAnsi="Abadi" w:cs="Calibri"/>
                <w:spacing w:val="1"/>
                <w:sz w:val="21"/>
                <w:szCs w:val="21"/>
              </w:rPr>
              <w:t xml:space="preserve"> </w:t>
            </w:r>
            <w:r w:rsidRPr="00401C70">
              <w:rPr>
                <w:rFonts w:ascii="Abadi" w:hAnsi="Abadi" w:cs="Calibri"/>
                <w:sz w:val="21"/>
                <w:szCs w:val="21"/>
              </w:rPr>
              <w:t>designar</w:t>
            </w:r>
            <w:r w:rsidRPr="00401C70">
              <w:rPr>
                <w:rFonts w:ascii="Abadi" w:hAnsi="Abadi" w:cs="Calibri"/>
                <w:spacing w:val="1"/>
                <w:sz w:val="21"/>
                <w:szCs w:val="21"/>
              </w:rPr>
              <w:t xml:space="preserve"> </w:t>
            </w:r>
            <w:r w:rsidRPr="00401C70">
              <w:rPr>
                <w:rFonts w:ascii="Abadi" w:hAnsi="Abadi" w:cs="Calibri"/>
                <w:b/>
                <w:bCs/>
                <w:i/>
                <w:iCs/>
                <w:sz w:val="21"/>
                <w:szCs w:val="21"/>
              </w:rPr>
              <w:t>a</w:t>
            </w:r>
            <w:r w:rsidRPr="00401C70">
              <w:rPr>
                <w:rFonts w:ascii="Abadi" w:hAnsi="Abadi" w:cs="Calibri"/>
                <w:b/>
                <w:bCs/>
                <w:i/>
                <w:iCs/>
                <w:spacing w:val="1"/>
                <w:sz w:val="21"/>
                <w:szCs w:val="21"/>
              </w:rPr>
              <w:t xml:space="preserve"> </w:t>
            </w:r>
            <w:r w:rsidRPr="00401C70">
              <w:rPr>
                <w:rFonts w:ascii="Abadi" w:hAnsi="Abadi" w:cs="Calibri"/>
                <w:b/>
                <w:bCs/>
                <w:i/>
                <w:iCs/>
                <w:sz w:val="21"/>
                <w:szCs w:val="21"/>
              </w:rPr>
              <w:t>quienes</w:t>
            </w:r>
            <w:r w:rsidRPr="00401C70">
              <w:rPr>
                <w:rFonts w:ascii="Abadi" w:hAnsi="Abadi" w:cs="Calibri"/>
                <w:b/>
                <w:bCs/>
                <w:i/>
                <w:iCs/>
                <w:spacing w:val="1"/>
                <w:sz w:val="21"/>
                <w:szCs w:val="21"/>
              </w:rPr>
              <w:t xml:space="preserve"> </w:t>
            </w:r>
            <w:r w:rsidRPr="00401C70">
              <w:rPr>
                <w:rFonts w:ascii="Abadi" w:hAnsi="Abadi" w:cs="Calibri"/>
                <w:b/>
                <w:bCs/>
                <w:i/>
                <w:iCs/>
                <w:sz w:val="21"/>
                <w:szCs w:val="21"/>
              </w:rPr>
              <w:t>ocupen</w:t>
            </w:r>
            <w:r w:rsidRPr="00401C70">
              <w:rPr>
                <w:rFonts w:ascii="Abadi" w:hAnsi="Abadi" w:cs="Calibri"/>
                <w:b/>
                <w:bCs/>
                <w:i/>
                <w:iCs/>
                <w:spacing w:val="1"/>
                <w:sz w:val="21"/>
                <w:szCs w:val="21"/>
              </w:rPr>
              <w:t xml:space="preserve"> </w:t>
            </w:r>
            <w:r w:rsidRPr="00401C70">
              <w:rPr>
                <w:rFonts w:ascii="Abadi" w:hAnsi="Abadi" w:cs="Calibri"/>
                <w:b/>
                <w:bCs/>
                <w:i/>
                <w:iCs/>
                <w:sz w:val="21"/>
                <w:szCs w:val="21"/>
              </w:rPr>
              <w:t>la</w:t>
            </w:r>
            <w:r w:rsidRPr="00401C70">
              <w:rPr>
                <w:rFonts w:ascii="Abadi" w:hAnsi="Abadi" w:cs="Calibri"/>
                <w:b/>
                <w:bCs/>
                <w:i/>
                <w:iCs/>
                <w:spacing w:val="1"/>
                <w:sz w:val="21"/>
                <w:szCs w:val="21"/>
              </w:rPr>
              <w:t xml:space="preserve"> </w:t>
            </w:r>
            <w:r w:rsidRPr="00401C70">
              <w:rPr>
                <w:rFonts w:ascii="Abadi" w:hAnsi="Abadi" w:cs="Calibri"/>
                <w:b/>
                <w:bCs/>
                <w:i/>
                <w:iCs/>
                <w:sz w:val="21"/>
                <w:szCs w:val="21"/>
              </w:rPr>
              <w:t>presidencia o la titularidad de la dirección</w:t>
            </w:r>
            <w:r w:rsidRPr="00401C70">
              <w:rPr>
                <w:rFonts w:ascii="Abadi" w:hAnsi="Abadi" w:cs="Calibri"/>
                <w:sz w:val="21"/>
                <w:szCs w:val="21"/>
              </w:rPr>
              <w:t>, o</w:t>
            </w:r>
            <w:r w:rsidRPr="00401C70">
              <w:rPr>
                <w:rFonts w:ascii="Abadi" w:hAnsi="Abadi" w:cs="Calibri"/>
                <w:spacing w:val="1"/>
                <w:sz w:val="21"/>
                <w:szCs w:val="21"/>
              </w:rPr>
              <w:t xml:space="preserve"> </w:t>
            </w:r>
            <w:r w:rsidRPr="00401C70">
              <w:rPr>
                <w:rFonts w:ascii="Abadi" w:hAnsi="Abadi" w:cs="Calibri"/>
                <w:sz w:val="21"/>
                <w:szCs w:val="21"/>
              </w:rPr>
              <w:t>quien</w:t>
            </w:r>
            <w:r w:rsidRPr="00401C70">
              <w:rPr>
                <w:rFonts w:ascii="Abadi" w:hAnsi="Abadi" w:cs="Calibri"/>
                <w:spacing w:val="1"/>
                <w:sz w:val="21"/>
                <w:szCs w:val="21"/>
              </w:rPr>
              <w:t xml:space="preserve"> </w:t>
            </w:r>
            <w:r w:rsidRPr="00401C70">
              <w:rPr>
                <w:rFonts w:ascii="Abadi" w:hAnsi="Abadi" w:cs="Calibri"/>
                <w:sz w:val="21"/>
                <w:szCs w:val="21"/>
              </w:rPr>
              <w:t>haga</w:t>
            </w:r>
            <w:r w:rsidRPr="00401C70">
              <w:rPr>
                <w:rFonts w:ascii="Abadi" w:hAnsi="Abadi" w:cs="Calibri"/>
                <w:spacing w:val="1"/>
                <w:sz w:val="21"/>
                <w:szCs w:val="21"/>
              </w:rPr>
              <w:t xml:space="preserve"> </w:t>
            </w:r>
            <w:r w:rsidRPr="00401C70">
              <w:rPr>
                <w:rFonts w:ascii="Abadi" w:hAnsi="Abadi" w:cs="Calibri"/>
                <w:sz w:val="21"/>
                <w:szCs w:val="21"/>
              </w:rPr>
              <w:t>sus</w:t>
            </w:r>
            <w:r w:rsidRPr="00401C70">
              <w:rPr>
                <w:rFonts w:ascii="Abadi" w:hAnsi="Abadi" w:cs="Calibri"/>
                <w:spacing w:val="1"/>
                <w:sz w:val="21"/>
                <w:szCs w:val="21"/>
              </w:rPr>
              <w:t xml:space="preserve"> </w:t>
            </w:r>
            <w:r w:rsidRPr="00401C70">
              <w:rPr>
                <w:rFonts w:ascii="Abadi" w:hAnsi="Abadi" w:cs="Calibri"/>
                <w:sz w:val="21"/>
                <w:szCs w:val="21"/>
              </w:rPr>
              <w:t>veces,</w:t>
            </w:r>
            <w:r w:rsidRPr="00401C70">
              <w:rPr>
                <w:rFonts w:ascii="Abadi" w:hAnsi="Abadi" w:cs="Calibri"/>
                <w:spacing w:val="1"/>
                <w:sz w:val="21"/>
                <w:szCs w:val="21"/>
              </w:rPr>
              <w:t xml:space="preserve"> </w:t>
            </w:r>
            <w:r w:rsidRPr="00401C70">
              <w:rPr>
                <w:rFonts w:ascii="Abadi" w:hAnsi="Abadi" w:cs="Calibri"/>
                <w:sz w:val="21"/>
                <w:szCs w:val="21"/>
              </w:rPr>
              <w:t>o</w:t>
            </w:r>
            <w:r w:rsidRPr="00401C70">
              <w:rPr>
                <w:rFonts w:ascii="Abadi" w:hAnsi="Abadi" w:cs="Calibri"/>
                <w:spacing w:val="1"/>
                <w:sz w:val="21"/>
                <w:szCs w:val="21"/>
              </w:rPr>
              <w:t xml:space="preserve"> </w:t>
            </w:r>
            <w:r w:rsidRPr="00401C70">
              <w:rPr>
                <w:rFonts w:ascii="Abadi" w:hAnsi="Abadi" w:cs="Calibri"/>
                <w:sz w:val="21"/>
                <w:szCs w:val="21"/>
              </w:rPr>
              <w:t>cuando</w:t>
            </w:r>
            <w:r w:rsidRPr="00401C70">
              <w:rPr>
                <w:rFonts w:ascii="Abadi" w:hAnsi="Abadi" w:cs="Calibri"/>
                <w:spacing w:val="1"/>
                <w:sz w:val="21"/>
                <w:szCs w:val="21"/>
              </w:rPr>
              <w:t xml:space="preserve"> </w:t>
            </w:r>
            <w:r w:rsidRPr="00401C70">
              <w:rPr>
                <w:rFonts w:ascii="Abadi" w:hAnsi="Abadi" w:cs="Calibri"/>
                <w:sz w:val="21"/>
                <w:szCs w:val="21"/>
              </w:rPr>
              <w:t>tenga</w:t>
            </w:r>
            <w:r w:rsidRPr="00401C70">
              <w:rPr>
                <w:rFonts w:ascii="Abadi" w:hAnsi="Abadi" w:cs="Calibri"/>
                <w:spacing w:val="1"/>
                <w:sz w:val="21"/>
                <w:szCs w:val="21"/>
              </w:rPr>
              <w:t xml:space="preserve"> </w:t>
            </w:r>
            <w:r w:rsidRPr="00401C70">
              <w:rPr>
                <w:rFonts w:ascii="Abadi" w:hAnsi="Abadi" w:cs="Calibri"/>
                <w:sz w:val="21"/>
                <w:szCs w:val="21"/>
              </w:rPr>
              <w:t>facultades</w:t>
            </w:r>
            <w:r w:rsidRPr="00401C70">
              <w:rPr>
                <w:rFonts w:ascii="Abadi" w:hAnsi="Abadi" w:cs="Calibri"/>
                <w:spacing w:val="1"/>
                <w:sz w:val="21"/>
                <w:szCs w:val="21"/>
              </w:rPr>
              <w:t xml:space="preserve"> </w:t>
            </w:r>
            <w:r w:rsidRPr="00401C70">
              <w:rPr>
                <w:rFonts w:ascii="Abadi" w:hAnsi="Abadi" w:cs="Calibri"/>
                <w:sz w:val="21"/>
                <w:szCs w:val="21"/>
              </w:rPr>
              <w:t>para</w:t>
            </w:r>
            <w:r w:rsidRPr="00401C70">
              <w:rPr>
                <w:rFonts w:ascii="Abadi" w:hAnsi="Abadi" w:cs="Calibri"/>
                <w:spacing w:val="1"/>
                <w:sz w:val="21"/>
                <w:szCs w:val="21"/>
              </w:rPr>
              <w:t xml:space="preserve"> </w:t>
            </w:r>
            <w:r w:rsidRPr="00401C70">
              <w:rPr>
                <w:rFonts w:ascii="Abadi" w:hAnsi="Abadi" w:cs="Calibri"/>
                <w:sz w:val="21"/>
                <w:szCs w:val="21"/>
              </w:rPr>
              <w:t>revocar</w:t>
            </w:r>
            <w:r w:rsidRPr="00401C70">
              <w:rPr>
                <w:rFonts w:ascii="Abadi" w:hAnsi="Abadi" w:cs="Calibri"/>
                <w:spacing w:val="1"/>
                <w:sz w:val="21"/>
                <w:szCs w:val="21"/>
              </w:rPr>
              <w:t xml:space="preserve"> </w:t>
            </w: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acuerdos</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órgano de</w:t>
            </w:r>
            <w:r w:rsidRPr="00401C70">
              <w:rPr>
                <w:rFonts w:ascii="Abadi" w:hAnsi="Abadi" w:cs="Calibri"/>
                <w:spacing w:val="1"/>
                <w:sz w:val="21"/>
                <w:szCs w:val="21"/>
              </w:rPr>
              <w:t xml:space="preserve"> </w:t>
            </w:r>
            <w:r w:rsidRPr="00401C70">
              <w:rPr>
                <w:rFonts w:ascii="Abadi" w:hAnsi="Abadi" w:cs="Calibri"/>
                <w:sz w:val="21"/>
                <w:szCs w:val="21"/>
              </w:rPr>
              <w:t>gobierno;</w:t>
            </w:r>
            <w:r w:rsidRPr="00401C70">
              <w:rPr>
                <w:rFonts w:ascii="Abadi" w:hAnsi="Abadi" w:cs="Calibri"/>
                <w:spacing w:val="-2"/>
                <w:sz w:val="21"/>
                <w:szCs w:val="21"/>
              </w:rPr>
              <w:t xml:space="preserve"> </w:t>
            </w:r>
            <w:r w:rsidRPr="00401C70">
              <w:rPr>
                <w:rFonts w:ascii="Abadi" w:hAnsi="Abadi" w:cs="Calibri"/>
                <w:sz w:val="21"/>
                <w:szCs w:val="21"/>
              </w:rPr>
              <w:t>o</w:t>
            </w:r>
          </w:p>
          <w:p w14:paraId="60AF1799" w14:textId="77777777" w:rsidR="00677B7E" w:rsidRPr="00401C70" w:rsidRDefault="00677B7E" w:rsidP="00FA2590">
            <w:pPr>
              <w:kinsoku w:val="0"/>
              <w:overflowPunct w:val="0"/>
              <w:autoSpaceDE w:val="0"/>
              <w:autoSpaceDN w:val="0"/>
              <w:adjustRightInd w:val="0"/>
              <w:ind w:left="107" w:right="91"/>
              <w:jc w:val="both"/>
              <w:rPr>
                <w:rFonts w:ascii="Abadi" w:hAnsi="Abadi" w:cs="Calibri"/>
                <w:sz w:val="21"/>
                <w:szCs w:val="21"/>
              </w:rPr>
            </w:pPr>
            <w:r w:rsidRPr="00401C70">
              <w:rPr>
                <w:rFonts w:ascii="Abadi" w:hAnsi="Abadi" w:cs="Calibri"/>
                <w:b/>
                <w:bCs/>
                <w:sz w:val="21"/>
                <w:szCs w:val="21"/>
              </w:rPr>
              <w:t>III.-</w:t>
            </w:r>
            <w:r w:rsidRPr="00401C70">
              <w:rPr>
                <w:rFonts w:ascii="Abadi" w:hAnsi="Abadi" w:cs="Calibri"/>
                <w:b/>
                <w:bCs/>
                <w:spacing w:val="-6"/>
                <w:sz w:val="21"/>
                <w:szCs w:val="21"/>
              </w:rPr>
              <w:t xml:space="preserve"> </w:t>
            </w:r>
            <w:r w:rsidRPr="00401C70">
              <w:rPr>
                <w:rFonts w:ascii="Abadi" w:hAnsi="Abadi" w:cs="Calibri"/>
                <w:sz w:val="21"/>
                <w:szCs w:val="21"/>
              </w:rPr>
              <w:t>Que</w:t>
            </w:r>
            <w:r w:rsidRPr="00401C70">
              <w:rPr>
                <w:rFonts w:ascii="Abadi" w:hAnsi="Abadi" w:cs="Calibri"/>
                <w:spacing w:val="-5"/>
                <w:sz w:val="21"/>
                <w:szCs w:val="21"/>
              </w:rPr>
              <w:t xml:space="preserve"> </w:t>
            </w:r>
            <w:r w:rsidRPr="00401C70">
              <w:rPr>
                <w:rFonts w:ascii="Abadi" w:hAnsi="Abadi" w:cs="Calibri"/>
                <w:sz w:val="21"/>
                <w:szCs w:val="21"/>
              </w:rPr>
              <w:t>el</w:t>
            </w:r>
            <w:r w:rsidRPr="00401C70">
              <w:rPr>
                <w:rFonts w:ascii="Abadi" w:hAnsi="Abadi" w:cs="Calibri"/>
                <w:spacing w:val="-2"/>
                <w:sz w:val="21"/>
                <w:szCs w:val="21"/>
              </w:rPr>
              <w:t xml:space="preserve"> </w:t>
            </w:r>
            <w:r w:rsidRPr="00401C70">
              <w:rPr>
                <w:rFonts w:ascii="Abadi" w:hAnsi="Abadi" w:cs="Calibri"/>
                <w:sz w:val="21"/>
                <w:szCs w:val="21"/>
              </w:rPr>
              <w:t>Gobierno</w:t>
            </w:r>
            <w:r w:rsidRPr="00401C70">
              <w:rPr>
                <w:rFonts w:ascii="Abadi" w:hAnsi="Abadi" w:cs="Calibri"/>
                <w:spacing w:val="-4"/>
                <w:sz w:val="21"/>
                <w:szCs w:val="21"/>
              </w:rPr>
              <w:t xml:space="preserve"> </w:t>
            </w:r>
            <w:r w:rsidRPr="00401C70">
              <w:rPr>
                <w:rFonts w:ascii="Abadi" w:hAnsi="Abadi" w:cs="Calibri"/>
                <w:sz w:val="21"/>
                <w:szCs w:val="21"/>
              </w:rPr>
              <w:t>del</w:t>
            </w:r>
            <w:r w:rsidRPr="00401C70">
              <w:rPr>
                <w:rFonts w:ascii="Abadi" w:hAnsi="Abadi" w:cs="Calibri"/>
                <w:spacing w:val="-2"/>
                <w:sz w:val="21"/>
                <w:szCs w:val="21"/>
              </w:rPr>
              <w:t xml:space="preserve"> </w:t>
            </w:r>
            <w:r w:rsidRPr="00401C70">
              <w:rPr>
                <w:rFonts w:ascii="Abadi" w:hAnsi="Abadi" w:cs="Calibri"/>
                <w:sz w:val="21"/>
                <w:szCs w:val="21"/>
              </w:rPr>
              <w:t>Estado</w:t>
            </w:r>
            <w:r w:rsidRPr="00401C70">
              <w:rPr>
                <w:rFonts w:ascii="Abadi" w:hAnsi="Abadi" w:cs="Calibri"/>
                <w:spacing w:val="-3"/>
                <w:sz w:val="21"/>
                <w:szCs w:val="21"/>
              </w:rPr>
              <w:t xml:space="preserve"> </w:t>
            </w:r>
            <w:r w:rsidRPr="00401C70">
              <w:rPr>
                <w:rFonts w:ascii="Abadi" w:hAnsi="Abadi" w:cs="Calibri"/>
                <w:sz w:val="21"/>
                <w:szCs w:val="21"/>
              </w:rPr>
              <w:t>o</w:t>
            </w:r>
            <w:r w:rsidRPr="00401C70">
              <w:rPr>
                <w:rFonts w:ascii="Abadi" w:hAnsi="Abadi" w:cs="Calibri"/>
                <w:spacing w:val="-2"/>
                <w:sz w:val="21"/>
                <w:szCs w:val="21"/>
              </w:rPr>
              <w:t xml:space="preserve"> </w:t>
            </w:r>
            <w:r w:rsidRPr="00401C70">
              <w:rPr>
                <w:rFonts w:ascii="Abadi" w:hAnsi="Abadi" w:cs="Calibri"/>
                <w:sz w:val="21"/>
                <w:szCs w:val="21"/>
              </w:rPr>
              <w:t>uno</w:t>
            </w:r>
            <w:r w:rsidRPr="00401C70">
              <w:rPr>
                <w:rFonts w:ascii="Abadi" w:hAnsi="Abadi" w:cs="Calibri"/>
                <w:spacing w:val="-3"/>
                <w:sz w:val="21"/>
                <w:szCs w:val="21"/>
              </w:rPr>
              <w:t xml:space="preserve"> </w:t>
            </w:r>
            <w:r w:rsidRPr="00401C70">
              <w:rPr>
                <w:rFonts w:ascii="Abadi" w:hAnsi="Abadi" w:cs="Calibri"/>
                <w:sz w:val="21"/>
                <w:szCs w:val="21"/>
              </w:rPr>
              <w:t>o</w:t>
            </w:r>
            <w:r w:rsidRPr="00401C70">
              <w:rPr>
                <w:rFonts w:ascii="Abadi" w:hAnsi="Abadi" w:cs="Calibri"/>
                <w:spacing w:val="-3"/>
                <w:sz w:val="21"/>
                <w:szCs w:val="21"/>
              </w:rPr>
              <w:t xml:space="preserve"> </w:t>
            </w:r>
            <w:r w:rsidRPr="00401C70">
              <w:rPr>
                <w:rFonts w:ascii="Abadi" w:hAnsi="Abadi" w:cs="Calibri"/>
                <w:sz w:val="21"/>
                <w:szCs w:val="21"/>
              </w:rPr>
              <w:t>más</w:t>
            </w:r>
            <w:r w:rsidRPr="00401C70">
              <w:rPr>
                <w:rFonts w:ascii="Abadi" w:hAnsi="Abadi" w:cs="Calibri"/>
                <w:spacing w:val="-6"/>
                <w:sz w:val="21"/>
                <w:szCs w:val="21"/>
              </w:rPr>
              <w:t xml:space="preserve"> </w:t>
            </w:r>
            <w:r w:rsidRPr="00401C70">
              <w:rPr>
                <w:rFonts w:ascii="Abadi" w:hAnsi="Abadi" w:cs="Calibri"/>
                <w:sz w:val="21"/>
                <w:szCs w:val="21"/>
              </w:rPr>
              <w:t>de</w:t>
            </w:r>
            <w:r w:rsidRPr="00401C70">
              <w:rPr>
                <w:rFonts w:ascii="Abadi" w:hAnsi="Abadi" w:cs="Calibri"/>
                <w:spacing w:val="-47"/>
                <w:sz w:val="21"/>
                <w:szCs w:val="21"/>
              </w:rPr>
              <w:t xml:space="preserve"> </w:t>
            </w:r>
            <w:r w:rsidRPr="00401C70">
              <w:rPr>
                <w:rFonts w:ascii="Abadi" w:hAnsi="Abadi" w:cs="Calibri"/>
                <w:sz w:val="21"/>
                <w:szCs w:val="21"/>
              </w:rPr>
              <w:t>sus organismos públicos descentralizados, de</w:t>
            </w:r>
            <w:r w:rsidRPr="00401C70">
              <w:rPr>
                <w:rFonts w:ascii="Abadi" w:hAnsi="Abadi" w:cs="Calibri"/>
                <w:spacing w:val="1"/>
                <w:sz w:val="21"/>
                <w:szCs w:val="21"/>
              </w:rPr>
              <w:t xml:space="preserve"> </w:t>
            </w:r>
            <w:r w:rsidRPr="00401C70">
              <w:rPr>
                <w:rFonts w:ascii="Abadi" w:hAnsi="Abadi" w:cs="Calibri"/>
                <w:sz w:val="21"/>
                <w:szCs w:val="21"/>
              </w:rPr>
              <w:t>sus</w:t>
            </w:r>
            <w:r w:rsidRPr="00401C70">
              <w:rPr>
                <w:rFonts w:ascii="Abadi" w:hAnsi="Abadi" w:cs="Calibri"/>
                <w:spacing w:val="1"/>
                <w:sz w:val="21"/>
                <w:szCs w:val="21"/>
              </w:rPr>
              <w:t xml:space="preserve"> </w:t>
            </w:r>
            <w:r w:rsidRPr="00401C70">
              <w:rPr>
                <w:rFonts w:ascii="Abadi" w:hAnsi="Abadi" w:cs="Calibri"/>
                <w:sz w:val="21"/>
                <w:szCs w:val="21"/>
              </w:rPr>
              <w:t>empresas</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participación</w:t>
            </w:r>
            <w:r w:rsidRPr="00401C70">
              <w:rPr>
                <w:rFonts w:ascii="Abadi" w:hAnsi="Abadi" w:cs="Calibri"/>
                <w:spacing w:val="1"/>
                <w:sz w:val="21"/>
                <w:szCs w:val="21"/>
              </w:rPr>
              <w:t xml:space="preserve"> </w:t>
            </w:r>
            <w:r w:rsidRPr="00401C70">
              <w:rPr>
                <w:rFonts w:ascii="Abadi" w:hAnsi="Abadi" w:cs="Calibri"/>
                <w:sz w:val="21"/>
                <w:szCs w:val="21"/>
              </w:rPr>
              <w:t>estatal</w:t>
            </w:r>
            <w:r w:rsidRPr="00401C70">
              <w:rPr>
                <w:rFonts w:ascii="Abadi" w:hAnsi="Abadi" w:cs="Calibri"/>
                <w:spacing w:val="1"/>
                <w:sz w:val="21"/>
                <w:szCs w:val="21"/>
              </w:rPr>
              <w:t xml:space="preserve"> </w:t>
            </w:r>
            <w:r w:rsidRPr="00401C70">
              <w:rPr>
                <w:rFonts w:ascii="Abadi" w:hAnsi="Abadi" w:cs="Calibri"/>
                <w:sz w:val="21"/>
                <w:szCs w:val="21"/>
              </w:rPr>
              <w:t>mayoritaria</w:t>
            </w:r>
            <w:r w:rsidRPr="00401C70">
              <w:rPr>
                <w:rFonts w:ascii="Abadi" w:hAnsi="Abadi" w:cs="Calibri"/>
                <w:spacing w:val="1"/>
                <w:sz w:val="21"/>
                <w:szCs w:val="21"/>
              </w:rPr>
              <w:t xml:space="preserve"> </w:t>
            </w:r>
            <w:r w:rsidRPr="00401C70">
              <w:rPr>
                <w:rFonts w:ascii="Abadi" w:hAnsi="Abadi" w:cs="Calibri"/>
                <w:sz w:val="21"/>
                <w:szCs w:val="21"/>
              </w:rPr>
              <w:t>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sus</w:t>
            </w:r>
            <w:r w:rsidRPr="00401C70">
              <w:rPr>
                <w:rFonts w:ascii="Abadi" w:hAnsi="Abadi" w:cs="Calibri"/>
                <w:spacing w:val="1"/>
                <w:sz w:val="21"/>
                <w:szCs w:val="21"/>
              </w:rPr>
              <w:t xml:space="preserve"> </w:t>
            </w:r>
            <w:r w:rsidRPr="00401C70">
              <w:rPr>
                <w:rFonts w:ascii="Abadi" w:hAnsi="Abadi" w:cs="Calibri"/>
                <w:sz w:val="21"/>
                <w:szCs w:val="21"/>
              </w:rPr>
              <w:t>fideicomisos</w:t>
            </w:r>
            <w:r w:rsidRPr="00401C70">
              <w:rPr>
                <w:rFonts w:ascii="Abadi" w:hAnsi="Abadi" w:cs="Calibri"/>
                <w:spacing w:val="1"/>
                <w:sz w:val="21"/>
                <w:szCs w:val="21"/>
              </w:rPr>
              <w:t xml:space="preserve"> </w:t>
            </w:r>
            <w:r w:rsidRPr="00401C70">
              <w:rPr>
                <w:rFonts w:ascii="Abadi" w:hAnsi="Abadi" w:cs="Calibri"/>
                <w:sz w:val="21"/>
                <w:szCs w:val="21"/>
              </w:rPr>
              <w:t>públicos,</w:t>
            </w:r>
            <w:r w:rsidRPr="00401C70">
              <w:rPr>
                <w:rFonts w:ascii="Abadi" w:hAnsi="Abadi" w:cs="Calibri"/>
                <w:spacing w:val="1"/>
                <w:sz w:val="21"/>
                <w:szCs w:val="21"/>
              </w:rPr>
              <w:t xml:space="preserve"> </w:t>
            </w:r>
            <w:r w:rsidRPr="00401C70">
              <w:rPr>
                <w:rFonts w:ascii="Abadi" w:hAnsi="Abadi" w:cs="Calibri"/>
                <w:sz w:val="21"/>
                <w:szCs w:val="21"/>
              </w:rPr>
              <w:t>considerados</w:t>
            </w:r>
            <w:r w:rsidRPr="00401C70">
              <w:rPr>
                <w:rFonts w:ascii="Abadi" w:hAnsi="Abadi" w:cs="Calibri"/>
                <w:spacing w:val="1"/>
                <w:sz w:val="21"/>
                <w:szCs w:val="21"/>
              </w:rPr>
              <w:t xml:space="preserve"> </w:t>
            </w:r>
            <w:r w:rsidRPr="00401C70">
              <w:rPr>
                <w:rFonts w:ascii="Abadi" w:hAnsi="Abadi" w:cs="Calibri"/>
                <w:sz w:val="21"/>
                <w:szCs w:val="21"/>
              </w:rPr>
              <w:t>conjunta</w:t>
            </w:r>
            <w:r w:rsidRPr="00401C70">
              <w:rPr>
                <w:rFonts w:ascii="Abadi" w:hAnsi="Abadi" w:cs="Calibri"/>
                <w:spacing w:val="1"/>
                <w:sz w:val="21"/>
                <w:szCs w:val="21"/>
              </w:rPr>
              <w:t xml:space="preserve"> </w:t>
            </w:r>
            <w:r w:rsidRPr="00401C70">
              <w:rPr>
                <w:rFonts w:ascii="Abadi" w:hAnsi="Abadi" w:cs="Calibri"/>
                <w:sz w:val="21"/>
                <w:szCs w:val="21"/>
              </w:rPr>
              <w:t>o</w:t>
            </w:r>
            <w:r w:rsidRPr="00401C70">
              <w:rPr>
                <w:rFonts w:ascii="Abadi" w:hAnsi="Abadi" w:cs="Calibri"/>
                <w:spacing w:val="1"/>
                <w:sz w:val="21"/>
                <w:szCs w:val="21"/>
              </w:rPr>
              <w:t xml:space="preserve"> </w:t>
            </w:r>
            <w:r w:rsidRPr="00401C70">
              <w:rPr>
                <w:rFonts w:ascii="Abadi" w:hAnsi="Abadi" w:cs="Calibri"/>
                <w:sz w:val="21"/>
                <w:szCs w:val="21"/>
              </w:rPr>
              <w:t>separadamente,</w:t>
            </w:r>
            <w:r w:rsidRPr="00401C70">
              <w:rPr>
                <w:rFonts w:ascii="Abadi" w:hAnsi="Abadi" w:cs="Calibri"/>
                <w:spacing w:val="1"/>
                <w:sz w:val="21"/>
                <w:szCs w:val="21"/>
              </w:rPr>
              <w:t xml:space="preserve"> </w:t>
            </w:r>
            <w:r w:rsidRPr="00401C70">
              <w:rPr>
                <w:rFonts w:ascii="Abadi" w:hAnsi="Abadi" w:cs="Calibri"/>
                <w:sz w:val="21"/>
                <w:szCs w:val="21"/>
              </w:rPr>
              <w:t>aporten</w:t>
            </w:r>
            <w:r w:rsidRPr="00401C70">
              <w:rPr>
                <w:rFonts w:ascii="Abadi" w:hAnsi="Abadi" w:cs="Calibri"/>
                <w:spacing w:val="-10"/>
                <w:sz w:val="21"/>
                <w:szCs w:val="21"/>
              </w:rPr>
              <w:t xml:space="preserve"> </w:t>
            </w:r>
            <w:r w:rsidRPr="00401C70">
              <w:rPr>
                <w:rFonts w:ascii="Abadi" w:hAnsi="Abadi" w:cs="Calibri"/>
                <w:sz w:val="21"/>
                <w:szCs w:val="21"/>
              </w:rPr>
              <w:t>o</w:t>
            </w:r>
            <w:r w:rsidRPr="00401C70">
              <w:rPr>
                <w:rFonts w:ascii="Abadi" w:hAnsi="Abadi" w:cs="Calibri"/>
                <w:spacing w:val="-8"/>
                <w:sz w:val="21"/>
                <w:szCs w:val="21"/>
              </w:rPr>
              <w:t xml:space="preserve"> </w:t>
            </w:r>
            <w:r w:rsidRPr="00401C70">
              <w:rPr>
                <w:rFonts w:ascii="Abadi" w:hAnsi="Abadi" w:cs="Calibri"/>
                <w:sz w:val="21"/>
                <w:szCs w:val="21"/>
              </w:rPr>
              <w:t>sean</w:t>
            </w:r>
            <w:r w:rsidRPr="00401C70">
              <w:rPr>
                <w:rFonts w:ascii="Abadi" w:hAnsi="Abadi" w:cs="Calibri"/>
                <w:spacing w:val="-10"/>
                <w:sz w:val="21"/>
                <w:szCs w:val="21"/>
              </w:rPr>
              <w:t xml:space="preserve"> </w:t>
            </w:r>
            <w:r w:rsidRPr="00401C70">
              <w:rPr>
                <w:rFonts w:ascii="Abadi" w:hAnsi="Abadi" w:cs="Calibri"/>
                <w:sz w:val="21"/>
                <w:szCs w:val="21"/>
              </w:rPr>
              <w:t>propietarios</w:t>
            </w:r>
            <w:r w:rsidRPr="00401C70">
              <w:rPr>
                <w:rFonts w:ascii="Abadi" w:hAnsi="Abadi" w:cs="Calibri"/>
                <w:spacing w:val="-7"/>
                <w:sz w:val="21"/>
                <w:szCs w:val="21"/>
              </w:rPr>
              <w:t xml:space="preserve"> </w:t>
            </w:r>
            <w:r w:rsidRPr="00401C70">
              <w:rPr>
                <w:rFonts w:ascii="Abadi" w:hAnsi="Abadi" w:cs="Calibri"/>
                <w:sz w:val="21"/>
                <w:szCs w:val="21"/>
              </w:rPr>
              <w:t>de</w:t>
            </w:r>
            <w:r w:rsidRPr="00401C70">
              <w:rPr>
                <w:rFonts w:ascii="Abadi" w:hAnsi="Abadi" w:cs="Calibri"/>
                <w:spacing w:val="-9"/>
                <w:sz w:val="21"/>
                <w:szCs w:val="21"/>
              </w:rPr>
              <w:t xml:space="preserve"> </w:t>
            </w:r>
            <w:r w:rsidRPr="00401C70">
              <w:rPr>
                <w:rFonts w:ascii="Abadi" w:hAnsi="Abadi" w:cs="Calibri"/>
                <w:sz w:val="21"/>
                <w:szCs w:val="21"/>
              </w:rPr>
              <w:t>más</w:t>
            </w:r>
            <w:r w:rsidRPr="00401C70">
              <w:rPr>
                <w:rFonts w:ascii="Abadi" w:hAnsi="Abadi" w:cs="Calibri"/>
                <w:spacing w:val="-9"/>
                <w:sz w:val="21"/>
                <w:szCs w:val="21"/>
              </w:rPr>
              <w:t xml:space="preserve"> </w:t>
            </w:r>
            <w:r w:rsidRPr="00401C70">
              <w:rPr>
                <w:rFonts w:ascii="Abadi" w:hAnsi="Abadi" w:cs="Calibri"/>
                <w:sz w:val="21"/>
                <w:szCs w:val="21"/>
              </w:rPr>
              <w:t>del</w:t>
            </w:r>
            <w:r w:rsidRPr="00401C70">
              <w:rPr>
                <w:rFonts w:ascii="Abadi" w:hAnsi="Abadi" w:cs="Calibri"/>
                <w:spacing w:val="-9"/>
                <w:sz w:val="21"/>
                <w:szCs w:val="21"/>
              </w:rPr>
              <w:t xml:space="preserve"> </w:t>
            </w:r>
            <w:r w:rsidRPr="00401C70">
              <w:rPr>
                <w:rFonts w:ascii="Abadi" w:hAnsi="Abadi" w:cs="Calibri"/>
                <w:sz w:val="21"/>
                <w:szCs w:val="21"/>
              </w:rPr>
              <w:t>50%</w:t>
            </w:r>
            <w:r w:rsidRPr="00401C70">
              <w:rPr>
                <w:rFonts w:ascii="Abadi" w:hAnsi="Abadi" w:cs="Calibri"/>
                <w:spacing w:val="-6"/>
                <w:sz w:val="21"/>
                <w:szCs w:val="21"/>
              </w:rPr>
              <w:t xml:space="preserve"> </w:t>
            </w:r>
            <w:r w:rsidRPr="00401C70">
              <w:rPr>
                <w:rFonts w:ascii="Abadi" w:hAnsi="Abadi" w:cs="Calibri"/>
                <w:sz w:val="21"/>
                <w:szCs w:val="21"/>
              </w:rPr>
              <w:t>del</w:t>
            </w:r>
          </w:p>
          <w:p w14:paraId="382926B1" w14:textId="77777777" w:rsidR="00677B7E" w:rsidRPr="00401C70" w:rsidRDefault="00677B7E" w:rsidP="00FA2590">
            <w:pPr>
              <w:kinsoku w:val="0"/>
              <w:overflowPunct w:val="0"/>
              <w:autoSpaceDE w:val="0"/>
              <w:autoSpaceDN w:val="0"/>
              <w:adjustRightInd w:val="0"/>
              <w:spacing w:line="251" w:lineRule="exact"/>
              <w:ind w:left="107"/>
              <w:jc w:val="both"/>
              <w:rPr>
                <w:rFonts w:ascii="Abadi" w:hAnsi="Abadi" w:cs="Calibri"/>
                <w:sz w:val="21"/>
                <w:szCs w:val="21"/>
              </w:rPr>
            </w:pPr>
            <w:r w:rsidRPr="00401C70">
              <w:rPr>
                <w:rFonts w:ascii="Abadi" w:hAnsi="Abadi" w:cs="Calibri"/>
                <w:sz w:val="21"/>
                <w:szCs w:val="21"/>
              </w:rPr>
              <w:t>capital social.</w:t>
            </w:r>
          </w:p>
        </w:tc>
      </w:tr>
    </w:tbl>
    <w:p w14:paraId="24CBE371" w14:textId="77777777" w:rsidR="00677B7E" w:rsidRPr="00401C70" w:rsidRDefault="00677B7E" w:rsidP="00677B7E">
      <w:pPr>
        <w:kinsoku w:val="0"/>
        <w:overflowPunct w:val="0"/>
        <w:autoSpaceDE w:val="0"/>
        <w:autoSpaceDN w:val="0"/>
        <w:adjustRightInd w:val="0"/>
        <w:spacing w:before="5"/>
        <w:jc w:val="both"/>
        <w:rPr>
          <w:rFonts w:ascii="Abadi" w:hAnsi="Abadi"/>
          <w:sz w:val="21"/>
          <w:szCs w:val="21"/>
        </w:rPr>
      </w:pPr>
    </w:p>
    <w:tbl>
      <w:tblPr>
        <w:tblW w:w="5000" w:type="pct"/>
        <w:tblCellMar>
          <w:left w:w="0" w:type="dxa"/>
          <w:right w:w="0" w:type="dxa"/>
        </w:tblCellMar>
        <w:tblLook w:val="0000" w:firstRow="0" w:lastRow="0" w:firstColumn="0" w:lastColumn="0" w:noHBand="0" w:noVBand="0"/>
      </w:tblPr>
      <w:tblGrid>
        <w:gridCol w:w="2050"/>
        <w:gridCol w:w="2051"/>
      </w:tblGrid>
      <w:tr w:rsidR="00677B7E" w:rsidRPr="00401C70" w14:paraId="6D89ED98" w14:textId="77777777" w:rsidTr="003343AD">
        <w:trPr>
          <w:trHeight w:val="1881"/>
        </w:trPr>
        <w:tc>
          <w:tcPr>
            <w:tcW w:w="2500" w:type="pct"/>
            <w:tcBorders>
              <w:top w:val="single" w:sz="4" w:space="0" w:color="000000"/>
              <w:left w:val="single" w:sz="4" w:space="0" w:color="000000"/>
              <w:bottom w:val="single" w:sz="4" w:space="0" w:color="000000"/>
              <w:right w:val="single" w:sz="4" w:space="0" w:color="000000"/>
            </w:tcBorders>
          </w:tcPr>
          <w:p w14:paraId="3CE12345" w14:textId="77777777" w:rsidR="00677B7E" w:rsidRPr="00401C70" w:rsidRDefault="00677B7E" w:rsidP="00FA2590">
            <w:pPr>
              <w:kinsoku w:val="0"/>
              <w:overflowPunct w:val="0"/>
              <w:autoSpaceDE w:val="0"/>
              <w:autoSpaceDN w:val="0"/>
              <w:adjustRightInd w:val="0"/>
              <w:ind w:left="107" w:right="93"/>
              <w:jc w:val="both"/>
              <w:rPr>
                <w:rFonts w:ascii="Abadi" w:hAnsi="Abadi" w:cs="Calibri"/>
                <w:sz w:val="21"/>
                <w:szCs w:val="21"/>
              </w:rPr>
            </w:pPr>
            <w:r w:rsidRPr="00401C70">
              <w:rPr>
                <w:rFonts w:ascii="Abadi" w:hAnsi="Abadi" w:cs="Calibri"/>
                <w:b/>
                <w:bCs/>
                <w:sz w:val="21"/>
                <w:szCs w:val="21"/>
              </w:rPr>
              <w:t>Artículo</w:t>
            </w:r>
            <w:r w:rsidRPr="00401C70">
              <w:rPr>
                <w:rFonts w:ascii="Abadi" w:hAnsi="Abadi" w:cs="Calibri"/>
                <w:b/>
                <w:bCs/>
                <w:spacing w:val="1"/>
                <w:sz w:val="21"/>
                <w:szCs w:val="21"/>
              </w:rPr>
              <w:t xml:space="preserve"> </w:t>
            </w:r>
            <w:r w:rsidRPr="00401C70">
              <w:rPr>
                <w:rFonts w:ascii="Abadi" w:hAnsi="Abadi" w:cs="Calibri"/>
                <w:b/>
                <w:bCs/>
                <w:sz w:val="21"/>
                <w:szCs w:val="21"/>
              </w:rPr>
              <w:t>60.-</w:t>
            </w:r>
            <w:r w:rsidRPr="00401C70">
              <w:rPr>
                <w:rFonts w:ascii="Abadi" w:hAnsi="Abadi" w:cs="Calibri"/>
                <w:b/>
                <w:bCs/>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Gobernador</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Estado</w:t>
            </w:r>
            <w:r w:rsidRPr="00401C70">
              <w:rPr>
                <w:rFonts w:ascii="Abadi" w:hAnsi="Abadi" w:cs="Calibri"/>
                <w:spacing w:val="-47"/>
                <w:sz w:val="21"/>
                <w:szCs w:val="21"/>
              </w:rPr>
              <w:t xml:space="preserve"> </w:t>
            </w:r>
            <w:r w:rsidRPr="00401C70">
              <w:rPr>
                <w:rFonts w:ascii="Abadi" w:hAnsi="Abadi" w:cs="Calibri"/>
                <w:sz w:val="21"/>
                <w:szCs w:val="21"/>
              </w:rPr>
              <w:t>nombrará a los servidores públicos que deban</w:t>
            </w:r>
            <w:r w:rsidRPr="00401C70">
              <w:rPr>
                <w:rFonts w:ascii="Abadi" w:hAnsi="Abadi" w:cs="Calibri"/>
                <w:spacing w:val="1"/>
                <w:sz w:val="21"/>
                <w:szCs w:val="21"/>
              </w:rPr>
              <w:t xml:space="preserve"> </w:t>
            </w:r>
            <w:r w:rsidRPr="00401C70">
              <w:rPr>
                <w:rFonts w:ascii="Abadi" w:hAnsi="Abadi" w:cs="Calibri"/>
                <w:sz w:val="21"/>
                <w:szCs w:val="21"/>
              </w:rPr>
              <w:t>ejercer</w:t>
            </w:r>
            <w:r w:rsidRPr="00401C70">
              <w:rPr>
                <w:rFonts w:ascii="Abadi" w:hAnsi="Abadi" w:cs="Calibri"/>
                <w:spacing w:val="1"/>
                <w:sz w:val="21"/>
                <w:szCs w:val="21"/>
              </w:rPr>
              <w:t xml:space="preserve"> </w:t>
            </w:r>
            <w:r w:rsidRPr="00401C70">
              <w:rPr>
                <w:rFonts w:ascii="Abadi" w:hAnsi="Abadi" w:cs="Calibri"/>
                <w:sz w:val="21"/>
                <w:szCs w:val="21"/>
              </w:rPr>
              <w:t>las</w:t>
            </w:r>
            <w:r w:rsidRPr="00401C70">
              <w:rPr>
                <w:rFonts w:ascii="Abadi" w:hAnsi="Abadi" w:cs="Calibri"/>
                <w:spacing w:val="1"/>
                <w:sz w:val="21"/>
                <w:szCs w:val="21"/>
              </w:rPr>
              <w:t xml:space="preserve"> </w:t>
            </w:r>
            <w:r w:rsidRPr="00401C70">
              <w:rPr>
                <w:rFonts w:ascii="Abadi" w:hAnsi="Abadi" w:cs="Calibri"/>
                <w:sz w:val="21"/>
                <w:szCs w:val="21"/>
              </w:rPr>
              <w:t>atribuciones</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impliquen</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titularidad</w:t>
            </w:r>
            <w:r w:rsidRPr="00401C70">
              <w:rPr>
                <w:rFonts w:ascii="Abadi" w:hAnsi="Abadi" w:cs="Calibri"/>
                <w:spacing w:val="-6"/>
                <w:sz w:val="21"/>
                <w:szCs w:val="21"/>
              </w:rPr>
              <w:t xml:space="preserve"> </w:t>
            </w:r>
            <w:r w:rsidRPr="00401C70">
              <w:rPr>
                <w:rFonts w:ascii="Abadi" w:hAnsi="Abadi" w:cs="Calibri"/>
                <w:sz w:val="21"/>
                <w:szCs w:val="21"/>
              </w:rPr>
              <w:t>de</w:t>
            </w:r>
            <w:r w:rsidRPr="00401C70">
              <w:rPr>
                <w:rFonts w:ascii="Abadi" w:hAnsi="Abadi" w:cs="Calibri"/>
                <w:spacing w:val="-6"/>
                <w:sz w:val="21"/>
                <w:szCs w:val="21"/>
              </w:rPr>
              <w:t xml:space="preserve"> </w:t>
            </w:r>
            <w:r w:rsidRPr="00401C70">
              <w:rPr>
                <w:rFonts w:ascii="Abadi" w:hAnsi="Abadi" w:cs="Calibri"/>
                <w:sz w:val="21"/>
                <w:szCs w:val="21"/>
              </w:rPr>
              <w:t>las</w:t>
            </w:r>
            <w:r w:rsidRPr="00401C70">
              <w:rPr>
                <w:rFonts w:ascii="Abadi" w:hAnsi="Abadi" w:cs="Calibri"/>
                <w:spacing w:val="-8"/>
                <w:sz w:val="21"/>
                <w:szCs w:val="21"/>
              </w:rPr>
              <w:t xml:space="preserve"> </w:t>
            </w:r>
            <w:r w:rsidRPr="00401C70">
              <w:rPr>
                <w:rFonts w:ascii="Abadi" w:hAnsi="Abadi" w:cs="Calibri"/>
                <w:sz w:val="21"/>
                <w:szCs w:val="21"/>
              </w:rPr>
              <w:t>acciones</w:t>
            </w:r>
            <w:r w:rsidRPr="00401C70">
              <w:rPr>
                <w:rFonts w:ascii="Abadi" w:hAnsi="Abadi" w:cs="Calibri"/>
                <w:spacing w:val="-9"/>
                <w:sz w:val="21"/>
                <w:szCs w:val="21"/>
              </w:rPr>
              <w:t xml:space="preserve"> </w:t>
            </w:r>
            <w:r w:rsidRPr="00401C70">
              <w:rPr>
                <w:rFonts w:ascii="Abadi" w:hAnsi="Abadi" w:cs="Calibri"/>
                <w:sz w:val="21"/>
                <w:szCs w:val="21"/>
              </w:rPr>
              <w:t>o</w:t>
            </w:r>
            <w:r w:rsidRPr="00401C70">
              <w:rPr>
                <w:rFonts w:ascii="Abadi" w:hAnsi="Abadi" w:cs="Calibri"/>
                <w:spacing w:val="-3"/>
                <w:sz w:val="21"/>
                <w:szCs w:val="21"/>
              </w:rPr>
              <w:t xml:space="preserve"> </w:t>
            </w:r>
            <w:r w:rsidRPr="00401C70">
              <w:rPr>
                <w:rFonts w:ascii="Abadi" w:hAnsi="Abadi" w:cs="Calibri"/>
                <w:sz w:val="21"/>
                <w:szCs w:val="21"/>
              </w:rPr>
              <w:t>partes</w:t>
            </w:r>
            <w:r w:rsidRPr="00401C70">
              <w:rPr>
                <w:rFonts w:ascii="Abadi" w:hAnsi="Abadi" w:cs="Calibri"/>
                <w:spacing w:val="-8"/>
                <w:sz w:val="21"/>
                <w:szCs w:val="21"/>
              </w:rPr>
              <w:t xml:space="preserve"> </w:t>
            </w:r>
            <w:r w:rsidRPr="00401C70">
              <w:rPr>
                <w:rFonts w:ascii="Abadi" w:hAnsi="Abadi" w:cs="Calibri"/>
                <w:sz w:val="21"/>
                <w:szCs w:val="21"/>
              </w:rPr>
              <w:t>sociales</w:t>
            </w:r>
            <w:r w:rsidRPr="00401C70">
              <w:rPr>
                <w:rFonts w:ascii="Abadi" w:hAnsi="Abadi" w:cs="Calibri"/>
                <w:spacing w:val="-6"/>
                <w:sz w:val="21"/>
                <w:szCs w:val="21"/>
              </w:rPr>
              <w:t xml:space="preserve"> </w:t>
            </w:r>
            <w:r w:rsidRPr="00401C70">
              <w:rPr>
                <w:rFonts w:ascii="Abadi" w:hAnsi="Abadi" w:cs="Calibri"/>
                <w:sz w:val="21"/>
                <w:szCs w:val="21"/>
              </w:rPr>
              <w:t>que</w:t>
            </w:r>
            <w:r w:rsidRPr="00401C70">
              <w:rPr>
                <w:rFonts w:ascii="Abadi" w:hAnsi="Abadi" w:cs="Calibri"/>
                <w:spacing w:val="-48"/>
                <w:sz w:val="21"/>
                <w:szCs w:val="21"/>
              </w:rPr>
              <w:t xml:space="preserve"> </w:t>
            </w:r>
            <w:r w:rsidRPr="00401C70">
              <w:rPr>
                <w:rFonts w:ascii="Abadi" w:hAnsi="Abadi" w:cs="Calibri"/>
                <w:sz w:val="21"/>
                <w:szCs w:val="21"/>
              </w:rPr>
              <w:t>integren el capital social de las empresas de</w:t>
            </w:r>
            <w:r w:rsidRPr="00401C70">
              <w:rPr>
                <w:rFonts w:ascii="Abadi" w:hAnsi="Abadi" w:cs="Calibri"/>
                <w:spacing w:val="1"/>
                <w:sz w:val="21"/>
                <w:szCs w:val="21"/>
              </w:rPr>
              <w:t xml:space="preserve"> </w:t>
            </w:r>
            <w:r w:rsidRPr="00401C70">
              <w:rPr>
                <w:rFonts w:ascii="Abadi" w:hAnsi="Abadi" w:cs="Calibri"/>
                <w:sz w:val="21"/>
                <w:szCs w:val="21"/>
              </w:rPr>
              <w:t>participación</w:t>
            </w:r>
            <w:r w:rsidRPr="00401C70">
              <w:rPr>
                <w:rFonts w:ascii="Abadi" w:hAnsi="Abadi" w:cs="Calibri"/>
                <w:spacing w:val="-4"/>
                <w:sz w:val="21"/>
                <w:szCs w:val="21"/>
              </w:rPr>
              <w:t xml:space="preserve"> </w:t>
            </w:r>
            <w:r w:rsidRPr="00401C70">
              <w:rPr>
                <w:rFonts w:ascii="Abadi" w:hAnsi="Abadi" w:cs="Calibri"/>
                <w:sz w:val="21"/>
                <w:szCs w:val="21"/>
              </w:rPr>
              <w:t>estatal</w:t>
            </w:r>
            <w:r w:rsidRPr="00401C70">
              <w:rPr>
                <w:rFonts w:ascii="Abadi" w:hAnsi="Abadi" w:cs="Calibri"/>
                <w:spacing w:val="-2"/>
                <w:sz w:val="21"/>
                <w:szCs w:val="21"/>
              </w:rPr>
              <w:t xml:space="preserve"> </w:t>
            </w:r>
            <w:r w:rsidRPr="00401C70">
              <w:rPr>
                <w:rFonts w:ascii="Abadi" w:hAnsi="Abadi" w:cs="Calibri"/>
                <w:sz w:val="21"/>
                <w:szCs w:val="21"/>
              </w:rPr>
              <w:t>mayoritaria.</w:t>
            </w:r>
          </w:p>
        </w:tc>
        <w:tc>
          <w:tcPr>
            <w:tcW w:w="2500" w:type="pct"/>
            <w:tcBorders>
              <w:top w:val="single" w:sz="4" w:space="0" w:color="000000"/>
              <w:left w:val="single" w:sz="4" w:space="0" w:color="000000"/>
              <w:bottom w:val="single" w:sz="4" w:space="0" w:color="000000"/>
              <w:right w:val="single" w:sz="4" w:space="0" w:color="000000"/>
            </w:tcBorders>
          </w:tcPr>
          <w:p w14:paraId="2412D0E8" w14:textId="77777777" w:rsidR="00677B7E" w:rsidRPr="00401C70" w:rsidRDefault="00677B7E" w:rsidP="00FA2590">
            <w:pPr>
              <w:kinsoku w:val="0"/>
              <w:overflowPunct w:val="0"/>
              <w:autoSpaceDE w:val="0"/>
              <w:autoSpaceDN w:val="0"/>
              <w:adjustRightInd w:val="0"/>
              <w:ind w:left="107" w:right="91"/>
              <w:jc w:val="both"/>
              <w:rPr>
                <w:rFonts w:ascii="Abadi" w:hAnsi="Abadi" w:cs="Calibri"/>
                <w:sz w:val="21"/>
                <w:szCs w:val="21"/>
              </w:rPr>
            </w:pPr>
            <w:r w:rsidRPr="00401C70">
              <w:rPr>
                <w:rFonts w:ascii="Abadi" w:hAnsi="Abadi" w:cs="Calibri"/>
                <w:b/>
                <w:bCs/>
                <w:sz w:val="21"/>
                <w:szCs w:val="21"/>
              </w:rPr>
              <w:t>Artículo</w:t>
            </w:r>
            <w:r w:rsidRPr="00401C70">
              <w:rPr>
                <w:rFonts w:ascii="Abadi" w:hAnsi="Abadi" w:cs="Calibri"/>
                <w:b/>
                <w:bCs/>
                <w:spacing w:val="1"/>
                <w:sz w:val="21"/>
                <w:szCs w:val="21"/>
              </w:rPr>
              <w:t xml:space="preserve"> </w:t>
            </w:r>
            <w:r w:rsidRPr="00401C70">
              <w:rPr>
                <w:rFonts w:ascii="Abadi" w:hAnsi="Abadi" w:cs="Calibri"/>
                <w:b/>
                <w:bCs/>
                <w:sz w:val="21"/>
                <w:szCs w:val="21"/>
              </w:rPr>
              <w:t>60.-</w:t>
            </w:r>
            <w:r w:rsidRPr="00401C70">
              <w:rPr>
                <w:rFonts w:ascii="Abadi" w:hAnsi="Abadi" w:cs="Calibri"/>
                <w:b/>
                <w:bCs/>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Gobernador</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Estado,</w:t>
            </w:r>
            <w:r w:rsidRPr="00401C70">
              <w:rPr>
                <w:rFonts w:ascii="Abadi" w:hAnsi="Abadi" w:cs="Calibri"/>
                <w:spacing w:val="1"/>
                <w:sz w:val="21"/>
                <w:szCs w:val="21"/>
              </w:rPr>
              <w:t xml:space="preserve"> </w:t>
            </w:r>
            <w:r w:rsidRPr="00401C70">
              <w:rPr>
                <w:rFonts w:ascii="Abadi" w:hAnsi="Abadi" w:cs="Calibri"/>
                <w:b/>
                <w:bCs/>
                <w:i/>
                <w:iCs/>
                <w:sz w:val="21"/>
                <w:szCs w:val="21"/>
              </w:rPr>
              <w:t>observando el principio de paridad de género,</w:t>
            </w:r>
            <w:r w:rsidRPr="00401C70">
              <w:rPr>
                <w:rFonts w:ascii="Abadi" w:hAnsi="Abadi" w:cs="Calibri"/>
                <w:b/>
                <w:bCs/>
                <w:i/>
                <w:iCs/>
                <w:spacing w:val="-47"/>
                <w:sz w:val="21"/>
                <w:szCs w:val="21"/>
              </w:rPr>
              <w:t xml:space="preserve"> </w:t>
            </w:r>
            <w:r w:rsidRPr="00401C70">
              <w:rPr>
                <w:rFonts w:ascii="Abadi" w:hAnsi="Abadi" w:cs="Calibri"/>
                <w:sz w:val="21"/>
                <w:szCs w:val="21"/>
              </w:rPr>
              <w:t xml:space="preserve">nombrará </w:t>
            </w:r>
            <w:r w:rsidRPr="00401C70">
              <w:rPr>
                <w:rFonts w:ascii="Abadi" w:hAnsi="Abadi" w:cs="Calibri"/>
                <w:b/>
                <w:bCs/>
                <w:i/>
                <w:iCs/>
                <w:sz w:val="21"/>
                <w:szCs w:val="21"/>
              </w:rPr>
              <w:t>a las personas servidoras públicas</w:t>
            </w:r>
            <w:r w:rsidRPr="00401C70">
              <w:rPr>
                <w:rFonts w:ascii="Abadi" w:hAnsi="Abadi" w:cs="Calibri"/>
                <w:b/>
                <w:bCs/>
                <w:i/>
                <w:iCs/>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deban</w:t>
            </w:r>
            <w:r w:rsidRPr="00401C70">
              <w:rPr>
                <w:rFonts w:ascii="Abadi" w:hAnsi="Abadi" w:cs="Calibri"/>
                <w:spacing w:val="1"/>
                <w:sz w:val="21"/>
                <w:szCs w:val="21"/>
              </w:rPr>
              <w:t xml:space="preserve"> </w:t>
            </w:r>
            <w:r w:rsidRPr="00401C70">
              <w:rPr>
                <w:rFonts w:ascii="Abadi" w:hAnsi="Abadi" w:cs="Calibri"/>
                <w:sz w:val="21"/>
                <w:szCs w:val="21"/>
              </w:rPr>
              <w:t>ejercer</w:t>
            </w:r>
            <w:r w:rsidRPr="00401C70">
              <w:rPr>
                <w:rFonts w:ascii="Abadi" w:hAnsi="Abadi" w:cs="Calibri"/>
                <w:spacing w:val="1"/>
                <w:sz w:val="21"/>
                <w:szCs w:val="21"/>
              </w:rPr>
              <w:t xml:space="preserve"> </w:t>
            </w:r>
            <w:r w:rsidRPr="00401C70">
              <w:rPr>
                <w:rFonts w:ascii="Abadi" w:hAnsi="Abadi" w:cs="Calibri"/>
                <w:sz w:val="21"/>
                <w:szCs w:val="21"/>
              </w:rPr>
              <w:t>las</w:t>
            </w:r>
            <w:r w:rsidRPr="00401C70">
              <w:rPr>
                <w:rFonts w:ascii="Abadi" w:hAnsi="Abadi" w:cs="Calibri"/>
                <w:spacing w:val="1"/>
                <w:sz w:val="21"/>
                <w:szCs w:val="21"/>
              </w:rPr>
              <w:t xml:space="preserve"> </w:t>
            </w:r>
            <w:r w:rsidRPr="00401C70">
              <w:rPr>
                <w:rFonts w:ascii="Abadi" w:hAnsi="Abadi" w:cs="Calibri"/>
                <w:sz w:val="21"/>
                <w:szCs w:val="21"/>
              </w:rPr>
              <w:t>atribuciones</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impliquen</w:t>
            </w:r>
            <w:r w:rsidRPr="00401C70">
              <w:rPr>
                <w:rFonts w:ascii="Abadi" w:hAnsi="Abadi" w:cs="Calibri"/>
                <w:spacing w:val="-8"/>
                <w:sz w:val="21"/>
                <w:szCs w:val="21"/>
              </w:rPr>
              <w:t xml:space="preserve"> </w:t>
            </w:r>
            <w:r w:rsidRPr="00401C70">
              <w:rPr>
                <w:rFonts w:ascii="Abadi" w:hAnsi="Abadi" w:cs="Calibri"/>
                <w:sz w:val="21"/>
                <w:szCs w:val="21"/>
              </w:rPr>
              <w:t>la</w:t>
            </w:r>
            <w:r w:rsidRPr="00401C70">
              <w:rPr>
                <w:rFonts w:ascii="Abadi" w:hAnsi="Abadi" w:cs="Calibri"/>
                <w:spacing w:val="-10"/>
                <w:sz w:val="21"/>
                <w:szCs w:val="21"/>
              </w:rPr>
              <w:t xml:space="preserve"> </w:t>
            </w:r>
            <w:r w:rsidRPr="00401C70">
              <w:rPr>
                <w:rFonts w:ascii="Abadi" w:hAnsi="Abadi" w:cs="Calibri"/>
                <w:sz w:val="21"/>
                <w:szCs w:val="21"/>
              </w:rPr>
              <w:t>titularidad</w:t>
            </w:r>
            <w:r w:rsidRPr="00401C70">
              <w:rPr>
                <w:rFonts w:ascii="Abadi" w:hAnsi="Abadi" w:cs="Calibri"/>
                <w:spacing w:val="-11"/>
                <w:sz w:val="21"/>
                <w:szCs w:val="21"/>
              </w:rPr>
              <w:t xml:space="preserve"> </w:t>
            </w:r>
            <w:r w:rsidRPr="00401C70">
              <w:rPr>
                <w:rFonts w:ascii="Abadi" w:hAnsi="Abadi" w:cs="Calibri"/>
                <w:sz w:val="21"/>
                <w:szCs w:val="21"/>
              </w:rPr>
              <w:t>de</w:t>
            </w:r>
            <w:r w:rsidRPr="00401C70">
              <w:rPr>
                <w:rFonts w:ascii="Abadi" w:hAnsi="Abadi" w:cs="Calibri"/>
                <w:spacing w:val="-9"/>
                <w:sz w:val="21"/>
                <w:szCs w:val="21"/>
              </w:rPr>
              <w:t xml:space="preserve"> </w:t>
            </w:r>
            <w:r w:rsidRPr="00401C70">
              <w:rPr>
                <w:rFonts w:ascii="Abadi" w:hAnsi="Abadi" w:cs="Calibri"/>
                <w:sz w:val="21"/>
                <w:szCs w:val="21"/>
              </w:rPr>
              <w:t>las</w:t>
            </w:r>
            <w:r w:rsidRPr="00401C70">
              <w:rPr>
                <w:rFonts w:ascii="Abadi" w:hAnsi="Abadi" w:cs="Calibri"/>
                <w:spacing w:val="-7"/>
                <w:sz w:val="21"/>
                <w:szCs w:val="21"/>
              </w:rPr>
              <w:t xml:space="preserve"> </w:t>
            </w:r>
            <w:r w:rsidRPr="00401C70">
              <w:rPr>
                <w:rFonts w:ascii="Abadi" w:hAnsi="Abadi" w:cs="Calibri"/>
                <w:sz w:val="21"/>
                <w:szCs w:val="21"/>
              </w:rPr>
              <w:t>acciones</w:t>
            </w:r>
            <w:r w:rsidRPr="00401C70">
              <w:rPr>
                <w:rFonts w:ascii="Abadi" w:hAnsi="Abadi" w:cs="Calibri"/>
                <w:spacing w:val="-12"/>
                <w:sz w:val="21"/>
                <w:szCs w:val="21"/>
              </w:rPr>
              <w:t xml:space="preserve"> </w:t>
            </w:r>
            <w:r w:rsidRPr="00401C70">
              <w:rPr>
                <w:rFonts w:ascii="Abadi" w:hAnsi="Abadi" w:cs="Calibri"/>
                <w:sz w:val="21"/>
                <w:szCs w:val="21"/>
              </w:rPr>
              <w:t>o</w:t>
            </w:r>
            <w:r w:rsidRPr="00401C70">
              <w:rPr>
                <w:rFonts w:ascii="Abadi" w:hAnsi="Abadi" w:cs="Calibri"/>
                <w:spacing w:val="-6"/>
                <w:sz w:val="21"/>
                <w:szCs w:val="21"/>
              </w:rPr>
              <w:t xml:space="preserve"> </w:t>
            </w:r>
            <w:r w:rsidRPr="00401C70">
              <w:rPr>
                <w:rFonts w:ascii="Abadi" w:hAnsi="Abadi" w:cs="Calibri"/>
                <w:sz w:val="21"/>
                <w:szCs w:val="21"/>
              </w:rPr>
              <w:t>partes</w:t>
            </w:r>
            <w:r w:rsidRPr="00401C70">
              <w:rPr>
                <w:rFonts w:ascii="Abadi" w:hAnsi="Abadi" w:cs="Calibri"/>
                <w:spacing w:val="-47"/>
                <w:sz w:val="21"/>
                <w:szCs w:val="21"/>
              </w:rPr>
              <w:t xml:space="preserve"> </w:t>
            </w:r>
            <w:r w:rsidRPr="00401C70">
              <w:rPr>
                <w:rFonts w:ascii="Abadi" w:hAnsi="Abadi" w:cs="Calibri"/>
                <w:sz w:val="21"/>
                <w:szCs w:val="21"/>
              </w:rPr>
              <w:t>sociales</w:t>
            </w:r>
            <w:r w:rsidRPr="00401C70">
              <w:rPr>
                <w:rFonts w:ascii="Abadi" w:hAnsi="Abadi" w:cs="Calibri"/>
                <w:spacing w:val="46"/>
                <w:sz w:val="21"/>
                <w:szCs w:val="21"/>
              </w:rPr>
              <w:t xml:space="preserve"> </w:t>
            </w:r>
            <w:r w:rsidRPr="00401C70">
              <w:rPr>
                <w:rFonts w:ascii="Abadi" w:hAnsi="Abadi" w:cs="Calibri"/>
                <w:sz w:val="21"/>
                <w:szCs w:val="21"/>
              </w:rPr>
              <w:t>que</w:t>
            </w:r>
            <w:r w:rsidRPr="00401C70">
              <w:rPr>
                <w:rFonts w:ascii="Abadi" w:hAnsi="Abadi" w:cs="Calibri"/>
                <w:spacing w:val="48"/>
                <w:sz w:val="21"/>
                <w:szCs w:val="21"/>
              </w:rPr>
              <w:t xml:space="preserve"> </w:t>
            </w:r>
            <w:r w:rsidRPr="00401C70">
              <w:rPr>
                <w:rFonts w:ascii="Abadi" w:hAnsi="Abadi" w:cs="Calibri"/>
                <w:sz w:val="21"/>
                <w:szCs w:val="21"/>
              </w:rPr>
              <w:t>integren</w:t>
            </w:r>
            <w:r w:rsidRPr="00401C70">
              <w:rPr>
                <w:rFonts w:ascii="Abadi" w:hAnsi="Abadi" w:cs="Calibri"/>
                <w:spacing w:val="44"/>
                <w:sz w:val="21"/>
                <w:szCs w:val="21"/>
              </w:rPr>
              <w:t xml:space="preserve"> </w:t>
            </w:r>
            <w:r w:rsidRPr="00401C70">
              <w:rPr>
                <w:rFonts w:ascii="Abadi" w:hAnsi="Abadi" w:cs="Calibri"/>
                <w:sz w:val="21"/>
                <w:szCs w:val="21"/>
              </w:rPr>
              <w:t>el</w:t>
            </w:r>
            <w:r w:rsidRPr="00401C70">
              <w:rPr>
                <w:rFonts w:ascii="Abadi" w:hAnsi="Abadi" w:cs="Calibri"/>
                <w:spacing w:val="47"/>
                <w:sz w:val="21"/>
                <w:szCs w:val="21"/>
              </w:rPr>
              <w:t xml:space="preserve"> </w:t>
            </w:r>
            <w:r w:rsidRPr="00401C70">
              <w:rPr>
                <w:rFonts w:ascii="Abadi" w:hAnsi="Abadi" w:cs="Calibri"/>
                <w:sz w:val="21"/>
                <w:szCs w:val="21"/>
              </w:rPr>
              <w:t>capital</w:t>
            </w:r>
            <w:r w:rsidRPr="00401C70">
              <w:rPr>
                <w:rFonts w:ascii="Abadi" w:hAnsi="Abadi" w:cs="Calibri"/>
                <w:spacing w:val="47"/>
                <w:sz w:val="21"/>
                <w:szCs w:val="21"/>
              </w:rPr>
              <w:t xml:space="preserve"> </w:t>
            </w:r>
            <w:r w:rsidRPr="00401C70">
              <w:rPr>
                <w:rFonts w:ascii="Abadi" w:hAnsi="Abadi" w:cs="Calibri"/>
                <w:sz w:val="21"/>
                <w:szCs w:val="21"/>
              </w:rPr>
              <w:t>social</w:t>
            </w:r>
            <w:r w:rsidRPr="00401C70">
              <w:rPr>
                <w:rFonts w:ascii="Abadi" w:hAnsi="Abadi" w:cs="Calibri"/>
                <w:spacing w:val="47"/>
                <w:sz w:val="21"/>
                <w:szCs w:val="21"/>
              </w:rPr>
              <w:t xml:space="preserve"> </w:t>
            </w:r>
            <w:r w:rsidRPr="00401C70">
              <w:rPr>
                <w:rFonts w:ascii="Abadi" w:hAnsi="Abadi" w:cs="Calibri"/>
                <w:sz w:val="21"/>
                <w:szCs w:val="21"/>
              </w:rPr>
              <w:t>de</w:t>
            </w:r>
            <w:r w:rsidRPr="00401C70">
              <w:rPr>
                <w:rFonts w:ascii="Abadi" w:hAnsi="Abadi" w:cs="Calibri"/>
                <w:spacing w:val="48"/>
                <w:sz w:val="21"/>
                <w:szCs w:val="21"/>
              </w:rPr>
              <w:t xml:space="preserve"> </w:t>
            </w:r>
            <w:r w:rsidRPr="00401C70">
              <w:rPr>
                <w:rFonts w:ascii="Abadi" w:hAnsi="Abadi" w:cs="Calibri"/>
                <w:sz w:val="21"/>
                <w:szCs w:val="21"/>
              </w:rPr>
              <w:t>las</w:t>
            </w:r>
          </w:p>
          <w:p w14:paraId="00E508A9" w14:textId="77777777" w:rsidR="00677B7E" w:rsidRPr="00401C70" w:rsidRDefault="00677B7E" w:rsidP="00FA2590">
            <w:pPr>
              <w:kinsoku w:val="0"/>
              <w:overflowPunct w:val="0"/>
              <w:autoSpaceDE w:val="0"/>
              <w:autoSpaceDN w:val="0"/>
              <w:adjustRightInd w:val="0"/>
              <w:spacing w:line="249" w:lineRule="exact"/>
              <w:ind w:left="107"/>
              <w:jc w:val="both"/>
              <w:rPr>
                <w:rFonts w:ascii="Abadi" w:hAnsi="Abadi" w:cs="Calibri"/>
                <w:sz w:val="21"/>
                <w:szCs w:val="21"/>
              </w:rPr>
            </w:pPr>
            <w:r w:rsidRPr="00401C70">
              <w:rPr>
                <w:rFonts w:ascii="Abadi" w:hAnsi="Abadi" w:cs="Calibri"/>
                <w:sz w:val="21"/>
                <w:szCs w:val="21"/>
              </w:rPr>
              <w:t>empresas</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4"/>
                <w:sz w:val="21"/>
                <w:szCs w:val="21"/>
              </w:rPr>
              <w:t xml:space="preserve"> </w:t>
            </w:r>
            <w:r w:rsidRPr="00401C70">
              <w:rPr>
                <w:rFonts w:ascii="Abadi" w:hAnsi="Abadi" w:cs="Calibri"/>
                <w:sz w:val="21"/>
                <w:szCs w:val="21"/>
              </w:rPr>
              <w:t>participación</w:t>
            </w:r>
            <w:r w:rsidRPr="00401C70">
              <w:rPr>
                <w:rFonts w:ascii="Abadi" w:hAnsi="Abadi" w:cs="Calibri"/>
                <w:spacing w:val="-4"/>
                <w:sz w:val="21"/>
                <w:szCs w:val="21"/>
              </w:rPr>
              <w:t xml:space="preserve"> </w:t>
            </w:r>
            <w:r w:rsidRPr="00401C70">
              <w:rPr>
                <w:rFonts w:ascii="Abadi" w:hAnsi="Abadi" w:cs="Calibri"/>
                <w:sz w:val="21"/>
                <w:szCs w:val="21"/>
              </w:rPr>
              <w:t>estatal</w:t>
            </w:r>
            <w:r w:rsidRPr="00401C70">
              <w:rPr>
                <w:rFonts w:ascii="Abadi" w:hAnsi="Abadi" w:cs="Calibri"/>
                <w:spacing w:val="-4"/>
                <w:sz w:val="21"/>
                <w:szCs w:val="21"/>
              </w:rPr>
              <w:t xml:space="preserve"> </w:t>
            </w:r>
            <w:r w:rsidRPr="00401C70">
              <w:rPr>
                <w:rFonts w:ascii="Abadi" w:hAnsi="Abadi" w:cs="Calibri"/>
                <w:sz w:val="21"/>
                <w:szCs w:val="21"/>
              </w:rPr>
              <w:t>mayoritaria.</w:t>
            </w:r>
          </w:p>
        </w:tc>
      </w:tr>
      <w:tr w:rsidR="00677B7E" w:rsidRPr="00401C70" w14:paraId="5BF65676" w14:textId="77777777" w:rsidTr="003343AD">
        <w:trPr>
          <w:trHeight w:val="959"/>
        </w:trPr>
        <w:tc>
          <w:tcPr>
            <w:tcW w:w="2500" w:type="pct"/>
            <w:tcBorders>
              <w:top w:val="single" w:sz="4" w:space="0" w:color="000000"/>
              <w:left w:val="single" w:sz="4" w:space="0" w:color="000000"/>
              <w:bottom w:val="none" w:sz="6" w:space="0" w:color="auto"/>
              <w:right w:val="single" w:sz="4" w:space="0" w:color="000000"/>
            </w:tcBorders>
          </w:tcPr>
          <w:p w14:paraId="5F6CD4E2" w14:textId="77777777" w:rsidR="00677B7E" w:rsidRPr="00401C70" w:rsidRDefault="00677B7E" w:rsidP="00FA2590">
            <w:pPr>
              <w:kinsoku w:val="0"/>
              <w:overflowPunct w:val="0"/>
              <w:autoSpaceDE w:val="0"/>
              <w:autoSpaceDN w:val="0"/>
              <w:adjustRightInd w:val="0"/>
              <w:ind w:left="107" w:right="93"/>
              <w:jc w:val="both"/>
              <w:rPr>
                <w:rFonts w:ascii="Abadi" w:hAnsi="Abadi" w:cs="Calibri"/>
                <w:sz w:val="21"/>
                <w:szCs w:val="21"/>
              </w:rPr>
            </w:pPr>
            <w:r w:rsidRPr="00401C70">
              <w:rPr>
                <w:rFonts w:ascii="Abadi" w:hAnsi="Abadi" w:cs="Calibri"/>
                <w:b/>
                <w:bCs/>
                <w:sz w:val="21"/>
                <w:szCs w:val="21"/>
              </w:rPr>
              <w:t>Artículo</w:t>
            </w:r>
            <w:r w:rsidRPr="00401C70">
              <w:rPr>
                <w:rFonts w:ascii="Abadi" w:hAnsi="Abadi" w:cs="Calibri"/>
                <w:b/>
                <w:bCs/>
                <w:spacing w:val="1"/>
                <w:sz w:val="21"/>
                <w:szCs w:val="21"/>
              </w:rPr>
              <w:t xml:space="preserve"> </w:t>
            </w:r>
            <w:r w:rsidRPr="00401C70">
              <w:rPr>
                <w:rFonts w:ascii="Abadi" w:hAnsi="Abadi" w:cs="Calibri"/>
                <w:b/>
                <w:bCs/>
                <w:sz w:val="21"/>
                <w:szCs w:val="21"/>
              </w:rPr>
              <w:t>62.-</w:t>
            </w:r>
            <w:r w:rsidRPr="00401C70">
              <w:rPr>
                <w:rFonts w:ascii="Abadi" w:hAnsi="Abadi" w:cs="Calibri"/>
                <w:b/>
                <w:bCs/>
                <w:spacing w:val="1"/>
                <w:sz w:val="21"/>
                <w:szCs w:val="21"/>
              </w:rPr>
              <w:t xml:space="preserve"> </w:t>
            </w: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órganos</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gobierno</w:t>
            </w:r>
            <w:r w:rsidRPr="00401C70">
              <w:rPr>
                <w:rFonts w:ascii="Abadi" w:hAnsi="Abadi" w:cs="Calibri"/>
                <w:spacing w:val="1"/>
                <w:sz w:val="21"/>
                <w:szCs w:val="21"/>
              </w:rPr>
              <w:t xml:space="preserve"> </w:t>
            </w:r>
            <w:r w:rsidRPr="00401C70">
              <w:rPr>
                <w:rFonts w:ascii="Abadi" w:hAnsi="Abadi" w:cs="Calibri"/>
                <w:sz w:val="21"/>
                <w:szCs w:val="21"/>
              </w:rPr>
              <w:t>se</w:t>
            </w:r>
            <w:r w:rsidRPr="00401C70">
              <w:rPr>
                <w:rFonts w:ascii="Abadi" w:hAnsi="Abadi" w:cs="Calibri"/>
                <w:spacing w:val="1"/>
                <w:sz w:val="21"/>
                <w:szCs w:val="21"/>
              </w:rPr>
              <w:t xml:space="preserve"> </w:t>
            </w:r>
            <w:r w:rsidRPr="00401C70">
              <w:rPr>
                <w:rFonts w:ascii="Abadi" w:hAnsi="Abadi" w:cs="Calibri"/>
                <w:sz w:val="21"/>
                <w:szCs w:val="21"/>
              </w:rPr>
              <w:t>integrarán de acuerdo a sus estatutos, en lo</w:t>
            </w:r>
            <w:r w:rsidRPr="00401C70">
              <w:rPr>
                <w:rFonts w:ascii="Abadi" w:hAnsi="Abadi" w:cs="Calibri"/>
                <w:spacing w:val="1"/>
                <w:sz w:val="21"/>
                <w:szCs w:val="21"/>
              </w:rPr>
              <w:t xml:space="preserve"> </w:t>
            </w:r>
            <w:r w:rsidRPr="00401C70">
              <w:rPr>
                <w:rFonts w:ascii="Abadi" w:hAnsi="Abadi" w:cs="Calibri"/>
                <w:sz w:val="21"/>
                <w:szCs w:val="21"/>
              </w:rPr>
              <w:t>que no</w:t>
            </w:r>
            <w:r w:rsidRPr="00401C70">
              <w:rPr>
                <w:rFonts w:ascii="Abadi" w:hAnsi="Abadi" w:cs="Calibri"/>
                <w:spacing w:val="1"/>
                <w:sz w:val="21"/>
                <w:szCs w:val="21"/>
              </w:rPr>
              <w:t xml:space="preserve"> </w:t>
            </w:r>
            <w:r w:rsidRPr="00401C70">
              <w:rPr>
                <w:rFonts w:ascii="Abadi" w:hAnsi="Abadi" w:cs="Calibri"/>
                <w:sz w:val="21"/>
                <w:szCs w:val="21"/>
              </w:rPr>
              <w:t>se</w:t>
            </w:r>
            <w:r w:rsidRPr="00401C70">
              <w:rPr>
                <w:rFonts w:ascii="Abadi" w:hAnsi="Abadi" w:cs="Calibri"/>
                <w:spacing w:val="-3"/>
                <w:sz w:val="21"/>
                <w:szCs w:val="21"/>
              </w:rPr>
              <w:t xml:space="preserve"> </w:t>
            </w:r>
            <w:r w:rsidRPr="00401C70">
              <w:rPr>
                <w:rFonts w:ascii="Abadi" w:hAnsi="Abadi" w:cs="Calibri"/>
                <w:sz w:val="21"/>
                <w:szCs w:val="21"/>
              </w:rPr>
              <w:t>oponga a</w:t>
            </w:r>
            <w:r w:rsidRPr="00401C70">
              <w:rPr>
                <w:rFonts w:ascii="Abadi" w:hAnsi="Abadi" w:cs="Calibri"/>
                <w:spacing w:val="-1"/>
                <w:sz w:val="21"/>
                <w:szCs w:val="21"/>
              </w:rPr>
              <w:t xml:space="preserve"> </w:t>
            </w:r>
            <w:r w:rsidRPr="00401C70">
              <w:rPr>
                <w:rFonts w:ascii="Abadi" w:hAnsi="Abadi" w:cs="Calibri"/>
                <w:sz w:val="21"/>
                <w:szCs w:val="21"/>
              </w:rPr>
              <w:t>lo</w:t>
            </w:r>
            <w:r w:rsidRPr="00401C70">
              <w:rPr>
                <w:rFonts w:ascii="Abadi" w:hAnsi="Abadi" w:cs="Calibri"/>
                <w:spacing w:val="1"/>
                <w:sz w:val="21"/>
                <w:szCs w:val="21"/>
              </w:rPr>
              <w:t xml:space="preserve"> </w:t>
            </w:r>
            <w:r w:rsidRPr="00401C70">
              <w:rPr>
                <w:rFonts w:ascii="Abadi" w:hAnsi="Abadi" w:cs="Calibri"/>
                <w:sz w:val="21"/>
                <w:szCs w:val="21"/>
              </w:rPr>
              <w:t>dispuesto</w:t>
            </w:r>
            <w:r w:rsidRPr="00401C70">
              <w:rPr>
                <w:rFonts w:ascii="Abadi" w:hAnsi="Abadi" w:cs="Calibri"/>
                <w:spacing w:val="-3"/>
                <w:sz w:val="21"/>
                <w:szCs w:val="21"/>
              </w:rPr>
              <w:t xml:space="preserve"> </w:t>
            </w:r>
            <w:r w:rsidRPr="00401C70">
              <w:rPr>
                <w:rFonts w:ascii="Abadi" w:hAnsi="Abadi" w:cs="Calibri"/>
                <w:sz w:val="21"/>
                <w:szCs w:val="21"/>
              </w:rPr>
              <w:t>por</w:t>
            </w:r>
            <w:r w:rsidRPr="00401C70">
              <w:rPr>
                <w:rFonts w:ascii="Abadi" w:hAnsi="Abadi" w:cs="Calibri"/>
                <w:spacing w:val="-2"/>
                <w:sz w:val="21"/>
                <w:szCs w:val="21"/>
              </w:rPr>
              <w:t xml:space="preserve"> </w:t>
            </w:r>
            <w:r w:rsidRPr="00401C70">
              <w:rPr>
                <w:rFonts w:ascii="Abadi" w:hAnsi="Abadi" w:cs="Calibri"/>
                <w:sz w:val="21"/>
                <w:szCs w:val="21"/>
              </w:rPr>
              <w:t>esta</w:t>
            </w:r>
            <w:r w:rsidRPr="00401C70">
              <w:rPr>
                <w:rFonts w:ascii="Abadi" w:hAnsi="Abadi" w:cs="Calibri"/>
                <w:spacing w:val="-4"/>
                <w:sz w:val="21"/>
                <w:szCs w:val="21"/>
              </w:rPr>
              <w:t xml:space="preserve"> </w:t>
            </w:r>
            <w:r w:rsidRPr="00401C70">
              <w:rPr>
                <w:rFonts w:ascii="Abadi" w:hAnsi="Abadi" w:cs="Calibri"/>
                <w:sz w:val="21"/>
                <w:szCs w:val="21"/>
              </w:rPr>
              <w:t>Ley.</w:t>
            </w:r>
          </w:p>
        </w:tc>
        <w:tc>
          <w:tcPr>
            <w:tcW w:w="2500" w:type="pct"/>
            <w:tcBorders>
              <w:top w:val="single" w:sz="4" w:space="0" w:color="000000"/>
              <w:left w:val="single" w:sz="4" w:space="0" w:color="000000"/>
              <w:bottom w:val="none" w:sz="6" w:space="0" w:color="auto"/>
              <w:right w:val="single" w:sz="4" w:space="0" w:color="000000"/>
            </w:tcBorders>
          </w:tcPr>
          <w:p w14:paraId="6D2FC06F" w14:textId="77777777" w:rsidR="00677B7E" w:rsidRPr="00401C70" w:rsidRDefault="00677B7E" w:rsidP="00FA2590">
            <w:pPr>
              <w:kinsoku w:val="0"/>
              <w:overflowPunct w:val="0"/>
              <w:autoSpaceDE w:val="0"/>
              <w:autoSpaceDN w:val="0"/>
              <w:adjustRightInd w:val="0"/>
              <w:ind w:left="107" w:right="92"/>
              <w:jc w:val="both"/>
              <w:rPr>
                <w:rFonts w:ascii="Abadi" w:hAnsi="Abadi" w:cs="Calibri"/>
                <w:sz w:val="21"/>
                <w:szCs w:val="21"/>
              </w:rPr>
            </w:pPr>
            <w:r w:rsidRPr="00401C70">
              <w:rPr>
                <w:rFonts w:ascii="Abadi" w:hAnsi="Abadi" w:cs="Calibri"/>
                <w:b/>
                <w:bCs/>
                <w:sz w:val="21"/>
                <w:szCs w:val="21"/>
              </w:rPr>
              <w:t>Artículo</w:t>
            </w:r>
            <w:r w:rsidRPr="00401C70">
              <w:rPr>
                <w:rFonts w:ascii="Abadi" w:hAnsi="Abadi" w:cs="Calibri"/>
                <w:b/>
                <w:bCs/>
                <w:spacing w:val="1"/>
                <w:sz w:val="21"/>
                <w:szCs w:val="21"/>
              </w:rPr>
              <w:t xml:space="preserve"> </w:t>
            </w:r>
            <w:r w:rsidRPr="00401C70">
              <w:rPr>
                <w:rFonts w:ascii="Abadi" w:hAnsi="Abadi" w:cs="Calibri"/>
                <w:b/>
                <w:bCs/>
                <w:sz w:val="21"/>
                <w:szCs w:val="21"/>
              </w:rPr>
              <w:t>62.-</w:t>
            </w:r>
            <w:r w:rsidRPr="00401C70">
              <w:rPr>
                <w:rFonts w:ascii="Abadi" w:hAnsi="Abadi" w:cs="Calibri"/>
                <w:b/>
                <w:bCs/>
                <w:spacing w:val="1"/>
                <w:sz w:val="21"/>
                <w:szCs w:val="21"/>
              </w:rPr>
              <w:t xml:space="preserve"> </w:t>
            </w: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órganos</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gobierno</w:t>
            </w:r>
            <w:r w:rsidRPr="00401C70">
              <w:rPr>
                <w:rFonts w:ascii="Abadi" w:hAnsi="Abadi" w:cs="Calibri"/>
                <w:spacing w:val="1"/>
                <w:sz w:val="21"/>
                <w:szCs w:val="21"/>
              </w:rPr>
              <w:t xml:space="preserve"> </w:t>
            </w:r>
            <w:r w:rsidRPr="00401C70">
              <w:rPr>
                <w:rFonts w:ascii="Abadi" w:hAnsi="Abadi" w:cs="Calibri"/>
                <w:sz w:val="21"/>
                <w:szCs w:val="21"/>
              </w:rPr>
              <w:t>se</w:t>
            </w:r>
            <w:r w:rsidRPr="00401C70">
              <w:rPr>
                <w:rFonts w:ascii="Abadi" w:hAnsi="Abadi" w:cs="Calibri"/>
                <w:spacing w:val="1"/>
                <w:sz w:val="21"/>
                <w:szCs w:val="21"/>
              </w:rPr>
              <w:t xml:space="preserve"> </w:t>
            </w:r>
            <w:r w:rsidRPr="00401C70">
              <w:rPr>
                <w:rFonts w:ascii="Abadi" w:hAnsi="Abadi" w:cs="Calibri"/>
                <w:sz w:val="21"/>
                <w:szCs w:val="21"/>
              </w:rPr>
              <w:t>integrarán de acuerdo a sus estatutos, en lo</w:t>
            </w:r>
            <w:r w:rsidRPr="00401C70">
              <w:rPr>
                <w:rFonts w:ascii="Abadi" w:hAnsi="Abadi" w:cs="Calibri"/>
                <w:spacing w:val="1"/>
                <w:sz w:val="21"/>
                <w:szCs w:val="21"/>
              </w:rPr>
              <w:t xml:space="preserve"> </w:t>
            </w:r>
            <w:r w:rsidRPr="00401C70">
              <w:rPr>
                <w:rFonts w:ascii="Abadi" w:hAnsi="Abadi" w:cs="Calibri"/>
                <w:sz w:val="21"/>
                <w:szCs w:val="21"/>
              </w:rPr>
              <w:t>que no</w:t>
            </w:r>
            <w:r w:rsidRPr="00401C70">
              <w:rPr>
                <w:rFonts w:ascii="Abadi" w:hAnsi="Abadi" w:cs="Calibri"/>
                <w:spacing w:val="1"/>
                <w:sz w:val="21"/>
                <w:szCs w:val="21"/>
              </w:rPr>
              <w:t xml:space="preserve"> </w:t>
            </w:r>
            <w:r w:rsidRPr="00401C70">
              <w:rPr>
                <w:rFonts w:ascii="Abadi" w:hAnsi="Abadi" w:cs="Calibri"/>
                <w:sz w:val="21"/>
                <w:szCs w:val="21"/>
              </w:rPr>
              <w:t>se</w:t>
            </w:r>
            <w:r w:rsidRPr="00401C70">
              <w:rPr>
                <w:rFonts w:ascii="Abadi" w:hAnsi="Abadi" w:cs="Calibri"/>
                <w:spacing w:val="-3"/>
                <w:sz w:val="21"/>
                <w:szCs w:val="21"/>
              </w:rPr>
              <w:t xml:space="preserve"> </w:t>
            </w:r>
            <w:r w:rsidRPr="00401C70">
              <w:rPr>
                <w:rFonts w:ascii="Abadi" w:hAnsi="Abadi" w:cs="Calibri"/>
                <w:sz w:val="21"/>
                <w:szCs w:val="21"/>
              </w:rPr>
              <w:t>oponga a</w:t>
            </w:r>
            <w:r w:rsidRPr="00401C70">
              <w:rPr>
                <w:rFonts w:ascii="Abadi" w:hAnsi="Abadi" w:cs="Calibri"/>
                <w:spacing w:val="-1"/>
                <w:sz w:val="21"/>
                <w:szCs w:val="21"/>
              </w:rPr>
              <w:t xml:space="preserve"> </w:t>
            </w:r>
            <w:r w:rsidRPr="00401C70">
              <w:rPr>
                <w:rFonts w:ascii="Abadi" w:hAnsi="Abadi" w:cs="Calibri"/>
                <w:sz w:val="21"/>
                <w:szCs w:val="21"/>
              </w:rPr>
              <w:t>lo</w:t>
            </w:r>
            <w:r w:rsidRPr="00401C70">
              <w:rPr>
                <w:rFonts w:ascii="Abadi" w:hAnsi="Abadi" w:cs="Calibri"/>
                <w:spacing w:val="1"/>
                <w:sz w:val="21"/>
                <w:szCs w:val="21"/>
              </w:rPr>
              <w:t xml:space="preserve"> </w:t>
            </w:r>
            <w:r w:rsidRPr="00401C70">
              <w:rPr>
                <w:rFonts w:ascii="Abadi" w:hAnsi="Abadi" w:cs="Calibri"/>
                <w:sz w:val="21"/>
                <w:szCs w:val="21"/>
              </w:rPr>
              <w:t>dispuesto</w:t>
            </w:r>
            <w:r w:rsidRPr="00401C70">
              <w:rPr>
                <w:rFonts w:ascii="Abadi" w:hAnsi="Abadi" w:cs="Calibri"/>
                <w:spacing w:val="-3"/>
                <w:sz w:val="21"/>
                <w:szCs w:val="21"/>
              </w:rPr>
              <w:t xml:space="preserve"> </w:t>
            </w:r>
            <w:r w:rsidRPr="00401C70">
              <w:rPr>
                <w:rFonts w:ascii="Abadi" w:hAnsi="Abadi" w:cs="Calibri"/>
                <w:sz w:val="21"/>
                <w:szCs w:val="21"/>
              </w:rPr>
              <w:t>por</w:t>
            </w:r>
            <w:r w:rsidRPr="00401C70">
              <w:rPr>
                <w:rFonts w:ascii="Abadi" w:hAnsi="Abadi" w:cs="Calibri"/>
                <w:spacing w:val="-2"/>
                <w:sz w:val="21"/>
                <w:szCs w:val="21"/>
              </w:rPr>
              <w:t xml:space="preserve"> </w:t>
            </w:r>
            <w:r w:rsidRPr="00401C70">
              <w:rPr>
                <w:rFonts w:ascii="Abadi" w:hAnsi="Abadi" w:cs="Calibri"/>
                <w:sz w:val="21"/>
                <w:szCs w:val="21"/>
              </w:rPr>
              <w:t>esta</w:t>
            </w:r>
            <w:r w:rsidRPr="00401C70">
              <w:rPr>
                <w:rFonts w:ascii="Abadi" w:hAnsi="Abadi" w:cs="Calibri"/>
                <w:spacing w:val="-4"/>
                <w:sz w:val="21"/>
                <w:szCs w:val="21"/>
              </w:rPr>
              <w:t xml:space="preserve"> </w:t>
            </w:r>
            <w:r w:rsidRPr="00401C70">
              <w:rPr>
                <w:rFonts w:ascii="Abadi" w:hAnsi="Abadi" w:cs="Calibri"/>
                <w:sz w:val="21"/>
                <w:szCs w:val="21"/>
              </w:rPr>
              <w:t>Ley.</w:t>
            </w:r>
          </w:p>
        </w:tc>
      </w:tr>
      <w:tr w:rsidR="00677B7E" w:rsidRPr="00401C70" w14:paraId="71CA035F" w14:textId="77777777" w:rsidTr="003343AD">
        <w:trPr>
          <w:trHeight w:val="3491"/>
        </w:trPr>
        <w:tc>
          <w:tcPr>
            <w:tcW w:w="2500" w:type="pct"/>
            <w:tcBorders>
              <w:top w:val="none" w:sz="6" w:space="0" w:color="auto"/>
              <w:left w:val="single" w:sz="4" w:space="0" w:color="000000"/>
              <w:bottom w:val="none" w:sz="6" w:space="0" w:color="auto"/>
              <w:right w:val="single" w:sz="4" w:space="0" w:color="000000"/>
            </w:tcBorders>
          </w:tcPr>
          <w:p w14:paraId="145FDBB0" w14:textId="77777777" w:rsidR="00677B7E" w:rsidRPr="00401C70" w:rsidRDefault="00677B7E" w:rsidP="00FA2590">
            <w:pPr>
              <w:kinsoku w:val="0"/>
              <w:overflowPunct w:val="0"/>
              <w:autoSpaceDE w:val="0"/>
              <w:autoSpaceDN w:val="0"/>
              <w:adjustRightInd w:val="0"/>
              <w:spacing w:before="113"/>
              <w:ind w:left="107" w:right="91"/>
              <w:jc w:val="both"/>
              <w:rPr>
                <w:rFonts w:ascii="Abadi" w:hAnsi="Abadi" w:cs="Calibri"/>
                <w:sz w:val="21"/>
                <w:szCs w:val="21"/>
              </w:rPr>
            </w:pP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integrantes</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órgano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gobierno</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47"/>
                <w:sz w:val="21"/>
                <w:szCs w:val="21"/>
              </w:rPr>
              <w:t xml:space="preserve"> </w:t>
            </w:r>
            <w:r w:rsidRPr="00401C70">
              <w:rPr>
                <w:rFonts w:ascii="Abadi" w:hAnsi="Abadi" w:cs="Calibri"/>
                <w:sz w:val="21"/>
                <w:szCs w:val="21"/>
              </w:rPr>
              <w:t>representen</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participación</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47"/>
                <w:sz w:val="21"/>
                <w:szCs w:val="21"/>
              </w:rPr>
              <w:t xml:space="preserve"> </w:t>
            </w:r>
            <w:r w:rsidRPr="00401C70">
              <w:rPr>
                <w:rFonts w:ascii="Abadi" w:hAnsi="Abadi" w:cs="Calibri"/>
                <w:sz w:val="21"/>
                <w:szCs w:val="21"/>
              </w:rPr>
              <w:t>Administración</w:t>
            </w:r>
            <w:r w:rsidRPr="00401C70">
              <w:rPr>
                <w:rFonts w:ascii="Abadi" w:hAnsi="Abadi" w:cs="Calibri"/>
                <w:spacing w:val="1"/>
                <w:sz w:val="21"/>
                <w:szCs w:val="21"/>
              </w:rPr>
              <w:t xml:space="preserve"> </w:t>
            </w:r>
            <w:r w:rsidRPr="00401C70">
              <w:rPr>
                <w:rFonts w:ascii="Abadi" w:hAnsi="Abadi" w:cs="Calibri"/>
                <w:sz w:val="21"/>
                <w:szCs w:val="21"/>
              </w:rPr>
              <w:t>Pública</w:t>
            </w:r>
            <w:r w:rsidRPr="00401C70">
              <w:rPr>
                <w:rFonts w:ascii="Abadi" w:hAnsi="Abadi" w:cs="Calibri"/>
                <w:spacing w:val="1"/>
                <w:sz w:val="21"/>
                <w:szCs w:val="21"/>
              </w:rPr>
              <w:t xml:space="preserve"> </w:t>
            </w:r>
            <w:r w:rsidRPr="00401C70">
              <w:rPr>
                <w:rFonts w:ascii="Abadi" w:hAnsi="Abadi" w:cs="Calibri"/>
                <w:sz w:val="21"/>
                <w:szCs w:val="21"/>
              </w:rPr>
              <w:t>Estatal,</w:t>
            </w:r>
            <w:r w:rsidRPr="00401C70">
              <w:rPr>
                <w:rFonts w:ascii="Abadi" w:hAnsi="Abadi" w:cs="Calibri"/>
                <w:spacing w:val="1"/>
                <w:sz w:val="21"/>
                <w:szCs w:val="21"/>
              </w:rPr>
              <w:t xml:space="preserve"> </w:t>
            </w:r>
            <w:r w:rsidRPr="00401C70">
              <w:rPr>
                <w:rFonts w:ascii="Abadi" w:hAnsi="Abadi" w:cs="Calibri"/>
                <w:sz w:val="21"/>
                <w:szCs w:val="21"/>
              </w:rPr>
              <w:t>podrán</w:t>
            </w:r>
            <w:r w:rsidRPr="00401C70">
              <w:rPr>
                <w:rFonts w:ascii="Abadi" w:hAnsi="Abadi" w:cs="Calibri"/>
                <w:spacing w:val="1"/>
                <w:sz w:val="21"/>
                <w:szCs w:val="21"/>
              </w:rPr>
              <w:t xml:space="preserve"> </w:t>
            </w:r>
            <w:r w:rsidRPr="00401C70">
              <w:rPr>
                <w:rFonts w:ascii="Abadi" w:hAnsi="Abadi" w:cs="Calibri"/>
                <w:sz w:val="21"/>
                <w:szCs w:val="21"/>
              </w:rPr>
              <w:t>ser</w:t>
            </w:r>
            <w:r w:rsidRPr="00401C70">
              <w:rPr>
                <w:rFonts w:ascii="Abadi" w:hAnsi="Abadi" w:cs="Calibri"/>
                <w:spacing w:val="-47"/>
                <w:sz w:val="21"/>
                <w:szCs w:val="21"/>
              </w:rPr>
              <w:t xml:space="preserve"> </w:t>
            </w:r>
            <w:r w:rsidRPr="00401C70">
              <w:rPr>
                <w:rFonts w:ascii="Abadi" w:hAnsi="Abadi" w:cs="Calibri"/>
                <w:sz w:val="21"/>
                <w:szCs w:val="21"/>
              </w:rPr>
              <w:t>servidores públicos del Estado o personas de</w:t>
            </w:r>
            <w:r w:rsidRPr="00401C70">
              <w:rPr>
                <w:rFonts w:ascii="Abadi" w:hAnsi="Abadi" w:cs="Calibri"/>
                <w:spacing w:val="1"/>
                <w:sz w:val="21"/>
                <w:szCs w:val="21"/>
              </w:rPr>
              <w:t xml:space="preserve"> </w:t>
            </w:r>
            <w:r w:rsidRPr="00401C70">
              <w:rPr>
                <w:rFonts w:ascii="Abadi" w:hAnsi="Abadi" w:cs="Calibri"/>
                <w:sz w:val="21"/>
                <w:szCs w:val="21"/>
              </w:rPr>
              <w:t>reconocido prestigio y con experiencia en las</w:t>
            </w:r>
            <w:r w:rsidRPr="00401C70">
              <w:rPr>
                <w:rFonts w:ascii="Abadi" w:hAnsi="Abadi" w:cs="Calibri"/>
                <w:spacing w:val="1"/>
                <w:sz w:val="21"/>
                <w:szCs w:val="21"/>
              </w:rPr>
              <w:t xml:space="preserve"> </w:t>
            </w:r>
            <w:r w:rsidRPr="00401C70">
              <w:rPr>
                <w:rFonts w:ascii="Abadi" w:hAnsi="Abadi" w:cs="Calibri"/>
                <w:sz w:val="21"/>
                <w:szCs w:val="21"/>
              </w:rPr>
              <w:t>actividades propias de la empresa de que se</w:t>
            </w:r>
            <w:r w:rsidRPr="00401C70">
              <w:rPr>
                <w:rFonts w:ascii="Abadi" w:hAnsi="Abadi" w:cs="Calibri"/>
                <w:spacing w:val="1"/>
                <w:sz w:val="21"/>
                <w:szCs w:val="21"/>
              </w:rPr>
              <w:t xml:space="preserve"> </w:t>
            </w:r>
            <w:r w:rsidRPr="00401C70">
              <w:rPr>
                <w:rFonts w:ascii="Abadi" w:hAnsi="Abadi" w:cs="Calibri"/>
                <w:sz w:val="21"/>
                <w:szCs w:val="21"/>
              </w:rPr>
              <w:t>trate,</w:t>
            </w:r>
            <w:r w:rsidRPr="00401C70">
              <w:rPr>
                <w:rFonts w:ascii="Abadi" w:hAnsi="Abadi" w:cs="Calibri"/>
                <w:spacing w:val="-13"/>
                <w:sz w:val="21"/>
                <w:szCs w:val="21"/>
              </w:rPr>
              <w:t xml:space="preserve"> </w:t>
            </w:r>
            <w:r w:rsidRPr="00401C70">
              <w:rPr>
                <w:rFonts w:ascii="Abadi" w:hAnsi="Abadi" w:cs="Calibri"/>
                <w:sz w:val="21"/>
                <w:szCs w:val="21"/>
              </w:rPr>
              <w:t>y</w:t>
            </w:r>
            <w:r w:rsidRPr="00401C70">
              <w:rPr>
                <w:rFonts w:ascii="Abadi" w:hAnsi="Abadi" w:cs="Calibri"/>
                <w:spacing w:val="-11"/>
                <w:sz w:val="21"/>
                <w:szCs w:val="21"/>
              </w:rPr>
              <w:t xml:space="preserve"> </w:t>
            </w:r>
            <w:r w:rsidRPr="00401C70">
              <w:rPr>
                <w:rFonts w:ascii="Abadi" w:hAnsi="Abadi" w:cs="Calibri"/>
                <w:sz w:val="21"/>
                <w:szCs w:val="21"/>
              </w:rPr>
              <w:t>serán</w:t>
            </w:r>
            <w:r w:rsidRPr="00401C70">
              <w:rPr>
                <w:rFonts w:ascii="Abadi" w:hAnsi="Abadi" w:cs="Calibri"/>
                <w:spacing w:val="-12"/>
                <w:sz w:val="21"/>
                <w:szCs w:val="21"/>
              </w:rPr>
              <w:t xml:space="preserve"> </w:t>
            </w:r>
            <w:r w:rsidRPr="00401C70">
              <w:rPr>
                <w:rFonts w:ascii="Abadi" w:hAnsi="Abadi" w:cs="Calibri"/>
                <w:sz w:val="21"/>
                <w:szCs w:val="21"/>
              </w:rPr>
              <w:t>designados</w:t>
            </w:r>
            <w:r w:rsidRPr="00401C70">
              <w:rPr>
                <w:rFonts w:ascii="Abadi" w:hAnsi="Abadi" w:cs="Calibri"/>
                <w:spacing w:val="-12"/>
                <w:sz w:val="21"/>
                <w:szCs w:val="21"/>
              </w:rPr>
              <w:t xml:space="preserve"> </w:t>
            </w:r>
            <w:r w:rsidRPr="00401C70">
              <w:rPr>
                <w:rFonts w:ascii="Abadi" w:hAnsi="Abadi" w:cs="Calibri"/>
                <w:sz w:val="21"/>
                <w:szCs w:val="21"/>
              </w:rPr>
              <w:t>por</w:t>
            </w:r>
            <w:r w:rsidRPr="00401C70">
              <w:rPr>
                <w:rFonts w:ascii="Abadi" w:hAnsi="Abadi" w:cs="Calibri"/>
                <w:spacing w:val="-12"/>
                <w:sz w:val="21"/>
                <w:szCs w:val="21"/>
              </w:rPr>
              <w:t xml:space="preserve"> </w:t>
            </w:r>
            <w:r w:rsidRPr="00401C70">
              <w:rPr>
                <w:rFonts w:ascii="Abadi" w:hAnsi="Abadi" w:cs="Calibri"/>
                <w:sz w:val="21"/>
                <w:szCs w:val="21"/>
              </w:rPr>
              <w:t>el</w:t>
            </w:r>
            <w:r w:rsidRPr="00401C70">
              <w:rPr>
                <w:rFonts w:ascii="Abadi" w:hAnsi="Abadi" w:cs="Calibri"/>
                <w:spacing w:val="-9"/>
                <w:sz w:val="21"/>
                <w:szCs w:val="21"/>
              </w:rPr>
              <w:t xml:space="preserve"> </w:t>
            </w:r>
            <w:r w:rsidRPr="00401C70">
              <w:rPr>
                <w:rFonts w:ascii="Abadi" w:hAnsi="Abadi" w:cs="Calibri"/>
                <w:sz w:val="21"/>
                <w:szCs w:val="21"/>
              </w:rPr>
              <w:t>Gobernador</w:t>
            </w:r>
            <w:r w:rsidRPr="00401C70">
              <w:rPr>
                <w:rFonts w:ascii="Abadi" w:hAnsi="Abadi" w:cs="Calibri"/>
                <w:spacing w:val="-12"/>
                <w:sz w:val="21"/>
                <w:szCs w:val="21"/>
              </w:rPr>
              <w:t xml:space="preserve"> </w:t>
            </w:r>
            <w:r w:rsidRPr="00401C70">
              <w:rPr>
                <w:rFonts w:ascii="Abadi" w:hAnsi="Abadi" w:cs="Calibri"/>
                <w:sz w:val="21"/>
                <w:szCs w:val="21"/>
              </w:rPr>
              <w:t>del</w:t>
            </w:r>
            <w:r w:rsidRPr="00401C70">
              <w:rPr>
                <w:rFonts w:ascii="Abadi" w:hAnsi="Abadi" w:cs="Calibri"/>
                <w:spacing w:val="-48"/>
                <w:sz w:val="21"/>
                <w:szCs w:val="21"/>
              </w:rPr>
              <w:t xml:space="preserve"> </w:t>
            </w:r>
            <w:r w:rsidRPr="00401C70">
              <w:rPr>
                <w:rFonts w:ascii="Abadi" w:hAnsi="Abadi" w:cs="Calibri"/>
                <w:sz w:val="21"/>
                <w:szCs w:val="21"/>
              </w:rPr>
              <w:t>Estado</w:t>
            </w:r>
            <w:r w:rsidRPr="00401C70">
              <w:rPr>
                <w:rFonts w:ascii="Abadi" w:hAnsi="Abadi" w:cs="Calibri"/>
                <w:spacing w:val="-4"/>
                <w:sz w:val="21"/>
                <w:szCs w:val="21"/>
              </w:rPr>
              <w:t xml:space="preserve"> </w:t>
            </w:r>
            <w:r w:rsidRPr="00401C70">
              <w:rPr>
                <w:rFonts w:ascii="Abadi" w:hAnsi="Abadi" w:cs="Calibri"/>
                <w:sz w:val="21"/>
                <w:szCs w:val="21"/>
              </w:rPr>
              <w:t>directamente</w:t>
            </w:r>
            <w:r w:rsidRPr="00401C70">
              <w:rPr>
                <w:rFonts w:ascii="Abadi" w:hAnsi="Abadi" w:cs="Calibri"/>
                <w:spacing w:val="-5"/>
                <w:sz w:val="21"/>
                <w:szCs w:val="21"/>
              </w:rPr>
              <w:t xml:space="preserve"> </w:t>
            </w:r>
            <w:r w:rsidRPr="00401C70">
              <w:rPr>
                <w:rFonts w:ascii="Abadi" w:hAnsi="Abadi" w:cs="Calibri"/>
                <w:sz w:val="21"/>
                <w:szCs w:val="21"/>
              </w:rPr>
              <w:t>o</w:t>
            </w:r>
            <w:r w:rsidRPr="00401C70">
              <w:rPr>
                <w:rFonts w:ascii="Abadi" w:hAnsi="Abadi" w:cs="Calibri"/>
                <w:spacing w:val="-2"/>
                <w:sz w:val="21"/>
                <w:szCs w:val="21"/>
              </w:rPr>
              <w:t xml:space="preserve"> </w:t>
            </w:r>
            <w:r w:rsidRPr="00401C70">
              <w:rPr>
                <w:rFonts w:ascii="Abadi" w:hAnsi="Abadi" w:cs="Calibri"/>
                <w:sz w:val="21"/>
                <w:szCs w:val="21"/>
              </w:rPr>
              <w:t>a</w:t>
            </w:r>
            <w:r w:rsidRPr="00401C70">
              <w:rPr>
                <w:rFonts w:ascii="Abadi" w:hAnsi="Abadi" w:cs="Calibri"/>
                <w:spacing w:val="-6"/>
                <w:sz w:val="21"/>
                <w:szCs w:val="21"/>
              </w:rPr>
              <w:t xml:space="preserve"> </w:t>
            </w:r>
            <w:r w:rsidRPr="00401C70">
              <w:rPr>
                <w:rFonts w:ascii="Abadi" w:hAnsi="Abadi" w:cs="Calibri"/>
                <w:sz w:val="21"/>
                <w:szCs w:val="21"/>
              </w:rPr>
              <w:t>través</w:t>
            </w:r>
            <w:r w:rsidRPr="00401C70">
              <w:rPr>
                <w:rFonts w:ascii="Abadi" w:hAnsi="Abadi" w:cs="Calibri"/>
                <w:spacing w:val="-2"/>
                <w:sz w:val="21"/>
                <w:szCs w:val="21"/>
              </w:rPr>
              <w:t xml:space="preserve"> </w:t>
            </w:r>
            <w:r w:rsidRPr="00401C70">
              <w:rPr>
                <w:rFonts w:ascii="Abadi" w:hAnsi="Abadi" w:cs="Calibri"/>
                <w:sz w:val="21"/>
                <w:szCs w:val="21"/>
              </w:rPr>
              <w:t>de</w:t>
            </w:r>
            <w:r w:rsidRPr="00401C70">
              <w:rPr>
                <w:rFonts w:ascii="Abadi" w:hAnsi="Abadi" w:cs="Calibri"/>
                <w:spacing w:val="-3"/>
                <w:sz w:val="21"/>
                <w:szCs w:val="21"/>
              </w:rPr>
              <w:t xml:space="preserve"> </w:t>
            </w:r>
            <w:r w:rsidRPr="00401C70">
              <w:rPr>
                <w:rFonts w:ascii="Abadi" w:hAnsi="Abadi" w:cs="Calibri"/>
                <w:sz w:val="21"/>
                <w:szCs w:val="21"/>
              </w:rPr>
              <w:t>la</w:t>
            </w:r>
            <w:r w:rsidRPr="00401C70">
              <w:rPr>
                <w:rFonts w:ascii="Abadi" w:hAnsi="Abadi" w:cs="Calibri"/>
                <w:spacing w:val="-4"/>
                <w:sz w:val="21"/>
                <w:szCs w:val="21"/>
              </w:rPr>
              <w:t xml:space="preserve"> </w:t>
            </w:r>
            <w:r w:rsidRPr="00401C70">
              <w:rPr>
                <w:rFonts w:ascii="Abadi" w:hAnsi="Abadi" w:cs="Calibri"/>
                <w:sz w:val="21"/>
                <w:szCs w:val="21"/>
              </w:rPr>
              <w:t>Secretaría</w:t>
            </w:r>
            <w:r w:rsidRPr="00401C70">
              <w:rPr>
                <w:rFonts w:ascii="Abadi" w:hAnsi="Abadi" w:cs="Calibri"/>
                <w:spacing w:val="-47"/>
                <w:sz w:val="21"/>
                <w:szCs w:val="21"/>
              </w:rPr>
              <w:t xml:space="preserve"> </w:t>
            </w:r>
            <w:r w:rsidRPr="00401C70">
              <w:rPr>
                <w:rFonts w:ascii="Abadi" w:hAnsi="Abadi" w:cs="Calibri"/>
                <w:sz w:val="21"/>
                <w:szCs w:val="21"/>
              </w:rPr>
              <w:t>coordinadora</w:t>
            </w:r>
            <w:r w:rsidRPr="00401C70">
              <w:rPr>
                <w:rFonts w:ascii="Abadi" w:hAnsi="Abadi" w:cs="Calibri"/>
                <w:spacing w:val="-5"/>
                <w:sz w:val="21"/>
                <w:szCs w:val="21"/>
              </w:rPr>
              <w:t xml:space="preserve"> </w:t>
            </w:r>
            <w:r w:rsidRPr="00401C70">
              <w:rPr>
                <w:rFonts w:ascii="Abadi" w:hAnsi="Abadi" w:cs="Calibri"/>
                <w:sz w:val="21"/>
                <w:szCs w:val="21"/>
              </w:rPr>
              <w:t>de</w:t>
            </w:r>
            <w:r w:rsidRPr="00401C70">
              <w:rPr>
                <w:rFonts w:ascii="Abadi" w:hAnsi="Abadi" w:cs="Calibri"/>
                <w:spacing w:val="-6"/>
                <w:sz w:val="21"/>
                <w:szCs w:val="21"/>
              </w:rPr>
              <w:t xml:space="preserve"> </w:t>
            </w:r>
            <w:r w:rsidRPr="00401C70">
              <w:rPr>
                <w:rFonts w:ascii="Abadi" w:hAnsi="Abadi" w:cs="Calibri"/>
                <w:sz w:val="21"/>
                <w:szCs w:val="21"/>
              </w:rPr>
              <w:t>sector,</w:t>
            </w:r>
            <w:r w:rsidRPr="00401C70">
              <w:rPr>
                <w:rFonts w:ascii="Abadi" w:hAnsi="Abadi" w:cs="Calibri"/>
                <w:spacing w:val="-4"/>
                <w:sz w:val="21"/>
                <w:szCs w:val="21"/>
              </w:rPr>
              <w:t xml:space="preserve"> </w:t>
            </w:r>
            <w:r w:rsidRPr="00401C70">
              <w:rPr>
                <w:rFonts w:ascii="Abadi" w:hAnsi="Abadi" w:cs="Calibri"/>
                <w:sz w:val="21"/>
                <w:szCs w:val="21"/>
              </w:rPr>
              <w:t>debiendo</w:t>
            </w:r>
            <w:r w:rsidRPr="00401C70">
              <w:rPr>
                <w:rFonts w:ascii="Abadi" w:hAnsi="Abadi" w:cs="Calibri"/>
                <w:spacing w:val="-3"/>
                <w:sz w:val="21"/>
                <w:szCs w:val="21"/>
              </w:rPr>
              <w:t xml:space="preserve"> </w:t>
            </w:r>
            <w:r w:rsidRPr="00401C70">
              <w:rPr>
                <w:rFonts w:ascii="Abadi" w:hAnsi="Abadi" w:cs="Calibri"/>
                <w:sz w:val="21"/>
                <w:szCs w:val="21"/>
              </w:rPr>
              <w:t>constituir</w:t>
            </w:r>
            <w:r w:rsidRPr="00401C70">
              <w:rPr>
                <w:rFonts w:ascii="Abadi" w:hAnsi="Abadi" w:cs="Calibri"/>
                <w:spacing w:val="-6"/>
                <w:sz w:val="21"/>
                <w:szCs w:val="21"/>
              </w:rPr>
              <w:t xml:space="preserve"> </w:t>
            </w:r>
            <w:r w:rsidRPr="00401C70">
              <w:rPr>
                <w:rFonts w:ascii="Abadi" w:hAnsi="Abadi" w:cs="Calibri"/>
                <w:sz w:val="21"/>
                <w:szCs w:val="21"/>
              </w:rPr>
              <w:t>en</w:t>
            </w:r>
            <w:r w:rsidRPr="00401C70">
              <w:rPr>
                <w:rFonts w:ascii="Abadi" w:hAnsi="Abadi" w:cs="Calibri"/>
                <w:spacing w:val="-48"/>
                <w:sz w:val="21"/>
                <w:szCs w:val="21"/>
              </w:rPr>
              <w:t xml:space="preserve"> </w:t>
            </w:r>
            <w:r w:rsidRPr="00401C70">
              <w:rPr>
                <w:rFonts w:ascii="Abadi" w:hAnsi="Abadi" w:cs="Calibri"/>
                <w:sz w:val="21"/>
                <w:szCs w:val="21"/>
              </w:rPr>
              <w:t>todo</w:t>
            </w:r>
            <w:r w:rsidRPr="00401C70">
              <w:rPr>
                <w:rFonts w:ascii="Abadi" w:hAnsi="Abadi" w:cs="Calibri"/>
                <w:spacing w:val="1"/>
                <w:sz w:val="21"/>
                <w:szCs w:val="21"/>
              </w:rPr>
              <w:t xml:space="preserve"> </w:t>
            </w:r>
            <w:r w:rsidRPr="00401C70">
              <w:rPr>
                <w:rFonts w:ascii="Abadi" w:hAnsi="Abadi" w:cs="Calibri"/>
                <w:sz w:val="21"/>
                <w:szCs w:val="21"/>
              </w:rPr>
              <w:t>tiempo</w:t>
            </w:r>
            <w:r w:rsidRPr="00401C70">
              <w:rPr>
                <w:rFonts w:ascii="Abadi" w:hAnsi="Abadi" w:cs="Calibri"/>
                <w:spacing w:val="1"/>
                <w:sz w:val="21"/>
                <w:szCs w:val="21"/>
              </w:rPr>
              <w:t xml:space="preserve"> </w:t>
            </w:r>
            <w:r w:rsidRPr="00401C70">
              <w:rPr>
                <w:rFonts w:ascii="Abadi" w:hAnsi="Abadi" w:cs="Calibri"/>
                <w:sz w:val="21"/>
                <w:szCs w:val="21"/>
              </w:rPr>
              <w:t>cuando</w:t>
            </w:r>
            <w:r w:rsidRPr="00401C70">
              <w:rPr>
                <w:rFonts w:ascii="Abadi" w:hAnsi="Abadi" w:cs="Calibri"/>
                <w:spacing w:val="1"/>
                <w:sz w:val="21"/>
                <w:szCs w:val="21"/>
              </w:rPr>
              <w:t xml:space="preserve"> </w:t>
            </w:r>
            <w:r w:rsidRPr="00401C70">
              <w:rPr>
                <w:rFonts w:ascii="Abadi" w:hAnsi="Abadi" w:cs="Calibri"/>
                <w:sz w:val="21"/>
                <w:szCs w:val="21"/>
              </w:rPr>
              <w:t>menos</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mitad</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lastRenderedPageBreak/>
              <w:t>los</w:t>
            </w:r>
            <w:r w:rsidRPr="00401C70">
              <w:rPr>
                <w:rFonts w:ascii="Abadi" w:hAnsi="Abadi" w:cs="Calibri"/>
                <w:spacing w:val="-47"/>
                <w:sz w:val="21"/>
                <w:szCs w:val="21"/>
              </w:rPr>
              <w:t xml:space="preserve"> </w:t>
            </w:r>
            <w:r w:rsidRPr="00401C70">
              <w:rPr>
                <w:rFonts w:ascii="Abadi" w:hAnsi="Abadi" w:cs="Calibri"/>
                <w:sz w:val="21"/>
                <w:szCs w:val="21"/>
              </w:rPr>
              <w:t>miembros</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2"/>
                <w:sz w:val="21"/>
                <w:szCs w:val="21"/>
              </w:rPr>
              <w:t xml:space="preserve"> </w:t>
            </w:r>
            <w:r w:rsidRPr="00401C70">
              <w:rPr>
                <w:rFonts w:ascii="Abadi" w:hAnsi="Abadi" w:cs="Calibri"/>
                <w:sz w:val="21"/>
                <w:szCs w:val="21"/>
              </w:rPr>
              <w:t>órgano</w:t>
            </w:r>
            <w:r w:rsidRPr="00401C70">
              <w:rPr>
                <w:rFonts w:ascii="Abadi" w:hAnsi="Abadi" w:cs="Calibri"/>
                <w:spacing w:val="-2"/>
                <w:sz w:val="21"/>
                <w:szCs w:val="21"/>
              </w:rPr>
              <w:t xml:space="preserve"> </w:t>
            </w:r>
            <w:r w:rsidRPr="00401C70">
              <w:rPr>
                <w:rFonts w:ascii="Abadi" w:hAnsi="Abadi" w:cs="Calibri"/>
                <w:sz w:val="21"/>
                <w:szCs w:val="21"/>
              </w:rPr>
              <w:t>de gobierno.</w:t>
            </w:r>
          </w:p>
        </w:tc>
        <w:tc>
          <w:tcPr>
            <w:tcW w:w="2500" w:type="pct"/>
            <w:tcBorders>
              <w:top w:val="none" w:sz="6" w:space="0" w:color="auto"/>
              <w:left w:val="single" w:sz="4" w:space="0" w:color="000000"/>
              <w:bottom w:val="none" w:sz="6" w:space="0" w:color="auto"/>
              <w:right w:val="single" w:sz="4" w:space="0" w:color="000000"/>
            </w:tcBorders>
          </w:tcPr>
          <w:p w14:paraId="3C7BBB37" w14:textId="77777777" w:rsidR="00677B7E" w:rsidRPr="00401C70" w:rsidRDefault="00677B7E" w:rsidP="00FA2590">
            <w:pPr>
              <w:kinsoku w:val="0"/>
              <w:overflowPunct w:val="0"/>
              <w:autoSpaceDE w:val="0"/>
              <w:autoSpaceDN w:val="0"/>
              <w:adjustRightInd w:val="0"/>
              <w:spacing w:before="113"/>
              <w:ind w:left="107" w:right="91"/>
              <w:jc w:val="both"/>
              <w:rPr>
                <w:rFonts w:ascii="Abadi" w:hAnsi="Abadi" w:cs="Calibri"/>
                <w:sz w:val="21"/>
                <w:szCs w:val="21"/>
              </w:rPr>
            </w:pPr>
            <w:r w:rsidRPr="00401C70">
              <w:rPr>
                <w:rFonts w:ascii="Abadi" w:hAnsi="Abadi" w:cs="Calibri"/>
                <w:b/>
                <w:bCs/>
                <w:i/>
                <w:iCs/>
                <w:sz w:val="21"/>
                <w:szCs w:val="21"/>
              </w:rPr>
              <w:lastRenderedPageBreak/>
              <w:t>Las</w:t>
            </w:r>
            <w:r w:rsidRPr="00401C70">
              <w:rPr>
                <w:rFonts w:ascii="Abadi" w:hAnsi="Abadi" w:cs="Calibri"/>
                <w:b/>
                <w:bCs/>
                <w:i/>
                <w:iCs/>
                <w:spacing w:val="1"/>
                <w:sz w:val="21"/>
                <w:szCs w:val="21"/>
              </w:rPr>
              <w:t xml:space="preserve"> </w:t>
            </w:r>
            <w:r w:rsidRPr="00401C70">
              <w:rPr>
                <w:rFonts w:ascii="Abadi" w:hAnsi="Abadi" w:cs="Calibri"/>
                <w:b/>
                <w:bCs/>
                <w:i/>
                <w:iCs/>
                <w:sz w:val="21"/>
                <w:szCs w:val="21"/>
              </w:rPr>
              <w:t>personas</w:t>
            </w:r>
            <w:r w:rsidRPr="00401C70">
              <w:rPr>
                <w:rFonts w:ascii="Abadi" w:hAnsi="Abadi" w:cs="Calibri"/>
                <w:b/>
                <w:bCs/>
                <w:i/>
                <w:iCs/>
                <w:spacing w:val="1"/>
                <w:sz w:val="21"/>
                <w:szCs w:val="21"/>
              </w:rPr>
              <w:t xml:space="preserve"> </w:t>
            </w:r>
            <w:r w:rsidRPr="00401C70">
              <w:rPr>
                <w:rFonts w:ascii="Abadi" w:hAnsi="Abadi" w:cs="Calibri"/>
                <w:sz w:val="21"/>
                <w:szCs w:val="21"/>
              </w:rPr>
              <w:t>integrantes</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órgano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gobierno</w:t>
            </w:r>
            <w:r w:rsidRPr="00401C70">
              <w:rPr>
                <w:rFonts w:ascii="Abadi" w:hAnsi="Abadi" w:cs="Calibri"/>
                <w:spacing w:val="-7"/>
                <w:sz w:val="21"/>
                <w:szCs w:val="21"/>
              </w:rPr>
              <w:t xml:space="preserve"> </w:t>
            </w:r>
            <w:r w:rsidRPr="00401C70">
              <w:rPr>
                <w:rFonts w:ascii="Abadi" w:hAnsi="Abadi" w:cs="Calibri"/>
                <w:sz w:val="21"/>
                <w:szCs w:val="21"/>
              </w:rPr>
              <w:t>que</w:t>
            </w:r>
            <w:r w:rsidRPr="00401C70">
              <w:rPr>
                <w:rFonts w:ascii="Abadi" w:hAnsi="Abadi" w:cs="Calibri"/>
                <w:spacing w:val="-7"/>
                <w:sz w:val="21"/>
                <w:szCs w:val="21"/>
              </w:rPr>
              <w:t xml:space="preserve"> </w:t>
            </w:r>
            <w:r w:rsidRPr="00401C70">
              <w:rPr>
                <w:rFonts w:ascii="Abadi" w:hAnsi="Abadi" w:cs="Calibri"/>
                <w:sz w:val="21"/>
                <w:szCs w:val="21"/>
              </w:rPr>
              <w:t>representen</w:t>
            </w:r>
            <w:r w:rsidRPr="00401C70">
              <w:rPr>
                <w:rFonts w:ascii="Abadi" w:hAnsi="Abadi" w:cs="Calibri"/>
                <w:spacing w:val="-8"/>
                <w:sz w:val="21"/>
                <w:szCs w:val="21"/>
              </w:rPr>
              <w:t xml:space="preserve"> </w:t>
            </w:r>
            <w:r w:rsidRPr="00401C70">
              <w:rPr>
                <w:rFonts w:ascii="Abadi" w:hAnsi="Abadi" w:cs="Calibri"/>
                <w:sz w:val="21"/>
                <w:szCs w:val="21"/>
              </w:rPr>
              <w:t>la</w:t>
            </w:r>
            <w:r w:rsidRPr="00401C70">
              <w:rPr>
                <w:rFonts w:ascii="Abadi" w:hAnsi="Abadi" w:cs="Calibri"/>
                <w:spacing w:val="-8"/>
                <w:sz w:val="21"/>
                <w:szCs w:val="21"/>
              </w:rPr>
              <w:t xml:space="preserve"> </w:t>
            </w:r>
            <w:r w:rsidRPr="00401C70">
              <w:rPr>
                <w:rFonts w:ascii="Abadi" w:hAnsi="Abadi" w:cs="Calibri"/>
                <w:sz w:val="21"/>
                <w:szCs w:val="21"/>
              </w:rPr>
              <w:t>participación</w:t>
            </w:r>
            <w:r w:rsidRPr="00401C70">
              <w:rPr>
                <w:rFonts w:ascii="Abadi" w:hAnsi="Abadi" w:cs="Calibri"/>
                <w:spacing w:val="-9"/>
                <w:sz w:val="21"/>
                <w:szCs w:val="21"/>
              </w:rPr>
              <w:t xml:space="preserve"> </w:t>
            </w:r>
            <w:r w:rsidRPr="00401C70">
              <w:rPr>
                <w:rFonts w:ascii="Abadi" w:hAnsi="Abadi" w:cs="Calibri"/>
                <w:sz w:val="21"/>
                <w:szCs w:val="21"/>
              </w:rPr>
              <w:t>de</w:t>
            </w:r>
            <w:r w:rsidRPr="00401C70">
              <w:rPr>
                <w:rFonts w:ascii="Abadi" w:hAnsi="Abadi" w:cs="Calibri"/>
                <w:spacing w:val="-7"/>
                <w:sz w:val="21"/>
                <w:szCs w:val="21"/>
              </w:rPr>
              <w:t xml:space="preserve"> </w:t>
            </w:r>
            <w:r w:rsidRPr="00401C70">
              <w:rPr>
                <w:rFonts w:ascii="Abadi" w:hAnsi="Abadi" w:cs="Calibri"/>
                <w:sz w:val="21"/>
                <w:szCs w:val="21"/>
              </w:rPr>
              <w:t>la</w:t>
            </w:r>
            <w:r w:rsidRPr="00401C70">
              <w:rPr>
                <w:rFonts w:ascii="Abadi" w:hAnsi="Abadi" w:cs="Calibri"/>
                <w:spacing w:val="-47"/>
                <w:sz w:val="21"/>
                <w:szCs w:val="21"/>
              </w:rPr>
              <w:t xml:space="preserve"> </w:t>
            </w:r>
            <w:r w:rsidRPr="00401C70">
              <w:rPr>
                <w:rFonts w:ascii="Abadi" w:hAnsi="Abadi" w:cs="Calibri"/>
                <w:sz w:val="21"/>
                <w:szCs w:val="21"/>
              </w:rPr>
              <w:t>Administración</w:t>
            </w:r>
            <w:r w:rsidRPr="00401C70">
              <w:rPr>
                <w:rFonts w:ascii="Abadi" w:hAnsi="Abadi" w:cs="Calibri"/>
                <w:spacing w:val="1"/>
                <w:sz w:val="21"/>
                <w:szCs w:val="21"/>
              </w:rPr>
              <w:t xml:space="preserve"> </w:t>
            </w:r>
            <w:r w:rsidRPr="00401C70">
              <w:rPr>
                <w:rFonts w:ascii="Abadi" w:hAnsi="Abadi" w:cs="Calibri"/>
                <w:sz w:val="21"/>
                <w:szCs w:val="21"/>
              </w:rPr>
              <w:t>Pública</w:t>
            </w:r>
            <w:r w:rsidRPr="00401C70">
              <w:rPr>
                <w:rFonts w:ascii="Abadi" w:hAnsi="Abadi" w:cs="Calibri"/>
                <w:spacing w:val="1"/>
                <w:sz w:val="21"/>
                <w:szCs w:val="21"/>
              </w:rPr>
              <w:t xml:space="preserve"> </w:t>
            </w:r>
            <w:r w:rsidRPr="00401C70">
              <w:rPr>
                <w:rFonts w:ascii="Abadi" w:hAnsi="Abadi" w:cs="Calibri"/>
                <w:sz w:val="21"/>
                <w:szCs w:val="21"/>
              </w:rPr>
              <w:t>Estatal,</w:t>
            </w:r>
            <w:r w:rsidRPr="00401C70">
              <w:rPr>
                <w:rFonts w:ascii="Abadi" w:hAnsi="Abadi" w:cs="Calibri"/>
                <w:spacing w:val="1"/>
                <w:sz w:val="21"/>
                <w:szCs w:val="21"/>
              </w:rPr>
              <w:t xml:space="preserve"> </w:t>
            </w:r>
            <w:r w:rsidRPr="00401C70">
              <w:rPr>
                <w:rFonts w:ascii="Abadi" w:hAnsi="Abadi" w:cs="Calibri"/>
                <w:sz w:val="21"/>
                <w:szCs w:val="21"/>
              </w:rPr>
              <w:t>podrán</w:t>
            </w:r>
            <w:r w:rsidRPr="00401C70">
              <w:rPr>
                <w:rFonts w:ascii="Abadi" w:hAnsi="Abadi" w:cs="Calibri"/>
                <w:spacing w:val="1"/>
                <w:sz w:val="21"/>
                <w:szCs w:val="21"/>
              </w:rPr>
              <w:t xml:space="preserve"> </w:t>
            </w:r>
            <w:r w:rsidRPr="00401C70">
              <w:rPr>
                <w:rFonts w:ascii="Abadi" w:hAnsi="Abadi" w:cs="Calibri"/>
                <w:sz w:val="21"/>
                <w:szCs w:val="21"/>
              </w:rPr>
              <w:t>ser</w:t>
            </w:r>
            <w:r w:rsidRPr="00401C70">
              <w:rPr>
                <w:rFonts w:ascii="Abadi" w:hAnsi="Abadi" w:cs="Calibri"/>
                <w:spacing w:val="-47"/>
                <w:sz w:val="21"/>
                <w:szCs w:val="21"/>
              </w:rPr>
              <w:t xml:space="preserve"> </w:t>
            </w:r>
            <w:r w:rsidRPr="00401C70">
              <w:rPr>
                <w:rFonts w:ascii="Abadi" w:hAnsi="Abadi" w:cs="Calibri"/>
                <w:b/>
                <w:bCs/>
                <w:i/>
                <w:iCs/>
                <w:sz w:val="21"/>
                <w:szCs w:val="21"/>
              </w:rPr>
              <w:t xml:space="preserve">servidoras públicas </w:t>
            </w:r>
            <w:r w:rsidRPr="00401C70">
              <w:rPr>
                <w:rFonts w:ascii="Abadi" w:hAnsi="Abadi" w:cs="Calibri"/>
                <w:sz w:val="21"/>
                <w:szCs w:val="21"/>
              </w:rPr>
              <w:t>del Estado o personas de</w:t>
            </w:r>
            <w:r w:rsidRPr="00401C70">
              <w:rPr>
                <w:rFonts w:ascii="Abadi" w:hAnsi="Abadi" w:cs="Calibri"/>
                <w:spacing w:val="1"/>
                <w:sz w:val="21"/>
                <w:szCs w:val="21"/>
              </w:rPr>
              <w:t xml:space="preserve"> </w:t>
            </w:r>
            <w:r w:rsidRPr="00401C70">
              <w:rPr>
                <w:rFonts w:ascii="Abadi" w:hAnsi="Abadi" w:cs="Calibri"/>
                <w:sz w:val="21"/>
                <w:szCs w:val="21"/>
              </w:rPr>
              <w:t>reconocido prestigio y con experiencia en las</w:t>
            </w:r>
            <w:r w:rsidRPr="00401C70">
              <w:rPr>
                <w:rFonts w:ascii="Abadi" w:hAnsi="Abadi" w:cs="Calibri"/>
                <w:spacing w:val="1"/>
                <w:sz w:val="21"/>
                <w:szCs w:val="21"/>
              </w:rPr>
              <w:t xml:space="preserve"> </w:t>
            </w:r>
            <w:r w:rsidRPr="00401C70">
              <w:rPr>
                <w:rFonts w:ascii="Abadi" w:hAnsi="Abadi" w:cs="Calibri"/>
                <w:sz w:val="21"/>
                <w:szCs w:val="21"/>
              </w:rPr>
              <w:t>actividades propias de la empresa de que se</w:t>
            </w:r>
            <w:r w:rsidRPr="00401C70">
              <w:rPr>
                <w:rFonts w:ascii="Abadi" w:hAnsi="Abadi" w:cs="Calibri"/>
                <w:spacing w:val="1"/>
                <w:sz w:val="21"/>
                <w:szCs w:val="21"/>
              </w:rPr>
              <w:t xml:space="preserve"> </w:t>
            </w:r>
            <w:r w:rsidRPr="00401C70">
              <w:rPr>
                <w:rFonts w:ascii="Abadi" w:hAnsi="Abadi" w:cs="Calibri"/>
                <w:sz w:val="21"/>
                <w:szCs w:val="21"/>
              </w:rPr>
              <w:t xml:space="preserve">trate, y serán </w:t>
            </w:r>
            <w:r w:rsidRPr="00401C70">
              <w:rPr>
                <w:rFonts w:ascii="Abadi" w:hAnsi="Abadi" w:cs="Calibri"/>
                <w:b/>
                <w:bCs/>
                <w:i/>
                <w:iCs/>
                <w:sz w:val="21"/>
                <w:szCs w:val="21"/>
              </w:rPr>
              <w:t xml:space="preserve">designadas </w:t>
            </w:r>
            <w:r w:rsidRPr="00401C70">
              <w:rPr>
                <w:rFonts w:ascii="Abadi" w:hAnsi="Abadi" w:cs="Calibri"/>
                <w:sz w:val="21"/>
                <w:szCs w:val="21"/>
              </w:rPr>
              <w:t>por el Gobernador</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Estado</w:t>
            </w:r>
            <w:r w:rsidRPr="00401C70">
              <w:rPr>
                <w:rFonts w:ascii="Abadi" w:hAnsi="Abadi" w:cs="Calibri"/>
                <w:spacing w:val="1"/>
                <w:sz w:val="21"/>
                <w:szCs w:val="21"/>
              </w:rPr>
              <w:t xml:space="preserve"> </w:t>
            </w:r>
            <w:r w:rsidRPr="00401C70">
              <w:rPr>
                <w:rFonts w:ascii="Abadi" w:hAnsi="Abadi" w:cs="Calibri"/>
                <w:sz w:val="21"/>
                <w:szCs w:val="21"/>
              </w:rPr>
              <w:t>directamente</w:t>
            </w:r>
            <w:r w:rsidRPr="00401C70">
              <w:rPr>
                <w:rFonts w:ascii="Abadi" w:hAnsi="Abadi" w:cs="Calibri"/>
                <w:spacing w:val="1"/>
                <w:sz w:val="21"/>
                <w:szCs w:val="21"/>
              </w:rPr>
              <w:t xml:space="preserve"> </w:t>
            </w:r>
            <w:r w:rsidRPr="00401C70">
              <w:rPr>
                <w:rFonts w:ascii="Abadi" w:hAnsi="Abadi" w:cs="Calibri"/>
                <w:sz w:val="21"/>
                <w:szCs w:val="21"/>
              </w:rPr>
              <w:t>o</w:t>
            </w:r>
            <w:r w:rsidRPr="00401C70">
              <w:rPr>
                <w:rFonts w:ascii="Abadi" w:hAnsi="Abadi" w:cs="Calibri"/>
                <w:spacing w:val="1"/>
                <w:sz w:val="21"/>
                <w:szCs w:val="21"/>
              </w:rPr>
              <w:t xml:space="preserve"> </w:t>
            </w:r>
            <w:r w:rsidRPr="00401C70">
              <w:rPr>
                <w:rFonts w:ascii="Abadi" w:hAnsi="Abadi" w:cs="Calibri"/>
                <w:sz w:val="21"/>
                <w:szCs w:val="21"/>
              </w:rPr>
              <w:t>a</w:t>
            </w:r>
            <w:r w:rsidRPr="00401C70">
              <w:rPr>
                <w:rFonts w:ascii="Abadi" w:hAnsi="Abadi" w:cs="Calibri"/>
                <w:spacing w:val="1"/>
                <w:sz w:val="21"/>
                <w:szCs w:val="21"/>
              </w:rPr>
              <w:t xml:space="preserve"> </w:t>
            </w:r>
            <w:r w:rsidRPr="00401C70">
              <w:rPr>
                <w:rFonts w:ascii="Abadi" w:hAnsi="Abadi" w:cs="Calibri"/>
                <w:sz w:val="21"/>
                <w:szCs w:val="21"/>
              </w:rPr>
              <w:t>través</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Secretaría</w:t>
            </w:r>
            <w:r w:rsidRPr="00401C70">
              <w:rPr>
                <w:rFonts w:ascii="Abadi" w:hAnsi="Abadi" w:cs="Calibri"/>
                <w:spacing w:val="-9"/>
                <w:sz w:val="21"/>
                <w:szCs w:val="21"/>
              </w:rPr>
              <w:t xml:space="preserve"> </w:t>
            </w:r>
            <w:r w:rsidRPr="00401C70">
              <w:rPr>
                <w:rFonts w:ascii="Abadi" w:hAnsi="Abadi" w:cs="Calibri"/>
                <w:sz w:val="21"/>
                <w:szCs w:val="21"/>
              </w:rPr>
              <w:t>coordinadora</w:t>
            </w:r>
            <w:r w:rsidRPr="00401C70">
              <w:rPr>
                <w:rFonts w:ascii="Abadi" w:hAnsi="Abadi" w:cs="Calibri"/>
                <w:spacing w:val="-6"/>
                <w:sz w:val="21"/>
                <w:szCs w:val="21"/>
              </w:rPr>
              <w:t xml:space="preserve"> </w:t>
            </w:r>
            <w:r w:rsidRPr="00401C70">
              <w:rPr>
                <w:rFonts w:ascii="Abadi" w:hAnsi="Abadi" w:cs="Calibri"/>
                <w:sz w:val="21"/>
                <w:szCs w:val="21"/>
              </w:rPr>
              <w:t>de</w:t>
            </w:r>
            <w:r w:rsidRPr="00401C70">
              <w:rPr>
                <w:rFonts w:ascii="Abadi" w:hAnsi="Abadi" w:cs="Calibri"/>
                <w:spacing w:val="-7"/>
                <w:sz w:val="21"/>
                <w:szCs w:val="21"/>
              </w:rPr>
              <w:t xml:space="preserve"> </w:t>
            </w:r>
            <w:r w:rsidRPr="00401C70">
              <w:rPr>
                <w:rFonts w:ascii="Abadi" w:hAnsi="Abadi" w:cs="Calibri"/>
                <w:sz w:val="21"/>
                <w:szCs w:val="21"/>
              </w:rPr>
              <w:t>sector,</w:t>
            </w:r>
            <w:r w:rsidRPr="00401C70">
              <w:rPr>
                <w:rFonts w:ascii="Abadi" w:hAnsi="Abadi" w:cs="Calibri"/>
                <w:spacing w:val="-5"/>
                <w:sz w:val="21"/>
                <w:szCs w:val="21"/>
              </w:rPr>
              <w:t xml:space="preserve"> </w:t>
            </w:r>
            <w:r w:rsidRPr="00401C70">
              <w:rPr>
                <w:rFonts w:ascii="Abadi" w:hAnsi="Abadi" w:cs="Calibri"/>
                <w:b/>
                <w:bCs/>
                <w:i/>
                <w:iCs/>
                <w:sz w:val="21"/>
                <w:szCs w:val="21"/>
              </w:rPr>
              <w:t>observando</w:t>
            </w:r>
            <w:r w:rsidRPr="00401C70">
              <w:rPr>
                <w:rFonts w:ascii="Abadi" w:hAnsi="Abadi" w:cs="Calibri"/>
                <w:b/>
                <w:bCs/>
                <w:i/>
                <w:iCs/>
                <w:spacing w:val="-48"/>
                <w:sz w:val="21"/>
                <w:szCs w:val="21"/>
              </w:rPr>
              <w:t xml:space="preserve"> </w:t>
            </w:r>
            <w:r w:rsidRPr="00401C70">
              <w:rPr>
                <w:rFonts w:ascii="Abadi" w:hAnsi="Abadi" w:cs="Calibri"/>
                <w:b/>
                <w:bCs/>
                <w:i/>
                <w:iCs/>
                <w:sz w:val="21"/>
                <w:szCs w:val="21"/>
              </w:rPr>
              <w:t xml:space="preserve">el principio de paridad de género y </w:t>
            </w:r>
            <w:r w:rsidRPr="00401C70">
              <w:rPr>
                <w:rFonts w:ascii="Abadi" w:hAnsi="Abadi" w:cs="Calibri"/>
                <w:sz w:val="21"/>
                <w:szCs w:val="21"/>
              </w:rPr>
              <w:t>debiendo</w:t>
            </w:r>
            <w:r w:rsidRPr="00401C70">
              <w:rPr>
                <w:rFonts w:ascii="Abadi" w:hAnsi="Abadi" w:cs="Calibri"/>
                <w:spacing w:val="1"/>
                <w:sz w:val="21"/>
                <w:szCs w:val="21"/>
              </w:rPr>
              <w:t xml:space="preserve"> </w:t>
            </w:r>
            <w:r w:rsidRPr="00401C70">
              <w:rPr>
                <w:rFonts w:ascii="Abadi" w:hAnsi="Abadi" w:cs="Calibri"/>
                <w:sz w:val="21"/>
                <w:szCs w:val="21"/>
              </w:rPr>
              <w:t>constituir</w:t>
            </w:r>
            <w:r w:rsidRPr="00401C70">
              <w:rPr>
                <w:rFonts w:ascii="Abadi" w:hAnsi="Abadi" w:cs="Calibri"/>
                <w:spacing w:val="1"/>
                <w:sz w:val="21"/>
                <w:szCs w:val="21"/>
              </w:rPr>
              <w:t xml:space="preserve"> </w:t>
            </w:r>
            <w:r w:rsidRPr="00401C70">
              <w:rPr>
                <w:rFonts w:ascii="Abadi" w:hAnsi="Abadi" w:cs="Calibri"/>
                <w:sz w:val="21"/>
                <w:szCs w:val="21"/>
              </w:rPr>
              <w:lastRenderedPageBreak/>
              <w:t>en</w:t>
            </w:r>
            <w:r w:rsidRPr="00401C70">
              <w:rPr>
                <w:rFonts w:ascii="Abadi" w:hAnsi="Abadi" w:cs="Calibri"/>
                <w:spacing w:val="1"/>
                <w:sz w:val="21"/>
                <w:szCs w:val="21"/>
              </w:rPr>
              <w:t xml:space="preserve"> </w:t>
            </w:r>
            <w:r w:rsidRPr="00401C70">
              <w:rPr>
                <w:rFonts w:ascii="Abadi" w:hAnsi="Abadi" w:cs="Calibri"/>
                <w:sz w:val="21"/>
                <w:szCs w:val="21"/>
              </w:rPr>
              <w:t>todo</w:t>
            </w:r>
            <w:r w:rsidRPr="00401C70">
              <w:rPr>
                <w:rFonts w:ascii="Abadi" w:hAnsi="Abadi" w:cs="Calibri"/>
                <w:spacing w:val="1"/>
                <w:sz w:val="21"/>
                <w:szCs w:val="21"/>
              </w:rPr>
              <w:t xml:space="preserve"> </w:t>
            </w:r>
            <w:r w:rsidRPr="00401C70">
              <w:rPr>
                <w:rFonts w:ascii="Abadi" w:hAnsi="Abadi" w:cs="Calibri"/>
                <w:sz w:val="21"/>
                <w:szCs w:val="21"/>
              </w:rPr>
              <w:t>tiempo</w:t>
            </w:r>
            <w:r w:rsidRPr="00401C70">
              <w:rPr>
                <w:rFonts w:ascii="Abadi" w:hAnsi="Abadi" w:cs="Calibri"/>
                <w:spacing w:val="1"/>
                <w:sz w:val="21"/>
                <w:szCs w:val="21"/>
              </w:rPr>
              <w:t xml:space="preserve"> </w:t>
            </w:r>
            <w:r w:rsidRPr="00401C70">
              <w:rPr>
                <w:rFonts w:ascii="Abadi" w:hAnsi="Abadi" w:cs="Calibri"/>
                <w:sz w:val="21"/>
                <w:szCs w:val="21"/>
              </w:rPr>
              <w:t>cuando</w:t>
            </w:r>
            <w:r w:rsidRPr="00401C70">
              <w:rPr>
                <w:rFonts w:ascii="Abadi" w:hAnsi="Abadi" w:cs="Calibri"/>
                <w:spacing w:val="1"/>
                <w:sz w:val="21"/>
                <w:szCs w:val="21"/>
              </w:rPr>
              <w:t xml:space="preserve"> </w:t>
            </w:r>
            <w:r w:rsidRPr="00401C70">
              <w:rPr>
                <w:rFonts w:ascii="Abadi" w:hAnsi="Abadi" w:cs="Calibri"/>
                <w:sz w:val="21"/>
                <w:szCs w:val="21"/>
              </w:rPr>
              <w:t>menos</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mitad</w:t>
            </w:r>
            <w:r w:rsidRPr="00401C70">
              <w:rPr>
                <w:rFonts w:ascii="Abadi" w:hAnsi="Abadi" w:cs="Calibri"/>
                <w:spacing w:val="-9"/>
                <w:sz w:val="21"/>
                <w:szCs w:val="21"/>
              </w:rPr>
              <w:t xml:space="preserve"> </w:t>
            </w:r>
            <w:r w:rsidRPr="00401C70">
              <w:rPr>
                <w:rFonts w:ascii="Abadi" w:hAnsi="Abadi" w:cs="Calibri"/>
                <w:sz w:val="21"/>
                <w:szCs w:val="21"/>
              </w:rPr>
              <w:t>de</w:t>
            </w:r>
            <w:r w:rsidRPr="00401C70">
              <w:rPr>
                <w:rFonts w:ascii="Abadi" w:hAnsi="Abadi" w:cs="Calibri"/>
                <w:spacing w:val="-6"/>
                <w:sz w:val="21"/>
                <w:szCs w:val="21"/>
              </w:rPr>
              <w:t xml:space="preserve"> </w:t>
            </w:r>
            <w:r w:rsidRPr="00401C70">
              <w:rPr>
                <w:rFonts w:ascii="Abadi" w:hAnsi="Abadi" w:cs="Calibri"/>
                <w:sz w:val="21"/>
                <w:szCs w:val="21"/>
              </w:rPr>
              <w:t>los</w:t>
            </w:r>
            <w:r w:rsidRPr="00401C70">
              <w:rPr>
                <w:rFonts w:ascii="Abadi" w:hAnsi="Abadi" w:cs="Calibri"/>
                <w:spacing w:val="-10"/>
                <w:sz w:val="21"/>
                <w:szCs w:val="21"/>
              </w:rPr>
              <w:t xml:space="preserve"> </w:t>
            </w:r>
            <w:r w:rsidRPr="00401C70">
              <w:rPr>
                <w:rFonts w:ascii="Abadi" w:hAnsi="Abadi" w:cs="Calibri"/>
                <w:sz w:val="21"/>
                <w:szCs w:val="21"/>
              </w:rPr>
              <w:t>miembros</w:t>
            </w:r>
            <w:r w:rsidRPr="00401C70">
              <w:rPr>
                <w:rFonts w:ascii="Abadi" w:hAnsi="Abadi" w:cs="Calibri"/>
                <w:spacing w:val="-7"/>
                <w:sz w:val="21"/>
                <w:szCs w:val="21"/>
              </w:rPr>
              <w:t xml:space="preserve"> </w:t>
            </w:r>
            <w:r w:rsidRPr="00401C70">
              <w:rPr>
                <w:rFonts w:ascii="Abadi" w:hAnsi="Abadi" w:cs="Calibri"/>
                <w:sz w:val="21"/>
                <w:szCs w:val="21"/>
              </w:rPr>
              <w:t>del</w:t>
            </w:r>
            <w:r w:rsidRPr="00401C70">
              <w:rPr>
                <w:rFonts w:ascii="Abadi" w:hAnsi="Abadi" w:cs="Calibri"/>
                <w:spacing w:val="-9"/>
                <w:sz w:val="21"/>
                <w:szCs w:val="21"/>
              </w:rPr>
              <w:t xml:space="preserve"> </w:t>
            </w:r>
            <w:r w:rsidRPr="00401C70">
              <w:rPr>
                <w:rFonts w:ascii="Abadi" w:hAnsi="Abadi" w:cs="Calibri"/>
                <w:sz w:val="21"/>
                <w:szCs w:val="21"/>
              </w:rPr>
              <w:t>órgano</w:t>
            </w:r>
            <w:r w:rsidRPr="00401C70">
              <w:rPr>
                <w:rFonts w:ascii="Abadi" w:hAnsi="Abadi" w:cs="Calibri"/>
                <w:spacing w:val="-7"/>
                <w:sz w:val="21"/>
                <w:szCs w:val="21"/>
              </w:rPr>
              <w:t xml:space="preserve"> </w:t>
            </w:r>
            <w:r w:rsidRPr="00401C70">
              <w:rPr>
                <w:rFonts w:ascii="Abadi" w:hAnsi="Abadi" w:cs="Calibri"/>
                <w:sz w:val="21"/>
                <w:szCs w:val="21"/>
              </w:rPr>
              <w:t>de</w:t>
            </w:r>
            <w:r w:rsidRPr="00401C70">
              <w:rPr>
                <w:rFonts w:ascii="Abadi" w:hAnsi="Abadi" w:cs="Calibri"/>
                <w:spacing w:val="-9"/>
                <w:sz w:val="21"/>
                <w:szCs w:val="21"/>
              </w:rPr>
              <w:t xml:space="preserve"> </w:t>
            </w:r>
            <w:r w:rsidRPr="00401C70">
              <w:rPr>
                <w:rFonts w:ascii="Abadi" w:hAnsi="Abadi" w:cs="Calibri"/>
                <w:sz w:val="21"/>
                <w:szCs w:val="21"/>
              </w:rPr>
              <w:t>gobierno.</w:t>
            </w:r>
          </w:p>
        </w:tc>
      </w:tr>
      <w:tr w:rsidR="00677B7E" w:rsidRPr="00401C70" w14:paraId="7308E19C" w14:textId="77777777" w:rsidTr="003343AD">
        <w:trPr>
          <w:trHeight w:val="2263"/>
        </w:trPr>
        <w:tc>
          <w:tcPr>
            <w:tcW w:w="2500" w:type="pct"/>
            <w:tcBorders>
              <w:top w:val="none" w:sz="6" w:space="0" w:color="auto"/>
              <w:left w:val="single" w:sz="4" w:space="0" w:color="000000"/>
              <w:bottom w:val="single" w:sz="4" w:space="0" w:color="000000"/>
              <w:right w:val="single" w:sz="4" w:space="0" w:color="000000"/>
            </w:tcBorders>
          </w:tcPr>
          <w:p w14:paraId="6DF03DE8" w14:textId="77777777" w:rsidR="00677B7E" w:rsidRPr="00401C70" w:rsidRDefault="00677B7E" w:rsidP="00FA2590">
            <w:pPr>
              <w:kinsoku w:val="0"/>
              <w:overflowPunct w:val="0"/>
              <w:autoSpaceDE w:val="0"/>
              <w:autoSpaceDN w:val="0"/>
              <w:adjustRightInd w:val="0"/>
              <w:spacing w:before="114"/>
              <w:ind w:left="107" w:right="93"/>
              <w:jc w:val="both"/>
              <w:rPr>
                <w:rFonts w:ascii="Abadi" w:hAnsi="Abadi" w:cs="Calibri"/>
                <w:sz w:val="21"/>
                <w:szCs w:val="21"/>
              </w:rPr>
            </w:pPr>
            <w:r w:rsidRPr="00401C70">
              <w:rPr>
                <w:rFonts w:ascii="Abadi" w:hAnsi="Abadi" w:cs="Calibri"/>
                <w:sz w:val="21"/>
                <w:szCs w:val="21"/>
              </w:rPr>
              <w:lastRenderedPageBreak/>
              <w:t>Las</w:t>
            </w:r>
            <w:r w:rsidRPr="00401C70">
              <w:rPr>
                <w:rFonts w:ascii="Abadi" w:hAnsi="Abadi" w:cs="Calibri"/>
                <w:spacing w:val="1"/>
                <w:sz w:val="21"/>
                <w:szCs w:val="21"/>
              </w:rPr>
              <w:t xml:space="preserve"> </w:t>
            </w:r>
            <w:r w:rsidRPr="00401C70">
              <w:rPr>
                <w:rFonts w:ascii="Abadi" w:hAnsi="Abadi" w:cs="Calibri"/>
                <w:sz w:val="21"/>
                <w:szCs w:val="21"/>
              </w:rPr>
              <w:t>personas</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integren</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órgano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gobierno</w:t>
            </w:r>
            <w:r w:rsidRPr="00401C70">
              <w:rPr>
                <w:rFonts w:ascii="Abadi" w:hAnsi="Abadi" w:cs="Calibri"/>
                <w:spacing w:val="1"/>
                <w:sz w:val="21"/>
                <w:szCs w:val="21"/>
              </w:rPr>
              <w:t xml:space="preserve"> </w:t>
            </w:r>
            <w:r w:rsidRPr="00401C70">
              <w:rPr>
                <w:rFonts w:ascii="Abadi" w:hAnsi="Abadi" w:cs="Calibri"/>
                <w:sz w:val="21"/>
                <w:szCs w:val="21"/>
              </w:rPr>
              <w:t>y,</w:t>
            </w:r>
            <w:r w:rsidRPr="00401C70">
              <w:rPr>
                <w:rFonts w:ascii="Abadi" w:hAnsi="Abadi" w:cs="Calibri"/>
                <w:spacing w:val="1"/>
                <w:sz w:val="21"/>
                <w:szCs w:val="21"/>
              </w:rPr>
              <w:t xml:space="preserve"> </w:t>
            </w:r>
            <w:r w:rsidRPr="00401C70">
              <w:rPr>
                <w:rFonts w:ascii="Abadi" w:hAnsi="Abadi" w:cs="Calibri"/>
                <w:sz w:val="21"/>
                <w:szCs w:val="21"/>
              </w:rPr>
              <w:t>en</w:t>
            </w:r>
            <w:r w:rsidRPr="00401C70">
              <w:rPr>
                <w:rFonts w:ascii="Abadi" w:hAnsi="Abadi" w:cs="Calibri"/>
                <w:spacing w:val="1"/>
                <w:sz w:val="21"/>
                <w:szCs w:val="21"/>
              </w:rPr>
              <w:t xml:space="preserve"> </w:t>
            </w:r>
            <w:r w:rsidRPr="00401C70">
              <w:rPr>
                <w:rFonts w:ascii="Abadi" w:hAnsi="Abadi" w:cs="Calibri"/>
                <w:sz w:val="21"/>
                <w:szCs w:val="21"/>
              </w:rPr>
              <w:t>su</w:t>
            </w:r>
            <w:r w:rsidRPr="00401C70">
              <w:rPr>
                <w:rFonts w:ascii="Abadi" w:hAnsi="Abadi" w:cs="Calibri"/>
                <w:spacing w:val="1"/>
                <w:sz w:val="21"/>
                <w:szCs w:val="21"/>
              </w:rPr>
              <w:t xml:space="preserve"> </w:t>
            </w:r>
            <w:r w:rsidRPr="00401C70">
              <w:rPr>
                <w:rFonts w:ascii="Abadi" w:hAnsi="Abadi" w:cs="Calibri"/>
                <w:sz w:val="21"/>
                <w:szCs w:val="21"/>
              </w:rPr>
              <w:t>caso,</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consejo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administración,</w:t>
            </w:r>
            <w:r w:rsidRPr="00401C70">
              <w:rPr>
                <w:rFonts w:ascii="Abadi" w:hAnsi="Abadi" w:cs="Calibri"/>
                <w:spacing w:val="1"/>
                <w:sz w:val="21"/>
                <w:szCs w:val="21"/>
              </w:rPr>
              <w:t xml:space="preserve"> </w:t>
            </w:r>
            <w:r w:rsidRPr="00401C70">
              <w:rPr>
                <w:rFonts w:ascii="Abadi" w:hAnsi="Abadi" w:cs="Calibri"/>
                <w:sz w:val="21"/>
                <w:szCs w:val="21"/>
              </w:rPr>
              <w:t>podrán desempeñar</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cargo</w:t>
            </w:r>
            <w:r w:rsidRPr="00401C70">
              <w:rPr>
                <w:rFonts w:ascii="Abadi" w:hAnsi="Abadi" w:cs="Calibri"/>
                <w:spacing w:val="1"/>
                <w:sz w:val="21"/>
                <w:szCs w:val="21"/>
              </w:rPr>
              <w:t xml:space="preserve"> </w:t>
            </w:r>
            <w:r w:rsidRPr="00401C70">
              <w:rPr>
                <w:rFonts w:ascii="Abadi" w:hAnsi="Abadi" w:cs="Calibri"/>
                <w:sz w:val="21"/>
                <w:szCs w:val="21"/>
              </w:rPr>
              <w:t>de manera honorífica y, en el supuesto de que</w:t>
            </w:r>
            <w:r w:rsidRPr="00401C70">
              <w:rPr>
                <w:rFonts w:ascii="Abadi" w:hAnsi="Abadi" w:cs="Calibri"/>
                <w:spacing w:val="1"/>
                <w:sz w:val="21"/>
                <w:szCs w:val="21"/>
              </w:rPr>
              <w:t xml:space="preserve"> </w:t>
            </w:r>
            <w:r w:rsidRPr="00401C70">
              <w:rPr>
                <w:rFonts w:ascii="Abadi" w:hAnsi="Abadi" w:cs="Calibri"/>
                <w:sz w:val="21"/>
                <w:szCs w:val="21"/>
              </w:rPr>
              <w:t>perciban un sueldo y manejen fondos públicos,</w:t>
            </w:r>
            <w:r w:rsidRPr="00401C70">
              <w:rPr>
                <w:rFonts w:ascii="Abadi" w:hAnsi="Abadi" w:cs="Calibri"/>
                <w:spacing w:val="-48"/>
                <w:sz w:val="21"/>
                <w:szCs w:val="21"/>
              </w:rPr>
              <w:t xml:space="preserve"> </w:t>
            </w:r>
            <w:r w:rsidRPr="00401C70">
              <w:rPr>
                <w:rFonts w:ascii="Abadi" w:hAnsi="Abadi" w:cs="Calibri"/>
                <w:sz w:val="21"/>
                <w:szCs w:val="21"/>
              </w:rPr>
              <w:t>estarán sujetos a la Ley de Responsabilidades</w:t>
            </w:r>
            <w:r w:rsidRPr="00401C70">
              <w:rPr>
                <w:rFonts w:ascii="Abadi" w:hAnsi="Abadi" w:cs="Calibri"/>
                <w:spacing w:val="1"/>
                <w:sz w:val="21"/>
                <w:szCs w:val="21"/>
              </w:rPr>
              <w:t xml:space="preserve"> </w:t>
            </w:r>
            <w:r w:rsidRPr="00401C70">
              <w:rPr>
                <w:rFonts w:ascii="Abadi" w:hAnsi="Abadi" w:cs="Calibri"/>
                <w:sz w:val="21"/>
                <w:szCs w:val="21"/>
              </w:rPr>
              <w:t>Administrativas</w:t>
            </w:r>
            <w:r w:rsidRPr="00401C70">
              <w:rPr>
                <w:rFonts w:ascii="Abadi" w:hAnsi="Abadi" w:cs="Calibri"/>
                <w:spacing w:val="21"/>
                <w:sz w:val="21"/>
                <w:szCs w:val="21"/>
              </w:rPr>
              <w:t xml:space="preserve"> </w:t>
            </w:r>
            <w:r w:rsidRPr="00401C70">
              <w:rPr>
                <w:rFonts w:ascii="Abadi" w:hAnsi="Abadi" w:cs="Calibri"/>
                <w:sz w:val="21"/>
                <w:szCs w:val="21"/>
              </w:rPr>
              <w:t>de</w:t>
            </w:r>
            <w:r w:rsidRPr="00401C70">
              <w:rPr>
                <w:rFonts w:ascii="Abadi" w:hAnsi="Abadi" w:cs="Calibri"/>
                <w:spacing w:val="23"/>
                <w:sz w:val="21"/>
                <w:szCs w:val="21"/>
              </w:rPr>
              <w:t xml:space="preserve"> </w:t>
            </w:r>
            <w:r w:rsidRPr="00401C70">
              <w:rPr>
                <w:rFonts w:ascii="Abadi" w:hAnsi="Abadi" w:cs="Calibri"/>
                <w:sz w:val="21"/>
                <w:szCs w:val="21"/>
              </w:rPr>
              <w:t>los</w:t>
            </w:r>
            <w:r w:rsidRPr="00401C70">
              <w:rPr>
                <w:rFonts w:ascii="Abadi" w:hAnsi="Abadi" w:cs="Calibri"/>
                <w:spacing w:val="22"/>
                <w:sz w:val="21"/>
                <w:szCs w:val="21"/>
              </w:rPr>
              <w:t xml:space="preserve"> </w:t>
            </w:r>
            <w:r w:rsidRPr="00401C70">
              <w:rPr>
                <w:rFonts w:ascii="Abadi" w:hAnsi="Abadi" w:cs="Calibri"/>
                <w:sz w:val="21"/>
                <w:szCs w:val="21"/>
              </w:rPr>
              <w:t>Servidores</w:t>
            </w:r>
            <w:r w:rsidRPr="00401C70">
              <w:rPr>
                <w:rFonts w:ascii="Abadi" w:hAnsi="Abadi" w:cs="Calibri"/>
                <w:spacing w:val="22"/>
                <w:sz w:val="21"/>
                <w:szCs w:val="21"/>
              </w:rPr>
              <w:t xml:space="preserve"> </w:t>
            </w:r>
            <w:r w:rsidRPr="00401C70">
              <w:rPr>
                <w:rFonts w:ascii="Abadi" w:hAnsi="Abadi" w:cs="Calibri"/>
                <w:sz w:val="21"/>
                <w:szCs w:val="21"/>
              </w:rPr>
              <w:t>Públicos</w:t>
            </w:r>
            <w:r w:rsidRPr="00401C70">
              <w:rPr>
                <w:rFonts w:ascii="Abadi" w:hAnsi="Abadi" w:cs="Calibri"/>
                <w:spacing w:val="22"/>
                <w:sz w:val="21"/>
                <w:szCs w:val="21"/>
              </w:rPr>
              <w:t xml:space="preserve"> </w:t>
            </w:r>
            <w:r w:rsidRPr="00401C70">
              <w:rPr>
                <w:rFonts w:ascii="Abadi" w:hAnsi="Abadi" w:cs="Calibri"/>
                <w:sz w:val="21"/>
                <w:szCs w:val="21"/>
              </w:rPr>
              <w:t>del</w:t>
            </w:r>
          </w:p>
          <w:p w14:paraId="3483EACA" w14:textId="77777777" w:rsidR="00677B7E" w:rsidRPr="00401C70" w:rsidRDefault="00677B7E" w:rsidP="00FA2590">
            <w:pPr>
              <w:kinsoku w:val="0"/>
              <w:overflowPunct w:val="0"/>
              <w:autoSpaceDE w:val="0"/>
              <w:autoSpaceDN w:val="0"/>
              <w:adjustRightInd w:val="0"/>
              <w:spacing w:line="249" w:lineRule="exact"/>
              <w:ind w:left="107"/>
              <w:jc w:val="both"/>
              <w:rPr>
                <w:rFonts w:ascii="Abadi" w:hAnsi="Abadi" w:cs="Calibri"/>
                <w:sz w:val="21"/>
                <w:szCs w:val="21"/>
              </w:rPr>
            </w:pPr>
            <w:r w:rsidRPr="00401C70">
              <w:rPr>
                <w:rFonts w:ascii="Abadi" w:hAnsi="Abadi" w:cs="Calibri"/>
                <w:sz w:val="21"/>
                <w:szCs w:val="21"/>
              </w:rPr>
              <w:t>Estado</w:t>
            </w:r>
            <w:r w:rsidRPr="00401C70">
              <w:rPr>
                <w:rFonts w:ascii="Abadi" w:hAnsi="Abadi" w:cs="Calibri"/>
                <w:spacing w:val="-3"/>
                <w:sz w:val="21"/>
                <w:szCs w:val="21"/>
              </w:rPr>
              <w:t xml:space="preserve"> </w:t>
            </w:r>
            <w:r w:rsidRPr="00401C70">
              <w:rPr>
                <w:rFonts w:ascii="Abadi" w:hAnsi="Abadi" w:cs="Calibri"/>
                <w:sz w:val="21"/>
                <w:szCs w:val="21"/>
              </w:rPr>
              <w:t>de Guanajuato</w:t>
            </w:r>
            <w:r w:rsidRPr="00401C70">
              <w:rPr>
                <w:rFonts w:ascii="Abadi" w:hAnsi="Abadi" w:cs="Calibri"/>
                <w:spacing w:val="-2"/>
                <w:sz w:val="21"/>
                <w:szCs w:val="21"/>
              </w:rPr>
              <w:t xml:space="preserve"> </w:t>
            </w:r>
            <w:r w:rsidRPr="00401C70">
              <w:rPr>
                <w:rFonts w:ascii="Abadi" w:hAnsi="Abadi" w:cs="Calibri"/>
                <w:sz w:val="21"/>
                <w:szCs w:val="21"/>
              </w:rPr>
              <w:t>y sus Municipios.</w:t>
            </w:r>
          </w:p>
        </w:tc>
        <w:tc>
          <w:tcPr>
            <w:tcW w:w="2500" w:type="pct"/>
            <w:tcBorders>
              <w:top w:val="none" w:sz="6" w:space="0" w:color="auto"/>
              <w:left w:val="single" w:sz="4" w:space="0" w:color="000000"/>
              <w:bottom w:val="single" w:sz="4" w:space="0" w:color="000000"/>
              <w:right w:val="single" w:sz="4" w:space="0" w:color="000000"/>
            </w:tcBorders>
          </w:tcPr>
          <w:p w14:paraId="43D30473" w14:textId="77777777" w:rsidR="00677B7E" w:rsidRPr="00401C70" w:rsidRDefault="00677B7E" w:rsidP="00FA2590">
            <w:pPr>
              <w:kinsoku w:val="0"/>
              <w:overflowPunct w:val="0"/>
              <w:autoSpaceDE w:val="0"/>
              <w:autoSpaceDN w:val="0"/>
              <w:adjustRightInd w:val="0"/>
              <w:spacing w:before="114"/>
              <w:ind w:left="107" w:right="94"/>
              <w:jc w:val="both"/>
              <w:rPr>
                <w:rFonts w:ascii="Abadi" w:hAnsi="Abadi" w:cs="Calibri"/>
                <w:sz w:val="21"/>
                <w:szCs w:val="21"/>
              </w:rPr>
            </w:pPr>
            <w:r w:rsidRPr="00401C70">
              <w:rPr>
                <w:rFonts w:ascii="Abadi" w:hAnsi="Abadi" w:cs="Calibri"/>
                <w:sz w:val="21"/>
                <w:szCs w:val="21"/>
              </w:rPr>
              <w:t>Las</w:t>
            </w:r>
            <w:r w:rsidRPr="00401C70">
              <w:rPr>
                <w:rFonts w:ascii="Abadi" w:hAnsi="Abadi" w:cs="Calibri"/>
                <w:spacing w:val="1"/>
                <w:sz w:val="21"/>
                <w:szCs w:val="21"/>
              </w:rPr>
              <w:t xml:space="preserve"> </w:t>
            </w:r>
            <w:r w:rsidRPr="00401C70">
              <w:rPr>
                <w:rFonts w:ascii="Abadi" w:hAnsi="Abadi" w:cs="Calibri"/>
                <w:sz w:val="21"/>
                <w:szCs w:val="21"/>
              </w:rPr>
              <w:t>personas</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integren</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órgano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gobierno</w:t>
            </w:r>
            <w:r w:rsidRPr="00401C70">
              <w:rPr>
                <w:rFonts w:ascii="Abadi" w:hAnsi="Abadi" w:cs="Calibri"/>
                <w:spacing w:val="1"/>
                <w:sz w:val="21"/>
                <w:szCs w:val="21"/>
              </w:rPr>
              <w:t xml:space="preserve"> </w:t>
            </w:r>
            <w:r w:rsidRPr="00401C70">
              <w:rPr>
                <w:rFonts w:ascii="Abadi" w:hAnsi="Abadi" w:cs="Calibri"/>
                <w:sz w:val="21"/>
                <w:szCs w:val="21"/>
              </w:rPr>
              <w:t>y,</w:t>
            </w:r>
            <w:r w:rsidRPr="00401C70">
              <w:rPr>
                <w:rFonts w:ascii="Abadi" w:hAnsi="Abadi" w:cs="Calibri"/>
                <w:spacing w:val="1"/>
                <w:sz w:val="21"/>
                <w:szCs w:val="21"/>
              </w:rPr>
              <w:t xml:space="preserve"> </w:t>
            </w:r>
            <w:r w:rsidRPr="00401C70">
              <w:rPr>
                <w:rFonts w:ascii="Abadi" w:hAnsi="Abadi" w:cs="Calibri"/>
                <w:sz w:val="21"/>
                <w:szCs w:val="21"/>
              </w:rPr>
              <w:t>en</w:t>
            </w:r>
            <w:r w:rsidRPr="00401C70">
              <w:rPr>
                <w:rFonts w:ascii="Abadi" w:hAnsi="Abadi" w:cs="Calibri"/>
                <w:spacing w:val="1"/>
                <w:sz w:val="21"/>
                <w:szCs w:val="21"/>
              </w:rPr>
              <w:t xml:space="preserve"> </w:t>
            </w:r>
            <w:r w:rsidRPr="00401C70">
              <w:rPr>
                <w:rFonts w:ascii="Abadi" w:hAnsi="Abadi" w:cs="Calibri"/>
                <w:sz w:val="21"/>
                <w:szCs w:val="21"/>
              </w:rPr>
              <w:t>su</w:t>
            </w:r>
            <w:r w:rsidRPr="00401C70">
              <w:rPr>
                <w:rFonts w:ascii="Abadi" w:hAnsi="Abadi" w:cs="Calibri"/>
                <w:spacing w:val="1"/>
                <w:sz w:val="21"/>
                <w:szCs w:val="21"/>
              </w:rPr>
              <w:t xml:space="preserve"> </w:t>
            </w:r>
            <w:r w:rsidRPr="00401C70">
              <w:rPr>
                <w:rFonts w:ascii="Abadi" w:hAnsi="Abadi" w:cs="Calibri"/>
                <w:sz w:val="21"/>
                <w:szCs w:val="21"/>
              </w:rPr>
              <w:t>caso,</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consejo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administración,</w:t>
            </w:r>
            <w:r w:rsidRPr="00401C70">
              <w:rPr>
                <w:rFonts w:ascii="Abadi" w:hAnsi="Abadi" w:cs="Calibri"/>
                <w:spacing w:val="1"/>
                <w:sz w:val="21"/>
                <w:szCs w:val="21"/>
              </w:rPr>
              <w:t xml:space="preserve"> </w:t>
            </w:r>
            <w:r w:rsidRPr="00401C70">
              <w:rPr>
                <w:rFonts w:ascii="Abadi" w:hAnsi="Abadi" w:cs="Calibri"/>
                <w:sz w:val="21"/>
                <w:szCs w:val="21"/>
              </w:rPr>
              <w:t>podrán desempeñar</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cargo</w:t>
            </w:r>
            <w:r w:rsidRPr="00401C70">
              <w:rPr>
                <w:rFonts w:ascii="Abadi" w:hAnsi="Abadi" w:cs="Calibri"/>
                <w:spacing w:val="1"/>
                <w:sz w:val="21"/>
                <w:szCs w:val="21"/>
              </w:rPr>
              <w:t xml:space="preserve"> </w:t>
            </w:r>
            <w:r w:rsidRPr="00401C70">
              <w:rPr>
                <w:rFonts w:ascii="Abadi" w:hAnsi="Abadi" w:cs="Calibri"/>
                <w:sz w:val="21"/>
                <w:szCs w:val="21"/>
              </w:rPr>
              <w:t>de manera honorífica y, en el supuesto de que</w:t>
            </w:r>
            <w:r w:rsidRPr="00401C70">
              <w:rPr>
                <w:rFonts w:ascii="Abadi" w:hAnsi="Abadi" w:cs="Calibri"/>
                <w:spacing w:val="1"/>
                <w:sz w:val="21"/>
                <w:szCs w:val="21"/>
              </w:rPr>
              <w:t xml:space="preserve"> </w:t>
            </w:r>
            <w:r w:rsidRPr="00401C70">
              <w:rPr>
                <w:rFonts w:ascii="Abadi" w:hAnsi="Abadi" w:cs="Calibri"/>
                <w:sz w:val="21"/>
                <w:szCs w:val="21"/>
              </w:rPr>
              <w:t>perciban un sueldo y manejen fondos públicos,</w:t>
            </w:r>
            <w:r w:rsidRPr="00401C70">
              <w:rPr>
                <w:rFonts w:ascii="Abadi" w:hAnsi="Abadi" w:cs="Calibri"/>
                <w:spacing w:val="-48"/>
                <w:sz w:val="21"/>
                <w:szCs w:val="21"/>
              </w:rPr>
              <w:t xml:space="preserve"> </w:t>
            </w:r>
            <w:r w:rsidRPr="00401C70">
              <w:rPr>
                <w:rFonts w:ascii="Abadi" w:hAnsi="Abadi" w:cs="Calibri"/>
                <w:sz w:val="21"/>
                <w:szCs w:val="21"/>
              </w:rPr>
              <w:t>estarán sujetos a la Ley de Responsabilidades</w:t>
            </w:r>
            <w:r w:rsidRPr="00401C70">
              <w:rPr>
                <w:rFonts w:ascii="Abadi" w:hAnsi="Abadi" w:cs="Calibri"/>
                <w:spacing w:val="1"/>
                <w:sz w:val="21"/>
                <w:szCs w:val="21"/>
              </w:rPr>
              <w:t xml:space="preserve"> </w:t>
            </w:r>
            <w:r w:rsidRPr="00401C70">
              <w:rPr>
                <w:rFonts w:ascii="Abadi" w:hAnsi="Abadi" w:cs="Calibri"/>
                <w:sz w:val="21"/>
                <w:szCs w:val="21"/>
              </w:rPr>
              <w:t>Administrativas</w:t>
            </w:r>
            <w:r w:rsidRPr="00401C70">
              <w:rPr>
                <w:rFonts w:ascii="Abadi" w:hAnsi="Abadi" w:cs="Calibri"/>
                <w:spacing w:val="21"/>
                <w:sz w:val="21"/>
                <w:szCs w:val="21"/>
              </w:rPr>
              <w:t xml:space="preserve"> </w:t>
            </w:r>
            <w:r w:rsidRPr="00401C70">
              <w:rPr>
                <w:rFonts w:ascii="Abadi" w:hAnsi="Abadi" w:cs="Calibri"/>
                <w:sz w:val="21"/>
                <w:szCs w:val="21"/>
              </w:rPr>
              <w:t>de</w:t>
            </w:r>
            <w:r w:rsidRPr="00401C70">
              <w:rPr>
                <w:rFonts w:ascii="Abadi" w:hAnsi="Abadi" w:cs="Calibri"/>
                <w:spacing w:val="23"/>
                <w:sz w:val="21"/>
                <w:szCs w:val="21"/>
              </w:rPr>
              <w:t xml:space="preserve"> </w:t>
            </w:r>
            <w:r w:rsidRPr="00401C70">
              <w:rPr>
                <w:rFonts w:ascii="Abadi" w:hAnsi="Abadi" w:cs="Calibri"/>
                <w:sz w:val="21"/>
                <w:szCs w:val="21"/>
              </w:rPr>
              <w:t>los</w:t>
            </w:r>
            <w:r w:rsidRPr="00401C70">
              <w:rPr>
                <w:rFonts w:ascii="Abadi" w:hAnsi="Abadi" w:cs="Calibri"/>
                <w:spacing w:val="22"/>
                <w:sz w:val="21"/>
                <w:szCs w:val="21"/>
              </w:rPr>
              <w:t xml:space="preserve"> </w:t>
            </w:r>
            <w:r w:rsidRPr="00401C70">
              <w:rPr>
                <w:rFonts w:ascii="Abadi" w:hAnsi="Abadi" w:cs="Calibri"/>
                <w:sz w:val="21"/>
                <w:szCs w:val="21"/>
              </w:rPr>
              <w:t>Servidores</w:t>
            </w:r>
            <w:r w:rsidRPr="00401C70">
              <w:rPr>
                <w:rFonts w:ascii="Abadi" w:hAnsi="Abadi" w:cs="Calibri"/>
                <w:spacing w:val="22"/>
                <w:sz w:val="21"/>
                <w:szCs w:val="21"/>
              </w:rPr>
              <w:t xml:space="preserve"> </w:t>
            </w:r>
            <w:r w:rsidRPr="00401C70">
              <w:rPr>
                <w:rFonts w:ascii="Abadi" w:hAnsi="Abadi" w:cs="Calibri"/>
                <w:sz w:val="21"/>
                <w:szCs w:val="21"/>
              </w:rPr>
              <w:t>Públicos</w:t>
            </w:r>
            <w:r w:rsidRPr="00401C70">
              <w:rPr>
                <w:rFonts w:ascii="Abadi" w:hAnsi="Abadi" w:cs="Calibri"/>
                <w:spacing w:val="22"/>
                <w:sz w:val="21"/>
                <w:szCs w:val="21"/>
              </w:rPr>
              <w:t xml:space="preserve"> </w:t>
            </w:r>
            <w:r w:rsidRPr="00401C70">
              <w:rPr>
                <w:rFonts w:ascii="Abadi" w:hAnsi="Abadi" w:cs="Calibri"/>
                <w:sz w:val="21"/>
                <w:szCs w:val="21"/>
              </w:rPr>
              <w:t>del</w:t>
            </w:r>
          </w:p>
          <w:p w14:paraId="115E8B0B" w14:textId="77777777" w:rsidR="00677B7E" w:rsidRPr="00401C70" w:rsidRDefault="00677B7E" w:rsidP="00FA2590">
            <w:pPr>
              <w:kinsoku w:val="0"/>
              <w:overflowPunct w:val="0"/>
              <w:autoSpaceDE w:val="0"/>
              <w:autoSpaceDN w:val="0"/>
              <w:adjustRightInd w:val="0"/>
              <w:spacing w:line="249" w:lineRule="exact"/>
              <w:ind w:left="107"/>
              <w:jc w:val="both"/>
              <w:rPr>
                <w:rFonts w:ascii="Abadi" w:hAnsi="Abadi" w:cs="Calibri"/>
                <w:sz w:val="21"/>
                <w:szCs w:val="21"/>
              </w:rPr>
            </w:pPr>
            <w:r w:rsidRPr="00401C70">
              <w:rPr>
                <w:rFonts w:ascii="Abadi" w:hAnsi="Abadi" w:cs="Calibri"/>
                <w:sz w:val="21"/>
                <w:szCs w:val="21"/>
              </w:rPr>
              <w:t>Estado</w:t>
            </w:r>
            <w:r w:rsidRPr="00401C70">
              <w:rPr>
                <w:rFonts w:ascii="Abadi" w:hAnsi="Abadi" w:cs="Calibri"/>
                <w:spacing w:val="-3"/>
                <w:sz w:val="21"/>
                <w:szCs w:val="21"/>
              </w:rPr>
              <w:t xml:space="preserve"> </w:t>
            </w:r>
            <w:r w:rsidRPr="00401C70">
              <w:rPr>
                <w:rFonts w:ascii="Abadi" w:hAnsi="Abadi" w:cs="Calibri"/>
                <w:sz w:val="21"/>
                <w:szCs w:val="21"/>
              </w:rPr>
              <w:t>de Guanajuato</w:t>
            </w:r>
            <w:r w:rsidRPr="00401C70">
              <w:rPr>
                <w:rFonts w:ascii="Abadi" w:hAnsi="Abadi" w:cs="Calibri"/>
                <w:spacing w:val="-2"/>
                <w:sz w:val="21"/>
                <w:szCs w:val="21"/>
              </w:rPr>
              <w:t xml:space="preserve"> </w:t>
            </w:r>
            <w:r w:rsidRPr="00401C70">
              <w:rPr>
                <w:rFonts w:ascii="Abadi" w:hAnsi="Abadi" w:cs="Calibri"/>
                <w:sz w:val="21"/>
                <w:szCs w:val="21"/>
              </w:rPr>
              <w:t>y sus Municipios.</w:t>
            </w:r>
          </w:p>
        </w:tc>
      </w:tr>
      <w:tr w:rsidR="00677B7E" w:rsidRPr="00401C70" w14:paraId="676FAEF3" w14:textId="77777777" w:rsidTr="003343AD">
        <w:trPr>
          <w:trHeight w:val="2688"/>
        </w:trPr>
        <w:tc>
          <w:tcPr>
            <w:tcW w:w="2500" w:type="pct"/>
            <w:tcBorders>
              <w:top w:val="single" w:sz="4" w:space="0" w:color="000000"/>
              <w:left w:val="single" w:sz="4" w:space="0" w:color="000000"/>
              <w:bottom w:val="single" w:sz="4" w:space="0" w:color="000000"/>
              <w:right w:val="single" w:sz="4" w:space="0" w:color="000000"/>
            </w:tcBorders>
          </w:tcPr>
          <w:p w14:paraId="36C41BDA" w14:textId="77777777" w:rsidR="00677B7E" w:rsidRPr="00401C70" w:rsidRDefault="00677B7E" w:rsidP="00FA2590">
            <w:pPr>
              <w:kinsoku w:val="0"/>
              <w:overflowPunct w:val="0"/>
              <w:autoSpaceDE w:val="0"/>
              <w:autoSpaceDN w:val="0"/>
              <w:adjustRightInd w:val="0"/>
              <w:ind w:left="107" w:right="92"/>
              <w:jc w:val="both"/>
              <w:rPr>
                <w:rFonts w:ascii="Abadi" w:hAnsi="Abadi" w:cs="Calibri"/>
                <w:sz w:val="21"/>
                <w:szCs w:val="21"/>
              </w:rPr>
            </w:pPr>
            <w:r w:rsidRPr="00401C70">
              <w:rPr>
                <w:rFonts w:ascii="Abadi" w:hAnsi="Abadi" w:cs="Calibri"/>
                <w:b/>
                <w:bCs/>
                <w:sz w:val="21"/>
                <w:szCs w:val="21"/>
              </w:rPr>
              <w:t xml:space="preserve">Artículo 70.- </w:t>
            </w:r>
            <w:r w:rsidRPr="00401C70">
              <w:rPr>
                <w:rFonts w:ascii="Abadi" w:hAnsi="Abadi" w:cs="Calibri"/>
                <w:sz w:val="21"/>
                <w:szCs w:val="21"/>
              </w:rPr>
              <w:t>Los fideicomisos públicos podrán</w:t>
            </w:r>
            <w:r w:rsidRPr="00401C70">
              <w:rPr>
                <w:rFonts w:ascii="Abadi" w:hAnsi="Abadi" w:cs="Calibri"/>
                <w:spacing w:val="1"/>
                <w:sz w:val="21"/>
                <w:szCs w:val="21"/>
              </w:rPr>
              <w:t xml:space="preserve"> </w:t>
            </w:r>
            <w:r w:rsidRPr="00401C70">
              <w:rPr>
                <w:rFonts w:ascii="Abadi" w:hAnsi="Abadi" w:cs="Calibri"/>
                <w:sz w:val="21"/>
                <w:szCs w:val="21"/>
              </w:rPr>
              <w:t>contar con una estructura análoga a la de los</w:t>
            </w:r>
            <w:r w:rsidRPr="00401C70">
              <w:rPr>
                <w:rFonts w:ascii="Abadi" w:hAnsi="Abadi" w:cs="Calibri"/>
                <w:spacing w:val="1"/>
                <w:sz w:val="21"/>
                <w:szCs w:val="21"/>
              </w:rPr>
              <w:t xml:space="preserve"> </w:t>
            </w:r>
            <w:r w:rsidRPr="00401C70">
              <w:rPr>
                <w:rFonts w:ascii="Abadi" w:hAnsi="Abadi" w:cs="Calibri"/>
                <w:sz w:val="21"/>
                <w:szCs w:val="21"/>
              </w:rPr>
              <w:t>organismos descentralizados o a las empresas</w:t>
            </w:r>
            <w:r w:rsidRPr="00401C70">
              <w:rPr>
                <w:rFonts w:ascii="Abadi" w:hAnsi="Abadi" w:cs="Calibri"/>
                <w:spacing w:val="1"/>
                <w:sz w:val="21"/>
                <w:szCs w:val="21"/>
              </w:rPr>
              <w:t xml:space="preserve"> </w:t>
            </w:r>
            <w:r w:rsidRPr="00401C70">
              <w:rPr>
                <w:rFonts w:ascii="Abadi" w:hAnsi="Abadi" w:cs="Calibri"/>
                <w:spacing w:val="-1"/>
                <w:sz w:val="21"/>
                <w:szCs w:val="21"/>
              </w:rPr>
              <w:t>de</w:t>
            </w:r>
            <w:r w:rsidRPr="00401C70">
              <w:rPr>
                <w:rFonts w:ascii="Abadi" w:hAnsi="Abadi" w:cs="Calibri"/>
                <w:spacing w:val="-8"/>
                <w:sz w:val="21"/>
                <w:szCs w:val="21"/>
              </w:rPr>
              <w:t xml:space="preserve"> </w:t>
            </w:r>
            <w:r w:rsidRPr="00401C70">
              <w:rPr>
                <w:rFonts w:ascii="Abadi" w:hAnsi="Abadi" w:cs="Calibri"/>
                <w:spacing w:val="-1"/>
                <w:sz w:val="21"/>
                <w:szCs w:val="21"/>
              </w:rPr>
              <w:t>participación</w:t>
            </w:r>
            <w:r w:rsidRPr="00401C70">
              <w:rPr>
                <w:rFonts w:ascii="Abadi" w:hAnsi="Abadi" w:cs="Calibri"/>
                <w:spacing w:val="-8"/>
                <w:sz w:val="21"/>
                <w:szCs w:val="21"/>
              </w:rPr>
              <w:t xml:space="preserve"> </w:t>
            </w:r>
            <w:r w:rsidRPr="00401C70">
              <w:rPr>
                <w:rFonts w:ascii="Abadi" w:hAnsi="Abadi" w:cs="Calibri"/>
                <w:sz w:val="21"/>
                <w:szCs w:val="21"/>
              </w:rPr>
              <w:t>estatal</w:t>
            </w:r>
            <w:r w:rsidRPr="00401C70">
              <w:rPr>
                <w:rFonts w:ascii="Abadi" w:hAnsi="Abadi" w:cs="Calibri"/>
                <w:spacing w:val="-14"/>
                <w:sz w:val="21"/>
                <w:szCs w:val="21"/>
              </w:rPr>
              <w:t xml:space="preserve"> </w:t>
            </w:r>
            <w:r w:rsidRPr="00401C70">
              <w:rPr>
                <w:rFonts w:ascii="Abadi" w:hAnsi="Abadi" w:cs="Calibri"/>
                <w:sz w:val="21"/>
                <w:szCs w:val="21"/>
              </w:rPr>
              <w:t>mayoritaria</w:t>
            </w:r>
            <w:r w:rsidRPr="00401C70">
              <w:rPr>
                <w:rFonts w:ascii="Abadi" w:hAnsi="Abadi" w:cs="Calibri"/>
                <w:spacing w:val="-10"/>
                <w:sz w:val="21"/>
                <w:szCs w:val="21"/>
              </w:rPr>
              <w:t xml:space="preserve"> </w:t>
            </w:r>
            <w:r w:rsidRPr="00401C70">
              <w:rPr>
                <w:rFonts w:ascii="Abadi" w:hAnsi="Abadi" w:cs="Calibri"/>
                <w:sz w:val="21"/>
                <w:szCs w:val="21"/>
              </w:rPr>
              <w:t>y</w:t>
            </w:r>
            <w:r w:rsidRPr="00401C70">
              <w:rPr>
                <w:rFonts w:ascii="Abadi" w:hAnsi="Abadi" w:cs="Calibri"/>
                <w:spacing w:val="-7"/>
                <w:sz w:val="21"/>
                <w:szCs w:val="21"/>
              </w:rPr>
              <w:t xml:space="preserve"> </w:t>
            </w:r>
            <w:r w:rsidRPr="00401C70">
              <w:rPr>
                <w:rFonts w:ascii="Abadi" w:hAnsi="Abadi" w:cs="Calibri"/>
                <w:sz w:val="21"/>
                <w:szCs w:val="21"/>
              </w:rPr>
              <w:t>se</w:t>
            </w:r>
            <w:r w:rsidRPr="00401C70">
              <w:rPr>
                <w:rFonts w:ascii="Abadi" w:hAnsi="Abadi" w:cs="Calibri"/>
                <w:spacing w:val="-10"/>
                <w:sz w:val="21"/>
                <w:szCs w:val="21"/>
              </w:rPr>
              <w:t xml:space="preserve"> </w:t>
            </w:r>
            <w:r w:rsidRPr="00401C70">
              <w:rPr>
                <w:rFonts w:ascii="Abadi" w:hAnsi="Abadi" w:cs="Calibri"/>
                <w:sz w:val="21"/>
                <w:szCs w:val="21"/>
              </w:rPr>
              <w:t>regirán</w:t>
            </w:r>
            <w:r w:rsidRPr="00401C70">
              <w:rPr>
                <w:rFonts w:ascii="Abadi" w:hAnsi="Abadi" w:cs="Calibri"/>
                <w:spacing w:val="-47"/>
                <w:sz w:val="21"/>
                <w:szCs w:val="21"/>
              </w:rPr>
              <w:t xml:space="preserve"> </w:t>
            </w:r>
            <w:r w:rsidRPr="00401C70">
              <w:rPr>
                <w:rFonts w:ascii="Abadi" w:hAnsi="Abadi" w:cs="Calibri"/>
                <w:sz w:val="21"/>
                <w:szCs w:val="21"/>
              </w:rPr>
              <w:t>por</w:t>
            </w:r>
            <w:r w:rsidRPr="00401C70">
              <w:rPr>
                <w:rFonts w:ascii="Abadi" w:hAnsi="Abadi" w:cs="Calibri"/>
                <w:spacing w:val="1"/>
                <w:sz w:val="21"/>
                <w:szCs w:val="21"/>
              </w:rPr>
              <w:t xml:space="preserve"> </w:t>
            </w:r>
            <w:r w:rsidRPr="00401C70">
              <w:rPr>
                <w:rFonts w:ascii="Abadi" w:hAnsi="Abadi" w:cs="Calibri"/>
                <w:sz w:val="21"/>
                <w:szCs w:val="21"/>
              </w:rPr>
              <w:t>comités</w:t>
            </w:r>
            <w:r w:rsidRPr="00401C70">
              <w:rPr>
                <w:rFonts w:ascii="Abadi" w:hAnsi="Abadi" w:cs="Calibri"/>
                <w:spacing w:val="1"/>
                <w:sz w:val="21"/>
                <w:szCs w:val="21"/>
              </w:rPr>
              <w:t xml:space="preserve"> </w:t>
            </w:r>
            <w:r w:rsidRPr="00401C70">
              <w:rPr>
                <w:rFonts w:ascii="Abadi" w:hAnsi="Abadi" w:cs="Calibri"/>
                <w:sz w:val="21"/>
                <w:szCs w:val="21"/>
              </w:rPr>
              <w:t>técnicos</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fungirán</w:t>
            </w:r>
            <w:r w:rsidRPr="00401C70">
              <w:rPr>
                <w:rFonts w:ascii="Abadi" w:hAnsi="Abadi" w:cs="Calibri"/>
                <w:spacing w:val="1"/>
                <w:sz w:val="21"/>
                <w:szCs w:val="21"/>
              </w:rPr>
              <w:t xml:space="preserve"> </w:t>
            </w:r>
            <w:r w:rsidRPr="00401C70">
              <w:rPr>
                <w:rFonts w:ascii="Abadi" w:hAnsi="Abadi" w:cs="Calibri"/>
                <w:sz w:val="21"/>
                <w:szCs w:val="21"/>
              </w:rPr>
              <w:t>como</w:t>
            </w:r>
            <w:r w:rsidRPr="00401C70">
              <w:rPr>
                <w:rFonts w:ascii="Abadi" w:hAnsi="Abadi" w:cs="Calibri"/>
                <w:spacing w:val="1"/>
                <w:sz w:val="21"/>
                <w:szCs w:val="21"/>
              </w:rPr>
              <w:t xml:space="preserve"> </w:t>
            </w:r>
            <w:r w:rsidRPr="00401C70">
              <w:rPr>
                <w:rFonts w:ascii="Abadi" w:hAnsi="Abadi" w:cs="Calibri"/>
                <w:sz w:val="21"/>
                <w:szCs w:val="21"/>
              </w:rPr>
              <w:t>órganos</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gobierno</w:t>
            </w:r>
            <w:r w:rsidRPr="00401C70">
              <w:rPr>
                <w:rFonts w:ascii="Abadi" w:hAnsi="Abadi" w:cs="Calibri"/>
                <w:spacing w:val="1"/>
                <w:sz w:val="21"/>
                <w:szCs w:val="21"/>
              </w:rPr>
              <w:t xml:space="preserve"> </w:t>
            </w:r>
            <w:r w:rsidRPr="00401C70">
              <w:rPr>
                <w:rFonts w:ascii="Abadi" w:hAnsi="Abadi" w:cs="Calibri"/>
                <w:sz w:val="21"/>
                <w:szCs w:val="21"/>
              </w:rPr>
              <w:t>y</w:t>
            </w:r>
            <w:r w:rsidRPr="00401C70">
              <w:rPr>
                <w:rFonts w:ascii="Abadi" w:hAnsi="Abadi" w:cs="Calibri"/>
                <w:spacing w:val="1"/>
                <w:sz w:val="21"/>
                <w:szCs w:val="21"/>
              </w:rPr>
              <w:t xml:space="preserve"> </w:t>
            </w:r>
            <w:r w:rsidRPr="00401C70">
              <w:rPr>
                <w:rFonts w:ascii="Abadi" w:hAnsi="Abadi" w:cs="Calibri"/>
                <w:sz w:val="21"/>
                <w:szCs w:val="21"/>
              </w:rPr>
              <w:t>se</w:t>
            </w:r>
            <w:r w:rsidRPr="00401C70">
              <w:rPr>
                <w:rFonts w:ascii="Abadi" w:hAnsi="Abadi" w:cs="Calibri"/>
                <w:spacing w:val="1"/>
                <w:sz w:val="21"/>
                <w:szCs w:val="21"/>
              </w:rPr>
              <w:t xml:space="preserve"> </w:t>
            </w:r>
            <w:r w:rsidRPr="00401C70">
              <w:rPr>
                <w:rFonts w:ascii="Abadi" w:hAnsi="Abadi" w:cs="Calibri"/>
                <w:sz w:val="21"/>
                <w:szCs w:val="21"/>
              </w:rPr>
              <w:t>integrarán</w:t>
            </w:r>
            <w:r w:rsidRPr="00401C70">
              <w:rPr>
                <w:rFonts w:ascii="Abadi" w:hAnsi="Abadi" w:cs="Calibri"/>
                <w:spacing w:val="1"/>
                <w:sz w:val="21"/>
                <w:szCs w:val="21"/>
              </w:rPr>
              <w:t xml:space="preserve"> </w:t>
            </w:r>
            <w:r w:rsidRPr="00401C70">
              <w:rPr>
                <w:rFonts w:ascii="Abadi" w:hAnsi="Abadi" w:cs="Calibri"/>
                <w:sz w:val="21"/>
                <w:szCs w:val="21"/>
              </w:rPr>
              <w:t>con</w:t>
            </w:r>
            <w:r w:rsidRPr="00401C70">
              <w:rPr>
                <w:rFonts w:ascii="Abadi" w:hAnsi="Abadi" w:cs="Calibri"/>
                <w:spacing w:val="-47"/>
                <w:sz w:val="21"/>
                <w:szCs w:val="21"/>
              </w:rPr>
              <w:t xml:space="preserve"> </w:t>
            </w:r>
            <w:r w:rsidRPr="00401C70">
              <w:rPr>
                <w:rFonts w:ascii="Abadi" w:hAnsi="Abadi" w:cs="Calibri"/>
                <w:sz w:val="21"/>
                <w:szCs w:val="21"/>
              </w:rPr>
              <w:t>autorización</w:t>
            </w:r>
            <w:r w:rsidRPr="00401C70">
              <w:rPr>
                <w:rFonts w:ascii="Abadi" w:hAnsi="Abadi" w:cs="Calibri"/>
                <w:spacing w:val="-2"/>
                <w:sz w:val="21"/>
                <w:szCs w:val="21"/>
              </w:rPr>
              <w:t xml:space="preserve"> </w:t>
            </w:r>
            <w:r w:rsidRPr="00401C70">
              <w:rPr>
                <w:rFonts w:ascii="Abadi" w:hAnsi="Abadi" w:cs="Calibri"/>
                <w:sz w:val="21"/>
                <w:szCs w:val="21"/>
              </w:rPr>
              <w:t>del Gobernador</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3"/>
                <w:sz w:val="21"/>
                <w:szCs w:val="21"/>
              </w:rPr>
              <w:t xml:space="preserve"> </w:t>
            </w:r>
            <w:r w:rsidRPr="00401C70">
              <w:rPr>
                <w:rFonts w:ascii="Abadi" w:hAnsi="Abadi" w:cs="Calibri"/>
                <w:sz w:val="21"/>
                <w:szCs w:val="21"/>
              </w:rPr>
              <w:t>Estado.</w:t>
            </w:r>
          </w:p>
          <w:p w14:paraId="1C6D4F8B" w14:textId="77777777" w:rsidR="00677B7E" w:rsidRPr="00401C70" w:rsidRDefault="00677B7E" w:rsidP="00FA2590">
            <w:pPr>
              <w:kinsoku w:val="0"/>
              <w:overflowPunct w:val="0"/>
              <w:autoSpaceDE w:val="0"/>
              <w:autoSpaceDN w:val="0"/>
              <w:adjustRightInd w:val="0"/>
              <w:spacing w:before="7"/>
              <w:jc w:val="both"/>
              <w:rPr>
                <w:rFonts w:ascii="Abadi" w:hAnsi="Abadi"/>
                <w:sz w:val="21"/>
                <w:szCs w:val="21"/>
              </w:rPr>
            </w:pPr>
          </w:p>
          <w:p w14:paraId="289136B4" w14:textId="77777777" w:rsidR="00677B7E" w:rsidRPr="00401C70" w:rsidRDefault="00677B7E" w:rsidP="00FA2590">
            <w:pPr>
              <w:kinsoku w:val="0"/>
              <w:overflowPunct w:val="0"/>
              <w:autoSpaceDE w:val="0"/>
              <w:autoSpaceDN w:val="0"/>
              <w:adjustRightInd w:val="0"/>
              <w:spacing w:line="270" w:lineRule="atLeast"/>
              <w:ind w:left="107" w:right="95"/>
              <w:jc w:val="both"/>
              <w:rPr>
                <w:rFonts w:ascii="Abadi" w:hAnsi="Abadi" w:cs="Calibri"/>
                <w:sz w:val="21"/>
                <w:szCs w:val="21"/>
              </w:rPr>
            </w:pPr>
            <w:r w:rsidRPr="00401C70">
              <w:rPr>
                <w:rFonts w:ascii="Abadi" w:hAnsi="Abadi" w:cs="Calibri"/>
                <w:sz w:val="21"/>
                <w:szCs w:val="21"/>
              </w:rPr>
              <w:t>Asimismo, el fideicomiso podrá contar con un</w:t>
            </w:r>
            <w:r w:rsidRPr="00401C70">
              <w:rPr>
                <w:rFonts w:ascii="Abadi" w:hAnsi="Abadi" w:cs="Calibri"/>
                <w:spacing w:val="1"/>
                <w:sz w:val="21"/>
                <w:szCs w:val="21"/>
              </w:rPr>
              <w:t xml:space="preserve"> </w:t>
            </w:r>
            <w:r w:rsidRPr="00401C70">
              <w:rPr>
                <w:rFonts w:ascii="Abadi" w:hAnsi="Abadi" w:cs="Calibri"/>
                <w:sz w:val="21"/>
                <w:szCs w:val="21"/>
              </w:rPr>
              <w:t>director</w:t>
            </w:r>
            <w:r w:rsidRPr="00401C70">
              <w:rPr>
                <w:rFonts w:ascii="Abadi" w:hAnsi="Abadi" w:cs="Calibri"/>
                <w:spacing w:val="-3"/>
                <w:sz w:val="21"/>
                <w:szCs w:val="21"/>
              </w:rPr>
              <w:t xml:space="preserve"> </w:t>
            </w:r>
            <w:r w:rsidRPr="00401C70">
              <w:rPr>
                <w:rFonts w:ascii="Abadi" w:hAnsi="Abadi" w:cs="Calibri"/>
                <w:sz w:val="21"/>
                <w:szCs w:val="21"/>
              </w:rPr>
              <w:t>general.</w:t>
            </w:r>
          </w:p>
        </w:tc>
        <w:tc>
          <w:tcPr>
            <w:tcW w:w="2500" w:type="pct"/>
            <w:tcBorders>
              <w:top w:val="single" w:sz="4" w:space="0" w:color="000000"/>
              <w:left w:val="single" w:sz="4" w:space="0" w:color="000000"/>
              <w:bottom w:val="single" w:sz="4" w:space="0" w:color="000000"/>
              <w:right w:val="single" w:sz="4" w:space="0" w:color="000000"/>
            </w:tcBorders>
          </w:tcPr>
          <w:p w14:paraId="65EC5B80" w14:textId="77777777" w:rsidR="00677B7E" w:rsidRPr="00401C70" w:rsidRDefault="00677B7E" w:rsidP="00FA2590">
            <w:pPr>
              <w:kinsoku w:val="0"/>
              <w:overflowPunct w:val="0"/>
              <w:autoSpaceDE w:val="0"/>
              <w:autoSpaceDN w:val="0"/>
              <w:adjustRightInd w:val="0"/>
              <w:ind w:left="107" w:right="92"/>
              <w:jc w:val="both"/>
              <w:rPr>
                <w:rFonts w:ascii="Abadi" w:hAnsi="Abadi" w:cs="Calibri"/>
                <w:sz w:val="21"/>
                <w:szCs w:val="21"/>
              </w:rPr>
            </w:pPr>
            <w:r w:rsidRPr="00401C70">
              <w:rPr>
                <w:rFonts w:ascii="Abadi" w:hAnsi="Abadi" w:cs="Calibri"/>
                <w:b/>
                <w:bCs/>
                <w:sz w:val="21"/>
                <w:szCs w:val="21"/>
              </w:rPr>
              <w:t xml:space="preserve">Artículo 70.- </w:t>
            </w:r>
            <w:r w:rsidRPr="00401C70">
              <w:rPr>
                <w:rFonts w:ascii="Abadi" w:hAnsi="Abadi" w:cs="Calibri"/>
                <w:sz w:val="21"/>
                <w:szCs w:val="21"/>
              </w:rPr>
              <w:t>Los fideicomisos públicos podrán</w:t>
            </w:r>
            <w:r w:rsidRPr="00401C70">
              <w:rPr>
                <w:rFonts w:ascii="Abadi" w:hAnsi="Abadi" w:cs="Calibri"/>
                <w:spacing w:val="1"/>
                <w:sz w:val="21"/>
                <w:szCs w:val="21"/>
              </w:rPr>
              <w:t xml:space="preserve"> </w:t>
            </w:r>
            <w:r w:rsidRPr="00401C70">
              <w:rPr>
                <w:rFonts w:ascii="Abadi" w:hAnsi="Abadi" w:cs="Calibri"/>
                <w:sz w:val="21"/>
                <w:szCs w:val="21"/>
              </w:rPr>
              <w:t>contar con una estructura análoga a la de los</w:t>
            </w:r>
            <w:r w:rsidRPr="00401C70">
              <w:rPr>
                <w:rFonts w:ascii="Abadi" w:hAnsi="Abadi" w:cs="Calibri"/>
                <w:spacing w:val="1"/>
                <w:sz w:val="21"/>
                <w:szCs w:val="21"/>
              </w:rPr>
              <w:t xml:space="preserve"> </w:t>
            </w:r>
            <w:r w:rsidRPr="00401C70">
              <w:rPr>
                <w:rFonts w:ascii="Abadi" w:hAnsi="Abadi" w:cs="Calibri"/>
                <w:sz w:val="21"/>
                <w:szCs w:val="21"/>
              </w:rPr>
              <w:t>organismos descentralizados o a las empresas</w:t>
            </w:r>
            <w:r w:rsidRPr="00401C70">
              <w:rPr>
                <w:rFonts w:ascii="Abadi" w:hAnsi="Abadi" w:cs="Calibri"/>
                <w:spacing w:val="1"/>
                <w:sz w:val="21"/>
                <w:szCs w:val="21"/>
              </w:rPr>
              <w:t xml:space="preserve"> </w:t>
            </w:r>
            <w:r w:rsidRPr="00401C70">
              <w:rPr>
                <w:rFonts w:ascii="Abadi" w:hAnsi="Abadi" w:cs="Calibri"/>
                <w:spacing w:val="-1"/>
                <w:sz w:val="21"/>
                <w:szCs w:val="21"/>
              </w:rPr>
              <w:t>de</w:t>
            </w:r>
            <w:r w:rsidRPr="00401C70">
              <w:rPr>
                <w:rFonts w:ascii="Abadi" w:hAnsi="Abadi" w:cs="Calibri"/>
                <w:spacing w:val="-8"/>
                <w:sz w:val="21"/>
                <w:szCs w:val="21"/>
              </w:rPr>
              <w:t xml:space="preserve"> </w:t>
            </w:r>
            <w:r w:rsidRPr="00401C70">
              <w:rPr>
                <w:rFonts w:ascii="Abadi" w:hAnsi="Abadi" w:cs="Calibri"/>
                <w:spacing w:val="-1"/>
                <w:sz w:val="21"/>
                <w:szCs w:val="21"/>
              </w:rPr>
              <w:t>participación</w:t>
            </w:r>
            <w:r w:rsidRPr="00401C70">
              <w:rPr>
                <w:rFonts w:ascii="Abadi" w:hAnsi="Abadi" w:cs="Calibri"/>
                <w:spacing w:val="-8"/>
                <w:sz w:val="21"/>
                <w:szCs w:val="21"/>
              </w:rPr>
              <w:t xml:space="preserve"> </w:t>
            </w:r>
            <w:r w:rsidRPr="00401C70">
              <w:rPr>
                <w:rFonts w:ascii="Abadi" w:hAnsi="Abadi" w:cs="Calibri"/>
                <w:sz w:val="21"/>
                <w:szCs w:val="21"/>
              </w:rPr>
              <w:t>estatal</w:t>
            </w:r>
            <w:r w:rsidRPr="00401C70">
              <w:rPr>
                <w:rFonts w:ascii="Abadi" w:hAnsi="Abadi" w:cs="Calibri"/>
                <w:spacing w:val="-14"/>
                <w:sz w:val="21"/>
                <w:szCs w:val="21"/>
              </w:rPr>
              <w:t xml:space="preserve"> </w:t>
            </w:r>
            <w:r w:rsidRPr="00401C70">
              <w:rPr>
                <w:rFonts w:ascii="Abadi" w:hAnsi="Abadi" w:cs="Calibri"/>
                <w:sz w:val="21"/>
                <w:szCs w:val="21"/>
              </w:rPr>
              <w:t>mayoritaria</w:t>
            </w:r>
            <w:r w:rsidRPr="00401C70">
              <w:rPr>
                <w:rFonts w:ascii="Abadi" w:hAnsi="Abadi" w:cs="Calibri"/>
                <w:spacing w:val="-11"/>
                <w:sz w:val="21"/>
                <w:szCs w:val="21"/>
              </w:rPr>
              <w:t xml:space="preserve"> </w:t>
            </w:r>
            <w:r w:rsidRPr="00401C70">
              <w:rPr>
                <w:rFonts w:ascii="Abadi" w:hAnsi="Abadi" w:cs="Calibri"/>
                <w:sz w:val="21"/>
                <w:szCs w:val="21"/>
              </w:rPr>
              <w:t>y</w:t>
            </w:r>
            <w:r w:rsidRPr="00401C70">
              <w:rPr>
                <w:rFonts w:ascii="Abadi" w:hAnsi="Abadi" w:cs="Calibri"/>
                <w:spacing w:val="-7"/>
                <w:sz w:val="21"/>
                <w:szCs w:val="21"/>
              </w:rPr>
              <w:t xml:space="preserve"> </w:t>
            </w:r>
            <w:r w:rsidRPr="00401C70">
              <w:rPr>
                <w:rFonts w:ascii="Abadi" w:hAnsi="Abadi" w:cs="Calibri"/>
                <w:sz w:val="21"/>
                <w:szCs w:val="21"/>
              </w:rPr>
              <w:t>se</w:t>
            </w:r>
            <w:r w:rsidRPr="00401C70">
              <w:rPr>
                <w:rFonts w:ascii="Abadi" w:hAnsi="Abadi" w:cs="Calibri"/>
                <w:spacing w:val="-10"/>
                <w:sz w:val="21"/>
                <w:szCs w:val="21"/>
              </w:rPr>
              <w:t xml:space="preserve"> </w:t>
            </w:r>
            <w:r w:rsidRPr="00401C70">
              <w:rPr>
                <w:rFonts w:ascii="Abadi" w:hAnsi="Abadi" w:cs="Calibri"/>
                <w:sz w:val="21"/>
                <w:szCs w:val="21"/>
              </w:rPr>
              <w:t>regirán</w:t>
            </w:r>
            <w:r w:rsidRPr="00401C70">
              <w:rPr>
                <w:rFonts w:ascii="Abadi" w:hAnsi="Abadi" w:cs="Calibri"/>
                <w:spacing w:val="-47"/>
                <w:sz w:val="21"/>
                <w:szCs w:val="21"/>
              </w:rPr>
              <w:t xml:space="preserve"> </w:t>
            </w:r>
            <w:r w:rsidRPr="00401C70">
              <w:rPr>
                <w:rFonts w:ascii="Abadi" w:hAnsi="Abadi" w:cs="Calibri"/>
                <w:sz w:val="21"/>
                <w:szCs w:val="21"/>
              </w:rPr>
              <w:t>por</w:t>
            </w:r>
            <w:r w:rsidRPr="00401C70">
              <w:rPr>
                <w:rFonts w:ascii="Abadi" w:hAnsi="Abadi" w:cs="Calibri"/>
                <w:spacing w:val="1"/>
                <w:sz w:val="21"/>
                <w:szCs w:val="21"/>
              </w:rPr>
              <w:t xml:space="preserve"> </w:t>
            </w:r>
            <w:r w:rsidRPr="00401C70">
              <w:rPr>
                <w:rFonts w:ascii="Abadi" w:hAnsi="Abadi" w:cs="Calibri"/>
                <w:sz w:val="21"/>
                <w:szCs w:val="21"/>
              </w:rPr>
              <w:t>comités</w:t>
            </w:r>
            <w:r w:rsidRPr="00401C70">
              <w:rPr>
                <w:rFonts w:ascii="Abadi" w:hAnsi="Abadi" w:cs="Calibri"/>
                <w:spacing w:val="1"/>
                <w:sz w:val="21"/>
                <w:szCs w:val="21"/>
              </w:rPr>
              <w:t xml:space="preserve"> </w:t>
            </w:r>
            <w:r w:rsidRPr="00401C70">
              <w:rPr>
                <w:rFonts w:ascii="Abadi" w:hAnsi="Abadi" w:cs="Calibri"/>
                <w:sz w:val="21"/>
                <w:szCs w:val="21"/>
              </w:rPr>
              <w:t>técnicos</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fungirán</w:t>
            </w:r>
            <w:r w:rsidRPr="00401C70">
              <w:rPr>
                <w:rFonts w:ascii="Abadi" w:hAnsi="Abadi" w:cs="Calibri"/>
                <w:spacing w:val="1"/>
                <w:sz w:val="21"/>
                <w:szCs w:val="21"/>
              </w:rPr>
              <w:t xml:space="preserve"> </w:t>
            </w:r>
            <w:r w:rsidRPr="00401C70">
              <w:rPr>
                <w:rFonts w:ascii="Abadi" w:hAnsi="Abadi" w:cs="Calibri"/>
                <w:sz w:val="21"/>
                <w:szCs w:val="21"/>
              </w:rPr>
              <w:t>como</w:t>
            </w:r>
            <w:r w:rsidRPr="00401C70">
              <w:rPr>
                <w:rFonts w:ascii="Abadi" w:hAnsi="Abadi" w:cs="Calibri"/>
                <w:spacing w:val="1"/>
                <w:sz w:val="21"/>
                <w:szCs w:val="21"/>
              </w:rPr>
              <w:t xml:space="preserve"> </w:t>
            </w:r>
            <w:r w:rsidRPr="00401C70">
              <w:rPr>
                <w:rFonts w:ascii="Abadi" w:hAnsi="Abadi" w:cs="Calibri"/>
                <w:sz w:val="21"/>
                <w:szCs w:val="21"/>
              </w:rPr>
              <w:t>órganos</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gobierno</w:t>
            </w:r>
            <w:r w:rsidRPr="00401C70">
              <w:rPr>
                <w:rFonts w:ascii="Abadi" w:hAnsi="Abadi" w:cs="Calibri"/>
                <w:spacing w:val="1"/>
                <w:sz w:val="21"/>
                <w:szCs w:val="21"/>
              </w:rPr>
              <w:t xml:space="preserve"> </w:t>
            </w:r>
            <w:r w:rsidRPr="00401C70">
              <w:rPr>
                <w:rFonts w:ascii="Abadi" w:hAnsi="Abadi" w:cs="Calibri"/>
                <w:sz w:val="21"/>
                <w:szCs w:val="21"/>
              </w:rPr>
              <w:t>y</w:t>
            </w:r>
            <w:r w:rsidRPr="00401C70">
              <w:rPr>
                <w:rFonts w:ascii="Abadi" w:hAnsi="Abadi" w:cs="Calibri"/>
                <w:spacing w:val="1"/>
                <w:sz w:val="21"/>
                <w:szCs w:val="21"/>
              </w:rPr>
              <w:t xml:space="preserve"> </w:t>
            </w:r>
            <w:r w:rsidRPr="00401C70">
              <w:rPr>
                <w:rFonts w:ascii="Abadi" w:hAnsi="Abadi" w:cs="Calibri"/>
                <w:sz w:val="21"/>
                <w:szCs w:val="21"/>
              </w:rPr>
              <w:t>se</w:t>
            </w:r>
            <w:r w:rsidRPr="00401C70">
              <w:rPr>
                <w:rFonts w:ascii="Abadi" w:hAnsi="Abadi" w:cs="Calibri"/>
                <w:spacing w:val="1"/>
                <w:sz w:val="21"/>
                <w:szCs w:val="21"/>
              </w:rPr>
              <w:t xml:space="preserve"> </w:t>
            </w:r>
            <w:r w:rsidRPr="00401C70">
              <w:rPr>
                <w:rFonts w:ascii="Abadi" w:hAnsi="Abadi" w:cs="Calibri"/>
                <w:sz w:val="21"/>
                <w:szCs w:val="21"/>
              </w:rPr>
              <w:t>integrarán</w:t>
            </w:r>
            <w:r w:rsidRPr="00401C70">
              <w:rPr>
                <w:rFonts w:ascii="Abadi" w:hAnsi="Abadi" w:cs="Calibri"/>
                <w:spacing w:val="1"/>
                <w:sz w:val="21"/>
                <w:szCs w:val="21"/>
              </w:rPr>
              <w:t xml:space="preserve"> </w:t>
            </w:r>
            <w:r w:rsidRPr="00401C70">
              <w:rPr>
                <w:rFonts w:ascii="Abadi" w:hAnsi="Abadi" w:cs="Calibri"/>
                <w:sz w:val="21"/>
                <w:szCs w:val="21"/>
              </w:rPr>
              <w:t>con</w:t>
            </w:r>
            <w:r w:rsidRPr="00401C70">
              <w:rPr>
                <w:rFonts w:ascii="Abadi" w:hAnsi="Abadi" w:cs="Calibri"/>
                <w:spacing w:val="-47"/>
                <w:sz w:val="21"/>
                <w:szCs w:val="21"/>
              </w:rPr>
              <w:t xml:space="preserve"> </w:t>
            </w:r>
            <w:r w:rsidRPr="00401C70">
              <w:rPr>
                <w:rFonts w:ascii="Abadi" w:hAnsi="Abadi" w:cs="Calibri"/>
                <w:sz w:val="21"/>
                <w:szCs w:val="21"/>
              </w:rPr>
              <w:t>autorización</w:t>
            </w:r>
            <w:r w:rsidRPr="00401C70">
              <w:rPr>
                <w:rFonts w:ascii="Abadi" w:hAnsi="Abadi" w:cs="Calibri"/>
                <w:spacing w:val="-2"/>
                <w:sz w:val="21"/>
                <w:szCs w:val="21"/>
              </w:rPr>
              <w:t xml:space="preserve"> </w:t>
            </w:r>
            <w:r w:rsidRPr="00401C70">
              <w:rPr>
                <w:rFonts w:ascii="Abadi" w:hAnsi="Abadi" w:cs="Calibri"/>
                <w:sz w:val="21"/>
                <w:szCs w:val="21"/>
              </w:rPr>
              <w:t>del Gobernador</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3"/>
                <w:sz w:val="21"/>
                <w:szCs w:val="21"/>
              </w:rPr>
              <w:t xml:space="preserve"> </w:t>
            </w:r>
            <w:r w:rsidRPr="00401C70">
              <w:rPr>
                <w:rFonts w:ascii="Abadi" w:hAnsi="Abadi" w:cs="Calibri"/>
                <w:sz w:val="21"/>
                <w:szCs w:val="21"/>
              </w:rPr>
              <w:t>Estado.</w:t>
            </w:r>
          </w:p>
          <w:p w14:paraId="377F1B9C" w14:textId="77777777" w:rsidR="00677B7E" w:rsidRPr="00401C70" w:rsidRDefault="00677B7E" w:rsidP="00FA2590">
            <w:pPr>
              <w:kinsoku w:val="0"/>
              <w:overflowPunct w:val="0"/>
              <w:autoSpaceDE w:val="0"/>
              <w:autoSpaceDN w:val="0"/>
              <w:adjustRightInd w:val="0"/>
              <w:spacing w:before="7"/>
              <w:jc w:val="both"/>
              <w:rPr>
                <w:rFonts w:ascii="Abadi" w:hAnsi="Abadi"/>
                <w:sz w:val="21"/>
                <w:szCs w:val="21"/>
              </w:rPr>
            </w:pPr>
          </w:p>
          <w:p w14:paraId="22530EE8" w14:textId="77777777" w:rsidR="00677B7E" w:rsidRPr="00401C70" w:rsidRDefault="00677B7E" w:rsidP="00FA2590">
            <w:pPr>
              <w:kinsoku w:val="0"/>
              <w:overflowPunct w:val="0"/>
              <w:autoSpaceDE w:val="0"/>
              <w:autoSpaceDN w:val="0"/>
              <w:adjustRightInd w:val="0"/>
              <w:spacing w:line="270" w:lineRule="atLeast"/>
              <w:ind w:left="107" w:right="91"/>
              <w:jc w:val="both"/>
              <w:rPr>
                <w:rFonts w:ascii="Abadi" w:hAnsi="Abadi" w:cs="Calibri"/>
                <w:b/>
                <w:bCs/>
                <w:i/>
                <w:iCs/>
                <w:sz w:val="21"/>
                <w:szCs w:val="21"/>
              </w:rPr>
            </w:pPr>
            <w:r w:rsidRPr="00401C70">
              <w:rPr>
                <w:rFonts w:ascii="Abadi" w:hAnsi="Abadi" w:cs="Calibri"/>
                <w:sz w:val="21"/>
                <w:szCs w:val="21"/>
              </w:rPr>
              <w:t xml:space="preserve">Asimismo, el fideicomiso podrá contar con </w:t>
            </w:r>
            <w:r w:rsidRPr="00401C70">
              <w:rPr>
                <w:rFonts w:ascii="Abadi" w:hAnsi="Abadi" w:cs="Calibri"/>
                <w:b/>
                <w:bCs/>
                <w:i/>
                <w:iCs/>
                <w:sz w:val="21"/>
                <w:szCs w:val="21"/>
              </w:rPr>
              <w:t>una</w:t>
            </w:r>
            <w:r w:rsidRPr="00401C70">
              <w:rPr>
                <w:rFonts w:ascii="Abadi" w:hAnsi="Abadi" w:cs="Calibri"/>
                <w:b/>
                <w:bCs/>
                <w:i/>
                <w:iCs/>
                <w:spacing w:val="-47"/>
                <w:sz w:val="21"/>
                <w:szCs w:val="21"/>
              </w:rPr>
              <w:t xml:space="preserve"> </w:t>
            </w:r>
            <w:r w:rsidRPr="00401C70">
              <w:rPr>
                <w:rFonts w:ascii="Abadi" w:hAnsi="Abadi" w:cs="Calibri"/>
                <w:b/>
                <w:bCs/>
                <w:i/>
                <w:iCs/>
                <w:sz w:val="21"/>
                <w:szCs w:val="21"/>
              </w:rPr>
              <w:t>Dirección</w:t>
            </w:r>
            <w:r w:rsidRPr="00401C70">
              <w:rPr>
                <w:rFonts w:ascii="Abadi" w:hAnsi="Abadi" w:cs="Calibri"/>
                <w:b/>
                <w:bCs/>
                <w:i/>
                <w:iCs/>
                <w:spacing w:val="-2"/>
                <w:sz w:val="21"/>
                <w:szCs w:val="21"/>
              </w:rPr>
              <w:t xml:space="preserve"> </w:t>
            </w:r>
            <w:r w:rsidRPr="00401C70">
              <w:rPr>
                <w:rFonts w:ascii="Abadi" w:hAnsi="Abadi" w:cs="Calibri"/>
                <w:b/>
                <w:bCs/>
                <w:i/>
                <w:iCs/>
                <w:sz w:val="21"/>
                <w:szCs w:val="21"/>
              </w:rPr>
              <w:t>General.</w:t>
            </w:r>
          </w:p>
        </w:tc>
      </w:tr>
      <w:tr w:rsidR="00677B7E" w:rsidRPr="00401C70" w14:paraId="260F5A37" w14:textId="77777777" w:rsidTr="003343AD">
        <w:trPr>
          <w:trHeight w:val="2688"/>
        </w:trPr>
        <w:tc>
          <w:tcPr>
            <w:tcW w:w="2500" w:type="pct"/>
            <w:tcBorders>
              <w:top w:val="single" w:sz="4" w:space="0" w:color="000000"/>
              <w:left w:val="single" w:sz="4" w:space="0" w:color="000000"/>
              <w:bottom w:val="single" w:sz="4" w:space="0" w:color="000000"/>
              <w:right w:val="single" w:sz="4" w:space="0" w:color="000000"/>
            </w:tcBorders>
          </w:tcPr>
          <w:p w14:paraId="429783DB" w14:textId="77777777" w:rsidR="00677B7E" w:rsidRPr="00401C70" w:rsidRDefault="00677B7E" w:rsidP="00FA2590">
            <w:pPr>
              <w:kinsoku w:val="0"/>
              <w:overflowPunct w:val="0"/>
              <w:autoSpaceDE w:val="0"/>
              <w:autoSpaceDN w:val="0"/>
              <w:adjustRightInd w:val="0"/>
              <w:ind w:left="107" w:right="92"/>
              <w:jc w:val="both"/>
              <w:rPr>
                <w:rFonts w:ascii="Abadi" w:hAnsi="Abadi" w:cs="Calibri"/>
                <w:b/>
                <w:bCs/>
                <w:sz w:val="21"/>
                <w:szCs w:val="21"/>
              </w:rPr>
            </w:pPr>
            <w:r w:rsidRPr="00401C70">
              <w:rPr>
                <w:rFonts w:ascii="Abadi" w:hAnsi="Abadi" w:cs="Calibri"/>
                <w:b/>
                <w:bCs/>
                <w:sz w:val="21"/>
                <w:szCs w:val="21"/>
              </w:rPr>
              <w:t>Artículo 80.- El comité técnico deberá estar integrado por lo menos con los siguientes miembros propietarios:</w:t>
            </w:r>
          </w:p>
        </w:tc>
        <w:tc>
          <w:tcPr>
            <w:tcW w:w="2500" w:type="pct"/>
            <w:tcBorders>
              <w:top w:val="single" w:sz="4" w:space="0" w:color="000000"/>
              <w:left w:val="single" w:sz="4" w:space="0" w:color="000000"/>
              <w:bottom w:val="single" w:sz="4" w:space="0" w:color="000000"/>
              <w:right w:val="single" w:sz="4" w:space="0" w:color="000000"/>
            </w:tcBorders>
          </w:tcPr>
          <w:p w14:paraId="49AA51C2" w14:textId="77777777" w:rsidR="00677B7E" w:rsidRPr="00401C70" w:rsidRDefault="00677B7E" w:rsidP="00FA2590">
            <w:pPr>
              <w:kinsoku w:val="0"/>
              <w:overflowPunct w:val="0"/>
              <w:autoSpaceDE w:val="0"/>
              <w:autoSpaceDN w:val="0"/>
              <w:adjustRightInd w:val="0"/>
              <w:ind w:left="107" w:right="92"/>
              <w:jc w:val="both"/>
              <w:rPr>
                <w:rFonts w:ascii="Abadi" w:hAnsi="Abadi" w:cs="Calibri"/>
                <w:b/>
                <w:bCs/>
                <w:sz w:val="21"/>
                <w:szCs w:val="21"/>
              </w:rPr>
            </w:pPr>
            <w:r w:rsidRPr="00401C70">
              <w:rPr>
                <w:rFonts w:ascii="Abadi" w:hAnsi="Abadi" w:cs="Calibri"/>
                <w:b/>
                <w:bCs/>
                <w:sz w:val="21"/>
                <w:szCs w:val="21"/>
              </w:rPr>
              <w:t>Artículo 80.- El comité técnico deberá estar integrado por lo menos con las siguientes personas integrantes propietarias:</w:t>
            </w:r>
          </w:p>
        </w:tc>
      </w:tr>
      <w:tr w:rsidR="00677B7E" w:rsidRPr="00401C70" w14:paraId="5036FC22" w14:textId="77777777" w:rsidTr="003343AD">
        <w:trPr>
          <w:trHeight w:val="2688"/>
        </w:trPr>
        <w:tc>
          <w:tcPr>
            <w:tcW w:w="2500" w:type="pct"/>
            <w:tcBorders>
              <w:top w:val="single" w:sz="4" w:space="0" w:color="000000"/>
              <w:left w:val="single" w:sz="4" w:space="0" w:color="000000"/>
              <w:bottom w:val="single" w:sz="4" w:space="0" w:color="000000"/>
              <w:right w:val="single" w:sz="4" w:space="0" w:color="000000"/>
            </w:tcBorders>
          </w:tcPr>
          <w:p w14:paraId="3604C88C" w14:textId="77777777" w:rsidR="00677B7E" w:rsidRPr="00401C70" w:rsidRDefault="00677B7E" w:rsidP="00FA2590">
            <w:pPr>
              <w:kinsoku w:val="0"/>
              <w:overflowPunct w:val="0"/>
              <w:autoSpaceDE w:val="0"/>
              <w:autoSpaceDN w:val="0"/>
              <w:adjustRightInd w:val="0"/>
              <w:ind w:left="107" w:right="92"/>
              <w:jc w:val="both"/>
              <w:rPr>
                <w:rFonts w:ascii="Abadi" w:hAnsi="Abadi" w:cs="Calibri"/>
                <w:b/>
                <w:bCs/>
                <w:sz w:val="21"/>
                <w:szCs w:val="21"/>
              </w:rPr>
            </w:pPr>
            <w:r w:rsidRPr="00401C70">
              <w:rPr>
                <w:rFonts w:ascii="Abadi" w:hAnsi="Abadi" w:cs="Calibri"/>
                <w:b/>
                <w:bCs/>
                <w:sz w:val="21"/>
                <w:szCs w:val="21"/>
              </w:rPr>
              <w:t>I.- Un representante de la dependencia coordinadora de sector;</w:t>
            </w:r>
          </w:p>
          <w:p w14:paraId="708E7128" w14:textId="77777777" w:rsidR="00677B7E" w:rsidRPr="00401C70" w:rsidRDefault="00677B7E" w:rsidP="00FA2590">
            <w:pPr>
              <w:kinsoku w:val="0"/>
              <w:overflowPunct w:val="0"/>
              <w:autoSpaceDE w:val="0"/>
              <w:autoSpaceDN w:val="0"/>
              <w:adjustRightInd w:val="0"/>
              <w:ind w:left="107" w:right="92"/>
              <w:jc w:val="both"/>
              <w:rPr>
                <w:rFonts w:ascii="Abadi" w:hAnsi="Abadi" w:cs="Calibri"/>
                <w:b/>
                <w:bCs/>
                <w:sz w:val="21"/>
                <w:szCs w:val="21"/>
              </w:rPr>
            </w:pPr>
            <w:r w:rsidRPr="00401C70">
              <w:rPr>
                <w:rFonts w:ascii="Abadi" w:hAnsi="Abadi" w:cs="Calibri"/>
                <w:b/>
                <w:bCs/>
                <w:sz w:val="21"/>
                <w:szCs w:val="21"/>
              </w:rPr>
              <w:t>II.- Un representante de la Secretaría de Finanzas, Inversión y Administración;</w:t>
            </w:r>
          </w:p>
          <w:p w14:paraId="2398049E" w14:textId="77777777" w:rsidR="00677B7E" w:rsidRPr="00401C70" w:rsidRDefault="00677B7E" w:rsidP="00FA2590">
            <w:pPr>
              <w:kinsoku w:val="0"/>
              <w:overflowPunct w:val="0"/>
              <w:autoSpaceDE w:val="0"/>
              <w:autoSpaceDN w:val="0"/>
              <w:adjustRightInd w:val="0"/>
              <w:ind w:left="107" w:right="92"/>
              <w:jc w:val="both"/>
              <w:rPr>
                <w:rFonts w:ascii="Abadi" w:hAnsi="Abadi" w:cs="Calibri"/>
                <w:b/>
                <w:bCs/>
                <w:sz w:val="21"/>
                <w:szCs w:val="21"/>
              </w:rPr>
            </w:pPr>
            <w:r w:rsidRPr="00401C70">
              <w:rPr>
                <w:rFonts w:ascii="Abadi" w:hAnsi="Abadi" w:cs="Calibri"/>
                <w:b/>
                <w:bCs/>
                <w:sz w:val="21"/>
                <w:szCs w:val="21"/>
              </w:rPr>
              <w:t>III.- Un representante de la Secretaría de la Transparencia y Rendición de Cuentas;</w:t>
            </w:r>
          </w:p>
          <w:p w14:paraId="19F5E942" w14:textId="77777777" w:rsidR="00677B7E" w:rsidRPr="00401C70" w:rsidRDefault="00677B7E" w:rsidP="00FA2590">
            <w:pPr>
              <w:kinsoku w:val="0"/>
              <w:overflowPunct w:val="0"/>
              <w:autoSpaceDE w:val="0"/>
              <w:autoSpaceDN w:val="0"/>
              <w:adjustRightInd w:val="0"/>
              <w:ind w:left="107" w:right="92"/>
              <w:jc w:val="both"/>
              <w:rPr>
                <w:rFonts w:ascii="Abadi" w:hAnsi="Abadi" w:cs="Calibri"/>
                <w:b/>
                <w:bCs/>
                <w:sz w:val="21"/>
                <w:szCs w:val="21"/>
              </w:rPr>
            </w:pPr>
            <w:r w:rsidRPr="00401C70">
              <w:rPr>
                <w:rFonts w:ascii="Abadi" w:hAnsi="Abadi" w:cs="Calibri"/>
                <w:b/>
                <w:bCs/>
                <w:sz w:val="21"/>
                <w:szCs w:val="21"/>
              </w:rPr>
              <w:t>IV.- Un representante del fiduciario; y</w:t>
            </w:r>
          </w:p>
          <w:p w14:paraId="0A0243E0" w14:textId="77777777" w:rsidR="00677B7E" w:rsidRPr="00401C70" w:rsidRDefault="00677B7E" w:rsidP="00FA2590">
            <w:pPr>
              <w:kinsoku w:val="0"/>
              <w:overflowPunct w:val="0"/>
              <w:autoSpaceDE w:val="0"/>
              <w:autoSpaceDN w:val="0"/>
              <w:adjustRightInd w:val="0"/>
              <w:ind w:left="107" w:right="92"/>
              <w:jc w:val="both"/>
              <w:rPr>
                <w:rFonts w:ascii="Abadi" w:hAnsi="Abadi" w:cs="Calibri"/>
                <w:b/>
                <w:bCs/>
                <w:sz w:val="21"/>
                <w:szCs w:val="21"/>
              </w:rPr>
            </w:pPr>
            <w:r w:rsidRPr="00401C70">
              <w:rPr>
                <w:rFonts w:ascii="Abadi" w:hAnsi="Abadi" w:cs="Calibri"/>
                <w:b/>
                <w:bCs/>
                <w:sz w:val="21"/>
                <w:szCs w:val="21"/>
              </w:rPr>
              <w:t>V.- Un representante de las dependencias o entidades del Ejecutivo del Estado que de acuerdo con los fines del fideicomiso deban intervenir.</w:t>
            </w:r>
          </w:p>
        </w:tc>
        <w:tc>
          <w:tcPr>
            <w:tcW w:w="2500" w:type="pct"/>
            <w:tcBorders>
              <w:top w:val="single" w:sz="4" w:space="0" w:color="000000"/>
              <w:left w:val="single" w:sz="4" w:space="0" w:color="000000"/>
              <w:bottom w:val="single" w:sz="4" w:space="0" w:color="000000"/>
              <w:right w:val="single" w:sz="4" w:space="0" w:color="000000"/>
            </w:tcBorders>
          </w:tcPr>
          <w:p w14:paraId="13F29303" w14:textId="3F4918DA" w:rsidR="00677B7E" w:rsidRPr="00401C70" w:rsidRDefault="00677B7E" w:rsidP="00FA2590">
            <w:pPr>
              <w:kinsoku w:val="0"/>
              <w:overflowPunct w:val="0"/>
              <w:autoSpaceDE w:val="0"/>
              <w:autoSpaceDN w:val="0"/>
              <w:adjustRightInd w:val="0"/>
              <w:ind w:left="107" w:right="92"/>
              <w:jc w:val="both"/>
              <w:rPr>
                <w:rFonts w:ascii="Abadi" w:hAnsi="Abadi" w:cs="Calibri"/>
                <w:b/>
                <w:bCs/>
                <w:sz w:val="21"/>
                <w:szCs w:val="21"/>
              </w:rPr>
            </w:pPr>
            <w:r w:rsidRPr="00401C70">
              <w:rPr>
                <w:rFonts w:ascii="Abadi" w:hAnsi="Abadi" w:cs="Calibri"/>
                <w:b/>
                <w:bCs/>
                <w:sz w:val="21"/>
                <w:szCs w:val="21"/>
              </w:rPr>
              <w:t xml:space="preserve">I.-     </w:t>
            </w:r>
            <w:r w:rsidR="009B0621" w:rsidRPr="00401C70">
              <w:rPr>
                <w:rFonts w:ascii="Abadi" w:hAnsi="Abadi" w:cs="Calibri"/>
                <w:b/>
                <w:bCs/>
                <w:sz w:val="21"/>
                <w:szCs w:val="21"/>
              </w:rPr>
              <w:t>Una persona</w:t>
            </w:r>
            <w:r w:rsidRPr="00401C70">
              <w:rPr>
                <w:rFonts w:ascii="Abadi" w:hAnsi="Abadi" w:cs="Calibri"/>
                <w:b/>
                <w:bCs/>
                <w:sz w:val="21"/>
                <w:szCs w:val="21"/>
              </w:rPr>
              <w:t xml:space="preserve">  representante  de    la dependencia coordinadora de sector;</w:t>
            </w:r>
          </w:p>
          <w:p w14:paraId="5BFE9B20" w14:textId="77777777" w:rsidR="00677B7E" w:rsidRPr="00401C70" w:rsidRDefault="00677B7E" w:rsidP="00FA2590">
            <w:pPr>
              <w:kinsoku w:val="0"/>
              <w:overflowPunct w:val="0"/>
              <w:autoSpaceDE w:val="0"/>
              <w:autoSpaceDN w:val="0"/>
              <w:adjustRightInd w:val="0"/>
              <w:ind w:left="107" w:right="92"/>
              <w:jc w:val="both"/>
              <w:rPr>
                <w:rFonts w:ascii="Abadi" w:hAnsi="Abadi" w:cs="Calibri"/>
                <w:b/>
                <w:bCs/>
                <w:sz w:val="21"/>
                <w:szCs w:val="21"/>
              </w:rPr>
            </w:pPr>
            <w:r w:rsidRPr="00401C70">
              <w:rPr>
                <w:rFonts w:ascii="Abadi" w:hAnsi="Abadi" w:cs="Calibri"/>
                <w:b/>
                <w:bCs/>
                <w:sz w:val="21"/>
                <w:szCs w:val="21"/>
              </w:rPr>
              <w:t>II.- Una persona representante de la Secretaría de Finanzas, Inversión y Administración;</w:t>
            </w:r>
          </w:p>
          <w:p w14:paraId="51920DF0" w14:textId="77777777" w:rsidR="00677B7E" w:rsidRPr="00401C70" w:rsidRDefault="00677B7E" w:rsidP="00FA2590">
            <w:pPr>
              <w:kinsoku w:val="0"/>
              <w:overflowPunct w:val="0"/>
              <w:autoSpaceDE w:val="0"/>
              <w:autoSpaceDN w:val="0"/>
              <w:adjustRightInd w:val="0"/>
              <w:ind w:left="107" w:right="92"/>
              <w:jc w:val="both"/>
              <w:rPr>
                <w:rFonts w:ascii="Abadi" w:hAnsi="Abadi" w:cs="Calibri"/>
                <w:b/>
                <w:bCs/>
                <w:sz w:val="21"/>
                <w:szCs w:val="21"/>
              </w:rPr>
            </w:pPr>
            <w:r w:rsidRPr="00401C70">
              <w:rPr>
                <w:rFonts w:ascii="Abadi" w:hAnsi="Abadi" w:cs="Calibri"/>
                <w:b/>
                <w:bCs/>
                <w:sz w:val="21"/>
                <w:szCs w:val="21"/>
              </w:rPr>
              <w:t>III.- Una persona representante de la Secretaría de la Transparencia y Rendición de Cuentas; IV.- Una persona representante del fiduciario; y</w:t>
            </w:r>
          </w:p>
          <w:p w14:paraId="6B2D9EEE" w14:textId="77777777" w:rsidR="00677B7E" w:rsidRPr="00401C70" w:rsidRDefault="00677B7E" w:rsidP="00FA2590">
            <w:pPr>
              <w:kinsoku w:val="0"/>
              <w:overflowPunct w:val="0"/>
              <w:autoSpaceDE w:val="0"/>
              <w:autoSpaceDN w:val="0"/>
              <w:adjustRightInd w:val="0"/>
              <w:ind w:left="107" w:right="92"/>
              <w:jc w:val="both"/>
              <w:rPr>
                <w:rFonts w:ascii="Abadi" w:hAnsi="Abadi" w:cs="Calibri"/>
                <w:b/>
                <w:bCs/>
                <w:sz w:val="21"/>
                <w:szCs w:val="21"/>
              </w:rPr>
            </w:pPr>
            <w:r w:rsidRPr="00401C70">
              <w:rPr>
                <w:rFonts w:ascii="Abadi" w:hAnsi="Abadi" w:cs="Calibri"/>
                <w:b/>
                <w:bCs/>
                <w:sz w:val="21"/>
                <w:szCs w:val="21"/>
              </w:rPr>
              <w:t>V.- Una persona representante de las dependencias o entidades del Ejecutivo del Estado que de acuerdo con los fines del fideicomiso deban intervenir.</w:t>
            </w:r>
          </w:p>
        </w:tc>
      </w:tr>
      <w:tr w:rsidR="00677B7E" w:rsidRPr="00401C70" w14:paraId="174C7565" w14:textId="77777777" w:rsidTr="003343AD">
        <w:trPr>
          <w:trHeight w:val="2688"/>
        </w:trPr>
        <w:tc>
          <w:tcPr>
            <w:tcW w:w="2500" w:type="pct"/>
            <w:tcBorders>
              <w:top w:val="single" w:sz="4" w:space="0" w:color="000000"/>
              <w:left w:val="single" w:sz="4" w:space="0" w:color="000000"/>
              <w:bottom w:val="single" w:sz="4" w:space="0" w:color="000000"/>
              <w:right w:val="single" w:sz="4" w:space="0" w:color="000000"/>
            </w:tcBorders>
          </w:tcPr>
          <w:p w14:paraId="68737EF0" w14:textId="77777777" w:rsidR="00677B7E" w:rsidRPr="00401C70" w:rsidRDefault="00677B7E" w:rsidP="00FA2590">
            <w:pPr>
              <w:kinsoku w:val="0"/>
              <w:overflowPunct w:val="0"/>
              <w:autoSpaceDE w:val="0"/>
              <w:autoSpaceDN w:val="0"/>
              <w:adjustRightInd w:val="0"/>
              <w:ind w:left="107" w:right="92"/>
              <w:jc w:val="both"/>
              <w:rPr>
                <w:rFonts w:ascii="Abadi" w:hAnsi="Abadi" w:cs="Calibri"/>
                <w:b/>
                <w:bCs/>
                <w:sz w:val="21"/>
                <w:szCs w:val="21"/>
              </w:rPr>
            </w:pPr>
          </w:p>
          <w:p w14:paraId="31D9AE2E" w14:textId="77777777" w:rsidR="00677B7E" w:rsidRPr="00401C70" w:rsidRDefault="00677B7E" w:rsidP="00FA2590">
            <w:pPr>
              <w:kinsoku w:val="0"/>
              <w:overflowPunct w:val="0"/>
              <w:autoSpaceDE w:val="0"/>
              <w:autoSpaceDN w:val="0"/>
              <w:adjustRightInd w:val="0"/>
              <w:ind w:left="107" w:right="92"/>
              <w:jc w:val="both"/>
              <w:rPr>
                <w:rFonts w:ascii="Abadi" w:hAnsi="Abadi" w:cs="Calibri"/>
                <w:b/>
                <w:bCs/>
                <w:sz w:val="21"/>
                <w:szCs w:val="21"/>
              </w:rPr>
            </w:pPr>
            <w:r w:rsidRPr="00401C70">
              <w:rPr>
                <w:rFonts w:ascii="Abadi" w:hAnsi="Abadi" w:cs="Calibri"/>
                <w:b/>
                <w:bCs/>
                <w:sz w:val="21"/>
                <w:szCs w:val="21"/>
              </w:rPr>
              <w:t>Por cada miembro propietario del comité técnico habrá un suplente que lo cubrirá en sus ausencias.</w:t>
            </w:r>
          </w:p>
        </w:tc>
        <w:tc>
          <w:tcPr>
            <w:tcW w:w="2500" w:type="pct"/>
            <w:tcBorders>
              <w:top w:val="single" w:sz="4" w:space="0" w:color="000000"/>
              <w:left w:val="single" w:sz="4" w:space="0" w:color="000000"/>
              <w:bottom w:val="single" w:sz="4" w:space="0" w:color="000000"/>
              <w:right w:val="single" w:sz="4" w:space="0" w:color="000000"/>
            </w:tcBorders>
          </w:tcPr>
          <w:p w14:paraId="06FBF142" w14:textId="77777777" w:rsidR="00677B7E" w:rsidRPr="00401C70" w:rsidRDefault="00677B7E" w:rsidP="00FA2590">
            <w:pPr>
              <w:kinsoku w:val="0"/>
              <w:overflowPunct w:val="0"/>
              <w:autoSpaceDE w:val="0"/>
              <w:autoSpaceDN w:val="0"/>
              <w:adjustRightInd w:val="0"/>
              <w:ind w:left="107" w:right="92"/>
              <w:jc w:val="both"/>
              <w:rPr>
                <w:rFonts w:ascii="Abadi" w:hAnsi="Abadi" w:cs="Calibri"/>
                <w:b/>
                <w:bCs/>
                <w:sz w:val="21"/>
                <w:szCs w:val="21"/>
              </w:rPr>
            </w:pPr>
          </w:p>
          <w:p w14:paraId="0A631C97" w14:textId="77777777" w:rsidR="00677B7E" w:rsidRPr="00401C70" w:rsidRDefault="00677B7E" w:rsidP="00FA2590">
            <w:pPr>
              <w:kinsoku w:val="0"/>
              <w:overflowPunct w:val="0"/>
              <w:autoSpaceDE w:val="0"/>
              <w:autoSpaceDN w:val="0"/>
              <w:adjustRightInd w:val="0"/>
              <w:ind w:left="107" w:right="92"/>
              <w:jc w:val="both"/>
              <w:rPr>
                <w:rFonts w:ascii="Abadi" w:hAnsi="Abadi" w:cs="Calibri"/>
                <w:b/>
                <w:bCs/>
                <w:sz w:val="21"/>
                <w:szCs w:val="21"/>
              </w:rPr>
            </w:pPr>
            <w:r w:rsidRPr="00401C70">
              <w:rPr>
                <w:rFonts w:ascii="Abadi" w:hAnsi="Abadi" w:cs="Calibri"/>
                <w:b/>
                <w:bCs/>
                <w:sz w:val="21"/>
                <w:szCs w:val="21"/>
              </w:rPr>
              <w:t>Por cada persona integrante propietaria del comité técnico habrá una suplente que la cubrirá en sus ausencias y que deberá ser del mismo género que la propietaria.</w:t>
            </w:r>
          </w:p>
        </w:tc>
      </w:tr>
      <w:tr w:rsidR="00677B7E" w:rsidRPr="00401C70" w14:paraId="6F7767BB" w14:textId="77777777" w:rsidTr="003343AD">
        <w:trPr>
          <w:trHeight w:val="2688"/>
        </w:trPr>
        <w:tc>
          <w:tcPr>
            <w:tcW w:w="2500" w:type="pct"/>
            <w:tcBorders>
              <w:top w:val="single" w:sz="4" w:space="0" w:color="000000"/>
              <w:left w:val="single" w:sz="4" w:space="0" w:color="000000"/>
              <w:bottom w:val="single" w:sz="4" w:space="0" w:color="000000"/>
              <w:right w:val="single" w:sz="4" w:space="0" w:color="000000"/>
            </w:tcBorders>
          </w:tcPr>
          <w:p w14:paraId="6B40616E" w14:textId="77777777" w:rsidR="00677B7E" w:rsidRPr="00401C70" w:rsidRDefault="00677B7E" w:rsidP="00FA2590">
            <w:pPr>
              <w:kinsoku w:val="0"/>
              <w:overflowPunct w:val="0"/>
              <w:autoSpaceDE w:val="0"/>
              <w:autoSpaceDN w:val="0"/>
              <w:adjustRightInd w:val="0"/>
              <w:ind w:left="107" w:right="92"/>
              <w:jc w:val="both"/>
              <w:rPr>
                <w:rFonts w:ascii="Abadi" w:hAnsi="Abadi" w:cs="Calibri"/>
                <w:b/>
                <w:bCs/>
                <w:sz w:val="21"/>
                <w:szCs w:val="21"/>
              </w:rPr>
            </w:pPr>
            <w:r w:rsidRPr="00401C70">
              <w:rPr>
                <w:rFonts w:ascii="Abadi" w:hAnsi="Abadi" w:cs="Calibri"/>
                <w:b/>
                <w:bCs/>
                <w:sz w:val="21"/>
                <w:szCs w:val="21"/>
              </w:rPr>
              <w:t>El representante de la Secretaría de la Transparencia y Rendición de Cuentas participará con voz y sin voto.</w:t>
            </w:r>
          </w:p>
        </w:tc>
        <w:tc>
          <w:tcPr>
            <w:tcW w:w="2500" w:type="pct"/>
            <w:tcBorders>
              <w:top w:val="single" w:sz="4" w:space="0" w:color="000000"/>
              <w:left w:val="single" w:sz="4" w:space="0" w:color="000000"/>
              <w:bottom w:val="single" w:sz="4" w:space="0" w:color="000000"/>
              <w:right w:val="single" w:sz="4" w:space="0" w:color="000000"/>
            </w:tcBorders>
          </w:tcPr>
          <w:p w14:paraId="1FE6AC94" w14:textId="77777777" w:rsidR="00677B7E" w:rsidRPr="00401C70" w:rsidRDefault="00677B7E" w:rsidP="00FA2590">
            <w:pPr>
              <w:kinsoku w:val="0"/>
              <w:overflowPunct w:val="0"/>
              <w:autoSpaceDE w:val="0"/>
              <w:autoSpaceDN w:val="0"/>
              <w:adjustRightInd w:val="0"/>
              <w:ind w:left="107" w:right="92"/>
              <w:jc w:val="both"/>
              <w:rPr>
                <w:rFonts w:ascii="Abadi" w:hAnsi="Abadi" w:cs="Calibri"/>
                <w:b/>
                <w:bCs/>
                <w:sz w:val="21"/>
                <w:szCs w:val="21"/>
              </w:rPr>
            </w:pPr>
            <w:r w:rsidRPr="00401C70">
              <w:rPr>
                <w:rFonts w:ascii="Abadi" w:hAnsi="Abadi" w:cs="Calibri"/>
                <w:b/>
                <w:bCs/>
                <w:sz w:val="21"/>
                <w:szCs w:val="21"/>
              </w:rPr>
              <w:t>La persona representante de la Secretaría de la Transparencia y Rendición de Cuentas participará con voz y sin voto.</w:t>
            </w:r>
          </w:p>
        </w:tc>
      </w:tr>
      <w:tr w:rsidR="00677B7E" w:rsidRPr="00401C70" w14:paraId="3A8DFBC2" w14:textId="77777777" w:rsidTr="003343AD">
        <w:trPr>
          <w:trHeight w:val="2688"/>
        </w:trPr>
        <w:tc>
          <w:tcPr>
            <w:tcW w:w="2500" w:type="pct"/>
            <w:tcBorders>
              <w:top w:val="single" w:sz="4" w:space="0" w:color="000000"/>
              <w:left w:val="single" w:sz="4" w:space="0" w:color="000000"/>
              <w:bottom w:val="single" w:sz="4" w:space="0" w:color="000000"/>
              <w:right w:val="single" w:sz="4" w:space="0" w:color="000000"/>
            </w:tcBorders>
          </w:tcPr>
          <w:p w14:paraId="52D35317" w14:textId="77777777" w:rsidR="00677B7E" w:rsidRPr="00401C70" w:rsidRDefault="00677B7E" w:rsidP="00FA2590">
            <w:pPr>
              <w:kinsoku w:val="0"/>
              <w:overflowPunct w:val="0"/>
              <w:autoSpaceDE w:val="0"/>
              <w:autoSpaceDN w:val="0"/>
              <w:adjustRightInd w:val="0"/>
              <w:ind w:left="107" w:right="92"/>
              <w:jc w:val="both"/>
              <w:rPr>
                <w:rFonts w:ascii="Abadi" w:hAnsi="Abadi" w:cs="Calibri"/>
                <w:b/>
                <w:bCs/>
                <w:sz w:val="21"/>
                <w:szCs w:val="21"/>
              </w:rPr>
            </w:pPr>
            <w:r w:rsidRPr="00401C70">
              <w:rPr>
                <w:rFonts w:ascii="Abadi" w:hAnsi="Abadi" w:cs="Calibri"/>
                <w:b/>
                <w:bCs/>
                <w:sz w:val="21"/>
                <w:szCs w:val="21"/>
              </w:rPr>
              <w:t>Artículo 82.- Los miembros del comité técnico de los fideicomisos públicos serán nombrados y removidos por el Gobernador del Estado, quien además nombrará y removerá al director general del fideicomiso a propuesta del comité técnico.</w:t>
            </w:r>
          </w:p>
        </w:tc>
        <w:tc>
          <w:tcPr>
            <w:tcW w:w="2500" w:type="pct"/>
            <w:tcBorders>
              <w:top w:val="single" w:sz="4" w:space="0" w:color="000000"/>
              <w:left w:val="single" w:sz="4" w:space="0" w:color="000000"/>
              <w:bottom w:val="single" w:sz="4" w:space="0" w:color="000000"/>
              <w:right w:val="single" w:sz="4" w:space="0" w:color="000000"/>
            </w:tcBorders>
          </w:tcPr>
          <w:p w14:paraId="10277166" w14:textId="77777777" w:rsidR="00677B7E" w:rsidRPr="00401C70" w:rsidRDefault="00677B7E" w:rsidP="00FA2590">
            <w:pPr>
              <w:kinsoku w:val="0"/>
              <w:overflowPunct w:val="0"/>
              <w:autoSpaceDE w:val="0"/>
              <w:autoSpaceDN w:val="0"/>
              <w:adjustRightInd w:val="0"/>
              <w:ind w:left="107" w:right="92"/>
              <w:jc w:val="both"/>
              <w:rPr>
                <w:rFonts w:ascii="Abadi" w:hAnsi="Abadi" w:cs="Calibri"/>
                <w:b/>
                <w:bCs/>
                <w:sz w:val="21"/>
                <w:szCs w:val="21"/>
              </w:rPr>
            </w:pPr>
            <w:r w:rsidRPr="00401C70">
              <w:rPr>
                <w:rFonts w:ascii="Abadi" w:hAnsi="Abadi" w:cs="Calibri"/>
                <w:b/>
                <w:bCs/>
                <w:sz w:val="21"/>
                <w:szCs w:val="21"/>
              </w:rPr>
              <w:t>Artículo 82.- Las personas integrantes del comité técnico de los fideicomisos públicos serán nombradas y removidas por el Gobernador del Estado, observando el principio de paridad de género, quien además nombrará y removerá a la persona titular de la dirección general del fideicomiso a propuesta</w:t>
            </w:r>
          </w:p>
          <w:p w14:paraId="543619F0" w14:textId="77777777" w:rsidR="00677B7E" w:rsidRPr="00401C70" w:rsidRDefault="00677B7E" w:rsidP="00FA2590">
            <w:pPr>
              <w:kinsoku w:val="0"/>
              <w:overflowPunct w:val="0"/>
              <w:autoSpaceDE w:val="0"/>
              <w:autoSpaceDN w:val="0"/>
              <w:adjustRightInd w:val="0"/>
              <w:ind w:left="107" w:right="92"/>
              <w:jc w:val="both"/>
              <w:rPr>
                <w:rFonts w:ascii="Abadi" w:hAnsi="Abadi" w:cs="Calibri"/>
                <w:b/>
                <w:bCs/>
                <w:sz w:val="21"/>
                <w:szCs w:val="21"/>
              </w:rPr>
            </w:pPr>
            <w:r w:rsidRPr="00401C70">
              <w:rPr>
                <w:rFonts w:ascii="Abadi" w:hAnsi="Abadi" w:cs="Calibri"/>
                <w:b/>
                <w:bCs/>
                <w:sz w:val="21"/>
                <w:szCs w:val="21"/>
              </w:rPr>
              <w:t>del comité técnico.</w:t>
            </w:r>
          </w:p>
        </w:tc>
      </w:tr>
    </w:tbl>
    <w:p w14:paraId="740006B5" w14:textId="77777777" w:rsidR="00677B7E" w:rsidRPr="00401C70" w:rsidRDefault="00677B7E" w:rsidP="00677B7E">
      <w:pPr>
        <w:kinsoku w:val="0"/>
        <w:overflowPunct w:val="0"/>
        <w:autoSpaceDE w:val="0"/>
        <w:autoSpaceDN w:val="0"/>
        <w:adjustRightInd w:val="0"/>
        <w:spacing w:before="7"/>
        <w:jc w:val="both"/>
        <w:rPr>
          <w:rFonts w:ascii="Abadi" w:hAnsi="Abadi"/>
          <w:sz w:val="21"/>
          <w:szCs w:val="21"/>
        </w:rPr>
      </w:pPr>
    </w:p>
    <w:tbl>
      <w:tblPr>
        <w:tblW w:w="5000" w:type="pct"/>
        <w:tblCellMar>
          <w:left w:w="0" w:type="dxa"/>
          <w:right w:w="0" w:type="dxa"/>
        </w:tblCellMar>
        <w:tblLook w:val="0000" w:firstRow="0" w:lastRow="0" w:firstColumn="0" w:lastColumn="0" w:noHBand="0" w:noVBand="0"/>
      </w:tblPr>
      <w:tblGrid>
        <w:gridCol w:w="2461"/>
        <w:gridCol w:w="1640"/>
      </w:tblGrid>
      <w:tr w:rsidR="00677B7E" w:rsidRPr="00401C70" w14:paraId="350AEBBE" w14:textId="77777777" w:rsidTr="003343AD">
        <w:trPr>
          <w:trHeight w:val="880"/>
        </w:trPr>
        <w:tc>
          <w:tcPr>
            <w:tcW w:w="2500" w:type="pct"/>
            <w:tcBorders>
              <w:top w:val="single" w:sz="4" w:space="0" w:color="000000"/>
              <w:left w:val="single" w:sz="4" w:space="0" w:color="000000"/>
              <w:bottom w:val="single" w:sz="4" w:space="0" w:color="000000"/>
              <w:right w:val="single" w:sz="4" w:space="0" w:color="000000"/>
            </w:tcBorders>
            <w:shd w:val="clear" w:color="auto" w:fill="D9D9D9"/>
          </w:tcPr>
          <w:p w14:paraId="400E47AA" w14:textId="77777777" w:rsidR="00677B7E" w:rsidRPr="00401C70" w:rsidRDefault="00677B7E" w:rsidP="00FA2590">
            <w:pPr>
              <w:kinsoku w:val="0"/>
              <w:overflowPunct w:val="0"/>
              <w:autoSpaceDE w:val="0"/>
              <w:autoSpaceDN w:val="0"/>
              <w:adjustRightInd w:val="0"/>
              <w:spacing w:line="292" w:lineRule="exact"/>
              <w:ind w:left="394" w:right="391"/>
              <w:jc w:val="both"/>
              <w:rPr>
                <w:rFonts w:ascii="Abadi" w:hAnsi="Abadi" w:cs="Calibri"/>
                <w:b/>
                <w:bCs/>
                <w:sz w:val="21"/>
                <w:szCs w:val="21"/>
              </w:rPr>
            </w:pPr>
            <w:r w:rsidRPr="00401C70">
              <w:rPr>
                <w:rFonts w:ascii="Abadi" w:hAnsi="Abadi" w:cs="Calibri"/>
                <w:b/>
                <w:bCs/>
                <w:sz w:val="21"/>
                <w:szCs w:val="21"/>
              </w:rPr>
              <w:t>LEY ORGÁNICA MUNICIPAL</w:t>
            </w:r>
            <w:r w:rsidRPr="00401C70">
              <w:rPr>
                <w:rFonts w:ascii="Abadi" w:hAnsi="Abadi" w:cs="Calibri"/>
                <w:b/>
                <w:bCs/>
                <w:spacing w:val="-1"/>
                <w:sz w:val="21"/>
                <w:szCs w:val="21"/>
              </w:rPr>
              <w:t xml:space="preserve"> </w:t>
            </w:r>
            <w:r w:rsidRPr="00401C70">
              <w:rPr>
                <w:rFonts w:ascii="Abadi" w:hAnsi="Abadi" w:cs="Calibri"/>
                <w:b/>
                <w:bCs/>
                <w:sz w:val="21"/>
                <w:szCs w:val="21"/>
              </w:rPr>
              <w:t>PARA</w:t>
            </w:r>
            <w:r w:rsidRPr="00401C70">
              <w:rPr>
                <w:rFonts w:ascii="Abadi" w:hAnsi="Abadi" w:cs="Calibri"/>
                <w:b/>
                <w:bCs/>
                <w:spacing w:val="1"/>
                <w:sz w:val="21"/>
                <w:szCs w:val="21"/>
              </w:rPr>
              <w:t xml:space="preserve"> </w:t>
            </w:r>
            <w:r w:rsidRPr="00401C70">
              <w:rPr>
                <w:rFonts w:ascii="Abadi" w:hAnsi="Abadi" w:cs="Calibri"/>
                <w:b/>
                <w:bCs/>
                <w:sz w:val="21"/>
                <w:szCs w:val="21"/>
              </w:rPr>
              <w:t>EL</w:t>
            </w:r>
          </w:p>
          <w:p w14:paraId="7EE00C9C" w14:textId="77777777" w:rsidR="00677B7E" w:rsidRPr="00401C70" w:rsidRDefault="00677B7E" w:rsidP="00FA2590">
            <w:pPr>
              <w:kinsoku w:val="0"/>
              <w:overflowPunct w:val="0"/>
              <w:autoSpaceDE w:val="0"/>
              <w:autoSpaceDN w:val="0"/>
              <w:adjustRightInd w:val="0"/>
              <w:spacing w:line="290" w:lineRule="atLeast"/>
              <w:ind w:left="902" w:right="896"/>
              <w:jc w:val="both"/>
              <w:rPr>
                <w:rFonts w:ascii="Abadi" w:hAnsi="Abadi" w:cs="Calibri"/>
                <w:b/>
                <w:bCs/>
                <w:sz w:val="21"/>
                <w:szCs w:val="21"/>
              </w:rPr>
            </w:pPr>
            <w:r w:rsidRPr="00401C70">
              <w:rPr>
                <w:rFonts w:ascii="Abadi" w:hAnsi="Abadi" w:cs="Calibri"/>
                <w:b/>
                <w:bCs/>
                <w:sz w:val="21"/>
                <w:szCs w:val="21"/>
              </w:rPr>
              <w:t>ESTADO</w:t>
            </w:r>
            <w:r w:rsidRPr="00401C70">
              <w:rPr>
                <w:rFonts w:ascii="Abadi" w:hAnsi="Abadi" w:cs="Calibri"/>
                <w:b/>
                <w:bCs/>
                <w:spacing w:val="-10"/>
                <w:sz w:val="21"/>
                <w:szCs w:val="21"/>
              </w:rPr>
              <w:t xml:space="preserve"> </w:t>
            </w:r>
            <w:r w:rsidRPr="00401C70">
              <w:rPr>
                <w:rFonts w:ascii="Abadi" w:hAnsi="Abadi" w:cs="Calibri"/>
                <w:b/>
                <w:bCs/>
                <w:sz w:val="21"/>
                <w:szCs w:val="21"/>
              </w:rPr>
              <w:t>DE</w:t>
            </w:r>
            <w:r w:rsidRPr="00401C70">
              <w:rPr>
                <w:rFonts w:ascii="Abadi" w:hAnsi="Abadi" w:cs="Calibri"/>
                <w:b/>
                <w:bCs/>
                <w:spacing w:val="-8"/>
                <w:sz w:val="21"/>
                <w:szCs w:val="21"/>
              </w:rPr>
              <w:t xml:space="preserve"> </w:t>
            </w:r>
            <w:r w:rsidRPr="00401C70">
              <w:rPr>
                <w:rFonts w:ascii="Abadi" w:hAnsi="Abadi" w:cs="Calibri"/>
                <w:b/>
                <w:bCs/>
                <w:sz w:val="21"/>
                <w:szCs w:val="21"/>
              </w:rPr>
              <w:t>GUANAJUATO</w:t>
            </w:r>
            <w:r w:rsidRPr="00401C70">
              <w:rPr>
                <w:rFonts w:ascii="Abadi" w:hAnsi="Abadi" w:cs="Calibri"/>
                <w:b/>
                <w:bCs/>
                <w:spacing w:val="-51"/>
                <w:sz w:val="21"/>
                <w:szCs w:val="21"/>
              </w:rPr>
              <w:t xml:space="preserve"> </w:t>
            </w:r>
            <w:r w:rsidRPr="00401C70">
              <w:rPr>
                <w:rFonts w:ascii="Abadi" w:hAnsi="Abadi" w:cs="Calibri"/>
                <w:b/>
                <w:bCs/>
                <w:sz w:val="21"/>
                <w:szCs w:val="21"/>
              </w:rPr>
              <w:t>(VIGENTE)</w:t>
            </w:r>
          </w:p>
        </w:tc>
        <w:tc>
          <w:tcPr>
            <w:tcW w:w="2500" w:type="pct"/>
            <w:tcBorders>
              <w:top w:val="single" w:sz="4" w:space="0" w:color="000000"/>
              <w:left w:val="single" w:sz="4" w:space="0" w:color="000000"/>
              <w:bottom w:val="single" w:sz="4" w:space="0" w:color="000000"/>
              <w:right w:val="single" w:sz="4" w:space="0" w:color="000000"/>
            </w:tcBorders>
            <w:shd w:val="clear" w:color="auto" w:fill="D9D9D9"/>
          </w:tcPr>
          <w:p w14:paraId="7450C44A" w14:textId="77777777" w:rsidR="00677B7E" w:rsidRPr="00401C70" w:rsidRDefault="00677B7E" w:rsidP="00FA2590">
            <w:pPr>
              <w:kinsoku w:val="0"/>
              <w:overflowPunct w:val="0"/>
              <w:autoSpaceDE w:val="0"/>
              <w:autoSpaceDN w:val="0"/>
              <w:adjustRightInd w:val="0"/>
              <w:spacing w:line="292" w:lineRule="exact"/>
              <w:ind w:left="394" w:right="390"/>
              <w:jc w:val="both"/>
              <w:rPr>
                <w:rFonts w:ascii="Abadi" w:hAnsi="Abadi" w:cs="Calibri"/>
                <w:b/>
                <w:bCs/>
                <w:sz w:val="21"/>
                <w:szCs w:val="21"/>
              </w:rPr>
            </w:pPr>
            <w:r w:rsidRPr="00401C70">
              <w:rPr>
                <w:rFonts w:ascii="Abadi" w:hAnsi="Abadi" w:cs="Calibri"/>
                <w:b/>
                <w:bCs/>
                <w:sz w:val="21"/>
                <w:szCs w:val="21"/>
              </w:rPr>
              <w:t>LEY ORGÁNICA MUNICIPAL</w:t>
            </w:r>
            <w:r w:rsidRPr="00401C70">
              <w:rPr>
                <w:rFonts w:ascii="Abadi" w:hAnsi="Abadi" w:cs="Calibri"/>
                <w:b/>
                <w:bCs/>
                <w:spacing w:val="-1"/>
                <w:sz w:val="21"/>
                <w:szCs w:val="21"/>
              </w:rPr>
              <w:t xml:space="preserve"> </w:t>
            </w:r>
            <w:r w:rsidRPr="00401C70">
              <w:rPr>
                <w:rFonts w:ascii="Abadi" w:hAnsi="Abadi" w:cs="Calibri"/>
                <w:b/>
                <w:bCs/>
                <w:sz w:val="21"/>
                <w:szCs w:val="21"/>
              </w:rPr>
              <w:t>PARA</w:t>
            </w:r>
            <w:r w:rsidRPr="00401C70">
              <w:rPr>
                <w:rFonts w:ascii="Abadi" w:hAnsi="Abadi" w:cs="Calibri"/>
                <w:b/>
                <w:bCs/>
                <w:spacing w:val="1"/>
                <w:sz w:val="21"/>
                <w:szCs w:val="21"/>
              </w:rPr>
              <w:t xml:space="preserve"> </w:t>
            </w:r>
            <w:r w:rsidRPr="00401C70">
              <w:rPr>
                <w:rFonts w:ascii="Abadi" w:hAnsi="Abadi" w:cs="Calibri"/>
                <w:b/>
                <w:bCs/>
                <w:sz w:val="21"/>
                <w:szCs w:val="21"/>
              </w:rPr>
              <w:t>EL</w:t>
            </w:r>
          </w:p>
          <w:p w14:paraId="59874264" w14:textId="77777777" w:rsidR="00677B7E" w:rsidRPr="00401C70" w:rsidRDefault="00677B7E" w:rsidP="00FA2590">
            <w:pPr>
              <w:kinsoku w:val="0"/>
              <w:overflowPunct w:val="0"/>
              <w:autoSpaceDE w:val="0"/>
              <w:autoSpaceDN w:val="0"/>
              <w:adjustRightInd w:val="0"/>
              <w:spacing w:line="290" w:lineRule="atLeast"/>
              <w:ind w:left="394" w:right="387"/>
              <w:jc w:val="both"/>
              <w:rPr>
                <w:rFonts w:ascii="Abadi" w:hAnsi="Abadi" w:cs="Calibri"/>
                <w:b/>
                <w:bCs/>
                <w:sz w:val="21"/>
                <w:szCs w:val="21"/>
              </w:rPr>
            </w:pPr>
            <w:r w:rsidRPr="00401C70">
              <w:rPr>
                <w:rFonts w:ascii="Abadi" w:hAnsi="Abadi" w:cs="Calibri"/>
                <w:b/>
                <w:bCs/>
                <w:sz w:val="21"/>
                <w:szCs w:val="21"/>
              </w:rPr>
              <w:t>ESTADO</w:t>
            </w:r>
            <w:r w:rsidRPr="00401C70">
              <w:rPr>
                <w:rFonts w:ascii="Abadi" w:hAnsi="Abadi" w:cs="Calibri"/>
                <w:b/>
                <w:bCs/>
                <w:spacing w:val="-6"/>
                <w:sz w:val="21"/>
                <w:szCs w:val="21"/>
              </w:rPr>
              <w:t xml:space="preserve"> </w:t>
            </w:r>
            <w:r w:rsidRPr="00401C70">
              <w:rPr>
                <w:rFonts w:ascii="Abadi" w:hAnsi="Abadi" w:cs="Calibri"/>
                <w:b/>
                <w:bCs/>
                <w:sz w:val="21"/>
                <w:szCs w:val="21"/>
              </w:rPr>
              <w:t>DE</w:t>
            </w:r>
            <w:r w:rsidRPr="00401C70">
              <w:rPr>
                <w:rFonts w:ascii="Abadi" w:hAnsi="Abadi" w:cs="Calibri"/>
                <w:b/>
                <w:bCs/>
                <w:spacing w:val="-4"/>
                <w:sz w:val="21"/>
                <w:szCs w:val="21"/>
              </w:rPr>
              <w:t xml:space="preserve"> </w:t>
            </w:r>
            <w:r w:rsidRPr="00401C70">
              <w:rPr>
                <w:rFonts w:ascii="Abadi" w:hAnsi="Abadi" w:cs="Calibri"/>
                <w:b/>
                <w:bCs/>
                <w:sz w:val="21"/>
                <w:szCs w:val="21"/>
              </w:rPr>
              <w:t>GUANAJUATO</w:t>
            </w:r>
            <w:r w:rsidRPr="00401C70">
              <w:rPr>
                <w:rFonts w:ascii="Abadi" w:hAnsi="Abadi" w:cs="Calibri"/>
                <w:b/>
                <w:bCs/>
                <w:spacing w:val="-51"/>
                <w:sz w:val="21"/>
                <w:szCs w:val="21"/>
              </w:rPr>
              <w:t xml:space="preserve"> </w:t>
            </w:r>
            <w:r w:rsidRPr="00401C70">
              <w:rPr>
                <w:rFonts w:ascii="Abadi" w:hAnsi="Abadi" w:cs="Calibri"/>
                <w:b/>
                <w:bCs/>
                <w:sz w:val="21"/>
                <w:szCs w:val="21"/>
              </w:rPr>
              <w:t>(PROPUESTA</w:t>
            </w:r>
            <w:r w:rsidRPr="00401C70">
              <w:rPr>
                <w:rFonts w:ascii="Abadi" w:hAnsi="Abadi" w:cs="Calibri"/>
                <w:b/>
                <w:bCs/>
                <w:spacing w:val="-4"/>
                <w:sz w:val="21"/>
                <w:szCs w:val="21"/>
              </w:rPr>
              <w:t xml:space="preserve"> </w:t>
            </w:r>
            <w:r w:rsidRPr="00401C70">
              <w:rPr>
                <w:rFonts w:ascii="Abadi" w:hAnsi="Abadi" w:cs="Calibri"/>
                <w:b/>
                <w:bCs/>
                <w:sz w:val="21"/>
                <w:szCs w:val="21"/>
              </w:rPr>
              <w:t>INICIATIVA)</w:t>
            </w:r>
          </w:p>
        </w:tc>
      </w:tr>
      <w:tr w:rsidR="00677B7E" w:rsidRPr="00401C70" w14:paraId="52BED846" w14:textId="77777777" w:rsidTr="003343AD">
        <w:trPr>
          <w:trHeight w:val="537"/>
        </w:trPr>
        <w:tc>
          <w:tcPr>
            <w:tcW w:w="2500" w:type="pct"/>
            <w:tcBorders>
              <w:top w:val="single" w:sz="4" w:space="0" w:color="000000"/>
              <w:left w:val="single" w:sz="4" w:space="0" w:color="000000"/>
              <w:bottom w:val="single" w:sz="4" w:space="0" w:color="000000"/>
              <w:right w:val="single" w:sz="4" w:space="0" w:color="000000"/>
            </w:tcBorders>
          </w:tcPr>
          <w:p w14:paraId="7F02A3B3" w14:textId="77777777" w:rsidR="00677B7E" w:rsidRPr="00401C70" w:rsidRDefault="00677B7E" w:rsidP="00FA2590">
            <w:pPr>
              <w:kinsoku w:val="0"/>
              <w:overflowPunct w:val="0"/>
              <w:autoSpaceDE w:val="0"/>
              <w:autoSpaceDN w:val="0"/>
              <w:adjustRightInd w:val="0"/>
              <w:spacing w:line="268" w:lineRule="exact"/>
              <w:ind w:left="107"/>
              <w:jc w:val="both"/>
              <w:rPr>
                <w:rFonts w:ascii="Abadi" w:hAnsi="Abadi" w:cs="Calibri"/>
                <w:sz w:val="21"/>
                <w:szCs w:val="21"/>
              </w:rPr>
            </w:pPr>
            <w:r w:rsidRPr="00401C70">
              <w:rPr>
                <w:rFonts w:ascii="Abadi" w:hAnsi="Abadi" w:cs="Calibri"/>
                <w:b/>
                <w:bCs/>
                <w:sz w:val="21"/>
                <w:szCs w:val="21"/>
              </w:rPr>
              <w:t>Artículo</w:t>
            </w:r>
            <w:r w:rsidRPr="00401C70">
              <w:rPr>
                <w:rFonts w:ascii="Abadi" w:hAnsi="Abadi" w:cs="Calibri"/>
                <w:b/>
                <w:bCs/>
                <w:spacing w:val="16"/>
                <w:sz w:val="21"/>
                <w:szCs w:val="21"/>
              </w:rPr>
              <w:t xml:space="preserve"> </w:t>
            </w:r>
            <w:r w:rsidRPr="00401C70">
              <w:rPr>
                <w:rFonts w:ascii="Abadi" w:hAnsi="Abadi" w:cs="Calibri"/>
                <w:b/>
                <w:bCs/>
                <w:sz w:val="21"/>
                <w:szCs w:val="21"/>
              </w:rPr>
              <w:t>76.</w:t>
            </w:r>
            <w:r w:rsidRPr="00401C70">
              <w:rPr>
                <w:rFonts w:ascii="Abadi" w:hAnsi="Abadi" w:cs="Calibri"/>
                <w:b/>
                <w:bCs/>
                <w:spacing w:val="22"/>
                <w:sz w:val="21"/>
                <w:szCs w:val="21"/>
              </w:rPr>
              <w:t xml:space="preserve"> </w:t>
            </w:r>
            <w:r w:rsidRPr="00401C70">
              <w:rPr>
                <w:rFonts w:ascii="Abadi" w:hAnsi="Abadi" w:cs="Calibri"/>
                <w:sz w:val="21"/>
                <w:szCs w:val="21"/>
              </w:rPr>
              <w:t>Los</w:t>
            </w:r>
            <w:r w:rsidRPr="00401C70">
              <w:rPr>
                <w:rFonts w:ascii="Abadi" w:hAnsi="Abadi" w:cs="Calibri"/>
                <w:spacing w:val="20"/>
                <w:sz w:val="21"/>
                <w:szCs w:val="21"/>
              </w:rPr>
              <w:t xml:space="preserve"> </w:t>
            </w:r>
            <w:r w:rsidRPr="00401C70">
              <w:rPr>
                <w:rFonts w:ascii="Abadi" w:hAnsi="Abadi" w:cs="Calibri"/>
                <w:sz w:val="21"/>
                <w:szCs w:val="21"/>
              </w:rPr>
              <w:t>ayuntamientos</w:t>
            </w:r>
            <w:r w:rsidRPr="00401C70">
              <w:rPr>
                <w:rFonts w:ascii="Abadi" w:hAnsi="Abadi" w:cs="Calibri"/>
                <w:spacing w:val="20"/>
                <w:sz w:val="21"/>
                <w:szCs w:val="21"/>
              </w:rPr>
              <w:t xml:space="preserve"> </w:t>
            </w:r>
            <w:r w:rsidRPr="00401C70">
              <w:rPr>
                <w:rFonts w:ascii="Abadi" w:hAnsi="Abadi" w:cs="Calibri"/>
                <w:sz w:val="21"/>
                <w:szCs w:val="21"/>
              </w:rPr>
              <w:t>tendrán</w:t>
            </w:r>
            <w:r w:rsidRPr="00401C70">
              <w:rPr>
                <w:rFonts w:ascii="Abadi" w:hAnsi="Abadi" w:cs="Calibri"/>
                <w:spacing w:val="19"/>
                <w:sz w:val="21"/>
                <w:szCs w:val="21"/>
              </w:rPr>
              <w:t xml:space="preserve"> </w:t>
            </w:r>
            <w:r w:rsidRPr="00401C70">
              <w:rPr>
                <w:rFonts w:ascii="Abadi" w:hAnsi="Abadi" w:cs="Calibri"/>
                <w:sz w:val="21"/>
                <w:szCs w:val="21"/>
              </w:rPr>
              <w:t>las</w:t>
            </w:r>
          </w:p>
          <w:p w14:paraId="234EF567" w14:textId="77777777" w:rsidR="00677B7E" w:rsidRPr="00401C70" w:rsidRDefault="00677B7E" w:rsidP="00FA2590">
            <w:pPr>
              <w:kinsoku w:val="0"/>
              <w:overflowPunct w:val="0"/>
              <w:autoSpaceDE w:val="0"/>
              <w:autoSpaceDN w:val="0"/>
              <w:adjustRightInd w:val="0"/>
              <w:spacing w:line="249" w:lineRule="exact"/>
              <w:ind w:left="107"/>
              <w:jc w:val="both"/>
              <w:rPr>
                <w:rFonts w:ascii="Abadi" w:hAnsi="Abadi" w:cs="Calibri"/>
                <w:sz w:val="21"/>
                <w:szCs w:val="21"/>
              </w:rPr>
            </w:pPr>
            <w:r w:rsidRPr="00401C70">
              <w:rPr>
                <w:rFonts w:ascii="Abadi" w:hAnsi="Abadi" w:cs="Calibri"/>
                <w:sz w:val="21"/>
                <w:szCs w:val="21"/>
              </w:rPr>
              <w:t>siguientes</w:t>
            </w:r>
            <w:r w:rsidRPr="00401C70">
              <w:rPr>
                <w:rFonts w:ascii="Abadi" w:hAnsi="Abadi" w:cs="Calibri"/>
                <w:spacing w:val="-1"/>
                <w:sz w:val="21"/>
                <w:szCs w:val="21"/>
              </w:rPr>
              <w:t xml:space="preserve"> </w:t>
            </w:r>
            <w:r w:rsidRPr="00401C70">
              <w:rPr>
                <w:rFonts w:ascii="Abadi" w:hAnsi="Abadi" w:cs="Calibri"/>
                <w:sz w:val="21"/>
                <w:szCs w:val="21"/>
              </w:rPr>
              <w:t>atribuciones:</w:t>
            </w:r>
          </w:p>
        </w:tc>
        <w:tc>
          <w:tcPr>
            <w:tcW w:w="2500" w:type="pct"/>
            <w:tcBorders>
              <w:top w:val="single" w:sz="4" w:space="0" w:color="000000"/>
              <w:left w:val="single" w:sz="4" w:space="0" w:color="000000"/>
              <w:bottom w:val="single" w:sz="4" w:space="0" w:color="000000"/>
              <w:right w:val="single" w:sz="4" w:space="0" w:color="000000"/>
            </w:tcBorders>
          </w:tcPr>
          <w:p w14:paraId="27292F23" w14:textId="77777777" w:rsidR="00677B7E" w:rsidRPr="00401C70" w:rsidRDefault="00677B7E" w:rsidP="00FA2590">
            <w:pPr>
              <w:kinsoku w:val="0"/>
              <w:overflowPunct w:val="0"/>
              <w:autoSpaceDE w:val="0"/>
              <w:autoSpaceDN w:val="0"/>
              <w:adjustRightInd w:val="0"/>
              <w:spacing w:line="268" w:lineRule="exact"/>
              <w:ind w:left="107"/>
              <w:jc w:val="both"/>
              <w:rPr>
                <w:rFonts w:ascii="Abadi" w:hAnsi="Abadi" w:cs="Calibri"/>
                <w:sz w:val="21"/>
                <w:szCs w:val="21"/>
              </w:rPr>
            </w:pPr>
            <w:r w:rsidRPr="00401C70">
              <w:rPr>
                <w:rFonts w:ascii="Abadi" w:hAnsi="Abadi" w:cs="Calibri"/>
                <w:b/>
                <w:bCs/>
                <w:sz w:val="21"/>
                <w:szCs w:val="21"/>
              </w:rPr>
              <w:t>Artículo</w:t>
            </w:r>
            <w:r w:rsidRPr="00401C70">
              <w:rPr>
                <w:rFonts w:ascii="Abadi" w:hAnsi="Abadi" w:cs="Calibri"/>
                <w:b/>
                <w:bCs/>
                <w:spacing w:val="16"/>
                <w:sz w:val="21"/>
                <w:szCs w:val="21"/>
              </w:rPr>
              <w:t xml:space="preserve"> </w:t>
            </w:r>
            <w:r w:rsidRPr="00401C70">
              <w:rPr>
                <w:rFonts w:ascii="Abadi" w:hAnsi="Abadi" w:cs="Calibri"/>
                <w:b/>
                <w:bCs/>
                <w:sz w:val="21"/>
                <w:szCs w:val="21"/>
              </w:rPr>
              <w:t>76.</w:t>
            </w:r>
            <w:r w:rsidRPr="00401C70">
              <w:rPr>
                <w:rFonts w:ascii="Abadi" w:hAnsi="Abadi" w:cs="Calibri"/>
                <w:b/>
                <w:bCs/>
                <w:spacing w:val="22"/>
                <w:sz w:val="21"/>
                <w:szCs w:val="21"/>
              </w:rPr>
              <w:t xml:space="preserve"> </w:t>
            </w:r>
            <w:r w:rsidRPr="00401C70">
              <w:rPr>
                <w:rFonts w:ascii="Abadi" w:hAnsi="Abadi" w:cs="Calibri"/>
                <w:sz w:val="21"/>
                <w:szCs w:val="21"/>
              </w:rPr>
              <w:t>Los</w:t>
            </w:r>
            <w:r w:rsidRPr="00401C70">
              <w:rPr>
                <w:rFonts w:ascii="Abadi" w:hAnsi="Abadi" w:cs="Calibri"/>
                <w:spacing w:val="20"/>
                <w:sz w:val="21"/>
                <w:szCs w:val="21"/>
              </w:rPr>
              <w:t xml:space="preserve"> </w:t>
            </w:r>
            <w:r w:rsidRPr="00401C70">
              <w:rPr>
                <w:rFonts w:ascii="Abadi" w:hAnsi="Abadi" w:cs="Calibri"/>
                <w:sz w:val="21"/>
                <w:szCs w:val="21"/>
              </w:rPr>
              <w:t>ayuntamientos</w:t>
            </w:r>
            <w:r w:rsidRPr="00401C70">
              <w:rPr>
                <w:rFonts w:ascii="Abadi" w:hAnsi="Abadi" w:cs="Calibri"/>
                <w:spacing w:val="20"/>
                <w:sz w:val="21"/>
                <w:szCs w:val="21"/>
              </w:rPr>
              <w:t xml:space="preserve"> </w:t>
            </w:r>
            <w:r w:rsidRPr="00401C70">
              <w:rPr>
                <w:rFonts w:ascii="Abadi" w:hAnsi="Abadi" w:cs="Calibri"/>
                <w:sz w:val="21"/>
                <w:szCs w:val="21"/>
              </w:rPr>
              <w:t>tendrán</w:t>
            </w:r>
            <w:r w:rsidRPr="00401C70">
              <w:rPr>
                <w:rFonts w:ascii="Abadi" w:hAnsi="Abadi" w:cs="Calibri"/>
                <w:spacing w:val="19"/>
                <w:sz w:val="21"/>
                <w:szCs w:val="21"/>
              </w:rPr>
              <w:t xml:space="preserve"> </w:t>
            </w:r>
            <w:r w:rsidRPr="00401C70">
              <w:rPr>
                <w:rFonts w:ascii="Abadi" w:hAnsi="Abadi" w:cs="Calibri"/>
                <w:sz w:val="21"/>
                <w:szCs w:val="21"/>
              </w:rPr>
              <w:t>las</w:t>
            </w:r>
          </w:p>
          <w:p w14:paraId="72020676" w14:textId="77777777" w:rsidR="00677B7E" w:rsidRPr="00401C70" w:rsidRDefault="00677B7E" w:rsidP="00FA2590">
            <w:pPr>
              <w:kinsoku w:val="0"/>
              <w:overflowPunct w:val="0"/>
              <w:autoSpaceDE w:val="0"/>
              <w:autoSpaceDN w:val="0"/>
              <w:adjustRightInd w:val="0"/>
              <w:spacing w:line="249" w:lineRule="exact"/>
              <w:ind w:left="107"/>
              <w:jc w:val="both"/>
              <w:rPr>
                <w:rFonts w:ascii="Abadi" w:hAnsi="Abadi" w:cs="Calibri"/>
                <w:sz w:val="21"/>
                <w:szCs w:val="21"/>
              </w:rPr>
            </w:pPr>
            <w:r w:rsidRPr="00401C70">
              <w:rPr>
                <w:rFonts w:ascii="Abadi" w:hAnsi="Abadi" w:cs="Calibri"/>
                <w:sz w:val="21"/>
                <w:szCs w:val="21"/>
              </w:rPr>
              <w:t>siguientes</w:t>
            </w:r>
            <w:r w:rsidRPr="00401C70">
              <w:rPr>
                <w:rFonts w:ascii="Abadi" w:hAnsi="Abadi" w:cs="Calibri"/>
                <w:spacing w:val="-1"/>
                <w:sz w:val="21"/>
                <w:szCs w:val="21"/>
              </w:rPr>
              <w:t xml:space="preserve"> </w:t>
            </w:r>
            <w:r w:rsidRPr="00401C70">
              <w:rPr>
                <w:rFonts w:ascii="Abadi" w:hAnsi="Abadi" w:cs="Calibri"/>
                <w:sz w:val="21"/>
                <w:szCs w:val="21"/>
              </w:rPr>
              <w:t>atribuciones:</w:t>
            </w:r>
          </w:p>
        </w:tc>
      </w:tr>
    </w:tbl>
    <w:p w14:paraId="7E7BD58F" w14:textId="77777777" w:rsidR="00677B7E" w:rsidRPr="00401C70" w:rsidRDefault="00677B7E" w:rsidP="00677B7E">
      <w:pPr>
        <w:kinsoku w:val="0"/>
        <w:overflowPunct w:val="0"/>
        <w:autoSpaceDE w:val="0"/>
        <w:autoSpaceDN w:val="0"/>
        <w:adjustRightInd w:val="0"/>
        <w:spacing w:before="2"/>
        <w:jc w:val="both"/>
        <w:rPr>
          <w:rFonts w:ascii="Abadi" w:hAnsi="Abadi"/>
          <w:sz w:val="21"/>
          <w:szCs w:val="21"/>
        </w:rPr>
      </w:pPr>
    </w:p>
    <w:tbl>
      <w:tblPr>
        <w:tblW w:w="5000" w:type="pct"/>
        <w:tblCellMar>
          <w:left w:w="0" w:type="dxa"/>
          <w:right w:w="0" w:type="dxa"/>
        </w:tblCellMar>
        <w:tblLook w:val="0000" w:firstRow="0" w:lastRow="0" w:firstColumn="0" w:lastColumn="0" w:noHBand="0" w:noVBand="0"/>
      </w:tblPr>
      <w:tblGrid>
        <w:gridCol w:w="2050"/>
        <w:gridCol w:w="2051"/>
      </w:tblGrid>
      <w:tr w:rsidR="00677B7E" w:rsidRPr="00401C70" w14:paraId="7E848251" w14:textId="77777777" w:rsidTr="003343AD">
        <w:trPr>
          <w:trHeight w:val="959"/>
        </w:trPr>
        <w:tc>
          <w:tcPr>
            <w:tcW w:w="2500" w:type="pct"/>
            <w:tcBorders>
              <w:top w:val="single" w:sz="4" w:space="0" w:color="000000"/>
              <w:left w:val="single" w:sz="4" w:space="0" w:color="000000"/>
              <w:bottom w:val="none" w:sz="6" w:space="0" w:color="auto"/>
              <w:right w:val="single" w:sz="4" w:space="0" w:color="000000"/>
            </w:tcBorders>
          </w:tcPr>
          <w:p w14:paraId="6FBCD0DF" w14:textId="77777777" w:rsidR="00677B7E" w:rsidRPr="00401C70" w:rsidRDefault="00677B7E" w:rsidP="00FA2590">
            <w:pPr>
              <w:kinsoku w:val="0"/>
              <w:overflowPunct w:val="0"/>
              <w:autoSpaceDE w:val="0"/>
              <w:autoSpaceDN w:val="0"/>
              <w:adjustRightInd w:val="0"/>
              <w:spacing w:before="3"/>
              <w:jc w:val="both"/>
              <w:rPr>
                <w:rFonts w:ascii="Abadi" w:hAnsi="Abadi"/>
                <w:sz w:val="21"/>
                <w:szCs w:val="21"/>
              </w:rPr>
            </w:pPr>
          </w:p>
          <w:p w14:paraId="39A5FA04" w14:textId="77777777" w:rsidR="00677B7E" w:rsidRPr="00401C70" w:rsidRDefault="00677B7E" w:rsidP="00FA2590">
            <w:pPr>
              <w:kinsoku w:val="0"/>
              <w:overflowPunct w:val="0"/>
              <w:autoSpaceDE w:val="0"/>
              <w:autoSpaceDN w:val="0"/>
              <w:adjustRightInd w:val="0"/>
              <w:ind w:left="1187" w:right="89" w:hanging="720"/>
              <w:jc w:val="both"/>
              <w:rPr>
                <w:rFonts w:ascii="Abadi" w:hAnsi="Abadi" w:cs="Calibri"/>
                <w:sz w:val="21"/>
                <w:szCs w:val="21"/>
              </w:rPr>
            </w:pPr>
            <w:r w:rsidRPr="00401C70">
              <w:rPr>
                <w:rFonts w:ascii="Abadi" w:hAnsi="Abadi" w:cs="Calibri"/>
                <w:b/>
                <w:bCs/>
                <w:sz w:val="21"/>
                <w:szCs w:val="21"/>
              </w:rPr>
              <w:t xml:space="preserve">I.           </w:t>
            </w:r>
            <w:r w:rsidRPr="00401C70">
              <w:rPr>
                <w:rFonts w:ascii="Abadi" w:hAnsi="Abadi" w:cs="Calibri"/>
                <w:b/>
                <w:bCs/>
                <w:spacing w:val="5"/>
                <w:sz w:val="21"/>
                <w:szCs w:val="21"/>
              </w:rPr>
              <w:t xml:space="preserve"> </w:t>
            </w:r>
            <w:r w:rsidRPr="00401C70">
              <w:rPr>
                <w:rFonts w:ascii="Abadi" w:hAnsi="Abadi" w:cs="Calibri"/>
                <w:sz w:val="21"/>
                <w:szCs w:val="21"/>
              </w:rPr>
              <w:t>En</w:t>
            </w:r>
            <w:r w:rsidRPr="00401C70">
              <w:rPr>
                <w:rFonts w:ascii="Abadi" w:hAnsi="Abadi" w:cs="Calibri"/>
                <w:spacing w:val="15"/>
                <w:sz w:val="21"/>
                <w:szCs w:val="21"/>
              </w:rPr>
              <w:t xml:space="preserve"> </w:t>
            </w:r>
            <w:r w:rsidRPr="00401C70">
              <w:rPr>
                <w:rFonts w:ascii="Abadi" w:hAnsi="Abadi" w:cs="Calibri"/>
                <w:sz w:val="21"/>
                <w:szCs w:val="21"/>
              </w:rPr>
              <w:t>materia</w:t>
            </w:r>
            <w:r w:rsidRPr="00401C70">
              <w:rPr>
                <w:rFonts w:ascii="Abadi" w:hAnsi="Abadi" w:cs="Calibri"/>
                <w:spacing w:val="13"/>
                <w:sz w:val="21"/>
                <w:szCs w:val="21"/>
              </w:rPr>
              <w:t xml:space="preserve"> </w:t>
            </w:r>
            <w:r w:rsidRPr="00401C70">
              <w:rPr>
                <w:rFonts w:ascii="Abadi" w:hAnsi="Abadi" w:cs="Calibri"/>
                <w:sz w:val="21"/>
                <w:szCs w:val="21"/>
              </w:rPr>
              <w:t>de</w:t>
            </w:r>
            <w:r w:rsidRPr="00401C70">
              <w:rPr>
                <w:rFonts w:ascii="Abadi" w:hAnsi="Abadi" w:cs="Calibri"/>
                <w:spacing w:val="14"/>
                <w:sz w:val="21"/>
                <w:szCs w:val="21"/>
              </w:rPr>
              <w:t xml:space="preserve"> </w:t>
            </w:r>
            <w:r w:rsidRPr="00401C70">
              <w:rPr>
                <w:rFonts w:ascii="Abadi" w:hAnsi="Abadi" w:cs="Calibri"/>
                <w:sz w:val="21"/>
                <w:szCs w:val="21"/>
              </w:rPr>
              <w:t>gobierno</w:t>
            </w:r>
            <w:r w:rsidRPr="00401C70">
              <w:rPr>
                <w:rFonts w:ascii="Abadi" w:hAnsi="Abadi" w:cs="Calibri"/>
                <w:spacing w:val="15"/>
                <w:sz w:val="21"/>
                <w:szCs w:val="21"/>
              </w:rPr>
              <w:t xml:space="preserve"> </w:t>
            </w:r>
            <w:r w:rsidRPr="00401C70">
              <w:rPr>
                <w:rFonts w:ascii="Abadi" w:hAnsi="Abadi" w:cs="Calibri"/>
                <w:sz w:val="21"/>
                <w:szCs w:val="21"/>
              </w:rPr>
              <w:t>y</w:t>
            </w:r>
            <w:r w:rsidRPr="00401C70">
              <w:rPr>
                <w:rFonts w:ascii="Abadi" w:hAnsi="Abadi" w:cs="Calibri"/>
                <w:spacing w:val="14"/>
                <w:sz w:val="21"/>
                <w:szCs w:val="21"/>
              </w:rPr>
              <w:t xml:space="preserve"> </w:t>
            </w:r>
            <w:r w:rsidRPr="00401C70">
              <w:rPr>
                <w:rFonts w:ascii="Abadi" w:hAnsi="Abadi" w:cs="Calibri"/>
                <w:sz w:val="21"/>
                <w:szCs w:val="21"/>
              </w:rPr>
              <w:t>régimen</w:t>
            </w:r>
            <w:r w:rsidRPr="00401C70">
              <w:rPr>
                <w:rFonts w:ascii="Abadi" w:hAnsi="Abadi" w:cs="Calibri"/>
                <w:spacing w:val="-47"/>
                <w:sz w:val="21"/>
                <w:szCs w:val="21"/>
              </w:rPr>
              <w:t xml:space="preserve"> </w:t>
            </w:r>
            <w:r w:rsidRPr="00401C70">
              <w:rPr>
                <w:rFonts w:ascii="Abadi" w:hAnsi="Abadi" w:cs="Calibri"/>
                <w:sz w:val="21"/>
                <w:szCs w:val="21"/>
              </w:rPr>
              <w:t>interior:</w:t>
            </w:r>
          </w:p>
        </w:tc>
        <w:tc>
          <w:tcPr>
            <w:tcW w:w="2500" w:type="pct"/>
            <w:tcBorders>
              <w:top w:val="single" w:sz="4" w:space="0" w:color="000000"/>
              <w:left w:val="single" w:sz="4" w:space="0" w:color="000000"/>
              <w:bottom w:val="none" w:sz="6" w:space="0" w:color="auto"/>
              <w:right w:val="single" w:sz="4" w:space="0" w:color="000000"/>
            </w:tcBorders>
          </w:tcPr>
          <w:p w14:paraId="2F7540CC" w14:textId="77777777" w:rsidR="00677B7E" w:rsidRPr="00401C70" w:rsidRDefault="00677B7E" w:rsidP="00FA2590">
            <w:pPr>
              <w:kinsoku w:val="0"/>
              <w:overflowPunct w:val="0"/>
              <w:autoSpaceDE w:val="0"/>
              <w:autoSpaceDN w:val="0"/>
              <w:adjustRightInd w:val="0"/>
              <w:spacing w:before="3"/>
              <w:jc w:val="both"/>
              <w:rPr>
                <w:rFonts w:ascii="Abadi" w:hAnsi="Abadi"/>
                <w:sz w:val="21"/>
                <w:szCs w:val="21"/>
              </w:rPr>
            </w:pPr>
          </w:p>
          <w:p w14:paraId="4043A7AE" w14:textId="77777777" w:rsidR="00677B7E" w:rsidRPr="00401C70" w:rsidRDefault="00677B7E" w:rsidP="00FA2590">
            <w:pPr>
              <w:kinsoku w:val="0"/>
              <w:overflowPunct w:val="0"/>
              <w:autoSpaceDE w:val="0"/>
              <w:autoSpaceDN w:val="0"/>
              <w:adjustRightInd w:val="0"/>
              <w:ind w:left="1188" w:right="88" w:hanging="720"/>
              <w:jc w:val="both"/>
              <w:rPr>
                <w:rFonts w:ascii="Abadi" w:hAnsi="Abadi" w:cs="Calibri"/>
                <w:sz w:val="21"/>
                <w:szCs w:val="21"/>
              </w:rPr>
            </w:pPr>
            <w:r w:rsidRPr="00401C70">
              <w:rPr>
                <w:rFonts w:ascii="Abadi" w:hAnsi="Abadi" w:cs="Calibri"/>
                <w:b/>
                <w:bCs/>
                <w:sz w:val="21"/>
                <w:szCs w:val="21"/>
              </w:rPr>
              <w:t xml:space="preserve">I.           </w:t>
            </w:r>
            <w:r w:rsidRPr="00401C70">
              <w:rPr>
                <w:rFonts w:ascii="Abadi" w:hAnsi="Abadi" w:cs="Calibri"/>
                <w:b/>
                <w:bCs/>
                <w:spacing w:val="5"/>
                <w:sz w:val="21"/>
                <w:szCs w:val="21"/>
              </w:rPr>
              <w:t xml:space="preserve"> </w:t>
            </w:r>
            <w:r w:rsidRPr="00401C70">
              <w:rPr>
                <w:rFonts w:ascii="Abadi" w:hAnsi="Abadi" w:cs="Calibri"/>
                <w:sz w:val="21"/>
                <w:szCs w:val="21"/>
              </w:rPr>
              <w:t>En</w:t>
            </w:r>
            <w:r w:rsidRPr="00401C70">
              <w:rPr>
                <w:rFonts w:ascii="Abadi" w:hAnsi="Abadi" w:cs="Calibri"/>
                <w:spacing w:val="15"/>
                <w:sz w:val="21"/>
                <w:szCs w:val="21"/>
              </w:rPr>
              <w:t xml:space="preserve"> </w:t>
            </w:r>
            <w:r w:rsidRPr="00401C70">
              <w:rPr>
                <w:rFonts w:ascii="Abadi" w:hAnsi="Abadi" w:cs="Calibri"/>
                <w:sz w:val="21"/>
                <w:szCs w:val="21"/>
              </w:rPr>
              <w:t>materia</w:t>
            </w:r>
            <w:r w:rsidRPr="00401C70">
              <w:rPr>
                <w:rFonts w:ascii="Abadi" w:hAnsi="Abadi" w:cs="Calibri"/>
                <w:spacing w:val="13"/>
                <w:sz w:val="21"/>
                <w:szCs w:val="21"/>
              </w:rPr>
              <w:t xml:space="preserve"> </w:t>
            </w:r>
            <w:r w:rsidRPr="00401C70">
              <w:rPr>
                <w:rFonts w:ascii="Abadi" w:hAnsi="Abadi" w:cs="Calibri"/>
                <w:sz w:val="21"/>
                <w:szCs w:val="21"/>
              </w:rPr>
              <w:t>de</w:t>
            </w:r>
            <w:r w:rsidRPr="00401C70">
              <w:rPr>
                <w:rFonts w:ascii="Abadi" w:hAnsi="Abadi" w:cs="Calibri"/>
                <w:spacing w:val="14"/>
                <w:sz w:val="21"/>
                <w:szCs w:val="21"/>
              </w:rPr>
              <w:t xml:space="preserve"> </w:t>
            </w:r>
            <w:r w:rsidRPr="00401C70">
              <w:rPr>
                <w:rFonts w:ascii="Abadi" w:hAnsi="Abadi" w:cs="Calibri"/>
                <w:sz w:val="21"/>
                <w:szCs w:val="21"/>
              </w:rPr>
              <w:t>gobierno</w:t>
            </w:r>
            <w:r w:rsidRPr="00401C70">
              <w:rPr>
                <w:rFonts w:ascii="Abadi" w:hAnsi="Abadi" w:cs="Calibri"/>
                <w:spacing w:val="15"/>
                <w:sz w:val="21"/>
                <w:szCs w:val="21"/>
              </w:rPr>
              <w:t xml:space="preserve"> </w:t>
            </w:r>
            <w:r w:rsidRPr="00401C70">
              <w:rPr>
                <w:rFonts w:ascii="Abadi" w:hAnsi="Abadi" w:cs="Calibri"/>
                <w:sz w:val="21"/>
                <w:szCs w:val="21"/>
              </w:rPr>
              <w:t>y</w:t>
            </w:r>
            <w:r w:rsidRPr="00401C70">
              <w:rPr>
                <w:rFonts w:ascii="Abadi" w:hAnsi="Abadi" w:cs="Calibri"/>
                <w:spacing w:val="14"/>
                <w:sz w:val="21"/>
                <w:szCs w:val="21"/>
              </w:rPr>
              <w:t xml:space="preserve"> </w:t>
            </w:r>
            <w:r w:rsidRPr="00401C70">
              <w:rPr>
                <w:rFonts w:ascii="Abadi" w:hAnsi="Abadi" w:cs="Calibri"/>
                <w:sz w:val="21"/>
                <w:szCs w:val="21"/>
              </w:rPr>
              <w:t>régimen</w:t>
            </w:r>
            <w:r w:rsidRPr="00401C70">
              <w:rPr>
                <w:rFonts w:ascii="Abadi" w:hAnsi="Abadi" w:cs="Calibri"/>
                <w:spacing w:val="-47"/>
                <w:sz w:val="21"/>
                <w:szCs w:val="21"/>
              </w:rPr>
              <w:t xml:space="preserve"> </w:t>
            </w:r>
            <w:r w:rsidRPr="00401C70">
              <w:rPr>
                <w:rFonts w:ascii="Abadi" w:hAnsi="Abadi" w:cs="Calibri"/>
                <w:sz w:val="21"/>
                <w:szCs w:val="21"/>
              </w:rPr>
              <w:t>interior:</w:t>
            </w:r>
          </w:p>
        </w:tc>
      </w:tr>
      <w:tr w:rsidR="00677B7E" w:rsidRPr="00401C70" w14:paraId="17D2810E" w14:textId="77777777" w:rsidTr="003343AD">
        <w:trPr>
          <w:trHeight w:val="537"/>
        </w:trPr>
        <w:tc>
          <w:tcPr>
            <w:tcW w:w="2500" w:type="pct"/>
            <w:tcBorders>
              <w:top w:val="none" w:sz="6" w:space="0" w:color="auto"/>
              <w:left w:val="single" w:sz="4" w:space="0" w:color="000000"/>
              <w:bottom w:val="none" w:sz="6" w:space="0" w:color="auto"/>
              <w:right w:val="single" w:sz="4" w:space="0" w:color="000000"/>
            </w:tcBorders>
          </w:tcPr>
          <w:p w14:paraId="3C8861E6" w14:textId="77777777" w:rsidR="00677B7E" w:rsidRPr="00401C70" w:rsidRDefault="00677B7E" w:rsidP="00FA2590">
            <w:pPr>
              <w:kinsoku w:val="0"/>
              <w:overflowPunct w:val="0"/>
              <w:autoSpaceDE w:val="0"/>
              <w:autoSpaceDN w:val="0"/>
              <w:adjustRightInd w:val="0"/>
              <w:spacing w:before="114"/>
              <w:ind w:left="107"/>
              <w:jc w:val="both"/>
              <w:rPr>
                <w:rFonts w:ascii="Abadi" w:hAnsi="Abadi" w:cs="Calibri"/>
                <w:b/>
                <w:bCs/>
                <w:sz w:val="21"/>
                <w:szCs w:val="21"/>
              </w:rPr>
            </w:pPr>
            <w:r w:rsidRPr="00401C70">
              <w:rPr>
                <w:rFonts w:ascii="Abadi" w:hAnsi="Abadi" w:cs="Calibri"/>
                <w:b/>
                <w:bCs/>
                <w:sz w:val="21"/>
                <w:szCs w:val="21"/>
              </w:rPr>
              <w:t xml:space="preserve">a) </w:t>
            </w:r>
            <w:r w:rsidRPr="00401C70">
              <w:rPr>
                <w:rFonts w:ascii="Abadi" w:hAnsi="Abadi" w:cs="Calibri"/>
                <w:sz w:val="21"/>
                <w:szCs w:val="21"/>
              </w:rPr>
              <w:t xml:space="preserve">a </w:t>
            </w:r>
            <w:r w:rsidRPr="00401C70">
              <w:rPr>
                <w:rFonts w:ascii="Abadi" w:hAnsi="Abadi" w:cs="Calibri"/>
                <w:b/>
                <w:bCs/>
                <w:sz w:val="21"/>
                <w:szCs w:val="21"/>
              </w:rPr>
              <w:t>h)</w:t>
            </w:r>
          </w:p>
        </w:tc>
        <w:tc>
          <w:tcPr>
            <w:tcW w:w="2500" w:type="pct"/>
            <w:tcBorders>
              <w:top w:val="none" w:sz="6" w:space="0" w:color="auto"/>
              <w:left w:val="single" w:sz="4" w:space="0" w:color="000000"/>
              <w:bottom w:val="none" w:sz="6" w:space="0" w:color="auto"/>
              <w:right w:val="single" w:sz="4" w:space="0" w:color="000000"/>
            </w:tcBorders>
          </w:tcPr>
          <w:p w14:paraId="572093CA" w14:textId="77777777" w:rsidR="00677B7E" w:rsidRPr="00401C70" w:rsidRDefault="00677B7E" w:rsidP="00FA2590">
            <w:pPr>
              <w:kinsoku w:val="0"/>
              <w:overflowPunct w:val="0"/>
              <w:autoSpaceDE w:val="0"/>
              <w:autoSpaceDN w:val="0"/>
              <w:adjustRightInd w:val="0"/>
              <w:spacing w:before="114"/>
              <w:ind w:left="107"/>
              <w:jc w:val="both"/>
              <w:rPr>
                <w:rFonts w:ascii="Abadi" w:hAnsi="Abadi" w:cs="Calibri"/>
                <w:b/>
                <w:bCs/>
                <w:sz w:val="21"/>
                <w:szCs w:val="21"/>
              </w:rPr>
            </w:pPr>
            <w:r w:rsidRPr="00401C70">
              <w:rPr>
                <w:rFonts w:ascii="Abadi" w:hAnsi="Abadi" w:cs="Calibri"/>
                <w:b/>
                <w:bCs/>
                <w:sz w:val="21"/>
                <w:szCs w:val="21"/>
              </w:rPr>
              <w:t xml:space="preserve">a) </w:t>
            </w:r>
            <w:r w:rsidRPr="00401C70">
              <w:rPr>
                <w:rFonts w:ascii="Abadi" w:hAnsi="Abadi" w:cs="Calibri"/>
                <w:sz w:val="21"/>
                <w:szCs w:val="21"/>
              </w:rPr>
              <w:t xml:space="preserve">a </w:t>
            </w:r>
            <w:r w:rsidRPr="00401C70">
              <w:rPr>
                <w:rFonts w:ascii="Abadi" w:hAnsi="Abadi" w:cs="Calibri"/>
                <w:b/>
                <w:bCs/>
                <w:sz w:val="21"/>
                <w:szCs w:val="21"/>
              </w:rPr>
              <w:t>h)</w:t>
            </w:r>
          </w:p>
        </w:tc>
      </w:tr>
      <w:tr w:rsidR="00677B7E" w:rsidRPr="00401C70" w14:paraId="2F8FC4BA" w14:textId="77777777" w:rsidTr="003343AD">
        <w:trPr>
          <w:trHeight w:val="2417"/>
        </w:trPr>
        <w:tc>
          <w:tcPr>
            <w:tcW w:w="2500" w:type="pct"/>
            <w:tcBorders>
              <w:top w:val="none" w:sz="6" w:space="0" w:color="auto"/>
              <w:left w:val="single" w:sz="4" w:space="0" w:color="000000"/>
              <w:bottom w:val="none" w:sz="6" w:space="0" w:color="auto"/>
              <w:right w:val="single" w:sz="4" w:space="0" w:color="000000"/>
            </w:tcBorders>
          </w:tcPr>
          <w:p w14:paraId="01ADB34E" w14:textId="77777777" w:rsidR="00677B7E" w:rsidRPr="00401C70" w:rsidRDefault="00677B7E" w:rsidP="00FA2590">
            <w:pPr>
              <w:kinsoku w:val="0"/>
              <w:overflowPunct w:val="0"/>
              <w:autoSpaceDE w:val="0"/>
              <w:autoSpaceDN w:val="0"/>
              <w:adjustRightInd w:val="0"/>
              <w:spacing w:before="114"/>
              <w:ind w:left="107" w:right="93"/>
              <w:jc w:val="both"/>
              <w:rPr>
                <w:rFonts w:ascii="Abadi" w:hAnsi="Abadi" w:cs="Calibri"/>
                <w:sz w:val="21"/>
                <w:szCs w:val="21"/>
              </w:rPr>
            </w:pPr>
            <w:r w:rsidRPr="00401C70">
              <w:rPr>
                <w:rFonts w:ascii="Abadi" w:hAnsi="Abadi" w:cs="Calibri"/>
                <w:b/>
                <w:bCs/>
                <w:sz w:val="21"/>
                <w:szCs w:val="21"/>
              </w:rPr>
              <w:t>i)</w:t>
            </w:r>
            <w:r w:rsidRPr="00401C70">
              <w:rPr>
                <w:rFonts w:ascii="Abadi" w:hAnsi="Abadi" w:cs="Calibri"/>
                <w:b/>
                <w:bCs/>
                <w:spacing w:val="1"/>
                <w:sz w:val="21"/>
                <w:szCs w:val="21"/>
              </w:rPr>
              <w:t xml:space="preserve"> </w:t>
            </w:r>
            <w:r w:rsidRPr="00401C70">
              <w:rPr>
                <w:rFonts w:ascii="Abadi" w:hAnsi="Abadi" w:cs="Calibri"/>
                <w:sz w:val="21"/>
                <w:szCs w:val="21"/>
              </w:rPr>
              <w:t>Nombrar</w:t>
            </w:r>
            <w:r w:rsidRPr="00401C70">
              <w:rPr>
                <w:rFonts w:ascii="Abadi" w:hAnsi="Abadi" w:cs="Calibri"/>
                <w:spacing w:val="1"/>
                <w:sz w:val="21"/>
                <w:szCs w:val="21"/>
              </w:rPr>
              <w:t xml:space="preserve"> </w:t>
            </w:r>
            <w:r w:rsidRPr="00401C70">
              <w:rPr>
                <w:rFonts w:ascii="Abadi" w:hAnsi="Abadi" w:cs="Calibri"/>
                <w:sz w:val="21"/>
                <w:szCs w:val="21"/>
              </w:rPr>
              <w:t>al</w:t>
            </w:r>
            <w:r w:rsidRPr="00401C70">
              <w:rPr>
                <w:rFonts w:ascii="Abadi" w:hAnsi="Abadi" w:cs="Calibri"/>
                <w:spacing w:val="1"/>
                <w:sz w:val="21"/>
                <w:szCs w:val="21"/>
              </w:rPr>
              <w:t xml:space="preserve"> </w:t>
            </w:r>
            <w:r w:rsidRPr="00401C70">
              <w:rPr>
                <w:rFonts w:ascii="Abadi" w:hAnsi="Abadi" w:cs="Calibri"/>
                <w:sz w:val="21"/>
                <w:szCs w:val="21"/>
              </w:rPr>
              <w:t>secretario</w:t>
            </w:r>
            <w:r w:rsidRPr="00401C70">
              <w:rPr>
                <w:rFonts w:ascii="Abadi" w:hAnsi="Abadi" w:cs="Calibri"/>
                <w:spacing w:val="1"/>
                <w:sz w:val="21"/>
                <w:szCs w:val="21"/>
              </w:rPr>
              <w:t xml:space="preserve"> </w:t>
            </w:r>
            <w:r w:rsidRPr="00401C70">
              <w:rPr>
                <w:rFonts w:ascii="Abadi" w:hAnsi="Abadi" w:cs="Calibri"/>
                <w:sz w:val="21"/>
                <w:szCs w:val="21"/>
              </w:rPr>
              <w:t>y</w:t>
            </w:r>
            <w:r w:rsidRPr="00401C70">
              <w:rPr>
                <w:rFonts w:ascii="Abadi" w:hAnsi="Abadi" w:cs="Calibri"/>
                <w:spacing w:val="1"/>
                <w:sz w:val="21"/>
                <w:szCs w:val="21"/>
              </w:rPr>
              <w:t xml:space="preserve"> </w:t>
            </w:r>
            <w:r w:rsidRPr="00401C70">
              <w:rPr>
                <w:rFonts w:ascii="Abadi" w:hAnsi="Abadi" w:cs="Calibri"/>
                <w:sz w:val="21"/>
                <w:szCs w:val="21"/>
              </w:rPr>
              <w:t>al</w:t>
            </w:r>
            <w:r w:rsidRPr="00401C70">
              <w:rPr>
                <w:rFonts w:ascii="Abadi" w:hAnsi="Abadi" w:cs="Calibri"/>
                <w:spacing w:val="1"/>
                <w:sz w:val="21"/>
                <w:szCs w:val="21"/>
              </w:rPr>
              <w:t xml:space="preserve"> </w:t>
            </w:r>
            <w:r w:rsidRPr="00401C70">
              <w:rPr>
                <w:rFonts w:ascii="Abadi" w:hAnsi="Abadi" w:cs="Calibri"/>
                <w:sz w:val="21"/>
                <w:szCs w:val="21"/>
              </w:rPr>
              <w:t>tesorero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47"/>
                <w:sz w:val="21"/>
                <w:szCs w:val="21"/>
              </w:rPr>
              <w:t xml:space="preserve"> </w:t>
            </w:r>
            <w:r w:rsidRPr="00401C70">
              <w:rPr>
                <w:rFonts w:ascii="Abadi" w:hAnsi="Abadi" w:cs="Calibri"/>
                <w:sz w:val="21"/>
                <w:szCs w:val="21"/>
              </w:rPr>
              <w:t>administración pública municipal, así como al</w:t>
            </w:r>
            <w:r w:rsidRPr="00401C70">
              <w:rPr>
                <w:rFonts w:ascii="Abadi" w:hAnsi="Abadi" w:cs="Calibri"/>
                <w:spacing w:val="1"/>
                <w:sz w:val="21"/>
                <w:szCs w:val="21"/>
              </w:rPr>
              <w:t xml:space="preserve"> </w:t>
            </w:r>
            <w:r w:rsidRPr="00401C70">
              <w:rPr>
                <w:rFonts w:ascii="Abadi" w:hAnsi="Abadi" w:cs="Calibri"/>
                <w:sz w:val="21"/>
                <w:szCs w:val="21"/>
              </w:rPr>
              <w:t>titular</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Unidad</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Transparencia</w:t>
            </w:r>
            <w:r w:rsidRPr="00401C70">
              <w:rPr>
                <w:rFonts w:ascii="Abadi" w:hAnsi="Abadi" w:cs="Calibri"/>
                <w:spacing w:val="1"/>
                <w:sz w:val="21"/>
                <w:szCs w:val="21"/>
              </w:rPr>
              <w:t xml:space="preserve"> </w:t>
            </w:r>
            <w:r w:rsidRPr="00401C70">
              <w:rPr>
                <w:rFonts w:ascii="Abadi" w:hAnsi="Abadi" w:cs="Calibri"/>
                <w:sz w:val="21"/>
                <w:szCs w:val="21"/>
              </w:rPr>
              <w:t>a</w:t>
            </w:r>
            <w:r w:rsidRPr="00401C70">
              <w:rPr>
                <w:rFonts w:ascii="Abadi" w:hAnsi="Abadi" w:cs="Calibri"/>
                <w:spacing w:val="1"/>
                <w:sz w:val="21"/>
                <w:szCs w:val="21"/>
              </w:rPr>
              <w:t xml:space="preserve"> </w:t>
            </w:r>
            <w:r w:rsidRPr="00401C70">
              <w:rPr>
                <w:rFonts w:ascii="Abadi" w:hAnsi="Abadi" w:cs="Calibri"/>
                <w:sz w:val="21"/>
                <w:szCs w:val="21"/>
              </w:rPr>
              <w:t>propuesta</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presidente</w:t>
            </w:r>
            <w:r w:rsidRPr="00401C70">
              <w:rPr>
                <w:rFonts w:ascii="Abadi" w:hAnsi="Abadi" w:cs="Calibri"/>
                <w:spacing w:val="1"/>
                <w:sz w:val="21"/>
                <w:szCs w:val="21"/>
              </w:rPr>
              <w:t xml:space="preserve"> </w:t>
            </w:r>
            <w:r w:rsidRPr="00401C70">
              <w:rPr>
                <w:rFonts w:ascii="Abadi" w:hAnsi="Abadi" w:cs="Calibri"/>
                <w:sz w:val="21"/>
                <w:szCs w:val="21"/>
              </w:rPr>
              <w:t>municipal,</w:t>
            </w:r>
            <w:r w:rsidRPr="00401C70">
              <w:rPr>
                <w:rFonts w:ascii="Abadi" w:hAnsi="Abadi" w:cs="Calibri"/>
                <w:spacing w:val="1"/>
                <w:sz w:val="21"/>
                <w:szCs w:val="21"/>
              </w:rPr>
              <w:t xml:space="preserve"> </w:t>
            </w:r>
            <w:r w:rsidRPr="00401C70">
              <w:rPr>
                <w:rFonts w:ascii="Abadi" w:hAnsi="Abadi" w:cs="Calibri"/>
                <w:sz w:val="21"/>
                <w:szCs w:val="21"/>
              </w:rPr>
              <w:t>prefiriendo en igualdad de circunstancias a los</w:t>
            </w:r>
            <w:r w:rsidRPr="00401C70">
              <w:rPr>
                <w:rFonts w:ascii="Abadi" w:hAnsi="Abadi" w:cs="Calibri"/>
                <w:spacing w:val="1"/>
                <w:sz w:val="21"/>
                <w:szCs w:val="21"/>
              </w:rPr>
              <w:t xml:space="preserve"> </w:t>
            </w:r>
            <w:r w:rsidRPr="00401C70">
              <w:rPr>
                <w:rFonts w:ascii="Abadi" w:hAnsi="Abadi" w:cs="Calibri"/>
                <w:sz w:val="21"/>
                <w:szCs w:val="21"/>
              </w:rPr>
              <w:t>habitantes</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2"/>
                <w:sz w:val="21"/>
                <w:szCs w:val="21"/>
              </w:rPr>
              <w:t xml:space="preserve"> </w:t>
            </w:r>
            <w:r w:rsidRPr="00401C70">
              <w:rPr>
                <w:rFonts w:ascii="Abadi" w:hAnsi="Abadi" w:cs="Calibri"/>
                <w:sz w:val="21"/>
                <w:szCs w:val="21"/>
              </w:rPr>
              <w:t>Municipio;</w:t>
            </w:r>
          </w:p>
        </w:tc>
        <w:tc>
          <w:tcPr>
            <w:tcW w:w="2500" w:type="pct"/>
            <w:tcBorders>
              <w:top w:val="none" w:sz="6" w:space="0" w:color="auto"/>
              <w:left w:val="single" w:sz="4" w:space="0" w:color="000000"/>
              <w:bottom w:val="none" w:sz="6" w:space="0" w:color="auto"/>
              <w:right w:val="single" w:sz="4" w:space="0" w:color="000000"/>
            </w:tcBorders>
          </w:tcPr>
          <w:p w14:paraId="7FC47A2B" w14:textId="77777777" w:rsidR="00677B7E" w:rsidRPr="00401C70" w:rsidRDefault="00677B7E" w:rsidP="00FA2590">
            <w:pPr>
              <w:kinsoku w:val="0"/>
              <w:overflowPunct w:val="0"/>
              <w:autoSpaceDE w:val="0"/>
              <w:autoSpaceDN w:val="0"/>
              <w:adjustRightInd w:val="0"/>
              <w:spacing w:before="114"/>
              <w:ind w:left="107" w:right="91"/>
              <w:jc w:val="both"/>
              <w:rPr>
                <w:rFonts w:ascii="Abadi" w:hAnsi="Abadi" w:cs="Calibri"/>
                <w:sz w:val="21"/>
                <w:szCs w:val="21"/>
              </w:rPr>
            </w:pPr>
            <w:r w:rsidRPr="00401C70">
              <w:rPr>
                <w:rFonts w:ascii="Abadi" w:hAnsi="Abadi" w:cs="Calibri"/>
                <w:b/>
                <w:bCs/>
                <w:sz w:val="21"/>
                <w:szCs w:val="21"/>
              </w:rPr>
              <w:t>i)</w:t>
            </w:r>
            <w:r w:rsidRPr="00401C70">
              <w:rPr>
                <w:rFonts w:ascii="Abadi" w:hAnsi="Abadi" w:cs="Calibri"/>
                <w:b/>
                <w:bCs/>
                <w:spacing w:val="1"/>
                <w:sz w:val="21"/>
                <w:szCs w:val="21"/>
              </w:rPr>
              <w:t xml:space="preserve"> </w:t>
            </w:r>
            <w:r w:rsidRPr="00401C70">
              <w:rPr>
                <w:rFonts w:ascii="Abadi" w:hAnsi="Abadi" w:cs="Calibri"/>
                <w:sz w:val="21"/>
                <w:szCs w:val="21"/>
              </w:rPr>
              <w:t>Nombrar</w:t>
            </w:r>
            <w:r w:rsidRPr="00401C70">
              <w:rPr>
                <w:rFonts w:ascii="Abadi" w:hAnsi="Abadi" w:cs="Calibri"/>
                <w:spacing w:val="1"/>
                <w:sz w:val="21"/>
                <w:szCs w:val="21"/>
              </w:rPr>
              <w:t xml:space="preserve"> </w:t>
            </w:r>
            <w:r w:rsidRPr="00401C70">
              <w:rPr>
                <w:rFonts w:ascii="Abadi" w:hAnsi="Abadi" w:cs="Calibri"/>
                <w:b/>
                <w:bCs/>
                <w:i/>
                <w:iCs/>
                <w:sz w:val="21"/>
                <w:szCs w:val="21"/>
              </w:rPr>
              <w:t>a</w:t>
            </w:r>
            <w:r w:rsidRPr="00401C70">
              <w:rPr>
                <w:rFonts w:ascii="Abadi" w:hAnsi="Abadi" w:cs="Calibri"/>
                <w:b/>
                <w:bCs/>
                <w:i/>
                <w:iCs/>
                <w:spacing w:val="1"/>
                <w:sz w:val="21"/>
                <w:szCs w:val="21"/>
              </w:rPr>
              <w:t xml:space="preserve"> </w:t>
            </w:r>
            <w:r w:rsidRPr="00401C70">
              <w:rPr>
                <w:rFonts w:ascii="Abadi" w:hAnsi="Abadi" w:cs="Calibri"/>
                <w:b/>
                <w:bCs/>
                <w:i/>
                <w:iCs/>
                <w:sz w:val="21"/>
                <w:szCs w:val="21"/>
              </w:rPr>
              <w:t>quienes</w:t>
            </w:r>
            <w:r w:rsidRPr="00401C70">
              <w:rPr>
                <w:rFonts w:ascii="Abadi" w:hAnsi="Abadi" w:cs="Calibri"/>
                <w:b/>
                <w:bCs/>
                <w:i/>
                <w:iCs/>
                <w:spacing w:val="1"/>
                <w:sz w:val="21"/>
                <w:szCs w:val="21"/>
              </w:rPr>
              <w:t xml:space="preserve"> </w:t>
            </w:r>
            <w:r w:rsidRPr="00401C70">
              <w:rPr>
                <w:rFonts w:ascii="Abadi" w:hAnsi="Abadi" w:cs="Calibri"/>
                <w:b/>
                <w:bCs/>
                <w:i/>
                <w:iCs/>
                <w:sz w:val="21"/>
                <w:szCs w:val="21"/>
              </w:rPr>
              <w:t>deban</w:t>
            </w:r>
            <w:r w:rsidRPr="00401C70">
              <w:rPr>
                <w:rFonts w:ascii="Abadi" w:hAnsi="Abadi" w:cs="Calibri"/>
                <w:b/>
                <w:bCs/>
                <w:i/>
                <w:iCs/>
                <w:spacing w:val="1"/>
                <w:sz w:val="21"/>
                <w:szCs w:val="21"/>
              </w:rPr>
              <w:t xml:space="preserve"> </w:t>
            </w:r>
            <w:r w:rsidRPr="00401C70">
              <w:rPr>
                <w:rFonts w:ascii="Abadi" w:hAnsi="Abadi" w:cs="Calibri"/>
                <w:b/>
                <w:bCs/>
                <w:i/>
                <w:iCs/>
                <w:sz w:val="21"/>
                <w:szCs w:val="21"/>
              </w:rPr>
              <w:t>ocupar</w:t>
            </w:r>
            <w:r w:rsidRPr="00401C70">
              <w:rPr>
                <w:rFonts w:ascii="Abadi" w:hAnsi="Abadi" w:cs="Calibri"/>
                <w:b/>
                <w:bCs/>
                <w:i/>
                <w:iCs/>
                <w:spacing w:val="1"/>
                <w:sz w:val="21"/>
                <w:szCs w:val="21"/>
              </w:rPr>
              <w:t xml:space="preserve"> </w:t>
            </w:r>
            <w:r w:rsidRPr="00401C70">
              <w:rPr>
                <w:rFonts w:ascii="Abadi" w:hAnsi="Abadi" w:cs="Calibri"/>
                <w:b/>
                <w:bCs/>
                <w:i/>
                <w:iCs/>
                <w:sz w:val="21"/>
                <w:szCs w:val="21"/>
              </w:rPr>
              <w:t>la</w:t>
            </w:r>
            <w:r w:rsidRPr="00401C70">
              <w:rPr>
                <w:rFonts w:ascii="Abadi" w:hAnsi="Abadi" w:cs="Calibri"/>
                <w:b/>
                <w:bCs/>
                <w:i/>
                <w:iCs/>
                <w:spacing w:val="1"/>
                <w:sz w:val="21"/>
                <w:szCs w:val="21"/>
              </w:rPr>
              <w:t xml:space="preserve"> </w:t>
            </w:r>
            <w:r w:rsidRPr="00401C70">
              <w:rPr>
                <w:rFonts w:ascii="Abadi" w:hAnsi="Abadi" w:cs="Calibri"/>
                <w:b/>
                <w:bCs/>
                <w:i/>
                <w:iCs/>
                <w:sz w:val="21"/>
                <w:szCs w:val="21"/>
              </w:rPr>
              <w:t>titularidad de la Secretaría de Ayuntamiento,</w:t>
            </w:r>
            <w:r w:rsidRPr="00401C70">
              <w:rPr>
                <w:rFonts w:ascii="Abadi" w:hAnsi="Abadi" w:cs="Calibri"/>
                <w:b/>
                <w:bCs/>
                <w:i/>
                <w:iCs/>
                <w:spacing w:val="1"/>
                <w:sz w:val="21"/>
                <w:szCs w:val="21"/>
              </w:rPr>
              <w:t xml:space="preserve"> </w:t>
            </w:r>
            <w:r w:rsidRPr="00401C70">
              <w:rPr>
                <w:rFonts w:ascii="Abadi" w:hAnsi="Abadi" w:cs="Calibri"/>
                <w:b/>
                <w:bCs/>
                <w:i/>
                <w:iCs/>
                <w:sz w:val="21"/>
                <w:szCs w:val="21"/>
              </w:rPr>
              <w:t>de la Tesorería Municipal y de la Unidad de</w:t>
            </w:r>
            <w:r w:rsidRPr="00401C70">
              <w:rPr>
                <w:rFonts w:ascii="Abadi" w:hAnsi="Abadi" w:cs="Calibri"/>
                <w:b/>
                <w:bCs/>
                <w:i/>
                <w:iCs/>
                <w:spacing w:val="1"/>
                <w:sz w:val="21"/>
                <w:szCs w:val="21"/>
              </w:rPr>
              <w:t xml:space="preserve"> </w:t>
            </w:r>
            <w:r w:rsidRPr="00401C70">
              <w:rPr>
                <w:rFonts w:ascii="Abadi" w:hAnsi="Abadi" w:cs="Calibri"/>
                <w:b/>
                <w:bCs/>
                <w:i/>
                <w:iCs/>
                <w:sz w:val="21"/>
                <w:szCs w:val="21"/>
              </w:rPr>
              <w:t>Transparencia</w:t>
            </w:r>
            <w:r w:rsidRPr="00401C70">
              <w:rPr>
                <w:rFonts w:ascii="Abadi" w:hAnsi="Abadi" w:cs="Calibri"/>
                <w:b/>
                <w:bCs/>
                <w:i/>
                <w:iCs/>
                <w:spacing w:val="1"/>
                <w:sz w:val="21"/>
                <w:szCs w:val="21"/>
              </w:rPr>
              <w:t xml:space="preserve"> </w:t>
            </w:r>
            <w:r w:rsidRPr="00401C70">
              <w:rPr>
                <w:rFonts w:ascii="Abadi" w:hAnsi="Abadi" w:cs="Calibri"/>
                <w:sz w:val="21"/>
                <w:szCs w:val="21"/>
              </w:rPr>
              <w:t>a</w:t>
            </w:r>
            <w:r w:rsidRPr="00401C70">
              <w:rPr>
                <w:rFonts w:ascii="Abadi" w:hAnsi="Abadi" w:cs="Calibri"/>
                <w:spacing w:val="1"/>
                <w:sz w:val="21"/>
                <w:szCs w:val="21"/>
              </w:rPr>
              <w:t xml:space="preserve"> </w:t>
            </w:r>
            <w:r w:rsidRPr="00401C70">
              <w:rPr>
                <w:rFonts w:ascii="Abadi" w:hAnsi="Abadi" w:cs="Calibri"/>
                <w:sz w:val="21"/>
                <w:szCs w:val="21"/>
              </w:rPr>
              <w:t>propuesta</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presidente</w:t>
            </w:r>
            <w:r w:rsidRPr="00401C70">
              <w:rPr>
                <w:rFonts w:ascii="Abadi" w:hAnsi="Abadi" w:cs="Calibri"/>
                <w:spacing w:val="1"/>
                <w:sz w:val="21"/>
                <w:szCs w:val="21"/>
              </w:rPr>
              <w:t xml:space="preserve"> </w:t>
            </w:r>
            <w:r w:rsidRPr="00401C70">
              <w:rPr>
                <w:rFonts w:ascii="Abadi" w:hAnsi="Abadi" w:cs="Calibri"/>
                <w:sz w:val="21"/>
                <w:szCs w:val="21"/>
              </w:rPr>
              <w:t xml:space="preserve">municipal, </w:t>
            </w:r>
            <w:r w:rsidRPr="00401C70">
              <w:rPr>
                <w:rFonts w:ascii="Abadi" w:hAnsi="Abadi" w:cs="Calibri"/>
                <w:b/>
                <w:bCs/>
                <w:i/>
                <w:iCs/>
                <w:sz w:val="21"/>
                <w:szCs w:val="21"/>
              </w:rPr>
              <w:t>observando el principio de paridad</w:t>
            </w:r>
            <w:r w:rsidRPr="00401C70">
              <w:rPr>
                <w:rFonts w:ascii="Abadi" w:hAnsi="Abadi" w:cs="Calibri"/>
                <w:b/>
                <w:bCs/>
                <w:i/>
                <w:iCs/>
                <w:spacing w:val="1"/>
                <w:sz w:val="21"/>
                <w:szCs w:val="21"/>
              </w:rPr>
              <w:t xml:space="preserve"> </w:t>
            </w:r>
            <w:r w:rsidRPr="00401C70">
              <w:rPr>
                <w:rFonts w:ascii="Abadi" w:hAnsi="Abadi" w:cs="Calibri"/>
                <w:b/>
                <w:bCs/>
                <w:i/>
                <w:iCs/>
                <w:sz w:val="21"/>
                <w:szCs w:val="21"/>
              </w:rPr>
              <w:t>de</w:t>
            </w:r>
            <w:r w:rsidRPr="00401C70">
              <w:rPr>
                <w:rFonts w:ascii="Abadi" w:hAnsi="Abadi" w:cs="Calibri"/>
                <w:b/>
                <w:bCs/>
                <w:i/>
                <w:iCs/>
                <w:spacing w:val="1"/>
                <w:sz w:val="21"/>
                <w:szCs w:val="21"/>
              </w:rPr>
              <w:t xml:space="preserve"> </w:t>
            </w:r>
            <w:r w:rsidRPr="00401C70">
              <w:rPr>
                <w:rFonts w:ascii="Abadi" w:hAnsi="Abadi" w:cs="Calibri"/>
                <w:b/>
                <w:bCs/>
                <w:i/>
                <w:iCs/>
                <w:sz w:val="21"/>
                <w:szCs w:val="21"/>
              </w:rPr>
              <w:t>género</w:t>
            </w:r>
            <w:r w:rsidRPr="00401C70">
              <w:rPr>
                <w:rFonts w:ascii="Abadi" w:hAnsi="Abadi" w:cs="Calibri"/>
                <w:b/>
                <w:bCs/>
                <w:i/>
                <w:iCs/>
                <w:spacing w:val="1"/>
                <w:sz w:val="21"/>
                <w:szCs w:val="21"/>
              </w:rPr>
              <w:t xml:space="preserve"> </w:t>
            </w:r>
            <w:r w:rsidRPr="00401C70">
              <w:rPr>
                <w:rFonts w:ascii="Abadi" w:hAnsi="Abadi" w:cs="Calibri"/>
                <w:b/>
                <w:bCs/>
                <w:i/>
                <w:iCs/>
                <w:sz w:val="21"/>
                <w:szCs w:val="21"/>
              </w:rPr>
              <w:t>y</w:t>
            </w:r>
            <w:r w:rsidRPr="00401C70">
              <w:rPr>
                <w:rFonts w:ascii="Abadi" w:hAnsi="Abadi" w:cs="Calibri"/>
                <w:b/>
                <w:bCs/>
                <w:i/>
                <w:iCs/>
                <w:spacing w:val="1"/>
                <w:sz w:val="21"/>
                <w:szCs w:val="21"/>
              </w:rPr>
              <w:t xml:space="preserve"> </w:t>
            </w:r>
            <w:r w:rsidRPr="00401C70">
              <w:rPr>
                <w:rFonts w:ascii="Abadi" w:hAnsi="Abadi" w:cs="Calibri"/>
                <w:sz w:val="21"/>
                <w:szCs w:val="21"/>
              </w:rPr>
              <w:t>prefiriendo</w:t>
            </w:r>
            <w:r w:rsidRPr="00401C70">
              <w:rPr>
                <w:rFonts w:ascii="Abadi" w:hAnsi="Abadi" w:cs="Calibri"/>
                <w:spacing w:val="1"/>
                <w:sz w:val="21"/>
                <w:szCs w:val="21"/>
              </w:rPr>
              <w:t xml:space="preserve"> </w:t>
            </w:r>
            <w:r w:rsidRPr="00401C70">
              <w:rPr>
                <w:rFonts w:ascii="Abadi" w:hAnsi="Abadi" w:cs="Calibri"/>
                <w:sz w:val="21"/>
                <w:szCs w:val="21"/>
              </w:rPr>
              <w:t>en</w:t>
            </w:r>
            <w:r w:rsidRPr="00401C70">
              <w:rPr>
                <w:rFonts w:ascii="Abadi" w:hAnsi="Abadi" w:cs="Calibri"/>
                <w:spacing w:val="1"/>
                <w:sz w:val="21"/>
                <w:szCs w:val="21"/>
              </w:rPr>
              <w:t xml:space="preserve"> </w:t>
            </w:r>
            <w:r w:rsidRPr="00401C70">
              <w:rPr>
                <w:rFonts w:ascii="Abadi" w:hAnsi="Abadi" w:cs="Calibri"/>
                <w:sz w:val="21"/>
                <w:szCs w:val="21"/>
              </w:rPr>
              <w:t>igualdad</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circunstancias</w:t>
            </w:r>
            <w:r w:rsidRPr="00401C70">
              <w:rPr>
                <w:rFonts w:ascii="Abadi" w:hAnsi="Abadi" w:cs="Calibri"/>
                <w:spacing w:val="1"/>
                <w:sz w:val="21"/>
                <w:szCs w:val="21"/>
              </w:rPr>
              <w:t xml:space="preserve"> </w:t>
            </w:r>
            <w:r w:rsidRPr="00401C70">
              <w:rPr>
                <w:rFonts w:ascii="Abadi" w:hAnsi="Abadi" w:cs="Calibri"/>
                <w:sz w:val="21"/>
                <w:szCs w:val="21"/>
              </w:rPr>
              <w:t>a</w:t>
            </w:r>
            <w:r w:rsidRPr="00401C70">
              <w:rPr>
                <w:rFonts w:ascii="Abadi" w:hAnsi="Abadi" w:cs="Calibri"/>
                <w:spacing w:val="1"/>
                <w:sz w:val="21"/>
                <w:szCs w:val="21"/>
              </w:rPr>
              <w:t xml:space="preserve"> </w:t>
            </w:r>
            <w:r w:rsidRPr="00401C70">
              <w:rPr>
                <w:rFonts w:ascii="Abadi" w:hAnsi="Abadi" w:cs="Calibri"/>
                <w:b/>
                <w:bCs/>
                <w:i/>
                <w:iCs/>
                <w:sz w:val="21"/>
                <w:szCs w:val="21"/>
              </w:rPr>
              <w:t>las</w:t>
            </w:r>
            <w:r w:rsidRPr="00401C70">
              <w:rPr>
                <w:rFonts w:ascii="Abadi" w:hAnsi="Abadi" w:cs="Calibri"/>
                <w:b/>
                <w:bCs/>
                <w:i/>
                <w:iCs/>
                <w:spacing w:val="1"/>
                <w:sz w:val="21"/>
                <w:szCs w:val="21"/>
              </w:rPr>
              <w:t xml:space="preserve"> </w:t>
            </w:r>
            <w:r w:rsidRPr="00401C70">
              <w:rPr>
                <w:rFonts w:ascii="Abadi" w:hAnsi="Abadi" w:cs="Calibri"/>
                <w:b/>
                <w:bCs/>
                <w:i/>
                <w:iCs/>
                <w:sz w:val="21"/>
                <w:szCs w:val="21"/>
              </w:rPr>
              <w:t>personas habitantes</w:t>
            </w:r>
            <w:r w:rsidRPr="00401C70">
              <w:rPr>
                <w:rFonts w:ascii="Abadi" w:hAnsi="Abadi" w:cs="Calibri"/>
                <w:b/>
                <w:bCs/>
                <w:i/>
                <w:iCs/>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Municipio</w:t>
            </w:r>
          </w:p>
        </w:tc>
      </w:tr>
      <w:tr w:rsidR="00677B7E" w:rsidRPr="00401C70" w14:paraId="45E6A597" w14:textId="77777777" w:rsidTr="003343AD">
        <w:trPr>
          <w:trHeight w:val="1610"/>
        </w:trPr>
        <w:tc>
          <w:tcPr>
            <w:tcW w:w="2500" w:type="pct"/>
            <w:tcBorders>
              <w:top w:val="none" w:sz="6" w:space="0" w:color="auto"/>
              <w:left w:val="single" w:sz="4" w:space="0" w:color="000000"/>
              <w:bottom w:val="none" w:sz="6" w:space="0" w:color="auto"/>
              <w:right w:val="single" w:sz="4" w:space="0" w:color="000000"/>
            </w:tcBorders>
          </w:tcPr>
          <w:p w14:paraId="397ADCC7" w14:textId="77777777" w:rsidR="00677B7E" w:rsidRPr="00401C70" w:rsidRDefault="00677B7E" w:rsidP="00FA2590">
            <w:pPr>
              <w:kinsoku w:val="0"/>
              <w:overflowPunct w:val="0"/>
              <w:autoSpaceDE w:val="0"/>
              <w:autoSpaceDN w:val="0"/>
              <w:adjustRightInd w:val="0"/>
              <w:spacing w:before="114"/>
              <w:ind w:left="107" w:right="91"/>
              <w:jc w:val="both"/>
              <w:rPr>
                <w:rFonts w:ascii="Abadi" w:hAnsi="Abadi" w:cs="Calibri"/>
                <w:sz w:val="21"/>
                <w:szCs w:val="21"/>
              </w:rPr>
            </w:pPr>
            <w:r w:rsidRPr="00401C70">
              <w:rPr>
                <w:rFonts w:ascii="Abadi" w:hAnsi="Abadi" w:cs="Calibri"/>
                <w:sz w:val="21"/>
                <w:szCs w:val="21"/>
              </w:rPr>
              <w:t>Remover</w:t>
            </w:r>
            <w:r w:rsidRPr="00401C70">
              <w:rPr>
                <w:rFonts w:ascii="Abadi" w:hAnsi="Abadi" w:cs="Calibri"/>
                <w:spacing w:val="-10"/>
                <w:sz w:val="21"/>
                <w:szCs w:val="21"/>
              </w:rPr>
              <w:t xml:space="preserve"> </w:t>
            </w:r>
            <w:r w:rsidRPr="00401C70">
              <w:rPr>
                <w:rFonts w:ascii="Abadi" w:hAnsi="Abadi" w:cs="Calibri"/>
                <w:sz w:val="21"/>
                <w:szCs w:val="21"/>
              </w:rPr>
              <w:t>a</w:t>
            </w:r>
            <w:r w:rsidRPr="00401C70">
              <w:rPr>
                <w:rFonts w:ascii="Abadi" w:hAnsi="Abadi" w:cs="Calibri"/>
                <w:spacing w:val="-8"/>
                <w:sz w:val="21"/>
                <w:szCs w:val="21"/>
              </w:rPr>
              <w:t xml:space="preserve"> </w:t>
            </w:r>
            <w:r w:rsidRPr="00401C70">
              <w:rPr>
                <w:rFonts w:ascii="Abadi" w:hAnsi="Abadi" w:cs="Calibri"/>
                <w:sz w:val="21"/>
                <w:szCs w:val="21"/>
              </w:rPr>
              <w:t>los</w:t>
            </w:r>
            <w:r w:rsidRPr="00401C70">
              <w:rPr>
                <w:rFonts w:ascii="Abadi" w:hAnsi="Abadi" w:cs="Calibri"/>
                <w:spacing w:val="-10"/>
                <w:sz w:val="21"/>
                <w:szCs w:val="21"/>
              </w:rPr>
              <w:t xml:space="preserve"> </w:t>
            </w:r>
            <w:r w:rsidRPr="00401C70">
              <w:rPr>
                <w:rFonts w:ascii="Abadi" w:hAnsi="Abadi" w:cs="Calibri"/>
                <w:sz w:val="21"/>
                <w:szCs w:val="21"/>
              </w:rPr>
              <w:t>servidores</w:t>
            </w:r>
            <w:r w:rsidRPr="00401C70">
              <w:rPr>
                <w:rFonts w:ascii="Abadi" w:hAnsi="Abadi" w:cs="Calibri"/>
                <w:spacing w:val="-10"/>
                <w:sz w:val="21"/>
                <w:szCs w:val="21"/>
              </w:rPr>
              <w:t xml:space="preserve"> </w:t>
            </w:r>
            <w:r w:rsidRPr="00401C70">
              <w:rPr>
                <w:rFonts w:ascii="Abadi" w:hAnsi="Abadi" w:cs="Calibri"/>
                <w:sz w:val="21"/>
                <w:szCs w:val="21"/>
              </w:rPr>
              <w:t>públicos</w:t>
            </w:r>
            <w:r w:rsidRPr="00401C70">
              <w:rPr>
                <w:rFonts w:ascii="Abadi" w:hAnsi="Abadi" w:cs="Calibri"/>
                <w:spacing w:val="-8"/>
                <w:sz w:val="21"/>
                <w:szCs w:val="21"/>
              </w:rPr>
              <w:t xml:space="preserve"> </w:t>
            </w:r>
            <w:r w:rsidRPr="00401C70">
              <w:rPr>
                <w:rFonts w:ascii="Abadi" w:hAnsi="Abadi" w:cs="Calibri"/>
                <w:sz w:val="21"/>
                <w:szCs w:val="21"/>
              </w:rPr>
              <w:t>señalados</w:t>
            </w:r>
            <w:r w:rsidRPr="00401C70">
              <w:rPr>
                <w:rFonts w:ascii="Abadi" w:hAnsi="Abadi" w:cs="Calibri"/>
                <w:spacing w:val="-10"/>
                <w:sz w:val="21"/>
                <w:szCs w:val="21"/>
              </w:rPr>
              <w:t xml:space="preserve"> </w:t>
            </w:r>
            <w:r w:rsidRPr="00401C70">
              <w:rPr>
                <w:rFonts w:ascii="Abadi" w:hAnsi="Abadi" w:cs="Calibri"/>
                <w:sz w:val="21"/>
                <w:szCs w:val="21"/>
              </w:rPr>
              <w:t>en</w:t>
            </w:r>
            <w:r w:rsidRPr="00401C70">
              <w:rPr>
                <w:rFonts w:ascii="Abadi" w:hAnsi="Abadi" w:cs="Calibri"/>
                <w:spacing w:val="-47"/>
                <w:sz w:val="21"/>
                <w:szCs w:val="21"/>
              </w:rPr>
              <w:t xml:space="preserve"> </w:t>
            </w:r>
            <w:r w:rsidRPr="00401C70">
              <w:rPr>
                <w:rFonts w:ascii="Abadi" w:hAnsi="Abadi" w:cs="Calibri"/>
                <w:sz w:val="21"/>
                <w:szCs w:val="21"/>
              </w:rPr>
              <w:t>el párrafo anterior, a propuesta del presidente</w:t>
            </w:r>
            <w:r w:rsidRPr="00401C70">
              <w:rPr>
                <w:rFonts w:ascii="Abadi" w:hAnsi="Abadi" w:cs="Calibri"/>
                <w:spacing w:val="-47"/>
                <w:sz w:val="21"/>
                <w:szCs w:val="21"/>
              </w:rPr>
              <w:t xml:space="preserve"> </w:t>
            </w:r>
            <w:r w:rsidRPr="00401C70">
              <w:rPr>
                <w:rFonts w:ascii="Abadi" w:hAnsi="Abadi" w:cs="Calibri"/>
                <w:sz w:val="21"/>
                <w:szCs w:val="21"/>
              </w:rPr>
              <w:t>municipal</w:t>
            </w:r>
            <w:r w:rsidRPr="00401C70">
              <w:rPr>
                <w:rFonts w:ascii="Abadi" w:hAnsi="Abadi" w:cs="Calibri"/>
                <w:spacing w:val="1"/>
                <w:sz w:val="21"/>
                <w:szCs w:val="21"/>
              </w:rPr>
              <w:t xml:space="preserve"> </w:t>
            </w:r>
            <w:r w:rsidRPr="00401C70">
              <w:rPr>
                <w:rFonts w:ascii="Abadi" w:hAnsi="Abadi" w:cs="Calibri"/>
                <w:sz w:val="21"/>
                <w:szCs w:val="21"/>
              </w:rPr>
              <w:t>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mayoría</w:t>
            </w:r>
            <w:r w:rsidRPr="00401C70">
              <w:rPr>
                <w:rFonts w:ascii="Abadi" w:hAnsi="Abadi" w:cs="Calibri"/>
                <w:spacing w:val="1"/>
                <w:sz w:val="21"/>
                <w:szCs w:val="21"/>
              </w:rPr>
              <w:t xml:space="preserve"> </w:t>
            </w:r>
            <w:r w:rsidRPr="00401C70">
              <w:rPr>
                <w:rFonts w:ascii="Abadi" w:hAnsi="Abadi" w:cs="Calibri"/>
                <w:sz w:val="21"/>
                <w:szCs w:val="21"/>
              </w:rPr>
              <w:t>simple</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Ayuntamiento, en los términos del artículo 126</w:t>
            </w:r>
            <w:r w:rsidRPr="00401C70">
              <w:rPr>
                <w:rFonts w:ascii="Abadi" w:hAnsi="Abadi" w:cs="Calibri"/>
                <w:spacing w:val="-48"/>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esta</w:t>
            </w:r>
            <w:r w:rsidRPr="00401C70">
              <w:rPr>
                <w:rFonts w:ascii="Abadi" w:hAnsi="Abadi" w:cs="Calibri"/>
                <w:spacing w:val="-3"/>
                <w:sz w:val="21"/>
                <w:szCs w:val="21"/>
              </w:rPr>
              <w:t xml:space="preserve"> </w:t>
            </w:r>
            <w:r w:rsidRPr="00401C70">
              <w:rPr>
                <w:rFonts w:ascii="Abadi" w:hAnsi="Abadi" w:cs="Calibri"/>
                <w:sz w:val="21"/>
                <w:szCs w:val="21"/>
              </w:rPr>
              <w:t>Ley.</w:t>
            </w:r>
          </w:p>
        </w:tc>
        <w:tc>
          <w:tcPr>
            <w:tcW w:w="2500" w:type="pct"/>
            <w:tcBorders>
              <w:top w:val="none" w:sz="6" w:space="0" w:color="auto"/>
              <w:left w:val="single" w:sz="4" w:space="0" w:color="000000"/>
              <w:bottom w:val="none" w:sz="6" w:space="0" w:color="auto"/>
              <w:right w:val="single" w:sz="4" w:space="0" w:color="000000"/>
            </w:tcBorders>
          </w:tcPr>
          <w:p w14:paraId="39748387" w14:textId="77777777" w:rsidR="00677B7E" w:rsidRPr="00401C70" w:rsidRDefault="00677B7E" w:rsidP="00FA2590">
            <w:pPr>
              <w:kinsoku w:val="0"/>
              <w:overflowPunct w:val="0"/>
              <w:autoSpaceDE w:val="0"/>
              <w:autoSpaceDN w:val="0"/>
              <w:adjustRightInd w:val="0"/>
              <w:spacing w:before="114"/>
              <w:ind w:left="107" w:right="93"/>
              <w:jc w:val="both"/>
              <w:rPr>
                <w:rFonts w:ascii="Abadi" w:hAnsi="Abadi" w:cs="Calibri"/>
                <w:sz w:val="21"/>
                <w:szCs w:val="21"/>
              </w:rPr>
            </w:pPr>
            <w:r w:rsidRPr="00401C70">
              <w:rPr>
                <w:rFonts w:ascii="Abadi" w:hAnsi="Abadi" w:cs="Calibri"/>
                <w:sz w:val="21"/>
                <w:szCs w:val="21"/>
              </w:rPr>
              <w:t>Remover</w:t>
            </w:r>
            <w:r w:rsidRPr="00401C70">
              <w:rPr>
                <w:rFonts w:ascii="Abadi" w:hAnsi="Abadi" w:cs="Calibri"/>
                <w:spacing w:val="1"/>
                <w:sz w:val="21"/>
                <w:szCs w:val="21"/>
              </w:rPr>
              <w:t xml:space="preserve"> </w:t>
            </w:r>
            <w:r w:rsidRPr="00401C70">
              <w:rPr>
                <w:rFonts w:ascii="Abadi" w:hAnsi="Abadi" w:cs="Calibri"/>
                <w:b/>
                <w:bCs/>
                <w:i/>
                <w:iCs/>
                <w:sz w:val="21"/>
                <w:szCs w:val="21"/>
              </w:rPr>
              <w:t>a</w:t>
            </w:r>
            <w:r w:rsidRPr="00401C70">
              <w:rPr>
                <w:rFonts w:ascii="Abadi" w:hAnsi="Abadi" w:cs="Calibri"/>
                <w:b/>
                <w:bCs/>
                <w:i/>
                <w:iCs/>
                <w:spacing w:val="1"/>
                <w:sz w:val="21"/>
                <w:szCs w:val="21"/>
              </w:rPr>
              <w:t xml:space="preserve"> </w:t>
            </w:r>
            <w:r w:rsidRPr="00401C70">
              <w:rPr>
                <w:rFonts w:ascii="Abadi" w:hAnsi="Abadi" w:cs="Calibri"/>
                <w:b/>
                <w:bCs/>
                <w:i/>
                <w:iCs/>
                <w:sz w:val="21"/>
                <w:szCs w:val="21"/>
              </w:rPr>
              <w:t>las</w:t>
            </w:r>
            <w:r w:rsidRPr="00401C70">
              <w:rPr>
                <w:rFonts w:ascii="Abadi" w:hAnsi="Abadi" w:cs="Calibri"/>
                <w:b/>
                <w:bCs/>
                <w:i/>
                <w:iCs/>
                <w:spacing w:val="1"/>
                <w:sz w:val="21"/>
                <w:szCs w:val="21"/>
              </w:rPr>
              <w:t xml:space="preserve"> </w:t>
            </w:r>
            <w:r w:rsidRPr="00401C70">
              <w:rPr>
                <w:rFonts w:ascii="Abadi" w:hAnsi="Abadi" w:cs="Calibri"/>
                <w:b/>
                <w:bCs/>
                <w:i/>
                <w:iCs/>
                <w:sz w:val="21"/>
                <w:szCs w:val="21"/>
              </w:rPr>
              <w:t>personas servidoras</w:t>
            </w:r>
            <w:r w:rsidRPr="00401C70">
              <w:rPr>
                <w:rFonts w:ascii="Abadi" w:hAnsi="Abadi" w:cs="Calibri"/>
                <w:b/>
                <w:bCs/>
                <w:i/>
                <w:iCs/>
                <w:spacing w:val="1"/>
                <w:sz w:val="21"/>
                <w:szCs w:val="21"/>
              </w:rPr>
              <w:t xml:space="preserve"> </w:t>
            </w:r>
            <w:r w:rsidRPr="00401C70">
              <w:rPr>
                <w:rFonts w:ascii="Abadi" w:hAnsi="Abadi" w:cs="Calibri"/>
                <w:b/>
                <w:bCs/>
                <w:i/>
                <w:iCs/>
                <w:sz w:val="21"/>
                <w:szCs w:val="21"/>
              </w:rPr>
              <w:t>públicas</w:t>
            </w:r>
            <w:r w:rsidRPr="00401C70">
              <w:rPr>
                <w:rFonts w:ascii="Abadi" w:hAnsi="Abadi" w:cs="Calibri"/>
                <w:b/>
                <w:bCs/>
                <w:i/>
                <w:iCs/>
                <w:spacing w:val="1"/>
                <w:sz w:val="21"/>
                <w:szCs w:val="21"/>
              </w:rPr>
              <w:t xml:space="preserve"> </w:t>
            </w:r>
            <w:r w:rsidRPr="00401C70">
              <w:rPr>
                <w:rFonts w:ascii="Abadi" w:hAnsi="Abadi" w:cs="Calibri"/>
                <w:b/>
                <w:bCs/>
                <w:i/>
                <w:iCs/>
                <w:sz w:val="21"/>
                <w:szCs w:val="21"/>
              </w:rPr>
              <w:t xml:space="preserve">señaladas </w:t>
            </w:r>
            <w:r w:rsidRPr="00401C70">
              <w:rPr>
                <w:rFonts w:ascii="Abadi" w:hAnsi="Abadi" w:cs="Calibri"/>
                <w:sz w:val="21"/>
                <w:szCs w:val="21"/>
              </w:rPr>
              <w:t>en el párrafo anterior, a propuesta</w:t>
            </w:r>
            <w:r w:rsidRPr="00401C70">
              <w:rPr>
                <w:rFonts w:ascii="Abadi" w:hAnsi="Abadi" w:cs="Calibri"/>
                <w:spacing w:val="1"/>
                <w:sz w:val="21"/>
                <w:szCs w:val="21"/>
              </w:rPr>
              <w:t xml:space="preserve"> </w:t>
            </w:r>
            <w:r w:rsidRPr="00401C70">
              <w:rPr>
                <w:rFonts w:ascii="Abadi" w:hAnsi="Abadi" w:cs="Calibri"/>
                <w:spacing w:val="-1"/>
                <w:sz w:val="21"/>
                <w:szCs w:val="21"/>
              </w:rPr>
              <w:t>del</w:t>
            </w:r>
            <w:r w:rsidRPr="00401C70">
              <w:rPr>
                <w:rFonts w:ascii="Abadi" w:hAnsi="Abadi" w:cs="Calibri"/>
                <w:spacing w:val="-8"/>
                <w:sz w:val="21"/>
                <w:szCs w:val="21"/>
              </w:rPr>
              <w:t xml:space="preserve"> </w:t>
            </w:r>
            <w:r w:rsidRPr="00401C70">
              <w:rPr>
                <w:rFonts w:ascii="Abadi" w:hAnsi="Abadi" w:cs="Calibri"/>
                <w:spacing w:val="-1"/>
                <w:sz w:val="21"/>
                <w:szCs w:val="21"/>
              </w:rPr>
              <w:t>presidente</w:t>
            </w:r>
            <w:r w:rsidRPr="00401C70">
              <w:rPr>
                <w:rFonts w:ascii="Abadi" w:hAnsi="Abadi" w:cs="Calibri"/>
                <w:spacing w:val="-10"/>
                <w:sz w:val="21"/>
                <w:szCs w:val="21"/>
              </w:rPr>
              <w:t xml:space="preserve"> </w:t>
            </w:r>
            <w:r w:rsidRPr="00401C70">
              <w:rPr>
                <w:rFonts w:ascii="Abadi" w:hAnsi="Abadi" w:cs="Calibri"/>
                <w:sz w:val="21"/>
                <w:szCs w:val="21"/>
              </w:rPr>
              <w:t>municipal</w:t>
            </w:r>
            <w:r w:rsidRPr="00401C70">
              <w:rPr>
                <w:rFonts w:ascii="Abadi" w:hAnsi="Abadi" w:cs="Calibri"/>
                <w:spacing w:val="-12"/>
                <w:sz w:val="21"/>
                <w:szCs w:val="21"/>
              </w:rPr>
              <w:t xml:space="preserve"> </w:t>
            </w:r>
            <w:r w:rsidRPr="00401C70">
              <w:rPr>
                <w:rFonts w:ascii="Abadi" w:hAnsi="Abadi" w:cs="Calibri"/>
                <w:sz w:val="21"/>
                <w:szCs w:val="21"/>
              </w:rPr>
              <w:t>o</w:t>
            </w:r>
            <w:r w:rsidRPr="00401C70">
              <w:rPr>
                <w:rFonts w:ascii="Abadi" w:hAnsi="Abadi" w:cs="Calibri"/>
                <w:spacing w:val="-12"/>
                <w:sz w:val="21"/>
                <w:szCs w:val="21"/>
              </w:rPr>
              <w:t xml:space="preserve"> </w:t>
            </w:r>
            <w:r w:rsidRPr="00401C70">
              <w:rPr>
                <w:rFonts w:ascii="Abadi" w:hAnsi="Abadi" w:cs="Calibri"/>
                <w:sz w:val="21"/>
                <w:szCs w:val="21"/>
              </w:rPr>
              <w:t>de</w:t>
            </w:r>
            <w:r w:rsidRPr="00401C70">
              <w:rPr>
                <w:rFonts w:ascii="Abadi" w:hAnsi="Abadi" w:cs="Calibri"/>
                <w:spacing w:val="-8"/>
                <w:sz w:val="21"/>
                <w:szCs w:val="21"/>
              </w:rPr>
              <w:t xml:space="preserve"> </w:t>
            </w:r>
            <w:r w:rsidRPr="00401C70">
              <w:rPr>
                <w:rFonts w:ascii="Abadi" w:hAnsi="Abadi" w:cs="Calibri"/>
                <w:sz w:val="21"/>
                <w:szCs w:val="21"/>
              </w:rPr>
              <w:t>la</w:t>
            </w:r>
            <w:r w:rsidRPr="00401C70">
              <w:rPr>
                <w:rFonts w:ascii="Abadi" w:hAnsi="Abadi" w:cs="Calibri"/>
                <w:spacing w:val="-11"/>
                <w:sz w:val="21"/>
                <w:szCs w:val="21"/>
              </w:rPr>
              <w:t xml:space="preserve"> </w:t>
            </w:r>
            <w:r w:rsidRPr="00401C70">
              <w:rPr>
                <w:rFonts w:ascii="Abadi" w:hAnsi="Abadi" w:cs="Calibri"/>
                <w:sz w:val="21"/>
                <w:szCs w:val="21"/>
              </w:rPr>
              <w:t>mayoría</w:t>
            </w:r>
            <w:r w:rsidRPr="00401C70">
              <w:rPr>
                <w:rFonts w:ascii="Abadi" w:hAnsi="Abadi" w:cs="Calibri"/>
                <w:spacing w:val="-12"/>
                <w:sz w:val="21"/>
                <w:szCs w:val="21"/>
              </w:rPr>
              <w:t xml:space="preserve"> </w:t>
            </w:r>
            <w:r w:rsidRPr="00401C70">
              <w:rPr>
                <w:rFonts w:ascii="Abadi" w:hAnsi="Abadi" w:cs="Calibri"/>
                <w:sz w:val="21"/>
                <w:szCs w:val="21"/>
              </w:rPr>
              <w:t>simple</w:t>
            </w:r>
            <w:r w:rsidRPr="00401C70">
              <w:rPr>
                <w:rFonts w:ascii="Abadi" w:hAnsi="Abadi" w:cs="Calibri"/>
                <w:spacing w:val="-47"/>
                <w:sz w:val="21"/>
                <w:szCs w:val="21"/>
              </w:rPr>
              <w:t xml:space="preserve"> </w:t>
            </w:r>
            <w:r w:rsidRPr="00401C70">
              <w:rPr>
                <w:rFonts w:ascii="Abadi" w:hAnsi="Abadi" w:cs="Calibri"/>
                <w:sz w:val="21"/>
                <w:szCs w:val="21"/>
              </w:rPr>
              <w:t>del Ayuntamiento, en los términos del artículo</w:t>
            </w:r>
            <w:r w:rsidRPr="00401C70">
              <w:rPr>
                <w:rFonts w:ascii="Abadi" w:hAnsi="Abadi" w:cs="Calibri"/>
                <w:spacing w:val="1"/>
                <w:sz w:val="21"/>
                <w:szCs w:val="21"/>
              </w:rPr>
              <w:t xml:space="preserve"> </w:t>
            </w:r>
            <w:r w:rsidRPr="00401C70">
              <w:rPr>
                <w:rFonts w:ascii="Abadi" w:hAnsi="Abadi" w:cs="Calibri"/>
                <w:sz w:val="21"/>
                <w:szCs w:val="21"/>
              </w:rPr>
              <w:t>126 de</w:t>
            </w:r>
            <w:r w:rsidRPr="00401C70">
              <w:rPr>
                <w:rFonts w:ascii="Abadi" w:hAnsi="Abadi" w:cs="Calibri"/>
                <w:spacing w:val="-2"/>
                <w:sz w:val="21"/>
                <w:szCs w:val="21"/>
              </w:rPr>
              <w:t xml:space="preserve"> </w:t>
            </w:r>
            <w:r w:rsidRPr="00401C70">
              <w:rPr>
                <w:rFonts w:ascii="Abadi" w:hAnsi="Abadi" w:cs="Calibri"/>
                <w:sz w:val="21"/>
                <w:szCs w:val="21"/>
              </w:rPr>
              <w:t>esta</w:t>
            </w:r>
            <w:r w:rsidRPr="00401C70">
              <w:rPr>
                <w:rFonts w:ascii="Abadi" w:hAnsi="Abadi" w:cs="Calibri"/>
                <w:spacing w:val="-3"/>
                <w:sz w:val="21"/>
                <w:szCs w:val="21"/>
              </w:rPr>
              <w:t xml:space="preserve"> </w:t>
            </w:r>
            <w:r w:rsidRPr="00401C70">
              <w:rPr>
                <w:rFonts w:ascii="Abadi" w:hAnsi="Abadi" w:cs="Calibri"/>
                <w:sz w:val="21"/>
                <w:szCs w:val="21"/>
              </w:rPr>
              <w:t>Ley.</w:t>
            </w:r>
          </w:p>
        </w:tc>
      </w:tr>
      <w:tr w:rsidR="00677B7E" w:rsidRPr="00401C70" w14:paraId="1832D5FC" w14:textId="77777777" w:rsidTr="003343AD">
        <w:trPr>
          <w:trHeight w:val="1075"/>
        </w:trPr>
        <w:tc>
          <w:tcPr>
            <w:tcW w:w="2500" w:type="pct"/>
            <w:tcBorders>
              <w:top w:val="none" w:sz="6" w:space="0" w:color="auto"/>
              <w:left w:val="single" w:sz="4" w:space="0" w:color="000000"/>
              <w:bottom w:val="none" w:sz="6" w:space="0" w:color="auto"/>
              <w:right w:val="single" w:sz="4" w:space="0" w:color="000000"/>
            </w:tcBorders>
          </w:tcPr>
          <w:p w14:paraId="3C6B59A3" w14:textId="77777777" w:rsidR="00677B7E" w:rsidRPr="00401C70" w:rsidRDefault="00677B7E" w:rsidP="00FA2590">
            <w:pPr>
              <w:kinsoku w:val="0"/>
              <w:overflowPunct w:val="0"/>
              <w:autoSpaceDE w:val="0"/>
              <w:autoSpaceDN w:val="0"/>
              <w:adjustRightInd w:val="0"/>
              <w:spacing w:before="114"/>
              <w:ind w:left="107" w:right="89"/>
              <w:jc w:val="both"/>
              <w:rPr>
                <w:rFonts w:ascii="Abadi" w:hAnsi="Abadi" w:cs="Calibri"/>
                <w:sz w:val="21"/>
                <w:szCs w:val="21"/>
              </w:rPr>
            </w:pPr>
            <w:r w:rsidRPr="00401C70">
              <w:rPr>
                <w:rFonts w:ascii="Abadi" w:hAnsi="Abadi" w:cs="Calibri"/>
                <w:b/>
                <w:bCs/>
                <w:sz w:val="21"/>
                <w:szCs w:val="21"/>
              </w:rPr>
              <w:lastRenderedPageBreak/>
              <w:t>j)</w:t>
            </w:r>
            <w:r w:rsidRPr="00401C70">
              <w:rPr>
                <w:rFonts w:ascii="Abadi" w:hAnsi="Abadi" w:cs="Calibri"/>
                <w:b/>
                <w:bCs/>
                <w:spacing w:val="28"/>
                <w:sz w:val="21"/>
                <w:szCs w:val="21"/>
              </w:rPr>
              <w:t xml:space="preserve"> </w:t>
            </w:r>
            <w:r w:rsidRPr="00401C70">
              <w:rPr>
                <w:rFonts w:ascii="Abadi" w:hAnsi="Abadi" w:cs="Calibri"/>
                <w:sz w:val="21"/>
                <w:szCs w:val="21"/>
              </w:rPr>
              <w:t>Nombrar</w:t>
            </w:r>
            <w:r w:rsidRPr="00401C70">
              <w:rPr>
                <w:rFonts w:ascii="Abadi" w:hAnsi="Abadi" w:cs="Calibri"/>
                <w:spacing w:val="24"/>
                <w:sz w:val="21"/>
                <w:szCs w:val="21"/>
              </w:rPr>
              <w:t xml:space="preserve"> </w:t>
            </w:r>
            <w:r w:rsidRPr="00401C70">
              <w:rPr>
                <w:rFonts w:ascii="Abadi" w:hAnsi="Abadi" w:cs="Calibri"/>
                <w:sz w:val="21"/>
                <w:szCs w:val="21"/>
              </w:rPr>
              <w:t>y</w:t>
            </w:r>
            <w:r w:rsidRPr="00401C70">
              <w:rPr>
                <w:rFonts w:ascii="Abadi" w:hAnsi="Abadi" w:cs="Calibri"/>
                <w:spacing w:val="28"/>
                <w:sz w:val="21"/>
                <w:szCs w:val="21"/>
              </w:rPr>
              <w:t xml:space="preserve"> </w:t>
            </w:r>
            <w:r w:rsidRPr="00401C70">
              <w:rPr>
                <w:rFonts w:ascii="Abadi" w:hAnsi="Abadi" w:cs="Calibri"/>
                <w:sz w:val="21"/>
                <w:szCs w:val="21"/>
              </w:rPr>
              <w:t>remover</w:t>
            </w:r>
            <w:r w:rsidRPr="00401C70">
              <w:rPr>
                <w:rFonts w:ascii="Abadi" w:hAnsi="Abadi" w:cs="Calibri"/>
                <w:spacing w:val="28"/>
                <w:sz w:val="21"/>
                <w:szCs w:val="21"/>
              </w:rPr>
              <w:t xml:space="preserve"> </w:t>
            </w:r>
            <w:r w:rsidRPr="00401C70">
              <w:rPr>
                <w:rFonts w:ascii="Abadi" w:hAnsi="Abadi" w:cs="Calibri"/>
                <w:sz w:val="21"/>
                <w:szCs w:val="21"/>
              </w:rPr>
              <w:t>al</w:t>
            </w:r>
            <w:r w:rsidRPr="00401C70">
              <w:rPr>
                <w:rFonts w:ascii="Abadi" w:hAnsi="Abadi" w:cs="Calibri"/>
                <w:spacing w:val="27"/>
                <w:sz w:val="21"/>
                <w:szCs w:val="21"/>
              </w:rPr>
              <w:t xml:space="preserve"> </w:t>
            </w:r>
            <w:r w:rsidRPr="00401C70">
              <w:rPr>
                <w:rFonts w:ascii="Abadi" w:hAnsi="Abadi" w:cs="Calibri"/>
                <w:sz w:val="21"/>
                <w:szCs w:val="21"/>
              </w:rPr>
              <w:t>contralor,</w:t>
            </w:r>
            <w:r w:rsidRPr="00401C70">
              <w:rPr>
                <w:rFonts w:ascii="Abadi" w:hAnsi="Abadi" w:cs="Calibri"/>
                <w:spacing w:val="27"/>
                <w:sz w:val="21"/>
                <w:szCs w:val="21"/>
              </w:rPr>
              <w:t xml:space="preserve"> </w:t>
            </w:r>
            <w:r w:rsidRPr="00401C70">
              <w:rPr>
                <w:rFonts w:ascii="Abadi" w:hAnsi="Abadi" w:cs="Calibri"/>
                <w:sz w:val="21"/>
                <w:szCs w:val="21"/>
              </w:rPr>
              <w:t>en</w:t>
            </w:r>
            <w:r w:rsidRPr="00401C70">
              <w:rPr>
                <w:rFonts w:ascii="Abadi" w:hAnsi="Abadi" w:cs="Calibri"/>
                <w:spacing w:val="27"/>
                <w:sz w:val="21"/>
                <w:szCs w:val="21"/>
              </w:rPr>
              <w:t xml:space="preserve"> </w:t>
            </w:r>
            <w:r w:rsidRPr="00401C70">
              <w:rPr>
                <w:rFonts w:ascii="Abadi" w:hAnsi="Abadi" w:cs="Calibri"/>
                <w:sz w:val="21"/>
                <w:szCs w:val="21"/>
              </w:rPr>
              <w:t>los</w:t>
            </w:r>
            <w:r w:rsidRPr="00401C70">
              <w:rPr>
                <w:rFonts w:ascii="Abadi" w:hAnsi="Abadi" w:cs="Calibri"/>
                <w:spacing w:val="-47"/>
                <w:sz w:val="21"/>
                <w:szCs w:val="21"/>
              </w:rPr>
              <w:t xml:space="preserve"> </w:t>
            </w:r>
            <w:r w:rsidRPr="00401C70">
              <w:rPr>
                <w:rFonts w:ascii="Abadi" w:hAnsi="Abadi" w:cs="Calibri"/>
                <w:sz w:val="21"/>
                <w:szCs w:val="21"/>
              </w:rPr>
              <w:t>términos</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esta</w:t>
            </w:r>
            <w:r w:rsidRPr="00401C70">
              <w:rPr>
                <w:rFonts w:ascii="Abadi" w:hAnsi="Abadi" w:cs="Calibri"/>
                <w:spacing w:val="-2"/>
                <w:sz w:val="21"/>
                <w:szCs w:val="21"/>
              </w:rPr>
              <w:t xml:space="preserve"> </w:t>
            </w:r>
            <w:r w:rsidRPr="00401C70">
              <w:rPr>
                <w:rFonts w:ascii="Abadi" w:hAnsi="Abadi" w:cs="Calibri"/>
                <w:sz w:val="21"/>
                <w:szCs w:val="21"/>
              </w:rPr>
              <w:t>Ley;</w:t>
            </w:r>
          </w:p>
        </w:tc>
        <w:tc>
          <w:tcPr>
            <w:tcW w:w="2500" w:type="pct"/>
            <w:tcBorders>
              <w:top w:val="none" w:sz="6" w:space="0" w:color="auto"/>
              <w:left w:val="single" w:sz="4" w:space="0" w:color="000000"/>
              <w:bottom w:val="none" w:sz="6" w:space="0" w:color="auto"/>
              <w:right w:val="single" w:sz="4" w:space="0" w:color="000000"/>
            </w:tcBorders>
          </w:tcPr>
          <w:p w14:paraId="7D5A9C80" w14:textId="77777777" w:rsidR="00677B7E" w:rsidRPr="00401C70" w:rsidRDefault="00677B7E" w:rsidP="00FA2590">
            <w:pPr>
              <w:kinsoku w:val="0"/>
              <w:overflowPunct w:val="0"/>
              <w:autoSpaceDE w:val="0"/>
              <w:autoSpaceDN w:val="0"/>
              <w:adjustRightInd w:val="0"/>
              <w:spacing w:before="114"/>
              <w:ind w:left="107" w:right="92"/>
              <w:jc w:val="both"/>
              <w:rPr>
                <w:rFonts w:ascii="Abadi" w:hAnsi="Abadi" w:cs="Calibri"/>
                <w:sz w:val="21"/>
                <w:szCs w:val="21"/>
              </w:rPr>
            </w:pPr>
            <w:r w:rsidRPr="00401C70">
              <w:rPr>
                <w:rFonts w:ascii="Abadi" w:hAnsi="Abadi" w:cs="Calibri"/>
                <w:b/>
                <w:bCs/>
                <w:sz w:val="21"/>
                <w:szCs w:val="21"/>
              </w:rPr>
              <w:t>j)</w:t>
            </w:r>
            <w:r w:rsidRPr="00401C70">
              <w:rPr>
                <w:rFonts w:ascii="Abadi" w:hAnsi="Abadi" w:cs="Calibri"/>
                <w:b/>
                <w:bCs/>
                <w:spacing w:val="-5"/>
                <w:sz w:val="21"/>
                <w:szCs w:val="21"/>
              </w:rPr>
              <w:t xml:space="preserve"> </w:t>
            </w:r>
            <w:r w:rsidRPr="00401C70">
              <w:rPr>
                <w:rFonts w:ascii="Abadi" w:hAnsi="Abadi" w:cs="Calibri"/>
                <w:sz w:val="21"/>
                <w:szCs w:val="21"/>
              </w:rPr>
              <w:t>Nombrar</w:t>
            </w:r>
            <w:r w:rsidRPr="00401C70">
              <w:rPr>
                <w:rFonts w:ascii="Abadi" w:hAnsi="Abadi" w:cs="Calibri"/>
                <w:spacing w:val="-6"/>
                <w:sz w:val="21"/>
                <w:szCs w:val="21"/>
              </w:rPr>
              <w:t xml:space="preserve"> </w:t>
            </w:r>
            <w:r w:rsidRPr="00401C70">
              <w:rPr>
                <w:rFonts w:ascii="Abadi" w:hAnsi="Abadi" w:cs="Calibri"/>
                <w:sz w:val="21"/>
                <w:szCs w:val="21"/>
              </w:rPr>
              <w:t>y</w:t>
            </w:r>
            <w:r w:rsidRPr="00401C70">
              <w:rPr>
                <w:rFonts w:ascii="Abadi" w:hAnsi="Abadi" w:cs="Calibri"/>
                <w:spacing w:val="-5"/>
                <w:sz w:val="21"/>
                <w:szCs w:val="21"/>
              </w:rPr>
              <w:t xml:space="preserve"> </w:t>
            </w:r>
            <w:r w:rsidRPr="00401C70">
              <w:rPr>
                <w:rFonts w:ascii="Abadi" w:hAnsi="Abadi" w:cs="Calibri"/>
                <w:sz w:val="21"/>
                <w:szCs w:val="21"/>
              </w:rPr>
              <w:t>remover</w:t>
            </w:r>
            <w:r w:rsidRPr="00401C70">
              <w:rPr>
                <w:rFonts w:ascii="Abadi" w:hAnsi="Abadi" w:cs="Calibri"/>
                <w:spacing w:val="-5"/>
                <w:sz w:val="21"/>
                <w:szCs w:val="21"/>
              </w:rPr>
              <w:t xml:space="preserve"> </w:t>
            </w:r>
            <w:r w:rsidRPr="00401C70">
              <w:rPr>
                <w:rFonts w:ascii="Abadi" w:hAnsi="Abadi" w:cs="Calibri"/>
                <w:b/>
                <w:bCs/>
                <w:i/>
                <w:iCs/>
                <w:sz w:val="21"/>
                <w:szCs w:val="21"/>
              </w:rPr>
              <w:t>a</w:t>
            </w:r>
            <w:r w:rsidRPr="00401C70">
              <w:rPr>
                <w:rFonts w:ascii="Abadi" w:hAnsi="Abadi" w:cs="Calibri"/>
                <w:b/>
                <w:bCs/>
                <w:i/>
                <w:iCs/>
                <w:spacing w:val="-7"/>
                <w:sz w:val="21"/>
                <w:szCs w:val="21"/>
              </w:rPr>
              <w:t xml:space="preserve"> </w:t>
            </w:r>
            <w:r w:rsidRPr="00401C70">
              <w:rPr>
                <w:rFonts w:ascii="Abadi" w:hAnsi="Abadi" w:cs="Calibri"/>
                <w:b/>
                <w:bCs/>
                <w:i/>
                <w:iCs/>
                <w:sz w:val="21"/>
                <w:szCs w:val="21"/>
              </w:rPr>
              <w:t>la</w:t>
            </w:r>
            <w:r w:rsidRPr="00401C70">
              <w:rPr>
                <w:rFonts w:ascii="Abadi" w:hAnsi="Abadi" w:cs="Calibri"/>
                <w:b/>
                <w:bCs/>
                <w:i/>
                <w:iCs/>
                <w:spacing w:val="-7"/>
                <w:sz w:val="21"/>
                <w:szCs w:val="21"/>
              </w:rPr>
              <w:t xml:space="preserve"> </w:t>
            </w:r>
            <w:r w:rsidRPr="00401C70">
              <w:rPr>
                <w:rFonts w:ascii="Abadi" w:hAnsi="Abadi" w:cs="Calibri"/>
                <w:b/>
                <w:bCs/>
                <w:i/>
                <w:iCs/>
                <w:sz w:val="21"/>
                <w:szCs w:val="21"/>
              </w:rPr>
              <w:t>persona</w:t>
            </w:r>
            <w:r w:rsidRPr="00401C70">
              <w:rPr>
                <w:rFonts w:ascii="Abadi" w:hAnsi="Abadi" w:cs="Calibri"/>
                <w:b/>
                <w:bCs/>
                <w:i/>
                <w:iCs/>
                <w:spacing w:val="-5"/>
                <w:sz w:val="21"/>
                <w:szCs w:val="21"/>
              </w:rPr>
              <w:t xml:space="preserve"> </w:t>
            </w:r>
            <w:r w:rsidRPr="00401C70">
              <w:rPr>
                <w:rFonts w:ascii="Abadi" w:hAnsi="Abadi" w:cs="Calibri"/>
                <w:b/>
                <w:bCs/>
                <w:i/>
                <w:iCs/>
                <w:sz w:val="21"/>
                <w:szCs w:val="21"/>
              </w:rPr>
              <w:t>titular</w:t>
            </w:r>
            <w:r w:rsidRPr="00401C70">
              <w:rPr>
                <w:rFonts w:ascii="Abadi" w:hAnsi="Abadi" w:cs="Calibri"/>
                <w:b/>
                <w:bCs/>
                <w:i/>
                <w:iCs/>
                <w:spacing w:val="-6"/>
                <w:sz w:val="21"/>
                <w:szCs w:val="21"/>
              </w:rPr>
              <w:t xml:space="preserve"> </w:t>
            </w:r>
            <w:r w:rsidRPr="00401C70">
              <w:rPr>
                <w:rFonts w:ascii="Abadi" w:hAnsi="Abadi" w:cs="Calibri"/>
                <w:b/>
                <w:bCs/>
                <w:i/>
                <w:iCs/>
                <w:sz w:val="21"/>
                <w:szCs w:val="21"/>
              </w:rPr>
              <w:t>de</w:t>
            </w:r>
            <w:r w:rsidRPr="00401C70">
              <w:rPr>
                <w:rFonts w:ascii="Abadi" w:hAnsi="Abadi" w:cs="Calibri"/>
                <w:b/>
                <w:bCs/>
                <w:i/>
                <w:iCs/>
                <w:spacing w:val="-6"/>
                <w:sz w:val="21"/>
                <w:szCs w:val="21"/>
              </w:rPr>
              <w:t xml:space="preserve"> </w:t>
            </w:r>
            <w:r w:rsidRPr="00401C70">
              <w:rPr>
                <w:rFonts w:ascii="Abadi" w:hAnsi="Abadi" w:cs="Calibri"/>
                <w:b/>
                <w:bCs/>
                <w:i/>
                <w:iCs/>
                <w:sz w:val="21"/>
                <w:szCs w:val="21"/>
              </w:rPr>
              <w:t>la</w:t>
            </w:r>
            <w:r w:rsidRPr="00401C70">
              <w:rPr>
                <w:rFonts w:ascii="Abadi" w:hAnsi="Abadi" w:cs="Calibri"/>
                <w:b/>
                <w:bCs/>
                <w:i/>
                <w:iCs/>
                <w:spacing w:val="-47"/>
                <w:sz w:val="21"/>
                <w:szCs w:val="21"/>
              </w:rPr>
              <w:t xml:space="preserve"> </w:t>
            </w:r>
            <w:r w:rsidRPr="00401C70">
              <w:rPr>
                <w:rFonts w:ascii="Abadi" w:hAnsi="Abadi" w:cs="Calibri"/>
                <w:b/>
                <w:bCs/>
                <w:i/>
                <w:iCs/>
                <w:sz w:val="21"/>
                <w:szCs w:val="21"/>
              </w:rPr>
              <w:t>Contraloría Municipal</w:t>
            </w:r>
            <w:r w:rsidRPr="00401C70">
              <w:rPr>
                <w:rFonts w:ascii="Abadi" w:hAnsi="Abadi" w:cs="Calibri"/>
                <w:sz w:val="21"/>
                <w:szCs w:val="21"/>
              </w:rPr>
              <w:t>, en los términos de esta</w:t>
            </w:r>
            <w:r w:rsidRPr="00401C70">
              <w:rPr>
                <w:rFonts w:ascii="Abadi" w:hAnsi="Abadi" w:cs="Calibri"/>
                <w:spacing w:val="-47"/>
                <w:sz w:val="21"/>
                <w:szCs w:val="21"/>
              </w:rPr>
              <w:t xml:space="preserve"> </w:t>
            </w:r>
            <w:r w:rsidRPr="00401C70">
              <w:rPr>
                <w:rFonts w:ascii="Abadi" w:hAnsi="Abadi" w:cs="Calibri"/>
                <w:sz w:val="21"/>
                <w:szCs w:val="21"/>
              </w:rPr>
              <w:t>Ley;</w:t>
            </w:r>
          </w:p>
        </w:tc>
      </w:tr>
      <w:tr w:rsidR="00677B7E" w:rsidRPr="00401C70" w14:paraId="6C9C647D" w14:textId="77777777" w:rsidTr="003343AD">
        <w:trPr>
          <w:trHeight w:val="537"/>
        </w:trPr>
        <w:tc>
          <w:tcPr>
            <w:tcW w:w="2500" w:type="pct"/>
            <w:tcBorders>
              <w:top w:val="none" w:sz="6" w:space="0" w:color="auto"/>
              <w:left w:val="single" w:sz="4" w:space="0" w:color="000000"/>
              <w:bottom w:val="none" w:sz="6" w:space="0" w:color="auto"/>
              <w:right w:val="single" w:sz="4" w:space="0" w:color="000000"/>
            </w:tcBorders>
          </w:tcPr>
          <w:p w14:paraId="7147E535" w14:textId="77777777" w:rsidR="00677B7E" w:rsidRPr="00401C70" w:rsidRDefault="00677B7E" w:rsidP="00FA2590">
            <w:pPr>
              <w:kinsoku w:val="0"/>
              <w:overflowPunct w:val="0"/>
              <w:autoSpaceDE w:val="0"/>
              <w:autoSpaceDN w:val="0"/>
              <w:adjustRightInd w:val="0"/>
              <w:spacing w:before="114"/>
              <w:ind w:left="107"/>
              <w:jc w:val="both"/>
              <w:rPr>
                <w:rFonts w:ascii="Abadi" w:hAnsi="Abadi" w:cs="Calibri"/>
                <w:b/>
                <w:bCs/>
                <w:sz w:val="21"/>
                <w:szCs w:val="21"/>
              </w:rPr>
            </w:pPr>
            <w:r w:rsidRPr="00401C70">
              <w:rPr>
                <w:rFonts w:ascii="Abadi" w:hAnsi="Abadi" w:cs="Calibri"/>
                <w:b/>
                <w:bCs/>
                <w:sz w:val="21"/>
                <w:szCs w:val="21"/>
              </w:rPr>
              <w:t>k)</w:t>
            </w:r>
            <w:r w:rsidRPr="00401C70">
              <w:rPr>
                <w:rFonts w:ascii="Abadi" w:hAnsi="Abadi" w:cs="Calibri"/>
                <w:b/>
                <w:bCs/>
                <w:spacing w:val="1"/>
                <w:sz w:val="21"/>
                <w:szCs w:val="21"/>
              </w:rPr>
              <w:t xml:space="preserve"> </w:t>
            </w:r>
            <w:r w:rsidRPr="00401C70">
              <w:rPr>
                <w:rFonts w:ascii="Abadi" w:hAnsi="Abadi" w:cs="Calibri"/>
                <w:sz w:val="21"/>
                <w:szCs w:val="21"/>
              </w:rPr>
              <w:t>a</w:t>
            </w:r>
            <w:r w:rsidRPr="00401C70">
              <w:rPr>
                <w:rFonts w:ascii="Abadi" w:hAnsi="Abadi" w:cs="Calibri"/>
                <w:spacing w:val="-2"/>
                <w:sz w:val="21"/>
                <w:szCs w:val="21"/>
              </w:rPr>
              <w:t xml:space="preserve"> </w:t>
            </w:r>
            <w:r w:rsidRPr="00401C70">
              <w:rPr>
                <w:rFonts w:ascii="Abadi" w:hAnsi="Abadi" w:cs="Calibri"/>
                <w:b/>
                <w:bCs/>
                <w:sz w:val="21"/>
                <w:szCs w:val="21"/>
              </w:rPr>
              <w:t>w)</w:t>
            </w:r>
          </w:p>
        </w:tc>
        <w:tc>
          <w:tcPr>
            <w:tcW w:w="2500" w:type="pct"/>
            <w:tcBorders>
              <w:top w:val="none" w:sz="6" w:space="0" w:color="auto"/>
              <w:left w:val="single" w:sz="4" w:space="0" w:color="000000"/>
              <w:bottom w:val="none" w:sz="6" w:space="0" w:color="auto"/>
              <w:right w:val="single" w:sz="4" w:space="0" w:color="000000"/>
            </w:tcBorders>
          </w:tcPr>
          <w:p w14:paraId="6E311916" w14:textId="77777777" w:rsidR="00677B7E" w:rsidRPr="00401C70" w:rsidRDefault="00677B7E" w:rsidP="00FA2590">
            <w:pPr>
              <w:kinsoku w:val="0"/>
              <w:overflowPunct w:val="0"/>
              <w:autoSpaceDE w:val="0"/>
              <w:autoSpaceDN w:val="0"/>
              <w:adjustRightInd w:val="0"/>
              <w:spacing w:before="114"/>
              <w:ind w:left="107"/>
              <w:jc w:val="both"/>
              <w:rPr>
                <w:rFonts w:ascii="Abadi" w:hAnsi="Abadi" w:cs="Calibri"/>
                <w:b/>
                <w:bCs/>
                <w:sz w:val="21"/>
                <w:szCs w:val="21"/>
              </w:rPr>
            </w:pPr>
            <w:r w:rsidRPr="00401C70">
              <w:rPr>
                <w:rFonts w:ascii="Abadi" w:hAnsi="Abadi" w:cs="Calibri"/>
                <w:b/>
                <w:bCs/>
                <w:sz w:val="21"/>
                <w:szCs w:val="21"/>
              </w:rPr>
              <w:t>k)</w:t>
            </w:r>
            <w:r w:rsidRPr="00401C70">
              <w:rPr>
                <w:rFonts w:ascii="Abadi" w:hAnsi="Abadi" w:cs="Calibri"/>
                <w:b/>
                <w:bCs/>
                <w:spacing w:val="1"/>
                <w:sz w:val="21"/>
                <w:szCs w:val="21"/>
              </w:rPr>
              <w:t xml:space="preserve"> </w:t>
            </w:r>
            <w:r w:rsidRPr="00401C70">
              <w:rPr>
                <w:rFonts w:ascii="Abadi" w:hAnsi="Abadi" w:cs="Calibri"/>
                <w:sz w:val="21"/>
                <w:szCs w:val="21"/>
              </w:rPr>
              <w:t>a</w:t>
            </w:r>
            <w:r w:rsidRPr="00401C70">
              <w:rPr>
                <w:rFonts w:ascii="Abadi" w:hAnsi="Abadi" w:cs="Calibri"/>
                <w:spacing w:val="-2"/>
                <w:sz w:val="21"/>
                <w:szCs w:val="21"/>
              </w:rPr>
              <w:t xml:space="preserve"> </w:t>
            </w:r>
            <w:r w:rsidRPr="00401C70">
              <w:rPr>
                <w:rFonts w:ascii="Abadi" w:hAnsi="Abadi" w:cs="Calibri"/>
                <w:b/>
                <w:bCs/>
                <w:sz w:val="21"/>
                <w:szCs w:val="21"/>
              </w:rPr>
              <w:t>w)</w:t>
            </w:r>
          </w:p>
        </w:tc>
      </w:tr>
      <w:tr w:rsidR="00677B7E" w:rsidRPr="00401C70" w14:paraId="14C74443" w14:textId="77777777" w:rsidTr="003343AD">
        <w:trPr>
          <w:trHeight w:val="652"/>
        </w:trPr>
        <w:tc>
          <w:tcPr>
            <w:tcW w:w="2500" w:type="pct"/>
            <w:tcBorders>
              <w:top w:val="none" w:sz="6" w:space="0" w:color="auto"/>
              <w:left w:val="single" w:sz="4" w:space="0" w:color="000000"/>
              <w:bottom w:val="single" w:sz="4" w:space="0" w:color="000000"/>
              <w:right w:val="single" w:sz="4" w:space="0" w:color="000000"/>
            </w:tcBorders>
          </w:tcPr>
          <w:p w14:paraId="46C80738" w14:textId="77777777" w:rsidR="00677B7E" w:rsidRPr="00401C70" w:rsidRDefault="00677B7E" w:rsidP="00FA2590">
            <w:pPr>
              <w:kinsoku w:val="0"/>
              <w:overflowPunct w:val="0"/>
              <w:autoSpaceDE w:val="0"/>
              <w:autoSpaceDN w:val="0"/>
              <w:adjustRightInd w:val="0"/>
              <w:spacing w:before="114"/>
              <w:ind w:left="107"/>
              <w:jc w:val="both"/>
              <w:rPr>
                <w:rFonts w:ascii="Abadi" w:hAnsi="Abadi" w:cs="Calibri"/>
                <w:b/>
                <w:bCs/>
                <w:sz w:val="21"/>
                <w:szCs w:val="21"/>
              </w:rPr>
            </w:pPr>
            <w:r w:rsidRPr="00401C70">
              <w:rPr>
                <w:rFonts w:ascii="Abadi" w:hAnsi="Abadi" w:cs="Calibri"/>
                <w:b/>
                <w:bCs/>
                <w:sz w:val="21"/>
                <w:szCs w:val="21"/>
              </w:rPr>
              <w:t>II</w:t>
            </w:r>
            <w:r w:rsidRPr="00401C70">
              <w:rPr>
                <w:rFonts w:ascii="Abadi" w:hAnsi="Abadi" w:cs="Calibri"/>
                <w:b/>
                <w:bCs/>
                <w:spacing w:val="1"/>
                <w:sz w:val="21"/>
                <w:szCs w:val="21"/>
              </w:rPr>
              <w:t xml:space="preserve"> </w:t>
            </w:r>
            <w:r w:rsidRPr="00401C70">
              <w:rPr>
                <w:rFonts w:ascii="Abadi" w:hAnsi="Abadi" w:cs="Calibri"/>
                <w:sz w:val="21"/>
                <w:szCs w:val="21"/>
              </w:rPr>
              <w:t>a</w:t>
            </w:r>
            <w:r w:rsidRPr="00401C70">
              <w:rPr>
                <w:rFonts w:ascii="Abadi" w:hAnsi="Abadi" w:cs="Calibri"/>
                <w:spacing w:val="-2"/>
                <w:sz w:val="21"/>
                <w:szCs w:val="21"/>
              </w:rPr>
              <w:t xml:space="preserve"> </w:t>
            </w:r>
            <w:r w:rsidRPr="00401C70">
              <w:rPr>
                <w:rFonts w:ascii="Abadi" w:hAnsi="Abadi" w:cs="Calibri"/>
                <w:b/>
                <w:bCs/>
                <w:sz w:val="21"/>
                <w:szCs w:val="21"/>
              </w:rPr>
              <w:t>VI</w:t>
            </w:r>
          </w:p>
        </w:tc>
        <w:tc>
          <w:tcPr>
            <w:tcW w:w="2500" w:type="pct"/>
            <w:tcBorders>
              <w:top w:val="none" w:sz="6" w:space="0" w:color="auto"/>
              <w:left w:val="single" w:sz="4" w:space="0" w:color="000000"/>
              <w:bottom w:val="single" w:sz="4" w:space="0" w:color="000000"/>
              <w:right w:val="single" w:sz="4" w:space="0" w:color="000000"/>
            </w:tcBorders>
          </w:tcPr>
          <w:p w14:paraId="02C9DA45" w14:textId="77777777" w:rsidR="00677B7E" w:rsidRPr="00401C70" w:rsidRDefault="00677B7E" w:rsidP="00FA2590">
            <w:pPr>
              <w:kinsoku w:val="0"/>
              <w:overflowPunct w:val="0"/>
              <w:autoSpaceDE w:val="0"/>
              <w:autoSpaceDN w:val="0"/>
              <w:adjustRightInd w:val="0"/>
              <w:spacing w:before="114"/>
              <w:ind w:left="107"/>
              <w:jc w:val="both"/>
              <w:rPr>
                <w:rFonts w:ascii="Abadi" w:hAnsi="Abadi" w:cs="Calibri"/>
                <w:b/>
                <w:bCs/>
                <w:sz w:val="21"/>
                <w:szCs w:val="21"/>
              </w:rPr>
            </w:pPr>
            <w:r w:rsidRPr="00401C70">
              <w:rPr>
                <w:rFonts w:ascii="Abadi" w:hAnsi="Abadi" w:cs="Calibri"/>
                <w:b/>
                <w:bCs/>
                <w:sz w:val="21"/>
                <w:szCs w:val="21"/>
              </w:rPr>
              <w:t>II</w:t>
            </w:r>
            <w:r w:rsidRPr="00401C70">
              <w:rPr>
                <w:rFonts w:ascii="Abadi" w:hAnsi="Abadi" w:cs="Calibri"/>
                <w:b/>
                <w:bCs/>
                <w:spacing w:val="1"/>
                <w:sz w:val="21"/>
                <w:szCs w:val="21"/>
              </w:rPr>
              <w:t xml:space="preserve"> </w:t>
            </w:r>
            <w:r w:rsidRPr="00401C70">
              <w:rPr>
                <w:rFonts w:ascii="Abadi" w:hAnsi="Abadi" w:cs="Calibri"/>
                <w:sz w:val="21"/>
                <w:szCs w:val="21"/>
              </w:rPr>
              <w:t>a</w:t>
            </w:r>
            <w:r w:rsidRPr="00401C70">
              <w:rPr>
                <w:rFonts w:ascii="Abadi" w:hAnsi="Abadi" w:cs="Calibri"/>
                <w:spacing w:val="-2"/>
                <w:sz w:val="21"/>
                <w:szCs w:val="21"/>
              </w:rPr>
              <w:t xml:space="preserve"> </w:t>
            </w:r>
            <w:r w:rsidRPr="00401C70">
              <w:rPr>
                <w:rFonts w:ascii="Abadi" w:hAnsi="Abadi" w:cs="Calibri"/>
                <w:b/>
                <w:bCs/>
                <w:sz w:val="21"/>
                <w:szCs w:val="21"/>
              </w:rPr>
              <w:t>VI</w:t>
            </w:r>
          </w:p>
        </w:tc>
      </w:tr>
      <w:tr w:rsidR="00677B7E" w:rsidRPr="00401C70" w14:paraId="59FE948B" w14:textId="77777777" w:rsidTr="003343AD">
        <w:trPr>
          <w:trHeight w:val="3784"/>
        </w:trPr>
        <w:tc>
          <w:tcPr>
            <w:tcW w:w="2500" w:type="pct"/>
            <w:tcBorders>
              <w:top w:val="single" w:sz="4" w:space="0" w:color="000000"/>
              <w:left w:val="single" w:sz="4" w:space="0" w:color="000000"/>
              <w:bottom w:val="single" w:sz="4" w:space="0" w:color="000000"/>
              <w:right w:val="single" w:sz="4" w:space="0" w:color="000000"/>
            </w:tcBorders>
          </w:tcPr>
          <w:p w14:paraId="3B9284DA" w14:textId="77777777" w:rsidR="00677B7E" w:rsidRPr="00401C70" w:rsidRDefault="00677B7E" w:rsidP="00FA2590">
            <w:pPr>
              <w:kinsoku w:val="0"/>
              <w:overflowPunct w:val="0"/>
              <w:autoSpaceDE w:val="0"/>
              <w:autoSpaceDN w:val="0"/>
              <w:adjustRightInd w:val="0"/>
              <w:spacing w:before="1" w:line="237" w:lineRule="auto"/>
              <w:ind w:left="107" w:right="90"/>
              <w:jc w:val="both"/>
              <w:rPr>
                <w:rFonts w:ascii="Abadi" w:hAnsi="Abadi" w:cs="Calibri"/>
                <w:sz w:val="21"/>
                <w:szCs w:val="21"/>
              </w:rPr>
            </w:pPr>
            <w:r w:rsidRPr="00401C70">
              <w:rPr>
                <w:rFonts w:ascii="Abadi" w:hAnsi="Abadi" w:cs="Calibri"/>
                <w:b/>
                <w:bCs/>
                <w:sz w:val="21"/>
                <w:szCs w:val="21"/>
              </w:rPr>
              <w:t>Artículo</w:t>
            </w:r>
            <w:r w:rsidRPr="00401C70">
              <w:rPr>
                <w:rFonts w:ascii="Abadi" w:hAnsi="Abadi" w:cs="Calibri"/>
                <w:b/>
                <w:bCs/>
                <w:spacing w:val="5"/>
                <w:sz w:val="21"/>
                <w:szCs w:val="21"/>
              </w:rPr>
              <w:t xml:space="preserve"> </w:t>
            </w:r>
            <w:r w:rsidRPr="00401C70">
              <w:rPr>
                <w:rFonts w:ascii="Abadi" w:hAnsi="Abadi" w:cs="Calibri"/>
                <w:b/>
                <w:bCs/>
                <w:sz w:val="21"/>
                <w:szCs w:val="21"/>
              </w:rPr>
              <w:t>77.</w:t>
            </w:r>
            <w:r w:rsidRPr="00401C70">
              <w:rPr>
                <w:rFonts w:ascii="Abadi" w:hAnsi="Abadi" w:cs="Calibri"/>
                <w:b/>
                <w:bCs/>
                <w:spacing w:val="12"/>
                <w:sz w:val="21"/>
                <w:szCs w:val="21"/>
              </w:rPr>
              <w:t xml:space="preserve"> </w:t>
            </w:r>
            <w:r w:rsidRPr="00401C70">
              <w:rPr>
                <w:rFonts w:ascii="Abadi" w:hAnsi="Abadi" w:cs="Calibri"/>
                <w:sz w:val="21"/>
                <w:szCs w:val="21"/>
              </w:rPr>
              <w:t>El</w:t>
            </w:r>
            <w:r w:rsidRPr="00401C70">
              <w:rPr>
                <w:rFonts w:ascii="Abadi" w:hAnsi="Abadi" w:cs="Calibri"/>
                <w:spacing w:val="9"/>
                <w:sz w:val="21"/>
                <w:szCs w:val="21"/>
              </w:rPr>
              <w:t xml:space="preserve"> </w:t>
            </w:r>
            <w:r w:rsidRPr="00401C70">
              <w:rPr>
                <w:rFonts w:ascii="Abadi" w:hAnsi="Abadi" w:cs="Calibri"/>
                <w:sz w:val="21"/>
                <w:szCs w:val="21"/>
              </w:rPr>
              <w:t>presidente</w:t>
            </w:r>
            <w:r w:rsidRPr="00401C70">
              <w:rPr>
                <w:rFonts w:ascii="Abadi" w:hAnsi="Abadi" w:cs="Calibri"/>
                <w:spacing w:val="7"/>
                <w:sz w:val="21"/>
                <w:szCs w:val="21"/>
              </w:rPr>
              <w:t xml:space="preserve"> </w:t>
            </w:r>
            <w:r w:rsidRPr="00401C70">
              <w:rPr>
                <w:rFonts w:ascii="Abadi" w:hAnsi="Abadi" w:cs="Calibri"/>
                <w:sz w:val="21"/>
                <w:szCs w:val="21"/>
              </w:rPr>
              <w:t>municipal</w:t>
            </w:r>
            <w:r w:rsidRPr="00401C70">
              <w:rPr>
                <w:rFonts w:ascii="Abadi" w:hAnsi="Abadi" w:cs="Calibri"/>
                <w:spacing w:val="9"/>
                <w:sz w:val="21"/>
                <w:szCs w:val="21"/>
              </w:rPr>
              <w:t xml:space="preserve"> </w:t>
            </w:r>
            <w:r w:rsidRPr="00401C70">
              <w:rPr>
                <w:rFonts w:ascii="Abadi" w:hAnsi="Abadi" w:cs="Calibri"/>
                <w:sz w:val="21"/>
                <w:szCs w:val="21"/>
              </w:rPr>
              <w:t>tendrá</w:t>
            </w:r>
            <w:r w:rsidRPr="00401C70">
              <w:rPr>
                <w:rFonts w:ascii="Abadi" w:hAnsi="Abadi" w:cs="Calibri"/>
                <w:spacing w:val="9"/>
                <w:sz w:val="21"/>
                <w:szCs w:val="21"/>
              </w:rPr>
              <w:t xml:space="preserve"> </w:t>
            </w:r>
            <w:r w:rsidRPr="00401C70">
              <w:rPr>
                <w:rFonts w:ascii="Abadi" w:hAnsi="Abadi" w:cs="Calibri"/>
                <w:sz w:val="21"/>
                <w:szCs w:val="21"/>
              </w:rPr>
              <w:t>las</w:t>
            </w:r>
            <w:r w:rsidRPr="00401C70">
              <w:rPr>
                <w:rFonts w:ascii="Abadi" w:hAnsi="Abadi" w:cs="Calibri"/>
                <w:spacing w:val="-47"/>
                <w:sz w:val="21"/>
                <w:szCs w:val="21"/>
              </w:rPr>
              <w:t xml:space="preserve"> </w:t>
            </w:r>
            <w:r w:rsidRPr="00401C70">
              <w:rPr>
                <w:rFonts w:ascii="Abadi" w:hAnsi="Abadi" w:cs="Calibri"/>
                <w:sz w:val="21"/>
                <w:szCs w:val="21"/>
              </w:rPr>
              <w:t>siguientes</w:t>
            </w:r>
            <w:r w:rsidRPr="00401C70">
              <w:rPr>
                <w:rFonts w:ascii="Abadi" w:hAnsi="Abadi" w:cs="Calibri"/>
                <w:spacing w:val="-1"/>
                <w:sz w:val="21"/>
                <w:szCs w:val="21"/>
              </w:rPr>
              <w:t xml:space="preserve"> </w:t>
            </w:r>
            <w:r w:rsidRPr="00401C70">
              <w:rPr>
                <w:rFonts w:ascii="Abadi" w:hAnsi="Abadi" w:cs="Calibri"/>
                <w:sz w:val="21"/>
                <w:szCs w:val="21"/>
              </w:rPr>
              <w:t>atribuciones:</w:t>
            </w:r>
          </w:p>
          <w:p w14:paraId="7EFF66C0" w14:textId="77777777" w:rsidR="00677B7E" w:rsidRPr="00401C70" w:rsidRDefault="00677B7E" w:rsidP="00FA2590">
            <w:pPr>
              <w:kinsoku w:val="0"/>
              <w:overflowPunct w:val="0"/>
              <w:autoSpaceDE w:val="0"/>
              <w:autoSpaceDN w:val="0"/>
              <w:adjustRightInd w:val="0"/>
              <w:jc w:val="both"/>
              <w:rPr>
                <w:rFonts w:ascii="Abadi" w:hAnsi="Abadi"/>
                <w:sz w:val="21"/>
                <w:szCs w:val="21"/>
              </w:rPr>
            </w:pPr>
          </w:p>
          <w:p w14:paraId="2715BF80" w14:textId="77777777" w:rsidR="00677B7E" w:rsidRPr="00401C70" w:rsidRDefault="00677B7E" w:rsidP="00FA2590">
            <w:pPr>
              <w:kinsoku w:val="0"/>
              <w:overflowPunct w:val="0"/>
              <w:autoSpaceDE w:val="0"/>
              <w:autoSpaceDN w:val="0"/>
              <w:adjustRightInd w:val="0"/>
              <w:spacing w:before="1"/>
              <w:ind w:left="107" w:right="91"/>
              <w:jc w:val="both"/>
              <w:rPr>
                <w:rFonts w:ascii="Abadi" w:hAnsi="Abadi" w:cs="Calibri"/>
                <w:sz w:val="21"/>
                <w:szCs w:val="21"/>
              </w:rPr>
            </w:pPr>
            <w:r w:rsidRPr="00401C70">
              <w:rPr>
                <w:rFonts w:ascii="Abadi" w:hAnsi="Abadi" w:cs="Calibri"/>
                <w:b/>
                <w:bCs/>
                <w:sz w:val="21"/>
                <w:szCs w:val="21"/>
              </w:rPr>
              <w:t>XIV.</w:t>
            </w:r>
            <w:r w:rsidRPr="00401C70">
              <w:rPr>
                <w:rFonts w:ascii="Abadi" w:hAnsi="Abadi" w:cs="Calibri"/>
                <w:b/>
                <w:bCs/>
                <w:spacing w:val="1"/>
                <w:sz w:val="21"/>
                <w:szCs w:val="21"/>
              </w:rPr>
              <w:t xml:space="preserve"> </w:t>
            </w:r>
            <w:r w:rsidRPr="00401C70">
              <w:rPr>
                <w:rFonts w:ascii="Abadi" w:hAnsi="Abadi" w:cs="Calibri"/>
                <w:sz w:val="21"/>
                <w:szCs w:val="21"/>
              </w:rPr>
              <w:t>Proponer</w:t>
            </w:r>
            <w:r w:rsidRPr="00401C70">
              <w:rPr>
                <w:rFonts w:ascii="Abadi" w:hAnsi="Abadi" w:cs="Calibri"/>
                <w:spacing w:val="1"/>
                <w:sz w:val="21"/>
                <w:szCs w:val="21"/>
              </w:rPr>
              <w:t xml:space="preserve"> </w:t>
            </w:r>
            <w:r w:rsidRPr="00401C70">
              <w:rPr>
                <w:rFonts w:ascii="Abadi" w:hAnsi="Abadi" w:cs="Calibri"/>
                <w:sz w:val="21"/>
                <w:szCs w:val="21"/>
              </w:rPr>
              <w:t>al</w:t>
            </w:r>
            <w:r w:rsidRPr="00401C70">
              <w:rPr>
                <w:rFonts w:ascii="Abadi" w:hAnsi="Abadi" w:cs="Calibri"/>
                <w:spacing w:val="1"/>
                <w:sz w:val="21"/>
                <w:szCs w:val="21"/>
              </w:rPr>
              <w:t xml:space="preserve"> </w:t>
            </w:r>
            <w:r w:rsidRPr="00401C70">
              <w:rPr>
                <w:rFonts w:ascii="Abadi" w:hAnsi="Abadi" w:cs="Calibri"/>
                <w:sz w:val="21"/>
                <w:szCs w:val="21"/>
              </w:rPr>
              <w:t>Ayuntamiento</w:t>
            </w:r>
            <w:r w:rsidRPr="00401C70">
              <w:rPr>
                <w:rFonts w:ascii="Abadi" w:hAnsi="Abadi" w:cs="Calibri"/>
                <w:spacing w:val="1"/>
                <w:sz w:val="21"/>
                <w:szCs w:val="21"/>
              </w:rPr>
              <w:t xml:space="preserve"> </w:t>
            </w:r>
            <w:r w:rsidRPr="00401C70">
              <w:rPr>
                <w:rFonts w:ascii="Abadi" w:hAnsi="Abadi" w:cs="Calibri"/>
                <w:sz w:val="21"/>
                <w:szCs w:val="21"/>
              </w:rPr>
              <w:t>las</w:t>
            </w:r>
            <w:r w:rsidRPr="00401C70">
              <w:rPr>
                <w:rFonts w:ascii="Abadi" w:hAnsi="Abadi" w:cs="Calibri"/>
                <w:spacing w:val="1"/>
                <w:sz w:val="21"/>
                <w:szCs w:val="21"/>
              </w:rPr>
              <w:t xml:space="preserve"> </w:t>
            </w:r>
            <w:r w:rsidRPr="00401C70">
              <w:rPr>
                <w:rFonts w:ascii="Abadi" w:hAnsi="Abadi" w:cs="Calibri"/>
                <w:sz w:val="21"/>
                <w:szCs w:val="21"/>
              </w:rPr>
              <w:t>personas</w:t>
            </w:r>
            <w:r w:rsidRPr="00401C70">
              <w:rPr>
                <w:rFonts w:ascii="Abadi" w:hAnsi="Abadi" w:cs="Calibri"/>
                <w:spacing w:val="-47"/>
                <w:sz w:val="21"/>
                <w:szCs w:val="21"/>
              </w:rPr>
              <w:t xml:space="preserve"> </w:t>
            </w:r>
            <w:r w:rsidRPr="00401C70">
              <w:rPr>
                <w:rFonts w:ascii="Abadi" w:hAnsi="Abadi" w:cs="Calibri"/>
                <w:sz w:val="21"/>
                <w:szCs w:val="21"/>
              </w:rPr>
              <w:t>que</w:t>
            </w:r>
            <w:r w:rsidRPr="00401C70">
              <w:rPr>
                <w:rFonts w:ascii="Abadi" w:hAnsi="Abadi" w:cs="Calibri"/>
                <w:spacing w:val="-7"/>
                <w:sz w:val="21"/>
                <w:szCs w:val="21"/>
              </w:rPr>
              <w:t xml:space="preserve"> </w:t>
            </w:r>
            <w:r w:rsidRPr="00401C70">
              <w:rPr>
                <w:rFonts w:ascii="Abadi" w:hAnsi="Abadi" w:cs="Calibri"/>
                <w:sz w:val="21"/>
                <w:szCs w:val="21"/>
              </w:rPr>
              <w:t>deban</w:t>
            </w:r>
            <w:r w:rsidRPr="00401C70">
              <w:rPr>
                <w:rFonts w:ascii="Abadi" w:hAnsi="Abadi" w:cs="Calibri"/>
                <w:spacing w:val="-8"/>
                <w:sz w:val="21"/>
                <w:szCs w:val="21"/>
              </w:rPr>
              <w:t xml:space="preserve"> </w:t>
            </w:r>
            <w:r w:rsidRPr="00401C70">
              <w:rPr>
                <w:rFonts w:ascii="Abadi" w:hAnsi="Abadi" w:cs="Calibri"/>
                <w:sz w:val="21"/>
                <w:szCs w:val="21"/>
              </w:rPr>
              <w:t>ocupar</w:t>
            </w:r>
            <w:r w:rsidRPr="00401C70">
              <w:rPr>
                <w:rFonts w:ascii="Abadi" w:hAnsi="Abadi" w:cs="Calibri"/>
                <w:spacing w:val="-8"/>
                <w:sz w:val="21"/>
                <w:szCs w:val="21"/>
              </w:rPr>
              <w:t xml:space="preserve"> </w:t>
            </w:r>
            <w:r w:rsidRPr="00401C70">
              <w:rPr>
                <w:rFonts w:ascii="Abadi" w:hAnsi="Abadi" w:cs="Calibri"/>
                <w:sz w:val="21"/>
                <w:szCs w:val="21"/>
              </w:rPr>
              <w:t>la</w:t>
            </w:r>
            <w:r w:rsidRPr="00401C70">
              <w:rPr>
                <w:rFonts w:ascii="Abadi" w:hAnsi="Abadi" w:cs="Calibri"/>
                <w:spacing w:val="-7"/>
                <w:sz w:val="21"/>
                <w:szCs w:val="21"/>
              </w:rPr>
              <w:t xml:space="preserve"> </w:t>
            </w:r>
            <w:r w:rsidRPr="00401C70">
              <w:rPr>
                <w:rFonts w:ascii="Abadi" w:hAnsi="Abadi" w:cs="Calibri"/>
                <w:sz w:val="21"/>
                <w:szCs w:val="21"/>
              </w:rPr>
              <w:t>titularidad</w:t>
            </w:r>
            <w:r w:rsidRPr="00401C70">
              <w:rPr>
                <w:rFonts w:ascii="Abadi" w:hAnsi="Abadi" w:cs="Calibri"/>
                <w:spacing w:val="-8"/>
                <w:sz w:val="21"/>
                <w:szCs w:val="21"/>
              </w:rPr>
              <w:t xml:space="preserve"> </w:t>
            </w:r>
            <w:r w:rsidRPr="00401C70">
              <w:rPr>
                <w:rFonts w:ascii="Abadi" w:hAnsi="Abadi" w:cs="Calibri"/>
                <w:sz w:val="21"/>
                <w:szCs w:val="21"/>
              </w:rPr>
              <w:t>de</w:t>
            </w:r>
            <w:r w:rsidRPr="00401C70">
              <w:rPr>
                <w:rFonts w:ascii="Abadi" w:hAnsi="Abadi" w:cs="Calibri"/>
                <w:spacing w:val="-7"/>
                <w:sz w:val="21"/>
                <w:szCs w:val="21"/>
              </w:rPr>
              <w:t xml:space="preserve"> </w:t>
            </w:r>
            <w:r w:rsidRPr="00401C70">
              <w:rPr>
                <w:rFonts w:ascii="Abadi" w:hAnsi="Abadi" w:cs="Calibri"/>
                <w:sz w:val="21"/>
                <w:szCs w:val="21"/>
              </w:rPr>
              <w:t>la</w:t>
            </w:r>
            <w:r w:rsidRPr="00401C70">
              <w:rPr>
                <w:rFonts w:ascii="Abadi" w:hAnsi="Abadi" w:cs="Calibri"/>
                <w:spacing w:val="-7"/>
                <w:sz w:val="21"/>
                <w:szCs w:val="21"/>
              </w:rPr>
              <w:t xml:space="preserve"> </w:t>
            </w:r>
            <w:r w:rsidRPr="00401C70">
              <w:rPr>
                <w:rFonts w:ascii="Abadi" w:hAnsi="Abadi" w:cs="Calibri"/>
                <w:sz w:val="21"/>
                <w:szCs w:val="21"/>
              </w:rPr>
              <w:t>Secretaría</w:t>
            </w:r>
            <w:r w:rsidRPr="00401C70">
              <w:rPr>
                <w:rFonts w:ascii="Abadi" w:hAnsi="Abadi" w:cs="Calibri"/>
                <w:spacing w:val="-48"/>
                <w:sz w:val="21"/>
                <w:szCs w:val="21"/>
              </w:rPr>
              <w:t xml:space="preserve"> </w:t>
            </w:r>
            <w:r w:rsidRPr="00401C70">
              <w:rPr>
                <w:rFonts w:ascii="Abadi" w:hAnsi="Abadi" w:cs="Calibri"/>
                <w:sz w:val="21"/>
                <w:szCs w:val="21"/>
              </w:rPr>
              <w:t>de Ayuntamiento, de la Tesorería Municipal y</w:t>
            </w:r>
            <w:r w:rsidRPr="00401C70">
              <w:rPr>
                <w:rFonts w:ascii="Abadi" w:hAnsi="Abadi" w:cs="Calibri"/>
                <w:spacing w:val="1"/>
                <w:sz w:val="21"/>
                <w:szCs w:val="21"/>
              </w:rPr>
              <w:t xml:space="preserve"> </w:t>
            </w:r>
            <w:r w:rsidRPr="00401C70">
              <w:rPr>
                <w:rFonts w:ascii="Abadi" w:hAnsi="Abadi" w:cs="Calibri"/>
                <w:sz w:val="21"/>
                <w:szCs w:val="21"/>
              </w:rPr>
              <w:t>de la Unidad</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2"/>
                <w:sz w:val="21"/>
                <w:szCs w:val="21"/>
              </w:rPr>
              <w:t xml:space="preserve"> </w:t>
            </w:r>
            <w:r w:rsidRPr="00401C70">
              <w:rPr>
                <w:rFonts w:ascii="Abadi" w:hAnsi="Abadi" w:cs="Calibri"/>
                <w:sz w:val="21"/>
                <w:szCs w:val="21"/>
              </w:rPr>
              <w:t>Transparencia;</w:t>
            </w:r>
          </w:p>
          <w:p w14:paraId="08604CC6" w14:textId="77777777" w:rsidR="00677B7E" w:rsidRPr="00401C70" w:rsidRDefault="00677B7E" w:rsidP="00FA2590">
            <w:pPr>
              <w:kinsoku w:val="0"/>
              <w:overflowPunct w:val="0"/>
              <w:autoSpaceDE w:val="0"/>
              <w:autoSpaceDN w:val="0"/>
              <w:adjustRightInd w:val="0"/>
              <w:jc w:val="both"/>
              <w:rPr>
                <w:rFonts w:ascii="Abadi" w:hAnsi="Abadi"/>
                <w:sz w:val="21"/>
                <w:szCs w:val="21"/>
              </w:rPr>
            </w:pPr>
          </w:p>
          <w:p w14:paraId="716DEF0A" w14:textId="77777777" w:rsidR="00677B7E" w:rsidRPr="00401C70" w:rsidRDefault="00677B7E" w:rsidP="00FA2590">
            <w:pPr>
              <w:kinsoku w:val="0"/>
              <w:overflowPunct w:val="0"/>
              <w:autoSpaceDE w:val="0"/>
              <w:autoSpaceDN w:val="0"/>
              <w:adjustRightInd w:val="0"/>
              <w:ind w:left="107"/>
              <w:jc w:val="both"/>
              <w:rPr>
                <w:rFonts w:ascii="Abadi" w:hAnsi="Abadi" w:cs="Calibri"/>
                <w:b/>
                <w:bCs/>
                <w:sz w:val="21"/>
                <w:szCs w:val="21"/>
              </w:rPr>
            </w:pPr>
            <w:r w:rsidRPr="00401C70">
              <w:rPr>
                <w:rFonts w:ascii="Abadi" w:hAnsi="Abadi" w:cs="Calibri"/>
                <w:b/>
                <w:bCs/>
                <w:sz w:val="21"/>
                <w:szCs w:val="21"/>
              </w:rPr>
              <w:t>XVI</w:t>
            </w:r>
            <w:r w:rsidRPr="00401C70">
              <w:rPr>
                <w:rFonts w:ascii="Abadi" w:hAnsi="Abadi" w:cs="Calibri"/>
                <w:b/>
                <w:bCs/>
                <w:spacing w:val="1"/>
                <w:sz w:val="21"/>
                <w:szCs w:val="21"/>
              </w:rPr>
              <w:t xml:space="preserve"> </w:t>
            </w:r>
            <w:r w:rsidRPr="00401C70">
              <w:rPr>
                <w:rFonts w:ascii="Abadi" w:hAnsi="Abadi" w:cs="Calibri"/>
                <w:sz w:val="21"/>
                <w:szCs w:val="21"/>
              </w:rPr>
              <w:t>a</w:t>
            </w:r>
            <w:r w:rsidRPr="00401C70">
              <w:rPr>
                <w:rFonts w:ascii="Abadi" w:hAnsi="Abadi" w:cs="Calibri"/>
                <w:spacing w:val="-2"/>
                <w:sz w:val="21"/>
                <w:szCs w:val="21"/>
              </w:rPr>
              <w:t xml:space="preserve"> </w:t>
            </w:r>
            <w:r w:rsidRPr="00401C70">
              <w:rPr>
                <w:rFonts w:ascii="Abadi" w:hAnsi="Abadi" w:cs="Calibri"/>
                <w:b/>
                <w:bCs/>
                <w:sz w:val="21"/>
                <w:szCs w:val="21"/>
              </w:rPr>
              <w:t>XXVI</w:t>
            </w:r>
          </w:p>
        </w:tc>
        <w:tc>
          <w:tcPr>
            <w:tcW w:w="2500" w:type="pct"/>
            <w:tcBorders>
              <w:top w:val="single" w:sz="4" w:space="0" w:color="000000"/>
              <w:left w:val="single" w:sz="4" w:space="0" w:color="000000"/>
              <w:bottom w:val="single" w:sz="4" w:space="0" w:color="000000"/>
              <w:right w:val="single" w:sz="4" w:space="0" w:color="000000"/>
            </w:tcBorders>
          </w:tcPr>
          <w:p w14:paraId="21784BCB" w14:textId="77777777" w:rsidR="00677B7E" w:rsidRPr="00401C70" w:rsidRDefault="00677B7E" w:rsidP="00FA2590">
            <w:pPr>
              <w:kinsoku w:val="0"/>
              <w:overflowPunct w:val="0"/>
              <w:autoSpaceDE w:val="0"/>
              <w:autoSpaceDN w:val="0"/>
              <w:adjustRightInd w:val="0"/>
              <w:spacing w:before="1" w:line="237" w:lineRule="auto"/>
              <w:ind w:left="107" w:right="90"/>
              <w:jc w:val="both"/>
              <w:rPr>
                <w:rFonts w:ascii="Abadi" w:hAnsi="Abadi" w:cs="Calibri"/>
                <w:sz w:val="21"/>
                <w:szCs w:val="21"/>
              </w:rPr>
            </w:pPr>
            <w:r w:rsidRPr="00401C70">
              <w:rPr>
                <w:rFonts w:ascii="Abadi" w:hAnsi="Abadi" w:cs="Calibri"/>
                <w:b/>
                <w:bCs/>
                <w:sz w:val="21"/>
                <w:szCs w:val="21"/>
              </w:rPr>
              <w:t>Artículo</w:t>
            </w:r>
            <w:r w:rsidRPr="00401C70">
              <w:rPr>
                <w:rFonts w:ascii="Abadi" w:hAnsi="Abadi" w:cs="Calibri"/>
                <w:b/>
                <w:bCs/>
                <w:spacing w:val="5"/>
                <w:sz w:val="21"/>
                <w:szCs w:val="21"/>
              </w:rPr>
              <w:t xml:space="preserve"> </w:t>
            </w:r>
            <w:r w:rsidRPr="00401C70">
              <w:rPr>
                <w:rFonts w:ascii="Abadi" w:hAnsi="Abadi" w:cs="Calibri"/>
                <w:b/>
                <w:bCs/>
                <w:sz w:val="21"/>
                <w:szCs w:val="21"/>
              </w:rPr>
              <w:t>77.</w:t>
            </w:r>
            <w:r w:rsidRPr="00401C70">
              <w:rPr>
                <w:rFonts w:ascii="Abadi" w:hAnsi="Abadi" w:cs="Calibri"/>
                <w:b/>
                <w:bCs/>
                <w:spacing w:val="12"/>
                <w:sz w:val="21"/>
                <w:szCs w:val="21"/>
              </w:rPr>
              <w:t xml:space="preserve"> </w:t>
            </w:r>
            <w:r w:rsidRPr="00401C70">
              <w:rPr>
                <w:rFonts w:ascii="Abadi" w:hAnsi="Abadi" w:cs="Calibri"/>
                <w:sz w:val="21"/>
                <w:szCs w:val="21"/>
              </w:rPr>
              <w:t>El</w:t>
            </w:r>
            <w:r w:rsidRPr="00401C70">
              <w:rPr>
                <w:rFonts w:ascii="Abadi" w:hAnsi="Abadi" w:cs="Calibri"/>
                <w:spacing w:val="9"/>
                <w:sz w:val="21"/>
                <w:szCs w:val="21"/>
              </w:rPr>
              <w:t xml:space="preserve"> </w:t>
            </w:r>
            <w:r w:rsidRPr="00401C70">
              <w:rPr>
                <w:rFonts w:ascii="Abadi" w:hAnsi="Abadi" w:cs="Calibri"/>
                <w:sz w:val="21"/>
                <w:szCs w:val="21"/>
              </w:rPr>
              <w:t>presidente</w:t>
            </w:r>
            <w:r w:rsidRPr="00401C70">
              <w:rPr>
                <w:rFonts w:ascii="Abadi" w:hAnsi="Abadi" w:cs="Calibri"/>
                <w:spacing w:val="7"/>
                <w:sz w:val="21"/>
                <w:szCs w:val="21"/>
              </w:rPr>
              <w:t xml:space="preserve"> </w:t>
            </w:r>
            <w:r w:rsidRPr="00401C70">
              <w:rPr>
                <w:rFonts w:ascii="Abadi" w:hAnsi="Abadi" w:cs="Calibri"/>
                <w:sz w:val="21"/>
                <w:szCs w:val="21"/>
              </w:rPr>
              <w:t>municipal</w:t>
            </w:r>
            <w:r w:rsidRPr="00401C70">
              <w:rPr>
                <w:rFonts w:ascii="Abadi" w:hAnsi="Abadi" w:cs="Calibri"/>
                <w:spacing w:val="9"/>
                <w:sz w:val="21"/>
                <w:szCs w:val="21"/>
              </w:rPr>
              <w:t xml:space="preserve"> </w:t>
            </w:r>
            <w:r w:rsidRPr="00401C70">
              <w:rPr>
                <w:rFonts w:ascii="Abadi" w:hAnsi="Abadi" w:cs="Calibri"/>
                <w:sz w:val="21"/>
                <w:szCs w:val="21"/>
              </w:rPr>
              <w:t>tendrá</w:t>
            </w:r>
            <w:r w:rsidRPr="00401C70">
              <w:rPr>
                <w:rFonts w:ascii="Abadi" w:hAnsi="Abadi" w:cs="Calibri"/>
                <w:spacing w:val="9"/>
                <w:sz w:val="21"/>
                <w:szCs w:val="21"/>
              </w:rPr>
              <w:t xml:space="preserve"> </w:t>
            </w:r>
            <w:r w:rsidRPr="00401C70">
              <w:rPr>
                <w:rFonts w:ascii="Abadi" w:hAnsi="Abadi" w:cs="Calibri"/>
                <w:sz w:val="21"/>
                <w:szCs w:val="21"/>
              </w:rPr>
              <w:t>las</w:t>
            </w:r>
            <w:r w:rsidRPr="00401C70">
              <w:rPr>
                <w:rFonts w:ascii="Abadi" w:hAnsi="Abadi" w:cs="Calibri"/>
                <w:spacing w:val="-47"/>
                <w:sz w:val="21"/>
                <w:szCs w:val="21"/>
              </w:rPr>
              <w:t xml:space="preserve"> </w:t>
            </w:r>
            <w:r w:rsidRPr="00401C70">
              <w:rPr>
                <w:rFonts w:ascii="Abadi" w:hAnsi="Abadi" w:cs="Calibri"/>
                <w:sz w:val="21"/>
                <w:szCs w:val="21"/>
              </w:rPr>
              <w:t>siguientes</w:t>
            </w:r>
            <w:r w:rsidRPr="00401C70">
              <w:rPr>
                <w:rFonts w:ascii="Abadi" w:hAnsi="Abadi" w:cs="Calibri"/>
                <w:spacing w:val="-1"/>
                <w:sz w:val="21"/>
                <w:szCs w:val="21"/>
              </w:rPr>
              <w:t xml:space="preserve"> </w:t>
            </w:r>
            <w:r w:rsidRPr="00401C70">
              <w:rPr>
                <w:rFonts w:ascii="Abadi" w:hAnsi="Abadi" w:cs="Calibri"/>
                <w:sz w:val="21"/>
                <w:szCs w:val="21"/>
              </w:rPr>
              <w:t>atribuciones:</w:t>
            </w:r>
          </w:p>
          <w:p w14:paraId="1F0079A6" w14:textId="77777777" w:rsidR="00677B7E" w:rsidRPr="00401C70" w:rsidRDefault="00677B7E" w:rsidP="00FA2590">
            <w:pPr>
              <w:kinsoku w:val="0"/>
              <w:overflowPunct w:val="0"/>
              <w:autoSpaceDE w:val="0"/>
              <w:autoSpaceDN w:val="0"/>
              <w:adjustRightInd w:val="0"/>
              <w:spacing w:before="5"/>
              <w:jc w:val="both"/>
              <w:rPr>
                <w:rFonts w:ascii="Abadi" w:hAnsi="Abadi"/>
                <w:sz w:val="21"/>
                <w:szCs w:val="21"/>
              </w:rPr>
            </w:pPr>
          </w:p>
          <w:p w14:paraId="7047930B" w14:textId="77777777" w:rsidR="00677B7E" w:rsidRPr="00401C70" w:rsidRDefault="00677B7E" w:rsidP="00FA2590">
            <w:pPr>
              <w:kinsoku w:val="0"/>
              <w:overflowPunct w:val="0"/>
              <w:autoSpaceDE w:val="0"/>
              <w:autoSpaceDN w:val="0"/>
              <w:adjustRightInd w:val="0"/>
              <w:spacing w:before="1"/>
              <w:ind w:left="107"/>
              <w:jc w:val="both"/>
              <w:rPr>
                <w:rFonts w:ascii="Abadi" w:hAnsi="Abadi" w:cs="Calibri"/>
                <w:b/>
                <w:bCs/>
                <w:sz w:val="21"/>
                <w:szCs w:val="21"/>
              </w:rPr>
            </w:pPr>
            <w:r w:rsidRPr="00401C70">
              <w:rPr>
                <w:rFonts w:ascii="Abadi" w:hAnsi="Abadi" w:cs="Calibri"/>
                <w:b/>
                <w:bCs/>
                <w:sz w:val="21"/>
                <w:szCs w:val="21"/>
              </w:rPr>
              <w:t xml:space="preserve">I </w:t>
            </w:r>
            <w:r w:rsidRPr="00401C70">
              <w:rPr>
                <w:rFonts w:ascii="Abadi" w:hAnsi="Abadi" w:cs="Calibri"/>
                <w:sz w:val="21"/>
                <w:szCs w:val="21"/>
              </w:rPr>
              <w:t xml:space="preserve">a </w:t>
            </w:r>
            <w:r w:rsidRPr="00401C70">
              <w:rPr>
                <w:rFonts w:ascii="Abadi" w:hAnsi="Abadi" w:cs="Calibri"/>
                <w:b/>
                <w:bCs/>
                <w:sz w:val="21"/>
                <w:szCs w:val="21"/>
              </w:rPr>
              <w:t>VIII</w:t>
            </w:r>
          </w:p>
          <w:p w14:paraId="04E1009D" w14:textId="77777777" w:rsidR="00677B7E" w:rsidRPr="00401C70" w:rsidRDefault="00677B7E" w:rsidP="00FA2590">
            <w:pPr>
              <w:kinsoku w:val="0"/>
              <w:overflowPunct w:val="0"/>
              <w:autoSpaceDE w:val="0"/>
              <w:autoSpaceDN w:val="0"/>
              <w:adjustRightInd w:val="0"/>
              <w:jc w:val="both"/>
              <w:rPr>
                <w:rFonts w:ascii="Abadi" w:hAnsi="Abadi"/>
                <w:sz w:val="21"/>
                <w:szCs w:val="21"/>
              </w:rPr>
            </w:pPr>
          </w:p>
          <w:p w14:paraId="46E14500" w14:textId="77777777" w:rsidR="00677B7E" w:rsidRPr="00401C70" w:rsidRDefault="00677B7E" w:rsidP="00FA2590">
            <w:pPr>
              <w:kinsoku w:val="0"/>
              <w:overflowPunct w:val="0"/>
              <w:autoSpaceDE w:val="0"/>
              <w:autoSpaceDN w:val="0"/>
              <w:adjustRightInd w:val="0"/>
              <w:ind w:left="107" w:right="91"/>
              <w:jc w:val="both"/>
              <w:rPr>
                <w:rFonts w:ascii="Abadi" w:hAnsi="Abadi" w:cs="Calibri"/>
                <w:sz w:val="21"/>
                <w:szCs w:val="21"/>
              </w:rPr>
            </w:pPr>
            <w:r w:rsidRPr="00401C70">
              <w:rPr>
                <w:rFonts w:ascii="Abadi" w:hAnsi="Abadi" w:cs="Calibri"/>
                <w:b/>
                <w:bCs/>
                <w:sz w:val="21"/>
                <w:szCs w:val="21"/>
              </w:rPr>
              <w:t>XIV.</w:t>
            </w:r>
            <w:r w:rsidRPr="00401C70">
              <w:rPr>
                <w:rFonts w:ascii="Abadi" w:hAnsi="Abadi" w:cs="Calibri"/>
                <w:b/>
                <w:bCs/>
                <w:spacing w:val="1"/>
                <w:sz w:val="21"/>
                <w:szCs w:val="21"/>
              </w:rPr>
              <w:t xml:space="preserve"> </w:t>
            </w:r>
            <w:r w:rsidRPr="00401C70">
              <w:rPr>
                <w:rFonts w:ascii="Abadi" w:hAnsi="Abadi" w:cs="Calibri"/>
                <w:sz w:val="21"/>
                <w:szCs w:val="21"/>
              </w:rPr>
              <w:t>Proponer</w:t>
            </w:r>
            <w:r w:rsidRPr="00401C70">
              <w:rPr>
                <w:rFonts w:ascii="Abadi" w:hAnsi="Abadi" w:cs="Calibri"/>
                <w:spacing w:val="1"/>
                <w:sz w:val="21"/>
                <w:szCs w:val="21"/>
              </w:rPr>
              <w:t xml:space="preserve"> </w:t>
            </w:r>
            <w:r w:rsidRPr="00401C70">
              <w:rPr>
                <w:rFonts w:ascii="Abadi" w:hAnsi="Abadi" w:cs="Calibri"/>
                <w:sz w:val="21"/>
                <w:szCs w:val="21"/>
              </w:rPr>
              <w:t>al</w:t>
            </w:r>
            <w:r w:rsidRPr="00401C70">
              <w:rPr>
                <w:rFonts w:ascii="Abadi" w:hAnsi="Abadi" w:cs="Calibri"/>
                <w:spacing w:val="1"/>
                <w:sz w:val="21"/>
                <w:szCs w:val="21"/>
              </w:rPr>
              <w:t xml:space="preserve"> </w:t>
            </w:r>
            <w:r w:rsidRPr="00401C70">
              <w:rPr>
                <w:rFonts w:ascii="Abadi" w:hAnsi="Abadi" w:cs="Calibri"/>
                <w:sz w:val="21"/>
                <w:szCs w:val="21"/>
              </w:rPr>
              <w:t>Ayuntamiento</w:t>
            </w:r>
            <w:r w:rsidRPr="00401C70">
              <w:rPr>
                <w:rFonts w:ascii="Abadi" w:hAnsi="Abadi" w:cs="Calibri"/>
                <w:spacing w:val="1"/>
                <w:sz w:val="21"/>
                <w:szCs w:val="21"/>
              </w:rPr>
              <w:t xml:space="preserve"> </w:t>
            </w:r>
            <w:r w:rsidRPr="00401C70">
              <w:rPr>
                <w:rFonts w:ascii="Abadi" w:hAnsi="Abadi" w:cs="Calibri"/>
                <w:sz w:val="21"/>
                <w:szCs w:val="21"/>
              </w:rPr>
              <w:t>las</w:t>
            </w:r>
            <w:r w:rsidRPr="00401C70">
              <w:rPr>
                <w:rFonts w:ascii="Abadi" w:hAnsi="Abadi" w:cs="Calibri"/>
                <w:spacing w:val="1"/>
                <w:sz w:val="21"/>
                <w:szCs w:val="21"/>
              </w:rPr>
              <w:t xml:space="preserve"> </w:t>
            </w:r>
            <w:r w:rsidRPr="00401C70">
              <w:rPr>
                <w:rFonts w:ascii="Abadi" w:hAnsi="Abadi" w:cs="Calibri"/>
                <w:sz w:val="21"/>
                <w:szCs w:val="21"/>
              </w:rPr>
              <w:t>personas</w:t>
            </w:r>
            <w:r w:rsidRPr="00401C70">
              <w:rPr>
                <w:rFonts w:ascii="Abadi" w:hAnsi="Abadi" w:cs="Calibri"/>
                <w:spacing w:val="-47"/>
                <w:sz w:val="21"/>
                <w:szCs w:val="21"/>
              </w:rPr>
              <w:t xml:space="preserve"> </w:t>
            </w:r>
            <w:r w:rsidRPr="00401C70">
              <w:rPr>
                <w:rFonts w:ascii="Abadi" w:hAnsi="Abadi" w:cs="Calibri"/>
                <w:sz w:val="21"/>
                <w:szCs w:val="21"/>
              </w:rPr>
              <w:t>que</w:t>
            </w:r>
            <w:r w:rsidRPr="00401C70">
              <w:rPr>
                <w:rFonts w:ascii="Abadi" w:hAnsi="Abadi" w:cs="Calibri"/>
                <w:spacing w:val="-7"/>
                <w:sz w:val="21"/>
                <w:szCs w:val="21"/>
              </w:rPr>
              <w:t xml:space="preserve"> </w:t>
            </w:r>
            <w:r w:rsidRPr="00401C70">
              <w:rPr>
                <w:rFonts w:ascii="Abadi" w:hAnsi="Abadi" w:cs="Calibri"/>
                <w:sz w:val="21"/>
                <w:szCs w:val="21"/>
              </w:rPr>
              <w:t>deban</w:t>
            </w:r>
            <w:r w:rsidRPr="00401C70">
              <w:rPr>
                <w:rFonts w:ascii="Abadi" w:hAnsi="Abadi" w:cs="Calibri"/>
                <w:spacing w:val="-8"/>
                <w:sz w:val="21"/>
                <w:szCs w:val="21"/>
              </w:rPr>
              <w:t xml:space="preserve"> </w:t>
            </w:r>
            <w:r w:rsidRPr="00401C70">
              <w:rPr>
                <w:rFonts w:ascii="Abadi" w:hAnsi="Abadi" w:cs="Calibri"/>
                <w:sz w:val="21"/>
                <w:szCs w:val="21"/>
              </w:rPr>
              <w:t>ocupar</w:t>
            </w:r>
            <w:r w:rsidRPr="00401C70">
              <w:rPr>
                <w:rFonts w:ascii="Abadi" w:hAnsi="Abadi" w:cs="Calibri"/>
                <w:spacing w:val="-8"/>
                <w:sz w:val="21"/>
                <w:szCs w:val="21"/>
              </w:rPr>
              <w:t xml:space="preserve"> </w:t>
            </w:r>
            <w:r w:rsidRPr="00401C70">
              <w:rPr>
                <w:rFonts w:ascii="Abadi" w:hAnsi="Abadi" w:cs="Calibri"/>
                <w:sz w:val="21"/>
                <w:szCs w:val="21"/>
              </w:rPr>
              <w:t>la</w:t>
            </w:r>
            <w:r w:rsidRPr="00401C70">
              <w:rPr>
                <w:rFonts w:ascii="Abadi" w:hAnsi="Abadi" w:cs="Calibri"/>
                <w:spacing w:val="-7"/>
                <w:sz w:val="21"/>
                <w:szCs w:val="21"/>
              </w:rPr>
              <w:t xml:space="preserve"> </w:t>
            </w:r>
            <w:r w:rsidRPr="00401C70">
              <w:rPr>
                <w:rFonts w:ascii="Abadi" w:hAnsi="Abadi" w:cs="Calibri"/>
                <w:sz w:val="21"/>
                <w:szCs w:val="21"/>
              </w:rPr>
              <w:t>titularidad</w:t>
            </w:r>
            <w:r w:rsidRPr="00401C70">
              <w:rPr>
                <w:rFonts w:ascii="Abadi" w:hAnsi="Abadi" w:cs="Calibri"/>
                <w:spacing w:val="-8"/>
                <w:sz w:val="21"/>
                <w:szCs w:val="21"/>
              </w:rPr>
              <w:t xml:space="preserve"> </w:t>
            </w:r>
            <w:r w:rsidRPr="00401C70">
              <w:rPr>
                <w:rFonts w:ascii="Abadi" w:hAnsi="Abadi" w:cs="Calibri"/>
                <w:sz w:val="21"/>
                <w:szCs w:val="21"/>
              </w:rPr>
              <w:t>de</w:t>
            </w:r>
            <w:r w:rsidRPr="00401C70">
              <w:rPr>
                <w:rFonts w:ascii="Abadi" w:hAnsi="Abadi" w:cs="Calibri"/>
                <w:spacing w:val="-7"/>
                <w:sz w:val="21"/>
                <w:szCs w:val="21"/>
              </w:rPr>
              <w:t xml:space="preserve"> </w:t>
            </w:r>
            <w:r w:rsidRPr="00401C70">
              <w:rPr>
                <w:rFonts w:ascii="Abadi" w:hAnsi="Abadi" w:cs="Calibri"/>
                <w:sz w:val="21"/>
                <w:szCs w:val="21"/>
              </w:rPr>
              <w:t>la</w:t>
            </w:r>
            <w:r w:rsidRPr="00401C70">
              <w:rPr>
                <w:rFonts w:ascii="Abadi" w:hAnsi="Abadi" w:cs="Calibri"/>
                <w:spacing w:val="-7"/>
                <w:sz w:val="21"/>
                <w:szCs w:val="21"/>
              </w:rPr>
              <w:t xml:space="preserve"> </w:t>
            </w:r>
            <w:r w:rsidRPr="00401C70">
              <w:rPr>
                <w:rFonts w:ascii="Abadi" w:hAnsi="Abadi" w:cs="Calibri"/>
                <w:sz w:val="21"/>
                <w:szCs w:val="21"/>
              </w:rPr>
              <w:t>Secretaría</w:t>
            </w:r>
            <w:r w:rsidRPr="00401C70">
              <w:rPr>
                <w:rFonts w:ascii="Abadi" w:hAnsi="Abadi" w:cs="Calibri"/>
                <w:spacing w:val="-48"/>
                <w:sz w:val="21"/>
                <w:szCs w:val="21"/>
              </w:rPr>
              <w:t xml:space="preserve"> </w:t>
            </w:r>
            <w:r w:rsidRPr="00401C70">
              <w:rPr>
                <w:rFonts w:ascii="Abadi" w:hAnsi="Abadi" w:cs="Calibri"/>
                <w:sz w:val="21"/>
                <w:szCs w:val="21"/>
              </w:rPr>
              <w:t>de Ayuntamiento, de la Tesorería Municipal y</w:t>
            </w:r>
            <w:r w:rsidRPr="00401C70">
              <w:rPr>
                <w:rFonts w:ascii="Abadi" w:hAnsi="Abadi" w:cs="Calibri"/>
                <w:spacing w:val="1"/>
                <w:sz w:val="21"/>
                <w:szCs w:val="21"/>
              </w:rPr>
              <w:t xml:space="preserve"> </w:t>
            </w:r>
            <w:r w:rsidRPr="00401C70">
              <w:rPr>
                <w:rFonts w:ascii="Abadi" w:hAnsi="Abadi" w:cs="Calibri"/>
                <w:sz w:val="21"/>
                <w:szCs w:val="21"/>
              </w:rPr>
              <w:t xml:space="preserve">de la Unidad de Transparencia </w:t>
            </w:r>
            <w:r w:rsidRPr="00401C70">
              <w:rPr>
                <w:rFonts w:ascii="Abadi" w:hAnsi="Abadi" w:cs="Calibri"/>
                <w:b/>
                <w:bCs/>
                <w:i/>
                <w:iCs/>
                <w:sz w:val="21"/>
                <w:szCs w:val="21"/>
              </w:rPr>
              <w:t>observando el</w:t>
            </w:r>
            <w:r w:rsidRPr="00401C70">
              <w:rPr>
                <w:rFonts w:ascii="Abadi" w:hAnsi="Abadi" w:cs="Calibri"/>
                <w:b/>
                <w:bCs/>
                <w:i/>
                <w:iCs/>
                <w:spacing w:val="1"/>
                <w:sz w:val="21"/>
                <w:szCs w:val="21"/>
              </w:rPr>
              <w:t xml:space="preserve"> </w:t>
            </w:r>
            <w:r w:rsidRPr="00401C70">
              <w:rPr>
                <w:rFonts w:ascii="Abadi" w:hAnsi="Abadi" w:cs="Calibri"/>
                <w:b/>
                <w:bCs/>
                <w:i/>
                <w:iCs/>
                <w:sz w:val="21"/>
                <w:szCs w:val="21"/>
              </w:rPr>
              <w:t>principio</w:t>
            </w:r>
            <w:r w:rsidRPr="00401C70">
              <w:rPr>
                <w:rFonts w:ascii="Abadi" w:hAnsi="Abadi" w:cs="Calibri"/>
                <w:b/>
                <w:bCs/>
                <w:i/>
                <w:iCs/>
                <w:spacing w:val="-2"/>
                <w:sz w:val="21"/>
                <w:szCs w:val="21"/>
              </w:rPr>
              <w:t xml:space="preserve"> </w:t>
            </w:r>
            <w:r w:rsidRPr="00401C70">
              <w:rPr>
                <w:rFonts w:ascii="Abadi" w:hAnsi="Abadi" w:cs="Calibri"/>
                <w:b/>
                <w:bCs/>
                <w:i/>
                <w:iCs/>
                <w:sz w:val="21"/>
                <w:szCs w:val="21"/>
              </w:rPr>
              <w:t>de</w:t>
            </w:r>
            <w:r w:rsidRPr="00401C70">
              <w:rPr>
                <w:rFonts w:ascii="Abadi" w:hAnsi="Abadi" w:cs="Calibri"/>
                <w:b/>
                <w:bCs/>
                <w:i/>
                <w:iCs/>
                <w:spacing w:val="-3"/>
                <w:sz w:val="21"/>
                <w:szCs w:val="21"/>
              </w:rPr>
              <w:t xml:space="preserve"> </w:t>
            </w:r>
            <w:r w:rsidRPr="00401C70">
              <w:rPr>
                <w:rFonts w:ascii="Abadi" w:hAnsi="Abadi" w:cs="Calibri"/>
                <w:b/>
                <w:bCs/>
                <w:i/>
                <w:iCs/>
                <w:sz w:val="21"/>
                <w:szCs w:val="21"/>
              </w:rPr>
              <w:t>paridad</w:t>
            </w:r>
            <w:r w:rsidRPr="00401C70">
              <w:rPr>
                <w:rFonts w:ascii="Abadi" w:hAnsi="Abadi" w:cs="Calibri"/>
                <w:b/>
                <w:bCs/>
                <w:i/>
                <w:iCs/>
                <w:spacing w:val="-2"/>
                <w:sz w:val="21"/>
                <w:szCs w:val="21"/>
              </w:rPr>
              <w:t xml:space="preserve"> </w:t>
            </w:r>
            <w:r w:rsidRPr="00401C70">
              <w:rPr>
                <w:rFonts w:ascii="Abadi" w:hAnsi="Abadi" w:cs="Calibri"/>
                <w:b/>
                <w:bCs/>
                <w:i/>
                <w:iCs/>
                <w:sz w:val="21"/>
                <w:szCs w:val="21"/>
              </w:rPr>
              <w:t>de</w:t>
            </w:r>
            <w:r w:rsidRPr="00401C70">
              <w:rPr>
                <w:rFonts w:ascii="Abadi" w:hAnsi="Abadi" w:cs="Calibri"/>
                <w:b/>
                <w:bCs/>
                <w:i/>
                <w:iCs/>
                <w:spacing w:val="-3"/>
                <w:sz w:val="21"/>
                <w:szCs w:val="21"/>
              </w:rPr>
              <w:t xml:space="preserve"> </w:t>
            </w:r>
            <w:r w:rsidRPr="00401C70">
              <w:rPr>
                <w:rFonts w:ascii="Abadi" w:hAnsi="Abadi" w:cs="Calibri"/>
                <w:b/>
                <w:bCs/>
                <w:i/>
                <w:iCs/>
                <w:sz w:val="21"/>
                <w:szCs w:val="21"/>
              </w:rPr>
              <w:t>género</w:t>
            </w:r>
            <w:r w:rsidRPr="00401C70">
              <w:rPr>
                <w:rFonts w:ascii="Abadi" w:hAnsi="Abadi" w:cs="Calibri"/>
                <w:sz w:val="21"/>
                <w:szCs w:val="21"/>
              </w:rPr>
              <w:t>;</w:t>
            </w:r>
          </w:p>
          <w:p w14:paraId="4B20F328" w14:textId="77777777" w:rsidR="00677B7E" w:rsidRPr="00401C70" w:rsidRDefault="00677B7E" w:rsidP="00FA2590">
            <w:pPr>
              <w:kinsoku w:val="0"/>
              <w:overflowPunct w:val="0"/>
              <w:autoSpaceDE w:val="0"/>
              <w:autoSpaceDN w:val="0"/>
              <w:adjustRightInd w:val="0"/>
              <w:spacing w:before="3"/>
              <w:jc w:val="both"/>
              <w:rPr>
                <w:rFonts w:ascii="Abadi" w:hAnsi="Abadi"/>
                <w:sz w:val="21"/>
                <w:szCs w:val="21"/>
              </w:rPr>
            </w:pPr>
          </w:p>
          <w:p w14:paraId="4A1D1D6C" w14:textId="77777777" w:rsidR="00677B7E" w:rsidRPr="00401C70" w:rsidRDefault="00677B7E" w:rsidP="00FA2590">
            <w:pPr>
              <w:kinsoku w:val="0"/>
              <w:overflowPunct w:val="0"/>
              <w:autoSpaceDE w:val="0"/>
              <w:autoSpaceDN w:val="0"/>
              <w:adjustRightInd w:val="0"/>
              <w:ind w:left="107"/>
              <w:jc w:val="both"/>
              <w:rPr>
                <w:rFonts w:ascii="Abadi" w:hAnsi="Abadi" w:cs="Calibri"/>
                <w:b/>
                <w:bCs/>
                <w:sz w:val="21"/>
                <w:szCs w:val="21"/>
              </w:rPr>
            </w:pPr>
            <w:r w:rsidRPr="00401C70">
              <w:rPr>
                <w:rFonts w:ascii="Abadi" w:hAnsi="Abadi" w:cs="Calibri"/>
                <w:b/>
                <w:bCs/>
                <w:sz w:val="21"/>
                <w:szCs w:val="21"/>
              </w:rPr>
              <w:t>XVI</w:t>
            </w:r>
            <w:r w:rsidRPr="00401C70">
              <w:rPr>
                <w:rFonts w:ascii="Abadi" w:hAnsi="Abadi" w:cs="Calibri"/>
                <w:b/>
                <w:bCs/>
                <w:spacing w:val="1"/>
                <w:sz w:val="21"/>
                <w:szCs w:val="21"/>
              </w:rPr>
              <w:t xml:space="preserve"> </w:t>
            </w:r>
            <w:r w:rsidRPr="00401C70">
              <w:rPr>
                <w:rFonts w:ascii="Abadi" w:hAnsi="Abadi" w:cs="Calibri"/>
                <w:sz w:val="21"/>
                <w:szCs w:val="21"/>
              </w:rPr>
              <w:t>a</w:t>
            </w:r>
            <w:r w:rsidRPr="00401C70">
              <w:rPr>
                <w:rFonts w:ascii="Abadi" w:hAnsi="Abadi" w:cs="Calibri"/>
                <w:spacing w:val="-2"/>
                <w:sz w:val="21"/>
                <w:szCs w:val="21"/>
              </w:rPr>
              <w:t xml:space="preserve"> </w:t>
            </w:r>
            <w:r w:rsidRPr="00401C70">
              <w:rPr>
                <w:rFonts w:ascii="Abadi" w:hAnsi="Abadi" w:cs="Calibri"/>
                <w:b/>
                <w:bCs/>
                <w:sz w:val="21"/>
                <w:szCs w:val="21"/>
              </w:rPr>
              <w:t>XXVI</w:t>
            </w:r>
          </w:p>
        </w:tc>
      </w:tr>
    </w:tbl>
    <w:p w14:paraId="1695904F" w14:textId="77777777" w:rsidR="00677B7E" w:rsidRPr="00401C70" w:rsidRDefault="00677B7E" w:rsidP="00677B7E">
      <w:pPr>
        <w:kinsoku w:val="0"/>
        <w:overflowPunct w:val="0"/>
        <w:autoSpaceDE w:val="0"/>
        <w:autoSpaceDN w:val="0"/>
        <w:adjustRightInd w:val="0"/>
        <w:spacing w:before="8" w:after="1"/>
        <w:jc w:val="both"/>
        <w:rPr>
          <w:rFonts w:ascii="Abadi" w:hAnsi="Abadi"/>
          <w:sz w:val="21"/>
          <w:szCs w:val="21"/>
        </w:rPr>
      </w:pPr>
    </w:p>
    <w:tbl>
      <w:tblPr>
        <w:tblW w:w="5000" w:type="pct"/>
        <w:tblCellMar>
          <w:left w:w="0" w:type="dxa"/>
          <w:right w:w="0" w:type="dxa"/>
        </w:tblCellMar>
        <w:tblLook w:val="0000" w:firstRow="0" w:lastRow="0" w:firstColumn="0" w:lastColumn="0" w:noHBand="0" w:noVBand="0"/>
      </w:tblPr>
      <w:tblGrid>
        <w:gridCol w:w="2050"/>
        <w:gridCol w:w="2051"/>
      </w:tblGrid>
      <w:tr w:rsidR="00677B7E" w:rsidRPr="00401C70" w14:paraId="748AF863" w14:textId="77777777" w:rsidTr="003343AD">
        <w:trPr>
          <w:trHeight w:val="1497"/>
        </w:trPr>
        <w:tc>
          <w:tcPr>
            <w:tcW w:w="2500" w:type="pct"/>
            <w:tcBorders>
              <w:top w:val="single" w:sz="4" w:space="0" w:color="000000"/>
              <w:left w:val="single" w:sz="4" w:space="0" w:color="000000"/>
              <w:bottom w:val="none" w:sz="6" w:space="0" w:color="auto"/>
              <w:right w:val="single" w:sz="4" w:space="0" w:color="000000"/>
            </w:tcBorders>
          </w:tcPr>
          <w:p w14:paraId="02CDEB30" w14:textId="77777777" w:rsidR="00677B7E" w:rsidRPr="00401C70" w:rsidRDefault="00677B7E" w:rsidP="00FA2590">
            <w:pPr>
              <w:kinsoku w:val="0"/>
              <w:overflowPunct w:val="0"/>
              <w:autoSpaceDE w:val="0"/>
              <w:autoSpaceDN w:val="0"/>
              <w:adjustRightInd w:val="0"/>
              <w:ind w:left="107" w:right="93"/>
              <w:jc w:val="both"/>
              <w:rPr>
                <w:rFonts w:ascii="Abadi" w:hAnsi="Abadi" w:cs="Calibri"/>
                <w:sz w:val="21"/>
                <w:szCs w:val="21"/>
              </w:rPr>
            </w:pPr>
            <w:r w:rsidRPr="00401C70">
              <w:rPr>
                <w:rFonts w:ascii="Abadi" w:hAnsi="Abadi" w:cs="Calibri"/>
                <w:b/>
                <w:bCs/>
                <w:sz w:val="21"/>
                <w:szCs w:val="21"/>
              </w:rPr>
              <w:t xml:space="preserve">Artículo 80. </w:t>
            </w:r>
            <w:r w:rsidRPr="00401C70">
              <w:rPr>
                <w:rFonts w:ascii="Abadi" w:hAnsi="Abadi" w:cs="Calibri"/>
                <w:sz w:val="21"/>
                <w:szCs w:val="21"/>
              </w:rPr>
              <w:t>El Ayuntamiento a propuesta del</w:t>
            </w:r>
            <w:r w:rsidRPr="00401C70">
              <w:rPr>
                <w:rFonts w:ascii="Abadi" w:hAnsi="Abadi" w:cs="Calibri"/>
                <w:spacing w:val="1"/>
                <w:sz w:val="21"/>
                <w:szCs w:val="21"/>
              </w:rPr>
              <w:t xml:space="preserve"> </w:t>
            </w:r>
            <w:r w:rsidRPr="00401C70">
              <w:rPr>
                <w:rFonts w:ascii="Abadi" w:hAnsi="Abadi" w:cs="Calibri"/>
                <w:sz w:val="21"/>
                <w:szCs w:val="21"/>
              </w:rPr>
              <w:t>presidente municipal, aprobará la integración</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las</w:t>
            </w:r>
            <w:r w:rsidRPr="00401C70">
              <w:rPr>
                <w:rFonts w:ascii="Abadi" w:hAnsi="Abadi" w:cs="Calibri"/>
                <w:spacing w:val="1"/>
                <w:sz w:val="21"/>
                <w:szCs w:val="21"/>
              </w:rPr>
              <w:t xml:space="preserve"> </w:t>
            </w:r>
            <w:r w:rsidRPr="00401C70">
              <w:rPr>
                <w:rFonts w:ascii="Abadi" w:hAnsi="Abadi" w:cs="Calibri"/>
                <w:sz w:val="21"/>
                <w:szCs w:val="21"/>
              </w:rPr>
              <w:t>comisiones</w:t>
            </w:r>
            <w:r w:rsidRPr="00401C70">
              <w:rPr>
                <w:rFonts w:ascii="Abadi" w:hAnsi="Abadi" w:cs="Calibri"/>
                <w:spacing w:val="1"/>
                <w:sz w:val="21"/>
                <w:szCs w:val="21"/>
              </w:rPr>
              <w:t xml:space="preserve"> </w:t>
            </w:r>
            <w:r w:rsidRPr="00401C70">
              <w:rPr>
                <w:rFonts w:ascii="Abadi" w:hAnsi="Abadi" w:cs="Calibri"/>
                <w:sz w:val="21"/>
                <w:szCs w:val="21"/>
              </w:rPr>
              <w:t>anuales</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se</w:t>
            </w:r>
            <w:r w:rsidRPr="00401C70">
              <w:rPr>
                <w:rFonts w:ascii="Abadi" w:hAnsi="Abadi" w:cs="Calibri"/>
                <w:spacing w:val="1"/>
                <w:sz w:val="21"/>
                <w:szCs w:val="21"/>
              </w:rPr>
              <w:t xml:space="preserve"> </w:t>
            </w:r>
            <w:r w:rsidRPr="00401C70">
              <w:rPr>
                <w:rFonts w:ascii="Abadi" w:hAnsi="Abadi" w:cs="Calibri"/>
                <w:sz w:val="21"/>
                <w:szCs w:val="21"/>
              </w:rPr>
              <w:t>estimen</w:t>
            </w:r>
            <w:r w:rsidRPr="00401C70">
              <w:rPr>
                <w:rFonts w:ascii="Abadi" w:hAnsi="Abadi" w:cs="Calibri"/>
                <w:spacing w:val="1"/>
                <w:sz w:val="21"/>
                <w:szCs w:val="21"/>
              </w:rPr>
              <w:t xml:space="preserve"> </w:t>
            </w:r>
            <w:r w:rsidRPr="00401C70">
              <w:rPr>
                <w:rFonts w:ascii="Abadi" w:hAnsi="Abadi" w:cs="Calibri"/>
                <w:sz w:val="21"/>
                <w:szCs w:val="21"/>
              </w:rPr>
              <w:t>necesarias</w:t>
            </w:r>
            <w:r w:rsidRPr="00401C70">
              <w:rPr>
                <w:rFonts w:ascii="Abadi" w:hAnsi="Abadi" w:cs="Calibri"/>
                <w:spacing w:val="1"/>
                <w:sz w:val="21"/>
                <w:szCs w:val="21"/>
              </w:rPr>
              <w:t xml:space="preserve"> </w:t>
            </w:r>
            <w:r w:rsidRPr="00401C70">
              <w:rPr>
                <w:rFonts w:ascii="Abadi" w:hAnsi="Abadi" w:cs="Calibri"/>
                <w:sz w:val="21"/>
                <w:szCs w:val="21"/>
              </w:rPr>
              <w:t>para</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desempeño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sus</w:t>
            </w:r>
            <w:r w:rsidRPr="00401C70">
              <w:rPr>
                <w:rFonts w:ascii="Abadi" w:hAnsi="Abadi" w:cs="Calibri"/>
                <w:spacing w:val="1"/>
                <w:sz w:val="21"/>
                <w:szCs w:val="21"/>
              </w:rPr>
              <w:t xml:space="preserve"> </w:t>
            </w:r>
            <w:r w:rsidRPr="00401C70">
              <w:rPr>
                <w:rFonts w:ascii="Abadi" w:hAnsi="Abadi" w:cs="Calibri"/>
                <w:sz w:val="21"/>
                <w:szCs w:val="21"/>
              </w:rPr>
              <w:t>funciones.</w:t>
            </w:r>
          </w:p>
        </w:tc>
        <w:tc>
          <w:tcPr>
            <w:tcW w:w="2500" w:type="pct"/>
            <w:tcBorders>
              <w:top w:val="single" w:sz="4" w:space="0" w:color="000000"/>
              <w:left w:val="single" w:sz="4" w:space="0" w:color="000000"/>
              <w:bottom w:val="none" w:sz="6" w:space="0" w:color="auto"/>
              <w:right w:val="single" w:sz="4" w:space="0" w:color="000000"/>
            </w:tcBorders>
          </w:tcPr>
          <w:p w14:paraId="30C444AA" w14:textId="77777777" w:rsidR="00677B7E" w:rsidRPr="00401C70" w:rsidRDefault="00677B7E" w:rsidP="00FA2590">
            <w:pPr>
              <w:kinsoku w:val="0"/>
              <w:overflowPunct w:val="0"/>
              <w:autoSpaceDE w:val="0"/>
              <w:autoSpaceDN w:val="0"/>
              <w:adjustRightInd w:val="0"/>
              <w:ind w:left="107" w:right="92"/>
              <w:jc w:val="both"/>
              <w:rPr>
                <w:rFonts w:ascii="Abadi" w:hAnsi="Abadi" w:cs="Calibri"/>
                <w:sz w:val="21"/>
                <w:szCs w:val="21"/>
              </w:rPr>
            </w:pPr>
            <w:r w:rsidRPr="00401C70">
              <w:rPr>
                <w:rFonts w:ascii="Abadi" w:hAnsi="Abadi" w:cs="Calibri"/>
                <w:b/>
                <w:bCs/>
                <w:sz w:val="21"/>
                <w:szCs w:val="21"/>
              </w:rPr>
              <w:t xml:space="preserve">Artículo 80. </w:t>
            </w:r>
            <w:r w:rsidRPr="00401C70">
              <w:rPr>
                <w:rFonts w:ascii="Abadi" w:hAnsi="Abadi" w:cs="Calibri"/>
                <w:sz w:val="21"/>
                <w:szCs w:val="21"/>
              </w:rPr>
              <w:t>El Ayuntamiento a propuesta del</w:t>
            </w:r>
            <w:r w:rsidRPr="00401C70">
              <w:rPr>
                <w:rFonts w:ascii="Abadi" w:hAnsi="Abadi" w:cs="Calibri"/>
                <w:spacing w:val="1"/>
                <w:sz w:val="21"/>
                <w:szCs w:val="21"/>
              </w:rPr>
              <w:t xml:space="preserve"> </w:t>
            </w:r>
            <w:r w:rsidRPr="00401C70">
              <w:rPr>
                <w:rFonts w:ascii="Abadi" w:hAnsi="Abadi" w:cs="Calibri"/>
                <w:sz w:val="21"/>
                <w:szCs w:val="21"/>
              </w:rPr>
              <w:t>presidente municipal, aprobará la integración</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las</w:t>
            </w:r>
            <w:r w:rsidRPr="00401C70">
              <w:rPr>
                <w:rFonts w:ascii="Abadi" w:hAnsi="Abadi" w:cs="Calibri"/>
                <w:spacing w:val="1"/>
                <w:sz w:val="21"/>
                <w:szCs w:val="21"/>
              </w:rPr>
              <w:t xml:space="preserve"> </w:t>
            </w:r>
            <w:r w:rsidRPr="00401C70">
              <w:rPr>
                <w:rFonts w:ascii="Abadi" w:hAnsi="Abadi" w:cs="Calibri"/>
                <w:sz w:val="21"/>
                <w:szCs w:val="21"/>
              </w:rPr>
              <w:t>comisiones</w:t>
            </w:r>
            <w:r w:rsidRPr="00401C70">
              <w:rPr>
                <w:rFonts w:ascii="Abadi" w:hAnsi="Abadi" w:cs="Calibri"/>
                <w:spacing w:val="1"/>
                <w:sz w:val="21"/>
                <w:szCs w:val="21"/>
              </w:rPr>
              <w:t xml:space="preserve"> </w:t>
            </w:r>
            <w:r w:rsidRPr="00401C70">
              <w:rPr>
                <w:rFonts w:ascii="Abadi" w:hAnsi="Abadi" w:cs="Calibri"/>
                <w:sz w:val="21"/>
                <w:szCs w:val="21"/>
              </w:rPr>
              <w:t>anuales</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se</w:t>
            </w:r>
            <w:r w:rsidRPr="00401C70">
              <w:rPr>
                <w:rFonts w:ascii="Abadi" w:hAnsi="Abadi" w:cs="Calibri"/>
                <w:spacing w:val="1"/>
                <w:sz w:val="21"/>
                <w:szCs w:val="21"/>
              </w:rPr>
              <w:t xml:space="preserve"> </w:t>
            </w:r>
            <w:r w:rsidRPr="00401C70">
              <w:rPr>
                <w:rFonts w:ascii="Abadi" w:hAnsi="Abadi" w:cs="Calibri"/>
                <w:sz w:val="21"/>
                <w:szCs w:val="21"/>
              </w:rPr>
              <w:t>estimen</w:t>
            </w:r>
            <w:r w:rsidRPr="00401C70">
              <w:rPr>
                <w:rFonts w:ascii="Abadi" w:hAnsi="Abadi" w:cs="Calibri"/>
                <w:spacing w:val="1"/>
                <w:sz w:val="21"/>
                <w:szCs w:val="21"/>
              </w:rPr>
              <w:t xml:space="preserve"> </w:t>
            </w:r>
            <w:r w:rsidRPr="00401C70">
              <w:rPr>
                <w:rFonts w:ascii="Abadi" w:hAnsi="Abadi" w:cs="Calibri"/>
                <w:sz w:val="21"/>
                <w:szCs w:val="21"/>
              </w:rPr>
              <w:t>necesarias</w:t>
            </w:r>
            <w:r w:rsidRPr="00401C70">
              <w:rPr>
                <w:rFonts w:ascii="Abadi" w:hAnsi="Abadi" w:cs="Calibri"/>
                <w:spacing w:val="1"/>
                <w:sz w:val="21"/>
                <w:szCs w:val="21"/>
              </w:rPr>
              <w:t xml:space="preserve"> </w:t>
            </w:r>
            <w:r w:rsidRPr="00401C70">
              <w:rPr>
                <w:rFonts w:ascii="Abadi" w:hAnsi="Abadi" w:cs="Calibri"/>
                <w:sz w:val="21"/>
                <w:szCs w:val="21"/>
              </w:rPr>
              <w:t>para</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desempeño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sus</w:t>
            </w:r>
            <w:r w:rsidRPr="00401C70">
              <w:rPr>
                <w:rFonts w:ascii="Abadi" w:hAnsi="Abadi" w:cs="Calibri"/>
                <w:spacing w:val="1"/>
                <w:sz w:val="21"/>
                <w:szCs w:val="21"/>
              </w:rPr>
              <w:t xml:space="preserve"> </w:t>
            </w:r>
            <w:r w:rsidRPr="00401C70">
              <w:rPr>
                <w:rFonts w:ascii="Abadi" w:hAnsi="Abadi" w:cs="Calibri"/>
                <w:sz w:val="21"/>
                <w:szCs w:val="21"/>
              </w:rPr>
              <w:t>funciones.</w:t>
            </w:r>
          </w:p>
        </w:tc>
      </w:tr>
      <w:tr w:rsidR="00677B7E" w:rsidRPr="00401C70" w14:paraId="4AE20C9A" w14:textId="77777777" w:rsidTr="003343AD">
        <w:trPr>
          <w:trHeight w:val="1610"/>
        </w:trPr>
        <w:tc>
          <w:tcPr>
            <w:tcW w:w="2500" w:type="pct"/>
            <w:tcBorders>
              <w:top w:val="none" w:sz="6" w:space="0" w:color="auto"/>
              <w:left w:val="single" w:sz="4" w:space="0" w:color="000000"/>
              <w:bottom w:val="none" w:sz="6" w:space="0" w:color="auto"/>
              <w:right w:val="single" w:sz="4" w:space="0" w:color="000000"/>
            </w:tcBorders>
          </w:tcPr>
          <w:p w14:paraId="1267DB83" w14:textId="77777777" w:rsidR="00677B7E" w:rsidRPr="00401C70" w:rsidRDefault="00677B7E" w:rsidP="00FA2590">
            <w:pPr>
              <w:kinsoku w:val="0"/>
              <w:overflowPunct w:val="0"/>
              <w:autoSpaceDE w:val="0"/>
              <w:autoSpaceDN w:val="0"/>
              <w:adjustRightInd w:val="0"/>
              <w:spacing w:before="114"/>
              <w:ind w:left="107" w:right="93"/>
              <w:jc w:val="both"/>
              <w:rPr>
                <w:rFonts w:ascii="Abadi" w:hAnsi="Abadi" w:cs="Calibri"/>
                <w:sz w:val="21"/>
                <w:szCs w:val="21"/>
              </w:rPr>
            </w:pPr>
            <w:r w:rsidRPr="00401C70">
              <w:rPr>
                <w:rFonts w:ascii="Abadi" w:hAnsi="Abadi" w:cs="Calibri"/>
                <w:sz w:val="21"/>
                <w:szCs w:val="21"/>
              </w:rPr>
              <w:t>Para</w:t>
            </w:r>
            <w:r w:rsidRPr="00401C70">
              <w:rPr>
                <w:rFonts w:ascii="Abadi" w:hAnsi="Abadi" w:cs="Calibri"/>
                <w:spacing w:val="1"/>
                <w:sz w:val="21"/>
                <w:szCs w:val="21"/>
              </w:rPr>
              <w:t xml:space="preserve"> </w:t>
            </w:r>
            <w:r w:rsidRPr="00401C70">
              <w:rPr>
                <w:rFonts w:ascii="Abadi" w:hAnsi="Abadi" w:cs="Calibri"/>
                <w:sz w:val="21"/>
                <w:szCs w:val="21"/>
              </w:rPr>
              <w:t>formular</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propuesta</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presidente</w:t>
            </w:r>
            <w:r w:rsidRPr="00401C70">
              <w:rPr>
                <w:rFonts w:ascii="Abadi" w:hAnsi="Abadi" w:cs="Calibri"/>
                <w:spacing w:val="1"/>
                <w:sz w:val="21"/>
                <w:szCs w:val="21"/>
              </w:rPr>
              <w:t xml:space="preserve"> </w:t>
            </w:r>
            <w:r w:rsidRPr="00401C70">
              <w:rPr>
                <w:rFonts w:ascii="Abadi" w:hAnsi="Abadi" w:cs="Calibri"/>
                <w:sz w:val="21"/>
                <w:szCs w:val="21"/>
              </w:rPr>
              <w:t>municipal tomará en cuenta el conocimiento,</w:t>
            </w:r>
            <w:r w:rsidRPr="00401C70">
              <w:rPr>
                <w:rFonts w:ascii="Abadi" w:hAnsi="Abadi" w:cs="Calibri"/>
                <w:spacing w:val="1"/>
                <w:sz w:val="21"/>
                <w:szCs w:val="21"/>
              </w:rPr>
              <w:t xml:space="preserve"> </w:t>
            </w:r>
            <w:r w:rsidRPr="00401C70">
              <w:rPr>
                <w:rFonts w:ascii="Abadi" w:hAnsi="Abadi" w:cs="Calibri"/>
                <w:sz w:val="21"/>
                <w:szCs w:val="21"/>
              </w:rPr>
              <w:t>profesión</w:t>
            </w:r>
            <w:r w:rsidRPr="00401C70">
              <w:rPr>
                <w:rFonts w:ascii="Abadi" w:hAnsi="Abadi" w:cs="Calibri"/>
                <w:spacing w:val="1"/>
                <w:sz w:val="21"/>
                <w:szCs w:val="21"/>
              </w:rPr>
              <w:t xml:space="preserve"> </w:t>
            </w:r>
            <w:r w:rsidRPr="00401C70">
              <w:rPr>
                <w:rFonts w:ascii="Abadi" w:hAnsi="Abadi" w:cs="Calibri"/>
                <w:sz w:val="21"/>
                <w:szCs w:val="21"/>
              </w:rPr>
              <w:t>y</w:t>
            </w:r>
            <w:r w:rsidRPr="00401C70">
              <w:rPr>
                <w:rFonts w:ascii="Abadi" w:hAnsi="Abadi" w:cs="Calibri"/>
                <w:spacing w:val="1"/>
                <w:sz w:val="21"/>
                <w:szCs w:val="21"/>
              </w:rPr>
              <w:t xml:space="preserve"> </w:t>
            </w:r>
            <w:r w:rsidRPr="00401C70">
              <w:rPr>
                <w:rFonts w:ascii="Abadi" w:hAnsi="Abadi" w:cs="Calibri"/>
                <w:sz w:val="21"/>
                <w:szCs w:val="21"/>
              </w:rPr>
              <w:t>vocación</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integrantes</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Ayuntamiento,</w:t>
            </w:r>
            <w:r w:rsidRPr="00401C70">
              <w:rPr>
                <w:rFonts w:ascii="Abadi" w:hAnsi="Abadi" w:cs="Calibri"/>
                <w:spacing w:val="-1"/>
                <w:sz w:val="21"/>
                <w:szCs w:val="21"/>
              </w:rPr>
              <w:t xml:space="preserve"> </w:t>
            </w:r>
            <w:r w:rsidRPr="00401C70">
              <w:rPr>
                <w:rFonts w:ascii="Abadi" w:hAnsi="Abadi" w:cs="Calibri"/>
                <w:sz w:val="21"/>
                <w:szCs w:val="21"/>
              </w:rPr>
              <w:t>escuchando</w:t>
            </w:r>
            <w:r w:rsidRPr="00401C70">
              <w:rPr>
                <w:rFonts w:ascii="Abadi" w:hAnsi="Abadi" w:cs="Calibri"/>
                <w:spacing w:val="-2"/>
                <w:sz w:val="21"/>
                <w:szCs w:val="21"/>
              </w:rPr>
              <w:t xml:space="preserve"> </w:t>
            </w:r>
            <w:r w:rsidRPr="00401C70">
              <w:rPr>
                <w:rFonts w:ascii="Abadi" w:hAnsi="Abadi" w:cs="Calibri"/>
                <w:sz w:val="21"/>
                <w:szCs w:val="21"/>
              </w:rPr>
              <w:t>su opinión.</w:t>
            </w:r>
          </w:p>
        </w:tc>
        <w:tc>
          <w:tcPr>
            <w:tcW w:w="2500" w:type="pct"/>
            <w:tcBorders>
              <w:top w:val="none" w:sz="6" w:space="0" w:color="auto"/>
              <w:left w:val="single" w:sz="4" w:space="0" w:color="000000"/>
              <w:bottom w:val="none" w:sz="6" w:space="0" w:color="auto"/>
              <w:right w:val="single" w:sz="4" w:space="0" w:color="000000"/>
            </w:tcBorders>
          </w:tcPr>
          <w:p w14:paraId="355CF9A5" w14:textId="77777777" w:rsidR="00677B7E" w:rsidRPr="00401C70" w:rsidRDefault="00677B7E" w:rsidP="00FA2590">
            <w:pPr>
              <w:kinsoku w:val="0"/>
              <w:overflowPunct w:val="0"/>
              <w:autoSpaceDE w:val="0"/>
              <w:autoSpaceDN w:val="0"/>
              <w:adjustRightInd w:val="0"/>
              <w:spacing w:before="114"/>
              <w:ind w:left="107" w:right="91"/>
              <w:jc w:val="both"/>
              <w:rPr>
                <w:rFonts w:ascii="Abadi" w:hAnsi="Abadi" w:cs="Calibri"/>
                <w:sz w:val="21"/>
                <w:szCs w:val="21"/>
              </w:rPr>
            </w:pPr>
            <w:r w:rsidRPr="00401C70">
              <w:rPr>
                <w:rFonts w:ascii="Abadi" w:hAnsi="Abadi" w:cs="Calibri"/>
                <w:sz w:val="21"/>
                <w:szCs w:val="21"/>
              </w:rPr>
              <w:t>Para</w:t>
            </w:r>
            <w:r w:rsidRPr="00401C70">
              <w:rPr>
                <w:rFonts w:ascii="Abadi" w:hAnsi="Abadi" w:cs="Calibri"/>
                <w:spacing w:val="1"/>
                <w:sz w:val="21"/>
                <w:szCs w:val="21"/>
              </w:rPr>
              <w:t xml:space="preserve"> </w:t>
            </w:r>
            <w:r w:rsidRPr="00401C70">
              <w:rPr>
                <w:rFonts w:ascii="Abadi" w:hAnsi="Abadi" w:cs="Calibri"/>
                <w:sz w:val="21"/>
                <w:szCs w:val="21"/>
              </w:rPr>
              <w:t>formular</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propuesta</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presidente</w:t>
            </w:r>
            <w:r w:rsidRPr="00401C70">
              <w:rPr>
                <w:rFonts w:ascii="Abadi" w:hAnsi="Abadi" w:cs="Calibri"/>
                <w:spacing w:val="1"/>
                <w:sz w:val="21"/>
                <w:szCs w:val="21"/>
              </w:rPr>
              <w:t xml:space="preserve"> </w:t>
            </w:r>
            <w:r w:rsidRPr="00401C70">
              <w:rPr>
                <w:rFonts w:ascii="Abadi" w:hAnsi="Abadi" w:cs="Calibri"/>
                <w:sz w:val="21"/>
                <w:szCs w:val="21"/>
              </w:rPr>
              <w:t>municipal tomará en cuenta el conocimiento,</w:t>
            </w:r>
            <w:r w:rsidRPr="00401C70">
              <w:rPr>
                <w:rFonts w:ascii="Abadi" w:hAnsi="Abadi" w:cs="Calibri"/>
                <w:spacing w:val="1"/>
                <w:sz w:val="21"/>
                <w:szCs w:val="21"/>
              </w:rPr>
              <w:t xml:space="preserve"> </w:t>
            </w:r>
            <w:r w:rsidRPr="00401C70">
              <w:rPr>
                <w:rFonts w:ascii="Abadi" w:hAnsi="Abadi" w:cs="Calibri"/>
                <w:sz w:val="21"/>
                <w:szCs w:val="21"/>
              </w:rPr>
              <w:t>profesión</w:t>
            </w:r>
            <w:r w:rsidRPr="00401C70">
              <w:rPr>
                <w:rFonts w:ascii="Abadi" w:hAnsi="Abadi" w:cs="Calibri"/>
                <w:spacing w:val="1"/>
                <w:sz w:val="21"/>
                <w:szCs w:val="21"/>
              </w:rPr>
              <w:t xml:space="preserve"> </w:t>
            </w:r>
            <w:r w:rsidRPr="00401C70">
              <w:rPr>
                <w:rFonts w:ascii="Abadi" w:hAnsi="Abadi" w:cs="Calibri"/>
                <w:sz w:val="21"/>
                <w:szCs w:val="21"/>
              </w:rPr>
              <w:t>y</w:t>
            </w:r>
            <w:r w:rsidRPr="00401C70">
              <w:rPr>
                <w:rFonts w:ascii="Abadi" w:hAnsi="Abadi" w:cs="Calibri"/>
                <w:spacing w:val="1"/>
                <w:sz w:val="21"/>
                <w:szCs w:val="21"/>
              </w:rPr>
              <w:t xml:space="preserve"> </w:t>
            </w:r>
            <w:r w:rsidRPr="00401C70">
              <w:rPr>
                <w:rFonts w:ascii="Abadi" w:hAnsi="Abadi" w:cs="Calibri"/>
                <w:sz w:val="21"/>
                <w:szCs w:val="21"/>
              </w:rPr>
              <w:t>vocación</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b/>
                <w:bCs/>
                <w:i/>
                <w:iCs/>
                <w:sz w:val="21"/>
                <w:szCs w:val="21"/>
              </w:rPr>
              <w:t>las</w:t>
            </w:r>
            <w:r w:rsidRPr="00401C70">
              <w:rPr>
                <w:rFonts w:ascii="Abadi" w:hAnsi="Abadi" w:cs="Calibri"/>
                <w:b/>
                <w:bCs/>
                <w:i/>
                <w:iCs/>
                <w:spacing w:val="1"/>
                <w:sz w:val="21"/>
                <w:szCs w:val="21"/>
              </w:rPr>
              <w:t xml:space="preserve"> </w:t>
            </w:r>
            <w:r w:rsidRPr="00401C70">
              <w:rPr>
                <w:rFonts w:ascii="Abadi" w:hAnsi="Abadi" w:cs="Calibri"/>
                <w:b/>
                <w:bCs/>
                <w:i/>
                <w:iCs/>
                <w:sz w:val="21"/>
                <w:szCs w:val="21"/>
              </w:rPr>
              <w:t>personas</w:t>
            </w:r>
            <w:r w:rsidRPr="00401C70">
              <w:rPr>
                <w:rFonts w:ascii="Abadi" w:hAnsi="Abadi" w:cs="Calibri"/>
                <w:b/>
                <w:bCs/>
                <w:i/>
                <w:iCs/>
                <w:spacing w:val="1"/>
                <w:sz w:val="21"/>
                <w:szCs w:val="21"/>
              </w:rPr>
              <w:t xml:space="preserve"> </w:t>
            </w:r>
            <w:r w:rsidRPr="00401C70">
              <w:rPr>
                <w:rFonts w:ascii="Abadi" w:hAnsi="Abadi" w:cs="Calibri"/>
                <w:b/>
                <w:bCs/>
                <w:i/>
                <w:iCs/>
                <w:sz w:val="21"/>
                <w:szCs w:val="21"/>
              </w:rPr>
              <w:t xml:space="preserve">integrantes </w:t>
            </w:r>
            <w:r w:rsidRPr="00401C70">
              <w:rPr>
                <w:rFonts w:ascii="Abadi" w:hAnsi="Abadi" w:cs="Calibri"/>
                <w:sz w:val="21"/>
                <w:szCs w:val="21"/>
              </w:rPr>
              <w:t>del Ayuntamiento, escuchando su</w:t>
            </w:r>
            <w:r w:rsidRPr="00401C70">
              <w:rPr>
                <w:rFonts w:ascii="Abadi" w:hAnsi="Abadi" w:cs="Calibri"/>
                <w:spacing w:val="1"/>
                <w:sz w:val="21"/>
                <w:szCs w:val="21"/>
              </w:rPr>
              <w:t xml:space="preserve"> </w:t>
            </w:r>
            <w:r w:rsidRPr="00401C70">
              <w:rPr>
                <w:rFonts w:ascii="Abadi" w:hAnsi="Abadi" w:cs="Calibri"/>
                <w:sz w:val="21"/>
                <w:szCs w:val="21"/>
              </w:rPr>
              <w:t>opinión.</w:t>
            </w:r>
          </w:p>
        </w:tc>
      </w:tr>
      <w:tr w:rsidR="00677B7E" w:rsidRPr="00401C70" w14:paraId="287FA1D9" w14:textId="77777777" w:rsidTr="003343AD">
        <w:trPr>
          <w:trHeight w:val="3223"/>
        </w:trPr>
        <w:tc>
          <w:tcPr>
            <w:tcW w:w="2500" w:type="pct"/>
            <w:tcBorders>
              <w:top w:val="none" w:sz="6" w:space="0" w:color="auto"/>
              <w:left w:val="single" w:sz="4" w:space="0" w:color="000000"/>
              <w:bottom w:val="none" w:sz="6" w:space="0" w:color="auto"/>
              <w:right w:val="single" w:sz="4" w:space="0" w:color="000000"/>
            </w:tcBorders>
          </w:tcPr>
          <w:p w14:paraId="5D0A4BBB" w14:textId="77777777" w:rsidR="00677B7E" w:rsidRPr="00401C70" w:rsidRDefault="00677B7E" w:rsidP="00FA2590">
            <w:pPr>
              <w:kinsoku w:val="0"/>
              <w:overflowPunct w:val="0"/>
              <w:autoSpaceDE w:val="0"/>
              <w:autoSpaceDN w:val="0"/>
              <w:adjustRightInd w:val="0"/>
              <w:spacing w:before="114"/>
              <w:ind w:left="107" w:right="93"/>
              <w:jc w:val="both"/>
              <w:rPr>
                <w:rFonts w:ascii="Abadi" w:hAnsi="Abadi" w:cs="Calibri"/>
                <w:sz w:val="21"/>
                <w:szCs w:val="21"/>
              </w:rPr>
            </w:pPr>
            <w:r w:rsidRPr="00401C70">
              <w:rPr>
                <w:rFonts w:ascii="Abadi" w:hAnsi="Abadi" w:cs="Calibri"/>
                <w:sz w:val="21"/>
                <w:szCs w:val="21"/>
              </w:rPr>
              <w:t>Las</w:t>
            </w:r>
            <w:r w:rsidRPr="00401C70">
              <w:rPr>
                <w:rFonts w:ascii="Abadi" w:hAnsi="Abadi" w:cs="Calibri"/>
                <w:spacing w:val="1"/>
                <w:sz w:val="21"/>
                <w:szCs w:val="21"/>
              </w:rPr>
              <w:t xml:space="preserve"> </w:t>
            </w:r>
            <w:r w:rsidRPr="00401C70">
              <w:rPr>
                <w:rFonts w:ascii="Abadi" w:hAnsi="Abadi" w:cs="Calibri"/>
                <w:sz w:val="21"/>
                <w:szCs w:val="21"/>
              </w:rPr>
              <w:t>comisiones</w:t>
            </w:r>
            <w:r w:rsidRPr="00401C70">
              <w:rPr>
                <w:rFonts w:ascii="Abadi" w:hAnsi="Abadi" w:cs="Calibri"/>
                <w:spacing w:val="1"/>
                <w:sz w:val="21"/>
                <w:szCs w:val="21"/>
              </w:rPr>
              <w:t xml:space="preserve"> </w:t>
            </w:r>
            <w:r w:rsidRPr="00401C70">
              <w:rPr>
                <w:rFonts w:ascii="Abadi" w:hAnsi="Abadi" w:cs="Calibri"/>
                <w:sz w:val="21"/>
                <w:szCs w:val="21"/>
              </w:rPr>
              <w:t>se</w:t>
            </w:r>
            <w:r w:rsidRPr="00401C70">
              <w:rPr>
                <w:rFonts w:ascii="Abadi" w:hAnsi="Abadi" w:cs="Calibri"/>
                <w:spacing w:val="1"/>
                <w:sz w:val="21"/>
                <w:szCs w:val="21"/>
              </w:rPr>
              <w:t xml:space="preserve"> </w:t>
            </w:r>
            <w:r w:rsidRPr="00401C70">
              <w:rPr>
                <w:rFonts w:ascii="Abadi" w:hAnsi="Abadi" w:cs="Calibri"/>
                <w:sz w:val="21"/>
                <w:szCs w:val="21"/>
              </w:rPr>
              <w:t>integrarán</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manera</w:t>
            </w:r>
            <w:r w:rsidRPr="00401C70">
              <w:rPr>
                <w:rFonts w:ascii="Abadi" w:hAnsi="Abadi" w:cs="Calibri"/>
                <w:spacing w:val="1"/>
                <w:sz w:val="21"/>
                <w:szCs w:val="21"/>
              </w:rPr>
              <w:t xml:space="preserve"> </w:t>
            </w:r>
            <w:r w:rsidRPr="00401C70">
              <w:rPr>
                <w:rFonts w:ascii="Abadi" w:hAnsi="Abadi" w:cs="Calibri"/>
                <w:sz w:val="21"/>
                <w:szCs w:val="21"/>
              </w:rPr>
              <w:t>colegiada,</w:t>
            </w:r>
            <w:r w:rsidRPr="00401C70">
              <w:rPr>
                <w:rFonts w:ascii="Abadi" w:hAnsi="Abadi" w:cs="Calibri"/>
                <w:spacing w:val="1"/>
                <w:sz w:val="21"/>
                <w:szCs w:val="21"/>
              </w:rPr>
              <w:t xml:space="preserve"> </w:t>
            </w:r>
            <w:r w:rsidRPr="00401C70">
              <w:rPr>
                <w:rFonts w:ascii="Abadi" w:hAnsi="Abadi" w:cs="Calibri"/>
                <w:sz w:val="21"/>
                <w:szCs w:val="21"/>
              </w:rPr>
              <w:t>por</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número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miembros</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establezca el reglamento interior o el acuerdo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ayuntamiento,</w:t>
            </w:r>
            <w:r w:rsidRPr="00401C70">
              <w:rPr>
                <w:rFonts w:ascii="Abadi" w:hAnsi="Abadi" w:cs="Calibri"/>
                <w:spacing w:val="1"/>
                <w:sz w:val="21"/>
                <w:szCs w:val="21"/>
              </w:rPr>
              <w:t xml:space="preserve"> </w:t>
            </w:r>
            <w:r w:rsidRPr="00401C70">
              <w:rPr>
                <w:rFonts w:ascii="Abadi" w:hAnsi="Abadi" w:cs="Calibri"/>
                <w:sz w:val="21"/>
                <w:szCs w:val="21"/>
              </w:rPr>
              <w:t>procurando</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reflejen</w:t>
            </w:r>
            <w:r w:rsidRPr="00401C70">
              <w:rPr>
                <w:rFonts w:ascii="Abadi" w:hAnsi="Abadi" w:cs="Calibri"/>
                <w:spacing w:val="1"/>
                <w:sz w:val="21"/>
                <w:szCs w:val="21"/>
              </w:rPr>
              <w:t xml:space="preserve"> </w:t>
            </w:r>
            <w:r w:rsidRPr="00401C70">
              <w:rPr>
                <w:rFonts w:ascii="Abadi" w:hAnsi="Abadi" w:cs="Calibri"/>
                <w:sz w:val="21"/>
                <w:szCs w:val="21"/>
              </w:rPr>
              <w:t>pluralidad</w:t>
            </w:r>
            <w:r w:rsidRPr="00401C70">
              <w:rPr>
                <w:rFonts w:ascii="Abadi" w:hAnsi="Abadi" w:cs="Calibri"/>
                <w:spacing w:val="1"/>
                <w:sz w:val="21"/>
                <w:szCs w:val="21"/>
              </w:rPr>
              <w:t xml:space="preserve"> </w:t>
            </w:r>
            <w:r w:rsidRPr="00401C70">
              <w:rPr>
                <w:rFonts w:ascii="Abadi" w:hAnsi="Abadi" w:cs="Calibri"/>
                <w:sz w:val="21"/>
                <w:szCs w:val="21"/>
              </w:rPr>
              <w:t>y</w:t>
            </w:r>
            <w:r w:rsidRPr="00401C70">
              <w:rPr>
                <w:rFonts w:ascii="Abadi" w:hAnsi="Abadi" w:cs="Calibri"/>
                <w:spacing w:val="1"/>
                <w:sz w:val="21"/>
                <w:szCs w:val="21"/>
              </w:rPr>
              <w:t xml:space="preserve"> </w:t>
            </w:r>
            <w:r w:rsidRPr="00401C70">
              <w:rPr>
                <w:rFonts w:ascii="Abadi" w:hAnsi="Abadi" w:cs="Calibri"/>
                <w:sz w:val="21"/>
                <w:szCs w:val="21"/>
              </w:rPr>
              <w:t>proporcionalidad;</w:t>
            </w:r>
            <w:r w:rsidRPr="00401C70">
              <w:rPr>
                <w:rFonts w:ascii="Abadi" w:hAnsi="Abadi" w:cs="Calibri"/>
                <w:spacing w:val="1"/>
                <w:sz w:val="21"/>
                <w:szCs w:val="21"/>
              </w:rPr>
              <w:t xml:space="preserve"> </w:t>
            </w:r>
            <w:r w:rsidRPr="00401C70">
              <w:rPr>
                <w:rFonts w:ascii="Abadi" w:hAnsi="Abadi" w:cs="Calibri"/>
                <w:sz w:val="21"/>
                <w:szCs w:val="21"/>
              </w:rPr>
              <w:t>en</w:t>
            </w:r>
            <w:r w:rsidRPr="00401C70">
              <w:rPr>
                <w:rFonts w:ascii="Abadi" w:hAnsi="Abadi" w:cs="Calibri"/>
                <w:spacing w:val="1"/>
                <w:sz w:val="21"/>
                <w:szCs w:val="21"/>
              </w:rPr>
              <w:t xml:space="preserve"> </w:t>
            </w:r>
            <w:r w:rsidRPr="00401C70">
              <w:rPr>
                <w:rFonts w:ascii="Abadi" w:hAnsi="Abadi" w:cs="Calibri"/>
                <w:sz w:val="21"/>
                <w:szCs w:val="21"/>
              </w:rPr>
              <w:t>cada</w:t>
            </w:r>
            <w:r w:rsidRPr="00401C70">
              <w:rPr>
                <w:rFonts w:ascii="Abadi" w:hAnsi="Abadi" w:cs="Calibri"/>
                <w:spacing w:val="1"/>
                <w:sz w:val="21"/>
                <w:szCs w:val="21"/>
              </w:rPr>
              <w:t xml:space="preserve"> </w:t>
            </w:r>
            <w:r w:rsidRPr="00401C70">
              <w:rPr>
                <w:rFonts w:ascii="Abadi" w:hAnsi="Abadi" w:cs="Calibri"/>
                <w:sz w:val="21"/>
                <w:szCs w:val="21"/>
              </w:rPr>
              <w:t>comisión habrá un presidente y un secretario,</w:t>
            </w:r>
            <w:r w:rsidRPr="00401C70">
              <w:rPr>
                <w:rFonts w:ascii="Abadi" w:hAnsi="Abadi" w:cs="Calibri"/>
                <w:spacing w:val="1"/>
                <w:sz w:val="21"/>
                <w:szCs w:val="21"/>
              </w:rPr>
              <w:t xml:space="preserve"> </w:t>
            </w:r>
            <w:r w:rsidRPr="00401C70">
              <w:rPr>
                <w:rFonts w:ascii="Abadi" w:hAnsi="Abadi" w:cs="Calibri"/>
                <w:sz w:val="21"/>
                <w:szCs w:val="21"/>
              </w:rPr>
              <w:t>asimismo, el Ayuntamiento</w:t>
            </w:r>
            <w:r w:rsidRPr="00401C70">
              <w:rPr>
                <w:rFonts w:ascii="Abadi" w:hAnsi="Abadi" w:cs="Calibri"/>
                <w:spacing w:val="1"/>
                <w:sz w:val="21"/>
                <w:szCs w:val="21"/>
              </w:rPr>
              <w:t xml:space="preserve"> </w:t>
            </w:r>
            <w:r w:rsidRPr="00401C70">
              <w:rPr>
                <w:rFonts w:ascii="Abadi" w:hAnsi="Abadi" w:cs="Calibri"/>
                <w:sz w:val="21"/>
                <w:szCs w:val="21"/>
              </w:rPr>
              <w:t>podrá acordar la</w:t>
            </w:r>
            <w:r w:rsidRPr="00401C70">
              <w:rPr>
                <w:rFonts w:ascii="Abadi" w:hAnsi="Abadi" w:cs="Calibri"/>
                <w:spacing w:val="1"/>
                <w:sz w:val="21"/>
                <w:szCs w:val="21"/>
              </w:rPr>
              <w:t xml:space="preserve"> </w:t>
            </w:r>
            <w:r w:rsidRPr="00401C70">
              <w:rPr>
                <w:rFonts w:ascii="Abadi" w:hAnsi="Abadi" w:cs="Calibri"/>
                <w:sz w:val="21"/>
                <w:szCs w:val="21"/>
              </w:rPr>
              <w:t>designación de comisionados para la atención</w:t>
            </w:r>
            <w:r w:rsidRPr="00401C70">
              <w:rPr>
                <w:rFonts w:ascii="Abadi" w:hAnsi="Abadi" w:cs="Calibri"/>
                <w:spacing w:val="1"/>
                <w:sz w:val="21"/>
                <w:szCs w:val="21"/>
              </w:rPr>
              <w:t xml:space="preserve"> </w:t>
            </w:r>
            <w:r w:rsidRPr="00401C70">
              <w:rPr>
                <w:rFonts w:ascii="Abadi" w:hAnsi="Abadi" w:cs="Calibri"/>
                <w:sz w:val="21"/>
                <w:szCs w:val="21"/>
              </w:rPr>
              <w:t>de los</w:t>
            </w:r>
            <w:r w:rsidRPr="00401C70">
              <w:rPr>
                <w:rFonts w:ascii="Abadi" w:hAnsi="Abadi" w:cs="Calibri"/>
                <w:spacing w:val="-3"/>
                <w:sz w:val="21"/>
                <w:szCs w:val="21"/>
              </w:rPr>
              <w:t xml:space="preserve"> </w:t>
            </w:r>
            <w:r w:rsidRPr="00401C70">
              <w:rPr>
                <w:rFonts w:ascii="Abadi" w:hAnsi="Abadi" w:cs="Calibri"/>
                <w:sz w:val="21"/>
                <w:szCs w:val="21"/>
              </w:rPr>
              <w:t>asuntos de</w:t>
            </w:r>
            <w:r w:rsidRPr="00401C70">
              <w:rPr>
                <w:rFonts w:ascii="Abadi" w:hAnsi="Abadi" w:cs="Calibri"/>
                <w:spacing w:val="-2"/>
                <w:sz w:val="21"/>
                <w:szCs w:val="21"/>
              </w:rPr>
              <w:t xml:space="preserve"> </w:t>
            </w:r>
            <w:r w:rsidRPr="00401C70">
              <w:rPr>
                <w:rFonts w:ascii="Abadi" w:hAnsi="Abadi" w:cs="Calibri"/>
                <w:sz w:val="21"/>
                <w:szCs w:val="21"/>
              </w:rPr>
              <w:t>competencia municipal.</w:t>
            </w:r>
          </w:p>
        </w:tc>
        <w:tc>
          <w:tcPr>
            <w:tcW w:w="2500" w:type="pct"/>
            <w:tcBorders>
              <w:top w:val="none" w:sz="6" w:space="0" w:color="auto"/>
              <w:left w:val="single" w:sz="4" w:space="0" w:color="000000"/>
              <w:bottom w:val="none" w:sz="6" w:space="0" w:color="auto"/>
              <w:right w:val="single" w:sz="4" w:space="0" w:color="000000"/>
            </w:tcBorders>
          </w:tcPr>
          <w:p w14:paraId="6F083254" w14:textId="77777777" w:rsidR="00677B7E" w:rsidRPr="00401C70" w:rsidRDefault="00677B7E" w:rsidP="00FA2590">
            <w:pPr>
              <w:kinsoku w:val="0"/>
              <w:overflowPunct w:val="0"/>
              <w:autoSpaceDE w:val="0"/>
              <w:autoSpaceDN w:val="0"/>
              <w:adjustRightInd w:val="0"/>
              <w:spacing w:before="114"/>
              <w:ind w:left="107" w:right="90"/>
              <w:jc w:val="both"/>
              <w:rPr>
                <w:rFonts w:ascii="Abadi" w:hAnsi="Abadi" w:cs="Calibri"/>
                <w:sz w:val="21"/>
                <w:szCs w:val="21"/>
              </w:rPr>
            </w:pPr>
            <w:r w:rsidRPr="00401C70">
              <w:rPr>
                <w:rFonts w:ascii="Abadi" w:hAnsi="Abadi" w:cs="Calibri"/>
                <w:sz w:val="21"/>
                <w:szCs w:val="21"/>
              </w:rPr>
              <w:t>Las</w:t>
            </w:r>
            <w:r w:rsidRPr="00401C70">
              <w:rPr>
                <w:rFonts w:ascii="Abadi" w:hAnsi="Abadi" w:cs="Calibri"/>
                <w:spacing w:val="1"/>
                <w:sz w:val="21"/>
                <w:szCs w:val="21"/>
              </w:rPr>
              <w:t xml:space="preserve"> </w:t>
            </w:r>
            <w:r w:rsidRPr="00401C70">
              <w:rPr>
                <w:rFonts w:ascii="Abadi" w:hAnsi="Abadi" w:cs="Calibri"/>
                <w:sz w:val="21"/>
                <w:szCs w:val="21"/>
              </w:rPr>
              <w:t>comisiones</w:t>
            </w:r>
            <w:r w:rsidRPr="00401C70">
              <w:rPr>
                <w:rFonts w:ascii="Abadi" w:hAnsi="Abadi" w:cs="Calibri"/>
                <w:spacing w:val="1"/>
                <w:sz w:val="21"/>
                <w:szCs w:val="21"/>
              </w:rPr>
              <w:t xml:space="preserve"> </w:t>
            </w:r>
            <w:r w:rsidRPr="00401C70">
              <w:rPr>
                <w:rFonts w:ascii="Abadi" w:hAnsi="Abadi" w:cs="Calibri"/>
                <w:sz w:val="21"/>
                <w:szCs w:val="21"/>
              </w:rPr>
              <w:t>se</w:t>
            </w:r>
            <w:r w:rsidRPr="00401C70">
              <w:rPr>
                <w:rFonts w:ascii="Abadi" w:hAnsi="Abadi" w:cs="Calibri"/>
                <w:spacing w:val="1"/>
                <w:sz w:val="21"/>
                <w:szCs w:val="21"/>
              </w:rPr>
              <w:t xml:space="preserve"> </w:t>
            </w:r>
            <w:r w:rsidRPr="00401C70">
              <w:rPr>
                <w:rFonts w:ascii="Abadi" w:hAnsi="Abadi" w:cs="Calibri"/>
                <w:b/>
                <w:bCs/>
                <w:i/>
                <w:iCs/>
                <w:sz w:val="21"/>
                <w:szCs w:val="21"/>
              </w:rPr>
              <w:t>conformarán</w:t>
            </w:r>
            <w:r w:rsidRPr="00401C70">
              <w:rPr>
                <w:rFonts w:ascii="Abadi" w:hAnsi="Abadi" w:cs="Calibri"/>
                <w:b/>
                <w:bCs/>
                <w:i/>
                <w:iCs/>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manera</w:t>
            </w:r>
            <w:r w:rsidRPr="00401C70">
              <w:rPr>
                <w:rFonts w:ascii="Abadi" w:hAnsi="Abadi" w:cs="Calibri"/>
                <w:spacing w:val="1"/>
                <w:sz w:val="21"/>
                <w:szCs w:val="21"/>
              </w:rPr>
              <w:t xml:space="preserve"> </w:t>
            </w:r>
            <w:r w:rsidRPr="00401C70">
              <w:rPr>
                <w:rFonts w:ascii="Abadi" w:hAnsi="Abadi" w:cs="Calibri"/>
                <w:sz w:val="21"/>
                <w:szCs w:val="21"/>
              </w:rPr>
              <w:t xml:space="preserve">colegiada, por el número de </w:t>
            </w:r>
            <w:r w:rsidRPr="00401C70">
              <w:rPr>
                <w:rFonts w:ascii="Abadi" w:hAnsi="Abadi" w:cs="Calibri"/>
                <w:b/>
                <w:bCs/>
                <w:i/>
                <w:iCs/>
                <w:sz w:val="21"/>
                <w:szCs w:val="21"/>
              </w:rPr>
              <w:t xml:space="preserve">integrantes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establezca el reglamento interior o el acuerdo</w:t>
            </w:r>
            <w:r w:rsidRPr="00401C70">
              <w:rPr>
                <w:rFonts w:ascii="Abadi" w:hAnsi="Abadi" w:cs="Calibri"/>
                <w:spacing w:val="1"/>
                <w:sz w:val="21"/>
                <w:szCs w:val="21"/>
              </w:rPr>
              <w:t xml:space="preserve"> </w:t>
            </w:r>
            <w:r w:rsidRPr="00401C70">
              <w:rPr>
                <w:rFonts w:ascii="Abadi" w:hAnsi="Abadi" w:cs="Calibri"/>
                <w:sz w:val="21"/>
                <w:szCs w:val="21"/>
              </w:rPr>
              <w:t xml:space="preserve">de ayuntamiento, </w:t>
            </w:r>
            <w:r w:rsidRPr="00401C70">
              <w:rPr>
                <w:rFonts w:ascii="Abadi" w:hAnsi="Abadi" w:cs="Calibri"/>
                <w:b/>
                <w:bCs/>
                <w:i/>
                <w:iCs/>
                <w:sz w:val="21"/>
                <w:szCs w:val="21"/>
              </w:rPr>
              <w:t>observando el principio de</w:t>
            </w:r>
            <w:r w:rsidRPr="00401C70">
              <w:rPr>
                <w:rFonts w:ascii="Abadi" w:hAnsi="Abadi" w:cs="Calibri"/>
                <w:b/>
                <w:bCs/>
                <w:i/>
                <w:iCs/>
                <w:spacing w:val="1"/>
                <w:sz w:val="21"/>
                <w:szCs w:val="21"/>
              </w:rPr>
              <w:t xml:space="preserve"> </w:t>
            </w:r>
            <w:r w:rsidRPr="00401C70">
              <w:rPr>
                <w:rFonts w:ascii="Abadi" w:hAnsi="Abadi" w:cs="Calibri"/>
                <w:b/>
                <w:bCs/>
                <w:i/>
                <w:iCs/>
                <w:sz w:val="21"/>
                <w:szCs w:val="21"/>
              </w:rPr>
              <w:t xml:space="preserve">paridad de género y </w:t>
            </w:r>
            <w:r w:rsidRPr="00401C70">
              <w:rPr>
                <w:rFonts w:ascii="Abadi" w:hAnsi="Abadi" w:cs="Calibri"/>
                <w:sz w:val="21"/>
                <w:szCs w:val="21"/>
              </w:rPr>
              <w:t>procurando que reflejen</w:t>
            </w:r>
            <w:r w:rsidRPr="00401C70">
              <w:rPr>
                <w:rFonts w:ascii="Abadi" w:hAnsi="Abadi" w:cs="Calibri"/>
                <w:spacing w:val="1"/>
                <w:sz w:val="21"/>
                <w:szCs w:val="21"/>
              </w:rPr>
              <w:t xml:space="preserve"> </w:t>
            </w:r>
            <w:r w:rsidRPr="00401C70">
              <w:rPr>
                <w:rFonts w:ascii="Abadi" w:hAnsi="Abadi" w:cs="Calibri"/>
                <w:sz w:val="21"/>
                <w:szCs w:val="21"/>
              </w:rPr>
              <w:t>pluralidad</w:t>
            </w:r>
            <w:r w:rsidRPr="00401C70">
              <w:rPr>
                <w:rFonts w:ascii="Abadi" w:hAnsi="Abadi" w:cs="Calibri"/>
                <w:spacing w:val="1"/>
                <w:sz w:val="21"/>
                <w:szCs w:val="21"/>
              </w:rPr>
              <w:t xml:space="preserve"> </w:t>
            </w:r>
            <w:r w:rsidRPr="00401C70">
              <w:rPr>
                <w:rFonts w:ascii="Abadi" w:hAnsi="Abadi" w:cs="Calibri"/>
                <w:sz w:val="21"/>
                <w:szCs w:val="21"/>
              </w:rPr>
              <w:t>y</w:t>
            </w:r>
            <w:r w:rsidRPr="00401C70">
              <w:rPr>
                <w:rFonts w:ascii="Abadi" w:hAnsi="Abadi" w:cs="Calibri"/>
                <w:spacing w:val="1"/>
                <w:sz w:val="21"/>
                <w:szCs w:val="21"/>
              </w:rPr>
              <w:t xml:space="preserve"> </w:t>
            </w:r>
            <w:r w:rsidRPr="00401C70">
              <w:rPr>
                <w:rFonts w:ascii="Abadi" w:hAnsi="Abadi" w:cs="Calibri"/>
                <w:sz w:val="21"/>
                <w:szCs w:val="21"/>
              </w:rPr>
              <w:t>proporcionalidad;</w:t>
            </w:r>
            <w:r w:rsidRPr="00401C70">
              <w:rPr>
                <w:rFonts w:ascii="Abadi" w:hAnsi="Abadi" w:cs="Calibri"/>
                <w:spacing w:val="1"/>
                <w:sz w:val="21"/>
                <w:szCs w:val="21"/>
              </w:rPr>
              <w:t xml:space="preserve"> </w:t>
            </w:r>
            <w:r w:rsidRPr="00401C70">
              <w:rPr>
                <w:rFonts w:ascii="Abadi" w:hAnsi="Abadi" w:cs="Calibri"/>
                <w:sz w:val="21"/>
                <w:szCs w:val="21"/>
              </w:rPr>
              <w:t>en</w:t>
            </w:r>
            <w:r w:rsidRPr="00401C70">
              <w:rPr>
                <w:rFonts w:ascii="Abadi" w:hAnsi="Abadi" w:cs="Calibri"/>
                <w:spacing w:val="1"/>
                <w:sz w:val="21"/>
                <w:szCs w:val="21"/>
              </w:rPr>
              <w:t xml:space="preserve"> </w:t>
            </w:r>
            <w:r w:rsidRPr="00401C70">
              <w:rPr>
                <w:rFonts w:ascii="Abadi" w:hAnsi="Abadi" w:cs="Calibri"/>
                <w:sz w:val="21"/>
                <w:szCs w:val="21"/>
              </w:rPr>
              <w:t>cada</w:t>
            </w:r>
            <w:r w:rsidRPr="00401C70">
              <w:rPr>
                <w:rFonts w:ascii="Abadi" w:hAnsi="Abadi" w:cs="Calibri"/>
                <w:spacing w:val="1"/>
                <w:sz w:val="21"/>
                <w:szCs w:val="21"/>
              </w:rPr>
              <w:t xml:space="preserve"> </w:t>
            </w:r>
            <w:r w:rsidRPr="00401C70">
              <w:rPr>
                <w:rFonts w:ascii="Abadi" w:hAnsi="Abadi" w:cs="Calibri"/>
                <w:sz w:val="21"/>
                <w:szCs w:val="21"/>
              </w:rPr>
              <w:t>comisión</w:t>
            </w:r>
            <w:r w:rsidRPr="00401C70">
              <w:rPr>
                <w:rFonts w:ascii="Abadi" w:hAnsi="Abadi" w:cs="Calibri"/>
                <w:spacing w:val="1"/>
                <w:sz w:val="21"/>
                <w:szCs w:val="21"/>
              </w:rPr>
              <w:t xml:space="preserve"> </w:t>
            </w:r>
            <w:r w:rsidRPr="00401C70">
              <w:rPr>
                <w:rFonts w:ascii="Abadi" w:hAnsi="Abadi" w:cs="Calibri"/>
                <w:sz w:val="21"/>
                <w:szCs w:val="21"/>
              </w:rPr>
              <w:t>habrá</w:t>
            </w:r>
            <w:r w:rsidRPr="00401C70">
              <w:rPr>
                <w:rFonts w:ascii="Abadi" w:hAnsi="Abadi" w:cs="Calibri"/>
                <w:spacing w:val="1"/>
                <w:sz w:val="21"/>
                <w:szCs w:val="21"/>
              </w:rPr>
              <w:t xml:space="preserve"> </w:t>
            </w:r>
            <w:r w:rsidRPr="00401C70">
              <w:rPr>
                <w:rFonts w:ascii="Abadi" w:hAnsi="Abadi" w:cs="Calibri"/>
                <w:b/>
                <w:bCs/>
                <w:i/>
                <w:iCs/>
                <w:sz w:val="21"/>
                <w:szCs w:val="21"/>
              </w:rPr>
              <w:t>una</w:t>
            </w:r>
            <w:r w:rsidRPr="00401C70">
              <w:rPr>
                <w:rFonts w:ascii="Abadi" w:hAnsi="Abadi" w:cs="Calibri"/>
                <w:b/>
                <w:bCs/>
                <w:i/>
                <w:iCs/>
                <w:spacing w:val="1"/>
                <w:sz w:val="21"/>
                <w:szCs w:val="21"/>
              </w:rPr>
              <w:t xml:space="preserve"> </w:t>
            </w:r>
            <w:r w:rsidRPr="00401C70">
              <w:rPr>
                <w:rFonts w:ascii="Abadi" w:hAnsi="Abadi" w:cs="Calibri"/>
                <w:b/>
                <w:bCs/>
                <w:i/>
                <w:iCs/>
                <w:sz w:val="21"/>
                <w:szCs w:val="21"/>
              </w:rPr>
              <w:t>Presidencia</w:t>
            </w:r>
            <w:r w:rsidRPr="00401C70">
              <w:rPr>
                <w:rFonts w:ascii="Abadi" w:hAnsi="Abadi" w:cs="Calibri"/>
                <w:b/>
                <w:bCs/>
                <w:i/>
                <w:iCs/>
                <w:spacing w:val="1"/>
                <w:sz w:val="21"/>
                <w:szCs w:val="21"/>
              </w:rPr>
              <w:t xml:space="preserve"> </w:t>
            </w:r>
            <w:r w:rsidRPr="00401C70">
              <w:rPr>
                <w:rFonts w:ascii="Abadi" w:hAnsi="Abadi" w:cs="Calibri"/>
                <w:b/>
                <w:bCs/>
                <w:i/>
                <w:iCs/>
                <w:sz w:val="21"/>
                <w:szCs w:val="21"/>
              </w:rPr>
              <w:t>y</w:t>
            </w:r>
            <w:r w:rsidRPr="00401C70">
              <w:rPr>
                <w:rFonts w:ascii="Abadi" w:hAnsi="Abadi" w:cs="Calibri"/>
                <w:b/>
                <w:bCs/>
                <w:i/>
                <w:iCs/>
                <w:spacing w:val="1"/>
                <w:sz w:val="21"/>
                <w:szCs w:val="21"/>
              </w:rPr>
              <w:t xml:space="preserve"> </w:t>
            </w:r>
            <w:r w:rsidRPr="00401C70">
              <w:rPr>
                <w:rFonts w:ascii="Abadi" w:hAnsi="Abadi" w:cs="Calibri"/>
                <w:b/>
                <w:bCs/>
                <w:i/>
                <w:iCs/>
                <w:sz w:val="21"/>
                <w:szCs w:val="21"/>
              </w:rPr>
              <w:t>una</w:t>
            </w:r>
            <w:r w:rsidRPr="00401C70">
              <w:rPr>
                <w:rFonts w:ascii="Abadi" w:hAnsi="Abadi" w:cs="Calibri"/>
                <w:b/>
                <w:bCs/>
                <w:i/>
                <w:iCs/>
                <w:spacing w:val="-47"/>
                <w:sz w:val="21"/>
                <w:szCs w:val="21"/>
              </w:rPr>
              <w:t xml:space="preserve"> </w:t>
            </w:r>
            <w:r w:rsidRPr="00401C70">
              <w:rPr>
                <w:rFonts w:ascii="Abadi" w:hAnsi="Abadi" w:cs="Calibri"/>
                <w:b/>
                <w:bCs/>
                <w:i/>
                <w:iCs/>
                <w:sz w:val="21"/>
                <w:szCs w:val="21"/>
              </w:rPr>
              <w:t>Secretaría</w:t>
            </w:r>
            <w:r w:rsidRPr="00401C70">
              <w:rPr>
                <w:rFonts w:ascii="Abadi" w:hAnsi="Abadi" w:cs="Calibri"/>
                <w:sz w:val="21"/>
                <w:szCs w:val="21"/>
              </w:rPr>
              <w:t>, asimismo, el Ayuntamiento podrá</w:t>
            </w:r>
            <w:r w:rsidRPr="00401C70">
              <w:rPr>
                <w:rFonts w:ascii="Abadi" w:hAnsi="Abadi" w:cs="Calibri"/>
                <w:spacing w:val="1"/>
                <w:sz w:val="21"/>
                <w:szCs w:val="21"/>
              </w:rPr>
              <w:t xml:space="preserve"> </w:t>
            </w:r>
            <w:r w:rsidRPr="00401C70">
              <w:rPr>
                <w:rFonts w:ascii="Abadi" w:hAnsi="Abadi" w:cs="Calibri"/>
                <w:sz w:val="21"/>
                <w:szCs w:val="21"/>
              </w:rPr>
              <w:t>acordar</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designación</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b/>
                <w:bCs/>
                <w:i/>
                <w:iCs/>
                <w:sz w:val="21"/>
                <w:szCs w:val="21"/>
              </w:rPr>
              <w:t>personas</w:t>
            </w:r>
            <w:r w:rsidRPr="00401C70">
              <w:rPr>
                <w:rFonts w:ascii="Abadi" w:hAnsi="Abadi" w:cs="Calibri"/>
                <w:b/>
                <w:bCs/>
                <w:i/>
                <w:iCs/>
                <w:spacing w:val="1"/>
                <w:sz w:val="21"/>
                <w:szCs w:val="21"/>
              </w:rPr>
              <w:t xml:space="preserve"> </w:t>
            </w:r>
            <w:r w:rsidRPr="00401C70">
              <w:rPr>
                <w:rFonts w:ascii="Abadi" w:hAnsi="Abadi" w:cs="Calibri"/>
                <w:b/>
                <w:bCs/>
                <w:i/>
                <w:iCs/>
                <w:sz w:val="21"/>
                <w:szCs w:val="21"/>
              </w:rPr>
              <w:t xml:space="preserve">comisionadas </w:t>
            </w:r>
            <w:r w:rsidRPr="00401C70">
              <w:rPr>
                <w:rFonts w:ascii="Abadi" w:hAnsi="Abadi" w:cs="Calibri"/>
                <w:sz w:val="21"/>
                <w:szCs w:val="21"/>
              </w:rPr>
              <w:t>para la atención de los asuntos</w:t>
            </w:r>
            <w:r w:rsidRPr="00401C70">
              <w:rPr>
                <w:rFonts w:ascii="Abadi" w:hAnsi="Abadi" w:cs="Calibri"/>
                <w:spacing w:val="1"/>
                <w:sz w:val="21"/>
                <w:szCs w:val="21"/>
              </w:rPr>
              <w:t xml:space="preserve"> </w:t>
            </w:r>
            <w:r w:rsidRPr="00401C70">
              <w:rPr>
                <w:rFonts w:ascii="Abadi" w:hAnsi="Abadi" w:cs="Calibri"/>
                <w:sz w:val="21"/>
                <w:szCs w:val="21"/>
              </w:rPr>
              <w:t>de competencia</w:t>
            </w:r>
            <w:r w:rsidRPr="00401C70">
              <w:rPr>
                <w:rFonts w:ascii="Abadi" w:hAnsi="Abadi" w:cs="Calibri"/>
                <w:spacing w:val="-2"/>
                <w:sz w:val="21"/>
                <w:szCs w:val="21"/>
              </w:rPr>
              <w:t xml:space="preserve"> </w:t>
            </w:r>
            <w:r w:rsidRPr="00401C70">
              <w:rPr>
                <w:rFonts w:ascii="Abadi" w:hAnsi="Abadi" w:cs="Calibri"/>
                <w:sz w:val="21"/>
                <w:szCs w:val="21"/>
              </w:rPr>
              <w:t>municipal.</w:t>
            </w:r>
          </w:p>
        </w:tc>
      </w:tr>
      <w:tr w:rsidR="00677B7E" w:rsidRPr="00401C70" w14:paraId="6445A943" w14:textId="77777777" w:rsidTr="003343AD">
        <w:trPr>
          <w:trHeight w:val="1725"/>
        </w:trPr>
        <w:tc>
          <w:tcPr>
            <w:tcW w:w="2500" w:type="pct"/>
            <w:tcBorders>
              <w:top w:val="none" w:sz="6" w:space="0" w:color="auto"/>
              <w:left w:val="single" w:sz="4" w:space="0" w:color="000000"/>
              <w:bottom w:val="single" w:sz="4" w:space="0" w:color="000000"/>
              <w:right w:val="single" w:sz="4" w:space="0" w:color="000000"/>
            </w:tcBorders>
          </w:tcPr>
          <w:p w14:paraId="4370D9DF" w14:textId="77777777" w:rsidR="00677B7E" w:rsidRPr="00401C70" w:rsidRDefault="00677B7E" w:rsidP="00FA2590">
            <w:pPr>
              <w:kinsoku w:val="0"/>
              <w:overflowPunct w:val="0"/>
              <w:autoSpaceDE w:val="0"/>
              <w:autoSpaceDN w:val="0"/>
              <w:adjustRightInd w:val="0"/>
              <w:spacing w:before="114"/>
              <w:ind w:left="107" w:right="93"/>
              <w:jc w:val="both"/>
              <w:rPr>
                <w:rFonts w:ascii="Abadi" w:hAnsi="Abadi" w:cs="Calibri"/>
                <w:sz w:val="21"/>
                <w:szCs w:val="21"/>
              </w:rPr>
            </w:pPr>
            <w:r w:rsidRPr="00401C70">
              <w:rPr>
                <w:rFonts w:ascii="Abadi" w:hAnsi="Abadi" w:cs="Calibri"/>
                <w:sz w:val="21"/>
                <w:szCs w:val="21"/>
              </w:rPr>
              <w:t>La comisión de hacienda, patrimonio y cuenta</w:t>
            </w:r>
            <w:r w:rsidRPr="00401C70">
              <w:rPr>
                <w:rFonts w:ascii="Abadi" w:hAnsi="Abadi" w:cs="Calibri"/>
                <w:spacing w:val="1"/>
                <w:sz w:val="21"/>
                <w:szCs w:val="21"/>
              </w:rPr>
              <w:t xml:space="preserve"> </w:t>
            </w:r>
            <w:r w:rsidRPr="00401C70">
              <w:rPr>
                <w:rFonts w:ascii="Abadi" w:hAnsi="Abadi" w:cs="Calibri"/>
                <w:sz w:val="21"/>
                <w:szCs w:val="21"/>
              </w:rPr>
              <w:t>pública, y la comisión de contraloría y combate</w:t>
            </w:r>
            <w:r w:rsidRPr="00401C70">
              <w:rPr>
                <w:rFonts w:ascii="Abadi" w:hAnsi="Abadi" w:cs="Calibri"/>
                <w:spacing w:val="-48"/>
                <w:sz w:val="21"/>
                <w:szCs w:val="21"/>
              </w:rPr>
              <w:t xml:space="preserve"> </w:t>
            </w:r>
            <w:r w:rsidRPr="00401C70">
              <w:rPr>
                <w:rFonts w:ascii="Abadi" w:hAnsi="Abadi" w:cs="Calibri"/>
                <w:sz w:val="21"/>
                <w:szCs w:val="21"/>
              </w:rPr>
              <w:t>a</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corrupción,</w:t>
            </w:r>
            <w:r w:rsidRPr="00401C70">
              <w:rPr>
                <w:rFonts w:ascii="Abadi" w:hAnsi="Abadi" w:cs="Calibri"/>
                <w:spacing w:val="1"/>
                <w:sz w:val="21"/>
                <w:szCs w:val="21"/>
              </w:rPr>
              <w:t xml:space="preserve"> </w:t>
            </w:r>
            <w:r w:rsidRPr="00401C70">
              <w:rPr>
                <w:rFonts w:ascii="Abadi" w:hAnsi="Abadi" w:cs="Calibri"/>
                <w:sz w:val="21"/>
                <w:szCs w:val="21"/>
              </w:rPr>
              <w:t>deberán</w:t>
            </w:r>
            <w:r w:rsidRPr="00401C70">
              <w:rPr>
                <w:rFonts w:ascii="Abadi" w:hAnsi="Abadi" w:cs="Calibri"/>
                <w:spacing w:val="1"/>
                <w:sz w:val="21"/>
                <w:szCs w:val="21"/>
              </w:rPr>
              <w:t xml:space="preserve"> </w:t>
            </w:r>
            <w:r w:rsidRPr="00401C70">
              <w:rPr>
                <w:rFonts w:ascii="Abadi" w:hAnsi="Abadi" w:cs="Calibri"/>
                <w:sz w:val="21"/>
                <w:szCs w:val="21"/>
              </w:rPr>
              <w:t>ser</w:t>
            </w:r>
            <w:r w:rsidRPr="00401C70">
              <w:rPr>
                <w:rFonts w:ascii="Abadi" w:hAnsi="Abadi" w:cs="Calibri"/>
                <w:spacing w:val="1"/>
                <w:sz w:val="21"/>
                <w:szCs w:val="21"/>
              </w:rPr>
              <w:t xml:space="preserve"> </w:t>
            </w:r>
            <w:r w:rsidRPr="00401C70">
              <w:rPr>
                <w:rFonts w:ascii="Abadi" w:hAnsi="Abadi" w:cs="Calibri"/>
                <w:sz w:val="21"/>
                <w:szCs w:val="21"/>
              </w:rPr>
              <w:t>plurales</w:t>
            </w:r>
            <w:r w:rsidRPr="00401C70">
              <w:rPr>
                <w:rFonts w:ascii="Abadi" w:hAnsi="Abadi" w:cs="Calibri"/>
                <w:spacing w:val="1"/>
                <w:sz w:val="21"/>
                <w:szCs w:val="21"/>
              </w:rPr>
              <w:t xml:space="preserve"> </w:t>
            </w:r>
            <w:r w:rsidRPr="00401C70">
              <w:rPr>
                <w:rFonts w:ascii="Abadi" w:hAnsi="Abadi" w:cs="Calibri"/>
                <w:sz w:val="21"/>
                <w:szCs w:val="21"/>
              </w:rPr>
              <w:t>y</w:t>
            </w:r>
            <w:r w:rsidRPr="00401C70">
              <w:rPr>
                <w:rFonts w:ascii="Abadi" w:hAnsi="Abadi" w:cs="Calibri"/>
                <w:spacing w:val="1"/>
                <w:sz w:val="21"/>
                <w:szCs w:val="21"/>
              </w:rPr>
              <w:t xml:space="preserve"> </w:t>
            </w:r>
            <w:r w:rsidRPr="00401C70">
              <w:rPr>
                <w:rFonts w:ascii="Abadi" w:hAnsi="Abadi" w:cs="Calibri"/>
                <w:sz w:val="21"/>
                <w:szCs w:val="21"/>
              </w:rPr>
              <w:t>proporcionales,</w:t>
            </w:r>
            <w:r w:rsidRPr="00401C70">
              <w:rPr>
                <w:rFonts w:ascii="Abadi" w:hAnsi="Abadi" w:cs="Calibri"/>
                <w:spacing w:val="1"/>
                <w:sz w:val="21"/>
                <w:szCs w:val="21"/>
              </w:rPr>
              <w:t xml:space="preserve"> </w:t>
            </w:r>
            <w:r w:rsidRPr="00401C70">
              <w:rPr>
                <w:rFonts w:ascii="Abadi" w:hAnsi="Abadi" w:cs="Calibri"/>
                <w:sz w:val="21"/>
                <w:szCs w:val="21"/>
              </w:rPr>
              <w:t>atendiendo</w:t>
            </w:r>
            <w:r w:rsidRPr="00401C70">
              <w:rPr>
                <w:rFonts w:ascii="Abadi" w:hAnsi="Abadi" w:cs="Calibri"/>
                <w:spacing w:val="1"/>
                <w:sz w:val="21"/>
                <w:szCs w:val="21"/>
              </w:rPr>
              <w:t xml:space="preserve"> </w:t>
            </w:r>
            <w:r w:rsidRPr="00401C70">
              <w:rPr>
                <w:rFonts w:ascii="Abadi" w:hAnsi="Abadi" w:cs="Calibri"/>
                <w:sz w:val="21"/>
                <w:szCs w:val="21"/>
              </w:rPr>
              <w:t>al</w:t>
            </w:r>
            <w:r w:rsidRPr="00401C70">
              <w:rPr>
                <w:rFonts w:ascii="Abadi" w:hAnsi="Abadi" w:cs="Calibri"/>
                <w:spacing w:val="1"/>
                <w:sz w:val="21"/>
                <w:szCs w:val="21"/>
              </w:rPr>
              <w:t xml:space="preserve"> </w:t>
            </w:r>
            <w:r w:rsidRPr="00401C70">
              <w:rPr>
                <w:rFonts w:ascii="Abadi" w:hAnsi="Abadi" w:cs="Calibri"/>
                <w:sz w:val="21"/>
                <w:szCs w:val="21"/>
              </w:rPr>
              <w:t>porcentaje</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47"/>
                <w:sz w:val="21"/>
                <w:szCs w:val="21"/>
              </w:rPr>
              <w:t xml:space="preserve"> </w:t>
            </w:r>
            <w:r w:rsidRPr="00401C70">
              <w:rPr>
                <w:rFonts w:ascii="Abadi" w:hAnsi="Abadi" w:cs="Calibri"/>
                <w:sz w:val="21"/>
                <w:szCs w:val="21"/>
              </w:rPr>
              <w:t>representación</w:t>
            </w:r>
            <w:r w:rsidRPr="00401C70">
              <w:rPr>
                <w:rFonts w:ascii="Abadi" w:hAnsi="Abadi" w:cs="Calibri"/>
                <w:spacing w:val="29"/>
                <w:sz w:val="21"/>
                <w:szCs w:val="21"/>
              </w:rPr>
              <w:t xml:space="preserve"> </w:t>
            </w:r>
            <w:r w:rsidRPr="00401C70">
              <w:rPr>
                <w:rFonts w:ascii="Abadi" w:hAnsi="Abadi" w:cs="Calibri"/>
                <w:sz w:val="21"/>
                <w:szCs w:val="21"/>
              </w:rPr>
              <w:t>de</w:t>
            </w:r>
            <w:r w:rsidRPr="00401C70">
              <w:rPr>
                <w:rFonts w:ascii="Abadi" w:hAnsi="Abadi" w:cs="Calibri"/>
                <w:spacing w:val="31"/>
                <w:sz w:val="21"/>
                <w:szCs w:val="21"/>
              </w:rPr>
              <w:t xml:space="preserve"> </w:t>
            </w:r>
            <w:r w:rsidRPr="00401C70">
              <w:rPr>
                <w:rFonts w:ascii="Abadi" w:hAnsi="Abadi" w:cs="Calibri"/>
                <w:sz w:val="21"/>
                <w:szCs w:val="21"/>
              </w:rPr>
              <w:t>cada</w:t>
            </w:r>
            <w:r w:rsidRPr="00401C70">
              <w:rPr>
                <w:rFonts w:ascii="Abadi" w:hAnsi="Abadi" w:cs="Calibri"/>
                <w:spacing w:val="33"/>
                <w:sz w:val="21"/>
                <w:szCs w:val="21"/>
              </w:rPr>
              <w:t xml:space="preserve"> </w:t>
            </w:r>
            <w:r w:rsidRPr="00401C70">
              <w:rPr>
                <w:rFonts w:ascii="Abadi" w:hAnsi="Abadi" w:cs="Calibri"/>
                <w:sz w:val="21"/>
                <w:szCs w:val="21"/>
              </w:rPr>
              <w:t>partido</w:t>
            </w:r>
            <w:r w:rsidRPr="00401C70">
              <w:rPr>
                <w:rFonts w:ascii="Abadi" w:hAnsi="Abadi" w:cs="Calibri"/>
                <w:spacing w:val="33"/>
                <w:sz w:val="21"/>
                <w:szCs w:val="21"/>
              </w:rPr>
              <w:t xml:space="preserve"> </w:t>
            </w:r>
            <w:r w:rsidRPr="00401C70">
              <w:rPr>
                <w:rFonts w:ascii="Abadi" w:hAnsi="Abadi" w:cs="Calibri"/>
                <w:sz w:val="21"/>
                <w:szCs w:val="21"/>
              </w:rPr>
              <w:t>político</w:t>
            </w:r>
            <w:r w:rsidRPr="00401C70">
              <w:rPr>
                <w:rFonts w:ascii="Abadi" w:hAnsi="Abadi" w:cs="Calibri"/>
                <w:spacing w:val="32"/>
                <w:sz w:val="21"/>
                <w:szCs w:val="21"/>
              </w:rPr>
              <w:t xml:space="preserve"> </w:t>
            </w:r>
            <w:r w:rsidRPr="00401C70">
              <w:rPr>
                <w:rFonts w:ascii="Abadi" w:hAnsi="Abadi" w:cs="Calibri"/>
                <w:sz w:val="21"/>
                <w:szCs w:val="21"/>
              </w:rPr>
              <w:t>en</w:t>
            </w:r>
            <w:r w:rsidRPr="00401C70">
              <w:rPr>
                <w:rFonts w:ascii="Abadi" w:hAnsi="Abadi" w:cs="Calibri"/>
                <w:spacing w:val="30"/>
                <w:sz w:val="21"/>
                <w:szCs w:val="21"/>
              </w:rPr>
              <w:t xml:space="preserve"> </w:t>
            </w:r>
            <w:r w:rsidRPr="00401C70">
              <w:rPr>
                <w:rFonts w:ascii="Abadi" w:hAnsi="Abadi" w:cs="Calibri"/>
                <w:sz w:val="21"/>
                <w:szCs w:val="21"/>
              </w:rPr>
              <w:t>el</w:t>
            </w:r>
          </w:p>
          <w:p w14:paraId="5B632A42" w14:textId="77777777" w:rsidR="00677B7E" w:rsidRPr="00401C70" w:rsidRDefault="00677B7E" w:rsidP="00FA2590">
            <w:pPr>
              <w:kinsoku w:val="0"/>
              <w:overflowPunct w:val="0"/>
              <w:autoSpaceDE w:val="0"/>
              <w:autoSpaceDN w:val="0"/>
              <w:adjustRightInd w:val="0"/>
              <w:spacing w:line="248" w:lineRule="exact"/>
              <w:ind w:left="107"/>
              <w:jc w:val="both"/>
              <w:rPr>
                <w:rFonts w:ascii="Abadi" w:hAnsi="Abadi" w:cs="Calibri"/>
                <w:sz w:val="21"/>
                <w:szCs w:val="21"/>
              </w:rPr>
            </w:pPr>
            <w:r w:rsidRPr="00401C70">
              <w:rPr>
                <w:rFonts w:ascii="Abadi" w:hAnsi="Abadi" w:cs="Calibri"/>
                <w:sz w:val="21"/>
                <w:szCs w:val="21"/>
              </w:rPr>
              <w:t>Ayuntamiento.</w:t>
            </w:r>
          </w:p>
        </w:tc>
        <w:tc>
          <w:tcPr>
            <w:tcW w:w="2500" w:type="pct"/>
            <w:tcBorders>
              <w:top w:val="none" w:sz="6" w:space="0" w:color="auto"/>
              <w:left w:val="single" w:sz="4" w:space="0" w:color="000000"/>
              <w:bottom w:val="single" w:sz="4" w:space="0" w:color="000000"/>
              <w:right w:val="single" w:sz="4" w:space="0" w:color="000000"/>
            </w:tcBorders>
          </w:tcPr>
          <w:p w14:paraId="0659158C" w14:textId="77777777" w:rsidR="00677B7E" w:rsidRPr="00401C70" w:rsidRDefault="00677B7E" w:rsidP="00FA2590">
            <w:pPr>
              <w:kinsoku w:val="0"/>
              <w:overflowPunct w:val="0"/>
              <w:autoSpaceDE w:val="0"/>
              <w:autoSpaceDN w:val="0"/>
              <w:adjustRightInd w:val="0"/>
              <w:spacing w:before="114"/>
              <w:ind w:left="107" w:right="93"/>
              <w:jc w:val="both"/>
              <w:rPr>
                <w:rFonts w:ascii="Abadi" w:hAnsi="Abadi" w:cs="Calibri"/>
                <w:sz w:val="21"/>
                <w:szCs w:val="21"/>
              </w:rPr>
            </w:pPr>
            <w:r w:rsidRPr="00401C70">
              <w:rPr>
                <w:rFonts w:ascii="Abadi" w:hAnsi="Abadi" w:cs="Calibri"/>
                <w:sz w:val="21"/>
                <w:szCs w:val="21"/>
              </w:rPr>
              <w:t>La comisión de hacienda, patrimonio y cuenta</w:t>
            </w:r>
            <w:r w:rsidRPr="00401C70">
              <w:rPr>
                <w:rFonts w:ascii="Abadi" w:hAnsi="Abadi" w:cs="Calibri"/>
                <w:spacing w:val="1"/>
                <w:sz w:val="21"/>
                <w:szCs w:val="21"/>
              </w:rPr>
              <w:t xml:space="preserve"> </w:t>
            </w:r>
            <w:r w:rsidRPr="00401C70">
              <w:rPr>
                <w:rFonts w:ascii="Abadi" w:hAnsi="Abadi" w:cs="Calibri"/>
                <w:sz w:val="21"/>
                <w:szCs w:val="21"/>
              </w:rPr>
              <w:t>pública, y la comisión de contraloría y combate</w:t>
            </w:r>
            <w:r w:rsidRPr="00401C70">
              <w:rPr>
                <w:rFonts w:ascii="Abadi" w:hAnsi="Abadi" w:cs="Calibri"/>
                <w:spacing w:val="-48"/>
                <w:sz w:val="21"/>
                <w:szCs w:val="21"/>
              </w:rPr>
              <w:t xml:space="preserve"> </w:t>
            </w:r>
            <w:r w:rsidRPr="00401C70">
              <w:rPr>
                <w:rFonts w:ascii="Abadi" w:hAnsi="Abadi" w:cs="Calibri"/>
                <w:sz w:val="21"/>
                <w:szCs w:val="21"/>
              </w:rPr>
              <w:t>a</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corrupción,</w:t>
            </w:r>
            <w:r w:rsidRPr="00401C70">
              <w:rPr>
                <w:rFonts w:ascii="Abadi" w:hAnsi="Abadi" w:cs="Calibri"/>
                <w:spacing w:val="1"/>
                <w:sz w:val="21"/>
                <w:szCs w:val="21"/>
              </w:rPr>
              <w:t xml:space="preserve"> </w:t>
            </w:r>
            <w:r w:rsidRPr="00401C70">
              <w:rPr>
                <w:rFonts w:ascii="Abadi" w:hAnsi="Abadi" w:cs="Calibri"/>
                <w:sz w:val="21"/>
                <w:szCs w:val="21"/>
              </w:rPr>
              <w:t>deberán</w:t>
            </w:r>
            <w:r w:rsidRPr="00401C70">
              <w:rPr>
                <w:rFonts w:ascii="Abadi" w:hAnsi="Abadi" w:cs="Calibri"/>
                <w:spacing w:val="1"/>
                <w:sz w:val="21"/>
                <w:szCs w:val="21"/>
              </w:rPr>
              <w:t xml:space="preserve"> </w:t>
            </w:r>
            <w:r w:rsidRPr="00401C70">
              <w:rPr>
                <w:rFonts w:ascii="Abadi" w:hAnsi="Abadi" w:cs="Calibri"/>
                <w:sz w:val="21"/>
                <w:szCs w:val="21"/>
              </w:rPr>
              <w:t>ser</w:t>
            </w:r>
            <w:r w:rsidRPr="00401C70">
              <w:rPr>
                <w:rFonts w:ascii="Abadi" w:hAnsi="Abadi" w:cs="Calibri"/>
                <w:spacing w:val="1"/>
                <w:sz w:val="21"/>
                <w:szCs w:val="21"/>
              </w:rPr>
              <w:t xml:space="preserve"> </w:t>
            </w:r>
            <w:r w:rsidRPr="00401C70">
              <w:rPr>
                <w:rFonts w:ascii="Abadi" w:hAnsi="Abadi" w:cs="Calibri"/>
                <w:sz w:val="21"/>
                <w:szCs w:val="21"/>
              </w:rPr>
              <w:t>plurales</w:t>
            </w:r>
            <w:r w:rsidRPr="00401C70">
              <w:rPr>
                <w:rFonts w:ascii="Abadi" w:hAnsi="Abadi" w:cs="Calibri"/>
                <w:spacing w:val="1"/>
                <w:sz w:val="21"/>
                <w:szCs w:val="21"/>
              </w:rPr>
              <w:t xml:space="preserve"> </w:t>
            </w:r>
            <w:r w:rsidRPr="00401C70">
              <w:rPr>
                <w:rFonts w:ascii="Abadi" w:hAnsi="Abadi" w:cs="Calibri"/>
                <w:sz w:val="21"/>
                <w:szCs w:val="21"/>
              </w:rPr>
              <w:t>y</w:t>
            </w:r>
            <w:r w:rsidRPr="00401C70">
              <w:rPr>
                <w:rFonts w:ascii="Abadi" w:hAnsi="Abadi" w:cs="Calibri"/>
                <w:spacing w:val="1"/>
                <w:sz w:val="21"/>
                <w:szCs w:val="21"/>
              </w:rPr>
              <w:t xml:space="preserve"> </w:t>
            </w:r>
            <w:r w:rsidRPr="00401C70">
              <w:rPr>
                <w:rFonts w:ascii="Abadi" w:hAnsi="Abadi" w:cs="Calibri"/>
                <w:sz w:val="21"/>
                <w:szCs w:val="21"/>
              </w:rPr>
              <w:t>proporcionales,</w:t>
            </w:r>
            <w:r w:rsidRPr="00401C70">
              <w:rPr>
                <w:rFonts w:ascii="Abadi" w:hAnsi="Abadi" w:cs="Calibri"/>
                <w:spacing w:val="1"/>
                <w:sz w:val="21"/>
                <w:szCs w:val="21"/>
              </w:rPr>
              <w:t xml:space="preserve"> </w:t>
            </w:r>
            <w:r w:rsidRPr="00401C70">
              <w:rPr>
                <w:rFonts w:ascii="Abadi" w:hAnsi="Abadi" w:cs="Calibri"/>
                <w:sz w:val="21"/>
                <w:szCs w:val="21"/>
              </w:rPr>
              <w:t>atendiendo</w:t>
            </w:r>
            <w:r w:rsidRPr="00401C70">
              <w:rPr>
                <w:rFonts w:ascii="Abadi" w:hAnsi="Abadi" w:cs="Calibri"/>
                <w:spacing w:val="1"/>
                <w:sz w:val="21"/>
                <w:szCs w:val="21"/>
              </w:rPr>
              <w:t xml:space="preserve"> </w:t>
            </w:r>
            <w:r w:rsidRPr="00401C70">
              <w:rPr>
                <w:rFonts w:ascii="Abadi" w:hAnsi="Abadi" w:cs="Calibri"/>
                <w:sz w:val="21"/>
                <w:szCs w:val="21"/>
              </w:rPr>
              <w:t>al</w:t>
            </w:r>
            <w:r w:rsidRPr="00401C70">
              <w:rPr>
                <w:rFonts w:ascii="Abadi" w:hAnsi="Abadi" w:cs="Calibri"/>
                <w:spacing w:val="1"/>
                <w:sz w:val="21"/>
                <w:szCs w:val="21"/>
              </w:rPr>
              <w:t xml:space="preserve"> </w:t>
            </w:r>
            <w:r w:rsidRPr="00401C70">
              <w:rPr>
                <w:rFonts w:ascii="Abadi" w:hAnsi="Abadi" w:cs="Calibri"/>
                <w:sz w:val="21"/>
                <w:szCs w:val="21"/>
              </w:rPr>
              <w:t>porcentaje</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47"/>
                <w:sz w:val="21"/>
                <w:szCs w:val="21"/>
              </w:rPr>
              <w:t xml:space="preserve"> </w:t>
            </w:r>
            <w:r w:rsidRPr="00401C70">
              <w:rPr>
                <w:rFonts w:ascii="Abadi" w:hAnsi="Abadi" w:cs="Calibri"/>
                <w:sz w:val="21"/>
                <w:szCs w:val="21"/>
              </w:rPr>
              <w:t>representación</w:t>
            </w:r>
            <w:r w:rsidRPr="00401C70">
              <w:rPr>
                <w:rFonts w:ascii="Abadi" w:hAnsi="Abadi" w:cs="Calibri"/>
                <w:spacing w:val="29"/>
                <w:sz w:val="21"/>
                <w:szCs w:val="21"/>
              </w:rPr>
              <w:t xml:space="preserve"> </w:t>
            </w:r>
            <w:r w:rsidRPr="00401C70">
              <w:rPr>
                <w:rFonts w:ascii="Abadi" w:hAnsi="Abadi" w:cs="Calibri"/>
                <w:sz w:val="21"/>
                <w:szCs w:val="21"/>
              </w:rPr>
              <w:t>de</w:t>
            </w:r>
            <w:r w:rsidRPr="00401C70">
              <w:rPr>
                <w:rFonts w:ascii="Abadi" w:hAnsi="Abadi" w:cs="Calibri"/>
                <w:spacing w:val="31"/>
                <w:sz w:val="21"/>
                <w:szCs w:val="21"/>
              </w:rPr>
              <w:t xml:space="preserve"> </w:t>
            </w:r>
            <w:r w:rsidRPr="00401C70">
              <w:rPr>
                <w:rFonts w:ascii="Abadi" w:hAnsi="Abadi" w:cs="Calibri"/>
                <w:sz w:val="21"/>
                <w:szCs w:val="21"/>
              </w:rPr>
              <w:t>cada</w:t>
            </w:r>
            <w:r w:rsidRPr="00401C70">
              <w:rPr>
                <w:rFonts w:ascii="Abadi" w:hAnsi="Abadi" w:cs="Calibri"/>
                <w:spacing w:val="33"/>
                <w:sz w:val="21"/>
                <w:szCs w:val="21"/>
              </w:rPr>
              <w:t xml:space="preserve"> </w:t>
            </w:r>
            <w:r w:rsidRPr="00401C70">
              <w:rPr>
                <w:rFonts w:ascii="Abadi" w:hAnsi="Abadi" w:cs="Calibri"/>
                <w:sz w:val="21"/>
                <w:szCs w:val="21"/>
              </w:rPr>
              <w:t>partido</w:t>
            </w:r>
            <w:r w:rsidRPr="00401C70">
              <w:rPr>
                <w:rFonts w:ascii="Abadi" w:hAnsi="Abadi" w:cs="Calibri"/>
                <w:spacing w:val="33"/>
                <w:sz w:val="21"/>
                <w:szCs w:val="21"/>
              </w:rPr>
              <w:t xml:space="preserve"> </w:t>
            </w:r>
            <w:r w:rsidRPr="00401C70">
              <w:rPr>
                <w:rFonts w:ascii="Abadi" w:hAnsi="Abadi" w:cs="Calibri"/>
                <w:sz w:val="21"/>
                <w:szCs w:val="21"/>
              </w:rPr>
              <w:t>político</w:t>
            </w:r>
            <w:r w:rsidRPr="00401C70">
              <w:rPr>
                <w:rFonts w:ascii="Abadi" w:hAnsi="Abadi" w:cs="Calibri"/>
                <w:spacing w:val="32"/>
                <w:sz w:val="21"/>
                <w:szCs w:val="21"/>
              </w:rPr>
              <w:t xml:space="preserve"> </w:t>
            </w:r>
            <w:r w:rsidRPr="00401C70">
              <w:rPr>
                <w:rFonts w:ascii="Abadi" w:hAnsi="Abadi" w:cs="Calibri"/>
                <w:sz w:val="21"/>
                <w:szCs w:val="21"/>
              </w:rPr>
              <w:t>en</w:t>
            </w:r>
            <w:r w:rsidRPr="00401C70">
              <w:rPr>
                <w:rFonts w:ascii="Abadi" w:hAnsi="Abadi" w:cs="Calibri"/>
                <w:spacing w:val="30"/>
                <w:sz w:val="21"/>
                <w:szCs w:val="21"/>
              </w:rPr>
              <w:t xml:space="preserve"> </w:t>
            </w:r>
            <w:r w:rsidRPr="00401C70">
              <w:rPr>
                <w:rFonts w:ascii="Abadi" w:hAnsi="Abadi" w:cs="Calibri"/>
                <w:sz w:val="21"/>
                <w:szCs w:val="21"/>
              </w:rPr>
              <w:t>el</w:t>
            </w:r>
          </w:p>
          <w:p w14:paraId="229C6118" w14:textId="77777777" w:rsidR="00677B7E" w:rsidRPr="00401C70" w:rsidRDefault="00677B7E" w:rsidP="00FA2590">
            <w:pPr>
              <w:kinsoku w:val="0"/>
              <w:overflowPunct w:val="0"/>
              <w:autoSpaceDE w:val="0"/>
              <w:autoSpaceDN w:val="0"/>
              <w:adjustRightInd w:val="0"/>
              <w:spacing w:line="248" w:lineRule="exact"/>
              <w:ind w:left="107"/>
              <w:jc w:val="both"/>
              <w:rPr>
                <w:rFonts w:ascii="Abadi" w:hAnsi="Abadi" w:cs="Calibri"/>
                <w:sz w:val="21"/>
                <w:szCs w:val="21"/>
              </w:rPr>
            </w:pPr>
            <w:r w:rsidRPr="00401C70">
              <w:rPr>
                <w:rFonts w:ascii="Abadi" w:hAnsi="Abadi" w:cs="Calibri"/>
                <w:sz w:val="21"/>
                <w:szCs w:val="21"/>
              </w:rPr>
              <w:t>Ayuntamiento.</w:t>
            </w:r>
          </w:p>
        </w:tc>
      </w:tr>
      <w:tr w:rsidR="00677B7E" w:rsidRPr="00401C70" w14:paraId="7B748072" w14:textId="77777777" w:rsidTr="003343AD">
        <w:trPr>
          <w:trHeight w:val="1612"/>
        </w:trPr>
        <w:tc>
          <w:tcPr>
            <w:tcW w:w="2500" w:type="pct"/>
            <w:tcBorders>
              <w:top w:val="single" w:sz="4" w:space="0" w:color="000000"/>
              <w:left w:val="single" w:sz="4" w:space="0" w:color="000000"/>
              <w:bottom w:val="single" w:sz="4" w:space="0" w:color="000000"/>
              <w:right w:val="single" w:sz="4" w:space="0" w:color="000000"/>
            </w:tcBorders>
          </w:tcPr>
          <w:p w14:paraId="5F7B5D7C" w14:textId="77777777" w:rsidR="00677B7E" w:rsidRPr="00401C70" w:rsidRDefault="00677B7E" w:rsidP="00FA2590">
            <w:pPr>
              <w:kinsoku w:val="0"/>
              <w:overflowPunct w:val="0"/>
              <w:autoSpaceDE w:val="0"/>
              <w:autoSpaceDN w:val="0"/>
              <w:adjustRightInd w:val="0"/>
              <w:ind w:left="107" w:right="93"/>
              <w:jc w:val="both"/>
              <w:rPr>
                <w:rFonts w:ascii="Abadi" w:hAnsi="Abadi" w:cs="Calibri"/>
                <w:sz w:val="21"/>
                <w:szCs w:val="21"/>
              </w:rPr>
            </w:pPr>
            <w:r w:rsidRPr="00401C70">
              <w:rPr>
                <w:rFonts w:ascii="Abadi" w:hAnsi="Abadi" w:cs="Calibri"/>
                <w:b/>
                <w:bCs/>
                <w:sz w:val="21"/>
                <w:szCs w:val="21"/>
              </w:rPr>
              <w:lastRenderedPageBreak/>
              <w:t xml:space="preserve">Artículo 112. </w:t>
            </w:r>
            <w:r w:rsidRPr="00401C70">
              <w:rPr>
                <w:rFonts w:ascii="Abadi" w:hAnsi="Abadi" w:cs="Calibri"/>
                <w:sz w:val="21"/>
                <w:szCs w:val="21"/>
              </w:rPr>
              <w:t>Los Consejos de Planeación de</w:t>
            </w:r>
            <w:r w:rsidRPr="00401C70">
              <w:rPr>
                <w:rFonts w:ascii="Abadi" w:hAnsi="Abadi" w:cs="Calibri"/>
                <w:spacing w:val="1"/>
                <w:sz w:val="21"/>
                <w:szCs w:val="21"/>
              </w:rPr>
              <w:t xml:space="preserve"> </w:t>
            </w:r>
            <w:r w:rsidRPr="00401C70">
              <w:rPr>
                <w:rFonts w:ascii="Abadi" w:hAnsi="Abadi" w:cs="Calibri"/>
                <w:sz w:val="21"/>
                <w:szCs w:val="21"/>
              </w:rPr>
              <w:t>Desarrollo</w:t>
            </w:r>
            <w:r w:rsidRPr="00401C70">
              <w:rPr>
                <w:rFonts w:ascii="Abadi" w:hAnsi="Abadi" w:cs="Calibri"/>
                <w:spacing w:val="1"/>
                <w:sz w:val="21"/>
                <w:szCs w:val="21"/>
              </w:rPr>
              <w:t xml:space="preserve"> </w:t>
            </w:r>
            <w:r w:rsidRPr="00401C70">
              <w:rPr>
                <w:rFonts w:ascii="Abadi" w:hAnsi="Abadi" w:cs="Calibri"/>
                <w:sz w:val="21"/>
                <w:szCs w:val="21"/>
              </w:rPr>
              <w:t>Municipales</w:t>
            </w:r>
            <w:r w:rsidRPr="00401C70">
              <w:rPr>
                <w:rFonts w:ascii="Abadi" w:hAnsi="Abadi" w:cs="Calibri"/>
                <w:spacing w:val="1"/>
                <w:sz w:val="21"/>
                <w:szCs w:val="21"/>
              </w:rPr>
              <w:t xml:space="preserve"> </w:t>
            </w:r>
            <w:r w:rsidRPr="00401C70">
              <w:rPr>
                <w:rFonts w:ascii="Abadi" w:hAnsi="Abadi" w:cs="Calibri"/>
                <w:sz w:val="21"/>
                <w:szCs w:val="21"/>
              </w:rPr>
              <w:t>se</w:t>
            </w:r>
            <w:r w:rsidRPr="00401C70">
              <w:rPr>
                <w:rFonts w:ascii="Abadi" w:hAnsi="Abadi" w:cs="Calibri"/>
                <w:spacing w:val="1"/>
                <w:sz w:val="21"/>
                <w:szCs w:val="21"/>
              </w:rPr>
              <w:t xml:space="preserve"> </w:t>
            </w:r>
            <w:r w:rsidRPr="00401C70">
              <w:rPr>
                <w:rFonts w:ascii="Abadi" w:hAnsi="Abadi" w:cs="Calibri"/>
                <w:sz w:val="21"/>
                <w:szCs w:val="21"/>
              </w:rPr>
              <w:t>integrarán</w:t>
            </w:r>
            <w:r w:rsidRPr="00401C70">
              <w:rPr>
                <w:rFonts w:ascii="Abadi" w:hAnsi="Abadi" w:cs="Calibri"/>
                <w:spacing w:val="1"/>
                <w:sz w:val="21"/>
                <w:szCs w:val="21"/>
              </w:rPr>
              <w:t xml:space="preserve"> </w:t>
            </w:r>
            <w:r w:rsidRPr="00401C70">
              <w:rPr>
                <w:rFonts w:ascii="Abadi" w:hAnsi="Abadi" w:cs="Calibri"/>
                <w:sz w:val="21"/>
                <w:szCs w:val="21"/>
              </w:rPr>
              <w:t>con</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participación</w:t>
            </w:r>
            <w:r w:rsidRPr="00401C70">
              <w:rPr>
                <w:rFonts w:ascii="Abadi" w:hAnsi="Abadi" w:cs="Calibri"/>
                <w:spacing w:val="-8"/>
                <w:sz w:val="21"/>
                <w:szCs w:val="21"/>
              </w:rPr>
              <w:t xml:space="preserve"> </w:t>
            </w:r>
            <w:r w:rsidRPr="00401C70">
              <w:rPr>
                <w:rFonts w:ascii="Abadi" w:hAnsi="Abadi" w:cs="Calibri"/>
                <w:sz w:val="21"/>
                <w:szCs w:val="21"/>
              </w:rPr>
              <w:t>mayoritaria</w:t>
            </w:r>
            <w:r w:rsidRPr="00401C70">
              <w:rPr>
                <w:rFonts w:ascii="Abadi" w:hAnsi="Abadi" w:cs="Calibri"/>
                <w:spacing w:val="-6"/>
                <w:sz w:val="21"/>
                <w:szCs w:val="21"/>
              </w:rPr>
              <w:t xml:space="preserve"> </w:t>
            </w:r>
            <w:r w:rsidRPr="00401C70">
              <w:rPr>
                <w:rFonts w:ascii="Abadi" w:hAnsi="Abadi" w:cs="Calibri"/>
                <w:sz w:val="21"/>
                <w:szCs w:val="21"/>
              </w:rPr>
              <w:t>de</w:t>
            </w:r>
            <w:r w:rsidRPr="00401C70">
              <w:rPr>
                <w:rFonts w:ascii="Abadi" w:hAnsi="Abadi" w:cs="Calibri"/>
                <w:spacing w:val="-5"/>
                <w:sz w:val="21"/>
                <w:szCs w:val="21"/>
              </w:rPr>
              <w:t xml:space="preserve"> </w:t>
            </w:r>
            <w:r w:rsidRPr="00401C70">
              <w:rPr>
                <w:rFonts w:ascii="Abadi" w:hAnsi="Abadi" w:cs="Calibri"/>
                <w:sz w:val="21"/>
                <w:szCs w:val="21"/>
              </w:rPr>
              <w:t>representantes</w:t>
            </w:r>
            <w:r w:rsidRPr="00401C70">
              <w:rPr>
                <w:rFonts w:ascii="Abadi" w:hAnsi="Abadi" w:cs="Calibri"/>
                <w:spacing w:val="-5"/>
                <w:sz w:val="21"/>
                <w:szCs w:val="21"/>
              </w:rPr>
              <w:t xml:space="preserve"> </w:t>
            </w:r>
            <w:r w:rsidRPr="00401C70">
              <w:rPr>
                <w:rFonts w:ascii="Abadi" w:hAnsi="Abadi" w:cs="Calibri"/>
                <w:sz w:val="21"/>
                <w:szCs w:val="21"/>
              </w:rPr>
              <w:t>de</w:t>
            </w:r>
            <w:r w:rsidRPr="00401C70">
              <w:rPr>
                <w:rFonts w:ascii="Abadi" w:hAnsi="Abadi" w:cs="Calibri"/>
                <w:spacing w:val="-47"/>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sociedad</w:t>
            </w:r>
            <w:r w:rsidRPr="00401C70">
              <w:rPr>
                <w:rFonts w:ascii="Abadi" w:hAnsi="Abadi" w:cs="Calibri"/>
                <w:spacing w:val="-1"/>
                <w:sz w:val="21"/>
                <w:szCs w:val="21"/>
              </w:rPr>
              <w:t xml:space="preserve"> </w:t>
            </w:r>
            <w:r w:rsidRPr="00401C70">
              <w:rPr>
                <w:rFonts w:ascii="Abadi" w:hAnsi="Abadi" w:cs="Calibri"/>
                <w:sz w:val="21"/>
                <w:szCs w:val="21"/>
              </w:rPr>
              <w:t>organizada del</w:t>
            </w:r>
            <w:r w:rsidRPr="00401C70">
              <w:rPr>
                <w:rFonts w:ascii="Abadi" w:hAnsi="Abadi" w:cs="Calibri"/>
                <w:spacing w:val="-5"/>
                <w:sz w:val="21"/>
                <w:szCs w:val="21"/>
              </w:rPr>
              <w:t xml:space="preserve"> </w:t>
            </w:r>
            <w:r w:rsidRPr="00401C70">
              <w:rPr>
                <w:rFonts w:ascii="Abadi" w:hAnsi="Abadi" w:cs="Calibri"/>
                <w:sz w:val="21"/>
                <w:szCs w:val="21"/>
              </w:rPr>
              <w:t>Municipio.</w:t>
            </w:r>
          </w:p>
        </w:tc>
        <w:tc>
          <w:tcPr>
            <w:tcW w:w="2500" w:type="pct"/>
            <w:tcBorders>
              <w:top w:val="single" w:sz="4" w:space="0" w:color="000000"/>
              <w:left w:val="single" w:sz="4" w:space="0" w:color="000000"/>
              <w:bottom w:val="single" w:sz="4" w:space="0" w:color="000000"/>
              <w:right w:val="single" w:sz="4" w:space="0" w:color="000000"/>
            </w:tcBorders>
          </w:tcPr>
          <w:p w14:paraId="1ABE3857" w14:textId="77777777" w:rsidR="00677B7E" w:rsidRPr="00401C70" w:rsidRDefault="00677B7E" w:rsidP="00FA2590">
            <w:pPr>
              <w:kinsoku w:val="0"/>
              <w:overflowPunct w:val="0"/>
              <w:autoSpaceDE w:val="0"/>
              <w:autoSpaceDN w:val="0"/>
              <w:adjustRightInd w:val="0"/>
              <w:ind w:left="107" w:right="92"/>
              <w:jc w:val="both"/>
              <w:rPr>
                <w:rFonts w:ascii="Abadi" w:hAnsi="Abadi" w:cs="Calibri"/>
                <w:sz w:val="21"/>
                <w:szCs w:val="21"/>
              </w:rPr>
            </w:pPr>
            <w:r w:rsidRPr="00401C70">
              <w:rPr>
                <w:rFonts w:ascii="Abadi" w:hAnsi="Abadi" w:cs="Calibri"/>
                <w:b/>
                <w:bCs/>
                <w:sz w:val="21"/>
                <w:szCs w:val="21"/>
              </w:rPr>
              <w:t xml:space="preserve">Artículo 112. </w:t>
            </w:r>
            <w:r w:rsidRPr="00401C70">
              <w:rPr>
                <w:rFonts w:ascii="Abadi" w:hAnsi="Abadi" w:cs="Calibri"/>
                <w:sz w:val="21"/>
                <w:szCs w:val="21"/>
              </w:rPr>
              <w:t>Los Consejos de Planeación de</w:t>
            </w:r>
            <w:r w:rsidRPr="00401C70">
              <w:rPr>
                <w:rFonts w:ascii="Abadi" w:hAnsi="Abadi" w:cs="Calibri"/>
                <w:spacing w:val="1"/>
                <w:sz w:val="21"/>
                <w:szCs w:val="21"/>
              </w:rPr>
              <w:t xml:space="preserve"> </w:t>
            </w:r>
            <w:r w:rsidRPr="00401C70">
              <w:rPr>
                <w:rFonts w:ascii="Abadi" w:hAnsi="Abadi" w:cs="Calibri"/>
                <w:sz w:val="21"/>
                <w:szCs w:val="21"/>
              </w:rPr>
              <w:t>Desarrollo</w:t>
            </w:r>
            <w:r w:rsidRPr="00401C70">
              <w:rPr>
                <w:rFonts w:ascii="Abadi" w:hAnsi="Abadi" w:cs="Calibri"/>
                <w:spacing w:val="1"/>
                <w:sz w:val="21"/>
                <w:szCs w:val="21"/>
              </w:rPr>
              <w:t xml:space="preserve"> </w:t>
            </w:r>
            <w:r w:rsidRPr="00401C70">
              <w:rPr>
                <w:rFonts w:ascii="Abadi" w:hAnsi="Abadi" w:cs="Calibri"/>
                <w:sz w:val="21"/>
                <w:szCs w:val="21"/>
              </w:rPr>
              <w:t>Municipales</w:t>
            </w:r>
            <w:r w:rsidRPr="00401C70">
              <w:rPr>
                <w:rFonts w:ascii="Abadi" w:hAnsi="Abadi" w:cs="Calibri"/>
                <w:spacing w:val="1"/>
                <w:sz w:val="21"/>
                <w:szCs w:val="21"/>
              </w:rPr>
              <w:t xml:space="preserve"> </w:t>
            </w:r>
            <w:r w:rsidRPr="00401C70">
              <w:rPr>
                <w:rFonts w:ascii="Abadi" w:hAnsi="Abadi" w:cs="Calibri"/>
                <w:sz w:val="21"/>
                <w:szCs w:val="21"/>
              </w:rPr>
              <w:t>se</w:t>
            </w:r>
            <w:r w:rsidRPr="00401C70">
              <w:rPr>
                <w:rFonts w:ascii="Abadi" w:hAnsi="Abadi" w:cs="Calibri"/>
                <w:spacing w:val="1"/>
                <w:sz w:val="21"/>
                <w:szCs w:val="21"/>
              </w:rPr>
              <w:t xml:space="preserve"> </w:t>
            </w:r>
            <w:r w:rsidRPr="00401C70">
              <w:rPr>
                <w:rFonts w:ascii="Abadi" w:hAnsi="Abadi" w:cs="Calibri"/>
                <w:sz w:val="21"/>
                <w:szCs w:val="21"/>
              </w:rPr>
              <w:t>integrarán</w:t>
            </w:r>
            <w:r w:rsidRPr="00401C70">
              <w:rPr>
                <w:rFonts w:ascii="Abadi" w:hAnsi="Abadi" w:cs="Calibri"/>
                <w:spacing w:val="-47"/>
                <w:sz w:val="21"/>
                <w:szCs w:val="21"/>
              </w:rPr>
              <w:t xml:space="preserve"> </w:t>
            </w:r>
            <w:r w:rsidRPr="00401C70">
              <w:rPr>
                <w:rFonts w:ascii="Abadi" w:hAnsi="Abadi" w:cs="Calibri"/>
                <w:b/>
                <w:bCs/>
                <w:i/>
                <w:iCs/>
                <w:sz w:val="21"/>
                <w:szCs w:val="21"/>
              </w:rPr>
              <w:t>observando el principio de paridad de género</w:t>
            </w:r>
            <w:r w:rsidRPr="00401C70">
              <w:rPr>
                <w:rFonts w:ascii="Abadi" w:hAnsi="Abadi" w:cs="Calibri"/>
                <w:b/>
                <w:bCs/>
                <w:i/>
                <w:iCs/>
                <w:spacing w:val="1"/>
                <w:sz w:val="21"/>
                <w:szCs w:val="21"/>
              </w:rPr>
              <w:t xml:space="preserve"> </w:t>
            </w:r>
            <w:r w:rsidRPr="00401C70">
              <w:rPr>
                <w:rFonts w:ascii="Abadi" w:hAnsi="Abadi" w:cs="Calibri"/>
                <w:sz w:val="21"/>
                <w:szCs w:val="21"/>
              </w:rPr>
              <w:t>con</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participación</w:t>
            </w:r>
            <w:r w:rsidRPr="00401C70">
              <w:rPr>
                <w:rFonts w:ascii="Abadi" w:hAnsi="Abadi" w:cs="Calibri"/>
                <w:spacing w:val="1"/>
                <w:sz w:val="21"/>
                <w:szCs w:val="21"/>
              </w:rPr>
              <w:t xml:space="preserve"> </w:t>
            </w:r>
            <w:r w:rsidRPr="00401C70">
              <w:rPr>
                <w:rFonts w:ascii="Abadi" w:hAnsi="Abadi" w:cs="Calibri"/>
                <w:sz w:val="21"/>
                <w:szCs w:val="21"/>
              </w:rPr>
              <w:t>mayoritaria</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representantes</w:t>
            </w:r>
            <w:r w:rsidRPr="00401C70">
              <w:rPr>
                <w:rFonts w:ascii="Abadi" w:hAnsi="Abadi" w:cs="Calibri"/>
                <w:spacing w:val="30"/>
                <w:sz w:val="21"/>
                <w:szCs w:val="21"/>
              </w:rPr>
              <w:t xml:space="preserve"> </w:t>
            </w:r>
            <w:r w:rsidRPr="00401C70">
              <w:rPr>
                <w:rFonts w:ascii="Abadi" w:hAnsi="Abadi" w:cs="Calibri"/>
                <w:sz w:val="21"/>
                <w:szCs w:val="21"/>
              </w:rPr>
              <w:t>de</w:t>
            </w:r>
            <w:r w:rsidRPr="00401C70">
              <w:rPr>
                <w:rFonts w:ascii="Abadi" w:hAnsi="Abadi" w:cs="Calibri"/>
                <w:spacing w:val="29"/>
                <w:sz w:val="21"/>
                <w:szCs w:val="21"/>
              </w:rPr>
              <w:t xml:space="preserve"> </w:t>
            </w:r>
            <w:r w:rsidRPr="00401C70">
              <w:rPr>
                <w:rFonts w:ascii="Abadi" w:hAnsi="Abadi" w:cs="Calibri"/>
                <w:sz w:val="21"/>
                <w:szCs w:val="21"/>
              </w:rPr>
              <w:t>la</w:t>
            </w:r>
            <w:r w:rsidRPr="00401C70">
              <w:rPr>
                <w:rFonts w:ascii="Abadi" w:hAnsi="Abadi" w:cs="Calibri"/>
                <w:spacing w:val="30"/>
                <w:sz w:val="21"/>
                <w:szCs w:val="21"/>
              </w:rPr>
              <w:t xml:space="preserve"> </w:t>
            </w:r>
            <w:r w:rsidRPr="00401C70">
              <w:rPr>
                <w:rFonts w:ascii="Abadi" w:hAnsi="Abadi" w:cs="Calibri"/>
                <w:sz w:val="21"/>
                <w:szCs w:val="21"/>
              </w:rPr>
              <w:t>sociedad</w:t>
            </w:r>
            <w:r w:rsidRPr="00401C70">
              <w:rPr>
                <w:rFonts w:ascii="Abadi" w:hAnsi="Abadi" w:cs="Calibri"/>
                <w:spacing w:val="30"/>
                <w:sz w:val="21"/>
                <w:szCs w:val="21"/>
              </w:rPr>
              <w:t xml:space="preserve"> </w:t>
            </w:r>
            <w:r w:rsidRPr="00401C70">
              <w:rPr>
                <w:rFonts w:ascii="Abadi" w:hAnsi="Abadi" w:cs="Calibri"/>
                <w:sz w:val="21"/>
                <w:szCs w:val="21"/>
              </w:rPr>
              <w:t>organizada</w:t>
            </w:r>
            <w:r w:rsidRPr="00401C70">
              <w:rPr>
                <w:rFonts w:ascii="Abadi" w:hAnsi="Abadi" w:cs="Calibri"/>
                <w:spacing w:val="30"/>
                <w:sz w:val="21"/>
                <w:szCs w:val="21"/>
              </w:rPr>
              <w:t xml:space="preserve"> </w:t>
            </w:r>
            <w:r w:rsidRPr="00401C70">
              <w:rPr>
                <w:rFonts w:ascii="Abadi" w:hAnsi="Abadi" w:cs="Calibri"/>
                <w:sz w:val="21"/>
                <w:szCs w:val="21"/>
              </w:rPr>
              <w:t>del</w:t>
            </w:r>
          </w:p>
          <w:p w14:paraId="0E84105D" w14:textId="77777777" w:rsidR="00677B7E" w:rsidRPr="00401C70" w:rsidRDefault="00677B7E" w:rsidP="00FA2590">
            <w:pPr>
              <w:kinsoku w:val="0"/>
              <w:overflowPunct w:val="0"/>
              <w:autoSpaceDE w:val="0"/>
              <w:autoSpaceDN w:val="0"/>
              <w:adjustRightInd w:val="0"/>
              <w:spacing w:before="1" w:line="249" w:lineRule="exact"/>
              <w:ind w:left="107"/>
              <w:jc w:val="both"/>
              <w:rPr>
                <w:rFonts w:ascii="Abadi" w:hAnsi="Abadi" w:cs="Calibri"/>
                <w:sz w:val="21"/>
                <w:szCs w:val="21"/>
              </w:rPr>
            </w:pPr>
            <w:r w:rsidRPr="00401C70">
              <w:rPr>
                <w:rFonts w:ascii="Abadi" w:hAnsi="Abadi" w:cs="Calibri"/>
                <w:sz w:val="21"/>
                <w:szCs w:val="21"/>
              </w:rPr>
              <w:t>Municipio.</w:t>
            </w:r>
          </w:p>
        </w:tc>
      </w:tr>
      <w:tr w:rsidR="00677B7E" w:rsidRPr="00401C70" w14:paraId="7622553D" w14:textId="77777777" w:rsidTr="003343AD">
        <w:trPr>
          <w:trHeight w:val="2149"/>
        </w:trPr>
        <w:tc>
          <w:tcPr>
            <w:tcW w:w="2500" w:type="pct"/>
            <w:tcBorders>
              <w:top w:val="single" w:sz="4" w:space="0" w:color="000000"/>
              <w:left w:val="single" w:sz="4" w:space="0" w:color="000000"/>
              <w:bottom w:val="single" w:sz="4" w:space="0" w:color="000000"/>
              <w:right w:val="single" w:sz="4" w:space="0" w:color="000000"/>
            </w:tcBorders>
          </w:tcPr>
          <w:p w14:paraId="3F708C40" w14:textId="77777777" w:rsidR="00677B7E" w:rsidRPr="00401C70" w:rsidRDefault="00677B7E" w:rsidP="00FA2590">
            <w:pPr>
              <w:kinsoku w:val="0"/>
              <w:overflowPunct w:val="0"/>
              <w:autoSpaceDE w:val="0"/>
              <w:autoSpaceDN w:val="0"/>
              <w:adjustRightInd w:val="0"/>
              <w:ind w:left="107"/>
              <w:jc w:val="both"/>
              <w:rPr>
                <w:rFonts w:ascii="Abadi" w:hAnsi="Abadi" w:cs="Calibri"/>
                <w:sz w:val="21"/>
                <w:szCs w:val="21"/>
              </w:rPr>
            </w:pPr>
            <w:r w:rsidRPr="00401C70">
              <w:rPr>
                <w:rFonts w:ascii="Abadi" w:hAnsi="Abadi" w:cs="Calibri"/>
                <w:b/>
                <w:bCs/>
                <w:sz w:val="21"/>
                <w:szCs w:val="21"/>
              </w:rPr>
              <w:t>Artículo</w:t>
            </w:r>
            <w:r w:rsidRPr="00401C70">
              <w:rPr>
                <w:rFonts w:ascii="Abadi" w:hAnsi="Abadi" w:cs="Calibri"/>
                <w:b/>
                <w:bCs/>
                <w:spacing w:val="38"/>
                <w:sz w:val="21"/>
                <w:szCs w:val="21"/>
              </w:rPr>
              <w:t xml:space="preserve"> </w:t>
            </w:r>
            <w:r w:rsidRPr="00401C70">
              <w:rPr>
                <w:rFonts w:ascii="Abadi" w:hAnsi="Abadi" w:cs="Calibri"/>
                <w:b/>
                <w:bCs/>
                <w:sz w:val="21"/>
                <w:szCs w:val="21"/>
              </w:rPr>
              <w:t>113.</w:t>
            </w:r>
            <w:r w:rsidRPr="00401C70">
              <w:rPr>
                <w:rFonts w:ascii="Abadi" w:hAnsi="Abadi" w:cs="Calibri"/>
                <w:b/>
                <w:bCs/>
                <w:spacing w:val="42"/>
                <w:sz w:val="21"/>
                <w:szCs w:val="21"/>
              </w:rPr>
              <w:t xml:space="preserve"> </w:t>
            </w:r>
            <w:r w:rsidRPr="00401C70">
              <w:rPr>
                <w:rFonts w:ascii="Abadi" w:hAnsi="Abadi" w:cs="Calibri"/>
                <w:sz w:val="21"/>
                <w:szCs w:val="21"/>
              </w:rPr>
              <w:t>Los</w:t>
            </w:r>
            <w:r w:rsidRPr="00401C70">
              <w:rPr>
                <w:rFonts w:ascii="Abadi" w:hAnsi="Abadi" w:cs="Calibri"/>
                <w:spacing w:val="42"/>
                <w:sz w:val="21"/>
                <w:szCs w:val="21"/>
              </w:rPr>
              <w:t xml:space="preserve"> </w:t>
            </w:r>
            <w:r w:rsidRPr="00401C70">
              <w:rPr>
                <w:rFonts w:ascii="Abadi" w:hAnsi="Abadi" w:cs="Calibri"/>
                <w:sz w:val="21"/>
                <w:szCs w:val="21"/>
              </w:rPr>
              <w:t>Consejos</w:t>
            </w:r>
            <w:r w:rsidRPr="00401C70">
              <w:rPr>
                <w:rFonts w:ascii="Abadi" w:hAnsi="Abadi" w:cs="Calibri"/>
                <w:spacing w:val="42"/>
                <w:sz w:val="21"/>
                <w:szCs w:val="21"/>
              </w:rPr>
              <w:t xml:space="preserve"> </w:t>
            </w:r>
            <w:r w:rsidRPr="00401C70">
              <w:rPr>
                <w:rFonts w:ascii="Abadi" w:hAnsi="Abadi" w:cs="Calibri"/>
                <w:sz w:val="21"/>
                <w:szCs w:val="21"/>
              </w:rPr>
              <w:t>de</w:t>
            </w:r>
            <w:r w:rsidRPr="00401C70">
              <w:rPr>
                <w:rFonts w:ascii="Abadi" w:hAnsi="Abadi" w:cs="Calibri"/>
                <w:spacing w:val="43"/>
                <w:sz w:val="21"/>
                <w:szCs w:val="21"/>
              </w:rPr>
              <w:t xml:space="preserve"> </w:t>
            </w:r>
            <w:r w:rsidRPr="00401C70">
              <w:rPr>
                <w:rFonts w:ascii="Abadi" w:hAnsi="Abadi" w:cs="Calibri"/>
                <w:sz w:val="21"/>
                <w:szCs w:val="21"/>
              </w:rPr>
              <w:t>Planeación</w:t>
            </w:r>
            <w:r w:rsidRPr="00401C70">
              <w:rPr>
                <w:rFonts w:ascii="Abadi" w:hAnsi="Abadi" w:cs="Calibri"/>
                <w:spacing w:val="41"/>
                <w:sz w:val="21"/>
                <w:szCs w:val="21"/>
              </w:rPr>
              <w:t xml:space="preserve"> </w:t>
            </w:r>
            <w:r w:rsidRPr="00401C70">
              <w:rPr>
                <w:rFonts w:ascii="Abadi" w:hAnsi="Abadi" w:cs="Calibri"/>
                <w:sz w:val="21"/>
                <w:szCs w:val="21"/>
              </w:rPr>
              <w:t>de</w:t>
            </w:r>
            <w:r w:rsidRPr="00401C70">
              <w:rPr>
                <w:rFonts w:ascii="Abadi" w:hAnsi="Abadi" w:cs="Calibri"/>
                <w:spacing w:val="-46"/>
                <w:sz w:val="21"/>
                <w:szCs w:val="21"/>
              </w:rPr>
              <w:t xml:space="preserve"> </w:t>
            </w:r>
            <w:r w:rsidRPr="00401C70">
              <w:rPr>
                <w:rFonts w:ascii="Abadi" w:hAnsi="Abadi" w:cs="Calibri"/>
                <w:sz w:val="21"/>
                <w:szCs w:val="21"/>
              </w:rPr>
              <w:t>Desarrollo Municipales se</w:t>
            </w:r>
            <w:r w:rsidRPr="00401C70">
              <w:rPr>
                <w:rFonts w:ascii="Abadi" w:hAnsi="Abadi" w:cs="Calibri"/>
                <w:spacing w:val="-2"/>
                <w:sz w:val="21"/>
                <w:szCs w:val="21"/>
              </w:rPr>
              <w:t xml:space="preserve"> </w:t>
            </w:r>
            <w:r w:rsidRPr="00401C70">
              <w:rPr>
                <w:rFonts w:ascii="Abadi" w:hAnsi="Abadi" w:cs="Calibri"/>
                <w:sz w:val="21"/>
                <w:szCs w:val="21"/>
              </w:rPr>
              <w:t>integrarán</w:t>
            </w:r>
            <w:r w:rsidRPr="00401C70">
              <w:rPr>
                <w:rFonts w:ascii="Abadi" w:hAnsi="Abadi" w:cs="Calibri"/>
                <w:spacing w:val="-2"/>
                <w:sz w:val="21"/>
                <w:szCs w:val="21"/>
              </w:rPr>
              <w:t xml:space="preserve"> </w:t>
            </w:r>
            <w:r w:rsidRPr="00401C70">
              <w:rPr>
                <w:rFonts w:ascii="Abadi" w:hAnsi="Abadi" w:cs="Calibri"/>
                <w:sz w:val="21"/>
                <w:szCs w:val="21"/>
              </w:rPr>
              <w:t>por:</w:t>
            </w:r>
          </w:p>
          <w:p w14:paraId="5BC15062" w14:textId="77777777" w:rsidR="00677B7E" w:rsidRPr="00401C70" w:rsidRDefault="00677B7E" w:rsidP="00FA2590">
            <w:pPr>
              <w:kinsoku w:val="0"/>
              <w:overflowPunct w:val="0"/>
              <w:autoSpaceDE w:val="0"/>
              <w:autoSpaceDN w:val="0"/>
              <w:adjustRightInd w:val="0"/>
              <w:jc w:val="both"/>
              <w:rPr>
                <w:rFonts w:ascii="Abadi" w:hAnsi="Abadi"/>
                <w:sz w:val="21"/>
                <w:szCs w:val="21"/>
              </w:rPr>
            </w:pPr>
          </w:p>
          <w:p w14:paraId="2235B757" w14:textId="77777777" w:rsidR="00677B7E" w:rsidRPr="00401C70" w:rsidRDefault="00677B7E" w:rsidP="00677B7E">
            <w:pPr>
              <w:numPr>
                <w:ilvl w:val="0"/>
                <w:numId w:val="7"/>
              </w:numPr>
              <w:tabs>
                <w:tab w:val="left" w:pos="276"/>
              </w:tabs>
              <w:kinsoku w:val="0"/>
              <w:overflowPunct w:val="0"/>
              <w:autoSpaceDE w:val="0"/>
              <w:autoSpaceDN w:val="0"/>
              <w:adjustRightInd w:val="0"/>
              <w:ind w:left="275" w:hanging="169"/>
              <w:jc w:val="both"/>
              <w:rPr>
                <w:rFonts w:ascii="Abadi" w:hAnsi="Abadi" w:cs="Calibri"/>
                <w:sz w:val="21"/>
                <w:szCs w:val="21"/>
              </w:rPr>
            </w:pP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Presidente</w:t>
            </w:r>
            <w:r w:rsidRPr="00401C70">
              <w:rPr>
                <w:rFonts w:ascii="Abadi" w:hAnsi="Abadi" w:cs="Calibri"/>
                <w:spacing w:val="-3"/>
                <w:sz w:val="21"/>
                <w:szCs w:val="21"/>
              </w:rPr>
              <w:t xml:space="preserve"> </w:t>
            </w:r>
            <w:r w:rsidRPr="00401C70">
              <w:rPr>
                <w:rFonts w:ascii="Abadi" w:hAnsi="Abadi" w:cs="Calibri"/>
                <w:sz w:val="21"/>
                <w:szCs w:val="21"/>
              </w:rPr>
              <w:t>Municipal,</w:t>
            </w:r>
            <w:r w:rsidRPr="00401C70">
              <w:rPr>
                <w:rFonts w:ascii="Abadi" w:hAnsi="Abadi" w:cs="Calibri"/>
                <w:spacing w:val="-4"/>
                <w:sz w:val="21"/>
                <w:szCs w:val="21"/>
              </w:rPr>
              <w:t xml:space="preserve"> </w:t>
            </w:r>
            <w:r w:rsidRPr="00401C70">
              <w:rPr>
                <w:rFonts w:ascii="Abadi" w:hAnsi="Abadi" w:cs="Calibri"/>
                <w:sz w:val="21"/>
                <w:szCs w:val="21"/>
              </w:rPr>
              <w:t>quien</w:t>
            </w:r>
            <w:r w:rsidRPr="00401C70">
              <w:rPr>
                <w:rFonts w:ascii="Abadi" w:hAnsi="Abadi" w:cs="Calibri"/>
                <w:spacing w:val="-2"/>
                <w:sz w:val="21"/>
                <w:szCs w:val="21"/>
              </w:rPr>
              <w:t xml:space="preserve"> </w:t>
            </w:r>
            <w:r w:rsidRPr="00401C70">
              <w:rPr>
                <w:rFonts w:ascii="Abadi" w:hAnsi="Abadi" w:cs="Calibri"/>
                <w:sz w:val="21"/>
                <w:szCs w:val="21"/>
              </w:rPr>
              <w:t>lo presidirá;</w:t>
            </w:r>
          </w:p>
          <w:p w14:paraId="01C74220" w14:textId="77777777" w:rsidR="00677B7E" w:rsidRPr="00401C70" w:rsidRDefault="00677B7E" w:rsidP="00677B7E">
            <w:pPr>
              <w:numPr>
                <w:ilvl w:val="0"/>
                <w:numId w:val="7"/>
              </w:numPr>
              <w:tabs>
                <w:tab w:val="left" w:pos="454"/>
              </w:tabs>
              <w:kinsoku w:val="0"/>
              <w:overflowPunct w:val="0"/>
              <w:autoSpaceDE w:val="0"/>
              <w:autoSpaceDN w:val="0"/>
              <w:adjustRightInd w:val="0"/>
              <w:spacing w:before="2" w:line="237" w:lineRule="auto"/>
              <w:ind w:left="107" w:right="93" w:firstLine="0"/>
              <w:jc w:val="both"/>
              <w:rPr>
                <w:rFonts w:ascii="Abadi" w:hAnsi="Abadi" w:cs="Calibri"/>
                <w:sz w:val="21"/>
                <w:szCs w:val="21"/>
              </w:rPr>
            </w:pPr>
            <w:r w:rsidRPr="00401C70">
              <w:rPr>
                <w:rFonts w:ascii="Abadi" w:hAnsi="Abadi" w:cs="Calibri"/>
                <w:sz w:val="21"/>
                <w:szCs w:val="21"/>
              </w:rPr>
              <w:t>El</w:t>
            </w:r>
            <w:r w:rsidRPr="00401C70">
              <w:rPr>
                <w:rFonts w:ascii="Abadi" w:hAnsi="Abadi" w:cs="Calibri"/>
                <w:spacing w:val="15"/>
                <w:sz w:val="21"/>
                <w:szCs w:val="21"/>
              </w:rPr>
              <w:t xml:space="preserve"> </w:t>
            </w:r>
            <w:r w:rsidRPr="00401C70">
              <w:rPr>
                <w:rFonts w:ascii="Abadi" w:hAnsi="Abadi" w:cs="Calibri"/>
                <w:sz w:val="21"/>
                <w:szCs w:val="21"/>
              </w:rPr>
              <w:t>titular</w:t>
            </w:r>
            <w:r w:rsidRPr="00401C70">
              <w:rPr>
                <w:rFonts w:ascii="Abadi" w:hAnsi="Abadi" w:cs="Calibri"/>
                <w:spacing w:val="17"/>
                <w:sz w:val="21"/>
                <w:szCs w:val="21"/>
              </w:rPr>
              <w:t xml:space="preserve"> </w:t>
            </w:r>
            <w:r w:rsidRPr="00401C70">
              <w:rPr>
                <w:rFonts w:ascii="Abadi" w:hAnsi="Abadi" w:cs="Calibri"/>
                <w:sz w:val="21"/>
                <w:szCs w:val="21"/>
              </w:rPr>
              <w:t>del</w:t>
            </w:r>
            <w:r w:rsidRPr="00401C70">
              <w:rPr>
                <w:rFonts w:ascii="Abadi" w:hAnsi="Abadi" w:cs="Calibri"/>
                <w:spacing w:val="15"/>
                <w:sz w:val="21"/>
                <w:szCs w:val="21"/>
              </w:rPr>
              <w:t xml:space="preserve"> </w:t>
            </w:r>
            <w:r w:rsidRPr="00401C70">
              <w:rPr>
                <w:rFonts w:ascii="Abadi" w:hAnsi="Abadi" w:cs="Calibri"/>
                <w:sz w:val="21"/>
                <w:szCs w:val="21"/>
              </w:rPr>
              <w:t>organismo</w:t>
            </w:r>
            <w:r w:rsidRPr="00401C70">
              <w:rPr>
                <w:rFonts w:ascii="Abadi" w:hAnsi="Abadi" w:cs="Calibri"/>
                <w:spacing w:val="16"/>
                <w:sz w:val="21"/>
                <w:szCs w:val="21"/>
              </w:rPr>
              <w:t xml:space="preserve"> </w:t>
            </w:r>
            <w:r w:rsidRPr="00401C70">
              <w:rPr>
                <w:rFonts w:ascii="Abadi" w:hAnsi="Abadi" w:cs="Calibri"/>
                <w:sz w:val="21"/>
                <w:szCs w:val="21"/>
              </w:rPr>
              <w:t>municipal</w:t>
            </w:r>
            <w:r w:rsidRPr="00401C70">
              <w:rPr>
                <w:rFonts w:ascii="Abadi" w:hAnsi="Abadi" w:cs="Calibri"/>
                <w:spacing w:val="16"/>
                <w:sz w:val="21"/>
                <w:szCs w:val="21"/>
              </w:rPr>
              <w:t xml:space="preserve"> </w:t>
            </w:r>
            <w:r w:rsidRPr="00401C70">
              <w:rPr>
                <w:rFonts w:ascii="Abadi" w:hAnsi="Abadi" w:cs="Calibri"/>
                <w:sz w:val="21"/>
                <w:szCs w:val="21"/>
              </w:rPr>
              <w:t>de</w:t>
            </w:r>
            <w:r w:rsidRPr="00401C70">
              <w:rPr>
                <w:rFonts w:ascii="Abadi" w:hAnsi="Abadi" w:cs="Calibri"/>
                <w:spacing w:val="-47"/>
                <w:sz w:val="21"/>
                <w:szCs w:val="21"/>
              </w:rPr>
              <w:t xml:space="preserve"> </w:t>
            </w:r>
            <w:r w:rsidRPr="00401C70">
              <w:rPr>
                <w:rFonts w:ascii="Abadi" w:hAnsi="Abadi" w:cs="Calibri"/>
                <w:sz w:val="21"/>
                <w:szCs w:val="21"/>
              </w:rPr>
              <w:t>planeación,</w:t>
            </w:r>
            <w:r w:rsidRPr="00401C70">
              <w:rPr>
                <w:rFonts w:ascii="Abadi" w:hAnsi="Abadi" w:cs="Calibri"/>
                <w:spacing w:val="-1"/>
                <w:sz w:val="21"/>
                <w:szCs w:val="21"/>
              </w:rPr>
              <w:t xml:space="preserve"> </w:t>
            </w:r>
            <w:r w:rsidRPr="00401C70">
              <w:rPr>
                <w:rFonts w:ascii="Abadi" w:hAnsi="Abadi" w:cs="Calibri"/>
                <w:sz w:val="21"/>
                <w:szCs w:val="21"/>
              </w:rPr>
              <w:t>quien</w:t>
            </w:r>
            <w:r w:rsidRPr="00401C70">
              <w:rPr>
                <w:rFonts w:ascii="Abadi" w:hAnsi="Abadi" w:cs="Calibri"/>
                <w:spacing w:val="-3"/>
                <w:sz w:val="21"/>
                <w:szCs w:val="21"/>
              </w:rPr>
              <w:t xml:space="preserve"> </w:t>
            </w:r>
            <w:r w:rsidRPr="00401C70">
              <w:rPr>
                <w:rFonts w:ascii="Abadi" w:hAnsi="Abadi" w:cs="Calibri"/>
                <w:sz w:val="21"/>
                <w:szCs w:val="21"/>
              </w:rPr>
              <w:t>será</w:t>
            </w:r>
            <w:r w:rsidRPr="00401C70">
              <w:rPr>
                <w:rFonts w:ascii="Abadi" w:hAnsi="Abadi" w:cs="Calibri"/>
                <w:spacing w:val="-2"/>
                <w:sz w:val="21"/>
                <w:szCs w:val="21"/>
              </w:rPr>
              <w:t xml:space="preserve"> </w:t>
            </w:r>
            <w:r w:rsidRPr="00401C70">
              <w:rPr>
                <w:rFonts w:ascii="Abadi" w:hAnsi="Abadi" w:cs="Calibri"/>
                <w:sz w:val="21"/>
                <w:szCs w:val="21"/>
              </w:rPr>
              <w:t>el secretario</w:t>
            </w:r>
            <w:r w:rsidRPr="00401C70">
              <w:rPr>
                <w:rFonts w:ascii="Abadi" w:hAnsi="Abadi" w:cs="Calibri"/>
                <w:spacing w:val="-2"/>
                <w:sz w:val="21"/>
                <w:szCs w:val="21"/>
              </w:rPr>
              <w:t xml:space="preserve"> </w:t>
            </w:r>
            <w:r w:rsidRPr="00401C70">
              <w:rPr>
                <w:rFonts w:ascii="Abadi" w:hAnsi="Abadi" w:cs="Calibri"/>
                <w:sz w:val="21"/>
                <w:szCs w:val="21"/>
              </w:rPr>
              <w:t>técnico;</w:t>
            </w:r>
          </w:p>
        </w:tc>
        <w:tc>
          <w:tcPr>
            <w:tcW w:w="2500" w:type="pct"/>
            <w:tcBorders>
              <w:top w:val="single" w:sz="4" w:space="0" w:color="000000"/>
              <w:left w:val="single" w:sz="4" w:space="0" w:color="000000"/>
              <w:bottom w:val="single" w:sz="4" w:space="0" w:color="000000"/>
              <w:right w:val="single" w:sz="4" w:space="0" w:color="000000"/>
            </w:tcBorders>
          </w:tcPr>
          <w:p w14:paraId="54407DF8" w14:textId="77777777" w:rsidR="00677B7E" w:rsidRPr="00401C70" w:rsidRDefault="00677B7E" w:rsidP="00FA2590">
            <w:pPr>
              <w:kinsoku w:val="0"/>
              <w:overflowPunct w:val="0"/>
              <w:autoSpaceDE w:val="0"/>
              <w:autoSpaceDN w:val="0"/>
              <w:adjustRightInd w:val="0"/>
              <w:ind w:left="107"/>
              <w:jc w:val="both"/>
              <w:rPr>
                <w:rFonts w:ascii="Abadi" w:hAnsi="Abadi" w:cs="Calibri"/>
                <w:sz w:val="21"/>
                <w:szCs w:val="21"/>
              </w:rPr>
            </w:pPr>
            <w:r w:rsidRPr="00401C70">
              <w:rPr>
                <w:rFonts w:ascii="Abadi" w:hAnsi="Abadi" w:cs="Calibri"/>
                <w:b/>
                <w:bCs/>
                <w:sz w:val="21"/>
                <w:szCs w:val="21"/>
              </w:rPr>
              <w:t>Artículo</w:t>
            </w:r>
            <w:r w:rsidRPr="00401C70">
              <w:rPr>
                <w:rFonts w:ascii="Abadi" w:hAnsi="Abadi" w:cs="Calibri"/>
                <w:b/>
                <w:bCs/>
                <w:spacing w:val="38"/>
                <w:sz w:val="21"/>
                <w:szCs w:val="21"/>
              </w:rPr>
              <w:t xml:space="preserve"> </w:t>
            </w:r>
            <w:r w:rsidRPr="00401C70">
              <w:rPr>
                <w:rFonts w:ascii="Abadi" w:hAnsi="Abadi" w:cs="Calibri"/>
                <w:b/>
                <w:bCs/>
                <w:sz w:val="21"/>
                <w:szCs w:val="21"/>
              </w:rPr>
              <w:t>113.</w:t>
            </w:r>
            <w:r w:rsidRPr="00401C70">
              <w:rPr>
                <w:rFonts w:ascii="Abadi" w:hAnsi="Abadi" w:cs="Calibri"/>
                <w:b/>
                <w:bCs/>
                <w:spacing w:val="43"/>
                <w:sz w:val="21"/>
                <w:szCs w:val="21"/>
              </w:rPr>
              <w:t xml:space="preserve"> </w:t>
            </w:r>
            <w:r w:rsidRPr="00401C70">
              <w:rPr>
                <w:rFonts w:ascii="Abadi" w:hAnsi="Abadi" w:cs="Calibri"/>
                <w:sz w:val="21"/>
                <w:szCs w:val="21"/>
              </w:rPr>
              <w:t>Los</w:t>
            </w:r>
            <w:r w:rsidRPr="00401C70">
              <w:rPr>
                <w:rFonts w:ascii="Abadi" w:hAnsi="Abadi" w:cs="Calibri"/>
                <w:spacing w:val="42"/>
                <w:sz w:val="21"/>
                <w:szCs w:val="21"/>
              </w:rPr>
              <w:t xml:space="preserve"> </w:t>
            </w:r>
            <w:r w:rsidRPr="00401C70">
              <w:rPr>
                <w:rFonts w:ascii="Abadi" w:hAnsi="Abadi" w:cs="Calibri"/>
                <w:sz w:val="21"/>
                <w:szCs w:val="21"/>
              </w:rPr>
              <w:t>Consejos</w:t>
            </w:r>
            <w:r w:rsidRPr="00401C70">
              <w:rPr>
                <w:rFonts w:ascii="Abadi" w:hAnsi="Abadi" w:cs="Calibri"/>
                <w:spacing w:val="42"/>
                <w:sz w:val="21"/>
                <w:szCs w:val="21"/>
              </w:rPr>
              <w:t xml:space="preserve"> </w:t>
            </w:r>
            <w:r w:rsidRPr="00401C70">
              <w:rPr>
                <w:rFonts w:ascii="Abadi" w:hAnsi="Abadi" w:cs="Calibri"/>
                <w:sz w:val="21"/>
                <w:szCs w:val="21"/>
              </w:rPr>
              <w:t>de</w:t>
            </w:r>
            <w:r w:rsidRPr="00401C70">
              <w:rPr>
                <w:rFonts w:ascii="Abadi" w:hAnsi="Abadi" w:cs="Calibri"/>
                <w:spacing w:val="43"/>
                <w:sz w:val="21"/>
                <w:szCs w:val="21"/>
              </w:rPr>
              <w:t xml:space="preserve"> </w:t>
            </w:r>
            <w:r w:rsidRPr="00401C70">
              <w:rPr>
                <w:rFonts w:ascii="Abadi" w:hAnsi="Abadi" w:cs="Calibri"/>
                <w:sz w:val="21"/>
                <w:szCs w:val="21"/>
              </w:rPr>
              <w:t>Planeación</w:t>
            </w:r>
            <w:r w:rsidRPr="00401C70">
              <w:rPr>
                <w:rFonts w:ascii="Abadi" w:hAnsi="Abadi" w:cs="Calibri"/>
                <w:spacing w:val="41"/>
                <w:sz w:val="21"/>
                <w:szCs w:val="21"/>
              </w:rPr>
              <w:t xml:space="preserve"> </w:t>
            </w:r>
            <w:r w:rsidRPr="00401C70">
              <w:rPr>
                <w:rFonts w:ascii="Abadi" w:hAnsi="Abadi" w:cs="Calibri"/>
                <w:sz w:val="21"/>
                <w:szCs w:val="21"/>
              </w:rPr>
              <w:t>de</w:t>
            </w:r>
            <w:r w:rsidRPr="00401C70">
              <w:rPr>
                <w:rFonts w:ascii="Abadi" w:hAnsi="Abadi" w:cs="Calibri"/>
                <w:spacing w:val="-46"/>
                <w:sz w:val="21"/>
                <w:szCs w:val="21"/>
              </w:rPr>
              <w:t xml:space="preserve"> </w:t>
            </w:r>
            <w:r w:rsidRPr="00401C70">
              <w:rPr>
                <w:rFonts w:ascii="Abadi" w:hAnsi="Abadi" w:cs="Calibri"/>
                <w:sz w:val="21"/>
                <w:szCs w:val="21"/>
              </w:rPr>
              <w:t>Desarrollo Municipales se</w:t>
            </w:r>
            <w:r w:rsidRPr="00401C70">
              <w:rPr>
                <w:rFonts w:ascii="Abadi" w:hAnsi="Abadi" w:cs="Calibri"/>
                <w:spacing w:val="-2"/>
                <w:sz w:val="21"/>
                <w:szCs w:val="21"/>
              </w:rPr>
              <w:t xml:space="preserve"> </w:t>
            </w:r>
            <w:r w:rsidRPr="00401C70">
              <w:rPr>
                <w:rFonts w:ascii="Abadi" w:hAnsi="Abadi" w:cs="Calibri"/>
                <w:sz w:val="21"/>
                <w:szCs w:val="21"/>
              </w:rPr>
              <w:t>integrarán</w:t>
            </w:r>
            <w:r w:rsidRPr="00401C70">
              <w:rPr>
                <w:rFonts w:ascii="Abadi" w:hAnsi="Abadi" w:cs="Calibri"/>
                <w:spacing w:val="-2"/>
                <w:sz w:val="21"/>
                <w:szCs w:val="21"/>
              </w:rPr>
              <w:t xml:space="preserve"> </w:t>
            </w:r>
            <w:r w:rsidRPr="00401C70">
              <w:rPr>
                <w:rFonts w:ascii="Abadi" w:hAnsi="Abadi" w:cs="Calibri"/>
                <w:sz w:val="21"/>
                <w:szCs w:val="21"/>
              </w:rPr>
              <w:t>por:</w:t>
            </w:r>
          </w:p>
          <w:p w14:paraId="492D83B7" w14:textId="77777777" w:rsidR="00677B7E" w:rsidRPr="00401C70" w:rsidRDefault="00677B7E" w:rsidP="00FA2590">
            <w:pPr>
              <w:kinsoku w:val="0"/>
              <w:overflowPunct w:val="0"/>
              <w:autoSpaceDE w:val="0"/>
              <w:autoSpaceDN w:val="0"/>
              <w:adjustRightInd w:val="0"/>
              <w:spacing w:before="3"/>
              <w:jc w:val="both"/>
              <w:rPr>
                <w:rFonts w:ascii="Abadi" w:hAnsi="Abadi"/>
                <w:sz w:val="21"/>
                <w:szCs w:val="21"/>
              </w:rPr>
            </w:pPr>
          </w:p>
          <w:p w14:paraId="7222CE2E" w14:textId="77777777" w:rsidR="00677B7E" w:rsidRPr="00401C70" w:rsidRDefault="00677B7E" w:rsidP="00677B7E">
            <w:pPr>
              <w:numPr>
                <w:ilvl w:val="0"/>
                <w:numId w:val="9"/>
              </w:numPr>
              <w:tabs>
                <w:tab w:val="left" w:pos="320"/>
              </w:tabs>
              <w:kinsoku w:val="0"/>
              <w:overflowPunct w:val="0"/>
              <w:autoSpaceDE w:val="0"/>
              <w:autoSpaceDN w:val="0"/>
              <w:adjustRightInd w:val="0"/>
              <w:spacing w:before="1"/>
              <w:ind w:left="107" w:right="94" w:firstLine="0"/>
              <w:jc w:val="both"/>
              <w:rPr>
                <w:rFonts w:ascii="Abadi" w:hAnsi="Abadi" w:cs="Calibri"/>
                <w:sz w:val="21"/>
                <w:szCs w:val="21"/>
              </w:rPr>
            </w:pPr>
            <w:r w:rsidRPr="00401C70">
              <w:rPr>
                <w:rFonts w:ascii="Abadi" w:hAnsi="Abadi" w:cs="Calibri"/>
                <w:b/>
                <w:bCs/>
                <w:i/>
                <w:iCs/>
                <w:sz w:val="21"/>
                <w:szCs w:val="21"/>
              </w:rPr>
              <w:t>La</w:t>
            </w:r>
            <w:r w:rsidRPr="00401C70">
              <w:rPr>
                <w:rFonts w:ascii="Abadi" w:hAnsi="Abadi" w:cs="Calibri"/>
                <w:b/>
                <w:bCs/>
                <w:i/>
                <w:iCs/>
                <w:spacing w:val="36"/>
                <w:sz w:val="21"/>
                <w:szCs w:val="21"/>
              </w:rPr>
              <w:t xml:space="preserve"> </w:t>
            </w:r>
            <w:r w:rsidRPr="00401C70">
              <w:rPr>
                <w:rFonts w:ascii="Abadi" w:hAnsi="Abadi" w:cs="Calibri"/>
                <w:b/>
                <w:bCs/>
                <w:i/>
                <w:iCs/>
                <w:sz w:val="21"/>
                <w:szCs w:val="21"/>
              </w:rPr>
              <w:t>persona</w:t>
            </w:r>
            <w:r w:rsidRPr="00401C70">
              <w:rPr>
                <w:rFonts w:ascii="Abadi" w:hAnsi="Abadi" w:cs="Calibri"/>
                <w:b/>
                <w:bCs/>
                <w:i/>
                <w:iCs/>
                <w:spacing w:val="39"/>
                <w:sz w:val="21"/>
                <w:szCs w:val="21"/>
              </w:rPr>
              <w:t xml:space="preserve"> </w:t>
            </w:r>
            <w:r w:rsidRPr="00401C70">
              <w:rPr>
                <w:rFonts w:ascii="Abadi" w:hAnsi="Abadi" w:cs="Calibri"/>
                <w:b/>
                <w:bCs/>
                <w:i/>
                <w:iCs/>
                <w:sz w:val="21"/>
                <w:szCs w:val="21"/>
              </w:rPr>
              <w:t>Presidenta</w:t>
            </w:r>
            <w:r w:rsidRPr="00401C70">
              <w:rPr>
                <w:rFonts w:ascii="Abadi" w:hAnsi="Abadi" w:cs="Calibri"/>
                <w:b/>
                <w:bCs/>
                <w:i/>
                <w:iCs/>
                <w:spacing w:val="40"/>
                <w:sz w:val="21"/>
                <w:szCs w:val="21"/>
              </w:rPr>
              <w:t xml:space="preserve"> </w:t>
            </w:r>
            <w:r w:rsidRPr="00401C70">
              <w:rPr>
                <w:rFonts w:ascii="Abadi" w:hAnsi="Abadi" w:cs="Calibri"/>
                <w:sz w:val="21"/>
                <w:szCs w:val="21"/>
              </w:rPr>
              <w:t>Municipal,</w:t>
            </w:r>
            <w:r w:rsidRPr="00401C70">
              <w:rPr>
                <w:rFonts w:ascii="Abadi" w:hAnsi="Abadi" w:cs="Calibri"/>
                <w:spacing w:val="38"/>
                <w:sz w:val="21"/>
                <w:szCs w:val="21"/>
              </w:rPr>
              <w:t xml:space="preserve"> </w:t>
            </w:r>
            <w:r w:rsidRPr="00401C70">
              <w:rPr>
                <w:rFonts w:ascii="Abadi" w:hAnsi="Abadi" w:cs="Calibri"/>
                <w:sz w:val="21"/>
                <w:szCs w:val="21"/>
              </w:rPr>
              <w:t>quien</w:t>
            </w:r>
            <w:r w:rsidRPr="00401C70">
              <w:rPr>
                <w:rFonts w:ascii="Abadi" w:hAnsi="Abadi" w:cs="Calibri"/>
                <w:spacing w:val="38"/>
                <w:sz w:val="21"/>
                <w:szCs w:val="21"/>
              </w:rPr>
              <w:t xml:space="preserve"> </w:t>
            </w:r>
            <w:r w:rsidRPr="00401C70">
              <w:rPr>
                <w:rFonts w:ascii="Abadi" w:hAnsi="Abadi" w:cs="Calibri"/>
                <w:sz w:val="21"/>
                <w:szCs w:val="21"/>
              </w:rPr>
              <w:t>lo</w:t>
            </w:r>
            <w:r w:rsidRPr="00401C70">
              <w:rPr>
                <w:rFonts w:ascii="Abadi" w:hAnsi="Abadi" w:cs="Calibri"/>
                <w:spacing w:val="-47"/>
                <w:sz w:val="21"/>
                <w:szCs w:val="21"/>
              </w:rPr>
              <w:t xml:space="preserve"> </w:t>
            </w:r>
            <w:r w:rsidRPr="00401C70">
              <w:rPr>
                <w:rFonts w:ascii="Abadi" w:hAnsi="Abadi" w:cs="Calibri"/>
                <w:sz w:val="21"/>
                <w:szCs w:val="21"/>
              </w:rPr>
              <w:t>presidirá;</w:t>
            </w:r>
          </w:p>
          <w:p w14:paraId="3C4CBE96" w14:textId="77777777" w:rsidR="00677B7E" w:rsidRPr="00401C70" w:rsidRDefault="00677B7E" w:rsidP="00677B7E">
            <w:pPr>
              <w:numPr>
                <w:ilvl w:val="0"/>
                <w:numId w:val="9"/>
              </w:numPr>
              <w:tabs>
                <w:tab w:val="left" w:pos="356"/>
              </w:tabs>
              <w:kinsoku w:val="0"/>
              <w:overflowPunct w:val="0"/>
              <w:autoSpaceDE w:val="0"/>
              <w:autoSpaceDN w:val="0"/>
              <w:adjustRightInd w:val="0"/>
              <w:spacing w:before="2" w:line="237" w:lineRule="auto"/>
              <w:ind w:left="107" w:right="93" w:firstLine="0"/>
              <w:jc w:val="both"/>
              <w:rPr>
                <w:rFonts w:ascii="Abadi" w:hAnsi="Abadi" w:cs="Calibri"/>
                <w:b/>
                <w:bCs/>
                <w:i/>
                <w:iCs/>
                <w:sz w:val="21"/>
                <w:szCs w:val="21"/>
              </w:rPr>
            </w:pPr>
            <w:r w:rsidRPr="00401C70">
              <w:rPr>
                <w:rFonts w:ascii="Abadi" w:hAnsi="Abadi" w:cs="Calibri"/>
                <w:b/>
                <w:bCs/>
                <w:i/>
                <w:iCs/>
                <w:sz w:val="21"/>
                <w:szCs w:val="21"/>
              </w:rPr>
              <w:t>La</w:t>
            </w:r>
            <w:r w:rsidRPr="00401C70">
              <w:rPr>
                <w:rFonts w:ascii="Abadi" w:hAnsi="Abadi" w:cs="Calibri"/>
                <w:b/>
                <w:bCs/>
                <w:i/>
                <w:iCs/>
                <w:spacing w:val="16"/>
                <w:sz w:val="21"/>
                <w:szCs w:val="21"/>
              </w:rPr>
              <w:t xml:space="preserve"> </w:t>
            </w:r>
            <w:r w:rsidRPr="00401C70">
              <w:rPr>
                <w:rFonts w:ascii="Abadi" w:hAnsi="Abadi" w:cs="Calibri"/>
                <w:b/>
                <w:bCs/>
                <w:i/>
                <w:iCs/>
                <w:sz w:val="21"/>
                <w:szCs w:val="21"/>
              </w:rPr>
              <w:t>persona</w:t>
            </w:r>
            <w:r w:rsidRPr="00401C70">
              <w:rPr>
                <w:rFonts w:ascii="Abadi" w:hAnsi="Abadi" w:cs="Calibri"/>
                <w:b/>
                <w:bCs/>
                <w:i/>
                <w:iCs/>
                <w:spacing w:val="16"/>
                <w:sz w:val="21"/>
                <w:szCs w:val="21"/>
              </w:rPr>
              <w:t xml:space="preserve"> </w:t>
            </w:r>
            <w:r w:rsidRPr="00401C70">
              <w:rPr>
                <w:rFonts w:ascii="Abadi" w:hAnsi="Abadi" w:cs="Calibri"/>
                <w:b/>
                <w:bCs/>
                <w:i/>
                <w:iCs/>
                <w:sz w:val="21"/>
                <w:szCs w:val="21"/>
              </w:rPr>
              <w:t>titular</w:t>
            </w:r>
            <w:r w:rsidRPr="00401C70">
              <w:rPr>
                <w:rFonts w:ascii="Abadi" w:hAnsi="Abadi" w:cs="Calibri"/>
                <w:b/>
                <w:bCs/>
                <w:i/>
                <w:iCs/>
                <w:spacing w:val="18"/>
                <w:sz w:val="21"/>
                <w:szCs w:val="21"/>
              </w:rPr>
              <w:t xml:space="preserve"> </w:t>
            </w:r>
            <w:r w:rsidRPr="00401C70">
              <w:rPr>
                <w:rFonts w:ascii="Abadi" w:hAnsi="Abadi" w:cs="Calibri"/>
                <w:sz w:val="21"/>
                <w:szCs w:val="21"/>
              </w:rPr>
              <w:t>del</w:t>
            </w:r>
            <w:r w:rsidRPr="00401C70">
              <w:rPr>
                <w:rFonts w:ascii="Abadi" w:hAnsi="Abadi" w:cs="Calibri"/>
                <w:spacing w:val="15"/>
                <w:sz w:val="21"/>
                <w:szCs w:val="21"/>
              </w:rPr>
              <w:t xml:space="preserve"> </w:t>
            </w:r>
            <w:r w:rsidRPr="00401C70">
              <w:rPr>
                <w:rFonts w:ascii="Abadi" w:hAnsi="Abadi" w:cs="Calibri"/>
                <w:sz w:val="21"/>
                <w:szCs w:val="21"/>
              </w:rPr>
              <w:t>organismo</w:t>
            </w:r>
            <w:r w:rsidRPr="00401C70">
              <w:rPr>
                <w:rFonts w:ascii="Abadi" w:hAnsi="Abadi" w:cs="Calibri"/>
                <w:spacing w:val="16"/>
                <w:sz w:val="21"/>
                <w:szCs w:val="21"/>
              </w:rPr>
              <w:t xml:space="preserve"> </w:t>
            </w:r>
            <w:r w:rsidRPr="00401C70">
              <w:rPr>
                <w:rFonts w:ascii="Abadi" w:hAnsi="Abadi" w:cs="Calibri"/>
                <w:sz w:val="21"/>
                <w:szCs w:val="21"/>
              </w:rPr>
              <w:t>municipal</w:t>
            </w:r>
            <w:r w:rsidRPr="00401C70">
              <w:rPr>
                <w:rFonts w:ascii="Abadi" w:hAnsi="Abadi" w:cs="Calibri"/>
                <w:spacing w:val="-47"/>
                <w:sz w:val="21"/>
                <w:szCs w:val="21"/>
              </w:rPr>
              <w:t xml:space="preserve"> </w:t>
            </w:r>
            <w:r w:rsidRPr="00401C70">
              <w:rPr>
                <w:rFonts w:ascii="Abadi" w:hAnsi="Abadi" w:cs="Calibri"/>
                <w:sz w:val="21"/>
                <w:szCs w:val="21"/>
              </w:rPr>
              <w:t>de</w:t>
            </w:r>
            <w:r w:rsidRPr="00401C70">
              <w:rPr>
                <w:rFonts w:ascii="Abadi" w:hAnsi="Abadi" w:cs="Calibri"/>
                <w:spacing w:val="16"/>
                <w:sz w:val="21"/>
                <w:szCs w:val="21"/>
              </w:rPr>
              <w:t xml:space="preserve"> </w:t>
            </w:r>
            <w:r w:rsidRPr="00401C70">
              <w:rPr>
                <w:rFonts w:ascii="Abadi" w:hAnsi="Abadi" w:cs="Calibri"/>
                <w:sz w:val="21"/>
                <w:szCs w:val="21"/>
              </w:rPr>
              <w:t>planeación,</w:t>
            </w:r>
            <w:r w:rsidRPr="00401C70">
              <w:rPr>
                <w:rFonts w:ascii="Abadi" w:hAnsi="Abadi" w:cs="Calibri"/>
                <w:spacing w:val="16"/>
                <w:sz w:val="21"/>
                <w:szCs w:val="21"/>
              </w:rPr>
              <w:t xml:space="preserve"> </w:t>
            </w:r>
            <w:r w:rsidRPr="00401C70">
              <w:rPr>
                <w:rFonts w:ascii="Abadi" w:hAnsi="Abadi" w:cs="Calibri"/>
                <w:sz w:val="21"/>
                <w:szCs w:val="21"/>
              </w:rPr>
              <w:t>quien</w:t>
            </w:r>
            <w:r w:rsidRPr="00401C70">
              <w:rPr>
                <w:rFonts w:ascii="Abadi" w:hAnsi="Abadi" w:cs="Calibri"/>
                <w:spacing w:val="15"/>
                <w:sz w:val="21"/>
                <w:szCs w:val="21"/>
              </w:rPr>
              <w:t xml:space="preserve"> </w:t>
            </w:r>
            <w:r w:rsidRPr="00401C70">
              <w:rPr>
                <w:rFonts w:ascii="Abadi" w:hAnsi="Abadi" w:cs="Calibri"/>
                <w:b/>
                <w:bCs/>
                <w:i/>
                <w:iCs/>
                <w:sz w:val="21"/>
                <w:szCs w:val="21"/>
              </w:rPr>
              <w:t>ocupará</w:t>
            </w:r>
            <w:r w:rsidRPr="00401C70">
              <w:rPr>
                <w:rFonts w:ascii="Abadi" w:hAnsi="Abadi" w:cs="Calibri"/>
                <w:b/>
                <w:bCs/>
                <w:i/>
                <w:iCs/>
                <w:spacing w:val="16"/>
                <w:sz w:val="21"/>
                <w:szCs w:val="21"/>
              </w:rPr>
              <w:t xml:space="preserve"> </w:t>
            </w:r>
            <w:r w:rsidRPr="00401C70">
              <w:rPr>
                <w:rFonts w:ascii="Abadi" w:hAnsi="Abadi" w:cs="Calibri"/>
                <w:b/>
                <w:bCs/>
                <w:i/>
                <w:iCs/>
                <w:sz w:val="21"/>
                <w:szCs w:val="21"/>
              </w:rPr>
              <w:t>la</w:t>
            </w:r>
            <w:r w:rsidRPr="00401C70">
              <w:rPr>
                <w:rFonts w:ascii="Abadi" w:hAnsi="Abadi" w:cs="Calibri"/>
                <w:b/>
                <w:bCs/>
                <w:i/>
                <w:iCs/>
                <w:spacing w:val="16"/>
                <w:sz w:val="21"/>
                <w:szCs w:val="21"/>
              </w:rPr>
              <w:t xml:space="preserve"> </w:t>
            </w:r>
            <w:r w:rsidRPr="00401C70">
              <w:rPr>
                <w:rFonts w:ascii="Abadi" w:hAnsi="Abadi" w:cs="Calibri"/>
                <w:b/>
                <w:bCs/>
                <w:i/>
                <w:iCs/>
                <w:sz w:val="21"/>
                <w:szCs w:val="21"/>
              </w:rPr>
              <w:t>Secretaría</w:t>
            </w:r>
          </w:p>
          <w:p w14:paraId="67384E57" w14:textId="77777777" w:rsidR="00677B7E" w:rsidRPr="00401C70" w:rsidRDefault="00677B7E" w:rsidP="00FA2590">
            <w:pPr>
              <w:kinsoku w:val="0"/>
              <w:overflowPunct w:val="0"/>
              <w:autoSpaceDE w:val="0"/>
              <w:autoSpaceDN w:val="0"/>
              <w:adjustRightInd w:val="0"/>
              <w:spacing w:before="2" w:line="252" w:lineRule="exact"/>
              <w:ind w:left="107"/>
              <w:jc w:val="both"/>
              <w:rPr>
                <w:rFonts w:ascii="Abadi" w:hAnsi="Abadi" w:cs="Calibri"/>
                <w:sz w:val="21"/>
                <w:szCs w:val="21"/>
              </w:rPr>
            </w:pPr>
            <w:r w:rsidRPr="00401C70">
              <w:rPr>
                <w:rFonts w:ascii="Abadi" w:hAnsi="Abadi" w:cs="Calibri"/>
                <w:b/>
                <w:bCs/>
                <w:i/>
                <w:iCs/>
                <w:sz w:val="21"/>
                <w:szCs w:val="21"/>
              </w:rPr>
              <w:t>Técnica</w:t>
            </w:r>
            <w:r w:rsidRPr="00401C70">
              <w:rPr>
                <w:rFonts w:ascii="Abadi" w:hAnsi="Abadi" w:cs="Calibri"/>
                <w:sz w:val="21"/>
                <w:szCs w:val="21"/>
              </w:rPr>
              <w:t>;</w:t>
            </w:r>
          </w:p>
        </w:tc>
      </w:tr>
    </w:tbl>
    <w:p w14:paraId="1E2D0C1C" w14:textId="77777777" w:rsidR="00677B7E" w:rsidRPr="00401C70" w:rsidRDefault="00677B7E" w:rsidP="00677B7E">
      <w:pPr>
        <w:kinsoku w:val="0"/>
        <w:overflowPunct w:val="0"/>
        <w:autoSpaceDE w:val="0"/>
        <w:autoSpaceDN w:val="0"/>
        <w:adjustRightInd w:val="0"/>
        <w:spacing w:line="75" w:lineRule="exact"/>
        <w:ind w:left="7192"/>
        <w:jc w:val="both"/>
        <w:rPr>
          <w:rFonts w:ascii="Abadi" w:hAnsi="Abadi"/>
          <w:position w:val="-2"/>
          <w:sz w:val="21"/>
          <w:szCs w:val="21"/>
        </w:rPr>
      </w:pPr>
      <w:r w:rsidRPr="00401C70">
        <w:rPr>
          <w:rFonts w:ascii="Abadi" w:hAnsi="Abadi"/>
          <w:noProof/>
          <w:position w:val="-2"/>
          <w:sz w:val="21"/>
          <w:szCs w:val="21"/>
        </w:rPr>
        <w:drawing>
          <wp:inline distT="0" distB="0" distL="0" distR="0" wp14:anchorId="0399BCF0" wp14:editId="3BF1FFBB">
            <wp:extent cx="1045845" cy="51435"/>
            <wp:effectExtent l="0" t="0" r="1905" b="571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45845" cy="51435"/>
                    </a:xfrm>
                    <a:prstGeom prst="rect">
                      <a:avLst/>
                    </a:prstGeom>
                    <a:noFill/>
                    <a:ln>
                      <a:noFill/>
                    </a:ln>
                  </pic:spPr>
                </pic:pic>
              </a:graphicData>
            </a:graphic>
          </wp:inline>
        </w:drawing>
      </w:r>
    </w:p>
    <w:p w14:paraId="413646E5" w14:textId="77777777" w:rsidR="00677B7E" w:rsidRPr="00401C70" w:rsidRDefault="00677B7E" w:rsidP="00677B7E">
      <w:pPr>
        <w:kinsoku w:val="0"/>
        <w:overflowPunct w:val="0"/>
        <w:autoSpaceDE w:val="0"/>
        <w:autoSpaceDN w:val="0"/>
        <w:adjustRightInd w:val="0"/>
        <w:spacing w:before="6"/>
        <w:jc w:val="both"/>
        <w:rPr>
          <w:rFonts w:ascii="Abadi" w:hAnsi="Abadi"/>
          <w:sz w:val="21"/>
          <w:szCs w:val="21"/>
        </w:rPr>
      </w:pPr>
    </w:p>
    <w:tbl>
      <w:tblPr>
        <w:tblW w:w="5000" w:type="pct"/>
        <w:tblCellMar>
          <w:left w:w="0" w:type="dxa"/>
          <w:right w:w="0" w:type="dxa"/>
        </w:tblCellMar>
        <w:tblLook w:val="0000" w:firstRow="0" w:lastRow="0" w:firstColumn="0" w:lastColumn="0" w:noHBand="0" w:noVBand="0"/>
      </w:tblPr>
      <w:tblGrid>
        <w:gridCol w:w="2050"/>
        <w:gridCol w:w="2051"/>
      </w:tblGrid>
      <w:tr w:rsidR="00677B7E" w:rsidRPr="00401C70" w14:paraId="2E9DBB96" w14:textId="77777777" w:rsidTr="003343AD">
        <w:trPr>
          <w:trHeight w:val="8595"/>
        </w:trPr>
        <w:tc>
          <w:tcPr>
            <w:tcW w:w="2500" w:type="pct"/>
            <w:tcBorders>
              <w:top w:val="single" w:sz="4" w:space="0" w:color="000000"/>
              <w:left w:val="single" w:sz="4" w:space="0" w:color="000000"/>
              <w:bottom w:val="single" w:sz="4" w:space="0" w:color="000000"/>
              <w:right w:val="single" w:sz="4" w:space="0" w:color="000000"/>
            </w:tcBorders>
          </w:tcPr>
          <w:p w14:paraId="5A4A85EC" w14:textId="77777777" w:rsidR="00677B7E" w:rsidRPr="00401C70" w:rsidRDefault="00677B7E" w:rsidP="00677B7E">
            <w:pPr>
              <w:numPr>
                <w:ilvl w:val="0"/>
                <w:numId w:val="7"/>
              </w:numPr>
              <w:tabs>
                <w:tab w:val="left" w:pos="389"/>
              </w:tabs>
              <w:kinsoku w:val="0"/>
              <w:overflowPunct w:val="0"/>
              <w:autoSpaceDE w:val="0"/>
              <w:autoSpaceDN w:val="0"/>
              <w:adjustRightInd w:val="0"/>
              <w:ind w:left="107" w:right="94" w:firstLine="0"/>
              <w:jc w:val="both"/>
              <w:rPr>
                <w:rFonts w:ascii="Abadi" w:hAnsi="Abadi" w:cs="Calibri"/>
                <w:sz w:val="21"/>
                <w:szCs w:val="21"/>
              </w:rPr>
            </w:pPr>
            <w:r w:rsidRPr="00401C70">
              <w:rPr>
                <w:rFonts w:ascii="Abadi" w:hAnsi="Abadi" w:cs="Calibri"/>
                <w:sz w:val="21"/>
                <w:szCs w:val="21"/>
              </w:rPr>
              <w:t>El</w:t>
            </w:r>
            <w:r w:rsidRPr="00401C70">
              <w:rPr>
                <w:rFonts w:ascii="Abadi" w:hAnsi="Abadi" w:cs="Calibri"/>
                <w:spacing w:val="-6"/>
                <w:sz w:val="21"/>
                <w:szCs w:val="21"/>
              </w:rPr>
              <w:t xml:space="preserve"> </w:t>
            </w:r>
            <w:r w:rsidRPr="00401C70">
              <w:rPr>
                <w:rFonts w:ascii="Abadi" w:hAnsi="Abadi" w:cs="Calibri"/>
                <w:sz w:val="21"/>
                <w:szCs w:val="21"/>
              </w:rPr>
              <w:t>presidente</w:t>
            </w:r>
            <w:r w:rsidRPr="00401C70">
              <w:rPr>
                <w:rFonts w:ascii="Abadi" w:hAnsi="Abadi" w:cs="Calibri"/>
                <w:spacing w:val="-5"/>
                <w:sz w:val="21"/>
                <w:szCs w:val="21"/>
              </w:rPr>
              <w:t xml:space="preserve"> </w:t>
            </w:r>
            <w:r w:rsidRPr="00401C70">
              <w:rPr>
                <w:rFonts w:ascii="Abadi" w:hAnsi="Abadi" w:cs="Calibri"/>
                <w:sz w:val="21"/>
                <w:szCs w:val="21"/>
              </w:rPr>
              <w:t>de</w:t>
            </w:r>
            <w:r w:rsidRPr="00401C70">
              <w:rPr>
                <w:rFonts w:ascii="Abadi" w:hAnsi="Abadi" w:cs="Calibri"/>
                <w:spacing w:val="-5"/>
                <w:sz w:val="21"/>
                <w:szCs w:val="21"/>
              </w:rPr>
              <w:t xml:space="preserve"> </w:t>
            </w:r>
            <w:r w:rsidRPr="00401C70">
              <w:rPr>
                <w:rFonts w:ascii="Abadi" w:hAnsi="Abadi" w:cs="Calibri"/>
                <w:sz w:val="21"/>
                <w:szCs w:val="21"/>
              </w:rPr>
              <w:t>la</w:t>
            </w:r>
            <w:r w:rsidRPr="00401C70">
              <w:rPr>
                <w:rFonts w:ascii="Abadi" w:hAnsi="Abadi" w:cs="Calibri"/>
                <w:spacing w:val="-8"/>
                <w:sz w:val="21"/>
                <w:szCs w:val="21"/>
              </w:rPr>
              <w:t xml:space="preserve"> </w:t>
            </w:r>
            <w:r w:rsidRPr="00401C70">
              <w:rPr>
                <w:rFonts w:ascii="Abadi" w:hAnsi="Abadi" w:cs="Calibri"/>
                <w:sz w:val="21"/>
                <w:szCs w:val="21"/>
              </w:rPr>
              <w:t>comisión</w:t>
            </w:r>
            <w:r w:rsidRPr="00401C70">
              <w:rPr>
                <w:rFonts w:ascii="Abadi" w:hAnsi="Abadi" w:cs="Calibri"/>
                <w:spacing w:val="-6"/>
                <w:sz w:val="21"/>
                <w:szCs w:val="21"/>
              </w:rPr>
              <w:t xml:space="preserve"> </w:t>
            </w:r>
            <w:r w:rsidRPr="00401C70">
              <w:rPr>
                <w:rFonts w:ascii="Abadi" w:hAnsi="Abadi" w:cs="Calibri"/>
                <w:sz w:val="21"/>
                <w:szCs w:val="21"/>
              </w:rPr>
              <w:t>anual</w:t>
            </w:r>
            <w:r w:rsidRPr="00401C70">
              <w:rPr>
                <w:rFonts w:ascii="Abadi" w:hAnsi="Abadi" w:cs="Calibri"/>
                <w:spacing w:val="-5"/>
                <w:sz w:val="21"/>
                <w:szCs w:val="21"/>
              </w:rPr>
              <w:t xml:space="preserve"> </w:t>
            </w:r>
            <w:r w:rsidRPr="00401C70">
              <w:rPr>
                <w:rFonts w:ascii="Abadi" w:hAnsi="Abadi" w:cs="Calibri"/>
                <w:sz w:val="21"/>
                <w:szCs w:val="21"/>
              </w:rPr>
              <w:t>de</w:t>
            </w:r>
            <w:r w:rsidRPr="00401C70">
              <w:rPr>
                <w:rFonts w:ascii="Abadi" w:hAnsi="Abadi" w:cs="Calibri"/>
                <w:spacing w:val="-7"/>
                <w:sz w:val="21"/>
                <w:szCs w:val="21"/>
              </w:rPr>
              <w:t xml:space="preserve"> </w:t>
            </w:r>
            <w:r w:rsidRPr="00401C70">
              <w:rPr>
                <w:rFonts w:ascii="Abadi" w:hAnsi="Abadi" w:cs="Calibri"/>
                <w:sz w:val="21"/>
                <w:szCs w:val="21"/>
              </w:rPr>
              <w:t>Medio</w:t>
            </w:r>
            <w:r w:rsidRPr="00401C70">
              <w:rPr>
                <w:rFonts w:ascii="Abadi" w:hAnsi="Abadi" w:cs="Calibri"/>
                <w:spacing w:val="-47"/>
                <w:sz w:val="21"/>
                <w:szCs w:val="21"/>
              </w:rPr>
              <w:t xml:space="preserve"> </w:t>
            </w:r>
            <w:r w:rsidRPr="00401C70">
              <w:rPr>
                <w:rFonts w:ascii="Abadi" w:hAnsi="Abadi" w:cs="Calibri"/>
                <w:sz w:val="21"/>
                <w:szCs w:val="21"/>
              </w:rPr>
              <w:t>Ambiente;</w:t>
            </w:r>
          </w:p>
          <w:p w14:paraId="78009A8E" w14:textId="77777777" w:rsidR="00677B7E" w:rsidRPr="00401C70" w:rsidRDefault="00677B7E" w:rsidP="00677B7E">
            <w:pPr>
              <w:numPr>
                <w:ilvl w:val="0"/>
                <w:numId w:val="7"/>
              </w:numPr>
              <w:tabs>
                <w:tab w:val="left" w:pos="437"/>
              </w:tabs>
              <w:kinsoku w:val="0"/>
              <w:overflowPunct w:val="0"/>
              <w:autoSpaceDE w:val="0"/>
              <w:autoSpaceDN w:val="0"/>
              <w:adjustRightInd w:val="0"/>
              <w:ind w:left="107" w:right="91" w:firstLine="0"/>
              <w:jc w:val="both"/>
              <w:rPr>
                <w:rFonts w:ascii="Abadi" w:hAnsi="Abadi" w:cs="Calibri"/>
                <w:sz w:val="21"/>
                <w:szCs w:val="21"/>
              </w:rPr>
            </w:pPr>
            <w:r w:rsidRPr="00401C70">
              <w:rPr>
                <w:rFonts w:ascii="Abadi" w:hAnsi="Abadi" w:cs="Calibri"/>
                <w:sz w:val="21"/>
                <w:szCs w:val="21"/>
              </w:rPr>
              <w:t>Representantes de la sociedad organizada</w:t>
            </w:r>
            <w:r w:rsidRPr="00401C70">
              <w:rPr>
                <w:rFonts w:ascii="Abadi" w:hAnsi="Abadi" w:cs="Calibri"/>
                <w:spacing w:val="1"/>
                <w:sz w:val="21"/>
                <w:szCs w:val="21"/>
              </w:rPr>
              <w:t xml:space="preserve"> </w:t>
            </w:r>
            <w:r w:rsidRPr="00401C70">
              <w:rPr>
                <w:rFonts w:ascii="Abadi" w:hAnsi="Abadi" w:cs="Calibri"/>
                <w:sz w:val="21"/>
                <w:szCs w:val="21"/>
              </w:rPr>
              <w:t>que participen en las comisiones de trabajo,</w:t>
            </w:r>
            <w:r w:rsidRPr="00401C70">
              <w:rPr>
                <w:rFonts w:ascii="Abadi" w:hAnsi="Abadi" w:cs="Calibri"/>
                <w:spacing w:val="1"/>
                <w:sz w:val="21"/>
                <w:szCs w:val="21"/>
              </w:rPr>
              <w:t xml:space="preserve"> </w:t>
            </w:r>
            <w:r w:rsidRPr="00401C70">
              <w:rPr>
                <w:rFonts w:ascii="Abadi" w:hAnsi="Abadi" w:cs="Calibri"/>
                <w:sz w:val="21"/>
                <w:szCs w:val="21"/>
              </w:rPr>
              <w:t>designados</w:t>
            </w:r>
            <w:r w:rsidRPr="00401C70">
              <w:rPr>
                <w:rFonts w:ascii="Abadi" w:hAnsi="Abadi" w:cs="Calibri"/>
                <w:spacing w:val="1"/>
                <w:sz w:val="21"/>
                <w:szCs w:val="21"/>
              </w:rPr>
              <w:t xml:space="preserve"> </w:t>
            </w:r>
            <w:r w:rsidRPr="00401C70">
              <w:rPr>
                <w:rFonts w:ascii="Abadi" w:hAnsi="Abadi" w:cs="Calibri"/>
                <w:sz w:val="21"/>
                <w:szCs w:val="21"/>
              </w:rPr>
              <w:t>en</w:t>
            </w:r>
            <w:r w:rsidRPr="00401C70">
              <w:rPr>
                <w:rFonts w:ascii="Abadi" w:hAnsi="Abadi" w:cs="Calibri"/>
                <w:spacing w:val="1"/>
                <w:sz w:val="21"/>
                <w:szCs w:val="21"/>
              </w:rPr>
              <w:t xml:space="preserve"> </w:t>
            </w: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términos</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señale</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reglamento;</w:t>
            </w:r>
          </w:p>
          <w:p w14:paraId="4A362209" w14:textId="77777777" w:rsidR="00677B7E" w:rsidRPr="00401C70" w:rsidRDefault="00677B7E" w:rsidP="00677B7E">
            <w:pPr>
              <w:numPr>
                <w:ilvl w:val="0"/>
                <w:numId w:val="7"/>
              </w:numPr>
              <w:tabs>
                <w:tab w:val="left" w:pos="351"/>
              </w:tabs>
              <w:kinsoku w:val="0"/>
              <w:overflowPunct w:val="0"/>
              <w:autoSpaceDE w:val="0"/>
              <w:autoSpaceDN w:val="0"/>
              <w:adjustRightInd w:val="0"/>
              <w:ind w:left="107" w:right="93" w:firstLine="0"/>
              <w:jc w:val="both"/>
              <w:rPr>
                <w:rFonts w:ascii="Abadi" w:hAnsi="Abadi" w:cs="Calibri"/>
                <w:sz w:val="21"/>
                <w:szCs w:val="21"/>
              </w:rPr>
            </w:pPr>
            <w:r w:rsidRPr="00401C70">
              <w:rPr>
                <w:rFonts w:ascii="Abadi" w:hAnsi="Abadi" w:cs="Calibri"/>
                <w:sz w:val="21"/>
                <w:szCs w:val="21"/>
              </w:rPr>
              <w:t>Los funcionarios municipales que acuerde el</w:t>
            </w:r>
            <w:r w:rsidRPr="00401C70">
              <w:rPr>
                <w:rFonts w:ascii="Abadi" w:hAnsi="Abadi" w:cs="Calibri"/>
                <w:spacing w:val="-47"/>
                <w:sz w:val="21"/>
                <w:szCs w:val="21"/>
              </w:rPr>
              <w:t xml:space="preserve"> </w:t>
            </w:r>
            <w:r w:rsidRPr="00401C70">
              <w:rPr>
                <w:rFonts w:ascii="Abadi" w:hAnsi="Abadi" w:cs="Calibri"/>
                <w:sz w:val="21"/>
                <w:szCs w:val="21"/>
              </w:rPr>
              <w:t>Ayuntamiento;</w:t>
            </w:r>
            <w:r w:rsidRPr="00401C70">
              <w:rPr>
                <w:rFonts w:ascii="Abadi" w:hAnsi="Abadi" w:cs="Calibri"/>
                <w:spacing w:val="-2"/>
                <w:sz w:val="21"/>
                <w:szCs w:val="21"/>
              </w:rPr>
              <w:t xml:space="preserve"> </w:t>
            </w:r>
            <w:r w:rsidRPr="00401C70">
              <w:rPr>
                <w:rFonts w:ascii="Abadi" w:hAnsi="Abadi" w:cs="Calibri"/>
                <w:sz w:val="21"/>
                <w:szCs w:val="21"/>
              </w:rPr>
              <w:t>y</w:t>
            </w:r>
          </w:p>
          <w:p w14:paraId="19C49534" w14:textId="77777777" w:rsidR="00677B7E" w:rsidRPr="00401C70" w:rsidRDefault="00677B7E" w:rsidP="00677B7E">
            <w:pPr>
              <w:numPr>
                <w:ilvl w:val="0"/>
                <w:numId w:val="7"/>
              </w:numPr>
              <w:tabs>
                <w:tab w:val="left" w:pos="607"/>
              </w:tabs>
              <w:kinsoku w:val="0"/>
              <w:overflowPunct w:val="0"/>
              <w:autoSpaceDE w:val="0"/>
              <w:autoSpaceDN w:val="0"/>
              <w:adjustRightInd w:val="0"/>
              <w:spacing w:before="1"/>
              <w:ind w:left="107" w:right="93" w:firstLine="0"/>
              <w:jc w:val="both"/>
              <w:rPr>
                <w:rFonts w:ascii="Abadi" w:hAnsi="Abadi" w:cs="Calibri"/>
                <w:sz w:val="21"/>
                <w:szCs w:val="21"/>
              </w:rPr>
            </w:pP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funcionarios</w:t>
            </w:r>
            <w:r w:rsidRPr="00401C70">
              <w:rPr>
                <w:rFonts w:ascii="Abadi" w:hAnsi="Abadi" w:cs="Calibri"/>
                <w:spacing w:val="1"/>
                <w:sz w:val="21"/>
                <w:szCs w:val="21"/>
              </w:rPr>
              <w:t xml:space="preserve"> </w:t>
            </w:r>
            <w:r w:rsidRPr="00401C70">
              <w:rPr>
                <w:rFonts w:ascii="Abadi" w:hAnsi="Abadi" w:cs="Calibri"/>
                <w:sz w:val="21"/>
                <w:szCs w:val="21"/>
              </w:rPr>
              <w:t>estatales</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47"/>
                <w:sz w:val="21"/>
                <w:szCs w:val="21"/>
              </w:rPr>
              <w:t xml:space="preserve"> </w:t>
            </w:r>
            <w:r w:rsidRPr="00401C70">
              <w:rPr>
                <w:rFonts w:ascii="Abadi" w:hAnsi="Abadi" w:cs="Calibri"/>
                <w:sz w:val="21"/>
                <w:szCs w:val="21"/>
              </w:rPr>
              <w:t>Ayuntamiento</w:t>
            </w:r>
            <w:r w:rsidRPr="00401C70">
              <w:rPr>
                <w:rFonts w:ascii="Abadi" w:hAnsi="Abadi" w:cs="Calibri"/>
                <w:spacing w:val="-2"/>
                <w:sz w:val="21"/>
                <w:szCs w:val="21"/>
              </w:rPr>
              <w:t xml:space="preserve"> </w:t>
            </w:r>
            <w:r w:rsidRPr="00401C70">
              <w:rPr>
                <w:rFonts w:ascii="Abadi" w:hAnsi="Abadi" w:cs="Calibri"/>
                <w:sz w:val="21"/>
                <w:szCs w:val="21"/>
              </w:rPr>
              <w:t>invite</w:t>
            </w:r>
            <w:r w:rsidRPr="00401C70">
              <w:rPr>
                <w:rFonts w:ascii="Abadi" w:hAnsi="Abadi" w:cs="Calibri"/>
                <w:spacing w:val="1"/>
                <w:sz w:val="21"/>
                <w:szCs w:val="21"/>
              </w:rPr>
              <w:t xml:space="preserve"> </w:t>
            </w:r>
            <w:r w:rsidRPr="00401C70">
              <w:rPr>
                <w:rFonts w:ascii="Abadi" w:hAnsi="Abadi" w:cs="Calibri"/>
                <w:sz w:val="21"/>
                <w:szCs w:val="21"/>
              </w:rPr>
              <w:t>a participar.</w:t>
            </w:r>
          </w:p>
          <w:p w14:paraId="259CAEE1" w14:textId="77777777" w:rsidR="00677B7E" w:rsidRPr="00401C70" w:rsidRDefault="00677B7E" w:rsidP="00FA2590">
            <w:pPr>
              <w:kinsoku w:val="0"/>
              <w:overflowPunct w:val="0"/>
              <w:autoSpaceDE w:val="0"/>
              <w:autoSpaceDN w:val="0"/>
              <w:adjustRightInd w:val="0"/>
              <w:jc w:val="both"/>
              <w:rPr>
                <w:rFonts w:ascii="Abadi" w:hAnsi="Abadi"/>
                <w:sz w:val="21"/>
                <w:szCs w:val="21"/>
              </w:rPr>
            </w:pPr>
          </w:p>
          <w:p w14:paraId="06EDB00E" w14:textId="77777777" w:rsidR="00677B7E" w:rsidRPr="00401C70" w:rsidRDefault="00677B7E" w:rsidP="00FA2590">
            <w:pPr>
              <w:kinsoku w:val="0"/>
              <w:overflowPunct w:val="0"/>
              <w:autoSpaceDE w:val="0"/>
              <w:autoSpaceDN w:val="0"/>
              <w:adjustRightInd w:val="0"/>
              <w:ind w:left="107" w:right="90"/>
              <w:jc w:val="both"/>
              <w:rPr>
                <w:rFonts w:ascii="Abadi" w:hAnsi="Abadi" w:cs="Calibri"/>
                <w:sz w:val="21"/>
                <w:szCs w:val="21"/>
              </w:rPr>
            </w:pPr>
            <w:r w:rsidRPr="00401C70">
              <w:rPr>
                <w:rFonts w:ascii="Abadi" w:hAnsi="Abadi" w:cs="Calibri"/>
                <w:sz w:val="21"/>
                <w:szCs w:val="21"/>
              </w:rPr>
              <w:t>En</w:t>
            </w:r>
            <w:r w:rsidRPr="00401C70">
              <w:rPr>
                <w:rFonts w:ascii="Abadi" w:hAnsi="Abadi" w:cs="Calibri"/>
                <w:spacing w:val="1"/>
                <w:sz w:val="21"/>
                <w:szCs w:val="21"/>
              </w:rPr>
              <w:t xml:space="preserve"> </w:t>
            </w: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municipios</w:t>
            </w:r>
            <w:r w:rsidRPr="00401C70">
              <w:rPr>
                <w:rFonts w:ascii="Abadi" w:hAnsi="Abadi" w:cs="Calibri"/>
                <w:spacing w:val="1"/>
                <w:sz w:val="21"/>
                <w:szCs w:val="21"/>
              </w:rPr>
              <w:t xml:space="preserve"> </w:t>
            </w:r>
            <w:r w:rsidRPr="00401C70">
              <w:rPr>
                <w:rFonts w:ascii="Abadi" w:hAnsi="Abadi" w:cs="Calibri"/>
                <w:sz w:val="21"/>
                <w:szCs w:val="21"/>
              </w:rPr>
              <w:t>donde</w:t>
            </w:r>
            <w:r w:rsidRPr="00401C70">
              <w:rPr>
                <w:rFonts w:ascii="Abadi" w:hAnsi="Abadi" w:cs="Calibri"/>
                <w:spacing w:val="1"/>
                <w:sz w:val="21"/>
                <w:szCs w:val="21"/>
              </w:rPr>
              <w:t xml:space="preserve"> </w:t>
            </w:r>
            <w:r w:rsidRPr="00401C70">
              <w:rPr>
                <w:rFonts w:ascii="Abadi" w:hAnsi="Abadi" w:cs="Calibri"/>
                <w:sz w:val="21"/>
                <w:szCs w:val="21"/>
              </w:rPr>
              <w:t>se</w:t>
            </w:r>
            <w:r w:rsidRPr="00401C70">
              <w:rPr>
                <w:rFonts w:ascii="Abadi" w:hAnsi="Abadi" w:cs="Calibri"/>
                <w:spacing w:val="1"/>
                <w:sz w:val="21"/>
                <w:szCs w:val="21"/>
              </w:rPr>
              <w:t xml:space="preserve"> </w:t>
            </w:r>
            <w:r w:rsidRPr="00401C70">
              <w:rPr>
                <w:rFonts w:ascii="Abadi" w:hAnsi="Abadi" w:cs="Calibri"/>
                <w:sz w:val="21"/>
                <w:szCs w:val="21"/>
              </w:rPr>
              <w:t>encuentren</w:t>
            </w:r>
            <w:r w:rsidRPr="00401C70">
              <w:rPr>
                <w:rFonts w:ascii="Abadi" w:hAnsi="Abadi" w:cs="Calibri"/>
                <w:spacing w:val="1"/>
                <w:sz w:val="21"/>
                <w:szCs w:val="21"/>
              </w:rPr>
              <w:t xml:space="preserve"> </w:t>
            </w:r>
            <w:r w:rsidRPr="00401C70">
              <w:rPr>
                <w:rFonts w:ascii="Abadi" w:hAnsi="Abadi" w:cs="Calibri"/>
                <w:sz w:val="21"/>
                <w:szCs w:val="21"/>
              </w:rPr>
              <w:t>asentados</w:t>
            </w:r>
            <w:r w:rsidRPr="00401C70">
              <w:rPr>
                <w:rFonts w:ascii="Abadi" w:hAnsi="Abadi" w:cs="Calibri"/>
                <w:spacing w:val="-7"/>
                <w:sz w:val="21"/>
                <w:szCs w:val="21"/>
              </w:rPr>
              <w:t xml:space="preserve"> </w:t>
            </w:r>
            <w:r w:rsidRPr="00401C70">
              <w:rPr>
                <w:rFonts w:ascii="Abadi" w:hAnsi="Abadi" w:cs="Calibri"/>
                <w:sz w:val="21"/>
                <w:szCs w:val="21"/>
              </w:rPr>
              <w:t>pueblos</w:t>
            </w:r>
            <w:r w:rsidRPr="00401C70">
              <w:rPr>
                <w:rFonts w:ascii="Abadi" w:hAnsi="Abadi" w:cs="Calibri"/>
                <w:spacing w:val="-6"/>
                <w:sz w:val="21"/>
                <w:szCs w:val="21"/>
              </w:rPr>
              <w:t xml:space="preserve"> </w:t>
            </w:r>
            <w:r w:rsidRPr="00401C70">
              <w:rPr>
                <w:rFonts w:ascii="Abadi" w:hAnsi="Abadi" w:cs="Calibri"/>
                <w:sz w:val="21"/>
                <w:szCs w:val="21"/>
              </w:rPr>
              <w:t>y</w:t>
            </w:r>
            <w:r w:rsidRPr="00401C70">
              <w:rPr>
                <w:rFonts w:ascii="Abadi" w:hAnsi="Abadi" w:cs="Calibri"/>
                <w:spacing w:val="-5"/>
                <w:sz w:val="21"/>
                <w:szCs w:val="21"/>
              </w:rPr>
              <w:t xml:space="preserve"> </w:t>
            </w:r>
            <w:r w:rsidRPr="00401C70">
              <w:rPr>
                <w:rFonts w:ascii="Abadi" w:hAnsi="Abadi" w:cs="Calibri"/>
                <w:sz w:val="21"/>
                <w:szCs w:val="21"/>
              </w:rPr>
              <w:t>comunidades</w:t>
            </w:r>
            <w:r w:rsidRPr="00401C70">
              <w:rPr>
                <w:rFonts w:ascii="Abadi" w:hAnsi="Abadi" w:cs="Calibri"/>
                <w:spacing w:val="-5"/>
                <w:sz w:val="21"/>
                <w:szCs w:val="21"/>
              </w:rPr>
              <w:t xml:space="preserve"> </w:t>
            </w:r>
            <w:r w:rsidRPr="00401C70">
              <w:rPr>
                <w:rFonts w:ascii="Abadi" w:hAnsi="Abadi" w:cs="Calibri"/>
                <w:sz w:val="21"/>
                <w:szCs w:val="21"/>
              </w:rPr>
              <w:t>indígenas</w:t>
            </w:r>
            <w:r w:rsidRPr="00401C70">
              <w:rPr>
                <w:rFonts w:ascii="Abadi" w:hAnsi="Abadi" w:cs="Calibri"/>
                <w:spacing w:val="-7"/>
                <w:sz w:val="21"/>
                <w:szCs w:val="21"/>
              </w:rPr>
              <w:t xml:space="preserve"> </w:t>
            </w:r>
            <w:r w:rsidRPr="00401C70">
              <w:rPr>
                <w:rFonts w:ascii="Abadi" w:hAnsi="Abadi" w:cs="Calibri"/>
                <w:sz w:val="21"/>
                <w:szCs w:val="21"/>
              </w:rPr>
              <w:t>se</w:t>
            </w:r>
            <w:r w:rsidRPr="00401C70">
              <w:rPr>
                <w:rFonts w:ascii="Abadi" w:hAnsi="Abadi" w:cs="Calibri"/>
                <w:spacing w:val="-47"/>
                <w:sz w:val="21"/>
                <w:szCs w:val="21"/>
              </w:rPr>
              <w:t xml:space="preserve"> </w:t>
            </w:r>
            <w:r w:rsidRPr="00401C70">
              <w:rPr>
                <w:rFonts w:ascii="Abadi" w:hAnsi="Abadi" w:cs="Calibri"/>
                <w:sz w:val="21"/>
                <w:szCs w:val="21"/>
              </w:rPr>
              <w:t>integrará</w:t>
            </w:r>
            <w:r w:rsidRPr="00401C70">
              <w:rPr>
                <w:rFonts w:ascii="Abadi" w:hAnsi="Abadi" w:cs="Calibri"/>
                <w:spacing w:val="1"/>
                <w:sz w:val="21"/>
                <w:szCs w:val="21"/>
              </w:rPr>
              <w:t xml:space="preserve"> </w:t>
            </w:r>
            <w:r w:rsidRPr="00401C70">
              <w:rPr>
                <w:rFonts w:ascii="Abadi" w:hAnsi="Abadi" w:cs="Calibri"/>
                <w:sz w:val="21"/>
                <w:szCs w:val="21"/>
              </w:rPr>
              <w:t>al</w:t>
            </w:r>
            <w:r w:rsidRPr="00401C70">
              <w:rPr>
                <w:rFonts w:ascii="Abadi" w:hAnsi="Abadi" w:cs="Calibri"/>
                <w:spacing w:val="1"/>
                <w:sz w:val="21"/>
                <w:szCs w:val="21"/>
              </w:rPr>
              <w:t xml:space="preserve"> </w:t>
            </w:r>
            <w:r w:rsidRPr="00401C70">
              <w:rPr>
                <w:rFonts w:ascii="Abadi" w:hAnsi="Abadi" w:cs="Calibri"/>
                <w:sz w:val="21"/>
                <w:szCs w:val="21"/>
              </w:rPr>
              <w:t>Consejo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Planeación</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Desarrollo</w:t>
            </w:r>
            <w:r w:rsidRPr="00401C70">
              <w:rPr>
                <w:rFonts w:ascii="Abadi" w:hAnsi="Abadi" w:cs="Calibri"/>
                <w:spacing w:val="1"/>
                <w:sz w:val="21"/>
                <w:szCs w:val="21"/>
              </w:rPr>
              <w:t xml:space="preserve"> </w:t>
            </w:r>
            <w:r w:rsidRPr="00401C70">
              <w:rPr>
                <w:rFonts w:ascii="Abadi" w:hAnsi="Abadi" w:cs="Calibri"/>
                <w:sz w:val="21"/>
                <w:szCs w:val="21"/>
              </w:rPr>
              <w:t>Municipal,</w:t>
            </w:r>
            <w:r w:rsidRPr="00401C70">
              <w:rPr>
                <w:rFonts w:ascii="Abadi" w:hAnsi="Abadi" w:cs="Calibri"/>
                <w:spacing w:val="1"/>
                <w:sz w:val="21"/>
                <w:szCs w:val="21"/>
              </w:rPr>
              <w:t xml:space="preserve"> </w:t>
            </w:r>
            <w:r w:rsidRPr="00401C70">
              <w:rPr>
                <w:rFonts w:ascii="Abadi" w:hAnsi="Abadi" w:cs="Calibri"/>
                <w:sz w:val="21"/>
                <w:szCs w:val="21"/>
              </w:rPr>
              <w:t>un</w:t>
            </w:r>
            <w:r w:rsidRPr="00401C70">
              <w:rPr>
                <w:rFonts w:ascii="Abadi" w:hAnsi="Abadi" w:cs="Calibri"/>
                <w:spacing w:val="1"/>
                <w:sz w:val="21"/>
                <w:szCs w:val="21"/>
              </w:rPr>
              <w:t xml:space="preserve"> </w:t>
            </w:r>
            <w:r w:rsidRPr="00401C70">
              <w:rPr>
                <w:rFonts w:ascii="Abadi" w:hAnsi="Abadi" w:cs="Calibri"/>
                <w:sz w:val="21"/>
                <w:szCs w:val="21"/>
              </w:rPr>
              <w:t>representante</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pacing w:val="-1"/>
                <w:sz w:val="21"/>
                <w:szCs w:val="21"/>
              </w:rPr>
              <w:t>haya</w:t>
            </w:r>
            <w:r w:rsidRPr="00401C70">
              <w:rPr>
                <w:rFonts w:ascii="Abadi" w:hAnsi="Abadi" w:cs="Calibri"/>
                <w:spacing w:val="-9"/>
                <w:sz w:val="21"/>
                <w:szCs w:val="21"/>
              </w:rPr>
              <w:t xml:space="preserve"> </w:t>
            </w:r>
            <w:r w:rsidRPr="00401C70">
              <w:rPr>
                <w:rFonts w:ascii="Abadi" w:hAnsi="Abadi" w:cs="Calibri"/>
                <w:spacing w:val="-1"/>
                <w:sz w:val="21"/>
                <w:szCs w:val="21"/>
              </w:rPr>
              <w:t>sido</w:t>
            </w:r>
            <w:r w:rsidRPr="00401C70">
              <w:rPr>
                <w:rFonts w:ascii="Abadi" w:hAnsi="Abadi" w:cs="Calibri"/>
                <w:spacing w:val="-7"/>
                <w:sz w:val="21"/>
                <w:szCs w:val="21"/>
              </w:rPr>
              <w:t xml:space="preserve"> </w:t>
            </w:r>
            <w:r w:rsidRPr="00401C70">
              <w:rPr>
                <w:rFonts w:ascii="Abadi" w:hAnsi="Abadi" w:cs="Calibri"/>
                <w:spacing w:val="-1"/>
                <w:sz w:val="21"/>
                <w:szCs w:val="21"/>
              </w:rPr>
              <w:t>designado</w:t>
            </w:r>
            <w:r w:rsidRPr="00401C70">
              <w:rPr>
                <w:rFonts w:ascii="Abadi" w:hAnsi="Abadi" w:cs="Calibri"/>
                <w:spacing w:val="-7"/>
                <w:sz w:val="21"/>
                <w:szCs w:val="21"/>
              </w:rPr>
              <w:t xml:space="preserve"> </w:t>
            </w:r>
            <w:r w:rsidRPr="00401C70">
              <w:rPr>
                <w:rFonts w:ascii="Abadi" w:hAnsi="Abadi" w:cs="Calibri"/>
                <w:sz w:val="21"/>
                <w:szCs w:val="21"/>
              </w:rPr>
              <w:t>por</w:t>
            </w:r>
            <w:r w:rsidRPr="00401C70">
              <w:rPr>
                <w:rFonts w:ascii="Abadi" w:hAnsi="Abadi" w:cs="Calibri"/>
                <w:spacing w:val="-12"/>
                <w:sz w:val="21"/>
                <w:szCs w:val="21"/>
              </w:rPr>
              <w:t xml:space="preserve"> </w:t>
            </w:r>
            <w:r w:rsidRPr="00401C70">
              <w:rPr>
                <w:rFonts w:ascii="Abadi" w:hAnsi="Abadi" w:cs="Calibri"/>
                <w:sz w:val="21"/>
                <w:szCs w:val="21"/>
              </w:rPr>
              <w:t>el</w:t>
            </w:r>
            <w:r w:rsidRPr="00401C70">
              <w:rPr>
                <w:rFonts w:ascii="Abadi" w:hAnsi="Abadi" w:cs="Calibri"/>
                <w:spacing w:val="-11"/>
                <w:sz w:val="21"/>
                <w:szCs w:val="21"/>
              </w:rPr>
              <w:t xml:space="preserve"> </w:t>
            </w:r>
            <w:r w:rsidRPr="00401C70">
              <w:rPr>
                <w:rFonts w:ascii="Abadi" w:hAnsi="Abadi" w:cs="Calibri"/>
                <w:sz w:val="21"/>
                <w:szCs w:val="21"/>
              </w:rPr>
              <w:t>pueblo</w:t>
            </w:r>
            <w:r w:rsidRPr="00401C70">
              <w:rPr>
                <w:rFonts w:ascii="Abadi" w:hAnsi="Abadi" w:cs="Calibri"/>
                <w:spacing w:val="-10"/>
                <w:sz w:val="21"/>
                <w:szCs w:val="21"/>
              </w:rPr>
              <w:t xml:space="preserve"> </w:t>
            </w:r>
            <w:r w:rsidRPr="00401C70">
              <w:rPr>
                <w:rFonts w:ascii="Abadi" w:hAnsi="Abadi" w:cs="Calibri"/>
                <w:sz w:val="21"/>
                <w:szCs w:val="21"/>
              </w:rPr>
              <w:t>o</w:t>
            </w:r>
            <w:r w:rsidRPr="00401C70">
              <w:rPr>
                <w:rFonts w:ascii="Abadi" w:hAnsi="Abadi" w:cs="Calibri"/>
                <w:spacing w:val="-11"/>
                <w:sz w:val="21"/>
                <w:szCs w:val="21"/>
              </w:rPr>
              <w:t xml:space="preserve"> </w:t>
            </w:r>
            <w:r w:rsidRPr="00401C70">
              <w:rPr>
                <w:rFonts w:ascii="Abadi" w:hAnsi="Abadi" w:cs="Calibri"/>
                <w:sz w:val="21"/>
                <w:szCs w:val="21"/>
              </w:rPr>
              <w:t>comunidad</w:t>
            </w:r>
            <w:r w:rsidRPr="00401C70">
              <w:rPr>
                <w:rFonts w:ascii="Abadi" w:hAnsi="Abadi" w:cs="Calibri"/>
                <w:spacing w:val="-47"/>
                <w:sz w:val="21"/>
                <w:szCs w:val="21"/>
              </w:rPr>
              <w:t xml:space="preserve"> </w:t>
            </w:r>
            <w:r w:rsidRPr="00401C70">
              <w:rPr>
                <w:rFonts w:ascii="Abadi" w:hAnsi="Abadi" w:cs="Calibri"/>
                <w:sz w:val="21"/>
                <w:szCs w:val="21"/>
              </w:rPr>
              <w:t>indígena, ante el</w:t>
            </w:r>
            <w:r w:rsidRPr="00401C70">
              <w:rPr>
                <w:rFonts w:ascii="Abadi" w:hAnsi="Abadi" w:cs="Calibri"/>
                <w:spacing w:val="-4"/>
                <w:sz w:val="21"/>
                <w:szCs w:val="21"/>
              </w:rPr>
              <w:t xml:space="preserve"> </w:t>
            </w:r>
            <w:r w:rsidRPr="00401C70">
              <w:rPr>
                <w:rFonts w:ascii="Abadi" w:hAnsi="Abadi" w:cs="Calibri"/>
                <w:sz w:val="21"/>
                <w:szCs w:val="21"/>
              </w:rPr>
              <w:t>Ayuntamiento.</w:t>
            </w:r>
          </w:p>
          <w:p w14:paraId="6787B30B" w14:textId="77777777" w:rsidR="00677B7E" w:rsidRPr="00401C70" w:rsidRDefault="00677B7E" w:rsidP="00FA2590">
            <w:pPr>
              <w:kinsoku w:val="0"/>
              <w:overflowPunct w:val="0"/>
              <w:autoSpaceDE w:val="0"/>
              <w:autoSpaceDN w:val="0"/>
              <w:adjustRightInd w:val="0"/>
              <w:jc w:val="both"/>
              <w:rPr>
                <w:rFonts w:ascii="Abadi" w:hAnsi="Abadi"/>
                <w:sz w:val="21"/>
                <w:szCs w:val="21"/>
              </w:rPr>
            </w:pPr>
          </w:p>
          <w:p w14:paraId="5BECA268" w14:textId="77777777" w:rsidR="00677B7E" w:rsidRPr="00401C70" w:rsidRDefault="00677B7E" w:rsidP="00FA2590">
            <w:pPr>
              <w:kinsoku w:val="0"/>
              <w:overflowPunct w:val="0"/>
              <w:autoSpaceDE w:val="0"/>
              <w:autoSpaceDN w:val="0"/>
              <w:adjustRightInd w:val="0"/>
              <w:ind w:left="107" w:right="93"/>
              <w:jc w:val="both"/>
              <w:rPr>
                <w:rFonts w:ascii="Abadi" w:hAnsi="Abadi" w:cs="Calibri"/>
                <w:sz w:val="21"/>
                <w:szCs w:val="21"/>
              </w:rPr>
            </w:pPr>
            <w:r w:rsidRPr="00401C70">
              <w:rPr>
                <w:rFonts w:ascii="Abadi" w:hAnsi="Abadi" w:cs="Calibri"/>
                <w:sz w:val="21"/>
                <w:szCs w:val="21"/>
              </w:rPr>
              <w:t>Cuando el Municipio forme parte de un área</w:t>
            </w:r>
            <w:r w:rsidRPr="00401C70">
              <w:rPr>
                <w:rFonts w:ascii="Abadi" w:hAnsi="Abadi" w:cs="Calibri"/>
                <w:spacing w:val="1"/>
                <w:sz w:val="21"/>
                <w:szCs w:val="21"/>
              </w:rPr>
              <w:t xml:space="preserve"> </w:t>
            </w:r>
            <w:r w:rsidRPr="00401C70">
              <w:rPr>
                <w:rFonts w:ascii="Abadi" w:hAnsi="Abadi" w:cs="Calibri"/>
                <w:sz w:val="21"/>
                <w:szCs w:val="21"/>
              </w:rPr>
              <w:t>conurbada o zona metropolitana se invitará a</w:t>
            </w:r>
            <w:r w:rsidRPr="00401C70">
              <w:rPr>
                <w:rFonts w:ascii="Abadi" w:hAnsi="Abadi" w:cs="Calibri"/>
                <w:spacing w:val="1"/>
                <w:sz w:val="21"/>
                <w:szCs w:val="21"/>
              </w:rPr>
              <w:t xml:space="preserve"> </w:t>
            </w:r>
            <w:r w:rsidRPr="00401C70">
              <w:rPr>
                <w:rFonts w:ascii="Abadi" w:hAnsi="Abadi" w:cs="Calibri"/>
                <w:sz w:val="21"/>
                <w:szCs w:val="21"/>
              </w:rPr>
              <w:t>un</w:t>
            </w:r>
            <w:r w:rsidRPr="00401C70">
              <w:rPr>
                <w:rFonts w:ascii="Abadi" w:hAnsi="Abadi" w:cs="Calibri"/>
                <w:spacing w:val="-2"/>
                <w:sz w:val="21"/>
                <w:szCs w:val="21"/>
              </w:rPr>
              <w:t xml:space="preserve"> </w:t>
            </w:r>
            <w:r w:rsidRPr="00401C70">
              <w:rPr>
                <w:rFonts w:ascii="Abadi" w:hAnsi="Abadi" w:cs="Calibri"/>
                <w:sz w:val="21"/>
                <w:szCs w:val="21"/>
              </w:rPr>
              <w:t>representante de</w:t>
            </w:r>
            <w:r w:rsidRPr="00401C70">
              <w:rPr>
                <w:rFonts w:ascii="Abadi" w:hAnsi="Abadi" w:cs="Calibri"/>
                <w:spacing w:val="-4"/>
                <w:sz w:val="21"/>
                <w:szCs w:val="21"/>
              </w:rPr>
              <w:t xml:space="preserve"> </w:t>
            </w:r>
            <w:r w:rsidRPr="00401C70">
              <w:rPr>
                <w:rFonts w:ascii="Abadi" w:hAnsi="Abadi" w:cs="Calibri"/>
                <w:sz w:val="21"/>
                <w:szCs w:val="21"/>
              </w:rPr>
              <w:t>la comisión</w:t>
            </w:r>
            <w:r w:rsidRPr="00401C70">
              <w:rPr>
                <w:rFonts w:ascii="Abadi" w:hAnsi="Abadi" w:cs="Calibri"/>
                <w:spacing w:val="-5"/>
                <w:sz w:val="21"/>
                <w:szCs w:val="21"/>
              </w:rPr>
              <w:t xml:space="preserve"> </w:t>
            </w:r>
            <w:r w:rsidRPr="00401C70">
              <w:rPr>
                <w:rFonts w:ascii="Abadi" w:hAnsi="Abadi" w:cs="Calibri"/>
                <w:sz w:val="21"/>
                <w:szCs w:val="21"/>
              </w:rPr>
              <w:t>respectiva.</w:t>
            </w:r>
          </w:p>
          <w:p w14:paraId="201F61D3" w14:textId="77777777" w:rsidR="00677B7E" w:rsidRPr="00401C70" w:rsidRDefault="00677B7E" w:rsidP="00FA2590">
            <w:pPr>
              <w:kinsoku w:val="0"/>
              <w:overflowPunct w:val="0"/>
              <w:autoSpaceDE w:val="0"/>
              <w:autoSpaceDN w:val="0"/>
              <w:adjustRightInd w:val="0"/>
              <w:spacing w:before="4"/>
              <w:jc w:val="both"/>
              <w:rPr>
                <w:rFonts w:ascii="Abadi" w:hAnsi="Abadi"/>
                <w:sz w:val="21"/>
                <w:szCs w:val="21"/>
              </w:rPr>
            </w:pPr>
          </w:p>
          <w:p w14:paraId="6EF8A0A9" w14:textId="77777777" w:rsidR="00677B7E" w:rsidRPr="00401C70" w:rsidRDefault="00677B7E" w:rsidP="00FA2590">
            <w:pPr>
              <w:kinsoku w:val="0"/>
              <w:overflowPunct w:val="0"/>
              <w:autoSpaceDE w:val="0"/>
              <w:autoSpaceDN w:val="0"/>
              <w:adjustRightInd w:val="0"/>
              <w:spacing w:line="270" w:lineRule="atLeast"/>
              <w:ind w:left="107" w:right="94"/>
              <w:jc w:val="both"/>
              <w:rPr>
                <w:rFonts w:ascii="Abadi" w:hAnsi="Abadi" w:cs="Calibri"/>
                <w:sz w:val="21"/>
                <w:szCs w:val="21"/>
              </w:rPr>
            </w:pPr>
            <w:r w:rsidRPr="00401C70">
              <w:rPr>
                <w:rFonts w:ascii="Abadi" w:hAnsi="Abadi" w:cs="Calibri"/>
                <w:sz w:val="21"/>
                <w:szCs w:val="21"/>
              </w:rPr>
              <w:t>Los cargos de quienes integran los Consejos de</w:t>
            </w:r>
            <w:r w:rsidRPr="00401C70">
              <w:rPr>
                <w:rFonts w:ascii="Abadi" w:hAnsi="Abadi" w:cs="Calibri"/>
                <w:spacing w:val="-47"/>
                <w:sz w:val="21"/>
                <w:szCs w:val="21"/>
              </w:rPr>
              <w:t xml:space="preserve"> </w:t>
            </w:r>
            <w:r w:rsidRPr="00401C70">
              <w:rPr>
                <w:rFonts w:ascii="Abadi" w:hAnsi="Abadi" w:cs="Calibri"/>
                <w:sz w:val="21"/>
                <w:szCs w:val="21"/>
              </w:rPr>
              <w:t>Planeación</w:t>
            </w:r>
            <w:r w:rsidRPr="00401C70">
              <w:rPr>
                <w:rFonts w:ascii="Abadi" w:hAnsi="Abadi" w:cs="Calibri"/>
                <w:spacing w:val="-7"/>
                <w:sz w:val="21"/>
                <w:szCs w:val="21"/>
              </w:rPr>
              <w:t xml:space="preserve"> </w:t>
            </w:r>
            <w:r w:rsidRPr="00401C70">
              <w:rPr>
                <w:rFonts w:ascii="Abadi" w:hAnsi="Abadi" w:cs="Calibri"/>
                <w:sz w:val="21"/>
                <w:szCs w:val="21"/>
              </w:rPr>
              <w:t>de</w:t>
            </w:r>
            <w:r w:rsidRPr="00401C70">
              <w:rPr>
                <w:rFonts w:ascii="Abadi" w:hAnsi="Abadi" w:cs="Calibri"/>
                <w:spacing w:val="-10"/>
                <w:sz w:val="21"/>
                <w:szCs w:val="21"/>
              </w:rPr>
              <w:t xml:space="preserve"> </w:t>
            </w:r>
            <w:r w:rsidRPr="00401C70">
              <w:rPr>
                <w:rFonts w:ascii="Abadi" w:hAnsi="Abadi" w:cs="Calibri"/>
                <w:sz w:val="21"/>
                <w:szCs w:val="21"/>
              </w:rPr>
              <w:t>Desarrollo</w:t>
            </w:r>
            <w:r w:rsidRPr="00401C70">
              <w:rPr>
                <w:rFonts w:ascii="Abadi" w:hAnsi="Abadi" w:cs="Calibri"/>
                <w:spacing w:val="-9"/>
                <w:sz w:val="21"/>
                <w:szCs w:val="21"/>
              </w:rPr>
              <w:t xml:space="preserve"> </w:t>
            </w:r>
            <w:r w:rsidRPr="00401C70">
              <w:rPr>
                <w:rFonts w:ascii="Abadi" w:hAnsi="Abadi" w:cs="Calibri"/>
                <w:sz w:val="21"/>
                <w:szCs w:val="21"/>
              </w:rPr>
              <w:t>Municipales,</w:t>
            </w:r>
            <w:r w:rsidRPr="00401C70">
              <w:rPr>
                <w:rFonts w:ascii="Abadi" w:hAnsi="Abadi" w:cs="Calibri"/>
                <w:spacing w:val="-6"/>
                <w:sz w:val="21"/>
                <w:szCs w:val="21"/>
              </w:rPr>
              <w:t xml:space="preserve"> </w:t>
            </w:r>
            <w:r w:rsidRPr="00401C70">
              <w:rPr>
                <w:rFonts w:ascii="Abadi" w:hAnsi="Abadi" w:cs="Calibri"/>
                <w:sz w:val="21"/>
                <w:szCs w:val="21"/>
              </w:rPr>
              <w:t>serán</w:t>
            </w:r>
            <w:r w:rsidRPr="00401C70">
              <w:rPr>
                <w:rFonts w:ascii="Abadi" w:hAnsi="Abadi" w:cs="Calibri"/>
                <w:spacing w:val="-6"/>
                <w:sz w:val="21"/>
                <w:szCs w:val="21"/>
              </w:rPr>
              <w:t xml:space="preserve"> </w:t>
            </w:r>
            <w:r w:rsidRPr="00401C70">
              <w:rPr>
                <w:rFonts w:ascii="Abadi" w:hAnsi="Abadi" w:cs="Calibri"/>
                <w:sz w:val="21"/>
                <w:szCs w:val="21"/>
              </w:rPr>
              <w:lastRenderedPageBreak/>
              <w:t>de</w:t>
            </w:r>
            <w:r w:rsidRPr="00401C70">
              <w:rPr>
                <w:rFonts w:ascii="Abadi" w:hAnsi="Abadi" w:cs="Calibri"/>
                <w:spacing w:val="-47"/>
                <w:sz w:val="21"/>
                <w:szCs w:val="21"/>
              </w:rPr>
              <w:t xml:space="preserve"> </w:t>
            </w:r>
            <w:r w:rsidRPr="00401C70">
              <w:rPr>
                <w:rFonts w:ascii="Abadi" w:hAnsi="Abadi" w:cs="Calibri"/>
                <w:sz w:val="21"/>
                <w:szCs w:val="21"/>
              </w:rPr>
              <w:t>carácter</w:t>
            </w:r>
            <w:r w:rsidRPr="00401C70">
              <w:rPr>
                <w:rFonts w:ascii="Abadi" w:hAnsi="Abadi" w:cs="Calibri"/>
                <w:spacing w:val="-4"/>
                <w:sz w:val="21"/>
                <w:szCs w:val="21"/>
              </w:rPr>
              <w:t xml:space="preserve"> </w:t>
            </w:r>
            <w:r w:rsidRPr="00401C70">
              <w:rPr>
                <w:rFonts w:ascii="Abadi" w:hAnsi="Abadi" w:cs="Calibri"/>
                <w:sz w:val="21"/>
                <w:szCs w:val="21"/>
              </w:rPr>
              <w:t>honorífico.</w:t>
            </w:r>
          </w:p>
        </w:tc>
        <w:tc>
          <w:tcPr>
            <w:tcW w:w="2500" w:type="pct"/>
            <w:tcBorders>
              <w:top w:val="single" w:sz="4" w:space="0" w:color="000000"/>
              <w:left w:val="single" w:sz="4" w:space="0" w:color="000000"/>
              <w:bottom w:val="single" w:sz="4" w:space="0" w:color="000000"/>
              <w:right w:val="single" w:sz="4" w:space="0" w:color="000000"/>
            </w:tcBorders>
          </w:tcPr>
          <w:p w14:paraId="53385866" w14:textId="77777777" w:rsidR="00677B7E" w:rsidRPr="00401C70" w:rsidRDefault="00677B7E" w:rsidP="00677B7E">
            <w:pPr>
              <w:numPr>
                <w:ilvl w:val="0"/>
                <w:numId w:val="9"/>
              </w:numPr>
              <w:tabs>
                <w:tab w:val="left" w:pos="396"/>
              </w:tabs>
              <w:kinsoku w:val="0"/>
              <w:overflowPunct w:val="0"/>
              <w:autoSpaceDE w:val="0"/>
              <w:autoSpaceDN w:val="0"/>
              <w:adjustRightInd w:val="0"/>
              <w:ind w:left="107" w:right="94" w:firstLine="0"/>
              <w:jc w:val="both"/>
              <w:rPr>
                <w:rFonts w:ascii="Abadi" w:hAnsi="Abadi" w:cs="Calibri"/>
                <w:sz w:val="21"/>
                <w:szCs w:val="21"/>
              </w:rPr>
            </w:pPr>
            <w:r w:rsidRPr="00401C70">
              <w:rPr>
                <w:rFonts w:ascii="Abadi" w:hAnsi="Abadi" w:cs="Calibri"/>
                <w:b/>
                <w:bCs/>
                <w:i/>
                <w:iCs/>
                <w:sz w:val="21"/>
                <w:szCs w:val="21"/>
              </w:rPr>
              <w:lastRenderedPageBreak/>
              <w:t xml:space="preserve">La persona Presidenta </w:t>
            </w:r>
            <w:r w:rsidRPr="00401C70">
              <w:rPr>
                <w:rFonts w:ascii="Abadi" w:hAnsi="Abadi" w:cs="Calibri"/>
                <w:sz w:val="21"/>
                <w:szCs w:val="21"/>
              </w:rPr>
              <w:t>de la comisión anual</w:t>
            </w:r>
            <w:r w:rsidRPr="00401C70">
              <w:rPr>
                <w:rFonts w:ascii="Abadi" w:hAnsi="Abadi" w:cs="Calibri"/>
                <w:spacing w:val="-47"/>
                <w:sz w:val="21"/>
                <w:szCs w:val="21"/>
              </w:rPr>
              <w:t xml:space="preserve"> </w:t>
            </w:r>
            <w:r w:rsidRPr="00401C70">
              <w:rPr>
                <w:rFonts w:ascii="Abadi" w:hAnsi="Abadi" w:cs="Calibri"/>
                <w:sz w:val="21"/>
                <w:szCs w:val="21"/>
              </w:rPr>
              <w:t>de Medio</w:t>
            </w:r>
            <w:r w:rsidRPr="00401C70">
              <w:rPr>
                <w:rFonts w:ascii="Abadi" w:hAnsi="Abadi" w:cs="Calibri"/>
                <w:spacing w:val="1"/>
                <w:sz w:val="21"/>
                <w:szCs w:val="21"/>
              </w:rPr>
              <w:t xml:space="preserve"> </w:t>
            </w:r>
            <w:r w:rsidRPr="00401C70">
              <w:rPr>
                <w:rFonts w:ascii="Abadi" w:hAnsi="Abadi" w:cs="Calibri"/>
                <w:sz w:val="21"/>
                <w:szCs w:val="21"/>
              </w:rPr>
              <w:t>Ambiente;</w:t>
            </w:r>
          </w:p>
          <w:p w14:paraId="33A41533" w14:textId="77777777" w:rsidR="00677B7E" w:rsidRPr="00401C70" w:rsidRDefault="00677B7E" w:rsidP="00677B7E">
            <w:pPr>
              <w:numPr>
                <w:ilvl w:val="0"/>
                <w:numId w:val="9"/>
              </w:numPr>
              <w:tabs>
                <w:tab w:val="left" w:pos="438"/>
              </w:tabs>
              <w:kinsoku w:val="0"/>
              <w:overflowPunct w:val="0"/>
              <w:autoSpaceDE w:val="0"/>
              <w:autoSpaceDN w:val="0"/>
              <w:adjustRightInd w:val="0"/>
              <w:ind w:left="107" w:right="91" w:firstLine="0"/>
              <w:jc w:val="both"/>
              <w:rPr>
                <w:rFonts w:ascii="Abadi" w:hAnsi="Abadi" w:cs="Calibri"/>
                <w:sz w:val="21"/>
                <w:szCs w:val="21"/>
              </w:rPr>
            </w:pPr>
            <w:r w:rsidRPr="00401C70">
              <w:rPr>
                <w:rFonts w:ascii="Abadi" w:hAnsi="Abadi" w:cs="Calibri"/>
                <w:sz w:val="21"/>
                <w:szCs w:val="21"/>
              </w:rPr>
              <w:t>Representantes de la sociedad organizada</w:t>
            </w:r>
            <w:r w:rsidRPr="00401C70">
              <w:rPr>
                <w:rFonts w:ascii="Abadi" w:hAnsi="Abadi" w:cs="Calibri"/>
                <w:spacing w:val="1"/>
                <w:sz w:val="21"/>
                <w:szCs w:val="21"/>
              </w:rPr>
              <w:t xml:space="preserve"> </w:t>
            </w:r>
            <w:r w:rsidRPr="00401C70">
              <w:rPr>
                <w:rFonts w:ascii="Abadi" w:hAnsi="Abadi" w:cs="Calibri"/>
                <w:sz w:val="21"/>
                <w:szCs w:val="21"/>
              </w:rPr>
              <w:t>que participen en las comisiones de trabajo,</w:t>
            </w:r>
            <w:r w:rsidRPr="00401C70">
              <w:rPr>
                <w:rFonts w:ascii="Abadi" w:hAnsi="Abadi" w:cs="Calibri"/>
                <w:spacing w:val="1"/>
                <w:sz w:val="21"/>
                <w:szCs w:val="21"/>
              </w:rPr>
              <w:t xml:space="preserve"> </w:t>
            </w:r>
            <w:r w:rsidRPr="00401C70">
              <w:rPr>
                <w:rFonts w:ascii="Abadi" w:hAnsi="Abadi" w:cs="Calibri"/>
                <w:b/>
                <w:bCs/>
                <w:i/>
                <w:iCs/>
                <w:sz w:val="21"/>
                <w:szCs w:val="21"/>
              </w:rPr>
              <w:t>cuyas</w:t>
            </w:r>
            <w:r w:rsidRPr="00401C70">
              <w:rPr>
                <w:rFonts w:ascii="Abadi" w:hAnsi="Abadi" w:cs="Calibri"/>
                <w:b/>
                <w:bCs/>
                <w:i/>
                <w:iCs/>
                <w:spacing w:val="1"/>
                <w:sz w:val="21"/>
                <w:szCs w:val="21"/>
              </w:rPr>
              <w:t xml:space="preserve"> </w:t>
            </w:r>
            <w:r w:rsidRPr="00401C70">
              <w:rPr>
                <w:rFonts w:ascii="Abadi" w:hAnsi="Abadi" w:cs="Calibri"/>
                <w:b/>
                <w:bCs/>
                <w:i/>
                <w:iCs/>
                <w:sz w:val="21"/>
                <w:szCs w:val="21"/>
              </w:rPr>
              <w:t>designaciones</w:t>
            </w:r>
            <w:r w:rsidRPr="00401C70">
              <w:rPr>
                <w:rFonts w:ascii="Abadi" w:hAnsi="Abadi" w:cs="Calibri"/>
                <w:b/>
                <w:bCs/>
                <w:i/>
                <w:iCs/>
                <w:spacing w:val="1"/>
                <w:sz w:val="21"/>
                <w:szCs w:val="21"/>
              </w:rPr>
              <w:t xml:space="preserve"> </w:t>
            </w:r>
            <w:r w:rsidRPr="00401C70">
              <w:rPr>
                <w:rFonts w:ascii="Abadi" w:hAnsi="Abadi" w:cs="Calibri"/>
                <w:b/>
                <w:bCs/>
                <w:i/>
                <w:iCs/>
                <w:sz w:val="21"/>
                <w:szCs w:val="21"/>
              </w:rPr>
              <w:t>se</w:t>
            </w:r>
            <w:r w:rsidRPr="00401C70">
              <w:rPr>
                <w:rFonts w:ascii="Abadi" w:hAnsi="Abadi" w:cs="Calibri"/>
                <w:b/>
                <w:bCs/>
                <w:i/>
                <w:iCs/>
                <w:spacing w:val="1"/>
                <w:sz w:val="21"/>
                <w:szCs w:val="21"/>
              </w:rPr>
              <w:t xml:space="preserve"> </w:t>
            </w:r>
            <w:r w:rsidRPr="00401C70">
              <w:rPr>
                <w:rFonts w:ascii="Abadi" w:hAnsi="Abadi" w:cs="Calibri"/>
                <w:b/>
                <w:bCs/>
                <w:i/>
                <w:iCs/>
                <w:sz w:val="21"/>
                <w:szCs w:val="21"/>
              </w:rPr>
              <w:t>realizarán</w:t>
            </w:r>
            <w:r w:rsidRPr="00401C70">
              <w:rPr>
                <w:rFonts w:ascii="Abadi" w:hAnsi="Abadi" w:cs="Calibri"/>
                <w:b/>
                <w:bCs/>
                <w:i/>
                <w:iCs/>
                <w:spacing w:val="1"/>
                <w:sz w:val="21"/>
                <w:szCs w:val="21"/>
              </w:rPr>
              <w:t xml:space="preserve"> </w:t>
            </w:r>
            <w:r w:rsidRPr="00401C70">
              <w:rPr>
                <w:rFonts w:ascii="Abadi" w:hAnsi="Abadi" w:cs="Calibri"/>
                <w:sz w:val="21"/>
                <w:szCs w:val="21"/>
              </w:rPr>
              <w:t>en</w:t>
            </w:r>
            <w:r w:rsidRPr="00401C70">
              <w:rPr>
                <w:rFonts w:ascii="Abadi" w:hAnsi="Abadi" w:cs="Calibri"/>
                <w:spacing w:val="1"/>
                <w:sz w:val="21"/>
                <w:szCs w:val="21"/>
              </w:rPr>
              <w:t xml:space="preserve"> </w:t>
            </w: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términos</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2"/>
                <w:sz w:val="21"/>
                <w:szCs w:val="21"/>
              </w:rPr>
              <w:t xml:space="preserve"> </w:t>
            </w:r>
            <w:r w:rsidRPr="00401C70">
              <w:rPr>
                <w:rFonts w:ascii="Abadi" w:hAnsi="Abadi" w:cs="Calibri"/>
                <w:sz w:val="21"/>
                <w:szCs w:val="21"/>
              </w:rPr>
              <w:t>señale</w:t>
            </w:r>
            <w:r w:rsidRPr="00401C70">
              <w:rPr>
                <w:rFonts w:ascii="Abadi" w:hAnsi="Abadi" w:cs="Calibri"/>
                <w:spacing w:val="-3"/>
                <w:sz w:val="21"/>
                <w:szCs w:val="21"/>
              </w:rPr>
              <w:t xml:space="preserve"> </w:t>
            </w:r>
            <w:r w:rsidRPr="00401C70">
              <w:rPr>
                <w:rFonts w:ascii="Abadi" w:hAnsi="Abadi" w:cs="Calibri"/>
                <w:sz w:val="21"/>
                <w:szCs w:val="21"/>
              </w:rPr>
              <w:t>el reglamento;</w:t>
            </w:r>
          </w:p>
          <w:p w14:paraId="38CE1EB1" w14:textId="77777777" w:rsidR="00677B7E" w:rsidRPr="00401C70" w:rsidRDefault="00677B7E" w:rsidP="00677B7E">
            <w:pPr>
              <w:numPr>
                <w:ilvl w:val="0"/>
                <w:numId w:val="9"/>
              </w:numPr>
              <w:tabs>
                <w:tab w:val="left" w:pos="370"/>
              </w:tabs>
              <w:kinsoku w:val="0"/>
              <w:overflowPunct w:val="0"/>
              <w:autoSpaceDE w:val="0"/>
              <w:autoSpaceDN w:val="0"/>
              <w:adjustRightInd w:val="0"/>
              <w:ind w:left="107" w:right="94" w:firstLine="0"/>
              <w:jc w:val="both"/>
              <w:rPr>
                <w:rFonts w:ascii="Abadi" w:hAnsi="Abadi" w:cs="Calibri"/>
                <w:sz w:val="21"/>
                <w:szCs w:val="21"/>
              </w:rPr>
            </w:pPr>
            <w:r w:rsidRPr="00401C70">
              <w:rPr>
                <w:rFonts w:ascii="Abadi" w:hAnsi="Abadi" w:cs="Calibri"/>
                <w:b/>
                <w:bCs/>
                <w:i/>
                <w:iCs/>
                <w:sz w:val="21"/>
                <w:szCs w:val="21"/>
              </w:rPr>
              <w:t xml:space="preserve">Las personas funcionarias </w:t>
            </w:r>
            <w:r w:rsidRPr="00401C70">
              <w:rPr>
                <w:rFonts w:ascii="Abadi" w:hAnsi="Abadi" w:cs="Calibri"/>
                <w:sz w:val="21"/>
                <w:szCs w:val="21"/>
              </w:rPr>
              <w:t>municipales que</w:t>
            </w:r>
            <w:r w:rsidRPr="00401C70">
              <w:rPr>
                <w:rFonts w:ascii="Abadi" w:hAnsi="Abadi" w:cs="Calibri"/>
                <w:spacing w:val="1"/>
                <w:sz w:val="21"/>
                <w:szCs w:val="21"/>
              </w:rPr>
              <w:t xml:space="preserve"> </w:t>
            </w:r>
            <w:r w:rsidRPr="00401C70">
              <w:rPr>
                <w:rFonts w:ascii="Abadi" w:hAnsi="Abadi" w:cs="Calibri"/>
                <w:sz w:val="21"/>
                <w:szCs w:val="21"/>
              </w:rPr>
              <w:t>acuerde</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3"/>
                <w:sz w:val="21"/>
                <w:szCs w:val="21"/>
              </w:rPr>
              <w:t xml:space="preserve"> </w:t>
            </w:r>
            <w:r w:rsidRPr="00401C70">
              <w:rPr>
                <w:rFonts w:ascii="Abadi" w:hAnsi="Abadi" w:cs="Calibri"/>
                <w:sz w:val="21"/>
                <w:szCs w:val="21"/>
              </w:rPr>
              <w:t>Ayuntamiento;</w:t>
            </w:r>
            <w:r w:rsidRPr="00401C70">
              <w:rPr>
                <w:rFonts w:ascii="Abadi" w:hAnsi="Abadi" w:cs="Calibri"/>
                <w:spacing w:val="-2"/>
                <w:sz w:val="21"/>
                <w:szCs w:val="21"/>
              </w:rPr>
              <w:t xml:space="preserve"> </w:t>
            </w:r>
            <w:r w:rsidRPr="00401C70">
              <w:rPr>
                <w:rFonts w:ascii="Abadi" w:hAnsi="Abadi" w:cs="Calibri"/>
                <w:sz w:val="21"/>
                <w:szCs w:val="21"/>
              </w:rPr>
              <w:t>y</w:t>
            </w:r>
          </w:p>
          <w:p w14:paraId="567C4BFC" w14:textId="77777777" w:rsidR="00677B7E" w:rsidRPr="00401C70" w:rsidRDefault="00677B7E" w:rsidP="00677B7E">
            <w:pPr>
              <w:numPr>
                <w:ilvl w:val="0"/>
                <w:numId w:val="9"/>
              </w:numPr>
              <w:tabs>
                <w:tab w:val="left" w:pos="425"/>
              </w:tabs>
              <w:kinsoku w:val="0"/>
              <w:overflowPunct w:val="0"/>
              <w:autoSpaceDE w:val="0"/>
              <w:autoSpaceDN w:val="0"/>
              <w:adjustRightInd w:val="0"/>
              <w:spacing w:before="1"/>
              <w:ind w:left="107" w:right="91" w:firstLine="0"/>
              <w:jc w:val="both"/>
              <w:rPr>
                <w:rFonts w:ascii="Abadi" w:hAnsi="Abadi" w:cs="Calibri"/>
                <w:sz w:val="21"/>
                <w:szCs w:val="21"/>
              </w:rPr>
            </w:pPr>
            <w:r w:rsidRPr="00401C70">
              <w:rPr>
                <w:rFonts w:ascii="Abadi" w:hAnsi="Abadi" w:cs="Calibri"/>
                <w:b/>
                <w:bCs/>
                <w:i/>
                <w:iCs/>
                <w:sz w:val="21"/>
                <w:szCs w:val="21"/>
              </w:rPr>
              <w:t xml:space="preserve">Las personas funcionarias </w:t>
            </w:r>
            <w:r w:rsidRPr="00401C70">
              <w:rPr>
                <w:rFonts w:ascii="Abadi" w:hAnsi="Abadi" w:cs="Calibri"/>
                <w:sz w:val="21"/>
                <w:szCs w:val="21"/>
              </w:rPr>
              <w:t>estatales que el</w:t>
            </w:r>
            <w:r w:rsidRPr="00401C70">
              <w:rPr>
                <w:rFonts w:ascii="Abadi" w:hAnsi="Abadi" w:cs="Calibri"/>
                <w:spacing w:val="1"/>
                <w:sz w:val="21"/>
                <w:szCs w:val="21"/>
              </w:rPr>
              <w:t xml:space="preserve"> </w:t>
            </w:r>
            <w:r w:rsidRPr="00401C70">
              <w:rPr>
                <w:rFonts w:ascii="Abadi" w:hAnsi="Abadi" w:cs="Calibri"/>
                <w:sz w:val="21"/>
                <w:szCs w:val="21"/>
              </w:rPr>
              <w:t>Ayuntamiento</w:t>
            </w:r>
            <w:r w:rsidRPr="00401C70">
              <w:rPr>
                <w:rFonts w:ascii="Abadi" w:hAnsi="Abadi" w:cs="Calibri"/>
                <w:spacing w:val="-2"/>
                <w:sz w:val="21"/>
                <w:szCs w:val="21"/>
              </w:rPr>
              <w:t xml:space="preserve"> </w:t>
            </w:r>
            <w:r w:rsidRPr="00401C70">
              <w:rPr>
                <w:rFonts w:ascii="Abadi" w:hAnsi="Abadi" w:cs="Calibri"/>
                <w:sz w:val="21"/>
                <w:szCs w:val="21"/>
              </w:rPr>
              <w:t>invite</w:t>
            </w:r>
            <w:r w:rsidRPr="00401C70">
              <w:rPr>
                <w:rFonts w:ascii="Abadi" w:hAnsi="Abadi" w:cs="Calibri"/>
                <w:spacing w:val="1"/>
                <w:sz w:val="21"/>
                <w:szCs w:val="21"/>
              </w:rPr>
              <w:t xml:space="preserve"> </w:t>
            </w:r>
            <w:r w:rsidRPr="00401C70">
              <w:rPr>
                <w:rFonts w:ascii="Abadi" w:hAnsi="Abadi" w:cs="Calibri"/>
                <w:sz w:val="21"/>
                <w:szCs w:val="21"/>
              </w:rPr>
              <w:t>a participar.</w:t>
            </w:r>
          </w:p>
          <w:p w14:paraId="797BDAA9" w14:textId="77777777" w:rsidR="00677B7E" w:rsidRPr="00401C70" w:rsidRDefault="00677B7E" w:rsidP="00FA2590">
            <w:pPr>
              <w:kinsoku w:val="0"/>
              <w:overflowPunct w:val="0"/>
              <w:autoSpaceDE w:val="0"/>
              <w:autoSpaceDN w:val="0"/>
              <w:adjustRightInd w:val="0"/>
              <w:spacing w:before="3"/>
              <w:jc w:val="both"/>
              <w:rPr>
                <w:rFonts w:ascii="Abadi" w:hAnsi="Abadi"/>
                <w:sz w:val="21"/>
                <w:szCs w:val="21"/>
              </w:rPr>
            </w:pPr>
          </w:p>
          <w:p w14:paraId="1F80769D" w14:textId="77777777" w:rsidR="00677B7E" w:rsidRPr="00401C70" w:rsidRDefault="00677B7E" w:rsidP="00FA2590">
            <w:pPr>
              <w:kinsoku w:val="0"/>
              <w:overflowPunct w:val="0"/>
              <w:autoSpaceDE w:val="0"/>
              <w:autoSpaceDN w:val="0"/>
              <w:adjustRightInd w:val="0"/>
              <w:ind w:left="107" w:right="94"/>
              <w:jc w:val="both"/>
              <w:rPr>
                <w:rFonts w:ascii="Abadi" w:hAnsi="Abadi" w:cs="Calibri"/>
                <w:b/>
                <w:bCs/>
                <w:i/>
                <w:iCs/>
                <w:sz w:val="21"/>
                <w:szCs w:val="21"/>
              </w:rPr>
            </w:pPr>
            <w:r w:rsidRPr="00401C70">
              <w:rPr>
                <w:rFonts w:ascii="Abadi" w:hAnsi="Abadi" w:cs="Calibri"/>
                <w:b/>
                <w:bCs/>
                <w:i/>
                <w:iCs/>
                <w:sz w:val="21"/>
                <w:szCs w:val="21"/>
              </w:rPr>
              <w:t>Las</w:t>
            </w:r>
            <w:r w:rsidRPr="00401C70">
              <w:rPr>
                <w:rFonts w:ascii="Abadi" w:hAnsi="Abadi" w:cs="Calibri"/>
                <w:b/>
                <w:bCs/>
                <w:i/>
                <w:iCs/>
                <w:spacing w:val="-7"/>
                <w:sz w:val="21"/>
                <w:szCs w:val="21"/>
              </w:rPr>
              <w:t xml:space="preserve"> </w:t>
            </w:r>
            <w:r w:rsidRPr="00401C70">
              <w:rPr>
                <w:rFonts w:ascii="Abadi" w:hAnsi="Abadi" w:cs="Calibri"/>
                <w:b/>
                <w:bCs/>
                <w:i/>
                <w:iCs/>
                <w:sz w:val="21"/>
                <w:szCs w:val="21"/>
              </w:rPr>
              <w:t>personas</w:t>
            </w:r>
            <w:r w:rsidRPr="00401C70">
              <w:rPr>
                <w:rFonts w:ascii="Abadi" w:hAnsi="Abadi" w:cs="Calibri"/>
                <w:b/>
                <w:bCs/>
                <w:i/>
                <w:iCs/>
                <w:spacing w:val="-4"/>
                <w:sz w:val="21"/>
                <w:szCs w:val="21"/>
              </w:rPr>
              <w:t xml:space="preserve"> </w:t>
            </w:r>
            <w:r w:rsidRPr="00401C70">
              <w:rPr>
                <w:rFonts w:ascii="Abadi" w:hAnsi="Abadi" w:cs="Calibri"/>
                <w:b/>
                <w:bCs/>
                <w:i/>
                <w:iCs/>
                <w:sz w:val="21"/>
                <w:szCs w:val="21"/>
              </w:rPr>
              <w:t>referidas</w:t>
            </w:r>
            <w:r w:rsidRPr="00401C70">
              <w:rPr>
                <w:rFonts w:ascii="Abadi" w:hAnsi="Abadi" w:cs="Calibri"/>
                <w:b/>
                <w:bCs/>
                <w:i/>
                <w:iCs/>
                <w:spacing w:val="-4"/>
                <w:sz w:val="21"/>
                <w:szCs w:val="21"/>
              </w:rPr>
              <w:t xml:space="preserve"> </w:t>
            </w:r>
            <w:r w:rsidRPr="00401C70">
              <w:rPr>
                <w:rFonts w:ascii="Abadi" w:hAnsi="Abadi" w:cs="Calibri"/>
                <w:b/>
                <w:bCs/>
                <w:i/>
                <w:iCs/>
                <w:sz w:val="21"/>
                <w:szCs w:val="21"/>
              </w:rPr>
              <w:t>en</w:t>
            </w:r>
            <w:r w:rsidRPr="00401C70">
              <w:rPr>
                <w:rFonts w:ascii="Abadi" w:hAnsi="Abadi" w:cs="Calibri"/>
                <w:b/>
                <w:bCs/>
                <w:i/>
                <w:iCs/>
                <w:spacing w:val="-5"/>
                <w:sz w:val="21"/>
                <w:szCs w:val="21"/>
              </w:rPr>
              <w:t xml:space="preserve"> </w:t>
            </w:r>
            <w:r w:rsidRPr="00401C70">
              <w:rPr>
                <w:rFonts w:ascii="Abadi" w:hAnsi="Abadi" w:cs="Calibri"/>
                <w:b/>
                <w:bCs/>
                <w:i/>
                <w:iCs/>
                <w:sz w:val="21"/>
                <w:szCs w:val="21"/>
              </w:rPr>
              <w:t>las</w:t>
            </w:r>
            <w:r w:rsidRPr="00401C70">
              <w:rPr>
                <w:rFonts w:ascii="Abadi" w:hAnsi="Abadi" w:cs="Calibri"/>
                <w:b/>
                <w:bCs/>
                <w:i/>
                <w:iCs/>
                <w:spacing w:val="-4"/>
                <w:sz w:val="21"/>
                <w:szCs w:val="21"/>
              </w:rPr>
              <w:t xml:space="preserve"> </w:t>
            </w:r>
            <w:r w:rsidRPr="00401C70">
              <w:rPr>
                <w:rFonts w:ascii="Abadi" w:hAnsi="Abadi" w:cs="Calibri"/>
                <w:b/>
                <w:bCs/>
                <w:i/>
                <w:iCs/>
                <w:sz w:val="21"/>
                <w:szCs w:val="21"/>
              </w:rPr>
              <w:t>fracciones</w:t>
            </w:r>
            <w:r w:rsidRPr="00401C70">
              <w:rPr>
                <w:rFonts w:ascii="Abadi" w:hAnsi="Abadi" w:cs="Calibri"/>
                <w:b/>
                <w:bCs/>
                <w:i/>
                <w:iCs/>
                <w:spacing w:val="-8"/>
                <w:sz w:val="21"/>
                <w:szCs w:val="21"/>
              </w:rPr>
              <w:t xml:space="preserve"> </w:t>
            </w:r>
            <w:r w:rsidRPr="00401C70">
              <w:rPr>
                <w:rFonts w:ascii="Abadi" w:hAnsi="Abadi" w:cs="Calibri"/>
                <w:b/>
                <w:bCs/>
                <w:i/>
                <w:iCs/>
                <w:sz w:val="21"/>
                <w:szCs w:val="21"/>
              </w:rPr>
              <w:t>IV,</w:t>
            </w:r>
            <w:r w:rsidRPr="00401C70">
              <w:rPr>
                <w:rFonts w:ascii="Abadi" w:hAnsi="Abadi" w:cs="Calibri"/>
                <w:b/>
                <w:bCs/>
                <w:i/>
                <w:iCs/>
                <w:spacing w:val="-3"/>
                <w:sz w:val="21"/>
                <w:szCs w:val="21"/>
              </w:rPr>
              <w:t xml:space="preserve"> </w:t>
            </w:r>
            <w:r w:rsidRPr="00401C70">
              <w:rPr>
                <w:rFonts w:ascii="Abadi" w:hAnsi="Abadi" w:cs="Calibri"/>
                <w:b/>
                <w:bCs/>
                <w:i/>
                <w:iCs/>
                <w:sz w:val="21"/>
                <w:szCs w:val="21"/>
              </w:rPr>
              <w:t>V</w:t>
            </w:r>
            <w:r w:rsidRPr="00401C70">
              <w:rPr>
                <w:rFonts w:ascii="Abadi" w:hAnsi="Abadi" w:cs="Calibri"/>
                <w:b/>
                <w:bCs/>
                <w:i/>
                <w:iCs/>
                <w:spacing w:val="-5"/>
                <w:sz w:val="21"/>
                <w:szCs w:val="21"/>
              </w:rPr>
              <w:t xml:space="preserve"> </w:t>
            </w:r>
            <w:r w:rsidRPr="00401C70">
              <w:rPr>
                <w:rFonts w:ascii="Abadi" w:hAnsi="Abadi" w:cs="Calibri"/>
                <w:b/>
                <w:bCs/>
                <w:i/>
                <w:iCs/>
                <w:sz w:val="21"/>
                <w:szCs w:val="21"/>
              </w:rPr>
              <w:t>y</w:t>
            </w:r>
            <w:r w:rsidRPr="00401C70">
              <w:rPr>
                <w:rFonts w:ascii="Abadi" w:hAnsi="Abadi" w:cs="Calibri"/>
                <w:b/>
                <w:bCs/>
                <w:i/>
                <w:iCs/>
                <w:spacing w:val="-47"/>
                <w:sz w:val="21"/>
                <w:szCs w:val="21"/>
              </w:rPr>
              <w:t xml:space="preserve"> </w:t>
            </w:r>
            <w:r w:rsidRPr="00401C70">
              <w:rPr>
                <w:rFonts w:ascii="Abadi" w:hAnsi="Abadi" w:cs="Calibri"/>
                <w:b/>
                <w:bCs/>
                <w:i/>
                <w:iCs/>
                <w:sz w:val="21"/>
                <w:szCs w:val="21"/>
              </w:rPr>
              <w:t>VI</w:t>
            </w:r>
            <w:r w:rsidRPr="00401C70">
              <w:rPr>
                <w:rFonts w:ascii="Abadi" w:hAnsi="Abadi" w:cs="Calibri"/>
                <w:b/>
                <w:bCs/>
                <w:i/>
                <w:iCs/>
                <w:spacing w:val="1"/>
                <w:sz w:val="21"/>
                <w:szCs w:val="21"/>
              </w:rPr>
              <w:t xml:space="preserve"> </w:t>
            </w:r>
            <w:r w:rsidRPr="00401C70">
              <w:rPr>
                <w:rFonts w:ascii="Abadi" w:hAnsi="Abadi" w:cs="Calibri"/>
                <w:b/>
                <w:bCs/>
                <w:i/>
                <w:iCs/>
                <w:sz w:val="21"/>
                <w:szCs w:val="21"/>
              </w:rPr>
              <w:t>deberán</w:t>
            </w:r>
            <w:r w:rsidRPr="00401C70">
              <w:rPr>
                <w:rFonts w:ascii="Abadi" w:hAnsi="Abadi" w:cs="Calibri"/>
                <w:b/>
                <w:bCs/>
                <w:i/>
                <w:iCs/>
                <w:spacing w:val="1"/>
                <w:sz w:val="21"/>
                <w:szCs w:val="21"/>
              </w:rPr>
              <w:t xml:space="preserve"> </w:t>
            </w:r>
            <w:r w:rsidRPr="00401C70">
              <w:rPr>
                <w:rFonts w:ascii="Abadi" w:hAnsi="Abadi" w:cs="Calibri"/>
                <w:b/>
                <w:bCs/>
                <w:i/>
                <w:iCs/>
                <w:sz w:val="21"/>
                <w:szCs w:val="21"/>
              </w:rPr>
              <w:t>ser</w:t>
            </w:r>
            <w:r w:rsidRPr="00401C70">
              <w:rPr>
                <w:rFonts w:ascii="Abadi" w:hAnsi="Abadi" w:cs="Calibri"/>
                <w:b/>
                <w:bCs/>
                <w:i/>
                <w:iCs/>
                <w:spacing w:val="1"/>
                <w:sz w:val="21"/>
                <w:szCs w:val="21"/>
              </w:rPr>
              <w:t xml:space="preserve"> </w:t>
            </w:r>
            <w:r w:rsidRPr="00401C70">
              <w:rPr>
                <w:rFonts w:ascii="Abadi" w:hAnsi="Abadi" w:cs="Calibri"/>
                <w:b/>
                <w:bCs/>
                <w:i/>
                <w:iCs/>
                <w:sz w:val="21"/>
                <w:szCs w:val="21"/>
              </w:rPr>
              <w:t>designadas</w:t>
            </w:r>
            <w:r w:rsidRPr="00401C70">
              <w:rPr>
                <w:rFonts w:ascii="Abadi" w:hAnsi="Abadi" w:cs="Calibri"/>
                <w:b/>
                <w:bCs/>
                <w:i/>
                <w:iCs/>
                <w:spacing w:val="1"/>
                <w:sz w:val="21"/>
                <w:szCs w:val="21"/>
              </w:rPr>
              <w:t xml:space="preserve"> </w:t>
            </w:r>
            <w:r w:rsidRPr="00401C70">
              <w:rPr>
                <w:rFonts w:ascii="Abadi" w:hAnsi="Abadi" w:cs="Calibri"/>
                <w:b/>
                <w:bCs/>
                <w:i/>
                <w:iCs/>
                <w:sz w:val="21"/>
                <w:szCs w:val="21"/>
              </w:rPr>
              <w:t>observando</w:t>
            </w:r>
            <w:r w:rsidRPr="00401C70">
              <w:rPr>
                <w:rFonts w:ascii="Abadi" w:hAnsi="Abadi" w:cs="Calibri"/>
                <w:b/>
                <w:bCs/>
                <w:i/>
                <w:iCs/>
                <w:spacing w:val="1"/>
                <w:sz w:val="21"/>
                <w:szCs w:val="21"/>
              </w:rPr>
              <w:t xml:space="preserve"> </w:t>
            </w:r>
            <w:r w:rsidRPr="00401C70">
              <w:rPr>
                <w:rFonts w:ascii="Abadi" w:hAnsi="Abadi" w:cs="Calibri"/>
                <w:b/>
                <w:bCs/>
                <w:i/>
                <w:iCs/>
                <w:sz w:val="21"/>
                <w:szCs w:val="21"/>
              </w:rPr>
              <w:t>el</w:t>
            </w:r>
            <w:r w:rsidRPr="00401C70">
              <w:rPr>
                <w:rFonts w:ascii="Abadi" w:hAnsi="Abadi" w:cs="Calibri"/>
                <w:b/>
                <w:bCs/>
                <w:i/>
                <w:iCs/>
                <w:spacing w:val="1"/>
                <w:sz w:val="21"/>
                <w:szCs w:val="21"/>
              </w:rPr>
              <w:t xml:space="preserve"> </w:t>
            </w:r>
            <w:r w:rsidRPr="00401C70">
              <w:rPr>
                <w:rFonts w:ascii="Abadi" w:hAnsi="Abadi" w:cs="Calibri"/>
                <w:b/>
                <w:bCs/>
                <w:i/>
                <w:iCs/>
                <w:sz w:val="21"/>
                <w:szCs w:val="21"/>
              </w:rPr>
              <w:t>principio</w:t>
            </w:r>
            <w:r w:rsidRPr="00401C70">
              <w:rPr>
                <w:rFonts w:ascii="Abadi" w:hAnsi="Abadi" w:cs="Calibri"/>
                <w:b/>
                <w:bCs/>
                <w:i/>
                <w:iCs/>
                <w:spacing w:val="-2"/>
                <w:sz w:val="21"/>
                <w:szCs w:val="21"/>
              </w:rPr>
              <w:t xml:space="preserve"> </w:t>
            </w:r>
            <w:r w:rsidRPr="00401C70">
              <w:rPr>
                <w:rFonts w:ascii="Abadi" w:hAnsi="Abadi" w:cs="Calibri"/>
                <w:b/>
                <w:bCs/>
                <w:i/>
                <w:iCs/>
                <w:sz w:val="21"/>
                <w:szCs w:val="21"/>
              </w:rPr>
              <w:t>de</w:t>
            </w:r>
            <w:r w:rsidRPr="00401C70">
              <w:rPr>
                <w:rFonts w:ascii="Abadi" w:hAnsi="Abadi" w:cs="Calibri"/>
                <w:b/>
                <w:bCs/>
                <w:i/>
                <w:iCs/>
                <w:spacing w:val="-3"/>
                <w:sz w:val="21"/>
                <w:szCs w:val="21"/>
              </w:rPr>
              <w:t xml:space="preserve"> </w:t>
            </w:r>
            <w:r w:rsidRPr="00401C70">
              <w:rPr>
                <w:rFonts w:ascii="Abadi" w:hAnsi="Abadi" w:cs="Calibri"/>
                <w:b/>
                <w:bCs/>
                <w:i/>
                <w:iCs/>
                <w:sz w:val="21"/>
                <w:szCs w:val="21"/>
              </w:rPr>
              <w:t>paridad</w:t>
            </w:r>
            <w:r w:rsidRPr="00401C70">
              <w:rPr>
                <w:rFonts w:ascii="Abadi" w:hAnsi="Abadi" w:cs="Calibri"/>
                <w:b/>
                <w:bCs/>
                <w:i/>
                <w:iCs/>
                <w:spacing w:val="-2"/>
                <w:sz w:val="21"/>
                <w:szCs w:val="21"/>
              </w:rPr>
              <w:t xml:space="preserve"> </w:t>
            </w:r>
            <w:r w:rsidRPr="00401C70">
              <w:rPr>
                <w:rFonts w:ascii="Abadi" w:hAnsi="Abadi" w:cs="Calibri"/>
                <w:b/>
                <w:bCs/>
                <w:i/>
                <w:iCs/>
                <w:sz w:val="21"/>
                <w:szCs w:val="21"/>
              </w:rPr>
              <w:t>de</w:t>
            </w:r>
            <w:r w:rsidRPr="00401C70">
              <w:rPr>
                <w:rFonts w:ascii="Abadi" w:hAnsi="Abadi" w:cs="Calibri"/>
                <w:b/>
                <w:bCs/>
                <w:i/>
                <w:iCs/>
                <w:spacing w:val="-4"/>
                <w:sz w:val="21"/>
                <w:szCs w:val="21"/>
              </w:rPr>
              <w:t xml:space="preserve"> </w:t>
            </w:r>
            <w:r w:rsidRPr="00401C70">
              <w:rPr>
                <w:rFonts w:ascii="Abadi" w:hAnsi="Abadi" w:cs="Calibri"/>
                <w:b/>
                <w:bCs/>
                <w:i/>
                <w:iCs/>
                <w:sz w:val="21"/>
                <w:szCs w:val="21"/>
              </w:rPr>
              <w:t>género.</w:t>
            </w:r>
          </w:p>
          <w:p w14:paraId="1E532A32" w14:textId="77777777" w:rsidR="00677B7E" w:rsidRPr="00401C70" w:rsidRDefault="00677B7E" w:rsidP="00FA2590">
            <w:pPr>
              <w:kinsoku w:val="0"/>
              <w:overflowPunct w:val="0"/>
              <w:autoSpaceDE w:val="0"/>
              <w:autoSpaceDN w:val="0"/>
              <w:adjustRightInd w:val="0"/>
              <w:spacing w:before="5"/>
              <w:jc w:val="both"/>
              <w:rPr>
                <w:rFonts w:ascii="Abadi" w:hAnsi="Abadi"/>
                <w:sz w:val="21"/>
                <w:szCs w:val="21"/>
              </w:rPr>
            </w:pPr>
          </w:p>
          <w:p w14:paraId="77868CBD" w14:textId="77777777" w:rsidR="00677B7E" w:rsidRPr="00401C70" w:rsidRDefault="00677B7E" w:rsidP="00FA2590">
            <w:pPr>
              <w:kinsoku w:val="0"/>
              <w:overflowPunct w:val="0"/>
              <w:autoSpaceDE w:val="0"/>
              <w:autoSpaceDN w:val="0"/>
              <w:adjustRightInd w:val="0"/>
              <w:ind w:left="107" w:right="91"/>
              <w:jc w:val="both"/>
              <w:rPr>
                <w:rFonts w:ascii="Abadi" w:hAnsi="Abadi" w:cs="Calibri"/>
                <w:sz w:val="21"/>
                <w:szCs w:val="21"/>
              </w:rPr>
            </w:pPr>
            <w:r w:rsidRPr="00401C70">
              <w:rPr>
                <w:rFonts w:ascii="Abadi" w:hAnsi="Abadi" w:cs="Calibri"/>
                <w:sz w:val="21"/>
                <w:szCs w:val="21"/>
              </w:rPr>
              <w:t>En</w:t>
            </w:r>
            <w:r w:rsidRPr="00401C70">
              <w:rPr>
                <w:rFonts w:ascii="Abadi" w:hAnsi="Abadi" w:cs="Calibri"/>
                <w:spacing w:val="1"/>
                <w:sz w:val="21"/>
                <w:szCs w:val="21"/>
              </w:rPr>
              <w:t xml:space="preserve"> </w:t>
            </w: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municipios</w:t>
            </w:r>
            <w:r w:rsidRPr="00401C70">
              <w:rPr>
                <w:rFonts w:ascii="Abadi" w:hAnsi="Abadi" w:cs="Calibri"/>
                <w:spacing w:val="1"/>
                <w:sz w:val="21"/>
                <w:szCs w:val="21"/>
              </w:rPr>
              <w:t xml:space="preserve"> </w:t>
            </w:r>
            <w:r w:rsidRPr="00401C70">
              <w:rPr>
                <w:rFonts w:ascii="Abadi" w:hAnsi="Abadi" w:cs="Calibri"/>
                <w:sz w:val="21"/>
                <w:szCs w:val="21"/>
              </w:rPr>
              <w:t>donde</w:t>
            </w:r>
            <w:r w:rsidRPr="00401C70">
              <w:rPr>
                <w:rFonts w:ascii="Abadi" w:hAnsi="Abadi" w:cs="Calibri"/>
                <w:spacing w:val="1"/>
                <w:sz w:val="21"/>
                <w:szCs w:val="21"/>
              </w:rPr>
              <w:t xml:space="preserve"> </w:t>
            </w:r>
            <w:r w:rsidRPr="00401C70">
              <w:rPr>
                <w:rFonts w:ascii="Abadi" w:hAnsi="Abadi" w:cs="Calibri"/>
                <w:sz w:val="21"/>
                <w:szCs w:val="21"/>
              </w:rPr>
              <w:t>se</w:t>
            </w:r>
            <w:r w:rsidRPr="00401C70">
              <w:rPr>
                <w:rFonts w:ascii="Abadi" w:hAnsi="Abadi" w:cs="Calibri"/>
                <w:spacing w:val="1"/>
                <w:sz w:val="21"/>
                <w:szCs w:val="21"/>
              </w:rPr>
              <w:t xml:space="preserve"> </w:t>
            </w:r>
            <w:r w:rsidRPr="00401C70">
              <w:rPr>
                <w:rFonts w:ascii="Abadi" w:hAnsi="Abadi" w:cs="Calibri"/>
                <w:sz w:val="21"/>
                <w:szCs w:val="21"/>
              </w:rPr>
              <w:t>encuentren</w:t>
            </w:r>
            <w:r w:rsidRPr="00401C70">
              <w:rPr>
                <w:rFonts w:ascii="Abadi" w:hAnsi="Abadi" w:cs="Calibri"/>
                <w:spacing w:val="1"/>
                <w:sz w:val="21"/>
                <w:szCs w:val="21"/>
              </w:rPr>
              <w:t xml:space="preserve"> </w:t>
            </w:r>
            <w:r w:rsidRPr="00401C70">
              <w:rPr>
                <w:rFonts w:ascii="Abadi" w:hAnsi="Abadi" w:cs="Calibri"/>
                <w:sz w:val="21"/>
                <w:szCs w:val="21"/>
              </w:rPr>
              <w:t>asentados</w:t>
            </w:r>
            <w:r w:rsidRPr="00401C70">
              <w:rPr>
                <w:rFonts w:ascii="Abadi" w:hAnsi="Abadi" w:cs="Calibri"/>
                <w:spacing w:val="-7"/>
                <w:sz w:val="21"/>
                <w:szCs w:val="21"/>
              </w:rPr>
              <w:t xml:space="preserve"> </w:t>
            </w:r>
            <w:r w:rsidRPr="00401C70">
              <w:rPr>
                <w:rFonts w:ascii="Abadi" w:hAnsi="Abadi" w:cs="Calibri"/>
                <w:sz w:val="21"/>
                <w:szCs w:val="21"/>
              </w:rPr>
              <w:t>pueblos</w:t>
            </w:r>
            <w:r w:rsidRPr="00401C70">
              <w:rPr>
                <w:rFonts w:ascii="Abadi" w:hAnsi="Abadi" w:cs="Calibri"/>
                <w:spacing w:val="-6"/>
                <w:sz w:val="21"/>
                <w:szCs w:val="21"/>
              </w:rPr>
              <w:t xml:space="preserve"> </w:t>
            </w:r>
            <w:r w:rsidRPr="00401C70">
              <w:rPr>
                <w:rFonts w:ascii="Abadi" w:hAnsi="Abadi" w:cs="Calibri"/>
                <w:sz w:val="21"/>
                <w:szCs w:val="21"/>
              </w:rPr>
              <w:t>y</w:t>
            </w:r>
            <w:r w:rsidRPr="00401C70">
              <w:rPr>
                <w:rFonts w:ascii="Abadi" w:hAnsi="Abadi" w:cs="Calibri"/>
                <w:spacing w:val="-5"/>
                <w:sz w:val="21"/>
                <w:szCs w:val="21"/>
              </w:rPr>
              <w:t xml:space="preserve"> </w:t>
            </w:r>
            <w:r w:rsidRPr="00401C70">
              <w:rPr>
                <w:rFonts w:ascii="Abadi" w:hAnsi="Abadi" w:cs="Calibri"/>
                <w:sz w:val="21"/>
                <w:szCs w:val="21"/>
              </w:rPr>
              <w:t>comunidades</w:t>
            </w:r>
            <w:r w:rsidRPr="00401C70">
              <w:rPr>
                <w:rFonts w:ascii="Abadi" w:hAnsi="Abadi" w:cs="Calibri"/>
                <w:spacing w:val="-5"/>
                <w:sz w:val="21"/>
                <w:szCs w:val="21"/>
              </w:rPr>
              <w:t xml:space="preserve"> </w:t>
            </w:r>
            <w:r w:rsidRPr="00401C70">
              <w:rPr>
                <w:rFonts w:ascii="Abadi" w:hAnsi="Abadi" w:cs="Calibri"/>
                <w:sz w:val="21"/>
                <w:szCs w:val="21"/>
              </w:rPr>
              <w:t>indígenas</w:t>
            </w:r>
            <w:r w:rsidRPr="00401C70">
              <w:rPr>
                <w:rFonts w:ascii="Abadi" w:hAnsi="Abadi" w:cs="Calibri"/>
                <w:spacing w:val="-7"/>
                <w:sz w:val="21"/>
                <w:szCs w:val="21"/>
              </w:rPr>
              <w:t xml:space="preserve"> </w:t>
            </w:r>
            <w:r w:rsidRPr="00401C70">
              <w:rPr>
                <w:rFonts w:ascii="Abadi" w:hAnsi="Abadi" w:cs="Calibri"/>
                <w:sz w:val="21"/>
                <w:szCs w:val="21"/>
              </w:rPr>
              <w:t>se</w:t>
            </w:r>
            <w:r w:rsidRPr="00401C70">
              <w:rPr>
                <w:rFonts w:ascii="Abadi" w:hAnsi="Abadi" w:cs="Calibri"/>
                <w:spacing w:val="-47"/>
                <w:sz w:val="21"/>
                <w:szCs w:val="21"/>
              </w:rPr>
              <w:t xml:space="preserve"> </w:t>
            </w:r>
            <w:r w:rsidRPr="00401C70">
              <w:rPr>
                <w:rFonts w:ascii="Abadi" w:hAnsi="Abadi" w:cs="Calibri"/>
                <w:sz w:val="21"/>
                <w:szCs w:val="21"/>
              </w:rPr>
              <w:t>integrará</w:t>
            </w:r>
            <w:r w:rsidRPr="00401C70">
              <w:rPr>
                <w:rFonts w:ascii="Abadi" w:hAnsi="Abadi" w:cs="Calibri"/>
                <w:spacing w:val="1"/>
                <w:sz w:val="21"/>
                <w:szCs w:val="21"/>
              </w:rPr>
              <w:t xml:space="preserve"> </w:t>
            </w:r>
            <w:r w:rsidRPr="00401C70">
              <w:rPr>
                <w:rFonts w:ascii="Abadi" w:hAnsi="Abadi" w:cs="Calibri"/>
                <w:sz w:val="21"/>
                <w:szCs w:val="21"/>
              </w:rPr>
              <w:t>al</w:t>
            </w:r>
            <w:r w:rsidRPr="00401C70">
              <w:rPr>
                <w:rFonts w:ascii="Abadi" w:hAnsi="Abadi" w:cs="Calibri"/>
                <w:spacing w:val="1"/>
                <w:sz w:val="21"/>
                <w:szCs w:val="21"/>
              </w:rPr>
              <w:t xml:space="preserve"> </w:t>
            </w:r>
            <w:r w:rsidRPr="00401C70">
              <w:rPr>
                <w:rFonts w:ascii="Abadi" w:hAnsi="Abadi" w:cs="Calibri"/>
                <w:sz w:val="21"/>
                <w:szCs w:val="21"/>
              </w:rPr>
              <w:t>Consejo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Planeación</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Desarrollo</w:t>
            </w:r>
            <w:r w:rsidRPr="00401C70">
              <w:rPr>
                <w:rFonts w:ascii="Abadi" w:hAnsi="Abadi" w:cs="Calibri"/>
                <w:spacing w:val="1"/>
                <w:sz w:val="21"/>
                <w:szCs w:val="21"/>
              </w:rPr>
              <w:t xml:space="preserve"> </w:t>
            </w:r>
            <w:r w:rsidRPr="00401C70">
              <w:rPr>
                <w:rFonts w:ascii="Abadi" w:hAnsi="Abadi" w:cs="Calibri"/>
                <w:sz w:val="21"/>
                <w:szCs w:val="21"/>
              </w:rPr>
              <w:t>Municipal,</w:t>
            </w:r>
            <w:r w:rsidRPr="00401C70">
              <w:rPr>
                <w:rFonts w:ascii="Abadi" w:hAnsi="Abadi" w:cs="Calibri"/>
                <w:spacing w:val="1"/>
                <w:sz w:val="21"/>
                <w:szCs w:val="21"/>
              </w:rPr>
              <w:t xml:space="preserve"> </w:t>
            </w:r>
            <w:r w:rsidRPr="00401C70">
              <w:rPr>
                <w:rFonts w:ascii="Abadi" w:hAnsi="Abadi" w:cs="Calibri"/>
                <w:b/>
                <w:bCs/>
                <w:i/>
                <w:iCs/>
                <w:sz w:val="21"/>
                <w:szCs w:val="21"/>
              </w:rPr>
              <w:t>una</w:t>
            </w:r>
            <w:r w:rsidRPr="00401C70">
              <w:rPr>
                <w:rFonts w:ascii="Abadi" w:hAnsi="Abadi" w:cs="Calibri"/>
                <w:b/>
                <w:bCs/>
                <w:i/>
                <w:iCs/>
                <w:spacing w:val="1"/>
                <w:sz w:val="21"/>
                <w:szCs w:val="21"/>
              </w:rPr>
              <w:t xml:space="preserve"> </w:t>
            </w:r>
            <w:r w:rsidRPr="00401C70">
              <w:rPr>
                <w:rFonts w:ascii="Abadi" w:hAnsi="Abadi" w:cs="Calibri"/>
                <w:b/>
                <w:bCs/>
                <w:i/>
                <w:iCs/>
                <w:sz w:val="21"/>
                <w:szCs w:val="21"/>
              </w:rPr>
              <w:t>persona</w:t>
            </w:r>
            <w:r w:rsidRPr="00401C70">
              <w:rPr>
                <w:rFonts w:ascii="Abadi" w:hAnsi="Abadi" w:cs="Calibri"/>
                <w:b/>
                <w:bCs/>
                <w:i/>
                <w:iCs/>
                <w:spacing w:val="1"/>
                <w:sz w:val="21"/>
                <w:szCs w:val="21"/>
              </w:rPr>
              <w:t xml:space="preserve"> </w:t>
            </w:r>
            <w:r w:rsidRPr="00401C70">
              <w:rPr>
                <w:rFonts w:ascii="Abadi" w:hAnsi="Abadi" w:cs="Calibri"/>
                <w:sz w:val="21"/>
                <w:szCs w:val="21"/>
              </w:rPr>
              <w:t xml:space="preserve">representante que haya sido </w:t>
            </w:r>
            <w:r w:rsidRPr="00401C70">
              <w:rPr>
                <w:rFonts w:ascii="Abadi" w:hAnsi="Abadi" w:cs="Calibri"/>
                <w:b/>
                <w:bCs/>
                <w:i/>
                <w:iCs/>
                <w:sz w:val="21"/>
                <w:szCs w:val="21"/>
              </w:rPr>
              <w:t xml:space="preserve">designada </w:t>
            </w:r>
            <w:r w:rsidRPr="00401C70">
              <w:rPr>
                <w:rFonts w:ascii="Abadi" w:hAnsi="Abadi" w:cs="Calibri"/>
                <w:sz w:val="21"/>
                <w:szCs w:val="21"/>
              </w:rPr>
              <w:t>por el</w:t>
            </w:r>
            <w:r w:rsidRPr="00401C70">
              <w:rPr>
                <w:rFonts w:ascii="Abadi" w:hAnsi="Abadi" w:cs="Calibri"/>
                <w:spacing w:val="1"/>
                <w:sz w:val="21"/>
                <w:szCs w:val="21"/>
              </w:rPr>
              <w:t xml:space="preserve"> </w:t>
            </w:r>
            <w:r w:rsidRPr="00401C70">
              <w:rPr>
                <w:rFonts w:ascii="Abadi" w:hAnsi="Abadi" w:cs="Calibri"/>
                <w:sz w:val="21"/>
                <w:szCs w:val="21"/>
              </w:rPr>
              <w:t>pueblo</w:t>
            </w:r>
            <w:r w:rsidRPr="00401C70">
              <w:rPr>
                <w:rFonts w:ascii="Abadi" w:hAnsi="Abadi" w:cs="Calibri"/>
                <w:spacing w:val="1"/>
                <w:sz w:val="21"/>
                <w:szCs w:val="21"/>
              </w:rPr>
              <w:t xml:space="preserve"> </w:t>
            </w:r>
            <w:r w:rsidRPr="00401C70">
              <w:rPr>
                <w:rFonts w:ascii="Abadi" w:hAnsi="Abadi" w:cs="Calibri"/>
                <w:sz w:val="21"/>
                <w:szCs w:val="21"/>
              </w:rPr>
              <w:t>o</w:t>
            </w:r>
            <w:r w:rsidRPr="00401C70">
              <w:rPr>
                <w:rFonts w:ascii="Abadi" w:hAnsi="Abadi" w:cs="Calibri"/>
                <w:spacing w:val="1"/>
                <w:sz w:val="21"/>
                <w:szCs w:val="21"/>
              </w:rPr>
              <w:t xml:space="preserve"> </w:t>
            </w:r>
            <w:r w:rsidRPr="00401C70">
              <w:rPr>
                <w:rFonts w:ascii="Abadi" w:hAnsi="Abadi" w:cs="Calibri"/>
                <w:sz w:val="21"/>
                <w:szCs w:val="21"/>
              </w:rPr>
              <w:t>comunidad</w:t>
            </w:r>
            <w:r w:rsidRPr="00401C70">
              <w:rPr>
                <w:rFonts w:ascii="Abadi" w:hAnsi="Abadi" w:cs="Calibri"/>
                <w:spacing w:val="1"/>
                <w:sz w:val="21"/>
                <w:szCs w:val="21"/>
              </w:rPr>
              <w:t xml:space="preserve"> </w:t>
            </w:r>
            <w:r w:rsidRPr="00401C70">
              <w:rPr>
                <w:rFonts w:ascii="Abadi" w:hAnsi="Abadi" w:cs="Calibri"/>
                <w:sz w:val="21"/>
                <w:szCs w:val="21"/>
              </w:rPr>
              <w:t>indígena,</w:t>
            </w:r>
            <w:r w:rsidRPr="00401C70">
              <w:rPr>
                <w:rFonts w:ascii="Abadi" w:hAnsi="Abadi" w:cs="Calibri"/>
                <w:spacing w:val="1"/>
                <w:sz w:val="21"/>
                <w:szCs w:val="21"/>
              </w:rPr>
              <w:t xml:space="preserve"> </w:t>
            </w:r>
            <w:r w:rsidRPr="00401C70">
              <w:rPr>
                <w:rFonts w:ascii="Abadi" w:hAnsi="Abadi" w:cs="Calibri"/>
                <w:sz w:val="21"/>
                <w:szCs w:val="21"/>
              </w:rPr>
              <w:t>ante</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Ayuntamiento.</w:t>
            </w:r>
          </w:p>
          <w:p w14:paraId="7FD220EC" w14:textId="77777777" w:rsidR="00677B7E" w:rsidRPr="00401C70" w:rsidRDefault="00677B7E" w:rsidP="00FA2590">
            <w:pPr>
              <w:kinsoku w:val="0"/>
              <w:overflowPunct w:val="0"/>
              <w:autoSpaceDE w:val="0"/>
              <w:autoSpaceDN w:val="0"/>
              <w:adjustRightInd w:val="0"/>
              <w:spacing w:before="4"/>
              <w:jc w:val="both"/>
              <w:rPr>
                <w:rFonts w:ascii="Abadi" w:hAnsi="Abadi"/>
                <w:sz w:val="21"/>
                <w:szCs w:val="21"/>
              </w:rPr>
            </w:pPr>
          </w:p>
          <w:p w14:paraId="3B45FE16" w14:textId="77777777" w:rsidR="00677B7E" w:rsidRPr="00401C70" w:rsidRDefault="00677B7E" w:rsidP="00FA2590">
            <w:pPr>
              <w:kinsoku w:val="0"/>
              <w:overflowPunct w:val="0"/>
              <w:autoSpaceDE w:val="0"/>
              <w:autoSpaceDN w:val="0"/>
              <w:adjustRightInd w:val="0"/>
              <w:ind w:left="107" w:right="91"/>
              <w:jc w:val="both"/>
              <w:rPr>
                <w:rFonts w:ascii="Abadi" w:hAnsi="Abadi" w:cs="Calibri"/>
                <w:sz w:val="21"/>
                <w:szCs w:val="21"/>
              </w:rPr>
            </w:pPr>
            <w:r w:rsidRPr="00401C70">
              <w:rPr>
                <w:rFonts w:ascii="Abadi" w:hAnsi="Abadi" w:cs="Calibri"/>
                <w:sz w:val="21"/>
                <w:szCs w:val="21"/>
              </w:rPr>
              <w:t>Cuando el Municipio forme parte de un área</w:t>
            </w:r>
            <w:r w:rsidRPr="00401C70">
              <w:rPr>
                <w:rFonts w:ascii="Abadi" w:hAnsi="Abadi" w:cs="Calibri"/>
                <w:spacing w:val="1"/>
                <w:sz w:val="21"/>
                <w:szCs w:val="21"/>
              </w:rPr>
              <w:t xml:space="preserve"> </w:t>
            </w:r>
            <w:r w:rsidRPr="00401C70">
              <w:rPr>
                <w:rFonts w:ascii="Abadi" w:hAnsi="Abadi" w:cs="Calibri"/>
                <w:sz w:val="21"/>
                <w:szCs w:val="21"/>
              </w:rPr>
              <w:t xml:space="preserve">conurbada o </w:t>
            </w:r>
            <w:r w:rsidRPr="00401C70">
              <w:rPr>
                <w:rFonts w:ascii="Abadi" w:hAnsi="Abadi" w:cs="Calibri"/>
                <w:sz w:val="21"/>
                <w:szCs w:val="21"/>
              </w:rPr>
              <w:lastRenderedPageBreak/>
              <w:t>zona metropolitana se invitará a</w:t>
            </w:r>
            <w:r w:rsidRPr="00401C70">
              <w:rPr>
                <w:rFonts w:ascii="Abadi" w:hAnsi="Abadi" w:cs="Calibri"/>
                <w:spacing w:val="1"/>
                <w:sz w:val="21"/>
                <w:szCs w:val="21"/>
              </w:rPr>
              <w:t xml:space="preserve"> </w:t>
            </w:r>
            <w:r w:rsidRPr="00401C70">
              <w:rPr>
                <w:rFonts w:ascii="Abadi" w:hAnsi="Abadi" w:cs="Calibri"/>
                <w:sz w:val="21"/>
                <w:szCs w:val="21"/>
              </w:rPr>
              <w:t>un</w:t>
            </w:r>
            <w:r w:rsidRPr="00401C70">
              <w:rPr>
                <w:rFonts w:ascii="Abadi" w:hAnsi="Abadi" w:cs="Calibri"/>
                <w:spacing w:val="-2"/>
                <w:sz w:val="21"/>
                <w:szCs w:val="21"/>
              </w:rPr>
              <w:t xml:space="preserve"> </w:t>
            </w:r>
            <w:r w:rsidRPr="00401C70">
              <w:rPr>
                <w:rFonts w:ascii="Abadi" w:hAnsi="Abadi" w:cs="Calibri"/>
                <w:sz w:val="21"/>
                <w:szCs w:val="21"/>
              </w:rPr>
              <w:t>representante de</w:t>
            </w:r>
            <w:r w:rsidRPr="00401C70">
              <w:rPr>
                <w:rFonts w:ascii="Abadi" w:hAnsi="Abadi" w:cs="Calibri"/>
                <w:spacing w:val="-4"/>
                <w:sz w:val="21"/>
                <w:szCs w:val="21"/>
              </w:rPr>
              <w:t xml:space="preserve"> </w:t>
            </w:r>
            <w:r w:rsidRPr="00401C70">
              <w:rPr>
                <w:rFonts w:ascii="Abadi" w:hAnsi="Abadi" w:cs="Calibri"/>
                <w:sz w:val="21"/>
                <w:szCs w:val="21"/>
              </w:rPr>
              <w:t>la comisión</w:t>
            </w:r>
            <w:r w:rsidRPr="00401C70">
              <w:rPr>
                <w:rFonts w:ascii="Abadi" w:hAnsi="Abadi" w:cs="Calibri"/>
                <w:spacing w:val="-5"/>
                <w:sz w:val="21"/>
                <w:szCs w:val="21"/>
              </w:rPr>
              <w:t xml:space="preserve"> </w:t>
            </w:r>
            <w:r w:rsidRPr="00401C70">
              <w:rPr>
                <w:rFonts w:ascii="Abadi" w:hAnsi="Abadi" w:cs="Calibri"/>
                <w:sz w:val="21"/>
                <w:szCs w:val="21"/>
              </w:rPr>
              <w:t>respectiva.</w:t>
            </w:r>
          </w:p>
          <w:p w14:paraId="073171AE" w14:textId="77777777" w:rsidR="00677B7E" w:rsidRPr="00401C70" w:rsidRDefault="00677B7E" w:rsidP="00FA2590">
            <w:pPr>
              <w:kinsoku w:val="0"/>
              <w:overflowPunct w:val="0"/>
              <w:autoSpaceDE w:val="0"/>
              <w:autoSpaceDN w:val="0"/>
              <w:adjustRightInd w:val="0"/>
              <w:spacing w:before="5"/>
              <w:jc w:val="both"/>
              <w:rPr>
                <w:rFonts w:ascii="Abadi" w:hAnsi="Abadi"/>
                <w:sz w:val="21"/>
                <w:szCs w:val="21"/>
              </w:rPr>
            </w:pPr>
          </w:p>
          <w:p w14:paraId="0EE2D1F7" w14:textId="77777777" w:rsidR="00677B7E" w:rsidRPr="00401C70" w:rsidRDefault="00677B7E" w:rsidP="00FA2590">
            <w:pPr>
              <w:kinsoku w:val="0"/>
              <w:overflowPunct w:val="0"/>
              <w:autoSpaceDE w:val="0"/>
              <w:autoSpaceDN w:val="0"/>
              <w:adjustRightInd w:val="0"/>
              <w:ind w:left="107" w:right="94"/>
              <w:jc w:val="both"/>
              <w:rPr>
                <w:rFonts w:ascii="Abadi" w:hAnsi="Abadi" w:cs="Calibri"/>
                <w:sz w:val="21"/>
                <w:szCs w:val="21"/>
              </w:rPr>
            </w:pPr>
            <w:r w:rsidRPr="00401C70">
              <w:rPr>
                <w:rFonts w:ascii="Abadi" w:hAnsi="Abadi" w:cs="Calibri"/>
                <w:sz w:val="21"/>
                <w:szCs w:val="21"/>
              </w:rPr>
              <w:t>Los cargos de quienes integran los Consejos de</w:t>
            </w:r>
            <w:r w:rsidRPr="00401C70">
              <w:rPr>
                <w:rFonts w:ascii="Abadi" w:hAnsi="Abadi" w:cs="Calibri"/>
                <w:spacing w:val="-47"/>
                <w:sz w:val="21"/>
                <w:szCs w:val="21"/>
              </w:rPr>
              <w:t xml:space="preserve"> </w:t>
            </w:r>
            <w:r w:rsidRPr="00401C70">
              <w:rPr>
                <w:rFonts w:ascii="Abadi" w:hAnsi="Abadi" w:cs="Calibri"/>
                <w:sz w:val="21"/>
                <w:szCs w:val="21"/>
              </w:rPr>
              <w:t>Planeación</w:t>
            </w:r>
            <w:r w:rsidRPr="00401C70">
              <w:rPr>
                <w:rFonts w:ascii="Abadi" w:hAnsi="Abadi" w:cs="Calibri"/>
                <w:spacing w:val="-7"/>
                <w:sz w:val="21"/>
                <w:szCs w:val="21"/>
              </w:rPr>
              <w:t xml:space="preserve"> </w:t>
            </w:r>
            <w:r w:rsidRPr="00401C70">
              <w:rPr>
                <w:rFonts w:ascii="Abadi" w:hAnsi="Abadi" w:cs="Calibri"/>
                <w:sz w:val="21"/>
                <w:szCs w:val="21"/>
              </w:rPr>
              <w:t>de</w:t>
            </w:r>
            <w:r w:rsidRPr="00401C70">
              <w:rPr>
                <w:rFonts w:ascii="Abadi" w:hAnsi="Abadi" w:cs="Calibri"/>
                <w:spacing w:val="-10"/>
                <w:sz w:val="21"/>
                <w:szCs w:val="21"/>
              </w:rPr>
              <w:t xml:space="preserve"> </w:t>
            </w:r>
            <w:r w:rsidRPr="00401C70">
              <w:rPr>
                <w:rFonts w:ascii="Abadi" w:hAnsi="Abadi" w:cs="Calibri"/>
                <w:sz w:val="21"/>
                <w:szCs w:val="21"/>
              </w:rPr>
              <w:t>Desarrollo</w:t>
            </w:r>
            <w:r w:rsidRPr="00401C70">
              <w:rPr>
                <w:rFonts w:ascii="Abadi" w:hAnsi="Abadi" w:cs="Calibri"/>
                <w:spacing w:val="-9"/>
                <w:sz w:val="21"/>
                <w:szCs w:val="21"/>
              </w:rPr>
              <w:t xml:space="preserve"> </w:t>
            </w:r>
            <w:r w:rsidRPr="00401C70">
              <w:rPr>
                <w:rFonts w:ascii="Abadi" w:hAnsi="Abadi" w:cs="Calibri"/>
                <w:sz w:val="21"/>
                <w:szCs w:val="21"/>
              </w:rPr>
              <w:t>Municipales,</w:t>
            </w:r>
            <w:r w:rsidRPr="00401C70">
              <w:rPr>
                <w:rFonts w:ascii="Abadi" w:hAnsi="Abadi" w:cs="Calibri"/>
                <w:spacing w:val="-6"/>
                <w:sz w:val="21"/>
                <w:szCs w:val="21"/>
              </w:rPr>
              <w:t xml:space="preserve"> </w:t>
            </w:r>
            <w:r w:rsidRPr="00401C70">
              <w:rPr>
                <w:rFonts w:ascii="Abadi" w:hAnsi="Abadi" w:cs="Calibri"/>
                <w:sz w:val="21"/>
                <w:szCs w:val="21"/>
              </w:rPr>
              <w:t>serán</w:t>
            </w:r>
            <w:r w:rsidRPr="00401C70">
              <w:rPr>
                <w:rFonts w:ascii="Abadi" w:hAnsi="Abadi" w:cs="Calibri"/>
                <w:spacing w:val="-6"/>
                <w:sz w:val="21"/>
                <w:szCs w:val="21"/>
              </w:rPr>
              <w:t xml:space="preserve"> </w:t>
            </w:r>
            <w:r w:rsidRPr="00401C70">
              <w:rPr>
                <w:rFonts w:ascii="Abadi" w:hAnsi="Abadi" w:cs="Calibri"/>
                <w:sz w:val="21"/>
                <w:szCs w:val="21"/>
              </w:rPr>
              <w:t>de</w:t>
            </w:r>
            <w:r w:rsidRPr="00401C70">
              <w:rPr>
                <w:rFonts w:ascii="Abadi" w:hAnsi="Abadi" w:cs="Calibri"/>
                <w:spacing w:val="-47"/>
                <w:sz w:val="21"/>
                <w:szCs w:val="21"/>
              </w:rPr>
              <w:t xml:space="preserve"> </w:t>
            </w:r>
            <w:r w:rsidRPr="00401C70">
              <w:rPr>
                <w:rFonts w:ascii="Abadi" w:hAnsi="Abadi" w:cs="Calibri"/>
                <w:sz w:val="21"/>
                <w:szCs w:val="21"/>
              </w:rPr>
              <w:t>carácter</w:t>
            </w:r>
            <w:r w:rsidRPr="00401C70">
              <w:rPr>
                <w:rFonts w:ascii="Abadi" w:hAnsi="Abadi" w:cs="Calibri"/>
                <w:spacing w:val="-4"/>
                <w:sz w:val="21"/>
                <w:szCs w:val="21"/>
              </w:rPr>
              <w:t xml:space="preserve"> </w:t>
            </w:r>
            <w:r w:rsidRPr="00401C70">
              <w:rPr>
                <w:rFonts w:ascii="Abadi" w:hAnsi="Abadi" w:cs="Calibri"/>
                <w:sz w:val="21"/>
                <w:szCs w:val="21"/>
              </w:rPr>
              <w:t>honorífico.</w:t>
            </w:r>
          </w:p>
        </w:tc>
      </w:tr>
      <w:tr w:rsidR="00677B7E" w:rsidRPr="00401C70" w14:paraId="5EC2A1D0" w14:textId="77777777" w:rsidTr="003343AD">
        <w:trPr>
          <w:trHeight w:val="2417"/>
        </w:trPr>
        <w:tc>
          <w:tcPr>
            <w:tcW w:w="2500" w:type="pct"/>
            <w:tcBorders>
              <w:top w:val="single" w:sz="4" w:space="0" w:color="000000"/>
              <w:left w:val="single" w:sz="4" w:space="0" w:color="000000"/>
              <w:bottom w:val="single" w:sz="4" w:space="0" w:color="000000"/>
              <w:right w:val="single" w:sz="4" w:space="0" w:color="000000"/>
            </w:tcBorders>
          </w:tcPr>
          <w:p w14:paraId="74322E93" w14:textId="77777777" w:rsidR="00677B7E" w:rsidRPr="00401C70" w:rsidRDefault="00677B7E" w:rsidP="00FA2590">
            <w:pPr>
              <w:kinsoku w:val="0"/>
              <w:overflowPunct w:val="0"/>
              <w:autoSpaceDE w:val="0"/>
              <w:autoSpaceDN w:val="0"/>
              <w:adjustRightInd w:val="0"/>
              <w:ind w:left="107" w:right="87"/>
              <w:jc w:val="both"/>
              <w:rPr>
                <w:rFonts w:ascii="Abadi" w:hAnsi="Abadi" w:cs="Calibri"/>
                <w:sz w:val="21"/>
                <w:szCs w:val="21"/>
              </w:rPr>
            </w:pPr>
            <w:r w:rsidRPr="00401C70">
              <w:rPr>
                <w:rFonts w:ascii="Abadi" w:hAnsi="Abadi" w:cs="Calibri"/>
                <w:b/>
                <w:bCs/>
                <w:sz w:val="21"/>
                <w:szCs w:val="21"/>
              </w:rPr>
              <w:lastRenderedPageBreak/>
              <w:t xml:space="preserve">Artículo   </w:t>
            </w:r>
            <w:r w:rsidRPr="00401C70">
              <w:rPr>
                <w:rFonts w:ascii="Abadi" w:hAnsi="Abadi" w:cs="Calibri"/>
                <w:b/>
                <w:bCs/>
                <w:spacing w:val="25"/>
                <w:sz w:val="21"/>
                <w:szCs w:val="21"/>
              </w:rPr>
              <w:t xml:space="preserve"> </w:t>
            </w:r>
            <w:r w:rsidRPr="00401C70">
              <w:rPr>
                <w:rFonts w:ascii="Abadi" w:hAnsi="Abadi" w:cs="Calibri"/>
                <w:b/>
                <w:bCs/>
                <w:spacing w:val="-1"/>
                <w:sz w:val="21"/>
                <w:szCs w:val="21"/>
              </w:rPr>
              <w:t>120.</w:t>
            </w:r>
            <w:r w:rsidRPr="00401C70">
              <w:rPr>
                <w:rFonts w:ascii="Abadi" w:hAnsi="Abadi" w:cs="Calibri"/>
                <w:b/>
                <w:bCs/>
                <w:spacing w:val="64"/>
                <w:sz w:val="21"/>
                <w:szCs w:val="21"/>
              </w:rPr>
              <w:t xml:space="preserve">  </w:t>
            </w:r>
            <w:r w:rsidRPr="00401C70">
              <w:rPr>
                <w:rFonts w:ascii="Abadi" w:hAnsi="Abadi" w:cs="Calibri"/>
                <w:sz w:val="21"/>
                <w:szCs w:val="21"/>
              </w:rPr>
              <w:t xml:space="preserve">La   </w:t>
            </w:r>
            <w:r w:rsidRPr="00401C70">
              <w:rPr>
                <w:rFonts w:ascii="Abadi" w:hAnsi="Abadi" w:cs="Calibri"/>
                <w:spacing w:val="27"/>
                <w:sz w:val="21"/>
                <w:szCs w:val="21"/>
              </w:rPr>
              <w:t xml:space="preserve"> </w:t>
            </w:r>
            <w:r w:rsidRPr="00401C70">
              <w:rPr>
                <w:rFonts w:ascii="Abadi" w:hAnsi="Abadi" w:cs="Calibri"/>
                <w:sz w:val="21"/>
                <w:szCs w:val="21"/>
              </w:rPr>
              <w:t xml:space="preserve">administración   </w:t>
            </w:r>
            <w:r w:rsidRPr="00401C70">
              <w:rPr>
                <w:rFonts w:ascii="Abadi" w:hAnsi="Abadi" w:cs="Calibri"/>
                <w:spacing w:val="25"/>
                <w:sz w:val="21"/>
                <w:szCs w:val="21"/>
              </w:rPr>
              <w:t xml:space="preserve"> </w:t>
            </w:r>
            <w:r w:rsidRPr="00401C70">
              <w:rPr>
                <w:rFonts w:ascii="Abadi" w:hAnsi="Abadi" w:cs="Calibri"/>
                <w:sz w:val="21"/>
                <w:szCs w:val="21"/>
              </w:rPr>
              <w:t>pública</w:t>
            </w:r>
            <w:r w:rsidRPr="00401C70">
              <w:rPr>
                <w:rFonts w:ascii="Abadi" w:hAnsi="Abadi" w:cs="Calibri"/>
                <w:spacing w:val="-46"/>
                <w:sz w:val="21"/>
                <w:szCs w:val="21"/>
              </w:rPr>
              <w:t xml:space="preserve"> </w:t>
            </w:r>
            <w:r w:rsidRPr="00401C70">
              <w:rPr>
                <w:rFonts w:ascii="Abadi" w:hAnsi="Abadi" w:cs="Calibri"/>
                <w:sz w:val="21"/>
                <w:szCs w:val="21"/>
              </w:rPr>
              <w:t>municipal</w:t>
            </w:r>
            <w:r w:rsidRPr="00401C70">
              <w:rPr>
                <w:rFonts w:ascii="Abadi" w:hAnsi="Abadi" w:cs="Calibri"/>
                <w:spacing w:val="-2"/>
                <w:sz w:val="21"/>
                <w:szCs w:val="21"/>
              </w:rPr>
              <w:t xml:space="preserve"> </w:t>
            </w:r>
            <w:r w:rsidRPr="00401C70">
              <w:rPr>
                <w:rFonts w:ascii="Abadi" w:hAnsi="Abadi" w:cs="Calibri"/>
                <w:sz w:val="21"/>
                <w:szCs w:val="21"/>
              </w:rPr>
              <w:t>será</w:t>
            </w:r>
            <w:r w:rsidRPr="00401C70">
              <w:rPr>
                <w:rFonts w:ascii="Abadi" w:hAnsi="Abadi" w:cs="Calibri"/>
                <w:spacing w:val="-4"/>
                <w:sz w:val="21"/>
                <w:szCs w:val="21"/>
              </w:rPr>
              <w:t xml:space="preserve"> </w:t>
            </w:r>
            <w:r w:rsidRPr="00401C70">
              <w:rPr>
                <w:rFonts w:ascii="Abadi" w:hAnsi="Abadi" w:cs="Calibri"/>
                <w:sz w:val="21"/>
                <w:szCs w:val="21"/>
              </w:rPr>
              <w:t>centralizada</w:t>
            </w:r>
            <w:r w:rsidRPr="00401C70">
              <w:rPr>
                <w:rFonts w:ascii="Abadi" w:hAnsi="Abadi" w:cs="Calibri"/>
                <w:spacing w:val="-1"/>
                <w:sz w:val="21"/>
                <w:szCs w:val="21"/>
              </w:rPr>
              <w:t xml:space="preserve"> </w:t>
            </w:r>
            <w:r w:rsidRPr="00401C70">
              <w:rPr>
                <w:rFonts w:ascii="Abadi" w:hAnsi="Abadi" w:cs="Calibri"/>
                <w:sz w:val="21"/>
                <w:szCs w:val="21"/>
              </w:rPr>
              <w:t>y paramunicipal.</w:t>
            </w:r>
          </w:p>
        </w:tc>
        <w:tc>
          <w:tcPr>
            <w:tcW w:w="2500" w:type="pct"/>
            <w:tcBorders>
              <w:top w:val="single" w:sz="4" w:space="0" w:color="000000"/>
              <w:left w:val="single" w:sz="4" w:space="0" w:color="000000"/>
              <w:bottom w:val="single" w:sz="4" w:space="0" w:color="000000"/>
              <w:right w:val="single" w:sz="4" w:space="0" w:color="000000"/>
            </w:tcBorders>
          </w:tcPr>
          <w:p w14:paraId="4431A960" w14:textId="77777777" w:rsidR="00677B7E" w:rsidRPr="00401C70" w:rsidRDefault="00677B7E" w:rsidP="00FA2590">
            <w:pPr>
              <w:kinsoku w:val="0"/>
              <w:overflowPunct w:val="0"/>
              <w:autoSpaceDE w:val="0"/>
              <w:autoSpaceDN w:val="0"/>
              <w:adjustRightInd w:val="0"/>
              <w:ind w:left="107" w:right="93"/>
              <w:jc w:val="both"/>
              <w:rPr>
                <w:rFonts w:ascii="Abadi" w:hAnsi="Abadi" w:cs="Calibri"/>
                <w:sz w:val="21"/>
                <w:szCs w:val="21"/>
              </w:rPr>
            </w:pPr>
            <w:r w:rsidRPr="00401C70">
              <w:rPr>
                <w:rFonts w:ascii="Abadi" w:hAnsi="Abadi" w:cs="Calibri"/>
                <w:b/>
                <w:bCs/>
                <w:sz w:val="21"/>
                <w:szCs w:val="21"/>
              </w:rPr>
              <w:t>Artículo</w:t>
            </w:r>
            <w:r w:rsidRPr="00401C70">
              <w:rPr>
                <w:rFonts w:ascii="Abadi" w:hAnsi="Abadi" w:cs="Calibri"/>
                <w:b/>
                <w:bCs/>
                <w:spacing w:val="1"/>
                <w:sz w:val="21"/>
                <w:szCs w:val="21"/>
              </w:rPr>
              <w:t xml:space="preserve"> </w:t>
            </w:r>
            <w:r w:rsidRPr="00401C70">
              <w:rPr>
                <w:rFonts w:ascii="Abadi" w:hAnsi="Abadi" w:cs="Calibri"/>
                <w:b/>
                <w:bCs/>
                <w:sz w:val="21"/>
                <w:szCs w:val="21"/>
              </w:rPr>
              <w:t>120.</w:t>
            </w:r>
            <w:r w:rsidRPr="00401C70">
              <w:rPr>
                <w:rFonts w:ascii="Abadi" w:hAnsi="Abadi" w:cs="Calibri"/>
                <w:b/>
                <w:bCs/>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administración</w:t>
            </w:r>
            <w:r w:rsidRPr="00401C70">
              <w:rPr>
                <w:rFonts w:ascii="Abadi" w:hAnsi="Abadi" w:cs="Calibri"/>
                <w:spacing w:val="1"/>
                <w:sz w:val="21"/>
                <w:szCs w:val="21"/>
              </w:rPr>
              <w:t xml:space="preserve"> </w:t>
            </w:r>
            <w:r w:rsidRPr="00401C70">
              <w:rPr>
                <w:rFonts w:ascii="Abadi" w:hAnsi="Abadi" w:cs="Calibri"/>
                <w:sz w:val="21"/>
                <w:szCs w:val="21"/>
              </w:rPr>
              <w:t>pública</w:t>
            </w:r>
            <w:r w:rsidRPr="00401C70">
              <w:rPr>
                <w:rFonts w:ascii="Abadi" w:hAnsi="Abadi" w:cs="Calibri"/>
                <w:spacing w:val="1"/>
                <w:sz w:val="21"/>
                <w:szCs w:val="21"/>
              </w:rPr>
              <w:t xml:space="preserve"> </w:t>
            </w:r>
            <w:r w:rsidRPr="00401C70">
              <w:rPr>
                <w:rFonts w:ascii="Abadi" w:hAnsi="Abadi" w:cs="Calibri"/>
                <w:sz w:val="21"/>
                <w:szCs w:val="21"/>
              </w:rPr>
              <w:t>municipal</w:t>
            </w:r>
            <w:r w:rsidRPr="00401C70">
              <w:rPr>
                <w:rFonts w:ascii="Abadi" w:hAnsi="Abadi" w:cs="Calibri"/>
                <w:spacing w:val="-2"/>
                <w:sz w:val="21"/>
                <w:szCs w:val="21"/>
              </w:rPr>
              <w:t xml:space="preserve"> </w:t>
            </w:r>
            <w:r w:rsidRPr="00401C70">
              <w:rPr>
                <w:rFonts w:ascii="Abadi" w:hAnsi="Abadi" w:cs="Calibri"/>
                <w:sz w:val="21"/>
                <w:szCs w:val="21"/>
              </w:rPr>
              <w:t>será</w:t>
            </w:r>
            <w:r w:rsidRPr="00401C70">
              <w:rPr>
                <w:rFonts w:ascii="Abadi" w:hAnsi="Abadi" w:cs="Calibri"/>
                <w:spacing w:val="-4"/>
                <w:sz w:val="21"/>
                <w:szCs w:val="21"/>
              </w:rPr>
              <w:t xml:space="preserve"> </w:t>
            </w:r>
            <w:r w:rsidRPr="00401C70">
              <w:rPr>
                <w:rFonts w:ascii="Abadi" w:hAnsi="Abadi" w:cs="Calibri"/>
                <w:sz w:val="21"/>
                <w:szCs w:val="21"/>
              </w:rPr>
              <w:t>centralizada</w:t>
            </w:r>
            <w:r w:rsidRPr="00401C70">
              <w:rPr>
                <w:rFonts w:ascii="Abadi" w:hAnsi="Abadi" w:cs="Calibri"/>
                <w:spacing w:val="-1"/>
                <w:sz w:val="21"/>
                <w:szCs w:val="21"/>
              </w:rPr>
              <w:t xml:space="preserve"> </w:t>
            </w:r>
            <w:r w:rsidRPr="00401C70">
              <w:rPr>
                <w:rFonts w:ascii="Abadi" w:hAnsi="Abadi" w:cs="Calibri"/>
                <w:sz w:val="21"/>
                <w:szCs w:val="21"/>
              </w:rPr>
              <w:t>y paramunicipal.</w:t>
            </w:r>
          </w:p>
          <w:p w14:paraId="403B97F9" w14:textId="77777777" w:rsidR="00677B7E" w:rsidRPr="00401C70" w:rsidRDefault="00677B7E" w:rsidP="00FA2590">
            <w:pPr>
              <w:kinsoku w:val="0"/>
              <w:overflowPunct w:val="0"/>
              <w:autoSpaceDE w:val="0"/>
              <w:autoSpaceDN w:val="0"/>
              <w:adjustRightInd w:val="0"/>
              <w:spacing w:before="4"/>
              <w:jc w:val="both"/>
              <w:rPr>
                <w:rFonts w:ascii="Abadi" w:hAnsi="Abadi"/>
                <w:sz w:val="21"/>
                <w:szCs w:val="21"/>
              </w:rPr>
            </w:pPr>
          </w:p>
          <w:p w14:paraId="49420BF7" w14:textId="77777777" w:rsidR="00677B7E" w:rsidRPr="00401C70" w:rsidRDefault="00677B7E" w:rsidP="00FA2590">
            <w:pPr>
              <w:kinsoku w:val="0"/>
              <w:overflowPunct w:val="0"/>
              <w:autoSpaceDE w:val="0"/>
              <w:autoSpaceDN w:val="0"/>
              <w:adjustRightInd w:val="0"/>
              <w:ind w:left="107" w:right="93"/>
              <w:jc w:val="both"/>
              <w:rPr>
                <w:rFonts w:ascii="Abadi" w:hAnsi="Abadi" w:cs="Calibri"/>
                <w:b/>
                <w:bCs/>
                <w:i/>
                <w:iCs/>
                <w:sz w:val="21"/>
                <w:szCs w:val="21"/>
              </w:rPr>
            </w:pPr>
            <w:r w:rsidRPr="00401C70">
              <w:rPr>
                <w:rFonts w:ascii="Abadi" w:hAnsi="Abadi" w:cs="Calibri"/>
                <w:b/>
                <w:bCs/>
                <w:i/>
                <w:iCs/>
                <w:sz w:val="21"/>
                <w:szCs w:val="21"/>
              </w:rPr>
              <w:t>En</w:t>
            </w:r>
            <w:r w:rsidRPr="00401C70">
              <w:rPr>
                <w:rFonts w:ascii="Abadi" w:hAnsi="Abadi" w:cs="Calibri"/>
                <w:b/>
                <w:bCs/>
                <w:i/>
                <w:iCs/>
                <w:spacing w:val="1"/>
                <w:sz w:val="21"/>
                <w:szCs w:val="21"/>
              </w:rPr>
              <w:t xml:space="preserve"> </w:t>
            </w:r>
            <w:r w:rsidRPr="00401C70">
              <w:rPr>
                <w:rFonts w:ascii="Abadi" w:hAnsi="Abadi" w:cs="Calibri"/>
                <w:b/>
                <w:bCs/>
                <w:i/>
                <w:iCs/>
                <w:sz w:val="21"/>
                <w:szCs w:val="21"/>
              </w:rPr>
              <w:t>los</w:t>
            </w:r>
            <w:r w:rsidRPr="00401C70">
              <w:rPr>
                <w:rFonts w:ascii="Abadi" w:hAnsi="Abadi" w:cs="Calibri"/>
                <w:b/>
                <w:bCs/>
                <w:i/>
                <w:iCs/>
                <w:spacing w:val="1"/>
                <w:sz w:val="21"/>
                <w:szCs w:val="21"/>
              </w:rPr>
              <w:t xml:space="preserve"> </w:t>
            </w:r>
            <w:r w:rsidRPr="00401C70">
              <w:rPr>
                <w:rFonts w:ascii="Abadi" w:hAnsi="Abadi" w:cs="Calibri"/>
                <w:b/>
                <w:bCs/>
                <w:i/>
                <w:iCs/>
                <w:sz w:val="21"/>
                <w:szCs w:val="21"/>
              </w:rPr>
              <w:t>nombramientos</w:t>
            </w:r>
            <w:r w:rsidRPr="00401C70">
              <w:rPr>
                <w:rFonts w:ascii="Abadi" w:hAnsi="Abadi" w:cs="Calibri"/>
                <w:b/>
                <w:bCs/>
                <w:i/>
                <w:iCs/>
                <w:spacing w:val="1"/>
                <w:sz w:val="21"/>
                <w:szCs w:val="21"/>
              </w:rPr>
              <w:t xml:space="preserve"> </w:t>
            </w:r>
            <w:r w:rsidRPr="00401C70">
              <w:rPr>
                <w:rFonts w:ascii="Abadi" w:hAnsi="Abadi" w:cs="Calibri"/>
                <w:b/>
                <w:bCs/>
                <w:i/>
                <w:iCs/>
                <w:sz w:val="21"/>
                <w:szCs w:val="21"/>
              </w:rPr>
              <w:t>de</w:t>
            </w:r>
            <w:r w:rsidRPr="00401C70">
              <w:rPr>
                <w:rFonts w:ascii="Abadi" w:hAnsi="Abadi" w:cs="Calibri"/>
                <w:b/>
                <w:bCs/>
                <w:i/>
                <w:iCs/>
                <w:spacing w:val="1"/>
                <w:sz w:val="21"/>
                <w:szCs w:val="21"/>
              </w:rPr>
              <w:t xml:space="preserve"> </w:t>
            </w:r>
            <w:r w:rsidRPr="00401C70">
              <w:rPr>
                <w:rFonts w:ascii="Abadi" w:hAnsi="Abadi" w:cs="Calibri"/>
                <w:b/>
                <w:bCs/>
                <w:i/>
                <w:iCs/>
                <w:sz w:val="21"/>
                <w:szCs w:val="21"/>
              </w:rPr>
              <w:t>las</w:t>
            </w:r>
            <w:r w:rsidRPr="00401C70">
              <w:rPr>
                <w:rFonts w:ascii="Abadi" w:hAnsi="Abadi" w:cs="Calibri"/>
                <w:b/>
                <w:bCs/>
                <w:i/>
                <w:iCs/>
                <w:spacing w:val="1"/>
                <w:sz w:val="21"/>
                <w:szCs w:val="21"/>
              </w:rPr>
              <w:t xml:space="preserve"> </w:t>
            </w:r>
            <w:r w:rsidRPr="00401C70">
              <w:rPr>
                <w:rFonts w:ascii="Abadi" w:hAnsi="Abadi" w:cs="Calibri"/>
                <w:b/>
                <w:bCs/>
                <w:i/>
                <w:iCs/>
                <w:sz w:val="21"/>
                <w:szCs w:val="21"/>
              </w:rPr>
              <w:t>personas</w:t>
            </w:r>
            <w:r w:rsidRPr="00401C70">
              <w:rPr>
                <w:rFonts w:ascii="Abadi" w:hAnsi="Abadi" w:cs="Calibri"/>
                <w:b/>
                <w:bCs/>
                <w:i/>
                <w:iCs/>
                <w:spacing w:val="1"/>
                <w:sz w:val="21"/>
                <w:szCs w:val="21"/>
              </w:rPr>
              <w:t xml:space="preserve"> </w:t>
            </w:r>
            <w:r w:rsidRPr="00401C70">
              <w:rPr>
                <w:rFonts w:ascii="Abadi" w:hAnsi="Abadi" w:cs="Calibri"/>
                <w:b/>
                <w:bCs/>
                <w:i/>
                <w:iCs/>
                <w:sz w:val="21"/>
                <w:szCs w:val="21"/>
              </w:rPr>
              <w:t>titulares de las dependencias y entidades que</w:t>
            </w:r>
            <w:r w:rsidRPr="00401C70">
              <w:rPr>
                <w:rFonts w:ascii="Abadi" w:hAnsi="Abadi" w:cs="Calibri"/>
                <w:b/>
                <w:bCs/>
                <w:i/>
                <w:iCs/>
                <w:spacing w:val="1"/>
                <w:sz w:val="21"/>
                <w:szCs w:val="21"/>
              </w:rPr>
              <w:t xml:space="preserve"> </w:t>
            </w:r>
            <w:r w:rsidRPr="00401C70">
              <w:rPr>
                <w:rFonts w:ascii="Abadi" w:hAnsi="Abadi" w:cs="Calibri"/>
                <w:b/>
                <w:bCs/>
                <w:i/>
                <w:iCs/>
                <w:sz w:val="21"/>
                <w:szCs w:val="21"/>
              </w:rPr>
              <w:t>conforman</w:t>
            </w:r>
            <w:r w:rsidRPr="00401C70">
              <w:rPr>
                <w:rFonts w:ascii="Abadi" w:hAnsi="Abadi" w:cs="Calibri"/>
                <w:b/>
                <w:bCs/>
                <w:i/>
                <w:iCs/>
                <w:spacing w:val="1"/>
                <w:sz w:val="21"/>
                <w:szCs w:val="21"/>
              </w:rPr>
              <w:t xml:space="preserve"> </w:t>
            </w:r>
            <w:r w:rsidRPr="00401C70">
              <w:rPr>
                <w:rFonts w:ascii="Abadi" w:hAnsi="Abadi" w:cs="Calibri"/>
                <w:b/>
                <w:bCs/>
                <w:i/>
                <w:iCs/>
                <w:sz w:val="21"/>
                <w:szCs w:val="21"/>
              </w:rPr>
              <w:t>la</w:t>
            </w:r>
            <w:r w:rsidRPr="00401C70">
              <w:rPr>
                <w:rFonts w:ascii="Abadi" w:hAnsi="Abadi" w:cs="Calibri"/>
                <w:b/>
                <w:bCs/>
                <w:i/>
                <w:iCs/>
                <w:spacing w:val="1"/>
                <w:sz w:val="21"/>
                <w:szCs w:val="21"/>
              </w:rPr>
              <w:t xml:space="preserve"> </w:t>
            </w:r>
            <w:r w:rsidRPr="00401C70">
              <w:rPr>
                <w:rFonts w:ascii="Abadi" w:hAnsi="Abadi" w:cs="Calibri"/>
                <w:b/>
                <w:bCs/>
                <w:i/>
                <w:iCs/>
                <w:sz w:val="21"/>
                <w:szCs w:val="21"/>
              </w:rPr>
              <w:t>administración</w:t>
            </w:r>
            <w:r w:rsidRPr="00401C70">
              <w:rPr>
                <w:rFonts w:ascii="Abadi" w:hAnsi="Abadi" w:cs="Calibri"/>
                <w:b/>
                <w:bCs/>
                <w:i/>
                <w:iCs/>
                <w:spacing w:val="1"/>
                <w:sz w:val="21"/>
                <w:szCs w:val="21"/>
              </w:rPr>
              <w:t xml:space="preserve"> </w:t>
            </w:r>
            <w:r w:rsidRPr="00401C70">
              <w:rPr>
                <w:rFonts w:ascii="Abadi" w:hAnsi="Abadi" w:cs="Calibri"/>
                <w:b/>
                <w:bCs/>
                <w:i/>
                <w:iCs/>
                <w:sz w:val="21"/>
                <w:szCs w:val="21"/>
              </w:rPr>
              <w:t>pública</w:t>
            </w:r>
            <w:r w:rsidRPr="00401C70">
              <w:rPr>
                <w:rFonts w:ascii="Abadi" w:hAnsi="Abadi" w:cs="Calibri"/>
                <w:b/>
                <w:bCs/>
                <w:i/>
                <w:iCs/>
                <w:spacing w:val="1"/>
                <w:sz w:val="21"/>
                <w:szCs w:val="21"/>
              </w:rPr>
              <w:t xml:space="preserve"> </w:t>
            </w:r>
            <w:r w:rsidRPr="00401C70">
              <w:rPr>
                <w:rFonts w:ascii="Abadi" w:hAnsi="Abadi" w:cs="Calibri"/>
                <w:b/>
                <w:bCs/>
                <w:i/>
                <w:iCs/>
                <w:sz w:val="21"/>
                <w:szCs w:val="21"/>
              </w:rPr>
              <w:t>municipal</w:t>
            </w:r>
            <w:r w:rsidRPr="00401C70">
              <w:rPr>
                <w:rFonts w:ascii="Abadi" w:hAnsi="Abadi" w:cs="Calibri"/>
                <w:b/>
                <w:bCs/>
                <w:i/>
                <w:iCs/>
                <w:spacing w:val="1"/>
                <w:sz w:val="21"/>
                <w:szCs w:val="21"/>
              </w:rPr>
              <w:t xml:space="preserve"> </w:t>
            </w:r>
            <w:r w:rsidRPr="00401C70">
              <w:rPr>
                <w:rFonts w:ascii="Abadi" w:hAnsi="Abadi" w:cs="Calibri"/>
                <w:b/>
                <w:bCs/>
                <w:i/>
                <w:iCs/>
                <w:sz w:val="21"/>
                <w:szCs w:val="21"/>
              </w:rPr>
              <w:t>centralizada</w:t>
            </w:r>
            <w:r w:rsidRPr="00401C70">
              <w:rPr>
                <w:rFonts w:ascii="Abadi" w:hAnsi="Abadi" w:cs="Calibri"/>
                <w:b/>
                <w:bCs/>
                <w:i/>
                <w:iCs/>
                <w:spacing w:val="1"/>
                <w:sz w:val="21"/>
                <w:szCs w:val="21"/>
              </w:rPr>
              <w:t xml:space="preserve"> </w:t>
            </w:r>
            <w:r w:rsidRPr="00401C70">
              <w:rPr>
                <w:rFonts w:ascii="Abadi" w:hAnsi="Abadi" w:cs="Calibri"/>
                <w:b/>
                <w:bCs/>
                <w:i/>
                <w:iCs/>
                <w:sz w:val="21"/>
                <w:szCs w:val="21"/>
              </w:rPr>
              <w:t>y</w:t>
            </w:r>
            <w:r w:rsidRPr="00401C70">
              <w:rPr>
                <w:rFonts w:ascii="Abadi" w:hAnsi="Abadi" w:cs="Calibri"/>
                <w:b/>
                <w:bCs/>
                <w:i/>
                <w:iCs/>
                <w:spacing w:val="1"/>
                <w:sz w:val="21"/>
                <w:szCs w:val="21"/>
              </w:rPr>
              <w:t xml:space="preserve"> </w:t>
            </w:r>
            <w:r w:rsidRPr="00401C70">
              <w:rPr>
                <w:rFonts w:ascii="Abadi" w:hAnsi="Abadi" w:cs="Calibri"/>
                <w:b/>
                <w:bCs/>
                <w:i/>
                <w:iCs/>
                <w:sz w:val="21"/>
                <w:szCs w:val="21"/>
              </w:rPr>
              <w:t>paramunicipal</w:t>
            </w:r>
            <w:r w:rsidRPr="00401C70">
              <w:rPr>
                <w:rFonts w:ascii="Abadi" w:hAnsi="Abadi" w:cs="Calibri"/>
                <w:b/>
                <w:bCs/>
                <w:i/>
                <w:iCs/>
                <w:spacing w:val="1"/>
                <w:sz w:val="21"/>
                <w:szCs w:val="21"/>
              </w:rPr>
              <w:t xml:space="preserve"> </w:t>
            </w:r>
            <w:r w:rsidRPr="00401C70">
              <w:rPr>
                <w:rFonts w:ascii="Abadi" w:hAnsi="Abadi" w:cs="Calibri"/>
                <w:b/>
                <w:bCs/>
                <w:i/>
                <w:iCs/>
                <w:sz w:val="21"/>
                <w:szCs w:val="21"/>
              </w:rPr>
              <w:t>se</w:t>
            </w:r>
            <w:r w:rsidRPr="00401C70">
              <w:rPr>
                <w:rFonts w:ascii="Abadi" w:hAnsi="Abadi" w:cs="Calibri"/>
                <w:b/>
                <w:bCs/>
                <w:i/>
                <w:iCs/>
                <w:spacing w:val="1"/>
                <w:sz w:val="21"/>
                <w:szCs w:val="21"/>
              </w:rPr>
              <w:t xml:space="preserve"> </w:t>
            </w:r>
            <w:r w:rsidRPr="00401C70">
              <w:rPr>
                <w:rFonts w:ascii="Abadi" w:hAnsi="Abadi" w:cs="Calibri"/>
                <w:b/>
                <w:bCs/>
                <w:i/>
                <w:iCs/>
                <w:sz w:val="21"/>
                <w:szCs w:val="21"/>
              </w:rPr>
              <w:t>deberá</w:t>
            </w:r>
            <w:r w:rsidRPr="00401C70">
              <w:rPr>
                <w:rFonts w:ascii="Abadi" w:hAnsi="Abadi" w:cs="Calibri"/>
                <w:b/>
                <w:bCs/>
                <w:i/>
                <w:iCs/>
                <w:spacing w:val="3"/>
                <w:sz w:val="21"/>
                <w:szCs w:val="21"/>
              </w:rPr>
              <w:t xml:space="preserve"> </w:t>
            </w:r>
            <w:r w:rsidRPr="00401C70">
              <w:rPr>
                <w:rFonts w:ascii="Abadi" w:hAnsi="Abadi" w:cs="Calibri"/>
                <w:b/>
                <w:bCs/>
                <w:i/>
                <w:iCs/>
                <w:sz w:val="21"/>
                <w:szCs w:val="21"/>
              </w:rPr>
              <w:t>observar</w:t>
            </w:r>
            <w:r w:rsidRPr="00401C70">
              <w:rPr>
                <w:rFonts w:ascii="Abadi" w:hAnsi="Abadi" w:cs="Calibri"/>
                <w:b/>
                <w:bCs/>
                <w:i/>
                <w:iCs/>
                <w:spacing w:val="6"/>
                <w:sz w:val="21"/>
                <w:szCs w:val="21"/>
              </w:rPr>
              <w:t xml:space="preserve"> </w:t>
            </w:r>
            <w:r w:rsidRPr="00401C70">
              <w:rPr>
                <w:rFonts w:ascii="Abadi" w:hAnsi="Abadi" w:cs="Calibri"/>
                <w:b/>
                <w:bCs/>
                <w:i/>
                <w:iCs/>
                <w:sz w:val="21"/>
                <w:szCs w:val="21"/>
              </w:rPr>
              <w:t>el</w:t>
            </w:r>
            <w:r w:rsidRPr="00401C70">
              <w:rPr>
                <w:rFonts w:ascii="Abadi" w:hAnsi="Abadi" w:cs="Calibri"/>
                <w:b/>
                <w:bCs/>
                <w:i/>
                <w:iCs/>
                <w:spacing w:val="5"/>
                <w:sz w:val="21"/>
                <w:szCs w:val="21"/>
              </w:rPr>
              <w:t xml:space="preserve"> </w:t>
            </w:r>
            <w:r w:rsidRPr="00401C70">
              <w:rPr>
                <w:rFonts w:ascii="Abadi" w:hAnsi="Abadi" w:cs="Calibri"/>
                <w:b/>
                <w:bCs/>
                <w:i/>
                <w:iCs/>
                <w:sz w:val="21"/>
                <w:szCs w:val="21"/>
              </w:rPr>
              <w:t>principio</w:t>
            </w:r>
            <w:r w:rsidRPr="00401C70">
              <w:rPr>
                <w:rFonts w:ascii="Abadi" w:hAnsi="Abadi" w:cs="Calibri"/>
                <w:b/>
                <w:bCs/>
                <w:i/>
                <w:iCs/>
                <w:spacing w:val="5"/>
                <w:sz w:val="21"/>
                <w:szCs w:val="21"/>
              </w:rPr>
              <w:t xml:space="preserve"> </w:t>
            </w:r>
            <w:r w:rsidRPr="00401C70">
              <w:rPr>
                <w:rFonts w:ascii="Abadi" w:hAnsi="Abadi" w:cs="Calibri"/>
                <w:b/>
                <w:bCs/>
                <w:i/>
                <w:iCs/>
                <w:sz w:val="21"/>
                <w:szCs w:val="21"/>
              </w:rPr>
              <w:t>de</w:t>
            </w:r>
            <w:r w:rsidRPr="00401C70">
              <w:rPr>
                <w:rFonts w:ascii="Abadi" w:hAnsi="Abadi" w:cs="Calibri"/>
                <w:b/>
                <w:bCs/>
                <w:i/>
                <w:iCs/>
                <w:spacing w:val="4"/>
                <w:sz w:val="21"/>
                <w:szCs w:val="21"/>
              </w:rPr>
              <w:t xml:space="preserve"> </w:t>
            </w:r>
            <w:r w:rsidRPr="00401C70">
              <w:rPr>
                <w:rFonts w:ascii="Abadi" w:hAnsi="Abadi" w:cs="Calibri"/>
                <w:b/>
                <w:bCs/>
                <w:i/>
                <w:iCs/>
                <w:sz w:val="21"/>
                <w:szCs w:val="21"/>
              </w:rPr>
              <w:t>paridad</w:t>
            </w:r>
            <w:r w:rsidRPr="00401C70">
              <w:rPr>
                <w:rFonts w:ascii="Abadi" w:hAnsi="Abadi" w:cs="Calibri"/>
                <w:b/>
                <w:bCs/>
                <w:i/>
                <w:iCs/>
                <w:spacing w:val="6"/>
                <w:sz w:val="21"/>
                <w:szCs w:val="21"/>
              </w:rPr>
              <w:t xml:space="preserve"> </w:t>
            </w:r>
            <w:r w:rsidRPr="00401C70">
              <w:rPr>
                <w:rFonts w:ascii="Abadi" w:hAnsi="Abadi" w:cs="Calibri"/>
                <w:b/>
                <w:bCs/>
                <w:i/>
                <w:iCs/>
                <w:sz w:val="21"/>
                <w:szCs w:val="21"/>
              </w:rPr>
              <w:t>de</w:t>
            </w:r>
          </w:p>
          <w:p w14:paraId="05D1DAC6" w14:textId="77777777" w:rsidR="00677B7E" w:rsidRPr="00401C70" w:rsidRDefault="00677B7E" w:rsidP="00FA2590">
            <w:pPr>
              <w:kinsoku w:val="0"/>
              <w:overflowPunct w:val="0"/>
              <w:autoSpaceDE w:val="0"/>
              <w:autoSpaceDN w:val="0"/>
              <w:adjustRightInd w:val="0"/>
              <w:spacing w:line="248" w:lineRule="exact"/>
              <w:ind w:left="107"/>
              <w:jc w:val="both"/>
              <w:rPr>
                <w:rFonts w:ascii="Abadi" w:hAnsi="Abadi" w:cs="Calibri"/>
                <w:b/>
                <w:bCs/>
                <w:i/>
                <w:iCs/>
                <w:sz w:val="21"/>
                <w:szCs w:val="21"/>
              </w:rPr>
            </w:pPr>
            <w:r w:rsidRPr="00401C70">
              <w:rPr>
                <w:rFonts w:ascii="Abadi" w:hAnsi="Abadi" w:cs="Calibri"/>
                <w:b/>
                <w:bCs/>
                <w:i/>
                <w:iCs/>
                <w:sz w:val="21"/>
                <w:szCs w:val="21"/>
              </w:rPr>
              <w:t>género.</w:t>
            </w:r>
          </w:p>
        </w:tc>
      </w:tr>
      <w:tr w:rsidR="00677B7E" w:rsidRPr="00401C70" w14:paraId="26702ECC" w14:textId="77777777" w:rsidTr="003343AD">
        <w:trPr>
          <w:trHeight w:val="539"/>
        </w:trPr>
        <w:tc>
          <w:tcPr>
            <w:tcW w:w="2500" w:type="pct"/>
            <w:tcBorders>
              <w:top w:val="single" w:sz="4" w:space="0" w:color="000000"/>
              <w:left w:val="single" w:sz="4" w:space="0" w:color="000000"/>
              <w:bottom w:val="single" w:sz="4" w:space="0" w:color="000000"/>
              <w:right w:val="single" w:sz="4" w:space="0" w:color="000000"/>
            </w:tcBorders>
          </w:tcPr>
          <w:p w14:paraId="6BC69821" w14:textId="77777777" w:rsidR="00677B7E" w:rsidRPr="00401C70" w:rsidRDefault="00677B7E" w:rsidP="00FA2590">
            <w:pPr>
              <w:kinsoku w:val="0"/>
              <w:overflowPunct w:val="0"/>
              <w:autoSpaceDE w:val="0"/>
              <w:autoSpaceDN w:val="0"/>
              <w:adjustRightInd w:val="0"/>
              <w:spacing w:before="1" w:line="267" w:lineRule="exact"/>
              <w:ind w:left="107"/>
              <w:jc w:val="both"/>
              <w:rPr>
                <w:rFonts w:ascii="Abadi" w:hAnsi="Abadi" w:cs="Calibri"/>
                <w:sz w:val="21"/>
                <w:szCs w:val="21"/>
              </w:rPr>
            </w:pPr>
            <w:r w:rsidRPr="00401C70">
              <w:rPr>
                <w:rFonts w:ascii="Abadi" w:hAnsi="Abadi" w:cs="Calibri"/>
                <w:b/>
                <w:bCs/>
                <w:sz w:val="21"/>
                <w:szCs w:val="21"/>
              </w:rPr>
              <w:t>Artículo</w:t>
            </w:r>
            <w:r w:rsidRPr="00401C70">
              <w:rPr>
                <w:rFonts w:ascii="Abadi" w:hAnsi="Abadi" w:cs="Calibri"/>
                <w:b/>
                <w:bCs/>
                <w:spacing w:val="-2"/>
                <w:sz w:val="21"/>
                <w:szCs w:val="21"/>
              </w:rPr>
              <w:t xml:space="preserve"> </w:t>
            </w:r>
            <w:r w:rsidRPr="00401C70">
              <w:rPr>
                <w:rFonts w:ascii="Abadi" w:hAnsi="Abadi" w:cs="Calibri"/>
                <w:b/>
                <w:bCs/>
                <w:sz w:val="21"/>
                <w:szCs w:val="21"/>
              </w:rPr>
              <w:t>124.</w:t>
            </w:r>
            <w:r w:rsidRPr="00401C70">
              <w:rPr>
                <w:rFonts w:ascii="Abadi" w:hAnsi="Abadi" w:cs="Calibri"/>
                <w:b/>
                <w:bCs/>
                <w:spacing w:val="3"/>
                <w:sz w:val="21"/>
                <w:szCs w:val="21"/>
              </w:rPr>
              <w:t xml:space="preserve"> </w:t>
            </w:r>
            <w:r w:rsidRPr="00401C70">
              <w:rPr>
                <w:rFonts w:ascii="Abadi" w:hAnsi="Abadi" w:cs="Calibri"/>
                <w:sz w:val="21"/>
                <w:szCs w:val="21"/>
              </w:rPr>
              <w:t>Para</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estudio</w:t>
            </w:r>
            <w:r w:rsidRPr="00401C70">
              <w:rPr>
                <w:rFonts w:ascii="Abadi" w:hAnsi="Abadi" w:cs="Calibri"/>
                <w:spacing w:val="2"/>
                <w:sz w:val="21"/>
                <w:szCs w:val="21"/>
              </w:rPr>
              <w:t xml:space="preserve"> </w:t>
            </w:r>
            <w:r w:rsidRPr="00401C70">
              <w:rPr>
                <w:rFonts w:ascii="Abadi" w:hAnsi="Abadi" w:cs="Calibri"/>
                <w:sz w:val="21"/>
                <w:szCs w:val="21"/>
              </w:rPr>
              <w:t>y despacho</w:t>
            </w:r>
            <w:r w:rsidRPr="00401C70">
              <w:rPr>
                <w:rFonts w:ascii="Abadi" w:hAnsi="Abadi" w:cs="Calibri"/>
                <w:spacing w:val="2"/>
                <w:sz w:val="21"/>
                <w:szCs w:val="21"/>
              </w:rPr>
              <w:t xml:space="preserve"> </w:t>
            </w:r>
            <w:r w:rsidRPr="00401C70">
              <w:rPr>
                <w:rFonts w:ascii="Abadi" w:hAnsi="Abadi" w:cs="Calibri"/>
                <w:sz w:val="21"/>
                <w:szCs w:val="21"/>
              </w:rPr>
              <w:t>de</w:t>
            </w:r>
            <w:r w:rsidRPr="00401C70">
              <w:rPr>
                <w:rFonts w:ascii="Abadi" w:hAnsi="Abadi" w:cs="Calibri"/>
                <w:spacing w:val="2"/>
                <w:sz w:val="21"/>
                <w:szCs w:val="21"/>
              </w:rPr>
              <w:t xml:space="preserve"> </w:t>
            </w:r>
            <w:r w:rsidRPr="00401C70">
              <w:rPr>
                <w:rFonts w:ascii="Abadi" w:hAnsi="Abadi" w:cs="Calibri"/>
                <w:sz w:val="21"/>
                <w:szCs w:val="21"/>
              </w:rPr>
              <w:t>los</w:t>
            </w:r>
          </w:p>
          <w:p w14:paraId="3CC71596" w14:textId="77777777" w:rsidR="00677B7E" w:rsidRPr="00401C70" w:rsidRDefault="00677B7E" w:rsidP="00FA2590">
            <w:pPr>
              <w:kinsoku w:val="0"/>
              <w:overflowPunct w:val="0"/>
              <w:autoSpaceDE w:val="0"/>
              <w:autoSpaceDN w:val="0"/>
              <w:adjustRightInd w:val="0"/>
              <w:spacing w:line="251" w:lineRule="exact"/>
              <w:ind w:left="107"/>
              <w:jc w:val="both"/>
              <w:rPr>
                <w:rFonts w:ascii="Abadi" w:hAnsi="Abadi" w:cs="Calibri"/>
                <w:sz w:val="21"/>
                <w:szCs w:val="21"/>
              </w:rPr>
            </w:pPr>
            <w:r w:rsidRPr="00401C70">
              <w:rPr>
                <w:rFonts w:ascii="Abadi" w:hAnsi="Abadi" w:cs="Calibri"/>
                <w:sz w:val="21"/>
                <w:szCs w:val="21"/>
              </w:rPr>
              <w:t>diversos</w:t>
            </w:r>
            <w:r w:rsidRPr="00401C70">
              <w:rPr>
                <w:rFonts w:ascii="Abadi" w:hAnsi="Abadi" w:cs="Calibri"/>
                <w:spacing w:val="8"/>
                <w:sz w:val="21"/>
                <w:szCs w:val="21"/>
              </w:rPr>
              <w:t xml:space="preserve"> </w:t>
            </w:r>
            <w:r w:rsidRPr="00401C70">
              <w:rPr>
                <w:rFonts w:ascii="Abadi" w:hAnsi="Abadi" w:cs="Calibri"/>
                <w:sz w:val="21"/>
                <w:szCs w:val="21"/>
              </w:rPr>
              <w:t>ramos</w:t>
            </w:r>
            <w:r w:rsidRPr="00401C70">
              <w:rPr>
                <w:rFonts w:ascii="Abadi" w:hAnsi="Abadi" w:cs="Calibri"/>
                <w:spacing w:val="8"/>
                <w:sz w:val="21"/>
                <w:szCs w:val="21"/>
              </w:rPr>
              <w:t xml:space="preserve"> </w:t>
            </w:r>
            <w:r w:rsidRPr="00401C70">
              <w:rPr>
                <w:rFonts w:ascii="Abadi" w:hAnsi="Abadi" w:cs="Calibri"/>
                <w:sz w:val="21"/>
                <w:szCs w:val="21"/>
              </w:rPr>
              <w:t>de</w:t>
            </w:r>
            <w:r w:rsidRPr="00401C70">
              <w:rPr>
                <w:rFonts w:ascii="Abadi" w:hAnsi="Abadi" w:cs="Calibri"/>
                <w:spacing w:val="8"/>
                <w:sz w:val="21"/>
                <w:szCs w:val="21"/>
              </w:rPr>
              <w:t xml:space="preserve"> </w:t>
            </w:r>
            <w:r w:rsidRPr="00401C70">
              <w:rPr>
                <w:rFonts w:ascii="Abadi" w:hAnsi="Abadi" w:cs="Calibri"/>
                <w:sz w:val="21"/>
                <w:szCs w:val="21"/>
              </w:rPr>
              <w:t>la</w:t>
            </w:r>
            <w:r w:rsidRPr="00401C70">
              <w:rPr>
                <w:rFonts w:ascii="Abadi" w:hAnsi="Abadi" w:cs="Calibri"/>
                <w:spacing w:val="8"/>
                <w:sz w:val="21"/>
                <w:szCs w:val="21"/>
              </w:rPr>
              <w:t xml:space="preserve"> </w:t>
            </w:r>
            <w:r w:rsidRPr="00401C70">
              <w:rPr>
                <w:rFonts w:ascii="Abadi" w:hAnsi="Abadi" w:cs="Calibri"/>
                <w:sz w:val="21"/>
                <w:szCs w:val="21"/>
              </w:rPr>
              <w:t>administración</w:t>
            </w:r>
            <w:r w:rsidRPr="00401C70">
              <w:rPr>
                <w:rFonts w:ascii="Abadi" w:hAnsi="Abadi" w:cs="Calibri"/>
                <w:spacing w:val="7"/>
                <w:sz w:val="21"/>
                <w:szCs w:val="21"/>
              </w:rPr>
              <w:t xml:space="preserve"> </w:t>
            </w:r>
            <w:r w:rsidRPr="00401C70">
              <w:rPr>
                <w:rFonts w:ascii="Abadi" w:hAnsi="Abadi" w:cs="Calibri"/>
                <w:sz w:val="21"/>
                <w:szCs w:val="21"/>
              </w:rPr>
              <w:t>pública</w:t>
            </w:r>
          </w:p>
        </w:tc>
        <w:tc>
          <w:tcPr>
            <w:tcW w:w="2500" w:type="pct"/>
            <w:tcBorders>
              <w:top w:val="single" w:sz="4" w:space="0" w:color="000000"/>
              <w:left w:val="single" w:sz="4" w:space="0" w:color="000000"/>
              <w:bottom w:val="single" w:sz="4" w:space="0" w:color="000000"/>
              <w:right w:val="single" w:sz="4" w:space="0" w:color="000000"/>
            </w:tcBorders>
          </w:tcPr>
          <w:p w14:paraId="3C93EF0A" w14:textId="77777777" w:rsidR="00677B7E" w:rsidRPr="00401C70" w:rsidRDefault="00677B7E" w:rsidP="00FA2590">
            <w:pPr>
              <w:kinsoku w:val="0"/>
              <w:overflowPunct w:val="0"/>
              <w:autoSpaceDE w:val="0"/>
              <w:autoSpaceDN w:val="0"/>
              <w:adjustRightInd w:val="0"/>
              <w:spacing w:before="1" w:line="267" w:lineRule="exact"/>
              <w:ind w:left="107"/>
              <w:jc w:val="both"/>
              <w:rPr>
                <w:rFonts w:ascii="Abadi" w:hAnsi="Abadi" w:cs="Calibri"/>
                <w:sz w:val="21"/>
                <w:szCs w:val="21"/>
              </w:rPr>
            </w:pPr>
            <w:r w:rsidRPr="00401C70">
              <w:rPr>
                <w:rFonts w:ascii="Abadi" w:hAnsi="Abadi" w:cs="Calibri"/>
                <w:b/>
                <w:bCs/>
                <w:sz w:val="21"/>
                <w:szCs w:val="21"/>
              </w:rPr>
              <w:t>Artículo</w:t>
            </w:r>
            <w:r w:rsidRPr="00401C70">
              <w:rPr>
                <w:rFonts w:ascii="Abadi" w:hAnsi="Abadi" w:cs="Calibri"/>
                <w:b/>
                <w:bCs/>
                <w:spacing w:val="-2"/>
                <w:sz w:val="21"/>
                <w:szCs w:val="21"/>
              </w:rPr>
              <w:t xml:space="preserve"> </w:t>
            </w:r>
            <w:r w:rsidRPr="00401C70">
              <w:rPr>
                <w:rFonts w:ascii="Abadi" w:hAnsi="Abadi" w:cs="Calibri"/>
                <w:b/>
                <w:bCs/>
                <w:sz w:val="21"/>
                <w:szCs w:val="21"/>
              </w:rPr>
              <w:t>124.</w:t>
            </w:r>
            <w:r w:rsidRPr="00401C70">
              <w:rPr>
                <w:rFonts w:ascii="Abadi" w:hAnsi="Abadi" w:cs="Calibri"/>
                <w:b/>
                <w:bCs/>
                <w:spacing w:val="4"/>
                <w:sz w:val="21"/>
                <w:szCs w:val="21"/>
              </w:rPr>
              <w:t xml:space="preserve"> </w:t>
            </w:r>
            <w:r w:rsidRPr="00401C70">
              <w:rPr>
                <w:rFonts w:ascii="Abadi" w:hAnsi="Abadi" w:cs="Calibri"/>
                <w:sz w:val="21"/>
                <w:szCs w:val="21"/>
              </w:rPr>
              <w:t>Para</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estudio</w:t>
            </w:r>
            <w:r w:rsidRPr="00401C70">
              <w:rPr>
                <w:rFonts w:ascii="Abadi" w:hAnsi="Abadi" w:cs="Calibri"/>
                <w:spacing w:val="2"/>
                <w:sz w:val="21"/>
                <w:szCs w:val="21"/>
              </w:rPr>
              <w:t xml:space="preserve"> </w:t>
            </w:r>
            <w:r w:rsidRPr="00401C70">
              <w:rPr>
                <w:rFonts w:ascii="Abadi" w:hAnsi="Abadi" w:cs="Calibri"/>
                <w:sz w:val="21"/>
                <w:szCs w:val="21"/>
              </w:rPr>
              <w:t>y despacho</w:t>
            </w:r>
            <w:r w:rsidRPr="00401C70">
              <w:rPr>
                <w:rFonts w:ascii="Abadi" w:hAnsi="Abadi" w:cs="Calibri"/>
                <w:spacing w:val="2"/>
                <w:sz w:val="21"/>
                <w:szCs w:val="21"/>
              </w:rPr>
              <w:t xml:space="preserve"> </w:t>
            </w:r>
            <w:r w:rsidRPr="00401C70">
              <w:rPr>
                <w:rFonts w:ascii="Abadi" w:hAnsi="Abadi" w:cs="Calibri"/>
                <w:sz w:val="21"/>
                <w:szCs w:val="21"/>
              </w:rPr>
              <w:t>de</w:t>
            </w:r>
            <w:r w:rsidRPr="00401C70">
              <w:rPr>
                <w:rFonts w:ascii="Abadi" w:hAnsi="Abadi" w:cs="Calibri"/>
                <w:spacing w:val="2"/>
                <w:sz w:val="21"/>
                <w:szCs w:val="21"/>
              </w:rPr>
              <w:t xml:space="preserve"> </w:t>
            </w:r>
            <w:r w:rsidRPr="00401C70">
              <w:rPr>
                <w:rFonts w:ascii="Abadi" w:hAnsi="Abadi" w:cs="Calibri"/>
                <w:sz w:val="21"/>
                <w:szCs w:val="21"/>
              </w:rPr>
              <w:t>los</w:t>
            </w:r>
          </w:p>
          <w:p w14:paraId="12461A6B" w14:textId="77777777" w:rsidR="00677B7E" w:rsidRPr="00401C70" w:rsidRDefault="00677B7E" w:rsidP="00FA2590">
            <w:pPr>
              <w:kinsoku w:val="0"/>
              <w:overflowPunct w:val="0"/>
              <w:autoSpaceDE w:val="0"/>
              <w:autoSpaceDN w:val="0"/>
              <w:adjustRightInd w:val="0"/>
              <w:spacing w:line="251" w:lineRule="exact"/>
              <w:ind w:left="107"/>
              <w:jc w:val="both"/>
              <w:rPr>
                <w:rFonts w:ascii="Abadi" w:hAnsi="Abadi" w:cs="Calibri"/>
                <w:sz w:val="21"/>
                <w:szCs w:val="21"/>
              </w:rPr>
            </w:pPr>
            <w:r w:rsidRPr="00401C70">
              <w:rPr>
                <w:rFonts w:ascii="Abadi" w:hAnsi="Abadi" w:cs="Calibri"/>
                <w:sz w:val="21"/>
                <w:szCs w:val="21"/>
              </w:rPr>
              <w:t>diversos</w:t>
            </w:r>
            <w:r w:rsidRPr="00401C70">
              <w:rPr>
                <w:rFonts w:ascii="Abadi" w:hAnsi="Abadi" w:cs="Calibri"/>
                <w:spacing w:val="8"/>
                <w:sz w:val="21"/>
                <w:szCs w:val="21"/>
              </w:rPr>
              <w:t xml:space="preserve"> </w:t>
            </w:r>
            <w:r w:rsidRPr="00401C70">
              <w:rPr>
                <w:rFonts w:ascii="Abadi" w:hAnsi="Abadi" w:cs="Calibri"/>
                <w:sz w:val="21"/>
                <w:szCs w:val="21"/>
              </w:rPr>
              <w:t>ramos</w:t>
            </w:r>
            <w:r w:rsidRPr="00401C70">
              <w:rPr>
                <w:rFonts w:ascii="Abadi" w:hAnsi="Abadi" w:cs="Calibri"/>
                <w:spacing w:val="8"/>
                <w:sz w:val="21"/>
                <w:szCs w:val="21"/>
              </w:rPr>
              <w:t xml:space="preserve"> </w:t>
            </w:r>
            <w:r w:rsidRPr="00401C70">
              <w:rPr>
                <w:rFonts w:ascii="Abadi" w:hAnsi="Abadi" w:cs="Calibri"/>
                <w:sz w:val="21"/>
                <w:szCs w:val="21"/>
              </w:rPr>
              <w:t>de</w:t>
            </w:r>
            <w:r w:rsidRPr="00401C70">
              <w:rPr>
                <w:rFonts w:ascii="Abadi" w:hAnsi="Abadi" w:cs="Calibri"/>
                <w:spacing w:val="8"/>
                <w:sz w:val="21"/>
                <w:szCs w:val="21"/>
              </w:rPr>
              <w:t xml:space="preserve"> </w:t>
            </w:r>
            <w:r w:rsidRPr="00401C70">
              <w:rPr>
                <w:rFonts w:ascii="Abadi" w:hAnsi="Abadi" w:cs="Calibri"/>
                <w:sz w:val="21"/>
                <w:szCs w:val="21"/>
              </w:rPr>
              <w:t>la</w:t>
            </w:r>
            <w:r w:rsidRPr="00401C70">
              <w:rPr>
                <w:rFonts w:ascii="Abadi" w:hAnsi="Abadi" w:cs="Calibri"/>
                <w:spacing w:val="8"/>
                <w:sz w:val="21"/>
                <w:szCs w:val="21"/>
              </w:rPr>
              <w:t xml:space="preserve"> </w:t>
            </w:r>
            <w:r w:rsidRPr="00401C70">
              <w:rPr>
                <w:rFonts w:ascii="Abadi" w:hAnsi="Abadi" w:cs="Calibri"/>
                <w:sz w:val="21"/>
                <w:szCs w:val="21"/>
              </w:rPr>
              <w:t>administración</w:t>
            </w:r>
            <w:r w:rsidRPr="00401C70">
              <w:rPr>
                <w:rFonts w:ascii="Abadi" w:hAnsi="Abadi" w:cs="Calibri"/>
                <w:spacing w:val="7"/>
                <w:sz w:val="21"/>
                <w:szCs w:val="21"/>
              </w:rPr>
              <w:t xml:space="preserve"> </w:t>
            </w:r>
            <w:r w:rsidRPr="00401C70">
              <w:rPr>
                <w:rFonts w:ascii="Abadi" w:hAnsi="Abadi" w:cs="Calibri"/>
                <w:sz w:val="21"/>
                <w:szCs w:val="21"/>
              </w:rPr>
              <w:t>pública</w:t>
            </w:r>
          </w:p>
        </w:tc>
      </w:tr>
    </w:tbl>
    <w:p w14:paraId="38C01D3B" w14:textId="77777777" w:rsidR="00677B7E" w:rsidRPr="00401C70" w:rsidRDefault="00677B7E" w:rsidP="00677B7E">
      <w:pPr>
        <w:kinsoku w:val="0"/>
        <w:overflowPunct w:val="0"/>
        <w:autoSpaceDE w:val="0"/>
        <w:autoSpaceDN w:val="0"/>
        <w:adjustRightInd w:val="0"/>
        <w:spacing w:after="1"/>
        <w:jc w:val="both"/>
        <w:rPr>
          <w:rFonts w:ascii="Abadi" w:hAnsi="Abadi"/>
          <w:sz w:val="21"/>
          <w:szCs w:val="21"/>
        </w:rPr>
      </w:pPr>
    </w:p>
    <w:tbl>
      <w:tblPr>
        <w:tblW w:w="5000" w:type="pct"/>
        <w:tblCellMar>
          <w:left w:w="0" w:type="dxa"/>
          <w:right w:w="0" w:type="dxa"/>
        </w:tblCellMar>
        <w:tblLook w:val="0000" w:firstRow="0" w:lastRow="0" w:firstColumn="0" w:lastColumn="0" w:noHBand="0" w:noVBand="0"/>
      </w:tblPr>
      <w:tblGrid>
        <w:gridCol w:w="2050"/>
        <w:gridCol w:w="2051"/>
      </w:tblGrid>
      <w:tr w:rsidR="00677B7E" w:rsidRPr="00401C70" w14:paraId="2C481E51" w14:textId="77777777" w:rsidTr="003343AD">
        <w:trPr>
          <w:trHeight w:val="4567"/>
        </w:trPr>
        <w:tc>
          <w:tcPr>
            <w:tcW w:w="2500" w:type="pct"/>
            <w:tcBorders>
              <w:top w:val="single" w:sz="4" w:space="0" w:color="000000"/>
              <w:left w:val="single" w:sz="4" w:space="0" w:color="000000"/>
              <w:bottom w:val="single" w:sz="4" w:space="0" w:color="000000"/>
              <w:right w:val="single" w:sz="4" w:space="0" w:color="000000"/>
            </w:tcBorders>
          </w:tcPr>
          <w:p w14:paraId="3D2E2119" w14:textId="77777777" w:rsidR="00677B7E" w:rsidRPr="00401C70" w:rsidRDefault="00677B7E" w:rsidP="00FA2590">
            <w:pPr>
              <w:kinsoku w:val="0"/>
              <w:overflowPunct w:val="0"/>
              <w:autoSpaceDE w:val="0"/>
              <w:autoSpaceDN w:val="0"/>
              <w:adjustRightInd w:val="0"/>
              <w:ind w:left="107" w:right="93"/>
              <w:jc w:val="both"/>
              <w:rPr>
                <w:rFonts w:ascii="Abadi" w:hAnsi="Abadi" w:cs="Calibri"/>
                <w:sz w:val="21"/>
                <w:szCs w:val="21"/>
              </w:rPr>
            </w:pPr>
            <w:r w:rsidRPr="00401C70">
              <w:rPr>
                <w:rFonts w:ascii="Abadi" w:hAnsi="Abadi" w:cs="Calibri"/>
                <w:sz w:val="21"/>
                <w:szCs w:val="21"/>
              </w:rPr>
              <w:t>municipal,</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Ayuntamiento</w:t>
            </w:r>
            <w:r w:rsidRPr="00401C70">
              <w:rPr>
                <w:rFonts w:ascii="Abadi" w:hAnsi="Abadi" w:cs="Calibri"/>
                <w:spacing w:val="1"/>
                <w:sz w:val="21"/>
                <w:szCs w:val="21"/>
              </w:rPr>
              <w:t xml:space="preserve"> </w:t>
            </w:r>
            <w:r w:rsidRPr="00401C70">
              <w:rPr>
                <w:rFonts w:ascii="Abadi" w:hAnsi="Abadi" w:cs="Calibri"/>
                <w:sz w:val="21"/>
                <w:szCs w:val="21"/>
              </w:rPr>
              <w:t>establecerá</w:t>
            </w:r>
            <w:r w:rsidRPr="00401C70">
              <w:rPr>
                <w:rFonts w:ascii="Abadi" w:hAnsi="Abadi" w:cs="Calibri"/>
                <w:spacing w:val="1"/>
                <w:sz w:val="21"/>
                <w:szCs w:val="21"/>
              </w:rPr>
              <w:t xml:space="preserve"> </w:t>
            </w:r>
            <w:r w:rsidRPr="00401C70">
              <w:rPr>
                <w:rFonts w:ascii="Abadi" w:hAnsi="Abadi" w:cs="Calibri"/>
                <w:sz w:val="21"/>
                <w:szCs w:val="21"/>
              </w:rPr>
              <w:t>las</w:t>
            </w:r>
            <w:r w:rsidRPr="00401C70">
              <w:rPr>
                <w:rFonts w:ascii="Abadi" w:hAnsi="Abadi" w:cs="Calibri"/>
                <w:spacing w:val="1"/>
                <w:sz w:val="21"/>
                <w:szCs w:val="21"/>
              </w:rPr>
              <w:t xml:space="preserve"> </w:t>
            </w:r>
            <w:r w:rsidRPr="00401C70">
              <w:rPr>
                <w:rFonts w:ascii="Abadi" w:hAnsi="Abadi" w:cs="Calibri"/>
                <w:sz w:val="21"/>
                <w:szCs w:val="21"/>
              </w:rPr>
              <w:t>siguientes</w:t>
            </w:r>
            <w:r w:rsidRPr="00401C70">
              <w:rPr>
                <w:rFonts w:ascii="Abadi" w:hAnsi="Abadi" w:cs="Calibri"/>
                <w:spacing w:val="-1"/>
                <w:sz w:val="21"/>
                <w:szCs w:val="21"/>
              </w:rPr>
              <w:t xml:space="preserve"> </w:t>
            </w:r>
            <w:r w:rsidRPr="00401C70">
              <w:rPr>
                <w:rFonts w:ascii="Abadi" w:hAnsi="Abadi" w:cs="Calibri"/>
                <w:sz w:val="21"/>
                <w:szCs w:val="21"/>
              </w:rPr>
              <w:t>dependencias:</w:t>
            </w:r>
          </w:p>
          <w:p w14:paraId="2DB88C8E" w14:textId="77777777" w:rsidR="00677B7E" w:rsidRPr="00401C70" w:rsidRDefault="00677B7E" w:rsidP="00FA2590">
            <w:pPr>
              <w:kinsoku w:val="0"/>
              <w:overflowPunct w:val="0"/>
              <w:autoSpaceDE w:val="0"/>
              <w:autoSpaceDN w:val="0"/>
              <w:adjustRightInd w:val="0"/>
              <w:spacing w:before="3"/>
              <w:jc w:val="both"/>
              <w:rPr>
                <w:rFonts w:ascii="Abadi" w:hAnsi="Abadi"/>
                <w:sz w:val="21"/>
                <w:szCs w:val="21"/>
              </w:rPr>
            </w:pPr>
          </w:p>
          <w:p w14:paraId="1BF50093" w14:textId="77777777" w:rsidR="00677B7E" w:rsidRPr="00401C70" w:rsidRDefault="00677B7E" w:rsidP="00FA2590">
            <w:pPr>
              <w:kinsoku w:val="0"/>
              <w:overflowPunct w:val="0"/>
              <w:autoSpaceDE w:val="0"/>
              <w:autoSpaceDN w:val="0"/>
              <w:adjustRightInd w:val="0"/>
              <w:spacing w:before="1"/>
              <w:ind w:left="107"/>
              <w:jc w:val="both"/>
              <w:rPr>
                <w:rFonts w:ascii="Abadi" w:hAnsi="Abadi" w:cs="Calibri"/>
                <w:b/>
                <w:bCs/>
                <w:sz w:val="21"/>
                <w:szCs w:val="21"/>
              </w:rPr>
            </w:pPr>
            <w:r w:rsidRPr="00401C70">
              <w:rPr>
                <w:rFonts w:ascii="Abadi" w:hAnsi="Abadi" w:cs="Calibri"/>
                <w:b/>
                <w:bCs/>
                <w:sz w:val="21"/>
                <w:szCs w:val="21"/>
              </w:rPr>
              <w:t>I</w:t>
            </w:r>
            <w:r w:rsidRPr="00401C70">
              <w:rPr>
                <w:rFonts w:ascii="Abadi" w:hAnsi="Abadi" w:cs="Calibri"/>
                <w:b/>
                <w:bCs/>
                <w:spacing w:val="1"/>
                <w:sz w:val="21"/>
                <w:szCs w:val="21"/>
              </w:rPr>
              <w:t xml:space="preserve"> </w:t>
            </w:r>
            <w:r w:rsidRPr="00401C70">
              <w:rPr>
                <w:rFonts w:ascii="Abadi" w:hAnsi="Abadi" w:cs="Calibri"/>
                <w:sz w:val="21"/>
                <w:szCs w:val="21"/>
              </w:rPr>
              <w:t>a</w:t>
            </w:r>
            <w:r w:rsidRPr="00401C70">
              <w:rPr>
                <w:rFonts w:ascii="Abadi" w:hAnsi="Abadi" w:cs="Calibri"/>
                <w:spacing w:val="-3"/>
                <w:sz w:val="21"/>
                <w:szCs w:val="21"/>
              </w:rPr>
              <w:t xml:space="preserve"> </w:t>
            </w:r>
            <w:r w:rsidRPr="00401C70">
              <w:rPr>
                <w:rFonts w:ascii="Abadi" w:hAnsi="Abadi" w:cs="Calibri"/>
                <w:b/>
                <w:bCs/>
                <w:sz w:val="21"/>
                <w:szCs w:val="21"/>
              </w:rPr>
              <w:t>XII</w:t>
            </w:r>
          </w:p>
          <w:p w14:paraId="2123CAD7" w14:textId="77777777" w:rsidR="00677B7E" w:rsidRPr="00401C70" w:rsidRDefault="00677B7E" w:rsidP="00FA2590">
            <w:pPr>
              <w:kinsoku w:val="0"/>
              <w:overflowPunct w:val="0"/>
              <w:autoSpaceDE w:val="0"/>
              <w:autoSpaceDN w:val="0"/>
              <w:adjustRightInd w:val="0"/>
              <w:spacing w:before="4"/>
              <w:jc w:val="both"/>
              <w:rPr>
                <w:rFonts w:ascii="Abadi" w:hAnsi="Abadi"/>
                <w:sz w:val="21"/>
                <w:szCs w:val="21"/>
              </w:rPr>
            </w:pPr>
          </w:p>
          <w:p w14:paraId="75295FDC" w14:textId="77777777" w:rsidR="00677B7E" w:rsidRPr="00401C70" w:rsidRDefault="00677B7E" w:rsidP="00FA2590">
            <w:pPr>
              <w:kinsoku w:val="0"/>
              <w:overflowPunct w:val="0"/>
              <w:autoSpaceDE w:val="0"/>
              <w:autoSpaceDN w:val="0"/>
              <w:adjustRightInd w:val="0"/>
              <w:ind w:left="107" w:right="93"/>
              <w:jc w:val="both"/>
              <w:rPr>
                <w:rFonts w:ascii="Abadi" w:hAnsi="Abadi" w:cs="Calibri"/>
                <w:sz w:val="21"/>
                <w:szCs w:val="21"/>
              </w:rPr>
            </w:pP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ayuntamientos</w:t>
            </w:r>
            <w:r w:rsidRPr="00401C70">
              <w:rPr>
                <w:rFonts w:ascii="Abadi" w:hAnsi="Abadi" w:cs="Calibri"/>
                <w:spacing w:val="1"/>
                <w:sz w:val="21"/>
                <w:szCs w:val="21"/>
              </w:rPr>
              <w:t xml:space="preserve"> </w:t>
            </w:r>
            <w:r w:rsidRPr="00401C70">
              <w:rPr>
                <w:rFonts w:ascii="Abadi" w:hAnsi="Abadi" w:cs="Calibri"/>
                <w:sz w:val="21"/>
                <w:szCs w:val="21"/>
              </w:rPr>
              <w:t>en</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reglamento</w:t>
            </w:r>
            <w:r w:rsidRPr="00401C70">
              <w:rPr>
                <w:rFonts w:ascii="Abadi" w:hAnsi="Abadi" w:cs="Calibri"/>
                <w:spacing w:val="1"/>
                <w:sz w:val="21"/>
                <w:szCs w:val="21"/>
              </w:rPr>
              <w:t xml:space="preserve"> </w:t>
            </w:r>
            <w:r w:rsidRPr="00401C70">
              <w:rPr>
                <w:rFonts w:ascii="Abadi" w:hAnsi="Abadi" w:cs="Calibri"/>
                <w:sz w:val="21"/>
                <w:szCs w:val="21"/>
              </w:rPr>
              <w:t>correspondiente,</w:t>
            </w:r>
            <w:r w:rsidRPr="00401C70">
              <w:rPr>
                <w:rFonts w:ascii="Abadi" w:hAnsi="Abadi" w:cs="Calibri"/>
                <w:spacing w:val="1"/>
                <w:sz w:val="21"/>
                <w:szCs w:val="21"/>
              </w:rPr>
              <w:t xml:space="preserve"> </w:t>
            </w:r>
            <w:r w:rsidRPr="00401C70">
              <w:rPr>
                <w:rFonts w:ascii="Abadi" w:hAnsi="Abadi" w:cs="Calibri"/>
                <w:sz w:val="21"/>
                <w:szCs w:val="21"/>
              </w:rPr>
              <w:t>deberán</w:t>
            </w:r>
            <w:r w:rsidRPr="00401C70">
              <w:rPr>
                <w:rFonts w:ascii="Abadi" w:hAnsi="Abadi" w:cs="Calibri"/>
                <w:spacing w:val="1"/>
                <w:sz w:val="21"/>
                <w:szCs w:val="21"/>
              </w:rPr>
              <w:t xml:space="preserve"> </w:t>
            </w:r>
            <w:r w:rsidRPr="00401C70">
              <w:rPr>
                <w:rFonts w:ascii="Abadi" w:hAnsi="Abadi" w:cs="Calibri"/>
                <w:sz w:val="21"/>
                <w:szCs w:val="21"/>
              </w:rPr>
              <w:t>señalar</w:t>
            </w:r>
            <w:r w:rsidRPr="00401C70">
              <w:rPr>
                <w:rFonts w:ascii="Abadi" w:hAnsi="Abadi" w:cs="Calibri"/>
                <w:spacing w:val="1"/>
                <w:sz w:val="21"/>
                <w:szCs w:val="21"/>
              </w:rPr>
              <w:t xml:space="preserve"> </w:t>
            </w:r>
            <w:r w:rsidRPr="00401C70">
              <w:rPr>
                <w:rFonts w:ascii="Abadi" w:hAnsi="Abadi" w:cs="Calibri"/>
                <w:sz w:val="21"/>
                <w:szCs w:val="21"/>
              </w:rPr>
              <w:t>las</w:t>
            </w:r>
            <w:r w:rsidRPr="00401C70">
              <w:rPr>
                <w:rFonts w:ascii="Abadi" w:hAnsi="Abadi" w:cs="Calibri"/>
                <w:spacing w:val="1"/>
                <w:sz w:val="21"/>
                <w:szCs w:val="21"/>
              </w:rPr>
              <w:t xml:space="preserve"> </w:t>
            </w:r>
            <w:r w:rsidRPr="00401C70">
              <w:rPr>
                <w:rFonts w:ascii="Abadi" w:hAnsi="Abadi" w:cs="Calibri"/>
                <w:sz w:val="21"/>
                <w:szCs w:val="21"/>
              </w:rPr>
              <w:t>atribuciones</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tendrán</w:t>
            </w:r>
            <w:r w:rsidRPr="00401C70">
              <w:rPr>
                <w:rFonts w:ascii="Abadi" w:hAnsi="Abadi" w:cs="Calibri"/>
                <w:spacing w:val="1"/>
                <w:sz w:val="21"/>
                <w:szCs w:val="21"/>
              </w:rPr>
              <w:t xml:space="preserve"> </w:t>
            </w:r>
            <w:r w:rsidRPr="00401C70">
              <w:rPr>
                <w:rFonts w:ascii="Abadi" w:hAnsi="Abadi" w:cs="Calibri"/>
                <w:sz w:val="21"/>
                <w:szCs w:val="21"/>
              </w:rPr>
              <w:t>las</w:t>
            </w:r>
            <w:r w:rsidRPr="00401C70">
              <w:rPr>
                <w:rFonts w:ascii="Abadi" w:hAnsi="Abadi" w:cs="Calibri"/>
                <w:spacing w:val="1"/>
                <w:sz w:val="21"/>
                <w:szCs w:val="21"/>
              </w:rPr>
              <w:t xml:space="preserve"> </w:t>
            </w:r>
            <w:r w:rsidRPr="00401C70">
              <w:rPr>
                <w:rFonts w:ascii="Abadi" w:hAnsi="Abadi" w:cs="Calibri"/>
                <w:sz w:val="21"/>
                <w:szCs w:val="21"/>
              </w:rPr>
              <w:t>dependencias</w:t>
            </w:r>
            <w:r w:rsidRPr="00401C70">
              <w:rPr>
                <w:rFonts w:ascii="Abadi" w:hAnsi="Abadi" w:cs="Calibri"/>
                <w:spacing w:val="1"/>
                <w:sz w:val="21"/>
                <w:szCs w:val="21"/>
              </w:rPr>
              <w:t xml:space="preserve"> </w:t>
            </w:r>
            <w:r w:rsidRPr="00401C70">
              <w:rPr>
                <w:rFonts w:ascii="Abadi" w:hAnsi="Abadi" w:cs="Calibri"/>
                <w:sz w:val="21"/>
                <w:szCs w:val="21"/>
              </w:rPr>
              <w:t>señaladas</w:t>
            </w:r>
            <w:r w:rsidRPr="00401C70">
              <w:rPr>
                <w:rFonts w:ascii="Abadi" w:hAnsi="Abadi" w:cs="Calibri"/>
                <w:spacing w:val="1"/>
                <w:sz w:val="21"/>
                <w:szCs w:val="21"/>
              </w:rPr>
              <w:t xml:space="preserve"> </w:t>
            </w:r>
            <w:r w:rsidRPr="00401C70">
              <w:rPr>
                <w:rFonts w:ascii="Abadi" w:hAnsi="Abadi" w:cs="Calibri"/>
                <w:sz w:val="21"/>
                <w:szCs w:val="21"/>
              </w:rPr>
              <w:t>en</w:t>
            </w:r>
            <w:r w:rsidRPr="00401C70">
              <w:rPr>
                <w:rFonts w:ascii="Abadi" w:hAnsi="Abadi" w:cs="Calibri"/>
                <w:spacing w:val="1"/>
                <w:sz w:val="21"/>
                <w:szCs w:val="21"/>
              </w:rPr>
              <w:t xml:space="preserve"> </w:t>
            </w:r>
            <w:r w:rsidRPr="00401C70">
              <w:rPr>
                <w:rFonts w:ascii="Abadi" w:hAnsi="Abadi" w:cs="Calibri"/>
                <w:sz w:val="21"/>
                <w:szCs w:val="21"/>
              </w:rPr>
              <w:t>las</w:t>
            </w:r>
            <w:r w:rsidRPr="00401C70">
              <w:rPr>
                <w:rFonts w:ascii="Abadi" w:hAnsi="Abadi" w:cs="Calibri"/>
                <w:spacing w:val="1"/>
                <w:sz w:val="21"/>
                <w:szCs w:val="21"/>
              </w:rPr>
              <w:t xml:space="preserve"> </w:t>
            </w:r>
            <w:r w:rsidRPr="00401C70">
              <w:rPr>
                <w:rFonts w:ascii="Abadi" w:hAnsi="Abadi" w:cs="Calibri"/>
                <w:sz w:val="21"/>
                <w:szCs w:val="21"/>
              </w:rPr>
              <w:t>fracciones</w:t>
            </w:r>
            <w:r w:rsidRPr="00401C70">
              <w:rPr>
                <w:rFonts w:ascii="Abadi" w:hAnsi="Abadi" w:cs="Calibri"/>
                <w:spacing w:val="1"/>
                <w:sz w:val="21"/>
                <w:szCs w:val="21"/>
              </w:rPr>
              <w:t xml:space="preserve"> </w:t>
            </w:r>
            <w:r w:rsidRPr="00401C70">
              <w:rPr>
                <w:rFonts w:ascii="Abadi" w:hAnsi="Abadi" w:cs="Calibri"/>
                <w:sz w:val="21"/>
                <w:szCs w:val="21"/>
              </w:rPr>
              <w:t>IV</w:t>
            </w:r>
            <w:r w:rsidRPr="00401C70">
              <w:rPr>
                <w:rFonts w:ascii="Abadi" w:hAnsi="Abadi" w:cs="Calibri"/>
                <w:spacing w:val="1"/>
                <w:sz w:val="21"/>
                <w:szCs w:val="21"/>
              </w:rPr>
              <w:t xml:space="preserve"> </w:t>
            </w:r>
            <w:r w:rsidRPr="00401C70">
              <w:rPr>
                <w:rFonts w:ascii="Abadi" w:hAnsi="Abadi" w:cs="Calibri"/>
                <w:sz w:val="21"/>
                <w:szCs w:val="21"/>
              </w:rPr>
              <w:t>a</w:t>
            </w:r>
            <w:r w:rsidRPr="00401C70">
              <w:rPr>
                <w:rFonts w:ascii="Abadi" w:hAnsi="Abadi" w:cs="Calibri"/>
                <w:spacing w:val="1"/>
                <w:sz w:val="21"/>
                <w:szCs w:val="21"/>
              </w:rPr>
              <w:t xml:space="preserve"> </w:t>
            </w:r>
            <w:r w:rsidRPr="00401C70">
              <w:rPr>
                <w:rFonts w:ascii="Abadi" w:hAnsi="Abadi" w:cs="Calibri"/>
                <w:sz w:val="21"/>
                <w:szCs w:val="21"/>
              </w:rPr>
              <w:t>X</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este</w:t>
            </w:r>
            <w:r w:rsidRPr="00401C70">
              <w:rPr>
                <w:rFonts w:ascii="Abadi" w:hAnsi="Abadi" w:cs="Calibri"/>
                <w:spacing w:val="1"/>
                <w:sz w:val="21"/>
                <w:szCs w:val="21"/>
              </w:rPr>
              <w:t xml:space="preserve"> </w:t>
            </w:r>
            <w:r w:rsidRPr="00401C70">
              <w:rPr>
                <w:rFonts w:ascii="Abadi" w:hAnsi="Abadi" w:cs="Calibri"/>
                <w:sz w:val="21"/>
                <w:szCs w:val="21"/>
              </w:rPr>
              <w:t>artículo;</w:t>
            </w:r>
            <w:r w:rsidRPr="00401C70">
              <w:rPr>
                <w:rFonts w:ascii="Abadi" w:hAnsi="Abadi" w:cs="Calibri"/>
                <w:spacing w:val="1"/>
                <w:sz w:val="21"/>
                <w:szCs w:val="21"/>
              </w:rPr>
              <w:t xml:space="preserve"> </w:t>
            </w:r>
            <w:r w:rsidRPr="00401C70">
              <w:rPr>
                <w:rFonts w:ascii="Abadi" w:hAnsi="Abadi" w:cs="Calibri"/>
                <w:sz w:val="21"/>
                <w:szCs w:val="21"/>
              </w:rPr>
              <w:t>asimismo,</w:t>
            </w:r>
            <w:r w:rsidRPr="00401C70">
              <w:rPr>
                <w:rFonts w:ascii="Abadi" w:hAnsi="Abadi" w:cs="Calibri"/>
                <w:spacing w:val="1"/>
                <w:sz w:val="21"/>
                <w:szCs w:val="21"/>
              </w:rPr>
              <w:t xml:space="preserve"> </w:t>
            </w:r>
            <w:r w:rsidRPr="00401C70">
              <w:rPr>
                <w:rFonts w:ascii="Abadi" w:hAnsi="Abadi" w:cs="Calibri"/>
                <w:sz w:val="21"/>
                <w:szCs w:val="21"/>
              </w:rPr>
              <w:t>podrán</w:t>
            </w:r>
            <w:r w:rsidRPr="00401C70">
              <w:rPr>
                <w:rFonts w:ascii="Abadi" w:hAnsi="Abadi" w:cs="Calibri"/>
                <w:spacing w:val="1"/>
                <w:sz w:val="21"/>
                <w:szCs w:val="21"/>
              </w:rPr>
              <w:t xml:space="preserve"> </w:t>
            </w:r>
            <w:r w:rsidRPr="00401C70">
              <w:rPr>
                <w:rFonts w:ascii="Abadi" w:hAnsi="Abadi" w:cs="Calibri"/>
                <w:sz w:val="21"/>
                <w:szCs w:val="21"/>
              </w:rPr>
              <w:t>otorgarles</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denominación que corresponda atendiendo a</w:t>
            </w:r>
            <w:r w:rsidRPr="00401C70">
              <w:rPr>
                <w:rFonts w:ascii="Abadi" w:hAnsi="Abadi" w:cs="Calibri"/>
                <w:spacing w:val="1"/>
                <w:sz w:val="21"/>
                <w:szCs w:val="21"/>
              </w:rPr>
              <w:t xml:space="preserve"> </w:t>
            </w:r>
            <w:r w:rsidRPr="00401C70">
              <w:rPr>
                <w:rFonts w:ascii="Abadi" w:hAnsi="Abadi" w:cs="Calibri"/>
                <w:sz w:val="21"/>
                <w:szCs w:val="21"/>
              </w:rPr>
              <w:t>su</w:t>
            </w:r>
            <w:r w:rsidRPr="00401C70">
              <w:rPr>
                <w:rFonts w:ascii="Abadi" w:hAnsi="Abadi" w:cs="Calibri"/>
                <w:spacing w:val="-1"/>
                <w:sz w:val="21"/>
                <w:szCs w:val="21"/>
              </w:rPr>
              <w:t xml:space="preserve"> </w:t>
            </w:r>
            <w:r w:rsidRPr="00401C70">
              <w:rPr>
                <w:rFonts w:ascii="Abadi" w:hAnsi="Abadi" w:cs="Calibri"/>
                <w:sz w:val="21"/>
                <w:szCs w:val="21"/>
              </w:rPr>
              <w:t>organización</w:t>
            </w:r>
            <w:r w:rsidRPr="00401C70">
              <w:rPr>
                <w:rFonts w:ascii="Abadi" w:hAnsi="Abadi" w:cs="Calibri"/>
                <w:spacing w:val="-4"/>
                <w:sz w:val="21"/>
                <w:szCs w:val="21"/>
              </w:rPr>
              <w:t xml:space="preserve"> </w:t>
            </w:r>
            <w:r w:rsidRPr="00401C70">
              <w:rPr>
                <w:rFonts w:ascii="Abadi" w:hAnsi="Abadi" w:cs="Calibri"/>
                <w:sz w:val="21"/>
                <w:szCs w:val="21"/>
              </w:rPr>
              <w:t>administrativa.</w:t>
            </w:r>
          </w:p>
        </w:tc>
        <w:tc>
          <w:tcPr>
            <w:tcW w:w="2500" w:type="pct"/>
            <w:tcBorders>
              <w:top w:val="single" w:sz="4" w:space="0" w:color="000000"/>
              <w:left w:val="single" w:sz="4" w:space="0" w:color="000000"/>
              <w:bottom w:val="single" w:sz="4" w:space="0" w:color="000000"/>
              <w:right w:val="single" w:sz="4" w:space="0" w:color="000000"/>
            </w:tcBorders>
          </w:tcPr>
          <w:p w14:paraId="4F4F7F3F" w14:textId="77777777" w:rsidR="00677B7E" w:rsidRPr="00401C70" w:rsidRDefault="00677B7E" w:rsidP="00FA2590">
            <w:pPr>
              <w:kinsoku w:val="0"/>
              <w:overflowPunct w:val="0"/>
              <w:autoSpaceDE w:val="0"/>
              <w:autoSpaceDN w:val="0"/>
              <w:adjustRightInd w:val="0"/>
              <w:ind w:left="107" w:right="93"/>
              <w:jc w:val="both"/>
              <w:rPr>
                <w:rFonts w:ascii="Abadi" w:hAnsi="Abadi" w:cs="Calibri"/>
                <w:sz w:val="21"/>
                <w:szCs w:val="21"/>
              </w:rPr>
            </w:pPr>
            <w:r w:rsidRPr="00401C70">
              <w:rPr>
                <w:rFonts w:ascii="Abadi" w:hAnsi="Abadi" w:cs="Calibri"/>
                <w:sz w:val="21"/>
                <w:szCs w:val="21"/>
              </w:rPr>
              <w:t>municipal,</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Ayuntamiento</w:t>
            </w:r>
            <w:r w:rsidRPr="00401C70">
              <w:rPr>
                <w:rFonts w:ascii="Abadi" w:hAnsi="Abadi" w:cs="Calibri"/>
                <w:spacing w:val="1"/>
                <w:sz w:val="21"/>
                <w:szCs w:val="21"/>
              </w:rPr>
              <w:t xml:space="preserve"> </w:t>
            </w:r>
            <w:r w:rsidRPr="00401C70">
              <w:rPr>
                <w:rFonts w:ascii="Abadi" w:hAnsi="Abadi" w:cs="Calibri"/>
                <w:sz w:val="21"/>
                <w:szCs w:val="21"/>
              </w:rPr>
              <w:t>establecerá</w:t>
            </w:r>
            <w:r w:rsidRPr="00401C70">
              <w:rPr>
                <w:rFonts w:ascii="Abadi" w:hAnsi="Abadi" w:cs="Calibri"/>
                <w:spacing w:val="1"/>
                <w:sz w:val="21"/>
                <w:szCs w:val="21"/>
              </w:rPr>
              <w:t xml:space="preserve"> </w:t>
            </w:r>
            <w:r w:rsidRPr="00401C70">
              <w:rPr>
                <w:rFonts w:ascii="Abadi" w:hAnsi="Abadi" w:cs="Calibri"/>
                <w:sz w:val="21"/>
                <w:szCs w:val="21"/>
              </w:rPr>
              <w:t>las</w:t>
            </w:r>
            <w:r w:rsidRPr="00401C70">
              <w:rPr>
                <w:rFonts w:ascii="Abadi" w:hAnsi="Abadi" w:cs="Calibri"/>
                <w:spacing w:val="1"/>
                <w:sz w:val="21"/>
                <w:szCs w:val="21"/>
              </w:rPr>
              <w:t xml:space="preserve"> </w:t>
            </w:r>
            <w:r w:rsidRPr="00401C70">
              <w:rPr>
                <w:rFonts w:ascii="Abadi" w:hAnsi="Abadi" w:cs="Calibri"/>
                <w:sz w:val="21"/>
                <w:szCs w:val="21"/>
              </w:rPr>
              <w:t>siguientes</w:t>
            </w:r>
            <w:r w:rsidRPr="00401C70">
              <w:rPr>
                <w:rFonts w:ascii="Abadi" w:hAnsi="Abadi" w:cs="Calibri"/>
                <w:spacing w:val="-1"/>
                <w:sz w:val="21"/>
                <w:szCs w:val="21"/>
              </w:rPr>
              <w:t xml:space="preserve"> </w:t>
            </w:r>
            <w:r w:rsidRPr="00401C70">
              <w:rPr>
                <w:rFonts w:ascii="Abadi" w:hAnsi="Abadi" w:cs="Calibri"/>
                <w:sz w:val="21"/>
                <w:szCs w:val="21"/>
              </w:rPr>
              <w:t>dependencias:</w:t>
            </w:r>
          </w:p>
          <w:p w14:paraId="37D16556" w14:textId="77777777" w:rsidR="00677B7E" w:rsidRPr="00401C70" w:rsidRDefault="00677B7E" w:rsidP="00FA2590">
            <w:pPr>
              <w:kinsoku w:val="0"/>
              <w:overflowPunct w:val="0"/>
              <w:autoSpaceDE w:val="0"/>
              <w:autoSpaceDN w:val="0"/>
              <w:adjustRightInd w:val="0"/>
              <w:spacing w:before="3"/>
              <w:jc w:val="both"/>
              <w:rPr>
                <w:rFonts w:ascii="Abadi" w:hAnsi="Abadi"/>
                <w:sz w:val="21"/>
                <w:szCs w:val="21"/>
              </w:rPr>
            </w:pPr>
          </w:p>
          <w:p w14:paraId="772958B9" w14:textId="77777777" w:rsidR="00677B7E" w:rsidRPr="00401C70" w:rsidRDefault="00677B7E" w:rsidP="00FA2590">
            <w:pPr>
              <w:kinsoku w:val="0"/>
              <w:overflowPunct w:val="0"/>
              <w:autoSpaceDE w:val="0"/>
              <w:autoSpaceDN w:val="0"/>
              <w:adjustRightInd w:val="0"/>
              <w:spacing w:before="1"/>
              <w:ind w:left="107"/>
              <w:jc w:val="both"/>
              <w:rPr>
                <w:rFonts w:ascii="Abadi" w:hAnsi="Abadi" w:cs="Calibri"/>
                <w:b/>
                <w:bCs/>
                <w:sz w:val="21"/>
                <w:szCs w:val="21"/>
              </w:rPr>
            </w:pPr>
            <w:r w:rsidRPr="00401C70">
              <w:rPr>
                <w:rFonts w:ascii="Abadi" w:hAnsi="Abadi" w:cs="Calibri"/>
                <w:b/>
                <w:bCs/>
                <w:sz w:val="21"/>
                <w:szCs w:val="21"/>
              </w:rPr>
              <w:t>I</w:t>
            </w:r>
            <w:r w:rsidRPr="00401C70">
              <w:rPr>
                <w:rFonts w:ascii="Abadi" w:hAnsi="Abadi" w:cs="Calibri"/>
                <w:b/>
                <w:bCs/>
                <w:spacing w:val="1"/>
                <w:sz w:val="21"/>
                <w:szCs w:val="21"/>
              </w:rPr>
              <w:t xml:space="preserve"> </w:t>
            </w:r>
            <w:r w:rsidRPr="00401C70">
              <w:rPr>
                <w:rFonts w:ascii="Abadi" w:hAnsi="Abadi" w:cs="Calibri"/>
                <w:sz w:val="21"/>
                <w:szCs w:val="21"/>
              </w:rPr>
              <w:t>a</w:t>
            </w:r>
            <w:r w:rsidRPr="00401C70">
              <w:rPr>
                <w:rFonts w:ascii="Abadi" w:hAnsi="Abadi" w:cs="Calibri"/>
                <w:spacing w:val="-3"/>
                <w:sz w:val="21"/>
                <w:szCs w:val="21"/>
              </w:rPr>
              <w:t xml:space="preserve"> </w:t>
            </w:r>
            <w:r w:rsidRPr="00401C70">
              <w:rPr>
                <w:rFonts w:ascii="Abadi" w:hAnsi="Abadi" w:cs="Calibri"/>
                <w:b/>
                <w:bCs/>
                <w:sz w:val="21"/>
                <w:szCs w:val="21"/>
              </w:rPr>
              <w:t>XII</w:t>
            </w:r>
          </w:p>
          <w:p w14:paraId="083DB22A" w14:textId="77777777" w:rsidR="00677B7E" w:rsidRPr="00401C70" w:rsidRDefault="00677B7E" w:rsidP="00FA2590">
            <w:pPr>
              <w:kinsoku w:val="0"/>
              <w:overflowPunct w:val="0"/>
              <w:autoSpaceDE w:val="0"/>
              <w:autoSpaceDN w:val="0"/>
              <w:adjustRightInd w:val="0"/>
              <w:spacing w:before="4"/>
              <w:jc w:val="both"/>
              <w:rPr>
                <w:rFonts w:ascii="Abadi" w:hAnsi="Abadi"/>
                <w:sz w:val="21"/>
                <w:szCs w:val="21"/>
              </w:rPr>
            </w:pPr>
          </w:p>
          <w:p w14:paraId="41E89999" w14:textId="77777777" w:rsidR="00677B7E" w:rsidRPr="00401C70" w:rsidRDefault="00677B7E" w:rsidP="00FA2590">
            <w:pPr>
              <w:kinsoku w:val="0"/>
              <w:overflowPunct w:val="0"/>
              <w:autoSpaceDE w:val="0"/>
              <w:autoSpaceDN w:val="0"/>
              <w:adjustRightInd w:val="0"/>
              <w:ind w:left="107" w:right="93"/>
              <w:jc w:val="both"/>
              <w:rPr>
                <w:rFonts w:ascii="Abadi" w:hAnsi="Abadi" w:cs="Calibri"/>
                <w:sz w:val="21"/>
                <w:szCs w:val="21"/>
              </w:rPr>
            </w:pP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ayuntamientos</w:t>
            </w:r>
            <w:r w:rsidRPr="00401C70">
              <w:rPr>
                <w:rFonts w:ascii="Abadi" w:hAnsi="Abadi" w:cs="Calibri"/>
                <w:spacing w:val="1"/>
                <w:sz w:val="21"/>
                <w:szCs w:val="21"/>
              </w:rPr>
              <w:t xml:space="preserve"> </w:t>
            </w:r>
            <w:r w:rsidRPr="00401C70">
              <w:rPr>
                <w:rFonts w:ascii="Abadi" w:hAnsi="Abadi" w:cs="Calibri"/>
                <w:sz w:val="21"/>
                <w:szCs w:val="21"/>
              </w:rPr>
              <w:t>en</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reglamento</w:t>
            </w:r>
            <w:r w:rsidRPr="00401C70">
              <w:rPr>
                <w:rFonts w:ascii="Abadi" w:hAnsi="Abadi" w:cs="Calibri"/>
                <w:spacing w:val="1"/>
                <w:sz w:val="21"/>
                <w:szCs w:val="21"/>
              </w:rPr>
              <w:t xml:space="preserve"> </w:t>
            </w:r>
            <w:r w:rsidRPr="00401C70">
              <w:rPr>
                <w:rFonts w:ascii="Abadi" w:hAnsi="Abadi" w:cs="Calibri"/>
                <w:sz w:val="21"/>
                <w:szCs w:val="21"/>
              </w:rPr>
              <w:t>correspondiente,</w:t>
            </w:r>
            <w:r w:rsidRPr="00401C70">
              <w:rPr>
                <w:rFonts w:ascii="Abadi" w:hAnsi="Abadi" w:cs="Calibri"/>
                <w:spacing w:val="1"/>
                <w:sz w:val="21"/>
                <w:szCs w:val="21"/>
              </w:rPr>
              <w:t xml:space="preserve"> </w:t>
            </w:r>
            <w:r w:rsidRPr="00401C70">
              <w:rPr>
                <w:rFonts w:ascii="Abadi" w:hAnsi="Abadi" w:cs="Calibri"/>
                <w:sz w:val="21"/>
                <w:szCs w:val="21"/>
              </w:rPr>
              <w:t>deberán</w:t>
            </w:r>
            <w:r w:rsidRPr="00401C70">
              <w:rPr>
                <w:rFonts w:ascii="Abadi" w:hAnsi="Abadi" w:cs="Calibri"/>
                <w:spacing w:val="1"/>
                <w:sz w:val="21"/>
                <w:szCs w:val="21"/>
              </w:rPr>
              <w:t xml:space="preserve"> </w:t>
            </w:r>
            <w:r w:rsidRPr="00401C70">
              <w:rPr>
                <w:rFonts w:ascii="Abadi" w:hAnsi="Abadi" w:cs="Calibri"/>
                <w:sz w:val="21"/>
                <w:szCs w:val="21"/>
              </w:rPr>
              <w:t>señalar</w:t>
            </w:r>
            <w:r w:rsidRPr="00401C70">
              <w:rPr>
                <w:rFonts w:ascii="Abadi" w:hAnsi="Abadi" w:cs="Calibri"/>
                <w:spacing w:val="1"/>
                <w:sz w:val="21"/>
                <w:szCs w:val="21"/>
              </w:rPr>
              <w:t xml:space="preserve"> </w:t>
            </w:r>
            <w:r w:rsidRPr="00401C70">
              <w:rPr>
                <w:rFonts w:ascii="Abadi" w:hAnsi="Abadi" w:cs="Calibri"/>
                <w:sz w:val="21"/>
                <w:szCs w:val="21"/>
              </w:rPr>
              <w:t>las</w:t>
            </w:r>
            <w:r w:rsidRPr="00401C70">
              <w:rPr>
                <w:rFonts w:ascii="Abadi" w:hAnsi="Abadi" w:cs="Calibri"/>
                <w:spacing w:val="1"/>
                <w:sz w:val="21"/>
                <w:szCs w:val="21"/>
              </w:rPr>
              <w:t xml:space="preserve"> </w:t>
            </w:r>
            <w:r w:rsidRPr="00401C70">
              <w:rPr>
                <w:rFonts w:ascii="Abadi" w:hAnsi="Abadi" w:cs="Calibri"/>
                <w:sz w:val="21"/>
                <w:szCs w:val="21"/>
              </w:rPr>
              <w:t>atribuciones</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tendrán</w:t>
            </w:r>
            <w:r w:rsidRPr="00401C70">
              <w:rPr>
                <w:rFonts w:ascii="Abadi" w:hAnsi="Abadi" w:cs="Calibri"/>
                <w:spacing w:val="1"/>
                <w:sz w:val="21"/>
                <w:szCs w:val="21"/>
              </w:rPr>
              <w:t xml:space="preserve"> </w:t>
            </w:r>
            <w:r w:rsidRPr="00401C70">
              <w:rPr>
                <w:rFonts w:ascii="Abadi" w:hAnsi="Abadi" w:cs="Calibri"/>
                <w:sz w:val="21"/>
                <w:szCs w:val="21"/>
              </w:rPr>
              <w:t>las</w:t>
            </w:r>
            <w:r w:rsidRPr="00401C70">
              <w:rPr>
                <w:rFonts w:ascii="Abadi" w:hAnsi="Abadi" w:cs="Calibri"/>
                <w:spacing w:val="1"/>
                <w:sz w:val="21"/>
                <w:szCs w:val="21"/>
              </w:rPr>
              <w:t xml:space="preserve"> </w:t>
            </w:r>
            <w:r w:rsidRPr="00401C70">
              <w:rPr>
                <w:rFonts w:ascii="Abadi" w:hAnsi="Abadi" w:cs="Calibri"/>
                <w:sz w:val="21"/>
                <w:szCs w:val="21"/>
              </w:rPr>
              <w:t>dependencias</w:t>
            </w:r>
            <w:r w:rsidRPr="00401C70">
              <w:rPr>
                <w:rFonts w:ascii="Abadi" w:hAnsi="Abadi" w:cs="Calibri"/>
                <w:spacing w:val="1"/>
                <w:sz w:val="21"/>
                <w:szCs w:val="21"/>
              </w:rPr>
              <w:t xml:space="preserve"> </w:t>
            </w:r>
            <w:r w:rsidRPr="00401C70">
              <w:rPr>
                <w:rFonts w:ascii="Abadi" w:hAnsi="Abadi" w:cs="Calibri"/>
                <w:sz w:val="21"/>
                <w:szCs w:val="21"/>
              </w:rPr>
              <w:t>señaladas</w:t>
            </w:r>
            <w:r w:rsidRPr="00401C70">
              <w:rPr>
                <w:rFonts w:ascii="Abadi" w:hAnsi="Abadi" w:cs="Calibri"/>
                <w:spacing w:val="1"/>
                <w:sz w:val="21"/>
                <w:szCs w:val="21"/>
              </w:rPr>
              <w:t xml:space="preserve"> </w:t>
            </w:r>
            <w:r w:rsidRPr="00401C70">
              <w:rPr>
                <w:rFonts w:ascii="Abadi" w:hAnsi="Abadi" w:cs="Calibri"/>
                <w:sz w:val="21"/>
                <w:szCs w:val="21"/>
              </w:rPr>
              <w:t>en</w:t>
            </w:r>
            <w:r w:rsidRPr="00401C70">
              <w:rPr>
                <w:rFonts w:ascii="Abadi" w:hAnsi="Abadi" w:cs="Calibri"/>
                <w:spacing w:val="1"/>
                <w:sz w:val="21"/>
                <w:szCs w:val="21"/>
              </w:rPr>
              <w:t xml:space="preserve"> </w:t>
            </w:r>
            <w:r w:rsidRPr="00401C70">
              <w:rPr>
                <w:rFonts w:ascii="Abadi" w:hAnsi="Abadi" w:cs="Calibri"/>
                <w:sz w:val="21"/>
                <w:szCs w:val="21"/>
              </w:rPr>
              <w:t>las</w:t>
            </w:r>
            <w:r w:rsidRPr="00401C70">
              <w:rPr>
                <w:rFonts w:ascii="Abadi" w:hAnsi="Abadi" w:cs="Calibri"/>
                <w:spacing w:val="1"/>
                <w:sz w:val="21"/>
                <w:szCs w:val="21"/>
              </w:rPr>
              <w:t xml:space="preserve"> </w:t>
            </w:r>
            <w:r w:rsidRPr="00401C70">
              <w:rPr>
                <w:rFonts w:ascii="Abadi" w:hAnsi="Abadi" w:cs="Calibri"/>
                <w:sz w:val="21"/>
                <w:szCs w:val="21"/>
              </w:rPr>
              <w:t>fracciones</w:t>
            </w:r>
            <w:r w:rsidRPr="00401C70">
              <w:rPr>
                <w:rFonts w:ascii="Abadi" w:hAnsi="Abadi" w:cs="Calibri"/>
                <w:spacing w:val="1"/>
                <w:sz w:val="21"/>
                <w:szCs w:val="21"/>
              </w:rPr>
              <w:t xml:space="preserve"> </w:t>
            </w:r>
            <w:r w:rsidRPr="00401C70">
              <w:rPr>
                <w:rFonts w:ascii="Abadi" w:hAnsi="Abadi" w:cs="Calibri"/>
                <w:sz w:val="21"/>
                <w:szCs w:val="21"/>
              </w:rPr>
              <w:t>IV</w:t>
            </w:r>
            <w:r w:rsidRPr="00401C70">
              <w:rPr>
                <w:rFonts w:ascii="Abadi" w:hAnsi="Abadi" w:cs="Calibri"/>
                <w:spacing w:val="1"/>
                <w:sz w:val="21"/>
                <w:szCs w:val="21"/>
              </w:rPr>
              <w:t xml:space="preserve"> </w:t>
            </w:r>
            <w:r w:rsidRPr="00401C70">
              <w:rPr>
                <w:rFonts w:ascii="Abadi" w:hAnsi="Abadi" w:cs="Calibri"/>
                <w:sz w:val="21"/>
                <w:szCs w:val="21"/>
              </w:rPr>
              <w:t>a</w:t>
            </w:r>
            <w:r w:rsidRPr="00401C70">
              <w:rPr>
                <w:rFonts w:ascii="Abadi" w:hAnsi="Abadi" w:cs="Calibri"/>
                <w:spacing w:val="1"/>
                <w:sz w:val="21"/>
                <w:szCs w:val="21"/>
              </w:rPr>
              <w:t xml:space="preserve"> </w:t>
            </w:r>
            <w:r w:rsidRPr="00401C70">
              <w:rPr>
                <w:rFonts w:ascii="Abadi" w:hAnsi="Abadi" w:cs="Calibri"/>
                <w:sz w:val="21"/>
                <w:szCs w:val="21"/>
              </w:rPr>
              <w:t>X</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este</w:t>
            </w:r>
            <w:r w:rsidRPr="00401C70">
              <w:rPr>
                <w:rFonts w:ascii="Abadi" w:hAnsi="Abadi" w:cs="Calibri"/>
                <w:spacing w:val="1"/>
                <w:sz w:val="21"/>
                <w:szCs w:val="21"/>
              </w:rPr>
              <w:t xml:space="preserve"> </w:t>
            </w:r>
            <w:r w:rsidRPr="00401C70">
              <w:rPr>
                <w:rFonts w:ascii="Abadi" w:hAnsi="Abadi" w:cs="Calibri"/>
                <w:sz w:val="21"/>
                <w:szCs w:val="21"/>
              </w:rPr>
              <w:t>artículo;</w:t>
            </w:r>
            <w:r w:rsidRPr="00401C70">
              <w:rPr>
                <w:rFonts w:ascii="Abadi" w:hAnsi="Abadi" w:cs="Calibri"/>
                <w:spacing w:val="1"/>
                <w:sz w:val="21"/>
                <w:szCs w:val="21"/>
              </w:rPr>
              <w:t xml:space="preserve"> </w:t>
            </w:r>
            <w:r w:rsidRPr="00401C70">
              <w:rPr>
                <w:rFonts w:ascii="Abadi" w:hAnsi="Abadi" w:cs="Calibri"/>
                <w:sz w:val="21"/>
                <w:szCs w:val="21"/>
              </w:rPr>
              <w:t>asimismo,</w:t>
            </w:r>
            <w:r w:rsidRPr="00401C70">
              <w:rPr>
                <w:rFonts w:ascii="Abadi" w:hAnsi="Abadi" w:cs="Calibri"/>
                <w:spacing w:val="1"/>
                <w:sz w:val="21"/>
                <w:szCs w:val="21"/>
              </w:rPr>
              <w:t xml:space="preserve"> </w:t>
            </w:r>
            <w:r w:rsidRPr="00401C70">
              <w:rPr>
                <w:rFonts w:ascii="Abadi" w:hAnsi="Abadi" w:cs="Calibri"/>
                <w:sz w:val="21"/>
                <w:szCs w:val="21"/>
              </w:rPr>
              <w:t>podrán</w:t>
            </w:r>
            <w:r w:rsidRPr="00401C70">
              <w:rPr>
                <w:rFonts w:ascii="Abadi" w:hAnsi="Abadi" w:cs="Calibri"/>
                <w:spacing w:val="1"/>
                <w:sz w:val="21"/>
                <w:szCs w:val="21"/>
              </w:rPr>
              <w:t xml:space="preserve"> </w:t>
            </w:r>
            <w:r w:rsidRPr="00401C70">
              <w:rPr>
                <w:rFonts w:ascii="Abadi" w:hAnsi="Abadi" w:cs="Calibri"/>
                <w:sz w:val="21"/>
                <w:szCs w:val="21"/>
              </w:rPr>
              <w:t>otorgarles</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denominación que corresponda atendiendo a</w:t>
            </w:r>
            <w:r w:rsidRPr="00401C70">
              <w:rPr>
                <w:rFonts w:ascii="Abadi" w:hAnsi="Abadi" w:cs="Calibri"/>
                <w:spacing w:val="1"/>
                <w:sz w:val="21"/>
                <w:szCs w:val="21"/>
              </w:rPr>
              <w:t xml:space="preserve"> </w:t>
            </w:r>
            <w:r w:rsidRPr="00401C70">
              <w:rPr>
                <w:rFonts w:ascii="Abadi" w:hAnsi="Abadi" w:cs="Calibri"/>
                <w:sz w:val="21"/>
                <w:szCs w:val="21"/>
              </w:rPr>
              <w:t>su</w:t>
            </w:r>
            <w:r w:rsidRPr="00401C70">
              <w:rPr>
                <w:rFonts w:ascii="Abadi" w:hAnsi="Abadi" w:cs="Calibri"/>
                <w:spacing w:val="-1"/>
                <w:sz w:val="21"/>
                <w:szCs w:val="21"/>
              </w:rPr>
              <w:t xml:space="preserve"> </w:t>
            </w:r>
            <w:r w:rsidRPr="00401C70">
              <w:rPr>
                <w:rFonts w:ascii="Abadi" w:hAnsi="Abadi" w:cs="Calibri"/>
                <w:sz w:val="21"/>
                <w:szCs w:val="21"/>
              </w:rPr>
              <w:t>organización</w:t>
            </w:r>
            <w:r w:rsidRPr="00401C70">
              <w:rPr>
                <w:rFonts w:ascii="Abadi" w:hAnsi="Abadi" w:cs="Calibri"/>
                <w:spacing w:val="-4"/>
                <w:sz w:val="21"/>
                <w:szCs w:val="21"/>
              </w:rPr>
              <w:t xml:space="preserve"> </w:t>
            </w:r>
            <w:r w:rsidRPr="00401C70">
              <w:rPr>
                <w:rFonts w:ascii="Abadi" w:hAnsi="Abadi" w:cs="Calibri"/>
                <w:sz w:val="21"/>
                <w:szCs w:val="21"/>
              </w:rPr>
              <w:t>administrativa.</w:t>
            </w:r>
          </w:p>
          <w:p w14:paraId="13596018" w14:textId="77777777" w:rsidR="00677B7E" w:rsidRPr="00401C70" w:rsidRDefault="00677B7E" w:rsidP="00FA2590">
            <w:pPr>
              <w:kinsoku w:val="0"/>
              <w:overflowPunct w:val="0"/>
              <w:autoSpaceDE w:val="0"/>
              <w:autoSpaceDN w:val="0"/>
              <w:adjustRightInd w:val="0"/>
              <w:spacing w:before="6"/>
              <w:jc w:val="both"/>
              <w:rPr>
                <w:rFonts w:ascii="Abadi" w:hAnsi="Abadi"/>
                <w:sz w:val="21"/>
                <w:szCs w:val="21"/>
              </w:rPr>
            </w:pPr>
          </w:p>
          <w:p w14:paraId="66C84691" w14:textId="77777777" w:rsidR="00677B7E" w:rsidRPr="00401C70" w:rsidRDefault="00677B7E" w:rsidP="00FA2590">
            <w:pPr>
              <w:kinsoku w:val="0"/>
              <w:overflowPunct w:val="0"/>
              <w:autoSpaceDE w:val="0"/>
              <w:autoSpaceDN w:val="0"/>
              <w:adjustRightInd w:val="0"/>
              <w:spacing w:line="270" w:lineRule="atLeast"/>
              <w:ind w:left="107" w:right="94"/>
              <w:jc w:val="both"/>
              <w:rPr>
                <w:rFonts w:ascii="Abadi" w:hAnsi="Abadi" w:cs="Calibri"/>
                <w:b/>
                <w:bCs/>
                <w:i/>
                <w:iCs/>
                <w:sz w:val="21"/>
                <w:szCs w:val="21"/>
              </w:rPr>
            </w:pPr>
            <w:r w:rsidRPr="00401C70">
              <w:rPr>
                <w:rFonts w:ascii="Abadi" w:hAnsi="Abadi" w:cs="Calibri"/>
                <w:b/>
                <w:bCs/>
                <w:i/>
                <w:iCs/>
                <w:sz w:val="21"/>
                <w:szCs w:val="21"/>
              </w:rPr>
              <w:t>En</w:t>
            </w:r>
            <w:r w:rsidRPr="00401C70">
              <w:rPr>
                <w:rFonts w:ascii="Abadi" w:hAnsi="Abadi" w:cs="Calibri"/>
                <w:b/>
                <w:bCs/>
                <w:i/>
                <w:iCs/>
                <w:spacing w:val="1"/>
                <w:sz w:val="21"/>
                <w:szCs w:val="21"/>
              </w:rPr>
              <w:t xml:space="preserve"> </w:t>
            </w:r>
            <w:r w:rsidRPr="00401C70">
              <w:rPr>
                <w:rFonts w:ascii="Abadi" w:hAnsi="Abadi" w:cs="Calibri"/>
                <w:b/>
                <w:bCs/>
                <w:i/>
                <w:iCs/>
                <w:sz w:val="21"/>
                <w:szCs w:val="21"/>
              </w:rPr>
              <w:t>los</w:t>
            </w:r>
            <w:r w:rsidRPr="00401C70">
              <w:rPr>
                <w:rFonts w:ascii="Abadi" w:hAnsi="Abadi" w:cs="Calibri"/>
                <w:b/>
                <w:bCs/>
                <w:i/>
                <w:iCs/>
                <w:spacing w:val="1"/>
                <w:sz w:val="21"/>
                <w:szCs w:val="21"/>
              </w:rPr>
              <w:t xml:space="preserve"> </w:t>
            </w:r>
            <w:r w:rsidRPr="00401C70">
              <w:rPr>
                <w:rFonts w:ascii="Abadi" w:hAnsi="Abadi" w:cs="Calibri"/>
                <w:b/>
                <w:bCs/>
                <w:i/>
                <w:iCs/>
                <w:sz w:val="21"/>
                <w:szCs w:val="21"/>
              </w:rPr>
              <w:t>nombramientos</w:t>
            </w:r>
            <w:r w:rsidRPr="00401C70">
              <w:rPr>
                <w:rFonts w:ascii="Abadi" w:hAnsi="Abadi" w:cs="Calibri"/>
                <w:b/>
                <w:bCs/>
                <w:i/>
                <w:iCs/>
                <w:spacing w:val="1"/>
                <w:sz w:val="21"/>
                <w:szCs w:val="21"/>
              </w:rPr>
              <w:t xml:space="preserve"> </w:t>
            </w:r>
            <w:r w:rsidRPr="00401C70">
              <w:rPr>
                <w:rFonts w:ascii="Abadi" w:hAnsi="Abadi" w:cs="Calibri"/>
                <w:b/>
                <w:bCs/>
                <w:i/>
                <w:iCs/>
                <w:sz w:val="21"/>
                <w:szCs w:val="21"/>
              </w:rPr>
              <w:t>de</w:t>
            </w:r>
            <w:r w:rsidRPr="00401C70">
              <w:rPr>
                <w:rFonts w:ascii="Abadi" w:hAnsi="Abadi" w:cs="Calibri"/>
                <w:b/>
                <w:bCs/>
                <w:i/>
                <w:iCs/>
                <w:spacing w:val="1"/>
                <w:sz w:val="21"/>
                <w:szCs w:val="21"/>
              </w:rPr>
              <w:t xml:space="preserve"> </w:t>
            </w:r>
            <w:r w:rsidRPr="00401C70">
              <w:rPr>
                <w:rFonts w:ascii="Abadi" w:hAnsi="Abadi" w:cs="Calibri"/>
                <w:b/>
                <w:bCs/>
                <w:i/>
                <w:iCs/>
                <w:sz w:val="21"/>
                <w:szCs w:val="21"/>
              </w:rPr>
              <w:t>las</w:t>
            </w:r>
            <w:r w:rsidRPr="00401C70">
              <w:rPr>
                <w:rFonts w:ascii="Abadi" w:hAnsi="Abadi" w:cs="Calibri"/>
                <w:b/>
                <w:bCs/>
                <w:i/>
                <w:iCs/>
                <w:spacing w:val="1"/>
                <w:sz w:val="21"/>
                <w:szCs w:val="21"/>
              </w:rPr>
              <w:t xml:space="preserve"> </w:t>
            </w:r>
            <w:r w:rsidRPr="00401C70">
              <w:rPr>
                <w:rFonts w:ascii="Abadi" w:hAnsi="Abadi" w:cs="Calibri"/>
                <w:b/>
                <w:bCs/>
                <w:i/>
                <w:iCs/>
                <w:sz w:val="21"/>
                <w:szCs w:val="21"/>
              </w:rPr>
              <w:t>personas</w:t>
            </w:r>
            <w:r w:rsidRPr="00401C70">
              <w:rPr>
                <w:rFonts w:ascii="Abadi" w:hAnsi="Abadi" w:cs="Calibri"/>
                <w:b/>
                <w:bCs/>
                <w:i/>
                <w:iCs/>
                <w:spacing w:val="1"/>
                <w:sz w:val="21"/>
                <w:szCs w:val="21"/>
              </w:rPr>
              <w:t xml:space="preserve"> </w:t>
            </w:r>
            <w:r w:rsidRPr="00401C70">
              <w:rPr>
                <w:rFonts w:ascii="Abadi" w:hAnsi="Abadi" w:cs="Calibri"/>
                <w:b/>
                <w:bCs/>
                <w:i/>
                <w:iCs/>
                <w:sz w:val="21"/>
                <w:szCs w:val="21"/>
              </w:rPr>
              <w:t>titulares de las dependencias señaladas en el</w:t>
            </w:r>
            <w:r w:rsidRPr="00401C70">
              <w:rPr>
                <w:rFonts w:ascii="Abadi" w:hAnsi="Abadi" w:cs="Calibri"/>
                <w:b/>
                <w:bCs/>
                <w:i/>
                <w:iCs/>
                <w:spacing w:val="1"/>
                <w:sz w:val="21"/>
                <w:szCs w:val="21"/>
              </w:rPr>
              <w:t xml:space="preserve"> </w:t>
            </w:r>
            <w:r w:rsidRPr="00401C70">
              <w:rPr>
                <w:rFonts w:ascii="Abadi" w:hAnsi="Abadi" w:cs="Calibri"/>
                <w:b/>
                <w:bCs/>
                <w:i/>
                <w:iCs/>
                <w:sz w:val="21"/>
                <w:szCs w:val="21"/>
              </w:rPr>
              <w:t>presente</w:t>
            </w:r>
            <w:r w:rsidRPr="00401C70">
              <w:rPr>
                <w:rFonts w:ascii="Abadi" w:hAnsi="Abadi" w:cs="Calibri"/>
                <w:b/>
                <w:bCs/>
                <w:i/>
                <w:iCs/>
                <w:spacing w:val="1"/>
                <w:sz w:val="21"/>
                <w:szCs w:val="21"/>
              </w:rPr>
              <w:t xml:space="preserve"> </w:t>
            </w:r>
            <w:r w:rsidRPr="00401C70">
              <w:rPr>
                <w:rFonts w:ascii="Abadi" w:hAnsi="Abadi" w:cs="Calibri"/>
                <w:b/>
                <w:bCs/>
                <w:i/>
                <w:iCs/>
                <w:sz w:val="21"/>
                <w:szCs w:val="21"/>
              </w:rPr>
              <w:t>artículo</w:t>
            </w:r>
            <w:r w:rsidRPr="00401C70">
              <w:rPr>
                <w:rFonts w:ascii="Abadi" w:hAnsi="Abadi" w:cs="Calibri"/>
                <w:b/>
                <w:bCs/>
                <w:i/>
                <w:iCs/>
                <w:spacing w:val="1"/>
                <w:sz w:val="21"/>
                <w:szCs w:val="21"/>
              </w:rPr>
              <w:t xml:space="preserve"> </w:t>
            </w:r>
            <w:r w:rsidRPr="00401C70">
              <w:rPr>
                <w:rFonts w:ascii="Abadi" w:hAnsi="Abadi" w:cs="Calibri"/>
                <w:b/>
                <w:bCs/>
                <w:i/>
                <w:iCs/>
                <w:sz w:val="21"/>
                <w:szCs w:val="21"/>
              </w:rPr>
              <w:t>se</w:t>
            </w:r>
            <w:r w:rsidRPr="00401C70">
              <w:rPr>
                <w:rFonts w:ascii="Abadi" w:hAnsi="Abadi" w:cs="Calibri"/>
                <w:b/>
                <w:bCs/>
                <w:i/>
                <w:iCs/>
                <w:spacing w:val="1"/>
                <w:sz w:val="21"/>
                <w:szCs w:val="21"/>
              </w:rPr>
              <w:t xml:space="preserve"> </w:t>
            </w:r>
            <w:r w:rsidRPr="00401C70">
              <w:rPr>
                <w:rFonts w:ascii="Abadi" w:hAnsi="Abadi" w:cs="Calibri"/>
                <w:b/>
                <w:bCs/>
                <w:i/>
                <w:iCs/>
                <w:sz w:val="21"/>
                <w:szCs w:val="21"/>
              </w:rPr>
              <w:t>deberá</w:t>
            </w:r>
            <w:r w:rsidRPr="00401C70">
              <w:rPr>
                <w:rFonts w:ascii="Abadi" w:hAnsi="Abadi" w:cs="Calibri"/>
                <w:b/>
                <w:bCs/>
                <w:i/>
                <w:iCs/>
                <w:spacing w:val="1"/>
                <w:sz w:val="21"/>
                <w:szCs w:val="21"/>
              </w:rPr>
              <w:t xml:space="preserve"> </w:t>
            </w:r>
            <w:r w:rsidRPr="00401C70">
              <w:rPr>
                <w:rFonts w:ascii="Abadi" w:hAnsi="Abadi" w:cs="Calibri"/>
                <w:b/>
                <w:bCs/>
                <w:i/>
                <w:iCs/>
                <w:sz w:val="21"/>
                <w:szCs w:val="21"/>
              </w:rPr>
              <w:t>observar</w:t>
            </w:r>
            <w:r w:rsidRPr="00401C70">
              <w:rPr>
                <w:rFonts w:ascii="Abadi" w:hAnsi="Abadi" w:cs="Calibri"/>
                <w:b/>
                <w:bCs/>
                <w:i/>
                <w:iCs/>
                <w:spacing w:val="1"/>
                <w:sz w:val="21"/>
                <w:szCs w:val="21"/>
              </w:rPr>
              <w:t xml:space="preserve"> </w:t>
            </w:r>
            <w:r w:rsidRPr="00401C70">
              <w:rPr>
                <w:rFonts w:ascii="Abadi" w:hAnsi="Abadi" w:cs="Calibri"/>
                <w:b/>
                <w:bCs/>
                <w:i/>
                <w:iCs/>
                <w:sz w:val="21"/>
                <w:szCs w:val="21"/>
              </w:rPr>
              <w:t>el</w:t>
            </w:r>
            <w:r w:rsidRPr="00401C70">
              <w:rPr>
                <w:rFonts w:ascii="Abadi" w:hAnsi="Abadi" w:cs="Calibri"/>
                <w:b/>
                <w:bCs/>
                <w:i/>
                <w:iCs/>
                <w:spacing w:val="1"/>
                <w:sz w:val="21"/>
                <w:szCs w:val="21"/>
              </w:rPr>
              <w:t xml:space="preserve"> </w:t>
            </w:r>
            <w:r w:rsidRPr="00401C70">
              <w:rPr>
                <w:rFonts w:ascii="Abadi" w:hAnsi="Abadi" w:cs="Calibri"/>
                <w:b/>
                <w:bCs/>
                <w:i/>
                <w:iCs/>
                <w:sz w:val="21"/>
                <w:szCs w:val="21"/>
              </w:rPr>
              <w:t>principio</w:t>
            </w:r>
            <w:r w:rsidRPr="00401C70">
              <w:rPr>
                <w:rFonts w:ascii="Abadi" w:hAnsi="Abadi" w:cs="Calibri"/>
                <w:b/>
                <w:bCs/>
                <w:i/>
                <w:iCs/>
                <w:spacing w:val="-2"/>
                <w:sz w:val="21"/>
                <w:szCs w:val="21"/>
              </w:rPr>
              <w:t xml:space="preserve"> </w:t>
            </w:r>
            <w:r w:rsidRPr="00401C70">
              <w:rPr>
                <w:rFonts w:ascii="Abadi" w:hAnsi="Abadi" w:cs="Calibri"/>
                <w:b/>
                <w:bCs/>
                <w:i/>
                <w:iCs/>
                <w:sz w:val="21"/>
                <w:szCs w:val="21"/>
              </w:rPr>
              <w:t>de</w:t>
            </w:r>
            <w:r w:rsidRPr="00401C70">
              <w:rPr>
                <w:rFonts w:ascii="Abadi" w:hAnsi="Abadi" w:cs="Calibri"/>
                <w:b/>
                <w:bCs/>
                <w:i/>
                <w:iCs/>
                <w:spacing w:val="-3"/>
                <w:sz w:val="21"/>
                <w:szCs w:val="21"/>
              </w:rPr>
              <w:t xml:space="preserve"> </w:t>
            </w:r>
            <w:r w:rsidRPr="00401C70">
              <w:rPr>
                <w:rFonts w:ascii="Abadi" w:hAnsi="Abadi" w:cs="Calibri"/>
                <w:b/>
                <w:bCs/>
                <w:i/>
                <w:iCs/>
                <w:sz w:val="21"/>
                <w:szCs w:val="21"/>
              </w:rPr>
              <w:t>paridad</w:t>
            </w:r>
            <w:r w:rsidRPr="00401C70">
              <w:rPr>
                <w:rFonts w:ascii="Abadi" w:hAnsi="Abadi" w:cs="Calibri"/>
                <w:b/>
                <w:bCs/>
                <w:i/>
                <w:iCs/>
                <w:spacing w:val="-2"/>
                <w:sz w:val="21"/>
                <w:szCs w:val="21"/>
              </w:rPr>
              <w:t xml:space="preserve"> </w:t>
            </w:r>
            <w:r w:rsidRPr="00401C70">
              <w:rPr>
                <w:rFonts w:ascii="Abadi" w:hAnsi="Abadi" w:cs="Calibri"/>
                <w:b/>
                <w:bCs/>
                <w:i/>
                <w:iCs/>
                <w:sz w:val="21"/>
                <w:szCs w:val="21"/>
              </w:rPr>
              <w:t>de</w:t>
            </w:r>
            <w:r w:rsidRPr="00401C70">
              <w:rPr>
                <w:rFonts w:ascii="Abadi" w:hAnsi="Abadi" w:cs="Calibri"/>
                <w:b/>
                <w:bCs/>
                <w:i/>
                <w:iCs/>
                <w:spacing w:val="-4"/>
                <w:sz w:val="21"/>
                <w:szCs w:val="21"/>
              </w:rPr>
              <w:t xml:space="preserve"> </w:t>
            </w:r>
            <w:r w:rsidRPr="00401C70">
              <w:rPr>
                <w:rFonts w:ascii="Abadi" w:hAnsi="Abadi" w:cs="Calibri"/>
                <w:b/>
                <w:bCs/>
                <w:i/>
                <w:iCs/>
                <w:sz w:val="21"/>
                <w:szCs w:val="21"/>
              </w:rPr>
              <w:t>género.</w:t>
            </w:r>
          </w:p>
        </w:tc>
      </w:tr>
      <w:tr w:rsidR="00677B7E" w:rsidRPr="00401C70" w14:paraId="7FF0A367" w14:textId="77777777" w:rsidTr="003343AD">
        <w:trPr>
          <w:trHeight w:val="2839"/>
        </w:trPr>
        <w:tc>
          <w:tcPr>
            <w:tcW w:w="2500" w:type="pct"/>
            <w:tcBorders>
              <w:top w:val="single" w:sz="4" w:space="0" w:color="000000"/>
              <w:left w:val="single" w:sz="4" w:space="0" w:color="000000"/>
              <w:bottom w:val="none" w:sz="6" w:space="0" w:color="auto"/>
              <w:right w:val="single" w:sz="4" w:space="0" w:color="000000"/>
            </w:tcBorders>
          </w:tcPr>
          <w:p w14:paraId="65BFC3A5" w14:textId="77777777" w:rsidR="00677B7E" w:rsidRPr="00401C70" w:rsidRDefault="00677B7E" w:rsidP="00FA2590">
            <w:pPr>
              <w:kinsoku w:val="0"/>
              <w:overflowPunct w:val="0"/>
              <w:autoSpaceDE w:val="0"/>
              <w:autoSpaceDN w:val="0"/>
              <w:adjustRightInd w:val="0"/>
              <w:ind w:left="107" w:right="93"/>
              <w:jc w:val="both"/>
              <w:rPr>
                <w:rFonts w:ascii="Abadi" w:hAnsi="Abadi" w:cs="Calibri"/>
                <w:sz w:val="21"/>
                <w:szCs w:val="21"/>
              </w:rPr>
            </w:pPr>
            <w:r w:rsidRPr="00401C70">
              <w:rPr>
                <w:rFonts w:ascii="Abadi" w:hAnsi="Abadi" w:cs="Calibri"/>
                <w:b/>
                <w:bCs/>
                <w:sz w:val="21"/>
                <w:szCs w:val="21"/>
              </w:rPr>
              <w:lastRenderedPageBreak/>
              <w:t>Artículo</w:t>
            </w:r>
            <w:r w:rsidRPr="00401C70">
              <w:rPr>
                <w:rFonts w:ascii="Abadi" w:hAnsi="Abadi" w:cs="Calibri"/>
                <w:b/>
                <w:bCs/>
                <w:spacing w:val="1"/>
                <w:sz w:val="21"/>
                <w:szCs w:val="21"/>
              </w:rPr>
              <w:t xml:space="preserve"> </w:t>
            </w:r>
            <w:r w:rsidRPr="00401C70">
              <w:rPr>
                <w:rFonts w:ascii="Abadi" w:hAnsi="Abadi" w:cs="Calibri"/>
                <w:b/>
                <w:bCs/>
                <w:sz w:val="21"/>
                <w:szCs w:val="21"/>
              </w:rPr>
              <w:t>131.</w:t>
            </w:r>
            <w:r w:rsidRPr="00401C70">
              <w:rPr>
                <w:rFonts w:ascii="Abadi" w:hAnsi="Abadi" w:cs="Calibri"/>
                <w:b/>
                <w:bCs/>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contraloría</w:t>
            </w:r>
            <w:r w:rsidRPr="00401C70">
              <w:rPr>
                <w:rFonts w:ascii="Abadi" w:hAnsi="Abadi" w:cs="Calibri"/>
                <w:spacing w:val="1"/>
                <w:sz w:val="21"/>
                <w:szCs w:val="21"/>
              </w:rPr>
              <w:t xml:space="preserve"> </w:t>
            </w:r>
            <w:r w:rsidRPr="00401C70">
              <w:rPr>
                <w:rFonts w:ascii="Abadi" w:hAnsi="Abadi" w:cs="Calibri"/>
                <w:sz w:val="21"/>
                <w:szCs w:val="21"/>
              </w:rPr>
              <w:t>municipal</w:t>
            </w:r>
            <w:r w:rsidRPr="00401C70">
              <w:rPr>
                <w:rFonts w:ascii="Abadi" w:hAnsi="Abadi" w:cs="Calibri"/>
                <w:spacing w:val="1"/>
                <w:sz w:val="21"/>
                <w:szCs w:val="21"/>
              </w:rPr>
              <w:t xml:space="preserve"> </w:t>
            </w:r>
            <w:r w:rsidRPr="00401C70">
              <w:rPr>
                <w:rFonts w:ascii="Abadi" w:hAnsi="Abadi" w:cs="Calibri"/>
                <w:sz w:val="21"/>
                <w:szCs w:val="21"/>
              </w:rPr>
              <w:t>es</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órgano</w:t>
            </w:r>
            <w:r w:rsidRPr="00401C70">
              <w:rPr>
                <w:rFonts w:ascii="Abadi" w:hAnsi="Abadi" w:cs="Calibri"/>
                <w:spacing w:val="1"/>
                <w:sz w:val="21"/>
                <w:szCs w:val="21"/>
              </w:rPr>
              <w:t xml:space="preserve"> </w:t>
            </w:r>
            <w:r w:rsidRPr="00401C70">
              <w:rPr>
                <w:rFonts w:ascii="Abadi" w:hAnsi="Abadi" w:cs="Calibri"/>
                <w:sz w:val="21"/>
                <w:szCs w:val="21"/>
              </w:rPr>
              <w:t>interno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control</w:t>
            </w:r>
            <w:r w:rsidRPr="00401C70">
              <w:rPr>
                <w:rFonts w:ascii="Abadi" w:hAnsi="Abadi" w:cs="Calibri"/>
                <w:spacing w:val="1"/>
                <w:sz w:val="21"/>
                <w:szCs w:val="21"/>
              </w:rPr>
              <w:t xml:space="preserve"> </w:t>
            </w:r>
            <w:r w:rsidRPr="00401C70">
              <w:rPr>
                <w:rFonts w:ascii="Abadi" w:hAnsi="Abadi" w:cs="Calibri"/>
                <w:sz w:val="21"/>
                <w:szCs w:val="21"/>
              </w:rPr>
              <w:t>encargado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evaluación de la gestión municipal y desarrollo</w:t>
            </w:r>
            <w:r w:rsidRPr="00401C70">
              <w:rPr>
                <w:rFonts w:ascii="Abadi" w:hAnsi="Abadi" w:cs="Calibri"/>
                <w:spacing w:val="-47"/>
                <w:sz w:val="21"/>
                <w:szCs w:val="21"/>
              </w:rPr>
              <w:t xml:space="preserve"> </w:t>
            </w:r>
            <w:r w:rsidRPr="00401C70">
              <w:rPr>
                <w:rFonts w:ascii="Abadi" w:hAnsi="Abadi" w:cs="Calibri"/>
                <w:sz w:val="21"/>
                <w:szCs w:val="21"/>
              </w:rPr>
              <w:t>administrativo,</w:t>
            </w:r>
            <w:r w:rsidRPr="00401C70">
              <w:rPr>
                <w:rFonts w:ascii="Abadi" w:hAnsi="Abadi" w:cs="Calibri"/>
                <w:spacing w:val="1"/>
                <w:sz w:val="21"/>
                <w:szCs w:val="21"/>
              </w:rPr>
              <w:t xml:space="preserve"> </w:t>
            </w:r>
            <w:r w:rsidRPr="00401C70">
              <w:rPr>
                <w:rFonts w:ascii="Abadi" w:hAnsi="Abadi" w:cs="Calibri"/>
                <w:sz w:val="21"/>
                <w:szCs w:val="21"/>
              </w:rPr>
              <w:t>así</w:t>
            </w:r>
            <w:r w:rsidRPr="00401C70">
              <w:rPr>
                <w:rFonts w:ascii="Abadi" w:hAnsi="Abadi" w:cs="Calibri"/>
                <w:spacing w:val="1"/>
                <w:sz w:val="21"/>
                <w:szCs w:val="21"/>
              </w:rPr>
              <w:t xml:space="preserve"> </w:t>
            </w:r>
            <w:r w:rsidRPr="00401C70">
              <w:rPr>
                <w:rFonts w:ascii="Abadi" w:hAnsi="Abadi" w:cs="Calibri"/>
                <w:sz w:val="21"/>
                <w:szCs w:val="21"/>
              </w:rPr>
              <w:t>como</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control</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ingresos,</w:t>
            </w:r>
            <w:r w:rsidRPr="00401C70">
              <w:rPr>
                <w:rFonts w:ascii="Abadi" w:hAnsi="Abadi" w:cs="Calibri"/>
                <w:spacing w:val="1"/>
                <w:sz w:val="21"/>
                <w:szCs w:val="21"/>
              </w:rPr>
              <w:t xml:space="preserve"> </w:t>
            </w:r>
            <w:r w:rsidRPr="00401C70">
              <w:rPr>
                <w:rFonts w:ascii="Abadi" w:hAnsi="Abadi" w:cs="Calibri"/>
                <w:sz w:val="21"/>
                <w:szCs w:val="21"/>
              </w:rPr>
              <w:t>egresos,</w:t>
            </w:r>
            <w:r w:rsidRPr="00401C70">
              <w:rPr>
                <w:rFonts w:ascii="Abadi" w:hAnsi="Abadi" w:cs="Calibri"/>
                <w:spacing w:val="1"/>
                <w:sz w:val="21"/>
                <w:szCs w:val="21"/>
              </w:rPr>
              <w:t xml:space="preserve"> </w:t>
            </w:r>
            <w:r w:rsidRPr="00401C70">
              <w:rPr>
                <w:rFonts w:ascii="Abadi" w:hAnsi="Abadi" w:cs="Calibri"/>
                <w:sz w:val="21"/>
                <w:szCs w:val="21"/>
              </w:rPr>
              <w:t>manejo,</w:t>
            </w:r>
            <w:r w:rsidRPr="00401C70">
              <w:rPr>
                <w:rFonts w:ascii="Abadi" w:hAnsi="Abadi" w:cs="Calibri"/>
                <w:spacing w:val="1"/>
                <w:sz w:val="21"/>
                <w:szCs w:val="21"/>
              </w:rPr>
              <w:t xml:space="preserve"> </w:t>
            </w:r>
            <w:r w:rsidRPr="00401C70">
              <w:rPr>
                <w:rFonts w:ascii="Abadi" w:hAnsi="Abadi" w:cs="Calibri"/>
                <w:sz w:val="21"/>
                <w:szCs w:val="21"/>
              </w:rPr>
              <w:t>custodia</w:t>
            </w:r>
            <w:r w:rsidRPr="00401C70">
              <w:rPr>
                <w:rFonts w:ascii="Abadi" w:hAnsi="Abadi" w:cs="Calibri"/>
                <w:spacing w:val="1"/>
                <w:sz w:val="21"/>
                <w:szCs w:val="21"/>
              </w:rPr>
              <w:t xml:space="preserve"> </w:t>
            </w:r>
            <w:r w:rsidRPr="00401C70">
              <w:rPr>
                <w:rFonts w:ascii="Abadi" w:hAnsi="Abadi" w:cs="Calibri"/>
                <w:sz w:val="21"/>
                <w:szCs w:val="21"/>
              </w:rPr>
              <w:t>y</w:t>
            </w:r>
            <w:r w:rsidRPr="00401C70">
              <w:rPr>
                <w:rFonts w:ascii="Abadi" w:hAnsi="Abadi" w:cs="Calibri"/>
                <w:spacing w:val="1"/>
                <w:sz w:val="21"/>
                <w:szCs w:val="21"/>
              </w:rPr>
              <w:t xml:space="preserve"> </w:t>
            </w:r>
            <w:r w:rsidRPr="00401C70">
              <w:rPr>
                <w:rFonts w:ascii="Abadi" w:hAnsi="Abadi" w:cs="Calibri"/>
                <w:sz w:val="21"/>
                <w:szCs w:val="21"/>
              </w:rPr>
              <w:t>aplicación</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recursos</w:t>
            </w:r>
            <w:r w:rsidRPr="00401C70">
              <w:rPr>
                <w:rFonts w:ascii="Abadi" w:hAnsi="Abadi" w:cs="Calibri"/>
                <w:spacing w:val="1"/>
                <w:sz w:val="21"/>
                <w:szCs w:val="21"/>
              </w:rPr>
              <w:t xml:space="preserve"> </w:t>
            </w:r>
            <w:r w:rsidRPr="00401C70">
              <w:rPr>
                <w:rFonts w:ascii="Abadi" w:hAnsi="Abadi" w:cs="Calibri"/>
                <w:sz w:val="21"/>
                <w:szCs w:val="21"/>
              </w:rPr>
              <w:t>públicos;</w:t>
            </w:r>
            <w:r w:rsidRPr="00401C70">
              <w:rPr>
                <w:rFonts w:ascii="Abadi" w:hAnsi="Abadi" w:cs="Calibri"/>
                <w:spacing w:val="1"/>
                <w:sz w:val="21"/>
                <w:szCs w:val="21"/>
              </w:rPr>
              <w:t xml:space="preserve"> </w:t>
            </w:r>
            <w:r w:rsidRPr="00401C70">
              <w:rPr>
                <w:rFonts w:ascii="Abadi" w:hAnsi="Abadi" w:cs="Calibri"/>
                <w:sz w:val="21"/>
                <w:szCs w:val="21"/>
              </w:rPr>
              <w:t>con</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finalidad de prevenir, corregir, investigar y, en</w:t>
            </w:r>
            <w:r w:rsidRPr="00401C70">
              <w:rPr>
                <w:rFonts w:ascii="Abadi" w:hAnsi="Abadi" w:cs="Calibri"/>
                <w:spacing w:val="1"/>
                <w:sz w:val="21"/>
                <w:szCs w:val="21"/>
              </w:rPr>
              <w:t xml:space="preserve"> </w:t>
            </w:r>
            <w:r w:rsidRPr="00401C70">
              <w:rPr>
                <w:rFonts w:ascii="Abadi" w:hAnsi="Abadi" w:cs="Calibri"/>
                <w:sz w:val="21"/>
                <w:szCs w:val="21"/>
              </w:rPr>
              <w:t>su</w:t>
            </w:r>
            <w:r w:rsidRPr="00401C70">
              <w:rPr>
                <w:rFonts w:ascii="Abadi" w:hAnsi="Abadi" w:cs="Calibri"/>
                <w:spacing w:val="1"/>
                <w:sz w:val="21"/>
                <w:szCs w:val="21"/>
              </w:rPr>
              <w:t xml:space="preserve"> </w:t>
            </w:r>
            <w:r w:rsidRPr="00401C70">
              <w:rPr>
                <w:rFonts w:ascii="Abadi" w:hAnsi="Abadi" w:cs="Calibri"/>
                <w:sz w:val="21"/>
                <w:szCs w:val="21"/>
              </w:rPr>
              <w:t>caso,</w:t>
            </w:r>
            <w:r w:rsidRPr="00401C70">
              <w:rPr>
                <w:rFonts w:ascii="Abadi" w:hAnsi="Abadi" w:cs="Calibri"/>
                <w:spacing w:val="1"/>
                <w:sz w:val="21"/>
                <w:szCs w:val="21"/>
              </w:rPr>
              <w:t xml:space="preserve"> </w:t>
            </w:r>
            <w:r w:rsidRPr="00401C70">
              <w:rPr>
                <w:rFonts w:ascii="Abadi" w:hAnsi="Abadi" w:cs="Calibri"/>
                <w:sz w:val="21"/>
                <w:szCs w:val="21"/>
              </w:rPr>
              <w:t>sancionar</w:t>
            </w:r>
            <w:r w:rsidRPr="00401C70">
              <w:rPr>
                <w:rFonts w:ascii="Abadi" w:hAnsi="Abadi" w:cs="Calibri"/>
                <w:spacing w:val="1"/>
                <w:sz w:val="21"/>
                <w:szCs w:val="21"/>
              </w:rPr>
              <w:t xml:space="preserve"> </w:t>
            </w:r>
            <w:r w:rsidRPr="00401C70">
              <w:rPr>
                <w:rFonts w:ascii="Abadi" w:hAnsi="Abadi" w:cs="Calibri"/>
                <w:sz w:val="21"/>
                <w:szCs w:val="21"/>
              </w:rPr>
              <w:t>actos</w:t>
            </w:r>
            <w:r w:rsidRPr="00401C70">
              <w:rPr>
                <w:rFonts w:ascii="Abadi" w:hAnsi="Abadi" w:cs="Calibri"/>
                <w:spacing w:val="1"/>
                <w:sz w:val="21"/>
                <w:szCs w:val="21"/>
              </w:rPr>
              <w:t xml:space="preserve"> </w:t>
            </w:r>
            <w:r w:rsidRPr="00401C70">
              <w:rPr>
                <w:rFonts w:ascii="Abadi" w:hAnsi="Abadi" w:cs="Calibri"/>
                <w:sz w:val="21"/>
                <w:szCs w:val="21"/>
              </w:rPr>
              <w:t>y</w:t>
            </w:r>
            <w:r w:rsidRPr="00401C70">
              <w:rPr>
                <w:rFonts w:ascii="Abadi" w:hAnsi="Abadi" w:cs="Calibri"/>
                <w:spacing w:val="1"/>
                <w:sz w:val="21"/>
                <w:szCs w:val="21"/>
              </w:rPr>
              <w:t xml:space="preserve"> </w:t>
            </w:r>
            <w:r w:rsidRPr="00401C70">
              <w:rPr>
                <w:rFonts w:ascii="Abadi" w:hAnsi="Abadi" w:cs="Calibri"/>
                <w:sz w:val="21"/>
                <w:szCs w:val="21"/>
              </w:rPr>
              <w:t>omisiones</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pudieran</w:t>
            </w:r>
            <w:r w:rsidRPr="00401C70">
              <w:rPr>
                <w:rFonts w:ascii="Abadi" w:hAnsi="Abadi" w:cs="Calibri"/>
                <w:spacing w:val="1"/>
                <w:sz w:val="21"/>
                <w:szCs w:val="21"/>
              </w:rPr>
              <w:t xml:space="preserve"> </w:t>
            </w:r>
            <w:r w:rsidRPr="00401C70">
              <w:rPr>
                <w:rFonts w:ascii="Abadi" w:hAnsi="Abadi" w:cs="Calibri"/>
                <w:sz w:val="21"/>
                <w:szCs w:val="21"/>
              </w:rPr>
              <w:t>constituir</w:t>
            </w:r>
            <w:r w:rsidRPr="00401C70">
              <w:rPr>
                <w:rFonts w:ascii="Abadi" w:hAnsi="Abadi" w:cs="Calibri"/>
                <w:spacing w:val="1"/>
                <w:sz w:val="21"/>
                <w:szCs w:val="21"/>
              </w:rPr>
              <w:t xml:space="preserve"> </w:t>
            </w:r>
            <w:r w:rsidRPr="00401C70">
              <w:rPr>
                <w:rFonts w:ascii="Abadi" w:hAnsi="Abadi" w:cs="Calibri"/>
                <w:sz w:val="21"/>
                <w:szCs w:val="21"/>
              </w:rPr>
              <w:t>responsabilidades</w:t>
            </w:r>
            <w:r w:rsidRPr="00401C70">
              <w:rPr>
                <w:rFonts w:ascii="Abadi" w:hAnsi="Abadi" w:cs="Calibri"/>
                <w:spacing w:val="-47"/>
                <w:sz w:val="21"/>
                <w:szCs w:val="21"/>
              </w:rPr>
              <w:t xml:space="preserve"> </w:t>
            </w:r>
            <w:r w:rsidRPr="00401C70">
              <w:rPr>
                <w:rFonts w:ascii="Abadi" w:hAnsi="Abadi" w:cs="Calibri"/>
                <w:sz w:val="21"/>
                <w:szCs w:val="21"/>
              </w:rPr>
              <w:t>administrativas.</w:t>
            </w:r>
          </w:p>
        </w:tc>
        <w:tc>
          <w:tcPr>
            <w:tcW w:w="2500" w:type="pct"/>
            <w:tcBorders>
              <w:top w:val="single" w:sz="4" w:space="0" w:color="000000"/>
              <w:left w:val="single" w:sz="4" w:space="0" w:color="000000"/>
              <w:bottom w:val="none" w:sz="6" w:space="0" w:color="auto"/>
              <w:right w:val="single" w:sz="4" w:space="0" w:color="000000"/>
            </w:tcBorders>
          </w:tcPr>
          <w:p w14:paraId="08C16FF4" w14:textId="77777777" w:rsidR="00677B7E" w:rsidRPr="00401C70" w:rsidRDefault="00677B7E" w:rsidP="00FA2590">
            <w:pPr>
              <w:kinsoku w:val="0"/>
              <w:overflowPunct w:val="0"/>
              <w:autoSpaceDE w:val="0"/>
              <w:autoSpaceDN w:val="0"/>
              <w:adjustRightInd w:val="0"/>
              <w:ind w:left="107" w:right="93"/>
              <w:jc w:val="both"/>
              <w:rPr>
                <w:rFonts w:ascii="Abadi" w:hAnsi="Abadi" w:cs="Calibri"/>
                <w:sz w:val="21"/>
                <w:szCs w:val="21"/>
              </w:rPr>
            </w:pPr>
            <w:r w:rsidRPr="00401C70">
              <w:rPr>
                <w:rFonts w:ascii="Abadi" w:hAnsi="Abadi" w:cs="Calibri"/>
                <w:b/>
                <w:bCs/>
                <w:sz w:val="21"/>
                <w:szCs w:val="21"/>
              </w:rPr>
              <w:t>Artículo</w:t>
            </w:r>
            <w:r w:rsidRPr="00401C70">
              <w:rPr>
                <w:rFonts w:ascii="Abadi" w:hAnsi="Abadi" w:cs="Calibri"/>
                <w:b/>
                <w:bCs/>
                <w:spacing w:val="1"/>
                <w:sz w:val="21"/>
                <w:szCs w:val="21"/>
              </w:rPr>
              <w:t xml:space="preserve"> </w:t>
            </w:r>
            <w:r w:rsidRPr="00401C70">
              <w:rPr>
                <w:rFonts w:ascii="Abadi" w:hAnsi="Abadi" w:cs="Calibri"/>
                <w:b/>
                <w:bCs/>
                <w:sz w:val="21"/>
                <w:szCs w:val="21"/>
              </w:rPr>
              <w:t>131.</w:t>
            </w:r>
            <w:r w:rsidRPr="00401C70">
              <w:rPr>
                <w:rFonts w:ascii="Abadi" w:hAnsi="Abadi" w:cs="Calibri"/>
                <w:b/>
                <w:bCs/>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contraloría</w:t>
            </w:r>
            <w:r w:rsidRPr="00401C70">
              <w:rPr>
                <w:rFonts w:ascii="Abadi" w:hAnsi="Abadi" w:cs="Calibri"/>
                <w:spacing w:val="1"/>
                <w:sz w:val="21"/>
                <w:szCs w:val="21"/>
              </w:rPr>
              <w:t xml:space="preserve"> </w:t>
            </w:r>
            <w:r w:rsidRPr="00401C70">
              <w:rPr>
                <w:rFonts w:ascii="Abadi" w:hAnsi="Abadi" w:cs="Calibri"/>
                <w:sz w:val="21"/>
                <w:szCs w:val="21"/>
              </w:rPr>
              <w:t>municipal</w:t>
            </w:r>
            <w:r w:rsidRPr="00401C70">
              <w:rPr>
                <w:rFonts w:ascii="Abadi" w:hAnsi="Abadi" w:cs="Calibri"/>
                <w:spacing w:val="1"/>
                <w:sz w:val="21"/>
                <w:szCs w:val="21"/>
              </w:rPr>
              <w:t xml:space="preserve"> </w:t>
            </w:r>
            <w:r w:rsidRPr="00401C70">
              <w:rPr>
                <w:rFonts w:ascii="Abadi" w:hAnsi="Abadi" w:cs="Calibri"/>
                <w:sz w:val="21"/>
                <w:szCs w:val="21"/>
              </w:rPr>
              <w:t>es</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órgano</w:t>
            </w:r>
            <w:r w:rsidRPr="00401C70">
              <w:rPr>
                <w:rFonts w:ascii="Abadi" w:hAnsi="Abadi" w:cs="Calibri"/>
                <w:spacing w:val="1"/>
                <w:sz w:val="21"/>
                <w:szCs w:val="21"/>
              </w:rPr>
              <w:t xml:space="preserve"> </w:t>
            </w:r>
            <w:r w:rsidRPr="00401C70">
              <w:rPr>
                <w:rFonts w:ascii="Abadi" w:hAnsi="Abadi" w:cs="Calibri"/>
                <w:sz w:val="21"/>
                <w:szCs w:val="21"/>
              </w:rPr>
              <w:t>interno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control</w:t>
            </w:r>
            <w:r w:rsidRPr="00401C70">
              <w:rPr>
                <w:rFonts w:ascii="Abadi" w:hAnsi="Abadi" w:cs="Calibri"/>
                <w:spacing w:val="1"/>
                <w:sz w:val="21"/>
                <w:szCs w:val="21"/>
              </w:rPr>
              <w:t xml:space="preserve"> </w:t>
            </w:r>
            <w:r w:rsidRPr="00401C70">
              <w:rPr>
                <w:rFonts w:ascii="Abadi" w:hAnsi="Abadi" w:cs="Calibri"/>
                <w:sz w:val="21"/>
                <w:szCs w:val="21"/>
              </w:rPr>
              <w:t>encargado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evaluación de la gestión municipal y desarrollo</w:t>
            </w:r>
            <w:r w:rsidRPr="00401C70">
              <w:rPr>
                <w:rFonts w:ascii="Abadi" w:hAnsi="Abadi" w:cs="Calibri"/>
                <w:spacing w:val="-47"/>
                <w:sz w:val="21"/>
                <w:szCs w:val="21"/>
              </w:rPr>
              <w:t xml:space="preserve"> </w:t>
            </w:r>
            <w:r w:rsidRPr="00401C70">
              <w:rPr>
                <w:rFonts w:ascii="Abadi" w:hAnsi="Abadi" w:cs="Calibri"/>
                <w:sz w:val="21"/>
                <w:szCs w:val="21"/>
              </w:rPr>
              <w:t>administrativo,</w:t>
            </w:r>
            <w:r w:rsidRPr="00401C70">
              <w:rPr>
                <w:rFonts w:ascii="Abadi" w:hAnsi="Abadi" w:cs="Calibri"/>
                <w:spacing w:val="1"/>
                <w:sz w:val="21"/>
                <w:szCs w:val="21"/>
              </w:rPr>
              <w:t xml:space="preserve"> </w:t>
            </w:r>
            <w:r w:rsidRPr="00401C70">
              <w:rPr>
                <w:rFonts w:ascii="Abadi" w:hAnsi="Abadi" w:cs="Calibri"/>
                <w:sz w:val="21"/>
                <w:szCs w:val="21"/>
              </w:rPr>
              <w:t>así</w:t>
            </w:r>
            <w:r w:rsidRPr="00401C70">
              <w:rPr>
                <w:rFonts w:ascii="Abadi" w:hAnsi="Abadi" w:cs="Calibri"/>
                <w:spacing w:val="1"/>
                <w:sz w:val="21"/>
                <w:szCs w:val="21"/>
              </w:rPr>
              <w:t xml:space="preserve"> </w:t>
            </w:r>
            <w:r w:rsidRPr="00401C70">
              <w:rPr>
                <w:rFonts w:ascii="Abadi" w:hAnsi="Abadi" w:cs="Calibri"/>
                <w:sz w:val="21"/>
                <w:szCs w:val="21"/>
              </w:rPr>
              <w:t>como</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control</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ingresos,</w:t>
            </w:r>
            <w:r w:rsidRPr="00401C70">
              <w:rPr>
                <w:rFonts w:ascii="Abadi" w:hAnsi="Abadi" w:cs="Calibri"/>
                <w:spacing w:val="1"/>
                <w:sz w:val="21"/>
                <w:szCs w:val="21"/>
              </w:rPr>
              <w:t xml:space="preserve"> </w:t>
            </w:r>
            <w:r w:rsidRPr="00401C70">
              <w:rPr>
                <w:rFonts w:ascii="Abadi" w:hAnsi="Abadi" w:cs="Calibri"/>
                <w:sz w:val="21"/>
                <w:szCs w:val="21"/>
              </w:rPr>
              <w:t>egresos,</w:t>
            </w:r>
            <w:r w:rsidRPr="00401C70">
              <w:rPr>
                <w:rFonts w:ascii="Abadi" w:hAnsi="Abadi" w:cs="Calibri"/>
                <w:spacing w:val="1"/>
                <w:sz w:val="21"/>
                <w:szCs w:val="21"/>
              </w:rPr>
              <w:t xml:space="preserve"> </w:t>
            </w:r>
            <w:r w:rsidRPr="00401C70">
              <w:rPr>
                <w:rFonts w:ascii="Abadi" w:hAnsi="Abadi" w:cs="Calibri"/>
                <w:sz w:val="21"/>
                <w:szCs w:val="21"/>
              </w:rPr>
              <w:t>manejo,</w:t>
            </w:r>
            <w:r w:rsidRPr="00401C70">
              <w:rPr>
                <w:rFonts w:ascii="Abadi" w:hAnsi="Abadi" w:cs="Calibri"/>
                <w:spacing w:val="1"/>
                <w:sz w:val="21"/>
                <w:szCs w:val="21"/>
              </w:rPr>
              <w:t xml:space="preserve"> </w:t>
            </w:r>
            <w:r w:rsidRPr="00401C70">
              <w:rPr>
                <w:rFonts w:ascii="Abadi" w:hAnsi="Abadi" w:cs="Calibri"/>
                <w:sz w:val="21"/>
                <w:szCs w:val="21"/>
              </w:rPr>
              <w:t>custodia</w:t>
            </w:r>
            <w:r w:rsidRPr="00401C70">
              <w:rPr>
                <w:rFonts w:ascii="Abadi" w:hAnsi="Abadi" w:cs="Calibri"/>
                <w:spacing w:val="1"/>
                <w:sz w:val="21"/>
                <w:szCs w:val="21"/>
              </w:rPr>
              <w:t xml:space="preserve"> </w:t>
            </w:r>
            <w:r w:rsidRPr="00401C70">
              <w:rPr>
                <w:rFonts w:ascii="Abadi" w:hAnsi="Abadi" w:cs="Calibri"/>
                <w:sz w:val="21"/>
                <w:szCs w:val="21"/>
              </w:rPr>
              <w:t>y</w:t>
            </w:r>
            <w:r w:rsidRPr="00401C70">
              <w:rPr>
                <w:rFonts w:ascii="Abadi" w:hAnsi="Abadi" w:cs="Calibri"/>
                <w:spacing w:val="1"/>
                <w:sz w:val="21"/>
                <w:szCs w:val="21"/>
              </w:rPr>
              <w:t xml:space="preserve"> </w:t>
            </w:r>
            <w:r w:rsidRPr="00401C70">
              <w:rPr>
                <w:rFonts w:ascii="Abadi" w:hAnsi="Abadi" w:cs="Calibri"/>
                <w:sz w:val="21"/>
                <w:szCs w:val="21"/>
              </w:rPr>
              <w:t>aplicación</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recursos</w:t>
            </w:r>
            <w:r w:rsidRPr="00401C70">
              <w:rPr>
                <w:rFonts w:ascii="Abadi" w:hAnsi="Abadi" w:cs="Calibri"/>
                <w:spacing w:val="1"/>
                <w:sz w:val="21"/>
                <w:szCs w:val="21"/>
              </w:rPr>
              <w:t xml:space="preserve"> </w:t>
            </w:r>
            <w:r w:rsidRPr="00401C70">
              <w:rPr>
                <w:rFonts w:ascii="Abadi" w:hAnsi="Abadi" w:cs="Calibri"/>
                <w:sz w:val="21"/>
                <w:szCs w:val="21"/>
              </w:rPr>
              <w:t>públicos;</w:t>
            </w:r>
            <w:r w:rsidRPr="00401C70">
              <w:rPr>
                <w:rFonts w:ascii="Abadi" w:hAnsi="Abadi" w:cs="Calibri"/>
                <w:spacing w:val="1"/>
                <w:sz w:val="21"/>
                <w:szCs w:val="21"/>
              </w:rPr>
              <w:t xml:space="preserve"> </w:t>
            </w:r>
            <w:r w:rsidRPr="00401C70">
              <w:rPr>
                <w:rFonts w:ascii="Abadi" w:hAnsi="Abadi" w:cs="Calibri"/>
                <w:sz w:val="21"/>
                <w:szCs w:val="21"/>
              </w:rPr>
              <w:t>con</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finalidad de prevenir, corregir, investigar y, en</w:t>
            </w:r>
            <w:r w:rsidRPr="00401C70">
              <w:rPr>
                <w:rFonts w:ascii="Abadi" w:hAnsi="Abadi" w:cs="Calibri"/>
                <w:spacing w:val="1"/>
                <w:sz w:val="21"/>
                <w:szCs w:val="21"/>
              </w:rPr>
              <w:t xml:space="preserve"> </w:t>
            </w:r>
            <w:r w:rsidRPr="00401C70">
              <w:rPr>
                <w:rFonts w:ascii="Abadi" w:hAnsi="Abadi" w:cs="Calibri"/>
                <w:sz w:val="21"/>
                <w:szCs w:val="21"/>
              </w:rPr>
              <w:t>su</w:t>
            </w:r>
            <w:r w:rsidRPr="00401C70">
              <w:rPr>
                <w:rFonts w:ascii="Abadi" w:hAnsi="Abadi" w:cs="Calibri"/>
                <w:spacing w:val="1"/>
                <w:sz w:val="21"/>
                <w:szCs w:val="21"/>
              </w:rPr>
              <w:t xml:space="preserve"> </w:t>
            </w:r>
            <w:r w:rsidRPr="00401C70">
              <w:rPr>
                <w:rFonts w:ascii="Abadi" w:hAnsi="Abadi" w:cs="Calibri"/>
                <w:sz w:val="21"/>
                <w:szCs w:val="21"/>
              </w:rPr>
              <w:t>caso,</w:t>
            </w:r>
            <w:r w:rsidRPr="00401C70">
              <w:rPr>
                <w:rFonts w:ascii="Abadi" w:hAnsi="Abadi" w:cs="Calibri"/>
                <w:spacing w:val="1"/>
                <w:sz w:val="21"/>
                <w:szCs w:val="21"/>
              </w:rPr>
              <w:t xml:space="preserve"> </w:t>
            </w:r>
            <w:r w:rsidRPr="00401C70">
              <w:rPr>
                <w:rFonts w:ascii="Abadi" w:hAnsi="Abadi" w:cs="Calibri"/>
                <w:sz w:val="21"/>
                <w:szCs w:val="21"/>
              </w:rPr>
              <w:t>sancionar</w:t>
            </w:r>
            <w:r w:rsidRPr="00401C70">
              <w:rPr>
                <w:rFonts w:ascii="Abadi" w:hAnsi="Abadi" w:cs="Calibri"/>
                <w:spacing w:val="1"/>
                <w:sz w:val="21"/>
                <w:szCs w:val="21"/>
              </w:rPr>
              <w:t xml:space="preserve"> </w:t>
            </w:r>
            <w:r w:rsidRPr="00401C70">
              <w:rPr>
                <w:rFonts w:ascii="Abadi" w:hAnsi="Abadi" w:cs="Calibri"/>
                <w:sz w:val="21"/>
                <w:szCs w:val="21"/>
              </w:rPr>
              <w:t>actos</w:t>
            </w:r>
            <w:r w:rsidRPr="00401C70">
              <w:rPr>
                <w:rFonts w:ascii="Abadi" w:hAnsi="Abadi" w:cs="Calibri"/>
                <w:spacing w:val="1"/>
                <w:sz w:val="21"/>
                <w:szCs w:val="21"/>
              </w:rPr>
              <w:t xml:space="preserve"> </w:t>
            </w:r>
            <w:r w:rsidRPr="00401C70">
              <w:rPr>
                <w:rFonts w:ascii="Abadi" w:hAnsi="Abadi" w:cs="Calibri"/>
                <w:sz w:val="21"/>
                <w:szCs w:val="21"/>
              </w:rPr>
              <w:t>y</w:t>
            </w:r>
            <w:r w:rsidRPr="00401C70">
              <w:rPr>
                <w:rFonts w:ascii="Abadi" w:hAnsi="Abadi" w:cs="Calibri"/>
                <w:spacing w:val="1"/>
                <w:sz w:val="21"/>
                <w:szCs w:val="21"/>
              </w:rPr>
              <w:t xml:space="preserve"> </w:t>
            </w:r>
            <w:r w:rsidRPr="00401C70">
              <w:rPr>
                <w:rFonts w:ascii="Abadi" w:hAnsi="Abadi" w:cs="Calibri"/>
                <w:sz w:val="21"/>
                <w:szCs w:val="21"/>
              </w:rPr>
              <w:t>omisiones</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pudieran</w:t>
            </w:r>
            <w:r w:rsidRPr="00401C70">
              <w:rPr>
                <w:rFonts w:ascii="Abadi" w:hAnsi="Abadi" w:cs="Calibri"/>
                <w:spacing w:val="1"/>
                <w:sz w:val="21"/>
                <w:szCs w:val="21"/>
              </w:rPr>
              <w:t xml:space="preserve"> </w:t>
            </w:r>
            <w:r w:rsidRPr="00401C70">
              <w:rPr>
                <w:rFonts w:ascii="Abadi" w:hAnsi="Abadi" w:cs="Calibri"/>
                <w:sz w:val="21"/>
                <w:szCs w:val="21"/>
              </w:rPr>
              <w:t>constituir</w:t>
            </w:r>
            <w:r w:rsidRPr="00401C70">
              <w:rPr>
                <w:rFonts w:ascii="Abadi" w:hAnsi="Abadi" w:cs="Calibri"/>
                <w:spacing w:val="1"/>
                <w:sz w:val="21"/>
                <w:szCs w:val="21"/>
              </w:rPr>
              <w:t xml:space="preserve"> </w:t>
            </w:r>
            <w:r w:rsidRPr="00401C70">
              <w:rPr>
                <w:rFonts w:ascii="Abadi" w:hAnsi="Abadi" w:cs="Calibri"/>
                <w:sz w:val="21"/>
                <w:szCs w:val="21"/>
              </w:rPr>
              <w:t>responsabilidades</w:t>
            </w:r>
            <w:r w:rsidRPr="00401C70">
              <w:rPr>
                <w:rFonts w:ascii="Abadi" w:hAnsi="Abadi" w:cs="Calibri"/>
                <w:spacing w:val="-47"/>
                <w:sz w:val="21"/>
                <w:szCs w:val="21"/>
              </w:rPr>
              <w:t xml:space="preserve"> </w:t>
            </w:r>
            <w:r w:rsidRPr="00401C70">
              <w:rPr>
                <w:rFonts w:ascii="Abadi" w:hAnsi="Abadi" w:cs="Calibri"/>
                <w:sz w:val="21"/>
                <w:szCs w:val="21"/>
              </w:rPr>
              <w:t>administrativas.</w:t>
            </w:r>
          </w:p>
        </w:tc>
      </w:tr>
      <w:tr w:rsidR="00677B7E" w:rsidRPr="00401C70" w14:paraId="5E92C02E" w14:textId="77777777" w:rsidTr="003343AD">
        <w:trPr>
          <w:trHeight w:val="805"/>
        </w:trPr>
        <w:tc>
          <w:tcPr>
            <w:tcW w:w="2500" w:type="pct"/>
            <w:tcBorders>
              <w:top w:val="none" w:sz="6" w:space="0" w:color="auto"/>
              <w:left w:val="single" w:sz="4" w:space="0" w:color="000000"/>
              <w:bottom w:val="none" w:sz="6" w:space="0" w:color="auto"/>
              <w:right w:val="single" w:sz="4" w:space="0" w:color="000000"/>
            </w:tcBorders>
          </w:tcPr>
          <w:p w14:paraId="4DB9965C" w14:textId="77777777" w:rsidR="00677B7E" w:rsidRPr="00401C70" w:rsidRDefault="00677B7E" w:rsidP="00FA2590">
            <w:pPr>
              <w:kinsoku w:val="0"/>
              <w:overflowPunct w:val="0"/>
              <w:autoSpaceDE w:val="0"/>
              <w:autoSpaceDN w:val="0"/>
              <w:adjustRightInd w:val="0"/>
              <w:spacing w:before="114"/>
              <w:ind w:left="107"/>
              <w:jc w:val="both"/>
              <w:rPr>
                <w:rFonts w:ascii="Abadi" w:hAnsi="Abadi" w:cs="Calibri"/>
                <w:sz w:val="21"/>
                <w:szCs w:val="21"/>
              </w:rPr>
            </w:pPr>
            <w:r w:rsidRPr="00401C70">
              <w:rPr>
                <w:rFonts w:ascii="Abadi" w:hAnsi="Abadi" w:cs="Calibri"/>
                <w:sz w:val="21"/>
                <w:szCs w:val="21"/>
              </w:rPr>
              <w:t>La</w:t>
            </w:r>
            <w:r w:rsidRPr="00401C70">
              <w:rPr>
                <w:rFonts w:ascii="Abadi" w:hAnsi="Abadi" w:cs="Calibri"/>
                <w:spacing w:val="45"/>
                <w:sz w:val="21"/>
                <w:szCs w:val="21"/>
              </w:rPr>
              <w:t xml:space="preserve"> </w:t>
            </w:r>
            <w:r w:rsidRPr="00401C70">
              <w:rPr>
                <w:rFonts w:ascii="Abadi" w:hAnsi="Abadi" w:cs="Calibri"/>
                <w:sz w:val="21"/>
                <w:szCs w:val="21"/>
              </w:rPr>
              <w:t>contraloría</w:t>
            </w:r>
            <w:r w:rsidRPr="00401C70">
              <w:rPr>
                <w:rFonts w:ascii="Abadi" w:hAnsi="Abadi" w:cs="Calibri"/>
                <w:spacing w:val="42"/>
                <w:sz w:val="21"/>
                <w:szCs w:val="21"/>
              </w:rPr>
              <w:t xml:space="preserve"> </w:t>
            </w:r>
            <w:r w:rsidRPr="00401C70">
              <w:rPr>
                <w:rFonts w:ascii="Abadi" w:hAnsi="Abadi" w:cs="Calibri"/>
                <w:sz w:val="21"/>
                <w:szCs w:val="21"/>
              </w:rPr>
              <w:t>municipal</w:t>
            </w:r>
            <w:r w:rsidRPr="00401C70">
              <w:rPr>
                <w:rFonts w:ascii="Abadi" w:hAnsi="Abadi" w:cs="Calibri"/>
                <w:spacing w:val="45"/>
                <w:sz w:val="21"/>
                <w:szCs w:val="21"/>
              </w:rPr>
              <w:t xml:space="preserve"> </w:t>
            </w:r>
            <w:r w:rsidRPr="00401C70">
              <w:rPr>
                <w:rFonts w:ascii="Abadi" w:hAnsi="Abadi" w:cs="Calibri"/>
                <w:sz w:val="21"/>
                <w:szCs w:val="21"/>
              </w:rPr>
              <w:t>tendrá</w:t>
            </w:r>
            <w:r w:rsidRPr="00401C70">
              <w:rPr>
                <w:rFonts w:ascii="Abadi" w:hAnsi="Abadi" w:cs="Calibri"/>
                <w:spacing w:val="45"/>
                <w:sz w:val="21"/>
                <w:szCs w:val="21"/>
              </w:rPr>
              <w:t xml:space="preserve"> </w:t>
            </w:r>
            <w:r w:rsidRPr="00401C70">
              <w:rPr>
                <w:rFonts w:ascii="Abadi" w:hAnsi="Abadi" w:cs="Calibri"/>
                <w:sz w:val="21"/>
                <w:szCs w:val="21"/>
              </w:rPr>
              <w:t>autonomía</w:t>
            </w:r>
            <w:r w:rsidRPr="00401C70">
              <w:rPr>
                <w:rFonts w:ascii="Abadi" w:hAnsi="Abadi" w:cs="Calibri"/>
                <w:spacing w:val="-47"/>
                <w:sz w:val="21"/>
                <w:szCs w:val="21"/>
              </w:rPr>
              <w:t xml:space="preserve"> </w:t>
            </w:r>
            <w:r w:rsidRPr="00401C70">
              <w:rPr>
                <w:rFonts w:ascii="Abadi" w:hAnsi="Abadi" w:cs="Calibri"/>
                <w:sz w:val="21"/>
                <w:szCs w:val="21"/>
              </w:rPr>
              <w:t>técnica</w:t>
            </w:r>
            <w:r w:rsidRPr="00401C70">
              <w:rPr>
                <w:rFonts w:ascii="Abadi" w:hAnsi="Abadi" w:cs="Calibri"/>
                <w:spacing w:val="-2"/>
                <w:sz w:val="21"/>
                <w:szCs w:val="21"/>
              </w:rPr>
              <w:t xml:space="preserve"> </w:t>
            </w:r>
            <w:r w:rsidRPr="00401C70">
              <w:rPr>
                <w:rFonts w:ascii="Abadi" w:hAnsi="Abadi" w:cs="Calibri"/>
                <w:sz w:val="21"/>
                <w:szCs w:val="21"/>
              </w:rPr>
              <w:t>y de</w:t>
            </w:r>
            <w:r w:rsidRPr="00401C70">
              <w:rPr>
                <w:rFonts w:ascii="Abadi" w:hAnsi="Abadi" w:cs="Calibri"/>
                <w:spacing w:val="-3"/>
                <w:sz w:val="21"/>
                <w:szCs w:val="21"/>
              </w:rPr>
              <w:t xml:space="preserve"> </w:t>
            </w:r>
            <w:r w:rsidRPr="00401C70">
              <w:rPr>
                <w:rFonts w:ascii="Abadi" w:hAnsi="Abadi" w:cs="Calibri"/>
                <w:sz w:val="21"/>
                <w:szCs w:val="21"/>
              </w:rPr>
              <w:t>gestión.</w:t>
            </w:r>
          </w:p>
        </w:tc>
        <w:tc>
          <w:tcPr>
            <w:tcW w:w="2500" w:type="pct"/>
            <w:tcBorders>
              <w:top w:val="none" w:sz="6" w:space="0" w:color="auto"/>
              <w:left w:val="single" w:sz="4" w:space="0" w:color="000000"/>
              <w:bottom w:val="none" w:sz="6" w:space="0" w:color="auto"/>
              <w:right w:val="single" w:sz="4" w:space="0" w:color="000000"/>
            </w:tcBorders>
          </w:tcPr>
          <w:p w14:paraId="63CA2FA5" w14:textId="77777777" w:rsidR="00677B7E" w:rsidRPr="00401C70" w:rsidRDefault="00677B7E" w:rsidP="00FA2590">
            <w:pPr>
              <w:kinsoku w:val="0"/>
              <w:overflowPunct w:val="0"/>
              <w:autoSpaceDE w:val="0"/>
              <w:autoSpaceDN w:val="0"/>
              <w:adjustRightInd w:val="0"/>
              <w:spacing w:before="114"/>
              <w:ind w:left="107"/>
              <w:jc w:val="both"/>
              <w:rPr>
                <w:rFonts w:ascii="Abadi" w:hAnsi="Abadi" w:cs="Calibri"/>
                <w:sz w:val="21"/>
                <w:szCs w:val="21"/>
              </w:rPr>
            </w:pPr>
            <w:r w:rsidRPr="00401C70">
              <w:rPr>
                <w:rFonts w:ascii="Abadi" w:hAnsi="Abadi" w:cs="Calibri"/>
                <w:sz w:val="21"/>
                <w:szCs w:val="21"/>
              </w:rPr>
              <w:t>La</w:t>
            </w:r>
            <w:r w:rsidRPr="00401C70">
              <w:rPr>
                <w:rFonts w:ascii="Abadi" w:hAnsi="Abadi" w:cs="Calibri"/>
                <w:spacing w:val="45"/>
                <w:sz w:val="21"/>
                <w:szCs w:val="21"/>
              </w:rPr>
              <w:t xml:space="preserve"> </w:t>
            </w:r>
            <w:r w:rsidRPr="00401C70">
              <w:rPr>
                <w:rFonts w:ascii="Abadi" w:hAnsi="Abadi" w:cs="Calibri"/>
                <w:sz w:val="21"/>
                <w:szCs w:val="21"/>
              </w:rPr>
              <w:t>contraloría</w:t>
            </w:r>
            <w:r w:rsidRPr="00401C70">
              <w:rPr>
                <w:rFonts w:ascii="Abadi" w:hAnsi="Abadi" w:cs="Calibri"/>
                <w:spacing w:val="42"/>
                <w:sz w:val="21"/>
                <w:szCs w:val="21"/>
              </w:rPr>
              <w:t xml:space="preserve"> </w:t>
            </w:r>
            <w:r w:rsidRPr="00401C70">
              <w:rPr>
                <w:rFonts w:ascii="Abadi" w:hAnsi="Abadi" w:cs="Calibri"/>
                <w:sz w:val="21"/>
                <w:szCs w:val="21"/>
              </w:rPr>
              <w:t>municipal</w:t>
            </w:r>
            <w:r w:rsidRPr="00401C70">
              <w:rPr>
                <w:rFonts w:ascii="Abadi" w:hAnsi="Abadi" w:cs="Calibri"/>
                <w:spacing w:val="45"/>
                <w:sz w:val="21"/>
                <w:szCs w:val="21"/>
              </w:rPr>
              <w:t xml:space="preserve"> </w:t>
            </w:r>
            <w:r w:rsidRPr="00401C70">
              <w:rPr>
                <w:rFonts w:ascii="Abadi" w:hAnsi="Abadi" w:cs="Calibri"/>
                <w:sz w:val="21"/>
                <w:szCs w:val="21"/>
              </w:rPr>
              <w:t>tendrá</w:t>
            </w:r>
            <w:r w:rsidRPr="00401C70">
              <w:rPr>
                <w:rFonts w:ascii="Abadi" w:hAnsi="Abadi" w:cs="Calibri"/>
                <w:spacing w:val="45"/>
                <w:sz w:val="21"/>
                <w:szCs w:val="21"/>
              </w:rPr>
              <w:t xml:space="preserve"> </w:t>
            </w:r>
            <w:r w:rsidRPr="00401C70">
              <w:rPr>
                <w:rFonts w:ascii="Abadi" w:hAnsi="Abadi" w:cs="Calibri"/>
                <w:sz w:val="21"/>
                <w:szCs w:val="21"/>
              </w:rPr>
              <w:t>autonomía</w:t>
            </w:r>
            <w:r w:rsidRPr="00401C70">
              <w:rPr>
                <w:rFonts w:ascii="Abadi" w:hAnsi="Abadi" w:cs="Calibri"/>
                <w:spacing w:val="-47"/>
                <w:sz w:val="21"/>
                <w:szCs w:val="21"/>
              </w:rPr>
              <w:t xml:space="preserve"> </w:t>
            </w:r>
            <w:r w:rsidRPr="00401C70">
              <w:rPr>
                <w:rFonts w:ascii="Abadi" w:hAnsi="Abadi" w:cs="Calibri"/>
                <w:sz w:val="21"/>
                <w:szCs w:val="21"/>
              </w:rPr>
              <w:t>técnica</w:t>
            </w:r>
            <w:r w:rsidRPr="00401C70">
              <w:rPr>
                <w:rFonts w:ascii="Abadi" w:hAnsi="Abadi" w:cs="Calibri"/>
                <w:spacing w:val="-2"/>
                <w:sz w:val="21"/>
                <w:szCs w:val="21"/>
              </w:rPr>
              <w:t xml:space="preserve"> </w:t>
            </w:r>
            <w:r w:rsidRPr="00401C70">
              <w:rPr>
                <w:rFonts w:ascii="Abadi" w:hAnsi="Abadi" w:cs="Calibri"/>
                <w:sz w:val="21"/>
                <w:szCs w:val="21"/>
              </w:rPr>
              <w:t>y de</w:t>
            </w:r>
            <w:r w:rsidRPr="00401C70">
              <w:rPr>
                <w:rFonts w:ascii="Abadi" w:hAnsi="Abadi" w:cs="Calibri"/>
                <w:spacing w:val="-3"/>
                <w:sz w:val="21"/>
                <w:szCs w:val="21"/>
              </w:rPr>
              <w:t xml:space="preserve"> </w:t>
            </w:r>
            <w:r w:rsidRPr="00401C70">
              <w:rPr>
                <w:rFonts w:ascii="Abadi" w:hAnsi="Abadi" w:cs="Calibri"/>
                <w:sz w:val="21"/>
                <w:szCs w:val="21"/>
              </w:rPr>
              <w:t>gestión.</w:t>
            </w:r>
          </w:p>
        </w:tc>
      </w:tr>
      <w:tr w:rsidR="00677B7E" w:rsidRPr="00401C70" w14:paraId="763CF23E" w14:textId="77777777" w:rsidTr="003343AD">
        <w:trPr>
          <w:trHeight w:val="2149"/>
        </w:trPr>
        <w:tc>
          <w:tcPr>
            <w:tcW w:w="2500" w:type="pct"/>
            <w:tcBorders>
              <w:top w:val="none" w:sz="6" w:space="0" w:color="auto"/>
              <w:left w:val="single" w:sz="4" w:space="0" w:color="000000"/>
              <w:bottom w:val="none" w:sz="6" w:space="0" w:color="auto"/>
              <w:right w:val="single" w:sz="4" w:space="0" w:color="000000"/>
            </w:tcBorders>
          </w:tcPr>
          <w:p w14:paraId="3EE38C7D" w14:textId="77777777" w:rsidR="00677B7E" w:rsidRPr="00401C70" w:rsidRDefault="00677B7E" w:rsidP="00FA2590">
            <w:pPr>
              <w:kinsoku w:val="0"/>
              <w:overflowPunct w:val="0"/>
              <w:autoSpaceDE w:val="0"/>
              <w:autoSpaceDN w:val="0"/>
              <w:adjustRightInd w:val="0"/>
              <w:spacing w:before="113"/>
              <w:ind w:left="107" w:right="94"/>
              <w:jc w:val="both"/>
              <w:rPr>
                <w:rFonts w:ascii="Abadi" w:hAnsi="Abadi" w:cs="Calibri"/>
                <w:sz w:val="21"/>
                <w:szCs w:val="21"/>
              </w:rPr>
            </w:pPr>
            <w:r w:rsidRPr="00401C70">
              <w:rPr>
                <w:rFonts w:ascii="Abadi" w:hAnsi="Abadi" w:cs="Calibri"/>
                <w:sz w:val="21"/>
                <w:szCs w:val="21"/>
              </w:rPr>
              <w:t>En el caso de ausencia definitiva del titular de</w:t>
            </w:r>
            <w:r w:rsidRPr="00401C70">
              <w:rPr>
                <w:rFonts w:ascii="Abadi" w:hAnsi="Abadi" w:cs="Calibri"/>
                <w:spacing w:val="1"/>
                <w:sz w:val="21"/>
                <w:szCs w:val="21"/>
              </w:rPr>
              <w:t xml:space="preserve"> </w:t>
            </w:r>
            <w:r w:rsidRPr="00401C70">
              <w:rPr>
                <w:rFonts w:ascii="Abadi" w:hAnsi="Abadi" w:cs="Calibri"/>
                <w:sz w:val="21"/>
                <w:szCs w:val="21"/>
              </w:rPr>
              <w:t>la Contraloría Municipal por causas diversas a</w:t>
            </w:r>
            <w:r w:rsidRPr="00401C70">
              <w:rPr>
                <w:rFonts w:ascii="Abadi" w:hAnsi="Abadi" w:cs="Calibri"/>
                <w:spacing w:val="1"/>
                <w:sz w:val="21"/>
                <w:szCs w:val="21"/>
              </w:rPr>
              <w:t xml:space="preserve"> </w:t>
            </w:r>
            <w:r w:rsidRPr="00401C70">
              <w:rPr>
                <w:rFonts w:ascii="Abadi" w:hAnsi="Abadi" w:cs="Calibri"/>
                <w:sz w:val="21"/>
                <w:szCs w:val="21"/>
              </w:rPr>
              <w:t>la conclusión de su período, el Ayuntamiento</w:t>
            </w:r>
            <w:r w:rsidRPr="00401C70">
              <w:rPr>
                <w:rFonts w:ascii="Abadi" w:hAnsi="Abadi" w:cs="Calibri"/>
                <w:spacing w:val="1"/>
                <w:sz w:val="21"/>
                <w:szCs w:val="21"/>
              </w:rPr>
              <w:t xml:space="preserve"> </w:t>
            </w:r>
            <w:r w:rsidRPr="00401C70">
              <w:rPr>
                <w:rFonts w:ascii="Abadi" w:hAnsi="Abadi" w:cs="Calibri"/>
                <w:sz w:val="21"/>
                <w:szCs w:val="21"/>
              </w:rPr>
              <w:t>designará al Contralor Municipal a más tardar</w:t>
            </w:r>
            <w:r w:rsidRPr="00401C70">
              <w:rPr>
                <w:rFonts w:ascii="Abadi" w:hAnsi="Abadi" w:cs="Calibri"/>
                <w:spacing w:val="1"/>
                <w:sz w:val="21"/>
                <w:szCs w:val="21"/>
              </w:rPr>
              <w:t xml:space="preserve"> </w:t>
            </w:r>
            <w:r w:rsidRPr="00401C70">
              <w:rPr>
                <w:rFonts w:ascii="Abadi" w:hAnsi="Abadi" w:cs="Calibri"/>
                <w:sz w:val="21"/>
                <w:szCs w:val="21"/>
              </w:rPr>
              <w:t>cuarenta y cinco días posteriores a la fecha en</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se</w:t>
            </w:r>
            <w:r w:rsidRPr="00401C70">
              <w:rPr>
                <w:rFonts w:ascii="Abadi" w:hAnsi="Abadi" w:cs="Calibri"/>
                <w:spacing w:val="1"/>
                <w:sz w:val="21"/>
                <w:szCs w:val="21"/>
              </w:rPr>
              <w:t xml:space="preserve"> </w:t>
            </w:r>
            <w:r w:rsidRPr="00401C70">
              <w:rPr>
                <w:rFonts w:ascii="Abadi" w:hAnsi="Abadi" w:cs="Calibri"/>
                <w:sz w:val="21"/>
                <w:szCs w:val="21"/>
              </w:rPr>
              <w:t>determinó la</w:t>
            </w:r>
            <w:r w:rsidRPr="00401C70">
              <w:rPr>
                <w:rFonts w:ascii="Abadi" w:hAnsi="Abadi" w:cs="Calibri"/>
                <w:spacing w:val="-2"/>
                <w:sz w:val="21"/>
                <w:szCs w:val="21"/>
              </w:rPr>
              <w:t xml:space="preserve"> </w:t>
            </w:r>
            <w:r w:rsidRPr="00401C70">
              <w:rPr>
                <w:rFonts w:ascii="Abadi" w:hAnsi="Abadi" w:cs="Calibri"/>
                <w:sz w:val="21"/>
                <w:szCs w:val="21"/>
              </w:rPr>
              <w:t>vacante.</w:t>
            </w:r>
          </w:p>
        </w:tc>
        <w:tc>
          <w:tcPr>
            <w:tcW w:w="2500" w:type="pct"/>
            <w:tcBorders>
              <w:top w:val="none" w:sz="6" w:space="0" w:color="auto"/>
              <w:left w:val="single" w:sz="4" w:space="0" w:color="000000"/>
              <w:bottom w:val="none" w:sz="6" w:space="0" w:color="auto"/>
              <w:right w:val="single" w:sz="4" w:space="0" w:color="000000"/>
            </w:tcBorders>
          </w:tcPr>
          <w:p w14:paraId="3A9160D7" w14:textId="77777777" w:rsidR="00677B7E" w:rsidRPr="00401C70" w:rsidRDefault="00677B7E" w:rsidP="00FA2590">
            <w:pPr>
              <w:kinsoku w:val="0"/>
              <w:overflowPunct w:val="0"/>
              <w:autoSpaceDE w:val="0"/>
              <w:autoSpaceDN w:val="0"/>
              <w:adjustRightInd w:val="0"/>
              <w:spacing w:before="113"/>
              <w:ind w:left="107" w:right="92"/>
              <w:jc w:val="both"/>
              <w:rPr>
                <w:rFonts w:ascii="Abadi" w:hAnsi="Abadi" w:cs="Calibri"/>
                <w:sz w:val="21"/>
                <w:szCs w:val="21"/>
              </w:rPr>
            </w:pPr>
            <w:r w:rsidRPr="00401C70">
              <w:rPr>
                <w:rFonts w:ascii="Abadi" w:hAnsi="Abadi" w:cs="Calibri"/>
                <w:sz w:val="21"/>
                <w:szCs w:val="21"/>
              </w:rPr>
              <w:t xml:space="preserve">En el caso de ausencia definitiva </w:t>
            </w:r>
            <w:r w:rsidRPr="00401C70">
              <w:rPr>
                <w:rFonts w:ascii="Abadi" w:hAnsi="Abadi" w:cs="Calibri"/>
                <w:b/>
                <w:bCs/>
                <w:i/>
                <w:iCs/>
                <w:sz w:val="21"/>
                <w:szCs w:val="21"/>
              </w:rPr>
              <w:t>de la persona</w:t>
            </w:r>
            <w:r w:rsidRPr="00401C70">
              <w:rPr>
                <w:rFonts w:ascii="Abadi" w:hAnsi="Abadi" w:cs="Calibri"/>
                <w:b/>
                <w:bCs/>
                <w:i/>
                <w:iCs/>
                <w:spacing w:val="-47"/>
                <w:sz w:val="21"/>
                <w:szCs w:val="21"/>
              </w:rPr>
              <w:t xml:space="preserve"> </w:t>
            </w:r>
            <w:r w:rsidRPr="00401C70">
              <w:rPr>
                <w:rFonts w:ascii="Abadi" w:hAnsi="Abadi" w:cs="Calibri"/>
                <w:b/>
                <w:bCs/>
                <w:i/>
                <w:iCs/>
                <w:sz w:val="21"/>
                <w:szCs w:val="21"/>
              </w:rPr>
              <w:t xml:space="preserve">titular </w:t>
            </w:r>
            <w:r w:rsidRPr="00401C70">
              <w:rPr>
                <w:rFonts w:ascii="Abadi" w:hAnsi="Abadi" w:cs="Calibri"/>
                <w:sz w:val="21"/>
                <w:szCs w:val="21"/>
              </w:rPr>
              <w:t>de la Contraloría Municipal por causas</w:t>
            </w:r>
            <w:r w:rsidRPr="00401C70">
              <w:rPr>
                <w:rFonts w:ascii="Abadi" w:hAnsi="Abadi" w:cs="Calibri"/>
                <w:spacing w:val="1"/>
                <w:sz w:val="21"/>
                <w:szCs w:val="21"/>
              </w:rPr>
              <w:t xml:space="preserve"> </w:t>
            </w:r>
            <w:r w:rsidRPr="00401C70">
              <w:rPr>
                <w:rFonts w:ascii="Abadi" w:hAnsi="Abadi" w:cs="Calibri"/>
                <w:sz w:val="21"/>
                <w:szCs w:val="21"/>
              </w:rPr>
              <w:t>diversas</w:t>
            </w:r>
            <w:r w:rsidRPr="00401C70">
              <w:rPr>
                <w:rFonts w:ascii="Abadi" w:hAnsi="Abadi" w:cs="Calibri"/>
                <w:spacing w:val="1"/>
                <w:sz w:val="21"/>
                <w:szCs w:val="21"/>
              </w:rPr>
              <w:t xml:space="preserve"> </w:t>
            </w:r>
            <w:r w:rsidRPr="00401C70">
              <w:rPr>
                <w:rFonts w:ascii="Abadi" w:hAnsi="Abadi" w:cs="Calibri"/>
                <w:sz w:val="21"/>
                <w:szCs w:val="21"/>
              </w:rPr>
              <w:t>a</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conclusión</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su</w:t>
            </w:r>
            <w:r w:rsidRPr="00401C70">
              <w:rPr>
                <w:rFonts w:ascii="Abadi" w:hAnsi="Abadi" w:cs="Calibri"/>
                <w:spacing w:val="1"/>
                <w:sz w:val="21"/>
                <w:szCs w:val="21"/>
              </w:rPr>
              <w:t xml:space="preserve"> </w:t>
            </w:r>
            <w:r w:rsidRPr="00401C70">
              <w:rPr>
                <w:rFonts w:ascii="Abadi" w:hAnsi="Abadi" w:cs="Calibri"/>
                <w:sz w:val="21"/>
                <w:szCs w:val="21"/>
              </w:rPr>
              <w:t>período,</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Ayuntamiento</w:t>
            </w:r>
            <w:r w:rsidRPr="00401C70">
              <w:rPr>
                <w:rFonts w:ascii="Abadi" w:hAnsi="Abadi" w:cs="Calibri"/>
                <w:spacing w:val="1"/>
                <w:sz w:val="21"/>
                <w:szCs w:val="21"/>
              </w:rPr>
              <w:t xml:space="preserve"> </w:t>
            </w:r>
            <w:r w:rsidRPr="00401C70">
              <w:rPr>
                <w:rFonts w:ascii="Abadi" w:hAnsi="Abadi" w:cs="Calibri"/>
                <w:sz w:val="21"/>
                <w:szCs w:val="21"/>
              </w:rPr>
              <w:t>designará</w:t>
            </w:r>
            <w:r w:rsidRPr="00401C70">
              <w:rPr>
                <w:rFonts w:ascii="Abadi" w:hAnsi="Abadi" w:cs="Calibri"/>
                <w:spacing w:val="1"/>
                <w:sz w:val="21"/>
                <w:szCs w:val="21"/>
              </w:rPr>
              <w:t xml:space="preserve"> </w:t>
            </w:r>
            <w:r w:rsidRPr="00401C70">
              <w:rPr>
                <w:rFonts w:ascii="Abadi" w:hAnsi="Abadi" w:cs="Calibri"/>
                <w:b/>
                <w:bCs/>
                <w:i/>
                <w:iCs/>
                <w:sz w:val="21"/>
                <w:szCs w:val="21"/>
              </w:rPr>
              <w:t>a</w:t>
            </w:r>
            <w:r w:rsidRPr="00401C70">
              <w:rPr>
                <w:rFonts w:ascii="Abadi" w:hAnsi="Abadi" w:cs="Calibri"/>
                <w:b/>
                <w:bCs/>
                <w:i/>
                <w:iCs/>
                <w:spacing w:val="1"/>
                <w:sz w:val="21"/>
                <w:szCs w:val="21"/>
              </w:rPr>
              <w:t xml:space="preserve"> </w:t>
            </w:r>
            <w:r w:rsidRPr="00401C70">
              <w:rPr>
                <w:rFonts w:ascii="Abadi" w:hAnsi="Abadi" w:cs="Calibri"/>
                <w:b/>
                <w:bCs/>
                <w:i/>
                <w:iCs/>
                <w:sz w:val="21"/>
                <w:szCs w:val="21"/>
              </w:rPr>
              <w:t>la</w:t>
            </w:r>
            <w:r w:rsidRPr="00401C70">
              <w:rPr>
                <w:rFonts w:ascii="Abadi" w:hAnsi="Abadi" w:cs="Calibri"/>
                <w:b/>
                <w:bCs/>
                <w:i/>
                <w:iCs/>
                <w:spacing w:val="1"/>
                <w:sz w:val="21"/>
                <w:szCs w:val="21"/>
              </w:rPr>
              <w:t xml:space="preserve"> </w:t>
            </w:r>
            <w:r w:rsidRPr="00401C70">
              <w:rPr>
                <w:rFonts w:ascii="Abadi" w:hAnsi="Abadi" w:cs="Calibri"/>
                <w:b/>
                <w:bCs/>
                <w:i/>
                <w:iCs/>
                <w:sz w:val="21"/>
                <w:szCs w:val="21"/>
              </w:rPr>
              <w:t>persona</w:t>
            </w:r>
            <w:r w:rsidRPr="00401C70">
              <w:rPr>
                <w:rFonts w:ascii="Abadi" w:hAnsi="Abadi" w:cs="Calibri"/>
                <w:b/>
                <w:bCs/>
                <w:i/>
                <w:iCs/>
                <w:spacing w:val="-47"/>
                <w:sz w:val="21"/>
                <w:szCs w:val="21"/>
              </w:rPr>
              <w:t xml:space="preserve"> </w:t>
            </w:r>
            <w:r w:rsidRPr="00401C70">
              <w:rPr>
                <w:rFonts w:ascii="Abadi" w:hAnsi="Abadi" w:cs="Calibri"/>
                <w:b/>
                <w:bCs/>
                <w:i/>
                <w:iCs/>
                <w:sz w:val="21"/>
                <w:szCs w:val="21"/>
              </w:rPr>
              <w:t xml:space="preserve">Contralora Municipal </w:t>
            </w:r>
            <w:r w:rsidRPr="00401C70">
              <w:rPr>
                <w:rFonts w:ascii="Abadi" w:hAnsi="Abadi" w:cs="Calibri"/>
                <w:sz w:val="21"/>
                <w:szCs w:val="21"/>
              </w:rPr>
              <w:t>a más tardar cuarenta y</w:t>
            </w:r>
            <w:r w:rsidRPr="00401C70">
              <w:rPr>
                <w:rFonts w:ascii="Abadi" w:hAnsi="Abadi" w:cs="Calibri"/>
                <w:spacing w:val="1"/>
                <w:sz w:val="21"/>
                <w:szCs w:val="21"/>
              </w:rPr>
              <w:t xml:space="preserve"> </w:t>
            </w:r>
            <w:r w:rsidRPr="00401C70">
              <w:rPr>
                <w:rFonts w:ascii="Abadi" w:hAnsi="Abadi" w:cs="Calibri"/>
                <w:sz w:val="21"/>
                <w:szCs w:val="21"/>
              </w:rPr>
              <w:t>cinco días posteriores a la fecha en la que se</w:t>
            </w:r>
            <w:r w:rsidRPr="00401C70">
              <w:rPr>
                <w:rFonts w:ascii="Abadi" w:hAnsi="Abadi" w:cs="Calibri"/>
                <w:spacing w:val="1"/>
                <w:sz w:val="21"/>
                <w:szCs w:val="21"/>
              </w:rPr>
              <w:t xml:space="preserve"> </w:t>
            </w:r>
            <w:r w:rsidRPr="00401C70">
              <w:rPr>
                <w:rFonts w:ascii="Abadi" w:hAnsi="Abadi" w:cs="Calibri"/>
                <w:sz w:val="21"/>
                <w:szCs w:val="21"/>
              </w:rPr>
              <w:t>determinó la</w:t>
            </w:r>
            <w:r w:rsidRPr="00401C70">
              <w:rPr>
                <w:rFonts w:ascii="Abadi" w:hAnsi="Abadi" w:cs="Calibri"/>
                <w:spacing w:val="-3"/>
                <w:sz w:val="21"/>
                <w:szCs w:val="21"/>
              </w:rPr>
              <w:t xml:space="preserve"> </w:t>
            </w:r>
            <w:r w:rsidRPr="00401C70">
              <w:rPr>
                <w:rFonts w:ascii="Abadi" w:hAnsi="Abadi" w:cs="Calibri"/>
                <w:sz w:val="21"/>
                <w:szCs w:val="21"/>
              </w:rPr>
              <w:t>vacante.</w:t>
            </w:r>
          </w:p>
        </w:tc>
      </w:tr>
      <w:tr w:rsidR="00677B7E" w:rsidRPr="00401C70" w14:paraId="0BBE6487" w14:textId="77777777" w:rsidTr="003343AD">
        <w:trPr>
          <w:trHeight w:val="1456"/>
        </w:trPr>
        <w:tc>
          <w:tcPr>
            <w:tcW w:w="2500" w:type="pct"/>
            <w:tcBorders>
              <w:top w:val="none" w:sz="6" w:space="0" w:color="auto"/>
              <w:left w:val="single" w:sz="4" w:space="0" w:color="000000"/>
              <w:bottom w:val="single" w:sz="4" w:space="0" w:color="000000"/>
              <w:right w:val="single" w:sz="4" w:space="0" w:color="000000"/>
            </w:tcBorders>
          </w:tcPr>
          <w:p w14:paraId="1B262212" w14:textId="77777777" w:rsidR="00677B7E" w:rsidRPr="00401C70" w:rsidRDefault="00677B7E" w:rsidP="00FA2590">
            <w:pPr>
              <w:kinsoku w:val="0"/>
              <w:overflowPunct w:val="0"/>
              <w:autoSpaceDE w:val="0"/>
              <w:autoSpaceDN w:val="0"/>
              <w:adjustRightInd w:val="0"/>
              <w:spacing w:before="114"/>
              <w:ind w:left="107" w:right="93"/>
              <w:jc w:val="both"/>
              <w:rPr>
                <w:rFonts w:ascii="Abadi" w:hAnsi="Abadi" w:cs="Calibri"/>
                <w:sz w:val="21"/>
                <w:szCs w:val="21"/>
              </w:rPr>
            </w:pPr>
            <w:r w:rsidRPr="00401C70">
              <w:rPr>
                <w:rFonts w:ascii="Abadi" w:hAnsi="Abadi" w:cs="Calibri"/>
                <w:sz w:val="21"/>
                <w:szCs w:val="21"/>
              </w:rPr>
              <w:t>El titular de la Contraloría Municipal durará en</w:t>
            </w:r>
            <w:r w:rsidRPr="00401C70">
              <w:rPr>
                <w:rFonts w:ascii="Abadi" w:hAnsi="Abadi" w:cs="Calibri"/>
                <w:spacing w:val="1"/>
                <w:sz w:val="21"/>
                <w:szCs w:val="21"/>
              </w:rPr>
              <w:t xml:space="preserve"> </w:t>
            </w:r>
            <w:r w:rsidRPr="00401C70">
              <w:rPr>
                <w:rFonts w:ascii="Abadi" w:hAnsi="Abadi" w:cs="Calibri"/>
                <w:sz w:val="21"/>
                <w:szCs w:val="21"/>
              </w:rPr>
              <w:t>su</w:t>
            </w:r>
            <w:r w:rsidRPr="00401C70">
              <w:rPr>
                <w:rFonts w:ascii="Abadi" w:hAnsi="Abadi" w:cs="Calibri"/>
                <w:spacing w:val="1"/>
                <w:sz w:val="21"/>
                <w:szCs w:val="21"/>
              </w:rPr>
              <w:t xml:space="preserve"> </w:t>
            </w:r>
            <w:r w:rsidRPr="00401C70">
              <w:rPr>
                <w:rFonts w:ascii="Abadi" w:hAnsi="Abadi" w:cs="Calibri"/>
                <w:sz w:val="21"/>
                <w:szCs w:val="21"/>
              </w:rPr>
              <w:t>cargo</w:t>
            </w:r>
            <w:r w:rsidRPr="00401C70">
              <w:rPr>
                <w:rFonts w:ascii="Abadi" w:hAnsi="Abadi" w:cs="Calibri"/>
                <w:spacing w:val="1"/>
                <w:sz w:val="21"/>
                <w:szCs w:val="21"/>
              </w:rPr>
              <w:t xml:space="preserve"> </w:t>
            </w:r>
            <w:r w:rsidRPr="00401C70">
              <w:rPr>
                <w:rFonts w:ascii="Abadi" w:hAnsi="Abadi" w:cs="Calibri"/>
                <w:sz w:val="21"/>
                <w:szCs w:val="21"/>
              </w:rPr>
              <w:t>un</w:t>
            </w:r>
            <w:r w:rsidRPr="00401C70">
              <w:rPr>
                <w:rFonts w:ascii="Abadi" w:hAnsi="Abadi" w:cs="Calibri"/>
                <w:spacing w:val="1"/>
                <w:sz w:val="21"/>
                <w:szCs w:val="21"/>
              </w:rPr>
              <w:t xml:space="preserve"> </w:t>
            </w:r>
            <w:r w:rsidRPr="00401C70">
              <w:rPr>
                <w:rFonts w:ascii="Abadi" w:hAnsi="Abadi" w:cs="Calibri"/>
                <w:sz w:val="21"/>
                <w:szCs w:val="21"/>
              </w:rPr>
              <w:t>periodo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cinco</w:t>
            </w:r>
            <w:r w:rsidRPr="00401C70">
              <w:rPr>
                <w:rFonts w:ascii="Abadi" w:hAnsi="Abadi" w:cs="Calibri"/>
                <w:spacing w:val="1"/>
                <w:sz w:val="21"/>
                <w:szCs w:val="21"/>
              </w:rPr>
              <w:t xml:space="preserve"> </w:t>
            </w:r>
            <w:r w:rsidRPr="00401C70">
              <w:rPr>
                <w:rFonts w:ascii="Abadi" w:hAnsi="Abadi" w:cs="Calibri"/>
                <w:sz w:val="21"/>
                <w:szCs w:val="21"/>
              </w:rPr>
              <w:t>años,</w:t>
            </w:r>
            <w:r w:rsidRPr="00401C70">
              <w:rPr>
                <w:rFonts w:ascii="Abadi" w:hAnsi="Abadi" w:cs="Calibri"/>
                <w:spacing w:val="1"/>
                <w:sz w:val="21"/>
                <w:szCs w:val="21"/>
              </w:rPr>
              <w:t xml:space="preserve"> </w:t>
            </w:r>
            <w:r w:rsidRPr="00401C70">
              <w:rPr>
                <w:rFonts w:ascii="Abadi" w:hAnsi="Abadi" w:cs="Calibri"/>
                <w:sz w:val="21"/>
                <w:szCs w:val="21"/>
              </w:rPr>
              <w:t>sin</w:t>
            </w:r>
            <w:r w:rsidRPr="00401C70">
              <w:rPr>
                <w:rFonts w:ascii="Abadi" w:hAnsi="Abadi" w:cs="Calibri"/>
                <w:spacing w:val="1"/>
                <w:sz w:val="21"/>
                <w:szCs w:val="21"/>
              </w:rPr>
              <w:t xml:space="preserve"> </w:t>
            </w:r>
            <w:r w:rsidRPr="00401C70">
              <w:rPr>
                <w:rFonts w:ascii="Abadi" w:hAnsi="Abadi" w:cs="Calibri"/>
                <w:sz w:val="21"/>
                <w:szCs w:val="21"/>
              </w:rPr>
              <w:t>posibilidad</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designación</w:t>
            </w:r>
            <w:r w:rsidRPr="00401C70">
              <w:rPr>
                <w:rFonts w:ascii="Abadi" w:hAnsi="Abadi" w:cs="Calibri"/>
                <w:spacing w:val="1"/>
                <w:sz w:val="21"/>
                <w:szCs w:val="21"/>
              </w:rPr>
              <w:t xml:space="preserve"> </w:t>
            </w:r>
            <w:r w:rsidRPr="00401C70">
              <w:rPr>
                <w:rFonts w:ascii="Abadi" w:hAnsi="Abadi" w:cs="Calibri"/>
                <w:sz w:val="21"/>
                <w:szCs w:val="21"/>
              </w:rPr>
              <w:t>en</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periodo</w:t>
            </w:r>
            <w:r w:rsidRPr="00401C70">
              <w:rPr>
                <w:rFonts w:ascii="Abadi" w:hAnsi="Abadi" w:cs="Calibri"/>
                <w:spacing w:val="1"/>
                <w:sz w:val="21"/>
                <w:szCs w:val="21"/>
              </w:rPr>
              <w:t xml:space="preserve"> </w:t>
            </w:r>
            <w:r w:rsidRPr="00401C70">
              <w:rPr>
                <w:rFonts w:ascii="Abadi" w:hAnsi="Abadi" w:cs="Calibri"/>
                <w:sz w:val="21"/>
                <w:szCs w:val="21"/>
              </w:rPr>
              <w:t>inmediato,</w:t>
            </w:r>
            <w:r w:rsidRPr="00401C70">
              <w:rPr>
                <w:rFonts w:ascii="Abadi" w:hAnsi="Abadi" w:cs="Calibri"/>
                <w:spacing w:val="18"/>
                <w:sz w:val="21"/>
                <w:szCs w:val="21"/>
              </w:rPr>
              <w:t xml:space="preserve"> </w:t>
            </w:r>
            <w:r w:rsidRPr="00401C70">
              <w:rPr>
                <w:rFonts w:ascii="Abadi" w:hAnsi="Abadi" w:cs="Calibri"/>
                <w:sz w:val="21"/>
                <w:szCs w:val="21"/>
              </w:rPr>
              <w:t>y</w:t>
            </w:r>
            <w:r w:rsidRPr="00401C70">
              <w:rPr>
                <w:rFonts w:ascii="Abadi" w:hAnsi="Abadi" w:cs="Calibri"/>
                <w:spacing w:val="19"/>
                <w:sz w:val="21"/>
                <w:szCs w:val="21"/>
              </w:rPr>
              <w:t xml:space="preserve"> </w:t>
            </w:r>
            <w:r w:rsidRPr="00401C70">
              <w:rPr>
                <w:rFonts w:ascii="Abadi" w:hAnsi="Abadi" w:cs="Calibri"/>
                <w:sz w:val="21"/>
                <w:szCs w:val="21"/>
              </w:rPr>
              <w:t>será</w:t>
            </w:r>
            <w:r w:rsidRPr="00401C70">
              <w:rPr>
                <w:rFonts w:ascii="Abadi" w:hAnsi="Abadi" w:cs="Calibri"/>
                <w:spacing w:val="19"/>
                <w:sz w:val="21"/>
                <w:szCs w:val="21"/>
              </w:rPr>
              <w:t xml:space="preserve"> </w:t>
            </w:r>
            <w:r w:rsidRPr="00401C70">
              <w:rPr>
                <w:rFonts w:ascii="Abadi" w:hAnsi="Abadi" w:cs="Calibri"/>
                <w:sz w:val="21"/>
                <w:szCs w:val="21"/>
              </w:rPr>
              <w:t>nombrado</w:t>
            </w:r>
            <w:r w:rsidRPr="00401C70">
              <w:rPr>
                <w:rFonts w:ascii="Abadi" w:hAnsi="Abadi" w:cs="Calibri"/>
                <w:spacing w:val="22"/>
                <w:sz w:val="21"/>
                <w:szCs w:val="21"/>
              </w:rPr>
              <w:t xml:space="preserve"> </w:t>
            </w:r>
            <w:r w:rsidRPr="00401C70">
              <w:rPr>
                <w:rFonts w:ascii="Abadi" w:hAnsi="Abadi" w:cs="Calibri"/>
                <w:sz w:val="21"/>
                <w:szCs w:val="21"/>
              </w:rPr>
              <w:t>por</w:t>
            </w:r>
            <w:r w:rsidRPr="00401C70">
              <w:rPr>
                <w:rFonts w:ascii="Abadi" w:hAnsi="Abadi" w:cs="Calibri"/>
                <w:spacing w:val="18"/>
                <w:sz w:val="21"/>
                <w:szCs w:val="21"/>
              </w:rPr>
              <w:t xml:space="preserve"> </w:t>
            </w:r>
            <w:r w:rsidRPr="00401C70">
              <w:rPr>
                <w:rFonts w:ascii="Abadi" w:hAnsi="Abadi" w:cs="Calibri"/>
                <w:sz w:val="21"/>
                <w:szCs w:val="21"/>
              </w:rPr>
              <w:t>el</w:t>
            </w:r>
          </w:p>
        </w:tc>
        <w:tc>
          <w:tcPr>
            <w:tcW w:w="2500" w:type="pct"/>
            <w:tcBorders>
              <w:top w:val="none" w:sz="6" w:space="0" w:color="auto"/>
              <w:left w:val="single" w:sz="4" w:space="0" w:color="000000"/>
              <w:bottom w:val="single" w:sz="4" w:space="0" w:color="000000"/>
              <w:right w:val="single" w:sz="4" w:space="0" w:color="000000"/>
            </w:tcBorders>
          </w:tcPr>
          <w:p w14:paraId="20F5D599" w14:textId="77777777" w:rsidR="00677B7E" w:rsidRPr="00401C70" w:rsidRDefault="00677B7E" w:rsidP="00FA2590">
            <w:pPr>
              <w:kinsoku w:val="0"/>
              <w:overflowPunct w:val="0"/>
              <w:autoSpaceDE w:val="0"/>
              <w:autoSpaceDN w:val="0"/>
              <w:adjustRightInd w:val="0"/>
              <w:spacing w:before="114"/>
              <w:ind w:left="107" w:right="93"/>
              <w:jc w:val="both"/>
              <w:rPr>
                <w:rFonts w:ascii="Abadi" w:hAnsi="Abadi" w:cs="Calibri"/>
                <w:sz w:val="21"/>
                <w:szCs w:val="21"/>
              </w:rPr>
            </w:pPr>
            <w:r w:rsidRPr="00401C70">
              <w:rPr>
                <w:rFonts w:ascii="Abadi" w:hAnsi="Abadi" w:cs="Calibri"/>
                <w:b/>
                <w:bCs/>
                <w:i/>
                <w:iCs/>
                <w:sz w:val="21"/>
                <w:szCs w:val="21"/>
              </w:rPr>
              <w:t xml:space="preserve">La persona </w:t>
            </w:r>
            <w:r w:rsidRPr="00401C70">
              <w:rPr>
                <w:rFonts w:ascii="Abadi" w:hAnsi="Abadi" w:cs="Calibri"/>
                <w:sz w:val="21"/>
                <w:szCs w:val="21"/>
              </w:rPr>
              <w:t>titular de la Contraloría Municipal</w:t>
            </w:r>
            <w:r w:rsidRPr="00401C70">
              <w:rPr>
                <w:rFonts w:ascii="Abadi" w:hAnsi="Abadi" w:cs="Calibri"/>
                <w:spacing w:val="1"/>
                <w:sz w:val="21"/>
                <w:szCs w:val="21"/>
              </w:rPr>
              <w:t xml:space="preserve"> </w:t>
            </w:r>
            <w:r w:rsidRPr="00401C70">
              <w:rPr>
                <w:rFonts w:ascii="Abadi" w:hAnsi="Abadi" w:cs="Calibri"/>
                <w:sz w:val="21"/>
                <w:szCs w:val="21"/>
              </w:rPr>
              <w:t>durará en su cargo un periodo de cinco años,</w:t>
            </w:r>
            <w:r w:rsidRPr="00401C70">
              <w:rPr>
                <w:rFonts w:ascii="Abadi" w:hAnsi="Abadi" w:cs="Calibri"/>
                <w:spacing w:val="1"/>
                <w:sz w:val="21"/>
                <w:szCs w:val="21"/>
              </w:rPr>
              <w:t xml:space="preserve"> </w:t>
            </w:r>
            <w:r w:rsidRPr="00401C70">
              <w:rPr>
                <w:rFonts w:ascii="Abadi" w:hAnsi="Abadi" w:cs="Calibri"/>
                <w:sz w:val="21"/>
                <w:szCs w:val="21"/>
              </w:rPr>
              <w:t>sin</w:t>
            </w:r>
            <w:r w:rsidRPr="00401C70">
              <w:rPr>
                <w:rFonts w:ascii="Abadi" w:hAnsi="Abadi" w:cs="Calibri"/>
                <w:spacing w:val="1"/>
                <w:sz w:val="21"/>
                <w:szCs w:val="21"/>
              </w:rPr>
              <w:t xml:space="preserve"> </w:t>
            </w:r>
            <w:r w:rsidRPr="00401C70">
              <w:rPr>
                <w:rFonts w:ascii="Abadi" w:hAnsi="Abadi" w:cs="Calibri"/>
                <w:sz w:val="21"/>
                <w:szCs w:val="21"/>
              </w:rPr>
              <w:t>posibilidad</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designación</w:t>
            </w:r>
            <w:r w:rsidRPr="00401C70">
              <w:rPr>
                <w:rFonts w:ascii="Abadi" w:hAnsi="Abadi" w:cs="Calibri"/>
                <w:spacing w:val="1"/>
                <w:sz w:val="21"/>
                <w:szCs w:val="21"/>
              </w:rPr>
              <w:t xml:space="preserve"> </w:t>
            </w:r>
            <w:r w:rsidRPr="00401C70">
              <w:rPr>
                <w:rFonts w:ascii="Abadi" w:hAnsi="Abadi" w:cs="Calibri"/>
                <w:sz w:val="21"/>
                <w:szCs w:val="21"/>
              </w:rPr>
              <w:t>en</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periodo</w:t>
            </w:r>
            <w:r w:rsidRPr="00401C70">
              <w:rPr>
                <w:rFonts w:ascii="Abadi" w:hAnsi="Abadi" w:cs="Calibri"/>
                <w:spacing w:val="-47"/>
                <w:sz w:val="21"/>
                <w:szCs w:val="21"/>
              </w:rPr>
              <w:t xml:space="preserve"> </w:t>
            </w:r>
            <w:r w:rsidRPr="00401C70">
              <w:rPr>
                <w:rFonts w:ascii="Abadi" w:hAnsi="Abadi" w:cs="Calibri"/>
                <w:sz w:val="21"/>
                <w:szCs w:val="21"/>
              </w:rPr>
              <w:t>inmediato,</w:t>
            </w:r>
            <w:r w:rsidRPr="00401C70">
              <w:rPr>
                <w:rFonts w:ascii="Abadi" w:hAnsi="Abadi" w:cs="Calibri"/>
                <w:spacing w:val="17"/>
                <w:sz w:val="21"/>
                <w:szCs w:val="21"/>
              </w:rPr>
              <w:t xml:space="preserve"> </w:t>
            </w:r>
            <w:r w:rsidRPr="00401C70">
              <w:rPr>
                <w:rFonts w:ascii="Abadi" w:hAnsi="Abadi" w:cs="Calibri"/>
                <w:sz w:val="21"/>
                <w:szCs w:val="21"/>
              </w:rPr>
              <w:t>y</w:t>
            </w:r>
            <w:r w:rsidRPr="00401C70">
              <w:rPr>
                <w:rFonts w:ascii="Abadi" w:hAnsi="Abadi" w:cs="Calibri"/>
                <w:spacing w:val="18"/>
                <w:sz w:val="21"/>
                <w:szCs w:val="21"/>
              </w:rPr>
              <w:t xml:space="preserve"> </w:t>
            </w:r>
            <w:r w:rsidRPr="00401C70">
              <w:rPr>
                <w:rFonts w:ascii="Abadi" w:hAnsi="Abadi" w:cs="Calibri"/>
                <w:sz w:val="21"/>
                <w:szCs w:val="21"/>
              </w:rPr>
              <w:t>será</w:t>
            </w:r>
            <w:r w:rsidRPr="00401C70">
              <w:rPr>
                <w:rFonts w:ascii="Abadi" w:hAnsi="Abadi" w:cs="Calibri"/>
                <w:spacing w:val="18"/>
                <w:sz w:val="21"/>
                <w:szCs w:val="21"/>
              </w:rPr>
              <w:t xml:space="preserve"> </w:t>
            </w:r>
            <w:r w:rsidRPr="00401C70">
              <w:rPr>
                <w:rFonts w:ascii="Abadi" w:hAnsi="Abadi" w:cs="Calibri"/>
                <w:b/>
                <w:bCs/>
                <w:i/>
                <w:iCs/>
                <w:sz w:val="21"/>
                <w:szCs w:val="21"/>
              </w:rPr>
              <w:t>nombrada</w:t>
            </w:r>
            <w:r w:rsidRPr="00401C70">
              <w:rPr>
                <w:rFonts w:ascii="Abadi" w:hAnsi="Abadi" w:cs="Calibri"/>
                <w:b/>
                <w:bCs/>
                <w:i/>
                <w:iCs/>
                <w:spacing w:val="19"/>
                <w:sz w:val="21"/>
                <w:szCs w:val="21"/>
              </w:rPr>
              <w:t xml:space="preserve"> </w:t>
            </w:r>
            <w:r w:rsidRPr="00401C70">
              <w:rPr>
                <w:rFonts w:ascii="Abadi" w:hAnsi="Abadi" w:cs="Calibri"/>
                <w:sz w:val="21"/>
                <w:szCs w:val="21"/>
              </w:rPr>
              <w:t>por</w:t>
            </w:r>
            <w:r w:rsidRPr="00401C70">
              <w:rPr>
                <w:rFonts w:ascii="Abadi" w:hAnsi="Abadi" w:cs="Calibri"/>
                <w:spacing w:val="14"/>
                <w:sz w:val="21"/>
                <w:szCs w:val="21"/>
              </w:rPr>
              <w:t xml:space="preserve"> </w:t>
            </w:r>
            <w:r w:rsidRPr="00401C70">
              <w:rPr>
                <w:rFonts w:ascii="Abadi" w:hAnsi="Abadi" w:cs="Calibri"/>
                <w:sz w:val="21"/>
                <w:szCs w:val="21"/>
              </w:rPr>
              <w:t>el</w:t>
            </w:r>
          </w:p>
          <w:p w14:paraId="121005E2" w14:textId="77777777" w:rsidR="00677B7E" w:rsidRPr="00401C70" w:rsidRDefault="00677B7E" w:rsidP="00FA2590">
            <w:pPr>
              <w:kinsoku w:val="0"/>
              <w:overflowPunct w:val="0"/>
              <w:autoSpaceDE w:val="0"/>
              <w:autoSpaceDN w:val="0"/>
              <w:adjustRightInd w:val="0"/>
              <w:spacing w:line="248" w:lineRule="exact"/>
              <w:ind w:left="107"/>
              <w:jc w:val="both"/>
              <w:rPr>
                <w:rFonts w:ascii="Abadi" w:hAnsi="Abadi" w:cs="Calibri"/>
                <w:sz w:val="21"/>
                <w:szCs w:val="21"/>
              </w:rPr>
            </w:pPr>
            <w:r w:rsidRPr="00401C70">
              <w:rPr>
                <w:rFonts w:ascii="Abadi" w:hAnsi="Abadi" w:cs="Calibri"/>
                <w:sz w:val="21"/>
                <w:szCs w:val="21"/>
              </w:rPr>
              <w:t>Ayuntamiento</w:t>
            </w:r>
            <w:r w:rsidRPr="00401C70">
              <w:rPr>
                <w:rFonts w:ascii="Abadi" w:hAnsi="Abadi" w:cs="Calibri"/>
                <w:spacing w:val="5"/>
                <w:sz w:val="21"/>
                <w:szCs w:val="21"/>
              </w:rPr>
              <w:t xml:space="preserve"> </w:t>
            </w:r>
            <w:r w:rsidRPr="00401C70">
              <w:rPr>
                <w:rFonts w:ascii="Abadi" w:hAnsi="Abadi" w:cs="Calibri"/>
                <w:sz w:val="21"/>
                <w:szCs w:val="21"/>
              </w:rPr>
              <w:t>a</w:t>
            </w:r>
            <w:r w:rsidRPr="00401C70">
              <w:rPr>
                <w:rFonts w:ascii="Abadi" w:hAnsi="Abadi" w:cs="Calibri"/>
                <w:spacing w:val="6"/>
                <w:sz w:val="21"/>
                <w:szCs w:val="21"/>
              </w:rPr>
              <w:t xml:space="preserve"> </w:t>
            </w:r>
            <w:r w:rsidRPr="00401C70">
              <w:rPr>
                <w:rFonts w:ascii="Abadi" w:hAnsi="Abadi" w:cs="Calibri"/>
                <w:sz w:val="21"/>
                <w:szCs w:val="21"/>
              </w:rPr>
              <w:t>partir</w:t>
            </w:r>
            <w:r w:rsidRPr="00401C70">
              <w:rPr>
                <w:rFonts w:ascii="Abadi" w:hAnsi="Abadi" w:cs="Calibri"/>
                <w:spacing w:val="7"/>
                <w:sz w:val="21"/>
                <w:szCs w:val="21"/>
              </w:rPr>
              <w:t xml:space="preserve"> </w:t>
            </w:r>
            <w:r w:rsidRPr="00401C70">
              <w:rPr>
                <w:rFonts w:ascii="Abadi" w:hAnsi="Abadi" w:cs="Calibri"/>
                <w:sz w:val="21"/>
                <w:szCs w:val="21"/>
              </w:rPr>
              <w:t>de</w:t>
            </w:r>
            <w:r w:rsidRPr="00401C70">
              <w:rPr>
                <w:rFonts w:ascii="Abadi" w:hAnsi="Abadi" w:cs="Calibri"/>
                <w:spacing w:val="7"/>
                <w:sz w:val="21"/>
                <w:szCs w:val="21"/>
              </w:rPr>
              <w:t xml:space="preserve"> </w:t>
            </w:r>
            <w:r w:rsidRPr="00401C70">
              <w:rPr>
                <w:rFonts w:ascii="Abadi" w:hAnsi="Abadi" w:cs="Calibri"/>
                <w:sz w:val="21"/>
                <w:szCs w:val="21"/>
              </w:rPr>
              <w:t>una</w:t>
            </w:r>
            <w:r w:rsidRPr="00401C70">
              <w:rPr>
                <w:rFonts w:ascii="Abadi" w:hAnsi="Abadi" w:cs="Calibri"/>
                <w:spacing w:val="6"/>
                <w:sz w:val="21"/>
                <w:szCs w:val="21"/>
              </w:rPr>
              <w:t xml:space="preserve"> </w:t>
            </w:r>
            <w:r w:rsidRPr="00401C70">
              <w:rPr>
                <w:rFonts w:ascii="Abadi" w:hAnsi="Abadi" w:cs="Calibri"/>
                <w:sz w:val="21"/>
                <w:szCs w:val="21"/>
              </w:rPr>
              <w:t>terna</w:t>
            </w:r>
            <w:r w:rsidRPr="00401C70">
              <w:rPr>
                <w:rFonts w:ascii="Abadi" w:hAnsi="Abadi" w:cs="Calibri"/>
                <w:spacing w:val="7"/>
                <w:sz w:val="21"/>
                <w:szCs w:val="21"/>
              </w:rPr>
              <w:t xml:space="preserve"> </w:t>
            </w:r>
            <w:r w:rsidRPr="00401C70">
              <w:rPr>
                <w:rFonts w:ascii="Abadi" w:hAnsi="Abadi" w:cs="Calibri"/>
                <w:sz w:val="21"/>
                <w:szCs w:val="21"/>
              </w:rPr>
              <w:t>formulada</w:t>
            </w:r>
          </w:p>
        </w:tc>
      </w:tr>
    </w:tbl>
    <w:p w14:paraId="22235614" w14:textId="77777777" w:rsidR="00677B7E" w:rsidRPr="00401C70" w:rsidRDefault="00677B7E" w:rsidP="00677B7E">
      <w:pPr>
        <w:kinsoku w:val="0"/>
        <w:overflowPunct w:val="0"/>
        <w:autoSpaceDE w:val="0"/>
        <w:autoSpaceDN w:val="0"/>
        <w:adjustRightInd w:val="0"/>
        <w:spacing w:before="3"/>
        <w:jc w:val="both"/>
        <w:rPr>
          <w:rFonts w:ascii="Abadi" w:hAnsi="Abadi"/>
          <w:sz w:val="21"/>
          <w:szCs w:val="21"/>
        </w:rPr>
      </w:pPr>
    </w:p>
    <w:tbl>
      <w:tblPr>
        <w:tblW w:w="5000" w:type="pct"/>
        <w:tblCellMar>
          <w:left w:w="0" w:type="dxa"/>
          <w:right w:w="0" w:type="dxa"/>
        </w:tblCellMar>
        <w:tblLook w:val="0000" w:firstRow="0" w:lastRow="0" w:firstColumn="0" w:lastColumn="0" w:noHBand="0" w:noVBand="0"/>
      </w:tblPr>
      <w:tblGrid>
        <w:gridCol w:w="2050"/>
        <w:gridCol w:w="2051"/>
      </w:tblGrid>
      <w:tr w:rsidR="00677B7E" w:rsidRPr="00401C70" w14:paraId="7942351E" w14:textId="77777777" w:rsidTr="003343AD">
        <w:trPr>
          <w:trHeight w:val="1228"/>
        </w:trPr>
        <w:tc>
          <w:tcPr>
            <w:tcW w:w="2500" w:type="pct"/>
            <w:tcBorders>
              <w:top w:val="single" w:sz="4" w:space="0" w:color="000000"/>
              <w:left w:val="single" w:sz="4" w:space="0" w:color="000000"/>
              <w:bottom w:val="none" w:sz="6" w:space="0" w:color="auto"/>
              <w:right w:val="single" w:sz="4" w:space="0" w:color="000000"/>
            </w:tcBorders>
          </w:tcPr>
          <w:p w14:paraId="40A9F83C" w14:textId="77777777" w:rsidR="00677B7E" w:rsidRPr="00401C70" w:rsidRDefault="00677B7E" w:rsidP="00FA2590">
            <w:pPr>
              <w:kinsoku w:val="0"/>
              <w:overflowPunct w:val="0"/>
              <w:autoSpaceDE w:val="0"/>
              <w:autoSpaceDN w:val="0"/>
              <w:adjustRightInd w:val="0"/>
              <w:ind w:left="107" w:right="89"/>
              <w:jc w:val="both"/>
              <w:rPr>
                <w:rFonts w:ascii="Abadi" w:hAnsi="Abadi" w:cs="Calibri"/>
                <w:sz w:val="21"/>
                <w:szCs w:val="21"/>
              </w:rPr>
            </w:pPr>
            <w:r w:rsidRPr="00401C70">
              <w:rPr>
                <w:rFonts w:ascii="Abadi" w:hAnsi="Abadi" w:cs="Calibri"/>
                <w:sz w:val="21"/>
                <w:szCs w:val="21"/>
              </w:rPr>
              <w:t>Ayuntamiento</w:t>
            </w:r>
            <w:r w:rsidRPr="00401C70">
              <w:rPr>
                <w:rFonts w:ascii="Abadi" w:hAnsi="Abadi" w:cs="Calibri"/>
                <w:spacing w:val="5"/>
                <w:sz w:val="21"/>
                <w:szCs w:val="21"/>
              </w:rPr>
              <w:t xml:space="preserve"> </w:t>
            </w:r>
            <w:r w:rsidRPr="00401C70">
              <w:rPr>
                <w:rFonts w:ascii="Abadi" w:hAnsi="Abadi" w:cs="Calibri"/>
                <w:sz w:val="21"/>
                <w:szCs w:val="21"/>
              </w:rPr>
              <w:t>a</w:t>
            </w:r>
            <w:r w:rsidRPr="00401C70">
              <w:rPr>
                <w:rFonts w:ascii="Abadi" w:hAnsi="Abadi" w:cs="Calibri"/>
                <w:spacing w:val="6"/>
                <w:sz w:val="21"/>
                <w:szCs w:val="21"/>
              </w:rPr>
              <w:t xml:space="preserve"> </w:t>
            </w:r>
            <w:r w:rsidRPr="00401C70">
              <w:rPr>
                <w:rFonts w:ascii="Abadi" w:hAnsi="Abadi" w:cs="Calibri"/>
                <w:sz w:val="21"/>
                <w:szCs w:val="21"/>
              </w:rPr>
              <w:t>partir</w:t>
            </w:r>
            <w:r w:rsidRPr="00401C70">
              <w:rPr>
                <w:rFonts w:ascii="Abadi" w:hAnsi="Abadi" w:cs="Calibri"/>
                <w:spacing w:val="6"/>
                <w:sz w:val="21"/>
                <w:szCs w:val="21"/>
              </w:rPr>
              <w:t xml:space="preserve"> </w:t>
            </w:r>
            <w:r w:rsidRPr="00401C70">
              <w:rPr>
                <w:rFonts w:ascii="Abadi" w:hAnsi="Abadi" w:cs="Calibri"/>
                <w:sz w:val="21"/>
                <w:szCs w:val="21"/>
              </w:rPr>
              <w:t>de</w:t>
            </w:r>
            <w:r w:rsidRPr="00401C70">
              <w:rPr>
                <w:rFonts w:ascii="Abadi" w:hAnsi="Abadi" w:cs="Calibri"/>
                <w:spacing w:val="7"/>
                <w:sz w:val="21"/>
                <w:szCs w:val="21"/>
              </w:rPr>
              <w:t xml:space="preserve"> </w:t>
            </w:r>
            <w:r w:rsidRPr="00401C70">
              <w:rPr>
                <w:rFonts w:ascii="Abadi" w:hAnsi="Abadi" w:cs="Calibri"/>
                <w:sz w:val="21"/>
                <w:szCs w:val="21"/>
              </w:rPr>
              <w:t>una</w:t>
            </w:r>
            <w:r w:rsidRPr="00401C70">
              <w:rPr>
                <w:rFonts w:ascii="Abadi" w:hAnsi="Abadi" w:cs="Calibri"/>
                <w:spacing w:val="7"/>
                <w:sz w:val="21"/>
                <w:szCs w:val="21"/>
              </w:rPr>
              <w:t xml:space="preserve"> </w:t>
            </w:r>
            <w:r w:rsidRPr="00401C70">
              <w:rPr>
                <w:rFonts w:ascii="Abadi" w:hAnsi="Abadi" w:cs="Calibri"/>
                <w:sz w:val="21"/>
                <w:szCs w:val="21"/>
              </w:rPr>
              <w:t>terna</w:t>
            </w:r>
            <w:r w:rsidRPr="00401C70">
              <w:rPr>
                <w:rFonts w:ascii="Abadi" w:hAnsi="Abadi" w:cs="Calibri"/>
                <w:spacing w:val="6"/>
                <w:sz w:val="21"/>
                <w:szCs w:val="21"/>
              </w:rPr>
              <w:t xml:space="preserve"> </w:t>
            </w:r>
            <w:r w:rsidRPr="00401C70">
              <w:rPr>
                <w:rFonts w:ascii="Abadi" w:hAnsi="Abadi" w:cs="Calibri"/>
                <w:sz w:val="21"/>
                <w:szCs w:val="21"/>
              </w:rPr>
              <w:t>formulada</w:t>
            </w:r>
            <w:r w:rsidRPr="00401C70">
              <w:rPr>
                <w:rFonts w:ascii="Abadi" w:hAnsi="Abadi" w:cs="Calibri"/>
                <w:spacing w:val="-47"/>
                <w:sz w:val="21"/>
                <w:szCs w:val="21"/>
              </w:rPr>
              <w:t xml:space="preserve"> </w:t>
            </w:r>
            <w:r w:rsidRPr="00401C70">
              <w:rPr>
                <w:rFonts w:ascii="Abadi" w:hAnsi="Abadi" w:cs="Calibri"/>
                <w:sz w:val="21"/>
                <w:szCs w:val="21"/>
              </w:rPr>
              <w:t>por</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2"/>
                <w:sz w:val="21"/>
                <w:szCs w:val="21"/>
              </w:rPr>
              <w:t xml:space="preserve"> </w:t>
            </w:r>
            <w:r w:rsidRPr="00401C70">
              <w:rPr>
                <w:rFonts w:ascii="Abadi" w:hAnsi="Abadi" w:cs="Calibri"/>
                <w:sz w:val="21"/>
                <w:szCs w:val="21"/>
              </w:rPr>
              <w:t>Comité</w:t>
            </w:r>
            <w:r w:rsidRPr="00401C70">
              <w:rPr>
                <w:rFonts w:ascii="Abadi" w:hAnsi="Abadi" w:cs="Calibri"/>
                <w:spacing w:val="-2"/>
                <w:sz w:val="21"/>
                <w:szCs w:val="21"/>
              </w:rPr>
              <w:t xml:space="preserve"> </w:t>
            </w:r>
            <w:r w:rsidRPr="00401C70">
              <w:rPr>
                <w:rFonts w:ascii="Abadi" w:hAnsi="Abadi" w:cs="Calibri"/>
                <w:sz w:val="21"/>
                <w:szCs w:val="21"/>
              </w:rPr>
              <w:t>Municipal Ciudadano.</w:t>
            </w:r>
          </w:p>
        </w:tc>
        <w:tc>
          <w:tcPr>
            <w:tcW w:w="2500" w:type="pct"/>
            <w:tcBorders>
              <w:top w:val="single" w:sz="4" w:space="0" w:color="000000"/>
              <w:left w:val="single" w:sz="4" w:space="0" w:color="000000"/>
              <w:bottom w:val="none" w:sz="6" w:space="0" w:color="auto"/>
              <w:right w:val="single" w:sz="4" w:space="0" w:color="000000"/>
            </w:tcBorders>
          </w:tcPr>
          <w:p w14:paraId="53A4EDC3" w14:textId="77777777" w:rsidR="00677B7E" w:rsidRPr="00401C70" w:rsidRDefault="00677B7E" w:rsidP="00FA2590">
            <w:pPr>
              <w:kinsoku w:val="0"/>
              <w:overflowPunct w:val="0"/>
              <w:autoSpaceDE w:val="0"/>
              <w:autoSpaceDN w:val="0"/>
              <w:adjustRightInd w:val="0"/>
              <w:ind w:left="107" w:right="93"/>
              <w:jc w:val="both"/>
              <w:rPr>
                <w:rFonts w:ascii="Abadi" w:hAnsi="Abadi" w:cs="Calibri"/>
                <w:b/>
                <w:bCs/>
                <w:i/>
                <w:iCs/>
                <w:sz w:val="21"/>
                <w:szCs w:val="21"/>
              </w:rPr>
            </w:pPr>
            <w:r w:rsidRPr="00401C70">
              <w:rPr>
                <w:rFonts w:ascii="Abadi" w:hAnsi="Abadi" w:cs="Calibri"/>
                <w:sz w:val="21"/>
                <w:szCs w:val="21"/>
              </w:rPr>
              <w:t>por</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Comité</w:t>
            </w:r>
            <w:r w:rsidRPr="00401C70">
              <w:rPr>
                <w:rFonts w:ascii="Abadi" w:hAnsi="Abadi" w:cs="Calibri"/>
                <w:spacing w:val="1"/>
                <w:sz w:val="21"/>
                <w:szCs w:val="21"/>
              </w:rPr>
              <w:t xml:space="preserve"> </w:t>
            </w:r>
            <w:r w:rsidRPr="00401C70">
              <w:rPr>
                <w:rFonts w:ascii="Abadi" w:hAnsi="Abadi" w:cs="Calibri"/>
                <w:sz w:val="21"/>
                <w:szCs w:val="21"/>
              </w:rPr>
              <w:t>Municipal</w:t>
            </w:r>
            <w:r w:rsidRPr="00401C70">
              <w:rPr>
                <w:rFonts w:ascii="Abadi" w:hAnsi="Abadi" w:cs="Calibri"/>
                <w:spacing w:val="1"/>
                <w:sz w:val="21"/>
                <w:szCs w:val="21"/>
              </w:rPr>
              <w:t xml:space="preserve"> </w:t>
            </w:r>
            <w:r w:rsidRPr="00401C70">
              <w:rPr>
                <w:rFonts w:ascii="Abadi" w:hAnsi="Abadi" w:cs="Calibri"/>
                <w:sz w:val="21"/>
                <w:szCs w:val="21"/>
              </w:rPr>
              <w:t>Ciudadano.</w:t>
            </w:r>
            <w:r w:rsidRPr="00401C70">
              <w:rPr>
                <w:rFonts w:ascii="Abadi" w:hAnsi="Abadi" w:cs="Calibri"/>
                <w:spacing w:val="1"/>
                <w:sz w:val="21"/>
                <w:szCs w:val="21"/>
              </w:rPr>
              <w:t xml:space="preserve"> </w:t>
            </w:r>
            <w:r w:rsidRPr="00401C70">
              <w:rPr>
                <w:rFonts w:ascii="Abadi" w:hAnsi="Abadi" w:cs="Calibri"/>
                <w:b/>
                <w:bCs/>
                <w:i/>
                <w:iCs/>
                <w:sz w:val="21"/>
                <w:szCs w:val="21"/>
              </w:rPr>
              <w:t>En</w:t>
            </w:r>
            <w:r w:rsidRPr="00401C70">
              <w:rPr>
                <w:rFonts w:ascii="Abadi" w:hAnsi="Abadi" w:cs="Calibri"/>
                <w:b/>
                <w:bCs/>
                <w:i/>
                <w:iCs/>
                <w:spacing w:val="1"/>
                <w:sz w:val="21"/>
                <w:szCs w:val="21"/>
              </w:rPr>
              <w:t xml:space="preserve"> </w:t>
            </w:r>
            <w:r w:rsidRPr="00401C70">
              <w:rPr>
                <w:rFonts w:ascii="Abadi" w:hAnsi="Abadi" w:cs="Calibri"/>
                <w:b/>
                <w:bCs/>
                <w:i/>
                <w:iCs/>
                <w:sz w:val="21"/>
                <w:szCs w:val="21"/>
              </w:rPr>
              <w:t>la</w:t>
            </w:r>
            <w:r w:rsidRPr="00401C70">
              <w:rPr>
                <w:rFonts w:ascii="Abadi" w:hAnsi="Abadi" w:cs="Calibri"/>
                <w:b/>
                <w:bCs/>
                <w:i/>
                <w:iCs/>
                <w:spacing w:val="1"/>
                <w:sz w:val="21"/>
                <w:szCs w:val="21"/>
              </w:rPr>
              <w:t xml:space="preserve"> </w:t>
            </w:r>
            <w:r w:rsidRPr="00401C70">
              <w:rPr>
                <w:rFonts w:ascii="Abadi" w:hAnsi="Abadi" w:cs="Calibri"/>
                <w:b/>
                <w:bCs/>
                <w:i/>
                <w:iCs/>
                <w:sz w:val="21"/>
                <w:szCs w:val="21"/>
              </w:rPr>
              <w:t>conformación</w:t>
            </w:r>
            <w:r w:rsidRPr="00401C70">
              <w:rPr>
                <w:rFonts w:ascii="Abadi" w:hAnsi="Abadi" w:cs="Calibri"/>
                <w:b/>
                <w:bCs/>
                <w:i/>
                <w:iCs/>
                <w:spacing w:val="-10"/>
                <w:sz w:val="21"/>
                <w:szCs w:val="21"/>
              </w:rPr>
              <w:t xml:space="preserve"> </w:t>
            </w:r>
            <w:r w:rsidRPr="00401C70">
              <w:rPr>
                <w:rFonts w:ascii="Abadi" w:hAnsi="Abadi" w:cs="Calibri"/>
                <w:b/>
                <w:bCs/>
                <w:i/>
                <w:iCs/>
                <w:sz w:val="21"/>
                <w:szCs w:val="21"/>
              </w:rPr>
              <w:t>de</w:t>
            </w:r>
            <w:r w:rsidRPr="00401C70">
              <w:rPr>
                <w:rFonts w:ascii="Abadi" w:hAnsi="Abadi" w:cs="Calibri"/>
                <w:b/>
                <w:bCs/>
                <w:i/>
                <w:iCs/>
                <w:spacing w:val="-10"/>
                <w:sz w:val="21"/>
                <w:szCs w:val="21"/>
              </w:rPr>
              <w:t xml:space="preserve"> </w:t>
            </w:r>
            <w:r w:rsidRPr="00401C70">
              <w:rPr>
                <w:rFonts w:ascii="Abadi" w:hAnsi="Abadi" w:cs="Calibri"/>
                <w:b/>
                <w:bCs/>
                <w:i/>
                <w:iCs/>
                <w:sz w:val="21"/>
                <w:szCs w:val="21"/>
              </w:rPr>
              <w:t>la</w:t>
            </w:r>
            <w:r w:rsidRPr="00401C70">
              <w:rPr>
                <w:rFonts w:ascii="Abadi" w:hAnsi="Abadi" w:cs="Calibri"/>
                <w:b/>
                <w:bCs/>
                <w:i/>
                <w:iCs/>
                <w:spacing w:val="-8"/>
                <w:sz w:val="21"/>
                <w:szCs w:val="21"/>
              </w:rPr>
              <w:t xml:space="preserve"> </w:t>
            </w:r>
            <w:r w:rsidRPr="00401C70">
              <w:rPr>
                <w:rFonts w:ascii="Abadi" w:hAnsi="Abadi" w:cs="Calibri"/>
                <w:b/>
                <w:bCs/>
                <w:i/>
                <w:iCs/>
                <w:sz w:val="21"/>
                <w:szCs w:val="21"/>
              </w:rPr>
              <w:t>terna</w:t>
            </w:r>
            <w:r w:rsidRPr="00401C70">
              <w:rPr>
                <w:rFonts w:ascii="Abadi" w:hAnsi="Abadi" w:cs="Calibri"/>
                <w:b/>
                <w:bCs/>
                <w:i/>
                <w:iCs/>
                <w:spacing w:val="-7"/>
                <w:sz w:val="21"/>
                <w:szCs w:val="21"/>
              </w:rPr>
              <w:t xml:space="preserve"> </w:t>
            </w:r>
            <w:r w:rsidRPr="00401C70">
              <w:rPr>
                <w:rFonts w:ascii="Abadi" w:hAnsi="Abadi" w:cs="Calibri"/>
                <w:b/>
                <w:bCs/>
                <w:i/>
                <w:iCs/>
                <w:sz w:val="21"/>
                <w:szCs w:val="21"/>
              </w:rPr>
              <w:t>se</w:t>
            </w:r>
            <w:r w:rsidRPr="00401C70">
              <w:rPr>
                <w:rFonts w:ascii="Abadi" w:hAnsi="Abadi" w:cs="Calibri"/>
                <w:b/>
                <w:bCs/>
                <w:i/>
                <w:iCs/>
                <w:spacing w:val="-8"/>
                <w:sz w:val="21"/>
                <w:szCs w:val="21"/>
              </w:rPr>
              <w:t xml:space="preserve"> </w:t>
            </w:r>
            <w:r w:rsidRPr="00401C70">
              <w:rPr>
                <w:rFonts w:ascii="Abadi" w:hAnsi="Abadi" w:cs="Calibri"/>
                <w:b/>
                <w:bCs/>
                <w:i/>
                <w:iCs/>
                <w:sz w:val="21"/>
                <w:szCs w:val="21"/>
              </w:rPr>
              <w:t>deberá</w:t>
            </w:r>
            <w:r w:rsidRPr="00401C70">
              <w:rPr>
                <w:rFonts w:ascii="Abadi" w:hAnsi="Abadi" w:cs="Calibri"/>
                <w:b/>
                <w:bCs/>
                <w:i/>
                <w:iCs/>
                <w:spacing w:val="-9"/>
                <w:sz w:val="21"/>
                <w:szCs w:val="21"/>
              </w:rPr>
              <w:t xml:space="preserve"> </w:t>
            </w:r>
            <w:r w:rsidRPr="00401C70">
              <w:rPr>
                <w:rFonts w:ascii="Abadi" w:hAnsi="Abadi" w:cs="Calibri"/>
                <w:b/>
                <w:bCs/>
                <w:i/>
                <w:iCs/>
                <w:sz w:val="21"/>
                <w:szCs w:val="21"/>
              </w:rPr>
              <w:t>garantizar</w:t>
            </w:r>
            <w:r w:rsidRPr="00401C70">
              <w:rPr>
                <w:rFonts w:ascii="Abadi" w:hAnsi="Abadi" w:cs="Calibri"/>
                <w:b/>
                <w:bCs/>
                <w:i/>
                <w:iCs/>
                <w:spacing w:val="-48"/>
                <w:sz w:val="21"/>
                <w:szCs w:val="21"/>
              </w:rPr>
              <w:t xml:space="preserve"> </w:t>
            </w:r>
            <w:r w:rsidRPr="00401C70">
              <w:rPr>
                <w:rFonts w:ascii="Abadi" w:hAnsi="Abadi" w:cs="Calibri"/>
                <w:b/>
                <w:bCs/>
                <w:i/>
                <w:iCs/>
                <w:sz w:val="21"/>
                <w:szCs w:val="21"/>
              </w:rPr>
              <w:t>la</w:t>
            </w:r>
            <w:r w:rsidRPr="00401C70">
              <w:rPr>
                <w:rFonts w:ascii="Abadi" w:hAnsi="Abadi" w:cs="Calibri"/>
                <w:b/>
                <w:bCs/>
                <w:i/>
                <w:iCs/>
                <w:spacing w:val="1"/>
                <w:sz w:val="21"/>
                <w:szCs w:val="21"/>
              </w:rPr>
              <w:t xml:space="preserve"> </w:t>
            </w:r>
            <w:r w:rsidRPr="00401C70">
              <w:rPr>
                <w:rFonts w:ascii="Abadi" w:hAnsi="Abadi" w:cs="Calibri"/>
                <w:b/>
                <w:bCs/>
                <w:i/>
                <w:iCs/>
                <w:sz w:val="21"/>
                <w:szCs w:val="21"/>
              </w:rPr>
              <w:t>alternancia</w:t>
            </w:r>
            <w:r w:rsidRPr="00401C70">
              <w:rPr>
                <w:rFonts w:ascii="Abadi" w:hAnsi="Abadi" w:cs="Calibri"/>
                <w:b/>
                <w:bCs/>
                <w:i/>
                <w:iCs/>
                <w:spacing w:val="1"/>
                <w:sz w:val="21"/>
                <w:szCs w:val="21"/>
              </w:rPr>
              <w:t xml:space="preserve"> </w:t>
            </w:r>
            <w:r w:rsidRPr="00401C70">
              <w:rPr>
                <w:rFonts w:ascii="Abadi" w:hAnsi="Abadi" w:cs="Calibri"/>
                <w:b/>
                <w:bCs/>
                <w:i/>
                <w:iCs/>
                <w:sz w:val="21"/>
                <w:szCs w:val="21"/>
              </w:rPr>
              <w:t>en</w:t>
            </w:r>
            <w:r w:rsidRPr="00401C70">
              <w:rPr>
                <w:rFonts w:ascii="Abadi" w:hAnsi="Abadi" w:cs="Calibri"/>
                <w:b/>
                <w:bCs/>
                <w:i/>
                <w:iCs/>
                <w:spacing w:val="1"/>
                <w:sz w:val="21"/>
                <w:szCs w:val="21"/>
              </w:rPr>
              <w:t xml:space="preserve"> </w:t>
            </w:r>
            <w:r w:rsidRPr="00401C70">
              <w:rPr>
                <w:rFonts w:ascii="Abadi" w:hAnsi="Abadi" w:cs="Calibri"/>
                <w:b/>
                <w:bCs/>
                <w:i/>
                <w:iCs/>
                <w:sz w:val="21"/>
                <w:szCs w:val="21"/>
              </w:rPr>
              <w:t>el</w:t>
            </w:r>
            <w:r w:rsidRPr="00401C70">
              <w:rPr>
                <w:rFonts w:ascii="Abadi" w:hAnsi="Abadi" w:cs="Calibri"/>
                <w:b/>
                <w:bCs/>
                <w:i/>
                <w:iCs/>
                <w:spacing w:val="1"/>
                <w:sz w:val="21"/>
                <w:szCs w:val="21"/>
              </w:rPr>
              <w:t xml:space="preserve"> </w:t>
            </w:r>
            <w:r w:rsidRPr="00401C70">
              <w:rPr>
                <w:rFonts w:ascii="Abadi" w:hAnsi="Abadi" w:cs="Calibri"/>
                <w:b/>
                <w:bCs/>
                <w:i/>
                <w:iCs/>
                <w:sz w:val="21"/>
                <w:szCs w:val="21"/>
              </w:rPr>
              <w:t>género</w:t>
            </w:r>
            <w:r w:rsidRPr="00401C70">
              <w:rPr>
                <w:rFonts w:ascii="Abadi" w:hAnsi="Abadi" w:cs="Calibri"/>
                <w:b/>
                <w:bCs/>
                <w:i/>
                <w:iCs/>
                <w:spacing w:val="1"/>
                <w:sz w:val="21"/>
                <w:szCs w:val="21"/>
              </w:rPr>
              <w:t xml:space="preserve"> </w:t>
            </w:r>
            <w:r w:rsidRPr="00401C70">
              <w:rPr>
                <w:rFonts w:ascii="Abadi" w:hAnsi="Abadi" w:cs="Calibri"/>
                <w:b/>
                <w:bCs/>
                <w:i/>
                <w:iCs/>
                <w:sz w:val="21"/>
                <w:szCs w:val="21"/>
              </w:rPr>
              <w:t>de</w:t>
            </w:r>
            <w:r w:rsidRPr="00401C70">
              <w:rPr>
                <w:rFonts w:ascii="Abadi" w:hAnsi="Abadi" w:cs="Calibri"/>
                <w:b/>
                <w:bCs/>
                <w:i/>
                <w:iCs/>
                <w:spacing w:val="1"/>
                <w:sz w:val="21"/>
                <w:szCs w:val="21"/>
              </w:rPr>
              <w:t xml:space="preserve"> </w:t>
            </w:r>
            <w:r w:rsidRPr="00401C70">
              <w:rPr>
                <w:rFonts w:ascii="Abadi" w:hAnsi="Abadi" w:cs="Calibri"/>
                <w:b/>
                <w:bCs/>
                <w:i/>
                <w:iCs/>
                <w:sz w:val="21"/>
                <w:szCs w:val="21"/>
              </w:rPr>
              <w:t>la</w:t>
            </w:r>
            <w:r w:rsidRPr="00401C70">
              <w:rPr>
                <w:rFonts w:ascii="Abadi" w:hAnsi="Abadi" w:cs="Calibri"/>
                <w:b/>
                <w:bCs/>
                <w:i/>
                <w:iCs/>
                <w:spacing w:val="1"/>
                <w:sz w:val="21"/>
                <w:szCs w:val="21"/>
              </w:rPr>
              <w:t xml:space="preserve"> </w:t>
            </w:r>
            <w:r w:rsidRPr="00401C70">
              <w:rPr>
                <w:rFonts w:ascii="Abadi" w:hAnsi="Abadi" w:cs="Calibri"/>
                <w:b/>
                <w:bCs/>
                <w:i/>
                <w:iCs/>
                <w:sz w:val="21"/>
                <w:szCs w:val="21"/>
              </w:rPr>
              <w:t>persona</w:t>
            </w:r>
            <w:r w:rsidRPr="00401C70">
              <w:rPr>
                <w:rFonts w:ascii="Abadi" w:hAnsi="Abadi" w:cs="Calibri"/>
                <w:b/>
                <w:bCs/>
                <w:i/>
                <w:iCs/>
                <w:spacing w:val="1"/>
                <w:sz w:val="21"/>
                <w:szCs w:val="21"/>
              </w:rPr>
              <w:t xml:space="preserve"> </w:t>
            </w:r>
            <w:r w:rsidRPr="00401C70">
              <w:rPr>
                <w:rFonts w:ascii="Abadi" w:hAnsi="Abadi" w:cs="Calibri"/>
                <w:b/>
                <w:bCs/>
                <w:i/>
                <w:iCs/>
                <w:sz w:val="21"/>
                <w:szCs w:val="21"/>
              </w:rPr>
              <w:t>titular</w:t>
            </w:r>
            <w:r w:rsidRPr="00401C70">
              <w:rPr>
                <w:rFonts w:ascii="Abadi" w:hAnsi="Abadi" w:cs="Calibri"/>
                <w:b/>
                <w:bCs/>
                <w:i/>
                <w:iCs/>
                <w:spacing w:val="-2"/>
                <w:sz w:val="21"/>
                <w:szCs w:val="21"/>
              </w:rPr>
              <w:t xml:space="preserve"> </w:t>
            </w:r>
            <w:r w:rsidRPr="00401C70">
              <w:rPr>
                <w:rFonts w:ascii="Abadi" w:hAnsi="Abadi" w:cs="Calibri"/>
                <w:b/>
                <w:bCs/>
                <w:i/>
                <w:iCs/>
                <w:sz w:val="21"/>
                <w:szCs w:val="21"/>
              </w:rPr>
              <w:t>de</w:t>
            </w:r>
            <w:r w:rsidRPr="00401C70">
              <w:rPr>
                <w:rFonts w:ascii="Abadi" w:hAnsi="Abadi" w:cs="Calibri"/>
                <w:b/>
                <w:bCs/>
                <w:i/>
                <w:iCs/>
                <w:spacing w:val="-4"/>
                <w:sz w:val="21"/>
                <w:szCs w:val="21"/>
              </w:rPr>
              <w:t xml:space="preserve"> </w:t>
            </w:r>
            <w:r w:rsidRPr="00401C70">
              <w:rPr>
                <w:rFonts w:ascii="Abadi" w:hAnsi="Abadi" w:cs="Calibri"/>
                <w:b/>
                <w:bCs/>
                <w:i/>
                <w:iCs/>
                <w:sz w:val="21"/>
                <w:szCs w:val="21"/>
              </w:rPr>
              <w:t>la</w:t>
            </w:r>
            <w:r w:rsidRPr="00401C70">
              <w:rPr>
                <w:rFonts w:ascii="Abadi" w:hAnsi="Abadi" w:cs="Calibri"/>
                <w:b/>
                <w:bCs/>
                <w:i/>
                <w:iCs/>
                <w:spacing w:val="1"/>
                <w:sz w:val="21"/>
                <w:szCs w:val="21"/>
              </w:rPr>
              <w:t xml:space="preserve"> </w:t>
            </w:r>
            <w:r w:rsidRPr="00401C70">
              <w:rPr>
                <w:rFonts w:ascii="Abadi" w:hAnsi="Abadi" w:cs="Calibri"/>
                <w:b/>
                <w:bCs/>
                <w:i/>
                <w:iCs/>
                <w:sz w:val="21"/>
                <w:szCs w:val="21"/>
              </w:rPr>
              <w:t>Contraloría Municipal.</w:t>
            </w:r>
          </w:p>
        </w:tc>
      </w:tr>
      <w:tr w:rsidR="00677B7E" w:rsidRPr="00401C70" w14:paraId="1ED9DA1E" w14:textId="77777777" w:rsidTr="003343AD">
        <w:trPr>
          <w:trHeight w:val="2820"/>
        </w:trPr>
        <w:tc>
          <w:tcPr>
            <w:tcW w:w="2500" w:type="pct"/>
            <w:tcBorders>
              <w:top w:val="none" w:sz="6" w:space="0" w:color="auto"/>
              <w:left w:val="single" w:sz="4" w:space="0" w:color="000000"/>
              <w:bottom w:val="none" w:sz="6" w:space="0" w:color="auto"/>
              <w:right w:val="single" w:sz="4" w:space="0" w:color="000000"/>
            </w:tcBorders>
          </w:tcPr>
          <w:p w14:paraId="7BFCB396" w14:textId="77777777" w:rsidR="00677B7E" w:rsidRPr="00401C70" w:rsidRDefault="00677B7E" w:rsidP="00FA2590">
            <w:pPr>
              <w:kinsoku w:val="0"/>
              <w:overflowPunct w:val="0"/>
              <w:autoSpaceDE w:val="0"/>
              <w:autoSpaceDN w:val="0"/>
              <w:adjustRightInd w:val="0"/>
              <w:jc w:val="both"/>
              <w:rPr>
                <w:rFonts w:ascii="Abadi" w:hAnsi="Abadi"/>
                <w:sz w:val="21"/>
                <w:szCs w:val="21"/>
              </w:rPr>
            </w:pPr>
          </w:p>
          <w:p w14:paraId="28826CB7" w14:textId="77777777" w:rsidR="00677B7E" w:rsidRPr="00401C70" w:rsidRDefault="00677B7E" w:rsidP="00FA2590">
            <w:pPr>
              <w:kinsoku w:val="0"/>
              <w:overflowPunct w:val="0"/>
              <w:autoSpaceDE w:val="0"/>
              <w:autoSpaceDN w:val="0"/>
              <w:adjustRightInd w:val="0"/>
              <w:spacing w:before="130"/>
              <w:ind w:left="107" w:right="90"/>
              <w:jc w:val="both"/>
              <w:rPr>
                <w:rFonts w:ascii="Abadi" w:hAnsi="Abadi" w:cs="Calibri"/>
                <w:sz w:val="21"/>
                <w:szCs w:val="21"/>
              </w:rPr>
            </w:pPr>
            <w:r w:rsidRPr="00401C70">
              <w:rPr>
                <w:rFonts w:ascii="Abadi" w:hAnsi="Abadi" w:cs="Calibri"/>
                <w:sz w:val="21"/>
                <w:szCs w:val="21"/>
              </w:rPr>
              <w:t>Para</w:t>
            </w:r>
            <w:r w:rsidRPr="00401C70">
              <w:rPr>
                <w:rFonts w:ascii="Abadi" w:hAnsi="Abadi" w:cs="Calibri"/>
                <w:spacing w:val="1"/>
                <w:sz w:val="21"/>
                <w:szCs w:val="21"/>
              </w:rPr>
              <w:t xml:space="preserve"> </w:t>
            </w:r>
            <w:r w:rsidRPr="00401C70">
              <w:rPr>
                <w:rFonts w:ascii="Abadi" w:hAnsi="Abadi" w:cs="Calibri"/>
                <w:sz w:val="21"/>
                <w:szCs w:val="21"/>
              </w:rPr>
              <w:t>formular</w:t>
            </w:r>
            <w:r w:rsidRPr="00401C70">
              <w:rPr>
                <w:rFonts w:ascii="Abadi" w:hAnsi="Abadi" w:cs="Calibri"/>
                <w:spacing w:val="1"/>
                <w:sz w:val="21"/>
                <w:szCs w:val="21"/>
              </w:rPr>
              <w:t xml:space="preserve"> </w:t>
            </w:r>
            <w:r w:rsidRPr="00401C70">
              <w:rPr>
                <w:rFonts w:ascii="Abadi" w:hAnsi="Abadi" w:cs="Calibri"/>
                <w:sz w:val="21"/>
                <w:szCs w:val="21"/>
              </w:rPr>
              <w:t>su</w:t>
            </w:r>
            <w:r w:rsidRPr="00401C70">
              <w:rPr>
                <w:rFonts w:ascii="Abadi" w:hAnsi="Abadi" w:cs="Calibri"/>
                <w:spacing w:val="1"/>
                <w:sz w:val="21"/>
                <w:szCs w:val="21"/>
              </w:rPr>
              <w:t xml:space="preserve"> </w:t>
            </w:r>
            <w:r w:rsidRPr="00401C70">
              <w:rPr>
                <w:rFonts w:ascii="Abadi" w:hAnsi="Abadi" w:cs="Calibri"/>
                <w:sz w:val="21"/>
                <w:szCs w:val="21"/>
              </w:rPr>
              <w:t>propuesta,</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Comité</w:t>
            </w:r>
            <w:r w:rsidRPr="00401C70">
              <w:rPr>
                <w:rFonts w:ascii="Abadi" w:hAnsi="Abadi" w:cs="Calibri"/>
                <w:spacing w:val="1"/>
                <w:sz w:val="21"/>
                <w:szCs w:val="21"/>
              </w:rPr>
              <w:t xml:space="preserve"> </w:t>
            </w:r>
            <w:r w:rsidRPr="00401C70">
              <w:rPr>
                <w:rFonts w:ascii="Abadi" w:hAnsi="Abadi" w:cs="Calibri"/>
                <w:sz w:val="21"/>
                <w:szCs w:val="21"/>
              </w:rPr>
              <w:t>Municipal Ciudadano deberá realizar consulta</w:t>
            </w:r>
            <w:r w:rsidRPr="00401C70">
              <w:rPr>
                <w:rFonts w:ascii="Abadi" w:hAnsi="Abadi" w:cs="Calibri"/>
                <w:spacing w:val="1"/>
                <w:sz w:val="21"/>
                <w:szCs w:val="21"/>
              </w:rPr>
              <w:t xml:space="preserve"> </w:t>
            </w:r>
            <w:r w:rsidRPr="00401C70">
              <w:rPr>
                <w:rFonts w:ascii="Abadi" w:hAnsi="Abadi" w:cs="Calibri"/>
                <w:sz w:val="21"/>
                <w:szCs w:val="21"/>
              </w:rPr>
              <w:t>pública. La consulta deberá ser publicada en el</w:t>
            </w:r>
            <w:r w:rsidRPr="00401C70">
              <w:rPr>
                <w:rFonts w:ascii="Abadi" w:hAnsi="Abadi" w:cs="Calibri"/>
                <w:spacing w:val="-47"/>
                <w:sz w:val="21"/>
                <w:szCs w:val="21"/>
              </w:rPr>
              <w:t xml:space="preserve"> </w:t>
            </w:r>
            <w:r w:rsidRPr="00401C70">
              <w:rPr>
                <w:rFonts w:ascii="Abadi" w:hAnsi="Abadi" w:cs="Calibri"/>
                <w:sz w:val="21"/>
                <w:szCs w:val="21"/>
              </w:rPr>
              <w:t>Periódico Oficial del Gobierno del Estado y, al</w:t>
            </w:r>
            <w:r w:rsidRPr="00401C70">
              <w:rPr>
                <w:rFonts w:ascii="Abadi" w:hAnsi="Abadi" w:cs="Calibri"/>
                <w:spacing w:val="1"/>
                <w:sz w:val="21"/>
                <w:szCs w:val="21"/>
              </w:rPr>
              <w:t xml:space="preserve"> </w:t>
            </w:r>
            <w:r w:rsidRPr="00401C70">
              <w:rPr>
                <w:rFonts w:ascii="Abadi" w:hAnsi="Abadi" w:cs="Calibri"/>
                <w:sz w:val="21"/>
                <w:szCs w:val="21"/>
              </w:rPr>
              <w:t>menos, en uno de los medios de comunicación</w:t>
            </w:r>
            <w:r w:rsidRPr="00401C70">
              <w:rPr>
                <w:rFonts w:ascii="Abadi" w:hAnsi="Abadi" w:cs="Calibri"/>
                <w:spacing w:val="-47"/>
                <w:sz w:val="21"/>
                <w:szCs w:val="21"/>
              </w:rPr>
              <w:t xml:space="preserve"> </w:t>
            </w:r>
            <w:r w:rsidRPr="00401C70">
              <w:rPr>
                <w:rFonts w:ascii="Abadi" w:hAnsi="Abadi" w:cs="Calibri"/>
                <w:sz w:val="21"/>
                <w:szCs w:val="21"/>
              </w:rPr>
              <w:t>impresos</w:t>
            </w:r>
            <w:r w:rsidRPr="00401C70">
              <w:rPr>
                <w:rFonts w:ascii="Abadi" w:hAnsi="Abadi" w:cs="Calibri"/>
                <w:spacing w:val="-3"/>
                <w:sz w:val="21"/>
                <w:szCs w:val="21"/>
              </w:rPr>
              <w:t xml:space="preserve"> </w:t>
            </w:r>
            <w:r w:rsidRPr="00401C70">
              <w:rPr>
                <w:rFonts w:ascii="Abadi" w:hAnsi="Abadi" w:cs="Calibri"/>
                <w:sz w:val="21"/>
                <w:szCs w:val="21"/>
              </w:rPr>
              <w:t>de</w:t>
            </w:r>
            <w:r w:rsidRPr="00401C70">
              <w:rPr>
                <w:rFonts w:ascii="Abadi" w:hAnsi="Abadi" w:cs="Calibri"/>
                <w:spacing w:val="-4"/>
                <w:sz w:val="21"/>
                <w:szCs w:val="21"/>
              </w:rPr>
              <w:t xml:space="preserve"> </w:t>
            </w:r>
            <w:r w:rsidRPr="00401C70">
              <w:rPr>
                <w:rFonts w:ascii="Abadi" w:hAnsi="Abadi" w:cs="Calibri"/>
                <w:sz w:val="21"/>
                <w:szCs w:val="21"/>
              </w:rPr>
              <w:t>mayor</w:t>
            </w:r>
            <w:r w:rsidRPr="00401C70">
              <w:rPr>
                <w:rFonts w:ascii="Abadi" w:hAnsi="Abadi" w:cs="Calibri"/>
                <w:spacing w:val="-2"/>
                <w:sz w:val="21"/>
                <w:szCs w:val="21"/>
              </w:rPr>
              <w:t xml:space="preserve"> </w:t>
            </w:r>
            <w:r w:rsidRPr="00401C70">
              <w:rPr>
                <w:rFonts w:ascii="Abadi" w:hAnsi="Abadi" w:cs="Calibri"/>
                <w:sz w:val="21"/>
                <w:szCs w:val="21"/>
              </w:rPr>
              <w:t>circulación</w:t>
            </w:r>
            <w:r w:rsidRPr="00401C70">
              <w:rPr>
                <w:rFonts w:ascii="Abadi" w:hAnsi="Abadi" w:cs="Calibri"/>
                <w:spacing w:val="-4"/>
                <w:sz w:val="21"/>
                <w:szCs w:val="21"/>
              </w:rPr>
              <w:t xml:space="preserve"> </w:t>
            </w:r>
            <w:r w:rsidRPr="00401C70">
              <w:rPr>
                <w:rFonts w:ascii="Abadi" w:hAnsi="Abadi" w:cs="Calibri"/>
                <w:sz w:val="21"/>
                <w:szCs w:val="21"/>
              </w:rPr>
              <w:t>en</w:t>
            </w:r>
            <w:r w:rsidRPr="00401C70">
              <w:rPr>
                <w:rFonts w:ascii="Abadi" w:hAnsi="Abadi" w:cs="Calibri"/>
                <w:spacing w:val="-2"/>
                <w:sz w:val="21"/>
                <w:szCs w:val="21"/>
              </w:rPr>
              <w:t xml:space="preserve"> </w:t>
            </w:r>
            <w:r w:rsidRPr="00401C70">
              <w:rPr>
                <w:rFonts w:ascii="Abadi" w:hAnsi="Abadi" w:cs="Calibri"/>
                <w:sz w:val="21"/>
                <w:szCs w:val="21"/>
              </w:rPr>
              <w:t>el</w:t>
            </w:r>
            <w:r w:rsidRPr="00401C70">
              <w:rPr>
                <w:rFonts w:ascii="Abadi" w:hAnsi="Abadi" w:cs="Calibri"/>
                <w:spacing w:val="-4"/>
                <w:sz w:val="21"/>
                <w:szCs w:val="21"/>
              </w:rPr>
              <w:t xml:space="preserve"> </w:t>
            </w:r>
            <w:r w:rsidRPr="00401C70">
              <w:rPr>
                <w:rFonts w:ascii="Abadi" w:hAnsi="Abadi" w:cs="Calibri"/>
                <w:sz w:val="21"/>
                <w:szCs w:val="21"/>
              </w:rPr>
              <w:t>Municipio,</w:t>
            </w:r>
            <w:r w:rsidRPr="00401C70">
              <w:rPr>
                <w:rFonts w:ascii="Abadi" w:hAnsi="Abadi" w:cs="Calibri"/>
                <w:spacing w:val="-47"/>
                <w:sz w:val="21"/>
                <w:szCs w:val="21"/>
              </w:rPr>
              <w:t xml:space="preserve"> </w:t>
            </w:r>
            <w:r w:rsidRPr="00401C70">
              <w:rPr>
                <w:rFonts w:ascii="Abadi" w:hAnsi="Abadi" w:cs="Calibri"/>
                <w:sz w:val="21"/>
                <w:szCs w:val="21"/>
              </w:rPr>
              <w:t>a efecto de que las propuestas que formulen</w:t>
            </w:r>
            <w:r w:rsidRPr="00401C70">
              <w:rPr>
                <w:rFonts w:ascii="Abadi" w:hAnsi="Abadi" w:cs="Calibri"/>
                <w:spacing w:val="1"/>
                <w:sz w:val="21"/>
                <w:szCs w:val="21"/>
              </w:rPr>
              <w:t xml:space="preserve"> </w:t>
            </w:r>
            <w:r w:rsidRPr="00401C70">
              <w:rPr>
                <w:rFonts w:ascii="Abadi" w:hAnsi="Abadi" w:cs="Calibri"/>
                <w:sz w:val="21"/>
                <w:szCs w:val="21"/>
              </w:rPr>
              <w:t>los ciudadanos se integren en una terna que se</w:t>
            </w:r>
            <w:r w:rsidRPr="00401C70">
              <w:rPr>
                <w:rFonts w:ascii="Abadi" w:hAnsi="Abadi" w:cs="Calibri"/>
                <w:spacing w:val="-47"/>
                <w:sz w:val="21"/>
                <w:szCs w:val="21"/>
              </w:rPr>
              <w:t xml:space="preserve"> </w:t>
            </w:r>
            <w:r w:rsidRPr="00401C70">
              <w:rPr>
                <w:rFonts w:ascii="Abadi" w:hAnsi="Abadi" w:cs="Calibri"/>
                <w:sz w:val="21"/>
                <w:szCs w:val="21"/>
              </w:rPr>
              <w:t>presentará</w:t>
            </w:r>
            <w:r w:rsidRPr="00401C70">
              <w:rPr>
                <w:rFonts w:ascii="Abadi" w:hAnsi="Abadi" w:cs="Calibri"/>
                <w:spacing w:val="-3"/>
                <w:sz w:val="21"/>
                <w:szCs w:val="21"/>
              </w:rPr>
              <w:t xml:space="preserve"> </w:t>
            </w:r>
            <w:r w:rsidRPr="00401C70">
              <w:rPr>
                <w:rFonts w:ascii="Abadi" w:hAnsi="Abadi" w:cs="Calibri"/>
                <w:sz w:val="21"/>
                <w:szCs w:val="21"/>
              </w:rPr>
              <w:t>al Ayuntamiento.</w:t>
            </w:r>
          </w:p>
        </w:tc>
        <w:tc>
          <w:tcPr>
            <w:tcW w:w="2500" w:type="pct"/>
            <w:tcBorders>
              <w:top w:val="none" w:sz="6" w:space="0" w:color="auto"/>
              <w:left w:val="single" w:sz="4" w:space="0" w:color="000000"/>
              <w:bottom w:val="none" w:sz="6" w:space="0" w:color="auto"/>
              <w:right w:val="single" w:sz="4" w:space="0" w:color="000000"/>
            </w:tcBorders>
          </w:tcPr>
          <w:p w14:paraId="2E917FA0" w14:textId="77777777" w:rsidR="00677B7E" w:rsidRPr="00401C70" w:rsidRDefault="00677B7E" w:rsidP="00FA2590">
            <w:pPr>
              <w:kinsoku w:val="0"/>
              <w:overflowPunct w:val="0"/>
              <w:autoSpaceDE w:val="0"/>
              <w:autoSpaceDN w:val="0"/>
              <w:adjustRightInd w:val="0"/>
              <w:spacing w:before="114"/>
              <w:ind w:left="107" w:right="92"/>
              <w:jc w:val="both"/>
              <w:rPr>
                <w:rFonts w:ascii="Abadi" w:hAnsi="Abadi" w:cs="Calibri"/>
                <w:sz w:val="21"/>
                <w:szCs w:val="21"/>
              </w:rPr>
            </w:pPr>
            <w:r w:rsidRPr="00401C70">
              <w:rPr>
                <w:rFonts w:ascii="Abadi" w:hAnsi="Abadi" w:cs="Calibri"/>
                <w:sz w:val="21"/>
                <w:szCs w:val="21"/>
              </w:rPr>
              <w:t>Para</w:t>
            </w:r>
            <w:r w:rsidRPr="00401C70">
              <w:rPr>
                <w:rFonts w:ascii="Abadi" w:hAnsi="Abadi" w:cs="Calibri"/>
                <w:spacing w:val="1"/>
                <w:sz w:val="21"/>
                <w:szCs w:val="21"/>
              </w:rPr>
              <w:t xml:space="preserve"> </w:t>
            </w:r>
            <w:r w:rsidRPr="00401C70">
              <w:rPr>
                <w:rFonts w:ascii="Abadi" w:hAnsi="Abadi" w:cs="Calibri"/>
                <w:sz w:val="21"/>
                <w:szCs w:val="21"/>
              </w:rPr>
              <w:t>formular</w:t>
            </w:r>
            <w:r w:rsidRPr="00401C70">
              <w:rPr>
                <w:rFonts w:ascii="Abadi" w:hAnsi="Abadi" w:cs="Calibri"/>
                <w:spacing w:val="1"/>
                <w:sz w:val="21"/>
                <w:szCs w:val="21"/>
              </w:rPr>
              <w:t xml:space="preserve"> </w:t>
            </w:r>
            <w:r w:rsidRPr="00401C70">
              <w:rPr>
                <w:rFonts w:ascii="Abadi" w:hAnsi="Abadi" w:cs="Calibri"/>
                <w:sz w:val="21"/>
                <w:szCs w:val="21"/>
              </w:rPr>
              <w:t>su</w:t>
            </w:r>
            <w:r w:rsidRPr="00401C70">
              <w:rPr>
                <w:rFonts w:ascii="Abadi" w:hAnsi="Abadi" w:cs="Calibri"/>
                <w:spacing w:val="1"/>
                <w:sz w:val="21"/>
                <w:szCs w:val="21"/>
              </w:rPr>
              <w:t xml:space="preserve"> </w:t>
            </w:r>
            <w:r w:rsidRPr="00401C70">
              <w:rPr>
                <w:rFonts w:ascii="Abadi" w:hAnsi="Abadi" w:cs="Calibri"/>
                <w:sz w:val="21"/>
                <w:szCs w:val="21"/>
              </w:rPr>
              <w:t>propuesta,</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Comité</w:t>
            </w:r>
            <w:r w:rsidRPr="00401C70">
              <w:rPr>
                <w:rFonts w:ascii="Abadi" w:hAnsi="Abadi" w:cs="Calibri"/>
                <w:spacing w:val="1"/>
                <w:sz w:val="21"/>
                <w:szCs w:val="21"/>
              </w:rPr>
              <w:t xml:space="preserve"> </w:t>
            </w:r>
            <w:r w:rsidRPr="00401C70">
              <w:rPr>
                <w:rFonts w:ascii="Abadi" w:hAnsi="Abadi" w:cs="Calibri"/>
                <w:sz w:val="21"/>
                <w:szCs w:val="21"/>
              </w:rPr>
              <w:t>Municipal Ciudadano deberá realizar consulta</w:t>
            </w:r>
            <w:r w:rsidRPr="00401C70">
              <w:rPr>
                <w:rFonts w:ascii="Abadi" w:hAnsi="Abadi" w:cs="Calibri"/>
                <w:spacing w:val="1"/>
                <w:sz w:val="21"/>
                <w:szCs w:val="21"/>
              </w:rPr>
              <w:t xml:space="preserve"> </w:t>
            </w:r>
            <w:r w:rsidRPr="00401C70">
              <w:rPr>
                <w:rFonts w:ascii="Abadi" w:hAnsi="Abadi" w:cs="Calibri"/>
                <w:sz w:val="21"/>
                <w:szCs w:val="21"/>
              </w:rPr>
              <w:t>pública. La consulta deberá ser publicada en el</w:t>
            </w:r>
            <w:r w:rsidRPr="00401C70">
              <w:rPr>
                <w:rFonts w:ascii="Abadi" w:hAnsi="Abadi" w:cs="Calibri"/>
                <w:spacing w:val="-47"/>
                <w:sz w:val="21"/>
                <w:szCs w:val="21"/>
              </w:rPr>
              <w:t xml:space="preserve"> </w:t>
            </w:r>
            <w:r w:rsidRPr="00401C70">
              <w:rPr>
                <w:rFonts w:ascii="Abadi" w:hAnsi="Abadi" w:cs="Calibri"/>
                <w:sz w:val="21"/>
                <w:szCs w:val="21"/>
              </w:rPr>
              <w:t>Periódico Oficial del Gobierno del Estado y, al</w:t>
            </w:r>
            <w:r w:rsidRPr="00401C70">
              <w:rPr>
                <w:rFonts w:ascii="Abadi" w:hAnsi="Abadi" w:cs="Calibri"/>
                <w:spacing w:val="1"/>
                <w:sz w:val="21"/>
                <w:szCs w:val="21"/>
              </w:rPr>
              <w:t xml:space="preserve"> </w:t>
            </w:r>
            <w:r w:rsidRPr="00401C70">
              <w:rPr>
                <w:rFonts w:ascii="Abadi" w:hAnsi="Abadi" w:cs="Calibri"/>
                <w:sz w:val="21"/>
                <w:szCs w:val="21"/>
              </w:rPr>
              <w:t>menos, en uno de los medios de comunicación</w:t>
            </w:r>
            <w:r w:rsidRPr="00401C70">
              <w:rPr>
                <w:rFonts w:ascii="Abadi" w:hAnsi="Abadi" w:cs="Calibri"/>
                <w:spacing w:val="-47"/>
                <w:sz w:val="21"/>
                <w:szCs w:val="21"/>
              </w:rPr>
              <w:t xml:space="preserve"> </w:t>
            </w:r>
            <w:r w:rsidRPr="00401C70">
              <w:rPr>
                <w:rFonts w:ascii="Abadi" w:hAnsi="Abadi" w:cs="Calibri"/>
                <w:sz w:val="21"/>
                <w:szCs w:val="21"/>
              </w:rPr>
              <w:t>impresos</w:t>
            </w:r>
            <w:r w:rsidRPr="00401C70">
              <w:rPr>
                <w:rFonts w:ascii="Abadi" w:hAnsi="Abadi" w:cs="Calibri"/>
                <w:spacing w:val="-3"/>
                <w:sz w:val="21"/>
                <w:szCs w:val="21"/>
              </w:rPr>
              <w:t xml:space="preserve"> </w:t>
            </w:r>
            <w:r w:rsidRPr="00401C70">
              <w:rPr>
                <w:rFonts w:ascii="Abadi" w:hAnsi="Abadi" w:cs="Calibri"/>
                <w:sz w:val="21"/>
                <w:szCs w:val="21"/>
              </w:rPr>
              <w:t>de</w:t>
            </w:r>
            <w:r w:rsidRPr="00401C70">
              <w:rPr>
                <w:rFonts w:ascii="Abadi" w:hAnsi="Abadi" w:cs="Calibri"/>
                <w:spacing w:val="-4"/>
                <w:sz w:val="21"/>
                <w:szCs w:val="21"/>
              </w:rPr>
              <w:t xml:space="preserve"> </w:t>
            </w:r>
            <w:r w:rsidRPr="00401C70">
              <w:rPr>
                <w:rFonts w:ascii="Abadi" w:hAnsi="Abadi" w:cs="Calibri"/>
                <w:sz w:val="21"/>
                <w:szCs w:val="21"/>
              </w:rPr>
              <w:t>mayor</w:t>
            </w:r>
            <w:r w:rsidRPr="00401C70">
              <w:rPr>
                <w:rFonts w:ascii="Abadi" w:hAnsi="Abadi" w:cs="Calibri"/>
                <w:spacing w:val="-2"/>
                <w:sz w:val="21"/>
                <w:szCs w:val="21"/>
              </w:rPr>
              <w:t xml:space="preserve"> </w:t>
            </w:r>
            <w:r w:rsidRPr="00401C70">
              <w:rPr>
                <w:rFonts w:ascii="Abadi" w:hAnsi="Abadi" w:cs="Calibri"/>
                <w:sz w:val="21"/>
                <w:szCs w:val="21"/>
              </w:rPr>
              <w:t>circulación</w:t>
            </w:r>
            <w:r w:rsidRPr="00401C70">
              <w:rPr>
                <w:rFonts w:ascii="Abadi" w:hAnsi="Abadi" w:cs="Calibri"/>
                <w:spacing w:val="-4"/>
                <w:sz w:val="21"/>
                <w:szCs w:val="21"/>
              </w:rPr>
              <w:t xml:space="preserve"> </w:t>
            </w:r>
            <w:r w:rsidRPr="00401C70">
              <w:rPr>
                <w:rFonts w:ascii="Abadi" w:hAnsi="Abadi" w:cs="Calibri"/>
                <w:sz w:val="21"/>
                <w:szCs w:val="21"/>
              </w:rPr>
              <w:t>en</w:t>
            </w:r>
            <w:r w:rsidRPr="00401C70">
              <w:rPr>
                <w:rFonts w:ascii="Abadi" w:hAnsi="Abadi" w:cs="Calibri"/>
                <w:spacing w:val="-2"/>
                <w:sz w:val="21"/>
                <w:szCs w:val="21"/>
              </w:rPr>
              <w:t xml:space="preserve"> </w:t>
            </w:r>
            <w:r w:rsidRPr="00401C70">
              <w:rPr>
                <w:rFonts w:ascii="Abadi" w:hAnsi="Abadi" w:cs="Calibri"/>
                <w:sz w:val="21"/>
                <w:szCs w:val="21"/>
              </w:rPr>
              <w:t>el</w:t>
            </w:r>
            <w:r w:rsidRPr="00401C70">
              <w:rPr>
                <w:rFonts w:ascii="Abadi" w:hAnsi="Abadi" w:cs="Calibri"/>
                <w:spacing w:val="-4"/>
                <w:sz w:val="21"/>
                <w:szCs w:val="21"/>
              </w:rPr>
              <w:t xml:space="preserve"> </w:t>
            </w:r>
            <w:r w:rsidRPr="00401C70">
              <w:rPr>
                <w:rFonts w:ascii="Abadi" w:hAnsi="Abadi" w:cs="Calibri"/>
                <w:sz w:val="21"/>
                <w:szCs w:val="21"/>
              </w:rPr>
              <w:t>Municipio,</w:t>
            </w:r>
            <w:r w:rsidRPr="00401C70">
              <w:rPr>
                <w:rFonts w:ascii="Abadi" w:hAnsi="Abadi" w:cs="Calibri"/>
                <w:spacing w:val="-48"/>
                <w:sz w:val="21"/>
                <w:szCs w:val="21"/>
              </w:rPr>
              <w:t xml:space="preserve"> </w:t>
            </w:r>
            <w:r w:rsidRPr="00401C70">
              <w:rPr>
                <w:rFonts w:ascii="Abadi" w:hAnsi="Abadi" w:cs="Calibri"/>
                <w:sz w:val="21"/>
                <w:szCs w:val="21"/>
              </w:rPr>
              <w:t xml:space="preserve">a efecto de que las propuestas que </w:t>
            </w:r>
            <w:r w:rsidRPr="00401C70">
              <w:rPr>
                <w:rFonts w:ascii="Abadi" w:hAnsi="Abadi" w:cs="Calibri"/>
                <w:b/>
                <w:bCs/>
                <w:i/>
                <w:iCs/>
                <w:sz w:val="21"/>
                <w:szCs w:val="21"/>
              </w:rPr>
              <w:t>formule la</w:t>
            </w:r>
            <w:r w:rsidRPr="00401C70">
              <w:rPr>
                <w:rFonts w:ascii="Abadi" w:hAnsi="Abadi" w:cs="Calibri"/>
                <w:b/>
                <w:bCs/>
                <w:i/>
                <w:iCs/>
                <w:spacing w:val="1"/>
                <w:sz w:val="21"/>
                <w:szCs w:val="21"/>
              </w:rPr>
              <w:t xml:space="preserve"> </w:t>
            </w:r>
            <w:r w:rsidRPr="00401C70">
              <w:rPr>
                <w:rFonts w:ascii="Abadi" w:hAnsi="Abadi" w:cs="Calibri"/>
                <w:b/>
                <w:bCs/>
                <w:i/>
                <w:iCs/>
                <w:sz w:val="21"/>
                <w:szCs w:val="21"/>
              </w:rPr>
              <w:t xml:space="preserve">ciudadanía </w:t>
            </w:r>
            <w:r w:rsidRPr="00401C70">
              <w:rPr>
                <w:rFonts w:ascii="Abadi" w:hAnsi="Abadi" w:cs="Calibri"/>
                <w:sz w:val="21"/>
                <w:szCs w:val="21"/>
              </w:rPr>
              <w:t>se integren en una terna que se</w:t>
            </w:r>
            <w:r w:rsidRPr="00401C70">
              <w:rPr>
                <w:rFonts w:ascii="Abadi" w:hAnsi="Abadi" w:cs="Calibri"/>
                <w:spacing w:val="1"/>
                <w:sz w:val="21"/>
                <w:szCs w:val="21"/>
              </w:rPr>
              <w:t xml:space="preserve"> </w:t>
            </w:r>
            <w:r w:rsidRPr="00401C70">
              <w:rPr>
                <w:rFonts w:ascii="Abadi" w:hAnsi="Abadi" w:cs="Calibri"/>
                <w:sz w:val="21"/>
                <w:szCs w:val="21"/>
              </w:rPr>
              <w:t>presentará</w:t>
            </w:r>
            <w:r w:rsidRPr="00401C70">
              <w:rPr>
                <w:rFonts w:ascii="Abadi" w:hAnsi="Abadi" w:cs="Calibri"/>
                <w:spacing w:val="-3"/>
                <w:sz w:val="21"/>
                <w:szCs w:val="21"/>
              </w:rPr>
              <w:t xml:space="preserve"> </w:t>
            </w:r>
            <w:r w:rsidRPr="00401C70">
              <w:rPr>
                <w:rFonts w:ascii="Abadi" w:hAnsi="Abadi" w:cs="Calibri"/>
                <w:sz w:val="21"/>
                <w:szCs w:val="21"/>
              </w:rPr>
              <w:t>al Ayuntamiento.</w:t>
            </w:r>
          </w:p>
        </w:tc>
      </w:tr>
      <w:tr w:rsidR="00677B7E" w:rsidRPr="00401C70" w14:paraId="4FE2DAE6" w14:textId="77777777" w:rsidTr="003343AD">
        <w:trPr>
          <w:trHeight w:val="2417"/>
        </w:trPr>
        <w:tc>
          <w:tcPr>
            <w:tcW w:w="2500" w:type="pct"/>
            <w:tcBorders>
              <w:top w:val="none" w:sz="6" w:space="0" w:color="auto"/>
              <w:left w:val="single" w:sz="4" w:space="0" w:color="000000"/>
              <w:bottom w:val="none" w:sz="6" w:space="0" w:color="auto"/>
              <w:right w:val="single" w:sz="4" w:space="0" w:color="000000"/>
            </w:tcBorders>
          </w:tcPr>
          <w:p w14:paraId="26918532" w14:textId="77777777" w:rsidR="00677B7E" w:rsidRPr="00401C70" w:rsidRDefault="00677B7E" w:rsidP="00FA2590">
            <w:pPr>
              <w:kinsoku w:val="0"/>
              <w:overflowPunct w:val="0"/>
              <w:autoSpaceDE w:val="0"/>
              <w:autoSpaceDN w:val="0"/>
              <w:adjustRightInd w:val="0"/>
              <w:spacing w:before="7"/>
              <w:jc w:val="both"/>
              <w:rPr>
                <w:rFonts w:ascii="Abadi" w:hAnsi="Abadi"/>
                <w:sz w:val="21"/>
                <w:szCs w:val="21"/>
              </w:rPr>
            </w:pPr>
          </w:p>
          <w:p w14:paraId="37AF8FE7" w14:textId="77777777" w:rsidR="00677B7E" w:rsidRPr="00401C70" w:rsidRDefault="00677B7E" w:rsidP="00FA2590">
            <w:pPr>
              <w:kinsoku w:val="0"/>
              <w:overflowPunct w:val="0"/>
              <w:autoSpaceDE w:val="0"/>
              <w:autoSpaceDN w:val="0"/>
              <w:adjustRightInd w:val="0"/>
              <w:ind w:left="107" w:right="92"/>
              <w:jc w:val="both"/>
              <w:rPr>
                <w:rFonts w:ascii="Abadi" w:hAnsi="Abadi" w:cs="Calibri"/>
                <w:sz w:val="21"/>
                <w:szCs w:val="21"/>
              </w:rPr>
            </w:pP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integración</w:t>
            </w:r>
            <w:r w:rsidRPr="00401C70">
              <w:rPr>
                <w:rFonts w:ascii="Abadi" w:hAnsi="Abadi" w:cs="Calibri"/>
                <w:spacing w:val="1"/>
                <w:sz w:val="21"/>
                <w:szCs w:val="21"/>
              </w:rPr>
              <w:t xml:space="preserve"> </w:t>
            </w:r>
            <w:r w:rsidRPr="00401C70">
              <w:rPr>
                <w:rFonts w:ascii="Abadi" w:hAnsi="Abadi" w:cs="Calibri"/>
                <w:sz w:val="21"/>
                <w:szCs w:val="21"/>
              </w:rPr>
              <w:t>y</w:t>
            </w:r>
            <w:r w:rsidRPr="00401C70">
              <w:rPr>
                <w:rFonts w:ascii="Abadi" w:hAnsi="Abadi" w:cs="Calibri"/>
                <w:spacing w:val="1"/>
                <w:sz w:val="21"/>
                <w:szCs w:val="21"/>
              </w:rPr>
              <w:t xml:space="preserve"> </w:t>
            </w:r>
            <w:r w:rsidRPr="00401C70">
              <w:rPr>
                <w:rFonts w:ascii="Abadi" w:hAnsi="Abadi" w:cs="Calibri"/>
                <w:sz w:val="21"/>
                <w:szCs w:val="21"/>
              </w:rPr>
              <w:t>funcionamiento</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mecanismo de consulta se establecerá en el</w:t>
            </w:r>
            <w:r w:rsidRPr="00401C70">
              <w:rPr>
                <w:rFonts w:ascii="Abadi" w:hAnsi="Abadi" w:cs="Calibri"/>
                <w:spacing w:val="1"/>
                <w:sz w:val="21"/>
                <w:szCs w:val="21"/>
              </w:rPr>
              <w:t xml:space="preserve"> </w:t>
            </w:r>
            <w:r w:rsidRPr="00401C70">
              <w:rPr>
                <w:rFonts w:ascii="Abadi" w:hAnsi="Abadi" w:cs="Calibri"/>
                <w:sz w:val="21"/>
                <w:szCs w:val="21"/>
              </w:rPr>
              <w:t>reglamento municipal respectivo, apegándose</w:t>
            </w:r>
            <w:r w:rsidRPr="00401C70">
              <w:rPr>
                <w:rFonts w:ascii="Abadi" w:hAnsi="Abadi" w:cs="Calibri"/>
                <w:spacing w:val="1"/>
                <w:sz w:val="21"/>
                <w:szCs w:val="21"/>
              </w:rPr>
              <w:t xml:space="preserve"> </w:t>
            </w:r>
            <w:r w:rsidRPr="00401C70">
              <w:rPr>
                <w:rFonts w:ascii="Abadi" w:hAnsi="Abadi" w:cs="Calibri"/>
                <w:sz w:val="21"/>
                <w:szCs w:val="21"/>
              </w:rPr>
              <w:t xml:space="preserve">a los principios de gobierno abierto, </w:t>
            </w:r>
            <w:r w:rsidRPr="00401C70">
              <w:rPr>
                <w:rFonts w:ascii="Abadi" w:hAnsi="Abadi" w:cs="Calibri"/>
                <w:sz w:val="21"/>
                <w:szCs w:val="21"/>
              </w:rPr>
              <w:lastRenderedPageBreak/>
              <w:t>equidad,</w:t>
            </w:r>
            <w:r w:rsidRPr="00401C70">
              <w:rPr>
                <w:rFonts w:ascii="Abadi" w:hAnsi="Abadi" w:cs="Calibri"/>
                <w:spacing w:val="1"/>
                <w:sz w:val="21"/>
                <w:szCs w:val="21"/>
              </w:rPr>
              <w:t xml:space="preserve"> </w:t>
            </w:r>
            <w:r w:rsidRPr="00401C70">
              <w:rPr>
                <w:rFonts w:ascii="Abadi" w:hAnsi="Abadi" w:cs="Calibri"/>
                <w:sz w:val="21"/>
                <w:szCs w:val="21"/>
              </w:rPr>
              <w:t>oportunidad,</w:t>
            </w:r>
            <w:r w:rsidRPr="00401C70">
              <w:rPr>
                <w:rFonts w:ascii="Abadi" w:hAnsi="Abadi" w:cs="Calibri"/>
                <w:spacing w:val="1"/>
                <w:sz w:val="21"/>
                <w:szCs w:val="21"/>
              </w:rPr>
              <w:t xml:space="preserve"> </w:t>
            </w:r>
            <w:r w:rsidRPr="00401C70">
              <w:rPr>
                <w:rFonts w:ascii="Abadi" w:hAnsi="Abadi" w:cs="Calibri"/>
                <w:sz w:val="21"/>
                <w:szCs w:val="21"/>
              </w:rPr>
              <w:t>transparencia,</w:t>
            </w:r>
            <w:r w:rsidRPr="00401C70">
              <w:rPr>
                <w:rFonts w:ascii="Abadi" w:hAnsi="Abadi" w:cs="Calibri"/>
                <w:spacing w:val="1"/>
                <w:sz w:val="21"/>
                <w:szCs w:val="21"/>
              </w:rPr>
              <w:t xml:space="preserve"> </w:t>
            </w:r>
            <w:r w:rsidRPr="00401C70">
              <w:rPr>
                <w:rFonts w:ascii="Abadi" w:hAnsi="Abadi" w:cs="Calibri"/>
                <w:sz w:val="21"/>
                <w:szCs w:val="21"/>
              </w:rPr>
              <w:t>imparcialidad</w:t>
            </w:r>
            <w:r w:rsidRPr="00401C70">
              <w:rPr>
                <w:rFonts w:ascii="Abadi" w:hAnsi="Abadi" w:cs="Calibri"/>
                <w:spacing w:val="1"/>
                <w:sz w:val="21"/>
                <w:szCs w:val="21"/>
              </w:rPr>
              <w:t xml:space="preserve"> </w:t>
            </w:r>
            <w:r w:rsidRPr="00401C70">
              <w:rPr>
                <w:rFonts w:ascii="Abadi" w:hAnsi="Abadi" w:cs="Calibri"/>
                <w:sz w:val="21"/>
                <w:szCs w:val="21"/>
              </w:rPr>
              <w:t>y</w:t>
            </w:r>
            <w:r w:rsidRPr="00401C70">
              <w:rPr>
                <w:rFonts w:ascii="Abadi" w:hAnsi="Abadi" w:cs="Calibri"/>
                <w:spacing w:val="1"/>
                <w:sz w:val="21"/>
                <w:szCs w:val="21"/>
              </w:rPr>
              <w:t xml:space="preserve"> </w:t>
            </w:r>
            <w:r w:rsidRPr="00401C70">
              <w:rPr>
                <w:rFonts w:ascii="Abadi" w:hAnsi="Abadi" w:cs="Calibri"/>
                <w:sz w:val="21"/>
                <w:szCs w:val="21"/>
              </w:rPr>
              <w:t>honradez;</w:t>
            </w:r>
            <w:r w:rsidRPr="00401C70">
              <w:rPr>
                <w:rFonts w:ascii="Abadi" w:hAnsi="Abadi" w:cs="Calibri"/>
                <w:spacing w:val="1"/>
                <w:sz w:val="21"/>
                <w:szCs w:val="21"/>
              </w:rPr>
              <w:t xml:space="preserve"> </w:t>
            </w:r>
            <w:r w:rsidRPr="00401C70">
              <w:rPr>
                <w:rFonts w:ascii="Abadi" w:hAnsi="Abadi" w:cs="Calibri"/>
                <w:sz w:val="21"/>
                <w:szCs w:val="21"/>
              </w:rPr>
              <w:t>garantizándose la</w:t>
            </w:r>
            <w:r w:rsidRPr="00401C70">
              <w:rPr>
                <w:rFonts w:ascii="Abadi" w:hAnsi="Abadi" w:cs="Calibri"/>
                <w:spacing w:val="1"/>
                <w:sz w:val="21"/>
                <w:szCs w:val="21"/>
              </w:rPr>
              <w:t xml:space="preserve"> </w:t>
            </w:r>
            <w:r w:rsidRPr="00401C70">
              <w:rPr>
                <w:rFonts w:ascii="Abadi" w:hAnsi="Abadi" w:cs="Calibri"/>
                <w:sz w:val="21"/>
                <w:szCs w:val="21"/>
              </w:rPr>
              <w:t>participación</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47"/>
                <w:sz w:val="21"/>
                <w:szCs w:val="21"/>
              </w:rPr>
              <w:t xml:space="preserve"> </w:t>
            </w:r>
            <w:r w:rsidRPr="00401C70">
              <w:rPr>
                <w:rFonts w:ascii="Abadi" w:hAnsi="Abadi" w:cs="Calibri"/>
                <w:sz w:val="21"/>
                <w:szCs w:val="21"/>
              </w:rPr>
              <w:t>los</w:t>
            </w:r>
            <w:r w:rsidRPr="00401C70">
              <w:rPr>
                <w:rFonts w:ascii="Abadi" w:hAnsi="Abadi" w:cs="Calibri"/>
                <w:spacing w:val="20"/>
                <w:sz w:val="21"/>
                <w:szCs w:val="21"/>
              </w:rPr>
              <w:t xml:space="preserve"> </w:t>
            </w:r>
            <w:r w:rsidRPr="00401C70">
              <w:rPr>
                <w:rFonts w:ascii="Abadi" w:hAnsi="Abadi" w:cs="Calibri"/>
                <w:sz w:val="21"/>
                <w:szCs w:val="21"/>
              </w:rPr>
              <w:t>ciudadanos,</w:t>
            </w:r>
            <w:r w:rsidRPr="00401C70">
              <w:rPr>
                <w:rFonts w:ascii="Abadi" w:hAnsi="Abadi" w:cs="Calibri"/>
                <w:spacing w:val="20"/>
                <w:sz w:val="21"/>
                <w:szCs w:val="21"/>
              </w:rPr>
              <w:t xml:space="preserve"> </w:t>
            </w:r>
            <w:r w:rsidRPr="00401C70">
              <w:rPr>
                <w:rFonts w:ascii="Abadi" w:hAnsi="Abadi" w:cs="Calibri"/>
                <w:sz w:val="21"/>
                <w:szCs w:val="21"/>
              </w:rPr>
              <w:t>en</w:t>
            </w:r>
            <w:r w:rsidRPr="00401C70">
              <w:rPr>
                <w:rFonts w:ascii="Abadi" w:hAnsi="Abadi" w:cs="Calibri"/>
                <w:spacing w:val="23"/>
                <w:sz w:val="21"/>
                <w:szCs w:val="21"/>
              </w:rPr>
              <w:t xml:space="preserve"> </w:t>
            </w:r>
            <w:r w:rsidRPr="00401C70">
              <w:rPr>
                <w:rFonts w:ascii="Abadi" w:hAnsi="Abadi" w:cs="Calibri"/>
                <w:sz w:val="21"/>
                <w:szCs w:val="21"/>
              </w:rPr>
              <w:t>particular</w:t>
            </w:r>
            <w:r w:rsidRPr="00401C70">
              <w:rPr>
                <w:rFonts w:ascii="Abadi" w:hAnsi="Abadi" w:cs="Calibri"/>
                <w:spacing w:val="23"/>
                <w:sz w:val="21"/>
                <w:szCs w:val="21"/>
              </w:rPr>
              <w:t xml:space="preserve"> </w:t>
            </w:r>
            <w:r w:rsidRPr="00401C70">
              <w:rPr>
                <w:rFonts w:ascii="Abadi" w:hAnsi="Abadi" w:cs="Calibri"/>
                <w:sz w:val="21"/>
                <w:szCs w:val="21"/>
              </w:rPr>
              <w:t>y</w:t>
            </w:r>
            <w:r w:rsidRPr="00401C70">
              <w:rPr>
                <w:rFonts w:ascii="Abadi" w:hAnsi="Abadi" w:cs="Calibri"/>
                <w:spacing w:val="22"/>
                <w:sz w:val="21"/>
                <w:szCs w:val="21"/>
              </w:rPr>
              <w:t xml:space="preserve"> </w:t>
            </w:r>
            <w:r w:rsidRPr="00401C70">
              <w:rPr>
                <w:rFonts w:ascii="Abadi" w:hAnsi="Abadi" w:cs="Calibri"/>
                <w:sz w:val="21"/>
                <w:szCs w:val="21"/>
              </w:rPr>
              <w:t>de</w:t>
            </w:r>
            <w:r w:rsidRPr="00401C70">
              <w:rPr>
                <w:rFonts w:ascii="Abadi" w:hAnsi="Abadi" w:cs="Calibri"/>
                <w:spacing w:val="24"/>
                <w:sz w:val="21"/>
                <w:szCs w:val="21"/>
              </w:rPr>
              <w:t xml:space="preserve"> </w:t>
            </w:r>
            <w:r w:rsidRPr="00401C70">
              <w:rPr>
                <w:rFonts w:ascii="Abadi" w:hAnsi="Abadi" w:cs="Calibri"/>
                <w:sz w:val="21"/>
                <w:szCs w:val="21"/>
              </w:rPr>
              <w:t>la</w:t>
            </w:r>
            <w:r w:rsidRPr="00401C70">
              <w:rPr>
                <w:rFonts w:ascii="Abadi" w:hAnsi="Abadi" w:cs="Calibri"/>
                <w:spacing w:val="23"/>
                <w:sz w:val="21"/>
                <w:szCs w:val="21"/>
              </w:rPr>
              <w:t xml:space="preserve"> </w:t>
            </w:r>
            <w:r w:rsidRPr="00401C70">
              <w:rPr>
                <w:rFonts w:ascii="Abadi" w:hAnsi="Abadi" w:cs="Calibri"/>
                <w:sz w:val="21"/>
                <w:szCs w:val="21"/>
              </w:rPr>
              <w:t>sociedad</w:t>
            </w:r>
          </w:p>
          <w:p w14:paraId="6530685B" w14:textId="77777777" w:rsidR="00677B7E" w:rsidRPr="00401C70" w:rsidRDefault="00677B7E" w:rsidP="00FA2590">
            <w:pPr>
              <w:kinsoku w:val="0"/>
              <w:overflowPunct w:val="0"/>
              <w:autoSpaceDE w:val="0"/>
              <w:autoSpaceDN w:val="0"/>
              <w:adjustRightInd w:val="0"/>
              <w:spacing w:line="268" w:lineRule="exact"/>
              <w:ind w:left="107"/>
              <w:jc w:val="both"/>
              <w:rPr>
                <w:rFonts w:ascii="Abadi" w:hAnsi="Abadi" w:cs="Calibri"/>
                <w:sz w:val="21"/>
                <w:szCs w:val="21"/>
              </w:rPr>
            </w:pPr>
            <w:r w:rsidRPr="00401C70">
              <w:rPr>
                <w:rFonts w:ascii="Abadi" w:hAnsi="Abadi" w:cs="Calibri"/>
                <w:sz w:val="21"/>
                <w:szCs w:val="21"/>
              </w:rPr>
              <w:t>civil</w:t>
            </w:r>
            <w:r w:rsidRPr="00401C70">
              <w:rPr>
                <w:rFonts w:ascii="Abadi" w:hAnsi="Abadi" w:cs="Calibri"/>
                <w:spacing w:val="-3"/>
                <w:sz w:val="21"/>
                <w:szCs w:val="21"/>
              </w:rPr>
              <w:t xml:space="preserve"> </w:t>
            </w:r>
            <w:r w:rsidRPr="00401C70">
              <w:rPr>
                <w:rFonts w:ascii="Abadi" w:hAnsi="Abadi" w:cs="Calibri"/>
                <w:sz w:val="21"/>
                <w:szCs w:val="21"/>
              </w:rPr>
              <w:t>organizada.</w:t>
            </w:r>
          </w:p>
        </w:tc>
        <w:tc>
          <w:tcPr>
            <w:tcW w:w="2500" w:type="pct"/>
            <w:tcBorders>
              <w:top w:val="none" w:sz="6" w:space="0" w:color="auto"/>
              <w:left w:val="single" w:sz="4" w:space="0" w:color="000000"/>
              <w:bottom w:val="none" w:sz="6" w:space="0" w:color="auto"/>
              <w:right w:val="single" w:sz="4" w:space="0" w:color="000000"/>
            </w:tcBorders>
          </w:tcPr>
          <w:p w14:paraId="0D206A4A" w14:textId="77777777" w:rsidR="00677B7E" w:rsidRPr="00401C70" w:rsidRDefault="00677B7E" w:rsidP="00FA2590">
            <w:pPr>
              <w:kinsoku w:val="0"/>
              <w:overflowPunct w:val="0"/>
              <w:autoSpaceDE w:val="0"/>
              <w:autoSpaceDN w:val="0"/>
              <w:adjustRightInd w:val="0"/>
              <w:spacing w:line="249" w:lineRule="exact"/>
              <w:ind w:left="107"/>
              <w:jc w:val="both"/>
              <w:rPr>
                <w:rFonts w:ascii="Abadi" w:hAnsi="Abadi" w:cs="Calibri"/>
                <w:sz w:val="21"/>
                <w:szCs w:val="21"/>
              </w:rPr>
            </w:pPr>
            <w:r w:rsidRPr="00401C70">
              <w:rPr>
                <w:rFonts w:ascii="Abadi" w:hAnsi="Abadi" w:cs="Calibri"/>
                <w:sz w:val="21"/>
                <w:szCs w:val="21"/>
              </w:rPr>
              <w:lastRenderedPageBreak/>
              <w:t>La</w:t>
            </w:r>
            <w:r w:rsidRPr="00401C70">
              <w:rPr>
                <w:rFonts w:ascii="Abadi" w:hAnsi="Abadi" w:cs="Calibri"/>
                <w:spacing w:val="50"/>
                <w:sz w:val="21"/>
                <w:szCs w:val="21"/>
              </w:rPr>
              <w:t xml:space="preserve"> </w:t>
            </w:r>
            <w:r w:rsidRPr="00401C70">
              <w:rPr>
                <w:rFonts w:ascii="Abadi" w:hAnsi="Abadi" w:cs="Calibri"/>
                <w:sz w:val="21"/>
                <w:szCs w:val="21"/>
              </w:rPr>
              <w:t>integración</w:t>
            </w:r>
            <w:r w:rsidRPr="00401C70">
              <w:rPr>
                <w:rFonts w:ascii="Abadi" w:hAnsi="Abadi" w:cs="Calibri"/>
                <w:spacing w:val="47"/>
                <w:sz w:val="21"/>
                <w:szCs w:val="21"/>
              </w:rPr>
              <w:t xml:space="preserve"> </w:t>
            </w:r>
            <w:r w:rsidRPr="00401C70">
              <w:rPr>
                <w:rFonts w:ascii="Abadi" w:hAnsi="Abadi" w:cs="Calibri"/>
                <w:sz w:val="21"/>
                <w:szCs w:val="21"/>
              </w:rPr>
              <w:t>y</w:t>
            </w:r>
            <w:r w:rsidRPr="00401C70">
              <w:rPr>
                <w:rFonts w:ascii="Abadi" w:hAnsi="Abadi" w:cs="Calibri"/>
                <w:spacing w:val="49"/>
                <w:sz w:val="21"/>
                <w:szCs w:val="21"/>
              </w:rPr>
              <w:t xml:space="preserve"> </w:t>
            </w:r>
            <w:r w:rsidRPr="00401C70">
              <w:rPr>
                <w:rFonts w:ascii="Abadi" w:hAnsi="Abadi" w:cs="Calibri"/>
                <w:sz w:val="21"/>
                <w:szCs w:val="21"/>
              </w:rPr>
              <w:t>funcionamiento</w:t>
            </w:r>
            <w:r w:rsidRPr="00401C70">
              <w:rPr>
                <w:rFonts w:ascii="Abadi" w:hAnsi="Abadi" w:cs="Calibri"/>
                <w:spacing w:val="1"/>
                <w:sz w:val="21"/>
                <w:szCs w:val="21"/>
              </w:rPr>
              <w:t xml:space="preserve"> </w:t>
            </w:r>
            <w:r w:rsidRPr="00401C70">
              <w:rPr>
                <w:rFonts w:ascii="Abadi" w:hAnsi="Abadi" w:cs="Calibri"/>
                <w:sz w:val="21"/>
                <w:szCs w:val="21"/>
              </w:rPr>
              <w:t>del</w:t>
            </w:r>
          </w:p>
          <w:p w14:paraId="2F9A5CB2" w14:textId="77777777" w:rsidR="00677B7E" w:rsidRPr="00401C70" w:rsidRDefault="00677B7E" w:rsidP="00FA2590">
            <w:pPr>
              <w:kinsoku w:val="0"/>
              <w:overflowPunct w:val="0"/>
              <w:autoSpaceDE w:val="0"/>
              <w:autoSpaceDN w:val="0"/>
              <w:adjustRightInd w:val="0"/>
              <w:ind w:left="107" w:right="91"/>
              <w:jc w:val="both"/>
              <w:rPr>
                <w:rFonts w:ascii="Abadi" w:hAnsi="Abadi" w:cs="Calibri"/>
                <w:sz w:val="21"/>
                <w:szCs w:val="21"/>
              </w:rPr>
            </w:pPr>
            <w:r w:rsidRPr="00401C70">
              <w:rPr>
                <w:rFonts w:ascii="Abadi" w:hAnsi="Abadi" w:cs="Calibri"/>
                <w:sz w:val="21"/>
                <w:szCs w:val="21"/>
              </w:rPr>
              <w:t>mecanismo de consulta se establecerá en el</w:t>
            </w:r>
            <w:r w:rsidRPr="00401C70">
              <w:rPr>
                <w:rFonts w:ascii="Abadi" w:hAnsi="Abadi" w:cs="Calibri"/>
                <w:spacing w:val="1"/>
                <w:sz w:val="21"/>
                <w:szCs w:val="21"/>
              </w:rPr>
              <w:t xml:space="preserve"> </w:t>
            </w:r>
            <w:r w:rsidRPr="00401C70">
              <w:rPr>
                <w:rFonts w:ascii="Abadi" w:hAnsi="Abadi" w:cs="Calibri"/>
                <w:sz w:val="21"/>
                <w:szCs w:val="21"/>
              </w:rPr>
              <w:t>reglamento municipal respectivo, apegándose</w:t>
            </w:r>
            <w:r w:rsidRPr="00401C70">
              <w:rPr>
                <w:rFonts w:ascii="Abadi" w:hAnsi="Abadi" w:cs="Calibri"/>
                <w:spacing w:val="1"/>
                <w:sz w:val="21"/>
                <w:szCs w:val="21"/>
              </w:rPr>
              <w:t xml:space="preserve"> </w:t>
            </w:r>
            <w:r w:rsidRPr="00401C70">
              <w:rPr>
                <w:rFonts w:ascii="Abadi" w:hAnsi="Abadi" w:cs="Calibri"/>
                <w:sz w:val="21"/>
                <w:szCs w:val="21"/>
              </w:rPr>
              <w:t>a los principios de gobierno abierto, equidad,</w:t>
            </w:r>
            <w:r w:rsidRPr="00401C70">
              <w:rPr>
                <w:rFonts w:ascii="Abadi" w:hAnsi="Abadi" w:cs="Calibri"/>
                <w:spacing w:val="1"/>
                <w:sz w:val="21"/>
                <w:szCs w:val="21"/>
              </w:rPr>
              <w:t xml:space="preserve"> </w:t>
            </w:r>
            <w:r w:rsidRPr="00401C70">
              <w:rPr>
                <w:rFonts w:ascii="Abadi" w:hAnsi="Abadi" w:cs="Calibri"/>
                <w:sz w:val="21"/>
                <w:szCs w:val="21"/>
              </w:rPr>
              <w:lastRenderedPageBreak/>
              <w:t>oportunidad,</w:t>
            </w:r>
            <w:r w:rsidRPr="00401C70">
              <w:rPr>
                <w:rFonts w:ascii="Abadi" w:hAnsi="Abadi" w:cs="Calibri"/>
                <w:spacing w:val="1"/>
                <w:sz w:val="21"/>
                <w:szCs w:val="21"/>
              </w:rPr>
              <w:t xml:space="preserve"> </w:t>
            </w:r>
            <w:r w:rsidRPr="00401C70">
              <w:rPr>
                <w:rFonts w:ascii="Abadi" w:hAnsi="Abadi" w:cs="Calibri"/>
                <w:sz w:val="21"/>
                <w:szCs w:val="21"/>
              </w:rPr>
              <w:t>transparencia,</w:t>
            </w:r>
            <w:r w:rsidRPr="00401C70">
              <w:rPr>
                <w:rFonts w:ascii="Abadi" w:hAnsi="Abadi" w:cs="Calibri"/>
                <w:spacing w:val="1"/>
                <w:sz w:val="21"/>
                <w:szCs w:val="21"/>
              </w:rPr>
              <w:t xml:space="preserve"> </w:t>
            </w:r>
            <w:r w:rsidRPr="00401C70">
              <w:rPr>
                <w:rFonts w:ascii="Abadi" w:hAnsi="Abadi" w:cs="Calibri"/>
                <w:sz w:val="21"/>
                <w:szCs w:val="21"/>
              </w:rPr>
              <w:t>imparcialidad</w:t>
            </w:r>
            <w:r w:rsidRPr="00401C70">
              <w:rPr>
                <w:rFonts w:ascii="Abadi" w:hAnsi="Abadi" w:cs="Calibri"/>
                <w:spacing w:val="1"/>
                <w:sz w:val="21"/>
                <w:szCs w:val="21"/>
              </w:rPr>
              <w:t xml:space="preserve"> </w:t>
            </w:r>
            <w:r w:rsidRPr="00401C70">
              <w:rPr>
                <w:rFonts w:ascii="Abadi" w:hAnsi="Abadi" w:cs="Calibri"/>
                <w:sz w:val="21"/>
                <w:szCs w:val="21"/>
              </w:rPr>
              <w:t>y</w:t>
            </w:r>
            <w:r w:rsidRPr="00401C70">
              <w:rPr>
                <w:rFonts w:ascii="Abadi" w:hAnsi="Abadi" w:cs="Calibri"/>
                <w:spacing w:val="1"/>
                <w:sz w:val="21"/>
                <w:szCs w:val="21"/>
              </w:rPr>
              <w:t xml:space="preserve"> </w:t>
            </w:r>
            <w:r w:rsidRPr="00401C70">
              <w:rPr>
                <w:rFonts w:ascii="Abadi" w:hAnsi="Abadi" w:cs="Calibri"/>
                <w:sz w:val="21"/>
                <w:szCs w:val="21"/>
              </w:rPr>
              <w:t>honradez;</w:t>
            </w:r>
            <w:r w:rsidRPr="00401C70">
              <w:rPr>
                <w:rFonts w:ascii="Abadi" w:hAnsi="Abadi" w:cs="Calibri"/>
                <w:spacing w:val="-8"/>
                <w:sz w:val="21"/>
                <w:szCs w:val="21"/>
              </w:rPr>
              <w:t xml:space="preserve"> </w:t>
            </w:r>
            <w:r w:rsidRPr="00401C70">
              <w:rPr>
                <w:rFonts w:ascii="Abadi" w:hAnsi="Abadi" w:cs="Calibri"/>
                <w:sz w:val="21"/>
                <w:szCs w:val="21"/>
              </w:rPr>
              <w:t>garantizándose</w:t>
            </w:r>
            <w:r w:rsidRPr="00401C70">
              <w:rPr>
                <w:rFonts w:ascii="Abadi" w:hAnsi="Abadi" w:cs="Calibri"/>
                <w:spacing w:val="-6"/>
                <w:sz w:val="21"/>
                <w:szCs w:val="21"/>
              </w:rPr>
              <w:t xml:space="preserve"> </w:t>
            </w:r>
            <w:r w:rsidRPr="00401C70">
              <w:rPr>
                <w:rFonts w:ascii="Abadi" w:hAnsi="Abadi" w:cs="Calibri"/>
                <w:sz w:val="21"/>
                <w:szCs w:val="21"/>
              </w:rPr>
              <w:t>la</w:t>
            </w:r>
            <w:r w:rsidRPr="00401C70">
              <w:rPr>
                <w:rFonts w:ascii="Abadi" w:hAnsi="Abadi" w:cs="Calibri"/>
                <w:spacing w:val="-7"/>
                <w:sz w:val="21"/>
                <w:szCs w:val="21"/>
              </w:rPr>
              <w:t xml:space="preserve"> </w:t>
            </w:r>
            <w:r w:rsidRPr="00401C70">
              <w:rPr>
                <w:rFonts w:ascii="Abadi" w:hAnsi="Abadi" w:cs="Calibri"/>
                <w:sz w:val="21"/>
                <w:szCs w:val="21"/>
              </w:rPr>
              <w:t>participación</w:t>
            </w:r>
            <w:r w:rsidRPr="00401C70">
              <w:rPr>
                <w:rFonts w:ascii="Abadi" w:hAnsi="Abadi" w:cs="Calibri"/>
                <w:spacing w:val="-10"/>
                <w:sz w:val="21"/>
                <w:szCs w:val="21"/>
              </w:rPr>
              <w:t xml:space="preserve"> </w:t>
            </w:r>
            <w:r w:rsidRPr="00401C70">
              <w:rPr>
                <w:rFonts w:ascii="Abadi" w:hAnsi="Abadi" w:cs="Calibri"/>
                <w:sz w:val="21"/>
                <w:szCs w:val="21"/>
              </w:rPr>
              <w:t>de</w:t>
            </w:r>
            <w:r w:rsidRPr="00401C70">
              <w:rPr>
                <w:rFonts w:ascii="Abadi" w:hAnsi="Abadi" w:cs="Calibri"/>
                <w:spacing w:val="-7"/>
                <w:sz w:val="21"/>
                <w:szCs w:val="21"/>
              </w:rPr>
              <w:t xml:space="preserve"> </w:t>
            </w:r>
            <w:r w:rsidRPr="00401C70">
              <w:rPr>
                <w:rFonts w:ascii="Abadi" w:hAnsi="Abadi" w:cs="Calibri"/>
                <w:b/>
                <w:bCs/>
                <w:i/>
                <w:iCs/>
                <w:sz w:val="21"/>
                <w:szCs w:val="21"/>
              </w:rPr>
              <w:t>la</w:t>
            </w:r>
            <w:r w:rsidRPr="00401C70">
              <w:rPr>
                <w:rFonts w:ascii="Abadi" w:hAnsi="Abadi" w:cs="Calibri"/>
                <w:b/>
                <w:bCs/>
                <w:i/>
                <w:iCs/>
                <w:spacing w:val="-48"/>
                <w:sz w:val="21"/>
                <w:szCs w:val="21"/>
              </w:rPr>
              <w:t xml:space="preserve"> </w:t>
            </w:r>
            <w:r w:rsidRPr="00401C70">
              <w:rPr>
                <w:rFonts w:ascii="Abadi" w:hAnsi="Abadi" w:cs="Calibri"/>
                <w:b/>
                <w:bCs/>
                <w:i/>
                <w:iCs/>
                <w:sz w:val="21"/>
                <w:szCs w:val="21"/>
              </w:rPr>
              <w:t>ciudadanía</w:t>
            </w:r>
            <w:r w:rsidRPr="00401C70">
              <w:rPr>
                <w:rFonts w:ascii="Abadi" w:hAnsi="Abadi" w:cs="Calibri"/>
                <w:sz w:val="21"/>
                <w:szCs w:val="21"/>
              </w:rPr>
              <w:t>, en particular y de la sociedad civil</w:t>
            </w:r>
            <w:r w:rsidRPr="00401C70">
              <w:rPr>
                <w:rFonts w:ascii="Abadi" w:hAnsi="Abadi" w:cs="Calibri"/>
                <w:spacing w:val="1"/>
                <w:sz w:val="21"/>
                <w:szCs w:val="21"/>
              </w:rPr>
              <w:t xml:space="preserve"> </w:t>
            </w:r>
            <w:r w:rsidRPr="00401C70">
              <w:rPr>
                <w:rFonts w:ascii="Abadi" w:hAnsi="Abadi" w:cs="Calibri"/>
                <w:sz w:val="21"/>
                <w:szCs w:val="21"/>
              </w:rPr>
              <w:t>organizada.</w:t>
            </w:r>
          </w:p>
        </w:tc>
      </w:tr>
      <w:tr w:rsidR="00677B7E" w:rsidRPr="00401C70" w14:paraId="7B66DEE6" w14:textId="77777777" w:rsidTr="003343AD">
        <w:trPr>
          <w:trHeight w:val="3627"/>
        </w:trPr>
        <w:tc>
          <w:tcPr>
            <w:tcW w:w="2500" w:type="pct"/>
            <w:tcBorders>
              <w:top w:val="none" w:sz="6" w:space="0" w:color="auto"/>
              <w:left w:val="single" w:sz="4" w:space="0" w:color="000000"/>
              <w:bottom w:val="none" w:sz="6" w:space="0" w:color="auto"/>
              <w:right w:val="single" w:sz="4" w:space="0" w:color="000000"/>
            </w:tcBorders>
          </w:tcPr>
          <w:p w14:paraId="4CF49946" w14:textId="77777777" w:rsidR="00677B7E" w:rsidRPr="00401C70" w:rsidRDefault="00677B7E" w:rsidP="00FA2590">
            <w:pPr>
              <w:kinsoku w:val="0"/>
              <w:overflowPunct w:val="0"/>
              <w:autoSpaceDE w:val="0"/>
              <w:autoSpaceDN w:val="0"/>
              <w:adjustRightInd w:val="0"/>
              <w:spacing w:before="7"/>
              <w:jc w:val="both"/>
              <w:rPr>
                <w:rFonts w:ascii="Abadi" w:hAnsi="Abadi"/>
                <w:sz w:val="21"/>
                <w:szCs w:val="21"/>
              </w:rPr>
            </w:pPr>
          </w:p>
          <w:p w14:paraId="5EA8E599" w14:textId="77777777" w:rsidR="00677B7E" w:rsidRPr="00401C70" w:rsidRDefault="00677B7E" w:rsidP="00FA2590">
            <w:pPr>
              <w:kinsoku w:val="0"/>
              <w:overflowPunct w:val="0"/>
              <w:autoSpaceDE w:val="0"/>
              <w:autoSpaceDN w:val="0"/>
              <w:adjustRightInd w:val="0"/>
              <w:ind w:left="107" w:right="93"/>
              <w:jc w:val="both"/>
              <w:rPr>
                <w:rFonts w:ascii="Abadi" w:hAnsi="Abadi" w:cs="Calibri"/>
                <w:sz w:val="21"/>
                <w:szCs w:val="21"/>
              </w:rPr>
            </w:pPr>
            <w:r w:rsidRPr="00401C70">
              <w:rPr>
                <w:rFonts w:ascii="Abadi" w:hAnsi="Abadi" w:cs="Calibri"/>
                <w:sz w:val="21"/>
                <w:szCs w:val="21"/>
              </w:rPr>
              <w:t>De</w:t>
            </w:r>
            <w:r w:rsidRPr="00401C70">
              <w:rPr>
                <w:rFonts w:ascii="Abadi" w:hAnsi="Abadi" w:cs="Calibri"/>
                <w:spacing w:val="-3"/>
                <w:sz w:val="21"/>
                <w:szCs w:val="21"/>
              </w:rPr>
              <w:t xml:space="preserve"> </w:t>
            </w:r>
            <w:r w:rsidRPr="00401C70">
              <w:rPr>
                <w:rFonts w:ascii="Abadi" w:hAnsi="Abadi" w:cs="Calibri"/>
                <w:sz w:val="21"/>
                <w:szCs w:val="21"/>
              </w:rPr>
              <w:t>la</w:t>
            </w:r>
            <w:r w:rsidRPr="00401C70">
              <w:rPr>
                <w:rFonts w:ascii="Abadi" w:hAnsi="Abadi" w:cs="Calibri"/>
                <w:spacing w:val="-5"/>
                <w:sz w:val="21"/>
                <w:szCs w:val="21"/>
              </w:rPr>
              <w:t xml:space="preserve"> </w:t>
            </w:r>
            <w:r w:rsidRPr="00401C70">
              <w:rPr>
                <w:rFonts w:ascii="Abadi" w:hAnsi="Abadi" w:cs="Calibri"/>
                <w:sz w:val="21"/>
                <w:szCs w:val="21"/>
              </w:rPr>
              <w:t>propuesta</w:t>
            </w:r>
            <w:r w:rsidRPr="00401C70">
              <w:rPr>
                <w:rFonts w:ascii="Abadi" w:hAnsi="Abadi" w:cs="Calibri"/>
                <w:spacing w:val="-5"/>
                <w:sz w:val="21"/>
                <w:szCs w:val="21"/>
              </w:rPr>
              <w:t xml:space="preserve"> </w:t>
            </w:r>
            <w:r w:rsidRPr="00401C70">
              <w:rPr>
                <w:rFonts w:ascii="Abadi" w:hAnsi="Abadi" w:cs="Calibri"/>
                <w:sz w:val="21"/>
                <w:szCs w:val="21"/>
              </w:rPr>
              <w:t>en</w:t>
            </w:r>
            <w:r w:rsidRPr="00401C70">
              <w:rPr>
                <w:rFonts w:ascii="Abadi" w:hAnsi="Abadi" w:cs="Calibri"/>
                <w:spacing w:val="-2"/>
                <w:sz w:val="21"/>
                <w:szCs w:val="21"/>
              </w:rPr>
              <w:t xml:space="preserve"> </w:t>
            </w:r>
            <w:r w:rsidRPr="00401C70">
              <w:rPr>
                <w:rFonts w:ascii="Abadi" w:hAnsi="Abadi" w:cs="Calibri"/>
                <w:sz w:val="21"/>
                <w:szCs w:val="21"/>
              </w:rPr>
              <w:t>terna</w:t>
            </w:r>
            <w:r w:rsidRPr="00401C70">
              <w:rPr>
                <w:rFonts w:ascii="Abadi" w:hAnsi="Abadi" w:cs="Calibri"/>
                <w:spacing w:val="-5"/>
                <w:sz w:val="21"/>
                <w:szCs w:val="21"/>
              </w:rPr>
              <w:t xml:space="preserve"> </w:t>
            </w:r>
            <w:r w:rsidRPr="00401C70">
              <w:rPr>
                <w:rFonts w:ascii="Abadi" w:hAnsi="Abadi" w:cs="Calibri"/>
                <w:sz w:val="21"/>
                <w:szCs w:val="21"/>
              </w:rPr>
              <w:t>de</w:t>
            </w:r>
            <w:r w:rsidRPr="00401C70">
              <w:rPr>
                <w:rFonts w:ascii="Abadi" w:hAnsi="Abadi" w:cs="Calibri"/>
                <w:spacing w:val="-3"/>
                <w:sz w:val="21"/>
                <w:szCs w:val="21"/>
              </w:rPr>
              <w:t xml:space="preserve"> </w:t>
            </w:r>
            <w:r w:rsidRPr="00401C70">
              <w:rPr>
                <w:rFonts w:ascii="Abadi" w:hAnsi="Abadi" w:cs="Calibri"/>
                <w:sz w:val="21"/>
                <w:szCs w:val="21"/>
              </w:rPr>
              <w:t>aspirantes</w:t>
            </w:r>
            <w:r w:rsidRPr="00401C70">
              <w:rPr>
                <w:rFonts w:ascii="Abadi" w:hAnsi="Abadi" w:cs="Calibri"/>
                <w:spacing w:val="-2"/>
                <w:sz w:val="21"/>
                <w:szCs w:val="21"/>
              </w:rPr>
              <w:t xml:space="preserve"> </w:t>
            </w:r>
            <w:r w:rsidRPr="00401C70">
              <w:rPr>
                <w:rFonts w:ascii="Abadi" w:hAnsi="Abadi" w:cs="Calibri"/>
                <w:sz w:val="21"/>
                <w:szCs w:val="21"/>
              </w:rPr>
              <w:t>al</w:t>
            </w:r>
            <w:r w:rsidRPr="00401C70">
              <w:rPr>
                <w:rFonts w:ascii="Abadi" w:hAnsi="Abadi" w:cs="Calibri"/>
                <w:spacing w:val="-5"/>
                <w:sz w:val="21"/>
                <w:szCs w:val="21"/>
              </w:rPr>
              <w:t xml:space="preserve"> </w:t>
            </w:r>
            <w:r w:rsidRPr="00401C70">
              <w:rPr>
                <w:rFonts w:ascii="Abadi" w:hAnsi="Abadi" w:cs="Calibri"/>
                <w:sz w:val="21"/>
                <w:szCs w:val="21"/>
              </w:rPr>
              <w:t>cargo</w:t>
            </w:r>
            <w:r w:rsidRPr="00401C70">
              <w:rPr>
                <w:rFonts w:ascii="Abadi" w:hAnsi="Abadi" w:cs="Calibri"/>
                <w:spacing w:val="-48"/>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Contralor</w:t>
            </w:r>
            <w:r w:rsidRPr="00401C70">
              <w:rPr>
                <w:rFonts w:ascii="Abadi" w:hAnsi="Abadi" w:cs="Calibri"/>
                <w:spacing w:val="1"/>
                <w:sz w:val="21"/>
                <w:szCs w:val="21"/>
              </w:rPr>
              <w:t xml:space="preserve"> </w:t>
            </w:r>
            <w:r w:rsidRPr="00401C70">
              <w:rPr>
                <w:rFonts w:ascii="Abadi" w:hAnsi="Abadi" w:cs="Calibri"/>
                <w:sz w:val="21"/>
                <w:szCs w:val="21"/>
              </w:rPr>
              <w:t>Municipal,</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Ayuntamiento</w:t>
            </w:r>
            <w:r w:rsidRPr="00401C70">
              <w:rPr>
                <w:rFonts w:ascii="Abadi" w:hAnsi="Abadi" w:cs="Calibri"/>
                <w:spacing w:val="1"/>
                <w:sz w:val="21"/>
                <w:szCs w:val="21"/>
              </w:rPr>
              <w:t xml:space="preserve"> </w:t>
            </w:r>
            <w:r w:rsidRPr="00401C70">
              <w:rPr>
                <w:rFonts w:ascii="Abadi" w:hAnsi="Abadi" w:cs="Calibri"/>
                <w:sz w:val="21"/>
                <w:szCs w:val="21"/>
              </w:rPr>
              <w:t>nombrará</w:t>
            </w:r>
            <w:r w:rsidRPr="00401C70">
              <w:rPr>
                <w:rFonts w:ascii="Abadi" w:hAnsi="Abadi" w:cs="Calibri"/>
                <w:spacing w:val="1"/>
                <w:sz w:val="21"/>
                <w:szCs w:val="21"/>
              </w:rPr>
              <w:t xml:space="preserve"> </w:t>
            </w:r>
            <w:r w:rsidRPr="00401C70">
              <w:rPr>
                <w:rFonts w:ascii="Abadi" w:hAnsi="Abadi" w:cs="Calibri"/>
                <w:sz w:val="21"/>
                <w:szCs w:val="21"/>
              </w:rPr>
              <w:t>como</w:t>
            </w:r>
            <w:r w:rsidRPr="00401C70">
              <w:rPr>
                <w:rFonts w:ascii="Abadi" w:hAnsi="Abadi" w:cs="Calibri"/>
                <w:spacing w:val="1"/>
                <w:sz w:val="21"/>
                <w:szCs w:val="21"/>
              </w:rPr>
              <w:t xml:space="preserve"> </w:t>
            </w:r>
            <w:r w:rsidRPr="00401C70">
              <w:rPr>
                <w:rFonts w:ascii="Abadi" w:hAnsi="Abadi" w:cs="Calibri"/>
                <w:sz w:val="21"/>
                <w:szCs w:val="21"/>
              </w:rPr>
              <w:t>Contralor</w:t>
            </w:r>
            <w:r w:rsidRPr="00401C70">
              <w:rPr>
                <w:rFonts w:ascii="Abadi" w:hAnsi="Abadi" w:cs="Calibri"/>
                <w:spacing w:val="1"/>
                <w:sz w:val="21"/>
                <w:szCs w:val="21"/>
              </w:rPr>
              <w:t xml:space="preserve"> </w:t>
            </w:r>
            <w:r w:rsidRPr="00401C70">
              <w:rPr>
                <w:rFonts w:ascii="Abadi" w:hAnsi="Abadi" w:cs="Calibri"/>
                <w:sz w:val="21"/>
                <w:szCs w:val="21"/>
              </w:rPr>
              <w:t>Municipal,</w:t>
            </w:r>
            <w:r w:rsidRPr="00401C70">
              <w:rPr>
                <w:rFonts w:ascii="Abadi" w:hAnsi="Abadi" w:cs="Calibri"/>
                <w:spacing w:val="1"/>
                <w:sz w:val="21"/>
                <w:szCs w:val="21"/>
              </w:rPr>
              <w:t xml:space="preserve"> </w:t>
            </w:r>
            <w:r w:rsidRPr="00401C70">
              <w:rPr>
                <w:rFonts w:ascii="Abadi" w:hAnsi="Abadi" w:cs="Calibri"/>
                <w:sz w:val="21"/>
                <w:szCs w:val="21"/>
              </w:rPr>
              <w:t>al</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47"/>
                <w:sz w:val="21"/>
                <w:szCs w:val="21"/>
              </w:rPr>
              <w:t xml:space="preserve"> </w:t>
            </w:r>
            <w:r w:rsidRPr="00401C70">
              <w:rPr>
                <w:rFonts w:ascii="Abadi" w:hAnsi="Abadi" w:cs="Calibri"/>
                <w:sz w:val="21"/>
                <w:szCs w:val="21"/>
              </w:rPr>
              <w:t>obtenga mayoría calificada. Si ninguno de los</w:t>
            </w:r>
            <w:r w:rsidRPr="00401C70">
              <w:rPr>
                <w:rFonts w:ascii="Abadi" w:hAnsi="Abadi" w:cs="Calibri"/>
                <w:spacing w:val="1"/>
                <w:sz w:val="21"/>
                <w:szCs w:val="21"/>
              </w:rPr>
              <w:t xml:space="preserve"> </w:t>
            </w:r>
            <w:r w:rsidRPr="00401C70">
              <w:rPr>
                <w:rFonts w:ascii="Abadi" w:hAnsi="Abadi" w:cs="Calibri"/>
                <w:sz w:val="21"/>
                <w:szCs w:val="21"/>
              </w:rPr>
              <w:t>integrantes</w:t>
            </w:r>
            <w:r w:rsidRPr="00401C70">
              <w:rPr>
                <w:rFonts w:ascii="Abadi" w:hAnsi="Abadi" w:cs="Calibri"/>
                <w:spacing w:val="1"/>
                <w:sz w:val="21"/>
                <w:szCs w:val="21"/>
              </w:rPr>
              <w:t xml:space="preserve"> </w:t>
            </w:r>
            <w:r w:rsidRPr="00401C70">
              <w:rPr>
                <w:rFonts w:ascii="Abadi" w:hAnsi="Abadi" w:cs="Calibri"/>
                <w:sz w:val="21"/>
                <w:szCs w:val="21"/>
              </w:rPr>
              <w:t>obtiene</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mayoría</w:t>
            </w:r>
            <w:r w:rsidRPr="00401C70">
              <w:rPr>
                <w:rFonts w:ascii="Abadi" w:hAnsi="Abadi" w:cs="Calibri"/>
                <w:spacing w:val="1"/>
                <w:sz w:val="21"/>
                <w:szCs w:val="21"/>
              </w:rPr>
              <w:t xml:space="preserve"> </w:t>
            </w:r>
            <w:r w:rsidRPr="00401C70">
              <w:rPr>
                <w:rFonts w:ascii="Abadi" w:hAnsi="Abadi" w:cs="Calibri"/>
                <w:sz w:val="21"/>
                <w:szCs w:val="21"/>
              </w:rPr>
              <w:t>calificada,</w:t>
            </w:r>
            <w:r w:rsidRPr="00401C70">
              <w:rPr>
                <w:rFonts w:ascii="Abadi" w:hAnsi="Abadi" w:cs="Calibri"/>
                <w:spacing w:val="1"/>
                <w:sz w:val="21"/>
                <w:szCs w:val="21"/>
              </w:rPr>
              <w:t xml:space="preserve"> </w:t>
            </w:r>
            <w:r w:rsidRPr="00401C70">
              <w:rPr>
                <w:rFonts w:ascii="Abadi" w:hAnsi="Abadi" w:cs="Calibri"/>
                <w:sz w:val="21"/>
                <w:szCs w:val="21"/>
              </w:rPr>
              <w:t>se</w:t>
            </w:r>
            <w:r w:rsidRPr="00401C70">
              <w:rPr>
                <w:rFonts w:ascii="Abadi" w:hAnsi="Abadi" w:cs="Calibri"/>
                <w:spacing w:val="-47"/>
                <w:sz w:val="21"/>
                <w:szCs w:val="21"/>
              </w:rPr>
              <w:t xml:space="preserve"> </w:t>
            </w:r>
            <w:r w:rsidRPr="00401C70">
              <w:rPr>
                <w:rFonts w:ascii="Abadi" w:hAnsi="Abadi" w:cs="Calibri"/>
                <w:sz w:val="21"/>
                <w:szCs w:val="21"/>
              </w:rPr>
              <w:t>repetirá la votación entre los dos integrantes</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terna</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hayan</w:t>
            </w:r>
            <w:r w:rsidRPr="00401C70">
              <w:rPr>
                <w:rFonts w:ascii="Abadi" w:hAnsi="Abadi" w:cs="Calibri"/>
                <w:spacing w:val="1"/>
                <w:sz w:val="21"/>
                <w:szCs w:val="21"/>
              </w:rPr>
              <w:t xml:space="preserve"> </w:t>
            </w:r>
            <w:r w:rsidRPr="00401C70">
              <w:rPr>
                <w:rFonts w:ascii="Abadi" w:hAnsi="Abadi" w:cs="Calibri"/>
                <w:sz w:val="21"/>
                <w:szCs w:val="21"/>
              </w:rPr>
              <w:t>obtenido</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mayor</w:t>
            </w:r>
            <w:r w:rsidRPr="00401C70">
              <w:rPr>
                <w:rFonts w:ascii="Abadi" w:hAnsi="Abadi" w:cs="Calibri"/>
                <w:spacing w:val="1"/>
                <w:sz w:val="21"/>
                <w:szCs w:val="21"/>
              </w:rPr>
              <w:t xml:space="preserve"> </w:t>
            </w:r>
            <w:r w:rsidRPr="00401C70">
              <w:rPr>
                <w:rFonts w:ascii="Abadi" w:hAnsi="Abadi" w:cs="Calibri"/>
                <w:sz w:val="21"/>
                <w:szCs w:val="21"/>
              </w:rPr>
              <w:t>número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votos</w:t>
            </w:r>
            <w:r w:rsidRPr="00401C70">
              <w:rPr>
                <w:rFonts w:ascii="Abadi" w:hAnsi="Abadi" w:cs="Calibri"/>
                <w:spacing w:val="1"/>
                <w:sz w:val="21"/>
                <w:szCs w:val="21"/>
              </w:rPr>
              <w:t xml:space="preserve"> </w:t>
            </w:r>
            <w:r w:rsidRPr="00401C70">
              <w:rPr>
                <w:rFonts w:ascii="Abadi" w:hAnsi="Abadi" w:cs="Calibri"/>
                <w:sz w:val="21"/>
                <w:szCs w:val="21"/>
              </w:rPr>
              <w:t>y</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entre</w:t>
            </w:r>
            <w:r w:rsidRPr="00401C70">
              <w:rPr>
                <w:rFonts w:ascii="Abadi" w:hAnsi="Abadi" w:cs="Calibri"/>
                <w:spacing w:val="1"/>
                <w:sz w:val="21"/>
                <w:szCs w:val="21"/>
              </w:rPr>
              <w:t xml:space="preserve"> </w:t>
            </w:r>
            <w:r w:rsidRPr="00401C70">
              <w:rPr>
                <w:rFonts w:ascii="Abadi" w:hAnsi="Abadi" w:cs="Calibri"/>
                <w:sz w:val="21"/>
                <w:szCs w:val="21"/>
              </w:rPr>
              <w:t>ellos,</w:t>
            </w:r>
            <w:r w:rsidRPr="00401C70">
              <w:rPr>
                <w:rFonts w:ascii="Abadi" w:hAnsi="Abadi" w:cs="Calibri"/>
                <w:spacing w:val="1"/>
                <w:sz w:val="21"/>
                <w:szCs w:val="21"/>
              </w:rPr>
              <w:t xml:space="preserve"> </w:t>
            </w:r>
            <w:r w:rsidRPr="00401C70">
              <w:rPr>
                <w:rFonts w:ascii="Abadi" w:hAnsi="Abadi" w:cs="Calibri"/>
                <w:sz w:val="21"/>
                <w:szCs w:val="21"/>
              </w:rPr>
              <w:t>será</w:t>
            </w:r>
            <w:r w:rsidRPr="00401C70">
              <w:rPr>
                <w:rFonts w:ascii="Abadi" w:hAnsi="Abadi" w:cs="Calibri"/>
                <w:spacing w:val="1"/>
                <w:sz w:val="21"/>
                <w:szCs w:val="21"/>
              </w:rPr>
              <w:t xml:space="preserve"> </w:t>
            </w:r>
            <w:r w:rsidRPr="00401C70">
              <w:rPr>
                <w:rFonts w:ascii="Abadi" w:hAnsi="Abadi" w:cs="Calibri"/>
                <w:sz w:val="21"/>
                <w:szCs w:val="21"/>
              </w:rPr>
              <w:t>nombrado</w:t>
            </w:r>
            <w:r w:rsidRPr="00401C70">
              <w:rPr>
                <w:rFonts w:ascii="Abadi" w:hAnsi="Abadi" w:cs="Calibri"/>
                <w:spacing w:val="1"/>
                <w:sz w:val="21"/>
                <w:szCs w:val="21"/>
              </w:rPr>
              <w:t xml:space="preserve"> </w:t>
            </w:r>
            <w:r w:rsidRPr="00401C70">
              <w:rPr>
                <w:rFonts w:ascii="Abadi" w:hAnsi="Abadi" w:cs="Calibri"/>
                <w:sz w:val="21"/>
                <w:szCs w:val="21"/>
              </w:rPr>
              <w:t>como</w:t>
            </w:r>
            <w:r w:rsidRPr="00401C70">
              <w:rPr>
                <w:rFonts w:ascii="Abadi" w:hAnsi="Abadi" w:cs="Calibri"/>
                <w:spacing w:val="1"/>
                <w:sz w:val="21"/>
                <w:szCs w:val="21"/>
              </w:rPr>
              <w:t xml:space="preserve"> </w:t>
            </w:r>
            <w:r w:rsidRPr="00401C70">
              <w:rPr>
                <w:rFonts w:ascii="Abadi" w:hAnsi="Abadi" w:cs="Calibri"/>
                <w:sz w:val="21"/>
                <w:szCs w:val="21"/>
              </w:rPr>
              <w:t>contralor</w:t>
            </w:r>
            <w:r w:rsidRPr="00401C70">
              <w:rPr>
                <w:rFonts w:ascii="Abadi" w:hAnsi="Abadi" w:cs="Calibri"/>
                <w:spacing w:val="1"/>
                <w:sz w:val="21"/>
                <w:szCs w:val="21"/>
              </w:rPr>
              <w:t xml:space="preserve"> </w:t>
            </w:r>
            <w:r w:rsidRPr="00401C70">
              <w:rPr>
                <w:rFonts w:ascii="Abadi" w:hAnsi="Abadi" w:cs="Calibri"/>
                <w:sz w:val="21"/>
                <w:szCs w:val="21"/>
              </w:rPr>
              <w:t>municipal</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obtenga</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mayoría.</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información</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se</w:t>
            </w:r>
            <w:r w:rsidRPr="00401C70">
              <w:rPr>
                <w:rFonts w:ascii="Abadi" w:hAnsi="Abadi" w:cs="Calibri"/>
                <w:spacing w:val="1"/>
                <w:sz w:val="21"/>
                <w:szCs w:val="21"/>
              </w:rPr>
              <w:t xml:space="preserve"> </w:t>
            </w:r>
            <w:r w:rsidRPr="00401C70">
              <w:rPr>
                <w:rFonts w:ascii="Abadi" w:hAnsi="Abadi" w:cs="Calibri"/>
                <w:spacing w:val="-1"/>
                <w:sz w:val="21"/>
                <w:szCs w:val="21"/>
              </w:rPr>
              <w:t>genere</w:t>
            </w:r>
            <w:r w:rsidRPr="00401C70">
              <w:rPr>
                <w:rFonts w:ascii="Abadi" w:hAnsi="Abadi" w:cs="Calibri"/>
                <w:spacing w:val="-11"/>
                <w:sz w:val="21"/>
                <w:szCs w:val="21"/>
              </w:rPr>
              <w:t xml:space="preserve"> </w:t>
            </w:r>
            <w:r w:rsidRPr="00401C70">
              <w:rPr>
                <w:rFonts w:ascii="Abadi" w:hAnsi="Abadi" w:cs="Calibri"/>
                <w:sz w:val="21"/>
                <w:szCs w:val="21"/>
              </w:rPr>
              <w:t>con</w:t>
            </w:r>
            <w:r w:rsidRPr="00401C70">
              <w:rPr>
                <w:rFonts w:ascii="Abadi" w:hAnsi="Abadi" w:cs="Calibri"/>
                <w:spacing w:val="-13"/>
                <w:sz w:val="21"/>
                <w:szCs w:val="21"/>
              </w:rPr>
              <w:t xml:space="preserve"> </w:t>
            </w:r>
            <w:r w:rsidRPr="00401C70">
              <w:rPr>
                <w:rFonts w:ascii="Abadi" w:hAnsi="Abadi" w:cs="Calibri"/>
                <w:sz w:val="21"/>
                <w:szCs w:val="21"/>
              </w:rPr>
              <w:t>motivo</w:t>
            </w:r>
            <w:r w:rsidRPr="00401C70">
              <w:rPr>
                <w:rFonts w:ascii="Abadi" w:hAnsi="Abadi" w:cs="Calibri"/>
                <w:spacing w:val="-10"/>
                <w:sz w:val="21"/>
                <w:szCs w:val="21"/>
              </w:rPr>
              <w:t xml:space="preserve"> </w:t>
            </w:r>
            <w:r w:rsidRPr="00401C70">
              <w:rPr>
                <w:rFonts w:ascii="Abadi" w:hAnsi="Abadi" w:cs="Calibri"/>
                <w:sz w:val="21"/>
                <w:szCs w:val="21"/>
              </w:rPr>
              <w:t>de</w:t>
            </w:r>
            <w:r w:rsidRPr="00401C70">
              <w:rPr>
                <w:rFonts w:ascii="Abadi" w:hAnsi="Abadi" w:cs="Calibri"/>
                <w:spacing w:val="-10"/>
                <w:sz w:val="21"/>
                <w:szCs w:val="21"/>
              </w:rPr>
              <w:t xml:space="preserve"> </w:t>
            </w:r>
            <w:r w:rsidRPr="00401C70">
              <w:rPr>
                <w:rFonts w:ascii="Abadi" w:hAnsi="Abadi" w:cs="Calibri"/>
                <w:sz w:val="21"/>
                <w:szCs w:val="21"/>
              </w:rPr>
              <w:t>la</w:t>
            </w:r>
            <w:r w:rsidRPr="00401C70">
              <w:rPr>
                <w:rFonts w:ascii="Abadi" w:hAnsi="Abadi" w:cs="Calibri"/>
                <w:spacing w:val="-12"/>
                <w:sz w:val="21"/>
                <w:szCs w:val="21"/>
              </w:rPr>
              <w:t xml:space="preserve"> </w:t>
            </w:r>
            <w:r w:rsidRPr="00401C70">
              <w:rPr>
                <w:rFonts w:ascii="Abadi" w:hAnsi="Abadi" w:cs="Calibri"/>
                <w:sz w:val="21"/>
                <w:szCs w:val="21"/>
              </w:rPr>
              <w:t>integración</w:t>
            </w:r>
            <w:r w:rsidRPr="00401C70">
              <w:rPr>
                <w:rFonts w:ascii="Abadi" w:hAnsi="Abadi" w:cs="Calibri"/>
                <w:spacing w:val="-13"/>
                <w:sz w:val="21"/>
                <w:szCs w:val="21"/>
              </w:rPr>
              <w:t xml:space="preserve"> </w:t>
            </w:r>
            <w:r w:rsidRPr="00401C70">
              <w:rPr>
                <w:rFonts w:ascii="Abadi" w:hAnsi="Abadi" w:cs="Calibri"/>
                <w:sz w:val="21"/>
                <w:szCs w:val="21"/>
              </w:rPr>
              <w:t>de</w:t>
            </w:r>
            <w:r w:rsidRPr="00401C70">
              <w:rPr>
                <w:rFonts w:ascii="Abadi" w:hAnsi="Abadi" w:cs="Calibri"/>
                <w:spacing w:val="-10"/>
                <w:sz w:val="21"/>
                <w:szCs w:val="21"/>
              </w:rPr>
              <w:t xml:space="preserve"> </w:t>
            </w:r>
            <w:r w:rsidRPr="00401C70">
              <w:rPr>
                <w:rFonts w:ascii="Abadi" w:hAnsi="Abadi" w:cs="Calibri"/>
                <w:sz w:val="21"/>
                <w:szCs w:val="21"/>
              </w:rPr>
              <w:t>la</w:t>
            </w:r>
            <w:r w:rsidRPr="00401C70">
              <w:rPr>
                <w:rFonts w:ascii="Abadi" w:hAnsi="Abadi" w:cs="Calibri"/>
                <w:spacing w:val="-12"/>
                <w:sz w:val="21"/>
                <w:szCs w:val="21"/>
              </w:rPr>
              <w:t xml:space="preserve"> </w:t>
            </w:r>
            <w:r w:rsidRPr="00401C70">
              <w:rPr>
                <w:rFonts w:ascii="Abadi" w:hAnsi="Abadi" w:cs="Calibri"/>
                <w:sz w:val="21"/>
                <w:szCs w:val="21"/>
              </w:rPr>
              <w:t>terna,</w:t>
            </w:r>
            <w:r w:rsidRPr="00401C70">
              <w:rPr>
                <w:rFonts w:ascii="Abadi" w:hAnsi="Abadi" w:cs="Calibri"/>
                <w:spacing w:val="-47"/>
                <w:sz w:val="21"/>
                <w:szCs w:val="21"/>
              </w:rPr>
              <w:t xml:space="preserve"> </w:t>
            </w:r>
            <w:r w:rsidRPr="00401C70">
              <w:rPr>
                <w:rFonts w:ascii="Abadi" w:hAnsi="Abadi" w:cs="Calibri"/>
                <w:sz w:val="21"/>
                <w:szCs w:val="21"/>
              </w:rPr>
              <w:t>es información</w:t>
            </w:r>
            <w:r w:rsidRPr="00401C70">
              <w:rPr>
                <w:rFonts w:ascii="Abadi" w:hAnsi="Abadi" w:cs="Calibri"/>
                <w:spacing w:val="-1"/>
                <w:sz w:val="21"/>
                <w:szCs w:val="21"/>
              </w:rPr>
              <w:t xml:space="preserve"> </w:t>
            </w:r>
            <w:r w:rsidRPr="00401C70">
              <w:rPr>
                <w:rFonts w:ascii="Abadi" w:hAnsi="Abadi" w:cs="Calibri"/>
                <w:sz w:val="21"/>
                <w:szCs w:val="21"/>
              </w:rPr>
              <w:t>pública.</w:t>
            </w:r>
          </w:p>
        </w:tc>
        <w:tc>
          <w:tcPr>
            <w:tcW w:w="2500" w:type="pct"/>
            <w:tcBorders>
              <w:top w:val="none" w:sz="6" w:space="0" w:color="auto"/>
              <w:left w:val="single" w:sz="4" w:space="0" w:color="000000"/>
              <w:bottom w:val="none" w:sz="6" w:space="0" w:color="auto"/>
              <w:right w:val="single" w:sz="4" w:space="0" w:color="000000"/>
            </w:tcBorders>
          </w:tcPr>
          <w:p w14:paraId="107D1040" w14:textId="77777777" w:rsidR="00677B7E" w:rsidRPr="00401C70" w:rsidRDefault="00677B7E" w:rsidP="00FA2590">
            <w:pPr>
              <w:kinsoku w:val="0"/>
              <w:overflowPunct w:val="0"/>
              <w:autoSpaceDE w:val="0"/>
              <w:autoSpaceDN w:val="0"/>
              <w:adjustRightInd w:val="0"/>
              <w:spacing w:line="249" w:lineRule="exact"/>
              <w:ind w:left="107"/>
              <w:jc w:val="both"/>
              <w:rPr>
                <w:rFonts w:ascii="Abadi" w:hAnsi="Abadi" w:cs="Calibri"/>
                <w:sz w:val="21"/>
                <w:szCs w:val="21"/>
              </w:rPr>
            </w:pPr>
            <w:r w:rsidRPr="00401C70">
              <w:rPr>
                <w:rFonts w:ascii="Abadi" w:hAnsi="Abadi" w:cs="Calibri"/>
                <w:sz w:val="21"/>
                <w:szCs w:val="21"/>
              </w:rPr>
              <w:t>De</w:t>
            </w:r>
            <w:r w:rsidRPr="00401C70">
              <w:rPr>
                <w:rFonts w:ascii="Abadi" w:hAnsi="Abadi" w:cs="Calibri"/>
                <w:spacing w:val="-5"/>
                <w:sz w:val="21"/>
                <w:szCs w:val="21"/>
              </w:rPr>
              <w:t xml:space="preserve"> </w:t>
            </w:r>
            <w:r w:rsidRPr="00401C70">
              <w:rPr>
                <w:rFonts w:ascii="Abadi" w:hAnsi="Abadi" w:cs="Calibri"/>
                <w:sz w:val="21"/>
                <w:szCs w:val="21"/>
              </w:rPr>
              <w:t>la</w:t>
            </w:r>
            <w:r w:rsidRPr="00401C70">
              <w:rPr>
                <w:rFonts w:ascii="Abadi" w:hAnsi="Abadi" w:cs="Calibri"/>
                <w:spacing w:val="-4"/>
                <w:sz w:val="21"/>
                <w:szCs w:val="21"/>
              </w:rPr>
              <w:t xml:space="preserve"> </w:t>
            </w:r>
            <w:r w:rsidRPr="00401C70">
              <w:rPr>
                <w:rFonts w:ascii="Abadi" w:hAnsi="Abadi" w:cs="Calibri"/>
                <w:sz w:val="21"/>
                <w:szCs w:val="21"/>
              </w:rPr>
              <w:t>propuesta</w:t>
            </w:r>
            <w:r w:rsidRPr="00401C70">
              <w:rPr>
                <w:rFonts w:ascii="Abadi" w:hAnsi="Abadi" w:cs="Calibri"/>
                <w:spacing w:val="-5"/>
                <w:sz w:val="21"/>
                <w:szCs w:val="21"/>
              </w:rPr>
              <w:t xml:space="preserve"> </w:t>
            </w:r>
            <w:r w:rsidRPr="00401C70">
              <w:rPr>
                <w:rFonts w:ascii="Abadi" w:hAnsi="Abadi" w:cs="Calibri"/>
                <w:sz w:val="21"/>
                <w:szCs w:val="21"/>
              </w:rPr>
              <w:t>en</w:t>
            </w:r>
            <w:r w:rsidRPr="00401C70">
              <w:rPr>
                <w:rFonts w:ascii="Abadi" w:hAnsi="Abadi" w:cs="Calibri"/>
                <w:spacing w:val="-6"/>
                <w:sz w:val="21"/>
                <w:szCs w:val="21"/>
              </w:rPr>
              <w:t xml:space="preserve"> </w:t>
            </w:r>
            <w:r w:rsidRPr="00401C70">
              <w:rPr>
                <w:rFonts w:ascii="Abadi" w:hAnsi="Abadi" w:cs="Calibri"/>
                <w:sz w:val="21"/>
                <w:szCs w:val="21"/>
              </w:rPr>
              <w:t>terna</w:t>
            </w:r>
            <w:r w:rsidRPr="00401C70">
              <w:rPr>
                <w:rFonts w:ascii="Abadi" w:hAnsi="Abadi" w:cs="Calibri"/>
                <w:spacing w:val="-5"/>
                <w:sz w:val="21"/>
                <w:szCs w:val="21"/>
              </w:rPr>
              <w:t xml:space="preserve"> </w:t>
            </w:r>
            <w:r w:rsidRPr="00401C70">
              <w:rPr>
                <w:rFonts w:ascii="Abadi" w:hAnsi="Abadi" w:cs="Calibri"/>
                <w:sz w:val="21"/>
                <w:szCs w:val="21"/>
              </w:rPr>
              <w:t>de</w:t>
            </w:r>
            <w:r w:rsidRPr="00401C70">
              <w:rPr>
                <w:rFonts w:ascii="Abadi" w:hAnsi="Abadi" w:cs="Calibri"/>
                <w:spacing w:val="-3"/>
                <w:sz w:val="21"/>
                <w:szCs w:val="21"/>
              </w:rPr>
              <w:t xml:space="preserve"> </w:t>
            </w:r>
            <w:r w:rsidRPr="00401C70">
              <w:rPr>
                <w:rFonts w:ascii="Abadi" w:hAnsi="Abadi" w:cs="Calibri"/>
                <w:sz w:val="21"/>
                <w:szCs w:val="21"/>
              </w:rPr>
              <w:t>aspirantes</w:t>
            </w:r>
            <w:r w:rsidRPr="00401C70">
              <w:rPr>
                <w:rFonts w:ascii="Abadi" w:hAnsi="Abadi" w:cs="Calibri"/>
                <w:spacing w:val="-5"/>
                <w:sz w:val="21"/>
                <w:szCs w:val="21"/>
              </w:rPr>
              <w:t xml:space="preserve"> </w:t>
            </w:r>
            <w:r w:rsidRPr="00401C70">
              <w:rPr>
                <w:rFonts w:ascii="Abadi" w:hAnsi="Abadi" w:cs="Calibri"/>
                <w:sz w:val="21"/>
                <w:szCs w:val="21"/>
              </w:rPr>
              <w:t>el</w:t>
            </w:r>
            <w:r w:rsidRPr="00401C70">
              <w:rPr>
                <w:rFonts w:ascii="Abadi" w:hAnsi="Abadi" w:cs="Calibri"/>
                <w:spacing w:val="-2"/>
                <w:sz w:val="21"/>
                <w:szCs w:val="21"/>
              </w:rPr>
              <w:t xml:space="preserve"> </w:t>
            </w:r>
            <w:r w:rsidRPr="00401C70">
              <w:rPr>
                <w:rFonts w:ascii="Abadi" w:hAnsi="Abadi" w:cs="Calibri"/>
                <w:sz w:val="21"/>
                <w:szCs w:val="21"/>
              </w:rPr>
              <w:t>cargo</w:t>
            </w:r>
          </w:p>
          <w:p w14:paraId="28E52FC8" w14:textId="77777777" w:rsidR="00677B7E" w:rsidRPr="00401C70" w:rsidRDefault="00677B7E" w:rsidP="00FA2590">
            <w:pPr>
              <w:kinsoku w:val="0"/>
              <w:overflowPunct w:val="0"/>
              <w:autoSpaceDE w:val="0"/>
              <w:autoSpaceDN w:val="0"/>
              <w:adjustRightInd w:val="0"/>
              <w:ind w:left="107" w:right="90"/>
              <w:jc w:val="both"/>
              <w:rPr>
                <w:rFonts w:ascii="Abadi" w:hAnsi="Abadi" w:cs="Calibri"/>
                <w:sz w:val="21"/>
                <w:szCs w:val="21"/>
              </w:rPr>
            </w:pPr>
            <w:r w:rsidRPr="00401C70">
              <w:rPr>
                <w:rFonts w:ascii="Abadi" w:hAnsi="Abadi" w:cs="Calibri"/>
                <w:b/>
                <w:bCs/>
                <w:i/>
                <w:iCs/>
                <w:sz w:val="21"/>
                <w:szCs w:val="21"/>
              </w:rPr>
              <w:t>titular</w:t>
            </w:r>
            <w:r w:rsidRPr="00401C70">
              <w:rPr>
                <w:rFonts w:ascii="Abadi" w:hAnsi="Abadi" w:cs="Calibri"/>
                <w:b/>
                <w:bCs/>
                <w:i/>
                <w:iCs/>
                <w:spacing w:val="1"/>
                <w:sz w:val="21"/>
                <w:szCs w:val="21"/>
              </w:rPr>
              <w:t xml:space="preserve"> </w:t>
            </w:r>
            <w:r w:rsidRPr="00401C70">
              <w:rPr>
                <w:rFonts w:ascii="Abadi" w:hAnsi="Abadi" w:cs="Calibri"/>
                <w:b/>
                <w:bCs/>
                <w:i/>
                <w:iCs/>
                <w:sz w:val="21"/>
                <w:szCs w:val="21"/>
              </w:rPr>
              <w:t>de</w:t>
            </w:r>
            <w:r w:rsidRPr="00401C70">
              <w:rPr>
                <w:rFonts w:ascii="Abadi" w:hAnsi="Abadi" w:cs="Calibri"/>
                <w:b/>
                <w:bCs/>
                <w:i/>
                <w:iCs/>
                <w:spacing w:val="1"/>
                <w:sz w:val="21"/>
                <w:szCs w:val="21"/>
              </w:rPr>
              <w:t xml:space="preserve"> </w:t>
            </w:r>
            <w:r w:rsidRPr="00401C70">
              <w:rPr>
                <w:rFonts w:ascii="Abadi" w:hAnsi="Abadi" w:cs="Calibri"/>
                <w:b/>
                <w:bCs/>
                <w:i/>
                <w:iCs/>
                <w:sz w:val="21"/>
                <w:szCs w:val="21"/>
              </w:rPr>
              <w:t>la</w:t>
            </w:r>
            <w:r w:rsidRPr="00401C70">
              <w:rPr>
                <w:rFonts w:ascii="Abadi" w:hAnsi="Abadi" w:cs="Calibri"/>
                <w:b/>
                <w:bCs/>
                <w:i/>
                <w:iCs/>
                <w:spacing w:val="1"/>
                <w:sz w:val="21"/>
                <w:szCs w:val="21"/>
              </w:rPr>
              <w:t xml:space="preserve"> </w:t>
            </w:r>
            <w:r w:rsidRPr="00401C70">
              <w:rPr>
                <w:rFonts w:ascii="Abadi" w:hAnsi="Abadi" w:cs="Calibri"/>
                <w:b/>
                <w:bCs/>
                <w:i/>
                <w:iCs/>
                <w:sz w:val="21"/>
                <w:szCs w:val="21"/>
              </w:rPr>
              <w:t>Contraloría</w:t>
            </w:r>
            <w:r w:rsidRPr="00401C70">
              <w:rPr>
                <w:rFonts w:ascii="Abadi" w:hAnsi="Abadi" w:cs="Calibri"/>
                <w:b/>
                <w:bCs/>
                <w:i/>
                <w:iCs/>
                <w:spacing w:val="1"/>
                <w:sz w:val="21"/>
                <w:szCs w:val="21"/>
              </w:rPr>
              <w:t xml:space="preserve"> </w:t>
            </w:r>
            <w:r w:rsidRPr="00401C70">
              <w:rPr>
                <w:rFonts w:ascii="Abadi" w:hAnsi="Abadi" w:cs="Calibri"/>
                <w:b/>
                <w:bCs/>
                <w:i/>
                <w:iCs/>
                <w:sz w:val="21"/>
                <w:szCs w:val="21"/>
              </w:rPr>
              <w:t>Municipal</w:t>
            </w:r>
            <w:r w:rsidRPr="00401C70">
              <w:rPr>
                <w:rFonts w:ascii="Abadi" w:hAnsi="Abadi" w:cs="Calibri"/>
                <w:sz w:val="21"/>
                <w:szCs w:val="21"/>
              </w:rPr>
              <w:t>,</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Ayuntamiento</w:t>
            </w:r>
            <w:r w:rsidRPr="00401C70">
              <w:rPr>
                <w:rFonts w:ascii="Abadi" w:hAnsi="Abadi" w:cs="Calibri"/>
                <w:spacing w:val="1"/>
                <w:sz w:val="21"/>
                <w:szCs w:val="21"/>
              </w:rPr>
              <w:t xml:space="preserve"> </w:t>
            </w:r>
            <w:r w:rsidRPr="00401C70">
              <w:rPr>
                <w:rFonts w:ascii="Abadi" w:hAnsi="Abadi" w:cs="Calibri"/>
                <w:sz w:val="21"/>
                <w:szCs w:val="21"/>
              </w:rPr>
              <w:t>nombrará</w:t>
            </w:r>
            <w:r w:rsidRPr="00401C70">
              <w:rPr>
                <w:rFonts w:ascii="Abadi" w:hAnsi="Abadi" w:cs="Calibri"/>
                <w:spacing w:val="1"/>
                <w:sz w:val="21"/>
                <w:szCs w:val="21"/>
              </w:rPr>
              <w:t xml:space="preserve"> </w:t>
            </w:r>
            <w:r w:rsidRPr="00401C70">
              <w:rPr>
                <w:rFonts w:ascii="Abadi" w:hAnsi="Abadi" w:cs="Calibri"/>
                <w:sz w:val="21"/>
                <w:szCs w:val="21"/>
              </w:rPr>
              <w:t>como</w:t>
            </w:r>
            <w:r w:rsidRPr="00401C70">
              <w:rPr>
                <w:rFonts w:ascii="Abadi" w:hAnsi="Abadi" w:cs="Calibri"/>
                <w:spacing w:val="1"/>
                <w:sz w:val="21"/>
                <w:szCs w:val="21"/>
              </w:rPr>
              <w:t xml:space="preserve"> </w:t>
            </w:r>
            <w:r w:rsidRPr="00401C70">
              <w:rPr>
                <w:rFonts w:ascii="Abadi" w:hAnsi="Abadi" w:cs="Calibri"/>
                <w:b/>
                <w:bCs/>
                <w:i/>
                <w:iCs/>
                <w:sz w:val="21"/>
                <w:szCs w:val="21"/>
              </w:rPr>
              <w:t>titular</w:t>
            </w:r>
            <w:r w:rsidRPr="00401C70">
              <w:rPr>
                <w:rFonts w:ascii="Abadi" w:hAnsi="Abadi" w:cs="Calibri"/>
                <w:b/>
                <w:bCs/>
                <w:i/>
                <w:iCs/>
                <w:spacing w:val="1"/>
                <w:sz w:val="21"/>
                <w:szCs w:val="21"/>
              </w:rPr>
              <w:t xml:space="preserve"> </w:t>
            </w:r>
            <w:r w:rsidRPr="00401C70">
              <w:rPr>
                <w:rFonts w:ascii="Abadi" w:hAnsi="Abadi" w:cs="Calibri"/>
                <w:b/>
                <w:bCs/>
                <w:i/>
                <w:iCs/>
                <w:sz w:val="21"/>
                <w:szCs w:val="21"/>
              </w:rPr>
              <w:t>de</w:t>
            </w:r>
            <w:r w:rsidRPr="00401C70">
              <w:rPr>
                <w:rFonts w:ascii="Abadi" w:hAnsi="Abadi" w:cs="Calibri"/>
                <w:b/>
                <w:bCs/>
                <w:i/>
                <w:iCs/>
                <w:spacing w:val="1"/>
                <w:sz w:val="21"/>
                <w:szCs w:val="21"/>
              </w:rPr>
              <w:t xml:space="preserve"> </w:t>
            </w:r>
            <w:r w:rsidRPr="00401C70">
              <w:rPr>
                <w:rFonts w:ascii="Abadi" w:hAnsi="Abadi" w:cs="Calibri"/>
                <w:b/>
                <w:bCs/>
                <w:i/>
                <w:iCs/>
                <w:sz w:val="21"/>
                <w:szCs w:val="21"/>
              </w:rPr>
              <w:t>la</w:t>
            </w:r>
            <w:r w:rsidRPr="00401C70">
              <w:rPr>
                <w:rFonts w:ascii="Abadi" w:hAnsi="Abadi" w:cs="Calibri"/>
                <w:b/>
                <w:bCs/>
                <w:i/>
                <w:iCs/>
                <w:spacing w:val="1"/>
                <w:sz w:val="21"/>
                <w:szCs w:val="21"/>
              </w:rPr>
              <w:t xml:space="preserve"> </w:t>
            </w:r>
            <w:r w:rsidRPr="00401C70">
              <w:rPr>
                <w:rFonts w:ascii="Abadi" w:hAnsi="Abadi" w:cs="Calibri"/>
                <w:b/>
                <w:bCs/>
                <w:i/>
                <w:iCs/>
                <w:sz w:val="21"/>
                <w:szCs w:val="21"/>
              </w:rPr>
              <w:t>Contraloría</w:t>
            </w:r>
            <w:r w:rsidRPr="00401C70">
              <w:rPr>
                <w:rFonts w:ascii="Abadi" w:hAnsi="Abadi" w:cs="Calibri"/>
                <w:b/>
                <w:bCs/>
                <w:i/>
                <w:iCs/>
                <w:spacing w:val="1"/>
                <w:sz w:val="21"/>
                <w:szCs w:val="21"/>
              </w:rPr>
              <w:t xml:space="preserve"> </w:t>
            </w:r>
            <w:r w:rsidRPr="00401C70">
              <w:rPr>
                <w:rFonts w:ascii="Abadi" w:hAnsi="Abadi" w:cs="Calibri"/>
                <w:b/>
                <w:bCs/>
                <w:i/>
                <w:iCs/>
                <w:sz w:val="21"/>
                <w:szCs w:val="21"/>
              </w:rPr>
              <w:t>Municipal</w:t>
            </w:r>
            <w:r w:rsidRPr="00401C70">
              <w:rPr>
                <w:rFonts w:ascii="Abadi" w:hAnsi="Abadi" w:cs="Calibri"/>
                <w:sz w:val="21"/>
                <w:szCs w:val="21"/>
              </w:rPr>
              <w:t>,</w:t>
            </w:r>
            <w:r w:rsidRPr="00401C70">
              <w:rPr>
                <w:rFonts w:ascii="Abadi" w:hAnsi="Abadi" w:cs="Calibri"/>
                <w:spacing w:val="1"/>
                <w:sz w:val="21"/>
                <w:szCs w:val="21"/>
              </w:rPr>
              <w:t xml:space="preserve"> </w:t>
            </w:r>
            <w:r w:rsidRPr="00401C70">
              <w:rPr>
                <w:rFonts w:ascii="Abadi" w:hAnsi="Abadi" w:cs="Calibri"/>
                <w:b/>
                <w:bCs/>
                <w:i/>
                <w:iCs/>
                <w:sz w:val="21"/>
                <w:szCs w:val="21"/>
              </w:rPr>
              <w:t>a</w:t>
            </w:r>
            <w:r w:rsidRPr="00401C70">
              <w:rPr>
                <w:rFonts w:ascii="Abadi" w:hAnsi="Abadi" w:cs="Calibri"/>
                <w:b/>
                <w:bCs/>
                <w:i/>
                <w:iCs/>
                <w:spacing w:val="1"/>
                <w:sz w:val="21"/>
                <w:szCs w:val="21"/>
              </w:rPr>
              <w:t xml:space="preserve"> </w:t>
            </w:r>
            <w:r w:rsidRPr="00401C70">
              <w:rPr>
                <w:rFonts w:ascii="Abadi" w:hAnsi="Abadi" w:cs="Calibri"/>
                <w:b/>
                <w:bCs/>
                <w:i/>
                <w:iCs/>
                <w:sz w:val="21"/>
                <w:szCs w:val="21"/>
              </w:rPr>
              <w:t>quien</w:t>
            </w:r>
            <w:r w:rsidRPr="00401C70">
              <w:rPr>
                <w:rFonts w:ascii="Abadi" w:hAnsi="Abadi" w:cs="Calibri"/>
                <w:b/>
                <w:bCs/>
                <w:i/>
                <w:iCs/>
                <w:spacing w:val="1"/>
                <w:sz w:val="21"/>
                <w:szCs w:val="21"/>
              </w:rPr>
              <w:t xml:space="preserve"> </w:t>
            </w:r>
            <w:r w:rsidRPr="00401C70">
              <w:rPr>
                <w:rFonts w:ascii="Abadi" w:hAnsi="Abadi" w:cs="Calibri"/>
                <w:sz w:val="21"/>
                <w:szCs w:val="21"/>
              </w:rPr>
              <w:t>obtenga</w:t>
            </w:r>
            <w:r w:rsidRPr="00401C70">
              <w:rPr>
                <w:rFonts w:ascii="Abadi" w:hAnsi="Abadi" w:cs="Calibri"/>
                <w:spacing w:val="-47"/>
                <w:sz w:val="21"/>
                <w:szCs w:val="21"/>
              </w:rPr>
              <w:t xml:space="preserve"> </w:t>
            </w:r>
            <w:r w:rsidRPr="00401C70">
              <w:rPr>
                <w:rFonts w:ascii="Abadi" w:hAnsi="Abadi" w:cs="Calibri"/>
                <w:sz w:val="21"/>
                <w:szCs w:val="21"/>
              </w:rPr>
              <w:t xml:space="preserve">mayoría calificada. Si </w:t>
            </w:r>
            <w:r w:rsidRPr="00401C70">
              <w:rPr>
                <w:rFonts w:ascii="Abadi" w:hAnsi="Abadi" w:cs="Calibri"/>
                <w:b/>
                <w:bCs/>
                <w:i/>
                <w:iCs/>
                <w:sz w:val="21"/>
                <w:szCs w:val="21"/>
              </w:rPr>
              <w:t>ninguna de las personas</w:t>
            </w:r>
            <w:r w:rsidRPr="00401C70">
              <w:rPr>
                <w:rFonts w:ascii="Abadi" w:hAnsi="Abadi" w:cs="Calibri"/>
                <w:b/>
                <w:bCs/>
                <w:i/>
                <w:iCs/>
                <w:spacing w:val="1"/>
                <w:sz w:val="21"/>
                <w:szCs w:val="21"/>
              </w:rPr>
              <w:t xml:space="preserve"> </w:t>
            </w:r>
            <w:r w:rsidRPr="00401C70">
              <w:rPr>
                <w:rFonts w:ascii="Abadi" w:hAnsi="Abadi" w:cs="Calibri"/>
                <w:b/>
                <w:bCs/>
                <w:i/>
                <w:iCs/>
                <w:sz w:val="21"/>
                <w:szCs w:val="21"/>
              </w:rPr>
              <w:t>integrantes</w:t>
            </w:r>
            <w:r w:rsidRPr="00401C70">
              <w:rPr>
                <w:rFonts w:ascii="Abadi" w:hAnsi="Abadi" w:cs="Calibri"/>
                <w:b/>
                <w:bCs/>
                <w:i/>
                <w:iCs/>
                <w:spacing w:val="1"/>
                <w:sz w:val="21"/>
                <w:szCs w:val="21"/>
              </w:rPr>
              <w:t xml:space="preserve"> </w:t>
            </w:r>
            <w:r w:rsidRPr="00401C70">
              <w:rPr>
                <w:rFonts w:ascii="Abadi" w:hAnsi="Abadi" w:cs="Calibri"/>
                <w:b/>
                <w:bCs/>
                <w:i/>
                <w:iCs/>
                <w:sz w:val="21"/>
                <w:szCs w:val="21"/>
              </w:rPr>
              <w:t>de</w:t>
            </w:r>
            <w:r w:rsidRPr="00401C70">
              <w:rPr>
                <w:rFonts w:ascii="Abadi" w:hAnsi="Abadi" w:cs="Calibri"/>
                <w:b/>
                <w:bCs/>
                <w:i/>
                <w:iCs/>
                <w:spacing w:val="1"/>
                <w:sz w:val="21"/>
                <w:szCs w:val="21"/>
              </w:rPr>
              <w:t xml:space="preserve"> </w:t>
            </w:r>
            <w:r w:rsidRPr="00401C70">
              <w:rPr>
                <w:rFonts w:ascii="Abadi" w:hAnsi="Abadi" w:cs="Calibri"/>
                <w:b/>
                <w:bCs/>
                <w:i/>
                <w:iCs/>
                <w:sz w:val="21"/>
                <w:szCs w:val="21"/>
              </w:rPr>
              <w:t>la</w:t>
            </w:r>
            <w:r w:rsidRPr="00401C70">
              <w:rPr>
                <w:rFonts w:ascii="Abadi" w:hAnsi="Abadi" w:cs="Calibri"/>
                <w:b/>
                <w:bCs/>
                <w:i/>
                <w:iCs/>
                <w:spacing w:val="1"/>
                <w:sz w:val="21"/>
                <w:szCs w:val="21"/>
              </w:rPr>
              <w:t xml:space="preserve"> </w:t>
            </w:r>
            <w:r w:rsidRPr="00401C70">
              <w:rPr>
                <w:rFonts w:ascii="Abadi" w:hAnsi="Abadi" w:cs="Calibri"/>
                <w:b/>
                <w:bCs/>
                <w:i/>
                <w:iCs/>
                <w:sz w:val="21"/>
                <w:szCs w:val="21"/>
              </w:rPr>
              <w:t>terna</w:t>
            </w:r>
            <w:r w:rsidRPr="00401C70">
              <w:rPr>
                <w:rFonts w:ascii="Abadi" w:hAnsi="Abadi" w:cs="Calibri"/>
                <w:b/>
                <w:bCs/>
                <w:i/>
                <w:iCs/>
                <w:spacing w:val="1"/>
                <w:sz w:val="21"/>
                <w:szCs w:val="21"/>
              </w:rPr>
              <w:t xml:space="preserve"> </w:t>
            </w:r>
            <w:r w:rsidRPr="00401C70">
              <w:rPr>
                <w:rFonts w:ascii="Abadi" w:hAnsi="Abadi" w:cs="Calibri"/>
                <w:sz w:val="21"/>
                <w:szCs w:val="21"/>
              </w:rPr>
              <w:t>obtiene</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mayoría</w:t>
            </w:r>
            <w:r w:rsidRPr="00401C70">
              <w:rPr>
                <w:rFonts w:ascii="Abadi" w:hAnsi="Abadi" w:cs="Calibri"/>
                <w:spacing w:val="1"/>
                <w:sz w:val="21"/>
                <w:szCs w:val="21"/>
              </w:rPr>
              <w:t xml:space="preserve"> </w:t>
            </w:r>
            <w:r w:rsidRPr="00401C70">
              <w:rPr>
                <w:rFonts w:ascii="Abadi" w:hAnsi="Abadi" w:cs="Calibri"/>
                <w:sz w:val="21"/>
                <w:szCs w:val="21"/>
              </w:rPr>
              <w:t xml:space="preserve">calificada, se repetirá la votación entre </w:t>
            </w:r>
            <w:r w:rsidRPr="00401C70">
              <w:rPr>
                <w:rFonts w:ascii="Abadi" w:hAnsi="Abadi" w:cs="Calibri"/>
                <w:b/>
                <w:bCs/>
                <w:i/>
                <w:iCs/>
                <w:sz w:val="21"/>
                <w:szCs w:val="21"/>
              </w:rPr>
              <w:t xml:space="preserve">las </w:t>
            </w:r>
            <w:r w:rsidRPr="00401C70">
              <w:rPr>
                <w:rFonts w:ascii="Abadi" w:hAnsi="Abadi" w:cs="Calibri"/>
                <w:sz w:val="21"/>
                <w:szCs w:val="21"/>
              </w:rPr>
              <w:t>dos</w:t>
            </w:r>
            <w:r w:rsidRPr="00401C70">
              <w:rPr>
                <w:rFonts w:ascii="Abadi" w:hAnsi="Abadi" w:cs="Calibri"/>
                <w:spacing w:val="1"/>
                <w:sz w:val="21"/>
                <w:szCs w:val="21"/>
              </w:rPr>
              <w:t xml:space="preserve"> </w:t>
            </w:r>
            <w:r w:rsidRPr="00401C70">
              <w:rPr>
                <w:rFonts w:ascii="Abadi" w:hAnsi="Abadi" w:cs="Calibri"/>
                <w:sz w:val="21"/>
                <w:szCs w:val="21"/>
              </w:rPr>
              <w:t>que hayan obtenido el mayor número de votos</w:t>
            </w:r>
            <w:r w:rsidRPr="00401C70">
              <w:rPr>
                <w:rFonts w:ascii="Abadi" w:hAnsi="Abadi" w:cs="Calibri"/>
                <w:spacing w:val="-47"/>
                <w:sz w:val="21"/>
                <w:szCs w:val="21"/>
              </w:rPr>
              <w:t xml:space="preserve"> </w:t>
            </w:r>
            <w:r w:rsidRPr="00401C70">
              <w:rPr>
                <w:rFonts w:ascii="Abadi" w:hAnsi="Abadi" w:cs="Calibri"/>
                <w:sz w:val="21"/>
                <w:szCs w:val="21"/>
              </w:rPr>
              <w:t xml:space="preserve">y de entre </w:t>
            </w:r>
            <w:r w:rsidRPr="00401C70">
              <w:rPr>
                <w:rFonts w:ascii="Abadi" w:hAnsi="Abadi" w:cs="Calibri"/>
                <w:b/>
                <w:bCs/>
                <w:i/>
                <w:iCs/>
                <w:sz w:val="21"/>
                <w:szCs w:val="21"/>
              </w:rPr>
              <w:t>ellas</w:t>
            </w:r>
            <w:r w:rsidRPr="00401C70">
              <w:rPr>
                <w:rFonts w:ascii="Abadi" w:hAnsi="Abadi" w:cs="Calibri"/>
                <w:sz w:val="21"/>
                <w:szCs w:val="21"/>
              </w:rPr>
              <w:t xml:space="preserve">, será </w:t>
            </w:r>
            <w:r w:rsidRPr="00401C70">
              <w:rPr>
                <w:rFonts w:ascii="Abadi" w:hAnsi="Abadi" w:cs="Calibri"/>
                <w:b/>
                <w:bCs/>
                <w:i/>
                <w:iCs/>
                <w:sz w:val="21"/>
                <w:szCs w:val="21"/>
              </w:rPr>
              <w:t xml:space="preserve">nombrada </w:t>
            </w:r>
            <w:r w:rsidRPr="00401C70">
              <w:rPr>
                <w:rFonts w:ascii="Abadi" w:hAnsi="Abadi" w:cs="Calibri"/>
                <w:sz w:val="21"/>
                <w:szCs w:val="21"/>
              </w:rPr>
              <w:t xml:space="preserve">como </w:t>
            </w:r>
            <w:r w:rsidRPr="00401C70">
              <w:rPr>
                <w:rFonts w:ascii="Abadi" w:hAnsi="Abadi" w:cs="Calibri"/>
                <w:b/>
                <w:bCs/>
                <w:i/>
                <w:iCs/>
                <w:sz w:val="21"/>
                <w:szCs w:val="21"/>
              </w:rPr>
              <w:t>titular</w:t>
            </w:r>
            <w:r w:rsidRPr="00401C70">
              <w:rPr>
                <w:rFonts w:ascii="Abadi" w:hAnsi="Abadi" w:cs="Calibri"/>
                <w:b/>
                <w:bCs/>
                <w:i/>
                <w:iCs/>
                <w:spacing w:val="1"/>
                <w:sz w:val="21"/>
                <w:szCs w:val="21"/>
              </w:rPr>
              <w:t xml:space="preserve"> </w:t>
            </w:r>
            <w:r w:rsidRPr="00401C70">
              <w:rPr>
                <w:rFonts w:ascii="Abadi" w:hAnsi="Abadi" w:cs="Calibri"/>
                <w:b/>
                <w:bCs/>
                <w:i/>
                <w:iCs/>
                <w:sz w:val="21"/>
                <w:szCs w:val="21"/>
              </w:rPr>
              <w:t xml:space="preserve">de la Contraloría Municipal quien </w:t>
            </w:r>
            <w:r w:rsidRPr="00401C70">
              <w:rPr>
                <w:rFonts w:ascii="Abadi" w:hAnsi="Abadi" w:cs="Calibri"/>
                <w:sz w:val="21"/>
                <w:szCs w:val="21"/>
              </w:rPr>
              <w:t>obtenga la</w:t>
            </w:r>
            <w:r w:rsidRPr="00401C70">
              <w:rPr>
                <w:rFonts w:ascii="Abadi" w:hAnsi="Abadi" w:cs="Calibri"/>
                <w:spacing w:val="1"/>
                <w:sz w:val="21"/>
                <w:szCs w:val="21"/>
              </w:rPr>
              <w:t xml:space="preserve"> </w:t>
            </w:r>
            <w:r w:rsidRPr="00401C70">
              <w:rPr>
                <w:rFonts w:ascii="Abadi" w:hAnsi="Abadi" w:cs="Calibri"/>
                <w:sz w:val="21"/>
                <w:szCs w:val="21"/>
              </w:rPr>
              <w:t>mayoría.</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información</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se</w:t>
            </w:r>
            <w:r w:rsidRPr="00401C70">
              <w:rPr>
                <w:rFonts w:ascii="Abadi" w:hAnsi="Abadi" w:cs="Calibri"/>
                <w:spacing w:val="1"/>
                <w:sz w:val="21"/>
                <w:szCs w:val="21"/>
              </w:rPr>
              <w:t xml:space="preserve"> </w:t>
            </w:r>
            <w:r w:rsidRPr="00401C70">
              <w:rPr>
                <w:rFonts w:ascii="Abadi" w:hAnsi="Abadi" w:cs="Calibri"/>
                <w:sz w:val="21"/>
                <w:szCs w:val="21"/>
              </w:rPr>
              <w:t>genere</w:t>
            </w:r>
            <w:r w:rsidRPr="00401C70">
              <w:rPr>
                <w:rFonts w:ascii="Abadi" w:hAnsi="Abadi" w:cs="Calibri"/>
                <w:spacing w:val="1"/>
                <w:sz w:val="21"/>
                <w:szCs w:val="21"/>
              </w:rPr>
              <w:t xml:space="preserve"> </w:t>
            </w:r>
            <w:r w:rsidRPr="00401C70">
              <w:rPr>
                <w:rFonts w:ascii="Abadi" w:hAnsi="Abadi" w:cs="Calibri"/>
                <w:sz w:val="21"/>
                <w:szCs w:val="21"/>
              </w:rPr>
              <w:t>con</w:t>
            </w:r>
            <w:r w:rsidRPr="00401C70">
              <w:rPr>
                <w:rFonts w:ascii="Abadi" w:hAnsi="Abadi" w:cs="Calibri"/>
                <w:spacing w:val="1"/>
                <w:sz w:val="21"/>
                <w:szCs w:val="21"/>
              </w:rPr>
              <w:t xml:space="preserve"> </w:t>
            </w:r>
            <w:r w:rsidRPr="00401C70">
              <w:rPr>
                <w:rFonts w:ascii="Abadi" w:hAnsi="Abadi" w:cs="Calibri"/>
                <w:sz w:val="21"/>
                <w:szCs w:val="21"/>
              </w:rPr>
              <w:t>motivo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integración</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terna,</w:t>
            </w:r>
            <w:r w:rsidRPr="00401C70">
              <w:rPr>
                <w:rFonts w:ascii="Abadi" w:hAnsi="Abadi" w:cs="Calibri"/>
                <w:spacing w:val="1"/>
                <w:sz w:val="21"/>
                <w:szCs w:val="21"/>
              </w:rPr>
              <w:t xml:space="preserve"> </w:t>
            </w:r>
            <w:r w:rsidRPr="00401C70">
              <w:rPr>
                <w:rFonts w:ascii="Abadi" w:hAnsi="Abadi" w:cs="Calibri"/>
                <w:sz w:val="21"/>
                <w:szCs w:val="21"/>
              </w:rPr>
              <w:t>es</w:t>
            </w:r>
            <w:r w:rsidRPr="00401C70">
              <w:rPr>
                <w:rFonts w:ascii="Abadi" w:hAnsi="Abadi" w:cs="Calibri"/>
                <w:spacing w:val="-47"/>
                <w:sz w:val="21"/>
                <w:szCs w:val="21"/>
              </w:rPr>
              <w:t xml:space="preserve"> </w:t>
            </w:r>
            <w:r w:rsidRPr="00401C70">
              <w:rPr>
                <w:rFonts w:ascii="Abadi" w:hAnsi="Abadi" w:cs="Calibri"/>
                <w:sz w:val="21"/>
                <w:szCs w:val="21"/>
              </w:rPr>
              <w:t>información</w:t>
            </w:r>
            <w:r w:rsidRPr="00401C70">
              <w:rPr>
                <w:rFonts w:ascii="Abadi" w:hAnsi="Abadi" w:cs="Calibri"/>
                <w:spacing w:val="-2"/>
                <w:sz w:val="21"/>
                <w:szCs w:val="21"/>
              </w:rPr>
              <w:t xml:space="preserve"> </w:t>
            </w:r>
            <w:r w:rsidRPr="00401C70">
              <w:rPr>
                <w:rFonts w:ascii="Abadi" w:hAnsi="Abadi" w:cs="Calibri"/>
                <w:sz w:val="21"/>
                <w:szCs w:val="21"/>
              </w:rPr>
              <w:t>pública.</w:t>
            </w:r>
          </w:p>
        </w:tc>
      </w:tr>
      <w:tr w:rsidR="00677B7E" w:rsidRPr="00401C70" w14:paraId="0AF10FF6" w14:textId="77777777" w:rsidTr="003343AD">
        <w:trPr>
          <w:trHeight w:val="1725"/>
        </w:trPr>
        <w:tc>
          <w:tcPr>
            <w:tcW w:w="2500" w:type="pct"/>
            <w:tcBorders>
              <w:top w:val="none" w:sz="6" w:space="0" w:color="auto"/>
              <w:left w:val="single" w:sz="4" w:space="0" w:color="000000"/>
              <w:bottom w:val="single" w:sz="4" w:space="0" w:color="000000"/>
              <w:right w:val="single" w:sz="4" w:space="0" w:color="000000"/>
            </w:tcBorders>
          </w:tcPr>
          <w:p w14:paraId="34821631" w14:textId="77777777" w:rsidR="00677B7E" w:rsidRPr="00401C70" w:rsidRDefault="00677B7E" w:rsidP="00FA2590">
            <w:pPr>
              <w:kinsoku w:val="0"/>
              <w:overflowPunct w:val="0"/>
              <w:autoSpaceDE w:val="0"/>
              <w:autoSpaceDN w:val="0"/>
              <w:adjustRightInd w:val="0"/>
              <w:spacing w:before="3"/>
              <w:jc w:val="both"/>
              <w:rPr>
                <w:rFonts w:ascii="Abadi" w:hAnsi="Abadi"/>
                <w:sz w:val="21"/>
                <w:szCs w:val="21"/>
              </w:rPr>
            </w:pPr>
          </w:p>
          <w:p w14:paraId="7D9A1A5B" w14:textId="77777777" w:rsidR="00677B7E" w:rsidRPr="00401C70" w:rsidRDefault="00677B7E" w:rsidP="00FA2590">
            <w:pPr>
              <w:kinsoku w:val="0"/>
              <w:overflowPunct w:val="0"/>
              <w:autoSpaceDE w:val="0"/>
              <w:autoSpaceDN w:val="0"/>
              <w:adjustRightInd w:val="0"/>
              <w:spacing w:line="270" w:lineRule="atLeast"/>
              <w:ind w:left="107" w:right="91"/>
              <w:jc w:val="both"/>
              <w:rPr>
                <w:rFonts w:ascii="Abadi" w:hAnsi="Abadi" w:cs="Calibri"/>
                <w:sz w:val="21"/>
                <w:szCs w:val="21"/>
              </w:rPr>
            </w:pPr>
            <w:r w:rsidRPr="00401C70">
              <w:rPr>
                <w:rFonts w:ascii="Abadi" w:hAnsi="Abadi" w:cs="Calibri"/>
                <w:sz w:val="21"/>
                <w:szCs w:val="21"/>
              </w:rPr>
              <w:t>El ayuntamiento deberá iniciar el proceso de</w:t>
            </w:r>
            <w:r w:rsidRPr="00401C70">
              <w:rPr>
                <w:rFonts w:ascii="Abadi" w:hAnsi="Abadi" w:cs="Calibri"/>
                <w:spacing w:val="1"/>
                <w:sz w:val="21"/>
                <w:szCs w:val="21"/>
              </w:rPr>
              <w:t xml:space="preserve"> </w:t>
            </w:r>
            <w:r w:rsidRPr="00401C70">
              <w:rPr>
                <w:rFonts w:ascii="Abadi" w:hAnsi="Abadi" w:cs="Calibri"/>
                <w:sz w:val="21"/>
                <w:szCs w:val="21"/>
              </w:rPr>
              <w:t>nombramiento del Contralor Municipal a más</w:t>
            </w:r>
            <w:r w:rsidRPr="00401C70">
              <w:rPr>
                <w:rFonts w:ascii="Abadi" w:hAnsi="Abadi" w:cs="Calibri"/>
                <w:spacing w:val="1"/>
                <w:sz w:val="21"/>
                <w:szCs w:val="21"/>
              </w:rPr>
              <w:t xml:space="preserve"> </w:t>
            </w:r>
            <w:r w:rsidRPr="00401C70">
              <w:rPr>
                <w:rFonts w:ascii="Abadi" w:hAnsi="Abadi" w:cs="Calibri"/>
                <w:sz w:val="21"/>
                <w:szCs w:val="21"/>
              </w:rPr>
              <w:t>tardar</w:t>
            </w:r>
            <w:r w:rsidRPr="00401C70">
              <w:rPr>
                <w:rFonts w:ascii="Abadi" w:hAnsi="Abadi" w:cs="Calibri"/>
                <w:spacing w:val="1"/>
                <w:sz w:val="21"/>
                <w:szCs w:val="21"/>
              </w:rPr>
              <w:t xml:space="preserve"> </w:t>
            </w:r>
            <w:r w:rsidRPr="00401C70">
              <w:rPr>
                <w:rFonts w:ascii="Abadi" w:hAnsi="Abadi" w:cs="Calibri"/>
                <w:sz w:val="21"/>
                <w:szCs w:val="21"/>
              </w:rPr>
              <w:t>cuarenta</w:t>
            </w:r>
            <w:r w:rsidRPr="00401C70">
              <w:rPr>
                <w:rFonts w:ascii="Abadi" w:hAnsi="Abadi" w:cs="Calibri"/>
                <w:spacing w:val="1"/>
                <w:sz w:val="21"/>
                <w:szCs w:val="21"/>
              </w:rPr>
              <w:t xml:space="preserve"> </w:t>
            </w:r>
            <w:r w:rsidRPr="00401C70">
              <w:rPr>
                <w:rFonts w:ascii="Abadi" w:hAnsi="Abadi" w:cs="Calibri"/>
                <w:sz w:val="21"/>
                <w:szCs w:val="21"/>
              </w:rPr>
              <w:t>y</w:t>
            </w:r>
            <w:r w:rsidRPr="00401C70">
              <w:rPr>
                <w:rFonts w:ascii="Abadi" w:hAnsi="Abadi" w:cs="Calibri"/>
                <w:spacing w:val="1"/>
                <w:sz w:val="21"/>
                <w:szCs w:val="21"/>
              </w:rPr>
              <w:t xml:space="preserve"> </w:t>
            </w:r>
            <w:r w:rsidRPr="00401C70">
              <w:rPr>
                <w:rFonts w:ascii="Abadi" w:hAnsi="Abadi" w:cs="Calibri"/>
                <w:sz w:val="21"/>
                <w:szCs w:val="21"/>
              </w:rPr>
              <w:t>cinco</w:t>
            </w:r>
            <w:r w:rsidRPr="00401C70">
              <w:rPr>
                <w:rFonts w:ascii="Abadi" w:hAnsi="Abadi" w:cs="Calibri"/>
                <w:spacing w:val="1"/>
                <w:sz w:val="21"/>
                <w:szCs w:val="21"/>
              </w:rPr>
              <w:t xml:space="preserve"> </w:t>
            </w:r>
            <w:r w:rsidRPr="00401C70">
              <w:rPr>
                <w:rFonts w:ascii="Abadi" w:hAnsi="Abadi" w:cs="Calibri"/>
                <w:sz w:val="21"/>
                <w:szCs w:val="21"/>
              </w:rPr>
              <w:t>días</w:t>
            </w:r>
            <w:r w:rsidRPr="00401C70">
              <w:rPr>
                <w:rFonts w:ascii="Abadi" w:hAnsi="Abadi" w:cs="Calibri"/>
                <w:spacing w:val="1"/>
                <w:sz w:val="21"/>
                <w:szCs w:val="21"/>
              </w:rPr>
              <w:t xml:space="preserve"> </w:t>
            </w:r>
            <w:r w:rsidRPr="00401C70">
              <w:rPr>
                <w:rFonts w:ascii="Abadi" w:hAnsi="Abadi" w:cs="Calibri"/>
                <w:sz w:val="21"/>
                <w:szCs w:val="21"/>
              </w:rPr>
              <w:t>previos</w:t>
            </w:r>
            <w:r w:rsidRPr="00401C70">
              <w:rPr>
                <w:rFonts w:ascii="Abadi" w:hAnsi="Abadi" w:cs="Calibri"/>
                <w:spacing w:val="1"/>
                <w:sz w:val="21"/>
                <w:szCs w:val="21"/>
              </w:rPr>
              <w:t xml:space="preserve"> </w:t>
            </w:r>
            <w:r w:rsidRPr="00401C70">
              <w:rPr>
                <w:rFonts w:ascii="Abadi" w:hAnsi="Abadi" w:cs="Calibri"/>
                <w:sz w:val="21"/>
                <w:szCs w:val="21"/>
              </w:rPr>
              <w:t>a</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conclusión</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periodo</w:t>
            </w:r>
            <w:r w:rsidRPr="00401C70">
              <w:rPr>
                <w:rFonts w:ascii="Abadi" w:hAnsi="Abadi" w:cs="Calibri"/>
                <w:spacing w:val="1"/>
                <w:sz w:val="21"/>
                <w:szCs w:val="21"/>
              </w:rPr>
              <w:t xml:space="preserve"> </w:t>
            </w:r>
            <w:r w:rsidRPr="00401C70">
              <w:rPr>
                <w:rFonts w:ascii="Abadi" w:hAnsi="Abadi" w:cs="Calibri"/>
                <w:sz w:val="21"/>
                <w:szCs w:val="21"/>
              </w:rPr>
              <w:t>por</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que</w:t>
            </w:r>
            <w:r w:rsidRPr="00401C70">
              <w:rPr>
                <w:rFonts w:ascii="Abadi" w:hAnsi="Abadi" w:cs="Calibri"/>
                <w:spacing w:val="1"/>
                <w:sz w:val="21"/>
                <w:szCs w:val="21"/>
              </w:rPr>
              <w:t xml:space="preserve"> </w:t>
            </w:r>
            <w:r w:rsidRPr="00401C70">
              <w:rPr>
                <w:rFonts w:ascii="Abadi" w:hAnsi="Abadi" w:cs="Calibri"/>
                <w:sz w:val="21"/>
                <w:szCs w:val="21"/>
              </w:rPr>
              <w:t>fue</w:t>
            </w:r>
            <w:r w:rsidRPr="00401C70">
              <w:rPr>
                <w:rFonts w:ascii="Abadi" w:hAnsi="Abadi" w:cs="Calibri"/>
                <w:spacing w:val="1"/>
                <w:sz w:val="21"/>
                <w:szCs w:val="21"/>
              </w:rPr>
              <w:t xml:space="preserve"> </w:t>
            </w:r>
            <w:r w:rsidRPr="00401C70">
              <w:rPr>
                <w:rFonts w:ascii="Abadi" w:hAnsi="Abadi" w:cs="Calibri"/>
                <w:sz w:val="21"/>
                <w:szCs w:val="21"/>
              </w:rPr>
              <w:t>designado el</w:t>
            </w:r>
            <w:r w:rsidRPr="00401C70">
              <w:rPr>
                <w:rFonts w:ascii="Abadi" w:hAnsi="Abadi" w:cs="Calibri"/>
                <w:spacing w:val="-2"/>
                <w:sz w:val="21"/>
                <w:szCs w:val="21"/>
              </w:rPr>
              <w:t xml:space="preserve"> </w:t>
            </w:r>
            <w:r w:rsidRPr="00401C70">
              <w:rPr>
                <w:rFonts w:ascii="Abadi" w:hAnsi="Abadi" w:cs="Calibri"/>
                <w:sz w:val="21"/>
                <w:szCs w:val="21"/>
              </w:rPr>
              <w:t>titular de</w:t>
            </w:r>
            <w:r w:rsidRPr="00401C70">
              <w:rPr>
                <w:rFonts w:ascii="Abadi" w:hAnsi="Abadi" w:cs="Calibri"/>
                <w:spacing w:val="-3"/>
                <w:sz w:val="21"/>
                <w:szCs w:val="21"/>
              </w:rPr>
              <w:t xml:space="preserve"> </w:t>
            </w:r>
            <w:r w:rsidRPr="00401C70">
              <w:rPr>
                <w:rFonts w:ascii="Abadi" w:hAnsi="Abadi" w:cs="Calibri"/>
                <w:sz w:val="21"/>
                <w:szCs w:val="21"/>
              </w:rPr>
              <w:t>la Contraloría.</w:t>
            </w:r>
          </w:p>
        </w:tc>
        <w:tc>
          <w:tcPr>
            <w:tcW w:w="2500" w:type="pct"/>
            <w:tcBorders>
              <w:top w:val="none" w:sz="6" w:space="0" w:color="auto"/>
              <w:left w:val="single" w:sz="4" w:space="0" w:color="000000"/>
              <w:bottom w:val="single" w:sz="4" w:space="0" w:color="000000"/>
              <w:right w:val="single" w:sz="4" w:space="0" w:color="000000"/>
            </w:tcBorders>
          </w:tcPr>
          <w:p w14:paraId="1BF21CFB" w14:textId="77777777" w:rsidR="00677B7E" w:rsidRPr="00401C70" w:rsidRDefault="00677B7E" w:rsidP="00FA2590">
            <w:pPr>
              <w:kinsoku w:val="0"/>
              <w:overflowPunct w:val="0"/>
              <w:autoSpaceDE w:val="0"/>
              <w:autoSpaceDN w:val="0"/>
              <w:adjustRightInd w:val="0"/>
              <w:spacing w:before="114"/>
              <w:ind w:left="107" w:right="93"/>
              <w:jc w:val="both"/>
              <w:rPr>
                <w:rFonts w:ascii="Abadi" w:hAnsi="Abadi" w:cs="Calibri"/>
                <w:b/>
                <w:bCs/>
                <w:i/>
                <w:iCs/>
                <w:sz w:val="21"/>
                <w:szCs w:val="21"/>
              </w:rPr>
            </w:pPr>
            <w:r w:rsidRPr="00401C70">
              <w:rPr>
                <w:rFonts w:ascii="Abadi" w:hAnsi="Abadi" w:cs="Calibri"/>
                <w:sz w:val="21"/>
                <w:szCs w:val="21"/>
              </w:rPr>
              <w:t>El ayuntamiento deberá iniciar el proceso de</w:t>
            </w:r>
            <w:r w:rsidRPr="00401C70">
              <w:rPr>
                <w:rFonts w:ascii="Abadi" w:hAnsi="Abadi" w:cs="Calibri"/>
                <w:spacing w:val="1"/>
                <w:sz w:val="21"/>
                <w:szCs w:val="21"/>
              </w:rPr>
              <w:t xml:space="preserve"> </w:t>
            </w:r>
            <w:r w:rsidRPr="00401C70">
              <w:rPr>
                <w:rFonts w:ascii="Abadi" w:hAnsi="Abadi" w:cs="Calibri"/>
                <w:sz w:val="21"/>
                <w:szCs w:val="21"/>
              </w:rPr>
              <w:t xml:space="preserve">nombramiento </w:t>
            </w:r>
            <w:r w:rsidRPr="00401C70">
              <w:rPr>
                <w:rFonts w:ascii="Abadi" w:hAnsi="Abadi" w:cs="Calibri"/>
                <w:b/>
                <w:bCs/>
                <w:i/>
                <w:iCs/>
                <w:sz w:val="21"/>
                <w:szCs w:val="21"/>
              </w:rPr>
              <w:t>de quien ocupe la titularidad</w:t>
            </w:r>
            <w:r w:rsidRPr="00401C70">
              <w:rPr>
                <w:rFonts w:ascii="Abadi" w:hAnsi="Abadi" w:cs="Calibri"/>
                <w:b/>
                <w:bCs/>
                <w:i/>
                <w:iCs/>
                <w:spacing w:val="1"/>
                <w:sz w:val="21"/>
                <w:szCs w:val="21"/>
              </w:rPr>
              <w:t xml:space="preserve"> </w:t>
            </w:r>
            <w:r w:rsidRPr="00401C70">
              <w:rPr>
                <w:rFonts w:ascii="Abadi" w:hAnsi="Abadi" w:cs="Calibri"/>
                <w:b/>
                <w:bCs/>
                <w:i/>
                <w:iCs/>
                <w:sz w:val="21"/>
                <w:szCs w:val="21"/>
              </w:rPr>
              <w:t>de</w:t>
            </w:r>
            <w:r w:rsidRPr="00401C70">
              <w:rPr>
                <w:rFonts w:ascii="Abadi" w:hAnsi="Abadi" w:cs="Calibri"/>
                <w:b/>
                <w:bCs/>
                <w:i/>
                <w:iCs/>
                <w:spacing w:val="1"/>
                <w:sz w:val="21"/>
                <w:szCs w:val="21"/>
              </w:rPr>
              <w:t xml:space="preserve"> </w:t>
            </w:r>
            <w:r w:rsidRPr="00401C70">
              <w:rPr>
                <w:rFonts w:ascii="Abadi" w:hAnsi="Abadi" w:cs="Calibri"/>
                <w:b/>
                <w:bCs/>
                <w:i/>
                <w:iCs/>
                <w:sz w:val="21"/>
                <w:szCs w:val="21"/>
              </w:rPr>
              <w:t>la</w:t>
            </w:r>
            <w:r w:rsidRPr="00401C70">
              <w:rPr>
                <w:rFonts w:ascii="Abadi" w:hAnsi="Abadi" w:cs="Calibri"/>
                <w:b/>
                <w:bCs/>
                <w:i/>
                <w:iCs/>
                <w:spacing w:val="1"/>
                <w:sz w:val="21"/>
                <w:szCs w:val="21"/>
              </w:rPr>
              <w:t xml:space="preserve"> </w:t>
            </w:r>
            <w:r w:rsidRPr="00401C70">
              <w:rPr>
                <w:rFonts w:ascii="Abadi" w:hAnsi="Abadi" w:cs="Calibri"/>
                <w:b/>
                <w:bCs/>
                <w:i/>
                <w:iCs/>
                <w:sz w:val="21"/>
                <w:szCs w:val="21"/>
              </w:rPr>
              <w:t>Contraloría</w:t>
            </w:r>
            <w:r w:rsidRPr="00401C70">
              <w:rPr>
                <w:rFonts w:ascii="Abadi" w:hAnsi="Abadi" w:cs="Calibri"/>
                <w:b/>
                <w:bCs/>
                <w:i/>
                <w:iCs/>
                <w:spacing w:val="1"/>
                <w:sz w:val="21"/>
                <w:szCs w:val="21"/>
              </w:rPr>
              <w:t xml:space="preserve"> </w:t>
            </w:r>
            <w:r w:rsidRPr="00401C70">
              <w:rPr>
                <w:rFonts w:ascii="Abadi" w:hAnsi="Abadi" w:cs="Calibri"/>
                <w:b/>
                <w:bCs/>
                <w:i/>
                <w:iCs/>
                <w:sz w:val="21"/>
                <w:szCs w:val="21"/>
              </w:rPr>
              <w:t>Municipal</w:t>
            </w:r>
            <w:r w:rsidRPr="00401C70">
              <w:rPr>
                <w:rFonts w:ascii="Abadi" w:hAnsi="Abadi" w:cs="Calibri"/>
                <w:b/>
                <w:bCs/>
                <w:i/>
                <w:iCs/>
                <w:spacing w:val="1"/>
                <w:sz w:val="21"/>
                <w:szCs w:val="21"/>
              </w:rPr>
              <w:t xml:space="preserve"> </w:t>
            </w:r>
            <w:r w:rsidRPr="00401C70">
              <w:rPr>
                <w:rFonts w:ascii="Abadi" w:hAnsi="Abadi" w:cs="Calibri"/>
                <w:sz w:val="21"/>
                <w:szCs w:val="21"/>
              </w:rPr>
              <w:t>a</w:t>
            </w:r>
            <w:r w:rsidRPr="00401C70">
              <w:rPr>
                <w:rFonts w:ascii="Abadi" w:hAnsi="Abadi" w:cs="Calibri"/>
                <w:spacing w:val="1"/>
                <w:sz w:val="21"/>
                <w:szCs w:val="21"/>
              </w:rPr>
              <w:t xml:space="preserve"> </w:t>
            </w:r>
            <w:r w:rsidRPr="00401C70">
              <w:rPr>
                <w:rFonts w:ascii="Abadi" w:hAnsi="Abadi" w:cs="Calibri"/>
                <w:sz w:val="21"/>
                <w:szCs w:val="21"/>
              </w:rPr>
              <w:t>más</w:t>
            </w:r>
            <w:r w:rsidRPr="00401C70">
              <w:rPr>
                <w:rFonts w:ascii="Abadi" w:hAnsi="Abadi" w:cs="Calibri"/>
                <w:spacing w:val="1"/>
                <w:sz w:val="21"/>
                <w:szCs w:val="21"/>
              </w:rPr>
              <w:t xml:space="preserve"> </w:t>
            </w:r>
            <w:r w:rsidRPr="00401C70">
              <w:rPr>
                <w:rFonts w:ascii="Abadi" w:hAnsi="Abadi" w:cs="Calibri"/>
                <w:sz w:val="21"/>
                <w:szCs w:val="21"/>
              </w:rPr>
              <w:t>tardar</w:t>
            </w:r>
            <w:r w:rsidRPr="00401C70">
              <w:rPr>
                <w:rFonts w:ascii="Abadi" w:hAnsi="Abadi" w:cs="Calibri"/>
                <w:spacing w:val="1"/>
                <w:sz w:val="21"/>
                <w:szCs w:val="21"/>
              </w:rPr>
              <w:t xml:space="preserve"> </w:t>
            </w:r>
            <w:r w:rsidRPr="00401C70">
              <w:rPr>
                <w:rFonts w:ascii="Abadi" w:hAnsi="Abadi" w:cs="Calibri"/>
                <w:sz w:val="21"/>
                <w:szCs w:val="21"/>
              </w:rPr>
              <w:t>cuarenta</w:t>
            </w:r>
            <w:r w:rsidRPr="00401C70">
              <w:rPr>
                <w:rFonts w:ascii="Abadi" w:hAnsi="Abadi" w:cs="Calibri"/>
                <w:spacing w:val="-10"/>
                <w:sz w:val="21"/>
                <w:szCs w:val="21"/>
              </w:rPr>
              <w:t xml:space="preserve"> </w:t>
            </w:r>
            <w:r w:rsidRPr="00401C70">
              <w:rPr>
                <w:rFonts w:ascii="Abadi" w:hAnsi="Abadi" w:cs="Calibri"/>
                <w:sz w:val="21"/>
                <w:szCs w:val="21"/>
              </w:rPr>
              <w:t>y</w:t>
            </w:r>
            <w:r w:rsidRPr="00401C70">
              <w:rPr>
                <w:rFonts w:ascii="Abadi" w:hAnsi="Abadi" w:cs="Calibri"/>
                <w:spacing w:val="-10"/>
                <w:sz w:val="21"/>
                <w:szCs w:val="21"/>
              </w:rPr>
              <w:t xml:space="preserve"> </w:t>
            </w:r>
            <w:r w:rsidRPr="00401C70">
              <w:rPr>
                <w:rFonts w:ascii="Abadi" w:hAnsi="Abadi" w:cs="Calibri"/>
                <w:sz w:val="21"/>
                <w:szCs w:val="21"/>
              </w:rPr>
              <w:t>cinco</w:t>
            </w:r>
            <w:r w:rsidRPr="00401C70">
              <w:rPr>
                <w:rFonts w:ascii="Abadi" w:hAnsi="Abadi" w:cs="Calibri"/>
                <w:spacing w:val="-8"/>
                <w:sz w:val="21"/>
                <w:szCs w:val="21"/>
              </w:rPr>
              <w:t xml:space="preserve"> </w:t>
            </w:r>
            <w:r w:rsidRPr="00401C70">
              <w:rPr>
                <w:rFonts w:ascii="Abadi" w:hAnsi="Abadi" w:cs="Calibri"/>
                <w:sz w:val="21"/>
                <w:szCs w:val="21"/>
              </w:rPr>
              <w:t>días</w:t>
            </w:r>
            <w:r w:rsidRPr="00401C70">
              <w:rPr>
                <w:rFonts w:ascii="Abadi" w:hAnsi="Abadi" w:cs="Calibri"/>
                <w:spacing w:val="-8"/>
                <w:sz w:val="21"/>
                <w:szCs w:val="21"/>
              </w:rPr>
              <w:t xml:space="preserve"> </w:t>
            </w:r>
            <w:r w:rsidRPr="00401C70">
              <w:rPr>
                <w:rFonts w:ascii="Abadi" w:hAnsi="Abadi" w:cs="Calibri"/>
                <w:sz w:val="21"/>
                <w:szCs w:val="21"/>
              </w:rPr>
              <w:t>previos</w:t>
            </w:r>
            <w:r w:rsidRPr="00401C70">
              <w:rPr>
                <w:rFonts w:ascii="Abadi" w:hAnsi="Abadi" w:cs="Calibri"/>
                <w:spacing w:val="-7"/>
                <w:sz w:val="21"/>
                <w:szCs w:val="21"/>
              </w:rPr>
              <w:t xml:space="preserve"> </w:t>
            </w:r>
            <w:r w:rsidRPr="00401C70">
              <w:rPr>
                <w:rFonts w:ascii="Abadi" w:hAnsi="Abadi" w:cs="Calibri"/>
                <w:sz w:val="21"/>
                <w:szCs w:val="21"/>
              </w:rPr>
              <w:t>a</w:t>
            </w:r>
            <w:r w:rsidRPr="00401C70">
              <w:rPr>
                <w:rFonts w:ascii="Abadi" w:hAnsi="Abadi" w:cs="Calibri"/>
                <w:spacing w:val="-8"/>
                <w:sz w:val="21"/>
                <w:szCs w:val="21"/>
              </w:rPr>
              <w:t xml:space="preserve"> </w:t>
            </w:r>
            <w:r w:rsidRPr="00401C70">
              <w:rPr>
                <w:rFonts w:ascii="Abadi" w:hAnsi="Abadi" w:cs="Calibri"/>
                <w:sz w:val="21"/>
                <w:szCs w:val="21"/>
              </w:rPr>
              <w:t>la</w:t>
            </w:r>
            <w:r w:rsidRPr="00401C70">
              <w:rPr>
                <w:rFonts w:ascii="Abadi" w:hAnsi="Abadi" w:cs="Calibri"/>
                <w:spacing w:val="-11"/>
                <w:sz w:val="21"/>
                <w:szCs w:val="21"/>
              </w:rPr>
              <w:t xml:space="preserve"> </w:t>
            </w:r>
            <w:r w:rsidRPr="00401C70">
              <w:rPr>
                <w:rFonts w:ascii="Abadi" w:hAnsi="Abadi" w:cs="Calibri"/>
                <w:sz w:val="21"/>
                <w:szCs w:val="21"/>
              </w:rPr>
              <w:t>conclusión</w:t>
            </w:r>
            <w:r w:rsidRPr="00401C70">
              <w:rPr>
                <w:rFonts w:ascii="Abadi" w:hAnsi="Abadi" w:cs="Calibri"/>
                <w:spacing w:val="-10"/>
                <w:sz w:val="21"/>
                <w:szCs w:val="21"/>
              </w:rPr>
              <w:t xml:space="preserve"> </w:t>
            </w:r>
            <w:r w:rsidRPr="00401C70">
              <w:rPr>
                <w:rFonts w:ascii="Abadi" w:hAnsi="Abadi" w:cs="Calibri"/>
                <w:sz w:val="21"/>
                <w:szCs w:val="21"/>
              </w:rPr>
              <w:t>del</w:t>
            </w:r>
            <w:r w:rsidRPr="00401C70">
              <w:rPr>
                <w:rFonts w:ascii="Abadi" w:hAnsi="Abadi" w:cs="Calibri"/>
                <w:spacing w:val="-48"/>
                <w:sz w:val="21"/>
                <w:szCs w:val="21"/>
              </w:rPr>
              <w:t xml:space="preserve"> </w:t>
            </w:r>
            <w:r w:rsidRPr="00401C70">
              <w:rPr>
                <w:rFonts w:ascii="Abadi" w:hAnsi="Abadi" w:cs="Calibri"/>
                <w:sz w:val="21"/>
                <w:szCs w:val="21"/>
              </w:rPr>
              <w:t>periodo</w:t>
            </w:r>
            <w:r w:rsidRPr="00401C70">
              <w:rPr>
                <w:rFonts w:ascii="Abadi" w:hAnsi="Abadi" w:cs="Calibri"/>
                <w:spacing w:val="26"/>
                <w:sz w:val="21"/>
                <w:szCs w:val="21"/>
              </w:rPr>
              <w:t xml:space="preserve"> </w:t>
            </w:r>
            <w:r w:rsidRPr="00401C70">
              <w:rPr>
                <w:rFonts w:ascii="Abadi" w:hAnsi="Abadi" w:cs="Calibri"/>
                <w:sz w:val="21"/>
                <w:szCs w:val="21"/>
              </w:rPr>
              <w:t>por</w:t>
            </w:r>
            <w:r w:rsidRPr="00401C70">
              <w:rPr>
                <w:rFonts w:ascii="Abadi" w:hAnsi="Abadi" w:cs="Calibri"/>
                <w:spacing w:val="26"/>
                <w:sz w:val="21"/>
                <w:szCs w:val="21"/>
              </w:rPr>
              <w:t xml:space="preserve"> </w:t>
            </w:r>
            <w:r w:rsidRPr="00401C70">
              <w:rPr>
                <w:rFonts w:ascii="Abadi" w:hAnsi="Abadi" w:cs="Calibri"/>
                <w:sz w:val="21"/>
                <w:szCs w:val="21"/>
              </w:rPr>
              <w:t>el</w:t>
            </w:r>
            <w:r w:rsidRPr="00401C70">
              <w:rPr>
                <w:rFonts w:ascii="Abadi" w:hAnsi="Abadi" w:cs="Calibri"/>
                <w:spacing w:val="26"/>
                <w:sz w:val="21"/>
                <w:szCs w:val="21"/>
              </w:rPr>
              <w:t xml:space="preserve"> </w:t>
            </w:r>
            <w:r w:rsidRPr="00401C70">
              <w:rPr>
                <w:rFonts w:ascii="Abadi" w:hAnsi="Abadi" w:cs="Calibri"/>
                <w:sz w:val="21"/>
                <w:szCs w:val="21"/>
              </w:rPr>
              <w:t>que</w:t>
            </w:r>
            <w:r w:rsidRPr="00401C70">
              <w:rPr>
                <w:rFonts w:ascii="Abadi" w:hAnsi="Abadi" w:cs="Calibri"/>
                <w:spacing w:val="26"/>
                <w:sz w:val="21"/>
                <w:szCs w:val="21"/>
              </w:rPr>
              <w:t xml:space="preserve"> </w:t>
            </w:r>
            <w:r w:rsidRPr="00401C70">
              <w:rPr>
                <w:rFonts w:ascii="Abadi" w:hAnsi="Abadi" w:cs="Calibri"/>
                <w:sz w:val="21"/>
                <w:szCs w:val="21"/>
              </w:rPr>
              <w:t>fue</w:t>
            </w:r>
            <w:r w:rsidRPr="00401C70">
              <w:rPr>
                <w:rFonts w:ascii="Abadi" w:hAnsi="Abadi" w:cs="Calibri"/>
                <w:spacing w:val="27"/>
                <w:sz w:val="21"/>
                <w:szCs w:val="21"/>
              </w:rPr>
              <w:t xml:space="preserve"> </w:t>
            </w:r>
            <w:r w:rsidRPr="00401C70">
              <w:rPr>
                <w:rFonts w:ascii="Abadi" w:hAnsi="Abadi" w:cs="Calibri"/>
                <w:b/>
                <w:bCs/>
                <w:i/>
                <w:iCs/>
                <w:sz w:val="21"/>
                <w:szCs w:val="21"/>
              </w:rPr>
              <w:t>designada</w:t>
            </w:r>
            <w:r w:rsidRPr="00401C70">
              <w:rPr>
                <w:rFonts w:ascii="Abadi" w:hAnsi="Abadi" w:cs="Calibri"/>
                <w:b/>
                <w:bCs/>
                <w:i/>
                <w:iCs/>
                <w:spacing w:val="23"/>
                <w:sz w:val="21"/>
                <w:szCs w:val="21"/>
              </w:rPr>
              <w:t xml:space="preserve"> </w:t>
            </w:r>
            <w:r w:rsidRPr="00401C70">
              <w:rPr>
                <w:rFonts w:ascii="Abadi" w:hAnsi="Abadi" w:cs="Calibri"/>
                <w:b/>
                <w:bCs/>
                <w:i/>
                <w:iCs/>
                <w:sz w:val="21"/>
                <w:szCs w:val="21"/>
              </w:rPr>
              <w:t>la</w:t>
            </w:r>
            <w:r w:rsidRPr="00401C70">
              <w:rPr>
                <w:rFonts w:ascii="Abadi" w:hAnsi="Abadi" w:cs="Calibri"/>
                <w:b/>
                <w:bCs/>
                <w:i/>
                <w:iCs/>
                <w:spacing w:val="27"/>
                <w:sz w:val="21"/>
                <w:szCs w:val="21"/>
              </w:rPr>
              <w:t xml:space="preserve"> </w:t>
            </w:r>
            <w:r w:rsidRPr="00401C70">
              <w:rPr>
                <w:rFonts w:ascii="Abadi" w:hAnsi="Abadi" w:cs="Calibri"/>
                <w:b/>
                <w:bCs/>
                <w:i/>
                <w:iCs/>
                <w:sz w:val="21"/>
                <w:szCs w:val="21"/>
              </w:rPr>
              <w:t>persona</w:t>
            </w:r>
          </w:p>
          <w:p w14:paraId="324E8FD8" w14:textId="77777777" w:rsidR="00677B7E" w:rsidRPr="00401C70" w:rsidRDefault="00677B7E" w:rsidP="00FA2590">
            <w:pPr>
              <w:kinsoku w:val="0"/>
              <w:overflowPunct w:val="0"/>
              <w:autoSpaceDE w:val="0"/>
              <w:autoSpaceDN w:val="0"/>
              <w:adjustRightInd w:val="0"/>
              <w:spacing w:line="248" w:lineRule="exact"/>
              <w:ind w:left="107"/>
              <w:jc w:val="both"/>
              <w:rPr>
                <w:rFonts w:ascii="Abadi" w:hAnsi="Abadi" w:cs="Calibri"/>
                <w:sz w:val="21"/>
                <w:szCs w:val="21"/>
              </w:rPr>
            </w:pPr>
            <w:r w:rsidRPr="00401C70">
              <w:rPr>
                <w:rFonts w:ascii="Abadi" w:hAnsi="Abadi" w:cs="Calibri"/>
                <w:sz w:val="21"/>
                <w:szCs w:val="21"/>
              </w:rPr>
              <w:t>titular de la</w:t>
            </w:r>
            <w:r w:rsidRPr="00401C70">
              <w:rPr>
                <w:rFonts w:ascii="Abadi" w:hAnsi="Abadi" w:cs="Calibri"/>
                <w:spacing w:val="-3"/>
                <w:sz w:val="21"/>
                <w:szCs w:val="21"/>
              </w:rPr>
              <w:t xml:space="preserve"> </w:t>
            </w:r>
            <w:r w:rsidRPr="00401C70">
              <w:rPr>
                <w:rFonts w:ascii="Abadi" w:hAnsi="Abadi" w:cs="Calibri"/>
                <w:sz w:val="21"/>
                <w:szCs w:val="21"/>
              </w:rPr>
              <w:t>Contraloría.</w:t>
            </w:r>
          </w:p>
        </w:tc>
      </w:tr>
    </w:tbl>
    <w:p w14:paraId="5CFE1693" w14:textId="77777777" w:rsidR="00677B7E" w:rsidRPr="00401C70" w:rsidRDefault="00677B7E" w:rsidP="00677B7E">
      <w:pPr>
        <w:kinsoku w:val="0"/>
        <w:overflowPunct w:val="0"/>
        <w:autoSpaceDE w:val="0"/>
        <w:autoSpaceDN w:val="0"/>
        <w:adjustRightInd w:val="0"/>
        <w:spacing w:before="3"/>
        <w:jc w:val="both"/>
        <w:rPr>
          <w:rFonts w:ascii="Abadi" w:hAnsi="Abadi"/>
          <w:sz w:val="21"/>
          <w:szCs w:val="21"/>
        </w:rPr>
      </w:pPr>
    </w:p>
    <w:tbl>
      <w:tblPr>
        <w:tblW w:w="5000" w:type="pct"/>
        <w:tblCellMar>
          <w:left w:w="0" w:type="dxa"/>
          <w:right w:w="0" w:type="dxa"/>
        </w:tblCellMar>
        <w:tblLook w:val="0000" w:firstRow="0" w:lastRow="0" w:firstColumn="0" w:lastColumn="0" w:noHBand="0" w:noVBand="0"/>
      </w:tblPr>
      <w:tblGrid>
        <w:gridCol w:w="2050"/>
        <w:gridCol w:w="2051"/>
      </w:tblGrid>
      <w:tr w:rsidR="00677B7E" w:rsidRPr="00401C70" w14:paraId="28057A96" w14:textId="77777777" w:rsidTr="00EE3E2D">
        <w:trPr>
          <w:trHeight w:val="2571"/>
        </w:trPr>
        <w:tc>
          <w:tcPr>
            <w:tcW w:w="2500" w:type="pct"/>
            <w:tcBorders>
              <w:top w:val="single" w:sz="4" w:space="0" w:color="000000"/>
              <w:left w:val="single" w:sz="4" w:space="0" w:color="000000"/>
              <w:bottom w:val="none" w:sz="6" w:space="0" w:color="auto"/>
              <w:right w:val="single" w:sz="4" w:space="0" w:color="000000"/>
            </w:tcBorders>
          </w:tcPr>
          <w:p w14:paraId="1AB4E6D0" w14:textId="77777777" w:rsidR="00677B7E" w:rsidRPr="00401C70" w:rsidRDefault="00677B7E" w:rsidP="00FA2590">
            <w:pPr>
              <w:kinsoku w:val="0"/>
              <w:overflowPunct w:val="0"/>
              <w:autoSpaceDE w:val="0"/>
              <w:autoSpaceDN w:val="0"/>
              <w:adjustRightInd w:val="0"/>
              <w:spacing w:before="3"/>
              <w:jc w:val="both"/>
              <w:rPr>
                <w:rFonts w:ascii="Abadi" w:hAnsi="Abadi"/>
                <w:sz w:val="21"/>
                <w:szCs w:val="21"/>
              </w:rPr>
            </w:pPr>
          </w:p>
          <w:p w14:paraId="29077223" w14:textId="77777777" w:rsidR="00677B7E" w:rsidRPr="00401C70" w:rsidRDefault="00677B7E" w:rsidP="00FA2590">
            <w:pPr>
              <w:kinsoku w:val="0"/>
              <w:overflowPunct w:val="0"/>
              <w:autoSpaceDE w:val="0"/>
              <w:autoSpaceDN w:val="0"/>
              <w:adjustRightInd w:val="0"/>
              <w:ind w:left="107" w:right="94"/>
              <w:jc w:val="both"/>
              <w:rPr>
                <w:rFonts w:ascii="Abadi" w:hAnsi="Abadi" w:cs="Calibri"/>
                <w:sz w:val="21"/>
                <w:szCs w:val="21"/>
              </w:rPr>
            </w:pPr>
            <w:r w:rsidRPr="00401C70">
              <w:rPr>
                <w:rFonts w:ascii="Abadi" w:hAnsi="Abadi" w:cs="Calibri"/>
                <w:sz w:val="21"/>
                <w:szCs w:val="21"/>
              </w:rPr>
              <w:t>La consulta para la designación de Contralor</w:t>
            </w:r>
            <w:r w:rsidRPr="00401C70">
              <w:rPr>
                <w:rFonts w:ascii="Abadi" w:hAnsi="Abadi" w:cs="Calibri"/>
                <w:spacing w:val="1"/>
                <w:sz w:val="21"/>
                <w:szCs w:val="21"/>
              </w:rPr>
              <w:t xml:space="preserve"> </w:t>
            </w:r>
            <w:r w:rsidRPr="00401C70">
              <w:rPr>
                <w:rFonts w:ascii="Abadi" w:hAnsi="Abadi" w:cs="Calibri"/>
                <w:sz w:val="21"/>
                <w:szCs w:val="21"/>
              </w:rPr>
              <w:t>Municipal estará a cargo del Comité Municipal</w:t>
            </w:r>
            <w:r w:rsidRPr="00401C70">
              <w:rPr>
                <w:rFonts w:ascii="Abadi" w:hAnsi="Abadi" w:cs="Calibri"/>
                <w:spacing w:val="1"/>
                <w:sz w:val="21"/>
                <w:szCs w:val="21"/>
              </w:rPr>
              <w:t xml:space="preserve"> </w:t>
            </w:r>
            <w:r w:rsidRPr="00401C70">
              <w:rPr>
                <w:rFonts w:ascii="Abadi" w:hAnsi="Abadi" w:cs="Calibri"/>
                <w:sz w:val="21"/>
                <w:szCs w:val="21"/>
              </w:rPr>
              <w:t>Ciudadano,</w:t>
            </w:r>
            <w:r w:rsidRPr="00401C70">
              <w:rPr>
                <w:rFonts w:ascii="Abadi" w:hAnsi="Abadi" w:cs="Calibri"/>
                <w:spacing w:val="1"/>
                <w:sz w:val="21"/>
                <w:szCs w:val="21"/>
              </w:rPr>
              <w:t xml:space="preserve"> </w:t>
            </w:r>
            <w:r w:rsidRPr="00401C70">
              <w:rPr>
                <w:rFonts w:ascii="Abadi" w:hAnsi="Abadi" w:cs="Calibri"/>
                <w:sz w:val="21"/>
                <w:szCs w:val="21"/>
              </w:rPr>
              <w:t>quien</w:t>
            </w:r>
            <w:r w:rsidRPr="00401C70">
              <w:rPr>
                <w:rFonts w:ascii="Abadi" w:hAnsi="Abadi" w:cs="Calibri"/>
                <w:spacing w:val="1"/>
                <w:sz w:val="21"/>
                <w:szCs w:val="21"/>
              </w:rPr>
              <w:t xml:space="preserve"> </w:t>
            </w:r>
            <w:r w:rsidRPr="00401C70">
              <w:rPr>
                <w:rFonts w:ascii="Abadi" w:hAnsi="Abadi" w:cs="Calibri"/>
                <w:sz w:val="21"/>
                <w:szCs w:val="21"/>
              </w:rPr>
              <w:t>podrá</w:t>
            </w:r>
            <w:r w:rsidRPr="00401C70">
              <w:rPr>
                <w:rFonts w:ascii="Abadi" w:hAnsi="Abadi" w:cs="Calibri"/>
                <w:spacing w:val="1"/>
                <w:sz w:val="21"/>
                <w:szCs w:val="21"/>
              </w:rPr>
              <w:t xml:space="preserve"> </w:t>
            </w:r>
            <w:r w:rsidRPr="00401C70">
              <w:rPr>
                <w:rFonts w:ascii="Abadi" w:hAnsi="Abadi" w:cs="Calibri"/>
                <w:sz w:val="21"/>
                <w:szCs w:val="21"/>
              </w:rPr>
              <w:t>solicitar</w:t>
            </w:r>
            <w:r w:rsidRPr="00401C70">
              <w:rPr>
                <w:rFonts w:ascii="Abadi" w:hAnsi="Abadi" w:cs="Calibri"/>
                <w:spacing w:val="1"/>
                <w:sz w:val="21"/>
                <w:szCs w:val="21"/>
              </w:rPr>
              <w:t xml:space="preserve"> </w:t>
            </w:r>
            <w:r w:rsidRPr="00401C70">
              <w:rPr>
                <w:rFonts w:ascii="Abadi" w:hAnsi="Abadi" w:cs="Calibri"/>
                <w:sz w:val="21"/>
                <w:szCs w:val="21"/>
              </w:rPr>
              <w:t>asesoría</w:t>
            </w:r>
            <w:r w:rsidRPr="00401C70">
              <w:rPr>
                <w:rFonts w:ascii="Abadi" w:hAnsi="Abadi" w:cs="Calibri"/>
                <w:spacing w:val="1"/>
                <w:sz w:val="21"/>
                <w:szCs w:val="21"/>
              </w:rPr>
              <w:t xml:space="preserve"> </w:t>
            </w:r>
            <w:r w:rsidRPr="00401C70">
              <w:rPr>
                <w:rFonts w:ascii="Abadi" w:hAnsi="Abadi" w:cs="Calibri"/>
                <w:sz w:val="21"/>
                <w:szCs w:val="21"/>
              </w:rPr>
              <w:t>al</w:t>
            </w:r>
            <w:r w:rsidRPr="00401C70">
              <w:rPr>
                <w:rFonts w:ascii="Abadi" w:hAnsi="Abadi" w:cs="Calibri"/>
                <w:spacing w:val="1"/>
                <w:sz w:val="21"/>
                <w:szCs w:val="21"/>
              </w:rPr>
              <w:t xml:space="preserve"> </w:t>
            </w:r>
            <w:r w:rsidRPr="00401C70">
              <w:rPr>
                <w:rFonts w:ascii="Abadi" w:hAnsi="Abadi" w:cs="Calibri"/>
                <w:sz w:val="21"/>
                <w:szCs w:val="21"/>
              </w:rPr>
              <w:t>Comité de Participación Ciudadana del Sistema</w:t>
            </w:r>
            <w:r w:rsidRPr="00401C70">
              <w:rPr>
                <w:rFonts w:ascii="Abadi" w:hAnsi="Abadi" w:cs="Calibri"/>
                <w:spacing w:val="-47"/>
                <w:sz w:val="21"/>
                <w:szCs w:val="21"/>
              </w:rPr>
              <w:t xml:space="preserve"> </w:t>
            </w:r>
            <w:r w:rsidRPr="00401C70">
              <w:rPr>
                <w:rFonts w:ascii="Abadi" w:hAnsi="Abadi" w:cs="Calibri"/>
                <w:sz w:val="21"/>
                <w:szCs w:val="21"/>
              </w:rPr>
              <w:t>Estatal Anticorrupción sobre el mecanismo de</w:t>
            </w:r>
            <w:r w:rsidRPr="00401C70">
              <w:rPr>
                <w:rFonts w:ascii="Abadi" w:hAnsi="Abadi" w:cs="Calibri"/>
                <w:spacing w:val="1"/>
                <w:sz w:val="21"/>
                <w:szCs w:val="21"/>
              </w:rPr>
              <w:t xml:space="preserve"> </w:t>
            </w:r>
            <w:r w:rsidRPr="00401C70">
              <w:rPr>
                <w:rFonts w:ascii="Abadi" w:hAnsi="Abadi" w:cs="Calibri"/>
                <w:sz w:val="21"/>
                <w:szCs w:val="21"/>
              </w:rPr>
              <w:t>consulta,</w:t>
            </w:r>
            <w:r w:rsidRPr="00401C70">
              <w:rPr>
                <w:rFonts w:ascii="Abadi" w:hAnsi="Abadi" w:cs="Calibri"/>
                <w:spacing w:val="1"/>
                <w:sz w:val="21"/>
                <w:szCs w:val="21"/>
              </w:rPr>
              <w:t xml:space="preserve"> </w:t>
            </w:r>
            <w:r w:rsidRPr="00401C70">
              <w:rPr>
                <w:rFonts w:ascii="Abadi" w:hAnsi="Abadi" w:cs="Calibri"/>
                <w:sz w:val="21"/>
                <w:szCs w:val="21"/>
              </w:rPr>
              <w:t>previo</w:t>
            </w:r>
            <w:r w:rsidRPr="00401C70">
              <w:rPr>
                <w:rFonts w:ascii="Abadi" w:hAnsi="Abadi" w:cs="Calibri"/>
                <w:spacing w:val="1"/>
                <w:sz w:val="21"/>
                <w:szCs w:val="21"/>
              </w:rPr>
              <w:t xml:space="preserve"> </w:t>
            </w:r>
            <w:r w:rsidRPr="00401C70">
              <w:rPr>
                <w:rFonts w:ascii="Abadi" w:hAnsi="Abadi" w:cs="Calibri"/>
                <w:sz w:val="21"/>
                <w:szCs w:val="21"/>
              </w:rPr>
              <w:t>a</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publicación</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convocatoria.</w:t>
            </w:r>
          </w:p>
        </w:tc>
        <w:tc>
          <w:tcPr>
            <w:tcW w:w="2500" w:type="pct"/>
            <w:tcBorders>
              <w:top w:val="single" w:sz="4" w:space="0" w:color="000000"/>
              <w:left w:val="single" w:sz="4" w:space="0" w:color="000000"/>
              <w:bottom w:val="none" w:sz="6" w:space="0" w:color="auto"/>
              <w:right w:val="single" w:sz="4" w:space="0" w:color="000000"/>
            </w:tcBorders>
          </w:tcPr>
          <w:p w14:paraId="1DB26183" w14:textId="77777777" w:rsidR="00677B7E" w:rsidRPr="00401C70" w:rsidRDefault="00677B7E" w:rsidP="00FA2590">
            <w:pPr>
              <w:kinsoku w:val="0"/>
              <w:overflowPunct w:val="0"/>
              <w:autoSpaceDE w:val="0"/>
              <w:autoSpaceDN w:val="0"/>
              <w:adjustRightInd w:val="0"/>
              <w:spacing w:before="3"/>
              <w:jc w:val="both"/>
              <w:rPr>
                <w:rFonts w:ascii="Abadi" w:hAnsi="Abadi"/>
                <w:sz w:val="21"/>
                <w:szCs w:val="21"/>
              </w:rPr>
            </w:pPr>
          </w:p>
          <w:p w14:paraId="5F53AC4A" w14:textId="77777777" w:rsidR="00677B7E" w:rsidRPr="00401C70" w:rsidRDefault="00677B7E" w:rsidP="00FA2590">
            <w:pPr>
              <w:kinsoku w:val="0"/>
              <w:overflowPunct w:val="0"/>
              <w:autoSpaceDE w:val="0"/>
              <w:autoSpaceDN w:val="0"/>
              <w:adjustRightInd w:val="0"/>
              <w:ind w:left="107" w:right="92"/>
              <w:jc w:val="both"/>
              <w:rPr>
                <w:rFonts w:ascii="Abadi" w:hAnsi="Abadi" w:cs="Calibri"/>
                <w:sz w:val="21"/>
                <w:szCs w:val="21"/>
              </w:rPr>
            </w:pPr>
            <w:r w:rsidRPr="00401C70">
              <w:rPr>
                <w:rFonts w:ascii="Abadi" w:hAnsi="Abadi" w:cs="Calibri"/>
                <w:sz w:val="21"/>
                <w:szCs w:val="21"/>
              </w:rPr>
              <w:t xml:space="preserve">La consulta para la designación de </w:t>
            </w:r>
            <w:r w:rsidRPr="00401C70">
              <w:rPr>
                <w:rFonts w:ascii="Abadi" w:hAnsi="Abadi" w:cs="Calibri"/>
                <w:b/>
                <w:bCs/>
                <w:i/>
                <w:iCs/>
                <w:sz w:val="21"/>
                <w:szCs w:val="21"/>
              </w:rPr>
              <w:t>la persona</w:t>
            </w:r>
            <w:r w:rsidRPr="00401C70">
              <w:rPr>
                <w:rFonts w:ascii="Abadi" w:hAnsi="Abadi" w:cs="Calibri"/>
                <w:b/>
                <w:bCs/>
                <w:i/>
                <w:iCs/>
                <w:spacing w:val="1"/>
                <w:sz w:val="21"/>
                <w:szCs w:val="21"/>
              </w:rPr>
              <w:t xml:space="preserve"> </w:t>
            </w:r>
            <w:r w:rsidRPr="00401C70">
              <w:rPr>
                <w:rFonts w:ascii="Abadi" w:hAnsi="Abadi" w:cs="Calibri"/>
                <w:b/>
                <w:bCs/>
                <w:i/>
                <w:iCs/>
                <w:sz w:val="21"/>
                <w:szCs w:val="21"/>
              </w:rPr>
              <w:t>titular</w:t>
            </w:r>
            <w:r w:rsidRPr="00401C70">
              <w:rPr>
                <w:rFonts w:ascii="Abadi" w:hAnsi="Abadi" w:cs="Calibri"/>
                <w:b/>
                <w:bCs/>
                <w:i/>
                <w:iCs/>
                <w:spacing w:val="1"/>
                <w:sz w:val="21"/>
                <w:szCs w:val="21"/>
              </w:rPr>
              <w:t xml:space="preserve"> </w:t>
            </w:r>
            <w:r w:rsidRPr="00401C70">
              <w:rPr>
                <w:rFonts w:ascii="Abadi" w:hAnsi="Abadi" w:cs="Calibri"/>
                <w:b/>
                <w:bCs/>
                <w:i/>
                <w:iCs/>
                <w:sz w:val="21"/>
                <w:szCs w:val="21"/>
              </w:rPr>
              <w:t>de</w:t>
            </w:r>
            <w:r w:rsidRPr="00401C70">
              <w:rPr>
                <w:rFonts w:ascii="Abadi" w:hAnsi="Abadi" w:cs="Calibri"/>
                <w:b/>
                <w:bCs/>
                <w:i/>
                <w:iCs/>
                <w:spacing w:val="1"/>
                <w:sz w:val="21"/>
                <w:szCs w:val="21"/>
              </w:rPr>
              <w:t xml:space="preserve"> </w:t>
            </w:r>
            <w:r w:rsidRPr="00401C70">
              <w:rPr>
                <w:rFonts w:ascii="Abadi" w:hAnsi="Abadi" w:cs="Calibri"/>
                <w:b/>
                <w:bCs/>
                <w:i/>
                <w:iCs/>
                <w:sz w:val="21"/>
                <w:szCs w:val="21"/>
              </w:rPr>
              <w:t>la</w:t>
            </w:r>
            <w:r w:rsidRPr="00401C70">
              <w:rPr>
                <w:rFonts w:ascii="Abadi" w:hAnsi="Abadi" w:cs="Calibri"/>
                <w:b/>
                <w:bCs/>
                <w:i/>
                <w:iCs/>
                <w:spacing w:val="1"/>
                <w:sz w:val="21"/>
                <w:szCs w:val="21"/>
              </w:rPr>
              <w:t xml:space="preserve"> </w:t>
            </w:r>
            <w:r w:rsidRPr="00401C70">
              <w:rPr>
                <w:rFonts w:ascii="Abadi" w:hAnsi="Abadi" w:cs="Calibri"/>
                <w:b/>
                <w:bCs/>
                <w:i/>
                <w:iCs/>
                <w:sz w:val="21"/>
                <w:szCs w:val="21"/>
              </w:rPr>
              <w:t>Contraloría</w:t>
            </w:r>
            <w:r w:rsidRPr="00401C70">
              <w:rPr>
                <w:rFonts w:ascii="Abadi" w:hAnsi="Abadi" w:cs="Calibri"/>
                <w:b/>
                <w:bCs/>
                <w:i/>
                <w:iCs/>
                <w:spacing w:val="1"/>
                <w:sz w:val="21"/>
                <w:szCs w:val="21"/>
              </w:rPr>
              <w:t xml:space="preserve"> </w:t>
            </w:r>
            <w:r w:rsidRPr="00401C70">
              <w:rPr>
                <w:rFonts w:ascii="Abadi" w:hAnsi="Abadi" w:cs="Calibri"/>
                <w:b/>
                <w:bCs/>
                <w:i/>
                <w:iCs/>
                <w:sz w:val="21"/>
                <w:szCs w:val="21"/>
              </w:rPr>
              <w:t>Municipal</w:t>
            </w:r>
            <w:r w:rsidRPr="00401C70">
              <w:rPr>
                <w:rFonts w:ascii="Abadi" w:hAnsi="Abadi" w:cs="Calibri"/>
                <w:b/>
                <w:bCs/>
                <w:i/>
                <w:iCs/>
                <w:spacing w:val="1"/>
                <w:sz w:val="21"/>
                <w:szCs w:val="21"/>
              </w:rPr>
              <w:t xml:space="preserve"> </w:t>
            </w:r>
            <w:r w:rsidRPr="00401C70">
              <w:rPr>
                <w:rFonts w:ascii="Abadi" w:hAnsi="Abadi" w:cs="Calibri"/>
                <w:sz w:val="21"/>
                <w:szCs w:val="21"/>
              </w:rPr>
              <w:t>estará</w:t>
            </w:r>
            <w:r w:rsidRPr="00401C70">
              <w:rPr>
                <w:rFonts w:ascii="Abadi" w:hAnsi="Abadi" w:cs="Calibri"/>
                <w:spacing w:val="1"/>
                <w:sz w:val="21"/>
                <w:szCs w:val="21"/>
              </w:rPr>
              <w:t xml:space="preserve"> </w:t>
            </w:r>
            <w:r w:rsidRPr="00401C70">
              <w:rPr>
                <w:rFonts w:ascii="Abadi" w:hAnsi="Abadi" w:cs="Calibri"/>
                <w:sz w:val="21"/>
                <w:szCs w:val="21"/>
              </w:rPr>
              <w:t>a</w:t>
            </w:r>
            <w:r w:rsidRPr="00401C70">
              <w:rPr>
                <w:rFonts w:ascii="Abadi" w:hAnsi="Abadi" w:cs="Calibri"/>
                <w:spacing w:val="-47"/>
                <w:sz w:val="21"/>
                <w:szCs w:val="21"/>
              </w:rPr>
              <w:t xml:space="preserve"> </w:t>
            </w:r>
            <w:r w:rsidRPr="00401C70">
              <w:rPr>
                <w:rFonts w:ascii="Abadi" w:hAnsi="Abadi" w:cs="Calibri"/>
                <w:sz w:val="21"/>
                <w:szCs w:val="21"/>
              </w:rPr>
              <w:t>cargo del Comité Municipal Ciudadano, quien</w:t>
            </w:r>
            <w:r w:rsidRPr="00401C70">
              <w:rPr>
                <w:rFonts w:ascii="Abadi" w:hAnsi="Abadi" w:cs="Calibri"/>
                <w:spacing w:val="1"/>
                <w:sz w:val="21"/>
                <w:szCs w:val="21"/>
              </w:rPr>
              <w:t xml:space="preserve"> </w:t>
            </w:r>
            <w:r w:rsidRPr="00401C70">
              <w:rPr>
                <w:rFonts w:ascii="Abadi" w:hAnsi="Abadi" w:cs="Calibri"/>
                <w:sz w:val="21"/>
                <w:szCs w:val="21"/>
              </w:rPr>
              <w:t>podrá</w:t>
            </w:r>
            <w:r w:rsidRPr="00401C70">
              <w:rPr>
                <w:rFonts w:ascii="Abadi" w:hAnsi="Abadi" w:cs="Calibri"/>
                <w:spacing w:val="1"/>
                <w:sz w:val="21"/>
                <w:szCs w:val="21"/>
              </w:rPr>
              <w:t xml:space="preserve"> </w:t>
            </w:r>
            <w:r w:rsidRPr="00401C70">
              <w:rPr>
                <w:rFonts w:ascii="Abadi" w:hAnsi="Abadi" w:cs="Calibri"/>
                <w:sz w:val="21"/>
                <w:szCs w:val="21"/>
              </w:rPr>
              <w:t>solicitar</w:t>
            </w:r>
            <w:r w:rsidRPr="00401C70">
              <w:rPr>
                <w:rFonts w:ascii="Abadi" w:hAnsi="Abadi" w:cs="Calibri"/>
                <w:spacing w:val="1"/>
                <w:sz w:val="21"/>
                <w:szCs w:val="21"/>
              </w:rPr>
              <w:t xml:space="preserve"> </w:t>
            </w:r>
            <w:r w:rsidRPr="00401C70">
              <w:rPr>
                <w:rFonts w:ascii="Abadi" w:hAnsi="Abadi" w:cs="Calibri"/>
                <w:sz w:val="21"/>
                <w:szCs w:val="21"/>
              </w:rPr>
              <w:t>asesoría</w:t>
            </w:r>
            <w:r w:rsidRPr="00401C70">
              <w:rPr>
                <w:rFonts w:ascii="Abadi" w:hAnsi="Abadi" w:cs="Calibri"/>
                <w:spacing w:val="1"/>
                <w:sz w:val="21"/>
                <w:szCs w:val="21"/>
              </w:rPr>
              <w:t xml:space="preserve"> </w:t>
            </w:r>
            <w:r w:rsidRPr="00401C70">
              <w:rPr>
                <w:rFonts w:ascii="Abadi" w:hAnsi="Abadi" w:cs="Calibri"/>
                <w:sz w:val="21"/>
                <w:szCs w:val="21"/>
              </w:rPr>
              <w:t>al</w:t>
            </w:r>
            <w:r w:rsidRPr="00401C70">
              <w:rPr>
                <w:rFonts w:ascii="Abadi" w:hAnsi="Abadi" w:cs="Calibri"/>
                <w:spacing w:val="1"/>
                <w:sz w:val="21"/>
                <w:szCs w:val="21"/>
              </w:rPr>
              <w:t xml:space="preserve"> </w:t>
            </w:r>
            <w:r w:rsidRPr="00401C70">
              <w:rPr>
                <w:rFonts w:ascii="Abadi" w:hAnsi="Abadi" w:cs="Calibri"/>
                <w:sz w:val="21"/>
                <w:szCs w:val="21"/>
              </w:rPr>
              <w:t>Comité</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Participación</w:t>
            </w:r>
            <w:r w:rsidRPr="00401C70">
              <w:rPr>
                <w:rFonts w:ascii="Abadi" w:hAnsi="Abadi" w:cs="Calibri"/>
                <w:spacing w:val="1"/>
                <w:sz w:val="21"/>
                <w:szCs w:val="21"/>
              </w:rPr>
              <w:t xml:space="preserve"> </w:t>
            </w:r>
            <w:r w:rsidRPr="00401C70">
              <w:rPr>
                <w:rFonts w:ascii="Abadi" w:hAnsi="Abadi" w:cs="Calibri"/>
                <w:sz w:val="21"/>
                <w:szCs w:val="21"/>
              </w:rPr>
              <w:t>Ciudadana</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Sistema</w:t>
            </w:r>
            <w:r w:rsidRPr="00401C70">
              <w:rPr>
                <w:rFonts w:ascii="Abadi" w:hAnsi="Abadi" w:cs="Calibri"/>
                <w:spacing w:val="1"/>
                <w:sz w:val="21"/>
                <w:szCs w:val="21"/>
              </w:rPr>
              <w:t xml:space="preserve"> </w:t>
            </w:r>
            <w:r w:rsidRPr="00401C70">
              <w:rPr>
                <w:rFonts w:ascii="Abadi" w:hAnsi="Abadi" w:cs="Calibri"/>
                <w:sz w:val="21"/>
                <w:szCs w:val="21"/>
              </w:rPr>
              <w:t>Estatal</w:t>
            </w:r>
            <w:r w:rsidRPr="00401C70">
              <w:rPr>
                <w:rFonts w:ascii="Abadi" w:hAnsi="Abadi" w:cs="Calibri"/>
                <w:spacing w:val="1"/>
                <w:sz w:val="21"/>
                <w:szCs w:val="21"/>
              </w:rPr>
              <w:t xml:space="preserve"> </w:t>
            </w:r>
            <w:r w:rsidRPr="00401C70">
              <w:rPr>
                <w:rFonts w:ascii="Abadi" w:hAnsi="Abadi" w:cs="Calibri"/>
                <w:sz w:val="21"/>
                <w:szCs w:val="21"/>
              </w:rPr>
              <w:t>Anticorrupción</w:t>
            </w:r>
            <w:r w:rsidRPr="00401C70">
              <w:rPr>
                <w:rFonts w:ascii="Abadi" w:hAnsi="Abadi" w:cs="Calibri"/>
                <w:spacing w:val="1"/>
                <w:sz w:val="21"/>
                <w:szCs w:val="21"/>
              </w:rPr>
              <w:t xml:space="preserve"> </w:t>
            </w:r>
            <w:r w:rsidRPr="00401C70">
              <w:rPr>
                <w:rFonts w:ascii="Abadi" w:hAnsi="Abadi" w:cs="Calibri"/>
                <w:sz w:val="21"/>
                <w:szCs w:val="21"/>
              </w:rPr>
              <w:t>sobre</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mecanismo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consulta,</w:t>
            </w:r>
            <w:r w:rsidRPr="00401C70">
              <w:rPr>
                <w:rFonts w:ascii="Abadi" w:hAnsi="Abadi" w:cs="Calibri"/>
                <w:spacing w:val="1"/>
                <w:sz w:val="21"/>
                <w:szCs w:val="21"/>
              </w:rPr>
              <w:t xml:space="preserve"> </w:t>
            </w:r>
            <w:r w:rsidRPr="00401C70">
              <w:rPr>
                <w:rFonts w:ascii="Abadi" w:hAnsi="Abadi" w:cs="Calibri"/>
                <w:sz w:val="21"/>
                <w:szCs w:val="21"/>
              </w:rPr>
              <w:t>previo</w:t>
            </w:r>
            <w:r w:rsidRPr="00401C70">
              <w:rPr>
                <w:rFonts w:ascii="Abadi" w:hAnsi="Abadi" w:cs="Calibri"/>
                <w:spacing w:val="1"/>
                <w:sz w:val="21"/>
                <w:szCs w:val="21"/>
              </w:rPr>
              <w:t xml:space="preserve"> </w:t>
            </w:r>
            <w:r w:rsidRPr="00401C70">
              <w:rPr>
                <w:rFonts w:ascii="Abadi" w:hAnsi="Abadi" w:cs="Calibri"/>
                <w:sz w:val="21"/>
                <w:szCs w:val="21"/>
              </w:rPr>
              <w:t>a</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publicación</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convocatoria.</w:t>
            </w:r>
          </w:p>
        </w:tc>
      </w:tr>
      <w:tr w:rsidR="00677B7E" w:rsidRPr="00401C70" w14:paraId="05D9D8E1" w14:textId="77777777" w:rsidTr="00EE3E2D">
        <w:trPr>
          <w:trHeight w:val="920"/>
        </w:trPr>
        <w:tc>
          <w:tcPr>
            <w:tcW w:w="2500" w:type="pct"/>
            <w:tcBorders>
              <w:top w:val="none" w:sz="6" w:space="0" w:color="auto"/>
              <w:left w:val="single" w:sz="4" w:space="0" w:color="000000"/>
              <w:bottom w:val="single" w:sz="4" w:space="0" w:color="000000"/>
              <w:right w:val="single" w:sz="4" w:space="0" w:color="000000"/>
            </w:tcBorders>
          </w:tcPr>
          <w:p w14:paraId="753C8EF3" w14:textId="77777777" w:rsidR="00677B7E" w:rsidRPr="00401C70" w:rsidRDefault="00677B7E" w:rsidP="00FA2590">
            <w:pPr>
              <w:kinsoku w:val="0"/>
              <w:overflowPunct w:val="0"/>
              <w:autoSpaceDE w:val="0"/>
              <w:autoSpaceDN w:val="0"/>
              <w:adjustRightInd w:val="0"/>
              <w:spacing w:before="92" w:line="270" w:lineRule="atLeast"/>
              <w:ind w:left="107" w:right="93"/>
              <w:jc w:val="both"/>
              <w:rPr>
                <w:rFonts w:ascii="Abadi" w:hAnsi="Abadi" w:cs="Calibri"/>
                <w:sz w:val="21"/>
                <w:szCs w:val="21"/>
              </w:rPr>
            </w:pPr>
            <w:r w:rsidRPr="00401C70">
              <w:rPr>
                <w:rFonts w:ascii="Abadi" w:hAnsi="Abadi" w:cs="Calibri"/>
                <w:sz w:val="21"/>
                <w:szCs w:val="21"/>
              </w:rPr>
              <w:t>La violación al procedimiento de designación</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Contralor</w:t>
            </w:r>
            <w:r w:rsidRPr="00401C70">
              <w:rPr>
                <w:rFonts w:ascii="Abadi" w:hAnsi="Abadi" w:cs="Calibri"/>
                <w:spacing w:val="1"/>
                <w:sz w:val="21"/>
                <w:szCs w:val="21"/>
              </w:rPr>
              <w:t xml:space="preserve"> </w:t>
            </w:r>
            <w:r w:rsidRPr="00401C70">
              <w:rPr>
                <w:rFonts w:ascii="Abadi" w:hAnsi="Abadi" w:cs="Calibri"/>
                <w:sz w:val="21"/>
                <w:szCs w:val="21"/>
              </w:rPr>
              <w:t>Municipal</w:t>
            </w:r>
            <w:r w:rsidRPr="00401C70">
              <w:rPr>
                <w:rFonts w:ascii="Abadi" w:hAnsi="Abadi" w:cs="Calibri"/>
                <w:spacing w:val="1"/>
                <w:sz w:val="21"/>
                <w:szCs w:val="21"/>
              </w:rPr>
              <w:t xml:space="preserve"> </w:t>
            </w:r>
            <w:r w:rsidRPr="00401C70">
              <w:rPr>
                <w:rFonts w:ascii="Abadi" w:hAnsi="Abadi" w:cs="Calibri"/>
                <w:sz w:val="21"/>
                <w:szCs w:val="21"/>
              </w:rPr>
              <w:t>estará</w:t>
            </w:r>
            <w:r w:rsidRPr="00401C70">
              <w:rPr>
                <w:rFonts w:ascii="Abadi" w:hAnsi="Abadi" w:cs="Calibri"/>
                <w:spacing w:val="1"/>
                <w:sz w:val="21"/>
                <w:szCs w:val="21"/>
              </w:rPr>
              <w:t xml:space="preserve"> </w:t>
            </w:r>
            <w:r w:rsidRPr="00401C70">
              <w:rPr>
                <w:rFonts w:ascii="Abadi" w:hAnsi="Abadi" w:cs="Calibri"/>
                <w:sz w:val="21"/>
                <w:szCs w:val="21"/>
              </w:rPr>
              <w:t>afectada</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nulidad.</w:t>
            </w:r>
          </w:p>
        </w:tc>
        <w:tc>
          <w:tcPr>
            <w:tcW w:w="2500" w:type="pct"/>
            <w:tcBorders>
              <w:top w:val="none" w:sz="6" w:space="0" w:color="auto"/>
              <w:left w:val="single" w:sz="4" w:space="0" w:color="000000"/>
              <w:bottom w:val="single" w:sz="4" w:space="0" w:color="000000"/>
              <w:right w:val="single" w:sz="4" w:space="0" w:color="000000"/>
            </w:tcBorders>
          </w:tcPr>
          <w:p w14:paraId="2F4504E7" w14:textId="77777777" w:rsidR="00677B7E" w:rsidRPr="00401C70" w:rsidRDefault="00677B7E" w:rsidP="00FA2590">
            <w:pPr>
              <w:kinsoku w:val="0"/>
              <w:overflowPunct w:val="0"/>
              <w:autoSpaceDE w:val="0"/>
              <w:autoSpaceDN w:val="0"/>
              <w:adjustRightInd w:val="0"/>
              <w:spacing w:before="92" w:line="270" w:lineRule="atLeast"/>
              <w:ind w:left="107" w:right="95"/>
              <w:jc w:val="both"/>
              <w:rPr>
                <w:rFonts w:ascii="Abadi" w:hAnsi="Abadi" w:cs="Calibri"/>
                <w:sz w:val="21"/>
                <w:szCs w:val="21"/>
              </w:rPr>
            </w:pPr>
            <w:r w:rsidRPr="00401C70">
              <w:rPr>
                <w:rFonts w:ascii="Abadi" w:hAnsi="Abadi" w:cs="Calibri"/>
                <w:sz w:val="21"/>
                <w:szCs w:val="21"/>
              </w:rPr>
              <w:t>La violación al procedimiento de designación</w:t>
            </w:r>
            <w:r w:rsidRPr="00401C70">
              <w:rPr>
                <w:rFonts w:ascii="Abadi" w:hAnsi="Abadi" w:cs="Calibri"/>
                <w:spacing w:val="1"/>
                <w:sz w:val="21"/>
                <w:szCs w:val="21"/>
              </w:rPr>
              <w:t xml:space="preserve"> </w:t>
            </w:r>
            <w:r w:rsidRPr="00401C70">
              <w:rPr>
                <w:rFonts w:ascii="Abadi" w:hAnsi="Abadi" w:cs="Calibri"/>
                <w:b/>
                <w:bCs/>
                <w:i/>
                <w:iCs/>
                <w:sz w:val="21"/>
                <w:szCs w:val="21"/>
              </w:rPr>
              <w:t>de</w:t>
            </w:r>
            <w:r w:rsidRPr="00401C70">
              <w:rPr>
                <w:rFonts w:ascii="Abadi" w:hAnsi="Abadi" w:cs="Calibri"/>
                <w:b/>
                <w:bCs/>
                <w:i/>
                <w:iCs/>
                <w:spacing w:val="1"/>
                <w:sz w:val="21"/>
                <w:szCs w:val="21"/>
              </w:rPr>
              <w:t xml:space="preserve"> </w:t>
            </w:r>
            <w:r w:rsidRPr="00401C70">
              <w:rPr>
                <w:rFonts w:ascii="Abadi" w:hAnsi="Abadi" w:cs="Calibri"/>
                <w:b/>
                <w:bCs/>
                <w:i/>
                <w:iCs/>
                <w:sz w:val="21"/>
                <w:szCs w:val="21"/>
              </w:rPr>
              <w:t>la</w:t>
            </w:r>
            <w:r w:rsidRPr="00401C70">
              <w:rPr>
                <w:rFonts w:ascii="Abadi" w:hAnsi="Abadi" w:cs="Calibri"/>
                <w:b/>
                <w:bCs/>
                <w:i/>
                <w:iCs/>
                <w:spacing w:val="1"/>
                <w:sz w:val="21"/>
                <w:szCs w:val="21"/>
              </w:rPr>
              <w:t xml:space="preserve"> </w:t>
            </w:r>
            <w:r w:rsidRPr="00401C70">
              <w:rPr>
                <w:rFonts w:ascii="Abadi" w:hAnsi="Abadi" w:cs="Calibri"/>
                <w:b/>
                <w:bCs/>
                <w:i/>
                <w:iCs/>
                <w:sz w:val="21"/>
                <w:szCs w:val="21"/>
              </w:rPr>
              <w:t>persona</w:t>
            </w:r>
            <w:r w:rsidRPr="00401C70">
              <w:rPr>
                <w:rFonts w:ascii="Abadi" w:hAnsi="Abadi" w:cs="Calibri"/>
                <w:b/>
                <w:bCs/>
                <w:i/>
                <w:iCs/>
                <w:spacing w:val="1"/>
                <w:sz w:val="21"/>
                <w:szCs w:val="21"/>
              </w:rPr>
              <w:t xml:space="preserve"> </w:t>
            </w:r>
            <w:r w:rsidRPr="00401C70">
              <w:rPr>
                <w:rFonts w:ascii="Abadi" w:hAnsi="Abadi" w:cs="Calibri"/>
                <w:b/>
                <w:bCs/>
                <w:i/>
                <w:iCs/>
                <w:sz w:val="21"/>
                <w:szCs w:val="21"/>
              </w:rPr>
              <w:t>titular</w:t>
            </w:r>
            <w:r w:rsidRPr="00401C70">
              <w:rPr>
                <w:rFonts w:ascii="Abadi" w:hAnsi="Abadi" w:cs="Calibri"/>
                <w:b/>
                <w:bCs/>
                <w:i/>
                <w:iCs/>
                <w:spacing w:val="1"/>
                <w:sz w:val="21"/>
                <w:szCs w:val="21"/>
              </w:rPr>
              <w:t xml:space="preserve"> </w:t>
            </w:r>
            <w:r w:rsidRPr="00401C70">
              <w:rPr>
                <w:rFonts w:ascii="Abadi" w:hAnsi="Abadi" w:cs="Calibri"/>
                <w:b/>
                <w:bCs/>
                <w:i/>
                <w:iCs/>
                <w:sz w:val="21"/>
                <w:szCs w:val="21"/>
              </w:rPr>
              <w:t>de</w:t>
            </w:r>
            <w:r w:rsidRPr="00401C70">
              <w:rPr>
                <w:rFonts w:ascii="Abadi" w:hAnsi="Abadi" w:cs="Calibri"/>
                <w:b/>
                <w:bCs/>
                <w:i/>
                <w:iCs/>
                <w:spacing w:val="1"/>
                <w:sz w:val="21"/>
                <w:szCs w:val="21"/>
              </w:rPr>
              <w:t xml:space="preserve"> </w:t>
            </w:r>
            <w:r w:rsidRPr="00401C70">
              <w:rPr>
                <w:rFonts w:ascii="Abadi" w:hAnsi="Abadi" w:cs="Calibri"/>
                <w:b/>
                <w:bCs/>
                <w:i/>
                <w:iCs/>
                <w:sz w:val="21"/>
                <w:szCs w:val="21"/>
              </w:rPr>
              <w:t>la</w:t>
            </w:r>
            <w:r w:rsidRPr="00401C70">
              <w:rPr>
                <w:rFonts w:ascii="Abadi" w:hAnsi="Abadi" w:cs="Calibri"/>
                <w:b/>
                <w:bCs/>
                <w:i/>
                <w:iCs/>
                <w:spacing w:val="1"/>
                <w:sz w:val="21"/>
                <w:szCs w:val="21"/>
              </w:rPr>
              <w:t xml:space="preserve"> </w:t>
            </w:r>
            <w:r w:rsidRPr="00401C70">
              <w:rPr>
                <w:rFonts w:ascii="Abadi" w:hAnsi="Abadi" w:cs="Calibri"/>
                <w:b/>
                <w:bCs/>
                <w:i/>
                <w:iCs/>
                <w:sz w:val="21"/>
                <w:szCs w:val="21"/>
              </w:rPr>
              <w:t>Contraloría</w:t>
            </w:r>
            <w:r w:rsidRPr="00401C70">
              <w:rPr>
                <w:rFonts w:ascii="Abadi" w:hAnsi="Abadi" w:cs="Calibri"/>
                <w:b/>
                <w:bCs/>
                <w:i/>
                <w:iCs/>
                <w:spacing w:val="1"/>
                <w:sz w:val="21"/>
                <w:szCs w:val="21"/>
              </w:rPr>
              <w:t xml:space="preserve"> </w:t>
            </w:r>
            <w:r w:rsidRPr="00401C70">
              <w:rPr>
                <w:rFonts w:ascii="Abadi" w:hAnsi="Abadi" w:cs="Calibri"/>
                <w:b/>
                <w:bCs/>
                <w:i/>
                <w:iCs/>
                <w:sz w:val="21"/>
                <w:szCs w:val="21"/>
              </w:rPr>
              <w:t>Municipal</w:t>
            </w:r>
            <w:r w:rsidRPr="00401C70">
              <w:rPr>
                <w:rFonts w:ascii="Abadi" w:hAnsi="Abadi" w:cs="Calibri"/>
                <w:b/>
                <w:bCs/>
                <w:i/>
                <w:iCs/>
                <w:spacing w:val="-2"/>
                <w:sz w:val="21"/>
                <w:szCs w:val="21"/>
              </w:rPr>
              <w:t xml:space="preserve"> </w:t>
            </w:r>
            <w:r w:rsidRPr="00401C70">
              <w:rPr>
                <w:rFonts w:ascii="Abadi" w:hAnsi="Abadi" w:cs="Calibri"/>
                <w:sz w:val="21"/>
                <w:szCs w:val="21"/>
              </w:rPr>
              <w:t>estará</w:t>
            </w:r>
            <w:r w:rsidRPr="00401C70">
              <w:rPr>
                <w:rFonts w:ascii="Abadi" w:hAnsi="Abadi" w:cs="Calibri"/>
                <w:spacing w:val="-3"/>
                <w:sz w:val="21"/>
                <w:szCs w:val="21"/>
              </w:rPr>
              <w:t xml:space="preserve"> </w:t>
            </w:r>
            <w:r w:rsidRPr="00401C70">
              <w:rPr>
                <w:rFonts w:ascii="Abadi" w:hAnsi="Abadi" w:cs="Calibri"/>
                <w:sz w:val="21"/>
                <w:szCs w:val="21"/>
              </w:rPr>
              <w:t>afectada</w:t>
            </w:r>
            <w:r w:rsidRPr="00401C70">
              <w:rPr>
                <w:rFonts w:ascii="Abadi" w:hAnsi="Abadi" w:cs="Calibri"/>
                <w:spacing w:val="-3"/>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nulidad.</w:t>
            </w:r>
          </w:p>
        </w:tc>
      </w:tr>
      <w:tr w:rsidR="00677B7E" w:rsidRPr="00401C70" w14:paraId="5D65734A" w14:textId="77777777" w:rsidTr="00EE3E2D">
        <w:trPr>
          <w:trHeight w:val="2570"/>
        </w:trPr>
        <w:tc>
          <w:tcPr>
            <w:tcW w:w="2500" w:type="pct"/>
            <w:tcBorders>
              <w:top w:val="single" w:sz="4" w:space="0" w:color="000000"/>
              <w:left w:val="single" w:sz="4" w:space="0" w:color="000000"/>
              <w:bottom w:val="none" w:sz="6" w:space="0" w:color="auto"/>
              <w:right w:val="single" w:sz="4" w:space="0" w:color="000000"/>
            </w:tcBorders>
          </w:tcPr>
          <w:p w14:paraId="1161E3BE" w14:textId="77777777" w:rsidR="00677B7E" w:rsidRPr="00401C70" w:rsidRDefault="00677B7E" w:rsidP="00FA2590">
            <w:pPr>
              <w:kinsoku w:val="0"/>
              <w:overflowPunct w:val="0"/>
              <w:autoSpaceDE w:val="0"/>
              <w:autoSpaceDN w:val="0"/>
              <w:adjustRightInd w:val="0"/>
              <w:ind w:left="107" w:right="93"/>
              <w:jc w:val="both"/>
              <w:rPr>
                <w:rFonts w:ascii="Abadi" w:hAnsi="Abadi" w:cs="Calibri"/>
                <w:sz w:val="21"/>
                <w:szCs w:val="21"/>
              </w:rPr>
            </w:pPr>
            <w:r w:rsidRPr="00401C70">
              <w:rPr>
                <w:rFonts w:ascii="Abadi" w:hAnsi="Abadi" w:cs="Calibri"/>
                <w:b/>
                <w:bCs/>
                <w:sz w:val="21"/>
                <w:szCs w:val="21"/>
              </w:rPr>
              <w:t xml:space="preserve">Artículo 131-1. </w:t>
            </w:r>
            <w:r w:rsidRPr="00401C70">
              <w:rPr>
                <w:rFonts w:ascii="Abadi" w:hAnsi="Abadi" w:cs="Calibri"/>
                <w:sz w:val="21"/>
                <w:szCs w:val="21"/>
              </w:rPr>
              <w:t>El Ayuntamiento constituirá un</w:t>
            </w:r>
            <w:r w:rsidRPr="00401C70">
              <w:rPr>
                <w:rFonts w:ascii="Abadi" w:hAnsi="Abadi" w:cs="Calibri"/>
                <w:spacing w:val="-47"/>
                <w:sz w:val="21"/>
                <w:szCs w:val="21"/>
              </w:rPr>
              <w:t xml:space="preserve"> </w:t>
            </w:r>
            <w:r w:rsidRPr="00401C70">
              <w:rPr>
                <w:rFonts w:ascii="Abadi" w:hAnsi="Abadi" w:cs="Calibri"/>
                <w:sz w:val="21"/>
                <w:szCs w:val="21"/>
              </w:rPr>
              <w:t>Comité</w:t>
            </w:r>
            <w:r w:rsidRPr="00401C70">
              <w:rPr>
                <w:rFonts w:ascii="Abadi" w:hAnsi="Abadi" w:cs="Calibri"/>
                <w:spacing w:val="1"/>
                <w:sz w:val="21"/>
                <w:szCs w:val="21"/>
              </w:rPr>
              <w:t xml:space="preserve"> </w:t>
            </w:r>
            <w:r w:rsidRPr="00401C70">
              <w:rPr>
                <w:rFonts w:ascii="Abadi" w:hAnsi="Abadi" w:cs="Calibri"/>
                <w:sz w:val="21"/>
                <w:szCs w:val="21"/>
              </w:rPr>
              <w:t>Municipal</w:t>
            </w:r>
            <w:r w:rsidRPr="00401C70">
              <w:rPr>
                <w:rFonts w:ascii="Abadi" w:hAnsi="Abadi" w:cs="Calibri"/>
                <w:spacing w:val="1"/>
                <w:sz w:val="21"/>
                <w:szCs w:val="21"/>
              </w:rPr>
              <w:t xml:space="preserve"> </w:t>
            </w:r>
            <w:r w:rsidRPr="00401C70">
              <w:rPr>
                <w:rFonts w:ascii="Abadi" w:hAnsi="Abadi" w:cs="Calibri"/>
                <w:sz w:val="21"/>
                <w:szCs w:val="21"/>
              </w:rPr>
              <w:t>Ciudadano</w:t>
            </w:r>
            <w:r w:rsidRPr="00401C70">
              <w:rPr>
                <w:rFonts w:ascii="Abadi" w:hAnsi="Abadi" w:cs="Calibri"/>
                <w:spacing w:val="1"/>
                <w:sz w:val="21"/>
                <w:szCs w:val="21"/>
              </w:rPr>
              <w:t xml:space="preserve"> </w:t>
            </w:r>
            <w:r w:rsidRPr="00401C70">
              <w:rPr>
                <w:rFonts w:ascii="Abadi" w:hAnsi="Abadi" w:cs="Calibri"/>
                <w:sz w:val="21"/>
                <w:szCs w:val="21"/>
              </w:rPr>
              <w:t>integrado</w:t>
            </w:r>
            <w:r w:rsidRPr="00401C70">
              <w:rPr>
                <w:rFonts w:ascii="Abadi" w:hAnsi="Abadi" w:cs="Calibri"/>
                <w:spacing w:val="1"/>
                <w:sz w:val="21"/>
                <w:szCs w:val="21"/>
              </w:rPr>
              <w:t xml:space="preserve"> </w:t>
            </w:r>
            <w:r w:rsidRPr="00401C70">
              <w:rPr>
                <w:rFonts w:ascii="Abadi" w:hAnsi="Abadi" w:cs="Calibri"/>
                <w:sz w:val="21"/>
                <w:szCs w:val="21"/>
              </w:rPr>
              <w:t>por</w:t>
            </w:r>
            <w:r w:rsidRPr="00401C70">
              <w:rPr>
                <w:rFonts w:ascii="Abadi" w:hAnsi="Abadi" w:cs="Calibri"/>
                <w:spacing w:val="1"/>
                <w:sz w:val="21"/>
                <w:szCs w:val="21"/>
              </w:rPr>
              <w:t xml:space="preserve"> </w:t>
            </w:r>
            <w:r w:rsidRPr="00401C70">
              <w:rPr>
                <w:rFonts w:ascii="Abadi" w:hAnsi="Abadi" w:cs="Calibri"/>
                <w:sz w:val="21"/>
                <w:szCs w:val="21"/>
              </w:rPr>
              <w:t>cinco ciudadanos, su cargo será honorífico y</w:t>
            </w:r>
            <w:r w:rsidRPr="00401C70">
              <w:rPr>
                <w:rFonts w:ascii="Abadi" w:hAnsi="Abadi" w:cs="Calibri"/>
                <w:spacing w:val="1"/>
                <w:sz w:val="21"/>
                <w:szCs w:val="21"/>
              </w:rPr>
              <w:t xml:space="preserve"> </w:t>
            </w:r>
            <w:r w:rsidRPr="00401C70">
              <w:rPr>
                <w:rFonts w:ascii="Abadi" w:hAnsi="Abadi" w:cs="Calibri"/>
                <w:sz w:val="21"/>
                <w:szCs w:val="21"/>
              </w:rPr>
              <w:t>durará cuatro años, no tendrán interés alguno</w:t>
            </w:r>
            <w:r w:rsidRPr="00401C70">
              <w:rPr>
                <w:rFonts w:ascii="Abadi" w:hAnsi="Abadi" w:cs="Calibri"/>
                <w:spacing w:val="1"/>
                <w:sz w:val="21"/>
                <w:szCs w:val="21"/>
              </w:rPr>
              <w:t xml:space="preserve"> </w:t>
            </w:r>
            <w:r w:rsidRPr="00401C70">
              <w:rPr>
                <w:rFonts w:ascii="Abadi" w:hAnsi="Abadi" w:cs="Calibri"/>
                <w:sz w:val="21"/>
                <w:szCs w:val="21"/>
              </w:rPr>
              <w:t>con</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Ayuntamiento</w:t>
            </w:r>
            <w:r w:rsidRPr="00401C70">
              <w:rPr>
                <w:rFonts w:ascii="Abadi" w:hAnsi="Abadi" w:cs="Calibri"/>
                <w:spacing w:val="1"/>
                <w:sz w:val="21"/>
                <w:szCs w:val="21"/>
              </w:rPr>
              <w:t xml:space="preserve"> </w:t>
            </w:r>
            <w:r w:rsidRPr="00401C70">
              <w:rPr>
                <w:rFonts w:ascii="Abadi" w:hAnsi="Abadi" w:cs="Calibri"/>
                <w:sz w:val="21"/>
                <w:szCs w:val="21"/>
              </w:rPr>
              <w:t>y</w:t>
            </w:r>
            <w:r w:rsidRPr="00401C70">
              <w:rPr>
                <w:rFonts w:ascii="Abadi" w:hAnsi="Abadi" w:cs="Calibri"/>
                <w:spacing w:val="1"/>
                <w:sz w:val="21"/>
                <w:szCs w:val="21"/>
              </w:rPr>
              <w:t xml:space="preserve"> </w:t>
            </w:r>
            <w:r w:rsidRPr="00401C70">
              <w:rPr>
                <w:rFonts w:ascii="Abadi" w:hAnsi="Abadi" w:cs="Calibri"/>
                <w:sz w:val="21"/>
                <w:szCs w:val="21"/>
              </w:rPr>
              <w:t>no</w:t>
            </w:r>
            <w:r w:rsidRPr="00401C70">
              <w:rPr>
                <w:rFonts w:ascii="Abadi" w:hAnsi="Abadi" w:cs="Calibri"/>
                <w:spacing w:val="1"/>
                <w:sz w:val="21"/>
                <w:szCs w:val="21"/>
              </w:rPr>
              <w:t xml:space="preserve"> </w:t>
            </w:r>
            <w:r w:rsidRPr="00401C70">
              <w:rPr>
                <w:rFonts w:ascii="Abadi" w:hAnsi="Abadi" w:cs="Calibri"/>
                <w:sz w:val="21"/>
                <w:szCs w:val="21"/>
              </w:rPr>
              <w:t>podrán</w:t>
            </w:r>
            <w:r w:rsidRPr="00401C70">
              <w:rPr>
                <w:rFonts w:ascii="Abadi" w:hAnsi="Abadi" w:cs="Calibri"/>
                <w:spacing w:val="1"/>
                <w:sz w:val="21"/>
                <w:szCs w:val="21"/>
              </w:rPr>
              <w:t xml:space="preserve"> </w:t>
            </w:r>
            <w:r w:rsidRPr="00401C70">
              <w:rPr>
                <w:rFonts w:ascii="Abadi" w:hAnsi="Abadi" w:cs="Calibri"/>
                <w:sz w:val="21"/>
                <w:szCs w:val="21"/>
              </w:rPr>
              <w:t>ser</w:t>
            </w:r>
            <w:r w:rsidRPr="00401C70">
              <w:rPr>
                <w:rFonts w:ascii="Abadi" w:hAnsi="Abadi" w:cs="Calibri"/>
                <w:spacing w:val="1"/>
                <w:sz w:val="21"/>
                <w:szCs w:val="21"/>
              </w:rPr>
              <w:t xml:space="preserve"> </w:t>
            </w:r>
            <w:r w:rsidRPr="00401C70">
              <w:rPr>
                <w:rFonts w:ascii="Abadi" w:hAnsi="Abadi" w:cs="Calibri"/>
                <w:sz w:val="21"/>
                <w:szCs w:val="21"/>
              </w:rPr>
              <w:t>propuestos</w:t>
            </w:r>
            <w:r w:rsidRPr="00401C70">
              <w:rPr>
                <w:rFonts w:ascii="Abadi" w:hAnsi="Abadi" w:cs="Calibri"/>
                <w:spacing w:val="1"/>
                <w:sz w:val="21"/>
                <w:szCs w:val="21"/>
              </w:rPr>
              <w:t xml:space="preserve"> </w:t>
            </w:r>
            <w:r w:rsidRPr="00401C70">
              <w:rPr>
                <w:rFonts w:ascii="Abadi" w:hAnsi="Abadi" w:cs="Calibri"/>
                <w:sz w:val="21"/>
                <w:szCs w:val="21"/>
              </w:rPr>
              <w:t>como</w:t>
            </w:r>
            <w:r w:rsidRPr="00401C70">
              <w:rPr>
                <w:rFonts w:ascii="Abadi" w:hAnsi="Abadi" w:cs="Calibri"/>
                <w:spacing w:val="1"/>
                <w:sz w:val="21"/>
                <w:szCs w:val="21"/>
              </w:rPr>
              <w:t xml:space="preserve"> </w:t>
            </w:r>
            <w:r w:rsidRPr="00401C70">
              <w:rPr>
                <w:rFonts w:ascii="Abadi" w:hAnsi="Abadi" w:cs="Calibri"/>
                <w:sz w:val="21"/>
                <w:szCs w:val="21"/>
              </w:rPr>
              <w:t>candidatos</w:t>
            </w:r>
            <w:r w:rsidRPr="00401C70">
              <w:rPr>
                <w:rFonts w:ascii="Abadi" w:hAnsi="Abadi" w:cs="Calibri"/>
                <w:spacing w:val="1"/>
                <w:sz w:val="21"/>
                <w:szCs w:val="21"/>
              </w:rPr>
              <w:t xml:space="preserve"> </w:t>
            </w:r>
            <w:r w:rsidRPr="00401C70">
              <w:rPr>
                <w:rFonts w:ascii="Abadi" w:hAnsi="Abadi" w:cs="Calibri"/>
                <w:sz w:val="21"/>
                <w:szCs w:val="21"/>
              </w:rPr>
              <w:t>al</w:t>
            </w:r>
            <w:r w:rsidRPr="00401C70">
              <w:rPr>
                <w:rFonts w:ascii="Abadi" w:hAnsi="Abadi" w:cs="Calibri"/>
                <w:spacing w:val="1"/>
                <w:sz w:val="21"/>
                <w:szCs w:val="21"/>
              </w:rPr>
              <w:t xml:space="preserve"> </w:t>
            </w:r>
            <w:r w:rsidRPr="00401C70">
              <w:rPr>
                <w:rFonts w:ascii="Abadi" w:hAnsi="Abadi" w:cs="Calibri"/>
                <w:sz w:val="21"/>
                <w:szCs w:val="21"/>
              </w:rPr>
              <w:t>cargo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Contralor</w:t>
            </w:r>
            <w:r w:rsidRPr="00401C70">
              <w:rPr>
                <w:rFonts w:ascii="Abadi" w:hAnsi="Abadi" w:cs="Calibri"/>
                <w:spacing w:val="1"/>
                <w:sz w:val="21"/>
                <w:szCs w:val="21"/>
              </w:rPr>
              <w:t xml:space="preserve"> </w:t>
            </w:r>
            <w:r w:rsidRPr="00401C70">
              <w:rPr>
                <w:rFonts w:ascii="Abadi" w:hAnsi="Abadi" w:cs="Calibri"/>
                <w:sz w:val="21"/>
                <w:szCs w:val="21"/>
              </w:rPr>
              <w:t>Municipal</w:t>
            </w:r>
            <w:r w:rsidRPr="00401C70">
              <w:rPr>
                <w:rFonts w:ascii="Abadi" w:hAnsi="Abadi" w:cs="Calibri"/>
                <w:spacing w:val="1"/>
                <w:sz w:val="21"/>
                <w:szCs w:val="21"/>
              </w:rPr>
              <w:t xml:space="preserve"> </w:t>
            </w:r>
            <w:r w:rsidRPr="00401C70">
              <w:rPr>
                <w:rFonts w:ascii="Abadi" w:hAnsi="Abadi" w:cs="Calibri"/>
                <w:sz w:val="21"/>
                <w:szCs w:val="21"/>
              </w:rPr>
              <w:t>por</w:t>
            </w:r>
            <w:r w:rsidRPr="00401C70">
              <w:rPr>
                <w:rFonts w:ascii="Abadi" w:hAnsi="Abadi" w:cs="Calibri"/>
                <w:spacing w:val="1"/>
                <w:sz w:val="21"/>
                <w:szCs w:val="21"/>
              </w:rPr>
              <w:t xml:space="preserve"> </w:t>
            </w:r>
            <w:r w:rsidRPr="00401C70">
              <w:rPr>
                <w:rFonts w:ascii="Abadi" w:hAnsi="Abadi" w:cs="Calibri"/>
                <w:sz w:val="21"/>
                <w:szCs w:val="21"/>
              </w:rPr>
              <w:t>un</w:t>
            </w:r>
            <w:r w:rsidRPr="00401C70">
              <w:rPr>
                <w:rFonts w:ascii="Abadi" w:hAnsi="Abadi" w:cs="Calibri"/>
                <w:spacing w:val="1"/>
                <w:sz w:val="21"/>
                <w:szCs w:val="21"/>
              </w:rPr>
              <w:t xml:space="preserve"> </w:t>
            </w:r>
            <w:r w:rsidRPr="00401C70">
              <w:rPr>
                <w:rFonts w:ascii="Abadi" w:hAnsi="Abadi" w:cs="Calibri"/>
                <w:sz w:val="21"/>
                <w:szCs w:val="21"/>
              </w:rPr>
              <w:t>periodo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seis</w:t>
            </w:r>
            <w:r w:rsidRPr="00401C70">
              <w:rPr>
                <w:rFonts w:ascii="Abadi" w:hAnsi="Abadi" w:cs="Calibri"/>
                <w:spacing w:val="1"/>
                <w:sz w:val="21"/>
                <w:szCs w:val="21"/>
              </w:rPr>
              <w:t xml:space="preserve"> </w:t>
            </w:r>
            <w:r w:rsidRPr="00401C70">
              <w:rPr>
                <w:rFonts w:ascii="Abadi" w:hAnsi="Abadi" w:cs="Calibri"/>
                <w:sz w:val="21"/>
                <w:szCs w:val="21"/>
              </w:rPr>
              <w:t>años</w:t>
            </w:r>
            <w:r w:rsidRPr="00401C70">
              <w:rPr>
                <w:rFonts w:ascii="Abadi" w:hAnsi="Abadi" w:cs="Calibri"/>
                <w:spacing w:val="1"/>
                <w:sz w:val="21"/>
                <w:szCs w:val="21"/>
              </w:rPr>
              <w:t xml:space="preserve"> </w:t>
            </w:r>
            <w:r w:rsidRPr="00401C70">
              <w:rPr>
                <w:rFonts w:ascii="Abadi" w:hAnsi="Abadi" w:cs="Calibri"/>
                <w:sz w:val="21"/>
                <w:szCs w:val="21"/>
              </w:rPr>
              <w:t>contados</w:t>
            </w:r>
            <w:r w:rsidRPr="00401C70">
              <w:rPr>
                <w:rFonts w:ascii="Abadi" w:hAnsi="Abadi" w:cs="Calibri"/>
                <w:spacing w:val="1"/>
                <w:sz w:val="21"/>
                <w:szCs w:val="21"/>
              </w:rPr>
              <w:t xml:space="preserve"> </w:t>
            </w:r>
            <w:r w:rsidRPr="00401C70">
              <w:rPr>
                <w:rFonts w:ascii="Abadi" w:hAnsi="Abadi" w:cs="Calibri"/>
                <w:sz w:val="21"/>
                <w:szCs w:val="21"/>
              </w:rPr>
              <w:t>a</w:t>
            </w:r>
            <w:r w:rsidRPr="00401C70">
              <w:rPr>
                <w:rFonts w:ascii="Abadi" w:hAnsi="Abadi" w:cs="Calibri"/>
                <w:spacing w:val="1"/>
                <w:sz w:val="21"/>
                <w:szCs w:val="21"/>
              </w:rPr>
              <w:t xml:space="preserve"> </w:t>
            </w:r>
            <w:r w:rsidRPr="00401C70">
              <w:rPr>
                <w:rFonts w:ascii="Abadi" w:hAnsi="Abadi" w:cs="Calibri"/>
                <w:sz w:val="21"/>
                <w:szCs w:val="21"/>
              </w:rPr>
              <w:t>partir</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lastRenderedPageBreak/>
              <w:t>la</w:t>
            </w:r>
            <w:r w:rsidRPr="00401C70">
              <w:rPr>
                <w:rFonts w:ascii="Abadi" w:hAnsi="Abadi" w:cs="Calibri"/>
                <w:spacing w:val="1"/>
                <w:sz w:val="21"/>
                <w:szCs w:val="21"/>
              </w:rPr>
              <w:t xml:space="preserve"> </w:t>
            </w:r>
            <w:r w:rsidRPr="00401C70">
              <w:rPr>
                <w:rFonts w:ascii="Abadi" w:hAnsi="Abadi" w:cs="Calibri"/>
                <w:sz w:val="21"/>
                <w:szCs w:val="21"/>
              </w:rPr>
              <w:t>disolución</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Comité</w:t>
            </w:r>
            <w:r w:rsidRPr="00401C70">
              <w:rPr>
                <w:rFonts w:ascii="Abadi" w:hAnsi="Abadi" w:cs="Calibri"/>
                <w:spacing w:val="-2"/>
                <w:sz w:val="21"/>
                <w:szCs w:val="21"/>
              </w:rPr>
              <w:t xml:space="preserve"> </w:t>
            </w:r>
            <w:r w:rsidRPr="00401C70">
              <w:rPr>
                <w:rFonts w:ascii="Abadi" w:hAnsi="Abadi" w:cs="Calibri"/>
                <w:sz w:val="21"/>
                <w:szCs w:val="21"/>
              </w:rPr>
              <w:t>Municipal Ciudadano.</w:t>
            </w:r>
          </w:p>
        </w:tc>
        <w:tc>
          <w:tcPr>
            <w:tcW w:w="2500" w:type="pct"/>
            <w:tcBorders>
              <w:top w:val="single" w:sz="4" w:space="0" w:color="000000"/>
              <w:left w:val="single" w:sz="4" w:space="0" w:color="000000"/>
              <w:bottom w:val="none" w:sz="6" w:space="0" w:color="auto"/>
              <w:right w:val="single" w:sz="4" w:space="0" w:color="000000"/>
            </w:tcBorders>
          </w:tcPr>
          <w:p w14:paraId="736AA5BF" w14:textId="77777777" w:rsidR="00677B7E" w:rsidRPr="00401C70" w:rsidRDefault="00677B7E" w:rsidP="00FA2590">
            <w:pPr>
              <w:kinsoku w:val="0"/>
              <w:overflowPunct w:val="0"/>
              <w:autoSpaceDE w:val="0"/>
              <w:autoSpaceDN w:val="0"/>
              <w:adjustRightInd w:val="0"/>
              <w:ind w:left="107" w:right="92"/>
              <w:jc w:val="both"/>
              <w:rPr>
                <w:rFonts w:ascii="Abadi" w:hAnsi="Abadi" w:cs="Calibri"/>
                <w:sz w:val="21"/>
                <w:szCs w:val="21"/>
              </w:rPr>
            </w:pPr>
            <w:r w:rsidRPr="00401C70">
              <w:rPr>
                <w:rFonts w:ascii="Abadi" w:hAnsi="Abadi" w:cs="Calibri"/>
                <w:b/>
                <w:bCs/>
                <w:sz w:val="21"/>
                <w:szCs w:val="21"/>
              </w:rPr>
              <w:lastRenderedPageBreak/>
              <w:t xml:space="preserve">Artículo 131-1. </w:t>
            </w:r>
            <w:r w:rsidRPr="00401C70">
              <w:rPr>
                <w:rFonts w:ascii="Abadi" w:hAnsi="Abadi" w:cs="Calibri"/>
                <w:sz w:val="21"/>
                <w:szCs w:val="21"/>
              </w:rPr>
              <w:t>El Ayuntamiento constituirá un</w:t>
            </w:r>
            <w:r w:rsidRPr="00401C70">
              <w:rPr>
                <w:rFonts w:ascii="Abadi" w:hAnsi="Abadi" w:cs="Calibri"/>
                <w:spacing w:val="-47"/>
                <w:sz w:val="21"/>
                <w:szCs w:val="21"/>
              </w:rPr>
              <w:t xml:space="preserve"> </w:t>
            </w:r>
            <w:r w:rsidRPr="00401C70">
              <w:rPr>
                <w:rFonts w:ascii="Abadi" w:hAnsi="Abadi" w:cs="Calibri"/>
                <w:sz w:val="21"/>
                <w:szCs w:val="21"/>
              </w:rPr>
              <w:t xml:space="preserve">Comité Municipal Ciudadano </w:t>
            </w:r>
            <w:r w:rsidRPr="00401C70">
              <w:rPr>
                <w:rFonts w:ascii="Abadi" w:hAnsi="Abadi" w:cs="Calibri"/>
                <w:b/>
                <w:bCs/>
                <w:i/>
                <w:iCs/>
                <w:sz w:val="21"/>
                <w:szCs w:val="21"/>
              </w:rPr>
              <w:t>integrado por 5</w:t>
            </w:r>
            <w:r w:rsidRPr="00401C70">
              <w:rPr>
                <w:rFonts w:ascii="Abadi" w:hAnsi="Abadi" w:cs="Calibri"/>
                <w:b/>
                <w:bCs/>
                <w:i/>
                <w:iCs/>
                <w:spacing w:val="1"/>
                <w:sz w:val="21"/>
                <w:szCs w:val="21"/>
              </w:rPr>
              <w:t xml:space="preserve"> </w:t>
            </w:r>
            <w:r w:rsidRPr="00401C70">
              <w:rPr>
                <w:rFonts w:ascii="Abadi" w:hAnsi="Abadi" w:cs="Calibri"/>
                <w:b/>
                <w:bCs/>
                <w:i/>
                <w:iCs/>
                <w:sz w:val="21"/>
                <w:szCs w:val="21"/>
              </w:rPr>
              <w:t xml:space="preserve">personas ciudadanas, </w:t>
            </w:r>
            <w:r w:rsidRPr="00401C70">
              <w:rPr>
                <w:rFonts w:ascii="Abadi" w:hAnsi="Abadi" w:cs="Calibri"/>
                <w:sz w:val="21"/>
                <w:szCs w:val="21"/>
              </w:rPr>
              <w:t>su cargo será honorífico</w:t>
            </w:r>
            <w:r w:rsidRPr="00401C70">
              <w:rPr>
                <w:rFonts w:ascii="Abadi" w:hAnsi="Abadi" w:cs="Calibri"/>
                <w:spacing w:val="-47"/>
                <w:sz w:val="21"/>
                <w:szCs w:val="21"/>
              </w:rPr>
              <w:t xml:space="preserve"> </w:t>
            </w:r>
            <w:r w:rsidRPr="00401C70">
              <w:rPr>
                <w:rFonts w:ascii="Abadi" w:hAnsi="Abadi" w:cs="Calibri"/>
                <w:spacing w:val="-1"/>
                <w:sz w:val="21"/>
                <w:szCs w:val="21"/>
              </w:rPr>
              <w:t>y</w:t>
            </w:r>
            <w:r w:rsidRPr="00401C70">
              <w:rPr>
                <w:rFonts w:ascii="Abadi" w:hAnsi="Abadi" w:cs="Calibri"/>
                <w:spacing w:val="-9"/>
                <w:sz w:val="21"/>
                <w:szCs w:val="21"/>
              </w:rPr>
              <w:t xml:space="preserve"> </w:t>
            </w:r>
            <w:r w:rsidRPr="00401C70">
              <w:rPr>
                <w:rFonts w:ascii="Abadi" w:hAnsi="Abadi" w:cs="Calibri"/>
                <w:spacing w:val="-1"/>
                <w:sz w:val="21"/>
                <w:szCs w:val="21"/>
              </w:rPr>
              <w:t>durará</w:t>
            </w:r>
            <w:r w:rsidRPr="00401C70">
              <w:rPr>
                <w:rFonts w:ascii="Abadi" w:hAnsi="Abadi" w:cs="Calibri"/>
                <w:spacing w:val="-12"/>
                <w:sz w:val="21"/>
                <w:szCs w:val="21"/>
              </w:rPr>
              <w:t xml:space="preserve"> </w:t>
            </w:r>
            <w:r w:rsidRPr="00401C70">
              <w:rPr>
                <w:rFonts w:ascii="Abadi" w:hAnsi="Abadi" w:cs="Calibri"/>
                <w:spacing w:val="-1"/>
                <w:sz w:val="21"/>
                <w:szCs w:val="21"/>
              </w:rPr>
              <w:t>cuatro</w:t>
            </w:r>
            <w:r w:rsidRPr="00401C70">
              <w:rPr>
                <w:rFonts w:ascii="Abadi" w:hAnsi="Abadi" w:cs="Calibri"/>
                <w:spacing w:val="-10"/>
                <w:sz w:val="21"/>
                <w:szCs w:val="21"/>
              </w:rPr>
              <w:t xml:space="preserve"> </w:t>
            </w:r>
            <w:r w:rsidRPr="00401C70">
              <w:rPr>
                <w:rFonts w:ascii="Abadi" w:hAnsi="Abadi" w:cs="Calibri"/>
                <w:sz w:val="21"/>
                <w:szCs w:val="21"/>
              </w:rPr>
              <w:t>años,</w:t>
            </w:r>
            <w:r w:rsidRPr="00401C70">
              <w:rPr>
                <w:rFonts w:ascii="Abadi" w:hAnsi="Abadi" w:cs="Calibri"/>
                <w:spacing w:val="-9"/>
                <w:sz w:val="21"/>
                <w:szCs w:val="21"/>
              </w:rPr>
              <w:t xml:space="preserve"> </w:t>
            </w:r>
            <w:r w:rsidRPr="00401C70">
              <w:rPr>
                <w:rFonts w:ascii="Abadi" w:hAnsi="Abadi" w:cs="Calibri"/>
                <w:sz w:val="21"/>
                <w:szCs w:val="21"/>
              </w:rPr>
              <w:t>no</w:t>
            </w:r>
            <w:r w:rsidRPr="00401C70">
              <w:rPr>
                <w:rFonts w:ascii="Abadi" w:hAnsi="Abadi" w:cs="Calibri"/>
                <w:spacing w:val="-10"/>
                <w:sz w:val="21"/>
                <w:szCs w:val="21"/>
              </w:rPr>
              <w:t xml:space="preserve"> </w:t>
            </w:r>
            <w:r w:rsidRPr="00401C70">
              <w:rPr>
                <w:rFonts w:ascii="Abadi" w:hAnsi="Abadi" w:cs="Calibri"/>
                <w:sz w:val="21"/>
                <w:szCs w:val="21"/>
              </w:rPr>
              <w:t>tendrán</w:t>
            </w:r>
            <w:r w:rsidRPr="00401C70">
              <w:rPr>
                <w:rFonts w:ascii="Abadi" w:hAnsi="Abadi" w:cs="Calibri"/>
                <w:spacing w:val="-10"/>
                <w:sz w:val="21"/>
                <w:szCs w:val="21"/>
              </w:rPr>
              <w:t xml:space="preserve"> </w:t>
            </w:r>
            <w:r w:rsidRPr="00401C70">
              <w:rPr>
                <w:rFonts w:ascii="Abadi" w:hAnsi="Abadi" w:cs="Calibri"/>
                <w:sz w:val="21"/>
                <w:szCs w:val="21"/>
              </w:rPr>
              <w:t>interés</w:t>
            </w:r>
            <w:r w:rsidRPr="00401C70">
              <w:rPr>
                <w:rFonts w:ascii="Abadi" w:hAnsi="Abadi" w:cs="Calibri"/>
                <w:spacing w:val="-11"/>
                <w:sz w:val="21"/>
                <w:szCs w:val="21"/>
              </w:rPr>
              <w:t xml:space="preserve"> </w:t>
            </w:r>
            <w:r w:rsidRPr="00401C70">
              <w:rPr>
                <w:rFonts w:ascii="Abadi" w:hAnsi="Abadi" w:cs="Calibri"/>
                <w:sz w:val="21"/>
                <w:szCs w:val="21"/>
              </w:rPr>
              <w:t>alguno</w:t>
            </w:r>
            <w:r w:rsidRPr="00401C70">
              <w:rPr>
                <w:rFonts w:ascii="Abadi" w:hAnsi="Abadi" w:cs="Calibri"/>
                <w:spacing w:val="-48"/>
                <w:sz w:val="21"/>
                <w:szCs w:val="21"/>
              </w:rPr>
              <w:t xml:space="preserve"> </w:t>
            </w:r>
            <w:r w:rsidRPr="00401C70">
              <w:rPr>
                <w:rFonts w:ascii="Abadi" w:hAnsi="Abadi" w:cs="Calibri"/>
                <w:sz w:val="21"/>
                <w:szCs w:val="21"/>
              </w:rPr>
              <w:t>con</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Ayuntamiento</w:t>
            </w:r>
            <w:r w:rsidRPr="00401C70">
              <w:rPr>
                <w:rFonts w:ascii="Abadi" w:hAnsi="Abadi" w:cs="Calibri"/>
                <w:spacing w:val="1"/>
                <w:sz w:val="21"/>
                <w:szCs w:val="21"/>
              </w:rPr>
              <w:t xml:space="preserve"> </w:t>
            </w:r>
            <w:r w:rsidRPr="00401C70">
              <w:rPr>
                <w:rFonts w:ascii="Abadi" w:hAnsi="Abadi" w:cs="Calibri"/>
                <w:sz w:val="21"/>
                <w:szCs w:val="21"/>
              </w:rPr>
              <w:t>y</w:t>
            </w:r>
            <w:r w:rsidRPr="00401C70">
              <w:rPr>
                <w:rFonts w:ascii="Abadi" w:hAnsi="Abadi" w:cs="Calibri"/>
                <w:spacing w:val="1"/>
                <w:sz w:val="21"/>
                <w:szCs w:val="21"/>
              </w:rPr>
              <w:t xml:space="preserve"> </w:t>
            </w:r>
            <w:r w:rsidRPr="00401C70">
              <w:rPr>
                <w:rFonts w:ascii="Abadi" w:hAnsi="Abadi" w:cs="Calibri"/>
                <w:sz w:val="21"/>
                <w:szCs w:val="21"/>
              </w:rPr>
              <w:t>no</w:t>
            </w:r>
            <w:r w:rsidRPr="00401C70">
              <w:rPr>
                <w:rFonts w:ascii="Abadi" w:hAnsi="Abadi" w:cs="Calibri"/>
                <w:spacing w:val="1"/>
                <w:sz w:val="21"/>
                <w:szCs w:val="21"/>
              </w:rPr>
              <w:t xml:space="preserve"> </w:t>
            </w:r>
            <w:r w:rsidRPr="00401C70">
              <w:rPr>
                <w:rFonts w:ascii="Abadi" w:hAnsi="Abadi" w:cs="Calibri"/>
                <w:sz w:val="21"/>
                <w:szCs w:val="21"/>
              </w:rPr>
              <w:t>podrán</w:t>
            </w:r>
            <w:r w:rsidRPr="00401C70">
              <w:rPr>
                <w:rFonts w:ascii="Abadi" w:hAnsi="Abadi" w:cs="Calibri"/>
                <w:spacing w:val="1"/>
                <w:sz w:val="21"/>
                <w:szCs w:val="21"/>
              </w:rPr>
              <w:t xml:space="preserve"> </w:t>
            </w:r>
            <w:r w:rsidRPr="00401C70">
              <w:rPr>
                <w:rFonts w:ascii="Abadi" w:hAnsi="Abadi" w:cs="Calibri"/>
                <w:sz w:val="21"/>
                <w:szCs w:val="21"/>
              </w:rPr>
              <w:t>ser</w:t>
            </w:r>
            <w:r w:rsidRPr="00401C70">
              <w:rPr>
                <w:rFonts w:ascii="Abadi" w:hAnsi="Abadi" w:cs="Calibri"/>
                <w:spacing w:val="1"/>
                <w:sz w:val="21"/>
                <w:szCs w:val="21"/>
              </w:rPr>
              <w:t xml:space="preserve"> </w:t>
            </w:r>
            <w:r w:rsidRPr="00401C70">
              <w:rPr>
                <w:rFonts w:ascii="Abadi" w:hAnsi="Abadi" w:cs="Calibri"/>
                <w:b/>
                <w:bCs/>
                <w:i/>
                <w:iCs/>
                <w:sz w:val="21"/>
                <w:szCs w:val="21"/>
              </w:rPr>
              <w:t>propuestas</w:t>
            </w:r>
            <w:r w:rsidRPr="00401C70">
              <w:rPr>
                <w:rFonts w:ascii="Abadi" w:hAnsi="Abadi" w:cs="Calibri"/>
                <w:b/>
                <w:bCs/>
                <w:i/>
                <w:iCs/>
                <w:spacing w:val="1"/>
                <w:sz w:val="21"/>
                <w:szCs w:val="21"/>
              </w:rPr>
              <w:t xml:space="preserve"> </w:t>
            </w:r>
            <w:r w:rsidRPr="00401C70">
              <w:rPr>
                <w:rFonts w:ascii="Abadi" w:hAnsi="Abadi" w:cs="Calibri"/>
                <w:sz w:val="21"/>
                <w:szCs w:val="21"/>
              </w:rPr>
              <w:t>como</w:t>
            </w:r>
            <w:r w:rsidRPr="00401C70">
              <w:rPr>
                <w:rFonts w:ascii="Abadi" w:hAnsi="Abadi" w:cs="Calibri"/>
                <w:spacing w:val="1"/>
                <w:sz w:val="21"/>
                <w:szCs w:val="21"/>
              </w:rPr>
              <w:t xml:space="preserve"> </w:t>
            </w:r>
            <w:r w:rsidRPr="00401C70">
              <w:rPr>
                <w:rFonts w:ascii="Abadi" w:hAnsi="Abadi" w:cs="Calibri"/>
                <w:b/>
                <w:bCs/>
                <w:i/>
                <w:iCs/>
                <w:sz w:val="21"/>
                <w:szCs w:val="21"/>
              </w:rPr>
              <w:t>candidatas</w:t>
            </w:r>
            <w:r w:rsidRPr="00401C70">
              <w:rPr>
                <w:rFonts w:ascii="Abadi" w:hAnsi="Abadi" w:cs="Calibri"/>
                <w:b/>
                <w:bCs/>
                <w:i/>
                <w:iCs/>
                <w:spacing w:val="1"/>
                <w:sz w:val="21"/>
                <w:szCs w:val="21"/>
              </w:rPr>
              <w:t xml:space="preserve"> </w:t>
            </w:r>
            <w:r w:rsidRPr="00401C70">
              <w:rPr>
                <w:rFonts w:ascii="Abadi" w:hAnsi="Abadi" w:cs="Calibri"/>
                <w:sz w:val="21"/>
                <w:szCs w:val="21"/>
              </w:rPr>
              <w:t>al</w:t>
            </w:r>
            <w:r w:rsidRPr="00401C70">
              <w:rPr>
                <w:rFonts w:ascii="Abadi" w:hAnsi="Abadi" w:cs="Calibri"/>
                <w:spacing w:val="1"/>
                <w:sz w:val="21"/>
                <w:szCs w:val="21"/>
              </w:rPr>
              <w:t xml:space="preserve"> </w:t>
            </w:r>
            <w:r w:rsidRPr="00401C70">
              <w:rPr>
                <w:rFonts w:ascii="Abadi" w:hAnsi="Abadi" w:cs="Calibri"/>
                <w:sz w:val="21"/>
                <w:szCs w:val="21"/>
              </w:rPr>
              <w:t>cargo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b/>
                <w:bCs/>
                <w:i/>
                <w:iCs/>
                <w:sz w:val="21"/>
                <w:szCs w:val="21"/>
              </w:rPr>
              <w:t>Titular</w:t>
            </w:r>
            <w:r w:rsidRPr="00401C70">
              <w:rPr>
                <w:rFonts w:ascii="Abadi" w:hAnsi="Abadi" w:cs="Calibri"/>
                <w:b/>
                <w:bCs/>
                <w:i/>
                <w:iCs/>
                <w:spacing w:val="1"/>
                <w:sz w:val="21"/>
                <w:szCs w:val="21"/>
              </w:rPr>
              <w:t xml:space="preserve"> </w:t>
            </w:r>
            <w:r w:rsidRPr="00401C70">
              <w:rPr>
                <w:rFonts w:ascii="Abadi" w:hAnsi="Abadi" w:cs="Calibri"/>
                <w:b/>
                <w:bCs/>
                <w:i/>
                <w:iCs/>
                <w:sz w:val="21"/>
                <w:szCs w:val="21"/>
              </w:rPr>
              <w:t>de</w:t>
            </w:r>
            <w:r w:rsidRPr="00401C70">
              <w:rPr>
                <w:rFonts w:ascii="Abadi" w:hAnsi="Abadi" w:cs="Calibri"/>
                <w:b/>
                <w:bCs/>
                <w:i/>
                <w:iCs/>
                <w:spacing w:val="1"/>
                <w:sz w:val="21"/>
                <w:szCs w:val="21"/>
              </w:rPr>
              <w:t xml:space="preserve"> </w:t>
            </w:r>
            <w:r w:rsidRPr="00401C70">
              <w:rPr>
                <w:rFonts w:ascii="Abadi" w:hAnsi="Abadi" w:cs="Calibri"/>
                <w:b/>
                <w:bCs/>
                <w:i/>
                <w:iCs/>
                <w:sz w:val="21"/>
                <w:szCs w:val="21"/>
              </w:rPr>
              <w:t>la</w:t>
            </w:r>
            <w:r w:rsidRPr="00401C70">
              <w:rPr>
                <w:rFonts w:ascii="Abadi" w:hAnsi="Abadi" w:cs="Calibri"/>
                <w:b/>
                <w:bCs/>
                <w:i/>
                <w:iCs/>
                <w:spacing w:val="1"/>
                <w:sz w:val="21"/>
                <w:szCs w:val="21"/>
              </w:rPr>
              <w:t xml:space="preserve"> </w:t>
            </w:r>
            <w:r w:rsidRPr="00401C70">
              <w:rPr>
                <w:rFonts w:ascii="Abadi" w:hAnsi="Abadi" w:cs="Calibri"/>
                <w:b/>
                <w:bCs/>
                <w:i/>
                <w:iCs/>
                <w:sz w:val="21"/>
                <w:szCs w:val="21"/>
              </w:rPr>
              <w:t>Contraloría</w:t>
            </w:r>
            <w:r w:rsidRPr="00401C70">
              <w:rPr>
                <w:rFonts w:ascii="Abadi" w:hAnsi="Abadi" w:cs="Calibri"/>
                <w:b/>
                <w:bCs/>
                <w:i/>
                <w:iCs/>
                <w:spacing w:val="1"/>
                <w:sz w:val="21"/>
                <w:szCs w:val="21"/>
              </w:rPr>
              <w:t xml:space="preserve"> </w:t>
            </w:r>
            <w:r w:rsidRPr="00401C70">
              <w:rPr>
                <w:rFonts w:ascii="Abadi" w:hAnsi="Abadi" w:cs="Calibri"/>
                <w:b/>
                <w:bCs/>
                <w:i/>
                <w:iCs/>
                <w:sz w:val="21"/>
                <w:szCs w:val="21"/>
              </w:rPr>
              <w:t>Municipal</w:t>
            </w:r>
            <w:r w:rsidRPr="00401C70">
              <w:rPr>
                <w:rFonts w:ascii="Abadi" w:hAnsi="Abadi" w:cs="Calibri"/>
                <w:b/>
                <w:bCs/>
                <w:i/>
                <w:iCs/>
                <w:spacing w:val="1"/>
                <w:sz w:val="21"/>
                <w:szCs w:val="21"/>
              </w:rPr>
              <w:t xml:space="preserve"> </w:t>
            </w:r>
            <w:r w:rsidRPr="00401C70">
              <w:rPr>
                <w:rFonts w:ascii="Abadi" w:hAnsi="Abadi" w:cs="Calibri"/>
                <w:sz w:val="21"/>
                <w:szCs w:val="21"/>
              </w:rPr>
              <w:t>por</w:t>
            </w:r>
            <w:r w:rsidRPr="00401C70">
              <w:rPr>
                <w:rFonts w:ascii="Abadi" w:hAnsi="Abadi" w:cs="Calibri"/>
                <w:spacing w:val="1"/>
                <w:sz w:val="21"/>
                <w:szCs w:val="21"/>
              </w:rPr>
              <w:t xml:space="preserve"> </w:t>
            </w:r>
            <w:r w:rsidRPr="00401C70">
              <w:rPr>
                <w:rFonts w:ascii="Abadi" w:hAnsi="Abadi" w:cs="Calibri"/>
                <w:sz w:val="21"/>
                <w:szCs w:val="21"/>
              </w:rPr>
              <w:t>un</w:t>
            </w:r>
            <w:r w:rsidRPr="00401C70">
              <w:rPr>
                <w:rFonts w:ascii="Abadi" w:hAnsi="Abadi" w:cs="Calibri"/>
                <w:spacing w:val="1"/>
                <w:sz w:val="21"/>
                <w:szCs w:val="21"/>
              </w:rPr>
              <w:t xml:space="preserve"> </w:t>
            </w:r>
            <w:r w:rsidRPr="00401C70">
              <w:rPr>
                <w:rFonts w:ascii="Abadi" w:hAnsi="Abadi" w:cs="Calibri"/>
                <w:sz w:val="21"/>
                <w:szCs w:val="21"/>
              </w:rPr>
              <w:lastRenderedPageBreak/>
              <w:t>periodo de seis años contados a partir de la</w:t>
            </w:r>
            <w:r w:rsidRPr="00401C70">
              <w:rPr>
                <w:rFonts w:ascii="Abadi" w:hAnsi="Abadi" w:cs="Calibri"/>
                <w:spacing w:val="1"/>
                <w:sz w:val="21"/>
                <w:szCs w:val="21"/>
              </w:rPr>
              <w:t xml:space="preserve"> </w:t>
            </w:r>
            <w:r w:rsidRPr="00401C70">
              <w:rPr>
                <w:rFonts w:ascii="Abadi" w:hAnsi="Abadi" w:cs="Calibri"/>
                <w:sz w:val="21"/>
                <w:szCs w:val="21"/>
              </w:rPr>
              <w:t>disolución</w:t>
            </w:r>
            <w:r w:rsidRPr="00401C70">
              <w:rPr>
                <w:rFonts w:ascii="Abadi" w:hAnsi="Abadi" w:cs="Calibri"/>
                <w:spacing w:val="-2"/>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Comité</w:t>
            </w:r>
            <w:r w:rsidRPr="00401C70">
              <w:rPr>
                <w:rFonts w:ascii="Abadi" w:hAnsi="Abadi" w:cs="Calibri"/>
                <w:spacing w:val="-3"/>
                <w:sz w:val="21"/>
                <w:szCs w:val="21"/>
              </w:rPr>
              <w:t xml:space="preserve"> </w:t>
            </w:r>
            <w:r w:rsidRPr="00401C70">
              <w:rPr>
                <w:rFonts w:ascii="Abadi" w:hAnsi="Abadi" w:cs="Calibri"/>
                <w:sz w:val="21"/>
                <w:szCs w:val="21"/>
              </w:rPr>
              <w:t>Municipal</w:t>
            </w:r>
            <w:r w:rsidRPr="00401C70">
              <w:rPr>
                <w:rFonts w:ascii="Abadi" w:hAnsi="Abadi" w:cs="Calibri"/>
                <w:spacing w:val="-1"/>
                <w:sz w:val="21"/>
                <w:szCs w:val="21"/>
              </w:rPr>
              <w:t xml:space="preserve"> </w:t>
            </w:r>
            <w:r w:rsidRPr="00401C70">
              <w:rPr>
                <w:rFonts w:ascii="Abadi" w:hAnsi="Abadi" w:cs="Calibri"/>
                <w:sz w:val="21"/>
                <w:szCs w:val="21"/>
              </w:rPr>
              <w:t>Ciudadano.</w:t>
            </w:r>
          </w:p>
        </w:tc>
      </w:tr>
      <w:tr w:rsidR="00677B7E" w:rsidRPr="00401C70" w14:paraId="39058745" w14:textId="77777777" w:rsidTr="00EE3E2D">
        <w:trPr>
          <w:trHeight w:val="1880"/>
        </w:trPr>
        <w:tc>
          <w:tcPr>
            <w:tcW w:w="2500" w:type="pct"/>
            <w:tcBorders>
              <w:top w:val="none" w:sz="6" w:space="0" w:color="auto"/>
              <w:left w:val="single" w:sz="4" w:space="0" w:color="000000"/>
              <w:bottom w:val="none" w:sz="6" w:space="0" w:color="auto"/>
              <w:right w:val="single" w:sz="4" w:space="0" w:color="000000"/>
            </w:tcBorders>
          </w:tcPr>
          <w:p w14:paraId="1804D519" w14:textId="77777777" w:rsidR="00677B7E" w:rsidRPr="00401C70" w:rsidRDefault="00677B7E" w:rsidP="00FA2590">
            <w:pPr>
              <w:kinsoku w:val="0"/>
              <w:overflowPunct w:val="0"/>
              <w:autoSpaceDE w:val="0"/>
              <w:autoSpaceDN w:val="0"/>
              <w:adjustRightInd w:val="0"/>
              <w:spacing w:before="114"/>
              <w:ind w:left="107" w:right="93"/>
              <w:jc w:val="both"/>
              <w:rPr>
                <w:rFonts w:ascii="Abadi" w:hAnsi="Abadi" w:cs="Calibri"/>
                <w:sz w:val="21"/>
                <w:szCs w:val="21"/>
              </w:rPr>
            </w:pPr>
            <w:r w:rsidRPr="00401C70">
              <w:rPr>
                <w:rFonts w:ascii="Abadi" w:hAnsi="Abadi" w:cs="Calibri"/>
                <w:sz w:val="21"/>
                <w:szCs w:val="21"/>
              </w:rPr>
              <w:lastRenderedPageBreak/>
              <w:t>En</w:t>
            </w:r>
            <w:r w:rsidRPr="00401C70">
              <w:rPr>
                <w:rFonts w:ascii="Abadi" w:hAnsi="Abadi" w:cs="Calibri"/>
                <w:spacing w:val="24"/>
                <w:sz w:val="21"/>
                <w:szCs w:val="21"/>
              </w:rPr>
              <w:t xml:space="preserve"> </w:t>
            </w:r>
            <w:r w:rsidRPr="00401C70">
              <w:rPr>
                <w:rFonts w:ascii="Abadi" w:hAnsi="Abadi" w:cs="Calibri"/>
                <w:sz w:val="21"/>
                <w:szCs w:val="21"/>
              </w:rPr>
              <w:t>la</w:t>
            </w:r>
            <w:r w:rsidRPr="00401C70">
              <w:rPr>
                <w:rFonts w:ascii="Abadi" w:hAnsi="Abadi" w:cs="Calibri"/>
                <w:spacing w:val="24"/>
                <w:sz w:val="21"/>
                <w:szCs w:val="21"/>
              </w:rPr>
              <w:t xml:space="preserve"> </w:t>
            </w:r>
            <w:r w:rsidRPr="00401C70">
              <w:rPr>
                <w:rFonts w:ascii="Abadi" w:hAnsi="Abadi" w:cs="Calibri"/>
                <w:sz w:val="21"/>
                <w:szCs w:val="21"/>
              </w:rPr>
              <w:t>conformación</w:t>
            </w:r>
            <w:r w:rsidRPr="00401C70">
              <w:rPr>
                <w:rFonts w:ascii="Abadi" w:hAnsi="Abadi" w:cs="Calibri"/>
                <w:spacing w:val="21"/>
                <w:sz w:val="21"/>
                <w:szCs w:val="21"/>
              </w:rPr>
              <w:t xml:space="preserve"> </w:t>
            </w:r>
            <w:r w:rsidRPr="00401C70">
              <w:rPr>
                <w:rFonts w:ascii="Abadi" w:hAnsi="Abadi" w:cs="Calibri"/>
                <w:sz w:val="21"/>
                <w:szCs w:val="21"/>
              </w:rPr>
              <w:t>del</w:t>
            </w:r>
            <w:r w:rsidRPr="00401C70">
              <w:rPr>
                <w:rFonts w:ascii="Abadi" w:hAnsi="Abadi" w:cs="Calibri"/>
                <w:spacing w:val="23"/>
                <w:sz w:val="21"/>
                <w:szCs w:val="21"/>
              </w:rPr>
              <w:t xml:space="preserve"> </w:t>
            </w:r>
            <w:r w:rsidRPr="00401C70">
              <w:rPr>
                <w:rFonts w:ascii="Abadi" w:hAnsi="Abadi" w:cs="Calibri"/>
                <w:sz w:val="21"/>
                <w:szCs w:val="21"/>
              </w:rPr>
              <w:t>Comité</w:t>
            </w:r>
            <w:r w:rsidRPr="00401C70">
              <w:rPr>
                <w:rFonts w:ascii="Abadi" w:hAnsi="Abadi" w:cs="Calibri"/>
                <w:spacing w:val="23"/>
                <w:sz w:val="21"/>
                <w:szCs w:val="21"/>
              </w:rPr>
              <w:t xml:space="preserve"> </w:t>
            </w:r>
            <w:r w:rsidRPr="00401C70">
              <w:rPr>
                <w:rFonts w:ascii="Abadi" w:hAnsi="Abadi" w:cs="Calibri"/>
                <w:sz w:val="21"/>
                <w:szCs w:val="21"/>
              </w:rPr>
              <w:t>prevalecerá</w:t>
            </w:r>
            <w:r w:rsidRPr="00401C70">
              <w:rPr>
                <w:rFonts w:ascii="Abadi" w:hAnsi="Abadi" w:cs="Calibri"/>
                <w:spacing w:val="25"/>
                <w:sz w:val="21"/>
                <w:szCs w:val="21"/>
              </w:rPr>
              <w:t xml:space="preserve"> </w:t>
            </w:r>
            <w:r w:rsidRPr="00401C70">
              <w:rPr>
                <w:rFonts w:ascii="Abadi" w:hAnsi="Abadi" w:cs="Calibri"/>
                <w:sz w:val="21"/>
                <w:szCs w:val="21"/>
              </w:rPr>
              <w:t>la</w:t>
            </w:r>
            <w:r w:rsidRPr="00401C70">
              <w:rPr>
                <w:rFonts w:ascii="Abadi" w:hAnsi="Abadi" w:cs="Calibri"/>
                <w:spacing w:val="-46"/>
                <w:sz w:val="21"/>
                <w:szCs w:val="21"/>
              </w:rPr>
              <w:t xml:space="preserve"> </w:t>
            </w:r>
            <w:r w:rsidRPr="00401C70">
              <w:rPr>
                <w:rFonts w:ascii="Abadi" w:hAnsi="Abadi" w:cs="Calibri"/>
                <w:sz w:val="21"/>
                <w:szCs w:val="21"/>
              </w:rPr>
              <w:t>paridad.</w:t>
            </w:r>
          </w:p>
        </w:tc>
        <w:tc>
          <w:tcPr>
            <w:tcW w:w="2500" w:type="pct"/>
            <w:tcBorders>
              <w:top w:val="none" w:sz="6" w:space="0" w:color="auto"/>
              <w:left w:val="single" w:sz="4" w:space="0" w:color="000000"/>
              <w:bottom w:val="none" w:sz="6" w:space="0" w:color="auto"/>
              <w:right w:val="single" w:sz="4" w:space="0" w:color="000000"/>
            </w:tcBorders>
          </w:tcPr>
          <w:p w14:paraId="0C6FD330" w14:textId="77777777" w:rsidR="00677B7E" w:rsidRPr="00401C70" w:rsidRDefault="00677B7E" w:rsidP="00FA2590">
            <w:pPr>
              <w:kinsoku w:val="0"/>
              <w:overflowPunct w:val="0"/>
              <w:autoSpaceDE w:val="0"/>
              <w:autoSpaceDN w:val="0"/>
              <w:adjustRightInd w:val="0"/>
              <w:spacing w:before="114"/>
              <w:ind w:left="107" w:right="92"/>
              <w:jc w:val="both"/>
              <w:rPr>
                <w:rFonts w:ascii="Abadi" w:hAnsi="Abadi" w:cs="Calibri"/>
                <w:b/>
                <w:bCs/>
                <w:i/>
                <w:iCs/>
                <w:sz w:val="21"/>
                <w:szCs w:val="21"/>
              </w:rPr>
            </w:pPr>
            <w:r w:rsidRPr="00401C70">
              <w:rPr>
                <w:rFonts w:ascii="Abadi" w:hAnsi="Abadi" w:cs="Calibri"/>
                <w:sz w:val="21"/>
                <w:szCs w:val="21"/>
              </w:rPr>
              <w:t>En</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conformación</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Comité</w:t>
            </w:r>
            <w:r w:rsidRPr="00401C70">
              <w:rPr>
                <w:rFonts w:ascii="Abadi" w:hAnsi="Abadi" w:cs="Calibri"/>
                <w:spacing w:val="1"/>
                <w:sz w:val="21"/>
                <w:szCs w:val="21"/>
              </w:rPr>
              <w:t xml:space="preserve"> </w:t>
            </w:r>
            <w:r w:rsidRPr="00401C70">
              <w:rPr>
                <w:rFonts w:ascii="Abadi" w:hAnsi="Abadi" w:cs="Calibri"/>
                <w:b/>
                <w:bCs/>
                <w:i/>
                <w:iCs/>
                <w:sz w:val="21"/>
                <w:szCs w:val="21"/>
              </w:rPr>
              <w:t>se</w:t>
            </w:r>
            <w:r w:rsidRPr="00401C70">
              <w:rPr>
                <w:rFonts w:ascii="Abadi" w:hAnsi="Abadi" w:cs="Calibri"/>
                <w:b/>
                <w:bCs/>
                <w:i/>
                <w:iCs/>
                <w:spacing w:val="1"/>
                <w:sz w:val="21"/>
                <w:szCs w:val="21"/>
              </w:rPr>
              <w:t xml:space="preserve"> </w:t>
            </w:r>
            <w:r w:rsidRPr="00401C70">
              <w:rPr>
                <w:rFonts w:ascii="Abadi" w:hAnsi="Abadi" w:cs="Calibri"/>
                <w:b/>
                <w:bCs/>
                <w:i/>
                <w:iCs/>
                <w:sz w:val="21"/>
                <w:szCs w:val="21"/>
              </w:rPr>
              <w:t>deberá</w:t>
            </w:r>
            <w:r w:rsidRPr="00401C70">
              <w:rPr>
                <w:rFonts w:ascii="Abadi" w:hAnsi="Abadi" w:cs="Calibri"/>
                <w:b/>
                <w:bCs/>
                <w:i/>
                <w:iCs/>
                <w:spacing w:val="1"/>
                <w:sz w:val="21"/>
                <w:szCs w:val="21"/>
              </w:rPr>
              <w:t xml:space="preserve"> </w:t>
            </w:r>
            <w:r w:rsidRPr="00401C70">
              <w:rPr>
                <w:rFonts w:ascii="Abadi" w:hAnsi="Abadi" w:cs="Calibri"/>
                <w:b/>
                <w:bCs/>
                <w:i/>
                <w:iCs/>
                <w:sz w:val="21"/>
                <w:szCs w:val="21"/>
              </w:rPr>
              <w:t>garantizar</w:t>
            </w:r>
            <w:r w:rsidRPr="00401C70">
              <w:rPr>
                <w:rFonts w:ascii="Abadi" w:hAnsi="Abadi" w:cs="Calibri"/>
                <w:b/>
                <w:bCs/>
                <w:i/>
                <w:iCs/>
                <w:spacing w:val="1"/>
                <w:sz w:val="21"/>
                <w:szCs w:val="21"/>
              </w:rPr>
              <w:t xml:space="preserve"> </w:t>
            </w:r>
            <w:r w:rsidRPr="00401C70">
              <w:rPr>
                <w:rFonts w:ascii="Abadi" w:hAnsi="Abadi" w:cs="Calibri"/>
                <w:b/>
                <w:bCs/>
                <w:i/>
                <w:iCs/>
                <w:sz w:val="21"/>
                <w:szCs w:val="21"/>
              </w:rPr>
              <w:t>la</w:t>
            </w:r>
            <w:r w:rsidRPr="00401C70">
              <w:rPr>
                <w:rFonts w:ascii="Abadi" w:hAnsi="Abadi" w:cs="Calibri"/>
                <w:b/>
                <w:bCs/>
                <w:i/>
                <w:iCs/>
                <w:spacing w:val="1"/>
                <w:sz w:val="21"/>
                <w:szCs w:val="21"/>
              </w:rPr>
              <w:t xml:space="preserve"> </w:t>
            </w:r>
            <w:r w:rsidRPr="00401C70">
              <w:rPr>
                <w:rFonts w:ascii="Abadi" w:hAnsi="Abadi" w:cs="Calibri"/>
                <w:b/>
                <w:bCs/>
                <w:i/>
                <w:iCs/>
                <w:sz w:val="21"/>
                <w:szCs w:val="21"/>
              </w:rPr>
              <w:t>paridad</w:t>
            </w:r>
            <w:r w:rsidRPr="00401C70">
              <w:rPr>
                <w:rFonts w:ascii="Abadi" w:hAnsi="Abadi" w:cs="Calibri"/>
                <w:b/>
                <w:bCs/>
                <w:i/>
                <w:iCs/>
                <w:spacing w:val="1"/>
                <w:sz w:val="21"/>
                <w:szCs w:val="21"/>
              </w:rPr>
              <w:t xml:space="preserve"> </w:t>
            </w:r>
            <w:r w:rsidRPr="00401C70">
              <w:rPr>
                <w:rFonts w:ascii="Abadi" w:hAnsi="Abadi" w:cs="Calibri"/>
                <w:b/>
                <w:bCs/>
                <w:i/>
                <w:iCs/>
                <w:sz w:val="21"/>
                <w:szCs w:val="21"/>
              </w:rPr>
              <w:t>de</w:t>
            </w:r>
            <w:r w:rsidRPr="00401C70">
              <w:rPr>
                <w:rFonts w:ascii="Abadi" w:hAnsi="Abadi" w:cs="Calibri"/>
                <w:b/>
                <w:bCs/>
                <w:i/>
                <w:iCs/>
                <w:spacing w:val="1"/>
                <w:sz w:val="21"/>
                <w:szCs w:val="21"/>
              </w:rPr>
              <w:t xml:space="preserve"> </w:t>
            </w:r>
            <w:r w:rsidRPr="00401C70">
              <w:rPr>
                <w:rFonts w:ascii="Abadi" w:hAnsi="Abadi" w:cs="Calibri"/>
                <w:b/>
                <w:bCs/>
                <w:i/>
                <w:iCs/>
                <w:sz w:val="21"/>
                <w:szCs w:val="21"/>
              </w:rPr>
              <w:t>género</w:t>
            </w:r>
            <w:r w:rsidRPr="00401C70">
              <w:rPr>
                <w:rFonts w:ascii="Abadi" w:hAnsi="Abadi" w:cs="Calibri"/>
                <w:sz w:val="21"/>
                <w:szCs w:val="21"/>
              </w:rPr>
              <w:t>.</w:t>
            </w:r>
            <w:r w:rsidRPr="00401C70">
              <w:rPr>
                <w:rFonts w:ascii="Abadi" w:hAnsi="Abadi" w:cs="Calibri"/>
                <w:spacing w:val="1"/>
                <w:sz w:val="21"/>
                <w:szCs w:val="21"/>
              </w:rPr>
              <w:t xml:space="preserve"> </w:t>
            </w:r>
            <w:r w:rsidRPr="00401C70">
              <w:rPr>
                <w:rFonts w:ascii="Abadi" w:hAnsi="Abadi" w:cs="Calibri"/>
                <w:b/>
                <w:bCs/>
                <w:i/>
                <w:iCs/>
                <w:sz w:val="21"/>
                <w:szCs w:val="21"/>
              </w:rPr>
              <w:t>Para</w:t>
            </w:r>
            <w:r w:rsidRPr="00401C70">
              <w:rPr>
                <w:rFonts w:ascii="Abadi" w:hAnsi="Abadi" w:cs="Calibri"/>
                <w:b/>
                <w:bCs/>
                <w:i/>
                <w:iCs/>
                <w:spacing w:val="1"/>
                <w:sz w:val="21"/>
                <w:szCs w:val="21"/>
              </w:rPr>
              <w:t xml:space="preserve"> </w:t>
            </w:r>
            <w:r w:rsidRPr="00401C70">
              <w:rPr>
                <w:rFonts w:ascii="Abadi" w:hAnsi="Abadi" w:cs="Calibri"/>
                <w:b/>
                <w:bCs/>
                <w:i/>
                <w:iCs/>
                <w:sz w:val="21"/>
                <w:szCs w:val="21"/>
              </w:rPr>
              <w:t>dar</w:t>
            </w:r>
            <w:r w:rsidRPr="00401C70">
              <w:rPr>
                <w:rFonts w:ascii="Abadi" w:hAnsi="Abadi" w:cs="Calibri"/>
                <w:b/>
                <w:bCs/>
                <w:i/>
                <w:iCs/>
                <w:spacing w:val="1"/>
                <w:sz w:val="21"/>
                <w:szCs w:val="21"/>
              </w:rPr>
              <w:t xml:space="preserve"> </w:t>
            </w:r>
            <w:r w:rsidRPr="00401C70">
              <w:rPr>
                <w:rFonts w:ascii="Abadi" w:hAnsi="Abadi" w:cs="Calibri"/>
                <w:b/>
                <w:bCs/>
                <w:i/>
                <w:iCs/>
                <w:sz w:val="21"/>
                <w:szCs w:val="21"/>
              </w:rPr>
              <w:t>cumplimiento</w:t>
            </w:r>
            <w:r w:rsidRPr="00401C70">
              <w:rPr>
                <w:rFonts w:ascii="Abadi" w:hAnsi="Abadi" w:cs="Calibri"/>
                <w:b/>
                <w:bCs/>
                <w:i/>
                <w:iCs/>
                <w:spacing w:val="1"/>
                <w:sz w:val="21"/>
                <w:szCs w:val="21"/>
              </w:rPr>
              <w:t xml:space="preserve"> </w:t>
            </w:r>
            <w:r w:rsidRPr="00401C70">
              <w:rPr>
                <w:rFonts w:ascii="Abadi" w:hAnsi="Abadi" w:cs="Calibri"/>
                <w:b/>
                <w:bCs/>
                <w:i/>
                <w:iCs/>
                <w:sz w:val="21"/>
                <w:szCs w:val="21"/>
              </w:rPr>
              <w:t>a</w:t>
            </w:r>
            <w:r w:rsidRPr="00401C70">
              <w:rPr>
                <w:rFonts w:ascii="Abadi" w:hAnsi="Abadi" w:cs="Calibri"/>
                <w:b/>
                <w:bCs/>
                <w:i/>
                <w:iCs/>
                <w:spacing w:val="1"/>
                <w:sz w:val="21"/>
                <w:szCs w:val="21"/>
              </w:rPr>
              <w:t xml:space="preserve"> </w:t>
            </w:r>
            <w:r w:rsidRPr="00401C70">
              <w:rPr>
                <w:rFonts w:ascii="Abadi" w:hAnsi="Abadi" w:cs="Calibri"/>
                <w:b/>
                <w:bCs/>
                <w:i/>
                <w:iCs/>
                <w:sz w:val="21"/>
                <w:szCs w:val="21"/>
              </w:rPr>
              <w:t>dicho</w:t>
            </w:r>
            <w:r w:rsidRPr="00401C70">
              <w:rPr>
                <w:rFonts w:ascii="Abadi" w:hAnsi="Abadi" w:cs="Calibri"/>
                <w:b/>
                <w:bCs/>
                <w:i/>
                <w:iCs/>
                <w:spacing w:val="1"/>
                <w:sz w:val="21"/>
                <w:szCs w:val="21"/>
              </w:rPr>
              <w:t xml:space="preserve"> </w:t>
            </w:r>
            <w:r w:rsidRPr="00401C70">
              <w:rPr>
                <w:rFonts w:ascii="Abadi" w:hAnsi="Abadi" w:cs="Calibri"/>
                <w:b/>
                <w:bCs/>
                <w:i/>
                <w:iCs/>
                <w:sz w:val="21"/>
                <w:szCs w:val="21"/>
              </w:rPr>
              <w:t>principio,</w:t>
            </w:r>
            <w:r w:rsidRPr="00401C70">
              <w:rPr>
                <w:rFonts w:ascii="Abadi" w:hAnsi="Abadi" w:cs="Calibri"/>
                <w:b/>
                <w:bCs/>
                <w:i/>
                <w:iCs/>
                <w:spacing w:val="1"/>
                <w:sz w:val="21"/>
                <w:szCs w:val="21"/>
              </w:rPr>
              <w:t xml:space="preserve"> </w:t>
            </w:r>
            <w:r w:rsidRPr="00401C70">
              <w:rPr>
                <w:rFonts w:ascii="Abadi" w:hAnsi="Abadi" w:cs="Calibri"/>
                <w:b/>
                <w:bCs/>
                <w:i/>
                <w:iCs/>
                <w:sz w:val="21"/>
                <w:szCs w:val="21"/>
              </w:rPr>
              <w:t>el</w:t>
            </w:r>
            <w:r w:rsidRPr="00401C70">
              <w:rPr>
                <w:rFonts w:ascii="Abadi" w:hAnsi="Abadi" w:cs="Calibri"/>
                <w:b/>
                <w:bCs/>
                <w:i/>
                <w:iCs/>
                <w:spacing w:val="1"/>
                <w:sz w:val="21"/>
                <w:szCs w:val="21"/>
              </w:rPr>
              <w:t xml:space="preserve"> </w:t>
            </w:r>
            <w:r w:rsidRPr="00401C70">
              <w:rPr>
                <w:rFonts w:ascii="Abadi" w:hAnsi="Abadi" w:cs="Calibri"/>
                <w:b/>
                <w:bCs/>
                <w:i/>
                <w:iCs/>
                <w:sz w:val="21"/>
                <w:szCs w:val="21"/>
              </w:rPr>
              <w:t>Comité</w:t>
            </w:r>
            <w:r w:rsidRPr="00401C70">
              <w:rPr>
                <w:rFonts w:ascii="Abadi" w:hAnsi="Abadi" w:cs="Calibri"/>
                <w:b/>
                <w:bCs/>
                <w:i/>
                <w:iCs/>
                <w:spacing w:val="1"/>
                <w:sz w:val="21"/>
                <w:szCs w:val="21"/>
              </w:rPr>
              <w:t xml:space="preserve"> </w:t>
            </w:r>
            <w:r w:rsidRPr="00401C70">
              <w:rPr>
                <w:rFonts w:ascii="Abadi" w:hAnsi="Abadi" w:cs="Calibri"/>
                <w:b/>
                <w:bCs/>
                <w:i/>
                <w:iCs/>
                <w:sz w:val="21"/>
                <w:szCs w:val="21"/>
              </w:rPr>
              <w:t>deberá</w:t>
            </w:r>
            <w:r w:rsidRPr="00401C70">
              <w:rPr>
                <w:rFonts w:ascii="Abadi" w:hAnsi="Abadi" w:cs="Calibri"/>
                <w:b/>
                <w:bCs/>
                <w:i/>
                <w:iCs/>
                <w:spacing w:val="1"/>
                <w:sz w:val="21"/>
                <w:szCs w:val="21"/>
              </w:rPr>
              <w:t xml:space="preserve"> </w:t>
            </w:r>
            <w:r w:rsidRPr="00401C70">
              <w:rPr>
                <w:rFonts w:ascii="Abadi" w:hAnsi="Abadi" w:cs="Calibri"/>
                <w:b/>
                <w:bCs/>
                <w:i/>
                <w:iCs/>
                <w:sz w:val="21"/>
                <w:szCs w:val="21"/>
              </w:rPr>
              <w:t>estar</w:t>
            </w:r>
            <w:r w:rsidRPr="00401C70">
              <w:rPr>
                <w:rFonts w:ascii="Abadi" w:hAnsi="Abadi" w:cs="Calibri"/>
                <w:b/>
                <w:bCs/>
                <w:i/>
                <w:iCs/>
                <w:spacing w:val="1"/>
                <w:sz w:val="21"/>
                <w:szCs w:val="21"/>
              </w:rPr>
              <w:t xml:space="preserve"> </w:t>
            </w:r>
            <w:r w:rsidRPr="00401C70">
              <w:rPr>
                <w:rFonts w:ascii="Abadi" w:hAnsi="Abadi" w:cs="Calibri"/>
                <w:b/>
                <w:bCs/>
                <w:i/>
                <w:iCs/>
                <w:sz w:val="21"/>
                <w:szCs w:val="21"/>
              </w:rPr>
              <w:t>integrado</w:t>
            </w:r>
            <w:r w:rsidRPr="00401C70">
              <w:rPr>
                <w:rFonts w:ascii="Abadi" w:hAnsi="Abadi" w:cs="Calibri"/>
                <w:b/>
                <w:bCs/>
                <w:i/>
                <w:iCs/>
                <w:spacing w:val="1"/>
                <w:sz w:val="21"/>
                <w:szCs w:val="21"/>
              </w:rPr>
              <w:t xml:space="preserve"> </w:t>
            </w:r>
            <w:r w:rsidRPr="00401C70">
              <w:rPr>
                <w:rFonts w:ascii="Abadi" w:hAnsi="Abadi" w:cs="Calibri"/>
                <w:b/>
                <w:bCs/>
                <w:i/>
                <w:iCs/>
                <w:sz w:val="21"/>
                <w:szCs w:val="21"/>
              </w:rPr>
              <w:t>de</w:t>
            </w:r>
            <w:r w:rsidRPr="00401C70">
              <w:rPr>
                <w:rFonts w:ascii="Abadi" w:hAnsi="Abadi" w:cs="Calibri"/>
                <w:b/>
                <w:bCs/>
                <w:i/>
                <w:iCs/>
                <w:spacing w:val="1"/>
                <w:sz w:val="21"/>
                <w:szCs w:val="21"/>
              </w:rPr>
              <w:t xml:space="preserve"> </w:t>
            </w:r>
            <w:r w:rsidRPr="00401C70">
              <w:rPr>
                <w:rFonts w:ascii="Abadi" w:hAnsi="Abadi" w:cs="Calibri"/>
                <w:b/>
                <w:bCs/>
                <w:i/>
                <w:iCs/>
                <w:sz w:val="21"/>
                <w:szCs w:val="21"/>
              </w:rPr>
              <w:t>manera</w:t>
            </w:r>
            <w:r w:rsidRPr="00401C70">
              <w:rPr>
                <w:rFonts w:ascii="Abadi" w:hAnsi="Abadi" w:cs="Calibri"/>
                <w:b/>
                <w:bCs/>
                <w:i/>
                <w:iCs/>
                <w:spacing w:val="1"/>
                <w:sz w:val="21"/>
                <w:szCs w:val="21"/>
              </w:rPr>
              <w:t xml:space="preserve"> </w:t>
            </w:r>
            <w:r w:rsidRPr="00401C70">
              <w:rPr>
                <w:rFonts w:ascii="Abadi" w:hAnsi="Abadi" w:cs="Calibri"/>
                <w:b/>
                <w:bCs/>
                <w:i/>
                <w:iCs/>
                <w:sz w:val="21"/>
                <w:szCs w:val="21"/>
              </w:rPr>
              <w:t>que</w:t>
            </w:r>
            <w:r w:rsidRPr="00401C70">
              <w:rPr>
                <w:rFonts w:ascii="Abadi" w:hAnsi="Abadi" w:cs="Calibri"/>
                <w:b/>
                <w:bCs/>
                <w:i/>
                <w:iCs/>
                <w:spacing w:val="1"/>
                <w:sz w:val="21"/>
                <w:szCs w:val="21"/>
              </w:rPr>
              <w:t xml:space="preserve"> </w:t>
            </w:r>
            <w:r w:rsidRPr="00401C70">
              <w:rPr>
                <w:rFonts w:ascii="Abadi" w:hAnsi="Abadi" w:cs="Calibri"/>
                <w:b/>
                <w:bCs/>
                <w:i/>
                <w:iCs/>
                <w:sz w:val="21"/>
                <w:szCs w:val="21"/>
              </w:rPr>
              <w:t>en</w:t>
            </w:r>
            <w:r w:rsidRPr="00401C70">
              <w:rPr>
                <w:rFonts w:ascii="Abadi" w:hAnsi="Abadi" w:cs="Calibri"/>
                <w:b/>
                <w:bCs/>
                <w:i/>
                <w:iCs/>
                <w:spacing w:val="1"/>
                <w:sz w:val="21"/>
                <w:szCs w:val="21"/>
              </w:rPr>
              <w:t xml:space="preserve"> </w:t>
            </w:r>
            <w:r w:rsidRPr="00401C70">
              <w:rPr>
                <w:rFonts w:ascii="Abadi" w:hAnsi="Abadi" w:cs="Calibri"/>
                <w:b/>
                <w:bCs/>
                <w:i/>
                <w:iCs/>
                <w:sz w:val="21"/>
                <w:szCs w:val="21"/>
              </w:rPr>
              <w:t>ningún caso podrán ser más de tres personas</w:t>
            </w:r>
            <w:r w:rsidRPr="00401C70">
              <w:rPr>
                <w:rFonts w:ascii="Abadi" w:hAnsi="Abadi" w:cs="Calibri"/>
                <w:b/>
                <w:bCs/>
                <w:i/>
                <w:iCs/>
                <w:spacing w:val="1"/>
                <w:sz w:val="21"/>
                <w:szCs w:val="21"/>
              </w:rPr>
              <w:t xml:space="preserve"> </w:t>
            </w:r>
            <w:r w:rsidRPr="00401C70">
              <w:rPr>
                <w:rFonts w:ascii="Abadi" w:hAnsi="Abadi" w:cs="Calibri"/>
                <w:b/>
                <w:bCs/>
                <w:i/>
                <w:iCs/>
                <w:sz w:val="21"/>
                <w:szCs w:val="21"/>
              </w:rPr>
              <w:t>de</w:t>
            </w:r>
            <w:r w:rsidRPr="00401C70">
              <w:rPr>
                <w:rFonts w:ascii="Abadi" w:hAnsi="Abadi" w:cs="Calibri"/>
                <w:b/>
                <w:bCs/>
                <w:i/>
                <w:iCs/>
                <w:spacing w:val="-3"/>
                <w:sz w:val="21"/>
                <w:szCs w:val="21"/>
              </w:rPr>
              <w:t xml:space="preserve"> </w:t>
            </w:r>
            <w:r w:rsidRPr="00401C70">
              <w:rPr>
                <w:rFonts w:ascii="Abadi" w:hAnsi="Abadi" w:cs="Calibri"/>
                <w:b/>
                <w:bCs/>
                <w:i/>
                <w:iCs/>
                <w:sz w:val="21"/>
                <w:szCs w:val="21"/>
              </w:rPr>
              <w:t>un</w:t>
            </w:r>
            <w:r w:rsidRPr="00401C70">
              <w:rPr>
                <w:rFonts w:ascii="Abadi" w:hAnsi="Abadi" w:cs="Calibri"/>
                <w:b/>
                <w:bCs/>
                <w:i/>
                <w:iCs/>
                <w:spacing w:val="-1"/>
                <w:sz w:val="21"/>
                <w:szCs w:val="21"/>
              </w:rPr>
              <w:t xml:space="preserve"> </w:t>
            </w:r>
            <w:r w:rsidRPr="00401C70">
              <w:rPr>
                <w:rFonts w:ascii="Abadi" w:hAnsi="Abadi" w:cs="Calibri"/>
                <w:b/>
                <w:bCs/>
                <w:i/>
                <w:iCs/>
                <w:sz w:val="21"/>
                <w:szCs w:val="21"/>
              </w:rPr>
              <w:t>mismo</w:t>
            </w:r>
            <w:r w:rsidRPr="00401C70">
              <w:rPr>
                <w:rFonts w:ascii="Abadi" w:hAnsi="Abadi" w:cs="Calibri"/>
                <w:b/>
                <w:bCs/>
                <w:i/>
                <w:iCs/>
                <w:spacing w:val="-1"/>
                <w:sz w:val="21"/>
                <w:szCs w:val="21"/>
              </w:rPr>
              <w:t xml:space="preserve"> </w:t>
            </w:r>
            <w:r w:rsidRPr="00401C70">
              <w:rPr>
                <w:rFonts w:ascii="Abadi" w:hAnsi="Abadi" w:cs="Calibri"/>
                <w:b/>
                <w:bCs/>
                <w:i/>
                <w:iCs/>
                <w:sz w:val="21"/>
                <w:szCs w:val="21"/>
              </w:rPr>
              <w:t>género.</w:t>
            </w:r>
          </w:p>
        </w:tc>
      </w:tr>
      <w:tr w:rsidR="00677B7E" w:rsidRPr="00401C70" w14:paraId="348BE02E" w14:textId="77777777" w:rsidTr="00EE3E2D">
        <w:trPr>
          <w:trHeight w:val="1727"/>
        </w:trPr>
        <w:tc>
          <w:tcPr>
            <w:tcW w:w="2500" w:type="pct"/>
            <w:tcBorders>
              <w:top w:val="none" w:sz="6" w:space="0" w:color="auto"/>
              <w:left w:val="single" w:sz="4" w:space="0" w:color="000000"/>
              <w:bottom w:val="single" w:sz="4" w:space="0" w:color="000000"/>
              <w:right w:val="single" w:sz="4" w:space="0" w:color="000000"/>
            </w:tcBorders>
          </w:tcPr>
          <w:p w14:paraId="242329B3" w14:textId="77777777" w:rsidR="00677B7E" w:rsidRPr="00401C70" w:rsidRDefault="00677B7E" w:rsidP="00FA2590">
            <w:pPr>
              <w:kinsoku w:val="0"/>
              <w:overflowPunct w:val="0"/>
              <w:autoSpaceDE w:val="0"/>
              <w:autoSpaceDN w:val="0"/>
              <w:adjustRightInd w:val="0"/>
              <w:spacing w:before="113"/>
              <w:ind w:left="107" w:right="92"/>
              <w:jc w:val="both"/>
              <w:rPr>
                <w:rFonts w:ascii="Abadi" w:hAnsi="Abadi" w:cs="Calibri"/>
                <w:sz w:val="21"/>
                <w:szCs w:val="21"/>
              </w:rPr>
            </w:pPr>
            <w:r w:rsidRPr="00401C70">
              <w:rPr>
                <w:rFonts w:ascii="Abadi" w:hAnsi="Abadi" w:cs="Calibri"/>
                <w:sz w:val="21"/>
                <w:szCs w:val="21"/>
              </w:rPr>
              <w:t>El Ayuntamiento convocará, preferentemente,</w:t>
            </w:r>
            <w:r w:rsidRPr="00401C70">
              <w:rPr>
                <w:rFonts w:ascii="Abadi" w:hAnsi="Abadi" w:cs="Calibri"/>
                <w:spacing w:val="-47"/>
                <w:sz w:val="21"/>
                <w:szCs w:val="21"/>
              </w:rPr>
              <w:t xml:space="preserve"> </w:t>
            </w:r>
            <w:r w:rsidRPr="00401C70">
              <w:rPr>
                <w:rFonts w:ascii="Abadi" w:hAnsi="Abadi" w:cs="Calibri"/>
                <w:sz w:val="21"/>
                <w:szCs w:val="21"/>
              </w:rPr>
              <w:t>a</w:t>
            </w:r>
            <w:r w:rsidRPr="00401C70">
              <w:rPr>
                <w:rFonts w:ascii="Abadi" w:hAnsi="Abadi" w:cs="Calibri"/>
                <w:spacing w:val="-7"/>
                <w:sz w:val="21"/>
                <w:szCs w:val="21"/>
              </w:rPr>
              <w:t xml:space="preserve"> </w:t>
            </w:r>
            <w:r w:rsidRPr="00401C70">
              <w:rPr>
                <w:rFonts w:ascii="Abadi" w:hAnsi="Abadi" w:cs="Calibri"/>
                <w:sz w:val="21"/>
                <w:szCs w:val="21"/>
              </w:rPr>
              <w:t>las</w:t>
            </w:r>
            <w:r w:rsidRPr="00401C70">
              <w:rPr>
                <w:rFonts w:ascii="Abadi" w:hAnsi="Abadi" w:cs="Calibri"/>
                <w:spacing w:val="-6"/>
                <w:sz w:val="21"/>
                <w:szCs w:val="21"/>
              </w:rPr>
              <w:t xml:space="preserve"> </w:t>
            </w:r>
            <w:r w:rsidRPr="00401C70">
              <w:rPr>
                <w:rFonts w:ascii="Abadi" w:hAnsi="Abadi" w:cs="Calibri"/>
                <w:sz w:val="21"/>
                <w:szCs w:val="21"/>
              </w:rPr>
              <w:t>instituciones</w:t>
            </w:r>
            <w:r w:rsidRPr="00401C70">
              <w:rPr>
                <w:rFonts w:ascii="Abadi" w:hAnsi="Abadi" w:cs="Calibri"/>
                <w:spacing w:val="-5"/>
                <w:sz w:val="21"/>
                <w:szCs w:val="21"/>
              </w:rPr>
              <w:t xml:space="preserve"> </w:t>
            </w:r>
            <w:r w:rsidRPr="00401C70">
              <w:rPr>
                <w:rFonts w:ascii="Abadi" w:hAnsi="Abadi" w:cs="Calibri"/>
                <w:sz w:val="21"/>
                <w:szCs w:val="21"/>
              </w:rPr>
              <w:t>de</w:t>
            </w:r>
            <w:r w:rsidRPr="00401C70">
              <w:rPr>
                <w:rFonts w:ascii="Abadi" w:hAnsi="Abadi" w:cs="Calibri"/>
                <w:spacing w:val="-7"/>
                <w:sz w:val="21"/>
                <w:szCs w:val="21"/>
              </w:rPr>
              <w:t xml:space="preserve"> </w:t>
            </w:r>
            <w:r w:rsidRPr="00401C70">
              <w:rPr>
                <w:rFonts w:ascii="Abadi" w:hAnsi="Abadi" w:cs="Calibri"/>
                <w:sz w:val="21"/>
                <w:szCs w:val="21"/>
              </w:rPr>
              <w:t>educación</w:t>
            </w:r>
            <w:r w:rsidRPr="00401C70">
              <w:rPr>
                <w:rFonts w:ascii="Abadi" w:hAnsi="Abadi" w:cs="Calibri"/>
                <w:spacing w:val="-9"/>
                <w:sz w:val="21"/>
                <w:szCs w:val="21"/>
              </w:rPr>
              <w:t xml:space="preserve"> </w:t>
            </w:r>
            <w:r w:rsidRPr="00401C70">
              <w:rPr>
                <w:rFonts w:ascii="Abadi" w:hAnsi="Abadi" w:cs="Calibri"/>
                <w:sz w:val="21"/>
                <w:szCs w:val="21"/>
              </w:rPr>
              <w:t>media</w:t>
            </w:r>
            <w:r w:rsidRPr="00401C70">
              <w:rPr>
                <w:rFonts w:ascii="Abadi" w:hAnsi="Abadi" w:cs="Calibri"/>
                <w:spacing w:val="-7"/>
                <w:sz w:val="21"/>
                <w:szCs w:val="21"/>
              </w:rPr>
              <w:t xml:space="preserve"> </w:t>
            </w:r>
            <w:r w:rsidRPr="00401C70">
              <w:rPr>
                <w:rFonts w:ascii="Abadi" w:hAnsi="Abadi" w:cs="Calibri"/>
                <w:sz w:val="21"/>
                <w:szCs w:val="21"/>
              </w:rPr>
              <w:t>superior</w:t>
            </w:r>
            <w:r w:rsidRPr="00401C70">
              <w:rPr>
                <w:rFonts w:ascii="Abadi" w:hAnsi="Abadi" w:cs="Calibri"/>
                <w:spacing w:val="-47"/>
                <w:sz w:val="21"/>
                <w:szCs w:val="21"/>
              </w:rPr>
              <w:t xml:space="preserve"> </w:t>
            </w:r>
            <w:r w:rsidRPr="00401C70">
              <w:rPr>
                <w:rFonts w:ascii="Abadi" w:hAnsi="Abadi" w:cs="Calibri"/>
                <w:sz w:val="21"/>
                <w:szCs w:val="21"/>
              </w:rPr>
              <w:t>y</w:t>
            </w:r>
            <w:r w:rsidRPr="00401C70">
              <w:rPr>
                <w:rFonts w:ascii="Abadi" w:hAnsi="Abadi" w:cs="Calibri"/>
                <w:spacing w:val="1"/>
                <w:sz w:val="21"/>
                <w:szCs w:val="21"/>
              </w:rPr>
              <w:t xml:space="preserve"> </w:t>
            </w:r>
            <w:r w:rsidRPr="00401C70">
              <w:rPr>
                <w:rFonts w:ascii="Abadi" w:hAnsi="Abadi" w:cs="Calibri"/>
                <w:sz w:val="21"/>
                <w:szCs w:val="21"/>
              </w:rPr>
              <w:t>superior,</w:t>
            </w:r>
            <w:r w:rsidRPr="00401C70">
              <w:rPr>
                <w:rFonts w:ascii="Abadi" w:hAnsi="Abadi" w:cs="Calibri"/>
                <w:spacing w:val="1"/>
                <w:sz w:val="21"/>
                <w:szCs w:val="21"/>
              </w:rPr>
              <w:t xml:space="preserve"> </w:t>
            </w:r>
            <w:r w:rsidRPr="00401C70">
              <w:rPr>
                <w:rFonts w:ascii="Abadi" w:hAnsi="Abadi" w:cs="Calibri"/>
                <w:sz w:val="21"/>
                <w:szCs w:val="21"/>
              </w:rPr>
              <w:t>así</w:t>
            </w:r>
            <w:r w:rsidRPr="00401C70">
              <w:rPr>
                <w:rFonts w:ascii="Abadi" w:hAnsi="Abadi" w:cs="Calibri"/>
                <w:spacing w:val="1"/>
                <w:sz w:val="21"/>
                <w:szCs w:val="21"/>
              </w:rPr>
              <w:t xml:space="preserve"> </w:t>
            </w:r>
            <w:r w:rsidRPr="00401C70">
              <w:rPr>
                <w:rFonts w:ascii="Abadi" w:hAnsi="Abadi" w:cs="Calibri"/>
                <w:sz w:val="21"/>
                <w:szCs w:val="21"/>
              </w:rPr>
              <w:t>como</w:t>
            </w:r>
            <w:r w:rsidRPr="00401C70">
              <w:rPr>
                <w:rFonts w:ascii="Abadi" w:hAnsi="Abadi" w:cs="Calibri"/>
                <w:spacing w:val="1"/>
                <w:sz w:val="21"/>
                <w:szCs w:val="21"/>
              </w:rPr>
              <w:t xml:space="preserve"> </w:t>
            </w:r>
            <w:r w:rsidRPr="00401C70">
              <w:rPr>
                <w:rFonts w:ascii="Abadi" w:hAnsi="Abadi" w:cs="Calibri"/>
                <w:sz w:val="21"/>
                <w:szCs w:val="21"/>
              </w:rPr>
              <w:t>a</w:t>
            </w:r>
            <w:r w:rsidRPr="00401C70">
              <w:rPr>
                <w:rFonts w:ascii="Abadi" w:hAnsi="Abadi" w:cs="Calibri"/>
                <w:spacing w:val="1"/>
                <w:sz w:val="21"/>
                <w:szCs w:val="21"/>
              </w:rPr>
              <w:t xml:space="preserve"> </w:t>
            </w:r>
            <w:r w:rsidRPr="00401C70">
              <w:rPr>
                <w:rFonts w:ascii="Abadi" w:hAnsi="Abadi" w:cs="Calibri"/>
                <w:sz w:val="21"/>
                <w:szCs w:val="21"/>
              </w:rPr>
              <w:t>organizaciones</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47"/>
                <w:sz w:val="21"/>
                <w:szCs w:val="21"/>
              </w:rPr>
              <w:t xml:space="preserve"> </w:t>
            </w:r>
            <w:r w:rsidRPr="00401C70">
              <w:rPr>
                <w:rFonts w:ascii="Abadi" w:hAnsi="Abadi" w:cs="Calibri"/>
                <w:sz w:val="21"/>
                <w:szCs w:val="21"/>
              </w:rPr>
              <w:t>sociedad</w:t>
            </w:r>
            <w:r w:rsidRPr="00401C70">
              <w:rPr>
                <w:rFonts w:ascii="Abadi" w:hAnsi="Abadi" w:cs="Calibri"/>
                <w:spacing w:val="1"/>
                <w:sz w:val="21"/>
                <w:szCs w:val="21"/>
              </w:rPr>
              <w:t xml:space="preserve"> </w:t>
            </w:r>
            <w:r w:rsidRPr="00401C70">
              <w:rPr>
                <w:rFonts w:ascii="Abadi" w:hAnsi="Abadi" w:cs="Calibri"/>
                <w:sz w:val="21"/>
                <w:szCs w:val="21"/>
              </w:rPr>
              <w:t>civil</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municipio,</w:t>
            </w:r>
            <w:r w:rsidRPr="00401C70">
              <w:rPr>
                <w:rFonts w:ascii="Abadi" w:hAnsi="Abadi" w:cs="Calibri"/>
                <w:spacing w:val="1"/>
                <w:sz w:val="21"/>
                <w:szCs w:val="21"/>
              </w:rPr>
              <w:t xml:space="preserve"> </w:t>
            </w:r>
            <w:r w:rsidRPr="00401C70">
              <w:rPr>
                <w:rFonts w:ascii="Abadi" w:hAnsi="Abadi" w:cs="Calibri"/>
                <w:sz w:val="21"/>
                <w:szCs w:val="21"/>
              </w:rPr>
              <w:t>para</w:t>
            </w:r>
            <w:r w:rsidRPr="00401C70">
              <w:rPr>
                <w:rFonts w:ascii="Abadi" w:hAnsi="Abadi" w:cs="Calibri"/>
                <w:spacing w:val="1"/>
                <w:sz w:val="21"/>
                <w:szCs w:val="21"/>
              </w:rPr>
              <w:t xml:space="preserve"> </w:t>
            </w:r>
            <w:r w:rsidRPr="00401C70">
              <w:rPr>
                <w:rFonts w:ascii="Abadi" w:hAnsi="Abadi" w:cs="Calibri"/>
                <w:sz w:val="21"/>
                <w:szCs w:val="21"/>
              </w:rPr>
              <w:t>proponer</w:t>
            </w:r>
            <w:r w:rsidRPr="00401C70">
              <w:rPr>
                <w:rFonts w:ascii="Abadi" w:hAnsi="Abadi" w:cs="Calibri"/>
                <w:spacing w:val="1"/>
                <w:sz w:val="21"/>
                <w:szCs w:val="21"/>
              </w:rPr>
              <w:t xml:space="preserve"> </w:t>
            </w:r>
            <w:r w:rsidRPr="00401C70">
              <w:rPr>
                <w:rFonts w:ascii="Abadi" w:hAnsi="Abadi" w:cs="Calibri"/>
                <w:sz w:val="21"/>
                <w:szCs w:val="21"/>
              </w:rPr>
              <w:t>candidatos</w:t>
            </w:r>
            <w:r w:rsidRPr="00401C70">
              <w:rPr>
                <w:rFonts w:ascii="Abadi" w:hAnsi="Abadi" w:cs="Calibri"/>
                <w:spacing w:val="40"/>
                <w:sz w:val="21"/>
                <w:szCs w:val="21"/>
              </w:rPr>
              <w:t xml:space="preserve"> </w:t>
            </w:r>
            <w:r w:rsidRPr="00401C70">
              <w:rPr>
                <w:rFonts w:ascii="Abadi" w:hAnsi="Abadi" w:cs="Calibri"/>
                <w:sz w:val="21"/>
                <w:szCs w:val="21"/>
              </w:rPr>
              <w:t>a</w:t>
            </w:r>
            <w:r w:rsidRPr="00401C70">
              <w:rPr>
                <w:rFonts w:ascii="Abadi" w:hAnsi="Abadi" w:cs="Calibri"/>
                <w:spacing w:val="42"/>
                <w:sz w:val="21"/>
                <w:szCs w:val="21"/>
              </w:rPr>
              <w:t xml:space="preserve"> </w:t>
            </w:r>
            <w:r w:rsidRPr="00401C70">
              <w:rPr>
                <w:rFonts w:ascii="Abadi" w:hAnsi="Abadi" w:cs="Calibri"/>
                <w:sz w:val="21"/>
                <w:szCs w:val="21"/>
              </w:rPr>
              <w:t>fin</w:t>
            </w:r>
            <w:r w:rsidRPr="00401C70">
              <w:rPr>
                <w:rFonts w:ascii="Abadi" w:hAnsi="Abadi" w:cs="Calibri"/>
                <w:spacing w:val="39"/>
                <w:sz w:val="21"/>
                <w:szCs w:val="21"/>
              </w:rPr>
              <w:t xml:space="preserve"> </w:t>
            </w:r>
            <w:r w:rsidRPr="00401C70">
              <w:rPr>
                <w:rFonts w:ascii="Abadi" w:hAnsi="Abadi" w:cs="Calibri"/>
                <w:sz w:val="21"/>
                <w:szCs w:val="21"/>
              </w:rPr>
              <w:t>de</w:t>
            </w:r>
            <w:r w:rsidRPr="00401C70">
              <w:rPr>
                <w:rFonts w:ascii="Abadi" w:hAnsi="Abadi" w:cs="Calibri"/>
                <w:spacing w:val="43"/>
                <w:sz w:val="21"/>
                <w:szCs w:val="21"/>
              </w:rPr>
              <w:t xml:space="preserve"> </w:t>
            </w:r>
            <w:r w:rsidRPr="00401C70">
              <w:rPr>
                <w:rFonts w:ascii="Abadi" w:hAnsi="Abadi" w:cs="Calibri"/>
                <w:sz w:val="21"/>
                <w:szCs w:val="21"/>
              </w:rPr>
              <w:t>integrar</w:t>
            </w:r>
            <w:r w:rsidRPr="00401C70">
              <w:rPr>
                <w:rFonts w:ascii="Abadi" w:hAnsi="Abadi" w:cs="Calibri"/>
                <w:spacing w:val="39"/>
                <w:sz w:val="21"/>
                <w:szCs w:val="21"/>
              </w:rPr>
              <w:t xml:space="preserve"> </w:t>
            </w:r>
            <w:r w:rsidRPr="00401C70">
              <w:rPr>
                <w:rFonts w:ascii="Abadi" w:hAnsi="Abadi" w:cs="Calibri"/>
                <w:sz w:val="21"/>
                <w:szCs w:val="21"/>
              </w:rPr>
              <w:t>el</w:t>
            </w:r>
            <w:r w:rsidRPr="00401C70">
              <w:rPr>
                <w:rFonts w:ascii="Abadi" w:hAnsi="Abadi" w:cs="Calibri"/>
                <w:spacing w:val="43"/>
                <w:sz w:val="21"/>
                <w:szCs w:val="21"/>
              </w:rPr>
              <w:t xml:space="preserve"> </w:t>
            </w:r>
            <w:r w:rsidRPr="00401C70">
              <w:rPr>
                <w:rFonts w:ascii="Abadi" w:hAnsi="Abadi" w:cs="Calibri"/>
                <w:sz w:val="21"/>
                <w:szCs w:val="21"/>
              </w:rPr>
              <w:t>Comité</w:t>
            </w:r>
          </w:p>
          <w:p w14:paraId="74038460" w14:textId="77777777" w:rsidR="00677B7E" w:rsidRPr="00401C70" w:rsidRDefault="00677B7E" w:rsidP="00FA2590">
            <w:pPr>
              <w:kinsoku w:val="0"/>
              <w:overflowPunct w:val="0"/>
              <w:autoSpaceDE w:val="0"/>
              <w:autoSpaceDN w:val="0"/>
              <w:adjustRightInd w:val="0"/>
              <w:spacing w:before="2" w:line="249" w:lineRule="exact"/>
              <w:ind w:left="107"/>
              <w:jc w:val="both"/>
              <w:rPr>
                <w:rFonts w:ascii="Abadi" w:hAnsi="Abadi" w:cs="Calibri"/>
                <w:sz w:val="21"/>
                <w:szCs w:val="21"/>
              </w:rPr>
            </w:pPr>
            <w:r w:rsidRPr="00401C70">
              <w:rPr>
                <w:rFonts w:ascii="Abadi" w:hAnsi="Abadi" w:cs="Calibri"/>
                <w:sz w:val="21"/>
                <w:szCs w:val="21"/>
              </w:rPr>
              <w:t>Municipal</w:t>
            </w:r>
            <w:r w:rsidRPr="00401C70">
              <w:rPr>
                <w:rFonts w:ascii="Abadi" w:hAnsi="Abadi" w:cs="Calibri"/>
                <w:spacing w:val="-1"/>
                <w:sz w:val="21"/>
                <w:szCs w:val="21"/>
              </w:rPr>
              <w:t xml:space="preserve"> </w:t>
            </w:r>
            <w:r w:rsidRPr="00401C70">
              <w:rPr>
                <w:rFonts w:ascii="Abadi" w:hAnsi="Abadi" w:cs="Calibri"/>
                <w:sz w:val="21"/>
                <w:szCs w:val="21"/>
              </w:rPr>
              <w:t>Ciudadano.</w:t>
            </w:r>
          </w:p>
        </w:tc>
        <w:tc>
          <w:tcPr>
            <w:tcW w:w="2500" w:type="pct"/>
            <w:tcBorders>
              <w:top w:val="none" w:sz="6" w:space="0" w:color="auto"/>
              <w:left w:val="single" w:sz="4" w:space="0" w:color="000000"/>
              <w:bottom w:val="single" w:sz="4" w:space="0" w:color="000000"/>
              <w:right w:val="single" w:sz="4" w:space="0" w:color="000000"/>
            </w:tcBorders>
          </w:tcPr>
          <w:p w14:paraId="45FA5A99" w14:textId="77777777" w:rsidR="00677B7E" w:rsidRPr="00401C70" w:rsidRDefault="00677B7E" w:rsidP="00FA2590">
            <w:pPr>
              <w:kinsoku w:val="0"/>
              <w:overflowPunct w:val="0"/>
              <w:autoSpaceDE w:val="0"/>
              <w:autoSpaceDN w:val="0"/>
              <w:adjustRightInd w:val="0"/>
              <w:spacing w:before="113"/>
              <w:ind w:left="107" w:right="92"/>
              <w:jc w:val="both"/>
              <w:rPr>
                <w:rFonts w:ascii="Abadi" w:hAnsi="Abadi" w:cs="Calibri"/>
                <w:sz w:val="21"/>
                <w:szCs w:val="21"/>
              </w:rPr>
            </w:pPr>
            <w:r w:rsidRPr="00401C70">
              <w:rPr>
                <w:rFonts w:ascii="Abadi" w:hAnsi="Abadi" w:cs="Calibri"/>
                <w:sz w:val="21"/>
                <w:szCs w:val="21"/>
              </w:rPr>
              <w:t>El Ayuntamiento convocará, preferentemente,</w:t>
            </w:r>
            <w:r w:rsidRPr="00401C70">
              <w:rPr>
                <w:rFonts w:ascii="Abadi" w:hAnsi="Abadi" w:cs="Calibri"/>
                <w:spacing w:val="-47"/>
                <w:sz w:val="21"/>
                <w:szCs w:val="21"/>
              </w:rPr>
              <w:t xml:space="preserve"> </w:t>
            </w:r>
            <w:r w:rsidRPr="00401C70">
              <w:rPr>
                <w:rFonts w:ascii="Abadi" w:hAnsi="Abadi" w:cs="Calibri"/>
                <w:sz w:val="21"/>
                <w:szCs w:val="21"/>
              </w:rPr>
              <w:t>a</w:t>
            </w:r>
            <w:r w:rsidRPr="00401C70">
              <w:rPr>
                <w:rFonts w:ascii="Abadi" w:hAnsi="Abadi" w:cs="Calibri"/>
                <w:spacing w:val="-7"/>
                <w:sz w:val="21"/>
                <w:szCs w:val="21"/>
              </w:rPr>
              <w:t xml:space="preserve"> </w:t>
            </w:r>
            <w:r w:rsidRPr="00401C70">
              <w:rPr>
                <w:rFonts w:ascii="Abadi" w:hAnsi="Abadi" w:cs="Calibri"/>
                <w:sz w:val="21"/>
                <w:szCs w:val="21"/>
              </w:rPr>
              <w:t>las</w:t>
            </w:r>
            <w:r w:rsidRPr="00401C70">
              <w:rPr>
                <w:rFonts w:ascii="Abadi" w:hAnsi="Abadi" w:cs="Calibri"/>
                <w:spacing w:val="-6"/>
                <w:sz w:val="21"/>
                <w:szCs w:val="21"/>
              </w:rPr>
              <w:t xml:space="preserve"> </w:t>
            </w:r>
            <w:r w:rsidRPr="00401C70">
              <w:rPr>
                <w:rFonts w:ascii="Abadi" w:hAnsi="Abadi" w:cs="Calibri"/>
                <w:sz w:val="21"/>
                <w:szCs w:val="21"/>
              </w:rPr>
              <w:t>instituciones</w:t>
            </w:r>
            <w:r w:rsidRPr="00401C70">
              <w:rPr>
                <w:rFonts w:ascii="Abadi" w:hAnsi="Abadi" w:cs="Calibri"/>
                <w:spacing w:val="-5"/>
                <w:sz w:val="21"/>
                <w:szCs w:val="21"/>
              </w:rPr>
              <w:t xml:space="preserve"> </w:t>
            </w:r>
            <w:r w:rsidRPr="00401C70">
              <w:rPr>
                <w:rFonts w:ascii="Abadi" w:hAnsi="Abadi" w:cs="Calibri"/>
                <w:sz w:val="21"/>
                <w:szCs w:val="21"/>
              </w:rPr>
              <w:t>de</w:t>
            </w:r>
            <w:r w:rsidRPr="00401C70">
              <w:rPr>
                <w:rFonts w:ascii="Abadi" w:hAnsi="Abadi" w:cs="Calibri"/>
                <w:spacing w:val="-7"/>
                <w:sz w:val="21"/>
                <w:szCs w:val="21"/>
              </w:rPr>
              <w:t xml:space="preserve"> </w:t>
            </w:r>
            <w:r w:rsidRPr="00401C70">
              <w:rPr>
                <w:rFonts w:ascii="Abadi" w:hAnsi="Abadi" w:cs="Calibri"/>
                <w:sz w:val="21"/>
                <w:szCs w:val="21"/>
              </w:rPr>
              <w:t>educación</w:t>
            </w:r>
            <w:r w:rsidRPr="00401C70">
              <w:rPr>
                <w:rFonts w:ascii="Abadi" w:hAnsi="Abadi" w:cs="Calibri"/>
                <w:spacing w:val="-9"/>
                <w:sz w:val="21"/>
                <w:szCs w:val="21"/>
              </w:rPr>
              <w:t xml:space="preserve"> </w:t>
            </w:r>
            <w:r w:rsidRPr="00401C70">
              <w:rPr>
                <w:rFonts w:ascii="Abadi" w:hAnsi="Abadi" w:cs="Calibri"/>
                <w:sz w:val="21"/>
                <w:szCs w:val="21"/>
              </w:rPr>
              <w:t>media</w:t>
            </w:r>
            <w:r w:rsidRPr="00401C70">
              <w:rPr>
                <w:rFonts w:ascii="Abadi" w:hAnsi="Abadi" w:cs="Calibri"/>
                <w:spacing w:val="-7"/>
                <w:sz w:val="21"/>
                <w:szCs w:val="21"/>
              </w:rPr>
              <w:t xml:space="preserve"> </w:t>
            </w:r>
            <w:r w:rsidRPr="00401C70">
              <w:rPr>
                <w:rFonts w:ascii="Abadi" w:hAnsi="Abadi" w:cs="Calibri"/>
                <w:sz w:val="21"/>
                <w:szCs w:val="21"/>
              </w:rPr>
              <w:t>superior</w:t>
            </w:r>
            <w:r w:rsidRPr="00401C70">
              <w:rPr>
                <w:rFonts w:ascii="Abadi" w:hAnsi="Abadi" w:cs="Calibri"/>
                <w:spacing w:val="-47"/>
                <w:sz w:val="21"/>
                <w:szCs w:val="21"/>
              </w:rPr>
              <w:t xml:space="preserve"> </w:t>
            </w:r>
            <w:r w:rsidRPr="00401C70">
              <w:rPr>
                <w:rFonts w:ascii="Abadi" w:hAnsi="Abadi" w:cs="Calibri"/>
                <w:sz w:val="21"/>
                <w:szCs w:val="21"/>
              </w:rPr>
              <w:t>y</w:t>
            </w:r>
            <w:r w:rsidRPr="00401C70">
              <w:rPr>
                <w:rFonts w:ascii="Abadi" w:hAnsi="Abadi" w:cs="Calibri"/>
                <w:spacing w:val="1"/>
                <w:sz w:val="21"/>
                <w:szCs w:val="21"/>
              </w:rPr>
              <w:t xml:space="preserve"> </w:t>
            </w:r>
            <w:r w:rsidRPr="00401C70">
              <w:rPr>
                <w:rFonts w:ascii="Abadi" w:hAnsi="Abadi" w:cs="Calibri"/>
                <w:sz w:val="21"/>
                <w:szCs w:val="21"/>
              </w:rPr>
              <w:t>superior,</w:t>
            </w:r>
            <w:r w:rsidRPr="00401C70">
              <w:rPr>
                <w:rFonts w:ascii="Abadi" w:hAnsi="Abadi" w:cs="Calibri"/>
                <w:spacing w:val="1"/>
                <w:sz w:val="21"/>
                <w:szCs w:val="21"/>
              </w:rPr>
              <w:t xml:space="preserve"> </w:t>
            </w:r>
            <w:r w:rsidRPr="00401C70">
              <w:rPr>
                <w:rFonts w:ascii="Abadi" w:hAnsi="Abadi" w:cs="Calibri"/>
                <w:sz w:val="21"/>
                <w:szCs w:val="21"/>
              </w:rPr>
              <w:t>así</w:t>
            </w:r>
            <w:r w:rsidRPr="00401C70">
              <w:rPr>
                <w:rFonts w:ascii="Abadi" w:hAnsi="Abadi" w:cs="Calibri"/>
                <w:spacing w:val="1"/>
                <w:sz w:val="21"/>
                <w:szCs w:val="21"/>
              </w:rPr>
              <w:t xml:space="preserve"> </w:t>
            </w:r>
            <w:r w:rsidRPr="00401C70">
              <w:rPr>
                <w:rFonts w:ascii="Abadi" w:hAnsi="Abadi" w:cs="Calibri"/>
                <w:sz w:val="21"/>
                <w:szCs w:val="21"/>
              </w:rPr>
              <w:t>como</w:t>
            </w:r>
            <w:r w:rsidRPr="00401C70">
              <w:rPr>
                <w:rFonts w:ascii="Abadi" w:hAnsi="Abadi" w:cs="Calibri"/>
                <w:spacing w:val="1"/>
                <w:sz w:val="21"/>
                <w:szCs w:val="21"/>
              </w:rPr>
              <w:t xml:space="preserve"> </w:t>
            </w:r>
            <w:r w:rsidRPr="00401C70">
              <w:rPr>
                <w:rFonts w:ascii="Abadi" w:hAnsi="Abadi" w:cs="Calibri"/>
                <w:sz w:val="21"/>
                <w:szCs w:val="21"/>
              </w:rPr>
              <w:t>a</w:t>
            </w:r>
            <w:r w:rsidRPr="00401C70">
              <w:rPr>
                <w:rFonts w:ascii="Abadi" w:hAnsi="Abadi" w:cs="Calibri"/>
                <w:spacing w:val="1"/>
                <w:sz w:val="21"/>
                <w:szCs w:val="21"/>
              </w:rPr>
              <w:t xml:space="preserve"> </w:t>
            </w:r>
            <w:r w:rsidRPr="00401C70">
              <w:rPr>
                <w:rFonts w:ascii="Abadi" w:hAnsi="Abadi" w:cs="Calibri"/>
                <w:sz w:val="21"/>
                <w:szCs w:val="21"/>
              </w:rPr>
              <w:t>organizaciones</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47"/>
                <w:sz w:val="21"/>
                <w:szCs w:val="21"/>
              </w:rPr>
              <w:t xml:space="preserve"> </w:t>
            </w:r>
            <w:r w:rsidRPr="00401C70">
              <w:rPr>
                <w:rFonts w:ascii="Abadi" w:hAnsi="Abadi" w:cs="Calibri"/>
                <w:sz w:val="21"/>
                <w:szCs w:val="21"/>
              </w:rPr>
              <w:t xml:space="preserve">sociedad civil del municipio, para proponer </w:t>
            </w:r>
            <w:r w:rsidRPr="00401C70">
              <w:rPr>
                <w:rFonts w:ascii="Abadi" w:hAnsi="Abadi" w:cs="Calibri"/>
                <w:b/>
                <w:bCs/>
                <w:i/>
                <w:iCs/>
                <w:sz w:val="21"/>
                <w:szCs w:val="21"/>
              </w:rPr>
              <w:t>las</w:t>
            </w:r>
            <w:r w:rsidRPr="00401C70">
              <w:rPr>
                <w:rFonts w:ascii="Abadi" w:hAnsi="Abadi" w:cs="Calibri"/>
                <w:b/>
                <w:bCs/>
                <w:i/>
                <w:iCs/>
                <w:spacing w:val="1"/>
                <w:sz w:val="21"/>
                <w:szCs w:val="21"/>
              </w:rPr>
              <w:t xml:space="preserve"> </w:t>
            </w:r>
            <w:r w:rsidRPr="00401C70">
              <w:rPr>
                <w:rFonts w:ascii="Abadi" w:hAnsi="Abadi" w:cs="Calibri"/>
                <w:b/>
                <w:bCs/>
                <w:i/>
                <w:iCs/>
                <w:sz w:val="21"/>
                <w:szCs w:val="21"/>
              </w:rPr>
              <w:t>candidaturas</w:t>
            </w:r>
            <w:r w:rsidRPr="00401C70">
              <w:rPr>
                <w:rFonts w:ascii="Abadi" w:hAnsi="Abadi" w:cs="Calibri"/>
                <w:b/>
                <w:bCs/>
                <w:i/>
                <w:iCs/>
                <w:spacing w:val="3"/>
                <w:sz w:val="21"/>
                <w:szCs w:val="21"/>
              </w:rPr>
              <w:t xml:space="preserve"> </w:t>
            </w:r>
            <w:r w:rsidRPr="00401C70">
              <w:rPr>
                <w:rFonts w:ascii="Abadi" w:hAnsi="Abadi" w:cs="Calibri"/>
                <w:sz w:val="21"/>
                <w:szCs w:val="21"/>
              </w:rPr>
              <w:t>a</w:t>
            </w:r>
            <w:r w:rsidRPr="00401C70">
              <w:rPr>
                <w:rFonts w:ascii="Abadi" w:hAnsi="Abadi" w:cs="Calibri"/>
                <w:spacing w:val="3"/>
                <w:sz w:val="21"/>
                <w:szCs w:val="21"/>
              </w:rPr>
              <w:t xml:space="preserve"> </w:t>
            </w:r>
            <w:r w:rsidRPr="00401C70">
              <w:rPr>
                <w:rFonts w:ascii="Abadi" w:hAnsi="Abadi" w:cs="Calibri"/>
                <w:sz w:val="21"/>
                <w:szCs w:val="21"/>
              </w:rPr>
              <w:t>fin</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3"/>
                <w:sz w:val="21"/>
                <w:szCs w:val="21"/>
              </w:rPr>
              <w:t xml:space="preserve"> </w:t>
            </w:r>
            <w:r w:rsidRPr="00401C70">
              <w:rPr>
                <w:rFonts w:ascii="Abadi" w:hAnsi="Abadi" w:cs="Calibri"/>
                <w:sz w:val="21"/>
                <w:szCs w:val="21"/>
              </w:rPr>
              <w:t>integrar</w:t>
            </w:r>
            <w:r w:rsidRPr="00401C70">
              <w:rPr>
                <w:rFonts w:ascii="Abadi" w:hAnsi="Abadi" w:cs="Calibri"/>
                <w:spacing w:val="2"/>
                <w:sz w:val="21"/>
                <w:szCs w:val="21"/>
              </w:rPr>
              <w:t xml:space="preserve"> </w:t>
            </w:r>
            <w:r w:rsidRPr="00401C70">
              <w:rPr>
                <w:rFonts w:ascii="Abadi" w:hAnsi="Abadi" w:cs="Calibri"/>
                <w:sz w:val="21"/>
                <w:szCs w:val="21"/>
              </w:rPr>
              <w:t>el</w:t>
            </w:r>
            <w:r w:rsidRPr="00401C70">
              <w:rPr>
                <w:rFonts w:ascii="Abadi" w:hAnsi="Abadi" w:cs="Calibri"/>
                <w:spacing w:val="3"/>
                <w:sz w:val="21"/>
                <w:szCs w:val="21"/>
              </w:rPr>
              <w:t xml:space="preserve"> </w:t>
            </w:r>
            <w:r w:rsidRPr="00401C70">
              <w:rPr>
                <w:rFonts w:ascii="Abadi" w:hAnsi="Abadi" w:cs="Calibri"/>
                <w:sz w:val="21"/>
                <w:szCs w:val="21"/>
              </w:rPr>
              <w:t>Comité</w:t>
            </w:r>
          </w:p>
          <w:p w14:paraId="30728603" w14:textId="77777777" w:rsidR="00677B7E" w:rsidRPr="00401C70" w:rsidRDefault="00677B7E" w:rsidP="00FA2590">
            <w:pPr>
              <w:kinsoku w:val="0"/>
              <w:overflowPunct w:val="0"/>
              <w:autoSpaceDE w:val="0"/>
              <w:autoSpaceDN w:val="0"/>
              <w:adjustRightInd w:val="0"/>
              <w:spacing w:before="2" w:line="249" w:lineRule="exact"/>
              <w:ind w:left="107"/>
              <w:jc w:val="both"/>
              <w:rPr>
                <w:rFonts w:ascii="Abadi" w:hAnsi="Abadi" w:cs="Calibri"/>
                <w:sz w:val="21"/>
                <w:szCs w:val="21"/>
              </w:rPr>
            </w:pPr>
            <w:r w:rsidRPr="00401C70">
              <w:rPr>
                <w:rFonts w:ascii="Abadi" w:hAnsi="Abadi" w:cs="Calibri"/>
                <w:sz w:val="21"/>
                <w:szCs w:val="21"/>
              </w:rPr>
              <w:t>Municipal</w:t>
            </w:r>
            <w:r w:rsidRPr="00401C70">
              <w:rPr>
                <w:rFonts w:ascii="Abadi" w:hAnsi="Abadi" w:cs="Calibri"/>
                <w:spacing w:val="-1"/>
                <w:sz w:val="21"/>
                <w:szCs w:val="21"/>
              </w:rPr>
              <w:t xml:space="preserve"> </w:t>
            </w:r>
            <w:r w:rsidRPr="00401C70">
              <w:rPr>
                <w:rFonts w:ascii="Abadi" w:hAnsi="Abadi" w:cs="Calibri"/>
                <w:sz w:val="21"/>
                <w:szCs w:val="21"/>
              </w:rPr>
              <w:t>Ciudadano.</w:t>
            </w:r>
          </w:p>
        </w:tc>
      </w:tr>
      <w:tr w:rsidR="00677B7E" w:rsidRPr="00401C70" w14:paraId="3F059645" w14:textId="77777777" w:rsidTr="00EE3E2D">
        <w:trPr>
          <w:trHeight w:val="1612"/>
        </w:trPr>
        <w:tc>
          <w:tcPr>
            <w:tcW w:w="2500" w:type="pct"/>
            <w:tcBorders>
              <w:top w:val="single" w:sz="4" w:space="0" w:color="000000"/>
              <w:left w:val="single" w:sz="4" w:space="0" w:color="000000"/>
              <w:bottom w:val="single" w:sz="4" w:space="0" w:color="000000"/>
              <w:right w:val="single" w:sz="4" w:space="0" w:color="000000"/>
            </w:tcBorders>
          </w:tcPr>
          <w:p w14:paraId="75241C4D" w14:textId="77777777" w:rsidR="00677B7E" w:rsidRPr="00401C70" w:rsidRDefault="00677B7E" w:rsidP="00FA2590">
            <w:pPr>
              <w:kinsoku w:val="0"/>
              <w:overflowPunct w:val="0"/>
              <w:autoSpaceDE w:val="0"/>
              <w:autoSpaceDN w:val="0"/>
              <w:adjustRightInd w:val="0"/>
              <w:ind w:left="107" w:right="90"/>
              <w:jc w:val="both"/>
              <w:rPr>
                <w:rFonts w:ascii="Abadi" w:hAnsi="Abadi" w:cs="Calibri"/>
                <w:sz w:val="21"/>
                <w:szCs w:val="21"/>
              </w:rPr>
            </w:pPr>
            <w:r w:rsidRPr="00401C70">
              <w:rPr>
                <w:rFonts w:ascii="Abadi" w:hAnsi="Abadi" w:cs="Calibri"/>
                <w:b/>
                <w:bCs/>
                <w:spacing w:val="-1"/>
                <w:sz w:val="21"/>
                <w:szCs w:val="21"/>
              </w:rPr>
              <w:t>Artículo</w:t>
            </w:r>
            <w:r w:rsidRPr="00401C70">
              <w:rPr>
                <w:rFonts w:ascii="Abadi" w:hAnsi="Abadi" w:cs="Calibri"/>
                <w:b/>
                <w:bCs/>
                <w:spacing w:val="-13"/>
                <w:sz w:val="21"/>
                <w:szCs w:val="21"/>
              </w:rPr>
              <w:t xml:space="preserve"> </w:t>
            </w:r>
            <w:r w:rsidRPr="00401C70">
              <w:rPr>
                <w:rFonts w:ascii="Abadi" w:hAnsi="Abadi" w:cs="Calibri"/>
                <w:b/>
                <w:bCs/>
                <w:spacing w:val="-1"/>
                <w:sz w:val="21"/>
                <w:szCs w:val="21"/>
              </w:rPr>
              <w:t>135.</w:t>
            </w:r>
            <w:r w:rsidRPr="00401C70">
              <w:rPr>
                <w:rFonts w:ascii="Abadi" w:hAnsi="Abadi" w:cs="Calibri"/>
                <w:b/>
                <w:bCs/>
                <w:spacing w:val="-10"/>
                <w:sz w:val="21"/>
                <w:szCs w:val="21"/>
              </w:rPr>
              <w:t xml:space="preserve"> </w:t>
            </w:r>
            <w:r w:rsidRPr="00401C70">
              <w:rPr>
                <w:rFonts w:ascii="Abadi" w:hAnsi="Abadi" w:cs="Calibri"/>
                <w:sz w:val="21"/>
                <w:szCs w:val="21"/>
              </w:rPr>
              <w:t>Para</w:t>
            </w:r>
            <w:r w:rsidRPr="00401C70">
              <w:rPr>
                <w:rFonts w:ascii="Abadi" w:hAnsi="Abadi" w:cs="Calibri"/>
                <w:spacing w:val="-10"/>
                <w:sz w:val="21"/>
                <w:szCs w:val="21"/>
              </w:rPr>
              <w:t xml:space="preserve"> </w:t>
            </w:r>
            <w:r w:rsidRPr="00401C70">
              <w:rPr>
                <w:rFonts w:ascii="Abadi" w:hAnsi="Abadi" w:cs="Calibri"/>
                <w:sz w:val="21"/>
                <w:szCs w:val="21"/>
              </w:rPr>
              <w:t>la</w:t>
            </w:r>
            <w:r w:rsidRPr="00401C70">
              <w:rPr>
                <w:rFonts w:ascii="Abadi" w:hAnsi="Abadi" w:cs="Calibri"/>
                <w:spacing w:val="-11"/>
                <w:sz w:val="21"/>
                <w:szCs w:val="21"/>
              </w:rPr>
              <w:t xml:space="preserve"> </w:t>
            </w:r>
            <w:r w:rsidRPr="00401C70">
              <w:rPr>
                <w:rFonts w:ascii="Abadi" w:hAnsi="Abadi" w:cs="Calibri"/>
                <w:sz w:val="21"/>
                <w:szCs w:val="21"/>
              </w:rPr>
              <w:t>integración</w:t>
            </w:r>
            <w:r w:rsidRPr="00401C70">
              <w:rPr>
                <w:rFonts w:ascii="Abadi" w:hAnsi="Abadi" w:cs="Calibri"/>
                <w:spacing w:val="-10"/>
                <w:sz w:val="21"/>
                <w:szCs w:val="21"/>
              </w:rPr>
              <w:t xml:space="preserve"> </w:t>
            </w:r>
            <w:r w:rsidRPr="00401C70">
              <w:rPr>
                <w:rFonts w:ascii="Abadi" w:hAnsi="Abadi" w:cs="Calibri"/>
                <w:sz w:val="21"/>
                <w:szCs w:val="21"/>
              </w:rPr>
              <w:t>de</w:t>
            </w:r>
            <w:r w:rsidRPr="00401C70">
              <w:rPr>
                <w:rFonts w:ascii="Abadi" w:hAnsi="Abadi" w:cs="Calibri"/>
                <w:spacing w:val="-9"/>
                <w:sz w:val="21"/>
                <w:szCs w:val="21"/>
              </w:rPr>
              <w:t xml:space="preserve"> </w:t>
            </w:r>
            <w:r w:rsidRPr="00401C70">
              <w:rPr>
                <w:rFonts w:ascii="Abadi" w:hAnsi="Abadi" w:cs="Calibri"/>
                <w:sz w:val="21"/>
                <w:szCs w:val="21"/>
              </w:rPr>
              <w:t>la</w:t>
            </w:r>
            <w:r w:rsidRPr="00401C70">
              <w:rPr>
                <w:rFonts w:ascii="Abadi" w:hAnsi="Abadi" w:cs="Calibri"/>
                <w:spacing w:val="-11"/>
                <w:sz w:val="21"/>
                <w:szCs w:val="21"/>
              </w:rPr>
              <w:t xml:space="preserve"> </w:t>
            </w:r>
            <w:r w:rsidRPr="00401C70">
              <w:rPr>
                <w:rFonts w:ascii="Abadi" w:hAnsi="Abadi" w:cs="Calibri"/>
                <w:sz w:val="21"/>
                <w:szCs w:val="21"/>
              </w:rPr>
              <w:t>comisión,</w:t>
            </w:r>
            <w:r w:rsidRPr="00401C70">
              <w:rPr>
                <w:rFonts w:ascii="Abadi" w:hAnsi="Abadi" w:cs="Calibri"/>
                <w:spacing w:val="-48"/>
                <w:sz w:val="21"/>
                <w:szCs w:val="21"/>
              </w:rPr>
              <w:t xml:space="preserve"> </w:t>
            </w:r>
            <w:r w:rsidRPr="00401C70">
              <w:rPr>
                <w:rFonts w:ascii="Abadi" w:hAnsi="Abadi" w:cs="Calibri"/>
                <w:sz w:val="21"/>
                <w:szCs w:val="21"/>
              </w:rPr>
              <w:t>se</w:t>
            </w:r>
            <w:r w:rsidRPr="00401C70">
              <w:rPr>
                <w:rFonts w:ascii="Abadi" w:hAnsi="Abadi" w:cs="Calibri"/>
                <w:spacing w:val="-7"/>
                <w:sz w:val="21"/>
                <w:szCs w:val="21"/>
              </w:rPr>
              <w:t xml:space="preserve"> </w:t>
            </w:r>
            <w:r w:rsidRPr="00401C70">
              <w:rPr>
                <w:rFonts w:ascii="Abadi" w:hAnsi="Abadi" w:cs="Calibri"/>
                <w:sz w:val="21"/>
                <w:szCs w:val="21"/>
              </w:rPr>
              <w:t>tomará</w:t>
            </w:r>
            <w:r w:rsidRPr="00401C70">
              <w:rPr>
                <w:rFonts w:ascii="Abadi" w:hAnsi="Abadi" w:cs="Calibri"/>
                <w:spacing w:val="-7"/>
                <w:sz w:val="21"/>
                <w:szCs w:val="21"/>
              </w:rPr>
              <w:t xml:space="preserve"> </w:t>
            </w:r>
            <w:r w:rsidRPr="00401C70">
              <w:rPr>
                <w:rFonts w:ascii="Abadi" w:hAnsi="Abadi" w:cs="Calibri"/>
                <w:sz w:val="21"/>
                <w:szCs w:val="21"/>
              </w:rPr>
              <w:t>en</w:t>
            </w:r>
            <w:r w:rsidRPr="00401C70">
              <w:rPr>
                <w:rFonts w:ascii="Abadi" w:hAnsi="Abadi" w:cs="Calibri"/>
                <w:spacing w:val="-9"/>
                <w:sz w:val="21"/>
                <w:szCs w:val="21"/>
              </w:rPr>
              <w:t xml:space="preserve"> </w:t>
            </w:r>
            <w:r w:rsidRPr="00401C70">
              <w:rPr>
                <w:rFonts w:ascii="Abadi" w:hAnsi="Abadi" w:cs="Calibri"/>
                <w:sz w:val="21"/>
                <w:szCs w:val="21"/>
              </w:rPr>
              <w:t>cuenta</w:t>
            </w:r>
            <w:r w:rsidRPr="00401C70">
              <w:rPr>
                <w:rFonts w:ascii="Abadi" w:hAnsi="Abadi" w:cs="Calibri"/>
                <w:spacing w:val="-6"/>
                <w:sz w:val="21"/>
                <w:szCs w:val="21"/>
              </w:rPr>
              <w:t xml:space="preserve"> </w:t>
            </w:r>
            <w:r w:rsidRPr="00401C70">
              <w:rPr>
                <w:rFonts w:ascii="Abadi" w:hAnsi="Abadi" w:cs="Calibri"/>
                <w:sz w:val="21"/>
                <w:szCs w:val="21"/>
              </w:rPr>
              <w:t>la</w:t>
            </w:r>
            <w:r w:rsidRPr="00401C70">
              <w:rPr>
                <w:rFonts w:ascii="Abadi" w:hAnsi="Abadi" w:cs="Calibri"/>
                <w:spacing w:val="-10"/>
                <w:sz w:val="21"/>
                <w:szCs w:val="21"/>
              </w:rPr>
              <w:t xml:space="preserve"> </w:t>
            </w:r>
            <w:r w:rsidRPr="00401C70">
              <w:rPr>
                <w:rFonts w:ascii="Abadi" w:hAnsi="Abadi" w:cs="Calibri"/>
                <w:sz w:val="21"/>
                <w:szCs w:val="21"/>
              </w:rPr>
              <w:t>pluralidad</w:t>
            </w:r>
            <w:r w:rsidRPr="00401C70">
              <w:rPr>
                <w:rFonts w:ascii="Abadi" w:hAnsi="Abadi" w:cs="Calibri"/>
                <w:spacing w:val="-7"/>
                <w:sz w:val="21"/>
                <w:szCs w:val="21"/>
              </w:rPr>
              <w:t xml:space="preserve"> </w:t>
            </w:r>
            <w:r w:rsidRPr="00401C70">
              <w:rPr>
                <w:rFonts w:ascii="Abadi" w:hAnsi="Abadi" w:cs="Calibri"/>
                <w:sz w:val="21"/>
                <w:szCs w:val="21"/>
              </w:rPr>
              <w:t>representada</w:t>
            </w:r>
            <w:r w:rsidRPr="00401C70">
              <w:rPr>
                <w:rFonts w:ascii="Abadi" w:hAnsi="Abadi" w:cs="Calibri"/>
                <w:spacing w:val="-48"/>
                <w:sz w:val="21"/>
                <w:szCs w:val="21"/>
              </w:rPr>
              <w:t xml:space="preserve"> </w:t>
            </w:r>
            <w:r w:rsidRPr="00401C70">
              <w:rPr>
                <w:rFonts w:ascii="Abadi" w:hAnsi="Abadi" w:cs="Calibri"/>
                <w:sz w:val="21"/>
                <w:szCs w:val="21"/>
              </w:rPr>
              <w:t>en el Ayuntamiento con base en el criterio de</w:t>
            </w:r>
            <w:r w:rsidRPr="00401C70">
              <w:rPr>
                <w:rFonts w:ascii="Abadi" w:hAnsi="Abadi" w:cs="Calibri"/>
                <w:spacing w:val="1"/>
                <w:sz w:val="21"/>
                <w:szCs w:val="21"/>
              </w:rPr>
              <w:t xml:space="preserve"> </w:t>
            </w:r>
            <w:r w:rsidRPr="00401C70">
              <w:rPr>
                <w:rFonts w:ascii="Abadi" w:hAnsi="Abadi" w:cs="Calibri"/>
                <w:sz w:val="21"/>
                <w:szCs w:val="21"/>
              </w:rPr>
              <w:t>proporcionalidad</w:t>
            </w:r>
            <w:r w:rsidRPr="00401C70">
              <w:rPr>
                <w:rFonts w:ascii="Abadi" w:hAnsi="Abadi" w:cs="Calibri"/>
                <w:spacing w:val="1"/>
                <w:sz w:val="21"/>
                <w:szCs w:val="21"/>
              </w:rPr>
              <w:t xml:space="preserve"> </w:t>
            </w:r>
            <w:r w:rsidRPr="00401C70">
              <w:rPr>
                <w:rFonts w:ascii="Abadi" w:hAnsi="Abadi" w:cs="Calibri"/>
                <w:sz w:val="21"/>
                <w:szCs w:val="21"/>
              </w:rPr>
              <w:t>entre</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integración</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mismo.</w:t>
            </w:r>
          </w:p>
        </w:tc>
        <w:tc>
          <w:tcPr>
            <w:tcW w:w="2500" w:type="pct"/>
            <w:tcBorders>
              <w:top w:val="single" w:sz="4" w:space="0" w:color="000000"/>
              <w:left w:val="single" w:sz="4" w:space="0" w:color="000000"/>
              <w:bottom w:val="single" w:sz="4" w:space="0" w:color="000000"/>
              <w:right w:val="single" w:sz="4" w:space="0" w:color="000000"/>
            </w:tcBorders>
          </w:tcPr>
          <w:p w14:paraId="055E9CC7" w14:textId="77777777" w:rsidR="00677B7E" w:rsidRPr="00401C70" w:rsidRDefault="00677B7E" w:rsidP="00FA2590">
            <w:pPr>
              <w:kinsoku w:val="0"/>
              <w:overflowPunct w:val="0"/>
              <w:autoSpaceDE w:val="0"/>
              <w:autoSpaceDN w:val="0"/>
              <w:adjustRightInd w:val="0"/>
              <w:ind w:left="107" w:right="91"/>
              <w:jc w:val="both"/>
              <w:rPr>
                <w:rFonts w:ascii="Abadi" w:hAnsi="Abadi" w:cs="Calibri"/>
                <w:sz w:val="21"/>
                <w:szCs w:val="21"/>
              </w:rPr>
            </w:pPr>
            <w:r w:rsidRPr="00401C70">
              <w:rPr>
                <w:rFonts w:ascii="Abadi" w:hAnsi="Abadi" w:cs="Calibri"/>
                <w:b/>
                <w:bCs/>
                <w:spacing w:val="-1"/>
                <w:sz w:val="21"/>
                <w:szCs w:val="21"/>
              </w:rPr>
              <w:t>Artículo</w:t>
            </w:r>
            <w:r w:rsidRPr="00401C70">
              <w:rPr>
                <w:rFonts w:ascii="Abadi" w:hAnsi="Abadi" w:cs="Calibri"/>
                <w:b/>
                <w:bCs/>
                <w:spacing w:val="-13"/>
                <w:sz w:val="21"/>
                <w:szCs w:val="21"/>
              </w:rPr>
              <w:t xml:space="preserve"> </w:t>
            </w:r>
            <w:r w:rsidRPr="00401C70">
              <w:rPr>
                <w:rFonts w:ascii="Abadi" w:hAnsi="Abadi" w:cs="Calibri"/>
                <w:b/>
                <w:bCs/>
                <w:spacing w:val="-1"/>
                <w:sz w:val="21"/>
                <w:szCs w:val="21"/>
              </w:rPr>
              <w:t>135.</w:t>
            </w:r>
            <w:r w:rsidRPr="00401C70">
              <w:rPr>
                <w:rFonts w:ascii="Abadi" w:hAnsi="Abadi" w:cs="Calibri"/>
                <w:b/>
                <w:bCs/>
                <w:spacing w:val="-10"/>
                <w:sz w:val="21"/>
                <w:szCs w:val="21"/>
              </w:rPr>
              <w:t xml:space="preserve"> </w:t>
            </w:r>
            <w:r w:rsidRPr="00401C70">
              <w:rPr>
                <w:rFonts w:ascii="Abadi" w:hAnsi="Abadi" w:cs="Calibri"/>
                <w:sz w:val="21"/>
                <w:szCs w:val="21"/>
              </w:rPr>
              <w:t>Para</w:t>
            </w:r>
            <w:r w:rsidRPr="00401C70">
              <w:rPr>
                <w:rFonts w:ascii="Abadi" w:hAnsi="Abadi" w:cs="Calibri"/>
                <w:spacing w:val="-10"/>
                <w:sz w:val="21"/>
                <w:szCs w:val="21"/>
              </w:rPr>
              <w:t xml:space="preserve"> </w:t>
            </w:r>
            <w:r w:rsidRPr="00401C70">
              <w:rPr>
                <w:rFonts w:ascii="Abadi" w:hAnsi="Abadi" w:cs="Calibri"/>
                <w:sz w:val="21"/>
                <w:szCs w:val="21"/>
              </w:rPr>
              <w:t>la</w:t>
            </w:r>
            <w:r w:rsidRPr="00401C70">
              <w:rPr>
                <w:rFonts w:ascii="Abadi" w:hAnsi="Abadi" w:cs="Calibri"/>
                <w:spacing w:val="-11"/>
                <w:sz w:val="21"/>
                <w:szCs w:val="21"/>
              </w:rPr>
              <w:t xml:space="preserve"> </w:t>
            </w:r>
            <w:r w:rsidRPr="00401C70">
              <w:rPr>
                <w:rFonts w:ascii="Abadi" w:hAnsi="Abadi" w:cs="Calibri"/>
                <w:sz w:val="21"/>
                <w:szCs w:val="21"/>
              </w:rPr>
              <w:t>integración</w:t>
            </w:r>
            <w:r w:rsidRPr="00401C70">
              <w:rPr>
                <w:rFonts w:ascii="Abadi" w:hAnsi="Abadi" w:cs="Calibri"/>
                <w:spacing w:val="-10"/>
                <w:sz w:val="21"/>
                <w:szCs w:val="21"/>
              </w:rPr>
              <w:t xml:space="preserve"> </w:t>
            </w:r>
            <w:r w:rsidRPr="00401C70">
              <w:rPr>
                <w:rFonts w:ascii="Abadi" w:hAnsi="Abadi" w:cs="Calibri"/>
                <w:sz w:val="21"/>
                <w:szCs w:val="21"/>
              </w:rPr>
              <w:t>de</w:t>
            </w:r>
            <w:r w:rsidRPr="00401C70">
              <w:rPr>
                <w:rFonts w:ascii="Abadi" w:hAnsi="Abadi" w:cs="Calibri"/>
                <w:spacing w:val="-9"/>
                <w:sz w:val="21"/>
                <w:szCs w:val="21"/>
              </w:rPr>
              <w:t xml:space="preserve"> </w:t>
            </w:r>
            <w:r w:rsidRPr="00401C70">
              <w:rPr>
                <w:rFonts w:ascii="Abadi" w:hAnsi="Abadi" w:cs="Calibri"/>
                <w:sz w:val="21"/>
                <w:szCs w:val="21"/>
              </w:rPr>
              <w:t>la</w:t>
            </w:r>
            <w:r w:rsidRPr="00401C70">
              <w:rPr>
                <w:rFonts w:ascii="Abadi" w:hAnsi="Abadi" w:cs="Calibri"/>
                <w:spacing w:val="-11"/>
                <w:sz w:val="21"/>
                <w:szCs w:val="21"/>
              </w:rPr>
              <w:t xml:space="preserve"> </w:t>
            </w:r>
            <w:r w:rsidRPr="00401C70">
              <w:rPr>
                <w:rFonts w:ascii="Abadi" w:hAnsi="Abadi" w:cs="Calibri"/>
                <w:sz w:val="21"/>
                <w:szCs w:val="21"/>
              </w:rPr>
              <w:t>comisión,</w:t>
            </w:r>
            <w:r w:rsidRPr="00401C70">
              <w:rPr>
                <w:rFonts w:ascii="Abadi" w:hAnsi="Abadi" w:cs="Calibri"/>
                <w:spacing w:val="-48"/>
                <w:sz w:val="21"/>
                <w:szCs w:val="21"/>
              </w:rPr>
              <w:t xml:space="preserve"> </w:t>
            </w:r>
            <w:r w:rsidRPr="00401C70">
              <w:rPr>
                <w:rFonts w:ascii="Abadi" w:hAnsi="Abadi" w:cs="Calibri"/>
                <w:sz w:val="21"/>
                <w:szCs w:val="21"/>
              </w:rPr>
              <w:t>se</w:t>
            </w:r>
            <w:r w:rsidRPr="00401C70">
              <w:rPr>
                <w:rFonts w:ascii="Abadi" w:hAnsi="Abadi" w:cs="Calibri"/>
                <w:spacing w:val="-7"/>
                <w:sz w:val="21"/>
                <w:szCs w:val="21"/>
              </w:rPr>
              <w:t xml:space="preserve"> </w:t>
            </w:r>
            <w:r w:rsidRPr="00401C70">
              <w:rPr>
                <w:rFonts w:ascii="Abadi" w:hAnsi="Abadi" w:cs="Calibri"/>
                <w:b/>
                <w:bCs/>
                <w:i/>
                <w:iCs/>
                <w:sz w:val="21"/>
                <w:szCs w:val="21"/>
              </w:rPr>
              <w:t>observará</w:t>
            </w:r>
            <w:r w:rsidRPr="00401C70">
              <w:rPr>
                <w:rFonts w:ascii="Abadi" w:hAnsi="Abadi" w:cs="Calibri"/>
                <w:b/>
                <w:bCs/>
                <w:i/>
                <w:iCs/>
                <w:spacing w:val="-3"/>
                <w:sz w:val="21"/>
                <w:szCs w:val="21"/>
              </w:rPr>
              <w:t xml:space="preserve"> </w:t>
            </w:r>
            <w:r w:rsidRPr="00401C70">
              <w:rPr>
                <w:rFonts w:ascii="Abadi" w:hAnsi="Abadi" w:cs="Calibri"/>
                <w:b/>
                <w:bCs/>
                <w:i/>
                <w:iCs/>
                <w:sz w:val="21"/>
                <w:szCs w:val="21"/>
              </w:rPr>
              <w:t>el</w:t>
            </w:r>
            <w:r w:rsidRPr="00401C70">
              <w:rPr>
                <w:rFonts w:ascii="Abadi" w:hAnsi="Abadi" w:cs="Calibri"/>
                <w:b/>
                <w:bCs/>
                <w:i/>
                <w:iCs/>
                <w:spacing w:val="-6"/>
                <w:sz w:val="21"/>
                <w:szCs w:val="21"/>
              </w:rPr>
              <w:t xml:space="preserve"> </w:t>
            </w:r>
            <w:r w:rsidRPr="00401C70">
              <w:rPr>
                <w:rFonts w:ascii="Abadi" w:hAnsi="Abadi" w:cs="Calibri"/>
                <w:b/>
                <w:bCs/>
                <w:i/>
                <w:iCs/>
                <w:sz w:val="21"/>
                <w:szCs w:val="21"/>
              </w:rPr>
              <w:t>principio</w:t>
            </w:r>
            <w:r w:rsidRPr="00401C70">
              <w:rPr>
                <w:rFonts w:ascii="Abadi" w:hAnsi="Abadi" w:cs="Calibri"/>
                <w:b/>
                <w:bCs/>
                <w:i/>
                <w:iCs/>
                <w:spacing w:val="-8"/>
                <w:sz w:val="21"/>
                <w:szCs w:val="21"/>
              </w:rPr>
              <w:t xml:space="preserve"> </w:t>
            </w:r>
            <w:r w:rsidRPr="00401C70">
              <w:rPr>
                <w:rFonts w:ascii="Abadi" w:hAnsi="Abadi" w:cs="Calibri"/>
                <w:b/>
                <w:bCs/>
                <w:i/>
                <w:iCs/>
                <w:sz w:val="21"/>
                <w:szCs w:val="21"/>
              </w:rPr>
              <w:t>de</w:t>
            </w:r>
            <w:r w:rsidRPr="00401C70">
              <w:rPr>
                <w:rFonts w:ascii="Abadi" w:hAnsi="Abadi" w:cs="Calibri"/>
                <w:b/>
                <w:bCs/>
                <w:i/>
                <w:iCs/>
                <w:spacing w:val="-6"/>
                <w:sz w:val="21"/>
                <w:szCs w:val="21"/>
              </w:rPr>
              <w:t xml:space="preserve"> </w:t>
            </w:r>
            <w:r w:rsidRPr="00401C70">
              <w:rPr>
                <w:rFonts w:ascii="Abadi" w:hAnsi="Abadi" w:cs="Calibri"/>
                <w:b/>
                <w:bCs/>
                <w:i/>
                <w:iCs/>
                <w:sz w:val="21"/>
                <w:szCs w:val="21"/>
              </w:rPr>
              <w:t>paridad</w:t>
            </w:r>
            <w:r w:rsidRPr="00401C70">
              <w:rPr>
                <w:rFonts w:ascii="Abadi" w:hAnsi="Abadi" w:cs="Calibri"/>
                <w:b/>
                <w:bCs/>
                <w:i/>
                <w:iCs/>
                <w:spacing w:val="-6"/>
                <w:sz w:val="21"/>
                <w:szCs w:val="21"/>
              </w:rPr>
              <w:t xml:space="preserve"> </w:t>
            </w:r>
            <w:r w:rsidRPr="00401C70">
              <w:rPr>
                <w:rFonts w:ascii="Abadi" w:hAnsi="Abadi" w:cs="Calibri"/>
                <w:b/>
                <w:bCs/>
                <w:i/>
                <w:iCs/>
                <w:sz w:val="21"/>
                <w:szCs w:val="21"/>
              </w:rPr>
              <w:t>de</w:t>
            </w:r>
            <w:r w:rsidRPr="00401C70">
              <w:rPr>
                <w:rFonts w:ascii="Abadi" w:hAnsi="Abadi" w:cs="Calibri"/>
                <w:b/>
                <w:bCs/>
                <w:i/>
                <w:iCs/>
                <w:spacing w:val="-7"/>
                <w:sz w:val="21"/>
                <w:szCs w:val="21"/>
              </w:rPr>
              <w:t xml:space="preserve"> </w:t>
            </w:r>
            <w:r w:rsidRPr="00401C70">
              <w:rPr>
                <w:rFonts w:ascii="Abadi" w:hAnsi="Abadi" w:cs="Calibri"/>
                <w:b/>
                <w:bCs/>
                <w:i/>
                <w:iCs/>
                <w:sz w:val="21"/>
                <w:szCs w:val="21"/>
              </w:rPr>
              <w:t>género</w:t>
            </w:r>
            <w:r w:rsidRPr="00401C70">
              <w:rPr>
                <w:rFonts w:ascii="Abadi" w:hAnsi="Abadi" w:cs="Calibri"/>
                <w:b/>
                <w:bCs/>
                <w:i/>
                <w:iCs/>
                <w:spacing w:val="-47"/>
                <w:sz w:val="21"/>
                <w:szCs w:val="21"/>
              </w:rPr>
              <w:t xml:space="preserve"> </w:t>
            </w:r>
            <w:r w:rsidRPr="00401C70">
              <w:rPr>
                <w:rFonts w:ascii="Abadi" w:hAnsi="Abadi" w:cs="Calibri"/>
                <w:b/>
                <w:bCs/>
                <w:i/>
                <w:iCs/>
                <w:sz w:val="21"/>
                <w:szCs w:val="21"/>
              </w:rPr>
              <w:t xml:space="preserve">y </w:t>
            </w:r>
            <w:r w:rsidRPr="00401C70">
              <w:rPr>
                <w:rFonts w:ascii="Abadi" w:hAnsi="Abadi" w:cs="Calibri"/>
                <w:sz w:val="21"/>
                <w:szCs w:val="21"/>
              </w:rPr>
              <w:t>tomará en cuenta la pluralidad representada</w:t>
            </w:r>
            <w:r w:rsidRPr="00401C70">
              <w:rPr>
                <w:rFonts w:ascii="Abadi" w:hAnsi="Abadi" w:cs="Calibri"/>
                <w:spacing w:val="1"/>
                <w:sz w:val="21"/>
                <w:szCs w:val="21"/>
              </w:rPr>
              <w:t xml:space="preserve"> </w:t>
            </w:r>
            <w:r w:rsidRPr="00401C70">
              <w:rPr>
                <w:rFonts w:ascii="Abadi" w:hAnsi="Abadi" w:cs="Calibri"/>
                <w:sz w:val="21"/>
                <w:szCs w:val="21"/>
              </w:rPr>
              <w:t>en el Ayuntamiento con base en el criterio de</w:t>
            </w:r>
            <w:r w:rsidRPr="00401C70">
              <w:rPr>
                <w:rFonts w:ascii="Abadi" w:hAnsi="Abadi" w:cs="Calibri"/>
                <w:spacing w:val="1"/>
                <w:sz w:val="21"/>
                <w:szCs w:val="21"/>
              </w:rPr>
              <w:t xml:space="preserve"> </w:t>
            </w:r>
            <w:r w:rsidRPr="00401C70">
              <w:rPr>
                <w:rFonts w:ascii="Abadi" w:hAnsi="Abadi" w:cs="Calibri"/>
                <w:sz w:val="21"/>
                <w:szCs w:val="21"/>
              </w:rPr>
              <w:t>proporcionalidad</w:t>
            </w:r>
            <w:r w:rsidRPr="00401C70">
              <w:rPr>
                <w:rFonts w:ascii="Abadi" w:hAnsi="Abadi" w:cs="Calibri"/>
                <w:spacing w:val="33"/>
                <w:sz w:val="21"/>
                <w:szCs w:val="21"/>
              </w:rPr>
              <w:t xml:space="preserve"> </w:t>
            </w:r>
            <w:r w:rsidRPr="00401C70">
              <w:rPr>
                <w:rFonts w:ascii="Abadi" w:hAnsi="Abadi" w:cs="Calibri"/>
                <w:sz w:val="21"/>
                <w:szCs w:val="21"/>
              </w:rPr>
              <w:t>entre</w:t>
            </w:r>
            <w:r w:rsidRPr="00401C70">
              <w:rPr>
                <w:rFonts w:ascii="Abadi" w:hAnsi="Abadi" w:cs="Calibri"/>
                <w:spacing w:val="35"/>
                <w:sz w:val="21"/>
                <w:szCs w:val="21"/>
              </w:rPr>
              <w:t xml:space="preserve"> </w:t>
            </w:r>
            <w:r w:rsidRPr="00401C70">
              <w:rPr>
                <w:rFonts w:ascii="Abadi" w:hAnsi="Abadi" w:cs="Calibri"/>
                <w:sz w:val="21"/>
                <w:szCs w:val="21"/>
              </w:rPr>
              <w:t>la</w:t>
            </w:r>
            <w:r w:rsidRPr="00401C70">
              <w:rPr>
                <w:rFonts w:ascii="Abadi" w:hAnsi="Abadi" w:cs="Calibri"/>
                <w:spacing w:val="34"/>
                <w:sz w:val="21"/>
                <w:szCs w:val="21"/>
              </w:rPr>
              <w:t xml:space="preserve"> </w:t>
            </w:r>
            <w:r w:rsidRPr="00401C70">
              <w:rPr>
                <w:rFonts w:ascii="Abadi" w:hAnsi="Abadi" w:cs="Calibri"/>
                <w:sz w:val="21"/>
                <w:szCs w:val="21"/>
              </w:rPr>
              <w:t>integración</w:t>
            </w:r>
            <w:r w:rsidRPr="00401C70">
              <w:rPr>
                <w:rFonts w:ascii="Abadi" w:hAnsi="Abadi" w:cs="Calibri"/>
                <w:spacing w:val="33"/>
                <w:sz w:val="21"/>
                <w:szCs w:val="21"/>
              </w:rPr>
              <w:t xml:space="preserve"> </w:t>
            </w:r>
            <w:r w:rsidRPr="00401C70">
              <w:rPr>
                <w:rFonts w:ascii="Abadi" w:hAnsi="Abadi" w:cs="Calibri"/>
                <w:sz w:val="21"/>
                <w:szCs w:val="21"/>
              </w:rPr>
              <w:t>del</w:t>
            </w:r>
          </w:p>
          <w:p w14:paraId="19B139DD" w14:textId="77777777" w:rsidR="00677B7E" w:rsidRPr="00401C70" w:rsidRDefault="00677B7E" w:rsidP="00FA2590">
            <w:pPr>
              <w:kinsoku w:val="0"/>
              <w:overflowPunct w:val="0"/>
              <w:autoSpaceDE w:val="0"/>
              <w:autoSpaceDN w:val="0"/>
              <w:adjustRightInd w:val="0"/>
              <w:spacing w:line="249" w:lineRule="exact"/>
              <w:ind w:left="107"/>
              <w:jc w:val="both"/>
              <w:rPr>
                <w:rFonts w:ascii="Abadi" w:hAnsi="Abadi" w:cs="Calibri"/>
                <w:sz w:val="21"/>
                <w:szCs w:val="21"/>
              </w:rPr>
            </w:pPr>
            <w:r w:rsidRPr="00401C70">
              <w:rPr>
                <w:rFonts w:ascii="Abadi" w:hAnsi="Abadi" w:cs="Calibri"/>
                <w:sz w:val="21"/>
                <w:szCs w:val="21"/>
              </w:rPr>
              <w:t>mismo.</w:t>
            </w:r>
          </w:p>
        </w:tc>
      </w:tr>
      <w:tr w:rsidR="00677B7E" w:rsidRPr="00401C70" w14:paraId="6AADE509" w14:textId="77777777" w:rsidTr="00EE3E2D">
        <w:trPr>
          <w:trHeight w:val="537"/>
        </w:trPr>
        <w:tc>
          <w:tcPr>
            <w:tcW w:w="2500" w:type="pct"/>
            <w:tcBorders>
              <w:top w:val="single" w:sz="4" w:space="0" w:color="000000"/>
              <w:left w:val="single" w:sz="4" w:space="0" w:color="000000"/>
              <w:bottom w:val="single" w:sz="4" w:space="0" w:color="000000"/>
              <w:right w:val="single" w:sz="4" w:space="0" w:color="000000"/>
            </w:tcBorders>
          </w:tcPr>
          <w:p w14:paraId="5462BDBE" w14:textId="77777777" w:rsidR="00677B7E" w:rsidRPr="00401C70" w:rsidRDefault="00677B7E" w:rsidP="00FA2590">
            <w:pPr>
              <w:kinsoku w:val="0"/>
              <w:overflowPunct w:val="0"/>
              <w:autoSpaceDE w:val="0"/>
              <w:autoSpaceDN w:val="0"/>
              <w:adjustRightInd w:val="0"/>
              <w:spacing w:line="268" w:lineRule="exact"/>
              <w:ind w:left="398" w:right="391"/>
              <w:jc w:val="both"/>
              <w:rPr>
                <w:rFonts w:ascii="Abadi" w:hAnsi="Abadi" w:cs="Calibri"/>
                <w:b/>
                <w:bCs/>
                <w:sz w:val="21"/>
                <w:szCs w:val="21"/>
              </w:rPr>
            </w:pPr>
            <w:r w:rsidRPr="00401C70">
              <w:rPr>
                <w:rFonts w:ascii="Abadi" w:hAnsi="Abadi" w:cs="Calibri"/>
                <w:b/>
                <w:bCs/>
                <w:sz w:val="21"/>
                <w:szCs w:val="21"/>
              </w:rPr>
              <w:t>Capítulo</w:t>
            </w:r>
            <w:r w:rsidRPr="00401C70">
              <w:rPr>
                <w:rFonts w:ascii="Abadi" w:hAnsi="Abadi" w:cs="Calibri"/>
                <w:b/>
                <w:bCs/>
                <w:spacing w:val="-4"/>
                <w:sz w:val="21"/>
                <w:szCs w:val="21"/>
              </w:rPr>
              <w:t xml:space="preserve"> </w:t>
            </w:r>
            <w:r w:rsidRPr="00401C70">
              <w:rPr>
                <w:rFonts w:ascii="Abadi" w:hAnsi="Abadi" w:cs="Calibri"/>
                <w:b/>
                <w:bCs/>
                <w:sz w:val="21"/>
                <w:szCs w:val="21"/>
              </w:rPr>
              <w:t>III</w:t>
            </w:r>
          </w:p>
          <w:p w14:paraId="6B15F258" w14:textId="77777777" w:rsidR="00677B7E" w:rsidRPr="00401C70" w:rsidRDefault="00677B7E" w:rsidP="00FA2590">
            <w:pPr>
              <w:kinsoku w:val="0"/>
              <w:overflowPunct w:val="0"/>
              <w:autoSpaceDE w:val="0"/>
              <w:autoSpaceDN w:val="0"/>
              <w:adjustRightInd w:val="0"/>
              <w:spacing w:line="249" w:lineRule="exact"/>
              <w:ind w:left="397" w:right="391"/>
              <w:jc w:val="both"/>
              <w:rPr>
                <w:rFonts w:ascii="Abadi" w:hAnsi="Abadi" w:cs="Calibri"/>
                <w:b/>
                <w:bCs/>
                <w:sz w:val="21"/>
                <w:szCs w:val="21"/>
              </w:rPr>
            </w:pPr>
            <w:r w:rsidRPr="00401C70">
              <w:rPr>
                <w:rFonts w:ascii="Abadi" w:hAnsi="Abadi" w:cs="Calibri"/>
                <w:b/>
                <w:bCs/>
                <w:sz w:val="21"/>
                <w:szCs w:val="21"/>
              </w:rPr>
              <w:t>De</w:t>
            </w:r>
            <w:r w:rsidRPr="00401C70">
              <w:rPr>
                <w:rFonts w:ascii="Abadi" w:hAnsi="Abadi" w:cs="Calibri"/>
                <w:b/>
                <w:bCs/>
                <w:spacing w:val="-1"/>
                <w:sz w:val="21"/>
                <w:szCs w:val="21"/>
              </w:rPr>
              <w:t xml:space="preserve"> </w:t>
            </w:r>
            <w:r w:rsidRPr="00401C70">
              <w:rPr>
                <w:rFonts w:ascii="Abadi" w:hAnsi="Abadi" w:cs="Calibri"/>
                <w:b/>
                <w:bCs/>
                <w:sz w:val="21"/>
                <w:szCs w:val="21"/>
              </w:rPr>
              <w:t>los Delegados</w:t>
            </w:r>
            <w:r w:rsidRPr="00401C70">
              <w:rPr>
                <w:rFonts w:ascii="Abadi" w:hAnsi="Abadi" w:cs="Calibri"/>
                <w:b/>
                <w:bCs/>
                <w:spacing w:val="-1"/>
                <w:sz w:val="21"/>
                <w:szCs w:val="21"/>
              </w:rPr>
              <w:t xml:space="preserve"> </w:t>
            </w:r>
            <w:r w:rsidRPr="00401C70">
              <w:rPr>
                <w:rFonts w:ascii="Abadi" w:hAnsi="Abadi" w:cs="Calibri"/>
                <w:b/>
                <w:bCs/>
                <w:sz w:val="21"/>
                <w:szCs w:val="21"/>
              </w:rPr>
              <w:t>Municipales</w:t>
            </w:r>
          </w:p>
        </w:tc>
        <w:tc>
          <w:tcPr>
            <w:tcW w:w="2500" w:type="pct"/>
            <w:tcBorders>
              <w:top w:val="single" w:sz="4" w:space="0" w:color="000000"/>
              <w:left w:val="single" w:sz="4" w:space="0" w:color="000000"/>
              <w:bottom w:val="single" w:sz="4" w:space="0" w:color="000000"/>
              <w:right w:val="single" w:sz="4" w:space="0" w:color="000000"/>
            </w:tcBorders>
          </w:tcPr>
          <w:p w14:paraId="43FF0F62" w14:textId="77777777" w:rsidR="00677B7E" w:rsidRPr="00401C70" w:rsidRDefault="00677B7E" w:rsidP="00FA2590">
            <w:pPr>
              <w:kinsoku w:val="0"/>
              <w:overflowPunct w:val="0"/>
              <w:autoSpaceDE w:val="0"/>
              <w:autoSpaceDN w:val="0"/>
              <w:adjustRightInd w:val="0"/>
              <w:spacing w:line="268" w:lineRule="exact"/>
              <w:ind w:left="399" w:right="391"/>
              <w:jc w:val="both"/>
              <w:rPr>
                <w:rFonts w:ascii="Abadi" w:hAnsi="Abadi" w:cs="Calibri"/>
                <w:b/>
                <w:bCs/>
                <w:sz w:val="21"/>
                <w:szCs w:val="21"/>
              </w:rPr>
            </w:pPr>
            <w:r w:rsidRPr="00401C70">
              <w:rPr>
                <w:rFonts w:ascii="Abadi" w:hAnsi="Abadi" w:cs="Calibri"/>
                <w:b/>
                <w:bCs/>
                <w:sz w:val="21"/>
                <w:szCs w:val="21"/>
              </w:rPr>
              <w:t>Capítulo</w:t>
            </w:r>
            <w:r w:rsidRPr="00401C70">
              <w:rPr>
                <w:rFonts w:ascii="Abadi" w:hAnsi="Abadi" w:cs="Calibri"/>
                <w:b/>
                <w:bCs/>
                <w:spacing w:val="-4"/>
                <w:sz w:val="21"/>
                <w:szCs w:val="21"/>
              </w:rPr>
              <w:t xml:space="preserve"> </w:t>
            </w:r>
            <w:r w:rsidRPr="00401C70">
              <w:rPr>
                <w:rFonts w:ascii="Abadi" w:hAnsi="Abadi" w:cs="Calibri"/>
                <w:b/>
                <w:bCs/>
                <w:sz w:val="21"/>
                <w:szCs w:val="21"/>
              </w:rPr>
              <w:t>III</w:t>
            </w:r>
          </w:p>
          <w:p w14:paraId="2AFDEE5B" w14:textId="77777777" w:rsidR="00677B7E" w:rsidRPr="00401C70" w:rsidRDefault="00677B7E" w:rsidP="00FA2590">
            <w:pPr>
              <w:kinsoku w:val="0"/>
              <w:overflowPunct w:val="0"/>
              <w:autoSpaceDE w:val="0"/>
              <w:autoSpaceDN w:val="0"/>
              <w:adjustRightInd w:val="0"/>
              <w:spacing w:line="249" w:lineRule="exact"/>
              <w:ind w:left="402" w:right="391"/>
              <w:jc w:val="both"/>
              <w:rPr>
                <w:rFonts w:ascii="Abadi" w:hAnsi="Abadi" w:cs="Calibri"/>
                <w:b/>
                <w:bCs/>
                <w:sz w:val="21"/>
                <w:szCs w:val="21"/>
              </w:rPr>
            </w:pPr>
            <w:r w:rsidRPr="00401C70">
              <w:rPr>
                <w:rFonts w:ascii="Abadi" w:hAnsi="Abadi" w:cs="Calibri"/>
                <w:b/>
                <w:bCs/>
                <w:sz w:val="21"/>
                <w:szCs w:val="21"/>
              </w:rPr>
              <w:t>De</w:t>
            </w:r>
            <w:r w:rsidRPr="00401C70">
              <w:rPr>
                <w:rFonts w:ascii="Abadi" w:hAnsi="Abadi" w:cs="Calibri"/>
                <w:b/>
                <w:bCs/>
                <w:spacing w:val="-1"/>
                <w:sz w:val="21"/>
                <w:szCs w:val="21"/>
              </w:rPr>
              <w:t xml:space="preserve"> </w:t>
            </w:r>
            <w:r w:rsidRPr="00401C70">
              <w:rPr>
                <w:rFonts w:ascii="Abadi" w:hAnsi="Abadi" w:cs="Calibri"/>
                <w:b/>
                <w:bCs/>
                <w:sz w:val="21"/>
                <w:szCs w:val="21"/>
              </w:rPr>
              <w:t>las</w:t>
            </w:r>
            <w:r w:rsidRPr="00401C70">
              <w:rPr>
                <w:rFonts w:ascii="Abadi" w:hAnsi="Abadi" w:cs="Calibri"/>
                <w:b/>
                <w:bCs/>
                <w:spacing w:val="-1"/>
                <w:sz w:val="21"/>
                <w:szCs w:val="21"/>
              </w:rPr>
              <w:t xml:space="preserve"> </w:t>
            </w:r>
            <w:r w:rsidRPr="00401C70">
              <w:rPr>
                <w:rFonts w:ascii="Abadi" w:hAnsi="Abadi" w:cs="Calibri"/>
                <w:b/>
                <w:bCs/>
                <w:sz w:val="21"/>
                <w:szCs w:val="21"/>
              </w:rPr>
              <w:t>Personas</w:t>
            </w:r>
            <w:r w:rsidRPr="00401C70">
              <w:rPr>
                <w:rFonts w:ascii="Abadi" w:hAnsi="Abadi" w:cs="Calibri"/>
                <w:b/>
                <w:bCs/>
                <w:spacing w:val="-1"/>
                <w:sz w:val="21"/>
                <w:szCs w:val="21"/>
              </w:rPr>
              <w:t xml:space="preserve"> </w:t>
            </w:r>
            <w:r w:rsidRPr="00401C70">
              <w:rPr>
                <w:rFonts w:ascii="Abadi" w:hAnsi="Abadi" w:cs="Calibri"/>
                <w:b/>
                <w:bCs/>
                <w:sz w:val="21"/>
                <w:szCs w:val="21"/>
              </w:rPr>
              <w:t>Delegadas</w:t>
            </w:r>
            <w:r w:rsidRPr="00401C70">
              <w:rPr>
                <w:rFonts w:ascii="Abadi" w:hAnsi="Abadi" w:cs="Calibri"/>
                <w:b/>
                <w:bCs/>
                <w:spacing w:val="-2"/>
                <w:sz w:val="21"/>
                <w:szCs w:val="21"/>
              </w:rPr>
              <w:t xml:space="preserve"> </w:t>
            </w:r>
            <w:r w:rsidRPr="00401C70">
              <w:rPr>
                <w:rFonts w:ascii="Abadi" w:hAnsi="Abadi" w:cs="Calibri"/>
                <w:b/>
                <w:bCs/>
                <w:sz w:val="21"/>
                <w:szCs w:val="21"/>
              </w:rPr>
              <w:t>Municipales</w:t>
            </w:r>
          </w:p>
        </w:tc>
      </w:tr>
    </w:tbl>
    <w:p w14:paraId="2C386B27" w14:textId="77777777" w:rsidR="00677B7E" w:rsidRPr="00401C70" w:rsidRDefault="00677B7E" w:rsidP="00677B7E">
      <w:pPr>
        <w:kinsoku w:val="0"/>
        <w:overflowPunct w:val="0"/>
        <w:autoSpaceDE w:val="0"/>
        <w:autoSpaceDN w:val="0"/>
        <w:adjustRightInd w:val="0"/>
        <w:spacing w:before="3"/>
        <w:jc w:val="both"/>
        <w:rPr>
          <w:rFonts w:ascii="Abadi" w:hAnsi="Abadi"/>
          <w:sz w:val="21"/>
          <w:szCs w:val="21"/>
        </w:rPr>
      </w:pPr>
    </w:p>
    <w:tbl>
      <w:tblPr>
        <w:tblW w:w="5000" w:type="pct"/>
        <w:tblLayout w:type="fixed"/>
        <w:tblCellMar>
          <w:left w:w="0" w:type="dxa"/>
          <w:right w:w="0" w:type="dxa"/>
        </w:tblCellMar>
        <w:tblLook w:val="0000" w:firstRow="0" w:lastRow="0" w:firstColumn="0" w:lastColumn="0" w:noHBand="0" w:noVBand="0"/>
      </w:tblPr>
      <w:tblGrid>
        <w:gridCol w:w="2122"/>
        <w:gridCol w:w="1979"/>
      </w:tblGrid>
      <w:tr w:rsidR="00677B7E" w:rsidRPr="00401C70" w14:paraId="333C4114" w14:textId="77777777" w:rsidTr="00FF7768">
        <w:trPr>
          <w:trHeight w:val="9401"/>
        </w:trPr>
        <w:tc>
          <w:tcPr>
            <w:tcW w:w="2587" w:type="pct"/>
            <w:tcBorders>
              <w:top w:val="single" w:sz="4" w:space="0" w:color="000000"/>
              <w:left w:val="single" w:sz="4" w:space="0" w:color="000000"/>
              <w:bottom w:val="single" w:sz="4" w:space="0" w:color="000000"/>
              <w:right w:val="single" w:sz="4" w:space="0" w:color="000000"/>
            </w:tcBorders>
          </w:tcPr>
          <w:p w14:paraId="0B738BB1" w14:textId="77777777" w:rsidR="00677B7E" w:rsidRPr="00401C70" w:rsidRDefault="00677B7E" w:rsidP="00FA2590">
            <w:pPr>
              <w:kinsoku w:val="0"/>
              <w:overflowPunct w:val="0"/>
              <w:autoSpaceDE w:val="0"/>
              <w:autoSpaceDN w:val="0"/>
              <w:adjustRightInd w:val="0"/>
              <w:spacing w:before="3"/>
              <w:jc w:val="both"/>
              <w:rPr>
                <w:rFonts w:ascii="Abadi" w:hAnsi="Abadi"/>
                <w:sz w:val="21"/>
                <w:szCs w:val="21"/>
              </w:rPr>
            </w:pPr>
          </w:p>
          <w:p w14:paraId="1DF7F736" w14:textId="77777777" w:rsidR="00FF7768" w:rsidRDefault="00677B7E" w:rsidP="00FA2590">
            <w:pPr>
              <w:kinsoku w:val="0"/>
              <w:overflowPunct w:val="0"/>
              <w:autoSpaceDE w:val="0"/>
              <w:autoSpaceDN w:val="0"/>
              <w:adjustRightInd w:val="0"/>
              <w:ind w:left="107" w:right="92" w:firstLine="640"/>
              <w:jc w:val="both"/>
              <w:rPr>
                <w:rFonts w:ascii="Abadi" w:hAnsi="Abadi" w:cs="Calibri"/>
                <w:b/>
                <w:bCs/>
                <w:i/>
                <w:iCs/>
                <w:sz w:val="21"/>
                <w:szCs w:val="21"/>
              </w:rPr>
            </w:pPr>
            <w:r w:rsidRPr="00401C70">
              <w:rPr>
                <w:rFonts w:ascii="Abadi" w:hAnsi="Abadi" w:cs="Calibri"/>
                <w:b/>
                <w:bCs/>
                <w:i/>
                <w:iCs/>
                <w:sz w:val="21"/>
                <w:szCs w:val="21"/>
              </w:rPr>
              <w:t>Delegados y subdelegados municipales</w:t>
            </w:r>
          </w:p>
          <w:p w14:paraId="6A8CAFB9" w14:textId="77777777" w:rsidR="00FF7768" w:rsidRDefault="00FF7768" w:rsidP="00FA2590">
            <w:pPr>
              <w:kinsoku w:val="0"/>
              <w:overflowPunct w:val="0"/>
              <w:autoSpaceDE w:val="0"/>
              <w:autoSpaceDN w:val="0"/>
              <w:adjustRightInd w:val="0"/>
              <w:ind w:left="107" w:right="92" w:firstLine="640"/>
              <w:jc w:val="both"/>
              <w:rPr>
                <w:rFonts w:ascii="Abadi" w:hAnsi="Abadi" w:cs="Calibri"/>
                <w:b/>
                <w:bCs/>
                <w:i/>
                <w:iCs/>
                <w:spacing w:val="-47"/>
                <w:sz w:val="21"/>
                <w:szCs w:val="21"/>
              </w:rPr>
            </w:pPr>
          </w:p>
          <w:p w14:paraId="19D297A8" w14:textId="77777777" w:rsidR="00FF7768" w:rsidRDefault="00FF7768" w:rsidP="00FA2590">
            <w:pPr>
              <w:kinsoku w:val="0"/>
              <w:overflowPunct w:val="0"/>
              <w:autoSpaceDE w:val="0"/>
              <w:autoSpaceDN w:val="0"/>
              <w:adjustRightInd w:val="0"/>
              <w:ind w:left="107" w:right="92" w:firstLine="640"/>
              <w:jc w:val="both"/>
              <w:rPr>
                <w:rFonts w:ascii="Abadi" w:hAnsi="Abadi" w:cs="Calibri"/>
                <w:b/>
                <w:bCs/>
                <w:i/>
                <w:iCs/>
                <w:spacing w:val="-47"/>
                <w:sz w:val="21"/>
                <w:szCs w:val="21"/>
              </w:rPr>
            </w:pPr>
          </w:p>
          <w:p w14:paraId="02BC3BF5" w14:textId="77777777" w:rsidR="00FF7768" w:rsidRDefault="00FF7768" w:rsidP="00FA2590">
            <w:pPr>
              <w:kinsoku w:val="0"/>
              <w:overflowPunct w:val="0"/>
              <w:autoSpaceDE w:val="0"/>
              <w:autoSpaceDN w:val="0"/>
              <w:adjustRightInd w:val="0"/>
              <w:ind w:left="107" w:right="92" w:firstLine="640"/>
              <w:jc w:val="both"/>
              <w:rPr>
                <w:rFonts w:ascii="Abadi" w:hAnsi="Abadi" w:cs="Calibri"/>
                <w:b/>
                <w:bCs/>
                <w:i/>
                <w:iCs/>
                <w:spacing w:val="-47"/>
                <w:sz w:val="21"/>
                <w:szCs w:val="21"/>
              </w:rPr>
            </w:pPr>
          </w:p>
          <w:p w14:paraId="6AC2B494" w14:textId="3F10CE04" w:rsidR="00677B7E" w:rsidRPr="00401C70" w:rsidRDefault="00677B7E" w:rsidP="00FA2590">
            <w:pPr>
              <w:kinsoku w:val="0"/>
              <w:overflowPunct w:val="0"/>
              <w:autoSpaceDE w:val="0"/>
              <w:autoSpaceDN w:val="0"/>
              <w:adjustRightInd w:val="0"/>
              <w:ind w:left="107" w:right="92" w:firstLine="640"/>
              <w:jc w:val="both"/>
              <w:rPr>
                <w:rFonts w:ascii="Abadi" w:hAnsi="Abadi" w:cs="Calibri"/>
                <w:sz w:val="21"/>
                <w:szCs w:val="21"/>
              </w:rPr>
            </w:pPr>
            <w:r w:rsidRPr="00401C70">
              <w:rPr>
                <w:rFonts w:ascii="Abadi" w:hAnsi="Abadi" w:cs="Calibri"/>
                <w:b/>
                <w:bCs/>
                <w:i/>
                <w:iCs/>
                <w:spacing w:val="-47"/>
                <w:sz w:val="21"/>
                <w:szCs w:val="21"/>
              </w:rPr>
              <w:t xml:space="preserve"> </w:t>
            </w:r>
            <w:r w:rsidRPr="00401C70">
              <w:rPr>
                <w:rFonts w:ascii="Abadi" w:hAnsi="Abadi" w:cs="Calibri"/>
                <w:b/>
                <w:bCs/>
                <w:sz w:val="21"/>
                <w:szCs w:val="21"/>
              </w:rPr>
              <w:t>Artículo</w:t>
            </w:r>
            <w:r w:rsidRPr="00401C70">
              <w:rPr>
                <w:rFonts w:ascii="Abadi" w:hAnsi="Abadi" w:cs="Calibri"/>
                <w:b/>
                <w:bCs/>
                <w:spacing w:val="1"/>
                <w:sz w:val="21"/>
                <w:szCs w:val="21"/>
              </w:rPr>
              <w:t xml:space="preserve"> </w:t>
            </w:r>
            <w:r w:rsidRPr="00401C70">
              <w:rPr>
                <w:rFonts w:ascii="Abadi" w:hAnsi="Abadi" w:cs="Calibri"/>
                <w:b/>
                <w:bCs/>
                <w:sz w:val="21"/>
                <w:szCs w:val="21"/>
              </w:rPr>
              <w:t>141.</w:t>
            </w:r>
            <w:r w:rsidRPr="00401C70">
              <w:rPr>
                <w:rFonts w:ascii="Abadi" w:hAnsi="Abadi" w:cs="Calibri"/>
                <w:b/>
                <w:bCs/>
                <w:spacing w:val="1"/>
                <w:sz w:val="21"/>
                <w:szCs w:val="21"/>
              </w:rPr>
              <w:t xml:space="preserve"> </w:t>
            </w: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delegados</w:t>
            </w:r>
            <w:r w:rsidRPr="00401C70">
              <w:rPr>
                <w:rFonts w:ascii="Abadi" w:hAnsi="Abadi" w:cs="Calibri"/>
                <w:spacing w:val="1"/>
                <w:sz w:val="21"/>
                <w:szCs w:val="21"/>
              </w:rPr>
              <w:t xml:space="preserve"> </w:t>
            </w:r>
            <w:r w:rsidRPr="00401C70">
              <w:rPr>
                <w:rFonts w:ascii="Abadi" w:hAnsi="Abadi" w:cs="Calibri"/>
                <w:sz w:val="21"/>
                <w:szCs w:val="21"/>
              </w:rPr>
              <w:t>y</w:t>
            </w:r>
            <w:r w:rsidRPr="00401C70">
              <w:rPr>
                <w:rFonts w:ascii="Abadi" w:hAnsi="Abadi" w:cs="Calibri"/>
                <w:spacing w:val="1"/>
                <w:sz w:val="21"/>
                <w:szCs w:val="21"/>
              </w:rPr>
              <w:t xml:space="preserve"> </w:t>
            </w:r>
            <w:r w:rsidRPr="00401C70">
              <w:rPr>
                <w:rFonts w:ascii="Abadi" w:hAnsi="Abadi" w:cs="Calibri"/>
                <w:sz w:val="21"/>
                <w:szCs w:val="21"/>
              </w:rPr>
              <w:t>subdelegados</w:t>
            </w:r>
            <w:r w:rsidRPr="00401C70">
              <w:rPr>
                <w:rFonts w:ascii="Abadi" w:hAnsi="Abadi" w:cs="Calibri"/>
                <w:spacing w:val="1"/>
                <w:sz w:val="21"/>
                <w:szCs w:val="21"/>
              </w:rPr>
              <w:t xml:space="preserve"> </w:t>
            </w:r>
            <w:r w:rsidRPr="00401C70">
              <w:rPr>
                <w:rFonts w:ascii="Abadi" w:hAnsi="Abadi" w:cs="Calibri"/>
                <w:sz w:val="21"/>
                <w:szCs w:val="21"/>
              </w:rPr>
              <w:t>municipales</w:t>
            </w:r>
            <w:r w:rsidRPr="00401C70">
              <w:rPr>
                <w:rFonts w:ascii="Abadi" w:hAnsi="Abadi" w:cs="Calibri"/>
                <w:spacing w:val="1"/>
                <w:sz w:val="21"/>
                <w:szCs w:val="21"/>
              </w:rPr>
              <w:t xml:space="preserve"> </w:t>
            </w:r>
            <w:r w:rsidRPr="00401C70">
              <w:rPr>
                <w:rFonts w:ascii="Abadi" w:hAnsi="Abadi" w:cs="Calibri"/>
                <w:sz w:val="21"/>
                <w:szCs w:val="21"/>
              </w:rPr>
              <w:t>son</w:t>
            </w:r>
            <w:r w:rsidRPr="00401C70">
              <w:rPr>
                <w:rFonts w:ascii="Abadi" w:hAnsi="Abadi" w:cs="Calibri"/>
                <w:spacing w:val="1"/>
                <w:sz w:val="21"/>
                <w:szCs w:val="21"/>
              </w:rPr>
              <w:t xml:space="preserve"> </w:t>
            </w:r>
            <w:r w:rsidRPr="00401C70">
              <w:rPr>
                <w:rFonts w:ascii="Abadi" w:hAnsi="Abadi" w:cs="Calibri"/>
                <w:sz w:val="21"/>
                <w:szCs w:val="21"/>
              </w:rPr>
              <w:t>autoridades</w:t>
            </w:r>
            <w:r w:rsidRPr="00401C70">
              <w:rPr>
                <w:rFonts w:ascii="Abadi" w:hAnsi="Abadi" w:cs="Calibri"/>
                <w:spacing w:val="1"/>
                <w:sz w:val="21"/>
                <w:szCs w:val="21"/>
              </w:rPr>
              <w:t xml:space="preserve"> </w:t>
            </w:r>
            <w:r w:rsidRPr="00401C70">
              <w:rPr>
                <w:rFonts w:ascii="Abadi" w:hAnsi="Abadi" w:cs="Calibri"/>
                <w:sz w:val="21"/>
                <w:szCs w:val="21"/>
              </w:rPr>
              <w:t>auxiliares</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47"/>
                <w:sz w:val="21"/>
                <w:szCs w:val="21"/>
              </w:rPr>
              <w:t xml:space="preserve"> </w:t>
            </w:r>
            <w:r w:rsidRPr="00401C70">
              <w:rPr>
                <w:rFonts w:ascii="Abadi" w:hAnsi="Abadi" w:cs="Calibri"/>
                <w:sz w:val="21"/>
                <w:szCs w:val="21"/>
              </w:rPr>
              <w:t>Ayuntamiento</w:t>
            </w:r>
            <w:r w:rsidRPr="00401C70">
              <w:rPr>
                <w:rFonts w:ascii="Abadi" w:hAnsi="Abadi" w:cs="Calibri"/>
                <w:spacing w:val="-9"/>
                <w:sz w:val="21"/>
                <w:szCs w:val="21"/>
              </w:rPr>
              <w:t xml:space="preserve"> </w:t>
            </w:r>
            <w:r w:rsidRPr="00401C70">
              <w:rPr>
                <w:rFonts w:ascii="Abadi" w:hAnsi="Abadi" w:cs="Calibri"/>
                <w:sz w:val="21"/>
                <w:szCs w:val="21"/>
              </w:rPr>
              <w:t>y</w:t>
            </w:r>
            <w:r w:rsidRPr="00401C70">
              <w:rPr>
                <w:rFonts w:ascii="Abadi" w:hAnsi="Abadi" w:cs="Calibri"/>
                <w:spacing w:val="-4"/>
                <w:sz w:val="21"/>
                <w:szCs w:val="21"/>
              </w:rPr>
              <w:t xml:space="preserve"> </w:t>
            </w:r>
            <w:r w:rsidRPr="00401C70">
              <w:rPr>
                <w:rFonts w:ascii="Abadi" w:hAnsi="Abadi" w:cs="Calibri"/>
                <w:sz w:val="21"/>
                <w:szCs w:val="21"/>
              </w:rPr>
              <w:t>del</w:t>
            </w:r>
            <w:r w:rsidRPr="00401C70">
              <w:rPr>
                <w:rFonts w:ascii="Abadi" w:hAnsi="Abadi" w:cs="Calibri"/>
                <w:spacing w:val="-9"/>
                <w:sz w:val="21"/>
                <w:szCs w:val="21"/>
              </w:rPr>
              <w:t xml:space="preserve"> </w:t>
            </w:r>
            <w:r w:rsidRPr="00401C70">
              <w:rPr>
                <w:rFonts w:ascii="Abadi" w:hAnsi="Abadi" w:cs="Calibri"/>
                <w:sz w:val="21"/>
                <w:szCs w:val="21"/>
              </w:rPr>
              <w:t>Presidente</w:t>
            </w:r>
            <w:r w:rsidRPr="00401C70">
              <w:rPr>
                <w:rFonts w:ascii="Abadi" w:hAnsi="Abadi" w:cs="Calibri"/>
                <w:spacing w:val="-7"/>
                <w:sz w:val="21"/>
                <w:szCs w:val="21"/>
              </w:rPr>
              <w:t xml:space="preserve"> </w:t>
            </w:r>
            <w:r w:rsidRPr="00401C70">
              <w:rPr>
                <w:rFonts w:ascii="Abadi" w:hAnsi="Abadi" w:cs="Calibri"/>
                <w:sz w:val="21"/>
                <w:szCs w:val="21"/>
              </w:rPr>
              <w:t>Municipal,</w:t>
            </w:r>
            <w:r w:rsidRPr="00401C70">
              <w:rPr>
                <w:rFonts w:ascii="Abadi" w:hAnsi="Abadi" w:cs="Calibri"/>
                <w:spacing w:val="-8"/>
                <w:sz w:val="21"/>
                <w:szCs w:val="21"/>
              </w:rPr>
              <w:t xml:space="preserve"> </w:t>
            </w:r>
            <w:r w:rsidRPr="00401C70">
              <w:rPr>
                <w:rFonts w:ascii="Abadi" w:hAnsi="Abadi" w:cs="Calibri"/>
                <w:sz w:val="21"/>
                <w:szCs w:val="21"/>
              </w:rPr>
              <w:t>en</w:t>
            </w:r>
            <w:r w:rsidRPr="00401C70">
              <w:rPr>
                <w:rFonts w:ascii="Abadi" w:hAnsi="Abadi" w:cs="Calibri"/>
                <w:spacing w:val="-5"/>
                <w:sz w:val="21"/>
                <w:szCs w:val="21"/>
              </w:rPr>
              <w:t xml:space="preserve"> </w:t>
            </w:r>
            <w:r w:rsidRPr="00401C70">
              <w:rPr>
                <w:rFonts w:ascii="Abadi" w:hAnsi="Abadi" w:cs="Calibri"/>
                <w:sz w:val="21"/>
                <w:szCs w:val="21"/>
              </w:rPr>
              <w:t>la</w:t>
            </w:r>
            <w:r w:rsidRPr="00401C70">
              <w:rPr>
                <w:rFonts w:ascii="Abadi" w:hAnsi="Abadi" w:cs="Calibri"/>
                <w:spacing w:val="-47"/>
                <w:sz w:val="21"/>
                <w:szCs w:val="21"/>
              </w:rPr>
              <w:t xml:space="preserve"> </w:t>
            </w:r>
            <w:r w:rsidRPr="00401C70">
              <w:rPr>
                <w:rFonts w:ascii="Abadi" w:hAnsi="Abadi" w:cs="Calibri"/>
                <w:sz w:val="21"/>
                <w:szCs w:val="21"/>
              </w:rPr>
              <w:t>demarcación</w:t>
            </w:r>
            <w:r w:rsidRPr="00401C70">
              <w:rPr>
                <w:rFonts w:ascii="Abadi" w:hAnsi="Abadi" w:cs="Calibri"/>
                <w:spacing w:val="1"/>
                <w:sz w:val="21"/>
                <w:szCs w:val="21"/>
              </w:rPr>
              <w:t xml:space="preserve"> </w:t>
            </w:r>
            <w:r w:rsidRPr="00401C70">
              <w:rPr>
                <w:rFonts w:ascii="Abadi" w:hAnsi="Abadi" w:cs="Calibri"/>
                <w:sz w:val="21"/>
                <w:szCs w:val="21"/>
              </w:rPr>
              <w:t>territorial</w:t>
            </w:r>
            <w:r w:rsidRPr="00401C70">
              <w:rPr>
                <w:rFonts w:ascii="Abadi" w:hAnsi="Abadi" w:cs="Calibri"/>
                <w:spacing w:val="1"/>
                <w:sz w:val="21"/>
                <w:szCs w:val="21"/>
              </w:rPr>
              <w:t xml:space="preserve"> </w:t>
            </w:r>
            <w:r w:rsidRPr="00401C70">
              <w:rPr>
                <w:rFonts w:ascii="Abadi" w:hAnsi="Abadi" w:cs="Calibri"/>
                <w:sz w:val="21"/>
                <w:szCs w:val="21"/>
              </w:rPr>
              <w:t>asignada</w:t>
            </w:r>
            <w:r w:rsidRPr="00401C70">
              <w:rPr>
                <w:rFonts w:ascii="Abadi" w:hAnsi="Abadi" w:cs="Calibri"/>
                <w:spacing w:val="1"/>
                <w:sz w:val="21"/>
                <w:szCs w:val="21"/>
              </w:rPr>
              <w:t xml:space="preserve"> </w:t>
            </w:r>
            <w:r w:rsidRPr="00401C70">
              <w:rPr>
                <w:rFonts w:ascii="Abadi" w:hAnsi="Abadi" w:cs="Calibri"/>
                <w:sz w:val="21"/>
                <w:szCs w:val="21"/>
              </w:rPr>
              <w:t>a</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delegación. Serán nombrados o ratificados por</w:t>
            </w:r>
            <w:r w:rsidRPr="00401C70">
              <w:rPr>
                <w:rFonts w:ascii="Abadi" w:hAnsi="Abadi" w:cs="Calibri"/>
                <w:spacing w:val="-47"/>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Ayuntamiento</w:t>
            </w:r>
            <w:r w:rsidRPr="00401C70">
              <w:rPr>
                <w:rFonts w:ascii="Abadi" w:hAnsi="Abadi" w:cs="Calibri"/>
                <w:spacing w:val="1"/>
                <w:sz w:val="21"/>
                <w:szCs w:val="21"/>
              </w:rPr>
              <w:t xml:space="preserve"> </w:t>
            </w:r>
            <w:r w:rsidRPr="00401C70">
              <w:rPr>
                <w:rFonts w:ascii="Abadi" w:hAnsi="Abadi" w:cs="Calibri"/>
                <w:sz w:val="21"/>
                <w:szCs w:val="21"/>
              </w:rPr>
              <w:t>a</w:t>
            </w:r>
            <w:r w:rsidRPr="00401C70">
              <w:rPr>
                <w:rFonts w:ascii="Abadi" w:hAnsi="Abadi" w:cs="Calibri"/>
                <w:spacing w:val="1"/>
                <w:sz w:val="21"/>
                <w:szCs w:val="21"/>
              </w:rPr>
              <w:t xml:space="preserve"> </w:t>
            </w:r>
            <w:r w:rsidRPr="00401C70">
              <w:rPr>
                <w:rFonts w:ascii="Abadi" w:hAnsi="Abadi" w:cs="Calibri"/>
                <w:sz w:val="21"/>
                <w:szCs w:val="21"/>
              </w:rPr>
              <w:t>propuesta</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presidente</w:t>
            </w:r>
            <w:r w:rsidRPr="00401C70">
              <w:rPr>
                <w:rFonts w:ascii="Abadi" w:hAnsi="Abadi" w:cs="Calibri"/>
                <w:spacing w:val="-47"/>
                <w:sz w:val="21"/>
                <w:szCs w:val="21"/>
              </w:rPr>
              <w:t xml:space="preserve"> </w:t>
            </w:r>
            <w:r w:rsidRPr="00401C70">
              <w:rPr>
                <w:rFonts w:ascii="Abadi" w:hAnsi="Abadi" w:cs="Calibri"/>
                <w:sz w:val="21"/>
                <w:szCs w:val="21"/>
              </w:rPr>
              <w:t>municipal</w:t>
            </w:r>
            <w:r w:rsidRPr="00401C70">
              <w:rPr>
                <w:rFonts w:ascii="Abadi" w:hAnsi="Abadi" w:cs="Calibri"/>
                <w:spacing w:val="-5"/>
                <w:sz w:val="21"/>
                <w:szCs w:val="21"/>
              </w:rPr>
              <w:t xml:space="preserve"> </w:t>
            </w:r>
            <w:r w:rsidRPr="00401C70">
              <w:rPr>
                <w:rFonts w:ascii="Abadi" w:hAnsi="Abadi" w:cs="Calibri"/>
                <w:sz w:val="21"/>
                <w:szCs w:val="21"/>
              </w:rPr>
              <w:t>dentro</w:t>
            </w:r>
            <w:r w:rsidRPr="00401C70">
              <w:rPr>
                <w:rFonts w:ascii="Abadi" w:hAnsi="Abadi" w:cs="Calibri"/>
                <w:spacing w:val="-2"/>
                <w:sz w:val="21"/>
                <w:szCs w:val="21"/>
              </w:rPr>
              <w:t xml:space="preserve"> </w:t>
            </w:r>
            <w:r w:rsidRPr="00401C70">
              <w:rPr>
                <w:rFonts w:ascii="Abadi" w:hAnsi="Abadi" w:cs="Calibri"/>
                <w:sz w:val="21"/>
                <w:szCs w:val="21"/>
              </w:rPr>
              <w:t>de</w:t>
            </w:r>
            <w:r w:rsidRPr="00401C70">
              <w:rPr>
                <w:rFonts w:ascii="Abadi" w:hAnsi="Abadi" w:cs="Calibri"/>
                <w:spacing w:val="-4"/>
                <w:sz w:val="21"/>
                <w:szCs w:val="21"/>
              </w:rPr>
              <w:t xml:space="preserve"> </w:t>
            </w:r>
            <w:r w:rsidRPr="00401C70">
              <w:rPr>
                <w:rFonts w:ascii="Abadi" w:hAnsi="Abadi" w:cs="Calibri"/>
                <w:sz w:val="21"/>
                <w:szCs w:val="21"/>
              </w:rPr>
              <w:t>los</w:t>
            </w:r>
            <w:r w:rsidRPr="00401C70">
              <w:rPr>
                <w:rFonts w:ascii="Abadi" w:hAnsi="Abadi" w:cs="Calibri"/>
                <w:spacing w:val="-6"/>
                <w:sz w:val="21"/>
                <w:szCs w:val="21"/>
              </w:rPr>
              <w:t xml:space="preserve"> </w:t>
            </w:r>
            <w:r w:rsidRPr="00401C70">
              <w:rPr>
                <w:rFonts w:ascii="Abadi" w:hAnsi="Abadi" w:cs="Calibri"/>
                <w:sz w:val="21"/>
                <w:szCs w:val="21"/>
              </w:rPr>
              <w:t>seis</w:t>
            </w:r>
            <w:r w:rsidRPr="00401C70">
              <w:rPr>
                <w:rFonts w:ascii="Abadi" w:hAnsi="Abadi" w:cs="Calibri"/>
                <w:spacing w:val="-3"/>
                <w:sz w:val="21"/>
                <w:szCs w:val="21"/>
              </w:rPr>
              <w:t xml:space="preserve"> </w:t>
            </w:r>
            <w:r w:rsidRPr="00401C70">
              <w:rPr>
                <w:rFonts w:ascii="Abadi" w:hAnsi="Abadi" w:cs="Calibri"/>
                <w:sz w:val="21"/>
                <w:szCs w:val="21"/>
              </w:rPr>
              <w:t>meses</w:t>
            </w:r>
            <w:r w:rsidRPr="00401C70">
              <w:rPr>
                <w:rFonts w:ascii="Abadi" w:hAnsi="Abadi" w:cs="Calibri"/>
                <w:spacing w:val="-2"/>
                <w:sz w:val="21"/>
                <w:szCs w:val="21"/>
              </w:rPr>
              <w:t xml:space="preserve"> </w:t>
            </w:r>
            <w:r w:rsidRPr="00401C70">
              <w:rPr>
                <w:rFonts w:ascii="Abadi" w:hAnsi="Abadi" w:cs="Calibri"/>
                <w:sz w:val="21"/>
                <w:szCs w:val="21"/>
              </w:rPr>
              <w:t>siguientes</w:t>
            </w:r>
            <w:r w:rsidRPr="00401C70">
              <w:rPr>
                <w:rFonts w:ascii="Abadi" w:hAnsi="Abadi" w:cs="Calibri"/>
                <w:spacing w:val="-3"/>
                <w:sz w:val="21"/>
                <w:szCs w:val="21"/>
              </w:rPr>
              <w:t xml:space="preserve"> </w:t>
            </w:r>
            <w:r w:rsidRPr="00401C70">
              <w:rPr>
                <w:rFonts w:ascii="Abadi" w:hAnsi="Abadi" w:cs="Calibri"/>
                <w:sz w:val="21"/>
                <w:szCs w:val="21"/>
              </w:rPr>
              <w:t>a</w:t>
            </w:r>
            <w:r w:rsidRPr="00401C70">
              <w:rPr>
                <w:rFonts w:ascii="Abadi" w:hAnsi="Abadi" w:cs="Calibri"/>
                <w:spacing w:val="-47"/>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instalación</w:t>
            </w:r>
            <w:r w:rsidRPr="00401C70">
              <w:rPr>
                <w:rFonts w:ascii="Abadi" w:hAnsi="Abadi" w:cs="Calibri"/>
                <w:spacing w:val="-1"/>
                <w:sz w:val="21"/>
                <w:szCs w:val="21"/>
              </w:rPr>
              <w:t xml:space="preserve"> </w:t>
            </w:r>
            <w:r w:rsidRPr="00401C70">
              <w:rPr>
                <w:rFonts w:ascii="Abadi" w:hAnsi="Abadi" w:cs="Calibri"/>
                <w:sz w:val="21"/>
                <w:szCs w:val="21"/>
              </w:rPr>
              <w:t>del Ayuntamiento.</w:t>
            </w:r>
          </w:p>
          <w:p w14:paraId="4A968335" w14:textId="77777777" w:rsidR="00677B7E" w:rsidRPr="00401C70" w:rsidRDefault="00677B7E" w:rsidP="00FA2590">
            <w:pPr>
              <w:kinsoku w:val="0"/>
              <w:overflowPunct w:val="0"/>
              <w:autoSpaceDE w:val="0"/>
              <w:autoSpaceDN w:val="0"/>
              <w:adjustRightInd w:val="0"/>
              <w:jc w:val="both"/>
              <w:rPr>
                <w:rFonts w:ascii="Abadi" w:hAnsi="Abadi"/>
                <w:sz w:val="21"/>
                <w:szCs w:val="21"/>
              </w:rPr>
            </w:pPr>
          </w:p>
          <w:p w14:paraId="0B34623F" w14:textId="77777777" w:rsidR="00677B7E" w:rsidRPr="00401C70" w:rsidRDefault="00677B7E" w:rsidP="00FA2590">
            <w:pPr>
              <w:kinsoku w:val="0"/>
              <w:overflowPunct w:val="0"/>
              <w:autoSpaceDE w:val="0"/>
              <w:autoSpaceDN w:val="0"/>
              <w:adjustRightInd w:val="0"/>
              <w:ind w:left="107" w:right="93"/>
              <w:jc w:val="both"/>
              <w:rPr>
                <w:rFonts w:ascii="Abadi" w:hAnsi="Abadi" w:cs="Calibri"/>
                <w:sz w:val="21"/>
                <w:szCs w:val="21"/>
              </w:rPr>
            </w:pPr>
            <w:r w:rsidRPr="00401C70">
              <w:rPr>
                <w:rFonts w:ascii="Abadi" w:hAnsi="Abadi" w:cs="Calibri"/>
                <w:sz w:val="21"/>
                <w:szCs w:val="21"/>
              </w:rPr>
              <w:t>Para el nombramiento o la ratificación de los</w:t>
            </w:r>
            <w:r w:rsidRPr="00401C70">
              <w:rPr>
                <w:rFonts w:ascii="Abadi" w:hAnsi="Abadi" w:cs="Calibri"/>
                <w:spacing w:val="1"/>
                <w:sz w:val="21"/>
                <w:szCs w:val="21"/>
              </w:rPr>
              <w:t xml:space="preserve"> </w:t>
            </w:r>
            <w:r w:rsidRPr="00401C70">
              <w:rPr>
                <w:rFonts w:ascii="Abadi" w:hAnsi="Abadi" w:cs="Calibri"/>
                <w:sz w:val="21"/>
                <w:szCs w:val="21"/>
              </w:rPr>
              <w:t>delegados</w:t>
            </w:r>
            <w:r w:rsidRPr="00401C70">
              <w:rPr>
                <w:rFonts w:ascii="Abadi" w:hAnsi="Abadi" w:cs="Calibri"/>
                <w:spacing w:val="1"/>
                <w:sz w:val="21"/>
                <w:szCs w:val="21"/>
              </w:rPr>
              <w:t xml:space="preserve"> </w:t>
            </w:r>
            <w:r w:rsidRPr="00401C70">
              <w:rPr>
                <w:rFonts w:ascii="Abadi" w:hAnsi="Abadi" w:cs="Calibri"/>
                <w:sz w:val="21"/>
                <w:szCs w:val="21"/>
              </w:rPr>
              <w:t>y</w:t>
            </w:r>
            <w:r w:rsidRPr="00401C70">
              <w:rPr>
                <w:rFonts w:ascii="Abadi" w:hAnsi="Abadi" w:cs="Calibri"/>
                <w:spacing w:val="1"/>
                <w:sz w:val="21"/>
                <w:szCs w:val="21"/>
              </w:rPr>
              <w:t xml:space="preserve"> </w:t>
            </w:r>
            <w:r w:rsidRPr="00401C70">
              <w:rPr>
                <w:rFonts w:ascii="Abadi" w:hAnsi="Abadi" w:cs="Calibri"/>
                <w:sz w:val="21"/>
                <w:szCs w:val="21"/>
              </w:rPr>
              <w:t>subdelegados</w:t>
            </w:r>
            <w:r w:rsidRPr="00401C70">
              <w:rPr>
                <w:rFonts w:ascii="Abadi" w:hAnsi="Abadi" w:cs="Calibri"/>
                <w:spacing w:val="1"/>
                <w:sz w:val="21"/>
                <w:szCs w:val="21"/>
              </w:rPr>
              <w:t xml:space="preserve"> </w:t>
            </w:r>
            <w:r w:rsidRPr="00401C70">
              <w:rPr>
                <w:rFonts w:ascii="Abadi" w:hAnsi="Abadi" w:cs="Calibri"/>
                <w:sz w:val="21"/>
                <w:szCs w:val="21"/>
              </w:rPr>
              <w:t>municipales,</w:t>
            </w:r>
            <w:r w:rsidRPr="00401C70">
              <w:rPr>
                <w:rFonts w:ascii="Abadi" w:hAnsi="Abadi" w:cs="Calibri"/>
                <w:spacing w:val="1"/>
                <w:sz w:val="21"/>
                <w:szCs w:val="21"/>
              </w:rPr>
              <w:t xml:space="preserve"> </w:t>
            </w:r>
            <w:r w:rsidRPr="00401C70">
              <w:rPr>
                <w:rFonts w:ascii="Abadi" w:hAnsi="Abadi" w:cs="Calibri"/>
                <w:sz w:val="21"/>
                <w:szCs w:val="21"/>
              </w:rPr>
              <w:t>se</w:t>
            </w:r>
            <w:r w:rsidRPr="00401C70">
              <w:rPr>
                <w:rFonts w:ascii="Abadi" w:hAnsi="Abadi" w:cs="Calibri"/>
                <w:spacing w:val="-47"/>
                <w:sz w:val="21"/>
                <w:szCs w:val="21"/>
              </w:rPr>
              <w:t xml:space="preserve"> </w:t>
            </w:r>
            <w:r w:rsidRPr="00401C70">
              <w:rPr>
                <w:rFonts w:ascii="Abadi" w:hAnsi="Abadi" w:cs="Calibri"/>
                <w:sz w:val="21"/>
                <w:szCs w:val="21"/>
              </w:rPr>
              <w:t>requerirá</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mayoría</w:t>
            </w:r>
            <w:r w:rsidRPr="00401C70">
              <w:rPr>
                <w:rFonts w:ascii="Abadi" w:hAnsi="Abadi" w:cs="Calibri"/>
                <w:spacing w:val="1"/>
                <w:sz w:val="21"/>
                <w:szCs w:val="21"/>
              </w:rPr>
              <w:t xml:space="preserve"> </w:t>
            </w:r>
            <w:r w:rsidRPr="00401C70">
              <w:rPr>
                <w:rFonts w:ascii="Abadi" w:hAnsi="Abadi" w:cs="Calibri"/>
                <w:sz w:val="21"/>
                <w:szCs w:val="21"/>
              </w:rPr>
              <w:t>absoluta</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47"/>
                <w:sz w:val="21"/>
                <w:szCs w:val="21"/>
              </w:rPr>
              <w:t xml:space="preserve"> </w:t>
            </w:r>
            <w:r w:rsidRPr="00401C70">
              <w:rPr>
                <w:rFonts w:ascii="Abadi" w:hAnsi="Abadi" w:cs="Calibri"/>
                <w:sz w:val="21"/>
                <w:szCs w:val="21"/>
              </w:rPr>
              <w:t>Ayuntamiento.</w:t>
            </w:r>
          </w:p>
          <w:p w14:paraId="73A9C421" w14:textId="77777777" w:rsidR="00677B7E" w:rsidRPr="00401C70" w:rsidRDefault="00677B7E" w:rsidP="00FA2590">
            <w:pPr>
              <w:kinsoku w:val="0"/>
              <w:overflowPunct w:val="0"/>
              <w:autoSpaceDE w:val="0"/>
              <w:autoSpaceDN w:val="0"/>
              <w:adjustRightInd w:val="0"/>
              <w:jc w:val="both"/>
              <w:rPr>
                <w:rFonts w:ascii="Abadi" w:hAnsi="Abadi"/>
                <w:sz w:val="21"/>
                <w:szCs w:val="21"/>
              </w:rPr>
            </w:pPr>
          </w:p>
          <w:p w14:paraId="52D61D80" w14:textId="77777777" w:rsidR="00677B7E" w:rsidRPr="00401C70" w:rsidRDefault="00677B7E" w:rsidP="00FA2590">
            <w:pPr>
              <w:kinsoku w:val="0"/>
              <w:overflowPunct w:val="0"/>
              <w:autoSpaceDE w:val="0"/>
              <w:autoSpaceDN w:val="0"/>
              <w:adjustRightInd w:val="0"/>
              <w:ind w:left="107" w:right="90"/>
              <w:jc w:val="both"/>
              <w:rPr>
                <w:rFonts w:ascii="Abadi" w:hAnsi="Abadi" w:cs="Calibri"/>
                <w:sz w:val="21"/>
                <w:szCs w:val="21"/>
              </w:rPr>
            </w:pPr>
            <w:r w:rsidRPr="00401C70">
              <w:rPr>
                <w:rFonts w:ascii="Abadi" w:hAnsi="Abadi" w:cs="Calibri"/>
                <w:sz w:val="21"/>
                <w:szCs w:val="21"/>
              </w:rPr>
              <w:t>Para</w:t>
            </w:r>
            <w:r w:rsidRPr="00401C70">
              <w:rPr>
                <w:rFonts w:ascii="Abadi" w:hAnsi="Abadi" w:cs="Calibri"/>
                <w:spacing w:val="1"/>
                <w:sz w:val="21"/>
                <w:szCs w:val="21"/>
              </w:rPr>
              <w:t xml:space="preserve"> </w:t>
            </w:r>
            <w:r w:rsidRPr="00401C70">
              <w:rPr>
                <w:rFonts w:ascii="Abadi" w:hAnsi="Abadi" w:cs="Calibri"/>
                <w:sz w:val="21"/>
                <w:szCs w:val="21"/>
              </w:rPr>
              <w:t>efecto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formular,</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propuesta</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delegados</w:t>
            </w:r>
            <w:r w:rsidRPr="00401C70">
              <w:rPr>
                <w:rFonts w:ascii="Abadi" w:hAnsi="Abadi" w:cs="Calibri"/>
                <w:spacing w:val="1"/>
                <w:sz w:val="21"/>
                <w:szCs w:val="21"/>
              </w:rPr>
              <w:t xml:space="preserve"> </w:t>
            </w:r>
            <w:r w:rsidRPr="00401C70">
              <w:rPr>
                <w:rFonts w:ascii="Abadi" w:hAnsi="Abadi" w:cs="Calibri"/>
                <w:sz w:val="21"/>
                <w:szCs w:val="21"/>
              </w:rPr>
              <w:t>y</w:t>
            </w:r>
            <w:r w:rsidRPr="00401C70">
              <w:rPr>
                <w:rFonts w:ascii="Abadi" w:hAnsi="Abadi" w:cs="Calibri"/>
                <w:spacing w:val="1"/>
                <w:sz w:val="21"/>
                <w:szCs w:val="21"/>
              </w:rPr>
              <w:t xml:space="preserve"> </w:t>
            </w:r>
            <w:r w:rsidRPr="00401C70">
              <w:rPr>
                <w:rFonts w:ascii="Abadi" w:hAnsi="Abadi" w:cs="Calibri"/>
                <w:sz w:val="21"/>
                <w:szCs w:val="21"/>
              </w:rPr>
              <w:t>subdelegados</w:t>
            </w:r>
            <w:r w:rsidRPr="00401C70">
              <w:rPr>
                <w:rFonts w:ascii="Abadi" w:hAnsi="Abadi" w:cs="Calibri"/>
                <w:spacing w:val="1"/>
                <w:sz w:val="21"/>
                <w:szCs w:val="21"/>
              </w:rPr>
              <w:t xml:space="preserve"> </w:t>
            </w:r>
            <w:r w:rsidRPr="00401C70">
              <w:rPr>
                <w:rFonts w:ascii="Abadi" w:hAnsi="Abadi" w:cs="Calibri"/>
                <w:sz w:val="21"/>
                <w:szCs w:val="21"/>
              </w:rPr>
              <w:t>municipales,</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Presidente Municipal podrá optar por realizar</w:t>
            </w:r>
            <w:r w:rsidRPr="00401C70">
              <w:rPr>
                <w:rFonts w:ascii="Abadi" w:hAnsi="Abadi" w:cs="Calibri"/>
                <w:spacing w:val="1"/>
                <w:sz w:val="21"/>
                <w:szCs w:val="21"/>
              </w:rPr>
              <w:t xml:space="preserve"> </w:t>
            </w:r>
            <w:r w:rsidRPr="00401C70">
              <w:rPr>
                <w:rFonts w:ascii="Abadi" w:hAnsi="Abadi" w:cs="Calibri"/>
                <w:sz w:val="21"/>
                <w:szCs w:val="21"/>
              </w:rPr>
              <w:t>una consulta pública previa a los habitantes de</w:t>
            </w:r>
            <w:r w:rsidRPr="00401C70">
              <w:rPr>
                <w:rFonts w:ascii="Abadi" w:hAnsi="Abadi" w:cs="Calibri"/>
                <w:spacing w:val="-47"/>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lastRenderedPageBreak/>
              <w:t>delegación,</w:t>
            </w:r>
            <w:r w:rsidRPr="00401C70">
              <w:rPr>
                <w:rFonts w:ascii="Abadi" w:hAnsi="Abadi" w:cs="Calibri"/>
                <w:spacing w:val="1"/>
                <w:sz w:val="21"/>
                <w:szCs w:val="21"/>
              </w:rPr>
              <w:t xml:space="preserve"> </w:t>
            </w:r>
            <w:r w:rsidRPr="00401C70">
              <w:rPr>
                <w:rFonts w:ascii="Abadi" w:hAnsi="Abadi" w:cs="Calibri"/>
                <w:sz w:val="21"/>
                <w:szCs w:val="21"/>
              </w:rPr>
              <w:t>cuya</w:t>
            </w:r>
            <w:r w:rsidRPr="00401C70">
              <w:rPr>
                <w:rFonts w:ascii="Abadi" w:hAnsi="Abadi" w:cs="Calibri"/>
                <w:spacing w:val="1"/>
                <w:sz w:val="21"/>
                <w:szCs w:val="21"/>
              </w:rPr>
              <w:t xml:space="preserve"> </w:t>
            </w:r>
            <w:r w:rsidRPr="00401C70">
              <w:rPr>
                <w:rFonts w:ascii="Abadi" w:hAnsi="Abadi" w:cs="Calibri"/>
                <w:sz w:val="21"/>
                <w:szCs w:val="21"/>
              </w:rPr>
              <w:t>metodología</w:t>
            </w:r>
            <w:r w:rsidRPr="00401C70">
              <w:rPr>
                <w:rFonts w:ascii="Abadi" w:hAnsi="Abadi" w:cs="Calibri"/>
                <w:spacing w:val="1"/>
                <w:sz w:val="21"/>
                <w:szCs w:val="21"/>
              </w:rPr>
              <w:t xml:space="preserve"> </w:t>
            </w:r>
            <w:r w:rsidRPr="00401C70">
              <w:rPr>
                <w:rFonts w:ascii="Abadi" w:hAnsi="Abadi" w:cs="Calibri"/>
                <w:sz w:val="21"/>
                <w:szCs w:val="21"/>
              </w:rPr>
              <w:t>deberá</w:t>
            </w:r>
            <w:r w:rsidRPr="00401C70">
              <w:rPr>
                <w:rFonts w:ascii="Abadi" w:hAnsi="Abadi" w:cs="Calibri"/>
                <w:spacing w:val="1"/>
                <w:sz w:val="21"/>
                <w:szCs w:val="21"/>
              </w:rPr>
              <w:t xml:space="preserve"> </w:t>
            </w:r>
            <w:r w:rsidRPr="00401C70">
              <w:rPr>
                <w:rFonts w:ascii="Abadi" w:hAnsi="Abadi" w:cs="Calibri"/>
                <w:sz w:val="21"/>
                <w:szCs w:val="21"/>
              </w:rPr>
              <w:t>aprobarse</w:t>
            </w:r>
            <w:r w:rsidRPr="00401C70">
              <w:rPr>
                <w:rFonts w:ascii="Abadi" w:hAnsi="Abadi" w:cs="Calibri"/>
                <w:spacing w:val="-3"/>
                <w:sz w:val="21"/>
                <w:szCs w:val="21"/>
              </w:rPr>
              <w:t xml:space="preserve"> </w:t>
            </w:r>
            <w:r w:rsidRPr="00401C70">
              <w:rPr>
                <w:rFonts w:ascii="Abadi" w:hAnsi="Abadi" w:cs="Calibri"/>
                <w:sz w:val="21"/>
                <w:szCs w:val="21"/>
              </w:rPr>
              <w:t>por</w:t>
            </w:r>
            <w:r w:rsidRPr="00401C70">
              <w:rPr>
                <w:rFonts w:ascii="Abadi" w:hAnsi="Abadi" w:cs="Calibri"/>
                <w:spacing w:val="-3"/>
                <w:sz w:val="21"/>
                <w:szCs w:val="21"/>
              </w:rPr>
              <w:t xml:space="preserve"> </w:t>
            </w:r>
            <w:r w:rsidRPr="00401C70">
              <w:rPr>
                <w:rFonts w:ascii="Abadi" w:hAnsi="Abadi" w:cs="Calibri"/>
                <w:sz w:val="21"/>
                <w:szCs w:val="21"/>
              </w:rPr>
              <w:t>el</w:t>
            </w:r>
            <w:r w:rsidRPr="00401C70">
              <w:rPr>
                <w:rFonts w:ascii="Abadi" w:hAnsi="Abadi" w:cs="Calibri"/>
                <w:spacing w:val="-3"/>
                <w:sz w:val="21"/>
                <w:szCs w:val="21"/>
              </w:rPr>
              <w:t xml:space="preserve"> </w:t>
            </w:r>
            <w:r w:rsidRPr="00401C70">
              <w:rPr>
                <w:rFonts w:ascii="Abadi" w:hAnsi="Abadi" w:cs="Calibri"/>
                <w:sz w:val="21"/>
                <w:szCs w:val="21"/>
              </w:rPr>
              <w:t>Ayuntamiento.</w:t>
            </w:r>
            <w:r w:rsidRPr="00401C70">
              <w:rPr>
                <w:rFonts w:ascii="Abadi" w:hAnsi="Abadi" w:cs="Calibri"/>
                <w:spacing w:val="-4"/>
                <w:sz w:val="21"/>
                <w:szCs w:val="21"/>
              </w:rPr>
              <w:t xml:space="preserve"> </w:t>
            </w:r>
            <w:r w:rsidRPr="00401C70">
              <w:rPr>
                <w:rFonts w:ascii="Abadi" w:hAnsi="Abadi" w:cs="Calibri"/>
                <w:sz w:val="21"/>
                <w:szCs w:val="21"/>
              </w:rPr>
              <w:t>En</w:t>
            </w:r>
            <w:r w:rsidRPr="00401C70">
              <w:rPr>
                <w:rFonts w:ascii="Abadi" w:hAnsi="Abadi" w:cs="Calibri"/>
                <w:spacing w:val="-4"/>
                <w:sz w:val="21"/>
                <w:szCs w:val="21"/>
              </w:rPr>
              <w:t xml:space="preserve"> </w:t>
            </w:r>
            <w:r w:rsidRPr="00401C70">
              <w:rPr>
                <w:rFonts w:ascii="Abadi" w:hAnsi="Abadi" w:cs="Calibri"/>
                <w:sz w:val="21"/>
                <w:szCs w:val="21"/>
              </w:rPr>
              <w:t>el</w:t>
            </w:r>
            <w:r w:rsidRPr="00401C70">
              <w:rPr>
                <w:rFonts w:ascii="Abadi" w:hAnsi="Abadi" w:cs="Calibri"/>
                <w:spacing w:val="-5"/>
                <w:sz w:val="21"/>
                <w:szCs w:val="21"/>
              </w:rPr>
              <w:t xml:space="preserve"> </w:t>
            </w:r>
            <w:r w:rsidRPr="00401C70">
              <w:rPr>
                <w:rFonts w:ascii="Abadi" w:hAnsi="Abadi" w:cs="Calibri"/>
                <w:sz w:val="21"/>
                <w:szCs w:val="21"/>
              </w:rPr>
              <w:t>supuesto</w:t>
            </w:r>
            <w:r w:rsidRPr="00401C70">
              <w:rPr>
                <w:rFonts w:ascii="Abadi" w:hAnsi="Abadi" w:cs="Calibri"/>
                <w:spacing w:val="-47"/>
                <w:sz w:val="21"/>
                <w:szCs w:val="21"/>
              </w:rPr>
              <w:t xml:space="preserve"> </w:t>
            </w:r>
            <w:r w:rsidRPr="00401C70">
              <w:rPr>
                <w:rFonts w:ascii="Abadi" w:hAnsi="Abadi" w:cs="Calibri"/>
                <w:sz w:val="21"/>
                <w:szCs w:val="21"/>
              </w:rPr>
              <w:t>de</w:t>
            </w:r>
            <w:r w:rsidRPr="00401C70">
              <w:rPr>
                <w:rFonts w:ascii="Abadi" w:hAnsi="Abadi" w:cs="Calibri"/>
                <w:spacing w:val="-7"/>
                <w:sz w:val="21"/>
                <w:szCs w:val="21"/>
              </w:rPr>
              <w:t xml:space="preserve"> </w:t>
            </w:r>
            <w:r w:rsidRPr="00401C70">
              <w:rPr>
                <w:rFonts w:ascii="Abadi" w:hAnsi="Abadi" w:cs="Calibri"/>
                <w:sz w:val="21"/>
                <w:szCs w:val="21"/>
              </w:rPr>
              <w:t>que</w:t>
            </w:r>
            <w:r w:rsidRPr="00401C70">
              <w:rPr>
                <w:rFonts w:ascii="Abadi" w:hAnsi="Abadi" w:cs="Calibri"/>
                <w:spacing w:val="-6"/>
                <w:sz w:val="21"/>
                <w:szCs w:val="21"/>
              </w:rPr>
              <w:t xml:space="preserve"> </w:t>
            </w:r>
            <w:r w:rsidRPr="00401C70">
              <w:rPr>
                <w:rFonts w:ascii="Abadi" w:hAnsi="Abadi" w:cs="Calibri"/>
                <w:sz w:val="21"/>
                <w:szCs w:val="21"/>
              </w:rPr>
              <w:t>el</w:t>
            </w:r>
            <w:r w:rsidRPr="00401C70">
              <w:rPr>
                <w:rFonts w:ascii="Abadi" w:hAnsi="Abadi" w:cs="Calibri"/>
                <w:spacing w:val="-9"/>
                <w:sz w:val="21"/>
                <w:szCs w:val="21"/>
              </w:rPr>
              <w:t xml:space="preserve"> </w:t>
            </w:r>
            <w:r w:rsidRPr="00401C70">
              <w:rPr>
                <w:rFonts w:ascii="Abadi" w:hAnsi="Abadi" w:cs="Calibri"/>
                <w:sz w:val="21"/>
                <w:szCs w:val="21"/>
              </w:rPr>
              <w:t>presidente</w:t>
            </w:r>
            <w:r w:rsidRPr="00401C70">
              <w:rPr>
                <w:rFonts w:ascii="Abadi" w:hAnsi="Abadi" w:cs="Calibri"/>
                <w:spacing w:val="-9"/>
                <w:sz w:val="21"/>
                <w:szCs w:val="21"/>
              </w:rPr>
              <w:t xml:space="preserve"> </w:t>
            </w:r>
            <w:r w:rsidRPr="00401C70">
              <w:rPr>
                <w:rFonts w:ascii="Abadi" w:hAnsi="Abadi" w:cs="Calibri"/>
                <w:sz w:val="21"/>
                <w:szCs w:val="21"/>
              </w:rPr>
              <w:t>en</w:t>
            </w:r>
            <w:r w:rsidRPr="00401C70">
              <w:rPr>
                <w:rFonts w:ascii="Abadi" w:hAnsi="Abadi" w:cs="Calibri"/>
                <w:spacing w:val="-7"/>
                <w:sz w:val="21"/>
                <w:szCs w:val="21"/>
              </w:rPr>
              <w:t xml:space="preserve"> </w:t>
            </w:r>
            <w:r w:rsidRPr="00401C70">
              <w:rPr>
                <w:rFonts w:ascii="Abadi" w:hAnsi="Abadi" w:cs="Calibri"/>
                <w:sz w:val="21"/>
                <w:szCs w:val="21"/>
              </w:rPr>
              <w:t>su</w:t>
            </w:r>
            <w:r w:rsidRPr="00401C70">
              <w:rPr>
                <w:rFonts w:ascii="Abadi" w:hAnsi="Abadi" w:cs="Calibri"/>
                <w:spacing w:val="-10"/>
                <w:sz w:val="21"/>
                <w:szCs w:val="21"/>
              </w:rPr>
              <w:t xml:space="preserve"> </w:t>
            </w:r>
            <w:r w:rsidRPr="00401C70">
              <w:rPr>
                <w:rFonts w:ascii="Abadi" w:hAnsi="Abadi" w:cs="Calibri"/>
                <w:sz w:val="21"/>
                <w:szCs w:val="21"/>
              </w:rPr>
              <w:t>propuesta</w:t>
            </w:r>
            <w:r w:rsidRPr="00401C70">
              <w:rPr>
                <w:rFonts w:ascii="Abadi" w:hAnsi="Abadi" w:cs="Calibri"/>
                <w:spacing w:val="-10"/>
                <w:sz w:val="21"/>
                <w:szCs w:val="21"/>
              </w:rPr>
              <w:t xml:space="preserve"> </w:t>
            </w:r>
            <w:r w:rsidRPr="00401C70">
              <w:rPr>
                <w:rFonts w:ascii="Abadi" w:hAnsi="Abadi" w:cs="Calibri"/>
                <w:sz w:val="21"/>
                <w:szCs w:val="21"/>
              </w:rPr>
              <w:t>atienda</w:t>
            </w:r>
            <w:r w:rsidRPr="00401C70">
              <w:rPr>
                <w:rFonts w:ascii="Abadi" w:hAnsi="Abadi" w:cs="Calibri"/>
                <w:spacing w:val="-7"/>
                <w:sz w:val="21"/>
                <w:szCs w:val="21"/>
              </w:rPr>
              <w:t xml:space="preserve"> </w:t>
            </w:r>
            <w:r w:rsidRPr="00401C70">
              <w:rPr>
                <w:rFonts w:ascii="Abadi" w:hAnsi="Abadi" w:cs="Calibri"/>
                <w:sz w:val="21"/>
                <w:szCs w:val="21"/>
              </w:rPr>
              <w:t>al</w:t>
            </w:r>
            <w:r w:rsidRPr="00401C70">
              <w:rPr>
                <w:rFonts w:ascii="Abadi" w:hAnsi="Abadi" w:cs="Calibri"/>
                <w:spacing w:val="-48"/>
                <w:sz w:val="21"/>
                <w:szCs w:val="21"/>
              </w:rPr>
              <w:t xml:space="preserve"> </w:t>
            </w:r>
            <w:r w:rsidRPr="00401C70">
              <w:rPr>
                <w:rFonts w:ascii="Abadi" w:hAnsi="Abadi" w:cs="Calibri"/>
                <w:sz w:val="21"/>
                <w:szCs w:val="21"/>
              </w:rPr>
              <w:t>resultado</w:t>
            </w:r>
            <w:r w:rsidRPr="00401C70">
              <w:rPr>
                <w:rFonts w:ascii="Abadi" w:hAnsi="Abadi" w:cs="Calibri"/>
                <w:spacing w:val="-6"/>
                <w:sz w:val="21"/>
                <w:szCs w:val="21"/>
              </w:rPr>
              <w:t xml:space="preserve"> </w:t>
            </w:r>
            <w:r w:rsidRPr="00401C70">
              <w:rPr>
                <w:rFonts w:ascii="Abadi" w:hAnsi="Abadi" w:cs="Calibri"/>
                <w:sz w:val="21"/>
                <w:szCs w:val="21"/>
              </w:rPr>
              <w:t>de</w:t>
            </w:r>
            <w:r w:rsidRPr="00401C70">
              <w:rPr>
                <w:rFonts w:ascii="Abadi" w:hAnsi="Abadi" w:cs="Calibri"/>
                <w:spacing w:val="-6"/>
                <w:sz w:val="21"/>
                <w:szCs w:val="21"/>
              </w:rPr>
              <w:t xml:space="preserve"> </w:t>
            </w:r>
            <w:r w:rsidRPr="00401C70">
              <w:rPr>
                <w:rFonts w:ascii="Abadi" w:hAnsi="Abadi" w:cs="Calibri"/>
                <w:sz w:val="21"/>
                <w:szCs w:val="21"/>
              </w:rPr>
              <w:t>la</w:t>
            </w:r>
            <w:r w:rsidRPr="00401C70">
              <w:rPr>
                <w:rFonts w:ascii="Abadi" w:hAnsi="Abadi" w:cs="Calibri"/>
                <w:spacing w:val="-7"/>
                <w:sz w:val="21"/>
                <w:szCs w:val="21"/>
              </w:rPr>
              <w:t xml:space="preserve"> </w:t>
            </w:r>
            <w:r w:rsidRPr="00401C70">
              <w:rPr>
                <w:rFonts w:ascii="Abadi" w:hAnsi="Abadi" w:cs="Calibri"/>
                <w:sz w:val="21"/>
                <w:szCs w:val="21"/>
              </w:rPr>
              <w:t>consulta,</w:t>
            </w:r>
            <w:r w:rsidRPr="00401C70">
              <w:rPr>
                <w:rFonts w:ascii="Abadi" w:hAnsi="Abadi" w:cs="Calibri"/>
                <w:spacing w:val="-7"/>
                <w:sz w:val="21"/>
                <w:szCs w:val="21"/>
              </w:rPr>
              <w:t xml:space="preserve"> </w:t>
            </w:r>
            <w:r w:rsidRPr="00401C70">
              <w:rPr>
                <w:rFonts w:ascii="Abadi" w:hAnsi="Abadi" w:cs="Calibri"/>
                <w:sz w:val="21"/>
                <w:szCs w:val="21"/>
              </w:rPr>
              <w:t>la</w:t>
            </w:r>
            <w:r w:rsidRPr="00401C70">
              <w:rPr>
                <w:rFonts w:ascii="Abadi" w:hAnsi="Abadi" w:cs="Calibri"/>
                <w:spacing w:val="-10"/>
                <w:sz w:val="21"/>
                <w:szCs w:val="21"/>
              </w:rPr>
              <w:t xml:space="preserve"> </w:t>
            </w:r>
            <w:r w:rsidRPr="00401C70">
              <w:rPr>
                <w:rFonts w:ascii="Abadi" w:hAnsi="Abadi" w:cs="Calibri"/>
                <w:sz w:val="21"/>
                <w:szCs w:val="21"/>
              </w:rPr>
              <w:t>aprobación</w:t>
            </w:r>
            <w:r w:rsidRPr="00401C70">
              <w:rPr>
                <w:rFonts w:ascii="Abadi" w:hAnsi="Abadi" w:cs="Calibri"/>
                <w:spacing w:val="-8"/>
                <w:sz w:val="21"/>
                <w:szCs w:val="21"/>
              </w:rPr>
              <w:t xml:space="preserve"> </w:t>
            </w:r>
            <w:r w:rsidRPr="00401C70">
              <w:rPr>
                <w:rFonts w:ascii="Abadi" w:hAnsi="Abadi" w:cs="Calibri"/>
                <w:sz w:val="21"/>
                <w:szCs w:val="21"/>
              </w:rPr>
              <w:t>será</w:t>
            </w:r>
            <w:r w:rsidRPr="00401C70">
              <w:rPr>
                <w:rFonts w:ascii="Abadi" w:hAnsi="Abadi" w:cs="Calibri"/>
                <w:spacing w:val="-7"/>
                <w:sz w:val="21"/>
                <w:szCs w:val="21"/>
              </w:rPr>
              <w:t xml:space="preserve"> </w:t>
            </w:r>
            <w:r w:rsidRPr="00401C70">
              <w:rPr>
                <w:rFonts w:ascii="Abadi" w:hAnsi="Abadi" w:cs="Calibri"/>
                <w:sz w:val="21"/>
                <w:szCs w:val="21"/>
              </w:rPr>
              <w:t>por</w:t>
            </w:r>
            <w:r w:rsidRPr="00401C70">
              <w:rPr>
                <w:rFonts w:ascii="Abadi" w:hAnsi="Abadi" w:cs="Calibri"/>
                <w:spacing w:val="-48"/>
                <w:sz w:val="21"/>
                <w:szCs w:val="21"/>
              </w:rPr>
              <w:t xml:space="preserve"> </w:t>
            </w:r>
            <w:r w:rsidRPr="00401C70">
              <w:rPr>
                <w:rFonts w:ascii="Abadi" w:hAnsi="Abadi" w:cs="Calibri"/>
                <w:sz w:val="21"/>
                <w:szCs w:val="21"/>
              </w:rPr>
              <w:t>mayoría</w:t>
            </w:r>
            <w:r w:rsidRPr="00401C70">
              <w:rPr>
                <w:rFonts w:ascii="Abadi" w:hAnsi="Abadi" w:cs="Calibri"/>
                <w:spacing w:val="-4"/>
                <w:sz w:val="21"/>
                <w:szCs w:val="21"/>
              </w:rPr>
              <w:t xml:space="preserve"> </w:t>
            </w:r>
            <w:r w:rsidRPr="00401C70">
              <w:rPr>
                <w:rFonts w:ascii="Abadi" w:hAnsi="Abadi" w:cs="Calibri"/>
                <w:sz w:val="21"/>
                <w:szCs w:val="21"/>
              </w:rPr>
              <w:t>simple</w:t>
            </w:r>
            <w:r w:rsidRPr="00401C70">
              <w:rPr>
                <w:rFonts w:ascii="Abadi" w:hAnsi="Abadi" w:cs="Calibri"/>
                <w:spacing w:val="-3"/>
                <w:sz w:val="21"/>
                <w:szCs w:val="21"/>
              </w:rPr>
              <w:t xml:space="preserve"> </w:t>
            </w:r>
            <w:r w:rsidRPr="00401C70">
              <w:rPr>
                <w:rFonts w:ascii="Abadi" w:hAnsi="Abadi" w:cs="Calibri"/>
                <w:sz w:val="21"/>
                <w:szCs w:val="21"/>
              </w:rPr>
              <w:t>del Ayuntamiento.</w:t>
            </w:r>
          </w:p>
          <w:p w14:paraId="7B36868C" w14:textId="77777777" w:rsidR="00677B7E" w:rsidRPr="00401C70" w:rsidRDefault="00677B7E" w:rsidP="00FA2590">
            <w:pPr>
              <w:kinsoku w:val="0"/>
              <w:overflowPunct w:val="0"/>
              <w:autoSpaceDE w:val="0"/>
              <w:autoSpaceDN w:val="0"/>
              <w:adjustRightInd w:val="0"/>
              <w:spacing w:before="5"/>
              <w:jc w:val="both"/>
              <w:rPr>
                <w:rFonts w:ascii="Abadi" w:hAnsi="Abadi"/>
                <w:sz w:val="21"/>
                <w:szCs w:val="21"/>
              </w:rPr>
            </w:pPr>
          </w:p>
          <w:p w14:paraId="75D49AE6" w14:textId="2126DDE7" w:rsidR="00677B7E" w:rsidRDefault="00677B7E" w:rsidP="00FA2590">
            <w:pPr>
              <w:kinsoku w:val="0"/>
              <w:overflowPunct w:val="0"/>
              <w:autoSpaceDE w:val="0"/>
              <w:autoSpaceDN w:val="0"/>
              <w:adjustRightInd w:val="0"/>
              <w:ind w:left="107" w:right="95"/>
              <w:jc w:val="both"/>
              <w:rPr>
                <w:rFonts w:ascii="Abadi" w:hAnsi="Abadi" w:cs="Calibri"/>
                <w:sz w:val="21"/>
                <w:szCs w:val="21"/>
              </w:rPr>
            </w:pP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delegados</w:t>
            </w:r>
            <w:r w:rsidRPr="00401C70">
              <w:rPr>
                <w:rFonts w:ascii="Abadi" w:hAnsi="Abadi" w:cs="Calibri"/>
                <w:spacing w:val="1"/>
                <w:sz w:val="21"/>
                <w:szCs w:val="21"/>
              </w:rPr>
              <w:t xml:space="preserve"> </w:t>
            </w:r>
            <w:r w:rsidRPr="00401C70">
              <w:rPr>
                <w:rFonts w:ascii="Abadi" w:hAnsi="Abadi" w:cs="Calibri"/>
                <w:sz w:val="21"/>
                <w:szCs w:val="21"/>
              </w:rPr>
              <w:t>y</w:t>
            </w:r>
            <w:r w:rsidRPr="00401C70">
              <w:rPr>
                <w:rFonts w:ascii="Abadi" w:hAnsi="Abadi" w:cs="Calibri"/>
                <w:spacing w:val="1"/>
                <w:sz w:val="21"/>
                <w:szCs w:val="21"/>
              </w:rPr>
              <w:t xml:space="preserve"> </w:t>
            </w:r>
            <w:r w:rsidRPr="00401C70">
              <w:rPr>
                <w:rFonts w:ascii="Abadi" w:hAnsi="Abadi" w:cs="Calibri"/>
                <w:sz w:val="21"/>
                <w:szCs w:val="21"/>
              </w:rPr>
              <w:t>subdelegados</w:t>
            </w:r>
            <w:r w:rsidRPr="00401C70">
              <w:rPr>
                <w:rFonts w:ascii="Abadi" w:hAnsi="Abadi" w:cs="Calibri"/>
                <w:spacing w:val="1"/>
                <w:sz w:val="21"/>
                <w:szCs w:val="21"/>
              </w:rPr>
              <w:t xml:space="preserve"> </w:t>
            </w:r>
            <w:r w:rsidRPr="00401C70">
              <w:rPr>
                <w:rFonts w:ascii="Abadi" w:hAnsi="Abadi" w:cs="Calibri"/>
                <w:sz w:val="21"/>
                <w:szCs w:val="21"/>
              </w:rPr>
              <w:t>municipales</w:t>
            </w:r>
            <w:r w:rsidRPr="00401C70">
              <w:rPr>
                <w:rFonts w:ascii="Abadi" w:hAnsi="Abadi" w:cs="Calibri"/>
                <w:spacing w:val="1"/>
                <w:sz w:val="21"/>
                <w:szCs w:val="21"/>
              </w:rPr>
              <w:t xml:space="preserve"> </w:t>
            </w:r>
            <w:r w:rsidRPr="00401C70">
              <w:rPr>
                <w:rFonts w:ascii="Abadi" w:hAnsi="Abadi" w:cs="Calibri"/>
                <w:sz w:val="21"/>
                <w:szCs w:val="21"/>
              </w:rPr>
              <w:t>durarán</w:t>
            </w:r>
            <w:r w:rsidRPr="00401C70">
              <w:rPr>
                <w:rFonts w:ascii="Abadi" w:hAnsi="Abadi" w:cs="Calibri"/>
                <w:spacing w:val="-4"/>
                <w:sz w:val="21"/>
                <w:szCs w:val="21"/>
              </w:rPr>
              <w:t xml:space="preserve"> </w:t>
            </w:r>
            <w:r w:rsidRPr="00401C70">
              <w:rPr>
                <w:rFonts w:ascii="Abadi" w:hAnsi="Abadi" w:cs="Calibri"/>
                <w:sz w:val="21"/>
                <w:szCs w:val="21"/>
              </w:rPr>
              <w:t>en</w:t>
            </w:r>
            <w:r w:rsidRPr="00401C70">
              <w:rPr>
                <w:rFonts w:ascii="Abadi" w:hAnsi="Abadi" w:cs="Calibri"/>
                <w:spacing w:val="-3"/>
                <w:sz w:val="21"/>
                <w:szCs w:val="21"/>
              </w:rPr>
              <w:t xml:space="preserve"> </w:t>
            </w:r>
            <w:r w:rsidRPr="00401C70">
              <w:rPr>
                <w:rFonts w:ascii="Abadi" w:hAnsi="Abadi" w:cs="Calibri"/>
                <w:sz w:val="21"/>
                <w:szCs w:val="21"/>
              </w:rPr>
              <w:t>su</w:t>
            </w:r>
            <w:r w:rsidRPr="00401C70">
              <w:rPr>
                <w:rFonts w:ascii="Abadi" w:hAnsi="Abadi" w:cs="Calibri"/>
                <w:spacing w:val="-4"/>
                <w:sz w:val="21"/>
                <w:szCs w:val="21"/>
              </w:rPr>
              <w:t xml:space="preserve"> </w:t>
            </w:r>
            <w:r w:rsidRPr="00401C70">
              <w:rPr>
                <w:rFonts w:ascii="Abadi" w:hAnsi="Abadi" w:cs="Calibri"/>
                <w:sz w:val="21"/>
                <w:szCs w:val="21"/>
              </w:rPr>
              <w:t>cargo</w:t>
            </w:r>
            <w:r w:rsidRPr="00401C70">
              <w:rPr>
                <w:rFonts w:ascii="Abadi" w:hAnsi="Abadi" w:cs="Calibri"/>
                <w:spacing w:val="-1"/>
                <w:sz w:val="21"/>
                <w:szCs w:val="21"/>
              </w:rPr>
              <w:t xml:space="preserve"> </w:t>
            </w:r>
            <w:r w:rsidRPr="00401C70">
              <w:rPr>
                <w:rFonts w:ascii="Abadi" w:hAnsi="Abadi" w:cs="Calibri"/>
                <w:sz w:val="21"/>
                <w:szCs w:val="21"/>
              </w:rPr>
              <w:t>tres</w:t>
            </w:r>
            <w:r w:rsidRPr="00401C70">
              <w:rPr>
                <w:rFonts w:ascii="Abadi" w:hAnsi="Abadi" w:cs="Calibri"/>
                <w:spacing w:val="-3"/>
                <w:sz w:val="21"/>
                <w:szCs w:val="21"/>
              </w:rPr>
              <w:t xml:space="preserve"> </w:t>
            </w:r>
            <w:r w:rsidRPr="00401C70">
              <w:rPr>
                <w:rFonts w:ascii="Abadi" w:hAnsi="Abadi" w:cs="Calibri"/>
                <w:sz w:val="21"/>
                <w:szCs w:val="21"/>
              </w:rPr>
              <w:t>años,</w:t>
            </w:r>
            <w:r w:rsidRPr="00401C70">
              <w:rPr>
                <w:rFonts w:ascii="Abadi" w:hAnsi="Abadi" w:cs="Calibri"/>
                <w:spacing w:val="-3"/>
                <w:sz w:val="21"/>
                <w:szCs w:val="21"/>
              </w:rPr>
              <w:t xml:space="preserve"> </w:t>
            </w:r>
            <w:r w:rsidRPr="00401C70">
              <w:rPr>
                <w:rFonts w:ascii="Abadi" w:hAnsi="Abadi" w:cs="Calibri"/>
                <w:sz w:val="21"/>
                <w:szCs w:val="21"/>
              </w:rPr>
              <w:t>salvo</w:t>
            </w:r>
            <w:r w:rsidRPr="00401C70">
              <w:rPr>
                <w:rFonts w:ascii="Abadi" w:hAnsi="Abadi" w:cs="Calibri"/>
                <w:spacing w:val="-2"/>
                <w:sz w:val="21"/>
                <w:szCs w:val="21"/>
              </w:rPr>
              <w:t xml:space="preserve"> </w:t>
            </w:r>
            <w:r w:rsidRPr="00401C70">
              <w:rPr>
                <w:rFonts w:ascii="Abadi" w:hAnsi="Abadi" w:cs="Calibri"/>
                <w:sz w:val="21"/>
                <w:szCs w:val="21"/>
              </w:rPr>
              <w:t>renuncia</w:t>
            </w:r>
            <w:r w:rsidRPr="00401C70">
              <w:rPr>
                <w:rFonts w:ascii="Abadi" w:hAnsi="Abadi" w:cs="Calibri"/>
                <w:spacing w:val="-2"/>
                <w:sz w:val="21"/>
                <w:szCs w:val="21"/>
              </w:rPr>
              <w:t xml:space="preserve"> </w:t>
            </w:r>
            <w:r w:rsidRPr="00401C70">
              <w:rPr>
                <w:rFonts w:ascii="Abadi" w:hAnsi="Abadi" w:cs="Calibri"/>
                <w:sz w:val="21"/>
                <w:szCs w:val="21"/>
              </w:rPr>
              <w:t>o</w:t>
            </w:r>
            <w:r w:rsidRPr="00401C70">
              <w:rPr>
                <w:rFonts w:ascii="Abadi" w:hAnsi="Abadi" w:cs="Calibri"/>
                <w:spacing w:val="-48"/>
                <w:sz w:val="21"/>
                <w:szCs w:val="21"/>
              </w:rPr>
              <w:t xml:space="preserve"> </w:t>
            </w:r>
            <w:r w:rsidRPr="00401C70">
              <w:rPr>
                <w:rFonts w:ascii="Abadi" w:hAnsi="Abadi" w:cs="Calibri"/>
                <w:sz w:val="21"/>
                <w:szCs w:val="21"/>
              </w:rPr>
              <w:t>destitución</w:t>
            </w:r>
          </w:p>
          <w:p w14:paraId="3798DD31" w14:textId="77777777" w:rsidR="00CA517B" w:rsidRDefault="00CA517B" w:rsidP="00FA2590">
            <w:pPr>
              <w:kinsoku w:val="0"/>
              <w:overflowPunct w:val="0"/>
              <w:autoSpaceDE w:val="0"/>
              <w:autoSpaceDN w:val="0"/>
              <w:adjustRightInd w:val="0"/>
              <w:ind w:left="107" w:right="95"/>
              <w:jc w:val="both"/>
              <w:rPr>
                <w:rFonts w:ascii="Abadi" w:hAnsi="Abadi" w:cs="Calibri"/>
                <w:sz w:val="21"/>
                <w:szCs w:val="21"/>
              </w:rPr>
            </w:pPr>
          </w:p>
          <w:p w14:paraId="70F8B883" w14:textId="6BC26166" w:rsidR="00CA517B" w:rsidRDefault="00CA517B" w:rsidP="00FA2590">
            <w:pPr>
              <w:kinsoku w:val="0"/>
              <w:overflowPunct w:val="0"/>
              <w:autoSpaceDE w:val="0"/>
              <w:autoSpaceDN w:val="0"/>
              <w:adjustRightInd w:val="0"/>
              <w:ind w:left="107" w:right="95"/>
              <w:jc w:val="both"/>
              <w:rPr>
                <w:rFonts w:ascii="Abadi" w:hAnsi="Abadi" w:cs="Calibri"/>
                <w:sz w:val="21"/>
                <w:szCs w:val="21"/>
              </w:rPr>
            </w:pPr>
            <w:r>
              <w:rPr>
                <w:rFonts w:ascii="Abadi" w:hAnsi="Abadi" w:cs="Calibri"/>
                <w:sz w:val="21"/>
                <w:szCs w:val="21"/>
              </w:rPr>
              <w:t>Derogada</w:t>
            </w:r>
          </w:p>
          <w:p w14:paraId="1B1F770D" w14:textId="77777777" w:rsidR="00CA517B" w:rsidRDefault="00CA517B" w:rsidP="00FA2590">
            <w:pPr>
              <w:kinsoku w:val="0"/>
              <w:overflowPunct w:val="0"/>
              <w:autoSpaceDE w:val="0"/>
              <w:autoSpaceDN w:val="0"/>
              <w:adjustRightInd w:val="0"/>
              <w:ind w:left="107" w:right="95"/>
              <w:jc w:val="both"/>
              <w:rPr>
                <w:rFonts w:ascii="Abadi" w:hAnsi="Abadi" w:cs="Calibri"/>
                <w:sz w:val="21"/>
                <w:szCs w:val="21"/>
              </w:rPr>
            </w:pPr>
          </w:p>
          <w:p w14:paraId="4CD18651" w14:textId="79388895" w:rsidR="00677B7E" w:rsidRPr="00401C70" w:rsidRDefault="00CA517B" w:rsidP="00CA517B">
            <w:pPr>
              <w:kinsoku w:val="0"/>
              <w:overflowPunct w:val="0"/>
              <w:autoSpaceDE w:val="0"/>
              <w:autoSpaceDN w:val="0"/>
              <w:adjustRightInd w:val="0"/>
              <w:ind w:left="107" w:right="95"/>
              <w:jc w:val="both"/>
              <w:rPr>
                <w:rFonts w:ascii="Abadi" w:hAnsi="Abadi" w:cs="Calibri"/>
                <w:sz w:val="21"/>
                <w:szCs w:val="21"/>
              </w:rPr>
            </w:pPr>
            <w:r>
              <w:rPr>
                <w:rFonts w:ascii="Abadi" w:hAnsi="Abadi" w:cs="Calibri"/>
                <w:sz w:val="21"/>
                <w:szCs w:val="21"/>
              </w:rPr>
              <w:t>De</w:t>
            </w:r>
            <w:r w:rsidR="00BB0460">
              <w:rPr>
                <w:rFonts w:ascii="Abadi" w:hAnsi="Abadi" w:cs="Calibri"/>
                <w:sz w:val="21"/>
                <w:szCs w:val="21"/>
              </w:rPr>
              <w:t>r</w:t>
            </w:r>
            <w:r>
              <w:rPr>
                <w:rFonts w:ascii="Abadi" w:hAnsi="Abadi" w:cs="Calibri"/>
                <w:sz w:val="21"/>
                <w:szCs w:val="21"/>
              </w:rPr>
              <w:t>ogada</w:t>
            </w:r>
          </w:p>
        </w:tc>
        <w:tc>
          <w:tcPr>
            <w:tcW w:w="2413" w:type="pct"/>
            <w:tcBorders>
              <w:top w:val="single" w:sz="4" w:space="0" w:color="000000"/>
              <w:left w:val="single" w:sz="4" w:space="0" w:color="000000"/>
              <w:bottom w:val="single" w:sz="4" w:space="0" w:color="000000"/>
              <w:right w:val="single" w:sz="4" w:space="0" w:color="000000"/>
            </w:tcBorders>
          </w:tcPr>
          <w:p w14:paraId="1D1AAE31" w14:textId="77777777" w:rsidR="00677B7E" w:rsidRPr="00401C70" w:rsidRDefault="00677B7E" w:rsidP="00FA2590">
            <w:pPr>
              <w:kinsoku w:val="0"/>
              <w:overflowPunct w:val="0"/>
              <w:autoSpaceDE w:val="0"/>
              <w:autoSpaceDN w:val="0"/>
              <w:adjustRightInd w:val="0"/>
              <w:spacing w:before="3"/>
              <w:jc w:val="both"/>
              <w:rPr>
                <w:rFonts w:ascii="Abadi" w:hAnsi="Abadi"/>
                <w:sz w:val="21"/>
                <w:szCs w:val="21"/>
              </w:rPr>
            </w:pPr>
          </w:p>
          <w:p w14:paraId="23993C55" w14:textId="77777777" w:rsidR="00677B7E" w:rsidRPr="00401C70" w:rsidRDefault="00677B7E" w:rsidP="00FF7768">
            <w:pPr>
              <w:kinsoku w:val="0"/>
              <w:overflowPunct w:val="0"/>
              <w:autoSpaceDE w:val="0"/>
              <w:autoSpaceDN w:val="0"/>
              <w:adjustRightInd w:val="0"/>
              <w:ind w:left="135"/>
              <w:jc w:val="both"/>
              <w:rPr>
                <w:rFonts w:ascii="Abadi" w:hAnsi="Abadi" w:cs="Calibri"/>
                <w:b/>
                <w:bCs/>
                <w:i/>
                <w:iCs/>
                <w:sz w:val="21"/>
                <w:szCs w:val="21"/>
              </w:rPr>
            </w:pPr>
            <w:r w:rsidRPr="00401C70">
              <w:rPr>
                <w:rFonts w:ascii="Abadi" w:hAnsi="Abadi" w:cs="Calibri"/>
                <w:b/>
                <w:bCs/>
                <w:i/>
                <w:iCs/>
                <w:sz w:val="21"/>
                <w:szCs w:val="21"/>
              </w:rPr>
              <w:t>Personas</w:t>
            </w:r>
            <w:r w:rsidRPr="00401C70">
              <w:rPr>
                <w:rFonts w:ascii="Abadi" w:hAnsi="Abadi" w:cs="Calibri"/>
                <w:b/>
                <w:bCs/>
                <w:i/>
                <w:iCs/>
                <w:spacing w:val="-4"/>
                <w:sz w:val="21"/>
                <w:szCs w:val="21"/>
              </w:rPr>
              <w:t xml:space="preserve"> </w:t>
            </w:r>
            <w:r w:rsidRPr="00401C70">
              <w:rPr>
                <w:rFonts w:ascii="Abadi" w:hAnsi="Abadi" w:cs="Calibri"/>
                <w:b/>
                <w:bCs/>
                <w:i/>
                <w:iCs/>
                <w:sz w:val="21"/>
                <w:szCs w:val="21"/>
              </w:rPr>
              <w:t>Delegadas</w:t>
            </w:r>
            <w:r w:rsidRPr="00401C70">
              <w:rPr>
                <w:rFonts w:ascii="Abadi" w:hAnsi="Abadi" w:cs="Calibri"/>
                <w:b/>
                <w:bCs/>
                <w:i/>
                <w:iCs/>
                <w:spacing w:val="-3"/>
                <w:sz w:val="21"/>
                <w:szCs w:val="21"/>
              </w:rPr>
              <w:t xml:space="preserve"> </w:t>
            </w:r>
            <w:r w:rsidRPr="00401C70">
              <w:rPr>
                <w:rFonts w:ascii="Abadi" w:hAnsi="Abadi" w:cs="Calibri"/>
                <w:b/>
                <w:bCs/>
                <w:i/>
                <w:iCs/>
                <w:sz w:val="21"/>
                <w:szCs w:val="21"/>
              </w:rPr>
              <w:t>y</w:t>
            </w:r>
            <w:r w:rsidRPr="00401C70">
              <w:rPr>
                <w:rFonts w:ascii="Abadi" w:hAnsi="Abadi" w:cs="Calibri"/>
                <w:b/>
                <w:bCs/>
                <w:i/>
                <w:iCs/>
                <w:spacing w:val="-4"/>
                <w:sz w:val="21"/>
                <w:szCs w:val="21"/>
              </w:rPr>
              <w:t xml:space="preserve"> </w:t>
            </w:r>
            <w:r w:rsidRPr="00401C70">
              <w:rPr>
                <w:rFonts w:ascii="Abadi" w:hAnsi="Abadi" w:cs="Calibri"/>
                <w:b/>
                <w:bCs/>
                <w:i/>
                <w:iCs/>
                <w:sz w:val="21"/>
                <w:szCs w:val="21"/>
              </w:rPr>
              <w:t>subdelegadas</w:t>
            </w:r>
          </w:p>
          <w:p w14:paraId="1E608EEC" w14:textId="77777777" w:rsidR="00FF7768" w:rsidRDefault="00677B7E" w:rsidP="00FA2590">
            <w:pPr>
              <w:kinsoku w:val="0"/>
              <w:overflowPunct w:val="0"/>
              <w:autoSpaceDE w:val="0"/>
              <w:autoSpaceDN w:val="0"/>
              <w:adjustRightInd w:val="0"/>
              <w:ind w:left="107" w:right="91" w:firstLine="3109"/>
              <w:jc w:val="both"/>
              <w:rPr>
                <w:rFonts w:ascii="Abadi" w:hAnsi="Abadi" w:cs="Calibri"/>
                <w:b/>
                <w:bCs/>
                <w:spacing w:val="1"/>
                <w:sz w:val="21"/>
                <w:szCs w:val="21"/>
              </w:rPr>
            </w:pPr>
            <w:r w:rsidRPr="00401C70">
              <w:rPr>
                <w:rFonts w:ascii="Abadi" w:hAnsi="Abadi" w:cs="Calibri"/>
                <w:b/>
                <w:bCs/>
                <w:i/>
                <w:iCs/>
                <w:sz w:val="21"/>
                <w:szCs w:val="21"/>
              </w:rPr>
              <w:t>municipales</w:t>
            </w:r>
            <w:r w:rsidRPr="00401C70">
              <w:rPr>
                <w:rFonts w:ascii="Abadi" w:hAnsi="Abadi" w:cs="Calibri"/>
                <w:b/>
                <w:bCs/>
                <w:i/>
                <w:iCs/>
                <w:spacing w:val="-48"/>
                <w:sz w:val="21"/>
                <w:szCs w:val="21"/>
              </w:rPr>
              <w:t xml:space="preserve"> </w:t>
            </w:r>
            <w:r w:rsidRPr="00401C70">
              <w:rPr>
                <w:rFonts w:ascii="Abadi" w:hAnsi="Abadi" w:cs="Calibri"/>
                <w:b/>
                <w:bCs/>
                <w:sz w:val="21"/>
                <w:szCs w:val="21"/>
              </w:rPr>
              <w:t>Artículo</w:t>
            </w:r>
            <w:r w:rsidRPr="00401C70">
              <w:rPr>
                <w:rFonts w:ascii="Abadi" w:hAnsi="Abadi" w:cs="Calibri"/>
                <w:b/>
                <w:bCs/>
                <w:spacing w:val="1"/>
                <w:sz w:val="21"/>
                <w:szCs w:val="21"/>
              </w:rPr>
              <w:t xml:space="preserve"> </w:t>
            </w:r>
          </w:p>
          <w:p w14:paraId="3562B583" w14:textId="77777777" w:rsidR="00FF7768" w:rsidRDefault="00FF7768" w:rsidP="00FA2590">
            <w:pPr>
              <w:kinsoku w:val="0"/>
              <w:overflowPunct w:val="0"/>
              <w:autoSpaceDE w:val="0"/>
              <w:autoSpaceDN w:val="0"/>
              <w:adjustRightInd w:val="0"/>
              <w:ind w:left="107" w:right="91" w:firstLine="3109"/>
              <w:jc w:val="both"/>
              <w:rPr>
                <w:rFonts w:ascii="Abadi" w:hAnsi="Abadi" w:cs="Calibri"/>
                <w:b/>
                <w:bCs/>
                <w:sz w:val="21"/>
                <w:szCs w:val="21"/>
              </w:rPr>
            </w:pPr>
          </w:p>
          <w:p w14:paraId="48AC5B00" w14:textId="7957B90A" w:rsidR="00677B7E" w:rsidRPr="00401C70" w:rsidRDefault="00677B7E" w:rsidP="00FA2590">
            <w:pPr>
              <w:kinsoku w:val="0"/>
              <w:overflowPunct w:val="0"/>
              <w:autoSpaceDE w:val="0"/>
              <w:autoSpaceDN w:val="0"/>
              <w:adjustRightInd w:val="0"/>
              <w:ind w:left="107" w:right="91" w:firstLine="3109"/>
              <w:jc w:val="both"/>
              <w:rPr>
                <w:rFonts w:ascii="Abadi" w:hAnsi="Abadi" w:cs="Calibri"/>
                <w:sz w:val="21"/>
                <w:szCs w:val="21"/>
              </w:rPr>
            </w:pPr>
            <w:r w:rsidRPr="00401C70">
              <w:rPr>
                <w:rFonts w:ascii="Abadi" w:hAnsi="Abadi" w:cs="Calibri"/>
                <w:b/>
                <w:bCs/>
                <w:sz w:val="21"/>
                <w:szCs w:val="21"/>
              </w:rPr>
              <w:t>141.</w:t>
            </w:r>
            <w:r w:rsidRPr="00401C70">
              <w:rPr>
                <w:rFonts w:ascii="Abadi" w:hAnsi="Abadi" w:cs="Calibri"/>
                <w:b/>
                <w:bCs/>
                <w:spacing w:val="1"/>
                <w:sz w:val="21"/>
                <w:szCs w:val="21"/>
              </w:rPr>
              <w:t xml:space="preserve"> </w:t>
            </w:r>
            <w:r w:rsidRPr="00401C70">
              <w:rPr>
                <w:rFonts w:ascii="Abadi" w:hAnsi="Abadi" w:cs="Calibri"/>
                <w:b/>
                <w:bCs/>
                <w:i/>
                <w:iCs/>
                <w:sz w:val="21"/>
                <w:szCs w:val="21"/>
              </w:rPr>
              <w:t>Las</w:t>
            </w:r>
            <w:r w:rsidRPr="00401C70">
              <w:rPr>
                <w:rFonts w:ascii="Abadi" w:hAnsi="Abadi" w:cs="Calibri"/>
                <w:b/>
                <w:bCs/>
                <w:i/>
                <w:iCs/>
                <w:spacing w:val="1"/>
                <w:sz w:val="21"/>
                <w:szCs w:val="21"/>
              </w:rPr>
              <w:t xml:space="preserve"> </w:t>
            </w:r>
            <w:r w:rsidRPr="00401C70">
              <w:rPr>
                <w:rFonts w:ascii="Abadi" w:hAnsi="Abadi" w:cs="Calibri"/>
                <w:b/>
                <w:bCs/>
                <w:i/>
                <w:iCs/>
                <w:sz w:val="21"/>
                <w:szCs w:val="21"/>
              </w:rPr>
              <w:t>personas</w:t>
            </w:r>
            <w:r w:rsidRPr="00401C70">
              <w:rPr>
                <w:rFonts w:ascii="Abadi" w:hAnsi="Abadi" w:cs="Calibri"/>
                <w:b/>
                <w:bCs/>
                <w:i/>
                <w:iCs/>
                <w:spacing w:val="1"/>
                <w:sz w:val="21"/>
                <w:szCs w:val="21"/>
              </w:rPr>
              <w:t xml:space="preserve"> </w:t>
            </w:r>
            <w:r w:rsidRPr="00401C70">
              <w:rPr>
                <w:rFonts w:ascii="Abadi" w:hAnsi="Abadi" w:cs="Calibri"/>
                <w:b/>
                <w:bCs/>
                <w:i/>
                <w:iCs/>
                <w:sz w:val="21"/>
                <w:szCs w:val="21"/>
              </w:rPr>
              <w:t>delegadas</w:t>
            </w:r>
            <w:r w:rsidRPr="00401C70">
              <w:rPr>
                <w:rFonts w:ascii="Abadi" w:hAnsi="Abadi" w:cs="Calibri"/>
                <w:b/>
                <w:bCs/>
                <w:i/>
                <w:iCs/>
                <w:spacing w:val="1"/>
                <w:sz w:val="21"/>
                <w:szCs w:val="21"/>
              </w:rPr>
              <w:t xml:space="preserve"> </w:t>
            </w:r>
            <w:r w:rsidRPr="00401C70">
              <w:rPr>
                <w:rFonts w:ascii="Abadi" w:hAnsi="Abadi" w:cs="Calibri"/>
                <w:b/>
                <w:bCs/>
                <w:i/>
                <w:iCs/>
                <w:sz w:val="21"/>
                <w:szCs w:val="21"/>
              </w:rPr>
              <w:t>y</w:t>
            </w:r>
            <w:r w:rsidRPr="00401C70">
              <w:rPr>
                <w:rFonts w:ascii="Abadi" w:hAnsi="Abadi" w:cs="Calibri"/>
                <w:b/>
                <w:bCs/>
                <w:i/>
                <w:iCs/>
                <w:spacing w:val="1"/>
                <w:sz w:val="21"/>
                <w:szCs w:val="21"/>
              </w:rPr>
              <w:t xml:space="preserve"> </w:t>
            </w:r>
            <w:r w:rsidRPr="00401C70">
              <w:rPr>
                <w:rFonts w:ascii="Abadi" w:hAnsi="Abadi" w:cs="Calibri"/>
                <w:b/>
                <w:bCs/>
                <w:i/>
                <w:iCs/>
                <w:sz w:val="21"/>
                <w:szCs w:val="21"/>
              </w:rPr>
              <w:t>subdelegadas</w:t>
            </w:r>
            <w:r w:rsidRPr="00401C70">
              <w:rPr>
                <w:rFonts w:ascii="Abadi" w:hAnsi="Abadi" w:cs="Calibri"/>
                <w:b/>
                <w:bCs/>
                <w:i/>
                <w:iCs/>
                <w:spacing w:val="1"/>
                <w:sz w:val="21"/>
                <w:szCs w:val="21"/>
              </w:rPr>
              <w:t xml:space="preserve"> </w:t>
            </w:r>
            <w:r w:rsidRPr="00401C70">
              <w:rPr>
                <w:rFonts w:ascii="Abadi" w:hAnsi="Abadi" w:cs="Calibri"/>
                <w:sz w:val="21"/>
                <w:szCs w:val="21"/>
              </w:rPr>
              <w:t>municipales</w:t>
            </w:r>
            <w:r w:rsidRPr="00401C70">
              <w:rPr>
                <w:rFonts w:ascii="Abadi" w:hAnsi="Abadi" w:cs="Calibri"/>
                <w:spacing w:val="1"/>
                <w:sz w:val="21"/>
                <w:szCs w:val="21"/>
              </w:rPr>
              <w:t xml:space="preserve"> </w:t>
            </w:r>
            <w:r w:rsidRPr="00401C70">
              <w:rPr>
                <w:rFonts w:ascii="Abadi" w:hAnsi="Abadi" w:cs="Calibri"/>
                <w:sz w:val="21"/>
                <w:szCs w:val="21"/>
              </w:rPr>
              <w:t>son</w:t>
            </w:r>
            <w:r w:rsidRPr="00401C70">
              <w:rPr>
                <w:rFonts w:ascii="Abadi" w:hAnsi="Abadi" w:cs="Calibri"/>
                <w:spacing w:val="1"/>
                <w:sz w:val="21"/>
                <w:szCs w:val="21"/>
              </w:rPr>
              <w:t xml:space="preserve"> </w:t>
            </w:r>
            <w:r w:rsidRPr="00401C70">
              <w:rPr>
                <w:rFonts w:ascii="Abadi" w:hAnsi="Abadi" w:cs="Calibri"/>
                <w:sz w:val="21"/>
                <w:szCs w:val="21"/>
              </w:rPr>
              <w:t>autoridades</w:t>
            </w:r>
            <w:r w:rsidRPr="00401C70">
              <w:rPr>
                <w:rFonts w:ascii="Abadi" w:hAnsi="Abadi" w:cs="Calibri"/>
                <w:spacing w:val="-47"/>
                <w:sz w:val="21"/>
                <w:szCs w:val="21"/>
              </w:rPr>
              <w:t xml:space="preserve"> </w:t>
            </w:r>
            <w:r w:rsidRPr="00401C70">
              <w:rPr>
                <w:rFonts w:ascii="Abadi" w:hAnsi="Abadi" w:cs="Calibri"/>
                <w:sz w:val="21"/>
                <w:szCs w:val="21"/>
              </w:rPr>
              <w:t>auxiliares del Ayuntamiento y del Presidente</w:t>
            </w:r>
            <w:r w:rsidRPr="00401C70">
              <w:rPr>
                <w:rFonts w:ascii="Abadi" w:hAnsi="Abadi" w:cs="Calibri"/>
                <w:spacing w:val="1"/>
                <w:sz w:val="21"/>
                <w:szCs w:val="21"/>
              </w:rPr>
              <w:t xml:space="preserve"> </w:t>
            </w:r>
            <w:r w:rsidRPr="00401C70">
              <w:rPr>
                <w:rFonts w:ascii="Abadi" w:hAnsi="Abadi" w:cs="Calibri"/>
                <w:sz w:val="21"/>
                <w:szCs w:val="21"/>
              </w:rPr>
              <w:t>Municipal,</w:t>
            </w:r>
            <w:r w:rsidRPr="00401C70">
              <w:rPr>
                <w:rFonts w:ascii="Abadi" w:hAnsi="Abadi" w:cs="Calibri"/>
                <w:spacing w:val="1"/>
                <w:sz w:val="21"/>
                <w:szCs w:val="21"/>
              </w:rPr>
              <w:t xml:space="preserve"> </w:t>
            </w:r>
            <w:r w:rsidRPr="00401C70">
              <w:rPr>
                <w:rFonts w:ascii="Abadi" w:hAnsi="Abadi" w:cs="Calibri"/>
                <w:sz w:val="21"/>
                <w:szCs w:val="21"/>
              </w:rPr>
              <w:t>en</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demarcación</w:t>
            </w:r>
            <w:r w:rsidRPr="00401C70">
              <w:rPr>
                <w:rFonts w:ascii="Abadi" w:hAnsi="Abadi" w:cs="Calibri"/>
                <w:spacing w:val="1"/>
                <w:sz w:val="21"/>
                <w:szCs w:val="21"/>
              </w:rPr>
              <w:t xml:space="preserve"> </w:t>
            </w:r>
            <w:r w:rsidRPr="00401C70">
              <w:rPr>
                <w:rFonts w:ascii="Abadi" w:hAnsi="Abadi" w:cs="Calibri"/>
                <w:sz w:val="21"/>
                <w:szCs w:val="21"/>
              </w:rPr>
              <w:t>territorial</w:t>
            </w:r>
            <w:r w:rsidRPr="00401C70">
              <w:rPr>
                <w:rFonts w:ascii="Abadi" w:hAnsi="Abadi" w:cs="Calibri"/>
                <w:spacing w:val="1"/>
                <w:sz w:val="21"/>
                <w:szCs w:val="21"/>
              </w:rPr>
              <w:t xml:space="preserve"> </w:t>
            </w:r>
            <w:r w:rsidRPr="00401C70">
              <w:rPr>
                <w:rFonts w:ascii="Abadi" w:hAnsi="Abadi" w:cs="Calibri"/>
                <w:sz w:val="21"/>
                <w:szCs w:val="21"/>
              </w:rPr>
              <w:t xml:space="preserve">asignada a la delegación. Serán </w:t>
            </w:r>
            <w:r w:rsidRPr="00401C70">
              <w:rPr>
                <w:rFonts w:ascii="Abadi" w:hAnsi="Abadi" w:cs="Calibri"/>
                <w:b/>
                <w:bCs/>
                <w:i/>
                <w:iCs/>
                <w:sz w:val="21"/>
                <w:szCs w:val="21"/>
              </w:rPr>
              <w:t xml:space="preserve">nombradas </w:t>
            </w:r>
            <w:r w:rsidRPr="00401C70">
              <w:rPr>
                <w:rFonts w:ascii="Abadi" w:hAnsi="Abadi" w:cs="Calibri"/>
                <w:sz w:val="21"/>
                <w:szCs w:val="21"/>
              </w:rPr>
              <w:t>o</w:t>
            </w:r>
            <w:r w:rsidRPr="00401C70">
              <w:rPr>
                <w:rFonts w:ascii="Abadi" w:hAnsi="Abadi" w:cs="Calibri"/>
                <w:spacing w:val="1"/>
                <w:sz w:val="21"/>
                <w:szCs w:val="21"/>
              </w:rPr>
              <w:t xml:space="preserve"> </w:t>
            </w:r>
            <w:r w:rsidRPr="00401C70">
              <w:rPr>
                <w:rFonts w:ascii="Abadi" w:hAnsi="Abadi" w:cs="Calibri"/>
                <w:b/>
                <w:bCs/>
                <w:i/>
                <w:iCs/>
                <w:sz w:val="21"/>
                <w:szCs w:val="21"/>
              </w:rPr>
              <w:t xml:space="preserve">ratificadas </w:t>
            </w:r>
            <w:r w:rsidRPr="00401C70">
              <w:rPr>
                <w:rFonts w:ascii="Abadi" w:hAnsi="Abadi" w:cs="Calibri"/>
                <w:sz w:val="21"/>
                <w:szCs w:val="21"/>
              </w:rPr>
              <w:t>por el Ayuntamiento a propuesta</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presidente</w:t>
            </w:r>
            <w:r w:rsidRPr="00401C70">
              <w:rPr>
                <w:rFonts w:ascii="Abadi" w:hAnsi="Abadi" w:cs="Calibri"/>
                <w:spacing w:val="1"/>
                <w:sz w:val="21"/>
                <w:szCs w:val="21"/>
              </w:rPr>
              <w:t xml:space="preserve"> </w:t>
            </w:r>
            <w:r w:rsidRPr="00401C70">
              <w:rPr>
                <w:rFonts w:ascii="Abadi" w:hAnsi="Abadi" w:cs="Calibri"/>
                <w:sz w:val="21"/>
                <w:szCs w:val="21"/>
              </w:rPr>
              <w:t>municipal</w:t>
            </w:r>
            <w:r w:rsidRPr="00401C70">
              <w:rPr>
                <w:rFonts w:ascii="Abadi" w:hAnsi="Abadi" w:cs="Calibri"/>
                <w:spacing w:val="1"/>
                <w:sz w:val="21"/>
                <w:szCs w:val="21"/>
              </w:rPr>
              <w:t xml:space="preserve"> </w:t>
            </w:r>
            <w:r w:rsidRPr="00401C70">
              <w:rPr>
                <w:rFonts w:ascii="Abadi" w:hAnsi="Abadi" w:cs="Calibri"/>
                <w:sz w:val="21"/>
                <w:szCs w:val="21"/>
              </w:rPr>
              <w:t>dentro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seis</w:t>
            </w:r>
            <w:r w:rsidRPr="00401C70">
              <w:rPr>
                <w:rFonts w:ascii="Abadi" w:hAnsi="Abadi" w:cs="Calibri"/>
                <w:spacing w:val="1"/>
                <w:sz w:val="21"/>
                <w:szCs w:val="21"/>
              </w:rPr>
              <w:t xml:space="preserve"> </w:t>
            </w:r>
            <w:r w:rsidRPr="00401C70">
              <w:rPr>
                <w:rFonts w:ascii="Abadi" w:hAnsi="Abadi" w:cs="Calibri"/>
                <w:sz w:val="21"/>
                <w:szCs w:val="21"/>
              </w:rPr>
              <w:t>meses</w:t>
            </w:r>
            <w:r w:rsidRPr="00401C70">
              <w:rPr>
                <w:rFonts w:ascii="Abadi" w:hAnsi="Abadi" w:cs="Calibri"/>
                <w:spacing w:val="1"/>
                <w:sz w:val="21"/>
                <w:szCs w:val="21"/>
              </w:rPr>
              <w:t xml:space="preserve"> </w:t>
            </w:r>
            <w:r w:rsidRPr="00401C70">
              <w:rPr>
                <w:rFonts w:ascii="Abadi" w:hAnsi="Abadi" w:cs="Calibri"/>
                <w:sz w:val="21"/>
                <w:szCs w:val="21"/>
              </w:rPr>
              <w:t>siguientes</w:t>
            </w:r>
            <w:r w:rsidRPr="00401C70">
              <w:rPr>
                <w:rFonts w:ascii="Abadi" w:hAnsi="Abadi" w:cs="Calibri"/>
                <w:spacing w:val="1"/>
                <w:sz w:val="21"/>
                <w:szCs w:val="21"/>
              </w:rPr>
              <w:t xml:space="preserve"> </w:t>
            </w:r>
            <w:r w:rsidRPr="00401C70">
              <w:rPr>
                <w:rFonts w:ascii="Abadi" w:hAnsi="Abadi" w:cs="Calibri"/>
                <w:sz w:val="21"/>
                <w:szCs w:val="21"/>
              </w:rPr>
              <w:t>a</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instalación</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Ayuntamiento.</w:t>
            </w:r>
          </w:p>
          <w:p w14:paraId="172BEBD7" w14:textId="77777777" w:rsidR="00677B7E" w:rsidRPr="00401C70" w:rsidRDefault="00677B7E" w:rsidP="00FA2590">
            <w:pPr>
              <w:kinsoku w:val="0"/>
              <w:overflowPunct w:val="0"/>
              <w:autoSpaceDE w:val="0"/>
              <w:autoSpaceDN w:val="0"/>
              <w:adjustRightInd w:val="0"/>
              <w:spacing w:before="5"/>
              <w:jc w:val="both"/>
              <w:rPr>
                <w:rFonts w:ascii="Abadi" w:hAnsi="Abadi"/>
                <w:sz w:val="21"/>
                <w:szCs w:val="21"/>
              </w:rPr>
            </w:pPr>
          </w:p>
          <w:p w14:paraId="0B034C9C" w14:textId="77777777" w:rsidR="00677B7E" w:rsidRPr="00401C70" w:rsidRDefault="00677B7E" w:rsidP="00FA2590">
            <w:pPr>
              <w:kinsoku w:val="0"/>
              <w:overflowPunct w:val="0"/>
              <w:autoSpaceDE w:val="0"/>
              <w:autoSpaceDN w:val="0"/>
              <w:adjustRightInd w:val="0"/>
              <w:ind w:left="107" w:right="90"/>
              <w:jc w:val="both"/>
              <w:rPr>
                <w:rFonts w:ascii="Abadi" w:hAnsi="Abadi" w:cs="Calibri"/>
                <w:sz w:val="21"/>
                <w:szCs w:val="21"/>
              </w:rPr>
            </w:pPr>
            <w:r w:rsidRPr="00401C70">
              <w:rPr>
                <w:rFonts w:ascii="Abadi" w:hAnsi="Abadi" w:cs="Calibri"/>
                <w:sz w:val="21"/>
                <w:szCs w:val="21"/>
              </w:rPr>
              <w:t xml:space="preserve">Para el nombramiento o la ratificación de </w:t>
            </w:r>
            <w:r w:rsidRPr="00401C70">
              <w:rPr>
                <w:rFonts w:ascii="Abadi" w:hAnsi="Abadi" w:cs="Calibri"/>
                <w:b/>
                <w:bCs/>
                <w:i/>
                <w:iCs/>
                <w:sz w:val="21"/>
                <w:szCs w:val="21"/>
              </w:rPr>
              <w:t>las</w:t>
            </w:r>
            <w:r w:rsidRPr="00401C70">
              <w:rPr>
                <w:rFonts w:ascii="Abadi" w:hAnsi="Abadi" w:cs="Calibri"/>
                <w:b/>
                <w:bCs/>
                <w:i/>
                <w:iCs/>
                <w:spacing w:val="1"/>
                <w:sz w:val="21"/>
                <w:szCs w:val="21"/>
              </w:rPr>
              <w:t xml:space="preserve"> </w:t>
            </w:r>
            <w:r w:rsidRPr="00401C70">
              <w:rPr>
                <w:rFonts w:ascii="Abadi" w:hAnsi="Abadi" w:cs="Calibri"/>
                <w:b/>
                <w:bCs/>
                <w:i/>
                <w:iCs/>
                <w:sz w:val="21"/>
                <w:szCs w:val="21"/>
              </w:rPr>
              <w:t>personas</w:t>
            </w:r>
            <w:r w:rsidRPr="00401C70">
              <w:rPr>
                <w:rFonts w:ascii="Abadi" w:hAnsi="Abadi" w:cs="Calibri"/>
                <w:b/>
                <w:bCs/>
                <w:i/>
                <w:iCs/>
                <w:spacing w:val="1"/>
                <w:sz w:val="21"/>
                <w:szCs w:val="21"/>
              </w:rPr>
              <w:t xml:space="preserve"> </w:t>
            </w:r>
            <w:r w:rsidRPr="00401C70">
              <w:rPr>
                <w:rFonts w:ascii="Abadi" w:hAnsi="Abadi" w:cs="Calibri"/>
                <w:b/>
                <w:bCs/>
                <w:i/>
                <w:iCs/>
                <w:sz w:val="21"/>
                <w:szCs w:val="21"/>
              </w:rPr>
              <w:t>delegadas</w:t>
            </w:r>
            <w:r w:rsidRPr="00401C70">
              <w:rPr>
                <w:rFonts w:ascii="Abadi" w:hAnsi="Abadi" w:cs="Calibri"/>
                <w:b/>
                <w:bCs/>
                <w:i/>
                <w:iCs/>
                <w:spacing w:val="1"/>
                <w:sz w:val="21"/>
                <w:szCs w:val="21"/>
              </w:rPr>
              <w:t xml:space="preserve"> </w:t>
            </w:r>
            <w:r w:rsidRPr="00401C70">
              <w:rPr>
                <w:rFonts w:ascii="Abadi" w:hAnsi="Abadi" w:cs="Calibri"/>
                <w:b/>
                <w:bCs/>
                <w:i/>
                <w:iCs/>
                <w:sz w:val="21"/>
                <w:szCs w:val="21"/>
              </w:rPr>
              <w:t>y</w:t>
            </w:r>
            <w:r w:rsidRPr="00401C70">
              <w:rPr>
                <w:rFonts w:ascii="Abadi" w:hAnsi="Abadi" w:cs="Calibri"/>
                <w:b/>
                <w:bCs/>
                <w:i/>
                <w:iCs/>
                <w:spacing w:val="1"/>
                <w:sz w:val="21"/>
                <w:szCs w:val="21"/>
              </w:rPr>
              <w:t xml:space="preserve"> </w:t>
            </w:r>
            <w:r w:rsidRPr="00401C70">
              <w:rPr>
                <w:rFonts w:ascii="Abadi" w:hAnsi="Abadi" w:cs="Calibri"/>
                <w:b/>
                <w:bCs/>
                <w:i/>
                <w:iCs/>
                <w:sz w:val="21"/>
                <w:szCs w:val="21"/>
              </w:rPr>
              <w:t>subdelegadas</w:t>
            </w:r>
            <w:r w:rsidRPr="00401C70">
              <w:rPr>
                <w:rFonts w:ascii="Abadi" w:hAnsi="Abadi" w:cs="Calibri"/>
                <w:b/>
                <w:bCs/>
                <w:i/>
                <w:iCs/>
                <w:spacing w:val="-47"/>
                <w:sz w:val="21"/>
                <w:szCs w:val="21"/>
              </w:rPr>
              <w:t xml:space="preserve"> </w:t>
            </w:r>
            <w:r w:rsidRPr="00401C70">
              <w:rPr>
                <w:rFonts w:ascii="Abadi" w:hAnsi="Abadi" w:cs="Calibri"/>
                <w:sz w:val="21"/>
                <w:szCs w:val="21"/>
              </w:rPr>
              <w:t>municipales, se requerirá la mayoría absoluta</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Ayuntamiento</w:t>
            </w:r>
            <w:r w:rsidRPr="00401C70">
              <w:rPr>
                <w:rFonts w:ascii="Abadi" w:hAnsi="Abadi" w:cs="Calibri"/>
                <w:spacing w:val="1"/>
                <w:sz w:val="21"/>
                <w:szCs w:val="21"/>
              </w:rPr>
              <w:t xml:space="preserve"> </w:t>
            </w:r>
            <w:r w:rsidRPr="00401C70">
              <w:rPr>
                <w:rFonts w:ascii="Abadi" w:hAnsi="Abadi" w:cs="Calibri"/>
                <w:b/>
                <w:bCs/>
                <w:i/>
                <w:iCs/>
                <w:sz w:val="21"/>
                <w:szCs w:val="21"/>
              </w:rPr>
              <w:t>y</w:t>
            </w:r>
            <w:r w:rsidRPr="00401C70">
              <w:rPr>
                <w:rFonts w:ascii="Abadi" w:hAnsi="Abadi" w:cs="Calibri"/>
                <w:b/>
                <w:bCs/>
                <w:i/>
                <w:iCs/>
                <w:spacing w:val="1"/>
                <w:sz w:val="21"/>
                <w:szCs w:val="21"/>
              </w:rPr>
              <w:t xml:space="preserve"> </w:t>
            </w:r>
            <w:r w:rsidRPr="00401C70">
              <w:rPr>
                <w:rFonts w:ascii="Abadi" w:hAnsi="Abadi" w:cs="Calibri"/>
                <w:b/>
                <w:bCs/>
                <w:i/>
                <w:iCs/>
                <w:sz w:val="21"/>
                <w:szCs w:val="21"/>
              </w:rPr>
              <w:t>se</w:t>
            </w:r>
            <w:r w:rsidRPr="00401C70">
              <w:rPr>
                <w:rFonts w:ascii="Abadi" w:hAnsi="Abadi" w:cs="Calibri"/>
                <w:b/>
                <w:bCs/>
                <w:i/>
                <w:iCs/>
                <w:spacing w:val="1"/>
                <w:sz w:val="21"/>
                <w:szCs w:val="21"/>
              </w:rPr>
              <w:t xml:space="preserve"> </w:t>
            </w:r>
            <w:r w:rsidRPr="00401C70">
              <w:rPr>
                <w:rFonts w:ascii="Abadi" w:hAnsi="Abadi" w:cs="Calibri"/>
                <w:b/>
                <w:bCs/>
                <w:i/>
                <w:iCs/>
                <w:sz w:val="21"/>
                <w:szCs w:val="21"/>
              </w:rPr>
              <w:t>deberá</w:t>
            </w:r>
            <w:r w:rsidRPr="00401C70">
              <w:rPr>
                <w:rFonts w:ascii="Abadi" w:hAnsi="Abadi" w:cs="Calibri"/>
                <w:b/>
                <w:bCs/>
                <w:i/>
                <w:iCs/>
                <w:spacing w:val="1"/>
                <w:sz w:val="21"/>
                <w:szCs w:val="21"/>
              </w:rPr>
              <w:t xml:space="preserve"> </w:t>
            </w:r>
            <w:r w:rsidRPr="00401C70">
              <w:rPr>
                <w:rFonts w:ascii="Abadi" w:hAnsi="Abadi" w:cs="Calibri"/>
                <w:b/>
                <w:bCs/>
                <w:i/>
                <w:iCs/>
                <w:sz w:val="21"/>
                <w:szCs w:val="21"/>
              </w:rPr>
              <w:t>observar</w:t>
            </w:r>
            <w:r w:rsidRPr="00401C70">
              <w:rPr>
                <w:rFonts w:ascii="Abadi" w:hAnsi="Abadi" w:cs="Calibri"/>
                <w:b/>
                <w:bCs/>
                <w:i/>
                <w:iCs/>
                <w:spacing w:val="1"/>
                <w:sz w:val="21"/>
                <w:szCs w:val="21"/>
              </w:rPr>
              <w:t xml:space="preserve"> </w:t>
            </w:r>
            <w:r w:rsidRPr="00401C70">
              <w:rPr>
                <w:rFonts w:ascii="Abadi" w:hAnsi="Abadi" w:cs="Calibri"/>
                <w:b/>
                <w:bCs/>
                <w:i/>
                <w:iCs/>
                <w:sz w:val="21"/>
                <w:szCs w:val="21"/>
              </w:rPr>
              <w:t>el</w:t>
            </w:r>
            <w:r w:rsidRPr="00401C70">
              <w:rPr>
                <w:rFonts w:ascii="Abadi" w:hAnsi="Abadi" w:cs="Calibri"/>
                <w:b/>
                <w:bCs/>
                <w:i/>
                <w:iCs/>
                <w:spacing w:val="1"/>
                <w:sz w:val="21"/>
                <w:szCs w:val="21"/>
              </w:rPr>
              <w:t xml:space="preserve"> </w:t>
            </w:r>
            <w:r w:rsidRPr="00401C70">
              <w:rPr>
                <w:rFonts w:ascii="Abadi" w:hAnsi="Abadi" w:cs="Calibri"/>
                <w:b/>
                <w:bCs/>
                <w:i/>
                <w:iCs/>
                <w:sz w:val="21"/>
                <w:szCs w:val="21"/>
              </w:rPr>
              <w:t>principio</w:t>
            </w:r>
            <w:r w:rsidRPr="00401C70">
              <w:rPr>
                <w:rFonts w:ascii="Abadi" w:hAnsi="Abadi" w:cs="Calibri"/>
                <w:b/>
                <w:bCs/>
                <w:i/>
                <w:iCs/>
                <w:spacing w:val="-2"/>
                <w:sz w:val="21"/>
                <w:szCs w:val="21"/>
              </w:rPr>
              <w:t xml:space="preserve"> </w:t>
            </w:r>
            <w:r w:rsidRPr="00401C70">
              <w:rPr>
                <w:rFonts w:ascii="Abadi" w:hAnsi="Abadi" w:cs="Calibri"/>
                <w:b/>
                <w:bCs/>
                <w:i/>
                <w:iCs/>
                <w:sz w:val="21"/>
                <w:szCs w:val="21"/>
              </w:rPr>
              <w:t>de</w:t>
            </w:r>
            <w:r w:rsidRPr="00401C70">
              <w:rPr>
                <w:rFonts w:ascii="Abadi" w:hAnsi="Abadi" w:cs="Calibri"/>
                <w:b/>
                <w:bCs/>
                <w:i/>
                <w:iCs/>
                <w:spacing w:val="-3"/>
                <w:sz w:val="21"/>
                <w:szCs w:val="21"/>
              </w:rPr>
              <w:t xml:space="preserve"> </w:t>
            </w:r>
            <w:r w:rsidRPr="00401C70">
              <w:rPr>
                <w:rFonts w:ascii="Abadi" w:hAnsi="Abadi" w:cs="Calibri"/>
                <w:b/>
                <w:bCs/>
                <w:i/>
                <w:iCs/>
                <w:sz w:val="21"/>
                <w:szCs w:val="21"/>
              </w:rPr>
              <w:t>paridad</w:t>
            </w:r>
            <w:r w:rsidRPr="00401C70">
              <w:rPr>
                <w:rFonts w:ascii="Abadi" w:hAnsi="Abadi" w:cs="Calibri"/>
                <w:b/>
                <w:bCs/>
                <w:i/>
                <w:iCs/>
                <w:spacing w:val="-2"/>
                <w:sz w:val="21"/>
                <w:szCs w:val="21"/>
              </w:rPr>
              <w:t xml:space="preserve"> </w:t>
            </w:r>
            <w:r w:rsidRPr="00401C70">
              <w:rPr>
                <w:rFonts w:ascii="Abadi" w:hAnsi="Abadi" w:cs="Calibri"/>
                <w:b/>
                <w:bCs/>
                <w:i/>
                <w:iCs/>
                <w:sz w:val="21"/>
                <w:szCs w:val="21"/>
              </w:rPr>
              <w:t>de</w:t>
            </w:r>
            <w:r w:rsidRPr="00401C70">
              <w:rPr>
                <w:rFonts w:ascii="Abadi" w:hAnsi="Abadi" w:cs="Calibri"/>
                <w:b/>
                <w:bCs/>
                <w:i/>
                <w:iCs/>
                <w:spacing w:val="-3"/>
                <w:sz w:val="21"/>
                <w:szCs w:val="21"/>
              </w:rPr>
              <w:t xml:space="preserve"> </w:t>
            </w:r>
            <w:r w:rsidRPr="00401C70">
              <w:rPr>
                <w:rFonts w:ascii="Abadi" w:hAnsi="Abadi" w:cs="Calibri"/>
                <w:b/>
                <w:bCs/>
                <w:i/>
                <w:iCs/>
                <w:sz w:val="21"/>
                <w:szCs w:val="21"/>
              </w:rPr>
              <w:t>género</w:t>
            </w:r>
            <w:r w:rsidRPr="00401C70">
              <w:rPr>
                <w:rFonts w:ascii="Abadi" w:hAnsi="Abadi" w:cs="Calibri"/>
                <w:sz w:val="21"/>
                <w:szCs w:val="21"/>
              </w:rPr>
              <w:t>.</w:t>
            </w:r>
          </w:p>
          <w:p w14:paraId="189EA450" w14:textId="77777777" w:rsidR="00677B7E" w:rsidRPr="00401C70" w:rsidRDefault="00677B7E" w:rsidP="00FA2590">
            <w:pPr>
              <w:kinsoku w:val="0"/>
              <w:overflowPunct w:val="0"/>
              <w:autoSpaceDE w:val="0"/>
              <w:autoSpaceDN w:val="0"/>
              <w:adjustRightInd w:val="0"/>
              <w:spacing w:before="3"/>
              <w:jc w:val="both"/>
              <w:rPr>
                <w:rFonts w:ascii="Abadi" w:hAnsi="Abadi"/>
                <w:sz w:val="21"/>
                <w:szCs w:val="21"/>
              </w:rPr>
            </w:pPr>
          </w:p>
          <w:p w14:paraId="191247EA" w14:textId="77777777" w:rsidR="00677B7E" w:rsidRPr="00401C70" w:rsidRDefault="00677B7E" w:rsidP="00FA2590">
            <w:pPr>
              <w:kinsoku w:val="0"/>
              <w:overflowPunct w:val="0"/>
              <w:autoSpaceDE w:val="0"/>
              <w:autoSpaceDN w:val="0"/>
              <w:adjustRightInd w:val="0"/>
              <w:spacing w:before="1"/>
              <w:ind w:left="107" w:right="90"/>
              <w:jc w:val="both"/>
              <w:rPr>
                <w:rFonts w:ascii="Abadi" w:hAnsi="Abadi" w:cs="Calibri"/>
                <w:sz w:val="21"/>
                <w:szCs w:val="21"/>
              </w:rPr>
            </w:pPr>
            <w:r w:rsidRPr="00401C70">
              <w:rPr>
                <w:rFonts w:ascii="Abadi" w:hAnsi="Abadi" w:cs="Calibri"/>
                <w:sz w:val="21"/>
                <w:szCs w:val="21"/>
              </w:rPr>
              <w:t xml:space="preserve">Para efecto de formular, la propuesta de </w:t>
            </w:r>
            <w:r w:rsidRPr="00401C70">
              <w:rPr>
                <w:rFonts w:ascii="Abadi" w:hAnsi="Abadi" w:cs="Calibri"/>
                <w:b/>
                <w:bCs/>
                <w:i/>
                <w:iCs/>
                <w:sz w:val="21"/>
                <w:szCs w:val="21"/>
              </w:rPr>
              <w:t>las</w:t>
            </w:r>
            <w:r w:rsidRPr="00401C70">
              <w:rPr>
                <w:rFonts w:ascii="Abadi" w:hAnsi="Abadi" w:cs="Calibri"/>
                <w:b/>
                <w:bCs/>
                <w:i/>
                <w:iCs/>
                <w:spacing w:val="1"/>
                <w:sz w:val="21"/>
                <w:szCs w:val="21"/>
              </w:rPr>
              <w:t xml:space="preserve"> </w:t>
            </w:r>
            <w:r w:rsidRPr="00401C70">
              <w:rPr>
                <w:rFonts w:ascii="Abadi" w:hAnsi="Abadi" w:cs="Calibri"/>
                <w:b/>
                <w:bCs/>
                <w:i/>
                <w:iCs/>
                <w:sz w:val="21"/>
                <w:szCs w:val="21"/>
              </w:rPr>
              <w:t>personas</w:t>
            </w:r>
            <w:r w:rsidRPr="00401C70">
              <w:rPr>
                <w:rFonts w:ascii="Abadi" w:hAnsi="Abadi" w:cs="Calibri"/>
                <w:b/>
                <w:bCs/>
                <w:i/>
                <w:iCs/>
                <w:spacing w:val="1"/>
                <w:sz w:val="21"/>
                <w:szCs w:val="21"/>
              </w:rPr>
              <w:t xml:space="preserve"> </w:t>
            </w:r>
            <w:r w:rsidRPr="00401C70">
              <w:rPr>
                <w:rFonts w:ascii="Abadi" w:hAnsi="Abadi" w:cs="Calibri"/>
                <w:b/>
                <w:bCs/>
                <w:i/>
                <w:iCs/>
                <w:sz w:val="21"/>
                <w:szCs w:val="21"/>
              </w:rPr>
              <w:t>delegadas</w:t>
            </w:r>
            <w:r w:rsidRPr="00401C70">
              <w:rPr>
                <w:rFonts w:ascii="Abadi" w:hAnsi="Abadi" w:cs="Calibri"/>
                <w:b/>
                <w:bCs/>
                <w:i/>
                <w:iCs/>
                <w:spacing w:val="1"/>
                <w:sz w:val="21"/>
                <w:szCs w:val="21"/>
              </w:rPr>
              <w:t xml:space="preserve"> </w:t>
            </w:r>
            <w:r w:rsidRPr="00401C70">
              <w:rPr>
                <w:rFonts w:ascii="Abadi" w:hAnsi="Abadi" w:cs="Calibri"/>
                <w:b/>
                <w:bCs/>
                <w:i/>
                <w:iCs/>
                <w:sz w:val="21"/>
                <w:szCs w:val="21"/>
              </w:rPr>
              <w:t>y</w:t>
            </w:r>
            <w:r w:rsidRPr="00401C70">
              <w:rPr>
                <w:rFonts w:ascii="Abadi" w:hAnsi="Abadi" w:cs="Calibri"/>
                <w:b/>
                <w:bCs/>
                <w:i/>
                <w:iCs/>
                <w:spacing w:val="1"/>
                <w:sz w:val="21"/>
                <w:szCs w:val="21"/>
              </w:rPr>
              <w:t xml:space="preserve"> </w:t>
            </w:r>
            <w:r w:rsidRPr="00401C70">
              <w:rPr>
                <w:rFonts w:ascii="Abadi" w:hAnsi="Abadi" w:cs="Calibri"/>
                <w:b/>
                <w:bCs/>
                <w:i/>
                <w:iCs/>
                <w:sz w:val="21"/>
                <w:szCs w:val="21"/>
              </w:rPr>
              <w:lastRenderedPageBreak/>
              <w:t>subdelegadas</w:t>
            </w:r>
            <w:r w:rsidRPr="00401C70">
              <w:rPr>
                <w:rFonts w:ascii="Abadi" w:hAnsi="Abadi" w:cs="Calibri"/>
                <w:sz w:val="21"/>
                <w:szCs w:val="21"/>
              </w:rPr>
              <w:t>,</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Presidente Municipal podrá optar por realizar</w:t>
            </w:r>
            <w:r w:rsidRPr="00401C70">
              <w:rPr>
                <w:rFonts w:ascii="Abadi" w:hAnsi="Abadi" w:cs="Calibri"/>
                <w:spacing w:val="1"/>
                <w:sz w:val="21"/>
                <w:szCs w:val="21"/>
              </w:rPr>
              <w:t xml:space="preserve"> </w:t>
            </w:r>
            <w:r w:rsidRPr="00401C70">
              <w:rPr>
                <w:rFonts w:ascii="Abadi" w:hAnsi="Abadi" w:cs="Calibri"/>
                <w:sz w:val="21"/>
                <w:szCs w:val="21"/>
              </w:rPr>
              <w:t>una consulta pública previa a los habitantes de</w:t>
            </w:r>
            <w:r w:rsidRPr="00401C70">
              <w:rPr>
                <w:rFonts w:ascii="Abadi" w:hAnsi="Abadi" w:cs="Calibri"/>
                <w:spacing w:val="-47"/>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delegación,</w:t>
            </w:r>
            <w:r w:rsidRPr="00401C70">
              <w:rPr>
                <w:rFonts w:ascii="Abadi" w:hAnsi="Abadi" w:cs="Calibri"/>
                <w:spacing w:val="1"/>
                <w:sz w:val="21"/>
                <w:szCs w:val="21"/>
              </w:rPr>
              <w:t xml:space="preserve"> </w:t>
            </w:r>
            <w:r w:rsidRPr="00401C70">
              <w:rPr>
                <w:rFonts w:ascii="Abadi" w:hAnsi="Abadi" w:cs="Calibri"/>
                <w:sz w:val="21"/>
                <w:szCs w:val="21"/>
              </w:rPr>
              <w:t>cuya</w:t>
            </w:r>
            <w:r w:rsidRPr="00401C70">
              <w:rPr>
                <w:rFonts w:ascii="Abadi" w:hAnsi="Abadi" w:cs="Calibri"/>
                <w:spacing w:val="1"/>
                <w:sz w:val="21"/>
                <w:szCs w:val="21"/>
              </w:rPr>
              <w:t xml:space="preserve"> </w:t>
            </w:r>
            <w:r w:rsidRPr="00401C70">
              <w:rPr>
                <w:rFonts w:ascii="Abadi" w:hAnsi="Abadi" w:cs="Calibri"/>
                <w:sz w:val="21"/>
                <w:szCs w:val="21"/>
              </w:rPr>
              <w:t>metodología</w:t>
            </w:r>
            <w:r w:rsidRPr="00401C70">
              <w:rPr>
                <w:rFonts w:ascii="Abadi" w:hAnsi="Abadi" w:cs="Calibri"/>
                <w:spacing w:val="1"/>
                <w:sz w:val="21"/>
                <w:szCs w:val="21"/>
              </w:rPr>
              <w:t xml:space="preserve"> </w:t>
            </w:r>
            <w:r w:rsidRPr="00401C70">
              <w:rPr>
                <w:rFonts w:ascii="Abadi" w:hAnsi="Abadi" w:cs="Calibri"/>
                <w:sz w:val="21"/>
                <w:szCs w:val="21"/>
              </w:rPr>
              <w:t>deberá</w:t>
            </w:r>
            <w:r w:rsidRPr="00401C70">
              <w:rPr>
                <w:rFonts w:ascii="Abadi" w:hAnsi="Abadi" w:cs="Calibri"/>
                <w:spacing w:val="1"/>
                <w:sz w:val="21"/>
                <w:szCs w:val="21"/>
              </w:rPr>
              <w:t xml:space="preserve"> </w:t>
            </w:r>
            <w:r w:rsidRPr="00401C70">
              <w:rPr>
                <w:rFonts w:ascii="Abadi" w:hAnsi="Abadi" w:cs="Calibri"/>
                <w:sz w:val="21"/>
                <w:szCs w:val="21"/>
              </w:rPr>
              <w:t>aprobarse</w:t>
            </w:r>
            <w:r w:rsidRPr="00401C70">
              <w:rPr>
                <w:rFonts w:ascii="Abadi" w:hAnsi="Abadi" w:cs="Calibri"/>
                <w:spacing w:val="-3"/>
                <w:sz w:val="21"/>
                <w:szCs w:val="21"/>
              </w:rPr>
              <w:t xml:space="preserve"> </w:t>
            </w:r>
            <w:r w:rsidRPr="00401C70">
              <w:rPr>
                <w:rFonts w:ascii="Abadi" w:hAnsi="Abadi" w:cs="Calibri"/>
                <w:sz w:val="21"/>
                <w:szCs w:val="21"/>
              </w:rPr>
              <w:t>por</w:t>
            </w:r>
            <w:r w:rsidRPr="00401C70">
              <w:rPr>
                <w:rFonts w:ascii="Abadi" w:hAnsi="Abadi" w:cs="Calibri"/>
                <w:spacing w:val="-3"/>
                <w:sz w:val="21"/>
                <w:szCs w:val="21"/>
              </w:rPr>
              <w:t xml:space="preserve"> </w:t>
            </w:r>
            <w:r w:rsidRPr="00401C70">
              <w:rPr>
                <w:rFonts w:ascii="Abadi" w:hAnsi="Abadi" w:cs="Calibri"/>
                <w:sz w:val="21"/>
                <w:szCs w:val="21"/>
              </w:rPr>
              <w:t>el</w:t>
            </w:r>
            <w:r w:rsidRPr="00401C70">
              <w:rPr>
                <w:rFonts w:ascii="Abadi" w:hAnsi="Abadi" w:cs="Calibri"/>
                <w:spacing w:val="-3"/>
                <w:sz w:val="21"/>
                <w:szCs w:val="21"/>
              </w:rPr>
              <w:t xml:space="preserve"> </w:t>
            </w:r>
            <w:r w:rsidRPr="00401C70">
              <w:rPr>
                <w:rFonts w:ascii="Abadi" w:hAnsi="Abadi" w:cs="Calibri"/>
                <w:sz w:val="21"/>
                <w:szCs w:val="21"/>
              </w:rPr>
              <w:t>Ayuntamiento.</w:t>
            </w:r>
            <w:r w:rsidRPr="00401C70">
              <w:rPr>
                <w:rFonts w:ascii="Abadi" w:hAnsi="Abadi" w:cs="Calibri"/>
                <w:spacing w:val="-4"/>
                <w:sz w:val="21"/>
                <w:szCs w:val="21"/>
              </w:rPr>
              <w:t xml:space="preserve"> </w:t>
            </w:r>
            <w:r w:rsidRPr="00401C70">
              <w:rPr>
                <w:rFonts w:ascii="Abadi" w:hAnsi="Abadi" w:cs="Calibri"/>
                <w:sz w:val="21"/>
                <w:szCs w:val="21"/>
              </w:rPr>
              <w:t>En</w:t>
            </w:r>
            <w:r w:rsidRPr="00401C70">
              <w:rPr>
                <w:rFonts w:ascii="Abadi" w:hAnsi="Abadi" w:cs="Calibri"/>
                <w:spacing w:val="-4"/>
                <w:sz w:val="21"/>
                <w:szCs w:val="21"/>
              </w:rPr>
              <w:t xml:space="preserve"> </w:t>
            </w:r>
            <w:r w:rsidRPr="00401C70">
              <w:rPr>
                <w:rFonts w:ascii="Abadi" w:hAnsi="Abadi" w:cs="Calibri"/>
                <w:sz w:val="21"/>
                <w:szCs w:val="21"/>
              </w:rPr>
              <w:t>el</w:t>
            </w:r>
            <w:r w:rsidRPr="00401C70">
              <w:rPr>
                <w:rFonts w:ascii="Abadi" w:hAnsi="Abadi" w:cs="Calibri"/>
                <w:spacing w:val="-5"/>
                <w:sz w:val="21"/>
                <w:szCs w:val="21"/>
              </w:rPr>
              <w:t xml:space="preserve"> </w:t>
            </w:r>
            <w:r w:rsidRPr="00401C70">
              <w:rPr>
                <w:rFonts w:ascii="Abadi" w:hAnsi="Abadi" w:cs="Calibri"/>
                <w:sz w:val="21"/>
                <w:szCs w:val="21"/>
              </w:rPr>
              <w:t>supuesto</w:t>
            </w:r>
            <w:r w:rsidRPr="00401C70">
              <w:rPr>
                <w:rFonts w:ascii="Abadi" w:hAnsi="Abadi" w:cs="Calibri"/>
                <w:spacing w:val="-47"/>
                <w:sz w:val="21"/>
                <w:szCs w:val="21"/>
              </w:rPr>
              <w:t xml:space="preserve"> </w:t>
            </w:r>
            <w:r w:rsidRPr="00401C70">
              <w:rPr>
                <w:rFonts w:ascii="Abadi" w:hAnsi="Abadi" w:cs="Calibri"/>
                <w:sz w:val="21"/>
                <w:szCs w:val="21"/>
              </w:rPr>
              <w:t>de</w:t>
            </w:r>
            <w:r w:rsidRPr="00401C70">
              <w:rPr>
                <w:rFonts w:ascii="Abadi" w:hAnsi="Abadi" w:cs="Calibri"/>
                <w:spacing w:val="-6"/>
                <w:sz w:val="21"/>
                <w:szCs w:val="21"/>
              </w:rPr>
              <w:t xml:space="preserve"> </w:t>
            </w:r>
            <w:r w:rsidRPr="00401C70">
              <w:rPr>
                <w:rFonts w:ascii="Abadi" w:hAnsi="Abadi" w:cs="Calibri"/>
                <w:sz w:val="21"/>
                <w:szCs w:val="21"/>
              </w:rPr>
              <w:t>que</w:t>
            </w:r>
            <w:r w:rsidRPr="00401C70">
              <w:rPr>
                <w:rFonts w:ascii="Abadi" w:hAnsi="Abadi" w:cs="Calibri"/>
                <w:spacing w:val="-6"/>
                <w:sz w:val="21"/>
                <w:szCs w:val="21"/>
              </w:rPr>
              <w:t xml:space="preserve"> </w:t>
            </w:r>
            <w:r w:rsidRPr="00401C70">
              <w:rPr>
                <w:rFonts w:ascii="Abadi" w:hAnsi="Abadi" w:cs="Calibri"/>
                <w:sz w:val="21"/>
                <w:szCs w:val="21"/>
              </w:rPr>
              <w:t>el</w:t>
            </w:r>
            <w:r w:rsidRPr="00401C70">
              <w:rPr>
                <w:rFonts w:ascii="Abadi" w:hAnsi="Abadi" w:cs="Calibri"/>
                <w:spacing w:val="-9"/>
                <w:sz w:val="21"/>
                <w:szCs w:val="21"/>
              </w:rPr>
              <w:t xml:space="preserve"> </w:t>
            </w:r>
            <w:r w:rsidRPr="00401C70">
              <w:rPr>
                <w:rFonts w:ascii="Abadi" w:hAnsi="Abadi" w:cs="Calibri"/>
                <w:sz w:val="21"/>
                <w:szCs w:val="21"/>
              </w:rPr>
              <w:t>presidente</w:t>
            </w:r>
            <w:r w:rsidRPr="00401C70">
              <w:rPr>
                <w:rFonts w:ascii="Abadi" w:hAnsi="Abadi" w:cs="Calibri"/>
                <w:spacing w:val="-9"/>
                <w:sz w:val="21"/>
                <w:szCs w:val="21"/>
              </w:rPr>
              <w:t xml:space="preserve"> </w:t>
            </w:r>
            <w:r w:rsidRPr="00401C70">
              <w:rPr>
                <w:rFonts w:ascii="Abadi" w:hAnsi="Abadi" w:cs="Calibri"/>
                <w:sz w:val="21"/>
                <w:szCs w:val="21"/>
              </w:rPr>
              <w:t>en</w:t>
            </w:r>
            <w:r w:rsidRPr="00401C70">
              <w:rPr>
                <w:rFonts w:ascii="Abadi" w:hAnsi="Abadi" w:cs="Calibri"/>
                <w:spacing w:val="-7"/>
                <w:sz w:val="21"/>
                <w:szCs w:val="21"/>
              </w:rPr>
              <w:t xml:space="preserve"> </w:t>
            </w:r>
            <w:r w:rsidRPr="00401C70">
              <w:rPr>
                <w:rFonts w:ascii="Abadi" w:hAnsi="Abadi" w:cs="Calibri"/>
                <w:sz w:val="21"/>
                <w:szCs w:val="21"/>
              </w:rPr>
              <w:t>su</w:t>
            </w:r>
            <w:r w:rsidRPr="00401C70">
              <w:rPr>
                <w:rFonts w:ascii="Abadi" w:hAnsi="Abadi" w:cs="Calibri"/>
                <w:spacing w:val="-10"/>
                <w:sz w:val="21"/>
                <w:szCs w:val="21"/>
              </w:rPr>
              <w:t xml:space="preserve"> </w:t>
            </w:r>
            <w:r w:rsidRPr="00401C70">
              <w:rPr>
                <w:rFonts w:ascii="Abadi" w:hAnsi="Abadi" w:cs="Calibri"/>
                <w:sz w:val="21"/>
                <w:szCs w:val="21"/>
              </w:rPr>
              <w:t>propuesta</w:t>
            </w:r>
            <w:r w:rsidRPr="00401C70">
              <w:rPr>
                <w:rFonts w:ascii="Abadi" w:hAnsi="Abadi" w:cs="Calibri"/>
                <w:spacing w:val="-10"/>
                <w:sz w:val="21"/>
                <w:szCs w:val="21"/>
              </w:rPr>
              <w:t xml:space="preserve"> </w:t>
            </w:r>
            <w:r w:rsidRPr="00401C70">
              <w:rPr>
                <w:rFonts w:ascii="Abadi" w:hAnsi="Abadi" w:cs="Calibri"/>
                <w:sz w:val="21"/>
                <w:szCs w:val="21"/>
              </w:rPr>
              <w:t>atienda</w:t>
            </w:r>
            <w:r w:rsidRPr="00401C70">
              <w:rPr>
                <w:rFonts w:ascii="Abadi" w:hAnsi="Abadi" w:cs="Calibri"/>
                <w:spacing w:val="-7"/>
                <w:sz w:val="21"/>
                <w:szCs w:val="21"/>
              </w:rPr>
              <w:t xml:space="preserve"> </w:t>
            </w:r>
            <w:r w:rsidRPr="00401C70">
              <w:rPr>
                <w:rFonts w:ascii="Abadi" w:hAnsi="Abadi" w:cs="Calibri"/>
                <w:sz w:val="21"/>
                <w:szCs w:val="21"/>
              </w:rPr>
              <w:t>al</w:t>
            </w:r>
            <w:r w:rsidRPr="00401C70">
              <w:rPr>
                <w:rFonts w:ascii="Abadi" w:hAnsi="Abadi" w:cs="Calibri"/>
                <w:spacing w:val="-48"/>
                <w:sz w:val="21"/>
                <w:szCs w:val="21"/>
              </w:rPr>
              <w:t xml:space="preserve"> </w:t>
            </w:r>
            <w:r w:rsidRPr="00401C70">
              <w:rPr>
                <w:rFonts w:ascii="Abadi" w:hAnsi="Abadi" w:cs="Calibri"/>
                <w:sz w:val="21"/>
                <w:szCs w:val="21"/>
              </w:rPr>
              <w:t>resultado</w:t>
            </w:r>
            <w:r w:rsidRPr="00401C70">
              <w:rPr>
                <w:rFonts w:ascii="Abadi" w:hAnsi="Abadi" w:cs="Calibri"/>
                <w:spacing w:val="-6"/>
                <w:sz w:val="21"/>
                <w:szCs w:val="21"/>
              </w:rPr>
              <w:t xml:space="preserve"> </w:t>
            </w:r>
            <w:r w:rsidRPr="00401C70">
              <w:rPr>
                <w:rFonts w:ascii="Abadi" w:hAnsi="Abadi" w:cs="Calibri"/>
                <w:sz w:val="21"/>
                <w:szCs w:val="21"/>
              </w:rPr>
              <w:t>de</w:t>
            </w:r>
            <w:r w:rsidRPr="00401C70">
              <w:rPr>
                <w:rFonts w:ascii="Abadi" w:hAnsi="Abadi" w:cs="Calibri"/>
                <w:spacing w:val="-6"/>
                <w:sz w:val="21"/>
                <w:szCs w:val="21"/>
              </w:rPr>
              <w:t xml:space="preserve"> </w:t>
            </w:r>
            <w:r w:rsidRPr="00401C70">
              <w:rPr>
                <w:rFonts w:ascii="Abadi" w:hAnsi="Abadi" w:cs="Calibri"/>
                <w:sz w:val="21"/>
                <w:szCs w:val="21"/>
              </w:rPr>
              <w:t>la</w:t>
            </w:r>
            <w:r w:rsidRPr="00401C70">
              <w:rPr>
                <w:rFonts w:ascii="Abadi" w:hAnsi="Abadi" w:cs="Calibri"/>
                <w:spacing w:val="-7"/>
                <w:sz w:val="21"/>
                <w:szCs w:val="21"/>
              </w:rPr>
              <w:t xml:space="preserve"> </w:t>
            </w:r>
            <w:r w:rsidRPr="00401C70">
              <w:rPr>
                <w:rFonts w:ascii="Abadi" w:hAnsi="Abadi" w:cs="Calibri"/>
                <w:sz w:val="21"/>
                <w:szCs w:val="21"/>
              </w:rPr>
              <w:t>consulta,</w:t>
            </w:r>
            <w:r w:rsidRPr="00401C70">
              <w:rPr>
                <w:rFonts w:ascii="Abadi" w:hAnsi="Abadi" w:cs="Calibri"/>
                <w:spacing w:val="-7"/>
                <w:sz w:val="21"/>
                <w:szCs w:val="21"/>
              </w:rPr>
              <w:t xml:space="preserve"> </w:t>
            </w:r>
            <w:r w:rsidRPr="00401C70">
              <w:rPr>
                <w:rFonts w:ascii="Abadi" w:hAnsi="Abadi" w:cs="Calibri"/>
                <w:sz w:val="21"/>
                <w:szCs w:val="21"/>
              </w:rPr>
              <w:t>la</w:t>
            </w:r>
            <w:r w:rsidRPr="00401C70">
              <w:rPr>
                <w:rFonts w:ascii="Abadi" w:hAnsi="Abadi" w:cs="Calibri"/>
                <w:spacing w:val="-10"/>
                <w:sz w:val="21"/>
                <w:szCs w:val="21"/>
              </w:rPr>
              <w:t xml:space="preserve"> </w:t>
            </w:r>
            <w:r w:rsidRPr="00401C70">
              <w:rPr>
                <w:rFonts w:ascii="Abadi" w:hAnsi="Abadi" w:cs="Calibri"/>
                <w:sz w:val="21"/>
                <w:szCs w:val="21"/>
              </w:rPr>
              <w:t>aprobación</w:t>
            </w:r>
            <w:r w:rsidRPr="00401C70">
              <w:rPr>
                <w:rFonts w:ascii="Abadi" w:hAnsi="Abadi" w:cs="Calibri"/>
                <w:spacing w:val="-8"/>
                <w:sz w:val="21"/>
                <w:szCs w:val="21"/>
              </w:rPr>
              <w:t xml:space="preserve"> </w:t>
            </w:r>
            <w:r w:rsidRPr="00401C70">
              <w:rPr>
                <w:rFonts w:ascii="Abadi" w:hAnsi="Abadi" w:cs="Calibri"/>
                <w:sz w:val="21"/>
                <w:szCs w:val="21"/>
              </w:rPr>
              <w:t>será</w:t>
            </w:r>
            <w:r w:rsidRPr="00401C70">
              <w:rPr>
                <w:rFonts w:ascii="Abadi" w:hAnsi="Abadi" w:cs="Calibri"/>
                <w:spacing w:val="-7"/>
                <w:sz w:val="21"/>
                <w:szCs w:val="21"/>
              </w:rPr>
              <w:t xml:space="preserve"> </w:t>
            </w:r>
            <w:r w:rsidRPr="00401C70">
              <w:rPr>
                <w:rFonts w:ascii="Abadi" w:hAnsi="Abadi" w:cs="Calibri"/>
                <w:sz w:val="21"/>
                <w:szCs w:val="21"/>
              </w:rPr>
              <w:t>por</w:t>
            </w:r>
            <w:r w:rsidRPr="00401C70">
              <w:rPr>
                <w:rFonts w:ascii="Abadi" w:hAnsi="Abadi" w:cs="Calibri"/>
                <w:spacing w:val="-48"/>
                <w:sz w:val="21"/>
                <w:szCs w:val="21"/>
              </w:rPr>
              <w:t xml:space="preserve"> </w:t>
            </w:r>
            <w:r w:rsidRPr="00401C70">
              <w:rPr>
                <w:rFonts w:ascii="Abadi" w:hAnsi="Abadi" w:cs="Calibri"/>
                <w:sz w:val="21"/>
                <w:szCs w:val="21"/>
              </w:rPr>
              <w:t>mayoría</w:t>
            </w:r>
            <w:r w:rsidRPr="00401C70">
              <w:rPr>
                <w:rFonts w:ascii="Abadi" w:hAnsi="Abadi" w:cs="Calibri"/>
                <w:spacing w:val="-4"/>
                <w:sz w:val="21"/>
                <w:szCs w:val="21"/>
              </w:rPr>
              <w:t xml:space="preserve"> </w:t>
            </w:r>
            <w:r w:rsidRPr="00401C70">
              <w:rPr>
                <w:rFonts w:ascii="Abadi" w:hAnsi="Abadi" w:cs="Calibri"/>
                <w:sz w:val="21"/>
                <w:szCs w:val="21"/>
              </w:rPr>
              <w:t>simple</w:t>
            </w:r>
            <w:r w:rsidRPr="00401C70">
              <w:rPr>
                <w:rFonts w:ascii="Abadi" w:hAnsi="Abadi" w:cs="Calibri"/>
                <w:spacing w:val="-3"/>
                <w:sz w:val="21"/>
                <w:szCs w:val="21"/>
              </w:rPr>
              <w:t xml:space="preserve"> </w:t>
            </w:r>
            <w:r w:rsidRPr="00401C70">
              <w:rPr>
                <w:rFonts w:ascii="Abadi" w:hAnsi="Abadi" w:cs="Calibri"/>
                <w:sz w:val="21"/>
                <w:szCs w:val="21"/>
              </w:rPr>
              <w:t>del Ayuntamiento.</w:t>
            </w:r>
          </w:p>
          <w:p w14:paraId="6D5D8DFC" w14:textId="77777777" w:rsidR="00677B7E" w:rsidRPr="00401C70" w:rsidRDefault="00677B7E" w:rsidP="00FA2590">
            <w:pPr>
              <w:kinsoku w:val="0"/>
              <w:overflowPunct w:val="0"/>
              <w:autoSpaceDE w:val="0"/>
              <w:autoSpaceDN w:val="0"/>
              <w:adjustRightInd w:val="0"/>
              <w:spacing w:before="4"/>
              <w:jc w:val="both"/>
              <w:rPr>
                <w:rFonts w:ascii="Abadi" w:hAnsi="Abadi"/>
                <w:sz w:val="21"/>
                <w:szCs w:val="21"/>
              </w:rPr>
            </w:pPr>
          </w:p>
          <w:p w14:paraId="391CDC4E" w14:textId="77777777" w:rsidR="00677B7E" w:rsidRPr="00401C70" w:rsidRDefault="00677B7E" w:rsidP="00FA2590">
            <w:pPr>
              <w:kinsoku w:val="0"/>
              <w:overflowPunct w:val="0"/>
              <w:autoSpaceDE w:val="0"/>
              <w:autoSpaceDN w:val="0"/>
              <w:adjustRightInd w:val="0"/>
              <w:ind w:left="107" w:right="95"/>
              <w:jc w:val="both"/>
              <w:rPr>
                <w:rFonts w:ascii="Abadi" w:hAnsi="Abadi" w:cs="Calibri"/>
                <w:sz w:val="21"/>
                <w:szCs w:val="21"/>
              </w:rPr>
            </w:pPr>
            <w:r w:rsidRPr="00401C70">
              <w:rPr>
                <w:rFonts w:ascii="Abadi" w:hAnsi="Abadi" w:cs="Calibri"/>
                <w:b/>
                <w:bCs/>
                <w:i/>
                <w:iCs/>
                <w:sz w:val="21"/>
                <w:szCs w:val="21"/>
              </w:rPr>
              <w:t>Las</w:t>
            </w:r>
            <w:r w:rsidRPr="00401C70">
              <w:rPr>
                <w:rFonts w:ascii="Abadi" w:hAnsi="Abadi" w:cs="Calibri"/>
                <w:b/>
                <w:bCs/>
                <w:i/>
                <w:iCs/>
                <w:spacing w:val="1"/>
                <w:sz w:val="21"/>
                <w:szCs w:val="21"/>
              </w:rPr>
              <w:t xml:space="preserve"> </w:t>
            </w:r>
            <w:r w:rsidRPr="00401C70">
              <w:rPr>
                <w:rFonts w:ascii="Abadi" w:hAnsi="Abadi" w:cs="Calibri"/>
                <w:b/>
                <w:bCs/>
                <w:i/>
                <w:iCs/>
                <w:sz w:val="21"/>
                <w:szCs w:val="21"/>
              </w:rPr>
              <w:t>personas</w:t>
            </w:r>
            <w:r w:rsidRPr="00401C70">
              <w:rPr>
                <w:rFonts w:ascii="Abadi" w:hAnsi="Abadi" w:cs="Calibri"/>
                <w:b/>
                <w:bCs/>
                <w:i/>
                <w:iCs/>
                <w:spacing w:val="1"/>
                <w:sz w:val="21"/>
                <w:szCs w:val="21"/>
              </w:rPr>
              <w:t xml:space="preserve"> </w:t>
            </w:r>
            <w:r w:rsidRPr="00401C70">
              <w:rPr>
                <w:rFonts w:ascii="Abadi" w:hAnsi="Abadi" w:cs="Calibri"/>
                <w:b/>
                <w:bCs/>
                <w:i/>
                <w:iCs/>
                <w:sz w:val="21"/>
                <w:szCs w:val="21"/>
              </w:rPr>
              <w:t>delegadas</w:t>
            </w:r>
            <w:r w:rsidRPr="00401C70">
              <w:rPr>
                <w:rFonts w:ascii="Abadi" w:hAnsi="Abadi" w:cs="Calibri"/>
                <w:b/>
                <w:bCs/>
                <w:i/>
                <w:iCs/>
                <w:spacing w:val="1"/>
                <w:sz w:val="21"/>
                <w:szCs w:val="21"/>
              </w:rPr>
              <w:t xml:space="preserve"> </w:t>
            </w:r>
            <w:r w:rsidRPr="00401C70">
              <w:rPr>
                <w:rFonts w:ascii="Abadi" w:hAnsi="Abadi" w:cs="Calibri"/>
                <w:b/>
                <w:bCs/>
                <w:i/>
                <w:iCs/>
                <w:sz w:val="21"/>
                <w:szCs w:val="21"/>
              </w:rPr>
              <w:t>y</w:t>
            </w:r>
            <w:r w:rsidRPr="00401C70">
              <w:rPr>
                <w:rFonts w:ascii="Abadi" w:hAnsi="Abadi" w:cs="Calibri"/>
                <w:b/>
                <w:bCs/>
                <w:i/>
                <w:iCs/>
                <w:spacing w:val="1"/>
                <w:sz w:val="21"/>
                <w:szCs w:val="21"/>
              </w:rPr>
              <w:t xml:space="preserve"> </w:t>
            </w:r>
            <w:r w:rsidRPr="00401C70">
              <w:rPr>
                <w:rFonts w:ascii="Abadi" w:hAnsi="Abadi" w:cs="Calibri"/>
                <w:b/>
                <w:bCs/>
                <w:i/>
                <w:iCs/>
                <w:sz w:val="21"/>
                <w:szCs w:val="21"/>
              </w:rPr>
              <w:t>subdelegadas</w:t>
            </w:r>
            <w:r w:rsidRPr="00401C70">
              <w:rPr>
                <w:rFonts w:ascii="Abadi" w:hAnsi="Abadi" w:cs="Calibri"/>
                <w:b/>
                <w:bCs/>
                <w:i/>
                <w:iCs/>
                <w:spacing w:val="1"/>
                <w:sz w:val="21"/>
                <w:szCs w:val="21"/>
              </w:rPr>
              <w:t xml:space="preserve"> </w:t>
            </w:r>
            <w:r w:rsidRPr="00401C70">
              <w:rPr>
                <w:rFonts w:ascii="Abadi" w:hAnsi="Abadi" w:cs="Calibri"/>
                <w:sz w:val="21"/>
                <w:szCs w:val="21"/>
              </w:rPr>
              <w:t>municipales</w:t>
            </w:r>
            <w:r w:rsidRPr="00401C70">
              <w:rPr>
                <w:rFonts w:ascii="Abadi" w:hAnsi="Abadi" w:cs="Calibri"/>
                <w:spacing w:val="1"/>
                <w:sz w:val="21"/>
                <w:szCs w:val="21"/>
              </w:rPr>
              <w:t xml:space="preserve"> </w:t>
            </w:r>
            <w:r w:rsidRPr="00401C70">
              <w:rPr>
                <w:rFonts w:ascii="Abadi" w:hAnsi="Abadi" w:cs="Calibri"/>
                <w:sz w:val="21"/>
                <w:szCs w:val="21"/>
              </w:rPr>
              <w:t>durarán</w:t>
            </w:r>
            <w:r w:rsidRPr="00401C70">
              <w:rPr>
                <w:rFonts w:ascii="Abadi" w:hAnsi="Abadi" w:cs="Calibri"/>
                <w:spacing w:val="1"/>
                <w:sz w:val="21"/>
                <w:szCs w:val="21"/>
              </w:rPr>
              <w:t xml:space="preserve"> </w:t>
            </w:r>
            <w:r w:rsidRPr="00401C70">
              <w:rPr>
                <w:rFonts w:ascii="Abadi" w:hAnsi="Abadi" w:cs="Calibri"/>
                <w:sz w:val="21"/>
                <w:szCs w:val="21"/>
              </w:rPr>
              <w:t>en</w:t>
            </w:r>
            <w:r w:rsidRPr="00401C70">
              <w:rPr>
                <w:rFonts w:ascii="Abadi" w:hAnsi="Abadi" w:cs="Calibri"/>
                <w:spacing w:val="1"/>
                <w:sz w:val="21"/>
                <w:szCs w:val="21"/>
              </w:rPr>
              <w:t xml:space="preserve"> </w:t>
            </w:r>
            <w:r w:rsidRPr="00401C70">
              <w:rPr>
                <w:rFonts w:ascii="Abadi" w:hAnsi="Abadi" w:cs="Calibri"/>
                <w:sz w:val="21"/>
                <w:szCs w:val="21"/>
              </w:rPr>
              <w:t>su</w:t>
            </w:r>
            <w:r w:rsidRPr="00401C70">
              <w:rPr>
                <w:rFonts w:ascii="Abadi" w:hAnsi="Abadi" w:cs="Calibri"/>
                <w:spacing w:val="1"/>
                <w:sz w:val="21"/>
                <w:szCs w:val="21"/>
              </w:rPr>
              <w:t xml:space="preserve"> </w:t>
            </w:r>
            <w:r w:rsidRPr="00401C70">
              <w:rPr>
                <w:rFonts w:ascii="Abadi" w:hAnsi="Abadi" w:cs="Calibri"/>
                <w:sz w:val="21"/>
                <w:szCs w:val="21"/>
              </w:rPr>
              <w:t>cargo</w:t>
            </w:r>
            <w:r w:rsidRPr="00401C70">
              <w:rPr>
                <w:rFonts w:ascii="Abadi" w:hAnsi="Abadi" w:cs="Calibri"/>
                <w:spacing w:val="1"/>
                <w:sz w:val="21"/>
                <w:szCs w:val="21"/>
              </w:rPr>
              <w:t xml:space="preserve"> </w:t>
            </w:r>
            <w:r w:rsidRPr="00401C70">
              <w:rPr>
                <w:rFonts w:ascii="Abadi" w:hAnsi="Abadi" w:cs="Calibri"/>
                <w:sz w:val="21"/>
                <w:szCs w:val="21"/>
              </w:rPr>
              <w:t>tres</w:t>
            </w:r>
            <w:r w:rsidRPr="00401C70">
              <w:rPr>
                <w:rFonts w:ascii="Abadi" w:hAnsi="Abadi" w:cs="Calibri"/>
                <w:spacing w:val="1"/>
                <w:sz w:val="21"/>
                <w:szCs w:val="21"/>
              </w:rPr>
              <w:t xml:space="preserve"> </w:t>
            </w:r>
            <w:r w:rsidRPr="00401C70">
              <w:rPr>
                <w:rFonts w:ascii="Abadi" w:hAnsi="Abadi" w:cs="Calibri"/>
                <w:sz w:val="21"/>
                <w:szCs w:val="21"/>
              </w:rPr>
              <w:t>años,</w:t>
            </w:r>
            <w:r w:rsidRPr="00401C70">
              <w:rPr>
                <w:rFonts w:ascii="Abadi" w:hAnsi="Abadi" w:cs="Calibri"/>
                <w:spacing w:val="1"/>
                <w:sz w:val="21"/>
                <w:szCs w:val="21"/>
              </w:rPr>
              <w:t xml:space="preserve"> </w:t>
            </w:r>
            <w:r w:rsidRPr="00401C70">
              <w:rPr>
                <w:rFonts w:ascii="Abadi" w:hAnsi="Abadi" w:cs="Calibri"/>
                <w:sz w:val="21"/>
                <w:szCs w:val="21"/>
              </w:rPr>
              <w:t>salvo</w:t>
            </w:r>
            <w:r w:rsidRPr="00401C70">
              <w:rPr>
                <w:rFonts w:ascii="Abadi" w:hAnsi="Abadi" w:cs="Calibri"/>
                <w:spacing w:val="-1"/>
                <w:sz w:val="21"/>
                <w:szCs w:val="21"/>
              </w:rPr>
              <w:t xml:space="preserve"> </w:t>
            </w:r>
            <w:r w:rsidRPr="00401C70">
              <w:rPr>
                <w:rFonts w:ascii="Abadi" w:hAnsi="Abadi" w:cs="Calibri"/>
                <w:sz w:val="21"/>
                <w:szCs w:val="21"/>
              </w:rPr>
              <w:t>renuncia</w:t>
            </w:r>
            <w:r w:rsidRPr="00401C70">
              <w:rPr>
                <w:rFonts w:ascii="Abadi" w:hAnsi="Abadi" w:cs="Calibri"/>
                <w:spacing w:val="-2"/>
                <w:sz w:val="21"/>
                <w:szCs w:val="21"/>
              </w:rPr>
              <w:t xml:space="preserve"> </w:t>
            </w:r>
            <w:r w:rsidRPr="00401C70">
              <w:rPr>
                <w:rFonts w:ascii="Abadi" w:hAnsi="Abadi" w:cs="Calibri"/>
                <w:sz w:val="21"/>
                <w:szCs w:val="21"/>
              </w:rPr>
              <w:t>o destitución.</w:t>
            </w:r>
          </w:p>
          <w:p w14:paraId="233C7B92" w14:textId="77777777" w:rsidR="00677B7E" w:rsidRPr="00401C70" w:rsidRDefault="00677B7E" w:rsidP="00FA2590">
            <w:pPr>
              <w:kinsoku w:val="0"/>
              <w:overflowPunct w:val="0"/>
              <w:autoSpaceDE w:val="0"/>
              <w:autoSpaceDN w:val="0"/>
              <w:adjustRightInd w:val="0"/>
              <w:spacing w:before="5"/>
              <w:jc w:val="both"/>
              <w:rPr>
                <w:rFonts w:ascii="Abadi" w:hAnsi="Abadi"/>
                <w:sz w:val="21"/>
                <w:szCs w:val="21"/>
              </w:rPr>
            </w:pPr>
          </w:p>
          <w:p w14:paraId="625D64B5" w14:textId="77777777" w:rsidR="00677B7E" w:rsidRPr="00401C70" w:rsidRDefault="00677B7E" w:rsidP="00677B7E">
            <w:pPr>
              <w:numPr>
                <w:ilvl w:val="0"/>
                <w:numId w:val="9"/>
              </w:numPr>
              <w:tabs>
                <w:tab w:val="left" w:pos="1189"/>
              </w:tabs>
              <w:kinsoku w:val="0"/>
              <w:overflowPunct w:val="0"/>
              <w:autoSpaceDE w:val="0"/>
              <w:autoSpaceDN w:val="0"/>
              <w:adjustRightInd w:val="0"/>
              <w:ind w:left="1188" w:hanging="721"/>
              <w:jc w:val="both"/>
              <w:rPr>
                <w:rFonts w:ascii="Abadi" w:hAnsi="Abadi" w:cs="Calibri"/>
                <w:sz w:val="21"/>
                <w:szCs w:val="21"/>
              </w:rPr>
            </w:pPr>
            <w:r w:rsidRPr="00401C70">
              <w:rPr>
                <w:rFonts w:ascii="Abadi" w:hAnsi="Abadi" w:cs="Calibri"/>
                <w:sz w:val="21"/>
                <w:szCs w:val="21"/>
              </w:rPr>
              <w:t>Derogada.</w:t>
            </w:r>
          </w:p>
          <w:p w14:paraId="33ED5756" w14:textId="3072C59B" w:rsidR="003224F8" w:rsidRPr="00401C70" w:rsidRDefault="00677B7E" w:rsidP="00FF7768">
            <w:pPr>
              <w:numPr>
                <w:ilvl w:val="0"/>
                <w:numId w:val="9"/>
              </w:numPr>
              <w:tabs>
                <w:tab w:val="left" w:pos="1189"/>
              </w:tabs>
              <w:kinsoku w:val="0"/>
              <w:overflowPunct w:val="0"/>
              <w:autoSpaceDE w:val="0"/>
              <w:autoSpaceDN w:val="0"/>
              <w:adjustRightInd w:val="0"/>
              <w:spacing w:line="249" w:lineRule="exact"/>
              <w:ind w:left="1188" w:hanging="721"/>
              <w:jc w:val="both"/>
              <w:rPr>
                <w:rFonts w:ascii="Abadi" w:hAnsi="Abadi" w:cs="Calibri"/>
                <w:sz w:val="21"/>
                <w:szCs w:val="21"/>
              </w:rPr>
            </w:pPr>
            <w:r w:rsidRPr="00401C70">
              <w:rPr>
                <w:rFonts w:ascii="Abadi" w:hAnsi="Abadi" w:cs="Calibri"/>
                <w:sz w:val="21"/>
                <w:szCs w:val="21"/>
              </w:rPr>
              <w:t>Derogada.</w:t>
            </w:r>
          </w:p>
        </w:tc>
      </w:tr>
      <w:tr w:rsidR="00677B7E" w:rsidRPr="00401C70" w14:paraId="1BF62DC3" w14:textId="77777777" w:rsidTr="00FF7768">
        <w:trPr>
          <w:trHeight w:val="2148"/>
        </w:trPr>
        <w:tc>
          <w:tcPr>
            <w:tcW w:w="2587" w:type="pct"/>
            <w:tcBorders>
              <w:top w:val="single" w:sz="4" w:space="0" w:color="000000"/>
              <w:left w:val="single" w:sz="4" w:space="0" w:color="000000"/>
              <w:bottom w:val="single" w:sz="4" w:space="0" w:color="000000"/>
              <w:right w:val="single" w:sz="4" w:space="0" w:color="000000"/>
            </w:tcBorders>
          </w:tcPr>
          <w:p w14:paraId="29997701" w14:textId="77777777" w:rsidR="00677B7E" w:rsidRPr="00401C70" w:rsidRDefault="00677B7E" w:rsidP="00FA2590">
            <w:pPr>
              <w:kinsoku w:val="0"/>
              <w:overflowPunct w:val="0"/>
              <w:autoSpaceDE w:val="0"/>
              <w:autoSpaceDN w:val="0"/>
              <w:adjustRightInd w:val="0"/>
              <w:ind w:left="107" w:right="93"/>
              <w:jc w:val="both"/>
              <w:rPr>
                <w:rFonts w:ascii="Abadi" w:hAnsi="Abadi" w:cs="Calibri"/>
                <w:sz w:val="21"/>
                <w:szCs w:val="21"/>
              </w:rPr>
            </w:pPr>
            <w:r w:rsidRPr="00401C70">
              <w:rPr>
                <w:rFonts w:ascii="Abadi" w:hAnsi="Abadi" w:cs="Calibri"/>
                <w:b/>
                <w:bCs/>
                <w:sz w:val="21"/>
                <w:szCs w:val="21"/>
              </w:rPr>
              <w:lastRenderedPageBreak/>
              <w:t>Artículo</w:t>
            </w:r>
            <w:r w:rsidRPr="00401C70">
              <w:rPr>
                <w:rFonts w:ascii="Abadi" w:hAnsi="Abadi" w:cs="Calibri"/>
                <w:b/>
                <w:bCs/>
                <w:spacing w:val="1"/>
                <w:sz w:val="21"/>
                <w:szCs w:val="21"/>
              </w:rPr>
              <w:t xml:space="preserve"> </w:t>
            </w:r>
            <w:r w:rsidRPr="00401C70">
              <w:rPr>
                <w:rFonts w:ascii="Abadi" w:hAnsi="Abadi" w:cs="Calibri"/>
                <w:b/>
                <w:bCs/>
                <w:sz w:val="21"/>
                <w:szCs w:val="21"/>
              </w:rPr>
              <w:t>152.</w:t>
            </w:r>
            <w:r w:rsidRPr="00401C70">
              <w:rPr>
                <w:rFonts w:ascii="Abadi" w:hAnsi="Abadi" w:cs="Calibri"/>
                <w:b/>
                <w:bCs/>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administración</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organismos descentralizados estará a cargo de</w:t>
            </w:r>
            <w:r w:rsidRPr="00401C70">
              <w:rPr>
                <w:rFonts w:ascii="Abadi" w:hAnsi="Abadi" w:cs="Calibri"/>
                <w:spacing w:val="-47"/>
                <w:sz w:val="21"/>
                <w:szCs w:val="21"/>
              </w:rPr>
              <w:t xml:space="preserve"> </w:t>
            </w:r>
            <w:r w:rsidRPr="00401C70">
              <w:rPr>
                <w:rFonts w:ascii="Abadi" w:hAnsi="Abadi" w:cs="Calibri"/>
                <w:sz w:val="21"/>
                <w:szCs w:val="21"/>
              </w:rPr>
              <w:t>un órgano de gobierno, que será un consejo</w:t>
            </w:r>
            <w:r w:rsidRPr="00401C70">
              <w:rPr>
                <w:rFonts w:ascii="Abadi" w:hAnsi="Abadi" w:cs="Calibri"/>
                <w:spacing w:val="1"/>
                <w:sz w:val="21"/>
                <w:szCs w:val="21"/>
              </w:rPr>
              <w:t xml:space="preserve"> </w:t>
            </w:r>
            <w:r w:rsidRPr="00401C70">
              <w:rPr>
                <w:rFonts w:ascii="Abadi" w:hAnsi="Abadi" w:cs="Calibri"/>
                <w:sz w:val="21"/>
                <w:szCs w:val="21"/>
              </w:rPr>
              <w:t>directivo</w:t>
            </w:r>
            <w:r w:rsidRPr="00401C70">
              <w:rPr>
                <w:rFonts w:ascii="Abadi" w:hAnsi="Abadi" w:cs="Calibri"/>
                <w:spacing w:val="1"/>
                <w:sz w:val="21"/>
                <w:szCs w:val="21"/>
              </w:rPr>
              <w:t xml:space="preserve"> </w:t>
            </w:r>
            <w:r w:rsidRPr="00401C70">
              <w:rPr>
                <w:rFonts w:ascii="Abadi" w:hAnsi="Abadi" w:cs="Calibri"/>
                <w:sz w:val="21"/>
                <w:szCs w:val="21"/>
              </w:rPr>
              <w:t>o</w:t>
            </w:r>
            <w:r w:rsidRPr="00401C70">
              <w:rPr>
                <w:rFonts w:ascii="Abadi" w:hAnsi="Abadi" w:cs="Calibri"/>
                <w:spacing w:val="1"/>
                <w:sz w:val="21"/>
                <w:szCs w:val="21"/>
              </w:rPr>
              <w:t xml:space="preserve"> </w:t>
            </w:r>
            <w:r w:rsidRPr="00401C70">
              <w:rPr>
                <w:rFonts w:ascii="Abadi" w:hAnsi="Abadi" w:cs="Calibri"/>
                <w:sz w:val="21"/>
                <w:szCs w:val="21"/>
              </w:rPr>
              <w:t>su</w:t>
            </w:r>
            <w:r w:rsidRPr="00401C70">
              <w:rPr>
                <w:rFonts w:ascii="Abadi" w:hAnsi="Abadi" w:cs="Calibri"/>
                <w:spacing w:val="1"/>
                <w:sz w:val="21"/>
                <w:szCs w:val="21"/>
              </w:rPr>
              <w:t xml:space="preserve"> </w:t>
            </w:r>
            <w:r w:rsidRPr="00401C70">
              <w:rPr>
                <w:rFonts w:ascii="Abadi" w:hAnsi="Abadi" w:cs="Calibri"/>
                <w:sz w:val="21"/>
                <w:szCs w:val="21"/>
              </w:rPr>
              <w:t>equivalente,</w:t>
            </w:r>
            <w:r w:rsidRPr="00401C70">
              <w:rPr>
                <w:rFonts w:ascii="Abadi" w:hAnsi="Abadi" w:cs="Calibri"/>
                <w:spacing w:val="1"/>
                <w:sz w:val="21"/>
                <w:szCs w:val="21"/>
              </w:rPr>
              <w:t xml:space="preserve"> </w:t>
            </w:r>
            <w:r w:rsidRPr="00401C70">
              <w:rPr>
                <w:rFonts w:ascii="Abadi" w:hAnsi="Abadi" w:cs="Calibri"/>
                <w:sz w:val="21"/>
                <w:szCs w:val="21"/>
              </w:rPr>
              <w:t>designado</w:t>
            </w:r>
            <w:r w:rsidRPr="00401C70">
              <w:rPr>
                <w:rFonts w:ascii="Abadi" w:hAnsi="Abadi" w:cs="Calibri"/>
                <w:spacing w:val="1"/>
                <w:sz w:val="21"/>
                <w:szCs w:val="21"/>
              </w:rPr>
              <w:t xml:space="preserve"> </w:t>
            </w:r>
            <w:r w:rsidRPr="00401C70">
              <w:rPr>
                <w:rFonts w:ascii="Abadi" w:hAnsi="Abadi" w:cs="Calibri"/>
                <w:sz w:val="21"/>
                <w:szCs w:val="21"/>
              </w:rPr>
              <w:t>por</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47"/>
                <w:sz w:val="21"/>
                <w:szCs w:val="21"/>
              </w:rPr>
              <w:t xml:space="preserve"> </w:t>
            </w:r>
            <w:r w:rsidRPr="00401C70">
              <w:rPr>
                <w:rFonts w:ascii="Abadi" w:hAnsi="Abadi" w:cs="Calibri"/>
                <w:sz w:val="21"/>
                <w:szCs w:val="21"/>
              </w:rPr>
              <w:t>Ayuntamiento en los términos del acuerdo y</w:t>
            </w:r>
            <w:r w:rsidRPr="00401C70">
              <w:rPr>
                <w:rFonts w:ascii="Abadi" w:hAnsi="Abadi" w:cs="Calibri"/>
                <w:spacing w:val="1"/>
                <w:sz w:val="21"/>
                <w:szCs w:val="21"/>
              </w:rPr>
              <w:t xml:space="preserve"> </w:t>
            </w:r>
            <w:r w:rsidRPr="00401C70">
              <w:rPr>
                <w:rFonts w:ascii="Abadi" w:hAnsi="Abadi" w:cs="Calibri"/>
                <w:sz w:val="21"/>
                <w:szCs w:val="21"/>
              </w:rPr>
              <w:t>reglamento</w:t>
            </w:r>
            <w:r w:rsidRPr="00401C70">
              <w:rPr>
                <w:rFonts w:ascii="Abadi" w:hAnsi="Abadi" w:cs="Calibri"/>
                <w:spacing w:val="-2"/>
                <w:sz w:val="21"/>
                <w:szCs w:val="21"/>
              </w:rPr>
              <w:t xml:space="preserve"> </w:t>
            </w:r>
            <w:r w:rsidRPr="00401C70">
              <w:rPr>
                <w:rFonts w:ascii="Abadi" w:hAnsi="Abadi" w:cs="Calibri"/>
                <w:sz w:val="21"/>
                <w:szCs w:val="21"/>
              </w:rPr>
              <w:t>respectivo.</w:t>
            </w:r>
          </w:p>
        </w:tc>
        <w:tc>
          <w:tcPr>
            <w:tcW w:w="2413" w:type="pct"/>
            <w:tcBorders>
              <w:top w:val="single" w:sz="4" w:space="0" w:color="000000"/>
              <w:left w:val="single" w:sz="4" w:space="0" w:color="000000"/>
              <w:bottom w:val="single" w:sz="4" w:space="0" w:color="000000"/>
              <w:right w:val="single" w:sz="4" w:space="0" w:color="000000"/>
            </w:tcBorders>
          </w:tcPr>
          <w:p w14:paraId="7F7739ED" w14:textId="77777777" w:rsidR="00677B7E" w:rsidRPr="00401C70" w:rsidRDefault="00677B7E" w:rsidP="00FA2590">
            <w:pPr>
              <w:kinsoku w:val="0"/>
              <w:overflowPunct w:val="0"/>
              <w:autoSpaceDE w:val="0"/>
              <w:autoSpaceDN w:val="0"/>
              <w:adjustRightInd w:val="0"/>
              <w:ind w:left="107" w:right="93"/>
              <w:jc w:val="both"/>
              <w:rPr>
                <w:rFonts w:ascii="Abadi" w:hAnsi="Abadi" w:cs="Calibri"/>
                <w:b/>
                <w:bCs/>
                <w:i/>
                <w:iCs/>
                <w:sz w:val="21"/>
                <w:szCs w:val="21"/>
              </w:rPr>
            </w:pPr>
            <w:r w:rsidRPr="00401C70">
              <w:rPr>
                <w:rFonts w:ascii="Abadi" w:hAnsi="Abadi" w:cs="Calibri"/>
                <w:b/>
                <w:bCs/>
                <w:sz w:val="21"/>
                <w:szCs w:val="21"/>
              </w:rPr>
              <w:t>Artículo</w:t>
            </w:r>
            <w:r w:rsidRPr="00401C70">
              <w:rPr>
                <w:rFonts w:ascii="Abadi" w:hAnsi="Abadi" w:cs="Calibri"/>
                <w:b/>
                <w:bCs/>
                <w:spacing w:val="1"/>
                <w:sz w:val="21"/>
                <w:szCs w:val="21"/>
              </w:rPr>
              <w:t xml:space="preserve"> </w:t>
            </w:r>
            <w:r w:rsidRPr="00401C70">
              <w:rPr>
                <w:rFonts w:ascii="Abadi" w:hAnsi="Abadi" w:cs="Calibri"/>
                <w:b/>
                <w:bCs/>
                <w:sz w:val="21"/>
                <w:szCs w:val="21"/>
              </w:rPr>
              <w:t>152.</w:t>
            </w:r>
            <w:r w:rsidRPr="00401C70">
              <w:rPr>
                <w:rFonts w:ascii="Abadi" w:hAnsi="Abadi" w:cs="Calibri"/>
                <w:b/>
                <w:bCs/>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administración</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organismos descentralizados estará a cargo de</w:t>
            </w:r>
            <w:r w:rsidRPr="00401C70">
              <w:rPr>
                <w:rFonts w:ascii="Abadi" w:hAnsi="Abadi" w:cs="Calibri"/>
                <w:spacing w:val="-47"/>
                <w:sz w:val="21"/>
                <w:szCs w:val="21"/>
              </w:rPr>
              <w:t xml:space="preserve"> </w:t>
            </w:r>
            <w:r w:rsidRPr="00401C70">
              <w:rPr>
                <w:rFonts w:ascii="Abadi" w:hAnsi="Abadi" w:cs="Calibri"/>
                <w:sz w:val="21"/>
                <w:szCs w:val="21"/>
              </w:rPr>
              <w:t>un órgano de gobierno, que será un consejo</w:t>
            </w:r>
            <w:r w:rsidRPr="00401C70">
              <w:rPr>
                <w:rFonts w:ascii="Abadi" w:hAnsi="Abadi" w:cs="Calibri"/>
                <w:spacing w:val="1"/>
                <w:sz w:val="21"/>
                <w:szCs w:val="21"/>
              </w:rPr>
              <w:t xml:space="preserve"> </w:t>
            </w:r>
            <w:r w:rsidRPr="00401C70">
              <w:rPr>
                <w:rFonts w:ascii="Abadi" w:hAnsi="Abadi" w:cs="Calibri"/>
                <w:sz w:val="21"/>
                <w:szCs w:val="21"/>
              </w:rPr>
              <w:t>directivo</w:t>
            </w:r>
            <w:r w:rsidRPr="00401C70">
              <w:rPr>
                <w:rFonts w:ascii="Abadi" w:hAnsi="Abadi" w:cs="Calibri"/>
                <w:spacing w:val="1"/>
                <w:sz w:val="21"/>
                <w:szCs w:val="21"/>
              </w:rPr>
              <w:t xml:space="preserve"> </w:t>
            </w:r>
            <w:r w:rsidRPr="00401C70">
              <w:rPr>
                <w:rFonts w:ascii="Abadi" w:hAnsi="Abadi" w:cs="Calibri"/>
                <w:sz w:val="21"/>
                <w:szCs w:val="21"/>
              </w:rPr>
              <w:t>o</w:t>
            </w:r>
            <w:r w:rsidRPr="00401C70">
              <w:rPr>
                <w:rFonts w:ascii="Abadi" w:hAnsi="Abadi" w:cs="Calibri"/>
                <w:spacing w:val="1"/>
                <w:sz w:val="21"/>
                <w:szCs w:val="21"/>
              </w:rPr>
              <w:t xml:space="preserve"> </w:t>
            </w:r>
            <w:r w:rsidRPr="00401C70">
              <w:rPr>
                <w:rFonts w:ascii="Abadi" w:hAnsi="Abadi" w:cs="Calibri"/>
                <w:sz w:val="21"/>
                <w:szCs w:val="21"/>
              </w:rPr>
              <w:t>su</w:t>
            </w:r>
            <w:r w:rsidRPr="00401C70">
              <w:rPr>
                <w:rFonts w:ascii="Abadi" w:hAnsi="Abadi" w:cs="Calibri"/>
                <w:spacing w:val="1"/>
                <w:sz w:val="21"/>
                <w:szCs w:val="21"/>
              </w:rPr>
              <w:t xml:space="preserve"> </w:t>
            </w:r>
            <w:r w:rsidRPr="00401C70">
              <w:rPr>
                <w:rFonts w:ascii="Abadi" w:hAnsi="Abadi" w:cs="Calibri"/>
                <w:sz w:val="21"/>
                <w:szCs w:val="21"/>
              </w:rPr>
              <w:t>equivalente,</w:t>
            </w:r>
            <w:r w:rsidRPr="00401C70">
              <w:rPr>
                <w:rFonts w:ascii="Abadi" w:hAnsi="Abadi" w:cs="Calibri"/>
                <w:spacing w:val="1"/>
                <w:sz w:val="21"/>
                <w:szCs w:val="21"/>
              </w:rPr>
              <w:t xml:space="preserve"> </w:t>
            </w:r>
            <w:r w:rsidRPr="00401C70">
              <w:rPr>
                <w:rFonts w:ascii="Abadi" w:hAnsi="Abadi" w:cs="Calibri"/>
                <w:sz w:val="21"/>
                <w:szCs w:val="21"/>
              </w:rPr>
              <w:t>designado</w:t>
            </w:r>
            <w:r w:rsidRPr="00401C70">
              <w:rPr>
                <w:rFonts w:ascii="Abadi" w:hAnsi="Abadi" w:cs="Calibri"/>
                <w:spacing w:val="1"/>
                <w:sz w:val="21"/>
                <w:szCs w:val="21"/>
              </w:rPr>
              <w:t xml:space="preserve"> </w:t>
            </w:r>
            <w:r w:rsidRPr="00401C70">
              <w:rPr>
                <w:rFonts w:ascii="Abadi" w:hAnsi="Abadi" w:cs="Calibri"/>
                <w:sz w:val="21"/>
                <w:szCs w:val="21"/>
              </w:rPr>
              <w:t>por</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47"/>
                <w:sz w:val="21"/>
                <w:szCs w:val="21"/>
              </w:rPr>
              <w:t xml:space="preserve"> </w:t>
            </w:r>
            <w:r w:rsidRPr="00401C70">
              <w:rPr>
                <w:rFonts w:ascii="Abadi" w:hAnsi="Abadi" w:cs="Calibri"/>
                <w:sz w:val="21"/>
                <w:szCs w:val="21"/>
              </w:rPr>
              <w:t>Ayuntamiento en los términos del acuerdo y</w:t>
            </w:r>
            <w:r w:rsidRPr="00401C70">
              <w:rPr>
                <w:rFonts w:ascii="Abadi" w:hAnsi="Abadi" w:cs="Calibri"/>
                <w:spacing w:val="1"/>
                <w:sz w:val="21"/>
                <w:szCs w:val="21"/>
              </w:rPr>
              <w:t xml:space="preserve"> </w:t>
            </w:r>
            <w:r w:rsidRPr="00401C70">
              <w:rPr>
                <w:rFonts w:ascii="Abadi" w:hAnsi="Abadi" w:cs="Calibri"/>
                <w:sz w:val="21"/>
                <w:szCs w:val="21"/>
              </w:rPr>
              <w:t>reglamento</w:t>
            </w:r>
            <w:r w:rsidRPr="00401C70">
              <w:rPr>
                <w:rFonts w:ascii="Abadi" w:hAnsi="Abadi" w:cs="Calibri"/>
                <w:spacing w:val="1"/>
                <w:sz w:val="21"/>
                <w:szCs w:val="21"/>
              </w:rPr>
              <w:t xml:space="preserve"> </w:t>
            </w:r>
            <w:r w:rsidRPr="00401C70">
              <w:rPr>
                <w:rFonts w:ascii="Abadi" w:hAnsi="Abadi" w:cs="Calibri"/>
                <w:sz w:val="21"/>
                <w:szCs w:val="21"/>
              </w:rPr>
              <w:t>respectivo</w:t>
            </w:r>
            <w:r w:rsidRPr="00401C70">
              <w:rPr>
                <w:rFonts w:ascii="Abadi" w:hAnsi="Abadi" w:cs="Calibri"/>
                <w:spacing w:val="1"/>
                <w:sz w:val="21"/>
                <w:szCs w:val="21"/>
              </w:rPr>
              <w:t xml:space="preserve"> </w:t>
            </w:r>
            <w:r w:rsidRPr="00401C70">
              <w:rPr>
                <w:rFonts w:ascii="Abadi" w:hAnsi="Abadi" w:cs="Calibri"/>
                <w:b/>
                <w:bCs/>
                <w:i/>
                <w:iCs/>
                <w:sz w:val="21"/>
                <w:szCs w:val="21"/>
              </w:rPr>
              <w:t>y</w:t>
            </w:r>
            <w:r w:rsidRPr="00401C70">
              <w:rPr>
                <w:rFonts w:ascii="Abadi" w:hAnsi="Abadi" w:cs="Calibri"/>
                <w:b/>
                <w:bCs/>
                <w:i/>
                <w:iCs/>
                <w:spacing w:val="1"/>
                <w:sz w:val="21"/>
                <w:szCs w:val="21"/>
              </w:rPr>
              <w:t xml:space="preserve"> </w:t>
            </w:r>
            <w:r w:rsidRPr="00401C70">
              <w:rPr>
                <w:rFonts w:ascii="Abadi" w:hAnsi="Abadi" w:cs="Calibri"/>
                <w:b/>
                <w:bCs/>
                <w:i/>
                <w:iCs/>
                <w:sz w:val="21"/>
                <w:szCs w:val="21"/>
              </w:rPr>
              <w:t>observando</w:t>
            </w:r>
            <w:r w:rsidRPr="00401C70">
              <w:rPr>
                <w:rFonts w:ascii="Abadi" w:hAnsi="Abadi" w:cs="Calibri"/>
                <w:b/>
                <w:bCs/>
                <w:i/>
                <w:iCs/>
                <w:spacing w:val="1"/>
                <w:sz w:val="21"/>
                <w:szCs w:val="21"/>
              </w:rPr>
              <w:t xml:space="preserve"> </w:t>
            </w:r>
            <w:r w:rsidRPr="00401C70">
              <w:rPr>
                <w:rFonts w:ascii="Abadi" w:hAnsi="Abadi" w:cs="Calibri"/>
                <w:b/>
                <w:bCs/>
                <w:i/>
                <w:iCs/>
                <w:sz w:val="21"/>
                <w:szCs w:val="21"/>
              </w:rPr>
              <w:t>el</w:t>
            </w:r>
            <w:r w:rsidRPr="00401C70">
              <w:rPr>
                <w:rFonts w:ascii="Abadi" w:hAnsi="Abadi" w:cs="Calibri"/>
                <w:b/>
                <w:bCs/>
                <w:i/>
                <w:iCs/>
                <w:spacing w:val="1"/>
                <w:sz w:val="21"/>
                <w:szCs w:val="21"/>
              </w:rPr>
              <w:t xml:space="preserve"> </w:t>
            </w:r>
            <w:r w:rsidRPr="00401C70">
              <w:rPr>
                <w:rFonts w:ascii="Abadi" w:hAnsi="Abadi" w:cs="Calibri"/>
                <w:b/>
                <w:bCs/>
                <w:i/>
                <w:iCs/>
                <w:sz w:val="21"/>
                <w:szCs w:val="21"/>
              </w:rPr>
              <w:t>principio</w:t>
            </w:r>
            <w:r w:rsidRPr="00401C70">
              <w:rPr>
                <w:rFonts w:ascii="Abadi" w:hAnsi="Abadi" w:cs="Calibri"/>
                <w:b/>
                <w:bCs/>
                <w:i/>
                <w:iCs/>
                <w:spacing w:val="-2"/>
                <w:sz w:val="21"/>
                <w:szCs w:val="21"/>
              </w:rPr>
              <w:t xml:space="preserve"> </w:t>
            </w:r>
            <w:r w:rsidRPr="00401C70">
              <w:rPr>
                <w:rFonts w:ascii="Abadi" w:hAnsi="Abadi" w:cs="Calibri"/>
                <w:b/>
                <w:bCs/>
                <w:i/>
                <w:iCs/>
                <w:sz w:val="21"/>
                <w:szCs w:val="21"/>
              </w:rPr>
              <w:t>de</w:t>
            </w:r>
            <w:r w:rsidRPr="00401C70">
              <w:rPr>
                <w:rFonts w:ascii="Abadi" w:hAnsi="Abadi" w:cs="Calibri"/>
                <w:b/>
                <w:bCs/>
                <w:i/>
                <w:iCs/>
                <w:spacing w:val="-3"/>
                <w:sz w:val="21"/>
                <w:szCs w:val="21"/>
              </w:rPr>
              <w:t xml:space="preserve"> </w:t>
            </w:r>
            <w:r w:rsidRPr="00401C70">
              <w:rPr>
                <w:rFonts w:ascii="Abadi" w:hAnsi="Abadi" w:cs="Calibri"/>
                <w:b/>
                <w:bCs/>
                <w:i/>
                <w:iCs/>
                <w:sz w:val="21"/>
                <w:szCs w:val="21"/>
              </w:rPr>
              <w:t>paridad</w:t>
            </w:r>
            <w:r w:rsidRPr="00401C70">
              <w:rPr>
                <w:rFonts w:ascii="Abadi" w:hAnsi="Abadi" w:cs="Calibri"/>
                <w:b/>
                <w:bCs/>
                <w:i/>
                <w:iCs/>
                <w:spacing w:val="-2"/>
                <w:sz w:val="21"/>
                <w:szCs w:val="21"/>
              </w:rPr>
              <w:t xml:space="preserve"> </w:t>
            </w:r>
            <w:r w:rsidRPr="00401C70">
              <w:rPr>
                <w:rFonts w:ascii="Abadi" w:hAnsi="Abadi" w:cs="Calibri"/>
                <w:b/>
                <w:bCs/>
                <w:i/>
                <w:iCs/>
                <w:sz w:val="21"/>
                <w:szCs w:val="21"/>
              </w:rPr>
              <w:t>de</w:t>
            </w:r>
            <w:r w:rsidRPr="00401C70">
              <w:rPr>
                <w:rFonts w:ascii="Abadi" w:hAnsi="Abadi" w:cs="Calibri"/>
                <w:b/>
                <w:bCs/>
                <w:i/>
                <w:iCs/>
                <w:spacing w:val="-3"/>
                <w:sz w:val="21"/>
                <w:szCs w:val="21"/>
              </w:rPr>
              <w:t xml:space="preserve"> </w:t>
            </w:r>
            <w:r w:rsidRPr="00401C70">
              <w:rPr>
                <w:rFonts w:ascii="Abadi" w:hAnsi="Abadi" w:cs="Calibri"/>
                <w:b/>
                <w:bCs/>
                <w:i/>
                <w:iCs/>
                <w:sz w:val="21"/>
                <w:szCs w:val="21"/>
              </w:rPr>
              <w:t>género.</w:t>
            </w:r>
          </w:p>
        </w:tc>
      </w:tr>
    </w:tbl>
    <w:p w14:paraId="4E4664A3" w14:textId="77777777" w:rsidR="00677B7E" w:rsidRPr="00401C70" w:rsidRDefault="00677B7E" w:rsidP="00677B7E">
      <w:pPr>
        <w:kinsoku w:val="0"/>
        <w:overflowPunct w:val="0"/>
        <w:autoSpaceDE w:val="0"/>
        <w:autoSpaceDN w:val="0"/>
        <w:adjustRightInd w:val="0"/>
        <w:spacing w:before="7"/>
        <w:jc w:val="both"/>
        <w:rPr>
          <w:rFonts w:ascii="Abadi" w:hAnsi="Abadi"/>
          <w:sz w:val="21"/>
          <w:szCs w:val="21"/>
        </w:rPr>
      </w:pPr>
    </w:p>
    <w:tbl>
      <w:tblPr>
        <w:tblW w:w="5000" w:type="pct"/>
        <w:tblCellMar>
          <w:left w:w="0" w:type="dxa"/>
          <w:right w:w="0" w:type="dxa"/>
        </w:tblCellMar>
        <w:tblLook w:val="0000" w:firstRow="0" w:lastRow="0" w:firstColumn="0" w:lastColumn="0" w:noHBand="0" w:noVBand="0"/>
      </w:tblPr>
      <w:tblGrid>
        <w:gridCol w:w="2050"/>
        <w:gridCol w:w="2051"/>
      </w:tblGrid>
      <w:tr w:rsidR="00677B7E" w:rsidRPr="00401C70" w14:paraId="1411D304" w14:textId="77777777" w:rsidTr="00EE3E2D">
        <w:trPr>
          <w:trHeight w:val="2035"/>
        </w:trPr>
        <w:tc>
          <w:tcPr>
            <w:tcW w:w="2500" w:type="pct"/>
            <w:tcBorders>
              <w:top w:val="single" w:sz="4" w:space="0" w:color="000000"/>
              <w:left w:val="single" w:sz="4" w:space="0" w:color="000000"/>
              <w:bottom w:val="none" w:sz="6" w:space="0" w:color="auto"/>
              <w:right w:val="single" w:sz="4" w:space="0" w:color="000000"/>
            </w:tcBorders>
          </w:tcPr>
          <w:p w14:paraId="7D8F9009" w14:textId="77777777" w:rsidR="00677B7E" w:rsidRPr="00401C70" w:rsidRDefault="00677B7E" w:rsidP="00FA2590">
            <w:pPr>
              <w:kinsoku w:val="0"/>
              <w:overflowPunct w:val="0"/>
              <w:autoSpaceDE w:val="0"/>
              <w:autoSpaceDN w:val="0"/>
              <w:adjustRightInd w:val="0"/>
              <w:ind w:left="107" w:right="93"/>
              <w:jc w:val="both"/>
              <w:rPr>
                <w:rFonts w:ascii="Abadi" w:hAnsi="Abadi" w:cs="Calibri"/>
                <w:sz w:val="21"/>
                <w:szCs w:val="21"/>
              </w:rPr>
            </w:pPr>
            <w:r w:rsidRPr="00401C70">
              <w:rPr>
                <w:rFonts w:ascii="Abadi" w:hAnsi="Abadi" w:cs="Calibri"/>
                <w:sz w:val="21"/>
                <w:szCs w:val="21"/>
              </w:rPr>
              <w:t>El</w:t>
            </w:r>
            <w:r w:rsidRPr="00401C70">
              <w:rPr>
                <w:rFonts w:ascii="Abadi" w:hAnsi="Abadi" w:cs="Calibri"/>
                <w:spacing w:val="-7"/>
                <w:sz w:val="21"/>
                <w:szCs w:val="21"/>
              </w:rPr>
              <w:t xml:space="preserve"> </w:t>
            </w:r>
            <w:r w:rsidRPr="00401C70">
              <w:rPr>
                <w:rFonts w:ascii="Abadi" w:hAnsi="Abadi" w:cs="Calibri"/>
                <w:sz w:val="21"/>
                <w:szCs w:val="21"/>
              </w:rPr>
              <w:t>consejo</w:t>
            </w:r>
            <w:r w:rsidRPr="00401C70">
              <w:rPr>
                <w:rFonts w:ascii="Abadi" w:hAnsi="Abadi" w:cs="Calibri"/>
                <w:spacing w:val="-5"/>
                <w:sz w:val="21"/>
                <w:szCs w:val="21"/>
              </w:rPr>
              <w:t xml:space="preserve"> </w:t>
            </w:r>
            <w:r w:rsidRPr="00401C70">
              <w:rPr>
                <w:rFonts w:ascii="Abadi" w:hAnsi="Abadi" w:cs="Calibri"/>
                <w:sz w:val="21"/>
                <w:szCs w:val="21"/>
              </w:rPr>
              <w:t>directivo</w:t>
            </w:r>
            <w:r w:rsidRPr="00401C70">
              <w:rPr>
                <w:rFonts w:ascii="Abadi" w:hAnsi="Abadi" w:cs="Calibri"/>
                <w:spacing w:val="-10"/>
                <w:sz w:val="21"/>
                <w:szCs w:val="21"/>
              </w:rPr>
              <w:t xml:space="preserve"> </w:t>
            </w:r>
            <w:r w:rsidRPr="00401C70">
              <w:rPr>
                <w:rFonts w:ascii="Abadi" w:hAnsi="Abadi" w:cs="Calibri"/>
                <w:sz w:val="21"/>
                <w:szCs w:val="21"/>
              </w:rPr>
              <w:t>o</w:t>
            </w:r>
            <w:r w:rsidRPr="00401C70">
              <w:rPr>
                <w:rFonts w:ascii="Abadi" w:hAnsi="Abadi" w:cs="Calibri"/>
                <w:spacing w:val="-5"/>
                <w:sz w:val="21"/>
                <w:szCs w:val="21"/>
              </w:rPr>
              <w:t xml:space="preserve"> </w:t>
            </w:r>
            <w:r w:rsidRPr="00401C70">
              <w:rPr>
                <w:rFonts w:ascii="Abadi" w:hAnsi="Abadi" w:cs="Calibri"/>
                <w:sz w:val="21"/>
                <w:szCs w:val="21"/>
              </w:rPr>
              <w:t>su</w:t>
            </w:r>
            <w:r w:rsidRPr="00401C70">
              <w:rPr>
                <w:rFonts w:ascii="Abadi" w:hAnsi="Abadi" w:cs="Calibri"/>
                <w:spacing w:val="-10"/>
                <w:sz w:val="21"/>
                <w:szCs w:val="21"/>
              </w:rPr>
              <w:t xml:space="preserve"> </w:t>
            </w:r>
            <w:r w:rsidRPr="00401C70">
              <w:rPr>
                <w:rFonts w:ascii="Abadi" w:hAnsi="Abadi" w:cs="Calibri"/>
                <w:sz w:val="21"/>
                <w:szCs w:val="21"/>
              </w:rPr>
              <w:t>equivalente,</w:t>
            </w:r>
            <w:r w:rsidRPr="00401C70">
              <w:rPr>
                <w:rFonts w:ascii="Abadi" w:hAnsi="Abadi" w:cs="Calibri"/>
                <w:spacing w:val="-9"/>
                <w:sz w:val="21"/>
                <w:szCs w:val="21"/>
              </w:rPr>
              <w:t xml:space="preserve"> </w:t>
            </w:r>
            <w:r w:rsidRPr="00401C70">
              <w:rPr>
                <w:rFonts w:ascii="Abadi" w:hAnsi="Abadi" w:cs="Calibri"/>
                <w:sz w:val="21"/>
                <w:szCs w:val="21"/>
              </w:rPr>
              <w:t>elegirá</w:t>
            </w:r>
            <w:r w:rsidRPr="00401C70">
              <w:rPr>
                <w:rFonts w:ascii="Abadi" w:hAnsi="Abadi" w:cs="Calibri"/>
                <w:spacing w:val="-7"/>
                <w:sz w:val="21"/>
                <w:szCs w:val="21"/>
              </w:rPr>
              <w:t xml:space="preserve"> </w:t>
            </w:r>
            <w:r w:rsidRPr="00401C70">
              <w:rPr>
                <w:rFonts w:ascii="Abadi" w:hAnsi="Abadi" w:cs="Calibri"/>
                <w:sz w:val="21"/>
                <w:szCs w:val="21"/>
              </w:rPr>
              <w:t>de</w:t>
            </w:r>
            <w:r w:rsidRPr="00401C70">
              <w:rPr>
                <w:rFonts w:ascii="Abadi" w:hAnsi="Abadi" w:cs="Calibri"/>
                <w:spacing w:val="-47"/>
                <w:sz w:val="21"/>
                <w:szCs w:val="21"/>
              </w:rPr>
              <w:t xml:space="preserve"> </w:t>
            </w:r>
            <w:r w:rsidRPr="00401C70">
              <w:rPr>
                <w:rFonts w:ascii="Abadi" w:hAnsi="Abadi" w:cs="Calibri"/>
                <w:sz w:val="21"/>
                <w:szCs w:val="21"/>
              </w:rPr>
              <w:t>entre sus miembros a su presidente y, en su</w:t>
            </w:r>
            <w:r w:rsidRPr="00401C70">
              <w:rPr>
                <w:rFonts w:ascii="Abadi" w:hAnsi="Abadi" w:cs="Calibri"/>
                <w:spacing w:val="1"/>
                <w:sz w:val="21"/>
                <w:szCs w:val="21"/>
              </w:rPr>
              <w:t xml:space="preserve"> </w:t>
            </w:r>
            <w:r w:rsidRPr="00401C70">
              <w:rPr>
                <w:rFonts w:ascii="Abadi" w:hAnsi="Abadi" w:cs="Calibri"/>
                <w:sz w:val="21"/>
                <w:szCs w:val="21"/>
              </w:rPr>
              <w:t>caso,</w:t>
            </w:r>
            <w:r w:rsidRPr="00401C70">
              <w:rPr>
                <w:rFonts w:ascii="Abadi" w:hAnsi="Abadi" w:cs="Calibri"/>
                <w:spacing w:val="1"/>
                <w:sz w:val="21"/>
                <w:szCs w:val="21"/>
              </w:rPr>
              <w:t xml:space="preserve"> </w:t>
            </w:r>
            <w:r w:rsidRPr="00401C70">
              <w:rPr>
                <w:rFonts w:ascii="Abadi" w:hAnsi="Abadi" w:cs="Calibri"/>
                <w:sz w:val="21"/>
                <w:szCs w:val="21"/>
              </w:rPr>
              <w:t>designará</w:t>
            </w:r>
            <w:r w:rsidRPr="00401C70">
              <w:rPr>
                <w:rFonts w:ascii="Abadi" w:hAnsi="Abadi" w:cs="Calibri"/>
                <w:spacing w:val="1"/>
                <w:sz w:val="21"/>
                <w:szCs w:val="21"/>
              </w:rPr>
              <w:t xml:space="preserve"> </w:t>
            </w:r>
            <w:r w:rsidRPr="00401C70">
              <w:rPr>
                <w:rFonts w:ascii="Abadi" w:hAnsi="Abadi" w:cs="Calibri"/>
                <w:sz w:val="21"/>
                <w:szCs w:val="21"/>
              </w:rPr>
              <w:t>al</w:t>
            </w:r>
            <w:r w:rsidRPr="00401C70">
              <w:rPr>
                <w:rFonts w:ascii="Abadi" w:hAnsi="Abadi" w:cs="Calibri"/>
                <w:spacing w:val="1"/>
                <w:sz w:val="21"/>
                <w:szCs w:val="21"/>
              </w:rPr>
              <w:t xml:space="preserve"> </w:t>
            </w:r>
            <w:r w:rsidRPr="00401C70">
              <w:rPr>
                <w:rFonts w:ascii="Abadi" w:hAnsi="Abadi" w:cs="Calibri"/>
                <w:sz w:val="21"/>
                <w:szCs w:val="21"/>
              </w:rPr>
              <w:t>director</w:t>
            </w:r>
            <w:r w:rsidRPr="00401C70">
              <w:rPr>
                <w:rFonts w:ascii="Abadi" w:hAnsi="Abadi" w:cs="Calibri"/>
                <w:spacing w:val="1"/>
                <w:sz w:val="21"/>
                <w:szCs w:val="21"/>
              </w:rPr>
              <w:t xml:space="preserve"> </w:t>
            </w:r>
            <w:r w:rsidRPr="00401C70">
              <w:rPr>
                <w:rFonts w:ascii="Abadi" w:hAnsi="Abadi" w:cs="Calibri"/>
                <w:sz w:val="21"/>
                <w:szCs w:val="21"/>
              </w:rPr>
              <w:t>general</w:t>
            </w:r>
            <w:r w:rsidRPr="00401C70">
              <w:rPr>
                <w:rFonts w:ascii="Abadi" w:hAnsi="Abadi" w:cs="Calibri"/>
                <w:spacing w:val="1"/>
                <w:sz w:val="21"/>
                <w:szCs w:val="21"/>
              </w:rPr>
              <w:t xml:space="preserve"> </w:t>
            </w:r>
            <w:r w:rsidRPr="00401C70">
              <w:rPr>
                <w:rFonts w:ascii="Abadi" w:hAnsi="Abadi" w:cs="Calibri"/>
                <w:sz w:val="21"/>
                <w:szCs w:val="21"/>
              </w:rPr>
              <w:t>y</w:t>
            </w:r>
            <w:r w:rsidRPr="00401C70">
              <w:rPr>
                <w:rFonts w:ascii="Abadi" w:hAnsi="Abadi" w:cs="Calibri"/>
                <w:spacing w:val="1"/>
                <w:sz w:val="21"/>
                <w:szCs w:val="21"/>
              </w:rPr>
              <w:t xml:space="preserve"> </w:t>
            </w:r>
            <w:r w:rsidRPr="00401C70">
              <w:rPr>
                <w:rFonts w:ascii="Abadi" w:hAnsi="Abadi" w:cs="Calibri"/>
                <w:sz w:val="21"/>
                <w:szCs w:val="21"/>
              </w:rPr>
              <w:t>demás</w:t>
            </w:r>
            <w:r w:rsidRPr="00401C70">
              <w:rPr>
                <w:rFonts w:ascii="Abadi" w:hAnsi="Abadi" w:cs="Calibri"/>
                <w:spacing w:val="1"/>
                <w:sz w:val="21"/>
                <w:szCs w:val="21"/>
              </w:rPr>
              <w:t xml:space="preserve"> </w:t>
            </w:r>
            <w:r w:rsidRPr="00401C70">
              <w:rPr>
                <w:rFonts w:ascii="Abadi" w:hAnsi="Abadi" w:cs="Calibri"/>
                <w:spacing w:val="-1"/>
                <w:sz w:val="21"/>
                <w:szCs w:val="21"/>
              </w:rPr>
              <w:t>personal</w:t>
            </w:r>
            <w:r w:rsidRPr="00401C70">
              <w:rPr>
                <w:rFonts w:ascii="Abadi" w:hAnsi="Abadi" w:cs="Calibri"/>
                <w:spacing w:val="-11"/>
                <w:sz w:val="21"/>
                <w:szCs w:val="21"/>
              </w:rPr>
              <w:t xml:space="preserve"> </w:t>
            </w:r>
            <w:r w:rsidRPr="00401C70">
              <w:rPr>
                <w:rFonts w:ascii="Abadi" w:hAnsi="Abadi" w:cs="Calibri"/>
                <w:sz w:val="21"/>
                <w:szCs w:val="21"/>
              </w:rPr>
              <w:t>necesario</w:t>
            </w:r>
            <w:r w:rsidRPr="00401C70">
              <w:rPr>
                <w:rFonts w:ascii="Abadi" w:hAnsi="Abadi" w:cs="Calibri"/>
                <w:spacing w:val="-8"/>
                <w:sz w:val="21"/>
                <w:szCs w:val="21"/>
              </w:rPr>
              <w:t xml:space="preserve"> </w:t>
            </w:r>
            <w:r w:rsidRPr="00401C70">
              <w:rPr>
                <w:rFonts w:ascii="Abadi" w:hAnsi="Abadi" w:cs="Calibri"/>
                <w:sz w:val="21"/>
                <w:szCs w:val="21"/>
              </w:rPr>
              <w:t>para</w:t>
            </w:r>
            <w:r w:rsidRPr="00401C70">
              <w:rPr>
                <w:rFonts w:ascii="Abadi" w:hAnsi="Abadi" w:cs="Calibri"/>
                <w:spacing w:val="-13"/>
                <w:sz w:val="21"/>
                <w:szCs w:val="21"/>
              </w:rPr>
              <w:t xml:space="preserve"> </w:t>
            </w:r>
            <w:r w:rsidRPr="00401C70">
              <w:rPr>
                <w:rFonts w:ascii="Abadi" w:hAnsi="Abadi" w:cs="Calibri"/>
                <w:sz w:val="21"/>
                <w:szCs w:val="21"/>
              </w:rPr>
              <w:t>el</w:t>
            </w:r>
            <w:r w:rsidRPr="00401C70">
              <w:rPr>
                <w:rFonts w:ascii="Abadi" w:hAnsi="Abadi" w:cs="Calibri"/>
                <w:spacing w:val="-9"/>
                <w:sz w:val="21"/>
                <w:szCs w:val="21"/>
              </w:rPr>
              <w:t xml:space="preserve"> </w:t>
            </w:r>
            <w:r w:rsidRPr="00401C70">
              <w:rPr>
                <w:rFonts w:ascii="Abadi" w:hAnsi="Abadi" w:cs="Calibri"/>
                <w:sz w:val="21"/>
                <w:szCs w:val="21"/>
              </w:rPr>
              <w:t>cumplimiento</w:t>
            </w:r>
            <w:r w:rsidRPr="00401C70">
              <w:rPr>
                <w:rFonts w:ascii="Abadi" w:hAnsi="Abadi" w:cs="Calibri"/>
                <w:spacing w:val="-9"/>
                <w:sz w:val="21"/>
                <w:szCs w:val="21"/>
              </w:rPr>
              <w:t xml:space="preserve"> </w:t>
            </w:r>
            <w:r w:rsidRPr="00401C70">
              <w:rPr>
                <w:rFonts w:ascii="Abadi" w:hAnsi="Abadi" w:cs="Calibri"/>
                <w:sz w:val="21"/>
                <w:szCs w:val="21"/>
              </w:rPr>
              <w:t>de</w:t>
            </w:r>
            <w:r w:rsidRPr="00401C70">
              <w:rPr>
                <w:rFonts w:ascii="Abadi" w:hAnsi="Abadi" w:cs="Calibri"/>
                <w:spacing w:val="-9"/>
                <w:sz w:val="21"/>
                <w:szCs w:val="21"/>
              </w:rPr>
              <w:t xml:space="preserve"> </w:t>
            </w:r>
            <w:r w:rsidRPr="00401C70">
              <w:rPr>
                <w:rFonts w:ascii="Abadi" w:hAnsi="Abadi" w:cs="Calibri"/>
                <w:sz w:val="21"/>
                <w:szCs w:val="21"/>
              </w:rPr>
              <w:t>sus</w:t>
            </w:r>
            <w:r w:rsidRPr="00401C70">
              <w:rPr>
                <w:rFonts w:ascii="Abadi" w:hAnsi="Abadi" w:cs="Calibri"/>
                <w:spacing w:val="-47"/>
                <w:sz w:val="21"/>
                <w:szCs w:val="21"/>
              </w:rPr>
              <w:t xml:space="preserve"> </w:t>
            </w:r>
            <w:r w:rsidRPr="00401C70">
              <w:rPr>
                <w:rFonts w:ascii="Abadi" w:hAnsi="Abadi" w:cs="Calibri"/>
                <w:sz w:val="21"/>
                <w:szCs w:val="21"/>
              </w:rPr>
              <w:t>funciones; además nombrará al titular de su</w:t>
            </w:r>
            <w:r w:rsidRPr="00401C70">
              <w:rPr>
                <w:rFonts w:ascii="Abadi" w:hAnsi="Abadi" w:cs="Calibri"/>
                <w:spacing w:val="1"/>
                <w:sz w:val="21"/>
                <w:szCs w:val="21"/>
              </w:rPr>
              <w:t xml:space="preserve"> </w:t>
            </w:r>
            <w:r w:rsidRPr="00401C70">
              <w:rPr>
                <w:rFonts w:ascii="Abadi" w:hAnsi="Abadi" w:cs="Calibri"/>
                <w:sz w:val="21"/>
                <w:szCs w:val="21"/>
              </w:rPr>
              <w:t>Unidad</w:t>
            </w:r>
            <w:r w:rsidRPr="00401C70">
              <w:rPr>
                <w:rFonts w:ascii="Abadi" w:hAnsi="Abadi" w:cs="Calibri"/>
                <w:spacing w:val="-2"/>
                <w:sz w:val="21"/>
                <w:szCs w:val="21"/>
              </w:rPr>
              <w:t xml:space="preserve"> </w:t>
            </w:r>
            <w:r w:rsidRPr="00401C70">
              <w:rPr>
                <w:rFonts w:ascii="Abadi" w:hAnsi="Abadi" w:cs="Calibri"/>
                <w:sz w:val="21"/>
                <w:szCs w:val="21"/>
              </w:rPr>
              <w:t>de Transparencia.</w:t>
            </w:r>
          </w:p>
        </w:tc>
        <w:tc>
          <w:tcPr>
            <w:tcW w:w="2500" w:type="pct"/>
            <w:tcBorders>
              <w:top w:val="single" w:sz="4" w:space="0" w:color="000000"/>
              <w:left w:val="single" w:sz="4" w:space="0" w:color="000000"/>
              <w:bottom w:val="none" w:sz="6" w:space="0" w:color="auto"/>
              <w:right w:val="single" w:sz="4" w:space="0" w:color="000000"/>
            </w:tcBorders>
          </w:tcPr>
          <w:p w14:paraId="0795ACC6" w14:textId="77777777" w:rsidR="00677B7E" w:rsidRPr="00401C70" w:rsidRDefault="00677B7E" w:rsidP="00FA2590">
            <w:pPr>
              <w:kinsoku w:val="0"/>
              <w:overflowPunct w:val="0"/>
              <w:autoSpaceDE w:val="0"/>
              <w:autoSpaceDN w:val="0"/>
              <w:adjustRightInd w:val="0"/>
              <w:ind w:left="107" w:right="93"/>
              <w:jc w:val="both"/>
              <w:rPr>
                <w:rFonts w:ascii="Abadi" w:hAnsi="Abadi" w:cs="Calibri"/>
                <w:sz w:val="21"/>
                <w:szCs w:val="21"/>
              </w:rPr>
            </w:pPr>
            <w:r w:rsidRPr="00401C70">
              <w:rPr>
                <w:rFonts w:ascii="Abadi" w:hAnsi="Abadi" w:cs="Calibri"/>
                <w:sz w:val="21"/>
                <w:szCs w:val="21"/>
              </w:rPr>
              <w:t>El</w:t>
            </w:r>
            <w:r w:rsidRPr="00401C70">
              <w:rPr>
                <w:rFonts w:ascii="Abadi" w:hAnsi="Abadi" w:cs="Calibri"/>
                <w:spacing w:val="-7"/>
                <w:sz w:val="21"/>
                <w:szCs w:val="21"/>
              </w:rPr>
              <w:t xml:space="preserve"> </w:t>
            </w:r>
            <w:r w:rsidRPr="00401C70">
              <w:rPr>
                <w:rFonts w:ascii="Abadi" w:hAnsi="Abadi" w:cs="Calibri"/>
                <w:sz w:val="21"/>
                <w:szCs w:val="21"/>
              </w:rPr>
              <w:t>consejo</w:t>
            </w:r>
            <w:r w:rsidRPr="00401C70">
              <w:rPr>
                <w:rFonts w:ascii="Abadi" w:hAnsi="Abadi" w:cs="Calibri"/>
                <w:spacing w:val="-5"/>
                <w:sz w:val="21"/>
                <w:szCs w:val="21"/>
              </w:rPr>
              <w:t xml:space="preserve"> </w:t>
            </w:r>
            <w:r w:rsidRPr="00401C70">
              <w:rPr>
                <w:rFonts w:ascii="Abadi" w:hAnsi="Abadi" w:cs="Calibri"/>
                <w:sz w:val="21"/>
                <w:szCs w:val="21"/>
              </w:rPr>
              <w:t>directivo</w:t>
            </w:r>
            <w:r w:rsidRPr="00401C70">
              <w:rPr>
                <w:rFonts w:ascii="Abadi" w:hAnsi="Abadi" w:cs="Calibri"/>
                <w:spacing w:val="-10"/>
                <w:sz w:val="21"/>
                <w:szCs w:val="21"/>
              </w:rPr>
              <w:t xml:space="preserve"> </w:t>
            </w:r>
            <w:r w:rsidRPr="00401C70">
              <w:rPr>
                <w:rFonts w:ascii="Abadi" w:hAnsi="Abadi" w:cs="Calibri"/>
                <w:sz w:val="21"/>
                <w:szCs w:val="21"/>
              </w:rPr>
              <w:t>o</w:t>
            </w:r>
            <w:r w:rsidRPr="00401C70">
              <w:rPr>
                <w:rFonts w:ascii="Abadi" w:hAnsi="Abadi" w:cs="Calibri"/>
                <w:spacing w:val="-5"/>
                <w:sz w:val="21"/>
                <w:szCs w:val="21"/>
              </w:rPr>
              <w:t xml:space="preserve"> </w:t>
            </w:r>
            <w:r w:rsidRPr="00401C70">
              <w:rPr>
                <w:rFonts w:ascii="Abadi" w:hAnsi="Abadi" w:cs="Calibri"/>
                <w:sz w:val="21"/>
                <w:szCs w:val="21"/>
              </w:rPr>
              <w:t>su</w:t>
            </w:r>
            <w:r w:rsidRPr="00401C70">
              <w:rPr>
                <w:rFonts w:ascii="Abadi" w:hAnsi="Abadi" w:cs="Calibri"/>
                <w:spacing w:val="-10"/>
                <w:sz w:val="21"/>
                <w:szCs w:val="21"/>
              </w:rPr>
              <w:t xml:space="preserve"> </w:t>
            </w:r>
            <w:r w:rsidRPr="00401C70">
              <w:rPr>
                <w:rFonts w:ascii="Abadi" w:hAnsi="Abadi" w:cs="Calibri"/>
                <w:sz w:val="21"/>
                <w:szCs w:val="21"/>
              </w:rPr>
              <w:t>equivalente,</w:t>
            </w:r>
            <w:r w:rsidRPr="00401C70">
              <w:rPr>
                <w:rFonts w:ascii="Abadi" w:hAnsi="Abadi" w:cs="Calibri"/>
                <w:spacing w:val="-9"/>
                <w:sz w:val="21"/>
                <w:szCs w:val="21"/>
              </w:rPr>
              <w:t xml:space="preserve"> </w:t>
            </w:r>
            <w:r w:rsidRPr="00401C70">
              <w:rPr>
                <w:rFonts w:ascii="Abadi" w:hAnsi="Abadi" w:cs="Calibri"/>
                <w:sz w:val="21"/>
                <w:szCs w:val="21"/>
              </w:rPr>
              <w:t>elegirá</w:t>
            </w:r>
            <w:r w:rsidRPr="00401C70">
              <w:rPr>
                <w:rFonts w:ascii="Abadi" w:hAnsi="Abadi" w:cs="Calibri"/>
                <w:spacing w:val="-7"/>
                <w:sz w:val="21"/>
                <w:szCs w:val="21"/>
              </w:rPr>
              <w:t xml:space="preserve"> </w:t>
            </w:r>
            <w:r w:rsidRPr="00401C70">
              <w:rPr>
                <w:rFonts w:ascii="Abadi" w:hAnsi="Abadi" w:cs="Calibri"/>
                <w:sz w:val="21"/>
                <w:szCs w:val="21"/>
              </w:rPr>
              <w:t>de</w:t>
            </w:r>
            <w:r w:rsidRPr="00401C70">
              <w:rPr>
                <w:rFonts w:ascii="Abadi" w:hAnsi="Abadi" w:cs="Calibri"/>
                <w:spacing w:val="-47"/>
                <w:sz w:val="21"/>
                <w:szCs w:val="21"/>
              </w:rPr>
              <w:t xml:space="preserve"> </w:t>
            </w:r>
            <w:r w:rsidRPr="00401C70">
              <w:rPr>
                <w:rFonts w:ascii="Abadi" w:hAnsi="Abadi" w:cs="Calibri"/>
                <w:sz w:val="21"/>
                <w:szCs w:val="21"/>
              </w:rPr>
              <w:t>entre</w:t>
            </w:r>
            <w:r w:rsidRPr="00401C70">
              <w:rPr>
                <w:rFonts w:ascii="Abadi" w:hAnsi="Abadi" w:cs="Calibri"/>
                <w:spacing w:val="1"/>
                <w:sz w:val="21"/>
                <w:szCs w:val="21"/>
              </w:rPr>
              <w:t xml:space="preserve"> </w:t>
            </w:r>
            <w:r w:rsidRPr="00401C70">
              <w:rPr>
                <w:rFonts w:ascii="Abadi" w:hAnsi="Abadi" w:cs="Calibri"/>
                <w:sz w:val="21"/>
                <w:szCs w:val="21"/>
              </w:rPr>
              <w:t>sus</w:t>
            </w:r>
            <w:r w:rsidRPr="00401C70">
              <w:rPr>
                <w:rFonts w:ascii="Abadi" w:hAnsi="Abadi" w:cs="Calibri"/>
                <w:spacing w:val="1"/>
                <w:sz w:val="21"/>
                <w:szCs w:val="21"/>
              </w:rPr>
              <w:t xml:space="preserve"> </w:t>
            </w:r>
            <w:r w:rsidRPr="00401C70">
              <w:rPr>
                <w:rFonts w:ascii="Abadi" w:hAnsi="Abadi" w:cs="Calibri"/>
                <w:b/>
                <w:bCs/>
                <w:i/>
                <w:iCs/>
                <w:sz w:val="21"/>
                <w:szCs w:val="21"/>
              </w:rPr>
              <w:t>integrantes</w:t>
            </w:r>
            <w:r w:rsidRPr="00401C70">
              <w:rPr>
                <w:rFonts w:ascii="Abadi" w:hAnsi="Abadi" w:cs="Calibri"/>
                <w:b/>
                <w:bCs/>
                <w:i/>
                <w:iCs/>
                <w:spacing w:val="1"/>
                <w:sz w:val="21"/>
                <w:szCs w:val="21"/>
              </w:rPr>
              <w:t xml:space="preserve"> </w:t>
            </w:r>
            <w:r w:rsidRPr="00401C70">
              <w:rPr>
                <w:rFonts w:ascii="Abadi" w:hAnsi="Abadi" w:cs="Calibri"/>
                <w:sz w:val="21"/>
                <w:szCs w:val="21"/>
              </w:rPr>
              <w:t>a</w:t>
            </w:r>
            <w:r w:rsidRPr="00401C70">
              <w:rPr>
                <w:rFonts w:ascii="Abadi" w:hAnsi="Abadi" w:cs="Calibri"/>
                <w:spacing w:val="1"/>
                <w:sz w:val="21"/>
                <w:szCs w:val="21"/>
              </w:rPr>
              <w:t xml:space="preserve"> </w:t>
            </w:r>
            <w:r w:rsidRPr="00401C70">
              <w:rPr>
                <w:rFonts w:ascii="Abadi" w:hAnsi="Abadi" w:cs="Calibri"/>
                <w:b/>
                <w:bCs/>
                <w:i/>
                <w:iCs/>
                <w:sz w:val="21"/>
                <w:szCs w:val="21"/>
              </w:rPr>
              <w:t>quien</w:t>
            </w:r>
            <w:r w:rsidRPr="00401C70">
              <w:rPr>
                <w:rFonts w:ascii="Abadi" w:hAnsi="Abadi" w:cs="Calibri"/>
                <w:b/>
                <w:bCs/>
                <w:i/>
                <w:iCs/>
                <w:spacing w:val="1"/>
                <w:sz w:val="21"/>
                <w:szCs w:val="21"/>
              </w:rPr>
              <w:t xml:space="preserve"> </w:t>
            </w:r>
            <w:r w:rsidRPr="00401C70">
              <w:rPr>
                <w:rFonts w:ascii="Abadi" w:hAnsi="Abadi" w:cs="Calibri"/>
                <w:b/>
                <w:bCs/>
                <w:i/>
                <w:iCs/>
                <w:sz w:val="21"/>
                <w:szCs w:val="21"/>
              </w:rPr>
              <w:t>ocupe</w:t>
            </w:r>
            <w:r w:rsidRPr="00401C70">
              <w:rPr>
                <w:rFonts w:ascii="Abadi" w:hAnsi="Abadi" w:cs="Calibri"/>
                <w:b/>
                <w:bCs/>
                <w:i/>
                <w:iCs/>
                <w:spacing w:val="1"/>
                <w:sz w:val="21"/>
                <w:szCs w:val="21"/>
              </w:rPr>
              <w:t xml:space="preserve"> </w:t>
            </w:r>
            <w:r w:rsidRPr="00401C70">
              <w:rPr>
                <w:rFonts w:ascii="Abadi" w:hAnsi="Abadi" w:cs="Calibri"/>
                <w:b/>
                <w:bCs/>
                <w:i/>
                <w:iCs/>
                <w:sz w:val="21"/>
                <w:szCs w:val="21"/>
              </w:rPr>
              <w:t>su</w:t>
            </w:r>
            <w:r w:rsidRPr="00401C70">
              <w:rPr>
                <w:rFonts w:ascii="Abadi" w:hAnsi="Abadi" w:cs="Calibri"/>
                <w:b/>
                <w:bCs/>
                <w:i/>
                <w:iCs/>
                <w:spacing w:val="1"/>
                <w:sz w:val="21"/>
                <w:szCs w:val="21"/>
              </w:rPr>
              <w:t xml:space="preserve"> </w:t>
            </w:r>
            <w:r w:rsidRPr="00401C70">
              <w:rPr>
                <w:rFonts w:ascii="Abadi" w:hAnsi="Abadi" w:cs="Calibri"/>
                <w:b/>
                <w:bCs/>
                <w:i/>
                <w:iCs/>
                <w:sz w:val="21"/>
                <w:szCs w:val="21"/>
              </w:rPr>
              <w:t>presidencia</w:t>
            </w:r>
            <w:r w:rsidRPr="00401C70">
              <w:rPr>
                <w:rFonts w:ascii="Abadi" w:hAnsi="Abadi" w:cs="Calibri"/>
                <w:b/>
                <w:bCs/>
                <w:i/>
                <w:iCs/>
                <w:spacing w:val="1"/>
                <w:sz w:val="21"/>
                <w:szCs w:val="21"/>
              </w:rPr>
              <w:t xml:space="preserve"> </w:t>
            </w:r>
            <w:r w:rsidRPr="00401C70">
              <w:rPr>
                <w:rFonts w:ascii="Abadi" w:hAnsi="Abadi" w:cs="Calibri"/>
                <w:sz w:val="21"/>
                <w:szCs w:val="21"/>
              </w:rPr>
              <w:t>y,</w:t>
            </w:r>
            <w:r w:rsidRPr="00401C70">
              <w:rPr>
                <w:rFonts w:ascii="Abadi" w:hAnsi="Abadi" w:cs="Calibri"/>
                <w:spacing w:val="1"/>
                <w:sz w:val="21"/>
                <w:szCs w:val="21"/>
              </w:rPr>
              <w:t xml:space="preserve"> </w:t>
            </w:r>
            <w:r w:rsidRPr="00401C70">
              <w:rPr>
                <w:rFonts w:ascii="Abadi" w:hAnsi="Abadi" w:cs="Calibri"/>
                <w:sz w:val="21"/>
                <w:szCs w:val="21"/>
              </w:rPr>
              <w:t>en</w:t>
            </w:r>
            <w:r w:rsidRPr="00401C70">
              <w:rPr>
                <w:rFonts w:ascii="Abadi" w:hAnsi="Abadi" w:cs="Calibri"/>
                <w:spacing w:val="1"/>
                <w:sz w:val="21"/>
                <w:szCs w:val="21"/>
              </w:rPr>
              <w:t xml:space="preserve"> </w:t>
            </w:r>
            <w:r w:rsidRPr="00401C70">
              <w:rPr>
                <w:rFonts w:ascii="Abadi" w:hAnsi="Abadi" w:cs="Calibri"/>
                <w:sz w:val="21"/>
                <w:szCs w:val="21"/>
              </w:rPr>
              <w:t>su</w:t>
            </w:r>
            <w:r w:rsidRPr="00401C70">
              <w:rPr>
                <w:rFonts w:ascii="Abadi" w:hAnsi="Abadi" w:cs="Calibri"/>
                <w:spacing w:val="1"/>
                <w:sz w:val="21"/>
                <w:szCs w:val="21"/>
              </w:rPr>
              <w:t xml:space="preserve"> </w:t>
            </w:r>
            <w:r w:rsidRPr="00401C70">
              <w:rPr>
                <w:rFonts w:ascii="Abadi" w:hAnsi="Abadi" w:cs="Calibri"/>
                <w:sz w:val="21"/>
                <w:szCs w:val="21"/>
              </w:rPr>
              <w:t>caso,</w:t>
            </w:r>
            <w:r w:rsidRPr="00401C70">
              <w:rPr>
                <w:rFonts w:ascii="Abadi" w:hAnsi="Abadi" w:cs="Calibri"/>
                <w:spacing w:val="1"/>
                <w:sz w:val="21"/>
                <w:szCs w:val="21"/>
              </w:rPr>
              <w:t xml:space="preserve"> </w:t>
            </w:r>
            <w:r w:rsidRPr="00401C70">
              <w:rPr>
                <w:rFonts w:ascii="Abadi" w:hAnsi="Abadi" w:cs="Calibri"/>
                <w:sz w:val="21"/>
                <w:szCs w:val="21"/>
              </w:rPr>
              <w:t>designará</w:t>
            </w:r>
            <w:r w:rsidRPr="00401C70">
              <w:rPr>
                <w:rFonts w:ascii="Abadi" w:hAnsi="Abadi" w:cs="Calibri"/>
                <w:spacing w:val="1"/>
                <w:sz w:val="21"/>
                <w:szCs w:val="21"/>
              </w:rPr>
              <w:t xml:space="preserve"> </w:t>
            </w:r>
            <w:r w:rsidRPr="00401C70">
              <w:rPr>
                <w:rFonts w:ascii="Abadi" w:hAnsi="Abadi" w:cs="Calibri"/>
                <w:b/>
                <w:bCs/>
                <w:i/>
                <w:iCs/>
                <w:sz w:val="21"/>
                <w:szCs w:val="21"/>
              </w:rPr>
              <w:t>a</w:t>
            </w:r>
            <w:r w:rsidRPr="00401C70">
              <w:rPr>
                <w:rFonts w:ascii="Abadi" w:hAnsi="Abadi" w:cs="Calibri"/>
                <w:b/>
                <w:bCs/>
                <w:i/>
                <w:iCs/>
                <w:spacing w:val="1"/>
                <w:sz w:val="21"/>
                <w:szCs w:val="21"/>
              </w:rPr>
              <w:t xml:space="preserve"> </w:t>
            </w:r>
            <w:r w:rsidRPr="00401C70">
              <w:rPr>
                <w:rFonts w:ascii="Abadi" w:hAnsi="Abadi" w:cs="Calibri"/>
                <w:b/>
                <w:bCs/>
                <w:i/>
                <w:iCs/>
                <w:sz w:val="21"/>
                <w:szCs w:val="21"/>
              </w:rPr>
              <w:t>la</w:t>
            </w:r>
            <w:r w:rsidRPr="00401C70">
              <w:rPr>
                <w:rFonts w:ascii="Abadi" w:hAnsi="Abadi" w:cs="Calibri"/>
                <w:b/>
                <w:bCs/>
                <w:i/>
                <w:iCs/>
                <w:spacing w:val="1"/>
                <w:sz w:val="21"/>
                <w:szCs w:val="21"/>
              </w:rPr>
              <w:t xml:space="preserve"> </w:t>
            </w:r>
            <w:r w:rsidRPr="00401C70">
              <w:rPr>
                <w:rFonts w:ascii="Abadi" w:hAnsi="Abadi" w:cs="Calibri"/>
                <w:b/>
                <w:bCs/>
                <w:i/>
                <w:iCs/>
                <w:spacing w:val="-1"/>
                <w:sz w:val="21"/>
                <w:szCs w:val="21"/>
              </w:rPr>
              <w:t>persona</w:t>
            </w:r>
            <w:r w:rsidRPr="00401C70">
              <w:rPr>
                <w:rFonts w:ascii="Abadi" w:hAnsi="Abadi" w:cs="Calibri"/>
                <w:b/>
                <w:bCs/>
                <w:i/>
                <w:iCs/>
                <w:spacing w:val="-11"/>
                <w:sz w:val="21"/>
                <w:szCs w:val="21"/>
              </w:rPr>
              <w:t xml:space="preserve"> </w:t>
            </w:r>
            <w:r w:rsidRPr="00401C70">
              <w:rPr>
                <w:rFonts w:ascii="Abadi" w:hAnsi="Abadi" w:cs="Calibri"/>
                <w:b/>
                <w:bCs/>
                <w:i/>
                <w:iCs/>
                <w:sz w:val="21"/>
                <w:szCs w:val="21"/>
              </w:rPr>
              <w:t>titular</w:t>
            </w:r>
            <w:r w:rsidRPr="00401C70">
              <w:rPr>
                <w:rFonts w:ascii="Abadi" w:hAnsi="Abadi" w:cs="Calibri"/>
                <w:b/>
                <w:bCs/>
                <w:i/>
                <w:iCs/>
                <w:spacing w:val="-11"/>
                <w:sz w:val="21"/>
                <w:szCs w:val="21"/>
              </w:rPr>
              <w:t xml:space="preserve"> </w:t>
            </w:r>
            <w:r w:rsidRPr="00401C70">
              <w:rPr>
                <w:rFonts w:ascii="Abadi" w:hAnsi="Abadi" w:cs="Calibri"/>
                <w:b/>
                <w:bCs/>
                <w:i/>
                <w:iCs/>
                <w:sz w:val="21"/>
                <w:szCs w:val="21"/>
              </w:rPr>
              <w:t>de</w:t>
            </w:r>
            <w:r w:rsidRPr="00401C70">
              <w:rPr>
                <w:rFonts w:ascii="Abadi" w:hAnsi="Abadi" w:cs="Calibri"/>
                <w:b/>
                <w:bCs/>
                <w:i/>
                <w:iCs/>
                <w:spacing w:val="-11"/>
                <w:sz w:val="21"/>
                <w:szCs w:val="21"/>
              </w:rPr>
              <w:t xml:space="preserve"> </w:t>
            </w:r>
            <w:r w:rsidRPr="00401C70">
              <w:rPr>
                <w:rFonts w:ascii="Abadi" w:hAnsi="Abadi" w:cs="Calibri"/>
                <w:b/>
                <w:bCs/>
                <w:i/>
                <w:iCs/>
                <w:sz w:val="21"/>
                <w:szCs w:val="21"/>
              </w:rPr>
              <w:t>la</w:t>
            </w:r>
            <w:r w:rsidRPr="00401C70">
              <w:rPr>
                <w:rFonts w:ascii="Abadi" w:hAnsi="Abadi" w:cs="Calibri"/>
                <w:b/>
                <w:bCs/>
                <w:i/>
                <w:iCs/>
                <w:spacing w:val="-13"/>
                <w:sz w:val="21"/>
                <w:szCs w:val="21"/>
              </w:rPr>
              <w:t xml:space="preserve"> </w:t>
            </w:r>
            <w:r w:rsidRPr="00401C70">
              <w:rPr>
                <w:rFonts w:ascii="Abadi" w:hAnsi="Abadi" w:cs="Calibri"/>
                <w:b/>
                <w:bCs/>
                <w:i/>
                <w:iCs/>
                <w:sz w:val="21"/>
                <w:szCs w:val="21"/>
              </w:rPr>
              <w:t>dirección</w:t>
            </w:r>
            <w:r w:rsidRPr="00401C70">
              <w:rPr>
                <w:rFonts w:ascii="Abadi" w:hAnsi="Abadi" w:cs="Calibri"/>
                <w:b/>
                <w:bCs/>
                <w:i/>
                <w:iCs/>
                <w:spacing w:val="-12"/>
                <w:sz w:val="21"/>
                <w:szCs w:val="21"/>
              </w:rPr>
              <w:t xml:space="preserve"> </w:t>
            </w:r>
            <w:r w:rsidRPr="00401C70">
              <w:rPr>
                <w:rFonts w:ascii="Abadi" w:hAnsi="Abadi" w:cs="Calibri"/>
                <w:b/>
                <w:bCs/>
                <w:i/>
                <w:iCs/>
                <w:sz w:val="21"/>
                <w:szCs w:val="21"/>
              </w:rPr>
              <w:t>general</w:t>
            </w:r>
            <w:r w:rsidRPr="00401C70">
              <w:rPr>
                <w:rFonts w:ascii="Abadi" w:hAnsi="Abadi" w:cs="Calibri"/>
                <w:b/>
                <w:bCs/>
                <w:i/>
                <w:iCs/>
                <w:spacing w:val="-9"/>
                <w:sz w:val="21"/>
                <w:szCs w:val="21"/>
              </w:rPr>
              <w:t xml:space="preserve"> </w:t>
            </w:r>
            <w:r w:rsidRPr="00401C70">
              <w:rPr>
                <w:rFonts w:ascii="Abadi" w:hAnsi="Abadi" w:cs="Calibri"/>
                <w:sz w:val="21"/>
                <w:szCs w:val="21"/>
              </w:rPr>
              <w:t>y</w:t>
            </w:r>
            <w:r w:rsidRPr="00401C70">
              <w:rPr>
                <w:rFonts w:ascii="Abadi" w:hAnsi="Abadi" w:cs="Calibri"/>
                <w:spacing w:val="-10"/>
                <w:sz w:val="21"/>
                <w:szCs w:val="21"/>
              </w:rPr>
              <w:t xml:space="preserve"> </w:t>
            </w:r>
            <w:r w:rsidRPr="00401C70">
              <w:rPr>
                <w:rFonts w:ascii="Abadi" w:hAnsi="Abadi" w:cs="Calibri"/>
                <w:sz w:val="21"/>
                <w:szCs w:val="21"/>
              </w:rPr>
              <w:t>demás</w:t>
            </w:r>
            <w:r w:rsidRPr="00401C70">
              <w:rPr>
                <w:rFonts w:ascii="Abadi" w:hAnsi="Abadi" w:cs="Calibri"/>
                <w:spacing w:val="-48"/>
                <w:sz w:val="21"/>
                <w:szCs w:val="21"/>
              </w:rPr>
              <w:t xml:space="preserve"> </w:t>
            </w:r>
            <w:r w:rsidRPr="00401C70">
              <w:rPr>
                <w:rFonts w:ascii="Abadi" w:hAnsi="Abadi" w:cs="Calibri"/>
                <w:spacing w:val="-1"/>
                <w:sz w:val="21"/>
                <w:szCs w:val="21"/>
              </w:rPr>
              <w:t>personal</w:t>
            </w:r>
            <w:r w:rsidRPr="00401C70">
              <w:rPr>
                <w:rFonts w:ascii="Abadi" w:hAnsi="Abadi" w:cs="Calibri"/>
                <w:spacing w:val="-11"/>
                <w:sz w:val="21"/>
                <w:szCs w:val="21"/>
              </w:rPr>
              <w:t xml:space="preserve"> </w:t>
            </w:r>
            <w:r w:rsidRPr="00401C70">
              <w:rPr>
                <w:rFonts w:ascii="Abadi" w:hAnsi="Abadi" w:cs="Calibri"/>
                <w:sz w:val="21"/>
                <w:szCs w:val="21"/>
              </w:rPr>
              <w:t>necesario</w:t>
            </w:r>
            <w:r w:rsidRPr="00401C70">
              <w:rPr>
                <w:rFonts w:ascii="Abadi" w:hAnsi="Abadi" w:cs="Calibri"/>
                <w:spacing w:val="-8"/>
                <w:sz w:val="21"/>
                <w:szCs w:val="21"/>
              </w:rPr>
              <w:t xml:space="preserve"> </w:t>
            </w:r>
            <w:r w:rsidRPr="00401C70">
              <w:rPr>
                <w:rFonts w:ascii="Abadi" w:hAnsi="Abadi" w:cs="Calibri"/>
                <w:sz w:val="21"/>
                <w:szCs w:val="21"/>
              </w:rPr>
              <w:t>para</w:t>
            </w:r>
            <w:r w:rsidRPr="00401C70">
              <w:rPr>
                <w:rFonts w:ascii="Abadi" w:hAnsi="Abadi" w:cs="Calibri"/>
                <w:spacing w:val="-13"/>
                <w:sz w:val="21"/>
                <w:szCs w:val="21"/>
              </w:rPr>
              <w:t xml:space="preserve"> </w:t>
            </w:r>
            <w:r w:rsidRPr="00401C70">
              <w:rPr>
                <w:rFonts w:ascii="Abadi" w:hAnsi="Abadi" w:cs="Calibri"/>
                <w:sz w:val="21"/>
                <w:szCs w:val="21"/>
              </w:rPr>
              <w:t>el</w:t>
            </w:r>
            <w:r w:rsidRPr="00401C70">
              <w:rPr>
                <w:rFonts w:ascii="Abadi" w:hAnsi="Abadi" w:cs="Calibri"/>
                <w:spacing w:val="-9"/>
                <w:sz w:val="21"/>
                <w:szCs w:val="21"/>
              </w:rPr>
              <w:t xml:space="preserve"> </w:t>
            </w:r>
            <w:r w:rsidRPr="00401C70">
              <w:rPr>
                <w:rFonts w:ascii="Abadi" w:hAnsi="Abadi" w:cs="Calibri"/>
                <w:sz w:val="21"/>
                <w:szCs w:val="21"/>
              </w:rPr>
              <w:t>cumplimiento</w:t>
            </w:r>
            <w:r w:rsidRPr="00401C70">
              <w:rPr>
                <w:rFonts w:ascii="Abadi" w:hAnsi="Abadi" w:cs="Calibri"/>
                <w:spacing w:val="-9"/>
                <w:sz w:val="21"/>
                <w:szCs w:val="21"/>
              </w:rPr>
              <w:t xml:space="preserve"> </w:t>
            </w:r>
            <w:r w:rsidRPr="00401C70">
              <w:rPr>
                <w:rFonts w:ascii="Abadi" w:hAnsi="Abadi" w:cs="Calibri"/>
                <w:sz w:val="21"/>
                <w:szCs w:val="21"/>
              </w:rPr>
              <w:t>de</w:t>
            </w:r>
            <w:r w:rsidRPr="00401C70">
              <w:rPr>
                <w:rFonts w:ascii="Abadi" w:hAnsi="Abadi" w:cs="Calibri"/>
                <w:spacing w:val="-9"/>
                <w:sz w:val="21"/>
                <w:szCs w:val="21"/>
              </w:rPr>
              <w:t xml:space="preserve"> </w:t>
            </w:r>
            <w:r w:rsidRPr="00401C70">
              <w:rPr>
                <w:rFonts w:ascii="Abadi" w:hAnsi="Abadi" w:cs="Calibri"/>
                <w:sz w:val="21"/>
                <w:szCs w:val="21"/>
              </w:rPr>
              <w:t>sus</w:t>
            </w:r>
            <w:r w:rsidRPr="00401C70">
              <w:rPr>
                <w:rFonts w:ascii="Abadi" w:hAnsi="Abadi" w:cs="Calibri"/>
                <w:spacing w:val="-47"/>
                <w:sz w:val="21"/>
                <w:szCs w:val="21"/>
              </w:rPr>
              <w:t xml:space="preserve"> </w:t>
            </w:r>
            <w:r w:rsidRPr="00401C70">
              <w:rPr>
                <w:rFonts w:ascii="Abadi" w:hAnsi="Abadi" w:cs="Calibri"/>
                <w:sz w:val="21"/>
                <w:szCs w:val="21"/>
              </w:rPr>
              <w:t>funciones;</w:t>
            </w:r>
            <w:r w:rsidRPr="00401C70">
              <w:rPr>
                <w:rFonts w:ascii="Abadi" w:hAnsi="Abadi" w:cs="Calibri"/>
                <w:spacing w:val="1"/>
                <w:sz w:val="21"/>
                <w:szCs w:val="21"/>
              </w:rPr>
              <w:t xml:space="preserve"> </w:t>
            </w:r>
            <w:r w:rsidRPr="00401C70">
              <w:rPr>
                <w:rFonts w:ascii="Abadi" w:hAnsi="Abadi" w:cs="Calibri"/>
                <w:sz w:val="21"/>
                <w:szCs w:val="21"/>
              </w:rPr>
              <w:t>además</w:t>
            </w:r>
            <w:r w:rsidRPr="00401C70">
              <w:rPr>
                <w:rFonts w:ascii="Abadi" w:hAnsi="Abadi" w:cs="Calibri"/>
                <w:spacing w:val="1"/>
                <w:sz w:val="21"/>
                <w:szCs w:val="21"/>
              </w:rPr>
              <w:t xml:space="preserve"> </w:t>
            </w:r>
            <w:r w:rsidRPr="00401C70">
              <w:rPr>
                <w:rFonts w:ascii="Abadi" w:hAnsi="Abadi" w:cs="Calibri"/>
                <w:sz w:val="21"/>
                <w:szCs w:val="21"/>
              </w:rPr>
              <w:t>nombrará</w:t>
            </w:r>
            <w:r w:rsidRPr="00401C70">
              <w:rPr>
                <w:rFonts w:ascii="Abadi" w:hAnsi="Abadi" w:cs="Calibri"/>
                <w:spacing w:val="1"/>
                <w:sz w:val="21"/>
                <w:szCs w:val="21"/>
              </w:rPr>
              <w:t xml:space="preserve"> </w:t>
            </w:r>
            <w:r w:rsidRPr="00401C70">
              <w:rPr>
                <w:rFonts w:ascii="Abadi" w:hAnsi="Abadi" w:cs="Calibri"/>
                <w:b/>
                <w:bCs/>
                <w:i/>
                <w:iCs/>
                <w:sz w:val="21"/>
                <w:szCs w:val="21"/>
              </w:rPr>
              <w:t>a</w:t>
            </w:r>
            <w:r w:rsidRPr="00401C70">
              <w:rPr>
                <w:rFonts w:ascii="Abadi" w:hAnsi="Abadi" w:cs="Calibri"/>
                <w:b/>
                <w:bCs/>
                <w:i/>
                <w:iCs/>
                <w:spacing w:val="1"/>
                <w:sz w:val="21"/>
                <w:szCs w:val="21"/>
              </w:rPr>
              <w:t xml:space="preserve"> </w:t>
            </w:r>
            <w:r w:rsidRPr="00401C70">
              <w:rPr>
                <w:rFonts w:ascii="Abadi" w:hAnsi="Abadi" w:cs="Calibri"/>
                <w:b/>
                <w:bCs/>
                <w:i/>
                <w:iCs/>
                <w:sz w:val="21"/>
                <w:szCs w:val="21"/>
              </w:rPr>
              <w:t>la</w:t>
            </w:r>
            <w:r w:rsidRPr="00401C70">
              <w:rPr>
                <w:rFonts w:ascii="Abadi" w:hAnsi="Abadi" w:cs="Calibri"/>
                <w:b/>
                <w:bCs/>
                <w:i/>
                <w:iCs/>
                <w:spacing w:val="1"/>
                <w:sz w:val="21"/>
                <w:szCs w:val="21"/>
              </w:rPr>
              <w:t xml:space="preserve"> </w:t>
            </w:r>
            <w:r w:rsidRPr="00401C70">
              <w:rPr>
                <w:rFonts w:ascii="Abadi" w:hAnsi="Abadi" w:cs="Calibri"/>
                <w:b/>
                <w:bCs/>
                <w:i/>
                <w:iCs/>
                <w:sz w:val="21"/>
                <w:szCs w:val="21"/>
              </w:rPr>
              <w:t>persona</w:t>
            </w:r>
            <w:r w:rsidRPr="00401C70">
              <w:rPr>
                <w:rFonts w:ascii="Abadi" w:hAnsi="Abadi" w:cs="Calibri"/>
                <w:b/>
                <w:bCs/>
                <w:i/>
                <w:iCs/>
                <w:spacing w:val="1"/>
                <w:sz w:val="21"/>
                <w:szCs w:val="21"/>
              </w:rPr>
              <w:t xml:space="preserve"> </w:t>
            </w:r>
            <w:r w:rsidRPr="00401C70">
              <w:rPr>
                <w:rFonts w:ascii="Abadi" w:hAnsi="Abadi" w:cs="Calibri"/>
                <w:b/>
                <w:bCs/>
                <w:i/>
                <w:iCs/>
                <w:sz w:val="21"/>
                <w:szCs w:val="21"/>
              </w:rPr>
              <w:t>titular</w:t>
            </w:r>
            <w:r w:rsidRPr="00401C70">
              <w:rPr>
                <w:rFonts w:ascii="Abadi" w:hAnsi="Abadi" w:cs="Calibri"/>
                <w:b/>
                <w:bCs/>
                <w:i/>
                <w:iCs/>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su</w:t>
            </w:r>
            <w:r w:rsidRPr="00401C70">
              <w:rPr>
                <w:rFonts w:ascii="Abadi" w:hAnsi="Abadi" w:cs="Calibri"/>
                <w:spacing w:val="-4"/>
                <w:sz w:val="21"/>
                <w:szCs w:val="21"/>
              </w:rPr>
              <w:t xml:space="preserve"> </w:t>
            </w:r>
            <w:r w:rsidRPr="00401C70">
              <w:rPr>
                <w:rFonts w:ascii="Abadi" w:hAnsi="Abadi" w:cs="Calibri"/>
                <w:sz w:val="21"/>
                <w:szCs w:val="21"/>
              </w:rPr>
              <w:t>Unidad</w:t>
            </w:r>
            <w:r w:rsidRPr="00401C70">
              <w:rPr>
                <w:rFonts w:ascii="Abadi" w:hAnsi="Abadi" w:cs="Calibri"/>
                <w:spacing w:val="-1"/>
                <w:sz w:val="21"/>
                <w:szCs w:val="21"/>
              </w:rPr>
              <w:t xml:space="preserve"> </w:t>
            </w:r>
            <w:r w:rsidRPr="00401C70">
              <w:rPr>
                <w:rFonts w:ascii="Abadi" w:hAnsi="Abadi" w:cs="Calibri"/>
                <w:sz w:val="21"/>
                <w:szCs w:val="21"/>
              </w:rPr>
              <w:t>de Transparencia.</w:t>
            </w:r>
          </w:p>
        </w:tc>
      </w:tr>
      <w:tr w:rsidR="00677B7E" w:rsidRPr="00401C70" w14:paraId="7344ADEB" w14:textId="77777777" w:rsidTr="00EE3E2D">
        <w:trPr>
          <w:trHeight w:val="1611"/>
        </w:trPr>
        <w:tc>
          <w:tcPr>
            <w:tcW w:w="2500" w:type="pct"/>
            <w:tcBorders>
              <w:top w:val="none" w:sz="6" w:space="0" w:color="auto"/>
              <w:left w:val="single" w:sz="4" w:space="0" w:color="000000"/>
              <w:bottom w:val="none" w:sz="6" w:space="0" w:color="auto"/>
              <w:right w:val="single" w:sz="4" w:space="0" w:color="000000"/>
            </w:tcBorders>
          </w:tcPr>
          <w:p w14:paraId="0AD904F1" w14:textId="77777777" w:rsidR="00677B7E" w:rsidRPr="00401C70" w:rsidRDefault="00677B7E" w:rsidP="00FA2590">
            <w:pPr>
              <w:kinsoku w:val="0"/>
              <w:overflowPunct w:val="0"/>
              <w:autoSpaceDE w:val="0"/>
              <w:autoSpaceDN w:val="0"/>
              <w:adjustRightInd w:val="0"/>
              <w:jc w:val="both"/>
              <w:rPr>
                <w:rFonts w:ascii="Abadi" w:hAnsi="Abadi"/>
                <w:sz w:val="21"/>
                <w:szCs w:val="21"/>
              </w:rPr>
            </w:pPr>
          </w:p>
        </w:tc>
        <w:tc>
          <w:tcPr>
            <w:tcW w:w="2500" w:type="pct"/>
            <w:tcBorders>
              <w:top w:val="none" w:sz="6" w:space="0" w:color="auto"/>
              <w:left w:val="single" w:sz="4" w:space="0" w:color="000000"/>
              <w:bottom w:val="none" w:sz="6" w:space="0" w:color="auto"/>
              <w:right w:val="single" w:sz="4" w:space="0" w:color="000000"/>
            </w:tcBorders>
          </w:tcPr>
          <w:p w14:paraId="429F45C7" w14:textId="77777777" w:rsidR="00677B7E" w:rsidRPr="00401C70" w:rsidRDefault="00677B7E" w:rsidP="00FA2590">
            <w:pPr>
              <w:kinsoku w:val="0"/>
              <w:overflowPunct w:val="0"/>
              <w:autoSpaceDE w:val="0"/>
              <w:autoSpaceDN w:val="0"/>
              <w:adjustRightInd w:val="0"/>
              <w:spacing w:before="114"/>
              <w:ind w:left="107" w:right="95"/>
              <w:jc w:val="both"/>
              <w:rPr>
                <w:rFonts w:ascii="Abadi" w:hAnsi="Abadi" w:cs="Calibri"/>
                <w:b/>
                <w:bCs/>
                <w:i/>
                <w:iCs/>
                <w:sz w:val="21"/>
                <w:szCs w:val="21"/>
              </w:rPr>
            </w:pPr>
            <w:r w:rsidRPr="00401C70">
              <w:rPr>
                <w:rFonts w:ascii="Abadi" w:hAnsi="Abadi" w:cs="Calibri"/>
                <w:b/>
                <w:bCs/>
                <w:i/>
                <w:iCs/>
                <w:sz w:val="21"/>
                <w:szCs w:val="21"/>
              </w:rPr>
              <w:t>Se</w:t>
            </w:r>
            <w:r w:rsidRPr="00401C70">
              <w:rPr>
                <w:rFonts w:ascii="Abadi" w:hAnsi="Abadi" w:cs="Calibri"/>
                <w:b/>
                <w:bCs/>
                <w:i/>
                <w:iCs/>
                <w:spacing w:val="1"/>
                <w:sz w:val="21"/>
                <w:szCs w:val="21"/>
              </w:rPr>
              <w:t xml:space="preserve"> </w:t>
            </w:r>
            <w:r w:rsidRPr="00401C70">
              <w:rPr>
                <w:rFonts w:ascii="Abadi" w:hAnsi="Abadi" w:cs="Calibri"/>
                <w:b/>
                <w:bCs/>
                <w:i/>
                <w:iCs/>
                <w:sz w:val="21"/>
                <w:szCs w:val="21"/>
              </w:rPr>
              <w:t>deberá</w:t>
            </w:r>
            <w:r w:rsidRPr="00401C70">
              <w:rPr>
                <w:rFonts w:ascii="Abadi" w:hAnsi="Abadi" w:cs="Calibri"/>
                <w:b/>
                <w:bCs/>
                <w:i/>
                <w:iCs/>
                <w:spacing w:val="1"/>
                <w:sz w:val="21"/>
                <w:szCs w:val="21"/>
              </w:rPr>
              <w:t xml:space="preserve"> </w:t>
            </w:r>
            <w:r w:rsidRPr="00401C70">
              <w:rPr>
                <w:rFonts w:ascii="Abadi" w:hAnsi="Abadi" w:cs="Calibri"/>
                <w:b/>
                <w:bCs/>
                <w:i/>
                <w:iCs/>
                <w:sz w:val="21"/>
                <w:szCs w:val="21"/>
              </w:rPr>
              <w:t>garantizar</w:t>
            </w:r>
            <w:r w:rsidRPr="00401C70">
              <w:rPr>
                <w:rFonts w:ascii="Abadi" w:hAnsi="Abadi" w:cs="Calibri"/>
                <w:b/>
                <w:bCs/>
                <w:i/>
                <w:iCs/>
                <w:spacing w:val="1"/>
                <w:sz w:val="21"/>
                <w:szCs w:val="21"/>
              </w:rPr>
              <w:t xml:space="preserve"> </w:t>
            </w:r>
            <w:r w:rsidRPr="00401C70">
              <w:rPr>
                <w:rFonts w:ascii="Abadi" w:hAnsi="Abadi" w:cs="Calibri"/>
                <w:b/>
                <w:bCs/>
                <w:i/>
                <w:iCs/>
                <w:sz w:val="21"/>
                <w:szCs w:val="21"/>
              </w:rPr>
              <w:t>la</w:t>
            </w:r>
            <w:r w:rsidRPr="00401C70">
              <w:rPr>
                <w:rFonts w:ascii="Abadi" w:hAnsi="Abadi" w:cs="Calibri"/>
                <w:b/>
                <w:bCs/>
                <w:i/>
                <w:iCs/>
                <w:spacing w:val="1"/>
                <w:sz w:val="21"/>
                <w:szCs w:val="21"/>
              </w:rPr>
              <w:t xml:space="preserve"> </w:t>
            </w:r>
            <w:r w:rsidRPr="00401C70">
              <w:rPr>
                <w:rFonts w:ascii="Abadi" w:hAnsi="Abadi" w:cs="Calibri"/>
                <w:b/>
                <w:bCs/>
                <w:i/>
                <w:iCs/>
                <w:sz w:val="21"/>
                <w:szCs w:val="21"/>
              </w:rPr>
              <w:t>alternancia</w:t>
            </w:r>
            <w:r w:rsidRPr="00401C70">
              <w:rPr>
                <w:rFonts w:ascii="Abadi" w:hAnsi="Abadi" w:cs="Calibri"/>
                <w:b/>
                <w:bCs/>
                <w:i/>
                <w:iCs/>
                <w:spacing w:val="1"/>
                <w:sz w:val="21"/>
                <w:szCs w:val="21"/>
              </w:rPr>
              <w:t xml:space="preserve"> </w:t>
            </w:r>
            <w:r w:rsidRPr="00401C70">
              <w:rPr>
                <w:rFonts w:ascii="Abadi" w:hAnsi="Abadi" w:cs="Calibri"/>
                <w:b/>
                <w:bCs/>
                <w:i/>
                <w:iCs/>
                <w:sz w:val="21"/>
                <w:szCs w:val="21"/>
              </w:rPr>
              <w:t>en</w:t>
            </w:r>
            <w:r w:rsidRPr="00401C70">
              <w:rPr>
                <w:rFonts w:ascii="Abadi" w:hAnsi="Abadi" w:cs="Calibri"/>
                <w:b/>
                <w:bCs/>
                <w:i/>
                <w:iCs/>
                <w:spacing w:val="1"/>
                <w:sz w:val="21"/>
                <w:szCs w:val="21"/>
              </w:rPr>
              <w:t xml:space="preserve"> </w:t>
            </w:r>
            <w:r w:rsidRPr="00401C70">
              <w:rPr>
                <w:rFonts w:ascii="Abadi" w:hAnsi="Abadi" w:cs="Calibri"/>
                <w:b/>
                <w:bCs/>
                <w:i/>
                <w:iCs/>
                <w:sz w:val="21"/>
                <w:szCs w:val="21"/>
              </w:rPr>
              <w:t>el</w:t>
            </w:r>
            <w:r w:rsidRPr="00401C70">
              <w:rPr>
                <w:rFonts w:ascii="Abadi" w:hAnsi="Abadi" w:cs="Calibri"/>
                <w:b/>
                <w:bCs/>
                <w:i/>
                <w:iCs/>
                <w:spacing w:val="1"/>
                <w:sz w:val="21"/>
                <w:szCs w:val="21"/>
              </w:rPr>
              <w:t xml:space="preserve"> </w:t>
            </w:r>
            <w:r w:rsidRPr="00401C70">
              <w:rPr>
                <w:rFonts w:ascii="Abadi" w:hAnsi="Abadi" w:cs="Calibri"/>
                <w:b/>
                <w:bCs/>
                <w:i/>
                <w:iCs/>
                <w:sz w:val="21"/>
                <w:szCs w:val="21"/>
              </w:rPr>
              <w:t>género en los nombramientos de la persona</w:t>
            </w:r>
            <w:r w:rsidRPr="00401C70">
              <w:rPr>
                <w:rFonts w:ascii="Abadi" w:hAnsi="Abadi" w:cs="Calibri"/>
                <w:b/>
                <w:bCs/>
                <w:i/>
                <w:iCs/>
                <w:spacing w:val="1"/>
                <w:sz w:val="21"/>
                <w:szCs w:val="21"/>
              </w:rPr>
              <w:t xml:space="preserve"> </w:t>
            </w:r>
            <w:r w:rsidRPr="00401C70">
              <w:rPr>
                <w:rFonts w:ascii="Abadi" w:hAnsi="Abadi" w:cs="Calibri"/>
                <w:b/>
                <w:bCs/>
                <w:i/>
                <w:iCs/>
                <w:sz w:val="21"/>
                <w:szCs w:val="21"/>
              </w:rPr>
              <w:t>presidenta</w:t>
            </w:r>
            <w:r w:rsidRPr="00401C70">
              <w:rPr>
                <w:rFonts w:ascii="Abadi" w:hAnsi="Abadi" w:cs="Calibri"/>
                <w:b/>
                <w:bCs/>
                <w:i/>
                <w:iCs/>
                <w:spacing w:val="1"/>
                <w:sz w:val="21"/>
                <w:szCs w:val="21"/>
              </w:rPr>
              <w:t xml:space="preserve"> </w:t>
            </w:r>
            <w:r w:rsidRPr="00401C70">
              <w:rPr>
                <w:rFonts w:ascii="Abadi" w:hAnsi="Abadi" w:cs="Calibri"/>
                <w:b/>
                <w:bCs/>
                <w:i/>
                <w:iCs/>
                <w:sz w:val="21"/>
                <w:szCs w:val="21"/>
              </w:rPr>
              <w:t>del</w:t>
            </w:r>
            <w:r w:rsidRPr="00401C70">
              <w:rPr>
                <w:rFonts w:ascii="Abadi" w:hAnsi="Abadi" w:cs="Calibri"/>
                <w:b/>
                <w:bCs/>
                <w:i/>
                <w:iCs/>
                <w:spacing w:val="1"/>
                <w:sz w:val="21"/>
                <w:szCs w:val="21"/>
              </w:rPr>
              <w:t xml:space="preserve"> </w:t>
            </w:r>
            <w:r w:rsidRPr="00401C70">
              <w:rPr>
                <w:rFonts w:ascii="Abadi" w:hAnsi="Abadi" w:cs="Calibri"/>
                <w:b/>
                <w:bCs/>
                <w:i/>
                <w:iCs/>
                <w:sz w:val="21"/>
                <w:szCs w:val="21"/>
              </w:rPr>
              <w:t>consejo</w:t>
            </w:r>
            <w:r w:rsidRPr="00401C70">
              <w:rPr>
                <w:rFonts w:ascii="Abadi" w:hAnsi="Abadi" w:cs="Calibri"/>
                <w:b/>
                <w:bCs/>
                <w:i/>
                <w:iCs/>
                <w:spacing w:val="1"/>
                <w:sz w:val="21"/>
                <w:szCs w:val="21"/>
              </w:rPr>
              <w:t xml:space="preserve"> </w:t>
            </w:r>
            <w:r w:rsidRPr="00401C70">
              <w:rPr>
                <w:rFonts w:ascii="Abadi" w:hAnsi="Abadi" w:cs="Calibri"/>
                <w:b/>
                <w:bCs/>
                <w:i/>
                <w:iCs/>
                <w:sz w:val="21"/>
                <w:szCs w:val="21"/>
              </w:rPr>
              <w:t>directivo</w:t>
            </w:r>
            <w:r w:rsidRPr="00401C70">
              <w:rPr>
                <w:rFonts w:ascii="Abadi" w:hAnsi="Abadi" w:cs="Calibri"/>
                <w:b/>
                <w:bCs/>
                <w:i/>
                <w:iCs/>
                <w:spacing w:val="1"/>
                <w:sz w:val="21"/>
                <w:szCs w:val="21"/>
              </w:rPr>
              <w:t xml:space="preserve"> </w:t>
            </w:r>
            <w:r w:rsidRPr="00401C70">
              <w:rPr>
                <w:rFonts w:ascii="Abadi" w:hAnsi="Abadi" w:cs="Calibri"/>
                <w:b/>
                <w:bCs/>
                <w:i/>
                <w:iCs/>
                <w:sz w:val="21"/>
                <w:szCs w:val="21"/>
              </w:rPr>
              <w:t>o</w:t>
            </w:r>
            <w:r w:rsidRPr="00401C70">
              <w:rPr>
                <w:rFonts w:ascii="Abadi" w:hAnsi="Abadi" w:cs="Calibri"/>
                <w:b/>
                <w:bCs/>
                <w:i/>
                <w:iCs/>
                <w:spacing w:val="1"/>
                <w:sz w:val="21"/>
                <w:szCs w:val="21"/>
              </w:rPr>
              <w:t xml:space="preserve"> </w:t>
            </w:r>
            <w:r w:rsidRPr="00401C70">
              <w:rPr>
                <w:rFonts w:ascii="Abadi" w:hAnsi="Abadi" w:cs="Calibri"/>
                <w:b/>
                <w:bCs/>
                <w:i/>
                <w:iCs/>
                <w:sz w:val="21"/>
                <w:szCs w:val="21"/>
              </w:rPr>
              <w:t>su</w:t>
            </w:r>
            <w:r w:rsidRPr="00401C70">
              <w:rPr>
                <w:rFonts w:ascii="Abadi" w:hAnsi="Abadi" w:cs="Calibri"/>
                <w:b/>
                <w:bCs/>
                <w:i/>
                <w:iCs/>
                <w:spacing w:val="1"/>
                <w:sz w:val="21"/>
                <w:szCs w:val="21"/>
              </w:rPr>
              <w:t xml:space="preserve"> </w:t>
            </w:r>
            <w:r w:rsidRPr="00401C70">
              <w:rPr>
                <w:rFonts w:ascii="Abadi" w:hAnsi="Abadi" w:cs="Calibri"/>
                <w:b/>
                <w:bCs/>
                <w:i/>
                <w:iCs/>
                <w:sz w:val="21"/>
                <w:szCs w:val="21"/>
              </w:rPr>
              <w:t>equivalente,</w:t>
            </w:r>
            <w:r w:rsidRPr="00401C70">
              <w:rPr>
                <w:rFonts w:ascii="Abadi" w:hAnsi="Abadi" w:cs="Calibri"/>
                <w:b/>
                <w:bCs/>
                <w:i/>
                <w:iCs/>
                <w:spacing w:val="-6"/>
                <w:sz w:val="21"/>
                <w:szCs w:val="21"/>
              </w:rPr>
              <w:t xml:space="preserve"> </w:t>
            </w:r>
            <w:r w:rsidRPr="00401C70">
              <w:rPr>
                <w:rFonts w:ascii="Abadi" w:hAnsi="Abadi" w:cs="Calibri"/>
                <w:b/>
                <w:bCs/>
                <w:i/>
                <w:iCs/>
                <w:sz w:val="21"/>
                <w:szCs w:val="21"/>
              </w:rPr>
              <w:t>titulares</w:t>
            </w:r>
            <w:r w:rsidRPr="00401C70">
              <w:rPr>
                <w:rFonts w:ascii="Abadi" w:hAnsi="Abadi" w:cs="Calibri"/>
                <w:b/>
                <w:bCs/>
                <w:i/>
                <w:iCs/>
                <w:spacing w:val="-6"/>
                <w:sz w:val="21"/>
                <w:szCs w:val="21"/>
              </w:rPr>
              <w:t xml:space="preserve"> </w:t>
            </w:r>
            <w:r w:rsidRPr="00401C70">
              <w:rPr>
                <w:rFonts w:ascii="Abadi" w:hAnsi="Abadi" w:cs="Calibri"/>
                <w:b/>
                <w:bCs/>
                <w:i/>
                <w:iCs/>
                <w:sz w:val="21"/>
                <w:szCs w:val="21"/>
              </w:rPr>
              <w:t>de</w:t>
            </w:r>
            <w:r w:rsidRPr="00401C70">
              <w:rPr>
                <w:rFonts w:ascii="Abadi" w:hAnsi="Abadi" w:cs="Calibri"/>
                <w:b/>
                <w:bCs/>
                <w:i/>
                <w:iCs/>
                <w:spacing w:val="-7"/>
                <w:sz w:val="21"/>
                <w:szCs w:val="21"/>
              </w:rPr>
              <w:t xml:space="preserve"> </w:t>
            </w:r>
            <w:r w:rsidRPr="00401C70">
              <w:rPr>
                <w:rFonts w:ascii="Abadi" w:hAnsi="Abadi" w:cs="Calibri"/>
                <w:b/>
                <w:bCs/>
                <w:i/>
                <w:iCs/>
                <w:sz w:val="21"/>
                <w:szCs w:val="21"/>
              </w:rPr>
              <w:t>la</w:t>
            </w:r>
            <w:r w:rsidRPr="00401C70">
              <w:rPr>
                <w:rFonts w:ascii="Abadi" w:hAnsi="Abadi" w:cs="Calibri"/>
                <w:b/>
                <w:bCs/>
                <w:i/>
                <w:iCs/>
                <w:spacing w:val="-7"/>
                <w:sz w:val="21"/>
                <w:szCs w:val="21"/>
              </w:rPr>
              <w:t xml:space="preserve"> </w:t>
            </w:r>
            <w:r w:rsidRPr="00401C70">
              <w:rPr>
                <w:rFonts w:ascii="Abadi" w:hAnsi="Abadi" w:cs="Calibri"/>
                <w:b/>
                <w:bCs/>
                <w:i/>
                <w:iCs/>
                <w:sz w:val="21"/>
                <w:szCs w:val="21"/>
              </w:rPr>
              <w:t>dirección</w:t>
            </w:r>
            <w:r w:rsidRPr="00401C70">
              <w:rPr>
                <w:rFonts w:ascii="Abadi" w:hAnsi="Abadi" w:cs="Calibri"/>
                <w:b/>
                <w:bCs/>
                <w:i/>
                <w:iCs/>
                <w:spacing w:val="-6"/>
                <w:sz w:val="21"/>
                <w:szCs w:val="21"/>
              </w:rPr>
              <w:t xml:space="preserve"> </w:t>
            </w:r>
            <w:r w:rsidRPr="00401C70">
              <w:rPr>
                <w:rFonts w:ascii="Abadi" w:hAnsi="Abadi" w:cs="Calibri"/>
                <w:b/>
                <w:bCs/>
                <w:i/>
                <w:iCs/>
                <w:sz w:val="21"/>
                <w:szCs w:val="21"/>
              </w:rPr>
              <w:t>general</w:t>
            </w:r>
            <w:r w:rsidRPr="00401C70">
              <w:rPr>
                <w:rFonts w:ascii="Abadi" w:hAnsi="Abadi" w:cs="Calibri"/>
                <w:b/>
                <w:bCs/>
                <w:i/>
                <w:iCs/>
                <w:spacing w:val="-5"/>
                <w:sz w:val="21"/>
                <w:szCs w:val="21"/>
              </w:rPr>
              <w:t xml:space="preserve"> </w:t>
            </w:r>
            <w:r w:rsidRPr="00401C70">
              <w:rPr>
                <w:rFonts w:ascii="Abadi" w:hAnsi="Abadi" w:cs="Calibri"/>
                <w:b/>
                <w:bCs/>
                <w:i/>
                <w:iCs/>
                <w:sz w:val="21"/>
                <w:szCs w:val="21"/>
              </w:rPr>
              <w:t>y</w:t>
            </w:r>
            <w:r w:rsidRPr="00401C70">
              <w:rPr>
                <w:rFonts w:ascii="Abadi" w:hAnsi="Abadi" w:cs="Calibri"/>
                <w:b/>
                <w:bCs/>
                <w:i/>
                <w:iCs/>
                <w:spacing w:val="-48"/>
                <w:sz w:val="21"/>
                <w:szCs w:val="21"/>
              </w:rPr>
              <w:t xml:space="preserve"> </w:t>
            </w:r>
            <w:r w:rsidRPr="00401C70">
              <w:rPr>
                <w:rFonts w:ascii="Abadi" w:hAnsi="Abadi" w:cs="Calibri"/>
                <w:b/>
                <w:bCs/>
                <w:i/>
                <w:iCs/>
                <w:sz w:val="21"/>
                <w:szCs w:val="21"/>
              </w:rPr>
              <w:t>de</w:t>
            </w:r>
            <w:r w:rsidRPr="00401C70">
              <w:rPr>
                <w:rFonts w:ascii="Abadi" w:hAnsi="Abadi" w:cs="Calibri"/>
                <w:b/>
                <w:bCs/>
                <w:i/>
                <w:iCs/>
                <w:spacing w:val="-1"/>
                <w:sz w:val="21"/>
                <w:szCs w:val="21"/>
              </w:rPr>
              <w:t xml:space="preserve"> </w:t>
            </w:r>
            <w:r w:rsidRPr="00401C70">
              <w:rPr>
                <w:rFonts w:ascii="Abadi" w:hAnsi="Abadi" w:cs="Calibri"/>
                <w:b/>
                <w:bCs/>
                <w:i/>
                <w:iCs/>
                <w:sz w:val="21"/>
                <w:szCs w:val="21"/>
              </w:rPr>
              <w:t>su</w:t>
            </w:r>
            <w:r w:rsidRPr="00401C70">
              <w:rPr>
                <w:rFonts w:ascii="Abadi" w:hAnsi="Abadi" w:cs="Calibri"/>
                <w:b/>
                <w:bCs/>
                <w:i/>
                <w:iCs/>
                <w:spacing w:val="-2"/>
                <w:sz w:val="21"/>
                <w:szCs w:val="21"/>
              </w:rPr>
              <w:t xml:space="preserve"> </w:t>
            </w:r>
            <w:r w:rsidRPr="00401C70">
              <w:rPr>
                <w:rFonts w:ascii="Abadi" w:hAnsi="Abadi" w:cs="Calibri"/>
                <w:b/>
                <w:bCs/>
                <w:i/>
                <w:iCs/>
                <w:sz w:val="21"/>
                <w:szCs w:val="21"/>
              </w:rPr>
              <w:t>Unidad</w:t>
            </w:r>
            <w:r w:rsidRPr="00401C70">
              <w:rPr>
                <w:rFonts w:ascii="Abadi" w:hAnsi="Abadi" w:cs="Calibri"/>
                <w:b/>
                <w:bCs/>
                <w:i/>
                <w:iCs/>
                <w:spacing w:val="-1"/>
                <w:sz w:val="21"/>
                <w:szCs w:val="21"/>
              </w:rPr>
              <w:t xml:space="preserve"> </w:t>
            </w:r>
            <w:r w:rsidRPr="00401C70">
              <w:rPr>
                <w:rFonts w:ascii="Abadi" w:hAnsi="Abadi" w:cs="Calibri"/>
                <w:b/>
                <w:bCs/>
                <w:i/>
                <w:iCs/>
                <w:sz w:val="21"/>
                <w:szCs w:val="21"/>
              </w:rPr>
              <w:t>de</w:t>
            </w:r>
            <w:r w:rsidRPr="00401C70">
              <w:rPr>
                <w:rFonts w:ascii="Abadi" w:hAnsi="Abadi" w:cs="Calibri"/>
                <w:b/>
                <w:bCs/>
                <w:i/>
                <w:iCs/>
                <w:spacing w:val="-3"/>
                <w:sz w:val="21"/>
                <w:szCs w:val="21"/>
              </w:rPr>
              <w:t xml:space="preserve"> </w:t>
            </w:r>
            <w:r w:rsidRPr="00401C70">
              <w:rPr>
                <w:rFonts w:ascii="Abadi" w:hAnsi="Abadi" w:cs="Calibri"/>
                <w:b/>
                <w:bCs/>
                <w:i/>
                <w:iCs/>
                <w:sz w:val="21"/>
                <w:szCs w:val="21"/>
              </w:rPr>
              <w:t>Transparencia.</w:t>
            </w:r>
          </w:p>
        </w:tc>
      </w:tr>
      <w:tr w:rsidR="00677B7E" w:rsidRPr="00401C70" w14:paraId="27CCC3FA" w14:textId="77777777" w:rsidTr="00EE3E2D">
        <w:trPr>
          <w:trHeight w:val="1458"/>
        </w:trPr>
        <w:tc>
          <w:tcPr>
            <w:tcW w:w="2500" w:type="pct"/>
            <w:tcBorders>
              <w:top w:val="none" w:sz="6" w:space="0" w:color="auto"/>
              <w:left w:val="single" w:sz="4" w:space="0" w:color="000000"/>
              <w:bottom w:val="single" w:sz="4" w:space="0" w:color="000000"/>
              <w:right w:val="single" w:sz="4" w:space="0" w:color="000000"/>
            </w:tcBorders>
          </w:tcPr>
          <w:p w14:paraId="2CD10D47" w14:textId="77777777" w:rsidR="00677B7E" w:rsidRPr="00401C70" w:rsidRDefault="00677B7E" w:rsidP="00FA2590">
            <w:pPr>
              <w:kinsoku w:val="0"/>
              <w:overflowPunct w:val="0"/>
              <w:autoSpaceDE w:val="0"/>
              <w:autoSpaceDN w:val="0"/>
              <w:adjustRightInd w:val="0"/>
              <w:spacing w:before="93" w:line="270" w:lineRule="atLeast"/>
              <w:ind w:left="107" w:right="90"/>
              <w:jc w:val="both"/>
              <w:rPr>
                <w:rFonts w:ascii="Abadi" w:hAnsi="Abadi" w:cs="Calibri"/>
                <w:sz w:val="21"/>
                <w:szCs w:val="21"/>
              </w:rPr>
            </w:pPr>
            <w:r w:rsidRPr="00401C70">
              <w:rPr>
                <w:rFonts w:ascii="Abadi" w:hAnsi="Abadi" w:cs="Calibri"/>
                <w:sz w:val="21"/>
                <w:szCs w:val="21"/>
              </w:rPr>
              <w:t>Las</w:t>
            </w:r>
            <w:r w:rsidRPr="00401C70">
              <w:rPr>
                <w:rFonts w:ascii="Abadi" w:hAnsi="Abadi" w:cs="Calibri"/>
                <w:spacing w:val="1"/>
                <w:sz w:val="21"/>
                <w:szCs w:val="21"/>
              </w:rPr>
              <w:t xml:space="preserve"> </w:t>
            </w:r>
            <w:r w:rsidRPr="00401C70">
              <w:rPr>
                <w:rFonts w:ascii="Abadi" w:hAnsi="Abadi" w:cs="Calibri"/>
                <w:sz w:val="21"/>
                <w:szCs w:val="21"/>
              </w:rPr>
              <w:t>sesiones</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consejo</w:t>
            </w:r>
            <w:r w:rsidRPr="00401C70">
              <w:rPr>
                <w:rFonts w:ascii="Abadi" w:hAnsi="Abadi" w:cs="Calibri"/>
                <w:spacing w:val="1"/>
                <w:sz w:val="21"/>
                <w:szCs w:val="21"/>
              </w:rPr>
              <w:t xml:space="preserve"> </w:t>
            </w:r>
            <w:r w:rsidRPr="00401C70">
              <w:rPr>
                <w:rFonts w:ascii="Abadi" w:hAnsi="Abadi" w:cs="Calibri"/>
                <w:sz w:val="21"/>
                <w:szCs w:val="21"/>
              </w:rPr>
              <w:t>directivo</w:t>
            </w:r>
            <w:r w:rsidRPr="00401C70">
              <w:rPr>
                <w:rFonts w:ascii="Abadi" w:hAnsi="Abadi" w:cs="Calibri"/>
                <w:spacing w:val="1"/>
                <w:sz w:val="21"/>
                <w:szCs w:val="21"/>
              </w:rPr>
              <w:t xml:space="preserve"> </w:t>
            </w:r>
            <w:r w:rsidRPr="00401C70">
              <w:rPr>
                <w:rFonts w:ascii="Abadi" w:hAnsi="Abadi" w:cs="Calibri"/>
                <w:sz w:val="21"/>
                <w:szCs w:val="21"/>
              </w:rPr>
              <w:t>o</w:t>
            </w:r>
            <w:r w:rsidRPr="00401C70">
              <w:rPr>
                <w:rFonts w:ascii="Abadi" w:hAnsi="Abadi" w:cs="Calibri"/>
                <w:spacing w:val="1"/>
                <w:sz w:val="21"/>
                <w:szCs w:val="21"/>
              </w:rPr>
              <w:t xml:space="preserve"> </w:t>
            </w:r>
            <w:r w:rsidRPr="00401C70">
              <w:rPr>
                <w:rFonts w:ascii="Abadi" w:hAnsi="Abadi" w:cs="Calibri"/>
                <w:sz w:val="21"/>
                <w:szCs w:val="21"/>
              </w:rPr>
              <w:t>su</w:t>
            </w:r>
            <w:r w:rsidRPr="00401C70">
              <w:rPr>
                <w:rFonts w:ascii="Abadi" w:hAnsi="Abadi" w:cs="Calibri"/>
                <w:spacing w:val="1"/>
                <w:sz w:val="21"/>
                <w:szCs w:val="21"/>
              </w:rPr>
              <w:t xml:space="preserve"> </w:t>
            </w:r>
            <w:r w:rsidRPr="00401C70">
              <w:rPr>
                <w:rFonts w:ascii="Abadi" w:hAnsi="Abadi" w:cs="Calibri"/>
                <w:sz w:val="21"/>
                <w:szCs w:val="21"/>
              </w:rPr>
              <w:t>equivalente</w:t>
            </w:r>
            <w:r w:rsidRPr="00401C70">
              <w:rPr>
                <w:rFonts w:ascii="Abadi" w:hAnsi="Abadi" w:cs="Calibri"/>
                <w:spacing w:val="-9"/>
                <w:sz w:val="21"/>
                <w:szCs w:val="21"/>
              </w:rPr>
              <w:t xml:space="preserve"> </w:t>
            </w:r>
            <w:r w:rsidRPr="00401C70">
              <w:rPr>
                <w:rFonts w:ascii="Abadi" w:hAnsi="Abadi" w:cs="Calibri"/>
                <w:sz w:val="21"/>
                <w:szCs w:val="21"/>
              </w:rPr>
              <w:t>serán</w:t>
            </w:r>
            <w:r w:rsidRPr="00401C70">
              <w:rPr>
                <w:rFonts w:ascii="Abadi" w:hAnsi="Abadi" w:cs="Calibri"/>
                <w:spacing w:val="-10"/>
                <w:sz w:val="21"/>
                <w:szCs w:val="21"/>
              </w:rPr>
              <w:t xml:space="preserve"> </w:t>
            </w:r>
            <w:r w:rsidRPr="00401C70">
              <w:rPr>
                <w:rFonts w:ascii="Abadi" w:hAnsi="Abadi" w:cs="Calibri"/>
                <w:sz w:val="21"/>
                <w:szCs w:val="21"/>
              </w:rPr>
              <w:t>públicas,</w:t>
            </w:r>
            <w:r w:rsidRPr="00401C70">
              <w:rPr>
                <w:rFonts w:ascii="Abadi" w:hAnsi="Abadi" w:cs="Calibri"/>
                <w:spacing w:val="-12"/>
                <w:sz w:val="21"/>
                <w:szCs w:val="21"/>
              </w:rPr>
              <w:t xml:space="preserve"> </w:t>
            </w:r>
            <w:r w:rsidRPr="00401C70">
              <w:rPr>
                <w:rFonts w:ascii="Abadi" w:hAnsi="Abadi" w:cs="Calibri"/>
                <w:sz w:val="21"/>
                <w:szCs w:val="21"/>
              </w:rPr>
              <w:t>con</w:t>
            </w:r>
            <w:r w:rsidRPr="00401C70">
              <w:rPr>
                <w:rFonts w:ascii="Abadi" w:hAnsi="Abadi" w:cs="Calibri"/>
                <w:spacing w:val="-10"/>
                <w:sz w:val="21"/>
                <w:szCs w:val="21"/>
              </w:rPr>
              <w:t xml:space="preserve"> </w:t>
            </w:r>
            <w:r w:rsidRPr="00401C70">
              <w:rPr>
                <w:rFonts w:ascii="Abadi" w:hAnsi="Abadi" w:cs="Calibri"/>
                <w:sz w:val="21"/>
                <w:szCs w:val="21"/>
              </w:rPr>
              <w:t>las</w:t>
            </w:r>
            <w:r w:rsidRPr="00401C70">
              <w:rPr>
                <w:rFonts w:ascii="Abadi" w:hAnsi="Abadi" w:cs="Calibri"/>
                <w:spacing w:val="-12"/>
                <w:sz w:val="21"/>
                <w:szCs w:val="21"/>
              </w:rPr>
              <w:t xml:space="preserve"> </w:t>
            </w:r>
            <w:r w:rsidRPr="00401C70">
              <w:rPr>
                <w:rFonts w:ascii="Abadi" w:hAnsi="Abadi" w:cs="Calibri"/>
                <w:sz w:val="21"/>
                <w:szCs w:val="21"/>
              </w:rPr>
              <w:t>excepciones</w:t>
            </w:r>
            <w:r w:rsidRPr="00401C70">
              <w:rPr>
                <w:rFonts w:ascii="Abadi" w:hAnsi="Abadi" w:cs="Calibri"/>
                <w:spacing w:val="-47"/>
                <w:sz w:val="21"/>
                <w:szCs w:val="21"/>
              </w:rPr>
              <w:t xml:space="preserve"> </w:t>
            </w:r>
            <w:r w:rsidRPr="00401C70">
              <w:rPr>
                <w:rFonts w:ascii="Abadi" w:hAnsi="Abadi" w:cs="Calibri"/>
                <w:sz w:val="21"/>
                <w:szCs w:val="21"/>
              </w:rPr>
              <w:t>previstas en la Ley de Transparencia y Acceso a</w:t>
            </w:r>
            <w:r w:rsidRPr="00401C70">
              <w:rPr>
                <w:rFonts w:ascii="Abadi" w:hAnsi="Abadi" w:cs="Calibri"/>
                <w:spacing w:val="-47"/>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Información</w:t>
            </w:r>
            <w:r w:rsidRPr="00401C70">
              <w:rPr>
                <w:rFonts w:ascii="Abadi" w:hAnsi="Abadi" w:cs="Calibri"/>
                <w:spacing w:val="1"/>
                <w:sz w:val="21"/>
                <w:szCs w:val="21"/>
              </w:rPr>
              <w:t xml:space="preserve"> </w:t>
            </w:r>
            <w:r w:rsidRPr="00401C70">
              <w:rPr>
                <w:rFonts w:ascii="Abadi" w:hAnsi="Abadi" w:cs="Calibri"/>
                <w:sz w:val="21"/>
                <w:szCs w:val="21"/>
              </w:rPr>
              <w:t>Pública</w:t>
            </w:r>
            <w:r w:rsidRPr="00401C70">
              <w:rPr>
                <w:rFonts w:ascii="Abadi" w:hAnsi="Abadi" w:cs="Calibri"/>
                <w:spacing w:val="1"/>
                <w:sz w:val="21"/>
                <w:szCs w:val="21"/>
              </w:rPr>
              <w:t xml:space="preserve"> </w:t>
            </w:r>
            <w:r w:rsidRPr="00401C70">
              <w:rPr>
                <w:rFonts w:ascii="Abadi" w:hAnsi="Abadi" w:cs="Calibri"/>
                <w:sz w:val="21"/>
                <w:szCs w:val="21"/>
              </w:rPr>
              <w:t>para</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Estado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47"/>
                <w:sz w:val="21"/>
                <w:szCs w:val="21"/>
              </w:rPr>
              <w:t xml:space="preserve"> </w:t>
            </w:r>
            <w:r w:rsidRPr="00401C70">
              <w:rPr>
                <w:rFonts w:ascii="Abadi" w:hAnsi="Abadi" w:cs="Calibri"/>
                <w:sz w:val="21"/>
                <w:szCs w:val="21"/>
              </w:rPr>
              <w:t>Guanajuato.</w:t>
            </w:r>
          </w:p>
        </w:tc>
        <w:tc>
          <w:tcPr>
            <w:tcW w:w="2500" w:type="pct"/>
            <w:tcBorders>
              <w:top w:val="none" w:sz="6" w:space="0" w:color="auto"/>
              <w:left w:val="single" w:sz="4" w:space="0" w:color="000000"/>
              <w:bottom w:val="single" w:sz="4" w:space="0" w:color="000000"/>
              <w:right w:val="single" w:sz="4" w:space="0" w:color="000000"/>
            </w:tcBorders>
          </w:tcPr>
          <w:p w14:paraId="6AF72ED6" w14:textId="08DCA243" w:rsidR="00677B7E" w:rsidRPr="00401C70" w:rsidRDefault="00677B7E" w:rsidP="00FA2590">
            <w:pPr>
              <w:kinsoku w:val="0"/>
              <w:overflowPunct w:val="0"/>
              <w:autoSpaceDE w:val="0"/>
              <w:autoSpaceDN w:val="0"/>
              <w:adjustRightInd w:val="0"/>
              <w:spacing w:before="93" w:line="270" w:lineRule="atLeast"/>
              <w:ind w:left="107" w:right="90"/>
              <w:jc w:val="both"/>
              <w:rPr>
                <w:rFonts w:ascii="Abadi" w:hAnsi="Abadi" w:cs="Calibri"/>
                <w:sz w:val="21"/>
                <w:szCs w:val="21"/>
              </w:rPr>
            </w:pPr>
            <w:r w:rsidRPr="00401C70">
              <w:rPr>
                <w:rFonts w:ascii="Abadi" w:hAnsi="Abadi" w:cs="Calibri"/>
                <w:sz w:val="21"/>
                <w:szCs w:val="21"/>
              </w:rPr>
              <w:t>Las</w:t>
            </w:r>
            <w:r w:rsidRPr="00401C70">
              <w:rPr>
                <w:rFonts w:ascii="Abadi" w:hAnsi="Abadi" w:cs="Calibri"/>
                <w:spacing w:val="1"/>
                <w:sz w:val="21"/>
                <w:szCs w:val="21"/>
              </w:rPr>
              <w:t xml:space="preserve"> </w:t>
            </w:r>
            <w:r w:rsidRPr="00401C70">
              <w:rPr>
                <w:rFonts w:ascii="Abadi" w:hAnsi="Abadi" w:cs="Calibri"/>
                <w:sz w:val="21"/>
                <w:szCs w:val="21"/>
              </w:rPr>
              <w:t>sesiones</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consejo</w:t>
            </w:r>
            <w:r w:rsidRPr="00401C70">
              <w:rPr>
                <w:rFonts w:ascii="Abadi" w:hAnsi="Abadi" w:cs="Calibri"/>
                <w:spacing w:val="1"/>
                <w:sz w:val="21"/>
                <w:szCs w:val="21"/>
              </w:rPr>
              <w:t xml:space="preserve"> </w:t>
            </w:r>
            <w:r w:rsidRPr="00401C70">
              <w:rPr>
                <w:rFonts w:ascii="Abadi" w:hAnsi="Abadi" w:cs="Calibri"/>
                <w:sz w:val="21"/>
                <w:szCs w:val="21"/>
              </w:rPr>
              <w:t>directivo</w:t>
            </w:r>
            <w:r w:rsidRPr="00401C70">
              <w:rPr>
                <w:rFonts w:ascii="Abadi" w:hAnsi="Abadi" w:cs="Calibri"/>
                <w:spacing w:val="1"/>
                <w:sz w:val="21"/>
                <w:szCs w:val="21"/>
              </w:rPr>
              <w:t xml:space="preserve"> </w:t>
            </w:r>
            <w:r w:rsidRPr="00401C70">
              <w:rPr>
                <w:rFonts w:ascii="Abadi" w:hAnsi="Abadi" w:cs="Calibri"/>
                <w:sz w:val="21"/>
                <w:szCs w:val="21"/>
              </w:rPr>
              <w:t>o</w:t>
            </w:r>
            <w:r w:rsidRPr="00401C70">
              <w:rPr>
                <w:rFonts w:ascii="Abadi" w:hAnsi="Abadi" w:cs="Calibri"/>
                <w:spacing w:val="1"/>
                <w:sz w:val="21"/>
                <w:szCs w:val="21"/>
              </w:rPr>
              <w:t xml:space="preserve"> </w:t>
            </w:r>
            <w:r w:rsidRPr="00401C70">
              <w:rPr>
                <w:rFonts w:ascii="Abadi" w:hAnsi="Abadi" w:cs="Calibri"/>
                <w:sz w:val="21"/>
                <w:szCs w:val="21"/>
              </w:rPr>
              <w:t>su</w:t>
            </w:r>
            <w:r w:rsidRPr="00401C70">
              <w:rPr>
                <w:rFonts w:ascii="Abadi" w:hAnsi="Abadi" w:cs="Calibri"/>
                <w:spacing w:val="1"/>
                <w:sz w:val="21"/>
                <w:szCs w:val="21"/>
              </w:rPr>
              <w:t xml:space="preserve"> </w:t>
            </w:r>
            <w:r w:rsidRPr="00401C70">
              <w:rPr>
                <w:rFonts w:ascii="Abadi" w:hAnsi="Abadi" w:cs="Calibri"/>
                <w:sz w:val="21"/>
                <w:szCs w:val="21"/>
              </w:rPr>
              <w:t>equivalente</w:t>
            </w:r>
            <w:r w:rsidRPr="00401C70">
              <w:rPr>
                <w:rFonts w:ascii="Abadi" w:hAnsi="Abadi" w:cs="Calibri"/>
                <w:spacing w:val="-9"/>
                <w:sz w:val="21"/>
                <w:szCs w:val="21"/>
              </w:rPr>
              <w:t xml:space="preserve"> </w:t>
            </w:r>
            <w:r w:rsidRPr="00401C70">
              <w:rPr>
                <w:rFonts w:ascii="Abadi" w:hAnsi="Abadi" w:cs="Calibri"/>
                <w:sz w:val="21"/>
                <w:szCs w:val="21"/>
              </w:rPr>
              <w:t>serán</w:t>
            </w:r>
            <w:r w:rsidRPr="00401C70">
              <w:rPr>
                <w:rFonts w:ascii="Abadi" w:hAnsi="Abadi" w:cs="Calibri"/>
                <w:spacing w:val="-10"/>
                <w:sz w:val="21"/>
                <w:szCs w:val="21"/>
              </w:rPr>
              <w:t xml:space="preserve"> </w:t>
            </w:r>
            <w:r w:rsidRPr="00401C70">
              <w:rPr>
                <w:rFonts w:ascii="Abadi" w:hAnsi="Abadi" w:cs="Calibri"/>
                <w:sz w:val="21"/>
                <w:szCs w:val="21"/>
              </w:rPr>
              <w:t>públicas,</w:t>
            </w:r>
            <w:r w:rsidRPr="00401C70">
              <w:rPr>
                <w:rFonts w:ascii="Abadi" w:hAnsi="Abadi" w:cs="Calibri"/>
                <w:spacing w:val="-12"/>
                <w:sz w:val="21"/>
                <w:szCs w:val="21"/>
              </w:rPr>
              <w:t xml:space="preserve"> </w:t>
            </w:r>
            <w:r w:rsidRPr="00401C70">
              <w:rPr>
                <w:rFonts w:ascii="Abadi" w:hAnsi="Abadi" w:cs="Calibri"/>
                <w:sz w:val="21"/>
                <w:szCs w:val="21"/>
              </w:rPr>
              <w:t>con</w:t>
            </w:r>
            <w:r w:rsidRPr="00401C70">
              <w:rPr>
                <w:rFonts w:ascii="Abadi" w:hAnsi="Abadi" w:cs="Calibri"/>
                <w:spacing w:val="-10"/>
                <w:sz w:val="21"/>
                <w:szCs w:val="21"/>
              </w:rPr>
              <w:t xml:space="preserve"> </w:t>
            </w:r>
            <w:r w:rsidRPr="00401C70">
              <w:rPr>
                <w:rFonts w:ascii="Abadi" w:hAnsi="Abadi" w:cs="Calibri"/>
                <w:sz w:val="21"/>
                <w:szCs w:val="21"/>
              </w:rPr>
              <w:t>las</w:t>
            </w:r>
            <w:r w:rsidRPr="00401C70">
              <w:rPr>
                <w:rFonts w:ascii="Abadi" w:hAnsi="Abadi" w:cs="Calibri"/>
                <w:spacing w:val="-12"/>
                <w:sz w:val="21"/>
                <w:szCs w:val="21"/>
              </w:rPr>
              <w:t xml:space="preserve"> </w:t>
            </w:r>
            <w:r w:rsidRPr="00401C70">
              <w:rPr>
                <w:rFonts w:ascii="Abadi" w:hAnsi="Abadi" w:cs="Calibri"/>
                <w:sz w:val="21"/>
                <w:szCs w:val="21"/>
              </w:rPr>
              <w:t>excepciones</w:t>
            </w:r>
            <w:r w:rsidRPr="00401C70">
              <w:rPr>
                <w:rFonts w:ascii="Abadi" w:hAnsi="Abadi" w:cs="Calibri"/>
                <w:spacing w:val="-47"/>
                <w:sz w:val="21"/>
                <w:szCs w:val="21"/>
              </w:rPr>
              <w:t xml:space="preserve"> </w:t>
            </w:r>
            <w:r w:rsidRPr="00401C70">
              <w:rPr>
                <w:rFonts w:ascii="Abadi" w:hAnsi="Abadi" w:cs="Calibri"/>
                <w:sz w:val="21"/>
                <w:szCs w:val="21"/>
              </w:rPr>
              <w:t>previstas en la Ley de Transparencia y Acceso a</w:t>
            </w:r>
            <w:r w:rsidRPr="00401C70">
              <w:rPr>
                <w:rFonts w:ascii="Abadi" w:hAnsi="Abadi" w:cs="Calibri"/>
                <w:spacing w:val="-47"/>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Información</w:t>
            </w:r>
            <w:r w:rsidRPr="00401C70">
              <w:rPr>
                <w:rFonts w:ascii="Abadi" w:hAnsi="Abadi" w:cs="Calibri"/>
                <w:spacing w:val="1"/>
                <w:sz w:val="21"/>
                <w:szCs w:val="21"/>
              </w:rPr>
              <w:t xml:space="preserve"> </w:t>
            </w:r>
            <w:r w:rsidRPr="00401C70">
              <w:rPr>
                <w:rFonts w:ascii="Abadi" w:hAnsi="Abadi" w:cs="Calibri"/>
                <w:sz w:val="21"/>
                <w:szCs w:val="21"/>
              </w:rPr>
              <w:t>Pública</w:t>
            </w:r>
            <w:r w:rsidRPr="00401C70">
              <w:rPr>
                <w:rFonts w:ascii="Abadi" w:hAnsi="Abadi" w:cs="Calibri"/>
                <w:spacing w:val="1"/>
                <w:sz w:val="21"/>
                <w:szCs w:val="21"/>
              </w:rPr>
              <w:t xml:space="preserve"> </w:t>
            </w:r>
            <w:r w:rsidRPr="00401C70">
              <w:rPr>
                <w:rFonts w:ascii="Abadi" w:hAnsi="Abadi" w:cs="Calibri"/>
                <w:sz w:val="21"/>
                <w:szCs w:val="21"/>
              </w:rPr>
              <w:t>para</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Estado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47"/>
                <w:sz w:val="21"/>
                <w:szCs w:val="21"/>
              </w:rPr>
              <w:t xml:space="preserve"> </w:t>
            </w:r>
            <w:r w:rsidRPr="00401C70">
              <w:rPr>
                <w:rFonts w:ascii="Abadi" w:hAnsi="Abadi" w:cs="Calibri"/>
                <w:sz w:val="21"/>
                <w:szCs w:val="21"/>
              </w:rPr>
              <w:t>Guanajuato.</w:t>
            </w:r>
            <w:r w:rsidR="00BB0460">
              <w:rPr>
                <w:rFonts w:ascii="Abadi" w:hAnsi="Abadi" w:cs="Calibri"/>
                <w:sz w:val="21"/>
                <w:szCs w:val="21"/>
              </w:rPr>
              <w:t xml:space="preserve"> </w:t>
            </w:r>
          </w:p>
        </w:tc>
      </w:tr>
      <w:tr w:rsidR="00677B7E" w:rsidRPr="00401C70" w14:paraId="541A776E" w14:textId="77777777" w:rsidTr="00EE3E2D">
        <w:trPr>
          <w:trHeight w:val="6713"/>
        </w:trPr>
        <w:tc>
          <w:tcPr>
            <w:tcW w:w="2500" w:type="pct"/>
            <w:tcBorders>
              <w:top w:val="single" w:sz="4" w:space="0" w:color="000000"/>
              <w:left w:val="single" w:sz="4" w:space="0" w:color="000000"/>
              <w:bottom w:val="single" w:sz="4" w:space="0" w:color="000000"/>
              <w:right w:val="single" w:sz="4" w:space="0" w:color="000000"/>
            </w:tcBorders>
          </w:tcPr>
          <w:p w14:paraId="75870796" w14:textId="77777777" w:rsidR="00677B7E" w:rsidRPr="00BB0460" w:rsidRDefault="00677B7E" w:rsidP="00FA2590">
            <w:pPr>
              <w:kinsoku w:val="0"/>
              <w:overflowPunct w:val="0"/>
              <w:autoSpaceDE w:val="0"/>
              <w:autoSpaceDN w:val="0"/>
              <w:adjustRightInd w:val="0"/>
              <w:ind w:left="107" w:right="93"/>
              <w:jc w:val="both"/>
              <w:rPr>
                <w:rFonts w:ascii="Abadi" w:hAnsi="Abadi" w:cs="Calibri"/>
                <w:sz w:val="21"/>
                <w:szCs w:val="21"/>
              </w:rPr>
            </w:pPr>
            <w:r w:rsidRPr="00BB0460">
              <w:rPr>
                <w:rFonts w:ascii="Abadi" w:hAnsi="Abadi" w:cs="Calibri"/>
                <w:b/>
                <w:bCs/>
                <w:sz w:val="21"/>
                <w:szCs w:val="21"/>
              </w:rPr>
              <w:lastRenderedPageBreak/>
              <w:t xml:space="preserve">Artículo 159. </w:t>
            </w:r>
            <w:r w:rsidRPr="00BB0460">
              <w:rPr>
                <w:rFonts w:ascii="Abadi" w:hAnsi="Abadi" w:cs="Calibri"/>
                <w:sz w:val="21"/>
                <w:szCs w:val="21"/>
              </w:rPr>
              <w:t>La creación de los fideicomisos</w:t>
            </w:r>
            <w:r w:rsidRPr="00BB0460">
              <w:rPr>
                <w:rFonts w:ascii="Abadi" w:hAnsi="Abadi" w:cs="Calibri"/>
                <w:spacing w:val="1"/>
                <w:sz w:val="21"/>
                <w:szCs w:val="21"/>
              </w:rPr>
              <w:t xml:space="preserve"> </w:t>
            </w:r>
            <w:r w:rsidRPr="00BB0460">
              <w:rPr>
                <w:rFonts w:ascii="Abadi" w:hAnsi="Abadi" w:cs="Calibri"/>
                <w:sz w:val="21"/>
                <w:szCs w:val="21"/>
              </w:rPr>
              <w:t>públicos</w:t>
            </w:r>
            <w:r w:rsidRPr="00BB0460">
              <w:rPr>
                <w:rFonts w:ascii="Abadi" w:hAnsi="Abadi" w:cs="Calibri"/>
                <w:spacing w:val="-1"/>
                <w:sz w:val="21"/>
                <w:szCs w:val="21"/>
              </w:rPr>
              <w:t xml:space="preserve"> </w:t>
            </w:r>
            <w:r w:rsidRPr="00BB0460">
              <w:rPr>
                <w:rFonts w:ascii="Abadi" w:hAnsi="Abadi" w:cs="Calibri"/>
                <w:sz w:val="21"/>
                <w:szCs w:val="21"/>
              </w:rPr>
              <w:t>se</w:t>
            </w:r>
            <w:r w:rsidRPr="00BB0460">
              <w:rPr>
                <w:rFonts w:ascii="Abadi" w:hAnsi="Abadi" w:cs="Calibri"/>
                <w:spacing w:val="-3"/>
                <w:sz w:val="21"/>
                <w:szCs w:val="21"/>
              </w:rPr>
              <w:t xml:space="preserve"> </w:t>
            </w:r>
            <w:r w:rsidRPr="00BB0460">
              <w:rPr>
                <w:rFonts w:ascii="Abadi" w:hAnsi="Abadi" w:cs="Calibri"/>
                <w:sz w:val="21"/>
                <w:szCs w:val="21"/>
              </w:rPr>
              <w:t>sujetará</w:t>
            </w:r>
            <w:r w:rsidRPr="00BB0460">
              <w:rPr>
                <w:rFonts w:ascii="Abadi" w:hAnsi="Abadi" w:cs="Calibri"/>
                <w:spacing w:val="-4"/>
                <w:sz w:val="21"/>
                <w:szCs w:val="21"/>
              </w:rPr>
              <w:t xml:space="preserve"> </w:t>
            </w:r>
            <w:r w:rsidRPr="00BB0460">
              <w:rPr>
                <w:rFonts w:ascii="Abadi" w:hAnsi="Abadi" w:cs="Calibri"/>
                <w:sz w:val="21"/>
                <w:szCs w:val="21"/>
              </w:rPr>
              <w:t>a las</w:t>
            </w:r>
            <w:r w:rsidRPr="00BB0460">
              <w:rPr>
                <w:rFonts w:ascii="Abadi" w:hAnsi="Abadi" w:cs="Calibri"/>
                <w:spacing w:val="-4"/>
                <w:sz w:val="21"/>
                <w:szCs w:val="21"/>
              </w:rPr>
              <w:t xml:space="preserve"> </w:t>
            </w:r>
            <w:r w:rsidRPr="00BB0460">
              <w:rPr>
                <w:rFonts w:ascii="Abadi" w:hAnsi="Abadi" w:cs="Calibri"/>
                <w:sz w:val="21"/>
                <w:szCs w:val="21"/>
              </w:rPr>
              <w:t>siguientes</w:t>
            </w:r>
            <w:r w:rsidRPr="00BB0460">
              <w:rPr>
                <w:rFonts w:ascii="Abadi" w:hAnsi="Abadi" w:cs="Calibri"/>
                <w:spacing w:val="-1"/>
                <w:sz w:val="21"/>
                <w:szCs w:val="21"/>
              </w:rPr>
              <w:t xml:space="preserve"> </w:t>
            </w:r>
            <w:r w:rsidRPr="00BB0460">
              <w:rPr>
                <w:rFonts w:ascii="Abadi" w:hAnsi="Abadi" w:cs="Calibri"/>
                <w:sz w:val="21"/>
                <w:szCs w:val="21"/>
              </w:rPr>
              <w:t>bases:</w:t>
            </w:r>
          </w:p>
          <w:p w14:paraId="583B076B" w14:textId="77777777" w:rsidR="00677B7E" w:rsidRPr="00BB0460" w:rsidRDefault="00677B7E" w:rsidP="00677B7E">
            <w:pPr>
              <w:numPr>
                <w:ilvl w:val="0"/>
                <w:numId w:val="7"/>
              </w:numPr>
              <w:tabs>
                <w:tab w:val="left" w:pos="276"/>
              </w:tabs>
              <w:kinsoku w:val="0"/>
              <w:overflowPunct w:val="0"/>
              <w:autoSpaceDE w:val="0"/>
              <w:autoSpaceDN w:val="0"/>
              <w:adjustRightInd w:val="0"/>
              <w:ind w:left="107" w:right="92" w:firstLine="0"/>
              <w:jc w:val="both"/>
              <w:rPr>
                <w:rFonts w:ascii="Abadi" w:hAnsi="Abadi" w:cs="Calibri"/>
                <w:sz w:val="21"/>
                <w:szCs w:val="21"/>
              </w:rPr>
            </w:pPr>
            <w:r w:rsidRPr="00BB0460">
              <w:rPr>
                <w:rFonts w:ascii="Abadi" w:hAnsi="Abadi" w:cs="Calibri"/>
                <w:sz w:val="21"/>
                <w:szCs w:val="21"/>
              </w:rPr>
              <w:t>Contarán</w:t>
            </w:r>
            <w:r w:rsidRPr="00BB0460">
              <w:rPr>
                <w:rFonts w:ascii="Abadi" w:hAnsi="Abadi" w:cs="Calibri"/>
                <w:spacing w:val="-5"/>
                <w:sz w:val="21"/>
                <w:szCs w:val="21"/>
              </w:rPr>
              <w:t xml:space="preserve"> </w:t>
            </w:r>
            <w:r w:rsidRPr="00BB0460">
              <w:rPr>
                <w:rFonts w:ascii="Abadi" w:hAnsi="Abadi" w:cs="Calibri"/>
                <w:sz w:val="21"/>
                <w:szCs w:val="21"/>
              </w:rPr>
              <w:t>con</w:t>
            </w:r>
            <w:r w:rsidRPr="00BB0460">
              <w:rPr>
                <w:rFonts w:ascii="Abadi" w:hAnsi="Abadi" w:cs="Calibri"/>
                <w:spacing w:val="-3"/>
                <w:sz w:val="21"/>
                <w:szCs w:val="21"/>
              </w:rPr>
              <w:t xml:space="preserve"> </w:t>
            </w:r>
            <w:r w:rsidRPr="00BB0460">
              <w:rPr>
                <w:rFonts w:ascii="Abadi" w:hAnsi="Abadi" w:cs="Calibri"/>
                <w:sz w:val="21"/>
                <w:szCs w:val="21"/>
              </w:rPr>
              <w:t>un</w:t>
            </w:r>
            <w:r w:rsidRPr="00BB0460">
              <w:rPr>
                <w:rFonts w:ascii="Abadi" w:hAnsi="Abadi" w:cs="Calibri"/>
                <w:spacing w:val="-5"/>
                <w:sz w:val="21"/>
                <w:szCs w:val="21"/>
              </w:rPr>
              <w:t xml:space="preserve"> </w:t>
            </w:r>
            <w:r w:rsidRPr="00BB0460">
              <w:rPr>
                <w:rFonts w:ascii="Abadi" w:hAnsi="Abadi" w:cs="Calibri"/>
                <w:sz w:val="21"/>
                <w:szCs w:val="21"/>
              </w:rPr>
              <w:t>Director</w:t>
            </w:r>
            <w:r w:rsidRPr="00BB0460">
              <w:rPr>
                <w:rFonts w:ascii="Abadi" w:hAnsi="Abadi" w:cs="Calibri"/>
                <w:spacing w:val="-4"/>
                <w:sz w:val="21"/>
                <w:szCs w:val="21"/>
              </w:rPr>
              <w:t xml:space="preserve"> </w:t>
            </w:r>
            <w:r w:rsidRPr="00BB0460">
              <w:rPr>
                <w:rFonts w:ascii="Abadi" w:hAnsi="Abadi" w:cs="Calibri"/>
                <w:sz w:val="21"/>
                <w:szCs w:val="21"/>
              </w:rPr>
              <w:t>General,</w:t>
            </w:r>
            <w:r w:rsidRPr="00BB0460">
              <w:rPr>
                <w:rFonts w:ascii="Abadi" w:hAnsi="Abadi" w:cs="Calibri"/>
                <w:spacing w:val="-2"/>
                <w:sz w:val="21"/>
                <w:szCs w:val="21"/>
              </w:rPr>
              <w:t xml:space="preserve"> </w:t>
            </w:r>
            <w:r w:rsidRPr="00BB0460">
              <w:rPr>
                <w:rFonts w:ascii="Abadi" w:hAnsi="Abadi" w:cs="Calibri"/>
                <w:sz w:val="21"/>
                <w:szCs w:val="21"/>
              </w:rPr>
              <w:t>un</w:t>
            </w:r>
            <w:r w:rsidRPr="00BB0460">
              <w:rPr>
                <w:rFonts w:ascii="Abadi" w:hAnsi="Abadi" w:cs="Calibri"/>
                <w:spacing w:val="-3"/>
                <w:sz w:val="21"/>
                <w:szCs w:val="21"/>
              </w:rPr>
              <w:t xml:space="preserve"> </w:t>
            </w:r>
            <w:r w:rsidRPr="00BB0460">
              <w:rPr>
                <w:rFonts w:ascii="Abadi" w:hAnsi="Abadi" w:cs="Calibri"/>
                <w:sz w:val="21"/>
                <w:szCs w:val="21"/>
              </w:rPr>
              <w:t>Comité</w:t>
            </w:r>
            <w:r w:rsidRPr="00BB0460">
              <w:rPr>
                <w:rFonts w:ascii="Abadi" w:hAnsi="Abadi" w:cs="Calibri"/>
                <w:spacing w:val="-47"/>
                <w:sz w:val="21"/>
                <w:szCs w:val="21"/>
              </w:rPr>
              <w:t xml:space="preserve"> </w:t>
            </w:r>
            <w:r w:rsidRPr="00BB0460">
              <w:rPr>
                <w:rFonts w:ascii="Abadi" w:hAnsi="Abadi" w:cs="Calibri"/>
                <w:sz w:val="21"/>
                <w:szCs w:val="21"/>
              </w:rPr>
              <w:t>Técnico que fungirá como órgano de gobierno,</w:t>
            </w:r>
            <w:r w:rsidRPr="00BB0460">
              <w:rPr>
                <w:rFonts w:ascii="Abadi" w:hAnsi="Abadi" w:cs="Calibri"/>
                <w:spacing w:val="-47"/>
                <w:sz w:val="21"/>
                <w:szCs w:val="21"/>
              </w:rPr>
              <w:t xml:space="preserve"> </w:t>
            </w:r>
            <w:r w:rsidRPr="00BB0460">
              <w:rPr>
                <w:rFonts w:ascii="Abadi" w:hAnsi="Abadi" w:cs="Calibri"/>
                <w:sz w:val="21"/>
                <w:szCs w:val="21"/>
              </w:rPr>
              <w:t>y</w:t>
            </w:r>
            <w:r w:rsidRPr="00BB0460">
              <w:rPr>
                <w:rFonts w:ascii="Abadi" w:hAnsi="Abadi" w:cs="Calibri"/>
                <w:spacing w:val="1"/>
                <w:sz w:val="21"/>
                <w:szCs w:val="21"/>
              </w:rPr>
              <w:t xml:space="preserve"> </w:t>
            </w:r>
            <w:r w:rsidRPr="00BB0460">
              <w:rPr>
                <w:rFonts w:ascii="Abadi" w:hAnsi="Abadi" w:cs="Calibri"/>
                <w:sz w:val="21"/>
                <w:szCs w:val="21"/>
              </w:rPr>
              <w:t>un</w:t>
            </w:r>
            <w:r w:rsidRPr="00BB0460">
              <w:rPr>
                <w:rFonts w:ascii="Abadi" w:hAnsi="Abadi" w:cs="Calibri"/>
                <w:spacing w:val="1"/>
                <w:sz w:val="21"/>
                <w:szCs w:val="21"/>
              </w:rPr>
              <w:t xml:space="preserve"> </w:t>
            </w:r>
            <w:r w:rsidRPr="00BB0460">
              <w:rPr>
                <w:rFonts w:ascii="Abadi" w:hAnsi="Abadi" w:cs="Calibri"/>
                <w:sz w:val="21"/>
                <w:szCs w:val="21"/>
              </w:rPr>
              <w:t>comisario</w:t>
            </w:r>
            <w:r w:rsidRPr="00BB0460">
              <w:rPr>
                <w:rFonts w:ascii="Abadi" w:hAnsi="Abadi" w:cs="Calibri"/>
                <w:spacing w:val="1"/>
                <w:sz w:val="21"/>
                <w:szCs w:val="21"/>
              </w:rPr>
              <w:t xml:space="preserve"> </w:t>
            </w:r>
            <w:r w:rsidRPr="00BB0460">
              <w:rPr>
                <w:rFonts w:ascii="Abadi" w:hAnsi="Abadi" w:cs="Calibri"/>
                <w:sz w:val="21"/>
                <w:szCs w:val="21"/>
              </w:rPr>
              <w:t>encargado</w:t>
            </w:r>
            <w:r w:rsidRPr="00BB0460">
              <w:rPr>
                <w:rFonts w:ascii="Abadi" w:hAnsi="Abadi" w:cs="Calibri"/>
                <w:spacing w:val="1"/>
                <w:sz w:val="21"/>
                <w:szCs w:val="21"/>
              </w:rPr>
              <w:t xml:space="preserve"> </w:t>
            </w:r>
            <w:r w:rsidRPr="00BB0460">
              <w:rPr>
                <w:rFonts w:ascii="Abadi" w:hAnsi="Abadi" w:cs="Calibri"/>
                <w:sz w:val="21"/>
                <w:szCs w:val="21"/>
              </w:rPr>
              <w:t>de</w:t>
            </w:r>
            <w:r w:rsidRPr="00BB0460">
              <w:rPr>
                <w:rFonts w:ascii="Abadi" w:hAnsi="Abadi" w:cs="Calibri"/>
                <w:spacing w:val="1"/>
                <w:sz w:val="21"/>
                <w:szCs w:val="21"/>
              </w:rPr>
              <w:t xml:space="preserve"> </w:t>
            </w:r>
            <w:r w:rsidRPr="00BB0460">
              <w:rPr>
                <w:rFonts w:ascii="Abadi" w:hAnsi="Abadi" w:cs="Calibri"/>
                <w:sz w:val="21"/>
                <w:szCs w:val="21"/>
              </w:rPr>
              <w:t>la</w:t>
            </w:r>
            <w:r w:rsidRPr="00BB0460">
              <w:rPr>
                <w:rFonts w:ascii="Abadi" w:hAnsi="Abadi" w:cs="Calibri"/>
                <w:spacing w:val="1"/>
                <w:sz w:val="21"/>
                <w:szCs w:val="21"/>
              </w:rPr>
              <w:t xml:space="preserve"> </w:t>
            </w:r>
            <w:r w:rsidRPr="00BB0460">
              <w:rPr>
                <w:rFonts w:ascii="Abadi" w:hAnsi="Abadi" w:cs="Calibri"/>
                <w:sz w:val="21"/>
                <w:szCs w:val="21"/>
              </w:rPr>
              <w:t>vigilancia,</w:t>
            </w:r>
            <w:r w:rsidRPr="00BB0460">
              <w:rPr>
                <w:rFonts w:ascii="Abadi" w:hAnsi="Abadi" w:cs="Calibri"/>
                <w:spacing w:val="1"/>
                <w:sz w:val="21"/>
                <w:szCs w:val="21"/>
              </w:rPr>
              <w:t xml:space="preserve"> </w:t>
            </w:r>
            <w:r w:rsidRPr="00BB0460">
              <w:rPr>
                <w:rFonts w:ascii="Abadi" w:hAnsi="Abadi" w:cs="Calibri"/>
                <w:sz w:val="21"/>
                <w:szCs w:val="21"/>
              </w:rPr>
              <w:t>designado por la Contraloría Municipal. Dichos</w:t>
            </w:r>
            <w:r w:rsidRPr="00BB0460">
              <w:rPr>
                <w:rFonts w:ascii="Abadi" w:hAnsi="Abadi" w:cs="Calibri"/>
                <w:spacing w:val="-47"/>
                <w:sz w:val="21"/>
                <w:szCs w:val="21"/>
              </w:rPr>
              <w:t xml:space="preserve"> </w:t>
            </w:r>
            <w:r w:rsidRPr="00BB0460">
              <w:rPr>
                <w:rFonts w:ascii="Abadi" w:hAnsi="Abadi" w:cs="Calibri"/>
                <w:sz w:val="21"/>
                <w:szCs w:val="21"/>
              </w:rPr>
              <w:t>cargos</w:t>
            </w:r>
            <w:r w:rsidRPr="00BB0460">
              <w:rPr>
                <w:rFonts w:ascii="Abadi" w:hAnsi="Abadi" w:cs="Calibri"/>
                <w:spacing w:val="-1"/>
                <w:sz w:val="21"/>
                <w:szCs w:val="21"/>
              </w:rPr>
              <w:t xml:space="preserve"> </w:t>
            </w:r>
            <w:r w:rsidRPr="00BB0460">
              <w:rPr>
                <w:rFonts w:ascii="Abadi" w:hAnsi="Abadi" w:cs="Calibri"/>
                <w:sz w:val="21"/>
                <w:szCs w:val="21"/>
              </w:rPr>
              <w:t>serán</w:t>
            </w:r>
            <w:r w:rsidRPr="00BB0460">
              <w:rPr>
                <w:rFonts w:ascii="Abadi" w:hAnsi="Abadi" w:cs="Calibri"/>
                <w:spacing w:val="-1"/>
                <w:sz w:val="21"/>
                <w:szCs w:val="21"/>
              </w:rPr>
              <w:t xml:space="preserve"> </w:t>
            </w:r>
            <w:r w:rsidRPr="00BB0460">
              <w:rPr>
                <w:rFonts w:ascii="Abadi" w:hAnsi="Abadi" w:cs="Calibri"/>
                <w:sz w:val="21"/>
                <w:szCs w:val="21"/>
              </w:rPr>
              <w:t>honoríficos;</w:t>
            </w:r>
          </w:p>
          <w:p w14:paraId="6B986C82" w14:textId="77777777" w:rsidR="00677B7E" w:rsidRPr="00BB0460" w:rsidRDefault="00677B7E" w:rsidP="00677B7E">
            <w:pPr>
              <w:numPr>
                <w:ilvl w:val="0"/>
                <w:numId w:val="7"/>
              </w:numPr>
              <w:tabs>
                <w:tab w:val="left" w:pos="504"/>
              </w:tabs>
              <w:kinsoku w:val="0"/>
              <w:overflowPunct w:val="0"/>
              <w:autoSpaceDE w:val="0"/>
              <w:autoSpaceDN w:val="0"/>
              <w:adjustRightInd w:val="0"/>
              <w:ind w:left="107" w:right="94" w:firstLine="0"/>
              <w:jc w:val="both"/>
              <w:rPr>
                <w:rFonts w:ascii="Abadi" w:hAnsi="Abadi" w:cs="Calibri"/>
                <w:sz w:val="21"/>
                <w:szCs w:val="21"/>
              </w:rPr>
            </w:pPr>
            <w:r w:rsidRPr="00BB0460">
              <w:rPr>
                <w:rFonts w:ascii="Abadi" w:hAnsi="Abadi" w:cs="Calibri"/>
                <w:sz w:val="21"/>
                <w:szCs w:val="21"/>
              </w:rPr>
              <w:t>El</w:t>
            </w:r>
            <w:r w:rsidRPr="00BB0460">
              <w:rPr>
                <w:rFonts w:ascii="Abadi" w:hAnsi="Abadi" w:cs="Calibri"/>
                <w:spacing w:val="1"/>
                <w:sz w:val="21"/>
                <w:szCs w:val="21"/>
              </w:rPr>
              <w:t xml:space="preserve"> </w:t>
            </w:r>
            <w:r w:rsidRPr="00BB0460">
              <w:rPr>
                <w:rFonts w:ascii="Abadi" w:hAnsi="Abadi" w:cs="Calibri"/>
                <w:sz w:val="21"/>
                <w:szCs w:val="21"/>
              </w:rPr>
              <w:t>Ayuntamiento</w:t>
            </w:r>
            <w:r w:rsidRPr="00BB0460">
              <w:rPr>
                <w:rFonts w:ascii="Abadi" w:hAnsi="Abadi" w:cs="Calibri"/>
                <w:spacing w:val="1"/>
                <w:sz w:val="21"/>
                <w:szCs w:val="21"/>
              </w:rPr>
              <w:t xml:space="preserve"> </w:t>
            </w:r>
            <w:r w:rsidRPr="00BB0460">
              <w:rPr>
                <w:rFonts w:ascii="Abadi" w:hAnsi="Abadi" w:cs="Calibri"/>
                <w:sz w:val="21"/>
                <w:szCs w:val="21"/>
              </w:rPr>
              <w:t>podrá</w:t>
            </w:r>
            <w:r w:rsidRPr="00BB0460">
              <w:rPr>
                <w:rFonts w:ascii="Abadi" w:hAnsi="Abadi" w:cs="Calibri"/>
                <w:spacing w:val="1"/>
                <w:sz w:val="21"/>
                <w:szCs w:val="21"/>
              </w:rPr>
              <w:t xml:space="preserve"> </w:t>
            </w:r>
            <w:r w:rsidRPr="00BB0460">
              <w:rPr>
                <w:rFonts w:ascii="Abadi" w:hAnsi="Abadi" w:cs="Calibri"/>
                <w:sz w:val="21"/>
                <w:szCs w:val="21"/>
              </w:rPr>
              <w:t>autorizar</w:t>
            </w:r>
            <w:r w:rsidRPr="00BB0460">
              <w:rPr>
                <w:rFonts w:ascii="Abadi" w:hAnsi="Abadi" w:cs="Calibri"/>
                <w:spacing w:val="1"/>
                <w:sz w:val="21"/>
                <w:szCs w:val="21"/>
              </w:rPr>
              <w:t xml:space="preserve"> </w:t>
            </w:r>
            <w:r w:rsidRPr="00BB0460">
              <w:rPr>
                <w:rFonts w:ascii="Abadi" w:hAnsi="Abadi" w:cs="Calibri"/>
                <w:sz w:val="21"/>
                <w:szCs w:val="21"/>
              </w:rPr>
              <w:t>el</w:t>
            </w:r>
            <w:r w:rsidRPr="00BB0460">
              <w:rPr>
                <w:rFonts w:ascii="Abadi" w:hAnsi="Abadi" w:cs="Calibri"/>
                <w:spacing w:val="1"/>
                <w:sz w:val="21"/>
                <w:szCs w:val="21"/>
              </w:rPr>
              <w:t xml:space="preserve"> </w:t>
            </w:r>
            <w:r w:rsidRPr="00BB0460">
              <w:rPr>
                <w:rFonts w:ascii="Abadi" w:hAnsi="Abadi" w:cs="Calibri"/>
                <w:sz w:val="21"/>
                <w:szCs w:val="21"/>
              </w:rPr>
              <w:t>incremento del patrimonio de los fideicomisos</w:t>
            </w:r>
            <w:r w:rsidRPr="00BB0460">
              <w:rPr>
                <w:rFonts w:ascii="Abadi" w:hAnsi="Abadi" w:cs="Calibri"/>
                <w:spacing w:val="1"/>
                <w:sz w:val="21"/>
                <w:szCs w:val="21"/>
              </w:rPr>
              <w:t xml:space="preserve"> </w:t>
            </w:r>
            <w:r w:rsidRPr="00BB0460">
              <w:rPr>
                <w:rFonts w:ascii="Abadi" w:hAnsi="Abadi" w:cs="Calibri"/>
                <w:sz w:val="21"/>
                <w:szCs w:val="21"/>
              </w:rPr>
              <w:t>públicos, previa opinión de los fideicomitentes</w:t>
            </w:r>
            <w:r w:rsidRPr="00BB0460">
              <w:rPr>
                <w:rFonts w:ascii="Abadi" w:hAnsi="Abadi" w:cs="Calibri"/>
                <w:spacing w:val="-47"/>
                <w:sz w:val="21"/>
                <w:szCs w:val="21"/>
              </w:rPr>
              <w:t xml:space="preserve"> </w:t>
            </w:r>
            <w:r w:rsidRPr="00BB0460">
              <w:rPr>
                <w:rFonts w:ascii="Abadi" w:hAnsi="Abadi" w:cs="Calibri"/>
                <w:sz w:val="21"/>
                <w:szCs w:val="21"/>
              </w:rPr>
              <w:t>de los</w:t>
            </w:r>
            <w:r w:rsidRPr="00BB0460">
              <w:rPr>
                <w:rFonts w:ascii="Abadi" w:hAnsi="Abadi" w:cs="Calibri"/>
                <w:spacing w:val="-3"/>
                <w:sz w:val="21"/>
                <w:szCs w:val="21"/>
              </w:rPr>
              <w:t xml:space="preserve"> </w:t>
            </w:r>
            <w:r w:rsidRPr="00BB0460">
              <w:rPr>
                <w:rFonts w:ascii="Abadi" w:hAnsi="Abadi" w:cs="Calibri"/>
                <w:sz w:val="21"/>
                <w:szCs w:val="21"/>
              </w:rPr>
              <w:t>mismos</w:t>
            </w:r>
            <w:r w:rsidRPr="00BB0460">
              <w:rPr>
                <w:rFonts w:ascii="Abadi" w:hAnsi="Abadi" w:cs="Calibri"/>
                <w:spacing w:val="-2"/>
                <w:sz w:val="21"/>
                <w:szCs w:val="21"/>
              </w:rPr>
              <w:t xml:space="preserve"> </w:t>
            </w:r>
            <w:r w:rsidRPr="00BB0460">
              <w:rPr>
                <w:rFonts w:ascii="Abadi" w:hAnsi="Abadi" w:cs="Calibri"/>
                <w:sz w:val="21"/>
                <w:szCs w:val="21"/>
              </w:rPr>
              <w:t>y sus</w:t>
            </w:r>
            <w:r w:rsidRPr="00BB0460">
              <w:rPr>
                <w:rFonts w:ascii="Abadi" w:hAnsi="Abadi" w:cs="Calibri"/>
                <w:spacing w:val="-3"/>
                <w:sz w:val="21"/>
                <w:szCs w:val="21"/>
              </w:rPr>
              <w:t xml:space="preserve"> </w:t>
            </w:r>
            <w:r w:rsidRPr="00BB0460">
              <w:rPr>
                <w:rFonts w:ascii="Abadi" w:hAnsi="Abadi" w:cs="Calibri"/>
                <w:sz w:val="21"/>
                <w:szCs w:val="21"/>
              </w:rPr>
              <w:t>comités técnicos;</w:t>
            </w:r>
          </w:p>
          <w:p w14:paraId="5187B2DC" w14:textId="1E37B497" w:rsidR="00677B7E" w:rsidRPr="00BB0460" w:rsidRDefault="00677B7E" w:rsidP="00677B7E">
            <w:pPr>
              <w:numPr>
                <w:ilvl w:val="0"/>
                <w:numId w:val="7"/>
              </w:numPr>
              <w:tabs>
                <w:tab w:val="left" w:pos="595"/>
              </w:tabs>
              <w:kinsoku w:val="0"/>
              <w:overflowPunct w:val="0"/>
              <w:autoSpaceDE w:val="0"/>
              <w:autoSpaceDN w:val="0"/>
              <w:adjustRightInd w:val="0"/>
              <w:ind w:left="107" w:right="94" w:firstLine="0"/>
              <w:jc w:val="both"/>
              <w:rPr>
                <w:rFonts w:ascii="Abadi" w:hAnsi="Abadi" w:cs="Calibri"/>
                <w:sz w:val="21"/>
                <w:szCs w:val="21"/>
              </w:rPr>
            </w:pPr>
            <w:r w:rsidRPr="00BB0460">
              <w:rPr>
                <w:rFonts w:ascii="Abadi" w:hAnsi="Abadi" w:cs="Calibri"/>
                <w:sz w:val="21"/>
                <w:szCs w:val="21"/>
              </w:rPr>
              <w:t>En</w:t>
            </w:r>
            <w:r w:rsidRPr="00BB0460">
              <w:rPr>
                <w:rFonts w:ascii="Abadi" w:hAnsi="Abadi" w:cs="Calibri"/>
                <w:spacing w:val="1"/>
                <w:sz w:val="21"/>
                <w:szCs w:val="21"/>
              </w:rPr>
              <w:t xml:space="preserve"> </w:t>
            </w:r>
            <w:r w:rsidRPr="00BB0460">
              <w:rPr>
                <w:rFonts w:ascii="Abadi" w:hAnsi="Abadi" w:cs="Calibri"/>
                <w:sz w:val="21"/>
                <w:szCs w:val="21"/>
              </w:rPr>
              <w:t>los</w:t>
            </w:r>
            <w:r w:rsidRPr="00BB0460">
              <w:rPr>
                <w:rFonts w:ascii="Abadi" w:hAnsi="Abadi" w:cs="Calibri"/>
                <w:spacing w:val="1"/>
                <w:sz w:val="21"/>
                <w:szCs w:val="21"/>
              </w:rPr>
              <w:t xml:space="preserve"> </w:t>
            </w:r>
            <w:r w:rsidRPr="00BB0460">
              <w:rPr>
                <w:rFonts w:ascii="Abadi" w:hAnsi="Abadi" w:cs="Calibri"/>
                <w:sz w:val="21"/>
                <w:szCs w:val="21"/>
              </w:rPr>
              <w:t>contratos</w:t>
            </w:r>
            <w:r w:rsidRPr="00BB0460">
              <w:rPr>
                <w:rFonts w:ascii="Abadi" w:hAnsi="Abadi" w:cs="Calibri"/>
                <w:spacing w:val="1"/>
                <w:sz w:val="21"/>
                <w:szCs w:val="21"/>
              </w:rPr>
              <w:t xml:space="preserve"> </w:t>
            </w:r>
            <w:r w:rsidRPr="00BB0460">
              <w:rPr>
                <w:rFonts w:ascii="Abadi" w:hAnsi="Abadi" w:cs="Calibri"/>
                <w:sz w:val="21"/>
                <w:szCs w:val="21"/>
              </w:rPr>
              <w:t>constitutivos</w:t>
            </w:r>
            <w:r w:rsidRPr="00BB0460">
              <w:rPr>
                <w:rFonts w:ascii="Abadi" w:hAnsi="Abadi" w:cs="Calibri"/>
                <w:spacing w:val="1"/>
                <w:sz w:val="21"/>
                <w:szCs w:val="21"/>
              </w:rPr>
              <w:t xml:space="preserve"> </w:t>
            </w:r>
            <w:r w:rsidRPr="00BB0460">
              <w:rPr>
                <w:rFonts w:ascii="Abadi" w:hAnsi="Abadi" w:cs="Calibri"/>
                <w:sz w:val="21"/>
                <w:szCs w:val="21"/>
              </w:rPr>
              <w:t>de</w:t>
            </w:r>
            <w:r w:rsidRPr="00BB0460">
              <w:rPr>
                <w:rFonts w:ascii="Abadi" w:hAnsi="Abadi" w:cs="Calibri"/>
                <w:spacing w:val="-47"/>
                <w:sz w:val="21"/>
                <w:szCs w:val="21"/>
              </w:rPr>
              <w:t xml:space="preserve"> </w:t>
            </w:r>
            <w:r w:rsidRPr="00BB0460">
              <w:rPr>
                <w:rFonts w:ascii="Abadi" w:hAnsi="Abadi" w:cs="Calibri"/>
                <w:sz w:val="21"/>
                <w:szCs w:val="21"/>
              </w:rPr>
              <w:t>fideicomisos</w:t>
            </w:r>
            <w:r w:rsidRPr="00BB0460">
              <w:rPr>
                <w:rFonts w:ascii="Abadi" w:hAnsi="Abadi" w:cs="Calibri"/>
                <w:spacing w:val="1"/>
                <w:sz w:val="21"/>
                <w:szCs w:val="21"/>
              </w:rPr>
              <w:t xml:space="preserve"> </w:t>
            </w:r>
            <w:r w:rsidRPr="00BB0460">
              <w:rPr>
                <w:rFonts w:ascii="Abadi" w:hAnsi="Abadi" w:cs="Calibri"/>
                <w:sz w:val="21"/>
                <w:szCs w:val="21"/>
              </w:rPr>
              <w:t>de</w:t>
            </w:r>
            <w:r w:rsidRPr="00BB0460">
              <w:rPr>
                <w:rFonts w:ascii="Abadi" w:hAnsi="Abadi" w:cs="Calibri"/>
                <w:spacing w:val="1"/>
                <w:sz w:val="21"/>
                <w:szCs w:val="21"/>
              </w:rPr>
              <w:t xml:space="preserve"> </w:t>
            </w:r>
            <w:r w:rsidRPr="00BB0460">
              <w:rPr>
                <w:rFonts w:ascii="Abadi" w:hAnsi="Abadi" w:cs="Calibri"/>
                <w:sz w:val="21"/>
                <w:szCs w:val="21"/>
              </w:rPr>
              <w:t>la</w:t>
            </w:r>
            <w:r w:rsidRPr="00BB0460">
              <w:rPr>
                <w:rFonts w:ascii="Abadi" w:hAnsi="Abadi" w:cs="Calibri"/>
                <w:spacing w:val="1"/>
                <w:sz w:val="21"/>
                <w:szCs w:val="21"/>
              </w:rPr>
              <w:t xml:space="preserve"> </w:t>
            </w:r>
            <w:r w:rsidRPr="00BB0460">
              <w:rPr>
                <w:rFonts w:ascii="Abadi" w:hAnsi="Abadi" w:cs="Calibri"/>
                <w:sz w:val="21"/>
                <w:szCs w:val="21"/>
              </w:rPr>
              <w:t>administración</w:t>
            </w:r>
            <w:r w:rsidRPr="00BB0460">
              <w:rPr>
                <w:rFonts w:ascii="Abadi" w:hAnsi="Abadi" w:cs="Calibri"/>
                <w:spacing w:val="1"/>
                <w:sz w:val="21"/>
                <w:szCs w:val="21"/>
              </w:rPr>
              <w:t xml:space="preserve"> </w:t>
            </w:r>
            <w:r w:rsidRPr="00BB0460">
              <w:rPr>
                <w:rFonts w:ascii="Abadi" w:hAnsi="Abadi" w:cs="Calibri"/>
                <w:sz w:val="21"/>
                <w:szCs w:val="21"/>
              </w:rPr>
              <w:t>pública</w:t>
            </w:r>
            <w:r w:rsidRPr="00BB0460">
              <w:rPr>
                <w:rFonts w:ascii="Abadi" w:hAnsi="Abadi" w:cs="Calibri"/>
                <w:spacing w:val="1"/>
                <w:sz w:val="21"/>
                <w:szCs w:val="21"/>
              </w:rPr>
              <w:t xml:space="preserve"> </w:t>
            </w:r>
            <w:r w:rsidRPr="00BB0460">
              <w:rPr>
                <w:rFonts w:ascii="Abadi" w:hAnsi="Abadi" w:cs="Calibri"/>
                <w:sz w:val="21"/>
                <w:szCs w:val="21"/>
              </w:rPr>
              <w:t>municipal,</w:t>
            </w:r>
            <w:r w:rsidRPr="00BB0460">
              <w:rPr>
                <w:rFonts w:ascii="Abadi" w:hAnsi="Abadi" w:cs="Calibri"/>
                <w:spacing w:val="1"/>
                <w:sz w:val="21"/>
                <w:szCs w:val="21"/>
              </w:rPr>
              <w:t xml:space="preserve"> </w:t>
            </w:r>
            <w:r w:rsidRPr="00BB0460">
              <w:rPr>
                <w:rFonts w:ascii="Abadi" w:hAnsi="Abadi" w:cs="Calibri"/>
                <w:sz w:val="21"/>
                <w:szCs w:val="21"/>
              </w:rPr>
              <w:t>se</w:t>
            </w:r>
            <w:r w:rsidRPr="00BB0460">
              <w:rPr>
                <w:rFonts w:ascii="Abadi" w:hAnsi="Abadi" w:cs="Calibri"/>
                <w:spacing w:val="1"/>
                <w:sz w:val="21"/>
                <w:szCs w:val="21"/>
              </w:rPr>
              <w:t xml:space="preserve"> </w:t>
            </w:r>
            <w:r w:rsidRPr="00BB0460">
              <w:rPr>
                <w:rFonts w:ascii="Abadi" w:hAnsi="Abadi" w:cs="Calibri"/>
                <w:sz w:val="21"/>
                <w:szCs w:val="21"/>
              </w:rPr>
              <w:t>deberá</w:t>
            </w:r>
            <w:r w:rsidRPr="00BB0460">
              <w:rPr>
                <w:rFonts w:ascii="Abadi" w:hAnsi="Abadi" w:cs="Calibri"/>
                <w:spacing w:val="1"/>
                <w:sz w:val="21"/>
                <w:szCs w:val="21"/>
              </w:rPr>
              <w:t xml:space="preserve"> </w:t>
            </w:r>
            <w:r w:rsidRPr="00BB0460">
              <w:rPr>
                <w:rFonts w:ascii="Abadi" w:hAnsi="Abadi" w:cs="Calibri"/>
                <w:sz w:val="21"/>
                <w:szCs w:val="21"/>
              </w:rPr>
              <w:t>reservar</w:t>
            </w:r>
            <w:r w:rsidRPr="00BB0460">
              <w:rPr>
                <w:rFonts w:ascii="Abadi" w:hAnsi="Abadi" w:cs="Calibri"/>
                <w:spacing w:val="1"/>
                <w:sz w:val="21"/>
                <w:szCs w:val="21"/>
              </w:rPr>
              <w:t xml:space="preserve"> </w:t>
            </w:r>
            <w:r w:rsidRPr="00BB0460">
              <w:rPr>
                <w:rFonts w:ascii="Abadi" w:hAnsi="Abadi" w:cs="Calibri"/>
                <w:sz w:val="21"/>
                <w:szCs w:val="21"/>
              </w:rPr>
              <w:t>a</w:t>
            </w:r>
            <w:r w:rsidRPr="00BB0460">
              <w:rPr>
                <w:rFonts w:ascii="Abadi" w:hAnsi="Abadi" w:cs="Calibri"/>
                <w:spacing w:val="1"/>
                <w:sz w:val="21"/>
                <w:szCs w:val="21"/>
              </w:rPr>
              <w:t xml:space="preserve"> </w:t>
            </w:r>
            <w:r w:rsidRPr="00BB0460">
              <w:rPr>
                <w:rFonts w:ascii="Abadi" w:hAnsi="Abadi" w:cs="Calibri"/>
                <w:sz w:val="21"/>
                <w:szCs w:val="21"/>
              </w:rPr>
              <w:t>favor</w:t>
            </w:r>
            <w:r w:rsidRPr="00BB0460">
              <w:rPr>
                <w:rFonts w:ascii="Abadi" w:hAnsi="Abadi" w:cs="Calibri"/>
                <w:spacing w:val="1"/>
                <w:sz w:val="21"/>
                <w:szCs w:val="21"/>
              </w:rPr>
              <w:t xml:space="preserve"> </w:t>
            </w:r>
            <w:r w:rsidRPr="00BB0460">
              <w:rPr>
                <w:rFonts w:ascii="Abadi" w:hAnsi="Abadi" w:cs="Calibri"/>
                <w:sz w:val="21"/>
                <w:szCs w:val="21"/>
              </w:rPr>
              <w:t>del</w:t>
            </w:r>
            <w:r w:rsidRPr="00BB0460">
              <w:rPr>
                <w:rFonts w:ascii="Abadi" w:hAnsi="Abadi" w:cs="Calibri"/>
                <w:spacing w:val="1"/>
                <w:sz w:val="21"/>
                <w:szCs w:val="21"/>
              </w:rPr>
              <w:t xml:space="preserve"> </w:t>
            </w:r>
            <w:r w:rsidRPr="00BB0460">
              <w:rPr>
                <w:rFonts w:ascii="Abadi" w:hAnsi="Abadi" w:cs="Calibri"/>
                <w:sz w:val="21"/>
                <w:szCs w:val="21"/>
              </w:rPr>
              <w:t>Ayuntamiento,</w:t>
            </w:r>
            <w:r w:rsidRPr="00BB0460">
              <w:rPr>
                <w:rFonts w:ascii="Abadi" w:hAnsi="Abadi" w:cs="Calibri"/>
                <w:spacing w:val="1"/>
                <w:sz w:val="21"/>
                <w:szCs w:val="21"/>
              </w:rPr>
              <w:t xml:space="preserve"> </w:t>
            </w:r>
            <w:r w:rsidRPr="00BB0460">
              <w:rPr>
                <w:rFonts w:ascii="Abadi" w:hAnsi="Abadi" w:cs="Calibri"/>
                <w:sz w:val="21"/>
                <w:szCs w:val="21"/>
              </w:rPr>
              <w:t>la</w:t>
            </w:r>
            <w:r w:rsidRPr="00BB0460">
              <w:rPr>
                <w:rFonts w:ascii="Abadi" w:hAnsi="Abadi" w:cs="Calibri"/>
                <w:spacing w:val="1"/>
                <w:sz w:val="21"/>
                <w:szCs w:val="21"/>
              </w:rPr>
              <w:t xml:space="preserve"> </w:t>
            </w:r>
            <w:r w:rsidRPr="00BB0460">
              <w:rPr>
                <w:rFonts w:ascii="Abadi" w:hAnsi="Abadi" w:cs="Calibri"/>
                <w:sz w:val="21"/>
                <w:szCs w:val="21"/>
              </w:rPr>
              <w:t>facultad</w:t>
            </w:r>
            <w:r w:rsidRPr="00BB0460">
              <w:rPr>
                <w:rFonts w:ascii="Abadi" w:hAnsi="Abadi" w:cs="Calibri"/>
                <w:spacing w:val="1"/>
                <w:sz w:val="21"/>
                <w:szCs w:val="21"/>
              </w:rPr>
              <w:t xml:space="preserve"> </w:t>
            </w:r>
            <w:r w:rsidRPr="00BB0460">
              <w:rPr>
                <w:rFonts w:ascii="Abadi" w:hAnsi="Abadi" w:cs="Calibri"/>
                <w:sz w:val="21"/>
                <w:szCs w:val="21"/>
              </w:rPr>
              <w:t>expresa</w:t>
            </w:r>
            <w:r w:rsidRPr="00BB0460">
              <w:rPr>
                <w:rFonts w:ascii="Abadi" w:hAnsi="Abadi" w:cs="Calibri"/>
                <w:spacing w:val="1"/>
                <w:sz w:val="21"/>
                <w:szCs w:val="21"/>
              </w:rPr>
              <w:t xml:space="preserve"> </w:t>
            </w:r>
            <w:r w:rsidRPr="00BB0460">
              <w:rPr>
                <w:rFonts w:ascii="Abadi" w:hAnsi="Abadi" w:cs="Calibri"/>
                <w:sz w:val="21"/>
                <w:szCs w:val="21"/>
              </w:rPr>
              <w:t>de</w:t>
            </w:r>
            <w:r w:rsidRPr="00BB0460">
              <w:rPr>
                <w:rFonts w:ascii="Abadi" w:hAnsi="Abadi" w:cs="Calibri"/>
                <w:spacing w:val="1"/>
                <w:sz w:val="21"/>
                <w:szCs w:val="21"/>
              </w:rPr>
              <w:t xml:space="preserve"> </w:t>
            </w:r>
            <w:r w:rsidRPr="00BB0460">
              <w:rPr>
                <w:rFonts w:ascii="Abadi" w:hAnsi="Abadi" w:cs="Calibri"/>
                <w:sz w:val="21"/>
                <w:szCs w:val="21"/>
              </w:rPr>
              <w:t>revocarlos, sin perjuicio de los derechos que</w:t>
            </w:r>
            <w:r w:rsidRPr="00BB0460">
              <w:rPr>
                <w:rFonts w:ascii="Abadi" w:hAnsi="Abadi" w:cs="Calibri"/>
                <w:spacing w:val="1"/>
                <w:sz w:val="21"/>
                <w:szCs w:val="21"/>
              </w:rPr>
              <w:t xml:space="preserve"> </w:t>
            </w:r>
            <w:r w:rsidRPr="00BB0460">
              <w:rPr>
                <w:rFonts w:ascii="Abadi" w:hAnsi="Abadi" w:cs="Calibri"/>
                <w:spacing w:val="-1"/>
                <w:sz w:val="21"/>
                <w:szCs w:val="21"/>
              </w:rPr>
              <w:t>correspondan</w:t>
            </w:r>
            <w:r w:rsidRPr="00BB0460">
              <w:rPr>
                <w:rFonts w:ascii="Abadi" w:hAnsi="Abadi" w:cs="Calibri"/>
                <w:spacing w:val="-13"/>
                <w:sz w:val="21"/>
                <w:szCs w:val="21"/>
              </w:rPr>
              <w:t xml:space="preserve"> </w:t>
            </w:r>
            <w:r w:rsidRPr="00BB0460">
              <w:rPr>
                <w:rFonts w:ascii="Abadi" w:hAnsi="Abadi" w:cs="Calibri"/>
                <w:sz w:val="21"/>
                <w:szCs w:val="21"/>
              </w:rPr>
              <w:t>a</w:t>
            </w:r>
            <w:r w:rsidRPr="00BB0460">
              <w:rPr>
                <w:rFonts w:ascii="Abadi" w:hAnsi="Abadi" w:cs="Calibri"/>
                <w:spacing w:val="-12"/>
                <w:sz w:val="21"/>
                <w:szCs w:val="21"/>
              </w:rPr>
              <w:t xml:space="preserve"> </w:t>
            </w:r>
            <w:r w:rsidRPr="00BB0460">
              <w:rPr>
                <w:rFonts w:ascii="Abadi" w:hAnsi="Abadi" w:cs="Calibri"/>
                <w:sz w:val="21"/>
                <w:szCs w:val="21"/>
              </w:rPr>
              <w:t>los</w:t>
            </w:r>
            <w:r w:rsidRPr="00BB0460">
              <w:rPr>
                <w:rFonts w:ascii="Abadi" w:hAnsi="Abadi" w:cs="Calibri"/>
                <w:spacing w:val="-11"/>
                <w:sz w:val="21"/>
                <w:szCs w:val="21"/>
              </w:rPr>
              <w:t xml:space="preserve"> </w:t>
            </w:r>
            <w:r w:rsidRPr="00BB0460">
              <w:rPr>
                <w:rFonts w:ascii="Abadi" w:hAnsi="Abadi" w:cs="Calibri"/>
                <w:sz w:val="21"/>
                <w:szCs w:val="21"/>
              </w:rPr>
              <w:t>fideicomisarios</w:t>
            </w:r>
            <w:r w:rsidRPr="00BB0460">
              <w:rPr>
                <w:rFonts w:ascii="Abadi" w:hAnsi="Abadi" w:cs="Calibri"/>
                <w:spacing w:val="-12"/>
                <w:sz w:val="21"/>
                <w:szCs w:val="21"/>
              </w:rPr>
              <w:t xml:space="preserve"> </w:t>
            </w:r>
            <w:r w:rsidRPr="00BB0460">
              <w:rPr>
                <w:rFonts w:ascii="Abadi" w:hAnsi="Abadi" w:cs="Calibri"/>
                <w:sz w:val="21"/>
                <w:szCs w:val="21"/>
              </w:rPr>
              <w:t>o</w:t>
            </w:r>
            <w:r w:rsidRPr="00BB0460">
              <w:rPr>
                <w:rFonts w:ascii="Abadi" w:hAnsi="Abadi" w:cs="Calibri"/>
                <w:spacing w:val="-11"/>
                <w:sz w:val="21"/>
                <w:szCs w:val="21"/>
              </w:rPr>
              <w:t xml:space="preserve"> </w:t>
            </w:r>
            <w:r w:rsidRPr="00BB0460">
              <w:rPr>
                <w:rFonts w:ascii="Abadi" w:hAnsi="Abadi" w:cs="Calibri"/>
                <w:sz w:val="21"/>
                <w:szCs w:val="21"/>
              </w:rPr>
              <w:t>a</w:t>
            </w:r>
            <w:r w:rsidRPr="00BB0460">
              <w:rPr>
                <w:rFonts w:ascii="Abadi" w:hAnsi="Abadi" w:cs="Calibri"/>
                <w:spacing w:val="-11"/>
                <w:sz w:val="21"/>
                <w:szCs w:val="21"/>
              </w:rPr>
              <w:t xml:space="preserve"> </w:t>
            </w:r>
            <w:r w:rsidRPr="00BB0460">
              <w:rPr>
                <w:rFonts w:ascii="Abadi" w:hAnsi="Abadi" w:cs="Calibri"/>
                <w:sz w:val="21"/>
                <w:szCs w:val="21"/>
              </w:rPr>
              <w:t>terceros,</w:t>
            </w:r>
            <w:r w:rsidRPr="00BB0460">
              <w:rPr>
                <w:rFonts w:ascii="Abadi" w:hAnsi="Abadi" w:cs="Calibri"/>
                <w:spacing w:val="-48"/>
                <w:sz w:val="21"/>
                <w:szCs w:val="21"/>
              </w:rPr>
              <w:t xml:space="preserve"> </w:t>
            </w:r>
            <w:r w:rsidRPr="00BB0460">
              <w:rPr>
                <w:rFonts w:ascii="Abadi" w:hAnsi="Abadi" w:cs="Calibri"/>
                <w:sz w:val="21"/>
                <w:szCs w:val="21"/>
              </w:rPr>
              <w:t>salvo que se trate de fideicomisos constituidos</w:t>
            </w:r>
            <w:r w:rsidRPr="00BB0460">
              <w:rPr>
                <w:rFonts w:ascii="Abadi" w:hAnsi="Abadi" w:cs="Calibri"/>
                <w:spacing w:val="-47"/>
                <w:sz w:val="21"/>
                <w:szCs w:val="21"/>
              </w:rPr>
              <w:t xml:space="preserve"> </w:t>
            </w:r>
            <w:r w:rsidRPr="00BB0460">
              <w:rPr>
                <w:rFonts w:ascii="Abadi" w:hAnsi="Abadi" w:cs="Calibri"/>
                <w:sz w:val="21"/>
                <w:szCs w:val="21"/>
              </w:rPr>
              <w:t>con</w:t>
            </w:r>
            <w:r w:rsidRPr="00BB0460">
              <w:rPr>
                <w:rFonts w:ascii="Abadi" w:hAnsi="Abadi" w:cs="Calibri"/>
                <w:spacing w:val="1"/>
                <w:sz w:val="21"/>
                <w:szCs w:val="21"/>
              </w:rPr>
              <w:t xml:space="preserve"> </w:t>
            </w:r>
            <w:r w:rsidRPr="00BB0460">
              <w:rPr>
                <w:rFonts w:ascii="Abadi" w:hAnsi="Abadi" w:cs="Calibri"/>
                <w:sz w:val="21"/>
                <w:szCs w:val="21"/>
              </w:rPr>
              <w:t>los</w:t>
            </w:r>
            <w:r w:rsidRPr="00BB0460">
              <w:rPr>
                <w:rFonts w:ascii="Abadi" w:hAnsi="Abadi" w:cs="Calibri"/>
                <w:spacing w:val="1"/>
                <w:sz w:val="21"/>
                <w:szCs w:val="21"/>
              </w:rPr>
              <w:t xml:space="preserve"> </w:t>
            </w:r>
            <w:r w:rsidRPr="00BB0460">
              <w:rPr>
                <w:rFonts w:ascii="Abadi" w:hAnsi="Abadi" w:cs="Calibri"/>
                <w:sz w:val="21"/>
                <w:szCs w:val="21"/>
              </w:rPr>
              <w:t>gobiernos</w:t>
            </w:r>
            <w:r w:rsidRPr="00BB0460">
              <w:rPr>
                <w:rFonts w:ascii="Abadi" w:hAnsi="Abadi" w:cs="Calibri"/>
                <w:spacing w:val="1"/>
                <w:sz w:val="21"/>
                <w:szCs w:val="21"/>
              </w:rPr>
              <w:t xml:space="preserve"> </w:t>
            </w:r>
            <w:r w:rsidRPr="00BB0460">
              <w:rPr>
                <w:rFonts w:ascii="Abadi" w:hAnsi="Abadi" w:cs="Calibri"/>
                <w:sz w:val="21"/>
                <w:szCs w:val="21"/>
              </w:rPr>
              <w:t>estatal</w:t>
            </w:r>
            <w:r w:rsidRPr="00BB0460">
              <w:rPr>
                <w:rFonts w:ascii="Abadi" w:hAnsi="Abadi" w:cs="Calibri"/>
                <w:spacing w:val="1"/>
                <w:sz w:val="21"/>
                <w:szCs w:val="21"/>
              </w:rPr>
              <w:t xml:space="preserve"> </w:t>
            </w:r>
            <w:r w:rsidRPr="00BB0460">
              <w:rPr>
                <w:rFonts w:ascii="Abadi" w:hAnsi="Abadi" w:cs="Calibri"/>
                <w:sz w:val="21"/>
                <w:szCs w:val="21"/>
              </w:rPr>
              <w:t>o</w:t>
            </w:r>
            <w:r w:rsidRPr="00BB0460">
              <w:rPr>
                <w:rFonts w:ascii="Abadi" w:hAnsi="Abadi" w:cs="Calibri"/>
                <w:spacing w:val="1"/>
                <w:sz w:val="21"/>
                <w:szCs w:val="21"/>
              </w:rPr>
              <w:t xml:space="preserve"> </w:t>
            </w:r>
            <w:r w:rsidRPr="00BB0460">
              <w:rPr>
                <w:rFonts w:ascii="Abadi" w:hAnsi="Abadi" w:cs="Calibri"/>
                <w:sz w:val="21"/>
                <w:szCs w:val="21"/>
              </w:rPr>
              <w:t>federal,</w:t>
            </w:r>
            <w:r w:rsidRPr="00BB0460">
              <w:rPr>
                <w:rFonts w:ascii="Abadi" w:hAnsi="Abadi" w:cs="Calibri"/>
                <w:spacing w:val="1"/>
                <w:sz w:val="21"/>
                <w:szCs w:val="21"/>
              </w:rPr>
              <w:t xml:space="preserve"> </w:t>
            </w:r>
            <w:r w:rsidRPr="00BB0460">
              <w:rPr>
                <w:rFonts w:ascii="Abadi" w:hAnsi="Abadi" w:cs="Calibri"/>
                <w:sz w:val="21"/>
                <w:szCs w:val="21"/>
              </w:rPr>
              <w:t>por</w:t>
            </w:r>
            <w:r w:rsidRPr="00BB0460">
              <w:rPr>
                <w:rFonts w:ascii="Abadi" w:hAnsi="Abadi" w:cs="Calibri"/>
                <w:spacing w:val="1"/>
                <w:sz w:val="21"/>
                <w:szCs w:val="21"/>
              </w:rPr>
              <w:t xml:space="preserve"> </w:t>
            </w:r>
            <w:r w:rsidRPr="00BB0460">
              <w:rPr>
                <w:rFonts w:ascii="Abadi" w:hAnsi="Abadi" w:cs="Calibri"/>
                <w:sz w:val="21"/>
                <w:szCs w:val="21"/>
              </w:rPr>
              <w:t>mandato de la Ley o que la naturaleza de sus</w:t>
            </w:r>
            <w:r w:rsidRPr="00BB0460">
              <w:rPr>
                <w:rFonts w:ascii="Abadi" w:hAnsi="Abadi" w:cs="Calibri"/>
                <w:spacing w:val="1"/>
                <w:sz w:val="21"/>
                <w:szCs w:val="21"/>
              </w:rPr>
              <w:t xml:space="preserve"> </w:t>
            </w:r>
            <w:r w:rsidRPr="00BB0460">
              <w:rPr>
                <w:rFonts w:ascii="Abadi" w:hAnsi="Abadi" w:cs="Calibri"/>
                <w:sz w:val="21"/>
                <w:szCs w:val="21"/>
              </w:rPr>
              <w:t>fines no</w:t>
            </w:r>
            <w:r w:rsidRPr="00BB0460">
              <w:rPr>
                <w:rFonts w:ascii="Abadi" w:hAnsi="Abadi" w:cs="Calibri"/>
                <w:spacing w:val="1"/>
                <w:sz w:val="21"/>
                <w:szCs w:val="21"/>
              </w:rPr>
              <w:t xml:space="preserve"> </w:t>
            </w:r>
            <w:r w:rsidRPr="00BB0460">
              <w:rPr>
                <w:rFonts w:ascii="Abadi" w:hAnsi="Abadi" w:cs="Calibri"/>
                <w:sz w:val="21"/>
                <w:szCs w:val="21"/>
              </w:rPr>
              <w:t>lo</w:t>
            </w:r>
            <w:r w:rsidRPr="00BB0460">
              <w:rPr>
                <w:rFonts w:ascii="Abadi" w:hAnsi="Abadi" w:cs="Calibri"/>
                <w:spacing w:val="1"/>
                <w:sz w:val="21"/>
                <w:szCs w:val="21"/>
              </w:rPr>
              <w:t xml:space="preserve"> </w:t>
            </w:r>
            <w:r w:rsidRPr="00BB0460">
              <w:rPr>
                <w:rFonts w:ascii="Abadi" w:hAnsi="Abadi" w:cs="Calibri"/>
                <w:sz w:val="21"/>
                <w:szCs w:val="21"/>
              </w:rPr>
              <w:t>permita;</w:t>
            </w:r>
          </w:p>
          <w:p w14:paraId="5A17CEE2" w14:textId="77777777" w:rsidR="00BB0460" w:rsidRPr="00BB0460" w:rsidRDefault="00BB0460" w:rsidP="00BB0460">
            <w:pPr>
              <w:tabs>
                <w:tab w:val="left" w:pos="595"/>
              </w:tabs>
              <w:kinsoku w:val="0"/>
              <w:overflowPunct w:val="0"/>
              <w:autoSpaceDE w:val="0"/>
              <w:autoSpaceDN w:val="0"/>
              <w:adjustRightInd w:val="0"/>
              <w:ind w:left="107" w:right="94"/>
              <w:jc w:val="both"/>
              <w:rPr>
                <w:rFonts w:ascii="Abadi" w:hAnsi="Abadi" w:cs="Calibri"/>
                <w:sz w:val="21"/>
                <w:szCs w:val="21"/>
              </w:rPr>
            </w:pPr>
          </w:p>
          <w:p w14:paraId="5DE570AC" w14:textId="77777777" w:rsidR="00677B7E" w:rsidRPr="00BB0460" w:rsidRDefault="00677B7E" w:rsidP="00677B7E">
            <w:pPr>
              <w:numPr>
                <w:ilvl w:val="0"/>
                <w:numId w:val="7"/>
              </w:numPr>
              <w:tabs>
                <w:tab w:val="left" w:pos="555"/>
              </w:tabs>
              <w:kinsoku w:val="0"/>
              <w:overflowPunct w:val="0"/>
              <w:autoSpaceDE w:val="0"/>
              <w:autoSpaceDN w:val="0"/>
              <w:adjustRightInd w:val="0"/>
              <w:spacing w:line="270" w:lineRule="atLeast"/>
              <w:ind w:left="107" w:right="92" w:firstLine="0"/>
              <w:jc w:val="both"/>
              <w:rPr>
                <w:rFonts w:ascii="Abadi" w:hAnsi="Abadi" w:cs="Calibri"/>
                <w:sz w:val="21"/>
                <w:szCs w:val="21"/>
              </w:rPr>
            </w:pPr>
            <w:r w:rsidRPr="00BB0460">
              <w:rPr>
                <w:rFonts w:ascii="Abadi" w:hAnsi="Abadi" w:cs="Calibri"/>
                <w:sz w:val="21"/>
                <w:szCs w:val="21"/>
              </w:rPr>
              <w:t>La</w:t>
            </w:r>
            <w:r w:rsidRPr="00BB0460">
              <w:rPr>
                <w:rFonts w:ascii="Abadi" w:hAnsi="Abadi" w:cs="Calibri"/>
                <w:spacing w:val="1"/>
                <w:sz w:val="21"/>
                <w:szCs w:val="21"/>
              </w:rPr>
              <w:t xml:space="preserve"> </w:t>
            </w:r>
            <w:r w:rsidRPr="00BB0460">
              <w:rPr>
                <w:rFonts w:ascii="Abadi" w:hAnsi="Abadi" w:cs="Calibri"/>
                <w:sz w:val="21"/>
                <w:szCs w:val="21"/>
              </w:rPr>
              <w:t>modificación</w:t>
            </w:r>
            <w:r w:rsidRPr="00BB0460">
              <w:rPr>
                <w:rFonts w:ascii="Abadi" w:hAnsi="Abadi" w:cs="Calibri"/>
                <w:spacing w:val="1"/>
                <w:sz w:val="21"/>
                <w:szCs w:val="21"/>
              </w:rPr>
              <w:t xml:space="preserve"> </w:t>
            </w:r>
            <w:r w:rsidRPr="00BB0460">
              <w:rPr>
                <w:rFonts w:ascii="Abadi" w:hAnsi="Abadi" w:cs="Calibri"/>
                <w:sz w:val="21"/>
                <w:szCs w:val="21"/>
              </w:rPr>
              <w:t>o</w:t>
            </w:r>
            <w:r w:rsidRPr="00BB0460">
              <w:rPr>
                <w:rFonts w:ascii="Abadi" w:hAnsi="Abadi" w:cs="Calibri"/>
                <w:spacing w:val="1"/>
                <w:sz w:val="21"/>
                <w:szCs w:val="21"/>
              </w:rPr>
              <w:t xml:space="preserve"> </w:t>
            </w:r>
            <w:r w:rsidRPr="00BB0460">
              <w:rPr>
                <w:rFonts w:ascii="Abadi" w:hAnsi="Abadi" w:cs="Calibri"/>
                <w:sz w:val="21"/>
                <w:szCs w:val="21"/>
              </w:rPr>
              <w:t>extinción</w:t>
            </w:r>
            <w:r w:rsidRPr="00BB0460">
              <w:rPr>
                <w:rFonts w:ascii="Abadi" w:hAnsi="Abadi" w:cs="Calibri"/>
                <w:spacing w:val="1"/>
                <w:sz w:val="21"/>
                <w:szCs w:val="21"/>
              </w:rPr>
              <w:t xml:space="preserve"> </w:t>
            </w:r>
            <w:r w:rsidRPr="00BB0460">
              <w:rPr>
                <w:rFonts w:ascii="Abadi" w:hAnsi="Abadi" w:cs="Calibri"/>
                <w:sz w:val="21"/>
                <w:szCs w:val="21"/>
              </w:rPr>
              <w:t>de</w:t>
            </w:r>
            <w:r w:rsidRPr="00BB0460">
              <w:rPr>
                <w:rFonts w:ascii="Abadi" w:hAnsi="Abadi" w:cs="Calibri"/>
                <w:spacing w:val="1"/>
                <w:sz w:val="21"/>
                <w:szCs w:val="21"/>
              </w:rPr>
              <w:t xml:space="preserve"> </w:t>
            </w:r>
            <w:r w:rsidRPr="00BB0460">
              <w:rPr>
                <w:rFonts w:ascii="Abadi" w:hAnsi="Abadi" w:cs="Calibri"/>
                <w:sz w:val="21"/>
                <w:szCs w:val="21"/>
              </w:rPr>
              <w:t>los</w:t>
            </w:r>
            <w:r w:rsidRPr="00BB0460">
              <w:rPr>
                <w:rFonts w:ascii="Abadi" w:hAnsi="Abadi" w:cs="Calibri"/>
                <w:spacing w:val="1"/>
                <w:sz w:val="21"/>
                <w:szCs w:val="21"/>
              </w:rPr>
              <w:t xml:space="preserve"> </w:t>
            </w:r>
            <w:r w:rsidRPr="00BB0460">
              <w:rPr>
                <w:rFonts w:ascii="Abadi" w:hAnsi="Abadi" w:cs="Calibri"/>
                <w:sz w:val="21"/>
                <w:szCs w:val="21"/>
              </w:rPr>
              <w:t>fideicomisos públicos, cuando así convenga al</w:t>
            </w:r>
            <w:r w:rsidRPr="00BB0460">
              <w:rPr>
                <w:rFonts w:ascii="Abadi" w:hAnsi="Abadi" w:cs="Calibri"/>
                <w:spacing w:val="1"/>
                <w:sz w:val="21"/>
                <w:szCs w:val="21"/>
              </w:rPr>
              <w:t xml:space="preserve"> </w:t>
            </w:r>
            <w:r w:rsidRPr="00BB0460">
              <w:rPr>
                <w:rFonts w:ascii="Abadi" w:hAnsi="Abadi" w:cs="Calibri"/>
                <w:sz w:val="21"/>
                <w:szCs w:val="21"/>
              </w:rPr>
              <w:t>interés</w:t>
            </w:r>
            <w:r w:rsidRPr="00BB0460">
              <w:rPr>
                <w:rFonts w:ascii="Abadi" w:hAnsi="Abadi" w:cs="Calibri"/>
                <w:spacing w:val="1"/>
                <w:sz w:val="21"/>
                <w:szCs w:val="21"/>
              </w:rPr>
              <w:t xml:space="preserve"> </w:t>
            </w:r>
            <w:r w:rsidRPr="00BB0460">
              <w:rPr>
                <w:rFonts w:ascii="Abadi" w:hAnsi="Abadi" w:cs="Calibri"/>
                <w:sz w:val="21"/>
                <w:szCs w:val="21"/>
              </w:rPr>
              <w:t>general,</w:t>
            </w:r>
            <w:r w:rsidRPr="00BB0460">
              <w:rPr>
                <w:rFonts w:ascii="Abadi" w:hAnsi="Abadi" w:cs="Calibri"/>
                <w:spacing w:val="1"/>
                <w:sz w:val="21"/>
                <w:szCs w:val="21"/>
              </w:rPr>
              <w:t xml:space="preserve"> </w:t>
            </w:r>
            <w:r w:rsidRPr="00BB0460">
              <w:rPr>
                <w:rFonts w:ascii="Abadi" w:hAnsi="Abadi" w:cs="Calibri"/>
                <w:sz w:val="21"/>
                <w:szCs w:val="21"/>
              </w:rPr>
              <w:t>corresponderá</w:t>
            </w:r>
            <w:r w:rsidRPr="00BB0460">
              <w:rPr>
                <w:rFonts w:ascii="Abadi" w:hAnsi="Abadi" w:cs="Calibri"/>
                <w:spacing w:val="1"/>
                <w:sz w:val="21"/>
                <w:szCs w:val="21"/>
              </w:rPr>
              <w:t xml:space="preserve"> </w:t>
            </w:r>
            <w:r w:rsidRPr="00BB0460">
              <w:rPr>
                <w:rFonts w:ascii="Abadi" w:hAnsi="Abadi" w:cs="Calibri"/>
                <w:sz w:val="21"/>
                <w:szCs w:val="21"/>
              </w:rPr>
              <w:t>al</w:t>
            </w:r>
            <w:r w:rsidRPr="00BB0460">
              <w:rPr>
                <w:rFonts w:ascii="Abadi" w:hAnsi="Abadi" w:cs="Calibri"/>
                <w:spacing w:val="-47"/>
                <w:sz w:val="21"/>
                <w:szCs w:val="21"/>
              </w:rPr>
              <w:t xml:space="preserve"> </w:t>
            </w:r>
            <w:r w:rsidRPr="00BB0460">
              <w:rPr>
                <w:rFonts w:ascii="Abadi" w:hAnsi="Abadi" w:cs="Calibri"/>
                <w:sz w:val="21"/>
                <w:szCs w:val="21"/>
              </w:rPr>
              <w:t>Ayuntamiento,</w:t>
            </w:r>
            <w:r w:rsidRPr="00BB0460">
              <w:rPr>
                <w:rFonts w:ascii="Abadi" w:hAnsi="Abadi" w:cs="Calibri"/>
                <w:spacing w:val="43"/>
                <w:sz w:val="21"/>
                <w:szCs w:val="21"/>
              </w:rPr>
              <w:t xml:space="preserve"> </w:t>
            </w:r>
            <w:r w:rsidRPr="00BB0460">
              <w:rPr>
                <w:rFonts w:ascii="Abadi" w:hAnsi="Abadi" w:cs="Calibri"/>
                <w:sz w:val="21"/>
                <w:szCs w:val="21"/>
              </w:rPr>
              <w:t>debiendo</w:t>
            </w:r>
            <w:r w:rsidRPr="00BB0460">
              <w:rPr>
                <w:rFonts w:ascii="Abadi" w:hAnsi="Abadi" w:cs="Calibri"/>
                <w:spacing w:val="42"/>
                <w:sz w:val="21"/>
                <w:szCs w:val="21"/>
              </w:rPr>
              <w:t xml:space="preserve"> </w:t>
            </w:r>
            <w:r w:rsidRPr="00BB0460">
              <w:rPr>
                <w:rFonts w:ascii="Abadi" w:hAnsi="Abadi" w:cs="Calibri"/>
                <w:sz w:val="21"/>
                <w:szCs w:val="21"/>
              </w:rPr>
              <w:t>en</w:t>
            </w:r>
            <w:r w:rsidRPr="00BB0460">
              <w:rPr>
                <w:rFonts w:ascii="Abadi" w:hAnsi="Abadi" w:cs="Calibri"/>
                <w:spacing w:val="43"/>
                <w:sz w:val="21"/>
                <w:szCs w:val="21"/>
              </w:rPr>
              <w:t xml:space="preserve"> </w:t>
            </w:r>
            <w:r w:rsidRPr="00BB0460">
              <w:rPr>
                <w:rFonts w:ascii="Abadi" w:hAnsi="Abadi" w:cs="Calibri"/>
                <w:sz w:val="21"/>
                <w:szCs w:val="21"/>
              </w:rPr>
              <w:t>todo</w:t>
            </w:r>
            <w:r w:rsidRPr="00BB0460">
              <w:rPr>
                <w:rFonts w:ascii="Abadi" w:hAnsi="Abadi" w:cs="Calibri"/>
                <w:spacing w:val="42"/>
                <w:sz w:val="21"/>
                <w:szCs w:val="21"/>
              </w:rPr>
              <w:t xml:space="preserve"> </w:t>
            </w:r>
            <w:r w:rsidRPr="00BB0460">
              <w:rPr>
                <w:rFonts w:ascii="Abadi" w:hAnsi="Abadi" w:cs="Calibri"/>
                <w:sz w:val="21"/>
                <w:szCs w:val="21"/>
              </w:rPr>
              <w:t>caso</w:t>
            </w:r>
          </w:p>
        </w:tc>
        <w:tc>
          <w:tcPr>
            <w:tcW w:w="2500" w:type="pct"/>
            <w:tcBorders>
              <w:top w:val="single" w:sz="4" w:space="0" w:color="000000"/>
              <w:left w:val="single" w:sz="4" w:space="0" w:color="000000"/>
              <w:bottom w:val="single" w:sz="4" w:space="0" w:color="000000"/>
              <w:right w:val="single" w:sz="4" w:space="0" w:color="000000"/>
            </w:tcBorders>
          </w:tcPr>
          <w:p w14:paraId="46204CA7" w14:textId="77777777" w:rsidR="00677B7E" w:rsidRPr="00BB0460" w:rsidRDefault="00677B7E" w:rsidP="00FA2590">
            <w:pPr>
              <w:kinsoku w:val="0"/>
              <w:overflowPunct w:val="0"/>
              <w:autoSpaceDE w:val="0"/>
              <w:autoSpaceDN w:val="0"/>
              <w:adjustRightInd w:val="0"/>
              <w:ind w:left="107" w:right="93"/>
              <w:jc w:val="both"/>
              <w:rPr>
                <w:rFonts w:ascii="Abadi" w:hAnsi="Abadi" w:cs="Calibri"/>
                <w:sz w:val="21"/>
                <w:szCs w:val="21"/>
              </w:rPr>
            </w:pPr>
            <w:r w:rsidRPr="00BB0460">
              <w:rPr>
                <w:rFonts w:ascii="Abadi" w:hAnsi="Abadi" w:cs="Calibri"/>
                <w:b/>
                <w:bCs/>
                <w:sz w:val="21"/>
                <w:szCs w:val="21"/>
              </w:rPr>
              <w:t xml:space="preserve">Artículo 159. </w:t>
            </w:r>
            <w:r w:rsidRPr="00BB0460">
              <w:rPr>
                <w:rFonts w:ascii="Abadi" w:hAnsi="Abadi" w:cs="Calibri"/>
                <w:sz w:val="21"/>
                <w:szCs w:val="21"/>
              </w:rPr>
              <w:t>La creación de los fideicomisos</w:t>
            </w:r>
            <w:r w:rsidRPr="00BB0460">
              <w:rPr>
                <w:rFonts w:ascii="Abadi" w:hAnsi="Abadi" w:cs="Calibri"/>
                <w:spacing w:val="1"/>
                <w:sz w:val="21"/>
                <w:szCs w:val="21"/>
              </w:rPr>
              <w:t xml:space="preserve"> </w:t>
            </w:r>
            <w:r w:rsidRPr="00BB0460">
              <w:rPr>
                <w:rFonts w:ascii="Abadi" w:hAnsi="Abadi" w:cs="Calibri"/>
                <w:sz w:val="21"/>
                <w:szCs w:val="21"/>
              </w:rPr>
              <w:t>públicos</w:t>
            </w:r>
            <w:r w:rsidRPr="00BB0460">
              <w:rPr>
                <w:rFonts w:ascii="Abadi" w:hAnsi="Abadi" w:cs="Calibri"/>
                <w:spacing w:val="-1"/>
                <w:sz w:val="21"/>
                <w:szCs w:val="21"/>
              </w:rPr>
              <w:t xml:space="preserve"> </w:t>
            </w:r>
            <w:r w:rsidRPr="00BB0460">
              <w:rPr>
                <w:rFonts w:ascii="Abadi" w:hAnsi="Abadi" w:cs="Calibri"/>
                <w:sz w:val="21"/>
                <w:szCs w:val="21"/>
              </w:rPr>
              <w:t>se</w:t>
            </w:r>
            <w:r w:rsidRPr="00BB0460">
              <w:rPr>
                <w:rFonts w:ascii="Abadi" w:hAnsi="Abadi" w:cs="Calibri"/>
                <w:spacing w:val="-3"/>
                <w:sz w:val="21"/>
                <w:szCs w:val="21"/>
              </w:rPr>
              <w:t xml:space="preserve"> </w:t>
            </w:r>
            <w:r w:rsidRPr="00BB0460">
              <w:rPr>
                <w:rFonts w:ascii="Abadi" w:hAnsi="Abadi" w:cs="Calibri"/>
                <w:sz w:val="21"/>
                <w:szCs w:val="21"/>
              </w:rPr>
              <w:t>sujetará</w:t>
            </w:r>
            <w:r w:rsidRPr="00BB0460">
              <w:rPr>
                <w:rFonts w:ascii="Abadi" w:hAnsi="Abadi" w:cs="Calibri"/>
                <w:spacing w:val="-4"/>
                <w:sz w:val="21"/>
                <w:szCs w:val="21"/>
              </w:rPr>
              <w:t xml:space="preserve"> </w:t>
            </w:r>
            <w:r w:rsidRPr="00BB0460">
              <w:rPr>
                <w:rFonts w:ascii="Abadi" w:hAnsi="Abadi" w:cs="Calibri"/>
                <w:sz w:val="21"/>
                <w:szCs w:val="21"/>
              </w:rPr>
              <w:t>a las</w:t>
            </w:r>
            <w:r w:rsidRPr="00BB0460">
              <w:rPr>
                <w:rFonts w:ascii="Abadi" w:hAnsi="Abadi" w:cs="Calibri"/>
                <w:spacing w:val="-4"/>
                <w:sz w:val="21"/>
                <w:szCs w:val="21"/>
              </w:rPr>
              <w:t xml:space="preserve"> </w:t>
            </w:r>
            <w:r w:rsidRPr="00BB0460">
              <w:rPr>
                <w:rFonts w:ascii="Abadi" w:hAnsi="Abadi" w:cs="Calibri"/>
                <w:sz w:val="21"/>
                <w:szCs w:val="21"/>
              </w:rPr>
              <w:t>siguientes</w:t>
            </w:r>
            <w:r w:rsidRPr="00BB0460">
              <w:rPr>
                <w:rFonts w:ascii="Abadi" w:hAnsi="Abadi" w:cs="Calibri"/>
                <w:spacing w:val="-1"/>
                <w:sz w:val="21"/>
                <w:szCs w:val="21"/>
              </w:rPr>
              <w:t xml:space="preserve"> </w:t>
            </w:r>
            <w:r w:rsidRPr="00BB0460">
              <w:rPr>
                <w:rFonts w:ascii="Abadi" w:hAnsi="Abadi" w:cs="Calibri"/>
                <w:sz w:val="21"/>
                <w:szCs w:val="21"/>
              </w:rPr>
              <w:t>bases:</w:t>
            </w:r>
          </w:p>
          <w:p w14:paraId="60297829" w14:textId="77777777" w:rsidR="00677B7E" w:rsidRPr="00BB0460" w:rsidRDefault="00677B7E" w:rsidP="00677B7E">
            <w:pPr>
              <w:numPr>
                <w:ilvl w:val="0"/>
                <w:numId w:val="9"/>
              </w:numPr>
              <w:tabs>
                <w:tab w:val="left" w:pos="351"/>
              </w:tabs>
              <w:kinsoku w:val="0"/>
              <w:overflowPunct w:val="0"/>
              <w:autoSpaceDE w:val="0"/>
              <w:autoSpaceDN w:val="0"/>
              <w:adjustRightInd w:val="0"/>
              <w:ind w:left="107" w:right="91" w:firstLine="0"/>
              <w:jc w:val="both"/>
              <w:rPr>
                <w:rFonts w:ascii="Abadi" w:hAnsi="Abadi" w:cs="Calibri"/>
                <w:sz w:val="21"/>
                <w:szCs w:val="21"/>
              </w:rPr>
            </w:pPr>
            <w:r w:rsidRPr="00BB0460">
              <w:rPr>
                <w:rFonts w:ascii="Abadi" w:hAnsi="Abadi" w:cs="Calibri"/>
                <w:sz w:val="21"/>
                <w:szCs w:val="21"/>
              </w:rPr>
              <w:t>Contarán</w:t>
            </w:r>
            <w:r w:rsidRPr="00BB0460">
              <w:rPr>
                <w:rFonts w:ascii="Abadi" w:hAnsi="Abadi" w:cs="Calibri"/>
                <w:spacing w:val="1"/>
                <w:sz w:val="21"/>
                <w:szCs w:val="21"/>
              </w:rPr>
              <w:t xml:space="preserve"> </w:t>
            </w:r>
            <w:r w:rsidRPr="00BB0460">
              <w:rPr>
                <w:rFonts w:ascii="Abadi" w:hAnsi="Abadi" w:cs="Calibri"/>
                <w:sz w:val="21"/>
                <w:szCs w:val="21"/>
              </w:rPr>
              <w:t>con</w:t>
            </w:r>
            <w:r w:rsidRPr="00BB0460">
              <w:rPr>
                <w:rFonts w:ascii="Abadi" w:hAnsi="Abadi" w:cs="Calibri"/>
                <w:spacing w:val="1"/>
                <w:sz w:val="21"/>
                <w:szCs w:val="21"/>
              </w:rPr>
              <w:t xml:space="preserve"> </w:t>
            </w:r>
            <w:r w:rsidRPr="00BB0460">
              <w:rPr>
                <w:rFonts w:ascii="Abadi" w:hAnsi="Abadi" w:cs="Calibri"/>
                <w:b/>
                <w:bCs/>
                <w:i/>
                <w:iCs/>
                <w:sz w:val="21"/>
                <w:szCs w:val="21"/>
              </w:rPr>
              <w:t>una</w:t>
            </w:r>
            <w:r w:rsidRPr="00BB0460">
              <w:rPr>
                <w:rFonts w:ascii="Abadi" w:hAnsi="Abadi" w:cs="Calibri"/>
                <w:b/>
                <w:bCs/>
                <w:i/>
                <w:iCs/>
                <w:spacing w:val="1"/>
                <w:sz w:val="21"/>
                <w:szCs w:val="21"/>
              </w:rPr>
              <w:t xml:space="preserve"> </w:t>
            </w:r>
            <w:r w:rsidRPr="00BB0460">
              <w:rPr>
                <w:rFonts w:ascii="Abadi" w:hAnsi="Abadi" w:cs="Calibri"/>
                <w:b/>
                <w:bCs/>
                <w:i/>
                <w:iCs/>
                <w:sz w:val="21"/>
                <w:szCs w:val="21"/>
              </w:rPr>
              <w:t>Dirección</w:t>
            </w:r>
            <w:r w:rsidRPr="00BB0460">
              <w:rPr>
                <w:rFonts w:ascii="Abadi" w:hAnsi="Abadi" w:cs="Calibri"/>
                <w:b/>
                <w:bCs/>
                <w:i/>
                <w:iCs/>
                <w:spacing w:val="1"/>
                <w:sz w:val="21"/>
                <w:szCs w:val="21"/>
              </w:rPr>
              <w:t xml:space="preserve"> </w:t>
            </w:r>
            <w:r w:rsidRPr="00BB0460">
              <w:rPr>
                <w:rFonts w:ascii="Abadi" w:hAnsi="Abadi" w:cs="Calibri"/>
                <w:b/>
                <w:bCs/>
                <w:i/>
                <w:iCs/>
                <w:sz w:val="21"/>
                <w:szCs w:val="21"/>
              </w:rPr>
              <w:t>General</w:t>
            </w:r>
            <w:r w:rsidRPr="00BB0460">
              <w:rPr>
                <w:rFonts w:ascii="Abadi" w:hAnsi="Abadi" w:cs="Calibri"/>
                <w:sz w:val="21"/>
                <w:szCs w:val="21"/>
              </w:rPr>
              <w:t>,</w:t>
            </w:r>
            <w:r w:rsidRPr="00BB0460">
              <w:rPr>
                <w:rFonts w:ascii="Abadi" w:hAnsi="Abadi" w:cs="Calibri"/>
                <w:spacing w:val="1"/>
                <w:sz w:val="21"/>
                <w:szCs w:val="21"/>
              </w:rPr>
              <w:t xml:space="preserve"> </w:t>
            </w:r>
            <w:r w:rsidRPr="00BB0460">
              <w:rPr>
                <w:rFonts w:ascii="Abadi" w:hAnsi="Abadi" w:cs="Calibri"/>
                <w:sz w:val="21"/>
                <w:szCs w:val="21"/>
              </w:rPr>
              <w:t>un</w:t>
            </w:r>
            <w:r w:rsidRPr="00BB0460">
              <w:rPr>
                <w:rFonts w:ascii="Abadi" w:hAnsi="Abadi" w:cs="Calibri"/>
                <w:spacing w:val="1"/>
                <w:sz w:val="21"/>
                <w:szCs w:val="21"/>
              </w:rPr>
              <w:t xml:space="preserve"> </w:t>
            </w:r>
            <w:r w:rsidRPr="00BB0460">
              <w:rPr>
                <w:rFonts w:ascii="Abadi" w:hAnsi="Abadi" w:cs="Calibri"/>
                <w:sz w:val="21"/>
                <w:szCs w:val="21"/>
              </w:rPr>
              <w:t>Comité Técnico que fungirá como órgano de</w:t>
            </w:r>
            <w:r w:rsidRPr="00BB0460">
              <w:rPr>
                <w:rFonts w:ascii="Abadi" w:hAnsi="Abadi" w:cs="Calibri"/>
                <w:spacing w:val="1"/>
                <w:sz w:val="21"/>
                <w:szCs w:val="21"/>
              </w:rPr>
              <w:t xml:space="preserve"> </w:t>
            </w:r>
            <w:r w:rsidRPr="00BB0460">
              <w:rPr>
                <w:rFonts w:ascii="Abadi" w:hAnsi="Abadi" w:cs="Calibri"/>
                <w:sz w:val="21"/>
                <w:szCs w:val="21"/>
              </w:rPr>
              <w:t>gobierno,</w:t>
            </w:r>
            <w:r w:rsidRPr="00BB0460">
              <w:rPr>
                <w:rFonts w:ascii="Abadi" w:hAnsi="Abadi" w:cs="Calibri"/>
                <w:spacing w:val="1"/>
                <w:sz w:val="21"/>
                <w:szCs w:val="21"/>
              </w:rPr>
              <w:t xml:space="preserve"> </w:t>
            </w:r>
            <w:r w:rsidRPr="00BB0460">
              <w:rPr>
                <w:rFonts w:ascii="Abadi" w:hAnsi="Abadi" w:cs="Calibri"/>
                <w:sz w:val="21"/>
                <w:szCs w:val="21"/>
              </w:rPr>
              <w:t>y</w:t>
            </w:r>
            <w:r w:rsidRPr="00BB0460">
              <w:rPr>
                <w:rFonts w:ascii="Abadi" w:hAnsi="Abadi" w:cs="Calibri"/>
                <w:spacing w:val="1"/>
                <w:sz w:val="21"/>
                <w:szCs w:val="21"/>
              </w:rPr>
              <w:t xml:space="preserve"> </w:t>
            </w:r>
            <w:r w:rsidRPr="00BB0460">
              <w:rPr>
                <w:rFonts w:ascii="Abadi" w:hAnsi="Abadi" w:cs="Calibri"/>
                <w:b/>
                <w:bCs/>
                <w:i/>
                <w:iCs/>
                <w:sz w:val="21"/>
                <w:szCs w:val="21"/>
              </w:rPr>
              <w:t>una</w:t>
            </w:r>
            <w:r w:rsidRPr="00BB0460">
              <w:rPr>
                <w:rFonts w:ascii="Abadi" w:hAnsi="Abadi" w:cs="Calibri"/>
                <w:b/>
                <w:bCs/>
                <w:i/>
                <w:iCs/>
                <w:spacing w:val="1"/>
                <w:sz w:val="21"/>
                <w:szCs w:val="21"/>
              </w:rPr>
              <w:t xml:space="preserve"> </w:t>
            </w:r>
            <w:r w:rsidRPr="00BB0460">
              <w:rPr>
                <w:rFonts w:ascii="Abadi" w:hAnsi="Abadi" w:cs="Calibri"/>
                <w:b/>
                <w:bCs/>
                <w:i/>
                <w:iCs/>
                <w:sz w:val="21"/>
                <w:szCs w:val="21"/>
              </w:rPr>
              <w:t>Comisaría</w:t>
            </w:r>
            <w:r w:rsidRPr="00BB0460">
              <w:rPr>
                <w:rFonts w:ascii="Abadi" w:hAnsi="Abadi" w:cs="Calibri"/>
                <w:b/>
                <w:bCs/>
                <w:i/>
                <w:iCs/>
                <w:spacing w:val="1"/>
                <w:sz w:val="21"/>
                <w:szCs w:val="21"/>
              </w:rPr>
              <w:t xml:space="preserve"> </w:t>
            </w:r>
            <w:r w:rsidRPr="00BB0460">
              <w:rPr>
                <w:rFonts w:ascii="Abadi" w:hAnsi="Abadi" w:cs="Calibri"/>
                <w:sz w:val="21"/>
                <w:szCs w:val="21"/>
              </w:rPr>
              <w:t>de</w:t>
            </w:r>
            <w:r w:rsidRPr="00BB0460">
              <w:rPr>
                <w:rFonts w:ascii="Abadi" w:hAnsi="Abadi" w:cs="Calibri"/>
                <w:spacing w:val="1"/>
                <w:sz w:val="21"/>
                <w:szCs w:val="21"/>
              </w:rPr>
              <w:t xml:space="preserve"> </w:t>
            </w:r>
            <w:r w:rsidRPr="00BB0460">
              <w:rPr>
                <w:rFonts w:ascii="Abadi" w:hAnsi="Abadi" w:cs="Calibri"/>
                <w:sz w:val="21"/>
                <w:szCs w:val="21"/>
              </w:rPr>
              <w:t>la</w:t>
            </w:r>
            <w:r w:rsidRPr="00BB0460">
              <w:rPr>
                <w:rFonts w:ascii="Abadi" w:hAnsi="Abadi" w:cs="Calibri"/>
                <w:spacing w:val="1"/>
                <w:sz w:val="21"/>
                <w:szCs w:val="21"/>
              </w:rPr>
              <w:t xml:space="preserve"> </w:t>
            </w:r>
            <w:r w:rsidRPr="00BB0460">
              <w:rPr>
                <w:rFonts w:ascii="Abadi" w:hAnsi="Abadi" w:cs="Calibri"/>
                <w:sz w:val="21"/>
                <w:szCs w:val="21"/>
              </w:rPr>
              <w:t>vigilancia,</w:t>
            </w:r>
            <w:r w:rsidRPr="00BB0460">
              <w:rPr>
                <w:rFonts w:ascii="Abadi" w:hAnsi="Abadi" w:cs="Calibri"/>
                <w:spacing w:val="1"/>
                <w:sz w:val="21"/>
                <w:szCs w:val="21"/>
              </w:rPr>
              <w:t xml:space="preserve"> </w:t>
            </w:r>
            <w:r w:rsidRPr="00BB0460">
              <w:rPr>
                <w:rFonts w:ascii="Abadi" w:hAnsi="Abadi" w:cs="Calibri"/>
                <w:b/>
                <w:bCs/>
                <w:i/>
                <w:iCs/>
                <w:sz w:val="21"/>
                <w:szCs w:val="21"/>
              </w:rPr>
              <w:t xml:space="preserve">designada </w:t>
            </w:r>
            <w:r w:rsidRPr="00BB0460">
              <w:rPr>
                <w:rFonts w:ascii="Abadi" w:hAnsi="Abadi" w:cs="Calibri"/>
                <w:sz w:val="21"/>
                <w:szCs w:val="21"/>
              </w:rPr>
              <w:t>por la Contraloría Municipal. Dichos</w:t>
            </w:r>
            <w:r w:rsidRPr="00BB0460">
              <w:rPr>
                <w:rFonts w:ascii="Abadi" w:hAnsi="Abadi" w:cs="Calibri"/>
                <w:spacing w:val="-47"/>
                <w:sz w:val="21"/>
                <w:szCs w:val="21"/>
              </w:rPr>
              <w:t xml:space="preserve"> </w:t>
            </w:r>
            <w:r w:rsidRPr="00BB0460">
              <w:rPr>
                <w:rFonts w:ascii="Abadi" w:hAnsi="Abadi" w:cs="Calibri"/>
                <w:sz w:val="21"/>
                <w:szCs w:val="21"/>
              </w:rPr>
              <w:t>cargos</w:t>
            </w:r>
            <w:r w:rsidRPr="00BB0460">
              <w:rPr>
                <w:rFonts w:ascii="Abadi" w:hAnsi="Abadi" w:cs="Calibri"/>
                <w:spacing w:val="-1"/>
                <w:sz w:val="21"/>
                <w:szCs w:val="21"/>
              </w:rPr>
              <w:t xml:space="preserve"> </w:t>
            </w:r>
            <w:r w:rsidRPr="00BB0460">
              <w:rPr>
                <w:rFonts w:ascii="Abadi" w:hAnsi="Abadi" w:cs="Calibri"/>
                <w:sz w:val="21"/>
                <w:szCs w:val="21"/>
              </w:rPr>
              <w:t>serán</w:t>
            </w:r>
            <w:r w:rsidRPr="00BB0460">
              <w:rPr>
                <w:rFonts w:ascii="Abadi" w:hAnsi="Abadi" w:cs="Calibri"/>
                <w:spacing w:val="-1"/>
                <w:sz w:val="21"/>
                <w:szCs w:val="21"/>
              </w:rPr>
              <w:t xml:space="preserve"> </w:t>
            </w:r>
            <w:r w:rsidRPr="00BB0460">
              <w:rPr>
                <w:rFonts w:ascii="Abadi" w:hAnsi="Abadi" w:cs="Calibri"/>
                <w:sz w:val="21"/>
                <w:szCs w:val="21"/>
              </w:rPr>
              <w:t>honoríficos;</w:t>
            </w:r>
          </w:p>
          <w:p w14:paraId="31F3A067" w14:textId="77777777" w:rsidR="00677B7E" w:rsidRPr="00BB0460" w:rsidRDefault="00677B7E" w:rsidP="00677B7E">
            <w:pPr>
              <w:numPr>
                <w:ilvl w:val="0"/>
                <w:numId w:val="9"/>
              </w:numPr>
              <w:tabs>
                <w:tab w:val="left" w:pos="505"/>
              </w:tabs>
              <w:kinsoku w:val="0"/>
              <w:overflowPunct w:val="0"/>
              <w:autoSpaceDE w:val="0"/>
              <w:autoSpaceDN w:val="0"/>
              <w:adjustRightInd w:val="0"/>
              <w:ind w:left="107" w:right="94" w:firstLine="0"/>
              <w:jc w:val="both"/>
              <w:rPr>
                <w:rFonts w:ascii="Abadi" w:hAnsi="Abadi" w:cs="Calibri"/>
                <w:sz w:val="21"/>
                <w:szCs w:val="21"/>
              </w:rPr>
            </w:pPr>
            <w:r w:rsidRPr="00BB0460">
              <w:rPr>
                <w:rFonts w:ascii="Abadi" w:hAnsi="Abadi" w:cs="Calibri"/>
                <w:sz w:val="21"/>
                <w:szCs w:val="21"/>
              </w:rPr>
              <w:t>El</w:t>
            </w:r>
            <w:r w:rsidRPr="00BB0460">
              <w:rPr>
                <w:rFonts w:ascii="Abadi" w:hAnsi="Abadi" w:cs="Calibri"/>
                <w:spacing w:val="1"/>
                <w:sz w:val="21"/>
                <w:szCs w:val="21"/>
              </w:rPr>
              <w:t xml:space="preserve"> </w:t>
            </w:r>
            <w:r w:rsidRPr="00BB0460">
              <w:rPr>
                <w:rFonts w:ascii="Abadi" w:hAnsi="Abadi" w:cs="Calibri"/>
                <w:sz w:val="21"/>
                <w:szCs w:val="21"/>
              </w:rPr>
              <w:t>Ayuntamiento</w:t>
            </w:r>
            <w:r w:rsidRPr="00BB0460">
              <w:rPr>
                <w:rFonts w:ascii="Abadi" w:hAnsi="Abadi" w:cs="Calibri"/>
                <w:spacing w:val="1"/>
                <w:sz w:val="21"/>
                <w:szCs w:val="21"/>
              </w:rPr>
              <w:t xml:space="preserve"> </w:t>
            </w:r>
            <w:r w:rsidRPr="00BB0460">
              <w:rPr>
                <w:rFonts w:ascii="Abadi" w:hAnsi="Abadi" w:cs="Calibri"/>
                <w:sz w:val="21"/>
                <w:szCs w:val="21"/>
              </w:rPr>
              <w:t>podrá</w:t>
            </w:r>
            <w:r w:rsidRPr="00BB0460">
              <w:rPr>
                <w:rFonts w:ascii="Abadi" w:hAnsi="Abadi" w:cs="Calibri"/>
                <w:spacing w:val="1"/>
                <w:sz w:val="21"/>
                <w:szCs w:val="21"/>
              </w:rPr>
              <w:t xml:space="preserve"> </w:t>
            </w:r>
            <w:r w:rsidRPr="00BB0460">
              <w:rPr>
                <w:rFonts w:ascii="Abadi" w:hAnsi="Abadi" w:cs="Calibri"/>
                <w:sz w:val="21"/>
                <w:szCs w:val="21"/>
              </w:rPr>
              <w:t>autorizar</w:t>
            </w:r>
            <w:r w:rsidRPr="00BB0460">
              <w:rPr>
                <w:rFonts w:ascii="Abadi" w:hAnsi="Abadi" w:cs="Calibri"/>
                <w:spacing w:val="1"/>
                <w:sz w:val="21"/>
                <w:szCs w:val="21"/>
              </w:rPr>
              <w:t xml:space="preserve"> </w:t>
            </w:r>
            <w:r w:rsidRPr="00BB0460">
              <w:rPr>
                <w:rFonts w:ascii="Abadi" w:hAnsi="Abadi" w:cs="Calibri"/>
                <w:sz w:val="21"/>
                <w:szCs w:val="21"/>
              </w:rPr>
              <w:t>el</w:t>
            </w:r>
            <w:r w:rsidRPr="00BB0460">
              <w:rPr>
                <w:rFonts w:ascii="Abadi" w:hAnsi="Abadi" w:cs="Calibri"/>
                <w:spacing w:val="1"/>
                <w:sz w:val="21"/>
                <w:szCs w:val="21"/>
              </w:rPr>
              <w:t xml:space="preserve"> </w:t>
            </w:r>
            <w:r w:rsidRPr="00BB0460">
              <w:rPr>
                <w:rFonts w:ascii="Abadi" w:hAnsi="Abadi" w:cs="Calibri"/>
                <w:sz w:val="21"/>
                <w:szCs w:val="21"/>
              </w:rPr>
              <w:t>incremento del patrimonio de los fideicomisos</w:t>
            </w:r>
            <w:r w:rsidRPr="00BB0460">
              <w:rPr>
                <w:rFonts w:ascii="Abadi" w:hAnsi="Abadi" w:cs="Calibri"/>
                <w:spacing w:val="1"/>
                <w:sz w:val="21"/>
                <w:szCs w:val="21"/>
              </w:rPr>
              <w:t xml:space="preserve"> </w:t>
            </w:r>
            <w:r w:rsidRPr="00BB0460">
              <w:rPr>
                <w:rFonts w:ascii="Abadi" w:hAnsi="Abadi" w:cs="Calibri"/>
                <w:sz w:val="21"/>
                <w:szCs w:val="21"/>
              </w:rPr>
              <w:t>públicos, previa opinión de los fideicomitentes</w:t>
            </w:r>
            <w:r w:rsidRPr="00BB0460">
              <w:rPr>
                <w:rFonts w:ascii="Abadi" w:hAnsi="Abadi" w:cs="Calibri"/>
                <w:spacing w:val="-47"/>
                <w:sz w:val="21"/>
                <w:szCs w:val="21"/>
              </w:rPr>
              <w:t xml:space="preserve"> </w:t>
            </w:r>
            <w:r w:rsidRPr="00BB0460">
              <w:rPr>
                <w:rFonts w:ascii="Abadi" w:hAnsi="Abadi" w:cs="Calibri"/>
                <w:sz w:val="21"/>
                <w:szCs w:val="21"/>
              </w:rPr>
              <w:t>de los</w:t>
            </w:r>
            <w:r w:rsidRPr="00BB0460">
              <w:rPr>
                <w:rFonts w:ascii="Abadi" w:hAnsi="Abadi" w:cs="Calibri"/>
                <w:spacing w:val="-3"/>
                <w:sz w:val="21"/>
                <w:szCs w:val="21"/>
              </w:rPr>
              <w:t xml:space="preserve"> </w:t>
            </w:r>
            <w:r w:rsidRPr="00BB0460">
              <w:rPr>
                <w:rFonts w:ascii="Abadi" w:hAnsi="Abadi" w:cs="Calibri"/>
                <w:sz w:val="21"/>
                <w:szCs w:val="21"/>
              </w:rPr>
              <w:t>mismos</w:t>
            </w:r>
            <w:r w:rsidRPr="00BB0460">
              <w:rPr>
                <w:rFonts w:ascii="Abadi" w:hAnsi="Abadi" w:cs="Calibri"/>
                <w:spacing w:val="-2"/>
                <w:sz w:val="21"/>
                <w:szCs w:val="21"/>
              </w:rPr>
              <w:t xml:space="preserve"> </w:t>
            </w:r>
            <w:r w:rsidRPr="00BB0460">
              <w:rPr>
                <w:rFonts w:ascii="Abadi" w:hAnsi="Abadi" w:cs="Calibri"/>
                <w:sz w:val="21"/>
                <w:szCs w:val="21"/>
              </w:rPr>
              <w:t>y sus</w:t>
            </w:r>
            <w:r w:rsidRPr="00BB0460">
              <w:rPr>
                <w:rFonts w:ascii="Abadi" w:hAnsi="Abadi" w:cs="Calibri"/>
                <w:spacing w:val="-3"/>
                <w:sz w:val="21"/>
                <w:szCs w:val="21"/>
              </w:rPr>
              <w:t xml:space="preserve"> </w:t>
            </w:r>
            <w:r w:rsidRPr="00BB0460">
              <w:rPr>
                <w:rFonts w:ascii="Abadi" w:hAnsi="Abadi" w:cs="Calibri"/>
                <w:sz w:val="21"/>
                <w:szCs w:val="21"/>
              </w:rPr>
              <w:t>comités técnicos;</w:t>
            </w:r>
          </w:p>
          <w:p w14:paraId="6A5D4B49" w14:textId="134987A2" w:rsidR="00677B7E" w:rsidRPr="00BB0460" w:rsidRDefault="00677B7E" w:rsidP="00677B7E">
            <w:pPr>
              <w:numPr>
                <w:ilvl w:val="0"/>
                <w:numId w:val="9"/>
              </w:numPr>
              <w:tabs>
                <w:tab w:val="left" w:pos="596"/>
              </w:tabs>
              <w:kinsoku w:val="0"/>
              <w:overflowPunct w:val="0"/>
              <w:autoSpaceDE w:val="0"/>
              <w:autoSpaceDN w:val="0"/>
              <w:adjustRightInd w:val="0"/>
              <w:ind w:left="107" w:right="93" w:firstLine="0"/>
              <w:jc w:val="both"/>
              <w:rPr>
                <w:rFonts w:ascii="Abadi" w:hAnsi="Abadi" w:cs="Calibri"/>
                <w:sz w:val="21"/>
                <w:szCs w:val="21"/>
              </w:rPr>
            </w:pPr>
            <w:r w:rsidRPr="00BB0460">
              <w:rPr>
                <w:rFonts w:ascii="Abadi" w:hAnsi="Abadi" w:cs="Calibri"/>
                <w:sz w:val="21"/>
                <w:szCs w:val="21"/>
              </w:rPr>
              <w:t>En</w:t>
            </w:r>
            <w:r w:rsidRPr="00BB0460">
              <w:rPr>
                <w:rFonts w:ascii="Abadi" w:hAnsi="Abadi" w:cs="Calibri"/>
                <w:spacing w:val="1"/>
                <w:sz w:val="21"/>
                <w:szCs w:val="21"/>
              </w:rPr>
              <w:t xml:space="preserve"> </w:t>
            </w:r>
            <w:r w:rsidRPr="00BB0460">
              <w:rPr>
                <w:rFonts w:ascii="Abadi" w:hAnsi="Abadi" w:cs="Calibri"/>
                <w:sz w:val="21"/>
                <w:szCs w:val="21"/>
              </w:rPr>
              <w:t>los</w:t>
            </w:r>
            <w:r w:rsidRPr="00BB0460">
              <w:rPr>
                <w:rFonts w:ascii="Abadi" w:hAnsi="Abadi" w:cs="Calibri"/>
                <w:spacing w:val="1"/>
                <w:sz w:val="21"/>
                <w:szCs w:val="21"/>
              </w:rPr>
              <w:t xml:space="preserve"> </w:t>
            </w:r>
            <w:r w:rsidRPr="00BB0460">
              <w:rPr>
                <w:rFonts w:ascii="Abadi" w:hAnsi="Abadi" w:cs="Calibri"/>
                <w:sz w:val="21"/>
                <w:szCs w:val="21"/>
              </w:rPr>
              <w:t>contratos</w:t>
            </w:r>
            <w:r w:rsidRPr="00BB0460">
              <w:rPr>
                <w:rFonts w:ascii="Abadi" w:hAnsi="Abadi" w:cs="Calibri"/>
                <w:spacing w:val="1"/>
                <w:sz w:val="21"/>
                <w:szCs w:val="21"/>
              </w:rPr>
              <w:t xml:space="preserve"> </w:t>
            </w:r>
            <w:r w:rsidRPr="00BB0460">
              <w:rPr>
                <w:rFonts w:ascii="Abadi" w:hAnsi="Abadi" w:cs="Calibri"/>
                <w:sz w:val="21"/>
                <w:szCs w:val="21"/>
              </w:rPr>
              <w:t>constitutivos</w:t>
            </w:r>
            <w:r w:rsidRPr="00BB0460">
              <w:rPr>
                <w:rFonts w:ascii="Abadi" w:hAnsi="Abadi" w:cs="Calibri"/>
                <w:spacing w:val="1"/>
                <w:sz w:val="21"/>
                <w:szCs w:val="21"/>
              </w:rPr>
              <w:t xml:space="preserve"> </w:t>
            </w:r>
            <w:r w:rsidRPr="00BB0460">
              <w:rPr>
                <w:rFonts w:ascii="Abadi" w:hAnsi="Abadi" w:cs="Calibri"/>
                <w:sz w:val="21"/>
                <w:szCs w:val="21"/>
              </w:rPr>
              <w:t>de</w:t>
            </w:r>
            <w:r w:rsidRPr="00BB0460">
              <w:rPr>
                <w:rFonts w:ascii="Abadi" w:hAnsi="Abadi" w:cs="Calibri"/>
                <w:spacing w:val="-47"/>
                <w:sz w:val="21"/>
                <w:szCs w:val="21"/>
              </w:rPr>
              <w:t xml:space="preserve"> </w:t>
            </w:r>
            <w:r w:rsidRPr="00BB0460">
              <w:rPr>
                <w:rFonts w:ascii="Abadi" w:hAnsi="Abadi" w:cs="Calibri"/>
                <w:sz w:val="21"/>
                <w:szCs w:val="21"/>
              </w:rPr>
              <w:t>fideicomisos</w:t>
            </w:r>
            <w:r w:rsidRPr="00BB0460">
              <w:rPr>
                <w:rFonts w:ascii="Abadi" w:hAnsi="Abadi" w:cs="Calibri"/>
                <w:spacing w:val="1"/>
                <w:sz w:val="21"/>
                <w:szCs w:val="21"/>
              </w:rPr>
              <w:t xml:space="preserve"> </w:t>
            </w:r>
            <w:r w:rsidRPr="00BB0460">
              <w:rPr>
                <w:rFonts w:ascii="Abadi" w:hAnsi="Abadi" w:cs="Calibri"/>
                <w:sz w:val="21"/>
                <w:szCs w:val="21"/>
              </w:rPr>
              <w:t>de</w:t>
            </w:r>
            <w:r w:rsidRPr="00BB0460">
              <w:rPr>
                <w:rFonts w:ascii="Abadi" w:hAnsi="Abadi" w:cs="Calibri"/>
                <w:spacing w:val="1"/>
                <w:sz w:val="21"/>
                <w:szCs w:val="21"/>
              </w:rPr>
              <w:t xml:space="preserve"> </w:t>
            </w:r>
            <w:r w:rsidRPr="00BB0460">
              <w:rPr>
                <w:rFonts w:ascii="Abadi" w:hAnsi="Abadi" w:cs="Calibri"/>
                <w:sz w:val="21"/>
                <w:szCs w:val="21"/>
              </w:rPr>
              <w:t>la</w:t>
            </w:r>
            <w:r w:rsidRPr="00BB0460">
              <w:rPr>
                <w:rFonts w:ascii="Abadi" w:hAnsi="Abadi" w:cs="Calibri"/>
                <w:spacing w:val="1"/>
                <w:sz w:val="21"/>
                <w:szCs w:val="21"/>
              </w:rPr>
              <w:t xml:space="preserve"> </w:t>
            </w:r>
            <w:r w:rsidRPr="00BB0460">
              <w:rPr>
                <w:rFonts w:ascii="Abadi" w:hAnsi="Abadi" w:cs="Calibri"/>
                <w:sz w:val="21"/>
                <w:szCs w:val="21"/>
              </w:rPr>
              <w:t>administración</w:t>
            </w:r>
            <w:r w:rsidRPr="00BB0460">
              <w:rPr>
                <w:rFonts w:ascii="Abadi" w:hAnsi="Abadi" w:cs="Calibri"/>
                <w:spacing w:val="1"/>
                <w:sz w:val="21"/>
                <w:szCs w:val="21"/>
              </w:rPr>
              <w:t xml:space="preserve"> </w:t>
            </w:r>
            <w:r w:rsidRPr="00BB0460">
              <w:rPr>
                <w:rFonts w:ascii="Abadi" w:hAnsi="Abadi" w:cs="Calibri"/>
                <w:sz w:val="21"/>
                <w:szCs w:val="21"/>
              </w:rPr>
              <w:t>pública</w:t>
            </w:r>
            <w:r w:rsidRPr="00BB0460">
              <w:rPr>
                <w:rFonts w:ascii="Abadi" w:hAnsi="Abadi" w:cs="Calibri"/>
                <w:spacing w:val="1"/>
                <w:sz w:val="21"/>
                <w:szCs w:val="21"/>
              </w:rPr>
              <w:t xml:space="preserve"> </w:t>
            </w:r>
            <w:r w:rsidRPr="00BB0460">
              <w:rPr>
                <w:rFonts w:ascii="Abadi" w:hAnsi="Abadi" w:cs="Calibri"/>
                <w:sz w:val="21"/>
                <w:szCs w:val="21"/>
              </w:rPr>
              <w:t>municipal,</w:t>
            </w:r>
            <w:r w:rsidRPr="00BB0460">
              <w:rPr>
                <w:rFonts w:ascii="Abadi" w:hAnsi="Abadi" w:cs="Calibri"/>
                <w:spacing w:val="1"/>
                <w:sz w:val="21"/>
                <w:szCs w:val="21"/>
              </w:rPr>
              <w:t xml:space="preserve"> </w:t>
            </w:r>
            <w:r w:rsidRPr="00BB0460">
              <w:rPr>
                <w:rFonts w:ascii="Abadi" w:hAnsi="Abadi" w:cs="Calibri"/>
                <w:sz w:val="21"/>
                <w:szCs w:val="21"/>
              </w:rPr>
              <w:t>se</w:t>
            </w:r>
            <w:r w:rsidRPr="00BB0460">
              <w:rPr>
                <w:rFonts w:ascii="Abadi" w:hAnsi="Abadi" w:cs="Calibri"/>
                <w:spacing w:val="1"/>
                <w:sz w:val="21"/>
                <w:szCs w:val="21"/>
              </w:rPr>
              <w:t xml:space="preserve"> </w:t>
            </w:r>
            <w:r w:rsidRPr="00BB0460">
              <w:rPr>
                <w:rFonts w:ascii="Abadi" w:hAnsi="Abadi" w:cs="Calibri"/>
                <w:sz w:val="21"/>
                <w:szCs w:val="21"/>
              </w:rPr>
              <w:t>deberá</w:t>
            </w:r>
            <w:r w:rsidRPr="00BB0460">
              <w:rPr>
                <w:rFonts w:ascii="Abadi" w:hAnsi="Abadi" w:cs="Calibri"/>
                <w:spacing w:val="1"/>
                <w:sz w:val="21"/>
                <w:szCs w:val="21"/>
              </w:rPr>
              <w:t xml:space="preserve"> </w:t>
            </w:r>
            <w:r w:rsidRPr="00BB0460">
              <w:rPr>
                <w:rFonts w:ascii="Abadi" w:hAnsi="Abadi" w:cs="Calibri"/>
                <w:sz w:val="21"/>
                <w:szCs w:val="21"/>
              </w:rPr>
              <w:t>reservar</w:t>
            </w:r>
            <w:r w:rsidRPr="00BB0460">
              <w:rPr>
                <w:rFonts w:ascii="Abadi" w:hAnsi="Abadi" w:cs="Calibri"/>
                <w:spacing w:val="1"/>
                <w:sz w:val="21"/>
                <w:szCs w:val="21"/>
              </w:rPr>
              <w:t xml:space="preserve"> </w:t>
            </w:r>
            <w:r w:rsidRPr="00BB0460">
              <w:rPr>
                <w:rFonts w:ascii="Abadi" w:hAnsi="Abadi" w:cs="Calibri"/>
                <w:sz w:val="21"/>
                <w:szCs w:val="21"/>
              </w:rPr>
              <w:t>a</w:t>
            </w:r>
            <w:r w:rsidRPr="00BB0460">
              <w:rPr>
                <w:rFonts w:ascii="Abadi" w:hAnsi="Abadi" w:cs="Calibri"/>
                <w:spacing w:val="1"/>
                <w:sz w:val="21"/>
                <w:szCs w:val="21"/>
              </w:rPr>
              <w:t xml:space="preserve"> </w:t>
            </w:r>
            <w:r w:rsidRPr="00BB0460">
              <w:rPr>
                <w:rFonts w:ascii="Abadi" w:hAnsi="Abadi" w:cs="Calibri"/>
                <w:sz w:val="21"/>
                <w:szCs w:val="21"/>
              </w:rPr>
              <w:t>favor</w:t>
            </w:r>
            <w:r w:rsidRPr="00BB0460">
              <w:rPr>
                <w:rFonts w:ascii="Abadi" w:hAnsi="Abadi" w:cs="Calibri"/>
                <w:spacing w:val="1"/>
                <w:sz w:val="21"/>
                <w:szCs w:val="21"/>
              </w:rPr>
              <w:t xml:space="preserve"> </w:t>
            </w:r>
            <w:r w:rsidRPr="00BB0460">
              <w:rPr>
                <w:rFonts w:ascii="Abadi" w:hAnsi="Abadi" w:cs="Calibri"/>
                <w:sz w:val="21"/>
                <w:szCs w:val="21"/>
              </w:rPr>
              <w:t>del</w:t>
            </w:r>
            <w:r w:rsidRPr="00BB0460">
              <w:rPr>
                <w:rFonts w:ascii="Abadi" w:hAnsi="Abadi" w:cs="Calibri"/>
                <w:spacing w:val="1"/>
                <w:sz w:val="21"/>
                <w:szCs w:val="21"/>
              </w:rPr>
              <w:t xml:space="preserve"> </w:t>
            </w:r>
            <w:r w:rsidRPr="00BB0460">
              <w:rPr>
                <w:rFonts w:ascii="Abadi" w:hAnsi="Abadi" w:cs="Calibri"/>
                <w:sz w:val="21"/>
                <w:szCs w:val="21"/>
              </w:rPr>
              <w:t>Ayuntamiento,</w:t>
            </w:r>
            <w:r w:rsidRPr="00BB0460">
              <w:rPr>
                <w:rFonts w:ascii="Abadi" w:hAnsi="Abadi" w:cs="Calibri"/>
                <w:spacing w:val="1"/>
                <w:sz w:val="21"/>
                <w:szCs w:val="21"/>
              </w:rPr>
              <w:t xml:space="preserve"> </w:t>
            </w:r>
            <w:r w:rsidRPr="00BB0460">
              <w:rPr>
                <w:rFonts w:ascii="Abadi" w:hAnsi="Abadi" w:cs="Calibri"/>
                <w:sz w:val="21"/>
                <w:szCs w:val="21"/>
              </w:rPr>
              <w:t>la</w:t>
            </w:r>
            <w:r w:rsidRPr="00BB0460">
              <w:rPr>
                <w:rFonts w:ascii="Abadi" w:hAnsi="Abadi" w:cs="Calibri"/>
                <w:spacing w:val="1"/>
                <w:sz w:val="21"/>
                <w:szCs w:val="21"/>
              </w:rPr>
              <w:t xml:space="preserve"> </w:t>
            </w:r>
            <w:r w:rsidRPr="00BB0460">
              <w:rPr>
                <w:rFonts w:ascii="Abadi" w:hAnsi="Abadi" w:cs="Calibri"/>
                <w:sz w:val="21"/>
                <w:szCs w:val="21"/>
              </w:rPr>
              <w:t>facultad</w:t>
            </w:r>
            <w:r w:rsidRPr="00BB0460">
              <w:rPr>
                <w:rFonts w:ascii="Abadi" w:hAnsi="Abadi" w:cs="Calibri"/>
                <w:spacing w:val="1"/>
                <w:sz w:val="21"/>
                <w:szCs w:val="21"/>
              </w:rPr>
              <w:t xml:space="preserve"> </w:t>
            </w:r>
            <w:r w:rsidRPr="00BB0460">
              <w:rPr>
                <w:rFonts w:ascii="Abadi" w:hAnsi="Abadi" w:cs="Calibri"/>
                <w:sz w:val="21"/>
                <w:szCs w:val="21"/>
              </w:rPr>
              <w:t>expresa</w:t>
            </w:r>
            <w:r w:rsidRPr="00BB0460">
              <w:rPr>
                <w:rFonts w:ascii="Abadi" w:hAnsi="Abadi" w:cs="Calibri"/>
                <w:spacing w:val="1"/>
                <w:sz w:val="21"/>
                <w:szCs w:val="21"/>
              </w:rPr>
              <w:t xml:space="preserve"> </w:t>
            </w:r>
            <w:r w:rsidRPr="00BB0460">
              <w:rPr>
                <w:rFonts w:ascii="Abadi" w:hAnsi="Abadi" w:cs="Calibri"/>
                <w:sz w:val="21"/>
                <w:szCs w:val="21"/>
              </w:rPr>
              <w:t>de</w:t>
            </w:r>
            <w:r w:rsidRPr="00BB0460">
              <w:rPr>
                <w:rFonts w:ascii="Abadi" w:hAnsi="Abadi" w:cs="Calibri"/>
                <w:spacing w:val="1"/>
                <w:sz w:val="21"/>
                <w:szCs w:val="21"/>
              </w:rPr>
              <w:t xml:space="preserve"> </w:t>
            </w:r>
            <w:r w:rsidRPr="00BB0460">
              <w:rPr>
                <w:rFonts w:ascii="Abadi" w:hAnsi="Abadi" w:cs="Calibri"/>
                <w:sz w:val="21"/>
                <w:szCs w:val="21"/>
              </w:rPr>
              <w:t>revocarlos, sin perjuicio de los derechos que</w:t>
            </w:r>
            <w:r w:rsidRPr="00BB0460">
              <w:rPr>
                <w:rFonts w:ascii="Abadi" w:hAnsi="Abadi" w:cs="Calibri"/>
                <w:spacing w:val="1"/>
                <w:sz w:val="21"/>
                <w:szCs w:val="21"/>
              </w:rPr>
              <w:t xml:space="preserve"> </w:t>
            </w:r>
            <w:r w:rsidRPr="00BB0460">
              <w:rPr>
                <w:rFonts w:ascii="Abadi" w:hAnsi="Abadi" w:cs="Calibri"/>
                <w:spacing w:val="-1"/>
                <w:sz w:val="21"/>
                <w:szCs w:val="21"/>
              </w:rPr>
              <w:t>correspondan</w:t>
            </w:r>
            <w:r w:rsidRPr="00BB0460">
              <w:rPr>
                <w:rFonts w:ascii="Abadi" w:hAnsi="Abadi" w:cs="Calibri"/>
                <w:spacing w:val="-13"/>
                <w:sz w:val="21"/>
                <w:szCs w:val="21"/>
              </w:rPr>
              <w:t xml:space="preserve"> </w:t>
            </w:r>
            <w:r w:rsidRPr="00BB0460">
              <w:rPr>
                <w:rFonts w:ascii="Abadi" w:hAnsi="Abadi" w:cs="Calibri"/>
                <w:sz w:val="21"/>
                <w:szCs w:val="21"/>
              </w:rPr>
              <w:t>a</w:t>
            </w:r>
            <w:r w:rsidRPr="00BB0460">
              <w:rPr>
                <w:rFonts w:ascii="Abadi" w:hAnsi="Abadi" w:cs="Calibri"/>
                <w:spacing w:val="-12"/>
                <w:sz w:val="21"/>
                <w:szCs w:val="21"/>
              </w:rPr>
              <w:t xml:space="preserve"> </w:t>
            </w:r>
            <w:r w:rsidRPr="00BB0460">
              <w:rPr>
                <w:rFonts w:ascii="Abadi" w:hAnsi="Abadi" w:cs="Calibri"/>
                <w:sz w:val="21"/>
                <w:szCs w:val="21"/>
              </w:rPr>
              <w:t>los</w:t>
            </w:r>
            <w:r w:rsidRPr="00BB0460">
              <w:rPr>
                <w:rFonts w:ascii="Abadi" w:hAnsi="Abadi" w:cs="Calibri"/>
                <w:spacing w:val="-11"/>
                <w:sz w:val="21"/>
                <w:szCs w:val="21"/>
              </w:rPr>
              <w:t xml:space="preserve"> </w:t>
            </w:r>
            <w:r w:rsidRPr="00BB0460">
              <w:rPr>
                <w:rFonts w:ascii="Abadi" w:hAnsi="Abadi" w:cs="Calibri"/>
                <w:sz w:val="21"/>
                <w:szCs w:val="21"/>
              </w:rPr>
              <w:t>fideicomisarios</w:t>
            </w:r>
            <w:r w:rsidRPr="00BB0460">
              <w:rPr>
                <w:rFonts w:ascii="Abadi" w:hAnsi="Abadi" w:cs="Calibri"/>
                <w:spacing w:val="-12"/>
                <w:sz w:val="21"/>
                <w:szCs w:val="21"/>
              </w:rPr>
              <w:t xml:space="preserve"> </w:t>
            </w:r>
            <w:r w:rsidRPr="00BB0460">
              <w:rPr>
                <w:rFonts w:ascii="Abadi" w:hAnsi="Abadi" w:cs="Calibri"/>
                <w:sz w:val="21"/>
                <w:szCs w:val="21"/>
              </w:rPr>
              <w:t>o</w:t>
            </w:r>
            <w:r w:rsidRPr="00BB0460">
              <w:rPr>
                <w:rFonts w:ascii="Abadi" w:hAnsi="Abadi" w:cs="Calibri"/>
                <w:spacing w:val="-11"/>
                <w:sz w:val="21"/>
                <w:szCs w:val="21"/>
              </w:rPr>
              <w:t xml:space="preserve"> </w:t>
            </w:r>
            <w:r w:rsidRPr="00BB0460">
              <w:rPr>
                <w:rFonts w:ascii="Abadi" w:hAnsi="Abadi" w:cs="Calibri"/>
                <w:sz w:val="21"/>
                <w:szCs w:val="21"/>
              </w:rPr>
              <w:t>a</w:t>
            </w:r>
            <w:r w:rsidRPr="00BB0460">
              <w:rPr>
                <w:rFonts w:ascii="Abadi" w:hAnsi="Abadi" w:cs="Calibri"/>
                <w:spacing w:val="-11"/>
                <w:sz w:val="21"/>
                <w:szCs w:val="21"/>
              </w:rPr>
              <w:t xml:space="preserve"> </w:t>
            </w:r>
            <w:r w:rsidRPr="00BB0460">
              <w:rPr>
                <w:rFonts w:ascii="Abadi" w:hAnsi="Abadi" w:cs="Calibri"/>
                <w:sz w:val="21"/>
                <w:szCs w:val="21"/>
              </w:rPr>
              <w:t>terceros,</w:t>
            </w:r>
            <w:r w:rsidRPr="00BB0460">
              <w:rPr>
                <w:rFonts w:ascii="Abadi" w:hAnsi="Abadi" w:cs="Calibri"/>
                <w:spacing w:val="-48"/>
                <w:sz w:val="21"/>
                <w:szCs w:val="21"/>
              </w:rPr>
              <w:t xml:space="preserve"> </w:t>
            </w:r>
            <w:r w:rsidRPr="00BB0460">
              <w:rPr>
                <w:rFonts w:ascii="Abadi" w:hAnsi="Abadi" w:cs="Calibri"/>
                <w:sz w:val="21"/>
                <w:szCs w:val="21"/>
              </w:rPr>
              <w:t>salvo que se trate de fideicomisos constituidos</w:t>
            </w:r>
            <w:r w:rsidRPr="00BB0460">
              <w:rPr>
                <w:rFonts w:ascii="Abadi" w:hAnsi="Abadi" w:cs="Calibri"/>
                <w:spacing w:val="-47"/>
                <w:sz w:val="21"/>
                <w:szCs w:val="21"/>
              </w:rPr>
              <w:t xml:space="preserve"> </w:t>
            </w:r>
            <w:r w:rsidRPr="00BB0460">
              <w:rPr>
                <w:rFonts w:ascii="Abadi" w:hAnsi="Abadi" w:cs="Calibri"/>
                <w:sz w:val="21"/>
                <w:szCs w:val="21"/>
              </w:rPr>
              <w:t>con</w:t>
            </w:r>
            <w:r w:rsidRPr="00BB0460">
              <w:rPr>
                <w:rFonts w:ascii="Abadi" w:hAnsi="Abadi" w:cs="Calibri"/>
                <w:spacing w:val="1"/>
                <w:sz w:val="21"/>
                <w:szCs w:val="21"/>
              </w:rPr>
              <w:t xml:space="preserve"> </w:t>
            </w:r>
            <w:r w:rsidRPr="00BB0460">
              <w:rPr>
                <w:rFonts w:ascii="Abadi" w:hAnsi="Abadi" w:cs="Calibri"/>
                <w:sz w:val="21"/>
                <w:szCs w:val="21"/>
              </w:rPr>
              <w:t>los</w:t>
            </w:r>
            <w:r w:rsidRPr="00BB0460">
              <w:rPr>
                <w:rFonts w:ascii="Abadi" w:hAnsi="Abadi" w:cs="Calibri"/>
                <w:spacing w:val="1"/>
                <w:sz w:val="21"/>
                <w:szCs w:val="21"/>
              </w:rPr>
              <w:t xml:space="preserve"> </w:t>
            </w:r>
            <w:r w:rsidRPr="00BB0460">
              <w:rPr>
                <w:rFonts w:ascii="Abadi" w:hAnsi="Abadi" w:cs="Calibri"/>
                <w:sz w:val="21"/>
                <w:szCs w:val="21"/>
              </w:rPr>
              <w:t>gobiernos</w:t>
            </w:r>
            <w:r w:rsidRPr="00BB0460">
              <w:rPr>
                <w:rFonts w:ascii="Abadi" w:hAnsi="Abadi" w:cs="Calibri"/>
                <w:spacing w:val="1"/>
                <w:sz w:val="21"/>
                <w:szCs w:val="21"/>
              </w:rPr>
              <w:t xml:space="preserve"> </w:t>
            </w:r>
            <w:r w:rsidRPr="00BB0460">
              <w:rPr>
                <w:rFonts w:ascii="Abadi" w:hAnsi="Abadi" w:cs="Calibri"/>
                <w:sz w:val="21"/>
                <w:szCs w:val="21"/>
              </w:rPr>
              <w:t>estatal</w:t>
            </w:r>
            <w:r w:rsidRPr="00BB0460">
              <w:rPr>
                <w:rFonts w:ascii="Abadi" w:hAnsi="Abadi" w:cs="Calibri"/>
                <w:spacing w:val="1"/>
                <w:sz w:val="21"/>
                <w:szCs w:val="21"/>
              </w:rPr>
              <w:t xml:space="preserve"> </w:t>
            </w:r>
            <w:r w:rsidRPr="00BB0460">
              <w:rPr>
                <w:rFonts w:ascii="Abadi" w:hAnsi="Abadi" w:cs="Calibri"/>
                <w:sz w:val="21"/>
                <w:szCs w:val="21"/>
              </w:rPr>
              <w:t>o</w:t>
            </w:r>
            <w:r w:rsidRPr="00BB0460">
              <w:rPr>
                <w:rFonts w:ascii="Abadi" w:hAnsi="Abadi" w:cs="Calibri"/>
                <w:spacing w:val="1"/>
                <w:sz w:val="21"/>
                <w:szCs w:val="21"/>
              </w:rPr>
              <w:t xml:space="preserve"> </w:t>
            </w:r>
            <w:r w:rsidRPr="00BB0460">
              <w:rPr>
                <w:rFonts w:ascii="Abadi" w:hAnsi="Abadi" w:cs="Calibri"/>
                <w:sz w:val="21"/>
                <w:szCs w:val="21"/>
              </w:rPr>
              <w:t>federal,</w:t>
            </w:r>
            <w:r w:rsidRPr="00BB0460">
              <w:rPr>
                <w:rFonts w:ascii="Abadi" w:hAnsi="Abadi" w:cs="Calibri"/>
                <w:spacing w:val="1"/>
                <w:sz w:val="21"/>
                <w:szCs w:val="21"/>
              </w:rPr>
              <w:t xml:space="preserve"> </w:t>
            </w:r>
            <w:r w:rsidRPr="00BB0460">
              <w:rPr>
                <w:rFonts w:ascii="Abadi" w:hAnsi="Abadi" w:cs="Calibri"/>
                <w:sz w:val="21"/>
                <w:szCs w:val="21"/>
              </w:rPr>
              <w:t>por</w:t>
            </w:r>
            <w:r w:rsidRPr="00BB0460">
              <w:rPr>
                <w:rFonts w:ascii="Abadi" w:hAnsi="Abadi" w:cs="Calibri"/>
                <w:spacing w:val="1"/>
                <w:sz w:val="21"/>
                <w:szCs w:val="21"/>
              </w:rPr>
              <w:t xml:space="preserve"> </w:t>
            </w:r>
            <w:r w:rsidRPr="00BB0460">
              <w:rPr>
                <w:rFonts w:ascii="Abadi" w:hAnsi="Abadi" w:cs="Calibri"/>
                <w:sz w:val="21"/>
                <w:szCs w:val="21"/>
              </w:rPr>
              <w:t>mandato de la Ley o que la naturaleza de sus</w:t>
            </w:r>
            <w:r w:rsidRPr="00BB0460">
              <w:rPr>
                <w:rFonts w:ascii="Abadi" w:hAnsi="Abadi" w:cs="Calibri"/>
                <w:spacing w:val="1"/>
                <w:sz w:val="21"/>
                <w:szCs w:val="21"/>
              </w:rPr>
              <w:t xml:space="preserve"> </w:t>
            </w:r>
            <w:r w:rsidRPr="00BB0460">
              <w:rPr>
                <w:rFonts w:ascii="Abadi" w:hAnsi="Abadi" w:cs="Calibri"/>
                <w:sz w:val="21"/>
                <w:szCs w:val="21"/>
              </w:rPr>
              <w:t>fines no</w:t>
            </w:r>
            <w:r w:rsidRPr="00BB0460">
              <w:rPr>
                <w:rFonts w:ascii="Abadi" w:hAnsi="Abadi" w:cs="Calibri"/>
                <w:spacing w:val="1"/>
                <w:sz w:val="21"/>
                <w:szCs w:val="21"/>
              </w:rPr>
              <w:t xml:space="preserve"> </w:t>
            </w:r>
            <w:r w:rsidRPr="00BB0460">
              <w:rPr>
                <w:rFonts w:ascii="Abadi" w:hAnsi="Abadi" w:cs="Calibri"/>
                <w:sz w:val="21"/>
                <w:szCs w:val="21"/>
              </w:rPr>
              <w:t>lo</w:t>
            </w:r>
            <w:r w:rsidRPr="00BB0460">
              <w:rPr>
                <w:rFonts w:ascii="Abadi" w:hAnsi="Abadi" w:cs="Calibri"/>
                <w:spacing w:val="1"/>
                <w:sz w:val="21"/>
                <w:szCs w:val="21"/>
              </w:rPr>
              <w:t xml:space="preserve"> </w:t>
            </w:r>
            <w:r w:rsidRPr="00BB0460">
              <w:rPr>
                <w:rFonts w:ascii="Abadi" w:hAnsi="Abadi" w:cs="Calibri"/>
                <w:sz w:val="21"/>
                <w:szCs w:val="21"/>
              </w:rPr>
              <w:t>permita;</w:t>
            </w:r>
          </w:p>
          <w:p w14:paraId="06E51A89" w14:textId="77777777" w:rsidR="00BB0460" w:rsidRPr="00BB0460" w:rsidRDefault="00BB0460" w:rsidP="00BB0460">
            <w:pPr>
              <w:tabs>
                <w:tab w:val="left" w:pos="596"/>
              </w:tabs>
              <w:kinsoku w:val="0"/>
              <w:overflowPunct w:val="0"/>
              <w:autoSpaceDE w:val="0"/>
              <w:autoSpaceDN w:val="0"/>
              <w:adjustRightInd w:val="0"/>
              <w:ind w:left="107" w:right="93"/>
              <w:jc w:val="both"/>
              <w:rPr>
                <w:rFonts w:ascii="Abadi" w:hAnsi="Abadi" w:cs="Calibri"/>
                <w:sz w:val="21"/>
                <w:szCs w:val="21"/>
              </w:rPr>
            </w:pPr>
          </w:p>
          <w:p w14:paraId="181E0E62" w14:textId="77777777" w:rsidR="00677B7E" w:rsidRPr="00BB0460" w:rsidRDefault="00677B7E" w:rsidP="00677B7E">
            <w:pPr>
              <w:numPr>
                <w:ilvl w:val="0"/>
                <w:numId w:val="9"/>
              </w:numPr>
              <w:tabs>
                <w:tab w:val="left" w:pos="555"/>
              </w:tabs>
              <w:kinsoku w:val="0"/>
              <w:overflowPunct w:val="0"/>
              <w:autoSpaceDE w:val="0"/>
              <w:autoSpaceDN w:val="0"/>
              <w:adjustRightInd w:val="0"/>
              <w:spacing w:line="270" w:lineRule="atLeast"/>
              <w:ind w:left="107" w:right="92" w:firstLine="0"/>
              <w:jc w:val="both"/>
              <w:rPr>
                <w:rFonts w:ascii="Abadi" w:hAnsi="Abadi" w:cs="Calibri"/>
                <w:sz w:val="21"/>
                <w:szCs w:val="21"/>
              </w:rPr>
            </w:pPr>
            <w:r w:rsidRPr="00BB0460">
              <w:rPr>
                <w:rFonts w:ascii="Abadi" w:hAnsi="Abadi" w:cs="Calibri"/>
                <w:sz w:val="21"/>
                <w:szCs w:val="21"/>
              </w:rPr>
              <w:t>La</w:t>
            </w:r>
            <w:r w:rsidRPr="00BB0460">
              <w:rPr>
                <w:rFonts w:ascii="Abadi" w:hAnsi="Abadi" w:cs="Calibri"/>
                <w:spacing w:val="1"/>
                <w:sz w:val="21"/>
                <w:szCs w:val="21"/>
              </w:rPr>
              <w:t xml:space="preserve"> </w:t>
            </w:r>
            <w:r w:rsidRPr="00BB0460">
              <w:rPr>
                <w:rFonts w:ascii="Abadi" w:hAnsi="Abadi" w:cs="Calibri"/>
                <w:sz w:val="21"/>
                <w:szCs w:val="21"/>
              </w:rPr>
              <w:t>modificación</w:t>
            </w:r>
            <w:r w:rsidRPr="00BB0460">
              <w:rPr>
                <w:rFonts w:ascii="Abadi" w:hAnsi="Abadi" w:cs="Calibri"/>
                <w:spacing w:val="1"/>
                <w:sz w:val="21"/>
                <w:szCs w:val="21"/>
              </w:rPr>
              <w:t xml:space="preserve"> </w:t>
            </w:r>
            <w:r w:rsidRPr="00BB0460">
              <w:rPr>
                <w:rFonts w:ascii="Abadi" w:hAnsi="Abadi" w:cs="Calibri"/>
                <w:sz w:val="21"/>
                <w:szCs w:val="21"/>
              </w:rPr>
              <w:t>o</w:t>
            </w:r>
            <w:r w:rsidRPr="00BB0460">
              <w:rPr>
                <w:rFonts w:ascii="Abadi" w:hAnsi="Abadi" w:cs="Calibri"/>
                <w:spacing w:val="1"/>
                <w:sz w:val="21"/>
                <w:szCs w:val="21"/>
              </w:rPr>
              <w:t xml:space="preserve"> </w:t>
            </w:r>
            <w:r w:rsidRPr="00BB0460">
              <w:rPr>
                <w:rFonts w:ascii="Abadi" w:hAnsi="Abadi" w:cs="Calibri"/>
                <w:sz w:val="21"/>
                <w:szCs w:val="21"/>
              </w:rPr>
              <w:t>extinción</w:t>
            </w:r>
            <w:r w:rsidRPr="00BB0460">
              <w:rPr>
                <w:rFonts w:ascii="Abadi" w:hAnsi="Abadi" w:cs="Calibri"/>
                <w:spacing w:val="1"/>
                <w:sz w:val="21"/>
                <w:szCs w:val="21"/>
              </w:rPr>
              <w:t xml:space="preserve"> </w:t>
            </w:r>
            <w:r w:rsidRPr="00BB0460">
              <w:rPr>
                <w:rFonts w:ascii="Abadi" w:hAnsi="Abadi" w:cs="Calibri"/>
                <w:sz w:val="21"/>
                <w:szCs w:val="21"/>
              </w:rPr>
              <w:t>de</w:t>
            </w:r>
            <w:r w:rsidRPr="00BB0460">
              <w:rPr>
                <w:rFonts w:ascii="Abadi" w:hAnsi="Abadi" w:cs="Calibri"/>
                <w:spacing w:val="1"/>
                <w:sz w:val="21"/>
                <w:szCs w:val="21"/>
              </w:rPr>
              <w:t xml:space="preserve"> </w:t>
            </w:r>
            <w:r w:rsidRPr="00BB0460">
              <w:rPr>
                <w:rFonts w:ascii="Abadi" w:hAnsi="Abadi" w:cs="Calibri"/>
                <w:sz w:val="21"/>
                <w:szCs w:val="21"/>
              </w:rPr>
              <w:t>los</w:t>
            </w:r>
            <w:r w:rsidRPr="00BB0460">
              <w:rPr>
                <w:rFonts w:ascii="Abadi" w:hAnsi="Abadi" w:cs="Calibri"/>
                <w:spacing w:val="1"/>
                <w:sz w:val="21"/>
                <w:szCs w:val="21"/>
              </w:rPr>
              <w:t xml:space="preserve"> </w:t>
            </w:r>
            <w:r w:rsidRPr="00BB0460">
              <w:rPr>
                <w:rFonts w:ascii="Abadi" w:hAnsi="Abadi" w:cs="Calibri"/>
                <w:sz w:val="21"/>
                <w:szCs w:val="21"/>
              </w:rPr>
              <w:t>fideicomisos públicos, cuando así convenga al</w:t>
            </w:r>
            <w:r w:rsidRPr="00BB0460">
              <w:rPr>
                <w:rFonts w:ascii="Abadi" w:hAnsi="Abadi" w:cs="Calibri"/>
                <w:spacing w:val="1"/>
                <w:sz w:val="21"/>
                <w:szCs w:val="21"/>
              </w:rPr>
              <w:t xml:space="preserve"> </w:t>
            </w:r>
            <w:r w:rsidRPr="00BB0460">
              <w:rPr>
                <w:rFonts w:ascii="Abadi" w:hAnsi="Abadi" w:cs="Calibri"/>
                <w:sz w:val="21"/>
                <w:szCs w:val="21"/>
              </w:rPr>
              <w:t>interés</w:t>
            </w:r>
            <w:r w:rsidRPr="00BB0460">
              <w:rPr>
                <w:rFonts w:ascii="Abadi" w:hAnsi="Abadi" w:cs="Calibri"/>
                <w:spacing w:val="1"/>
                <w:sz w:val="21"/>
                <w:szCs w:val="21"/>
              </w:rPr>
              <w:t xml:space="preserve"> </w:t>
            </w:r>
            <w:r w:rsidRPr="00BB0460">
              <w:rPr>
                <w:rFonts w:ascii="Abadi" w:hAnsi="Abadi" w:cs="Calibri"/>
                <w:sz w:val="21"/>
                <w:szCs w:val="21"/>
              </w:rPr>
              <w:t>general,</w:t>
            </w:r>
            <w:r w:rsidRPr="00BB0460">
              <w:rPr>
                <w:rFonts w:ascii="Abadi" w:hAnsi="Abadi" w:cs="Calibri"/>
                <w:spacing w:val="1"/>
                <w:sz w:val="21"/>
                <w:szCs w:val="21"/>
              </w:rPr>
              <w:t xml:space="preserve"> </w:t>
            </w:r>
            <w:r w:rsidRPr="00BB0460">
              <w:rPr>
                <w:rFonts w:ascii="Abadi" w:hAnsi="Abadi" w:cs="Calibri"/>
                <w:sz w:val="21"/>
                <w:szCs w:val="21"/>
              </w:rPr>
              <w:t>corresponderá</w:t>
            </w:r>
            <w:r w:rsidRPr="00BB0460">
              <w:rPr>
                <w:rFonts w:ascii="Abadi" w:hAnsi="Abadi" w:cs="Calibri"/>
                <w:spacing w:val="1"/>
                <w:sz w:val="21"/>
                <w:szCs w:val="21"/>
              </w:rPr>
              <w:t xml:space="preserve"> </w:t>
            </w:r>
            <w:r w:rsidRPr="00BB0460">
              <w:rPr>
                <w:rFonts w:ascii="Abadi" w:hAnsi="Abadi" w:cs="Calibri"/>
                <w:sz w:val="21"/>
                <w:szCs w:val="21"/>
              </w:rPr>
              <w:t>al</w:t>
            </w:r>
            <w:r w:rsidRPr="00BB0460">
              <w:rPr>
                <w:rFonts w:ascii="Abadi" w:hAnsi="Abadi" w:cs="Calibri"/>
                <w:spacing w:val="-47"/>
                <w:sz w:val="21"/>
                <w:szCs w:val="21"/>
              </w:rPr>
              <w:t xml:space="preserve"> </w:t>
            </w:r>
            <w:r w:rsidRPr="00BB0460">
              <w:rPr>
                <w:rFonts w:ascii="Abadi" w:hAnsi="Abadi" w:cs="Calibri"/>
                <w:sz w:val="21"/>
                <w:szCs w:val="21"/>
              </w:rPr>
              <w:t>Ayuntamiento,</w:t>
            </w:r>
            <w:r w:rsidRPr="00BB0460">
              <w:rPr>
                <w:rFonts w:ascii="Abadi" w:hAnsi="Abadi" w:cs="Calibri"/>
                <w:spacing w:val="43"/>
                <w:sz w:val="21"/>
                <w:szCs w:val="21"/>
              </w:rPr>
              <w:t xml:space="preserve"> </w:t>
            </w:r>
            <w:r w:rsidRPr="00BB0460">
              <w:rPr>
                <w:rFonts w:ascii="Abadi" w:hAnsi="Abadi" w:cs="Calibri"/>
                <w:sz w:val="21"/>
                <w:szCs w:val="21"/>
              </w:rPr>
              <w:t>debiendo</w:t>
            </w:r>
            <w:r w:rsidRPr="00BB0460">
              <w:rPr>
                <w:rFonts w:ascii="Abadi" w:hAnsi="Abadi" w:cs="Calibri"/>
                <w:spacing w:val="42"/>
                <w:sz w:val="21"/>
                <w:szCs w:val="21"/>
              </w:rPr>
              <w:t xml:space="preserve"> </w:t>
            </w:r>
            <w:r w:rsidRPr="00BB0460">
              <w:rPr>
                <w:rFonts w:ascii="Abadi" w:hAnsi="Abadi" w:cs="Calibri"/>
                <w:sz w:val="21"/>
                <w:szCs w:val="21"/>
              </w:rPr>
              <w:t>en</w:t>
            </w:r>
            <w:r w:rsidRPr="00BB0460">
              <w:rPr>
                <w:rFonts w:ascii="Abadi" w:hAnsi="Abadi" w:cs="Calibri"/>
                <w:spacing w:val="43"/>
                <w:sz w:val="21"/>
                <w:szCs w:val="21"/>
              </w:rPr>
              <w:t xml:space="preserve"> </w:t>
            </w:r>
            <w:r w:rsidRPr="00BB0460">
              <w:rPr>
                <w:rFonts w:ascii="Abadi" w:hAnsi="Abadi" w:cs="Calibri"/>
                <w:sz w:val="21"/>
                <w:szCs w:val="21"/>
              </w:rPr>
              <w:t>todo</w:t>
            </w:r>
            <w:r w:rsidRPr="00BB0460">
              <w:rPr>
                <w:rFonts w:ascii="Abadi" w:hAnsi="Abadi" w:cs="Calibri"/>
                <w:spacing w:val="42"/>
                <w:sz w:val="21"/>
                <w:szCs w:val="21"/>
              </w:rPr>
              <w:t xml:space="preserve"> </w:t>
            </w:r>
            <w:r w:rsidRPr="00BB0460">
              <w:rPr>
                <w:rFonts w:ascii="Abadi" w:hAnsi="Abadi" w:cs="Calibri"/>
                <w:sz w:val="21"/>
                <w:szCs w:val="21"/>
              </w:rPr>
              <w:t>caso</w:t>
            </w:r>
          </w:p>
        </w:tc>
      </w:tr>
      <w:tr w:rsidR="00677B7E" w:rsidRPr="00401C70" w14:paraId="58E7C0FB" w14:textId="77777777" w:rsidTr="00EE3E2D">
        <w:trPr>
          <w:trHeight w:val="6713"/>
        </w:trPr>
        <w:tc>
          <w:tcPr>
            <w:tcW w:w="2500" w:type="pct"/>
            <w:tcBorders>
              <w:top w:val="single" w:sz="4" w:space="0" w:color="000000"/>
              <w:left w:val="single" w:sz="4" w:space="0" w:color="000000"/>
              <w:bottom w:val="single" w:sz="4" w:space="0" w:color="000000"/>
              <w:right w:val="single" w:sz="4" w:space="0" w:color="000000"/>
            </w:tcBorders>
          </w:tcPr>
          <w:p w14:paraId="166488C9" w14:textId="77777777" w:rsidR="00677B7E" w:rsidRPr="00401C70" w:rsidRDefault="00677B7E" w:rsidP="00FA2590">
            <w:pPr>
              <w:kinsoku w:val="0"/>
              <w:overflowPunct w:val="0"/>
              <w:autoSpaceDE w:val="0"/>
              <w:autoSpaceDN w:val="0"/>
              <w:adjustRightInd w:val="0"/>
              <w:ind w:left="107" w:right="93"/>
              <w:jc w:val="both"/>
              <w:rPr>
                <w:rFonts w:ascii="Abadi" w:hAnsi="Abadi" w:cs="Calibri"/>
                <w:b/>
                <w:bCs/>
                <w:sz w:val="21"/>
                <w:szCs w:val="21"/>
              </w:rPr>
            </w:pPr>
            <w:r w:rsidRPr="00401C70">
              <w:rPr>
                <w:rFonts w:ascii="Abadi" w:hAnsi="Abadi" w:cs="Calibri"/>
                <w:b/>
                <w:bCs/>
                <w:sz w:val="21"/>
                <w:szCs w:val="21"/>
              </w:rPr>
              <w:lastRenderedPageBreak/>
              <w:t>establecer el destino de los bienes fideicomitidos;</w:t>
            </w:r>
          </w:p>
          <w:p w14:paraId="29E047FC" w14:textId="77777777" w:rsidR="00677B7E" w:rsidRPr="00401C70" w:rsidRDefault="00677B7E" w:rsidP="00677B7E">
            <w:pPr>
              <w:numPr>
                <w:ilvl w:val="0"/>
                <w:numId w:val="7"/>
              </w:numPr>
              <w:tabs>
                <w:tab w:val="left" w:pos="408"/>
              </w:tabs>
              <w:kinsoku w:val="0"/>
              <w:overflowPunct w:val="0"/>
              <w:autoSpaceDE w:val="0"/>
              <w:autoSpaceDN w:val="0"/>
              <w:adjustRightInd w:val="0"/>
              <w:ind w:left="107" w:right="94" w:firstLine="0"/>
              <w:jc w:val="both"/>
              <w:rPr>
                <w:rFonts w:ascii="Abadi" w:hAnsi="Abadi" w:cs="Calibri"/>
                <w:b/>
                <w:bCs/>
                <w:sz w:val="21"/>
                <w:szCs w:val="21"/>
              </w:rPr>
            </w:pPr>
            <w:r w:rsidRPr="00401C70">
              <w:rPr>
                <w:rFonts w:ascii="Abadi" w:hAnsi="Abadi" w:cs="Calibri"/>
                <w:b/>
                <w:bCs/>
                <w:sz w:val="21"/>
                <w:szCs w:val="21"/>
              </w:rPr>
              <w:t>Los fideicomisos públicos a través de su Comité Técnico, deberán de rendir al Ayuntamiento un informe trimestral sobre la administración y aplicación de los recursos aportados al fideicomiso; y</w:t>
            </w:r>
          </w:p>
          <w:p w14:paraId="1C365488" w14:textId="77777777" w:rsidR="00677B7E" w:rsidRPr="00401C70" w:rsidRDefault="00677B7E" w:rsidP="00677B7E">
            <w:pPr>
              <w:numPr>
                <w:ilvl w:val="0"/>
                <w:numId w:val="7"/>
              </w:numPr>
              <w:tabs>
                <w:tab w:val="left" w:pos="607"/>
              </w:tabs>
              <w:kinsoku w:val="0"/>
              <w:overflowPunct w:val="0"/>
              <w:autoSpaceDE w:val="0"/>
              <w:autoSpaceDN w:val="0"/>
              <w:adjustRightInd w:val="0"/>
              <w:spacing w:before="1"/>
              <w:ind w:left="107" w:right="95" w:firstLine="0"/>
              <w:jc w:val="both"/>
              <w:rPr>
                <w:rFonts w:ascii="Abadi" w:hAnsi="Abadi" w:cs="Calibri"/>
                <w:b/>
                <w:bCs/>
                <w:sz w:val="21"/>
                <w:szCs w:val="21"/>
              </w:rPr>
            </w:pPr>
            <w:r w:rsidRPr="00401C70">
              <w:rPr>
                <w:rFonts w:ascii="Abadi" w:hAnsi="Abadi" w:cs="Calibri"/>
                <w:b/>
                <w:bCs/>
                <w:sz w:val="21"/>
                <w:szCs w:val="21"/>
              </w:rPr>
              <w:t>En los contratos constitutivos de fideicomisos se establecerá la obligación de observar los requisitos y formalidades señalados en esta Ley, para la enajenación de</w:t>
            </w:r>
          </w:p>
          <w:p w14:paraId="6B55B1E8" w14:textId="77777777" w:rsidR="00677B7E" w:rsidRPr="00401C70" w:rsidRDefault="00677B7E" w:rsidP="00FA2590">
            <w:pPr>
              <w:kinsoku w:val="0"/>
              <w:overflowPunct w:val="0"/>
              <w:autoSpaceDE w:val="0"/>
              <w:autoSpaceDN w:val="0"/>
              <w:adjustRightInd w:val="0"/>
              <w:ind w:left="107" w:right="93"/>
              <w:jc w:val="both"/>
              <w:rPr>
                <w:rFonts w:ascii="Abadi" w:hAnsi="Abadi" w:cs="Calibri"/>
                <w:b/>
                <w:bCs/>
                <w:sz w:val="21"/>
                <w:szCs w:val="21"/>
              </w:rPr>
            </w:pPr>
            <w:r w:rsidRPr="00401C70">
              <w:rPr>
                <w:rFonts w:ascii="Abadi" w:hAnsi="Abadi" w:cs="Calibri"/>
                <w:b/>
                <w:bCs/>
                <w:sz w:val="21"/>
                <w:szCs w:val="21"/>
              </w:rPr>
              <w:t>los bienes de propiedad municipal.</w:t>
            </w:r>
          </w:p>
        </w:tc>
        <w:tc>
          <w:tcPr>
            <w:tcW w:w="2500" w:type="pct"/>
            <w:tcBorders>
              <w:top w:val="single" w:sz="4" w:space="0" w:color="000000"/>
              <w:left w:val="single" w:sz="4" w:space="0" w:color="000000"/>
              <w:bottom w:val="single" w:sz="4" w:space="0" w:color="000000"/>
              <w:right w:val="single" w:sz="4" w:space="0" w:color="000000"/>
            </w:tcBorders>
          </w:tcPr>
          <w:p w14:paraId="5196FC94" w14:textId="77777777" w:rsidR="00677B7E" w:rsidRPr="00401C70" w:rsidRDefault="00677B7E" w:rsidP="00FA2590">
            <w:pPr>
              <w:kinsoku w:val="0"/>
              <w:overflowPunct w:val="0"/>
              <w:autoSpaceDE w:val="0"/>
              <w:autoSpaceDN w:val="0"/>
              <w:adjustRightInd w:val="0"/>
              <w:ind w:left="107" w:right="93"/>
              <w:jc w:val="both"/>
              <w:rPr>
                <w:rFonts w:ascii="Abadi" w:hAnsi="Abadi" w:cs="Calibri"/>
                <w:b/>
                <w:bCs/>
                <w:sz w:val="21"/>
                <w:szCs w:val="21"/>
              </w:rPr>
            </w:pPr>
            <w:r w:rsidRPr="00401C70">
              <w:rPr>
                <w:rFonts w:ascii="Abadi" w:hAnsi="Abadi" w:cs="Calibri"/>
                <w:b/>
                <w:bCs/>
                <w:sz w:val="21"/>
                <w:szCs w:val="21"/>
              </w:rPr>
              <w:t>establecer el destino de los bienes fideicomitidos;</w:t>
            </w:r>
          </w:p>
          <w:p w14:paraId="286497CD" w14:textId="77777777" w:rsidR="00677B7E" w:rsidRPr="00401C70" w:rsidRDefault="00677B7E" w:rsidP="00677B7E">
            <w:pPr>
              <w:numPr>
                <w:ilvl w:val="0"/>
                <w:numId w:val="9"/>
              </w:numPr>
              <w:tabs>
                <w:tab w:val="left" w:pos="408"/>
              </w:tabs>
              <w:kinsoku w:val="0"/>
              <w:overflowPunct w:val="0"/>
              <w:autoSpaceDE w:val="0"/>
              <w:autoSpaceDN w:val="0"/>
              <w:adjustRightInd w:val="0"/>
              <w:ind w:left="107" w:right="94" w:firstLine="0"/>
              <w:jc w:val="both"/>
              <w:rPr>
                <w:rFonts w:ascii="Abadi" w:hAnsi="Abadi" w:cs="Calibri"/>
                <w:b/>
                <w:bCs/>
                <w:sz w:val="21"/>
                <w:szCs w:val="21"/>
              </w:rPr>
            </w:pPr>
            <w:r w:rsidRPr="00401C70">
              <w:rPr>
                <w:rFonts w:ascii="Abadi" w:hAnsi="Abadi" w:cs="Calibri"/>
                <w:b/>
                <w:bCs/>
                <w:sz w:val="21"/>
                <w:szCs w:val="21"/>
              </w:rPr>
              <w:t>Los fideicomisos públicos a través de su Comité Técnico, deberán de rendir al Ayuntamiento un informe trimestral sobre la administración y aplicación de los recursos aportados al fideicomiso; y</w:t>
            </w:r>
          </w:p>
          <w:p w14:paraId="36206BBD" w14:textId="77777777" w:rsidR="00677B7E" w:rsidRPr="00401C70" w:rsidRDefault="00677B7E" w:rsidP="00677B7E">
            <w:pPr>
              <w:numPr>
                <w:ilvl w:val="0"/>
                <w:numId w:val="9"/>
              </w:numPr>
              <w:tabs>
                <w:tab w:val="left" w:pos="608"/>
              </w:tabs>
              <w:kinsoku w:val="0"/>
              <w:overflowPunct w:val="0"/>
              <w:autoSpaceDE w:val="0"/>
              <w:autoSpaceDN w:val="0"/>
              <w:adjustRightInd w:val="0"/>
              <w:spacing w:before="1"/>
              <w:ind w:left="107" w:right="94" w:firstLine="0"/>
              <w:jc w:val="both"/>
              <w:rPr>
                <w:rFonts w:ascii="Abadi" w:hAnsi="Abadi" w:cs="Calibri"/>
                <w:b/>
                <w:bCs/>
                <w:sz w:val="21"/>
                <w:szCs w:val="21"/>
              </w:rPr>
            </w:pPr>
            <w:r w:rsidRPr="00401C70">
              <w:rPr>
                <w:rFonts w:ascii="Abadi" w:hAnsi="Abadi" w:cs="Calibri"/>
                <w:b/>
                <w:bCs/>
                <w:sz w:val="21"/>
                <w:szCs w:val="21"/>
              </w:rPr>
              <w:t>En los contratos constitutivos de fideicomisos se establecerá la obligación de observar los requisitos y formalidades señalados en esta Ley, para la enajenación de</w:t>
            </w:r>
          </w:p>
          <w:p w14:paraId="14D20A74" w14:textId="77777777" w:rsidR="00677B7E" w:rsidRPr="00401C70" w:rsidRDefault="00677B7E" w:rsidP="00FA2590">
            <w:pPr>
              <w:kinsoku w:val="0"/>
              <w:overflowPunct w:val="0"/>
              <w:autoSpaceDE w:val="0"/>
              <w:autoSpaceDN w:val="0"/>
              <w:adjustRightInd w:val="0"/>
              <w:ind w:left="107" w:right="93"/>
              <w:jc w:val="both"/>
              <w:rPr>
                <w:rFonts w:ascii="Abadi" w:hAnsi="Abadi" w:cs="Calibri"/>
                <w:b/>
                <w:bCs/>
                <w:sz w:val="21"/>
                <w:szCs w:val="21"/>
              </w:rPr>
            </w:pPr>
            <w:r w:rsidRPr="00401C70">
              <w:rPr>
                <w:rFonts w:ascii="Abadi" w:hAnsi="Abadi" w:cs="Calibri"/>
                <w:b/>
                <w:bCs/>
                <w:sz w:val="21"/>
                <w:szCs w:val="21"/>
              </w:rPr>
              <w:t>los bienes de propiedad municipal.</w:t>
            </w:r>
          </w:p>
        </w:tc>
      </w:tr>
      <w:tr w:rsidR="00677B7E" w:rsidRPr="00401C70" w14:paraId="3428F1A8" w14:textId="77777777" w:rsidTr="00EE3E2D">
        <w:trPr>
          <w:trHeight w:val="6713"/>
        </w:trPr>
        <w:tc>
          <w:tcPr>
            <w:tcW w:w="2500" w:type="pct"/>
            <w:tcBorders>
              <w:top w:val="single" w:sz="4" w:space="0" w:color="000000"/>
              <w:left w:val="single" w:sz="4" w:space="0" w:color="000000"/>
              <w:bottom w:val="single" w:sz="4" w:space="0" w:color="000000"/>
              <w:right w:val="single" w:sz="4" w:space="0" w:color="000000"/>
            </w:tcBorders>
          </w:tcPr>
          <w:p w14:paraId="4DE349E7" w14:textId="77777777" w:rsidR="00677B7E" w:rsidRPr="00401C70" w:rsidRDefault="00677B7E" w:rsidP="00FA2590">
            <w:pPr>
              <w:kinsoku w:val="0"/>
              <w:overflowPunct w:val="0"/>
              <w:autoSpaceDE w:val="0"/>
              <w:autoSpaceDN w:val="0"/>
              <w:adjustRightInd w:val="0"/>
              <w:ind w:left="107" w:right="93"/>
              <w:jc w:val="both"/>
              <w:rPr>
                <w:rFonts w:ascii="Abadi" w:hAnsi="Abadi" w:cs="Calibri"/>
                <w:b/>
                <w:bCs/>
                <w:sz w:val="21"/>
                <w:szCs w:val="21"/>
              </w:rPr>
            </w:pPr>
            <w:r w:rsidRPr="00401C70">
              <w:rPr>
                <w:rFonts w:ascii="Abadi" w:hAnsi="Abadi" w:cs="Calibri"/>
                <w:b/>
                <w:bCs/>
                <w:sz w:val="21"/>
                <w:szCs w:val="21"/>
              </w:rPr>
              <w:t>Artículo 160. El Comité Técnico deberá estar integrado por lo menos con los siguientes propietarios:</w:t>
            </w:r>
          </w:p>
          <w:p w14:paraId="23971243" w14:textId="77777777" w:rsidR="00677B7E" w:rsidRPr="00401C70" w:rsidRDefault="00677B7E" w:rsidP="00FA2590">
            <w:pPr>
              <w:kinsoku w:val="0"/>
              <w:overflowPunct w:val="0"/>
              <w:autoSpaceDE w:val="0"/>
              <w:autoSpaceDN w:val="0"/>
              <w:adjustRightInd w:val="0"/>
              <w:ind w:left="107" w:right="93"/>
              <w:jc w:val="both"/>
              <w:rPr>
                <w:rFonts w:ascii="Abadi" w:hAnsi="Abadi" w:cs="Calibri"/>
                <w:b/>
                <w:bCs/>
                <w:sz w:val="21"/>
                <w:szCs w:val="21"/>
              </w:rPr>
            </w:pPr>
          </w:p>
          <w:p w14:paraId="75A46B07" w14:textId="77777777" w:rsidR="00677B7E" w:rsidRPr="00401C70" w:rsidRDefault="00677B7E" w:rsidP="00677B7E">
            <w:pPr>
              <w:numPr>
                <w:ilvl w:val="0"/>
                <w:numId w:val="8"/>
              </w:numPr>
              <w:tabs>
                <w:tab w:val="left" w:pos="358"/>
              </w:tabs>
              <w:kinsoku w:val="0"/>
              <w:overflowPunct w:val="0"/>
              <w:autoSpaceDE w:val="0"/>
              <w:autoSpaceDN w:val="0"/>
              <w:adjustRightInd w:val="0"/>
              <w:ind w:left="107" w:right="95" w:firstLine="0"/>
              <w:jc w:val="both"/>
              <w:rPr>
                <w:rFonts w:ascii="Abadi" w:hAnsi="Abadi" w:cs="Calibri"/>
                <w:b/>
                <w:bCs/>
                <w:sz w:val="21"/>
                <w:szCs w:val="21"/>
              </w:rPr>
            </w:pPr>
            <w:r w:rsidRPr="00401C70">
              <w:rPr>
                <w:rFonts w:ascii="Abadi" w:hAnsi="Abadi" w:cs="Calibri"/>
                <w:b/>
                <w:bCs/>
                <w:sz w:val="21"/>
                <w:szCs w:val="21"/>
              </w:rPr>
              <w:t>El síndico municipal o uno de ellos, en aquellos ayuntamientos que tengan dos;</w:t>
            </w:r>
          </w:p>
          <w:p w14:paraId="3FAAF1D1" w14:textId="77777777" w:rsidR="00677B7E" w:rsidRPr="00401C70" w:rsidRDefault="00677B7E" w:rsidP="00677B7E">
            <w:pPr>
              <w:numPr>
                <w:ilvl w:val="0"/>
                <w:numId w:val="8"/>
              </w:numPr>
              <w:tabs>
                <w:tab w:val="left" w:pos="396"/>
              </w:tabs>
              <w:kinsoku w:val="0"/>
              <w:overflowPunct w:val="0"/>
              <w:autoSpaceDE w:val="0"/>
              <w:autoSpaceDN w:val="0"/>
              <w:adjustRightInd w:val="0"/>
              <w:ind w:left="107" w:right="91" w:firstLine="0"/>
              <w:jc w:val="both"/>
              <w:rPr>
                <w:rFonts w:ascii="Abadi" w:hAnsi="Abadi" w:cs="Calibri"/>
                <w:b/>
                <w:bCs/>
                <w:sz w:val="21"/>
                <w:szCs w:val="21"/>
              </w:rPr>
            </w:pPr>
            <w:r w:rsidRPr="00401C70">
              <w:rPr>
                <w:rFonts w:ascii="Abadi" w:hAnsi="Abadi" w:cs="Calibri"/>
                <w:b/>
                <w:bCs/>
                <w:sz w:val="21"/>
                <w:szCs w:val="21"/>
              </w:rPr>
              <w:t>Un representante de las dependencias o entidades de la administración pública municipal que de acuerdo con los fines del fideicomiso deba intervenir;</w:t>
            </w:r>
          </w:p>
          <w:p w14:paraId="1C0BA596" w14:textId="77777777" w:rsidR="00677B7E" w:rsidRPr="00401C70" w:rsidRDefault="00677B7E" w:rsidP="00677B7E">
            <w:pPr>
              <w:numPr>
                <w:ilvl w:val="0"/>
                <w:numId w:val="8"/>
              </w:numPr>
              <w:tabs>
                <w:tab w:val="left" w:pos="389"/>
              </w:tabs>
              <w:kinsoku w:val="0"/>
              <w:overflowPunct w:val="0"/>
              <w:autoSpaceDE w:val="0"/>
              <w:autoSpaceDN w:val="0"/>
              <w:adjustRightInd w:val="0"/>
              <w:spacing w:line="268" w:lineRule="exact"/>
              <w:ind w:left="388" w:hanging="282"/>
              <w:jc w:val="both"/>
              <w:rPr>
                <w:rFonts w:ascii="Abadi" w:hAnsi="Abadi" w:cs="Calibri"/>
                <w:b/>
                <w:bCs/>
                <w:sz w:val="21"/>
                <w:szCs w:val="21"/>
              </w:rPr>
            </w:pPr>
            <w:r w:rsidRPr="00401C70">
              <w:rPr>
                <w:rFonts w:ascii="Abadi" w:hAnsi="Abadi" w:cs="Calibri"/>
                <w:b/>
                <w:bCs/>
                <w:sz w:val="21"/>
                <w:szCs w:val="21"/>
              </w:rPr>
              <w:t>Un representante de la Tesorería Municipal;</w:t>
            </w:r>
          </w:p>
          <w:p w14:paraId="05DC29FC" w14:textId="77777777" w:rsidR="00677B7E" w:rsidRPr="00401C70" w:rsidRDefault="00677B7E" w:rsidP="00677B7E">
            <w:pPr>
              <w:numPr>
                <w:ilvl w:val="0"/>
                <w:numId w:val="8"/>
              </w:numPr>
              <w:tabs>
                <w:tab w:val="left" w:pos="564"/>
              </w:tabs>
              <w:kinsoku w:val="0"/>
              <w:overflowPunct w:val="0"/>
              <w:autoSpaceDE w:val="0"/>
              <w:autoSpaceDN w:val="0"/>
              <w:adjustRightInd w:val="0"/>
              <w:spacing w:before="1"/>
              <w:ind w:left="107" w:right="93" w:firstLine="0"/>
              <w:jc w:val="both"/>
              <w:rPr>
                <w:rFonts w:ascii="Abadi" w:hAnsi="Abadi" w:cs="Calibri"/>
                <w:b/>
                <w:bCs/>
                <w:sz w:val="21"/>
                <w:szCs w:val="21"/>
              </w:rPr>
            </w:pPr>
            <w:r w:rsidRPr="00401C70">
              <w:rPr>
                <w:rFonts w:ascii="Abadi" w:hAnsi="Abadi" w:cs="Calibri"/>
                <w:b/>
                <w:bCs/>
                <w:sz w:val="21"/>
                <w:szCs w:val="21"/>
              </w:rPr>
              <w:t>Un representante de la Contraloría Municipal; y</w:t>
            </w:r>
          </w:p>
          <w:p w14:paraId="6A436EC1" w14:textId="77777777" w:rsidR="00677B7E" w:rsidRPr="00401C70" w:rsidRDefault="00677B7E" w:rsidP="00677B7E">
            <w:pPr>
              <w:numPr>
                <w:ilvl w:val="0"/>
                <w:numId w:val="8"/>
              </w:numPr>
              <w:tabs>
                <w:tab w:val="left" w:pos="348"/>
              </w:tabs>
              <w:kinsoku w:val="0"/>
              <w:overflowPunct w:val="0"/>
              <w:autoSpaceDE w:val="0"/>
              <w:autoSpaceDN w:val="0"/>
              <w:adjustRightInd w:val="0"/>
              <w:ind w:left="347" w:hanging="241"/>
              <w:jc w:val="both"/>
              <w:rPr>
                <w:rFonts w:ascii="Abadi" w:hAnsi="Abadi" w:cs="Calibri"/>
                <w:b/>
                <w:bCs/>
                <w:sz w:val="21"/>
                <w:szCs w:val="21"/>
              </w:rPr>
            </w:pPr>
            <w:r w:rsidRPr="00401C70">
              <w:rPr>
                <w:rFonts w:ascii="Abadi" w:hAnsi="Abadi" w:cs="Calibri"/>
                <w:b/>
                <w:bCs/>
                <w:sz w:val="21"/>
                <w:szCs w:val="21"/>
              </w:rPr>
              <w:t>Un representante del fiduciario.</w:t>
            </w:r>
          </w:p>
          <w:p w14:paraId="37FCC385" w14:textId="77777777" w:rsidR="00677B7E" w:rsidRPr="00401C70" w:rsidRDefault="00677B7E" w:rsidP="00FA2590">
            <w:pPr>
              <w:kinsoku w:val="0"/>
              <w:overflowPunct w:val="0"/>
              <w:autoSpaceDE w:val="0"/>
              <w:autoSpaceDN w:val="0"/>
              <w:adjustRightInd w:val="0"/>
              <w:ind w:left="107" w:right="93"/>
              <w:jc w:val="both"/>
              <w:rPr>
                <w:rFonts w:ascii="Abadi" w:hAnsi="Abadi" w:cs="Calibri"/>
                <w:b/>
                <w:bCs/>
                <w:sz w:val="21"/>
                <w:szCs w:val="21"/>
              </w:rPr>
            </w:pPr>
            <w:r w:rsidRPr="00401C70">
              <w:rPr>
                <w:rFonts w:ascii="Abadi" w:hAnsi="Abadi" w:cs="Calibri"/>
                <w:b/>
                <w:bCs/>
                <w:sz w:val="21"/>
                <w:szCs w:val="21"/>
              </w:rPr>
              <w:t>Por cada miembro propietario del Comité Técnico habrá un suplente que lo cubrirá en sus ausencias.</w:t>
            </w:r>
          </w:p>
          <w:p w14:paraId="76E5A43F" w14:textId="77777777" w:rsidR="00677B7E" w:rsidRPr="00401C70" w:rsidRDefault="00677B7E" w:rsidP="00FA2590">
            <w:pPr>
              <w:kinsoku w:val="0"/>
              <w:overflowPunct w:val="0"/>
              <w:autoSpaceDE w:val="0"/>
              <w:autoSpaceDN w:val="0"/>
              <w:adjustRightInd w:val="0"/>
              <w:ind w:left="107" w:right="93"/>
              <w:jc w:val="both"/>
              <w:rPr>
                <w:rFonts w:ascii="Abadi" w:hAnsi="Abadi" w:cs="Calibri"/>
                <w:b/>
                <w:bCs/>
                <w:sz w:val="21"/>
                <w:szCs w:val="21"/>
              </w:rPr>
            </w:pPr>
          </w:p>
          <w:p w14:paraId="62DB0A68" w14:textId="77777777" w:rsidR="00677B7E" w:rsidRPr="00401C70" w:rsidRDefault="00677B7E" w:rsidP="00FA2590">
            <w:pPr>
              <w:kinsoku w:val="0"/>
              <w:overflowPunct w:val="0"/>
              <w:autoSpaceDE w:val="0"/>
              <w:autoSpaceDN w:val="0"/>
              <w:adjustRightInd w:val="0"/>
              <w:ind w:left="107" w:right="93"/>
              <w:jc w:val="both"/>
              <w:rPr>
                <w:rFonts w:ascii="Abadi" w:hAnsi="Abadi" w:cs="Calibri"/>
                <w:b/>
                <w:bCs/>
                <w:sz w:val="21"/>
                <w:szCs w:val="21"/>
              </w:rPr>
            </w:pPr>
            <w:r w:rsidRPr="00401C70">
              <w:rPr>
                <w:rFonts w:ascii="Abadi" w:hAnsi="Abadi" w:cs="Calibri"/>
                <w:b/>
                <w:bCs/>
                <w:sz w:val="21"/>
                <w:szCs w:val="21"/>
              </w:rPr>
              <w:t>El representante de la Contraloría Municipal participará con voz pero sin voto.</w:t>
            </w:r>
          </w:p>
          <w:p w14:paraId="082B2C00" w14:textId="77777777" w:rsidR="00677B7E" w:rsidRPr="00401C70" w:rsidRDefault="00677B7E" w:rsidP="00FA2590">
            <w:pPr>
              <w:kinsoku w:val="0"/>
              <w:overflowPunct w:val="0"/>
              <w:autoSpaceDE w:val="0"/>
              <w:autoSpaceDN w:val="0"/>
              <w:adjustRightInd w:val="0"/>
              <w:ind w:left="107" w:right="93"/>
              <w:jc w:val="both"/>
              <w:rPr>
                <w:rFonts w:ascii="Abadi" w:hAnsi="Abadi" w:cs="Calibri"/>
                <w:b/>
                <w:bCs/>
                <w:sz w:val="21"/>
                <w:szCs w:val="21"/>
              </w:rPr>
            </w:pPr>
          </w:p>
          <w:p w14:paraId="7B43A4E8" w14:textId="77777777" w:rsidR="00677B7E" w:rsidRPr="00401C70" w:rsidRDefault="00677B7E" w:rsidP="00FA2590">
            <w:pPr>
              <w:kinsoku w:val="0"/>
              <w:overflowPunct w:val="0"/>
              <w:autoSpaceDE w:val="0"/>
              <w:autoSpaceDN w:val="0"/>
              <w:adjustRightInd w:val="0"/>
              <w:ind w:left="107" w:right="93"/>
              <w:jc w:val="both"/>
              <w:rPr>
                <w:rFonts w:ascii="Abadi" w:hAnsi="Abadi" w:cs="Calibri"/>
                <w:b/>
                <w:bCs/>
                <w:sz w:val="21"/>
                <w:szCs w:val="21"/>
              </w:rPr>
            </w:pPr>
            <w:r w:rsidRPr="00401C70">
              <w:rPr>
                <w:rFonts w:ascii="Abadi" w:hAnsi="Abadi" w:cs="Calibri"/>
                <w:b/>
                <w:bCs/>
                <w:sz w:val="21"/>
                <w:szCs w:val="21"/>
              </w:rPr>
              <w:t xml:space="preserve">Los miembros del Comité Técnico serán nombrados y removidos por el Ayuntamiento, a excepción del representante </w:t>
            </w:r>
            <w:r w:rsidRPr="00401C70">
              <w:rPr>
                <w:rFonts w:ascii="Abadi" w:hAnsi="Abadi" w:cs="Calibri"/>
                <w:b/>
                <w:bCs/>
                <w:sz w:val="21"/>
                <w:szCs w:val="21"/>
              </w:rPr>
              <w:lastRenderedPageBreak/>
              <w:t>fiduciario, cuyo nombramiento y remoción corresponderá a la</w:t>
            </w:r>
          </w:p>
          <w:p w14:paraId="6D1A5F3A" w14:textId="77777777" w:rsidR="00677B7E" w:rsidRPr="00401C70" w:rsidRDefault="00677B7E" w:rsidP="00FA2590">
            <w:pPr>
              <w:kinsoku w:val="0"/>
              <w:overflowPunct w:val="0"/>
              <w:autoSpaceDE w:val="0"/>
              <w:autoSpaceDN w:val="0"/>
              <w:adjustRightInd w:val="0"/>
              <w:ind w:left="107" w:right="93"/>
              <w:jc w:val="both"/>
              <w:rPr>
                <w:rFonts w:ascii="Abadi" w:hAnsi="Abadi" w:cs="Calibri"/>
                <w:b/>
                <w:bCs/>
                <w:sz w:val="21"/>
                <w:szCs w:val="21"/>
              </w:rPr>
            </w:pPr>
            <w:r w:rsidRPr="00401C70">
              <w:rPr>
                <w:rFonts w:ascii="Abadi" w:hAnsi="Abadi" w:cs="Calibri"/>
                <w:b/>
                <w:bCs/>
                <w:sz w:val="21"/>
                <w:szCs w:val="21"/>
              </w:rPr>
              <w:t>institución fiduciaria.</w:t>
            </w:r>
          </w:p>
        </w:tc>
        <w:tc>
          <w:tcPr>
            <w:tcW w:w="2500" w:type="pct"/>
            <w:tcBorders>
              <w:top w:val="single" w:sz="4" w:space="0" w:color="000000"/>
              <w:left w:val="single" w:sz="4" w:space="0" w:color="000000"/>
              <w:bottom w:val="single" w:sz="4" w:space="0" w:color="000000"/>
              <w:right w:val="single" w:sz="4" w:space="0" w:color="000000"/>
            </w:tcBorders>
          </w:tcPr>
          <w:p w14:paraId="27C41328" w14:textId="77777777" w:rsidR="00677B7E" w:rsidRPr="00401C70" w:rsidRDefault="00677B7E" w:rsidP="00FA2590">
            <w:pPr>
              <w:kinsoku w:val="0"/>
              <w:overflowPunct w:val="0"/>
              <w:autoSpaceDE w:val="0"/>
              <w:autoSpaceDN w:val="0"/>
              <w:adjustRightInd w:val="0"/>
              <w:ind w:left="107" w:right="93"/>
              <w:jc w:val="both"/>
              <w:rPr>
                <w:rFonts w:ascii="Abadi" w:hAnsi="Abadi" w:cs="Calibri"/>
                <w:b/>
                <w:bCs/>
                <w:sz w:val="21"/>
                <w:szCs w:val="21"/>
              </w:rPr>
            </w:pPr>
            <w:r w:rsidRPr="00401C70">
              <w:rPr>
                <w:rFonts w:ascii="Abadi" w:hAnsi="Abadi" w:cs="Calibri"/>
                <w:b/>
                <w:bCs/>
                <w:sz w:val="21"/>
                <w:szCs w:val="21"/>
              </w:rPr>
              <w:lastRenderedPageBreak/>
              <w:t>Artículo 160. El Comité Técnico deberá estar integrado por lo menos con las siguientes personas propietarias:</w:t>
            </w:r>
          </w:p>
          <w:p w14:paraId="281FAC57" w14:textId="77777777" w:rsidR="00677B7E" w:rsidRPr="00401C70" w:rsidRDefault="00677B7E" w:rsidP="00FA2590">
            <w:pPr>
              <w:kinsoku w:val="0"/>
              <w:overflowPunct w:val="0"/>
              <w:autoSpaceDE w:val="0"/>
              <w:autoSpaceDN w:val="0"/>
              <w:adjustRightInd w:val="0"/>
              <w:ind w:left="107" w:right="93"/>
              <w:jc w:val="both"/>
              <w:rPr>
                <w:rFonts w:ascii="Abadi" w:hAnsi="Abadi" w:cs="Calibri"/>
                <w:b/>
                <w:bCs/>
                <w:sz w:val="21"/>
                <w:szCs w:val="21"/>
              </w:rPr>
            </w:pPr>
          </w:p>
          <w:p w14:paraId="62235208" w14:textId="77777777" w:rsidR="00677B7E" w:rsidRPr="00401C70" w:rsidRDefault="00677B7E" w:rsidP="00677B7E">
            <w:pPr>
              <w:numPr>
                <w:ilvl w:val="0"/>
                <w:numId w:val="27"/>
              </w:numPr>
              <w:tabs>
                <w:tab w:val="left" w:pos="269"/>
              </w:tabs>
              <w:kinsoku w:val="0"/>
              <w:overflowPunct w:val="0"/>
              <w:autoSpaceDE w:val="0"/>
              <w:autoSpaceDN w:val="0"/>
              <w:adjustRightInd w:val="0"/>
              <w:ind w:right="90" w:firstLine="0"/>
              <w:jc w:val="both"/>
              <w:rPr>
                <w:rFonts w:ascii="Abadi" w:hAnsi="Abadi" w:cs="Calibri"/>
                <w:b/>
                <w:bCs/>
                <w:sz w:val="21"/>
                <w:szCs w:val="21"/>
              </w:rPr>
            </w:pPr>
            <w:r w:rsidRPr="00401C70">
              <w:rPr>
                <w:rFonts w:ascii="Abadi" w:hAnsi="Abadi" w:cs="Calibri"/>
                <w:b/>
                <w:bCs/>
                <w:sz w:val="21"/>
                <w:szCs w:val="21"/>
              </w:rPr>
              <w:t>La persona síndica o una de ellas, en aquellos ayuntamientos que tengan dos;</w:t>
            </w:r>
          </w:p>
          <w:p w14:paraId="000EE13D" w14:textId="77777777" w:rsidR="00677B7E" w:rsidRPr="00401C70" w:rsidRDefault="00677B7E" w:rsidP="00677B7E">
            <w:pPr>
              <w:numPr>
                <w:ilvl w:val="0"/>
                <w:numId w:val="27"/>
              </w:numPr>
              <w:tabs>
                <w:tab w:val="left" w:pos="519"/>
              </w:tabs>
              <w:kinsoku w:val="0"/>
              <w:overflowPunct w:val="0"/>
              <w:autoSpaceDE w:val="0"/>
              <w:autoSpaceDN w:val="0"/>
              <w:adjustRightInd w:val="0"/>
              <w:ind w:right="90" w:firstLine="0"/>
              <w:jc w:val="both"/>
              <w:rPr>
                <w:rFonts w:ascii="Abadi" w:hAnsi="Abadi" w:cs="Calibri"/>
                <w:b/>
                <w:bCs/>
                <w:sz w:val="21"/>
                <w:szCs w:val="21"/>
              </w:rPr>
            </w:pPr>
            <w:r w:rsidRPr="00401C70">
              <w:rPr>
                <w:rFonts w:ascii="Abadi" w:hAnsi="Abadi" w:cs="Calibri"/>
                <w:b/>
                <w:bCs/>
                <w:sz w:val="21"/>
                <w:szCs w:val="21"/>
              </w:rPr>
              <w:t>Una persona representante de las dependencias o entidades de la administración pública municipal que de acuerdo con los fines del fideicomiso deba intervenir;</w:t>
            </w:r>
          </w:p>
          <w:p w14:paraId="55E39CF4" w14:textId="77777777" w:rsidR="00677B7E" w:rsidRPr="00401C70" w:rsidRDefault="00677B7E" w:rsidP="00677B7E">
            <w:pPr>
              <w:numPr>
                <w:ilvl w:val="0"/>
                <w:numId w:val="27"/>
              </w:numPr>
              <w:tabs>
                <w:tab w:val="left" w:pos="404"/>
              </w:tabs>
              <w:kinsoku w:val="0"/>
              <w:overflowPunct w:val="0"/>
              <w:autoSpaceDE w:val="0"/>
              <w:autoSpaceDN w:val="0"/>
              <w:adjustRightInd w:val="0"/>
              <w:ind w:right="93" w:firstLine="0"/>
              <w:jc w:val="both"/>
              <w:rPr>
                <w:rFonts w:ascii="Abadi" w:hAnsi="Abadi" w:cs="Calibri"/>
                <w:b/>
                <w:bCs/>
                <w:sz w:val="21"/>
                <w:szCs w:val="21"/>
              </w:rPr>
            </w:pPr>
            <w:r w:rsidRPr="00401C70">
              <w:rPr>
                <w:rFonts w:ascii="Abadi" w:hAnsi="Abadi" w:cs="Calibri"/>
                <w:b/>
                <w:bCs/>
                <w:sz w:val="21"/>
                <w:szCs w:val="21"/>
              </w:rPr>
              <w:t>Una persona representante de la Tesorería Municipal;</w:t>
            </w:r>
          </w:p>
          <w:p w14:paraId="18091489" w14:textId="624126B3" w:rsidR="00677B7E" w:rsidRPr="00401C70" w:rsidRDefault="00677B7E" w:rsidP="00677B7E">
            <w:pPr>
              <w:numPr>
                <w:ilvl w:val="0"/>
                <w:numId w:val="27"/>
              </w:numPr>
              <w:tabs>
                <w:tab w:val="left" w:pos="594"/>
              </w:tabs>
              <w:kinsoku w:val="0"/>
              <w:overflowPunct w:val="0"/>
              <w:autoSpaceDE w:val="0"/>
              <w:autoSpaceDN w:val="0"/>
              <w:adjustRightInd w:val="0"/>
              <w:ind w:right="93" w:firstLine="0"/>
              <w:jc w:val="both"/>
              <w:rPr>
                <w:rFonts w:ascii="Abadi" w:hAnsi="Abadi" w:cs="Calibri"/>
                <w:b/>
                <w:bCs/>
                <w:sz w:val="21"/>
                <w:szCs w:val="21"/>
              </w:rPr>
            </w:pPr>
            <w:r w:rsidRPr="00401C70">
              <w:rPr>
                <w:rFonts w:ascii="Abadi" w:hAnsi="Abadi" w:cs="Calibri"/>
                <w:b/>
                <w:bCs/>
                <w:sz w:val="21"/>
                <w:szCs w:val="21"/>
              </w:rPr>
              <w:t xml:space="preserve">Una persona </w:t>
            </w:r>
            <w:r w:rsidR="009E5686" w:rsidRPr="00401C70">
              <w:rPr>
                <w:rFonts w:ascii="Abadi" w:hAnsi="Abadi" w:cs="Calibri"/>
                <w:b/>
                <w:bCs/>
                <w:sz w:val="21"/>
                <w:szCs w:val="21"/>
              </w:rPr>
              <w:t>representante de</w:t>
            </w:r>
            <w:r w:rsidRPr="00401C70">
              <w:rPr>
                <w:rFonts w:ascii="Abadi" w:hAnsi="Abadi" w:cs="Calibri"/>
                <w:b/>
                <w:bCs/>
                <w:sz w:val="21"/>
                <w:szCs w:val="21"/>
              </w:rPr>
              <w:t xml:space="preserve">    la Contraloría Municipal; y</w:t>
            </w:r>
          </w:p>
          <w:p w14:paraId="2F658F5B" w14:textId="77777777" w:rsidR="00677B7E" w:rsidRPr="00401C70" w:rsidRDefault="00677B7E" w:rsidP="00677B7E">
            <w:pPr>
              <w:numPr>
                <w:ilvl w:val="0"/>
                <w:numId w:val="27"/>
              </w:numPr>
              <w:tabs>
                <w:tab w:val="left" w:pos="348"/>
              </w:tabs>
              <w:kinsoku w:val="0"/>
              <w:overflowPunct w:val="0"/>
              <w:autoSpaceDE w:val="0"/>
              <w:autoSpaceDN w:val="0"/>
              <w:adjustRightInd w:val="0"/>
              <w:ind w:left="347" w:hanging="241"/>
              <w:jc w:val="both"/>
              <w:rPr>
                <w:rFonts w:ascii="Abadi" w:hAnsi="Abadi" w:cs="Calibri"/>
                <w:b/>
                <w:bCs/>
                <w:sz w:val="21"/>
                <w:szCs w:val="21"/>
              </w:rPr>
            </w:pPr>
            <w:r w:rsidRPr="00401C70">
              <w:rPr>
                <w:rFonts w:ascii="Abadi" w:hAnsi="Abadi" w:cs="Calibri"/>
                <w:b/>
                <w:bCs/>
                <w:sz w:val="21"/>
                <w:szCs w:val="21"/>
              </w:rPr>
              <w:t>Una persona representante del fiduciario.</w:t>
            </w:r>
          </w:p>
          <w:p w14:paraId="663969C0" w14:textId="77777777" w:rsidR="00677B7E" w:rsidRPr="00401C70" w:rsidRDefault="00677B7E" w:rsidP="00FA2590">
            <w:pPr>
              <w:kinsoku w:val="0"/>
              <w:overflowPunct w:val="0"/>
              <w:autoSpaceDE w:val="0"/>
              <w:autoSpaceDN w:val="0"/>
              <w:adjustRightInd w:val="0"/>
              <w:ind w:left="107" w:right="93"/>
              <w:jc w:val="both"/>
              <w:rPr>
                <w:rFonts w:ascii="Abadi" w:hAnsi="Abadi" w:cs="Calibri"/>
                <w:b/>
                <w:bCs/>
                <w:sz w:val="21"/>
                <w:szCs w:val="21"/>
              </w:rPr>
            </w:pPr>
          </w:p>
          <w:p w14:paraId="439AE6D5" w14:textId="77777777" w:rsidR="00677B7E" w:rsidRPr="00401C70" w:rsidRDefault="00677B7E" w:rsidP="00FA2590">
            <w:pPr>
              <w:kinsoku w:val="0"/>
              <w:overflowPunct w:val="0"/>
              <w:autoSpaceDE w:val="0"/>
              <w:autoSpaceDN w:val="0"/>
              <w:adjustRightInd w:val="0"/>
              <w:ind w:left="107" w:right="93"/>
              <w:jc w:val="both"/>
              <w:rPr>
                <w:rFonts w:ascii="Abadi" w:hAnsi="Abadi" w:cs="Calibri"/>
                <w:b/>
                <w:bCs/>
                <w:sz w:val="21"/>
                <w:szCs w:val="21"/>
              </w:rPr>
            </w:pPr>
            <w:r w:rsidRPr="00401C70">
              <w:rPr>
                <w:rFonts w:ascii="Abadi" w:hAnsi="Abadi" w:cs="Calibri"/>
                <w:b/>
                <w:bCs/>
                <w:sz w:val="21"/>
                <w:szCs w:val="21"/>
              </w:rPr>
              <w:t>Por cada persona propietaria del Comité Técnico habrá una suplente que la cubrirá en sus ausencias y que deberá ser del mismo género que la propietaria.</w:t>
            </w:r>
          </w:p>
          <w:p w14:paraId="28964B6D" w14:textId="77777777" w:rsidR="00677B7E" w:rsidRPr="00401C70" w:rsidRDefault="00677B7E" w:rsidP="00FA2590">
            <w:pPr>
              <w:kinsoku w:val="0"/>
              <w:overflowPunct w:val="0"/>
              <w:autoSpaceDE w:val="0"/>
              <w:autoSpaceDN w:val="0"/>
              <w:adjustRightInd w:val="0"/>
              <w:ind w:left="107" w:right="93"/>
              <w:jc w:val="both"/>
              <w:rPr>
                <w:rFonts w:ascii="Abadi" w:hAnsi="Abadi" w:cs="Calibri"/>
                <w:b/>
                <w:bCs/>
                <w:sz w:val="21"/>
                <w:szCs w:val="21"/>
              </w:rPr>
            </w:pPr>
          </w:p>
          <w:p w14:paraId="28D86A78" w14:textId="77777777" w:rsidR="00677B7E" w:rsidRPr="00401C70" w:rsidRDefault="00677B7E" w:rsidP="00FA2590">
            <w:pPr>
              <w:kinsoku w:val="0"/>
              <w:overflowPunct w:val="0"/>
              <w:autoSpaceDE w:val="0"/>
              <w:autoSpaceDN w:val="0"/>
              <w:adjustRightInd w:val="0"/>
              <w:ind w:left="107" w:right="93"/>
              <w:jc w:val="both"/>
              <w:rPr>
                <w:rFonts w:ascii="Abadi" w:hAnsi="Abadi" w:cs="Calibri"/>
                <w:b/>
                <w:bCs/>
                <w:sz w:val="21"/>
                <w:szCs w:val="21"/>
              </w:rPr>
            </w:pPr>
            <w:r w:rsidRPr="00401C70">
              <w:rPr>
                <w:rFonts w:ascii="Abadi" w:hAnsi="Abadi" w:cs="Calibri"/>
                <w:b/>
                <w:bCs/>
                <w:sz w:val="21"/>
                <w:szCs w:val="21"/>
              </w:rPr>
              <w:t>La persona representante de la Contraloría Municipal participará con voz pero sin voto.</w:t>
            </w:r>
          </w:p>
          <w:p w14:paraId="11793737" w14:textId="77777777" w:rsidR="00677B7E" w:rsidRPr="00401C70" w:rsidRDefault="00677B7E" w:rsidP="00FA2590">
            <w:pPr>
              <w:kinsoku w:val="0"/>
              <w:overflowPunct w:val="0"/>
              <w:autoSpaceDE w:val="0"/>
              <w:autoSpaceDN w:val="0"/>
              <w:adjustRightInd w:val="0"/>
              <w:ind w:left="107" w:right="93"/>
              <w:jc w:val="both"/>
              <w:rPr>
                <w:rFonts w:ascii="Abadi" w:hAnsi="Abadi" w:cs="Calibri"/>
                <w:b/>
                <w:bCs/>
                <w:sz w:val="21"/>
                <w:szCs w:val="21"/>
              </w:rPr>
            </w:pPr>
          </w:p>
          <w:p w14:paraId="7248069A" w14:textId="77777777" w:rsidR="00677B7E" w:rsidRPr="00401C70" w:rsidRDefault="00677B7E" w:rsidP="00FA2590">
            <w:pPr>
              <w:kinsoku w:val="0"/>
              <w:overflowPunct w:val="0"/>
              <w:autoSpaceDE w:val="0"/>
              <w:autoSpaceDN w:val="0"/>
              <w:adjustRightInd w:val="0"/>
              <w:ind w:left="107" w:right="93"/>
              <w:jc w:val="both"/>
              <w:rPr>
                <w:rFonts w:ascii="Abadi" w:hAnsi="Abadi" w:cs="Calibri"/>
                <w:b/>
                <w:bCs/>
                <w:sz w:val="21"/>
                <w:szCs w:val="21"/>
              </w:rPr>
            </w:pPr>
            <w:r w:rsidRPr="00401C70">
              <w:rPr>
                <w:rFonts w:ascii="Abadi" w:hAnsi="Abadi" w:cs="Calibri"/>
                <w:b/>
                <w:bCs/>
                <w:sz w:val="21"/>
                <w:szCs w:val="21"/>
              </w:rPr>
              <w:t xml:space="preserve">Las personas integrantes del Comité Técnico serán nombradas y </w:t>
            </w:r>
            <w:r w:rsidRPr="00401C70">
              <w:rPr>
                <w:rFonts w:ascii="Abadi" w:hAnsi="Abadi" w:cs="Calibri"/>
                <w:b/>
                <w:bCs/>
                <w:sz w:val="21"/>
                <w:szCs w:val="21"/>
              </w:rPr>
              <w:lastRenderedPageBreak/>
              <w:t>removidas por el Ayuntamiento observando el principio de paridad de género, a excepción de la persona</w:t>
            </w:r>
          </w:p>
          <w:p w14:paraId="5032490A" w14:textId="77777777" w:rsidR="00677B7E" w:rsidRPr="00401C70" w:rsidRDefault="00677B7E" w:rsidP="00FA2590">
            <w:pPr>
              <w:kinsoku w:val="0"/>
              <w:overflowPunct w:val="0"/>
              <w:autoSpaceDE w:val="0"/>
              <w:autoSpaceDN w:val="0"/>
              <w:adjustRightInd w:val="0"/>
              <w:ind w:left="107" w:right="93"/>
              <w:jc w:val="both"/>
              <w:rPr>
                <w:rFonts w:ascii="Abadi" w:hAnsi="Abadi" w:cs="Calibri"/>
                <w:b/>
                <w:bCs/>
                <w:sz w:val="21"/>
                <w:szCs w:val="21"/>
              </w:rPr>
            </w:pPr>
            <w:r w:rsidRPr="00401C70">
              <w:rPr>
                <w:rFonts w:ascii="Abadi" w:hAnsi="Abadi" w:cs="Calibri"/>
                <w:b/>
                <w:bCs/>
                <w:sz w:val="21"/>
                <w:szCs w:val="21"/>
              </w:rPr>
              <w:t>representante fiduciaria, cuyo nombramiento</w:t>
            </w:r>
          </w:p>
        </w:tc>
      </w:tr>
    </w:tbl>
    <w:p w14:paraId="21CB7886" w14:textId="77777777" w:rsidR="00677B7E" w:rsidRPr="00401C70" w:rsidRDefault="00677B7E" w:rsidP="00677B7E">
      <w:pPr>
        <w:kinsoku w:val="0"/>
        <w:overflowPunct w:val="0"/>
        <w:autoSpaceDE w:val="0"/>
        <w:autoSpaceDN w:val="0"/>
        <w:adjustRightInd w:val="0"/>
        <w:spacing w:before="7"/>
        <w:jc w:val="both"/>
        <w:rPr>
          <w:rFonts w:ascii="Abadi" w:hAnsi="Abadi"/>
          <w:sz w:val="21"/>
          <w:szCs w:val="21"/>
        </w:rPr>
      </w:pPr>
    </w:p>
    <w:tbl>
      <w:tblPr>
        <w:tblW w:w="5000" w:type="pct"/>
        <w:tblCellMar>
          <w:left w:w="0" w:type="dxa"/>
          <w:right w:w="0" w:type="dxa"/>
        </w:tblCellMar>
        <w:tblLook w:val="0000" w:firstRow="0" w:lastRow="0" w:firstColumn="0" w:lastColumn="0" w:noHBand="0" w:noVBand="0"/>
      </w:tblPr>
      <w:tblGrid>
        <w:gridCol w:w="2050"/>
        <w:gridCol w:w="2051"/>
      </w:tblGrid>
      <w:tr w:rsidR="00677B7E" w:rsidRPr="00401C70" w14:paraId="0013AF14" w14:textId="77777777" w:rsidTr="00125269">
        <w:trPr>
          <w:trHeight w:val="537"/>
        </w:trPr>
        <w:tc>
          <w:tcPr>
            <w:tcW w:w="2500" w:type="pct"/>
            <w:tcBorders>
              <w:top w:val="single" w:sz="4" w:space="0" w:color="000000"/>
              <w:left w:val="single" w:sz="4" w:space="0" w:color="000000"/>
              <w:bottom w:val="single" w:sz="4" w:space="0" w:color="000000"/>
              <w:right w:val="single" w:sz="4" w:space="0" w:color="000000"/>
            </w:tcBorders>
          </w:tcPr>
          <w:p w14:paraId="15DB72E4" w14:textId="77777777" w:rsidR="00677B7E" w:rsidRPr="00401C70" w:rsidRDefault="00677B7E" w:rsidP="00FA2590">
            <w:pPr>
              <w:kinsoku w:val="0"/>
              <w:overflowPunct w:val="0"/>
              <w:autoSpaceDE w:val="0"/>
              <w:autoSpaceDN w:val="0"/>
              <w:adjustRightInd w:val="0"/>
              <w:jc w:val="both"/>
              <w:rPr>
                <w:rFonts w:ascii="Abadi" w:hAnsi="Abadi"/>
                <w:sz w:val="21"/>
                <w:szCs w:val="21"/>
              </w:rPr>
            </w:pPr>
          </w:p>
        </w:tc>
        <w:tc>
          <w:tcPr>
            <w:tcW w:w="2500" w:type="pct"/>
            <w:tcBorders>
              <w:top w:val="single" w:sz="4" w:space="0" w:color="000000"/>
              <w:left w:val="single" w:sz="4" w:space="0" w:color="000000"/>
              <w:bottom w:val="single" w:sz="4" w:space="0" w:color="000000"/>
              <w:right w:val="single" w:sz="4" w:space="0" w:color="000000"/>
            </w:tcBorders>
          </w:tcPr>
          <w:p w14:paraId="1ED34FE0" w14:textId="77777777" w:rsidR="00677B7E" w:rsidRPr="00401C70" w:rsidRDefault="00677B7E" w:rsidP="00FA2590">
            <w:pPr>
              <w:kinsoku w:val="0"/>
              <w:overflowPunct w:val="0"/>
              <w:autoSpaceDE w:val="0"/>
              <w:autoSpaceDN w:val="0"/>
              <w:adjustRightInd w:val="0"/>
              <w:spacing w:line="268" w:lineRule="exact"/>
              <w:ind w:left="107"/>
              <w:jc w:val="both"/>
              <w:rPr>
                <w:rFonts w:ascii="Abadi" w:hAnsi="Abadi" w:cs="Calibri"/>
                <w:sz w:val="21"/>
                <w:szCs w:val="21"/>
              </w:rPr>
            </w:pPr>
            <w:r w:rsidRPr="00401C70">
              <w:rPr>
                <w:rFonts w:ascii="Abadi" w:hAnsi="Abadi" w:cs="Calibri"/>
                <w:sz w:val="21"/>
                <w:szCs w:val="21"/>
              </w:rPr>
              <w:t>y</w:t>
            </w:r>
            <w:r w:rsidRPr="00401C70">
              <w:rPr>
                <w:rFonts w:ascii="Abadi" w:hAnsi="Abadi" w:cs="Calibri"/>
                <w:spacing w:val="45"/>
                <w:sz w:val="21"/>
                <w:szCs w:val="21"/>
              </w:rPr>
              <w:t xml:space="preserve"> </w:t>
            </w:r>
            <w:r w:rsidRPr="00401C70">
              <w:rPr>
                <w:rFonts w:ascii="Abadi" w:hAnsi="Abadi" w:cs="Calibri"/>
                <w:sz w:val="21"/>
                <w:szCs w:val="21"/>
              </w:rPr>
              <w:t>remoción</w:t>
            </w:r>
            <w:r w:rsidRPr="00401C70">
              <w:rPr>
                <w:rFonts w:ascii="Abadi" w:hAnsi="Abadi" w:cs="Calibri"/>
                <w:spacing w:val="44"/>
                <w:sz w:val="21"/>
                <w:szCs w:val="21"/>
              </w:rPr>
              <w:t xml:space="preserve"> </w:t>
            </w:r>
            <w:r w:rsidRPr="00401C70">
              <w:rPr>
                <w:rFonts w:ascii="Abadi" w:hAnsi="Abadi" w:cs="Calibri"/>
                <w:sz w:val="21"/>
                <w:szCs w:val="21"/>
              </w:rPr>
              <w:t>corresponderá</w:t>
            </w:r>
            <w:r w:rsidRPr="00401C70">
              <w:rPr>
                <w:rFonts w:ascii="Abadi" w:hAnsi="Abadi" w:cs="Calibri"/>
                <w:spacing w:val="44"/>
                <w:sz w:val="21"/>
                <w:szCs w:val="21"/>
              </w:rPr>
              <w:t xml:space="preserve"> </w:t>
            </w:r>
            <w:r w:rsidRPr="00401C70">
              <w:rPr>
                <w:rFonts w:ascii="Abadi" w:hAnsi="Abadi" w:cs="Calibri"/>
                <w:sz w:val="21"/>
                <w:szCs w:val="21"/>
              </w:rPr>
              <w:t>a</w:t>
            </w:r>
            <w:r w:rsidRPr="00401C70">
              <w:rPr>
                <w:rFonts w:ascii="Abadi" w:hAnsi="Abadi" w:cs="Calibri"/>
                <w:spacing w:val="44"/>
                <w:sz w:val="21"/>
                <w:szCs w:val="21"/>
              </w:rPr>
              <w:t xml:space="preserve"> </w:t>
            </w:r>
            <w:r w:rsidRPr="00401C70">
              <w:rPr>
                <w:rFonts w:ascii="Abadi" w:hAnsi="Abadi" w:cs="Calibri"/>
                <w:sz w:val="21"/>
                <w:szCs w:val="21"/>
              </w:rPr>
              <w:t>la</w:t>
            </w:r>
            <w:r w:rsidRPr="00401C70">
              <w:rPr>
                <w:rFonts w:ascii="Abadi" w:hAnsi="Abadi" w:cs="Calibri"/>
                <w:spacing w:val="44"/>
                <w:sz w:val="21"/>
                <w:szCs w:val="21"/>
              </w:rPr>
              <w:t xml:space="preserve"> </w:t>
            </w:r>
            <w:r w:rsidRPr="00401C70">
              <w:rPr>
                <w:rFonts w:ascii="Abadi" w:hAnsi="Abadi" w:cs="Calibri"/>
                <w:sz w:val="21"/>
                <w:szCs w:val="21"/>
              </w:rPr>
              <w:t>institución</w:t>
            </w:r>
          </w:p>
          <w:p w14:paraId="2BABFCF3" w14:textId="77777777" w:rsidR="00677B7E" w:rsidRPr="00401C70" w:rsidRDefault="00677B7E" w:rsidP="00FA2590">
            <w:pPr>
              <w:kinsoku w:val="0"/>
              <w:overflowPunct w:val="0"/>
              <w:autoSpaceDE w:val="0"/>
              <w:autoSpaceDN w:val="0"/>
              <w:adjustRightInd w:val="0"/>
              <w:spacing w:line="249" w:lineRule="exact"/>
              <w:ind w:left="107"/>
              <w:jc w:val="both"/>
              <w:rPr>
                <w:rFonts w:ascii="Abadi" w:hAnsi="Abadi" w:cs="Calibri"/>
                <w:sz w:val="21"/>
                <w:szCs w:val="21"/>
              </w:rPr>
            </w:pPr>
            <w:r w:rsidRPr="00401C70">
              <w:rPr>
                <w:rFonts w:ascii="Abadi" w:hAnsi="Abadi" w:cs="Calibri"/>
                <w:sz w:val="21"/>
                <w:szCs w:val="21"/>
              </w:rPr>
              <w:t>fiduciaria.</w:t>
            </w:r>
          </w:p>
        </w:tc>
      </w:tr>
      <w:tr w:rsidR="00677B7E" w:rsidRPr="00401C70" w14:paraId="136BA06D" w14:textId="77777777" w:rsidTr="00125269">
        <w:trPr>
          <w:trHeight w:val="2839"/>
        </w:trPr>
        <w:tc>
          <w:tcPr>
            <w:tcW w:w="2500" w:type="pct"/>
            <w:tcBorders>
              <w:top w:val="single" w:sz="4" w:space="0" w:color="000000"/>
              <w:left w:val="single" w:sz="4" w:space="0" w:color="000000"/>
              <w:bottom w:val="none" w:sz="6" w:space="0" w:color="auto"/>
              <w:right w:val="single" w:sz="4" w:space="0" w:color="000000"/>
            </w:tcBorders>
          </w:tcPr>
          <w:p w14:paraId="0E30399B" w14:textId="77777777" w:rsidR="00677B7E" w:rsidRPr="00401C70" w:rsidRDefault="00677B7E" w:rsidP="00FA2590">
            <w:pPr>
              <w:kinsoku w:val="0"/>
              <w:overflowPunct w:val="0"/>
              <w:autoSpaceDE w:val="0"/>
              <w:autoSpaceDN w:val="0"/>
              <w:adjustRightInd w:val="0"/>
              <w:ind w:left="107" w:right="92"/>
              <w:jc w:val="both"/>
              <w:rPr>
                <w:rFonts w:ascii="Abadi" w:hAnsi="Abadi" w:cs="Calibri"/>
                <w:sz w:val="21"/>
                <w:szCs w:val="21"/>
              </w:rPr>
            </w:pPr>
            <w:r w:rsidRPr="00401C70">
              <w:rPr>
                <w:rFonts w:ascii="Abadi" w:hAnsi="Abadi" w:cs="Calibri"/>
                <w:b/>
                <w:bCs/>
                <w:sz w:val="21"/>
                <w:szCs w:val="21"/>
              </w:rPr>
              <w:t>Artículo</w:t>
            </w:r>
            <w:r w:rsidRPr="00401C70">
              <w:rPr>
                <w:rFonts w:ascii="Abadi" w:hAnsi="Abadi" w:cs="Calibri"/>
                <w:b/>
                <w:bCs/>
                <w:spacing w:val="1"/>
                <w:sz w:val="21"/>
                <w:szCs w:val="21"/>
              </w:rPr>
              <w:t xml:space="preserve"> </w:t>
            </w:r>
            <w:r w:rsidRPr="00401C70">
              <w:rPr>
                <w:rFonts w:ascii="Abadi" w:hAnsi="Abadi" w:cs="Calibri"/>
                <w:b/>
                <w:bCs/>
                <w:sz w:val="21"/>
                <w:szCs w:val="21"/>
              </w:rPr>
              <w:t>252.</w:t>
            </w:r>
            <w:r w:rsidRPr="00401C70">
              <w:rPr>
                <w:rFonts w:ascii="Abadi" w:hAnsi="Abadi" w:cs="Calibri"/>
                <w:b/>
                <w:bCs/>
                <w:spacing w:val="1"/>
                <w:sz w:val="21"/>
                <w:szCs w:val="21"/>
              </w:rPr>
              <w:t xml:space="preserve"> </w:t>
            </w: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jueces</w:t>
            </w:r>
            <w:r w:rsidRPr="00401C70">
              <w:rPr>
                <w:rFonts w:ascii="Abadi" w:hAnsi="Abadi" w:cs="Calibri"/>
                <w:spacing w:val="1"/>
                <w:sz w:val="21"/>
                <w:szCs w:val="21"/>
              </w:rPr>
              <w:t xml:space="preserve"> </w:t>
            </w:r>
            <w:r w:rsidRPr="00401C70">
              <w:rPr>
                <w:rFonts w:ascii="Abadi" w:hAnsi="Abadi" w:cs="Calibri"/>
                <w:sz w:val="21"/>
                <w:szCs w:val="21"/>
              </w:rPr>
              <w:t>administrativos</w:t>
            </w:r>
            <w:r w:rsidRPr="00401C70">
              <w:rPr>
                <w:rFonts w:ascii="Abadi" w:hAnsi="Abadi" w:cs="Calibri"/>
                <w:spacing w:val="1"/>
                <w:sz w:val="21"/>
                <w:szCs w:val="21"/>
              </w:rPr>
              <w:t xml:space="preserve"> </w:t>
            </w:r>
            <w:r w:rsidRPr="00401C70">
              <w:rPr>
                <w:rFonts w:ascii="Abadi" w:hAnsi="Abadi" w:cs="Calibri"/>
                <w:sz w:val="21"/>
                <w:szCs w:val="21"/>
              </w:rPr>
              <w:t>municipales durarán en su encargo cinco años,</w:t>
            </w:r>
            <w:r w:rsidRPr="00401C70">
              <w:rPr>
                <w:rFonts w:ascii="Abadi" w:hAnsi="Abadi" w:cs="Calibri"/>
                <w:spacing w:val="-47"/>
                <w:sz w:val="21"/>
                <w:szCs w:val="21"/>
              </w:rPr>
              <w:t xml:space="preserve"> </w:t>
            </w:r>
            <w:r w:rsidRPr="00401C70">
              <w:rPr>
                <w:rFonts w:ascii="Abadi" w:hAnsi="Abadi" w:cs="Calibri"/>
                <w:sz w:val="21"/>
                <w:szCs w:val="21"/>
              </w:rPr>
              <w:t>sin</w:t>
            </w:r>
            <w:r w:rsidRPr="00401C70">
              <w:rPr>
                <w:rFonts w:ascii="Abadi" w:hAnsi="Abadi" w:cs="Calibri"/>
                <w:spacing w:val="1"/>
                <w:sz w:val="21"/>
                <w:szCs w:val="21"/>
              </w:rPr>
              <w:t xml:space="preserve"> </w:t>
            </w:r>
            <w:r w:rsidRPr="00401C70">
              <w:rPr>
                <w:rFonts w:ascii="Abadi" w:hAnsi="Abadi" w:cs="Calibri"/>
                <w:sz w:val="21"/>
                <w:szCs w:val="21"/>
              </w:rPr>
              <w:t>posibilidad</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designación</w:t>
            </w:r>
            <w:r w:rsidRPr="00401C70">
              <w:rPr>
                <w:rFonts w:ascii="Abadi" w:hAnsi="Abadi" w:cs="Calibri"/>
                <w:spacing w:val="1"/>
                <w:sz w:val="21"/>
                <w:szCs w:val="21"/>
              </w:rPr>
              <w:t xml:space="preserve"> </w:t>
            </w:r>
            <w:r w:rsidRPr="00401C70">
              <w:rPr>
                <w:rFonts w:ascii="Abadi" w:hAnsi="Abadi" w:cs="Calibri"/>
                <w:sz w:val="21"/>
                <w:szCs w:val="21"/>
              </w:rPr>
              <w:t>en</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periodo</w:t>
            </w:r>
            <w:r w:rsidRPr="00401C70">
              <w:rPr>
                <w:rFonts w:ascii="Abadi" w:hAnsi="Abadi" w:cs="Calibri"/>
                <w:spacing w:val="-47"/>
                <w:sz w:val="21"/>
                <w:szCs w:val="21"/>
              </w:rPr>
              <w:t xml:space="preserve"> </w:t>
            </w:r>
            <w:r w:rsidRPr="00401C70">
              <w:rPr>
                <w:rFonts w:ascii="Abadi" w:hAnsi="Abadi" w:cs="Calibri"/>
                <w:sz w:val="21"/>
                <w:szCs w:val="21"/>
              </w:rPr>
              <w:t>inmediato,</w:t>
            </w:r>
            <w:r w:rsidRPr="00401C70">
              <w:rPr>
                <w:rFonts w:ascii="Abadi" w:hAnsi="Abadi" w:cs="Calibri"/>
                <w:spacing w:val="1"/>
                <w:sz w:val="21"/>
                <w:szCs w:val="21"/>
              </w:rPr>
              <w:t xml:space="preserve"> </w:t>
            </w:r>
            <w:r w:rsidRPr="00401C70">
              <w:rPr>
                <w:rFonts w:ascii="Abadi" w:hAnsi="Abadi" w:cs="Calibri"/>
                <w:sz w:val="21"/>
                <w:szCs w:val="21"/>
              </w:rPr>
              <w:t>y</w:t>
            </w:r>
            <w:r w:rsidRPr="00401C70">
              <w:rPr>
                <w:rFonts w:ascii="Abadi" w:hAnsi="Abadi" w:cs="Calibri"/>
                <w:spacing w:val="1"/>
                <w:sz w:val="21"/>
                <w:szCs w:val="21"/>
              </w:rPr>
              <w:t xml:space="preserve"> </w:t>
            </w:r>
            <w:r w:rsidRPr="00401C70">
              <w:rPr>
                <w:rFonts w:ascii="Abadi" w:hAnsi="Abadi" w:cs="Calibri"/>
                <w:sz w:val="21"/>
                <w:szCs w:val="21"/>
              </w:rPr>
              <w:t>serán</w:t>
            </w:r>
            <w:r w:rsidRPr="00401C70">
              <w:rPr>
                <w:rFonts w:ascii="Abadi" w:hAnsi="Abadi" w:cs="Calibri"/>
                <w:spacing w:val="1"/>
                <w:sz w:val="21"/>
                <w:szCs w:val="21"/>
              </w:rPr>
              <w:t xml:space="preserve"> </w:t>
            </w:r>
            <w:r w:rsidRPr="00401C70">
              <w:rPr>
                <w:rFonts w:ascii="Abadi" w:hAnsi="Abadi" w:cs="Calibri"/>
                <w:sz w:val="21"/>
                <w:szCs w:val="21"/>
              </w:rPr>
              <w:t>nombrados</w:t>
            </w:r>
            <w:r w:rsidRPr="00401C70">
              <w:rPr>
                <w:rFonts w:ascii="Abadi" w:hAnsi="Abadi" w:cs="Calibri"/>
                <w:spacing w:val="1"/>
                <w:sz w:val="21"/>
                <w:szCs w:val="21"/>
              </w:rPr>
              <w:t xml:space="preserve"> </w:t>
            </w:r>
            <w:r w:rsidRPr="00401C70">
              <w:rPr>
                <w:rFonts w:ascii="Abadi" w:hAnsi="Abadi" w:cs="Calibri"/>
                <w:sz w:val="21"/>
                <w:szCs w:val="21"/>
              </w:rPr>
              <w:t>por</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Ayuntamiento,</w:t>
            </w:r>
            <w:r w:rsidRPr="00401C70">
              <w:rPr>
                <w:rFonts w:ascii="Abadi" w:hAnsi="Abadi" w:cs="Calibri"/>
                <w:spacing w:val="-3"/>
                <w:sz w:val="21"/>
                <w:szCs w:val="21"/>
              </w:rPr>
              <w:t xml:space="preserve"> </w:t>
            </w:r>
            <w:r w:rsidRPr="00401C70">
              <w:rPr>
                <w:rFonts w:ascii="Abadi" w:hAnsi="Abadi" w:cs="Calibri"/>
                <w:sz w:val="21"/>
                <w:szCs w:val="21"/>
              </w:rPr>
              <w:t>a</w:t>
            </w:r>
            <w:r w:rsidRPr="00401C70">
              <w:rPr>
                <w:rFonts w:ascii="Abadi" w:hAnsi="Abadi" w:cs="Calibri"/>
                <w:spacing w:val="-2"/>
                <w:sz w:val="21"/>
                <w:szCs w:val="21"/>
              </w:rPr>
              <w:t xml:space="preserve"> </w:t>
            </w:r>
            <w:r w:rsidRPr="00401C70">
              <w:rPr>
                <w:rFonts w:ascii="Abadi" w:hAnsi="Abadi" w:cs="Calibri"/>
                <w:sz w:val="21"/>
                <w:szCs w:val="21"/>
              </w:rPr>
              <w:t>partir</w:t>
            </w:r>
            <w:r w:rsidRPr="00401C70">
              <w:rPr>
                <w:rFonts w:ascii="Abadi" w:hAnsi="Abadi" w:cs="Calibri"/>
                <w:spacing w:val="-4"/>
                <w:sz w:val="21"/>
                <w:szCs w:val="21"/>
              </w:rPr>
              <w:t xml:space="preserve"> </w:t>
            </w:r>
            <w:r w:rsidRPr="00401C70">
              <w:rPr>
                <w:rFonts w:ascii="Abadi" w:hAnsi="Abadi" w:cs="Calibri"/>
                <w:sz w:val="21"/>
                <w:szCs w:val="21"/>
              </w:rPr>
              <w:t>de</w:t>
            </w:r>
            <w:r w:rsidRPr="00401C70">
              <w:rPr>
                <w:rFonts w:ascii="Abadi" w:hAnsi="Abadi" w:cs="Calibri"/>
                <w:spacing w:val="-2"/>
                <w:sz w:val="21"/>
                <w:szCs w:val="21"/>
              </w:rPr>
              <w:t xml:space="preserve"> </w:t>
            </w:r>
            <w:r w:rsidRPr="00401C70">
              <w:rPr>
                <w:rFonts w:ascii="Abadi" w:hAnsi="Abadi" w:cs="Calibri"/>
                <w:sz w:val="21"/>
                <w:szCs w:val="21"/>
              </w:rPr>
              <w:t>una</w:t>
            </w:r>
            <w:r w:rsidRPr="00401C70">
              <w:rPr>
                <w:rFonts w:ascii="Abadi" w:hAnsi="Abadi" w:cs="Calibri"/>
                <w:spacing w:val="-3"/>
                <w:sz w:val="21"/>
                <w:szCs w:val="21"/>
              </w:rPr>
              <w:t xml:space="preserve"> </w:t>
            </w:r>
            <w:r w:rsidRPr="00401C70">
              <w:rPr>
                <w:rFonts w:ascii="Abadi" w:hAnsi="Abadi" w:cs="Calibri"/>
                <w:sz w:val="21"/>
                <w:szCs w:val="21"/>
              </w:rPr>
              <w:t>terna</w:t>
            </w:r>
            <w:r w:rsidRPr="00401C70">
              <w:rPr>
                <w:rFonts w:ascii="Abadi" w:hAnsi="Abadi" w:cs="Calibri"/>
                <w:spacing w:val="-2"/>
                <w:sz w:val="21"/>
                <w:szCs w:val="21"/>
              </w:rPr>
              <w:t xml:space="preserve"> </w:t>
            </w:r>
            <w:r w:rsidRPr="00401C70">
              <w:rPr>
                <w:rFonts w:ascii="Abadi" w:hAnsi="Abadi" w:cs="Calibri"/>
                <w:sz w:val="21"/>
                <w:szCs w:val="21"/>
              </w:rPr>
              <w:t>formulada</w:t>
            </w:r>
            <w:r w:rsidRPr="00401C70">
              <w:rPr>
                <w:rFonts w:ascii="Abadi" w:hAnsi="Abadi" w:cs="Calibri"/>
                <w:spacing w:val="-47"/>
                <w:sz w:val="21"/>
                <w:szCs w:val="21"/>
              </w:rPr>
              <w:t xml:space="preserve"> </w:t>
            </w:r>
            <w:r w:rsidRPr="00401C70">
              <w:rPr>
                <w:rFonts w:ascii="Abadi" w:hAnsi="Abadi" w:cs="Calibri"/>
                <w:sz w:val="21"/>
                <w:szCs w:val="21"/>
              </w:rPr>
              <w:t>por un Comité Municipal Ciudadano previsto</w:t>
            </w:r>
            <w:r w:rsidRPr="00401C70">
              <w:rPr>
                <w:rFonts w:ascii="Abadi" w:hAnsi="Abadi" w:cs="Calibri"/>
                <w:spacing w:val="1"/>
                <w:sz w:val="21"/>
                <w:szCs w:val="21"/>
              </w:rPr>
              <w:t xml:space="preserve"> </w:t>
            </w:r>
            <w:r w:rsidRPr="00401C70">
              <w:rPr>
                <w:rFonts w:ascii="Abadi" w:hAnsi="Abadi" w:cs="Calibri"/>
                <w:sz w:val="21"/>
                <w:szCs w:val="21"/>
              </w:rPr>
              <w:t>en</w:t>
            </w:r>
            <w:r w:rsidRPr="00401C70">
              <w:rPr>
                <w:rFonts w:ascii="Abadi" w:hAnsi="Abadi" w:cs="Calibri"/>
                <w:spacing w:val="-1"/>
                <w:sz w:val="21"/>
                <w:szCs w:val="21"/>
              </w:rPr>
              <w:t xml:space="preserve"> </w:t>
            </w:r>
            <w:r w:rsidRPr="00401C70">
              <w:rPr>
                <w:rFonts w:ascii="Abadi" w:hAnsi="Abadi" w:cs="Calibri"/>
                <w:sz w:val="21"/>
                <w:szCs w:val="21"/>
              </w:rPr>
              <w:t>el artículo</w:t>
            </w:r>
            <w:r w:rsidRPr="00401C70">
              <w:rPr>
                <w:rFonts w:ascii="Abadi" w:hAnsi="Abadi" w:cs="Calibri"/>
                <w:spacing w:val="-2"/>
                <w:sz w:val="21"/>
                <w:szCs w:val="21"/>
              </w:rPr>
              <w:t xml:space="preserve"> </w:t>
            </w:r>
            <w:r w:rsidRPr="00401C70">
              <w:rPr>
                <w:rFonts w:ascii="Abadi" w:hAnsi="Abadi" w:cs="Calibri"/>
                <w:sz w:val="21"/>
                <w:szCs w:val="21"/>
              </w:rPr>
              <w:t>18-1 de</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presente ley.</w:t>
            </w:r>
          </w:p>
        </w:tc>
        <w:tc>
          <w:tcPr>
            <w:tcW w:w="2500" w:type="pct"/>
            <w:tcBorders>
              <w:top w:val="single" w:sz="4" w:space="0" w:color="000000"/>
              <w:left w:val="single" w:sz="4" w:space="0" w:color="000000"/>
              <w:bottom w:val="none" w:sz="6" w:space="0" w:color="auto"/>
              <w:right w:val="single" w:sz="4" w:space="0" w:color="000000"/>
            </w:tcBorders>
          </w:tcPr>
          <w:p w14:paraId="6B1EB0A5" w14:textId="77777777" w:rsidR="00677B7E" w:rsidRPr="00401C70" w:rsidRDefault="00677B7E" w:rsidP="00FA2590">
            <w:pPr>
              <w:kinsoku w:val="0"/>
              <w:overflowPunct w:val="0"/>
              <w:autoSpaceDE w:val="0"/>
              <w:autoSpaceDN w:val="0"/>
              <w:adjustRightInd w:val="0"/>
              <w:ind w:left="107" w:right="92"/>
              <w:jc w:val="both"/>
              <w:rPr>
                <w:rFonts w:ascii="Abadi" w:hAnsi="Abadi" w:cs="Calibri"/>
                <w:b/>
                <w:bCs/>
                <w:i/>
                <w:iCs/>
                <w:sz w:val="21"/>
                <w:szCs w:val="21"/>
              </w:rPr>
            </w:pPr>
            <w:r w:rsidRPr="00401C70">
              <w:rPr>
                <w:rFonts w:ascii="Abadi" w:hAnsi="Abadi" w:cs="Calibri"/>
                <w:b/>
                <w:bCs/>
                <w:sz w:val="21"/>
                <w:szCs w:val="21"/>
              </w:rPr>
              <w:t>Artículo</w:t>
            </w:r>
            <w:r w:rsidRPr="00401C70">
              <w:rPr>
                <w:rFonts w:ascii="Abadi" w:hAnsi="Abadi" w:cs="Calibri"/>
                <w:b/>
                <w:bCs/>
                <w:spacing w:val="1"/>
                <w:sz w:val="21"/>
                <w:szCs w:val="21"/>
              </w:rPr>
              <w:t xml:space="preserve"> </w:t>
            </w:r>
            <w:r w:rsidRPr="00401C70">
              <w:rPr>
                <w:rFonts w:ascii="Abadi" w:hAnsi="Abadi" w:cs="Calibri"/>
                <w:b/>
                <w:bCs/>
                <w:sz w:val="21"/>
                <w:szCs w:val="21"/>
              </w:rPr>
              <w:t>252.</w:t>
            </w:r>
            <w:r w:rsidRPr="00401C70">
              <w:rPr>
                <w:rFonts w:ascii="Abadi" w:hAnsi="Abadi" w:cs="Calibri"/>
                <w:b/>
                <w:bCs/>
                <w:spacing w:val="1"/>
                <w:sz w:val="21"/>
                <w:szCs w:val="21"/>
              </w:rPr>
              <w:t xml:space="preserve"> </w:t>
            </w:r>
            <w:r w:rsidRPr="00401C70">
              <w:rPr>
                <w:rFonts w:ascii="Abadi" w:hAnsi="Abadi" w:cs="Calibri"/>
                <w:b/>
                <w:bCs/>
                <w:i/>
                <w:iCs/>
                <w:sz w:val="21"/>
                <w:szCs w:val="21"/>
              </w:rPr>
              <w:t>Las</w:t>
            </w:r>
            <w:r w:rsidRPr="00401C70">
              <w:rPr>
                <w:rFonts w:ascii="Abadi" w:hAnsi="Abadi" w:cs="Calibri"/>
                <w:b/>
                <w:bCs/>
                <w:i/>
                <w:iCs/>
                <w:spacing w:val="1"/>
                <w:sz w:val="21"/>
                <w:szCs w:val="21"/>
              </w:rPr>
              <w:t xml:space="preserve"> </w:t>
            </w:r>
            <w:r w:rsidRPr="00401C70">
              <w:rPr>
                <w:rFonts w:ascii="Abadi" w:hAnsi="Abadi" w:cs="Calibri"/>
                <w:b/>
                <w:bCs/>
                <w:i/>
                <w:iCs/>
                <w:sz w:val="21"/>
                <w:szCs w:val="21"/>
              </w:rPr>
              <w:t>personas</w:t>
            </w:r>
            <w:r w:rsidRPr="00401C70">
              <w:rPr>
                <w:rFonts w:ascii="Abadi" w:hAnsi="Abadi" w:cs="Calibri"/>
                <w:b/>
                <w:bCs/>
                <w:i/>
                <w:iCs/>
                <w:spacing w:val="1"/>
                <w:sz w:val="21"/>
                <w:szCs w:val="21"/>
              </w:rPr>
              <w:t xml:space="preserve"> </w:t>
            </w:r>
            <w:r w:rsidRPr="00401C70">
              <w:rPr>
                <w:rFonts w:ascii="Abadi" w:hAnsi="Abadi" w:cs="Calibri"/>
                <w:b/>
                <w:bCs/>
                <w:i/>
                <w:iCs/>
                <w:sz w:val="21"/>
                <w:szCs w:val="21"/>
              </w:rPr>
              <w:t>Juezas</w:t>
            </w:r>
            <w:r w:rsidRPr="00401C70">
              <w:rPr>
                <w:rFonts w:ascii="Abadi" w:hAnsi="Abadi" w:cs="Calibri"/>
                <w:b/>
                <w:bCs/>
                <w:i/>
                <w:iCs/>
                <w:spacing w:val="1"/>
                <w:sz w:val="21"/>
                <w:szCs w:val="21"/>
              </w:rPr>
              <w:t xml:space="preserve"> </w:t>
            </w:r>
            <w:r w:rsidRPr="00401C70">
              <w:rPr>
                <w:rFonts w:ascii="Abadi" w:hAnsi="Abadi" w:cs="Calibri"/>
                <w:b/>
                <w:bCs/>
                <w:i/>
                <w:iCs/>
                <w:sz w:val="21"/>
                <w:szCs w:val="21"/>
              </w:rPr>
              <w:t>Administrativas</w:t>
            </w:r>
            <w:r w:rsidRPr="00401C70">
              <w:rPr>
                <w:rFonts w:ascii="Abadi" w:hAnsi="Abadi" w:cs="Calibri"/>
                <w:b/>
                <w:bCs/>
                <w:i/>
                <w:iCs/>
                <w:spacing w:val="1"/>
                <w:sz w:val="21"/>
                <w:szCs w:val="21"/>
              </w:rPr>
              <w:t xml:space="preserve"> </w:t>
            </w:r>
            <w:r w:rsidRPr="00401C70">
              <w:rPr>
                <w:rFonts w:ascii="Abadi" w:hAnsi="Abadi" w:cs="Calibri"/>
                <w:b/>
                <w:bCs/>
                <w:i/>
                <w:iCs/>
                <w:sz w:val="21"/>
                <w:szCs w:val="21"/>
              </w:rPr>
              <w:t>Municipales</w:t>
            </w:r>
            <w:r w:rsidRPr="00401C70">
              <w:rPr>
                <w:rFonts w:ascii="Abadi" w:hAnsi="Abadi" w:cs="Calibri"/>
                <w:b/>
                <w:bCs/>
                <w:i/>
                <w:iCs/>
                <w:spacing w:val="1"/>
                <w:sz w:val="21"/>
                <w:szCs w:val="21"/>
              </w:rPr>
              <w:t xml:space="preserve"> </w:t>
            </w:r>
            <w:r w:rsidRPr="00401C70">
              <w:rPr>
                <w:rFonts w:ascii="Abadi" w:hAnsi="Abadi" w:cs="Calibri"/>
                <w:sz w:val="21"/>
                <w:szCs w:val="21"/>
              </w:rPr>
              <w:t>durarán</w:t>
            </w:r>
            <w:r w:rsidRPr="00401C70">
              <w:rPr>
                <w:rFonts w:ascii="Abadi" w:hAnsi="Abadi" w:cs="Calibri"/>
                <w:spacing w:val="1"/>
                <w:sz w:val="21"/>
                <w:szCs w:val="21"/>
              </w:rPr>
              <w:t xml:space="preserve"> </w:t>
            </w:r>
            <w:r w:rsidRPr="00401C70">
              <w:rPr>
                <w:rFonts w:ascii="Abadi" w:hAnsi="Abadi" w:cs="Calibri"/>
                <w:sz w:val="21"/>
                <w:szCs w:val="21"/>
              </w:rPr>
              <w:t>en</w:t>
            </w:r>
            <w:r w:rsidRPr="00401C70">
              <w:rPr>
                <w:rFonts w:ascii="Abadi" w:hAnsi="Abadi" w:cs="Calibri"/>
                <w:spacing w:val="1"/>
                <w:sz w:val="21"/>
                <w:szCs w:val="21"/>
              </w:rPr>
              <w:t xml:space="preserve"> </w:t>
            </w:r>
            <w:r w:rsidRPr="00401C70">
              <w:rPr>
                <w:rFonts w:ascii="Abadi" w:hAnsi="Abadi" w:cs="Calibri"/>
                <w:sz w:val="21"/>
                <w:szCs w:val="21"/>
              </w:rPr>
              <w:t>su</w:t>
            </w:r>
            <w:r w:rsidRPr="00401C70">
              <w:rPr>
                <w:rFonts w:ascii="Abadi" w:hAnsi="Abadi" w:cs="Calibri"/>
                <w:spacing w:val="1"/>
                <w:sz w:val="21"/>
                <w:szCs w:val="21"/>
              </w:rPr>
              <w:t xml:space="preserve"> </w:t>
            </w:r>
            <w:r w:rsidRPr="00401C70">
              <w:rPr>
                <w:rFonts w:ascii="Abadi" w:hAnsi="Abadi" w:cs="Calibri"/>
                <w:sz w:val="21"/>
                <w:szCs w:val="21"/>
              </w:rPr>
              <w:t>encargo</w:t>
            </w:r>
            <w:r w:rsidRPr="00401C70">
              <w:rPr>
                <w:rFonts w:ascii="Abadi" w:hAnsi="Abadi" w:cs="Calibri"/>
                <w:spacing w:val="1"/>
                <w:sz w:val="21"/>
                <w:szCs w:val="21"/>
              </w:rPr>
              <w:t xml:space="preserve"> </w:t>
            </w:r>
            <w:r w:rsidRPr="00401C70">
              <w:rPr>
                <w:rFonts w:ascii="Abadi" w:hAnsi="Abadi" w:cs="Calibri"/>
                <w:sz w:val="21"/>
                <w:szCs w:val="21"/>
              </w:rPr>
              <w:t>cinco</w:t>
            </w:r>
            <w:r w:rsidRPr="00401C70">
              <w:rPr>
                <w:rFonts w:ascii="Abadi" w:hAnsi="Abadi" w:cs="Calibri"/>
                <w:spacing w:val="1"/>
                <w:sz w:val="21"/>
                <w:szCs w:val="21"/>
              </w:rPr>
              <w:t xml:space="preserve"> </w:t>
            </w:r>
            <w:r w:rsidRPr="00401C70">
              <w:rPr>
                <w:rFonts w:ascii="Abadi" w:hAnsi="Abadi" w:cs="Calibri"/>
                <w:sz w:val="21"/>
                <w:szCs w:val="21"/>
              </w:rPr>
              <w:t>años,</w:t>
            </w:r>
            <w:r w:rsidRPr="00401C70">
              <w:rPr>
                <w:rFonts w:ascii="Abadi" w:hAnsi="Abadi" w:cs="Calibri"/>
                <w:spacing w:val="1"/>
                <w:sz w:val="21"/>
                <w:szCs w:val="21"/>
              </w:rPr>
              <w:t xml:space="preserve"> </w:t>
            </w:r>
            <w:r w:rsidRPr="00401C70">
              <w:rPr>
                <w:rFonts w:ascii="Abadi" w:hAnsi="Abadi" w:cs="Calibri"/>
                <w:sz w:val="21"/>
                <w:szCs w:val="21"/>
              </w:rPr>
              <w:t>sin</w:t>
            </w:r>
            <w:r w:rsidRPr="00401C70">
              <w:rPr>
                <w:rFonts w:ascii="Abadi" w:hAnsi="Abadi" w:cs="Calibri"/>
                <w:spacing w:val="1"/>
                <w:sz w:val="21"/>
                <w:szCs w:val="21"/>
              </w:rPr>
              <w:t xml:space="preserve"> </w:t>
            </w:r>
            <w:r w:rsidRPr="00401C70">
              <w:rPr>
                <w:rFonts w:ascii="Abadi" w:hAnsi="Abadi" w:cs="Calibri"/>
                <w:sz w:val="21"/>
                <w:szCs w:val="21"/>
              </w:rPr>
              <w:t>posibilidad</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designación en el periodo inmediato, y serán</w:t>
            </w:r>
            <w:r w:rsidRPr="00401C70">
              <w:rPr>
                <w:rFonts w:ascii="Abadi" w:hAnsi="Abadi" w:cs="Calibri"/>
                <w:spacing w:val="1"/>
                <w:sz w:val="21"/>
                <w:szCs w:val="21"/>
              </w:rPr>
              <w:t xml:space="preserve"> </w:t>
            </w:r>
            <w:r w:rsidRPr="00401C70">
              <w:rPr>
                <w:rFonts w:ascii="Abadi" w:hAnsi="Abadi" w:cs="Calibri"/>
                <w:b/>
                <w:bCs/>
                <w:i/>
                <w:iCs/>
                <w:sz w:val="21"/>
                <w:szCs w:val="21"/>
              </w:rPr>
              <w:t xml:space="preserve">nombradas </w:t>
            </w:r>
            <w:r w:rsidRPr="00401C70">
              <w:rPr>
                <w:rFonts w:ascii="Abadi" w:hAnsi="Abadi" w:cs="Calibri"/>
                <w:sz w:val="21"/>
                <w:szCs w:val="21"/>
              </w:rPr>
              <w:t>por el Ayuntamiento, a partir de</w:t>
            </w:r>
            <w:r w:rsidRPr="00401C70">
              <w:rPr>
                <w:rFonts w:ascii="Abadi" w:hAnsi="Abadi" w:cs="Calibri"/>
                <w:spacing w:val="1"/>
                <w:sz w:val="21"/>
                <w:szCs w:val="21"/>
              </w:rPr>
              <w:t xml:space="preserve"> </w:t>
            </w:r>
            <w:r w:rsidRPr="00401C70">
              <w:rPr>
                <w:rFonts w:ascii="Abadi" w:hAnsi="Abadi" w:cs="Calibri"/>
                <w:sz w:val="21"/>
                <w:szCs w:val="21"/>
              </w:rPr>
              <w:t>una terna formulada por un Comité Municipal</w:t>
            </w:r>
            <w:r w:rsidRPr="00401C70">
              <w:rPr>
                <w:rFonts w:ascii="Abadi" w:hAnsi="Abadi" w:cs="Calibri"/>
                <w:spacing w:val="1"/>
                <w:sz w:val="21"/>
                <w:szCs w:val="21"/>
              </w:rPr>
              <w:t xml:space="preserve"> </w:t>
            </w:r>
            <w:r w:rsidRPr="00401C70">
              <w:rPr>
                <w:rFonts w:ascii="Abadi" w:hAnsi="Abadi" w:cs="Calibri"/>
                <w:sz w:val="21"/>
                <w:szCs w:val="21"/>
              </w:rPr>
              <w:t>Ciudadano previsto en el artículo 18-1 de la</w:t>
            </w:r>
            <w:r w:rsidRPr="00401C70">
              <w:rPr>
                <w:rFonts w:ascii="Abadi" w:hAnsi="Abadi" w:cs="Calibri"/>
                <w:spacing w:val="1"/>
                <w:sz w:val="21"/>
                <w:szCs w:val="21"/>
              </w:rPr>
              <w:t xml:space="preserve"> </w:t>
            </w:r>
            <w:r w:rsidRPr="00401C70">
              <w:rPr>
                <w:rFonts w:ascii="Abadi" w:hAnsi="Abadi" w:cs="Calibri"/>
                <w:sz w:val="21"/>
                <w:szCs w:val="21"/>
              </w:rPr>
              <w:t>presente</w:t>
            </w:r>
            <w:r w:rsidRPr="00401C70">
              <w:rPr>
                <w:rFonts w:ascii="Abadi" w:hAnsi="Abadi" w:cs="Calibri"/>
                <w:spacing w:val="-8"/>
                <w:sz w:val="21"/>
                <w:szCs w:val="21"/>
              </w:rPr>
              <w:t xml:space="preserve"> </w:t>
            </w:r>
            <w:r w:rsidRPr="00401C70">
              <w:rPr>
                <w:rFonts w:ascii="Abadi" w:hAnsi="Abadi" w:cs="Calibri"/>
                <w:sz w:val="21"/>
                <w:szCs w:val="21"/>
              </w:rPr>
              <w:t>ley.</w:t>
            </w:r>
            <w:r w:rsidRPr="00401C70">
              <w:rPr>
                <w:rFonts w:ascii="Abadi" w:hAnsi="Abadi" w:cs="Calibri"/>
                <w:spacing w:val="-7"/>
                <w:sz w:val="21"/>
                <w:szCs w:val="21"/>
              </w:rPr>
              <w:t xml:space="preserve"> </w:t>
            </w:r>
            <w:r w:rsidRPr="00401C70">
              <w:rPr>
                <w:rFonts w:ascii="Abadi" w:hAnsi="Abadi" w:cs="Calibri"/>
                <w:b/>
                <w:bCs/>
                <w:i/>
                <w:iCs/>
                <w:sz w:val="21"/>
                <w:szCs w:val="21"/>
              </w:rPr>
              <w:t>En</w:t>
            </w:r>
            <w:r w:rsidRPr="00401C70">
              <w:rPr>
                <w:rFonts w:ascii="Abadi" w:hAnsi="Abadi" w:cs="Calibri"/>
                <w:b/>
                <w:bCs/>
                <w:i/>
                <w:iCs/>
                <w:spacing w:val="-7"/>
                <w:sz w:val="21"/>
                <w:szCs w:val="21"/>
              </w:rPr>
              <w:t xml:space="preserve"> </w:t>
            </w:r>
            <w:r w:rsidRPr="00401C70">
              <w:rPr>
                <w:rFonts w:ascii="Abadi" w:hAnsi="Abadi" w:cs="Calibri"/>
                <w:b/>
                <w:bCs/>
                <w:i/>
                <w:iCs/>
                <w:sz w:val="21"/>
                <w:szCs w:val="21"/>
              </w:rPr>
              <w:t>la</w:t>
            </w:r>
            <w:r w:rsidRPr="00401C70">
              <w:rPr>
                <w:rFonts w:ascii="Abadi" w:hAnsi="Abadi" w:cs="Calibri"/>
                <w:b/>
                <w:bCs/>
                <w:i/>
                <w:iCs/>
                <w:spacing w:val="-6"/>
                <w:sz w:val="21"/>
                <w:szCs w:val="21"/>
              </w:rPr>
              <w:t xml:space="preserve"> </w:t>
            </w:r>
            <w:r w:rsidRPr="00401C70">
              <w:rPr>
                <w:rFonts w:ascii="Abadi" w:hAnsi="Abadi" w:cs="Calibri"/>
                <w:b/>
                <w:bCs/>
                <w:i/>
                <w:iCs/>
                <w:sz w:val="21"/>
                <w:szCs w:val="21"/>
              </w:rPr>
              <w:t>conformación</w:t>
            </w:r>
            <w:r w:rsidRPr="00401C70">
              <w:rPr>
                <w:rFonts w:ascii="Abadi" w:hAnsi="Abadi" w:cs="Calibri"/>
                <w:b/>
                <w:bCs/>
                <w:i/>
                <w:iCs/>
                <w:spacing w:val="-7"/>
                <w:sz w:val="21"/>
                <w:szCs w:val="21"/>
              </w:rPr>
              <w:t xml:space="preserve"> </w:t>
            </w:r>
            <w:r w:rsidRPr="00401C70">
              <w:rPr>
                <w:rFonts w:ascii="Abadi" w:hAnsi="Abadi" w:cs="Calibri"/>
                <w:b/>
                <w:bCs/>
                <w:i/>
                <w:iCs/>
                <w:sz w:val="21"/>
                <w:szCs w:val="21"/>
              </w:rPr>
              <w:t>de</w:t>
            </w:r>
            <w:r w:rsidRPr="00401C70">
              <w:rPr>
                <w:rFonts w:ascii="Abadi" w:hAnsi="Abadi" w:cs="Calibri"/>
                <w:b/>
                <w:bCs/>
                <w:i/>
                <w:iCs/>
                <w:spacing w:val="-9"/>
                <w:sz w:val="21"/>
                <w:szCs w:val="21"/>
              </w:rPr>
              <w:t xml:space="preserve"> </w:t>
            </w:r>
            <w:r w:rsidRPr="00401C70">
              <w:rPr>
                <w:rFonts w:ascii="Abadi" w:hAnsi="Abadi" w:cs="Calibri"/>
                <w:b/>
                <w:bCs/>
                <w:i/>
                <w:iCs/>
                <w:sz w:val="21"/>
                <w:szCs w:val="21"/>
              </w:rPr>
              <w:t>la</w:t>
            </w:r>
            <w:r w:rsidRPr="00401C70">
              <w:rPr>
                <w:rFonts w:ascii="Abadi" w:hAnsi="Abadi" w:cs="Calibri"/>
                <w:b/>
                <w:bCs/>
                <w:i/>
                <w:iCs/>
                <w:spacing w:val="-7"/>
                <w:sz w:val="21"/>
                <w:szCs w:val="21"/>
              </w:rPr>
              <w:t xml:space="preserve"> </w:t>
            </w:r>
            <w:r w:rsidRPr="00401C70">
              <w:rPr>
                <w:rFonts w:ascii="Abadi" w:hAnsi="Abadi" w:cs="Calibri"/>
                <w:b/>
                <w:bCs/>
                <w:i/>
                <w:iCs/>
                <w:sz w:val="21"/>
                <w:szCs w:val="21"/>
              </w:rPr>
              <w:t>terna</w:t>
            </w:r>
            <w:r w:rsidRPr="00401C70">
              <w:rPr>
                <w:rFonts w:ascii="Abadi" w:hAnsi="Abadi" w:cs="Calibri"/>
                <w:b/>
                <w:bCs/>
                <w:i/>
                <w:iCs/>
                <w:spacing w:val="-8"/>
                <w:sz w:val="21"/>
                <w:szCs w:val="21"/>
              </w:rPr>
              <w:t xml:space="preserve"> </w:t>
            </w:r>
            <w:r w:rsidRPr="00401C70">
              <w:rPr>
                <w:rFonts w:ascii="Abadi" w:hAnsi="Abadi" w:cs="Calibri"/>
                <w:b/>
                <w:bCs/>
                <w:i/>
                <w:iCs/>
                <w:sz w:val="21"/>
                <w:szCs w:val="21"/>
              </w:rPr>
              <w:t>se</w:t>
            </w:r>
            <w:r w:rsidRPr="00401C70">
              <w:rPr>
                <w:rFonts w:ascii="Abadi" w:hAnsi="Abadi" w:cs="Calibri"/>
                <w:b/>
                <w:bCs/>
                <w:i/>
                <w:iCs/>
                <w:spacing w:val="-47"/>
                <w:sz w:val="21"/>
                <w:szCs w:val="21"/>
              </w:rPr>
              <w:t xml:space="preserve"> </w:t>
            </w:r>
            <w:r w:rsidRPr="00401C70">
              <w:rPr>
                <w:rFonts w:ascii="Abadi" w:hAnsi="Abadi" w:cs="Calibri"/>
                <w:b/>
                <w:bCs/>
                <w:i/>
                <w:iCs/>
                <w:sz w:val="21"/>
                <w:szCs w:val="21"/>
              </w:rPr>
              <w:t>deberá garantizar la alternancia en el género</w:t>
            </w:r>
            <w:r w:rsidRPr="00401C70">
              <w:rPr>
                <w:rFonts w:ascii="Abadi" w:hAnsi="Abadi" w:cs="Calibri"/>
                <w:b/>
                <w:bCs/>
                <w:i/>
                <w:iCs/>
                <w:spacing w:val="1"/>
                <w:sz w:val="21"/>
                <w:szCs w:val="21"/>
              </w:rPr>
              <w:t xml:space="preserve"> </w:t>
            </w:r>
            <w:r w:rsidRPr="00401C70">
              <w:rPr>
                <w:rFonts w:ascii="Abadi" w:hAnsi="Abadi" w:cs="Calibri"/>
                <w:b/>
                <w:bCs/>
                <w:i/>
                <w:iCs/>
                <w:sz w:val="21"/>
                <w:szCs w:val="21"/>
              </w:rPr>
              <w:t>de</w:t>
            </w:r>
            <w:r w:rsidRPr="00401C70">
              <w:rPr>
                <w:rFonts w:ascii="Abadi" w:hAnsi="Abadi" w:cs="Calibri"/>
                <w:b/>
                <w:bCs/>
                <w:i/>
                <w:iCs/>
                <w:spacing w:val="-6"/>
                <w:sz w:val="21"/>
                <w:szCs w:val="21"/>
              </w:rPr>
              <w:t xml:space="preserve"> </w:t>
            </w:r>
            <w:r w:rsidRPr="00401C70">
              <w:rPr>
                <w:rFonts w:ascii="Abadi" w:hAnsi="Abadi" w:cs="Calibri"/>
                <w:b/>
                <w:bCs/>
                <w:i/>
                <w:iCs/>
                <w:sz w:val="21"/>
                <w:szCs w:val="21"/>
              </w:rPr>
              <w:t>la</w:t>
            </w:r>
            <w:r w:rsidRPr="00401C70">
              <w:rPr>
                <w:rFonts w:ascii="Abadi" w:hAnsi="Abadi" w:cs="Calibri"/>
                <w:b/>
                <w:bCs/>
                <w:i/>
                <w:iCs/>
                <w:spacing w:val="-7"/>
                <w:sz w:val="21"/>
                <w:szCs w:val="21"/>
              </w:rPr>
              <w:t xml:space="preserve"> </w:t>
            </w:r>
            <w:r w:rsidRPr="00401C70">
              <w:rPr>
                <w:rFonts w:ascii="Abadi" w:hAnsi="Abadi" w:cs="Calibri"/>
                <w:b/>
                <w:bCs/>
                <w:i/>
                <w:iCs/>
                <w:sz w:val="21"/>
                <w:szCs w:val="21"/>
              </w:rPr>
              <w:t>persona</w:t>
            </w:r>
            <w:r w:rsidRPr="00401C70">
              <w:rPr>
                <w:rFonts w:ascii="Abadi" w:hAnsi="Abadi" w:cs="Calibri"/>
                <w:b/>
                <w:bCs/>
                <w:i/>
                <w:iCs/>
                <w:spacing w:val="-4"/>
                <w:sz w:val="21"/>
                <w:szCs w:val="21"/>
              </w:rPr>
              <w:t xml:space="preserve"> </w:t>
            </w:r>
            <w:r w:rsidRPr="00401C70">
              <w:rPr>
                <w:rFonts w:ascii="Abadi" w:hAnsi="Abadi" w:cs="Calibri"/>
                <w:b/>
                <w:bCs/>
                <w:i/>
                <w:iCs/>
                <w:sz w:val="21"/>
                <w:szCs w:val="21"/>
              </w:rPr>
              <w:t>Jueza</w:t>
            </w:r>
            <w:r w:rsidRPr="00401C70">
              <w:rPr>
                <w:rFonts w:ascii="Abadi" w:hAnsi="Abadi" w:cs="Calibri"/>
                <w:b/>
                <w:bCs/>
                <w:i/>
                <w:iCs/>
                <w:spacing w:val="-4"/>
                <w:sz w:val="21"/>
                <w:szCs w:val="21"/>
              </w:rPr>
              <w:t xml:space="preserve"> </w:t>
            </w:r>
            <w:r w:rsidRPr="00401C70">
              <w:rPr>
                <w:rFonts w:ascii="Abadi" w:hAnsi="Abadi" w:cs="Calibri"/>
                <w:b/>
                <w:bCs/>
                <w:i/>
                <w:iCs/>
                <w:sz w:val="21"/>
                <w:szCs w:val="21"/>
              </w:rPr>
              <w:t>Administrativa</w:t>
            </w:r>
            <w:r w:rsidRPr="00401C70">
              <w:rPr>
                <w:rFonts w:ascii="Abadi" w:hAnsi="Abadi" w:cs="Calibri"/>
                <w:b/>
                <w:bCs/>
                <w:i/>
                <w:iCs/>
                <w:spacing w:val="-5"/>
                <w:sz w:val="21"/>
                <w:szCs w:val="21"/>
              </w:rPr>
              <w:t xml:space="preserve"> </w:t>
            </w:r>
            <w:r w:rsidRPr="00401C70">
              <w:rPr>
                <w:rFonts w:ascii="Abadi" w:hAnsi="Abadi" w:cs="Calibri"/>
                <w:b/>
                <w:bCs/>
                <w:i/>
                <w:iCs/>
                <w:sz w:val="21"/>
                <w:szCs w:val="21"/>
              </w:rPr>
              <w:t>Municipal.</w:t>
            </w:r>
          </w:p>
        </w:tc>
      </w:tr>
      <w:tr w:rsidR="00677B7E" w:rsidRPr="00401C70" w14:paraId="01C10954" w14:textId="77777777" w:rsidTr="00125269">
        <w:trPr>
          <w:trHeight w:val="2418"/>
        </w:trPr>
        <w:tc>
          <w:tcPr>
            <w:tcW w:w="2500" w:type="pct"/>
            <w:tcBorders>
              <w:top w:val="none" w:sz="6" w:space="0" w:color="auto"/>
              <w:left w:val="single" w:sz="4" w:space="0" w:color="000000"/>
              <w:bottom w:val="none" w:sz="6" w:space="0" w:color="auto"/>
              <w:right w:val="single" w:sz="4" w:space="0" w:color="000000"/>
            </w:tcBorders>
          </w:tcPr>
          <w:p w14:paraId="22F62807" w14:textId="77777777" w:rsidR="00677B7E" w:rsidRPr="00401C70" w:rsidRDefault="00677B7E" w:rsidP="00FA2590">
            <w:pPr>
              <w:kinsoku w:val="0"/>
              <w:overflowPunct w:val="0"/>
              <w:autoSpaceDE w:val="0"/>
              <w:autoSpaceDN w:val="0"/>
              <w:adjustRightInd w:val="0"/>
              <w:spacing w:before="114"/>
              <w:ind w:left="107" w:right="92"/>
              <w:jc w:val="both"/>
              <w:rPr>
                <w:rFonts w:ascii="Abadi" w:hAnsi="Abadi" w:cs="Calibri"/>
                <w:sz w:val="21"/>
                <w:szCs w:val="21"/>
              </w:rPr>
            </w:pPr>
            <w:r w:rsidRPr="00401C70">
              <w:rPr>
                <w:rFonts w:ascii="Abadi" w:hAnsi="Abadi" w:cs="Calibri"/>
                <w:sz w:val="21"/>
                <w:szCs w:val="21"/>
              </w:rPr>
              <w:t>En el caso de ausencia definitiva del titular del</w:t>
            </w:r>
            <w:r w:rsidRPr="00401C70">
              <w:rPr>
                <w:rFonts w:ascii="Abadi" w:hAnsi="Abadi" w:cs="Calibri"/>
                <w:spacing w:val="1"/>
                <w:sz w:val="21"/>
                <w:szCs w:val="21"/>
              </w:rPr>
              <w:t xml:space="preserve"> </w:t>
            </w:r>
            <w:r w:rsidRPr="00401C70">
              <w:rPr>
                <w:rFonts w:ascii="Abadi" w:hAnsi="Abadi" w:cs="Calibri"/>
                <w:sz w:val="21"/>
                <w:szCs w:val="21"/>
              </w:rPr>
              <w:t>Juzgado Administrativo Municipal, por causas</w:t>
            </w:r>
            <w:r w:rsidRPr="00401C70">
              <w:rPr>
                <w:rFonts w:ascii="Abadi" w:hAnsi="Abadi" w:cs="Calibri"/>
                <w:spacing w:val="1"/>
                <w:sz w:val="21"/>
                <w:szCs w:val="21"/>
              </w:rPr>
              <w:t xml:space="preserve"> </w:t>
            </w:r>
            <w:r w:rsidRPr="00401C70">
              <w:rPr>
                <w:rFonts w:ascii="Abadi" w:hAnsi="Abadi" w:cs="Calibri"/>
                <w:sz w:val="21"/>
                <w:szCs w:val="21"/>
              </w:rPr>
              <w:t>diversas</w:t>
            </w:r>
            <w:r w:rsidRPr="00401C70">
              <w:rPr>
                <w:rFonts w:ascii="Abadi" w:hAnsi="Abadi" w:cs="Calibri"/>
                <w:spacing w:val="1"/>
                <w:sz w:val="21"/>
                <w:szCs w:val="21"/>
              </w:rPr>
              <w:t xml:space="preserve"> </w:t>
            </w:r>
            <w:r w:rsidRPr="00401C70">
              <w:rPr>
                <w:rFonts w:ascii="Abadi" w:hAnsi="Abadi" w:cs="Calibri"/>
                <w:sz w:val="21"/>
                <w:szCs w:val="21"/>
              </w:rPr>
              <w:t>a</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conclusión</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su</w:t>
            </w:r>
            <w:r w:rsidRPr="00401C70">
              <w:rPr>
                <w:rFonts w:ascii="Abadi" w:hAnsi="Abadi" w:cs="Calibri"/>
                <w:spacing w:val="1"/>
                <w:sz w:val="21"/>
                <w:szCs w:val="21"/>
              </w:rPr>
              <w:t xml:space="preserve"> </w:t>
            </w:r>
            <w:r w:rsidRPr="00401C70">
              <w:rPr>
                <w:rFonts w:ascii="Abadi" w:hAnsi="Abadi" w:cs="Calibri"/>
                <w:sz w:val="21"/>
                <w:szCs w:val="21"/>
              </w:rPr>
              <w:t>periodo,</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Ayuntamiento designará al nuevo titular a más</w:t>
            </w:r>
            <w:r w:rsidRPr="00401C70">
              <w:rPr>
                <w:rFonts w:ascii="Abadi" w:hAnsi="Abadi" w:cs="Calibri"/>
                <w:spacing w:val="-47"/>
                <w:sz w:val="21"/>
                <w:szCs w:val="21"/>
              </w:rPr>
              <w:t xml:space="preserve"> </w:t>
            </w:r>
            <w:r w:rsidRPr="00401C70">
              <w:rPr>
                <w:rFonts w:ascii="Abadi" w:hAnsi="Abadi" w:cs="Calibri"/>
                <w:sz w:val="21"/>
                <w:szCs w:val="21"/>
              </w:rPr>
              <w:t>tardar cuarenta y cinco días posteriores a la</w:t>
            </w:r>
            <w:r w:rsidRPr="00401C70">
              <w:rPr>
                <w:rFonts w:ascii="Abadi" w:hAnsi="Abadi" w:cs="Calibri"/>
                <w:spacing w:val="1"/>
                <w:sz w:val="21"/>
                <w:szCs w:val="21"/>
              </w:rPr>
              <w:t xml:space="preserve"> </w:t>
            </w:r>
            <w:r w:rsidRPr="00401C70">
              <w:rPr>
                <w:rFonts w:ascii="Abadi" w:hAnsi="Abadi" w:cs="Calibri"/>
                <w:sz w:val="21"/>
                <w:szCs w:val="21"/>
              </w:rPr>
              <w:t>fecha</w:t>
            </w:r>
            <w:r w:rsidRPr="00401C70">
              <w:rPr>
                <w:rFonts w:ascii="Abadi" w:hAnsi="Abadi" w:cs="Calibri"/>
                <w:spacing w:val="1"/>
                <w:sz w:val="21"/>
                <w:szCs w:val="21"/>
              </w:rPr>
              <w:t xml:space="preserve"> </w:t>
            </w:r>
            <w:r w:rsidRPr="00401C70">
              <w:rPr>
                <w:rFonts w:ascii="Abadi" w:hAnsi="Abadi" w:cs="Calibri"/>
                <w:sz w:val="21"/>
                <w:szCs w:val="21"/>
              </w:rPr>
              <w:t>en</w:t>
            </w:r>
            <w:r w:rsidRPr="00401C70">
              <w:rPr>
                <w:rFonts w:ascii="Abadi" w:hAnsi="Abadi" w:cs="Calibri"/>
                <w:spacing w:val="1"/>
                <w:sz w:val="21"/>
                <w:szCs w:val="21"/>
              </w:rPr>
              <w:t xml:space="preserve"> </w:t>
            </w:r>
            <w:r w:rsidRPr="00401C70">
              <w:rPr>
                <w:rFonts w:ascii="Abadi" w:hAnsi="Abadi" w:cs="Calibri"/>
                <w:sz w:val="21"/>
                <w:szCs w:val="21"/>
              </w:rPr>
              <w:t>se</w:t>
            </w:r>
            <w:r w:rsidRPr="00401C70">
              <w:rPr>
                <w:rFonts w:ascii="Abadi" w:hAnsi="Abadi" w:cs="Calibri"/>
                <w:spacing w:val="1"/>
                <w:sz w:val="21"/>
                <w:szCs w:val="21"/>
              </w:rPr>
              <w:t xml:space="preserve"> </w:t>
            </w:r>
            <w:r w:rsidRPr="00401C70">
              <w:rPr>
                <w:rFonts w:ascii="Abadi" w:hAnsi="Abadi" w:cs="Calibri"/>
                <w:sz w:val="21"/>
                <w:szCs w:val="21"/>
              </w:rPr>
              <w:t>determine</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vacante,</w:t>
            </w:r>
            <w:r w:rsidRPr="00401C70">
              <w:rPr>
                <w:rFonts w:ascii="Abadi" w:hAnsi="Abadi" w:cs="Calibri"/>
                <w:spacing w:val="1"/>
                <w:sz w:val="21"/>
                <w:szCs w:val="21"/>
              </w:rPr>
              <w:t xml:space="preserve"> </w:t>
            </w:r>
            <w:r w:rsidRPr="00401C70">
              <w:rPr>
                <w:rFonts w:ascii="Abadi" w:hAnsi="Abadi" w:cs="Calibri"/>
                <w:sz w:val="21"/>
                <w:szCs w:val="21"/>
              </w:rPr>
              <w:t>en</w:t>
            </w:r>
            <w:r w:rsidRPr="00401C70">
              <w:rPr>
                <w:rFonts w:ascii="Abadi" w:hAnsi="Abadi" w:cs="Calibri"/>
                <w:spacing w:val="1"/>
                <w:sz w:val="21"/>
                <w:szCs w:val="21"/>
              </w:rPr>
              <w:t xml:space="preserve"> </w:t>
            </w: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términos</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proceso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nombramiento</w:t>
            </w:r>
            <w:r w:rsidRPr="00401C70">
              <w:rPr>
                <w:rFonts w:ascii="Abadi" w:hAnsi="Abadi" w:cs="Calibri"/>
                <w:spacing w:val="-47"/>
                <w:sz w:val="21"/>
                <w:szCs w:val="21"/>
              </w:rPr>
              <w:t xml:space="preserve"> </w:t>
            </w:r>
            <w:r w:rsidRPr="00401C70">
              <w:rPr>
                <w:rFonts w:ascii="Abadi" w:hAnsi="Abadi" w:cs="Calibri"/>
                <w:sz w:val="21"/>
                <w:szCs w:val="21"/>
              </w:rPr>
              <w:t>previsto</w:t>
            </w:r>
            <w:r w:rsidRPr="00401C70">
              <w:rPr>
                <w:rFonts w:ascii="Abadi" w:hAnsi="Abadi" w:cs="Calibri"/>
                <w:spacing w:val="-2"/>
                <w:sz w:val="21"/>
                <w:szCs w:val="21"/>
              </w:rPr>
              <w:t xml:space="preserve"> </w:t>
            </w:r>
            <w:r w:rsidRPr="00401C70">
              <w:rPr>
                <w:rFonts w:ascii="Abadi" w:hAnsi="Abadi" w:cs="Calibri"/>
                <w:sz w:val="21"/>
                <w:szCs w:val="21"/>
              </w:rPr>
              <w:t>en el presente</w:t>
            </w:r>
            <w:r w:rsidRPr="00401C70">
              <w:rPr>
                <w:rFonts w:ascii="Abadi" w:hAnsi="Abadi" w:cs="Calibri"/>
                <w:spacing w:val="1"/>
                <w:sz w:val="21"/>
                <w:szCs w:val="21"/>
              </w:rPr>
              <w:t xml:space="preserve"> </w:t>
            </w:r>
            <w:r w:rsidRPr="00401C70">
              <w:rPr>
                <w:rFonts w:ascii="Abadi" w:hAnsi="Abadi" w:cs="Calibri"/>
                <w:sz w:val="21"/>
                <w:szCs w:val="21"/>
              </w:rPr>
              <w:t>artículo.</w:t>
            </w:r>
          </w:p>
        </w:tc>
        <w:tc>
          <w:tcPr>
            <w:tcW w:w="2500" w:type="pct"/>
            <w:tcBorders>
              <w:top w:val="none" w:sz="6" w:space="0" w:color="auto"/>
              <w:left w:val="single" w:sz="4" w:space="0" w:color="000000"/>
              <w:bottom w:val="none" w:sz="6" w:space="0" w:color="auto"/>
              <w:right w:val="single" w:sz="4" w:space="0" w:color="000000"/>
            </w:tcBorders>
          </w:tcPr>
          <w:p w14:paraId="586A5162" w14:textId="77777777" w:rsidR="00677B7E" w:rsidRPr="00401C70" w:rsidRDefault="00677B7E" w:rsidP="00FA2590">
            <w:pPr>
              <w:kinsoku w:val="0"/>
              <w:overflowPunct w:val="0"/>
              <w:autoSpaceDE w:val="0"/>
              <w:autoSpaceDN w:val="0"/>
              <w:adjustRightInd w:val="0"/>
              <w:spacing w:before="114"/>
              <w:ind w:left="107" w:right="91"/>
              <w:jc w:val="both"/>
              <w:rPr>
                <w:rFonts w:ascii="Abadi" w:hAnsi="Abadi" w:cs="Calibri"/>
                <w:sz w:val="21"/>
                <w:szCs w:val="21"/>
              </w:rPr>
            </w:pPr>
            <w:r w:rsidRPr="00401C70">
              <w:rPr>
                <w:rFonts w:ascii="Abadi" w:hAnsi="Abadi" w:cs="Calibri"/>
                <w:sz w:val="21"/>
                <w:szCs w:val="21"/>
              </w:rPr>
              <w:t xml:space="preserve">En el caso de ausencia definitiva </w:t>
            </w:r>
            <w:r w:rsidRPr="00401C70">
              <w:rPr>
                <w:rFonts w:ascii="Abadi" w:hAnsi="Abadi" w:cs="Calibri"/>
                <w:b/>
                <w:bCs/>
                <w:i/>
                <w:iCs/>
                <w:sz w:val="21"/>
                <w:szCs w:val="21"/>
              </w:rPr>
              <w:t>de la persona</w:t>
            </w:r>
            <w:r w:rsidRPr="00401C70">
              <w:rPr>
                <w:rFonts w:ascii="Abadi" w:hAnsi="Abadi" w:cs="Calibri"/>
                <w:b/>
                <w:bCs/>
                <w:i/>
                <w:iCs/>
                <w:spacing w:val="1"/>
                <w:sz w:val="21"/>
                <w:szCs w:val="21"/>
              </w:rPr>
              <w:t xml:space="preserve"> </w:t>
            </w:r>
            <w:r w:rsidRPr="00401C70">
              <w:rPr>
                <w:rFonts w:ascii="Abadi" w:hAnsi="Abadi" w:cs="Calibri"/>
                <w:b/>
                <w:bCs/>
                <w:i/>
                <w:iCs/>
                <w:sz w:val="21"/>
                <w:szCs w:val="21"/>
              </w:rPr>
              <w:t xml:space="preserve">titular </w:t>
            </w:r>
            <w:r w:rsidRPr="00401C70">
              <w:rPr>
                <w:rFonts w:ascii="Abadi" w:hAnsi="Abadi" w:cs="Calibri"/>
                <w:sz w:val="21"/>
                <w:szCs w:val="21"/>
              </w:rPr>
              <w:t>del Juzgado Administrativo Municipal,</w:t>
            </w:r>
            <w:r w:rsidRPr="00401C70">
              <w:rPr>
                <w:rFonts w:ascii="Abadi" w:hAnsi="Abadi" w:cs="Calibri"/>
                <w:spacing w:val="1"/>
                <w:sz w:val="21"/>
                <w:szCs w:val="21"/>
              </w:rPr>
              <w:t xml:space="preserve"> </w:t>
            </w:r>
            <w:r w:rsidRPr="00401C70">
              <w:rPr>
                <w:rFonts w:ascii="Abadi" w:hAnsi="Abadi" w:cs="Calibri"/>
                <w:sz w:val="21"/>
                <w:szCs w:val="21"/>
              </w:rPr>
              <w:t>por</w:t>
            </w:r>
            <w:r w:rsidRPr="00401C70">
              <w:rPr>
                <w:rFonts w:ascii="Abadi" w:hAnsi="Abadi" w:cs="Calibri"/>
                <w:spacing w:val="1"/>
                <w:sz w:val="21"/>
                <w:szCs w:val="21"/>
              </w:rPr>
              <w:t xml:space="preserve"> </w:t>
            </w:r>
            <w:r w:rsidRPr="00401C70">
              <w:rPr>
                <w:rFonts w:ascii="Abadi" w:hAnsi="Abadi" w:cs="Calibri"/>
                <w:sz w:val="21"/>
                <w:szCs w:val="21"/>
              </w:rPr>
              <w:t>causas</w:t>
            </w:r>
            <w:r w:rsidRPr="00401C70">
              <w:rPr>
                <w:rFonts w:ascii="Abadi" w:hAnsi="Abadi" w:cs="Calibri"/>
                <w:spacing w:val="1"/>
                <w:sz w:val="21"/>
                <w:szCs w:val="21"/>
              </w:rPr>
              <w:t xml:space="preserve"> </w:t>
            </w:r>
            <w:r w:rsidRPr="00401C70">
              <w:rPr>
                <w:rFonts w:ascii="Abadi" w:hAnsi="Abadi" w:cs="Calibri"/>
                <w:sz w:val="21"/>
                <w:szCs w:val="21"/>
              </w:rPr>
              <w:t>diversas</w:t>
            </w:r>
            <w:r w:rsidRPr="00401C70">
              <w:rPr>
                <w:rFonts w:ascii="Abadi" w:hAnsi="Abadi" w:cs="Calibri"/>
                <w:spacing w:val="1"/>
                <w:sz w:val="21"/>
                <w:szCs w:val="21"/>
              </w:rPr>
              <w:t xml:space="preserve"> </w:t>
            </w:r>
            <w:r w:rsidRPr="00401C70">
              <w:rPr>
                <w:rFonts w:ascii="Abadi" w:hAnsi="Abadi" w:cs="Calibri"/>
                <w:sz w:val="21"/>
                <w:szCs w:val="21"/>
              </w:rPr>
              <w:t>a</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conclusión</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su</w:t>
            </w:r>
            <w:r w:rsidRPr="00401C70">
              <w:rPr>
                <w:rFonts w:ascii="Abadi" w:hAnsi="Abadi" w:cs="Calibri"/>
                <w:spacing w:val="1"/>
                <w:sz w:val="21"/>
                <w:szCs w:val="21"/>
              </w:rPr>
              <w:t xml:space="preserve"> </w:t>
            </w:r>
            <w:r w:rsidRPr="00401C70">
              <w:rPr>
                <w:rFonts w:ascii="Abadi" w:hAnsi="Abadi" w:cs="Calibri"/>
                <w:sz w:val="21"/>
                <w:szCs w:val="21"/>
              </w:rPr>
              <w:t xml:space="preserve">periodo, el Ayuntamiento designará </w:t>
            </w:r>
            <w:r w:rsidRPr="00401C70">
              <w:rPr>
                <w:rFonts w:ascii="Abadi" w:hAnsi="Abadi" w:cs="Calibri"/>
                <w:b/>
                <w:bCs/>
                <w:i/>
                <w:iCs/>
                <w:sz w:val="21"/>
                <w:szCs w:val="21"/>
              </w:rPr>
              <w:t>a la nueva</w:t>
            </w:r>
            <w:r w:rsidRPr="00401C70">
              <w:rPr>
                <w:rFonts w:ascii="Abadi" w:hAnsi="Abadi" w:cs="Calibri"/>
                <w:b/>
                <w:bCs/>
                <w:i/>
                <w:iCs/>
                <w:spacing w:val="-48"/>
                <w:sz w:val="21"/>
                <w:szCs w:val="21"/>
              </w:rPr>
              <w:t xml:space="preserve"> </w:t>
            </w:r>
            <w:r w:rsidRPr="00401C70">
              <w:rPr>
                <w:rFonts w:ascii="Abadi" w:hAnsi="Abadi" w:cs="Calibri"/>
                <w:sz w:val="21"/>
                <w:szCs w:val="21"/>
              </w:rPr>
              <w:t>titular</w:t>
            </w:r>
            <w:r w:rsidRPr="00401C70">
              <w:rPr>
                <w:rFonts w:ascii="Abadi" w:hAnsi="Abadi" w:cs="Calibri"/>
                <w:spacing w:val="1"/>
                <w:sz w:val="21"/>
                <w:szCs w:val="21"/>
              </w:rPr>
              <w:t xml:space="preserve"> </w:t>
            </w:r>
            <w:r w:rsidRPr="00401C70">
              <w:rPr>
                <w:rFonts w:ascii="Abadi" w:hAnsi="Abadi" w:cs="Calibri"/>
                <w:sz w:val="21"/>
                <w:szCs w:val="21"/>
              </w:rPr>
              <w:t>a</w:t>
            </w:r>
            <w:r w:rsidRPr="00401C70">
              <w:rPr>
                <w:rFonts w:ascii="Abadi" w:hAnsi="Abadi" w:cs="Calibri"/>
                <w:spacing w:val="1"/>
                <w:sz w:val="21"/>
                <w:szCs w:val="21"/>
              </w:rPr>
              <w:t xml:space="preserve"> </w:t>
            </w:r>
            <w:r w:rsidRPr="00401C70">
              <w:rPr>
                <w:rFonts w:ascii="Abadi" w:hAnsi="Abadi" w:cs="Calibri"/>
                <w:sz w:val="21"/>
                <w:szCs w:val="21"/>
              </w:rPr>
              <w:t>más</w:t>
            </w:r>
            <w:r w:rsidRPr="00401C70">
              <w:rPr>
                <w:rFonts w:ascii="Abadi" w:hAnsi="Abadi" w:cs="Calibri"/>
                <w:spacing w:val="1"/>
                <w:sz w:val="21"/>
                <w:szCs w:val="21"/>
              </w:rPr>
              <w:t xml:space="preserve"> </w:t>
            </w:r>
            <w:r w:rsidRPr="00401C70">
              <w:rPr>
                <w:rFonts w:ascii="Abadi" w:hAnsi="Abadi" w:cs="Calibri"/>
                <w:sz w:val="21"/>
                <w:szCs w:val="21"/>
              </w:rPr>
              <w:t>tardar</w:t>
            </w:r>
            <w:r w:rsidRPr="00401C70">
              <w:rPr>
                <w:rFonts w:ascii="Abadi" w:hAnsi="Abadi" w:cs="Calibri"/>
                <w:spacing w:val="1"/>
                <w:sz w:val="21"/>
                <w:szCs w:val="21"/>
              </w:rPr>
              <w:t xml:space="preserve"> </w:t>
            </w:r>
            <w:r w:rsidRPr="00401C70">
              <w:rPr>
                <w:rFonts w:ascii="Abadi" w:hAnsi="Abadi" w:cs="Calibri"/>
                <w:sz w:val="21"/>
                <w:szCs w:val="21"/>
              </w:rPr>
              <w:t>cuarenta</w:t>
            </w:r>
            <w:r w:rsidRPr="00401C70">
              <w:rPr>
                <w:rFonts w:ascii="Abadi" w:hAnsi="Abadi" w:cs="Calibri"/>
                <w:spacing w:val="1"/>
                <w:sz w:val="21"/>
                <w:szCs w:val="21"/>
              </w:rPr>
              <w:t xml:space="preserve"> </w:t>
            </w:r>
            <w:r w:rsidRPr="00401C70">
              <w:rPr>
                <w:rFonts w:ascii="Abadi" w:hAnsi="Abadi" w:cs="Calibri"/>
                <w:sz w:val="21"/>
                <w:szCs w:val="21"/>
              </w:rPr>
              <w:t>y</w:t>
            </w:r>
            <w:r w:rsidRPr="00401C70">
              <w:rPr>
                <w:rFonts w:ascii="Abadi" w:hAnsi="Abadi" w:cs="Calibri"/>
                <w:spacing w:val="1"/>
                <w:sz w:val="21"/>
                <w:szCs w:val="21"/>
              </w:rPr>
              <w:t xml:space="preserve"> </w:t>
            </w:r>
            <w:r w:rsidRPr="00401C70">
              <w:rPr>
                <w:rFonts w:ascii="Abadi" w:hAnsi="Abadi" w:cs="Calibri"/>
                <w:sz w:val="21"/>
                <w:szCs w:val="21"/>
              </w:rPr>
              <w:t>cinco</w:t>
            </w:r>
            <w:r w:rsidRPr="00401C70">
              <w:rPr>
                <w:rFonts w:ascii="Abadi" w:hAnsi="Abadi" w:cs="Calibri"/>
                <w:spacing w:val="1"/>
                <w:sz w:val="21"/>
                <w:szCs w:val="21"/>
              </w:rPr>
              <w:t xml:space="preserve"> </w:t>
            </w:r>
            <w:r w:rsidRPr="00401C70">
              <w:rPr>
                <w:rFonts w:ascii="Abadi" w:hAnsi="Abadi" w:cs="Calibri"/>
                <w:sz w:val="21"/>
                <w:szCs w:val="21"/>
              </w:rPr>
              <w:t>días</w:t>
            </w:r>
            <w:r w:rsidRPr="00401C70">
              <w:rPr>
                <w:rFonts w:ascii="Abadi" w:hAnsi="Abadi" w:cs="Calibri"/>
                <w:spacing w:val="1"/>
                <w:sz w:val="21"/>
                <w:szCs w:val="21"/>
              </w:rPr>
              <w:t xml:space="preserve"> </w:t>
            </w:r>
            <w:r w:rsidRPr="00401C70">
              <w:rPr>
                <w:rFonts w:ascii="Abadi" w:hAnsi="Abadi" w:cs="Calibri"/>
                <w:sz w:val="21"/>
                <w:szCs w:val="21"/>
              </w:rPr>
              <w:t xml:space="preserve">posteriores a la fecha en </w:t>
            </w:r>
            <w:r w:rsidRPr="00401C70">
              <w:rPr>
                <w:rFonts w:ascii="Abadi" w:hAnsi="Abadi" w:cs="Calibri"/>
                <w:b/>
                <w:bCs/>
                <w:i/>
                <w:iCs/>
                <w:sz w:val="21"/>
                <w:szCs w:val="21"/>
              </w:rPr>
              <w:t xml:space="preserve">que </w:t>
            </w:r>
            <w:r w:rsidRPr="00401C70">
              <w:rPr>
                <w:rFonts w:ascii="Abadi" w:hAnsi="Abadi" w:cs="Calibri"/>
                <w:sz w:val="21"/>
                <w:szCs w:val="21"/>
              </w:rPr>
              <w:t>se determine la</w:t>
            </w:r>
            <w:r w:rsidRPr="00401C70">
              <w:rPr>
                <w:rFonts w:ascii="Abadi" w:hAnsi="Abadi" w:cs="Calibri"/>
                <w:spacing w:val="1"/>
                <w:sz w:val="21"/>
                <w:szCs w:val="21"/>
              </w:rPr>
              <w:t xml:space="preserve"> </w:t>
            </w:r>
            <w:r w:rsidRPr="00401C70">
              <w:rPr>
                <w:rFonts w:ascii="Abadi" w:hAnsi="Abadi" w:cs="Calibri"/>
                <w:sz w:val="21"/>
                <w:szCs w:val="21"/>
              </w:rPr>
              <w:t>vacante,</w:t>
            </w:r>
            <w:r w:rsidRPr="00401C70">
              <w:rPr>
                <w:rFonts w:ascii="Abadi" w:hAnsi="Abadi" w:cs="Calibri"/>
                <w:spacing w:val="1"/>
                <w:sz w:val="21"/>
                <w:szCs w:val="21"/>
              </w:rPr>
              <w:t xml:space="preserve"> </w:t>
            </w:r>
            <w:r w:rsidRPr="00401C70">
              <w:rPr>
                <w:rFonts w:ascii="Abadi" w:hAnsi="Abadi" w:cs="Calibri"/>
                <w:sz w:val="21"/>
                <w:szCs w:val="21"/>
              </w:rPr>
              <w:t>en</w:t>
            </w:r>
            <w:r w:rsidRPr="00401C70">
              <w:rPr>
                <w:rFonts w:ascii="Abadi" w:hAnsi="Abadi" w:cs="Calibri"/>
                <w:spacing w:val="1"/>
                <w:sz w:val="21"/>
                <w:szCs w:val="21"/>
              </w:rPr>
              <w:t xml:space="preserve"> </w:t>
            </w: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términos</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proceso</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pacing w:val="-1"/>
                <w:sz w:val="21"/>
                <w:szCs w:val="21"/>
              </w:rPr>
              <w:t>nombramiento</w:t>
            </w:r>
            <w:r w:rsidRPr="00401C70">
              <w:rPr>
                <w:rFonts w:ascii="Abadi" w:hAnsi="Abadi" w:cs="Calibri"/>
                <w:spacing w:val="-8"/>
                <w:sz w:val="21"/>
                <w:szCs w:val="21"/>
              </w:rPr>
              <w:t xml:space="preserve"> </w:t>
            </w:r>
            <w:r w:rsidRPr="00401C70">
              <w:rPr>
                <w:rFonts w:ascii="Abadi" w:hAnsi="Abadi" w:cs="Calibri"/>
                <w:sz w:val="21"/>
                <w:szCs w:val="21"/>
              </w:rPr>
              <w:t>previsto</w:t>
            </w:r>
            <w:r w:rsidRPr="00401C70">
              <w:rPr>
                <w:rFonts w:ascii="Abadi" w:hAnsi="Abadi" w:cs="Calibri"/>
                <w:spacing w:val="-8"/>
                <w:sz w:val="21"/>
                <w:szCs w:val="21"/>
              </w:rPr>
              <w:t xml:space="preserve"> </w:t>
            </w:r>
            <w:r w:rsidRPr="00401C70">
              <w:rPr>
                <w:rFonts w:ascii="Abadi" w:hAnsi="Abadi" w:cs="Calibri"/>
                <w:sz w:val="21"/>
                <w:szCs w:val="21"/>
              </w:rPr>
              <w:t>en</w:t>
            </w:r>
            <w:r w:rsidRPr="00401C70">
              <w:rPr>
                <w:rFonts w:ascii="Abadi" w:hAnsi="Abadi" w:cs="Calibri"/>
                <w:spacing w:val="-12"/>
                <w:sz w:val="21"/>
                <w:szCs w:val="21"/>
              </w:rPr>
              <w:t xml:space="preserve"> </w:t>
            </w:r>
            <w:r w:rsidRPr="00401C70">
              <w:rPr>
                <w:rFonts w:ascii="Abadi" w:hAnsi="Abadi" w:cs="Calibri"/>
                <w:sz w:val="21"/>
                <w:szCs w:val="21"/>
              </w:rPr>
              <w:t>el</w:t>
            </w:r>
            <w:r w:rsidRPr="00401C70">
              <w:rPr>
                <w:rFonts w:ascii="Abadi" w:hAnsi="Abadi" w:cs="Calibri"/>
                <w:spacing w:val="-6"/>
                <w:sz w:val="21"/>
                <w:szCs w:val="21"/>
              </w:rPr>
              <w:t xml:space="preserve"> </w:t>
            </w:r>
            <w:r w:rsidRPr="00401C70">
              <w:rPr>
                <w:rFonts w:ascii="Abadi" w:hAnsi="Abadi" w:cs="Calibri"/>
                <w:sz w:val="21"/>
                <w:szCs w:val="21"/>
              </w:rPr>
              <w:t>presente</w:t>
            </w:r>
            <w:r w:rsidRPr="00401C70">
              <w:rPr>
                <w:rFonts w:ascii="Abadi" w:hAnsi="Abadi" w:cs="Calibri"/>
                <w:spacing w:val="-9"/>
                <w:sz w:val="21"/>
                <w:szCs w:val="21"/>
              </w:rPr>
              <w:t xml:space="preserve"> </w:t>
            </w:r>
            <w:r w:rsidRPr="00401C70">
              <w:rPr>
                <w:rFonts w:ascii="Abadi" w:hAnsi="Abadi" w:cs="Calibri"/>
                <w:sz w:val="21"/>
                <w:szCs w:val="21"/>
              </w:rPr>
              <w:t>artículo.</w:t>
            </w:r>
          </w:p>
        </w:tc>
      </w:tr>
      <w:tr w:rsidR="00677B7E" w:rsidRPr="00401C70" w14:paraId="49BC5DE8" w14:textId="77777777" w:rsidTr="00125269">
        <w:trPr>
          <w:trHeight w:val="1074"/>
        </w:trPr>
        <w:tc>
          <w:tcPr>
            <w:tcW w:w="2500" w:type="pct"/>
            <w:tcBorders>
              <w:top w:val="none" w:sz="6" w:space="0" w:color="auto"/>
              <w:left w:val="single" w:sz="4" w:space="0" w:color="000000"/>
              <w:bottom w:val="none" w:sz="6" w:space="0" w:color="auto"/>
              <w:right w:val="single" w:sz="4" w:space="0" w:color="000000"/>
            </w:tcBorders>
          </w:tcPr>
          <w:p w14:paraId="658F7E21" w14:textId="77777777" w:rsidR="00677B7E" w:rsidRPr="00401C70" w:rsidRDefault="00677B7E" w:rsidP="00FA2590">
            <w:pPr>
              <w:kinsoku w:val="0"/>
              <w:overflowPunct w:val="0"/>
              <w:autoSpaceDE w:val="0"/>
              <w:autoSpaceDN w:val="0"/>
              <w:adjustRightInd w:val="0"/>
              <w:spacing w:before="113"/>
              <w:ind w:left="107" w:right="96"/>
              <w:jc w:val="both"/>
              <w:rPr>
                <w:rFonts w:ascii="Abadi" w:hAnsi="Abadi" w:cs="Calibri"/>
                <w:sz w:val="21"/>
                <w:szCs w:val="21"/>
              </w:rPr>
            </w:pP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Jueces</w:t>
            </w:r>
            <w:r w:rsidRPr="00401C70">
              <w:rPr>
                <w:rFonts w:ascii="Abadi" w:hAnsi="Abadi" w:cs="Calibri"/>
                <w:spacing w:val="1"/>
                <w:sz w:val="21"/>
                <w:szCs w:val="21"/>
              </w:rPr>
              <w:t xml:space="preserve"> </w:t>
            </w:r>
            <w:r w:rsidRPr="00401C70">
              <w:rPr>
                <w:rFonts w:ascii="Abadi" w:hAnsi="Abadi" w:cs="Calibri"/>
                <w:sz w:val="21"/>
                <w:szCs w:val="21"/>
              </w:rPr>
              <w:t>Administrativos</w:t>
            </w:r>
            <w:r w:rsidRPr="00401C70">
              <w:rPr>
                <w:rFonts w:ascii="Abadi" w:hAnsi="Abadi" w:cs="Calibri"/>
                <w:spacing w:val="1"/>
                <w:sz w:val="21"/>
                <w:szCs w:val="21"/>
              </w:rPr>
              <w:t xml:space="preserve"> </w:t>
            </w:r>
            <w:r w:rsidRPr="00401C70">
              <w:rPr>
                <w:rFonts w:ascii="Abadi" w:hAnsi="Abadi" w:cs="Calibri"/>
                <w:sz w:val="21"/>
                <w:szCs w:val="21"/>
              </w:rPr>
              <w:t>Municipales</w:t>
            </w:r>
            <w:r w:rsidRPr="00401C70">
              <w:rPr>
                <w:rFonts w:ascii="Abadi" w:hAnsi="Abadi" w:cs="Calibri"/>
                <w:spacing w:val="1"/>
                <w:sz w:val="21"/>
                <w:szCs w:val="21"/>
              </w:rPr>
              <w:t xml:space="preserve"> </w:t>
            </w:r>
            <w:r w:rsidRPr="00401C70">
              <w:rPr>
                <w:rFonts w:ascii="Abadi" w:hAnsi="Abadi" w:cs="Calibri"/>
                <w:sz w:val="21"/>
                <w:szCs w:val="21"/>
              </w:rPr>
              <w:t>sólo</w:t>
            </w:r>
            <w:r w:rsidRPr="00401C70">
              <w:rPr>
                <w:rFonts w:ascii="Abadi" w:hAnsi="Abadi" w:cs="Calibri"/>
                <w:spacing w:val="1"/>
                <w:sz w:val="21"/>
                <w:szCs w:val="21"/>
              </w:rPr>
              <w:t xml:space="preserve"> </w:t>
            </w:r>
            <w:r w:rsidRPr="00401C70">
              <w:rPr>
                <w:rFonts w:ascii="Abadi" w:hAnsi="Abadi" w:cs="Calibri"/>
                <w:sz w:val="21"/>
                <w:szCs w:val="21"/>
              </w:rPr>
              <w:t>podrán</w:t>
            </w:r>
            <w:r w:rsidRPr="00401C70">
              <w:rPr>
                <w:rFonts w:ascii="Abadi" w:hAnsi="Abadi" w:cs="Calibri"/>
                <w:spacing w:val="1"/>
                <w:sz w:val="21"/>
                <w:szCs w:val="21"/>
              </w:rPr>
              <w:t xml:space="preserve"> </w:t>
            </w:r>
            <w:r w:rsidRPr="00401C70">
              <w:rPr>
                <w:rFonts w:ascii="Abadi" w:hAnsi="Abadi" w:cs="Calibri"/>
                <w:sz w:val="21"/>
                <w:szCs w:val="21"/>
              </w:rPr>
              <w:t>ser</w:t>
            </w:r>
            <w:r w:rsidRPr="00401C70">
              <w:rPr>
                <w:rFonts w:ascii="Abadi" w:hAnsi="Abadi" w:cs="Calibri"/>
                <w:spacing w:val="1"/>
                <w:sz w:val="21"/>
                <w:szCs w:val="21"/>
              </w:rPr>
              <w:t xml:space="preserve"> </w:t>
            </w:r>
            <w:r w:rsidRPr="00401C70">
              <w:rPr>
                <w:rFonts w:ascii="Abadi" w:hAnsi="Abadi" w:cs="Calibri"/>
                <w:sz w:val="21"/>
                <w:szCs w:val="21"/>
              </w:rPr>
              <w:t>destituidos</w:t>
            </w:r>
            <w:r w:rsidRPr="00401C70">
              <w:rPr>
                <w:rFonts w:ascii="Abadi" w:hAnsi="Abadi" w:cs="Calibri"/>
                <w:spacing w:val="1"/>
                <w:sz w:val="21"/>
                <w:szCs w:val="21"/>
              </w:rPr>
              <w:t xml:space="preserve"> </w:t>
            </w:r>
            <w:r w:rsidRPr="00401C70">
              <w:rPr>
                <w:rFonts w:ascii="Abadi" w:hAnsi="Abadi" w:cs="Calibri"/>
                <w:sz w:val="21"/>
                <w:szCs w:val="21"/>
              </w:rPr>
              <w:t>en</w:t>
            </w:r>
            <w:r w:rsidRPr="00401C70">
              <w:rPr>
                <w:rFonts w:ascii="Abadi" w:hAnsi="Abadi" w:cs="Calibri"/>
                <w:spacing w:val="1"/>
                <w:sz w:val="21"/>
                <w:szCs w:val="21"/>
              </w:rPr>
              <w:t xml:space="preserve"> </w:t>
            </w:r>
            <w:r w:rsidRPr="00401C70">
              <w:rPr>
                <w:rFonts w:ascii="Abadi" w:hAnsi="Abadi" w:cs="Calibri"/>
                <w:sz w:val="21"/>
                <w:szCs w:val="21"/>
              </w:rPr>
              <w:t>los</w:t>
            </w:r>
            <w:r w:rsidRPr="00401C70">
              <w:rPr>
                <w:rFonts w:ascii="Abadi" w:hAnsi="Abadi" w:cs="Calibri"/>
                <w:spacing w:val="1"/>
                <w:sz w:val="21"/>
                <w:szCs w:val="21"/>
              </w:rPr>
              <w:t xml:space="preserve"> </w:t>
            </w:r>
            <w:r w:rsidRPr="00401C70">
              <w:rPr>
                <w:rFonts w:ascii="Abadi" w:hAnsi="Abadi" w:cs="Calibri"/>
                <w:sz w:val="21"/>
                <w:szCs w:val="21"/>
              </w:rPr>
              <w:t>términos</w:t>
            </w:r>
            <w:r w:rsidRPr="00401C70">
              <w:rPr>
                <w:rFonts w:ascii="Abadi" w:hAnsi="Abadi" w:cs="Calibri"/>
                <w:spacing w:val="1"/>
                <w:sz w:val="21"/>
                <w:szCs w:val="21"/>
              </w:rPr>
              <w:t xml:space="preserve"> </w:t>
            </w:r>
            <w:r w:rsidRPr="00401C70">
              <w:rPr>
                <w:rFonts w:ascii="Abadi" w:hAnsi="Abadi" w:cs="Calibri"/>
                <w:sz w:val="21"/>
                <w:szCs w:val="21"/>
              </w:rPr>
              <w:t>del</w:t>
            </w:r>
            <w:r w:rsidRPr="00401C70">
              <w:rPr>
                <w:rFonts w:ascii="Abadi" w:hAnsi="Abadi" w:cs="Calibri"/>
                <w:spacing w:val="1"/>
                <w:sz w:val="21"/>
                <w:szCs w:val="21"/>
              </w:rPr>
              <w:t xml:space="preserve"> </w:t>
            </w:r>
            <w:r w:rsidRPr="00401C70">
              <w:rPr>
                <w:rFonts w:ascii="Abadi" w:hAnsi="Abadi" w:cs="Calibri"/>
                <w:sz w:val="21"/>
                <w:szCs w:val="21"/>
              </w:rPr>
              <w:t>artículo</w:t>
            </w:r>
            <w:r w:rsidRPr="00401C70">
              <w:rPr>
                <w:rFonts w:ascii="Abadi" w:hAnsi="Abadi" w:cs="Calibri"/>
                <w:spacing w:val="-3"/>
                <w:sz w:val="21"/>
                <w:szCs w:val="21"/>
              </w:rPr>
              <w:t xml:space="preserve"> </w:t>
            </w:r>
            <w:r w:rsidRPr="00401C70">
              <w:rPr>
                <w:rFonts w:ascii="Abadi" w:hAnsi="Abadi" w:cs="Calibri"/>
                <w:sz w:val="21"/>
                <w:szCs w:val="21"/>
              </w:rPr>
              <w:t>126 de</w:t>
            </w:r>
            <w:r w:rsidRPr="00401C70">
              <w:rPr>
                <w:rFonts w:ascii="Abadi" w:hAnsi="Abadi" w:cs="Calibri"/>
                <w:spacing w:val="-3"/>
                <w:sz w:val="21"/>
                <w:szCs w:val="21"/>
              </w:rPr>
              <w:t xml:space="preserve"> </w:t>
            </w:r>
            <w:r w:rsidRPr="00401C70">
              <w:rPr>
                <w:rFonts w:ascii="Abadi" w:hAnsi="Abadi" w:cs="Calibri"/>
                <w:sz w:val="21"/>
                <w:szCs w:val="21"/>
              </w:rPr>
              <w:t>esta Ley.</w:t>
            </w:r>
          </w:p>
        </w:tc>
        <w:tc>
          <w:tcPr>
            <w:tcW w:w="2500" w:type="pct"/>
            <w:tcBorders>
              <w:top w:val="none" w:sz="6" w:space="0" w:color="auto"/>
              <w:left w:val="single" w:sz="4" w:space="0" w:color="000000"/>
              <w:bottom w:val="none" w:sz="6" w:space="0" w:color="auto"/>
              <w:right w:val="single" w:sz="4" w:space="0" w:color="000000"/>
            </w:tcBorders>
          </w:tcPr>
          <w:p w14:paraId="4CE6B50C" w14:textId="77777777" w:rsidR="00677B7E" w:rsidRPr="00401C70" w:rsidRDefault="00677B7E" w:rsidP="00FA2590">
            <w:pPr>
              <w:kinsoku w:val="0"/>
              <w:overflowPunct w:val="0"/>
              <w:autoSpaceDE w:val="0"/>
              <w:autoSpaceDN w:val="0"/>
              <w:adjustRightInd w:val="0"/>
              <w:spacing w:before="113"/>
              <w:ind w:left="107" w:right="90"/>
              <w:jc w:val="both"/>
              <w:rPr>
                <w:rFonts w:ascii="Abadi" w:hAnsi="Abadi" w:cs="Calibri"/>
                <w:sz w:val="21"/>
                <w:szCs w:val="21"/>
              </w:rPr>
            </w:pPr>
            <w:r w:rsidRPr="00401C70">
              <w:rPr>
                <w:rFonts w:ascii="Abadi" w:hAnsi="Abadi" w:cs="Calibri"/>
                <w:b/>
                <w:bCs/>
                <w:i/>
                <w:iCs/>
                <w:sz w:val="21"/>
                <w:szCs w:val="21"/>
              </w:rPr>
              <w:t>Las</w:t>
            </w:r>
            <w:r w:rsidRPr="00401C70">
              <w:rPr>
                <w:rFonts w:ascii="Abadi" w:hAnsi="Abadi" w:cs="Calibri"/>
                <w:b/>
                <w:bCs/>
                <w:i/>
                <w:iCs/>
                <w:spacing w:val="1"/>
                <w:sz w:val="21"/>
                <w:szCs w:val="21"/>
              </w:rPr>
              <w:t xml:space="preserve"> </w:t>
            </w:r>
            <w:r w:rsidRPr="00401C70">
              <w:rPr>
                <w:rFonts w:ascii="Abadi" w:hAnsi="Abadi" w:cs="Calibri"/>
                <w:b/>
                <w:bCs/>
                <w:i/>
                <w:iCs/>
                <w:sz w:val="21"/>
                <w:szCs w:val="21"/>
              </w:rPr>
              <w:t>personas</w:t>
            </w:r>
            <w:r w:rsidRPr="00401C70">
              <w:rPr>
                <w:rFonts w:ascii="Abadi" w:hAnsi="Abadi" w:cs="Calibri"/>
                <w:b/>
                <w:bCs/>
                <w:i/>
                <w:iCs/>
                <w:spacing w:val="1"/>
                <w:sz w:val="21"/>
                <w:szCs w:val="21"/>
              </w:rPr>
              <w:t xml:space="preserve"> </w:t>
            </w:r>
            <w:r w:rsidRPr="00401C70">
              <w:rPr>
                <w:rFonts w:ascii="Abadi" w:hAnsi="Abadi" w:cs="Calibri"/>
                <w:b/>
                <w:bCs/>
                <w:i/>
                <w:iCs/>
                <w:sz w:val="21"/>
                <w:szCs w:val="21"/>
              </w:rPr>
              <w:t>Juezas</w:t>
            </w:r>
            <w:r w:rsidRPr="00401C70">
              <w:rPr>
                <w:rFonts w:ascii="Abadi" w:hAnsi="Abadi" w:cs="Calibri"/>
                <w:b/>
                <w:bCs/>
                <w:i/>
                <w:iCs/>
                <w:spacing w:val="1"/>
                <w:sz w:val="21"/>
                <w:szCs w:val="21"/>
              </w:rPr>
              <w:t xml:space="preserve"> </w:t>
            </w:r>
            <w:r w:rsidRPr="00401C70">
              <w:rPr>
                <w:rFonts w:ascii="Abadi" w:hAnsi="Abadi" w:cs="Calibri"/>
                <w:b/>
                <w:bCs/>
                <w:i/>
                <w:iCs/>
                <w:sz w:val="21"/>
                <w:szCs w:val="21"/>
              </w:rPr>
              <w:t>Administrativas</w:t>
            </w:r>
            <w:r w:rsidRPr="00401C70">
              <w:rPr>
                <w:rFonts w:ascii="Abadi" w:hAnsi="Abadi" w:cs="Calibri"/>
                <w:b/>
                <w:bCs/>
                <w:i/>
                <w:iCs/>
                <w:spacing w:val="1"/>
                <w:sz w:val="21"/>
                <w:szCs w:val="21"/>
              </w:rPr>
              <w:t xml:space="preserve"> </w:t>
            </w:r>
            <w:r w:rsidRPr="00401C70">
              <w:rPr>
                <w:rFonts w:ascii="Abadi" w:hAnsi="Abadi" w:cs="Calibri"/>
                <w:b/>
                <w:bCs/>
                <w:i/>
                <w:iCs/>
                <w:sz w:val="21"/>
                <w:szCs w:val="21"/>
              </w:rPr>
              <w:t xml:space="preserve">Municipales </w:t>
            </w:r>
            <w:r w:rsidRPr="00401C70">
              <w:rPr>
                <w:rFonts w:ascii="Abadi" w:hAnsi="Abadi" w:cs="Calibri"/>
                <w:sz w:val="21"/>
                <w:szCs w:val="21"/>
              </w:rPr>
              <w:t xml:space="preserve">sólo podrán ser </w:t>
            </w:r>
            <w:r w:rsidRPr="00401C70">
              <w:rPr>
                <w:rFonts w:ascii="Abadi" w:hAnsi="Abadi" w:cs="Calibri"/>
                <w:b/>
                <w:bCs/>
                <w:i/>
                <w:iCs/>
                <w:sz w:val="21"/>
                <w:szCs w:val="21"/>
              </w:rPr>
              <w:t xml:space="preserve">destituidas </w:t>
            </w:r>
            <w:r w:rsidRPr="00401C70">
              <w:rPr>
                <w:rFonts w:ascii="Abadi" w:hAnsi="Abadi" w:cs="Calibri"/>
                <w:sz w:val="21"/>
                <w:szCs w:val="21"/>
              </w:rPr>
              <w:t>en los</w:t>
            </w:r>
            <w:r w:rsidRPr="00401C70">
              <w:rPr>
                <w:rFonts w:ascii="Abadi" w:hAnsi="Abadi" w:cs="Calibri"/>
                <w:spacing w:val="-47"/>
                <w:sz w:val="21"/>
                <w:szCs w:val="21"/>
              </w:rPr>
              <w:t xml:space="preserve"> </w:t>
            </w:r>
            <w:r w:rsidRPr="00401C70">
              <w:rPr>
                <w:rFonts w:ascii="Abadi" w:hAnsi="Abadi" w:cs="Calibri"/>
                <w:sz w:val="21"/>
                <w:szCs w:val="21"/>
              </w:rPr>
              <w:t>términos</w:t>
            </w:r>
            <w:r w:rsidRPr="00401C70">
              <w:rPr>
                <w:rFonts w:ascii="Abadi" w:hAnsi="Abadi" w:cs="Calibri"/>
                <w:spacing w:val="-1"/>
                <w:sz w:val="21"/>
                <w:szCs w:val="21"/>
              </w:rPr>
              <w:t xml:space="preserve"> </w:t>
            </w:r>
            <w:r w:rsidRPr="00401C70">
              <w:rPr>
                <w:rFonts w:ascii="Abadi" w:hAnsi="Abadi" w:cs="Calibri"/>
                <w:sz w:val="21"/>
                <w:szCs w:val="21"/>
              </w:rPr>
              <w:t>del artículo</w:t>
            </w:r>
            <w:r w:rsidRPr="00401C70">
              <w:rPr>
                <w:rFonts w:ascii="Abadi" w:hAnsi="Abadi" w:cs="Calibri"/>
                <w:spacing w:val="-1"/>
                <w:sz w:val="21"/>
                <w:szCs w:val="21"/>
              </w:rPr>
              <w:t xml:space="preserve"> </w:t>
            </w:r>
            <w:r w:rsidRPr="00401C70">
              <w:rPr>
                <w:rFonts w:ascii="Abadi" w:hAnsi="Abadi" w:cs="Calibri"/>
                <w:sz w:val="21"/>
                <w:szCs w:val="21"/>
              </w:rPr>
              <w:t>126</w:t>
            </w:r>
            <w:r w:rsidRPr="00401C70">
              <w:rPr>
                <w:rFonts w:ascii="Abadi" w:hAnsi="Abadi" w:cs="Calibri"/>
                <w:spacing w:val="-1"/>
                <w:sz w:val="21"/>
                <w:szCs w:val="21"/>
              </w:rPr>
              <w:t xml:space="preserve"> </w:t>
            </w:r>
            <w:r w:rsidRPr="00401C70">
              <w:rPr>
                <w:rFonts w:ascii="Abadi" w:hAnsi="Abadi" w:cs="Calibri"/>
                <w:sz w:val="21"/>
                <w:szCs w:val="21"/>
              </w:rPr>
              <w:t>de</w:t>
            </w:r>
            <w:r w:rsidRPr="00401C70">
              <w:rPr>
                <w:rFonts w:ascii="Abadi" w:hAnsi="Abadi" w:cs="Calibri"/>
                <w:spacing w:val="1"/>
                <w:sz w:val="21"/>
                <w:szCs w:val="21"/>
              </w:rPr>
              <w:t xml:space="preserve"> </w:t>
            </w:r>
            <w:r w:rsidRPr="00401C70">
              <w:rPr>
                <w:rFonts w:ascii="Abadi" w:hAnsi="Abadi" w:cs="Calibri"/>
                <w:sz w:val="21"/>
                <w:szCs w:val="21"/>
              </w:rPr>
              <w:t>esta Ley.</w:t>
            </w:r>
          </w:p>
        </w:tc>
      </w:tr>
      <w:tr w:rsidR="00677B7E" w:rsidRPr="00401C70" w14:paraId="518D3E74" w14:textId="77777777" w:rsidTr="00125269">
        <w:trPr>
          <w:trHeight w:val="1073"/>
        </w:trPr>
        <w:tc>
          <w:tcPr>
            <w:tcW w:w="2500" w:type="pct"/>
            <w:tcBorders>
              <w:top w:val="none" w:sz="6" w:space="0" w:color="auto"/>
              <w:left w:val="single" w:sz="4" w:space="0" w:color="000000"/>
              <w:bottom w:val="none" w:sz="6" w:space="0" w:color="auto"/>
              <w:right w:val="single" w:sz="4" w:space="0" w:color="000000"/>
            </w:tcBorders>
          </w:tcPr>
          <w:p w14:paraId="5A6B713C" w14:textId="77777777" w:rsidR="00677B7E" w:rsidRPr="00401C70" w:rsidRDefault="00677B7E" w:rsidP="00FA2590">
            <w:pPr>
              <w:kinsoku w:val="0"/>
              <w:overflowPunct w:val="0"/>
              <w:autoSpaceDE w:val="0"/>
              <w:autoSpaceDN w:val="0"/>
              <w:adjustRightInd w:val="0"/>
              <w:spacing w:before="114"/>
              <w:ind w:left="107" w:right="93"/>
              <w:jc w:val="both"/>
              <w:rPr>
                <w:rFonts w:ascii="Abadi" w:hAnsi="Abadi" w:cs="Calibri"/>
                <w:sz w:val="21"/>
                <w:szCs w:val="21"/>
              </w:rPr>
            </w:pPr>
            <w:r w:rsidRPr="00401C70">
              <w:rPr>
                <w:rFonts w:ascii="Abadi" w:hAnsi="Abadi" w:cs="Calibri"/>
                <w:sz w:val="21"/>
                <w:szCs w:val="21"/>
              </w:rPr>
              <w:t>Para</w:t>
            </w:r>
            <w:r w:rsidRPr="00401C70">
              <w:rPr>
                <w:rFonts w:ascii="Abadi" w:hAnsi="Abadi" w:cs="Calibri"/>
                <w:spacing w:val="1"/>
                <w:sz w:val="21"/>
                <w:szCs w:val="21"/>
              </w:rPr>
              <w:t xml:space="preserve"> </w:t>
            </w:r>
            <w:r w:rsidRPr="00401C70">
              <w:rPr>
                <w:rFonts w:ascii="Abadi" w:hAnsi="Abadi" w:cs="Calibri"/>
                <w:sz w:val="21"/>
                <w:szCs w:val="21"/>
              </w:rPr>
              <w:t>formular</w:t>
            </w:r>
            <w:r w:rsidRPr="00401C70">
              <w:rPr>
                <w:rFonts w:ascii="Abadi" w:hAnsi="Abadi" w:cs="Calibri"/>
                <w:spacing w:val="1"/>
                <w:sz w:val="21"/>
                <w:szCs w:val="21"/>
              </w:rPr>
              <w:t xml:space="preserve"> </w:t>
            </w:r>
            <w:r w:rsidRPr="00401C70">
              <w:rPr>
                <w:rFonts w:ascii="Abadi" w:hAnsi="Abadi" w:cs="Calibri"/>
                <w:sz w:val="21"/>
                <w:szCs w:val="21"/>
              </w:rPr>
              <w:t>su</w:t>
            </w:r>
            <w:r w:rsidRPr="00401C70">
              <w:rPr>
                <w:rFonts w:ascii="Abadi" w:hAnsi="Abadi" w:cs="Calibri"/>
                <w:spacing w:val="1"/>
                <w:sz w:val="21"/>
                <w:szCs w:val="21"/>
              </w:rPr>
              <w:t xml:space="preserve"> </w:t>
            </w:r>
            <w:r w:rsidRPr="00401C70">
              <w:rPr>
                <w:rFonts w:ascii="Abadi" w:hAnsi="Abadi" w:cs="Calibri"/>
                <w:sz w:val="21"/>
                <w:szCs w:val="21"/>
              </w:rPr>
              <w:t>propuesta,</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Comité</w:t>
            </w:r>
            <w:r w:rsidRPr="00401C70">
              <w:rPr>
                <w:rFonts w:ascii="Abadi" w:hAnsi="Abadi" w:cs="Calibri"/>
                <w:spacing w:val="1"/>
                <w:sz w:val="21"/>
                <w:szCs w:val="21"/>
              </w:rPr>
              <w:t xml:space="preserve"> </w:t>
            </w:r>
            <w:r w:rsidRPr="00401C70">
              <w:rPr>
                <w:rFonts w:ascii="Abadi" w:hAnsi="Abadi" w:cs="Calibri"/>
                <w:sz w:val="21"/>
                <w:szCs w:val="21"/>
              </w:rPr>
              <w:t>Municipal</w:t>
            </w:r>
            <w:r w:rsidRPr="00401C70">
              <w:rPr>
                <w:rFonts w:ascii="Abadi" w:hAnsi="Abadi" w:cs="Calibri"/>
                <w:spacing w:val="1"/>
                <w:sz w:val="21"/>
                <w:szCs w:val="21"/>
              </w:rPr>
              <w:t xml:space="preserve"> </w:t>
            </w:r>
            <w:r w:rsidRPr="00401C70">
              <w:rPr>
                <w:rFonts w:ascii="Abadi" w:hAnsi="Abadi" w:cs="Calibri"/>
                <w:sz w:val="21"/>
                <w:szCs w:val="21"/>
              </w:rPr>
              <w:t>Ciudadano</w:t>
            </w:r>
            <w:r w:rsidRPr="00401C70">
              <w:rPr>
                <w:rFonts w:ascii="Abadi" w:hAnsi="Abadi" w:cs="Calibri"/>
                <w:spacing w:val="1"/>
                <w:sz w:val="21"/>
                <w:szCs w:val="21"/>
              </w:rPr>
              <w:t xml:space="preserve"> </w:t>
            </w:r>
            <w:r w:rsidRPr="00401C70">
              <w:rPr>
                <w:rFonts w:ascii="Abadi" w:hAnsi="Abadi" w:cs="Calibri"/>
                <w:sz w:val="21"/>
                <w:szCs w:val="21"/>
              </w:rPr>
              <w:t>deberá</w:t>
            </w:r>
            <w:r w:rsidRPr="00401C70">
              <w:rPr>
                <w:rFonts w:ascii="Abadi" w:hAnsi="Abadi" w:cs="Calibri"/>
                <w:spacing w:val="1"/>
                <w:sz w:val="21"/>
                <w:szCs w:val="21"/>
              </w:rPr>
              <w:t xml:space="preserve"> </w:t>
            </w:r>
            <w:r w:rsidRPr="00401C70">
              <w:rPr>
                <w:rFonts w:ascii="Abadi" w:hAnsi="Abadi" w:cs="Calibri"/>
                <w:sz w:val="21"/>
                <w:szCs w:val="21"/>
              </w:rPr>
              <w:t>realizar</w:t>
            </w:r>
            <w:r w:rsidRPr="00401C70">
              <w:rPr>
                <w:rFonts w:ascii="Abadi" w:hAnsi="Abadi" w:cs="Calibri"/>
                <w:spacing w:val="-47"/>
                <w:sz w:val="21"/>
                <w:szCs w:val="21"/>
              </w:rPr>
              <w:t xml:space="preserve"> </w:t>
            </w:r>
            <w:r w:rsidRPr="00401C70">
              <w:rPr>
                <w:rFonts w:ascii="Abadi" w:hAnsi="Abadi" w:cs="Calibri"/>
                <w:sz w:val="21"/>
                <w:szCs w:val="21"/>
              </w:rPr>
              <w:t>convocatoria</w:t>
            </w:r>
            <w:r w:rsidRPr="00401C70">
              <w:rPr>
                <w:rFonts w:ascii="Abadi" w:hAnsi="Abadi" w:cs="Calibri"/>
                <w:spacing w:val="-4"/>
                <w:sz w:val="21"/>
                <w:szCs w:val="21"/>
              </w:rPr>
              <w:t xml:space="preserve"> </w:t>
            </w:r>
            <w:r w:rsidRPr="00401C70">
              <w:rPr>
                <w:rFonts w:ascii="Abadi" w:hAnsi="Abadi" w:cs="Calibri"/>
                <w:sz w:val="21"/>
                <w:szCs w:val="21"/>
              </w:rPr>
              <w:t>pública.</w:t>
            </w:r>
          </w:p>
        </w:tc>
        <w:tc>
          <w:tcPr>
            <w:tcW w:w="2500" w:type="pct"/>
            <w:tcBorders>
              <w:top w:val="none" w:sz="6" w:space="0" w:color="auto"/>
              <w:left w:val="single" w:sz="4" w:space="0" w:color="000000"/>
              <w:bottom w:val="none" w:sz="6" w:space="0" w:color="auto"/>
              <w:right w:val="single" w:sz="4" w:space="0" w:color="000000"/>
            </w:tcBorders>
          </w:tcPr>
          <w:p w14:paraId="66E3F079" w14:textId="77777777" w:rsidR="00677B7E" w:rsidRPr="00401C70" w:rsidRDefault="00677B7E" w:rsidP="00FA2590">
            <w:pPr>
              <w:kinsoku w:val="0"/>
              <w:overflowPunct w:val="0"/>
              <w:autoSpaceDE w:val="0"/>
              <w:autoSpaceDN w:val="0"/>
              <w:adjustRightInd w:val="0"/>
              <w:spacing w:before="114"/>
              <w:ind w:left="107" w:right="92"/>
              <w:jc w:val="both"/>
              <w:rPr>
                <w:rFonts w:ascii="Abadi" w:hAnsi="Abadi" w:cs="Calibri"/>
                <w:sz w:val="21"/>
                <w:szCs w:val="21"/>
              </w:rPr>
            </w:pPr>
            <w:r w:rsidRPr="00401C70">
              <w:rPr>
                <w:rFonts w:ascii="Abadi" w:hAnsi="Abadi" w:cs="Calibri"/>
                <w:sz w:val="21"/>
                <w:szCs w:val="21"/>
              </w:rPr>
              <w:t>Para</w:t>
            </w:r>
            <w:r w:rsidRPr="00401C70">
              <w:rPr>
                <w:rFonts w:ascii="Abadi" w:hAnsi="Abadi" w:cs="Calibri"/>
                <w:spacing w:val="1"/>
                <w:sz w:val="21"/>
                <w:szCs w:val="21"/>
              </w:rPr>
              <w:t xml:space="preserve"> </w:t>
            </w:r>
            <w:r w:rsidRPr="00401C70">
              <w:rPr>
                <w:rFonts w:ascii="Abadi" w:hAnsi="Abadi" w:cs="Calibri"/>
                <w:sz w:val="21"/>
                <w:szCs w:val="21"/>
              </w:rPr>
              <w:t>formular</w:t>
            </w:r>
            <w:r w:rsidRPr="00401C70">
              <w:rPr>
                <w:rFonts w:ascii="Abadi" w:hAnsi="Abadi" w:cs="Calibri"/>
                <w:spacing w:val="1"/>
                <w:sz w:val="21"/>
                <w:szCs w:val="21"/>
              </w:rPr>
              <w:t xml:space="preserve"> </w:t>
            </w:r>
            <w:r w:rsidRPr="00401C70">
              <w:rPr>
                <w:rFonts w:ascii="Abadi" w:hAnsi="Abadi" w:cs="Calibri"/>
                <w:sz w:val="21"/>
                <w:szCs w:val="21"/>
              </w:rPr>
              <w:t>su</w:t>
            </w:r>
            <w:r w:rsidRPr="00401C70">
              <w:rPr>
                <w:rFonts w:ascii="Abadi" w:hAnsi="Abadi" w:cs="Calibri"/>
                <w:spacing w:val="1"/>
                <w:sz w:val="21"/>
                <w:szCs w:val="21"/>
              </w:rPr>
              <w:t xml:space="preserve"> </w:t>
            </w:r>
            <w:r w:rsidRPr="00401C70">
              <w:rPr>
                <w:rFonts w:ascii="Abadi" w:hAnsi="Abadi" w:cs="Calibri"/>
                <w:sz w:val="21"/>
                <w:szCs w:val="21"/>
              </w:rPr>
              <w:t>propuesta,</w:t>
            </w:r>
            <w:r w:rsidRPr="00401C70">
              <w:rPr>
                <w:rFonts w:ascii="Abadi" w:hAnsi="Abadi" w:cs="Calibri"/>
                <w:spacing w:val="1"/>
                <w:sz w:val="21"/>
                <w:szCs w:val="21"/>
              </w:rPr>
              <w:t xml:space="preserve"> </w:t>
            </w:r>
            <w:r w:rsidRPr="00401C70">
              <w:rPr>
                <w:rFonts w:ascii="Abadi" w:hAnsi="Abadi" w:cs="Calibri"/>
                <w:sz w:val="21"/>
                <w:szCs w:val="21"/>
              </w:rPr>
              <w:t>el</w:t>
            </w:r>
            <w:r w:rsidRPr="00401C70">
              <w:rPr>
                <w:rFonts w:ascii="Abadi" w:hAnsi="Abadi" w:cs="Calibri"/>
                <w:spacing w:val="1"/>
                <w:sz w:val="21"/>
                <w:szCs w:val="21"/>
              </w:rPr>
              <w:t xml:space="preserve"> </w:t>
            </w:r>
            <w:r w:rsidRPr="00401C70">
              <w:rPr>
                <w:rFonts w:ascii="Abadi" w:hAnsi="Abadi" w:cs="Calibri"/>
                <w:sz w:val="21"/>
                <w:szCs w:val="21"/>
              </w:rPr>
              <w:t>Comité</w:t>
            </w:r>
            <w:r w:rsidRPr="00401C70">
              <w:rPr>
                <w:rFonts w:ascii="Abadi" w:hAnsi="Abadi" w:cs="Calibri"/>
                <w:spacing w:val="1"/>
                <w:sz w:val="21"/>
                <w:szCs w:val="21"/>
              </w:rPr>
              <w:t xml:space="preserve"> </w:t>
            </w:r>
            <w:r w:rsidRPr="00401C70">
              <w:rPr>
                <w:rFonts w:ascii="Abadi" w:hAnsi="Abadi" w:cs="Calibri"/>
                <w:sz w:val="21"/>
                <w:szCs w:val="21"/>
              </w:rPr>
              <w:t>Municipal</w:t>
            </w:r>
            <w:r w:rsidRPr="00401C70">
              <w:rPr>
                <w:rFonts w:ascii="Abadi" w:hAnsi="Abadi" w:cs="Calibri"/>
                <w:spacing w:val="1"/>
                <w:sz w:val="21"/>
                <w:szCs w:val="21"/>
              </w:rPr>
              <w:t xml:space="preserve"> </w:t>
            </w:r>
            <w:r w:rsidRPr="00401C70">
              <w:rPr>
                <w:rFonts w:ascii="Abadi" w:hAnsi="Abadi" w:cs="Calibri"/>
                <w:sz w:val="21"/>
                <w:szCs w:val="21"/>
              </w:rPr>
              <w:t>Ciudadano</w:t>
            </w:r>
            <w:r w:rsidRPr="00401C70">
              <w:rPr>
                <w:rFonts w:ascii="Abadi" w:hAnsi="Abadi" w:cs="Calibri"/>
                <w:spacing w:val="1"/>
                <w:sz w:val="21"/>
                <w:szCs w:val="21"/>
              </w:rPr>
              <w:t xml:space="preserve"> </w:t>
            </w:r>
            <w:r w:rsidRPr="00401C70">
              <w:rPr>
                <w:rFonts w:ascii="Abadi" w:hAnsi="Abadi" w:cs="Calibri"/>
                <w:sz w:val="21"/>
                <w:szCs w:val="21"/>
              </w:rPr>
              <w:t>deberá</w:t>
            </w:r>
            <w:r w:rsidRPr="00401C70">
              <w:rPr>
                <w:rFonts w:ascii="Abadi" w:hAnsi="Abadi" w:cs="Calibri"/>
                <w:spacing w:val="1"/>
                <w:sz w:val="21"/>
                <w:szCs w:val="21"/>
              </w:rPr>
              <w:t xml:space="preserve"> </w:t>
            </w:r>
            <w:r w:rsidRPr="00401C70">
              <w:rPr>
                <w:rFonts w:ascii="Abadi" w:hAnsi="Abadi" w:cs="Calibri"/>
                <w:sz w:val="21"/>
                <w:szCs w:val="21"/>
              </w:rPr>
              <w:t>realizar</w:t>
            </w:r>
            <w:r w:rsidRPr="00401C70">
              <w:rPr>
                <w:rFonts w:ascii="Abadi" w:hAnsi="Abadi" w:cs="Calibri"/>
                <w:spacing w:val="-47"/>
                <w:sz w:val="21"/>
                <w:szCs w:val="21"/>
              </w:rPr>
              <w:t xml:space="preserve"> </w:t>
            </w:r>
            <w:r w:rsidRPr="00401C70">
              <w:rPr>
                <w:rFonts w:ascii="Abadi" w:hAnsi="Abadi" w:cs="Calibri"/>
                <w:sz w:val="21"/>
                <w:szCs w:val="21"/>
              </w:rPr>
              <w:t>convocatoria</w:t>
            </w:r>
            <w:r w:rsidRPr="00401C70">
              <w:rPr>
                <w:rFonts w:ascii="Abadi" w:hAnsi="Abadi" w:cs="Calibri"/>
                <w:spacing w:val="-4"/>
                <w:sz w:val="21"/>
                <w:szCs w:val="21"/>
              </w:rPr>
              <w:t xml:space="preserve"> </w:t>
            </w:r>
            <w:r w:rsidRPr="00401C70">
              <w:rPr>
                <w:rFonts w:ascii="Abadi" w:hAnsi="Abadi" w:cs="Calibri"/>
                <w:sz w:val="21"/>
                <w:szCs w:val="21"/>
              </w:rPr>
              <w:t>pública.</w:t>
            </w:r>
          </w:p>
        </w:tc>
      </w:tr>
      <w:tr w:rsidR="00677B7E" w:rsidRPr="00401C70" w14:paraId="78D9FA2F" w14:textId="77777777" w:rsidTr="00125269">
        <w:trPr>
          <w:trHeight w:val="3875"/>
        </w:trPr>
        <w:tc>
          <w:tcPr>
            <w:tcW w:w="2500" w:type="pct"/>
            <w:tcBorders>
              <w:top w:val="none" w:sz="6" w:space="0" w:color="auto"/>
              <w:left w:val="single" w:sz="4" w:space="0" w:color="000000"/>
              <w:bottom w:val="single" w:sz="4" w:space="0" w:color="000000"/>
              <w:right w:val="single" w:sz="4" w:space="0" w:color="000000"/>
            </w:tcBorders>
          </w:tcPr>
          <w:p w14:paraId="32A1C295" w14:textId="77777777" w:rsidR="00677B7E" w:rsidRDefault="00677B7E" w:rsidP="00FA2590">
            <w:pPr>
              <w:kinsoku w:val="0"/>
              <w:overflowPunct w:val="0"/>
              <w:autoSpaceDE w:val="0"/>
              <w:autoSpaceDN w:val="0"/>
              <w:adjustRightInd w:val="0"/>
              <w:spacing w:before="113"/>
              <w:ind w:left="107" w:right="91"/>
              <w:jc w:val="both"/>
              <w:rPr>
                <w:rFonts w:ascii="Abadi" w:hAnsi="Abadi" w:cs="Calibri"/>
                <w:sz w:val="21"/>
                <w:szCs w:val="21"/>
              </w:rPr>
            </w:pPr>
            <w:r w:rsidRPr="00401C70">
              <w:rPr>
                <w:rFonts w:ascii="Abadi" w:hAnsi="Abadi" w:cs="Calibri"/>
                <w:sz w:val="21"/>
                <w:szCs w:val="21"/>
              </w:rPr>
              <w:lastRenderedPageBreak/>
              <w:t>La</w:t>
            </w:r>
            <w:r w:rsidRPr="00401C70">
              <w:rPr>
                <w:rFonts w:ascii="Abadi" w:hAnsi="Abadi" w:cs="Calibri"/>
                <w:spacing w:val="1"/>
                <w:sz w:val="21"/>
                <w:szCs w:val="21"/>
              </w:rPr>
              <w:t xml:space="preserve"> </w:t>
            </w:r>
            <w:r w:rsidRPr="00401C70">
              <w:rPr>
                <w:rFonts w:ascii="Abadi" w:hAnsi="Abadi" w:cs="Calibri"/>
                <w:sz w:val="21"/>
                <w:szCs w:val="21"/>
              </w:rPr>
              <w:t>convocatoria</w:t>
            </w:r>
            <w:r w:rsidRPr="00401C70">
              <w:rPr>
                <w:rFonts w:ascii="Abadi" w:hAnsi="Abadi" w:cs="Calibri"/>
                <w:spacing w:val="1"/>
                <w:sz w:val="21"/>
                <w:szCs w:val="21"/>
              </w:rPr>
              <w:t xml:space="preserve"> </w:t>
            </w:r>
            <w:r w:rsidRPr="00401C70">
              <w:rPr>
                <w:rFonts w:ascii="Abadi" w:hAnsi="Abadi" w:cs="Calibri"/>
                <w:sz w:val="21"/>
                <w:szCs w:val="21"/>
              </w:rPr>
              <w:t>deberá</w:t>
            </w:r>
            <w:r w:rsidRPr="00401C70">
              <w:rPr>
                <w:rFonts w:ascii="Abadi" w:hAnsi="Abadi" w:cs="Calibri"/>
                <w:spacing w:val="1"/>
                <w:sz w:val="21"/>
                <w:szCs w:val="21"/>
              </w:rPr>
              <w:t xml:space="preserve"> </w:t>
            </w:r>
            <w:r w:rsidRPr="00401C70">
              <w:rPr>
                <w:rFonts w:ascii="Abadi" w:hAnsi="Abadi" w:cs="Calibri"/>
                <w:sz w:val="21"/>
                <w:szCs w:val="21"/>
              </w:rPr>
              <w:t>ser</w:t>
            </w:r>
            <w:r w:rsidRPr="00401C70">
              <w:rPr>
                <w:rFonts w:ascii="Abadi" w:hAnsi="Abadi" w:cs="Calibri"/>
                <w:spacing w:val="1"/>
                <w:sz w:val="21"/>
                <w:szCs w:val="21"/>
              </w:rPr>
              <w:t xml:space="preserve"> </w:t>
            </w:r>
            <w:r w:rsidRPr="00401C70">
              <w:rPr>
                <w:rFonts w:ascii="Abadi" w:hAnsi="Abadi" w:cs="Calibri"/>
                <w:sz w:val="21"/>
                <w:szCs w:val="21"/>
              </w:rPr>
              <w:t>publicada</w:t>
            </w:r>
            <w:r w:rsidRPr="00401C70">
              <w:rPr>
                <w:rFonts w:ascii="Abadi" w:hAnsi="Abadi" w:cs="Calibri"/>
                <w:spacing w:val="1"/>
                <w:sz w:val="21"/>
                <w:szCs w:val="21"/>
              </w:rPr>
              <w:t xml:space="preserve"> </w:t>
            </w:r>
            <w:r w:rsidRPr="00401C70">
              <w:rPr>
                <w:rFonts w:ascii="Abadi" w:hAnsi="Abadi" w:cs="Calibri"/>
                <w:sz w:val="21"/>
                <w:szCs w:val="21"/>
              </w:rPr>
              <w:t>en</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Gaceta Municipal, en las redes sociales, en la</w:t>
            </w:r>
            <w:r w:rsidRPr="00401C70">
              <w:rPr>
                <w:rFonts w:ascii="Abadi" w:hAnsi="Abadi" w:cs="Calibri"/>
                <w:spacing w:val="1"/>
                <w:sz w:val="21"/>
                <w:szCs w:val="21"/>
              </w:rPr>
              <w:t xml:space="preserve"> </w:t>
            </w:r>
            <w:r w:rsidRPr="00401C70">
              <w:rPr>
                <w:rFonts w:ascii="Abadi" w:hAnsi="Abadi" w:cs="Calibri"/>
                <w:sz w:val="21"/>
                <w:szCs w:val="21"/>
              </w:rPr>
              <w:t>página</w:t>
            </w:r>
            <w:r w:rsidRPr="00401C70">
              <w:rPr>
                <w:rFonts w:ascii="Abadi" w:hAnsi="Abadi" w:cs="Calibri"/>
                <w:spacing w:val="-4"/>
                <w:sz w:val="21"/>
                <w:szCs w:val="21"/>
              </w:rPr>
              <w:t xml:space="preserve"> </w:t>
            </w:r>
            <w:r w:rsidRPr="00401C70">
              <w:rPr>
                <w:rFonts w:ascii="Abadi" w:hAnsi="Abadi" w:cs="Calibri"/>
                <w:sz w:val="21"/>
                <w:szCs w:val="21"/>
              </w:rPr>
              <w:t>oficial</w:t>
            </w:r>
            <w:r w:rsidRPr="00401C70">
              <w:rPr>
                <w:rFonts w:ascii="Abadi" w:hAnsi="Abadi" w:cs="Calibri"/>
                <w:spacing w:val="-4"/>
                <w:sz w:val="21"/>
                <w:szCs w:val="21"/>
              </w:rPr>
              <w:t xml:space="preserve"> </w:t>
            </w:r>
            <w:r w:rsidRPr="00401C70">
              <w:rPr>
                <w:rFonts w:ascii="Abadi" w:hAnsi="Abadi" w:cs="Calibri"/>
                <w:sz w:val="21"/>
                <w:szCs w:val="21"/>
              </w:rPr>
              <w:t>de</w:t>
            </w:r>
            <w:r w:rsidRPr="00401C70">
              <w:rPr>
                <w:rFonts w:ascii="Abadi" w:hAnsi="Abadi" w:cs="Calibri"/>
                <w:spacing w:val="-3"/>
                <w:sz w:val="21"/>
                <w:szCs w:val="21"/>
              </w:rPr>
              <w:t xml:space="preserve"> </w:t>
            </w:r>
            <w:r w:rsidRPr="00401C70">
              <w:rPr>
                <w:rFonts w:ascii="Abadi" w:hAnsi="Abadi" w:cs="Calibri"/>
                <w:sz w:val="21"/>
                <w:szCs w:val="21"/>
              </w:rPr>
              <w:t>internet</w:t>
            </w:r>
            <w:r w:rsidRPr="00401C70">
              <w:rPr>
                <w:rFonts w:ascii="Abadi" w:hAnsi="Abadi" w:cs="Calibri"/>
                <w:spacing w:val="-3"/>
                <w:sz w:val="21"/>
                <w:szCs w:val="21"/>
              </w:rPr>
              <w:t xml:space="preserve"> </w:t>
            </w:r>
            <w:r w:rsidRPr="00401C70">
              <w:rPr>
                <w:rFonts w:ascii="Abadi" w:hAnsi="Abadi" w:cs="Calibri"/>
                <w:sz w:val="21"/>
                <w:szCs w:val="21"/>
              </w:rPr>
              <w:t>del</w:t>
            </w:r>
            <w:r w:rsidRPr="00401C70">
              <w:rPr>
                <w:rFonts w:ascii="Abadi" w:hAnsi="Abadi" w:cs="Calibri"/>
                <w:spacing w:val="-3"/>
                <w:sz w:val="21"/>
                <w:szCs w:val="21"/>
              </w:rPr>
              <w:t xml:space="preserve"> </w:t>
            </w:r>
            <w:r w:rsidRPr="00401C70">
              <w:rPr>
                <w:rFonts w:ascii="Abadi" w:hAnsi="Abadi" w:cs="Calibri"/>
                <w:sz w:val="21"/>
                <w:szCs w:val="21"/>
              </w:rPr>
              <w:t>Ayuntamiento,</w:t>
            </w:r>
            <w:r w:rsidRPr="00401C70">
              <w:rPr>
                <w:rFonts w:ascii="Abadi" w:hAnsi="Abadi" w:cs="Calibri"/>
                <w:spacing w:val="-5"/>
                <w:sz w:val="21"/>
                <w:szCs w:val="21"/>
              </w:rPr>
              <w:t xml:space="preserve"> </w:t>
            </w:r>
            <w:r w:rsidRPr="00401C70">
              <w:rPr>
                <w:rFonts w:ascii="Abadi" w:hAnsi="Abadi" w:cs="Calibri"/>
                <w:sz w:val="21"/>
                <w:szCs w:val="21"/>
              </w:rPr>
              <w:t>en</w:t>
            </w:r>
            <w:r w:rsidRPr="00401C70">
              <w:rPr>
                <w:rFonts w:ascii="Abadi" w:hAnsi="Abadi" w:cs="Calibri"/>
                <w:spacing w:val="-47"/>
                <w:sz w:val="21"/>
                <w:szCs w:val="21"/>
              </w:rPr>
              <w:t xml:space="preserve"> </w:t>
            </w:r>
            <w:r w:rsidRPr="00401C70">
              <w:rPr>
                <w:rFonts w:ascii="Abadi" w:hAnsi="Abadi" w:cs="Calibri"/>
                <w:sz w:val="21"/>
                <w:szCs w:val="21"/>
              </w:rPr>
              <w:t>el Periódico Oficial del Gobierno del Estado de</w:t>
            </w:r>
            <w:r w:rsidRPr="00401C70">
              <w:rPr>
                <w:rFonts w:ascii="Abadi" w:hAnsi="Abadi" w:cs="Calibri"/>
                <w:spacing w:val="1"/>
                <w:sz w:val="21"/>
                <w:szCs w:val="21"/>
              </w:rPr>
              <w:t xml:space="preserve"> </w:t>
            </w:r>
            <w:r w:rsidRPr="00401C70">
              <w:rPr>
                <w:rFonts w:ascii="Abadi" w:hAnsi="Abadi" w:cs="Calibri"/>
                <w:sz w:val="21"/>
                <w:szCs w:val="21"/>
              </w:rPr>
              <w:t>Guanajuato, y al menos, en uno de los medios</w:t>
            </w:r>
            <w:r w:rsidRPr="00401C70">
              <w:rPr>
                <w:rFonts w:ascii="Abadi" w:hAnsi="Abadi" w:cs="Calibri"/>
                <w:spacing w:val="1"/>
                <w:sz w:val="21"/>
                <w:szCs w:val="21"/>
              </w:rPr>
              <w:t xml:space="preserve"> </w:t>
            </w:r>
            <w:r w:rsidRPr="00401C70">
              <w:rPr>
                <w:rFonts w:ascii="Abadi" w:hAnsi="Abadi" w:cs="Calibri"/>
                <w:sz w:val="21"/>
                <w:szCs w:val="21"/>
              </w:rPr>
              <w:t>de comunicación impresos en el Municipio, a</w:t>
            </w:r>
            <w:r w:rsidRPr="00401C70">
              <w:rPr>
                <w:rFonts w:ascii="Abadi" w:hAnsi="Abadi" w:cs="Calibri"/>
                <w:spacing w:val="1"/>
                <w:sz w:val="21"/>
                <w:szCs w:val="21"/>
              </w:rPr>
              <w:t xml:space="preserve"> </w:t>
            </w:r>
            <w:r w:rsidRPr="00401C70">
              <w:rPr>
                <w:rFonts w:ascii="Abadi" w:hAnsi="Abadi" w:cs="Calibri"/>
                <w:sz w:val="21"/>
                <w:szCs w:val="21"/>
              </w:rPr>
              <w:t>efecto de que las propuestas que formulen los</w:t>
            </w:r>
            <w:r w:rsidRPr="00401C70">
              <w:rPr>
                <w:rFonts w:ascii="Abadi" w:hAnsi="Abadi" w:cs="Calibri"/>
                <w:spacing w:val="1"/>
                <w:sz w:val="21"/>
                <w:szCs w:val="21"/>
              </w:rPr>
              <w:t xml:space="preserve"> </w:t>
            </w:r>
            <w:r w:rsidRPr="00401C70">
              <w:rPr>
                <w:rFonts w:ascii="Abadi" w:hAnsi="Abadi" w:cs="Calibri"/>
                <w:sz w:val="21"/>
                <w:szCs w:val="21"/>
              </w:rPr>
              <w:t>ciudadanos se integren en una terna que se</w:t>
            </w:r>
            <w:r w:rsidRPr="00401C70">
              <w:rPr>
                <w:rFonts w:ascii="Abadi" w:hAnsi="Abadi" w:cs="Calibri"/>
                <w:spacing w:val="1"/>
                <w:sz w:val="21"/>
                <w:szCs w:val="21"/>
              </w:rPr>
              <w:t xml:space="preserve"> </w:t>
            </w:r>
            <w:r w:rsidRPr="00401C70">
              <w:rPr>
                <w:rFonts w:ascii="Abadi" w:hAnsi="Abadi" w:cs="Calibri"/>
                <w:sz w:val="21"/>
                <w:szCs w:val="21"/>
              </w:rPr>
              <w:t>presentará</w:t>
            </w:r>
            <w:r w:rsidRPr="00401C70">
              <w:rPr>
                <w:rFonts w:ascii="Abadi" w:hAnsi="Abadi" w:cs="Calibri"/>
                <w:spacing w:val="-3"/>
                <w:sz w:val="21"/>
                <w:szCs w:val="21"/>
              </w:rPr>
              <w:t xml:space="preserve"> </w:t>
            </w:r>
            <w:r w:rsidRPr="00401C70">
              <w:rPr>
                <w:rFonts w:ascii="Abadi" w:hAnsi="Abadi" w:cs="Calibri"/>
                <w:sz w:val="21"/>
                <w:szCs w:val="21"/>
              </w:rPr>
              <w:t>al Ayuntamiento.</w:t>
            </w:r>
          </w:p>
          <w:p w14:paraId="02B28AD3" w14:textId="77777777" w:rsidR="00677B7E" w:rsidRDefault="00677B7E" w:rsidP="00FA2590">
            <w:pPr>
              <w:kinsoku w:val="0"/>
              <w:overflowPunct w:val="0"/>
              <w:autoSpaceDE w:val="0"/>
              <w:autoSpaceDN w:val="0"/>
              <w:adjustRightInd w:val="0"/>
              <w:spacing w:before="113"/>
              <w:ind w:left="107" w:right="91"/>
              <w:jc w:val="both"/>
              <w:rPr>
                <w:rFonts w:ascii="Abadi" w:hAnsi="Abadi" w:cs="Calibri"/>
                <w:sz w:val="21"/>
                <w:szCs w:val="21"/>
              </w:rPr>
            </w:pPr>
            <w:r w:rsidRPr="00E358E3">
              <w:rPr>
                <w:rFonts w:ascii="Abadi" w:hAnsi="Abadi" w:cs="Calibri"/>
                <w:sz w:val="21"/>
                <w:szCs w:val="21"/>
              </w:rPr>
              <w:t>Las bases y procedimientos de la convocatoria se establecerán en el reglamento respectivo, apegándose a los principios de gobierno abierto, equidad, oportunidad, transparencia, imparcialidad y honradez; garantizándose la participación de los ciudadanos, en particular y de la sociedad civil organizada.</w:t>
            </w:r>
            <w:r>
              <w:rPr>
                <w:rFonts w:ascii="Abadi" w:hAnsi="Abadi" w:cs="Calibri"/>
                <w:sz w:val="21"/>
                <w:szCs w:val="21"/>
              </w:rPr>
              <w:t xml:space="preserve"> </w:t>
            </w:r>
          </w:p>
          <w:p w14:paraId="16847914" w14:textId="77777777" w:rsidR="00677B7E" w:rsidRDefault="00677B7E" w:rsidP="00FA2590">
            <w:pPr>
              <w:kinsoku w:val="0"/>
              <w:overflowPunct w:val="0"/>
              <w:autoSpaceDE w:val="0"/>
              <w:autoSpaceDN w:val="0"/>
              <w:adjustRightInd w:val="0"/>
              <w:spacing w:before="113"/>
              <w:ind w:left="107" w:right="91"/>
              <w:jc w:val="both"/>
              <w:rPr>
                <w:rFonts w:ascii="Abadi" w:hAnsi="Abadi" w:cs="Calibri"/>
                <w:sz w:val="21"/>
                <w:szCs w:val="21"/>
              </w:rPr>
            </w:pPr>
            <w:r w:rsidRPr="00E358E3">
              <w:rPr>
                <w:rFonts w:ascii="Abadi" w:hAnsi="Abadi" w:cs="Calibri"/>
                <w:sz w:val="21"/>
                <w:szCs w:val="21"/>
              </w:rPr>
              <w:t xml:space="preserve">De la propuesta en terna de aspirantes al cargo, el Ayuntamiento nombrará a quien obtenga la mayoría calificada.  </w:t>
            </w:r>
          </w:p>
          <w:p w14:paraId="73259F20" w14:textId="77777777" w:rsidR="00677B7E" w:rsidRDefault="00677B7E" w:rsidP="00FA2590">
            <w:pPr>
              <w:kinsoku w:val="0"/>
              <w:overflowPunct w:val="0"/>
              <w:autoSpaceDE w:val="0"/>
              <w:autoSpaceDN w:val="0"/>
              <w:adjustRightInd w:val="0"/>
              <w:spacing w:before="113"/>
              <w:ind w:left="107" w:right="91"/>
              <w:jc w:val="both"/>
              <w:rPr>
                <w:rFonts w:ascii="Abadi" w:hAnsi="Abadi" w:cs="Calibri"/>
                <w:sz w:val="21"/>
                <w:szCs w:val="21"/>
              </w:rPr>
            </w:pPr>
            <w:r w:rsidRPr="00E358E3">
              <w:rPr>
                <w:rFonts w:ascii="Abadi" w:hAnsi="Abadi" w:cs="Calibri"/>
                <w:sz w:val="21"/>
                <w:szCs w:val="21"/>
              </w:rPr>
              <w:t xml:space="preserve">Si ninguno de los integrantes obtiene mayoría calificada, </w:t>
            </w:r>
            <w:r w:rsidRPr="00E358E3">
              <w:rPr>
                <w:rFonts w:ascii="Abadi" w:hAnsi="Abadi" w:cs="Calibri"/>
                <w:sz w:val="21"/>
                <w:szCs w:val="21"/>
              </w:rPr>
              <w:t xml:space="preserve">se repetirá la votación entre los dos integrantes de la terna que hayan obtenido el mayor número de votos y de entre ellos, será nombrado Juez Administrativo Municipal el que obtenga la mayoría. La información que se genere con motivo de la integración de la terna es información pública.  </w:t>
            </w:r>
          </w:p>
          <w:p w14:paraId="05567B93" w14:textId="77777777" w:rsidR="00677B7E" w:rsidRDefault="00677B7E" w:rsidP="00FA2590">
            <w:pPr>
              <w:kinsoku w:val="0"/>
              <w:overflowPunct w:val="0"/>
              <w:autoSpaceDE w:val="0"/>
              <w:autoSpaceDN w:val="0"/>
              <w:adjustRightInd w:val="0"/>
              <w:spacing w:before="113"/>
              <w:ind w:left="107" w:right="91"/>
              <w:jc w:val="both"/>
              <w:rPr>
                <w:rFonts w:ascii="Abadi" w:hAnsi="Abadi" w:cs="Calibri"/>
                <w:sz w:val="21"/>
                <w:szCs w:val="21"/>
              </w:rPr>
            </w:pPr>
            <w:r w:rsidRPr="00E358E3">
              <w:rPr>
                <w:rFonts w:ascii="Abadi" w:hAnsi="Abadi" w:cs="Calibri"/>
                <w:sz w:val="21"/>
                <w:szCs w:val="21"/>
              </w:rPr>
              <w:t xml:space="preserve">El Ayuntamiento deberá iniciar el proceso de nombramiento del Juez Administrativo Municipal, a más tardar cuarenta y cinco días previos a la conclusión del periodo por el que haya sido designado.  </w:t>
            </w:r>
          </w:p>
          <w:p w14:paraId="61CF6E13" w14:textId="77777777" w:rsidR="00677B7E" w:rsidRDefault="00677B7E" w:rsidP="00FA2590">
            <w:pPr>
              <w:kinsoku w:val="0"/>
              <w:overflowPunct w:val="0"/>
              <w:autoSpaceDE w:val="0"/>
              <w:autoSpaceDN w:val="0"/>
              <w:adjustRightInd w:val="0"/>
              <w:spacing w:before="113"/>
              <w:ind w:left="107" w:right="91"/>
              <w:jc w:val="both"/>
              <w:rPr>
                <w:rFonts w:ascii="Abadi" w:hAnsi="Abadi" w:cs="Calibri"/>
                <w:sz w:val="21"/>
                <w:szCs w:val="21"/>
              </w:rPr>
            </w:pPr>
            <w:r w:rsidRPr="00E358E3">
              <w:rPr>
                <w:rFonts w:ascii="Abadi" w:hAnsi="Abadi" w:cs="Calibri"/>
                <w:sz w:val="21"/>
                <w:szCs w:val="21"/>
              </w:rPr>
              <w:t>La violación al proceso de designación estará afectada de nulidad.</w:t>
            </w:r>
          </w:p>
          <w:p w14:paraId="6DBEA72A" w14:textId="77777777" w:rsidR="00677B7E" w:rsidRDefault="00677B7E" w:rsidP="00FA2590">
            <w:pPr>
              <w:kinsoku w:val="0"/>
              <w:overflowPunct w:val="0"/>
              <w:autoSpaceDE w:val="0"/>
              <w:autoSpaceDN w:val="0"/>
              <w:adjustRightInd w:val="0"/>
              <w:spacing w:before="113"/>
              <w:ind w:left="107" w:right="91"/>
              <w:jc w:val="both"/>
              <w:rPr>
                <w:rFonts w:ascii="Abadi" w:hAnsi="Abadi" w:cs="Calibri"/>
                <w:sz w:val="21"/>
                <w:szCs w:val="21"/>
              </w:rPr>
            </w:pPr>
          </w:p>
          <w:p w14:paraId="461FF569" w14:textId="77777777" w:rsidR="00677B7E" w:rsidRPr="00401C70" w:rsidRDefault="00677B7E" w:rsidP="00FA2590">
            <w:pPr>
              <w:kinsoku w:val="0"/>
              <w:overflowPunct w:val="0"/>
              <w:autoSpaceDE w:val="0"/>
              <w:autoSpaceDN w:val="0"/>
              <w:adjustRightInd w:val="0"/>
              <w:spacing w:before="113"/>
              <w:ind w:left="107" w:right="91"/>
              <w:jc w:val="both"/>
              <w:rPr>
                <w:rFonts w:ascii="Abadi" w:hAnsi="Abadi" w:cs="Calibri"/>
                <w:sz w:val="21"/>
                <w:szCs w:val="21"/>
              </w:rPr>
            </w:pPr>
          </w:p>
        </w:tc>
        <w:tc>
          <w:tcPr>
            <w:tcW w:w="2500" w:type="pct"/>
            <w:tcBorders>
              <w:top w:val="none" w:sz="6" w:space="0" w:color="auto"/>
              <w:left w:val="single" w:sz="4" w:space="0" w:color="000000"/>
              <w:bottom w:val="single" w:sz="4" w:space="0" w:color="000000"/>
              <w:right w:val="single" w:sz="4" w:space="0" w:color="000000"/>
            </w:tcBorders>
          </w:tcPr>
          <w:p w14:paraId="5316A06C" w14:textId="77777777" w:rsidR="00677B7E" w:rsidRDefault="00677B7E" w:rsidP="00FA2590">
            <w:pPr>
              <w:kinsoku w:val="0"/>
              <w:overflowPunct w:val="0"/>
              <w:autoSpaceDE w:val="0"/>
              <w:autoSpaceDN w:val="0"/>
              <w:adjustRightInd w:val="0"/>
              <w:spacing w:before="113"/>
              <w:ind w:left="107" w:right="90"/>
              <w:jc w:val="both"/>
              <w:rPr>
                <w:rFonts w:ascii="Abadi" w:hAnsi="Abadi" w:cs="Calibri"/>
                <w:b/>
                <w:bCs/>
                <w:i/>
                <w:iCs/>
                <w:sz w:val="21"/>
                <w:szCs w:val="21"/>
              </w:rPr>
            </w:pP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convocatoria</w:t>
            </w:r>
            <w:r w:rsidRPr="00401C70">
              <w:rPr>
                <w:rFonts w:ascii="Abadi" w:hAnsi="Abadi" w:cs="Calibri"/>
                <w:spacing w:val="1"/>
                <w:sz w:val="21"/>
                <w:szCs w:val="21"/>
              </w:rPr>
              <w:t xml:space="preserve"> </w:t>
            </w:r>
            <w:r w:rsidRPr="00401C70">
              <w:rPr>
                <w:rFonts w:ascii="Abadi" w:hAnsi="Abadi" w:cs="Calibri"/>
                <w:sz w:val="21"/>
                <w:szCs w:val="21"/>
              </w:rPr>
              <w:t>deberá</w:t>
            </w:r>
            <w:r w:rsidRPr="00401C70">
              <w:rPr>
                <w:rFonts w:ascii="Abadi" w:hAnsi="Abadi" w:cs="Calibri"/>
                <w:spacing w:val="1"/>
                <w:sz w:val="21"/>
                <w:szCs w:val="21"/>
              </w:rPr>
              <w:t xml:space="preserve"> </w:t>
            </w:r>
            <w:r w:rsidRPr="00401C70">
              <w:rPr>
                <w:rFonts w:ascii="Abadi" w:hAnsi="Abadi" w:cs="Calibri"/>
                <w:sz w:val="21"/>
                <w:szCs w:val="21"/>
              </w:rPr>
              <w:t>ser</w:t>
            </w:r>
            <w:r w:rsidRPr="00401C70">
              <w:rPr>
                <w:rFonts w:ascii="Abadi" w:hAnsi="Abadi" w:cs="Calibri"/>
                <w:spacing w:val="1"/>
                <w:sz w:val="21"/>
                <w:szCs w:val="21"/>
              </w:rPr>
              <w:t xml:space="preserve"> </w:t>
            </w:r>
            <w:r w:rsidRPr="00401C70">
              <w:rPr>
                <w:rFonts w:ascii="Abadi" w:hAnsi="Abadi" w:cs="Calibri"/>
                <w:sz w:val="21"/>
                <w:szCs w:val="21"/>
              </w:rPr>
              <w:t>publicada</w:t>
            </w:r>
            <w:r w:rsidRPr="00401C70">
              <w:rPr>
                <w:rFonts w:ascii="Abadi" w:hAnsi="Abadi" w:cs="Calibri"/>
                <w:spacing w:val="1"/>
                <w:sz w:val="21"/>
                <w:szCs w:val="21"/>
              </w:rPr>
              <w:t xml:space="preserve"> </w:t>
            </w:r>
            <w:r w:rsidRPr="00401C70">
              <w:rPr>
                <w:rFonts w:ascii="Abadi" w:hAnsi="Abadi" w:cs="Calibri"/>
                <w:sz w:val="21"/>
                <w:szCs w:val="21"/>
              </w:rPr>
              <w:t>en</w:t>
            </w:r>
            <w:r w:rsidRPr="00401C70">
              <w:rPr>
                <w:rFonts w:ascii="Abadi" w:hAnsi="Abadi" w:cs="Calibri"/>
                <w:spacing w:val="1"/>
                <w:sz w:val="21"/>
                <w:szCs w:val="21"/>
              </w:rPr>
              <w:t xml:space="preserve"> </w:t>
            </w:r>
            <w:r w:rsidRPr="00401C70">
              <w:rPr>
                <w:rFonts w:ascii="Abadi" w:hAnsi="Abadi" w:cs="Calibri"/>
                <w:sz w:val="21"/>
                <w:szCs w:val="21"/>
              </w:rPr>
              <w:t>la</w:t>
            </w:r>
            <w:r w:rsidRPr="00401C70">
              <w:rPr>
                <w:rFonts w:ascii="Abadi" w:hAnsi="Abadi" w:cs="Calibri"/>
                <w:spacing w:val="1"/>
                <w:sz w:val="21"/>
                <w:szCs w:val="21"/>
              </w:rPr>
              <w:t xml:space="preserve"> </w:t>
            </w:r>
            <w:r w:rsidRPr="00401C70">
              <w:rPr>
                <w:rFonts w:ascii="Abadi" w:hAnsi="Abadi" w:cs="Calibri"/>
                <w:sz w:val="21"/>
                <w:szCs w:val="21"/>
              </w:rPr>
              <w:t>Gaceta Municipal, en las redes sociales, en la</w:t>
            </w:r>
            <w:r w:rsidRPr="00401C70">
              <w:rPr>
                <w:rFonts w:ascii="Abadi" w:hAnsi="Abadi" w:cs="Calibri"/>
                <w:spacing w:val="1"/>
                <w:sz w:val="21"/>
                <w:szCs w:val="21"/>
              </w:rPr>
              <w:t xml:space="preserve"> </w:t>
            </w:r>
            <w:r w:rsidRPr="00401C70">
              <w:rPr>
                <w:rFonts w:ascii="Abadi" w:hAnsi="Abadi" w:cs="Calibri"/>
                <w:sz w:val="21"/>
                <w:szCs w:val="21"/>
              </w:rPr>
              <w:t>página</w:t>
            </w:r>
            <w:r w:rsidRPr="00401C70">
              <w:rPr>
                <w:rFonts w:ascii="Abadi" w:hAnsi="Abadi" w:cs="Calibri"/>
                <w:spacing w:val="-4"/>
                <w:sz w:val="21"/>
                <w:szCs w:val="21"/>
              </w:rPr>
              <w:t xml:space="preserve"> </w:t>
            </w:r>
            <w:r w:rsidRPr="00401C70">
              <w:rPr>
                <w:rFonts w:ascii="Abadi" w:hAnsi="Abadi" w:cs="Calibri"/>
                <w:sz w:val="21"/>
                <w:szCs w:val="21"/>
              </w:rPr>
              <w:t>oficial</w:t>
            </w:r>
            <w:r w:rsidRPr="00401C70">
              <w:rPr>
                <w:rFonts w:ascii="Abadi" w:hAnsi="Abadi" w:cs="Calibri"/>
                <w:spacing w:val="-4"/>
                <w:sz w:val="21"/>
                <w:szCs w:val="21"/>
              </w:rPr>
              <w:t xml:space="preserve"> </w:t>
            </w:r>
            <w:r w:rsidRPr="00401C70">
              <w:rPr>
                <w:rFonts w:ascii="Abadi" w:hAnsi="Abadi" w:cs="Calibri"/>
                <w:sz w:val="21"/>
                <w:szCs w:val="21"/>
              </w:rPr>
              <w:t>de</w:t>
            </w:r>
            <w:r w:rsidRPr="00401C70">
              <w:rPr>
                <w:rFonts w:ascii="Abadi" w:hAnsi="Abadi" w:cs="Calibri"/>
                <w:spacing w:val="-3"/>
                <w:sz w:val="21"/>
                <w:szCs w:val="21"/>
              </w:rPr>
              <w:t xml:space="preserve"> </w:t>
            </w:r>
            <w:r w:rsidRPr="00401C70">
              <w:rPr>
                <w:rFonts w:ascii="Abadi" w:hAnsi="Abadi" w:cs="Calibri"/>
                <w:sz w:val="21"/>
                <w:szCs w:val="21"/>
              </w:rPr>
              <w:t>internet</w:t>
            </w:r>
            <w:r w:rsidRPr="00401C70">
              <w:rPr>
                <w:rFonts w:ascii="Abadi" w:hAnsi="Abadi" w:cs="Calibri"/>
                <w:spacing w:val="-3"/>
                <w:sz w:val="21"/>
                <w:szCs w:val="21"/>
              </w:rPr>
              <w:t xml:space="preserve"> </w:t>
            </w:r>
            <w:r w:rsidRPr="00401C70">
              <w:rPr>
                <w:rFonts w:ascii="Abadi" w:hAnsi="Abadi" w:cs="Calibri"/>
                <w:sz w:val="21"/>
                <w:szCs w:val="21"/>
              </w:rPr>
              <w:t>del</w:t>
            </w:r>
            <w:r w:rsidRPr="00401C70">
              <w:rPr>
                <w:rFonts w:ascii="Abadi" w:hAnsi="Abadi" w:cs="Calibri"/>
                <w:spacing w:val="-3"/>
                <w:sz w:val="21"/>
                <w:szCs w:val="21"/>
              </w:rPr>
              <w:t xml:space="preserve"> </w:t>
            </w:r>
            <w:r w:rsidRPr="00401C70">
              <w:rPr>
                <w:rFonts w:ascii="Abadi" w:hAnsi="Abadi" w:cs="Calibri"/>
                <w:sz w:val="21"/>
                <w:szCs w:val="21"/>
              </w:rPr>
              <w:t>Ayuntamiento,</w:t>
            </w:r>
            <w:r w:rsidRPr="00401C70">
              <w:rPr>
                <w:rFonts w:ascii="Abadi" w:hAnsi="Abadi" w:cs="Calibri"/>
                <w:spacing w:val="-5"/>
                <w:sz w:val="21"/>
                <w:szCs w:val="21"/>
              </w:rPr>
              <w:t xml:space="preserve"> </w:t>
            </w:r>
            <w:r w:rsidRPr="00401C70">
              <w:rPr>
                <w:rFonts w:ascii="Abadi" w:hAnsi="Abadi" w:cs="Calibri"/>
                <w:sz w:val="21"/>
                <w:szCs w:val="21"/>
              </w:rPr>
              <w:t>en</w:t>
            </w:r>
            <w:r w:rsidRPr="00401C70">
              <w:rPr>
                <w:rFonts w:ascii="Abadi" w:hAnsi="Abadi" w:cs="Calibri"/>
                <w:spacing w:val="-47"/>
                <w:sz w:val="21"/>
                <w:szCs w:val="21"/>
              </w:rPr>
              <w:t xml:space="preserve"> </w:t>
            </w:r>
            <w:r w:rsidRPr="00401C70">
              <w:rPr>
                <w:rFonts w:ascii="Abadi" w:hAnsi="Abadi" w:cs="Calibri"/>
                <w:sz w:val="21"/>
                <w:szCs w:val="21"/>
              </w:rPr>
              <w:t>el Periódico Oficial del Gobierno del Estado de</w:t>
            </w:r>
            <w:r w:rsidRPr="00401C70">
              <w:rPr>
                <w:rFonts w:ascii="Abadi" w:hAnsi="Abadi" w:cs="Calibri"/>
                <w:spacing w:val="1"/>
                <w:sz w:val="21"/>
                <w:szCs w:val="21"/>
              </w:rPr>
              <w:t xml:space="preserve"> </w:t>
            </w:r>
            <w:r w:rsidRPr="00401C70">
              <w:rPr>
                <w:rFonts w:ascii="Abadi" w:hAnsi="Abadi" w:cs="Calibri"/>
                <w:sz w:val="21"/>
                <w:szCs w:val="21"/>
              </w:rPr>
              <w:t>Guanajuato, y al menos, en uno de los medios</w:t>
            </w:r>
            <w:r w:rsidRPr="00401C70">
              <w:rPr>
                <w:rFonts w:ascii="Abadi" w:hAnsi="Abadi" w:cs="Calibri"/>
                <w:spacing w:val="1"/>
                <w:sz w:val="21"/>
                <w:szCs w:val="21"/>
              </w:rPr>
              <w:t xml:space="preserve"> </w:t>
            </w:r>
            <w:r w:rsidRPr="00401C70">
              <w:rPr>
                <w:rFonts w:ascii="Abadi" w:hAnsi="Abadi" w:cs="Calibri"/>
                <w:sz w:val="21"/>
                <w:szCs w:val="21"/>
              </w:rPr>
              <w:t>de comunicación impresos en el Municipio, a</w:t>
            </w:r>
            <w:r w:rsidRPr="00401C70">
              <w:rPr>
                <w:rFonts w:ascii="Abadi" w:hAnsi="Abadi" w:cs="Calibri"/>
                <w:spacing w:val="1"/>
                <w:sz w:val="21"/>
                <w:szCs w:val="21"/>
              </w:rPr>
              <w:t xml:space="preserve"> </w:t>
            </w:r>
            <w:r w:rsidRPr="00401C70">
              <w:rPr>
                <w:rFonts w:ascii="Abadi" w:hAnsi="Abadi" w:cs="Calibri"/>
                <w:sz w:val="21"/>
                <w:szCs w:val="21"/>
              </w:rPr>
              <w:t xml:space="preserve">efecto de que las propuestas que </w:t>
            </w:r>
            <w:r w:rsidRPr="00401C70">
              <w:rPr>
                <w:rFonts w:ascii="Abadi" w:hAnsi="Abadi" w:cs="Calibri"/>
                <w:b/>
                <w:bCs/>
                <w:i/>
                <w:iCs/>
                <w:sz w:val="21"/>
                <w:szCs w:val="21"/>
              </w:rPr>
              <w:t>formule la</w:t>
            </w:r>
            <w:r w:rsidRPr="00401C70">
              <w:rPr>
                <w:rFonts w:ascii="Abadi" w:hAnsi="Abadi" w:cs="Calibri"/>
                <w:b/>
                <w:bCs/>
                <w:i/>
                <w:iCs/>
                <w:spacing w:val="1"/>
                <w:sz w:val="21"/>
                <w:szCs w:val="21"/>
              </w:rPr>
              <w:t xml:space="preserve"> </w:t>
            </w:r>
            <w:r w:rsidRPr="00401C70">
              <w:rPr>
                <w:rFonts w:ascii="Abadi" w:hAnsi="Abadi" w:cs="Calibri"/>
                <w:b/>
                <w:bCs/>
                <w:i/>
                <w:iCs/>
                <w:sz w:val="21"/>
                <w:szCs w:val="21"/>
              </w:rPr>
              <w:t xml:space="preserve">ciudadanía </w:t>
            </w:r>
            <w:r w:rsidRPr="00401C70">
              <w:rPr>
                <w:rFonts w:ascii="Abadi" w:hAnsi="Abadi" w:cs="Calibri"/>
                <w:sz w:val="21"/>
                <w:szCs w:val="21"/>
              </w:rPr>
              <w:t>se integren en una terna que se</w:t>
            </w:r>
            <w:r w:rsidRPr="00401C70">
              <w:rPr>
                <w:rFonts w:ascii="Abadi" w:hAnsi="Abadi" w:cs="Calibri"/>
                <w:spacing w:val="1"/>
                <w:sz w:val="21"/>
                <w:szCs w:val="21"/>
              </w:rPr>
              <w:t xml:space="preserve"> </w:t>
            </w:r>
            <w:r w:rsidRPr="00401C70">
              <w:rPr>
                <w:rFonts w:ascii="Abadi" w:hAnsi="Abadi" w:cs="Calibri"/>
                <w:sz w:val="21"/>
                <w:szCs w:val="21"/>
              </w:rPr>
              <w:t>presentará</w:t>
            </w:r>
            <w:r w:rsidRPr="00401C70">
              <w:rPr>
                <w:rFonts w:ascii="Abadi" w:hAnsi="Abadi" w:cs="Calibri"/>
                <w:spacing w:val="1"/>
                <w:sz w:val="21"/>
                <w:szCs w:val="21"/>
              </w:rPr>
              <w:t xml:space="preserve"> </w:t>
            </w:r>
            <w:r w:rsidRPr="00401C70">
              <w:rPr>
                <w:rFonts w:ascii="Abadi" w:hAnsi="Abadi" w:cs="Calibri"/>
                <w:sz w:val="21"/>
                <w:szCs w:val="21"/>
              </w:rPr>
              <w:t>al</w:t>
            </w:r>
            <w:r w:rsidRPr="00401C70">
              <w:rPr>
                <w:rFonts w:ascii="Abadi" w:hAnsi="Abadi" w:cs="Calibri"/>
                <w:spacing w:val="1"/>
                <w:sz w:val="21"/>
                <w:szCs w:val="21"/>
              </w:rPr>
              <w:t xml:space="preserve"> </w:t>
            </w:r>
            <w:r w:rsidRPr="00401C70">
              <w:rPr>
                <w:rFonts w:ascii="Abadi" w:hAnsi="Abadi" w:cs="Calibri"/>
                <w:sz w:val="21"/>
                <w:szCs w:val="21"/>
              </w:rPr>
              <w:t>Ayuntamiento</w:t>
            </w:r>
            <w:r w:rsidRPr="00401C70">
              <w:rPr>
                <w:rFonts w:ascii="Abadi" w:hAnsi="Abadi" w:cs="Calibri"/>
                <w:spacing w:val="1"/>
                <w:sz w:val="21"/>
                <w:szCs w:val="21"/>
              </w:rPr>
              <w:t xml:space="preserve"> </w:t>
            </w:r>
            <w:r w:rsidRPr="00401C70">
              <w:rPr>
                <w:rFonts w:ascii="Abadi" w:hAnsi="Abadi" w:cs="Calibri"/>
                <w:b/>
                <w:bCs/>
                <w:i/>
                <w:iCs/>
                <w:sz w:val="21"/>
                <w:szCs w:val="21"/>
              </w:rPr>
              <w:t>y</w:t>
            </w:r>
            <w:r w:rsidRPr="00401C70">
              <w:rPr>
                <w:rFonts w:ascii="Abadi" w:hAnsi="Abadi" w:cs="Calibri"/>
                <w:b/>
                <w:bCs/>
                <w:i/>
                <w:iCs/>
                <w:spacing w:val="1"/>
                <w:sz w:val="21"/>
                <w:szCs w:val="21"/>
              </w:rPr>
              <w:t xml:space="preserve"> </w:t>
            </w:r>
            <w:r w:rsidRPr="00401C70">
              <w:rPr>
                <w:rFonts w:ascii="Abadi" w:hAnsi="Abadi" w:cs="Calibri"/>
                <w:b/>
                <w:bCs/>
                <w:i/>
                <w:iCs/>
                <w:sz w:val="21"/>
                <w:szCs w:val="21"/>
              </w:rPr>
              <w:t>en</w:t>
            </w:r>
            <w:r w:rsidRPr="00401C70">
              <w:rPr>
                <w:rFonts w:ascii="Abadi" w:hAnsi="Abadi" w:cs="Calibri"/>
                <w:b/>
                <w:bCs/>
                <w:i/>
                <w:iCs/>
                <w:spacing w:val="1"/>
                <w:sz w:val="21"/>
                <w:szCs w:val="21"/>
              </w:rPr>
              <w:t xml:space="preserve"> </w:t>
            </w:r>
            <w:r w:rsidRPr="00401C70">
              <w:rPr>
                <w:rFonts w:ascii="Abadi" w:hAnsi="Abadi" w:cs="Calibri"/>
                <w:b/>
                <w:bCs/>
                <w:i/>
                <w:iCs/>
                <w:sz w:val="21"/>
                <w:szCs w:val="21"/>
              </w:rPr>
              <w:t>cuya</w:t>
            </w:r>
            <w:r w:rsidRPr="00401C70">
              <w:rPr>
                <w:rFonts w:ascii="Abadi" w:hAnsi="Abadi" w:cs="Calibri"/>
                <w:b/>
                <w:bCs/>
                <w:i/>
                <w:iCs/>
                <w:spacing w:val="1"/>
                <w:sz w:val="21"/>
                <w:szCs w:val="21"/>
              </w:rPr>
              <w:t xml:space="preserve"> </w:t>
            </w:r>
            <w:r w:rsidRPr="00401C70">
              <w:rPr>
                <w:rFonts w:ascii="Abadi" w:hAnsi="Abadi" w:cs="Calibri"/>
                <w:b/>
                <w:bCs/>
                <w:i/>
                <w:iCs/>
                <w:sz w:val="21"/>
                <w:szCs w:val="21"/>
              </w:rPr>
              <w:t>conformación</w:t>
            </w:r>
            <w:r w:rsidRPr="00401C70">
              <w:rPr>
                <w:rFonts w:ascii="Abadi" w:hAnsi="Abadi" w:cs="Calibri"/>
                <w:b/>
                <w:bCs/>
                <w:i/>
                <w:iCs/>
                <w:spacing w:val="1"/>
                <w:sz w:val="21"/>
                <w:szCs w:val="21"/>
              </w:rPr>
              <w:t xml:space="preserve"> </w:t>
            </w:r>
            <w:r w:rsidRPr="00401C70">
              <w:rPr>
                <w:rFonts w:ascii="Abadi" w:hAnsi="Abadi" w:cs="Calibri"/>
                <w:b/>
                <w:bCs/>
                <w:i/>
                <w:iCs/>
                <w:sz w:val="21"/>
                <w:szCs w:val="21"/>
              </w:rPr>
              <w:t>se</w:t>
            </w:r>
            <w:r w:rsidRPr="00401C70">
              <w:rPr>
                <w:rFonts w:ascii="Abadi" w:hAnsi="Abadi" w:cs="Calibri"/>
                <w:b/>
                <w:bCs/>
                <w:i/>
                <w:iCs/>
                <w:spacing w:val="1"/>
                <w:sz w:val="21"/>
                <w:szCs w:val="21"/>
              </w:rPr>
              <w:t xml:space="preserve"> </w:t>
            </w:r>
            <w:r w:rsidRPr="00401C70">
              <w:rPr>
                <w:rFonts w:ascii="Abadi" w:hAnsi="Abadi" w:cs="Calibri"/>
                <w:b/>
                <w:bCs/>
                <w:i/>
                <w:iCs/>
                <w:sz w:val="21"/>
                <w:szCs w:val="21"/>
              </w:rPr>
              <w:t>deberá</w:t>
            </w:r>
            <w:r w:rsidRPr="00401C70">
              <w:rPr>
                <w:rFonts w:ascii="Abadi" w:hAnsi="Abadi" w:cs="Calibri"/>
                <w:b/>
                <w:bCs/>
                <w:i/>
                <w:iCs/>
                <w:spacing w:val="1"/>
                <w:sz w:val="21"/>
                <w:szCs w:val="21"/>
              </w:rPr>
              <w:t xml:space="preserve"> </w:t>
            </w:r>
            <w:r w:rsidRPr="00401C70">
              <w:rPr>
                <w:rFonts w:ascii="Abadi" w:hAnsi="Abadi" w:cs="Calibri"/>
                <w:b/>
                <w:bCs/>
                <w:i/>
                <w:iCs/>
                <w:sz w:val="21"/>
                <w:szCs w:val="21"/>
              </w:rPr>
              <w:t>garantizar</w:t>
            </w:r>
            <w:r w:rsidRPr="00401C70">
              <w:rPr>
                <w:rFonts w:ascii="Abadi" w:hAnsi="Abadi" w:cs="Calibri"/>
                <w:b/>
                <w:bCs/>
                <w:i/>
                <w:iCs/>
                <w:spacing w:val="1"/>
                <w:sz w:val="21"/>
                <w:szCs w:val="21"/>
              </w:rPr>
              <w:t xml:space="preserve"> </w:t>
            </w:r>
            <w:r w:rsidRPr="00401C70">
              <w:rPr>
                <w:rFonts w:ascii="Abadi" w:hAnsi="Abadi" w:cs="Calibri"/>
                <w:b/>
                <w:bCs/>
                <w:i/>
                <w:iCs/>
                <w:sz w:val="21"/>
                <w:szCs w:val="21"/>
              </w:rPr>
              <w:t>la</w:t>
            </w:r>
            <w:r w:rsidRPr="00401C70">
              <w:rPr>
                <w:rFonts w:ascii="Abadi" w:hAnsi="Abadi" w:cs="Calibri"/>
                <w:b/>
                <w:bCs/>
                <w:i/>
                <w:iCs/>
                <w:spacing w:val="1"/>
                <w:sz w:val="21"/>
                <w:szCs w:val="21"/>
              </w:rPr>
              <w:t xml:space="preserve"> </w:t>
            </w:r>
            <w:r w:rsidRPr="00401C70">
              <w:rPr>
                <w:rFonts w:ascii="Abadi" w:hAnsi="Abadi" w:cs="Calibri"/>
                <w:b/>
                <w:bCs/>
                <w:i/>
                <w:iCs/>
                <w:sz w:val="21"/>
                <w:szCs w:val="21"/>
              </w:rPr>
              <w:t>alternancia en el género de la persona Jueza</w:t>
            </w:r>
            <w:r w:rsidRPr="00401C70">
              <w:rPr>
                <w:rFonts w:ascii="Abadi" w:hAnsi="Abadi" w:cs="Calibri"/>
                <w:b/>
                <w:bCs/>
                <w:i/>
                <w:iCs/>
                <w:spacing w:val="1"/>
                <w:sz w:val="21"/>
                <w:szCs w:val="21"/>
              </w:rPr>
              <w:t xml:space="preserve"> </w:t>
            </w:r>
            <w:r w:rsidRPr="00401C70">
              <w:rPr>
                <w:rFonts w:ascii="Abadi" w:hAnsi="Abadi" w:cs="Calibri"/>
                <w:b/>
                <w:bCs/>
                <w:i/>
                <w:iCs/>
                <w:sz w:val="21"/>
                <w:szCs w:val="21"/>
              </w:rPr>
              <w:t>Administrativa Municipal.</w:t>
            </w:r>
          </w:p>
          <w:p w14:paraId="261542ED" w14:textId="77777777" w:rsidR="00677B7E" w:rsidRDefault="00677B7E" w:rsidP="00FA2590">
            <w:pPr>
              <w:kinsoku w:val="0"/>
              <w:overflowPunct w:val="0"/>
              <w:autoSpaceDE w:val="0"/>
              <w:autoSpaceDN w:val="0"/>
              <w:adjustRightInd w:val="0"/>
              <w:spacing w:before="113"/>
              <w:ind w:left="107" w:right="90"/>
              <w:jc w:val="both"/>
              <w:rPr>
                <w:rFonts w:ascii="Abadi" w:hAnsi="Abadi" w:cs="Calibri"/>
                <w:sz w:val="21"/>
                <w:szCs w:val="21"/>
              </w:rPr>
            </w:pPr>
            <w:r w:rsidRPr="00F94B6D">
              <w:rPr>
                <w:rFonts w:ascii="Abadi" w:hAnsi="Abadi" w:cs="Calibri"/>
                <w:sz w:val="21"/>
                <w:szCs w:val="21"/>
              </w:rPr>
              <w:t xml:space="preserve">Las bases y procedimientos de la convocatoria se establecerán en el reglamento respectivo, apegándose a los principios de gobierno abierto, equidad, oportunidad, transparencia, imparcialidad y honradez; garantizándose la participación de </w:t>
            </w:r>
            <w:r w:rsidRPr="00EB4576">
              <w:rPr>
                <w:rFonts w:ascii="Abadi" w:hAnsi="Abadi" w:cs="Calibri"/>
                <w:b/>
                <w:bCs/>
                <w:sz w:val="21"/>
                <w:szCs w:val="21"/>
              </w:rPr>
              <w:t>la ciudadanía</w:t>
            </w:r>
            <w:r w:rsidRPr="00F94B6D">
              <w:rPr>
                <w:rFonts w:ascii="Abadi" w:hAnsi="Abadi" w:cs="Calibri"/>
                <w:sz w:val="21"/>
                <w:szCs w:val="21"/>
              </w:rPr>
              <w:t xml:space="preserve">, en particular y de la sociedad civil organizada.  </w:t>
            </w:r>
          </w:p>
          <w:p w14:paraId="18B542F6" w14:textId="77777777" w:rsidR="00677B7E" w:rsidRDefault="00677B7E" w:rsidP="00FA2590">
            <w:pPr>
              <w:kinsoku w:val="0"/>
              <w:overflowPunct w:val="0"/>
              <w:autoSpaceDE w:val="0"/>
              <w:autoSpaceDN w:val="0"/>
              <w:adjustRightInd w:val="0"/>
              <w:spacing w:before="113"/>
              <w:ind w:left="107" w:right="90"/>
              <w:jc w:val="both"/>
              <w:rPr>
                <w:rFonts w:ascii="Abadi" w:hAnsi="Abadi" w:cs="Calibri"/>
                <w:sz w:val="21"/>
                <w:szCs w:val="21"/>
              </w:rPr>
            </w:pPr>
            <w:r w:rsidRPr="00F94B6D">
              <w:rPr>
                <w:rFonts w:ascii="Abadi" w:hAnsi="Abadi" w:cs="Calibri"/>
                <w:sz w:val="21"/>
                <w:szCs w:val="21"/>
              </w:rPr>
              <w:t xml:space="preserve">De la propuesta en terna de aspirantes al cargo, el Ayuntamiento nombrará a quien obtenga la mayoría calificada.  </w:t>
            </w:r>
          </w:p>
          <w:p w14:paraId="7CD68811" w14:textId="77777777" w:rsidR="00677B7E" w:rsidRDefault="00677B7E" w:rsidP="00FA2590">
            <w:pPr>
              <w:kinsoku w:val="0"/>
              <w:overflowPunct w:val="0"/>
              <w:autoSpaceDE w:val="0"/>
              <w:autoSpaceDN w:val="0"/>
              <w:adjustRightInd w:val="0"/>
              <w:spacing w:before="113"/>
              <w:ind w:left="107" w:right="90"/>
              <w:jc w:val="both"/>
              <w:rPr>
                <w:rFonts w:ascii="Abadi" w:hAnsi="Abadi" w:cs="Calibri"/>
                <w:sz w:val="21"/>
                <w:szCs w:val="21"/>
              </w:rPr>
            </w:pPr>
            <w:r w:rsidRPr="00F94B6D">
              <w:rPr>
                <w:rFonts w:ascii="Abadi" w:hAnsi="Abadi" w:cs="Calibri"/>
                <w:sz w:val="21"/>
                <w:szCs w:val="21"/>
              </w:rPr>
              <w:t xml:space="preserve">Si </w:t>
            </w:r>
            <w:r w:rsidRPr="00EB4576">
              <w:rPr>
                <w:rFonts w:ascii="Abadi" w:hAnsi="Abadi" w:cs="Calibri"/>
                <w:b/>
                <w:bCs/>
                <w:sz w:val="21"/>
                <w:szCs w:val="21"/>
              </w:rPr>
              <w:t>ninguna de las personas integrantes de la</w:t>
            </w:r>
            <w:r w:rsidRPr="00F94B6D">
              <w:rPr>
                <w:rFonts w:ascii="Abadi" w:hAnsi="Abadi" w:cs="Calibri"/>
                <w:sz w:val="21"/>
                <w:szCs w:val="21"/>
              </w:rPr>
              <w:t xml:space="preserve"> </w:t>
            </w:r>
            <w:r w:rsidRPr="00EB4576">
              <w:rPr>
                <w:rFonts w:ascii="Abadi" w:hAnsi="Abadi" w:cs="Calibri"/>
                <w:b/>
                <w:bCs/>
                <w:sz w:val="21"/>
                <w:szCs w:val="21"/>
              </w:rPr>
              <w:t>terna</w:t>
            </w:r>
            <w:r w:rsidRPr="00F94B6D">
              <w:rPr>
                <w:rFonts w:ascii="Abadi" w:hAnsi="Abadi" w:cs="Calibri"/>
                <w:sz w:val="21"/>
                <w:szCs w:val="21"/>
              </w:rPr>
              <w:t xml:space="preserve"> obtiene mayoría calificada, se repetirá la votación entre </w:t>
            </w:r>
            <w:r w:rsidRPr="00EB4576">
              <w:rPr>
                <w:rFonts w:ascii="Abadi" w:hAnsi="Abadi" w:cs="Calibri"/>
                <w:b/>
                <w:bCs/>
                <w:sz w:val="21"/>
                <w:szCs w:val="21"/>
              </w:rPr>
              <w:t>las dos</w:t>
            </w:r>
            <w:r w:rsidRPr="00F94B6D">
              <w:rPr>
                <w:rFonts w:ascii="Abadi" w:hAnsi="Abadi" w:cs="Calibri"/>
                <w:sz w:val="21"/>
                <w:szCs w:val="21"/>
              </w:rPr>
              <w:t xml:space="preserve"> que hayan obtenido el mayor número de votos y de entre </w:t>
            </w:r>
            <w:r w:rsidRPr="00EB4576">
              <w:rPr>
                <w:rFonts w:ascii="Abadi" w:hAnsi="Abadi" w:cs="Calibri"/>
                <w:b/>
                <w:bCs/>
                <w:sz w:val="21"/>
                <w:szCs w:val="21"/>
              </w:rPr>
              <w:t>ellas</w:t>
            </w:r>
            <w:r w:rsidRPr="00F94B6D">
              <w:rPr>
                <w:rFonts w:ascii="Abadi" w:hAnsi="Abadi" w:cs="Calibri"/>
                <w:sz w:val="21"/>
                <w:szCs w:val="21"/>
              </w:rPr>
              <w:t xml:space="preserve">, será </w:t>
            </w:r>
            <w:r w:rsidRPr="00EB4576">
              <w:rPr>
                <w:rFonts w:ascii="Abadi" w:hAnsi="Abadi" w:cs="Calibri"/>
                <w:b/>
                <w:bCs/>
                <w:sz w:val="21"/>
                <w:szCs w:val="21"/>
              </w:rPr>
              <w:t>nombrada Jueza Administrativa Municipal la</w:t>
            </w:r>
            <w:r w:rsidRPr="00F94B6D">
              <w:rPr>
                <w:rFonts w:ascii="Abadi" w:hAnsi="Abadi" w:cs="Calibri"/>
                <w:sz w:val="21"/>
                <w:szCs w:val="21"/>
              </w:rPr>
              <w:t xml:space="preserve"> </w:t>
            </w:r>
            <w:r w:rsidRPr="00EB4576">
              <w:rPr>
                <w:rFonts w:ascii="Abadi" w:hAnsi="Abadi" w:cs="Calibri"/>
                <w:b/>
                <w:bCs/>
                <w:sz w:val="21"/>
                <w:szCs w:val="21"/>
              </w:rPr>
              <w:t xml:space="preserve">que </w:t>
            </w:r>
            <w:r w:rsidRPr="00F94B6D">
              <w:rPr>
                <w:rFonts w:ascii="Abadi" w:hAnsi="Abadi" w:cs="Calibri"/>
                <w:sz w:val="21"/>
                <w:szCs w:val="21"/>
              </w:rPr>
              <w:t xml:space="preserve">obtenga la mayoría. La información que se genere con motivo de la integración de la terna es información pública.  </w:t>
            </w:r>
          </w:p>
          <w:p w14:paraId="4D2EF6ED" w14:textId="77777777" w:rsidR="00677B7E" w:rsidRDefault="00677B7E" w:rsidP="00FA2590">
            <w:pPr>
              <w:kinsoku w:val="0"/>
              <w:overflowPunct w:val="0"/>
              <w:autoSpaceDE w:val="0"/>
              <w:autoSpaceDN w:val="0"/>
              <w:adjustRightInd w:val="0"/>
              <w:spacing w:before="113"/>
              <w:ind w:left="107" w:right="90"/>
              <w:jc w:val="both"/>
              <w:rPr>
                <w:rFonts w:ascii="Abadi" w:hAnsi="Abadi" w:cs="Calibri"/>
                <w:sz w:val="21"/>
                <w:szCs w:val="21"/>
              </w:rPr>
            </w:pPr>
            <w:r w:rsidRPr="00F94B6D">
              <w:rPr>
                <w:rFonts w:ascii="Abadi" w:hAnsi="Abadi" w:cs="Calibri"/>
                <w:sz w:val="21"/>
                <w:szCs w:val="21"/>
              </w:rPr>
              <w:t xml:space="preserve">El Ayuntamiento deberá iniciar el proceso de nombramiento </w:t>
            </w:r>
            <w:r w:rsidRPr="00EB4576">
              <w:rPr>
                <w:rFonts w:ascii="Abadi" w:hAnsi="Abadi" w:cs="Calibri"/>
                <w:b/>
                <w:bCs/>
                <w:sz w:val="21"/>
                <w:szCs w:val="21"/>
              </w:rPr>
              <w:t>de la persona Jueza</w:t>
            </w:r>
            <w:r w:rsidRPr="00F94B6D">
              <w:rPr>
                <w:rFonts w:ascii="Abadi" w:hAnsi="Abadi" w:cs="Calibri"/>
                <w:sz w:val="21"/>
                <w:szCs w:val="21"/>
              </w:rPr>
              <w:t xml:space="preserve"> </w:t>
            </w:r>
            <w:r w:rsidRPr="00EB4576">
              <w:rPr>
                <w:rFonts w:ascii="Abadi" w:hAnsi="Abadi" w:cs="Calibri"/>
                <w:b/>
                <w:bCs/>
                <w:sz w:val="21"/>
                <w:szCs w:val="21"/>
              </w:rPr>
              <w:t>Administrativa Municipal</w:t>
            </w:r>
            <w:r w:rsidRPr="00F94B6D">
              <w:rPr>
                <w:rFonts w:ascii="Abadi" w:hAnsi="Abadi" w:cs="Calibri"/>
                <w:sz w:val="21"/>
                <w:szCs w:val="21"/>
              </w:rPr>
              <w:t xml:space="preserve">, a más tardar cuarenta y cinco días previos a la conclusión del periodo por el que haya sido </w:t>
            </w:r>
            <w:r w:rsidRPr="005E4B3A">
              <w:rPr>
                <w:rFonts w:ascii="Abadi" w:hAnsi="Abadi" w:cs="Calibri"/>
                <w:b/>
                <w:bCs/>
                <w:sz w:val="21"/>
                <w:szCs w:val="21"/>
              </w:rPr>
              <w:t>designada.</w:t>
            </w:r>
            <w:r w:rsidRPr="00F94B6D">
              <w:rPr>
                <w:rFonts w:ascii="Abadi" w:hAnsi="Abadi" w:cs="Calibri"/>
                <w:sz w:val="21"/>
                <w:szCs w:val="21"/>
              </w:rPr>
              <w:t xml:space="preserve">  </w:t>
            </w:r>
          </w:p>
          <w:p w14:paraId="1DC3BA97" w14:textId="77777777" w:rsidR="00677B7E" w:rsidRPr="00F94B6D" w:rsidRDefault="00677B7E" w:rsidP="00FA2590">
            <w:pPr>
              <w:kinsoku w:val="0"/>
              <w:overflowPunct w:val="0"/>
              <w:autoSpaceDE w:val="0"/>
              <w:autoSpaceDN w:val="0"/>
              <w:adjustRightInd w:val="0"/>
              <w:spacing w:before="113"/>
              <w:ind w:left="107" w:right="90"/>
              <w:jc w:val="both"/>
              <w:rPr>
                <w:rFonts w:ascii="Abadi" w:hAnsi="Abadi" w:cs="Calibri"/>
                <w:sz w:val="21"/>
                <w:szCs w:val="21"/>
              </w:rPr>
            </w:pPr>
            <w:r w:rsidRPr="00F94B6D">
              <w:rPr>
                <w:rFonts w:ascii="Abadi" w:hAnsi="Abadi" w:cs="Calibri"/>
                <w:sz w:val="21"/>
                <w:szCs w:val="21"/>
              </w:rPr>
              <w:t>La violación al proceso de designación estará afectada de nulidad.</w:t>
            </w:r>
          </w:p>
        </w:tc>
      </w:tr>
    </w:tbl>
    <w:p w14:paraId="5D5FDA47" w14:textId="77777777" w:rsidR="00677B7E" w:rsidRDefault="00677B7E" w:rsidP="00677B7E">
      <w:pPr>
        <w:jc w:val="both"/>
        <w:rPr>
          <w:rFonts w:ascii="Abadi" w:hAnsi="Abadi"/>
          <w:sz w:val="21"/>
          <w:szCs w:val="21"/>
        </w:rPr>
      </w:pPr>
    </w:p>
    <w:p w14:paraId="4145C3B7" w14:textId="7D03E66A" w:rsidR="00677B7E" w:rsidRDefault="00677B7E" w:rsidP="00677B7E">
      <w:pPr>
        <w:jc w:val="both"/>
        <w:rPr>
          <w:rFonts w:ascii="Abadi" w:hAnsi="Abadi"/>
          <w:sz w:val="21"/>
          <w:szCs w:val="21"/>
        </w:rPr>
      </w:pPr>
      <w:r w:rsidRPr="00370D2E">
        <w:rPr>
          <w:rFonts w:ascii="Abadi" w:hAnsi="Abadi"/>
          <w:sz w:val="21"/>
          <w:szCs w:val="21"/>
        </w:rPr>
        <w:t xml:space="preserve">De conformidad con el artículo 209 de la Ley Orgánica del Poder Legislativo del Estado de Guanajuato, de ser aprobada, la presente iniciativa tendrá los siguientes impactos: </w:t>
      </w:r>
    </w:p>
    <w:p w14:paraId="19AB5A29" w14:textId="77777777" w:rsidR="004331E9" w:rsidRDefault="004331E9" w:rsidP="00677B7E">
      <w:pPr>
        <w:jc w:val="both"/>
        <w:rPr>
          <w:rFonts w:ascii="Abadi" w:hAnsi="Abadi"/>
          <w:sz w:val="21"/>
          <w:szCs w:val="21"/>
        </w:rPr>
      </w:pPr>
    </w:p>
    <w:p w14:paraId="2C7208DE" w14:textId="77777777" w:rsidR="00677B7E" w:rsidRDefault="00677B7E" w:rsidP="00677B7E">
      <w:pPr>
        <w:pStyle w:val="Prrafodelista"/>
        <w:numPr>
          <w:ilvl w:val="0"/>
          <w:numId w:val="28"/>
        </w:numPr>
        <w:spacing w:after="160" w:line="259" w:lineRule="auto"/>
        <w:contextualSpacing/>
        <w:jc w:val="both"/>
        <w:rPr>
          <w:rFonts w:ascii="Abadi" w:hAnsi="Abadi"/>
          <w:sz w:val="21"/>
          <w:szCs w:val="21"/>
        </w:rPr>
      </w:pPr>
      <w:r w:rsidRPr="00370D2E">
        <w:rPr>
          <w:rFonts w:ascii="Abadi" w:hAnsi="Abadi"/>
          <w:b/>
          <w:bCs/>
          <w:sz w:val="21"/>
          <w:szCs w:val="21"/>
        </w:rPr>
        <w:t>Impacto jurídico</w:t>
      </w:r>
      <w:r w:rsidRPr="00370D2E">
        <w:rPr>
          <w:rFonts w:ascii="Abadi" w:hAnsi="Abadi"/>
          <w:sz w:val="21"/>
          <w:szCs w:val="21"/>
        </w:rPr>
        <w:t>: Se reforman diversos artículos de la Ley Orgánica del Poder Ejecutivo para el Estado de Guanajuato y de la Ley Orgánica Municipal para el Estado de Guanajuato</w:t>
      </w:r>
    </w:p>
    <w:p w14:paraId="2DCAE7C5" w14:textId="77777777" w:rsidR="00677B7E" w:rsidRPr="00370D2E" w:rsidRDefault="00677B7E" w:rsidP="00677B7E">
      <w:pPr>
        <w:pStyle w:val="Prrafodelista"/>
        <w:ind w:left="780"/>
        <w:jc w:val="both"/>
        <w:rPr>
          <w:rFonts w:ascii="Abadi" w:hAnsi="Abadi"/>
          <w:sz w:val="21"/>
          <w:szCs w:val="21"/>
        </w:rPr>
      </w:pPr>
    </w:p>
    <w:p w14:paraId="5C2A301B" w14:textId="77777777" w:rsidR="00677B7E" w:rsidRDefault="00677B7E" w:rsidP="00677B7E">
      <w:pPr>
        <w:pStyle w:val="Prrafodelista"/>
        <w:numPr>
          <w:ilvl w:val="0"/>
          <w:numId w:val="28"/>
        </w:numPr>
        <w:spacing w:after="160" w:line="259" w:lineRule="auto"/>
        <w:contextualSpacing/>
        <w:jc w:val="both"/>
        <w:rPr>
          <w:rFonts w:ascii="Abadi" w:hAnsi="Abadi"/>
          <w:sz w:val="21"/>
          <w:szCs w:val="21"/>
        </w:rPr>
      </w:pPr>
      <w:r w:rsidRPr="00370D2E">
        <w:rPr>
          <w:rFonts w:ascii="Abadi" w:hAnsi="Abadi"/>
          <w:b/>
          <w:bCs/>
          <w:sz w:val="21"/>
          <w:szCs w:val="21"/>
        </w:rPr>
        <w:t>Impacto administrativo</w:t>
      </w:r>
      <w:r w:rsidRPr="00370D2E">
        <w:rPr>
          <w:rFonts w:ascii="Abadi" w:hAnsi="Abadi"/>
          <w:sz w:val="21"/>
          <w:szCs w:val="21"/>
        </w:rPr>
        <w:t xml:space="preserve">: La propuesta que se plantea no genera impactos administrativos.  </w:t>
      </w:r>
    </w:p>
    <w:p w14:paraId="598456D8" w14:textId="77777777" w:rsidR="00677B7E" w:rsidRPr="00370D2E" w:rsidRDefault="00677B7E" w:rsidP="00677B7E">
      <w:pPr>
        <w:pStyle w:val="Prrafodelista"/>
        <w:rPr>
          <w:rFonts w:ascii="Abadi" w:hAnsi="Abadi"/>
          <w:sz w:val="21"/>
          <w:szCs w:val="21"/>
        </w:rPr>
      </w:pPr>
    </w:p>
    <w:p w14:paraId="450490E8" w14:textId="77777777" w:rsidR="00677B7E" w:rsidRDefault="00677B7E" w:rsidP="00677B7E">
      <w:pPr>
        <w:pStyle w:val="Prrafodelista"/>
        <w:numPr>
          <w:ilvl w:val="0"/>
          <w:numId w:val="28"/>
        </w:numPr>
        <w:spacing w:after="160" w:line="259" w:lineRule="auto"/>
        <w:contextualSpacing/>
        <w:jc w:val="both"/>
        <w:rPr>
          <w:rFonts w:ascii="Abadi" w:hAnsi="Abadi"/>
          <w:sz w:val="21"/>
          <w:szCs w:val="21"/>
        </w:rPr>
      </w:pPr>
      <w:r w:rsidRPr="00370D2E">
        <w:rPr>
          <w:rFonts w:ascii="Abadi" w:hAnsi="Abadi"/>
          <w:b/>
          <w:bCs/>
          <w:sz w:val="21"/>
          <w:szCs w:val="21"/>
        </w:rPr>
        <w:t>Impacto presupuestario</w:t>
      </w:r>
      <w:r w:rsidRPr="00370D2E">
        <w:rPr>
          <w:rFonts w:ascii="Abadi" w:hAnsi="Abadi"/>
          <w:sz w:val="21"/>
          <w:szCs w:val="21"/>
        </w:rPr>
        <w:t xml:space="preserve">: La presente iniciativa no implica un impacto presupuestario dado que no se generan nuevas plazas.  </w:t>
      </w:r>
    </w:p>
    <w:p w14:paraId="5B37F876" w14:textId="77777777" w:rsidR="00677B7E" w:rsidRPr="00370D2E" w:rsidRDefault="00677B7E" w:rsidP="00677B7E">
      <w:pPr>
        <w:pStyle w:val="Prrafodelista"/>
        <w:rPr>
          <w:rFonts w:ascii="Abadi" w:hAnsi="Abadi"/>
          <w:sz w:val="21"/>
          <w:szCs w:val="21"/>
        </w:rPr>
      </w:pPr>
    </w:p>
    <w:p w14:paraId="0D439B17" w14:textId="77777777" w:rsidR="00677B7E" w:rsidRDefault="00677B7E" w:rsidP="00677B7E">
      <w:pPr>
        <w:pStyle w:val="Prrafodelista"/>
        <w:numPr>
          <w:ilvl w:val="0"/>
          <w:numId w:val="28"/>
        </w:numPr>
        <w:spacing w:after="160" w:line="259" w:lineRule="auto"/>
        <w:contextualSpacing/>
        <w:jc w:val="both"/>
        <w:rPr>
          <w:rFonts w:ascii="Abadi" w:hAnsi="Abadi"/>
          <w:sz w:val="21"/>
          <w:szCs w:val="21"/>
        </w:rPr>
      </w:pPr>
      <w:r w:rsidRPr="00370D2E">
        <w:rPr>
          <w:rFonts w:ascii="Abadi" w:hAnsi="Abadi"/>
          <w:b/>
          <w:bCs/>
          <w:sz w:val="21"/>
          <w:szCs w:val="21"/>
        </w:rPr>
        <w:t>Impacto social:</w:t>
      </w:r>
      <w:r w:rsidRPr="00370D2E">
        <w:rPr>
          <w:rFonts w:ascii="Abadi" w:hAnsi="Abadi"/>
          <w:sz w:val="21"/>
          <w:szCs w:val="21"/>
        </w:rPr>
        <w:t xml:space="preserve"> De ser aprobada la presente propuesta, se estará garantizando el acceso de las mujeres a los puestos de toma de decisión de la administración pública estatal y municipal, lo que contribuirá a generar una paridad descriptiva y sustantiva que abone e incida en la construcción e implementación de una agenda pública con perspectiva de género.   </w:t>
      </w:r>
    </w:p>
    <w:p w14:paraId="75A17B1F" w14:textId="77777777" w:rsidR="00677B7E" w:rsidRPr="00132C3E" w:rsidRDefault="00677B7E" w:rsidP="00677B7E">
      <w:pPr>
        <w:pStyle w:val="Prrafodelista"/>
        <w:rPr>
          <w:rFonts w:ascii="Abadi" w:hAnsi="Abadi"/>
          <w:sz w:val="21"/>
          <w:szCs w:val="21"/>
        </w:rPr>
      </w:pPr>
    </w:p>
    <w:p w14:paraId="4EFD5630" w14:textId="77777777" w:rsidR="00677B7E" w:rsidRDefault="00677B7E" w:rsidP="00677B7E">
      <w:pPr>
        <w:pStyle w:val="Prrafodelista"/>
        <w:ind w:left="780"/>
        <w:jc w:val="both"/>
        <w:rPr>
          <w:rFonts w:ascii="Abadi" w:hAnsi="Abadi"/>
          <w:sz w:val="21"/>
          <w:szCs w:val="21"/>
        </w:rPr>
      </w:pPr>
      <w:r w:rsidRPr="00370D2E">
        <w:rPr>
          <w:rFonts w:ascii="Abadi" w:hAnsi="Abadi"/>
          <w:sz w:val="21"/>
          <w:szCs w:val="21"/>
        </w:rPr>
        <w:t xml:space="preserve">Por lo anteriormente expuesto, sometemos a la consideración del Pleno de este H. Congreso del Estado de Guanajuato el siguiente:   </w:t>
      </w:r>
    </w:p>
    <w:p w14:paraId="67E04813" w14:textId="77777777" w:rsidR="00677B7E" w:rsidRDefault="00677B7E" w:rsidP="00677B7E">
      <w:pPr>
        <w:pStyle w:val="Prrafodelista"/>
        <w:ind w:left="780"/>
        <w:jc w:val="both"/>
        <w:rPr>
          <w:rFonts w:ascii="Abadi" w:hAnsi="Abadi"/>
          <w:sz w:val="21"/>
          <w:szCs w:val="21"/>
        </w:rPr>
      </w:pPr>
    </w:p>
    <w:p w14:paraId="2239FC89" w14:textId="77777777" w:rsidR="00677B7E" w:rsidRPr="00132C3E" w:rsidRDefault="00677B7E" w:rsidP="00677B7E">
      <w:pPr>
        <w:pStyle w:val="Prrafodelista"/>
        <w:ind w:left="780"/>
        <w:jc w:val="center"/>
        <w:rPr>
          <w:rFonts w:ascii="Abadi" w:hAnsi="Abadi"/>
          <w:b/>
          <w:bCs/>
          <w:sz w:val="21"/>
          <w:szCs w:val="21"/>
        </w:rPr>
      </w:pPr>
      <w:r w:rsidRPr="00132C3E">
        <w:rPr>
          <w:rFonts w:ascii="Abadi" w:hAnsi="Abadi"/>
          <w:b/>
          <w:bCs/>
          <w:sz w:val="21"/>
          <w:szCs w:val="21"/>
        </w:rPr>
        <w:t>PROYECTO DE DECRETO</w:t>
      </w:r>
    </w:p>
    <w:p w14:paraId="2599E25F" w14:textId="77777777" w:rsidR="00677B7E" w:rsidRDefault="00677B7E" w:rsidP="00677B7E">
      <w:pPr>
        <w:pStyle w:val="Prrafodelista"/>
        <w:ind w:left="780"/>
        <w:jc w:val="both"/>
        <w:rPr>
          <w:rFonts w:ascii="Abadi" w:hAnsi="Abadi"/>
          <w:sz w:val="21"/>
          <w:szCs w:val="21"/>
        </w:rPr>
      </w:pPr>
    </w:p>
    <w:p w14:paraId="1B8E1EBF" w14:textId="77777777" w:rsidR="00677B7E" w:rsidRDefault="00677B7E" w:rsidP="00677B7E">
      <w:pPr>
        <w:pStyle w:val="Prrafodelista"/>
        <w:ind w:left="780"/>
        <w:jc w:val="both"/>
        <w:rPr>
          <w:rFonts w:ascii="Abadi" w:hAnsi="Abadi"/>
          <w:sz w:val="21"/>
          <w:szCs w:val="21"/>
        </w:rPr>
      </w:pPr>
      <w:r w:rsidRPr="00532273">
        <w:rPr>
          <w:rFonts w:ascii="Abadi" w:hAnsi="Abadi"/>
          <w:b/>
          <w:bCs/>
          <w:sz w:val="21"/>
          <w:szCs w:val="21"/>
        </w:rPr>
        <w:t>PRIMERO</w:t>
      </w:r>
      <w:r w:rsidRPr="00370D2E">
        <w:rPr>
          <w:rFonts w:ascii="Abadi" w:hAnsi="Abadi"/>
          <w:sz w:val="21"/>
          <w:szCs w:val="21"/>
        </w:rPr>
        <w:t xml:space="preserve">. Se reforman los artículos 3°, 17, 37, 47, 48, 53, 54, 55, 58, 60, 62, 70 80 y 82 de la Ley Orgánica del Poder Ejecutivo para el Estado de Guanajuato, quedando de la siguiente manera:  </w:t>
      </w:r>
    </w:p>
    <w:p w14:paraId="363E3CC2" w14:textId="77777777" w:rsidR="00677B7E" w:rsidRDefault="00677B7E" w:rsidP="00677B7E">
      <w:pPr>
        <w:pStyle w:val="Prrafodelista"/>
        <w:ind w:left="780"/>
        <w:jc w:val="both"/>
        <w:rPr>
          <w:rFonts w:ascii="Abadi" w:hAnsi="Abadi"/>
          <w:sz w:val="21"/>
          <w:szCs w:val="21"/>
        </w:rPr>
      </w:pPr>
    </w:p>
    <w:p w14:paraId="0CADC13C" w14:textId="77777777" w:rsidR="00677B7E" w:rsidRDefault="00677B7E" w:rsidP="00677B7E">
      <w:pPr>
        <w:pStyle w:val="Prrafodelista"/>
        <w:ind w:left="780"/>
        <w:jc w:val="both"/>
        <w:rPr>
          <w:rFonts w:ascii="Abadi" w:hAnsi="Abadi"/>
          <w:sz w:val="21"/>
          <w:szCs w:val="21"/>
        </w:rPr>
      </w:pPr>
      <w:r w:rsidRPr="00532273">
        <w:rPr>
          <w:rFonts w:ascii="Abadi" w:hAnsi="Abadi"/>
          <w:b/>
          <w:bCs/>
          <w:sz w:val="21"/>
          <w:szCs w:val="21"/>
        </w:rPr>
        <w:t>Artículo 3o</w:t>
      </w:r>
      <w:r w:rsidRPr="00370D2E">
        <w:rPr>
          <w:rFonts w:ascii="Abadi" w:hAnsi="Abadi"/>
          <w:sz w:val="21"/>
          <w:szCs w:val="21"/>
        </w:rPr>
        <w:t xml:space="preserve">.- Para el despacho de... </w:t>
      </w:r>
    </w:p>
    <w:p w14:paraId="00DADDB6" w14:textId="77777777" w:rsidR="00677B7E" w:rsidRDefault="00677B7E" w:rsidP="00677B7E">
      <w:pPr>
        <w:pStyle w:val="Prrafodelista"/>
        <w:ind w:left="780"/>
        <w:jc w:val="both"/>
        <w:rPr>
          <w:rFonts w:ascii="Abadi" w:hAnsi="Abadi"/>
          <w:sz w:val="21"/>
          <w:szCs w:val="21"/>
        </w:rPr>
      </w:pPr>
    </w:p>
    <w:p w14:paraId="67784A75" w14:textId="77777777" w:rsidR="00677B7E" w:rsidRDefault="00677B7E" w:rsidP="00677B7E">
      <w:pPr>
        <w:pStyle w:val="Prrafodelista"/>
        <w:ind w:left="780"/>
        <w:jc w:val="both"/>
        <w:rPr>
          <w:rFonts w:ascii="Abadi" w:hAnsi="Abadi"/>
          <w:sz w:val="21"/>
          <w:szCs w:val="21"/>
        </w:rPr>
      </w:pPr>
      <w:r w:rsidRPr="00370D2E">
        <w:rPr>
          <w:rFonts w:ascii="Abadi" w:hAnsi="Abadi"/>
          <w:sz w:val="21"/>
          <w:szCs w:val="21"/>
        </w:rPr>
        <w:t xml:space="preserve">La Administración Pública Centralizada… </w:t>
      </w:r>
    </w:p>
    <w:p w14:paraId="0CCD6551" w14:textId="77777777" w:rsidR="00677B7E" w:rsidRDefault="00677B7E" w:rsidP="00677B7E">
      <w:pPr>
        <w:pStyle w:val="Prrafodelista"/>
        <w:ind w:left="780"/>
        <w:jc w:val="both"/>
        <w:rPr>
          <w:rFonts w:ascii="Abadi" w:hAnsi="Abadi"/>
          <w:sz w:val="21"/>
          <w:szCs w:val="21"/>
        </w:rPr>
      </w:pPr>
    </w:p>
    <w:p w14:paraId="3EB48834" w14:textId="77777777" w:rsidR="00677B7E" w:rsidRDefault="00677B7E" w:rsidP="00677B7E">
      <w:pPr>
        <w:pStyle w:val="Prrafodelista"/>
        <w:ind w:left="780"/>
        <w:jc w:val="both"/>
        <w:rPr>
          <w:rFonts w:ascii="Abadi" w:hAnsi="Abadi"/>
          <w:sz w:val="21"/>
          <w:szCs w:val="21"/>
        </w:rPr>
      </w:pPr>
      <w:r w:rsidRPr="00370D2E">
        <w:rPr>
          <w:rFonts w:ascii="Abadi" w:hAnsi="Abadi"/>
          <w:sz w:val="21"/>
          <w:szCs w:val="21"/>
        </w:rPr>
        <w:t xml:space="preserve">La Administración Pública Paraestatal... </w:t>
      </w:r>
    </w:p>
    <w:p w14:paraId="2ED9FA13" w14:textId="77777777" w:rsidR="00677B7E" w:rsidRDefault="00677B7E" w:rsidP="00677B7E">
      <w:pPr>
        <w:pStyle w:val="Prrafodelista"/>
        <w:ind w:left="780"/>
        <w:jc w:val="both"/>
        <w:rPr>
          <w:rFonts w:ascii="Abadi" w:hAnsi="Abadi"/>
          <w:sz w:val="21"/>
          <w:szCs w:val="21"/>
        </w:rPr>
      </w:pPr>
    </w:p>
    <w:p w14:paraId="7B5B73CE" w14:textId="77777777" w:rsidR="00677B7E" w:rsidRDefault="00677B7E" w:rsidP="00677B7E">
      <w:pPr>
        <w:pStyle w:val="Prrafodelista"/>
        <w:ind w:left="780"/>
        <w:jc w:val="both"/>
        <w:rPr>
          <w:rFonts w:ascii="Abadi" w:hAnsi="Abadi"/>
          <w:sz w:val="21"/>
          <w:szCs w:val="21"/>
        </w:rPr>
      </w:pPr>
      <w:r w:rsidRPr="00574A5C">
        <w:rPr>
          <w:rFonts w:ascii="Abadi" w:hAnsi="Abadi"/>
          <w:b/>
          <w:bCs/>
          <w:sz w:val="21"/>
          <w:szCs w:val="21"/>
        </w:rPr>
        <w:t>En los nombramientos de las personas titulares de las dependencias y entidades que conforman la administración pública centralizada y paraestatal del Poder Ejecutivo se deberá observar el principio de paridad de género.</w:t>
      </w:r>
      <w:r w:rsidRPr="00370D2E">
        <w:rPr>
          <w:rFonts w:ascii="Abadi" w:hAnsi="Abadi"/>
          <w:sz w:val="21"/>
          <w:szCs w:val="21"/>
        </w:rPr>
        <w:t xml:space="preserve">     </w:t>
      </w:r>
    </w:p>
    <w:p w14:paraId="7E769BEB" w14:textId="77777777" w:rsidR="00677B7E" w:rsidRDefault="00677B7E" w:rsidP="00677B7E">
      <w:pPr>
        <w:pStyle w:val="Prrafodelista"/>
        <w:ind w:left="780"/>
        <w:jc w:val="both"/>
        <w:rPr>
          <w:rFonts w:ascii="Abadi" w:hAnsi="Abadi"/>
          <w:sz w:val="21"/>
          <w:szCs w:val="21"/>
        </w:rPr>
      </w:pPr>
    </w:p>
    <w:p w14:paraId="274890C4" w14:textId="77777777" w:rsidR="00677B7E" w:rsidRDefault="00677B7E" w:rsidP="00677B7E">
      <w:pPr>
        <w:pStyle w:val="Prrafodelista"/>
        <w:ind w:left="780"/>
        <w:jc w:val="both"/>
        <w:rPr>
          <w:rFonts w:ascii="Abadi" w:hAnsi="Abadi"/>
          <w:sz w:val="21"/>
          <w:szCs w:val="21"/>
        </w:rPr>
      </w:pPr>
      <w:r w:rsidRPr="00574A5C">
        <w:rPr>
          <w:rFonts w:ascii="Abadi" w:hAnsi="Abadi"/>
          <w:b/>
          <w:bCs/>
          <w:sz w:val="21"/>
          <w:szCs w:val="21"/>
        </w:rPr>
        <w:t>Artículo 17.- Las personas</w:t>
      </w:r>
      <w:r w:rsidRPr="00370D2E">
        <w:rPr>
          <w:rFonts w:ascii="Abadi" w:hAnsi="Abadi"/>
          <w:sz w:val="21"/>
          <w:szCs w:val="21"/>
        </w:rPr>
        <w:t xml:space="preserve"> titulares de las Secretarías serán </w:t>
      </w:r>
      <w:r w:rsidRPr="00574A5C">
        <w:rPr>
          <w:rFonts w:ascii="Abadi" w:hAnsi="Abadi"/>
          <w:b/>
          <w:bCs/>
          <w:sz w:val="21"/>
          <w:szCs w:val="21"/>
        </w:rPr>
        <w:t>nombradas</w:t>
      </w:r>
      <w:r w:rsidRPr="00370D2E">
        <w:rPr>
          <w:rFonts w:ascii="Abadi" w:hAnsi="Abadi"/>
          <w:sz w:val="21"/>
          <w:szCs w:val="21"/>
        </w:rPr>
        <w:t xml:space="preserve"> </w:t>
      </w:r>
      <w:r w:rsidRPr="00370D2E">
        <w:rPr>
          <w:rFonts w:ascii="Abadi" w:hAnsi="Abadi"/>
          <w:sz w:val="21"/>
          <w:szCs w:val="21"/>
        </w:rPr>
        <w:t xml:space="preserve">por el Gobernador del Estado observando el principio de paridad de género y ejercerán sus funciones por acuerdo del mismo, de conformidad con lo que señala esta Ley y dictarán las resoluciones que les competan.   </w:t>
      </w:r>
    </w:p>
    <w:p w14:paraId="25E67590" w14:textId="77777777" w:rsidR="00677B7E" w:rsidRDefault="00677B7E" w:rsidP="00677B7E">
      <w:pPr>
        <w:pStyle w:val="Prrafodelista"/>
        <w:ind w:left="780"/>
        <w:jc w:val="both"/>
        <w:rPr>
          <w:rFonts w:ascii="Abadi" w:hAnsi="Abadi"/>
          <w:sz w:val="21"/>
          <w:szCs w:val="21"/>
        </w:rPr>
      </w:pPr>
    </w:p>
    <w:p w14:paraId="1538DE4C" w14:textId="77777777" w:rsidR="00677B7E" w:rsidRDefault="00677B7E" w:rsidP="00677B7E">
      <w:pPr>
        <w:pStyle w:val="Prrafodelista"/>
        <w:ind w:left="780"/>
        <w:jc w:val="both"/>
        <w:rPr>
          <w:rFonts w:ascii="Abadi" w:hAnsi="Abadi"/>
          <w:sz w:val="21"/>
          <w:szCs w:val="21"/>
        </w:rPr>
      </w:pPr>
      <w:r w:rsidRPr="00574A5C">
        <w:rPr>
          <w:rFonts w:ascii="Abadi" w:hAnsi="Abadi"/>
          <w:b/>
          <w:bCs/>
          <w:sz w:val="21"/>
          <w:szCs w:val="21"/>
        </w:rPr>
        <w:t>La persona</w:t>
      </w:r>
      <w:r w:rsidRPr="00370D2E">
        <w:rPr>
          <w:rFonts w:ascii="Abadi" w:hAnsi="Abadi"/>
          <w:sz w:val="21"/>
          <w:szCs w:val="21"/>
        </w:rPr>
        <w:t xml:space="preserve"> titular de la Secretaría de la Transparencia y Rendición de Cuentas será </w:t>
      </w:r>
      <w:r w:rsidRPr="00574A5C">
        <w:rPr>
          <w:rFonts w:ascii="Abadi" w:hAnsi="Abadi"/>
          <w:b/>
          <w:bCs/>
          <w:sz w:val="21"/>
          <w:szCs w:val="21"/>
        </w:rPr>
        <w:t xml:space="preserve">nombrada </w:t>
      </w:r>
      <w:r w:rsidRPr="00370D2E">
        <w:rPr>
          <w:rFonts w:ascii="Abadi" w:hAnsi="Abadi"/>
          <w:sz w:val="21"/>
          <w:szCs w:val="21"/>
        </w:rPr>
        <w:t xml:space="preserve">por el Gobernador del Estado con la ratificación de las dos terceras partes de </w:t>
      </w:r>
      <w:r w:rsidRPr="00ED30EB">
        <w:rPr>
          <w:rFonts w:ascii="Abadi" w:hAnsi="Abadi"/>
          <w:b/>
          <w:bCs/>
          <w:sz w:val="21"/>
          <w:szCs w:val="21"/>
        </w:rPr>
        <w:t>las y</w:t>
      </w:r>
      <w:r w:rsidRPr="00370D2E">
        <w:rPr>
          <w:rFonts w:ascii="Abadi" w:hAnsi="Abadi"/>
          <w:sz w:val="21"/>
          <w:szCs w:val="21"/>
        </w:rPr>
        <w:t xml:space="preserve"> los integrantes del Congreso del Estado; en tanto se apruebe </w:t>
      </w:r>
      <w:r w:rsidRPr="006178BA">
        <w:rPr>
          <w:rFonts w:ascii="Abadi" w:hAnsi="Abadi"/>
          <w:b/>
          <w:bCs/>
          <w:sz w:val="21"/>
          <w:szCs w:val="21"/>
        </w:rPr>
        <w:t>su nombramiento</w:t>
      </w:r>
      <w:r w:rsidRPr="00370D2E">
        <w:rPr>
          <w:rFonts w:ascii="Abadi" w:hAnsi="Abadi"/>
          <w:sz w:val="21"/>
          <w:szCs w:val="21"/>
        </w:rPr>
        <w:t xml:space="preserve">, podrá designar </w:t>
      </w:r>
      <w:r w:rsidRPr="006178BA">
        <w:rPr>
          <w:rFonts w:ascii="Abadi" w:hAnsi="Abadi"/>
          <w:b/>
          <w:bCs/>
          <w:sz w:val="21"/>
          <w:szCs w:val="21"/>
        </w:rPr>
        <w:t>a una persona encargada</w:t>
      </w:r>
      <w:r w:rsidRPr="00370D2E">
        <w:rPr>
          <w:rFonts w:ascii="Abadi" w:hAnsi="Abadi"/>
          <w:sz w:val="21"/>
          <w:szCs w:val="21"/>
        </w:rPr>
        <w:t xml:space="preserve"> de despacho. La persona que nombre el Gobernador del Estado, no podrá ser o haber sido dirigente de partido o asociación política a nivel nacional, estatal o municipal o </w:t>
      </w:r>
      <w:r w:rsidRPr="006178BA">
        <w:rPr>
          <w:rFonts w:ascii="Abadi" w:hAnsi="Abadi"/>
          <w:b/>
          <w:bCs/>
          <w:sz w:val="21"/>
          <w:szCs w:val="21"/>
        </w:rPr>
        <w:t xml:space="preserve">candidata </w:t>
      </w:r>
      <w:r w:rsidRPr="00370D2E">
        <w:rPr>
          <w:rFonts w:ascii="Abadi" w:hAnsi="Abadi"/>
          <w:sz w:val="21"/>
          <w:szCs w:val="21"/>
        </w:rPr>
        <w:t xml:space="preserve">a un puesto de elección popular, ni </w:t>
      </w:r>
      <w:r w:rsidRPr="006A1777">
        <w:rPr>
          <w:rFonts w:ascii="Abadi" w:hAnsi="Abadi"/>
          <w:b/>
          <w:bCs/>
          <w:sz w:val="21"/>
          <w:szCs w:val="21"/>
        </w:rPr>
        <w:t>ministra</w:t>
      </w:r>
      <w:r w:rsidRPr="00370D2E">
        <w:rPr>
          <w:rFonts w:ascii="Abadi" w:hAnsi="Abadi"/>
          <w:sz w:val="21"/>
          <w:szCs w:val="21"/>
        </w:rPr>
        <w:t xml:space="preserve"> de ningún culto religioso, en los cinco años anteriores a su nombramiento. </w:t>
      </w:r>
    </w:p>
    <w:p w14:paraId="41B4B9F0" w14:textId="77777777" w:rsidR="00677B7E" w:rsidRDefault="00677B7E" w:rsidP="00677B7E">
      <w:pPr>
        <w:pStyle w:val="Prrafodelista"/>
        <w:ind w:left="780"/>
        <w:jc w:val="both"/>
        <w:rPr>
          <w:rFonts w:ascii="Abadi" w:hAnsi="Abadi"/>
          <w:sz w:val="21"/>
          <w:szCs w:val="21"/>
        </w:rPr>
      </w:pPr>
    </w:p>
    <w:p w14:paraId="4D4E0C18" w14:textId="77777777" w:rsidR="00677B7E" w:rsidRDefault="00677B7E" w:rsidP="00677B7E">
      <w:pPr>
        <w:pStyle w:val="Prrafodelista"/>
        <w:ind w:left="780"/>
        <w:jc w:val="both"/>
        <w:rPr>
          <w:rFonts w:ascii="Abadi" w:hAnsi="Abadi"/>
          <w:sz w:val="21"/>
          <w:szCs w:val="21"/>
        </w:rPr>
      </w:pPr>
      <w:r w:rsidRPr="006A1777">
        <w:rPr>
          <w:rFonts w:ascii="Abadi" w:hAnsi="Abadi"/>
          <w:b/>
          <w:bCs/>
          <w:sz w:val="21"/>
          <w:szCs w:val="21"/>
        </w:rPr>
        <w:t>La persona</w:t>
      </w:r>
      <w:r w:rsidRPr="00370D2E">
        <w:rPr>
          <w:rFonts w:ascii="Abadi" w:hAnsi="Abadi"/>
          <w:sz w:val="21"/>
          <w:szCs w:val="21"/>
        </w:rPr>
        <w:t xml:space="preserve"> titular de la Secretaría de la Transparencia y Rendición de Cuentas deberá contar con experiencia de cuando menos dos años en materia de fiscalización y rendición de cuentas. </w:t>
      </w:r>
    </w:p>
    <w:p w14:paraId="4632E1BD" w14:textId="77777777" w:rsidR="00677B7E" w:rsidRDefault="00677B7E" w:rsidP="00677B7E">
      <w:pPr>
        <w:pStyle w:val="Prrafodelista"/>
        <w:ind w:left="780"/>
        <w:jc w:val="both"/>
        <w:rPr>
          <w:rFonts w:ascii="Abadi" w:hAnsi="Abadi"/>
          <w:sz w:val="21"/>
          <w:szCs w:val="21"/>
        </w:rPr>
      </w:pPr>
    </w:p>
    <w:p w14:paraId="290AF484" w14:textId="77777777" w:rsidR="00677B7E" w:rsidRDefault="00677B7E" w:rsidP="00677B7E">
      <w:pPr>
        <w:pStyle w:val="Prrafodelista"/>
        <w:ind w:left="780"/>
        <w:jc w:val="both"/>
        <w:rPr>
          <w:rFonts w:ascii="Abadi" w:hAnsi="Abadi"/>
          <w:sz w:val="21"/>
          <w:szCs w:val="21"/>
        </w:rPr>
      </w:pPr>
      <w:r w:rsidRPr="00370D2E">
        <w:rPr>
          <w:rFonts w:ascii="Abadi" w:hAnsi="Abadi"/>
          <w:sz w:val="21"/>
          <w:szCs w:val="21"/>
        </w:rPr>
        <w:t xml:space="preserve">El nombramiento </w:t>
      </w:r>
      <w:r w:rsidRPr="00D9346E">
        <w:rPr>
          <w:rFonts w:ascii="Abadi" w:hAnsi="Abadi"/>
          <w:b/>
          <w:bCs/>
          <w:sz w:val="21"/>
          <w:szCs w:val="21"/>
        </w:rPr>
        <w:t>de la persona</w:t>
      </w:r>
      <w:r w:rsidRPr="00370D2E">
        <w:rPr>
          <w:rFonts w:ascii="Abadi" w:hAnsi="Abadi"/>
          <w:sz w:val="21"/>
          <w:szCs w:val="21"/>
        </w:rPr>
        <w:t xml:space="preserve"> titular de la Secretaría de la Transparencia y Rendición de Cuentas que someta el Gobernador del Estado a ratificación del Congreso del Estado, deberá estar acompañado de la declaración de interés de la persona propuesta, en los términos previstos en la Ley de la materia. </w:t>
      </w:r>
    </w:p>
    <w:p w14:paraId="2453322A" w14:textId="77777777" w:rsidR="00677B7E" w:rsidRDefault="00677B7E" w:rsidP="00677B7E">
      <w:pPr>
        <w:pStyle w:val="Prrafodelista"/>
        <w:ind w:left="780"/>
        <w:jc w:val="both"/>
        <w:rPr>
          <w:rFonts w:ascii="Abadi" w:hAnsi="Abadi"/>
          <w:sz w:val="21"/>
          <w:szCs w:val="21"/>
        </w:rPr>
      </w:pPr>
    </w:p>
    <w:p w14:paraId="26B8304E" w14:textId="77777777" w:rsidR="00677B7E" w:rsidRDefault="00677B7E" w:rsidP="00677B7E">
      <w:pPr>
        <w:pStyle w:val="Prrafodelista"/>
        <w:ind w:left="780"/>
        <w:jc w:val="both"/>
        <w:rPr>
          <w:rFonts w:ascii="Abadi" w:hAnsi="Abadi"/>
          <w:sz w:val="21"/>
          <w:szCs w:val="21"/>
        </w:rPr>
      </w:pPr>
      <w:r w:rsidRPr="00370D2E">
        <w:rPr>
          <w:rFonts w:ascii="Abadi" w:hAnsi="Abadi"/>
          <w:sz w:val="21"/>
          <w:szCs w:val="21"/>
        </w:rPr>
        <w:t xml:space="preserve">Para auxiliar a </w:t>
      </w:r>
      <w:r w:rsidRPr="00D9346E">
        <w:rPr>
          <w:rFonts w:ascii="Abadi" w:hAnsi="Abadi"/>
          <w:b/>
          <w:bCs/>
          <w:sz w:val="21"/>
          <w:szCs w:val="21"/>
        </w:rPr>
        <w:t>las personas</w:t>
      </w:r>
      <w:r w:rsidRPr="00370D2E">
        <w:rPr>
          <w:rFonts w:ascii="Abadi" w:hAnsi="Abadi"/>
          <w:sz w:val="21"/>
          <w:szCs w:val="21"/>
        </w:rPr>
        <w:t xml:space="preserve"> titulares de las Secretarías, el Gobernador del Estado, </w:t>
      </w:r>
      <w:r w:rsidRPr="0046535E">
        <w:rPr>
          <w:rFonts w:ascii="Abadi" w:hAnsi="Abadi"/>
          <w:b/>
          <w:bCs/>
          <w:sz w:val="21"/>
          <w:szCs w:val="21"/>
        </w:rPr>
        <w:t>observando el principio de paridad de género</w:t>
      </w:r>
      <w:r w:rsidRPr="00370D2E">
        <w:rPr>
          <w:rFonts w:ascii="Abadi" w:hAnsi="Abadi"/>
          <w:sz w:val="21"/>
          <w:szCs w:val="21"/>
        </w:rPr>
        <w:t xml:space="preserve">, podrá designar </w:t>
      </w:r>
      <w:r w:rsidRPr="0046535E">
        <w:rPr>
          <w:rFonts w:ascii="Abadi" w:hAnsi="Abadi"/>
          <w:b/>
          <w:bCs/>
          <w:sz w:val="21"/>
          <w:szCs w:val="21"/>
        </w:rPr>
        <w:t>Subsecretarías</w:t>
      </w:r>
      <w:r w:rsidRPr="00370D2E">
        <w:rPr>
          <w:rFonts w:ascii="Abadi" w:hAnsi="Abadi"/>
          <w:sz w:val="21"/>
          <w:szCs w:val="21"/>
        </w:rPr>
        <w:t xml:space="preserve"> del ramo, </w:t>
      </w:r>
      <w:r w:rsidRPr="0046535E">
        <w:rPr>
          <w:rFonts w:ascii="Abadi" w:hAnsi="Abadi"/>
          <w:b/>
          <w:bCs/>
          <w:sz w:val="21"/>
          <w:szCs w:val="21"/>
        </w:rPr>
        <w:t>las cuales</w:t>
      </w:r>
      <w:r w:rsidRPr="00370D2E">
        <w:rPr>
          <w:rFonts w:ascii="Abadi" w:hAnsi="Abadi"/>
          <w:sz w:val="21"/>
          <w:szCs w:val="21"/>
        </w:rPr>
        <w:t xml:space="preserve"> tendrán las atribuciones que el reglamento interior correspondiente establezca, mismas que no excederán las atribuciones conferidas por la Ley.  </w:t>
      </w:r>
    </w:p>
    <w:p w14:paraId="0321D8E9" w14:textId="77777777" w:rsidR="00677B7E" w:rsidRDefault="00677B7E" w:rsidP="00677B7E">
      <w:pPr>
        <w:pStyle w:val="Prrafodelista"/>
        <w:ind w:left="780"/>
        <w:jc w:val="both"/>
        <w:rPr>
          <w:rFonts w:ascii="Abadi" w:hAnsi="Abadi"/>
          <w:sz w:val="21"/>
          <w:szCs w:val="21"/>
        </w:rPr>
      </w:pPr>
    </w:p>
    <w:p w14:paraId="448B1B71" w14:textId="77777777" w:rsidR="00677B7E" w:rsidRDefault="00677B7E" w:rsidP="00677B7E">
      <w:pPr>
        <w:pStyle w:val="Prrafodelista"/>
        <w:ind w:left="780"/>
        <w:jc w:val="both"/>
        <w:rPr>
          <w:rFonts w:ascii="Abadi" w:hAnsi="Abadi"/>
          <w:sz w:val="21"/>
          <w:szCs w:val="21"/>
        </w:rPr>
      </w:pPr>
      <w:r w:rsidRPr="0046535E">
        <w:rPr>
          <w:rFonts w:ascii="Abadi" w:hAnsi="Abadi"/>
          <w:b/>
          <w:bCs/>
          <w:sz w:val="21"/>
          <w:szCs w:val="21"/>
        </w:rPr>
        <w:t>Las personas</w:t>
      </w:r>
      <w:r w:rsidRPr="00370D2E">
        <w:rPr>
          <w:rFonts w:ascii="Abadi" w:hAnsi="Abadi"/>
          <w:sz w:val="21"/>
          <w:szCs w:val="21"/>
        </w:rPr>
        <w:t xml:space="preserve"> titulares de las Secretarías, en sus ausencias temporales serán </w:t>
      </w:r>
      <w:r w:rsidRPr="0046535E">
        <w:rPr>
          <w:rFonts w:ascii="Abadi" w:hAnsi="Abadi"/>
          <w:b/>
          <w:bCs/>
          <w:sz w:val="21"/>
          <w:szCs w:val="21"/>
        </w:rPr>
        <w:t>suplidas</w:t>
      </w:r>
      <w:r w:rsidRPr="00370D2E">
        <w:rPr>
          <w:rFonts w:ascii="Abadi" w:hAnsi="Abadi"/>
          <w:sz w:val="21"/>
          <w:szCs w:val="21"/>
        </w:rPr>
        <w:t xml:space="preserve"> en los </w:t>
      </w:r>
      <w:r w:rsidRPr="00370D2E">
        <w:rPr>
          <w:rFonts w:ascii="Abadi" w:hAnsi="Abadi"/>
          <w:sz w:val="21"/>
          <w:szCs w:val="21"/>
        </w:rPr>
        <w:lastRenderedPageBreak/>
        <w:t xml:space="preserve">términos que señale su reglamento interior. </w:t>
      </w:r>
    </w:p>
    <w:p w14:paraId="27A88BC1" w14:textId="77777777" w:rsidR="00677B7E" w:rsidRDefault="00677B7E" w:rsidP="00677B7E">
      <w:pPr>
        <w:pStyle w:val="Prrafodelista"/>
        <w:ind w:left="780"/>
        <w:jc w:val="both"/>
        <w:rPr>
          <w:rFonts w:ascii="Abadi" w:hAnsi="Abadi"/>
          <w:sz w:val="21"/>
          <w:szCs w:val="21"/>
        </w:rPr>
      </w:pPr>
    </w:p>
    <w:p w14:paraId="08064375" w14:textId="77777777" w:rsidR="00677B7E" w:rsidRDefault="00677B7E" w:rsidP="00677B7E">
      <w:pPr>
        <w:pStyle w:val="Prrafodelista"/>
        <w:ind w:left="780"/>
        <w:jc w:val="both"/>
        <w:rPr>
          <w:rFonts w:ascii="Abadi" w:hAnsi="Abadi"/>
          <w:sz w:val="21"/>
          <w:szCs w:val="21"/>
        </w:rPr>
      </w:pPr>
      <w:r w:rsidRPr="00370D2E">
        <w:rPr>
          <w:rFonts w:ascii="Abadi" w:hAnsi="Abadi"/>
          <w:sz w:val="21"/>
          <w:szCs w:val="21"/>
        </w:rPr>
        <w:t xml:space="preserve">Para el trámite...   </w:t>
      </w:r>
    </w:p>
    <w:p w14:paraId="735698E5" w14:textId="77777777" w:rsidR="00677B7E" w:rsidRDefault="00677B7E" w:rsidP="00677B7E">
      <w:pPr>
        <w:pStyle w:val="Prrafodelista"/>
        <w:ind w:left="780"/>
        <w:jc w:val="both"/>
        <w:rPr>
          <w:rFonts w:ascii="Abadi" w:hAnsi="Abadi"/>
          <w:sz w:val="21"/>
          <w:szCs w:val="21"/>
        </w:rPr>
      </w:pPr>
    </w:p>
    <w:p w14:paraId="5C348EA3" w14:textId="77777777" w:rsidR="00677B7E" w:rsidRDefault="00677B7E" w:rsidP="00677B7E">
      <w:pPr>
        <w:pStyle w:val="Prrafodelista"/>
        <w:ind w:left="780"/>
        <w:jc w:val="both"/>
        <w:rPr>
          <w:rFonts w:ascii="Abadi" w:hAnsi="Abadi"/>
          <w:sz w:val="21"/>
          <w:szCs w:val="21"/>
        </w:rPr>
      </w:pPr>
      <w:r w:rsidRPr="000D0018">
        <w:rPr>
          <w:rFonts w:ascii="Abadi" w:hAnsi="Abadi"/>
          <w:b/>
          <w:bCs/>
          <w:sz w:val="21"/>
          <w:szCs w:val="21"/>
        </w:rPr>
        <w:t>Artículo 37</w:t>
      </w:r>
      <w:r w:rsidRPr="00370D2E">
        <w:rPr>
          <w:rFonts w:ascii="Abadi" w:hAnsi="Abadi"/>
          <w:sz w:val="21"/>
          <w:szCs w:val="21"/>
        </w:rPr>
        <w:t xml:space="preserve">.- El Gobernador del Estado, </w:t>
      </w:r>
      <w:r w:rsidRPr="000D0018">
        <w:rPr>
          <w:rFonts w:ascii="Abadi" w:hAnsi="Abadi"/>
          <w:b/>
          <w:bCs/>
          <w:sz w:val="21"/>
          <w:szCs w:val="21"/>
        </w:rPr>
        <w:t>observando el principio de paridad de género</w:t>
      </w:r>
      <w:r w:rsidRPr="00370D2E">
        <w:rPr>
          <w:rFonts w:ascii="Abadi" w:hAnsi="Abadi"/>
          <w:sz w:val="21"/>
          <w:szCs w:val="21"/>
        </w:rPr>
        <w:t xml:space="preserve">, designará a quien deba presidir los órganos de gobierno y de administración de las entidades estatales, sujetándose a las disposiciones previstas en esta Ley, así como a lo señalado en el ordenamiento jurídico que las crea. </w:t>
      </w:r>
    </w:p>
    <w:p w14:paraId="6750F062" w14:textId="77777777" w:rsidR="00677B7E" w:rsidRDefault="00677B7E" w:rsidP="00677B7E">
      <w:pPr>
        <w:pStyle w:val="Prrafodelista"/>
        <w:ind w:left="780"/>
        <w:jc w:val="both"/>
        <w:rPr>
          <w:rFonts w:ascii="Abadi" w:hAnsi="Abadi"/>
          <w:sz w:val="21"/>
          <w:szCs w:val="21"/>
        </w:rPr>
      </w:pPr>
    </w:p>
    <w:p w14:paraId="2722D265" w14:textId="77777777" w:rsidR="00677B7E" w:rsidRDefault="00677B7E" w:rsidP="00677B7E">
      <w:pPr>
        <w:pStyle w:val="Prrafodelista"/>
        <w:ind w:left="780"/>
        <w:jc w:val="both"/>
        <w:rPr>
          <w:rFonts w:ascii="Abadi" w:hAnsi="Abadi"/>
          <w:sz w:val="21"/>
          <w:szCs w:val="21"/>
        </w:rPr>
      </w:pPr>
      <w:r w:rsidRPr="00370D2E">
        <w:rPr>
          <w:rFonts w:ascii="Abadi" w:hAnsi="Abadi"/>
          <w:sz w:val="21"/>
          <w:szCs w:val="21"/>
        </w:rPr>
        <w:t xml:space="preserve">El órgano de gobierno será presidido por </w:t>
      </w:r>
      <w:r w:rsidRPr="000D0018">
        <w:rPr>
          <w:rFonts w:ascii="Abadi" w:hAnsi="Abadi"/>
          <w:b/>
          <w:bCs/>
          <w:sz w:val="21"/>
          <w:szCs w:val="21"/>
        </w:rPr>
        <w:t>la persona titular</w:t>
      </w:r>
      <w:r w:rsidRPr="00370D2E">
        <w:rPr>
          <w:rFonts w:ascii="Abadi" w:hAnsi="Abadi"/>
          <w:sz w:val="21"/>
          <w:szCs w:val="21"/>
        </w:rPr>
        <w:t xml:space="preserve"> de la Secretaría coordinadora de sector en que se encuentre agrupada la entidad estatal, salvo que por disposición del ordenamiento jurídico que la crea, la presidencia se le asigne al Gobernador del Estado o a una dependencia o entidad, o a </w:t>
      </w:r>
      <w:r w:rsidRPr="000D0018">
        <w:rPr>
          <w:rFonts w:ascii="Abadi" w:hAnsi="Abadi"/>
          <w:b/>
          <w:bCs/>
          <w:sz w:val="21"/>
          <w:szCs w:val="21"/>
        </w:rPr>
        <w:t>una ciudadana o</w:t>
      </w:r>
      <w:r w:rsidRPr="00370D2E">
        <w:rPr>
          <w:rFonts w:ascii="Abadi" w:hAnsi="Abadi"/>
          <w:sz w:val="21"/>
          <w:szCs w:val="21"/>
        </w:rPr>
        <w:t xml:space="preserve"> ciudadano que no forme parte de la Administración Pública del Estado. </w:t>
      </w:r>
    </w:p>
    <w:p w14:paraId="7DEE2AA7" w14:textId="77777777" w:rsidR="00677B7E" w:rsidRDefault="00677B7E" w:rsidP="00677B7E">
      <w:pPr>
        <w:pStyle w:val="Prrafodelista"/>
        <w:ind w:left="780"/>
        <w:jc w:val="both"/>
        <w:rPr>
          <w:rFonts w:ascii="Abadi" w:hAnsi="Abadi"/>
          <w:sz w:val="21"/>
          <w:szCs w:val="21"/>
        </w:rPr>
      </w:pPr>
    </w:p>
    <w:p w14:paraId="34E75130" w14:textId="77777777" w:rsidR="00677B7E" w:rsidRDefault="00677B7E" w:rsidP="00677B7E">
      <w:pPr>
        <w:pStyle w:val="Prrafodelista"/>
        <w:ind w:left="780"/>
        <w:jc w:val="both"/>
        <w:rPr>
          <w:rFonts w:ascii="Abadi" w:hAnsi="Abadi"/>
          <w:sz w:val="21"/>
          <w:szCs w:val="21"/>
        </w:rPr>
      </w:pPr>
      <w:r w:rsidRPr="00370D2E">
        <w:rPr>
          <w:rFonts w:ascii="Abadi" w:hAnsi="Abadi"/>
          <w:sz w:val="21"/>
          <w:szCs w:val="21"/>
        </w:rPr>
        <w:t xml:space="preserve">A falta de disposición expresa de a quién corresponde la remoción </w:t>
      </w:r>
      <w:r w:rsidRPr="000D0018">
        <w:rPr>
          <w:rFonts w:ascii="Abadi" w:hAnsi="Abadi"/>
          <w:b/>
          <w:bCs/>
          <w:sz w:val="21"/>
          <w:szCs w:val="21"/>
        </w:rPr>
        <w:t>de la persona titular de</w:t>
      </w:r>
      <w:r w:rsidRPr="00370D2E">
        <w:rPr>
          <w:rFonts w:ascii="Abadi" w:hAnsi="Abadi"/>
          <w:sz w:val="21"/>
          <w:szCs w:val="21"/>
        </w:rPr>
        <w:t xml:space="preserve"> </w:t>
      </w:r>
      <w:r w:rsidRPr="000D0018">
        <w:rPr>
          <w:rFonts w:ascii="Abadi" w:hAnsi="Abadi"/>
          <w:b/>
          <w:bCs/>
          <w:sz w:val="21"/>
          <w:szCs w:val="21"/>
        </w:rPr>
        <w:t>la Dirección General</w:t>
      </w:r>
      <w:r w:rsidRPr="00370D2E">
        <w:rPr>
          <w:rFonts w:ascii="Abadi" w:hAnsi="Abadi"/>
          <w:sz w:val="21"/>
          <w:szCs w:val="21"/>
        </w:rPr>
        <w:t xml:space="preserve"> o su equivalente de la entidad estatal, ésta facultad corresponderá al Gobernador del Estado.      </w:t>
      </w:r>
    </w:p>
    <w:p w14:paraId="0CABA86D" w14:textId="77777777" w:rsidR="004331E9" w:rsidRDefault="004331E9" w:rsidP="00677B7E">
      <w:pPr>
        <w:pStyle w:val="Prrafodelista"/>
        <w:ind w:left="780"/>
        <w:jc w:val="both"/>
        <w:rPr>
          <w:rFonts w:ascii="Abadi" w:hAnsi="Abadi"/>
          <w:b/>
          <w:bCs/>
          <w:sz w:val="21"/>
          <w:szCs w:val="21"/>
        </w:rPr>
      </w:pPr>
    </w:p>
    <w:p w14:paraId="2922767B" w14:textId="5DAE8EDD" w:rsidR="00677B7E" w:rsidRDefault="00677B7E" w:rsidP="00677B7E">
      <w:pPr>
        <w:pStyle w:val="Prrafodelista"/>
        <w:ind w:left="780"/>
        <w:jc w:val="both"/>
        <w:rPr>
          <w:rFonts w:ascii="Abadi" w:hAnsi="Abadi"/>
          <w:sz w:val="21"/>
          <w:szCs w:val="21"/>
        </w:rPr>
      </w:pPr>
      <w:r w:rsidRPr="00E4282F">
        <w:rPr>
          <w:rFonts w:ascii="Abadi" w:hAnsi="Abadi"/>
          <w:b/>
          <w:bCs/>
          <w:sz w:val="21"/>
          <w:szCs w:val="21"/>
        </w:rPr>
        <w:t>Artículo 47</w:t>
      </w:r>
      <w:r w:rsidRPr="00370D2E">
        <w:rPr>
          <w:rFonts w:ascii="Abadi" w:hAnsi="Abadi"/>
          <w:sz w:val="21"/>
          <w:szCs w:val="21"/>
        </w:rPr>
        <w:t xml:space="preserve">.- La dirección y administración de los organismos descentralizados estará a cargo, de un órgano de gobierno y </w:t>
      </w:r>
      <w:r w:rsidRPr="00BE5FD4">
        <w:rPr>
          <w:rFonts w:ascii="Abadi" w:hAnsi="Abadi"/>
          <w:b/>
          <w:bCs/>
          <w:sz w:val="21"/>
          <w:szCs w:val="21"/>
        </w:rPr>
        <w:t>una persona titular de la dirección general</w:t>
      </w:r>
      <w:r w:rsidRPr="00370D2E">
        <w:rPr>
          <w:rFonts w:ascii="Abadi" w:hAnsi="Abadi"/>
          <w:sz w:val="21"/>
          <w:szCs w:val="21"/>
        </w:rPr>
        <w:t xml:space="preserve"> o por quien haga sus veces, respectivamente. El control interno corresponderá al órgano de vigilancia. </w:t>
      </w:r>
    </w:p>
    <w:p w14:paraId="2A281092" w14:textId="77777777" w:rsidR="00677B7E" w:rsidRDefault="00677B7E" w:rsidP="00677B7E">
      <w:pPr>
        <w:pStyle w:val="Prrafodelista"/>
        <w:ind w:left="780"/>
        <w:jc w:val="both"/>
        <w:rPr>
          <w:rFonts w:ascii="Abadi" w:hAnsi="Abadi"/>
          <w:sz w:val="21"/>
          <w:szCs w:val="21"/>
        </w:rPr>
      </w:pPr>
    </w:p>
    <w:p w14:paraId="5E107A3E" w14:textId="77777777" w:rsidR="00677B7E" w:rsidRDefault="00677B7E" w:rsidP="00677B7E">
      <w:pPr>
        <w:pStyle w:val="Prrafodelista"/>
        <w:ind w:left="780"/>
        <w:jc w:val="both"/>
        <w:rPr>
          <w:rFonts w:ascii="Abadi" w:hAnsi="Abadi"/>
          <w:sz w:val="21"/>
          <w:szCs w:val="21"/>
        </w:rPr>
      </w:pPr>
      <w:r w:rsidRPr="00370D2E">
        <w:rPr>
          <w:rFonts w:ascii="Abadi" w:hAnsi="Abadi"/>
          <w:sz w:val="21"/>
          <w:szCs w:val="21"/>
        </w:rPr>
        <w:t xml:space="preserve">Asimismo podrán contar...    </w:t>
      </w:r>
    </w:p>
    <w:p w14:paraId="392E881F" w14:textId="77777777" w:rsidR="00677B7E" w:rsidRDefault="00677B7E" w:rsidP="00677B7E">
      <w:pPr>
        <w:pStyle w:val="Prrafodelista"/>
        <w:ind w:left="780"/>
        <w:jc w:val="both"/>
        <w:rPr>
          <w:rFonts w:ascii="Abadi" w:hAnsi="Abadi"/>
          <w:sz w:val="21"/>
          <w:szCs w:val="21"/>
        </w:rPr>
      </w:pPr>
    </w:p>
    <w:p w14:paraId="4928E0CE" w14:textId="77777777" w:rsidR="00677B7E" w:rsidRPr="00BE5FD4" w:rsidRDefault="00677B7E" w:rsidP="00677B7E">
      <w:pPr>
        <w:pStyle w:val="Prrafodelista"/>
        <w:ind w:left="780"/>
        <w:jc w:val="both"/>
        <w:rPr>
          <w:rFonts w:ascii="Abadi" w:hAnsi="Abadi"/>
          <w:b/>
          <w:bCs/>
          <w:sz w:val="21"/>
          <w:szCs w:val="21"/>
        </w:rPr>
      </w:pPr>
      <w:r w:rsidRPr="00BE5FD4">
        <w:rPr>
          <w:rFonts w:ascii="Abadi" w:hAnsi="Abadi"/>
          <w:b/>
          <w:bCs/>
          <w:sz w:val="21"/>
          <w:szCs w:val="21"/>
        </w:rPr>
        <w:t>Artículo 48</w:t>
      </w:r>
      <w:r w:rsidRPr="00370D2E">
        <w:rPr>
          <w:rFonts w:ascii="Abadi" w:hAnsi="Abadi"/>
          <w:sz w:val="21"/>
          <w:szCs w:val="21"/>
        </w:rPr>
        <w:t xml:space="preserve">.- El órgano de gobierno estará conformado por </w:t>
      </w:r>
      <w:r w:rsidRPr="00BE5FD4">
        <w:rPr>
          <w:rFonts w:ascii="Abadi" w:hAnsi="Abadi"/>
          <w:b/>
          <w:bCs/>
          <w:sz w:val="21"/>
          <w:szCs w:val="21"/>
        </w:rPr>
        <w:t xml:space="preserve">personas </w:t>
      </w:r>
      <w:r w:rsidRPr="00370D2E">
        <w:rPr>
          <w:rFonts w:ascii="Abadi" w:hAnsi="Abadi"/>
          <w:sz w:val="21"/>
          <w:szCs w:val="21"/>
        </w:rPr>
        <w:t xml:space="preserve">integrantes </w:t>
      </w:r>
      <w:r w:rsidRPr="00BE5FD4">
        <w:rPr>
          <w:rFonts w:ascii="Abadi" w:hAnsi="Abadi"/>
          <w:b/>
          <w:bCs/>
          <w:sz w:val="21"/>
          <w:szCs w:val="21"/>
        </w:rPr>
        <w:t>propietarias</w:t>
      </w:r>
      <w:r w:rsidRPr="00370D2E">
        <w:rPr>
          <w:rFonts w:ascii="Abadi" w:hAnsi="Abadi"/>
          <w:sz w:val="21"/>
          <w:szCs w:val="21"/>
        </w:rPr>
        <w:t xml:space="preserve"> y sus </w:t>
      </w:r>
      <w:r w:rsidRPr="00BE5FD4">
        <w:rPr>
          <w:rFonts w:ascii="Abadi" w:hAnsi="Abadi"/>
          <w:b/>
          <w:bCs/>
          <w:sz w:val="21"/>
          <w:szCs w:val="21"/>
        </w:rPr>
        <w:t xml:space="preserve">respectivas </w:t>
      </w:r>
      <w:r w:rsidRPr="00370D2E">
        <w:rPr>
          <w:rFonts w:ascii="Abadi" w:hAnsi="Abadi"/>
          <w:sz w:val="21"/>
          <w:szCs w:val="21"/>
        </w:rPr>
        <w:t xml:space="preserve">suplentes, </w:t>
      </w:r>
      <w:r w:rsidRPr="00BE5FD4">
        <w:rPr>
          <w:rFonts w:ascii="Abadi" w:hAnsi="Abadi"/>
          <w:b/>
          <w:bCs/>
          <w:sz w:val="21"/>
          <w:szCs w:val="21"/>
        </w:rPr>
        <w:t xml:space="preserve">quienes deberán ser del mismo género que las propietarias. En su integración se deberá observar el principio de paridad de género. </w:t>
      </w:r>
    </w:p>
    <w:p w14:paraId="40452CFB" w14:textId="77777777" w:rsidR="00677B7E" w:rsidRDefault="00677B7E" w:rsidP="00677B7E">
      <w:pPr>
        <w:pStyle w:val="Prrafodelista"/>
        <w:ind w:left="780"/>
        <w:jc w:val="both"/>
        <w:rPr>
          <w:rFonts w:ascii="Abadi" w:hAnsi="Abadi"/>
          <w:sz w:val="21"/>
          <w:szCs w:val="21"/>
        </w:rPr>
      </w:pPr>
    </w:p>
    <w:p w14:paraId="38DB7379" w14:textId="77777777" w:rsidR="00677B7E" w:rsidRDefault="00677B7E" w:rsidP="00677B7E">
      <w:pPr>
        <w:pStyle w:val="Prrafodelista"/>
        <w:ind w:left="780"/>
        <w:jc w:val="both"/>
        <w:rPr>
          <w:rFonts w:ascii="Abadi" w:hAnsi="Abadi"/>
          <w:sz w:val="21"/>
          <w:szCs w:val="21"/>
        </w:rPr>
      </w:pPr>
      <w:r w:rsidRPr="00370D2E">
        <w:rPr>
          <w:rFonts w:ascii="Abadi" w:hAnsi="Abadi"/>
          <w:sz w:val="21"/>
          <w:szCs w:val="21"/>
        </w:rPr>
        <w:t xml:space="preserve">El órgano de gobierno deberá estar conformado por cuando menos la mitad de </w:t>
      </w:r>
      <w:r w:rsidRPr="00BE5FD4">
        <w:rPr>
          <w:rFonts w:ascii="Abadi" w:hAnsi="Abadi"/>
          <w:b/>
          <w:bCs/>
          <w:sz w:val="21"/>
          <w:szCs w:val="21"/>
        </w:rPr>
        <w:t xml:space="preserve">integrantes </w:t>
      </w:r>
      <w:r w:rsidRPr="00370D2E">
        <w:rPr>
          <w:rFonts w:ascii="Abadi" w:hAnsi="Abadi"/>
          <w:sz w:val="21"/>
          <w:szCs w:val="21"/>
        </w:rPr>
        <w:t xml:space="preserve">de la Administración Pública. </w:t>
      </w:r>
    </w:p>
    <w:p w14:paraId="55E9BE13" w14:textId="77777777" w:rsidR="00677B7E" w:rsidRDefault="00677B7E" w:rsidP="00677B7E">
      <w:pPr>
        <w:pStyle w:val="Prrafodelista"/>
        <w:ind w:left="780"/>
        <w:jc w:val="both"/>
        <w:rPr>
          <w:rFonts w:ascii="Abadi" w:hAnsi="Abadi"/>
          <w:sz w:val="21"/>
          <w:szCs w:val="21"/>
        </w:rPr>
      </w:pPr>
    </w:p>
    <w:p w14:paraId="032DC5EF" w14:textId="77777777" w:rsidR="00677B7E" w:rsidRDefault="00677B7E" w:rsidP="00677B7E">
      <w:pPr>
        <w:pStyle w:val="Prrafodelista"/>
        <w:ind w:left="780"/>
        <w:jc w:val="both"/>
        <w:rPr>
          <w:rFonts w:ascii="Abadi" w:hAnsi="Abadi"/>
          <w:sz w:val="21"/>
          <w:szCs w:val="21"/>
        </w:rPr>
      </w:pPr>
      <w:r w:rsidRPr="00D249E5">
        <w:rPr>
          <w:rFonts w:ascii="Abadi" w:hAnsi="Abadi"/>
          <w:b/>
          <w:bCs/>
          <w:sz w:val="21"/>
          <w:szCs w:val="21"/>
        </w:rPr>
        <w:t>Las personas</w:t>
      </w:r>
      <w:r w:rsidRPr="00370D2E">
        <w:rPr>
          <w:rFonts w:ascii="Abadi" w:hAnsi="Abadi"/>
          <w:sz w:val="21"/>
          <w:szCs w:val="21"/>
        </w:rPr>
        <w:t xml:space="preserve"> integrantes del órgano de gobierno deberán desempeñar su función personalmente.    </w:t>
      </w:r>
    </w:p>
    <w:p w14:paraId="0E0F0BF0" w14:textId="77777777" w:rsidR="00677B7E" w:rsidRDefault="00677B7E" w:rsidP="00677B7E">
      <w:pPr>
        <w:pStyle w:val="Prrafodelista"/>
        <w:ind w:left="780"/>
        <w:jc w:val="both"/>
        <w:rPr>
          <w:rFonts w:ascii="Abadi" w:hAnsi="Abadi"/>
          <w:sz w:val="21"/>
          <w:szCs w:val="21"/>
        </w:rPr>
      </w:pPr>
    </w:p>
    <w:p w14:paraId="7249ACCF" w14:textId="77777777" w:rsidR="00677B7E" w:rsidRDefault="00677B7E" w:rsidP="00677B7E">
      <w:pPr>
        <w:pStyle w:val="Prrafodelista"/>
        <w:ind w:left="780"/>
        <w:jc w:val="both"/>
        <w:rPr>
          <w:rFonts w:ascii="Abadi" w:hAnsi="Abadi"/>
          <w:sz w:val="21"/>
          <w:szCs w:val="21"/>
        </w:rPr>
      </w:pPr>
      <w:r w:rsidRPr="00D249E5">
        <w:rPr>
          <w:rFonts w:ascii="Abadi" w:hAnsi="Abadi"/>
          <w:b/>
          <w:bCs/>
          <w:sz w:val="21"/>
          <w:szCs w:val="21"/>
        </w:rPr>
        <w:t>Artículo 53</w:t>
      </w:r>
      <w:r w:rsidRPr="00370D2E">
        <w:rPr>
          <w:rFonts w:ascii="Abadi" w:hAnsi="Abadi"/>
          <w:sz w:val="21"/>
          <w:szCs w:val="21"/>
        </w:rPr>
        <w:t xml:space="preserve">.- </w:t>
      </w:r>
      <w:r w:rsidRPr="00D249E5">
        <w:rPr>
          <w:rFonts w:ascii="Abadi" w:hAnsi="Abadi"/>
          <w:b/>
          <w:bCs/>
          <w:sz w:val="21"/>
          <w:szCs w:val="21"/>
        </w:rPr>
        <w:t>Las personas titulares de las direcciones</w:t>
      </w:r>
      <w:r w:rsidRPr="00370D2E">
        <w:rPr>
          <w:rFonts w:ascii="Abadi" w:hAnsi="Abadi"/>
          <w:sz w:val="21"/>
          <w:szCs w:val="21"/>
        </w:rPr>
        <w:t xml:space="preserve"> generales de los organismos descentralizados serán designadas por el Gobernador del Estado observando el principio de paridad de género y con la ratificación de sus órganos de gobierno, salvo lo dispuesto por el ordenamiento jurídico que los regule. </w:t>
      </w:r>
    </w:p>
    <w:p w14:paraId="0F778201" w14:textId="77777777" w:rsidR="00677B7E" w:rsidRDefault="00677B7E" w:rsidP="00677B7E">
      <w:pPr>
        <w:pStyle w:val="Prrafodelista"/>
        <w:ind w:left="780"/>
        <w:jc w:val="both"/>
        <w:rPr>
          <w:rFonts w:ascii="Abadi" w:hAnsi="Abadi"/>
          <w:sz w:val="21"/>
          <w:szCs w:val="21"/>
        </w:rPr>
      </w:pPr>
    </w:p>
    <w:p w14:paraId="76C31D21" w14:textId="77777777" w:rsidR="00677B7E" w:rsidRDefault="00677B7E" w:rsidP="00677B7E">
      <w:pPr>
        <w:pStyle w:val="Prrafodelista"/>
        <w:ind w:left="780"/>
        <w:jc w:val="both"/>
        <w:rPr>
          <w:rFonts w:ascii="Abadi" w:hAnsi="Abadi"/>
          <w:sz w:val="21"/>
          <w:szCs w:val="21"/>
        </w:rPr>
      </w:pPr>
      <w:r w:rsidRPr="00B24537">
        <w:rPr>
          <w:rFonts w:ascii="Abadi" w:hAnsi="Abadi"/>
          <w:b/>
          <w:bCs/>
          <w:sz w:val="21"/>
          <w:szCs w:val="21"/>
        </w:rPr>
        <w:t>Las personas titulares de las direcciones generales</w:t>
      </w:r>
      <w:r w:rsidRPr="00370D2E">
        <w:rPr>
          <w:rFonts w:ascii="Abadi" w:hAnsi="Abadi"/>
          <w:sz w:val="21"/>
          <w:szCs w:val="21"/>
        </w:rPr>
        <w:t xml:space="preserve"> tendrán la representación legal del organismo.    </w:t>
      </w:r>
    </w:p>
    <w:p w14:paraId="364160BE" w14:textId="77777777" w:rsidR="00677B7E" w:rsidRDefault="00677B7E" w:rsidP="00677B7E">
      <w:pPr>
        <w:pStyle w:val="Prrafodelista"/>
        <w:ind w:left="780"/>
        <w:jc w:val="both"/>
        <w:rPr>
          <w:rFonts w:ascii="Abadi" w:hAnsi="Abadi"/>
          <w:sz w:val="21"/>
          <w:szCs w:val="21"/>
        </w:rPr>
      </w:pPr>
    </w:p>
    <w:p w14:paraId="05292647" w14:textId="77777777" w:rsidR="00677B7E" w:rsidRDefault="00677B7E" w:rsidP="00677B7E">
      <w:pPr>
        <w:pStyle w:val="Prrafodelista"/>
        <w:ind w:left="780"/>
        <w:jc w:val="both"/>
        <w:rPr>
          <w:rFonts w:ascii="Abadi" w:hAnsi="Abadi"/>
          <w:sz w:val="21"/>
          <w:szCs w:val="21"/>
        </w:rPr>
      </w:pPr>
      <w:r w:rsidRPr="00B24537">
        <w:rPr>
          <w:rFonts w:ascii="Abadi" w:hAnsi="Abadi"/>
          <w:b/>
          <w:bCs/>
          <w:sz w:val="21"/>
          <w:szCs w:val="21"/>
        </w:rPr>
        <w:t>Artículo 54</w:t>
      </w:r>
      <w:r w:rsidRPr="00370D2E">
        <w:rPr>
          <w:rFonts w:ascii="Abadi" w:hAnsi="Abadi"/>
          <w:sz w:val="21"/>
          <w:szCs w:val="21"/>
        </w:rPr>
        <w:t xml:space="preserve">.- </w:t>
      </w:r>
      <w:r w:rsidRPr="00B24537">
        <w:rPr>
          <w:rFonts w:ascii="Abadi" w:hAnsi="Abadi"/>
          <w:b/>
          <w:bCs/>
          <w:sz w:val="21"/>
          <w:szCs w:val="21"/>
        </w:rPr>
        <w:t>Las personas titulares de las direcciones</w:t>
      </w:r>
      <w:r w:rsidRPr="00370D2E">
        <w:rPr>
          <w:rFonts w:ascii="Abadi" w:hAnsi="Abadi"/>
          <w:sz w:val="21"/>
          <w:szCs w:val="21"/>
        </w:rPr>
        <w:t xml:space="preserve"> generales de los organismos descentralizados, sin perjuicio de las atribuciones que se les otorguen en otras disposiciones legales aplicables, tendrán las siguientes: </w:t>
      </w:r>
    </w:p>
    <w:p w14:paraId="16AE2FB0" w14:textId="77777777" w:rsidR="00677B7E" w:rsidRDefault="00677B7E" w:rsidP="00677B7E">
      <w:pPr>
        <w:pStyle w:val="Prrafodelista"/>
        <w:ind w:left="780"/>
        <w:jc w:val="both"/>
        <w:rPr>
          <w:rFonts w:ascii="Abadi" w:hAnsi="Abadi"/>
          <w:sz w:val="21"/>
          <w:szCs w:val="21"/>
        </w:rPr>
      </w:pPr>
    </w:p>
    <w:p w14:paraId="336827C3" w14:textId="77777777" w:rsidR="00677B7E" w:rsidRDefault="00677B7E" w:rsidP="00677B7E">
      <w:pPr>
        <w:pStyle w:val="Prrafodelista"/>
        <w:ind w:left="780"/>
        <w:jc w:val="both"/>
        <w:rPr>
          <w:rFonts w:ascii="Abadi" w:hAnsi="Abadi"/>
          <w:sz w:val="21"/>
          <w:szCs w:val="21"/>
        </w:rPr>
      </w:pPr>
      <w:r w:rsidRPr="003F0203">
        <w:rPr>
          <w:rFonts w:ascii="Abadi" w:hAnsi="Abadi"/>
          <w:b/>
          <w:bCs/>
          <w:sz w:val="21"/>
          <w:szCs w:val="21"/>
        </w:rPr>
        <w:t>I.</w:t>
      </w:r>
      <w:r w:rsidRPr="00370D2E">
        <w:rPr>
          <w:rFonts w:ascii="Abadi" w:hAnsi="Abadi"/>
          <w:sz w:val="21"/>
          <w:szCs w:val="21"/>
        </w:rPr>
        <w:t xml:space="preserve">- a </w:t>
      </w:r>
      <w:r w:rsidRPr="003F0203">
        <w:rPr>
          <w:rFonts w:ascii="Abadi" w:hAnsi="Abadi"/>
          <w:b/>
          <w:bCs/>
          <w:sz w:val="21"/>
          <w:szCs w:val="21"/>
        </w:rPr>
        <w:t>V</w:t>
      </w:r>
      <w:r w:rsidRPr="00370D2E">
        <w:rPr>
          <w:rFonts w:ascii="Abadi" w:hAnsi="Abadi"/>
          <w:sz w:val="21"/>
          <w:szCs w:val="21"/>
        </w:rPr>
        <w:t xml:space="preserve">.- </w:t>
      </w:r>
    </w:p>
    <w:p w14:paraId="3DCA3FDA" w14:textId="77777777" w:rsidR="00677B7E" w:rsidRDefault="00677B7E" w:rsidP="00677B7E">
      <w:pPr>
        <w:pStyle w:val="Prrafodelista"/>
        <w:ind w:left="780"/>
        <w:jc w:val="both"/>
        <w:rPr>
          <w:rFonts w:ascii="Abadi" w:hAnsi="Abadi"/>
          <w:sz w:val="21"/>
          <w:szCs w:val="21"/>
        </w:rPr>
      </w:pPr>
    </w:p>
    <w:p w14:paraId="13006A23" w14:textId="77777777" w:rsidR="00677B7E" w:rsidRDefault="00677B7E" w:rsidP="00677B7E">
      <w:pPr>
        <w:pStyle w:val="Prrafodelista"/>
        <w:ind w:left="780"/>
        <w:jc w:val="both"/>
        <w:rPr>
          <w:rFonts w:ascii="Abadi" w:hAnsi="Abadi"/>
          <w:sz w:val="21"/>
          <w:szCs w:val="21"/>
        </w:rPr>
      </w:pPr>
      <w:r w:rsidRPr="00B24537">
        <w:rPr>
          <w:rFonts w:ascii="Abadi" w:hAnsi="Abadi"/>
          <w:b/>
          <w:bCs/>
          <w:sz w:val="21"/>
          <w:szCs w:val="21"/>
        </w:rPr>
        <w:t>VI</w:t>
      </w:r>
      <w:r w:rsidRPr="00370D2E">
        <w:rPr>
          <w:rFonts w:ascii="Abadi" w:hAnsi="Abadi"/>
          <w:sz w:val="21"/>
          <w:szCs w:val="21"/>
        </w:rPr>
        <w:t xml:space="preserve">.- Proponer al órgano de gobierno el nombramiento o la remoción de </w:t>
      </w:r>
      <w:r w:rsidRPr="003F0203">
        <w:rPr>
          <w:rFonts w:ascii="Abadi" w:hAnsi="Abadi"/>
          <w:b/>
          <w:bCs/>
          <w:sz w:val="21"/>
          <w:szCs w:val="21"/>
        </w:rPr>
        <w:t>las personas</w:t>
      </w:r>
      <w:r w:rsidRPr="00370D2E">
        <w:rPr>
          <w:rFonts w:ascii="Abadi" w:hAnsi="Abadi"/>
          <w:sz w:val="21"/>
          <w:szCs w:val="21"/>
        </w:rPr>
        <w:t xml:space="preserve"> </w:t>
      </w:r>
      <w:r w:rsidRPr="003F0203">
        <w:rPr>
          <w:rFonts w:ascii="Abadi" w:hAnsi="Abadi"/>
          <w:b/>
          <w:bCs/>
          <w:sz w:val="21"/>
          <w:szCs w:val="21"/>
        </w:rPr>
        <w:t>servidoras públicas</w:t>
      </w:r>
      <w:r w:rsidRPr="00370D2E">
        <w:rPr>
          <w:rFonts w:ascii="Abadi" w:hAnsi="Abadi"/>
          <w:sz w:val="21"/>
          <w:szCs w:val="21"/>
        </w:rPr>
        <w:t xml:space="preserve"> del organismo; </w:t>
      </w:r>
    </w:p>
    <w:p w14:paraId="11F46F53" w14:textId="77777777" w:rsidR="00677B7E" w:rsidRDefault="00677B7E" w:rsidP="00677B7E">
      <w:pPr>
        <w:pStyle w:val="Prrafodelista"/>
        <w:ind w:left="780"/>
        <w:jc w:val="both"/>
        <w:rPr>
          <w:rFonts w:ascii="Abadi" w:hAnsi="Abadi"/>
          <w:sz w:val="21"/>
          <w:szCs w:val="21"/>
        </w:rPr>
      </w:pPr>
    </w:p>
    <w:p w14:paraId="695F75E0" w14:textId="77777777" w:rsidR="00677B7E" w:rsidRDefault="00677B7E" w:rsidP="00677B7E">
      <w:pPr>
        <w:pStyle w:val="Prrafodelista"/>
        <w:ind w:left="780"/>
        <w:jc w:val="both"/>
        <w:rPr>
          <w:rFonts w:ascii="Abadi" w:hAnsi="Abadi"/>
          <w:sz w:val="21"/>
          <w:szCs w:val="21"/>
        </w:rPr>
      </w:pPr>
      <w:r w:rsidRPr="003F0203">
        <w:rPr>
          <w:rFonts w:ascii="Abadi" w:hAnsi="Abadi"/>
          <w:b/>
          <w:bCs/>
          <w:sz w:val="21"/>
          <w:szCs w:val="21"/>
        </w:rPr>
        <w:t>VII.- y VIII.-</w:t>
      </w:r>
      <w:r w:rsidRPr="00370D2E">
        <w:rPr>
          <w:rFonts w:ascii="Abadi" w:hAnsi="Abadi"/>
          <w:sz w:val="21"/>
          <w:szCs w:val="21"/>
        </w:rPr>
        <w:t xml:space="preserve">         </w:t>
      </w:r>
    </w:p>
    <w:p w14:paraId="0E3A1175" w14:textId="77777777" w:rsidR="00677B7E" w:rsidRDefault="00677B7E" w:rsidP="00677B7E">
      <w:pPr>
        <w:pStyle w:val="Prrafodelista"/>
        <w:ind w:left="780"/>
        <w:jc w:val="both"/>
        <w:rPr>
          <w:rFonts w:ascii="Abadi" w:hAnsi="Abadi"/>
          <w:sz w:val="21"/>
          <w:szCs w:val="21"/>
        </w:rPr>
      </w:pPr>
    </w:p>
    <w:p w14:paraId="64BC6B60" w14:textId="77777777" w:rsidR="00677B7E" w:rsidRDefault="00677B7E" w:rsidP="00677B7E">
      <w:pPr>
        <w:pStyle w:val="Prrafodelista"/>
        <w:ind w:left="780"/>
        <w:jc w:val="both"/>
        <w:rPr>
          <w:rFonts w:ascii="Abadi" w:hAnsi="Abadi"/>
          <w:sz w:val="21"/>
          <w:szCs w:val="21"/>
        </w:rPr>
      </w:pPr>
      <w:r w:rsidRPr="003F0203">
        <w:rPr>
          <w:rFonts w:ascii="Abadi" w:hAnsi="Abadi"/>
          <w:b/>
          <w:bCs/>
          <w:sz w:val="21"/>
          <w:szCs w:val="21"/>
        </w:rPr>
        <w:t>Artículo 55.-</w:t>
      </w:r>
      <w:r w:rsidRPr="00370D2E">
        <w:rPr>
          <w:rFonts w:ascii="Abadi" w:hAnsi="Abadi"/>
          <w:sz w:val="21"/>
          <w:szCs w:val="21"/>
        </w:rPr>
        <w:t xml:space="preserve"> En los órganos consultivos se deberá contar con la participación de representantes de organizaciones sociales de la materia que corresponda al objeto del organismo descentralizado, </w:t>
      </w:r>
      <w:r w:rsidRPr="003F0203">
        <w:rPr>
          <w:rFonts w:ascii="Abadi" w:hAnsi="Abadi"/>
          <w:b/>
          <w:bCs/>
          <w:sz w:val="21"/>
          <w:szCs w:val="21"/>
        </w:rPr>
        <w:t>cuya designación</w:t>
      </w:r>
      <w:r w:rsidRPr="00370D2E">
        <w:rPr>
          <w:rFonts w:ascii="Abadi" w:hAnsi="Abadi"/>
          <w:sz w:val="21"/>
          <w:szCs w:val="21"/>
        </w:rPr>
        <w:t xml:space="preserve"> deberá realizarse en los términos del ordenamiento jurídico que lo norme </w:t>
      </w:r>
      <w:r w:rsidRPr="003F0203">
        <w:rPr>
          <w:rFonts w:ascii="Abadi" w:hAnsi="Abadi"/>
          <w:b/>
          <w:bCs/>
          <w:sz w:val="21"/>
          <w:szCs w:val="21"/>
        </w:rPr>
        <w:t>y observando el principio de paridad de género</w:t>
      </w:r>
      <w:r w:rsidRPr="00370D2E">
        <w:rPr>
          <w:rFonts w:ascii="Abadi" w:hAnsi="Abadi"/>
          <w:sz w:val="21"/>
          <w:szCs w:val="21"/>
        </w:rPr>
        <w:t xml:space="preserve">.    </w:t>
      </w:r>
    </w:p>
    <w:p w14:paraId="2B7032B8" w14:textId="77777777" w:rsidR="00677B7E" w:rsidRDefault="00677B7E" w:rsidP="00677B7E">
      <w:pPr>
        <w:pStyle w:val="Prrafodelista"/>
        <w:ind w:left="780"/>
        <w:jc w:val="both"/>
        <w:rPr>
          <w:rFonts w:ascii="Abadi" w:hAnsi="Abadi"/>
          <w:sz w:val="21"/>
          <w:szCs w:val="21"/>
        </w:rPr>
      </w:pPr>
    </w:p>
    <w:p w14:paraId="0A568574" w14:textId="77777777" w:rsidR="00677B7E" w:rsidRDefault="00677B7E" w:rsidP="00677B7E">
      <w:pPr>
        <w:pStyle w:val="Prrafodelista"/>
        <w:ind w:left="780"/>
        <w:jc w:val="both"/>
        <w:rPr>
          <w:rFonts w:ascii="Abadi" w:hAnsi="Abadi"/>
          <w:sz w:val="21"/>
          <w:szCs w:val="21"/>
        </w:rPr>
      </w:pPr>
      <w:r w:rsidRPr="00D12ADF">
        <w:rPr>
          <w:rFonts w:ascii="Abadi" w:hAnsi="Abadi"/>
          <w:b/>
          <w:bCs/>
          <w:sz w:val="21"/>
          <w:szCs w:val="21"/>
        </w:rPr>
        <w:t>Artículo 58</w:t>
      </w:r>
      <w:r w:rsidRPr="00370D2E">
        <w:rPr>
          <w:rFonts w:ascii="Abadi" w:hAnsi="Abadi"/>
          <w:sz w:val="21"/>
          <w:szCs w:val="21"/>
        </w:rPr>
        <w:t xml:space="preserve">.- Se consideran empresas… </w:t>
      </w:r>
    </w:p>
    <w:p w14:paraId="344A66FE" w14:textId="77777777" w:rsidR="00677B7E" w:rsidRDefault="00677B7E" w:rsidP="00677B7E">
      <w:pPr>
        <w:pStyle w:val="Prrafodelista"/>
        <w:ind w:left="780"/>
        <w:jc w:val="both"/>
        <w:rPr>
          <w:rFonts w:ascii="Abadi" w:hAnsi="Abadi"/>
          <w:sz w:val="21"/>
          <w:szCs w:val="21"/>
        </w:rPr>
      </w:pPr>
    </w:p>
    <w:p w14:paraId="255DEC6D" w14:textId="77777777" w:rsidR="00677B7E" w:rsidRDefault="00677B7E" w:rsidP="00677B7E">
      <w:pPr>
        <w:pStyle w:val="Prrafodelista"/>
        <w:ind w:left="780"/>
        <w:jc w:val="both"/>
        <w:rPr>
          <w:rFonts w:ascii="Abadi" w:hAnsi="Abadi"/>
          <w:sz w:val="21"/>
          <w:szCs w:val="21"/>
        </w:rPr>
      </w:pPr>
      <w:r w:rsidRPr="00916B60">
        <w:rPr>
          <w:rFonts w:ascii="Abadi" w:hAnsi="Abadi"/>
          <w:b/>
          <w:bCs/>
          <w:sz w:val="21"/>
          <w:szCs w:val="21"/>
        </w:rPr>
        <w:t>I.</w:t>
      </w:r>
      <w:r w:rsidRPr="00370D2E">
        <w:rPr>
          <w:rFonts w:ascii="Abadi" w:hAnsi="Abadi"/>
          <w:sz w:val="21"/>
          <w:szCs w:val="21"/>
        </w:rPr>
        <w:t xml:space="preserve">- Que en la constitución…; </w:t>
      </w:r>
    </w:p>
    <w:p w14:paraId="1F43D662" w14:textId="77777777" w:rsidR="00677B7E" w:rsidRDefault="00677B7E" w:rsidP="00677B7E">
      <w:pPr>
        <w:pStyle w:val="Prrafodelista"/>
        <w:ind w:left="780"/>
        <w:jc w:val="both"/>
        <w:rPr>
          <w:rFonts w:ascii="Abadi" w:hAnsi="Abadi"/>
          <w:sz w:val="21"/>
          <w:szCs w:val="21"/>
        </w:rPr>
      </w:pPr>
    </w:p>
    <w:p w14:paraId="08843DB4" w14:textId="77777777" w:rsidR="00677B7E" w:rsidRDefault="00677B7E" w:rsidP="00677B7E">
      <w:pPr>
        <w:pStyle w:val="Prrafodelista"/>
        <w:ind w:left="780"/>
        <w:jc w:val="both"/>
        <w:rPr>
          <w:rFonts w:ascii="Abadi" w:hAnsi="Abadi"/>
          <w:sz w:val="21"/>
          <w:szCs w:val="21"/>
        </w:rPr>
      </w:pPr>
      <w:r w:rsidRPr="00916B60">
        <w:rPr>
          <w:rFonts w:ascii="Abadi" w:hAnsi="Abadi"/>
          <w:b/>
          <w:bCs/>
          <w:sz w:val="21"/>
          <w:szCs w:val="21"/>
        </w:rPr>
        <w:t>II</w:t>
      </w:r>
      <w:r w:rsidRPr="00370D2E">
        <w:rPr>
          <w:rFonts w:ascii="Abadi" w:hAnsi="Abadi"/>
          <w:sz w:val="21"/>
          <w:szCs w:val="21"/>
        </w:rPr>
        <w:t xml:space="preserve">.- Que al Gobernador del Estado le corresponda nombrar a la mayoría </w:t>
      </w:r>
      <w:r w:rsidRPr="00916B60">
        <w:rPr>
          <w:rFonts w:ascii="Abadi" w:hAnsi="Abadi"/>
          <w:sz w:val="21"/>
          <w:szCs w:val="21"/>
        </w:rPr>
        <w:t>de</w:t>
      </w:r>
      <w:r w:rsidRPr="00916B60">
        <w:rPr>
          <w:rFonts w:ascii="Abadi" w:hAnsi="Abadi"/>
          <w:b/>
          <w:bCs/>
          <w:sz w:val="21"/>
          <w:szCs w:val="21"/>
        </w:rPr>
        <w:t xml:space="preserve"> las personas</w:t>
      </w:r>
      <w:r w:rsidRPr="00370D2E">
        <w:rPr>
          <w:rFonts w:ascii="Abadi" w:hAnsi="Abadi"/>
          <w:sz w:val="21"/>
          <w:szCs w:val="21"/>
        </w:rPr>
        <w:t xml:space="preserve"> </w:t>
      </w:r>
      <w:r w:rsidRPr="00916B60">
        <w:rPr>
          <w:rFonts w:ascii="Abadi" w:hAnsi="Abadi"/>
          <w:b/>
          <w:bCs/>
          <w:sz w:val="21"/>
          <w:szCs w:val="21"/>
        </w:rPr>
        <w:t>integrantes</w:t>
      </w:r>
      <w:r w:rsidRPr="00370D2E">
        <w:rPr>
          <w:rFonts w:ascii="Abadi" w:hAnsi="Abadi"/>
          <w:sz w:val="21"/>
          <w:szCs w:val="21"/>
        </w:rPr>
        <w:t xml:space="preserve"> del órgano de gobierno, o bien designar </w:t>
      </w:r>
      <w:r w:rsidRPr="00D908C4">
        <w:rPr>
          <w:rFonts w:ascii="Abadi" w:hAnsi="Abadi"/>
          <w:b/>
          <w:bCs/>
          <w:sz w:val="21"/>
          <w:szCs w:val="21"/>
        </w:rPr>
        <w:t>a quienes ocupen la presidencia o la</w:t>
      </w:r>
      <w:r w:rsidRPr="00370D2E">
        <w:rPr>
          <w:rFonts w:ascii="Abadi" w:hAnsi="Abadi"/>
          <w:sz w:val="21"/>
          <w:szCs w:val="21"/>
        </w:rPr>
        <w:t xml:space="preserve"> </w:t>
      </w:r>
      <w:r w:rsidRPr="00D908C4">
        <w:rPr>
          <w:rFonts w:ascii="Abadi" w:hAnsi="Abadi"/>
          <w:b/>
          <w:bCs/>
          <w:sz w:val="21"/>
          <w:szCs w:val="21"/>
        </w:rPr>
        <w:t>titularidad de la dirección</w:t>
      </w:r>
      <w:r w:rsidRPr="00370D2E">
        <w:rPr>
          <w:rFonts w:ascii="Abadi" w:hAnsi="Abadi"/>
          <w:sz w:val="21"/>
          <w:szCs w:val="21"/>
        </w:rPr>
        <w:t xml:space="preserve">, o quien haga sus veces, o cuando tenga facultades para revocar los acuerdos del órgano de gobierno; o </w:t>
      </w:r>
    </w:p>
    <w:p w14:paraId="543FDC89" w14:textId="77777777" w:rsidR="00677B7E" w:rsidRDefault="00677B7E" w:rsidP="00677B7E">
      <w:pPr>
        <w:pStyle w:val="Prrafodelista"/>
        <w:ind w:left="780"/>
        <w:jc w:val="both"/>
        <w:rPr>
          <w:rFonts w:ascii="Abadi" w:hAnsi="Abadi"/>
          <w:sz w:val="21"/>
          <w:szCs w:val="21"/>
        </w:rPr>
      </w:pPr>
    </w:p>
    <w:p w14:paraId="30FC4BD0" w14:textId="77777777" w:rsidR="00677B7E" w:rsidRDefault="00677B7E" w:rsidP="00677B7E">
      <w:pPr>
        <w:pStyle w:val="Prrafodelista"/>
        <w:ind w:left="780"/>
        <w:jc w:val="both"/>
        <w:rPr>
          <w:rFonts w:ascii="Abadi" w:hAnsi="Abadi"/>
          <w:sz w:val="21"/>
          <w:szCs w:val="21"/>
        </w:rPr>
      </w:pPr>
      <w:r w:rsidRPr="00D908C4">
        <w:rPr>
          <w:rFonts w:ascii="Abadi" w:hAnsi="Abadi"/>
          <w:b/>
          <w:bCs/>
          <w:sz w:val="21"/>
          <w:szCs w:val="21"/>
        </w:rPr>
        <w:t>III.</w:t>
      </w:r>
      <w:r w:rsidRPr="00370D2E">
        <w:rPr>
          <w:rFonts w:ascii="Abadi" w:hAnsi="Abadi"/>
          <w:sz w:val="21"/>
          <w:szCs w:val="21"/>
        </w:rPr>
        <w:t xml:space="preserve">- Que el Gobierno....    </w:t>
      </w:r>
    </w:p>
    <w:p w14:paraId="59F52E72" w14:textId="77777777" w:rsidR="00677B7E" w:rsidRDefault="00677B7E" w:rsidP="00677B7E">
      <w:pPr>
        <w:pStyle w:val="Prrafodelista"/>
        <w:ind w:left="780"/>
        <w:jc w:val="both"/>
        <w:rPr>
          <w:rFonts w:ascii="Abadi" w:hAnsi="Abadi"/>
          <w:sz w:val="21"/>
          <w:szCs w:val="21"/>
        </w:rPr>
      </w:pPr>
    </w:p>
    <w:p w14:paraId="2E03BAFC" w14:textId="77777777" w:rsidR="00677B7E" w:rsidRDefault="00677B7E" w:rsidP="00677B7E">
      <w:pPr>
        <w:pStyle w:val="Prrafodelista"/>
        <w:ind w:left="780"/>
        <w:jc w:val="both"/>
        <w:rPr>
          <w:rFonts w:ascii="Abadi" w:hAnsi="Abadi"/>
          <w:sz w:val="21"/>
          <w:szCs w:val="21"/>
        </w:rPr>
      </w:pPr>
      <w:r w:rsidRPr="00D908C4">
        <w:rPr>
          <w:rFonts w:ascii="Abadi" w:hAnsi="Abadi"/>
          <w:b/>
          <w:bCs/>
          <w:sz w:val="21"/>
          <w:szCs w:val="21"/>
        </w:rPr>
        <w:t>Artículo 60</w:t>
      </w:r>
      <w:r w:rsidRPr="00370D2E">
        <w:rPr>
          <w:rFonts w:ascii="Abadi" w:hAnsi="Abadi"/>
          <w:sz w:val="21"/>
          <w:szCs w:val="21"/>
        </w:rPr>
        <w:t xml:space="preserve">.- El Gobernador del Estado, </w:t>
      </w:r>
      <w:r w:rsidRPr="00D908C4">
        <w:rPr>
          <w:rFonts w:ascii="Abadi" w:hAnsi="Abadi"/>
          <w:b/>
          <w:bCs/>
          <w:sz w:val="21"/>
          <w:szCs w:val="21"/>
        </w:rPr>
        <w:t>observando el principio de paridad de género,</w:t>
      </w:r>
      <w:r w:rsidRPr="00370D2E">
        <w:rPr>
          <w:rFonts w:ascii="Abadi" w:hAnsi="Abadi"/>
          <w:sz w:val="21"/>
          <w:szCs w:val="21"/>
        </w:rPr>
        <w:t xml:space="preserve"> nombrará </w:t>
      </w:r>
      <w:r w:rsidRPr="00D908C4">
        <w:rPr>
          <w:rFonts w:ascii="Abadi" w:hAnsi="Abadi"/>
          <w:b/>
          <w:bCs/>
          <w:sz w:val="21"/>
          <w:szCs w:val="21"/>
        </w:rPr>
        <w:t>a las personas servidoras públicas</w:t>
      </w:r>
      <w:r w:rsidRPr="00370D2E">
        <w:rPr>
          <w:rFonts w:ascii="Abadi" w:hAnsi="Abadi"/>
          <w:sz w:val="21"/>
          <w:szCs w:val="21"/>
        </w:rPr>
        <w:t xml:space="preserve"> que deban ejercer las atribuciones que impliquen la titularidad de las acciones o partes sociales que integren el capital social de las empresas de participación estatal mayoritaria.    </w:t>
      </w:r>
    </w:p>
    <w:p w14:paraId="60291AC7" w14:textId="77777777" w:rsidR="00677B7E" w:rsidRDefault="00677B7E" w:rsidP="00677B7E">
      <w:pPr>
        <w:pStyle w:val="Prrafodelista"/>
        <w:ind w:left="780"/>
        <w:jc w:val="both"/>
        <w:rPr>
          <w:rFonts w:ascii="Abadi" w:hAnsi="Abadi"/>
          <w:sz w:val="21"/>
          <w:szCs w:val="21"/>
        </w:rPr>
      </w:pPr>
    </w:p>
    <w:p w14:paraId="23F53E34" w14:textId="77777777" w:rsidR="00677B7E" w:rsidRDefault="00677B7E" w:rsidP="00677B7E">
      <w:pPr>
        <w:pStyle w:val="Prrafodelista"/>
        <w:ind w:left="780"/>
        <w:jc w:val="both"/>
        <w:rPr>
          <w:rFonts w:ascii="Abadi" w:hAnsi="Abadi"/>
          <w:sz w:val="21"/>
          <w:szCs w:val="21"/>
        </w:rPr>
      </w:pPr>
      <w:r w:rsidRPr="00D908C4">
        <w:rPr>
          <w:rFonts w:ascii="Abadi" w:hAnsi="Abadi"/>
          <w:b/>
          <w:bCs/>
          <w:sz w:val="21"/>
          <w:szCs w:val="21"/>
        </w:rPr>
        <w:t>Artículo 62</w:t>
      </w:r>
      <w:r w:rsidRPr="00370D2E">
        <w:rPr>
          <w:rFonts w:ascii="Abadi" w:hAnsi="Abadi"/>
          <w:sz w:val="21"/>
          <w:szCs w:val="21"/>
        </w:rPr>
        <w:t xml:space="preserve">.- Los órganos de gobierno… </w:t>
      </w:r>
    </w:p>
    <w:p w14:paraId="126018AD" w14:textId="77777777" w:rsidR="00677B7E" w:rsidRDefault="00677B7E" w:rsidP="00677B7E">
      <w:pPr>
        <w:pStyle w:val="Prrafodelista"/>
        <w:ind w:left="780"/>
        <w:jc w:val="both"/>
        <w:rPr>
          <w:rFonts w:ascii="Abadi" w:hAnsi="Abadi"/>
          <w:sz w:val="21"/>
          <w:szCs w:val="21"/>
        </w:rPr>
      </w:pPr>
    </w:p>
    <w:p w14:paraId="0B9F58C7" w14:textId="77777777" w:rsidR="00677B7E" w:rsidRDefault="00677B7E" w:rsidP="00677B7E">
      <w:pPr>
        <w:pStyle w:val="Prrafodelista"/>
        <w:ind w:left="780"/>
        <w:jc w:val="both"/>
        <w:rPr>
          <w:rFonts w:ascii="Abadi" w:hAnsi="Abadi"/>
          <w:sz w:val="21"/>
          <w:szCs w:val="21"/>
        </w:rPr>
      </w:pPr>
      <w:r w:rsidRPr="00D908C4">
        <w:rPr>
          <w:rFonts w:ascii="Abadi" w:hAnsi="Abadi"/>
          <w:b/>
          <w:bCs/>
          <w:sz w:val="21"/>
          <w:szCs w:val="21"/>
        </w:rPr>
        <w:t>Las personas</w:t>
      </w:r>
      <w:r w:rsidRPr="00370D2E">
        <w:rPr>
          <w:rFonts w:ascii="Abadi" w:hAnsi="Abadi"/>
          <w:sz w:val="21"/>
          <w:szCs w:val="21"/>
        </w:rPr>
        <w:t xml:space="preserve"> integrantes del órgano de gobierno que representen la participación de la Administración Pública Estatal, podrán </w:t>
      </w:r>
      <w:r w:rsidRPr="00905EED">
        <w:rPr>
          <w:rFonts w:ascii="Abadi" w:hAnsi="Abadi"/>
          <w:b/>
          <w:bCs/>
          <w:sz w:val="21"/>
          <w:szCs w:val="21"/>
        </w:rPr>
        <w:t>ser servidoras públicas</w:t>
      </w:r>
      <w:r w:rsidRPr="00370D2E">
        <w:rPr>
          <w:rFonts w:ascii="Abadi" w:hAnsi="Abadi"/>
          <w:sz w:val="21"/>
          <w:szCs w:val="21"/>
        </w:rPr>
        <w:t xml:space="preserve"> del Estado o personas de reconocido prestigio y con experiencia en las actividades propias de la empresa de que se trate, y serán </w:t>
      </w:r>
      <w:r w:rsidRPr="00905EED">
        <w:rPr>
          <w:rFonts w:ascii="Abadi" w:hAnsi="Abadi"/>
          <w:b/>
          <w:bCs/>
          <w:sz w:val="21"/>
          <w:szCs w:val="21"/>
        </w:rPr>
        <w:t xml:space="preserve">designadas </w:t>
      </w:r>
      <w:r w:rsidRPr="00370D2E">
        <w:rPr>
          <w:rFonts w:ascii="Abadi" w:hAnsi="Abadi"/>
          <w:sz w:val="21"/>
          <w:szCs w:val="21"/>
        </w:rPr>
        <w:t xml:space="preserve">por el Gobernador del Estado directamente o a través de la Secretaría coordinadora de sector, </w:t>
      </w:r>
      <w:r w:rsidRPr="00905EED">
        <w:rPr>
          <w:rFonts w:ascii="Abadi" w:hAnsi="Abadi"/>
          <w:b/>
          <w:bCs/>
          <w:sz w:val="21"/>
          <w:szCs w:val="21"/>
        </w:rPr>
        <w:t>observando el principio de paridad de género y</w:t>
      </w:r>
      <w:r w:rsidRPr="00370D2E">
        <w:rPr>
          <w:rFonts w:ascii="Abadi" w:hAnsi="Abadi"/>
          <w:sz w:val="21"/>
          <w:szCs w:val="21"/>
        </w:rPr>
        <w:t xml:space="preserve"> debiendo constituir en todo tiempo cuando menos la mitad de los miembros del órgano de gobierno. </w:t>
      </w:r>
    </w:p>
    <w:p w14:paraId="7B1D790C" w14:textId="77777777" w:rsidR="00677B7E" w:rsidRDefault="00677B7E" w:rsidP="00677B7E">
      <w:pPr>
        <w:pStyle w:val="Prrafodelista"/>
        <w:ind w:left="780"/>
        <w:jc w:val="both"/>
        <w:rPr>
          <w:rFonts w:ascii="Abadi" w:hAnsi="Abadi"/>
          <w:sz w:val="21"/>
          <w:szCs w:val="21"/>
        </w:rPr>
      </w:pPr>
    </w:p>
    <w:p w14:paraId="34B9A863" w14:textId="77777777" w:rsidR="00677B7E" w:rsidRDefault="00677B7E" w:rsidP="00677B7E">
      <w:pPr>
        <w:pStyle w:val="Prrafodelista"/>
        <w:ind w:left="780"/>
        <w:jc w:val="both"/>
        <w:rPr>
          <w:rFonts w:ascii="Abadi" w:hAnsi="Abadi"/>
          <w:sz w:val="21"/>
          <w:szCs w:val="21"/>
        </w:rPr>
      </w:pPr>
      <w:r w:rsidRPr="00370D2E">
        <w:rPr>
          <w:rFonts w:ascii="Abadi" w:hAnsi="Abadi"/>
          <w:sz w:val="21"/>
          <w:szCs w:val="21"/>
        </w:rPr>
        <w:t xml:space="preserve">Las personas que...       </w:t>
      </w:r>
    </w:p>
    <w:p w14:paraId="517DAE83" w14:textId="77777777" w:rsidR="00677B7E" w:rsidRDefault="00677B7E" w:rsidP="00677B7E">
      <w:pPr>
        <w:pStyle w:val="Prrafodelista"/>
        <w:ind w:left="780"/>
        <w:jc w:val="both"/>
        <w:rPr>
          <w:rFonts w:ascii="Abadi" w:hAnsi="Abadi"/>
          <w:sz w:val="21"/>
          <w:szCs w:val="21"/>
        </w:rPr>
      </w:pPr>
    </w:p>
    <w:p w14:paraId="5D9CBB8B" w14:textId="77777777" w:rsidR="00677B7E" w:rsidRDefault="00677B7E" w:rsidP="00677B7E">
      <w:pPr>
        <w:pStyle w:val="Prrafodelista"/>
        <w:ind w:left="780"/>
        <w:jc w:val="both"/>
        <w:rPr>
          <w:rFonts w:ascii="Abadi" w:hAnsi="Abadi"/>
          <w:sz w:val="21"/>
          <w:szCs w:val="21"/>
        </w:rPr>
      </w:pPr>
      <w:r w:rsidRPr="00905EED">
        <w:rPr>
          <w:rFonts w:ascii="Abadi" w:hAnsi="Abadi"/>
          <w:b/>
          <w:bCs/>
          <w:sz w:val="21"/>
          <w:szCs w:val="21"/>
        </w:rPr>
        <w:t>Artículo 70</w:t>
      </w:r>
      <w:r w:rsidRPr="00370D2E">
        <w:rPr>
          <w:rFonts w:ascii="Abadi" w:hAnsi="Abadi"/>
          <w:sz w:val="21"/>
          <w:szCs w:val="21"/>
        </w:rPr>
        <w:t xml:space="preserve">.- Los fideicomisos públicos… </w:t>
      </w:r>
    </w:p>
    <w:p w14:paraId="60D3A92C" w14:textId="77777777" w:rsidR="00677B7E" w:rsidRDefault="00677B7E" w:rsidP="00677B7E">
      <w:pPr>
        <w:pStyle w:val="Prrafodelista"/>
        <w:ind w:left="780"/>
        <w:jc w:val="both"/>
        <w:rPr>
          <w:rFonts w:ascii="Abadi" w:hAnsi="Abadi"/>
          <w:sz w:val="21"/>
          <w:szCs w:val="21"/>
        </w:rPr>
      </w:pPr>
    </w:p>
    <w:p w14:paraId="330DE97B" w14:textId="77777777" w:rsidR="00677B7E" w:rsidRDefault="00677B7E" w:rsidP="00677B7E">
      <w:pPr>
        <w:pStyle w:val="Prrafodelista"/>
        <w:ind w:left="780"/>
        <w:jc w:val="both"/>
        <w:rPr>
          <w:rFonts w:ascii="Abadi" w:hAnsi="Abadi"/>
          <w:sz w:val="21"/>
          <w:szCs w:val="21"/>
        </w:rPr>
      </w:pPr>
      <w:r w:rsidRPr="00370D2E">
        <w:rPr>
          <w:rFonts w:ascii="Abadi" w:hAnsi="Abadi"/>
          <w:sz w:val="21"/>
          <w:szCs w:val="21"/>
        </w:rPr>
        <w:t xml:space="preserve">Asimismo, el fideicomiso podrá contar con </w:t>
      </w:r>
      <w:r w:rsidRPr="00905EED">
        <w:rPr>
          <w:rFonts w:ascii="Abadi" w:hAnsi="Abadi"/>
          <w:b/>
          <w:bCs/>
          <w:sz w:val="21"/>
          <w:szCs w:val="21"/>
        </w:rPr>
        <w:t>una Dirección General</w:t>
      </w:r>
      <w:r w:rsidRPr="00370D2E">
        <w:rPr>
          <w:rFonts w:ascii="Abadi" w:hAnsi="Abadi"/>
          <w:sz w:val="21"/>
          <w:szCs w:val="21"/>
        </w:rPr>
        <w:t xml:space="preserve">    </w:t>
      </w:r>
    </w:p>
    <w:p w14:paraId="37C2EE1F" w14:textId="77777777" w:rsidR="00677B7E" w:rsidRDefault="00677B7E" w:rsidP="00677B7E">
      <w:pPr>
        <w:pStyle w:val="Prrafodelista"/>
        <w:ind w:left="780"/>
        <w:jc w:val="both"/>
        <w:rPr>
          <w:rFonts w:ascii="Abadi" w:hAnsi="Abadi"/>
          <w:sz w:val="21"/>
          <w:szCs w:val="21"/>
        </w:rPr>
      </w:pPr>
    </w:p>
    <w:p w14:paraId="4C35FE51" w14:textId="77777777" w:rsidR="00677B7E" w:rsidRDefault="00677B7E" w:rsidP="00677B7E">
      <w:pPr>
        <w:pStyle w:val="Prrafodelista"/>
        <w:ind w:left="780"/>
        <w:jc w:val="both"/>
        <w:rPr>
          <w:rFonts w:ascii="Abadi" w:hAnsi="Abadi"/>
          <w:sz w:val="21"/>
          <w:szCs w:val="21"/>
        </w:rPr>
      </w:pPr>
      <w:r w:rsidRPr="00905EED">
        <w:rPr>
          <w:rFonts w:ascii="Abadi" w:hAnsi="Abadi"/>
          <w:b/>
          <w:bCs/>
          <w:sz w:val="21"/>
          <w:szCs w:val="21"/>
        </w:rPr>
        <w:t>Artículo 80</w:t>
      </w:r>
      <w:r w:rsidRPr="00370D2E">
        <w:rPr>
          <w:rFonts w:ascii="Abadi" w:hAnsi="Abadi"/>
          <w:sz w:val="21"/>
          <w:szCs w:val="21"/>
        </w:rPr>
        <w:t xml:space="preserve">.- El comité técnico deberá estar integrado por lo menos con </w:t>
      </w:r>
      <w:r w:rsidRPr="00905EED">
        <w:rPr>
          <w:rFonts w:ascii="Abadi" w:hAnsi="Abadi"/>
          <w:b/>
          <w:bCs/>
          <w:sz w:val="21"/>
          <w:szCs w:val="21"/>
        </w:rPr>
        <w:t>las siguientes</w:t>
      </w:r>
      <w:r w:rsidRPr="00370D2E">
        <w:rPr>
          <w:rFonts w:ascii="Abadi" w:hAnsi="Abadi"/>
          <w:sz w:val="21"/>
          <w:szCs w:val="21"/>
        </w:rPr>
        <w:t xml:space="preserve"> </w:t>
      </w:r>
      <w:r w:rsidRPr="00905EED">
        <w:rPr>
          <w:rFonts w:ascii="Abadi" w:hAnsi="Abadi"/>
          <w:b/>
          <w:bCs/>
          <w:sz w:val="21"/>
          <w:szCs w:val="21"/>
        </w:rPr>
        <w:t>personas integrantes propietarias:</w:t>
      </w:r>
      <w:r w:rsidRPr="00370D2E">
        <w:rPr>
          <w:rFonts w:ascii="Abadi" w:hAnsi="Abadi"/>
          <w:sz w:val="21"/>
          <w:szCs w:val="21"/>
        </w:rPr>
        <w:t xml:space="preserve"> </w:t>
      </w:r>
    </w:p>
    <w:p w14:paraId="4E6A4836" w14:textId="77777777" w:rsidR="00677B7E" w:rsidRDefault="00677B7E" w:rsidP="00677B7E">
      <w:pPr>
        <w:pStyle w:val="Prrafodelista"/>
        <w:ind w:left="780"/>
        <w:jc w:val="both"/>
        <w:rPr>
          <w:rFonts w:ascii="Abadi" w:hAnsi="Abadi"/>
          <w:sz w:val="21"/>
          <w:szCs w:val="21"/>
        </w:rPr>
      </w:pPr>
    </w:p>
    <w:p w14:paraId="5E6110D7" w14:textId="77777777" w:rsidR="00677B7E" w:rsidRDefault="00677B7E" w:rsidP="00677B7E">
      <w:pPr>
        <w:pStyle w:val="Prrafodelista"/>
        <w:ind w:left="780"/>
        <w:jc w:val="both"/>
        <w:rPr>
          <w:rFonts w:ascii="Abadi" w:hAnsi="Abadi"/>
          <w:sz w:val="21"/>
          <w:szCs w:val="21"/>
        </w:rPr>
      </w:pPr>
      <w:r w:rsidRPr="00905EED">
        <w:rPr>
          <w:rFonts w:ascii="Abadi" w:hAnsi="Abadi"/>
          <w:b/>
          <w:bCs/>
          <w:sz w:val="21"/>
          <w:szCs w:val="21"/>
        </w:rPr>
        <w:t>I.</w:t>
      </w:r>
      <w:r w:rsidRPr="00370D2E">
        <w:rPr>
          <w:rFonts w:ascii="Abadi" w:hAnsi="Abadi"/>
          <w:sz w:val="21"/>
          <w:szCs w:val="21"/>
        </w:rPr>
        <w:t xml:space="preserve">- </w:t>
      </w:r>
      <w:r w:rsidRPr="00905EED">
        <w:rPr>
          <w:rFonts w:ascii="Abadi" w:hAnsi="Abadi"/>
          <w:b/>
          <w:bCs/>
          <w:sz w:val="21"/>
          <w:szCs w:val="21"/>
        </w:rPr>
        <w:t>Una persona</w:t>
      </w:r>
      <w:r w:rsidRPr="00370D2E">
        <w:rPr>
          <w:rFonts w:ascii="Abadi" w:hAnsi="Abadi"/>
          <w:sz w:val="21"/>
          <w:szCs w:val="21"/>
        </w:rPr>
        <w:t xml:space="preserve"> representante de la dependencia coordinadora de sector;  </w:t>
      </w:r>
    </w:p>
    <w:p w14:paraId="4CCFDE0C" w14:textId="77777777" w:rsidR="00677B7E" w:rsidRDefault="00677B7E" w:rsidP="00677B7E">
      <w:pPr>
        <w:pStyle w:val="Prrafodelista"/>
        <w:ind w:left="780"/>
        <w:jc w:val="both"/>
        <w:rPr>
          <w:rFonts w:ascii="Abadi" w:hAnsi="Abadi"/>
          <w:sz w:val="21"/>
          <w:szCs w:val="21"/>
        </w:rPr>
      </w:pPr>
    </w:p>
    <w:p w14:paraId="5D86594F" w14:textId="77777777" w:rsidR="00677B7E" w:rsidRDefault="00677B7E" w:rsidP="00677B7E">
      <w:pPr>
        <w:pStyle w:val="Prrafodelista"/>
        <w:ind w:left="780"/>
        <w:jc w:val="both"/>
        <w:rPr>
          <w:rFonts w:ascii="Abadi" w:hAnsi="Abadi"/>
          <w:sz w:val="21"/>
          <w:szCs w:val="21"/>
        </w:rPr>
      </w:pPr>
      <w:r w:rsidRPr="00905EED">
        <w:rPr>
          <w:rFonts w:ascii="Abadi" w:hAnsi="Abadi"/>
          <w:b/>
          <w:bCs/>
          <w:sz w:val="21"/>
          <w:szCs w:val="21"/>
        </w:rPr>
        <w:t>II.</w:t>
      </w:r>
      <w:r w:rsidRPr="00370D2E">
        <w:rPr>
          <w:rFonts w:ascii="Abadi" w:hAnsi="Abadi"/>
          <w:sz w:val="21"/>
          <w:szCs w:val="21"/>
        </w:rPr>
        <w:t xml:space="preserve">- </w:t>
      </w:r>
      <w:r w:rsidRPr="00905EED">
        <w:rPr>
          <w:rFonts w:ascii="Abadi" w:hAnsi="Abadi"/>
          <w:b/>
          <w:bCs/>
          <w:sz w:val="21"/>
          <w:szCs w:val="21"/>
        </w:rPr>
        <w:t>Una persona</w:t>
      </w:r>
      <w:r w:rsidRPr="00370D2E">
        <w:rPr>
          <w:rFonts w:ascii="Abadi" w:hAnsi="Abadi"/>
          <w:sz w:val="21"/>
          <w:szCs w:val="21"/>
        </w:rPr>
        <w:t xml:space="preserve"> representante de la Secretaría de Finanzas, Inversión y Administración; </w:t>
      </w:r>
    </w:p>
    <w:p w14:paraId="061D1B92" w14:textId="77777777" w:rsidR="00677B7E" w:rsidRDefault="00677B7E" w:rsidP="00677B7E">
      <w:pPr>
        <w:pStyle w:val="Prrafodelista"/>
        <w:ind w:left="780"/>
        <w:jc w:val="both"/>
        <w:rPr>
          <w:rFonts w:ascii="Abadi" w:hAnsi="Abadi"/>
          <w:sz w:val="21"/>
          <w:szCs w:val="21"/>
        </w:rPr>
      </w:pPr>
    </w:p>
    <w:p w14:paraId="25B76AC9" w14:textId="77777777" w:rsidR="00677B7E" w:rsidRDefault="00677B7E" w:rsidP="00677B7E">
      <w:pPr>
        <w:pStyle w:val="Prrafodelista"/>
        <w:ind w:left="780"/>
        <w:jc w:val="both"/>
        <w:rPr>
          <w:rFonts w:ascii="Abadi" w:hAnsi="Abadi"/>
          <w:sz w:val="21"/>
          <w:szCs w:val="21"/>
        </w:rPr>
      </w:pPr>
      <w:r w:rsidRPr="00905EED">
        <w:rPr>
          <w:rFonts w:ascii="Abadi" w:hAnsi="Abadi"/>
          <w:b/>
          <w:bCs/>
          <w:sz w:val="21"/>
          <w:szCs w:val="21"/>
        </w:rPr>
        <w:t>III.</w:t>
      </w:r>
      <w:r w:rsidRPr="00370D2E">
        <w:rPr>
          <w:rFonts w:ascii="Abadi" w:hAnsi="Abadi"/>
          <w:sz w:val="21"/>
          <w:szCs w:val="21"/>
        </w:rPr>
        <w:t xml:space="preserve">- </w:t>
      </w:r>
      <w:r w:rsidRPr="00905EED">
        <w:rPr>
          <w:rFonts w:ascii="Abadi" w:hAnsi="Abadi"/>
          <w:b/>
          <w:bCs/>
          <w:sz w:val="21"/>
          <w:szCs w:val="21"/>
        </w:rPr>
        <w:t>Una persona</w:t>
      </w:r>
      <w:r w:rsidRPr="00370D2E">
        <w:rPr>
          <w:rFonts w:ascii="Abadi" w:hAnsi="Abadi"/>
          <w:sz w:val="21"/>
          <w:szCs w:val="21"/>
        </w:rPr>
        <w:t xml:space="preserve"> representante de la Secretaría de la Transparencia y Rendición de Cuentas; </w:t>
      </w:r>
    </w:p>
    <w:p w14:paraId="08886416" w14:textId="77777777" w:rsidR="00677B7E" w:rsidRDefault="00677B7E" w:rsidP="00677B7E">
      <w:pPr>
        <w:pStyle w:val="Prrafodelista"/>
        <w:ind w:left="780"/>
        <w:jc w:val="both"/>
        <w:rPr>
          <w:rFonts w:ascii="Abadi" w:hAnsi="Abadi"/>
          <w:b/>
          <w:bCs/>
          <w:sz w:val="21"/>
          <w:szCs w:val="21"/>
        </w:rPr>
      </w:pPr>
    </w:p>
    <w:p w14:paraId="737442E8" w14:textId="77777777" w:rsidR="00677B7E" w:rsidRDefault="00677B7E" w:rsidP="00677B7E">
      <w:pPr>
        <w:pStyle w:val="Prrafodelista"/>
        <w:ind w:left="780"/>
        <w:jc w:val="both"/>
        <w:rPr>
          <w:rFonts w:ascii="Abadi" w:hAnsi="Abadi"/>
          <w:sz w:val="21"/>
          <w:szCs w:val="21"/>
        </w:rPr>
      </w:pPr>
      <w:r w:rsidRPr="00905EED">
        <w:rPr>
          <w:rFonts w:ascii="Abadi" w:hAnsi="Abadi"/>
          <w:b/>
          <w:bCs/>
          <w:sz w:val="21"/>
          <w:szCs w:val="21"/>
        </w:rPr>
        <w:t>IV</w:t>
      </w:r>
      <w:r w:rsidRPr="00370D2E">
        <w:rPr>
          <w:rFonts w:ascii="Abadi" w:hAnsi="Abadi"/>
          <w:sz w:val="21"/>
          <w:szCs w:val="21"/>
        </w:rPr>
        <w:t xml:space="preserve">.- </w:t>
      </w:r>
      <w:r w:rsidRPr="00905EED">
        <w:rPr>
          <w:rFonts w:ascii="Abadi" w:hAnsi="Abadi"/>
          <w:b/>
          <w:bCs/>
          <w:sz w:val="21"/>
          <w:szCs w:val="21"/>
        </w:rPr>
        <w:t>Una persona</w:t>
      </w:r>
      <w:r w:rsidRPr="00370D2E">
        <w:rPr>
          <w:rFonts w:ascii="Abadi" w:hAnsi="Abadi"/>
          <w:sz w:val="21"/>
          <w:szCs w:val="21"/>
        </w:rPr>
        <w:t xml:space="preserve"> representante del fiduciario; y </w:t>
      </w:r>
    </w:p>
    <w:p w14:paraId="4E37B0D9" w14:textId="77777777" w:rsidR="00677B7E" w:rsidRDefault="00677B7E" w:rsidP="00677B7E">
      <w:pPr>
        <w:pStyle w:val="Prrafodelista"/>
        <w:ind w:left="780"/>
        <w:jc w:val="both"/>
        <w:rPr>
          <w:rFonts w:ascii="Abadi" w:hAnsi="Abadi"/>
          <w:sz w:val="21"/>
          <w:szCs w:val="21"/>
        </w:rPr>
      </w:pPr>
    </w:p>
    <w:p w14:paraId="49884455" w14:textId="77777777" w:rsidR="00677B7E" w:rsidRDefault="00677B7E" w:rsidP="00677B7E">
      <w:pPr>
        <w:pStyle w:val="Prrafodelista"/>
        <w:ind w:left="780"/>
        <w:jc w:val="both"/>
        <w:rPr>
          <w:rFonts w:ascii="Abadi" w:hAnsi="Abadi"/>
          <w:sz w:val="21"/>
          <w:szCs w:val="21"/>
        </w:rPr>
      </w:pPr>
      <w:r w:rsidRPr="00905EED">
        <w:rPr>
          <w:rFonts w:ascii="Abadi" w:hAnsi="Abadi"/>
          <w:b/>
          <w:bCs/>
          <w:sz w:val="21"/>
          <w:szCs w:val="21"/>
        </w:rPr>
        <w:t>V.- Una persona</w:t>
      </w:r>
      <w:r w:rsidRPr="00370D2E">
        <w:rPr>
          <w:rFonts w:ascii="Abadi" w:hAnsi="Abadi"/>
          <w:sz w:val="21"/>
          <w:szCs w:val="21"/>
        </w:rPr>
        <w:t xml:space="preserve"> representante de las dependencias o entidades del Ejecutivo del Estado que de acuerdo con los fines del fideicomiso deban intervenir. </w:t>
      </w:r>
    </w:p>
    <w:p w14:paraId="0BB24002" w14:textId="77777777" w:rsidR="00677B7E" w:rsidRDefault="00677B7E" w:rsidP="00677B7E">
      <w:pPr>
        <w:pStyle w:val="Prrafodelista"/>
        <w:ind w:left="780"/>
        <w:jc w:val="both"/>
        <w:rPr>
          <w:rFonts w:ascii="Abadi" w:hAnsi="Abadi"/>
          <w:sz w:val="21"/>
          <w:szCs w:val="21"/>
        </w:rPr>
      </w:pPr>
    </w:p>
    <w:p w14:paraId="504E3902" w14:textId="77777777" w:rsidR="00677B7E" w:rsidRDefault="00677B7E" w:rsidP="00677B7E">
      <w:pPr>
        <w:pStyle w:val="Prrafodelista"/>
        <w:ind w:left="780"/>
        <w:jc w:val="both"/>
        <w:rPr>
          <w:rFonts w:ascii="Abadi" w:hAnsi="Abadi"/>
          <w:sz w:val="21"/>
          <w:szCs w:val="21"/>
        </w:rPr>
      </w:pPr>
      <w:r w:rsidRPr="00370D2E">
        <w:rPr>
          <w:rFonts w:ascii="Abadi" w:hAnsi="Abadi"/>
          <w:sz w:val="21"/>
          <w:szCs w:val="21"/>
        </w:rPr>
        <w:t xml:space="preserve">Por cada </w:t>
      </w:r>
      <w:r w:rsidRPr="00C714BD">
        <w:rPr>
          <w:rFonts w:ascii="Abadi" w:hAnsi="Abadi"/>
          <w:b/>
          <w:bCs/>
          <w:sz w:val="21"/>
          <w:szCs w:val="21"/>
        </w:rPr>
        <w:t>persona integrante propietaria</w:t>
      </w:r>
      <w:r w:rsidRPr="00370D2E">
        <w:rPr>
          <w:rFonts w:ascii="Abadi" w:hAnsi="Abadi"/>
          <w:sz w:val="21"/>
          <w:szCs w:val="21"/>
        </w:rPr>
        <w:t xml:space="preserve"> del comité técnico habrá </w:t>
      </w:r>
      <w:r w:rsidRPr="00C714BD">
        <w:rPr>
          <w:rFonts w:ascii="Abadi" w:hAnsi="Abadi"/>
          <w:b/>
          <w:bCs/>
          <w:sz w:val="21"/>
          <w:szCs w:val="21"/>
        </w:rPr>
        <w:t>una suplente</w:t>
      </w:r>
      <w:r w:rsidRPr="00370D2E">
        <w:rPr>
          <w:rFonts w:ascii="Abadi" w:hAnsi="Abadi"/>
          <w:sz w:val="21"/>
          <w:szCs w:val="21"/>
        </w:rPr>
        <w:t xml:space="preserve"> que la cubrirá en sus ausencias </w:t>
      </w:r>
      <w:r w:rsidRPr="00C714BD">
        <w:rPr>
          <w:rFonts w:ascii="Abadi" w:hAnsi="Abadi"/>
          <w:b/>
          <w:bCs/>
          <w:sz w:val="21"/>
          <w:szCs w:val="21"/>
        </w:rPr>
        <w:t>y que deberá ser del mismo género que la propietaria</w:t>
      </w:r>
      <w:r w:rsidRPr="00370D2E">
        <w:rPr>
          <w:rFonts w:ascii="Abadi" w:hAnsi="Abadi"/>
          <w:sz w:val="21"/>
          <w:szCs w:val="21"/>
        </w:rPr>
        <w:t xml:space="preserve">. </w:t>
      </w:r>
    </w:p>
    <w:p w14:paraId="63EDE8FA" w14:textId="77777777" w:rsidR="00677B7E" w:rsidRDefault="00677B7E" w:rsidP="00677B7E">
      <w:pPr>
        <w:pStyle w:val="Prrafodelista"/>
        <w:ind w:left="780"/>
        <w:jc w:val="both"/>
        <w:rPr>
          <w:rFonts w:ascii="Abadi" w:hAnsi="Abadi"/>
          <w:sz w:val="21"/>
          <w:szCs w:val="21"/>
        </w:rPr>
      </w:pPr>
    </w:p>
    <w:p w14:paraId="390FA433" w14:textId="77777777" w:rsidR="00677B7E" w:rsidRDefault="00677B7E" w:rsidP="00677B7E">
      <w:pPr>
        <w:pStyle w:val="Prrafodelista"/>
        <w:ind w:left="780"/>
        <w:jc w:val="both"/>
        <w:rPr>
          <w:rFonts w:ascii="Abadi" w:hAnsi="Abadi"/>
          <w:sz w:val="21"/>
          <w:szCs w:val="21"/>
        </w:rPr>
      </w:pPr>
      <w:r w:rsidRPr="00C714BD">
        <w:rPr>
          <w:rFonts w:ascii="Abadi" w:hAnsi="Abadi"/>
          <w:b/>
          <w:bCs/>
          <w:sz w:val="21"/>
          <w:szCs w:val="21"/>
        </w:rPr>
        <w:t>La persona</w:t>
      </w:r>
      <w:r w:rsidRPr="00370D2E">
        <w:rPr>
          <w:rFonts w:ascii="Abadi" w:hAnsi="Abadi"/>
          <w:sz w:val="21"/>
          <w:szCs w:val="21"/>
        </w:rPr>
        <w:t xml:space="preserve"> representante de la Secretaría de la Transparencia y Rendición de Cuentas participará con voz y sin voto.    </w:t>
      </w:r>
    </w:p>
    <w:p w14:paraId="281B0927" w14:textId="77777777" w:rsidR="00677B7E" w:rsidRDefault="00677B7E" w:rsidP="00677B7E">
      <w:pPr>
        <w:pStyle w:val="Prrafodelista"/>
        <w:ind w:left="780"/>
        <w:jc w:val="both"/>
        <w:rPr>
          <w:rFonts w:ascii="Abadi" w:hAnsi="Abadi"/>
          <w:sz w:val="21"/>
          <w:szCs w:val="21"/>
        </w:rPr>
      </w:pPr>
    </w:p>
    <w:p w14:paraId="303AE1BB" w14:textId="77777777" w:rsidR="00677B7E" w:rsidRDefault="00677B7E" w:rsidP="00677B7E">
      <w:pPr>
        <w:pStyle w:val="Prrafodelista"/>
        <w:ind w:left="780"/>
        <w:jc w:val="both"/>
        <w:rPr>
          <w:rFonts w:ascii="Abadi" w:hAnsi="Abadi"/>
          <w:sz w:val="21"/>
          <w:szCs w:val="21"/>
        </w:rPr>
      </w:pPr>
      <w:r w:rsidRPr="00C714BD">
        <w:rPr>
          <w:rFonts w:ascii="Abadi" w:hAnsi="Abadi"/>
          <w:b/>
          <w:bCs/>
          <w:sz w:val="21"/>
          <w:szCs w:val="21"/>
        </w:rPr>
        <w:t>Artículo 82.-</w:t>
      </w:r>
      <w:r w:rsidRPr="00370D2E">
        <w:rPr>
          <w:rFonts w:ascii="Abadi" w:hAnsi="Abadi"/>
          <w:sz w:val="21"/>
          <w:szCs w:val="21"/>
        </w:rPr>
        <w:t xml:space="preserve"> </w:t>
      </w:r>
      <w:r w:rsidRPr="00C714BD">
        <w:rPr>
          <w:rFonts w:ascii="Abadi" w:hAnsi="Abadi"/>
          <w:b/>
          <w:bCs/>
          <w:sz w:val="21"/>
          <w:szCs w:val="21"/>
        </w:rPr>
        <w:t>Las personas integrantes</w:t>
      </w:r>
      <w:r w:rsidRPr="00370D2E">
        <w:rPr>
          <w:rFonts w:ascii="Abadi" w:hAnsi="Abadi"/>
          <w:sz w:val="21"/>
          <w:szCs w:val="21"/>
        </w:rPr>
        <w:t xml:space="preserve"> del comité técnico de los fideicomisos públicos serán </w:t>
      </w:r>
      <w:r w:rsidRPr="00B53FB0">
        <w:rPr>
          <w:rFonts w:ascii="Abadi" w:hAnsi="Abadi"/>
          <w:b/>
          <w:bCs/>
          <w:sz w:val="21"/>
          <w:szCs w:val="21"/>
        </w:rPr>
        <w:t>nombradas y removidas</w:t>
      </w:r>
      <w:r w:rsidRPr="00370D2E">
        <w:rPr>
          <w:rFonts w:ascii="Abadi" w:hAnsi="Abadi"/>
          <w:sz w:val="21"/>
          <w:szCs w:val="21"/>
        </w:rPr>
        <w:t xml:space="preserve"> por el Gobernador del Estado, </w:t>
      </w:r>
      <w:r w:rsidRPr="00B53FB0">
        <w:rPr>
          <w:rFonts w:ascii="Abadi" w:hAnsi="Abadi"/>
          <w:b/>
          <w:bCs/>
          <w:sz w:val="21"/>
          <w:szCs w:val="21"/>
        </w:rPr>
        <w:t>observando el principio de</w:t>
      </w:r>
      <w:r w:rsidRPr="00370D2E">
        <w:rPr>
          <w:rFonts w:ascii="Abadi" w:hAnsi="Abadi"/>
          <w:sz w:val="21"/>
          <w:szCs w:val="21"/>
        </w:rPr>
        <w:t xml:space="preserve"> </w:t>
      </w:r>
      <w:r w:rsidRPr="00B53FB0">
        <w:rPr>
          <w:rFonts w:ascii="Abadi" w:hAnsi="Abadi"/>
          <w:b/>
          <w:bCs/>
          <w:sz w:val="21"/>
          <w:szCs w:val="21"/>
        </w:rPr>
        <w:t>paridad de género</w:t>
      </w:r>
      <w:r w:rsidRPr="00370D2E">
        <w:rPr>
          <w:rFonts w:ascii="Abadi" w:hAnsi="Abadi"/>
          <w:sz w:val="21"/>
          <w:szCs w:val="21"/>
        </w:rPr>
        <w:t xml:space="preserve">, quien además nombrará y removerá </w:t>
      </w:r>
      <w:r w:rsidRPr="00B53FB0">
        <w:rPr>
          <w:rFonts w:ascii="Abadi" w:hAnsi="Abadi"/>
          <w:b/>
          <w:bCs/>
          <w:sz w:val="21"/>
          <w:szCs w:val="21"/>
        </w:rPr>
        <w:t>a la persona titular de la dirección</w:t>
      </w:r>
      <w:r w:rsidRPr="00370D2E">
        <w:rPr>
          <w:rFonts w:ascii="Abadi" w:hAnsi="Abadi"/>
          <w:sz w:val="21"/>
          <w:szCs w:val="21"/>
        </w:rPr>
        <w:t xml:space="preserve"> </w:t>
      </w:r>
      <w:r w:rsidRPr="00B53FB0">
        <w:rPr>
          <w:rFonts w:ascii="Abadi" w:hAnsi="Abadi"/>
          <w:b/>
          <w:bCs/>
          <w:sz w:val="21"/>
          <w:szCs w:val="21"/>
        </w:rPr>
        <w:t>general</w:t>
      </w:r>
      <w:r w:rsidRPr="00370D2E">
        <w:rPr>
          <w:rFonts w:ascii="Abadi" w:hAnsi="Abadi"/>
          <w:sz w:val="21"/>
          <w:szCs w:val="21"/>
        </w:rPr>
        <w:t xml:space="preserve"> del fideicomiso a propuesta del comité técnico.    </w:t>
      </w:r>
    </w:p>
    <w:p w14:paraId="5DF27E20" w14:textId="77777777" w:rsidR="00677B7E" w:rsidRDefault="00677B7E" w:rsidP="00677B7E">
      <w:pPr>
        <w:pStyle w:val="Prrafodelista"/>
        <w:ind w:left="780"/>
        <w:jc w:val="both"/>
        <w:rPr>
          <w:rFonts w:ascii="Abadi" w:hAnsi="Abadi"/>
          <w:sz w:val="21"/>
          <w:szCs w:val="21"/>
        </w:rPr>
      </w:pPr>
    </w:p>
    <w:p w14:paraId="3ADD7E7F" w14:textId="77777777" w:rsidR="00677B7E" w:rsidRDefault="00677B7E" w:rsidP="00677B7E">
      <w:pPr>
        <w:pStyle w:val="Prrafodelista"/>
        <w:ind w:left="780"/>
        <w:jc w:val="both"/>
        <w:rPr>
          <w:rFonts w:ascii="Abadi" w:hAnsi="Abadi"/>
          <w:sz w:val="21"/>
          <w:szCs w:val="21"/>
        </w:rPr>
      </w:pPr>
      <w:r w:rsidRPr="00B53FB0">
        <w:rPr>
          <w:rFonts w:ascii="Abadi" w:hAnsi="Abadi"/>
          <w:b/>
          <w:bCs/>
          <w:sz w:val="21"/>
          <w:szCs w:val="21"/>
        </w:rPr>
        <w:t>SEGUNDO</w:t>
      </w:r>
      <w:r w:rsidRPr="00370D2E">
        <w:rPr>
          <w:rFonts w:ascii="Abadi" w:hAnsi="Abadi"/>
          <w:sz w:val="21"/>
          <w:szCs w:val="21"/>
        </w:rPr>
        <w:t xml:space="preserve">. Se reforman los artículos 76, 77, 80, 112, 113, 120, 124, 131, 131-1 135, 141, 152, 159, 160 Y 252 de la Ley Orgánica Municipal para el Estado de Guanajuato, para quedar de la siguiente manera:    </w:t>
      </w:r>
    </w:p>
    <w:p w14:paraId="31D6078C" w14:textId="77777777" w:rsidR="00B8695D" w:rsidRDefault="00B8695D" w:rsidP="00677B7E">
      <w:pPr>
        <w:pStyle w:val="Prrafodelista"/>
        <w:ind w:left="780"/>
        <w:jc w:val="both"/>
        <w:rPr>
          <w:rFonts w:ascii="Abadi" w:hAnsi="Abadi"/>
          <w:b/>
          <w:bCs/>
          <w:sz w:val="21"/>
          <w:szCs w:val="21"/>
        </w:rPr>
      </w:pPr>
    </w:p>
    <w:p w14:paraId="5E4AA50D" w14:textId="6B68E2E9" w:rsidR="00677B7E" w:rsidRDefault="00677B7E" w:rsidP="00677B7E">
      <w:pPr>
        <w:pStyle w:val="Prrafodelista"/>
        <w:ind w:left="780"/>
        <w:jc w:val="both"/>
        <w:rPr>
          <w:rFonts w:ascii="Abadi" w:hAnsi="Abadi"/>
          <w:sz w:val="21"/>
          <w:szCs w:val="21"/>
        </w:rPr>
      </w:pPr>
      <w:r w:rsidRPr="00B53FB0">
        <w:rPr>
          <w:rFonts w:ascii="Abadi" w:hAnsi="Abadi"/>
          <w:b/>
          <w:bCs/>
          <w:sz w:val="21"/>
          <w:szCs w:val="21"/>
        </w:rPr>
        <w:t>Artículo 76.</w:t>
      </w:r>
      <w:r w:rsidRPr="00370D2E">
        <w:rPr>
          <w:rFonts w:ascii="Abadi" w:hAnsi="Abadi"/>
          <w:sz w:val="21"/>
          <w:szCs w:val="21"/>
        </w:rPr>
        <w:t xml:space="preserve"> Los ayuntamientos tendrán las siguientes atribuciones:  </w:t>
      </w:r>
    </w:p>
    <w:p w14:paraId="70AAD889" w14:textId="77777777" w:rsidR="00677B7E" w:rsidRDefault="00677B7E" w:rsidP="00677B7E">
      <w:pPr>
        <w:pStyle w:val="Prrafodelista"/>
        <w:ind w:left="780"/>
        <w:jc w:val="both"/>
        <w:rPr>
          <w:rFonts w:ascii="Abadi" w:hAnsi="Abadi"/>
          <w:sz w:val="21"/>
          <w:szCs w:val="21"/>
        </w:rPr>
      </w:pPr>
    </w:p>
    <w:p w14:paraId="6541E06D" w14:textId="77777777" w:rsidR="00677B7E" w:rsidRDefault="00677B7E" w:rsidP="00677B7E">
      <w:pPr>
        <w:pStyle w:val="Prrafodelista"/>
        <w:ind w:left="780"/>
        <w:jc w:val="both"/>
        <w:rPr>
          <w:rFonts w:ascii="Abadi" w:hAnsi="Abadi"/>
          <w:sz w:val="21"/>
          <w:szCs w:val="21"/>
        </w:rPr>
      </w:pPr>
      <w:r w:rsidRPr="00B53FB0">
        <w:rPr>
          <w:rFonts w:ascii="Abadi" w:hAnsi="Abadi"/>
          <w:b/>
          <w:bCs/>
          <w:sz w:val="21"/>
          <w:szCs w:val="21"/>
        </w:rPr>
        <w:t>I</w:t>
      </w:r>
      <w:r w:rsidRPr="00370D2E">
        <w:rPr>
          <w:rFonts w:ascii="Abadi" w:hAnsi="Abadi"/>
          <w:sz w:val="21"/>
          <w:szCs w:val="21"/>
        </w:rPr>
        <w:t xml:space="preserve">. En materia de gobierno y régimen interior:  </w:t>
      </w:r>
    </w:p>
    <w:p w14:paraId="2B4B9BBA" w14:textId="77777777" w:rsidR="00677B7E" w:rsidRDefault="00677B7E" w:rsidP="00677B7E">
      <w:pPr>
        <w:pStyle w:val="Prrafodelista"/>
        <w:ind w:left="780"/>
        <w:jc w:val="both"/>
        <w:rPr>
          <w:rFonts w:ascii="Abadi" w:hAnsi="Abadi"/>
          <w:sz w:val="21"/>
          <w:szCs w:val="21"/>
        </w:rPr>
      </w:pPr>
    </w:p>
    <w:p w14:paraId="0EA1F827" w14:textId="77777777" w:rsidR="00677B7E" w:rsidRDefault="00677B7E" w:rsidP="00677B7E">
      <w:pPr>
        <w:pStyle w:val="Prrafodelista"/>
        <w:ind w:left="780"/>
        <w:jc w:val="both"/>
        <w:rPr>
          <w:rFonts w:ascii="Abadi" w:hAnsi="Abadi"/>
          <w:sz w:val="21"/>
          <w:szCs w:val="21"/>
        </w:rPr>
      </w:pPr>
      <w:r w:rsidRPr="00B53FB0">
        <w:rPr>
          <w:rFonts w:ascii="Abadi" w:hAnsi="Abadi"/>
          <w:b/>
          <w:bCs/>
          <w:sz w:val="21"/>
          <w:szCs w:val="21"/>
        </w:rPr>
        <w:t>a)</w:t>
      </w:r>
      <w:r w:rsidRPr="00370D2E">
        <w:rPr>
          <w:rFonts w:ascii="Abadi" w:hAnsi="Abadi"/>
          <w:sz w:val="21"/>
          <w:szCs w:val="21"/>
        </w:rPr>
        <w:t xml:space="preserve"> a </w:t>
      </w:r>
      <w:r w:rsidRPr="00B53FB0">
        <w:rPr>
          <w:rFonts w:ascii="Abadi" w:hAnsi="Abadi"/>
          <w:b/>
          <w:bCs/>
          <w:sz w:val="21"/>
          <w:szCs w:val="21"/>
        </w:rPr>
        <w:t>h)</w:t>
      </w:r>
      <w:r w:rsidRPr="00370D2E">
        <w:rPr>
          <w:rFonts w:ascii="Abadi" w:hAnsi="Abadi"/>
          <w:sz w:val="21"/>
          <w:szCs w:val="21"/>
        </w:rPr>
        <w:t xml:space="preserve">  </w:t>
      </w:r>
    </w:p>
    <w:p w14:paraId="76B9B1E1" w14:textId="77777777" w:rsidR="00677B7E" w:rsidRDefault="00677B7E" w:rsidP="00677B7E">
      <w:pPr>
        <w:pStyle w:val="Prrafodelista"/>
        <w:ind w:left="780"/>
        <w:jc w:val="both"/>
        <w:rPr>
          <w:rFonts w:ascii="Abadi" w:hAnsi="Abadi"/>
          <w:sz w:val="21"/>
          <w:szCs w:val="21"/>
        </w:rPr>
      </w:pPr>
    </w:p>
    <w:p w14:paraId="4CE9EA0A" w14:textId="77777777" w:rsidR="00677B7E" w:rsidRDefault="00677B7E" w:rsidP="00677B7E">
      <w:pPr>
        <w:pStyle w:val="Prrafodelista"/>
        <w:ind w:left="780"/>
        <w:jc w:val="both"/>
        <w:rPr>
          <w:rFonts w:ascii="Abadi" w:hAnsi="Abadi"/>
          <w:sz w:val="21"/>
          <w:szCs w:val="21"/>
        </w:rPr>
      </w:pPr>
      <w:r w:rsidRPr="00492C8E">
        <w:rPr>
          <w:rFonts w:ascii="Abadi" w:hAnsi="Abadi"/>
          <w:b/>
          <w:bCs/>
          <w:sz w:val="21"/>
          <w:szCs w:val="21"/>
        </w:rPr>
        <w:t>i)</w:t>
      </w:r>
      <w:r w:rsidRPr="00370D2E">
        <w:rPr>
          <w:rFonts w:ascii="Abadi" w:hAnsi="Abadi"/>
          <w:sz w:val="21"/>
          <w:szCs w:val="21"/>
        </w:rPr>
        <w:t xml:space="preserve"> Nombrar a </w:t>
      </w:r>
      <w:r w:rsidRPr="00492C8E">
        <w:rPr>
          <w:rFonts w:ascii="Abadi" w:hAnsi="Abadi"/>
          <w:b/>
          <w:bCs/>
          <w:sz w:val="21"/>
          <w:szCs w:val="21"/>
        </w:rPr>
        <w:t>quienes deban ocupar la titularidad de la Secretaría de Ayuntamiento, de la</w:t>
      </w:r>
      <w:r w:rsidRPr="00370D2E">
        <w:rPr>
          <w:rFonts w:ascii="Abadi" w:hAnsi="Abadi"/>
          <w:sz w:val="21"/>
          <w:szCs w:val="21"/>
        </w:rPr>
        <w:t xml:space="preserve"> </w:t>
      </w:r>
      <w:r w:rsidRPr="00492C8E">
        <w:rPr>
          <w:rFonts w:ascii="Abadi" w:hAnsi="Abadi"/>
          <w:b/>
          <w:bCs/>
          <w:sz w:val="21"/>
          <w:szCs w:val="21"/>
        </w:rPr>
        <w:t>Tesorería Municipal y de la Unidad de Transparencia</w:t>
      </w:r>
      <w:r w:rsidRPr="00370D2E">
        <w:rPr>
          <w:rFonts w:ascii="Abadi" w:hAnsi="Abadi"/>
          <w:sz w:val="21"/>
          <w:szCs w:val="21"/>
        </w:rPr>
        <w:t xml:space="preserve"> a propuesta del presidente municipal, </w:t>
      </w:r>
      <w:r w:rsidRPr="00492C8E">
        <w:rPr>
          <w:rFonts w:ascii="Abadi" w:hAnsi="Abadi"/>
          <w:b/>
          <w:bCs/>
          <w:sz w:val="21"/>
          <w:szCs w:val="21"/>
        </w:rPr>
        <w:t>observando el principio de</w:t>
      </w:r>
      <w:r w:rsidRPr="00370D2E">
        <w:rPr>
          <w:rFonts w:ascii="Abadi" w:hAnsi="Abadi"/>
          <w:sz w:val="21"/>
          <w:szCs w:val="21"/>
        </w:rPr>
        <w:t xml:space="preserve"> </w:t>
      </w:r>
      <w:r w:rsidRPr="00492C8E">
        <w:rPr>
          <w:rFonts w:ascii="Abadi" w:hAnsi="Abadi"/>
          <w:b/>
          <w:bCs/>
          <w:sz w:val="21"/>
          <w:szCs w:val="21"/>
        </w:rPr>
        <w:t>paridad de género y</w:t>
      </w:r>
      <w:r w:rsidRPr="00370D2E">
        <w:rPr>
          <w:rFonts w:ascii="Abadi" w:hAnsi="Abadi"/>
          <w:sz w:val="21"/>
          <w:szCs w:val="21"/>
        </w:rPr>
        <w:t xml:space="preserve"> prefiriendo en igualdad de circunstancias a </w:t>
      </w:r>
      <w:r w:rsidRPr="00492C8E">
        <w:rPr>
          <w:rFonts w:ascii="Abadi" w:hAnsi="Abadi"/>
          <w:b/>
          <w:bCs/>
          <w:sz w:val="21"/>
          <w:szCs w:val="21"/>
        </w:rPr>
        <w:t>las personas habitantes</w:t>
      </w:r>
      <w:r w:rsidRPr="00370D2E">
        <w:rPr>
          <w:rFonts w:ascii="Abadi" w:hAnsi="Abadi"/>
          <w:sz w:val="21"/>
          <w:szCs w:val="21"/>
        </w:rPr>
        <w:t xml:space="preserve"> del Municipio  </w:t>
      </w:r>
    </w:p>
    <w:p w14:paraId="44C471A7" w14:textId="77777777" w:rsidR="00677B7E" w:rsidRDefault="00677B7E" w:rsidP="00677B7E">
      <w:pPr>
        <w:pStyle w:val="Prrafodelista"/>
        <w:ind w:left="780"/>
        <w:jc w:val="both"/>
        <w:rPr>
          <w:rFonts w:ascii="Abadi" w:hAnsi="Abadi"/>
          <w:sz w:val="21"/>
          <w:szCs w:val="21"/>
        </w:rPr>
      </w:pPr>
    </w:p>
    <w:p w14:paraId="3F48DC59" w14:textId="77777777" w:rsidR="00677B7E" w:rsidRDefault="00677B7E" w:rsidP="00677B7E">
      <w:pPr>
        <w:pStyle w:val="Prrafodelista"/>
        <w:ind w:left="780"/>
        <w:jc w:val="both"/>
        <w:rPr>
          <w:rFonts w:ascii="Abadi" w:hAnsi="Abadi"/>
          <w:sz w:val="21"/>
          <w:szCs w:val="21"/>
        </w:rPr>
      </w:pPr>
      <w:r w:rsidRPr="00370D2E">
        <w:rPr>
          <w:rFonts w:ascii="Abadi" w:hAnsi="Abadi"/>
          <w:sz w:val="21"/>
          <w:szCs w:val="21"/>
        </w:rPr>
        <w:t xml:space="preserve">Remover </w:t>
      </w:r>
      <w:r w:rsidRPr="00DC098B">
        <w:rPr>
          <w:rFonts w:ascii="Abadi" w:hAnsi="Abadi"/>
          <w:b/>
          <w:bCs/>
          <w:sz w:val="21"/>
          <w:szCs w:val="21"/>
        </w:rPr>
        <w:t>a las personas servidoras públicas señaladas</w:t>
      </w:r>
      <w:r w:rsidRPr="00370D2E">
        <w:rPr>
          <w:rFonts w:ascii="Abadi" w:hAnsi="Abadi"/>
          <w:sz w:val="21"/>
          <w:szCs w:val="21"/>
        </w:rPr>
        <w:t xml:space="preserve"> en el párrafo anterior, a propuesta del presidente municipal o de la mayoría simple del Ayuntamiento, en los términos del artículo 126 de esta Ley.   </w:t>
      </w:r>
    </w:p>
    <w:p w14:paraId="693A2383" w14:textId="77777777" w:rsidR="00677B7E" w:rsidRDefault="00677B7E" w:rsidP="00677B7E">
      <w:pPr>
        <w:pStyle w:val="Prrafodelista"/>
        <w:ind w:left="780"/>
        <w:jc w:val="both"/>
        <w:rPr>
          <w:rFonts w:ascii="Abadi" w:hAnsi="Abadi"/>
          <w:sz w:val="21"/>
          <w:szCs w:val="21"/>
        </w:rPr>
      </w:pPr>
    </w:p>
    <w:p w14:paraId="767148FB" w14:textId="77777777" w:rsidR="00677B7E" w:rsidRDefault="00677B7E" w:rsidP="00677B7E">
      <w:pPr>
        <w:pStyle w:val="Prrafodelista"/>
        <w:ind w:left="780"/>
        <w:jc w:val="both"/>
        <w:rPr>
          <w:rFonts w:ascii="Abadi" w:hAnsi="Abadi"/>
          <w:sz w:val="21"/>
          <w:szCs w:val="21"/>
        </w:rPr>
      </w:pPr>
      <w:r w:rsidRPr="00DC098B">
        <w:rPr>
          <w:rFonts w:ascii="Abadi" w:hAnsi="Abadi"/>
          <w:b/>
          <w:bCs/>
          <w:sz w:val="21"/>
          <w:szCs w:val="21"/>
        </w:rPr>
        <w:t>j)</w:t>
      </w:r>
      <w:r w:rsidRPr="00370D2E">
        <w:rPr>
          <w:rFonts w:ascii="Abadi" w:hAnsi="Abadi"/>
          <w:sz w:val="21"/>
          <w:szCs w:val="21"/>
        </w:rPr>
        <w:t xml:space="preserve"> Nombrar y remover </w:t>
      </w:r>
      <w:r w:rsidRPr="00DC098B">
        <w:rPr>
          <w:rFonts w:ascii="Abadi" w:hAnsi="Abadi"/>
          <w:b/>
          <w:bCs/>
          <w:sz w:val="21"/>
          <w:szCs w:val="21"/>
        </w:rPr>
        <w:t>a la persona titular de la Contraloría Municipal</w:t>
      </w:r>
      <w:r w:rsidRPr="00370D2E">
        <w:rPr>
          <w:rFonts w:ascii="Abadi" w:hAnsi="Abadi"/>
          <w:sz w:val="21"/>
          <w:szCs w:val="21"/>
        </w:rPr>
        <w:t xml:space="preserve">, en los términos de esta Ley;  </w:t>
      </w:r>
    </w:p>
    <w:p w14:paraId="7309B0B4" w14:textId="77777777" w:rsidR="00677B7E" w:rsidRDefault="00677B7E" w:rsidP="00677B7E">
      <w:pPr>
        <w:pStyle w:val="Prrafodelista"/>
        <w:ind w:left="780"/>
        <w:jc w:val="both"/>
        <w:rPr>
          <w:rFonts w:ascii="Abadi" w:hAnsi="Abadi"/>
          <w:sz w:val="21"/>
          <w:szCs w:val="21"/>
        </w:rPr>
      </w:pPr>
    </w:p>
    <w:p w14:paraId="55CCDC68" w14:textId="77777777" w:rsidR="00677B7E" w:rsidRDefault="00677B7E" w:rsidP="00677B7E">
      <w:pPr>
        <w:pStyle w:val="Prrafodelista"/>
        <w:ind w:left="780"/>
        <w:jc w:val="both"/>
        <w:rPr>
          <w:rFonts w:ascii="Abadi" w:hAnsi="Abadi"/>
          <w:sz w:val="21"/>
          <w:szCs w:val="21"/>
        </w:rPr>
      </w:pPr>
      <w:r w:rsidRPr="002936CD">
        <w:rPr>
          <w:rFonts w:ascii="Abadi" w:hAnsi="Abadi"/>
          <w:b/>
          <w:bCs/>
          <w:sz w:val="21"/>
          <w:szCs w:val="21"/>
        </w:rPr>
        <w:t>k)</w:t>
      </w:r>
      <w:r w:rsidRPr="00370D2E">
        <w:rPr>
          <w:rFonts w:ascii="Abadi" w:hAnsi="Abadi"/>
          <w:sz w:val="21"/>
          <w:szCs w:val="21"/>
        </w:rPr>
        <w:t xml:space="preserve"> a </w:t>
      </w:r>
      <w:r w:rsidRPr="002936CD">
        <w:rPr>
          <w:rFonts w:ascii="Abadi" w:hAnsi="Abadi"/>
          <w:b/>
          <w:bCs/>
          <w:sz w:val="21"/>
          <w:szCs w:val="21"/>
        </w:rPr>
        <w:t>w)</w:t>
      </w:r>
      <w:r w:rsidRPr="00370D2E">
        <w:rPr>
          <w:rFonts w:ascii="Abadi" w:hAnsi="Abadi"/>
          <w:sz w:val="21"/>
          <w:szCs w:val="21"/>
        </w:rPr>
        <w:t xml:space="preserve"> </w:t>
      </w:r>
    </w:p>
    <w:p w14:paraId="2F3054BA" w14:textId="77777777" w:rsidR="00677B7E" w:rsidRDefault="00677B7E" w:rsidP="00677B7E">
      <w:pPr>
        <w:pStyle w:val="Prrafodelista"/>
        <w:ind w:left="780"/>
        <w:jc w:val="both"/>
        <w:rPr>
          <w:rFonts w:ascii="Abadi" w:hAnsi="Abadi"/>
          <w:sz w:val="21"/>
          <w:szCs w:val="21"/>
        </w:rPr>
      </w:pPr>
    </w:p>
    <w:p w14:paraId="6C2F4054" w14:textId="77777777" w:rsidR="00677B7E" w:rsidRDefault="00677B7E" w:rsidP="00677B7E">
      <w:pPr>
        <w:pStyle w:val="Prrafodelista"/>
        <w:ind w:left="780"/>
        <w:jc w:val="both"/>
        <w:rPr>
          <w:rFonts w:ascii="Abadi" w:hAnsi="Abadi"/>
          <w:sz w:val="21"/>
          <w:szCs w:val="21"/>
        </w:rPr>
      </w:pPr>
      <w:r w:rsidRPr="002936CD">
        <w:rPr>
          <w:rFonts w:ascii="Abadi" w:hAnsi="Abadi"/>
          <w:b/>
          <w:bCs/>
          <w:sz w:val="21"/>
          <w:szCs w:val="21"/>
        </w:rPr>
        <w:t>II</w:t>
      </w:r>
      <w:r w:rsidRPr="00370D2E">
        <w:rPr>
          <w:rFonts w:ascii="Abadi" w:hAnsi="Abadi"/>
          <w:sz w:val="21"/>
          <w:szCs w:val="21"/>
        </w:rPr>
        <w:t xml:space="preserve"> a </w:t>
      </w:r>
      <w:r w:rsidRPr="002936CD">
        <w:rPr>
          <w:rFonts w:ascii="Abadi" w:hAnsi="Abadi"/>
          <w:b/>
          <w:bCs/>
          <w:sz w:val="21"/>
          <w:szCs w:val="21"/>
        </w:rPr>
        <w:t>VI</w:t>
      </w:r>
      <w:r w:rsidRPr="00370D2E">
        <w:rPr>
          <w:rFonts w:ascii="Abadi" w:hAnsi="Abadi"/>
          <w:sz w:val="21"/>
          <w:szCs w:val="21"/>
        </w:rPr>
        <w:t xml:space="preserve">   </w:t>
      </w:r>
    </w:p>
    <w:p w14:paraId="6BC3D1C5" w14:textId="77777777" w:rsidR="00677B7E" w:rsidRDefault="00677B7E" w:rsidP="00677B7E">
      <w:pPr>
        <w:pStyle w:val="Prrafodelista"/>
        <w:ind w:left="780"/>
        <w:jc w:val="both"/>
        <w:rPr>
          <w:rFonts w:ascii="Abadi" w:hAnsi="Abadi"/>
          <w:sz w:val="21"/>
          <w:szCs w:val="21"/>
        </w:rPr>
      </w:pPr>
    </w:p>
    <w:p w14:paraId="52536B20" w14:textId="77777777" w:rsidR="00677B7E" w:rsidRDefault="00677B7E" w:rsidP="00677B7E">
      <w:pPr>
        <w:pStyle w:val="Prrafodelista"/>
        <w:ind w:left="780"/>
        <w:jc w:val="both"/>
        <w:rPr>
          <w:rFonts w:ascii="Abadi" w:hAnsi="Abadi"/>
          <w:sz w:val="21"/>
          <w:szCs w:val="21"/>
        </w:rPr>
      </w:pPr>
      <w:r w:rsidRPr="002936CD">
        <w:rPr>
          <w:rFonts w:ascii="Abadi" w:hAnsi="Abadi"/>
          <w:b/>
          <w:bCs/>
          <w:sz w:val="21"/>
          <w:szCs w:val="21"/>
        </w:rPr>
        <w:t>Artículo 77</w:t>
      </w:r>
      <w:r w:rsidRPr="00370D2E">
        <w:rPr>
          <w:rFonts w:ascii="Abadi" w:hAnsi="Abadi"/>
          <w:sz w:val="21"/>
          <w:szCs w:val="21"/>
        </w:rPr>
        <w:t xml:space="preserve">. El presidente municipal tendrá las siguientes atribuciones: </w:t>
      </w:r>
    </w:p>
    <w:p w14:paraId="65418E81" w14:textId="77777777" w:rsidR="00677B7E" w:rsidRDefault="00677B7E" w:rsidP="00677B7E">
      <w:pPr>
        <w:pStyle w:val="Prrafodelista"/>
        <w:ind w:left="780"/>
        <w:jc w:val="both"/>
        <w:rPr>
          <w:rFonts w:ascii="Abadi" w:hAnsi="Abadi"/>
          <w:sz w:val="21"/>
          <w:szCs w:val="21"/>
        </w:rPr>
      </w:pPr>
    </w:p>
    <w:p w14:paraId="1F04C993" w14:textId="77777777" w:rsidR="00677B7E" w:rsidRDefault="00677B7E" w:rsidP="00677B7E">
      <w:pPr>
        <w:pStyle w:val="Prrafodelista"/>
        <w:ind w:left="780"/>
        <w:jc w:val="both"/>
        <w:rPr>
          <w:rFonts w:ascii="Abadi" w:hAnsi="Abadi"/>
          <w:sz w:val="21"/>
          <w:szCs w:val="21"/>
        </w:rPr>
      </w:pPr>
      <w:r w:rsidRPr="0060613B">
        <w:rPr>
          <w:rFonts w:ascii="Abadi" w:hAnsi="Abadi"/>
          <w:b/>
          <w:bCs/>
          <w:sz w:val="21"/>
          <w:szCs w:val="21"/>
        </w:rPr>
        <w:t>I</w:t>
      </w:r>
      <w:r w:rsidRPr="00370D2E">
        <w:rPr>
          <w:rFonts w:ascii="Abadi" w:hAnsi="Abadi"/>
          <w:sz w:val="21"/>
          <w:szCs w:val="21"/>
        </w:rPr>
        <w:t xml:space="preserve"> a </w:t>
      </w:r>
      <w:r w:rsidRPr="0060613B">
        <w:rPr>
          <w:rFonts w:ascii="Abadi" w:hAnsi="Abadi"/>
          <w:b/>
          <w:bCs/>
          <w:sz w:val="21"/>
          <w:szCs w:val="21"/>
        </w:rPr>
        <w:t>VIII</w:t>
      </w:r>
      <w:r w:rsidRPr="00370D2E">
        <w:rPr>
          <w:rFonts w:ascii="Abadi" w:hAnsi="Abadi"/>
          <w:sz w:val="21"/>
          <w:szCs w:val="21"/>
        </w:rPr>
        <w:t xml:space="preserve"> </w:t>
      </w:r>
    </w:p>
    <w:p w14:paraId="15B5D6A9" w14:textId="77777777" w:rsidR="00677B7E" w:rsidRDefault="00677B7E" w:rsidP="00677B7E">
      <w:pPr>
        <w:pStyle w:val="Prrafodelista"/>
        <w:ind w:left="780"/>
        <w:jc w:val="both"/>
        <w:rPr>
          <w:rFonts w:ascii="Abadi" w:hAnsi="Abadi"/>
          <w:sz w:val="21"/>
          <w:szCs w:val="21"/>
        </w:rPr>
      </w:pPr>
    </w:p>
    <w:p w14:paraId="7BF8C517" w14:textId="77777777" w:rsidR="00677B7E" w:rsidRPr="00521046" w:rsidRDefault="00677B7E" w:rsidP="00677B7E">
      <w:pPr>
        <w:pStyle w:val="Prrafodelista"/>
        <w:ind w:left="780"/>
        <w:jc w:val="both"/>
        <w:rPr>
          <w:rFonts w:ascii="Abadi" w:hAnsi="Abadi"/>
          <w:b/>
          <w:bCs/>
          <w:sz w:val="21"/>
          <w:szCs w:val="21"/>
        </w:rPr>
      </w:pPr>
      <w:r w:rsidRPr="0060613B">
        <w:rPr>
          <w:rFonts w:ascii="Abadi" w:hAnsi="Abadi"/>
          <w:b/>
          <w:bCs/>
          <w:sz w:val="21"/>
          <w:szCs w:val="21"/>
        </w:rPr>
        <w:t>XIV</w:t>
      </w:r>
      <w:r w:rsidRPr="00370D2E">
        <w:rPr>
          <w:rFonts w:ascii="Abadi" w:hAnsi="Abadi"/>
          <w:sz w:val="21"/>
          <w:szCs w:val="21"/>
        </w:rPr>
        <w:t>.</w:t>
      </w:r>
      <w:r>
        <w:rPr>
          <w:rFonts w:ascii="Abadi" w:hAnsi="Abadi"/>
          <w:sz w:val="21"/>
          <w:szCs w:val="21"/>
        </w:rPr>
        <w:t xml:space="preserve"> </w:t>
      </w:r>
      <w:r w:rsidRPr="00370D2E">
        <w:rPr>
          <w:rFonts w:ascii="Abadi" w:hAnsi="Abadi"/>
          <w:sz w:val="21"/>
          <w:szCs w:val="21"/>
        </w:rPr>
        <w:t xml:space="preserve">Proponer al Ayuntamiento las personas que deban ocupar la titularidad de la Secretaría de Ayuntamiento, de la Tesorería Municipal y de la Unidad de Transparencia </w:t>
      </w:r>
      <w:r w:rsidRPr="00521046">
        <w:rPr>
          <w:rFonts w:ascii="Abadi" w:hAnsi="Abadi"/>
          <w:b/>
          <w:bCs/>
          <w:sz w:val="21"/>
          <w:szCs w:val="21"/>
        </w:rPr>
        <w:t xml:space="preserve">observando el principio de paridad de género; </w:t>
      </w:r>
    </w:p>
    <w:p w14:paraId="11AE104C" w14:textId="77777777" w:rsidR="00677B7E" w:rsidRDefault="00677B7E" w:rsidP="00677B7E">
      <w:pPr>
        <w:pStyle w:val="Prrafodelista"/>
        <w:ind w:left="780"/>
        <w:jc w:val="both"/>
        <w:rPr>
          <w:rFonts w:ascii="Abadi" w:hAnsi="Abadi"/>
          <w:sz w:val="21"/>
          <w:szCs w:val="21"/>
        </w:rPr>
      </w:pPr>
    </w:p>
    <w:p w14:paraId="5DB400B6" w14:textId="77777777" w:rsidR="00677B7E" w:rsidRDefault="00677B7E" w:rsidP="00677B7E">
      <w:pPr>
        <w:pStyle w:val="Prrafodelista"/>
        <w:ind w:left="780"/>
        <w:jc w:val="both"/>
        <w:rPr>
          <w:rFonts w:ascii="Abadi" w:hAnsi="Abadi"/>
          <w:sz w:val="21"/>
          <w:szCs w:val="21"/>
        </w:rPr>
      </w:pPr>
      <w:r w:rsidRPr="007329DA">
        <w:rPr>
          <w:rFonts w:ascii="Abadi" w:hAnsi="Abadi"/>
          <w:b/>
          <w:bCs/>
          <w:sz w:val="21"/>
          <w:szCs w:val="21"/>
        </w:rPr>
        <w:t>XV</w:t>
      </w:r>
      <w:r w:rsidRPr="00370D2E">
        <w:rPr>
          <w:rFonts w:ascii="Abadi" w:hAnsi="Abadi"/>
          <w:sz w:val="21"/>
          <w:szCs w:val="21"/>
        </w:rPr>
        <w:t xml:space="preserve"> a </w:t>
      </w:r>
      <w:r w:rsidRPr="007329DA">
        <w:rPr>
          <w:rFonts w:ascii="Abadi" w:hAnsi="Abadi"/>
          <w:b/>
          <w:bCs/>
          <w:sz w:val="21"/>
          <w:szCs w:val="21"/>
        </w:rPr>
        <w:t xml:space="preserve">XXVI </w:t>
      </w:r>
      <w:r w:rsidRPr="00370D2E">
        <w:rPr>
          <w:rFonts w:ascii="Abadi" w:hAnsi="Abadi"/>
          <w:sz w:val="21"/>
          <w:szCs w:val="21"/>
        </w:rPr>
        <w:t xml:space="preserve">   </w:t>
      </w:r>
    </w:p>
    <w:p w14:paraId="5D8C1C6F" w14:textId="77777777" w:rsidR="00677B7E" w:rsidRDefault="00677B7E" w:rsidP="00677B7E">
      <w:pPr>
        <w:pStyle w:val="Prrafodelista"/>
        <w:ind w:left="780"/>
        <w:jc w:val="both"/>
        <w:rPr>
          <w:rFonts w:ascii="Abadi" w:hAnsi="Abadi"/>
          <w:sz w:val="21"/>
          <w:szCs w:val="21"/>
        </w:rPr>
      </w:pPr>
    </w:p>
    <w:p w14:paraId="632BB1C1" w14:textId="77777777" w:rsidR="00677B7E" w:rsidRDefault="00677B7E" w:rsidP="00677B7E">
      <w:pPr>
        <w:pStyle w:val="Prrafodelista"/>
        <w:ind w:left="780"/>
        <w:jc w:val="both"/>
        <w:rPr>
          <w:rFonts w:ascii="Abadi" w:hAnsi="Abadi"/>
          <w:sz w:val="21"/>
          <w:szCs w:val="21"/>
        </w:rPr>
      </w:pPr>
      <w:r w:rsidRPr="007329DA">
        <w:rPr>
          <w:rFonts w:ascii="Abadi" w:hAnsi="Abadi"/>
          <w:b/>
          <w:bCs/>
          <w:sz w:val="21"/>
          <w:szCs w:val="21"/>
        </w:rPr>
        <w:t>Artículo 80</w:t>
      </w:r>
      <w:r w:rsidRPr="00370D2E">
        <w:rPr>
          <w:rFonts w:ascii="Abadi" w:hAnsi="Abadi"/>
          <w:sz w:val="21"/>
          <w:szCs w:val="21"/>
        </w:rPr>
        <w:t xml:space="preserve">. El Ayuntamiento…  </w:t>
      </w:r>
    </w:p>
    <w:p w14:paraId="1E4F1461" w14:textId="77777777" w:rsidR="00677B7E" w:rsidRDefault="00677B7E" w:rsidP="00677B7E">
      <w:pPr>
        <w:pStyle w:val="Prrafodelista"/>
        <w:ind w:left="780"/>
        <w:jc w:val="both"/>
        <w:rPr>
          <w:rFonts w:ascii="Abadi" w:hAnsi="Abadi"/>
          <w:sz w:val="21"/>
          <w:szCs w:val="21"/>
        </w:rPr>
      </w:pPr>
    </w:p>
    <w:p w14:paraId="5ACD89DB" w14:textId="77777777" w:rsidR="00677B7E" w:rsidRDefault="00677B7E" w:rsidP="00677B7E">
      <w:pPr>
        <w:pStyle w:val="Prrafodelista"/>
        <w:ind w:left="780"/>
        <w:jc w:val="both"/>
        <w:rPr>
          <w:rFonts w:ascii="Abadi" w:hAnsi="Abadi"/>
          <w:sz w:val="21"/>
          <w:szCs w:val="21"/>
        </w:rPr>
      </w:pPr>
      <w:r w:rsidRPr="00370D2E">
        <w:rPr>
          <w:rFonts w:ascii="Abadi" w:hAnsi="Abadi"/>
          <w:sz w:val="21"/>
          <w:szCs w:val="21"/>
        </w:rPr>
        <w:t xml:space="preserve">Para formular la propuesta el presidente municipal tomará en cuenta el conocimiento, profesión y vocación de </w:t>
      </w:r>
      <w:r w:rsidRPr="00521046">
        <w:rPr>
          <w:rFonts w:ascii="Abadi" w:hAnsi="Abadi"/>
          <w:b/>
          <w:bCs/>
          <w:sz w:val="21"/>
          <w:szCs w:val="21"/>
        </w:rPr>
        <w:t>las personas integrantes</w:t>
      </w:r>
      <w:r w:rsidRPr="00370D2E">
        <w:rPr>
          <w:rFonts w:ascii="Abadi" w:hAnsi="Abadi"/>
          <w:sz w:val="21"/>
          <w:szCs w:val="21"/>
        </w:rPr>
        <w:t xml:space="preserve"> del Ayuntamiento, escuchando su opinión.     </w:t>
      </w:r>
    </w:p>
    <w:p w14:paraId="1A2E6E61" w14:textId="77777777" w:rsidR="00677B7E" w:rsidRDefault="00677B7E" w:rsidP="00677B7E">
      <w:pPr>
        <w:pStyle w:val="Prrafodelista"/>
        <w:ind w:left="780"/>
        <w:jc w:val="both"/>
        <w:rPr>
          <w:rFonts w:ascii="Abadi" w:hAnsi="Abadi"/>
          <w:sz w:val="21"/>
          <w:szCs w:val="21"/>
        </w:rPr>
      </w:pPr>
    </w:p>
    <w:p w14:paraId="024D2E39" w14:textId="77777777" w:rsidR="00677B7E" w:rsidRDefault="00677B7E" w:rsidP="00677B7E">
      <w:pPr>
        <w:pStyle w:val="Prrafodelista"/>
        <w:ind w:left="780"/>
        <w:jc w:val="both"/>
        <w:rPr>
          <w:rFonts w:ascii="Abadi" w:hAnsi="Abadi"/>
          <w:sz w:val="21"/>
          <w:szCs w:val="21"/>
        </w:rPr>
      </w:pPr>
      <w:r w:rsidRPr="00370D2E">
        <w:rPr>
          <w:rFonts w:ascii="Abadi" w:hAnsi="Abadi"/>
          <w:sz w:val="21"/>
          <w:szCs w:val="21"/>
        </w:rPr>
        <w:t xml:space="preserve">Las comisiones se </w:t>
      </w:r>
      <w:r w:rsidRPr="00521046">
        <w:rPr>
          <w:rFonts w:ascii="Abadi" w:hAnsi="Abadi"/>
          <w:b/>
          <w:bCs/>
          <w:sz w:val="21"/>
          <w:szCs w:val="21"/>
        </w:rPr>
        <w:t xml:space="preserve">conformarán </w:t>
      </w:r>
      <w:r w:rsidRPr="00370D2E">
        <w:rPr>
          <w:rFonts w:ascii="Abadi" w:hAnsi="Abadi"/>
          <w:sz w:val="21"/>
          <w:szCs w:val="21"/>
        </w:rPr>
        <w:t xml:space="preserve">de manera colegiada, por el número de </w:t>
      </w:r>
      <w:r w:rsidRPr="00B34DBF">
        <w:rPr>
          <w:rFonts w:ascii="Abadi" w:hAnsi="Abadi"/>
          <w:b/>
          <w:bCs/>
          <w:sz w:val="21"/>
          <w:szCs w:val="21"/>
        </w:rPr>
        <w:t>integrantes</w:t>
      </w:r>
      <w:r w:rsidRPr="00370D2E">
        <w:rPr>
          <w:rFonts w:ascii="Abadi" w:hAnsi="Abadi"/>
          <w:sz w:val="21"/>
          <w:szCs w:val="21"/>
        </w:rPr>
        <w:t xml:space="preserve"> que establezca el </w:t>
      </w:r>
      <w:r w:rsidRPr="00370D2E">
        <w:rPr>
          <w:rFonts w:ascii="Abadi" w:hAnsi="Abadi"/>
          <w:sz w:val="21"/>
          <w:szCs w:val="21"/>
        </w:rPr>
        <w:t xml:space="preserve">reglamento interior o el acuerdo de ayuntamiento, </w:t>
      </w:r>
      <w:r w:rsidRPr="00524A07">
        <w:rPr>
          <w:rFonts w:ascii="Abadi" w:hAnsi="Abadi"/>
          <w:b/>
          <w:bCs/>
          <w:sz w:val="21"/>
          <w:szCs w:val="21"/>
        </w:rPr>
        <w:t>observando el principio</w:t>
      </w:r>
      <w:r w:rsidRPr="00370D2E">
        <w:rPr>
          <w:rFonts w:ascii="Abadi" w:hAnsi="Abadi"/>
          <w:sz w:val="21"/>
          <w:szCs w:val="21"/>
        </w:rPr>
        <w:t xml:space="preserve"> </w:t>
      </w:r>
      <w:r w:rsidRPr="00524A07">
        <w:rPr>
          <w:rFonts w:ascii="Abadi" w:hAnsi="Abadi"/>
          <w:b/>
          <w:bCs/>
          <w:sz w:val="21"/>
          <w:szCs w:val="21"/>
        </w:rPr>
        <w:t xml:space="preserve">de paridad de género y </w:t>
      </w:r>
      <w:r w:rsidRPr="00370D2E">
        <w:rPr>
          <w:rFonts w:ascii="Abadi" w:hAnsi="Abadi"/>
          <w:sz w:val="21"/>
          <w:szCs w:val="21"/>
        </w:rPr>
        <w:t xml:space="preserve">procurando que reflejen pluralidad y proporcionalidad; en cada comisión habrá </w:t>
      </w:r>
      <w:r w:rsidRPr="00524A07">
        <w:rPr>
          <w:rFonts w:ascii="Abadi" w:hAnsi="Abadi"/>
          <w:b/>
          <w:bCs/>
          <w:sz w:val="21"/>
          <w:szCs w:val="21"/>
        </w:rPr>
        <w:t>una Presidencia y una Secretaría</w:t>
      </w:r>
      <w:r w:rsidRPr="00370D2E">
        <w:rPr>
          <w:rFonts w:ascii="Abadi" w:hAnsi="Abadi"/>
          <w:sz w:val="21"/>
          <w:szCs w:val="21"/>
        </w:rPr>
        <w:t xml:space="preserve">, asimismo, el Ayuntamiento podrá acordar la designación de </w:t>
      </w:r>
      <w:r w:rsidRPr="00524A07">
        <w:rPr>
          <w:rFonts w:ascii="Abadi" w:hAnsi="Abadi"/>
          <w:b/>
          <w:bCs/>
          <w:sz w:val="21"/>
          <w:szCs w:val="21"/>
        </w:rPr>
        <w:t>personas comisionadas</w:t>
      </w:r>
      <w:r w:rsidRPr="00370D2E">
        <w:rPr>
          <w:rFonts w:ascii="Abadi" w:hAnsi="Abadi"/>
          <w:sz w:val="21"/>
          <w:szCs w:val="21"/>
        </w:rPr>
        <w:t xml:space="preserve"> para la atención de los asuntos de competencia municipal.  </w:t>
      </w:r>
    </w:p>
    <w:p w14:paraId="65F2EFE9" w14:textId="77777777" w:rsidR="00677B7E" w:rsidRDefault="00677B7E" w:rsidP="00677B7E">
      <w:pPr>
        <w:pStyle w:val="Prrafodelista"/>
        <w:ind w:left="780"/>
        <w:jc w:val="both"/>
        <w:rPr>
          <w:rFonts w:ascii="Abadi" w:hAnsi="Abadi"/>
          <w:sz w:val="21"/>
          <w:szCs w:val="21"/>
        </w:rPr>
      </w:pPr>
    </w:p>
    <w:p w14:paraId="33EAA81F" w14:textId="77777777" w:rsidR="00677B7E" w:rsidRDefault="00677B7E" w:rsidP="00677B7E">
      <w:pPr>
        <w:pStyle w:val="Prrafodelista"/>
        <w:ind w:left="780"/>
        <w:jc w:val="both"/>
        <w:rPr>
          <w:rFonts w:ascii="Abadi" w:hAnsi="Abadi"/>
          <w:sz w:val="21"/>
          <w:szCs w:val="21"/>
        </w:rPr>
      </w:pPr>
      <w:r w:rsidRPr="00370D2E">
        <w:rPr>
          <w:rFonts w:ascii="Abadi" w:hAnsi="Abadi"/>
          <w:sz w:val="21"/>
          <w:szCs w:val="21"/>
        </w:rPr>
        <w:t xml:space="preserve">La comisión de hacienda…    </w:t>
      </w:r>
    </w:p>
    <w:p w14:paraId="4C407C03" w14:textId="77777777" w:rsidR="00677B7E" w:rsidRDefault="00677B7E" w:rsidP="00677B7E">
      <w:pPr>
        <w:pStyle w:val="Prrafodelista"/>
        <w:ind w:left="780"/>
        <w:jc w:val="both"/>
        <w:rPr>
          <w:rFonts w:ascii="Abadi" w:hAnsi="Abadi"/>
          <w:sz w:val="21"/>
          <w:szCs w:val="21"/>
        </w:rPr>
      </w:pPr>
    </w:p>
    <w:p w14:paraId="60E25541" w14:textId="77777777" w:rsidR="00677B7E" w:rsidRDefault="00677B7E" w:rsidP="00677B7E">
      <w:pPr>
        <w:pStyle w:val="Prrafodelista"/>
        <w:ind w:left="780"/>
        <w:jc w:val="both"/>
        <w:rPr>
          <w:rFonts w:ascii="Abadi" w:hAnsi="Abadi"/>
          <w:sz w:val="21"/>
          <w:szCs w:val="21"/>
        </w:rPr>
      </w:pPr>
      <w:r w:rsidRPr="00524A07">
        <w:rPr>
          <w:rFonts w:ascii="Abadi" w:hAnsi="Abadi"/>
          <w:b/>
          <w:bCs/>
          <w:sz w:val="21"/>
          <w:szCs w:val="21"/>
        </w:rPr>
        <w:t>Artículo 112</w:t>
      </w:r>
      <w:r w:rsidRPr="00370D2E">
        <w:rPr>
          <w:rFonts w:ascii="Abadi" w:hAnsi="Abadi"/>
          <w:sz w:val="21"/>
          <w:szCs w:val="21"/>
        </w:rPr>
        <w:t xml:space="preserve">. Los Consejos de Planeación de Desarrollo Municipales se integrarán observando </w:t>
      </w:r>
      <w:r w:rsidRPr="00524A07">
        <w:rPr>
          <w:rFonts w:ascii="Abadi" w:hAnsi="Abadi"/>
          <w:b/>
          <w:bCs/>
          <w:sz w:val="21"/>
          <w:szCs w:val="21"/>
        </w:rPr>
        <w:t>el principio de paridad de género</w:t>
      </w:r>
      <w:r w:rsidRPr="00370D2E">
        <w:rPr>
          <w:rFonts w:ascii="Abadi" w:hAnsi="Abadi"/>
          <w:sz w:val="21"/>
          <w:szCs w:val="21"/>
        </w:rPr>
        <w:t xml:space="preserve"> con la participación mayoritaria de representantes de la sociedad organizada del Municipio.    </w:t>
      </w:r>
    </w:p>
    <w:p w14:paraId="4811521A" w14:textId="77777777" w:rsidR="00EF0726" w:rsidRDefault="00EF0726" w:rsidP="00677B7E">
      <w:pPr>
        <w:pStyle w:val="Prrafodelista"/>
        <w:ind w:left="780"/>
        <w:jc w:val="both"/>
        <w:rPr>
          <w:rFonts w:ascii="Abadi" w:hAnsi="Abadi"/>
          <w:b/>
          <w:bCs/>
          <w:sz w:val="21"/>
          <w:szCs w:val="21"/>
        </w:rPr>
      </w:pPr>
    </w:p>
    <w:p w14:paraId="65ED9A78" w14:textId="6678EC62" w:rsidR="00677B7E" w:rsidRDefault="00677B7E" w:rsidP="00677B7E">
      <w:pPr>
        <w:pStyle w:val="Prrafodelista"/>
        <w:ind w:left="780"/>
        <w:jc w:val="both"/>
        <w:rPr>
          <w:rFonts w:ascii="Abadi" w:hAnsi="Abadi"/>
          <w:sz w:val="21"/>
          <w:szCs w:val="21"/>
        </w:rPr>
      </w:pPr>
      <w:r w:rsidRPr="00524A07">
        <w:rPr>
          <w:rFonts w:ascii="Abadi" w:hAnsi="Abadi"/>
          <w:b/>
          <w:bCs/>
          <w:sz w:val="21"/>
          <w:szCs w:val="21"/>
        </w:rPr>
        <w:t>Artículo 113.</w:t>
      </w:r>
      <w:r w:rsidRPr="00370D2E">
        <w:rPr>
          <w:rFonts w:ascii="Abadi" w:hAnsi="Abadi"/>
          <w:sz w:val="21"/>
          <w:szCs w:val="21"/>
        </w:rPr>
        <w:t xml:space="preserve"> Los Consejos de Planeación de Desarrollo Municipales se integrarán por: </w:t>
      </w:r>
    </w:p>
    <w:p w14:paraId="674BD119" w14:textId="77777777" w:rsidR="00677B7E" w:rsidRDefault="00677B7E" w:rsidP="00677B7E">
      <w:pPr>
        <w:pStyle w:val="Prrafodelista"/>
        <w:ind w:left="780"/>
        <w:jc w:val="both"/>
        <w:rPr>
          <w:rFonts w:ascii="Abadi" w:hAnsi="Abadi"/>
          <w:sz w:val="21"/>
          <w:szCs w:val="21"/>
        </w:rPr>
      </w:pPr>
    </w:p>
    <w:p w14:paraId="62A18E50" w14:textId="77777777" w:rsidR="00677B7E" w:rsidRDefault="00677B7E" w:rsidP="00677B7E">
      <w:pPr>
        <w:pStyle w:val="Prrafodelista"/>
        <w:numPr>
          <w:ilvl w:val="0"/>
          <w:numId w:val="29"/>
        </w:numPr>
        <w:spacing w:after="160" w:line="259" w:lineRule="auto"/>
        <w:contextualSpacing/>
        <w:jc w:val="both"/>
        <w:rPr>
          <w:rFonts w:ascii="Abadi" w:hAnsi="Abadi"/>
          <w:sz w:val="21"/>
          <w:szCs w:val="21"/>
        </w:rPr>
      </w:pPr>
      <w:r w:rsidRPr="00524A07">
        <w:rPr>
          <w:rFonts w:ascii="Abadi" w:hAnsi="Abadi"/>
          <w:b/>
          <w:bCs/>
          <w:sz w:val="21"/>
          <w:szCs w:val="21"/>
        </w:rPr>
        <w:t>La persona Presidenta</w:t>
      </w:r>
      <w:r w:rsidRPr="00370D2E">
        <w:rPr>
          <w:rFonts w:ascii="Abadi" w:hAnsi="Abadi"/>
          <w:sz w:val="21"/>
          <w:szCs w:val="21"/>
        </w:rPr>
        <w:t xml:space="preserve"> Municipal, quien lo presidirá; </w:t>
      </w:r>
    </w:p>
    <w:p w14:paraId="6ADD71EB" w14:textId="77777777" w:rsidR="00677B7E" w:rsidRDefault="00677B7E" w:rsidP="00677B7E">
      <w:pPr>
        <w:pStyle w:val="Prrafodelista"/>
        <w:numPr>
          <w:ilvl w:val="0"/>
          <w:numId w:val="29"/>
        </w:numPr>
        <w:spacing w:after="160" w:line="259" w:lineRule="auto"/>
        <w:contextualSpacing/>
        <w:jc w:val="both"/>
        <w:rPr>
          <w:rFonts w:ascii="Abadi" w:hAnsi="Abadi"/>
          <w:sz w:val="21"/>
          <w:szCs w:val="21"/>
        </w:rPr>
      </w:pPr>
      <w:r w:rsidRPr="00314963">
        <w:rPr>
          <w:rFonts w:ascii="Abadi" w:hAnsi="Abadi"/>
          <w:b/>
          <w:bCs/>
          <w:sz w:val="21"/>
          <w:szCs w:val="21"/>
        </w:rPr>
        <w:t>La persona titular</w:t>
      </w:r>
      <w:r w:rsidRPr="00370D2E">
        <w:rPr>
          <w:rFonts w:ascii="Abadi" w:hAnsi="Abadi"/>
          <w:sz w:val="21"/>
          <w:szCs w:val="21"/>
        </w:rPr>
        <w:t xml:space="preserve"> del organismo municipal de planeación, quien ocupará la Secretaría Técnica; </w:t>
      </w:r>
    </w:p>
    <w:p w14:paraId="4C6842ED" w14:textId="77777777" w:rsidR="00677B7E" w:rsidRDefault="00677B7E" w:rsidP="00677B7E">
      <w:pPr>
        <w:pStyle w:val="Prrafodelista"/>
        <w:numPr>
          <w:ilvl w:val="0"/>
          <w:numId w:val="29"/>
        </w:numPr>
        <w:spacing w:after="160" w:line="259" w:lineRule="auto"/>
        <w:contextualSpacing/>
        <w:jc w:val="both"/>
        <w:rPr>
          <w:rFonts w:ascii="Abadi" w:hAnsi="Abadi"/>
          <w:sz w:val="21"/>
          <w:szCs w:val="21"/>
        </w:rPr>
      </w:pPr>
      <w:r w:rsidRPr="00314963">
        <w:rPr>
          <w:rFonts w:ascii="Abadi" w:hAnsi="Abadi"/>
          <w:b/>
          <w:bCs/>
          <w:sz w:val="21"/>
          <w:szCs w:val="21"/>
        </w:rPr>
        <w:t>La persona Presidenta</w:t>
      </w:r>
      <w:r w:rsidRPr="00370D2E">
        <w:rPr>
          <w:rFonts w:ascii="Abadi" w:hAnsi="Abadi"/>
          <w:sz w:val="21"/>
          <w:szCs w:val="21"/>
        </w:rPr>
        <w:t xml:space="preserve"> de la comisión anual de Medio Ambiente;  </w:t>
      </w:r>
    </w:p>
    <w:p w14:paraId="56DC4FFE" w14:textId="77777777" w:rsidR="00677B7E" w:rsidRDefault="00677B7E" w:rsidP="00677B7E">
      <w:pPr>
        <w:pStyle w:val="Prrafodelista"/>
        <w:numPr>
          <w:ilvl w:val="0"/>
          <w:numId w:val="29"/>
        </w:numPr>
        <w:spacing w:after="160" w:line="259" w:lineRule="auto"/>
        <w:contextualSpacing/>
        <w:jc w:val="both"/>
        <w:rPr>
          <w:rFonts w:ascii="Abadi" w:hAnsi="Abadi"/>
          <w:sz w:val="21"/>
          <w:szCs w:val="21"/>
        </w:rPr>
      </w:pPr>
      <w:r w:rsidRPr="00370D2E">
        <w:rPr>
          <w:rFonts w:ascii="Abadi" w:hAnsi="Abadi"/>
          <w:sz w:val="21"/>
          <w:szCs w:val="21"/>
        </w:rPr>
        <w:t xml:space="preserve">Representantes de la sociedad organizada que participen en las comisiones de trabajo, cuyas designaciones se realizarán en los términos que señale el reglamento; </w:t>
      </w:r>
    </w:p>
    <w:p w14:paraId="5CF5B191" w14:textId="77777777" w:rsidR="00677B7E" w:rsidRDefault="00677B7E" w:rsidP="00677B7E">
      <w:pPr>
        <w:pStyle w:val="Prrafodelista"/>
        <w:numPr>
          <w:ilvl w:val="0"/>
          <w:numId w:val="29"/>
        </w:numPr>
        <w:spacing w:after="160" w:line="259" w:lineRule="auto"/>
        <w:contextualSpacing/>
        <w:jc w:val="both"/>
        <w:rPr>
          <w:rFonts w:ascii="Abadi" w:hAnsi="Abadi"/>
          <w:sz w:val="21"/>
          <w:szCs w:val="21"/>
        </w:rPr>
      </w:pPr>
      <w:r w:rsidRPr="00A70719">
        <w:rPr>
          <w:rFonts w:ascii="Abadi" w:hAnsi="Abadi"/>
          <w:b/>
          <w:bCs/>
          <w:sz w:val="21"/>
          <w:szCs w:val="21"/>
        </w:rPr>
        <w:t>Las personas funcionarias</w:t>
      </w:r>
      <w:r w:rsidRPr="00370D2E">
        <w:rPr>
          <w:rFonts w:ascii="Abadi" w:hAnsi="Abadi"/>
          <w:sz w:val="21"/>
          <w:szCs w:val="21"/>
        </w:rPr>
        <w:t xml:space="preserve"> municipales que acuerde el Ayuntamiento; y </w:t>
      </w:r>
    </w:p>
    <w:p w14:paraId="58A9EFE6" w14:textId="77777777" w:rsidR="00677B7E" w:rsidRDefault="00677B7E" w:rsidP="00677B7E">
      <w:pPr>
        <w:pStyle w:val="Prrafodelista"/>
        <w:numPr>
          <w:ilvl w:val="0"/>
          <w:numId w:val="29"/>
        </w:numPr>
        <w:spacing w:after="160" w:line="259" w:lineRule="auto"/>
        <w:contextualSpacing/>
        <w:jc w:val="both"/>
        <w:rPr>
          <w:rFonts w:ascii="Abadi" w:hAnsi="Abadi"/>
          <w:sz w:val="21"/>
          <w:szCs w:val="21"/>
        </w:rPr>
      </w:pPr>
      <w:r w:rsidRPr="00A70719">
        <w:rPr>
          <w:rFonts w:ascii="Abadi" w:hAnsi="Abadi"/>
          <w:b/>
          <w:bCs/>
          <w:sz w:val="21"/>
          <w:szCs w:val="21"/>
        </w:rPr>
        <w:t>Las personas funcionarias</w:t>
      </w:r>
      <w:r w:rsidRPr="00370D2E">
        <w:rPr>
          <w:rFonts w:ascii="Abadi" w:hAnsi="Abadi"/>
          <w:sz w:val="21"/>
          <w:szCs w:val="21"/>
        </w:rPr>
        <w:t xml:space="preserve"> estatales que el Ayuntamiento invite a participar.  </w:t>
      </w:r>
    </w:p>
    <w:p w14:paraId="0A653DCC" w14:textId="77777777" w:rsidR="00677B7E" w:rsidRDefault="00677B7E" w:rsidP="00677B7E">
      <w:pPr>
        <w:pStyle w:val="Prrafodelista"/>
        <w:ind w:left="1560"/>
        <w:jc w:val="both"/>
        <w:rPr>
          <w:rFonts w:ascii="Abadi" w:hAnsi="Abadi"/>
          <w:b/>
          <w:bCs/>
          <w:sz w:val="21"/>
          <w:szCs w:val="21"/>
        </w:rPr>
      </w:pPr>
    </w:p>
    <w:p w14:paraId="69007C85" w14:textId="77777777" w:rsidR="00677B7E" w:rsidRPr="00950137" w:rsidRDefault="00677B7E" w:rsidP="00677B7E">
      <w:pPr>
        <w:pStyle w:val="Prrafodelista"/>
        <w:ind w:left="1560"/>
        <w:jc w:val="both"/>
        <w:rPr>
          <w:rFonts w:ascii="Abadi" w:hAnsi="Abadi"/>
          <w:b/>
          <w:bCs/>
          <w:sz w:val="21"/>
          <w:szCs w:val="21"/>
        </w:rPr>
      </w:pPr>
      <w:r w:rsidRPr="00950137">
        <w:rPr>
          <w:rFonts w:ascii="Abadi" w:hAnsi="Abadi"/>
          <w:b/>
          <w:bCs/>
          <w:sz w:val="21"/>
          <w:szCs w:val="21"/>
        </w:rPr>
        <w:t xml:space="preserve">Las personas referidas en las fracciones IV, V y VI deberán ser designadas observando </w:t>
      </w:r>
      <w:r w:rsidRPr="00950137">
        <w:rPr>
          <w:rFonts w:ascii="Abadi" w:hAnsi="Abadi"/>
          <w:b/>
          <w:bCs/>
          <w:sz w:val="21"/>
          <w:szCs w:val="21"/>
        </w:rPr>
        <w:lastRenderedPageBreak/>
        <w:t xml:space="preserve">el principio de paridad de género.  </w:t>
      </w:r>
    </w:p>
    <w:p w14:paraId="52B5EA1C" w14:textId="77777777" w:rsidR="00677B7E" w:rsidRDefault="00677B7E" w:rsidP="00677B7E">
      <w:pPr>
        <w:pStyle w:val="Prrafodelista"/>
        <w:ind w:left="1560"/>
        <w:jc w:val="both"/>
        <w:rPr>
          <w:rFonts w:ascii="Abadi" w:hAnsi="Abadi"/>
          <w:sz w:val="21"/>
          <w:szCs w:val="21"/>
        </w:rPr>
      </w:pPr>
    </w:p>
    <w:p w14:paraId="27E30E50" w14:textId="77777777" w:rsidR="00677B7E" w:rsidRDefault="00677B7E" w:rsidP="00677B7E">
      <w:pPr>
        <w:pStyle w:val="Prrafodelista"/>
        <w:ind w:left="1560"/>
        <w:jc w:val="both"/>
        <w:rPr>
          <w:rFonts w:ascii="Abadi" w:hAnsi="Abadi"/>
          <w:sz w:val="21"/>
          <w:szCs w:val="21"/>
        </w:rPr>
      </w:pPr>
      <w:r w:rsidRPr="00370D2E">
        <w:rPr>
          <w:rFonts w:ascii="Abadi" w:hAnsi="Abadi"/>
          <w:sz w:val="21"/>
          <w:szCs w:val="21"/>
        </w:rPr>
        <w:t xml:space="preserve">En los municipios donde se encuentren asentados pueblos y comunidades indígenas se integrará al Consejo de Planeación de Desarrollo Municipal, </w:t>
      </w:r>
      <w:r w:rsidRPr="00950137">
        <w:rPr>
          <w:rFonts w:ascii="Abadi" w:hAnsi="Abadi"/>
          <w:b/>
          <w:bCs/>
          <w:sz w:val="21"/>
          <w:szCs w:val="21"/>
        </w:rPr>
        <w:t>una persona</w:t>
      </w:r>
      <w:r w:rsidRPr="00370D2E">
        <w:rPr>
          <w:rFonts w:ascii="Abadi" w:hAnsi="Abadi"/>
          <w:sz w:val="21"/>
          <w:szCs w:val="21"/>
        </w:rPr>
        <w:t xml:space="preserve"> representante que haya sido designada por el pueblo o comunidad indígena, ante el Ayuntamiento.  </w:t>
      </w:r>
    </w:p>
    <w:p w14:paraId="4CA8DA3E" w14:textId="77777777" w:rsidR="00677B7E" w:rsidRDefault="00677B7E" w:rsidP="00677B7E">
      <w:pPr>
        <w:pStyle w:val="Prrafodelista"/>
        <w:ind w:left="1560"/>
        <w:jc w:val="both"/>
        <w:rPr>
          <w:rFonts w:ascii="Abadi" w:hAnsi="Abadi"/>
          <w:sz w:val="21"/>
          <w:szCs w:val="21"/>
        </w:rPr>
      </w:pPr>
    </w:p>
    <w:p w14:paraId="04C96BCC" w14:textId="77777777" w:rsidR="00677B7E" w:rsidRDefault="00677B7E" w:rsidP="00677B7E">
      <w:pPr>
        <w:pStyle w:val="Prrafodelista"/>
        <w:ind w:left="1560"/>
        <w:jc w:val="both"/>
        <w:rPr>
          <w:rFonts w:ascii="Abadi" w:hAnsi="Abadi"/>
          <w:sz w:val="21"/>
          <w:szCs w:val="21"/>
        </w:rPr>
      </w:pPr>
      <w:r w:rsidRPr="00370D2E">
        <w:rPr>
          <w:rFonts w:ascii="Abadi" w:hAnsi="Abadi"/>
          <w:sz w:val="21"/>
          <w:szCs w:val="21"/>
        </w:rPr>
        <w:t xml:space="preserve">Cuando el Municipio...  </w:t>
      </w:r>
    </w:p>
    <w:p w14:paraId="3E391A78" w14:textId="77777777" w:rsidR="00677B7E" w:rsidRDefault="00677B7E" w:rsidP="00677B7E">
      <w:pPr>
        <w:pStyle w:val="Prrafodelista"/>
        <w:ind w:left="1560"/>
        <w:jc w:val="both"/>
        <w:rPr>
          <w:rFonts w:ascii="Abadi" w:hAnsi="Abadi"/>
          <w:sz w:val="21"/>
          <w:szCs w:val="21"/>
        </w:rPr>
      </w:pPr>
    </w:p>
    <w:p w14:paraId="2FB951A0" w14:textId="77777777" w:rsidR="00677B7E" w:rsidRDefault="00677B7E" w:rsidP="00677B7E">
      <w:pPr>
        <w:pStyle w:val="Prrafodelista"/>
        <w:ind w:left="1560"/>
        <w:jc w:val="both"/>
        <w:rPr>
          <w:rFonts w:ascii="Abadi" w:hAnsi="Abadi"/>
          <w:sz w:val="21"/>
          <w:szCs w:val="21"/>
        </w:rPr>
      </w:pPr>
      <w:r w:rsidRPr="00370D2E">
        <w:rPr>
          <w:rFonts w:ascii="Abadi" w:hAnsi="Abadi"/>
          <w:sz w:val="21"/>
          <w:szCs w:val="21"/>
        </w:rPr>
        <w:t xml:space="preserve">Los cargos de quienes integran los Consejos de Planeación de Desarrollo Municipales...   </w:t>
      </w:r>
    </w:p>
    <w:p w14:paraId="737D2D68" w14:textId="77777777" w:rsidR="00677B7E" w:rsidRDefault="00677B7E" w:rsidP="00677B7E">
      <w:pPr>
        <w:pStyle w:val="Prrafodelista"/>
        <w:ind w:left="1560"/>
        <w:jc w:val="both"/>
        <w:rPr>
          <w:rFonts w:ascii="Abadi" w:hAnsi="Abadi"/>
          <w:sz w:val="21"/>
          <w:szCs w:val="21"/>
        </w:rPr>
      </w:pPr>
    </w:p>
    <w:p w14:paraId="2443D729" w14:textId="77777777" w:rsidR="00677B7E" w:rsidRDefault="00677B7E" w:rsidP="00677B7E">
      <w:pPr>
        <w:pStyle w:val="Prrafodelista"/>
        <w:ind w:left="1560"/>
        <w:jc w:val="both"/>
        <w:rPr>
          <w:rFonts w:ascii="Abadi" w:hAnsi="Abadi"/>
          <w:sz w:val="21"/>
          <w:szCs w:val="21"/>
        </w:rPr>
      </w:pPr>
      <w:r w:rsidRPr="00950137">
        <w:rPr>
          <w:rFonts w:ascii="Abadi" w:hAnsi="Abadi"/>
          <w:b/>
          <w:bCs/>
          <w:sz w:val="21"/>
          <w:szCs w:val="21"/>
        </w:rPr>
        <w:t>Artículo 120</w:t>
      </w:r>
      <w:r w:rsidRPr="00370D2E">
        <w:rPr>
          <w:rFonts w:ascii="Abadi" w:hAnsi="Abadi"/>
          <w:sz w:val="21"/>
          <w:szCs w:val="21"/>
        </w:rPr>
        <w:t xml:space="preserve">. La administración pública municipal será centralizada y paramunicipal. </w:t>
      </w:r>
    </w:p>
    <w:p w14:paraId="59A1F46B" w14:textId="77777777" w:rsidR="00677B7E" w:rsidRDefault="00677B7E" w:rsidP="00677B7E">
      <w:pPr>
        <w:pStyle w:val="Prrafodelista"/>
        <w:ind w:left="1560"/>
        <w:jc w:val="both"/>
        <w:rPr>
          <w:rFonts w:ascii="Abadi" w:hAnsi="Abadi"/>
          <w:sz w:val="21"/>
          <w:szCs w:val="21"/>
        </w:rPr>
      </w:pPr>
    </w:p>
    <w:p w14:paraId="352A9360" w14:textId="77777777" w:rsidR="00677B7E" w:rsidRPr="00950137" w:rsidRDefault="00677B7E" w:rsidP="00677B7E">
      <w:pPr>
        <w:pStyle w:val="Prrafodelista"/>
        <w:ind w:left="1560"/>
        <w:jc w:val="both"/>
        <w:rPr>
          <w:rFonts w:ascii="Abadi" w:hAnsi="Abadi"/>
          <w:b/>
          <w:bCs/>
          <w:sz w:val="21"/>
          <w:szCs w:val="21"/>
        </w:rPr>
      </w:pPr>
      <w:r w:rsidRPr="00950137">
        <w:rPr>
          <w:rFonts w:ascii="Abadi" w:hAnsi="Abadi"/>
          <w:b/>
          <w:bCs/>
          <w:sz w:val="21"/>
          <w:szCs w:val="21"/>
        </w:rPr>
        <w:t xml:space="preserve">En los nombramientos de las personas titulares de las dependencias y entidades que conforman la administración pública municipal centralizada y paramunicipal se deberá observar el principio de paridad de género.   </w:t>
      </w:r>
    </w:p>
    <w:p w14:paraId="3D648FEF" w14:textId="77777777" w:rsidR="00677B7E" w:rsidRDefault="00677B7E" w:rsidP="00677B7E">
      <w:pPr>
        <w:pStyle w:val="Prrafodelista"/>
        <w:ind w:left="1560"/>
        <w:jc w:val="both"/>
        <w:rPr>
          <w:rFonts w:ascii="Abadi" w:hAnsi="Abadi"/>
          <w:sz w:val="21"/>
          <w:szCs w:val="21"/>
        </w:rPr>
      </w:pPr>
    </w:p>
    <w:p w14:paraId="55F2974B" w14:textId="77777777" w:rsidR="00677B7E" w:rsidRDefault="00677B7E" w:rsidP="00677B7E">
      <w:pPr>
        <w:pStyle w:val="Prrafodelista"/>
        <w:ind w:left="1560"/>
        <w:jc w:val="both"/>
        <w:rPr>
          <w:rFonts w:ascii="Abadi" w:hAnsi="Abadi"/>
          <w:sz w:val="21"/>
          <w:szCs w:val="21"/>
        </w:rPr>
      </w:pPr>
      <w:r w:rsidRPr="00950137">
        <w:rPr>
          <w:rFonts w:ascii="Abadi" w:hAnsi="Abadi"/>
          <w:b/>
          <w:bCs/>
          <w:sz w:val="21"/>
          <w:szCs w:val="21"/>
        </w:rPr>
        <w:t>Artículo 124.</w:t>
      </w:r>
      <w:r w:rsidRPr="00370D2E">
        <w:rPr>
          <w:rFonts w:ascii="Abadi" w:hAnsi="Abadi"/>
          <w:sz w:val="21"/>
          <w:szCs w:val="21"/>
        </w:rPr>
        <w:t xml:space="preserve"> Para el estudio y…: </w:t>
      </w:r>
    </w:p>
    <w:p w14:paraId="56A2FF6C" w14:textId="77777777" w:rsidR="00677B7E" w:rsidRDefault="00677B7E" w:rsidP="00677B7E">
      <w:pPr>
        <w:pStyle w:val="Prrafodelista"/>
        <w:ind w:left="1560"/>
        <w:jc w:val="both"/>
        <w:rPr>
          <w:rFonts w:ascii="Abadi" w:hAnsi="Abadi"/>
          <w:sz w:val="21"/>
          <w:szCs w:val="21"/>
        </w:rPr>
      </w:pPr>
    </w:p>
    <w:p w14:paraId="462DB0A5" w14:textId="77777777" w:rsidR="00677B7E" w:rsidRDefault="00677B7E" w:rsidP="00677B7E">
      <w:pPr>
        <w:pStyle w:val="Prrafodelista"/>
        <w:ind w:left="1560"/>
        <w:jc w:val="both"/>
        <w:rPr>
          <w:rFonts w:ascii="Abadi" w:hAnsi="Abadi"/>
          <w:sz w:val="21"/>
          <w:szCs w:val="21"/>
        </w:rPr>
      </w:pPr>
      <w:r w:rsidRPr="00950137">
        <w:rPr>
          <w:rFonts w:ascii="Abadi" w:hAnsi="Abadi"/>
          <w:b/>
          <w:bCs/>
          <w:sz w:val="21"/>
          <w:szCs w:val="21"/>
        </w:rPr>
        <w:t>I</w:t>
      </w:r>
      <w:r w:rsidRPr="00370D2E">
        <w:rPr>
          <w:rFonts w:ascii="Abadi" w:hAnsi="Abadi"/>
          <w:sz w:val="21"/>
          <w:szCs w:val="21"/>
        </w:rPr>
        <w:t xml:space="preserve"> a </w:t>
      </w:r>
      <w:r w:rsidRPr="00950137">
        <w:rPr>
          <w:rFonts w:ascii="Abadi" w:hAnsi="Abadi"/>
          <w:b/>
          <w:bCs/>
          <w:sz w:val="21"/>
          <w:szCs w:val="21"/>
        </w:rPr>
        <w:t>XII</w:t>
      </w:r>
      <w:r w:rsidRPr="00370D2E">
        <w:rPr>
          <w:rFonts w:ascii="Abadi" w:hAnsi="Abadi"/>
          <w:sz w:val="21"/>
          <w:szCs w:val="21"/>
        </w:rPr>
        <w:t xml:space="preserve"> </w:t>
      </w:r>
    </w:p>
    <w:p w14:paraId="61DE7EAF" w14:textId="77777777" w:rsidR="00677B7E" w:rsidRDefault="00677B7E" w:rsidP="00677B7E">
      <w:pPr>
        <w:pStyle w:val="Prrafodelista"/>
        <w:ind w:left="1560"/>
        <w:jc w:val="both"/>
        <w:rPr>
          <w:rFonts w:ascii="Abadi" w:hAnsi="Abadi"/>
          <w:sz w:val="21"/>
          <w:szCs w:val="21"/>
        </w:rPr>
      </w:pPr>
    </w:p>
    <w:p w14:paraId="2FAEEA20" w14:textId="77777777" w:rsidR="00677B7E" w:rsidRDefault="00677B7E" w:rsidP="00677B7E">
      <w:pPr>
        <w:pStyle w:val="Prrafodelista"/>
        <w:ind w:left="1560"/>
        <w:jc w:val="both"/>
        <w:rPr>
          <w:rFonts w:ascii="Abadi" w:hAnsi="Abadi"/>
          <w:sz w:val="21"/>
          <w:szCs w:val="21"/>
        </w:rPr>
      </w:pPr>
      <w:r w:rsidRPr="00370D2E">
        <w:rPr>
          <w:rFonts w:ascii="Abadi" w:hAnsi="Abadi"/>
          <w:sz w:val="21"/>
          <w:szCs w:val="21"/>
        </w:rPr>
        <w:t xml:space="preserve">Los ayuntamientos en... </w:t>
      </w:r>
    </w:p>
    <w:p w14:paraId="64588C57" w14:textId="77777777" w:rsidR="00677B7E" w:rsidRDefault="00677B7E" w:rsidP="00677B7E">
      <w:pPr>
        <w:pStyle w:val="Prrafodelista"/>
        <w:ind w:left="1560"/>
        <w:jc w:val="both"/>
        <w:rPr>
          <w:rFonts w:ascii="Abadi" w:hAnsi="Abadi"/>
          <w:sz w:val="21"/>
          <w:szCs w:val="21"/>
        </w:rPr>
      </w:pPr>
    </w:p>
    <w:p w14:paraId="340CC0B8" w14:textId="77777777" w:rsidR="00677B7E" w:rsidRDefault="00677B7E" w:rsidP="00677B7E">
      <w:pPr>
        <w:pStyle w:val="Prrafodelista"/>
        <w:ind w:left="1560"/>
        <w:jc w:val="both"/>
        <w:rPr>
          <w:rFonts w:ascii="Abadi" w:hAnsi="Abadi"/>
          <w:sz w:val="21"/>
          <w:szCs w:val="21"/>
        </w:rPr>
      </w:pPr>
      <w:r w:rsidRPr="00950137">
        <w:rPr>
          <w:rFonts w:ascii="Abadi" w:hAnsi="Abadi"/>
          <w:b/>
          <w:bCs/>
          <w:sz w:val="21"/>
          <w:szCs w:val="21"/>
        </w:rPr>
        <w:t>En los nombramientos de las personas titulares de las dependencias señaladas en el presente artículo se deberá observar el principio de paridad de género.</w:t>
      </w:r>
      <w:r w:rsidRPr="00370D2E">
        <w:rPr>
          <w:rFonts w:ascii="Abadi" w:hAnsi="Abadi"/>
          <w:sz w:val="21"/>
          <w:szCs w:val="21"/>
        </w:rPr>
        <w:t xml:space="preserve">      </w:t>
      </w:r>
    </w:p>
    <w:p w14:paraId="684A27E3" w14:textId="77777777" w:rsidR="00677B7E" w:rsidRDefault="00677B7E" w:rsidP="00677B7E">
      <w:pPr>
        <w:pStyle w:val="Prrafodelista"/>
        <w:ind w:left="1560"/>
        <w:jc w:val="both"/>
        <w:rPr>
          <w:rFonts w:ascii="Abadi" w:hAnsi="Abadi"/>
          <w:sz w:val="21"/>
          <w:szCs w:val="21"/>
        </w:rPr>
      </w:pPr>
    </w:p>
    <w:p w14:paraId="7FE90F85" w14:textId="77777777" w:rsidR="00677B7E" w:rsidRDefault="00677B7E" w:rsidP="00677B7E">
      <w:pPr>
        <w:pStyle w:val="Prrafodelista"/>
        <w:ind w:left="1560"/>
        <w:jc w:val="both"/>
        <w:rPr>
          <w:rFonts w:ascii="Abadi" w:hAnsi="Abadi"/>
          <w:sz w:val="21"/>
          <w:szCs w:val="21"/>
        </w:rPr>
      </w:pPr>
      <w:r w:rsidRPr="00950137">
        <w:rPr>
          <w:rFonts w:ascii="Abadi" w:hAnsi="Abadi"/>
          <w:b/>
          <w:bCs/>
          <w:sz w:val="21"/>
          <w:szCs w:val="21"/>
        </w:rPr>
        <w:t>Artículo 131</w:t>
      </w:r>
      <w:r w:rsidRPr="00370D2E">
        <w:rPr>
          <w:rFonts w:ascii="Abadi" w:hAnsi="Abadi"/>
          <w:sz w:val="21"/>
          <w:szCs w:val="21"/>
        </w:rPr>
        <w:t xml:space="preserve">. La contraloría municipal...  </w:t>
      </w:r>
    </w:p>
    <w:p w14:paraId="2B055C46" w14:textId="77777777" w:rsidR="00677B7E" w:rsidRDefault="00677B7E" w:rsidP="00677B7E">
      <w:pPr>
        <w:pStyle w:val="Prrafodelista"/>
        <w:ind w:left="1560"/>
        <w:jc w:val="both"/>
        <w:rPr>
          <w:rFonts w:ascii="Abadi" w:hAnsi="Abadi"/>
          <w:sz w:val="21"/>
          <w:szCs w:val="21"/>
        </w:rPr>
      </w:pPr>
    </w:p>
    <w:p w14:paraId="07B1C61F" w14:textId="77777777" w:rsidR="00677B7E" w:rsidRDefault="00677B7E" w:rsidP="00677B7E">
      <w:pPr>
        <w:pStyle w:val="Prrafodelista"/>
        <w:ind w:left="1560"/>
        <w:jc w:val="both"/>
        <w:rPr>
          <w:rFonts w:ascii="Abadi" w:hAnsi="Abadi"/>
          <w:sz w:val="21"/>
          <w:szCs w:val="21"/>
        </w:rPr>
      </w:pPr>
      <w:r w:rsidRPr="00370D2E">
        <w:rPr>
          <w:rFonts w:ascii="Abadi" w:hAnsi="Abadi"/>
          <w:sz w:val="21"/>
          <w:szCs w:val="21"/>
        </w:rPr>
        <w:t xml:space="preserve">La contraloría municipal…  </w:t>
      </w:r>
    </w:p>
    <w:p w14:paraId="4A0A3AD3" w14:textId="77777777" w:rsidR="00677B7E" w:rsidRDefault="00677B7E" w:rsidP="00677B7E">
      <w:pPr>
        <w:pStyle w:val="Prrafodelista"/>
        <w:ind w:left="1560"/>
        <w:jc w:val="both"/>
        <w:rPr>
          <w:rFonts w:ascii="Abadi" w:hAnsi="Abadi"/>
          <w:sz w:val="21"/>
          <w:szCs w:val="21"/>
        </w:rPr>
      </w:pPr>
    </w:p>
    <w:p w14:paraId="057F86E6" w14:textId="77777777" w:rsidR="00677B7E" w:rsidRDefault="00677B7E" w:rsidP="00677B7E">
      <w:pPr>
        <w:pStyle w:val="Prrafodelista"/>
        <w:ind w:left="1560"/>
        <w:jc w:val="both"/>
        <w:rPr>
          <w:rFonts w:ascii="Abadi" w:hAnsi="Abadi"/>
          <w:sz w:val="21"/>
          <w:szCs w:val="21"/>
        </w:rPr>
      </w:pPr>
      <w:r w:rsidRPr="00370D2E">
        <w:rPr>
          <w:rFonts w:ascii="Abadi" w:hAnsi="Abadi"/>
          <w:sz w:val="21"/>
          <w:szCs w:val="21"/>
        </w:rPr>
        <w:t xml:space="preserve">En el caso de ausencia definitiva </w:t>
      </w:r>
      <w:r w:rsidRPr="00950137">
        <w:rPr>
          <w:rFonts w:ascii="Abadi" w:hAnsi="Abadi"/>
          <w:b/>
          <w:bCs/>
          <w:sz w:val="21"/>
          <w:szCs w:val="21"/>
        </w:rPr>
        <w:t>de la persona titular</w:t>
      </w:r>
      <w:r w:rsidRPr="00370D2E">
        <w:rPr>
          <w:rFonts w:ascii="Abadi" w:hAnsi="Abadi"/>
          <w:sz w:val="21"/>
          <w:szCs w:val="21"/>
        </w:rPr>
        <w:t xml:space="preserve"> de la Contraloría Municipal por causas diversas a la conclusión de su período, el Ayuntamiento designará a la </w:t>
      </w:r>
      <w:r w:rsidRPr="00950137">
        <w:rPr>
          <w:rFonts w:ascii="Abadi" w:hAnsi="Abadi"/>
          <w:b/>
          <w:bCs/>
          <w:sz w:val="21"/>
          <w:szCs w:val="21"/>
        </w:rPr>
        <w:t>persona Contralora Municipal</w:t>
      </w:r>
      <w:r w:rsidRPr="00370D2E">
        <w:rPr>
          <w:rFonts w:ascii="Abadi" w:hAnsi="Abadi"/>
          <w:sz w:val="21"/>
          <w:szCs w:val="21"/>
        </w:rPr>
        <w:t xml:space="preserve"> a más tardar cuarenta y cinco días posteriores a la fecha en la que se determinó la vacante.  </w:t>
      </w:r>
    </w:p>
    <w:p w14:paraId="0866DBA8" w14:textId="77777777" w:rsidR="00677B7E" w:rsidRDefault="00677B7E" w:rsidP="00677B7E">
      <w:pPr>
        <w:pStyle w:val="Prrafodelista"/>
        <w:ind w:left="1560"/>
        <w:jc w:val="both"/>
        <w:rPr>
          <w:rFonts w:ascii="Abadi" w:hAnsi="Abadi"/>
          <w:sz w:val="21"/>
          <w:szCs w:val="21"/>
        </w:rPr>
      </w:pPr>
      <w:r w:rsidRPr="006E036B">
        <w:rPr>
          <w:rFonts w:ascii="Abadi" w:hAnsi="Abadi"/>
          <w:b/>
          <w:bCs/>
          <w:sz w:val="21"/>
          <w:szCs w:val="21"/>
        </w:rPr>
        <w:t>La persona</w:t>
      </w:r>
      <w:r w:rsidRPr="00370D2E">
        <w:rPr>
          <w:rFonts w:ascii="Abadi" w:hAnsi="Abadi"/>
          <w:sz w:val="21"/>
          <w:szCs w:val="21"/>
        </w:rPr>
        <w:t xml:space="preserve"> titular de la Contraloría Municipal durará en su cargo un periodo de cinco años, sin posibilidad de designación en el periodo inmediato, y será nombrada por el Ayuntamiento a partir de una terna formulada por el Comité Municipal Ciudadano. </w:t>
      </w:r>
      <w:r w:rsidRPr="006E036B">
        <w:rPr>
          <w:rFonts w:ascii="Abadi" w:hAnsi="Abadi"/>
          <w:b/>
          <w:bCs/>
          <w:sz w:val="21"/>
          <w:szCs w:val="21"/>
        </w:rPr>
        <w:t>En la conformación de la terna se deberá garantizar la alternancia en el género de la persona titular de la Contraloría Municipal.</w:t>
      </w:r>
      <w:r w:rsidRPr="00370D2E">
        <w:rPr>
          <w:rFonts w:ascii="Abadi" w:hAnsi="Abadi"/>
          <w:sz w:val="21"/>
          <w:szCs w:val="21"/>
        </w:rPr>
        <w:t xml:space="preserve"> </w:t>
      </w:r>
    </w:p>
    <w:p w14:paraId="6D05750D" w14:textId="77777777" w:rsidR="00677B7E" w:rsidRDefault="00677B7E" w:rsidP="00677B7E">
      <w:pPr>
        <w:pStyle w:val="Prrafodelista"/>
        <w:ind w:left="1560"/>
        <w:jc w:val="both"/>
        <w:rPr>
          <w:rFonts w:ascii="Abadi" w:hAnsi="Abadi"/>
          <w:sz w:val="21"/>
          <w:szCs w:val="21"/>
        </w:rPr>
      </w:pPr>
    </w:p>
    <w:p w14:paraId="05685655" w14:textId="77777777" w:rsidR="00677B7E" w:rsidRDefault="00677B7E" w:rsidP="00677B7E">
      <w:pPr>
        <w:pStyle w:val="Prrafodelista"/>
        <w:ind w:left="1560"/>
        <w:jc w:val="both"/>
        <w:rPr>
          <w:rFonts w:ascii="Abadi" w:hAnsi="Abadi"/>
          <w:sz w:val="21"/>
          <w:szCs w:val="21"/>
        </w:rPr>
      </w:pPr>
      <w:r w:rsidRPr="00370D2E">
        <w:rPr>
          <w:rFonts w:ascii="Abadi" w:hAnsi="Abadi"/>
          <w:sz w:val="21"/>
          <w:szCs w:val="21"/>
        </w:rPr>
        <w:t xml:space="preserve">Para formular su propuesta, el Comité Municipal Ciudadano deberá realizar consulta pública. La consulta deberá ser publicada en el Periódico Oficial del Gobierno del Estado y, al menos, en uno de los medios de comunicación impresos de mayor circulación en el Municipio, a efecto de que las propuestas que </w:t>
      </w:r>
      <w:r w:rsidRPr="00B20A5E">
        <w:rPr>
          <w:rFonts w:ascii="Abadi" w:hAnsi="Abadi"/>
          <w:b/>
          <w:bCs/>
          <w:sz w:val="21"/>
          <w:szCs w:val="21"/>
        </w:rPr>
        <w:t>formule</w:t>
      </w:r>
      <w:r w:rsidRPr="00370D2E">
        <w:rPr>
          <w:rFonts w:ascii="Abadi" w:hAnsi="Abadi"/>
          <w:sz w:val="21"/>
          <w:szCs w:val="21"/>
        </w:rPr>
        <w:t xml:space="preserve"> </w:t>
      </w:r>
      <w:r w:rsidRPr="00B20A5E">
        <w:rPr>
          <w:rFonts w:ascii="Abadi" w:hAnsi="Abadi"/>
          <w:b/>
          <w:bCs/>
          <w:sz w:val="21"/>
          <w:szCs w:val="21"/>
        </w:rPr>
        <w:t>la ciudadanía</w:t>
      </w:r>
      <w:r w:rsidRPr="00370D2E">
        <w:rPr>
          <w:rFonts w:ascii="Abadi" w:hAnsi="Abadi"/>
          <w:sz w:val="21"/>
          <w:szCs w:val="21"/>
        </w:rPr>
        <w:t xml:space="preserve"> se integren en una terna que se presentará al Ayuntamiento.  </w:t>
      </w:r>
    </w:p>
    <w:p w14:paraId="0EC4AFDB" w14:textId="77777777" w:rsidR="00677B7E" w:rsidRDefault="00677B7E" w:rsidP="00677B7E">
      <w:pPr>
        <w:pStyle w:val="Prrafodelista"/>
        <w:ind w:left="1560"/>
        <w:jc w:val="both"/>
        <w:rPr>
          <w:rFonts w:ascii="Abadi" w:hAnsi="Abadi"/>
          <w:sz w:val="21"/>
          <w:szCs w:val="21"/>
        </w:rPr>
      </w:pPr>
    </w:p>
    <w:p w14:paraId="2A9B2825" w14:textId="77777777" w:rsidR="00677B7E" w:rsidRDefault="00677B7E" w:rsidP="00677B7E">
      <w:pPr>
        <w:pStyle w:val="Prrafodelista"/>
        <w:ind w:left="1560"/>
        <w:jc w:val="both"/>
        <w:rPr>
          <w:rFonts w:ascii="Abadi" w:hAnsi="Abadi"/>
          <w:sz w:val="21"/>
          <w:szCs w:val="21"/>
        </w:rPr>
      </w:pPr>
      <w:r w:rsidRPr="00370D2E">
        <w:rPr>
          <w:rFonts w:ascii="Abadi" w:hAnsi="Abadi"/>
          <w:sz w:val="21"/>
          <w:szCs w:val="21"/>
        </w:rPr>
        <w:t xml:space="preserve">La integración y funcionamiento del mecanismo de consulta se establecerá en el reglamento municipal respectivo, apegándose a los principios de gobierno abierto, equidad, oportunidad, transparencia, imparcialidad y honradez; garantizándose la participación de </w:t>
      </w:r>
      <w:r w:rsidRPr="00B20A5E">
        <w:rPr>
          <w:rFonts w:ascii="Abadi" w:hAnsi="Abadi"/>
          <w:b/>
          <w:bCs/>
          <w:sz w:val="21"/>
          <w:szCs w:val="21"/>
        </w:rPr>
        <w:t>la ciudadanía</w:t>
      </w:r>
      <w:r w:rsidRPr="00370D2E">
        <w:rPr>
          <w:rFonts w:ascii="Abadi" w:hAnsi="Abadi"/>
          <w:sz w:val="21"/>
          <w:szCs w:val="21"/>
        </w:rPr>
        <w:t xml:space="preserve">, en particular y de la sociedad civil organizada.  </w:t>
      </w:r>
    </w:p>
    <w:p w14:paraId="1D5FE724" w14:textId="77777777" w:rsidR="00677B7E" w:rsidRDefault="00677B7E" w:rsidP="00677B7E">
      <w:pPr>
        <w:pStyle w:val="Prrafodelista"/>
        <w:ind w:left="1560"/>
        <w:jc w:val="both"/>
        <w:rPr>
          <w:rFonts w:ascii="Abadi" w:hAnsi="Abadi"/>
          <w:sz w:val="21"/>
          <w:szCs w:val="21"/>
        </w:rPr>
      </w:pPr>
    </w:p>
    <w:p w14:paraId="0332FF70" w14:textId="77777777" w:rsidR="00677B7E" w:rsidRDefault="00677B7E" w:rsidP="00677B7E">
      <w:pPr>
        <w:pStyle w:val="Prrafodelista"/>
        <w:ind w:left="1560"/>
        <w:jc w:val="both"/>
        <w:rPr>
          <w:rFonts w:ascii="Abadi" w:hAnsi="Abadi"/>
          <w:sz w:val="21"/>
          <w:szCs w:val="21"/>
        </w:rPr>
      </w:pPr>
      <w:r w:rsidRPr="00370D2E">
        <w:rPr>
          <w:rFonts w:ascii="Abadi" w:hAnsi="Abadi"/>
          <w:sz w:val="21"/>
          <w:szCs w:val="21"/>
        </w:rPr>
        <w:t xml:space="preserve">De la propuesta en terna de aspirantes a ocupar el cargo </w:t>
      </w:r>
      <w:r w:rsidRPr="004F113E">
        <w:rPr>
          <w:rFonts w:ascii="Abadi" w:hAnsi="Abadi"/>
          <w:b/>
          <w:bCs/>
          <w:sz w:val="21"/>
          <w:szCs w:val="21"/>
        </w:rPr>
        <w:t>titular de la Contraloría</w:t>
      </w:r>
      <w:r w:rsidRPr="00370D2E">
        <w:rPr>
          <w:rFonts w:ascii="Abadi" w:hAnsi="Abadi"/>
          <w:sz w:val="21"/>
          <w:szCs w:val="21"/>
        </w:rPr>
        <w:t xml:space="preserve"> </w:t>
      </w:r>
      <w:r w:rsidRPr="004F113E">
        <w:rPr>
          <w:rFonts w:ascii="Abadi" w:hAnsi="Abadi"/>
          <w:b/>
          <w:bCs/>
          <w:sz w:val="21"/>
          <w:szCs w:val="21"/>
        </w:rPr>
        <w:t>Municipal,</w:t>
      </w:r>
      <w:r w:rsidRPr="00370D2E">
        <w:rPr>
          <w:rFonts w:ascii="Abadi" w:hAnsi="Abadi"/>
          <w:sz w:val="21"/>
          <w:szCs w:val="21"/>
        </w:rPr>
        <w:t xml:space="preserve"> el Ayuntamiento nombrará como </w:t>
      </w:r>
      <w:r w:rsidRPr="004F113E">
        <w:rPr>
          <w:rFonts w:ascii="Abadi" w:hAnsi="Abadi"/>
          <w:b/>
          <w:bCs/>
          <w:sz w:val="21"/>
          <w:szCs w:val="21"/>
        </w:rPr>
        <w:t>titular de la Contraloría Municipal, a</w:t>
      </w:r>
      <w:r w:rsidRPr="00370D2E">
        <w:rPr>
          <w:rFonts w:ascii="Abadi" w:hAnsi="Abadi"/>
          <w:sz w:val="21"/>
          <w:szCs w:val="21"/>
        </w:rPr>
        <w:t xml:space="preserve"> </w:t>
      </w:r>
      <w:r w:rsidRPr="004F113E">
        <w:rPr>
          <w:rFonts w:ascii="Abadi" w:hAnsi="Abadi"/>
          <w:b/>
          <w:bCs/>
          <w:sz w:val="21"/>
          <w:szCs w:val="21"/>
        </w:rPr>
        <w:t>quien</w:t>
      </w:r>
      <w:r w:rsidRPr="00370D2E">
        <w:rPr>
          <w:rFonts w:ascii="Abadi" w:hAnsi="Abadi"/>
          <w:sz w:val="21"/>
          <w:szCs w:val="21"/>
        </w:rPr>
        <w:t xml:space="preserve"> obtenga mayoría calificada. Si </w:t>
      </w:r>
      <w:r w:rsidRPr="004F113E">
        <w:rPr>
          <w:rFonts w:ascii="Abadi" w:hAnsi="Abadi"/>
          <w:b/>
          <w:bCs/>
          <w:sz w:val="21"/>
          <w:szCs w:val="21"/>
        </w:rPr>
        <w:t>ninguna de las personas integrantes de la</w:t>
      </w:r>
      <w:r w:rsidRPr="00370D2E">
        <w:rPr>
          <w:rFonts w:ascii="Abadi" w:hAnsi="Abadi"/>
          <w:sz w:val="21"/>
          <w:szCs w:val="21"/>
        </w:rPr>
        <w:t xml:space="preserve"> </w:t>
      </w:r>
      <w:r w:rsidRPr="004F113E">
        <w:rPr>
          <w:rFonts w:ascii="Abadi" w:hAnsi="Abadi"/>
          <w:b/>
          <w:bCs/>
          <w:sz w:val="21"/>
          <w:szCs w:val="21"/>
        </w:rPr>
        <w:t>terna</w:t>
      </w:r>
      <w:r w:rsidRPr="00370D2E">
        <w:rPr>
          <w:rFonts w:ascii="Abadi" w:hAnsi="Abadi"/>
          <w:sz w:val="21"/>
          <w:szCs w:val="21"/>
        </w:rPr>
        <w:t xml:space="preserve"> obtiene la mayoría calificada, se repetirá la votación entre las dos que hayan obtenido el mayor número de votos y de entre </w:t>
      </w:r>
      <w:r w:rsidRPr="004F113E">
        <w:rPr>
          <w:rFonts w:ascii="Abadi" w:hAnsi="Abadi"/>
          <w:b/>
          <w:bCs/>
          <w:sz w:val="21"/>
          <w:szCs w:val="21"/>
        </w:rPr>
        <w:t>ellas,</w:t>
      </w:r>
      <w:r w:rsidRPr="00370D2E">
        <w:rPr>
          <w:rFonts w:ascii="Abadi" w:hAnsi="Abadi"/>
          <w:sz w:val="21"/>
          <w:szCs w:val="21"/>
        </w:rPr>
        <w:t xml:space="preserve"> será </w:t>
      </w:r>
      <w:r w:rsidRPr="004F113E">
        <w:rPr>
          <w:rFonts w:ascii="Abadi" w:hAnsi="Abadi"/>
          <w:b/>
          <w:bCs/>
          <w:sz w:val="21"/>
          <w:szCs w:val="21"/>
        </w:rPr>
        <w:t>nombrada</w:t>
      </w:r>
      <w:r w:rsidRPr="00370D2E">
        <w:rPr>
          <w:rFonts w:ascii="Abadi" w:hAnsi="Abadi"/>
          <w:sz w:val="21"/>
          <w:szCs w:val="21"/>
        </w:rPr>
        <w:t xml:space="preserve"> como </w:t>
      </w:r>
      <w:r w:rsidRPr="004F113E">
        <w:rPr>
          <w:rFonts w:ascii="Abadi" w:hAnsi="Abadi"/>
          <w:b/>
          <w:bCs/>
          <w:sz w:val="21"/>
          <w:szCs w:val="21"/>
        </w:rPr>
        <w:t>titular de la Contraloría Municipal quien</w:t>
      </w:r>
      <w:r w:rsidRPr="00370D2E">
        <w:rPr>
          <w:rFonts w:ascii="Abadi" w:hAnsi="Abadi"/>
          <w:sz w:val="21"/>
          <w:szCs w:val="21"/>
        </w:rPr>
        <w:t xml:space="preserve"> obtenga la mayoría. La información que se genere con motivo de la integración de la terna es información pública.  </w:t>
      </w:r>
    </w:p>
    <w:p w14:paraId="567E175F" w14:textId="77777777" w:rsidR="00677B7E" w:rsidRDefault="00677B7E" w:rsidP="00677B7E">
      <w:pPr>
        <w:pStyle w:val="Prrafodelista"/>
        <w:ind w:left="1560"/>
        <w:jc w:val="both"/>
        <w:rPr>
          <w:rFonts w:ascii="Abadi" w:hAnsi="Abadi"/>
          <w:sz w:val="21"/>
          <w:szCs w:val="21"/>
        </w:rPr>
      </w:pPr>
    </w:p>
    <w:p w14:paraId="3E536D62" w14:textId="77777777" w:rsidR="00677B7E" w:rsidRDefault="00677B7E" w:rsidP="00677B7E">
      <w:pPr>
        <w:pStyle w:val="Prrafodelista"/>
        <w:ind w:left="1560"/>
        <w:jc w:val="both"/>
        <w:rPr>
          <w:rFonts w:ascii="Abadi" w:hAnsi="Abadi"/>
          <w:sz w:val="21"/>
          <w:szCs w:val="21"/>
        </w:rPr>
      </w:pPr>
      <w:r w:rsidRPr="00370D2E">
        <w:rPr>
          <w:rFonts w:ascii="Abadi" w:hAnsi="Abadi"/>
          <w:sz w:val="21"/>
          <w:szCs w:val="21"/>
        </w:rPr>
        <w:t xml:space="preserve">El ayuntamiento deberá iniciar el proceso de nombramiento </w:t>
      </w:r>
      <w:r w:rsidRPr="004F113E">
        <w:rPr>
          <w:rFonts w:ascii="Abadi" w:hAnsi="Abadi"/>
          <w:b/>
          <w:bCs/>
          <w:sz w:val="21"/>
          <w:szCs w:val="21"/>
        </w:rPr>
        <w:t>de quien ocupe la</w:t>
      </w:r>
      <w:r w:rsidRPr="00370D2E">
        <w:rPr>
          <w:rFonts w:ascii="Abadi" w:hAnsi="Abadi"/>
          <w:sz w:val="21"/>
          <w:szCs w:val="21"/>
        </w:rPr>
        <w:t xml:space="preserve"> </w:t>
      </w:r>
      <w:r w:rsidRPr="004F113E">
        <w:rPr>
          <w:rFonts w:ascii="Abadi" w:hAnsi="Abadi"/>
          <w:b/>
          <w:bCs/>
          <w:sz w:val="21"/>
          <w:szCs w:val="21"/>
        </w:rPr>
        <w:t>titularidad de la Contraloría Municipal</w:t>
      </w:r>
      <w:r w:rsidRPr="00370D2E">
        <w:rPr>
          <w:rFonts w:ascii="Abadi" w:hAnsi="Abadi"/>
          <w:sz w:val="21"/>
          <w:szCs w:val="21"/>
        </w:rPr>
        <w:t xml:space="preserve"> a más tardar cuarenta y cinco días previos a la conclusión del periodo por el que fue </w:t>
      </w:r>
      <w:r w:rsidRPr="004F113E">
        <w:rPr>
          <w:rFonts w:ascii="Abadi" w:hAnsi="Abadi"/>
          <w:b/>
          <w:bCs/>
          <w:sz w:val="21"/>
          <w:szCs w:val="21"/>
        </w:rPr>
        <w:t>designada la persona</w:t>
      </w:r>
      <w:r w:rsidRPr="00370D2E">
        <w:rPr>
          <w:rFonts w:ascii="Abadi" w:hAnsi="Abadi"/>
          <w:sz w:val="21"/>
          <w:szCs w:val="21"/>
        </w:rPr>
        <w:t xml:space="preserve"> titular de la Contraloría.   </w:t>
      </w:r>
    </w:p>
    <w:p w14:paraId="2198193A" w14:textId="77777777" w:rsidR="00677B7E" w:rsidRDefault="00677B7E" w:rsidP="00677B7E">
      <w:pPr>
        <w:pStyle w:val="Prrafodelista"/>
        <w:ind w:left="1560"/>
        <w:jc w:val="both"/>
        <w:rPr>
          <w:rFonts w:ascii="Abadi" w:hAnsi="Abadi"/>
          <w:sz w:val="21"/>
          <w:szCs w:val="21"/>
        </w:rPr>
      </w:pPr>
    </w:p>
    <w:p w14:paraId="630C8AA1" w14:textId="77777777" w:rsidR="00677B7E" w:rsidRDefault="00677B7E" w:rsidP="00677B7E">
      <w:pPr>
        <w:pStyle w:val="Prrafodelista"/>
        <w:ind w:left="1560"/>
        <w:jc w:val="both"/>
        <w:rPr>
          <w:rFonts w:ascii="Abadi" w:hAnsi="Abadi"/>
          <w:sz w:val="21"/>
          <w:szCs w:val="21"/>
        </w:rPr>
      </w:pPr>
      <w:r w:rsidRPr="00370D2E">
        <w:rPr>
          <w:rFonts w:ascii="Abadi" w:hAnsi="Abadi"/>
          <w:sz w:val="21"/>
          <w:szCs w:val="21"/>
        </w:rPr>
        <w:t xml:space="preserve">La consulta para la designación de </w:t>
      </w:r>
      <w:r w:rsidRPr="00F921B1">
        <w:rPr>
          <w:rFonts w:ascii="Abadi" w:hAnsi="Abadi"/>
          <w:b/>
          <w:bCs/>
          <w:sz w:val="21"/>
          <w:szCs w:val="21"/>
        </w:rPr>
        <w:t>la persona titular de la Contraloría Municipal</w:t>
      </w:r>
      <w:r w:rsidRPr="00370D2E">
        <w:rPr>
          <w:rFonts w:ascii="Abadi" w:hAnsi="Abadi"/>
          <w:sz w:val="21"/>
          <w:szCs w:val="21"/>
        </w:rPr>
        <w:t xml:space="preserve"> estará a cargo del Comité Municipal Ciudadano, quien podrá solicitar asesoría al Comité de Participación Ciudadana del Sistema Estatal Anticorrupción sobre el mecanismo de consulta, previo a la publicación de la convocatoria.  </w:t>
      </w:r>
    </w:p>
    <w:p w14:paraId="732F240B" w14:textId="77777777" w:rsidR="00677B7E" w:rsidRDefault="00677B7E" w:rsidP="00677B7E">
      <w:pPr>
        <w:pStyle w:val="Prrafodelista"/>
        <w:ind w:left="1560"/>
        <w:jc w:val="both"/>
        <w:rPr>
          <w:rFonts w:ascii="Abadi" w:hAnsi="Abadi"/>
          <w:sz w:val="21"/>
          <w:szCs w:val="21"/>
        </w:rPr>
      </w:pPr>
    </w:p>
    <w:p w14:paraId="7286A6DD" w14:textId="77777777" w:rsidR="00677B7E" w:rsidRDefault="00677B7E" w:rsidP="00677B7E">
      <w:pPr>
        <w:pStyle w:val="Prrafodelista"/>
        <w:ind w:left="1560"/>
        <w:jc w:val="both"/>
        <w:rPr>
          <w:rFonts w:ascii="Abadi" w:hAnsi="Abadi"/>
          <w:sz w:val="21"/>
          <w:szCs w:val="21"/>
        </w:rPr>
      </w:pPr>
      <w:r w:rsidRPr="00370D2E">
        <w:rPr>
          <w:rFonts w:ascii="Abadi" w:hAnsi="Abadi"/>
          <w:sz w:val="21"/>
          <w:szCs w:val="21"/>
        </w:rPr>
        <w:t xml:space="preserve">La violación al procedimiento de designación </w:t>
      </w:r>
      <w:r w:rsidRPr="00F921B1">
        <w:rPr>
          <w:rFonts w:ascii="Abadi" w:hAnsi="Abadi"/>
          <w:b/>
          <w:bCs/>
          <w:sz w:val="21"/>
          <w:szCs w:val="21"/>
        </w:rPr>
        <w:t>de la persona titular de la Contraloría Municipal</w:t>
      </w:r>
      <w:r w:rsidRPr="00370D2E">
        <w:rPr>
          <w:rFonts w:ascii="Abadi" w:hAnsi="Abadi"/>
          <w:sz w:val="21"/>
          <w:szCs w:val="21"/>
        </w:rPr>
        <w:t xml:space="preserve"> estará afectada de nulidad.    </w:t>
      </w:r>
    </w:p>
    <w:p w14:paraId="32BC69A4" w14:textId="77777777" w:rsidR="00677B7E" w:rsidRDefault="00677B7E" w:rsidP="00677B7E">
      <w:pPr>
        <w:pStyle w:val="Prrafodelista"/>
        <w:ind w:left="1560"/>
        <w:jc w:val="both"/>
        <w:rPr>
          <w:rFonts w:ascii="Abadi" w:hAnsi="Abadi"/>
          <w:sz w:val="21"/>
          <w:szCs w:val="21"/>
        </w:rPr>
      </w:pPr>
    </w:p>
    <w:p w14:paraId="012D8E13" w14:textId="77777777" w:rsidR="00677B7E" w:rsidRDefault="00677B7E" w:rsidP="00677B7E">
      <w:pPr>
        <w:pStyle w:val="Prrafodelista"/>
        <w:ind w:left="1560"/>
        <w:jc w:val="both"/>
        <w:rPr>
          <w:rFonts w:ascii="Abadi" w:hAnsi="Abadi"/>
          <w:sz w:val="21"/>
          <w:szCs w:val="21"/>
        </w:rPr>
      </w:pPr>
      <w:r w:rsidRPr="000F0EE4">
        <w:rPr>
          <w:rFonts w:ascii="Abadi" w:hAnsi="Abadi"/>
          <w:b/>
          <w:bCs/>
          <w:sz w:val="21"/>
          <w:szCs w:val="21"/>
        </w:rPr>
        <w:t>Artículo 131-1</w:t>
      </w:r>
      <w:r w:rsidRPr="00370D2E">
        <w:rPr>
          <w:rFonts w:ascii="Abadi" w:hAnsi="Abadi"/>
          <w:sz w:val="21"/>
          <w:szCs w:val="21"/>
        </w:rPr>
        <w:t xml:space="preserve">. El Ayuntamiento constituirá un Comité Municipal Ciudadano </w:t>
      </w:r>
      <w:r w:rsidRPr="000F0EE4">
        <w:rPr>
          <w:rFonts w:ascii="Abadi" w:hAnsi="Abadi"/>
          <w:b/>
          <w:bCs/>
          <w:sz w:val="21"/>
          <w:szCs w:val="21"/>
        </w:rPr>
        <w:t>integrado por 5 personas ciudadanas</w:t>
      </w:r>
      <w:r w:rsidRPr="00370D2E">
        <w:rPr>
          <w:rFonts w:ascii="Abadi" w:hAnsi="Abadi"/>
          <w:sz w:val="21"/>
          <w:szCs w:val="21"/>
        </w:rPr>
        <w:t xml:space="preserve">, su cargo será honorífico y durará cuatro años, no tendrán interés alguno con el Ayuntamiento y no podrán ser </w:t>
      </w:r>
      <w:r w:rsidRPr="000F0EE4">
        <w:rPr>
          <w:rFonts w:ascii="Abadi" w:hAnsi="Abadi"/>
          <w:b/>
          <w:bCs/>
          <w:sz w:val="21"/>
          <w:szCs w:val="21"/>
        </w:rPr>
        <w:t xml:space="preserve">propuestas </w:t>
      </w:r>
      <w:r w:rsidRPr="00370D2E">
        <w:rPr>
          <w:rFonts w:ascii="Abadi" w:hAnsi="Abadi"/>
          <w:sz w:val="21"/>
          <w:szCs w:val="21"/>
        </w:rPr>
        <w:t xml:space="preserve">como candidatas al cargo de </w:t>
      </w:r>
      <w:r w:rsidRPr="000F0EE4">
        <w:rPr>
          <w:rFonts w:ascii="Abadi" w:hAnsi="Abadi"/>
          <w:b/>
          <w:bCs/>
          <w:sz w:val="21"/>
          <w:szCs w:val="21"/>
        </w:rPr>
        <w:t>Titular de la Contraloría Municipal</w:t>
      </w:r>
      <w:r w:rsidRPr="00370D2E">
        <w:rPr>
          <w:rFonts w:ascii="Abadi" w:hAnsi="Abadi"/>
          <w:sz w:val="21"/>
          <w:szCs w:val="21"/>
        </w:rPr>
        <w:t xml:space="preserve"> por un periodo de seis años contados a partir de la disolución del Comité Municipal Ciudadano.  </w:t>
      </w:r>
    </w:p>
    <w:p w14:paraId="4BB02C0B" w14:textId="77777777" w:rsidR="00677B7E" w:rsidRDefault="00677B7E" w:rsidP="00677B7E">
      <w:pPr>
        <w:pStyle w:val="Prrafodelista"/>
        <w:ind w:left="1560"/>
        <w:jc w:val="both"/>
        <w:rPr>
          <w:rFonts w:ascii="Abadi" w:hAnsi="Abadi"/>
          <w:sz w:val="21"/>
          <w:szCs w:val="21"/>
        </w:rPr>
      </w:pPr>
    </w:p>
    <w:p w14:paraId="4096843B" w14:textId="77777777" w:rsidR="00677B7E" w:rsidRDefault="00677B7E" w:rsidP="00677B7E">
      <w:pPr>
        <w:pStyle w:val="Prrafodelista"/>
        <w:ind w:left="1560"/>
        <w:jc w:val="both"/>
        <w:rPr>
          <w:rFonts w:ascii="Abadi" w:hAnsi="Abadi"/>
          <w:sz w:val="21"/>
          <w:szCs w:val="21"/>
        </w:rPr>
      </w:pPr>
      <w:r w:rsidRPr="00370D2E">
        <w:rPr>
          <w:rFonts w:ascii="Abadi" w:hAnsi="Abadi"/>
          <w:sz w:val="21"/>
          <w:szCs w:val="21"/>
        </w:rPr>
        <w:t xml:space="preserve">En la conformación del Comité se </w:t>
      </w:r>
      <w:r w:rsidRPr="000F0EE4">
        <w:rPr>
          <w:rFonts w:ascii="Abadi" w:hAnsi="Abadi"/>
          <w:b/>
          <w:bCs/>
          <w:sz w:val="21"/>
          <w:szCs w:val="21"/>
        </w:rPr>
        <w:t>deberá garantizar la paridad de género. Para dar cumplimiento a dicho principio, el Comité deberá estar integrado de manera que en ningún caso podrán ser más de tres personas de un mismo género</w:t>
      </w:r>
      <w:r w:rsidRPr="00370D2E">
        <w:rPr>
          <w:rFonts w:ascii="Abadi" w:hAnsi="Abadi"/>
          <w:sz w:val="21"/>
          <w:szCs w:val="21"/>
        </w:rPr>
        <w:t xml:space="preserve">.   </w:t>
      </w:r>
    </w:p>
    <w:p w14:paraId="695B8F64" w14:textId="77777777" w:rsidR="00677B7E" w:rsidRDefault="00677B7E" w:rsidP="00677B7E">
      <w:pPr>
        <w:pStyle w:val="Prrafodelista"/>
        <w:ind w:left="1560"/>
        <w:jc w:val="both"/>
        <w:rPr>
          <w:rFonts w:ascii="Abadi" w:hAnsi="Abadi"/>
          <w:sz w:val="21"/>
          <w:szCs w:val="21"/>
        </w:rPr>
      </w:pPr>
    </w:p>
    <w:p w14:paraId="7898E5DD" w14:textId="77777777" w:rsidR="00677B7E" w:rsidRDefault="00677B7E" w:rsidP="00677B7E">
      <w:pPr>
        <w:pStyle w:val="Prrafodelista"/>
        <w:ind w:left="1560"/>
        <w:jc w:val="both"/>
        <w:rPr>
          <w:rFonts w:ascii="Abadi" w:hAnsi="Abadi"/>
          <w:sz w:val="21"/>
          <w:szCs w:val="21"/>
        </w:rPr>
      </w:pPr>
      <w:r w:rsidRPr="00370D2E">
        <w:rPr>
          <w:rFonts w:ascii="Abadi" w:hAnsi="Abadi"/>
          <w:sz w:val="21"/>
          <w:szCs w:val="21"/>
        </w:rPr>
        <w:t xml:space="preserve">El Ayuntamiento convocará, preferentemente, a las instituciones de educación media superior y superior, así como a organizaciones de la sociedad civil del municipio, para proponer </w:t>
      </w:r>
      <w:r w:rsidRPr="00545BD7">
        <w:rPr>
          <w:rFonts w:ascii="Abadi" w:hAnsi="Abadi"/>
          <w:b/>
          <w:bCs/>
          <w:sz w:val="21"/>
          <w:szCs w:val="21"/>
        </w:rPr>
        <w:t>las candidaturas</w:t>
      </w:r>
      <w:r w:rsidRPr="00370D2E">
        <w:rPr>
          <w:rFonts w:ascii="Abadi" w:hAnsi="Abadi"/>
          <w:sz w:val="21"/>
          <w:szCs w:val="21"/>
        </w:rPr>
        <w:t xml:space="preserve"> a fin de integrar el Comité Municipal Ciudadano.    </w:t>
      </w:r>
    </w:p>
    <w:p w14:paraId="1CB736C3" w14:textId="77777777" w:rsidR="00677B7E" w:rsidRDefault="00677B7E" w:rsidP="00677B7E">
      <w:pPr>
        <w:pStyle w:val="Prrafodelista"/>
        <w:ind w:left="1560"/>
        <w:jc w:val="both"/>
        <w:rPr>
          <w:rFonts w:ascii="Abadi" w:hAnsi="Abadi"/>
          <w:sz w:val="21"/>
          <w:szCs w:val="21"/>
        </w:rPr>
      </w:pPr>
    </w:p>
    <w:p w14:paraId="3BBCAAD6" w14:textId="77777777" w:rsidR="00677B7E" w:rsidRDefault="00677B7E" w:rsidP="00677B7E">
      <w:pPr>
        <w:pStyle w:val="Prrafodelista"/>
        <w:ind w:left="1560"/>
        <w:jc w:val="both"/>
        <w:rPr>
          <w:rFonts w:ascii="Abadi" w:hAnsi="Abadi"/>
          <w:sz w:val="21"/>
          <w:szCs w:val="21"/>
        </w:rPr>
      </w:pPr>
      <w:r w:rsidRPr="0048446F">
        <w:rPr>
          <w:rFonts w:ascii="Abadi" w:hAnsi="Abadi"/>
          <w:b/>
          <w:bCs/>
          <w:sz w:val="21"/>
          <w:szCs w:val="21"/>
        </w:rPr>
        <w:t>Artículo 135</w:t>
      </w:r>
      <w:r w:rsidRPr="00370D2E">
        <w:rPr>
          <w:rFonts w:ascii="Abadi" w:hAnsi="Abadi"/>
          <w:sz w:val="21"/>
          <w:szCs w:val="21"/>
        </w:rPr>
        <w:t xml:space="preserve">. Para la integración de la comisión, se </w:t>
      </w:r>
      <w:r w:rsidRPr="0048446F">
        <w:rPr>
          <w:rFonts w:ascii="Abadi" w:hAnsi="Abadi"/>
          <w:b/>
          <w:bCs/>
          <w:sz w:val="21"/>
          <w:szCs w:val="21"/>
        </w:rPr>
        <w:t>observará el principio de</w:t>
      </w:r>
      <w:r w:rsidRPr="00370D2E">
        <w:rPr>
          <w:rFonts w:ascii="Abadi" w:hAnsi="Abadi"/>
          <w:sz w:val="21"/>
          <w:szCs w:val="21"/>
        </w:rPr>
        <w:t xml:space="preserve"> </w:t>
      </w:r>
      <w:r w:rsidRPr="0048446F">
        <w:rPr>
          <w:rFonts w:ascii="Abadi" w:hAnsi="Abadi"/>
          <w:b/>
          <w:bCs/>
          <w:sz w:val="21"/>
          <w:szCs w:val="21"/>
        </w:rPr>
        <w:t>paridad de género y</w:t>
      </w:r>
      <w:r w:rsidRPr="00370D2E">
        <w:rPr>
          <w:rFonts w:ascii="Abadi" w:hAnsi="Abadi"/>
          <w:sz w:val="21"/>
          <w:szCs w:val="21"/>
        </w:rPr>
        <w:t xml:space="preserve"> tomará en cuenta la pluralidad representada en el Ayuntamiento con base en el criterio de proporcionalidad entre la integración del mismo.    </w:t>
      </w:r>
    </w:p>
    <w:p w14:paraId="4FF29EF8" w14:textId="77777777" w:rsidR="00677B7E" w:rsidRDefault="00677B7E" w:rsidP="00677B7E">
      <w:pPr>
        <w:pStyle w:val="Prrafodelista"/>
        <w:ind w:left="1560"/>
        <w:jc w:val="both"/>
        <w:rPr>
          <w:rFonts w:ascii="Abadi" w:hAnsi="Abadi"/>
          <w:sz w:val="21"/>
          <w:szCs w:val="21"/>
        </w:rPr>
      </w:pPr>
    </w:p>
    <w:p w14:paraId="29C97805" w14:textId="77777777" w:rsidR="00677B7E" w:rsidRDefault="00677B7E" w:rsidP="00677B7E">
      <w:pPr>
        <w:pStyle w:val="Prrafodelista"/>
        <w:ind w:left="1560"/>
        <w:jc w:val="center"/>
        <w:rPr>
          <w:rFonts w:ascii="Abadi" w:hAnsi="Abadi"/>
          <w:b/>
          <w:bCs/>
          <w:sz w:val="21"/>
          <w:szCs w:val="21"/>
        </w:rPr>
      </w:pPr>
      <w:r w:rsidRPr="0048446F">
        <w:rPr>
          <w:rFonts w:ascii="Abadi" w:hAnsi="Abadi"/>
          <w:b/>
          <w:bCs/>
          <w:sz w:val="21"/>
          <w:szCs w:val="21"/>
        </w:rPr>
        <w:t>Capítulo III</w:t>
      </w:r>
    </w:p>
    <w:p w14:paraId="310E2F2F" w14:textId="77777777" w:rsidR="00677B7E" w:rsidRPr="0048446F" w:rsidRDefault="00677B7E" w:rsidP="00677B7E">
      <w:pPr>
        <w:pStyle w:val="Prrafodelista"/>
        <w:ind w:left="1560"/>
        <w:jc w:val="center"/>
        <w:rPr>
          <w:rFonts w:ascii="Abadi" w:hAnsi="Abadi"/>
          <w:b/>
          <w:bCs/>
          <w:sz w:val="21"/>
          <w:szCs w:val="21"/>
        </w:rPr>
      </w:pPr>
      <w:r w:rsidRPr="0048446F">
        <w:rPr>
          <w:rFonts w:ascii="Abadi" w:hAnsi="Abadi"/>
          <w:b/>
          <w:bCs/>
          <w:sz w:val="21"/>
          <w:szCs w:val="21"/>
        </w:rPr>
        <w:t>De las Personas Delegadas Municipales</w:t>
      </w:r>
    </w:p>
    <w:p w14:paraId="0834EFF9" w14:textId="77777777" w:rsidR="00677B7E" w:rsidRDefault="00677B7E" w:rsidP="00677B7E">
      <w:pPr>
        <w:pStyle w:val="Prrafodelista"/>
        <w:ind w:left="1560"/>
        <w:jc w:val="both"/>
        <w:rPr>
          <w:rFonts w:ascii="Abadi" w:hAnsi="Abadi"/>
          <w:sz w:val="21"/>
          <w:szCs w:val="21"/>
        </w:rPr>
      </w:pPr>
    </w:p>
    <w:p w14:paraId="71E6EB63" w14:textId="77777777" w:rsidR="00677B7E" w:rsidRPr="00C014DC" w:rsidRDefault="00677B7E" w:rsidP="00677B7E">
      <w:pPr>
        <w:pStyle w:val="Prrafodelista"/>
        <w:ind w:left="1560"/>
        <w:jc w:val="right"/>
        <w:rPr>
          <w:rFonts w:ascii="Abadi" w:hAnsi="Abadi"/>
          <w:b/>
          <w:bCs/>
          <w:sz w:val="21"/>
          <w:szCs w:val="21"/>
        </w:rPr>
      </w:pPr>
      <w:r w:rsidRPr="00C014DC">
        <w:rPr>
          <w:rFonts w:ascii="Abadi" w:hAnsi="Abadi"/>
          <w:b/>
          <w:bCs/>
          <w:sz w:val="21"/>
          <w:szCs w:val="21"/>
        </w:rPr>
        <w:t xml:space="preserve">Personas Delegadas y subdelegadas municipales  </w:t>
      </w:r>
    </w:p>
    <w:p w14:paraId="42E11D31" w14:textId="77777777" w:rsidR="00677B7E" w:rsidRDefault="00677B7E" w:rsidP="00677B7E">
      <w:pPr>
        <w:pStyle w:val="Prrafodelista"/>
        <w:ind w:left="1560"/>
        <w:jc w:val="both"/>
        <w:rPr>
          <w:rFonts w:ascii="Abadi" w:hAnsi="Abadi"/>
          <w:sz w:val="21"/>
          <w:szCs w:val="21"/>
        </w:rPr>
      </w:pPr>
    </w:p>
    <w:p w14:paraId="5129ADC0" w14:textId="77777777" w:rsidR="00677B7E" w:rsidRDefault="00677B7E" w:rsidP="00677B7E">
      <w:pPr>
        <w:pStyle w:val="Prrafodelista"/>
        <w:ind w:left="1560"/>
        <w:jc w:val="both"/>
        <w:rPr>
          <w:rFonts w:ascii="Abadi" w:hAnsi="Abadi"/>
          <w:sz w:val="21"/>
          <w:szCs w:val="21"/>
        </w:rPr>
      </w:pPr>
      <w:r w:rsidRPr="00C014DC">
        <w:rPr>
          <w:rFonts w:ascii="Abadi" w:hAnsi="Abadi"/>
          <w:b/>
          <w:bCs/>
          <w:sz w:val="21"/>
          <w:szCs w:val="21"/>
        </w:rPr>
        <w:t>Artículo 141</w:t>
      </w:r>
      <w:r w:rsidRPr="00370D2E">
        <w:rPr>
          <w:rFonts w:ascii="Abadi" w:hAnsi="Abadi"/>
          <w:sz w:val="21"/>
          <w:szCs w:val="21"/>
        </w:rPr>
        <w:t xml:space="preserve">. </w:t>
      </w:r>
      <w:r w:rsidRPr="00C014DC">
        <w:rPr>
          <w:rFonts w:ascii="Abadi" w:hAnsi="Abadi"/>
          <w:b/>
          <w:bCs/>
          <w:sz w:val="21"/>
          <w:szCs w:val="21"/>
        </w:rPr>
        <w:t>Las personas delegadas y subdelegadas</w:t>
      </w:r>
      <w:r w:rsidRPr="00370D2E">
        <w:rPr>
          <w:rFonts w:ascii="Abadi" w:hAnsi="Abadi"/>
          <w:sz w:val="21"/>
          <w:szCs w:val="21"/>
        </w:rPr>
        <w:t xml:space="preserve"> municipales son autoridades auxiliares del Ayuntamiento y del Presidente Municipal, en la demarcación territorial asignada a la delegación. Serán nombradas o ratificadas por el Ayuntamiento a propuesta del presidente municipal dentro de los seis meses siguientes a la instalación del Ayuntamiento.  </w:t>
      </w:r>
    </w:p>
    <w:p w14:paraId="46FB8D7E" w14:textId="77777777" w:rsidR="00677B7E" w:rsidRDefault="00677B7E" w:rsidP="00677B7E">
      <w:pPr>
        <w:pStyle w:val="Prrafodelista"/>
        <w:ind w:left="1560"/>
        <w:jc w:val="both"/>
        <w:rPr>
          <w:rFonts w:ascii="Abadi" w:hAnsi="Abadi"/>
          <w:sz w:val="21"/>
          <w:szCs w:val="21"/>
        </w:rPr>
      </w:pPr>
    </w:p>
    <w:p w14:paraId="3B700672" w14:textId="77777777" w:rsidR="00677B7E" w:rsidRDefault="00677B7E" w:rsidP="00677B7E">
      <w:pPr>
        <w:pStyle w:val="Prrafodelista"/>
        <w:ind w:left="1560"/>
        <w:jc w:val="both"/>
        <w:rPr>
          <w:rFonts w:ascii="Abadi" w:hAnsi="Abadi"/>
          <w:sz w:val="21"/>
          <w:szCs w:val="21"/>
        </w:rPr>
      </w:pPr>
      <w:r w:rsidRPr="00370D2E">
        <w:rPr>
          <w:rFonts w:ascii="Abadi" w:hAnsi="Abadi"/>
          <w:sz w:val="21"/>
          <w:szCs w:val="21"/>
        </w:rPr>
        <w:t xml:space="preserve">Para el nombramiento o la ratificación de </w:t>
      </w:r>
      <w:r w:rsidRPr="00C014DC">
        <w:rPr>
          <w:rFonts w:ascii="Abadi" w:hAnsi="Abadi"/>
          <w:b/>
          <w:bCs/>
          <w:sz w:val="21"/>
          <w:szCs w:val="21"/>
        </w:rPr>
        <w:t>las personas delegadas y subdelegadas</w:t>
      </w:r>
      <w:r w:rsidRPr="00370D2E">
        <w:rPr>
          <w:rFonts w:ascii="Abadi" w:hAnsi="Abadi"/>
          <w:sz w:val="21"/>
          <w:szCs w:val="21"/>
        </w:rPr>
        <w:t xml:space="preserve"> municipales, se requerirá la mayoría absoluta del Ayuntamiento </w:t>
      </w:r>
      <w:r w:rsidRPr="00E61E42">
        <w:rPr>
          <w:rFonts w:ascii="Abadi" w:hAnsi="Abadi"/>
          <w:b/>
          <w:bCs/>
          <w:sz w:val="21"/>
          <w:szCs w:val="21"/>
        </w:rPr>
        <w:t>y se deberá</w:t>
      </w:r>
      <w:r w:rsidRPr="00370D2E">
        <w:rPr>
          <w:rFonts w:ascii="Abadi" w:hAnsi="Abadi"/>
          <w:sz w:val="21"/>
          <w:szCs w:val="21"/>
        </w:rPr>
        <w:t xml:space="preserve"> </w:t>
      </w:r>
      <w:r w:rsidRPr="00E61E42">
        <w:rPr>
          <w:rFonts w:ascii="Abadi" w:hAnsi="Abadi"/>
          <w:b/>
          <w:bCs/>
          <w:sz w:val="21"/>
          <w:szCs w:val="21"/>
        </w:rPr>
        <w:t>observar el principio de paridad de género.</w:t>
      </w:r>
      <w:r w:rsidRPr="00370D2E">
        <w:rPr>
          <w:rFonts w:ascii="Abadi" w:hAnsi="Abadi"/>
          <w:sz w:val="21"/>
          <w:szCs w:val="21"/>
        </w:rPr>
        <w:t xml:space="preserve">  </w:t>
      </w:r>
    </w:p>
    <w:p w14:paraId="53B41DED" w14:textId="77777777" w:rsidR="00677B7E" w:rsidRDefault="00677B7E" w:rsidP="00677B7E">
      <w:pPr>
        <w:pStyle w:val="Prrafodelista"/>
        <w:ind w:left="1560"/>
        <w:jc w:val="both"/>
        <w:rPr>
          <w:rFonts w:ascii="Abadi" w:hAnsi="Abadi"/>
          <w:sz w:val="21"/>
          <w:szCs w:val="21"/>
        </w:rPr>
      </w:pPr>
    </w:p>
    <w:p w14:paraId="3FECF71F" w14:textId="77777777" w:rsidR="00677B7E" w:rsidRDefault="00677B7E" w:rsidP="00677B7E">
      <w:pPr>
        <w:pStyle w:val="Prrafodelista"/>
        <w:ind w:left="1560"/>
        <w:jc w:val="both"/>
        <w:rPr>
          <w:rFonts w:ascii="Abadi" w:hAnsi="Abadi"/>
          <w:sz w:val="21"/>
          <w:szCs w:val="21"/>
        </w:rPr>
      </w:pPr>
      <w:r w:rsidRPr="00370D2E">
        <w:rPr>
          <w:rFonts w:ascii="Abadi" w:hAnsi="Abadi"/>
          <w:sz w:val="21"/>
          <w:szCs w:val="21"/>
        </w:rPr>
        <w:t xml:space="preserve">Para efecto de formular, la propuesta de </w:t>
      </w:r>
      <w:r w:rsidRPr="00E61E42">
        <w:rPr>
          <w:rFonts w:ascii="Abadi" w:hAnsi="Abadi"/>
          <w:b/>
          <w:bCs/>
          <w:sz w:val="21"/>
          <w:szCs w:val="21"/>
        </w:rPr>
        <w:t>las personas delegadas y subdelegadas</w:t>
      </w:r>
      <w:r w:rsidRPr="00370D2E">
        <w:rPr>
          <w:rFonts w:ascii="Abadi" w:hAnsi="Abadi"/>
          <w:sz w:val="21"/>
          <w:szCs w:val="21"/>
        </w:rPr>
        <w:t xml:space="preserve">, el Presidente Municipal podrá optar por realizar una consulta pública previa a los habitantes de la delegación, cuya metodología deberá aprobarse por el Ayuntamiento. En el supuesto de que el presidente en su propuesta atienda al resultado de la consulta, la aprobación será por mayoría simple del Ayuntamiento.  </w:t>
      </w:r>
    </w:p>
    <w:p w14:paraId="00D13AEE" w14:textId="77777777" w:rsidR="00677B7E" w:rsidRDefault="00677B7E" w:rsidP="00677B7E">
      <w:pPr>
        <w:pStyle w:val="Prrafodelista"/>
        <w:ind w:left="1560"/>
        <w:jc w:val="both"/>
        <w:rPr>
          <w:rFonts w:ascii="Abadi" w:hAnsi="Abadi"/>
          <w:sz w:val="21"/>
          <w:szCs w:val="21"/>
        </w:rPr>
      </w:pPr>
    </w:p>
    <w:p w14:paraId="75CE67B1" w14:textId="77777777" w:rsidR="00677B7E" w:rsidRDefault="00677B7E" w:rsidP="00677B7E">
      <w:pPr>
        <w:pStyle w:val="Prrafodelista"/>
        <w:ind w:left="1560"/>
        <w:jc w:val="both"/>
        <w:rPr>
          <w:rFonts w:ascii="Abadi" w:hAnsi="Abadi"/>
          <w:sz w:val="21"/>
          <w:szCs w:val="21"/>
        </w:rPr>
      </w:pPr>
      <w:r w:rsidRPr="009B0FD7">
        <w:rPr>
          <w:rFonts w:ascii="Abadi" w:hAnsi="Abadi"/>
          <w:b/>
          <w:bCs/>
          <w:sz w:val="21"/>
          <w:szCs w:val="21"/>
        </w:rPr>
        <w:t>Las personas delegadas y subdelegadas</w:t>
      </w:r>
      <w:r w:rsidRPr="00370D2E">
        <w:rPr>
          <w:rFonts w:ascii="Abadi" w:hAnsi="Abadi"/>
          <w:sz w:val="21"/>
          <w:szCs w:val="21"/>
        </w:rPr>
        <w:t xml:space="preserve"> municipales durarán en su cargo tres años, salvo renuncia o destitución.  </w:t>
      </w:r>
    </w:p>
    <w:p w14:paraId="0A6CEA17" w14:textId="77777777" w:rsidR="00677B7E" w:rsidRDefault="00677B7E" w:rsidP="00677B7E">
      <w:pPr>
        <w:pStyle w:val="Prrafodelista"/>
        <w:ind w:left="1560"/>
        <w:jc w:val="both"/>
        <w:rPr>
          <w:rFonts w:ascii="Abadi" w:hAnsi="Abadi"/>
          <w:sz w:val="21"/>
          <w:szCs w:val="21"/>
        </w:rPr>
      </w:pPr>
    </w:p>
    <w:p w14:paraId="0F5D2BE1" w14:textId="77777777" w:rsidR="00677B7E" w:rsidRDefault="00677B7E" w:rsidP="00677B7E">
      <w:pPr>
        <w:pStyle w:val="Prrafodelista"/>
        <w:ind w:left="1560"/>
        <w:jc w:val="both"/>
        <w:rPr>
          <w:rFonts w:ascii="Abadi" w:hAnsi="Abadi"/>
          <w:sz w:val="21"/>
          <w:szCs w:val="21"/>
        </w:rPr>
      </w:pPr>
      <w:r w:rsidRPr="009B0FD7">
        <w:rPr>
          <w:rFonts w:ascii="Abadi" w:hAnsi="Abadi"/>
          <w:b/>
          <w:bCs/>
          <w:sz w:val="21"/>
          <w:szCs w:val="21"/>
        </w:rPr>
        <w:t>III.</w:t>
      </w:r>
      <w:r w:rsidRPr="00370D2E">
        <w:rPr>
          <w:rFonts w:ascii="Abadi" w:hAnsi="Abadi"/>
          <w:sz w:val="21"/>
          <w:szCs w:val="21"/>
        </w:rPr>
        <w:t xml:space="preserve"> Derogada. </w:t>
      </w:r>
    </w:p>
    <w:p w14:paraId="04692112" w14:textId="77777777" w:rsidR="00677B7E" w:rsidRDefault="00677B7E" w:rsidP="00677B7E">
      <w:pPr>
        <w:pStyle w:val="Prrafodelista"/>
        <w:ind w:left="1560"/>
        <w:jc w:val="both"/>
        <w:rPr>
          <w:rFonts w:ascii="Abadi" w:hAnsi="Abadi"/>
          <w:sz w:val="21"/>
          <w:szCs w:val="21"/>
        </w:rPr>
      </w:pPr>
      <w:r w:rsidRPr="009B0FD7">
        <w:rPr>
          <w:rFonts w:ascii="Abadi" w:hAnsi="Abadi"/>
          <w:b/>
          <w:bCs/>
          <w:sz w:val="21"/>
          <w:szCs w:val="21"/>
        </w:rPr>
        <w:t>IV</w:t>
      </w:r>
      <w:r w:rsidRPr="00370D2E">
        <w:rPr>
          <w:rFonts w:ascii="Abadi" w:hAnsi="Abadi"/>
          <w:sz w:val="21"/>
          <w:szCs w:val="21"/>
        </w:rPr>
        <w:t xml:space="preserve">. Derogada. </w:t>
      </w:r>
    </w:p>
    <w:p w14:paraId="50266A35" w14:textId="77777777" w:rsidR="00677B7E" w:rsidRDefault="00677B7E" w:rsidP="00677B7E">
      <w:pPr>
        <w:pStyle w:val="Prrafodelista"/>
        <w:ind w:left="1560"/>
        <w:jc w:val="both"/>
        <w:rPr>
          <w:rFonts w:ascii="Abadi" w:hAnsi="Abadi"/>
          <w:sz w:val="21"/>
          <w:szCs w:val="21"/>
        </w:rPr>
      </w:pPr>
      <w:r w:rsidRPr="00370D2E">
        <w:rPr>
          <w:rFonts w:ascii="Abadi" w:hAnsi="Abadi"/>
          <w:sz w:val="21"/>
          <w:szCs w:val="21"/>
        </w:rPr>
        <w:t xml:space="preserve">     </w:t>
      </w:r>
    </w:p>
    <w:p w14:paraId="6CC555B5" w14:textId="77777777" w:rsidR="00677B7E" w:rsidRPr="00D508D6" w:rsidRDefault="00677B7E" w:rsidP="00677B7E">
      <w:pPr>
        <w:pStyle w:val="Prrafodelista"/>
        <w:ind w:left="1560"/>
        <w:jc w:val="both"/>
        <w:rPr>
          <w:rFonts w:ascii="Abadi" w:hAnsi="Abadi"/>
          <w:b/>
          <w:bCs/>
          <w:sz w:val="21"/>
          <w:szCs w:val="21"/>
        </w:rPr>
      </w:pPr>
      <w:r w:rsidRPr="009B0FD7">
        <w:rPr>
          <w:rFonts w:ascii="Abadi" w:hAnsi="Abadi"/>
          <w:b/>
          <w:bCs/>
          <w:sz w:val="21"/>
          <w:szCs w:val="21"/>
        </w:rPr>
        <w:t>Artículo 152</w:t>
      </w:r>
      <w:r w:rsidRPr="00370D2E">
        <w:rPr>
          <w:rFonts w:ascii="Abadi" w:hAnsi="Abadi"/>
          <w:sz w:val="21"/>
          <w:szCs w:val="21"/>
        </w:rPr>
        <w:t xml:space="preserve">. La administración de los organismos descentralizados estará a cargo de un órgano de gobierno, que será un consejo directivo o su equivalente, designado por el Ayuntamiento en los términos del acuerdo y reglamento respectivo </w:t>
      </w:r>
      <w:r w:rsidRPr="00D508D6">
        <w:rPr>
          <w:rFonts w:ascii="Abadi" w:hAnsi="Abadi"/>
          <w:b/>
          <w:bCs/>
          <w:sz w:val="21"/>
          <w:szCs w:val="21"/>
        </w:rPr>
        <w:t xml:space="preserve">y observando el principio de paridad de género.  </w:t>
      </w:r>
    </w:p>
    <w:p w14:paraId="6975F484" w14:textId="77777777" w:rsidR="00677B7E" w:rsidRPr="00D508D6" w:rsidRDefault="00677B7E" w:rsidP="00677B7E">
      <w:pPr>
        <w:pStyle w:val="Prrafodelista"/>
        <w:ind w:left="1560"/>
        <w:jc w:val="both"/>
        <w:rPr>
          <w:rFonts w:ascii="Abadi" w:hAnsi="Abadi"/>
          <w:b/>
          <w:bCs/>
          <w:sz w:val="21"/>
          <w:szCs w:val="21"/>
        </w:rPr>
      </w:pPr>
    </w:p>
    <w:p w14:paraId="6D325E37" w14:textId="77777777" w:rsidR="00677B7E" w:rsidRDefault="00677B7E" w:rsidP="00677B7E">
      <w:pPr>
        <w:pStyle w:val="Prrafodelista"/>
        <w:ind w:left="1560"/>
        <w:jc w:val="both"/>
        <w:rPr>
          <w:rFonts w:ascii="Abadi" w:hAnsi="Abadi"/>
          <w:sz w:val="21"/>
          <w:szCs w:val="21"/>
        </w:rPr>
      </w:pPr>
      <w:r w:rsidRPr="00370D2E">
        <w:rPr>
          <w:rFonts w:ascii="Abadi" w:hAnsi="Abadi"/>
          <w:sz w:val="21"/>
          <w:szCs w:val="21"/>
        </w:rPr>
        <w:t xml:space="preserve">El consejo directivo o su equivalente, elegirá de entre sus </w:t>
      </w:r>
      <w:r w:rsidRPr="00D508D6">
        <w:rPr>
          <w:rFonts w:ascii="Abadi" w:hAnsi="Abadi"/>
          <w:b/>
          <w:bCs/>
          <w:sz w:val="21"/>
          <w:szCs w:val="21"/>
        </w:rPr>
        <w:t>integrantes</w:t>
      </w:r>
      <w:r w:rsidRPr="00370D2E">
        <w:rPr>
          <w:rFonts w:ascii="Abadi" w:hAnsi="Abadi"/>
          <w:sz w:val="21"/>
          <w:szCs w:val="21"/>
        </w:rPr>
        <w:t xml:space="preserve"> a </w:t>
      </w:r>
      <w:r w:rsidRPr="00D508D6">
        <w:rPr>
          <w:rFonts w:ascii="Abadi" w:hAnsi="Abadi"/>
          <w:b/>
          <w:bCs/>
          <w:sz w:val="21"/>
          <w:szCs w:val="21"/>
        </w:rPr>
        <w:t>quien ocupe su presidencia</w:t>
      </w:r>
      <w:r w:rsidRPr="00370D2E">
        <w:rPr>
          <w:rFonts w:ascii="Abadi" w:hAnsi="Abadi"/>
          <w:sz w:val="21"/>
          <w:szCs w:val="21"/>
        </w:rPr>
        <w:t xml:space="preserve"> y, en su caso, designará </w:t>
      </w:r>
      <w:r w:rsidRPr="00D508D6">
        <w:rPr>
          <w:rFonts w:ascii="Abadi" w:hAnsi="Abadi"/>
          <w:b/>
          <w:bCs/>
          <w:sz w:val="21"/>
          <w:szCs w:val="21"/>
        </w:rPr>
        <w:t>a la persona titular de la dirección</w:t>
      </w:r>
      <w:r w:rsidRPr="00370D2E">
        <w:rPr>
          <w:rFonts w:ascii="Abadi" w:hAnsi="Abadi"/>
          <w:sz w:val="21"/>
          <w:szCs w:val="21"/>
        </w:rPr>
        <w:t xml:space="preserve"> </w:t>
      </w:r>
      <w:r w:rsidRPr="00D508D6">
        <w:rPr>
          <w:rFonts w:ascii="Abadi" w:hAnsi="Abadi"/>
          <w:b/>
          <w:bCs/>
          <w:sz w:val="21"/>
          <w:szCs w:val="21"/>
        </w:rPr>
        <w:t xml:space="preserve">general </w:t>
      </w:r>
      <w:r w:rsidRPr="00370D2E">
        <w:rPr>
          <w:rFonts w:ascii="Abadi" w:hAnsi="Abadi"/>
          <w:sz w:val="21"/>
          <w:szCs w:val="21"/>
        </w:rPr>
        <w:t xml:space="preserve">y demás personal necesario para el cumplimiento de sus funciones; además nombrará </w:t>
      </w:r>
      <w:r w:rsidRPr="00D508D6">
        <w:rPr>
          <w:rFonts w:ascii="Abadi" w:hAnsi="Abadi"/>
          <w:b/>
          <w:bCs/>
          <w:sz w:val="21"/>
          <w:szCs w:val="21"/>
        </w:rPr>
        <w:t>a la persona titular</w:t>
      </w:r>
      <w:r w:rsidRPr="00370D2E">
        <w:rPr>
          <w:rFonts w:ascii="Abadi" w:hAnsi="Abadi"/>
          <w:sz w:val="21"/>
          <w:szCs w:val="21"/>
        </w:rPr>
        <w:t xml:space="preserve"> de su Unidad de Transparencia.  </w:t>
      </w:r>
    </w:p>
    <w:p w14:paraId="40556442" w14:textId="77777777" w:rsidR="00677B7E" w:rsidRDefault="00677B7E" w:rsidP="00677B7E">
      <w:pPr>
        <w:pStyle w:val="Prrafodelista"/>
        <w:ind w:left="1560"/>
        <w:jc w:val="both"/>
        <w:rPr>
          <w:rFonts w:ascii="Abadi" w:hAnsi="Abadi"/>
          <w:sz w:val="21"/>
          <w:szCs w:val="21"/>
        </w:rPr>
      </w:pPr>
    </w:p>
    <w:p w14:paraId="26F4109E" w14:textId="77777777" w:rsidR="00677B7E" w:rsidRDefault="00677B7E" w:rsidP="00677B7E">
      <w:pPr>
        <w:pStyle w:val="Prrafodelista"/>
        <w:ind w:left="1560"/>
        <w:jc w:val="both"/>
        <w:rPr>
          <w:rFonts w:ascii="Abadi" w:hAnsi="Abadi"/>
          <w:sz w:val="21"/>
          <w:szCs w:val="21"/>
        </w:rPr>
      </w:pPr>
      <w:r w:rsidRPr="00D508D6">
        <w:rPr>
          <w:rFonts w:ascii="Abadi" w:hAnsi="Abadi"/>
          <w:b/>
          <w:bCs/>
          <w:sz w:val="21"/>
          <w:szCs w:val="21"/>
        </w:rPr>
        <w:t>Se deberá garantizar la alternancia en el género en los nombramientos de la persona presidenta del consejo directivo o su equivalente, titulares de la dirección general y de su Unidad de Transparencia</w:t>
      </w:r>
      <w:r w:rsidRPr="00370D2E">
        <w:rPr>
          <w:rFonts w:ascii="Abadi" w:hAnsi="Abadi"/>
          <w:sz w:val="21"/>
          <w:szCs w:val="21"/>
        </w:rPr>
        <w:t xml:space="preserve">.  </w:t>
      </w:r>
    </w:p>
    <w:p w14:paraId="7C2E52AA" w14:textId="77777777" w:rsidR="00677B7E" w:rsidRDefault="00677B7E" w:rsidP="00677B7E">
      <w:pPr>
        <w:pStyle w:val="Prrafodelista"/>
        <w:ind w:left="1560"/>
        <w:jc w:val="both"/>
        <w:rPr>
          <w:rFonts w:ascii="Abadi" w:hAnsi="Abadi"/>
          <w:sz w:val="21"/>
          <w:szCs w:val="21"/>
        </w:rPr>
      </w:pPr>
      <w:r w:rsidRPr="00370D2E">
        <w:rPr>
          <w:rFonts w:ascii="Abadi" w:hAnsi="Abadi"/>
          <w:sz w:val="21"/>
          <w:szCs w:val="21"/>
        </w:rPr>
        <w:t xml:space="preserve">Las sesiones de...    </w:t>
      </w:r>
    </w:p>
    <w:p w14:paraId="182638B9" w14:textId="77777777" w:rsidR="00677B7E" w:rsidRDefault="00677B7E" w:rsidP="00677B7E">
      <w:pPr>
        <w:pStyle w:val="Prrafodelista"/>
        <w:ind w:left="1560"/>
        <w:jc w:val="both"/>
        <w:rPr>
          <w:rFonts w:ascii="Abadi" w:hAnsi="Abadi"/>
          <w:sz w:val="21"/>
          <w:szCs w:val="21"/>
        </w:rPr>
      </w:pPr>
    </w:p>
    <w:p w14:paraId="0D5AD984" w14:textId="77777777" w:rsidR="00677B7E" w:rsidRDefault="00677B7E" w:rsidP="00677B7E">
      <w:pPr>
        <w:pStyle w:val="Prrafodelista"/>
        <w:ind w:left="1560"/>
        <w:jc w:val="both"/>
        <w:rPr>
          <w:rFonts w:ascii="Abadi" w:hAnsi="Abadi"/>
          <w:sz w:val="21"/>
          <w:szCs w:val="21"/>
        </w:rPr>
      </w:pPr>
      <w:r w:rsidRPr="00D508D6">
        <w:rPr>
          <w:rFonts w:ascii="Abadi" w:hAnsi="Abadi"/>
          <w:b/>
          <w:bCs/>
          <w:sz w:val="21"/>
          <w:szCs w:val="21"/>
        </w:rPr>
        <w:t>Artículo 159</w:t>
      </w:r>
      <w:r w:rsidRPr="00370D2E">
        <w:rPr>
          <w:rFonts w:ascii="Abadi" w:hAnsi="Abadi"/>
          <w:sz w:val="21"/>
          <w:szCs w:val="21"/>
        </w:rPr>
        <w:t xml:space="preserve">. La creación de los fideicomisos públicos se sujetará a las siguientes bases:  </w:t>
      </w:r>
    </w:p>
    <w:p w14:paraId="71575B4A" w14:textId="77777777" w:rsidR="00677B7E" w:rsidRDefault="00677B7E" w:rsidP="00677B7E">
      <w:pPr>
        <w:pStyle w:val="Prrafodelista"/>
        <w:ind w:left="1560"/>
        <w:jc w:val="both"/>
        <w:rPr>
          <w:rFonts w:ascii="Abadi" w:hAnsi="Abadi"/>
          <w:sz w:val="21"/>
          <w:szCs w:val="21"/>
        </w:rPr>
      </w:pPr>
    </w:p>
    <w:p w14:paraId="3F562AE2" w14:textId="77777777" w:rsidR="00677B7E" w:rsidRDefault="00677B7E" w:rsidP="00677B7E">
      <w:pPr>
        <w:pStyle w:val="Prrafodelista"/>
        <w:ind w:left="1560"/>
        <w:jc w:val="both"/>
        <w:rPr>
          <w:rFonts w:ascii="Abadi" w:hAnsi="Abadi"/>
          <w:sz w:val="21"/>
          <w:szCs w:val="21"/>
        </w:rPr>
      </w:pPr>
      <w:r w:rsidRPr="00D508D6">
        <w:rPr>
          <w:rFonts w:ascii="Abadi" w:hAnsi="Abadi"/>
          <w:b/>
          <w:bCs/>
          <w:sz w:val="21"/>
          <w:szCs w:val="21"/>
        </w:rPr>
        <w:t>I.</w:t>
      </w:r>
      <w:r w:rsidRPr="00370D2E">
        <w:rPr>
          <w:rFonts w:ascii="Abadi" w:hAnsi="Abadi"/>
          <w:sz w:val="21"/>
          <w:szCs w:val="21"/>
        </w:rPr>
        <w:t xml:space="preserve"> Contarán con </w:t>
      </w:r>
      <w:r w:rsidRPr="00D508D6">
        <w:rPr>
          <w:rFonts w:ascii="Abadi" w:hAnsi="Abadi"/>
          <w:b/>
          <w:bCs/>
          <w:sz w:val="21"/>
          <w:szCs w:val="21"/>
        </w:rPr>
        <w:t>una Dirección General</w:t>
      </w:r>
      <w:r w:rsidRPr="00370D2E">
        <w:rPr>
          <w:rFonts w:ascii="Abadi" w:hAnsi="Abadi"/>
          <w:sz w:val="21"/>
          <w:szCs w:val="21"/>
        </w:rPr>
        <w:t xml:space="preserve">, un Comité Técnico que fungirá como órgano de gobierno, </w:t>
      </w:r>
      <w:r w:rsidRPr="00D508D6">
        <w:rPr>
          <w:rFonts w:ascii="Abadi" w:hAnsi="Abadi"/>
          <w:b/>
          <w:bCs/>
          <w:sz w:val="21"/>
          <w:szCs w:val="21"/>
        </w:rPr>
        <w:t>y una Comisarí</w:t>
      </w:r>
      <w:r w:rsidRPr="00370D2E">
        <w:rPr>
          <w:rFonts w:ascii="Abadi" w:hAnsi="Abadi"/>
          <w:sz w:val="21"/>
          <w:szCs w:val="21"/>
        </w:rPr>
        <w:t xml:space="preserve">a de la vigilancia, </w:t>
      </w:r>
      <w:r w:rsidRPr="00D508D6">
        <w:rPr>
          <w:rFonts w:ascii="Abadi" w:hAnsi="Abadi"/>
          <w:b/>
          <w:bCs/>
          <w:sz w:val="21"/>
          <w:szCs w:val="21"/>
        </w:rPr>
        <w:t xml:space="preserve">designada </w:t>
      </w:r>
      <w:r w:rsidRPr="00370D2E">
        <w:rPr>
          <w:rFonts w:ascii="Abadi" w:hAnsi="Abadi"/>
          <w:sz w:val="21"/>
          <w:szCs w:val="21"/>
        </w:rPr>
        <w:t xml:space="preserve">por la Contraloría Municipal. Dichos cargos serán honoríficos;  </w:t>
      </w:r>
    </w:p>
    <w:p w14:paraId="67B7E376" w14:textId="77777777" w:rsidR="00677B7E" w:rsidRDefault="00677B7E" w:rsidP="00677B7E">
      <w:pPr>
        <w:pStyle w:val="Prrafodelista"/>
        <w:ind w:left="1560"/>
        <w:jc w:val="both"/>
        <w:rPr>
          <w:rFonts w:ascii="Abadi" w:hAnsi="Abadi"/>
          <w:sz w:val="21"/>
          <w:szCs w:val="21"/>
        </w:rPr>
      </w:pPr>
    </w:p>
    <w:p w14:paraId="149E0B06" w14:textId="77777777" w:rsidR="00677B7E" w:rsidRDefault="00677B7E" w:rsidP="00677B7E">
      <w:pPr>
        <w:pStyle w:val="Prrafodelista"/>
        <w:ind w:left="1560"/>
        <w:jc w:val="both"/>
        <w:rPr>
          <w:rFonts w:ascii="Abadi" w:hAnsi="Abadi"/>
          <w:sz w:val="21"/>
          <w:szCs w:val="21"/>
        </w:rPr>
      </w:pPr>
      <w:r w:rsidRPr="00D508D6">
        <w:rPr>
          <w:rFonts w:ascii="Abadi" w:hAnsi="Abadi"/>
          <w:b/>
          <w:bCs/>
          <w:sz w:val="21"/>
          <w:szCs w:val="21"/>
        </w:rPr>
        <w:t>II.</w:t>
      </w:r>
      <w:r w:rsidRPr="00370D2E">
        <w:rPr>
          <w:rFonts w:ascii="Abadi" w:hAnsi="Abadi"/>
          <w:sz w:val="21"/>
          <w:szCs w:val="21"/>
        </w:rPr>
        <w:t xml:space="preserve"> a </w:t>
      </w:r>
      <w:r w:rsidRPr="00D508D6">
        <w:rPr>
          <w:rFonts w:ascii="Abadi" w:hAnsi="Abadi"/>
          <w:b/>
          <w:bCs/>
          <w:sz w:val="21"/>
          <w:szCs w:val="21"/>
        </w:rPr>
        <w:t>VI.</w:t>
      </w:r>
      <w:r w:rsidRPr="00370D2E">
        <w:rPr>
          <w:rFonts w:ascii="Abadi" w:hAnsi="Abadi"/>
          <w:sz w:val="21"/>
          <w:szCs w:val="21"/>
        </w:rPr>
        <w:t xml:space="preserve">     </w:t>
      </w:r>
    </w:p>
    <w:p w14:paraId="0E19A0E7" w14:textId="77777777" w:rsidR="00677B7E" w:rsidRDefault="00677B7E" w:rsidP="00677B7E">
      <w:pPr>
        <w:pStyle w:val="Prrafodelista"/>
        <w:ind w:left="1560"/>
        <w:jc w:val="both"/>
        <w:rPr>
          <w:rFonts w:ascii="Abadi" w:hAnsi="Abadi"/>
          <w:sz w:val="21"/>
          <w:szCs w:val="21"/>
        </w:rPr>
      </w:pPr>
    </w:p>
    <w:p w14:paraId="083E687B" w14:textId="77777777" w:rsidR="00677B7E" w:rsidRDefault="00677B7E" w:rsidP="00677B7E">
      <w:pPr>
        <w:pStyle w:val="Prrafodelista"/>
        <w:ind w:left="1560"/>
        <w:jc w:val="both"/>
        <w:rPr>
          <w:rFonts w:ascii="Abadi" w:hAnsi="Abadi"/>
          <w:sz w:val="21"/>
          <w:szCs w:val="21"/>
        </w:rPr>
      </w:pPr>
      <w:r w:rsidRPr="00D508D6">
        <w:rPr>
          <w:rFonts w:ascii="Abadi" w:hAnsi="Abadi"/>
          <w:b/>
          <w:bCs/>
          <w:sz w:val="21"/>
          <w:szCs w:val="21"/>
        </w:rPr>
        <w:t>Artículo 160.</w:t>
      </w:r>
      <w:r w:rsidRPr="00370D2E">
        <w:rPr>
          <w:rFonts w:ascii="Abadi" w:hAnsi="Abadi"/>
          <w:sz w:val="21"/>
          <w:szCs w:val="21"/>
        </w:rPr>
        <w:t xml:space="preserve"> El Comité Técnico deberá estar integrado por lo menos con </w:t>
      </w:r>
      <w:r w:rsidRPr="00C91FC4">
        <w:rPr>
          <w:rFonts w:ascii="Abadi" w:hAnsi="Abadi"/>
          <w:b/>
          <w:bCs/>
          <w:sz w:val="21"/>
          <w:szCs w:val="21"/>
        </w:rPr>
        <w:t>las</w:t>
      </w:r>
      <w:r w:rsidRPr="00370D2E">
        <w:rPr>
          <w:rFonts w:ascii="Abadi" w:hAnsi="Abadi"/>
          <w:sz w:val="21"/>
          <w:szCs w:val="21"/>
        </w:rPr>
        <w:t xml:space="preserve"> siguientes </w:t>
      </w:r>
      <w:r w:rsidRPr="00C91FC4">
        <w:rPr>
          <w:rFonts w:ascii="Abadi" w:hAnsi="Abadi"/>
          <w:b/>
          <w:bCs/>
          <w:sz w:val="21"/>
          <w:szCs w:val="21"/>
        </w:rPr>
        <w:t>personas propietarias</w:t>
      </w:r>
      <w:r w:rsidRPr="00370D2E">
        <w:rPr>
          <w:rFonts w:ascii="Abadi" w:hAnsi="Abadi"/>
          <w:sz w:val="21"/>
          <w:szCs w:val="21"/>
        </w:rPr>
        <w:t xml:space="preserve">: </w:t>
      </w:r>
    </w:p>
    <w:p w14:paraId="5D3AF0C0" w14:textId="77777777" w:rsidR="00677B7E" w:rsidRDefault="00677B7E" w:rsidP="00677B7E">
      <w:pPr>
        <w:pStyle w:val="Prrafodelista"/>
        <w:ind w:left="1560"/>
        <w:jc w:val="both"/>
        <w:rPr>
          <w:rFonts w:ascii="Abadi" w:hAnsi="Abadi"/>
          <w:sz w:val="21"/>
          <w:szCs w:val="21"/>
        </w:rPr>
      </w:pPr>
    </w:p>
    <w:p w14:paraId="5EFFB218" w14:textId="77777777" w:rsidR="00E05070" w:rsidRDefault="00677B7E" w:rsidP="00677B7E">
      <w:pPr>
        <w:pStyle w:val="Prrafodelista"/>
        <w:ind w:left="1560"/>
        <w:jc w:val="both"/>
        <w:rPr>
          <w:rFonts w:ascii="Abadi" w:hAnsi="Abadi"/>
          <w:sz w:val="21"/>
          <w:szCs w:val="21"/>
        </w:rPr>
      </w:pPr>
      <w:r w:rsidRPr="00C91FC4">
        <w:rPr>
          <w:rFonts w:ascii="Abadi" w:hAnsi="Abadi"/>
          <w:b/>
          <w:bCs/>
          <w:sz w:val="21"/>
          <w:szCs w:val="21"/>
        </w:rPr>
        <w:t>I. La persona síndica o una de ellas</w:t>
      </w:r>
      <w:r w:rsidRPr="00370D2E">
        <w:rPr>
          <w:rFonts w:ascii="Abadi" w:hAnsi="Abadi"/>
          <w:sz w:val="21"/>
          <w:szCs w:val="21"/>
        </w:rPr>
        <w:t xml:space="preserve">, en aquellos ayuntamientos que tengan dos; </w:t>
      </w:r>
    </w:p>
    <w:p w14:paraId="3932ED30" w14:textId="1E9897AE" w:rsidR="00677B7E" w:rsidRDefault="00677B7E" w:rsidP="00677B7E">
      <w:pPr>
        <w:pStyle w:val="Prrafodelista"/>
        <w:ind w:left="1560"/>
        <w:jc w:val="both"/>
        <w:rPr>
          <w:rFonts w:ascii="Abadi" w:hAnsi="Abadi"/>
          <w:sz w:val="21"/>
          <w:szCs w:val="21"/>
        </w:rPr>
      </w:pPr>
      <w:r w:rsidRPr="00C91FC4">
        <w:rPr>
          <w:rFonts w:ascii="Abadi" w:hAnsi="Abadi"/>
          <w:b/>
          <w:bCs/>
          <w:sz w:val="21"/>
          <w:szCs w:val="21"/>
        </w:rPr>
        <w:t>II. Una persona</w:t>
      </w:r>
      <w:r w:rsidRPr="00370D2E">
        <w:rPr>
          <w:rFonts w:ascii="Abadi" w:hAnsi="Abadi"/>
          <w:sz w:val="21"/>
          <w:szCs w:val="21"/>
        </w:rPr>
        <w:t xml:space="preserve"> representante de las dependencias o entidades de la administración pública municipal que de acuerdo con los fines del fideicomiso deba intervenir; </w:t>
      </w:r>
    </w:p>
    <w:p w14:paraId="71C21271" w14:textId="77777777" w:rsidR="00677B7E" w:rsidRDefault="00677B7E" w:rsidP="00677B7E">
      <w:pPr>
        <w:pStyle w:val="Prrafodelista"/>
        <w:ind w:left="1560"/>
        <w:jc w:val="both"/>
        <w:rPr>
          <w:rFonts w:ascii="Abadi" w:hAnsi="Abadi"/>
          <w:sz w:val="21"/>
          <w:szCs w:val="21"/>
        </w:rPr>
      </w:pPr>
      <w:r w:rsidRPr="00D60315">
        <w:rPr>
          <w:rFonts w:ascii="Abadi" w:hAnsi="Abadi"/>
          <w:b/>
          <w:bCs/>
          <w:sz w:val="21"/>
          <w:szCs w:val="21"/>
        </w:rPr>
        <w:t>III. Una persona</w:t>
      </w:r>
      <w:r w:rsidRPr="00370D2E">
        <w:rPr>
          <w:rFonts w:ascii="Abadi" w:hAnsi="Abadi"/>
          <w:sz w:val="21"/>
          <w:szCs w:val="21"/>
        </w:rPr>
        <w:t xml:space="preserve"> representante de la Tesorería Municipal; </w:t>
      </w:r>
    </w:p>
    <w:p w14:paraId="3D4A683F" w14:textId="77777777" w:rsidR="00677B7E" w:rsidRDefault="00677B7E" w:rsidP="00677B7E">
      <w:pPr>
        <w:pStyle w:val="Prrafodelista"/>
        <w:ind w:left="1560"/>
        <w:jc w:val="both"/>
        <w:rPr>
          <w:rFonts w:ascii="Abadi" w:hAnsi="Abadi"/>
          <w:sz w:val="21"/>
          <w:szCs w:val="21"/>
        </w:rPr>
      </w:pPr>
      <w:r w:rsidRPr="00D60315">
        <w:rPr>
          <w:rFonts w:ascii="Abadi" w:hAnsi="Abadi"/>
          <w:b/>
          <w:bCs/>
          <w:sz w:val="21"/>
          <w:szCs w:val="21"/>
        </w:rPr>
        <w:t>IV. Una persona</w:t>
      </w:r>
      <w:r w:rsidRPr="00370D2E">
        <w:rPr>
          <w:rFonts w:ascii="Abadi" w:hAnsi="Abadi"/>
          <w:sz w:val="21"/>
          <w:szCs w:val="21"/>
        </w:rPr>
        <w:t xml:space="preserve"> representante de la Contraloría Municipal; y </w:t>
      </w:r>
    </w:p>
    <w:p w14:paraId="6A8E01A4" w14:textId="77777777" w:rsidR="00677B7E" w:rsidRDefault="00677B7E" w:rsidP="00677B7E">
      <w:pPr>
        <w:pStyle w:val="Prrafodelista"/>
        <w:ind w:left="1560"/>
        <w:jc w:val="both"/>
        <w:rPr>
          <w:rFonts w:ascii="Abadi" w:hAnsi="Abadi"/>
          <w:sz w:val="21"/>
          <w:szCs w:val="21"/>
        </w:rPr>
      </w:pPr>
      <w:r w:rsidRPr="00D60315">
        <w:rPr>
          <w:rFonts w:ascii="Abadi" w:hAnsi="Abadi"/>
          <w:b/>
          <w:bCs/>
          <w:sz w:val="21"/>
          <w:szCs w:val="21"/>
        </w:rPr>
        <w:t>V. Una persona</w:t>
      </w:r>
      <w:r w:rsidRPr="00370D2E">
        <w:rPr>
          <w:rFonts w:ascii="Abadi" w:hAnsi="Abadi"/>
          <w:sz w:val="21"/>
          <w:szCs w:val="21"/>
        </w:rPr>
        <w:t xml:space="preserve"> representante del fiduciario.   </w:t>
      </w:r>
    </w:p>
    <w:p w14:paraId="64E1D8BA" w14:textId="77777777" w:rsidR="00677B7E" w:rsidRDefault="00677B7E" w:rsidP="00677B7E">
      <w:pPr>
        <w:pStyle w:val="Prrafodelista"/>
        <w:ind w:left="1560"/>
        <w:jc w:val="both"/>
        <w:rPr>
          <w:rFonts w:ascii="Abadi" w:hAnsi="Abadi"/>
          <w:sz w:val="21"/>
          <w:szCs w:val="21"/>
        </w:rPr>
      </w:pPr>
    </w:p>
    <w:p w14:paraId="474443D7" w14:textId="77777777" w:rsidR="00677B7E" w:rsidRPr="00C55342" w:rsidRDefault="00677B7E" w:rsidP="00677B7E">
      <w:pPr>
        <w:pStyle w:val="Prrafodelista"/>
        <w:ind w:left="1560"/>
        <w:jc w:val="both"/>
        <w:rPr>
          <w:rFonts w:ascii="Abadi" w:hAnsi="Abadi"/>
          <w:b/>
          <w:bCs/>
          <w:sz w:val="21"/>
          <w:szCs w:val="21"/>
        </w:rPr>
      </w:pPr>
      <w:r w:rsidRPr="00370D2E">
        <w:rPr>
          <w:rFonts w:ascii="Abadi" w:hAnsi="Abadi"/>
          <w:sz w:val="21"/>
          <w:szCs w:val="21"/>
        </w:rPr>
        <w:t xml:space="preserve">Por cada </w:t>
      </w:r>
      <w:r w:rsidRPr="007E5FD7">
        <w:rPr>
          <w:rFonts w:ascii="Abadi" w:hAnsi="Abadi"/>
          <w:b/>
          <w:bCs/>
          <w:sz w:val="21"/>
          <w:szCs w:val="21"/>
        </w:rPr>
        <w:t>persona propietaria</w:t>
      </w:r>
      <w:r w:rsidRPr="00370D2E">
        <w:rPr>
          <w:rFonts w:ascii="Abadi" w:hAnsi="Abadi"/>
          <w:sz w:val="21"/>
          <w:szCs w:val="21"/>
        </w:rPr>
        <w:t xml:space="preserve"> del Comité Técnico habrá </w:t>
      </w:r>
      <w:r w:rsidRPr="007E5FD7">
        <w:rPr>
          <w:rFonts w:ascii="Abadi" w:hAnsi="Abadi"/>
          <w:b/>
          <w:bCs/>
          <w:sz w:val="21"/>
          <w:szCs w:val="21"/>
        </w:rPr>
        <w:t>una suplente</w:t>
      </w:r>
      <w:r w:rsidRPr="00370D2E">
        <w:rPr>
          <w:rFonts w:ascii="Abadi" w:hAnsi="Abadi"/>
          <w:sz w:val="21"/>
          <w:szCs w:val="21"/>
        </w:rPr>
        <w:t xml:space="preserve"> que </w:t>
      </w:r>
      <w:r w:rsidRPr="00C55342">
        <w:rPr>
          <w:rFonts w:ascii="Abadi" w:hAnsi="Abadi"/>
          <w:b/>
          <w:bCs/>
          <w:sz w:val="21"/>
          <w:szCs w:val="21"/>
        </w:rPr>
        <w:t xml:space="preserve">la </w:t>
      </w:r>
      <w:r w:rsidRPr="00370D2E">
        <w:rPr>
          <w:rFonts w:ascii="Abadi" w:hAnsi="Abadi"/>
          <w:sz w:val="21"/>
          <w:szCs w:val="21"/>
        </w:rPr>
        <w:t xml:space="preserve">cubrirá en sus ausencias </w:t>
      </w:r>
      <w:r w:rsidRPr="00C55342">
        <w:rPr>
          <w:rFonts w:ascii="Abadi" w:hAnsi="Abadi"/>
          <w:b/>
          <w:bCs/>
          <w:sz w:val="21"/>
          <w:szCs w:val="21"/>
        </w:rPr>
        <w:t xml:space="preserve">y que deberá ser del mismo género que la propietaria.    </w:t>
      </w:r>
    </w:p>
    <w:p w14:paraId="20EB7B01" w14:textId="77777777" w:rsidR="00677B7E" w:rsidRPr="00C55342" w:rsidRDefault="00677B7E" w:rsidP="00677B7E">
      <w:pPr>
        <w:pStyle w:val="Prrafodelista"/>
        <w:ind w:left="1560"/>
        <w:jc w:val="both"/>
        <w:rPr>
          <w:rFonts w:ascii="Abadi" w:hAnsi="Abadi"/>
          <w:b/>
          <w:bCs/>
          <w:sz w:val="21"/>
          <w:szCs w:val="21"/>
        </w:rPr>
      </w:pPr>
    </w:p>
    <w:p w14:paraId="04DA9E6C" w14:textId="77777777" w:rsidR="00677B7E" w:rsidRDefault="00677B7E" w:rsidP="00677B7E">
      <w:pPr>
        <w:pStyle w:val="Prrafodelista"/>
        <w:ind w:left="1560"/>
        <w:jc w:val="both"/>
        <w:rPr>
          <w:rFonts w:ascii="Abadi" w:hAnsi="Abadi"/>
          <w:sz w:val="21"/>
          <w:szCs w:val="21"/>
        </w:rPr>
      </w:pPr>
      <w:r w:rsidRPr="00C55342">
        <w:rPr>
          <w:rFonts w:ascii="Abadi" w:hAnsi="Abadi"/>
          <w:b/>
          <w:bCs/>
          <w:sz w:val="21"/>
          <w:szCs w:val="21"/>
        </w:rPr>
        <w:t>La persona representante</w:t>
      </w:r>
      <w:r w:rsidRPr="00370D2E">
        <w:rPr>
          <w:rFonts w:ascii="Abadi" w:hAnsi="Abadi"/>
          <w:sz w:val="21"/>
          <w:szCs w:val="21"/>
        </w:rPr>
        <w:t xml:space="preserve"> de la Contraloría Municipal participará con voz pero sin voto.  </w:t>
      </w:r>
    </w:p>
    <w:p w14:paraId="51FC4C88" w14:textId="77777777" w:rsidR="00677B7E" w:rsidRDefault="00677B7E" w:rsidP="00677B7E">
      <w:pPr>
        <w:pStyle w:val="Prrafodelista"/>
        <w:ind w:left="1560"/>
        <w:jc w:val="both"/>
        <w:rPr>
          <w:rFonts w:ascii="Abadi" w:hAnsi="Abadi"/>
          <w:sz w:val="21"/>
          <w:szCs w:val="21"/>
        </w:rPr>
      </w:pPr>
    </w:p>
    <w:p w14:paraId="5710D931" w14:textId="77777777" w:rsidR="00677B7E" w:rsidRDefault="00677B7E" w:rsidP="00677B7E">
      <w:pPr>
        <w:pStyle w:val="Prrafodelista"/>
        <w:ind w:left="1560"/>
        <w:jc w:val="both"/>
        <w:rPr>
          <w:rFonts w:ascii="Abadi" w:hAnsi="Abadi"/>
          <w:sz w:val="21"/>
          <w:szCs w:val="21"/>
        </w:rPr>
      </w:pPr>
      <w:r w:rsidRPr="00C55342">
        <w:rPr>
          <w:rFonts w:ascii="Abadi" w:hAnsi="Abadi"/>
          <w:b/>
          <w:bCs/>
          <w:sz w:val="21"/>
          <w:szCs w:val="21"/>
        </w:rPr>
        <w:t>Las personas integrantes</w:t>
      </w:r>
      <w:r w:rsidRPr="00370D2E">
        <w:rPr>
          <w:rFonts w:ascii="Abadi" w:hAnsi="Abadi"/>
          <w:sz w:val="21"/>
          <w:szCs w:val="21"/>
        </w:rPr>
        <w:t xml:space="preserve"> del Comité Técnico serán </w:t>
      </w:r>
      <w:r w:rsidRPr="00C55342">
        <w:rPr>
          <w:rFonts w:ascii="Abadi" w:hAnsi="Abadi"/>
          <w:b/>
          <w:bCs/>
          <w:sz w:val="21"/>
          <w:szCs w:val="21"/>
        </w:rPr>
        <w:t>nombradas y removidas</w:t>
      </w:r>
      <w:r w:rsidRPr="00370D2E">
        <w:rPr>
          <w:rFonts w:ascii="Abadi" w:hAnsi="Abadi"/>
          <w:sz w:val="21"/>
          <w:szCs w:val="21"/>
        </w:rPr>
        <w:t xml:space="preserve"> por el Ayuntamiento </w:t>
      </w:r>
      <w:r w:rsidRPr="00C55342">
        <w:rPr>
          <w:rFonts w:ascii="Abadi" w:hAnsi="Abadi"/>
          <w:b/>
          <w:bCs/>
          <w:sz w:val="21"/>
          <w:szCs w:val="21"/>
        </w:rPr>
        <w:t>observando el principio de paridad de género</w:t>
      </w:r>
      <w:r w:rsidRPr="00370D2E">
        <w:rPr>
          <w:rFonts w:ascii="Abadi" w:hAnsi="Abadi"/>
          <w:sz w:val="21"/>
          <w:szCs w:val="21"/>
        </w:rPr>
        <w:t xml:space="preserve">, a excepción </w:t>
      </w:r>
      <w:r w:rsidRPr="00C55342">
        <w:rPr>
          <w:rFonts w:ascii="Abadi" w:hAnsi="Abadi"/>
          <w:b/>
          <w:bCs/>
          <w:sz w:val="21"/>
          <w:szCs w:val="21"/>
        </w:rPr>
        <w:t>de</w:t>
      </w:r>
      <w:r w:rsidRPr="00370D2E">
        <w:rPr>
          <w:rFonts w:ascii="Abadi" w:hAnsi="Abadi"/>
          <w:sz w:val="21"/>
          <w:szCs w:val="21"/>
        </w:rPr>
        <w:t xml:space="preserve"> </w:t>
      </w:r>
      <w:r w:rsidRPr="00C55342">
        <w:rPr>
          <w:rFonts w:ascii="Abadi" w:hAnsi="Abadi"/>
          <w:b/>
          <w:bCs/>
          <w:sz w:val="21"/>
          <w:szCs w:val="21"/>
        </w:rPr>
        <w:t>la persona representante fiduciaria</w:t>
      </w:r>
      <w:r w:rsidRPr="00370D2E">
        <w:rPr>
          <w:rFonts w:ascii="Abadi" w:hAnsi="Abadi"/>
          <w:sz w:val="21"/>
          <w:szCs w:val="21"/>
        </w:rPr>
        <w:t xml:space="preserve">, cuyo nombramiento y remoción corresponderá a la institución fiduciaria.   </w:t>
      </w:r>
    </w:p>
    <w:p w14:paraId="3C691A32" w14:textId="77777777" w:rsidR="00677B7E" w:rsidRDefault="00677B7E" w:rsidP="00677B7E">
      <w:pPr>
        <w:pStyle w:val="Prrafodelista"/>
        <w:ind w:left="1560"/>
        <w:jc w:val="both"/>
        <w:rPr>
          <w:rFonts w:ascii="Abadi" w:hAnsi="Abadi"/>
          <w:sz w:val="21"/>
          <w:szCs w:val="21"/>
        </w:rPr>
      </w:pPr>
    </w:p>
    <w:p w14:paraId="271ED17F" w14:textId="77777777" w:rsidR="00677B7E" w:rsidRDefault="00677B7E" w:rsidP="00677B7E">
      <w:pPr>
        <w:pStyle w:val="Prrafodelista"/>
        <w:ind w:left="1560"/>
        <w:jc w:val="both"/>
        <w:rPr>
          <w:rFonts w:ascii="Abadi" w:hAnsi="Abadi"/>
          <w:sz w:val="21"/>
          <w:szCs w:val="21"/>
        </w:rPr>
      </w:pPr>
      <w:r w:rsidRPr="008F1682">
        <w:rPr>
          <w:rFonts w:ascii="Abadi" w:hAnsi="Abadi"/>
          <w:b/>
          <w:bCs/>
          <w:sz w:val="21"/>
          <w:szCs w:val="21"/>
        </w:rPr>
        <w:t>Artículo 252.</w:t>
      </w:r>
      <w:r w:rsidRPr="00370D2E">
        <w:rPr>
          <w:rFonts w:ascii="Abadi" w:hAnsi="Abadi"/>
          <w:sz w:val="21"/>
          <w:szCs w:val="21"/>
        </w:rPr>
        <w:t xml:space="preserve"> </w:t>
      </w:r>
      <w:r w:rsidRPr="008F1682">
        <w:rPr>
          <w:rFonts w:ascii="Abadi" w:hAnsi="Abadi"/>
          <w:b/>
          <w:bCs/>
          <w:sz w:val="21"/>
          <w:szCs w:val="21"/>
        </w:rPr>
        <w:t>Las personas Juezas Administrativas Municipales</w:t>
      </w:r>
      <w:r w:rsidRPr="00370D2E">
        <w:rPr>
          <w:rFonts w:ascii="Abadi" w:hAnsi="Abadi"/>
          <w:sz w:val="21"/>
          <w:szCs w:val="21"/>
        </w:rPr>
        <w:t xml:space="preserve"> durarán en su encargo cinco años, sin posibilidad de designación en el periodo inmediato, y serán </w:t>
      </w:r>
      <w:r w:rsidRPr="008F1682">
        <w:rPr>
          <w:rFonts w:ascii="Abadi" w:hAnsi="Abadi"/>
          <w:b/>
          <w:bCs/>
          <w:sz w:val="21"/>
          <w:szCs w:val="21"/>
        </w:rPr>
        <w:t>nombradas</w:t>
      </w:r>
      <w:r w:rsidRPr="00370D2E">
        <w:rPr>
          <w:rFonts w:ascii="Abadi" w:hAnsi="Abadi"/>
          <w:sz w:val="21"/>
          <w:szCs w:val="21"/>
        </w:rPr>
        <w:t xml:space="preserve"> por el Ayuntamiento, a partir de una terna formulada por un Comité Municipal Ciudadano previsto en el artículo 18-1 de la presente ley. </w:t>
      </w:r>
      <w:r w:rsidRPr="008F1682">
        <w:rPr>
          <w:rFonts w:ascii="Abadi" w:hAnsi="Abadi"/>
          <w:b/>
          <w:bCs/>
          <w:sz w:val="21"/>
          <w:szCs w:val="21"/>
        </w:rPr>
        <w:t>En la</w:t>
      </w:r>
      <w:r w:rsidRPr="00370D2E">
        <w:rPr>
          <w:rFonts w:ascii="Abadi" w:hAnsi="Abadi"/>
          <w:sz w:val="21"/>
          <w:szCs w:val="21"/>
        </w:rPr>
        <w:t xml:space="preserve"> </w:t>
      </w:r>
      <w:r w:rsidRPr="008F1682">
        <w:rPr>
          <w:rFonts w:ascii="Abadi" w:hAnsi="Abadi"/>
          <w:b/>
          <w:bCs/>
          <w:sz w:val="21"/>
          <w:szCs w:val="21"/>
        </w:rPr>
        <w:t>conformación de la terna se deberá garantizar la alternancia en el género de la persona Jueza Administrativa Municipal.</w:t>
      </w:r>
      <w:r w:rsidRPr="00370D2E">
        <w:rPr>
          <w:rFonts w:ascii="Abadi" w:hAnsi="Abadi"/>
          <w:sz w:val="21"/>
          <w:szCs w:val="21"/>
        </w:rPr>
        <w:t xml:space="preserve">  </w:t>
      </w:r>
    </w:p>
    <w:p w14:paraId="6457CD1A" w14:textId="77777777" w:rsidR="00677B7E" w:rsidRDefault="00677B7E" w:rsidP="00677B7E">
      <w:pPr>
        <w:pStyle w:val="Prrafodelista"/>
        <w:ind w:left="1560"/>
        <w:jc w:val="both"/>
        <w:rPr>
          <w:rFonts w:ascii="Abadi" w:hAnsi="Abadi"/>
          <w:sz w:val="21"/>
          <w:szCs w:val="21"/>
        </w:rPr>
      </w:pPr>
    </w:p>
    <w:p w14:paraId="176441BA" w14:textId="77777777" w:rsidR="00677B7E" w:rsidRDefault="00677B7E" w:rsidP="00677B7E">
      <w:pPr>
        <w:pStyle w:val="Prrafodelista"/>
        <w:ind w:left="1560"/>
        <w:jc w:val="both"/>
        <w:rPr>
          <w:rFonts w:ascii="Abadi" w:hAnsi="Abadi"/>
          <w:sz w:val="21"/>
          <w:szCs w:val="21"/>
        </w:rPr>
      </w:pPr>
      <w:r w:rsidRPr="00370D2E">
        <w:rPr>
          <w:rFonts w:ascii="Abadi" w:hAnsi="Abadi"/>
          <w:sz w:val="21"/>
          <w:szCs w:val="21"/>
        </w:rPr>
        <w:t xml:space="preserve">En el caso de ausencia definitiva </w:t>
      </w:r>
      <w:r w:rsidRPr="008F1682">
        <w:rPr>
          <w:rFonts w:ascii="Abadi" w:hAnsi="Abadi"/>
          <w:b/>
          <w:bCs/>
          <w:sz w:val="21"/>
          <w:szCs w:val="21"/>
        </w:rPr>
        <w:t>de la persona titular</w:t>
      </w:r>
      <w:r w:rsidRPr="00370D2E">
        <w:rPr>
          <w:rFonts w:ascii="Abadi" w:hAnsi="Abadi"/>
          <w:sz w:val="21"/>
          <w:szCs w:val="21"/>
        </w:rPr>
        <w:t xml:space="preserve"> del Juzgado Administrativo Municipal, por causas diversas a la conclusión de su periodo, el Ayuntamiento designará </w:t>
      </w:r>
      <w:r w:rsidRPr="002D339B">
        <w:rPr>
          <w:rFonts w:ascii="Abadi" w:hAnsi="Abadi"/>
          <w:b/>
          <w:bCs/>
          <w:sz w:val="21"/>
          <w:szCs w:val="21"/>
        </w:rPr>
        <w:t>a la nueva</w:t>
      </w:r>
      <w:r w:rsidRPr="00370D2E">
        <w:rPr>
          <w:rFonts w:ascii="Abadi" w:hAnsi="Abadi"/>
          <w:sz w:val="21"/>
          <w:szCs w:val="21"/>
        </w:rPr>
        <w:t xml:space="preserve"> titular a más tardar cuarenta y cinco días posteriores a la fecha en </w:t>
      </w:r>
      <w:r w:rsidRPr="002D339B">
        <w:rPr>
          <w:rFonts w:ascii="Abadi" w:hAnsi="Abadi"/>
          <w:b/>
          <w:bCs/>
          <w:sz w:val="21"/>
          <w:szCs w:val="21"/>
        </w:rPr>
        <w:t>que</w:t>
      </w:r>
      <w:r w:rsidRPr="00370D2E">
        <w:rPr>
          <w:rFonts w:ascii="Abadi" w:hAnsi="Abadi"/>
          <w:sz w:val="21"/>
          <w:szCs w:val="21"/>
        </w:rPr>
        <w:t xml:space="preserve"> se determine la vacante, en los términos del proceso de nombramiento previsto en el presente artículo.  </w:t>
      </w:r>
    </w:p>
    <w:p w14:paraId="7C3A49E5" w14:textId="77777777" w:rsidR="00677B7E" w:rsidRDefault="00677B7E" w:rsidP="00677B7E">
      <w:pPr>
        <w:pStyle w:val="Prrafodelista"/>
        <w:ind w:left="1560"/>
        <w:jc w:val="both"/>
        <w:rPr>
          <w:rFonts w:ascii="Abadi" w:hAnsi="Abadi"/>
          <w:sz w:val="21"/>
          <w:szCs w:val="21"/>
        </w:rPr>
      </w:pPr>
    </w:p>
    <w:p w14:paraId="6331C169" w14:textId="77777777" w:rsidR="00677B7E" w:rsidRDefault="00677B7E" w:rsidP="00677B7E">
      <w:pPr>
        <w:pStyle w:val="Prrafodelista"/>
        <w:ind w:left="1560"/>
        <w:jc w:val="both"/>
        <w:rPr>
          <w:rFonts w:ascii="Abadi" w:hAnsi="Abadi"/>
          <w:sz w:val="21"/>
          <w:szCs w:val="21"/>
        </w:rPr>
      </w:pPr>
      <w:r w:rsidRPr="002D339B">
        <w:rPr>
          <w:rFonts w:ascii="Abadi" w:hAnsi="Abadi"/>
          <w:b/>
          <w:bCs/>
          <w:sz w:val="21"/>
          <w:szCs w:val="21"/>
        </w:rPr>
        <w:t>Las personas Juezas Administrativas Municipales</w:t>
      </w:r>
      <w:r w:rsidRPr="00370D2E">
        <w:rPr>
          <w:rFonts w:ascii="Abadi" w:hAnsi="Abadi"/>
          <w:sz w:val="21"/>
          <w:szCs w:val="21"/>
        </w:rPr>
        <w:t xml:space="preserve"> sólo podrán ser </w:t>
      </w:r>
      <w:r w:rsidRPr="002D339B">
        <w:rPr>
          <w:rFonts w:ascii="Abadi" w:hAnsi="Abadi"/>
          <w:b/>
          <w:bCs/>
          <w:sz w:val="21"/>
          <w:szCs w:val="21"/>
        </w:rPr>
        <w:t xml:space="preserve">destituidas </w:t>
      </w:r>
      <w:r w:rsidRPr="00370D2E">
        <w:rPr>
          <w:rFonts w:ascii="Abadi" w:hAnsi="Abadi"/>
          <w:sz w:val="21"/>
          <w:szCs w:val="21"/>
        </w:rPr>
        <w:t xml:space="preserve">en los términos del artículo 126 de esta Ley.  </w:t>
      </w:r>
    </w:p>
    <w:p w14:paraId="06D5D6A7" w14:textId="77777777" w:rsidR="00677B7E" w:rsidRDefault="00677B7E" w:rsidP="00677B7E">
      <w:pPr>
        <w:pStyle w:val="Prrafodelista"/>
        <w:ind w:left="1560"/>
        <w:jc w:val="both"/>
        <w:rPr>
          <w:rFonts w:ascii="Abadi" w:hAnsi="Abadi"/>
          <w:sz w:val="21"/>
          <w:szCs w:val="21"/>
        </w:rPr>
      </w:pPr>
    </w:p>
    <w:p w14:paraId="549881A9" w14:textId="77777777" w:rsidR="00677B7E" w:rsidRDefault="00677B7E" w:rsidP="00677B7E">
      <w:pPr>
        <w:pStyle w:val="Prrafodelista"/>
        <w:ind w:left="1560"/>
        <w:jc w:val="both"/>
        <w:rPr>
          <w:rFonts w:ascii="Abadi" w:hAnsi="Abadi"/>
          <w:sz w:val="21"/>
          <w:szCs w:val="21"/>
        </w:rPr>
      </w:pPr>
      <w:r w:rsidRPr="00370D2E">
        <w:rPr>
          <w:rFonts w:ascii="Abadi" w:hAnsi="Abadi"/>
          <w:sz w:val="21"/>
          <w:szCs w:val="21"/>
        </w:rPr>
        <w:t xml:space="preserve">Para formular su...  </w:t>
      </w:r>
    </w:p>
    <w:p w14:paraId="79B304B0" w14:textId="77777777" w:rsidR="00677B7E" w:rsidRDefault="00677B7E" w:rsidP="00677B7E">
      <w:pPr>
        <w:pStyle w:val="Prrafodelista"/>
        <w:ind w:left="1560"/>
        <w:jc w:val="both"/>
        <w:rPr>
          <w:rFonts w:ascii="Abadi" w:hAnsi="Abadi"/>
          <w:sz w:val="21"/>
          <w:szCs w:val="21"/>
        </w:rPr>
      </w:pPr>
    </w:p>
    <w:p w14:paraId="63C7BB09" w14:textId="77777777" w:rsidR="00677B7E" w:rsidRDefault="00677B7E" w:rsidP="00677B7E">
      <w:pPr>
        <w:pStyle w:val="Prrafodelista"/>
        <w:ind w:left="1560"/>
        <w:jc w:val="both"/>
        <w:rPr>
          <w:rFonts w:ascii="Abadi" w:hAnsi="Abadi"/>
          <w:sz w:val="21"/>
          <w:szCs w:val="21"/>
        </w:rPr>
      </w:pPr>
      <w:r w:rsidRPr="00370D2E">
        <w:rPr>
          <w:rFonts w:ascii="Abadi" w:hAnsi="Abadi"/>
          <w:sz w:val="21"/>
          <w:szCs w:val="21"/>
        </w:rPr>
        <w:t xml:space="preserve">La convocatoria deberá ser publicada en la Gaceta Municipal, en las redes sociales, en la página oficial de internet del Ayuntamiento, en el Periódico Oficial del Gobierno del Estado de Guanajuato, y al menos, en uno de los medios de comunicación impresos en el Municipio, a efecto de que las propuestas que </w:t>
      </w:r>
      <w:r w:rsidRPr="00541922">
        <w:rPr>
          <w:rFonts w:ascii="Abadi" w:hAnsi="Abadi"/>
          <w:b/>
          <w:bCs/>
          <w:sz w:val="21"/>
          <w:szCs w:val="21"/>
        </w:rPr>
        <w:t>formule la ciudadanía</w:t>
      </w:r>
      <w:r w:rsidRPr="00370D2E">
        <w:rPr>
          <w:rFonts w:ascii="Abadi" w:hAnsi="Abadi"/>
          <w:sz w:val="21"/>
          <w:szCs w:val="21"/>
        </w:rPr>
        <w:t xml:space="preserve"> se integren en una terna que se presentará al Ayuntamiento </w:t>
      </w:r>
      <w:r w:rsidRPr="00541922">
        <w:rPr>
          <w:rFonts w:ascii="Abadi" w:hAnsi="Abadi"/>
          <w:b/>
          <w:bCs/>
          <w:sz w:val="21"/>
          <w:szCs w:val="21"/>
        </w:rPr>
        <w:t>y en cuya conformación se deberá garantizar la alternancia en el género de la persona Jueza Administrativa Municipal.</w:t>
      </w:r>
      <w:r w:rsidRPr="00370D2E">
        <w:rPr>
          <w:rFonts w:ascii="Abadi" w:hAnsi="Abadi"/>
          <w:sz w:val="21"/>
          <w:szCs w:val="21"/>
        </w:rPr>
        <w:t xml:space="preserve">  </w:t>
      </w:r>
    </w:p>
    <w:p w14:paraId="005F4614" w14:textId="77777777" w:rsidR="00677B7E" w:rsidRDefault="00677B7E" w:rsidP="00677B7E">
      <w:pPr>
        <w:pStyle w:val="Prrafodelista"/>
        <w:ind w:left="1560"/>
        <w:jc w:val="both"/>
        <w:rPr>
          <w:rFonts w:ascii="Abadi" w:hAnsi="Abadi"/>
          <w:sz w:val="21"/>
          <w:szCs w:val="21"/>
        </w:rPr>
      </w:pPr>
    </w:p>
    <w:p w14:paraId="62101FC4" w14:textId="77777777" w:rsidR="00677B7E" w:rsidRDefault="00677B7E" w:rsidP="00677B7E">
      <w:pPr>
        <w:pStyle w:val="Prrafodelista"/>
        <w:ind w:left="1560"/>
        <w:jc w:val="both"/>
        <w:rPr>
          <w:rFonts w:ascii="Abadi" w:hAnsi="Abadi"/>
          <w:sz w:val="21"/>
          <w:szCs w:val="21"/>
        </w:rPr>
      </w:pPr>
      <w:r w:rsidRPr="00370D2E">
        <w:rPr>
          <w:rFonts w:ascii="Abadi" w:hAnsi="Abadi"/>
          <w:sz w:val="21"/>
          <w:szCs w:val="21"/>
        </w:rPr>
        <w:t xml:space="preserve">Las bases y procedimientos de la convocatoria se establecerán en el reglamento respectivo, apegándose a los principios de gobierno abierto, equidad, oportunidad, transparencia, imparcialidad y honradez; garantizándose la participación de </w:t>
      </w:r>
      <w:r w:rsidRPr="0099297C">
        <w:rPr>
          <w:rFonts w:ascii="Abadi" w:hAnsi="Abadi"/>
          <w:b/>
          <w:bCs/>
          <w:sz w:val="21"/>
          <w:szCs w:val="21"/>
        </w:rPr>
        <w:t>la ciudadanía</w:t>
      </w:r>
      <w:r w:rsidRPr="00370D2E">
        <w:rPr>
          <w:rFonts w:ascii="Abadi" w:hAnsi="Abadi"/>
          <w:sz w:val="21"/>
          <w:szCs w:val="21"/>
        </w:rPr>
        <w:t xml:space="preserve">, en particular y de la sociedad civil organizada.  </w:t>
      </w:r>
    </w:p>
    <w:p w14:paraId="1F9F8C61" w14:textId="77777777" w:rsidR="00677B7E" w:rsidRDefault="00677B7E" w:rsidP="00677B7E">
      <w:pPr>
        <w:pStyle w:val="Prrafodelista"/>
        <w:ind w:left="1560"/>
        <w:jc w:val="both"/>
        <w:rPr>
          <w:rFonts w:ascii="Abadi" w:hAnsi="Abadi"/>
          <w:sz w:val="21"/>
          <w:szCs w:val="21"/>
        </w:rPr>
      </w:pPr>
    </w:p>
    <w:p w14:paraId="46D935DC" w14:textId="77777777" w:rsidR="00677B7E" w:rsidRDefault="00677B7E" w:rsidP="00677B7E">
      <w:pPr>
        <w:pStyle w:val="Prrafodelista"/>
        <w:ind w:left="1560"/>
        <w:jc w:val="both"/>
        <w:rPr>
          <w:rFonts w:ascii="Abadi" w:hAnsi="Abadi"/>
          <w:sz w:val="21"/>
          <w:szCs w:val="21"/>
        </w:rPr>
      </w:pPr>
      <w:r w:rsidRPr="00370D2E">
        <w:rPr>
          <w:rFonts w:ascii="Abadi" w:hAnsi="Abadi"/>
          <w:sz w:val="21"/>
          <w:szCs w:val="21"/>
        </w:rPr>
        <w:t xml:space="preserve">De la propuesta…     </w:t>
      </w:r>
    </w:p>
    <w:p w14:paraId="15F423D9" w14:textId="77777777" w:rsidR="00677B7E" w:rsidRDefault="00677B7E" w:rsidP="00677B7E">
      <w:pPr>
        <w:pStyle w:val="Prrafodelista"/>
        <w:ind w:left="1560"/>
        <w:jc w:val="both"/>
        <w:rPr>
          <w:rFonts w:ascii="Abadi" w:hAnsi="Abadi"/>
          <w:sz w:val="21"/>
          <w:szCs w:val="21"/>
        </w:rPr>
      </w:pPr>
    </w:p>
    <w:p w14:paraId="520FF706" w14:textId="77777777" w:rsidR="00677B7E" w:rsidRDefault="00677B7E" w:rsidP="00677B7E">
      <w:pPr>
        <w:pStyle w:val="Prrafodelista"/>
        <w:ind w:left="1560"/>
        <w:jc w:val="both"/>
        <w:rPr>
          <w:rFonts w:ascii="Abadi" w:hAnsi="Abadi"/>
          <w:sz w:val="21"/>
          <w:szCs w:val="21"/>
        </w:rPr>
      </w:pPr>
      <w:r w:rsidRPr="00370D2E">
        <w:rPr>
          <w:rFonts w:ascii="Abadi" w:hAnsi="Abadi"/>
          <w:sz w:val="21"/>
          <w:szCs w:val="21"/>
        </w:rPr>
        <w:t xml:space="preserve">Si </w:t>
      </w:r>
      <w:r w:rsidRPr="0099297C">
        <w:rPr>
          <w:rFonts w:ascii="Abadi" w:hAnsi="Abadi"/>
          <w:b/>
          <w:bCs/>
          <w:sz w:val="21"/>
          <w:szCs w:val="21"/>
        </w:rPr>
        <w:t>ninguna de las personas integrantes de la terna</w:t>
      </w:r>
      <w:r w:rsidRPr="00370D2E">
        <w:rPr>
          <w:rFonts w:ascii="Abadi" w:hAnsi="Abadi"/>
          <w:sz w:val="21"/>
          <w:szCs w:val="21"/>
        </w:rPr>
        <w:t xml:space="preserve"> obtiene mayoría calificada, se repetirá la votación entre </w:t>
      </w:r>
      <w:r w:rsidRPr="0099297C">
        <w:rPr>
          <w:rFonts w:ascii="Abadi" w:hAnsi="Abadi"/>
          <w:b/>
          <w:bCs/>
          <w:sz w:val="21"/>
          <w:szCs w:val="21"/>
        </w:rPr>
        <w:t>las dos</w:t>
      </w:r>
      <w:r w:rsidRPr="00370D2E">
        <w:rPr>
          <w:rFonts w:ascii="Abadi" w:hAnsi="Abadi"/>
          <w:sz w:val="21"/>
          <w:szCs w:val="21"/>
        </w:rPr>
        <w:t xml:space="preserve"> que hayan obtenido el mayor número de votos y de entre </w:t>
      </w:r>
      <w:r w:rsidRPr="0099297C">
        <w:rPr>
          <w:rFonts w:ascii="Abadi" w:hAnsi="Abadi"/>
          <w:b/>
          <w:bCs/>
          <w:sz w:val="21"/>
          <w:szCs w:val="21"/>
        </w:rPr>
        <w:t>ellas,</w:t>
      </w:r>
      <w:r w:rsidRPr="00370D2E">
        <w:rPr>
          <w:rFonts w:ascii="Abadi" w:hAnsi="Abadi"/>
          <w:sz w:val="21"/>
          <w:szCs w:val="21"/>
        </w:rPr>
        <w:t xml:space="preserve"> será </w:t>
      </w:r>
      <w:r w:rsidRPr="0099297C">
        <w:rPr>
          <w:rFonts w:ascii="Abadi" w:hAnsi="Abadi"/>
          <w:b/>
          <w:bCs/>
          <w:sz w:val="21"/>
          <w:szCs w:val="21"/>
        </w:rPr>
        <w:t>nombrada Jueza Administrativa</w:t>
      </w:r>
      <w:r w:rsidRPr="00370D2E">
        <w:rPr>
          <w:rFonts w:ascii="Abadi" w:hAnsi="Abadi"/>
          <w:sz w:val="21"/>
          <w:szCs w:val="21"/>
        </w:rPr>
        <w:t xml:space="preserve"> Municipal </w:t>
      </w:r>
      <w:r w:rsidRPr="0099297C">
        <w:rPr>
          <w:rFonts w:ascii="Abadi" w:hAnsi="Abadi"/>
          <w:b/>
          <w:bCs/>
          <w:sz w:val="21"/>
          <w:szCs w:val="21"/>
        </w:rPr>
        <w:t>la que</w:t>
      </w:r>
      <w:r w:rsidRPr="00370D2E">
        <w:rPr>
          <w:rFonts w:ascii="Abadi" w:hAnsi="Abadi"/>
          <w:sz w:val="21"/>
          <w:szCs w:val="21"/>
        </w:rPr>
        <w:t xml:space="preserve"> obtenga la mayoría. La información que se genere con motivo de la integración de la terna es información pública.  </w:t>
      </w:r>
    </w:p>
    <w:p w14:paraId="49848E0D" w14:textId="77777777" w:rsidR="00677B7E" w:rsidRDefault="00677B7E" w:rsidP="00677B7E">
      <w:pPr>
        <w:pStyle w:val="Prrafodelista"/>
        <w:ind w:left="1560"/>
        <w:jc w:val="both"/>
        <w:rPr>
          <w:rFonts w:ascii="Abadi" w:hAnsi="Abadi"/>
          <w:sz w:val="21"/>
          <w:szCs w:val="21"/>
        </w:rPr>
      </w:pPr>
    </w:p>
    <w:p w14:paraId="7D4A5FA3" w14:textId="77777777" w:rsidR="00677B7E" w:rsidRDefault="00677B7E" w:rsidP="00677B7E">
      <w:pPr>
        <w:pStyle w:val="Prrafodelista"/>
        <w:ind w:left="1560"/>
        <w:jc w:val="both"/>
        <w:rPr>
          <w:rFonts w:ascii="Abadi" w:hAnsi="Abadi"/>
          <w:sz w:val="21"/>
          <w:szCs w:val="21"/>
        </w:rPr>
      </w:pPr>
      <w:r w:rsidRPr="00370D2E">
        <w:rPr>
          <w:rFonts w:ascii="Abadi" w:hAnsi="Abadi"/>
          <w:sz w:val="21"/>
          <w:szCs w:val="21"/>
        </w:rPr>
        <w:t xml:space="preserve">El Ayuntamiento deberá iniciar el proceso de nombramiento </w:t>
      </w:r>
      <w:r w:rsidRPr="006C7FD8">
        <w:rPr>
          <w:rFonts w:ascii="Abadi" w:hAnsi="Abadi"/>
          <w:b/>
          <w:bCs/>
          <w:sz w:val="21"/>
          <w:szCs w:val="21"/>
        </w:rPr>
        <w:t>de la persona Jueza</w:t>
      </w:r>
      <w:r w:rsidRPr="00370D2E">
        <w:rPr>
          <w:rFonts w:ascii="Abadi" w:hAnsi="Abadi"/>
          <w:sz w:val="21"/>
          <w:szCs w:val="21"/>
        </w:rPr>
        <w:t xml:space="preserve"> </w:t>
      </w:r>
      <w:r w:rsidRPr="006C7FD8">
        <w:rPr>
          <w:rFonts w:ascii="Abadi" w:hAnsi="Abadi"/>
          <w:b/>
          <w:bCs/>
          <w:sz w:val="21"/>
          <w:szCs w:val="21"/>
        </w:rPr>
        <w:t>Administrativa Municipal,</w:t>
      </w:r>
      <w:r w:rsidRPr="00370D2E">
        <w:rPr>
          <w:rFonts w:ascii="Abadi" w:hAnsi="Abadi"/>
          <w:sz w:val="21"/>
          <w:szCs w:val="21"/>
        </w:rPr>
        <w:t xml:space="preserve"> a más tardar cuarenta y cinco días previos a la conclusión del periodo por el que haya sido </w:t>
      </w:r>
      <w:r w:rsidRPr="006C7FD8">
        <w:rPr>
          <w:rFonts w:ascii="Abadi" w:hAnsi="Abadi"/>
          <w:b/>
          <w:bCs/>
          <w:sz w:val="21"/>
          <w:szCs w:val="21"/>
        </w:rPr>
        <w:t>designada.</w:t>
      </w:r>
      <w:r w:rsidRPr="00370D2E">
        <w:rPr>
          <w:rFonts w:ascii="Abadi" w:hAnsi="Abadi"/>
          <w:sz w:val="21"/>
          <w:szCs w:val="21"/>
        </w:rPr>
        <w:t xml:space="preserve">  </w:t>
      </w:r>
    </w:p>
    <w:p w14:paraId="2943E508" w14:textId="77777777" w:rsidR="00677B7E" w:rsidRDefault="00677B7E" w:rsidP="00677B7E">
      <w:pPr>
        <w:pStyle w:val="Prrafodelista"/>
        <w:ind w:left="1560"/>
        <w:jc w:val="both"/>
        <w:rPr>
          <w:rFonts w:ascii="Abadi" w:hAnsi="Abadi"/>
          <w:sz w:val="21"/>
          <w:szCs w:val="21"/>
        </w:rPr>
      </w:pPr>
    </w:p>
    <w:p w14:paraId="2CB61E47" w14:textId="77777777" w:rsidR="00677B7E" w:rsidRDefault="00677B7E" w:rsidP="00677B7E">
      <w:pPr>
        <w:pStyle w:val="Prrafodelista"/>
        <w:ind w:left="1560"/>
        <w:jc w:val="both"/>
        <w:rPr>
          <w:rFonts w:ascii="Abadi" w:hAnsi="Abadi"/>
          <w:sz w:val="21"/>
          <w:szCs w:val="21"/>
        </w:rPr>
      </w:pPr>
      <w:r w:rsidRPr="00370D2E">
        <w:rPr>
          <w:rFonts w:ascii="Abadi" w:hAnsi="Abadi"/>
          <w:sz w:val="21"/>
          <w:szCs w:val="21"/>
        </w:rPr>
        <w:t xml:space="preserve">La violación al...    </w:t>
      </w:r>
    </w:p>
    <w:p w14:paraId="61B45060" w14:textId="77777777" w:rsidR="00677B7E" w:rsidRDefault="00677B7E" w:rsidP="00677B7E">
      <w:pPr>
        <w:pStyle w:val="Prrafodelista"/>
        <w:ind w:left="1560"/>
        <w:jc w:val="both"/>
        <w:rPr>
          <w:rFonts w:ascii="Abadi" w:hAnsi="Abadi"/>
          <w:sz w:val="21"/>
          <w:szCs w:val="21"/>
        </w:rPr>
      </w:pPr>
    </w:p>
    <w:p w14:paraId="5D7C50C2" w14:textId="77777777" w:rsidR="00677B7E" w:rsidRPr="006C7FD8" w:rsidRDefault="00677B7E" w:rsidP="00677B7E">
      <w:pPr>
        <w:pStyle w:val="Prrafodelista"/>
        <w:ind w:left="1560"/>
        <w:jc w:val="center"/>
        <w:rPr>
          <w:rFonts w:ascii="Abadi" w:hAnsi="Abadi"/>
          <w:b/>
          <w:bCs/>
          <w:sz w:val="21"/>
          <w:szCs w:val="21"/>
        </w:rPr>
      </w:pPr>
      <w:r w:rsidRPr="006C7FD8">
        <w:rPr>
          <w:rFonts w:ascii="Abadi" w:hAnsi="Abadi"/>
          <w:b/>
          <w:bCs/>
          <w:sz w:val="21"/>
          <w:szCs w:val="21"/>
        </w:rPr>
        <w:t>TRANSITORIOS</w:t>
      </w:r>
    </w:p>
    <w:p w14:paraId="0533132C" w14:textId="77777777" w:rsidR="00677B7E" w:rsidRDefault="00677B7E" w:rsidP="00677B7E">
      <w:pPr>
        <w:pStyle w:val="Prrafodelista"/>
        <w:ind w:left="1560"/>
        <w:jc w:val="both"/>
        <w:rPr>
          <w:rFonts w:ascii="Abadi" w:hAnsi="Abadi"/>
          <w:sz w:val="21"/>
          <w:szCs w:val="21"/>
        </w:rPr>
      </w:pPr>
    </w:p>
    <w:p w14:paraId="137339A8" w14:textId="77777777" w:rsidR="00677B7E" w:rsidRDefault="00677B7E" w:rsidP="00677B7E">
      <w:pPr>
        <w:pStyle w:val="Prrafodelista"/>
        <w:ind w:left="1560"/>
        <w:jc w:val="both"/>
        <w:rPr>
          <w:rFonts w:ascii="Abadi" w:hAnsi="Abadi"/>
          <w:sz w:val="21"/>
          <w:szCs w:val="21"/>
        </w:rPr>
      </w:pPr>
      <w:r w:rsidRPr="006C7FD8">
        <w:rPr>
          <w:rFonts w:ascii="Abadi" w:hAnsi="Abadi"/>
          <w:b/>
          <w:bCs/>
          <w:sz w:val="21"/>
          <w:szCs w:val="21"/>
        </w:rPr>
        <w:t>PRIMERO.</w:t>
      </w:r>
      <w:r w:rsidRPr="00370D2E">
        <w:rPr>
          <w:rFonts w:ascii="Abadi" w:hAnsi="Abadi"/>
          <w:sz w:val="21"/>
          <w:szCs w:val="21"/>
        </w:rPr>
        <w:t xml:space="preserve"> El presente Decreto entrará en vigor al día siguiente de su publicación en el Periódico Oficial del Estado de Guanajuato. </w:t>
      </w:r>
    </w:p>
    <w:p w14:paraId="46779E20" w14:textId="77777777" w:rsidR="00677B7E" w:rsidRDefault="00677B7E" w:rsidP="00677B7E">
      <w:pPr>
        <w:pStyle w:val="Prrafodelista"/>
        <w:ind w:left="1560"/>
        <w:jc w:val="both"/>
        <w:rPr>
          <w:rFonts w:ascii="Abadi" w:hAnsi="Abadi"/>
          <w:sz w:val="21"/>
          <w:szCs w:val="21"/>
        </w:rPr>
      </w:pPr>
    </w:p>
    <w:p w14:paraId="75F9FF06" w14:textId="77777777" w:rsidR="00677B7E" w:rsidRDefault="00677B7E" w:rsidP="00677B7E">
      <w:pPr>
        <w:pStyle w:val="Prrafodelista"/>
        <w:ind w:left="1560"/>
        <w:jc w:val="both"/>
        <w:rPr>
          <w:rFonts w:ascii="Abadi" w:hAnsi="Abadi"/>
          <w:sz w:val="21"/>
          <w:szCs w:val="21"/>
        </w:rPr>
      </w:pPr>
      <w:r w:rsidRPr="006C7FD8">
        <w:rPr>
          <w:rFonts w:ascii="Abadi" w:hAnsi="Abadi"/>
          <w:b/>
          <w:bCs/>
          <w:sz w:val="21"/>
          <w:szCs w:val="21"/>
        </w:rPr>
        <w:t>SEGUNDO</w:t>
      </w:r>
      <w:r w:rsidRPr="00370D2E">
        <w:rPr>
          <w:rFonts w:ascii="Abadi" w:hAnsi="Abadi"/>
          <w:sz w:val="21"/>
          <w:szCs w:val="21"/>
        </w:rPr>
        <w:t xml:space="preserve">. La observancia del principio de paridad de género será aplicable a quiénes tomen posesión de su encargo, a partir del proceso electoral local siguiente a la entrada en vigor del presente Decreto. </w:t>
      </w:r>
    </w:p>
    <w:p w14:paraId="12B97B60" w14:textId="77777777" w:rsidR="00677B7E" w:rsidRDefault="00677B7E" w:rsidP="00677B7E">
      <w:pPr>
        <w:pStyle w:val="Prrafodelista"/>
        <w:ind w:left="1560"/>
        <w:jc w:val="both"/>
        <w:rPr>
          <w:rFonts w:ascii="Abadi" w:hAnsi="Abadi"/>
          <w:sz w:val="21"/>
          <w:szCs w:val="21"/>
        </w:rPr>
      </w:pPr>
    </w:p>
    <w:p w14:paraId="70BEBE74" w14:textId="4CA57EDE" w:rsidR="00677B7E" w:rsidRPr="002267EC" w:rsidRDefault="00677B7E" w:rsidP="00677B7E">
      <w:pPr>
        <w:pStyle w:val="Prrafodelista"/>
        <w:ind w:left="1560"/>
        <w:jc w:val="center"/>
        <w:rPr>
          <w:rFonts w:ascii="Abadi" w:hAnsi="Abadi"/>
          <w:b/>
          <w:bCs/>
          <w:sz w:val="21"/>
          <w:szCs w:val="21"/>
        </w:rPr>
      </w:pPr>
      <w:r w:rsidRPr="002267EC">
        <w:rPr>
          <w:rFonts w:ascii="Abadi" w:hAnsi="Abadi"/>
          <w:b/>
          <w:bCs/>
          <w:sz w:val="21"/>
          <w:szCs w:val="21"/>
        </w:rPr>
        <w:t xml:space="preserve">GUANAJUATO, </w:t>
      </w:r>
      <w:r w:rsidR="007241FD">
        <w:rPr>
          <w:rFonts w:ascii="Abadi" w:hAnsi="Abadi"/>
          <w:b/>
          <w:bCs/>
          <w:sz w:val="21"/>
          <w:szCs w:val="21"/>
        </w:rPr>
        <w:t>G</w:t>
      </w:r>
      <w:r w:rsidRPr="002267EC">
        <w:rPr>
          <w:rFonts w:ascii="Abadi" w:hAnsi="Abadi"/>
          <w:b/>
          <w:bCs/>
          <w:sz w:val="21"/>
          <w:szCs w:val="21"/>
        </w:rPr>
        <w:t>UANAJUATO</w:t>
      </w:r>
    </w:p>
    <w:p w14:paraId="609D6B43" w14:textId="77777777" w:rsidR="00677B7E" w:rsidRPr="002267EC" w:rsidRDefault="00677B7E" w:rsidP="00677B7E">
      <w:pPr>
        <w:pStyle w:val="Prrafodelista"/>
        <w:ind w:left="1560"/>
        <w:jc w:val="center"/>
        <w:rPr>
          <w:rFonts w:ascii="Abadi" w:hAnsi="Abadi"/>
          <w:b/>
          <w:bCs/>
          <w:sz w:val="21"/>
          <w:szCs w:val="21"/>
        </w:rPr>
      </w:pPr>
      <w:r w:rsidRPr="002267EC">
        <w:rPr>
          <w:rFonts w:ascii="Abadi" w:hAnsi="Abadi"/>
          <w:b/>
          <w:bCs/>
          <w:sz w:val="21"/>
          <w:szCs w:val="21"/>
        </w:rPr>
        <w:t>A 13 DE OCTUBRE DEL 2022.</w:t>
      </w:r>
    </w:p>
    <w:p w14:paraId="1228E4C0" w14:textId="77777777" w:rsidR="00677B7E" w:rsidRPr="002267EC" w:rsidRDefault="00677B7E" w:rsidP="00677B7E">
      <w:pPr>
        <w:pStyle w:val="Prrafodelista"/>
        <w:ind w:left="1560"/>
        <w:jc w:val="center"/>
        <w:rPr>
          <w:rFonts w:ascii="Abadi" w:hAnsi="Abadi"/>
          <w:b/>
          <w:bCs/>
          <w:sz w:val="21"/>
          <w:szCs w:val="21"/>
        </w:rPr>
      </w:pPr>
    </w:p>
    <w:p w14:paraId="45DC5372" w14:textId="77777777" w:rsidR="00677B7E" w:rsidRPr="002267EC" w:rsidRDefault="00677B7E" w:rsidP="00677B7E">
      <w:pPr>
        <w:pStyle w:val="Prrafodelista"/>
        <w:ind w:left="1560"/>
        <w:jc w:val="center"/>
        <w:rPr>
          <w:rFonts w:ascii="Abadi" w:hAnsi="Abadi"/>
          <w:b/>
          <w:bCs/>
          <w:sz w:val="21"/>
          <w:szCs w:val="21"/>
        </w:rPr>
      </w:pPr>
      <w:r w:rsidRPr="002267EC">
        <w:rPr>
          <w:rFonts w:ascii="Abadi" w:hAnsi="Abadi"/>
          <w:b/>
          <w:bCs/>
          <w:sz w:val="21"/>
          <w:szCs w:val="21"/>
        </w:rPr>
        <w:t>DIPUTADA YULMA ROCHA AGUILAR</w:t>
      </w:r>
    </w:p>
    <w:p w14:paraId="307A1102" w14:textId="77777777" w:rsidR="00677B7E" w:rsidRPr="002267EC" w:rsidRDefault="00677B7E" w:rsidP="00677B7E">
      <w:pPr>
        <w:pStyle w:val="Prrafodelista"/>
        <w:ind w:left="1560"/>
        <w:jc w:val="center"/>
        <w:rPr>
          <w:rFonts w:ascii="Abadi" w:hAnsi="Abadi"/>
          <w:b/>
          <w:bCs/>
          <w:sz w:val="21"/>
          <w:szCs w:val="21"/>
        </w:rPr>
      </w:pPr>
    </w:p>
    <w:p w14:paraId="55EB5656" w14:textId="77777777" w:rsidR="00677B7E" w:rsidRPr="002267EC" w:rsidRDefault="00677B7E" w:rsidP="00677B7E">
      <w:pPr>
        <w:pStyle w:val="Prrafodelista"/>
        <w:ind w:left="1560"/>
        <w:jc w:val="center"/>
        <w:rPr>
          <w:rFonts w:ascii="Abadi" w:hAnsi="Abadi"/>
          <w:b/>
          <w:bCs/>
          <w:sz w:val="21"/>
          <w:szCs w:val="21"/>
        </w:rPr>
      </w:pPr>
      <w:r w:rsidRPr="002267EC">
        <w:rPr>
          <w:rFonts w:ascii="Abadi" w:hAnsi="Abadi"/>
          <w:b/>
          <w:bCs/>
          <w:sz w:val="21"/>
          <w:szCs w:val="21"/>
        </w:rPr>
        <w:t>DIPUTADA DESSIRE ÁNGEL ROCHA</w:t>
      </w:r>
    </w:p>
    <w:p w14:paraId="405C0E90" w14:textId="77777777" w:rsidR="00677B7E" w:rsidRPr="002267EC" w:rsidRDefault="00677B7E" w:rsidP="00677B7E">
      <w:pPr>
        <w:pStyle w:val="Prrafodelista"/>
        <w:ind w:left="1560"/>
        <w:jc w:val="center"/>
        <w:rPr>
          <w:rFonts w:ascii="Abadi" w:hAnsi="Abadi"/>
          <w:b/>
          <w:bCs/>
          <w:sz w:val="21"/>
          <w:szCs w:val="21"/>
        </w:rPr>
      </w:pPr>
    </w:p>
    <w:p w14:paraId="26A784AE" w14:textId="1F253584" w:rsidR="00677B7E" w:rsidRDefault="00677B7E" w:rsidP="00677B7E">
      <w:pPr>
        <w:pStyle w:val="Prrafodelista"/>
        <w:ind w:left="1560"/>
        <w:jc w:val="center"/>
        <w:rPr>
          <w:rFonts w:ascii="Abadi" w:hAnsi="Abadi"/>
          <w:b/>
          <w:bCs/>
          <w:sz w:val="21"/>
          <w:szCs w:val="21"/>
        </w:rPr>
      </w:pPr>
      <w:r w:rsidRPr="002267EC">
        <w:rPr>
          <w:rFonts w:ascii="Abadi" w:hAnsi="Abadi"/>
          <w:b/>
          <w:bCs/>
          <w:sz w:val="21"/>
          <w:szCs w:val="21"/>
        </w:rPr>
        <w:t>DIPUTADA MARTHA LOURDES ORTEGA ROQUE</w:t>
      </w:r>
    </w:p>
    <w:p w14:paraId="7182DC45" w14:textId="444942AB" w:rsidR="00B0221B" w:rsidRDefault="00B0221B" w:rsidP="00677B7E">
      <w:pPr>
        <w:pStyle w:val="Prrafodelista"/>
        <w:ind w:left="1560"/>
        <w:jc w:val="center"/>
        <w:rPr>
          <w:rFonts w:ascii="Abadi" w:hAnsi="Abadi"/>
          <w:b/>
          <w:bCs/>
          <w:sz w:val="21"/>
          <w:szCs w:val="21"/>
        </w:rPr>
      </w:pPr>
    </w:p>
    <w:p w14:paraId="0EACE662" w14:textId="77777777" w:rsidR="009C5613" w:rsidRPr="00AA7107" w:rsidRDefault="009C5613" w:rsidP="009C5613">
      <w:pPr>
        <w:ind w:left="426" w:right="758"/>
        <w:jc w:val="both"/>
        <w:rPr>
          <w:rFonts w:ascii="Abadi" w:hAnsi="Abadi"/>
          <w:b/>
          <w:bCs/>
          <w:i/>
          <w:iCs/>
          <w:sz w:val="21"/>
          <w:szCs w:val="21"/>
          <w:u w:val="single"/>
        </w:rPr>
      </w:pPr>
    </w:p>
    <w:p w14:paraId="02C69A73" w14:textId="77777777" w:rsidR="009C5613" w:rsidRPr="00AA7107" w:rsidRDefault="009C5613" w:rsidP="009C5613">
      <w:pPr>
        <w:jc w:val="both"/>
        <w:rPr>
          <w:rFonts w:ascii="Abadi" w:hAnsi="Abadi"/>
          <w:sz w:val="21"/>
          <w:szCs w:val="21"/>
        </w:rPr>
      </w:pPr>
      <w:r w:rsidRPr="00AA7107">
        <w:rPr>
          <w:rFonts w:ascii="Abadi" w:hAnsi="Abadi"/>
          <w:b/>
          <w:bCs/>
          <w:sz w:val="21"/>
          <w:szCs w:val="21"/>
        </w:rPr>
        <w:tab/>
        <w:t xml:space="preserve"> - El Presidente.-</w:t>
      </w:r>
      <w:r w:rsidRPr="00AA7107">
        <w:rPr>
          <w:rFonts w:ascii="Abadi" w:hAnsi="Abadi"/>
          <w:sz w:val="21"/>
          <w:szCs w:val="21"/>
        </w:rPr>
        <w:t xml:space="preserve"> Ahora pedimos a la diputada Yulma Rocha Aguilar, dar lectura en la exposición de motivos de la iniciativa correspondiente al punto 10 de nuestra orden del día. (ELD 313/LXV-I)</w:t>
      </w:r>
    </w:p>
    <w:p w14:paraId="181FEAEC" w14:textId="77777777" w:rsidR="009C5613" w:rsidRPr="00AA7107" w:rsidRDefault="009C5613" w:rsidP="009C5613">
      <w:pPr>
        <w:jc w:val="both"/>
        <w:rPr>
          <w:rFonts w:ascii="Abadi" w:hAnsi="Abadi"/>
          <w:sz w:val="21"/>
          <w:szCs w:val="21"/>
        </w:rPr>
      </w:pPr>
    </w:p>
    <w:p w14:paraId="1B841B9B" w14:textId="49F2E18F" w:rsidR="009C5613" w:rsidRPr="00AA7107" w:rsidRDefault="009C5613" w:rsidP="009C5613">
      <w:pPr>
        <w:jc w:val="both"/>
        <w:rPr>
          <w:rFonts w:ascii="Abadi" w:hAnsi="Abadi"/>
          <w:sz w:val="21"/>
          <w:szCs w:val="21"/>
        </w:rPr>
      </w:pPr>
      <w:r w:rsidRPr="00AA7107">
        <w:rPr>
          <w:rFonts w:ascii="Abadi" w:hAnsi="Abadi"/>
          <w:sz w:val="21"/>
          <w:szCs w:val="21"/>
        </w:rPr>
        <w:t>-  Adelante diputada Yulma Rocha</w:t>
      </w:r>
      <w:r>
        <w:rPr>
          <w:rFonts w:ascii="Abadi" w:hAnsi="Abadi"/>
          <w:sz w:val="21"/>
          <w:szCs w:val="21"/>
        </w:rPr>
        <w:t>.</w:t>
      </w:r>
    </w:p>
    <w:p w14:paraId="3623D8CF" w14:textId="77777777" w:rsidR="009C5613" w:rsidRPr="00AA7107" w:rsidRDefault="009C5613" w:rsidP="009C5613">
      <w:pPr>
        <w:jc w:val="both"/>
        <w:rPr>
          <w:rFonts w:ascii="Abadi" w:hAnsi="Abadi"/>
          <w:sz w:val="21"/>
          <w:szCs w:val="21"/>
        </w:rPr>
      </w:pPr>
    </w:p>
    <w:p w14:paraId="18414C54" w14:textId="77777777" w:rsidR="009C5613" w:rsidRPr="00AA7107" w:rsidRDefault="009C5613" w:rsidP="009C5613">
      <w:pPr>
        <w:jc w:val="both"/>
        <w:rPr>
          <w:rFonts w:ascii="Abadi" w:hAnsi="Abadi"/>
          <w:b/>
          <w:bCs/>
          <w:sz w:val="21"/>
          <w:szCs w:val="21"/>
        </w:rPr>
      </w:pPr>
      <w:r w:rsidRPr="00AA7107">
        <w:rPr>
          <w:rFonts w:ascii="Abadi" w:hAnsi="Abadi"/>
          <w:b/>
          <w:bCs/>
          <w:sz w:val="21"/>
          <w:szCs w:val="21"/>
        </w:rPr>
        <w:t>(Sube a tribuna la diputada Yulma Rocha Aguilar, para dar lectura a la iniciativa en referencia)</w:t>
      </w:r>
    </w:p>
    <w:p w14:paraId="1C19DECD" w14:textId="77777777" w:rsidR="009C5613" w:rsidRPr="00AA7107" w:rsidRDefault="009C5613" w:rsidP="009C5613">
      <w:pPr>
        <w:jc w:val="both"/>
        <w:rPr>
          <w:rFonts w:ascii="Abadi" w:hAnsi="Abadi"/>
          <w:b/>
          <w:bCs/>
          <w:sz w:val="21"/>
          <w:szCs w:val="21"/>
        </w:rPr>
      </w:pPr>
    </w:p>
    <w:p w14:paraId="27851F5D" w14:textId="77777777" w:rsidR="009C5613" w:rsidRPr="00AA7107" w:rsidRDefault="009C5613" w:rsidP="009C5613">
      <w:pPr>
        <w:jc w:val="center"/>
        <w:rPr>
          <w:rFonts w:ascii="Abadi" w:hAnsi="Abadi"/>
          <w:b/>
          <w:bCs/>
          <w:sz w:val="21"/>
          <w:szCs w:val="21"/>
        </w:rPr>
      </w:pPr>
      <w:r w:rsidRPr="00AA7107">
        <w:rPr>
          <w:rFonts w:ascii="Abadi" w:hAnsi="Abadi"/>
          <w:b/>
          <w:bCs/>
          <w:sz w:val="21"/>
          <w:szCs w:val="21"/>
        </w:rPr>
        <w:t>(Posicionamiento)</w:t>
      </w:r>
    </w:p>
    <w:p w14:paraId="3910F1CD" w14:textId="7C9A0C72" w:rsidR="009C5613" w:rsidRPr="00AA7107" w:rsidRDefault="009C5613" w:rsidP="009C5613">
      <w:pPr>
        <w:jc w:val="both"/>
        <w:rPr>
          <w:rFonts w:ascii="Abadi" w:hAnsi="Abadi"/>
          <w:b/>
          <w:bCs/>
          <w:sz w:val="21"/>
          <w:szCs w:val="21"/>
        </w:rPr>
      </w:pPr>
      <w:r w:rsidRPr="00AA7107">
        <w:rPr>
          <w:noProof/>
          <w:sz w:val="21"/>
          <w:szCs w:val="21"/>
        </w:rPr>
        <w:drawing>
          <wp:anchor distT="0" distB="0" distL="114300" distR="114300" simplePos="0" relativeHeight="251679744" behindDoc="1" locked="0" layoutInCell="1" allowOverlap="1" wp14:anchorId="411F16F4" wp14:editId="11E0BF0F">
            <wp:simplePos x="0" y="0"/>
            <wp:positionH relativeFrom="column">
              <wp:posOffset>513080</wp:posOffset>
            </wp:positionH>
            <wp:positionV relativeFrom="paragraph">
              <wp:posOffset>464185</wp:posOffset>
            </wp:positionV>
            <wp:extent cx="1612900" cy="839470"/>
            <wp:effectExtent l="247650" t="228600" r="254000" b="798830"/>
            <wp:wrapTight wrapText="bothSides">
              <wp:wrapPolygon edited="0">
                <wp:start x="-3317" y="-5882"/>
                <wp:lineTo x="-3317" y="41664"/>
                <wp:lineTo x="24746" y="41664"/>
                <wp:lineTo x="24746" y="-5882"/>
                <wp:lineTo x="-3317" y="-5882"/>
              </wp:wrapPolygon>
            </wp:wrapTight>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b="7497"/>
                    <a:stretch/>
                  </pic:blipFill>
                  <pic:spPr bwMode="auto">
                    <a:xfrm>
                      <a:off x="0" y="0"/>
                      <a:ext cx="1612900" cy="83947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5A191618" w14:textId="47860C7E" w:rsidR="009C5613" w:rsidRPr="00AA7107" w:rsidRDefault="009C5613" w:rsidP="009C5613">
      <w:pPr>
        <w:jc w:val="both"/>
        <w:rPr>
          <w:rFonts w:ascii="Abadi" w:hAnsi="Abadi"/>
          <w:sz w:val="21"/>
          <w:szCs w:val="21"/>
        </w:rPr>
      </w:pPr>
    </w:p>
    <w:p w14:paraId="0F7181A5" w14:textId="4A6530FC" w:rsidR="009C5613" w:rsidRPr="00AA7107" w:rsidRDefault="009C5613" w:rsidP="009C5613">
      <w:pPr>
        <w:jc w:val="both"/>
        <w:rPr>
          <w:rFonts w:ascii="Abadi" w:hAnsi="Abadi"/>
          <w:sz w:val="21"/>
          <w:szCs w:val="21"/>
        </w:rPr>
      </w:pPr>
    </w:p>
    <w:p w14:paraId="10875223" w14:textId="77777777" w:rsidR="009C5613" w:rsidRPr="00AA7107" w:rsidRDefault="009C5613" w:rsidP="009C5613">
      <w:pPr>
        <w:jc w:val="center"/>
        <w:rPr>
          <w:rFonts w:ascii="Abadi" w:hAnsi="Abadi"/>
          <w:b/>
          <w:bCs/>
          <w:sz w:val="21"/>
          <w:szCs w:val="21"/>
        </w:rPr>
      </w:pPr>
      <w:r w:rsidRPr="00AA7107">
        <w:rPr>
          <w:rFonts w:ascii="Abadi" w:hAnsi="Abadi"/>
          <w:b/>
          <w:bCs/>
          <w:sz w:val="21"/>
          <w:szCs w:val="21"/>
        </w:rPr>
        <w:t>- Diputada Yulma Rocha Aguilar –</w:t>
      </w:r>
    </w:p>
    <w:p w14:paraId="3266CF39" w14:textId="77777777" w:rsidR="009C5613" w:rsidRPr="00AA7107" w:rsidRDefault="009C5613" w:rsidP="009C5613">
      <w:pPr>
        <w:jc w:val="center"/>
        <w:rPr>
          <w:rFonts w:ascii="Abadi" w:hAnsi="Abadi"/>
          <w:b/>
          <w:bCs/>
          <w:sz w:val="21"/>
          <w:szCs w:val="21"/>
        </w:rPr>
      </w:pPr>
    </w:p>
    <w:p w14:paraId="2D2894A0" w14:textId="3CDC66FA" w:rsidR="009C5613" w:rsidRDefault="009C5613" w:rsidP="009C5613">
      <w:pPr>
        <w:jc w:val="both"/>
        <w:rPr>
          <w:rFonts w:ascii="Abadi" w:hAnsi="Abadi"/>
          <w:sz w:val="21"/>
          <w:szCs w:val="21"/>
        </w:rPr>
      </w:pPr>
      <w:r w:rsidRPr="00AA7107">
        <w:rPr>
          <w:rFonts w:ascii="Abadi" w:hAnsi="Abadi"/>
          <w:sz w:val="21"/>
          <w:szCs w:val="21"/>
        </w:rPr>
        <w:t>Gracias con el permiso de la Presidencia y de la Mesa</w:t>
      </w:r>
      <w:r>
        <w:rPr>
          <w:rFonts w:ascii="Abadi" w:hAnsi="Abadi"/>
          <w:sz w:val="21"/>
          <w:szCs w:val="21"/>
        </w:rPr>
        <w:t xml:space="preserve"> Directiva</w:t>
      </w:r>
      <w:r w:rsidRPr="00AA7107">
        <w:rPr>
          <w:rFonts w:ascii="Abadi" w:hAnsi="Abadi"/>
          <w:sz w:val="21"/>
          <w:szCs w:val="21"/>
        </w:rPr>
        <w:t>, habló</w:t>
      </w:r>
      <w:r>
        <w:rPr>
          <w:rFonts w:ascii="Abadi" w:hAnsi="Abadi"/>
          <w:sz w:val="21"/>
          <w:szCs w:val="21"/>
        </w:rPr>
        <w:t>,</w:t>
      </w:r>
      <w:r w:rsidRPr="00AA7107">
        <w:rPr>
          <w:rFonts w:ascii="Abadi" w:hAnsi="Abadi"/>
          <w:sz w:val="21"/>
          <w:szCs w:val="21"/>
        </w:rPr>
        <w:t xml:space="preserve"> a nombre de la bancada feminista de mis compañeras Dessire Angel Rocha y Martha Ortega y su servidora, gracias la paridad es un principio constitucional que de manera práctica y concisa significa igualdad política entre mujeres y hombres y es una medida, que se da</w:t>
      </w:r>
      <w:r>
        <w:rPr>
          <w:rFonts w:ascii="Abadi" w:hAnsi="Abadi"/>
          <w:sz w:val="21"/>
          <w:szCs w:val="21"/>
        </w:rPr>
        <w:t>,</w:t>
      </w:r>
      <w:r w:rsidRPr="00AA7107">
        <w:rPr>
          <w:rFonts w:ascii="Abadi" w:hAnsi="Abadi"/>
          <w:sz w:val="21"/>
          <w:szCs w:val="21"/>
        </w:rPr>
        <w:t xml:space="preserve"> que se ha implementado, para garantizar la incorporación de las mujeres en los espacios de decisión.</w:t>
      </w:r>
    </w:p>
    <w:p w14:paraId="6E675E82" w14:textId="77777777" w:rsidR="009C5613" w:rsidRPr="00AA7107" w:rsidRDefault="009C5613" w:rsidP="009C5613">
      <w:pPr>
        <w:jc w:val="both"/>
        <w:rPr>
          <w:rFonts w:ascii="Abadi" w:hAnsi="Abadi"/>
          <w:sz w:val="21"/>
          <w:szCs w:val="21"/>
        </w:rPr>
      </w:pPr>
    </w:p>
    <w:p w14:paraId="08DA8C94" w14:textId="0EA18B54" w:rsidR="009C5613" w:rsidRDefault="009C5613" w:rsidP="009C5613">
      <w:pPr>
        <w:jc w:val="both"/>
        <w:rPr>
          <w:rFonts w:ascii="Abadi" w:hAnsi="Abadi"/>
          <w:sz w:val="21"/>
          <w:szCs w:val="21"/>
        </w:rPr>
      </w:pPr>
      <w:r w:rsidRPr="00AA7107">
        <w:rPr>
          <w:rFonts w:ascii="Abadi" w:hAnsi="Abadi"/>
          <w:sz w:val="21"/>
          <w:szCs w:val="21"/>
        </w:rPr>
        <w:t>- Su incorporación en nuestras normas ha sido algo histórico que vino a cuestionar las relaciones de poder pero también vino a redistribuirlas; por ello hablar de paridad significa hablar de transformación profunda porque trastoca nuestra cultura y también eso conlleva muchas resistencias; hay que reconocer que este principio como lo conocemos ahora y los derechos políticos que de ello deriva no fueron otorgados por voluntad es el resultado de un proceso de lucha de muchas mujeres y desde la calle y desde las instituciones</w:t>
      </w:r>
      <w:r>
        <w:rPr>
          <w:rFonts w:ascii="Abadi" w:hAnsi="Abadi"/>
          <w:sz w:val="21"/>
          <w:szCs w:val="21"/>
        </w:rPr>
        <w:t>,</w:t>
      </w:r>
      <w:r w:rsidRPr="00AA7107">
        <w:rPr>
          <w:rFonts w:ascii="Abadi" w:hAnsi="Abadi"/>
          <w:sz w:val="21"/>
          <w:szCs w:val="21"/>
        </w:rPr>
        <w:t xml:space="preserve"> en nuestro incluso se puede equiparar con la reforma para el reconocimiento del derecho al voto que por cierto el próximo lunes 17 de octubre conmemoran este principio de paridad se incorporó a nuestro marco legal hasta el 2014 año en el que fue incluido formalmente en nuestra constitución haciendo obligatorio la postulación de candidaturas, si recordamos el  5050 después este principio se consolidó en la reforma más reciente la del 2019 conocida coloquialmente como paridad en todo;</w:t>
      </w:r>
    </w:p>
    <w:p w14:paraId="666AD0C8" w14:textId="77777777" w:rsidR="009C5613" w:rsidRPr="00AA7107" w:rsidRDefault="009C5613" w:rsidP="009C5613">
      <w:pPr>
        <w:jc w:val="both"/>
        <w:rPr>
          <w:rFonts w:ascii="Abadi" w:hAnsi="Abadi"/>
          <w:sz w:val="21"/>
          <w:szCs w:val="21"/>
        </w:rPr>
      </w:pPr>
    </w:p>
    <w:p w14:paraId="434FC40F" w14:textId="2AD87C7F" w:rsidR="009C5613" w:rsidRDefault="009C5613" w:rsidP="009C5613">
      <w:pPr>
        <w:jc w:val="both"/>
        <w:rPr>
          <w:rFonts w:ascii="Abadi" w:hAnsi="Abadi"/>
          <w:sz w:val="21"/>
          <w:szCs w:val="21"/>
        </w:rPr>
      </w:pPr>
      <w:r w:rsidRPr="00AA7107">
        <w:rPr>
          <w:rFonts w:ascii="Abadi" w:hAnsi="Abadi"/>
          <w:sz w:val="21"/>
          <w:szCs w:val="21"/>
        </w:rPr>
        <w:t>- Mediante el cual se buscaba garantizar que la mitad de los cargos de decisión también fueran para mujeres en los 3 niveles de gobierno en los tres en todo el poder público los tres poderes de la unión así como los organismos autónomos, es decir el principio de paridad, evolucionó de la parte meramente electoral para pasarlo a la integración de los espacios de decisión dichas reformas han dado como resultado que hoy tengamos nueve mujeres gobernadoras,  prácticamente las mismas que hemos tenido en toda la historia en nuestro país.</w:t>
      </w:r>
    </w:p>
    <w:p w14:paraId="4E2CE6EF" w14:textId="77777777" w:rsidR="009C5613" w:rsidRPr="00AA7107" w:rsidRDefault="009C5613" w:rsidP="009C5613">
      <w:pPr>
        <w:jc w:val="both"/>
        <w:rPr>
          <w:rFonts w:ascii="Abadi" w:hAnsi="Abadi"/>
          <w:sz w:val="21"/>
          <w:szCs w:val="21"/>
        </w:rPr>
      </w:pPr>
    </w:p>
    <w:p w14:paraId="6621596D" w14:textId="2BA42DA6" w:rsidR="009C5613" w:rsidRDefault="009C5613" w:rsidP="009C5613">
      <w:pPr>
        <w:jc w:val="both"/>
        <w:rPr>
          <w:rFonts w:ascii="Abadi" w:hAnsi="Abadi"/>
          <w:sz w:val="21"/>
          <w:szCs w:val="21"/>
        </w:rPr>
      </w:pPr>
      <w:r w:rsidRPr="00AA7107">
        <w:rPr>
          <w:rFonts w:ascii="Abadi" w:hAnsi="Abadi"/>
          <w:sz w:val="21"/>
          <w:szCs w:val="21"/>
        </w:rPr>
        <w:t>- Tenemos los congresos todos prácticamente son paritarios sin embargo el principio de paridad pareciera que él se quedó solamente en la parte electoral de representación popular, porque ésta no se ha trasladado a los espacios de decisión es decir a los gabinetes ni siquiera donde tenemos gobernadoras; sin embargo el principio de paridad como lo decía se quedó en esa obligatoriedad solamente electoral el 5050 y no se trasladó a los cargos de decisión donde es evidente la ausencia de mujeres en los gabinetes estatales y municipales y aunque la ley no lo, no lo, diga explícitamente el hecho de que los gabinetes sean paritarios y si en consecuencia resulta administrativa hay un principio constitucional el principio de paridad que debería de haberse observado ya de manera progresiva por supuesto con sus honrosas excepciones quiero recordar por ejemplo el gabinete creo que de Sonora, es paritario el del gobierno federal en un principio fue paritario después se tornó más desequilibrado en el caso por ejemplo de guanajuato hay que destacar el caso de León que hasta la última información que nos envió a la Comisión de Igualdad era un gobierno paritario por eso hoy venimos la bancada feminista a proponer que en la ley se establezcan los gobiernos paritarios para explicar el origen de esta propuesta es necesario remontarnos a la reforma del 2019 el artículo 41 constitucional donde se especificó también que se debería de observar el principio de paridad en los nombramientos de las personas titulares de las dependencias del gobierno federal y sus equivalentes en los estados; y con la finalidad de dar efectividad a este dispositivo constitucional en los transitorios estableció que quienes tomarán posesión de su encargo en el proceso electoral federal siguiente es decir del 2024 tendrían que observar este principio de paridad así como en las legislaturas en las entidades federativas y los congresos tendrían que hacer sus adecuaciones.</w:t>
      </w:r>
    </w:p>
    <w:p w14:paraId="54781671" w14:textId="77777777" w:rsidR="009C5613" w:rsidRPr="00AA7107" w:rsidRDefault="009C5613" w:rsidP="009C5613">
      <w:pPr>
        <w:jc w:val="both"/>
        <w:rPr>
          <w:rFonts w:ascii="Abadi" w:hAnsi="Abadi"/>
          <w:sz w:val="21"/>
          <w:szCs w:val="21"/>
        </w:rPr>
      </w:pPr>
    </w:p>
    <w:p w14:paraId="28708C9B" w14:textId="1E01BE6D" w:rsidR="009C5613" w:rsidRDefault="009C5613" w:rsidP="009C5613">
      <w:pPr>
        <w:jc w:val="both"/>
        <w:rPr>
          <w:rFonts w:ascii="Abadi" w:hAnsi="Abadi"/>
          <w:sz w:val="21"/>
          <w:szCs w:val="21"/>
        </w:rPr>
      </w:pPr>
      <w:r w:rsidRPr="00AA7107">
        <w:rPr>
          <w:rFonts w:ascii="Abadi" w:hAnsi="Abadi"/>
          <w:sz w:val="21"/>
          <w:szCs w:val="21"/>
        </w:rPr>
        <w:t>- Este congreso hizo lo propio en agosto del 2020 fue publicada la reforma a nuestra Constitución donde en el artículo 80 generaba la obligatoriedad de observar el principio de paridad en los nombramientos de las personas titulares de las dependencias del Poder Ejecutivo; sin embargo delego esta atribución a la Ley Orgánica del Poder Ejecutivo señalando en un transitorio que esta ley tendría que ser reformada en el plazo de un año y así regular los nombramientos de las personas titulares de las dependencias de la administración pública estatal sin embargo el periodo señalado ya se cumplió este congreso está siendo omiso con lo que mandata este transitorio de nuestra constitución por lo que nace esta iniciativa para regular en la Ley Orgánica del Poder Ejecutivo las formas y las modalidades en las que se debe observar el principio de paridad a la hora del nombramiento de los titulares, de las dependencias de la administración pública del Estado.</w:t>
      </w:r>
    </w:p>
    <w:p w14:paraId="43F3191D" w14:textId="77777777" w:rsidR="009C5613" w:rsidRPr="00AA7107" w:rsidRDefault="009C5613" w:rsidP="009C5613">
      <w:pPr>
        <w:jc w:val="both"/>
        <w:rPr>
          <w:rFonts w:ascii="Abadi" w:hAnsi="Abadi"/>
          <w:sz w:val="21"/>
          <w:szCs w:val="21"/>
        </w:rPr>
      </w:pPr>
    </w:p>
    <w:p w14:paraId="00CEE044" w14:textId="60174C3E" w:rsidR="009C5613" w:rsidRDefault="009C5613" w:rsidP="009C5613">
      <w:pPr>
        <w:jc w:val="both"/>
        <w:rPr>
          <w:rFonts w:ascii="Abadi" w:hAnsi="Abadi"/>
          <w:sz w:val="21"/>
          <w:szCs w:val="21"/>
        </w:rPr>
      </w:pPr>
      <w:r w:rsidRPr="00AA7107">
        <w:rPr>
          <w:rFonts w:ascii="Abadi" w:hAnsi="Abadi"/>
          <w:sz w:val="21"/>
          <w:szCs w:val="21"/>
        </w:rPr>
        <w:t>- Toda vez, que su observancia será obligatoria a partir de las elecciones del 2024 decir para el próximo gobernador o gobernadora resulta necesario dar certeza jurídica de que no existan vacíos legales que pongan en riesgo su aplicación llegado el momento, sin embargo no nos quedamos solamente para ahí en incorporar el principio de paridad en la administración pública del estado, sino también establecer le esta misma obligación a los gobiernos municipales.</w:t>
      </w:r>
    </w:p>
    <w:p w14:paraId="78D4D723" w14:textId="77777777" w:rsidR="009C5613" w:rsidRPr="00AA7107" w:rsidRDefault="009C5613" w:rsidP="009C5613">
      <w:pPr>
        <w:jc w:val="both"/>
        <w:rPr>
          <w:rFonts w:ascii="Abadi" w:hAnsi="Abadi"/>
          <w:sz w:val="21"/>
          <w:szCs w:val="21"/>
        </w:rPr>
      </w:pPr>
    </w:p>
    <w:p w14:paraId="1B7E4EE5" w14:textId="3BE9A2CD" w:rsidR="009C5613" w:rsidRDefault="009C5613" w:rsidP="009C5613">
      <w:pPr>
        <w:jc w:val="both"/>
        <w:rPr>
          <w:rFonts w:ascii="Abadi" w:hAnsi="Abadi"/>
          <w:sz w:val="21"/>
          <w:szCs w:val="21"/>
        </w:rPr>
      </w:pPr>
      <w:r w:rsidRPr="00AA7107">
        <w:rPr>
          <w:rFonts w:ascii="Abadi" w:hAnsi="Abadi"/>
          <w:sz w:val="21"/>
          <w:szCs w:val="21"/>
        </w:rPr>
        <w:t>- Es decir que el principio de paridad también se observe en los gobiernos de nuestros municipios si bien es cierto hoy tenemos 46 ayuntamientos paritarios y tenemos 14 presidentas municipales basta con echar una mirada y observar que no están cumpliendo con el principio de paridad,  sí, se los tenemos que decir en la ley ni siquiera las alcaldesas están cumpliendo con el principio de paridad a excepto insisto excepto el caso de León; entonces es necesario que los municipios también observan este en principio e incorporen, a las mujeres en los espacios de decisión en la administración.</w:t>
      </w:r>
    </w:p>
    <w:p w14:paraId="0D175995" w14:textId="77777777" w:rsidR="009C5613" w:rsidRPr="00AA7107" w:rsidRDefault="009C5613" w:rsidP="009C5613">
      <w:pPr>
        <w:jc w:val="both"/>
        <w:rPr>
          <w:rFonts w:ascii="Abadi" w:hAnsi="Abadi"/>
          <w:sz w:val="21"/>
          <w:szCs w:val="21"/>
        </w:rPr>
      </w:pPr>
    </w:p>
    <w:p w14:paraId="57A577E4" w14:textId="184E5A25" w:rsidR="009C5613" w:rsidRDefault="009C5613" w:rsidP="009C5613">
      <w:pPr>
        <w:jc w:val="both"/>
        <w:rPr>
          <w:rFonts w:ascii="Abadi" w:hAnsi="Abadi"/>
          <w:sz w:val="21"/>
          <w:szCs w:val="21"/>
        </w:rPr>
      </w:pPr>
      <w:r w:rsidRPr="00AA7107">
        <w:rPr>
          <w:rFonts w:ascii="Abadi" w:hAnsi="Abadi"/>
          <w:sz w:val="21"/>
          <w:szCs w:val="21"/>
        </w:rPr>
        <w:t xml:space="preserve">- Así es evidente la ausencia de mujeres entonces no podemos seguir dejando a la voluntad de los políticos y de las políticas la inclusión de las mujeres en los espacios de decisión, porque ya vimos que no la tienen, ¡voluntad! </w:t>
      </w:r>
    </w:p>
    <w:p w14:paraId="10E4FDCF" w14:textId="77777777" w:rsidR="009C5613" w:rsidRPr="00AA7107" w:rsidRDefault="009C5613" w:rsidP="009C5613">
      <w:pPr>
        <w:jc w:val="both"/>
        <w:rPr>
          <w:rFonts w:ascii="Abadi" w:hAnsi="Abadi"/>
          <w:sz w:val="21"/>
          <w:szCs w:val="21"/>
        </w:rPr>
      </w:pPr>
    </w:p>
    <w:p w14:paraId="01F53CDD" w14:textId="53D46B11" w:rsidR="009C5613" w:rsidRDefault="009C5613" w:rsidP="009C5613">
      <w:pPr>
        <w:jc w:val="both"/>
        <w:rPr>
          <w:rFonts w:ascii="Abadi" w:hAnsi="Abadi"/>
          <w:sz w:val="21"/>
          <w:szCs w:val="21"/>
        </w:rPr>
      </w:pPr>
      <w:r w:rsidRPr="00AA7107">
        <w:rPr>
          <w:rFonts w:ascii="Abadi" w:hAnsi="Abadi"/>
          <w:sz w:val="21"/>
          <w:szCs w:val="21"/>
        </w:rPr>
        <w:t>- Entonces qué tenemos que hacer en un país como el nuestro con políticos y políticas como los nuestros eh con partidos políticos como los nuestros pues a seguir conquistando derechos y los derechos se conquistan de distintas formas se conquistan tomando instituciones se conquistan en la calle o se conquistan modificando las leyes.</w:t>
      </w:r>
    </w:p>
    <w:p w14:paraId="171C3F06" w14:textId="77777777" w:rsidR="009C5613" w:rsidRPr="00AA7107" w:rsidRDefault="009C5613" w:rsidP="009C5613">
      <w:pPr>
        <w:jc w:val="both"/>
        <w:rPr>
          <w:rFonts w:ascii="Abadi" w:hAnsi="Abadi"/>
          <w:sz w:val="21"/>
          <w:szCs w:val="21"/>
        </w:rPr>
      </w:pPr>
    </w:p>
    <w:p w14:paraId="382C899B" w14:textId="31AA8679" w:rsidR="009C5613" w:rsidRDefault="009C5613" w:rsidP="009C5613">
      <w:pPr>
        <w:jc w:val="both"/>
        <w:rPr>
          <w:rFonts w:ascii="Abadi" w:hAnsi="Abadi"/>
          <w:sz w:val="21"/>
          <w:szCs w:val="21"/>
        </w:rPr>
      </w:pPr>
      <w:r w:rsidRPr="00AA7107">
        <w:rPr>
          <w:rFonts w:ascii="Abadi" w:hAnsi="Abadi"/>
          <w:sz w:val="21"/>
          <w:szCs w:val="21"/>
        </w:rPr>
        <w:t>- Es por eso que hoy la bancada feminista venimos a plantearles modificar la Ley Orgánica del Poder Ejecutivo y la Ley Orgánica Municipal con el objetivo de incorporar a las mujeres en los espacios de decisión le hace los gabinetes estatales y los gabinetes municipales; incorporando a las mujeres en estos espacios se van a cambiar las agendas, se van a cambiar las prioridades, se van a cambiar también las perspectivas y por supuesto se van a cambiar los roles sociales impuestos eh seguramente en el largo plazo porque esto es progresivo se cambiará la cultura y estoy segura que también en el mediano plazo se estará cambiando la forma de hacer política y la forma de ejercer el servicio público.</w:t>
      </w:r>
    </w:p>
    <w:p w14:paraId="75F599C2" w14:textId="77777777" w:rsidR="009C5613" w:rsidRPr="00AA7107" w:rsidRDefault="009C5613" w:rsidP="009C5613">
      <w:pPr>
        <w:jc w:val="both"/>
        <w:rPr>
          <w:rFonts w:ascii="Abadi" w:hAnsi="Abadi"/>
          <w:sz w:val="21"/>
          <w:szCs w:val="21"/>
        </w:rPr>
      </w:pPr>
    </w:p>
    <w:p w14:paraId="1FA7D64E" w14:textId="6A18A474" w:rsidR="009C5613" w:rsidRDefault="009C5613" w:rsidP="009C5613">
      <w:pPr>
        <w:jc w:val="both"/>
        <w:rPr>
          <w:rFonts w:ascii="Abadi" w:hAnsi="Abadi"/>
          <w:sz w:val="21"/>
          <w:szCs w:val="21"/>
        </w:rPr>
      </w:pPr>
      <w:r w:rsidRPr="00AA7107">
        <w:rPr>
          <w:rFonts w:ascii="Abadi" w:hAnsi="Abadi"/>
          <w:sz w:val="21"/>
          <w:szCs w:val="21"/>
        </w:rPr>
        <w:t>- Es cuanto, Presidente.</w:t>
      </w:r>
    </w:p>
    <w:p w14:paraId="4E69F571" w14:textId="77777777" w:rsidR="009C5613" w:rsidRPr="00AA7107" w:rsidRDefault="009C5613" w:rsidP="009C5613">
      <w:pPr>
        <w:jc w:val="both"/>
        <w:rPr>
          <w:rFonts w:ascii="Abadi" w:hAnsi="Abadi"/>
          <w:sz w:val="21"/>
          <w:szCs w:val="21"/>
        </w:rPr>
      </w:pPr>
    </w:p>
    <w:p w14:paraId="04D53466" w14:textId="77777777" w:rsidR="009C5613" w:rsidRPr="00AA7107" w:rsidRDefault="009C5613" w:rsidP="009C5613">
      <w:pPr>
        <w:jc w:val="both"/>
        <w:rPr>
          <w:rFonts w:ascii="Abadi" w:hAnsi="Abadi"/>
          <w:sz w:val="21"/>
          <w:szCs w:val="21"/>
        </w:rPr>
      </w:pPr>
      <w:r w:rsidRPr="00AA7107">
        <w:rPr>
          <w:rFonts w:ascii="Abadi" w:hAnsi="Abadi"/>
          <w:b/>
          <w:bCs/>
          <w:sz w:val="21"/>
          <w:szCs w:val="21"/>
        </w:rPr>
        <w:tab/>
        <w:t>- El Presidente.-</w:t>
      </w:r>
      <w:r w:rsidRPr="00AA7107">
        <w:rPr>
          <w:rFonts w:ascii="Abadi" w:hAnsi="Abadi"/>
          <w:sz w:val="21"/>
          <w:szCs w:val="21"/>
        </w:rPr>
        <w:t xml:space="preserve"> Gracias diputada Yulma Rocha. </w:t>
      </w:r>
    </w:p>
    <w:p w14:paraId="0247DA2A" w14:textId="77777777" w:rsidR="009C5613" w:rsidRPr="00AA7107" w:rsidRDefault="009C5613" w:rsidP="009C5613">
      <w:pPr>
        <w:jc w:val="both"/>
        <w:rPr>
          <w:rFonts w:ascii="Abadi" w:hAnsi="Abadi"/>
          <w:sz w:val="21"/>
          <w:szCs w:val="21"/>
        </w:rPr>
      </w:pPr>
    </w:p>
    <w:p w14:paraId="19893E13" w14:textId="77777777" w:rsidR="009C5613" w:rsidRPr="00AA7107" w:rsidRDefault="009C5613" w:rsidP="009C5613">
      <w:pPr>
        <w:ind w:left="426" w:right="425"/>
        <w:jc w:val="both"/>
        <w:rPr>
          <w:rFonts w:ascii="Abadi" w:hAnsi="Abadi"/>
          <w:b/>
          <w:bCs/>
          <w:i/>
          <w:iCs/>
          <w:sz w:val="21"/>
          <w:szCs w:val="21"/>
          <w:u w:val="single"/>
        </w:rPr>
      </w:pPr>
      <w:r w:rsidRPr="00AA7107">
        <w:rPr>
          <w:rFonts w:ascii="Abadi" w:hAnsi="Abadi"/>
          <w:b/>
          <w:bCs/>
          <w:i/>
          <w:iCs/>
          <w:sz w:val="21"/>
          <w:szCs w:val="21"/>
          <w:u w:val="single"/>
        </w:rPr>
        <w:t xml:space="preserve">Se turna a la parte correspondiente de la Ley Orgánica del Poder Ejecutivo para el Estado de guanajuato la Comisión de Gobernación y Puntos Constitucionales con fundamento en el artículo 111 fracción segunda y la parte referente a la Ley Orgánica Municipal para el estado de guanajuato se turna a la </w:t>
      </w:r>
      <w:r>
        <w:rPr>
          <w:rFonts w:ascii="Abadi" w:hAnsi="Abadi"/>
          <w:b/>
          <w:bCs/>
          <w:i/>
          <w:iCs/>
          <w:sz w:val="21"/>
          <w:szCs w:val="21"/>
          <w:u w:val="single"/>
        </w:rPr>
        <w:t>C</w:t>
      </w:r>
      <w:r w:rsidRPr="00AA7107">
        <w:rPr>
          <w:rFonts w:ascii="Abadi" w:hAnsi="Abadi"/>
          <w:b/>
          <w:bCs/>
          <w:i/>
          <w:iCs/>
          <w:sz w:val="21"/>
          <w:szCs w:val="21"/>
          <w:u w:val="single"/>
        </w:rPr>
        <w:t xml:space="preserve">omisión de </w:t>
      </w:r>
      <w:r>
        <w:rPr>
          <w:rFonts w:ascii="Abadi" w:hAnsi="Abadi"/>
          <w:b/>
          <w:bCs/>
          <w:i/>
          <w:iCs/>
          <w:sz w:val="21"/>
          <w:szCs w:val="21"/>
          <w:u w:val="single"/>
        </w:rPr>
        <w:t>A</w:t>
      </w:r>
      <w:r w:rsidRPr="00AA7107">
        <w:rPr>
          <w:rFonts w:ascii="Abadi" w:hAnsi="Abadi"/>
          <w:b/>
          <w:bCs/>
          <w:i/>
          <w:iCs/>
          <w:sz w:val="21"/>
          <w:szCs w:val="21"/>
          <w:u w:val="single"/>
        </w:rPr>
        <w:t xml:space="preserve">suntos </w:t>
      </w:r>
      <w:r>
        <w:rPr>
          <w:rFonts w:ascii="Abadi" w:hAnsi="Abadi"/>
          <w:b/>
          <w:bCs/>
          <w:i/>
          <w:iCs/>
          <w:sz w:val="21"/>
          <w:szCs w:val="21"/>
          <w:u w:val="single"/>
        </w:rPr>
        <w:t>M</w:t>
      </w:r>
      <w:r w:rsidRPr="00AA7107">
        <w:rPr>
          <w:rFonts w:ascii="Abadi" w:hAnsi="Abadi"/>
          <w:b/>
          <w:bCs/>
          <w:i/>
          <w:iCs/>
          <w:sz w:val="21"/>
          <w:szCs w:val="21"/>
          <w:u w:val="single"/>
        </w:rPr>
        <w:t>unicipales con fundamento en el artículo 104 fracción primera de nuestra Ley Orgánica para su estudio y dictamen de igual forma se remite para su opinión a la Comisión para la Igualdad de Género con fundamento en los artículos 59 fracción décima segundo párrafo y 116 fracción quinta de nuestra Ley Orgánica.</w:t>
      </w:r>
    </w:p>
    <w:p w14:paraId="69EC5C37" w14:textId="07EA079C" w:rsidR="00B0221B" w:rsidRDefault="00B0221B" w:rsidP="00677B7E">
      <w:pPr>
        <w:pStyle w:val="Prrafodelista"/>
        <w:ind w:left="1560"/>
        <w:jc w:val="center"/>
        <w:rPr>
          <w:rFonts w:ascii="Abadi" w:hAnsi="Abadi"/>
          <w:b/>
          <w:bCs/>
          <w:sz w:val="21"/>
          <w:szCs w:val="21"/>
        </w:rPr>
      </w:pPr>
    </w:p>
    <w:p w14:paraId="28DE5951" w14:textId="77777777" w:rsidR="00A41305" w:rsidRPr="0028553C" w:rsidRDefault="00A41305" w:rsidP="00E462B6">
      <w:pPr>
        <w:autoSpaceDE w:val="0"/>
        <w:autoSpaceDN w:val="0"/>
        <w:adjustRightInd w:val="0"/>
        <w:jc w:val="both"/>
        <w:rPr>
          <w:rFonts w:ascii="Abadi" w:hAnsi="Abadi" w:cs="ArialMT"/>
          <w:b/>
          <w:bCs/>
          <w:sz w:val="20"/>
          <w:szCs w:val="21"/>
        </w:rPr>
      </w:pPr>
    </w:p>
    <w:p w14:paraId="1671A91E" w14:textId="2A59F504" w:rsidR="00E76F5E" w:rsidRPr="00C45991" w:rsidRDefault="00E462B6" w:rsidP="00AE324A">
      <w:pPr>
        <w:pStyle w:val="Prrafodelista"/>
        <w:numPr>
          <w:ilvl w:val="0"/>
          <w:numId w:val="14"/>
        </w:numPr>
        <w:autoSpaceDE w:val="0"/>
        <w:autoSpaceDN w:val="0"/>
        <w:adjustRightInd w:val="0"/>
        <w:ind w:left="426"/>
        <w:contextualSpacing/>
        <w:jc w:val="both"/>
        <w:rPr>
          <w:rFonts w:ascii="Abadi" w:hAnsi="Abadi" w:cs="ArialMT"/>
          <w:b/>
          <w:bCs/>
          <w:sz w:val="20"/>
          <w:szCs w:val="21"/>
        </w:rPr>
      </w:pPr>
      <w:r w:rsidRPr="0028553C">
        <w:rPr>
          <w:rFonts w:ascii="Abadi" w:hAnsi="Abadi" w:cs="ArialMT"/>
          <w:b/>
          <w:bCs/>
          <w:sz w:val="20"/>
          <w:szCs w:val="21"/>
        </w:rPr>
        <w:t>PRESENTACIÓN DE LA PROPUESTA DE PUNTO DE ACUERDO SUSCRITA POR LA DIPUTADA HADES BERENICE AGUILAR CASTILLO INTEGRANTE DEL GRUPO PARLAMENTARIO DEL PARTIDO MORENA A EFECTO DE EXHORTAR A LA PRESIDENTA MUNICIPAL DE LEÓN, ALEJANDRA GUTIÉRREZ CAMPOS, PARA QUE INFORME A ESTE CONGRESO ACERCA DE LAS ACCIONES Y PROGRAMAS QUE SE IMPLEMENTARON DURANTE EL 2022 PARA LA ATENCIÓN DE LAS PERSONAS JORNALERAS AGRÍCOLAS INDÍGENAS MIGRANTES DE LEÓN; ASÍ COMO AL GOBERNADOR DEL ESTADO DE GUANAJUATO, DIEGO SINHUE RODRÍGUEZ VALLEJO, PARA QUE, EN EL ÁMBITO DE SUS ATRIBUCIONES, INCORPORE LAS RECOMENDACIONES DEL CENTRO DE DESARROLLO INDÍGENA LOYOLA EN EL DISEÑO, IMPLEMENTACIÓN Y EVALUACIÓN DE LA POLÍTICA PÚBLICA DE ATENCIÓN A PERSONAS JORNALERAS AGRÍCOLAS MIGRANTES.</w:t>
      </w:r>
      <w:r w:rsidR="008208D3">
        <w:rPr>
          <w:rFonts w:ascii="Abadi" w:hAnsi="Abadi" w:cs="ArialMT"/>
          <w:b/>
          <w:bCs/>
          <w:sz w:val="20"/>
          <w:szCs w:val="21"/>
        </w:rPr>
        <w:t xml:space="preserve"> </w:t>
      </w:r>
      <w:r w:rsidR="00B7234D">
        <w:rPr>
          <w:rStyle w:val="Refdenotaalpie"/>
          <w:rFonts w:ascii="Abadi" w:hAnsi="Abadi" w:cs="ArialMT"/>
          <w:b/>
          <w:bCs/>
          <w:sz w:val="20"/>
          <w:szCs w:val="21"/>
        </w:rPr>
        <w:footnoteReference w:id="65"/>
      </w:r>
    </w:p>
    <w:p w14:paraId="0A0A9C60" w14:textId="77777777" w:rsidR="00C45991" w:rsidRDefault="00C45991" w:rsidP="00AE324A">
      <w:pPr>
        <w:autoSpaceDE w:val="0"/>
        <w:autoSpaceDN w:val="0"/>
        <w:adjustRightInd w:val="0"/>
        <w:ind w:left="426"/>
        <w:jc w:val="both"/>
        <w:rPr>
          <w:rFonts w:ascii="Abadi" w:hAnsi="Abadi" w:cs="Amasis MT Pro Light"/>
          <w:b/>
          <w:bCs/>
          <w:sz w:val="21"/>
          <w:szCs w:val="21"/>
        </w:rPr>
      </w:pPr>
    </w:p>
    <w:p w14:paraId="4710C7C5" w14:textId="44A1B0DB" w:rsidR="00EE65CE" w:rsidRPr="00AA1CF8" w:rsidRDefault="00EE65CE" w:rsidP="00EE65CE">
      <w:pPr>
        <w:autoSpaceDE w:val="0"/>
        <w:autoSpaceDN w:val="0"/>
        <w:adjustRightInd w:val="0"/>
        <w:jc w:val="both"/>
        <w:rPr>
          <w:rFonts w:ascii="Abadi" w:hAnsi="Abadi" w:cs="Amasis MT Pro Light"/>
          <w:b/>
          <w:bCs/>
          <w:sz w:val="21"/>
          <w:szCs w:val="21"/>
        </w:rPr>
      </w:pPr>
      <w:r w:rsidRPr="00AA1CF8">
        <w:rPr>
          <w:rFonts w:ascii="Abadi" w:hAnsi="Abadi" w:cs="Amasis MT Pro Light"/>
          <w:b/>
          <w:bCs/>
          <w:sz w:val="21"/>
          <w:szCs w:val="21"/>
        </w:rPr>
        <w:t>Diputado Martín López Camacho</w:t>
      </w:r>
    </w:p>
    <w:p w14:paraId="69CCB1E6" w14:textId="77777777" w:rsidR="00EE65CE" w:rsidRPr="00AA1CF8" w:rsidRDefault="00EE65CE" w:rsidP="00EE65CE">
      <w:pPr>
        <w:autoSpaceDE w:val="0"/>
        <w:autoSpaceDN w:val="0"/>
        <w:adjustRightInd w:val="0"/>
        <w:jc w:val="both"/>
        <w:rPr>
          <w:rFonts w:ascii="Abadi" w:hAnsi="Abadi" w:cs="Amasis MT Pro Light"/>
          <w:sz w:val="21"/>
          <w:szCs w:val="21"/>
        </w:rPr>
      </w:pPr>
      <w:r w:rsidRPr="00AA1CF8">
        <w:rPr>
          <w:rFonts w:ascii="Abadi" w:hAnsi="Abadi" w:cs="Amasis MT Pro Light"/>
          <w:sz w:val="21"/>
          <w:szCs w:val="21"/>
        </w:rPr>
        <w:t>Presidente del Congreso del Estado de Guanajuato</w:t>
      </w:r>
    </w:p>
    <w:p w14:paraId="6CD1A7FB" w14:textId="77777777" w:rsidR="00EE65CE" w:rsidRPr="00AA1CF8" w:rsidRDefault="00EE65CE" w:rsidP="00EE65CE">
      <w:pPr>
        <w:autoSpaceDE w:val="0"/>
        <w:autoSpaceDN w:val="0"/>
        <w:adjustRightInd w:val="0"/>
        <w:jc w:val="both"/>
        <w:rPr>
          <w:rFonts w:ascii="Abadi" w:hAnsi="Abadi" w:cs="Amasis MT Pro Light"/>
          <w:sz w:val="21"/>
          <w:szCs w:val="21"/>
        </w:rPr>
      </w:pPr>
      <w:r w:rsidRPr="00AA1CF8">
        <w:rPr>
          <w:rFonts w:ascii="Abadi" w:hAnsi="Abadi" w:cs="Amasis MT Pro Light"/>
          <w:sz w:val="21"/>
          <w:szCs w:val="21"/>
        </w:rPr>
        <w:t>LXV Legislatura</w:t>
      </w:r>
    </w:p>
    <w:p w14:paraId="422649CF" w14:textId="77777777" w:rsidR="00EE65CE" w:rsidRPr="00AA1CF8" w:rsidRDefault="00EE65CE" w:rsidP="00EE65CE">
      <w:pPr>
        <w:autoSpaceDE w:val="0"/>
        <w:autoSpaceDN w:val="0"/>
        <w:adjustRightInd w:val="0"/>
        <w:jc w:val="both"/>
        <w:rPr>
          <w:rFonts w:ascii="Abadi" w:hAnsi="Abadi" w:cs="Amasis MT Pro Light"/>
          <w:sz w:val="21"/>
          <w:szCs w:val="21"/>
        </w:rPr>
      </w:pPr>
      <w:r w:rsidRPr="00AA1CF8">
        <w:rPr>
          <w:rFonts w:ascii="Abadi" w:hAnsi="Abadi" w:cs="Amasis MT Pro Light"/>
          <w:sz w:val="21"/>
          <w:szCs w:val="21"/>
        </w:rPr>
        <w:t>Presente.</w:t>
      </w:r>
    </w:p>
    <w:p w14:paraId="51EA6D54" w14:textId="77777777" w:rsidR="00EE65CE" w:rsidRDefault="00EE65CE" w:rsidP="00EE65CE">
      <w:pPr>
        <w:autoSpaceDE w:val="0"/>
        <w:autoSpaceDN w:val="0"/>
        <w:adjustRightInd w:val="0"/>
        <w:jc w:val="both"/>
        <w:rPr>
          <w:rFonts w:ascii="Abadi" w:hAnsi="Abadi" w:cs="Amasis MT Pro Light"/>
          <w:sz w:val="21"/>
          <w:szCs w:val="21"/>
        </w:rPr>
      </w:pPr>
    </w:p>
    <w:p w14:paraId="29711545" w14:textId="77777777" w:rsidR="00EE65CE" w:rsidRPr="00AA1CF8" w:rsidRDefault="00EE65CE" w:rsidP="00EE65CE">
      <w:pPr>
        <w:autoSpaceDE w:val="0"/>
        <w:autoSpaceDN w:val="0"/>
        <w:adjustRightInd w:val="0"/>
        <w:jc w:val="both"/>
        <w:rPr>
          <w:rFonts w:ascii="Abadi" w:hAnsi="Abadi" w:cs="Amasis MT Pro Light"/>
          <w:sz w:val="21"/>
          <w:szCs w:val="21"/>
        </w:rPr>
      </w:pPr>
      <w:r w:rsidRPr="00AA1CF8">
        <w:rPr>
          <w:rFonts w:ascii="Abadi" w:hAnsi="Abadi" w:cs="Amasis MT Pro Light"/>
          <w:sz w:val="21"/>
          <w:szCs w:val="21"/>
        </w:rPr>
        <w:t xml:space="preserve">Diputado </w:t>
      </w:r>
      <w:r w:rsidRPr="00AA1CF8">
        <w:rPr>
          <w:rFonts w:ascii="Abadi" w:hAnsi="Abadi" w:cs="Amasis MT Pro Light"/>
          <w:b/>
          <w:bCs/>
          <w:sz w:val="21"/>
          <w:szCs w:val="21"/>
        </w:rPr>
        <w:t>David Martínez Mendizábal</w:t>
      </w:r>
      <w:r w:rsidRPr="00AA1CF8">
        <w:rPr>
          <w:rFonts w:ascii="Abadi" w:hAnsi="Abadi" w:cs="Amasis MT Pro Light"/>
          <w:sz w:val="21"/>
          <w:szCs w:val="21"/>
        </w:rPr>
        <w:t xml:space="preserve"> y Diputada </w:t>
      </w:r>
      <w:r w:rsidRPr="00AA1CF8">
        <w:rPr>
          <w:rFonts w:ascii="Abadi" w:hAnsi="Abadi" w:cs="Amasis MT Pro Light"/>
          <w:b/>
          <w:bCs/>
          <w:sz w:val="21"/>
          <w:szCs w:val="21"/>
        </w:rPr>
        <w:t>Hades Berenice Aguilar Castillo</w:t>
      </w:r>
      <w:r w:rsidRPr="00AA1CF8">
        <w:rPr>
          <w:rFonts w:ascii="Abadi" w:hAnsi="Abadi" w:cs="Amasis MT Pro Light"/>
          <w:sz w:val="21"/>
          <w:szCs w:val="21"/>
        </w:rPr>
        <w:t>,</w:t>
      </w:r>
      <w:r>
        <w:rPr>
          <w:rFonts w:ascii="Abadi" w:hAnsi="Abadi" w:cs="Amasis MT Pro Light"/>
          <w:sz w:val="21"/>
          <w:szCs w:val="21"/>
        </w:rPr>
        <w:t xml:space="preserve"> </w:t>
      </w:r>
      <w:r w:rsidRPr="00AA1CF8">
        <w:rPr>
          <w:rFonts w:ascii="Abadi" w:hAnsi="Abadi" w:cs="Amasis MT Pro Light"/>
          <w:sz w:val="21"/>
          <w:szCs w:val="21"/>
        </w:rPr>
        <w:t xml:space="preserve">integrantes del </w:t>
      </w:r>
      <w:r w:rsidRPr="00AA1CF8">
        <w:rPr>
          <w:rFonts w:ascii="Abadi" w:hAnsi="Abadi" w:cs="Amasis MT Pro Light"/>
          <w:b/>
          <w:bCs/>
          <w:sz w:val="21"/>
          <w:szCs w:val="21"/>
        </w:rPr>
        <w:t>Grupo Parlamentario de morena</w:t>
      </w:r>
      <w:r w:rsidRPr="00AA1CF8">
        <w:rPr>
          <w:rFonts w:ascii="Abadi" w:hAnsi="Abadi" w:cs="Amasis MT Pro Light"/>
          <w:sz w:val="21"/>
          <w:szCs w:val="21"/>
        </w:rPr>
        <w:t xml:space="preserve"> en la LXV Legislatura del Congreso</w:t>
      </w:r>
      <w:r>
        <w:rPr>
          <w:rFonts w:ascii="Abadi" w:hAnsi="Abadi" w:cs="Amasis MT Pro Light"/>
          <w:sz w:val="21"/>
          <w:szCs w:val="21"/>
        </w:rPr>
        <w:t xml:space="preserve"> </w:t>
      </w:r>
      <w:r w:rsidRPr="00AA1CF8">
        <w:rPr>
          <w:rFonts w:ascii="Abadi" w:hAnsi="Abadi" w:cs="Amasis MT Pro Light"/>
          <w:sz w:val="21"/>
          <w:szCs w:val="21"/>
        </w:rPr>
        <w:t>del Estado de Guanajuato, con fundamento en lo dispuesto por el primer párrafo del</w:t>
      </w:r>
      <w:r>
        <w:rPr>
          <w:rFonts w:ascii="Abadi" w:hAnsi="Abadi" w:cs="Amasis MT Pro Light"/>
          <w:sz w:val="21"/>
          <w:szCs w:val="21"/>
        </w:rPr>
        <w:t xml:space="preserve"> </w:t>
      </w:r>
      <w:r w:rsidRPr="00AA1CF8">
        <w:rPr>
          <w:rFonts w:ascii="Abadi" w:hAnsi="Abadi" w:cs="Amasis MT Pro Light"/>
          <w:sz w:val="21"/>
          <w:szCs w:val="21"/>
        </w:rPr>
        <w:t>artículo 57 de la Constitución Política para el Estado de Guanajuato, así como por lo</w:t>
      </w:r>
      <w:r>
        <w:rPr>
          <w:rFonts w:ascii="Abadi" w:hAnsi="Abadi" w:cs="Amasis MT Pro Light"/>
          <w:sz w:val="21"/>
          <w:szCs w:val="21"/>
        </w:rPr>
        <w:t xml:space="preserve"> </w:t>
      </w:r>
      <w:r w:rsidRPr="00AA1CF8">
        <w:rPr>
          <w:rFonts w:ascii="Abadi" w:hAnsi="Abadi" w:cs="Amasis MT Pro Light"/>
          <w:sz w:val="21"/>
          <w:szCs w:val="21"/>
        </w:rPr>
        <w:t>establecido en el artículo 204 fracción III de la Ley Orgánica del Poder Legislativo</w:t>
      </w:r>
      <w:r>
        <w:rPr>
          <w:rFonts w:ascii="Abadi" w:hAnsi="Abadi" w:cs="Amasis MT Pro Light"/>
          <w:sz w:val="21"/>
          <w:szCs w:val="21"/>
        </w:rPr>
        <w:t xml:space="preserve"> </w:t>
      </w:r>
      <w:r w:rsidRPr="00AA1CF8">
        <w:rPr>
          <w:rFonts w:ascii="Abadi" w:hAnsi="Abadi" w:cs="Amasis MT Pro Light"/>
          <w:sz w:val="21"/>
          <w:szCs w:val="21"/>
        </w:rPr>
        <w:t>del Estado de Guanajuato, sometemos a consideración de esta Asamblea la siguiente</w:t>
      </w:r>
      <w:r>
        <w:rPr>
          <w:rFonts w:ascii="Abadi" w:hAnsi="Abadi" w:cs="Amasis MT Pro Light"/>
          <w:sz w:val="21"/>
          <w:szCs w:val="21"/>
        </w:rPr>
        <w:t xml:space="preserve"> </w:t>
      </w:r>
      <w:r w:rsidRPr="00AA1CF8">
        <w:rPr>
          <w:rFonts w:ascii="Abadi" w:hAnsi="Abadi" w:cs="Amasis MT Pro Light"/>
          <w:sz w:val="21"/>
          <w:szCs w:val="21"/>
        </w:rPr>
        <w:t xml:space="preserve">propuesta de </w:t>
      </w:r>
      <w:r w:rsidRPr="00AA1CF8">
        <w:rPr>
          <w:rFonts w:ascii="Abadi" w:hAnsi="Abadi" w:cs="Amasis MT Pro Light"/>
          <w:b/>
          <w:bCs/>
          <w:sz w:val="21"/>
          <w:szCs w:val="21"/>
        </w:rPr>
        <w:t>Punto de Acuerdo</w:t>
      </w:r>
      <w:r w:rsidRPr="00AA1CF8">
        <w:rPr>
          <w:rFonts w:ascii="Abadi" w:hAnsi="Abadi" w:cs="Amasis MT Pro Light"/>
          <w:sz w:val="21"/>
          <w:szCs w:val="21"/>
        </w:rPr>
        <w:t>, en atención de las siguientes</w:t>
      </w:r>
    </w:p>
    <w:p w14:paraId="7249C52A" w14:textId="77777777" w:rsidR="00EE65CE" w:rsidRDefault="00EE65CE" w:rsidP="00EE65CE">
      <w:pPr>
        <w:autoSpaceDE w:val="0"/>
        <w:autoSpaceDN w:val="0"/>
        <w:adjustRightInd w:val="0"/>
        <w:jc w:val="both"/>
        <w:rPr>
          <w:rFonts w:ascii="Abadi" w:hAnsi="Abadi" w:cs="Amasis MT Pro Light"/>
          <w:sz w:val="21"/>
          <w:szCs w:val="21"/>
        </w:rPr>
      </w:pPr>
    </w:p>
    <w:p w14:paraId="131DD8F1" w14:textId="77777777" w:rsidR="00EE65CE" w:rsidRPr="00AA1CF8" w:rsidRDefault="00EE65CE" w:rsidP="00EE65CE">
      <w:pPr>
        <w:autoSpaceDE w:val="0"/>
        <w:autoSpaceDN w:val="0"/>
        <w:adjustRightInd w:val="0"/>
        <w:jc w:val="center"/>
        <w:rPr>
          <w:rFonts w:ascii="Abadi" w:hAnsi="Abadi" w:cs="Amasis MT Pro Light"/>
          <w:b/>
          <w:bCs/>
          <w:sz w:val="21"/>
          <w:szCs w:val="21"/>
        </w:rPr>
      </w:pPr>
      <w:r w:rsidRPr="00AA1CF8">
        <w:rPr>
          <w:rFonts w:ascii="Abadi" w:hAnsi="Abadi" w:cs="Amasis MT Pro Light"/>
          <w:b/>
          <w:bCs/>
          <w:sz w:val="21"/>
          <w:szCs w:val="21"/>
        </w:rPr>
        <w:t>C O N S I D E R A C I O N E S</w:t>
      </w:r>
    </w:p>
    <w:p w14:paraId="7B18529D" w14:textId="77777777" w:rsidR="00EE65CE" w:rsidRDefault="00EE65CE" w:rsidP="00EE65CE">
      <w:pPr>
        <w:autoSpaceDE w:val="0"/>
        <w:autoSpaceDN w:val="0"/>
        <w:adjustRightInd w:val="0"/>
        <w:jc w:val="both"/>
        <w:rPr>
          <w:rFonts w:ascii="Abadi" w:hAnsi="Abadi" w:cs="Amasis MT Pro Light"/>
          <w:sz w:val="21"/>
          <w:szCs w:val="21"/>
        </w:rPr>
      </w:pPr>
    </w:p>
    <w:p w14:paraId="6F2652A9" w14:textId="77777777" w:rsidR="00EE65CE" w:rsidRPr="00AA1CF8" w:rsidRDefault="00EE65CE" w:rsidP="00EE65CE">
      <w:pPr>
        <w:autoSpaceDE w:val="0"/>
        <w:autoSpaceDN w:val="0"/>
        <w:adjustRightInd w:val="0"/>
        <w:jc w:val="both"/>
        <w:rPr>
          <w:rFonts w:ascii="Abadi" w:hAnsi="Abadi" w:cs="Amasis MT Pro Light"/>
          <w:sz w:val="21"/>
          <w:szCs w:val="21"/>
        </w:rPr>
      </w:pPr>
      <w:r w:rsidRPr="00AA1CF8">
        <w:rPr>
          <w:rFonts w:ascii="Abadi" w:hAnsi="Abadi" w:cs="Amasis MT Pro Light"/>
          <w:sz w:val="21"/>
          <w:szCs w:val="21"/>
        </w:rPr>
        <w:t>En los años noventa del siglo pasado, cuando comenzaron a manifestarse los</w:t>
      </w:r>
      <w:r>
        <w:rPr>
          <w:rFonts w:ascii="Abadi" w:hAnsi="Abadi" w:cs="Amasis MT Pro Light"/>
          <w:sz w:val="21"/>
          <w:szCs w:val="21"/>
        </w:rPr>
        <w:t xml:space="preserve"> </w:t>
      </w:r>
      <w:r w:rsidRPr="00AA1CF8">
        <w:rPr>
          <w:rFonts w:ascii="Abadi" w:hAnsi="Abadi" w:cs="Amasis MT Pro Light"/>
          <w:sz w:val="21"/>
          <w:szCs w:val="21"/>
        </w:rPr>
        <w:t>primeros efectos de las políticas neoliberales de empobrecimiento del campo</w:t>
      </w:r>
      <w:r>
        <w:rPr>
          <w:rFonts w:ascii="Abadi" w:hAnsi="Abadi" w:cs="Amasis MT Pro Light"/>
          <w:sz w:val="21"/>
          <w:szCs w:val="21"/>
        </w:rPr>
        <w:t xml:space="preserve"> </w:t>
      </w:r>
      <w:r w:rsidRPr="00AA1CF8">
        <w:rPr>
          <w:rFonts w:ascii="Abadi" w:hAnsi="Abadi" w:cs="Amasis MT Pro Light"/>
          <w:sz w:val="21"/>
          <w:szCs w:val="21"/>
        </w:rPr>
        <w:t>mediante despojo, impulso de megaproyectos, usos de suelo útiles para el capital</w:t>
      </w:r>
      <w:r>
        <w:rPr>
          <w:rFonts w:ascii="Abadi" w:hAnsi="Abadi" w:cs="Amasis MT Pro Light"/>
          <w:sz w:val="21"/>
          <w:szCs w:val="21"/>
        </w:rPr>
        <w:t xml:space="preserve"> </w:t>
      </w:r>
      <w:r w:rsidRPr="00AA1CF8">
        <w:rPr>
          <w:rFonts w:ascii="Abadi" w:hAnsi="Abadi" w:cs="Amasis MT Pro Light"/>
          <w:sz w:val="21"/>
          <w:szCs w:val="21"/>
        </w:rPr>
        <w:t>extranjero, y eliminación de programas de apoyo al campo en pequeñas</w:t>
      </w:r>
      <w:r>
        <w:rPr>
          <w:rFonts w:ascii="Abadi" w:hAnsi="Abadi" w:cs="Amasis MT Pro Light"/>
          <w:sz w:val="21"/>
          <w:szCs w:val="21"/>
        </w:rPr>
        <w:t xml:space="preserve"> </w:t>
      </w:r>
      <w:r w:rsidRPr="00AA1CF8">
        <w:rPr>
          <w:rFonts w:ascii="Abadi" w:hAnsi="Abadi" w:cs="Amasis MT Pro Light"/>
          <w:sz w:val="21"/>
          <w:szCs w:val="21"/>
        </w:rPr>
        <w:t>comunidades. Esto se tradujo en un incremento de la pobreza y la desigualdad que</w:t>
      </w:r>
      <w:r>
        <w:rPr>
          <w:rFonts w:ascii="Abadi" w:hAnsi="Abadi" w:cs="Amasis MT Pro Light"/>
          <w:sz w:val="21"/>
          <w:szCs w:val="21"/>
        </w:rPr>
        <w:t xml:space="preserve"> </w:t>
      </w:r>
      <w:r w:rsidRPr="00AA1CF8">
        <w:rPr>
          <w:rFonts w:ascii="Abadi" w:hAnsi="Abadi" w:cs="Amasis MT Pro Light"/>
          <w:sz w:val="21"/>
          <w:szCs w:val="21"/>
        </w:rPr>
        <w:t>orilló a la gente, sobre todo a las personas en peores condiciones de vulnerabilidad,</w:t>
      </w:r>
      <w:r>
        <w:rPr>
          <w:rFonts w:ascii="Abadi" w:hAnsi="Abadi" w:cs="Amasis MT Pro Light"/>
          <w:sz w:val="21"/>
          <w:szCs w:val="21"/>
        </w:rPr>
        <w:t xml:space="preserve"> </w:t>
      </w:r>
      <w:r w:rsidRPr="00AA1CF8">
        <w:rPr>
          <w:rFonts w:ascii="Abadi" w:hAnsi="Abadi" w:cs="Amasis MT Pro Light"/>
          <w:sz w:val="21"/>
          <w:szCs w:val="21"/>
        </w:rPr>
        <w:t>a buscar una mejor calidad de vida fuera de su lugar de origen.</w:t>
      </w:r>
    </w:p>
    <w:p w14:paraId="2C3E0087" w14:textId="77777777" w:rsidR="00EE65CE" w:rsidRDefault="00EE65CE" w:rsidP="00EE65CE">
      <w:pPr>
        <w:autoSpaceDE w:val="0"/>
        <w:autoSpaceDN w:val="0"/>
        <w:adjustRightInd w:val="0"/>
        <w:jc w:val="both"/>
        <w:rPr>
          <w:rFonts w:ascii="Abadi" w:hAnsi="Abadi" w:cs="Amasis MT Pro Light"/>
          <w:sz w:val="21"/>
          <w:szCs w:val="21"/>
        </w:rPr>
      </w:pPr>
    </w:p>
    <w:p w14:paraId="61A6FA81" w14:textId="77777777" w:rsidR="00EE65CE" w:rsidRPr="00AA1CF8" w:rsidRDefault="00EE65CE" w:rsidP="00EE65CE">
      <w:pPr>
        <w:autoSpaceDE w:val="0"/>
        <w:autoSpaceDN w:val="0"/>
        <w:adjustRightInd w:val="0"/>
        <w:jc w:val="both"/>
        <w:rPr>
          <w:rFonts w:ascii="Abadi" w:hAnsi="Abadi" w:cs="Amasis MT Pro Light"/>
          <w:sz w:val="21"/>
          <w:szCs w:val="21"/>
        </w:rPr>
      </w:pPr>
      <w:r w:rsidRPr="00AA1CF8">
        <w:rPr>
          <w:rFonts w:ascii="Abadi" w:hAnsi="Abadi" w:cs="Amasis MT Pro Light"/>
          <w:sz w:val="21"/>
          <w:szCs w:val="21"/>
        </w:rPr>
        <w:t>Así se intensificó la migración precarizada como un fenómeno estructural que día a</w:t>
      </w:r>
      <w:r>
        <w:rPr>
          <w:rFonts w:ascii="Abadi" w:hAnsi="Abadi" w:cs="Amasis MT Pro Light"/>
          <w:sz w:val="21"/>
          <w:szCs w:val="21"/>
        </w:rPr>
        <w:t xml:space="preserve"> </w:t>
      </w:r>
      <w:r w:rsidRPr="00AA1CF8">
        <w:rPr>
          <w:rFonts w:ascii="Abadi" w:hAnsi="Abadi" w:cs="Amasis MT Pro Light"/>
          <w:sz w:val="21"/>
          <w:szCs w:val="21"/>
        </w:rPr>
        <w:t>día se manifiesta en un panorama de violencia y negación de derechos para miles de</w:t>
      </w:r>
      <w:r>
        <w:rPr>
          <w:rFonts w:ascii="Abadi" w:hAnsi="Abadi" w:cs="Amasis MT Pro Light"/>
          <w:sz w:val="21"/>
          <w:szCs w:val="21"/>
        </w:rPr>
        <w:t xml:space="preserve"> </w:t>
      </w:r>
      <w:r w:rsidRPr="00AA1CF8">
        <w:rPr>
          <w:rFonts w:ascii="Abadi" w:hAnsi="Abadi" w:cs="Amasis MT Pro Light"/>
          <w:sz w:val="21"/>
          <w:szCs w:val="21"/>
        </w:rPr>
        <w:t>personas migrantes. Uno de los tipos de migración precarizada que con más crudeza</w:t>
      </w:r>
      <w:r>
        <w:rPr>
          <w:rFonts w:ascii="Abadi" w:hAnsi="Abadi" w:cs="Amasis MT Pro Light"/>
          <w:sz w:val="21"/>
          <w:szCs w:val="21"/>
        </w:rPr>
        <w:t xml:space="preserve"> </w:t>
      </w:r>
      <w:r w:rsidRPr="00AA1CF8">
        <w:rPr>
          <w:rFonts w:ascii="Abadi" w:hAnsi="Abadi" w:cs="Amasis MT Pro Light"/>
          <w:sz w:val="21"/>
          <w:szCs w:val="21"/>
        </w:rPr>
        <w:t>se manifiestan en nuestra entidad, es la de las personas jornaleras agrícolas</w:t>
      </w:r>
      <w:r>
        <w:rPr>
          <w:rFonts w:ascii="Abadi" w:hAnsi="Abadi" w:cs="Amasis MT Pro Light"/>
          <w:sz w:val="21"/>
          <w:szCs w:val="21"/>
        </w:rPr>
        <w:t xml:space="preserve"> </w:t>
      </w:r>
      <w:r w:rsidRPr="00AA1CF8">
        <w:rPr>
          <w:rFonts w:ascii="Abadi" w:hAnsi="Abadi" w:cs="Amasis MT Pro Light"/>
          <w:sz w:val="21"/>
          <w:szCs w:val="21"/>
        </w:rPr>
        <w:t>migrantes, en especial cuando se trata además de indígenas.</w:t>
      </w:r>
    </w:p>
    <w:p w14:paraId="5DE5214B" w14:textId="77777777" w:rsidR="00EE65CE" w:rsidRPr="00AA1CF8" w:rsidRDefault="00EE65CE" w:rsidP="00EE65CE">
      <w:pPr>
        <w:autoSpaceDE w:val="0"/>
        <w:autoSpaceDN w:val="0"/>
        <w:adjustRightInd w:val="0"/>
        <w:jc w:val="both"/>
        <w:rPr>
          <w:rFonts w:ascii="Abadi" w:hAnsi="Abadi" w:cs="Calibri-Bold"/>
          <w:b/>
          <w:bCs/>
          <w:sz w:val="21"/>
          <w:szCs w:val="21"/>
        </w:rPr>
      </w:pPr>
    </w:p>
    <w:p w14:paraId="3A3B32CE" w14:textId="4F02C31B" w:rsidR="00EE65CE" w:rsidRPr="00AA1CF8" w:rsidRDefault="00EE65CE" w:rsidP="00EE65CE">
      <w:pPr>
        <w:autoSpaceDE w:val="0"/>
        <w:autoSpaceDN w:val="0"/>
        <w:adjustRightInd w:val="0"/>
        <w:jc w:val="both"/>
        <w:rPr>
          <w:rFonts w:ascii="Abadi" w:hAnsi="Abadi" w:cs="Amasis MT Pro Light"/>
          <w:sz w:val="21"/>
          <w:szCs w:val="21"/>
        </w:rPr>
      </w:pPr>
      <w:r w:rsidRPr="00AA1CF8">
        <w:rPr>
          <w:rFonts w:ascii="Abadi" w:hAnsi="Abadi" w:cs="Amasis MT Pro Light"/>
          <w:sz w:val="21"/>
          <w:szCs w:val="21"/>
        </w:rPr>
        <w:t>Como hemos señalado en otras ocasiones, las violencias estructurales vividas por</w:t>
      </w:r>
      <w:r>
        <w:rPr>
          <w:rFonts w:ascii="Abadi" w:hAnsi="Abadi" w:cs="Amasis MT Pro Light"/>
          <w:sz w:val="21"/>
          <w:szCs w:val="21"/>
        </w:rPr>
        <w:t xml:space="preserve"> </w:t>
      </w:r>
      <w:r w:rsidRPr="00AA1CF8">
        <w:rPr>
          <w:rFonts w:ascii="Abadi" w:hAnsi="Abadi" w:cs="Amasis MT Pro Light"/>
          <w:sz w:val="21"/>
          <w:szCs w:val="21"/>
        </w:rPr>
        <w:t>las personas jornaleras agrícolas migrantes se manifiestan en la negación de</w:t>
      </w:r>
      <w:r>
        <w:rPr>
          <w:rFonts w:ascii="Abadi" w:hAnsi="Abadi" w:cs="Amasis MT Pro Light"/>
          <w:sz w:val="21"/>
          <w:szCs w:val="21"/>
        </w:rPr>
        <w:t xml:space="preserve"> </w:t>
      </w:r>
      <w:r w:rsidRPr="00AA1CF8">
        <w:rPr>
          <w:rFonts w:ascii="Abadi" w:hAnsi="Abadi" w:cs="Amasis MT Pro Light"/>
          <w:sz w:val="21"/>
          <w:szCs w:val="21"/>
        </w:rPr>
        <w:t>diferentes derechos, entre los que se encuentra</w:t>
      </w:r>
      <w:r w:rsidR="00565E5B">
        <w:rPr>
          <w:rStyle w:val="Refdenotaalpie"/>
          <w:rFonts w:ascii="Abadi" w:hAnsi="Abadi" w:cs="Amasis MT Pro Light"/>
          <w:sz w:val="21"/>
          <w:szCs w:val="21"/>
        </w:rPr>
        <w:footnoteReference w:id="66"/>
      </w:r>
      <w:r w:rsidRPr="00AA1CF8">
        <w:rPr>
          <w:rFonts w:ascii="Abadi" w:hAnsi="Abadi" w:cs="Amasis MT Pro Light"/>
          <w:sz w:val="21"/>
          <w:szCs w:val="21"/>
        </w:rPr>
        <w:t>:</w:t>
      </w:r>
    </w:p>
    <w:p w14:paraId="0C18ECA5" w14:textId="77777777" w:rsidR="00EE65CE" w:rsidRDefault="00EE65CE" w:rsidP="00EE65CE">
      <w:pPr>
        <w:autoSpaceDE w:val="0"/>
        <w:autoSpaceDN w:val="0"/>
        <w:adjustRightInd w:val="0"/>
        <w:jc w:val="both"/>
        <w:rPr>
          <w:rFonts w:ascii="Abadi" w:hAnsi="Abadi" w:cs="SymbolMT"/>
          <w:sz w:val="21"/>
          <w:szCs w:val="21"/>
        </w:rPr>
      </w:pPr>
    </w:p>
    <w:p w14:paraId="333B2752" w14:textId="0822D843" w:rsidR="00EE65CE" w:rsidRDefault="00EE65CE" w:rsidP="00EE65CE">
      <w:pPr>
        <w:autoSpaceDE w:val="0"/>
        <w:autoSpaceDN w:val="0"/>
        <w:adjustRightInd w:val="0"/>
        <w:jc w:val="both"/>
        <w:rPr>
          <w:rFonts w:ascii="Abadi" w:hAnsi="Abadi" w:cs="Amasis MT Pro Light"/>
          <w:sz w:val="21"/>
          <w:szCs w:val="21"/>
        </w:rPr>
      </w:pPr>
      <w:r w:rsidRPr="00AA1CF8">
        <w:rPr>
          <w:rFonts w:ascii="Abadi" w:hAnsi="Abadi" w:cs="SymbolMT"/>
          <w:b/>
          <w:bCs/>
          <w:sz w:val="21"/>
          <w:szCs w:val="21"/>
        </w:rPr>
        <w:t xml:space="preserve">• </w:t>
      </w:r>
      <w:r w:rsidRPr="00AA1CF8">
        <w:rPr>
          <w:rFonts w:ascii="Abadi" w:hAnsi="Abadi" w:cs="Amasis MT Pro Light"/>
          <w:b/>
          <w:bCs/>
          <w:sz w:val="21"/>
          <w:szCs w:val="21"/>
        </w:rPr>
        <w:t>El derecho a la vivienda</w:t>
      </w:r>
      <w:r w:rsidRPr="00AA1CF8">
        <w:rPr>
          <w:rFonts w:ascii="Abadi" w:hAnsi="Abadi" w:cs="Amasis MT Pro Light"/>
          <w:sz w:val="21"/>
          <w:szCs w:val="21"/>
        </w:rPr>
        <w:t>, al tener que habitar en casas abandonadas o bodegas</w:t>
      </w:r>
      <w:r>
        <w:rPr>
          <w:rFonts w:ascii="Abadi" w:hAnsi="Abadi" w:cs="Amasis MT Pro Light"/>
          <w:sz w:val="21"/>
          <w:szCs w:val="21"/>
        </w:rPr>
        <w:t xml:space="preserve"> </w:t>
      </w:r>
      <w:r w:rsidRPr="00AA1CF8">
        <w:rPr>
          <w:rFonts w:ascii="Abadi" w:hAnsi="Abadi" w:cs="Amasis MT Pro Light"/>
          <w:sz w:val="21"/>
          <w:szCs w:val="21"/>
        </w:rPr>
        <w:t>en obra negra, sin puertas, ventanas, ni mucho menos servicios básicos,</w:t>
      </w:r>
      <w:r>
        <w:rPr>
          <w:rFonts w:ascii="Abadi" w:hAnsi="Abadi" w:cs="Amasis MT Pro Light"/>
          <w:sz w:val="21"/>
          <w:szCs w:val="21"/>
        </w:rPr>
        <w:t xml:space="preserve"> </w:t>
      </w:r>
      <w:r w:rsidRPr="00AA1CF8">
        <w:rPr>
          <w:rFonts w:ascii="Abadi" w:hAnsi="Abadi" w:cs="Amasis MT Pro Light"/>
          <w:sz w:val="21"/>
          <w:szCs w:val="21"/>
        </w:rPr>
        <w:t>durmiendo en lugares donde se almacena fertilizante previo a la siembre, e</w:t>
      </w:r>
      <w:r>
        <w:rPr>
          <w:rFonts w:ascii="Abadi" w:hAnsi="Abadi" w:cs="Amasis MT Pro Light"/>
          <w:sz w:val="21"/>
          <w:szCs w:val="21"/>
        </w:rPr>
        <w:t xml:space="preserve"> </w:t>
      </w:r>
      <w:r w:rsidRPr="00AA1CF8">
        <w:rPr>
          <w:rFonts w:ascii="Abadi" w:hAnsi="Abadi" w:cs="Amasis MT Pro Light"/>
          <w:sz w:val="21"/>
          <w:szCs w:val="21"/>
        </w:rPr>
        <w:t>incluso en temporada de lluvias deben pernoctar a la intemperie porque</w:t>
      </w:r>
      <w:r>
        <w:rPr>
          <w:rFonts w:ascii="Abadi" w:hAnsi="Abadi" w:cs="Amasis MT Pro Light"/>
          <w:sz w:val="21"/>
          <w:szCs w:val="21"/>
        </w:rPr>
        <w:t xml:space="preserve"> </w:t>
      </w:r>
      <w:r w:rsidRPr="00AA1CF8">
        <w:rPr>
          <w:rFonts w:ascii="Abadi" w:hAnsi="Abadi" w:cs="Amasis MT Pro Light"/>
          <w:sz w:val="21"/>
          <w:szCs w:val="21"/>
        </w:rPr>
        <w:t>dichas bodegas con techos de lámina se inundan;</w:t>
      </w:r>
    </w:p>
    <w:p w14:paraId="3BCF49AC" w14:textId="77777777" w:rsidR="00C70EFF" w:rsidRPr="00AA1CF8" w:rsidRDefault="00C70EFF" w:rsidP="00EE65CE">
      <w:pPr>
        <w:autoSpaceDE w:val="0"/>
        <w:autoSpaceDN w:val="0"/>
        <w:adjustRightInd w:val="0"/>
        <w:jc w:val="both"/>
        <w:rPr>
          <w:rFonts w:ascii="Abadi" w:hAnsi="Abadi" w:cs="Amasis MT Pro Light"/>
          <w:sz w:val="21"/>
          <w:szCs w:val="21"/>
        </w:rPr>
      </w:pPr>
    </w:p>
    <w:p w14:paraId="7F604329" w14:textId="1A4A2254" w:rsidR="00EE65CE" w:rsidRDefault="00EE65CE" w:rsidP="00EE65CE">
      <w:pPr>
        <w:autoSpaceDE w:val="0"/>
        <w:autoSpaceDN w:val="0"/>
        <w:adjustRightInd w:val="0"/>
        <w:jc w:val="both"/>
        <w:rPr>
          <w:rFonts w:ascii="Abadi" w:hAnsi="Abadi" w:cs="Amasis MT Pro Light"/>
          <w:sz w:val="21"/>
          <w:szCs w:val="21"/>
        </w:rPr>
      </w:pPr>
      <w:r w:rsidRPr="00AA1CF8">
        <w:rPr>
          <w:rFonts w:ascii="Abadi" w:hAnsi="Abadi" w:cs="SymbolMT"/>
          <w:b/>
          <w:bCs/>
          <w:sz w:val="21"/>
          <w:szCs w:val="21"/>
        </w:rPr>
        <w:t xml:space="preserve">• </w:t>
      </w:r>
      <w:r w:rsidRPr="00AA1CF8">
        <w:rPr>
          <w:rFonts w:ascii="Abadi" w:hAnsi="Abadi" w:cs="Amasis MT Pro Light"/>
          <w:b/>
          <w:bCs/>
          <w:sz w:val="21"/>
          <w:szCs w:val="21"/>
        </w:rPr>
        <w:t>El derecho a la salud</w:t>
      </w:r>
      <w:r w:rsidRPr="00AA1CF8">
        <w:rPr>
          <w:rFonts w:ascii="Abadi" w:hAnsi="Abadi" w:cs="Amasis MT Pro Light"/>
          <w:sz w:val="21"/>
          <w:szCs w:val="21"/>
        </w:rPr>
        <w:t>, al carecer de baños y agua durante su jornal,</w:t>
      </w:r>
      <w:r>
        <w:rPr>
          <w:rFonts w:ascii="Abadi" w:hAnsi="Abadi" w:cs="Amasis MT Pro Light"/>
          <w:sz w:val="21"/>
          <w:szCs w:val="21"/>
        </w:rPr>
        <w:t xml:space="preserve"> </w:t>
      </w:r>
      <w:r w:rsidRPr="00AA1CF8">
        <w:rPr>
          <w:rFonts w:ascii="Abadi" w:hAnsi="Abadi" w:cs="Amasis MT Pro Light"/>
          <w:sz w:val="21"/>
          <w:szCs w:val="21"/>
        </w:rPr>
        <w:t>herramientas de trabajo como gorras, guantes o botas para sus labores de</w:t>
      </w:r>
      <w:r>
        <w:rPr>
          <w:rFonts w:ascii="Abadi" w:hAnsi="Abadi" w:cs="Amasis MT Pro Light"/>
          <w:sz w:val="21"/>
          <w:szCs w:val="21"/>
        </w:rPr>
        <w:t xml:space="preserve"> </w:t>
      </w:r>
      <w:r w:rsidRPr="00AA1CF8">
        <w:rPr>
          <w:rFonts w:ascii="Abadi" w:hAnsi="Abadi" w:cs="Amasis MT Pro Light"/>
          <w:sz w:val="21"/>
          <w:szCs w:val="21"/>
        </w:rPr>
        <w:t>recolección de chile, así como una frecuente exposición a fertilizantes y</w:t>
      </w:r>
      <w:r>
        <w:rPr>
          <w:rFonts w:ascii="Abadi" w:hAnsi="Abadi" w:cs="Amasis MT Pro Light"/>
          <w:sz w:val="21"/>
          <w:szCs w:val="21"/>
        </w:rPr>
        <w:t xml:space="preserve"> </w:t>
      </w:r>
      <w:r w:rsidRPr="00AA1CF8">
        <w:rPr>
          <w:rFonts w:ascii="Abadi" w:hAnsi="Abadi" w:cs="Amasis MT Pro Light"/>
          <w:sz w:val="21"/>
          <w:szCs w:val="21"/>
        </w:rPr>
        <w:t>pesticidas, e incluso la carencia de alimentos, provocan diversas</w:t>
      </w:r>
      <w:r>
        <w:rPr>
          <w:rFonts w:ascii="Abadi" w:hAnsi="Abadi" w:cs="Amasis MT Pro Light"/>
          <w:sz w:val="21"/>
          <w:szCs w:val="21"/>
        </w:rPr>
        <w:t xml:space="preserve"> </w:t>
      </w:r>
      <w:r w:rsidRPr="00AA1CF8">
        <w:rPr>
          <w:rFonts w:ascii="Abadi" w:hAnsi="Abadi" w:cs="Amasis MT Pro Light"/>
          <w:sz w:val="21"/>
          <w:szCs w:val="21"/>
        </w:rPr>
        <w:t>enfermedades gastrointestinales, respiratorias, dermatológicas y oculares;</w:t>
      </w:r>
    </w:p>
    <w:p w14:paraId="2913B800" w14:textId="77777777" w:rsidR="00C70EFF" w:rsidRPr="00AA1CF8" w:rsidRDefault="00C70EFF" w:rsidP="00EE65CE">
      <w:pPr>
        <w:autoSpaceDE w:val="0"/>
        <w:autoSpaceDN w:val="0"/>
        <w:adjustRightInd w:val="0"/>
        <w:jc w:val="both"/>
        <w:rPr>
          <w:rFonts w:ascii="Abadi" w:hAnsi="Abadi" w:cs="Amasis MT Pro Light"/>
          <w:sz w:val="21"/>
          <w:szCs w:val="21"/>
        </w:rPr>
      </w:pPr>
    </w:p>
    <w:p w14:paraId="2AFD7BF3" w14:textId="77777777" w:rsidR="00EE65CE" w:rsidRPr="00AA1CF8" w:rsidRDefault="00EE65CE" w:rsidP="00EE65CE">
      <w:pPr>
        <w:autoSpaceDE w:val="0"/>
        <w:autoSpaceDN w:val="0"/>
        <w:adjustRightInd w:val="0"/>
        <w:jc w:val="both"/>
        <w:rPr>
          <w:rFonts w:ascii="Abadi" w:hAnsi="Abadi" w:cs="Amasis MT Pro Light"/>
          <w:sz w:val="21"/>
          <w:szCs w:val="21"/>
        </w:rPr>
      </w:pPr>
      <w:r w:rsidRPr="00AA1CF8">
        <w:rPr>
          <w:rFonts w:ascii="Abadi" w:hAnsi="Abadi" w:cs="SymbolMT"/>
          <w:b/>
          <w:bCs/>
          <w:sz w:val="21"/>
          <w:szCs w:val="21"/>
        </w:rPr>
        <w:t xml:space="preserve">• </w:t>
      </w:r>
      <w:r w:rsidRPr="00AA1CF8">
        <w:rPr>
          <w:rFonts w:ascii="Abadi" w:hAnsi="Abadi" w:cs="Amasis MT Pro Light"/>
          <w:b/>
          <w:bCs/>
          <w:sz w:val="21"/>
          <w:szCs w:val="21"/>
        </w:rPr>
        <w:t>El derecho a la educación</w:t>
      </w:r>
      <w:r w:rsidRPr="00AA1CF8">
        <w:rPr>
          <w:rFonts w:ascii="Abadi" w:hAnsi="Abadi" w:cs="Amasis MT Pro Light"/>
          <w:sz w:val="21"/>
          <w:szCs w:val="21"/>
        </w:rPr>
        <w:t>, al verse orillados a incorporar en estas actividades</w:t>
      </w:r>
      <w:r>
        <w:rPr>
          <w:rFonts w:ascii="Abadi" w:hAnsi="Abadi" w:cs="Amasis MT Pro Light"/>
          <w:sz w:val="21"/>
          <w:szCs w:val="21"/>
        </w:rPr>
        <w:t xml:space="preserve"> </w:t>
      </w:r>
      <w:r w:rsidRPr="00AA1CF8">
        <w:rPr>
          <w:rFonts w:ascii="Abadi" w:hAnsi="Abadi" w:cs="Amasis MT Pro Light"/>
          <w:sz w:val="21"/>
          <w:szCs w:val="21"/>
        </w:rPr>
        <w:t>a las infancias, al existir muy pocos espacios adecuados para impartir</w:t>
      </w:r>
      <w:r>
        <w:rPr>
          <w:rFonts w:ascii="Abadi" w:hAnsi="Abadi" w:cs="Amasis MT Pro Light"/>
          <w:sz w:val="21"/>
          <w:szCs w:val="21"/>
        </w:rPr>
        <w:t xml:space="preserve"> </w:t>
      </w:r>
      <w:r w:rsidRPr="00AA1CF8">
        <w:rPr>
          <w:rFonts w:ascii="Abadi" w:hAnsi="Abadi" w:cs="Amasis MT Pro Light"/>
          <w:sz w:val="21"/>
          <w:szCs w:val="21"/>
        </w:rPr>
        <w:t>educación para esta población.</w:t>
      </w:r>
    </w:p>
    <w:p w14:paraId="5988DD16" w14:textId="77777777" w:rsidR="00EE65CE" w:rsidRDefault="00EE65CE" w:rsidP="00EE65CE">
      <w:pPr>
        <w:autoSpaceDE w:val="0"/>
        <w:autoSpaceDN w:val="0"/>
        <w:adjustRightInd w:val="0"/>
        <w:jc w:val="both"/>
        <w:rPr>
          <w:rFonts w:ascii="Abadi" w:hAnsi="Abadi" w:cs="Amasis MT Pro Light"/>
          <w:sz w:val="21"/>
          <w:szCs w:val="21"/>
        </w:rPr>
      </w:pPr>
    </w:p>
    <w:p w14:paraId="72967D97" w14:textId="77777777" w:rsidR="00EE65CE" w:rsidRPr="00AA1CF8" w:rsidRDefault="00EE65CE" w:rsidP="00EE65CE">
      <w:pPr>
        <w:autoSpaceDE w:val="0"/>
        <w:autoSpaceDN w:val="0"/>
        <w:adjustRightInd w:val="0"/>
        <w:jc w:val="both"/>
        <w:rPr>
          <w:rFonts w:ascii="Abadi" w:hAnsi="Abadi" w:cs="Amasis MT Pro Light"/>
          <w:sz w:val="21"/>
          <w:szCs w:val="21"/>
        </w:rPr>
      </w:pPr>
      <w:r w:rsidRPr="00AA1CF8">
        <w:rPr>
          <w:rFonts w:ascii="Abadi" w:hAnsi="Abadi" w:cs="Amasis MT Pro Light"/>
          <w:sz w:val="21"/>
          <w:szCs w:val="21"/>
        </w:rPr>
        <w:t>Por esto, desde el Grupo Parlamentario de morena hemos trabajado para garantizar</w:t>
      </w:r>
      <w:r>
        <w:rPr>
          <w:rFonts w:ascii="Abadi" w:hAnsi="Abadi" w:cs="Amasis MT Pro Light"/>
          <w:sz w:val="21"/>
          <w:szCs w:val="21"/>
        </w:rPr>
        <w:t xml:space="preserve"> </w:t>
      </w:r>
      <w:r w:rsidRPr="00AA1CF8">
        <w:rPr>
          <w:rFonts w:ascii="Abadi" w:hAnsi="Abadi" w:cs="Amasis MT Pro Light"/>
          <w:sz w:val="21"/>
          <w:szCs w:val="21"/>
        </w:rPr>
        <w:t>los derechos de este grupo poblacional, incorporando la experiencia de</w:t>
      </w:r>
      <w:r>
        <w:rPr>
          <w:rFonts w:ascii="Abadi" w:hAnsi="Abadi" w:cs="Amasis MT Pro Light"/>
          <w:sz w:val="21"/>
          <w:szCs w:val="21"/>
        </w:rPr>
        <w:t xml:space="preserve"> </w:t>
      </w:r>
      <w:r w:rsidRPr="00AA1CF8">
        <w:rPr>
          <w:rFonts w:ascii="Abadi" w:hAnsi="Abadi" w:cs="Amasis MT Pro Light"/>
          <w:sz w:val="21"/>
          <w:szCs w:val="21"/>
        </w:rPr>
        <w:t>organizaciones ciudadanas que han hecho hasta lo imposible para intentar subsanar</w:t>
      </w:r>
      <w:r>
        <w:rPr>
          <w:rFonts w:ascii="Abadi" w:hAnsi="Abadi" w:cs="Amasis MT Pro Light"/>
          <w:sz w:val="21"/>
          <w:szCs w:val="21"/>
        </w:rPr>
        <w:t xml:space="preserve"> </w:t>
      </w:r>
      <w:r w:rsidRPr="00AA1CF8">
        <w:rPr>
          <w:rFonts w:ascii="Abadi" w:hAnsi="Abadi" w:cs="Amasis MT Pro Light"/>
          <w:sz w:val="21"/>
          <w:szCs w:val="21"/>
        </w:rPr>
        <w:t>los huecos que ha dejado el Estado.</w:t>
      </w:r>
    </w:p>
    <w:p w14:paraId="125CF994" w14:textId="77777777" w:rsidR="00EE65CE" w:rsidRDefault="00EE65CE" w:rsidP="00EE65CE">
      <w:pPr>
        <w:autoSpaceDE w:val="0"/>
        <w:autoSpaceDN w:val="0"/>
        <w:adjustRightInd w:val="0"/>
        <w:jc w:val="both"/>
        <w:rPr>
          <w:rFonts w:ascii="Abadi" w:hAnsi="Abadi" w:cs="Amasis MT Pro Light"/>
          <w:sz w:val="21"/>
          <w:szCs w:val="21"/>
        </w:rPr>
      </w:pPr>
    </w:p>
    <w:p w14:paraId="13DF4FA7" w14:textId="77777777" w:rsidR="00EE65CE" w:rsidRPr="00AA1CF8" w:rsidRDefault="00EE65CE" w:rsidP="00EE65CE">
      <w:pPr>
        <w:autoSpaceDE w:val="0"/>
        <w:autoSpaceDN w:val="0"/>
        <w:adjustRightInd w:val="0"/>
        <w:jc w:val="both"/>
        <w:rPr>
          <w:rFonts w:ascii="Abadi" w:hAnsi="Abadi" w:cs="Amasis MT Pro Light"/>
          <w:sz w:val="21"/>
          <w:szCs w:val="21"/>
        </w:rPr>
      </w:pPr>
      <w:r w:rsidRPr="00AA1CF8">
        <w:rPr>
          <w:rFonts w:ascii="Abadi" w:hAnsi="Abadi" w:cs="Amasis MT Pro Light"/>
          <w:sz w:val="21"/>
          <w:szCs w:val="21"/>
        </w:rPr>
        <w:t>Así, hemos puesto sobre la mesa iniciativas y exhortos para la implementación de</w:t>
      </w:r>
      <w:r>
        <w:rPr>
          <w:rFonts w:ascii="Abadi" w:hAnsi="Abadi" w:cs="Amasis MT Pro Light"/>
          <w:sz w:val="21"/>
          <w:szCs w:val="21"/>
        </w:rPr>
        <w:t xml:space="preserve"> </w:t>
      </w:r>
      <w:r w:rsidRPr="00AA1CF8">
        <w:rPr>
          <w:rFonts w:ascii="Abadi" w:hAnsi="Abadi" w:cs="Amasis MT Pro Light"/>
          <w:sz w:val="21"/>
          <w:szCs w:val="21"/>
        </w:rPr>
        <w:t>políticas adecuadas con enfoque de derechos humanos y perspectiva interseccional,</w:t>
      </w:r>
      <w:r>
        <w:rPr>
          <w:rFonts w:ascii="Abadi" w:hAnsi="Abadi" w:cs="Amasis MT Pro Light"/>
          <w:sz w:val="21"/>
          <w:szCs w:val="21"/>
        </w:rPr>
        <w:t xml:space="preserve"> </w:t>
      </w:r>
      <w:r w:rsidRPr="00AA1CF8">
        <w:rPr>
          <w:rFonts w:ascii="Abadi" w:hAnsi="Abadi" w:cs="Amasis MT Pro Light"/>
          <w:sz w:val="21"/>
          <w:szCs w:val="21"/>
        </w:rPr>
        <w:t>así como para la evaluación de las acciones que actualmente se realizan desde el</w:t>
      </w:r>
      <w:r>
        <w:rPr>
          <w:rFonts w:ascii="Abadi" w:hAnsi="Abadi" w:cs="Amasis MT Pro Light"/>
          <w:sz w:val="21"/>
          <w:szCs w:val="21"/>
        </w:rPr>
        <w:t xml:space="preserve"> </w:t>
      </w:r>
      <w:r w:rsidRPr="00AA1CF8">
        <w:rPr>
          <w:rFonts w:ascii="Abadi" w:hAnsi="Abadi" w:cs="Amasis MT Pro Light"/>
          <w:sz w:val="21"/>
          <w:szCs w:val="21"/>
        </w:rPr>
        <w:t>gobierno estatal.</w:t>
      </w:r>
    </w:p>
    <w:p w14:paraId="78FF6593" w14:textId="77777777" w:rsidR="00EE65CE" w:rsidRDefault="00EE65CE" w:rsidP="00EE65CE">
      <w:pPr>
        <w:autoSpaceDE w:val="0"/>
        <w:autoSpaceDN w:val="0"/>
        <w:adjustRightInd w:val="0"/>
        <w:jc w:val="both"/>
        <w:rPr>
          <w:rFonts w:ascii="Abadi" w:hAnsi="Abadi" w:cs="Amasis MT Pro Light"/>
          <w:sz w:val="21"/>
          <w:szCs w:val="21"/>
        </w:rPr>
      </w:pPr>
    </w:p>
    <w:p w14:paraId="78E8A32C" w14:textId="77777777" w:rsidR="00EE65CE" w:rsidRPr="00AA1CF8" w:rsidRDefault="00EE65CE" w:rsidP="00EE65CE">
      <w:pPr>
        <w:autoSpaceDE w:val="0"/>
        <w:autoSpaceDN w:val="0"/>
        <w:adjustRightInd w:val="0"/>
        <w:jc w:val="both"/>
        <w:rPr>
          <w:rFonts w:ascii="Abadi" w:hAnsi="Abadi" w:cs="Amasis MT Pro Light"/>
          <w:sz w:val="21"/>
          <w:szCs w:val="21"/>
        </w:rPr>
      </w:pPr>
      <w:r w:rsidRPr="00AA1CF8">
        <w:rPr>
          <w:rFonts w:ascii="Abadi" w:hAnsi="Abadi" w:cs="Amasis MT Pro Light"/>
          <w:sz w:val="21"/>
          <w:szCs w:val="21"/>
        </w:rPr>
        <w:t>La semana pasada, al poco tiempo de haber presentado un exhorto para que se lleve</w:t>
      </w:r>
      <w:r>
        <w:rPr>
          <w:rFonts w:ascii="Abadi" w:hAnsi="Abadi" w:cs="Amasis MT Pro Light"/>
          <w:sz w:val="21"/>
          <w:szCs w:val="21"/>
        </w:rPr>
        <w:t xml:space="preserve"> </w:t>
      </w:r>
      <w:r w:rsidRPr="00AA1CF8">
        <w:rPr>
          <w:rFonts w:ascii="Abadi" w:hAnsi="Abadi" w:cs="Amasis MT Pro Light"/>
          <w:sz w:val="21"/>
          <w:szCs w:val="21"/>
        </w:rPr>
        <w:t>a cabo una evaluación de la política de atención a las familias jornaleras en tránsito</w:t>
      </w:r>
      <w:r>
        <w:rPr>
          <w:rFonts w:ascii="Abadi" w:hAnsi="Abadi" w:cs="Amasis MT Pro Light"/>
          <w:sz w:val="21"/>
          <w:szCs w:val="21"/>
        </w:rPr>
        <w:t xml:space="preserve"> </w:t>
      </w:r>
      <w:r w:rsidRPr="00AA1CF8">
        <w:rPr>
          <w:rFonts w:ascii="Abadi" w:hAnsi="Abadi" w:cs="Amasis MT Pro Light"/>
          <w:sz w:val="21"/>
          <w:szCs w:val="21"/>
        </w:rPr>
        <w:t>por el estado de Guanajuato, la Comisión de Atención al Migrante recibió un escrito</w:t>
      </w:r>
      <w:r>
        <w:rPr>
          <w:rFonts w:ascii="Abadi" w:hAnsi="Abadi" w:cs="Amasis MT Pro Light"/>
          <w:sz w:val="21"/>
          <w:szCs w:val="21"/>
        </w:rPr>
        <w:t xml:space="preserve"> </w:t>
      </w:r>
      <w:r w:rsidRPr="00AA1CF8">
        <w:rPr>
          <w:rFonts w:ascii="Abadi" w:hAnsi="Abadi" w:cs="Amasis MT Pro Light"/>
          <w:sz w:val="21"/>
          <w:szCs w:val="21"/>
        </w:rPr>
        <w:t xml:space="preserve">de la Asociación Civil </w:t>
      </w:r>
      <w:r w:rsidRPr="00AA1CF8">
        <w:rPr>
          <w:rFonts w:ascii="Abadi" w:hAnsi="Abadi" w:cs="Amasis MT Pro Light,Italic"/>
          <w:i/>
          <w:iCs/>
          <w:sz w:val="21"/>
          <w:szCs w:val="21"/>
        </w:rPr>
        <w:t>Centro de Desarrollo Indígena Loyola</w:t>
      </w:r>
      <w:r w:rsidRPr="00AA1CF8">
        <w:rPr>
          <w:rFonts w:ascii="Abadi" w:hAnsi="Abadi" w:cs="Amasis MT Pro Light"/>
          <w:sz w:val="21"/>
          <w:szCs w:val="21"/>
        </w:rPr>
        <w:t>, en el cual se presenta un</w:t>
      </w:r>
      <w:r>
        <w:rPr>
          <w:rFonts w:ascii="Abadi" w:hAnsi="Abadi" w:cs="Amasis MT Pro Light"/>
          <w:sz w:val="21"/>
          <w:szCs w:val="21"/>
        </w:rPr>
        <w:t xml:space="preserve"> </w:t>
      </w:r>
      <w:r w:rsidRPr="00AA1CF8">
        <w:rPr>
          <w:rFonts w:ascii="Abadi" w:hAnsi="Abadi" w:cs="Amasis MT Pro Light"/>
          <w:sz w:val="21"/>
          <w:szCs w:val="21"/>
        </w:rPr>
        <w:t>breve panorama de las acciones públicas de atención a personas jornaleras agrícolas</w:t>
      </w:r>
      <w:r>
        <w:rPr>
          <w:rFonts w:ascii="Abadi" w:hAnsi="Abadi" w:cs="Amasis MT Pro Light"/>
          <w:sz w:val="21"/>
          <w:szCs w:val="21"/>
        </w:rPr>
        <w:t xml:space="preserve"> </w:t>
      </w:r>
      <w:r w:rsidRPr="00AA1CF8">
        <w:rPr>
          <w:rFonts w:ascii="Abadi" w:hAnsi="Abadi" w:cs="Amasis MT Pro Light"/>
          <w:sz w:val="21"/>
          <w:szCs w:val="21"/>
        </w:rPr>
        <w:t>migrantes en el estado de Guanajuato, realizado desde el amplio conocimiento en la</w:t>
      </w:r>
      <w:r>
        <w:rPr>
          <w:rFonts w:ascii="Abadi" w:hAnsi="Abadi" w:cs="Amasis MT Pro Light"/>
          <w:sz w:val="21"/>
          <w:szCs w:val="21"/>
        </w:rPr>
        <w:t xml:space="preserve"> </w:t>
      </w:r>
      <w:r w:rsidRPr="00AA1CF8">
        <w:rPr>
          <w:rFonts w:ascii="Abadi" w:hAnsi="Abadi" w:cs="Amasis MT Pro Light"/>
          <w:sz w:val="21"/>
          <w:szCs w:val="21"/>
        </w:rPr>
        <w:t>materia que les otorgan los 9 años que llevan trabajando por los derechos humanos</w:t>
      </w:r>
      <w:r>
        <w:rPr>
          <w:rFonts w:ascii="Abadi" w:hAnsi="Abadi" w:cs="Amasis MT Pro Light"/>
          <w:sz w:val="21"/>
          <w:szCs w:val="21"/>
        </w:rPr>
        <w:t xml:space="preserve"> </w:t>
      </w:r>
      <w:r w:rsidRPr="00AA1CF8">
        <w:rPr>
          <w:rFonts w:ascii="Abadi" w:hAnsi="Abadi" w:cs="Amasis MT Pro Light"/>
          <w:sz w:val="21"/>
          <w:szCs w:val="21"/>
        </w:rPr>
        <w:t>de este grupo poblacional, justo donde el Estado ha estado ausente.</w:t>
      </w:r>
    </w:p>
    <w:p w14:paraId="0FC8C90C" w14:textId="77777777" w:rsidR="00EE65CE" w:rsidRDefault="00EE65CE" w:rsidP="00EE65CE">
      <w:pPr>
        <w:autoSpaceDE w:val="0"/>
        <w:autoSpaceDN w:val="0"/>
        <w:adjustRightInd w:val="0"/>
        <w:jc w:val="both"/>
        <w:rPr>
          <w:rFonts w:ascii="Abadi" w:hAnsi="Abadi" w:cs="Amasis MT Pro Light"/>
          <w:sz w:val="21"/>
          <w:szCs w:val="21"/>
        </w:rPr>
      </w:pPr>
    </w:p>
    <w:p w14:paraId="24D580CA" w14:textId="77777777" w:rsidR="00EE65CE" w:rsidRPr="00AA1CF8" w:rsidRDefault="00EE65CE" w:rsidP="00EE65CE">
      <w:pPr>
        <w:autoSpaceDE w:val="0"/>
        <w:autoSpaceDN w:val="0"/>
        <w:adjustRightInd w:val="0"/>
        <w:jc w:val="both"/>
        <w:rPr>
          <w:rFonts w:ascii="Abadi" w:hAnsi="Abadi" w:cs="Amasis MT Pro Light"/>
          <w:sz w:val="21"/>
          <w:szCs w:val="21"/>
        </w:rPr>
      </w:pPr>
      <w:r w:rsidRPr="00AA1CF8">
        <w:rPr>
          <w:rFonts w:ascii="Abadi" w:hAnsi="Abadi" w:cs="Amasis MT Pro Light"/>
          <w:sz w:val="21"/>
          <w:szCs w:val="21"/>
        </w:rPr>
        <w:t>En dicho documento, se comparten elementos medulares a tomar en consideración</w:t>
      </w:r>
      <w:r>
        <w:rPr>
          <w:rFonts w:ascii="Abadi" w:hAnsi="Abadi" w:cs="Amasis MT Pro Light"/>
          <w:sz w:val="21"/>
          <w:szCs w:val="21"/>
        </w:rPr>
        <w:t xml:space="preserve"> </w:t>
      </w:r>
      <w:r w:rsidRPr="00AA1CF8">
        <w:rPr>
          <w:rFonts w:ascii="Abadi" w:hAnsi="Abadi" w:cs="Amasis MT Pro Light"/>
          <w:sz w:val="21"/>
          <w:szCs w:val="21"/>
        </w:rPr>
        <w:t>para la atención a personas jornaleras agrícolas migrantes en el estado de</w:t>
      </w:r>
      <w:r>
        <w:rPr>
          <w:rFonts w:ascii="Abadi" w:hAnsi="Abadi" w:cs="Amasis MT Pro Light"/>
          <w:sz w:val="21"/>
          <w:szCs w:val="21"/>
        </w:rPr>
        <w:t xml:space="preserve"> </w:t>
      </w:r>
      <w:r w:rsidRPr="00AA1CF8">
        <w:rPr>
          <w:rFonts w:ascii="Abadi" w:hAnsi="Abadi" w:cs="Amasis MT Pro Light"/>
          <w:sz w:val="21"/>
          <w:szCs w:val="21"/>
        </w:rPr>
        <w:t>Guanajuato, sintetizados en siete puntos que serán recuperados textualmente:</w:t>
      </w:r>
    </w:p>
    <w:p w14:paraId="2DBA9E66" w14:textId="77777777" w:rsidR="00EE65CE" w:rsidRDefault="00EE65CE" w:rsidP="00EE65CE">
      <w:pPr>
        <w:autoSpaceDE w:val="0"/>
        <w:autoSpaceDN w:val="0"/>
        <w:adjustRightInd w:val="0"/>
        <w:jc w:val="both"/>
        <w:rPr>
          <w:rFonts w:ascii="Abadi" w:hAnsi="Abadi" w:cs="Amasis MT Pro Light"/>
          <w:sz w:val="21"/>
          <w:szCs w:val="21"/>
        </w:rPr>
      </w:pPr>
    </w:p>
    <w:p w14:paraId="6B5B80CD" w14:textId="77777777" w:rsidR="00EE65CE" w:rsidRPr="00AA1CF8" w:rsidRDefault="00EE65CE" w:rsidP="00EE65CE">
      <w:pPr>
        <w:autoSpaceDE w:val="0"/>
        <w:autoSpaceDN w:val="0"/>
        <w:adjustRightInd w:val="0"/>
        <w:jc w:val="both"/>
        <w:rPr>
          <w:rFonts w:ascii="Abadi" w:hAnsi="Abadi" w:cs="Amasis MT Pro Light"/>
          <w:sz w:val="21"/>
          <w:szCs w:val="21"/>
        </w:rPr>
      </w:pPr>
      <w:r w:rsidRPr="00AA1CF8">
        <w:rPr>
          <w:rFonts w:ascii="Abadi" w:hAnsi="Abadi" w:cs="Amasis MT Pro Light"/>
          <w:sz w:val="21"/>
          <w:szCs w:val="21"/>
        </w:rPr>
        <w:t>1. Considerar la evaluación del protocolo actual por parte de las personas</w:t>
      </w:r>
      <w:r>
        <w:rPr>
          <w:rFonts w:ascii="Abadi" w:hAnsi="Abadi" w:cs="Amasis MT Pro Light"/>
          <w:sz w:val="21"/>
          <w:szCs w:val="21"/>
        </w:rPr>
        <w:t xml:space="preserve"> </w:t>
      </w:r>
      <w:r w:rsidRPr="00AA1CF8">
        <w:rPr>
          <w:rFonts w:ascii="Abadi" w:hAnsi="Abadi" w:cs="Amasis MT Pro Light"/>
          <w:sz w:val="21"/>
          <w:szCs w:val="21"/>
        </w:rPr>
        <w:t>jornaleras agrícolas migrantes y las organizaciones acompañantes. Sin duda</w:t>
      </w:r>
      <w:r>
        <w:rPr>
          <w:rFonts w:ascii="Abadi" w:hAnsi="Abadi" w:cs="Amasis MT Pro Light"/>
          <w:sz w:val="21"/>
          <w:szCs w:val="21"/>
        </w:rPr>
        <w:t xml:space="preserve"> </w:t>
      </w:r>
      <w:r w:rsidRPr="00AA1CF8">
        <w:rPr>
          <w:rFonts w:ascii="Abadi" w:hAnsi="Abadi" w:cs="Amasis MT Pro Light"/>
          <w:sz w:val="21"/>
          <w:szCs w:val="21"/>
        </w:rPr>
        <w:t>el trabajo que se ha realizado se podría retroalimentar desde las personas que</w:t>
      </w:r>
      <w:r>
        <w:rPr>
          <w:rFonts w:ascii="Abadi" w:hAnsi="Abadi" w:cs="Amasis MT Pro Light"/>
          <w:sz w:val="21"/>
          <w:szCs w:val="21"/>
        </w:rPr>
        <w:t xml:space="preserve"> </w:t>
      </w:r>
      <w:r w:rsidRPr="00AA1CF8">
        <w:rPr>
          <w:rFonts w:ascii="Abadi" w:hAnsi="Abadi" w:cs="Amasis MT Pro Light"/>
          <w:sz w:val="21"/>
          <w:szCs w:val="21"/>
        </w:rPr>
        <w:t>son afectadas y les interesan las acciones, así como quienes acompañan</w:t>
      </w:r>
      <w:r>
        <w:rPr>
          <w:rFonts w:ascii="Abadi" w:hAnsi="Abadi" w:cs="Amasis MT Pro Light"/>
          <w:sz w:val="21"/>
          <w:szCs w:val="21"/>
        </w:rPr>
        <w:t xml:space="preserve"> </w:t>
      </w:r>
      <w:r w:rsidRPr="00AA1CF8">
        <w:rPr>
          <w:rFonts w:ascii="Abadi" w:hAnsi="Abadi" w:cs="Amasis MT Pro Light"/>
          <w:sz w:val="21"/>
          <w:szCs w:val="21"/>
        </w:rPr>
        <w:t>diariamente y tienen el pulso de las situaciones que atraviesan. Es</w:t>
      </w:r>
      <w:r>
        <w:rPr>
          <w:rFonts w:ascii="Abadi" w:hAnsi="Abadi" w:cs="Amasis MT Pro Light"/>
          <w:sz w:val="21"/>
          <w:szCs w:val="21"/>
        </w:rPr>
        <w:t xml:space="preserve"> </w:t>
      </w:r>
      <w:r w:rsidRPr="00AA1CF8">
        <w:rPr>
          <w:rFonts w:ascii="Abadi" w:hAnsi="Abadi" w:cs="Amasis MT Pro Light"/>
          <w:sz w:val="21"/>
          <w:szCs w:val="21"/>
        </w:rPr>
        <w:t>trascendental consultar con un enfoque de derechos humanos e</w:t>
      </w:r>
      <w:r>
        <w:rPr>
          <w:rFonts w:ascii="Abadi" w:hAnsi="Abadi" w:cs="Amasis MT Pro Light"/>
          <w:sz w:val="21"/>
          <w:szCs w:val="21"/>
        </w:rPr>
        <w:t xml:space="preserve"> </w:t>
      </w:r>
      <w:r w:rsidRPr="00AA1CF8">
        <w:rPr>
          <w:rFonts w:ascii="Abadi" w:hAnsi="Abadi" w:cs="Amasis MT Pro Light"/>
          <w:sz w:val="21"/>
          <w:szCs w:val="21"/>
        </w:rPr>
        <w:t>interculturalidad a las personas jornaleras agrícolas cómo ha sido el impacto</w:t>
      </w:r>
      <w:r>
        <w:rPr>
          <w:rFonts w:ascii="Abadi" w:hAnsi="Abadi" w:cs="Amasis MT Pro Light"/>
          <w:sz w:val="21"/>
          <w:szCs w:val="21"/>
        </w:rPr>
        <w:t xml:space="preserve"> </w:t>
      </w:r>
      <w:r w:rsidRPr="00AA1CF8">
        <w:rPr>
          <w:rFonts w:ascii="Abadi" w:hAnsi="Abadi" w:cs="Amasis MT Pro Light"/>
          <w:sz w:val="21"/>
          <w:szCs w:val="21"/>
        </w:rPr>
        <w:t>del protocolo.</w:t>
      </w:r>
    </w:p>
    <w:p w14:paraId="306918D5" w14:textId="77777777" w:rsidR="00EE65CE" w:rsidRDefault="00EE65CE" w:rsidP="00EE65CE">
      <w:pPr>
        <w:autoSpaceDE w:val="0"/>
        <w:autoSpaceDN w:val="0"/>
        <w:adjustRightInd w:val="0"/>
        <w:jc w:val="both"/>
        <w:rPr>
          <w:rFonts w:ascii="Abadi" w:hAnsi="Abadi" w:cs="Amasis MT Pro Light"/>
          <w:sz w:val="21"/>
          <w:szCs w:val="21"/>
        </w:rPr>
      </w:pPr>
    </w:p>
    <w:p w14:paraId="4AEA6DA2" w14:textId="77777777" w:rsidR="00EE65CE" w:rsidRPr="00AA1CF8" w:rsidRDefault="00EE65CE" w:rsidP="00EE65CE">
      <w:pPr>
        <w:autoSpaceDE w:val="0"/>
        <w:autoSpaceDN w:val="0"/>
        <w:adjustRightInd w:val="0"/>
        <w:jc w:val="both"/>
        <w:rPr>
          <w:rFonts w:ascii="Abadi" w:hAnsi="Abadi" w:cs="Amasis MT Pro Light"/>
          <w:sz w:val="21"/>
          <w:szCs w:val="21"/>
        </w:rPr>
      </w:pPr>
      <w:r w:rsidRPr="00AA1CF8">
        <w:rPr>
          <w:rFonts w:ascii="Abadi" w:hAnsi="Abadi" w:cs="Amasis MT Pro Light"/>
          <w:sz w:val="21"/>
          <w:szCs w:val="21"/>
        </w:rPr>
        <w:t>2. Elaboración de presupuesto participativo para la operación de los protocolos,</w:t>
      </w:r>
      <w:r>
        <w:rPr>
          <w:rFonts w:ascii="Abadi" w:hAnsi="Abadi" w:cs="Amasis MT Pro Light"/>
          <w:sz w:val="21"/>
          <w:szCs w:val="21"/>
        </w:rPr>
        <w:t xml:space="preserve"> </w:t>
      </w:r>
      <w:r w:rsidRPr="00AA1CF8">
        <w:rPr>
          <w:rFonts w:ascii="Abadi" w:hAnsi="Abadi" w:cs="Amasis MT Pro Light"/>
          <w:sz w:val="21"/>
          <w:szCs w:val="21"/>
        </w:rPr>
        <w:t>así como para la implementación correcta de las leyes aplicables.</w:t>
      </w:r>
      <w:r>
        <w:rPr>
          <w:rFonts w:ascii="Abadi" w:hAnsi="Abadi" w:cs="Amasis MT Pro Light"/>
          <w:sz w:val="21"/>
          <w:szCs w:val="21"/>
        </w:rPr>
        <w:t xml:space="preserve"> </w:t>
      </w:r>
      <w:r w:rsidRPr="00AA1CF8">
        <w:rPr>
          <w:rFonts w:ascii="Abadi" w:hAnsi="Abadi" w:cs="Amasis MT Pro Light"/>
          <w:sz w:val="21"/>
          <w:szCs w:val="21"/>
        </w:rPr>
        <w:t>Desafortunadamente en los últimos años desde Secretaría del Migrante y</w:t>
      </w:r>
      <w:r>
        <w:rPr>
          <w:rFonts w:ascii="Abadi" w:hAnsi="Abadi" w:cs="Amasis MT Pro Light"/>
          <w:sz w:val="21"/>
          <w:szCs w:val="21"/>
        </w:rPr>
        <w:t xml:space="preserve"> </w:t>
      </w:r>
      <w:r w:rsidRPr="00AA1CF8">
        <w:rPr>
          <w:rFonts w:ascii="Abadi" w:hAnsi="Abadi" w:cs="Amasis MT Pro Light"/>
          <w:sz w:val="21"/>
          <w:szCs w:val="21"/>
        </w:rPr>
        <w:t>Enlace Internacional nos han comentado que han tenido un recorte de</w:t>
      </w:r>
      <w:r>
        <w:rPr>
          <w:rFonts w:ascii="Abadi" w:hAnsi="Abadi" w:cs="Amasis MT Pro Light"/>
          <w:sz w:val="21"/>
          <w:szCs w:val="21"/>
        </w:rPr>
        <w:t xml:space="preserve"> </w:t>
      </w:r>
      <w:r w:rsidRPr="00AA1CF8">
        <w:rPr>
          <w:rFonts w:ascii="Abadi" w:hAnsi="Abadi" w:cs="Amasis MT Pro Light"/>
          <w:sz w:val="21"/>
          <w:szCs w:val="21"/>
        </w:rPr>
        <w:t>presupuesto para la atención de las personas jornaleras, lo que ha implicado</w:t>
      </w:r>
      <w:r>
        <w:rPr>
          <w:rFonts w:ascii="Abadi" w:hAnsi="Abadi" w:cs="Amasis MT Pro Light"/>
          <w:sz w:val="21"/>
          <w:szCs w:val="21"/>
        </w:rPr>
        <w:t xml:space="preserve"> </w:t>
      </w:r>
      <w:r w:rsidRPr="00AA1CF8">
        <w:rPr>
          <w:rFonts w:ascii="Abadi" w:hAnsi="Abadi" w:cs="Amasis MT Pro Light"/>
          <w:sz w:val="21"/>
          <w:szCs w:val="21"/>
        </w:rPr>
        <w:t>que se disminuyan acciones directas con las personas, como asesorías en caso</w:t>
      </w:r>
      <w:r>
        <w:rPr>
          <w:rFonts w:ascii="Abadi" w:hAnsi="Abadi" w:cs="Amasis MT Pro Light"/>
          <w:sz w:val="21"/>
          <w:szCs w:val="21"/>
        </w:rPr>
        <w:t xml:space="preserve"> </w:t>
      </w:r>
      <w:r w:rsidRPr="00AA1CF8">
        <w:rPr>
          <w:rFonts w:ascii="Abadi" w:hAnsi="Abadi" w:cs="Amasis MT Pro Light"/>
          <w:sz w:val="21"/>
          <w:szCs w:val="21"/>
        </w:rPr>
        <w:t>de violaciones a derechos humanos en casos de extorsiones, detenciones</w:t>
      </w:r>
      <w:r>
        <w:rPr>
          <w:rFonts w:ascii="Abadi" w:hAnsi="Abadi" w:cs="Amasis MT Pro Light"/>
          <w:sz w:val="21"/>
          <w:szCs w:val="21"/>
        </w:rPr>
        <w:t xml:space="preserve"> </w:t>
      </w:r>
      <w:r w:rsidRPr="00AA1CF8">
        <w:rPr>
          <w:rFonts w:ascii="Abadi" w:hAnsi="Abadi" w:cs="Amasis MT Pro Light"/>
          <w:sz w:val="21"/>
          <w:szCs w:val="21"/>
        </w:rPr>
        <w:t>arbitrarias, discriminación, entre otras.</w:t>
      </w:r>
    </w:p>
    <w:p w14:paraId="1E7CB9EB" w14:textId="77777777" w:rsidR="00EE65CE" w:rsidRDefault="00EE65CE" w:rsidP="00EE65CE">
      <w:pPr>
        <w:autoSpaceDE w:val="0"/>
        <w:autoSpaceDN w:val="0"/>
        <w:adjustRightInd w:val="0"/>
        <w:jc w:val="both"/>
        <w:rPr>
          <w:rFonts w:ascii="Abadi" w:hAnsi="Abadi" w:cs="Amasis MT Pro Light"/>
          <w:sz w:val="21"/>
          <w:szCs w:val="21"/>
        </w:rPr>
      </w:pPr>
    </w:p>
    <w:p w14:paraId="31F52C96" w14:textId="77777777" w:rsidR="00EE65CE" w:rsidRPr="00AA1CF8" w:rsidRDefault="00EE65CE" w:rsidP="00EE65CE">
      <w:pPr>
        <w:autoSpaceDE w:val="0"/>
        <w:autoSpaceDN w:val="0"/>
        <w:adjustRightInd w:val="0"/>
        <w:jc w:val="both"/>
        <w:rPr>
          <w:rFonts w:ascii="Abadi" w:hAnsi="Abadi" w:cs="Amasis MT Pro Light"/>
          <w:sz w:val="21"/>
          <w:szCs w:val="21"/>
        </w:rPr>
      </w:pPr>
      <w:r w:rsidRPr="00AA1CF8">
        <w:rPr>
          <w:rFonts w:ascii="Abadi" w:hAnsi="Abadi" w:cs="Amasis MT Pro Light"/>
          <w:sz w:val="21"/>
          <w:szCs w:val="21"/>
        </w:rPr>
        <w:t>3. Transitar de un modelo de asistencia humanitaria a uno de respeto,</w:t>
      </w:r>
      <w:r>
        <w:rPr>
          <w:rFonts w:ascii="Abadi" w:hAnsi="Abadi" w:cs="Amasis MT Pro Light"/>
          <w:sz w:val="21"/>
          <w:szCs w:val="21"/>
        </w:rPr>
        <w:t xml:space="preserve"> </w:t>
      </w:r>
      <w:r w:rsidRPr="00AA1CF8">
        <w:rPr>
          <w:rFonts w:ascii="Abadi" w:hAnsi="Abadi" w:cs="Amasis MT Pro Light"/>
          <w:sz w:val="21"/>
          <w:szCs w:val="21"/>
        </w:rPr>
        <w:t>protección, garantía y promoción de derechos de las personas. Consideramos</w:t>
      </w:r>
      <w:r>
        <w:rPr>
          <w:rFonts w:ascii="Abadi" w:hAnsi="Abadi" w:cs="Amasis MT Pro Light"/>
          <w:sz w:val="21"/>
          <w:szCs w:val="21"/>
        </w:rPr>
        <w:t xml:space="preserve"> </w:t>
      </w:r>
      <w:r w:rsidRPr="00AA1CF8">
        <w:rPr>
          <w:rFonts w:ascii="Abadi" w:hAnsi="Abadi" w:cs="Amasis MT Pro Light"/>
          <w:sz w:val="21"/>
          <w:szCs w:val="21"/>
        </w:rPr>
        <w:t>importante que el protocolo se realice integrando y sumando otros actores no</w:t>
      </w:r>
      <w:r>
        <w:rPr>
          <w:rFonts w:ascii="Abadi" w:hAnsi="Abadi" w:cs="Amasis MT Pro Light"/>
          <w:sz w:val="21"/>
          <w:szCs w:val="21"/>
        </w:rPr>
        <w:t xml:space="preserve"> </w:t>
      </w:r>
      <w:r w:rsidRPr="00AA1CF8">
        <w:rPr>
          <w:rFonts w:ascii="Abadi" w:hAnsi="Abadi" w:cs="Amasis MT Pro Light"/>
          <w:sz w:val="21"/>
          <w:szCs w:val="21"/>
        </w:rPr>
        <w:t>solo desde una mirada asistencial, ya que de los retos que podemos identificar</w:t>
      </w:r>
      <w:r>
        <w:rPr>
          <w:rFonts w:ascii="Abadi" w:hAnsi="Abadi" w:cs="Amasis MT Pro Light"/>
          <w:sz w:val="21"/>
          <w:szCs w:val="21"/>
        </w:rPr>
        <w:t xml:space="preserve"> </w:t>
      </w:r>
      <w:r w:rsidRPr="00AA1CF8">
        <w:rPr>
          <w:rFonts w:ascii="Abadi" w:hAnsi="Abadi" w:cs="Amasis MT Pro Light"/>
          <w:sz w:val="21"/>
          <w:szCs w:val="21"/>
        </w:rPr>
        <w:t>es que las dependencias realizan acciones en conjunto en ese sentido y si bien,</w:t>
      </w:r>
    </w:p>
    <w:p w14:paraId="25BC4385" w14:textId="77777777" w:rsidR="00EE65CE" w:rsidRPr="00AA1CF8" w:rsidRDefault="00EE65CE" w:rsidP="00EE65CE">
      <w:pPr>
        <w:autoSpaceDE w:val="0"/>
        <w:autoSpaceDN w:val="0"/>
        <w:adjustRightInd w:val="0"/>
        <w:jc w:val="both"/>
        <w:rPr>
          <w:rFonts w:ascii="Abadi" w:hAnsi="Abadi" w:cs="Amasis MT Pro Light"/>
          <w:sz w:val="21"/>
          <w:szCs w:val="21"/>
        </w:rPr>
      </w:pPr>
      <w:r w:rsidRPr="00AA1CF8">
        <w:rPr>
          <w:rFonts w:ascii="Abadi" w:hAnsi="Abadi" w:cs="Amasis MT Pro Light"/>
          <w:sz w:val="21"/>
          <w:szCs w:val="21"/>
        </w:rPr>
        <w:t>suman a mejorar las estancias de las personas, consideramos que nos</w:t>
      </w:r>
      <w:r>
        <w:rPr>
          <w:rFonts w:ascii="Abadi" w:hAnsi="Abadi" w:cs="Amasis MT Pro Light"/>
          <w:sz w:val="21"/>
          <w:szCs w:val="21"/>
        </w:rPr>
        <w:t xml:space="preserve"> </w:t>
      </w:r>
      <w:r w:rsidRPr="00AA1CF8">
        <w:rPr>
          <w:rFonts w:ascii="Abadi" w:hAnsi="Abadi" w:cs="Amasis MT Pro Light"/>
          <w:sz w:val="21"/>
          <w:szCs w:val="21"/>
        </w:rPr>
        <w:t>encontramos en un momento importante para transformar y transitar de una</w:t>
      </w:r>
      <w:r>
        <w:rPr>
          <w:rFonts w:ascii="Abadi" w:hAnsi="Abadi" w:cs="Amasis MT Pro Light"/>
          <w:sz w:val="21"/>
          <w:szCs w:val="21"/>
        </w:rPr>
        <w:t xml:space="preserve"> </w:t>
      </w:r>
      <w:r w:rsidRPr="00AA1CF8">
        <w:rPr>
          <w:rFonts w:ascii="Abadi" w:hAnsi="Abadi" w:cs="Amasis MT Pro Light"/>
          <w:sz w:val="21"/>
          <w:szCs w:val="21"/>
        </w:rPr>
        <w:t>atención asistencial a una basada en derechos humanos e intercultural.</w:t>
      </w:r>
      <w:r>
        <w:rPr>
          <w:rFonts w:ascii="Abadi" w:hAnsi="Abadi" w:cs="Amasis MT Pro Light"/>
          <w:sz w:val="21"/>
          <w:szCs w:val="21"/>
        </w:rPr>
        <w:t xml:space="preserve"> </w:t>
      </w:r>
      <w:r w:rsidRPr="00AA1CF8">
        <w:rPr>
          <w:rFonts w:ascii="Abadi" w:hAnsi="Abadi" w:cs="Amasis MT Pro Light"/>
          <w:sz w:val="21"/>
          <w:szCs w:val="21"/>
        </w:rPr>
        <w:t>Reconocemos la labor en la entrega de materiales de higiene, cobijas, entre</w:t>
      </w:r>
    </w:p>
    <w:p w14:paraId="427714AA" w14:textId="77777777" w:rsidR="00EE65CE" w:rsidRPr="00AA1CF8" w:rsidRDefault="00EE65CE" w:rsidP="00EE65CE">
      <w:pPr>
        <w:autoSpaceDE w:val="0"/>
        <w:autoSpaceDN w:val="0"/>
        <w:adjustRightInd w:val="0"/>
        <w:jc w:val="both"/>
        <w:rPr>
          <w:rFonts w:ascii="Abadi" w:hAnsi="Abadi" w:cs="Amasis MT Pro Light"/>
          <w:sz w:val="21"/>
          <w:szCs w:val="21"/>
        </w:rPr>
      </w:pPr>
      <w:r w:rsidRPr="00AA1CF8">
        <w:rPr>
          <w:rFonts w:ascii="Abadi" w:hAnsi="Abadi" w:cs="Amasis MT Pro Light"/>
          <w:sz w:val="21"/>
          <w:szCs w:val="21"/>
        </w:rPr>
        <w:t>otros insumos y recalcamos la importancia de que estas acciones puedan</w:t>
      </w:r>
      <w:r>
        <w:rPr>
          <w:rFonts w:ascii="Abadi" w:hAnsi="Abadi" w:cs="Amasis MT Pro Light"/>
          <w:sz w:val="21"/>
          <w:szCs w:val="21"/>
        </w:rPr>
        <w:t xml:space="preserve"> </w:t>
      </w:r>
      <w:r w:rsidRPr="00AA1CF8">
        <w:rPr>
          <w:rFonts w:ascii="Abadi" w:hAnsi="Abadi" w:cs="Amasis MT Pro Light"/>
          <w:sz w:val="21"/>
          <w:szCs w:val="21"/>
        </w:rPr>
        <w:t>transitar a articular la acción pública para el acceso de derechos de las</w:t>
      </w:r>
      <w:r>
        <w:rPr>
          <w:rFonts w:ascii="Abadi" w:hAnsi="Abadi" w:cs="Amasis MT Pro Light"/>
          <w:sz w:val="21"/>
          <w:szCs w:val="21"/>
        </w:rPr>
        <w:t xml:space="preserve"> </w:t>
      </w:r>
      <w:r w:rsidRPr="00AA1CF8">
        <w:rPr>
          <w:rFonts w:ascii="Abadi" w:hAnsi="Abadi" w:cs="Amasis MT Pro Light"/>
          <w:sz w:val="21"/>
          <w:szCs w:val="21"/>
        </w:rPr>
        <w:t>personas.</w:t>
      </w:r>
    </w:p>
    <w:p w14:paraId="6D60A54E" w14:textId="77777777" w:rsidR="00EE65CE" w:rsidRDefault="00EE65CE" w:rsidP="00EE65CE">
      <w:pPr>
        <w:autoSpaceDE w:val="0"/>
        <w:autoSpaceDN w:val="0"/>
        <w:adjustRightInd w:val="0"/>
        <w:jc w:val="both"/>
        <w:rPr>
          <w:rFonts w:ascii="Abadi" w:hAnsi="Abadi" w:cs="Amasis MT Pro Light"/>
          <w:sz w:val="21"/>
          <w:szCs w:val="21"/>
        </w:rPr>
      </w:pPr>
    </w:p>
    <w:p w14:paraId="2FB2A297" w14:textId="77777777" w:rsidR="00EE65CE" w:rsidRPr="00AA1CF8" w:rsidRDefault="00EE65CE" w:rsidP="00EE65CE">
      <w:pPr>
        <w:autoSpaceDE w:val="0"/>
        <w:autoSpaceDN w:val="0"/>
        <w:adjustRightInd w:val="0"/>
        <w:jc w:val="both"/>
        <w:rPr>
          <w:rFonts w:ascii="Abadi" w:hAnsi="Abadi" w:cs="Amasis MT Pro Light"/>
          <w:sz w:val="21"/>
          <w:szCs w:val="21"/>
        </w:rPr>
      </w:pPr>
      <w:r w:rsidRPr="00AA1CF8">
        <w:rPr>
          <w:rFonts w:ascii="Abadi" w:hAnsi="Abadi" w:cs="Amasis MT Pro Light"/>
          <w:sz w:val="21"/>
          <w:szCs w:val="21"/>
        </w:rPr>
        <w:t>4. Asimismo, resaltamos la importancia de incluir en las acciones integrales de</w:t>
      </w:r>
      <w:r>
        <w:rPr>
          <w:rFonts w:ascii="Abadi" w:hAnsi="Abadi" w:cs="Amasis MT Pro Light"/>
          <w:sz w:val="21"/>
          <w:szCs w:val="21"/>
        </w:rPr>
        <w:t xml:space="preserve"> </w:t>
      </w:r>
      <w:r w:rsidRPr="00AA1CF8">
        <w:rPr>
          <w:rFonts w:ascii="Abadi" w:hAnsi="Abadi" w:cs="Amasis MT Pro Light"/>
          <w:sz w:val="21"/>
          <w:szCs w:val="21"/>
        </w:rPr>
        <w:t>atención la participación de los Sistemas de Protección Integral de Niñas,</w:t>
      </w:r>
      <w:r>
        <w:rPr>
          <w:rFonts w:ascii="Abadi" w:hAnsi="Abadi" w:cs="Amasis MT Pro Light"/>
          <w:sz w:val="21"/>
          <w:szCs w:val="21"/>
        </w:rPr>
        <w:t xml:space="preserve"> </w:t>
      </w:r>
      <w:r w:rsidRPr="00AA1CF8">
        <w:rPr>
          <w:rFonts w:ascii="Abadi" w:hAnsi="Abadi" w:cs="Amasis MT Pro Light"/>
          <w:sz w:val="21"/>
          <w:szCs w:val="21"/>
        </w:rPr>
        <w:t>Niños y Adolescentes, para generar acciones públicas organizadas a favor del</w:t>
      </w:r>
      <w:r>
        <w:rPr>
          <w:rFonts w:ascii="Abadi" w:hAnsi="Abadi" w:cs="Amasis MT Pro Light"/>
          <w:sz w:val="21"/>
          <w:szCs w:val="21"/>
        </w:rPr>
        <w:t xml:space="preserve"> </w:t>
      </w:r>
      <w:r w:rsidRPr="00AA1CF8">
        <w:rPr>
          <w:rFonts w:ascii="Abadi" w:hAnsi="Abadi" w:cs="Amasis MT Pro Light"/>
          <w:sz w:val="21"/>
          <w:szCs w:val="21"/>
        </w:rPr>
        <w:t>acceso a sus derechos. Es urgente dejar de ver a las niñas, niños y</w:t>
      </w:r>
      <w:r>
        <w:rPr>
          <w:rFonts w:ascii="Abadi" w:hAnsi="Abadi" w:cs="Amasis MT Pro Light"/>
          <w:sz w:val="21"/>
          <w:szCs w:val="21"/>
        </w:rPr>
        <w:t xml:space="preserve"> </w:t>
      </w:r>
      <w:r w:rsidRPr="00AA1CF8">
        <w:rPr>
          <w:rFonts w:ascii="Abadi" w:hAnsi="Abadi" w:cs="Amasis MT Pro Light"/>
          <w:sz w:val="21"/>
          <w:szCs w:val="21"/>
        </w:rPr>
        <w:t>adolescentes como “el agregado” de las personas adultas y transitar al</w:t>
      </w:r>
      <w:r>
        <w:rPr>
          <w:rFonts w:ascii="Abadi" w:hAnsi="Abadi" w:cs="Amasis MT Pro Light"/>
          <w:sz w:val="21"/>
          <w:szCs w:val="21"/>
        </w:rPr>
        <w:t xml:space="preserve"> </w:t>
      </w:r>
      <w:r w:rsidRPr="00AA1CF8">
        <w:rPr>
          <w:rFonts w:ascii="Abadi" w:hAnsi="Abadi" w:cs="Amasis MT Pro Light"/>
          <w:sz w:val="21"/>
          <w:szCs w:val="21"/>
        </w:rPr>
        <w:t>reconocimiento de su titularidad de derechos.</w:t>
      </w:r>
    </w:p>
    <w:p w14:paraId="73143B11" w14:textId="77777777" w:rsidR="00EE65CE" w:rsidRDefault="00EE65CE" w:rsidP="00EE65CE">
      <w:pPr>
        <w:autoSpaceDE w:val="0"/>
        <w:autoSpaceDN w:val="0"/>
        <w:adjustRightInd w:val="0"/>
        <w:jc w:val="both"/>
        <w:rPr>
          <w:rFonts w:ascii="Abadi" w:hAnsi="Abadi" w:cs="Amasis MT Pro Light"/>
          <w:sz w:val="21"/>
          <w:szCs w:val="21"/>
        </w:rPr>
      </w:pPr>
    </w:p>
    <w:p w14:paraId="6A2AEE90" w14:textId="77777777" w:rsidR="00EE65CE" w:rsidRPr="00AA1CF8" w:rsidRDefault="00EE65CE" w:rsidP="00EE65CE">
      <w:pPr>
        <w:autoSpaceDE w:val="0"/>
        <w:autoSpaceDN w:val="0"/>
        <w:adjustRightInd w:val="0"/>
        <w:jc w:val="both"/>
        <w:rPr>
          <w:rFonts w:ascii="Abadi" w:hAnsi="Abadi" w:cs="Amasis MT Pro Light"/>
          <w:sz w:val="21"/>
          <w:szCs w:val="21"/>
        </w:rPr>
      </w:pPr>
      <w:r w:rsidRPr="00AA1CF8">
        <w:rPr>
          <w:rFonts w:ascii="Abadi" w:hAnsi="Abadi" w:cs="Amasis MT Pro Light"/>
          <w:sz w:val="21"/>
          <w:szCs w:val="21"/>
        </w:rPr>
        <w:t>5. Será también prioritario tener presente y de forma diferenciada las acciones</w:t>
      </w:r>
      <w:r>
        <w:rPr>
          <w:rFonts w:ascii="Abadi" w:hAnsi="Abadi" w:cs="Amasis MT Pro Light"/>
          <w:sz w:val="21"/>
          <w:szCs w:val="21"/>
        </w:rPr>
        <w:t xml:space="preserve"> </w:t>
      </w:r>
      <w:r w:rsidRPr="00AA1CF8">
        <w:rPr>
          <w:rFonts w:ascii="Abadi" w:hAnsi="Abadi" w:cs="Amasis MT Pro Light"/>
          <w:sz w:val="21"/>
          <w:szCs w:val="21"/>
        </w:rPr>
        <w:t>a realizar para la atención integral a las mujeres jornaleras agrícolas migrantes.</w:t>
      </w:r>
      <w:r>
        <w:rPr>
          <w:rFonts w:ascii="Abadi" w:hAnsi="Abadi" w:cs="Amasis MT Pro Light"/>
          <w:sz w:val="21"/>
          <w:szCs w:val="21"/>
        </w:rPr>
        <w:t xml:space="preserve"> </w:t>
      </w:r>
      <w:r w:rsidRPr="00AA1CF8">
        <w:rPr>
          <w:rFonts w:ascii="Abadi" w:hAnsi="Abadi" w:cs="Amasis MT Pro Light"/>
          <w:sz w:val="21"/>
          <w:szCs w:val="21"/>
        </w:rPr>
        <w:t>Desde una perspectiva interseccional ante situaciones de violencia y libre</w:t>
      </w:r>
      <w:r>
        <w:rPr>
          <w:rFonts w:ascii="Abadi" w:hAnsi="Abadi" w:cs="Amasis MT Pro Light"/>
          <w:sz w:val="21"/>
          <w:szCs w:val="21"/>
        </w:rPr>
        <w:t xml:space="preserve"> </w:t>
      </w:r>
      <w:r w:rsidRPr="00AA1CF8">
        <w:rPr>
          <w:rFonts w:ascii="Abadi" w:hAnsi="Abadi" w:cs="Amasis MT Pro Light"/>
          <w:sz w:val="21"/>
          <w:szCs w:val="21"/>
        </w:rPr>
        <w:t>ejercicio de su autonomía. Este año se dificultó la atención a las mujeres,</w:t>
      </w:r>
      <w:r>
        <w:rPr>
          <w:rFonts w:ascii="Abadi" w:hAnsi="Abadi" w:cs="Amasis MT Pro Light"/>
          <w:sz w:val="21"/>
          <w:szCs w:val="21"/>
        </w:rPr>
        <w:t xml:space="preserve"> </w:t>
      </w:r>
      <w:r w:rsidRPr="00AA1CF8">
        <w:rPr>
          <w:rFonts w:ascii="Abadi" w:hAnsi="Abadi" w:cs="Amasis MT Pro Light"/>
          <w:sz w:val="21"/>
          <w:szCs w:val="21"/>
        </w:rPr>
        <w:t>además de la desaparición del programa municipal en León de redes de</w:t>
      </w:r>
      <w:r>
        <w:rPr>
          <w:rFonts w:ascii="Abadi" w:hAnsi="Abadi" w:cs="Amasis MT Pro Light"/>
          <w:sz w:val="21"/>
          <w:szCs w:val="21"/>
        </w:rPr>
        <w:t xml:space="preserve"> </w:t>
      </w:r>
      <w:r w:rsidRPr="00AA1CF8">
        <w:rPr>
          <w:rFonts w:ascii="Abadi" w:hAnsi="Abadi" w:cs="Amasis MT Pro Light"/>
          <w:sz w:val="21"/>
          <w:szCs w:val="21"/>
        </w:rPr>
        <w:t>mujeres sin violencia que brindaba atención médica a mujeres jornaleras</w:t>
      </w:r>
      <w:r>
        <w:rPr>
          <w:rFonts w:ascii="Abadi" w:hAnsi="Abadi" w:cs="Amasis MT Pro Light"/>
          <w:sz w:val="21"/>
          <w:szCs w:val="21"/>
        </w:rPr>
        <w:t xml:space="preserve"> </w:t>
      </w:r>
      <w:r w:rsidRPr="00AA1CF8">
        <w:rPr>
          <w:rFonts w:ascii="Abadi" w:hAnsi="Abadi" w:cs="Amasis MT Pro Light"/>
          <w:sz w:val="21"/>
          <w:szCs w:val="21"/>
        </w:rPr>
        <w:t>embarazadas.</w:t>
      </w:r>
    </w:p>
    <w:p w14:paraId="0C0F0007" w14:textId="77777777" w:rsidR="00EE65CE" w:rsidRDefault="00EE65CE" w:rsidP="00EE65CE">
      <w:pPr>
        <w:autoSpaceDE w:val="0"/>
        <w:autoSpaceDN w:val="0"/>
        <w:adjustRightInd w:val="0"/>
        <w:jc w:val="both"/>
        <w:rPr>
          <w:rFonts w:ascii="Abadi" w:hAnsi="Abadi" w:cs="Amasis MT Pro Light"/>
          <w:sz w:val="21"/>
          <w:szCs w:val="21"/>
        </w:rPr>
      </w:pPr>
    </w:p>
    <w:p w14:paraId="3680CDBB" w14:textId="77777777" w:rsidR="00EE65CE" w:rsidRPr="00AA1CF8" w:rsidRDefault="00EE65CE" w:rsidP="00EE65CE">
      <w:pPr>
        <w:autoSpaceDE w:val="0"/>
        <w:autoSpaceDN w:val="0"/>
        <w:adjustRightInd w:val="0"/>
        <w:jc w:val="both"/>
        <w:rPr>
          <w:rFonts w:ascii="Abadi" w:hAnsi="Abadi" w:cs="Amasis MT Pro Light"/>
          <w:sz w:val="21"/>
          <w:szCs w:val="21"/>
        </w:rPr>
      </w:pPr>
      <w:r w:rsidRPr="00AA1CF8">
        <w:rPr>
          <w:rFonts w:ascii="Abadi" w:hAnsi="Abadi" w:cs="Amasis MT Pro Light"/>
          <w:sz w:val="21"/>
          <w:szCs w:val="21"/>
        </w:rPr>
        <w:t>6. Asimismo, recalcamos la importancia de poder contar con asesoría jurídica</w:t>
      </w:r>
      <w:r>
        <w:rPr>
          <w:rFonts w:ascii="Abadi" w:hAnsi="Abadi" w:cs="Amasis MT Pro Light"/>
          <w:sz w:val="21"/>
          <w:szCs w:val="21"/>
        </w:rPr>
        <w:t xml:space="preserve"> </w:t>
      </w:r>
      <w:r w:rsidRPr="00AA1CF8">
        <w:rPr>
          <w:rFonts w:ascii="Abadi" w:hAnsi="Abadi" w:cs="Amasis MT Pro Light"/>
          <w:sz w:val="21"/>
          <w:szCs w:val="21"/>
        </w:rPr>
        <w:t>ante violaciones a derechos humanos, ya que las personas se encuentran en</w:t>
      </w:r>
      <w:r>
        <w:rPr>
          <w:rFonts w:ascii="Abadi" w:hAnsi="Abadi" w:cs="Amasis MT Pro Light"/>
          <w:sz w:val="21"/>
          <w:szCs w:val="21"/>
        </w:rPr>
        <w:t xml:space="preserve"> </w:t>
      </w:r>
      <w:r w:rsidRPr="00AA1CF8">
        <w:rPr>
          <w:rFonts w:ascii="Abadi" w:hAnsi="Abadi" w:cs="Amasis MT Pro Light"/>
          <w:sz w:val="21"/>
          <w:szCs w:val="21"/>
        </w:rPr>
        <w:t>constantes situaciones de abuso y violencia por parte de otras personas o</w:t>
      </w:r>
      <w:r>
        <w:rPr>
          <w:rFonts w:ascii="Abadi" w:hAnsi="Abadi" w:cs="Amasis MT Pro Light"/>
          <w:sz w:val="21"/>
          <w:szCs w:val="21"/>
        </w:rPr>
        <w:t xml:space="preserve"> </w:t>
      </w:r>
      <w:r w:rsidRPr="00AA1CF8">
        <w:rPr>
          <w:rFonts w:ascii="Abadi" w:hAnsi="Abadi" w:cs="Amasis MT Pro Light"/>
          <w:sz w:val="21"/>
          <w:szCs w:val="21"/>
        </w:rPr>
        <w:t>servidores públicos.</w:t>
      </w:r>
    </w:p>
    <w:p w14:paraId="066159D3" w14:textId="77777777" w:rsidR="00EE65CE" w:rsidRDefault="00EE65CE" w:rsidP="00EE65CE">
      <w:pPr>
        <w:autoSpaceDE w:val="0"/>
        <w:autoSpaceDN w:val="0"/>
        <w:adjustRightInd w:val="0"/>
        <w:jc w:val="both"/>
        <w:rPr>
          <w:rFonts w:ascii="Abadi" w:hAnsi="Abadi" w:cs="Amasis MT Pro Light"/>
          <w:sz w:val="21"/>
          <w:szCs w:val="21"/>
        </w:rPr>
      </w:pPr>
    </w:p>
    <w:p w14:paraId="5FBFB3CA" w14:textId="77777777" w:rsidR="00EE65CE" w:rsidRPr="00AA1CF8" w:rsidRDefault="00EE65CE" w:rsidP="00EE65CE">
      <w:pPr>
        <w:autoSpaceDE w:val="0"/>
        <w:autoSpaceDN w:val="0"/>
        <w:adjustRightInd w:val="0"/>
        <w:jc w:val="both"/>
        <w:rPr>
          <w:rFonts w:ascii="Abadi" w:hAnsi="Abadi" w:cs="Amasis MT Pro Light"/>
          <w:sz w:val="21"/>
          <w:szCs w:val="21"/>
        </w:rPr>
      </w:pPr>
      <w:r w:rsidRPr="00AA1CF8">
        <w:rPr>
          <w:rFonts w:ascii="Abadi" w:hAnsi="Abadi" w:cs="Amasis MT Pro Light"/>
          <w:sz w:val="21"/>
          <w:szCs w:val="21"/>
        </w:rPr>
        <w:t>7. Finalizando, invitamos a recuperar la investigación que realizamos en el 2019</w:t>
      </w:r>
      <w:r>
        <w:rPr>
          <w:rFonts w:ascii="Abadi" w:hAnsi="Abadi" w:cs="Amasis MT Pro Light"/>
          <w:sz w:val="21"/>
          <w:szCs w:val="21"/>
        </w:rPr>
        <w:t xml:space="preserve"> </w:t>
      </w:r>
      <w:r w:rsidRPr="00AA1CF8">
        <w:rPr>
          <w:rFonts w:ascii="Abadi" w:hAnsi="Abadi" w:cs="Amasis MT Pro Light"/>
          <w:sz w:val="21"/>
          <w:szCs w:val="21"/>
        </w:rPr>
        <w:t>en donde se abordó un análisis basado en derechos humanos para visualizar</w:t>
      </w:r>
      <w:r>
        <w:rPr>
          <w:rFonts w:ascii="Abadi" w:hAnsi="Abadi" w:cs="Amasis MT Pro Light"/>
          <w:sz w:val="21"/>
          <w:szCs w:val="21"/>
        </w:rPr>
        <w:t xml:space="preserve"> </w:t>
      </w:r>
      <w:r w:rsidRPr="00AA1CF8">
        <w:rPr>
          <w:rFonts w:ascii="Abadi" w:hAnsi="Abadi" w:cs="Amasis MT Pro Light"/>
          <w:sz w:val="21"/>
          <w:szCs w:val="21"/>
        </w:rPr>
        <w:t>el horizonte respecto al foco que debe adoptar la acción pública estatal.</w:t>
      </w:r>
      <w:r>
        <w:rPr>
          <w:rFonts w:ascii="Abadi" w:hAnsi="Abadi" w:cs="Amasis MT Pro Light"/>
          <w:sz w:val="21"/>
          <w:szCs w:val="21"/>
        </w:rPr>
        <w:t xml:space="preserve"> </w:t>
      </w:r>
    </w:p>
    <w:p w14:paraId="586138CE" w14:textId="77777777" w:rsidR="00EE65CE" w:rsidRDefault="00EE65CE" w:rsidP="00EE65CE">
      <w:pPr>
        <w:autoSpaceDE w:val="0"/>
        <w:autoSpaceDN w:val="0"/>
        <w:adjustRightInd w:val="0"/>
        <w:jc w:val="both"/>
        <w:rPr>
          <w:rFonts w:ascii="Abadi" w:hAnsi="Abadi" w:cs="Amasis MT Pro Light"/>
          <w:sz w:val="21"/>
          <w:szCs w:val="21"/>
        </w:rPr>
      </w:pPr>
    </w:p>
    <w:p w14:paraId="24CD0A4F" w14:textId="77777777" w:rsidR="00EE65CE" w:rsidRPr="00AA1CF8" w:rsidRDefault="00EE65CE" w:rsidP="00EE65CE">
      <w:pPr>
        <w:autoSpaceDE w:val="0"/>
        <w:autoSpaceDN w:val="0"/>
        <w:adjustRightInd w:val="0"/>
        <w:jc w:val="both"/>
        <w:rPr>
          <w:rFonts w:ascii="Abadi" w:hAnsi="Abadi" w:cs="Amasis MT Pro Light"/>
          <w:sz w:val="21"/>
          <w:szCs w:val="21"/>
        </w:rPr>
      </w:pPr>
      <w:r w:rsidRPr="00AA1CF8">
        <w:rPr>
          <w:rFonts w:ascii="Abadi" w:hAnsi="Abadi" w:cs="Amasis MT Pro Light"/>
          <w:sz w:val="21"/>
          <w:szCs w:val="21"/>
        </w:rPr>
        <w:t>Como puede observarse, algunos de estos puntos han sido abordados desde el</w:t>
      </w:r>
      <w:r>
        <w:rPr>
          <w:rFonts w:ascii="Abadi" w:hAnsi="Abadi" w:cs="Amasis MT Pro Light"/>
          <w:sz w:val="21"/>
          <w:szCs w:val="21"/>
        </w:rPr>
        <w:t xml:space="preserve"> </w:t>
      </w:r>
      <w:r w:rsidRPr="00AA1CF8">
        <w:rPr>
          <w:rFonts w:ascii="Abadi" w:hAnsi="Abadi" w:cs="Amasis MT Pro Light"/>
          <w:sz w:val="21"/>
          <w:szCs w:val="21"/>
        </w:rPr>
        <w:t>Grupo Parlamentario de morena: desde la necesidad de evaluar la política en materia</w:t>
      </w:r>
      <w:r>
        <w:rPr>
          <w:rFonts w:ascii="Abadi" w:hAnsi="Abadi" w:cs="Amasis MT Pro Light"/>
          <w:sz w:val="21"/>
          <w:szCs w:val="21"/>
        </w:rPr>
        <w:t xml:space="preserve"> </w:t>
      </w:r>
      <w:r w:rsidRPr="00AA1CF8">
        <w:rPr>
          <w:rFonts w:ascii="Abadi" w:hAnsi="Abadi" w:cs="Amasis MT Pro Light"/>
          <w:sz w:val="21"/>
          <w:szCs w:val="21"/>
        </w:rPr>
        <w:t>con perspectiva de derechos humanos, hasta la cada vez menor asignación de</w:t>
      </w:r>
      <w:r>
        <w:rPr>
          <w:rFonts w:ascii="Abadi" w:hAnsi="Abadi" w:cs="Amasis MT Pro Light"/>
          <w:sz w:val="21"/>
          <w:szCs w:val="21"/>
        </w:rPr>
        <w:t xml:space="preserve"> </w:t>
      </w:r>
      <w:r w:rsidRPr="00AA1CF8">
        <w:rPr>
          <w:rFonts w:ascii="Abadi" w:hAnsi="Abadi" w:cs="Amasis MT Pro Light"/>
          <w:sz w:val="21"/>
          <w:szCs w:val="21"/>
        </w:rPr>
        <w:t>presupuesto a la Secretaría del Migrante y Enlace Internacional que debe combatirse</w:t>
      </w:r>
      <w:r>
        <w:rPr>
          <w:rFonts w:ascii="Abadi" w:hAnsi="Abadi" w:cs="Amasis MT Pro Light"/>
          <w:sz w:val="21"/>
          <w:szCs w:val="21"/>
        </w:rPr>
        <w:t xml:space="preserve"> </w:t>
      </w:r>
      <w:r w:rsidRPr="00AA1CF8">
        <w:rPr>
          <w:rFonts w:ascii="Abadi" w:hAnsi="Abadi" w:cs="Amasis MT Pro Light"/>
          <w:sz w:val="21"/>
          <w:szCs w:val="21"/>
        </w:rPr>
        <w:t>acorde al principio de progresividad. Sin embargo, es necesario que este Poder</w:t>
      </w:r>
      <w:r>
        <w:rPr>
          <w:rFonts w:ascii="Abadi" w:hAnsi="Abadi" w:cs="Amasis MT Pro Light"/>
          <w:sz w:val="21"/>
          <w:szCs w:val="21"/>
        </w:rPr>
        <w:t xml:space="preserve"> </w:t>
      </w:r>
      <w:r w:rsidRPr="00AA1CF8">
        <w:rPr>
          <w:rFonts w:ascii="Abadi" w:hAnsi="Abadi" w:cs="Amasis MT Pro Light"/>
          <w:sz w:val="21"/>
          <w:szCs w:val="21"/>
        </w:rPr>
        <w:t>Legislativo preste atención a cada una de estas medidas, con la finalidad de solicitar</w:t>
      </w:r>
      <w:r>
        <w:rPr>
          <w:rFonts w:ascii="Abadi" w:hAnsi="Abadi" w:cs="Amasis MT Pro Light"/>
          <w:sz w:val="21"/>
          <w:szCs w:val="21"/>
        </w:rPr>
        <w:t xml:space="preserve"> </w:t>
      </w:r>
      <w:r w:rsidRPr="00AA1CF8">
        <w:rPr>
          <w:rFonts w:ascii="Abadi" w:hAnsi="Abadi" w:cs="Amasis MT Pro Light"/>
          <w:sz w:val="21"/>
          <w:szCs w:val="21"/>
        </w:rPr>
        <w:t>la reorientación de la política pública en la materia con una perspectiva de derechos.</w:t>
      </w:r>
    </w:p>
    <w:p w14:paraId="69113983" w14:textId="77777777" w:rsidR="00EE65CE" w:rsidRDefault="00EE65CE" w:rsidP="00EE65CE">
      <w:pPr>
        <w:autoSpaceDE w:val="0"/>
        <w:autoSpaceDN w:val="0"/>
        <w:adjustRightInd w:val="0"/>
        <w:jc w:val="both"/>
        <w:rPr>
          <w:rFonts w:ascii="Abadi" w:hAnsi="Abadi" w:cs="Amasis MT Pro Light"/>
          <w:sz w:val="21"/>
          <w:szCs w:val="21"/>
        </w:rPr>
      </w:pPr>
    </w:p>
    <w:p w14:paraId="54D83500" w14:textId="77777777" w:rsidR="00EE65CE" w:rsidRPr="00AA1CF8" w:rsidRDefault="00EE65CE" w:rsidP="00EE65CE">
      <w:pPr>
        <w:autoSpaceDE w:val="0"/>
        <w:autoSpaceDN w:val="0"/>
        <w:adjustRightInd w:val="0"/>
        <w:jc w:val="both"/>
        <w:rPr>
          <w:rFonts w:ascii="Abadi" w:hAnsi="Abadi" w:cs="Amasis MT Pro Light"/>
          <w:sz w:val="21"/>
          <w:szCs w:val="21"/>
        </w:rPr>
      </w:pPr>
      <w:r w:rsidRPr="00AA1CF8">
        <w:rPr>
          <w:rFonts w:ascii="Abadi" w:hAnsi="Abadi" w:cs="Amasis MT Pro Light"/>
          <w:sz w:val="21"/>
          <w:szCs w:val="21"/>
        </w:rPr>
        <w:t>Una proporción importante de esta población en situación de vulnerabilidad se</w:t>
      </w:r>
      <w:r>
        <w:rPr>
          <w:rFonts w:ascii="Abadi" w:hAnsi="Abadi" w:cs="Amasis MT Pro Light"/>
          <w:sz w:val="21"/>
          <w:szCs w:val="21"/>
        </w:rPr>
        <w:t xml:space="preserve"> </w:t>
      </w:r>
      <w:r w:rsidRPr="00AA1CF8">
        <w:rPr>
          <w:rFonts w:ascii="Abadi" w:hAnsi="Abadi" w:cs="Amasis MT Pro Light"/>
          <w:sz w:val="21"/>
          <w:szCs w:val="21"/>
        </w:rPr>
        <w:t>encuentra en la ciudad de León, en comunidades como San José de los Sapos, La</w:t>
      </w:r>
      <w:r>
        <w:rPr>
          <w:rFonts w:ascii="Abadi" w:hAnsi="Abadi" w:cs="Amasis MT Pro Light"/>
          <w:sz w:val="21"/>
          <w:szCs w:val="21"/>
        </w:rPr>
        <w:t xml:space="preserve"> </w:t>
      </w:r>
      <w:r w:rsidRPr="00AA1CF8">
        <w:rPr>
          <w:rFonts w:ascii="Abadi" w:hAnsi="Abadi" w:cs="Amasis MT Pro Light"/>
          <w:sz w:val="21"/>
          <w:szCs w:val="21"/>
        </w:rPr>
        <w:t>Esmeralda, La Sandía, Los Ramírez y Barretos, con lo cual adquiere especial</w:t>
      </w:r>
      <w:r>
        <w:rPr>
          <w:rFonts w:ascii="Abadi" w:hAnsi="Abadi" w:cs="Amasis MT Pro Light"/>
          <w:sz w:val="21"/>
          <w:szCs w:val="21"/>
        </w:rPr>
        <w:t xml:space="preserve"> </w:t>
      </w:r>
      <w:r w:rsidRPr="00AA1CF8">
        <w:rPr>
          <w:rFonts w:ascii="Abadi" w:hAnsi="Abadi" w:cs="Amasis MT Pro Light"/>
          <w:sz w:val="21"/>
          <w:szCs w:val="21"/>
        </w:rPr>
        <w:t>importancia el punto 5 del documento remitido por el Centro de Desarrollo Indígena</w:t>
      </w:r>
      <w:r>
        <w:rPr>
          <w:rFonts w:ascii="Abadi" w:hAnsi="Abadi" w:cs="Amasis MT Pro Light"/>
          <w:sz w:val="21"/>
          <w:szCs w:val="21"/>
        </w:rPr>
        <w:t xml:space="preserve"> </w:t>
      </w:r>
      <w:r w:rsidRPr="00AA1CF8">
        <w:rPr>
          <w:rFonts w:ascii="Abadi" w:hAnsi="Abadi" w:cs="Amasis MT Pro Light"/>
          <w:sz w:val="21"/>
          <w:szCs w:val="21"/>
        </w:rPr>
        <w:t>Loyola: la desaparición del programa municipal de León que brindaba atención</w:t>
      </w:r>
      <w:r>
        <w:rPr>
          <w:rFonts w:ascii="Abadi" w:hAnsi="Abadi" w:cs="Amasis MT Pro Light"/>
          <w:sz w:val="21"/>
          <w:szCs w:val="21"/>
        </w:rPr>
        <w:t xml:space="preserve"> </w:t>
      </w:r>
      <w:r w:rsidRPr="00AA1CF8">
        <w:rPr>
          <w:rFonts w:ascii="Abadi" w:hAnsi="Abadi" w:cs="Amasis MT Pro Light"/>
          <w:sz w:val="21"/>
          <w:szCs w:val="21"/>
        </w:rPr>
        <w:t>médica a mujeres jornaleras embarazadas añadió una dificultad adicional a la</w:t>
      </w:r>
      <w:r>
        <w:rPr>
          <w:rFonts w:ascii="Abadi" w:hAnsi="Abadi" w:cs="Amasis MT Pro Light"/>
          <w:sz w:val="21"/>
          <w:szCs w:val="21"/>
        </w:rPr>
        <w:t xml:space="preserve"> </w:t>
      </w:r>
      <w:r w:rsidRPr="00AA1CF8">
        <w:rPr>
          <w:rFonts w:ascii="Abadi" w:hAnsi="Abadi" w:cs="Amasis MT Pro Light"/>
          <w:sz w:val="21"/>
          <w:szCs w:val="21"/>
        </w:rPr>
        <w:t>garantía del derecho a la salud de las mujeres jornaleras embarazadas.</w:t>
      </w:r>
    </w:p>
    <w:p w14:paraId="057615BF" w14:textId="77777777" w:rsidR="00EE65CE" w:rsidRDefault="00EE65CE" w:rsidP="00EE65CE">
      <w:pPr>
        <w:autoSpaceDE w:val="0"/>
        <w:autoSpaceDN w:val="0"/>
        <w:adjustRightInd w:val="0"/>
        <w:jc w:val="both"/>
        <w:rPr>
          <w:rFonts w:ascii="Abadi" w:hAnsi="Abadi" w:cs="Amasis MT Pro Light"/>
          <w:sz w:val="21"/>
          <w:szCs w:val="21"/>
        </w:rPr>
      </w:pPr>
    </w:p>
    <w:p w14:paraId="1E2D0493" w14:textId="447C4E6D" w:rsidR="00EE65CE" w:rsidRPr="00AA1CF8" w:rsidRDefault="00EE65CE" w:rsidP="00EE65CE">
      <w:pPr>
        <w:autoSpaceDE w:val="0"/>
        <w:autoSpaceDN w:val="0"/>
        <w:adjustRightInd w:val="0"/>
        <w:jc w:val="both"/>
        <w:rPr>
          <w:rFonts w:ascii="Abadi" w:hAnsi="Abadi" w:cs="Amasis MT Pro Light"/>
          <w:sz w:val="21"/>
          <w:szCs w:val="21"/>
        </w:rPr>
      </w:pPr>
      <w:r w:rsidRPr="00AA1CF8">
        <w:rPr>
          <w:rFonts w:ascii="Abadi" w:hAnsi="Abadi" w:cs="Amasis MT Pro Light"/>
          <w:sz w:val="21"/>
          <w:szCs w:val="21"/>
        </w:rPr>
        <w:t>Lo anterior es incomprensible cuando, al 30 de junio del presente año, los</w:t>
      </w:r>
      <w:r>
        <w:rPr>
          <w:rFonts w:ascii="Abadi" w:hAnsi="Abadi" w:cs="Amasis MT Pro Light"/>
          <w:sz w:val="21"/>
          <w:szCs w:val="21"/>
        </w:rPr>
        <w:t xml:space="preserve"> </w:t>
      </w:r>
      <w:r w:rsidRPr="00AA1CF8">
        <w:rPr>
          <w:rFonts w:ascii="Abadi" w:hAnsi="Abadi" w:cs="Amasis MT Pro Light"/>
          <w:sz w:val="21"/>
          <w:szCs w:val="21"/>
        </w:rPr>
        <w:t>presupuestos de comunicación social y publicidad han incrementado 2 millones de</w:t>
      </w:r>
      <w:r>
        <w:rPr>
          <w:rFonts w:ascii="Abadi" w:hAnsi="Abadi" w:cs="Amasis MT Pro Light"/>
          <w:sz w:val="21"/>
          <w:szCs w:val="21"/>
        </w:rPr>
        <w:t xml:space="preserve"> </w:t>
      </w:r>
      <w:r w:rsidRPr="00AA1CF8">
        <w:rPr>
          <w:rFonts w:ascii="Abadi" w:hAnsi="Abadi" w:cs="Amasis MT Pro Light"/>
          <w:sz w:val="21"/>
          <w:szCs w:val="21"/>
        </w:rPr>
        <w:t>pesos adicionales a los 89.2 millones aprobados en el presupuesto de egresos de</w:t>
      </w:r>
      <w:r>
        <w:rPr>
          <w:rFonts w:ascii="Abadi" w:hAnsi="Abadi" w:cs="Amasis MT Pro Light"/>
          <w:sz w:val="21"/>
          <w:szCs w:val="21"/>
        </w:rPr>
        <w:t xml:space="preserve"> </w:t>
      </w:r>
      <w:r w:rsidRPr="00AA1CF8">
        <w:rPr>
          <w:rFonts w:ascii="Abadi" w:hAnsi="Abadi" w:cs="Amasis MT Pro Light"/>
          <w:sz w:val="21"/>
          <w:szCs w:val="21"/>
        </w:rPr>
        <w:t>2022; así como cuando los gastos de servicios oficiales han incrementado 24.4</w:t>
      </w:r>
      <w:r>
        <w:rPr>
          <w:rFonts w:ascii="Abadi" w:hAnsi="Abadi" w:cs="Amasis MT Pro Light"/>
          <w:sz w:val="21"/>
          <w:szCs w:val="21"/>
        </w:rPr>
        <w:t xml:space="preserve"> </w:t>
      </w:r>
      <w:r w:rsidRPr="00AA1CF8">
        <w:rPr>
          <w:rFonts w:ascii="Abadi" w:hAnsi="Abadi" w:cs="Amasis MT Pro Light"/>
          <w:sz w:val="21"/>
          <w:szCs w:val="21"/>
        </w:rPr>
        <w:t>millones de pesos adicionales a los 37.5 millones aprobados en el mismo presupuesto</w:t>
      </w:r>
      <w:r>
        <w:rPr>
          <w:rFonts w:ascii="Abadi" w:hAnsi="Abadi" w:cs="Amasis MT Pro Light"/>
          <w:sz w:val="21"/>
          <w:szCs w:val="21"/>
        </w:rPr>
        <w:t xml:space="preserve"> </w:t>
      </w:r>
      <w:r w:rsidRPr="00AA1CF8">
        <w:rPr>
          <w:rFonts w:ascii="Abadi" w:hAnsi="Abadi" w:cs="Amasis MT Pro Light"/>
          <w:sz w:val="21"/>
          <w:szCs w:val="21"/>
        </w:rPr>
        <w:t>de egresos</w:t>
      </w:r>
      <w:r w:rsidR="00B03C1A">
        <w:rPr>
          <w:rStyle w:val="Refdenotaalpie"/>
          <w:rFonts w:ascii="Abadi" w:hAnsi="Abadi" w:cs="Amasis MT Pro Light"/>
          <w:sz w:val="21"/>
          <w:szCs w:val="21"/>
        </w:rPr>
        <w:footnoteReference w:id="67"/>
      </w:r>
      <w:r w:rsidRPr="00AA1CF8">
        <w:rPr>
          <w:rFonts w:ascii="Abadi" w:hAnsi="Abadi" w:cs="Amasis MT Pro Light"/>
          <w:sz w:val="21"/>
          <w:szCs w:val="21"/>
        </w:rPr>
        <w:t>.</w:t>
      </w:r>
    </w:p>
    <w:p w14:paraId="40153A1E" w14:textId="77777777" w:rsidR="00EE65CE" w:rsidRDefault="00EE65CE" w:rsidP="00EE65CE">
      <w:pPr>
        <w:autoSpaceDE w:val="0"/>
        <w:autoSpaceDN w:val="0"/>
        <w:adjustRightInd w:val="0"/>
        <w:jc w:val="both"/>
        <w:rPr>
          <w:rFonts w:ascii="Abadi" w:hAnsi="Abadi" w:cs="Amasis MT Pro Light"/>
          <w:sz w:val="21"/>
          <w:szCs w:val="21"/>
        </w:rPr>
      </w:pPr>
    </w:p>
    <w:p w14:paraId="09636C04" w14:textId="77777777" w:rsidR="00EE65CE" w:rsidRPr="00AA1CF8" w:rsidRDefault="00EE65CE" w:rsidP="00EE65CE">
      <w:pPr>
        <w:autoSpaceDE w:val="0"/>
        <w:autoSpaceDN w:val="0"/>
        <w:adjustRightInd w:val="0"/>
        <w:jc w:val="both"/>
        <w:rPr>
          <w:rFonts w:ascii="Abadi" w:hAnsi="Abadi" w:cs="Amasis MT Pro Light"/>
          <w:sz w:val="21"/>
          <w:szCs w:val="21"/>
        </w:rPr>
      </w:pPr>
      <w:r w:rsidRPr="00AA1CF8">
        <w:rPr>
          <w:rFonts w:ascii="Abadi" w:hAnsi="Abadi" w:cs="Amasis MT Pro Light"/>
          <w:sz w:val="21"/>
          <w:szCs w:val="21"/>
        </w:rPr>
        <w:t>De esta manera, desde el Grupo Parlamentario de morena proponemos exhortar a</w:t>
      </w:r>
      <w:r>
        <w:rPr>
          <w:rFonts w:ascii="Abadi" w:hAnsi="Abadi" w:cs="Amasis MT Pro Light"/>
          <w:sz w:val="21"/>
          <w:szCs w:val="21"/>
        </w:rPr>
        <w:t xml:space="preserve"> </w:t>
      </w:r>
      <w:r w:rsidRPr="00AA1CF8">
        <w:rPr>
          <w:rFonts w:ascii="Abadi" w:hAnsi="Abadi" w:cs="Amasis MT Pro Light"/>
          <w:sz w:val="21"/>
          <w:szCs w:val="21"/>
        </w:rPr>
        <w:t>la presidenta municipal de León para que informe a este Congreso acerca de los</w:t>
      </w:r>
      <w:r>
        <w:rPr>
          <w:rFonts w:ascii="Abadi" w:hAnsi="Abadi" w:cs="Amasis MT Pro Light"/>
          <w:sz w:val="21"/>
          <w:szCs w:val="21"/>
        </w:rPr>
        <w:t xml:space="preserve"> </w:t>
      </w:r>
      <w:r w:rsidRPr="00AA1CF8">
        <w:rPr>
          <w:rFonts w:ascii="Abadi" w:hAnsi="Abadi" w:cs="Amasis MT Pro Light"/>
          <w:sz w:val="21"/>
          <w:szCs w:val="21"/>
        </w:rPr>
        <w:t>programas y proyectos que se implementaron durante este 2022 para la atención de</w:t>
      </w:r>
      <w:r>
        <w:rPr>
          <w:rFonts w:ascii="Abadi" w:hAnsi="Abadi" w:cs="Amasis MT Pro Light"/>
          <w:sz w:val="21"/>
          <w:szCs w:val="21"/>
        </w:rPr>
        <w:t xml:space="preserve"> </w:t>
      </w:r>
      <w:r w:rsidRPr="00AA1CF8">
        <w:rPr>
          <w:rFonts w:ascii="Abadi" w:hAnsi="Abadi" w:cs="Amasis MT Pro Light"/>
          <w:sz w:val="21"/>
          <w:szCs w:val="21"/>
        </w:rPr>
        <w:t>las personas jornaleras agrícolas migrantes; así como al Gobernador del Estado para</w:t>
      </w:r>
      <w:r>
        <w:rPr>
          <w:rFonts w:ascii="Abadi" w:hAnsi="Abadi" w:cs="Amasis MT Pro Light"/>
          <w:sz w:val="21"/>
          <w:szCs w:val="21"/>
        </w:rPr>
        <w:t xml:space="preserve"> </w:t>
      </w:r>
      <w:r w:rsidRPr="00AA1CF8">
        <w:rPr>
          <w:rFonts w:ascii="Abadi" w:hAnsi="Abadi" w:cs="Amasis MT Pro Light"/>
          <w:sz w:val="21"/>
          <w:szCs w:val="21"/>
        </w:rPr>
        <w:t>que incorpore estas recomendaciones del Centro de Desarrollo Indígena Loyola en</w:t>
      </w:r>
      <w:r>
        <w:rPr>
          <w:rFonts w:ascii="Abadi" w:hAnsi="Abadi" w:cs="Amasis MT Pro Light"/>
          <w:sz w:val="21"/>
          <w:szCs w:val="21"/>
        </w:rPr>
        <w:t xml:space="preserve"> </w:t>
      </w:r>
      <w:r w:rsidRPr="00AA1CF8">
        <w:rPr>
          <w:rFonts w:ascii="Abadi" w:hAnsi="Abadi" w:cs="Amasis MT Pro Light"/>
          <w:sz w:val="21"/>
          <w:szCs w:val="21"/>
        </w:rPr>
        <w:t>la política pública en la materia.</w:t>
      </w:r>
    </w:p>
    <w:p w14:paraId="46338422" w14:textId="77777777" w:rsidR="00EE65CE" w:rsidRDefault="00EE65CE" w:rsidP="00EE65CE">
      <w:pPr>
        <w:autoSpaceDE w:val="0"/>
        <w:autoSpaceDN w:val="0"/>
        <w:adjustRightInd w:val="0"/>
        <w:jc w:val="both"/>
        <w:rPr>
          <w:rFonts w:ascii="Abadi" w:hAnsi="Abadi" w:cs="Amasis MT Pro Light"/>
          <w:sz w:val="21"/>
          <w:szCs w:val="21"/>
        </w:rPr>
      </w:pPr>
    </w:p>
    <w:p w14:paraId="4160EC69" w14:textId="77777777" w:rsidR="00EE65CE" w:rsidRPr="00AA1CF8" w:rsidRDefault="00EE65CE" w:rsidP="00EE65CE">
      <w:pPr>
        <w:autoSpaceDE w:val="0"/>
        <w:autoSpaceDN w:val="0"/>
        <w:adjustRightInd w:val="0"/>
        <w:jc w:val="both"/>
        <w:rPr>
          <w:rFonts w:ascii="Abadi" w:hAnsi="Abadi" w:cs="Amasis MT Pro Light"/>
          <w:sz w:val="21"/>
          <w:szCs w:val="21"/>
        </w:rPr>
      </w:pPr>
      <w:r w:rsidRPr="00AA1CF8">
        <w:rPr>
          <w:rFonts w:ascii="Abadi" w:hAnsi="Abadi" w:cs="Amasis MT Pro Light"/>
          <w:sz w:val="21"/>
          <w:szCs w:val="21"/>
        </w:rPr>
        <w:t>Por todo lo anteriormente expuesto, proponemos a esta Asamblea el siguiente punto</w:t>
      </w:r>
      <w:r>
        <w:rPr>
          <w:rFonts w:ascii="Abadi" w:hAnsi="Abadi" w:cs="Amasis MT Pro Light"/>
          <w:sz w:val="21"/>
          <w:szCs w:val="21"/>
        </w:rPr>
        <w:t xml:space="preserve"> </w:t>
      </w:r>
      <w:r w:rsidRPr="00AA1CF8">
        <w:rPr>
          <w:rFonts w:ascii="Abadi" w:hAnsi="Abadi" w:cs="Amasis MT Pro Light"/>
          <w:sz w:val="21"/>
          <w:szCs w:val="21"/>
        </w:rPr>
        <w:t>de</w:t>
      </w:r>
    </w:p>
    <w:p w14:paraId="3E5A4CBD" w14:textId="77777777" w:rsidR="00EE65CE" w:rsidRDefault="00EE65CE" w:rsidP="00EE65CE">
      <w:pPr>
        <w:autoSpaceDE w:val="0"/>
        <w:autoSpaceDN w:val="0"/>
        <w:adjustRightInd w:val="0"/>
        <w:jc w:val="both"/>
        <w:rPr>
          <w:rFonts w:ascii="Abadi" w:hAnsi="Abadi" w:cs="Amasis MT Pro Light"/>
          <w:sz w:val="21"/>
          <w:szCs w:val="21"/>
        </w:rPr>
      </w:pPr>
    </w:p>
    <w:p w14:paraId="293ECB46" w14:textId="77777777" w:rsidR="00EE65CE" w:rsidRPr="00F10FFA" w:rsidRDefault="00EE65CE" w:rsidP="00EE65CE">
      <w:pPr>
        <w:autoSpaceDE w:val="0"/>
        <w:autoSpaceDN w:val="0"/>
        <w:adjustRightInd w:val="0"/>
        <w:jc w:val="center"/>
        <w:rPr>
          <w:rFonts w:ascii="Abadi" w:hAnsi="Abadi" w:cs="Amasis MT Pro Light"/>
          <w:b/>
          <w:bCs/>
          <w:sz w:val="21"/>
          <w:szCs w:val="21"/>
        </w:rPr>
      </w:pPr>
      <w:r w:rsidRPr="00F10FFA">
        <w:rPr>
          <w:rFonts w:ascii="Abadi" w:hAnsi="Abadi" w:cs="Amasis MT Pro Light"/>
          <w:b/>
          <w:bCs/>
          <w:sz w:val="21"/>
          <w:szCs w:val="21"/>
        </w:rPr>
        <w:t>A C U E R D O</w:t>
      </w:r>
    </w:p>
    <w:p w14:paraId="69090362" w14:textId="77777777" w:rsidR="00EE65CE" w:rsidRDefault="00EE65CE" w:rsidP="00EE65CE">
      <w:pPr>
        <w:autoSpaceDE w:val="0"/>
        <w:autoSpaceDN w:val="0"/>
        <w:adjustRightInd w:val="0"/>
        <w:jc w:val="both"/>
        <w:rPr>
          <w:rFonts w:ascii="Abadi" w:hAnsi="Abadi" w:cs="Amasis MT Pro Light"/>
          <w:sz w:val="21"/>
          <w:szCs w:val="21"/>
        </w:rPr>
      </w:pPr>
    </w:p>
    <w:p w14:paraId="19D3C755" w14:textId="77777777" w:rsidR="00EE65CE" w:rsidRPr="00AA1CF8" w:rsidRDefault="00EE65CE" w:rsidP="00EE65CE">
      <w:pPr>
        <w:autoSpaceDE w:val="0"/>
        <w:autoSpaceDN w:val="0"/>
        <w:adjustRightInd w:val="0"/>
        <w:jc w:val="both"/>
        <w:rPr>
          <w:rFonts w:ascii="Abadi" w:hAnsi="Abadi" w:cs="Amasis MT Pro Light"/>
          <w:sz w:val="21"/>
          <w:szCs w:val="21"/>
        </w:rPr>
      </w:pPr>
      <w:r w:rsidRPr="00F10FFA">
        <w:rPr>
          <w:rFonts w:ascii="Abadi" w:hAnsi="Abadi" w:cs="Amasis MT Pro Light"/>
          <w:b/>
          <w:bCs/>
          <w:sz w:val="21"/>
          <w:szCs w:val="21"/>
        </w:rPr>
        <w:t>Primero</w:t>
      </w:r>
      <w:r w:rsidRPr="00AA1CF8">
        <w:rPr>
          <w:rFonts w:ascii="Abadi" w:hAnsi="Abadi" w:cs="Amasis MT Pro Light"/>
          <w:sz w:val="21"/>
          <w:szCs w:val="21"/>
        </w:rPr>
        <w:t>. Esta LXV Legislatura acuerda girar atento exhorto a la presidenta municipal</w:t>
      </w:r>
      <w:r>
        <w:rPr>
          <w:rFonts w:ascii="Abadi" w:hAnsi="Abadi" w:cs="Amasis MT Pro Light"/>
          <w:sz w:val="21"/>
          <w:szCs w:val="21"/>
        </w:rPr>
        <w:t xml:space="preserve"> </w:t>
      </w:r>
      <w:r w:rsidRPr="00AA1CF8">
        <w:rPr>
          <w:rFonts w:ascii="Abadi" w:hAnsi="Abadi" w:cs="Amasis MT Pro Light"/>
          <w:sz w:val="21"/>
          <w:szCs w:val="21"/>
        </w:rPr>
        <w:t>de León, Alejandra Gutiérrez Campos, para que informe a este Congreso acerca de</w:t>
      </w:r>
      <w:r>
        <w:rPr>
          <w:rFonts w:ascii="Abadi" w:hAnsi="Abadi" w:cs="Amasis MT Pro Light"/>
          <w:sz w:val="21"/>
          <w:szCs w:val="21"/>
        </w:rPr>
        <w:t xml:space="preserve"> </w:t>
      </w:r>
      <w:r w:rsidRPr="00AA1CF8">
        <w:rPr>
          <w:rFonts w:ascii="Abadi" w:hAnsi="Abadi" w:cs="Amasis MT Pro Light"/>
          <w:sz w:val="21"/>
          <w:szCs w:val="21"/>
        </w:rPr>
        <w:t>las acciones y programas que se implementaron durante el 2022 para la atención de</w:t>
      </w:r>
      <w:r>
        <w:rPr>
          <w:rFonts w:ascii="Abadi" w:hAnsi="Abadi" w:cs="Amasis MT Pro Light"/>
          <w:sz w:val="21"/>
          <w:szCs w:val="21"/>
        </w:rPr>
        <w:t xml:space="preserve"> </w:t>
      </w:r>
      <w:r w:rsidRPr="00AA1CF8">
        <w:rPr>
          <w:rFonts w:ascii="Abadi" w:hAnsi="Abadi" w:cs="Amasis MT Pro Light"/>
          <w:sz w:val="21"/>
          <w:szCs w:val="21"/>
        </w:rPr>
        <w:t>las personas jornaleras agrícolas indígenas migrantes de León.</w:t>
      </w:r>
    </w:p>
    <w:p w14:paraId="6C92BD9A" w14:textId="77777777" w:rsidR="00EE65CE" w:rsidRDefault="00EE65CE" w:rsidP="00EE65CE">
      <w:pPr>
        <w:autoSpaceDE w:val="0"/>
        <w:autoSpaceDN w:val="0"/>
        <w:adjustRightInd w:val="0"/>
        <w:jc w:val="both"/>
        <w:rPr>
          <w:rFonts w:ascii="Abadi" w:hAnsi="Abadi" w:cs="Amasis MT Pro Light"/>
          <w:sz w:val="21"/>
          <w:szCs w:val="21"/>
        </w:rPr>
      </w:pPr>
    </w:p>
    <w:p w14:paraId="54809FDA" w14:textId="77777777" w:rsidR="00EE65CE" w:rsidRPr="00AA1CF8" w:rsidRDefault="00EE65CE" w:rsidP="00EE65CE">
      <w:pPr>
        <w:autoSpaceDE w:val="0"/>
        <w:autoSpaceDN w:val="0"/>
        <w:adjustRightInd w:val="0"/>
        <w:jc w:val="both"/>
        <w:rPr>
          <w:rFonts w:ascii="Abadi" w:hAnsi="Abadi" w:cs="Amasis MT Pro Light"/>
          <w:sz w:val="21"/>
          <w:szCs w:val="21"/>
        </w:rPr>
      </w:pPr>
      <w:r w:rsidRPr="00F10FFA">
        <w:rPr>
          <w:rFonts w:ascii="Abadi" w:hAnsi="Abadi" w:cs="Amasis MT Pro Light"/>
          <w:b/>
          <w:bCs/>
          <w:sz w:val="21"/>
          <w:szCs w:val="21"/>
        </w:rPr>
        <w:t>Segundo</w:t>
      </w:r>
      <w:r w:rsidRPr="00AA1CF8">
        <w:rPr>
          <w:rFonts w:ascii="Abadi" w:hAnsi="Abadi" w:cs="Amasis MT Pro Light"/>
          <w:sz w:val="21"/>
          <w:szCs w:val="21"/>
        </w:rPr>
        <w:t>. Esta LXV Legislatura acuerda girar un atento exhorto al Gobernador del</w:t>
      </w:r>
      <w:r>
        <w:rPr>
          <w:rFonts w:ascii="Abadi" w:hAnsi="Abadi" w:cs="Amasis MT Pro Light"/>
          <w:sz w:val="21"/>
          <w:szCs w:val="21"/>
        </w:rPr>
        <w:t xml:space="preserve"> </w:t>
      </w:r>
      <w:r w:rsidRPr="00AA1CF8">
        <w:rPr>
          <w:rFonts w:ascii="Abadi" w:hAnsi="Abadi" w:cs="Amasis MT Pro Light"/>
          <w:sz w:val="21"/>
          <w:szCs w:val="21"/>
        </w:rPr>
        <w:t>Estado de Guanajuato, Diego Sinhué Rodríguez Vallejo, para que, en el ámbito de</w:t>
      </w:r>
      <w:r>
        <w:rPr>
          <w:rFonts w:ascii="Abadi" w:hAnsi="Abadi" w:cs="Amasis MT Pro Light"/>
          <w:sz w:val="21"/>
          <w:szCs w:val="21"/>
        </w:rPr>
        <w:t xml:space="preserve"> </w:t>
      </w:r>
      <w:r w:rsidRPr="00AA1CF8">
        <w:rPr>
          <w:rFonts w:ascii="Abadi" w:hAnsi="Abadi" w:cs="Amasis MT Pro Light"/>
          <w:sz w:val="21"/>
          <w:szCs w:val="21"/>
        </w:rPr>
        <w:t>sus atribuciones, incorpore las recomendaciones del Centro de Desarrollo Indígena</w:t>
      </w:r>
      <w:r>
        <w:rPr>
          <w:rFonts w:ascii="Abadi" w:hAnsi="Abadi" w:cs="Amasis MT Pro Light"/>
          <w:sz w:val="21"/>
          <w:szCs w:val="21"/>
        </w:rPr>
        <w:t xml:space="preserve"> </w:t>
      </w:r>
      <w:r w:rsidRPr="00AA1CF8">
        <w:rPr>
          <w:rFonts w:ascii="Abadi" w:hAnsi="Abadi" w:cs="Amasis MT Pro Light"/>
          <w:sz w:val="21"/>
          <w:szCs w:val="21"/>
        </w:rPr>
        <w:t>Loyola en el diseño, implementación y evaluación de la política pública de atención</w:t>
      </w:r>
      <w:r>
        <w:rPr>
          <w:rFonts w:ascii="Abadi" w:hAnsi="Abadi" w:cs="Amasis MT Pro Light"/>
          <w:sz w:val="21"/>
          <w:szCs w:val="21"/>
        </w:rPr>
        <w:t xml:space="preserve"> </w:t>
      </w:r>
      <w:r w:rsidRPr="00AA1CF8">
        <w:rPr>
          <w:rFonts w:ascii="Abadi" w:hAnsi="Abadi" w:cs="Amasis MT Pro Light"/>
          <w:sz w:val="21"/>
          <w:szCs w:val="21"/>
        </w:rPr>
        <w:t>a personas jornaleras agrícolas migrantes.</w:t>
      </w:r>
    </w:p>
    <w:p w14:paraId="2A5C6276" w14:textId="77777777" w:rsidR="00EE65CE" w:rsidRPr="00AA1CF8" w:rsidRDefault="00EE65CE" w:rsidP="00EE65CE">
      <w:pPr>
        <w:autoSpaceDE w:val="0"/>
        <w:autoSpaceDN w:val="0"/>
        <w:adjustRightInd w:val="0"/>
        <w:jc w:val="both"/>
        <w:rPr>
          <w:rFonts w:ascii="Abadi" w:hAnsi="Abadi" w:cs="Calibri-Bold"/>
          <w:b/>
          <w:bCs/>
          <w:sz w:val="21"/>
          <w:szCs w:val="21"/>
        </w:rPr>
      </w:pPr>
    </w:p>
    <w:p w14:paraId="353A1E10" w14:textId="77777777" w:rsidR="00EE65CE" w:rsidRPr="00AA1CF8" w:rsidRDefault="00EE65CE" w:rsidP="00EE65CE">
      <w:pPr>
        <w:autoSpaceDE w:val="0"/>
        <w:autoSpaceDN w:val="0"/>
        <w:adjustRightInd w:val="0"/>
        <w:jc w:val="both"/>
        <w:rPr>
          <w:rFonts w:ascii="Abadi" w:hAnsi="Abadi" w:cs="Amasis MT Pro Light"/>
          <w:sz w:val="21"/>
          <w:szCs w:val="21"/>
        </w:rPr>
      </w:pPr>
    </w:p>
    <w:p w14:paraId="11A01372" w14:textId="77777777" w:rsidR="00EE65CE" w:rsidRPr="00BD3B9F" w:rsidRDefault="00EE65CE" w:rsidP="00EE65CE">
      <w:pPr>
        <w:autoSpaceDE w:val="0"/>
        <w:autoSpaceDN w:val="0"/>
        <w:adjustRightInd w:val="0"/>
        <w:jc w:val="center"/>
        <w:rPr>
          <w:rFonts w:ascii="Abadi" w:hAnsi="Abadi" w:cs="Amasis MT Pro Light"/>
          <w:b/>
          <w:bCs/>
          <w:sz w:val="21"/>
          <w:szCs w:val="21"/>
        </w:rPr>
      </w:pPr>
      <w:r w:rsidRPr="00BD3B9F">
        <w:rPr>
          <w:rFonts w:ascii="Abadi" w:hAnsi="Abadi" w:cs="Amasis MT Pro Light"/>
          <w:b/>
          <w:bCs/>
          <w:sz w:val="21"/>
          <w:szCs w:val="21"/>
        </w:rPr>
        <w:t>Diputado David Martínez Mendizábal</w:t>
      </w:r>
    </w:p>
    <w:p w14:paraId="4516C8C4" w14:textId="77777777" w:rsidR="00EE65CE" w:rsidRPr="00AA1CF8" w:rsidRDefault="00EE65CE" w:rsidP="00EE65CE">
      <w:pPr>
        <w:autoSpaceDE w:val="0"/>
        <w:autoSpaceDN w:val="0"/>
        <w:adjustRightInd w:val="0"/>
        <w:jc w:val="center"/>
        <w:rPr>
          <w:rFonts w:ascii="Abadi" w:hAnsi="Abadi" w:cs="Amasis MT Pro Light"/>
          <w:sz w:val="21"/>
          <w:szCs w:val="21"/>
        </w:rPr>
      </w:pPr>
      <w:r w:rsidRPr="00AA1CF8">
        <w:rPr>
          <w:rFonts w:ascii="Abadi" w:hAnsi="Abadi" w:cs="Amasis MT Pro Light"/>
          <w:sz w:val="21"/>
          <w:szCs w:val="21"/>
        </w:rPr>
        <w:t>Grupo Parlamentario de Morena</w:t>
      </w:r>
    </w:p>
    <w:p w14:paraId="1620E491" w14:textId="77777777" w:rsidR="00EE65CE" w:rsidRPr="00AA1CF8" w:rsidRDefault="00EE65CE" w:rsidP="00EE65CE">
      <w:pPr>
        <w:autoSpaceDE w:val="0"/>
        <w:autoSpaceDN w:val="0"/>
        <w:adjustRightInd w:val="0"/>
        <w:jc w:val="both"/>
        <w:rPr>
          <w:rFonts w:ascii="Abadi" w:hAnsi="Abadi" w:cs="Amasis MT Pro Light"/>
          <w:sz w:val="21"/>
          <w:szCs w:val="21"/>
        </w:rPr>
      </w:pPr>
    </w:p>
    <w:p w14:paraId="06ED4E98" w14:textId="77777777" w:rsidR="00EE65CE" w:rsidRPr="00BD3B9F" w:rsidRDefault="00EE65CE" w:rsidP="00EE65CE">
      <w:pPr>
        <w:autoSpaceDE w:val="0"/>
        <w:autoSpaceDN w:val="0"/>
        <w:adjustRightInd w:val="0"/>
        <w:jc w:val="center"/>
        <w:rPr>
          <w:rFonts w:ascii="Abadi" w:hAnsi="Abadi" w:cs="Amasis MT Pro Light"/>
          <w:b/>
          <w:bCs/>
          <w:sz w:val="21"/>
          <w:szCs w:val="21"/>
        </w:rPr>
      </w:pPr>
      <w:r w:rsidRPr="00BD3B9F">
        <w:rPr>
          <w:rFonts w:ascii="Abadi" w:hAnsi="Abadi" w:cs="Amasis MT Pro Light"/>
          <w:b/>
          <w:bCs/>
          <w:sz w:val="21"/>
          <w:szCs w:val="21"/>
        </w:rPr>
        <w:t>Diputada Hades Berenice Aguilar Castillo</w:t>
      </w:r>
    </w:p>
    <w:p w14:paraId="58ECCE5F" w14:textId="77777777" w:rsidR="00EE65CE" w:rsidRPr="00AA1CF8" w:rsidRDefault="00EE65CE" w:rsidP="00EE65CE">
      <w:pPr>
        <w:autoSpaceDE w:val="0"/>
        <w:autoSpaceDN w:val="0"/>
        <w:adjustRightInd w:val="0"/>
        <w:jc w:val="center"/>
        <w:rPr>
          <w:rFonts w:ascii="Abadi" w:hAnsi="Abadi" w:cs="Amasis MT Pro Light"/>
          <w:sz w:val="21"/>
          <w:szCs w:val="21"/>
        </w:rPr>
      </w:pPr>
      <w:r w:rsidRPr="00AA1CF8">
        <w:rPr>
          <w:rFonts w:ascii="Abadi" w:hAnsi="Abadi" w:cs="Amasis MT Pro Light"/>
          <w:sz w:val="21"/>
          <w:szCs w:val="21"/>
        </w:rPr>
        <w:t>Grupo Parlamentario de Morena</w:t>
      </w:r>
    </w:p>
    <w:p w14:paraId="0FB5F259" w14:textId="77777777" w:rsidR="00EE65CE" w:rsidRDefault="00EE65CE" w:rsidP="00EE65CE">
      <w:pPr>
        <w:jc w:val="both"/>
        <w:rPr>
          <w:rFonts w:ascii="Abadi" w:hAnsi="Abadi" w:cs="Amasis MT Pro Light"/>
          <w:sz w:val="21"/>
          <w:szCs w:val="21"/>
        </w:rPr>
      </w:pPr>
    </w:p>
    <w:p w14:paraId="521F0005" w14:textId="37D89362" w:rsidR="00EE65CE" w:rsidRDefault="00EE65CE" w:rsidP="00EE65CE">
      <w:pPr>
        <w:jc w:val="right"/>
        <w:rPr>
          <w:rFonts w:ascii="Abadi" w:hAnsi="Abadi" w:cs="Amasis MT Pro Light"/>
          <w:sz w:val="21"/>
          <w:szCs w:val="21"/>
        </w:rPr>
      </w:pPr>
      <w:r w:rsidRPr="00AA1CF8">
        <w:rPr>
          <w:rFonts w:ascii="Abadi" w:hAnsi="Abadi" w:cs="Amasis MT Pro Light"/>
          <w:sz w:val="21"/>
          <w:szCs w:val="21"/>
        </w:rPr>
        <w:t>Guanajuato, Gto., a 10 de octubre de 2022.</w:t>
      </w:r>
    </w:p>
    <w:p w14:paraId="0A9AF790" w14:textId="7618046F" w:rsidR="00E020DE" w:rsidRDefault="00E020DE" w:rsidP="00EE65CE">
      <w:pPr>
        <w:jc w:val="right"/>
        <w:rPr>
          <w:rFonts w:ascii="Abadi" w:hAnsi="Abadi" w:cs="Amasis MT Pro Light"/>
          <w:sz w:val="21"/>
          <w:szCs w:val="21"/>
        </w:rPr>
      </w:pPr>
    </w:p>
    <w:p w14:paraId="7974C161" w14:textId="41420585" w:rsidR="009B0B53" w:rsidRPr="00AA7107" w:rsidRDefault="009B0B53" w:rsidP="009B0B53">
      <w:pPr>
        <w:jc w:val="both"/>
        <w:rPr>
          <w:rFonts w:ascii="Abadi" w:hAnsi="Abadi"/>
          <w:sz w:val="21"/>
          <w:szCs w:val="21"/>
        </w:rPr>
      </w:pPr>
      <w:r>
        <w:rPr>
          <w:rFonts w:ascii="Abadi" w:hAnsi="Abadi"/>
          <w:b/>
          <w:bCs/>
          <w:sz w:val="21"/>
          <w:szCs w:val="21"/>
        </w:rPr>
        <w:tab/>
      </w:r>
      <w:r w:rsidRPr="00AA7107">
        <w:rPr>
          <w:rFonts w:ascii="Abadi" w:hAnsi="Abadi"/>
          <w:b/>
          <w:bCs/>
          <w:sz w:val="21"/>
          <w:szCs w:val="21"/>
        </w:rPr>
        <w:t>- El Presidente.-</w:t>
      </w:r>
      <w:r w:rsidRPr="00AA7107">
        <w:rPr>
          <w:rFonts w:ascii="Abadi" w:hAnsi="Abadi"/>
          <w:sz w:val="21"/>
          <w:szCs w:val="21"/>
        </w:rPr>
        <w:t xml:space="preserve"> Se solicita a la diputada Hades Berenice Aguilar Castillo de lectura a su punto de acuerdo relativa al punto 11 del orden del día. (ELD 194/LXV-PPA)</w:t>
      </w:r>
    </w:p>
    <w:p w14:paraId="0F2B9642" w14:textId="77777777" w:rsidR="009B0B53" w:rsidRPr="00AA7107" w:rsidRDefault="009B0B53" w:rsidP="009B0B53">
      <w:pPr>
        <w:jc w:val="both"/>
        <w:rPr>
          <w:rFonts w:ascii="Abadi" w:hAnsi="Abadi"/>
          <w:sz w:val="21"/>
          <w:szCs w:val="21"/>
        </w:rPr>
      </w:pPr>
    </w:p>
    <w:p w14:paraId="16302ABC" w14:textId="0A3B24EB" w:rsidR="009B0B53" w:rsidRPr="00AA7107" w:rsidRDefault="009B0B53" w:rsidP="009B0B53">
      <w:pPr>
        <w:jc w:val="both"/>
        <w:rPr>
          <w:rFonts w:ascii="Abadi" w:hAnsi="Abadi"/>
          <w:sz w:val="21"/>
          <w:szCs w:val="21"/>
        </w:rPr>
      </w:pPr>
      <w:r>
        <w:rPr>
          <w:rFonts w:ascii="Abadi" w:hAnsi="Abadi"/>
          <w:sz w:val="21"/>
          <w:szCs w:val="21"/>
        </w:rPr>
        <w:tab/>
      </w:r>
      <w:r w:rsidRPr="00AA7107">
        <w:rPr>
          <w:rFonts w:ascii="Abadi" w:hAnsi="Abadi"/>
          <w:sz w:val="21"/>
          <w:szCs w:val="21"/>
        </w:rPr>
        <w:t>- Adelante diputada Hades.</w:t>
      </w:r>
    </w:p>
    <w:p w14:paraId="50E43015" w14:textId="77777777" w:rsidR="009B0B53" w:rsidRPr="00AA7107" w:rsidRDefault="009B0B53" w:rsidP="009B0B53">
      <w:pPr>
        <w:jc w:val="both"/>
        <w:rPr>
          <w:rFonts w:ascii="Abadi" w:hAnsi="Abadi"/>
          <w:sz w:val="21"/>
          <w:szCs w:val="21"/>
        </w:rPr>
      </w:pPr>
    </w:p>
    <w:p w14:paraId="32E1D622" w14:textId="29B0C1AE" w:rsidR="009B0B53" w:rsidRDefault="009B0B53" w:rsidP="009B0B53">
      <w:pPr>
        <w:jc w:val="both"/>
        <w:rPr>
          <w:rFonts w:ascii="Abadi" w:hAnsi="Abadi"/>
          <w:sz w:val="28"/>
          <w:szCs w:val="28"/>
        </w:rPr>
      </w:pPr>
      <w:r>
        <w:rPr>
          <w:noProof/>
        </w:rPr>
        <w:drawing>
          <wp:anchor distT="0" distB="0" distL="114300" distR="114300" simplePos="0" relativeHeight="251681792" behindDoc="1" locked="0" layoutInCell="1" allowOverlap="1" wp14:anchorId="15A3A056" wp14:editId="1C4FAA77">
            <wp:simplePos x="0" y="0"/>
            <wp:positionH relativeFrom="column">
              <wp:posOffset>534838</wp:posOffset>
            </wp:positionH>
            <wp:positionV relativeFrom="paragraph">
              <wp:posOffset>167293</wp:posOffset>
            </wp:positionV>
            <wp:extent cx="1429603" cy="750936"/>
            <wp:effectExtent l="247650" t="228600" r="247015" b="754380"/>
            <wp:wrapTight wrapText="bothSides">
              <wp:wrapPolygon edited="0">
                <wp:start x="-3742" y="-6579"/>
                <wp:lineTo x="-3742" y="42761"/>
                <wp:lineTo x="25045" y="42761"/>
                <wp:lineTo x="25045" y="30701"/>
                <wp:lineTo x="21303" y="28508"/>
                <wp:lineTo x="21015" y="28508"/>
                <wp:lineTo x="25045" y="26315"/>
                <wp:lineTo x="25045" y="-6579"/>
                <wp:lineTo x="-3742" y="-6579"/>
              </wp:wrapPolygon>
            </wp:wrapTight>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b="6610"/>
                    <a:stretch/>
                  </pic:blipFill>
                  <pic:spPr bwMode="auto">
                    <a:xfrm>
                      <a:off x="0" y="0"/>
                      <a:ext cx="1429603" cy="750936"/>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73865174" w14:textId="15E913FE" w:rsidR="009B0B53" w:rsidRDefault="009B0B53" w:rsidP="009B0B53">
      <w:pPr>
        <w:jc w:val="both"/>
        <w:rPr>
          <w:rFonts w:ascii="Abadi" w:hAnsi="Abadi"/>
          <w:sz w:val="28"/>
          <w:szCs w:val="28"/>
        </w:rPr>
      </w:pPr>
    </w:p>
    <w:p w14:paraId="41156134" w14:textId="77777777" w:rsidR="009B0B53" w:rsidRDefault="009B0B53" w:rsidP="009B0B53">
      <w:pPr>
        <w:jc w:val="both"/>
        <w:rPr>
          <w:rFonts w:ascii="Abadi" w:hAnsi="Abadi"/>
          <w:sz w:val="28"/>
          <w:szCs w:val="28"/>
        </w:rPr>
      </w:pPr>
    </w:p>
    <w:p w14:paraId="441BC376" w14:textId="77777777" w:rsidR="009B0B53" w:rsidRDefault="009B0B53" w:rsidP="009B0B53">
      <w:pPr>
        <w:jc w:val="both"/>
        <w:rPr>
          <w:rFonts w:ascii="Abadi" w:hAnsi="Abadi"/>
          <w:sz w:val="28"/>
          <w:szCs w:val="28"/>
        </w:rPr>
      </w:pPr>
    </w:p>
    <w:p w14:paraId="731B7575" w14:textId="77777777" w:rsidR="009B0B53" w:rsidRDefault="009B0B53" w:rsidP="009B0B53">
      <w:pPr>
        <w:jc w:val="both"/>
        <w:rPr>
          <w:rFonts w:ascii="Abadi" w:hAnsi="Abadi"/>
          <w:sz w:val="28"/>
          <w:szCs w:val="28"/>
        </w:rPr>
      </w:pPr>
    </w:p>
    <w:p w14:paraId="6D84C054" w14:textId="77777777" w:rsidR="009B0B53" w:rsidRDefault="009B0B53" w:rsidP="009B0B53">
      <w:pPr>
        <w:jc w:val="both"/>
        <w:rPr>
          <w:rFonts w:ascii="Abadi" w:hAnsi="Abadi"/>
          <w:sz w:val="28"/>
          <w:szCs w:val="28"/>
        </w:rPr>
      </w:pPr>
    </w:p>
    <w:p w14:paraId="7AE14E8F" w14:textId="77777777" w:rsidR="009B0B53" w:rsidRDefault="009B0B53" w:rsidP="009B0B53">
      <w:pPr>
        <w:jc w:val="both"/>
        <w:rPr>
          <w:rFonts w:ascii="Abadi" w:hAnsi="Abadi"/>
          <w:sz w:val="28"/>
          <w:szCs w:val="28"/>
        </w:rPr>
      </w:pPr>
    </w:p>
    <w:p w14:paraId="14A1924C" w14:textId="77777777" w:rsidR="009B0B53" w:rsidRDefault="009B0B53" w:rsidP="009B0B53">
      <w:pPr>
        <w:jc w:val="both"/>
        <w:rPr>
          <w:rFonts w:ascii="Abadi" w:hAnsi="Abadi"/>
          <w:sz w:val="28"/>
          <w:szCs w:val="28"/>
        </w:rPr>
      </w:pPr>
    </w:p>
    <w:p w14:paraId="711F2C4E" w14:textId="77777777" w:rsidR="009B0B53" w:rsidRDefault="009B0B53" w:rsidP="009B0B53">
      <w:pPr>
        <w:jc w:val="both"/>
        <w:rPr>
          <w:rFonts w:ascii="Abadi" w:hAnsi="Abadi"/>
          <w:sz w:val="28"/>
          <w:szCs w:val="28"/>
        </w:rPr>
      </w:pPr>
    </w:p>
    <w:p w14:paraId="1D254074" w14:textId="2917EA85" w:rsidR="009B0B53" w:rsidRPr="008F09E2" w:rsidRDefault="009B0B53" w:rsidP="009B0B53">
      <w:pPr>
        <w:jc w:val="both"/>
        <w:rPr>
          <w:rFonts w:ascii="Abadi" w:hAnsi="Abadi"/>
          <w:sz w:val="28"/>
          <w:szCs w:val="28"/>
        </w:rPr>
      </w:pPr>
    </w:p>
    <w:p w14:paraId="75F51411" w14:textId="77777777" w:rsidR="009B0B53" w:rsidRDefault="009B0B53" w:rsidP="009B0B53">
      <w:pPr>
        <w:jc w:val="center"/>
        <w:rPr>
          <w:rFonts w:ascii="Abadi" w:hAnsi="Abadi"/>
          <w:b/>
          <w:bCs/>
          <w:sz w:val="21"/>
          <w:szCs w:val="21"/>
        </w:rPr>
      </w:pPr>
      <w:r w:rsidRPr="00AA7107">
        <w:rPr>
          <w:rFonts w:ascii="Abadi" w:hAnsi="Abadi"/>
          <w:b/>
          <w:bCs/>
          <w:sz w:val="21"/>
          <w:szCs w:val="21"/>
        </w:rPr>
        <w:t xml:space="preserve">- Diputada Hades Berenice Aguilar </w:t>
      </w:r>
      <w:r>
        <w:rPr>
          <w:rFonts w:ascii="Abadi" w:hAnsi="Abadi"/>
          <w:b/>
          <w:bCs/>
          <w:sz w:val="21"/>
          <w:szCs w:val="21"/>
        </w:rPr>
        <w:t>-</w:t>
      </w:r>
    </w:p>
    <w:p w14:paraId="32DD6C88" w14:textId="5F9E33C7" w:rsidR="009B0B53" w:rsidRDefault="009B0B53" w:rsidP="009B0B53">
      <w:pPr>
        <w:jc w:val="both"/>
        <w:rPr>
          <w:rFonts w:ascii="Abadi" w:hAnsi="Abadi"/>
          <w:b/>
          <w:bCs/>
          <w:sz w:val="21"/>
          <w:szCs w:val="21"/>
        </w:rPr>
      </w:pPr>
    </w:p>
    <w:p w14:paraId="11EB3AD4" w14:textId="5657500F" w:rsidR="009B0B53" w:rsidRDefault="009B0B53" w:rsidP="009B0B53">
      <w:pPr>
        <w:jc w:val="both"/>
        <w:rPr>
          <w:rFonts w:ascii="Abadi" w:hAnsi="Abadi"/>
          <w:sz w:val="21"/>
          <w:szCs w:val="21"/>
        </w:rPr>
      </w:pPr>
      <w:r w:rsidRPr="00AA7107">
        <w:rPr>
          <w:rFonts w:ascii="Abadi" w:hAnsi="Abadi"/>
          <w:sz w:val="21"/>
          <w:szCs w:val="21"/>
        </w:rPr>
        <w:t>¡Muchas gracias! diputado Presidente le saludo nuevamente mi participación de ahorita en este momento, es un exhorto, que presentamos cuando alcaldesa de León y al Gobernador del Estado para que atiendan mejor a las familias indígenas, Jornaleras, que año, con año, vienen y trabajan, en los campos, en León, obviamente tenemos migrantes en todo el estado pero vamos a hablar específicamente de León.</w:t>
      </w:r>
    </w:p>
    <w:p w14:paraId="6EA72949" w14:textId="77777777" w:rsidR="009B0B53" w:rsidRPr="00AA7107" w:rsidRDefault="009B0B53" w:rsidP="009B0B53">
      <w:pPr>
        <w:jc w:val="both"/>
        <w:rPr>
          <w:rFonts w:ascii="Abadi" w:hAnsi="Abadi"/>
          <w:sz w:val="21"/>
          <w:szCs w:val="21"/>
        </w:rPr>
      </w:pPr>
    </w:p>
    <w:p w14:paraId="083C8C71" w14:textId="1DE7CD8F" w:rsidR="009B0B53" w:rsidRDefault="009B0B53" w:rsidP="009B0B53">
      <w:pPr>
        <w:jc w:val="both"/>
        <w:rPr>
          <w:rFonts w:ascii="Abadi" w:hAnsi="Abadi"/>
          <w:sz w:val="21"/>
          <w:szCs w:val="21"/>
        </w:rPr>
      </w:pPr>
      <w:r w:rsidRPr="00AA7107">
        <w:rPr>
          <w:rFonts w:ascii="Abadi" w:hAnsi="Abadi"/>
          <w:sz w:val="21"/>
          <w:szCs w:val="21"/>
        </w:rPr>
        <w:t>- El día de hoy, junto con el diputado David Martínez Mendizábal presentamos un punto de acuerdo para exhortar al gobierno municipal de León, así como el Gobernador del Estado, para que en el ámbito de sus atribuciones implementen los programas de atención integral a las personas jornaleras, agrícolas, migrantes de León con el objeto de garantizar sus derechos humanos, bajo los principios de progresividad no discriminación y máximo uso de los recursos disponibles.</w:t>
      </w:r>
    </w:p>
    <w:p w14:paraId="60C59A20" w14:textId="77777777" w:rsidR="009B0B53" w:rsidRPr="00AA7107" w:rsidRDefault="009B0B53" w:rsidP="009B0B53">
      <w:pPr>
        <w:jc w:val="both"/>
        <w:rPr>
          <w:rFonts w:ascii="Abadi" w:hAnsi="Abadi"/>
          <w:sz w:val="21"/>
          <w:szCs w:val="21"/>
        </w:rPr>
      </w:pPr>
    </w:p>
    <w:p w14:paraId="15E49216" w14:textId="77777777" w:rsidR="009B0B53" w:rsidRPr="00AA7107" w:rsidRDefault="009B0B53" w:rsidP="009B0B53">
      <w:pPr>
        <w:jc w:val="both"/>
        <w:rPr>
          <w:rFonts w:ascii="Abadi" w:hAnsi="Abadi"/>
          <w:sz w:val="21"/>
          <w:szCs w:val="21"/>
        </w:rPr>
      </w:pPr>
      <w:r w:rsidRPr="00AA7107">
        <w:rPr>
          <w:rFonts w:ascii="Abadi" w:hAnsi="Abadi"/>
          <w:sz w:val="21"/>
          <w:szCs w:val="21"/>
        </w:rPr>
        <w:t>- Asimismo pedimos que se incorporen las recomendaciones del centro de desarrollo Indígena Loyola, en el diseño implementación y evaluación de la Política Pública de atención a personas jornaleras, agrícolas, migrantes, lo anterior con base en las siguientes consideraciones en los noventas con la implementación del régimen neoliberal comenzó el despojo al campo se impulsaron megaproyectos que solamente beneficiaron los bolsillos de unos cuantos de los más ricos.</w:t>
      </w:r>
    </w:p>
    <w:p w14:paraId="7CC510F5" w14:textId="17B699CA" w:rsidR="009B0B53" w:rsidRDefault="009B0B53" w:rsidP="009B0B53">
      <w:pPr>
        <w:jc w:val="both"/>
        <w:rPr>
          <w:rFonts w:ascii="Abadi" w:hAnsi="Abadi"/>
          <w:sz w:val="21"/>
          <w:szCs w:val="21"/>
        </w:rPr>
      </w:pPr>
      <w:r w:rsidRPr="00AA7107">
        <w:rPr>
          <w:rFonts w:ascii="Abadi" w:hAnsi="Abadi"/>
          <w:sz w:val="21"/>
          <w:szCs w:val="21"/>
        </w:rPr>
        <w:t>- Se eliminaron los programas de apoyo en las comunidades rurales como las que más adelantito les voy a platicar con la falta de oportunidades para el campo, obviamente se incrementa la pobreza y tales condiciones de desigualdad afectaron a las mexicanas y a los mexicanos que viven de la producción del campo.</w:t>
      </w:r>
    </w:p>
    <w:p w14:paraId="53369DE4" w14:textId="77777777" w:rsidR="009B0B53" w:rsidRPr="00AA7107" w:rsidRDefault="009B0B53" w:rsidP="009B0B53">
      <w:pPr>
        <w:jc w:val="both"/>
        <w:rPr>
          <w:rFonts w:ascii="Abadi" w:hAnsi="Abadi"/>
          <w:sz w:val="21"/>
          <w:szCs w:val="21"/>
        </w:rPr>
      </w:pPr>
    </w:p>
    <w:p w14:paraId="2F288556" w14:textId="715426EA" w:rsidR="009B0B53" w:rsidRDefault="009B0B53" w:rsidP="009B0B53">
      <w:pPr>
        <w:jc w:val="both"/>
        <w:rPr>
          <w:rFonts w:ascii="Abadi" w:hAnsi="Abadi"/>
          <w:sz w:val="21"/>
          <w:szCs w:val="21"/>
        </w:rPr>
      </w:pPr>
      <w:r w:rsidRPr="00AA7107">
        <w:rPr>
          <w:rFonts w:ascii="Abadi" w:hAnsi="Abadi"/>
          <w:sz w:val="21"/>
          <w:szCs w:val="21"/>
        </w:rPr>
        <w:t>- Es así que las personas con mayor vulnerabilidad tuvieron que salir de sus entornos en busca de una vida mejor uno de los sectores más afectados por esta política de capitalismo voraz fueron las personas jornaleras, en especial la población indígena los pueblos indígenas han sufrido múltiples violaciones a sus derechos fundamentales y en este caso además, ser jornaleros, agrícolas, migrantes suma otro factor que vulnera su dignidad desde el Grupo Parlamentario de Morena y en mi calidad de presidente de la Comisión de Atención al Migrante nos hemos preocupado por generar un parlamento abierto a través del cual se privilegie la experiencia de organizaciones ciudadanas que han hecho hasta lo imposible para intentar subsanar los huecos que ha dejado el Estado.</w:t>
      </w:r>
    </w:p>
    <w:p w14:paraId="4465DF36" w14:textId="77777777" w:rsidR="009B0B53" w:rsidRPr="00AA7107" w:rsidRDefault="009B0B53" w:rsidP="009B0B53">
      <w:pPr>
        <w:jc w:val="both"/>
        <w:rPr>
          <w:rFonts w:ascii="Abadi" w:hAnsi="Abadi"/>
          <w:sz w:val="21"/>
          <w:szCs w:val="21"/>
        </w:rPr>
      </w:pPr>
    </w:p>
    <w:p w14:paraId="408FF14F" w14:textId="1330EC5E" w:rsidR="009B0B53" w:rsidRDefault="009B0B53" w:rsidP="009B0B53">
      <w:pPr>
        <w:jc w:val="both"/>
        <w:rPr>
          <w:rFonts w:ascii="Abadi" w:hAnsi="Abadi"/>
          <w:sz w:val="21"/>
          <w:szCs w:val="21"/>
        </w:rPr>
      </w:pPr>
      <w:r w:rsidRPr="00AA7107">
        <w:rPr>
          <w:rFonts w:ascii="Abadi" w:hAnsi="Abadi"/>
          <w:sz w:val="21"/>
          <w:szCs w:val="21"/>
        </w:rPr>
        <w:t>- En esta en ese sentido la semana pasada el jueves, si no me equivoco de la semana pasada recibimos en la comisión de atención al migrante incluso también el diputado y su servidora un documento del centro de desarrollo Indígena Loyola en la que comparten elementos de sur y recomendaciones para el gobierno con la intención de abonar en la implementación de políticas públicas en beneficio de las personas jornaleras agrícolas migrantes.</w:t>
      </w:r>
    </w:p>
    <w:p w14:paraId="56E88C24" w14:textId="77777777" w:rsidR="009B0B53" w:rsidRPr="00AA7107" w:rsidRDefault="009B0B53" w:rsidP="009B0B53">
      <w:pPr>
        <w:jc w:val="both"/>
        <w:rPr>
          <w:rFonts w:ascii="Abadi" w:hAnsi="Abadi"/>
          <w:sz w:val="21"/>
          <w:szCs w:val="21"/>
        </w:rPr>
      </w:pPr>
    </w:p>
    <w:p w14:paraId="6D293EF6" w14:textId="72EC195D" w:rsidR="009B0B53" w:rsidRDefault="009B0B53" w:rsidP="009B0B53">
      <w:pPr>
        <w:jc w:val="both"/>
        <w:rPr>
          <w:rFonts w:ascii="Abadi" w:hAnsi="Abadi"/>
          <w:sz w:val="21"/>
          <w:szCs w:val="21"/>
        </w:rPr>
      </w:pPr>
      <w:r w:rsidRPr="00AA7107">
        <w:rPr>
          <w:rFonts w:ascii="Abadi" w:hAnsi="Abadi"/>
          <w:sz w:val="21"/>
          <w:szCs w:val="21"/>
        </w:rPr>
        <w:t>- De manera muy puntual me gustaría compartir nada más cinco con ustedes;</w:t>
      </w:r>
    </w:p>
    <w:p w14:paraId="6695F76C" w14:textId="77777777" w:rsidR="009B0B53" w:rsidRPr="00AA7107" w:rsidRDefault="009B0B53" w:rsidP="009B0B53">
      <w:pPr>
        <w:jc w:val="both"/>
        <w:rPr>
          <w:rFonts w:ascii="Abadi" w:hAnsi="Abadi"/>
          <w:sz w:val="21"/>
          <w:szCs w:val="21"/>
        </w:rPr>
      </w:pPr>
    </w:p>
    <w:p w14:paraId="62614658" w14:textId="3255318C" w:rsidR="009B0B53" w:rsidRDefault="009B0B53" w:rsidP="009B0B53">
      <w:pPr>
        <w:jc w:val="both"/>
        <w:rPr>
          <w:rFonts w:ascii="Abadi" w:hAnsi="Abadi"/>
          <w:sz w:val="21"/>
          <w:szCs w:val="21"/>
        </w:rPr>
      </w:pPr>
      <w:r w:rsidRPr="00AA7107">
        <w:rPr>
          <w:rFonts w:ascii="Abadi" w:hAnsi="Abadi"/>
          <w:sz w:val="21"/>
          <w:szCs w:val="21"/>
        </w:rPr>
        <w:t>- Resulta fundamental evaluar el protocolo de atención vigente, es decir escuchar a la población directamente afectada para actuar conforme a nuestro marco de derechos humanos, es preciso elaborar un presupuesto participativo para la operación de protocolos así como la implementación correcta de las leyes aplicables, se debe transitar de un modelo de asistencia humanitaria, a uno de respeto, protección, garantía y promoción de derechos de las personas.</w:t>
      </w:r>
    </w:p>
    <w:p w14:paraId="095A93FD" w14:textId="77777777" w:rsidR="009B0B53" w:rsidRPr="00AA7107" w:rsidRDefault="009B0B53" w:rsidP="009B0B53">
      <w:pPr>
        <w:jc w:val="both"/>
        <w:rPr>
          <w:rFonts w:ascii="Abadi" w:hAnsi="Abadi"/>
          <w:sz w:val="21"/>
          <w:szCs w:val="21"/>
        </w:rPr>
      </w:pPr>
    </w:p>
    <w:p w14:paraId="48D49C39" w14:textId="2241E724" w:rsidR="009B0B53" w:rsidRDefault="009B0B53" w:rsidP="009B0B53">
      <w:pPr>
        <w:jc w:val="both"/>
        <w:rPr>
          <w:rFonts w:ascii="Abadi" w:hAnsi="Abadi"/>
          <w:sz w:val="21"/>
          <w:szCs w:val="21"/>
        </w:rPr>
      </w:pPr>
      <w:r w:rsidRPr="00AA7107">
        <w:rPr>
          <w:rFonts w:ascii="Abadi" w:hAnsi="Abadi"/>
          <w:sz w:val="21"/>
          <w:szCs w:val="21"/>
        </w:rPr>
        <w:t>- Cuatro. Es muy importante integrar acciones a favor de niñas y niños adolescentes debemos privilegiar el interés superior del menor.</w:t>
      </w:r>
    </w:p>
    <w:p w14:paraId="554D220C" w14:textId="77777777" w:rsidR="009B0B53" w:rsidRPr="00AA7107" w:rsidRDefault="009B0B53" w:rsidP="009B0B53">
      <w:pPr>
        <w:jc w:val="both"/>
        <w:rPr>
          <w:rFonts w:ascii="Abadi" w:hAnsi="Abadi"/>
          <w:sz w:val="21"/>
          <w:szCs w:val="21"/>
        </w:rPr>
      </w:pPr>
    </w:p>
    <w:p w14:paraId="1F7A1305" w14:textId="0B201BA0" w:rsidR="009B0B53" w:rsidRDefault="009B0B53" w:rsidP="009B0B53">
      <w:pPr>
        <w:jc w:val="both"/>
        <w:rPr>
          <w:rFonts w:ascii="Abadi" w:hAnsi="Abadi"/>
          <w:sz w:val="21"/>
          <w:szCs w:val="21"/>
        </w:rPr>
      </w:pPr>
      <w:r w:rsidRPr="00AA7107">
        <w:rPr>
          <w:rFonts w:ascii="Abadi" w:hAnsi="Abadi"/>
          <w:sz w:val="21"/>
          <w:szCs w:val="21"/>
        </w:rPr>
        <w:t>- Cinco. Voy a decir seis nada más, no cinco, es preciso observar conforme a la perspectiva de género una atención integral a las mujeres jornaleras agrícolas, migrantes, es necesario contar con una asesoría jurídica de materia de derechos humanos con la finalidad de garantizar seguridad jurídica a las personas de este sector.</w:t>
      </w:r>
    </w:p>
    <w:p w14:paraId="69D086DD" w14:textId="77777777" w:rsidR="009B0B53" w:rsidRPr="00AA7107" w:rsidRDefault="009B0B53" w:rsidP="009B0B53">
      <w:pPr>
        <w:jc w:val="both"/>
        <w:rPr>
          <w:rFonts w:ascii="Abadi" w:hAnsi="Abadi"/>
          <w:sz w:val="21"/>
          <w:szCs w:val="21"/>
        </w:rPr>
      </w:pPr>
    </w:p>
    <w:p w14:paraId="29387844" w14:textId="6F10380C" w:rsidR="009B0B53" w:rsidRDefault="009B0B53" w:rsidP="009B0B53">
      <w:pPr>
        <w:jc w:val="both"/>
        <w:rPr>
          <w:rFonts w:ascii="Abadi" w:hAnsi="Abadi"/>
          <w:sz w:val="21"/>
          <w:szCs w:val="21"/>
        </w:rPr>
      </w:pPr>
      <w:r w:rsidRPr="00AA7107">
        <w:rPr>
          <w:rFonts w:ascii="Abadi" w:hAnsi="Abadi"/>
          <w:sz w:val="21"/>
          <w:szCs w:val="21"/>
        </w:rPr>
        <w:t>- Con el presente exhorto, esto fue lo que recibimos jueves pasado y con el presente exhorto nosotros nos referimos a la necesidad de evaluar las políticas públicas relacionadas con las personas jornaleras agrícolas migrantes conforme a la perspectiva de derechos humanos, asimismo, es importante contar con una asignación de presupuesto mayor para la Secretaría del Migrante y Enlace Internacional con el objeto de que los derechos humanos de este sector se garanticen de manera progresiva, estos gobiernos, el municipal de León y el estatal no invierten en la población más vulnerable, han preferido ahí les va, han preferido desaparecer el programa municipal de León que brindaba atención médica a mujeres jornaleras.</w:t>
      </w:r>
    </w:p>
    <w:p w14:paraId="5C431593" w14:textId="77777777" w:rsidR="009B0B53" w:rsidRPr="00AA7107" w:rsidRDefault="009B0B53" w:rsidP="009B0B53">
      <w:pPr>
        <w:jc w:val="both"/>
        <w:rPr>
          <w:rFonts w:ascii="Abadi" w:hAnsi="Abadi"/>
          <w:sz w:val="21"/>
          <w:szCs w:val="21"/>
        </w:rPr>
      </w:pPr>
    </w:p>
    <w:p w14:paraId="766A8D2F" w14:textId="6AAFF905" w:rsidR="009B0B53" w:rsidRDefault="009B0B53" w:rsidP="009B0B53">
      <w:pPr>
        <w:jc w:val="both"/>
        <w:rPr>
          <w:rFonts w:ascii="Abadi" w:hAnsi="Abadi"/>
          <w:sz w:val="21"/>
          <w:szCs w:val="21"/>
        </w:rPr>
      </w:pPr>
      <w:r w:rsidRPr="00AA7107">
        <w:rPr>
          <w:rFonts w:ascii="Abadi" w:hAnsi="Abadi"/>
          <w:sz w:val="21"/>
          <w:szCs w:val="21"/>
        </w:rPr>
        <w:t>- Esto acaba de desaparecer con este nuevo gobierno ¡bueno este año! que brindaban atención médica a mujeres jornaleras embarazadas violentando de manera sistemática los derechos de salud de este grupo poblacional.</w:t>
      </w:r>
    </w:p>
    <w:p w14:paraId="7BF131CB" w14:textId="77777777" w:rsidR="009B0B53" w:rsidRPr="00AA7107" w:rsidRDefault="009B0B53" w:rsidP="009B0B53">
      <w:pPr>
        <w:jc w:val="both"/>
        <w:rPr>
          <w:rFonts w:ascii="Abadi" w:hAnsi="Abadi"/>
          <w:sz w:val="21"/>
          <w:szCs w:val="21"/>
        </w:rPr>
      </w:pPr>
    </w:p>
    <w:p w14:paraId="70B74506" w14:textId="54D309B0" w:rsidR="009B0B53" w:rsidRDefault="009B0B53" w:rsidP="009B0B53">
      <w:pPr>
        <w:jc w:val="both"/>
        <w:rPr>
          <w:rFonts w:ascii="Abadi" w:hAnsi="Abadi"/>
          <w:sz w:val="21"/>
          <w:szCs w:val="21"/>
        </w:rPr>
      </w:pPr>
      <w:r w:rsidRPr="00AA7107">
        <w:rPr>
          <w:rFonts w:ascii="Abadi" w:hAnsi="Abadi"/>
          <w:sz w:val="21"/>
          <w:szCs w:val="21"/>
        </w:rPr>
        <w:t xml:space="preserve">- Por otro lado han incrementado los presupuestos de comunicación social y publicidad, fíjense, fíjense cuáles son las prioridades de Acción Nacional, donde están las prioridades, en incrementar la comunicación social y obviamente pero la atención médica a las mujeres embarazadas han violentado de manera sistemática ¿no? </w:t>
      </w:r>
    </w:p>
    <w:p w14:paraId="3F278898" w14:textId="77777777" w:rsidR="009B0B53" w:rsidRPr="00AA7107" w:rsidRDefault="009B0B53" w:rsidP="009B0B53">
      <w:pPr>
        <w:jc w:val="both"/>
        <w:rPr>
          <w:rFonts w:ascii="Abadi" w:hAnsi="Abadi"/>
          <w:sz w:val="21"/>
          <w:szCs w:val="21"/>
        </w:rPr>
      </w:pPr>
    </w:p>
    <w:p w14:paraId="41DFE83F" w14:textId="775CE689" w:rsidR="009B0B53" w:rsidRDefault="009B0B53" w:rsidP="009B0B53">
      <w:pPr>
        <w:jc w:val="both"/>
        <w:rPr>
          <w:rFonts w:ascii="Abadi" w:hAnsi="Abadi"/>
          <w:sz w:val="21"/>
          <w:szCs w:val="21"/>
        </w:rPr>
      </w:pPr>
      <w:r w:rsidRPr="00AA7107">
        <w:rPr>
          <w:rFonts w:ascii="Abadi" w:hAnsi="Abadi"/>
          <w:sz w:val="21"/>
          <w:szCs w:val="21"/>
        </w:rPr>
        <w:t>- En materia de publicidad y servicios oficiales han aumentado 2 millones de pesos adicionales a los más de 89 millones aprobados en el presupuesto de egresos del 2022 y han incrementado 24.4 millones de pesos adicionales, a los 37.5 millones respectivamente vuelvo a repetir, ¡sí! lo vuelvo a repetir diputado, fíjense en dónde están las prioridades de Acción Nacional.</w:t>
      </w:r>
    </w:p>
    <w:p w14:paraId="4204FFB8" w14:textId="77777777" w:rsidR="009B0B53" w:rsidRPr="00AA7107" w:rsidRDefault="009B0B53" w:rsidP="009B0B53">
      <w:pPr>
        <w:jc w:val="both"/>
        <w:rPr>
          <w:rFonts w:ascii="Abadi" w:hAnsi="Abadi"/>
          <w:sz w:val="21"/>
          <w:szCs w:val="21"/>
        </w:rPr>
      </w:pPr>
    </w:p>
    <w:p w14:paraId="45DD9679" w14:textId="7FD2BFE5" w:rsidR="009B0B53" w:rsidRDefault="009B0B53" w:rsidP="009B0B53">
      <w:pPr>
        <w:jc w:val="both"/>
        <w:rPr>
          <w:rFonts w:ascii="Abadi" w:hAnsi="Abadi"/>
          <w:sz w:val="21"/>
          <w:szCs w:val="21"/>
        </w:rPr>
      </w:pPr>
      <w:r w:rsidRPr="00AA7107">
        <w:rPr>
          <w:rFonts w:ascii="Abadi" w:hAnsi="Abadi"/>
          <w:sz w:val="21"/>
          <w:szCs w:val="21"/>
        </w:rPr>
        <w:t>- En materia de publicidad y servicios oficiales han aumentado 2 millones de pesos adicionales a los más de 89 millones aprobados en el Presupuesto de Egresos del 2022 y han incrementado 24.4 millones de pesos adicionales a los 37.5 millones respectivamente.</w:t>
      </w:r>
    </w:p>
    <w:p w14:paraId="5318BECF" w14:textId="77777777" w:rsidR="009B0B53" w:rsidRPr="00AA7107" w:rsidRDefault="009B0B53" w:rsidP="009B0B53">
      <w:pPr>
        <w:jc w:val="both"/>
        <w:rPr>
          <w:rFonts w:ascii="Abadi" w:hAnsi="Abadi"/>
          <w:sz w:val="21"/>
          <w:szCs w:val="21"/>
        </w:rPr>
      </w:pPr>
    </w:p>
    <w:p w14:paraId="60E274C6" w14:textId="149F93ED" w:rsidR="009B0B53" w:rsidRDefault="009B0B53" w:rsidP="009B0B53">
      <w:pPr>
        <w:jc w:val="both"/>
        <w:rPr>
          <w:rFonts w:ascii="Abadi" w:hAnsi="Abadi"/>
          <w:sz w:val="21"/>
          <w:szCs w:val="21"/>
        </w:rPr>
      </w:pPr>
      <w:r w:rsidRPr="00AA7107">
        <w:rPr>
          <w:rFonts w:ascii="Abadi" w:hAnsi="Abadi"/>
          <w:sz w:val="21"/>
          <w:szCs w:val="21"/>
        </w:rPr>
        <w:t>- Para Morena, nuestra preocupación se centra en el bienestar históricamente de los más olvidados, de los más pobres y como dice nuestro Presidente los que menos tienen de las niñas de los niños, para lograr la paz en guanajuato es necesario invertir en el bienestar de las personas más vulnerables y en este caso, es indispensable garantizar los derechos humanos de las personas jornaleras, agrícolas, migrantes, por todo lo expuesto, hacemos vuelvo al inicio hacemos el exhorto a la titular del municipio de León para que informe a esta soberanía sobre la implementación de programas y proyectos a favor de las personas jornaleras, agrícolas, migrantes, así como al Gobernador del Estado de Guanajuato para que incorpore las recomendaciones del centro de desarrollo Indígena Loyola en la política pública en la materia.</w:t>
      </w:r>
    </w:p>
    <w:p w14:paraId="48FAB7AD" w14:textId="77777777" w:rsidR="009B0B53" w:rsidRPr="00AA7107" w:rsidRDefault="009B0B53" w:rsidP="009B0B53">
      <w:pPr>
        <w:jc w:val="both"/>
        <w:rPr>
          <w:rFonts w:ascii="Abadi" w:hAnsi="Abadi"/>
          <w:sz w:val="21"/>
          <w:szCs w:val="21"/>
        </w:rPr>
      </w:pPr>
    </w:p>
    <w:p w14:paraId="6AA6C172" w14:textId="556533C0" w:rsidR="009B0B53" w:rsidRDefault="009B0B53" w:rsidP="009B0B53">
      <w:pPr>
        <w:jc w:val="both"/>
        <w:rPr>
          <w:rFonts w:ascii="Abadi" w:hAnsi="Abadi"/>
          <w:sz w:val="21"/>
          <w:szCs w:val="21"/>
        </w:rPr>
      </w:pPr>
      <w:r w:rsidRPr="00AA7107">
        <w:rPr>
          <w:rFonts w:ascii="Abadi" w:hAnsi="Abadi"/>
          <w:sz w:val="21"/>
          <w:szCs w:val="21"/>
        </w:rPr>
        <w:t>- Es cuanto, diputado Presidente.</w:t>
      </w:r>
    </w:p>
    <w:p w14:paraId="267F26AA" w14:textId="77777777" w:rsidR="009B0B53" w:rsidRPr="00AA7107" w:rsidRDefault="009B0B53" w:rsidP="009B0B53">
      <w:pPr>
        <w:jc w:val="both"/>
        <w:rPr>
          <w:rFonts w:ascii="Abadi" w:hAnsi="Abadi"/>
          <w:sz w:val="21"/>
          <w:szCs w:val="21"/>
        </w:rPr>
      </w:pPr>
    </w:p>
    <w:p w14:paraId="1A581360" w14:textId="77777777" w:rsidR="009B0B53" w:rsidRPr="00AA7107" w:rsidRDefault="009B0B53" w:rsidP="009B0B53">
      <w:pPr>
        <w:jc w:val="both"/>
        <w:rPr>
          <w:rFonts w:ascii="Abadi" w:hAnsi="Abadi"/>
          <w:sz w:val="21"/>
          <w:szCs w:val="21"/>
        </w:rPr>
      </w:pPr>
      <w:r w:rsidRPr="00AA7107">
        <w:rPr>
          <w:rFonts w:ascii="Abadi" w:hAnsi="Abadi"/>
          <w:b/>
          <w:bCs/>
          <w:sz w:val="21"/>
          <w:szCs w:val="21"/>
        </w:rPr>
        <w:tab/>
        <w:t>- El Presidente.-</w:t>
      </w:r>
      <w:r w:rsidRPr="00AA7107">
        <w:rPr>
          <w:rFonts w:ascii="Abadi" w:hAnsi="Abadi"/>
          <w:sz w:val="21"/>
          <w:szCs w:val="21"/>
        </w:rPr>
        <w:t xml:space="preserve"> ¡Gracias diputada¡ Hades Berenice.</w:t>
      </w:r>
    </w:p>
    <w:p w14:paraId="3FEBFF00" w14:textId="77777777" w:rsidR="009B0B53" w:rsidRPr="00AA7107" w:rsidRDefault="009B0B53" w:rsidP="009B0B53">
      <w:pPr>
        <w:jc w:val="both"/>
        <w:rPr>
          <w:rFonts w:ascii="Abadi" w:hAnsi="Abadi"/>
          <w:sz w:val="21"/>
          <w:szCs w:val="21"/>
        </w:rPr>
      </w:pPr>
    </w:p>
    <w:p w14:paraId="232D715D" w14:textId="35EC2131" w:rsidR="00D82C13" w:rsidRPr="00D82C13" w:rsidRDefault="00D82C13" w:rsidP="009A3263">
      <w:pPr>
        <w:jc w:val="both"/>
        <w:rPr>
          <w:rFonts w:ascii="Abadi" w:hAnsi="Abadi"/>
          <w:sz w:val="21"/>
          <w:szCs w:val="21"/>
        </w:rPr>
      </w:pPr>
      <w:r>
        <w:rPr>
          <w:rFonts w:ascii="Abadi" w:hAnsi="Abadi"/>
          <w:sz w:val="21"/>
          <w:szCs w:val="21"/>
        </w:rPr>
        <w:tab/>
        <w:t xml:space="preserve">- </w:t>
      </w:r>
      <w:r w:rsidR="009B0B53" w:rsidRPr="00D82C13">
        <w:rPr>
          <w:rFonts w:ascii="Abadi" w:hAnsi="Abadi"/>
          <w:sz w:val="21"/>
          <w:szCs w:val="21"/>
        </w:rPr>
        <w:t>Con fundamento en el artículo 105 fracción V de nuestra Ley Orgánica</w:t>
      </w:r>
      <w:r>
        <w:rPr>
          <w:rFonts w:ascii="Abadi" w:hAnsi="Abadi"/>
          <w:sz w:val="21"/>
          <w:szCs w:val="21"/>
        </w:rPr>
        <w:t>.</w:t>
      </w:r>
      <w:r w:rsidRPr="00D82C13">
        <w:rPr>
          <w:rFonts w:ascii="Abadi" w:hAnsi="Abadi"/>
          <w:sz w:val="21"/>
          <w:szCs w:val="21"/>
        </w:rPr>
        <w:t xml:space="preserve"> </w:t>
      </w:r>
    </w:p>
    <w:p w14:paraId="68BABA70" w14:textId="77777777" w:rsidR="00D82C13" w:rsidRDefault="00D82C13" w:rsidP="00BE424A">
      <w:pPr>
        <w:ind w:left="284"/>
        <w:jc w:val="both"/>
        <w:rPr>
          <w:rFonts w:ascii="Abadi" w:hAnsi="Abadi"/>
          <w:b/>
          <w:bCs/>
          <w:i/>
          <w:iCs/>
          <w:sz w:val="21"/>
          <w:szCs w:val="21"/>
          <w:u w:val="single"/>
        </w:rPr>
      </w:pPr>
    </w:p>
    <w:p w14:paraId="025D0423" w14:textId="6507A9DE" w:rsidR="009B0B53" w:rsidRPr="00AA7107" w:rsidRDefault="00D82C13" w:rsidP="00BE424A">
      <w:pPr>
        <w:ind w:left="284"/>
        <w:jc w:val="both"/>
        <w:rPr>
          <w:rFonts w:ascii="Abadi" w:hAnsi="Abadi"/>
          <w:b/>
          <w:bCs/>
          <w:i/>
          <w:iCs/>
          <w:sz w:val="21"/>
          <w:szCs w:val="21"/>
          <w:u w:val="single"/>
        </w:rPr>
      </w:pPr>
      <w:r>
        <w:rPr>
          <w:rFonts w:ascii="Abadi" w:hAnsi="Abadi"/>
          <w:b/>
          <w:bCs/>
          <w:i/>
          <w:iCs/>
          <w:sz w:val="21"/>
          <w:szCs w:val="21"/>
          <w:u w:val="single"/>
        </w:rPr>
        <w:t>S</w:t>
      </w:r>
      <w:r w:rsidR="009B0B53" w:rsidRPr="00AA7107">
        <w:rPr>
          <w:rFonts w:ascii="Abadi" w:hAnsi="Abadi"/>
          <w:b/>
          <w:bCs/>
          <w:i/>
          <w:iCs/>
          <w:sz w:val="21"/>
          <w:szCs w:val="21"/>
          <w:u w:val="single"/>
        </w:rPr>
        <w:t>e turna a la Comisión de Atención al Migrante para su debido estudio y dictamen.</w:t>
      </w:r>
    </w:p>
    <w:p w14:paraId="4C99C710" w14:textId="42769272" w:rsidR="00445A74" w:rsidRDefault="00445A74" w:rsidP="00EE65CE">
      <w:pPr>
        <w:jc w:val="right"/>
        <w:rPr>
          <w:rFonts w:ascii="Abadi" w:hAnsi="Abadi" w:cs="Amasis MT Pro Light"/>
          <w:sz w:val="21"/>
          <w:szCs w:val="21"/>
        </w:rPr>
      </w:pPr>
    </w:p>
    <w:p w14:paraId="0756D7D0" w14:textId="29A1EFC6" w:rsidR="0025144A" w:rsidRDefault="0025144A" w:rsidP="00E462B6">
      <w:pPr>
        <w:autoSpaceDE w:val="0"/>
        <w:autoSpaceDN w:val="0"/>
        <w:adjustRightInd w:val="0"/>
        <w:jc w:val="both"/>
        <w:rPr>
          <w:rFonts w:ascii="Abadi" w:hAnsi="Abadi" w:cs="ArialMT"/>
          <w:b/>
          <w:bCs/>
          <w:sz w:val="20"/>
          <w:szCs w:val="21"/>
        </w:rPr>
      </w:pPr>
    </w:p>
    <w:p w14:paraId="2BFBFA74" w14:textId="77777777" w:rsidR="00E462B6" w:rsidRDefault="00E462B6" w:rsidP="00580BF7">
      <w:pPr>
        <w:pStyle w:val="Prrafodelista"/>
        <w:numPr>
          <w:ilvl w:val="0"/>
          <w:numId w:val="14"/>
        </w:numPr>
        <w:autoSpaceDE w:val="0"/>
        <w:autoSpaceDN w:val="0"/>
        <w:adjustRightInd w:val="0"/>
        <w:ind w:left="567"/>
        <w:contextualSpacing/>
        <w:jc w:val="both"/>
        <w:rPr>
          <w:rFonts w:ascii="Abadi" w:hAnsi="Abadi" w:cs="ArialMT"/>
          <w:b/>
          <w:bCs/>
          <w:sz w:val="20"/>
          <w:szCs w:val="21"/>
        </w:rPr>
      </w:pPr>
      <w:r w:rsidRPr="0028553C">
        <w:rPr>
          <w:rFonts w:ascii="Abadi" w:hAnsi="Abadi" w:cs="ArialMT"/>
          <w:b/>
          <w:bCs/>
          <w:sz w:val="20"/>
          <w:szCs w:val="21"/>
        </w:rPr>
        <w:t xml:space="preserve">PRESENTACIÓN DE LA PROPUESTA DE PUNTO DE ACUERDO FORMULADA POR LA DIPUTADA ALMA EDWVIGES ALCARAZ HERNÁNDEZ INTEGRANTE DEL GRUPO PARLAMENTARIO DEL PARTIDO MORENA A EFECTO DE EXHORTAR AL TITULAR DEL PODER EJECUTIVO, DIEGO SINHUE RODRÍGUEZ VALLEJO, PARA QUE REALICE LAS ACCIONES NECESARIAS PARA LLEVAR A CABO UNA EVALUACIÓN INTEGRAL DEL PROGRAMA </w:t>
      </w:r>
      <w:r w:rsidRPr="0028553C">
        <w:rPr>
          <w:rFonts w:ascii="Abadi" w:hAnsi="Abadi" w:cs="Arial-ItalicMT"/>
          <w:b/>
          <w:bCs/>
          <w:i/>
          <w:iCs/>
          <w:sz w:val="20"/>
          <w:szCs w:val="21"/>
        </w:rPr>
        <w:t>E045 ACCESO EQUITATIVO Y OPORTUNIDADES DE DESARROLLO PARA MUJERES Y HOMBRES</w:t>
      </w:r>
      <w:r w:rsidRPr="0028553C">
        <w:rPr>
          <w:rFonts w:ascii="Abadi" w:hAnsi="Abadi" w:cs="ArialMT"/>
          <w:b/>
          <w:bCs/>
          <w:sz w:val="20"/>
          <w:szCs w:val="21"/>
        </w:rPr>
        <w:t xml:space="preserve">, ASÍ COMO PARA QUE INVESTIGUE, INCORPORE E IMPLEMENTE LAS MEJORES PRÁCTICAS EN MATERIA DE COMBATE A LA VIOLENCIA DE GÉNERO UTILIZANDO EL MÁXIMO DE RECURSOS DISPONIBLES. </w:t>
      </w:r>
    </w:p>
    <w:p w14:paraId="2A4F1831" w14:textId="77777777" w:rsidR="00794AEE" w:rsidRDefault="00794AEE" w:rsidP="00794AEE">
      <w:pPr>
        <w:autoSpaceDE w:val="0"/>
        <w:autoSpaceDN w:val="0"/>
        <w:adjustRightInd w:val="0"/>
        <w:contextualSpacing/>
        <w:jc w:val="both"/>
        <w:rPr>
          <w:rFonts w:ascii="Abadi" w:hAnsi="Abadi" w:cs="ArialMT"/>
          <w:b/>
          <w:bCs/>
          <w:sz w:val="20"/>
          <w:szCs w:val="21"/>
        </w:rPr>
      </w:pPr>
    </w:p>
    <w:p w14:paraId="752D3825" w14:textId="77777777" w:rsidR="00AF040F" w:rsidRPr="001D43B8" w:rsidRDefault="00AF040F" w:rsidP="00A44DEE">
      <w:pPr>
        <w:kinsoku w:val="0"/>
        <w:overflowPunct w:val="0"/>
        <w:autoSpaceDE w:val="0"/>
        <w:autoSpaceDN w:val="0"/>
        <w:adjustRightInd w:val="0"/>
        <w:ind w:left="39"/>
        <w:jc w:val="both"/>
        <w:rPr>
          <w:rFonts w:ascii="Abadi" w:hAnsi="Abadi" w:cs="Calibri Light"/>
          <w:b/>
          <w:bCs/>
          <w:sz w:val="21"/>
          <w:szCs w:val="21"/>
        </w:rPr>
      </w:pPr>
      <w:r w:rsidRPr="001D43B8">
        <w:rPr>
          <w:rFonts w:ascii="Abadi" w:hAnsi="Abadi" w:cs="Calibri Light"/>
          <w:b/>
          <w:bCs/>
          <w:sz w:val="21"/>
          <w:szCs w:val="21"/>
        </w:rPr>
        <w:t>Diputado</w:t>
      </w:r>
      <w:r w:rsidRPr="001D43B8">
        <w:rPr>
          <w:rFonts w:ascii="Abadi" w:hAnsi="Abadi" w:cs="Calibri Light"/>
          <w:b/>
          <w:bCs/>
          <w:spacing w:val="-5"/>
          <w:sz w:val="21"/>
          <w:szCs w:val="21"/>
        </w:rPr>
        <w:t xml:space="preserve"> </w:t>
      </w:r>
      <w:r w:rsidRPr="001D43B8">
        <w:rPr>
          <w:rFonts w:ascii="Abadi" w:hAnsi="Abadi" w:cs="Calibri Light"/>
          <w:b/>
          <w:bCs/>
          <w:sz w:val="21"/>
          <w:szCs w:val="21"/>
        </w:rPr>
        <w:t>Martín</w:t>
      </w:r>
      <w:r w:rsidRPr="001D43B8">
        <w:rPr>
          <w:rFonts w:ascii="Abadi" w:hAnsi="Abadi" w:cs="Calibri Light"/>
          <w:b/>
          <w:bCs/>
          <w:spacing w:val="-2"/>
          <w:sz w:val="21"/>
          <w:szCs w:val="21"/>
        </w:rPr>
        <w:t xml:space="preserve"> </w:t>
      </w:r>
      <w:r w:rsidRPr="001D43B8">
        <w:rPr>
          <w:rFonts w:ascii="Abadi" w:hAnsi="Abadi" w:cs="Calibri Light"/>
          <w:b/>
          <w:bCs/>
          <w:sz w:val="21"/>
          <w:szCs w:val="21"/>
        </w:rPr>
        <w:t>López</w:t>
      </w:r>
      <w:r w:rsidRPr="001D43B8">
        <w:rPr>
          <w:rFonts w:ascii="Abadi" w:hAnsi="Abadi" w:cs="Calibri Light"/>
          <w:b/>
          <w:bCs/>
          <w:spacing w:val="-3"/>
          <w:sz w:val="21"/>
          <w:szCs w:val="21"/>
        </w:rPr>
        <w:t xml:space="preserve"> </w:t>
      </w:r>
      <w:r w:rsidRPr="001D43B8">
        <w:rPr>
          <w:rFonts w:ascii="Abadi" w:hAnsi="Abadi" w:cs="Calibri Light"/>
          <w:b/>
          <w:bCs/>
          <w:sz w:val="21"/>
          <w:szCs w:val="21"/>
        </w:rPr>
        <w:t>Camacho</w:t>
      </w:r>
    </w:p>
    <w:p w14:paraId="1E3F6A3A" w14:textId="77777777" w:rsidR="00070F8C" w:rsidRDefault="00AF040F" w:rsidP="00A44DEE">
      <w:pPr>
        <w:kinsoku w:val="0"/>
        <w:overflowPunct w:val="0"/>
        <w:autoSpaceDE w:val="0"/>
        <w:autoSpaceDN w:val="0"/>
        <w:adjustRightInd w:val="0"/>
        <w:ind w:left="39"/>
        <w:jc w:val="both"/>
        <w:rPr>
          <w:rFonts w:ascii="Abadi" w:hAnsi="Abadi" w:cs="Calibri Light"/>
          <w:sz w:val="21"/>
          <w:szCs w:val="21"/>
        </w:rPr>
      </w:pPr>
      <w:r w:rsidRPr="001D43B8">
        <w:rPr>
          <w:rFonts w:ascii="Abadi" w:hAnsi="Abadi" w:cs="Calibri Light"/>
          <w:sz w:val="21"/>
          <w:szCs w:val="21"/>
        </w:rPr>
        <w:t>Presidente</w:t>
      </w:r>
      <w:r w:rsidRPr="001D43B8">
        <w:rPr>
          <w:rFonts w:ascii="Abadi" w:hAnsi="Abadi" w:cs="Calibri Light"/>
          <w:spacing w:val="1"/>
          <w:sz w:val="21"/>
          <w:szCs w:val="21"/>
        </w:rPr>
        <w:t xml:space="preserve"> </w:t>
      </w:r>
      <w:r w:rsidRPr="001D43B8">
        <w:rPr>
          <w:rFonts w:ascii="Abadi" w:hAnsi="Abadi" w:cs="Calibri Light"/>
          <w:sz w:val="21"/>
          <w:szCs w:val="21"/>
        </w:rPr>
        <w:t>de</w:t>
      </w:r>
      <w:r w:rsidRPr="001D43B8">
        <w:rPr>
          <w:rFonts w:ascii="Abadi" w:hAnsi="Abadi" w:cs="Calibri Light"/>
          <w:spacing w:val="-1"/>
          <w:sz w:val="21"/>
          <w:szCs w:val="21"/>
        </w:rPr>
        <w:t xml:space="preserve"> </w:t>
      </w:r>
      <w:r w:rsidRPr="001D43B8">
        <w:rPr>
          <w:rFonts w:ascii="Abadi" w:hAnsi="Abadi" w:cs="Calibri Light"/>
          <w:sz w:val="21"/>
          <w:szCs w:val="21"/>
        </w:rPr>
        <w:t>la</w:t>
      </w:r>
      <w:r w:rsidRPr="001D43B8">
        <w:rPr>
          <w:rFonts w:ascii="Abadi" w:hAnsi="Abadi" w:cs="Calibri Light"/>
          <w:spacing w:val="1"/>
          <w:sz w:val="21"/>
          <w:szCs w:val="21"/>
        </w:rPr>
        <w:t xml:space="preserve"> </w:t>
      </w:r>
      <w:r w:rsidRPr="001D43B8">
        <w:rPr>
          <w:rFonts w:ascii="Abadi" w:hAnsi="Abadi" w:cs="Calibri Light"/>
          <w:sz w:val="21"/>
          <w:szCs w:val="21"/>
        </w:rPr>
        <w:t>Mesa</w:t>
      </w:r>
      <w:r w:rsidRPr="001D43B8">
        <w:rPr>
          <w:rFonts w:ascii="Abadi" w:hAnsi="Abadi" w:cs="Calibri Light"/>
          <w:spacing w:val="3"/>
          <w:sz w:val="21"/>
          <w:szCs w:val="21"/>
        </w:rPr>
        <w:t xml:space="preserve"> </w:t>
      </w:r>
      <w:r w:rsidRPr="001D43B8">
        <w:rPr>
          <w:rFonts w:ascii="Abadi" w:hAnsi="Abadi" w:cs="Calibri Light"/>
          <w:sz w:val="21"/>
          <w:szCs w:val="21"/>
        </w:rPr>
        <w:t>Directiva</w:t>
      </w:r>
      <w:r w:rsidRPr="001D43B8">
        <w:rPr>
          <w:rFonts w:ascii="Abadi" w:hAnsi="Abadi" w:cs="Calibri Light"/>
          <w:spacing w:val="1"/>
          <w:sz w:val="21"/>
          <w:szCs w:val="21"/>
        </w:rPr>
        <w:t xml:space="preserve"> </w:t>
      </w:r>
      <w:r w:rsidRPr="001D43B8">
        <w:rPr>
          <w:rFonts w:ascii="Abadi" w:hAnsi="Abadi" w:cs="Calibri Light"/>
          <w:sz w:val="21"/>
          <w:szCs w:val="21"/>
        </w:rPr>
        <w:t>de</w:t>
      </w:r>
      <w:r w:rsidRPr="001D43B8">
        <w:rPr>
          <w:rFonts w:ascii="Abadi" w:hAnsi="Abadi" w:cs="Calibri Light"/>
          <w:spacing w:val="-1"/>
          <w:sz w:val="21"/>
          <w:szCs w:val="21"/>
        </w:rPr>
        <w:t xml:space="preserve"> </w:t>
      </w:r>
      <w:r w:rsidRPr="001D43B8">
        <w:rPr>
          <w:rFonts w:ascii="Abadi" w:hAnsi="Abadi" w:cs="Calibri Light"/>
          <w:sz w:val="21"/>
          <w:szCs w:val="21"/>
        </w:rPr>
        <w:t>la</w:t>
      </w:r>
    </w:p>
    <w:p w14:paraId="5915A873" w14:textId="39AB0794" w:rsidR="00AF040F" w:rsidRPr="001D43B8" w:rsidRDefault="00AF040F" w:rsidP="00A44DEE">
      <w:pPr>
        <w:kinsoku w:val="0"/>
        <w:overflowPunct w:val="0"/>
        <w:autoSpaceDE w:val="0"/>
        <w:autoSpaceDN w:val="0"/>
        <w:adjustRightInd w:val="0"/>
        <w:ind w:left="39"/>
        <w:jc w:val="both"/>
        <w:rPr>
          <w:rFonts w:ascii="Abadi" w:hAnsi="Abadi" w:cs="Calibri Light"/>
          <w:sz w:val="21"/>
          <w:szCs w:val="21"/>
        </w:rPr>
      </w:pPr>
      <w:r w:rsidRPr="001D43B8">
        <w:rPr>
          <w:rFonts w:ascii="Abadi" w:hAnsi="Abadi" w:cs="Calibri Light"/>
          <w:sz w:val="21"/>
          <w:szCs w:val="21"/>
        </w:rPr>
        <w:t>LXV</w:t>
      </w:r>
      <w:r w:rsidRPr="001D43B8">
        <w:rPr>
          <w:rFonts w:ascii="Abadi" w:hAnsi="Abadi" w:cs="Calibri Light"/>
          <w:spacing w:val="1"/>
          <w:sz w:val="21"/>
          <w:szCs w:val="21"/>
        </w:rPr>
        <w:t xml:space="preserve"> </w:t>
      </w:r>
      <w:r w:rsidR="00070F8C" w:rsidRPr="001D43B8">
        <w:rPr>
          <w:rFonts w:ascii="Abadi" w:hAnsi="Abadi" w:cs="Calibri Light"/>
          <w:sz w:val="21"/>
          <w:szCs w:val="21"/>
        </w:rPr>
        <w:t>Legislatura</w:t>
      </w:r>
      <w:r w:rsidRPr="001D43B8">
        <w:rPr>
          <w:rFonts w:ascii="Abadi" w:hAnsi="Abadi" w:cs="Calibri Light"/>
          <w:spacing w:val="1"/>
          <w:sz w:val="21"/>
          <w:szCs w:val="21"/>
        </w:rPr>
        <w:t xml:space="preserve"> </w:t>
      </w:r>
      <w:r w:rsidRPr="001D43B8">
        <w:rPr>
          <w:rFonts w:ascii="Abadi" w:hAnsi="Abadi" w:cs="Calibri Light"/>
          <w:sz w:val="21"/>
          <w:szCs w:val="21"/>
        </w:rPr>
        <w:t>del</w:t>
      </w:r>
      <w:r w:rsidRPr="001D43B8">
        <w:rPr>
          <w:rFonts w:ascii="Abadi" w:hAnsi="Abadi" w:cs="Calibri Light"/>
          <w:spacing w:val="1"/>
          <w:sz w:val="21"/>
          <w:szCs w:val="21"/>
        </w:rPr>
        <w:t xml:space="preserve"> </w:t>
      </w:r>
      <w:r w:rsidRPr="001D43B8">
        <w:rPr>
          <w:rFonts w:ascii="Abadi" w:hAnsi="Abadi" w:cs="Calibri Light"/>
          <w:sz w:val="21"/>
          <w:szCs w:val="21"/>
        </w:rPr>
        <w:t>Estado</w:t>
      </w:r>
      <w:r w:rsidRPr="001D43B8">
        <w:rPr>
          <w:rFonts w:ascii="Abadi" w:hAnsi="Abadi" w:cs="Calibri Light"/>
          <w:spacing w:val="-1"/>
          <w:sz w:val="21"/>
          <w:szCs w:val="21"/>
        </w:rPr>
        <w:t xml:space="preserve"> </w:t>
      </w:r>
      <w:r w:rsidRPr="001D43B8">
        <w:rPr>
          <w:rFonts w:ascii="Abadi" w:hAnsi="Abadi" w:cs="Calibri Light"/>
          <w:sz w:val="21"/>
          <w:szCs w:val="21"/>
        </w:rPr>
        <w:t>de</w:t>
      </w:r>
      <w:r w:rsidRPr="001D43B8">
        <w:rPr>
          <w:rFonts w:ascii="Abadi" w:hAnsi="Abadi" w:cs="Calibri Light"/>
          <w:spacing w:val="-1"/>
          <w:sz w:val="21"/>
          <w:szCs w:val="21"/>
        </w:rPr>
        <w:t xml:space="preserve"> </w:t>
      </w:r>
      <w:r w:rsidRPr="001D43B8">
        <w:rPr>
          <w:rFonts w:ascii="Abadi" w:hAnsi="Abadi" w:cs="Calibri Light"/>
          <w:sz w:val="21"/>
          <w:szCs w:val="21"/>
        </w:rPr>
        <w:t>Guanajuato</w:t>
      </w:r>
      <w:r w:rsidRPr="001D43B8">
        <w:rPr>
          <w:rFonts w:ascii="Abadi" w:hAnsi="Abadi" w:cs="Calibri Light"/>
          <w:spacing w:val="-1"/>
          <w:sz w:val="21"/>
          <w:szCs w:val="21"/>
        </w:rPr>
        <w:t xml:space="preserve"> </w:t>
      </w:r>
      <w:r w:rsidRPr="001D43B8">
        <w:rPr>
          <w:rFonts w:ascii="Abadi" w:hAnsi="Abadi" w:cs="Calibri Light"/>
          <w:sz w:val="21"/>
          <w:szCs w:val="21"/>
        </w:rPr>
        <w:t>Presente.</w:t>
      </w:r>
    </w:p>
    <w:p w14:paraId="2EEC3239" w14:textId="77777777" w:rsidR="00AF040F" w:rsidRPr="001D43B8" w:rsidRDefault="00AF040F" w:rsidP="00A44DEE">
      <w:pPr>
        <w:kinsoku w:val="0"/>
        <w:overflowPunct w:val="0"/>
        <w:autoSpaceDE w:val="0"/>
        <w:autoSpaceDN w:val="0"/>
        <w:adjustRightInd w:val="0"/>
        <w:ind w:left="39" w:right="3404"/>
        <w:jc w:val="both"/>
        <w:rPr>
          <w:rFonts w:ascii="Abadi" w:hAnsi="Abadi" w:cs="Calibri Light"/>
          <w:sz w:val="21"/>
          <w:szCs w:val="21"/>
        </w:rPr>
      </w:pPr>
    </w:p>
    <w:p w14:paraId="38F1478D" w14:textId="3950781A" w:rsidR="00AF040F" w:rsidRDefault="00AF040F" w:rsidP="00A44DEE">
      <w:pPr>
        <w:kinsoku w:val="0"/>
        <w:overflowPunct w:val="0"/>
        <w:autoSpaceDE w:val="0"/>
        <w:autoSpaceDN w:val="0"/>
        <w:adjustRightInd w:val="0"/>
        <w:spacing w:after="240"/>
        <w:ind w:left="39" w:right="119"/>
        <w:jc w:val="both"/>
        <w:rPr>
          <w:rFonts w:ascii="Abadi" w:hAnsi="Abadi" w:cs="Calibri Light"/>
          <w:sz w:val="21"/>
          <w:szCs w:val="21"/>
        </w:rPr>
      </w:pPr>
      <w:r w:rsidRPr="001D43B8">
        <w:rPr>
          <w:rFonts w:ascii="Abadi" w:hAnsi="Abadi" w:cs="Calibri Light"/>
          <w:sz w:val="21"/>
          <w:szCs w:val="21"/>
        </w:rPr>
        <w:t>Diputada</w:t>
      </w:r>
      <w:r w:rsidRPr="001D43B8">
        <w:rPr>
          <w:rFonts w:ascii="Abadi" w:hAnsi="Abadi" w:cs="Calibri Light"/>
          <w:spacing w:val="17"/>
          <w:sz w:val="21"/>
          <w:szCs w:val="21"/>
        </w:rPr>
        <w:t xml:space="preserve"> </w:t>
      </w:r>
      <w:r w:rsidRPr="001D43B8">
        <w:rPr>
          <w:rFonts w:ascii="Abadi" w:hAnsi="Abadi" w:cs="Calibri Light"/>
          <w:b/>
          <w:bCs/>
          <w:sz w:val="21"/>
          <w:szCs w:val="21"/>
        </w:rPr>
        <w:t>Alma</w:t>
      </w:r>
      <w:r w:rsidRPr="001D43B8">
        <w:rPr>
          <w:rFonts w:ascii="Abadi" w:hAnsi="Abadi" w:cs="Calibri Light"/>
          <w:b/>
          <w:bCs/>
          <w:spacing w:val="15"/>
          <w:sz w:val="21"/>
          <w:szCs w:val="21"/>
        </w:rPr>
        <w:t xml:space="preserve"> </w:t>
      </w:r>
      <w:r w:rsidRPr="001D43B8">
        <w:rPr>
          <w:rFonts w:ascii="Abadi" w:hAnsi="Abadi" w:cs="Calibri Light"/>
          <w:b/>
          <w:bCs/>
          <w:sz w:val="21"/>
          <w:szCs w:val="21"/>
        </w:rPr>
        <w:t>Edwviges</w:t>
      </w:r>
      <w:r w:rsidRPr="001D43B8">
        <w:rPr>
          <w:rFonts w:ascii="Abadi" w:hAnsi="Abadi" w:cs="Calibri Light"/>
          <w:b/>
          <w:bCs/>
          <w:spacing w:val="15"/>
          <w:sz w:val="21"/>
          <w:szCs w:val="21"/>
        </w:rPr>
        <w:t xml:space="preserve"> </w:t>
      </w:r>
      <w:r w:rsidRPr="001D43B8">
        <w:rPr>
          <w:rFonts w:ascii="Abadi" w:hAnsi="Abadi" w:cs="Calibri Light"/>
          <w:b/>
          <w:bCs/>
          <w:sz w:val="21"/>
          <w:szCs w:val="21"/>
        </w:rPr>
        <w:t>Alcaraz</w:t>
      </w:r>
      <w:r w:rsidRPr="001D43B8">
        <w:rPr>
          <w:rFonts w:ascii="Abadi" w:hAnsi="Abadi" w:cs="Calibri Light"/>
          <w:b/>
          <w:bCs/>
          <w:spacing w:val="16"/>
          <w:sz w:val="21"/>
          <w:szCs w:val="21"/>
        </w:rPr>
        <w:t xml:space="preserve"> </w:t>
      </w:r>
      <w:r w:rsidRPr="001D43B8">
        <w:rPr>
          <w:rFonts w:ascii="Abadi" w:hAnsi="Abadi" w:cs="Calibri Light"/>
          <w:b/>
          <w:bCs/>
          <w:sz w:val="21"/>
          <w:szCs w:val="21"/>
        </w:rPr>
        <w:t>Hernández,</w:t>
      </w:r>
      <w:r w:rsidRPr="001D43B8">
        <w:rPr>
          <w:rFonts w:ascii="Abadi" w:hAnsi="Abadi" w:cs="Calibri Light"/>
          <w:spacing w:val="16"/>
          <w:sz w:val="21"/>
          <w:szCs w:val="21"/>
        </w:rPr>
        <w:t xml:space="preserve"> </w:t>
      </w:r>
      <w:r w:rsidRPr="001D43B8">
        <w:rPr>
          <w:rFonts w:ascii="Abadi" w:hAnsi="Abadi" w:cs="Calibri Light"/>
          <w:sz w:val="21"/>
          <w:szCs w:val="21"/>
        </w:rPr>
        <w:t>integrante</w:t>
      </w:r>
      <w:r w:rsidRPr="001D43B8">
        <w:rPr>
          <w:rFonts w:ascii="Abadi" w:hAnsi="Abadi" w:cs="Calibri Light"/>
          <w:spacing w:val="17"/>
          <w:sz w:val="21"/>
          <w:szCs w:val="21"/>
        </w:rPr>
        <w:t xml:space="preserve"> </w:t>
      </w:r>
      <w:r w:rsidRPr="001D43B8">
        <w:rPr>
          <w:rFonts w:ascii="Abadi" w:hAnsi="Abadi" w:cs="Calibri Light"/>
          <w:sz w:val="21"/>
          <w:szCs w:val="21"/>
        </w:rPr>
        <w:t>del</w:t>
      </w:r>
      <w:r w:rsidRPr="001D43B8">
        <w:rPr>
          <w:rFonts w:ascii="Abadi" w:hAnsi="Abadi" w:cs="Calibri Light"/>
          <w:spacing w:val="18"/>
          <w:sz w:val="21"/>
          <w:szCs w:val="21"/>
        </w:rPr>
        <w:t xml:space="preserve"> </w:t>
      </w:r>
      <w:r w:rsidRPr="001D43B8">
        <w:rPr>
          <w:rFonts w:ascii="Abadi" w:hAnsi="Abadi" w:cs="Calibri Light"/>
          <w:sz w:val="21"/>
          <w:szCs w:val="21"/>
        </w:rPr>
        <w:t>Grupo</w:t>
      </w:r>
      <w:r w:rsidRPr="001D43B8">
        <w:rPr>
          <w:rFonts w:ascii="Abadi" w:hAnsi="Abadi" w:cs="Calibri Light"/>
          <w:spacing w:val="18"/>
          <w:sz w:val="21"/>
          <w:szCs w:val="21"/>
        </w:rPr>
        <w:t xml:space="preserve"> </w:t>
      </w:r>
      <w:r w:rsidRPr="001D43B8">
        <w:rPr>
          <w:rFonts w:ascii="Abadi" w:hAnsi="Abadi" w:cs="Calibri Light"/>
          <w:sz w:val="21"/>
          <w:szCs w:val="21"/>
        </w:rPr>
        <w:t>Parlamentario de</w:t>
      </w:r>
      <w:r w:rsidRPr="001D43B8">
        <w:rPr>
          <w:rFonts w:ascii="Abadi" w:hAnsi="Abadi" w:cs="Calibri Light"/>
          <w:spacing w:val="40"/>
          <w:sz w:val="21"/>
          <w:szCs w:val="21"/>
        </w:rPr>
        <w:t xml:space="preserve"> </w:t>
      </w:r>
      <w:r w:rsidRPr="001D43B8">
        <w:rPr>
          <w:rFonts w:ascii="Abadi" w:hAnsi="Abadi" w:cs="Calibri Light"/>
          <w:sz w:val="21"/>
          <w:szCs w:val="21"/>
        </w:rPr>
        <w:t>Morena</w:t>
      </w:r>
      <w:r w:rsidRPr="001D43B8">
        <w:rPr>
          <w:rFonts w:ascii="Abadi" w:hAnsi="Abadi" w:cs="Calibri Light"/>
          <w:spacing w:val="42"/>
          <w:sz w:val="21"/>
          <w:szCs w:val="21"/>
        </w:rPr>
        <w:t xml:space="preserve"> </w:t>
      </w:r>
      <w:r w:rsidRPr="001D43B8">
        <w:rPr>
          <w:rFonts w:ascii="Abadi" w:hAnsi="Abadi" w:cs="Calibri Light"/>
          <w:sz w:val="21"/>
          <w:szCs w:val="21"/>
        </w:rPr>
        <w:t>en</w:t>
      </w:r>
      <w:r w:rsidRPr="001D43B8">
        <w:rPr>
          <w:rFonts w:ascii="Abadi" w:hAnsi="Abadi" w:cs="Calibri Light"/>
          <w:spacing w:val="38"/>
          <w:sz w:val="21"/>
          <w:szCs w:val="21"/>
        </w:rPr>
        <w:t xml:space="preserve"> </w:t>
      </w:r>
      <w:r w:rsidRPr="001D43B8">
        <w:rPr>
          <w:rFonts w:ascii="Abadi" w:hAnsi="Abadi" w:cs="Calibri Light"/>
          <w:sz w:val="21"/>
          <w:szCs w:val="21"/>
        </w:rPr>
        <w:t>la</w:t>
      </w:r>
      <w:r w:rsidRPr="001D43B8">
        <w:rPr>
          <w:rFonts w:ascii="Abadi" w:hAnsi="Abadi" w:cs="Calibri Light"/>
          <w:spacing w:val="42"/>
          <w:sz w:val="21"/>
          <w:szCs w:val="21"/>
        </w:rPr>
        <w:t xml:space="preserve"> </w:t>
      </w:r>
      <w:r w:rsidRPr="001D43B8">
        <w:rPr>
          <w:rFonts w:ascii="Abadi" w:hAnsi="Abadi" w:cs="Calibri Light"/>
          <w:sz w:val="21"/>
          <w:szCs w:val="21"/>
        </w:rPr>
        <w:t>LXV</w:t>
      </w:r>
      <w:r w:rsidRPr="001D43B8">
        <w:rPr>
          <w:rFonts w:ascii="Abadi" w:hAnsi="Abadi" w:cs="Calibri Light"/>
          <w:spacing w:val="44"/>
          <w:sz w:val="21"/>
          <w:szCs w:val="21"/>
        </w:rPr>
        <w:t xml:space="preserve"> </w:t>
      </w:r>
      <w:r w:rsidRPr="001D43B8">
        <w:rPr>
          <w:rFonts w:ascii="Abadi" w:hAnsi="Abadi" w:cs="Calibri Light"/>
          <w:sz w:val="21"/>
          <w:szCs w:val="21"/>
        </w:rPr>
        <w:t>Legislatura</w:t>
      </w:r>
      <w:r w:rsidRPr="001D43B8">
        <w:rPr>
          <w:rFonts w:ascii="Abadi" w:hAnsi="Abadi" w:cs="Calibri Light"/>
          <w:spacing w:val="39"/>
          <w:sz w:val="21"/>
          <w:szCs w:val="21"/>
        </w:rPr>
        <w:t xml:space="preserve"> </w:t>
      </w:r>
      <w:r w:rsidRPr="001D43B8">
        <w:rPr>
          <w:rFonts w:ascii="Abadi" w:hAnsi="Abadi" w:cs="Calibri Light"/>
          <w:sz w:val="21"/>
          <w:szCs w:val="21"/>
        </w:rPr>
        <w:t>del</w:t>
      </w:r>
      <w:r w:rsidRPr="001D43B8">
        <w:rPr>
          <w:rFonts w:ascii="Abadi" w:hAnsi="Abadi" w:cs="Calibri Light"/>
          <w:spacing w:val="40"/>
          <w:sz w:val="21"/>
          <w:szCs w:val="21"/>
        </w:rPr>
        <w:t xml:space="preserve"> </w:t>
      </w:r>
      <w:r w:rsidRPr="001D43B8">
        <w:rPr>
          <w:rFonts w:ascii="Abadi" w:hAnsi="Abadi" w:cs="Calibri Light"/>
          <w:sz w:val="21"/>
          <w:szCs w:val="21"/>
        </w:rPr>
        <w:t>Congreso</w:t>
      </w:r>
      <w:r w:rsidRPr="001D43B8">
        <w:rPr>
          <w:rFonts w:ascii="Abadi" w:hAnsi="Abadi" w:cs="Calibri Light"/>
          <w:spacing w:val="38"/>
          <w:sz w:val="21"/>
          <w:szCs w:val="21"/>
        </w:rPr>
        <w:t xml:space="preserve"> </w:t>
      </w:r>
      <w:r w:rsidRPr="001D43B8">
        <w:rPr>
          <w:rFonts w:ascii="Abadi" w:hAnsi="Abadi" w:cs="Calibri Light"/>
          <w:sz w:val="21"/>
          <w:szCs w:val="21"/>
        </w:rPr>
        <w:t>del</w:t>
      </w:r>
      <w:r w:rsidRPr="001D43B8">
        <w:rPr>
          <w:rFonts w:ascii="Abadi" w:hAnsi="Abadi" w:cs="Calibri Light"/>
          <w:spacing w:val="40"/>
          <w:sz w:val="21"/>
          <w:szCs w:val="21"/>
        </w:rPr>
        <w:t xml:space="preserve"> </w:t>
      </w:r>
      <w:r w:rsidRPr="001D43B8">
        <w:rPr>
          <w:rFonts w:ascii="Abadi" w:hAnsi="Abadi" w:cs="Calibri Light"/>
          <w:sz w:val="21"/>
          <w:szCs w:val="21"/>
        </w:rPr>
        <w:t>Estado</w:t>
      </w:r>
      <w:r w:rsidRPr="001D43B8">
        <w:rPr>
          <w:rFonts w:ascii="Abadi" w:hAnsi="Abadi" w:cs="Calibri Light"/>
          <w:spacing w:val="41"/>
          <w:sz w:val="21"/>
          <w:szCs w:val="21"/>
        </w:rPr>
        <w:t xml:space="preserve"> </w:t>
      </w:r>
      <w:r w:rsidRPr="001D43B8">
        <w:rPr>
          <w:rFonts w:ascii="Abadi" w:hAnsi="Abadi" w:cs="Calibri Light"/>
          <w:sz w:val="21"/>
          <w:szCs w:val="21"/>
        </w:rPr>
        <w:t>de</w:t>
      </w:r>
      <w:r w:rsidRPr="001D43B8">
        <w:rPr>
          <w:rFonts w:ascii="Abadi" w:hAnsi="Abadi" w:cs="Calibri Light"/>
          <w:spacing w:val="38"/>
          <w:sz w:val="21"/>
          <w:szCs w:val="21"/>
        </w:rPr>
        <w:t xml:space="preserve"> </w:t>
      </w:r>
      <w:r w:rsidRPr="001D43B8">
        <w:rPr>
          <w:rFonts w:ascii="Abadi" w:hAnsi="Abadi" w:cs="Calibri Light"/>
          <w:sz w:val="21"/>
          <w:szCs w:val="21"/>
        </w:rPr>
        <w:t>Guanajuato,</w:t>
      </w:r>
      <w:r w:rsidRPr="001D43B8">
        <w:rPr>
          <w:rFonts w:ascii="Abadi" w:hAnsi="Abadi" w:cs="Calibri Light"/>
          <w:spacing w:val="38"/>
          <w:sz w:val="21"/>
          <w:szCs w:val="21"/>
        </w:rPr>
        <w:t xml:space="preserve"> </w:t>
      </w:r>
      <w:r w:rsidRPr="001D43B8">
        <w:rPr>
          <w:rFonts w:ascii="Abadi" w:hAnsi="Abadi" w:cs="Calibri Light"/>
          <w:sz w:val="21"/>
          <w:szCs w:val="21"/>
        </w:rPr>
        <w:t>con</w:t>
      </w:r>
      <w:r w:rsidRPr="001D43B8">
        <w:rPr>
          <w:rFonts w:ascii="Abadi" w:hAnsi="Abadi" w:cs="Calibri Light"/>
          <w:spacing w:val="-1"/>
          <w:sz w:val="21"/>
          <w:szCs w:val="21"/>
        </w:rPr>
        <w:t xml:space="preserve"> </w:t>
      </w:r>
      <w:r w:rsidRPr="001D43B8">
        <w:rPr>
          <w:rFonts w:ascii="Abadi" w:hAnsi="Abadi" w:cs="Calibri Light"/>
          <w:sz w:val="21"/>
          <w:szCs w:val="21"/>
        </w:rPr>
        <w:t>fundamento</w:t>
      </w:r>
      <w:r w:rsidRPr="001D43B8">
        <w:rPr>
          <w:rFonts w:ascii="Abadi" w:hAnsi="Abadi" w:cs="Calibri Light"/>
          <w:spacing w:val="-1"/>
          <w:sz w:val="21"/>
          <w:szCs w:val="21"/>
        </w:rPr>
        <w:t xml:space="preserve"> </w:t>
      </w:r>
      <w:r w:rsidRPr="001D43B8">
        <w:rPr>
          <w:rFonts w:ascii="Abadi" w:hAnsi="Abadi" w:cs="Calibri Light"/>
          <w:sz w:val="21"/>
          <w:szCs w:val="21"/>
        </w:rPr>
        <w:t>en</w:t>
      </w:r>
      <w:r w:rsidRPr="001D43B8">
        <w:rPr>
          <w:rFonts w:ascii="Abadi" w:hAnsi="Abadi" w:cs="Calibri Light"/>
          <w:spacing w:val="-2"/>
          <w:sz w:val="21"/>
          <w:szCs w:val="21"/>
        </w:rPr>
        <w:t xml:space="preserve"> </w:t>
      </w:r>
      <w:r w:rsidRPr="001D43B8">
        <w:rPr>
          <w:rFonts w:ascii="Abadi" w:hAnsi="Abadi" w:cs="Calibri Light"/>
          <w:sz w:val="21"/>
          <w:szCs w:val="21"/>
        </w:rPr>
        <w:t>lo dispuesto</w:t>
      </w:r>
      <w:r w:rsidRPr="001D43B8">
        <w:rPr>
          <w:rFonts w:ascii="Abadi" w:hAnsi="Abadi" w:cs="Calibri Light"/>
          <w:spacing w:val="-2"/>
          <w:sz w:val="21"/>
          <w:szCs w:val="21"/>
        </w:rPr>
        <w:t xml:space="preserve"> </w:t>
      </w:r>
      <w:r w:rsidRPr="001D43B8">
        <w:rPr>
          <w:rFonts w:ascii="Abadi" w:hAnsi="Abadi" w:cs="Calibri Light"/>
          <w:sz w:val="21"/>
          <w:szCs w:val="21"/>
        </w:rPr>
        <w:t>por</w:t>
      </w:r>
      <w:r w:rsidRPr="001D43B8">
        <w:rPr>
          <w:rFonts w:ascii="Abadi" w:hAnsi="Abadi" w:cs="Calibri Light"/>
          <w:spacing w:val="-3"/>
          <w:sz w:val="21"/>
          <w:szCs w:val="21"/>
        </w:rPr>
        <w:t xml:space="preserve"> </w:t>
      </w:r>
      <w:r w:rsidRPr="001D43B8">
        <w:rPr>
          <w:rFonts w:ascii="Abadi" w:hAnsi="Abadi" w:cs="Calibri Light"/>
          <w:sz w:val="21"/>
          <w:szCs w:val="21"/>
        </w:rPr>
        <w:t>los</w:t>
      </w:r>
      <w:r w:rsidRPr="001D43B8">
        <w:rPr>
          <w:rFonts w:ascii="Abadi" w:hAnsi="Abadi" w:cs="Calibri Light"/>
          <w:spacing w:val="-2"/>
          <w:sz w:val="21"/>
          <w:szCs w:val="21"/>
        </w:rPr>
        <w:t xml:space="preserve"> </w:t>
      </w:r>
      <w:r w:rsidRPr="001D43B8">
        <w:rPr>
          <w:rFonts w:ascii="Abadi" w:hAnsi="Abadi" w:cs="Calibri Light"/>
          <w:sz w:val="21"/>
          <w:szCs w:val="21"/>
        </w:rPr>
        <w:t>artículos</w:t>
      </w:r>
      <w:r w:rsidRPr="001D43B8">
        <w:rPr>
          <w:rFonts w:ascii="Abadi" w:hAnsi="Abadi" w:cs="Calibri Light"/>
          <w:spacing w:val="1"/>
          <w:sz w:val="21"/>
          <w:szCs w:val="21"/>
        </w:rPr>
        <w:t xml:space="preserve"> </w:t>
      </w:r>
      <w:r w:rsidRPr="001D43B8">
        <w:rPr>
          <w:rFonts w:ascii="Abadi" w:hAnsi="Abadi" w:cs="Calibri Light"/>
          <w:sz w:val="21"/>
          <w:szCs w:val="21"/>
        </w:rPr>
        <w:t>57</w:t>
      </w:r>
      <w:r w:rsidRPr="001D43B8">
        <w:rPr>
          <w:rFonts w:ascii="Abadi" w:hAnsi="Abadi" w:cs="Calibri Light"/>
          <w:spacing w:val="-1"/>
          <w:sz w:val="21"/>
          <w:szCs w:val="21"/>
        </w:rPr>
        <w:t xml:space="preserve"> </w:t>
      </w:r>
      <w:r w:rsidRPr="001D43B8">
        <w:rPr>
          <w:rFonts w:ascii="Abadi" w:hAnsi="Abadi" w:cs="Calibri Light"/>
          <w:sz w:val="21"/>
          <w:szCs w:val="21"/>
        </w:rPr>
        <w:t>primer</w:t>
      </w:r>
      <w:r w:rsidRPr="001D43B8">
        <w:rPr>
          <w:rFonts w:ascii="Abadi" w:hAnsi="Abadi" w:cs="Calibri Light"/>
          <w:spacing w:val="-2"/>
          <w:sz w:val="21"/>
          <w:szCs w:val="21"/>
        </w:rPr>
        <w:t xml:space="preserve"> </w:t>
      </w:r>
      <w:r w:rsidRPr="001D43B8">
        <w:rPr>
          <w:rFonts w:ascii="Abadi" w:hAnsi="Abadi" w:cs="Calibri Light"/>
          <w:sz w:val="21"/>
          <w:szCs w:val="21"/>
        </w:rPr>
        <w:t>párrafo</w:t>
      </w:r>
      <w:r w:rsidRPr="001D43B8">
        <w:rPr>
          <w:rFonts w:ascii="Abadi" w:hAnsi="Abadi" w:cs="Calibri Light"/>
          <w:spacing w:val="-2"/>
          <w:sz w:val="21"/>
          <w:szCs w:val="21"/>
        </w:rPr>
        <w:t xml:space="preserve"> </w:t>
      </w:r>
      <w:r w:rsidRPr="001D43B8">
        <w:rPr>
          <w:rFonts w:ascii="Abadi" w:hAnsi="Abadi" w:cs="Calibri Light"/>
          <w:sz w:val="21"/>
          <w:szCs w:val="21"/>
        </w:rPr>
        <w:t>de</w:t>
      </w:r>
      <w:r w:rsidRPr="001D43B8">
        <w:rPr>
          <w:rFonts w:ascii="Abadi" w:hAnsi="Abadi" w:cs="Calibri Light"/>
          <w:spacing w:val="-3"/>
          <w:sz w:val="21"/>
          <w:szCs w:val="21"/>
        </w:rPr>
        <w:t xml:space="preserve"> </w:t>
      </w:r>
      <w:r w:rsidRPr="001D43B8">
        <w:rPr>
          <w:rFonts w:ascii="Abadi" w:hAnsi="Abadi" w:cs="Calibri Light"/>
          <w:sz w:val="21"/>
          <w:szCs w:val="21"/>
        </w:rPr>
        <w:t>la</w:t>
      </w:r>
      <w:r w:rsidRPr="001D43B8">
        <w:rPr>
          <w:rFonts w:ascii="Abadi" w:hAnsi="Abadi" w:cs="Calibri Light"/>
          <w:spacing w:val="1"/>
          <w:sz w:val="21"/>
          <w:szCs w:val="21"/>
        </w:rPr>
        <w:t xml:space="preserve"> </w:t>
      </w:r>
      <w:r w:rsidRPr="001D43B8">
        <w:rPr>
          <w:rFonts w:ascii="Abadi" w:hAnsi="Abadi" w:cs="Calibri Light"/>
          <w:sz w:val="21"/>
          <w:szCs w:val="21"/>
        </w:rPr>
        <w:t>Constitución</w:t>
      </w:r>
      <w:r w:rsidRPr="001D43B8">
        <w:rPr>
          <w:rFonts w:ascii="Abadi" w:hAnsi="Abadi" w:cs="Calibri Light"/>
          <w:spacing w:val="-1"/>
          <w:sz w:val="21"/>
          <w:szCs w:val="21"/>
        </w:rPr>
        <w:t xml:space="preserve"> </w:t>
      </w:r>
      <w:r w:rsidRPr="001D43B8">
        <w:rPr>
          <w:rFonts w:ascii="Abadi" w:hAnsi="Abadi" w:cs="Calibri Light"/>
          <w:sz w:val="21"/>
          <w:szCs w:val="21"/>
        </w:rPr>
        <w:t>Política</w:t>
      </w:r>
      <w:r w:rsidRPr="001D43B8">
        <w:rPr>
          <w:rFonts w:ascii="Abadi" w:hAnsi="Abadi" w:cs="Calibri Light"/>
          <w:spacing w:val="-1"/>
          <w:sz w:val="21"/>
          <w:szCs w:val="21"/>
        </w:rPr>
        <w:t xml:space="preserve"> </w:t>
      </w:r>
      <w:r w:rsidRPr="001D43B8">
        <w:rPr>
          <w:rFonts w:ascii="Abadi" w:hAnsi="Abadi" w:cs="Calibri Light"/>
          <w:sz w:val="21"/>
          <w:szCs w:val="21"/>
        </w:rPr>
        <w:t>para</w:t>
      </w:r>
      <w:r w:rsidRPr="001D43B8">
        <w:rPr>
          <w:rFonts w:ascii="Abadi" w:hAnsi="Abadi" w:cs="Calibri Light"/>
          <w:spacing w:val="-2"/>
          <w:sz w:val="21"/>
          <w:szCs w:val="21"/>
        </w:rPr>
        <w:t xml:space="preserve"> </w:t>
      </w:r>
      <w:r w:rsidRPr="001D43B8">
        <w:rPr>
          <w:rFonts w:ascii="Abadi" w:hAnsi="Abadi" w:cs="Calibri Light"/>
          <w:sz w:val="21"/>
          <w:szCs w:val="21"/>
        </w:rPr>
        <w:t>el</w:t>
      </w:r>
      <w:r w:rsidRPr="001D43B8">
        <w:rPr>
          <w:rFonts w:ascii="Abadi" w:hAnsi="Abadi" w:cs="Calibri Light"/>
          <w:spacing w:val="-4"/>
          <w:sz w:val="21"/>
          <w:szCs w:val="21"/>
        </w:rPr>
        <w:t xml:space="preserve"> </w:t>
      </w:r>
      <w:r w:rsidRPr="001D43B8">
        <w:rPr>
          <w:rFonts w:ascii="Abadi" w:hAnsi="Abadi" w:cs="Calibri Light"/>
          <w:sz w:val="21"/>
          <w:szCs w:val="21"/>
        </w:rPr>
        <w:t>Estado</w:t>
      </w:r>
      <w:r w:rsidRPr="001D43B8">
        <w:rPr>
          <w:rFonts w:ascii="Abadi" w:hAnsi="Abadi" w:cs="Calibri Light"/>
          <w:spacing w:val="-1"/>
          <w:sz w:val="21"/>
          <w:szCs w:val="21"/>
        </w:rPr>
        <w:t xml:space="preserve"> </w:t>
      </w:r>
      <w:r w:rsidRPr="001D43B8">
        <w:rPr>
          <w:rFonts w:ascii="Abadi" w:hAnsi="Abadi" w:cs="Calibri Light"/>
          <w:sz w:val="21"/>
          <w:szCs w:val="21"/>
        </w:rPr>
        <w:t>de</w:t>
      </w:r>
      <w:r w:rsidRPr="001D43B8">
        <w:rPr>
          <w:rFonts w:ascii="Abadi" w:hAnsi="Abadi" w:cs="Calibri Light"/>
          <w:spacing w:val="-5"/>
          <w:sz w:val="21"/>
          <w:szCs w:val="21"/>
        </w:rPr>
        <w:t xml:space="preserve"> </w:t>
      </w:r>
      <w:r w:rsidRPr="001D43B8">
        <w:rPr>
          <w:rFonts w:ascii="Abadi" w:hAnsi="Abadi" w:cs="Calibri Light"/>
          <w:sz w:val="21"/>
          <w:szCs w:val="21"/>
        </w:rPr>
        <w:t>Guanajuato,</w:t>
      </w:r>
      <w:r w:rsidRPr="001D43B8">
        <w:rPr>
          <w:rFonts w:ascii="Abadi" w:hAnsi="Abadi" w:cs="Calibri Light"/>
          <w:spacing w:val="-4"/>
          <w:sz w:val="21"/>
          <w:szCs w:val="21"/>
        </w:rPr>
        <w:t xml:space="preserve"> </w:t>
      </w:r>
      <w:r w:rsidRPr="001D43B8">
        <w:rPr>
          <w:rFonts w:ascii="Abadi" w:hAnsi="Abadi" w:cs="Calibri Light"/>
          <w:sz w:val="21"/>
          <w:szCs w:val="21"/>
        </w:rPr>
        <w:t>y</w:t>
      </w:r>
      <w:r w:rsidRPr="001D43B8">
        <w:rPr>
          <w:rFonts w:ascii="Abadi" w:hAnsi="Abadi" w:cs="Calibri Light"/>
          <w:spacing w:val="-4"/>
          <w:sz w:val="21"/>
          <w:szCs w:val="21"/>
        </w:rPr>
        <w:t xml:space="preserve"> </w:t>
      </w:r>
      <w:r w:rsidRPr="001D43B8">
        <w:rPr>
          <w:rFonts w:ascii="Abadi" w:hAnsi="Abadi" w:cs="Calibri Light"/>
          <w:sz w:val="21"/>
          <w:szCs w:val="21"/>
        </w:rPr>
        <w:t>artículo</w:t>
      </w:r>
      <w:r w:rsidRPr="001D43B8">
        <w:rPr>
          <w:rFonts w:ascii="Abadi" w:hAnsi="Abadi" w:cs="Calibri Light"/>
          <w:spacing w:val="-4"/>
          <w:sz w:val="21"/>
          <w:szCs w:val="21"/>
        </w:rPr>
        <w:t xml:space="preserve"> </w:t>
      </w:r>
      <w:r w:rsidRPr="001D43B8">
        <w:rPr>
          <w:rFonts w:ascii="Abadi" w:hAnsi="Abadi" w:cs="Calibri Light"/>
          <w:sz w:val="21"/>
          <w:szCs w:val="21"/>
        </w:rPr>
        <w:t>204</w:t>
      </w:r>
      <w:r w:rsidRPr="001D43B8">
        <w:rPr>
          <w:rFonts w:ascii="Abadi" w:hAnsi="Abadi" w:cs="Calibri Light"/>
          <w:spacing w:val="-3"/>
          <w:sz w:val="21"/>
          <w:szCs w:val="21"/>
        </w:rPr>
        <w:t xml:space="preserve"> </w:t>
      </w:r>
      <w:r w:rsidRPr="001D43B8">
        <w:rPr>
          <w:rFonts w:ascii="Abadi" w:hAnsi="Abadi" w:cs="Calibri Light"/>
          <w:sz w:val="21"/>
          <w:szCs w:val="21"/>
        </w:rPr>
        <w:t>fracción</w:t>
      </w:r>
      <w:r w:rsidRPr="001D43B8">
        <w:rPr>
          <w:rFonts w:ascii="Abadi" w:hAnsi="Abadi" w:cs="Calibri Light"/>
          <w:spacing w:val="1"/>
          <w:sz w:val="21"/>
          <w:szCs w:val="21"/>
        </w:rPr>
        <w:t xml:space="preserve"> </w:t>
      </w:r>
      <w:r w:rsidRPr="001D43B8">
        <w:rPr>
          <w:rFonts w:ascii="Abadi" w:hAnsi="Abadi" w:cs="Calibri Light"/>
          <w:sz w:val="21"/>
          <w:szCs w:val="21"/>
        </w:rPr>
        <w:t>III</w:t>
      </w:r>
      <w:r w:rsidRPr="001D43B8">
        <w:rPr>
          <w:rFonts w:ascii="Abadi" w:hAnsi="Abadi" w:cs="Calibri Light"/>
          <w:spacing w:val="-3"/>
          <w:sz w:val="21"/>
          <w:szCs w:val="21"/>
        </w:rPr>
        <w:t xml:space="preserve"> </w:t>
      </w:r>
      <w:r w:rsidRPr="001D43B8">
        <w:rPr>
          <w:rFonts w:ascii="Abadi" w:hAnsi="Abadi" w:cs="Calibri Light"/>
          <w:sz w:val="21"/>
          <w:szCs w:val="21"/>
        </w:rPr>
        <w:t>de</w:t>
      </w:r>
      <w:r w:rsidRPr="001D43B8">
        <w:rPr>
          <w:rFonts w:ascii="Abadi" w:hAnsi="Abadi" w:cs="Calibri Light"/>
          <w:spacing w:val="-5"/>
          <w:sz w:val="21"/>
          <w:szCs w:val="21"/>
        </w:rPr>
        <w:t xml:space="preserve"> </w:t>
      </w:r>
      <w:r w:rsidRPr="001D43B8">
        <w:rPr>
          <w:rFonts w:ascii="Abadi" w:hAnsi="Abadi" w:cs="Calibri Light"/>
          <w:sz w:val="21"/>
          <w:szCs w:val="21"/>
        </w:rPr>
        <w:t>la</w:t>
      </w:r>
      <w:r w:rsidRPr="001D43B8">
        <w:rPr>
          <w:rFonts w:ascii="Abadi" w:hAnsi="Abadi" w:cs="Calibri Light"/>
          <w:spacing w:val="1"/>
          <w:sz w:val="21"/>
          <w:szCs w:val="21"/>
        </w:rPr>
        <w:t xml:space="preserve"> </w:t>
      </w:r>
      <w:r w:rsidRPr="001D43B8">
        <w:rPr>
          <w:rFonts w:ascii="Abadi" w:hAnsi="Abadi" w:cs="Calibri Light"/>
          <w:sz w:val="21"/>
          <w:szCs w:val="21"/>
        </w:rPr>
        <w:t>Ley</w:t>
      </w:r>
      <w:r w:rsidRPr="001D43B8">
        <w:rPr>
          <w:rFonts w:ascii="Abadi" w:hAnsi="Abadi" w:cs="Calibri Light"/>
          <w:spacing w:val="-4"/>
          <w:sz w:val="21"/>
          <w:szCs w:val="21"/>
        </w:rPr>
        <w:t xml:space="preserve"> </w:t>
      </w:r>
      <w:r w:rsidRPr="001D43B8">
        <w:rPr>
          <w:rFonts w:ascii="Abadi" w:hAnsi="Abadi" w:cs="Calibri Light"/>
          <w:sz w:val="21"/>
          <w:szCs w:val="21"/>
        </w:rPr>
        <w:t>Orgánica</w:t>
      </w:r>
      <w:r w:rsidRPr="001D43B8">
        <w:rPr>
          <w:rFonts w:ascii="Abadi" w:hAnsi="Abadi" w:cs="Calibri Light"/>
          <w:spacing w:val="-1"/>
          <w:sz w:val="21"/>
          <w:szCs w:val="21"/>
        </w:rPr>
        <w:t xml:space="preserve"> </w:t>
      </w:r>
      <w:r w:rsidRPr="001D43B8">
        <w:rPr>
          <w:rFonts w:ascii="Abadi" w:hAnsi="Abadi" w:cs="Calibri Light"/>
          <w:sz w:val="21"/>
          <w:szCs w:val="21"/>
        </w:rPr>
        <w:t>del</w:t>
      </w:r>
      <w:r w:rsidRPr="001D43B8">
        <w:rPr>
          <w:rFonts w:ascii="Abadi" w:hAnsi="Abadi" w:cs="Calibri Light"/>
          <w:spacing w:val="47"/>
          <w:sz w:val="21"/>
          <w:szCs w:val="21"/>
        </w:rPr>
        <w:t xml:space="preserve"> </w:t>
      </w:r>
      <w:r w:rsidRPr="001D43B8">
        <w:rPr>
          <w:rFonts w:ascii="Abadi" w:hAnsi="Abadi" w:cs="Calibri Light"/>
          <w:sz w:val="21"/>
          <w:szCs w:val="21"/>
        </w:rPr>
        <w:t>Poder</w:t>
      </w:r>
      <w:r w:rsidRPr="001D43B8">
        <w:rPr>
          <w:rFonts w:ascii="Abadi" w:hAnsi="Abadi" w:cs="Calibri Light"/>
          <w:spacing w:val="47"/>
          <w:sz w:val="21"/>
          <w:szCs w:val="21"/>
        </w:rPr>
        <w:t xml:space="preserve"> </w:t>
      </w:r>
      <w:r w:rsidRPr="001D43B8">
        <w:rPr>
          <w:rFonts w:ascii="Abadi" w:hAnsi="Abadi" w:cs="Calibri Light"/>
          <w:sz w:val="21"/>
          <w:szCs w:val="21"/>
        </w:rPr>
        <w:t>Legislativo</w:t>
      </w:r>
      <w:r w:rsidRPr="001D43B8">
        <w:rPr>
          <w:rFonts w:ascii="Abadi" w:hAnsi="Abadi" w:cs="Calibri Light"/>
          <w:spacing w:val="47"/>
          <w:sz w:val="21"/>
          <w:szCs w:val="21"/>
        </w:rPr>
        <w:t xml:space="preserve"> </w:t>
      </w:r>
      <w:r w:rsidRPr="001D43B8">
        <w:rPr>
          <w:rFonts w:ascii="Abadi" w:hAnsi="Abadi" w:cs="Calibri Light"/>
          <w:sz w:val="21"/>
          <w:szCs w:val="21"/>
        </w:rPr>
        <w:t>del</w:t>
      </w:r>
      <w:r w:rsidRPr="001D43B8">
        <w:rPr>
          <w:rFonts w:ascii="Abadi" w:hAnsi="Abadi" w:cs="Calibri Light"/>
          <w:spacing w:val="46"/>
          <w:sz w:val="21"/>
          <w:szCs w:val="21"/>
        </w:rPr>
        <w:t xml:space="preserve"> </w:t>
      </w:r>
      <w:r w:rsidRPr="001D43B8">
        <w:rPr>
          <w:rFonts w:ascii="Abadi" w:hAnsi="Abadi" w:cs="Calibri Light"/>
          <w:sz w:val="21"/>
          <w:szCs w:val="21"/>
        </w:rPr>
        <w:t>Estado</w:t>
      </w:r>
      <w:r w:rsidRPr="001D43B8">
        <w:rPr>
          <w:rFonts w:ascii="Abadi" w:hAnsi="Abadi" w:cs="Calibri Light"/>
          <w:spacing w:val="44"/>
          <w:sz w:val="21"/>
          <w:szCs w:val="21"/>
        </w:rPr>
        <w:t xml:space="preserve"> </w:t>
      </w:r>
      <w:r w:rsidRPr="001D43B8">
        <w:rPr>
          <w:rFonts w:ascii="Abadi" w:hAnsi="Abadi" w:cs="Calibri Light"/>
          <w:sz w:val="21"/>
          <w:szCs w:val="21"/>
        </w:rPr>
        <w:t>de</w:t>
      </w:r>
      <w:r w:rsidRPr="001D43B8">
        <w:rPr>
          <w:rFonts w:ascii="Abadi" w:hAnsi="Abadi" w:cs="Calibri Light"/>
          <w:spacing w:val="44"/>
          <w:sz w:val="21"/>
          <w:szCs w:val="21"/>
        </w:rPr>
        <w:t xml:space="preserve"> </w:t>
      </w:r>
      <w:r w:rsidRPr="001D43B8">
        <w:rPr>
          <w:rFonts w:ascii="Abadi" w:hAnsi="Abadi" w:cs="Calibri Light"/>
          <w:sz w:val="21"/>
          <w:szCs w:val="21"/>
        </w:rPr>
        <w:t>Guanajuato,</w:t>
      </w:r>
      <w:r w:rsidRPr="001D43B8">
        <w:rPr>
          <w:rFonts w:ascii="Abadi" w:hAnsi="Abadi" w:cs="Calibri Light"/>
          <w:spacing w:val="46"/>
          <w:sz w:val="21"/>
          <w:szCs w:val="21"/>
        </w:rPr>
        <w:t xml:space="preserve"> </w:t>
      </w:r>
      <w:r w:rsidRPr="001D43B8">
        <w:rPr>
          <w:rFonts w:ascii="Abadi" w:hAnsi="Abadi" w:cs="Calibri Light"/>
          <w:sz w:val="21"/>
          <w:szCs w:val="21"/>
        </w:rPr>
        <w:t>me</w:t>
      </w:r>
      <w:r w:rsidRPr="001D43B8">
        <w:rPr>
          <w:rFonts w:ascii="Abadi" w:hAnsi="Abadi" w:cs="Calibri Light"/>
          <w:spacing w:val="44"/>
          <w:sz w:val="21"/>
          <w:szCs w:val="21"/>
        </w:rPr>
        <w:t xml:space="preserve"> </w:t>
      </w:r>
      <w:r w:rsidRPr="001D43B8">
        <w:rPr>
          <w:rFonts w:ascii="Abadi" w:hAnsi="Abadi" w:cs="Calibri Light"/>
          <w:sz w:val="21"/>
          <w:szCs w:val="21"/>
        </w:rPr>
        <w:t>permito</w:t>
      </w:r>
      <w:r w:rsidRPr="001D43B8">
        <w:rPr>
          <w:rFonts w:ascii="Abadi" w:hAnsi="Abadi" w:cs="Calibri Light"/>
          <w:spacing w:val="47"/>
          <w:sz w:val="21"/>
          <w:szCs w:val="21"/>
        </w:rPr>
        <w:t xml:space="preserve"> </w:t>
      </w:r>
      <w:r w:rsidRPr="001D43B8">
        <w:rPr>
          <w:rFonts w:ascii="Abadi" w:hAnsi="Abadi" w:cs="Calibri Light"/>
          <w:sz w:val="21"/>
          <w:szCs w:val="21"/>
        </w:rPr>
        <w:t>poner</w:t>
      </w:r>
      <w:r w:rsidRPr="001D43B8">
        <w:rPr>
          <w:rFonts w:ascii="Abadi" w:hAnsi="Abadi" w:cs="Calibri Light"/>
          <w:spacing w:val="47"/>
          <w:sz w:val="21"/>
          <w:szCs w:val="21"/>
        </w:rPr>
        <w:t xml:space="preserve"> </w:t>
      </w:r>
      <w:r w:rsidRPr="001D43B8">
        <w:rPr>
          <w:rFonts w:ascii="Abadi" w:hAnsi="Abadi" w:cs="Calibri Light"/>
          <w:sz w:val="21"/>
          <w:szCs w:val="21"/>
        </w:rPr>
        <w:t>a</w:t>
      </w:r>
      <w:r w:rsidRPr="001D43B8">
        <w:rPr>
          <w:rFonts w:ascii="Abadi" w:hAnsi="Abadi" w:cs="Calibri Light"/>
          <w:spacing w:val="46"/>
          <w:sz w:val="21"/>
          <w:szCs w:val="21"/>
        </w:rPr>
        <w:t xml:space="preserve"> </w:t>
      </w:r>
      <w:r w:rsidRPr="001D43B8">
        <w:rPr>
          <w:rFonts w:ascii="Abadi" w:hAnsi="Abadi" w:cs="Calibri Light"/>
          <w:sz w:val="21"/>
          <w:szCs w:val="21"/>
        </w:rPr>
        <w:t>la consideración</w:t>
      </w:r>
      <w:r w:rsidRPr="001D43B8">
        <w:rPr>
          <w:rFonts w:ascii="Abadi" w:hAnsi="Abadi" w:cs="Calibri Light"/>
          <w:spacing w:val="5"/>
          <w:sz w:val="21"/>
          <w:szCs w:val="21"/>
        </w:rPr>
        <w:t xml:space="preserve"> </w:t>
      </w:r>
      <w:r w:rsidRPr="001D43B8">
        <w:rPr>
          <w:rFonts w:ascii="Abadi" w:hAnsi="Abadi" w:cs="Calibri Light"/>
          <w:sz w:val="21"/>
          <w:szCs w:val="21"/>
        </w:rPr>
        <w:t>de</w:t>
      </w:r>
      <w:r w:rsidRPr="001D43B8">
        <w:rPr>
          <w:rFonts w:ascii="Abadi" w:hAnsi="Abadi" w:cs="Calibri Light"/>
          <w:spacing w:val="4"/>
          <w:sz w:val="21"/>
          <w:szCs w:val="21"/>
        </w:rPr>
        <w:t xml:space="preserve"> </w:t>
      </w:r>
      <w:r w:rsidRPr="001D43B8">
        <w:rPr>
          <w:rFonts w:ascii="Abadi" w:hAnsi="Abadi" w:cs="Calibri Light"/>
          <w:sz w:val="21"/>
          <w:szCs w:val="21"/>
        </w:rPr>
        <w:t>la</w:t>
      </w:r>
      <w:r w:rsidRPr="001D43B8">
        <w:rPr>
          <w:rFonts w:ascii="Abadi" w:hAnsi="Abadi" w:cs="Calibri Light"/>
          <w:spacing w:val="6"/>
          <w:sz w:val="21"/>
          <w:szCs w:val="21"/>
        </w:rPr>
        <w:t xml:space="preserve"> </w:t>
      </w:r>
      <w:r w:rsidRPr="001D43B8">
        <w:rPr>
          <w:rFonts w:ascii="Abadi" w:hAnsi="Abadi" w:cs="Calibri Light"/>
          <w:sz w:val="21"/>
          <w:szCs w:val="21"/>
        </w:rPr>
        <w:t>Asamblea</w:t>
      </w:r>
      <w:r w:rsidRPr="001D43B8">
        <w:rPr>
          <w:rFonts w:ascii="Abadi" w:hAnsi="Abadi" w:cs="Calibri Light"/>
          <w:spacing w:val="5"/>
          <w:sz w:val="21"/>
          <w:szCs w:val="21"/>
        </w:rPr>
        <w:t xml:space="preserve"> </w:t>
      </w:r>
      <w:r w:rsidRPr="001D43B8">
        <w:rPr>
          <w:rFonts w:ascii="Abadi" w:hAnsi="Abadi" w:cs="Calibri Light"/>
          <w:sz w:val="21"/>
          <w:szCs w:val="21"/>
        </w:rPr>
        <w:t>la</w:t>
      </w:r>
      <w:r w:rsidRPr="001D43B8">
        <w:rPr>
          <w:rFonts w:ascii="Abadi" w:hAnsi="Abadi" w:cs="Calibri Light"/>
          <w:spacing w:val="6"/>
          <w:sz w:val="21"/>
          <w:szCs w:val="21"/>
        </w:rPr>
        <w:t xml:space="preserve"> </w:t>
      </w:r>
      <w:r w:rsidRPr="001D43B8">
        <w:rPr>
          <w:rFonts w:ascii="Abadi" w:hAnsi="Abadi" w:cs="Calibri Light"/>
          <w:sz w:val="21"/>
          <w:szCs w:val="21"/>
        </w:rPr>
        <w:t>siguiente</w:t>
      </w:r>
      <w:r w:rsidRPr="001D43B8">
        <w:rPr>
          <w:rFonts w:ascii="Abadi" w:hAnsi="Abadi" w:cs="Calibri Light"/>
          <w:spacing w:val="5"/>
          <w:sz w:val="21"/>
          <w:szCs w:val="21"/>
        </w:rPr>
        <w:t xml:space="preserve"> </w:t>
      </w:r>
      <w:r w:rsidRPr="001D43B8">
        <w:rPr>
          <w:rFonts w:ascii="Abadi" w:hAnsi="Abadi" w:cs="Calibri Light"/>
          <w:sz w:val="21"/>
          <w:szCs w:val="21"/>
        </w:rPr>
        <w:t>propuesta</w:t>
      </w:r>
      <w:r w:rsidRPr="001D43B8">
        <w:rPr>
          <w:rFonts w:ascii="Abadi" w:hAnsi="Abadi" w:cs="Calibri Light"/>
          <w:spacing w:val="5"/>
          <w:sz w:val="21"/>
          <w:szCs w:val="21"/>
        </w:rPr>
        <w:t xml:space="preserve"> </w:t>
      </w:r>
      <w:r w:rsidRPr="001D43B8">
        <w:rPr>
          <w:rFonts w:ascii="Abadi" w:hAnsi="Abadi" w:cs="Calibri Light"/>
          <w:sz w:val="21"/>
          <w:szCs w:val="21"/>
        </w:rPr>
        <w:t>de</w:t>
      </w:r>
      <w:r w:rsidRPr="001D43B8">
        <w:rPr>
          <w:rFonts w:ascii="Abadi" w:hAnsi="Abadi" w:cs="Calibri Light"/>
          <w:spacing w:val="10"/>
          <w:sz w:val="21"/>
          <w:szCs w:val="21"/>
        </w:rPr>
        <w:t xml:space="preserve"> </w:t>
      </w:r>
      <w:r w:rsidRPr="001D43B8">
        <w:rPr>
          <w:rFonts w:ascii="Abadi" w:hAnsi="Abadi" w:cs="Calibri Light"/>
          <w:sz w:val="21"/>
          <w:szCs w:val="21"/>
        </w:rPr>
        <w:t>Punto</w:t>
      </w:r>
      <w:r w:rsidRPr="001D43B8">
        <w:rPr>
          <w:rFonts w:ascii="Abadi" w:hAnsi="Abadi" w:cs="Calibri Light"/>
          <w:spacing w:val="2"/>
          <w:sz w:val="21"/>
          <w:szCs w:val="21"/>
        </w:rPr>
        <w:t xml:space="preserve"> </w:t>
      </w:r>
      <w:r w:rsidRPr="001D43B8">
        <w:rPr>
          <w:rFonts w:ascii="Abadi" w:hAnsi="Abadi" w:cs="Calibri Light"/>
          <w:sz w:val="21"/>
          <w:szCs w:val="21"/>
        </w:rPr>
        <w:t>de</w:t>
      </w:r>
      <w:r w:rsidRPr="001D43B8">
        <w:rPr>
          <w:rFonts w:ascii="Abadi" w:hAnsi="Abadi" w:cs="Calibri Light"/>
          <w:spacing w:val="2"/>
          <w:sz w:val="21"/>
          <w:szCs w:val="21"/>
        </w:rPr>
        <w:t xml:space="preserve"> </w:t>
      </w:r>
      <w:r w:rsidRPr="001D43B8">
        <w:rPr>
          <w:rFonts w:ascii="Abadi" w:hAnsi="Abadi" w:cs="Calibri Light"/>
          <w:sz w:val="21"/>
          <w:szCs w:val="21"/>
        </w:rPr>
        <w:t>Acuerdo,</w:t>
      </w:r>
      <w:r w:rsidRPr="001D43B8">
        <w:rPr>
          <w:rFonts w:ascii="Abadi" w:hAnsi="Abadi" w:cs="Calibri Light"/>
          <w:spacing w:val="2"/>
          <w:sz w:val="21"/>
          <w:szCs w:val="21"/>
        </w:rPr>
        <w:t xml:space="preserve"> </w:t>
      </w:r>
      <w:r w:rsidRPr="001D43B8">
        <w:rPr>
          <w:rFonts w:ascii="Abadi" w:hAnsi="Abadi" w:cs="Calibri Light"/>
          <w:sz w:val="21"/>
          <w:szCs w:val="21"/>
        </w:rPr>
        <w:t>según</w:t>
      </w:r>
      <w:r w:rsidR="00EF2953">
        <w:rPr>
          <w:rFonts w:ascii="Abadi" w:hAnsi="Abadi" w:cs="Calibri Light"/>
          <w:sz w:val="21"/>
          <w:szCs w:val="21"/>
        </w:rPr>
        <w:t xml:space="preserve"> </w:t>
      </w:r>
      <w:r w:rsidRPr="001D43B8">
        <w:rPr>
          <w:rFonts w:ascii="Abadi" w:hAnsi="Abadi" w:cs="Calibri Light"/>
          <w:sz w:val="21"/>
          <w:szCs w:val="21"/>
        </w:rPr>
        <w:t>las</w:t>
      </w:r>
      <w:r w:rsidRPr="001D43B8">
        <w:rPr>
          <w:rFonts w:ascii="Abadi" w:hAnsi="Abadi" w:cs="Calibri Light"/>
          <w:spacing w:val="-1"/>
          <w:sz w:val="21"/>
          <w:szCs w:val="21"/>
        </w:rPr>
        <w:t xml:space="preserve"> </w:t>
      </w:r>
      <w:r w:rsidRPr="001D43B8">
        <w:rPr>
          <w:rFonts w:ascii="Abadi" w:hAnsi="Abadi" w:cs="Calibri Light"/>
          <w:sz w:val="21"/>
          <w:szCs w:val="21"/>
        </w:rPr>
        <w:t>siguientes:</w:t>
      </w:r>
    </w:p>
    <w:p w14:paraId="74437528" w14:textId="459F7104" w:rsidR="00961415" w:rsidRDefault="00961415" w:rsidP="00A44DEE">
      <w:pPr>
        <w:kinsoku w:val="0"/>
        <w:overflowPunct w:val="0"/>
        <w:autoSpaceDE w:val="0"/>
        <w:autoSpaceDN w:val="0"/>
        <w:adjustRightInd w:val="0"/>
        <w:ind w:left="39"/>
        <w:jc w:val="center"/>
        <w:rPr>
          <w:rFonts w:ascii="Abadi" w:hAnsi="Abadi" w:cs="Calibri Light"/>
          <w:sz w:val="21"/>
          <w:szCs w:val="21"/>
        </w:rPr>
      </w:pPr>
    </w:p>
    <w:p w14:paraId="2E49A7AF" w14:textId="75DFB146" w:rsidR="00BE037B" w:rsidRPr="001D43B8" w:rsidRDefault="00BE037B" w:rsidP="00A44DEE">
      <w:pPr>
        <w:kinsoku w:val="0"/>
        <w:overflowPunct w:val="0"/>
        <w:autoSpaceDE w:val="0"/>
        <w:autoSpaceDN w:val="0"/>
        <w:adjustRightInd w:val="0"/>
        <w:ind w:left="39"/>
        <w:jc w:val="center"/>
        <w:rPr>
          <w:rFonts w:ascii="Abadi" w:hAnsi="Abadi" w:cs="Calibri Light"/>
          <w:b/>
          <w:bCs/>
          <w:sz w:val="21"/>
          <w:szCs w:val="21"/>
        </w:rPr>
      </w:pPr>
      <w:r w:rsidRPr="00EF2953">
        <w:rPr>
          <w:rFonts w:ascii="Abadi" w:hAnsi="Abadi" w:cs="Calibri Light"/>
          <w:b/>
          <w:bCs/>
          <w:sz w:val="21"/>
          <w:szCs w:val="21"/>
        </w:rPr>
        <w:t>CON</w:t>
      </w:r>
      <w:r w:rsidR="00EF2953" w:rsidRPr="00EF2953">
        <w:rPr>
          <w:rFonts w:ascii="Abadi" w:hAnsi="Abadi" w:cs="Calibri Light"/>
          <w:b/>
          <w:bCs/>
          <w:sz w:val="21"/>
          <w:szCs w:val="21"/>
        </w:rPr>
        <w:t>SIDERACIONES</w:t>
      </w:r>
    </w:p>
    <w:p w14:paraId="67BFF361" w14:textId="77777777" w:rsidR="00292E85" w:rsidRDefault="00292E85" w:rsidP="00A44DEE">
      <w:pPr>
        <w:kinsoku w:val="0"/>
        <w:overflowPunct w:val="0"/>
        <w:autoSpaceDE w:val="0"/>
        <w:autoSpaceDN w:val="0"/>
        <w:adjustRightInd w:val="0"/>
        <w:ind w:left="39" w:right="118"/>
        <w:jc w:val="both"/>
        <w:rPr>
          <w:rFonts w:ascii="Abadi" w:hAnsi="Abadi" w:cs="Calibri Light"/>
          <w:sz w:val="21"/>
          <w:szCs w:val="21"/>
        </w:rPr>
      </w:pPr>
    </w:p>
    <w:p w14:paraId="1B52B727" w14:textId="58E51769" w:rsidR="00AF040F" w:rsidRPr="001D43B8" w:rsidRDefault="00AF040F" w:rsidP="00A44DEE">
      <w:pPr>
        <w:kinsoku w:val="0"/>
        <w:overflowPunct w:val="0"/>
        <w:autoSpaceDE w:val="0"/>
        <w:autoSpaceDN w:val="0"/>
        <w:adjustRightInd w:val="0"/>
        <w:ind w:left="39" w:right="118"/>
        <w:jc w:val="both"/>
        <w:rPr>
          <w:rFonts w:ascii="Abadi" w:hAnsi="Abadi" w:cs="Calibri Light"/>
          <w:sz w:val="21"/>
          <w:szCs w:val="21"/>
        </w:rPr>
      </w:pPr>
      <w:r w:rsidRPr="001D43B8">
        <w:rPr>
          <w:rFonts w:ascii="Abadi" w:hAnsi="Abadi" w:cs="Calibri Light"/>
          <w:sz w:val="21"/>
          <w:szCs w:val="21"/>
        </w:rPr>
        <w:t>La</w:t>
      </w:r>
      <w:r w:rsidRPr="001D43B8">
        <w:rPr>
          <w:rFonts w:ascii="Abadi" w:hAnsi="Abadi" w:cs="Calibri Light"/>
          <w:spacing w:val="12"/>
          <w:sz w:val="21"/>
          <w:szCs w:val="21"/>
        </w:rPr>
        <w:t xml:space="preserve"> </w:t>
      </w:r>
      <w:r w:rsidRPr="001D43B8">
        <w:rPr>
          <w:rFonts w:ascii="Abadi" w:hAnsi="Abadi" w:cs="Calibri Light"/>
          <w:sz w:val="21"/>
          <w:szCs w:val="21"/>
        </w:rPr>
        <w:t>violencia</w:t>
      </w:r>
      <w:r w:rsidRPr="001D43B8">
        <w:rPr>
          <w:rFonts w:ascii="Abadi" w:hAnsi="Abadi" w:cs="Calibri Light"/>
          <w:spacing w:val="12"/>
          <w:sz w:val="21"/>
          <w:szCs w:val="21"/>
        </w:rPr>
        <w:t xml:space="preserve"> </w:t>
      </w:r>
      <w:r w:rsidRPr="001D43B8">
        <w:rPr>
          <w:rFonts w:ascii="Abadi" w:hAnsi="Abadi" w:cs="Calibri Light"/>
          <w:sz w:val="21"/>
          <w:szCs w:val="21"/>
        </w:rPr>
        <w:t>contra</w:t>
      </w:r>
      <w:r w:rsidRPr="001D43B8">
        <w:rPr>
          <w:rFonts w:ascii="Abadi" w:hAnsi="Abadi" w:cs="Calibri Light"/>
          <w:spacing w:val="12"/>
          <w:sz w:val="21"/>
          <w:szCs w:val="21"/>
        </w:rPr>
        <w:t xml:space="preserve"> </w:t>
      </w:r>
      <w:r w:rsidRPr="001D43B8">
        <w:rPr>
          <w:rFonts w:ascii="Abadi" w:hAnsi="Abadi" w:cs="Calibri Light"/>
          <w:sz w:val="21"/>
          <w:szCs w:val="21"/>
        </w:rPr>
        <w:t>las</w:t>
      </w:r>
      <w:r w:rsidRPr="001D43B8">
        <w:rPr>
          <w:rFonts w:ascii="Abadi" w:hAnsi="Abadi" w:cs="Calibri Light"/>
          <w:spacing w:val="16"/>
          <w:sz w:val="21"/>
          <w:szCs w:val="21"/>
        </w:rPr>
        <w:t xml:space="preserve"> </w:t>
      </w:r>
      <w:r w:rsidRPr="001D43B8">
        <w:rPr>
          <w:rFonts w:ascii="Abadi" w:hAnsi="Abadi" w:cs="Calibri Light"/>
          <w:sz w:val="21"/>
          <w:szCs w:val="21"/>
        </w:rPr>
        <w:t>mujeres</w:t>
      </w:r>
      <w:r w:rsidRPr="001D43B8">
        <w:rPr>
          <w:rFonts w:ascii="Abadi" w:hAnsi="Abadi" w:cs="Calibri Light"/>
          <w:spacing w:val="16"/>
          <w:sz w:val="21"/>
          <w:szCs w:val="21"/>
        </w:rPr>
        <w:t xml:space="preserve"> </w:t>
      </w:r>
      <w:r w:rsidRPr="001D43B8">
        <w:rPr>
          <w:rFonts w:ascii="Abadi" w:hAnsi="Abadi" w:cs="Calibri Light"/>
          <w:sz w:val="21"/>
          <w:szCs w:val="21"/>
        </w:rPr>
        <w:t>responde</w:t>
      </w:r>
      <w:r w:rsidRPr="001D43B8">
        <w:rPr>
          <w:rFonts w:ascii="Abadi" w:hAnsi="Abadi" w:cs="Calibri Light"/>
          <w:spacing w:val="12"/>
          <w:sz w:val="21"/>
          <w:szCs w:val="21"/>
        </w:rPr>
        <w:t xml:space="preserve"> </w:t>
      </w:r>
      <w:r w:rsidRPr="001D43B8">
        <w:rPr>
          <w:rFonts w:ascii="Abadi" w:hAnsi="Abadi" w:cs="Calibri Light"/>
          <w:sz w:val="21"/>
          <w:szCs w:val="21"/>
        </w:rPr>
        <w:t>a</w:t>
      </w:r>
      <w:r w:rsidRPr="001D43B8">
        <w:rPr>
          <w:rFonts w:ascii="Abadi" w:hAnsi="Abadi" w:cs="Calibri Light"/>
          <w:spacing w:val="14"/>
          <w:sz w:val="21"/>
          <w:szCs w:val="21"/>
        </w:rPr>
        <w:t xml:space="preserve"> </w:t>
      </w:r>
      <w:r w:rsidRPr="001D43B8">
        <w:rPr>
          <w:rFonts w:ascii="Abadi" w:hAnsi="Abadi" w:cs="Calibri Light"/>
          <w:sz w:val="21"/>
          <w:szCs w:val="21"/>
        </w:rPr>
        <w:t>la</w:t>
      </w:r>
      <w:r w:rsidRPr="001D43B8">
        <w:rPr>
          <w:rFonts w:ascii="Abadi" w:hAnsi="Abadi" w:cs="Calibri Light"/>
          <w:spacing w:val="16"/>
          <w:sz w:val="21"/>
          <w:szCs w:val="21"/>
        </w:rPr>
        <w:t xml:space="preserve"> </w:t>
      </w:r>
      <w:r w:rsidRPr="001D43B8">
        <w:rPr>
          <w:rFonts w:ascii="Abadi" w:hAnsi="Abadi" w:cs="Calibri Light"/>
          <w:sz w:val="21"/>
          <w:szCs w:val="21"/>
        </w:rPr>
        <w:t>cultura</w:t>
      </w:r>
      <w:r w:rsidRPr="001D43B8">
        <w:rPr>
          <w:rFonts w:ascii="Abadi" w:hAnsi="Abadi" w:cs="Calibri Light"/>
          <w:spacing w:val="12"/>
          <w:sz w:val="21"/>
          <w:szCs w:val="21"/>
        </w:rPr>
        <w:t xml:space="preserve"> </w:t>
      </w:r>
      <w:r w:rsidRPr="001D43B8">
        <w:rPr>
          <w:rFonts w:ascii="Abadi" w:hAnsi="Abadi" w:cs="Calibri Light"/>
          <w:sz w:val="21"/>
          <w:szCs w:val="21"/>
        </w:rPr>
        <w:t>patriarcal</w:t>
      </w:r>
      <w:r w:rsidRPr="001D43B8">
        <w:rPr>
          <w:rFonts w:ascii="Abadi" w:hAnsi="Abadi" w:cs="Calibri Light"/>
          <w:spacing w:val="13"/>
          <w:sz w:val="21"/>
          <w:szCs w:val="21"/>
        </w:rPr>
        <w:t xml:space="preserve"> </w:t>
      </w:r>
      <w:r w:rsidRPr="001D43B8">
        <w:rPr>
          <w:rFonts w:ascii="Abadi" w:hAnsi="Abadi" w:cs="Calibri Light"/>
          <w:sz w:val="21"/>
          <w:szCs w:val="21"/>
        </w:rPr>
        <w:t>que</w:t>
      </w:r>
      <w:r w:rsidRPr="001D43B8">
        <w:rPr>
          <w:rFonts w:ascii="Abadi" w:hAnsi="Abadi" w:cs="Calibri Light"/>
          <w:spacing w:val="14"/>
          <w:sz w:val="21"/>
          <w:szCs w:val="21"/>
        </w:rPr>
        <w:t xml:space="preserve"> </w:t>
      </w:r>
      <w:r w:rsidRPr="001D43B8">
        <w:rPr>
          <w:rFonts w:ascii="Abadi" w:hAnsi="Abadi" w:cs="Calibri Light"/>
          <w:sz w:val="21"/>
          <w:szCs w:val="21"/>
        </w:rPr>
        <w:t>ha</w:t>
      </w:r>
      <w:r w:rsidRPr="001D43B8">
        <w:rPr>
          <w:rFonts w:ascii="Abadi" w:hAnsi="Abadi" w:cs="Calibri Light"/>
          <w:spacing w:val="13"/>
          <w:sz w:val="21"/>
          <w:szCs w:val="21"/>
        </w:rPr>
        <w:t xml:space="preserve"> </w:t>
      </w:r>
      <w:r w:rsidRPr="001D43B8">
        <w:rPr>
          <w:rFonts w:ascii="Abadi" w:hAnsi="Abadi" w:cs="Calibri Light"/>
          <w:sz w:val="21"/>
          <w:szCs w:val="21"/>
        </w:rPr>
        <w:t>imperado en</w:t>
      </w:r>
      <w:r w:rsidRPr="001D43B8">
        <w:rPr>
          <w:rFonts w:ascii="Abadi" w:hAnsi="Abadi" w:cs="Calibri Light"/>
          <w:spacing w:val="3"/>
          <w:sz w:val="21"/>
          <w:szCs w:val="21"/>
        </w:rPr>
        <w:t xml:space="preserve"> </w:t>
      </w:r>
      <w:r w:rsidRPr="001D43B8">
        <w:rPr>
          <w:rFonts w:ascii="Abadi" w:hAnsi="Abadi" w:cs="Calibri Light"/>
          <w:sz w:val="21"/>
          <w:szCs w:val="21"/>
        </w:rPr>
        <w:t>la</w:t>
      </w:r>
      <w:r w:rsidRPr="001D43B8">
        <w:rPr>
          <w:rFonts w:ascii="Abadi" w:hAnsi="Abadi" w:cs="Calibri Light"/>
          <w:spacing w:val="6"/>
          <w:sz w:val="21"/>
          <w:szCs w:val="21"/>
        </w:rPr>
        <w:t xml:space="preserve"> </w:t>
      </w:r>
      <w:r w:rsidRPr="001D43B8">
        <w:rPr>
          <w:rFonts w:ascii="Abadi" w:hAnsi="Abadi" w:cs="Calibri Light"/>
          <w:sz w:val="21"/>
          <w:szCs w:val="21"/>
        </w:rPr>
        <w:t>historia</w:t>
      </w:r>
      <w:r w:rsidRPr="001D43B8">
        <w:rPr>
          <w:rFonts w:ascii="Abadi" w:hAnsi="Abadi" w:cs="Calibri Light"/>
          <w:spacing w:val="6"/>
          <w:sz w:val="21"/>
          <w:szCs w:val="21"/>
        </w:rPr>
        <w:t xml:space="preserve"> </w:t>
      </w:r>
      <w:r w:rsidRPr="001D43B8">
        <w:rPr>
          <w:rFonts w:ascii="Abadi" w:hAnsi="Abadi" w:cs="Calibri Light"/>
          <w:sz w:val="21"/>
          <w:szCs w:val="21"/>
        </w:rPr>
        <w:t>de</w:t>
      </w:r>
      <w:r w:rsidRPr="001D43B8">
        <w:rPr>
          <w:rFonts w:ascii="Abadi" w:hAnsi="Abadi" w:cs="Calibri Light"/>
          <w:spacing w:val="2"/>
          <w:sz w:val="21"/>
          <w:szCs w:val="21"/>
        </w:rPr>
        <w:t xml:space="preserve"> </w:t>
      </w:r>
      <w:r w:rsidRPr="001D43B8">
        <w:rPr>
          <w:rFonts w:ascii="Abadi" w:hAnsi="Abadi" w:cs="Calibri Light"/>
          <w:sz w:val="21"/>
          <w:szCs w:val="21"/>
        </w:rPr>
        <w:t>las</w:t>
      </w:r>
      <w:r w:rsidRPr="001D43B8">
        <w:rPr>
          <w:rFonts w:ascii="Abadi" w:hAnsi="Abadi" w:cs="Calibri Light"/>
          <w:spacing w:val="4"/>
          <w:sz w:val="21"/>
          <w:szCs w:val="21"/>
        </w:rPr>
        <w:t xml:space="preserve"> </w:t>
      </w:r>
      <w:r w:rsidRPr="001D43B8">
        <w:rPr>
          <w:rFonts w:ascii="Abadi" w:hAnsi="Abadi" w:cs="Calibri Light"/>
          <w:sz w:val="21"/>
          <w:szCs w:val="21"/>
        </w:rPr>
        <w:t>sociedades,</w:t>
      </w:r>
      <w:r w:rsidRPr="001D43B8">
        <w:rPr>
          <w:rFonts w:ascii="Abadi" w:hAnsi="Abadi" w:cs="Calibri Light"/>
          <w:spacing w:val="5"/>
          <w:sz w:val="21"/>
          <w:szCs w:val="21"/>
        </w:rPr>
        <w:t xml:space="preserve"> </w:t>
      </w:r>
      <w:r w:rsidRPr="001D43B8">
        <w:rPr>
          <w:rFonts w:ascii="Abadi" w:hAnsi="Abadi" w:cs="Calibri Light"/>
          <w:sz w:val="21"/>
          <w:szCs w:val="21"/>
        </w:rPr>
        <w:t>dejando</w:t>
      </w:r>
      <w:r w:rsidRPr="001D43B8">
        <w:rPr>
          <w:rFonts w:ascii="Abadi" w:hAnsi="Abadi" w:cs="Calibri Light"/>
          <w:spacing w:val="4"/>
          <w:sz w:val="21"/>
          <w:szCs w:val="21"/>
        </w:rPr>
        <w:t xml:space="preserve"> </w:t>
      </w:r>
      <w:r w:rsidRPr="001D43B8">
        <w:rPr>
          <w:rFonts w:ascii="Abadi" w:hAnsi="Abadi" w:cs="Calibri Light"/>
          <w:sz w:val="21"/>
          <w:szCs w:val="21"/>
        </w:rPr>
        <w:t>siempre</w:t>
      </w:r>
      <w:r w:rsidRPr="001D43B8">
        <w:rPr>
          <w:rFonts w:ascii="Abadi" w:hAnsi="Abadi" w:cs="Calibri Light"/>
          <w:spacing w:val="4"/>
          <w:sz w:val="21"/>
          <w:szCs w:val="21"/>
        </w:rPr>
        <w:t xml:space="preserve"> </w:t>
      </w:r>
      <w:r w:rsidRPr="001D43B8">
        <w:rPr>
          <w:rFonts w:ascii="Abadi" w:hAnsi="Abadi" w:cs="Calibri Light"/>
          <w:sz w:val="21"/>
          <w:szCs w:val="21"/>
        </w:rPr>
        <w:t>a</w:t>
      </w:r>
      <w:r w:rsidRPr="001D43B8">
        <w:rPr>
          <w:rFonts w:ascii="Abadi" w:hAnsi="Abadi" w:cs="Calibri Light"/>
          <w:spacing w:val="3"/>
          <w:sz w:val="21"/>
          <w:szCs w:val="21"/>
        </w:rPr>
        <w:t xml:space="preserve"> </w:t>
      </w:r>
      <w:r w:rsidRPr="001D43B8">
        <w:rPr>
          <w:rFonts w:ascii="Abadi" w:hAnsi="Abadi" w:cs="Calibri Light"/>
          <w:sz w:val="21"/>
          <w:szCs w:val="21"/>
        </w:rPr>
        <w:t>las</w:t>
      </w:r>
      <w:r w:rsidRPr="001D43B8">
        <w:rPr>
          <w:rFonts w:ascii="Abadi" w:hAnsi="Abadi" w:cs="Calibri Light"/>
          <w:spacing w:val="6"/>
          <w:sz w:val="21"/>
          <w:szCs w:val="21"/>
        </w:rPr>
        <w:t xml:space="preserve"> </w:t>
      </w:r>
      <w:r w:rsidRPr="001D43B8">
        <w:rPr>
          <w:rFonts w:ascii="Abadi" w:hAnsi="Abadi" w:cs="Calibri Light"/>
          <w:sz w:val="21"/>
          <w:szCs w:val="21"/>
        </w:rPr>
        <w:t>mujeres</w:t>
      </w:r>
      <w:r w:rsidRPr="001D43B8">
        <w:rPr>
          <w:rFonts w:ascii="Abadi" w:hAnsi="Abadi" w:cs="Calibri Light"/>
          <w:spacing w:val="6"/>
          <w:sz w:val="21"/>
          <w:szCs w:val="21"/>
        </w:rPr>
        <w:t xml:space="preserve"> </w:t>
      </w:r>
      <w:r w:rsidRPr="001D43B8">
        <w:rPr>
          <w:rFonts w:ascii="Abadi" w:hAnsi="Abadi" w:cs="Calibri Light"/>
          <w:sz w:val="21"/>
          <w:szCs w:val="21"/>
        </w:rPr>
        <w:t>en</w:t>
      </w:r>
      <w:r w:rsidRPr="001D43B8">
        <w:rPr>
          <w:rFonts w:ascii="Abadi" w:hAnsi="Abadi" w:cs="Calibri Light"/>
          <w:spacing w:val="5"/>
          <w:sz w:val="21"/>
          <w:szCs w:val="21"/>
        </w:rPr>
        <w:t xml:space="preserve"> </w:t>
      </w:r>
      <w:r w:rsidRPr="001D43B8">
        <w:rPr>
          <w:rFonts w:ascii="Abadi" w:hAnsi="Abadi" w:cs="Calibri Light"/>
          <w:sz w:val="21"/>
          <w:szCs w:val="21"/>
        </w:rPr>
        <w:t>segundo</w:t>
      </w:r>
      <w:r w:rsidRPr="001D43B8">
        <w:rPr>
          <w:rFonts w:ascii="Abadi" w:hAnsi="Abadi" w:cs="Calibri Light"/>
          <w:spacing w:val="4"/>
          <w:sz w:val="21"/>
          <w:szCs w:val="21"/>
        </w:rPr>
        <w:t xml:space="preserve"> </w:t>
      </w:r>
      <w:r w:rsidRPr="001D43B8">
        <w:rPr>
          <w:rFonts w:ascii="Abadi" w:hAnsi="Abadi" w:cs="Calibri Light"/>
          <w:sz w:val="21"/>
          <w:szCs w:val="21"/>
        </w:rPr>
        <w:t>plano y</w:t>
      </w:r>
      <w:r w:rsidRPr="001D43B8">
        <w:rPr>
          <w:rFonts w:ascii="Abadi" w:hAnsi="Abadi" w:cs="Calibri Light"/>
          <w:spacing w:val="8"/>
          <w:sz w:val="21"/>
          <w:szCs w:val="21"/>
        </w:rPr>
        <w:t xml:space="preserve"> </w:t>
      </w:r>
      <w:r w:rsidRPr="001D43B8">
        <w:rPr>
          <w:rFonts w:ascii="Abadi" w:hAnsi="Abadi" w:cs="Calibri Light"/>
          <w:sz w:val="21"/>
          <w:szCs w:val="21"/>
        </w:rPr>
        <w:t>subordinadas</w:t>
      </w:r>
      <w:r w:rsidRPr="001D43B8">
        <w:rPr>
          <w:rFonts w:ascii="Abadi" w:hAnsi="Abadi" w:cs="Calibri Light"/>
          <w:spacing w:val="12"/>
          <w:sz w:val="21"/>
          <w:szCs w:val="21"/>
        </w:rPr>
        <w:t xml:space="preserve"> </w:t>
      </w:r>
      <w:r w:rsidRPr="001D43B8">
        <w:rPr>
          <w:rFonts w:ascii="Abadi" w:hAnsi="Abadi" w:cs="Calibri Light"/>
          <w:sz w:val="21"/>
          <w:szCs w:val="21"/>
        </w:rPr>
        <w:t>a</w:t>
      </w:r>
      <w:r w:rsidRPr="001D43B8">
        <w:rPr>
          <w:rFonts w:ascii="Abadi" w:hAnsi="Abadi" w:cs="Calibri Light"/>
          <w:spacing w:val="8"/>
          <w:sz w:val="21"/>
          <w:szCs w:val="21"/>
        </w:rPr>
        <w:t xml:space="preserve"> </w:t>
      </w:r>
      <w:r w:rsidRPr="001D43B8">
        <w:rPr>
          <w:rFonts w:ascii="Abadi" w:hAnsi="Abadi" w:cs="Calibri Light"/>
          <w:sz w:val="21"/>
          <w:szCs w:val="21"/>
        </w:rPr>
        <w:t>la</w:t>
      </w:r>
      <w:r w:rsidRPr="001D43B8">
        <w:rPr>
          <w:rFonts w:ascii="Abadi" w:hAnsi="Abadi" w:cs="Calibri Light"/>
          <w:spacing w:val="11"/>
          <w:sz w:val="21"/>
          <w:szCs w:val="21"/>
        </w:rPr>
        <w:t xml:space="preserve"> </w:t>
      </w:r>
      <w:r w:rsidRPr="001D43B8">
        <w:rPr>
          <w:rFonts w:ascii="Abadi" w:hAnsi="Abadi" w:cs="Calibri Light"/>
          <w:sz w:val="21"/>
          <w:szCs w:val="21"/>
        </w:rPr>
        <w:t>voluntad</w:t>
      </w:r>
      <w:r w:rsidRPr="001D43B8">
        <w:rPr>
          <w:rFonts w:ascii="Abadi" w:hAnsi="Abadi" w:cs="Calibri Light"/>
          <w:spacing w:val="10"/>
          <w:sz w:val="21"/>
          <w:szCs w:val="21"/>
        </w:rPr>
        <w:t xml:space="preserve"> </w:t>
      </w:r>
      <w:r w:rsidRPr="001D43B8">
        <w:rPr>
          <w:rFonts w:ascii="Abadi" w:hAnsi="Abadi" w:cs="Calibri Light"/>
          <w:sz w:val="21"/>
          <w:szCs w:val="21"/>
        </w:rPr>
        <w:t>de</w:t>
      </w:r>
      <w:r w:rsidRPr="001D43B8">
        <w:rPr>
          <w:rFonts w:ascii="Abadi" w:hAnsi="Abadi" w:cs="Calibri Light"/>
          <w:spacing w:val="7"/>
          <w:sz w:val="21"/>
          <w:szCs w:val="21"/>
        </w:rPr>
        <w:t xml:space="preserve"> </w:t>
      </w:r>
      <w:r w:rsidRPr="001D43B8">
        <w:rPr>
          <w:rFonts w:ascii="Abadi" w:hAnsi="Abadi" w:cs="Calibri Light"/>
          <w:sz w:val="21"/>
          <w:szCs w:val="21"/>
        </w:rPr>
        <w:t>los</w:t>
      </w:r>
      <w:r w:rsidRPr="001D43B8">
        <w:rPr>
          <w:rFonts w:ascii="Abadi" w:hAnsi="Abadi" w:cs="Calibri Light"/>
          <w:spacing w:val="12"/>
          <w:sz w:val="21"/>
          <w:szCs w:val="21"/>
        </w:rPr>
        <w:t xml:space="preserve"> </w:t>
      </w:r>
      <w:r w:rsidRPr="001D43B8">
        <w:rPr>
          <w:rFonts w:ascii="Abadi" w:hAnsi="Abadi" w:cs="Calibri Light"/>
          <w:sz w:val="21"/>
          <w:szCs w:val="21"/>
        </w:rPr>
        <w:t>hombres.</w:t>
      </w:r>
      <w:r w:rsidRPr="001D43B8">
        <w:rPr>
          <w:rFonts w:ascii="Abadi" w:hAnsi="Abadi" w:cs="Calibri Light"/>
          <w:spacing w:val="11"/>
          <w:sz w:val="21"/>
          <w:szCs w:val="21"/>
        </w:rPr>
        <w:t xml:space="preserve"> </w:t>
      </w:r>
      <w:r w:rsidRPr="001D43B8">
        <w:rPr>
          <w:rFonts w:ascii="Abadi" w:hAnsi="Abadi" w:cs="Calibri Light"/>
          <w:sz w:val="21"/>
          <w:szCs w:val="21"/>
        </w:rPr>
        <w:t>En</w:t>
      </w:r>
      <w:r w:rsidRPr="001D43B8">
        <w:rPr>
          <w:rFonts w:ascii="Abadi" w:hAnsi="Abadi" w:cs="Calibri Light"/>
          <w:spacing w:val="8"/>
          <w:sz w:val="21"/>
          <w:szCs w:val="21"/>
        </w:rPr>
        <w:t xml:space="preserve"> </w:t>
      </w:r>
      <w:r w:rsidRPr="001D43B8">
        <w:rPr>
          <w:rFonts w:ascii="Abadi" w:hAnsi="Abadi" w:cs="Calibri Light"/>
          <w:sz w:val="21"/>
          <w:szCs w:val="21"/>
        </w:rPr>
        <w:t>este</w:t>
      </w:r>
      <w:r w:rsidRPr="001D43B8">
        <w:rPr>
          <w:rFonts w:ascii="Abadi" w:hAnsi="Abadi" w:cs="Calibri Light"/>
          <w:spacing w:val="9"/>
          <w:sz w:val="21"/>
          <w:szCs w:val="21"/>
        </w:rPr>
        <w:t xml:space="preserve"> </w:t>
      </w:r>
      <w:r w:rsidRPr="001D43B8">
        <w:rPr>
          <w:rFonts w:ascii="Abadi" w:hAnsi="Abadi" w:cs="Calibri Light"/>
          <w:sz w:val="21"/>
          <w:szCs w:val="21"/>
        </w:rPr>
        <w:t>sentido,</w:t>
      </w:r>
      <w:r w:rsidRPr="001D43B8">
        <w:rPr>
          <w:rFonts w:ascii="Abadi" w:hAnsi="Abadi" w:cs="Calibri Light"/>
          <w:spacing w:val="8"/>
          <w:sz w:val="21"/>
          <w:szCs w:val="21"/>
        </w:rPr>
        <w:t xml:space="preserve"> </w:t>
      </w:r>
      <w:r w:rsidRPr="001D43B8">
        <w:rPr>
          <w:rFonts w:ascii="Abadi" w:hAnsi="Abadi" w:cs="Calibri Light"/>
          <w:sz w:val="21"/>
          <w:szCs w:val="21"/>
        </w:rPr>
        <w:t>la</w:t>
      </w:r>
      <w:r w:rsidRPr="001D43B8">
        <w:rPr>
          <w:rFonts w:ascii="Abadi" w:hAnsi="Abadi" w:cs="Calibri Light"/>
          <w:spacing w:val="9"/>
          <w:sz w:val="21"/>
          <w:szCs w:val="21"/>
        </w:rPr>
        <w:t xml:space="preserve"> </w:t>
      </w:r>
      <w:r w:rsidRPr="001D43B8">
        <w:rPr>
          <w:rFonts w:ascii="Abadi" w:hAnsi="Abadi" w:cs="Calibri Light"/>
          <w:sz w:val="21"/>
          <w:szCs w:val="21"/>
        </w:rPr>
        <w:t>violencia</w:t>
      </w:r>
      <w:r w:rsidRPr="001D43B8">
        <w:rPr>
          <w:rFonts w:ascii="Abadi" w:hAnsi="Abadi" w:cs="Calibri Light"/>
          <w:spacing w:val="8"/>
          <w:sz w:val="21"/>
          <w:szCs w:val="21"/>
        </w:rPr>
        <w:t xml:space="preserve"> </w:t>
      </w:r>
      <w:r w:rsidRPr="001D43B8">
        <w:rPr>
          <w:rFonts w:ascii="Abadi" w:hAnsi="Abadi" w:cs="Calibri Light"/>
          <w:sz w:val="21"/>
          <w:szCs w:val="21"/>
        </w:rPr>
        <w:t>contra las</w:t>
      </w:r>
      <w:r w:rsidRPr="001D43B8">
        <w:rPr>
          <w:rFonts w:ascii="Abadi" w:hAnsi="Abadi" w:cs="Calibri Light"/>
          <w:spacing w:val="54"/>
          <w:sz w:val="21"/>
          <w:szCs w:val="21"/>
        </w:rPr>
        <w:t xml:space="preserve"> </w:t>
      </w:r>
      <w:r w:rsidRPr="001D43B8">
        <w:rPr>
          <w:rFonts w:ascii="Abadi" w:hAnsi="Abadi" w:cs="Calibri Light"/>
          <w:sz w:val="21"/>
          <w:szCs w:val="21"/>
        </w:rPr>
        <w:t>mujeres</w:t>
      </w:r>
      <w:r w:rsidRPr="001D43B8">
        <w:rPr>
          <w:rFonts w:ascii="Abadi" w:hAnsi="Abadi" w:cs="Calibri Light"/>
          <w:spacing w:val="55"/>
          <w:sz w:val="21"/>
          <w:szCs w:val="21"/>
        </w:rPr>
        <w:t xml:space="preserve"> </w:t>
      </w:r>
      <w:r w:rsidRPr="001D43B8">
        <w:rPr>
          <w:rFonts w:ascii="Abadi" w:hAnsi="Abadi" w:cs="Calibri Light"/>
          <w:sz w:val="21"/>
          <w:szCs w:val="21"/>
        </w:rPr>
        <w:t>representa</w:t>
      </w:r>
      <w:r w:rsidRPr="001D43B8">
        <w:rPr>
          <w:rFonts w:ascii="Abadi" w:hAnsi="Abadi" w:cs="Calibri Light"/>
          <w:spacing w:val="58"/>
          <w:sz w:val="21"/>
          <w:szCs w:val="21"/>
        </w:rPr>
        <w:t xml:space="preserve"> </w:t>
      </w:r>
      <w:r w:rsidRPr="001D43B8">
        <w:rPr>
          <w:rFonts w:ascii="Abadi" w:hAnsi="Abadi" w:cs="Calibri Light"/>
          <w:sz w:val="21"/>
          <w:szCs w:val="21"/>
        </w:rPr>
        <w:t>un</w:t>
      </w:r>
      <w:r w:rsidRPr="001D43B8">
        <w:rPr>
          <w:rFonts w:ascii="Abadi" w:hAnsi="Abadi" w:cs="Calibri Light"/>
          <w:spacing w:val="54"/>
          <w:sz w:val="21"/>
          <w:szCs w:val="21"/>
        </w:rPr>
        <w:t xml:space="preserve"> </w:t>
      </w:r>
      <w:r w:rsidRPr="001D43B8">
        <w:rPr>
          <w:rFonts w:ascii="Abadi" w:hAnsi="Abadi" w:cs="Calibri Light"/>
          <w:sz w:val="21"/>
          <w:szCs w:val="21"/>
        </w:rPr>
        <w:t>fenómeno</w:t>
      </w:r>
      <w:r w:rsidRPr="001D43B8">
        <w:rPr>
          <w:rFonts w:ascii="Abadi" w:hAnsi="Abadi" w:cs="Calibri Light"/>
          <w:spacing w:val="56"/>
          <w:sz w:val="21"/>
          <w:szCs w:val="21"/>
        </w:rPr>
        <w:t xml:space="preserve"> </w:t>
      </w:r>
      <w:r w:rsidRPr="001D43B8">
        <w:rPr>
          <w:rFonts w:ascii="Abadi" w:hAnsi="Abadi" w:cs="Calibri Light"/>
          <w:sz w:val="21"/>
          <w:szCs w:val="21"/>
        </w:rPr>
        <w:t>que</w:t>
      </w:r>
      <w:r w:rsidRPr="001D43B8">
        <w:rPr>
          <w:rFonts w:ascii="Abadi" w:hAnsi="Abadi" w:cs="Calibri Light"/>
          <w:spacing w:val="56"/>
          <w:sz w:val="21"/>
          <w:szCs w:val="21"/>
        </w:rPr>
        <w:t xml:space="preserve"> </w:t>
      </w:r>
      <w:r w:rsidRPr="001D43B8">
        <w:rPr>
          <w:rFonts w:ascii="Abadi" w:hAnsi="Abadi" w:cs="Calibri Light"/>
          <w:sz w:val="21"/>
          <w:szCs w:val="21"/>
        </w:rPr>
        <w:t>ha</w:t>
      </w:r>
      <w:r w:rsidRPr="001D43B8">
        <w:rPr>
          <w:rFonts w:ascii="Abadi" w:hAnsi="Abadi" w:cs="Calibri Light"/>
          <w:spacing w:val="53"/>
          <w:sz w:val="21"/>
          <w:szCs w:val="21"/>
        </w:rPr>
        <w:t xml:space="preserve"> </w:t>
      </w:r>
      <w:r w:rsidRPr="001D43B8">
        <w:rPr>
          <w:rFonts w:ascii="Abadi" w:hAnsi="Abadi" w:cs="Calibri Light"/>
          <w:sz w:val="21"/>
          <w:szCs w:val="21"/>
        </w:rPr>
        <w:t>afectado</w:t>
      </w:r>
      <w:r w:rsidRPr="001D43B8">
        <w:rPr>
          <w:rFonts w:ascii="Abadi" w:hAnsi="Abadi" w:cs="Calibri Light"/>
          <w:spacing w:val="54"/>
          <w:sz w:val="21"/>
          <w:szCs w:val="21"/>
        </w:rPr>
        <w:t xml:space="preserve"> </w:t>
      </w:r>
      <w:r w:rsidRPr="001D43B8">
        <w:rPr>
          <w:rFonts w:ascii="Abadi" w:hAnsi="Abadi" w:cs="Calibri Light"/>
          <w:sz w:val="21"/>
          <w:szCs w:val="21"/>
        </w:rPr>
        <w:t>históricamente</w:t>
      </w:r>
      <w:r w:rsidRPr="001D43B8">
        <w:rPr>
          <w:rFonts w:ascii="Abadi" w:hAnsi="Abadi" w:cs="Calibri Light"/>
          <w:spacing w:val="55"/>
          <w:sz w:val="21"/>
          <w:szCs w:val="21"/>
        </w:rPr>
        <w:t xml:space="preserve"> </w:t>
      </w:r>
      <w:r w:rsidRPr="001D43B8">
        <w:rPr>
          <w:rFonts w:ascii="Abadi" w:hAnsi="Abadi" w:cs="Calibri Light"/>
          <w:sz w:val="21"/>
          <w:szCs w:val="21"/>
        </w:rPr>
        <w:t>la</w:t>
      </w:r>
      <w:r w:rsidRPr="001D43B8">
        <w:rPr>
          <w:rFonts w:ascii="Abadi" w:hAnsi="Abadi" w:cs="Calibri Light"/>
          <w:spacing w:val="-1"/>
          <w:sz w:val="21"/>
          <w:szCs w:val="21"/>
        </w:rPr>
        <w:t xml:space="preserve"> </w:t>
      </w:r>
      <w:r w:rsidRPr="001D43B8">
        <w:rPr>
          <w:rFonts w:ascii="Abadi" w:hAnsi="Abadi" w:cs="Calibri Light"/>
          <w:sz w:val="21"/>
          <w:szCs w:val="21"/>
        </w:rPr>
        <w:t>organización</w:t>
      </w:r>
      <w:r w:rsidRPr="001D43B8">
        <w:rPr>
          <w:rFonts w:ascii="Abadi" w:hAnsi="Abadi" w:cs="Calibri Light"/>
          <w:spacing w:val="-5"/>
          <w:sz w:val="21"/>
          <w:szCs w:val="21"/>
        </w:rPr>
        <w:t xml:space="preserve"> </w:t>
      </w:r>
      <w:r w:rsidRPr="001D43B8">
        <w:rPr>
          <w:rFonts w:ascii="Abadi" w:hAnsi="Abadi" w:cs="Calibri Light"/>
          <w:sz w:val="21"/>
          <w:szCs w:val="21"/>
        </w:rPr>
        <w:t>de</w:t>
      </w:r>
      <w:r w:rsidRPr="001D43B8">
        <w:rPr>
          <w:rFonts w:ascii="Abadi" w:hAnsi="Abadi" w:cs="Calibri Light"/>
          <w:spacing w:val="-5"/>
          <w:sz w:val="21"/>
          <w:szCs w:val="21"/>
        </w:rPr>
        <w:t xml:space="preserve"> </w:t>
      </w:r>
      <w:r w:rsidRPr="001D43B8">
        <w:rPr>
          <w:rFonts w:ascii="Abadi" w:hAnsi="Abadi" w:cs="Calibri Light"/>
          <w:sz w:val="21"/>
          <w:szCs w:val="21"/>
        </w:rPr>
        <w:t>nuestra</w:t>
      </w:r>
      <w:r w:rsidRPr="001D43B8">
        <w:rPr>
          <w:rFonts w:ascii="Abadi" w:hAnsi="Abadi" w:cs="Calibri Light"/>
          <w:spacing w:val="-3"/>
          <w:sz w:val="21"/>
          <w:szCs w:val="21"/>
        </w:rPr>
        <w:t xml:space="preserve"> </w:t>
      </w:r>
      <w:r w:rsidRPr="001D43B8">
        <w:rPr>
          <w:rFonts w:ascii="Abadi" w:hAnsi="Abadi" w:cs="Calibri Light"/>
          <w:sz w:val="21"/>
          <w:szCs w:val="21"/>
        </w:rPr>
        <w:t>sociedad,</w:t>
      </w:r>
      <w:r w:rsidRPr="001D43B8">
        <w:rPr>
          <w:rFonts w:ascii="Abadi" w:hAnsi="Abadi" w:cs="Calibri Light"/>
          <w:spacing w:val="-5"/>
          <w:sz w:val="21"/>
          <w:szCs w:val="21"/>
        </w:rPr>
        <w:t xml:space="preserve"> </w:t>
      </w:r>
      <w:r w:rsidRPr="001D43B8">
        <w:rPr>
          <w:rFonts w:ascii="Abadi" w:hAnsi="Abadi" w:cs="Calibri Light"/>
          <w:sz w:val="21"/>
          <w:szCs w:val="21"/>
        </w:rPr>
        <w:t>es</w:t>
      </w:r>
      <w:r w:rsidRPr="001D43B8">
        <w:rPr>
          <w:rFonts w:ascii="Abadi" w:hAnsi="Abadi" w:cs="Calibri Light"/>
          <w:spacing w:val="-4"/>
          <w:sz w:val="21"/>
          <w:szCs w:val="21"/>
        </w:rPr>
        <w:t xml:space="preserve"> </w:t>
      </w:r>
      <w:r w:rsidRPr="001D43B8">
        <w:rPr>
          <w:rFonts w:ascii="Abadi" w:hAnsi="Abadi" w:cs="Calibri Light"/>
          <w:sz w:val="21"/>
          <w:szCs w:val="21"/>
        </w:rPr>
        <w:t>un</w:t>
      </w:r>
      <w:r w:rsidRPr="001D43B8">
        <w:rPr>
          <w:rFonts w:ascii="Abadi" w:hAnsi="Abadi" w:cs="Calibri Light"/>
          <w:spacing w:val="-5"/>
          <w:sz w:val="21"/>
          <w:szCs w:val="21"/>
        </w:rPr>
        <w:t xml:space="preserve"> </w:t>
      </w:r>
      <w:r w:rsidRPr="001D43B8">
        <w:rPr>
          <w:rFonts w:ascii="Abadi" w:hAnsi="Abadi" w:cs="Calibri Light"/>
          <w:sz w:val="21"/>
          <w:szCs w:val="21"/>
        </w:rPr>
        <w:t>problema</w:t>
      </w:r>
      <w:r w:rsidRPr="001D43B8">
        <w:rPr>
          <w:rFonts w:ascii="Abadi" w:hAnsi="Abadi" w:cs="Calibri Light"/>
          <w:spacing w:val="-4"/>
          <w:sz w:val="21"/>
          <w:szCs w:val="21"/>
        </w:rPr>
        <w:t xml:space="preserve"> </w:t>
      </w:r>
      <w:r w:rsidRPr="001D43B8">
        <w:rPr>
          <w:rFonts w:ascii="Abadi" w:hAnsi="Abadi" w:cs="Calibri Light"/>
          <w:sz w:val="21"/>
          <w:szCs w:val="21"/>
        </w:rPr>
        <w:t>de</w:t>
      </w:r>
      <w:r w:rsidRPr="001D43B8">
        <w:rPr>
          <w:rFonts w:ascii="Abadi" w:hAnsi="Abadi" w:cs="Calibri Light"/>
          <w:spacing w:val="-5"/>
          <w:sz w:val="21"/>
          <w:szCs w:val="21"/>
        </w:rPr>
        <w:t xml:space="preserve"> </w:t>
      </w:r>
      <w:r w:rsidRPr="001D43B8">
        <w:rPr>
          <w:rFonts w:ascii="Abadi" w:hAnsi="Abadi" w:cs="Calibri Light"/>
          <w:sz w:val="21"/>
          <w:szCs w:val="21"/>
        </w:rPr>
        <w:t>derechos</w:t>
      </w:r>
      <w:r w:rsidRPr="001D43B8">
        <w:rPr>
          <w:rFonts w:ascii="Abadi" w:hAnsi="Abadi" w:cs="Calibri Light"/>
          <w:spacing w:val="-4"/>
          <w:sz w:val="21"/>
          <w:szCs w:val="21"/>
        </w:rPr>
        <w:t xml:space="preserve"> </w:t>
      </w:r>
      <w:r w:rsidRPr="001D43B8">
        <w:rPr>
          <w:rFonts w:ascii="Abadi" w:hAnsi="Abadi" w:cs="Calibri Light"/>
          <w:sz w:val="21"/>
          <w:szCs w:val="21"/>
        </w:rPr>
        <w:t>humanos</w:t>
      </w:r>
      <w:r w:rsidRPr="001D43B8">
        <w:rPr>
          <w:rFonts w:ascii="Abadi" w:hAnsi="Abadi" w:cs="Calibri Light"/>
          <w:spacing w:val="-6"/>
          <w:sz w:val="21"/>
          <w:szCs w:val="21"/>
        </w:rPr>
        <w:t xml:space="preserve"> </w:t>
      </w:r>
      <w:r w:rsidRPr="001D43B8">
        <w:rPr>
          <w:rFonts w:ascii="Abadi" w:hAnsi="Abadi" w:cs="Calibri Light"/>
          <w:sz w:val="21"/>
          <w:szCs w:val="21"/>
        </w:rPr>
        <w:t>y</w:t>
      </w:r>
      <w:r w:rsidRPr="001D43B8">
        <w:rPr>
          <w:rFonts w:ascii="Abadi" w:hAnsi="Abadi" w:cs="Calibri Light"/>
          <w:spacing w:val="-3"/>
          <w:sz w:val="21"/>
          <w:szCs w:val="21"/>
        </w:rPr>
        <w:t xml:space="preserve"> </w:t>
      </w:r>
      <w:r w:rsidRPr="001D43B8">
        <w:rPr>
          <w:rFonts w:ascii="Abadi" w:hAnsi="Abadi" w:cs="Calibri Light"/>
          <w:sz w:val="21"/>
          <w:szCs w:val="21"/>
        </w:rPr>
        <w:t>una</w:t>
      </w:r>
      <w:r w:rsidRPr="001D43B8">
        <w:rPr>
          <w:rFonts w:ascii="Abadi" w:hAnsi="Abadi" w:cs="Calibri Light"/>
          <w:spacing w:val="-4"/>
          <w:sz w:val="21"/>
          <w:szCs w:val="21"/>
        </w:rPr>
        <w:t xml:space="preserve"> </w:t>
      </w:r>
      <w:r w:rsidRPr="001D43B8">
        <w:rPr>
          <w:rFonts w:ascii="Abadi" w:hAnsi="Abadi" w:cs="Calibri Light"/>
          <w:sz w:val="21"/>
          <w:szCs w:val="21"/>
        </w:rPr>
        <w:t>de las</w:t>
      </w:r>
      <w:r w:rsidRPr="001D43B8">
        <w:rPr>
          <w:rFonts w:ascii="Abadi" w:hAnsi="Abadi" w:cs="Calibri Light"/>
          <w:spacing w:val="13"/>
          <w:sz w:val="21"/>
          <w:szCs w:val="21"/>
        </w:rPr>
        <w:t xml:space="preserve"> </w:t>
      </w:r>
      <w:r w:rsidRPr="001D43B8">
        <w:rPr>
          <w:rFonts w:ascii="Abadi" w:hAnsi="Abadi" w:cs="Calibri Light"/>
          <w:sz w:val="21"/>
          <w:szCs w:val="21"/>
        </w:rPr>
        <w:t>banderas</w:t>
      </w:r>
      <w:r w:rsidRPr="001D43B8">
        <w:rPr>
          <w:rFonts w:ascii="Abadi" w:hAnsi="Abadi" w:cs="Calibri Light"/>
          <w:spacing w:val="15"/>
          <w:sz w:val="21"/>
          <w:szCs w:val="21"/>
        </w:rPr>
        <w:t xml:space="preserve"> </w:t>
      </w:r>
      <w:r w:rsidRPr="001D43B8">
        <w:rPr>
          <w:rFonts w:ascii="Abadi" w:hAnsi="Abadi" w:cs="Calibri Light"/>
          <w:sz w:val="21"/>
          <w:szCs w:val="21"/>
        </w:rPr>
        <w:t>más</w:t>
      </w:r>
      <w:r w:rsidRPr="001D43B8">
        <w:rPr>
          <w:rFonts w:ascii="Abadi" w:hAnsi="Abadi" w:cs="Calibri Light"/>
          <w:spacing w:val="13"/>
          <w:sz w:val="21"/>
          <w:szCs w:val="21"/>
        </w:rPr>
        <w:t xml:space="preserve"> </w:t>
      </w:r>
      <w:r w:rsidRPr="001D43B8">
        <w:rPr>
          <w:rFonts w:ascii="Abadi" w:hAnsi="Abadi" w:cs="Calibri Light"/>
          <w:sz w:val="21"/>
          <w:szCs w:val="21"/>
        </w:rPr>
        <w:t>importantes</w:t>
      </w:r>
      <w:r w:rsidRPr="001D43B8">
        <w:rPr>
          <w:rFonts w:ascii="Abadi" w:hAnsi="Abadi" w:cs="Calibri Light"/>
          <w:spacing w:val="18"/>
          <w:sz w:val="21"/>
          <w:szCs w:val="21"/>
        </w:rPr>
        <w:t xml:space="preserve"> </w:t>
      </w:r>
      <w:r w:rsidRPr="001D43B8">
        <w:rPr>
          <w:rFonts w:ascii="Abadi" w:hAnsi="Abadi" w:cs="Calibri Light"/>
          <w:sz w:val="21"/>
          <w:szCs w:val="21"/>
        </w:rPr>
        <w:t>de</w:t>
      </w:r>
      <w:r w:rsidRPr="001D43B8">
        <w:rPr>
          <w:rFonts w:ascii="Abadi" w:hAnsi="Abadi" w:cs="Calibri Light"/>
          <w:spacing w:val="12"/>
          <w:sz w:val="21"/>
          <w:szCs w:val="21"/>
        </w:rPr>
        <w:t xml:space="preserve"> </w:t>
      </w:r>
      <w:r w:rsidRPr="001D43B8">
        <w:rPr>
          <w:rFonts w:ascii="Abadi" w:hAnsi="Abadi" w:cs="Calibri Light"/>
          <w:sz w:val="21"/>
          <w:szCs w:val="21"/>
        </w:rPr>
        <w:t>la</w:t>
      </w:r>
      <w:r w:rsidRPr="001D43B8">
        <w:rPr>
          <w:rFonts w:ascii="Abadi" w:hAnsi="Abadi" w:cs="Calibri Light"/>
          <w:spacing w:val="13"/>
          <w:sz w:val="21"/>
          <w:szCs w:val="21"/>
        </w:rPr>
        <w:t xml:space="preserve"> </w:t>
      </w:r>
      <w:r w:rsidRPr="001D43B8">
        <w:rPr>
          <w:rFonts w:ascii="Abadi" w:hAnsi="Abadi" w:cs="Calibri Light"/>
          <w:sz w:val="21"/>
          <w:szCs w:val="21"/>
        </w:rPr>
        <w:t>lucha</w:t>
      </w:r>
      <w:r w:rsidRPr="001D43B8">
        <w:rPr>
          <w:rFonts w:ascii="Abadi" w:hAnsi="Abadi" w:cs="Calibri Light"/>
          <w:spacing w:val="15"/>
          <w:sz w:val="21"/>
          <w:szCs w:val="21"/>
        </w:rPr>
        <w:t xml:space="preserve"> </w:t>
      </w:r>
      <w:r w:rsidRPr="001D43B8">
        <w:rPr>
          <w:rFonts w:ascii="Abadi" w:hAnsi="Abadi" w:cs="Calibri Light"/>
          <w:sz w:val="21"/>
          <w:szCs w:val="21"/>
        </w:rPr>
        <w:t>por</w:t>
      </w:r>
      <w:r w:rsidRPr="001D43B8">
        <w:rPr>
          <w:rFonts w:ascii="Abadi" w:hAnsi="Abadi" w:cs="Calibri Light"/>
          <w:spacing w:val="14"/>
          <w:sz w:val="21"/>
          <w:szCs w:val="21"/>
        </w:rPr>
        <w:t xml:space="preserve"> </w:t>
      </w:r>
      <w:r w:rsidRPr="001D43B8">
        <w:rPr>
          <w:rFonts w:ascii="Abadi" w:hAnsi="Abadi" w:cs="Calibri Light"/>
          <w:sz w:val="21"/>
          <w:szCs w:val="21"/>
        </w:rPr>
        <w:t>la</w:t>
      </w:r>
      <w:r w:rsidRPr="001D43B8">
        <w:rPr>
          <w:rFonts w:ascii="Abadi" w:hAnsi="Abadi" w:cs="Calibri Light"/>
          <w:spacing w:val="15"/>
          <w:sz w:val="21"/>
          <w:szCs w:val="21"/>
        </w:rPr>
        <w:t xml:space="preserve"> </w:t>
      </w:r>
      <w:r w:rsidRPr="001D43B8">
        <w:rPr>
          <w:rFonts w:ascii="Abadi" w:hAnsi="Abadi" w:cs="Calibri Light"/>
          <w:sz w:val="21"/>
          <w:szCs w:val="21"/>
        </w:rPr>
        <w:t>transformación</w:t>
      </w:r>
      <w:r w:rsidRPr="001D43B8">
        <w:rPr>
          <w:rFonts w:ascii="Abadi" w:hAnsi="Abadi" w:cs="Calibri Light"/>
          <w:spacing w:val="14"/>
          <w:sz w:val="21"/>
          <w:szCs w:val="21"/>
        </w:rPr>
        <w:t xml:space="preserve"> </w:t>
      </w:r>
      <w:r w:rsidRPr="001D43B8">
        <w:rPr>
          <w:rFonts w:ascii="Abadi" w:hAnsi="Abadi" w:cs="Calibri Light"/>
          <w:sz w:val="21"/>
          <w:szCs w:val="21"/>
        </w:rPr>
        <w:t>social</w:t>
      </w:r>
      <w:r w:rsidRPr="001D43B8">
        <w:rPr>
          <w:rFonts w:ascii="Abadi" w:hAnsi="Abadi" w:cs="Calibri Light"/>
          <w:spacing w:val="13"/>
          <w:sz w:val="21"/>
          <w:szCs w:val="21"/>
        </w:rPr>
        <w:t xml:space="preserve"> </w:t>
      </w:r>
      <w:r w:rsidRPr="001D43B8">
        <w:rPr>
          <w:rFonts w:ascii="Abadi" w:hAnsi="Abadi" w:cs="Calibri Light"/>
          <w:sz w:val="21"/>
          <w:szCs w:val="21"/>
        </w:rPr>
        <w:t>y</w:t>
      </w:r>
      <w:r w:rsidRPr="001D43B8">
        <w:rPr>
          <w:rFonts w:ascii="Abadi" w:hAnsi="Abadi" w:cs="Calibri Light"/>
          <w:spacing w:val="13"/>
          <w:sz w:val="21"/>
          <w:szCs w:val="21"/>
        </w:rPr>
        <w:t xml:space="preserve"> </w:t>
      </w:r>
      <w:r w:rsidRPr="001D43B8">
        <w:rPr>
          <w:rFonts w:ascii="Abadi" w:hAnsi="Abadi" w:cs="Calibri Light"/>
          <w:sz w:val="21"/>
          <w:szCs w:val="21"/>
        </w:rPr>
        <w:t>política, que</w:t>
      </w:r>
      <w:r w:rsidRPr="001D43B8">
        <w:rPr>
          <w:rFonts w:ascii="Abadi" w:hAnsi="Abadi" w:cs="Calibri Light"/>
          <w:spacing w:val="-1"/>
          <w:sz w:val="21"/>
          <w:szCs w:val="21"/>
        </w:rPr>
        <w:t xml:space="preserve"> </w:t>
      </w:r>
      <w:r w:rsidRPr="001D43B8">
        <w:rPr>
          <w:rFonts w:ascii="Abadi" w:hAnsi="Abadi" w:cs="Calibri Light"/>
          <w:sz w:val="21"/>
          <w:szCs w:val="21"/>
        </w:rPr>
        <w:t>nos</w:t>
      </w:r>
      <w:r w:rsidRPr="001D43B8">
        <w:rPr>
          <w:rFonts w:ascii="Abadi" w:hAnsi="Abadi" w:cs="Calibri Light"/>
          <w:spacing w:val="1"/>
          <w:sz w:val="21"/>
          <w:szCs w:val="21"/>
        </w:rPr>
        <w:t xml:space="preserve"> </w:t>
      </w:r>
      <w:r w:rsidRPr="001D43B8">
        <w:rPr>
          <w:rFonts w:ascii="Abadi" w:hAnsi="Abadi" w:cs="Calibri Light"/>
          <w:sz w:val="21"/>
          <w:szCs w:val="21"/>
        </w:rPr>
        <w:t>exige</w:t>
      </w:r>
      <w:r w:rsidRPr="001D43B8">
        <w:rPr>
          <w:rFonts w:ascii="Abadi" w:hAnsi="Abadi" w:cs="Calibri Light"/>
          <w:spacing w:val="-3"/>
          <w:sz w:val="21"/>
          <w:szCs w:val="21"/>
        </w:rPr>
        <w:t xml:space="preserve"> </w:t>
      </w:r>
      <w:r w:rsidRPr="001D43B8">
        <w:rPr>
          <w:rFonts w:ascii="Abadi" w:hAnsi="Abadi" w:cs="Calibri Light"/>
          <w:sz w:val="21"/>
          <w:szCs w:val="21"/>
        </w:rPr>
        <w:t>atender de</w:t>
      </w:r>
      <w:r w:rsidRPr="001D43B8">
        <w:rPr>
          <w:rFonts w:ascii="Abadi" w:hAnsi="Abadi" w:cs="Calibri Light"/>
          <w:spacing w:val="-1"/>
          <w:sz w:val="21"/>
          <w:szCs w:val="21"/>
        </w:rPr>
        <w:t xml:space="preserve"> </w:t>
      </w:r>
      <w:r w:rsidRPr="001D43B8">
        <w:rPr>
          <w:rFonts w:ascii="Abadi" w:hAnsi="Abadi" w:cs="Calibri Light"/>
          <w:sz w:val="21"/>
          <w:szCs w:val="21"/>
        </w:rPr>
        <w:t>manera urgente.</w:t>
      </w:r>
    </w:p>
    <w:p w14:paraId="4F491F38" w14:textId="77777777" w:rsidR="00AF040F" w:rsidRPr="001D43B8" w:rsidRDefault="00AF040F" w:rsidP="00A44DEE">
      <w:pPr>
        <w:kinsoku w:val="0"/>
        <w:overflowPunct w:val="0"/>
        <w:autoSpaceDE w:val="0"/>
        <w:autoSpaceDN w:val="0"/>
        <w:adjustRightInd w:val="0"/>
        <w:spacing w:before="146"/>
        <w:ind w:left="39" w:right="120"/>
        <w:jc w:val="both"/>
        <w:rPr>
          <w:rFonts w:ascii="Abadi" w:hAnsi="Abadi" w:cs="Calibri Light"/>
          <w:sz w:val="21"/>
          <w:szCs w:val="21"/>
        </w:rPr>
      </w:pPr>
      <w:r w:rsidRPr="001D43B8">
        <w:rPr>
          <w:rFonts w:ascii="Abadi" w:hAnsi="Abadi" w:cs="Calibri Light"/>
          <w:sz w:val="21"/>
          <w:szCs w:val="21"/>
        </w:rPr>
        <w:t>Si</w:t>
      </w:r>
      <w:r w:rsidRPr="001D43B8">
        <w:rPr>
          <w:rFonts w:ascii="Abadi" w:hAnsi="Abadi" w:cs="Calibri Light"/>
          <w:spacing w:val="-1"/>
          <w:sz w:val="21"/>
          <w:szCs w:val="21"/>
        </w:rPr>
        <w:t xml:space="preserve"> </w:t>
      </w:r>
      <w:r w:rsidRPr="001D43B8">
        <w:rPr>
          <w:rFonts w:ascii="Abadi" w:hAnsi="Abadi" w:cs="Calibri Light"/>
          <w:sz w:val="21"/>
          <w:szCs w:val="21"/>
        </w:rPr>
        <w:t>bien</w:t>
      </w:r>
      <w:r w:rsidRPr="001D43B8">
        <w:rPr>
          <w:rFonts w:ascii="Abadi" w:hAnsi="Abadi" w:cs="Calibri Light"/>
          <w:spacing w:val="-3"/>
          <w:sz w:val="21"/>
          <w:szCs w:val="21"/>
        </w:rPr>
        <w:t xml:space="preserve"> </w:t>
      </w:r>
      <w:r w:rsidRPr="001D43B8">
        <w:rPr>
          <w:rFonts w:ascii="Abadi" w:hAnsi="Abadi" w:cs="Calibri Light"/>
          <w:sz w:val="21"/>
          <w:szCs w:val="21"/>
        </w:rPr>
        <w:t>las</w:t>
      </w:r>
      <w:r w:rsidRPr="001D43B8">
        <w:rPr>
          <w:rFonts w:ascii="Abadi" w:hAnsi="Abadi" w:cs="Calibri Light"/>
          <w:spacing w:val="-2"/>
          <w:sz w:val="21"/>
          <w:szCs w:val="21"/>
        </w:rPr>
        <w:t xml:space="preserve"> </w:t>
      </w:r>
      <w:r w:rsidRPr="001D43B8">
        <w:rPr>
          <w:rFonts w:ascii="Abadi" w:hAnsi="Abadi" w:cs="Calibri Light"/>
          <w:sz w:val="21"/>
          <w:szCs w:val="21"/>
        </w:rPr>
        <w:t>violaciones</w:t>
      </w:r>
      <w:r w:rsidRPr="001D43B8">
        <w:rPr>
          <w:rFonts w:ascii="Abadi" w:hAnsi="Abadi" w:cs="Calibri Light"/>
          <w:spacing w:val="-1"/>
          <w:sz w:val="21"/>
          <w:szCs w:val="21"/>
        </w:rPr>
        <w:t xml:space="preserve"> </w:t>
      </w:r>
      <w:r w:rsidRPr="001D43B8">
        <w:rPr>
          <w:rFonts w:ascii="Abadi" w:hAnsi="Abadi" w:cs="Calibri Light"/>
          <w:sz w:val="21"/>
          <w:szCs w:val="21"/>
        </w:rPr>
        <w:t>a los</w:t>
      </w:r>
      <w:r w:rsidRPr="001D43B8">
        <w:rPr>
          <w:rFonts w:ascii="Abadi" w:hAnsi="Abadi" w:cs="Calibri Light"/>
          <w:spacing w:val="-1"/>
          <w:sz w:val="21"/>
          <w:szCs w:val="21"/>
        </w:rPr>
        <w:t xml:space="preserve"> </w:t>
      </w:r>
      <w:r w:rsidRPr="001D43B8">
        <w:rPr>
          <w:rFonts w:ascii="Abadi" w:hAnsi="Abadi" w:cs="Calibri Light"/>
          <w:sz w:val="21"/>
          <w:szCs w:val="21"/>
        </w:rPr>
        <w:t>derechos</w:t>
      </w:r>
      <w:r w:rsidRPr="001D43B8">
        <w:rPr>
          <w:rFonts w:ascii="Abadi" w:hAnsi="Abadi" w:cs="Calibri Light"/>
          <w:spacing w:val="1"/>
          <w:sz w:val="21"/>
          <w:szCs w:val="21"/>
        </w:rPr>
        <w:t xml:space="preserve"> </w:t>
      </w:r>
      <w:r w:rsidRPr="001D43B8">
        <w:rPr>
          <w:rFonts w:ascii="Abadi" w:hAnsi="Abadi" w:cs="Calibri Light"/>
          <w:sz w:val="21"/>
          <w:szCs w:val="21"/>
        </w:rPr>
        <w:t>humanos afectan</w:t>
      </w:r>
      <w:r w:rsidRPr="001D43B8">
        <w:rPr>
          <w:rFonts w:ascii="Abadi" w:hAnsi="Abadi" w:cs="Calibri Light"/>
          <w:spacing w:val="3"/>
          <w:sz w:val="21"/>
          <w:szCs w:val="21"/>
        </w:rPr>
        <w:t xml:space="preserve"> </w:t>
      </w:r>
      <w:r w:rsidRPr="001D43B8">
        <w:rPr>
          <w:rFonts w:ascii="Abadi" w:hAnsi="Abadi" w:cs="Calibri Light"/>
          <w:sz w:val="21"/>
          <w:szCs w:val="21"/>
        </w:rPr>
        <w:t>de</w:t>
      </w:r>
      <w:r w:rsidRPr="001D43B8">
        <w:rPr>
          <w:rFonts w:ascii="Abadi" w:hAnsi="Abadi" w:cs="Calibri Light"/>
          <w:spacing w:val="-1"/>
          <w:sz w:val="21"/>
          <w:szCs w:val="21"/>
        </w:rPr>
        <w:t xml:space="preserve"> </w:t>
      </w:r>
      <w:r w:rsidRPr="001D43B8">
        <w:rPr>
          <w:rFonts w:ascii="Abadi" w:hAnsi="Abadi" w:cs="Calibri Light"/>
          <w:sz w:val="21"/>
          <w:szCs w:val="21"/>
        </w:rPr>
        <w:t>manera</w:t>
      </w:r>
      <w:r w:rsidRPr="001D43B8">
        <w:rPr>
          <w:rFonts w:ascii="Abadi" w:hAnsi="Abadi" w:cs="Calibri Light"/>
          <w:spacing w:val="-1"/>
          <w:sz w:val="21"/>
          <w:szCs w:val="21"/>
        </w:rPr>
        <w:t xml:space="preserve"> </w:t>
      </w:r>
      <w:r w:rsidRPr="001D43B8">
        <w:rPr>
          <w:rFonts w:ascii="Abadi" w:hAnsi="Abadi" w:cs="Calibri Light"/>
          <w:sz w:val="21"/>
          <w:szCs w:val="21"/>
        </w:rPr>
        <w:t>general</w:t>
      </w:r>
      <w:r w:rsidRPr="001D43B8">
        <w:rPr>
          <w:rFonts w:ascii="Abadi" w:hAnsi="Abadi" w:cs="Calibri Light"/>
          <w:spacing w:val="-2"/>
          <w:sz w:val="21"/>
          <w:szCs w:val="21"/>
        </w:rPr>
        <w:t xml:space="preserve"> </w:t>
      </w:r>
      <w:r w:rsidRPr="001D43B8">
        <w:rPr>
          <w:rFonts w:ascii="Abadi" w:hAnsi="Abadi" w:cs="Calibri Light"/>
          <w:sz w:val="21"/>
          <w:szCs w:val="21"/>
        </w:rPr>
        <w:t>a</w:t>
      </w:r>
      <w:r w:rsidRPr="001D43B8">
        <w:rPr>
          <w:rFonts w:ascii="Abadi" w:hAnsi="Abadi" w:cs="Calibri Light"/>
          <w:spacing w:val="1"/>
          <w:sz w:val="21"/>
          <w:szCs w:val="21"/>
        </w:rPr>
        <w:t xml:space="preserve"> </w:t>
      </w:r>
      <w:r w:rsidRPr="001D43B8">
        <w:rPr>
          <w:rFonts w:ascii="Abadi" w:hAnsi="Abadi" w:cs="Calibri Light"/>
          <w:sz w:val="21"/>
          <w:szCs w:val="21"/>
        </w:rPr>
        <w:t>todas las</w:t>
      </w:r>
      <w:r w:rsidRPr="001D43B8">
        <w:rPr>
          <w:rFonts w:ascii="Abadi" w:hAnsi="Abadi" w:cs="Calibri Light"/>
          <w:spacing w:val="50"/>
          <w:sz w:val="21"/>
          <w:szCs w:val="21"/>
        </w:rPr>
        <w:t xml:space="preserve"> </w:t>
      </w:r>
      <w:r w:rsidRPr="001D43B8">
        <w:rPr>
          <w:rFonts w:ascii="Abadi" w:hAnsi="Abadi" w:cs="Calibri Light"/>
          <w:sz w:val="21"/>
          <w:szCs w:val="21"/>
        </w:rPr>
        <w:t>personas,</w:t>
      </w:r>
      <w:r w:rsidRPr="001D43B8">
        <w:rPr>
          <w:rFonts w:ascii="Abadi" w:hAnsi="Abadi" w:cs="Calibri Light"/>
          <w:spacing w:val="50"/>
          <w:sz w:val="21"/>
          <w:szCs w:val="21"/>
        </w:rPr>
        <w:t xml:space="preserve"> </w:t>
      </w:r>
      <w:r w:rsidRPr="001D43B8">
        <w:rPr>
          <w:rFonts w:ascii="Abadi" w:hAnsi="Abadi" w:cs="Calibri Light"/>
          <w:sz w:val="21"/>
          <w:szCs w:val="21"/>
        </w:rPr>
        <w:t>el</w:t>
      </w:r>
      <w:r w:rsidRPr="001D43B8">
        <w:rPr>
          <w:rFonts w:ascii="Abadi" w:hAnsi="Abadi" w:cs="Calibri Light"/>
          <w:spacing w:val="49"/>
          <w:sz w:val="21"/>
          <w:szCs w:val="21"/>
        </w:rPr>
        <w:t xml:space="preserve"> </w:t>
      </w:r>
      <w:r w:rsidRPr="001D43B8">
        <w:rPr>
          <w:rFonts w:ascii="Abadi" w:hAnsi="Abadi" w:cs="Calibri Light"/>
          <w:sz w:val="21"/>
          <w:szCs w:val="21"/>
        </w:rPr>
        <w:t>impacto</w:t>
      </w:r>
      <w:r w:rsidRPr="001D43B8">
        <w:rPr>
          <w:rFonts w:ascii="Abadi" w:hAnsi="Abadi" w:cs="Calibri Light"/>
          <w:spacing w:val="49"/>
          <w:sz w:val="21"/>
          <w:szCs w:val="21"/>
        </w:rPr>
        <w:t xml:space="preserve"> </w:t>
      </w:r>
      <w:r w:rsidRPr="001D43B8">
        <w:rPr>
          <w:rFonts w:ascii="Abadi" w:hAnsi="Abadi" w:cs="Calibri Light"/>
          <w:sz w:val="21"/>
          <w:szCs w:val="21"/>
        </w:rPr>
        <w:t>es</w:t>
      </w:r>
      <w:r w:rsidRPr="001D43B8">
        <w:rPr>
          <w:rFonts w:ascii="Abadi" w:hAnsi="Abadi" w:cs="Calibri Light"/>
          <w:spacing w:val="51"/>
          <w:sz w:val="21"/>
          <w:szCs w:val="21"/>
        </w:rPr>
        <w:t xml:space="preserve"> </w:t>
      </w:r>
      <w:r w:rsidRPr="001D43B8">
        <w:rPr>
          <w:rFonts w:ascii="Abadi" w:hAnsi="Abadi" w:cs="Calibri Light"/>
          <w:sz w:val="21"/>
          <w:szCs w:val="21"/>
        </w:rPr>
        <w:t>distinto</w:t>
      </w:r>
      <w:r w:rsidRPr="001D43B8">
        <w:rPr>
          <w:rFonts w:ascii="Abadi" w:hAnsi="Abadi" w:cs="Calibri Light"/>
          <w:spacing w:val="48"/>
          <w:sz w:val="21"/>
          <w:szCs w:val="21"/>
        </w:rPr>
        <w:t xml:space="preserve"> </w:t>
      </w:r>
      <w:r w:rsidRPr="001D43B8">
        <w:rPr>
          <w:rFonts w:ascii="Abadi" w:hAnsi="Abadi" w:cs="Calibri Light"/>
          <w:sz w:val="21"/>
          <w:szCs w:val="21"/>
        </w:rPr>
        <w:t>si</w:t>
      </w:r>
      <w:r w:rsidRPr="001D43B8">
        <w:rPr>
          <w:rFonts w:ascii="Abadi" w:hAnsi="Abadi" w:cs="Calibri Light"/>
          <w:spacing w:val="52"/>
          <w:sz w:val="21"/>
          <w:szCs w:val="21"/>
        </w:rPr>
        <w:t xml:space="preserve"> </w:t>
      </w:r>
      <w:r w:rsidRPr="001D43B8">
        <w:rPr>
          <w:rFonts w:ascii="Abadi" w:hAnsi="Abadi" w:cs="Calibri Light"/>
          <w:sz w:val="21"/>
          <w:szCs w:val="21"/>
        </w:rPr>
        <w:t>te</w:t>
      </w:r>
      <w:r w:rsidRPr="001D43B8">
        <w:rPr>
          <w:rFonts w:ascii="Abadi" w:hAnsi="Abadi" w:cs="Calibri Light"/>
          <w:spacing w:val="51"/>
          <w:sz w:val="21"/>
          <w:szCs w:val="21"/>
        </w:rPr>
        <w:t xml:space="preserve"> </w:t>
      </w:r>
      <w:r w:rsidRPr="001D43B8">
        <w:rPr>
          <w:rFonts w:ascii="Abadi" w:hAnsi="Abadi" w:cs="Calibri Light"/>
          <w:sz w:val="21"/>
          <w:szCs w:val="21"/>
        </w:rPr>
        <w:t>trata</w:t>
      </w:r>
      <w:r w:rsidRPr="001D43B8">
        <w:rPr>
          <w:rFonts w:ascii="Abadi" w:hAnsi="Abadi" w:cs="Calibri Light"/>
          <w:spacing w:val="49"/>
          <w:sz w:val="21"/>
          <w:szCs w:val="21"/>
        </w:rPr>
        <w:t xml:space="preserve"> </w:t>
      </w:r>
      <w:r w:rsidRPr="001D43B8">
        <w:rPr>
          <w:rFonts w:ascii="Abadi" w:hAnsi="Abadi" w:cs="Calibri Light"/>
          <w:sz w:val="21"/>
          <w:szCs w:val="21"/>
        </w:rPr>
        <w:t>de</w:t>
      </w:r>
      <w:r w:rsidRPr="001D43B8">
        <w:rPr>
          <w:rFonts w:ascii="Abadi" w:hAnsi="Abadi" w:cs="Calibri Light"/>
          <w:spacing w:val="48"/>
          <w:sz w:val="21"/>
          <w:szCs w:val="21"/>
        </w:rPr>
        <w:t xml:space="preserve"> </w:t>
      </w:r>
      <w:r w:rsidRPr="001D43B8">
        <w:rPr>
          <w:rFonts w:ascii="Abadi" w:hAnsi="Abadi" w:cs="Calibri Light"/>
          <w:sz w:val="21"/>
          <w:szCs w:val="21"/>
        </w:rPr>
        <w:t>la</w:t>
      </w:r>
      <w:r w:rsidRPr="001D43B8">
        <w:rPr>
          <w:rFonts w:ascii="Abadi" w:hAnsi="Abadi" w:cs="Calibri Light"/>
          <w:spacing w:val="52"/>
          <w:sz w:val="21"/>
          <w:szCs w:val="21"/>
        </w:rPr>
        <w:t xml:space="preserve"> </w:t>
      </w:r>
      <w:r w:rsidRPr="001D43B8">
        <w:rPr>
          <w:rFonts w:ascii="Abadi" w:hAnsi="Abadi" w:cs="Calibri Light"/>
          <w:sz w:val="21"/>
          <w:szCs w:val="21"/>
        </w:rPr>
        <w:t>violación</w:t>
      </w:r>
      <w:r w:rsidRPr="001D43B8">
        <w:rPr>
          <w:rFonts w:ascii="Abadi" w:hAnsi="Abadi" w:cs="Calibri Light"/>
          <w:spacing w:val="49"/>
          <w:sz w:val="21"/>
          <w:szCs w:val="21"/>
        </w:rPr>
        <w:t xml:space="preserve"> </w:t>
      </w:r>
      <w:r w:rsidRPr="001D43B8">
        <w:rPr>
          <w:rFonts w:ascii="Abadi" w:hAnsi="Abadi" w:cs="Calibri Light"/>
          <w:sz w:val="21"/>
          <w:szCs w:val="21"/>
        </w:rPr>
        <w:t>a</w:t>
      </w:r>
      <w:r w:rsidRPr="001D43B8">
        <w:rPr>
          <w:rFonts w:ascii="Abadi" w:hAnsi="Abadi" w:cs="Calibri Light"/>
          <w:spacing w:val="50"/>
          <w:sz w:val="21"/>
          <w:szCs w:val="21"/>
        </w:rPr>
        <w:t xml:space="preserve"> </w:t>
      </w:r>
      <w:r w:rsidRPr="001D43B8">
        <w:rPr>
          <w:rFonts w:ascii="Abadi" w:hAnsi="Abadi" w:cs="Calibri Light"/>
          <w:sz w:val="21"/>
          <w:szCs w:val="21"/>
        </w:rPr>
        <w:t>los</w:t>
      </w:r>
      <w:r w:rsidRPr="001D43B8">
        <w:rPr>
          <w:rFonts w:ascii="Abadi" w:hAnsi="Abadi" w:cs="Calibri Light"/>
          <w:spacing w:val="49"/>
          <w:sz w:val="21"/>
          <w:szCs w:val="21"/>
        </w:rPr>
        <w:t xml:space="preserve"> </w:t>
      </w:r>
      <w:r w:rsidRPr="001D43B8">
        <w:rPr>
          <w:rFonts w:ascii="Abadi" w:hAnsi="Abadi" w:cs="Calibri Light"/>
          <w:sz w:val="21"/>
          <w:szCs w:val="21"/>
        </w:rPr>
        <w:t>derechos humanos</w:t>
      </w:r>
      <w:r w:rsidRPr="001D43B8">
        <w:rPr>
          <w:rFonts w:ascii="Abadi" w:hAnsi="Abadi" w:cs="Calibri Light"/>
          <w:spacing w:val="13"/>
          <w:sz w:val="21"/>
          <w:szCs w:val="21"/>
        </w:rPr>
        <w:t xml:space="preserve"> </w:t>
      </w:r>
      <w:r w:rsidRPr="001D43B8">
        <w:rPr>
          <w:rFonts w:ascii="Abadi" w:hAnsi="Abadi" w:cs="Calibri Light"/>
          <w:sz w:val="21"/>
          <w:szCs w:val="21"/>
        </w:rPr>
        <w:t>de</w:t>
      </w:r>
      <w:r w:rsidRPr="001D43B8">
        <w:rPr>
          <w:rFonts w:ascii="Abadi" w:hAnsi="Abadi" w:cs="Calibri Light"/>
          <w:spacing w:val="11"/>
          <w:sz w:val="21"/>
          <w:szCs w:val="21"/>
        </w:rPr>
        <w:t xml:space="preserve"> </w:t>
      </w:r>
      <w:r w:rsidRPr="001D43B8">
        <w:rPr>
          <w:rFonts w:ascii="Abadi" w:hAnsi="Abadi" w:cs="Calibri Light"/>
          <w:sz w:val="21"/>
          <w:szCs w:val="21"/>
        </w:rPr>
        <w:t>las</w:t>
      </w:r>
      <w:r w:rsidRPr="001D43B8">
        <w:rPr>
          <w:rFonts w:ascii="Abadi" w:hAnsi="Abadi" w:cs="Calibri Light"/>
          <w:spacing w:val="14"/>
          <w:sz w:val="21"/>
          <w:szCs w:val="21"/>
        </w:rPr>
        <w:t xml:space="preserve"> </w:t>
      </w:r>
      <w:r w:rsidRPr="001D43B8">
        <w:rPr>
          <w:rFonts w:ascii="Abadi" w:hAnsi="Abadi" w:cs="Calibri Light"/>
          <w:sz w:val="21"/>
          <w:szCs w:val="21"/>
        </w:rPr>
        <w:t>mujeres,</w:t>
      </w:r>
      <w:r w:rsidRPr="001D43B8">
        <w:rPr>
          <w:rFonts w:ascii="Abadi" w:hAnsi="Abadi" w:cs="Calibri Light"/>
          <w:spacing w:val="12"/>
          <w:sz w:val="21"/>
          <w:szCs w:val="21"/>
        </w:rPr>
        <w:t xml:space="preserve"> </w:t>
      </w:r>
      <w:r w:rsidRPr="001D43B8">
        <w:rPr>
          <w:rFonts w:ascii="Abadi" w:hAnsi="Abadi" w:cs="Calibri Light"/>
          <w:sz w:val="21"/>
          <w:szCs w:val="21"/>
        </w:rPr>
        <w:t>pues</w:t>
      </w:r>
      <w:r w:rsidRPr="001D43B8">
        <w:rPr>
          <w:rFonts w:ascii="Abadi" w:hAnsi="Abadi" w:cs="Calibri Light"/>
          <w:spacing w:val="11"/>
          <w:sz w:val="21"/>
          <w:szCs w:val="21"/>
        </w:rPr>
        <w:t xml:space="preserve"> </w:t>
      </w:r>
      <w:r w:rsidRPr="001D43B8">
        <w:rPr>
          <w:rFonts w:ascii="Abadi" w:hAnsi="Abadi" w:cs="Calibri Light"/>
          <w:sz w:val="21"/>
          <w:szCs w:val="21"/>
        </w:rPr>
        <w:t>se</w:t>
      </w:r>
      <w:r w:rsidRPr="001D43B8">
        <w:rPr>
          <w:rFonts w:ascii="Abadi" w:hAnsi="Abadi" w:cs="Calibri Light"/>
          <w:spacing w:val="12"/>
          <w:sz w:val="21"/>
          <w:szCs w:val="21"/>
        </w:rPr>
        <w:t xml:space="preserve"> </w:t>
      </w:r>
      <w:r w:rsidRPr="001D43B8">
        <w:rPr>
          <w:rFonts w:ascii="Abadi" w:hAnsi="Abadi" w:cs="Calibri Light"/>
          <w:sz w:val="21"/>
          <w:szCs w:val="21"/>
        </w:rPr>
        <w:t>trata</w:t>
      </w:r>
      <w:r w:rsidRPr="001D43B8">
        <w:rPr>
          <w:rFonts w:ascii="Abadi" w:hAnsi="Abadi" w:cs="Calibri Light"/>
          <w:spacing w:val="13"/>
          <w:sz w:val="21"/>
          <w:szCs w:val="21"/>
        </w:rPr>
        <w:t xml:space="preserve"> </w:t>
      </w:r>
      <w:r w:rsidRPr="001D43B8">
        <w:rPr>
          <w:rFonts w:ascii="Abadi" w:hAnsi="Abadi" w:cs="Calibri Light"/>
          <w:sz w:val="21"/>
          <w:szCs w:val="21"/>
        </w:rPr>
        <w:t>de</w:t>
      </w:r>
      <w:r w:rsidRPr="001D43B8">
        <w:rPr>
          <w:rFonts w:ascii="Abadi" w:hAnsi="Abadi" w:cs="Calibri Light"/>
          <w:spacing w:val="11"/>
          <w:sz w:val="21"/>
          <w:szCs w:val="21"/>
        </w:rPr>
        <w:t xml:space="preserve"> </w:t>
      </w:r>
      <w:r w:rsidRPr="001D43B8">
        <w:rPr>
          <w:rFonts w:ascii="Abadi" w:hAnsi="Abadi" w:cs="Calibri Light"/>
          <w:sz w:val="21"/>
          <w:szCs w:val="21"/>
        </w:rPr>
        <w:t>un</w:t>
      </w:r>
      <w:r w:rsidRPr="001D43B8">
        <w:rPr>
          <w:rFonts w:ascii="Abadi" w:hAnsi="Abadi" w:cs="Calibri Light"/>
          <w:spacing w:val="12"/>
          <w:sz w:val="21"/>
          <w:szCs w:val="21"/>
        </w:rPr>
        <w:t xml:space="preserve"> </w:t>
      </w:r>
      <w:r w:rsidRPr="001D43B8">
        <w:rPr>
          <w:rFonts w:ascii="Abadi" w:hAnsi="Abadi" w:cs="Calibri Light"/>
          <w:sz w:val="21"/>
          <w:szCs w:val="21"/>
        </w:rPr>
        <w:t>tipo</w:t>
      </w:r>
      <w:r w:rsidRPr="001D43B8">
        <w:rPr>
          <w:rFonts w:ascii="Abadi" w:hAnsi="Abadi" w:cs="Calibri Light"/>
          <w:spacing w:val="12"/>
          <w:sz w:val="21"/>
          <w:szCs w:val="21"/>
        </w:rPr>
        <w:t xml:space="preserve"> </w:t>
      </w:r>
      <w:r w:rsidRPr="001D43B8">
        <w:rPr>
          <w:rFonts w:ascii="Abadi" w:hAnsi="Abadi" w:cs="Calibri Light"/>
          <w:sz w:val="21"/>
          <w:szCs w:val="21"/>
        </w:rPr>
        <w:t>de</w:t>
      </w:r>
      <w:r w:rsidRPr="001D43B8">
        <w:rPr>
          <w:rFonts w:ascii="Abadi" w:hAnsi="Abadi" w:cs="Calibri Light"/>
          <w:spacing w:val="11"/>
          <w:sz w:val="21"/>
          <w:szCs w:val="21"/>
        </w:rPr>
        <w:t xml:space="preserve"> </w:t>
      </w:r>
      <w:r w:rsidRPr="001D43B8">
        <w:rPr>
          <w:rFonts w:ascii="Abadi" w:hAnsi="Abadi" w:cs="Calibri Light"/>
          <w:sz w:val="21"/>
          <w:szCs w:val="21"/>
        </w:rPr>
        <w:t>violencia</w:t>
      </w:r>
      <w:r w:rsidRPr="001D43B8">
        <w:rPr>
          <w:rFonts w:ascii="Abadi" w:hAnsi="Abadi" w:cs="Calibri Light"/>
          <w:spacing w:val="13"/>
          <w:sz w:val="21"/>
          <w:szCs w:val="21"/>
        </w:rPr>
        <w:t xml:space="preserve"> </w:t>
      </w:r>
      <w:r w:rsidRPr="001D43B8">
        <w:rPr>
          <w:rFonts w:ascii="Abadi" w:hAnsi="Abadi" w:cs="Calibri Light"/>
          <w:sz w:val="21"/>
          <w:szCs w:val="21"/>
        </w:rPr>
        <w:t>específica,</w:t>
      </w:r>
      <w:r w:rsidRPr="001D43B8">
        <w:rPr>
          <w:rFonts w:ascii="Abadi" w:hAnsi="Abadi" w:cs="Calibri Light"/>
          <w:spacing w:val="12"/>
          <w:sz w:val="21"/>
          <w:szCs w:val="21"/>
        </w:rPr>
        <w:t xml:space="preserve"> </w:t>
      </w:r>
      <w:r w:rsidRPr="001D43B8">
        <w:rPr>
          <w:rFonts w:ascii="Abadi" w:hAnsi="Abadi" w:cs="Calibri Light"/>
          <w:sz w:val="21"/>
          <w:szCs w:val="21"/>
        </w:rPr>
        <w:t>que</w:t>
      </w:r>
      <w:r w:rsidRPr="001D43B8">
        <w:rPr>
          <w:rFonts w:ascii="Abadi" w:hAnsi="Abadi" w:cs="Calibri Light"/>
          <w:spacing w:val="9"/>
          <w:sz w:val="21"/>
          <w:szCs w:val="21"/>
        </w:rPr>
        <w:t xml:space="preserve"> </w:t>
      </w:r>
      <w:r w:rsidRPr="001D43B8">
        <w:rPr>
          <w:rFonts w:ascii="Abadi" w:hAnsi="Abadi" w:cs="Calibri Light"/>
          <w:sz w:val="21"/>
          <w:szCs w:val="21"/>
        </w:rPr>
        <w:t>se ejerce</w:t>
      </w:r>
      <w:r w:rsidRPr="001D43B8">
        <w:rPr>
          <w:rFonts w:ascii="Abadi" w:hAnsi="Abadi" w:cs="Calibri Light"/>
          <w:spacing w:val="-3"/>
          <w:sz w:val="21"/>
          <w:szCs w:val="21"/>
        </w:rPr>
        <w:t xml:space="preserve"> </w:t>
      </w:r>
      <w:r w:rsidRPr="001D43B8">
        <w:rPr>
          <w:rFonts w:ascii="Abadi" w:hAnsi="Abadi" w:cs="Calibri Light"/>
          <w:sz w:val="21"/>
          <w:szCs w:val="21"/>
        </w:rPr>
        <w:t>sobre las</w:t>
      </w:r>
      <w:r w:rsidRPr="001D43B8">
        <w:rPr>
          <w:rFonts w:ascii="Abadi" w:hAnsi="Abadi" w:cs="Calibri Light"/>
          <w:spacing w:val="1"/>
          <w:sz w:val="21"/>
          <w:szCs w:val="21"/>
        </w:rPr>
        <w:t xml:space="preserve"> </w:t>
      </w:r>
      <w:r w:rsidRPr="001D43B8">
        <w:rPr>
          <w:rFonts w:ascii="Abadi" w:hAnsi="Abadi" w:cs="Calibri Light"/>
          <w:sz w:val="21"/>
          <w:szCs w:val="21"/>
        </w:rPr>
        <w:t>mujeres</w:t>
      </w:r>
      <w:r w:rsidRPr="001D43B8">
        <w:rPr>
          <w:rFonts w:ascii="Abadi" w:hAnsi="Abadi" w:cs="Calibri Light"/>
          <w:spacing w:val="-1"/>
          <w:sz w:val="21"/>
          <w:szCs w:val="21"/>
        </w:rPr>
        <w:t xml:space="preserve"> </w:t>
      </w:r>
      <w:r w:rsidRPr="001D43B8">
        <w:rPr>
          <w:rFonts w:ascii="Abadi" w:hAnsi="Abadi" w:cs="Calibri Light"/>
          <w:sz w:val="21"/>
          <w:szCs w:val="21"/>
        </w:rPr>
        <w:t>solo por</w:t>
      </w:r>
      <w:r w:rsidRPr="001D43B8">
        <w:rPr>
          <w:rFonts w:ascii="Abadi" w:hAnsi="Abadi" w:cs="Calibri Light"/>
          <w:spacing w:val="-2"/>
          <w:sz w:val="21"/>
          <w:szCs w:val="21"/>
        </w:rPr>
        <w:t xml:space="preserve"> </w:t>
      </w:r>
      <w:r w:rsidRPr="001D43B8">
        <w:rPr>
          <w:rFonts w:ascii="Abadi" w:hAnsi="Abadi" w:cs="Calibri Light"/>
          <w:sz w:val="21"/>
          <w:szCs w:val="21"/>
        </w:rPr>
        <w:t>ser mujeres.</w:t>
      </w:r>
    </w:p>
    <w:p w14:paraId="433F8F32" w14:textId="77777777" w:rsidR="00AF040F" w:rsidRPr="001D43B8" w:rsidRDefault="00AF040F" w:rsidP="00A44DEE">
      <w:pPr>
        <w:kinsoku w:val="0"/>
        <w:overflowPunct w:val="0"/>
        <w:autoSpaceDE w:val="0"/>
        <w:autoSpaceDN w:val="0"/>
        <w:adjustRightInd w:val="0"/>
        <w:spacing w:before="161"/>
        <w:ind w:left="39" w:right="116"/>
        <w:jc w:val="both"/>
        <w:rPr>
          <w:rFonts w:ascii="Abadi" w:hAnsi="Abadi" w:cs="Calibri Light"/>
          <w:sz w:val="21"/>
          <w:szCs w:val="21"/>
        </w:rPr>
      </w:pPr>
      <w:r w:rsidRPr="001D43B8">
        <w:rPr>
          <w:rFonts w:ascii="Abadi" w:hAnsi="Abadi" w:cs="Calibri Light"/>
          <w:sz w:val="21"/>
          <w:szCs w:val="21"/>
        </w:rPr>
        <w:t>Una</w:t>
      </w:r>
      <w:r w:rsidRPr="001D43B8">
        <w:rPr>
          <w:rFonts w:ascii="Abadi" w:hAnsi="Abadi" w:cs="Calibri Light"/>
          <w:spacing w:val="10"/>
          <w:sz w:val="21"/>
          <w:szCs w:val="21"/>
        </w:rPr>
        <w:t xml:space="preserve"> </w:t>
      </w:r>
      <w:r w:rsidRPr="001D43B8">
        <w:rPr>
          <w:rFonts w:ascii="Abadi" w:hAnsi="Abadi" w:cs="Calibri Light"/>
          <w:sz w:val="21"/>
          <w:szCs w:val="21"/>
        </w:rPr>
        <w:t>de</w:t>
      </w:r>
      <w:r w:rsidRPr="001D43B8">
        <w:rPr>
          <w:rFonts w:ascii="Abadi" w:hAnsi="Abadi" w:cs="Calibri Light"/>
          <w:spacing w:val="10"/>
          <w:sz w:val="21"/>
          <w:szCs w:val="21"/>
        </w:rPr>
        <w:t xml:space="preserve"> </w:t>
      </w:r>
      <w:r w:rsidRPr="001D43B8">
        <w:rPr>
          <w:rFonts w:ascii="Abadi" w:hAnsi="Abadi" w:cs="Calibri Light"/>
          <w:sz w:val="21"/>
          <w:szCs w:val="21"/>
        </w:rPr>
        <w:t>las</w:t>
      </w:r>
      <w:r w:rsidRPr="001D43B8">
        <w:rPr>
          <w:rFonts w:ascii="Abadi" w:hAnsi="Abadi" w:cs="Calibri Light"/>
          <w:spacing w:val="11"/>
          <w:sz w:val="21"/>
          <w:szCs w:val="21"/>
        </w:rPr>
        <w:t xml:space="preserve"> </w:t>
      </w:r>
      <w:r w:rsidRPr="001D43B8">
        <w:rPr>
          <w:rFonts w:ascii="Abadi" w:hAnsi="Abadi" w:cs="Calibri Light"/>
          <w:sz w:val="21"/>
          <w:szCs w:val="21"/>
        </w:rPr>
        <w:t>características</w:t>
      </w:r>
      <w:r w:rsidRPr="001D43B8">
        <w:rPr>
          <w:rFonts w:ascii="Abadi" w:hAnsi="Abadi" w:cs="Calibri Light"/>
          <w:spacing w:val="14"/>
          <w:sz w:val="21"/>
          <w:szCs w:val="21"/>
        </w:rPr>
        <w:t xml:space="preserve"> </w:t>
      </w:r>
      <w:r w:rsidRPr="001D43B8">
        <w:rPr>
          <w:rFonts w:ascii="Abadi" w:hAnsi="Abadi" w:cs="Calibri Light"/>
          <w:sz w:val="21"/>
          <w:szCs w:val="21"/>
        </w:rPr>
        <w:t>de</w:t>
      </w:r>
      <w:r w:rsidRPr="001D43B8">
        <w:rPr>
          <w:rFonts w:ascii="Abadi" w:hAnsi="Abadi" w:cs="Calibri Light"/>
          <w:spacing w:val="9"/>
          <w:sz w:val="21"/>
          <w:szCs w:val="21"/>
        </w:rPr>
        <w:t xml:space="preserve"> </w:t>
      </w:r>
      <w:r w:rsidRPr="001D43B8">
        <w:rPr>
          <w:rFonts w:ascii="Abadi" w:hAnsi="Abadi" w:cs="Calibri Light"/>
          <w:sz w:val="21"/>
          <w:szCs w:val="21"/>
        </w:rPr>
        <w:t>la</w:t>
      </w:r>
      <w:r w:rsidRPr="001D43B8">
        <w:rPr>
          <w:rFonts w:ascii="Abadi" w:hAnsi="Abadi" w:cs="Calibri Light"/>
          <w:spacing w:val="13"/>
          <w:sz w:val="21"/>
          <w:szCs w:val="21"/>
        </w:rPr>
        <w:t xml:space="preserve"> </w:t>
      </w:r>
      <w:r w:rsidRPr="001D43B8">
        <w:rPr>
          <w:rFonts w:ascii="Abadi" w:hAnsi="Abadi" w:cs="Calibri Light"/>
          <w:sz w:val="21"/>
          <w:szCs w:val="21"/>
        </w:rPr>
        <w:t>violencia</w:t>
      </w:r>
      <w:r w:rsidRPr="001D43B8">
        <w:rPr>
          <w:rFonts w:ascii="Abadi" w:hAnsi="Abadi" w:cs="Calibri Light"/>
          <w:spacing w:val="13"/>
          <w:sz w:val="21"/>
          <w:szCs w:val="21"/>
        </w:rPr>
        <w:t xml:space="preserve"> </w:t>
      </w:r>
      <w:r w:rsidRPr="001D43B8">
        <w:rPr>
          <w:rFonts w:ascii="Abadi" w:hAnsi="Abadi" w:cs="Calibri Light"/>
          <w:sz w:val="21"/>
          <w:szCs w:val="21"/>
        </w:rPr>
        <w:t>de</w:t>
      </w:r>
      <w:r w:rsidRPr="001D43B8">
        <w:rPr>
          <w:rFonts w:ascii="Abadi" w:hAnsi="Abadi" w:cs="Calibri Light"/>
          <w:spacing w:val="9"/>
          <w:sz w:val="21"/>
          <w:szCs w:val="21"/>
        </w:rPr>
        <w:t xml:space="preserve"> </w:t>
      </w:r>
      <w:r w:rsidRPr="001D43B8">
        <w:rPr>
          <w:rFonts w:ascii="Abadi" w:hAnsi="Abadi" w:cs="Calibri Light"/>
          <w:sz w:val="21"/>
          <w:szCs w:val="21"/>
        </w:rPr>
        <w:t>género</w:t>
      </w:r>
      <w:r w:rsidRPr="001D43B8">
        <w:rPr>
          <w:rFonts w:ascii="Abadi" w:hAnsi="Abadi" w:cs="Calibri Light"/>
          <w:spacing w:val="12"/>
          <w:sz w:val="21"/>
          <w:szCs w:val="21"/>
        </w:rPr>
        <w:t xml:space="preserve"> </w:t>
      </w:r>
      <w:r w:rsidRPr="001D43B8">
        <w:rPr>
          <w:rFonts w:ascii="Abadi" w:hAnsi="Abadi" w:cs="Calibri Light"/>
          <w:sz w:val="21"/>
          <w:szCs w:val="21"/>
        </w:rPr>
        <w:t>es</w:t>
      </w:r>
      <w:r w:rsidRPr="001D43B8">
        <w:rPr>
          <w:rFonts w:ascii="Abadi" w:hAnsi="Abadi" w:cs="Calibri Light"/>
          <w:spacing w:val="13"/>
          <w:sz w:val="21"/>
          <w:szCs w:val="21"/>
        </w:rPr>
        <w:t xml:space="preserve"> </w:t>
      </w:r>
      <w:r w:rsidRPr="001D43B8">
        <w:rPr>
          <w:rFonts w:ascii="Abadi" w:hAnsi="Abadi" w:cs="Calibri Light"/>
          <w:sz w:val="21"/>
          <w:szCs w:val="21"/>
        </w:rPr>
        <w:t>su</w:t>
      </w:r>
      <w:r w:rsidRPr="001D43B8">
        <w:rPr>
          <w:rFonts w:ascii="Abadi" w:hAnsi="Abadi" w:cs="Calibri Light"/>
          <w:spacing w:val="13"/>
          <w:sz w:val="21"/>
          <w:szCs w:val="21"/>
        </w:rPr>
        <w:t xml:space="preserve"> </w:t>
      </w:r>
      <w:r w:rsidRPr="001D43B8">
        <w:rPr>
          <w:rFonts w:ascii="Abadi" w:hAnsi="Abadi" w:cs="Calibri Light"/>
          <w:sz w:val="21"/>
          <w:szCs w:val="21"/>
        </w:rPr>
        <w:t>progresividad,</w:t>
      </w:r>
      <w:r w:rsidRPr="001D43B8">
        <w:rPr>
          <w:rFonts w:ascii="Abadi" w:hAnsi="Abadi" w:cs="Calibri Light"/>
          <w:spacing w:val="12"/>
          <w:sz w:val="21"/>
          <w:szCs w:val="21"/>
        </w:rPr>
        <w:t xml:space="preserve"> </w:t>
      </w:r>
      <w:r w:rsidRPr="001D43B8">
        <w:rPr>
          <w:rFonts w:ascii="Abadi" w:hAnsi="Abadi" w:cs="Calibri Light"/>
          <w:sz w:val="21"/>
          <w:szCs w:val="21"/>
        </w:rPr>
        <w:t>es</w:t>
      </w:r>
      <w:r w:rsidRPr="001D43B8">
        <w:rPr>
          <w:rFonts w:ascii="Abadi" w:hAnsi="Abadi" w:cs="Calibri Light"/>
          <w:spacing w:val="11"/>
          <w:sz w:val="21"/>
          <w:szCs w:val="21"/>
        </w:rPr>
        <w:t xml:space="preserve"> </w:t>
      </w:r>
      <w:r w:rsidRPr="001D43B8">
        <w:rPr>
          <w:rFonts w:ascii="Abadi" w:hAnsi="Abadi" w:cs="Calibri Light"/>
          <w:sz w:val="21"/>
          <w:szCs w:val="21"/>
        </w:rPr>
        <w:t>decir, que</w:t>
      </w:r>
      <w:r w:rsidRPr="001D43B8">
        <w:rPr>
          <w:rFonts w:ascii="Abadi" w:hAnsi="Abadi" w:cs="Calibri Light"/>
          <w:spacing w:val="59"/>
          <w:sz w:val="21"/>
          <w:szCs w:val="21"/>
        </w:rPr>
        <w:t xml:space="preserve"> </w:t>
      </w:r>
      <w:r w:rsidRPr="001D43B8">
        <w:rPr>
          <w:rFonts w:ascii="Abadi" w:hAnsi="Abadi" w:cs="Calibri Light"/>
          <w:sz w:val="21"/>
          <w:szCs w:val="21"/>
        </w:rPr>
        <w:t>cuando</w:t>
      </w:r>
      <w:r w:rsidRPr="001D43B8">
        <w:rPr>
          <w:rFonts w:ascii="Abadi" w:hAnsi="Abadi" w:cs="Calibri Light"/>
          <w:spacing w:val="59"/>
          <w:sz w:val="21"/>
          <w:szCs w:val="21"/>
        </w:rPr>
        <w:t xml:space="preserve"> </w:t>
      </w:r>
      <w:r w:rsidRPr="001D43B8">
        <w:rPr>
          <w:rFonts w:ascii="Abadi" w:hAnsi="Abadi" w:cs="Calibri Light"/>
          <w:sz w:val="21"/>
          <w:szCs w:val="21"/>
        </w:rPr>
        <w:t>se</w:t>
      </w:r>
      <w:r w:rsidRPr="001D43B8">
        <w:rPr>
          <w:rFonts w:ascii="Abadi" w:hAnsi="Abadi" w:cs="Calibri Light"/>
          <w:spacing w:val="2"/>
          <w:sz w:val="21"/>
          <w:szCs w:val="21"/>
        </w:rPr>
        <w:t xml:space="preserve"> </w:t>
      </w:r>
      <w:r w:rsidRPr="001D43B8">
        <w:rPr>
          <w:rFonts w:ascii="Abadi" w:hAnsi="Abadi" w:cs="Calibri Light"/>
          <w:sz w:val="21"/>
          <w:szCs w:val="21"/>
        </w:rPr>
        <w:t>comienza</w:t>
      </w:r>
      <w:r w:rsidRPr="001D43B8">
        <w:rPr>
          <w:rFonts w:ascii="Abadi" w:hAnsi="Abadi" w:cs="Calibri Light"/>
          <w:spacing w:val="59"/>
          <w:sz w:val="21"/>
          <w:szCs w:val="21"/>
        </w:rPr>
        <w:t xml:space="preserve"> </w:t>
      </w:r>
      <w:r w:rsidRPr="001D43B8">
        <w:rPr>
          <w:rFonts w:ascii="Abadi" w:hAnsi="Abadi" w:cs="Calibri Light"/>
          <w:sz w:val="21"/>
          <w:szCs w:val="21"/>
        </w:rPr>
        <w:t>a</w:t>
      </w:r>
      <w:r w:rsidRPr="001D43B8">
        <w:rPr>
          <w:rFonts w:ascii="Abadi" w:hAnsi="Abadi" w:cs="Calibri Light"/>
          <w:spacing w:val="3"/>
          <w:sz w:val="21"/>
          <w:szCs w:val="21"/>
        </w:rPr>
        <w:t xml:space="preserve"> </w:t>
      </w:r>
      <w:r w:rsidRPr="001D43B8">
        <w:rPr>
          <w:rFonts w:ascii="Abadi" w:hAnsi="Abadi" w:cs="Calibri Light"/>
          <w:sz w:val="21"/>
          <w:szCs w:val="21"/>
        </w:rPr>
        <w:t>ejercer</w:t>
      </w:r>
      <w:r w:rsidRPr="001D43B8">
        <w:rPr>
          <w:rFonts w:ascii="Abadi" w:hAnsi="Abadi" w:cs="Calibri Light"/>
          <w:spacing w:val="2"/>
          <w:sz w:val="21"/>
          <w:szCs w:val="21"/>
        </w:rPr>
        <w:t xml:space="preserve"> </w:t>
      </w:r>
      <w:r w:rsidRPr="001D43B8">
        <w:rPr>
          <w:rFonts w:ascii="Abadi" w:hAnsi="Abadi" w:cs="Calibri Light"/>
          <w:sz w:val="21"/>
          <w:szCs w:val="21"/>
        </w:rPr>
        <w:t>violencia</w:t>
      </w:r>
      <w:r w:rsidRPr="001D43B8">
        <w:rPr>
          <w:rFonts w:ascii="Abadi" w:hAnsi="Abadi" w:cs="Calibri Light"/>
          <w:spacing w:val="58"/>
          <w:sz w:val="21"/>
          <w:szCs w:val="21"/>
        </w:rPr>
        <w:t xml:space="preserve"> </w:t>
      </w:r>
      <w:r w:rsidRPr="001D43B8">
        <w:rPr>
          <w:rFonts w:ascii="Abadi" w:hAnsi="Abadi" w:cs="Calibri Light"/>
          <w:sz w:val="21"/>
          <w:szCs w:val="21"/>
        </w:rPr>
        <w:t>contra</w:t>
      </w:r>
      <w:r w:rsidRPr="001D43B8">
        <w:rPr>
          <w:rFonts w:ascii="Abadi" w:hAnsi="Abadi" w:cs="Calibri Light"/>
          <w:spacing w:val="2"/>
          <w:sz w:val="21"/>
          <w:szCs w:val="21"/>
        </w:rPr>
        <w:t xml:space="preserve"> </w:t>
      </w:r>
      <w:r w:rsidRPr="001D43B8">
        <w:rPr>
          <w:rFonts w:ascii="Abadi" w:hAnsi="Abadi" w:cs="Calibri Light"/>
          <w:sz w:val="21"/>
          <w:szCs w:val="21"/>
        </w:rPr>
        <w:t>una</w:t>
      </w:r>
      <w:r w:rsidRPr="001D43B8">
        <w:rPr>
          <w:rFonts w:ascii="Abadi" w:hAnsi="Abadi" w:cs="Calibri Light"/>
          <w:spacing w:val="5"/>
          <w:sz w:val="21"/>
          <w:szCs w:val="21"/>
        </w:rPr>
        <w:t xml:space="preserve"> </w:t>
      </w:r>
      <w:r w:rsidRPr="001D43B8">
        <w:rPr>
          <w:rFonts w:ascii="Abadi" w:hAnsi="Abadi" w:cs="Calibri Light"/>
          <w:sz w:val="21"/>
          <w:szCs w:val="21"/>
        </w:rPr>
        <w:t>mujer</w:t>
      </w:r>
      <w:r w:rsidRPr="001D43B8">
        <w:rPr>
          <w:rFonts w:ascii="Abadi" w:hAnsi="Abadi" w:cs="Calibri Light"/>
          <w:spacing w:val="2"/>
          <w:sz w:val="21"/>
          <w:szCs w:val="21"/>
        </w:rPr>
        <w:t xml:space="preserve"> </w:t>
      </w:r>
      <w:r w:rsidRPr="001D43B8">
        <w:rPr>
          <w:rFonts w:ascii="Abadi" w:hAnsi="Abadi" w:cs="Calibri Light"/>
          <w:sz w:val="21"/>
          <w:szCs w:val="21"/>
        </w:rPr>
        <w:t>es</w:t>
      </w:r>
      <w:r w:rsidRPr="001D43B8">
        <w:rPr>
          <w:rFonts w:ascii="Abadi" w:hAnsi="Abadi" w:cs="Calibri Light"/>
          <w:spacing w:val="3"/>
          <w:sz w:val="21"/>
          <w:szCs w:val="21"/>
        </w:rPr>
        <w:t xml:space="preserve"> </w:t>
      </w:r>
      <w:r w:rsidRPr="001D43B8">
        <w:rPr>
          <w:rFonts w:ascii="Abadi" w:hAnsi="Abadi" w:cs="Calibri Light"/>
          <w:sz w:val="21"/>
          <w:szCs w:val="21"/>
        </w:rPr>
        <w:t>muy</w:t>
      </w:r>
      <w:r w:rsidRPr="001D43B8">
        <w:rPr>
          <w:rFonts w:ascii="Abadi" w:hAnsi="Abadi" w:cs="Calibri Light"/>
          <w:spacing w:val="3"/>
          <w:sz w:val="21"/>
          <w:szCs w:val="21"/>
        </w:rPr>
        <w:t xml:space="preserve"> </w:t>
      </w:r>
      <w:r w:rsidRPr="001D43B8">
        <w:rPr>
          <w:rFonts w:ascii="Abadi" w:hAnsi="Abadi" w:cs="Calibri Light"/>
          <w:sz w:val="21"/>
          <w:szCs w:val="21"/>
        </w:rPr>
        <w:t>poco probable que disminuya</w:t>
      </w:r>
      <w:r w:rsidRPr="001D43B8">
        <w:rPr>
          <w:rFonts w:ascii="Abadi" w:hAnsi="Abadi" w:cs="Calibri Light"/>
          <w:spacing w:val="1"/>
          <w:sz w:val="21"/>
          <w:szCs w:val="21"/>
        </w:rPr>
        <w:t xml:space="preserve"> </w:t>
      </w:r>
      <w:r w:rsidRPr="001D43B8">
        <w:rPr>
          <w:rFonts w:ascii="Abadi" w:hAnsi="Abadi" w:cs="Calibri Light"/>
          <w:sz w:val="21"/>
          <w:szCs w:val="21"/>
        </w:rPr>
        <w:t>o se</w:t>
      </w:r>
      <w:r w:rsidRPr="001D43B8">
        <w:rPr>
          <w:rFonts w:ascii="Abadi" w:hAnsi="Abadi" w:cs="Calibri Light"/>
          <w:spacing w:val="2"/>
          <w:sz w:val="21"/>
          <w:szCs w:val="21"/>
        </w:rPr>
        <w:t xml:space="preserve"> </w:t>
      </w:r>
      <w:r w:rsidRPr="001D43B8">
        <w:rPr>
          <w:rFonts w:ascii="Abadi" w:hAnsi="Abadi" w:cs="Calibri Light"/>
          <w:sz w:val="21"/>
          <w:szCs w:val="21"/>
        </w:rPr>
        <w:t>erradique.</w:t>
      </w:r>
      <w:r w:rsidRPr="001D43B8">
        <w:rPr>
          <w:rFonts w:ascii="Abadi" w:hAnsi="Abadi" w:cs="Calibri Light"/>
          <w:spacing w:val="-1"/>
          <w:sz w:val="21"/>
          <w:szCs w:val="21"/>
        </w:rPr>
        <w:t xml:space="preserve"> </w:t>
      </w:r>
      <w:r w:rsidRPr="001D43B8">
        <w:rPr>
          <w:rFonts w:ascii="Abadi" w:hAnsi="Abadi" w:cs="Calibri Light"/>
          <w:sz w:val="21"/>
          <w:szCs w:val="21"/>
        </w:rPr>
        <w:t>Todo</w:t>
      </w:r>
      <w:r w:rsidRPr="001D43B8">
        <w:rPr>
          <w:rFonts w:ascii="Abadi" w:hAnsi="Abadi" w:cs="Calibri Light"/>
          <w:spacing w:val="-1"/>
          <w:sz w:val="21"/>
          <w:szCs w:val="21"/>
        </w:rPr>
        <w:t xml:space="preserve"> </w:t>
      </w:r>
      <w:r w:rsidRPr="001D43B8">
        <w:rPr>
          <w:rFonts w:ascii="Abadi" w:hAnsi="Abadi" w:cs="Calibri Light"/>
          <w:sz w:val="21"/>
          <w:szCs w:val="21"/>
        </w:rPr>
        <w:t>lo</w:t>
      </w:r>
      <w:r w:rsidRPr="001D43B8">
        <w:rPr>
          <w:rFonts w:ascii="Abadi" w:hAnsi="Abadi" w:cs="Calibri Light"/>
          <w:spacing w:val="-2"/>
          <w:sz w:val="21"/>
          <w:szCs w:val="21"/>
        </w:rPr>
        <w:t xml:space="preserve"> </w:t>
      </w:r>
      <w:r w:rsidRPr="001D43B8">
        <w:rPr>
          <w:rFonts w:ascii="Abadi" w:hAnsi="Abadi" w:cs="Calibri Light"/>
          <w:sz w:val="21"/>
          <w:szCs w:val="21"/>
        </w:rPr>
        <w:t>contrario:</w:t>
      </w:r>
      <w:r w:rsidRPr="001D43B8">
        <w:rPr>
          <w:rFonts w:ascii="Abadi" w:hAnsi="Abadi" w:cs="Calibri Light"/>
          <w:spacing w:val="-1"/>
          <w:sz w:val="21"/>
          <w:szCs w:val="21"/>
        </w:rPr>
        <w:t xml:space="preserve"> </w:t>
      </w:r>
      <w:r w:rsidRPr="001D43B8">
        <w:rPr>
          <w:rFonts w:ascii="Abadi" w:hAnsi="Abadi" w:cs="Calibri Light"/>
          <w:sz w:val="21"/>
          <w:szCs w:val="21"/>
        </w:rPr>
        <w:t>cada</w:t>
      </w:r>
      <w:r w:rsidRPr="001D43B8">
        <w:rPr>
          <w:rFonts w:ascii="Abadi" w:hAnsi="Abadi" w:cs="Calibri Light"/>
          <w:spacing w:val="1"/>
          <w:sz w:val="21"/>
          <w:szCs w:val="21"/>
        </w:rPr>
        <w:t xml:space="preserve"> </w:t>
      </w:r>
      <w:r w:rsidRPr="001D43B8">
        <w:rPr>
          <w:rFonts w:ascii="Abadi" w:hAnsi="Abadi" w:cs="Calibri Light"/>
          <w:sz w:val="21"/>
          <w:szCs w:val="21"/>
        </w:rPr>
        <w:t>vez</w:t>
      </w:r>
      <w:r w:rsidRPr="001D43B8">
        <w:rPr>
          <w:rFonts w:ascii="Abadi" w:hAnsi="Abadi" w:cs="Calibri Light"/>
          <w:spacing w:val="1"/>
          <w:sz w:val="21"/>
          <w:szCs w:val="21"/>
        </w:rPr>
        <w:t xml:space="preserve"> </w:t>
      </w:r>
      <w:r w:rsidRPr="001D43B8">
        <w:rPr>
          <w:rFonts w:ascii="Abadi" w:hAnsi="Abadi" w:cs="Calibri Light"/>
          <w:sz w:val="21"/>
          <w:szCs w:val="21"/>
        </w:rPr>
        <w:t>incrementará más</w:t>
      </w:r>
      <w:r w:rsidRPr="001D43B8">
        <w:rPr>
          <w:rFonts w:ascii="Abadi" w:hAnsi="Abadi" w:cs="Calibri Light"/>
          <w:spacing w:val="4"/>
          <w:sz w:val="21"/>
          <w:szCs w:val="21"/>
        </w:rPr>
        <w:t xml:space="preserve"> </w:t>
      </w:r>
      <w:r w:rsidRPr="001D43B8">
        <w:rPr>
          <w:rFonts w:ascii="Abadi" w:hAnsi="Abadi" w:cs="Calibri Light"/>
          <w:sz w:val="21"/>
          <w:szCs w:val="21"/>
        </w:rPr>
        <w:t>su</w:t>
      </w:r>
      <w:r w:rsidRPr="001D43B8">
        <w:rPr>
          <w:rFonts w:ascii="Abadi" w:hAnsi="Abadi" w:cs="Calibri Light"/>
          <w:spacing w:val="3"/>
          <w:sz w:val="21"/>
          <w:szCs w:val="21"/>
        </w:rPr>
        <w:t xml:space="preserve"> </w:t>
      </w:r>
      <w:r w:rsidRPr="001D43B8">
        <w:rPr>
          <w:rFonts w:ascii="Abadi" w:hAnsi="Abadi" w:cs="Calibri Light"/>
          <w:sz w:val="21"/>
          <w:szCs w:val="21"/>
        </w:rPr>
        <w:t>intensidad</w:t>
      </w:r>
      <w:r w:rsidRPr="001D43B8">
        <w:rPr>
          <w:rFonts w:ascii="Abadi" w:hAnsi="Abadi" w:cs="Calibri Light"/>
          <w:spacing w:val="5"/>
          <w:sz w:val="21"/>
          <w:szCs w:val="21"/>
        </w:rPr>
        <w:t xml:space="preserve"> </w:t>
      </w:r>
      <w:r w:rsidRPr="001D43B8">
        <w:rPr>
          <w:rFonts w:ascii="Abadi" w:hAnsi="Abadi" w:cs="Calibri Light"/>
          <w:sz w:val="21"/>
          <w:szCs w:val="21"/>
        </w:rPr>
        <w:t>y,</w:t>
      </w:r>
      <w:r w:rsidRPr="001D43B8">
        <w:rPr>
          <w:rFonts w:ascii="Abadi" w:hAnsi="Abadi" w:cs="Calibri Light"/>
          <w:spacing w:val="4"/>
          <w:sz w:val="21"/>
          <w:szCs w:val="21"/>
        </w:rPr>
        <w:t xml:space="preserve"> </w:t>
      </w:r>
      <w:r w:rsidRPr="001D43B8">
        <w:rPr>
          <w:rFonts w:ascii="Abadi" w:hAnsi="Abadi" w:cs="Calibri Light"/>
          <w:sz w:val="21"/>
          <w:szCs w:val="21"/>
        </w:rPr>
        <w:t>por</w:t>
      </w:r>
      <w:r w:rsidRPr="001D43B8">
        <w:rPr>
          <w:rFonts w:ascii="Abadi" w:hAnsi="Abadi" w:cs="Calibri Light"/>
          <w:spacing w:val="4"/>
          <w:sz w:val="21"/>
          <w:szCs w:val="21"/>
        </w:rPr>
        <w:t xml:space="preserve"> </w:t>
      </w:r>
      <w:r w:rsidRPr="001D43B8">
        <w:rPr>
          <w:rFonts w:ascii="Abadi" w:hAnsi="Abadi" w:cs="Calibri Light"/>
          <w:sz w:val="21"/>
          <w:szCs w:val="21"/>
        </w:rPr>
        <w:t>tanto,</w:t>
      </w:r>
      <w:r w:rsidRPr="001D43B8">
        <w:rPr>
          <w:rFonts w:ascii="Abadi" w:hAnsi="Abadi" w:cs="Calibri Light"/>
          <w:spacing w:val="4"/>
          <w:sz w:val="21"/>
          <w:szCs w:val="21"/>
        </w:rPr>
        <w:t xml:space="preserve"> </w:t>
      </w:r>
      <w:r w:rsidRPr="001D43B8">
        <w:rPr>
          <w:rFonts w:ascii="Abadi" w:hAnsi="Abadi" w:cs="Calibri Light"/>
          <w:sz w:val="21"/>
          <w:szCs w:val="21"/>
        </w:rPr>
        <w:t>sus</w:t>
      </w:r>
      <w:r w:rsidRPr="001D43B8">
        <w:rPr>
          <w:rFonts w:ascii="Abadi" w:hAnsi="Abadi" w:cs="Calibri Light"/>
          <w:spacing w:val="6"/>
          <w:sz w:val="21"/>
          <w:szCs w:val="21"/>
        </w:rPr>
        <w:t xml:space="preserve"> </w:t>
      </w:r>
      <w:r w:rsidRPr="001D43B8">
        <w:rPr>
          <w:rFonts w:ascii="Abadi" w:hAnsi="Abadi" w:cs="Calibri Light"/>
          <w:sz w:val="21"/>
          <w:szCs w:val="21"/>
        </w:rPr>
        <w:t>consecuencias</w:t>
      </w:r>
      <w:r w:rsidRPr="001D43B8">
        <w:rPr>
          <w:rFonts w:ascii="Abadi" w:hAnsi="Abadi" w:cs="Calibri Light"/>
          <w:spacing w:val="9"/>
          <w:sz w:val="21"/>
          <w:szCs w:val="21"/>
        </w:rPr>
        <w:t xml:space="preserve"> </w:t>
      </w:r>
      <w:r w:rsidRPr="001D43B8">
        <w:rPr>
          <w:rFonts w:ascii="Abadi" w:hAnsi="Abadi" w:cs="Calibri Light"/>
          <w:sz w:val="21"/>
          <w:szCs w:val="21"/>
        </w:rPr>
        <w:t>contra</w:t>
      </w:r>
      <w:r w:rsidRPr="001D43B8">
        <w:rPr>
          <w:rFonts w:ascii="Abadi" w:hAnsi="Abadi" w:cs="Calibri Light"/>
          <w:spacing w:val="6"/>
          <w:sz w:val="21"/>
          <w:szCs w:val="21"/>
        </w:rPr>
        <w:t xml:space="preserve"> </w:t>
      </w:r>
      <w:r w:rsidRPr="001D43B8">
        <w:rPr>
          <w:rFonts w:ascii="Abadi" w:hAnsi="Abadi" w:cs="Calibri Light"/>
          <w:sz w:val="21"/>
          <w:szCs w:val="21"/>
        </w:rPr>
        <w:t>la</w:t>
      </w:r>
      <w:r w:rsidRPr="001D43B8">
        <w:rPr>
          <w:rFonts w:ascii="Abadi" w:hAnsi="Abadi" w:cs="Calibri Light"/>
          <w:spacing w:val="4"/>
          <w:sz w:val="21"/>
          <w:szCs w:val="21"/>
        </w:rPr>
        <w:t xml:space="preserve"> </w:t>
      </w:r>
      <w:r w:rsidRPr="001D43B8">
        <w:rPr>
          <w:rFonts w:ascii="Abadi" w:hAnsi="Abadi" w:cs="Calibri Light"/>
          <w:sz w:val="21"/>
          <w:szCs w:val="21"/>
        </w:rPr>
        <w:t>vida</w:t>
      </w:r>
      <w:r w:rsidRPr="001D43B8">
        <w:rPr>
          <w:rFonts w:ascii="Abadi" w:hAnsi="Abadi" w:cs="Calibri Light"/>
          <w:spacing w:val="6"/>
          <w:sz w:val="21"/>
          <w:szCs w:val="21"/>
        </w:rPr>
        <w:t xml:space="preserve"> </w:t>
      </w:r>
      <w:r w:rsidRPr="001D43B8">
        <w:rPr>
          <w:rFonts w:ascii="Abadi" w:hAnsi="Abadi" w:cs="Calibri Light"/>
          <w:sz w:val="21"/>
          <w:szCs w:val="21"/>
        </w:rPr>
        <w:t>y</w:t>
      </w:r>
      <w:r w:rsidRPr="001D43B8">
        <w:rPr>
          <w:rFonts w:ascii="Abadi" w:hAnsi="Abadi" w:cs="Calibri Light"/>
          <w:spacing w:val="6"/>
          <w:sz w:val="21"/>
          <w:szCs w:val="21"/>
        </w:rPr>
        <w:t xml:space="preserve"> </w:t>
      </w:r>
      <w:r w:rsidRPr="001D43B8">
        <w:rPr>
          <w:rFonts w:ascii="Abadi" w:hAnsi="Abadi" w:cs="Calibri Light"/>
          <w:sz w:val="21"/>
          <w:szCs w:val="21"/>
        </w:rPr>
        <w:t>el</w:t>
      </w:r>
      <w:r w:rsidRPr="001D43B8">
        <w:rPr>
          <w:rFonts w:ascii="Abadi" w:hAnsi="Abadi" w:cs="Calibri Light"/>
          <w:spacing w:val="5"/>
          <w:sz w:val="21"/>
          <w:szCs w:val="21"/>
        </w:rPr>
        <w:t xml:space="preserve"> </w:t>
      </w:r>
      <w:r w:rsidRPr="001D43B8">
        <w:rPr>
          <w:rFonts w:ascii="Abadi" w:hAnsi="Abadi" w:cs="Calibri Light"/>
          <w:sz w:val="21"/>
          <w:szCs w:val="21"/>
        </w:rPr>
        <w:t>bienestar</w:t>
      </w:r>
      <w:r w:rsidRPr="001D43B8">
        <w:rPr>
          <w:rFonts w:ascii="Abadi" w:hAnsi="Abadi" w:cs="Calibri Light"/>
          <w:spacing w:val="7"/>
          <w:sz w:val="21"/>
          <w:szCs w:val="21"/>
        </w:rPr>
        <w:t xml:space="preserve"> </w:t>
      </w:r>
      <w:r w:rsidRPr="001D43B8">
        <w:rPr>
          <w:rFonts w:ascii="Abadi" w:hAnsi="Abadi" w:cs="Calibri Light"/>
          <w:sz w:val="21"/>
          <w:szCs w:val="21"/>
        </w:rPr>
        <w:t>de</w:t>
      </w:r>
      <w:r>
        <w:rPr>
          <w:rFonts w:ascii="Abadi" w:hAnsi="Abadi" w:cs="Calibri Light"/>
          <w:sz w:val="21"/>
          <w:szCs w:val="21"/>
        </w:rPr>
        <w:t xml:space="preserve"> </w:t>
      </w:r>
      <w:r w:rsidRPr="001D43B8">
        <w:rPr>
          <w:rFonts w:ascii="Abadi" w:hAnsi="Abadi" w:cs="Calibri Light"/>
          <w:sz w:val="21"/>
          <w:szCs w:val="21"/>
        </w:rPr>
        <w:t>las</w:t>
      </w:r>
      <w:r w:rsidRPr="001D43B8">
        <w:rPr>
          <w:rFonts w:ascii="Abadi" w:hAnsi="Abadi" w:cs="Calibri Light"/>
          <w:spacing w:val="-1"/>
          <w:sz w:val="21"/>
          <w:szCs w:val="21"/>
        </w:rPr>
        <w:t xml:space="preserve"> </w:t>
      </w:r>
      <w:r w:rsidRPr="001D43B8">
        <w:rPr>
          <w:rFonts w:ascii="Abadi" w:hAnsi="Abadi" w:cs="Calibri Light"/>
          <w:sz w:val="21"/>
          <w:szCs w:val="21"/>
        </w:rPr>
        <w:t>mujeres.</w:t>
      </w:r>
    </w:p>
    <w:p w14:paraId="7865418F" w14:textId="77777777" w:rsidR="00AF040F" w:rsidRPr="001D43B8" w:rsidRDefault="00AF040F" w:rsidP="00A44DEE">
      <w:pPr>
        <w:jc w:val="both"/>
        <w:rPr>
          <w:rFonts w:ascii="Abadi" w:hAnsi="Abadi"/>
          <w:sz w:val="21"/>
          <w:szCs w:val="21"/>
        </w:rPr>
      </w:pPr>
    </w:p>
    <w:p w14:paraId="5F910754" w14:textId="77777777" w:rsidR="00AF040F" w:rsidRPr="00961415" w:rsidRDefault="00AF040F" w:rsidP="00A44DEE">
      <w:pPr>
        <w:pStyle w:val="Textoindependiente"/>
        <w:kinsoku w:val="0"/>
        <w:overflowPunct w:val="0"/>
        <w:rPr>
          <w:rFonts w:ascii="Abadi" w:hAnsi="Abadi"/>
          <w:b w:val="0"/>
          <w:bCs w:val="0"/>
          <w:sz w:val="21"/>
          <w:szCs w:val="21"/>
        </w:rPr>
      </w:pPr>
      <w:r w:rsidRPr="00961415">
        <w:rPr>
          <w:rFonts w:ascii="Abadi" w:hAnsi="Abadi"/>
          <w:b w:val="0"/>
          <w:bCs w:val="0"/>
          <w:sz w:val="21"/>
          <w:szCs w:val="21"/>
        </w:rPr>
        <w:t>Conforme</w:t>
      </w:r>
      <w:r w:rsidRPr="00961415">
        <w:rPr>
          <w:rFonts w:ascii="Abadi" w:hAnsi="Abadi"/>
          <w:b w:val="0"/>
          <w:bCs w:val="0"/>
          <w:spacing w:val="11"/>
          <w:sz w:val="21"/>
          <w:szCs w:val="21"/>
        </w:rPr>
        <w:t xml:space="preserve"> </w:t>
      </w:r>
      <w:r w:rsidRPr="00961415">
        <w:rPr>
          <w:rFonts w:ascii="Abadi" w:hAnsi="Abadi"/>
          <w:b w:val="0"/>
          <w:bCs w:val="0"/>
          <w:sz w:val="21"/>
          <w:szCs w:val="21"/>
        </w:rPr>
        <w:t>la</w:t>
      </w:r>
      <w:r w:rsidRPr="00961415">
        <w:rPr>
          <w:rFonts w:ascii="Abadi" w:hAnsi="Abadi"/>
          <w:b w:val="0"/>
          <w:bCs w:val="0"/>
          <w:spacing w:val="11"/>
          <w:sz w:val="21"/>
          <w:szCs w:val="21"/>
        </w:rPr>
        <w:t xml:space="preserve"> </w:t>
      </w:r>
      <w:r w:rsidRPr="00961415">
        <w:rPr>
          <w:rFonts w:ascii="Abadi" w:hAnsi="Abadi"/>
          <w:b w:val="0"/>
          <w:bCs w:val="0"/>
          <w:sz w:val="21"/>
          <w:szCs w:val="21"/>
        </w:rPr>
        <w:t>violencia</w:t>
      </w:r>
      <w:r w:rsidRPr="00961415">
        <w:rPr>
          <w:rFonts w:ascii="Abadi" w:hAnsi="Abadi"/>
          <w:b w:val="0"/>
          <w:bCs w:val="0"/>
          <w:spacing w:val="13"/>
          <w:sz w:val="21"/>
          <w:szCs w:val="21"/>
        </w:rPr>
        <w:t xml:space="preserve"> </w:t>
      </w:r>
      <w:r w:rsidRPr="00961415">
        <w:rPr>
          <w:rFonts w:ascii="Abadi" w:hAnsi="Abadi"/>
          <w:b w:val="0"/>
          <w:bCs w:val="0"/>
          <w:sz w:val="21"/>
          <w:szCs w:val="21"/>
        </w:rPr>
        <w:t>de</w:t>
      </w:r>
      <w:r w:rsidRPr="00961415">
        <w:rPr>
          <w:rFonts w:ascii="Abadi" w:hAnsi="Abadi"/>
          <w:b w:val="0"/>
          <w:bCs w:val="0"/>
          <w:spacing w:val="9"/>
          <w:sz w:val="21"/>
          <w:szCs w:val="21"/>
        </w:rPr>
        <w:t xml:space="preserve"> </w:t>
      </w:r>
      <w:r w:rsidRPr="00961415">
        <w:rPr>
          <w:rFonts w:ascii="Abadi" w:hAnsi="Abadi"/>
          <w:b w:val="0"/>
          <w:bCs w:val="0"/>
          <w:sz w:val="21"/>
          <w:szCs w:val="21"/>
        </w:rPr>
        <w:t>género</w:t>
      </w:r>
      <w:r w:rsidRPr="00961415">
        <w:rPr>
          <w:rFonts w:ascii="Abadi" w:hAnsi="Abadi"/>
          <w:b w:val="0"/>
          <w:bCs w:val="0"/>
          <w:spacing w:val="11"/>
          <w:sz w:val="21"/>
          <w:szCs w:val="21"/>
        </w:rPr>
        <w:t xml:space="preserve"> </w:t>
      </w:r>
      <w:r w:rsidRPr="00961415">
        <w:rPr>
          <w:rFonts w:ascii="Abadi" w:hAnsi="Abadi"/>
          <w:b w:val="0"/>
          <w:bCs w:val="0"/>
          <w:sz w:val="21"/>
          <w:szCs w:val="21"/>
        </w:rPr>
        <w:t>incrementa</w:t>
      </w:r>
      <w:r w:rsidRPr="00961415">
        <w:rPr>
          <w:rFonts w:ascii="Abadi" w:hAnsi="Abadi"/>
          <w:b w:val="0"/>
          <w:bCs w:val="0"/>
          <w:spacing w:val="15"/>
          <w:sz w:val="21"/>
          <w:szCs w:val="21"/>
        </w:rPr>
        <w:t xml:space="preserve"> </w:t>
      </w:r>
      <w:r w:rsidRPr="00961415">
        <w:rPr>
          <w:rFonts w:ascii="Abadi" w:hAnsi="Abadi"/>
          <w:b w:val="0"/>
          <w:bCs w:val="0"/>
          <w:sz w:val="21"/>
          <w:szCs w:val="21"/>
        </w:rPr>
        <w:t>su</w:t>
      </w:r>
      <w:r w:rsidRPr="00961415">
        <w:rPr>
          <w:rFonts w:ascii="Abadi" w:hAnsi="Abadi"/>
          <w:b w:val="0"/>
          <w:bCs w:val="0"/>
          <w:spacing w:val="10"/>
          <w:sz w:val="21"/>
          <w:szCs w:val="21"/>
        </w:rPr>
        <w:t xml:space="preserve"> </w:t>
      </w:r>
      <w:r w:rsidRPr="00961415">
        <w:rPr>
          <w:rFonts w:ascii="Abadi" w:hAnsi="Abadi"/>
          <w:b w:val="0"/>
          <w:bCs w:val="0"/>
          <w:sz w:val="21"/>
          <w:szCs w:val="21"/>
        </w:rPr>
        <w:t>intensidad,</w:t>
      </w:r>
      <w:r w:rsidRPr="00961415">
        <w:rPr>
          <w:rFonts w:ascii="Abadi" w:hAnsi="Abadi"/>
          <w:b w:val="0"/>
          <w:bCs w:val="0"/>
          <w:spacing w:val="12"/>
          <w:sz w:val="21"/>
          <w:szCs w:val="21"/>
        </w:rPr>
        <w:t xml:space="preserve"> </w:t>
      </w:r>
      <w:r w:rsidRPr="00961415">
        <w:rPr>
          <w:rFonts w:ascii="Abadi" w:hAnsi="Abadi"/>
          <w:b w:val="0"/>
          <w:bCs w:val="0"/>
          <w:sz w:val="21"/>
          <w:szCs w:val="21"/>
        </w:rPr>
        <w:t>también</w:t>
      </w:r>
      <w:r w:rsidRPr="00961415">
        <w:rPr>
          <w:rFonts w:ascii="Abadi" w:hAnsi="Abadi"/>
          <w:b w:val="0"/>
          <w:bCs w:val="0"/>
          <w:spacing w:val="12"/>
          <w:sz w:val="21"/>
          <w:szCs w:val="21"/>
        </w:rPr>
        <w:t xml:space="preserve"> </w:t>
      </w:r>
      <w:r w:rsidRPr="00961415">
        <w:rPr>
          <w:rFonts w:ascii="Abadi" w:hAnsi="Abadi"/>
          <w:b w:val="0"/>
          <w:bCs w:val="0"/>
          <w:sz w:val="21"/>
          <w:szCs w:val="21"/>
        </w:rPr>
        <w:t>lo</w:t>
      </w:r>
      <w:r w:rsidRPr="00961415">
        <w:rPr>
          <w:rFonts w:ascii="Abadi" w:hAnsi="Abadi"/>
          <w:b w:val="0"/>
          <w:bCs w:val="0"/>
          <w:spacing w:val="12"/>
          <w:sz w:val="21"/>
          <w:szCs w:val="21"/>
        </w:rPr>
        <w:t xml:space="preserve"> </w:t>
      </w:r>
      <w:r w:rsidRPr="00961415">
        <w:rPr>
          <w:rFonts w:ascii="Abadi" w:hAnsi="Abadi"/>
          <w:b w:val="0"/>
          <w:bCs w:val="0"/>
          <w:sz w:val="21"/>
          <w:szCs w:val="21"/>
        </w:rPr>
        <w:t>hacen</w:t>
      </w:r>
      <w:r w:rsidRPr="00961415">
        <w:rPr>
          <w:rFonts w:ascii="Abadi" w:hAnsi="Abadi"/>
          <w:b w:val="0"/>
          <w:bCs w:val="0"/>
          <w:spacing w:val="10"/>
          <w:sz w:val="21"/>
          <w:szCs w:val="21"/>
        </w:rPr>
        <w:t xml:space="preserve"> </w:t>
      </w:r>
      <w:r w:rsidRPr="00961415">
        <w:rPr>
          <w:rFonts w:ascii="Abadi" w:hAnsi="Abadi"/>
          <w:b w:val="0"/>
          <w:bCs w:val="0"/>
          <w:sz w:val="21"/>
          <w:szCs w:val="21"/>
        </w:rPr>
        <w:t>los</w:t>
      </w:r>
    </w:p>
    <w:p w14:paraId="59D30F6F" w14:textId="77777777" w:rsidR="00AF040F" w:rsidRPr="00961415" w:rsidRDefault="00AF040F" w:rsidP="00A44DEE">
      <w:pPr>
        <w:pStyle w:val="Textoindependiente"/>
        <w:kinsoku w:val="0"/>
        <w:overflowPunct w:val="0"/>
        <w:spacing w:before="160"/>
        <w:ind w:right="114"/>
        <w:rPr>
          <w:rFonts w:ascii="Abadi" w:hAnsi="Abadi"/>
          <w:b w:val="0"/>
          <w:bCs w:val="0"/>
          <w:sz w:val="21"/>
          <w:szCs w:val="21"/>
        </w:rPr>
      </w:pPr>
      <w:r w:rsidRPr="00961415">
        <w:rPr>
          <w:rFonts w:ascii="Abadi" w:hAnsi="Abadi"/>
          <w:b w:val="0"/>
          <w:bCs w:val="0"/>
          <w:sz w:val="21"/>
          <w:szCs w:val="21"/>
        </w:rPr>
        <w:t>daños</w:t>
      </w:r>
      <w:r w:rsidRPr="00961415">
        <w:rPr>
          <w:rFonts w:ascii="Abadi" w:hAnsi="Abadi"/>
          <w:b w:val="0"/>
          <w:bCs w:val="0"/>
          <w:spacing w:val="34"/>
          <w:sz w:val="21"/>
          <w:szCs w:val="21"/>
        </w:rPr>
        <w:t xml:space="preserve"> </w:t>
      </w:r>
      <w:r w:rsidRPr="00961415">
        <w:rPr>
          <w:rFonts w:ascii="Abadi" w:hAnsi="Abadi"/>
          <w:b w:val="0"/>
          <w:bCs w:val="0"/>
          <w:sz w:val="21"/>
          <w:szCs w:val="21"/>
        </w:rPr>
        <w:t>a</w:t>
      </w:r>
      <w:r w:rsidRPr="00961415">
        <w:rPr>
          <w:rFonts w:ascii="Abadi" w:hAnsi="Abadi"/>
          <w:b w:val="0"/>
          <w:bCs w:val="0"/>
          <w:spacing w:val="37"/>
          <w:sz w:val="21"/>
          <w:szCs w:val="21"/>
        </w:rPr>
        <w:t xml:space="preserve"> </w:t>
      </w:r>
      <w:r w:rsidRPr="00961415">
        <w:rPr>
          <w:rFonts w:ascii="Abadi" w:hAnsi="Abadi"/>
          <w:b w:val="0"/>
          <w:bCs w:val="0"/>
          <w:sz w:val="21"/>
          <w:szCs w:val="21"/>
        </w:rPr>
        <w:t>la</w:t>
      </w:r>
      <w:r w:rsidRPr="00961415">
        <w:rPr>
          <w:rFonts w:ascii="Abadi" w:hAnsi="Abadi"/>
          <w:b w:val="0"/>
          <w:bCs w:val="0"/>
          <w:spacing w:val="35"/>
          <w:sz w:val="21"/>
          <w:szCs w:val="21"/>
        </w:rPr>
        <w:t xml:space="preserve"> </w:t>
      </w:r>
      <w:r w:rsidRPr="00961415">
        <w:rPr>
          <w:rFonts w:ascii="Abadi" w:hAnsi="Abadi"/>
          <w:b w:val="0"/>
          <w:bCs w:val="0"/>
          <w:sz w:val="21"/>
          <w:szCs w:val="21"/>
        </w:rPr>
        <w:t>integridad,</w:t>
      </w:r>
      <w:r w:rsidRPr="00961415">
        <w:rPr>
          <w:rFonts w:ascii="Abadi" w:hAnsi="Abadi"/>
          <w:b w:val="0"/>
          <w:bCs w:val="0"/>
          <w:spacing w:val="37"/>
          <w:sz w:val="21"/>
          <w:szCs w:val="21"/>
        </w:rPr>
        <w:t xml:space="preserve"> </w:t>
      </w:r>
      <w:r w:rsidRPr="00961415">
        <w:rPr>
          <w:rFonts w:ascii="Abadi" w:hAnsi="Abadi"/>
          <w:b w:val="0"/>
          <w:bCs w:val="0"/>
          <w:sz w:val="21"/>
          <w:szCs w:val="21"/>
        </w:rPr>
        <w:t>dignidad</w:t>
      </w:r>
      <w:r w:rsidRPr="00961415">
        <w:rPr>
          <w:rFonts w:ascii="Abadi" w:hAnsi="Abadi"/>
          <w:b w:val="0"/>
          <w:bCs w:val="0"/>
          <w:spacing w:val="34"/>
          <w:sz w:val="21"/>
          <w:szCs w:val="21"/>
        </w:rPr>
        <w:t xml:space="preserve"> </w:t>
      </w:r>
      <w:r w:rsidRPr="00961415">
        <w:rPr>
          <w:rFonts w:ascii="Abadi" w:hAnsi="Abadi"/>
          <w:b w:val="0"/>
          <w:bCs w:val="0"/>
          <w:sz w:val="21"/>
          <w:szCs w:val="21"/>
        </w:rPr>
        <w:t>y</w:t>
      </w:r>
      <w:r w:rsidRPr="00961415">
        <w:rPr>
          <w:rFonts w:ascii="Abadi" w:hAnsi="Abadi"/>
          <w:b w:val="0"/>
          <w:bCs w:val="0"/>
          <w:spacing w:val="35"/>
          <w:sz w:val="21"/>
          <w:szCs w:val="21"/>
        </w:rPr>
        <w:t xml:space="preserve"> </w:t>
      </w:r>
      <w:r w:rsidRPr="00961415">
        <w:rPr>
          <w:rFonts w:ascii="Abadi" w:hAnsi="Abadi"/>
          <w:b w:val="0"/>
          <w:bCs w:val="0"/>
          <w:sz w:val="21"/>
          <w:szCs w:val="21"/>
        </w:rPr>
        <w:t>desarrollo</w:t>
      </w:r>
      <w:r w:rsidRPr="00961415">
        <w:rPr>
          <w:rFonts w:ascii="Abadi" w:hAnsi="Abadi"/>
          <w:b w:val="0"/>
          <w:bCs w:val="0"/>
          <w:spacing w:val="39"/>
          <w:sz w:val="21"/>
          <w:szCs w:val="21"/>
        </w:rPr>
        <w:t xml:space="preserve"> </w:t>
      </w:r>
      <w:r w:rsidRPr="00961415">
        <w:rPr>
          <w:rFonts w:ascii="Abadi" w:hAnsi="Abadi"/>
          <w:b w:val="0"/>
          <w:bCs w:val="0"/>
          <w:sz w:val="21"/>
          <w:szCs w:val="21"/>
        </w:rPr>
        <w:t>de</w:t>
      </w:r>
      <w:r w:rsidRPr="00961415">
        <w:rPr>
          <w:rFonts w:ascii="Abadi" w:hAnsi="Abadi"/>
          <w:b w:val="0"/>
          <w:bCs w:val="0"/>
          <w:spacing w:val="33"/>
          <w:sz w:val="21"/>
          <w:szCs w:val="21"/>
        </w:rPr>
        <w:t xml:space="preserve"> </w:t>
      </w:r>
      <w:r w:rsidRPr="00961415">
        <w:rPr>
          <w:rFonts w:ascii="Abadi" w:hAnsi="Abadi"/>
          <w:b w:val="0"/>
          <w:bCs w:val="0"/>
          <w:sz w:val="21"/>
          <w:szCs w:val="21"/>
        </w:rPr>
        <w:t>las</w:t>
      </w:r>
      <w:r w:rsidRPr="00961415">
        <w:rPr>
          <w:rFonts w:ascii="Abadi" w:hAnsi="Abadi"/>
          <w:b w:val="0"/>
          <w:bCs w:val="0"/>
          <w:spacing w:val="36"/>
          <w:sz w:val="21"/>
          <w:szCs w:val="21"/>
        </w:rPr>
        <w:t xml:space="preserve"> </w:t>
      </w:r>
      <w:r w:rsidRPr="00961415">
        <w:rPr>
          <w:rFonts w:ascii="Abadi" w:hAnsi="Abadi"/>
          <w:b w:val="0"/>
          <w:bCs w:val="0"/>
          <w:sz w:val="21"/>
          <w:szCs w:val="21"/>
        </w:rPr>
        <w:t>mujeres</w:t>
      </w:r>
      <w:r w:rsidRPr="00961415">
        <w:rPr>
          <w:rFonts w:ascii="Abadi" w:hAnsi="Abadi"/>
          <w:b w:val="0"/>
          <w:bCs w:val="0"/>
          <w:spacing w:val="35"/>
          <w:sz w:val="21"/>
          <w:szCs w:val="21"/>
        </w:rPr>
        <w:t xml:space="preserve"> </w:t>
      </w:r>
      <w:r w:rsidRPr="00961415">
        <w:rPr>
          <w:rFonts w:ascii="Abadi" w:hAnsi="Abadi"/>
          <w:b w:val="0"/>
          <w:bCs w:val="0"/>
          <w:sz w:val="21"/>
          <w:szCs w:val="21"/>
        </w:rPr>
        <w:t>que</w:t>
      </w:r>
      <w:r w:rsidRPr="00961415">
        <w:rPr>
          <w:rFonts w:ascii="Abadi" w:hAnsi="Abadi"/>
          <w:b w:val="0"/>
          <w:bCs w:val="0"/>
          <w:spacing w:val="33"/>
          <w:sz w:val="21"/>
          <w:szCs w:val="21"/>
        </w:rPr>
        <w:t xml:space="preserve"> </w:t>
      </w:r>
      <w:r w:rsidRPr="00961415">
        <w:rPr>
          <w:rFonts w:ascii="Abadi" w:hAnsi="Abadi"/>
          <w:b w:val="0"/>
          <w:bCs w:val="0"/>
          <w:sz w:val="21"/>
          <w:szCs w:val="21"/>
        </w:rPr>
        <w:t>la</w:t>
      </w:r>
      <w:r w:rsidRPr="00961415">
        <w:rPr>
          <w:rFonts w:ascii="Abadi" w:hAnsi="Abadi"/>
          <w:b w:val="0"/>
          <w:bCs w:val="0"/>
          <w:spacing w:val="40"/>
          <w:sz w:val="21"/>
          <w:szCs w:val="21"/>
        </w:rPr>
        <w:t xml:space="preserve"> </w:t>
      </w:r>
      <w:r w:rsidRPr="00961415">
        <w:rPr>
          <w:rFonts w:ascii="Abadi" w:hAnsi="Abadi"/>
          <w:b w:val="0"/>
          <w:bCs w:val="0"/>
          <w:sz w:val="21"/>
          <w:szCs w:val="21"/>
        </w:rPr>
        <w:t>sufren.</w:t>
      </w:r>
      <w:r w:rsidRPr="00961415">
        <w:rPr>
          <w:rFonts w:ascii="Abadi" w:hAnsi="Abadi"/>
          <w:b w:val="0"/>
          <w:bCs w:val="0"/>
          <w:spacing w:val="36"/>
          <w:sz w:val="21"/>
          <w:szCs w:val="21"/>
        </w:rPr>
        <w:t xml:space="preserve"> </w:t>
      </w:r>
      <w:r w:rsidRPr="00961415">
        <w:rPr>
          <w:rFonts w:ascii="Abadi" w:hAnsi="Abadi"/>
          <w:b w:val="0"/>
          <w:bCs w:val="0"/>
          <w:sz w:val="21"/>
          <w:szCs w:val="21"/>
        </w:rPr>
        <w:t>Esto</w:t>
      </w:r>
      <w:r w:rsidRPr="00961415">
        <w:rPr>
          <w:rFonts w:ascii="Abadi" w:hAnsi="Abadi"/>
          <w:b w:val="0"/>
          <w:bCs w:val="0"/>
          <w:spacing w:val="-1"/>
          <w:sz w:val="21"/>
          <w:szCs w:val="21"/>
        </w:rPr>
        <w:t xml:space="preserve"> </w:t>
      </w:r>
      <w:r w:rsidRPr="00961415">
        <w:rPr>
          <w:rFonts w:ascii="Abadi" w:hAnsi="Abadi"/>
          <w:b w:val="0"/>
          <w:bCs w:val="0"/>
          <w:sz w:val="21"/>
          <w:szCs w:val="21"/>
        </w:rPr>
        <w:t>produce</w:t>
      </w:r>
      <w:r w:rsidRPr="00961415">
        <w:rPr>
          <w:rFonts w:ascii="Abadi" w:hAnsi="Abadi"/>
          <w:b w:val="0"/>
          <w:bCs w:val="0"/>
          <w:spacing w:val="6"/>
          <w:sz w:val="21"/>
          <w:szCs w:val="21"/>
        </w:rPr>
        <w:t xml:space="preserve"> </w:t>
      </w:r>
      <w:r w:rsidRPr="00961415">
        <w:rPr>
          <w:rFonts w:ascii="Abadi" w:hAnsi="Abadi"/>
          <w:b w:val="0"/>
          <w:bCs w:val="0"/>
          <w:sz w:val="21"/>
          <w:szCs w:val="21"/>
        </w:rPr>
        <w:t>que</w:t>
      </w:r>
      <w:r w:rsidRPr="00961415">
        <w:rPr>
          <w:rFonts w:ascii="Abadi" w:hAnsi="Abadi"/>
          <w:b w:val="0"/>
          <w:bCs w:val="0"/>
          <w:spacing w:val="4"/>
          <w:sz w:val="21"/>
          <w:szCs w:val="21"/>
        </w:rPr>
        <w:t xml:space="preserve"> </w:t>
      </w:r>
      <w:r w:rsidRPr="00961415">
        <w:rPr>
          <w:rFonts w:ascii="Abadi" w:hAnsi="Abadi"/>
          <w:b w:val="0"/>
          <w:bCs w:val="0"/>
          <w:sz w:val="21"/>
          <w:szCs w:val="21"/>
        </w:rPr>
        <w:t>las</w:t>
      </w:r>
      <w:r w:rsidRPr="00961415">
        <w:rPr>
          <w:rFonts w:ascii="Abadi" w:hAnsi="Abadi"/>
          <w:b w:val="0"/>
          <w:bCs w:val="0"/>
          <w:spacing w:val="8"/>
          <w:sz w:val="21"/>
          <w:szCs w:val="21"/>
        </w:rPr>
        <w:t xml:space="preserve"> </w:t>
      </w:r>
      <w:r w:rsidRPr="00961415">
        <w:rPr>
          <w:rFonts w:ascii="Abadi" w:hAnsi="Abadi"/>
          <w:b w:val="0"/>
          <w:bCs w:val="0"/>
          <w:sz w:val="21"/>
          <w:szCs w:val="21"/>
        </w:rPr>
        <w:t>mujeres</w:t>
      </w:r>
      <w:r w:rsidRPr="00961415">
        <w:rPr>
          <w:rFonts w:ascii="Abadi" w:hAnsi="Abadi"/>
          <w:b w:val="0"/>
          <w:bCs w:val="0"/>
          <w:spacing w:val="6"/>
          <w:sz w:val="21"/>
          <w:szCs w:val="21"/>
        </w:rPr>
        <w:t xml:space="preserve"> </w:t>
      </w:r>
      <w:r w:rsidRPr="00961415">
        <w:rPr>
          <w:rFonts w:ascii="Abadi" w:hAnsi="Abadi"/>
          <w:b w:val="0"/>
          <w:bCs w:val="0"/>
          <w:sz w:val="21"/>
          <w:szCs w:val="21"/>
        </w:rPr>
        <w:t>queden</w:t>
      </w:r>
      <w:r w:rsidRPr="00961415">
        <w:rPr>
          <w:rFonts w:ascii="Abadi" w:hAnsi="Abadi"/>
          <w:b w:val="0"/>
          <w:bCs w:val="0"/>
          <w:spacing w:val="8"/>
          <w:sz w:val="21"/>
          <w:szCs w:val="21"/>
        </w:rPr>
        <w:t xml:space="preserve"> </w:t>
      </w:r>
      <w:r w:rsidRPr="00961415">
        <w:rPr>
          <w:rFonts w:ascii="Abadi" w:hAnsi="Abadi"/>
          <w:b w:val="0"/>
          <w:bCs w:val="0"/>
          <w:sz w:val="21"/>
          <w:szCs w:val="21"/>
        </w:rPr>
        <w:t>en</w:t>
      </w:r>
      <w:r w:rsidRPr="00961415">
        <w:rPr>
          <w:rFonts w:ascii="Abadi" w:hAnsi="Abadi"/>
          <w:b w:val="0"/>
          <w:bCs w:val="0"/>
          <w:spacing w:val="7"/>
          <w:sz w:val="21"/>
          <w:szCs w:val="21"/>
        </w:rPr>
        <w:t xml:space="preserve"> </w:t>
      </w:r>
      <w:r w:rsidRPr="00961415">
        <w:rPr>
          <w:rFonts w:ascii="Abadi" w:hAnsi="Abadi"/>
          <w:b w:val="0"/>
          <w:bCs w:val="0"/>
          <w:sz w:val="21"/>
          <w:szCs w:val="21"/>
        </w:rPr>
        <w:t>situación</w:t>
      </w:r>
      <w:r w:rsidRPr="00961415">
        <w:rPr>
          <w:rFonts w:ascii="Abadi" w:hAnsi="Abadi"/>
          <w:b w:val="0"/>
          <w:bCs w:val="0"/>
          <w:spacing w:val="6"/>
          <w:sz w:val="21"/>
          <w:szCs w:val="21"/>
        </w:rPr>
        <w:t xml:space="preserve"> </w:t>
      </w:r>
      <w:r w:rsidRPr="00961415">
        <w:rPr>
          <w:rFonts w:ascii="Abadi" w:hAnsi="Abadi"/>
          <w:b w:val="0"/>
          <w:bCs w:val="0"/>
          <w:sz w:val="21"/>
          <w:szCs w:val="21"/>
        </w:rPr>
        <w:t>de</w:t>
      </w:r>
      <w:r w:rsidRPr="00961415">
        <w:rPr>
          <w:rFonts w:ascii="Abadi" w:hAnsi="Abadi"/>
          <w:b w:val="0"/>
          <w:bCs w:val="0"/>
          <w:spacing w:val="6"/>
          <w:sz w:val="21"/>
          <w:szCs w:val="21"/>
        </w:rPr>
        <w:t xml:space="preserve"> </w:t>
      </w:r>
      <w:r w:rsidRPr="00961415">
        <w:rPr>
          <w:rFonts w:ascii="Abadi" w:hAnsi="Abadi"/>
          <w:b w:val="0"/>
          <w:bCs w:val="0"/>
          <w:sz w:val="21"/>
          <w:szCs w:val="21"/>
        </w:rPr>
        <w:t>vulnerabilidad</w:t>
      </w:r>
      <w:r w:rsidRPr="00961415">
        <w:rPr>
          <w:rFonts w:ascii="Abadi" w:hAnsi="Abadi"/>
          <w:b w:val="0"/>
          <w:bCs w:val="0"/>
          <w:spacing w:val="7"/>
          <w:sz w:val="21"/>
          <w:szCs w:val="21"/>
        </w:rPr>
        <w:t xml:space="preserve"> </w:t>
      </w:r>
      <w:r w:rsidRPr="00961415">
        <w:rPr>
          <w:rFonts w:ascii="Abadi" w:hAnsi="Abadi"/>
          <w:b w:val="0"/>
          <w:bCs w:val="0"/>
          <w:sz w:val="21"/>
          <w:szCs w:val="21"/>
        </w:rPr>
        <w:t>y,</w:t>
      </w:r>
      <w:r w:rsidRPr="00961415">
        <w:rPr>
          <w:rFonts w:ascii="Abadi" w:hAnsi="Abadi"/>
          <w:b w:val="0"/>
          <w:bCs w:val="0"/>
          <w:spacing w:val="7"/>
          <w:sz w:val="21"/>
          <w:szCs w:val="21"/>
        </w:rPr>
        <w:t xml:space="preserve"> </w:t>
      </w:r>
      <w:r w:rsidRPr="00961415">
        <w:rPr>
          <w:rFonts w:ascii="Abadi" w:hAnsi="Abadi"/>
          <w:b w:val="0"/>
          <w:bCs w:val="0"/>
          <w:sz w:val="21"/>
          <w:szCs w:val="21"/>
        </w:rPr>
        <w:t>en</w:t>
      </w:r>
      <w:r w:rsidRPr="00961415">
        <w:rPr>
          <w:rFonts w:ascii="Abadi" w:hAnsi="Abadi"/>
          <w:b w:val="0"/>
          <w:bCs w:val="0"/>
          <w:spacing w:val="7"/>
          <w:sz w:val="21"/>
          <w:szCs w:val="21"/>
        </w:rPr>
        <w:t xml:space="preserve"> </w:t>
      </w:r>
      <w:r w:rsidRPr="00961415">
        <w:rPr>
          <w:rFonts w:ascii="Abadi" w:hAnsi="Abadi"/>
          <w:b w:val="0"/>
          <w:bCs w:val="0"/>
          <w:sz w:val="21"/>
          <w:szCs w:val="21"/>
        </w:rPr>
        <w:t>el</w:t>
      </w:r>
      <w:r w:rsidRPr="00961415">
        <w:rPr>
          <w:rFonts w:ascii="Abadi" w:hAnsi="Abadi"/>
          <w:b w:val="0"/>
          <w:bCs w:val="0"/>
          <w:spacing w:val="8"/>
          <w:sz w:val="21"/>
          <w:szCs w:val="21"/>
        </w:rPr>
        <w:t xml:space="preserve"> </w:t>
      </w:r>
      <w:r w:rsidRPr="00961415">
        <w:rPr>
          <w:rFonts w:ascii="Abadi" w:hAnsi="Abadi"/>
          <w:b w:val="0"/>
          <w:bCs w:val="0"/>
          <w:sz w:val="21"/>
          <w:szCs w:val="21"/>
        </w:rPr>
        <w:t>extremo,</w:t>
      </w:r>
      <w:r w:rsidRPr="00961415">
        <w:rPr>
          <w:rFonts w:ascii="Abadi" w:hAnsi="Abadi"/>
          <w:b w:val="0"/>
          <w:bCs w:val="0"/>
          <w:spacing w:val="-1"/>
          <w:sz w:val="21"/>
          <w:szCs w:val="21"/>
        </w:rPr>
        <w:t xml:space="preserve"> </w:t>
      </w:r>
      <w:r w:rsidRPr="00961415">
        <w:rPr>
          <w:rFonts w:ascii="Abadi" w:hAnsi="Abadi"/>
          <w:b w:val="0"/>
          <w:bCs w:val="0"/>
          <w:sz w:val="21"/>
          <w:szCs w:val="21"/>
        </w:rPr>
        <w:t>en riesgo de</w:t>
      </w:r>
      <w:r w:rsidRPr="00961415">
        <w:rPr>
          <w:rFonts w:ascii="Abadi" w:hAnsi="Abadi"/>
          <w:b w:val="0"/>
          <w:bCs w:val="0"/>
          <w:spacing w:val="-3"/>
          <w:sz w:val="21"/>
          <w:szCs w:val="21"/>
        </w:rPr>
        <w:t xml:space="preserve"> </w:t>
      </w:r>
      <w:r w:rsidRPr="00961415">
        <w:rPr>
          <w:rFonts w:ascii="Abadi" w:hAnsi="Abadi"/>
          <w:b w:val="0"/>
          <w:bCs w:val="0"/>
          <w:sz w:val="21"/>
          <w:szCs w:val="21"/>
        </w:rPr>
        <w:t>ser</w:t>
      </w:r>
      <w:r w:rsidRPr="00961415">
        <w:rPr>
          <w:rFonts w:ascii="Abadi" w:hAnsi="Abadi"/>
          <w:b w:val="0"/>
          <w:bCs w:val="0"/>
          <w:spacing w:val="-2"/>
          <w:sz w:val="21"/>
          <w:szCs w:val="21"/>
        </w:rPr>
        <w:t xml:space="preserve"> </w:t>
      </w:r>
      <w:r w:rsidRPr="00961415">
        <w:rPr>
          <w:rFonts w:ascii="Abadi" w:hAnsi="Abadi"/>
          <w:b w:val="0"/>
          <w:bCs w:val="0"/>
          <w:sz w:val="21"/>
          <w:szCs w:val="21"/>
        </w:rPr>
        <w:t>asesinada.</w:t>
      </w:r>
    </w:p>
    <w:p w14:paraId="11040113" w14:textId="77777777" w:rsidR="00AF040F" w:rsidRPr="00961415" w:rsidRDefault="00AF040F" w:rsidP="00A44DEE">
      <w:pPr>
        <w:pStyle w:val="Textoindependiente"/>
        <w:kinsoku w:val="0"/>
        <w:overflowPunct w:val="0"/>
        <w:spacing w:before="161"/>
        <w:ind w:right="117"/>
        <w:rPr>
          <w:rFonts w:ascii="Abadi" w:hAnsi="Abadi"/>
          <w:b w:val="0"/>
          <w:bCs w:val="0"/>
          <w:sz w:val="21"/>
          <w:szCs w:val="21"/>
        </w:rPr>
      </w:pPr>
      <w:r w:rsidRPr="00961415">
        <w:rPr>
          <w:rFonts w:ascii="Abadi" w:hAnsi="Abadi"/>
          <w:b w:val="0"/>
          <w:bCs w:val="0"/>
          <w:sz w:val="21"/>
          <w:szCs w:val="21"/>
        </w:rPr>
        <w:t>Cuando</w:t>
      </w:r>
      <w:r w:rsidRPr="00961415">
        <w:rPr>
          <w:rFonts w:ascii="Abadi" w:hAnsi="Abadi"/>
          <w:b w:val="0"/>
          <w:bCs w:val="0"/>
          <w:spacing w:val="26"/>
          <w:sz w:val="21"/>
          <w:szCs w:val="21"/>
        </w:rPr>
        <w:t xml:space="preserve"> </w:t>
      </w:r>
      <w:r w:rsidRPr="00961415">
        <w:rPr>
          <w:rFonts w:ascii="Abadi" w:hAnsi="Abadi"/>
          <w:b w:val="0"/>
          <w:bCs w:val="0"/>
          <w:sz w:val="21"/>
          <w:szCs w:val="21"/>
        </w:rPr>
        <w:t>la</w:t>
      </w:r>
      <w:r w:rsidRPr="00961415">
        <w:rPr>
          <w:rFonts w:ascii="Abadi" w:hAnsi="Abadi"/>
          <w:b w:val="0"/>
          <w:bCs w:val="0"/>
          <w:spacing w:val="27"/>
          <w:sz w:val="21"/>
          <w:szCs w:val="21"/>
        </w:rPr>
        <w:t xml:space="preserve"> </w:t>
      </w:r>
      <w:r w:rsidRPr="00961415">
        <w:rPr>
          <w:rFonts w:ascii="Abadi" w:hAnsi="Abadi"/>
          <w:b w:val="0"/>
          <w:bCs w:val="0"/>
          <w:sz w:val="21"/>
          <w:szCs w:val="21"/>
        </w:rPr>
        <w:t>cultura</w:t>
      </w:r>
      <w:r w:rsidRPr="00961415">
        <w:rPr>
          <w:rFonts w:ascii="Abadi" w:hAnsi="Abadi"/>
          <w:b w:val="0"/>
          <w:bCs w:val="0"/>
          <w:spacing w:val="27"/>
          <w:sz w:val="21"/>
          <w:szCs w:val="21"/>
        </w:rPr>
        <w:t xml:space="preserve"> </w:t>
      </w:r>
      <w:r w:rsidRPr="00961415">
        <w:rPr>
          <w:rFonts w:ascii="Abadi" w:hAnsi="Abadi"/>
          <w:b w:val="0"/>
          <w:bCs w:val="0"/>
          <w:sz w:val="21"/>
          <w:szCs w:val="21"/>
        </w:rPr>
        <w:t>patriarcal</w:t>
      </w:r>
      <w:r w:rsidRPr="00961415">
        <w:rPr>
          <w:rFonts w:ascii="Abadi" w:hAnsi="Abadi"/>
          <w:b w:val="0"/>
          <w:bCs w:val="0"/>
          <w:spacing w:val="25"/>
          <w:sz w:val="21"/>
          <w:szCs w:val="21"/>
        </w:rPr>
        <w:t xml:space="preserve"> </w:t>
      </w:r>
      <w:r w:rsidRPr="00961415">
        <w:rPr>
          <w:rFonts w:ascii="Abadi" w:hAnsi="Abadi"/>
          <w:b w:val="0"/>
          <w:bCs w:val="0"/>
          <w:sz w:val="21"/>
          <w:szCs w:val="21"/>
        </w:rPr>
        <w:t>favorece</w:t>
      </w:r>
      <w:r w:rsidRPr="00961415">
        <w:rPr>
          <w:rFonts w:ascii="Abadi" w:hAnsi="Abadi"/>
          <w:b w:val="0"/>
          <w:bCs w:val="0"/>
          <w:spacing w:val="24"/>
          <w:sz w:val="21"/>
          <w:szCs w:val="21"/>
        </w:rPr>
        <w:t xml:space="preserve"> </w:t>
      </w:r>
      <w:r w:rsidRPr="00961415">
        <w:rPr>
          <w:rFonts w:ascii="Abadi" w:hAnsi="Abadi"/>
          <w:b w:val="0"/>
          <w:bCs w:val="0"/>
          <w:sz w:val="21"/>
          <w:szCs w:val="21"/>
        </w:rPr>
        <w:t>la</w:t>
      </w:r>
      <w:r w:rsidRPr="00961415">
        <w:rPr>
          <w:rFonts w:ascii="Abadi" w:hAnsi="Abadi"/>
          <w:b w:val="0"/>
          <w:bCs w:val="0"/>
          <w:spacing w:val="27"/>
          <w:sz w:val="21"/>
          <w:szCs w:val="21"/>
        </w:rPr>
        <w:t xml:space="preserve"> </w:t>
      </w:r>
      <w:r w:rsidRPr="00961415">
        <w:rPr>
          <w:rFonts w:ascii="Abadi" w:hAnsi="Abadi"/>
          <w:b w:val="0"/>
          <w:bCs w:val="0"/>
          <w:sz w:val="21"/>
          <w:szCs w:val="21"/>
        </w:rPr>
        <w:t>aparición</w:t>
      </w:r>
      <w:r w:rsidRPr="00961415">
        <w:rPr>
          <w:rFonts w:ascii="Abadi" w:hAnsi="Abadi"/>
          <w:b w:val="0"/>
          <w:bCs w:val="0"/>
          <w:spacing w:val="24"/>
          <w:sz w:val="21"/>
          <w:szCs w:val="21"/>
        </w:rPr>
        <w:t xml:space="preserve"> </w:t>
      </w:r>
      <w:r w:rsidRPr="00961415">
        <w:rPr>
          <w:rFonts w:ascii="Abadi" w:hAnsi="Abadi"/>
          <w:b w:val="0"/>
          <w:bCs w:val="0"/>
          <w:sz w:val="21"/>
          <w:szCs w:val="21"/>
        </w:rPr>
        <w:t>sistemática</w:t>
      </w:r>
      <w:r w:rsidRPr="00961415">
        <w:rPr>
          <w:rFonts w:ascii="Abadi" w:hAnsi="Abadi"/>
          <w:b w:val="0"/>
          <w:bCs w:val="0"/>
          <w:spacing w:val="25"/>
          <w:sz w:val="21"/>
          <w:szCs w:val="21"/>
        </w:rPr>
        <w:t xml:space="preserve"> </w:t>
      </w:r>
      <w:r w:rsidRPr="00961415">
        <w:rPr>
          <w:rFonts w:ascii="Abadi" w:hAnsi="Abadi"/>
          <w:b w:val="0"/>
          <w:bCs w:val="0"/>
          <w:sz w:val="21"/>
          <w:szCs w:val="21"/>
        </w:rPr>
        <w:t>de</w:t>
      </w:r>
      <w:r w:rsidRPr="00961415">
        <w:rPr>
          <w:rFonts w:ascii="Abadi" w:hAnsi="Abadi"/>
          <w:b w:val="0"/>
          <w:bCs w:val="0"/>
          <w:spacing w:val="26"/>
          <w:sz w:val="21"/>
          <w:szCs w:val="21"/>
        </w:rPr>
        <w:t xml:space="preserve"> </w:t>
      </w:r>
      <w:r w:rsidRPr="00961415">
        <w:rPr>
          <w:rFonts w:ascii="Abadi" w:hAnsi="Abadi"/>
          <w:b w:val="0"/>
          <w:bCs w:val="0"/>
          <w:sz w:val="21"/>
          <w:szCs w:val="21"/>
        </w:rPr>
        <w:t>la</w:t>
      </w:r>
      <w:r w:rsidRPr="00961415">
        <w:rPr>
          <w:rFonts w:ascii="Abadi" w:hAnsi="Abadi"/>
          <w:b w:val="0"/>
          <w:bCs w:val="0"/>
          <w:spacing w:val="28"/>
          <w:sz w:val="21"/>
          <w:szCs w:val="21"/>
        </w:rPr>
        <w:t xml:space="preserve"> </w:t>
      </w:r>
      <w:r w:rsidRPr="00961415">
        <w:rPr>
          <w:rFonts w:ascii="Abadi" w:hAnsi="Abadi"/>
          <w:b w:val="0"/>
          <w:bCs w:val="0"/>
          <w:sz w:val="21"/>
          <w:szCs w:val="21"/>
        </w:rPr>
        <w:t>violencia</w:t>
      </w:r>
      <w:r w:rsidRPr="00961415">
        <w:rPr>
          <w:rFonts w:ascii="Abadi" w:hAnsi="Abadi"/>
          <w:b w:val="0"/>
          <w:bCs w:val="0"/>
          <w:spacing w:val="28"/>
          <w:sz w:val="21"/>
          <w:szCs w:val="21"/>
        </w:rPr>
        <w:t xml:space="preserve"> </w:t>
      </w:r>
      <w:r w:rsidRPr="00961415">
        <w:rPr>
          <w:rFonts w:ascii="Abadi" w:hAnsi="Abadi"/>
          <w:b w:val="0"/>
          <w:bCs w:val="0"/>
          <w:sz w:val="21"/>
          <w:szCs w:val="21"/>
        </w:rPr>
        <w:t>de género,</w:t>
      </w:r>
      <w:r w:rsidRPr="00961415">
        <w:rPr>
          <w:rFonts w:ascii="Abadi" w:hAnsi="Abadi"/>
          <w:b w:val="0"/>
          <w:bCs w:val="0"/>
          <w:spacing w:val="25"/>
          <w:sz w:val="21"/>
          <w:szCs w:val="21"/>
        </w:rPr>
        <w:t xml:space="preserve"> </w:t>
      </w:r>
      <w:r w:rsidRPr="00961415">
        <w:rPr>
          <w:rFonts w:ascii="Abadi" w:hAnsi="Abadi"/>
          <w:b w:val="0"/>
          <w:bCs w:val="0"/>
          <w:sz w:val="21"/>
          <w:szCs w:val="21"/>
        </w:rPr>
        <w:t>se</w:t>
      </w:r>
      <w:r w:rsidRPr="00961415">
        <w:rPr>
          <w:rFonts w:ascii="Abadi" w:hAnsi="Abadi"/>
          <w:b w:val="0"/>
          <w:bCs w:val="0"/>
          <w:spacing w:val="26"/>
          <w:sz w:val="21"/>
          <w:szCs w:val="21"/>
        </w:rPr>
        <w:t xml:space="preserve"> </w:t>
      </w:r>
      <w:r w:rsidRPr="00961415">
        <w:rPr>
          <w:rFonts w:ascii="Abadi" w:hAnsi="Abadi"/>
          <w:b w:val="0"/>
          <w:bCs w:val="0"/>
          <w:sz w:val="21"/>
          <w:szCs w:val="21"/>
        </w:rPr>
        <w:t>abre</w:t>
      </w:r>
      <w:r w:rsidRPr="00961415">
        <w:rPr>
          <w:rFonts w:ascii="Abadi" w:hAnsi="Abadi"/>
          <w:b w:val="0"/>
          <w:bCs w:val="0"/>
          <w:spacing w:val="25"/>
          <w:sz w:val="21"/>
          <w:szCs w:val="21"/>
        </w:rPr>
        <w:t xml:space="preserve"> </w:t>
      </w:r>
      <w:r w:rsidRPr="00961415">
        <w:rPr>
          <w:rFonts w:ascii="Abadi" w:hAnsi="Abadi"/>
          <w:b w:val="0"/>
          <w:bCs w:val="0"/>
          <w:sz w:val="21"/>
          <w:szCs w:val="21"/>
        </w:rPr>
        <w:t>la</w:t>
      </w:r>
      <w:r w:rsidRPr="00961415">
        <w:rPr>
          <w:rFonts w:ascii="Abadi" w:hAnsi="Abadi"/>
          <w:b w:val="0"/>
          <w:bCs w:val="0"/>
          <w:spacing w:val="27"/>
          <w:sz w:val="21"/>
          <w:szCs w:val="21"/>
        </w:rPr>
        <w:t xml:space="preserve"> </w:t>
      </w:r>
      <w:r w:rsidRPr="00961415">
        <w:rPr>
          <w:rFonts w:ascii="Abadi" w:hAnsi="Abadi"/>
          <w:b w:val="0"/>
          <w:bCs w:val="0"/>
          <w:sz w:val="21"/>
          <w:szCs w:val="21"/>
        </w:rPr>
        <w:t>puerta</w:t>
      </w:r>
      <w:r w:rsidRPr="00961415">
        <w:rPr>
          <w:rFonts w:ascii="Abadi" w:hAnsi="Abadi"/>
          <w:b w:val="0"/>
          <w:bCs w:val="0"/>
          <w:spacing w:val="27"/>
          <w:sz w:val="21"/>
          <w:szCs w:val="21"/>
        </w:rPr>
        <w:t xml:space="preserve"> </w:t>
      </w:r>
      <w:r w:rsidRPr="00961415">
        <w:rPr>
          <w:rFonts w:ascii="Abadi" w:hAnsi="Abadi"/>
          <w:b w:val="0"/>
          <w:bCs w:val="0"/>
          <w:sz w:val="21"/>
          <w:szCs w:val="21"/>
        </w:rPr>
        <w:t>a</w:t>
      </w:r>
      <w:r w:rsidRPr="00961415">
        <w:rPr>
          <w:rFonts w:ascii="Abadi" w:hAnsi="Abadi"/>
          <w:b w:val="0"/>
          <w:bCs w:val="0"/>
          <w:spacing w:val="27"/>
          <w:sz w:val="21"/>
          <w:szCs w:val="21"/>
        </w:rPr>
        <w:t xml:space="preserve"> </w:t>
      </w:r>
      <w:r w:rsidRPr="00961415">
        <w:rPr>
          <w:rFonts w:ascii="Abadi" w:hAnsi="Abadi"/>
          <w:b w:val="0"/>
          <w:bCs w:val="0"/>
          <w:sz w:val="21"/>
          <w:szCs w:val="21"/>
        </w:rPr>
        <w:t>la</w:t>
      </w:r>
      <w:r w:rsidRPr="00961415">
        <w:rPr>
          <w:rFonts w:ascii="Abadi" w:hAnsi="Abadi"/>
          <w:b w:val="0"/>
          <w:bCs w:val="0"/>
          <w:spacing w:val="27"/>
          <w:sz w:val="21"/>
          <w:szCs w:val="21"/>
        </w:rPr>
        <w:t xml:space="preserve"> </w:t>
      </w:r>
      <w:r w:rsidRPr="00961415">
        <w:rPr>
          <w:rFonts w:ascii="Abadi" w:hAnsi="Abadi"/>
          <w:b w:val="0"/>
          <w:bCs w:val="0"/>
          <w:sz w:val="21"/>
          <w:szCs w:val="21"/>
        </w:rPr>
        <w:t>violación</w:t>
      </w:r>
      <w:r w:rsidRPr="00961415">
        <w:rPr>
          <w:rFonts w:ascii="Abadi" w:hAnsi="Abadi"/>
          <w:b w:val="0"/>
          <w:bCs w:val="0"/>
          <w:spacing w:val="29"/>
          <w:sz w:val="21"/>
          <w:szCs w:val="21"/>
        </w:rPr>
        <w:t xml:space="preserve"> </w:t>
      </w:r>
      <w:r w:rsidRPr="00961415">
        <w:rPr>
          <w:rFonts w:ascii="Abadi" w:hAnsi="Abadi"/>
          <w:b w:val="0"/>
          <w:bCs w:val="0"/>
          <w:sz w:val="21"/>
          <w:szCs w:val="21"/>
        </w:rPr>
        <w:t>reiterada</w:t>
      </w:r>
      <w:r w:rsidRPr="00961415">
        <w:rPr>
          <w:rFonts w:ascii="Abadi" w:hAnsi="Abadi"/>
          <w:b w:val="0"/>
          <w:bCs w:val="0"/>
          <w:spacing w:val="25"/>
          <w:sz w:val="21"/>
          <w:szCs w:val="21"/>
        </w:rPr>
        <w:t xml:space="preserve"> </w:t>
      </w:r>
      <w:r w:rsidRPr="00961415">
        <w:rPr>
          <w:rFonts w:ascii="Abadi" w:hAnsi="Abadi"/>
          <w:b w:val="0"/>
          <w:bCs w:val="0"/>
          <w:sz w:val="21"/>
          <w:szCs w:val="21"/>
        </w:rPr>
        <w:t>y</w:t>
      </w:r>
      <w:r w:rsidRPr="00961415">
        <w:rPr>
          <w:rFonts w:ascii="Abadi" w:hAnsi="Abadi"/>
          <w:b w:val="0"/>
          <w:bCs w:val="0"/>
          <w:spacing w:val="28"/>
          <w:sz w:val="21"/>
          <w:szCs w:val="21"/>
        </w:rPr>
        <w:t xml:space="preserve"> </w:t>
      </w:r>
      <w:r w:rsidRPr="00961415">
        <w:rPr>
          <w:rFonts w:ascii="Abadi" w:hAnsi="Abadi"/>
          <w:b w:val="0"/>
          <w:bCs w:val="0"/>
          <w:sz w:val="21"/>
          <w:szCs w:val="21"/>
        </w:rPr>
        <w:t>sistemática</w:t>
      </w:r>
      <w:r w:rsidRPr="00961415">
        <w:rPr>
          <w:rFonts w:ascii="Abadi" w:hAnsi="Abadi"/>
          <w:b w:val="0"/>
          <w:bCs w:val="0"/>
          <w:spacing w:val="28"/>
          <w:sz w:val="21"/>
          <w:szCs w:val="21"/>
        </w:rPr>
        <w:t xml:space="preserve"> </w:t>
      </w:r>
      <w:r w:rsidRPr="00961415">
        <w:rPr>
          <w:rFonts w:ascii="Abadi" w:hAnsi="Abadi"/>
          <w:b w:val="0"/>
          <w:bCs w:val="0"/>
          <w:sz w:val="21"/>
          <w:szCs w:val="21"/>
        </w:rPr>
        <w:t>de</w:t>
      </w:r>
      <w:r w:rsidRPr="00961415">
        <w:rPr>
          <w:rFonts w:ascii="Abadi" w:hAnsi="Abadi"/>
          <w:b w:val="0"/>
          <w:bCs w:val="0"/>
          <w:spacing w:val="26"/>
          <w:sz w:val="21"/>
          <w:szCs w:val="21"/>
        </w:rPr>
        <w:t xml:space="preserve"> </w:t>
      </w:r>
      <w:r w:rsidRPr="00961415">
        <w:rPr>
          <w:rFonts w:ascii="Abadi" w:hAnsi="Abadi"/>
          <w:b w:val="0"/>
          <w:bCs w:val="0"/>
          <w:sz w:val="21"/>
          <w:szCs w:val="21"/>
        </w:rPr>
        <w:t>los</w:t>
      </w:r>
      <w:r w:rsidRPr="00961415">
        <w:rPr>
          <w:rFonts w:ascii="Abadi" w:hAnsi="Abadi"/>
          <w:b w:val="0"/>
          <w:bCs w:val="0"/>
          <w:spacing w:val="27"/>
          <w:sz w:val="21"/>
          <w:szCs w:val="21"/>
        </w:rPr>
        <w:t xml:space="preserve"> </w:t>
      </w:r>
      <w:r w:rsidRPr="00961415">
        <w:rPr>
          <w:rFonts w:ascii="Abadi" w:hAnsi="Abadi"/>
          <w:b w:val="0"/>
          <w:bCs w:val="0"/>
          <w:sz w:val="21"/>
          <w:szCs w:val="21"/>
        </w:rPr>
        <w:t>derechos</w:t>
      </w:r>
      <w:r w:rsidRPr="00961415">
        <w:rPr>
          <w:rFonts w:ascii="Abadi" w:hAnsi="Abadi"/>
          <w:b w:val="0"/>
          <w:bCs w:val="0"/>
          <w:spacing w:val="-1"/>
          <w:sz w:val="21"/>
          <w:szCs w:val="21"/>
        </w:rPr>
        <w:t xml:space="preserve"> </w:t>
      </w:r>
      <w:r w:rsidRPr="00961415">
        <w:rPr>
          <w:rFonts w:ascii="Abadi" w:hAnsi="Abadi"/>
          <w:b w:val="0"/>
          <w:bCs w:val="0"/>
          <w:sz w:val="21"/>
          <w:szCs w:val="21"/>
        </w:rPr>
        <w:t>humanos</w:t>
      </w:r>
      <w:r w:rsidRPr="00961415">
        <w:rPr>
          <w:rFonts w:ascii="Abadi" w:hAnsi="Abadi"/>
          <w:b w:val="0"/>
          <w:bCs w:val="0"/>
          <w:spacing w:val="15"/>
          <w:sz w:val="21"/>
          <w:szCs w:val="21"/>
        </w:rPr>
        <w:t xml:space="preserve"> </w:t>
      </w:r>
      <w:r w:rsidRPr="00961415">
        <w:rPr>
          <w:rFonts w:ascii="Abadi" w:hAnsi="Abadi"/>
          <w:b w:val="0"/>
          <w:bCs w:val="0"/>
          <w:sz w:val="21"/>
          <w:szCs w:val="21"/>
        </w:rPr>
        <w:t>de</w:t>
      </w:r>
      <w:r w:rsidRPr="00961415">
        <w:rPr>
          <w:rFonts w:ascii="Abadi" w:hAnsi="Abadi"/>
          <w:b w:val="0"/>
          <w:bCs w:val="0"/>
          <w:spacing w:val="13"/>
          <w:sz w:val="21"/>
          <w:szCs w:val="21"/>
        </w:rPr>
        <w:t xml:space="preserve"> </w:t>
      </w:r>
      <w:r w:rsidRPr="00961415">
        <w:rPr>
          <w:rFonts w:ascii="Abadi" w:hAnsi="Abadi"/>
          <w:b w:val="0"/>
          <w:bCs w:val="0"/>
          <w:sz w:val="21"/>
          <w:szCs w:val="21"/>
        </w:rPr>
        <w:t>las</w:t>
      </w:r>
      <w:r w:rsidRPr="00961415">
        <w:rPr>
          <w:rFonts w:ascii="Abadi" w:hAnsi="Abadi"/>
          <w:b w:val="0"/>
          <w:bCs w:val="0"/>
          <w:spacing w:val="15"/>
          <w:sz w:val="21"/>
          <w:szCs w:val="21"/>
        </w:rPr>
        <w:t xml:space="preserve"> </w:t>
      </w:r>
      <w:r w:rsidRPr="00961415">
        <w:rPr>
          <w:rFonts w:ascii="Abadi" w:hAnsi="Abadi"/>
          <w:b w:val="0"/>
          <w:bCs w:val="0"/>
          <w:sz w:val="21"/>
          <w:szCs w:val="21"/>
        </w:rPr>
        <w:t>mujeres,</w:t>
      </w:r>
      <w:r w:rsidRPr="00961415">
        <w:rPr>
          <w:rFonts w:ascii="Abadi" w:hAnsi="Abadi"/>
          <w:b w:val="0"/>
          <w:bCs w:val="0"/>
          <w:spacing w:val="14"/>
          <w:sz w:val="21"/>
          <w:szCs w:val="21"/>
        </w:rPr>
        <w:t xml:space="preserve"> </w:t>
      </w:r>
      <w:r w:rsidRPr="00961415">
        <w:rPr>
          <w:rFonts w:ascii="Abadi" w:hAnsi="Abadi"/>
          <w:b w:val="0"/>
          <w:bCs w:val="0"/>
          <w:sz w:val="21"/>
          <w:szCs w:val="21"/>
        </w:rPr>
        <w:t>lo</w:t>
      </w:r>
      <w:r w:rsidRPr="00961415">
        <w:rPr>
          <w:rFonts w:ascii="Abadi" w:hAnsi="Abadi"/>
          <w:b w:val="0"/>
          <w:bCs w:val="0"/>
          <w:spacing w:val="14"/>
          <w:sz w:val="21"/>
          <w:szCs w:val="21"/>
        </w:rPr>
        <w:t xml:space="preserve"> </w:t>
      </w:r>
      <w:r w:rsidRPr="00961415">
        <w:rPr>
          <w:rFonts w:ascii="Abadi" w:hAnsi="Abadi"/>
          <w:b w:val="0"/>
          <w:bCs w:val="0"/>
          <w:sz w:val="21"/>
          <w:szCs w:val="21"/>
        </w:rPr>
        <w:t>cual,</w:t>
      </w:r>
      <w:r w:rsidRPr="00961415">
        <w:rPr>
          <w:rFonts w:ascii="Abadi" w:hAnsi="Abadi"/>
          <w:b w:val="0"/>
          <w:bCs w:val="0"/>
          <w:spacing w:val="14"/>
          <w:sz w:val="21"/>
          <w:szCs w:val="21"/>
        </w:rPr>
        <w:t xml:space="preserve"> </w:t>
      </w:r>
      <w:r w:rsidRPr="00961415">
        <w:rPr>
          <w:rFonts w:ascii="Abadi" w:hAnsi="Abadi"/>
          <w:b w:val="0"/>
          <w:bCs w:val="0"/>
          <w:sz w:val="21"/>
          <w:szCs w:val="21"/>
        </w:rPr>
        <w:t>en</w:t>
      </w:r>
      <w:r w:rsidRPr="00961415">
        <w:rPr>
          <w:rFonts w:ascii="Abadi" w:hAnsi="Abadi"/>
          <w:b w:val="0"/>
          <w:bCs w:val="0"/>
          <w:spacing w:val="12"/>
          <w:sz w:val="21"/>
          <w:szCs w:val="21"/>
        </w:rPr>
        <w:t xml:space="preserve"> </w:t>
      </w:r>
      <w:r w:rsidRPr="00961415">
        <w:rPr>
          <w:rFonts w:ascii="Abadi" w:hAnsi="Abadi"/>
          <w:b w:val="0"/>
          <w:bCs w:val="0"/>
          <w:sz w:val="21"/>
          <w:szCs w:val="21"/>
        </w:rPr>
        <w:t>su</w:t>
      </w:r>
      <w:r w:rsidRPr="00961415">
        <w:rPr>
          <w:rFonts w:ascii="Abadi" w:hAnsi="Abadi"/>
          <w:b w:val="0"/>
          <w:bCs w:val="0"/>
          <w:spacing w:val="15"/>
          <w:sz w:val="21"/>
          <w:szCs w:val="21"/>
        </w:rPr>
        <w:t xml:space="preserve"> </w:t>
      </w:r>
      <w:r w:rsidRPr="00961415">
        <w:rPr>
          <w:rFonts w:ascii="Abadi" w:hAnsi="Abadi"/>
          <w:b w:val="0"/>
          <w:bCs w:val="0"/>
          <w:sz w:val="21"/>
          <w:szCs w:val="21"/>
        </w:rPr>
        <w:t>forma</w:t>
      </w:r>
      <w:r w:rsidRPr="00961415">
        <w:rPr>
          <w:rFonts w:ascii="Abadi" w:hAnsi="Abadi"/>
          <w:b w:val="0"/>
          <w:bCs w:val="0"/>
          <w:spacing w:val="15"/>
          <w:sz w:val="21"/>
          <w:szCs w:val="21"/>
        </w:rPr>
        <w:t xml:space="preserve"> </w:t>
      </w:r>
      <w:r w:rsidRPr="00961415">
        <w:rPr>
          <w:rFonts w:ascii="Abadi" w:hAnsi="Abadi"/>
          <w:b w:val="0"/>
          <w:bCs w:val="0"/>
          <w:sz w:val="21"/>
          <w:szCs w:val="21"/>
        </w:rPr>
        <w:t>más</w:t>
      </w:r>
      <w:r w:rsidRPr="00961415">
        <w:rPr>
          <w:rFonts w:ascii="Abadi" w:hAnsi="Abadi"/>
          <w:b w:val="0"/>
          <w:bCs w:val="0"/>
          <w:spacing w:val="15"/>
          <w:sz w:val="21"/>
          <w:szCs w:val="21"/>
        </w:rPr>
        <w:t xml:space="preserve"> </w:t>
      </w:r>
      <w:r w:rsidRPr="00961415">
        <w:rPr>
          <w:rFonts w:ascii="Abadi" w:hAnsi="Abadi"/>
          <w:b w:val="0"/>
          <w:bCs w:val="0"/>
          <w:sz w:val="21"/>
          <w:szCs w:val="21"/>
        </w:rPr>
        <w:t>extrema,</w:t>
      </w:r>
      <w:r w:rsidRPr="00961415">
        <w:rPr>
          <w:rFonts w:ascii="Abadi" w:hAnsi="Abadi"/>
          <w:b w:val="0"/>
          <w:bCs w:val="0"/>
          <w:spacing w:val="18"/>
          <w:sz w:val="21"/>
          <w:szCs w:val="21"/>
        </w:rPr>
        <w:t xml:space="preserve"> </w:t>
      </w:r>
      <w:r w:rsidRPr="00961415">
        <w:rPr>
          <w:rFonts w:ascii="Abadi" w:hAnsi="Abadi"/>
          <w:b w:val="0"/>
          <w:bCs w:val="0"/>
          <w:sz w:val="21"/>
          <w:szCs w:val="21"/>
        </w:rPr>
        <w:t>deriva</w:t>
      </w:r>
      <w:r w:rsidRPr="00961415">
        <w:rPr>
          <w:rFonts w:ascii="Abadi" w:hAnsi="Abadi"/>
          <w:b w:val="0"/>
          <w:bCs w:val="0"/>
          <w:spacing w:val="14"/>
          <w:sz w:val="21"/>
          <w:szCs w:val="21"/>
        </w:rPr>
        <w:t xml:space="preserve"> </w:t>
      </w:r>
      <w:r w:rsidRPr="00961415">
        <w:rPr>
          <w:rFonts w:ascii="Abadi" w:hAnsi="Abadi"/>
          <w:b w:val="0"/>
          <w:bCs w:val="0"/>
          <w:sz w:val="21"/>
          <w:szCs w:val="21"/>
        </w:rPr>
        <w:t>en</w:t>
      </w:r>
      <w:r w:rsidRPr="00961415">
        <w:rPr>
          <w:rFonts w:ascii="Abadi" w:hAnsi="Abadi"/>
          <w:b w:val="0"/>
          <w:bCs w:val="0"/>
          <w:spacing w:val="15"/>
          <w:sz w:val="21"/>
          <w:szCs w:val="21"/>
        </w:rPr>
        <w:t xml:space="preserve"> </w:t>
      </w:r>
      <w:r w:rsidRPr="00961415">
        <w:rPr>
          <w:rFonts w:ascii="Abadi" w:hAnsi="Abadi"/>
          <w:b w:val="0"/>
          <w:bCs w:val="0"/>
          <w:sz w:val="21"/>
          <w:szCs w:val="21"/>
        </w:rPr>
        <w:t>los</w:t>
      </w:r>
    </w:p>
    <w:p w14:paraId="61A9F105" w14:textId="77777777" w:rsidR="00AF040F" w:rsidRPr="00961415" w:rsidRDefault="00AF040F" w:rsidP="00A44DEE">
      <w:pPr>
        <w:pStyle w:val="Textoindependiente"/>
        <w:kinsoku w:val="0"/>
        <w:overflowPunct w:val="0"/>
        <w:spacing w:before="11"/>
        <w:rPr>
          <w:rFonts w:ascii="Abadi" w:hAnsi="Abadi"/>
          <w:b w:val="0"/>
          <w:bCs w:val="0"/>
          <w:sz w:val="21"/>
          <w:szCs w:val="21"/>
        </w:rPr>
      </w:pPr>
      <w:r w:rsidRPr="00961415">
        <w:rPr>
          <w:rFonts w:ascii="Abadi" w:hAnsi="Abadi"/>
          <w:b w:val="0"/>
          <w:bCs w:val="0"/>
          <w:sz w:val="21"/>
          <w:szCs w:val="21"/>
        </w:rPr>
        <w:t>feminicidios</w:t>
      </w:r>
      <w:r w:rsidRPr="00961415">
        <w:rPr>
          <w:rStyle w:val="Refdenotaalpie"/>
          <w:rFonts w:ascii="Abadi" w:hAnsi="Abadi"/>
          <w:b w:val="0"/>
          <w:bCs w:val="0"/>
          <w:sz w:val="21"/>
          <w:szCs w:val="21"/>
        </w:rPr>
        <w:footnoteReference w:id="68"/>
      </w:r>
      <w:r w:rsidRPr="00961415">
        <w:rPr>
          <w:rFonts w:ascii="Abadi" w:hAnsi="Abadi"/>
          <w:b w:val="0"/>
          <w:bCs w:val="0"/>
          <w:sz w:val="21"/>
          <w:szCs w:val="21"/>
        </w:rPr>
        <w:t>.</w:t>
      </w:r>
    </w:p>
    <w:p w14:paraId="4F9032B8" w14:textId="77777777" w:rsidR="00AF040F" w:rsidRPr="00961415" w:rsidRDefault="00AF040F" w:rsidP="00A44DEE">
      <w:pPr>
        <w:pStyle w:val="Textoindependiente"/>
        <w:kinsoku w:val="0"/>
        <w:overflowPunct w:val="0"/>
        <w:spacing w:before="11"/>
        <w:rPr>
          <w:rFonts w:ascii="Abadi" w:hAnsi="Abadi"/>
          <w:b w:val="0"/>
          <w:bCs w:val="0"/>
          <w:sz w:val="21"/>
          <w:szCs w:val="21"/>
        </w:rPr>
      </w:pPr>
    </w:p>
    <w:p w14:paraId="69F697E1" w14:textId="77777777" w:rsidR="00AF040F" w:rsidRPr="00961415" w:rsidRDefault="00AF040F" w:rsidP="00A44DEE">
      <w:pPr>
        <w:pStyle w:val="Textoindependiente"/>
        <w:kinsoku w:val="0"/>
        <w:overflowPunct w:val="0"/>
        <w:ind w:right="120"/>
        <w:rPr>
          <w:rFonts w:ascii="Abadi" w:hAnsi="Abadi"/>
          <w:b w:val="0"/>
          <w:bCs w:val="0"/>
          <w:sz w:val="21"/>
          <w:szCs w:val="21"/>
        </w:rPr>
      </w:pPr>
      <w:r w:rsidRPr="00961415">
        <w:rPr>
          <w:rFonts w:ascii="Abadi" w:hAnsi="Abadi"/>
          <w:b w:val="0"/>
          <w:bCs w:val="0"/>
          <w:sz w:val="21"/>
          <w:szCs w:val="21"/>
        </w:rPr>
        <w:t>Por</w:t>
      </w:r>
      <w:r w:rsidRPr="00961415">
        <w:rPr>
          <w:rFonts w:ascii="Abadi" w:hAnsi="Abadi"/>
          <w:b w:val="0"/>
          <w:bCs w:val="0"/>
          <w:spacing w:val="-7"/>
          <w:sz w:val="21"/>
          <w:szCs w:val="21"/>
        </w:rPr>
        <w:t xml:space="preserve"> </w:t>
      </w:r>
      <w:r w:rsidRPr="00961415">
        <w:rPr>
          <w:rFonts w:ascii="Abadi" w:hAnsi="Abadi"/>
          <w:b w:val="0"/>
          <w:bCs w:val="0"/>
          <w:sz w:val="21"/>
          <w:szCs w:val="21"/>
        </w:rPr>
        <w:t>esta</w:t>
      </w:r>
      <w:r w:rsidRPr="00961415">
        <w:rPr>
          <w:rFonts w:ascii="Abadi" w:hAnsi="Abadi"/>
          <w:b w:val="0"/>
          <w:bCs w:val="0"/>
          <w:spacing w:val="-7"/>
          <w:sz w:val="21"/>
          <w:szCs w:val="21"/>
        </w:rPr>
        <w:t xml:space="preserve"> </w:t>
      </w:r>
      <w:r w:rsidRPr="00961415">
        <w:rPr>
          <w:rFonts w:ascii="Abadi" w:hAnsi="Abadi"/>
          <w:b w:val="0"/>
          <w:bCs w:val="0"/>
          <w:sz w:val="21"/>
          <w:szCs w:val="21"/>
        </w:rPr>
        <w:t>razón,</w:t>
      </w:r>
      <w:r w:rsidRPr="00961415">
        <w:rPr>
          <w:rFonts w:ascii="Abadi" w:hAnsi="Abadi"/>
          <w:b w:val="0"/>
          <w:bCs w:val="0"/>
          <w:spacing w:val="-11"/>
          <w:sz w:val="21"/>
          <w:szCs w:val="21"/>
        </w:rPr>
        <w:t xml:space="preserve"> </w:t>
      </w:r>
      <w:r w:rsidRPr="00961415">
        <w:rPr>
          <w:rFonts w:ascii="Abadi" w:hAnsi="Abadi"/>
          <w:b w:val="0"/>
          <w:bCs w:val="0"/>
          <w:sz w:val="21"/>
          <w:szCs w:val="21"/>
        </w:rPr>
        <w:t>siempre</w:t>
      </w:r>
      <w:r w:rsidRPr="00961415">
        <w:rPr>
          <w:rFonts w:ascii="Abadi" w:hAnsi="Abadi"/>
          <w:b w:val="0"/>
          <w:bCs w:val="0"/>
          <w:spacing w:val="-8"/>
          <w:sz w:val="21"/>
          <w:szCs w:val="21"/>
        </w:rPr>
        <w:t xml:space="preserve"> </w:t>
      </w:r>
      <w:r w:rsidRPr="00961415">
        <w:rPr>
          <w:rFonts w:ascii="Abadi" w:hAnsi="Abadi"/>
          <w:b w:val="0"/>
          <w:bCs w:val="0"/>
          <w:sz w:val="21"/>
          <w:szCs w:val="21"/>
        </w:rPr>
        <w:t>será</w:t>
      </w:r>
      <w:r w:rsidRPr="00961415">
        <w:rPr>
          <w:rFonts w:ascii="Abadi" w:hAnsi="Abadi"/>
          <w:b w:val="0"/>
          <w:bCs w:val="0"/>
          <w:spacing w:val="-6"/>
          <w:sz w:val="21"/>
          <w:szCs w:val="21"/>
        </w:rPr>
        <w:t xml:space="preserve"> </w:t>
      </w:r>
      <w:r w:rsidRPr="00961415">
        <w:rPr>
          <w:rFonts w:ascii="Abadi" w:hAnsi="Abadi"/>
          <w:b w:val="0"/>
          <w:bCs w:val="0"/>
          <w:sz w:val="21"/>
          <w:szCs w:val="21"/>
        </w:rPr>
        <w:t>necesario</w:t>
      </w:r>
      <w:r w:rsidRPr="00961415">
        <w:rPr>
          <w:rFonts w:ascii="Abadi" w:hAnsi="Abadi"/>
          <w:b w:val="0"/>
          <w:bCs w:val="0"/>
          <w:spacing w:val="-7"/>
          <w:sz w:val="21"/>
          <w:szCs w:val="21"/>
        </w:rPr>
        <w:t xml:space="preserve"> </w:t>
      </w:r>
      <w:r w:rsidRPr="00961415">
        <w:rPr>
          <w:rFonts w:ascii="Abadi" w:hAnsi="Abadi"/>
          <w:b w:val="0"/>
          <w:bCs w:val="0"/>
          <w:sz w:val="21"/>
          <w:szCs w:val="21"/>
        </w:rPr>
        <w:t>que</w:t>
      </w:r>
      <w:r w:rsidRPr="00961415">
        <w:rPr>
          <w:rFonts w:ascii="Abadi" w:hAnsi="Abadi"/>
          <w:b w:val="0"/>
          <w:bCs w:val="0"/>
          <w:spacing w:val="-10"/>
          <w:sz w:val="21"/>
          <w:szCs w:val="21"/>
        </w:rPr>
        <w:t xml:space="preserve"> </w:t>
      </w:r>
      <w:r w:rsidRPr="00961415">
        <w:rPr>
          <w:rFonts w:ascii="Abadi" w:hAnsi="Abadi"/>
          <w:b w:val="0"/>
          <w:bCs w:val="0"/>
          <w:sz w:val="21"/>
          <w:szCs w:val="21"/>
        </w:rPr>
        <w:t>las</w:t>
      </w:r>
      <w:r w:rsidRPr="00961415">
        <w:rPr>
          <w:rFonts w:ascii="Abadi" w:hAnsi="Abadi"/>
          <w:b w:val="0"/>
          <w:bCs w:val="0"/>
          <w:spacing w:val="-3"/>
          <w:sz w:val="21"/>
          <w:szCs w:val="21"/>
        </w:rPr>
        <w:t xml:space="preserve"> </w:t>
      </w:r>
      <w:r w:rsidRPr="00961415">
        <w:rPr>
          <w:rFonts w:ascii="Abadi" w:hAnsi="Abadi"/>
          <w:b w:val="0"/>
          <w:bCs w:val="0"/>
          <w:sz w:val="21"/>
          <w:szCs w:val="21"/>
        </w:rPr>
        <w:t>mujeres</w:t>
      </w:r>
      <w:r w:rsidRPr="00961415">
        <w:rPr>
          <w:rFonts w:ascii="Abadi" w:hAnsi="Abadi"/>
          <w:b w:val="0"/>
          <w:bCs w:val="0"/>
          <w:spacing w:val="-6"/>
          <w:sz w:val="21"/>
          <w:szCs w:val="21"/>
        </w:rPr>
        <w:t xml:space="preserve"> </w:t>
      </w:r>
      <w:r w:rsidRPr="00961415">
        <w:rPr>
          <w:rFonts w:ascii="Abadi" w:hAnsi="Abadi"/>
          <w:b w:val="0"/>
          <w:bCs w:val="0"/>
          <w:sz w:val="21"/>
          <w:szCs w:val="21"/>
        </w:rPr>
        <w:t>víctimas</w:t>
      </w:r>
      <w:r w:rsidRPr="00961415">
        <w:rPr>
          <w:rFonts w:ascii="Abadi" w:hAnsi="Abadi"/>
          <w:b w:val="0"/>
          <w:bCs w:val="0"/>
          <w:spacing w:val="-6"/>
          <w:sz w:val="21"/>
          <w:szCs w:val="21"/>
        </w:rPr>
        <w:t xml:space="preserve"> </w:t>
      </w:r>
      <w:r w:rsidRPr="00961415">
        <w:rPr>
          <w:rFonts w:ascii="Abadi" w:hAnsi="Abadi"/>
          <w:b w:val="0"/>
          <w:bCs w:val="0"/>
          <w:sz w:val="21"/>
          <w:szCs w:val="21"/>
        </w:rPr>
        <w:t>de</w:t>
      </w:r>
      <w:r w:rsidRPr="00961415">
        <w:rPr>
          <w:rFonts w:ascii="Abadi" w:hAnsi="Abadi"/>
          <w:b w:val="0"/>
          <w:bCs w:val="0"/>
          <w:spacing w:val="-10"/>
          <w:sz w:val="21"/>
          <w:szCs w:val="21"/>
        </w:rPr>
        <w:t xml:space="preserve"> </w:t>
      </w:r>
      <w:r w:rsidRPr="00961415">
        <w:rPr>
          <w:rFonts w:ascii="Abadi" w:hAnsi="Abadi"/>
          <w:b w:val="0"/>
          <w:bCs w:val="0"/>
          <w:sz w:val="21"/>
          <w:szCs w:val="21"/>
        </w:rPr>
        <w:t>violencia</w:t>
      </w:r>
      <w:r w:rsidRPr="00961415">
        <w:rPr>
          <w:rFonts w:ascii="Abadi" w:hAnsi="Abadi"/>
          <w:b w:val="0"/>
          <w:bCs w:val="0"/>
          <w:spacing w:val="-9"/>
          <w:sz w:val="21"/>
          <w:szCs w:val="21"/>
        </w:rPr>
        <w:t xml:space="preserve"> </w:t>
      </w:r>
      <w:r w:rsidRPr="00961415">
        <w:rPr>
          <w:rFonts w:ascii="Abadi" w:hAnsi="Abadi"/>
          <w:b w:val="0"/>
          <w:bCs w:val="0"/>
          <w:sz w:val="21"/>
          <w:szCs w:val="21"/>
        </w:rPr>
        <w:t>física, psicológica,</w:t>
      </w:r>
      <w:r w:rsidRPr="00961415">
        <w:rPr>
          <w:rFonts w:ascii="Abadi" w:hAnsi="Abadi"/>
          <w:b w:val="0"/>
          <w:bCs w:val="0"/>
          <w:spacing w:val="5"/>
          <w:sz w:val="21"/>
          <w:szCs w:val="21"/>
        </w:rPr>
        <w:t xml:space="preserve"> </w:t>
      </w:r>
      <w:r w:rsidRPr="00961415">
        <w:rPr>
          <w:rFonts w:ascii="Abadi" w:hAnsi="Abadi"/>
          <w:b w:val="0"/>
          <w:bCs w:val="0"/>
          <w:sz w:val="21"/>
          <w:szCs w:val="21"/>
        </w:rPr>
        <w:t>económica</w:t>
      </w:r>
      <w:r w:rsidRPr="00961415">
        <w:rPr>
          <w:rFonts w:ascii="Abadi" w:hAnsi="Abadi"/>
          <w:b w:val="0"/>
          <w:bCs w:val="0"/>
          <w:spacing w:val="3"/>
          <w:sz w:val="21"/>
          <w:szCs w:val="21"/>
        </w:rPr>
        <w:t xml:space="preserve"> </w:t>
      </w:r>
      <w:r w:rsidRPr="00961415">
        <w:rPr>
          <w:rFonts w:ascii="Abadi" w:hAnsi="Abadi"/>
          <w:b w:val="0"/>
          <w:bCs w:val="0"/>
          <w:sz w:val="21"/>
          <w:szCs w:val="21"/>
        </w:rPr>
        <w:t>o</w:t>
      </w:r>
      <w:r w:rsidRPr="00961415">
        <w:rPr>
          <w:rFonts w:ascii="Abadi" w:hAnsi="Abadi"/>
          <w:b w:val="0"/>
          <w:bCs w:val="0"/>
          <w:spacing w:val="2"/>
          <w:sz w:val="21"/>
          <w:szCs w:val="21"/>
        </w:rPr>
        <w:t xml:space="preserve"> </w:t>
      </w:r>
      <w:r w:rsidRPr="00961415">
        <w:rPr>
          <w:rFonts w:ascii="Abadi" w:hAnsi="Abadi"/>
          <w:b w:val="0"/>
          <w:bCs w:val="0"/>
          <w:sz w:val="21"/>
          <w:szCs w:val="21"/>
        </w:rPr>
        <w:t>sexual</w:t>
      </w:r>
      <w:r w:rsidRPr="00961415">
        <w:rPr>
          <w:rFonts w:ascii="Abadi" w:hAnsi="Abadi"/>
          <w:b w:val="0"/>
          <w:bCs w:val="0"/>
          <w:spacing w:val="5"/>
          <w:sz w:val="21"/>
          <w:szCs w:val="21"/>
        </w:rPr>
        <w:t xml:space="preserve"> </w:t>
      </w:r>
      <w:r w:rsidRPr="00961415">
        <w:rPr>
          <w:rFonts w:ascii="Abadi" w:hAnsi="Abadi"/>
          <w:b w:val="0"/>
          <w:bCs w:val="0"/>
          <w:sz w:val="21"/>
          <w:szCs w:val="21"/>
        </w:rPr>
        <w:t>tengan</w:t>
      </w:r>
      <w:r w:rsidRPr="00961415">
        <w:rPr>
          <w:rFonts w:ascii="Abadi" w:hAnsi="Abadi"/>
          <w:b w:val="0"/>
          <w:bCs w:val="0"/>
          <w:spacing w:val="4"/>
          <w:sz w:val="21"/>
          <w:szCs w:val="21"/>
        </w:rPr>
        <w:t xml:space="preserve"> </w:t>
      </w:r>
      <w:r w:rsidRPr="00961415">
        <w:rPr>
          <w:rFonts w:ascii="Abadi" w:hAnsi="Abadi"/>
          <w:b w:val="0"/>
          <w:bCs w:val="0"/>
          <w:sz w:val="21"/>
          <w:szCs w:val="21"/>
        </w:rPr>
        <w:t>la</w:t>
      </w:r>
      <w:r w:rsidRPr="00961415">
        <w:rPr>
          <w:rFonts w:ascii="Abadi" w:hAnsi="Abadi"/>
          <w:b w:val="0"/>
          <w:bCs w:val="0"/>
          <w:spacing w:val="3"/>
          <w:sz w:val="21"/>
          <w:szCs w:val="21"/>
        </w:rPr>
        <w:t xml:space="preserve"> </w:t>
      </w:r>
      <w:r w:rsidRPr="00961415">
        <w:rPr>
          <w:rFonts w:ascii="Abadi" w:hAnsi="Abadi"/>
          <w:b w:val="0"/>
          <w:bCs w:val="0"/>
          <w:sz w:val="21"/>
          <w:szCs w:val="21"/>
        </w:rPr>
        <w:t>posibilidad</w:t>
      </w:r>
      <w:r w:rsidRPr="00961415">
        <w:rPr>
          <w:rFonts w:ascii="Abadi" w:hAnsi="Abadi"/>
          <w:b w:val="0"/>
          <w:bCs w:val="0"/>
          <w:spacing w:val="3"/>
          <w:sz w:val="21"/>
          <w:szCs w:val="21"/>
        </w:rPr>
        <w:t xml:space="preserve"> </w:t>
      </w:r>
      <w:r w:rsidRPr="00961415">
        <w:rPr>
          <w:rFonts w:ascii="Abadi" w:hAnsi="Abadi"/>
          <w:b w:val="0"/>
          <w:bCs w:val="0"/>
          <w:sz w:val="21"/>
          <w:szCs w:val="21"/>
        </w:rPr>
        <w:t>contar</w:t>
      </w:r>
      <w:r w:rsidRPr="00961415">
        <w:rPr>
          <w:rFonts w:ascii="Abadi" w:hAnsi="Abadi"/>
          <w:b w:val="0"/>
          <w:bCs w:val="0"/>
          <w:spacing w:val="4"/>
          <w:sz w:val="21"/>
          <w:szCs w:val="21"/>
        </w:rPr>
        <w:t xml:space="preserve"> </w:t>
      </w:r>
      <w:r w:rsidRPr="00961415">
        <w:rPr>
          <w:rFonts w:ascii="Abadi" w:hAnsi="Abadi"/>
          <w:b w:val="0"/>
          <w:bCs w:val="0"/>
          <w:sz w:val="21"/>
          <w:szCs w:val="21"/>
        </w:rPr>
        <w:t>con</w:t>
      </w:r>
      <w:r w:rsidRPr="00961415">
        <w:rPr>
          <w:rFonts w:ascii="Abadi" w:hAnsi="Abadi"/>
          <w:b w:val="0"/>
          <w:bCs w:val="0"/>
          <w:spacing w:val="4"/>
          <w:sz w:val="21"/>
          <w:szCs w:val="21"/>
        </w:rPr>
        <w:t xml:space="preserve"> </w:t>
      </w:r>
      <w:r w:rsidRPr="00961415">
        <w:rPr>
          <w:rFonts w:ascii="Abadi" w:hAnsi="Abadi"/>
          <w:b w:val="0"/>
          <w:bCs w:val="0"/>
          <w:sz w:val="21"/>
          <w:szCs w:val="21"/>
        </w:rPr>
        <w:t>apoyo profesional,</w:t>
      </w:r>
      <w:r w:rsidRPr="00961415">
        <w:rPr>
          <w:rFonts w:ascii="Abadi" w:hAnsi="Abadi"/>
          <w:b w:val="0"/>
          <w:bCs w:val="0"/>
          <w:spacing w:val="-5"/>
          <w:sz w:val="21"/>
          <w:szCs w:val="21"/>
        </w:rPr>
        <w:t xml:space="preserve"> </w:t>
      </w:r>
      <w:r w:rsidRPr="00961415">
        <w:rPr>
          <w:rFonts w:ascii="Abadi" w:hAnsi="Abadi"/>
          <w:b w:val="0"/>
          <w:bCs w:val="0"/>
          <w:sz w:val="21"/>
          <w:szCs w:val="21"/>
        </w:rPr>
        <w:t>gratuito</w:t>
      </w:r>
      <w:r w:rsidRPr="00961415">
        <w:rPr>
          <w:rFonts w:ascii="Abadi" w:hAnsi="Abadi"/>
          <w:b w:val="0"/>
          <w:bCs w:val="0"/>
          <w:spacing w:val="-3"/>
          <w:sz w:val="21"/>
          <w:szCs w:val="21"/>
        </w:rPr>
        <w:t xml:space="preserve"> </w:t>
      </w:r>
      <w:r w:rsidRPr="00961415">
        <w:rPr>
          <w:rFonts w:ascii="Abadi" w:hAnsi="Abadi"/>
          <w:b w:val="0"/>
          <w:bCs w:val="0"/>
          <w:sz w:val="21"/>
          <w:szCs w:val="21"/>
        </w:rPr>
        <w:t>y</w:t>
      </w:r>
      <w:r w:rsidRPr="00961415">
        <w:rPr>
          <w:rFonts w:ascii="Abadi" w:hAnsi="Abadi"/>
          <w:b w:val="0"/>
          <w:bCs w:val="0"/>
          <w:spacing w:val="-1"/>
          <w:sz w:val="21"/>
          <w:szCs w:val="21"/>
        </w:rPr>
        <w:t xml:space="preserve"> </w:t>
      </w:r>
      <w:r w:rsidRPr="00961415">
        <w:rPr>
          <w:rFonts w:ascii="Abadi" w:hAnsi="Abadi"/>
          <w:b w:val="0"/>
          <w:bCs w:val="0"/>
          <w:sz w:val="21"/>
          <w:szCs w:val="21"/>
        </w:rPr>
        <w:t>efectivo,</w:t>
      </w:r>
      <w:r w:rsidRPr="00961415">
        <w:rPr>
          <w:rFonts w:ascii="Abadi" w:hAnsi="Abadi"/>
          <w:b w:val="0"/>
          <w:bCs w:val="0"/>
          <w:spacing w:val="-5"/>
          <w:sz w:val="21"/>
          <w:szCs w:val="21"/>
        </w:rPr>
        <w:t xml:space="preserve"> </w:t>
      </w:r>
      <w:r w:rsidRPr="00961415">
        <w:rPr>
          <w:rFonts w:ascii="Abadi" w:hAnsi="Abadi"/>
          <w:b w:val="0"/>
          <w:bCs w:val="0"/>
          <w:sz w:val="21"/>
          <w:szCs w:val="21"/>
        </w:rPr>
        <w:t>para</w:t>
      </w:r>
      <w:r w:rsidRPr="00961415">
        <w:rPr>
          <w:rFonts w:ascii="Abadi" w:hAnsi="Abadi"/>
          <w:b w:val="0"/>
          <w:bCs w:val="0"/>
          <w:spacing w:val="-4"/>
          <w:sz w:val="21"/>
          <w:szCs w:val="21"/>
        </w:rPr>
        <w:t xml:space="preserve"> </w:t>
      </w:r>
      <w:r w:rsidRPr="00961415">
        <w:rPr>
          <w:rFonts w:ascii="Abadi" w:hAnsi="Abadi"/>
          <w:b w:val="0"/>
          <w:bCs w:val="0"/>
          <w:sz w:val="21"/>
          <w:szCs w:val="21"/>
        </w:rPr>
        <w:t>evitar</w:t>
      </w:r>
      <w:r w:rsidRPr="00961415">
        <w:rPr>
          <w:rFonts w:ascii="Abadi" w:hAnsi="Abadi"/>
          <w:b w:val="0"/>
          <w:bCs w:val="0"/>
          <w:spacing w:val="-4"/>
          <w:sz w:val="21"/>
          <w:szCs w:val="21"/>
        </w:rPr>
        <w:t xml:space="preserve"> </w:t>
      </w:r>
      <w:r w:rsidRPr="00961415">
        <w:rPr>
          <w:rFonts w:ascii="Abadi" w:hAnsi="Abadi"/>
          <w:b w:val="0"/>
          <w:bCs w:val="0"/>
          <w:sz w:val="21"/>
          <w:szCs w:val="21"/>
        </w:rPr>
        <w:t>que</w:t>
      </w:r>
      <w:r w:rsidRPr="00961415">
        <w:rPr>
          <w:rFonts w:ascii="Abadi" w:hAnsi="Abadi"/>
          <w:b w:val="0"/>
          <w:bCs w:val="0"/>
          <w:spacing w:val="-5"/>
          <w:sz w:val="21"/>
          <w:szCs w:val="21"/>
        </w:rPr>
        <w:t xml:space="preserve"> </w:t>
      </w:r>
      <w:r w:rsidRPr="00961415">
        <w:rPr>
          <w:rFonts w:ascii="Abadi" w:hAnsi="Abadi"/>
          <w:b w:val="0"/>
          <w:bCs w:val="0"/>
          <w:sz w:val="21"/>
          <w:szCs w:val="21"/>
        </w:rPr>
        <w:t>la</w:t>
      </w:r>
      <w:r w:rsidRPr="00961415">
        <w:rPr>
          <w:rFonts w:ascii="Abadi" w:hAnsi="Abadi"/>
          <w:b w:val="0"/>
          <w:bCs w:val="0"/>
          <w:spacing w:val="-3"/>
          <w:sz w:val="21"/>
          <w:szCs w:val="21"/>
        </w:rPr>
        <w:t xml:space="preserve"> </w:t>
      </w:r>
      <w:r w:rsidRPr="00961415">
        <w:rPr>
          <w:rFonts w:ascii="Abadi" w:hAnsi="Abadi"/>
          <w:b w:val="0"/>
          <w:bCs w:val="0"/>
          <w:sz w:val="21"/>
          <w:szCs w:val="21"/>
        </w:rPr>
        <w:t>violencia escale</w:t>
      </w:r>
      <w:r w:rsidRPr="00961415">
        <w:rPr>
          <w:rFonts w:ascii="Abadi" w:hAnsi="Abadi"/>
          <w:b w:val="0"/>
          <w:bCs w:val="0"/>
          <w:spacing w:val="-4"/>
          <w:sz w:val="21"/>
          <w:szCs w:val="21"/>
        </w:rPr>
        <w:t xml:space="preserve"> </w:t>
      </w:r>
      <w:r w:rsidRPr="00961415">
        <w:rPr>
          <w:rFonts w:ascii="Abadi" w:hAnsi="Abadi"/>
          <w:b w:val="0"/>
          <w:bCs w:val="0"/>
          <w:sz w:val="21"/>
          <w:szCs w:val="21"/>
        </w:rPr>
        <w:t>y</w:t>
      </w:r>
      <w:r w:rsidRPr="00961415">
        <w:rPr>
          <w:rFonts w:ascii="Abadi" w:hAnsi="Abadi"/>
          <w:b w:val="0"/>
          <w:bCs w:val="0"/>
          <w:spacing w:val="-1"/>
          <w:sz w:val="21"/>
          <w:szCs w:val="21"/>
        </w:rPr>
        <w:t xml:space="preserve"> </w:t>
      </w:r>
      <w:r w:rsidRPr="00961415">
        <w:rPr>
          <w:rFonts w:ascii="Abadi" w:hAnsi="Abadi"/>
          <w:b w:val="0"/>
          <w:bCs w:val="0"/>
          <w:sz w:val="21"/>
          <w:szCs w:val="21"/>
        </w:rPr>
        <w:t>termine</w:t>
      </w:r>
      <w:r w:rsidRPr="00961415">
        <w:rPr>
          <w:rFonts w:ascii="Abadi" w:hAnsi="Abadi"/>
          <w:b w:val="0"/>
          <w:bCs w:val="0"/>
          <w:spacing w:val="-3"/>
          <w:sz w:val="21"/>
          <w:szCs w:val="21"/>
        </w:rPr>
        <w:t xml:space="preserve"> </w:t>
      </w:r>
      <w:r w:rsidRPr="00961415">
        <w:rPr>
          <w:rFonts w:ascii="Abadi" w:hAnsi="Abadi"/>
          <w:b w:val="0"/>
          <w:bCs w:val="0"/>
          <w:sz w:val="21"/>
          <w:szCs w:val="21"/>
        </w:rPr>
        <w:t>en</w:t>
      </w:r>
      <w:r w:rsidRPr="00961415">
        <w:rPr>
          <w:rFonts w:ascii="Abadi" w:hAnsi="Abadi"/>
          <w:b w:val="0"/>
          <w:bCs w:val="0"/>
          <w:spacing w:val="-2"/>
          <w:sz w:val="21"/>
          <w:szCs w:val="21"/>
        </w:rPr>
        <w:t xml:space="preserve"> </w:t>
      </w:r>
      <w:r w:rsidRPr="00961415">
        <w:rPr>
          <w:rFonts w:ascii="Abadi" w:hAnsi="Abadi"/>
          <w:b w:val="0"/>
          <w:bCs w:val="0"/>
          <w:sz w:val="21"/>
          <w:szCs w:val="21"/>
        </w:rPr>
        <w:t>un</w:t>
      </w:r>
    </w:p>
    <w:p w14:paraId="342D872E" w14:textId="77777777" w:rsidR="00AF040F" w:rsidRPr="00961415" w:rsidRDefault="00AF040F" w:rsidP="00A44DEE">
      <w:pPr>
        <w:pStyle w:val="Textoindependiente"/>
        <w:kinsoku w:val="0"/>
        <w:overflowPunct w:val="0"/>
        <w:rPr>
          <w:rFonts w:ascii="Abadi" w:hAnsi="Abadi"/>
          <w:b w:val="0"/>
          <w:bCs w:val="0"/>
          <w:sz w:val="21"/>
          <w:szCs w:val="21"/>
        </w:rPr>
      </w:pPr>
      <w:r w:rsidRPr="00961415">
        <w:rPr>
          <w:rFonts w:ascii="Abadi" w:hAnsi="Abadi"/>
          <w:b w:val="0"/>
          <w:bCs w:val="0"/>
          <w:sz w:val="21"/>
          <w:szCs w:val="21"/>
        </w:rPr>
        <w:t>feminicidio.</w:t>
      </w:r>
    </w:p>
    <w:p w14:paraId="51A7AD87" w14:textId="77777777" w:rsidR="00AF040F" w:rsidRPr="00961415" w:rsidRDefault="00AF040F" w:rsidP="00A44DEE">
      <w:pPr>
        <w:pStyle w:val="Textoindependiente"/>
        <w:kinsoku w:val="0"/>
        <w:overflowPunct w:val="0"/>
        <w:rPr>
          <w:rFonts w:ascii="Abadi" w:hAnsi="Abadi"/>
          <w:b w:val="0"/>
          <w:bCs w:val="0"/>
          <w:sz w:val="21"/>
          <w:szCs w:val="21"/>
        </w:rPr>
      </w:pPr>
    </w:p>
    <w:p w14:paraId="28B8E844" w14:textId="77777777" w:rsidR="00AF040F" w:rsidRPr="00961415" w:rsidRDefault="00AF040F" w:rsidP="00A44DEE">
      <w:pPr>
        <w:pStyle w:val="Textoindependiente"/>
        <w:kinsoku w:val="0"/>
        <w:overflowPunct w:val="0"/>
        <w:spacing w:before="47"/>
        <w:ind w:left="102" w:right="119"/>
        <w:rPr>
          <w:rFonts w:ascii="Abadi" w:hAnsi="Abadi"/>
          <w:b w:val="0"/>
          <w:bCs w:val="0"/>
          <w:sz w:val="21"/>
          <w:szCs w:val="21"/>
        </w:rPr>
      </w:pPr>
      <w:r w:rsidRPr="00961415">
        <w:rPr>
          <w:rFonts w:ascii="Abadi" w:hAnsi="Abadi"/>
          <w:b w:val="0"/>
          <w:bCs w:val="0"/>
          <w:sz w:val="21"/>
          <w:szCs w:val="21"/>
        </w:rPr>
        <w:t>La</w:t>
      </w:r>
      <w:r w:rsidRPr="00961415">
        <w:rPr>
          <w:rFonts w:ascii="Abadi" w:hAnsi="Abadi"/>
          <w:b w:val="0"/>
          <w:bCs w:val="0"/>
          <w:spacing w:val="38"/>
          <w:sz w:val="21"/>
          <w:szCs w:val="21"/>
        </w:rPr>
        <w:t xml:space="preserve"> </w:t>
      </w:r>
      <w:r w:rsidRPr="00961415">
        <w:rPr>
          <w:rFonts w:ascii="Abadi" w:hAnsi="Abadi"/>
          <w:b w:val="0"/>
          <w:bCs w:val="0"/>
          <w:sz w:val="21"/>
          <w:szCs w:val="21"/>
        </w:rPr>
        <w:t>violencia</w:t>
      </w:r>
      <w:r w:rsidRPr="00961415">
        <w:rPr>
          <w:rFonts w:ascii="Abadi" w:hAnsi="Abadi"/>
          <w:b w:val="0"/>
          <w:bCs w:val="0"/>
          <w:spacing w:val="40"/>
          <w:sz w:val="21"/>
          <w:szCs w:val="21"/>
        </w:rPr>
        <w:t xml:space="preserve"> </w:t>
      </w:r>
      <w:r w:rsidRPr="00961415">
        <w:rPr>
          <w:rFonts w:ascii="Abadi" w:hAnsi="Abadi"/>
          <w:b w:val="0"/>
          <w:bCs w:val="0"/>
          <w:sz w:val="21"/>
          <w:szCs w:val="21"/>
        </w:rPr>
        <w:t>de</w:t>
      </w:r>
      <w:r w:rsidRPr="00961415">
        <w:rPr>
          <w:rFonts w:ascii="Abadi" w:hAnsi="Abadi"/>
          <w:b w:val="0"/>
          <w:bCs w:val="0"/>
          <w:spacing w:val="38"/>
          <w:sz w:val="21"/>
          <w:szCs w:val="21"/>
        </w:rPr>
        <w:t xml:space="preserve"> </w:t>
      </w:r>
      <w:r w:rsidRPr="00961415">
        <w:rPr>
          <w:rFonts w:ascii="Abadi" w:hAnsi="Abadi"/>
          <w:b w:val="0"/>
          <w:bCs w:val="0"/>
          <w:sz w:val="21"/>
          <w:szCs w:val="21"/>
        </w:rPr>
        <w:t>género,</w:t>
      </w:r>
      <w:r w:rsidRPr="00961415">
        <w:rPr>
          <w:rFonts w:ascii="Abadi" w:hAnsi="Abadi"/>
          <w:b w:val="0"/>
          <w:bCs w:val="0"/>
          <w:spacing w:val="38"/>
          <w:sz w:val="21"/>
          <w:szCs w:val="21"/>
        </w:rPr>
        <w:t xml:space="preserve"> </w:t>
      </w:r>
      <w:r w:rsidRPr="00961415">
        <w:rPr>
          <w:rFonts w:ascii="Abadi" w:hAnsi="Abadi"/>
          <w:b w:val="0"/>
          <w:bCs w:val="0"/>
          <w:sz w:val="21"/>
          <w:szCs w:val="21"/>
        </w:rPr>
        <w:t>en</w:t>
      </w:r>
      <w:r w:rsidRPr="00961415">
        <w:rPr>
          <w:rFonts w:ascii="Abadi" w:hAnsi="Abadi"/>
          <w:b w:val="0"/>
          <w:bCs w:val="0"/>
          <w:spacing w:val="40"/>
          <w:sz w:val="21"/>
          <w:szCs w:val="21"/>
        </w:rPr>
        <w:t xml:space="preserve"> </w:t>
      </w:r>
      <w:r w:rsidRPr="00961415">
        <w:rPr>
          <w:rFonts w:ascii="Abadi" w:hAnsi="Abadi"/>
          <w:b w:val="0"/>
          <w:bCs w:val="0"/>
          <w:sz w:val="21"/>
          <w:szCs w:val="21"/>
        </w:rPr>
        <w:t>todas</w:t>
      </w:r>
      <w:r w:rsidRPr="00961415">
        <w:rPr>
          <w:rFonts w:ascii="Abadi" w:hAnsi="Abadi"/>
          <w:b w:val="0"/>
          <w:bCs w:val="0"/>
          <w:spacing w:val="40"/>
          <w:sz w:val="21"/>
          <w:szCs w:val="21"/>
        </w:rPr>
        <w:t xml:space="preserve"> </w:t>
      </w:r>
      <w:r w:rsidRPr="00961415">
        <w:rPr>
          <w:rFonts w:ascii="Abadi" w:hAnsi="Abadi"/>
          <w:b w:val="0"/>
          <w:bCs w:val="0"/>
          <w:sz w:val="21"/>
          <w:szCs w:val="21"/>
        </w:rPr>
        <w:t>sus</w:t>
      </w:r>
      <w:r w:rsidRPr="00961415">
        <w:rPr>
          <w:rFonts w:ascii="Abadi" w:hAnsi="Abadi"/>
          <w:b w:val="0"/>
          <w:bCs w:val="0"/>
          <w:spacing w:val="42"/>
          <w:sz w:val="21"/>
          <w:szCs w:val="21"/>
        </w:rPr>
        <w:t xml:space="preserve"> </w:t>
      </w:r>
      <w:r w:rsidRPr="00961415">
        <w:rPr>
          <w:rFonts w:ascii="Abadi" w:hAnsi="Abadi"/>
          <w:b w:val="0"/>
          <w:bCs w:val="0"/>
          <w:sz w:val="21"/>
          <w:szCs w:val="21"/>
        </w:rPr>
        <w:t>formas,</w:t>
      </w:r>
      <w:r w:rsidRPr="00961415">
        <w:rPr>
          <w:rFonts w:ascii="Abadi" w:hAnsi="Abadi"/>
          <w:b w:val="0"/>
          <w:bCs w:val="0"/>
          <w:spacing w:val="41"/>
          <w:sz w:val="21"/>
          <w:szCs w:val="21"/>
        </w:rPr>
        <w:t xml:space="preserve"> </w:t>
      </w:r>
      <w:r w:rsidRPr="00961415">
        <w:rPr>
          <w:rFonts w:ascii="Abadi" w:hAnsi="Abadi"/>
          <w:b w:val="0"/>
          <w:bCs w:val="0"/>
          <w:sz w:val="21"/>
          <w:szCs w:val="21"/>
        </w:rPr>
        <w:t>aqueja</w:t>
      </w:r>
      <w:r w:rsidRPr="00961415">
        <w:rPr>
          <w:rFonts w:ascii="Abadi" w:hAnsi="Abadi"/>
          <w:b w:val="0"/>
          <w:bCs w:val="0"/>
          <w:spacing w:val="39"/>
          <w:sz w:val="21"/>
          <w:szCs w:val="21"/>
        </w:rPr>
        <w:t xml:space="preserve"> </w:t>
      </w:r>
      <w:r w:rsidRPr="00961415">
        <w:rPr>
          <w:rFonts w:ascii="Abadi" w:hAnsi="Abadi"/>
          <w:b w:val="0"/>
          <w:bCs w:val="0"/>
          <w:sz w:val="21"/>
          <w:szCs w:val="21"/>
        </w:rPr>
        <w:t>a</w:t>
      </w:r>
      <w:r w:rsidRPr="00961415">
        <w:rPr>
          <w:rFonts w:ascii="Abadi" w:hAnsi="Abadi"/>
          <w:b w:val="0"/>
          <w:bCs w:val="0"/>
          <w:spacing w:val="40"/>
          <w:sz w:val="21"/>
          <w:szCs w:val="21"/>
        </w:rPr>
        <w:t xml:space="preserve"> </w:t>
      </w:r>
      <w:r w:rsidRPr="00961415">
        <w:rPr>
          <w:rFonts w:ascii="Abadi" w:hAnsi="Abadi"/>
          <w:b w:val="0"/>
          <w:bCs w:val="0"/>
          <w:sz w:val="21"/>
          <w:szCs w:val="21"/>
        </w:rPr>
        <w:t>las</w:t>
      </w:r>
      <w:r w:rsidRPr="00961415">
        <w:rPr>
          <w:rFonts w:ascii="Abadi" w:hAnsi="Abadi"/>
          <w:b w:val="0"/>
          <w:bCs w:val="0"/>
          <w:spacing w:val="43"/>
          <w:sz w:val="21"/>
          <w:szCs w:val="21"/>
        </w:rPr>
        <w:t xml:space="preserve"> </w:t>
      </w:r>
      <w:r w:rsidRPr="00961415">
        <w:rPr>
          <w:rFonts w:ascii="Abadi" w:hAnsi="Abadi"/>
          <w:b w:val="0"/>
          <w:bCs w:val="0"/>
          <w:sz w:val="21"/>
          <w:szCs w:val="21"/>
        </w:rPr>
        <w:t>mujeres</w:t>
      </w:r>
      <w:r w:rsidRPr="00961415">
        <w:rPr>
          <w:rFonts w:ascii="Abadi" w:hAnsi="Abadi"/>
          <w:b w:val="0"/>
          <w:bCs w:val="0"/>
          <w:spacing w:val="42"/>
          <w:sz w:val="21"/>
          <w:szCs w:val="21"/>
        </w:rPr>
        <w:t xml:space="preserve"> </w:t>
      </w:r>
      <w:r w:rsidRPr="00961415">
        <w:rPr>
          <w:rFonts w:ascii="Abadi" w:hAnsi="Abadi"/>
          <w:b w:val="0"/>
          <w:bCs w:val="0"/>
          <w:sz w:val="21"/>
          <w:szCs w:val="21"/>
        </w:rPr>
        <w:t>del</w:t>
      </w:r>
      <w:r w:rsidRPr="00961415">
        <w:rPr>
          <w:rFonts w:ascii="Abadi" w:hAnsi="Abadi"/>
          <w:b w:val="0"/>
          <w:bCs w:val="0"/>
          <w:spacing w:val="42"/>
          <w:sz w:val="21"/>
          <w:szCs w:val="21"/>
        </w:rPr>
        <w:t xml:space="preserve"> </w:t>
      </w:r>
      <w:r w:rsidRPr="00961415">
        <w:rPr>
          <w:rFonts w:ascii="Abadi" w:hAnsi="Abadi"/>
          <w:b w:val="0"/>
          <w:bCs w:val="0"/>
          <w:sz w:val="21"/>
          <w:szCs w:val="21"/>
        </w:rPr>
        <w:t>mundo</w:t>
      </w:r>
      <w:r w:rsidRPr="00961415">
        <w:rPr>
          <w:rFonts w:ascii="Abadi" w:hAnsi="Abadi"/>
          <w:b w:val="0"/>
          <w:bCs w:val="0"/>
          <w:spacing w:val="-1"/>
          <w:sz w:val="21"/>
          <w:szCs w:val="21"/>
        </w:rPr>
        <w:t xml:space="preserve"> </w:t>
      </w:r>
      <w:r w:rsidRPr="00961415">
        <w:rPr>
          <w:rFonts w:ascii="Abadi" w:hAnsi="Abadi"/>
          <w:b w:val="0"/>
          <w:bCs w:val="0"/>
          <w:sz w:val="21"/>
          <w:szCs w:val="21"/>
        </w:rPr>
        <w:t>entero;</w:t>
      </w:r>
      <w:r w:rsidRPr="00961415">
        <w:rPr>
          <w:rFonts w:ascii="Abadi" w:hAnsi="Abadi"/>
          <w:b w:val="0"/>
          <w:bCs w:val="0"/>
          <w:spacing w:val="45"/>
          <w:sz w:val="21"/>
          <w:szCs w:val="21"/>
        </w:rPr>
        <w:t xml:space="preserve"> </w:t>
      </w:r>
      <w:r w:rsidRPr="00961415">
        <w:rPr>
          <w:rFonts w:ascii="Abadi" w:hAnsi="Abadi"/>
          <w:b w:val="0"/>
          <w:bCs w:val="0"/>
          <w:sz w:val="21"/>
          <w:szCs w:val="21"/>
        </w:rPr>
        <w:t>y</w:t>
      </w:r>
      <w:r w:rsidRPr="00961415">
        <w:rPr>
          <w:rFonts w:ascii="Abadi" w:hAnsi="Abadi"/>
          <w:b w:val="0"/>
          <w:bCs w:val="0"/>
          <w:spacing w:val="47"/>
          <w:sz w:val="21"/>
          <w:szCs w:val="21"/>
        </w:rPr>
        <w:t xml:space="preserve"> </w:t>
      </w:r>
      <w:r w:rsidRPr="00961415">
        <w:rPr>
          <w:rFonts w:ascii="Abadi" w:hAnsi="Abadi"/>
          <w:b w:val="0"/>
          <w:bCs w:val="0"/>
          <w:sz w:val="21"/>
          <w:szCs w:val="21"/>
        </w:rPr>
        <w:t>particularmente</w:t>
      </w:r>
      <w:r w:rsidRPr="00961415">
        <w:rPr>
          <w:rFonts w:ascii="Abadi" w:hAnsi="Abadi"/>
          <w:b w:val="0"/>
          <w:bCs w:val="0"/>
          <w:spacing w:val="47"/>
          <w:sz w:val="21"/>
          <w:szCs w:val="21"/>
        </w:rPr>
        <w:t xml:space="preserve"> </w:t>
      </w:r>
      <w:r w:rsidRPr="00961415">
        <w:rPr>
          <w:rFonts w:ascii="Abadi" w:hAnsi="Abadi"/>
          <w:b w:val="0"/>
          <w:bCs w:val="0"/>
          <w:sz w:val="21"/>
          <w:szCs w:val="21"/>
        </w:rPr>
        <w:t>en</w:t>
      </w:r>
      <w:r w:rsidRPr="00961415">
        <w:rPr>
          <w:rFonts w:ascii="Abadi" w:hAnsi="Abadi"/>
          <w:b w:val="0"/>
          <w:bCs w:val="0"/>
          <w:spacing w:val="45"/>
          <w:sz w:val="21"/>
          <w:szCs w:val="21"/>
        </w:rPr>
        <w:t xml:space="preserve"> </w:t>
      </w:r>
      <w:r w:rsidRPr="00961415">
        <w:rPr>
          <w:rFonts w:ascii="Abadi" w:hAnsi="Abadi"/>
          <w:b w:val="0"/>
          <w:bCs w:val="0"/>
          <w:sz w:val="21"/>
          <w:szCs w:val="21"/>
        </w:rPr>
        <w:t>Guanajuato</w:t>
      </w:r>
      <w:r w:rsidRPr="00961415">
        <w:rPr>
          <w:rStyle w:val="Refdenotaalpie"/>
          <w:rFonts w:ascii="Abadi" w:hAnsi="Abadi"/>
          <w:b w:val="0"/>
          <w:bCs w:val="0"/>
          <w:sz w:val="21"/>
          <w:szCs w:val="21"/>
        </w:rPr>
        <w:footnoteReference w:id="69"/>
      </w:r>
      <w:r w:rsidRPr="00961415">
        <w:rPr>
          <w:rFonts w:ascii="Abadi" w:hAnsi="Abadi"/>
          <w:b w:val="0"/>
          <w:bCs w:val="0"/>
          <w:spacing w:val="45"/>
          <w:sz w:val="21"/>
          <w:szCs w:val="21"/>
        </w:rPr>
        <w:t xml:space="preserve"> </w:t>
      </w:r>
      <w:r w:rsidRPr="00961415">
        <w:rPr>
          <w:rFonts w:ascii="Abadi" w:hAnsi="Abadi"/>
          <w:b w:val="0"/>
          <w:bCs w:val="0"/>
          <w:sz w:val="21"/>
          <w:szCs w:val="21"/>
        </w:rPr>
        <w:t>hasta</w:t>
      </w:r>
      <w:r w:rsidRPr="00961415">
        <w:rPr>
          <w:rFonts w:ascii="Abadi" w:hAnsi="Abadi"/>
          <w:b w:val="0"/>
          <w:bCs w:val="0"/>
          <w:spacing w:val="47"/>
          <w:sz w:val="21"/>
          <w:szCs w:val="21"/>
        </w:rPr>
        <w:t xml:space="preserve"> </w:t>
      </w:r>
      <w:r w:rsidRPr="00961415">
        <w:rPr>
          <w:rFonts w:ascii="Abadi" w:hAnsi="Abadi"/>
          <w:b w:val="0"/>
          <w:bCs w:val="0"/>
          <w:sz w:val="21"/>
          <w:szCs w:val="21"/>
        </w:rPr>
        <w:t>el</w:t>
      </w:r>
      <w:r w:rsidRPr="00961415">
        <w:rPr>
          <w:rFonts w:ascii="Abadi" w:hAnsi="Abadi"/>
          <w:b w:val="0"/>
          <w:bCs w:val="0"/>
          <w:spacing w:val="44"/>
          <w:sz w:val="21"/>
          <w:szCs w:val="21"/>
        </w:rPr>
        <w:t xml:space="preserve"> </w:t>
      </w:r>
      <w:r w:rsidRPr="00961415">
        <w:rPr>
          <w:rFonts w:ascii="Abadi" w:hAnsi="Abadi"/>
          <w:b w:val="0"/>
          <w:bCs w:val="0"/>
          <w:sz w:val="21"/>
          <w:szCs w:val="21"/>
        </w:rPr>
        <w:t>año</w:t>
      </w:r>
      <w:r w:rsidRPr="00961415">
        <w:rPr>
          <w:rFonts w:ascii="Abadi" w:hAnsi="Abadi"/>
          <w:b w:val="0"/>
          <w:bCs w:val="0"/>
          <w:spacing w:val="45"/>
          <w:sz w:val="21"/>
          <w:szCs w:val="21"/>
        </w:rPr>
        <w:t xml:space="preserve"> </w:t>
      </w:r>
      <w:r w:rsidRPr="00961415">
        <w:rPr>
          <w:rFonts w:ascii="Abadi" w:hAnsi="Abadi"/>
          <w:b w:val="0"/>
          <w:bCs w:val="0"/>
          <w:sz w:val="21"/>
          <w:szCs w:val="21"/>
        </w:rPr>
        <w:t>2021,</w:t>
      </w:r>
      <w:r w:rsidRPr="00961415">
        <w:rPr>
          <w:rFonts w:ascii="Abadi" w:hAnsi="Abadi"/>
          <w:b w:val="0"/>
          <w:bCs w:val="0"/>
          <w:spacing w:val="44"/>
          <w:sz w:val="21"/>
          <w:szCs w:val="21"/>
        </w:rPr>
        <w:t xml:space="preserve"> </w:t>
      </w:r>
      <w:r w:rsidRPr="00961415">
        <w:rPr>
          <w:rFonts w:ascii="Abadi" w:hAnsi="Abadi"/>
          <w:b w:val="0"/>
          <w:bCs w:val="0"/>
          <w:sz w:val="21"/>
          <w:szCs w:val="21"/>
        </w:rPr>
        <w:t>el</w:t>
      </w:r>
      <w:r w:rsidRPr="00961415">
        <w:rPr>
          <w:rFonts w:ascii="Abadi" w:hAnsi="Abadi"/>
          <w:b w:val="0"/>
          <w:bCs w:val="0"/>
          <w:spacing w:val="44"/>
          <w:sz w:val="21"/>
          <w:szCs w:val="21"/>
        </w:rPr>
        <w:t xml:space="preserve"> </w:t>
      </w:r>
      <w:r w:rsidRPr="00961415">
        <w:rPr>
          <w:rFonts w:ascii="Abadi" w:hAnsi="Abadi"/>
          <w:b w:val="0"/>
          <w:bCs w:val="0"/>
          <w:sz w:val="21"/>
          <w:szCs w:val="21"/>
        </w:rPr>
        <w:t>68.1%</w:t>
      </w:r>
      <w:r w:rsidRPr="00961415">
        <w:rPr>
          <w:rFonts w:ascii="Abadi" w:hAnsi="Abadi"/>
          <w:b w:val="0"/>
          <w:bCs w:val="0"/>
          <w:spacing w:val="46"/>
          <w:sz w:val="21"/>
          <w:szCs w:val="21"/>
        </w:rPr>
        <w:t xml:space="preserve"> </w:t>
      </w:r>
      <w:r w:rsidRPr="00961415">
        <w:rPr>
          <w:rFonts w:ascii="Abadi" w:hAnsi="Abadi"/>
          <w:b w:val="0"/>
          <w:bCs w:val="0"/>
          <w:sz w:val="21"/>
          <w:szCs w:val="21"/>
        </w:rPr>
        <w:t>de</w:t>
      </w:r>
      <w:r w:rsidRPr="00961415">
        <w:rPr>
          <w:rFonts w:ascii="Abadi" w:hAnsi="Abadi"/>
          <w:b w:val="0"/>
          <w:bCs w:val="0"/>
          <w:spacing w:val="45"/>
          <w:sz w:val="21"/>
          <w:szCs w:val="21"/>
        </w:rPr>
        <w:t xml:space="preserve"> </w:t>
      </w:r>
      <w:r w:rsidRPr="00961415">
        <w:rPr>
          <w:rFonts w:ascii="Abadi" w:hAnsi="Abadi"/>
          <w:b w:val="0"/>
          <w:bCs w:val="0"/>
          <w:sz w:val="21"/>
          <w:szCs w:val="21"/>
        </w:rPr>
        <w:t>las</w:t>
      </w:r>
      <w:r w:rsidRPr="00961415">
        <w:rPr>
          <w:rFonts w:ascii="Abadi" w:hAnsi="Abadi"/>
          <w:b w:val="0"/>
          <w:bCs w:val="0"/>
          <w:spacing w:val="-1"/>
          <w:sz w:val="21"/>
          <w:szCs w:val="21"/>
        </w:rPr>
        <w:t xml:space="preserve"> </w:t>
      </w:r>
      <w:r w:rsidRPr="00961415">
        <w:rPr>
          <w:rFonts w:ascii="Abadi" w:hAnsi="Abadi"/>
          <w:b w:val="0"/>
          <w:bCs w:val="0"/>
          <w:sz w:val="21"/>
          <w:szCs w:val="21"/>
        </w:rPr>
        <w:t>mujeres</w:t>
      </w:r>
      <w:r w:rsidRPr="00961415">
        <w:rPr>
          <w:rFonts w:ascii="Abadi" w:hAnsi="Abadi"/>
          <w:b w:val="0"/>
          <w:bCs w:val="0"/>
          <w:spacing w:val="-4"/>
          <w:sz w:val="21"/>
          <w:szCs w:val="21"/>
        </w:rPr>
        <w:t xml:space="preserve"> </w:t>
      </w:r>
      <w:r w:rsidRPr="00961415">
        <w:rPr>
          <w:rFonts w:ascii="Abadi" w:hAnsi="Abadi"/>
          <w:b w:val="0"/>
          <w:bCs w:val="0"/>
          <w:sz w:val="21"/>
          <w:szCs w:val="21"/>
        </w:rPr>
        <w:t>de</w:t>
      </w:r>
      <w:r w:rsidRPr="00961415">
        <w:rPr>
          <w:rFonts w:ascii="Abadi" w:hAnsi="Abadi"/>
          <w:b w:val="0"/>
          <w:bCs w:val="0"/>
          <w:spacing w:val="-5"/>
          <w:sz w:val="21"/>
          <w:szCs w:val="21"/>
        </w:rPr>
        <w:t xml:space="preserve"> </w:t>
      </w:r>
      <w:r w:rsidRPr="00961415">
        <w:rPr>
          <w:rFonts w:ascii="Abadi" w:hAnsi="Abadi"/>
          <w:b w:val="0"/>
          <w:bCs w:val="0"/>
          <w:sz w:val="21"/>
          <w:szCs w:val="21"/>
        </w:rPr>
        <w:t>15</w:t>
      </w:r>
      <w:r w:rsidRPr="00961415">
        <w:rPr>
          <w:rFonts w:ascii="Abadi" w:hAnsi="Abadi"/>
          <w:b w:val="0"/>
          <w:bCs w:val="0"/>
          <w:spacing w:val="-5"/>
          <w:sz w:val="21"/>
          <w:szCs w:val="21"/>
        </w:rPr>
        <w:t xml:space="preserve"> </w:t>
      </w:r>
      <w:r w:rsidRPr="00961415">
        <w:rPr>
          <w:rFonts w:ascii="Abadi" w:hAnsi="Abadi"/>
          <w:b w:val="0"/>
          <w:bCs w:val="0"/>
          <w:sz w:val="21"/>
          <w:szCs w:val="21"/>
        </w:rPr>
        <w:t>años</w:t>
      </w:r>
      <w:r w:rsidRPr="00961415">
        <w:rPr>
          <w:rFonts w:ascii="Abadi" w:hAnsi="Abadi"/>
          <w:b w:val="0"/>
          <w:bCs w:val="0"/>
          <w:spacing w:val="-5"/>
          <w:sz w:val="21"/>
          <w:szCs w:val="21"/>
        </w:rPr>
        <w:t xml:space="preserve"> </w:t>
      </w:r>
      <w:r w:rsidRPr="00961415">
        <w:rPr>
          <w:rFonts w:ascii="Abadi" w:hAnsi="Abadi"/>
          <w:b w:val="0"/>
          <w:bCs w:val="0"/>
          <w:sz w:val="21"/>
          <w:szCs w:val="21"/>
        </w:rPr>
        <w:t>o</w:t>
      </w:r>
      <w:r w:rsidRPr="00961415">
        <w:rPr>
          <w:rFonts w:ascii="Abadi" w:hAnsi="Abadi"/>
          <w:b w:val="0"/>
          <w:bCs w:val="0"/>
          <w:spacing w:val="-5"/>
          <w:sz w:val="21"/>
          <w:szCs w:val="21"/>
        </w:rPr>
        <w:t xml:space="preserve"> </w:t>
      </w:r>
      <w:r w:rsidRPr="00961415">
        <w:rPr>
          <w:rFonts w:ascii="Abadi" w:hAnsi="Abadi"/>
          <w:b w:val="0"/>
          <w:bCs w:val="0"/>
          <w:sz w:val="21"/>
          <w:szCs w:val="21"/>
        </w:rPr>
        <w:t>más</w:t>
      </w:r>
      <w:r w:rsidRPr="00961415">
        <w:rPr>
          <w:rFonts w:ascii="Abadi" w:hAnsi="Abadi"/>
          <w:b w:val="0"/>
          <w:bCs w:val="0"/>
          <w:spacing w:val="-5"/>
          <w:sz w:val="21"/>
          <w:szCs w:val="21"/>
        </w:rPr>
        <w:t xml:space="preserve"> </w:t>
      </w:r>
      <w:r w:rsidRPr="00961415">
        <w:rPr>
          <w:rFonts w:ascii="Abadi" w:hAnsi="Abadi"/>
          <w:b w:val="0"/>
          <w:bCs w:val="0"/>
          <w:sz w:val="21"/>
          <w:szCs w:val="21"/>
        </w:rPr>
        <w:t>habían</w:t>
      </w:r>
      <w:r w:rsidRPr="00961415">
        <w:rPr>
          <w:rFonts w:ascii="Abadi" w:hAnsi="Abadi"/>
          <w:b w:val="0"/>
          <w:bCs w:val="0"/>
          <w:spacing w:val="-7"/>
          <w:sz w:val="21"/>
          <w:szCs w:val="21"/>
        </w:rPr>
        <w:t xml:space="preserve"> </w:t>
      </w:r>
      <w:r w:rsidRPr="00961415">
        <w:rPr>
          <w:rFonts w:ascii="Abadi" w:hAnsi="Abadi"/>
          <w:b w:val="0"/>
          <w:bCs w:val="0"/>
          <w:sz w:val="21"/>
          <w:szCs w:val="21"/>
        </w:rPr>
        <w:t>vivido</w:t>
      </w:r>
      <w:r w:rsidRPr="00961415">
        <w:rPr>
          <w:rFonts w:ascii="Abadi" w:hAnsi="Abadi"/>
          <w:b w:val="0"/>
          <w:bCs w:val="0"/>
          <w:spacing w:val="-7"/>
          <w:sz w:val="21"/>
          <w:szCs w:val="21"/>
        </w:rPr>
        <w:t xml:space="preserve"> </w:t>
      </w:r>
      <w:r w:rsidRPr="00961415">
        <w:rPr>
          <w:rFonts w:ascii="Abadi" w:hAnsi="Abadi"/>
          <w:b w:val="0"/>
          <w:bCs w:val="0"/>
          <w:sz w:val="21"/>
          <w:szCs w:val="21"/>
        </w:rPr>
        <w:t>al</w:t>
      </w:r>
      <w:r w:rsidRPr="00961415">
        <w:rPr>
          <w:rFonts w:ascii="Abadi" w:hAnsi="Abadi"/>
          <w:b w:val="0"/>
          <w:bCs w:val="0"/>
          <w:spacing w:val="-3"/>
          <w:sz w:val="21"/>
          <w:szCs w:val="21"/>
        </w:rPr>
        <w:t xml:space="preserve"> </w:t>
      </w:r>
      <w:r w:rsidRPr="00961415">
        <w:rPr>
          <w:rFonts w:ascii="Abadi" w:hAnsi="Abadi"/>
          <w:b w:val="0"/>
          <w:bCs w:val="0"/>
          <w:sz w:val="21"/>
          <w:szCs w:val="21"/>
        </w:rPr>
        <w:t>menos</w:t>
      </w:r>
      <w:r w:rsidRPr="00961415">
        <w:rPr>
          <w:rFonts w:ascii="Abadi" w:hAnsi="Abadi"/>
          <w:b w:val="0"/>
          <w:bCs w:val="0"/>
          <w:spacing w:val="-6"/>
          <w:sz w:val="21"/>
          <w:szCs w:val="21"/>
        </w:rPr>
        <w:t xml:space="preserve"> </w:t>
      </w:r>
      <w:r w:rsidRPr="00961415">
        <w:rPr>
          <w:rFonts w:ascii="Abadi" w:hAnsi="Abadi"/>
          <w:b w:val="0"/>
          <w:bCs w:val="0"/>
          <w:sz w:val="21"/>
          <w:szCs w:val="21"/>
        </w:rPr>
        <w:t>algún</w:t>
      </w:r>
      <w:r w:rsidRPr="00961415">
        <w:rPr>
          <w:rFonts w:ascii="Abadi" w:hAnsi="Abadi"/>
          <w:b w:val="0"/>
          <w:bCs w:val="0"/>
          <w:spacing w:val="-4"/>
          <w:sz w:val="21"/>
          <w:szCs w:val="21"/>
        </w:rPr>
        <w:t xml:space="preserve"> </w:t>
      </w:r>
      <w:r w:rsidRPr="00961415">
        <w:rPr>
          <w:rFonts w:ascii="Abadi" w:hAnsi="Abadi"/>
          <w:b w:val="0"/>
          <w:bCs w:val="0"/>
          <w:sz w:val="21"/>
          <w:szCs w:val="21"/>
        </w:rPr>
        <w:t>tipo</w:t>
      </w:r>
      <w:r w:rsidRPr="00961415">
        <w:rPr>
          <w:rFonts w:ascii="Abadi" w:hAnsi="Abadi"/>
          <w:b w:val="0"/>
          <w:bCs w:val="0"/>
          <w:spacing w:val="-5"/>
          <w:sz w:val="21"/>
          <w:szCs w:val="21"/>
        </w:rPr>
        <w:t xml:space="preserve"> </w:t>
      </w:r>
      <w:r w:rsidRPr="00961415">
        <w:rPr>
          <w:rFonts w:ascii="Abadi" w:hAnsi="Abadi"/>
          <w:b w:val="0"/>
          <w:bCs w:val="0"/>
          <w:sz w:val="21"/>
          <w:szCs w:val="21"/>
        </w:rPr>
        <w:t>de</w:t>
      </w:r>
      <w:r w:rsidRPr="00961415">
        <w:rPr>
          <w:rFonts w:ascii="Abadi" w:hAnsi="Abadi"/>
          <w:b w:val="0"/>
          <w:bCs w:val="0"/>
          <w:spacing w:val="-5"/>
          <w:sz w:val="21"/>
          <w:szCs w:val="21"/>
        </w:rPr>
        <w:t xml:space="preserve"> </w:t>
      </w:r>
      <w:r w:rsidRPr="00961415">
        <w:rPr>
          <w:rFonts w:ascii="Abadi" w:hAnsi="Abadi"/>
          <w:b w:val="0"/>
          <w:bCs w:val="0"/>
          <w:sz w:val="21"/>
          <w:szCs w:val="21"/>
        </w:rPr>
        <w:t>violencia</w:t>
      </w:r>
      <w:r w:rsidRPr="00961415">
        <w:rPr>
          <w:rFonts w:ascii="Abadi" w:hAnsi="Abadi"/>
          <w:b w:val="0"/>
          <w:bCs w:val="0"/>
          <w:spacing w:val="-6"/>
          <w:sz w:val="21"/>
          <w:szCs w:val="21"/>
        </w:rPr>
        <w:t xml:space="preserve"> </w:t>
      </w:r>
      <w:r w:rsidRPr="00961415">
        <w:rPr>
          <w:rFonts w:ascii="Abadi" w:hAnsi="Abadi"/>
          <w:b w:val="0"/>
          <w:bCs w:val="0"/>
          <w:sz w:val="21"/>
          <w:szCs w:val="21"/>
        </w:rPr>
        <w:t>a</w:t>
      </w:r>
      <w:r w:rsidRPr="00961415">
        <w:rPr>
          <w:rFonts w:ascii="Abadi" w:hAnsi="Abadi"/>
          <w:b w:val="0"/>
          <w:bCs w:val="0"/>
          <w:spacing w:val="-6"/>
          <w:sz w:val="21"/>
          <w:szCs w:val="21"/>
        </w:rPr>
        <w:t xml:space="preserve"> </w:t>
      </w:r>
      <w:r w:rsidRPr="00961415">
        <w:rPr>
          <w:rFonts w:ascii="Abadi" w:hAnsi="Abadi"/>
          <w:b w:val="0"/>
          <w:bCs w:val="0"/>
          <w:sz w:val="21"/>
          <w:szCs w:val="21"/>
        </w:rPr>
        <w:t>lo</w:t>
      </w:r>
      <w:r w:rsidRPr="00961415">
        <w:rPr>
          <w:rFonts w:ascii="Abadi" w:hAnsi="Abadi"/>
          <w:b w:val="0"/>
          <w:bCs w:val="0"/>
          <w:spacing w:val="-7"/>
          <w:sz w:val="21"/>
          <w:szCs w:val="21"/>
        </w:rPr>
        <w:t xml:space="preserve"> </w:t>
      </w:r>
      <w:r w:rsidRPr="00961415">
        <w:rPr>
          <w:rFonts w:ascii="Abadi" w:hAnsi="Abadi"/>
          <w:b w:val="0"/>
          <w:bCs w:val="0"/>
          <w:sz w:val="21"/>
          <w:szCs w:val="21"/>
        </w:rPr>
        <w:t>largo de</w:t>
      </w:r>
      <w:r w:rsidRPr="00961415">
        <w:rPr>
          <w:rFonts w:ascii="Abadi" w:hAnsi="Abadi"/>
          <w:b w:val="0"/>
          <w:bCs w:val="0"/>
          <w:spacing w:val="16"/>
          <w:sz w:val="21"/>
          <w:szCs w:val="21"/>
        </w:rPr>
        <w:t xml:space="preserve"> </w:t>
      </w:r>
      <w:r w:rsidRPr="00961415">
        <w:rPr>
          <w:rFonts w:ascii="Abadi" w:hAnsi="Abadi"/>
          <w:b w:val="0"/>
          <w:bCs w:val="0"/>
          <w:sz w:val="21"/>
          <w:szCs w:val="21"/>
        </w:rPr>
        <w:t>sus</w:t>
      </w:r>
      <w:r w:rsidRPr="00961415">
        <w:rPr>
          <w:rFonts w:ascii="Abadi" w:hAnsi="Abadi"/>
          <w:b w:val="0"/>
          <w:bCs w:val="0"/>
          <w:spacing w:val="18"/>
          <w:sz w:val="21"/>
          <w:szCs w:val="21"/>
        </w:rPr>
        <w:t xml:space="preserve"> </w:t>
      </w:r>
      <w:r w:rsidRPr="00961415">
        <w:rPr>
          <w:rFonts w:ascii="Abadi" w:hAnsi="Abadi"/>
          <w:b w:val="0"/>
          <w:bCs w:val="0"/>
          <w:sz w:val="21"/>
          <w:szCs w:val="21"/>
        </w:rPr>
        <w:t>vidas.</w:t>
      </w:r>
      <w:r w:rsidRPr="00961415">
        <w:rPr>
          <w:rFonts w:ascii="Abadi" w:hAnsi="Abadi"/>
          <w:b w:val="0"/>
          <w:bCs w:val="0"/>
          <w:spacing w:val="17"/>
          <w:sz w:val="21"/>
          <w:szCs w:val="21"/>
        </w:rPr>
        <w:t xml:space="preserve"> </w:t>
      </w:r>
      <w:r w:rsidRPr="00961415">
        <w:rPr>
          <w:rFonts w:ascii="Abadi" w:hAnsi="Abadi"/>
          <w:b w:val="0"/>
          <w:bCs w:val="0"/>
          <w:sz w:val="21"/>
          <w:szCs w:val="21"/>
        </w:rPr>
        <w:t>Específicamente</w:t>
      </w:r>
      <w:r w:rsidRPr="00961415">
        <w:rPr>
          <w:rFonts w:ascii="Abadi" w:hAnsi="Abadi"/>
          <w:b w:val="0"/>
          <w:bCs w:val="0"/>
          <w:spacing w:val="17"/>
          <w:sz w:val="21"/>
          <w:szCs w:val="21"/>
        </w:rPr>
        <w:t xml:space="preserve"> </w:t>
      </w:r>
      <w:r w:rsidRPr="00961415">
        <w:rPr>
          <w:rFonts w:ascii="Abadi" w:hAnsi="Abadi"/>
          <w:b w:val="0"/>
          <w:bCs w:val="0"/>
          <w:sz w:val="21"/>
          <w:szCs w:val="21"/>
        </w:rPr>
        <w:t>en</w:t>
      </w:r>
      <w:r w:rsidRPr="00961415">
        <w:rPr>
          <w:rFonts w:ascii="Abadi" w:hAnsi="Abadi"/>
          <w:b w:val="0"/>
          <w:bCs w:val="0"/>
          <w:spacing w:val="17"/>
          <w:sz w:val="21"/>
          <w:szCs w:val="21"/>
        </w:rPr>
        <w:t xml:space="preserve"> </w:t>
      </w:r>
      <w:r w:rsidRPr="00961415">
        <w:rPr>
          <w:rFonts w:ascii="Abadi" w:hAnsi="Abadi"/>
          <w:b w:val="0"/>
          <w:bCs w:val="0"/>
          <w:sz w:val="21"/>
          <w:szCs w:val="21"/>
        </w:rPr>
        <w:t>el</w:t>
      </w:r>
      <w:r w:rsidRPr="00961415">
        <w:rPr>
          <w:rFonts w:ascii="Abadi" w:hAnsi="Abadi"/>
          <w:b w:val="0"/>
          <w:bCs w:val="0"/>
          <w:spacing w:val="18"/>
          <w:sz w:val="21"/>
          <w:szCs w:val="21"/>
        </w:rPr>
        <w:t xml:space="preserve"> </w:t>
      </w:r>
      <w:r w:rsidRPr="00961415">
        <w:rPr>
          <w:rFonts w:ascii="Abadi" w:hAnsi="Abadi"/>
          <w:b w:val="0"/>
          <w:bCs w:val="0"/>
          <w:sz w:val="21"/>
          <w:szCs w:val="21"/>
        </w:rPr>
        <w:t>ámbito</w:t>
      </w:r>
      <w:r w:rsidRPr="00961415">
        <w:rPr>
          <w:rFonts w:ascii="Abadi" w:hAnsi="Abadi"/>
          <w:b w:val="0"/>
          <w:bCs w:val="0"/>
          <w:spacing w:val="19"/>
          <w:sz w:val="21"/>
          <w:szCs w:val="21"/>
        </w:rPr>
        <w:t xml:space="preserve"> </w:t>
      </w:r>
      <w:r w:rsidRPr="00961415">
        <w:rPr>
          <w:rFonts w:ascii="Abadi" w:hAnsi="Abadi"/>
          <w:b w:val="0"/>
          <w:bCs w:val="0"/>
          <w:sz w:val="21"/>
          <w:szCs w:val="21"/>
        </w:rPr>
        <w:t>escolar</w:t>
      </w:r>
      <w:r w:rsidRPr="00961415">
        <w:rPr>
          <w:rFonts w:ascii="Abadi" w:hAnsi="Abadi"/>
          <w:b w:val="0"/>
          <w:bCs w:val="0"/>
          <w:spacing w:val="17"/>
          <w:sz w:val="21"/>
          <w:szCs w:val="21"/>
        </w:rPr>
        <w:t xml:space="preserve"> </w:t>
      </w:r>
      <w:r w:rsidRPr="00961415">
        <w:rPr>
          <w:rFonts w:ascii="Abadi" w:hAnsi="Abadi"/>
          <w:b w:val="0"/>
          <w:bCs w:val="0"/>
          <w:sz w:val="21"/>
          <w:szCs w:val="21"/>
        </w:rPr>
        <w:t>fue</w:t>
      </w:r>
      <w:r w:rsidRPr="00961415">
        <w:rPr>
          <w:rFonts w:ascii="Abadi" w:hAnsi="Abadi"/>
          <w:b w:val="0"/>
          <w:bCs w:val="0"/>
          <w:spacing w:val="19"/>
          <w:sz w:val="21"/>
          <w:szCs w:val="21"/>
        </w:rPr>
        <w:t xml:space="preserve"> </w:t>
      </w:r>
      <w:r w:rsidRPr="00961415">
        <w:rPr>
          <w:rFonts w:ascii="Abadi" w:hAnsi="Abadi"/>
          <w:b w:val="0"/>
          <w:bCs w:val="0"/>
          <w:sz w:val="21"/>
          <w:szCs w:val="21"/>
        </w:rPr>
        <w:t>el</w:t>
      </w:r>
      <w:r w:rsidRPr="00961415">
        <w:rPr>
          <w:rFonts w:ascii="Abadi" w:hAnsi="Abadi"/>
          <w:b w:val="0"/>
          <w:bCs w:val="0"/>
          <w:spacing w:val="18"/>
          <w:sz w:val="21"/>
          <w:szCs w:val="21"/>
        </w:rPr>
        <w:t xml:space="preserve"> </w:t>
      </w:r>
      <w:r w:rsidRPr="00961415">
        <w:rPr>
          <w:rFonts w:ascii="Abadi" w:hAnsi="Abadi"/>
          <w:b w:val="0"/>
          <w:bCs w:val="0"/>
          <w:sz w:val="21"/>
          <w:szCs w:val="21"/>
        </w:rPr>
        <w:t>30.2%,</w:t>
      </w:r>
      <w:r w:rsidRPr="00961415">
        <w:rPr>
          <w:rFonts w:ascii="Abadi" w:hAnsi="Abadi"/>
          <w:b w:val="0"/>
          <w:bCs w:val="0"/>
          <w:spacing w:val="19"/>
          <w:sz w:val="21"/>
          <w:szCs w:val="21"/>
        </w:rPr>
        <w:t xml:space="preserve"> </w:t>
      </w:r>
      <w:r w:rsidRPr="00961415">
        <w:rPr>
          <w:rFonts w:ascii="Abadi" w:hAnsi="Abadi"/>
          <w:b w:val="0"/>
          <w:bCs w:val="0"/>
          <w:sz w:val="21"/>
          <w:szCs w:val="21"/>
        </w:rPr>
        <w:t>en</w:t>
      </w:r>
      <w:r w:rsidRPr="00961415">
        <w:rPr>
          <w:rFonts w:ascii="Abadi" w:hAnsi="Abadi"/>
          <w:b w:val="0"/>
          <w:bCs w:val="0"/>
          <w:spacing w:val="20"/>
          <w:sz w:val="21"/>
          <w:szCs w:val="21"/>
        </w:rPr>
        <w:t xml:space="preserve"> </w:t>
      </w:r>
      <w:r w:rsidRPr="00961415">
        <w:rPr>
          <w:rFonts w:ascii="Abadi" w:hAnsi="Abadi"/>
          <w:b w:val="0"/>
          <w:bCs w:val="0"/>
          <w:sz w:val="21"/>
          <w:szCs w:val="21"/>
        </w:rPr>
        <w:t>el</w:t>
      </w:r>
      <w:r w:rsidRPr="00961415">
        <w:rPr>
          <w:rFonts w:ascii="Abadi" w:hAnsi="Abadi"/>
          <w:b w:val="0"/>
          <w:bCs w:val="0"/>
          <w:spacing w:val="18"/>
          <w:sz w:val="21"/>
          <w:szCs w:val="21"/>
        </w:rPr>
        <w:t xml:space="preserve"> </w:t>
      </w:r>
      <w:r w:rsidRPr="00961415">
        <w:rPr>
          <w:rFonts w:ascii="Abadi" w:hAnsi="Abadi"/>
          <w:b w:val="0"/>
          <w:bCs w:val="0"/>
          <w:sz w:val="21"/>
          <w:szCs w:val="21"/>
        </w:rPr>
        <w:t>laboral</w:t>
      </w:r>
      <w:r w:rsidRPr="00961415">
        <w:rPr>
          <w:rFonts w:ascii="Abadi" w:hAnsi="Abadi"/>
          <w:b w:val="0"/>
          <w:bCs w:val="0"/>
          <w:spacing w:val="17"/>
          <w:sz w:val="21"/>
          <w:szCs w:val="21"/>
        </w:rPr>
        <w:t xml:space="preserve"> </w:t>
      </w:r>
      <w:r w:rsidRPr="00961415">
        <w:rPr>
          <w:rFonts w:ascii="Abadi" w:hAnsi="Abadi"/>
          <w:b w:val="0"/>
          <w:bCs w:val="0"/>
          <w:sz w:val="21"/>
          <w:szCs w:val="21"/>
        </w:rPr>
        <w:t>el 25.8%,</w:t>
      </w:r>
      <w:r w:rsidRPr="00961415">
        <w:rPr>
          <w:rFonts w:ascii="Abadi" w:hAnsi="Abadi"/>
          <w:b w:val="0"/>
          <w:bCs w:val="0"/>
          <w:spacing w:val="-1"/>
          <w:sz w:val="21"/>
          <w:szCs w:val="21"/>
        </w:rPr>
        <w:t xml:space="preserve"> </w:t>
      </w:r>
      <w:r w:rsidRPr="00961415">
        <w:rPr>
          <w:rFonts w:ascii="Abadi" w:hAnsi="Abadi"/>
          <w:b w:val="0"/>
          <w:bCs w:val="0"/>
          <w:sz w:val="21"/>
          <w:szCs w:val="21"/>
        </w:rPr>
        <w:t>en el</w:t>
      </w:r>
      <w:r w:rsidRPr="00961415">
        <w:rPr>
          <w:rFonts w:ascii="Abadi" w:hAnsi="Abadi"/>
          <w:b w:val="0"/>
          <w:bCs w:val="0"/>
          <w:spacing w:val="-1"/>
          <w:sz w:val="21"/>
          <w:szCs w:val="21"/>
        </w:rPr>
        <w:t xml:space="preserve"> </w:t>
      </w:r>
      <w:r w:rsidRPr="00961415">
        <w:rPr>
          <w:rFonts w:ascii="Abadi" w:hAnsi="Abadi"/>
          <w:b w:val="0"/>
          <w:bCs w:val="0"/>
          <w:sz w:val="21"/>
          <w:szCs w:val="21"/>
        </w:rPr>
        <w:t>comunitario</w:t>
      </w:r>
      <w:r w:rsidRPr="00961415">
        <w:rPr>
          <w:rFonts w:ascii="Abadi" w:hAnsi="Abadi"/>
          <w:b w:val="0"/>
          <w:bCs w:val="0"/>
          <w:spacing w:val="-2"/>
          <w:sz w:val="21"/>
          <w:szCs w:val="21"/>
        </w:rPr>
        <w:t xml:space="preserve"> </w:t>
      </w:r>
      <w:r w:rsidRPr="00961415">
        <w:rPr>
          <w:rFonts w:ascii="Abadi" w:hAnsi="Abadi"/>
          <w:b w:val="0"/>
          <w:bCs w:val="0"/>
          <w:sz w:val="21"/>
          <w:szCs w:val="21"/>
        </w:rPr>
        <w:t>el</w:t>
      </w:r>
      <w:r w:rsidRPr="00961415">
        <w:rPr>
          <w:rFonts w:ascii="Abadi" w:hAnsi="Abadi"/>
          <w:b w:val="0"/>
          <w:bCs w:val="0"/>
          <w:spacing w:val="1"/>
          <w:sz w:val="21"/>
          <w:szCs w:val="21"/>
        </w:rPr>
        <w:t xml:space="preserve"> </w:t>
      </w:r>
      <w:r w:rsidRPr="00961415">
        <w:rPr>
          <w:rFonts w:ascii="Abadi" w:hAnsi="Abadi"/>
          <w:b w:val="0"/>
          <w:bCs w:val="0"/>
          <w:sz w:val="21"/>
          <w:szCs w:val="21"/>
        </w:rPr>
        <w:t>43.5%</w:t>
      </w:r>
      <w:r w:rsidRPr="00961415">
        <w:rPr>
          <w:rFonts w:ascii="Abadi" w:hAnsi="Abadi"/>
          <w:b w:val="0"/>
          <w:bCs w:val="0"/>
          <w:spacing w:val="-3"/>
          <w:sz w:val="21"/>
          <w:szCs w:val="21"/>
        </w:rPr>
        <w:t xml:space="preserve"> </w:t>
      </w:r>
      <w:r w:rsidRPr="00961415">
        <w:rPr>
          <w:rFonts w:ascii="Abadi" w:hAnsi="Abadi"/>
          <w:b w:val="0"/>
          <w:bCs w:val="0"/>
          <w:sz w:val="21"/>
          <w:szCs w:val="21"/>
        </w:rPr>
        <w:t>y</w:t>
      </w:r>
      <w:r w:rsidRPr="00961415">
        <w:rPr>
          <w:rFonts w:ascii="Abadi" w:hAnsi="Abadi"/>
          <w:b w:val="0"/>
          <w:bCs w:val="0"/>
          <w:spacing w:val="1"/>
          <w:sz w:val="21"/>
          <w:szCs w:val="21"/>
        </w:rPr>
        <w:t xml:space="preserve"> </w:t>
      </w:r>
      <w:r w:rsidRPr="00961415">
        <w:rPr>
          <w:rFonts w:ascii="Abadi" w:hAnsi="Abadi"/>
          <w:b w:val="0"/>
          <w:bCs w:val="0"/>
          <w:sz w:val="21"/>
          <w:szCs w:val="21"/>
        </w:rPr>
        <w:t>en el</w:t>
      </w:r>
      <w:r w:rsidRPr="00961415">
        <w:rPr>
          <w:rFonts w:ascii="Abadi" w:hAnsi="Abadi"/>
          <w:b w:val="0"/>
          <w:bCs w:val="0"/>
          <w:spacing w:val="1"/>
          <w:sz w:val="21"/>
          <w:szCs w:val="21"/>
        </w:rPr>
        <w:t xml:space="preserve"> </w:t>
      </w:r>
      <w:r w:rsidRPr="00961415">
        <w:rPr>
          <w:rFonts w:ascii="Abadi" w:hAnsi="Abadi"/>
          <w:b w:val="0"/>
          <w:bCs w:val="0"/>
          <w:sz w:val="21"/>
          <w:szCs w:val="21"/>
        </w:rPr>
        <w:t>familiar</w:t>
      </w:r>
      <w:r w:rsidRPr="00961415">
        <w:rPr>
          <w:rFonts w:ascii="Abadi" w:hAnsi="Abadi"/>
          <w:b w:val="0"/>
          <w:bCs w:val="0"/>
          <w:spacing w:val="-2"/>
          <w:sz w:val="21"/>
          <w:szCs w:val="21"/>
        </w:rPr>
        <w:t xml:space="preserve"> </w:t>
      </w:r>
      <w:r w:rsidRPr="00961415">
        <w:rPr>
          <w:rFonts w:ascii="Abadi" w:hAnsi="Abadi"/>
          <w:b w:val="0"/>
          <w:bCs w:val="0"/>
          <w:sz w:val="21"/>
          <w:szCs w:val="21"/>
        </w:rPr>
        <w:t>el</w:t>
      </w:r>
      <w:r w:rsidRPr="00961415">
        <w:rPr>
          <w:rFonts w:ascii="Abadi" w:hAnsi="Abadi"/>
          <w:b w:val="0"/>
          <w:bCs w:val="0"/>
          <w:spacing w:val="1"/>
          <w:sz w:val="21"/>
          <w:szCs w:val="21"/>
        </w:rPr>
        <w:t xml:space="preserve"> </w:t>
      </w:r>
      <w:r w:rsidRPr="00961415">
        <w:rPr>
          <w:rFonts w:ascii="Abadi" w:hAnsi="Abadi"/>
          <w:b w:val="0"/>
          <w:bCs w:val="0"/>
          <w:sz w:val="21"/>
          <w:szCs w:val="21"/>
        </w:rPr>
        <w:t>39.2%.</w:t>
      </w:r>
    </w:p>
    <w:p w14:paraId="58B33279" w14:textId="77777777" w:rsidR="00AF040F" w:rsidRPr="00961415" w:rsidRDefault="00AF040F" w:rsidP="00A44DEE">
      <w:pPr>
        <w:pStyle w:val="Textoindependiente"/>
        <w:kinsoku w:val="0"/>
        <w:overflowPunct w:val="0"/>
        <w:spacing w:before="159"/>
        <w:ind w:left="102" w:right="117"/>
        <w:rPr>
          <w:rFonts w:ascii="Abadi" w:hAnsi="Abadi"/>
          <w:b w:val="0"/>
          <w:bCs w:val="0"/>
          <w:sz w:val="21"/>
          <w:szCs w:val="21"/>
        </w:rPr>
      </w:pPr>
      <w:r w:rsidRPr="00961415">
        <w:rPr>
          <w:rFonts w:ascii="Abadi" w:hAnsi="Abadi"/>
          <w:b w:val="0"/>
          <w:bCs w:val="0"/>
          <w:sz w:val="21"/>
          <w:szCs w:val="21"/>
        </w:rPr>
        <w:t>Lo</w:t>
      </w:r>
      <w:r w:rsidRPr="00961415">
        <w:rPr>
          <w:rFonts w:ascii="Abadi" w:hAnsi="Abadi"/>
          <w:b w:val="0"/>
          <w:bCs w:val="0"/>
          <w:spacing w:val="16"/>
          <w:sz w:val="21"/>
          <w:szCs w:val="21"/>
        </w:rPr>
        <w:t xml:space="preserve"> </w:t>
      </w:r>
      <w:r w:rsidRPr="00961415">
        <w:rPr>
          <w:rFonts w:ascii="Abadi" w:hAnsi="Abadi"/>
          <w:b w:val="0"/>
          <w:bCs w:val="0"/>
          <w:sz w:val="21"/>
          <w:szCs w:val="21"/>
        </w:rPr>
        <w:t>anterior</w:t>
      </w:r>
      <w:r w:rsidRPr="00961415">
        <w:rPr>
          <w:rFonts w:ascii="Abadi" w:hAnsi="Abadi"/>
          <w:b w:val="0"/>
          <w:bCs w:val="0"/>
          <w:spacing w:val="17"/>
          <w:sz w:val="21"/>
          <w:szCs w:val="21"/>
        </w:rPr>
        <w:t xml:space="preserve"> </w:t>
      </w:r>
      <w:r w:rsidRPr="00961415">
        <w:rPr>
          <w:rFonts w:ascii="Abadi" w:hAnsi="Abadi"/>
          <w:b w:val="0"/>
          <w:bCs w:val="0"/>
          <w:sz w:val="21"/>
          <w:szCs w:val="21"/>
        </w:rPr>
        <w:t>se</w:t>
      </w:r>
      <w:r w:rsidRPr="00961415">
        <w:rPr>
          <w:rFonts w:ascii="Abadi" w:hAnsi="Abadi"/>
          <w:b w:val="0"/>
          <w:bCs w:val="0"/>
          <w:spacing w:val="19"/>
          <w:sz w:val="21"/>
          <w:szCs w:val="21"/>
        </w:rPr>
        <w:t xml:space="preserve"> </w:t>
      </w:r>
      <w:r w:rsidRPr="00961415">
        <w:rPr>
          <w:rFonts w:ascii="Abadi" w:hAnsi="Abadi"/>
          <w:b w:val="0"/>
          <w:bCs w:val="0"/>
          <w:sz w:val="21"/>
          <w:szCs w:val="21"/>
        </w:rPr>
        <w:t>vuelve</w:t>
      </w:r>
      <w:r w:rsidRPr="00961415">
        <w:rPr>
          <w:rFonts w:ascii="Abadi" w:hAnsi="Abadi"/>
          <w:b w:val="0"/>
          <w:bCs w:val="0"/>
          <w:spacing w:val="19"/>
          <w:sz w:val="21"/>
          <w:szCs w:val="21"/>
        </w:rPr>
        <w:t xml:space="preserve"> </w:t>
      </w:r>
      <w:r w:rsidRPr="00961415">
        <w:rPr>
          <w:rFonts w:ascii="Abadi" w:hAnsi="Abadi"/>
          <w:b w:val="0"/>
          <w:bCs w:val="0"/>
          <w:sz w:val="21"/>
          <w:szCs w:val="21"/>
        </w:rPr>
        <w:t>más</w:t>
      </w:r>
      <w:r w:rsidRPr="00961415">
        <w:rPr>
          <w:rFonts w:ascii="Abadi" w:hAnsi="Abadi"/>
          <w:b w:val="0"/>
          <w:bCs w:val="0"/>
          <w:spacing w:val="18"/>
          <w:sz w:val="21"/>
          <w:szCs w:val="21"/>
        </w:rPr>
        <w:t xml:space="preserve"> </w:t>
      </w:r>
      <w:r w:rsidRPr="00961415">
        <w:rPr>
          <w:rFonts w:ascii="Abadi" w:hAnsi="Abadi"/>
          <w:b w:val="0"/>
          <w:bCs w:val="0"/>
          <w:sz w:val="21"/>
          <w:szCs w:val="21"/>
        </w:rPr>
        <w:t>preocupante</w:t>
      </w:r>
      <w:r w:rsidRPr="00961415">
        <w:rPr>
          <w:rFonts w:ascii="Abadi" w:hAnsi="Abadi"/>
          <w:b w:val="0"/>
          <w:bCs w:val="0"/>
          <w:spacing w:val="16"/>
          <w:sz w:val="21"/>
          <w:szCs w:val="21"/>
        </w:rPr>
        <w:t xml:space="preserve"> </w:t>
      </w:r>
      <w:r w:rsidRPr="00961415">
        <w:rPr>
          <w:rFonts w:ascii="Abadi" w:hAnsi="Abadi"/>
          <w:b w:val="0"/>
          <w:bCs w:val="0"/>
          <w:sz w:val="21"/>
          <w:szCs w:val="21"/>
        </w:rPr>
        <w:t>cuando</w:t>
      </w:r>
      <w:r w:rsidRPr="00961415">
        <w:rPr>
          <w:rFonts w:ascii="Abadi" w:hAnsi="Abadi"/>
          <w:b w:val="0"/>
          <w:bCs w:val="0"/>
          <w:spacing w:val="19"/>
          <w:sz w:val="21"/>
          <w:szCs w:val="21"/>
        </w:rPr>
        <w:t xml:space="preserve"> </w:t>
      </w:r>
      <w:r w:rsidRPr="00961415">
        <w:rPr>
          <w:rFonts w:ascii="Abadi" w:hAnsi="Abadi"/>
          <w:b w:val="0"/>
          <w:bCs w:val="0"/>
          <w:sz w:val="21"/>
          <w:szCs w:val="21"/>
        </w:rPr>
        <w:t>observamos</w:t>
      </w:r>
      <w:r w:rsidRPr="00961415">
        <w:rPr>
          <w:rStyle w:val="Refdenotaalpie"/>
          <w:rFonts w:ascii="Abadi" w:hAnsi="Abadi"/>
          <w:b w:val="0"/>
          <w:bCs w:val="0"/>
          <w:sz w:val="21"/>
          <w:szCs w:val="21"/>
        </w:rPr>
        <w:footnoteReference w:id="70"/>
      </w:r>
      <w:r w:rsidRPr="00961415">
        <w:rPr>
          <w:rFonts w:ascii="Abadi" w:hAnsi="Abadi"/>
          <w:b w:val="0"/>
          <w:bCs w:val="0"/>
          <w:sz w:val="21"/>
          <w:szCs w:val="21"/>
          <w:vertAlign w:val="superscript"/>
        </w:rPr>
        <w:t xml:space="preserve"> </w:t>
      </w:r>
      <w:r w:rsidRPr="00961415">
        <w:rPr>
          <w:rFonts w:ascii="Abadi" w:hAnsi="Abadi"/>
          <w:b w:val="0"/>
          <w:bCs w:val="0"/>
          <w:sz w:val="21"/>
          <w:szCs w:val="21"/>
        </w:rPr>
        <w:t>que</w:t>
      </w:r>
      <w:r w:rsidRPr="00961415">
        <w:rPr>
          <w:rFonts w:ascii="Abadi" w:hAnsi="Abadi"/>
          <w:b w:val="0"/>
          <w:bCs w:val="0"/>
          <w:spacing w:val="16"/>
          <w:sz w:val="21"/>
          <w:szCs w:val="21"/>
        </w:rPr>
        <w:t xml:space="preserve"> </w:t>
      </w:r>
      <w:r w:rsidRPr="00961415">
        <w:rPr>
          <w:rFonts w:ascii="Abadi" w:hAnsi="Abadi"/>
          <w:b w:val="0"/>
          <w:bCs w:val="0"/>
          <w:sz w:val="21"/>
          <w:szCs w:val="21"/>
        </w:rPr>
        <w:t>la</w:t>
      </w:r>
      <w:r w:rsidRPr="00961415">
        <w:rPr>
          <w:rFonts w:ascii="Abadi" w:hAnsi="Abadi"/>
          <w:b w:val="0"/>
          <w:bCs w:val="0"/>
          <w:spacing w:val="20"/>
          <w:sz w:val="21"/>
          <w:szCs w:val="21"/>
        </w:rPr>
        <w:t xml:space="preserve"> </w:t>
      </w:r>
      <w:r w:rsidRPr="00961415">
        <w:rPr>
          <w:rFonts w:ascii="Abadi" w:hAnsi="Abadi"/>
          <w:b w:val="0"/>
          <w:bCs w:val="0"/>
          <w:sz w:val="21"/>
          <w:szCs w:val="21"/>
        </w:rPr>
        <w:t>violencia</w:t>
      </w:r>
      <w:r w:rsidRPr="00961415">
        <w:rPr>
          <w:rFonts w:ascii="Abadi" w:hAnsi="Abadi"/>
          <w:b w:val="0"/>
          <w:bCs w:val="0"/>
          <w:spacing w:val="20"/>
          <w:sz w:val="21"/>
          <w:szCs w:val="21"/>
        </w:rPr>
        <w:t xml:space="preserve"> </w:t>
      </w:r>
      <w:r w:rsidRPr="00961415">
        <w:rPr>
          <w:rFonts w:ascii="Abadi" w:hAnsi="Abadi"/>
          <w:b w:val="0"/>
          <w:bCs w:val="0"/>
          <w:sz w:val="21"/>
          <w:szCs w:val="21"/>
        </w:rPr>
        <w:t>en mujeres</w:t>
      </w:r>
      <w:r w:rsidRPr="00961415">
        <w:rPr>
          <w:rFonts w:ascii="Abadi" w:hAnsi="Abadi"/>
          <w:b w:val="0"/>
          <w:bCs w:val="0"/>
          <w:spacing w:val="8"/>
          <w:sz w:val="21"/>
          <w:szCs w:val="21"/>
        </w:rPr>
        <w:t xml:space="preserve"> </w:t>
      </w:r>
      <w:r w:rsidRPr="00961415">
        <w:rPr>
          <w:rFonts w:ascii="Abadi" w:hAnsi="Abadi"/>
          <w:b w:val="0"/>
          <w:bCs w:val="0"/>
          <w:sz w:val="21"/>
          <w:szCs w:val="21"/>
        </w:rPr>
        <w:t>ha</w:t>
      </w:r>
      <w:r w:rsidRPr="00961415">
        <w:rPr>
          <w:rFonts w:ascii="Abadi" w:hAnsi="Abadi"/>
          <w:b w:val="0"/>
          <w:bCs w:val="0"/>
          <w:spacing w:val="7"/>
          <w:sz w:val="21"/>
          <w:szCs w:val="21"/>
        </w:rPr>
        <w:t xml:space="preserve"> </w:t>
      </w:r>
      <w:r w:rsidRPr="00961415">
        <w:rPr>
          <w:rFonts w:ascii="Abadi" w:hAnsi="Abadi"/>
          <w:b w:val="0"/>
          <w:bCs w:val="0"/>
          <w:sz w:val="21"/>
          <w:szCs w:val="21"/>
        </w:rPr>
        <w:t>incrementado</w:t>
      </w:r>
      <w:r w:rsidRPr="00961415">
        <w:rPr>
          <w:rFonts w:ascii="Abadi" w:hAnsi="Abadi"/>
          <w:b w:val="0"/>
          <w:bCs w:val="0"/>
          <w:spacing w:val="4"/>
          <w:sz w:val="21"/>
          <w:szCs w:val="21"/>
        </w:rPr>
        <w:t xml:space="preserve"> </w:t>
      </w:r>
      <w:r w:rsidRPr="00961415">
        <w:rPr>
          <w:rFonts w:ascii="Abadi" w:hAnsi="Abadi"/>
          <w:b w:val="0"/>
          <w:bCs w:val="0"/>
          <w:sz w:val="21"/>
          <w:szCs w:val="21"/>
        </w:rPr>
        <w:t>5.1</w:t>
      </w:r>
      <w:r w:rsidRPr="00961415">
        <w:rPr>
          <w:rFonts w:ascii="Abadi" w:hAnsi="Abadi"/>
          <w:b w:val="0"/>
          <w:bCs w:val="0"/>
          <w:spacing w:val="6"/>
          <w:sz w:val="21"/>
          <w:szCs w:val="21"/>
        </w:rPr>
        <w:t xml:space="preserve"> </w:t>
      </w:r>
      <w:r w:rsidRPr="00961415">
        <w:rPr>
          <w:rFonts w:ascii="Abadi" w:hAnsi="Abadi"/>
          <w:b w:val="0"/>
          <w:bCs w:val="0"/>
          <w:sz w:val="21"/>
          <w:szCs w:val="21"/>
        </w:rPr>
        <w:t>puntos</w:t>
      </w:r>
      <w:r w:rsidRPr="00961415">
        <w:rPr>
          <w:rFonts w:ascii="Abadi" w:hAnsi="Abadi"/>
          <w:b w:val="0"/>
          <w:bCs w:val="0"/>
          <w:spacing w:val="7"/>
          <w:sz w:val="21"/>
          <w:szCs w:val="21"/>
        </w:rPr>
        <w:t xml:space="preserve"> </w:t>
      </w:r>
      <w:r w:rsidRPr="00961415">
        <w:rPr>
          <w:rFonts w:ascii="Abadi" w:hAnsi="Abadi"/>
          <w:b w:val="0"/>
          <w:bCs w:val="0"/>
          <w:sz w:val="21"/>
          <w:szCs w:val="21"/>
        </w:rPr>
        <w:t>porcentuales</w:t>
      </w:r>
      <w:r w:rsidRPr="00961415">
        <w:rPr>
          <w:rFonts w:ascii="Abadi" w:hAnsi="Abadi"/>
          <w:b w:val="0"/>
          <w:bCs w:val="0"/>
          <w:spacing w:val="10"/>
          <w:sz w:val="21"/>
          <w:szCs w:val="21"/>
        </w:rPr>
        <w:t xml:space="preserve"> </w:t>
      </w:r>
      <w:r w:rsidRPr="00961415">
        <w:rPr>
          <w:rFonts w:ascii="Abadi" w:hAnsi="Abadi"/>
          <w:b w:val="0"/>
          <w:bCs w:val="0"/>
          <w:sz w:val="21"/>
          <w:szCs w:val="21"/>
        </w:rPr>
        <w:t>respecto</w:t>
      </w:r>
      <w:r w:rsidRPr="00961415">
        <w:rPr>
          <w:rFonts w:ascii="Abadi" w:hAnsi="Abadi"/>
          <w:b w:val="0"/>
          <w:bCs w:val="0"/>
          <w:spacing w:val="4"/>
          <w:sz w:val="21"/>
          <w:szCs w:val="21"/>
        </w:rPr>
        <w:t xml:space="preserve"> </w:t>
      </w:r>
      <w:r w:rsidRPr="00961415">
        <w:rPr>
          <w:rFonts w:ascii="Abadi" w:hAnsi="Abadi"/>
          <w:b w:val="0"/>
          <w:bCs w:val="0"/>
          <w:sz w:val="21"/>
          <w:szCs w:val="21"/>
        </w:rPr>
        <w:t>al</w:t>
      </w:r>
      <w:r w:rsidRPr="00961415">
        <w:rPr>
          <w:rFonts w:ascii="Abadi" w:hAnsi="Abadi"/>
          <w:b w:val="0"/>
          <w:bCs w:val="0"/>
          <w:spacing w:val="8"/>
          <w:sz w:val="21"/>
          <w:szCs w:val="21"/>
        </w:rPr>
        <w:t xml:space="preserve"> </w:t>
      </w:r>
      <w:r w:rsidRPr="00961415">
        <w:rPr>
          <w:rFonts w:ascii="Abadi" w:hAnsi="Abadi"/>
          <w:b w:val="0"/>
          <w:bCs w:val="0"/>
          <w:sz w:val="21"/>
          <w:szCs w:val="21"/>
        </w:rPr>
        <w:t>2016,</w:t>
      </w:r>
      <w:r w:rsidRPr="00961415">
        <w:rPr>
          <w:rFonts w:ascii="Abadi" w:hAnsi="Abadi"/>
          <w:b w:val="0"/>
          <w:bCs w:val="0"/>
          <w:spacing w:val="4"/>
          <w:sz w:val="21"/>
          <w:szCs w:val="21"/>
        </w:rPr>
        <w:t xml:space="preserve"> </w:t>
      </w:r>
      <w:r w:rsidRPr="00961415">
        <w:rPr>
          <w:rFonts w:ascii="Abadi" w:hAnsi="Abadi"/>
          <w:b w:val="0"/>
          <w:bCs w:val="0"/>
          <w:sz w:val="21"/>
          <w:szCs w:val="21"/>
        </w:rPr>
        <w:t>lo</w:t>
      </w:r>
      <w:r w:rsidRPr="00961415">
        <w:rPr>
          <w:rFonts w:ascii="Abadi" w:hAnsi="Abadi"/>
          <w:b w:val="0"/>
          <w:bCs w:val="0"/>
          <w:spacing w:val="7"/>
          <w:sz w:val="21"/>
          <w:szCs w:val="21"/>
        </w:rPr>
        <w:t xml:space="preserve"> </w:t>
      </w:r>
      <w:r w:rsidRPr="00961415">
        <w:rPr>
          <w:rFonts w:ascii="Abadi" w:hAnsi="Abadi"/>
          <w:b w:val="0"/>
          <w:bCs w:val="0"/>
          <w:sz w:val="21"/>
          <w:szCs w:val="21"/>
        </w:rPr>
        <w:t>que representa</w:t>
      </w:r>
      <w:r w:rsidRPr="00961415">
        <w:rPr>
          <w:rFonts w:ascii="Abadi" w:hAnsi="Abadi"/>
          <w:b w:val="0"/>
          <w:bCs w:val="0"/>
          <w:spacing w:val="1"/>
          <w:sz w:val="21"/>
          <w:szCs w:val="21"/>
        </w:rPr>
        <w:t xml:space="preserve"> </w:t>
      </w:r>
      <w:r w:rsidRPr="00961415">
        <w:rPr>
          <w:rFonts w:ascii="Abadi" w:hAnsi="Abadi"/>
          <w:b w:val="0"/>
          <w:bCs w:val="0"/>
          <w:sz w:val="21"/>
          <w:szCs w:val="21"/>
        </w:rPr>
        <w:t>un</w:t>
      </w:r>
      <w:r w:rsidRPr="00961415">
        <w:rPr>
          <w:rFonts w:ascii="Abadi" w:hAnsi="Abadi"/>
          <w:b w:val="0"/>
          <w:bCs w:val="0"/>
          <w:spacing w:val="1"/>
          <w:sz w:val="21"/>
          <w:szCs w:val="21"/>
        </w:rPr>
        <w:t xml:space="preserve"> </w:t>
      </w:r>
      <w:r w:rsidRPr="00961415">
        <w:rPr>
          <w:rFonts w:ascii="Abadi" w:hAnsi="Abadi"/>
          <w:b w:val="0"/>
          <w:bCs w:val="0"/>
          <w:sz w:val="21"/>
          <w:szCs w:val="21"/>
        </w:rPr>
        <w:t>evidente</w:t>
      </w:r>
      <w:r w:rsidRPr="00961415">
        <w:rPr>
          <w:rFonts w:ascii="Abadi" w:hAnsi="Abadi"/>
          <w:b w:val="0"/>
          <w:bCs w:val="0"/>
          <w:spacing w:val="1"/>
          <w:sz w:val="21"/>
          <w:szCs w:val="21"/>
        </w:rPr>
        <w:t xml:space="preserve"> </w:t>
      </w:r>
      <w:r w:rsidRPr="00961415">
        <w:rPr>
          <w:rFonts w:ascii="Abadi" w:hAnsi="Abadi"/>
          <w:b w:val="0"/>
          <w:bCs w:val="0"/>
          <w:sz w:val="21"/>
          <w:szCs w:val="21"/>
        </w:rPr>
        <w:t>retroceso</w:t>
      </w:r>
      <w:r w:rsidRPr="00961415">
        <w:rPr>
          <w:rFonts w:ascii="Abadi" w:hAnsi="Abadi"/>
          <w:b w:val="0"/>
          <w:bCs w:val="0"/>
          <w:spacing w:val="-1"/>
          <w:sz w:val="21"/>
          <w:szCs w:val="21"/>
        </w:rPr>
        <w:t xml:space="preserve"> </w:t>
      </w:r>
      <w:r w:rsidRPr="00961415">
        <w:rPr>
          <w:rFonts w:ascii="Abadi" w:hAnsi="Abadi"/>
          <w:b w:val="0"/>
          <w:bCs w:val="0"/>
          <w:sz w:val="21"/>
          <w:szCs w:val="21"/>
        </w:rPr>
        <w:t>en el</w:t>
      </w:r>
      <w:r w:rsidRPr="00961415">
        <w:rPr>
          <w:rFonts w:ascii="Abadi" w:hAnsi="Abadi"/>
          <w:b w:val="0"/>
          <w:bCs w:val="0"/>
          <w:spacing w:val="1"/>
          <w:sz w:val="21"/>
          <w:szCs w:val="21"/>
        </w:rPr>
        <w:t xml:space="preserve"> </w:t>
      </w:r>
      <w:r w:rsidRPr="00961415">
        <w:rPr>
          <w:rFonts w:ascii="Abadi" w:hAnsi="Abadi"/>
          <w:b w:val="0"/>
          <w:bCs w:val="0"/>
          <w:sz w:val="21"/>
          <w:szCs w:val="21"/>
        </w:rPr>
        <w:t>combate a</w:t>
      </w:r>
      <w:r w:rsidRPr="00961415">
        <w:rPr>
          <w:rFonts w:ascii="Abadi" w:hAnsi="Abadi"/>
          <w:b w:val="0"/>
          <w:bCs w:val="0"/>
          <w:spacing w:val="-1"/>
          <w:sz w:val="21"/>
          <w:szCs w:val="21"/>
        </w:rPr>
        <w:t xml:space="preserve"> </w:t>
      </w:r>
      <w:r w:rsidRPr="00961415">
        <w:rPr>
          <w:rFonts w:ascii="Abadi" w:hAnsi="Abadi"/>
          <w:b w:val="0"/>
          <w:bCs w:val="0"/>
          <w:sz w:val="21"/>
          <w:szCs w:val="21"/>
        </w:rPr>
        <w:t>la violencia</w:t>
      </w:r>
      <w:r w:rsidRPr="00961415">
        <w:rPr>
          <w:rFonts w:ascii="Abadi" w:hAnsi="Abadi"/>
          <w:b w:val="0"/>
          <w:bCs w:val="0"/>
          <w:spacing w:val="1"/>
          <w:sz w:val="21"/>
          <w:szCs w:val="21"/>
        </w:rPr>
        <w:t xml:space="preserve"> </w:t>
      </w:r>
      <w:r w:rsidRPr="00961415">
        <w:rPr>
          <w:rFonts w:ascii="Abadi" w:hAnsi="Abadi"/>
          <w:b w:val="0"/>
          <w:bCs w:val="0"/>
          <w:sz w:val="21"/>
          <w:szCs w:val="21"/>
        </w:rPr>
        <w:t>contra</w:t>
      </w:r>
      <w:r w:rsidRPr="00961415">
        <w:rPr>
          <w:rFonts w:ascii="Abadi" w:hAnsi="Abadi"/>
          <w:b w:val="0"/>
          <w:bCs w:val="0"/>
          <w:spacing w:val="1"/>
          <w:sz w:val="21"/>
          <w:szCs w:val="21"/>
        </w:rPr>
        <w:t xml:space="preserve"> </w:t>
      </w:r>
      <w:r w:rsidRPr="00961415">
        <w:rPr>
          <w:rFonts w:ascii="Abadi" w:hAnsi="Abadi"/>
          <w:b w:val="0"/>
          <w:bCs w:val="0"/>
          <w:sz w:val="21"/>
          <w:szCs w:val="21"/>
        </w:rPr>
        <w:t>las</w:t>
      </w:r>
      <w:r w:rsidRPr="00961415">
        <w:rPr>
          <w:rFonts w:ascii="Abadi" w:hAnsi="Abadi"/>
          <w:b w:val="0"/>
          <w:bCs w:val="0"/>
          <w:spacing w:val="-1"/>
          <w:sz w:val="21"/>
          <w:szCs w:val="21"/>
        </w:rPr>
        <w:t xml:space="preserve"> </w:t>
      </w:r>
      <w:r w:rsidRPr="00961415">
        <w:rPr>
          <w:rFonts w:ascii="Abadi" w:hAnsi="Abadi"/>
          <w:b w:val="0"/>
          <w:bCs w:val="0"/>
          <w:sz w:val="21"/>
          <w:szCs w:val="21"/>
        </w:rPr>
        <w:t>mujeres.</w:t>
      </w:r>
    </w:p>
    <w:p w14:paraId="6DA42784" w14:textId="77777777" w:rsidR="00AF040F" w:rsidRPr="00961415" w:rsidRDefault="00AF040F" w:rsidP="00A44DEE">
      <w:pPr>
        <w:pStyle w:val="Textoindependiente"/>
        <w:kinsoku w:val="0"/>
        <w:overflowPunct w:val="0"/>
        <w:spacing w:before="160"/>
        <w:ind w:left="102"/>
        <w:rPr>
          <w:rFonts w:ascii="Abadi" w:hAnsi="Abadi"/>
          <w:b w:val="0"/>
          <w:bCs w:val="0"/>
          <w:sz w:val="21"/>
          <w:szCs w:val="21"/>
        </w:rPr>
      </w:pPr>
      <w:r w:rsidRPr="00961415">
        <w:rPr>
          <w:rFonts w:ascii="Abadi" w:hAnsi="Abadi"/>
          <w:b w:val="0"/>
          <w:bCs w:val="0"/>
          <w:sz w:val="21"/>
          <w:szCs w:val="21"/>
        </w:rPr>
        <w:t>El</w:t>
      </w:r>
      <w:r w:rsidRPr="00961415">
        <w:rPr>
          <w:rFonts w:ascii="Abadi" w:hAnsi="Abadi"/>
          <w:b w:val="0"/>
          <w:bCs w:val="0"/>
          <w:spacing w:val="4"/>
          <w:sz w:val="21"/>
          <w:szCs w:val="21"/>
        </w:rPr>
        <w:t xml:space="preserve"> </w:t>
      </w:r>
      <w:r w:rsidRPr="00961415">
        <w:rPr>
          <w:rFonts w:ascii="Abadi" w:hAnsi="Abadi"/>
          <w:b w:val="0"/>
          <w:bCs w:val="0"/>
          <w:sz w:val="21"/>
          <w:szCs w:val="21"/>
        </w:rPr>
        <w:t>problema</w:t>
      </w:r>
      <w:r w:rsidRPr="00961415">
        <w:rPr>
          <w:rFonts w:ascii="Abadi" w:hAnsi="Abadi"/>
          <w:b w:val="0"/>
          <w:bCs w:val="0"/>
          <w:spacing w:val="7"/>
          <w:sz w:val="21"/>
          <w:szCs w:val="21"/>
        </w:rPr>
        <w:t xml:space="preserve"> </w:t>
      </w:r>
      <w:r w:rsidRPr="00961415">
        <w:rPr>
          <w:rFonts w:ascii="Abadi" w:hAnsi="Abadi"/>
          <w:b w:val="0"/>
          <w:bCs w:val="0"/>
          <w:sz w:val="21"/>
          <w:szCs w:val="21"/>
        </w:rPr>
        <w:t>es</w:t>
      </w:r>
      <w:r w:rsidRPr="00961415">
        <w:rPr>
          <w:rFonts w:ascii="Abadi" w:hAnsi="Abadi"/>
          <w:b w:val="0"/>
          <w:bCs w:val="0"/>
          <w:spacing w:val="6"/>
          <w:sz w:val="21"/>
          <w:szCs w:val="21"/>
        </w:rPr>
        <w:t xml:space="preserve"> </w:t>
      </w:r>
      <w:r w:rsidRPr="00961415">
        <w:rPr>
          <w:rFonts w:ascii="Abadi" w:hAnsi="Abadi"/>
          <w:b w:val="0"/>
          <w:bCs w:val="0"/>
          <w:sz w:val="21"/>
          <w:szCs w:val="21"/>
        </w:rPr>
        <w:t>innegable:</w:t>
      </w:r>
      <w:r w:rsidRPr="00961415">
        <w:rPr>
          <w:rFonts w:ascii="Abadi" w:hAnsi="Abadi"/>
          <w:b w:val="0"/>
          <w:bCs w:val="0"/>
          <w:spacing w:val="5"/>
          <w:sz w:val="21"/>
          <w:szCs w:val="21"/>
        </w:rPr>
        <w:t xml:space="preserve"> </w:t>
      </w:r>
      <w:r w:rsidRPr="00961415">
        <w:rPr>
          <w:rFonts w:ascii="Abadi" w:hAnsi="Abadi"/>
          <w:b w:val="0"/>
          <w:bCs w:val="0"/>
          <w:sz w:val="21"/>
          <w:szCs w:val="21"/>
        </w:rPr>
        <w:t>en</w:t>
      </w:r>
      <w:r w:rsidRPr="00961415">
        <w:rPr>
          <w:rFonts w:ascii="Abadi" w:hAnsi="Abadi"/>
          <w:b w:val="0"/>
          <w:bCs w:val="0"/>
          <w:spacing w:val="5"/>
          <w:sz w:val="21"/>
          <w:szCs w:val="21"/>
        </w:rPr>
        <w:t xml:space="preserve"> </w:t>
      </w:r>
      <w:r w:rsidRPr="00961415">
        <w:rPr>
          <w:rFonts w:ascii="Abadi" w:hAnsi="Abadi"/>
          <w:b w:val="0"/>
          <w:bCs w:val="0"/>
          <w:sz w:val="21"/>
          <w:szCs w:val="21"/>
        </w:rPr>
        <w:t>Guanajuato</w:t>
      </w:r>
      <w:r w:rsidRPr="00961415">
        <w:rPr>
          <w:rFonts w:ascii="Abadi" w:hAnsi="Abadi"/>
          <w:b w:val="0"/>
          <w:bCs w:val="0"/>
          <w:spacing w:val="5"/>
          <w:sz w:val="21"/>
          <w:szCs w:val="21"/>
        </w:rPr>
        <w:t xml:space="preserve"> </w:t>
      </w:r>
      <w:r w:rsidRPr="00961415">
        <w:rPr>
          <w:rFonts w:ascii="Abadi" w:hAnsi="Abadi"/>
          <w:b w:val="0"/>
          <w:bCs w:val="0"/>
          <w:sz w:val="21"/>
          <w:szCs w:val="21"/>
        </w:rPr>
        <w:t>existen</w:t>
      </w:r>
      <w:r w:rsidRPr="00961415">
        <w:rPr>
          <w:rFonts w:ascii="Abadi" w:hAnsi="Abadi"/>
          <w:b w:val="0"/>
          <w:bCs w:val="0"/>
          <w:spacing w:val="4"/>
          <w:sz w:val="21"/>
          <w:szCs w:val="21"/>
        </w:rPr>
        <w:t xml:space="preserve"> </w:t>
      </w:r>
      <w:r w:rsidRPr="00961415">
        <w:rPr>
          <w:rFonts w:ascii="Abadi" w:hAnsi="Abadi"/>
          <w:b w:val="0"/>
          <w:bCs w:val="0"/>
          <w:sz w:val="21"/>
          <w:szCs w:val="21"/>
        </w:rPr>
        <w:t>256</w:t>
      </w:r>
      <w:r w:rsidRPr="00961415">
        <w:rPr>
          <w:rFonts w:ascii="Abadi" w:hAnsi="Abadi"/>
          <w:b w:val="0"/>
          <w:bCs w:val="0"/>
          <w:spacing w:val="5"/>
          <w:sz w:val="21"/>
          <w:szCs w:val="21"/>
        </w:rPr>
        <w:t xml:space="preserve"> </w:t>
      </w:r>
      <w:r w:rsidRPr="00961415">
        <w:rPr>
          <w:rFonts w:ascii="Abadi" w:hAnsi="Abadi"/>
          <w:b w:val="0"/>
          <w:bCs w:val="0"/>
          <w:sz w:val="21"/>
          <w:szCs w:val="21"/>
        </w:rPr>
        <w:t>presuntas</w:t>
      </w:r>
      <w:r w:rsidRPr="00961415">
        <w:rPr>
          <w:rFonts w:ascii="Abadi" w:hAnsi="Abadi"/>
          <w:b w:val="0"/>
          <w:bCs w:val="0"/>
          <w:spacing w:val="6"/>
          <w:sz w:val="21"/>
          <w:szCs w:val="21"/>
        </w:rPr>
        <w:t xml:space="preserve"> </w:t>
      </w:r>
      <w:r w:rsidRPr="00961415">
        <w:rPr>
          <w:rFonts w:ascii="Abadi" w:hAnsi="Abadi"/>
          <w:b w:val="0"/>
          <w:bCs w:val="0"/>
          <w:sz w:val="21"/>
          <w:szCs w:val="21"/>
        </w:rPr>
        <w:t>víctimas</w:t>
      </w:r>
      <w:r w:rsidRPr="00961415">
        <w:rPr>
          <w:rFonts w:ascii="Abadi" w:hAnsi="Abadi"/>
          <w:b w:val="0"/>
          <w:bCs w:val="0"/>
          <w:spacing w:val="6"/>
          <w:sz w:val="21"/>
          <w:szCs w:val="21"/>
        </w:rPr>
        <w:t xml:space="preserve"> </w:t>
      </w:r>
      <w:r w:rsidRPr="00961415">
        <w:rPr>
          <w:rFonts w:ascii="Abadi" w:hAnsi="Abadi"/>
          <w:b w:val="0"/>
          <w:bCs w:val="0"/>
          <w:sz w:val="21"/>
          <w:szCs w:val="21"/>
        </w:rPr>
        <w:t>mujeres</w:t>
      </w:r>
    </w:p>
    <w:p w14:paraId="4D8CF1CE" w14:textId="77777777" w:rsidR="00AF040F" w:rsidRPr="00961415" w:rsidRDefault="00AF040F" w:rsidP="00A44DEE">
      <w:pPr>
        <w:pStyle w:val="Textoindependiente"/>
        <w:kinsoku w:val="0"/>
        <w:overflowPunct w:val="0"/>
        <w:rPr>
          <w:rFonts w:ascii="Abadi" w:hAnsi="Abadi"/>
          <w:b w:val="0"/>
          <w:bCs w:val="0"/>
          <w:sz w:val="21"/>
          <w:szCs w:val="21"/>
        </w:rPr>
      </w:pPr>
      <w:r w:rsidRPr="00961415">
        <w:rPr>
          <w:rFonts w:ascii="Abadi" w:hAnsi="Abadi"/>
          <w:b w:val="0"/>
          <w:bCs w:val="0"/>
          <w:sz w:val="21"/>
          <w:szCs w:val="21"/>
        </w:rPr>
        <w:t>de</w:t>
      </w:r>
      <w:r w:rsidRPr="00961415">
        <w:rPr>
          <w:rFonts w:ascii="Abadi" w:hAnsi="Abadi"/>
          <w:b w:val="0"/>
          <w:bCs w:val="0"/>
          <w:spacing w:val="32"/>
          <w:sz w:val="21"/>
          <w:szCs w:val="21"/>
        </w:rPr>
        <w:t xml:space="preserve"> </w:t>
      </w:r>
      <w:r w:rsidRPr="00961415">
        <w:rPr>
          <w:rFonts w:ascii="Abadi" w:hAnsi="Abadi"/>
          <w:b w:val="0"/>
          <w:bCs w:val="0"/>
          <w:sz w:val="21"/>
          <w:szCs w:val="21"/>
        </w:rPr>
        <w:t>homicidio</w:t>
      </w:r>
      <w:r w:rsidRPr="00961415">
        <w:rPr>
          <w:rFonts w:ascii="Abadi" w:hAnsi="Abadi"/>
          <w:b w:val="0"/>
          <w:bCs w:val="0"/>
          <w:spacing w:val="33"/>
          <w:sz w:val="21"/>
          <w:szCs w:val="21"/>
        </w:rPr>
        <w:t xml:space="preserve"> </w:t>
      </w:r>
      <w:r w:rsidRPr="00961415">
        <w:rPr>
          <w:rFonts w:ascii="Abadi" w:hAnsi="Abadi"/>
          <w:b w:val="0"/>
          <w:bCs w:val="0"/>
          <w:sz w:val="21"/>
          <w:szCs w:val="21"/>
        </w:rPr>
        <w:t>doloso</w:t>
      </w:r>
      <w:r w:rsidRPr="00961415">
        <w:rPr>
          <w:rFonts w:ascii="Abadi" w:hAnsi="Abadi"/>
          <w:b w:val="0"/>
          <w:bCs w:val="0"/>
          <w:spacing w:val="36"/>
          <w:sz w:val="21"/>
          <w:szCs w:val="21"/>
        </w:rPr>
        <w:t xml:space="preserve"> </w:t>
      </w:r>
      <w:r w:rsidRPr="00961415">
        <w:rPr>
          <w:rFonts w:ascii="Abadi" w:hAnsi="Abadi"/>
          <w:b w:val="0"/>
          <w:bCs w:val="0"/>
          <w:sz w:val="21"/>
          <w:szCs w:val="21"/>
        </w:rPr>
        <w:t>y</w:t>
      </w:r>
      <w:r w:rsidRPr="00961415">
        <w:rPr>
          <w:rFonts w:ascii="Abadi" w:hAnsi="Abadi"/>
          <w:b w:val="0"/>
          <w:bCs w:val="0"/>
          <w:spacing w:val="35"/>
          <w:sz w:val="21"/>
          <w:szCs w:val="21"/>
        </w:rPr>
        <w:t xml:space="preserve"> </w:t>
      </w:r>
      <w:r w:rsidRPr="00961415">
        <w:rPr>
          <w:rFonts w:ascii="Abadi" w:hAnsi="Abadi"/>
          <w:b w:val="0"/>
          <w:bCs w:val="0"/>
          <w:sz w:val="21"/>
          <w:szCs w:val="21"/>
        </w:rPr>
        <w:t>14</w:t>
      </w:r>
      <w:r w:rsidRPr="00961415">
        <w:rPr>
          <w:rFonts w:ascii="Abadi" w:hAnsi="Abadi"/>
          <w:b w:val="0"/>
          <w:bCs w:val="0"/>
          <w:spacing w:val="34"/>
          <w:sz w:val="21"/>
          <w:szCs w:val="21"/>
        </w:rPr>
        <w:t xml:space="preserve"> </w:t>
      </w:r>
      <w:r w:rsidRPr="00961415">
        <w:rPr>
          <w:rFonts w:ascii="Abadi" w:hAnsi="Abadi"/>
          <w:b w:val="0"/>
          <w:bCs w:val="0"/>
          <w:sz w:val="21"/>
          <w:szCs w:val="21"/>
        </w:rPr>
        <w:t>feminicidios</w:t>
      </w:r>
      <w:r w:rsidRPr="00961415">
        <w:rPr>
          <w:rFonts w:ascii="Abadi" w:hAnsi="Abadi"/>
          <w:b w:val="0"/>
          <w:bCs w:val="0"/>
          <w:spacing w:val="36"/>
          <w:sz w:val="21"/>
          <w:szCs w:val="21"/>
        </w:rPr>
        <w:t xml:space="preserve"> </w:t>
      </w:r>
      <w:r w:rsidRPr="00961415">
        <w:rPr>
          <w:rFonts w:ascii="Abadi" w:hAnsi="Abadi"/>
          <w:b w:val="0"/>
          <w:bCs w:val="0"/>
          <w:sz w:val="21"/>
          <w:szCs w:val="21"/>
        </w:rPr>
        <w:t>entre</w:t>
      </w:r>
      <w:r w:rsidRPr="00961415">
        <w:rPr>
          <w:rFonts w:ascii="Abadi" w:hAnsi="Abadi"/>
          <w:b w:val="0"/>
          <w:bCs w:val="0"/>
          <w:spacing w:val="33"/>
          <w:sz w:val="21"/>
          <w:szCs w:val="21"/>
        </w:rPr>
        <w:t xml:space="preserve"> </w:t>
      </w:r>
      <w:r w:rsidRPr="00961415">
        <w:rPr>
          <w:rFonts w:ascii="Abadi" w:hAnsi="Abadi"/>
          <w:b w:val="0"/>
          <w:bCs w:val="0"/>
          <w:sz w:val="21"/>
          <w:szCs w:val="21"/>
        </w:rPr>
        <w:t>enero</w:t>
      </w:r>
      <w:r w:rsidRPr="00961415">
        <w:rPr>
          <w:rFonts w:ascii="Abadi" w:hAnsi="Abadi"/>
          <w:b w:val="0"/>
          <w:bCs w:val="0"/>
          <w:spacing w:val="33"/>
          <w:sz w:val="21"/>
          <w:szCs w:val="21"/>
        </w:rPr>
        <w:t xml:space="preserve"> </w:t>
      </w:r>
      <w:r w:rsidRPr="00961415">
        <w:rPr>
          <w:rFonts w:ascii="Abadi" w:hAnsi="Abadi"/>
          <w:b w:val="0"/>
          <w:bCs w:val="0"/>
          <w:sz w:val="21"/>
          <w:szCs w:val="21"/>
        </w:rPr>
        <w:t>y</w:t>
      </w:r>
      <w:r w:rsidRPr="00961415">
        <w:rPr>
          <w:rFonts w:ascii="Abadi" w:hAnsi="Abadi"/>
          <w:b w:val="0"/>
          <w:bCs w:val="0"/>
          <w:spacing w:val="32"/>
          <w:sz w:val="21"/>
          <w:szCs w:val="21"/>
        </w:rPr>
        <w:t xml:space="preserve"> </w:t>
      </w:r>
      <w:r w:rsidRPr="00961415">
        <w:rPr>
          <w:rFonts w:ascii="Abadi" w:hAnsi="Abadi"/>
          <w:b w:val="0"/>
          <w:bCs w:val="0"/>
          <w:sz w:val="21"/>
          <w:szCs w:val="21"/>
        </w:rPr>
        <w:t>agosto</w:t>
      </w:r>
      <w:r w:rsidRPr="00961415">
        <w:rPr>
          <w:rFonts w:ascii="Abadi" w:hAnsi="Abadi"/>
          <w:b w:val="0"/>
          <w:bCs w:val="0"/>
          <w:spacing w:val="32"/>
          <w:sz w:val="21"/>
          <w:szCs w:val="21"/>
        </w:rPr>
        <w:t xml:space="preserve"> </w:t>
      </w:r>
      <w:r w:rsidRPr="00961415">
        <w:rPr>
          <w:rFonts w:ascii="Abadi" w:hAnsi="Abadi"/>
          <w:b w:val="0"/>
          <w:bCs w:val="0"/>
          <w:sz w:val="21"/>
          <w:szCs w:val="21"/>
        </w:rPr>
        <w:t>de</w:t>
      </w:r>
      <w:r w:rsidRPr="00961415">
        <w:rPr>
          <w:rFonts w:ascii="Abadi" w:hAnsi="Abadi"/>
          <w:b w:val="0"/>
          <w:bCs w:val="0"/>
          <w:spacing w:val="33"/>
          <w:sz w:val="21"/>
          <w:szCs w:val="21"/>
        </w:rPr>
        <w:t xml:space="preserve"> </w:t>
      </w:r>
      <w:r w:rsidRPr="00961415">
        <w:rPr>
          <w:rFonts w:ascii="Abadi" w:hAnsi="Abadi"/>
          <w:b w:val="0"/>
          <w:bCs w:val="0"/>
          <w:sz w:val="21"/>
          <w:szCs w:val="21"/>
        </w:rPr>
        <w:t>2022.</w:t>
      </w:r>
      <w:r w:rsidRPr="00961415">
        <w:rPr>
          <w:rFonts w:ascii="Abadi" w:hAnsi="Abadi"/>
          <w:b w:val="0"/>
          <w:bCs w:val="0"/>
          <w:spacing w:val="36"/>
          <w:sz w:val="21"/>
          <w:szCs w:val="21"/>
        </w:rPr>
        <w:t xml:space="preserve"> </w:t>
      </w:r>
      <w:r w:rsidRPr="00961415">
        <w:rPr>
          <w:rFonts w:ascii="Abadi" w:hAnsi="Abadi"/>
          <w:b w:val="0"/>
          <w:bCs w:val="0"/>
          <w:sz w:val="21"/>
          <w:szCs w:val="21"/>
        </w:rPr>
        <w:t>Además,</w:t>
      </w:r>
    </w:p>
    <w:p w14:paraId="3325599B" w14:textId="77777777" w:rsidR="00AF040F" w:rsidRPr="00961415" w:rsidRDefault="00AF040F" w:rsidP="00A44DEE">
      <w:pPr>
        <w:pStyle w:val="Textoindependiente"/>
        <w:kinsoku w:val="0"/>
        <w:overflowPunct w:val="0"/>
        <w:rPr>
          <w:rFonts w:ascii="Abadi" w:hAnsi="Abadi"/>
          <w:b w:val="0"/>
          <w:bCs w:val="0"/>
          <w:sz w:val="21"/>
          <w:szCs w:val="21"/>
        </w:rPr>
      </w:pPr>
      <w:r w:rsidRPr="00961415">
        <w:rPr>
          <w:rFonts w:ascii="Abadi" w:hAnsi="Abadi"/>
          <w:b w:val="0"/>
          <w:bCs w:val="0"/>
          <w:sz w:val="21"/>
          <w:szCs w:val="21"/>
        </w:rPr>
        <w:t>nuestra entidad</w:t>
      </w:r>
      <w:r w:rsidRPr="00961415">
        <w:rPr>
          <w:rFonts w:ascii="Abadi" w:hAnsi="Abadi"/>
          <w:b w:val="0"/>
          <w:bCs w:val="0"/>
          <w:spacing w:val="1"/>
          <w:sz w:val="21"/>
          <w:szCs w:val="21"/>
        </w:rPr>
        <w:t xml:space="preserve"> </w:t>
      </w:r>
      <w:r w:rsidRPr="00961415">
        <w:rPr>
          <w:rFonts w:ascii="Abadi" w:hAnsi="Abadi"/>
          <w:b w:val="0"/>
          <w:bCs w:val="0"/>
          <w:sz w:val="21"/>
          <w:szCs w:val="21"/>
        </w:rPr>
        <w:t>federativa</w:t>
      </w:r>
      <w:r w:rsidRPr="00961415">
        <w:rPr>
          <w:rFonts w:ascii="Abadi" w:hAnsi="Abadi"/>
          <w:b w:val="0"/>
          <w:bCs w:val="0"/>
          <w:spacing w:val="-1"/>
          <w:sz w:val="21"/>
          <w:szCs w:val="21"/>
        </w:rPr>
        <w:t xml:space="preserve"> </w:t>
      </w:r>
      <w:r w:rsidRPr="00961415">
        <w:rPr>
          <w:rFonts w:ascii="Abadi" w:hAnsi="Abadi"/>
          <w:b w:val="0"/>
          <w:bCs w:val="0"/>
          <w:sz w:val="21"/>
          <w:szCs w:val="21"/>
        </w:rPr>
        <w:t>ocupó</w:t>
      </w:r>
      <w:r w:rsidRPr="00961415">
        <w:rPr>
          <w:rFonts w:ascii="Abadi" w:hAnsi="Abadi"/>
          <w:b w:val="0"/>
          <w:bCs w:val="0"/>
          <w:spacing w:val="-1"/>
          <w:sz w:val="21"/>
          <w:szCs w:val="21"/>
        </w:rPr>
        <w:t xml:space="preserve"> </w:t>
      </w:r>
      <w:r w:rsidRPr="00961415">
        <w:rPr>
          <w:rFonts w:ascii="Abadi" w:hAnsi="Abadi"/>
          <w:b w:val="0"/>
          <w:bCs w:val="0"/>
          <w:sz w:val="21"/>
          <w:szCs w:val="21"/>
        </w:rPr>
        <w:t>el</w:t>
      </w:r>
      <w:r w:rsidRPr="00961415">
        <w:rPr>
          <w:rFonts w:ascii="Abadi" w:hAnsi="Abadi"/>
          <w:b w:val="0"/>
          <w:bCs w:val="0"/>
          <w:spacing w:val="1"/>
          <w:sz w:val="21"/>
          <w:szCs w:val="21"/>
        </w:rPr>
        <w:t xml:space="preserve"> </w:t>
      </w:r>
      <w:r w:rsidRPr="00961415">
        <w:rPr>
          <w:rFonts w:ascii="Abadi" w:hAnsi="Abadi"/>
          <w:b w:val="0"/>
          <w:bCs w:val="0"/>
          <w:sz w:val="21"/>
          <w:szCs w:val="21"/>
        </w:rPr>
        <w:t>segundo</w:t>
      </w:r>
      <w:r w:rsidRPr="00961415">
        <w:rPr>
          <w:rFonts w:ascii="Abadi" w:hAnsi="Abadi"/>
          <w:b w:val="0"/>
          <w:bCs w:val="0"/>
          <w:spacing w:val="-1"/>
          <w:sz w:val="21"/>
          <w:szCs w:val="21"/>
        </w:rPr>
        <w:t xml:space="preserve"> </w:t>
      </w:r>
      <w:r w:rsidRPr="00961415">
        <w:rPr>
          <w:rFonts w:ascii="Abadi" w:hAnsi="Abadi"/>
          <w:b w:val="0"/>
          <w:bCs w:val="0"/>
          <w:sz w:val="21"/>
          <w:szCs w:val="21"/>
        </w:rPr>
        <w:t>lugar</w:t>
      </w:r>
      <w:r w:rsidRPr="00961415">
        <w:rPr>
          <w:rFonts w:ascii="Abadi" w:hAnsi="Abadi"/>
          <w:b w:val="0"/>
          <w:bCs w:val="0"/>
          <w:spacing w:val="-1"/>
          <w:sz w:val="21"/>
          <w:szCs w:val="21"/>
        </w:rPr>
        <w:t xml:space="preserve"> </w:t>
      </w:r>
      <w:r w:rsidRPr="00961415">
        <w:rPr>
          <w:rFonts w:ascii="Abadi" w:hAnsi="Abadi"/>
          <w:b w:val="0"/>
          <w:bCs w:val="0"/>
          <w:sz w:val="21"/>
          <w:szCs w:val="21"/>
        </w:rPr>
        <w:t>de</w:t>
      </w:r>
      <w:r w:rsidRPr="00961415">
        <w:rPr>
          <w:rFonts w:ascii="Abadi" w:hAnsi="Abadi"/>
          <w:b w:val="0"/>
          <w:bCs w:val="0"/>
          <w:spacing w:val="-1"/>
          <w:sz w:val="21"/>
          <w:szCs w:val="21"/>
        </w:rPr>
        <w:t xml:space="preserve"> </w:t>
      </w:r>
      <w:r w:rsidRPr="00961415">
        <w:rPr>
          <w:rFonts w:ascii="Abadi" w:hAnsi="Abadi"/>
          <w:b w:val="0"/>
          <w:bCs w:val="0"/>
          <w:sz w:val="21"/>
          <w:szCs w:val="21"/>
        </w:rPr>
        <w:t>presuntas</w:t>
      </w:r>
      <w:r w:rsidRPr="00961415">
        <w:rPr>
          <w:rFonts w:ascii="Abadi" w:hAnsi="Abadi"/>
          <w:b w:val="0"/>
          <w:bCs w:val="0"/>
          <w:spacing w:val="1"/>
          <w:sz w:val="21"/>
          <w:szCs w:val="21"/>
        </w:rPr>
        <w:t xml:space="preserve"> </w:t>
      </w:r>
      <w:r w:rsidRPr="00961415">
        <w:rPr>
          <w:rFonts w:ascii="Abadi" w:hAnsi="Abadi"/>
          <w:b w:val="0"/>
          <w:bCs w:val="0"/>
          <w:sz w:val="21"/>
          <w:szCs w:val="21"/>
        </w:rPr>
        <w:t>víctimas</w:t>
      </w:r>
      <w:r w:rsidRPr="00961415">
        <w:rPr>
          <w:rFonts w:ascii="Abadi" w:hAnsi="Abadi"/>
          <w:b w:val="0"/>
          <w:bCs w:val="0"/>
          <w:spacing w:val="1"/>
          <w:sz w:val="21"/>
          <w:szCs w:val="21"/>
        </w:rPr>
        <w:t xml:space="preserve"> </w:t>
      </w:r>
      <w:r w:rsidRPr="00961415">
        <w:rPr>
          <w:rFonts w:ascii="Abadi" w:hAnsi="Abadi"/>
          <w:b w:val="0"/>
          <w:bCs w:val="0"/>
          <w:sz w:val="21"/>
          <w:szCs w:val="21"/>
        </w:rPr>
        <w:t>mujeres de</w:t>
      </w:r>
      <w:r w:rsidRPr="00961415">
        <w:rPr>
          <w:rFonts w:ascii="Abadi" w:hAnsi="Abadi"/>
          <w:b w:val="0"/>
          <w:bCs w:val="0"/>
          <w:spacing w:val="16"/>
          <w:sz w:val="21"/>
          <w:szCs w:val="21"/>
        </w:rPr>
        <w:t xml:space="preserve"> </w:t>
      </w:r>
      <w:r w:rsidRPr="00961415">
        <w:rPr>
          <w:rFonts w:ascii="Abadi" w:hAnsi="Abadi"/>
          <w:b w:val="0"/>
          <w:bCs w:val="0"/>
          <w:sz w:val="21"/>
          <w:szCs w:val="21"/>
        </w:rPr>
        <w:t>lesiones</w:t>
      </w:r>
      <w:r w:rsidRPr="00961415">
        <w:rPr>
          <w:rFonts w:ascii="Abadi" w:hAnsi="Abadi"/>
          <w:b w:val="0"/>
          <w:bCs w:val="0"/>
          <w:spacing w:val="18"/>
          <w:sz w:val="21"/>
          <w:szCs w:val="21"/>
        </w:rPr>
        <w:t xml:space="preserve"> </w:t>
      </w:r>
      <w:r w:rsidRPr="00961415">
        <w:rPr>
          <w:rFonts w:ascii="Abadi" w:hAnsi="Abadi"/>
          <w:b w:val="0"/>
          <w:bCs w:val="0"/>
          <w:sz w:val="21"/>
          <w:szCs w:val="21"/>
        </w:rPr>
        <w:t>dolosas,</w:t>
      </w:r>
      <w:r w:rsidRPr="00961415">
        <w:rPr>
          <w:rFonts w:ascii="Abadi" w:hAnsi="Abadi"/>
          <w:b w:val="0"/>
          <w:bCs w:val="0"/>
          <w:spacing w:val="19"/>
          <w:sz w:val="21"/>
          <w:szCs w:val="21"/>
        </w:rPr>
        <w:t xml:space="preserve"> </w:t>
      </w:r>
      <w:r w:rsidRPr="00961415">
        <w:rPr>
          <w:rFonts w:ascii="Abadi" w:hAnsi="Abadi"/>
          <w:b w:val="0"/>
          <w:bCs w:val="0"/>
          <w:sz w:val="21"/>
          <w:szCs w:val="21"/>
        </w:rPr>
        <w:t>con</w:t>
      </w:r>
      <w:r w:rsidRPr="00961415">
        <w:rPr>
          <w:rFonts w:ascii="Abadi" w:hAnsi="Abadi"/>
          <w:b w:val="0"/>
          <w:bCs w:val="0"/>
          <w:spacing w:val="16"/>
          <w:sz w:val="21"/>
          <w:szCs w:val="21"/>
        </w:rPr>
        <w:t xml:space="preserve"> </w:t>
      </w:r>
      <w:r w:rsidRPr="00961415">
        <w:rPr>
          <w:rFonts w:ascii="Abadi" w:hAnsi="Abadi"/>
          <w:b w:val="0"/>
          <w:bCs w:val="0"/>
          <w:sz w:val="21"/>
          <w:szCs w:val="21"/>
        </w:rPr>
        <w:t>4,496,</w:t>
      </w:r>
      <w:r w:rsidRPr="00961415">
        <w:rPr>
          <w:rFonts w:ascii="Abadi" w:hAnsi="Abadi"/>
          <w:b w:val="0"/>
          <w:bCs w:val="0"/>
          <w:spacing w:val="16"/>
          <w:sz w:val="21"/>
          <w:szCs w:val="21"/>
        </w:rPr>
        <w:t xml:space="preserve"> </w:t>
      </w:r>
      <w:r w:rsidRPr="00961415">
        <w:rPr>
          <w:rFonts w:ascii="Abadi" w:hAnsi="Abadi"/>
          <w:b w:val="0"/>
          <w:bCs w:val="0"/>
          <w:sz w:val="21"/>
          <w:szCs w:val="21"/>
        </w:rPr>
        <w:t>lo</w:t>
      </w:r>
      <w:r w:rsidRPr="00961415">
        <w:rPr>
          <w:rFonts w:ascii="Abadi" w:hAnsi="Abadi"/>
          <w:b w:val="0"/>
          <w:bCs w:val="0"/>
          <w:spacing w:val="19"/>
          <w:sz w:val="21"/>
          <w:szCs w:val="21"/>
        </w:rPr>
        <w:t xml:space="preserve"> </w:t>
      </w:r>
      <w:r w:rsidRPr="00961415">
        <w:rPr>
          <w:rFonts w:ascii="Abadi" w:hAnsi="Abadi"/>
          <w:b w:val="0"/>
          <w:bCs w:val="0"/>
          <w:sz w:val="21"/>
          <w:szCs w:val="21"/>
        </w:rPr>
        <w:t>que</w:t>
      </w:r>
      <w:r w:rsidRPr="00961415">
        <w:rPr>
          <w:rFonts w:ascii="Abadi" w:hAnsi="Abadi"/>
          <w:b w:val="0"/>
          <w:bCs w:val="0"/>
          <w:spacing w:val="20"/>
          <w:sz w:val="21"/>
          <w:szCs w:val="21"/>
        </w:rPr>
        <w:t xml:space="preserve"> </w:t>
      </w:r>
      <w:r w:rsidRPr="00961415">
        <w:rPr>
          <w:rFonts w:ascii="Abadi" w:hAnsi="Abadi"/>
          <w:b w:val="0"/>
          <w:bCs w:val="0"/>
          <w:sz w:val="21"/>
          <w:szCs w:val="21"/>
        </w:rPr>
        <w:t>representa</w:t>
      </w:r>
      <w:r w:rsidRPr="00961415">
        <w:rPr>
          <w:rFonts w:ascii="Abadi" w:hAnsi="Abadi"/>
          <w:b w:val="0"/>
          <w:bCs w:val="0"/>
          <w:spacing w:val="21"/>
          <w:sz w:val="21"/>
          <w:szCs w:val="21"/>
        </w:rPr>
        <w:t xml:space="preserve"> </w:t>
      </w:r>
      <w:r w:rsidRPr="00961415">
        <w:rPr>
          <w:rFonts w:ascii="Abadi" w:hAnsi="Abadi"/>
          <w:b w:val="0"/>
          <w:bCs w:val="0"/>
          <w:sz w:val="21"/>
          <w:szCs w:val="21"/>
        </w:rPr>
        <w:t>138.6</w:t>
      </w:r>
      <w:r w:rsidRPr="00961415">
        <w:rPr>
          <w:rFonts w:ascii="Abadi" w:hAnsi="Abadi"/>
          <w:b w:val="0"/>
          <w:bCs w:val="0"/>
          <w:spacing w:val="17"/>
          <w:sz w:val="21"/>
          <w:szCs w:val="21"/>
        </w:rPr>
        <w:t xml:space="preserve"> </w:t>
      </w:r>
      <w:r w:rsidRPr="00961415">
        <w:rPr>
          <w:rFonts w:ascii="Abadi" w:hAnsi="Abadi"/>
          <w:b w:val="0"/>
          <w:bCs w:val="0"/>
          <w:sz w:val="21"/>
          <w:szCs w:val="21"/>
        </w:rPr>
        <w:t>por</w:t>
      </w:r>
      <w:r w:rsidRPr="00961415">
        <w:rPr>
          <w:rFonts w:ascii="Abadi" w:hAnsi="Abadi"/>
          <w:b w:val="0"/>
          <w:bCs w:val="0"/>
          <w:spacing w:val="16"/>
          <w:sz w:val="21"/>
          <w:szCs w:val="21"/>
        </w:rPr>
        <w:t xml:space="preserve"> </w:t>
      </w:r>
      <w:r w:rsidRPr="00961415">
        <w:rPr>
          <w:rFonts w:ascii="Abadi" w:hAnsi="Abadi"/>
          <w:b w:val="0"/>
          <w:bCs w:val="0"/>
          <w:sz w:val="21"/>
          <w:szCs w:val="21"/>
        </w:rPr>
        <w:t>cada</w:t>
      </w:r>
      <w:r w:rsidRPr="00961415">
        <w:rPr>
          <w:rFonts w:ascii="Abadi" w:hAnsi="Abadi"/>
          <w:b w:val="0"/>
          <w:bCs w:val="0"/>
          <w:spacing w:val="17"/>
          <w:sz w:val="21"/>
          <w:szCs w:val="21"/>
        </w:rPr>
        <w:t xml:space="preserve"> </w:t>
      </w:r>
      <w:r w:rsidRPr="00961415">
        <w:rPr>
          <w:rFonts w:ascii="Abadi" w:hAnsi="Abadi"/>
          <w:b w:val="0"/>
          <w:bCs w:val="0"/>
          <w:sz w:val="21"/>
          <w:szCs w:val="21"/>
        </w:rPr>
        <w:t>100</w:t>
      </w:r>
      <w:r w:rsidRPr="00961415">
        <w:rPr>
          <w:rFonts w:ascii="Abadi" w:hAnsi="Abadi"/>
          <w:b w:val="0"/>
          <w:bCs w:val="0"/>
          <w:spacing w:val="20"/>
          <w:sz w:val="21"/>
          <w:szCs w:val="21"/>
        </w:rPr>
        <w:t xml:space="preserve"> </w:t>
      </w:r>
      <w:r w:rsidRPr="00961415">
        <w:rPr>
          <w:rFonts w:ascii="Abadi" w:hAnsi="Abadi"/>
          <w:b w:val="0"/>
          <w:bCs w:val="0"/>
          <w:sz w:val="21"/>
          <w:szCs w:val="21"/>
        </w:rPr>
        <w:t>mil</w:t>
      </w:r>
    </w:p>
    <w:p w14:paraId="3AEB6D1F" w14:textId="77777777" w:rsidR="00AF040F" w:rsidRPr="00961415" w:rsidRDefault="00AF040F" w:rsidP="00A44DEE">
      <w:pPr>
        <w:pStyle w:val="Textoindependiente"/>
        <w:kinsoku w:val="0"/>
        <w:overflowPunct w:val="0"/>
        <w:spacing w:before="11"/>
        <w:rPr>
          <w:rFonts w:ascii="Abadi" w:hAnsi="Abadi"/>
          <w:b w:val="0"/>
          <w:bCs w:val="0"/>
          <w:sz w:val="21"/>
          <w:szCs w:val="21"/>
        </w:rPr>
      </w:pPr>
      <w:r w:rsidRPr="00961415">
        <w:rPr>
          <w:rFonts w:ascii="Abadi" w:hAnsi="Abadi"/>
          <w:b w:val="0"/>
          <w:bCs w:val="0"/>
          <w:sz w:val="21"/>
          <w:szCs w:val="21"/>
        </w:rPr>
        <w:t>habitantes</w:t>
      </w:r>
      <w:r w:rsidRPr="00961415">
        <w:rPr>
          <w:rStyle w:val="Refdenotaalpie"/>
          <w:rFonts w:ascii="Abadi" w:hAnsi="Abadi"/>
          <w:b w:val="0"/>
          <w:bCs w:val="0"/>
          <w:sz w:val="21"/>
          <w:szCs w:val="21"/>
        </w:rPr>
        <w:footnoteReference w:id="71"/>
      </w:r>
      <w:r w:rsidRPr="00961415">
        <w:rPr>
          <w:rFonts w:ascii="Abadi" w:hAnsi="Abadi"/>
          <w:b w:val="0"/>
          <w:bCs w:val="0"/>
          <w:sz w:val="21"/>
          <w:szCs w:val="21"/>
        </w:rPr>
        <w:t>.</w:t>
      </w:r>
    </w:p>
    <w:p w14:paraId="74C6019F" w14:textId="77777777" w:rsidR="00AF040F" w:rsidRPr="00961415" w:rsidRDefault="00AF040F" w:rsidP="00A44DEE">
      <w:pPr>
        <w:pStyle w:val="Textoindependiente"/>
        <w:kinsoku w:val="0"/>
        <w:overflowPunct w:val="0"/>
        <w:spacing w:before="11"/>
        <w:rPr>
          <w:rFonts w:ascii="Abadi" w:hAnsi="Abadi"/>
          <w:b w:val="0"/>
          <w:bCs w:val="0"/>
          <w:sz w:val="21"/>
          <w:szCs w:val="21"/>
        </w:rPr>
      </w:pPr>
    </w:p>
    <w:p w14:paraId="6B3915EA" w14:textId="77777777" w:rsidR="00AF040F" w:rsidRPr="00961415" w:rsidRDefault="00AF040F" w:rsidP="00A44DEE">
      <w:pPr>
        <w:pStyle w:val="Textoindependiente"/>
        <w:kinsoku w:val="0"/>
        <w:overflowPunct w:val="0"/>
        <w:ind w:right="119"/>
        <w:rPr>
          <w:rFonts w:ascii="Abadi" w:hAnsi="Abadi"/>
          <w:b w:val="0"/>
          <w:bCs w:val="0"/>
          <w:sz w:val="21"/>
          <w:szCs w:val="21"/>
        </w:rPr>
      </w:pPr>
      <w:r w:rsidRPr="00961415">
        <w:rPr>
          <w:rFonts w:ascii="Abadi" w:hAnsi="Abadi"/>
          <w:b w:val="0"/>
          <w:bCs w:val="0"/>
          <w:sz w:val="21"/>
          <w:szCs w:val="21"/>
        </w:rPr>
        <w:t>Ante</w:t>
      </w:r>
      <w:r w:rsidRPr="00961415">
        <w:rPr>
          <w:rFonts w:ascii="Abadi" w:hAnsi="Abadi"/>
          <w:b w:val="0"/>
          <w:bCs w:val="0"/>
          <w:spacing w:val="-12"/>
          <w:sz w:val="21"/>
          <w:szCs w:val="21"/>
        </w:rPr>
        <w:t xml:space="preserve"> </w:t>
      </w:r>
      <w:r w:rsidRPr="00961415">
        <w:rPr>
          <w:rFonts w:ascii="Abadi" w:hAnsi="Abadi"/>
          <w:b w:val="0"/>
          <w:bCs w:val="0"/>
          <w:sz w:val="21"/>
          <w:szCs w:val="21"/>
        </w:rPr>
        <w:t>este</w:t>
      </w:r>
      <w:r w:rsidRPr="00961415">
        <w:rPr>
          <w:rFonts w:ascii="Abadi" w:hAnsi="Abadi"/>
          <w:b w:val="0"/>
          <w:bCs w:val="0"/>
          <w:spacing w:val="-13"/>
          <w:sz w:val="21"/>
          <w:szCs w:val="21"/>
        </w:rPr>
        <w:t xml:space="preserve"> </w:t>
      </w:r>
      <w:r w:rsidRPr="00961415">
        <w:rPr>
          <w:rFonts w:ascii="Abadi" w:hAnsi="Abadi"/>
          <w:b w:val="0"/>
          <w:bCs w:val="0"/>
          <w:sz w:val="21"/>
          <w:szCs w:val="21"/>
        </w:rPr>
        <w:t>panorama,</w:t>
      </w:r>
      <w:r w:rsidRPr="00961415">
        <w:rPr>
          <w:rFonts w:ascii="Abadi" w:hAnsi="Abadi"/>
          <w:b w:val="0"/>
          <w:bCs w:val="0"/>
          <w:spacing w:val="-12"/>
          <w:sz w:val="21"/>
          <w:szCs w:val="21"/>
        </w:rPr>
        <w:t xml:space="preserve"> </w:t>
      </w:r>
      <w:r w:rsidRPr="00961415">
        <w:rPr>
          <w:rFonts w:ascii="Abadi" w:hAnsi="Abadi"/>
          <w:b w:val="0"/>
          <w:bCs w:val="0"/>
          <w:sz w:val="21"/>
          <w:szCs w:val="21"/>
        </w:rPr>
        <w:t>las</w:t>
      </w:r>
      <w:r w:rsidRPr="00961415">
        <w:rPr>
          <w:rFonts w:ascii="Abadi" w:hAnsi="Abadi"/>
          <w:b w:val="0"/>
          <w:bCs w:val="0"/>
          <w:spacing w:val="-13"/>
          <w:sz w:val="21"/>
          <w:szCs w:val="21"/>
        </w:rPr>
        <w:t xml:space="preserve"> </w:t>
      </w:r>
      <w:r w:rsidRPr="00961415">
        <w:rPr>
          <w:rFonts w:ascii="Abadi" w:hAnsi="Abadi"/>
          <w:b w:val="0"/>
          <w:bCs w:val="0"/>
          <w:sz w:val="21"/>
          <w:szCs w:val="21"/>
        </w:rPr>
        <w:t>instituciones</w:t>
      </w:r>
      <w:r w:rsidRPr="00961415">
        <w:rPr>
          <w:rFonts w:ascii="Abadi" w:hAnsi="Abadi"/>
          <w:b w:val="0"/>
          <w:bCs w:val="0"/>
          <w:spacing w:val="-11"/>
          <w:sz w:val="21"/>
          <w:szCs w:val="21"/>
        </w:rPr>
        <w:t xml:space="preserve"> </w:t>
      </w:r>
      <w:r w:rsidRPr="00961415">
        <w:rPr>
          <w:rFonts w:ascii="Abadi" w:hAnsi="Abadi"/>
          <w:b w:val="0"/>
          <w:bCs w:val="0"/>
          <w:sz w:val="21"/>
          <w:szCs w:val="21"/>
        </w:rPr>
        <w:t>estatales</w:t>
      </w:r>
      <w:r w:rsidRPr="00961415">
        <w:rPr>
          <w:rFonts w:ascii="Abadi" w:hAnsi="Abadi"/>
          <w:b w:val="0"/>
          <w:bCs w:val="0"/>
          <w:spacing w:val="-13"/>
          <w:sz w:val="21"/>
          <w:szCs w:val="21"/>
        </w:rPr>
        <w:t xml:space="preserve"> </w:t>
      </w:r>
      <w:r w:rsidRPr="00961415">
        <w:rPr>
          <w:rFonts w:ascii="Abadi" w:hAnsi="Abadi"/>
          <w:b w:val="0"/>
          <w:bCs w:val="0"/>
          <w:sz w:val="21"/>
          <w:szCs w:val="21"/>
        </w:rPr>
        <w:t>deben</w:t>
      </w:r>
      <w:r w:rsidRPr="00961415">
        <w:rPr>
          <w:rFonts w:ascii="Abadi" w:hAnsi="Abadi"/>
          <w:b w:val="0"/>
          <w:bCs w:val="0"/>
          <w:spacing w:val="-12"/>
          <w:sz w:val="21"/>
          <w:szCs w:val="21"/>
        </w:rPr>
        <w:t xml:space="preserve"> </w:t>
      </w:r>
      <w:r w:rsidRPr="00961415">
        <w:rPr>
          <w:rFonts w:ascii="Abadi" w:hAnsi="Abadi"/>
          <w:b w:val="0"/>
          <w:bCs w:val="0"/>
          <w:sz w:val="21"/>
          <w:szCs w:val="21"/>
        </w:rPr>
        <w:t>orientar</w:t>
      </w:r>
      <w:r w:rsidRPr="00961415">
        <w:rPr>
          <w:rFonts w:ascii="Abadi" w:hAnsi="Abadi"/>
          <w:b w:val="0"/>
          <w:bCs w:val="0"/>
          <w:spacing w:val="-12"/>
          <w:sz w:val="21"/>
          <w:szCs w:val="21"/>
        </w:rPr>
        <w:t xml:space="preserve"> </w:t>
      </w:r>
      <w:r w:rsidRPr="00961415">
        <w:rPr>
          <w:rFonts w:ascii="Abadi" w:hAnsi="Abadi"/>
          <w:b w:val="0"/>
          <w:bCs w:val="0"/>
          <w:sz w:val="21"/>
          <w:szCs w:val="21"/>
        </w:rPr>
        <w:t>todos</w:t>
      </w:r>
      <w:r w:rsidRPr="00961415">
        <w:rPr>
          <w:rFonts w:ascii="Abadi" w:hAnsi="Abadi"/>
          <w:b w:val="0"/>
          <w:bCs w:val="0"/>
          <w:spacing w:val="-14"/>
          <w:sz w:val="21"/>
          <w:szCs w:val="21"/>
        </w:rPr>
        <w:t xml:space="preserve"> </w:t>
      </w:r>
      <w:r w:rsidRPr="00961415">
        <w:rPr>
          <w:rFonts w:ascii="Abadi" w:hAnsi="Abadi"/>
          <w:b w:val="0"/>
          <w:bCs w:val="0"/>
          <w:sz w:val="21"/>
          <w:szCs w:val="21"/>
        </w:rPr>
        <w:t>sus</w:t>
      </w:r>
      <w:r w:rsidRPr="00961415">
        <w:rPr>
          <w:rFonts w:ascii="Abadi" w:hAnsi="Abadi"/>
          <w:b w:val="0"/>
          <w:bCs w:val="0"/>
          <w:spacing w:val="-13"/>
          <w:sz w:val="21"/>
          <w:szCs w:val="21"/>
        </w:rPr>
        <w:t xml:space="preserve"> </w:t>
      </w:r>
      <w:r w:rsidRPr="00961415">
        <w:rPr>
          <w:rFonts w:ascii="Abadi" w:hAnsi="Abadi"/>
          <w:b w:val="0"/>
          <w:bCs w:val="0"/>
          <w:sz w:val="21"/>
          <w:szCs w:val="21"/>
        </w:rPr>
        <w:t>esfuerzos de</w:t>
      </w:r>
      <w:r w:rsidRPr="00961415">
        <w:rPr>
          <w:rFonts w:ascii="Abadi" w:hAnsi="Abadi"/>
          <w:b w:val="0"/>
          <w:bCs w:val="0"/>
          <w:spacing w:val="33"/>
          <w:sz w:val="21"/>
          <w:szCs w:val="21"/>
        </w:rPr>
        <w:t xml:space="preserve"> </w:t>
      </w:r>
      <w:r w:rsidRPr="00961415">
        <w:rPr>
          <w:rFonts w:ascii="Abadi" w:hAnsi="Abadi"/>
          <w:b w:val="0"/>
          <w:bCs w:val="0"/>
          <w:sz w:val="21"/>
          <w:szCs w:val="21"/>
        </w:rPr>
        <w:t>forma</w:t>
      </w:r>
      <w:r w:rsidRPr="00961415">
        <w:rPr>
          <w:rFonts w:ascii="Abadi" w:hAnsi="Abadi"/>
          <w:b w:val="0"/>
          <w:bCs w:val="0"/>
          <w:spacing w:val="34"/>
          <w:sz w:val="21"/>
          <w:szCs w:val="21"/>
        </w:rPr>
        <w:t xml:space="preserve"> </w:t>
      </w:r>
      <w:r w:rsidRPr="00961415">
        <w:rPr>
          <w:rFonts w:ascii="Abadi" w:hAnsi="Abadi"/>
          <w:b w:val="0"/>
          <w:bCs w:val="0"/>
          <w:sz w:val="21"/>
          <w:szCs w:val="21"/>
        </w:rPr>
        <w:t>progresiva,</w:t>
      </w:r>
      <w:r w:rsidRPr="00961415">
        <w:rPr>
          <w:rFonts w:ascii="Abadi" w:hAnsi="Abadi"/>
          <w:b w:val="0"/>
          <w:bCs w:val="0"/>
          <w:spacing w:val="31"/>
          <w:sz w:val="21"/>
          <w:szCs w:val="21"/>
        </w:rPr>
        <w:t xml:space="preserve"> </w:t>
      </w:r>
      <w:r w:rsidRPr="00961415">
        <w:rPr>
          <w:rFonts w:ascii="Abadi" w:hAnsi="Abadi"/>
          <w:b w:val="0"/>
          <w:bCs w:val="0"/>
          <w:sz w:val="21"/>
          <w:szCs w:val="21"/>
        </w:rPr>
        <w:t>implementando</w:t>
      </w:r>
      <w:r w:rsidRPr="00961415">
        <w:rPr>
          <w:rFonts w:ascii="Abadi" w:hAnsi="Abadi"/>
          <w:b w:val="0"/>
          <w:bCs w:val="0"/>
          <w:spacing w:val="32"/>
          <w:sz w:val="21"/>
          <w:szCs w:val="21"/>
        </w:rPr>
        <w:t xml:space="preserve"> </w:t>
      </w:r>
      <w:r w:rsidRPr="00961415">
        <w:rPr>
          <w:rFonts w:ascii="Abadi" w:hAnsi="Abadi"/>
          <w:b w:val="0"/>
          <w:bCs w:val="0"/>
          <w:sz w:val="21"/>
          <w:szCs w:val="21"/>
        </w:rPr>
        <w:t>el</w:t>
      </w:r>
      <w:r w:rsidRPr="00961415">
        <w:rPr>
          <w:rFonts w:ascii="Abadi" w:hAnsi="Abadi"/>
          <w:b w:val="0"/>
          <w:bCs w:val="0"/>
          <w:spacing w:val="37"/>
          <w:sz w:val="21"/>
          <w:szCs w:val="21"/>
        </w:rPr>
        <w:t xml:space="preserve"> </w:t>
      </w:r>
      <w:r w:rsidRPr="00961415">
        <w:rPr>
          <w:rFonts w:ascii="Abadi" w:hAnsi="Abadi"/>
          <w:b w:val="0"/>
          <w:bCs w:val="0"/>
          <w:sz w:val="21"/>
          <w:szCs w:val="21"/>
        </w:rPr>
        <w:t>máximo</w:t>
      </w:r>
      <w:r w:rsidRPr="00961415">
        <w:rPr>
          <w:rFonts w:ascii="Abadi" w:hAnsi="Abadi"/>
          <w:b w:val="0"/>
          <w:bCs w:val="0"/>
          <w:spacing w:val="33"/>
          <w:sz w:val="21"/>
          <w:szCs w:val="21"/>
        </w:rPr>
        <w:t xml:space="preserve"> </w:t>
      </w:r>
      <w:r w:rsidRPr="00961415">
        <w:rPr>
          <w:rFonts w:ascii="Abadi" w:hAnsi="Abadi"/>
          <w:b w:val="0"/>
          <w:bCs w:val="0"/>
          <w:sz w:val="21"/>
          <w:szCs w:val="21"/>
        </w:rPr>
        <w:t>de</w:t>
      </w:r>
      <w:r w:rsidRPr="00961415">
        <w:rPr>
          <w:rFonts w:ascii="Abadi" w:hAnsi="Abadi"/>
          <w:b w:val="0"/>
          <w:bCs w:val="0"/>
          <w:spacing w:val="33"/>
          <w:sz w:val="21"/>
          <w:szCs w:val="21"/>
        </w:rPr>
        <w:t xml:space="preserve"> </w:t>
      </w:r>
      <w:r w:rsidRPr="00961415">
        <w:rPr>
          <w:rFonts w:ascii="Abadi" w:hAnsi="Abadi"/>
          <w:b w:val="0"/>
          <w:bCs w:val="0"/>
          <w:sz w:val="21"/>
          <w:szCs w:val="21"/>
        </w:rPr>
        <w:t>recursos</w:t>
      </w:r>
      <w:r w:rsidRPr="00961415">
        <w:rPr>
          <w:rFonts w:ascii="Abadi" w:hAnsi="Abadi"/>
          <w:b w:val="0"/>
          <w:bCs w:val="0"/>
          <w:spacing w:val="34"/>
          <w:sz w:val="21"/>
          <w:szCs w:val="21"/>
        </w:rPr>
        <w:t xml:space="preserve"> </w:t>
      </w:r>
      <w:r w:rsidRPr="00961415">
        <w:rPr>
          <w:rFonts w:ascii="Abadi" w:hAnsi="Abadi"/>
          <w:b w:val="0"/>
          <w:bCs w:val="0"/>
          <w:sz w:val="21"/>
          <w:szCs w:val="21"/>
        </w:rPr>
        <w:t>disponibles</w:t>
      </w:r>
      <w:r w:rsidRPr="00961415">
        <w:rPr>
          <w:rFonts w:ascii="Abadi" w:hAnsi="Abadi"/>
          <w:b w:val="0"/>
          <w:bCs w:val="0"/>
          <w:spacing w:val="35"/>
          <w:sz w:val="21"/>
          <w:szCs w:val="21"/>
        </w:rPr>
        <w:t xml:space="preserve"> </w:t>
      </w:r>
      <w:r w:rsidRPr="00961415">
        <w:rPr>
          <w:rFonts w:ascii="Abadi" w:hAnsi="Abadi"/>
          <w:b w:val="0"/>
          <w:bCs w:val="0"/>
          <w:sz w:val="21"/>
          <w:szCs w:val="21"/>
        </w:rPr>
        <w:t>y</w:t>
      </w:r>
      <w:r w:rsidRPr="00961415">
        <w:rPr>
          <w:rFonts w:ascii="Abadi" w:hAnsi="Abadi"/>
          <w:b w:val="0"/>
          <w:bCs w:val="0"/>
          <w:spacing w:val="35"/>
          <w:sz w:val="21"/>
          <w:szCs w:val="21"/>
        </w:rPr>
        <w:t xml:space="preserve"> </w:t>
      </w:r>
      <w:r w:rsidRPr="00961415">
        <w:rPr>
          <w:rFonts w:ascii="Abadi" w:hAnsi="Abadi"/>
          <w:b w:val="0"/>
          <w:bCs w:val="0"/>
          <w:sz w:val="21"/>
          <w:szCs w:val="21"/>
        </w:rPr>
        <w:t>con</w:t>
      </w:r>
      <w:r w:rsidRPr="00961415">
        <w:rPr>
          <w:rFonts w:ascii="Abadi" w:hAnsi="Abadi"/>
          <w:b w:val="0"/>
          <w:bCs w:val="0"/>
          <w:spacing w:val="-1"/>
          <w:sz w:val="21"/>
          <w:szCs w:val="21"/>
        </w:rPr>
        <w:t xml:space="preserve"> </w:t>
      </w:r>
      <w:r w:rsidRPr="00961415">
        <w:rPr>
          <w:rFonts w:ascii="Abadi" w:hAnsi="Abadi"/>
          <w:b w:val="0"/>
          <w:bCs w:val="0"/>
          <w:sz w:val="21"/>
          <w:szCs w:val="21"/>
        </w:rPr>
        <w:t>perspectiva</w:t>
      </w:r>
      <w:r w:rsidRPr="00961415">
        <w:rPr>
          <w:rFonts w:ascii="Abadi" w:hAnsi="Abadi"/>
          <w:b w:val="0"/>
          <w:bCs w:val="0"/>
          <w:spacing w:val="44"/>
          <w:sz w:val="21"/>
          <w:szCs w:val="21"/>
        </w:rPr>
        <w:t xml:space="preserve"> </w:t>
      </w:r>
      <w:r w:rsidRPr="00961415">
        <w:rPr>
          <w:rFonts w:ascii="Abadi" w:hAnsi="Abadi"/>
          <w:b w:val="0"/>
          <w:bCs w:val="0"/>
          <w:sz w:val="21"/>
          <w:szCs w:val="21"/>
        </w:rPr>
        <w:t>de</w:t>
      </w:r>
      <w:r w:rsidRPr="00961415">
        <w:rPr>
          <w:rFonts w:ascii="Abadi" w:hAnsi="Abadi"/>
          <w:b w:val="0"/>
          <w:bCs w:val="0"/>
          <w:spacing w:val="44"/>
          <w:sz w:val="21"/>
          <w:szCs w:val="21"/>
        </w:rPr>
        <w:t xml:space="preserve"> </w:t>
      </w:r>
      <w:r w:rsidRPr="00961415">
        <w:rPr>
          <w:rFonts w:ascii="Abadi" w:hAnsi="Abadi"/>
          <w:b w:val="0"/>
          <w:bCs w:val="0"/>
          <w:sz w:val="21"/>
          <w:szCs w:val="21"/>
        </w:rPr>
        <w:t>derechos.</w:t>
      </w:r>
      <w:r w:rsidRPr="00961415">
        <w:rPr>
          <w:rFonts w:ascii="Abadi" w:hAnsi="Abadi"/>
          <w:b w:val="0"/>
          <w:bCs w:val="0"/>
          <w:spacing w:val="46"/>
          <w:sz w:val="21"/>
          <w:szCs w:val="21"/>
        </w:rPr>
        <w:t xml:space="preserve"> </w:t>
      </w:r>
      <w:r w:rsidRPr="00961415">
        <w:rPr>
          <w:rFonts w:ascii="Abadi" w:hAnsi="Abadi"/>
          <w:b w:val="0"/>
          <w:bCs w:val="0"/>
          <w:sz w:val="21"/>
          <w:szCs w:val="21"/>
        </w:rPr>
        <w:t>Sólo</w:t>
      </w:r>
      <w:r w:rsidRPr="00961415">
        <w:rPr>
          <w:rFonts w:ascii="Abadi" w:hAnsi="Abadi"/>
          <w:b w:val="0"/>
          <w:bCs w:val="0"/>
          <w:spacing w:val="45"/>
          <w:sz w:val="21"/>
          <w:szCs w:val="21"/>
        </w:rPr>
        <w:t xml:space="preserve"> </w:t>
      </w:r>
      <w:r w:rsidRPr="00961415">
        <w:rPr>
          <w:rFonts w:ascii="Abadi" w:hAnsi="Abadi"/>
          <w:b w:val="0"/>
          <w:bCs w:val="0"/>
          <w:sz w:val="21"/>
          <w:szCs w:val="21"/>
        </w:rPr>
        <w:t>así</w:t>
      </w:r>
      <w:r w:rsidRPr="00961415">
        <w:rPr>
          <w:rFonts w:ascii="Abadi" w:hAnsi="Abadi"/>
          <w:b w:val="0"/>
          <w:bCs w:val="0"/>
          <w:spacing w:val="44"/>
          <w:sz w:val="21"/>
          <w:szCs w:val="21"/>
        </w:rPr>
        <w:t xml:space="preserve"> </w:t>
      </w:r>
      <w:r w:rsidRPr="00961415">
        <w:rPr>
          <w:rFonts w:ascii="Abadi" w:hAnsi="Abadi"/>
          <w:b w:val="0"/>
          <w:bCs w:val="0"/>
          <w:sz w:val="21"/>
          <w:szCs w:val="21"/>
        </w:rPr>
        <w:t>será</w:t>
      </w:r>
      <w:r w:rsidRPr="00961415">
        <w:rPr>
          <w:rFonts w:ascii="Abadi" w:hAnsi="Abadi"/>
          <w:b w:val="0"/>
          <w:bCs w:val="0"/>
          <w:spacing w:val="45"/>
          <w:sz w:val="21"/>
          <w:szCs w:val="21"/>
        </w:rPr>
        <w:t xml:space="preserve"> </w:t>
      </w:r>
      <w:r w:rsidRPr="00961415">
        <w:rPr>
          <w:rFonts w:ascii="Abadi" w:hAnsi="Abadi"/>
          <w:b w:val="0"/>
          <w:bCs w:val="0"/>
          <w:sz w:val="21"/>
          <w:szCs w:val="21"/>
        </w:rPr>
        <w:t>posible</w:t>
      </w:r>
      <w:r w:rsidRPr="00961415">
        <w:rPr>
          <w:rFonts w:ascii="Abadi" w:hAnsi="Abadi"/>
          <w:b w:val="0"/>
          <w:bCs w:val="0"/>
          <w:spacing w:val="43"/>
          <w:sz w:val="21"/>
          <w:szCs w:val="21"/>
        </w:rPr>
        <w:t xml:space="preserve"> </w:t>
      </w:r>
      <w:r w:rsidRPr="00961415">
        <w:rPr>
          <w:rFonts w:ascii="Abadi" w:hAnsi="Abadi"/>
          <w:b w:val="0"/>
          <w:bCs w:val="0"/>
          <w:sz w:val="21"/>
          <w:szCs w:val="21"/>
        </w:rPr>
        <w:t>avanzar</w:t>
      </w:r>
      <w:r w:rsidRPr="00961415">
        <w:rPr>
          <w:rFonts w:ascii="Abadi" w:hAnsi="Abadi"/>
          <w:b w:val="0"/>
          <w:bCs w:val="0"/>
          <w:spacing w:val="46"/>
          <w:sz w:val="21"/>
          <w:szCs w:val="21"/>
        </w:rPr>
        <w:t xml:space="preserve"> </w:t>
      </w:r>
      <w:r w:rsidRPr="00961415">
        <w:rPr>
          <w:rFonts w:ascii="Abadi" w:hAnsi="Abadi"/>
          <w:b w:val="0"/>
          <w:bCs w:val="0"/>
          <w:sz w:val="21"/>
          <w:szCs w:val="21"/>
        </w:rPr>
        <w:t>hacia</w:t>
      </w:r>
      <w:r w:rsidRPr="00961415">
        <w:rPr>
          <w:rFonts w:ascii="Abadi" w:hAnsi="Abadi"/>
          <w:b w:val="0"/>
          <w:bCs w:val="0"/>
          <w:spacing w:val="44"/>
          <w:sz w:val="21"/>
          <w:szCs w:val="21"/>
        </w:rPr>
        <w:t xml:space="preserve"> </w:t>
      </w:r>
      <w:r w:rsidRPr="00961415">
        <w:rPr>
          <w:rFonts w:ascii="Abadi" w:hAnsi="Abadi"/>
          <w:b w:val="0"/>
          <w:bCs w:val="0"/>
          <w:sz w:val="21"/>
          <w:szCs w:val="21"/>
        </w:rPr>
        <w:t>la</w:t>
      </w:r>
      <w:r w:rsidRPr="00961415">
        <w:rPr>
          <w:rFonts w:ascii="Abadi" w:hAnsi="Abadi"/>
          <w:b w:val="0"/>
          <w:bCs w:val="0"/>
          <w:spacing w:val="46"/>
          <w:sz w:val="21"/>
          <w:szCs w:val="21"/>
        </w:rPr>
        <w:t xml:space="preserve"> </w:t>
      </w:r>
      <w:r w:rsidRPr="00961415">
        <w:rPr>
          <w:rFonts w:ascii="Abadi" w:hAnsi="Abadi"/>
          <w:b w:val="0"/>
          <w:bCs w:val="0"/>
          <w:sz w:val="21"/>
          <w:szCs w:val="21"/>
        </w:rPr>
        <w:t>garantía</w:t>
      </w:r>
      <w:r w:rsidRPr="00961415">
        <w:rPr>
          <w:rFonts w:ascii="Abadi" w:hAnsi="Abadi"/>
          <w:b w:val="0"/>
          <w:bCs w:val="0"/>
          <w:spacing w:val="47"/>
          <w:sz w:val="21"/>
          <w:szCs w:val="21"/>
        </w:rPr>
        <w:t xml:space="preserve"> </w:t>
      </w:r>
      <w:r w:rsidRPr="00961415">
        <w:rPr>
          <w:rFonts w:ascii="Abadi" w:hAnsi="Abadi"/>
          <w:b w:val="0"/>
          <w:bCs w:val="0"/>
          <w:sz w:val="21"/>
          <w:szCs w:val="21"/>
        </w:rPr>
        <w:t>de</w:t>
      </w:r>
      <w:r w:rsidRPr="00961415">
        <w:rPr>
          <w:rFonts w:ascii="Abadi" w:hAnsi="Abadi"/>
          <w:b w:val="0"/>
          <w:bCs w:val="0"/>
          <w:spacing w:val="45"/>
          <w:sz w:val="21"/>
          <w:szCs w:val="21"/>
        </w:rPr>
        <w:t xml:space="preserve"> </w:t>
      </w:r>
      <w:r w:rsidRPr="00961415">
        <w:rPr>
          <w:rFonts w:ascii="Abadi" w:hAnsi="Abadi"/>
          <w:b w:val="0"/>
          <w:bCs w:val="0"/>
          <w:sz w:val="21"/>
          <w:szCs w:val="21"/>
        </w:rPr>
        <w:t>la igualdad</w:t>
      </w:r>
      <w:r w:rsidRPr="00961415">
        <w:rPr>
          <w:rFonts w:ascii="Abadi" w:hAnsi="Abadi"/>
          <w:b w:val="0"/>
          <w:bCs w:val="0"/>
          <w:spacing w:val="51"/>
          <w:sz w:val="21"/>
          <w:szCs w:val="21"/>
        </w:rPr>
        <w:t xml:space="preserve"> </w:t>
      </w:r>
      <w:r w:rsidRPr="00961415">
        <w:rPr>
          <w:rFonts w:ascii="Abadi" w:hAnsi="Abadi"/>
          <w:b w:val="0"/>
          <w:bCs w:val="0"/>
          <w:sz w:val="21"/>
          <w:szCs w:val="21"/>
        </w:rPr>
        <w:t>sustantiva</w:t>
      </w:r>
      <w:r w:rsidRPr="00961415">
        <w:rPr>
          <w:rFonts w:ascii="Abadi" w:hAnsi="Abadi"/>
          <w:b w:val="0"/>
          <w:bCs w:val="0"/>
          <w:spacing w:val="53"/>
          <w:sz w:val="21"/>
          <w:szCs w:val="21"/>
        </w:rPr>
        <w:t xml:space="preserve"> </w:t>
      </w:r>
      <w:r w:rsidRPr="00961415">
        <w:rPr>
          <w:rFonts w:ascii="Abadi" w:hAnsi="Abadi"/>
          <w:b w:val="0"/>
          <w:bCs w:val="0"/>
          <w:sz w:val="21"/>
          <w:szCs w:val="21"/>
        </w:rPr>
        <w:t>entre</w:t>
      </w:r>
      <w:r w:rsidRPr="00961415">
        <w:rPr>
          <w:rFonts w:ascii="Abadi" w:hAnsi="Abadi"/>
          <w:b w:val="0"/>
          <w:bCs w:val="0"/>
          <w:spacing w:val="51"/>
          <w:sz w:val="21"/>
          <w:szCs w:val="21"/>
        </w:rPr>
        <w:t xml:space="preserve"> </w:t>
      </w:r>
      <w:r w:rsidRPr="00961415">
        <w:rPr>
          <w:rFonts w:ascii="Abadi" w:hAnsi="Abadi"/>
          <w:b w:val="0"/>
          <w:bCs w:val="0"/>
          <w:sz w:val="21"/>
          <w:szCs w:val="21"/>
        </w:rPr>
        <w:t>hombres</w:t>
      </w:r>
      <w:r w:rsidRPr="00961415">
        <w:rPr>
          <w:rFonts w:ascii="Abadi" w:hAnsi="Abadi"/>
          <w:b w:val="0"/>
          <w:bCs w:val="0"/>
          <w:spacing w:val="53"/>
          <w:sz w:val="21"/>
          <w:szCs w:val="21"/>
        </w:rPr>
        <w:t xml:space="preserve"> </w:t>
      </w:r>
      <w:r w:rsidRPr="00961415">
        <w:rPr>
          <w:rFonts w:ascii="Abadi" w:hAnsi="Abadi"/>
          <w:b w:val="0"/>
          <w:bCs w:val="0"/>
          <w:sz w:val="21"/>
          <w:szCs w:val="21"/>
        </w:rPr>
        <w:t>y</w:t>
      </w:r>
      <w:r w:rsidRPr="00961415">
        <w:rPr>
          <w:rFonts w:ascii="Abadi" w:hAnsi="Abadi"/>
          <w:b w:val="0"/>
          <w:bCs w:val="0"/>
          <w:spacing w:val="53"/>
          <w:sz w:val="21"/>
          <w:szCs w:val="21"/>
        </w:rPr>
        <w:t xml:space="preserve"> </w:t>
      </w:r>
      <w:r w:rsidRPr="00961415">
        <w:rPr>
          <w:rFonts w:ascii="Abadi" w:hAnsi="Abadi"/>
          <w:b w:val="0"/>
          <w:bCs w:val="0"/>
          <w:sz w:val="21"/>
          <w:szCs w:val="21"/>
        </w:rPr>
        <w:t>mujeres,</w:t>
      </w:r>
      <w:r w:rsidRPr="00961415">
        <w:rPr>
          <w:rFonts w:ascii="Abadi" w:hAnsi="Abadi"/>
          <w:b w:val="0"/>
          <w:bCs w:val="0"/>
          <w:spacing w:val="51"/>
          <w:sz w:val="21"/>
          <w:szCs w:val="21"/>
        </w:rPr>
        <w:t xml:space="preserve"> </w:t>
      </w:r>
      <w:r w:rsidRPr="00961415">
        <w:rPr>
          <w:rFonts w:ascii="Abadi" w:hAnsi="Abadi"/>
          <w:b w:val="0"/>
          <w:bCs w:val="0"/>
          <w:sz w:val="21"/>
          <w:szCs w:val="21"/>
        </w:rPr>
        <w:t>removiendo</w:t>
      </w:r>
      <w:r w:rsidRPr="00961415">
        <w:rPr>
          <w:rFonts w:ascii="Abadi" w:hAnsi="Abadi"/>
          <w:b w:val="0"/>
          <w:bCs w:val="0"/>
          <w:spacing w:val="51"/>
          <w:sz w:val="21"/>
          <w:szCs w:val="21"/>
        </w:rPr>
        <w:t xml:space="preserve"> </w:t>
      </w:r>
      <w:r w:rsidRPr="00961415">
        <w:rPr>
          <w:rFonts w:ascii="Abadi" w:hAnsi="Abadi"/>
          <w:b w:val="0"/>
          <w:bCs w:val="0"/>
          <w:sz w:val="21"/>
          <w:szCs w:val="21"/>
        </w:rPr>
        <w:t>los</w:t>
      </w:r>
      <w:r w:rsidRPr="00961415">
        <w:rPr>
          <w:rFonts w:ascii="Abadi" w:hAnsi="Abadi"/>
          <w:b w:val="0"/>
          <w:bCs w:val="0"/>
          <w:spacing w:val="52"/>
          <w:sz w:val="21"/>
          <w:szCs w:val="21"/>
        </w:rPr>
        <w:t xml:space="preserve"> </w:t>
      </w:r>
      <w:r w:rsidRPr="00961415">
        <w:rPr>
          <w:rFonts w:ascii="Abadi" w:hAnsi="Abadi"/>
          <w:b w:val="0"/>
          <w:bCs w:val="0"/>
          <w:sz w:val="21"/>
          <w:szCs w:val="21"/>
        </w:rPr>
        <w:t>obstáculos</w:t>
      </w:r>
      <w:r w:rsidRPr="00961415">
        <w:rPr>
          <w:rFonts w:ascii="Abadi" w:hAnsi="Abadi"/>
          <w:b w:val="0"/>
          <w:bCs w:val="0"/>
          <w:spacing w:val="-1"/>
          <w:sz w:val="21"/>
          <w:szCs w:val="21"/>
        </w:rPr>
        <w:t xml:space="preserve"> </w:t>
      </w:r>
      <w:r w:rsidRPr="00961415">
        <w:rPr>
          <w:rFonts w:ascii="Abadi" w:hAnsi="Abadi"/>
          <w:b w:val="0"/>
          <w:bCs w:val="0"/>
          <w:sz w:val="21"/>
          <w:szCs w:val="21"/>
        </w:rPr>
        <w:t>estructurales</w:t>
      </w:r>
      <w:r w:rsidRPr="00961415">
        <w:rPr>
          <w:rFonts w:ascii="Abadi" w:hAnsi="Abadi"/>
          <w:b w:val="0"/>
          <w:bCs w:val="0"/>
          <w:spacing w:val="1"/>
          <w:sz w:val="21"/>
          <w:szCs w:val="21"/>
        </w:rPr>
        <w:t xml:space="preserve"> </w:t>
      </w:r>
      <w:r w:rsidRPr="00961415">
        <w:rPr>
          <w:rFonts w:ascii="Abadi" w:hAnsi="Abadi"/>
          <w:b w:val="0"/>
          <w:bCs w:val="0"/>
          <w:sz w:val="21"/>
          <w:szCs w:val="21"/>
        </w:rPr>
        <w:t>que</w:t>
      </w:r>
      <w:r w:rsidRPr="00961415">
        <w:rPr>
          <w:rFonts w:ascii="Abadi" w:hAnsi="Abadi"/>
          <w:b w:val="0"/>
          <w:bCs w:val="0"/>
          <w:spacing w:val="-3"/>
          <w:sz w:val="21"/>
          <w:szCs w:val="21"/>
        </w:rPr>
        <w:t xml:space="preserve"> </w:t>
      </w:r>
      <w:r w:rsidRPr="00961415">
        <w:rPr>
          <w:rFonts w:ascii="Abadi" w:hAnsi="Abadi"/>
          <w:b w:val="0"/>
          <w:bCs w:val="0"/>
          <w:sz w:val="21"/>
          <w:szCs w:val="21"/>
        </w:rPr>
        <w:t>impiden</w:t>
      </w:r>
      <w:r w:rsidRPr="00961415">
        <w:rPr>
          <w:rFonts w:ascii="Abadi" w:hAnsi="Abadi"/>
          <w:b w:val="0"/>
          <w:bCs w:val="0"/>
          <w:spacing w:val="-2"/>
          <w:sz w:val="21"/>
          <w:szCs w:val="21"/>
        </w:rPr>
        <w:t xml:space="preserve"> </w:t>
      </w:r>
      <w:r w:rsidRPr="00961415">
        <w:rPr>
          <w:rFonts w:ascii="Abadi" w:hAnsi="Abadi"/>
          <w:b w:val="0"/>
          <w:bCs w:val="0"/>
          <w:sz w:val="21"/>
          <w:szCs w:val="21"/>
        </w:rPr>
        <w:t>que</w:t>
      </w:r>
      <w:r w:rsidRPr="00961415">
        <w:rPr>
          <w:rFonts w:ascii="Abadi" w:hAnsi="Abadi"/>
          <w:b w:val="0"/>
          <w:bCs w:val="0"/>
          <w:spacing w:val="-3"/>
          <w:sz w:val="21"/>
          <w:szCs w:val="21"/>
        </w:rPr>
        <w:t xml:space="preserve"> </w:t>
      </w:r>
      <w:r w:rsidRPr="00961415">
        <w:rPr>
          <w:rFonts w:ascii="Abadi" w:hAnsi="Abadi"/>
          <w:b w:val="0"/>
          <w:bCs w:val="0"/>
          <w:sz w:val="21"/>
          <w:szCs w:val="21"/>
        </w:rPr>
        <w:t>las</w:t>
      </w:r>
      <w:r w:rsidRPr="00961415">
        <w:rPr>
          <w:rFonts w:ascii="Abadi" w:hAnsi="Abadi"/>
          <w:b w:val="0"/>
          <w:bCs w:val="0"/>
          <w:spacing w:val="2"/>
          <w:sz w:val="21"/>
          <w:szCs w:val="21"/>
        </w:rPr>
        <w:t xml:space="preserve"> </w:t>
      </w:r>
      <w:r w:rsidRPr="00961415">
        <w:rPr>
          <w:rFonts w:ascii="Abadi" w:hAnsi="Abadi"/>
          <w:b w:val="0"/>
          <w:bCs w:val="0"/>
          <w:sz w:val="21"/>
          <w:szCs w:val="21"/>
        </w:rPr>
        <w:t>mujeres</w:t>
      </w:r>
      <w:r w:rsidRPr="00961415">
        <w:rPr>
          <w:rFonts w:ascii="Abadi" w:hAnsi="Abadi"/>
          <w:b w:val="0"/>
          <w:bCs w:val="0"/>
          <w:spacing w:val="-1"/>
          <w:sz w:val="21"/>
          <w:szCs w:val="21"/>
        </w:rPr>
        <w:t xml:space="preserve"> </w:t>
      </w:r>
      <w:r w:rsidRPr="00961415">
        <w:rPr>
          <w:rFonts w:ascii="Abadi" w:hAnsi="Abadi"/>
          <w:b w:val="0"/>
          <w:bCs w:val="0"/>
          <w:sz w:val="21"/>
          <w:szCs w:val="21"/>
        </w:rPr>
        <w:t>disfrutemos</w:t>
      </w:r>
      <w:r w:rsidRPr="00961415">
        <w:rPr>
          <w:rFonts w:ascii="Abadi" w:hAnsi="Abadi"/>
          <w:b w:val="0"/>
          <w:bCs w:val="0"/>
          <w:spacing w:val="4"/>
          <w:sz w:val="21"/>
          <w:szCs w:val="21"/>
        </w:rPr>
        <w:t xml:space="preserve"> </w:t>
      </w:r>
      <w:r w:rsidRPr="00961415">
        <w:rPr>
          <w:rFonts w:ascii="Abadi" w:hAnsi="Abadi"/>
          <w:b w:val="0"/>
          <w:bCs w:val="0"/>
          <w:sz w:val="21"/>
          <w:szCs w:val="21"/>
        </w:rPr>
        <w:t>una</w:t>
      </w:r>
      <w:r w:rsidRPr="00961415">
        <w:rPr>
          <w:rFonts w:ascii="Abadi" w:hAnsi="Abadi"/>
          <w:b w:val="0"/>
          <w:bCs w:val="0"/>
          <w:spacing w:val="-2"/>
          <w:sz w:val="21"/>
          <w:szCs w:val="21"/>
        </w:rPr>
        <w:t xml:space="preserve"> </w:t>
      </w:r>
      <w:r w:rsidRPr="00961415">
        <w:rPr>
          <w:rFonts w:ascii="Abadi" w:hAnsi="Abadi"/>
          <w:b w:val="0"/>
          <w:bCs w:val="0"/>
          <w:sz w:val="21"/>
          <w:szCs w:val="21"/>
        </w:rPr>
        <w:t>vida</w:t>
      </w:r>
      <w:r w:rsidRPr="00961415">
        <w:rPr>
          <w:rFonts w:ascii="Abadi" w:hAnsi="Abadi"/>
          <w:b w:val="0"/>
          <w:bCs w:val="0"/>
          <w:spacing w:val="-2"/>
          <w:sz w:val="21"/>
          <w:szCs w:val="21"/>
        </w:rPr>
        <w:t xml:space="preserve"> </w:t>
      </w:r>
      <w:r w:rsidRPr="00961415">
        <w:rPr>
          <w:rFonts w:ascii="Abadi" w:hAnsi="Abadi"/>
          <w:b w:val="0"/>
          <w:bCs w:val="0"/>
          <w:sz w:val="21"/>
          <w:szCs w:val="21"/>
        </w:rPr>
        <w:t>libre</w:t>
      </w:r>
      <w:r w:rsidRPr="00961415">
        <w:rPr>
          <w:rFonts w:ascii="Abadi" w:hAnsi="Abadi"/>
          <w:b w:val="0"/>
          <w:bCs w:val="0"/>
          <w:spacing w:val="-4"/>
          <w:sz w:val="21"/>
          <w:szCs w:val="21"/>
        </w:rPr>
        <w:t xml:space="preserve"> </w:t>
      </w:r>
      <w:r w:rsidRPr="00961415">
        <w:rPr>
          <w:rFonts w:ascii="Abadi" w:hAnsi="Abadi"/>
          <w:b w:val="0"/>
          <w:bCs w:val="0"/>
          <w:sz w:val="21"/>
          <w:szCs w:val="21"/>
        </w:rPr>
        <w:t>de</w:t>
      </w:r>
      <w:r w:rsidRPr="00961415">
        <w:rPr>
          <w:rFonts w:ascii="Abadi" w:hAnsi="Abadi"/>
          <w:b w:val="0"/>
          <w:bCs w:val="0"/>
          <w:spacing w:val="-3"/>
          <w:sz w:val="21"/>
          <w:szCs w:val="21"/>
        </w:rPr>
        <w:t xml:space="preserve"> </w:t>
      </w:r>
      <w:r w:rsidRPr="00961415">
        <w:rPr>
          <w:rFonts w:ascii="Abadi" w:hAnsi="Abadi"/>
          <w:b w:val="0"/>
          <w:bCs w:val="0"/>
          <w:sz w:val="21"/>
          <w:szCs w:val="21"/>
        </w:rPr>
        <w:t>violencia y</w:t>
      </w:r>
      <w:r w:rsidRPr="00961415">
        <w:rPr>
          <w:rFonts w:ascii="Abadi" w:hAnsi="Abadi"/>
          <w:b w:val="0"/>
          <w:bCs w:val="0"/>
          <w:spacing w:val="-1"/>
          <w:sz w:val="21"/>
          <w:szCs w:val="21"/>
        </w:rPr>
        <w:t xml:space="preserve"> </w:t>
      </w:r>
      <w:r w:rsidRPr="00961415">
        <w:rPr>
          <w:rFonts w:ascii="Abadi" w:hAnsi="Abadi"/>
          <w:b w:val="0"/>
          <w:bCs w:val="0"/>
          <w:sz w:val="21"/>
          <w:szCs w:val="21"/>
        </w:rPr>
        <w:t>el</w:t>
      </w:r>
      <w:r w:rsidRPr="00961415">
        <w:rPr>
          <w:rFonts w:ascii="Abadi" w:hAnsi="Abadi"/>
          <w:b w:val="0"/>
          <w:bCs w:val="0"/>
          <w:spacing w:val="-1"/>
          <w:sz w:val="21"/>
          <w:szCs w:val="21"/>
        </w:rPr>
        <w:t xml:space="preserve"> </w:t>
      </w:r>
      <w:r w:rsidRPr="00961415">
        <w:rPr>
          <w:rFonts w:ascii="Abadi" w:hAnsi="Abadi"/>
          <w:b w:val="0"/>
          <w:bCs w:val="0"/>
          <w:sz w:val="21"/>
          <w:szCs w:val="21"/>
        </w:rPr>
        <w:t>pleno</w:t>
      </w:r>
      <w:r w:rsidRPr="00961415">
        <w:rPr>
          <w:rFonts w:ascii="Abadi" w:hAnsi="Abadi"/>
          <w:b w:val="0"/>
          <w:bCs w:val="0"/>
          <w:spacing w:val="-1"/>
          <w:sz w:val="21"/>
          <w:szCs w:val="21"/>
        </w:rPr>
        <w:t xml:space="preserve"> </w:t>
      </w:r>
      <w:r w:rsidRPr="00961415">
        <w:rPr>
          <w:rFonts w:ascii="Abadi" w:hAnsi="Abadi"/>
          <w:b w:val="0"/>
          <w:bCs w:val="0"/>
          <w:sz w:val="21"/>
          <w:szCs w:val="21"/>
        </w:rPr>
        <w:t>ejercicio de</w:t>
      </w:r>
      <w:r w:rsidRPr="00961415">
        <w:rPr>
          <w:rFonts w:ascii="Abadi" w:hAnsi="Abadi"/>
          <w:b w:val="0"/>
          <w:bCs w:val="0"/>
          <w:spacing w:val="2"/>
          <w:sz w:val="21"/>
          <w:szCs w:val="21"/>
        </w:rPr>
        <w:t xml:space="preserve"> </w:t>
      </w:r>
      <w:r w:rsidRPr="00961415">
        <w:rPr>
          <w:rFonts w:ascii="Abadi" w:hAnsi="Abadi"/>
          <w:b w:val="0"/>
          <w:bCs w:val="0"/>
          <w:sz w:val="21"/>
          <w:szCs w:val="21"/>
        </w:rPr>
        <w:t>nuestro</w:t>
      </w:r>
      <w:r w:rsidRPr="00961415">
        <w:rPr>
          <w:rFonts w:ascii="Abadi" w:hAnsi="Abadi"/>
          <w:b w:val="0"/>
          <w:bCs w:val="0"/>
          <w:spacing w:val="-1"/>
          <w:sz w:val="21"/>
          <w:szCs w:val="21"/>
        </w:rPr>
        <w:t xml:space="preserve"> </w:t>
      </w:r>
      <w:r w:rsidRPr="00961415">
        <w:rPr>
          <w:rFonts w:ascii="Abadi" w:hAnsi="Abadi"/>
          <w:b w:val="0"/>
          <w:bCs w:val="0"/>
          <w:sz w:val="21"/>
          <w:szCs w:val="21"/>
        </w:rPr>
        <w:t>derechos</w:t>
      </w:r>
      <w:r w:rsidRPr="00961415">
        <w:rPr>
          <w:rFonts w:ascii="Abadi" w:hAnsi="Abadi"/>
          <w:b w:val="0"/>
          <w:bCs w:val="0"/>
          <w:spacing w:val="-2"/>
          <w:sz w:val="21"/>
          <w:szCs w:val="21"/>
        </w:rPr>
        <w:t xml:space="preserve"> </w:t>
      </w:r>
      <w:r w:rsidRPr="00961415">
        <w:rPr>
          <w:rFonts w:ascii="Abadi" w:hAnsi="Abadi"/>
          <w:b w:val="0"/>
          <w:bCs w:val="0"/>
          <w:sz w:val="21"/>
          <w:szCs w:val="21"/>
        </w:rPr>
        <w:t>y</w:t>
      </w:r>
      <w:r w:rsidRPr="00961415">
        <w:rPr>
          <w:rFonts w:ascii="Abadi" w:hAnsi="Abadi"/>
          <w:b w:val="0"/>
          <w:bCs w:val="0"/>
          <w:spacing w:val="-1"/>
          <w:sz w:val="21"/>
          <w:szCs w:val="21"/>
        </w:rPr>
        <w:t xml:space="preserve"> </w:t>
      </w:r>
      <w:r w:rsidRPr="00961415">
        <w:rPr>
          <w:rFonts w:ascii="Abadi" w:hAnsi="Abadi"/>
          <w:b w:val="0"/>
          <w:bCs w:val="0"/>
          <w:sz w:val="21"/>
          <w:szCs w:val="21"/>
        </w:rPr>
        <w:t>libertades.</w:t>
      </w:r>
    </w:p>
    <w:p w14:paraId="080A943E" w14:textId="77777777" w:rsidR="00AF040F" w:rsidRPr="00961415" w:rsidRDefault="00AF040F" w:rsidP="00A44DEE">
      <w:pPr>
        <w:pStyle w:val="Textoindependiente"/>
        <w:kinsoku w:val="0"/>
        <w:overflowPunct w:val="0"/>
        <w:spacing w:before="147"/>
        <w:ind w:right="117"/>
        <w:rPr>
          <w:rFonts w:ascii="Abadi" w:hAnsi="Abadi"/>
          <w:b w:val="0"/>
          <w:bCs w:val="0"/>
          <w:sz w:val="21"/>
          <w:szCs w:val="21"/>
        </w:rPr>
      </w:pPr>
      <w:r w:rsidRPr="00961415">
        <w:rPr>
          <w:rFonts w:ascii="Abadi" w:hAnsi="Abadi"/>
          <w:b w:val="0"/>
          <w:bCs w:val="0"/>
          <w:sz w:val="21"/>
          <w:szCs w:val="21"/>
        </w:rPr>
        <w:t>Sin</w:t>
      </w:r>
      <w:r w:rsidRPr="00961415">
        <w:rPr>
          <w:rFonts w:ascii="Abadi" w:hAnsi="Abadi"/>
          <w:b w:val="0"/>
          <w:bCs w:val="0"/>
          <w:spacing w:val="8"/>
          <w:sz w:val="21"/>
          <w:szCs w:val="21"/>
        </w:rPr>
        <w:t xml:space="preserve"> </w:t>
      </w:r>
      <w:r w:rsidRPr="00961415">
        <w:rPr>
          <w:rFonts w:ascii="Abadi" w:hAnsi="Abadi"/>
          <w:b w:val="0"/>
          <w:bCs w:val="0"/>
          <w:sz w:val="21"/>
          <w:szCs w:val="21"/>
        </w:rPr>
        <w:t>embargo,</w:t>
      </w:r>
      <w:r w:rsidRPr="00961415">
        <w:rPr>
          <w:rFonts w:ascii="Abadi" w:hAnsi="Abadi"/>
          <w:b w:val="0"/>
          <w:bCs w:val="0"/>
          <w:spacing w:val="7"/>
          <w:sz w:val="21"/>
          <w:szCs w:val="21"/>
        </w:rPr>
        <w:t xml:space="preserve"> </w:t>
      </w:r>
      <w:r w:rsidRPr="00961415">
        <w:rPr>
          <w:rFonts w:ascii="Abadi" w:hAnsi="Abadi"/>
          <w:b w:val="0"/>
          <w:bCs w:val="0"/>
          <w:sz w:val="21"/>
          <w:szCs w:val="21"/>
        </w:rPr>
        <w:t>hoy</w:t>
      </w:r>
      <w:r w:rsidRPr="00961415">
        <w:rPr>
          <w:rFonts w:ascii="Abadi" w:hAnsi="Abadi"/>
          <w:b w:val="0"/>
          <w:bCs w:val="0"/>
          <w:spacing w:val="11"/>
          <w:sz w:val="21"/>
          <w:szCs w:val="21"/>
        </w:rPr>
        <w:t xml:space="preserve"> </w:t>
      </w:r>
      <w:r w:rsidRPr="00961415">
        <w:rPr>
          <w:rFonts w:ascii="Abadi" w:hAnsi="Abadi"/>
          <w:b w:val="0"/>
          <w:bCs w:val="0"/>
          <w:sz w:val="21"/>
          <w:szCs w:val="21"/>
        </w:rPr>
        <w:t>en</w:t>
      </w:r>
      <w:r w:rsidRPr="00961415">
        <w:rPr>
          <w:rFonts w:ascii="Abadi" w:hAnsi="Abadi"/>
          <w:b w:val="0"/>
          <w:bCs w:val="0"/>
          <w:spacing w:val="8"/>
          <w:sz w:val="21"/>
          <w:szCs w:val="21"/>
        </w:rPr>
        <w:t xml:space="preserve"> </w:t>
      </w:r>
      <w:r w:rsidRPr="00961415">
        <w:rPr>
          <w:rFonts w:ascii="Abadi" w:hAnsi="Abadi"/>
          <w:b w:val="0"/>
          <w:bCs w:val="0"/>
          <w:sz w:val="21"/>
          <w:szCs w:val="21"/>
        </w:rPr>
        <w:t>día</w:t>
      </w:r>
      <w:r w:rsidRPr="00961415">
        <w:rPr>
          <w:rFonts w:ascii="Abadi" w:hAnsi="Abadi"/>
          <w:b w:val="0"/>
          <w:bCs w:val="0"/>
          <w:spacing w:val="8"/>
          <w:sz w:val="21"/>
          <w:szCs w:val="21"/>
        </w:rPr>
        <w:t xml:space="preserve"> </w:t>
      </w:r>
      <w:r w:rsidRPr="00961415">
        <w:rPr>
          <w:rFonts w:ascii="Abadi" w:hAnsi="Abadi"/>
          <w:b w:val="0"/>
          <w:bCs w:val="0"/>
          <w:sz w:val="21"/>
          <w:szCs w:val="21"/>
        </w:rPr>
        <w:t>no</w:t>
      </w:r>
      <w:r w:rsidRPr="00961415">
        <w:rPr>
          <w:rFonts w:ascii="Abadi" w:hAnsi="Abadi"/>
          <w:b w:val="0"/>
          <w:bCs w:val="0"/>
          <w:spacing w:val="9"/>
          <w:sz w:val="21"/>
          <w:szCs w:val="21"/>
        </w:rPr>
        <w:t xml:space="preserve"> </w:t>
      </w:r>
      <w:r w:rsidRPr="00961415">
        <w:rPr>
          <w:rFonts w:ascii="Abadi" w:hAnsi="Abadi"/>
          <w:b w:val="0"/>
          <w:bCs w:val="0"/>
          <w:sz w:val="21"/>
          <w:szCs w:val="21"/>
        </w:rPr>
        <w:t>tenemos</w:t>
      </w:r>
      <w:r w:rsidRPr="00961415">
        <w:rPr>
          <w:rFonts w:ascii="Abadi" w:hAnsi="Abadi"/>
          <w:b w:val="0"/>
          <w:bCs w:val="0"/>
          <w:spacing w:val="10"/>
          <w:sz w:val="21"/>
          <w:szCs w:val="21"/>
        </w:rPr>
        <w:t xml:space="preserve"> </w:t>
      </w:r>
      <w:r w:rsidRPr="00961415">
        <w:rPr>
          <w:rFonts w:ascii="Abadi" w:hAnsi="Abadi"/>
          <w:b w:val="0"/>
          <w:bCs w:val="0"/>
          <w:sz w:val="21"/>
          <w:szCs w:val="21"/>
        </w:rPr>
        <w:t>certeza</w:t>
      </w:r>
      <w:r w:rsidRPr="00961415">
        <w:rPr>
          <w:rFonts w:ascii="Abadi" w:hAnsi="Abadi"/>
          <w:b w:val="0"/>
          <w:bCs w:val="0"/>
          <w:spacing w:val="8"/>
          <w:sz w:val="21"/>
          <w:szCs w:val="21"/>
        </w:rPr>
        <w:t xml:space="preserve"> </w:t>
      </w:r>
      <w:r w:rsidRPr="00961415">
        <w:rPr>
          <w:rFonts w:ascii="Abadi" w:hAnsi="Abadi"/>
          <w:b w:val="0"/>
          <w:bCs w:val="0"/>
          <w:sz w:val="21"/>
          <w:szCs w:val="21"/>
        </w:rPr>
        <w:t>de</w:t>
      </w:r>
      <w:r w:rsidRPr="00961415">
        <w:rPr>
          <w:rFonts w:ascii="Abadi" w:hAnsi="Abadi"/>
          <w:b w:val="0"/>
          <w:bCs w:val="0"/>
          <w:spacing w:val="6"/>
          <w:sz w:val="21"/>
          <w:szCs w:val="21"/>
        </w:rPr>
        <w:t xml:space="preserve"> </w:t>
      </w:r>
      <w:r w:rsidRPr="00961415">
        <w:rPr>
          <w:rFonts w:ascii="Abadi" w:hAnsi="Abadi"/>
          <w:b w:val="0"/>
          <w:bCs w:val="0"/>
          <w:sz w:val="21"/>
          <w:szCs w:val="21"/>
        </w:rPr>
        <w:t>que</w:t>
      </w:r>
      <w:r w:rsidRPr="00961415">
        <w:rPr>
          <w:rFonts w:ascii="Abadi" w:hAnsi="Abadi"/>
          <w:b w:val="0"/>
          <w:bCs w:val="0"/>
          <w:spacing w:val="6"/>
          <w:sz w:val="21"/>
          <w:szCs w:val="21"/>
        </w:rPr>
        <w:t xml:space="preserve"> </w:t>
      </w:r>
      <w:r w:rsidRPr="00961415">
        <w:rPr>
          <w:rFonts w:ascii="Abadi" w:hAnsi="Abadi"/>
          <w:b w:val="0"/>
          <w:bCs w:val="0"/>
          <w:sz w:val="21"/>
          <w:szCs w:val="21"/>
        </w:rPr>
        <w:t>los</w:t>
      </w:r>
      <w:r w:rsidRPr="00961415">
        <w:rPr>
          <w:rFonts w:ascii="Abadi" w:hAnsi="Abadi"/>
          <w:b w:val="0"/>
          <w:bCs w:val="0"/>
          <w:spacing w:val="7"/>
          <w:sz w:val="21"/>
          <w:szCs w:val="21"/>
        </w:rPr>
        <w:t xml:space="preserve"> </w:t>
      </w:r>
      <w:r w:rsidRPr="00961415">
        <w:rPr>
          <w:rFonts w:ascii="Abadi" w:hAnsi="Abadi"/>
          <w:b w:val="0"/>
          <w:bCs w:val="0"/>
          <w:sz w:val="21"/>
          <w:szCs w:val="21"/>
        </w:rPr>
        <w:t>esfuerzos</w:t>
      </w:r>
      <w:r w:rsidRPr="00961415">
        <w:rPr>
          <w:rFonts w:ascii="Abadi" w:hAnsi="Abadi"/>
          <w:b w:val="0"/>
          <w:bCs w:val="0"/>
          <w:spacing w:val="8"/>
          <w:sz w:val="21"/>
          <w:szCs w:val="21"/>
        </w:rPr>
        <w:t xml:space="preserve"> </w:t>
      </w:r>
      <w:r w:rsidRPr="00961415">
        <w:rPr>
          <w:rFonts w:ascii="Abadi" w:hAnsi="Abadi"/>
          <w:b w:val="0"/>
          <w:bCs w:val="0"/>
          <w:sz w:val="21"/>
          <w:szCs w:val="21"/>
        </w:rPr>
        <w:t>institucionales se</w:t>
      </w:r>
      <w:r w:rsidRPr="00961415">
        <w:rPr>
          <w:rFonts w:ascii="Abadi" w:hAnsi="Abadi"/>
          <w:b w:val="0"/>
          <w:bCs w:val="0"/>
          <w:spacing w:val="29"/>
          <w:sz w:val="21"/>
          <w:szCs w:val="21"/>
        </w:rPr>
        <w:t xml:space="preserve"> </w:t>
      </w:r>
      <w:r w:rsidRPr="00961415">
        <w:rPr>
          <w:rFonts w:ascii="Abadi" w:hAnsi="Abadi"/>
          <w:b w:val="0"/>
          <w:bCs w:val="0"/>
          <w:sz w:val="21"/>
          <w:szCs w:val="21"/>
        </w:rPr>
        <w:t>estén</w:t>
      </w:r>
      <w:r w:rsidRPr="00961415">
        <w:rPr>
          <w:rFonts w:ascii="Abadi" w:hAnsi="Abadi"/>
          <w:b w:val="0"/>
          <w:bCs w:val="0"/>
          <w:spacing w:val="29"/>
          <w:sz w:val="21"/>
          <w:szCs w:val="21"/>
        </w:rPr>
        <w:t xml:space="preserve"> </w:t>
      </w:r>
      <w:r w:rsidRPr="00961415">
        <w:rPr>
          <w:rFonts w:ascii="Abadi" w:hAnsi="Abadi"/>
          <w:b w:val="0"/>
          <w:bCs w:val="0"/>
          <w:sz w:val="21"/>
          <w:szCs w:val="21"/>
        </w:rPr>
        <w:t>orientando</w:t>
      </w:r>
      <w:r w:rsidRPr="00961415">
        <w:rPr>
          <w:rFonts w:ascii="Abadi" w:hAnsi="Abadi"/>
          <w:b w:val="0"/>
          <w:bCs w:val="0"/>
          <w:spacing w:val="31"/>
          <w:sz w:val="21"/>
          <w:szCs w:val="21"/>
        </w:rPr>
        <w:t xml:space="preserve"> </w:t>
      </w:r>
      <w:r w:rsidRPr="00961415">
        <w:rPr>
          <w:rFonts w:ascii="Abadi" w:hAnsi="Abadi"/>
          <w:b w:val="0"/>
          <w:bCs w:val="0"/>
          <w:sz w:val="21"/>
          <w:szCs w:val="21"/>
        </w:rPr>
        <w:t>como</w:t>
      </w:r>
      <w:r w:rsidRPr="00961415">
        <w:rPr>
          <w:rFonts w:ascii="Abadi" w:hAnsi="Abadi"/>
          <w:b w:val="0"/>
          <w:bCs w:val="0"/>
          <w:spacing w:val="29"/>
          <w:sz w:val="21"/>
          <w:szCs w:val="21"/>
        </w:rPr>
        <w:t xml:space="preserve"> </w:t>
      </w:r>
      <w:r w:rsidRPr="00961415">
        <w:rPr>
          <w:rFonts w:ascii="Abadi" w:hAnsi="Abadi"/>
          <w:b w:val="0"/>
          <w:bCs w:val="0"/>
          <w:sz w:val="21"/>
          <w:szCs w:val="21"/>
        </w:rPr>
        <w:t>deben</w:t>
      </w:r>
      <w:r w:rsidRPr="00961415">
        <w:rPr>
          <w:rFonts w:ascii="Abadi" w:hAnsi="Abadi"/>
          <w:b w:val="0"/>
          <w:bCs w:val="0"/>
          <w:spacing w:val="29"/>
          <w:sz w:val="21"/>
          <w:szCs w:val="21"/>
        </w:rPr>
        <w:t xml:space="preserve"> </w:t>
      </w:r>
      <w:r w:rsidRPr="00961415">
        <w:rPr>
          <w:rFonts w:ascii="Abadi" w:hAnsi="Abadi"/>
          <w:b w:val="0"/>
          <w:bCs w:val="0"/>
          <w:sz w:val="21"/>
          <w:szCs w:val="21"/>
        </w:rPr>
        <w:t>hacia</w:t>
      </w:r>
      <w:r w:rsidRPr="00961415">
        <w:rPr>
          <w:rFonts w:ascii="Abadi" w:hAnsi="Abadi"/>
          <w:b w:val="0"/>
          <w:bCs w:val="0"/>
          <w:spacing w:val="29"/>
          <w:sz w:val="21"/>
          <w:szCs w:val="21"/>
        </w:rPr>
        <w:t xml:space="preserve"> </w:t>
      </w:r>
      <w:r w:rsidRPr="00961415">
        <w:rPr>
          <w:rFonts w:ascii="Abadi" w:hAnsi="Abadi"/>
          <w:b w:val="0"/>
          <w:bCs w:val="0"/>
          <w:sz w:val="21"/>
          <w:szCs w:val="21"/>
        </w:rPr>
        <w:t>la</w:t>
      </w:r>
      <w:r w:rsidRPr="00961415">
        <w:rPr>
          <w:rFonts w:ascii="Abadi" w:hAnsi="Abadi"/>
          <w:b w:val="0"/>
          <w:bCs w:val="0"/>
          <w:spacing w:val="28"/>
          <w:sz w:val="21"/>
          <w:szCs w:val="21"/>
        </w:rPr>
        <w:t xml:space="preserve"> </w:t>
      </w:r>
      <w:r w:rsidRPr="00961415">
        <w:rPr>
          <w:rFonts w:ascii="Abadi" w:hAnsi="Abadi"/>
          <w:b w:val="0"/>
          <w:bCs w:val="0"/>
          <w:sz w:val="21"/>
          <w:szCs w:val="21"/>
        </w:rPr>
        <w:t>igualdad</w:t>
      </w:r>
      <w:r w:rsidRPr="00961415">
        <w:rPr>
          <w:rFonts w:ascii="Abadi" w:hAnsi="Abadi"/>
          <w:b w:val="0"/>
          <w:bCs w:val="0"/>
          <w:spacing w:val="29"/>
          <w:sz w:val="21"/>
          <w:szCs w:val="21"/>
        </w:rPr>
        <w:t xml:space="preserve"> </w:t>
      </w:r>
      <w:r w:rsidRPr="00961415">
        <w:rPr>
          <w:rFonts w:ascii="Abadi" w:hAnsi="Abadi"/>
          <w:b w:val="0"/>
          <w:bCs w:val="0"/>
          <w:sz w:val="21"/>
          <w:szCs w:val="21"/>
        </w:rPr>
        <w:t>sustantiva.</w:t>
      </w:r>
      <w:r w:rsidRPr="00961415">
        <w:rPr>
          <w:rFonts w:ascii="Abadi" w:hAnsi="Abadi"/>
          <w:b w:val="0"/>
          <w:bCs w:val="0"/>
          <w:spacing w:val="29"/>
          <w:sz w:val="21"/>
          <w:szCs w:val="21"/>
        </w:rPr>
        <w:t xml:space="preserve"> </w:t>
      </w:r>
      <w:r w:rsidRPr="00961415">
        <w:rPr>
          <w:rFonts w:ascii="Abadi" w:hAnsi="Abadi"/>
          <w:b w:val="0"/>
          <w:bCs w:val="0"/>
          <w:sz w:val="21"/>
          <w:szCs w:val="21"/>
        </w:rPr>
        <w:t>Para</w:t>
      </w:r>
      <w:r w:rsidRPr="00961415">
        <w:rPr>
          <w:rFonts w:ascii="Abadi" w:hAnsi="Abadi"/>
          <w:b w:val="0"/>
          <w:bCs w:val="0"/>
          <w:spacing w:val="27"/>
          <w:sz w:val="21"/>
          <w:szCs w:val="21"/>
        </w:rPr>
        <w:t xml:space="preserve"> </w:t>
      </w:r>
      <w:r w:rsidRPr="00961415">
        <w:rPr>
          <w:rFonts w:ascii="Abadi" w:hAnsi="Abadi"/>
          <w:b w:val="0"/>
          <w:bCs w:val="0"/>
          <w:sz w:val="21"/>
          <w:szCs w:val="21"/>
        </w:rPr>
        <w:t>el</w:t>
      </w:r>
      <w:r w:rsidRPr="00961415">
        <w:rPr>
          <w:rFonts w:ascii="Abadi" w:hAnsi="Abadi"/>
          <w:b w:val="0"/>
          <w:bCs w:val="0"/>
          <w:spacing w:val="29"/>
          <w:sz w:val="21"/>
          <w:szCs w:val="21"/>
        </w:rPr>
        <w:t xml:space="preserve"> </w:t>
      </w:r>
      <w:r w:rsidRPr="00961415">
        <w:rPr>
          <w:rFonts w:ascii="Abadi" w:hAnsi="Abadi"/>
          <w:b w:val="0"/>
          <w:bCs w:val="0"/>
          <w:sz w:val="21"/>
          <w:szCs w:val="21"/>
        </w:rPr>
        <w:t>presente ejercicio</w:t>
      </w:r>
      <w:r w:rsidRPr="00961415">
        <w:rPr>
          <w:rFonts w:ascii="Abadi" w:hAnsi="Abadi"/>
          <w:b w:val="0"/>
          <w:bCs w:val="0"/>
          <w:spacing w:val="4"/>
          <w:sz w:val="21"/>
          <w:szCs w:val="21"/>
        </w:rPr>
        <w:t xml:space="preserve"> </w:t>
      </w:r>
      <w:r w:rsidRPr="00961415">
        <w:rPr>
          <w:rFonts w:ascii="Abadi" w:hAnsi="Abadi"/>
          <w:b w:val="0"/>
          <w:bCs w:val="0"/>
          <w:sz w:val="21"/>
          <w:szCs w:val="21"/>
        </w:rPr>
        <w:t>fiscal,</w:t>
      </w:r>
      <w:r w:rsidRPr="00961415">
        <w:rPr>
          <w:rFonts w:ascii="Abadi" w:hAnsi="Abadi"/>
          <w:b w:val="0"/>
          <w:bCs w:val="0"/>
          <w:spacing w:val="4"/>
          <w:sz w:val="21"/>
          <w:szCs w:val="21"/>
        </w:rPr>
        <w:t xml:space="preserve"> </w:t>
      </w:r>
      <w:r w:rsidRPr="00961415">
        <w:rPr>
          <w:rFonts w:ascii="Abadi" w:hAnsi="Abadi"/>
          <w:b w:val="0"/>
          <w:bCs w:val="0"/>
          <w:sz w:val="21"/>
          <w:szCs w:val="21"/>
        </w:rPr>
        <w:t>por</w:t>
      </w:r>
      <w:r w:rsidRPr="00961415">
        <w:rPr>
          <w:rFonts w:ascii="Abadi" w:hAnsi="Abadi"/>
          <w:b w:val="0"/>
          <w:bCs w:val="0"/>
          <w:spacing w:val="4"/>
          <w:sz w:val="21"/>
          <w:szCs w:val="21"/>
        </w:rPr>
        <w:t xml:space="preserve"> </w:t>
      </w:r>
      <w:r w:rsidRPr="00961415">
        <w:rPr>
          <w:rFonts w:ascii="Abadi" w:hAnsi="Abadi"/>
          <w:b w:val="0"/>
          <w:bCs w:val="0"/>
          <w:sz w:val="21"/>
          <w:szCs w:val="21"/>
        </w:rPr>
        <w:t>ejemplo,</w:t>
      </w:r>
      <w:r w:rsidRPr="00961415">
        <w:rPr>
          <w:rFonts w:ascii="Abadi" w:hAnsi="Abadi"/>
          <w:b w:val="0"/>
          <w:bCs w:val="0"/>
          <w:spacing w:val="4"/>
          <w:sz w:val="21"/>
          <w:szCs w:val="21"/>
        </w:rPr>
        <w:t xml:space="preserve"> </w:t>
      </w:r>
      <w:r w:rsidRPr="00961415">
        <w:rPr>
          <w:rFonts w:ascii="Abadi" w:hAnsi="Abadi"/>
          <w:b w:val="0"/>
          <w:bCs w:val="0"/>
          <w:sz w:val="21"/>
          <w:szCs w:val="21"/>
        </w:rPr>
        <w:t>el</w:t>
      </w:r>
      <w:r w:rsidRPr="00961415">
        <w:rPr>
          <w:rFonts w:ascii="Abadi" w:hAnsi="Abadi"/>
          <w:b w:val="0"/>
          <w:bCs w:val="0"/>
          <w:spacing w:val="5"/>
          <w:sz w:val="21"/>
          <w:szCs w:val="21"/>
        </w:rPr>
        <w:t xml:space="preserve"> </w:t>
      </w:r>
      <w:r w:rsidRPr="00961415">
        <w:rPr>
          <w:rFonts w:ascii="Abadi" w:hAnsi="Abadi"/>
          <w:b w:val="0"/>
          <w:bCs w:val="0"/>
          <w:sz w:val="21"/>
          <w:szCs w:val="21"/>
        </w:rPr>
        <w:t>Instituto</w:t>
      </w:r>
      <w:r w:rsidRPr="00961415">
        <w:rPr>
          <w:rFonts w:ascii="Abadi" w:hAnsi="Abadi"/>
          <w:b w:val="0"/>
          <w:bCs w:val="0"/>
          <w:spacing w:val="5"/>
          <w:sz w:val="21"/>
          <w:szCs w:val="21"/>
        </w:rPr>
        <w:t xml:space="preserve"> </w:t>
      </w:r>
      <w:r w:rsidRPr="00961415">
        <w:rPr>
          <w:rFonts w:ascii="Abadi" w:hAnsi="Abadi"/>
          <w:b w:val="0"/>
          <w:bCs w:val="0"/>
          <w:sz w:val="21"/>
          <w:szCs w:val="21"/>
        </w:rPr>
        <w:t>para</w:t>
      </w:r>
      <w:r w:rsidRPr="00961415">
        <w:rPr>
          <w:rFonts w:ascii="Abadi" w:hAnsi="Abadi"/>
          <w:b w:val="0"/>
          <w:bCs w:val="0"/>
          <w:spacing w:val="5"/>
          <w:sz w:val="21"/>
          <w:szCs w:val="21"/>
        </w:rPr>
        <w:t xml:space="preserve"> </w:t>
      </w:r>
      <w:r w:rsidRPr="00961415">
        <w:rPr>
          <w:rFonts w:ascii="Abadi" w:hAnsi="Abadi"/>
          <w:b w:val="0"/>
          <w:bCs w:val="0"/>
          <w:sz w:val="21"/>
          <w:szCs w:val="21"/>
        </w:rPr>
        <w:t>las</w:t>
      </w:r>
      <w:r w:rsidRPr="00961415">
        <w:rPr>
          <w:rFonts w:ascii="Abadi" w:hAnsi="Abadi"/>
          <w:b w:val="0"/>
          <w:bCs w:val="0"/>
          <w:spacing w:val="4"/>
          <w:sz w:val="21"/>
          <w:szCs w:val="21"/>
        </w:rPr>
        <w:t xml:space="preserve"> </w:t>
      </w:r>
      <w:r w:rsidRPr="00961415">
        <w:rPr>
          <w:rFonts w:ascii="Abadi" w:hAnsi="Abadi"/>
          <w:b w:val="0"/>
          <w:bCs w:val="0"/>
          <w:sz w:val="21"/>
          <w:szCs w:val="21"/>
        </w:rPr>
        <w:t>Mujeres</w:t>
      </w:r>
      <w:r w:rsidRPr="00961415">
        <w:rPr>
          <w:rFonts w:ascii="Abadi" w:hAnsi="Abadi"/>
          <w:b w:val="0"/>
          <w:bCs w:val="0"/>
          <w:spacing w:val="4"/>
          <w:sz w:val="21"/>
          <w:szCs w:val="21"/>
        </w:rPr>
        <w:t xml:space="preserve"> </w:t>
      </w:r>
      <w:r w:rsidRPr="00961415">
        <w:rPr>
          <w:rFonts w:ascii="Abadi" w:hAnsi="Abadi"/>
          <w:b w:val="0"/>
          <w:bCs w:val="0"/>
          <w:sz w:val="21"/>
          <w:szCs w:val="21"/>
        </w:rPr>
        <w:t>Guanajuatenses</w:t>
      </w:r>
      <w:r w:rsidRPr="00961415">
        <w:rPr>
          <w:rFonts w:ascii="Abadi" w:hAnsi="Abadi"/>
          <w:b w:val="0"/>
          <w:bCs w:val="0"/>
          <w:spacing w:val="6"/>
          <w:sz w:val="21"/>
          <w:szCs w:val="21"/>
        </w:rPr>
        <w:t xml:space="preserve"> </w:t>
      </w:r>
      <w:r w:rsidRPr="00961415">
        <w:rPr>
          <w:rFonts w:ascii="Abadi" w:hAnsi="Abadi"/>
          <w:b w:val="0"/>
          <w:bCs w:val="0"/>
          <w:sz w:val="21"/>
          <w:szCs w:val="21"/>
        </w:rPr>
        <w:t>(IMUG)</w:t>
      </w:r>
      <w:r w:rsidRPr="00961415">
        <w:rPr>
          <w:rFonts w:ascii="Abadi" w:hAnsi="Abadi"/>
          <w:b w:val="0"/>
          <w:bCs w:val="0"/>
          <w:spacing w:val="-1"/>
          <w:sz w:val="21"/>
          <w:szCs w:val="21"/>
        </w:rPr>
        <w:t xml:space="preserve"> </w:t>
      </w:r>
      <w:r w:rsidRPr="00961415">
        <w:rPr>
          <w:rFonts w:ascii="Abadi" w:hAnsi="Abadi"/>
          <w:b w:val="0"/>
          <w:bCs w:val="0"/>
          <w:sz w:val="21"/>
          <w:szCs w:val="21"/>
        </w:rPr>
        <w:t>cuenta</w:t>
      </w:r>
      <w:r w:rsidRPr="00961415">
        <w:rPr>
          <w:rFonts w:ascii="Abadi" w:hAnsi="Abadi"/>
          <w:b w:val="0"/>
          <w:bCs w:val="0"/>
          <w:spacing w:val="33"/>
          <w:sz w:val="21"/>
          <w:szCs w:val="21"/>
        </w:rPr>
        <w:t xml:space="preserve"> </w:t>
      </w:r>
      <w:r w:rsidRPr="00961415">
        <w:rPr>
          <w:rFonts w:ascii="Abadi" w:hAnsi="Abadi"/>
          <w:b w:val="0"/>
          <w:bCs w:val="0"/>
          <w:sz w:val="21"/>
          <w:szCs w:val="21"/>
        </w:rPr>
        <w:t>con</w:t>
      </w:r>
      <w:r w:rsidRPr="00961415">
        <w:rPr>
          <w:rFonts w:ascii="Abadi" w:hAnsi="Abadi"/>
          <w:b w:val="0"/>
          <w:bCs w:val="0"/>
          <w:spacing w:val="34"/>
          <w:sz w:val="21"/>
          <w:szCs w:val="21"/>
        </w:rPr>
        <w:t xml:space="preserve"> </w:t>
      </w:r>
      <w:r w:rsidRPr="00961415">
        <w:rPr>
          <w:rFonts w:ascii="Abadi" w:hAnsi="Abadi"/>
          <w:b w:val="0"/>
          <w:bCs w:val="0"/>
          <w:sz w:val="21"/>
          <w:szCs w:val="21"/>
        </w:rPr>
        <w:t>un</w:t>
      </w:r>
      <w:r w:rsidRPr="00961415">
        <w:rPr>
          <w:rFonts w:ascii="Abadi" w:hAnsi="Abadi"/>
          <w:b w:val="0"/>
          <w:bCs w:val="0"/>
          <w:spacing w:val="33"/>
          <w:sz w:val="21"/>
          <w:szCs w:val="21"/>
        </w:rPr>
        <w:t xml:space="preserve"> </w:t>
      </w:r>
      <w:r w:rsidRPr="00961415">
        <w:rPr>
          <w:rFonts w:ascii="Abadi" w:hAnsi="Abadi"/>
          <w:b w:val="0"/>
          <w:bCs w:val="0"/>
          <w:sz w:val="21"/>
          <w:szCs w:val="21"/>
        </w:rPr>
        <w:t>solo</w:t>
      </w:r>
      <w:r w:rsidRPr="00961415">
        <w:rPr>
          <w:rFonts w:ascii="Abadi" w:hAnsi="Abadi"/>
          <w:b w:val="0"/>
          <w:bCs w:val="0"/>
          <w:spacing w:val="34"/>
          <w:sz w:val="21"/>
          <w:szCs w:val="21"/>
        </w:rPr>
        <w:t xml:space="preserve"> </w:t>
      </w:r>
      <w:r w:rsidRPr="00961415">
        <w:rPr>
          <w:rFonts w:ascii="Abadi" w:hAnsi="Abadi"/>
          <w:b w:val="0"/>
          <w:bCs w:val="0"/>
          <w:sz w:val="21"/>
          <w:szCs w:val="21"/>
        </w:rPr>
        <w:t>programa,</w:t>
      </w:r>
      <w:r w:rsidRPr="00961415">
        <w:rPr>
          <w:rFonts w:ascii="Abadi" w:hAnsi="Abadi"/>
          <w:b w:val="0"/>
          <w:bCs w:val="0"/>
          <w:spacing w:val="34"/>
          <w:sz w:val="21"/>
          <w:szCs w:val="21"/>
        </w:rPr>
        <w:t xml:space="preserve"> </w:t>
      </w:r>
      <w:r w:rsidRPr="00961415">
        <w:rPr>
          <w:rFonts w:ascii="Abadi" w:hAnsi="Abadi"/>
          <w:b w:val="0"/>
          <w:bCs w:val="0"/>
          <w:sz w:val="21"/>
          <w:szCs w:val="21"/>
        </w:rPr>
        <w:t>denominado</w:t>
      </w:r>
      <w:r w:rsidRPr="00961415">
        <w:rPr>
          <w:rFonts w:ascii="Abadi" w:hAnsi="Abadi"/>
          <w:b w:val="0"/>
          <w:bCs w:val="0"/>
          <w:spacing w:val="32"/>
          <w:sz w:val="21"/>
          <w:szCs w:val="21"/>
        </w:rPr>
        <w:t xml:space="preserve"> </w:t>
      </w:r>
      <w:r w:rsidRPr="00961415">
        <w:rPr>
          <w:rFonts w:ascii="Abadi" w:hAnsi="Abadi"/>
          <w:b w:val="0"/>
          <w:bCs w:val="0"/>
          <w:i/>
          <w:iCs/>
          <w:sz w:val="21"/>
          <w:szCs w:val="21"/>
        </w:rPr>
        <w:t>E045</w:t>
      </w:r>
      <w:r w:rsidRPr="00961415">
        <w:rPr>
          <w:rFonts w:ascii="Abadi" w:hAnsi="Abadi"/>
          <w:b w:val="0"/>
          <w:bCs w:val="0"/>
          <w:i/>
          <w:iCs/>
          <w:spacing w:val="33"/>
          <w:sz w:val="21"/>
          <w:szCs w:val="21"/>
        </w:rPr>
        <w:t xml:space="preserve"> </w:t>
      </w:r>
      <w:r w:rsidRPr="00961415">
        <w:rPr>
          <w:rFonts w:ascii="Abadi" w:hAnsi="Abadi"/>
          <w:b w:val="0"/>
          <w:bCs w:val="0"/>
          <w:i/>
          <w:iCs/>
          <w:sz w:val="21"/>
          <w:szCs w:val="21"/>
        </w:rPr>
        <w:t>Acceso</w:t>
      </w:r>
      <w:r w:rsidRPr="00961415">
        <w:rPr>
          <w:rFonts w:ascii="Abadi" w:hAnsi="Abadi"/>
          <w:b w:val="0"/>
          <w:bCs w:val="0"/>
          <w:i/>
          <w:iCs/>
          <w:spacing w:val="33"/>
          <w:sz w:val="21"/>
          <w:szCs w:val="21"/>
        </w:rPr>
        <w:t xml:space="preserve"> </w:t>
      </w:r>
      <w:r w:rsidRPr="00961415">
        <w:rPr>
          <w:rFonts w:ascii="Abadi" w:hAnsi="Abadi"/>
          <w:b w:val="0"/>
          <w:bCs w:val="0"/>
          <w:i/>
          <w:iCs/>
          <w:sz w:val="21"/>
          <w:szCs w:val="21"/>
        </w:rPr>
        <w:t>Equitativo</w:t>
      </w:r>
      <w:r w:rsidRPr="00961415">
        <w:rPr>
          <w:rFonts w:ascii="Abadi" w:hAnsi="Abadi"/>
          <w:b w:val="0"/>
          <w:bCs w:val="0"/>
          <w:i/>
          <w:iCs/>
          <w:spacing w:val="33"/>
          <w:sz w:val="21"/>
          <w:szCs w:val="21"/>
        </w:rPr>
        <w:t xml:space="preserve"> </w:t>
      </w:r>
      <w:r w:rsidRPr="00961415">
        <w:rPr>
          <w:rFonts w:ascii="Abadi" w:hAnsi="Abadi"/>
          <w:b w:val="0"/>
          <w:bCs w:val="0"/>
          <w:i/>
          <w:iCs/>
          <w:sz w:val="21"/>
          <w:szCs w:val="21"/>
        </w:rPr>
        <w:t>y Oportunidades</w:t>
      </w:r>
      <w:r w:rsidRPr="00961415">
        <w:rPr>
          <w:rFonts w:ascii="Abadi" w:hAnsi="Abadi"/>
          <w:b w:val="0"/>
          <w:bCs w:val="0"/>
          <w:i/>
          <w:iCs/>
          <w:spacing w:val="18"/>
          <w:sz w:val="21"/>
          <w:szCs w:val="21"/>
        </w:rPr>
        <w:t xml:space="preserve"> </w:t>
      </w:r>
      <w:r w:rsidRPr="00961415">
        <w:rPr>
          <w:rFonts w:ascii="Abadi" w:hAnsi="Abadi"/>
          <w:b w:val="0"/>
          <w:bCs w:val="0"/>
          <w:i/>
          <w:iCs/>
          <w:sz w:val="21"/>
          <w:szCs w:val="21"/>
        </w:rPr>
        <w:t>de</w:t>
      </w:r>
      <w:r w:rsidRPr="00961415">
        <w:rPr>
          <w:rFonts w:ascii="Abadi" w:hAnsi="Abadi"/>
          <w:b w:val="0"/>
          <w:bCs w:val="0"/>
          <w:i/>
          <w:iCs/>
          <w:spacing w:val="18"/>
          <w:sz w:val="21"/>
          <w:szCs w:val="21"/>
        </w:rPr>
        <w:t xml:space="preserve"> </w:t>
      </w:r>
      <w:r w:rsidRPr="00961415">
        <w:rPr>
          <w:rFonts w:ascii="Abadi" w:hAnsi="Abadi"/>
          <w:b w:val="0"/>
          <w:bCs w:val="0"/>
          <w:i/>
          <w:iCs/>
          <w:sz w:val="21"/>
          <w:szCs w:val="21"/>
        </w:rPr>
        <w:t>Desarrollo</w:t>
      </w:r>
      <w:r w:rsidRPr="00961415">
        <w:rPr>
          <w:rFonts w:ascii="Abadi" w:hAnsi="Abadi"/>
          <w:b w:val="0"/>
          <w:bCs w:val="0"/>
          <w:i/>
          <w:iCs/>
          <w:spacing w:val="19"/>
          <w:sz w:val="21"/>
          <w:szCs w:val="21"/>
        </w:rPr>
        <w:t xml:space="preserve"> </w:t>
      </w:r>
      <w:r w:rsidRPr="00961415">
        <w:rPr>
          <w:rFonts w:ascii="Abadi" w:hAnsi="Abadi"/>
          <w:b w:val="0"/>
          <w:bCs w:val="0"/>
          <w:i/>
          <w:iCs/>
          <w:sz w:val="21"/>
          <w:szCs w:val="21"/>
        </w:rPr>
        <w:t>para</w:t>
      </w:r>
      <w:r w:rsidRPr="00961415">
        <w:rPr>
          <w:rFonts w:ascii="Abadi" w:hAnsi="Abadi"/>
          <w:b w:val="0"/>
          <w:bCs w:val="0"/>
          <w:i/>
          <w:iCs/>
          <w:spacing w:val="18"/>
          <w:sz w:val="21"/>
          <w:szCs w:val="21"/>
        </w:rPr>
        <w:t xml:space="preserve"> </w:t>
      </w:r>
      <w:r w:rsidRPr="00961415">
        <w:rPr>
          <w:rFonts w:ascii="Abadi" w:hAnsi="Abadi"/>
          <w:b w:val="0"/>
          <w:bCs w:val="0"/>
          <w:i/>
          <w:iCs/>
          <w:sz w:val="21"/>
          <w:szCs w:val="21"/>
        </w:rPr>
        <w:t>Mujeres</w:t>
      </w:r>
      <w:r w:rsidRPr="00961415">
        <w:rPr>
          <w:rFonts w:ascii="Abadi" w:hAnsi="Abadi"/>
          <w:b w:val="0"/>
          <w:bCs w:val="0"/>
          <w:i/>
          <w:iCs/>
          <w:spacing w:val="18"/>
          <w:sz w:val="21"/>
          <w:szCs w:val="21"/>
        </w:rPr>
        <w:t xml:space="preserve"> </w:t>
      </w:r>
      <w:r w:rsidRPr="00961415">
        <w:rPr>
          <w:rFonts w:ascii="Abadi" w:hAnsi="Abadi"/>
          <w:b w:val="0"/>
          <w:bCs w:val="0"/>
          <w:i/>
          <w:iCs/>
          <w:sz w:val="21"/>
          <w:szCs w:val="21"/>
        </w:rPr>
        <w:t>y</w:t>
      </w:r>
      <w:r w:rsidRPr="00961415">
        <w:rPr>
          <w:rFonts w:ascii="Abadi" w:hAnsi="Abadi"/>
          <w:b w:val="0"/>
          <w:bCs w:val="0"/>
          <w:i/>
          <w:iCs/>
          <w:spacing w:val="24"/>
          <w:sz w:val="21"/>
          <w:szCs w:val="21"/>
        </w:rPr>
        <w:t xml:space="preserve"> </w:t>
      </w:r>
      <w:r w:rsidRPr="00961415">
        <w:rPr>
          <w:rFonts w:ascii="Abadi" w:hAnsi="Abadi"/>
          <w:b w:val="0"/>
          <w:bCs w:val="0"/>
          <w:i/>
          <w:iCs/>
          <w:sz w:val="21"/>
          <w:szCs w:val="21"/>
        </w:rPr>
        <w:t>Hombres</w:t>
      </w:r>
      <w:r w:rsidRPr="00961415">
        <w:rPr>
          <w:rFonts w:ascii="Abadi" w:hAnsi="Abadi"/>
          <w:b w:val="0"/>
          <w:bCs w:val="0"/>
          <w:sz w:val="21"/>
          <w:szCs w:val="21"/>
        </w:rPr>
        <w:t>,</w:t>
      </w:r>
      <w:r w:rsidRPr="00961415">
        <w:rPr>
          <w:rFonts w:ascii="Abadi" w:hAnsi="Abadi"/>
          <w:b w:val="0"/>
          <w:bCs w:val="0"/>
          <w:spacing w:val="17"/>
          <w:sz w:val="21"/>
          <w:szCs w:val="21"/>
        </w:rPr>
        <w:t xml:space="preserve"> </w:t>
      </w:r>
      <w:r w:rsidRPr="00961415">
        <w:rPr>
          <w:rFonts w:ascii="Abadi" w:hAnsi="Abadi"/>
          <w:b w:val="0"/>
          <w:bCs w:val="0"/>
          <w:sz w:val="21"/>
          <w:szCs w:val="21"/>
        </w:rPr>
        <w:t>mismo</w:t>
      </w:r>
      <w:r w:rsidRPr="00961415">
        <w:rPr>
          <w:rFonts w:ascii="Abadi" w:hAnsi="Abadi"/>
          <w:b w:val="0"/>
          <w:bCs w:val="0"/>
          <w:spacing w:val="16"/>
          <w:sz w:val="21"/>
          <w:szCs w:val="21"/>
        </w:rPr>
        <w:t xml:space="preserve"> </w:t>
      </w:r>
      <w:r w:rsidRPr="00961415">
        <w:rPr>
          <w:rFonts w:ascii="Abadi" w:hAnsi="Abadi"/>
          <w:b w:val="0"/>
          <w:bCs w:val="0"/>
          <w:sz w:val="21"/>
          <w:szCs w:val="21"/>
        </w:rPr>
        <w:t>que</w:t>
      </w:r>
      <w:r w:rsidRPr="00961415">
        <w:rPr>
          <w:rFonts w:ascii="Abadi" w:hAnsi="Abadi"/>
          <w:b w:val="0"/>
          <w:bCs w:val="0"/>
          <w:spacing w:val="19"/>
          <w:sz w:val="21"/>
          <w:szCs w:val="21"/>
        </w:rPr>
        <w:t xml:space="preserve"> </w:t>
      </w:r>
      <w:r w:rsidRPr="00961415">
        <w:rPr>
          <w:rFonts w:ascii="Abadi" w:hAnsi="Abadi"/>
          <w:b w:val="0"/>
          <w:bCs w:val="0"/>
          <w:sz w:val="21"/>
          <w:szCs w:val="21"/>
        </w:rPr>
        <w:t>contiene</w:t>
      </w:r>
      <w:r w:rsidRPr="00961415">
        <w:rPr>
          <w:rFonts w:ascii="Abadi" w:hAnsi="Abadi"/>
          <w:b w:val="0"/>
          <w:bCs w:val="0"/>
          <w:spacing w:val="20"/>
          <w:sz w:val="21"/>
          <w:szCs w:val="21"/>
        </w:rPr>
        <w:t xml:space="preserve"> </w:t>
      </w:r>
      <w:r w:rsidRPr="00961415">
        <w:rPr>
          <w:rFonts w:ascii="Abadi" w:hAnsi="Abadi"/>
          <w:b w:val="0"/>
          <w:bCs w:val="0"/>
          <w:sz w:val="21"/>
          <w:szCs w:val="21"/>
        </w:rPr>
        <w:t>tres</w:t>
      </w:r>
    </w:p>
    <w:p w14:paraId="18E5C719" w14:textId="3F70AF04" w:rsidR="00AF040F" w:rsidRDefault="00AF040F" w:rsidP="00A44DEE">
      <w:pPr>
        <w:pStyle w:val="Textoindependiente"/>
        <w:kinsoku w:val="0"/>
        <w:overflowPunct w:val="0"/>
        <w:rPr>
          <w:rFonts w:ascii="Abadi" w:hAnsi="Abadi"/>
          <w:b w:val="0"/>
          <w:bCs w:val="0"/>
          <w:sz w:val="21"/>
          <w:szCs w:val="21"/>
        </w:rPr>
      </w:pPr>
      <w:r w:rsidRPr="00961415">
        <w:rPr>
          <w:rFonts w:ascii="Abadi" w:hAnsi="Abadi"/>
          <w:b w:val="0"/>
          <w:bCs w:val="0"/>
          <w:sz w:val="21"/>
          <w:szCs w:val="21"/>
        </w:rPr>
        <w:t>proyectos:</w:t>
      </w:r>
    </w:p>
    <w:p w14:paraId="60F70265" w14:textId="77777777" w:rsidR="00FB4A75" w:rsidRPr="00961415" w:rsidRDefault="00FB4A75" w:rsidP="00A44DEE">
      <w:pPr>
        <w:pStyle w:val="Textoindependiente"/>
        <w:kinsoku w:val="0"/>
        <w:overflowPunct w:val="0"/>
        <w:rPr>
          <w:rFonts w:ascii="Abadi" w:hAnsi="Abadi"/>
          <w:b w:val="0"/>
          <w:bCs w:val="0"/>
          <w:sz w:val="21"/>
          <w:szCs w:val="21"/>
        </w:rPr>
      </w:pPr>
    </w:p>
    <w:p w14:paraId="0B27FF71" w14:textId="5B1B47CE" w:rsidR="00AF040F" w:rsidRPr="00961415" w:rsidRDefault="00AF040F" w:rsidP="00A44DEE">
      <w:pPr>
        <w:pStyle w:val="Prrafodelista"/>
        <w:numPr>
          <w:ilvl w:val="1"/>
          <w:numId w:val="30"/>
        </w:numPr>
        <w:kinsoku w:val="0"/>
        <w:overflowPunct w:val="0"/>
        <w:autoSpaceDE w:val="0"/>
        <w:autoSpaceDN w:val="0"/>
        <w:adjustRightInd w:val="0"/>
        <w:ind w:left="993"/>
        <w:jc w:val="both"/>
        <w:rPr>
          <w:rFonts w:ascii="Abadi" w:hAnsi="Abadi"/>
          <w:b/>
          <w:bCs/>
          <w:sz w:val="21"/>
          <w:szCs w:val="21"/>
        </w:rPr>
      </w:pPr>
      <w:r w:rsidRPr="00961415">
        <w:rPr>
          <w:rFonts w:ascii="Abadi" w:hAnsi="Abadi"/>
          <w:i/>
          <w:iCs/>
          <w:sz w:val="21"/>
          <w:szCs w:val="21"/>
        </w:rPr>
        <w:t>Q3195 Acceso</w:t>
      </w:r>
      <w:r w:rsidRPr="00961415">
        <w:rPr>
          <w:rFonts w:ascii="Abadi" w:hAnsi="Abadi"/>
          <w:i/>
          <w:iCs/>
          <w:spacing w:val="1"/>
          <w:sz w:val="21"/>
          <w:szCs w:val="21"/>
        </w:rPr>
        <w:t xml:space="preserve"> </w:t>
      </w:r>
      <w:r w:rsidRPr="00961415">
        <w:rPr>
          <w:rFonts w:ascii="Abadi" w:hAnsi="Abadi"/>
          <w:i/>
          <w:iCs/>
          <w:sz w:val="21"/>
          <w:szCs w:val="21"/>
        </w:rPr>
        <w:t>de</w:t>
      </w:r>
      <w:r w:rsidRPr="00961415">
        <w:rPr>
          <w:rFonts w:ascii="Abadi" w:hAnsi="Abadi"/>
          <w:i/>
          <w:iCs/>
          <w:spacing w:val="-1"/>
          <w:sz w:val="21"/>
          <w:szCs w:val="21"/>
        </w:rPr>
        <w:t xml:space="preserve"> </w:t>
      </w:r>
      <w:r w:rsidRPr="00961415">
        <w:rPr>
          <w:rFonts w:ascii="Abadi" w:hAnsi="Abadi"/>
          <w:i/>
          <w:iCs/>
          <w:sz w:val="21"/>
          <w:szCs w:val="21"/>
        </w:rPr>
        <w:t>las</w:t>
      </w:r>
      <w:r w:rsidRPr="00961415">
        <w:rPr>
          <w:rFonts w:ascii="Abadi" w:hAnsi="Abadi"/>
          <w:i/>
          <w:iCs/>
          <w:spacing w:val="1"/>
          <w:sz w:val="21"/>
          <w:szCs w:val="21"/>
        </w:rPr>
        <w:t xml:space="preserve"> </w:t>
      </w:r>
      <w:r w:rsidRPr="00961415">
        <w:rPr>
          <w:rFonts w:ascii="Abadi" w:hAnsi="Abadi"/>
          <w:i/>
          <w:iCs/>
          <w:sz w:val="21"/>
          <w:szCs w:val="21"/>
        </w:rPr>
        <w:t>mujeres</w:t>
      </w:r>
      <w:r w:rsidRPr="00961415">
        <w:rPr>
          <w:rFonts w:ascii="Abadi" w:hAnsi="Abadi"/>
          <w:i/>
          <w:iCs/>
          <w:spacing w:val="-1"/>
          <w:sz w:val="21"/>
          <w:szCs w:val="21"/>
        </w:rPr>
        <w:t xml:space="preserve"> </w:t>
      </w:r>
      <w:r w:rsidRPr="00961415">
        <w:rPr>
          <w:rFonts w:ascii="Abadi" w:hAnsi="Abadi"/>
          <w:i/>
          <w:iCs/>
          <w:sz w:val="21"/>
          <w:szCs w:val="21"/>
        </w:rPr>
        <w:t>a</w:t>
      </w:r>
      <w:r w:rsidRPr="00961415">
        <w:rPr>
          <w:rFonts w:ascii="Abadi" w:hAnsi="Abadi"/>
          <w:i/>
          <w:iCs/>
          <w:spacing w:val="3"/>
          <w:sz w:val="21"/>
          <w:szCs w:val="21"/>
        </w:rPr>
        <w:t xml:space="preserve"> </w:t>
      </w:r>
      <w:r w:rsidRPr="00961415">
        <w:rPr>
          <w:rFonts w:ascii="Abadi" w:hAnsi="Abadi"/>
          <w:i/>
          <w:iCs/>
          <w:sz w:val="21"/>
          <w:szCs w:val="21"/>
        </w:rPr>
        <w:t>oportunidades</w:t>
      </w:r>
      <w:r w:rsidRPr="00961415">
        <w:rPr>
          <w:rFonts w:ascii="Abadi" w:hAnsi="Abadi"/>
          <w:i/>
          <w:iCs/>
          <w:spacing w:val="1"/>
          <w:sz w:val="21"/>
          <w:szCs w:val="21"/>
        </w:rPr>
        <w:t xml:space="preserve"> </w:t>
      </w:r>
      <w:r w:rsidRPr="00961415">
        <w:rPr>
          <w:rFonts w:ascii="Abadi" w:hAnsi="Abadi"/>
          <w:i/>
          <w:iCs/>
          <w:sz w:val="21"/>
          <w:szCs w:val="21"/>
        </w:rPr>
        <w:t>de</w:t>
      </w:r>
      <w:r w:rsidRPr="00961415">
        <w:rPr>
          <w:rFonts w:ascii="Abadi" w:hAnsi="Abadi"/>
          <w:i/>
          <w:iCs/>
          <w:spacing w:val="-2"/>
          <w:sz w:val="21"/>
          <w:szCs w:val="21"/>
        </w:rPr>
        <w:t xml:space="preserve"> </w:t>
      </w:r>
      <w:r w:rsidRPr="00961415">
        <w:rPr>
          <w:rFonts w:ascii="Abadi" w:hAnsi="Abadi"/>
          <w:i/>
          <w:iCs/>
          <w:sz w:val="21"/>
          <w:szCs w:val="21"/>
        </w:rPr>
        <w:t>desarrollo en</w:t>
      </w:r>
      <w:r w:rsidRPr="00961415">
        <w:rPr>
          <w:rFonts w:ascii="Abadi" w:hAnsi="Abadi"/>
          <w:i/>
          <w:iCs/>
          <w:spacing w:val="-1"/>
          <w:sz w:val="21"/>
          <w:szCs w:val="21"/>
        </w:rPr>
        <w:t xml:space="preserve"> </w:t>
      </w:r>
      <w:r w:rsidRPr="00961415">
        <w:rPr>
          <w:rFonts w:ascii="Abadi" w:hAnsi="Abadi"/>
          <w:i/>
          <w:iCs/>
          <w:sz w:val="21"/>
          <w:szCs w:val="21"/>
        </w:rPr>
        <w:t>condiciones</w:t>
      </w:r>
      <w:r w:rsidR="00C32314">
        <w:rPr>
          <w:rFonts w:ascii="Abadi" w:hAnsi="Abadi"/>
          <w:i/>
          <w:iCs/>
          <w:sz w:val="21"/>
          <w:szCs w:val="21"/>
        </w:rPr>
        <w:t xml:space="preserve"> </w:t>
      </w:r>
      <w:r w:rsidRPr="00961415">
        <w:rPr>
          <w:rFonts w:ascii="Abadi" w:hAnsi="Abadi"/>
          <w:i/>
          <w:iCs/>
          <w:sz w:val="21"/>
          <w:szCs w:val="21"/>
        </w:rPr>
        <w:t>de</w:t>
      </w:r>
      <w:r w:rsidRPr="00961415">
        <w:rPr>
          <w:rFonts w:ascii="Abadi" w:hAnsi="Abadi"/>
          <w:i/>
          <w:iCs/>
          <w:spacing w:val="-1"/>
          <w:sz w:val="21"/>
          <w:szCs w:val="21"/>
        </w:rPr>
        <w:t xml:space="preserve"> </w:t>
      </w:r>
      <w:r w:rsidRPr="00961415">
        <w:rPr>
          <w:rFonts w:ascii="Abadi" w:hAnsi="Abadi"/>
          <w:i/>
          <w:iCs/>
          <w:sz w:val="21"/>
          <w:szCs w:val="21"/>
        </w:rPr>
        <w:t>igualdad</w:t>
      </w:r>
      <w:r w:rsidRPr="00961415">
        <w:rPr>
          <w:rFonts w:ascii="Abadi" w:hAnsi="Abadi"/>
          <w:sz w:val="21"/>
          <w:szCs w:val="21"/>
        </w:rPr>
        <w:t>,</w:t>
      </w:r>
      <w:r w:rsidRPr="00961415">
        <w:rPr>
          <w:rFonts w:ascii="Abadi" w:hAnsi="Abadi"/>
          <w:spacing w:val="-3"/>
          <w:sz w:val="21"/>
          <w:szCs w:val="21"/>
        </w:rPr>
        <w:t xml:space="preserve"> </w:t>
      </w:r>
      <w:r w:rsidRPr="00961415">
        <w:rPr>
          <w:rFonts w:ascii="Abadi" w:hAnsi="Abadi"/>
          <w:sz w:val="21"/>
          <w:szCs w:val="21"/>
        </w:rPr>
        <w:t>al</w:t>
      </w:r>
      <w:r w:rsidRPr="00961415">
        <w:rPr>
          <w:rFonts w:ascii="Abadi" w:hAnsi="Abadi"/>
          <w:spacing w:val="-1"/>
          <w:sz w:val="21"/>
          <w:szCs w:val="21"/>
        </w:rPr>
        <w:t xml:space="preserve"> </w:t>
      </w:r>
      <w:r w:rsidRPr="00961415">
        <w:rPr>
          <w:rFonts w:ascii="Abadi" w:hAnsi="Abadi"/>
          <w:sz w:val="21"/>
          <w:szCs w:val="21"/>
        </w:rPr>
        <w:t>que</w:t>
      </w:r>
      <w:r w:rsidRPr="00961415">
        <w:rPr>
          <w:rFonts w:ascii="Abadi" w:hAnsi="Abadi"/>
          <w:spacing w:val="-1"/>
          <w:sz w:val="21"/>
          <w:szCs w:val="21"/>
        </w:rPr>
        <w:t xml:space="preserve"> </w:t>
      </w:r>
      <w:r w:rsidRPr="00961415">
        <w:rPr>
          <w:rFonts w:ascii="Abadi" w:hAnsi="Abadi"/>
          <w:sz w:val="21"/>
          <w:szCs w:val="21"/>
        </w:rPr>
        <w:t>se le</w:t>
      </w:r>
      <w:r w:rsidRPr="00961415">
        <w:rPr>
          <w:rFonts w:ascii="Abadi" w:hAnsi="Abadi"/>
          <w:spacing w:val="-2"/>
          <w:sz w:val="21"/>
          <w:szCs w:val="21"/>
        </w:rPr>
        <w:t xml:space="preserve"> </w:t>
      </w:r>
      <w:r w:rsidRPr="00961415">
        <w:rPr>
          <w:rFonts w:ascii="Abadi" w:hAnsi="Abadi"/>
          <w:sz w:val="21"/>
          <w:szCs w:val="21"/>
        </w:rPr>
        <w:t>asignaron</w:t>
      </w:r>
      <w:r w:rsidRPr="00961415">
        <w:rPr>
          <w:rFonts w:ascii="Abadi" w:hAnsi="Abadi"/>
          <w:spacing w:val="-1"/>
          <w:sz w:val="21"/>
          <w:szCs w:val="21"/>
        </w:rPr>
        <w:t xml:space="preserve"> </w:t>
      </w:r>
      <w:r w:rsidRPr="00961415">
        <w:rPr>
          <w:rFonts w:ascii="Abadi" w:hAnsi="Abadi"/>
          <w:sz w:val="21"/>
          <w:szCs w:val="21"/>
        </w:rPr>
        <w:t>11.2</w:t>
      </w:r>
      <w:r w:rsidRPr="00961415">
        <w:rPr>
          <w:rFonts w:ascii="Abadi" w:hAnsi="Abadi"/>
          <w:spacing w:val="1"/>
          <w:sz w:val="21"/>
          <w:szCs w:val="21"/>
        </w:rPr>
        <w:t xml:space="preserve"> </w:t>
      </w:r>
      <w:r w:rsidRPr="00961415">
        <w:rPr>
          <w:rFonts w:ascii="Abadi" w:hAnsi="Abadi"/>
          <w:sz w:val="21"/>
          <w:szCs w:val="21"/>
        </w:rPr>
        <w:t>millones</w:t>
      </w:r>
      <w:r w:rsidRPr="00961415">
        <w:rPr>
          <w:rFonts w:ascii="Abadi" w:hAnsi="Abadi"/>
          <w:spacing w:val="-1"/>
          <w:sz w:val="21"/>
          <w:szCs w:val="21"/>
        </w:rPr>
        <w:t xml:space="preserve"> </w:t>
      </w:r>
      <w:r w:rsidRPr="00961415">
        <w:rPr>
          <w:rFonts w:ascii="Abadi" w:hAnsi="Abadi"/>
          <w:sz w:val="21"/>
          <w:szCs w:val="21"/>
        </w:rPr>
        <w:t>de pesos;</w:t>
      </w:r>
    </w:p>
    <w:p w14:paraId="67AEE5CA" w14:textId="6F7A10EE" w:rsidR="00AF040F" w:rsidRDefault="00AF040F" w:rsidP="00A44DEE">
      <w:pPr>
        <w:pStyle w:val="Prrafodelista"/>
        <w:numPr>
          <w:ilvl w:val="0"/>
          <w:numId w:val="30"/>
        </w:numPr>
        <w:kinsoku w:val="0"/>
        <w:overflowPunct w:val="0"/>
        <w:autoSpaceDE w:val="0"/>
        <w:autoSpaceDN w:val="0"/>
        <w:adjustRightInd w:val="0"/>
        <w:spacing w:before="158"/>
        <w:ind w:left="567" w:right="119"/>
        <w:jc w:val="both"/>
        <w:rPr>
          <w:rFonts w:ascii="Abadi" w:hAnsi="Abadi"/>
          <w:w w:val="99"/>
          <w:sz w:val="21"/>
          <w:szCs w:val="21"/>
        </w:rPr>
      </w:pPr>
      <w:r w:rsidRPr="00961415">
        <w:rPr>
          <w:rFonts w:ascii="Abadi" w:hAnsi="Abadi"/>
          <w:i/>
          <w:iCs/>
          <w:sz w:val="21"/>
          <w:szCs w:val="21"/>
        </w:rPr>
        <w:t>Q3189</w:t>
      </w:r>
      <w:r w:rsidRPr="00961415">
        <w:rPr>
          <w:rFonts w:ascii="Abadi" w:hAnsi="Abadi"/>
          <w:i/>
          <w:iCs/>
          <w:spacing w:val="35"/>
          <w:sz w:val="21"/>
          <w:szCs w:val="21"/>
        </w:rPr>
        <w:t xml:space="preserve"> </w:t>
      </w:r>
      <w:r w:rsidRPr="00961415">
        <w:rPr>
          <w:rFonts w:ascii="Abadi" w:hAnsi="Abadi"/>
          <w:i/>
          <w:iCs/>
          <w:sz w:val="21"/>
          <w:szCs w:val="21"/>
        </w:rPr>
        <w:t>Acciones</w:t>
      </w:r>
      <w:r w:rsidRPr="00961415">
        <w:rPr>
          <w:rFonts w:ascii="Abadi" w:hAnsi="Abadi"/>
          <w:i/>
          <w:iCs/>
          <w:spacing w:val="35"/>
          <w:sz w:val="21"/>
          <w:szCs w:val="21"/>
        </w:rPr>
        <w:t xml:space="preserve"> </w:t>
      </w:r>
      <w:r w:rsidRPr="00961415">
        <w:rPr>
          <w:rFonts w:ascii="Abadi" w:hAnsi="Abadi"/>
          <w:i/>
          <w:iCs/>
          <w:sz w:val="21"/>
          <w:szCs w:val="21"/>
        </w:rPr>
        <w:t>para</w:t>
      </w:r>
      <w:r w:rsidRPr="00961415">
        <w:rPr>
          <w:rFonts w:ascii="Abadi" w:hAnsi="Abadi"/>
          <w:i/>
          <w:iCs/>
          <w:spacing w:val="37"/>
          <w:sz w:val="21"/>
          <w:szCs w:val="21"/>
        </w:rPr>
        <w:t xml:space="preserve"> </w:t>
      </w:r>
      <w:r w:rsidRPr="00961415">
        <w:rPr>
          <w:rFonts w:ascii="Abadi" w:hAnsi="Abadi"/>
          <w:i/>
          <w:iCs/>
          <w:sz w:val="21"/>
          <w:szCs w:val="21"/>
        </w:rPr>
        <w:t>reducir</w:t>
      </w:r>
      <w:r w:rsidRPr="00961415">
        <w:rPr>
          <w:rFonts w:ascii="Abadi" w:hAnsi="Abadi"/>
          <w:i/>
          <w:iCs/>
          <w:spacing w:val="36"/>
          <w:sz w:val="21"/>
          <w:szCs w:val="21"/>
        </w:rPr>
        <w:t xml:space="preserve"> </w:t>
      </w:r>
      <w:r w:rsidRPr="00961415">
        <w:rPr>
          <w:rFonts w:ascii="Abadi" w:hAnsi="Abadi"/>
          <w:i/>
          <w:iCs/>
          <w:sz w:val="21"/>
          <w:szCs w:val="21"/>
        </w:rPr>
        <w:t>las</w:t>
      </w:r>
      <w:r w:rsidRPr="00961415">
        <w:rPr>
          <w:rFonts w:ascii="Abadi" w:hAnsi="Abadi"/>
          <w:i/>
          <w:iCs/>
          <w:spacing w:val="34"/>
          <w:sz w:val="21"/>
          <w:szCs w:val="21"/>
        </w:rPr>
        <w:t xml:space="preserve"> </w:t>
      </w:r>
      <w:r w:rsidRPr="00961415">
        <w:rPr>
          <w:rFonts w:ascii="Abadi" w:hAnsi="Abadi"/>
          <w:i/>
          <w:iCs/>
          <w:sz w:val="21"/>
          <w:szCs w:val="21"/>
        </w:rPr>
        <w:t>manifestaciones</w:t>
      </w:r>
      <w:r w:rsidRPr="00961415">
        <w:rPr>
          <w:rFonts w:ascii="Abadi" w:hAnsi="Abadi"/>
          <w:i/>
          <w:iCs/>
          <w:spacing w:val="35"/>
          <w:sz w:val="21"/>
          <w:szCs w:val="21"/>
        </w:rPr>
        <w:t xml:space="preserve"> </w:t>
      </w:r>
      <w:r w:rsidRPr="00961415">
        <w:rPr>
          <w:rFonts w:ascii="Abadi" w:hAnsi="Abadi"/>
          <w:i/>
          <w:iCs/>
          <w:sz w:val="21"/>
          <w:szCs w:val="21"/>
        </w:rPr>
        <w:t>de</w:t>
      </w:r>
      <w:r w:rsidRPr="00961415">
        <w:rPr>
          <w:rFonts w:ascii="Abadi" w:hAnsi="Abadi"/>
          <w:i/>
          <w:iCs/>
          <w:spacing w:val="35"/>
          <w:sz w:val="21"/>
          <w:szCs w:val="21"/>
        </w:rPr>
        <w:t xml:space="preserve"> </w:t>
      </w:r>
      <w:r w:rsidRPr="00961415">
        <w:rPr>
          <w:rFonts w:ascii="Abadi" w:hAnsi="Abadi"/>
          <w:i/>
          <w:iCs/>
          <w:sz w:val="21"/>
          <w:szCs w:val="21"/>
        </w:rPr>
        <w:t>violencia</w:t>
      </w:r>
      <w:r w:rsidRPr="00961415">
        <w:rPr>
          <w:rFonts w:ascii="Abadi" w:hAnsi="Abadi"/>
          <w:i/>
          <w:iCs/>
          <w:spacing w:val="35"/>
          <w:sz w:val="21"/>
          <w:szCs w:val="21"/>
        </w:rPr>
        <w:t xml:space="preserve"> </w:t>
      </w:r>
      <w:r w:rsidRPr="00961415">
        <w:rPr>
          <w:rFonts w:ascii="Abadi" w:hAnsi="Abadi"/>
          <w:i/>
          <w:iCs/>
          <w:sz w:val="21"/>
          <w:szCs w:val="21"/>
        </w:rPr>
        <w:t>contra</w:t>
      </w:r>
      <w:r w:rsidRPr="00961415">
        <w:rPr>
          <w:rFonts w:ascii="Abadi" w:hAnsi="Abadi"/>
          <w:i/>
          <w:iCs/>
          <w:spacing w:val="35"/>
          <w:sz w:val="21"/>
          <w:szCs w:val="21"/>
        </w:rPr>
        <w:t xml:space="preserve"> </w:t>
      </w:r>
      <w:r w:rsidRPr="00961415">
        <w:rPr>
          <w:rFonts w:ascii="Abadi" w:hAnsi="Abadi"/>
          <w:i/>
          <w:iCs/>
          <w:sz w:val="21"/>
          <w:szCs w:val="21"/>
        </w:rPr>
        <w:t>las</w:t>
      </w:r>
      <w:r w:rsidRPr="00961415">
        <w:rPr>
          <w:rFonts w:ascii="Abadi" w:hAnsi="Abadi"/>
          <w:i/>
          <w:iCs/>
          <w:spacing w:val="-1"/>
          <w:sz w:val="21"/>
          <w:szCs w:val="21"/>
        </w:rPr>
        <w:t xml:space="preserve"> </w:t>
      </w:r>
      <w:r w:rsidRPr="00961415">
        <w:rPr>
          <w:rFonts w:ascii="Abadi" w:hAnsi="Abadi"/>
          <w:i/>
          <w:iCs/>
          <w:sz w:val="21"/>
          <w:szCs w:val="21"/>
        </w:rPr>
        <w:t>niñas,</w:t>
      </w:r>
      <w:r w:rsidRPr="00961415">
        <w:rPr>
          <w:rFonts w:ascii="Abadi" w:hAnsi="Abadi"/>
          <w:i/>
          <w:iCs/>
          <w:spacing w:val="-17"/>
          <w:sz w:val="21"/>
          <w:szCs w:val="21"/>
        </w:rPr>
        <w:t xml:space="preserve"> </w:t>
      </w:r>
      <w:r w:rsidRPr="00961415">
        <w:rPr>
          <w:rFonts w:ascii="Abadi" w:hAnsi="Abadi"/>
          <w:i/>
          <w:iCs/>
          <w:sz w:val="21"/>
          <w:szCs w:val="21"/>
        </w:rPr>
        <w:t>adolescentes</w:t>
      </w:r>
      <w:r w:rsidRPr="00961415">
        <w:rPr>
          <w:rFonts w:ascii="Abadi" w:hAnsi="Abadi"/>
          <w:i/>
          <w:iCs/>
          <w:spacing w:val="-15"/>
          <w:sz w:val="21"/>
          <w:szCs w:val="21"/>
        </w:rPr>
        <w:t xml:space="preserve"> </w:t>
      </w:r>
      <w:r w:rsidRPr="00961415">
        <w:rPr>
          <w:rFonts w:ascii="Abadi" w:hAnsi="Abadi"/>
          <w:i/>
          <w:iCs/>
          <w:sz w:val="21"/>
          <w:szCs w:val="21"/>
        </w:rPr>
        <w:t>y</w:t>
      </w:r>
      <w:r w:rsidRPr="00961415">
        <w:rPr>
          <w:rFonts w:ascii="Abadi" w:hAnsi="Abadi"/>
          <w:i/>
          <w:iCs/>
          <w:spacing w:val="-14"/>
          <w:sz w:val="21"/>
          <w:szCs w:val="21"/>
        </w:rPr>
        <w:t xml:space="preserve"> </w:t>
      </w:r>
      <w:r w:rsidRPr="00961415">
        <w:rPr>
          <w:rFonts w:ascii="Abadi" w:hAnsi="Abadi"/>
          <w:i/>
          <w:iCs/>
          <w:sz w:val="21"/>
          <w:szCs w:val="21"/>
        </w:rPr>
        <w:t>mujeres,</w:t>
      </w:r>
      <w:r w:rsidRPr="00961415">
        <w:rPr>
          <w:rFonts w:ascii="Abadi" w:hAnsi="Abadi"/>
          <w:i/>
          <w:iCs/>
          <w:spacing w:val="-17"/>
          <w:sz w:val="21"/>
          <w:szCs w:val="21"/>
        </w:rPr>
        <w:t xml:space="preserve"> </w:t>
      </w:r>
      <w:r w:rsidRPr="00961415">
        <w:rPr>
          <w:rFonts w:ascii="Abadi" w:hAnsi="Abadi"/>
          <w:sz w:val="21"/>
          <w:szCs w:val="21"/>
        </w:rPr>
        <w:t>al</w:t>
      </w:r>
      <w:r w:rsidRPr="00961415">
        <w:rPr>
          <w:rFonts w:ascii="Abadi" w:hAnsi="Abadi"/>
          <w:spacing w:val="-15"/>
          <w:sz w:val="21"/>
          <w:szCs w:val="21"/>
        </w:rPr>
        <w:t xml:space="preserve"> </w:t>
      </w:r>
      <w:r w:rsidRPr="00961415">
        <w:rPr>
          <w:rFonts w:ascii="Abadi" w:hAnsi="Abadi"/>
          <w:sz w:val="21"/>
          <w:szCs w:val="21"/>
        </w:rPr>
        <w:t>que</w:t>
      </w:r>
      <w:r w:rsidRPr="00961415">
        <w:rPr>
          <w:rFonts w:ascii="Abadi" w:hAnsi="Abadi"/>
          <w:spacing w:val="-17"/>
          <w:sz w:val="21"/>
          <w:szCs w:val="21"/>
        </w:rPr>
        <w:t xml:space="preserve"> </w:t>
      </w:r>
      <w:r w:rsidRPr="00961415">
        <w:rPr>
          <w:rFonts w:ascii="Abadi" w:hAnsi="Abadi"/>
          <w:sz w:val="21"/>
          <w:szCs w:val="21"/>
        </w:rPr>
        <w:t>se</w:t>
      </w:r>
      <w:r w:rsidRPr="00961415">
        <w:rPr>
          <w:rFonts w:ascii="Abadi" w:hAnsi="Abadi"/>
          <w:spacing w:val="-17"/>
          <w:sz w:val="21"/>
          <w:szCs w:val="21"/>
        </w:rPr>
        <w:t xml:space="preserve"> </w:t>
      </w:r>
      <w:r w:rsidRPr="00961415">
        <w:rPr>
          <w:rFonts w:ascii="Abadi" w:hAnsi="Abadi"/>
          <w:sz w:val="21"/>
          <w:szCs w:val="21"/>
        </w:rPr>
        <w:t>le</w:t>
      </w:r>
      <w:r w:rsidRPr="00961415">
        <w:rPr>
          <w:rFonts w:ascii="Abadi" w:hAnsi="Abadi"/>
          <w:spacing w:val="-17"/>
          <w:sz w:val="21"/>
          <w:szCs w:val="21"/>
        </w:rPr>
        <w:t xml:space="preserve"> </w:t>
      </w:r>
      <w:r w:rsidRPr="00961415">
        <w:rPr>
          <w:rFonts w:ascii="Abadi" w:hAnsi="Abadi"/>
          <w:sz w:val="21"/>
          <w:szCs w:val="21"/>
        </w:rPr>
        <w:t>asignaron</w:t>
      </w:r>
      <w:r w:rsidRPr="00961415">
        <w:rPr>
          <w:rFonts w:ascii="Abadi" w:hAnsi="Abadi"/>
          <w:spacing w:val="-14"/>
          <w:sz w:val="21"/>
          <w:szCs w:val="21"/>
        </w:rPr>
        <w:t xml:space="preserve"> </w:t>
      </w:r>
      <w:r w:rsidRPr="00961415">
        <w:rPr>
          <w:rFonts w:ascii="Abadi" w:hAnsi="Abadi"/>
          <w:sz w:val="21"/>
          <w:szCs w:val="21"/>
        </w:rPr>
        <w:t>15.7</w:t>
      </w:r>
      <w:r w:rsidRPr="00961415">
        <w:rPr>
          <w:rFonts w:ascii="Abadi" w:hAnsi="Abadi"/>
          <w:spacing w:val="-13"/>
          <w:sz w:val="21"/>
          <w:szCs w:val="21"/>
        </w:rPr>
        <w:t xml:space="preserve"> </w:t>
      </w:r>
      <w:r w:rsidRPr="00961415">
        <w:rPr>
          <w:rFonts w:ascii="Abadi" w:hAnsi="Abadi"/>
          <w:sz w:val="21"/>
          <w:szCs w:val="21"/>
        </w:rPr>
        <w:t>millones</w:t>
      </w:r>
      <w:r w:rsidRPr="00961415">
        <w:rPr>
          <w:rFonts w:ascii="Abadi" w:hAnsi="Abadi"/>
          <w:spacing w:val="-13"/>
          <w:sz w:val="21"/>
          <w:szCs w:val="21"/>
        </w:rPr>
        <w:t xml:space="preserve"> </w:t>
      </w:r>
      <w:r w:rsidRPr="00961415">
        <w:rPr>
          <w:rFonts w:ascii="Abadi" w:hAnsi="Abadi"/>
          <w:sz w:val="21"/>
          <w:szCs w:val="21"/>
        </w:rPr>
        <w:t>de</w:t>
      </w:r>
      <w:r w:rsidRPr="00961415">
        <w:rPr>
          <w:rFonts w:ascii="Abadi" w:hAnsi="Abadi"/>
          <w:spacing w:val="-17"/>
          <w:sz w:val="21"/>
          <w:szCs w:val="21"/>
        </w:rPr>
        <w:t xml:space="preserve"> </w:t>
      </w:r>
      <w:r w:rsidRPr="00961415">
        <w:rPr>
          <w:rFonts w:ascii="Abadi" w:hAnsi="Abadi"/>
          <w:sz w:val="21"/>
          <w:szCs w:val="21"/>
        </w:rPr>
        <w:t>pesos;</w:t>
      </w:r>
      <w:r w:rsidR="00C32314">
        <w:rPr>
          <w:rFonts w:ascii="Abadi" w:hAnsi="Abadi"/>
          <w:sz w:val="21"/>
          <w:szCs w:val="21"/>
        </w:rPr>
        <w:t xml:space="preserve"> </w:t>
      </w:r>
      <w:r w:rsidRPr="00961415">
        <w:rPr>
          <w:rFonts w:ascii="Abadi" w:hAnsi="Abadi"/>
          <w:w w:val="99"/>
          <w:sz w:val="21"/>
          <w:szCs w:val="21"/>
        </w:rPr>
        <w:t>y</w:t>
      </w:r>
    </w:p>
    <w:p w14:paraId="38E85B7E" w14:textId="77777777" w:rsidR="00C32314" w:rsidRDefault="00C32314" w:rsidP="00A44DEE">
      <w:pPr>
        <w:pStyle w:val="Prrafodelista"/>
        <w:kinsoku w:val="0"/>
        <w:overflowPunct w:val="0"/>
        <w:autoSpaceDE w:val="0"/>
        <w:autoSpaceDN w:val="0"/>
        <w:adjustRightInd w:val="0"/>
        <w:spacing w:before="158"/>
        <w:ind w:left="567" w:right="119"/>
        <w:jc w:val="both"/>
        <w:rPr>
          <w:rFonts w:ascii="Abadi" w:hAnsi="Abadi"/>
          <w:w w:val="99"/>
          <w:sz w:val="21"/>
          <w:szCs w:val="21"/>
        </w:rPr>
      </w:pPr>
    </w:p>
    <w:p w14:paraId="436604C0" w14:textId="4306A87A" w:rsidR="00AF040F" w:rsidRPr="00C32314" w:rsidRDefault="00AF040F" w:rsidP="00A44DEE">
      <w:pPr>
        <w:pStyle w:val="Prrafodelista"/>
        <w:numPr>
          <w:ilvl w:val="0"/>
          <w:numId w:val="30"/>
        </w:numPr>
        <w:kinsoku w:val="0"/>
        <w:overflowPunct w:val="0"/>
        <w:autoSpaceDE w:val="0"/>
        <w:autoSpaceDN w:val="0"/>
        <w:adjustRightInd w:val="0"/>
        <w:ind w:left="567"/>
        <w:jc w:val="both"/>
        <w:rPr>
          <w:rFonts w:ascii="Abadi" w:hAnsi="Abadi"/>
          <w:sz w:val="21"/>
          <w:szCs w:val="21"/>
        </w:rPr>
      </w:pPr>
      <w:r w:rsidRPr="00C32314">
        <w:rPr>
          <w:rFonts w:ascii="Abadi" w:hAnsi="Abadi"/>
          <w:i/>
          <w:iCs/>
          <w:sz w:val="21"/>
          <w:szCs w:val="21"/>
        </w:rPr>
        <w:t>Q3128</w:t>
      </w:r>
      <w:r w:rsidRPr="00C32314">
        <w:rPr>
          <w:rFonts w:ascii="Abadi" w:hAnsi="Abadi"/>
          <w:i/>
          <w:iCs/>
          <w:spacing w:val="17"/>
          <w:sz w:val="21"/>
          <w:szCs w:val="21"/>
        </w:rPr>
        <w:t xml:space="preserve"> </w:t>
      </w:r>
      <w:r w:rsidRPr="00C32314">
        <w:rPr>
          <w:rFonts w:ascii="Abadi" w:hAnsi="Abadi"/>
          <w:i/>
          <w:iCs/>
          <w:sz w:val="21"/>
          <w:szCs w:val="21"/>
        </w:rPr>
        <w:t>Refugio</w:t>
      </w:r>
      <w:r w:rsidRPr="00C32314">
        <w:rPr>
          <w:rFonts w:ascii="Abadi" w:hAnsi="Abadi"/>
          <w:i/>
          <w:iCs/>
          <w:spacing w:val="16"/>
          <w:sz w:val="21"/>
          <w:szCs w:val="21"/>
        </w:rPr>
        <w:t xml:space="preserve"> </w:t>
      </w:r>
      <w:r w:rsidRPr="00C32314">
        <w:rPr>
          <w:rFonts w:ascii="Abadi" w:hAnsi="Abadi"/>
          <w:i/>
          <w:iCs/>
          <w:sz w:val="21"/>
          <w:szCs w:val="21"/>
        </w:rPr>
        <w:t>para</w:t>
      </w:r>
      <w:r w:rsidRPr="00C32314">
        <w:rPr>
          <w:rFonts w:ascii="Abadi" w:hAnsi="Abadi"/>
          <w:i/>
          <w:iCs/>
          <w:spacing w:val="15"/>
          <w:sz w:val="21"/>
          <w:szCs w:val="21"/>
        </w:rPr>
        <w:t xml:space="preserve"> </w:t>
      </w:r>
      <w:r w:rsidRPr="00C32314">
        <w:rPr>
          <w:rFonts w:ascii="Abadi" w:hAnsi="Abadi"/>
          <w:i/>
          <w:iCs/>
          <w:sz w:val="21"/>
          <w:szCs w:val="21"/>
        </w:rPr>
        <w:t>mujeres,</w:t>
      </w:r>
      <w:r w:rsidRPr="00C32314">
        <w:rPr>
          <w:rFonts w:ascii="Abadi" w:hAnsi="Abadi"/>
          <w:i/>
          <w:iCs/>
          <w:spacing w:val="14"/>
          <w:sz w:val="21"/>
          <w:szCs w:val="21"/>
        </w:rPr>
        <w:t xml:space="preserve"> </w:t>
      </w:r>
      <w:r w:rsidRPr="00C32314">
        <w:rPr>
          <w:rFonts w:ascii="Abadi" w:hAnsi="Abadi"/>
          <w:i/>
          <w:iCs/>
          <w:sz w:val="21"/>
          <w:szCs w:val="21"/>
        </w:rPr>
        <w:t>sus</w:t>
      </w:r>
      <w:r w:rsidRPr="00C32314">
        <w:rPr>
          <w:rFonts w:ascii="Abadi" w:hAnsi="Abadi"/>
          <w:i/>
          <w:iCs/>
          <w:spacing w:val="16"/>
          <w:sz w:val="21"/>
          <w:szCs w:val="21"/>
        </w:rPr>
        <w:t xml:space="preserve"> </w:t>
      </w:r>
      <w:r w:rsidR="00D5658A" w:rsidRPr="00C32314">
        <w:rPr>
          <w:rFonts w:ascii="Abadi" w:hAnsi="Abadi"/>
          <w:i/>
          <w:iCs/>
          <w:sz w:val="21"/>
          <w:szCs w:val="21"/>
        </w:rPr>
        <w:t xml:space="preserve">hijas </w:t>
      </w:r>
      <w:r w:rsidR="00226F36" w:rsidRPr="00C32314">
        <w:rPr>
          <w:rFonts w:ascii="Abadi" w:hAnsi="Abadi"/>
          <w:i/>
          <w:iCs/>
          <w:sz w:val="21"/>
          <w:szCs w:val="21"/>
        </w:rPr>
        <w:t>e</w:t>
      </w:r>
      <w:r w:rsidR="00226F36">
        <w:rPr>
          <w:rFonts w:ascii="Abadi" w:hAnsi="Abadi"/>
          <w:i/>
          <w:iCs/>
          <w:sz w:val="21"/>
          <w:szCs w:val="21"/>
        </w:rPr>
        <w:t xml:space="preserve"> </w:t>
      </w:r>
      <w:r w:rsidR="00226F36" w:rsidRPr="00C32314">
        <w:rPr>
          <w:rFonts w:ascii="Abadi" w:hAnsi="Abadi"/>
          <w:i/>
          <w:iCs/>
          <w:spacing w:val="16"/>
          <w:sz w:val="21"/>
          <w:szCs w:val="21"/>
        </w:rPr>
        <w:t>hijos</w:t>
      </w:r>
      <w:r w:rsidRPr="00C32314">
        <w:rPr>
          <w:rFonts w:ascii="Abadi" w:hAnsi="Abadi"/>
          <w:i/>
          <w:iCs/>
          <w:spacing w:val="16"/>
          <w:sz w:val="21"/>
          <w:szCs w:val="21"/>
        </w:rPr>
        <w:t xml:space="preserve"> </w:t>
      </w:r>
      <w:r w:rsidRPr="00C32314">
        <w:rPr>
          <w:rFonts w:ascii="Abadi" w:hAnsi="Abadi"/>
          <w:i/>
          <w:iCs/>
          <w:sz w:val="21"/>
          <w:szCs w:val="21"/>
        </w:rPr>
        <w:t>en</w:t>
      </w:r>
      <w:r w:rsidRPr="00C32314">
        <w:rPr>
          <w:rFonts w:ascii="Abadi" w:hAnsi="Abadi"/>
          <w:i/>
          <w:iCs/>
          <w:spacing w:val="16"/>
          <w:sz w:val="21"/>
          <w:szCs w:val="21"/>
        </w:rPr>
        <w:t xml:space="preserve"> </w:t>
      </w:r>
      <w:r w:rsidRPr="00C32314">
        <w:rPr>
          <w:rFonts w:ascii="Abadi" w:hAnsi="Abadi"/>
          <w:i/>
          <w:iCs/>
          <w:sz w:val="21"/>
          <w:szCs w:val="21"/>
        </w:rPr>
        <w:t>situación</w:t>
      </w:r>
      <w:r w:rsidRPr="00C32314">
        <w:rPr>
          <w:rFonts w:ascii="Abadi" w:hAnsi="Abadi"/>
          <w:i/>
          <w:iCs/>
          <w:spacing w:val="15"/>
          <w:sz w:val="21"/>
          <w:szCs w:val="21"/>
        </w:rPr>
        <w:t xml:space="preserve"> </w:t>
      </w:r>
      <w:r w:rsidRPr="00C32314">
        <w:rPr>
          <w:rFonts w:ascii="Abadi" w:hAnsi="Abadi"/>
          <w:i/>
          <w:iCs/>
          <w:sz w:val="21"/>
          <w:szCs w:val="21"/>
        </w:rPr>
        <w:t>de</w:t>
      </w:r>
      <w:r w:rsidRPr="00C32314">
        <w:rPr>
          <w:rFonts w:ascii="Abadi" w:hAnsi="Abadi"/>
          <w:i/>
          <w:iCs/>
          <w:spacing w:val="16"/>
          <w:sz w:val="21"/>
          <w:szCs w:val="21"/>
        </w:rPr>
        <w:t xml:space="preserve"> </w:t>
      </w:r>
      <w:r w:rsidRPr="00C32314">
        <w:rPr>
          <w:rFonts w:ascii="Abadi" w:hAnsi="Abadi"/>
          <w:i/>
          <w:iCs/>
          <w:sz w:val="21"/>
          <w:szCs w:val="21"/>
        </w:rPr>
        <w:t>violencia</w:t>
      </w:r>
      <w:r w:rsidRPr="00C32314">
        <w:rPr>
          <w:rFonts w:ascii="Abadi" w:hAnsi="Abadi"/>
          <w:sz w:val="21"/>
          <w:szCs w:val="21"/>
        </w:rPr>
        <w:t>,</w:t>
      </w:r>
      <w:r w:rsidRPr="00C32314">
        <w:rPr>
          <w:rFonts w:ascii="Abadi" w:hAnsi="Abadi"/>
          <w:spacing w:val="14"/>
          <w:sz w:val="21"/>
          <w:szCs w:val="21"/>
        </w:rPr>
        <w:t xml:space="preserve"> </w:t>
      </w:r>
      <w:r w:rsidRPr="00C32314">
        <w:rPr>
          <w:rFonts w:ascii="Abadi" w:hAnsi="Abadi"/>
          <w:sz w:val="21"/>
          <w:szCs w:val="21"/>
        </w:rPr>
        <w:t>al</w:t>
      </w:r>
      <w:r w:rsidR="00C32314" w:rsidRPr="00C32314">
        <w:rPr>
          <w:rFonts w:ascii="Abadi" w:hAnsi="Abadi"/>
          <w:sz w:val="21"/>
          <w:szCs w:val="21"/>
        </w:rPr>
        <w:t xml:space="preserve"> </w:t>
      </w:r>
      <w:r w:rsidRPr="00C32314">
        <w:rPr>
          <w:rFonts w:ascii="Abadi" w:hAnsi="Abadi"/>
          <w:sz w:val="21"/>
          <w:szCs w:val="21"/>
        </w:rPr>
        <w:t>que</w:t>
      </w:r>
      <w:r w:rsidRPr="00C32314">
        <w:rPr>
          <w:rFonts w:ascii="Abadi" w:hAnsi="Abadi"/>
          <w:spacing w:val="-1"/>
          <w:sz w:val="21"/>
          <w:szCs w:val="21"/>
        </w:rPr>
        <w:t xml:space="preserve"> </w:t>
      </w:r>
      <w:r w:rsidRPr="00C32314">
        <w:rPr>
          <w:rFonts w:ascii="Abadi" w:hAnsi="Abadi"/>
          <w:sz w:val="21"/>
          <w:szCs w:val="21"/>
        </w:rPr>
        <w:t>se le</w:t>
      </w:r>
      <w:r w:rsidRPr="00C32314">
        <w:rPr>
          <w:rFonts w:ascii="Abadi" w:hAnsi="Abadi"/>
          <w:spacing w:val="-2"/>
          <w:sz w:val="21"/>
          <w:szCs w:val="21"/>
        </w:rPr>
        <w:t xml:space="preserve"> </w:t>
      </w:r>
      <w:r w:rsidRPr="00C32314">
        <w:rPr>
          <w:rFonts w:ascii="Abadi" w:hAnsi="Abadi"/>
          <w:sz w:val="21"/>
          <w:szCs w:val="21"/>
        </w:rPr>
        <w:t>asignaron 2.6</w:t>
      </w:r>
      <w:r w:rsidRPr="00C32314">
        <w:rPr>
          <w:rFonts w:ascii="Abadi" w:hAnsi="Abadi"/>
          <w:spacing w:val="3"/>
          <w:sz w:val="21"/>
          <w:szCs w:val="21"/>
        </w:rPr>
        <w:t xml:space="preserve"> </w:t>
      </w:r>
      <w:r w:rsidRPr="00C32314">
        <w:rPr>
          <w:rFonts w:ascii="Abadi" w:hAnsi="Abadi"/>
          <w:sz w:val="21"/>
          <w:szCs w:val="21"/>
        </w:rPr>
        <w:t>millones</w:t>
      </w:r>
      <w:r w:rsidRPr="00C32314">
        <w:rPr>
          <w:rFonts w:ascii="Abadi" w:hAnsi="Abadi"/>
          <w:spacing w:val="-1"/>
          <w:sz w:val="21"/>
          <w:szCs w:val="21"/>
        </w:rPr>
        <w:t xml:space="preserve"> </w:t>
      </w:r>
      <w:r w:rsidRPr="00C32314">
        <w:rPr>
          <w:rFonts w:ascii="Abadi" w:hAnsi="Abadi"/>
          <w:sz w:val="21"/>
          <w:szCs w:val="21"/>
        </w:rPr>
        <w:t>de pesos.</w:t>
      </w:r>
    </w:p>
    <w:p w14:paraId="3BD1062D" w14:textId="77777777" w:rsidR="00AF040F" w:rsidRPr="00961415" w:rsidRDefault="00AF040F" w:rsidP="00A44DEE">
      <w:pPr>
        <w:pStyle w:val="Textoindependiente"/>
        <w:kinsoku w:val="0"/>
        <w:overflowPunct w:val="0"/>
        <w:spacing w:before="1"/>
        <w:rPr>
          <w:rFonts w:ascii="Abadi" w:hAnsi="Abadi"/>
          <w:b w:val="0"/>
          <w:bCs w:val="0"/>
          <w:sz w:val="21"/>
          <w:szCs w:val="21"/>
        </w:rPr>
      </w:pPr>
    </w:p>
    <w:p w14:paraId="5CE6D0AD" w14:textId="77777777" w:rsidR="00AF040F" w:rsidRPr="001D43B8" w:rsidRDefault="00AF040F" w:rsidP="00A44DEE">
      <w:pPr>
        <w:pStyle w:val="Textoindependiente"/>
        <w:kinsoku w:val="0"/>
        <w:overflowPunct w:val="0"/>
        <w:rPr>
          <w:rFonts w:ascii="Abadi" w:hAnsi="Abadi" w:cs="Calibri Light"/>
          <w:b w:val="0"/>
          <w:bCs w:val="0"/>
          <w:sz w:val="21"/>
          <w:szCs w:val="21"/>
        </w:rPr>
      </w:pPr>
      <w:r w:rsidRPr="00961415">
        <w:rPr>
          <w:rFonts w:ascii="Abadi" w:hAnsi="Abadi"/>
          <w:b w:val="0"/>
          <w:bCs w:val="0"/>
          <w:sz w:val="21"/>
          <w:szCs w:val="21"/>
        </w:rPr>
        <w:t>Para</w:t>
      </w:r>
      <w:r w:rsidRPr="00961415">
        <w:rPr>
          <w:rFonts w:ascii="Abadi" w:hAnsi="Abadi"/>
          <w:b w:val="0"/>
          <w:bCs w:val="0"/>
          <w:spacing w:val="41"/>
          <w:sz w:val="21"/>
          <w:szCs w:val="21"/>
        </w:rPr>
        <w:t xml:space="preserve"> </w:t>
      </w:r>
      <w:r w:rsidRPr="00961415">
        <w:rPr>
          <w:rFonts w:ascii="Abadi" w:hAnsi="Abadi"/>
          <w:b w:val="0"/>
          <w:bCs w:val="0"/>
          <w:sz w:val="21"/>
          <w:szCs w:val="21"/>
        </w:rPr>
        <w:t>este</w:t>
      </w:r>
      <w:r w:rsidRPr="00961415">
        <w:rPr>
          <w:rFonts w:ascii="Abadi" w:hAnsi="Abadi"/>
          <w:b w:val="0"/>
          <w:bCs w:val="0"/>
          <w:spacing w:val="43"/>
          <w:sz w:val="21"/>
          <w:szCs w:val="21"/>
        </w:rPr>
        <w:t xml:space="preserve"> </w:t>
      </w:r>
      <w:r w:rsidRPr="00961415">
        <w:rPr>
          <w:rFonts w:ascii="Abadi" w:hAnsi="Abadi"/>
          <w:b w:val="0"/>
          <w:bCs w:val="0"/>
          <w:sz w:val="21"/>
          <w:szCs w:val="21"/>
        </w:rPr>
        <w:t>año,</w:t>
      </w:r>
      <w:r w:rsidRPr="00961415">
        <w:rPr>
          <w:rFonts w:ascii="Abadi" w:hAnsi="Abadi"/>
          <w:b w:val="0"/>
          <w:bCs w:val="0"/>
          <w:spacing w:val="42"/>
          <w:sz w:val="21"/>
          <w:szCs w:val="21"/>
        </w:rPr>
        <w:t xml:space="preserve"> </w:t>
      </w:r>
      <w:r w:rsidRPr="00961415">
        <w:rPr>
          <w:rFonts w:ascii="Abadi" w:hAnsi="Abadi"/>
          <w:b w:val="0"/>
          <w:bCs w:val="0"/>
          <w:sz w:val="21"/>
          <w:szCs w:val="21"/>
        </w:rPr>
        <w:t>entre</w:t>
      </w:r>
      <w:r w:rsidRPr="00961415">
        <w:rPr>
          <w:rFonts w:ascii="Abadi" w:hAnsi="Abadi"/>
          <w:b w:val="0"/>
          <w:bCs w:val="0"/>
          <w:spacing w:val="41"/>
          <w:sz w:val="21"/>
          <w:szCs w:val="21"/>
        </w:rPr>
        <w:t xml:space="preserve"> </w:t>
      </w:r>
      <w:r w:rsidRPr="00961415">
        <w:rPr>
          <w:rFonts w:ascii="Abadi" w:hAnsi="Abadi"/>
          <w:b w:val="0"/>
          <w:bCs w:val="0"/>
          <w:sz w:val="21"/>
          <w:szCs w:val="21"/>
        </w:rPr>
        <w:t>los</w:t>
      </w:r>
      <w:r w:rsidRPr="00961415">
        <w:rPr>
          <w:rFonts w:ascii="Abadi" w:hAnsi="Abadi"/>
          <w:b w:val="0"/>
          <w:bCs w:val="0"/>
          <w:spacing w:val="40"/>
          <w:sz w:val="21"/>
          <w:szCs w:val="21"/>
        </w:rPr>
        <w:t xml:space="preserve"> </w:t>
      </w:r>
      <w:r w:rsidRPr="00961415">
        <w:rPr>
          <w:rFonts w:ascii="Abadi" w:hAnsi="Abadi"/>
          <w:b w:val="0"/>
          <w:bCs w:val="0"/>
          <w:sz w:val="21"/>
          <w:szCs w:val="21"/>
        </w:rPr>
        <w:t>tres</w:t>
      </w:r>
      <w:r w:rsidRPr="00961415">
        <w:rPr>
          <w:rFonts w:ascii="Abadi" w:hAnsi="Abadi"/>
          <w:b w:val="0"/>
          <w:bCs w:val="0"/>
          <w:spacing w:val="47"/>
          <w:sz w:val="21"/>
          <w:szCs w:val="21"/>
        </w:rPr>
        <w:t xml:space="preserve"> </w:t>
      </w:r>
      <w:r w:rsidRPr="00961415">
        <w:rPr>
          <w:rFonts w:ascii="Abadi" w:hAnsi="Abadi"/>
          <w:b w:val="0"/>
          <w:bCs w:val="0"/>
          <w:sz w:val="21"/>
          <w:szCs w:val="21"/>
        </w:rPr>
        <w:t>proyectos</w:t>
      </w:r>
      <w:r w:rsidRPr="00961415">
        <w:rPr>
          <w:rFonts w:ascii="Abadi" w:hAnsi="Abadi"/>
          <w:b w:val="0"/>
          <w:bCs w:val="0"/>
          <w:spacing w:val="45"/>
          <w:sz w:val="21"/>
          <w:szCs w:val="21"/>
        </w:rPr>
        <w:t xml:space="preserve"> </w:t>
      </w:r>
      <w:r w:rsidRPr="00961415">
        <w:rPr>
          <w:rFonts w:ascii="Abadi" w:hAnsi="Abadi"/>
          <w:b w:val="0"/>
          <w:bCs w:val="0"/>
          <w:sz w:val="21"/>
          <w:szCs w:val="21"/>
        </w:rPr>
        <w:t>se</w:t>
      </w:r>
      <w:r w:rsidRPr="00961415">
        <w:rPr>
          <w:rFonts w:ascii="Abadi" w:hAnsi="Abadi"/>
          <w:b w:val="0"/>
          <w:bCs w:val="0"/>
          <w:spacing w:val="41"/>
          <w:sz w:val="21"/>
          <w:szCs w:val="21"/>
        </w:rPr>
        <w:t xml:space="preserve"> </w:t>
      </w:r>
      <w:r w:rsidRPr="00961415">
        <w:rPr>
          <w:rFonts w:ascii="Abadi" w:hAnsi="Abadi"/>
          <w:b w:val="0"/>
          <w:bCs w:val="0"/>
          <w:sz w:val="21"/>
          <w:szCs w:val="21"/>
        </w:rPr>
        <w:t>contempló</w:t>
      </w:r>
      <w:r w:rsidRPr="00961415">
        <w:rPr>
          <w:rFonts w:ascii="Abadi" w:hAnsi="Abadi"/>
          <w:b w:val="0"/>
          <w:bCs w:val="0"/>
          <w:spacing w:val="42"/>
          <w:sz w:val="21"/>
          <w:szCs w:val="21"/>
        </w:rPr>
        <w:t xml:space="preserve"> </w:t>
      </w:r>
      <w:r w:rsidRPr="00961415">
        <w:rPr>
          <w:rFonts w:ascii="Abadi" w:hAnsi="Abadi"/>
          <w:b w:val="0"/>
          <w:bCs w:val="0"/>
          <w:sz w:val="21"/>
          <w:szCs w:val="21"/>
        </w:rPr>
        <w:t>un</w:t>
      </w:r>
      <w:r w:rsidRPr="00961415">
        <w:rPr>
          <w:rFonts w:ascii="Abadi" w:hAnsi="Abadi"/>
          <w:b w:val="0"/>
          <w:bCs w:val="0"/>
          <w:spacing w:val="43"/>
          <w:sz w:val="21"/>
          <w:szCs w:val="21"/>
        </w:rPr>
        <w:t xml:space="preserve"> </w:t>
      </w:r>
      <w:r w:rsidRPr="00961415">
        <w:rPr>
          <w:rFonts w:ascii="Abadi" w:hAnsi="Abadi"/>
          <w:b w:val="0"/>
          <w:bCs w:val="0"/>
          <w:sz w:val="21"/>
          <w:szCs w:val="21"/>
        </w:rPr>
        <w:t>gasto</w:t>
      </w:r>
      <w:r w:rsidRPr="00961415">
        <w:rPr>
          <w:rFonts w:ascii="Abadi" w:hAnsi="Abadi"/>
          <w:b w:val="0"/>
          <w:bCs w:val="0"/>
          <w:spacing w:val="46"/>
          <w:sz w:val="21"/>
          <w:szCs w:val="21"/>
        </w:rPr>
        <w:t xml:space="preserve"> </w:t>
      </w:r>
      <w:r w:rsidRPr="00961415">
        <w:rPr>
          <w:rFonts w:ascii="Abadi" w:hAnsi="Abadi"/>
          <w:b w:val="0"/>
          <w:bCs w:val="0"/>
          <w:sz w:val="21"/>
          <w:szCs w:val="21"/>
        </w:rPr>
        <w:t>acumulado</w:t>
      </w:r>
      <w:r w:rsidRPr="00961415">
        <w:rPr>
          <w:rFonts w:ascii="Abadi" w:hAnsi="Abadi"/>
          <w:b w:val="0"/>
          <w:bCs w:val="0"/>
          <w:spacing w:val="43"/>
          <w:sz w:val="21"/>
          <w:szCs w:val="21"/>
        </w:rPr>
        <w:t xml:space="preserve"> </w:t>
      </w:r>
      <w:r w:rsidRPr="00961415">
        <w:rPr>
          <w:rFonts w:ascii="Abadi" w:hAnsi="Abadi"/>
          <w:b w:val="0"/>
          <w:bCs w:val="0"/>
          <w:sz w:val="21"/>
          <w:szCs w:val="21"/>
        </w:rPr>
        <w:t>de aproximadamente</w:t>
      </w:r>
      <w:r w:rsidRPr="00961415">
        <w:rPr>
          <w:rFonts w:ascii="Abadi" w:hAnsi="Abadi"/>
          <w:b w:val="0"/>
          <w:bCs w:val="0"/>
          <w:spacing w:val="-6"/>
          <w:sz w:val="21"/>
          <w:szCs w:val="21"/>
        </w:rPr>
        <w:t xml:space="preserve"> </w:t>
      </w:r>
      <w:r w:rsidRPr="00961415">
        <w:rPr>
          <w:rFonts w:ascii="Abadi" w:hAnsi="Abadi"/>
          <w:b w:val="0"/>
          <w:bCs w:val="0"/>
          <w:sz w:val="21"/>
          <w:szCs w:val="21"/>
        </w:rPr>
        <w:t>29.5</w:t>
      </w:r>
      <w:r w:rsidRPr="00961415">
        <w:rPr>
          <w:rFonts w:ascii="Abadi" w:hAnsi="Abadi"/>
          <w:b w:val="0"/>
          <w:bCs w:val="0"/>
          <w:spacing w:val="-6"/>
          <w:sz w:val="21"/>
          <w:szCs w:val="21"/>
        </w:rPr>
        <w:t xml:space="preserve"> </w:t>
      </w:r>
      <w:r w:rsidRPr="00961415">
        <w:rPr>
          <w:rFonts w:ascii="Abadi" w:hAnsi="Abadi"/>
          <w:b w:val="0"/>
          <w:bCs w:val="0"/>
          <w:sz w:val="21"/>
          <w:szCs w:val="21"/>
        </w:rPr>
        <w:t>millones</w:t>
      </w:r>
      <w:r w:rsidRPr="00961415">
        <w:rPr>
          <w:rFonts w:ascii="Abadi" w:hAnsi="Abadi"/>
          <w:b w:val="0"/>
          <w:bCs w:val="0"/>
          <w:spacing w:val="-6"/>
          <w:sz w:val="21"/>
          <w:szCs w:val="21"/>
        </w:rPr>
        <w:t xml:space="preserve"> </w:t>
      </w:r>
      <w:r w:rsidRPr="00961415">
        <w:rPr>
          <w:rFonts w:ascii="Abadi" w:hAnsi="Abadi"/>
          <w:b w:val="0"/>
          <w:bCs w:val="0"/>
          <w:sz w:val="21"/>
          <w:szCs w:val="21"/>
        </w:rPr>
        <w:t>de</w:t>
      </w:r>
      <w:r w:rsidRPr="00961415">
        <w:rPr>
          <w:rFonts w:ascii="Abadi" w:hAnsi="Abadi"/>
          <w:b w:val="0"/>
          <w:bCs w:val="0"/>
          <w:spacing w:val="-7"/>
          <w:sz w:val="21"/>
          <w:szCs w:val="21"/>
        </w:rPr>
        <w:t xml:space="preserve"> </w:t>
      </w:r>
      <w:r w:rsidRPr="00961415">
        <w:rPr>
          <w:rFonts w:ascii="Abadi" w:hAnsi="Abadi"/>
          <w:b w:val="0"/>
          <w:bCs w:val="0"/>
          <w:sz w:val="21"/>
          <w:szCs w:val="21"/>
        </w:rPr>
        <w:t>pesos,</w:t>
      </w:r>
      <w:r w:rsidRPr="00961415">
        <w:rPr>
          <w:rFonts w:ascii="Abadi" w:hAnsi="Abadi"/>
          <w:b w:val="0"/>
          <w:bCs w:val="0"/>
          <w:spacing w:val="-5"/>
          <w:sz w:val="21"/>
          <w:szCs w:val="21"/>
        </w:rPr>
        <w:t xml:space="preserve"> </w:t>
      </w:r>
      <w:r w:rsidRPr="00961415">
        <w:rPr>
          <w:rFonts w:ascii="Abadi" w:hAnsi="Abadi"/>
          <w:b w:val="0"/>
          <w:bCs w:val="0"/>
          <w:sz w:val="21"/>
          <w:szCs w:val="21"/>
        </w:rPr>
        <w:t>mismo</w:t>
      </w:r>
      <w:r w:rsidRPr="00961415">
        <w:rPr>
          <w:rFonts w:ascii="Abadi" w:hAnsi="Abadi"/>
          <w:b w:val="0"/>
          <w:bCs w:val="0"/>
          <w:spacing w:val="-3"/>
          <w:sz w:val="21"/>
          <w:szCs w:val="21"/>
        </w:rPr>
        <w:t xml:space="preserve"> </w:t>
      </w:r>
      <w:r w:rsidRPr="00961415">
        <w:rPr>
          <w:rFonts w:ascii="Abadi" w:hAnsi="Abadi"/>
          <w:b w:val="0"/>
          <w:bCs w:val="0"/>
          <w:sz w:val="21"/>
          <w:szCs w:val="21"/>
        </w:rPr>
        <w:t>que</w:t>
      </w:r>
      <w:r w:rsidRPr="00961415">
        <w:rPr>
          <w:rFonts w:ascii="Abadi" w:hAnsi="Abadi"/>
          <w:b w:val="0"/>
          <w:bCs w:val="0"/>
          <w:spacing w:val="-6"/>
          <w:sz w:val="21"/>
          <w:szCs w:val="21"/>
        </w:rPr>
        <w:t xml:space="preserve"> </w:t>
      </w:r>
      <w:r w:rsidRPr="00961415">
        <w:rPr>
          <w:rFonts w:ascii="Abadi" w:hAnsi="Abadi"/>
          <w:b w:val="0"/>
          <w:bCs w:val="0"/>
          <w:sz w:val="21"/>
          <w:szCs w:val="21"/>
        </w:rPr>
        <w:t>al</w:t>
      </w:r>
      <w:r w:rsidRPr="00961415">
        <w:rPr>
          <w:rFonts w:ascii="Abadi" w:hAnsi="Abadi"/>
          <w:b w:val="0"/>
          <w:bCs w:val="0"/>
          <w:spacing w:val="-6"/>
          <w:sz w:val="21"/>
          <w:szCs w:val="21"/>
        </w:rPr>
        <w:t xml:space="preserve"> </w:t>
      </w:r>
      <w:r w:rsidRPr="00961415">
        <w:rPr>
          <w:rFonts w:ascii="Abadi" w:hAnsi="Abadi"/>
          <w:b w:val="0"/>
          <w:bCs w:val="0"/>
          <w:sz w:val="21"/>
          <w:szCs w:val="21"/>
        </w:rPr>
        <w:t>cierre</w:t>
      </w:r>
      <w:r w:rsidRPr="00961415">
        <w:rPr>
          <w:rFonts w:ascii="Abadi" w:hAnsi="Abadi"/>
          <w:b w:val="0"/>
          <w:bCs w:val="0"/>
          <w:spacing w:val="-7"/>
          <w:sz w:val="21"/>
          <w:szCs w:val="21"/>
        </w:rPr>
        <w:t xml:space="preserve"> </w:t>
      </w:r>
      <w:r w:rsidRPr="00961415">
        <w:rPr>
          <w:rFonts w:ascii="Abadi" w:hAnsi="Abadi"/>
          <w:b w:val="0"/>
          <w:bCs w:val="0"/>
          <w:sz w:val="21"/>
          <w:szCs w:val="21"/>
        </w:rPr>
        <w:t>de</w:t>
      </w:r>
      <w:r w:rsidRPr="00961415">
        <w:rPr>
          <w:rFonts w:ascii="Abadi" w:hAnsi="Abadi"/>
          <w:b w:val="0"/>
          <w:bCs w:val="0"/>
          <w:spacing w:val="-7"/>
          <w:sz w:val="21"/>
          <w:szCs w:val="21"/>
        </w:rPr>
        <w:t xml:space="preserve"> </w:t>
      </w:r>
      <w:r w:rsidRPr="00961415">
        <w:rPr>
          <w:rFonts w:ascii="Abadi" w:hAnsi="Abadi"/>
          <w:b w:val="0"/>
          <w:bCs w:val="0"/>
          <w:sz w:val="21"/>
          <w:szCs w:val="21"/>
        </w:rPr>
        <w:t>junio</w:t>
      </w:r>
      <w:r w:rsidRPr="00961415">
        <w:rPr>
          <w:rFonts w:ascii="Abadi" w:hAnsi="Abadi"/>
          <w:b w:val="0"/>
          <w:bCs w:val="0"/>
          <w:spacing w:val="-7"/>
          <w:sz w:val="21"/>
          <w:szCs w:val="21"/>
        </w:rPr>
        <w:t xml:space="preserve"> </w:t>
      </w:r>
      <w:r w:rsidRPr="00961415">
        <w:rPr>
          <w:rFonts w:ascii="Abadi" w:hAnsi="Abadi"/>
          <w:b w:val="0"/>
          <w:bCs w:val="0"/>
          <w:sz w:val="21"/>
          <w:szCs w:val="21"/>
        </w:rPr>
        <w:t>no</w:t>
      </w:r>
      <w:r w:rsidRPr="00961415">
        <w:rPr>
          <w:rFonts w:ascii="Abadi" w:hAnsi="Abadi"/>
          <w:b w:val="0"/>
          <w:bCs w:val="0"/>
          <w:spacing w:val="-5"/>
          <w:sz w:val="21"/>
          <w:szCs w:val="21"/>
        </w:rPr>
        <w:t xml:space="preserve"> </w:t>
      </w:r>
      <w:r w:rsidRPr="00961415">
        <w:rPr>
          <w:rFonts w:ascii="Abadi" w:hAnsi="Abadi"/>
          <w:b w:val="0"/>
          <w:bCs w:val="0"/>
          <w:sz w:val="21"/>
          <w:szCs w:val="21"/>
        </w:rPr>
        <w:t>ha</w:t>
      </w:r>
      <w:r w:rsidRPr="00961415">
        <w:rPr>
          <w:rFonts w:ascii="Abadi" w:hAnsi="Abadi"/>
          <w:b w:val="0"/>
          <w:bCs w:val="0"/>
          <w:spacing w:val="-6"/>
          <w:sz w:val="21"/>
          <w:szCs w:val="21"/>
        </w:rPr>
        <w:t xml:space="preserve"> </w:t>
      </w:r>
      <w:r w:rsidRPr="00961415">
        <w:rPr>
          <w:rFonts w:ascii="Abadi" w:hAnsi="Abadi"/>
          <w:b w:val="0"/>
          <w:bCs w:val="0"/>
          <w:sz w:val="21"/>
          <w:szCs w:val="21"/>
        </w:rPr>
        <w:t>sido modificado.</w:t>
      </w:r>
      <w:r w:rsidRPr="00961415">
        <w:rPr>
          <w:rFonts w:ascii="Abadi" w:hAnsi="Abadi"/>
          <w:b w:val="0"/>
          <w:bCs w:val="0"/>
          <w:spacing w:val="29"/>
          <w:sz w:val="21"/>
          <w:szCs w:val="21"/>
        </w:rPr>
        <w:t xml:space="preserve"> </w:t>
      </w:r>
      <w:r w:rsidRPr="00961415">
        <w:rPr>
          <w:rFonts w:ascii="Abadi" w:hAnsi="Abadi"/>
          <w:b w:val="0"/>
          <w:bCs w:val="0"/>
          <w:sz w:val="21"/>
          <w:szCs w:val="21"/>
        </w:rPr>
        <w:t>Esta</w:t>
      </w:r>
      <w:r w:rsidRPr="00961415">
        <w:rPr>
          <w:rFonts w:ascii="Abadi" w:hAnsi="Abadi"/>
          <w:b w:val="0"/>
          <w:bCs w:val="0"/>
          <w:spacing w:val="29"/>
          <w:sz w:val="21"/>
          <w:szCs w:val="21"/>
        </w:rPr>
        <w:t xml:space="preserve"> </w:t>
      </w:r>
      <w:r w:rsidRPr="00961415">
        <w:rPr>
          <w:rFonts w:ascii="Abadi" w:hAnsi="Abadi"/>
          <w:b w:val="0"/>
          <w:bCs w:val="0"/>
          <w:sz w:val="21"/>
          <w:szCs w:val="21"/>
        </w:rPr>
        <w:t>situación</w:t>
      </w:r>
      <w:r w:rsidRPr="00961415">
        <w:rPr>
          <w:rFonts w:ascii="Abadi" w:hAnsi="Abadi"/>
          <w:b w:val="0"/>
          <w:bCs w:val="0"/>
          <w:spacing w:val="28"/>
          <w:sz w:val="21"/>
          <w:szCs w:val="21"/>
        </w:rPr>
        <w:t xml:space="preserve"> </w:t>
      </w:r>
      <w:r w:rsidRPr="00961415">
        <w:rPr>
          <w:rFonts w:ascii="Abadi" w:hAnsi="Abadi"/>
          <w:b w:val="0"/>
          <w:bCs w:val="0"/>
          <w:sz w:val="21"/>
          <w:szCs w:val="21"/>
        </w:rPr>
        <w:t>contrasta</w:t>
      </w:r>
      <w:r w:rsidRPr="00961415">
        <w:rPr>
          <w:rFonts w:ascii="Abadi" w:hAnsi="Abadi"/>
          <w:b w:val="0"/>
          <w:bCs w:val="0"/>
          <w:spacing w:val="29"/>
          <w:sz w:val="21"/>
          <w:szCs w:val="21"/>
        </w:rPr>
        <w:t xml:space="preserve"> </w:t>
      </w:r>
      <w:r w:rsidRPr="00961415">
        <w:rPr>
          <w:rFonts w:ascii="Abadi" w:hAnsi="Abadi"/>
          <w:b w:val="0"/>
          <w:bCs w:val="0"/>
          <w:sz w:val="21"/>
          <w:szCs w:val="21"/>
        </w:rPr>
        <w:t>con</w:t>
      </w:r>
      <w:r w:rsidRPr="00961415">
        <w:rPr>
          <w:rFonts w:ascii="Abadi" w:hAnsi="Abadi"/>
          <w:b w:val="0"/>
          <w:bCs w:val="0"/>
          <w:spacing w:val="27"/>
          <w:sz w:val="21"/>
          <w:szCs w:val="21"/>
        </w:rPr>
        <w:t xml:space="preserve"> </w:t>
      </w:r>
      <w:r w:rsidRPr="00961415">
        <w:rPr>
          <w:rFonts w:ascii="Abadi" w:hAnsi="Abadi"/>
          <w:b w:val="0"/>
          <w:bCs w:val="0"/>
          <w:sz w:val="21"/>
          <w:szCs w:val="21"/>
        </w:rPr>
        <w:t>la</w:t>
      </w:r>
      <w:r w:rsidRPr="00961415">
        <w:rPr>
          <w:rFonts w:ascii="Abadi" w:hAnsi="Abadi"/>
          <w:b w:val="0"/>
          <w:bCs w:val="0"/>
          <w:spacing w:val="27"/>
          <w:sz w:val="21"/>
          <w:szCs w:val="21"/>
        </w:rPr>
        <w:t xml:space="preserve"> </w:t>
      </w:r>
      <w:r w:rsidRPr="00961415">
        <w:rPr>
          <w:rFonts w:ascii="Abadi" w:hAnsi="Abadi"/>
          <w:b w:val="0"/>
          <w:bCs w:val="0"/>
          <w:sz w:val="21"/>
          <w:szCs w:val="21"/>
        </w:rPr>
        <w:t>ampliación</w:t>
      </w:r>
      <w:r w:rsidRPr="00961415">
        <w:rPr>
          <w:rFonts w:ascii="Abadi" w:hAnsi="Abadi"/>
          <w:b w:val="0"/>
          <w:bCs w:val="0"/>
          <w:spacing w:val="33"/>
          <w:sz w:val="21"/>
          <w:szCs w:val="21"/>
        </w:rPr>
        <w:t xml:space="preserve"> </w:t>
      </w:r>
      <w:r w:rsidRPr="00961415">
        <w:rPr>
          <w:rFonts w:ascii="Abadi" w:hAnsi="Abadi"/>
          <w:b w:val="0"/>
          <w:bCs w:val="0"/>
          <w:sz w:val="21"/>
          <w:szCs w:val="21"/>
        </w:rPr>
        <w:t>de</w:t>
      </w:r>
      <w:r w:rsidRPr="00961415">
        <w:rPr>
          <w:rFonts w:ascii="Abadi" w:hAnsi="Abadi"/>
          <w:b w:val="0"/>
          <w:bCs w:val="0"/>
          <w:spacing w:val="28"/>
          <w:sz w:val="21"/>
          <w:szCs w:val="21"/>
        </w:rPr>
        <w:t xml:space="preserve"> </w:t>
      </w:r>
      <w:r w:rsidRPr="00961415">
        <w:rPr>
          <w:rFonts w:ascii="Abadi" w:hAnsi="Abadi"/>
          <w:b w:val="0"/>
          <w:bCs w:val="0"/>
          <w:sz w:val="21"/>
          <w:szCs w:val="21"/>
        </w:rPr>
        <w:t>otros</w:t>
      </w:r>
      <w:r w:rsidRPr="00961415">
        <w:rPr>
          <w:rFonts w:ascii="Abadi" w:hAnsi="Abadi"/>
          <w:b w:val="0"/>
          <w:bCs w:val="0"/>
          <w:spacing w:val="29"/>
          <w:sz w:val="21"/>
          <w:szCs w:val="21"/>
        </w:rPr>
        <w:t xml:space="preserve"> </w:t>
      </w:r>
      <w:r w:rsidRPr="00961415">
        <w:rPr>
          <w:rFonts w:ascii="Abadi" w:hAnsi="Abadi"/>
          <w:b w:val="0"/>
          <w:bCs w:val="0"/>
          <w:sz w:val="21"/>
          <w:szCs w:val="21"/>
        </w:rPr>
        <w:t>gastos</w:t>
      </w:r>
      <w:r w:rsidRPr="00961415">
        <w:rPr>
          <w:rFonts w:ascii="Abadi" w:hAnsi="Abadi"/>
          <w:b w:val="0"/>
          <w:bCs w:val="0"/>
          <w:spacing w:val="29"/>
          <w:sz w:val="21"/>
          <w:szCs w:val="21"/>
        </w:rPr>
        <w:t xml:space="preserve"> </w:t>
      </w:r>
      <w:r w:rsidRPr="00961415">
        <w:rPr>
          <w:rFonts w:ascii="Abadi" w:hAnsi="Abadi"/>
          <w:b w:val="0"/>
          <w:bCs w:val="0"/>
          <w:sz w:val="21"/>
          <w:szCs w:val="21"/>
        </w:rPr>
        <w:t>no prioritarios</w:t>
      </w:r>
      <w:r w:rsidRPr="00961415">
        <w:rPr>
          <w:rFonts w:ascii="Abadi" w:hAnsi="Abadi"/>
          <w:b w:val="0"/>
          <w:bCs w:val="0"/>
          <w:spacing w:val="35"/>
          <w:sz w:val="21"/>
          <w:szCs w:val="21"/>
        </w:rPr>
        <w:t xml:space="preserve"> </w:t>
      </w:r>
      <w:r w:rsidRPr="00961415">
        <w:rPr>
          <w:rFonts w:ascii="Abadi" w:hAnsi="Abadi"/>
          <w:b w:val="0"/>
          <w:bCs w:val="0"/>
          <w:sz w:val="21"/>
          <w:szCs w:val="21"/>
        </w:rPr>
        <w:t>como</w:t>
      </w:r>
      <w:r w:rsidRPr="00961415">
        <w:rPr>
          <w:rFonts w:ascii="Abadi" w:hAnsi="Abadi"/>
          <w:b w:val="0"/>
          <w:bCs w:val="0"/>
          <w:spacing w:val="37"/>
          <w:sz w:val="21"/>
          <w:szCs w:val="21"/>
        </w:rPr>
        <w:t xml:space="preserve"> </w:t>
      </w:r>
      <w:r w:rsidRPr="00961415">
        <w:rPr>
          <w:rFonts w:ascii="Abadi" w:hAnsi="Abadi"/>
          <w:b w:val="0"/>
          <w:bCs w:val="0"/>
          <w:sz w:val="21"/>
          <w:szCs w:val="21"/>
        </w:rPr>
        <w:t>los</w:t>
      </w:r>
      <w:r w:rsidRPr="00961415">
        <w:rPr>
          <w:rFonts w:ascii="Abadi" w:hAnsi="Abadi"/>
          <w:b w:val="0"/>
          <w:bCs w:val="0"/>
          <w:spacing w:val="39"/>
          <w:sz w:val="21"/>
          <w:szCs w:val="21"/>
        </w:rPr>
        <w:t xml:space="preserve"> </w:t>
      </w:r>
      <w:r w:rsidRPr="00961415">
        <w:rPr>
          <w:rFonts w:ascii="Abadi" w:hAnsi="Abadi"/>
          <w:b w:val="0"/>
          <w:bCs w:val="0"/>
          <w:sz w:val="21"/>
          <w:szCs w:val="21"/>
        </w:rPr>
        <w:t>198.9</w:t>
      </w:r>
      <w:r w:rsidRPr="00961415">
        <w:rPr>
          <w:rFonts w:ascii="Abadi" w:hAnsi="Abadi"/>
          <w:b w:val="0"/>
          <w:bCs w:val="0"/>
          <w:spacing w:val="37"/>
          <w:sz w:val="21"/>
          <w:szCs w:val="21"/>
        </w:rPr>
        <w:t xml:space="preserve"> </w:t>
      </w:r>
      <w:r w:rsidRPr="00961415">
        <w:rPr>
          <w:rFonts w:ascii="Abadi" w:hAnsi="Abadi"/>
          <w:b w:val="0"/>
          <w:bCs w:val="0"/>
          <w:sz w:val="21"/>
          <w:szCs w:val="21"/>
        </w:rPr>
        <w:t>millones</w:t>
      </w:r>
      <w:r w:rsidRPr="00961415">
        <w:rPr>
          <w:rFonts w:ascii="Abadi" w:hAnsi="Abadi"/>
          <w:b w:val="0"/>
          <w:bCs w:val="0"/>
          <w:spacing w:val="38"/>
          <w:sz w:val="21"/>
          <w:szCs w:val="21"/>
        </w:rPr>
        <w:t xml:space="preserve"> </w:t>
      </w:r>
      <w:r w:rsidRPr="00961415">
        <w:rPr>
          <w:rFonts w:ascii="Abadi" w:hAnsi="Abadi"/>
          <w:b w:val="0"/>
          <w:bCs w:val="0"/>
          <w:sz w:val="21"/>
          <w:szCs w:val="21"/>
        </w:rPr>
        <w:t>de</w:t>
      </w:r>
      <w:r w:rsidRPr="00961415">
        <w:rPr>
          <w:rFonts w:ascii="Abadi" w:hAnsi="Abadi"/>
          <w:b w:val="0"/>
          <w:bCs w:val="0"/>
          <w:spacing w:val="36"/>
          <w:sz w:val="21"/>
          <w:szCs w:val="21"/>
        </w:rPr>
        <w:t xml:space="preserve"> </w:t>
      </w:r>
      <w:r w:rsidRPr="00961415">
        <w:rPr>
          <w:rFonts w:ascii="Abadi" w:hAnsi="Abadi"/>
          <w:b w:val="0"/>
          <w:bCs w:val="0"/>
          <w:sz w:val="21"/>
          <w:szCs w:val="21"/>
        </w:rPr>
        <w:t>pesos</w:t>
      </w:r>
      <w:r w:rsidRPr="00961415">
        <w:rPr>
          <w:rFonts w:ascii="Abadi" w:hAnsi="Abadi"/>
          <w:b w:val="0"/>
          <w:bCs w:val="0"/>
          <w:spacing w:val="43"/>
          <w:sz w:val="21"/>
          <w:szCs w:val="21"/>
        </w:rPr>
        <w:t xml:space="preserve"> </w:t>
      </w:r>
      <w:r w:rsidRPr="00961415">
        <w:rPr>
          <w:rFonts w:ascii="Abadi" w:hAnsi="Abadi"/>
          <w:b w:val="0"/>
          <w:bCs w:val="0"/>
          <w:sz w:val="21"/>
          <w:szCs w:val="21"/>
        </w:rPr>
        <w:t>que</w:t>
      </w:r>
      <w:r w:rsidRPr="00961415">
        <w:rPr>
          <w:rFonts w:ascii="Abadi" w:hAnsi="Abadi"/>
          <w:b w:val="0"/>
          <w:bCs w:val="0"/>
          <w:spacing w:val="36"/>
          <w:sz w:val="21"/>
          <w:szCs w:val="21"/>
        </w:rPr>
        <w:t xml:space="preserve"> </w:t>
      </w:r>
      <w:r w:rsidRPr="00961415">
        <w:rPr>
          <w:rFonts w:ascii="Abadi" w:hAnsi="Abadi"/>
          <w:b w:val="0"/>
          <w:bCs w:val="0"/>
          <w:sz w:val="21"/>
          <w:szCs w:val="21"/>
        </w:rPr>
        <w:t>al</w:t>
      </w:r>
      <w:r w:rsidRPr="00961415">
        <w:rPr>
          <w:rFonts w:ascii="Abadi" w:hAnsi="Abadi"/>
          <w:b w:val="0"/>
          <w:bCs w:val="0"/>
          <w:spacing w:val="40"/>
          <w:sz w:val="21"/>
          <w:szCs w:val="21"/>
        </w:rPr>
        <w:t xml:space="preserve"> </w:t>
      </w:r>
      <w:r w:rsidRPr="00961415">
        <w:rPr>
          <w:rFonts w:ascii="Abadi" w:hAnsi="Abadi"/>
          <w:b w:val="0"/>
          <w:bCs w:val="0"/>
          <w:sz w:val="21"/>
          <w:szCs w:val="21"/>
        </w:rPr>
        <w:t>cierre</w:t>
      </w:r>
      <w:r w:rsidRPr="00961415">
        <w:rPr>
          <w:rFonts w:ascii="Abadi" w:hAnsi="Abadi"/>
          <w:b w:val="0"/>
          <w:bCs w:val="0"/>
          <w:spacing w:val="35"/>
          <w:sz w:val="21"/>
          <w:szCs w:val="21"/>
        </w:rPr>
        <w:t xml:space="preserve"> </w:t>
      </w:r>
      <w:r w:rsidRPr="00961415">
        <w:rPr>
          <w:rFonts w:ascii="Abadi" w:hAnsi="Abadi"/>
          <w:b w:val="0"/>
          <w:bCs w:val="0"/>
          <w:sz w:val="21"/>
          <w:szCs w:val="21"/>
        </w:rPr>
        <w:t>de</w:t>
      </w:r>
      <w:r w:rsidRPr="00961415">
        <w:rPr>
          <w:rFonts w:ascii="Abadi" w:hAnsi="Abadi"/>
          <w:b w:val="0"/>
          <w:bCs w:val="0"/>
          <w:spacing w:val="36"/>
          <w:sz w:val="21"/>
          <w:szCs w:val="21"/>
        </w:rPr>
        <w:t xml:space="preserve"> </w:t>
      </w:r>
      <w:r w:rsidRPr="00961415">
        <w:rPr>
          <w:rFonts w:ascii="Abadi" w:hAnsi="Abadi"/>
          <w:b w:val="0"/>
          <w:bCs w:val="0"/>
          <w:sz w:val="21"/>
          <w:szCs w:val="21"/>
        </w:rPr>
        <w:t>junio</w:t>
      </w:r>
      <w:r w:rsidRPr="00961415">
        <w:rPr>
          <w:rFonts w:ascii="Abadi" w:hAnsi="Abadi"/>
          <w:b w:val="0"/>
          <w:bCs w:val="0"/>
          <w:spacing w:val="36"/>
          <w:sz w:val="21"/>
          <w:szCs w:val="21"/>
        </w:rPr>
        <w:t xml:space="preserve"> </w:t>
      </w:r>
      <w:r w:rsidRPr="00961415">
        <w:rPr>
          <w:rFonts w:ascii="Abadi" w:hAnsi="Abadi"/>
          <w:b w:val="0"/>
          <w:bCs w:val="0"/>
          <w:sz w:val="21"/>
          <w:szCs w:val="21"/>
        </w:rPr>
        <w:t>se</w:t>
      </w:r>
      <w:r w:rsidRPr="00961415">
        <w:rPr>
          <w:rFonts w:ascii="Abadi" w:hAnsi="Abadi"/>
          <w:b w:val="0"/>
          <w:bCs w:val="0"/>
          <w:spacing w:val="36"/>
          <w:sz w:val="21"/>
          <w:szCs w:val="21"/>
        </w:rPr>
        <w:t xml:space="preserve"> </w:t>
      </w:r>
      <w:r w:rsidRPr="00961415">
        <w:rPr>
          <w:rFonts w:ascii="Abadi" w:hAnsi="Abadi"/>
          <w:b w:val="0"/>
          <w:bCs w:val="0"/>
          <w:sz w:val="21"/>
          <w:szCs w:val="21"/>
        </w:rPr>
        <w:t>le</w:t>
      </w:r>
      <w:r w:rsidRPr="00961415">
        <w:rPr>
          <w:rFonts w:ascii="Abadi" w:hAnsi="Abadi"/>
          <w:b w:val="0"/>
          <w:bCs w:val="0"/>
          <w:spacing w:val="37"/>
          <w:sz w:val="21"/>
          <w:szCs w:val="21"/>
        </w:rPr>
        <w:t xml:space="preserve"> </w:t>
      </w:r>
      <w:r w:rsidRPr="00961415">
        <w:rPr>
          <w:rFonts w:ascii="Abadi" w:hAnsi="Abadi"/>
          <w:b w:val="0"/>
          <w:bCs w:val="0"/>
          <w:sz w:val="21"/>
          <w:szCs w:val="21"/>
        </w:rPr>
        <w:t xml:space="preserve">han </w:t>
      </w:r>
      <w:r w:rsidRPr="001D43B8">
        <w:rPr>
          <w:rFonts w:ascii="Abadi" w:hAnsi="Abadi" w:cs="Calibri Light"/>
          <w:b w:val="0"/>
          <w:bCs w:val="0"/>
          <w:sz w:val="21"/>
          <w:szCs w:val="21"/>
        </w:rPr>
        <w:t>adicionado</w:t>
      </w:r>
      <w:r w:rsidRPr="001D43B8">
        <w:rPr>
          <w:rFonts w:ascii="Abadi" w:hAnsi="Abadi" w:cs="Calibri Light"/>
          <w:b w:val="0"/>
          <w:bCs w:val="0"/>
          <w:spacing w:val="30"/>
          <w:sz w:val="21"/>
          <w:szCs w:val="21"/>
        </w:rPr>
        <w:t xml:space="preserve"> </w:t>
      </w:r>
      <w:r w:rsidRPr="001D43B8">
        <w:rPr>
          <w:rFonts w:ascii="Abadi" w:hAnsi="Abadi" w:cs="Calibri Light"/>
          <w:b w:val="0"/>
          <w:bCs w:val="0"/>
          <w:sz w:val="21"/>
          <w:szCs w:val="21"/>
        </w:rPr>
        <w:t>al</w:t>
      </w:r>
      <w:r w:rsidRPr="001D43B8">
        <w:rPr>
          <w:rFonts w:ascii="Abadi" w:hAnsi="Abadi" w:cs="Calibri Light"/>
          <w:b w:val="0"/>
          <w:bCs w:val="0"/>
          <w:spacing w:val="35"/>
          <w:sz w:val="21"/>
          <w:szCs w:val="21"/>
        </w:rPr>
        <w:t xml:space="preserve"> </w:t>
      </w:r>
      <w:r w:rsidRPr="001D43B8">
        <w:rPr>
          <w:rFonts w:ascii="Abadi" w:hAnsi="Abadi" w:cs="Calibri Light"/>
          <w:b w:val="0"/>
          <w:bCs w:val="0"/>
          <w:sz w:val="21"/>
          <w:szCs w:val="21"/>
        </w:rPr>
        <w:t>gasto</w:t>
      </w:r>
      <w:r w:rsidRPr="001D43B8">
        <w:rPr>
          <w:rFonts w:ascii="Abadi" w:hAnsi="Abadi" w:cs="Calibri Light"/>
          <w:b w:val="0"/>
          <w:bCs w:val="0"/>
          <w:spacing w:val="33"/>
          <w:sz w:val="21"/>
          <w:szCs w:val="21"/>
        </w:rPr>
        <w:t xml:space="preserve"> </w:t>
      </w:r>
      <w:r w:rsidRPr="001D43B8">
        <w:rPr>
          <w:rFonts w:ascii="Abadi" w:hAnsi="Abadi" w:cs="Calibri Light"/>
          <w:b w:val="0"/>
          <w:bCs w:val="0"/>
          <w:sz w:val="21"/>
          <w:szCs w:val="21"/>
        </w:rPr>
        <w:t>de</w:t>
      </w:r>
      <w:r w:rsidRPr="001D43B8">
        <w:rPr>
          <w:rFonts w:ascii="Abadi" w:hAnsi="Abadi" w:cs="Calibri Light"/>
          <w:b w:val="0"/>
          <w:bCs w:val="0"/>
          <w:spacing w:val="37"/>
          <w:sz w:val="21"/>
          <w:szCs w:val="21"/>
        </w:rPr>
        <w:t xml:space="preserve"> </w:t>
      </w:r>
      <w:r w:rsidRPr="001D43B8">
        <w:rPr>
          <w:rFonts w:ascii="Abadi" w:hAnsi="Abadi" w:cs="Calibri Light"/>
          <w:b w:val="0"/>
          <w:bCs w:val="0"/>
          <w:i/>
          <w:iCs/>
          <w:sz w:val="21"/>
          <w:szCs w:val="21"/>
        </w:rPr>
        <w:t>comunicación</w:t>
      </w:r>
      <w:r w:rsidRPr="001D43B8">
        <w:rPr>
          <w:rFonts w:ascii="Abadi" w:hAnsi="Abadi" w:cs="Calibri Light"/>
          <w:b w:val="0"/>
          <w:bCs w:val="0"/>
          <w:i/>
          <w:iCs/>
          <w:spacing w:val="32"/>
          <w:sz w:val="21"/>
          <w:szCs w:val="21"/>
        </w:rPr>
        <w:t xml:space="preserve"> </w:t>
      </w:r>
      <w:r w:rsidRPr="001D43B8">
        <w:rPr>
          <w:rFonts w:ascii="Abadi" w:hAnsi="Abadi" w:cs="Calibri Light"/>
          <w:b w:val="0"/>
          <w:bCs w:val="0"/>
          <w:i/>
          <w:iCs/>
          <w:sz w:val="21"/>
          <w:szCs w:val="21"/>
        </w:rPr>
        <w:t>social</w:t>
      </w:r>
      <w:r w:rsidRPr="001D43B8">
        <w:rPr>
          <w:rFonts w:ascii="Abadi" w:hAnsi="Abadi" w:cs="Calibri Light"/>
          <w:b w:val="0"/>
          <w:bCs w:val="0"/>
          <w:i/>
          <w:iCs/>
          <w:spacing w:val="32"/>
          <w:sz w:val="21"/>
          <w:szCs w:val="21"/>
        </w:rPr>
        <w:t xml:space="preserve"> </w:t>
      </w:r>
      <w:r w:rsidRPr="001D43B8">
        <w:rPr>
          <w:rFonts w:ascii="Abadi" w:hAnsi="Abadi" w:cs="Calibri Light"/>
          <w:b w:val="0"/>
          <w:bCs w:val="0"/>
          <w:i/>
          <w:iCs/>
          <w:sz w:val="21"/>
          <w:szCs w:val="21"/>
        </w:rPr>
        <w:t>y</w:t>
      </w:r>
      <w:r w:rsidRPr="001D43B8">
        <w:rPr>
          <w:rFonts w:ascii="Abadi" w:hAnsi="Abadi" w:cs="Calibri Light"/>
          <w:b w:val="0"/>
          <w:bCs w:val="0"/>
          <w:i/>
          <w:iCs/>
          <w:spacing w:val="34"/>
          <w:sz w:val="21"/>
          <w:szCs w:val="21"/>
        </w:rPr>
        <w:t xml:space="preserve"> </w:t>
      </w:r>
      <w:r w:rsidRPr="001D43B8">
        <w:rPr>
          <w:rFonts w:ascii="Abadi" w:hAnsi="Abadi" w:cs="Calibri Light"/>
          <w:b w:val="0"/>
          <w:bCs w:val="0"/>
          <w:i/>
          <w:iCs/>
          <w:sz w:val="21"/>
          <w:szCs w:val="21"/>
        </w:rPr>
        <w:t>publicidad</w:t>
      </w:r>
      <w:r w:rsidRPr="001D43B8">
        <w:rPr>
          <w:rFonts w:ascii="Abadi" w:hAnsi="Abadi" w:cs="Calibri Light"/>
          <w:b w:val="0"/>
          <w:bCs w:val="0"/>
          <w:sz w:val="21"/>
          <w:szCs w:val="21"/>
        </w:rPr>
        <w:t>,</w:t>
      </w:r>
      <w:r w:rsidRPr="001D43B8">
        <w:rPr>
          <w:rFonts w:ascii="Abadi" w:hAnsi="Abadi" w:cs="Calibri Light"/>
          <w:b w:val="0"/>
          <w:bCs w:val="0"/>
          <w:spacing w:val="31"/>
          <w:sz w:val="21"/>
          <w:szCs w:val="21"/>
        </w:rPr>
        <w:t xml:space="preserve"> </w:t>
      </w:r>
      <w:r w:rsidRPr="001D43B8">
        <w:rPr>
          <w:rFonts w:ascii="Abadi" w:hAnsi="Abadi" w:cs="Calibri Light"/>
          <w:b w:val="0"/>
          <w:bCs w:val="0"/>
          <w:sz w:val="21"/>
          <w:szCs w:val="21"/>
        </w:rPr>
        <w:t>que</w:t>
      </w:r>
      <w:r w:rsidRPr="001D43B8">
        <w:rPr>
          <w:rFonts w:ascii="Abadi" w:hAnsi="Abadi" w:cs="Calibri Light"/>
          <w:b w:val="0"/>
          <w:bCs w:val="0"/>
          <w:spacing w:val="33"/>
          <w:sz w:val="21"/>
          <w:szCs w:val="21"/>
        </w:rPr>
        <w:t xml:space="preserve"> </w:t>
      </w:r>
      <w:r w:rsidRPr="001D43B8">
        <w:rPr>
          <w:rFonts w:ascii="Abadi" w:hAnsi="Abadi" w:cs="Calibri Light"/>
          <w:b w:val="0"/>
          <w:bCs w:val="0"/>
          <w:sz w:val="21"/>
          <w:szCs w:val="21"/>
        </w:rPr>
        <w:t>ya</w:t>
      </w:r>
      <w:r w:rsidRPr="001D43B8">
        <w:rPr>
          <w:rFonts w:ascii="Abadi" w:hAnsi="Abadi" w:cs="Calibri Light"/>
          <w:b w:val="0"/>
          <w:bCs w:val="0"/>
          <w:spacing w:val="31"/>
          <w:sz w:val="21"/>
          <w:szCs w:val="21"/>
        </w:rPr>
        <w:t xml:space="preserve"> </w:t>
      </w:r>
      <w:r w:rsidRPr="001D43B8">
        <w:rPr>
          <w:rFonts w:ascii="Abadi" w:hAnsi="Abadi" w:cs="Calibri Light"/>
          <w:b w:val="0"/>
          <w:bCs w:val="0"/>
          <w:sz w:val="21"/>
          <w:szCs w:val="21"/>
        </w:rPr>
        <w:t>asciende</w:t>
      </w:r>
      <w:r w:rsidRPr="001D43B8">
        <w:rPr>
          <w:rFonts w:ascii="Abadi" w:hAnsi="Abadi" w:cs="Calibri Light"/>
          <w:b w:val="0"/>
          <w:bCs w:val="0"/>
          <w:spacing w:val="31"/>
          <w:sz w:val="21"/>
          <w:szCs w:val="21"/>
        </w:rPr>
        <w:t xml:space="preserve"> </w:t>
      </w:r>
      <w:r w:rsidRPr="001D43B8">
        <w:rPr>
          <w:rFonts w:ascii="Abadi" w:hAnsi="Abadi" w:cs="Calibri Light"/>
          <w:b w:val="0"/>
          <w:bCs w:val="0"/>
          <w:sz w:val="21"/>
          <w:szCs w:val="21"/>
        </w:rPr>
        <w:t>a</w:t>
      </w:r>
      <w:r w:rsidRPr="001D43B8">
        <w:rPr>
          <w:rFonts w:ascii="Abadi" w:hAnsi="Abadi" w:cs="Calibri Light"/>
          <w:b w:val="0"/>
          <w:bCs w:val="0"/>
          <w:spacing w:val="34"/>
          <w:sz w:val="21"/>
          <w:szCs w:val="21"/>
        </w:rPr>
        <w:t xml:space="preserve"> </w:t>
      </w:r>
      <w:r w:rsidRPr="001D43B8">
        <w:rPr>
          <w:rFonts w:ascii="Abadi" w:hAnsi="Abadi" w:cs="Calibri Light"/>
          <w:b w:val="0"/>
          <w:bCs w:val="0"/>
          <w:sz w:val="21"/>
          <w:szCs w:val="21"/>
        </w:rPr>
        <w:t>los</w:t>
      </w:r>
      <w:r w:rsidRPr="00961415">
        <w:rPr>
          <w:rFonts w:ascii="Abadi" w:hAnsi="Abadi"/>
          <w:b w:val="0"/>
          <w:bCs w:val="0"/>
          <w:sz w:val="21"/>
          <w:szCs w:val="21"/>
        </w:rPr>
        <w:t xml:space="preserve"> </w:t>
      </w:r>
      <w:r w:rsidRPr="001D43B8">
        <w:rPr>
          <w:rFonts w:ascii="Abadi" w:hAnsi="Abadi" w:cs="Calibri Light"/>
          <w:b w:val="0"/>
          <w:bCs w:val="0"/>
          <w:sz w:val="21"/>
          <w:szCs w:val="21"/>
        </w:rPr>
        <w:t>331.9</w:t>
      </w:r>
      <w:r w:rsidRPr="001D43B8">
        <w:rPr>
          <w:rFonts w:ascii="Abadi" w:hAnsi="Abadi" w:cs="Calibri Light"/>
          <w:b w:val="0"/>
          <w:bCs w:val="0"/>
          <w:spacing w:val="-4"/>
          <w:sz w:val="21"/>
          <w:szCs w:val="21"/>
        </w:rPr>
        <w:t xml:space="preserve"> </w:t>
      </w:r>
      <w:r w:rsidRPr="001D43B8">
        <w:rPr>
          <w:rFonts w:ascii="Abadi" w:hAnsi="Abadi" w:cs="Calibri Light"/>
          <w:b w:val="0"/>
          <w:bCs w:val="0"/>
          <w:sz w:val="21"/>
          <w:szCs w:val="21"/>
        </w:rPr>
        <w:t>millones</w:t>
      </w:r>
      <w:r w:rsidRPr="001D43B8">
        <w:rPr>
          <w:rFonts w:ascii="Abadi" w:hAnsi="Abadi" w:cs="Calibri Light"/>
          <w:b w:val="0"/>
          <w:bCs w:val="0"/>
          <w:spacing w:val="-3"/>
          <w:sz w:val="21"/>
          <w:szCs w:val="21"/>
        </w:rPr>
        <w:t xml:space="preserve"> </w:t>
      </w:r>
      <w:r w:rsidRPr="001D43B8">
        <w:rPr>
          <w:rFonts w:ascii="Abadi" w:hAnsi="Abadi" w:cs="Calibri Light"/>
          <w:b w:val="0"/>
          <w:bCs w:val="0"/>
          <w:sz w:val="21"/>
          <w:szCs w:val="21"/>
        </w:rPr>
        <w:t>de</w:t>
      </w:r>
      <w:r w:rsidRPr="001D43B8">
        <w:rPr>
          <w:rFonts w:ascii="Abadi" w:hAnsi="Abadi" w:cs="Calibri Light"/>
          <w:b w:val="0"/>
          <w:bCs w:val="0"/>
          <w:spacing w:val="-5"/>
          <w:sz w:val="21"/>
          <w:szCs w:val="21"/>
        </w:rPr>
        <w:t xml:space="preserve"> </w:t>
      </w:r>
      <w:r w:rsidRPr="001D43B8">
        <w:rPr>
          <w:rFonts w:ascii="Abadi" w:hAnsi="Abadi" w:cs="Calibri Light"/>
          <w:b w:val="0"/>
          <w:bCs w:val="0"/>
          <w:sz w:val="21"/>
          <w:szCs w:val="21"/>
        </w:rPr>
        <w:t>pesos</w:t>
      </w:r>
      <w:r w:rsidRPr="001D43B8">
        <w:rPr>
          <w:rFonts w:ascii="Abadi" w:hAnsi="Abadi" w:cs="Calibri Light"/>
          <w:b w:val="0"/>
          <w:bCs w:val="0"/>
          <w:spacing w:val="-3"/>
          <w:sz w:val="21"/>
          <w:szCs w:val="21"/>
        </w:rPr>
        <w:t xml:space="preserve"> </w:t>
      </w:r>
      <w:r w:rsidRPr="001D43B8">
        <w:rPr>
          <w:rFonts w:ascii="Abadi" w:hAnsi="Abadi" w:cs="Calibri Light"/>
          <w:b w:val="0"/>
          <w:bCs w:val="0"/>
          <w:sz w:val="21"/>
          <w:szCs w:val="21"/>
        </w:rPr>
        <w:t>programados;</w:t>
      </w:r>
      <w:r w:rsidRPr="001D43B8">
        <w:rPr>
          <w:rFonts w:ascii="Abadi" w:hAnsi="Abadi" w:cs="Calibri Light"/>
          <w:b w:val="0"/>
          <w:bCs w:val="0"/>
          <w:spacing w:val="-6"/>
          <w:sz w:val="21"/>
          <w:szCs w:val="21"/>
        </w:rPr>
        <w:t xml:space="preserve"> </w:t>
      </w:r>
      <w:r w:rsidRPr="001D43B8">
        <w:rPr>
          <w:rFonts w:ascii="Abadi" w:hAnsi="Abadi" w:cs="Calibri Light"/>
          <w:b w:val="0"/>
          <w:bCs w:val="0"/>
          <w:sz w:val="21"/>
          <w:szCs w:val="21"/>
        </w:rPr>
        <w:t>así</w:t>
      </w:r>
      <w:r w:rsidRPr="001D43B8">
        <w:rPr>
          <w:rFonts w:ascii="Abadi" w:hAnsi="Abadi" w:cs="Calibri Light"/>
          <w:b w:val="0"/>
          <w:bCs w:val="0"/>
          <w:spacing w:val="-4"/>
          <w:sz w:val="21"/>
          <w:szCs w:val="21"/>
        </w:rPr>
        <w:t xml:space="preserve"> </w:t>
      </w:r>
      <w:r w:rsidRPr="001D43B8">
        <w:rPr>
          <w:rFonts w:ascii="Abadi" w:hAnsi="Abadi" w:cs="Calibri Light"/>
          <w:b w:val="0"/>
          <w:bCs w:val="0"/>
          <w:sz w:val="21"/>
          <w:szCs w:val="21"/>
        </w:rPr>
        <w:t>como</w:t>
      </w:r>
      <w:r w:rsidRPr="001D43B8">
        <w:rPr>
          <w:rFonts w:ascii="Abadi" w:hAnsi="Abadi" w:cs="Calibri Light"/>
          <w:b w:val="0"/>
          <w:bCs w:val="0"/>
          <w:spacing w:val="-5"/>
          <w:sz w:val="21"/>
          <w:szCs w:val="21"/>
        </w:rPr>
        <w:t xml:space="preserve"> </w:t>
      </w:r>
      <w:r w:rsidRPr="001D43B8">
        <w:rPr>
          <w:rFonts w:ascii="Abadi" w:hAnsi="Abadi" w:cs="Calibri Light"/>
          <w:b w:val="0"/>
          <w:bCs w:val="0"/>
          <w:sz w:val="21"/>
          <w:szCs w:val="21"/>
        </w:rPr>
        <w:t>los</w:t>
      </w:r>
      <w:r w:rsidRPr="001D43B8">
        <w:rPr>
          <w:rFonts w:ascii="Abadi" w:hAnsi="Abadi" w:cs="Calibri Light"/>
          <w:b w:val="0"/>
          <w:bCs w:val="0"/>
          <w:spacing w:val="-5"/>
          <w:sz w:val="21"/>
          <w:szCs w:val="21"/>
        </w:rPr>
        <w:t xml:space="preserve"> </w:t>
      </w:r>
      <w:r w:rsidRPr="001D43B8">
        <w:rPr>
          <w:rFonts w:ascii="Abadi" w:hAnsi="Abadi" w:cs="Calibri Light"/>
          <w:b w:val="0"/>
          <w:bCs w:val="0"/>
          <w:sz w:val="21"/>
          <w:szCs w:val="21"/>
        </w:rPr>
        <w:t>20.5</w:t>
      </w:r>
      <w:r w:rsidRPr="001D43B8">
        <w:rPr>
          <w:rFonts w:ascii="Abadi" w:hAnsi="Abadi" w:cs="Calibri Light"/>
          <w:b w:val="0"/>
          <w:bCs w:val="0"/>
          <w:spacing w:val="-1"/>
          <w:sz w:val="21"/>
          <w:szCs w:val="21"/>
        </w:rPr>
        <w:t xml:space="preserve"> </w:t>
      </w:r>
      <w:r w:rsidRPr="001D43B8">
        <w:rPr>
          <w:rFonts w:ascii="Abadi" w:hAnsi="Abadi" w:cs="Calibri Light"/>
          <w:b w:val="0"/>
          <w:bCs w:val="0"/>
          <w:sz w:val="21"/>
          <w:szCs w:val="21"/>
        </w:rPr>
        <w:t>millones</w:t>
      </w:r>
      <w:r w:rsidRPr="001D43B8">
        <w:rPr>
          <w:rFonts w:ascii="Abadi" w:hAnsi="Abadi" w:cs="Calibri Light"/>
          <w:b w:val="0"/>
          <w:bCs w:val="0"/>
          <w:spacing w:val="-3"/>
          <w:sz w:val="21"/>
          <w:szCs w:val="21"/>
        </w:rPr>
        <w:t xml:space="preserve"> </w:t>
      </w:r>
      <w:r w:rsidRPr="001D43B8">
        <w:rPr>
          <w:rFonts w:ascii="Abadi" w:hAnsi="Abadi" w:cs="Calibri Light"/>
          <w:b w:val="0"/>
          <w:bCs w:val="0"/>
          <w:sz w:val="21"/>
          <w:szCs w:val="21"/>
        </w:rPr>
        <w:t>de</w:t>
      </w:r>
      <w:r w:rsidRPr="001D43B8">
        <w:rPr>
          <w:rFonts w:ascii="Abadi" w:hAnsi="Abadi" w:cs="Calibri Light"/>
          <w:b w:val="0"/>
          <w:bCs w:val="0"/>
          <w:spacing w:val="-5"/>
          <w:sz w:val="21"/>
          <w:szCs w:val="21"/>
        </w:rPr>
        <w:t xml:space="preserve"> </w:t>
      </w:r>
      <w:r w:rsidRPr="001D43B8">
        <w:rPr>
          <w:rFonts w:ascii="Abadi" w:hAnsi="Abadi" w:cs="Calibri Light"/>
          <w:b w:val="0"/>
          <w:bCs w:val="0"/>
          <w:sz w:val="21"/>
          <w:szCs w:val="21"/>
        </w:rPr>
        <w:t>pesos</w:t>
      </w:r>
      <w:r w:rsidRPr="001D43B8">
        <w:rPr>
          <w:rFonts w:ascii="Abadi" w:hAnsi="Abadi" w:cs="Calibri Light"/>
          <w:b w:val="0"/>
          <w:bCs w:val="0"/>
          <w:spacing w:val="-5"/>
          <w:sz w:val="21"/>
          <w:szCs w:val="21"/>
        </w:rPr>
        <w:t xml:space="preserve"> </w:t>
      </w:r>
      <w:r w:rsidRPr="001D43B8">
        <w:rPr>
          <w:rFonts w:ascii="Abadi" w:hAnsi="Abadi" w:cs="Calibri Light"/>
          <w:b w:val="0"/>
          <w:bCs w:val="0"/>
          <w:sz w:val="21"/>
          <w:szCs w:val="21"/>
        </w:rPr>
        <w:t>que</w:t>
      </w:r>
      <w:r w:rsidRPr="001D43B8">
        <w:rPr>
          <w:rFonts w:ascii="Abadi" w:hAnsi="Abadi" w:cs="Calibri Light"/>
          <w:b w:val="0"/>
          <w:bCs w:val="0"/>
          <w:spacing w:val="-5"/>
          <w:sz w:val="21"/>
          <w:szCs w:val="21"/>
        </w:rPr>
        <w:t xml:space="preserve"> </w:t>
      </w:r>
      <w:r w:rsidRPr="001D43B8">
        <w:rPr>
          <w:rFonts w:ascii="Abadi" w:hAnsi="Abadi" w:cs="Calibri Light"/>
          <w:b w:val="0"/>
          <w:bCs w:val="0"/>
          <w:sz w:val="21"/>
          <w:szCs w:val="21"/>
        </w:rPr>
        <w:t>se le</w:t>
      </w:r>
      <w:r w:rsidRPr="001D43B8">
        <w:rPr>
          <w:rFonts w:ascii="Abadi" w:hAnsi="Abadi" w:cs="Calibri Light"/>
          <w:b w:val="0"/>
          <w:bCs w:val="0"/>
          <w:spacing w:val="12"/>
          <w:sz w:val="21"/>
          <w:szCs w:val="21"/>
        </w:rPr>
        <w:t xml:space="preserve"> </w:t>
      </w:r>
      <w:r w:rsidRPr="001D43B8">
        <w:rPr>
          <w:rFonts w:ascii="Abadi" w:hAnsi="Abadi" w:cs="Calibri Light"/>
          <w:b w:val="0"/>
          <w:bCs w:val="0"/>
          <w:sz w:val="21"/>
          <w:szCs w:val="21"/>
        </w:rPr>
        <w:t>adicionaron</w:t>
      </w:r>
      <w:r w:rsidRPr="001D43B8">
        <w:rPr>
          <w:rFonts w:ascii="Abadi" w:hAnsi="Abadi" w:cs="Calibri Light"/>
          <w:b w:val="0"/>
          <w:bCs w:val="0"/>
          <w:spacing w:val="12"/>
          <w:sz w:val="21"/>
          <w:szCs w:val="21"/>
        </w:rPr>
        <w:t xml:space="preserve"> </w:t>
      </w:r>
      <w:r w:rsidRPr="001D43B8">
        <w:rPr>
          <w:rFonts w:ascii="Abadi" w:hAnsi="Abadi" w:cs="Calibri Light"/>
          <w:b w:val="0"/>
          <w:bCs w:val="0"/>
          <w:sz w:val="21"/>
          <w:szCs w:val="21"/>
        </w:rPr>
        <w:t>a</w:t>
      </w:r>
      <w:r w:rsidRPr="001D43B8">
        <w:rPr>
          <w:rFonts w:ascii="Abadi" w:hAnsi="Abadi" w:cs="Calibri Light"/>
          <w:b w:val="0"/>
          <w:bCs w:val="0"/>
          <w:spacing w:val="13"/>
          <w:sz w:val="21"/>
          <w:szCs w:val="21"/>
        </w:rPr>
        <w:t xml:space="preserve"> </w:t>
      </w:r>
      <w:r w:rsidRPr="001D43B8">
        <w:rPr>
          <w:rFonts w:ascii="Abadi" w:hAnsi="Abadi" w:cs="Calibri Light"/>
          <w:b w:val="0"/>
          <w:bCs w:val="0"/>
          <w:sz w:val="21"/>
          <w:szCs w:val="21"/>
        </w:rPr>
        <w:t>los</w:t>
      </w:r>
      <w:r w:rsidRPr="001D43B8">
        <w:rPr>
          <w:rFonts w:ascii="Abadi" w:hAnsi="Abadi" w:cs="Calibri Light"/>
          <w:b w:val="0"/>
          <w:bCs w:val="0"/>
          <w:spacing w:val="13"/>
          <w:sz w:val="21"/>
          <w:szCs w:val="21"/>
        </w:rPr>
        <w:t xml:space="preserve"> </w:t>
      </w:r>
      <w:r w:rsidRPr="001D43B8">
        <w:rPr>
          <w:rFonts w:ascii="Abadi" w:hAnsi="Abadi" w:cs="Calibri Light"/>
          <w:b w:val="0"/>
          <w:bCs w:val="0"/>
          <w:sz w:val="21"/>
          <w:szCs w:val="21"/>
        </w:rPr>
        <w:t>gastos</w:t>
      </w:r>
      <w:r w:rsidRPr="001D43B8">
        <w:rPr>
          <w:rFonts w:ascii="Abadi" w:hAnsi="Abadi" w:cs="Calibri Light"/>
          <w:b w:val="0"/>
          <w:bCs w:val="0"/>
          <w:spacing w:val="12"/>
          <w:sz w:val="21"/>
          <w:szCs w:val="21"/>
        </w:rPr>
        <w:t xml:space="preserve"> </w:t>
      </w:r>
      <w:r w:rsidRPr="001D43B8">
        <w:rPr>
          <w:rFonts w:ascii="Abadi" w:hAnsi="Abadi" w:cs="Calibri Light"/>
          <w:b w:val="0"/>
          <w:bCs w:val="0"/>
          <w:sz w:val="21"/>
          <w:szCs w:val="21"/>
        </w:rPr>
        <w:t>de</w:t>
      </w:r>
      <w:r w:rsidRPr="001D43B8">
        <w:rPr>
          <w:rFonts w:ascii="Abadi" w:hAnsi="Abadi" w:cs="Calibri Light"/>
          <w:b w:val="0"/>
          <w:bCs w:val="0"/>
          <w:spacing w:val="15"/>
          <w:sz w:val="21"/>
          <w:szCs w:val="21"/>
        </w:rPr>
        <w:t xml:space="preserve"> </w:t>
      </w:r>
      <w:r w:rsidRPr="001D43B8">
        <w:rPr>
          <w:rFonts w:ascii="Abadi" w:hAnsi="Abadi" w:cs="Calibri Light"/>
          <w:b w:val="0"/>
          <w:bCs w:val="0"/>
          <w:i/>
          <w:iCs/>
          <w:sz w:val="21"/>
          <w:szCs w:val="21"/>
        </w:rPr>
        <w:t>servicios</w:t>
      </w:r>
      <w:r w:rsidRPr="001D43B8">
        <w:rPr>
          <w:rFonts w:ascii="Abadi" w:hAnsi="Abadi" w:cs="Calibri Light"/>
          <w:b w:val="0"/>
          <w:bCs w:val="0"/>
          <w:i/>
          <w:iCs/>
          <w:spacing w:val="13"/>
          <w:sz w:val="21"/>
          <w:szCs w:val="21"/>
        </w:rPr>
        <w:t xml:space="preserve"> </w:t>
      </w:r>
      <w:r w:rsidRPr="001D43B8">
        <w:rPr>
          <w:rFonts w:ascii="Abadi" w:hAnsi="Abadi" w:cs="Calibri Light"/>
          <w:b w:val="0"/>
          <w:bCs w:val="0"/>
          <w:i/>
          <w:iCs/>
          <w:sz w:val="21"/>
          <w:szCs w:val="21"/>
        </w:rPr>
        <w:t>oficiales</w:t>
      </w:r>
      <w:r w:rsidRPr="001D43B8">
        <w:rPr>
          <w:rFonts w:ascii="Abadi" w:hAnsi="Abadi" w:cs="Calibri Light"/>
          <w:b w:val="0"/>
          <w:bCs w:val="0"/>
          <w:sz w:val="21"/>
          <w:szCs w:val="21"/>
        </w:rPr>
        <w:t>,</w:t>
      </w:r>
      <w:r w:rsidRPr="001D43B8">
        <w:rPr>
          <w:rFonts w:ascii="Abadi" w:hAnsi="Abadi" w:cs="Calibri Light"/>
          <w:b w:val="0"/>
          <w:bCs w:val="0"/>
          <w:spacing w:val="12"/>
          <w:sz w:val="21"/>
          <w:szCs w:val="21"/>
        </w:rPr>
        <w:t xml:space="preserve"> </w:t>
      </w:r>
      <w:r w:rsidRPr="001D43B8">
        <w:rPr>
          <w:rFonts w:ascii="Abadi" w:hAnsi="Abadi" w:cs="Calibri Light"/>
          <w:b w:val="0"/>
          <w:bCs w:val="0"/>
          <w:sz w:val="21"/>
          <w:szCs w:val="21"/>
        </w:rPr>
        <w:t>que</w:t>
      </w:r>
      <w:r w:rsidRPr="001D43B8">
        <w:rPr>
          <w:rFonts w:ascii="Abadi" w:hAnsi="Abadi" w:cs="Calibri Light"/>
          <w:b w:val="0"/>
          <w:bCs w:val="0"/>
          <w:spacing w:val="11"/>
          <w:sz w:val="21"/>
          <w:szCs w:val="21"/>
        </w:rPr>
        <w:t xml:space="preserve"> </w:t>
      </w:r>
      <w:r w:rsidRPr="001D43B8">
        <w:rPr>
          <w:rFonts w:ascii="Abadi" w:hAnsi="Abadi" w:cs="Calibri Light"/>
          <w:b w:val="0"/>
          <w:bCs w:val="0"/>
          <w:sz w:val="21"/>
          <w:szCs w:val="21"/>
        </w:rPr>
        <w:t>ya</w:t>
      </w:r>
      <w:r w:rsidRPr="001D43B8">
        <w:rPr>
          <w:rFonts w:ascii="Abadi" w:hAnsi="Abadi" w:cs="Calibri Light"/>
          <w:b w:val="0"/>
          <w:bCs w:val="0"/>
          <w:spacing w:val="13"/>
          <w:sz w:val="21"/>
          <w:szCs w:val="21"/>
        </w:rPr>
        <w:t xml:space="preserve"> </w:t>
      </w:r>
      <w:r w:rsidRPr="001D43B8">
        <w:rPr>
          <w:rFonts w:ascii="Abadi" w:hAnsi="Abadi" w:cs="Calibri Light"/>
          <w:b w:val="0"/>
          <w:bCs w:val="0"/>
          <w:sz w:val="21"/>
          <w:szCs w:val="21"/>
        </w:rPr>
        <w:t>asciende</w:t>
      </w:r>
      <w:r w:rsidRPr="001D43B8">
        <w:rPr>
          <w:rFonts w:ascii="Abadi" w:hAnsi="Abadi" w:cs="Calibri Light"/>
          <w:b w:val="0"/>
          <w:bCs w:val="0"/>
          <w:spacing w:val="14"/>
          <w:sz w:val="21"/>
          <w:szCs w:val="21"/>
        </w:rPr>
        <w:t xml:space="preserve"> </w:t>
      </w:r>
      <w:r w:rsidRPr="001D43B8">
        <w:rPr>
          <w:rFonts w:ascii="Abadi" w:hAnsi="Abadi" w:cs="Calibri Light"/>
          <w:b w:val="0"/>
          <w:bCs w:val="0"/>
          <w:sz w:val="21"/>
          <w:szCs w:val="21"/>
        </w:rPr>
        <w:t>a</w:t>
      </w:r>
      <w:r w:rsidRPr="001D43B8">
        <w:rPr>
          <w:rFonts w:ascii="Abadi" w:hAnsi="Abadi" w:cs="Calibri Light"/>
          <w:b w:val="0"/>
          <w:bCs w:val="0"/>
          <w:spacing w:val="13"/>
          <w:sz w:val="21"/>
          <w:szCs w:val="21"/>
        </w:rPr>
        <w:t xml:space="preserve"> </w:t>
      </w:r>
      <w:r w:rsidRPr="001D43B8">
        <w:rPr>
          <w:rFonts w:ascii="Abadi" w:hAnsi="Abadi" w:cs="Calibri Light"/>
          <w:b w:val="0"/>
          <w:bCs w:val="0"/>
          <w:sz w:val="21"/>
          <w:szCs w:val="21"/>
        </w:rPr>
        <w:t>85.7</w:t>
      </w:r>
      <w:r w:rsidRPr="001D43B8">
        <w:rPr>
          <w:rFonts w:ascii="Abadi" w:hAnsi="Abadi" w:cs="Calibri Light"/>
          <w:b w:val="0"/>
          <w:bCs w:val="0"/>
          <w:spacing w:val="13"/>
          <w:sz w:val="21"/>
          <w:szCs w:val="21"/>
        </w:rPr>
        <w:t xml:space="preserve"> </w:t>
      </w:r>
      <w:r w:rsidRPr="001D43B8">
        <w:rPr>
          <w:rFonts w:ascii="Abadi" w:hAnsi="Abadi" w:cs="Calibri Light"/>
          <w:b w:val="0"/>
          <w:bCs w:val="0"/>
          <w:sz w:val="21"/>
          <w:szCs w:val="21"/>
        </w:rPr>
        <w:t>millones</w:t>
      </w:r>
      <w:r w:rsidRPr="00961415">
        <w:rPr>
          <w:rFonts w:ascii="Abadi" w:hAnsi="Abadi"/>
          <w:b w:val="0"/>
          <w:bCs w:val="0"/>
          <w:sz w:val="21"/>
          <w:szCs w:val="21"/>
        </w:rPr>
        <w:t xml:space="preserve"> </w:t>
      </w:r>
      <w:r w:rsidRPr="001D43B8">
        <w:rPr>
          <w:rFonts w:ascii="Abadi" w:hAnsi="Abadi" w:cs="Calibri Light"/>
          <w:b w:val="0"/>
          <w:bCs w:val="0"/>
          <w:sz w:val="21"/>
          <w:szCs w:val="21"/>
        </w:rPr>
        <w:t>de</w:t>
      </w:r>
      <w:r w:rsidRPr="001D43B8">
        <w:rPr>
          <w:rFonts w:ascii="Abadi" w:hAnsi="Abadi" w:cs="Calibri Light"/>
          <w:b w:val="0"/>
          <w:bCs w:val="0"/>
          <w:spacing w:val="-1"/>
          <w:sz w:val="21"/>
          <w:szCs w:val="21"/>
        </w:rPr>
        <w:t xml:space="preserve"> </w:t>
      </w:r>
      <w:r w:rsidRPr="001D43B8">
        <w:rPr>
          <w:rFonts w:ascii="Abadi" w:hAnsi="Abadi" w:cs="Calibri Light"/>
          <w:b w:val="0"/>
          <w:bCs w:val="0"/>
          <w:sz w:val="21"/>
          <w:szCs w:val="21"/>
        </w:rPr>
        <w:t>pesos.</w:t>
      </w:r>
    </w:p>
    <w:p w14:paraId="1DE05F02" w14:textId="77777777" w:rsidR="00AF040F" w:rsidRPr="001D43B8" w:rsidRDefault="00AF040F" w:rsidP="00A44DEE">
      <w:pPr>
        <w:kinsoku w:val="0"/>
        <w:overflowPunct w:val="0"/>
        <w:autoSpaceDE w:val="0"/>
        <w:autoSpaceDN w:val="0"/>
        <w:adjustRightInd w:val="0"/>
        <w:ind w:left="39" w:right="121"/>
        <w:jc w:val="both"/>
        <w:rPr>
          <w:rFonts w:ascii="Abadi" w:hAnsi="Abadi" w:cs="Calibri Light"/>
          <w:sz w:val="21"/>
          <w:szCs w:val="21"/>
        </w:rPr>
      </w:pPr>
    </w:p>
    <w:p w14:paraId="43A98141" w14:textId="77777777" w:rsidR="00AF040F" w:rsidRPr="001D43B8" w:rsidRDefault="00AF040F" w:rsidP="00A44DEE">
      <w:pPr>
        <w:kinsoku w:val="0"/>
        <w:overflowPunct w:val="0"/>
        <w:autoSpaceDE w:val="0"/>
        <w:autoSpaceDN w:val="0"/>
        <w:adjustRightInd w:val="0"/>
        <w:ind w:left="39" w:right="121"/>
        <w:jc w:val="both"/>
        <w:rPr>
          <w:rFonts w:ascii="Abadi" w:hAnsi="Abadi" w:cs="Calibri Light"/>
          <w:sz w:val="21"/>
          <w:szCs w:val="21"/>
        </w:rPr>
      </w:pPr>
      <w:r w:rsidRPr="001D43B8">
        <w:rPr>
          <w:rFonts w:ascii="Abadi" w:hAnsi="Abadi" w:cs="Calibri Light"/>
          <w:sz w:val="21"/>
          <w:szCs w:val="21"/>
        </w:rPr>
        <w:t>Lo</w:t>
      </w:r>
      <w:r w:rsidRPr="001D43B8">
        <w:rPr>
          <w:rFonts w:ascii="Abadi" w:hAnsi="Abadi" w:cs="Calibri Light"/>
          <w:spacing w:val="18"/>
          <w:sz w:val="21"/>
          <w:szCs w:val="21"/>
        </w:rPr>
        <w:t xml:space="preserve"> </w:t>
      </w:r>
      <w:r w:rsidRPr="001D43B8">
        <w:rPr>
          <w:rFonts w:ascii="Abadi" w:hAnsi="Abadi" w:cs="Calibri Light"/>
          <w:sz w:val="21"/>
          <w:szCs w:val="21"/>
        </w:rPr>
        <w:t>anterior</w:t>
      </w:r>
      <w:r w:rsidRPr="001D43B8">
        <w:rPr>
          <w:rFonts w:ascii="Abadi" w:hAnsi="Abadi" w:cs="Calibri Light"/>
          <w:spacing w:val="18"/>
          <w:sz w:val="21"/>
          <w:szCs w:val="21"/>
        </w:rPr>
        <w:t xml:space="preserve"> </w:t>
      </w:r>
      <w:r w:rsidRPr="001D43B8">
        <w:rPr>
          <w:rFonts w:ascii="Abadi" w:hAnsi="Abadi" w:cs="Calibri Light"/>
          <w:sz w:val="21"/>
          <w:szCs w:val="21"/>
        </w:rPr>
        <w:t>se</w:t>
      </w:r>
      <w:r w:rsidRPr="001D43B8">
        <w:rPr>
          <w:rFonts w:ascii="Abadi" w:hAnsi="Abadi" w:cs="Calibri Light"/>
          <w:spacing w:val="18"/>
          <w:sz w:val="21"/>
          <w:szCs w:val="21"/>
        </w:rPr>
        <w:t xml:space="preserve"> </w:t>
      </w:r>
      <w:r w:rsidRPr="001D43B8">
        <w:rPr>
          <w:rFonts w:ascii="Abadi" w:hAnsi="Abadi" w:cs="Calibri Light"/>
          <w:sz w:val="21"/>
          <w:szCs w:val="21"/>
        </w:rPr>
        <w:t>vuelve</w:t>
      </w:r>
      <w:r w:rsidRPr="001D43B8">
        <w:rPr>
          <w:rFonts w:ascii="Abadi" w:hAnsi="Abadi" w:cs="Calibri Light"/>
          <w:spacing w:val="17"/>
          <w:sz w:val="21"/>
          <w:szCs w:val="21"/>
        </w:rPr>
        <w:t xml:space="preserve"> </w:t>
      </w:r>
      <w:r w:rsidRPr="001D43B8">
        <w:rPr>
          <w:rFonts w:ascii="Abadi" w:hAnsi="Abadi" w:cs="Calibri Light"/>
          <w:sz w:val="21"/>
          <w:szCs w:val="21"/>
        </w:rPr>
        <w:t>todavía</w:t>
      </w:r>
      <w:r w:rsidRPr="001D43B8">
        <w:rPr>
          <w:rFonts w:ascii="Abadi" w:hAnsi="Abadi" w:cs="Calibri Light"/>
          <w:spacing w:val="19"/>
          <w:sz w:val="21"/>
          <w:szCs w:val="21"/>
        </w:rPr>
        <w:t xml:space="preserve"> </w:t>
      </w:r>
      <w:r w:rsidRPr="001D43B8">
        <w:rPr>
          <w:rFonts w:ascii="Abadi" w:hAnsi="Abadi" w:cs="Calibri Light"/>
          <w:sz w:val="21"/>
          <w:szCs w:val="21"/>
        </w:rPr>
        <w:t>más</w:t>
      </w:r>
      <w:r w:rsidRPr="001D43B8">
        <w:rPr>
          <w:rFonts w:ascii="Abadi" w:hAnsi="Abadi" w:cs="Calibri Light"/>
          <w:spacing w:val="19"/>
          <w:sz w:val="21"/>
          <w:szCs w:val="21"/>
        </w:rPr>
        <w:t xml:space="preserve"> </w:t>
      </w:r>
      <w:r w:rsidRPr="001D43B8">
        <w:rPr>
          <w:rFonts w:ascii="Abadi" w:hAnsi="Abadi" w:cs="Calibri Light"/>
          <w:sz w:val="21"/>
          <w:szCs w:val="21"/>
        </w:rPr>
        <w:t>preocupante</w:t>
      </w:r>
      <w:r w:rsidRPr="001D43B8">
        <w:rPr>
          <w:rFonts w:ascii="Abadi" w:hAnsi="Abadi" w:cs="Calibri Light"/>
          <w:spacing w:val="19"/>
          <w:sz w:val="21"/>
          <w:szCs w:val="21"/>
        </w:rPr>
        <w:t xml:space="preserve"> </w:t>
      </w:r>
      <w:r w:rsidRPr="001D43B8">
        <w:rPr>
          <w:rFonts w:ascii="Abadi" w:hAnsi="Abadi" w:cs="Calibri Light"/>
          <w:sz w:val="21"/>
          <w:szCs w:val="21"/>
        </w:rPr>
        <w:t>cuando</w:t>
      </w:r>
      <w:r w:rsidRPr="001D43B8">
        <w:rPr>
          <w:rFonts w:ascii="Abadi" w:hAnsi="Abadi" w:cs="Calibri Light"/>
          <w:spacing w:val="18"/>
          <w:sz w:val="21"/>
          <w:szCs w:val="21"/>
        </w:rPr>
        <w:t xml:space="preserve"> </w:t>
      </w:r>
      <w:r w:rsidRPr="001D43B8">
        <w:rPr>
          <w:rFonts w:ascii="Abadi" w:hAnsi="Abadi" w:cs="Calibri Light"/>
          <w:sz w:val="21"/>
          <w:szCs w:val="21"/>
        </w:rPr>
        <w:t>recordamos</w:t>
      </w:r>
      <w:r w:rsidRPr="001D43B8">
        <w:rPr>
          <w:rFonts w:ascii="Abadi" w:hAnsi="Abadi" w:cs="Calibri Light"/>
          <w:spacing w:val="19"/>
          <w:sz w:val="21"/>
          <w:szCs w:val="21"/>
        </w:rPr>
        <w:t xml:space="preserve"> </w:t>
      </w:r>
      <w:r w:rsidRPr="001D43B8">
        <w:rPr>
          <w:rFonts w:ascii="Abadi" w:hAnsi="Abadi" w:cs="Calibri Light"/>
          <w:sz w:val="21"/>
          <w:szCs w:val="21"/>
        </w:rPr>
        <w:t>que</w:t>
      </w:r>
      <w:r w:rsidRPr="001D43B8">
        <w:rPr>
          <w:rFonts w:ascii="Abadi" w:hAnsi="Abadi" w:cs="Calibri Light"/>
          <w:spacing w:val="17"/>
          <w:sz w:val="21"/>
          <w:szCs w:val="21"/>
        </w:rPr>
        <w:t xml:space="preserve"> </w:t>
      </w:r>
      <w:r w:rsidRPr="001D43B8">
        <w:rPr>
          <w:rFonts w:ascii="Abadi" w:hAnsi="Abadi" w:cs="Calibri Light"/>
          <w:sz w:val="21"/>
          <w:szCs w:val="21"/>
        </w:rPr>
        <w:t>la</w:t>
      </w:r>
      <w:r w:rsidRPr="001D43B8">
        <w:rPr>
          <w:rFonts w:ascii="Abadi" w:hAnsi="Abadi" w:cs="Calibri Light"/>
          <w:spacing w:val="-1"/>
          <w:sz w:val="21"/>
          <w:szCs w:val="21"/>
        </w:rPr>
        <w:t xml:space="preserve"> </w:t>
      </w:r>
      <w:r w:rsidRPr="001D43B8">
        <w:rPr>
          <w:rFonts w:ascii="Abadi" w:hAnsi="Abadi" w:cs="Calibri Light"/>
          <w:sz w:val="21"/>
          <w:szCs w:val="21"/>
        </w:rPr>
        <w:t>Auditoría</w:t>
      </w:r>
      <w:r w:rsidRPr="001D43B8">
        <w:rPr>
          <w:rFonts w:ascii="Abadi" w:hAnsi="Abadi" w:cs="Calibri Light"/>
          <w:spacing w:val="25"/>
          <w:sz w:val="21"/>
          <w:szCs w:val="21"/>
        </w:rPr>
        <w:t xml:space="preserve"> </w:t>
      </w:r>
      <w:r w:rsidRPr="001D43B8">
        <w:rPr>
          <w:rFonts w:ascii="Abadi" w:hAnsi="Abadi" w:cs="Calibri Light"/>
          <w:sz w:val="21"/>
          <w:szCs w:val="21"/>
        </w:rPr>
        <w:t>Superior</w:t>
      </w:r>
      <w:r w:rsidRPr="001D43B8">
        <w:rPr>
          <w:rFonts w:ascii="Abadi" w:hAnsi="Abadi" w:cs="Calibri Light"/>
          <w:spacing w:val="24"/>
          <w:sz w:val="21"/>
          <w:szCs w:val="21"/>
        </w:rPr>
        <w:t xml:space="preserve"> </w:t>
      </w:r>
      <w:r w:rsidRPr="001D43B8">
        <w:rPr>
          <w:rFonts w:ascii="Abadi" w:hAnsi="Abadi" w:cs="Calibri Light"/>
          <w:sz w:val="21"/>
          <w:szCs w:val="21"/>
        </w:rPr>
        <w:t>del</w:t>
      </w:r>
      <w:r w:rsidRPr="001D43B8">
        <w:rPr>
          <w:rFonts w:ascii="Abadi" w:hAnsi="Abadi" w:cs="Calibri Light"/>
          <w:spacing w:val="27"/>
          <w:sz w:val="21"/>
          <w:szCs w:val="21"/>
        </w:rPr>
        <w:t xml:space="preserve"> </w:t>
      </w:r>
      <w:r w:rsidRPr="001D43B8">
        <w:rPr>
          <w:rFonts w:ascii="Abadi" w:hAnsi="Abadi" w:cs="Calibri Light"/>
          <w:sz w:val="21"/>
          <w:szCs w:val="21"/>
        </w:rPr>
        <w:t>Estado</w:t>
      </w:r>
      <w:r w:rsidRPr="001D43B8">
        <w:rPr>
          <w:rFonts w:ascii="Abadi" w:hAnsi="Abadi" w:cs="Calibri Light"/>
          <w:spacing w:val="26"/>
          <w:sz w:val="21"/>
          <w:szCs w:val="21"/>
        </w:rPr>
        <w:t xml:space="preserve"> </w:t>
      </w:r>
      <w:r w:rsidRPr="001D43B8">
        <w:rPr>
          <w:rFonts w:ascii="Abadi" w:hAnsi="Abadi" w:cs="Calibri Light"/>
          <w:sz w:val="21"/>
          <w:szCs w:val="21"/>
        </w:rPr>
        <w:t>de</w:t>
      </w:r>
      <w:r w:rsidRPr="001D43B8">
        <w:rPr>
          <w:rFonts w:ascii="Abadi" w:hAnsi="Abadi" w:cs="Calibri Light"/>
          <w:spacing w:val="24"/>
          <w:sz w:val="21"/>
          <w:szCs w:val="21"/>
        </w:rPr>
        <w:t xml:space="preserve"> </w:t>
      </w:r>
      <w:r w:rsidRPr="001D43B8">
        <w:rPr>
          <w:rFonts w:ascii="Abadi" w:hAnsi="Abadi" w:cs="Calibri Light"/>
          <w:sz w:val="21"/>
          <w:szCs w:val="21"/>
        </w:rPr>
        <w:t>Guanajuato,</w:t>
      </w:r>
      <w:r w:rsidRPr="001D43B8">
        <w:rPr>
          <w:rFonts w:ascii="Abadi" w:hAnsi="Abadi" w:cs="Calibri Light"/>
          <w:spacing w:val="25"/>
          <w:sz w:val="21"/>
          <w:szCs w:val="21"/>
        </w:rPr>
        <w:t xml:space="preserve"> </w:t>
      </w:r>
      <w:r w:rsidRPr="001D43B8">
        <w:rPr>
          <w:rFonts w:ascii="Abadi" w:hAnsi="Abadi" w:cs="Calibri Light"/>
          <w:sz w:val="21"/>
          <w:szCs w:val="21"/>
        </w:rPr>
        <w:t>subordinándose</w:t>
      </w:r>
      <w:r w:rsidRPr="001D43B8">
        <w:rPr>
          <w:rFonts w:ascii="Abadi" w:hAnsi="Abadi" w:cs="Calibri Light"/>
          <w:spacing w:val="24"/>
          <w:sz w:val="21"/>
          <w:szCs w:val="21"/>
        </w:rPr>
        <w:t xml:space="preserve"> </w:t>
      </w:r>
      <w:r w:rsidRPr="001D43B8">
        <w:rPr>
          <w:rFonts w:ascii="Abadi" w:hAnsi="Abadi" w:cs="Calibri Light"/>
          <w:sz w:val="21"/>
          <w:szCs w:val="21"/>
        </w:rPr>
        <w:t>al</w:t>
      </w:r>
      <w:r w:rsidRPr="001D43B8">
        <w:rPr>
          <w:rFonts w:ascii="Abadi" w:hAnsi="Abadi" w:cs="Calibri Light"/>
          <w:spacing w:val="27"/>
          <w:sz w:val="21"/>
          <w:szCs w:val="21"/>
        </w:rPr>
        <w:t xml:space="preserve"> </w:t>
      </w:r>
      <w:r w:rsidRPr="001D43B8">
        <w:rPr>
          <w:rFonts w:ascii="Abadi" w:hAnsi="Abadi" w:cs="Calibri Light"/>
          <w:sz w:val="21"/>
          <w:szCs w:val="21"/>
        </w:rPr>
        <w:t>Partido</w:t>
      </w:r>
      <w:r w:rsidRPr="001D43B8">
        <w:rPr>
          <w:rFonts w:ascii="Abadi" w:hAnsi="Abadi" w:cs="Calibri Light"/>
          <w:spacing w:val="24"/>
          <w:sz w:val="21"/>
          <w:szCs w:val="21"/>
        </w:rPr>
        <w:t xml:space="preserve"> </w:t>
      </w:r>
      <w:r w:rsidRPr="001D43B8">
        <w:rPr>
          <w:rFonts w:ascii="Abadi" w:hAnsi="Abadi" w:cs="Calibri Light"/>
          <w:sz w:val="21"/>
          <w:szCs w:val="21"/>
        </w:rPr>
        <w:t>Acción</w:t>
      </w:r>
      <w:r w:rsidRPr="001D43B8">
        <w:rPr>
          <w:rFonts w:ascii="Abadi" w:hAnsi="Abadi" w:cs="Calibri Light"/>
          <w:spacing w:val="-1"/>
          <w:sz w:val="21"/>
          <w:szCs w:val="21"/>
        </w:rPr>
        <w:t xml:space="preserve"> </w:t>
      </w:r>
      <w:r w:rsidRPr="001D43B8">
        <w:rPr>
          <w:rFonts w:ascii="Abadi" w:hAnsi="Abadi" w:cs="Calibri Light"/>
          <w:sz w:val="21"/>
          <w:szCs w:val="21"/>
        </w:rPr>
        <w:t>Nacional,</w:t>
      </w:r>
      <w:r w:rsidRPr="001D43B8">
        <w:rPr>
          <w:rFonts w:ascii="Abadi" w:hAnsi="Abadi" w:cs="Calibri Light"/>
          <w:spacing w:val="-5"/>
          <w:sz w:val="21"/>
          <w:szCs w:val="21"/>
        </w:rPr>
        <w:t xml:space="preserve"> </w:t>
      </w:r>
      <w:r w:rsidRPr="001D43B8">
        <w:rPr>
          <w:rFonts w:ascii="Abadi" w:hAnsi="Abadi" w:cs="Calibri Light"/>
          <w:sz w:val="21"/>
          <w:szCs w:val="21"/>
        </w:rPr>
        <w:t>se</w:t>
      </w:r>
      <w:r w:rsidRPr="001D43B8">
        <w:rPr>
          <w:rFonts w:ascii="Abadi" w:hAnsi="Abadi" w:cs="Calibri Light"/>
          <w:spacing w:val="-5"/>
          <w:sz w:val="21"/>
          <w:szCs w:val="21"/>
        </w:rPr>
        <w:t xml:space="preserve"> </w:t>
      </w:r>
      <w:r w:rsidRPr="001D43B8">
        <w:rPr>
          <w:rFonts w:ascii="Abadi" w:hAnsi="Abadi" w:cs="Calibri Light"/>
          <w:sz w:val="21"/>
          <w:szCs w:val="21"/>
        </w:rPr>
        <w:t>negó</w:t>
      </w:r>
      <w:r w:rsidRPr="001D43B8">
        <w:rPr>
          <w:rFonts w:ascii="Abadi" w:hAnsi="Abadi" w:cs="Calibri Light"/>
          <w:spacing w:val="-5"/>
          <w:sz w:val="21"/>
          <w:szCs w:val="21"/>
        </w:rPr>
        <w:t xml:space="preserve"> </w:t>
      </w:r>
      <w:r w:rsidRPr="001D43B8">
        <w:rPr>
          <w:rFonts w:ascii="Abadi" w:hAnsi="Abadi" w:cs="Calibri Light"/>
          <w:sz w:val="21"/>
          <w:szCs w:val="21"/>
        </w:rPr>
        <w:t>a</w:t>
      </w:r>
      <w:r w:rsidRPr="001D43B8">
        <w:rPr>
          <w:rFonts w:ascii="Abadi" w:hAnsi="Abadi" w:cs="Calibri Light"/>
          <w:spacing w:val="-4"/>
          <w:sz w:val="21"/>
          <w:szCs w:val="21"/>
        </w:rPr>
        <w:t xml:space="preserve"> </w:t>
      </w:r>
      <w:r w:rsidRPr="001D43B8">
        <w:rPr>
          <w:rFonts w:ascii="Abadi" w:hAnsi="Abadi" w:cs="Calibri Light"/>
          <w:sz w:val="21"/>
          <w:szCs w:val="21"/>
        </w:rPr>
        <w:t>evaluar</w:t>
      </w:r>
      <w:r w:rsidRPr="001D43B8">
        <w:rPr>
          <w:rFonts w:ascii="Abadi" w:hAnsi="Abadi" w:cs="Calibri Light"/>
          <w:spacing w:val="-7"/>
          <w:sz w:val="21"/>
          <w:szCs w:val="21"/>
        </w:rPr>
        <w:t xml:space="preserve"> </w:t>
      </w:r>
      <w:r w:rsidRPr="001D43B8">
        <w:rPr>
          <w:rFonts w:ascii="Abadi" w:hAnsi="Abadi" w:cs="Calibri Light"/>
          <w:sz w:val="21"/>
          <w:szCs w:val="21"/>
        </w:rPr>
        <w:t>los</w:t>
      </w:r>
      <w:r w:rsidRPr="001D43B8">
        <w:rPr>
          <w:rFonts w:ascii="Abadi" w:hAnsi="Abadi" w:cs="Calibri Light"/>
          <w:spacing w:val="-5"/>
          <w:sz w:val="21"/>
          <w:szCs w:val="21"/>
        </w:rPr>
        <w:t xml:space="preserve"> </w:t>
      </w:r>
      <w:r w:rsidRPr="001D43B8">
        <w:rPr>
          <w:rFonts w:ascii="Abadi" w:hAnsi="Abadi" w:cs="Calibri Light"/>
          <w:sz w:val="21"/>
          <w:szCs w:val="21"/>
        </w:rPr>
        <w:t>proyectos del</w:t>
      </w:r>
      <w:r w:rsidRPr="001D43B8">
        <w:rPr>
          <w:rFonts w:ascii="Abadi" w:hAnsi="Abadi" w:cs="Calibri Light"/>
          <w:spacing w:val="-4"/>
          <w:sz w:val="21"/>
          <w:szCs w:val="21"/>
        </w:rPr>
        <w:t xml:space="preserve"> </w:t>
      </w:r>
      <w:r w:rsidRPr="001D43B8">
        <w:rPr>
          <w:rFonts w:ascii="Abadi" w:hAnsi="Abadi" w:cs="Calibri Light"/>
          <w:sz w:val="21"/>
          <w:szCs w:val="21"/>
        </w:rPr>
        <w:t>IMUG</w:t>
      </w:r>
      <w:r w:rsidRPr="001D43B8">
        <w:rPr>
          <w:rFonts w:ascii="Abadi" w:hAnsi="Abadi" w:cs="Calibri Light"/>
          <w:spacing w:val="-5"/>
          <w:sz w:val="21"/>
          <w:szCs w:val="21"/>
        </w:rPr>
        <w:t xml:space="preserve"> </w:t>
      </w:r>
      <w:r w:rsidRPr="001D43B8">
        <w:rPr>
          <w:rFonts w:ascii="Abadi" w:hAnsi="Abadi" w:cs="Calibri Light"/>
          <w:sz w:val="21"/>
          <w:szCs w:val="21"/>
        </w:rPr>
        <w:t>a</w:t>
      </w:r>
      <w:r w:rsidRPr="001D43B8">
        <w:rPr>
          <w:rFonts w:ascii="Abadi" w:hAnsi="Abadi" w:cs="Calibri Light"/>
          <w:spacing w:val="-4"/>
          <w:sz w:val="21"/>
          <w:szCs w:val="21"/>
        </w:rPr>
        <w:t xml:space="preserve"> </w:t>
      </w:r>
      <w:r w:rsidRPr="001D43B8">
        <w:rPr>
          <w:rFonts w:ascii="Abadi" w:hAnsi="Abadi" w:cs="Calibri Light"/>
          <w:sz w:val="21"/>
          <w:szCs w:val="21"/>
        </w:rPr>
        <w:t>propuesta</w:t>
      </w:r>
      <w:r w:rsidRPr="001D43B8">
        <w:rPr>
          <w:rFonts w:ascii="Abadi" w:hAnsi="Abadi" w:cs="Calibri Light"/>
          <w:spacing w:val="-4"/>
          <w:sz w:val="21"/>
          <w:szCs w:val="21"/>
        </w:rPr>
        <w:t xml:space="preserve"> </w:t>
      </w:r>
      <w:r w:rsidRPr="001D43B8">
        <w:rPr>
          <w:rFonts w:ascii="Abadi" w:hAnsi="Abadi" w:cs="Calibri Light"/>
          <w:sz w:val="21"/>
          <w:szCs w:val="21"/>
        </w:rPr>
        <w:t>de</w:t>
      </w:r>
      <w:r w:rsidRPr="001D43B8">
        <w:rPr>
          <w:rFonts w:ascii="Abadi" w:hAnsi="Abadi" w:cs="Calibri Light"/>
          <w:spacing w:val="-5"/>
          <w:sz w:val="21"/>
          <w:szCs w:val="21"/>
        </w:rPr>
        <w:t xml:space="preserve"> </w:t>
      </w:r>
      <w:r w:rsidRPr="001D43B8">
        <w:rPr>
          <w:rFonts w:ascii="Abadi" w:hAnsi="Abadi" w:cs="Calibri Light"/>
          <w:sz w:val="21"/>
          <w:szCs w:val="21"/>
        </w:rPr>
        <w:t>nuestro</w:t>
      </w:r>
      <w:r w:rsidRPr="001D43B8">
        <w:rPr>
          <w:rFonts w:ascii="Abadi" w:hAnsi="Abadi" w:cs="Calibri Light"/>
          <w:spacing w:val="-6"/>
          <w:sz w:val="21"/>
          <w:szCs w:val="21"/>
        </w:rPr>
        <w:t xml:space="preserve"> </w:t>
      </w:r>
      <w:r w:rsidRPr="001D43B8">
        <w:rPr>
          <w:rFonts w:ascii="Abadi" w:hAnsi="Abadi" w:cs="Calibri Light"/>
          <w:sz w:val="21"/>
          <w:szCs w:val="21"/>
        </w:rPr>
        <w:t>Grupo</w:t>
      </w:r>
      <w:r>
        <w:rPr>
          <w:rFonts w:ascii="Abadi" w:hAnsi="Abadi" w:cs="Calibri Light"/>
          <w:sz w:val="21"/>
          <w:szCs w:val="21"/>
        </w:rPr>
        <w:t xml:space="preserve"> </w:t>
      </w:r>
      <w:r w:rsidRPr="001D43B8">
        <w:rPr>
          <w:rFonts w:ascii="Abadi" w:hAnsi="Abadi" w:cs="Calibri Light"/>
          <w:sz w:val="21"/>
          <w:szCs w:val="21"/>
        </w:rPr>
        <w:t>Parlamentario.</w:t>
      </w:r>
    </w:p>
    <w:p w14:paraId="58D076EC" w14:textId="77777777" w:rsidR="00AF040F" w:rsidRPr="001D43B8" w:rsidRDefault="00AF040F" w:rsidP="00A44DEE">
      <w:pPr>
        <w:kinsoku w:val="0"/>
        <w:overflowPunct w:val="0"/>
        <w:autoSpaceDE w:val="0"/>
        <w:autoSpaceDN w:val="0"/>
        <w:adjustRightInd w:val="0"/>
        <w:ind w:left="39" w:right="116"/>
        <w:jc w:val="both"/>
        <w:rPr>
          <w:rFonts w:ascii="Abadi" w:hAnsi="Abadi" w:cs="Calibri Light"/>
          <w:sz w:val="21"/>
          <w:szCs w:val="21"/>
        </w:rPr>
      </w:pPr>
    </w:p>
    <w:p w14:paraId="506F338B" w14:textId="77777777" w:rsidR="00AF040F" w:rsidRPr="001D43B8" w:rsidRDefault="00AF040F" w:rsidP="00A44DEE">
      <w:pPr>
        <w:kinsoku w:val="0"/>
        <w:overflowPunct w:val="0"/>
        <w:autoSpaceDE w:val="0"/>
        <w:autoSpaceDN w:val="0"/>
        <w:adjustRightInd w:val="0"/>
        <w:ind w:left="39" w:right="116"/>
        <w:jc w:val="both"/>
        <w:rPr>
          <w:rFonts w:ascii="Abadi" w:hAnsi="Abadi" w:cs="Calibri Light"/>
          <w:sz w:val="21"/>
          <w:szCs w:val="21"/>
        </w:rPr>
      </w:pPr>
      <w:r w:rsidRPr="001D43B8">
        <w:rPr>
          <w:rFonts w:ascii="Abadi" w:hAnsi="Abadi" w:cs="Calibri Light"/>
          <w:sz w:val="21"/>
          <w:szCs w:val="21"/>
        </w:rPr>
        <w:t>De</w:t>
      </w:r>
      <w:r w:rsidRPr="001D43B8">
        <w:rPr>
          <w:rFonts w:ascii="Abadi" w:hAnsi="Abadi" w:cs="Calibri Light"/>
          <w:spacing w:val="40"/>
          <w:sz w:val="21"/>
          <w:szCs w:val="21"/>
        </w:rPr>
        <w:t xml:space="preserve"> </w:t>
      </w:r>
      <w:r w:rsidRPr="001D43B8">
        <w:rPr>
          <w:rFonts w:ascii="Abadi" w:hAnsi="Abadi" w:cs="Calibri Light"/>
          <w:sz w:val="21"/>
          <w:szCs w:val="21"/>
        </w:rPr>
        <w:t>esta</w:t>
      </w:r>
      <w:r w:rsidRPr="001D43B8">
        <w:rPr>
          <w:rFonts w:ascii="Abadi" w:hAnsi="Abadi" w:cs="Calibri Light"/>
          <w:spacing w:val="43"/>
          <w:sz w:val="21"/>
          <w:szCs w:val="21"/>
        </w:rPr>
        <w:t xml:space="preserve"> </w:t>
      </w:r>
      <w:r w:rsidRPr="001D43B8">
        <w:rPr>
          <w:rFonts w:ascii="Abadi" w:hAnsi="Abadi" w:cs="Calibri Light"/>
          <w:sz w:val="21"/>
          <w:szCs w:val="21"/>
        </w:rPr>
        <w:t>manera,</w:t>
      </w:r>
      <w:r w:rsidRPr="001D43B8">
        <w:rPr>
          <w:rFonts w:ascii="Abadi" w:hAnsi="Abadi" w:cs="Calibri Light"/>
          <w:spacing w:val="41"/>
          <w:sz w:val="21"/>
          <w:szCs w:val="21"/>
        </w:rPr>
        <w:t xml:space="preserve"> </w:t>
      </w:r>
      <w:r w:rsidRPr="001D43B8">
        <w:rPr>
          <w:rFonts w:ascii="Abadi" w:hAnsi="Abadi" w:cs="Calibri Light"/>
          <w:sz w:val="21"/>
          <w:szCs w:val="21"/>
        </w:rPr>
        <w:t>desde</w:t>
      </w:r>
      <w:r w:rsidRPr="001D43B8">
        <w:rPr>
          <w:rFonts w:ascii="Abadi" w:hAnsi="Abadi" w:cs="Calibri Light"/>
          <w:spacing w:val="39"/>
          <w:sz w:val="21"/>
          <w:szCs w:val="21"/>
        </w:rPr>
        <w:t xml:space="preserve"> </w:t>
      </w:r>
      <w:r w:rsidRPr="001D43B8">
        <w:rPr>
          <w:rFonts w:ascii="Abadi" w:hAnsi="Abadi" w:cs="Calibri Light"/>
          <w:sz w:val="21"/>
          <w:szCs w:val="21"/>
        </w:rPr>
        <w:t>el</w:t>
      </w:r>
      <w:r w:rsidRPr="001D43B8">
        <w:rPr>
          <w:rFonts w:ascii="Abadi" w:hAnsi="Abadi" w:cs="Calibri Light"/>
          <w:spacing w:val="40"/>
          <w:sz w:val="21"/>
          <w:szCs w:val="21"/>
        </w:rPr>
        <w:t xml:space="preserve"> </w:t>
      </w:r>
      <w:r w:rsidRPr="001D43B8">
        <w:rPr>
          <w:rFonts w:ascii="Abadi" w:hAnsi="Abadi" w:cs="Calibri Light"/>
          <w:sz w:val="21"/>
          <w:szCs w:val="21"/>
        </w:rPr>
        <w:t>Grupo</w:t>
      </w:r>
      <w:r w:rsidRPr="001D43B8">
        <w:rPr>
          <w:rFonts w:ascii="Abadi" w:hAnsi="Abadi" w:cs="Calibri Light"/>
          <w:spacing w:val="39"/>
          <w:sz w:val="21"/>
          <w:szCs w:val="21"/>
        </w:rPr>
        <w:t xml:space="preserve"> </w:t>
      </w:r>
      <w:r w:rsidRPr="001D43B8">
        <w:rPr>
          <w:rFonts w:ascii="Abadi" w:hAnsi="Abadi" w:cs="Calibri Light"/>
          <w:sz w:val="21"/>
          <w:szCs w:val="21"/>
        </w:rPr>
        <w:t>Parlamentario</w:t>
      </w:r>
      <w:r w:rsidRPr="001D43B8">
        <w:rPr>
          <w:rFonts w:ascii="Abadi" w:hAnsi="Abadi" w:cs="Calibri Light"/>
          <w:spacing w:val="40"/>
          <w:sz w:val="21"/>
          <w:szCs w:val="21"/>
        </w:rPr>
        <w:t xml:space="preserve"> </w:t>
      </w:r>
      <w:r w:rsidRPr="001D43B8">
        <w:rPr>
          <w:rFonts w:ascii="Abadi" w:hAnsi="Abadi" w:cs="Calibri Light"/>
          <w:sz w:val="21"/>
          <w:szCs w:val="21"/>
        </w:rPr>
        <w:t>de</w:t>
      </w:r>
      <w:r w:rsidRPr="001D43B8">
        <w:rPr>
          <w:rFonts w:ascii="Abadi" w:hAnsi="Abadi" w:cs="Calibri Light"/>
          <w:spacing w:val="41"/>
          <w:sz w:val="21"/>
          <w:szCs w:val="21"/>
        </w:rPr>
        <w:t xml:space="preserve"> </w:t>
      </w:r>
      <w:r w:rsidRPr="001D43B8">
        <w:rPr>
          <w:rFonts w:ascii="Abadi" w:hAnsi="Abadi" w:cs="Calibri Light"/>
          <w:sz w:val="21"/>
          <w:szCs w:val="21"/>
        </w:rPr>
        <w:t>morena</w:t>
      </w:r>
      <w:r w:rsidRPr="001D43B8">
        <w:rPr>
          <w:rFonts w:ascii="Abadi" w:hAnsi="Abadi" w:cs="Calibri Light"/>
          <w:spacing w:val="45"/>
          <w:sz w:val="21"/>
          <w:szCs w:val="21"/>
        </w:rPr>
        <w:t xml:space="preserve"> </w:t>
      </w:r>
      <w:r w:rsidRPr="001D43B8">
        <w:rPr>
          <w:rFonts w:ascii="Abadi" w:hAnsi="Abadi" w:cs="Calibri Light"/>
          <w:sz w:val="21"/>
          <w:szCs w:val="21"/>
        </w:rPr>
        <w:t>consideramos</w:t>
      </w:r>
      <w:r w:rsidRPr="001D43B8">
        <w:rPr>
          <w:rFonts w:ascii="Abadi" w:hAnsi="Abadi" w:cs="Calibri Light"/>
          <w:spacing w:val="-2"/>
          <w:sz w:val="21"/>
          <w:szCs w:val="21"/>
        </w:rPr>
        <w:t xml:space="preserve"> </w:t>
      </w:r>
      <w:r w:rsidRPr="001D43B8">
        <w:rPr>
          <w:rFonts w:ascii="Abadi" w:hAnsi="Abadi" w:cs="Calibri Light"/>
          <w:sz w:val="21"/>
          <w:szCs w:val="21"/>
        </w:rPr>
        <w:t>necesario</w:t>
      </w:r>
      <w:r w:rsidRPr="001D43B8">
        <w:rPr>
          <w:rFonts w:ascii="Abadi" w:hAnsi="Abadi" w:cs="Calibri Light"/>
          <w:spacing w:val="-2"/>
          <w:sz w:val="21"/>
          <w:szCs w:val="21"/>
        </w:rPr>
        <w:t xml:space="preserve"> </w:t>
      </w:r>
      <w:r w:rsidRPr="001D43B8">
        <w:rPr>
          <w:rFonts w:ascii="Abadi" w:hAnsi="Abadi" w:cs="Calibri Light"/>
          <w:sz w:val="21"/>
          <w:szCs w:val="21"/>
        </w:rPr>
        <w:t>que</w:t>
      </w:r>
      <w:r w:rsidRPr="001D43B8">
        <w:rPr>
          <w:rFonts w:ascii="Abadi" w:hAnsi="Abadi" w:cs="Calibri Light"/>
          <w:spacing w:val="-2"/>
          <w:sz w:val="21"/>
          <w:szCs w:val="21"/>
        </w:rPr>
        <w:t xml:space="preserve"> </w:t>
      </w:r>
      <w:r w:rsidRPr="001D43B8">
        <w:rPr>
          <w:rFonts w:ascii="Abadi" w:hAnsi="Abadi" w:cs="Calibri Light"/>
          <w:sz w:val="21"/>
          <w:szCs w:val="21"/>
        </w:rPr>
        <w:t>el</w:t>
      </w:r>
      <w:r w:rsidRPr="001D43B8">
        <w:rPr>
          <w:rFonts w:ascii="Abadi" w:hAnsi="Abadi" w:cs="Calibri Light"/>
          <w:spacing w:val="-2"/>
          <w:sz w:val="21"/>
          <w:szCs w:val="21"/>
        </w:rPr>
        <w:t xml:space="preserve"> </w:t>
      </w:r>
      <w:r w:rsidRPr="001D43B8">
        <w:rPr>
          <w:rFonts w:ascii="Abadi" w:hAnsi="Abadi" w:cs="Calibri Light"/>
          <w:sz w:val="21"/>
          <w:szCs w:val="21"/>
        </w:rPr>
        <w:t>Gobierno</w:t>
      </w:r>
      <w:r w:rsidRPr="001D43B8">
        <w:rPr>
          <w:rFonts w:ascii="Abadi" w:hAnsi="Abadi" w:cs="Calibri Light"/>
          <w:spacing w:val="-3"/>
          <w:sz w:val="21"/>
          <w:szCs w:val="21"/>
        </w:rPr>
        <w:t xml:space="preserve"> </w:t>
      </w:r>
      <w:r w:rsidRPr="001D43B8">
        <w:rPr>
          <w:rFonts w:ascii="Abadi" w:hAnsi="Abadi" w:cs="Calibri Light"/>
          <w:sz w:val="21"/>
          <w:szCs w:val="21"/>
        </w:rPr>
        <w:t>del</w:t>
      </w:r>
      <w:r w:rsidRPr="001D43B8">
        <w:rPr>
          <w:rFonts w:ascii="Abadi" w:hAnsi="Abadi" w:cs="Calibri Light"/>
          <w:spacing w:val="-4"/>
          <w:sz w:val="21"/>
          <w:szCs w:val="21"/>
        </w:rPr>
        <w:t xml:space="preserve"> </w:t>
      </w:r>
      <w:r w:rsidRPr="001D43B8">
        <w:rPr>
          <w:rFonts w:ascii="Abadi" w:hAnsi="Abadi" w:cs="Calibri Light"/>
          <w:sz w:val="21"/>
          <w:szCs w:val="21"/>
        </w:rPr>
        <w:t>Estado</w:t>
      </w:r>
      <w:r w:rsidRPr="001D43B8">
        <w:rPr>
          <w:rFonts w:ascii="Abadi" w:hAnsi="Abadi" w:cs="Calibri Light"/>
          <w:spacing w:val="-2"/>
          <w:sz w:val="21"/>
          <w:szCs w:val="21"/>
        </w:rPr>
        <w:t xml:space="preserve"> </w:t>
      </w:r>
      <w:r w:rsidRPr="001D43B8">
        <w:rPr>
          <w:rFonts w:ascii="Abadi" w:hAnsi="Abadi" w:cs="Calibri Light"/>
          <w:sz w:val="21"/>
          <w:szCs w:val="21"/>
        </w:rPr>
        <w:t>evalúe</w:t>
      </w:r>
      <w:r w:rsidRPr="001D43B8">
        <w:rPr>
          <w:rFonts w:ascii="Abadi" w:hAnsi="Abadi" w:cs="Calibri Light"/>
          <w:spacing w:val="1"/>
          <w:sz w:val="21"/>
          <w:szCs w:val="21"/>
        </w:rPr>
        <w:t xml:space="preserve"> </w:t>
      </w:r>
      <w:r w:rsidRPr="001D43B8">
        <w:rPr>
          <w:rFonts w:ascii="Abadi" w:hAnsi="Abadi" w:cs="Calibri Light"/>
          <w:sz w:val="21"/>
          <w:szCs w:val="21"/>
        </w:rPr>
        <w:t>los</w:t>
      </w:r>
      <w:r w:rsidRPr="001D43B8">
        <w:rPr>
          <w:rFonts w:ascii="Abadi" w:hAnsi="Abadi" w:cs="Calibri Light"/>
          <w:spacing w:val="-2"/>
          <w:sz w:val="21"/>
          <w:szCs w:val="21"/>
        </w:rPr>
        <w:t xml:space="preserve"> </w:t>
      </w:r>
      <w:r w:rsidRPr="001D43B8">
        <w:rPr>
          <w:rFonts w:ascii="Abadi" w:hAnsi="Abadi" w:cs="Calibri Light"/>
          <w:sz w:val="21"/>
          <w:szCs w:val="21"/>
        </w:rPr>
        <w:t>resultados</w:t>
      </w:r>
      <w:r w:rsidRPr="001D43B8">
        <w:rPr>
          <w:rFonts w:ascii="Abadi" w:hAnsi="Abadi" w:cs="Calibri Light"/>
          <w:spacing w:val="-2"/>
          <w:sz w:val="21"/>
          <w:szCs w:val="21"/>
        </w:rPr>
        <w:t xml:space="preserve"> </w:t>
      </w:r>
      <w:r w:rsidRPr="001D43B8">
        <w:rPr>
          <w:rFonts w:ascii="Abadi" w:hAnsi="Abadi" w:cs="Calibri Light"/>
          <w:sz w:val="21"/>
          <w:szCs w:val="21"/>
        </w:rPr>
        <w:t>e</w:t>
      </w:r>
      <w:r w:rsidRPr="001D43B8">
        <w:rPr>
          <w:rFonts w:ascii="Abadi" w:hAnsi="Abadi" w:cs="Calibri Light"/>
          <w:spacing w:val="-3"/>
          <w:sz w:val="21"/>
          <w:szCs w:val="21"/>
        </w:rPr>
        <w:t xml:space="preserve"> </w:t>
      </w:r>
      <w:r w:rsidRPr="001D43B8">
        <w:rPr>
          <w:rFonts w:ascii="Abadi" w:hAnsi="Abadi" w:cs="Calibri Light"/>
          <w:sz w:val="21"/>
          <w:szCs w:val="21"/>
        </w:rPr>
        <w:t>impactos</w:t>
      </w:r>
      <w:r w:rsidRPr="001D43B8">
        <w:rPr>
          <w:rFonts w:ascii="Abadi" w:hAnsi="Abadi" w:cs="Calibri Light"/>
          <w:spacing w:val="-5"/>
          <w:sz w:val="21"/>
          <w:szCs w:val="21"/>
        </w:rPr>
        <w:t xml:space="preserve"> </w:t>
      </w:r>
      <w:r w:rsidRPr="001D43B8">
        <w:rPr>
          <w:rFonts w:ascii="Abadi" w:hAnsi="Abadi" w:cs="Calibri Light"/>
          <w:sz w:val="21"/>
          <w:szCs w:val="21"/>
        </w:rPr>
        <w:t>que</w:t>
      </w:r>
      <w:r w:rsidRPr="001D43B8">
        <w:rPr>
          <w:rFonts w:ascii="Abadi" w:hAnsi="Abadi" w:cs="Calibri Light"/>
          <w:spacing w:val="-1"/>
          <w:sz w:val="21"/>
          <w:szCs w:val="21"/>
        </w:rPr>
        <w:t xml:space="preserve"> </w:t>
      </w:r>
      <w:r w:rsidRPr="001D43B8">
        <w:rPr>
          <w:rFonts w:ascii="Abadi" w:hAnsi="Abadi" w:cs="Calibri Light"/>
          <w:sz w:val="21"/>
          <w:szCs w:val="21"/>
        </w:rPr>
        <w:t>tienen sus</w:t>
      </w:r>
      <w:r w:rsidRPr="001D43B8">
        <w:rPr>
          <w:rFonts w:ascii="Abadi" w:hAnsi="Abadi" w:cs="Calibri Light"/>
          <w:spacing w:val="28"/>
          <w:sz w:val="21"/>
          <w:szCs w:val="21"/>
        </w:rPr>
        <w:t xml:space="preserve"> </w:t>
      </w:r>
      <w:r w:rsidRPr="001D43B8">
        <w:rPr>
          <w:rFonts w:ascii="Abadi" w:hAnsi="Abadi" w:cs="Calibri Light"/>
          <w:sz w:val="21"/>
          <w:szCs w:val="21"/>
        </w:rPr>
        <w:t>programas</w:t>
      </w:r>
      <w:r w:rsidRPr="001D43B8">
        <w:rPr>
          <w:rFonts w:ascii="Abadi" w:hAnsi="Abadi" w:cs="Calibri Light"/>
          <w:spacing w:val="31"/>
          <w:sz w:val="21"/>
          <w:szCs w:val="21"/>
        </w:rPr>
        <w:t xml:space="preserve"> </w:t>
      </w:r>
      <w:r w:rsidRPr="001D43B8">
        <w:rPr>
          <w:rFonts w:ascii="Abadi" w:hAnsi="Abadi" w:cs="Calibri Light"/>
          <w:sz w:val="21"/>
          <w:szCs w:val="21"/>
        </w:rPr>
        <w:t>para</w:t>
      </w:r>
      <w:r w:rsidRPr="001D43B8">
        <w:rPr>
          <w:rFonts w:ascii="Abadi" w:hAnsi="Abadi" w:cs="Calibri Light"/>
          <w:spacing w:val="27"/>
          <w:sz w:val="21"/>
          <w:szCs w:val="21"/>
        </w:rPr>
        <w:t xml:space="preserve"> </w:t>
      </w:r>
      <w:r w:rsidRPr="001D43B8">
        <w:rPr>
          <w:rFonts w:ascii="Abadi" w:hAnsi="Abadi" w:cs="Calibri Light"/>
          <w:sz w:val="21"/>
          <w:szCs w:val="21"/>
        </w:rPr>
        <w:t>garantizar</w:t>
      </w:r>
      <w:r w:rsidRPr="001D43B8">
        <w:rPr>
          <w:rFonts w:ascii="Abadi" w:hAnsi="Abadi" w:cs="Calibri Light"/>
          <w:spacing w:val="27"/>
          <w:sz w:val="21"/>
          <w:szCs w:val="21"/>
        </w:rPr>
        <w:t xml:space="preserve"> </w:t>
      </w:r>
      <w:r w:rsidRPr="001D43B8">
        <w:rPr>
          <w:rFonts w:ascii="Abadi" w:hAnsi="Abadi" w:cs="Calibri Light"/>
          <w:sz w:val="21"/>
          <w:szCs w:val="21"/>
        </w:rPr>
        <w:t>los</w:t>
      </w:r>
      <w:r w:rsidRPr="001D43B8">
        <w:rPr>
          <w:rFonts w:ascii="Abadi" w:hAnsi="Abadi" w:cs="Calibri Light"/>
          <w:spacing w:val="27"/>
          <w:sz w:val="21"/>
          <w:szCs w:val="21"/>
        </w:rPr>
        <w:t xml:space="preserve"> </w:t>
      </w:r>
      <w:r w:rsidRPr="001D43B8">
        <w:rPr>
          <w:rFonts w:ascii="Abadi" w:hAnsi="Abadi" w:cs="Calibri Light"/>
          <w:sz w:val="21"/>
          <w:szCs w:val="21"/>
        </w:rPr>
        <w:t>derechos</w:t>
      </w:r>
      <w:r w:rsidRPr="001D43B8">
        <w:rPr>
          <w:rFonts w:ascii="Abadi" w:hAnsi="Abadi" w:cs="Calibri Light"/>
          <w:spacing w:val="31"/>
          <w:sz w:val="21"/>
          <w:szCs w:val="21"/>
        </w:rPr>
        <w:t xml:space="preserve"> </w:t>
      </w:r>
      <w:r w:rsidRPr="001D43B8">
        <w:rPr>
          <w:rFonts w:ascii="Abadi" w:hAnsi="Abadi" w:cs="Calibri Light"/>
          <w:sz w:val="21"/>
          <w:szCs w:val="21"/>
        </w:rPr>
        <w:t>de</w:t>
      </w:r>
      <w:r w:rsidRPr="001D43B8">
        <w:rPr>
          <w:rFonts w:ascii="Abadi" w:hAnsi="Abadi" w:cs="Calibri Light"/>
          <w:spacing w:val="30"/>
          <w:sz w:val="21"/>
          <w:szCs w:val="21"/>
        </w:rPr>
        <w:t xml:space="preserve"> </w:t>
      </w:r>
      <w:r w:rsidRPr="001D43B8">
        <w:rPr>
          <w:rFonts w:ascii="Abadi" w:hAnsi="Abadi" w:cs="Calibri Light"/>
          <w:sz w:val="21"/>
          <w:szCs w:val="21"/>
        </w:rPr>
        <w:t>las</w:t>
      </w:r>
      <w:r w:rsidRPr="001D43B8">
        <w:rPr>
          <w:rFonts w:ascii="Abadi" w:hAnsi="Abadi" w:cs="Calibri Light"/>
          <w:spacing w:val="30"/>
          <w:sz w:val="21"/>
          <w:szCs w:val="21"/>
        </w:rPr>
        <w:t xml:space="preserve"> </w:t>
      </w:r>
      <w:r w:rsidRPr="001D43B8">
        <w:rPr>
          <w:rFonts w:ascii="Abadi" w:hAnsi="Abadi" w:cs="Calibri Light"/>
          <w:sz w:val="21"/>
          <w:szCs w:val="21"/>
        </w:rPr>
        <w:t>mujeres</w:t>
      </w:r>
      <w:r w:rsidRPr="001D43B8">
        <w:rPr>
          <w:rFonts w:ascii="Abadi" w:hAnsi="Abadi" w:cs="Calibri Light"/>
          <w:spacing w:val="30"/>
          <w:sz w:val="21"/>
          <w:szCs w:val="21"/>
        </w:rPr>
        <w:t xml:space="preserve"> </w:t>
      </w:r>
      <w:r w:rsidRPr="001D43B8">
        <w:rPr>
          <w:rFonts w:ascii="Abadi" w:hAnsi="Abadi" w:cs="Calibri Light"/>
          <w:sz w:val="21"/>
          <w:szCs w:val="21"/>
        </w:rPr>
        <w:t>en</w:t>
      </w:r>
      <w:r w:rsidRPr="001D43B8">
        <w:rPr>
          <w:rFonts w:ascii="Abadi" w:hAnsi="Abadi" w:cs="Calibri Light"/>
          <w:spacing w:val="29"/>
          <w:sz w:val="21"/>
          <w:szCs w:val="21"/>
        </w:rPr>
        <w:t xml:space="preserve"> </w:t>
      </w:r>
      <w:r w:rsidRPr="001D43B8">
        <w:rPr>
          <w:rFonts w:ascii="Abadi" w:hAnsi="Abadi" w:cs="Calibri Light"/>
          <w:sz w:val="21"/>
          <w:szCs w:val="21"/>
        </w:rPr>
        <w:t>nuestra</w:t>
      </w:r>
      <w:r w:rsidRPr="001D43B8">
        <w:rPr>
          <w:rFonts w:ascii="Abadi" w:hAnsi="Abadi" w:cs="Calibri Light"/>
          <w:spacing w:val="29"/>
          <w:sz w:val="21"/>
          <w:szCs w:val="21"/>
        </w:rPr>
        <w:t xml:space="preserve"> </w:t>
      </w:r>
      <w:r w:rsidRPr="001D43B8">
        <w:rPr>
          <w:rFonts w:ascii="Abadi" w:hAnsi="Abadi" w:cs="Calibri Light"/>
          <w:sz w:val="21"/>
          <w:szCs w:val="21"/>
        </w:rPr>
        <w:t>entidad.</w:t>
      </w:r>
      <w:r w:rsidRPr="001D43B8">
        <w:rPr>
          <w:rFonts w:ascii="Abadi" w:hAnsi="Abadi" w:cs="Calibri Light"/>
          <w:spacing w:val="-1"/>
          <w:sz w:val="21"/>
          <w:szCs w:val="21"/>
        </w:rPr>
        <w:t xml:space="preserve"> </w:t>
      </w:r>
      <w:r w:rsidRPr="001D43B8">
        <w:rPr>
          <w:rFonts w:ascii="Abadi" w:hAnsi="Abadi" w:cs="Calibri Light"/>
          <w:sz w:val="21"/>
          <w:szCs w:val="21"/>
        </w:rPr>
        <w:t>Más</w:t>
      </w:r>
      <w:r w:rsidRPr="001D43B8">
        <w:rPr>
          <w:rFonts w:ascii="Abadi" w:hAnsi="Abadi" w:cs="Calibri Light"/>
          <w:spacing w:val="16"/>
          <w:sz w:val="21"/>
          <w:szCs w:val="21"/>
        </w:rPr>
        <w:t xml:space="preserve"> </w:t>
      </w:r>
      <w:r w:rsidRPr="001D43B8">
        <w:rPr>
          <w:rFonts w:ascii="Abadi" w:hAnsi="Abadi" w:cs="Calibri Light"/>
          <w:sz w:val="21"/>
          <w:szCs w:val="21"/>
        </w:rPr>
        <w:t>aún</w:t>
      </w:r>
      <w:r w:rsidRPr="001D43B8">
        <w:rPr>
          <w:rFonts w:ascii="Abadi" w:hAnsi="Abadi" w:cs="Calibri Light"/>
          <w:spacing w:val="18"/>
          <w:sz w:val="21"/>
          <w:szCs w:val="21"/>
        </w:rPr>
        <w:t xml:space="preserve"> </w:t>
      </w:r>
      <w:r w:rsidRPr="001D43B8">
        <w:rPr>
          <w:rFonts w:ascii="Abadi" w:hAnsi="Abadi" w:cs="Calibri Light"/>
          <w:sz w:val="21"/>
          <w:szCs w:val="21"/>
        </w:rPr>
        <w:t>cuando,</w:t>
      </w:r>
      <w:r w:rsidRPr="001D43B8">
        <w:rPr>
          <w:rFonts w:ascii="Abadi" w:hAnsi="Abadi" w:cs="Calibri Light"/>
          <w:spacing w:val="17"/>
          <w:sz w:val="21"/>
          <w:szCs w:val="21"/>
        </w:rPr>
        <w:t xml:space="preserve"> </w:t>
      </w:r>
      <w:r w:rsidRPr="001D43B8">
        <w:rPr>
          <w:rFonts w:ascii="Abadi" w:hAnsi="Abadi" w:cs="Calibri Light"/>
          <w:sz w:val="21"/>
          <w:szCs w:val="21"/>
        </w:rPr>
        <w:t>si</w:t>
      </w:r>
      <w:r w:rsidRPr="001D43B8">
        <w:rPr>
          <w:rFonts w:ascii="Abadi" w:hAnsi="Abadi" w:cs="Calibri Light"/>
          <w:spacing w:val="19"/>
          <w:sz w:val="21"/>
          <w:szCs w:val="21"/>
        </w:rPr>
        <w:t xml:space="preserve"> </w:t>
      </w:r>
      <w:r w:rsidRPr="001D43B8">
        <w:rPr>
          <w:rFonts w:ascii="Abadi" w:hAnsi="Abadi" w:cs="Calibri Light"/>
          <w:sz w:val="21"/>
          <w:szCs w:val="21"/>
        </w:rPr>
        <w:t>consideramos</w:t>
      </w:r>
      <w:r w:rsidRPr="001D43B8">
        <w:rPr>
          <w:rFonts w:ascii="Abadi" w:hAnsi="Abadi" w:cs="Calibri Light"/>
          <w:spacing w:val="18"/>
          <w:sz w:val="21"/>
          <w:szCs w:val="21"/>
        </w:rPr>
        <w:t xml:space="preserve"> </w:t>
      </w:r>
      <w:r w:rsidRPr="001D43B8">
        <w:rPr>
          <w:rFonts w:ascii="Abadi" w:hAnsi="Abadi" w:cs="Calibri Light"/>
          <w:sz w:val="21"/>
          <w:szCs w:val="21"/>
        </w:rPr>
        <w:t>los</w:t>
      </w:r>
      <w:r w:rsidRPr="001D43B8">
        <w:rPr>
          <w:rFonts w:ascii="Abadi" w:hAnsi="Abadi" w:cs="Calibri Light"/>
          <w:spacing w:val="19"/>
          <w:sz w:val="21"/>
          <w:szCs w:val="21"/>
        </w:rPr>
        <w:t xml:space="preserve"> </w:t>
      </w:r>
      <w:r w:rsidRPr="001D43B8">
        <w:rPr>
          <w:rFonts w:ascii="Abadi" w:hAnsi="Abadi" w:cs="Calibri Light"/>
          <w:sz w:val="21"/>
          <w:szCs w:val="21"/>
        </w:rPr>
        <w:t>datos</w:t>
      </w:r>
      <w:r w:rsidRPr="001D43B8">
        <w:rPr>
          <w:rFonts w:ascii="Abadi" w:hAnsi="Abadi" w:cs="Calibri Light"/>
          <w:spacing w:val="18"/>
          <w:sz w:val="21"/>
          <w:szCs w:val="21"/>
        </w:rPr>
        <w:t xml:space="preserve"> </w:t>
      </w:r>
      <w:r w:rsidRPr="001D43B8">
        <w:rPr>
          <w:rFonts w:ascii="Abadi" w:hAnsi="Abadi" w:cs="Calibri Light"/>
          <w:sz w:val="21"/>
          <w:szCs w:val="21"/>
        </w:rPr>
        <w:t>presentados</w:t>
      </w:r>
      <w:r w:rsidRPr="001D43B8">
        <w:rPr>
          <w:rFonts w:ascii="Abadi" w:hAnsi="Abadi" w:cs="Calibri Light"/>
          <w:spacing w:val="20"/>
          <w:sz w:val="21"/>
          <w:szCs w:val="21"/>
        </w:rPr>
        <w:t xml:space="preserve"> </w:t>
      </w:r>
      <w:r w:rsidRPr="001D43B8">
        <w:rPr>
          <w:rFonts w:ascii="Abadi" w:hAnsi="Abadi" w:cs="Calibri Light"/>
          <w:sz w:val="21"/>
          <w:szCs w:val="21"/>
        </w:rPr>
        <w:t>anteriormente,</w:t>
      </w:r>
      <w:r w:rsidRPr="001D43B8">
        <w:rPr>
          <w:rFonts w:ascii="Abadi" w:hAnsi="Abadi" w:cs="Calibri Light"/>
          <w:spacing w:val="17"/>
          <w:sz w:val="21"/>
          <w:szCs w:val="21"/>
        </w:rPr>
        <w:t xml:space="preserve"> </w:t>
      </w:r>
      <w:r w:rsidRPr="001D43B8">
        <w:rPr>
          <w:rFonts w:ascii="Abadi" w:hAnsi="Abadi" w:cs="Calibri Light"/>
          <w:sz w:val="21"/>
          <w:szCs w:val="21"/>
        </w:rPr>
        <w:t>se identifica</w:t>
      </w:r>
      <w:r w:rsidRPr="001D43B8">
        <w:rPr>
          <w:rFonts w:ascii="Abadi" w:hAnsi="Abadi" w:cs="Calibri Light"/>
          <w:spacing w:val="13"/>
          <w:sz w:val="21"/>
          <w:szCs w:val="21"/>
        </w:rPr>
        <w:t xml:space="preserve"> </w:t>
      </w:r>
      <w:r w:rsidRPr="001D43B8">
        <w:rPr>
          <w:rFonts w:ascii="Abadi" w:hAnsi="Abadi" w:cs="Calibri Light"/>
          <w:sz w:val="21"/>
          <w:szCs w:val="21"/>
        </w:rPr>
        <w:t>una</w:t>
      </w:r>
      <w:r w:rsidRPr="001D43B8">
        <w:rPr>
          <w:rFonts w:ascii="Abadi" w:hAnsi="Abadi" w:cs="Calibri Light"/>
          <w:spacing w:val="12"/>
          <w:sz w:val="21"/>
          <w:szCs w:val="21"/>
        </w:rPr>
        <w:t xml:space="preserve"> </w:t>
      </w:r>
      <w:r w:rsidRPr="001D43B8">
        <w:rPr>
          <w:rFonts w:ascii="Abadi" w:hAnsi="Abadi" w:cs="Calibri Light"/>
          <w:sz w:val="21"/>
          <w:szCs w:val="21"/>
        </w:rPr>
        <w:t>deficiencia</w:t>
      </w:r>
      <w:r w:rsidRPr="001D43B8">
        <w:rPr>
          <w:rFonts w:ascii="Abadi" w:hAnsi="Abadi" w:cs="Calibri Light"/>
          <w:spacing w:val="11"/>
          <w:sz w:val="21"/>
          <w:szCs w:val="21"/>
        </w:rPr>
        <w:t xml:space="preserve"> </w:t>
      </w:r>
      <w:r w:rsidRPr="001D43B8">
        <w:rPr>
          <w:rFonts w:ascii="Abadi" w:hAnsi="Abadi" w:cs="Calibri Light"/>
          <w:sz w:val="21"/>
          <w:szCs w:val="21"/>
        </w:rPr>
        <w:t>en</w:t>
      </w:r>
      <w:r w:rsidRPr="001D43B8">
        <w:rPr>
          <w:rFonts w:ascii="Abadi" w:hAnsi="Abadi" w:cs="Calibri Light"/>
          <w:spacing w:val="16"/>
          <w:sz w:val="21"/>
          <w:szCs w:val="21"/>
        </w:rPr>
        <w:t xml:space="preserve"> </w:t>
      </w:r>
      <w:r w:rsidRPr="001D43B8">
        <w:rPr>
          <w:rFonts w:ascii="Abadi" w:hAnsi="Abadi" w:cs="Calibri Light"/>
          <w:sz w:val="21"/>
          <w:szCs w:val="21"/>
        </w:rPr>
        <w:t>el</w:t>
      </w:r>
      <w:r w:rsidRPr="001D43B8">
        <w:rPr>
          <w:rFonts w:ascii="Abadi" w:hAnsi="Abadi" w:cs="Calibri Light"/>
          <w:spacing w:val="13"/>
          <w:sz w:val="21"/>
          <w:szCs w:val="21"/>
        </w:rPr>
        <w:t xml:space="preserve"> </w:t>
      </w:r>
      <w:r w:rsidRPr="001D43B8">
        <w:rPr>
          <w:rFonts w:ascii="Abadi" w:hAnsi="Abadi" w:cs="Calibri Light"/>
          <w:sz w:val="21"/>
          <w:szCs w:val="21"/>
        </w:rPr>
        <w:t>funcionamiento</w:t>
      </w:r>
      <w:r w:rsidRPr="001D43B8">
        <w:rPr>
          <w:rFonts w:ascii="Abadi" w:hAnsi="Abadi" w:cs="Calibri Light"/>
          <w:spacing w:val="9"/>
          <w:sz w:val="21"/>
          <w:szCs w:val="21"/>
        </w:rPr>
        <w:t xml:space="preserve"> </w:t>
      </w:r>
      <w:r w:rsidRPr="001D43B8">
        <w:rPr>
          <w:rFonts w:ascii="Abadi" w:hAnsi="Abadi" w:cs="Calibri Light"/>
          <w:sz w:val="21"/>
          <w:szCs w:val="21"/>
        </w:rPr>
        <w:t>y</w:t>
      </w:r>
      <w:r w:rsidRPr="001D43B8">
        <w:rPr>
          <w:rFonts w:ascii="Abadi" w:hAnsi="Abadi" w:cs="Calibri Light"/>
          <w:spacing w:val="13"/>
          <w:sz w:val="21"/>
          <w:szCs w:val="21"/>
        </w:rPr>
        <w:t xml:space="preserve"> </w:t>
      </w:r>
      <w:r w:rsidRPr="001D43B8">
        <w:rPr>
          <w:rFonts w:ascii="Abadi" w:hAnsi="Abadi" w:cs="Calibri Light"/>
          <w:sz w:val="21"/>
          <w:szCs w:val="21"/>
        </w:rPr>
        <w:t>resultados</w:t>
      </w:r>
      <w:r w:rsidRPr="001D43B8">
        <w:rPr>
          <w:rFonts w:ascii="Abadi" w:hAnsi="Abadi" w:cs="Calibri Light"/>
          <w:spacing w:val="13"/>
          <w:sz w:val="21"/>
          <w:szCs w:val="21"/>
        </w:rPr>
        <w:t xml:space="preserve"> </w:t>
      </w:r>
      <w:r w:rsidRPr="001D43B8">
        <w:rPr>
          <w:rFonts w:ascii="Abadi" w:hAnsi="Abadi" w:cs="Calibri Light"/>
          <w:sz w:val="21"/>
          <w:szCs w:val="21"/>
        </w:rPr>
        <w:t>de</w:t>
      </w:r>
      <w:r w:rsidRPr="001D43B8">
        <w:rPr>
          <w:rFonts w:ascii="Abadi" w:hAnsi="Abadi" w:cs="Calibri Light"/>
          <w:spacing w:val="14"/>
          <w:sz w:val="21"/>
          <w:szCs w:val="21"/>
        </w:rPr>
        <w:t xml:space="preserve"> </w:t>
      </w:r>
      <w:r w:rsidRPr="001D43B8">
        <w:rPr>
          <w:rFonts w:ascii="Abadi" w:hAnsi="Abadi" w:cs="Calibri Light"/>
          <w:sz w:val="21"/>
          <w:szCs w:val="21"/>
        </w:rPr>
        <w:t>estos</w:t>
      </w:r>
      <w:r w:rsidRPr="001D43B8">
        <w:rPr>
          <w:rFonts w:ascii="Abadi" w:hAnsi="Abadi" w:cs="Calibri Light"/>
          <w:spacing w:val="12"/>
          <w:sz w:val="21"/>
          <w:szCs w:val="21"/>
        </w:rPr>
        <w:t xml:space="preserve"> </w:t>
      </w:r>
      <w:r w:rsidRPr="001D43B8">
        <w:rPr>
          <w:rFonts w:ascii="Abadi" w:hAnsi="Abadi" w:cs="Calibri Light"/>
          <w:sz w:val="21"/>
          <w:szCs w:val="21"/>
        </w:rPr>
        <w:t>programas, pues</w:t>
      </w:r>
      <w:r w:rsidRPr="001D43B8">
        <w:rPr>
          <w:rFonts w:ascii="Abadi" w:hAnsi="Abadi" w:cs="Calibri Light"/>
          <w:spacing w:val="-4"/>
          <w:sz w:val="21"/>
          <w:szCs w:val="21"/>
        </w:rPr>
        <w:t xml:space="preserve"> </w:t>
      </w:r>
      <w:r w:rsidRPr="001D43B8">
        <w:rPr>
          <w:rFonts w:ascii="Abadi" w:hAnsi="Abadi" w:cs="Calibri Light"/>
          <w:sz w:val="21"/>
          <w:szCs w:val="21"/>
        </w:rPr>
        <w:t>en</w:t>
      </w:r>
      <w:r w:rsidRPr="001D43B8">
        <w:rPr>
          <w:rFonts w:ascii="Abadi" w:hAnsi="Abadi" w:cs="Calibri Light"/>
          <w:spacing w:val="-7"/>
          <w:sz w:val="21"/>
          <w:szCs w:val="21"/>
        </w:rPr>
        <w:t xml:space="preserve"> </w:t>
      </w:r>
      <w:r w:rsidRPr="001D43B8">
        <w:rPr>
          <w:rFonts w:ascii="Abadi" w:hAnsi="Abadi" w:cs="Calibri Light"/>
          <w:sz w:val="21"/>
          <w:szCs w:val="21"/>
        </w:rPr>
        <w:t>comparación</w:t>
      </w:r>
      <w:r w:rsidRPr="001D43B8">
        <w:rPr>
          <w:rFonts w:ascii="Abadi" w:hAnsi="Abadi" w:cs="Calibri Light"/>
          <w:spacing w:val="-8"/>
          <w:sz w:val="21"/>
          <w:szCs w:val="21"/>
        </w:rPr>
        <w:t xml:space="preserve"> </w:t>
      </w:r>
      <w:r w:rsidRPr="001D43B8">
        <w:rPr>
          <w:rFonts w:ascii="Abadi" w:hAnsi="Abadi" w:cs="Calibri Light"/>
          <w:sz w:val="21"/>
          <w:szCs w:val="21"/>
        </w:rPr>
        <w:t>con</w:t>
      </w:r>
      <w:r w:rsidRPr="001D43B8">
        <w:rPr>
          <w:rFonts w:ascii="Abadi" w:hAnsi="Abadi" w:cs="Calibri Light"/>
          <w:spacing w:val="-8"/>
          <w:sz w:val="21"/>
          <w:szCs w:val="21"/>
        </w:rPr>
        <w:t xml:space="preserve"> </w:t>
      </w:r>
      <w:r w:rsidRPr="001D43B8">
        <w:rPr>
          <w:rFonts w:ascii="Abadi" w:hAnsi="Abadi" w:cs="Calibri Light"/>
          <w:sz w:val="21"/>
          <w:szCs w:val="21"/>
        </w:rPr>
        <w:t>otras</w:t>
      </w:r>
      <w:r w:rsidRPr="001D43B8">
        <w:rPr>
          <w:rFonts w:ascii="Abadi" w:hAnsi="Abadi" w:cs="Calibri Light"/>
          <w:spacing w:val="-4"/>
          <w:sz w:val="21"/>
          <w:szCs w:val="21"/>
        </w:rPr>
        <w:t xml:space="preserve"> </w:t>
      </w:r>
      <w:r w:rsidRPr="001D43B8">
        <w:rPr>
          <w:rFonts w:ascii="Abadi" w:hAnsi="Abadi" w:cs="Calibri Light"/>
          <w:sz w:val="21"/>
          <w:szCs w:val="21"/>
        </w:rPr>
        <w:t>entidades,</w:t>
      </w:r>
      <w:r w:rsidRPr="001D43B8">
        <w:rPr>
          <w:rFonts w:ascii="Abadi" w:hAnsi="Abadi" w:cs="Calibri Light"/>
          <w:spacing w:val="-6"/>
          <w:sz w:val="21"/>
          <w:szCs w:val="21"/>
        </w:rPr>
        <w:t xml:space="preserve"> </w:t>
      </w:r>
      <w:r w:rsidRPr="001D43B8">
        <w:rPr>
          <w:rFonts w:ascii="Abadi" w:hAnsi="Abadi" w:cs="Calibri Light"/>
          <w:sz w:val="21"/>
          <w:szCs w:val="21"/>
        </w:rPr>
        <w:t>como</w:t>
      </w:r>
      <w:r w:rsidRPr="001D43B8">
        <w:rPr>
          <w:rFonts w:ascii="Abadi" w:hAnsi="Abadi" w:cs="Calibri Light"/>
          <w:spacing w:val="-7"/>
          <w:sz w:val="21"/>
          <w:szCs w:val="21"/>
        </w:rPr>
        <w:t xml:space="preserve"> </w:t>
      </w:r>
      <w:r w:rsidRPr="001D43B8">
        <w:rPr>
          <w:rFonts w:ascii="Abadi" w:hAnsi="Abadi" w:cs="Calibri Light"/>
          <w:sz w:val="21"/>
          <w:szCs w:val="21"/>
        </w:rPr>
        <w:t>la</w:t>
      </w:r>
      <w:r w:rsidRPr="001D43B8">
        <w:rPr>
          <w:rFonts w:ascii="Abadi" w:hAnsi="Abadi" w:cs="Calibri Light"/>
          <w:spacing w:val="-6"/>
          <w:sz w:val="21"/>
          <w:szCs w:val="21"/>
        </w:rPr>
        <w:t xml:space="preserve"> </w:t>
      </w:r>
      <w:r w:rsidRPr="001D43B8">
        <w:rPr>
          <w:rFonts w:ascii="Abadi" w:hAnsi="Abadi" w:cs="Calibri Light"/>
          <w:sz w:val="21"/>
          <w:szCs w:val="21"/>
        </w:rPr>
        <w:t>Ciudad</w:t>
      </w:r>
      <w:r w:rsidRPr="001D43B8">
        <w:rPr>
          <w:rFonts w:ascii="Abadi" w:hAnsi="Abadi" w:cs="Calibri Light"/>
          <w:spacing w:val="-7"/>
          <w:sz w:val="21"/>
          <w:szCs w:val="21"/>
        </w:rPr>
        <w:t xml:space="preserve"> </w:t>
      </w:r>
      <w:r w:rsidRPr="001D43B8">
        <w:rPr>
          <w:rFonts w:ascii="Abadi" w:hAnsi="Abadi" w:cs="Calibri Light"/>
          <w:sz w:val="21"/>
          <w:szCs w:val="21"/>
        </w:rPr>
        <w:t>de</w:t>
      </w:r>
      <w:r w:rsidRPr="001D43B8">
        <w:rPr>
          <w:rFonts w:ascii="Abadi" w:hAnsi="Abadi" w:cs="Calibri Light"/>
          <w:spacing w:val="-8"/>
          <w:sz w:val="21"/>
          <w:szCs w:val="21"/>
        </w:rPr>
        <w:t xml:space="preserve"> </w:t>
      </w:r>
      <w:r w:rsidRPr="001D43B8">
        <w:rPr>
          <w:rFonts w:ascii="Abadi" w:hAnsi="Abadi" w:cs="Calibri Light"/>
          <w:sz w:val="21"/>
          <w:szCs w:val="21"/>
        </w:rPr>
        <w:t>México,</w:t>
      </w:r>
      <w:r w:rsidRPr="001D43B8">
        <w:rPr>
          <w:rFonts w:ascii="Abadi" w:hAnsi="Abadi" w:cs="Calibri Light"/>
          <w:spacing w:val="-6"/>
          <w:sz w:val="21"/>
          <w:szCs w:val="21"/>
        </w:rPr>
        <w:t xml:space="preserve"> </w:t>
      </w:r>
      <w:r w:rsidRPr="001D43B8">
        <w:rPr>
          <w:rFonts w:ascii="Abadi" w:hAnsi="Abadi" w:cs="Calibri Light"/>
          <w:sz w:val="21"/>
          <w:szCs w:val="21"/>
        </w:rPr>
        <w:t>Guanajuato tiene</w:t>
      </w:r>
      <w:r w:rsidRPr="001D43B8">
        <w:rPr>
          <w:rFonts w:ascii="Abadi" w:hAnsi="Abadi" w:cs="Calibri Light"/>
          <w:spacing w:val="-13"/>
          <w:sz w:val="21"/>
          <w:szCs w:val="21"/>
        </w:rPr>
        <w:t xml:space="preserve"> </w:t>
      </w:r>
      <w:r w:rsidRPr="001D43B8">
        <w:rPr>
          <w:rFonts w:ascii="Abadi" w:hAnsi="Abadi" w:cs="Calibri Light"/>
          <w:sz w:val="21"/>
          <w:szCs w:val="21"/>
        </w:rPr>
        <w:t>casi</w:t>
      </w:r>
      <w:r w:rsidRPr="001D43B8">
        <w:rPr>
          <w:rFonts w:ascii="Abadi" w:hAnsi="Abadi" w:cs="Calibri Light"/>
          <w:spacing w:val="-9"/>
          <w:sz w:val="21"/>
          <w:szCs w:val="21"/>
        </w:rPr>
        <w:t xml:space="preserve"> </w:t>
      </w:r>
      <w:r w:rsidRPr="001D43B8">
        <w:rPr>
          <w:rFonts w:ascii="Abadi" w:hAnsi="Abadi" w:cs="Calibri Light"/>
          <w:sz w:val="21"/>
          <w:szCs w:val="21"/>
        </w:rPr>
        <w:t>5</w:t>
      </w:r>
      <w:r w:rsidRPr="001D43B8">
        <w:rPr>
          <w:rFonts w:ascii="Abadi" w:hAnsi="Abadi" w:cs="Calibri Light"/>
          <w:spacing w:val="-11"/>
          <w:sz w:val="21"/>
          <w:szCs w:val="21"/>
        </w:rPr>
        <w:t xml:space="preserve"> </w:t>
      </w:r>
      <w:r w:rsidRPr="001D43B8">
        <w:rPr>
          <w:rFonts w:ascii="Abadi" w:hAnsi="Abadi" w:cs="Calibri Light"/>
          <w:sz w:val="21"/>
          <w:szCs w:val="21"/>
        </w:rPr>
        <w:t>veces</w:t>
      </w:r>
      <w:r w:rsidRPr="001D43B8">
        <w:rPr>
          <w:rFonts w:ascii="Abadi" w:hAnsi="Abadi" w:cs="Calibri Light"/>
          <w:spacing w:val="-9"/>
          <w:sz w:val="21"/>
          <w:szCs w:val="21"/>
        </w:rPr>
        <w:t xml:space="preserve"> </w:t>
      </w:r>
      <w:r w:rsidRPr="001D43B8">
        <w:rPr>
          <w:rFonts w:ascii="Abadi" w:hAnsi="Abadi" w:cs="Calibri Light"/>
          <w:sz w:val="21"/>
          <w:szCs w:val="21"/>
        </w:rPr>
        <w:t>más</w:t>
      </w:r>
      <w:r w:rsidRPr="001D43B8">
        <w:rPr>
          <w:rFonts w:ascii="Abadi" w:hAnsi="Abadi" w:cs="Calibri Light"/>
          <w:spacing w:val="-8"/>
          <w:sz w:val="21"/>
          <w:szCs w:val="21"/>
        </w:rPr>
        <w:t xml:space="preserve"> </w:t>
      </w:r>
      <w:r w:rsidRPr="001D43B8">
        <w:rPr>
          <w:rFonts w:ascii="Abadi" w:hAnsi="Abadi" w:cs="Calibri Light"/>
          <w:sz w:val="21"/>
          <w:szCs w:val="21"/>
        </w:rPr>
        <w:t>de</w:t>
      </w:r>
      <w:r w:rsidRPr="001D43B8">
        <w:rPr>
          <w:rFonts w:ascii="Abadi" w:hAnsi="Abadi" w:cs="Calibri Light"/>
          <w:spacing w:val="-12"/>
          <w:sz w:val="21"/>
          <w:szCs w:val="21"/>
        </w:rPr>
        <w:t xml:space="preserve"> </w:t>
      </w:r>
      <w:r w:rsidRPr="001D43B8">
        <w:rPr>
          <w:rFonts w:ascii="Abadi" w:hAnsi="Abadi" w:cs="Calibri Light"/>
          <w:sz w:val="21"/>
          <w:szCs w:val="21"/>
        </w:rPr>
        <w:t>presuntas</w:t>
      </w:r>
      <w:r w:rsidRPr="001D43B8">
        <w:rPr>
          <w:rFonts w:ascii="Abadi" w:hAnsi="Abadi" w:cs="Calibri Light"/>
          <w:spacing w:val="-8"/>
          <w:sz w:val="21"/>
          <w:szCs w:val="21"/>
        </w:rPr>
        <w:t xml:space="preserve"> </w:t>
      </w:r>
      <w:r w:rsidRPr="001D43B8">
        <w:rPr>
          <w:rFonts w:ascii="Abadi" w:hAnsi="Abadi" w:cs="Calibri Light"/>
          <w:sz w:val="21"/>
          <w:szCs w:val="21"/>
        </w:rPr>
        <w:t>víctimas</w:t>
      </w:r>
      <w:r w:rsidRPr="001D43B8">
        <w:rPr>
          <w:rFonts w:ascii="Abadi" w:hAnsi="Abadi" w:cs="Calibri Light"/>
          <w:spacing w:val="-11"/>
          <w:sz w:val="21"/>
          <w:szCs w:val="21"/>
        </w:rPr>
        <w:t xml:space="preserve"> </w:t>
      </w:r>
      <w:r w:rsidRPr="001D43B8">
        <w:rPr>
          <w:rFonts w:ascii="Abadi" w:hAnsi="Abadi" w:cs="Calibri Light"/>
          <w:sz w:val="21"/>
          <w:szCs w:val="21"/>
        </w:rPr>
        <w:t>de</w:t>
      </w:r>
      <w:r w:rsidRPr="001D43B8">
        <w:rPr>
          <w:rFonts w:ascii="Abadi" w:hAnsi="Abadi" w:cs="Calibri Light"/>
          <w:spacing w:val="-10"/>
          <w:sz w:val="21"/>
          <w:szCs w:val="21"/>
        </w:rPr>
        <w:t xml:space="preserve"> </w:t>
      </w:r>
      <w:r w:rsidRPr="001D43B8">
        <w:rPr>
          <w:rFonts w:ascii="Abadi" w:hAnsi="Abadi" w:cs="Calibri Light"/>
          <w:sz w:val="21"/>
          <w:szCs w:val="21"/>
        </w:rPr>
        <w:t>lesiones</w:t>
      </w:r>
      <w:r w:rsidRPr="001D43B8">
        <w:rPr>
          <w:rFonts w:ascii="Abadi" w:hAnsi="Abadi" w:cs="Calibri Light"/>
          <w:spacing w:val="-9"/>
          <w:sz w:val="21"/>
          <w:szCs w:val="21"/>
        </w:rPr>
        <w:t xml:space="preserve"> </w:t>
      </w:r>
      <w:r w:rsidRPr="001D43B8">
        <w:rPr>
          <w:rFonts w:ascii="Abadi" w:hAnsi="Abadi" w:cs="Calibri Light"/>
          <w:sz w:val="21"/>
          <w:szCs w:val="21"/>
        </w:rPr>
        <w:t>dolosas</w:t>
      </w:r>
      <w:r w:rsidRPr="001D43B8">
        <w:rPr>
          <w:rFonts w:ascii="Abadi" w:hAnsi="Abadi" w:cs="Calibri Light"/>
          <w:spacing w:val="-11"/>
          <w:sz w:val="21"/>
          <w:szCs w:val="21"/>
        </w:rPr>
        <w:t xml:space="preserve"> </w:t>
      </w:r>
      <w:r w:rsidRPr="001D43B8">
        <w:rPr>
          <w:rFonts w:ascii="Abadi" w:hAnsi="Abadi" w:cs="Calibri Light"/>
          <w:sz w:val="21"/>
          <w:szCs w:val="21"/>
        </w:rPr>
        <w:t>respecto</w:t>
      </w:r>
      <w:r w:rsidRPr="001D43B8">
        <w:rPr>
          <w:rFonts w:ascii="Abadi" w:hAnsi="Abadi" w:cs="Calibri Light"/>
          <w:spacing w:val="-10"/>
          <w:sz w:val="21"/>
          <w:szCs w:val="21"/>
        </w:rPr>
        <w:t xml:space="preserve"> </w:t>
      </w:r>
      <w:r w:rsidRPr="001D43B8">
        <w:rPr>
          <w:rFonts w:ascii="Abadi" w:hAnsi="Abadi" w:cs="Calibri Light"/>
          <w:sz w:val="21"/>
          <w:szCs w:val="21"/>
        </w:rPr>
        <w:t>a</w:t>
      </w:r>
      <w:r w:rsidRPr="001D43B8">
        <w:rPr>
          <w:rFonts w:ascii="Abadi" w:hAnsi="Abadi" w:cs="Calibri Light"/>
          <w:spacing w:val="-11"/>
          <w:sz w:val="21"/>
          <w:szCs w:val="21"/>
        </w:rPr>
        <w:t xml:space="preserve"> </w:t>
      </w:r>
      <w:r w:rsidRPr="001D43B8">
        <w:rPr>
          <w:rFonts w:ascii="Abadi" w:hAnsi="Abadi" w:cs="Calibri Light"/>
          <w:sz w:val="21"/>
          <w:szCs w:val="21"/>
        </w:rPr>
        <w:t>CDMX: mientras</w:t>
      </w:r>
      <w:r w:rsidRPr="001D43B8">
        <w:rPr>
          <w:rFonts w:ascii="Abadi" w:hAnsi="Abadi" w:cs="Calibri Light"/>
          <w:spacing w:val="32"/>
          <w:sz w:val="21"/>
          <w:szCs w:val="21"/>
        </w:rPr>
        <w:t xml:space="preserve"> </w:t>
      </w:r>
      <w:r w:rsidRPr="001D43B8">
        <w:rPr>
          <w:rFonts w:ascii="Abadi" w:hAnsi="Abadi" w:cs="Calibri Light"/>
          <w:sz w:val="21"/>
          <w:szCs w:val="21"/>
        </w:rPr>
        <w:t>la</w:t>
      </w:r>
      <w:r w:rsidRPr="001D43B8">
        <w:rPr>
          <w:rFonts w:ascii="Abadi" w:hAnsi="Abadi" w:cs="Calibri Light"/>
          <w:spacing w:val="33"/>
          <w:sz w:val="21"/>
          <w:szCs w:val="21"/>
        </w:rPr>
        <w:t xml:space="preserve"> </w:t>
      </w:r>
      <w:r w:rsidRPr="001D43B8">
        <w:rPr>
          <w:rFonts w:ascii="Abadi" w:hAnsi="Abadi" w:cs="Calibri Light"/>
          <w:sz w:val="21"/>
          <w:szCs w:val="21"/>
        </w:rPr>
        <w:t>CDMX</w:t>
      </w:r>
      <w:r w:rsidRPr="001D43B8">
        <w:rPr>
          <w:rFonts w:ascii="Abadi" w:hAnsi="Abadi" w:cs="Calibri Light"/>
          <w:spacing w:val="34"/>
          <w:sz w:val="21"/>
          <w:szCs w:val="21"/>
        </w:rPr>
        <w:t xml:space="preserve"> </w:t>
      </w:r>
      <w:r w:rsidRPr="001D43B8">
        <w:rPr>
          <w:rFonts w:ascii="Abadi" w:hAnsi="Abadi" w:cs="Calibri Light"/>
          <w:sz w:val="21"/>
          <w:szCs w:val="21"/>
        </w:rPr>
        <w:t>tiene</w:t>
      </w:r>
      <w:r w:rsidRPr="001D43B8">
        <w:rPr>
          <w:rFonts w:ascii="Abadi" w:hAnsi="Abadi" w:cs="Calibri Light"/>
          <w:spacing w:val="31"/>
          <w:sz w:val="21"/>
          <w:szCs w:val="21"/>
        </w:rPr>
        <w:t xml:space="preserve"> </w:t>
      </w:r>
      <w:r w:rsidRPr="001D43B8">
        <w:rPr>
          <w:rFonts w:ascii="Abadi" w:hAnsi="Abadi" w:cs="Calibri Light"/>
          <w:sz w:val="21"/>
          <w:szCs w:val="21"/>
        </w:rPr>
        <w:t>909</w:t>
      </w:r>
      <w:r w:rsidRPr="001D43B8">
        <w:rPr>
          <w:rFonts w:ascii="Abadi" w:hAnsi="Abadi" w:cs="Calibri Light"/>
          <w:spacing w:val="33"/>
          <w:sz w:val="21"/>
          <w:szCs w:val="21"/>
        </w:rPr>
        <w:t xml:space="preserve"> </w:t>
      </w:r>
      <w:r w:rsidRPr="001D43B8">
        <w:rPr>
          <w:rFonts w:ascii="Abadi" w:hAnsi="Abadi" w:cs="Calibri Light"/>
          <w:sz w:val="21"/>
          <w:szCs w:val="21"/>
        </w:rPr>
        <w:t>casos,</w:t>
      </w:r>
      <w:r w:rsidRPr="001D43B8">
        <w:rPr>
          <w:rFonts w:ascii="Abadi" w:hAnsi="Abadi" w:cs="Calibri Light"/>
          <w:spacing w:val="32"/>
          <w:sz w:val="21"/>
          <w:szCs w:val="21"/>
        </w:rPr>
        <w:t xml:space="preserve"> </w:t>
      </w:r>
      <w:r w:rsidRPr="001D43B8">
        <w:rPr>
          <w:rFonts w:ascii="Abadi" w:hAnsi="Abadi" w:cs="Calibri Light"/>
          <w:sz w:val="21"/>
          <w:szCs w:val="21"/>
        </w:rPr>
        <w:t>Guanajuato</w:t>
      </w:r>
      <w:r w:rsidRPr="001D43B8">
        <w:rPr>
          <w:rFonts w:ascii="Abadi" w:hAnsi="Abadi" w:cs="Calibri Light"/>
          <w:spacing w:val="32"/>
          <w:sz w:val="21"/>
          <w:szCs w:val="21"/>
        </w:rPr>
        <w:t xml:space="preserve"> </w:t>
      </w:r>
      <w:r w:rsidRPr="001D43B8">
        <w:rPr>
          <w:rFonts w:ascii="Abadi" w:hAnsi="Abadi" w:cs="Calibri Light"/>
          <w:sz w:val="21"/>
          <w:szCs w:val="21"/>
        </w:rPr>
        <w:t>alcanza</w:t>
      </w:r>
      <w:r w:rsidRPr="001D43B8">
        <w:rPr>
          <w:rFonts w:ascii="Abadi" w:hAnsi="Abadi" w:cs="Calibri Light"/>
          <w:spacing w:val="31"/>
          <w:sz w:val="21"/>
          <w:szCs w:val="21"/>
        </w:rPr>
        <w:t xml:space="preserve"> </w:t>
      </w:r>
      <w:r w:rsidRPr="001D43B8">
        <w:rPr>
          <w:rFonts w:ascii="Abadi" w:hAnsi="Abadi" w:cs="Calibri Light"/>
          <w:sz w:val="21"/>
          <w:szCs w:val="21"/>
        </w:rPr>
        <w:t>los</w:t>
      </w:r>
      <w:r w:rsidRPr="001D43B8">
        <w:rPr>
          <w:rFonts w:ascii="Abadi" w:hAnsi="Abadi" w:cs="Calibri Light"/>
          <w:spacing w:val="33"/>
          <w:sz w:val="21"/>
          <w:szCs w:val="21"/>
        </w:rPr>
        <w:t xml:space="preserve"> </w:t>
      </w:r>
      <w:r w:rsidRPr="001D43B8">
        <w:rPr>
          <w:rFonts w:ascii="Abadi" w:hAnsi="Abadi" w:cs="Calibri Light"/>
          <w:sz w:val="21"/>
          <w:szCs w:val="21"/>
        </w:rPr>
        <w:t>4,469</w:t>
      </w:r>
      <w:r w:rsidRPr="001D43B8">
        <w:rPr>
          <w:rFonts w:ascii="Abadi" w:hAnsi="Abadi" w:cs="Calibri Light"/>
          <w:spacing w:val="36"/>
          <w:sz w:val="21"/>
          <w:szCs w:val="21"/>
        </w:rPr>
        <w:t xml:space="preserve"> </w:t>
      </w:r>
      <w:r w:rsidRPr="001D43B8">
        <w:rPr>
          <w:rFonts w:ascii="Abadi" w:hAnsi="Abadi" w:cs="Calibri Light"/>
          <w:sz w:val="21"/>
          <w:szCs w:val="21"/>
        </w:rPr>
        <w:t>mencionados</w:t>
      </w:r>
    </w:p>
    <w:p w14:paraId="55194658" w14:textId="77777777" w:rsidR="00AF040F" w:rsidRPr="001D43B8" w:rsidRDefault="00AF040F" w:rsidP="00A44DEE">
      <w:pPr>
        <w:kinsoku w:val="0"/>
        <w:overflowPunct w:val="0"/>
        <w:autoSpaceDE w:val="0"/>
        <w:autoSpaceDN w:val="0"/>
        <w:adjustRightInd w:val="0"/>
        <w:ind w:left="39" w:right="116"/>
        <w:jc w:val="both"/>
        <w:rPr>
          <w:rFonts w:ascii="Abadi" w:hAnsi="Abadi" w:cs="Calibri Light"/>
          <w:sz w:val="21"/>
          <w:szCs w:val="21"/>
        </w:rPr>
      </w:pPr>
      <w:r w:rsidRPr="001D43B8">
        <w:rPr>
          <w:rFonts w:ascii="Abadi" w:hAnsi="Abadi" w:cs="Calibri Light"/>
          <w:sz w:val="21"/>
          <w:szCs w:val="21"/>
        </w:rPr>
        <w:t>anteriormente.</w:t>
      </w:r>
    </w:p>
    <w:p w14:paraId="45AC788F" w14:textId="77777777" w:rsidR="00AF040F" w:rsidRPr="001D43B8" w:rsidRDefault="00AF040F" w:rsidP="00A44DEE">
      <w:pPr>
        <w:kinsoku w:val="0"/>
        <w:overflowPunct w:val="0"/>
        <w:autoSpaceDE w:val="0"/>
        <w:autoSpaceDN w:val="0"/>
        <w:adjustRightInd w:val="0"/>
        <w:ind w:left="39" w:right="118"/>
        <w:jc w:val="both"/>
        <w:rPr>
          <w:rFonts w:ascii="Abadi" w:hAnsi="Abadi" w:cs="Calibri Light"/>
          <w:sz w:val="21"/>
          <w:szCs w:val="21"/>
        </w:rPr>
      </w:pPr>
    </w:p>
    <w:p w14:paraId="0499D095" w14:textId="77777777" w:rsidR="00AF040F" w:rsidRPr="001D43B8" w:rsidRDefault="00AF040F" w:rsidP="00A44DEE">
      <w:pPr>
        <w:kinsoku w:val="0"/>
        <w:overflowPunct w:val="0"/>
        <w:autoSpaceDE w:val="0"/>
        <w:autoSpaceDN w:val="0"/>
        <w:adjustRightInd w:val="0"/>
        <w:ind w:left="39" w:right="118"/>
        <w:jc w:val="both"/>
        <w:rPr>
          <w:rFonts w:ascii="Abadi" w:hAnsi="Abadi" w:cs="Calibri Light"/>
          <w:sz w:val="21"/>
          <w:szCs w:val="21"/>
        </w:rPr>
      </w:pPr>
      <w:r w:rsidRPr="001D43B8">
        <w:rPr>
          <w:rFonts w:ascii="Abadi" w:hAnsi="Abadi" w:cs="Calibri Light"/>
          <w:sz w:val="21"/>
          <w:szCs w:val="21"/>
        </w:rPr>
        <w:t>En</w:t>
      </w:r>
      <w:r w:rsidRPr="001D43B8">
        <w:rPr>
          <w:rFonts w:ascii="Abadi" w:hAnsi="Abadi" w:cs="Calibri Light"/>
          <w:spacing w:val="1"/>
          <w:sz w:val="21"/>
          <w:szCs w:val="21"/>
        </w:rPr>
        <w:t xml:space="preserve"> </w:t>
      </w:r>
      <w:r w:rsidRPr="001D43B8">
        <w:rPr>
          <w:rFonts w:ascii="Abadi" w:hAnsi="Abadi" w:cs="Calibri Light"/>
          <w:sz w:val="21"/>
          <w:szCs w:val="21"/>
        </w:rPr>
        <w:t>el mismo sentido,</w:t>
      </w:r>
      <w:r w:rsidRPr="001D43B8">
        <w:rPr>
          <w:rFonts w:ascii="Abadi" w:hAnsi="Abadi" w:cs="Calibri Light"/>
          <w:spacing w:val="1"/>
          <w:sz w:val="21"/>
          <w:szCs w:val="21"/>
        </w:rPr>
        <w:t xml:space="preserve"> </w:t>
      </w:r>
      <w:r w:rsidRPr="001D43B8">
        <w:rPr>
          <w:rFonts w:ascii="Abadi" w:hAnsi="Abadi" w:cs="Calibri Light"/>
          <w:sz w:val="21"/>
          <w:szCs w:val="21"/>
        </w:rPr>
        <w:t>CDMX registró 45</w:t>
      </w:r>
      <w:r w:rsidRPr="001D43B8">
        <w:rPr>
          <w:rFonts w:ascii="Abadi" w:hAnsi="Abadi" w:cs="Calibri Light"/>
          <w:spacing w:val="2"/>
          <w:sz w:val="21"/>
          <w:szCs w:val="21"/>
        </w:rPr>
        <w:t xml:space="preserve"> </w:t>
      </w:r>
      <w:r w:rsidRPr="001D43B8">
        <w:rPr>
          <w:rFonts w:ascii="Abadi" w:hAnsi="Abadi" w:cs="Calibri Light"/>
          <w:sz w:val="21"/>
          <w:szCs w:val="21"/>
        </w:rPr>
        <w:t>feminicidios</w:t>
      </w:r>
      <w:r w:rsidRPr="001D43B8">
        <w:rPr>
          <w:rFonts w:ascii="Abadi" w:hAnsi="Abadi" w:cs="Calibri Light"/>
          <w:spacing w:val="-1"/>
          <w:sz w:val="21"/>
          <w:szCs w:val="21"/>
        </w:rPr>
        <w:t xml:space="preserve"> </w:t>
      </w:r>
      <w:r w:rsidRPr="001D43B8">
        <w:rPr>
          <w:rFonts w:ascii="Abadi" w:hAnsi="Abadi" w:cs="Calibri Light"/>
          <w:sz w:val="21"/>
          <w:szCs w:val="21"/>
        </w:rPr>
        <w:t>y</w:t>
      </w:r>
      <w:r w:rsidRPr="001D43B8">
        <w:rPr>
          <w:rFonts w:ascii="Abadi" w:hAnsi="Abadi" w:cs="Calibri Light"/>
          <w:spacing w:val="1"/>
          <w:sz w:val="21"/>
          <w:szCs w:val="21"/>
        </w:rPr>
        <w:t xml:space="preserve"> </w:t>
      </w:r>
      <w:r w:rsidRPr="001D43B8">
        <w:rPr>
          <w:rFonts w:ascii="Abadi" w:hAnsi="Abadi" w:cs="Calibri Light"/>
          <w:sz w:val="21"/>
          <w:szCs w:val="21"/>
        </w:rPr>
        <w:t>37</w:t>
      </w:r>
      <w:r w:rsidRPr="001D43B8">
        <w:rPr>
          <w:rFonts w:ascii="Abadi" w:hAnsi="Abadi" w:cs="Calibri Light"/>
          <w:spacing w:val="2"/>
          <w:sz w:val="21"/>
          <w:szCs w:val="21"/>
        </w:rPr>
        <w:t xml:space="preserve"> </w:t>
      </w:r>
      <w:r w:rsidRPr="001D43B8">
        <w:rPr>
          <w:rFonts w:ascii="Abadi" w:hAnsi="Abadi" w:cs="Calibri Light"/>
          <w:sz w:val="21"/>
          <w:szCs w:val="21"/>
        </w:rPr>
        <w:t>homicidios dolosos en el periodo</w:t>
      </w:r>
      <w:r w:rsidRPr="001D43B8">
        <w:rPr>
          <w:rFonts w:ascii="Abadi" w:hAnsi="Abadi" w:cs="Calibri Light"/>
          <w:spacing w:val="-5"/>
          <w:sz w:val="21"/>
          <w:szCs w:val="21"/>
        </w:rPr>
        <w:t xml:space="preserve"> </w:t>
      </w:r>
      <w:r w:rsidRPr="001D43B8">
        <w:rPr>
          <w:rFonts w:ascii="Abadi" w:hAnsi="Abadi" w:cs="Calibri Light"/>
          <w:sz w:val="21"/>
          <w:szCs w:val="21"/>
        </w:rPr>
        <w:t>de</w:t>
      </w:r>
      <w:r w:rsidRPr="001D43B8">
        <w:rPr>
          <w:rFonts w:ascii="Abadi" w:hAnsi="Abadi" w:cs="Calibri Light"/>
          <w:spacing w:val="-5"/>
          <w:sz w:val="21"/>
          <w:szCs w:val="21"/>
        </w:rPr>
        <w:t xml:space="preserve"> </w:t>
      </w:r>
      <w:r w:rsidRPr="001D43B8">
        <w:rPr>
          <w:rFonts w:ascii="Abadi" w:hAnsi="Abadi" w:cs="Calibri Light"/>
          <w:sz w:val="21"/>
          <w:szCs w:val="21"/>
        </w:rPr>
        <w:t>enero</w:t>
      </w:r>
      <w:r w:rsidRPr="001D43B8">
        <w:rPr>
          <w:rFonts w:ascii="Abadi" w:hAnsi="Abadi" w:cs="Calibri Light"/>
          <w:spacing w:val="-6"/>
          <w:sz w:val="21"/>
          <w:szCs w:val="21"/>
        </w:rPr>
        <w:t xml:space="preserve"> </w:t>
      </w:r>
      <w:r w:rsidRPr="001D43B8">
        <w:rPr>
          <w:rFonts w:ascii="Abadi" w:hAnsi="Abadi" w:cs="Calibri Light"/>
          <w:sz w:val="21"/>
          <w:szCs w:val="21"/>
        </w:rPr>
        <w:t>a</w:t>
      </w:r>
      <w:r w:rsidRPr="001D43B8">
        <w:rPr>
          <w:rFonts w:ascii="Abadi" w:hAnsi="Abadi" w:cs="Calibri Light"/>
          <w:spacing w:val="-6"/>
          <w:sz w:val="21"/>
          <w:szCs w:val="21"/>
        </w:rPr>
        <w:t xml:space="preserve"> </w:t>
      </w:r>
      <w:r w:rsidRPr="001D43B8">
        <w:rPr>
          <w:rFonts w:ascii="Abadi" w:hAnsi="Abadi" w:cs="Calibri Light"/>
          <w:sz w:val="21"/>
          <w:szCs w:val="21"/>
        </w:rPr>
        <w:t>agosto</w:t>
      </w:r>
      <w:r w:rsidRPr="001D43B8">
        <w:rPr>
          <w:rFonts w:ascii="Abadi" w:hAnsi="Abadi" w:cs="Calibri Light"/>
          <w:spacing w:val="-5"/>
          <w:sz w:val="21"/>
          <w:szCs w:val="21"/>
        </w:rPr>
        <w:t xml:space="preserve"> </w:t>
      </w:r>
      <w:r w:rsidRPr="001D43B8">
        <w:rPr>
          <w:rFonts w:ascii="Abadi" w:hAnsi="Abadi" w:cs="Calibri Light"/>
          <w:sz w:val="21"/>
          <w:szCs w:val="21"/>
        </w:rPr>
        <w:t>de</w:t>
      </w:r>
      <w:r w:rsidRPr="001D43B8">
        <w:rPr>
          <w:rFonts w:ascii="Abadi" w:hAnsi="Abadi" w:cs="Calibri Light"/>
          <w:spacing w:val="-5"/>
          <w:sz w:val="21"/>
          <w:szCs w:val="21"/>
        </w:rPr>
        <w:t xml:space="preserve"> </w:t>
      </w:r>
      <w:r w:rsidRPr="001D43B8">
        <w:rPr>
          <w:rFonts w:ascii="Abadi" w:hAnsi="Abadi" w:cs="Calibri Light"/>
          <w:sz w:val="21"/>
          <w:szCs w:val="21"/>
        </w:rPr>
        <w:t>2022,</w:t>
      </w:r>
      <w:r w:rsidRPr="001D43B8">
        <w:rPr>
          <w:rFonts w:ascii="Abadi" w:hAnsi="Abadi" w:cs="Calibri Light"/>
          <w:spacing w:val="-3"/>
          <w:sz w:val="21"/>
          <w:szCs w:val="21"/>
        </w:rPr>
        <w:t xml:space="preserve"> </w:t>
      </w:r>
      <w:r w:rsidRPr="001D43B8">
        <w:rPr>
          <w:rFonts w:ascii="Abadi" w:hAnsi="Abadi" w:cs="Calibri Light"/>
          <w:sz w:val="21"/>
          <w:szCs w:val="21"/>
        </w:rPr>
        <w:t>por</w:t>
      </w:r>
      <w:r w:rsidRPr="001D43B8">
        <w:rPr>
          <w:rFonts w:ascii="Abadi" w:hAnsi="Abadi" w:cs="Calibri Light"/>
          <w:spacing w:val="-5"/>
          <w:sz w:val="21"/>
          <w:szCs w:val="21"/>
        </w:rPr>
        <w:t xml:space="preserve"> </w:t>
      </w:r>
      <w:r w:rsidRPr="001D43B8">
        <w:rPr>
          <w:rFonts w:ascii="Abadi" w:hAnsi="Abadi" w:cs="Calibri Light"/>
          <w:sz w:val="21"/>
          <w:szCs w:val="21"/>
        </w:rPr>
        <w:t>lo</w:t>
      </w:r>
      <w:r w:rsidRPr="001D43B8">
        <w:rPr>
          <w:rFonts w:ascii="Abadi" w:hAnsi="Abadi" w:cs="Calibri Light"/>
          <w:spacing w:val="-5"/>
          <w:sz w:val="21"/>
          <w:szCs w:val="21"/>
        </w:rPr>
        <w:t xml:space="preserve"> </w:t>
      </w:r>
      <w:r w:rsidRPr="001D43B8">
        <w:rPr>
          <w:rFonts w:ascii="Abadi" w:hAnsi="Abadi" w:cs="Calibri Light"/>
          <w:sz w:val="21"/>
          <w:szCs w:val="21"/>
        </w:rPr>
        <w:t>que</w:t>
      </w:r>
      <w:r w:rsidRPr="001D43B8">
        <w:rPr>
          <w:rFonts w:ascii="Abadi" w:hAnsi="Abadi" w:cs="Calibri Light"/>
          <w:spacing w:val="-4"/>
          <w:sz w:val="21"/>
          <w:szCs w:val="21"/>
        </w:rPr>
        <w:t xml:space="preserve"> </w:t>
      </w:r>
      <w:r w:rsidRPr="001D43B8">
        <w:rPr>
          <w:rFonts w:ascii="Abadi" w:hAnsi="Abadi" w:cs="Calibri Light"/>
          <w:sz w:val="21"/>
          <w:szCs w:val="21"/>
        </w:rPr>
        <w:t>se</w:t>
      </w:r>
      <w:r w:rsidRPr="001D43B8">
        <w:rPr>
          <w:rFonts w:ascii="Abadi" w:hAnsi="Abadi" w:cs="Calibri Light"/>
          <w:spacing w:val="-7"/>
          <w:sz w:val="21"/>
          <w:szCs w:val="21"/>
        </w:rPr>
        <w:t xml:space="preserve"> </w:t>
      </w:r>
      <w:r w:rsidRPr="001D43B8">
        <w:rPr>
          <w:rFonts w:ascii="Abadi" w:hAnsi="Abadi" w:cs="Calibri Light"/>
          <w:sz w:val="21"/>
          <w:szCs w:val="21"/>
        </w:rPr>
        <w:t>puede</w:t>
      </w:r>
      <w:r w:rsidRPr="001D43B8">
        <w:rPr>
          <w:rFonts w:ascii="Abadi" w:hAnsi="Abadi" w:cs="Calibri Light"/>
          <w:spacing w:val="-5"/>
          <w:sz w:val="21"/>
          <w:szCs w:val="21"/>
        </w:rPr>
        <w:t xml:space="preserve"> </w:t>
      </w:r>
      <w:r w:rsidRPr="001D43B8">
        <w:rPr>
          <w:rFonts w:ascii="Abadi" w:hAnsi="Abadi" w:cs="Calibri Light"/>
          <w:sz w:val="21"/>
          <w:szCs w:val="21"/>
        </w:rPr>
        <w:t>observar</w:t>
      </w:r>
      <w:r w:rsidRPr="001D43B8">
        <w:rPr>
          <w:rFonts w:ascii="Abadi" w:hAnsi="Abadi" w:cs="Calibri Light"/>
          <w:spacing w:val="-4"/>
          <w:sz w:val="21"/>
          <w:szCs w:val="21"/>
        </w:rPr>
        <w:t xml:space="preserve"> </w:t>
      </w:r>
      <w:r w:rsidRPr="001D43B8">
        <w:rPr>
          <w:rFonts w:ascii="Abadi" w:hAnsi="Abadi" w:cs="Calibri Light"/>
          <w:sz w:val="21"/>
          <w:szCs w:val="21"/>
        </w:rPr>
        <w:t>que</w:t>
      </w:r>
      <w:r w:rsidRPr="001D43B8">
        <w:rPr>
          <w:rFonts w:ascii="Abadi" w:hAnsi="Abadi" w:cs="Calibri Light"/>
          <w:spacing w:val="-3"/>
          <w:sz w:val="21"/>
          <w:szCs w:val="21"/>
        </w:rPr>
        <w:t xml:space="preserve"> </w:t>
      </w:r>
      <w:r w:rsidRPr="001D43B8">
        <w:rPr>
          <w:rFonts w:ascii="Abadi" w:hAnsi="Abadi" w:cs="Calibri Light"/>
          <w:sz w:val="21"/>
          <w:szCs w:val="21"/>
        </w:rPr>
        <w:t>Guanajuato triplica</w:t>
      </w:r>
      <w:r w:rsidRPr="001D43B8">
        <w:rPr>
          <w:rFonts w:ascii="Abadi" w:hAnsi="Abadi" w:cs="Calibri Light"/>
          <w:spacing w:val="51"/>
          <w:sz w:val="21"/>
          <w:szCs w:val="21"/>
        </w:rPr>
        <w:t xml:space="preserve"> </w:t>
      </w:r>
      <w:r w:rsidRPr="001D43B8">
        <w:rPr>
          <w:rFonts w:ascii="Abadi" w:hAnsi="Abadi" w:cs="Calibri Light"/>
          <w:sz w:val="21"/>
          <w:szCs w:val="21"/>
        </w:rPr>
        <w:t>en</w:t>
      </w:r>
      <w:r w:rsidRPr="001D43B8">
        <w:rPr>
          <w:rFonts w:ascii="Abadi" w:hAnsi="Abadi" w:cs="Calibri Light"/>
          <w:spacing w:val="51"/>
          <w:sz w:val="21"/>
          <w:szCs w:val="21"/>
        </w:rPr>
        <w:t xml:space="preserve"> </w:t>
      </w:r>
      <w:r w:rsidRPr="001D43B8">
        <w:rPr>
          <w:rFonts w:ascii="Abadi" w:hAnsi="Abadi" w:cs="Calibri Light"/>
          <w:sz w:val="21"/>
          <w:szCs w:val="21"/>
        </w:rPr>
        <w:t>número</w:t>
      </w:r>
      <w:r w:rsidRPr="001D43B8">
        <w:rPr>
          <w:rFonts w:ascii="Abadi" w:hAnsi="Abadi" w:cs="Calibri Light"/>
          <w:spacing w:val="49"/>
          <w:sz w:val="21"/>
          <w:szCs w:val="21"/>
        </w:rPr>
        <w:t xml:space="preserve"> </w:t>
      </w:r>
      <w:r w:rsidRPr="001D43B8">
        <w:rPr>
          <w:rFonts w:ascii="Abadi" w:hAnsi="Abadi" w:cs="Calibri Light"/>
          <w:sz w:val="21"/>
          <w:szCs w:val="21"/>
        </w:rPr>
        <w:t>de</w:t>
      </w:r>
      <w:r w:rsidRPr="001D43B8">
        <w:rPr>
          <w:rFonts w:ascii="Abadi" w:hAnsi="Abadi" w:cs="Calibri Light"/>
          <w:spacing w:val="50"/>
          <w:sz w:val="21"/>
          <w:szCs w:val="21"/>
        </w:rPr>
        <w:t xml:space="preserve"> </w:t>
      </w:r>
      <w:r w:rsidRPr="001D43B8">
        <w:rPr>
          <w:rFonts w:ascii="Abadi" w:hAnsi="Abadi" w:cs="Calibri Light"/>
          <w:sz w:val="21"/>
          <w:szCs w:val="21"/>
        </w:rPr>
        <w:t>presuntas</w:t>
      </w:r>
      <w:r w:rsidRPr="001D43B8">
        <w:rPr>
          <w:rFonts w:ascii="Abadi" w:hAnsi="Abadi" w:cs="Calibri Light"/>
          <w:spacing w:val="49"/>
          <w:sz w:val="21"/>
          <w:szCs w:val="21"/>
        </w:rPr>
        <w:t xml:space="preserve"> </w:t>
      </w:r>
      <w:r w:rsidRPr="001D43B8">
        <w:rPr>
          <w:rFonts w:ascii="Abadi" w:hAnsi="Abadi" w:cs="Calibri Light"/>
          <w:sz w:val="21"/>
          <w:szCs w:val="21"/>
        </w:rPr>
        <w:t>víctimas</w:t>
      </w:r>
      <w:r w:rsidRPr="001D43B8">
        <w:rPr>
          <w:rFonts w:ascii="Abadi" w:hAnsi="Abadi" w:cs="Calibri Light"/>
          <w:spacing w:val="52"/>
          <w:sz w:val="21"/>
          <w:szCs w:val="21"/>
        </w:rPr>
        <w:t xml:space="preserve"> </w:t>
      </w:r>
      <w:r w:rsidRPr="001D43B8">
        <w:rPr>
          <w:rFonts w:ascii="Abadi" w:hAnsi="Abadi" w:cs="Calibri Light"/>
          <w:sz w:val="21"/>
          <w:szCs w:val="21"/>
        </w:rPr>
        <w:t>mujeres</w:t>
      </w:r>
      <w:r w:rsidRPr="001D43B8">
        <w:rPr>
          <w:rFonts w:ascii="Abadi" w:hAnsi="Abadi" w:cs="Calibri Light"/>
          <w:spacing w:val="52"/>
          <w:sz w:val="21"/>
          <w:szCs w:val="21"/>
        </w:rPr>
        <w:t xml:space="preserve"> </w:t>
      </w:r>
      <w:r w:rsidRPr="001D43B8">
        <w:rPr>
          <w:rFonts w:ascii="Abadi" w:hAnsi="Abadi" w:cs="Calibri Light"/>
          <w:sz w:val="21"/>
          <w:szCs w:val="21"/>
        </w:rPr>
        <w:t>de</w:t>
      </w:r>
      <w:r w:rsidRPr="001D43B8">
        <w:rPr>
          <w:rFonts w:ascii="Abadi" w:hAnsi="Abadi" w:cs="Calibri Light"/>
          <w:spacing w:val="51"/>
          <w:sz w:val="21"/>
          <w:szCs w:val="21"/>
        </w:rPr>
        <w:t xml:space="preserve"> </w:t>
      </w:r>
      <w:r w:rsidRPr="001D43B8">
        <w:rPr>
          <w:rFonts w:ascii="Abadi" w:hAnsi="Abadi" w:cs="Calibri Light"/>
          <w:sz w:val="21"/>
          <w:szCs w:val="21"/>
        </w:rPr>
        <w:t>homicidios</w:t>
      </w:r>
      <w:r w:rsidRPr="001D43B8">
        <w:rPr>
          <w:rFonts w:ascii="Abadi" w:hAnsi="Abadi" w:cs="Calibri Light"/>
          <w:spacing w:val="53"/>
          <w:sz w:val="21"/>
          <w:szCs w:val="21"/>
        </w:rPr>
        <w:t xml:space="preserve"> </w:t>
      </w:r>
      <w:r w:rsidRPr="001D43B8">
        <w:rPr>
          <w:rFonts w:ascii="Abadi" w:hAnsi="Abadi" w:cs="Calibri Light"/>
          <w:sz w:val="21"/>
          <w:szCs w:val="21"/>
        </w:rPr>
        <w:t>dolosos</w:t>
      </w:r>
      <w:r w:rsidRPr="001D43B8">
        <w:rPr>
          <w:rFonts w:ascii="Abadi" w:hAnsi="Abadi" w:cs="Calibri Light"/>
          <w:spacing w:val="49"/>
          <w:sz w:val="21"/>
          <w:szCs w:val="21"/>
        </w:rPr>
        <w:t xml:space="preserve"> </w:t>
      </w:r>
      <w:r w:rsidRPr="001D43B8">
        <w:rPr>
          <w:rFonts w:ascii="Abadi" w:hAnsi="Abadi" w:cs="Calibri Light"/>
          <w:sz w:val="21"/>
          <w:szCs w:val="21"/>
        </w:rPr>
        <w:t>a</w:t>
      </w:r>
      <w:r w:rsidRPr="001D43B8">
        <w:rPr>
          <w:rFonts w:ascii="Abadi" w:hAnsi="Abadi" w:cs="Calibri Light"/>
          <w:spacing w:val="50"/>
          <w:sz w:val="21"/>
          <w:szCs w:val="21"/>
        </w:rPr>
        <w:t xml:space="preserve"> </w:t>
      </w:r>
      <w:r w:rsidRPr="001D43B8">
        <w:rPr>
          <w:rFonts w:ascii="Abadi" w:hAnsi="Abadi" w:cs="Calibri Light"/>
          <w:sz w:val="21"/>
          <w:szCs w:val="21"/>
        </w:rPr>
        <w:t>la Ciudad de</w:t>
      </w:r>
      <w:r w:rsidRPr="001D43B8">
        <w:rPr>
          <w:rFonts w:ascii="Abadi" w:hAnsi="Abadi" w:cs="Calibri Light"/>
          <w:spacing w:val="-1"/>
          <w:sz w:val="21"/>
          <w:szCs w:val="21"/>
        </w:rPr>
        <w:t xml:space="preserve"> </w:t>
      </w:r>
      <w:r w:rsidRPr="001D43B8">
        <w:rPr>
          <w:rFonts w:ascii="Abadi" w:hAnsi="Abadi" w:cs="Calibri Light"/>
          <w:sz w:val="21"/>
          <w:szCs w:val="21"/>
        </w:rPr>
        <w:t>México</w:t>
      </w:r>
      <w:r w:rsidRPr="001D43B8">
        <w:rPr>
          <w:rFonts w:ascii="Abadi" w:hAnsi="Abadi" w:cs="Calibri Light"/>
          <w:spacing w:val="1"/>
          <w:sz w:val="21"/>
          <w:szCs w:val="21"/>
        </w:rPr>
        <w:t xml:space="preserve"> </w:t>
      </w:r>
      <w:r w:rsidRPr="001D43B8">
        <w:rPr>
          <w:rFonts w:ascii="Abadi" w:hAnsi="Abadi" w:cs="Calibri Light"/>
          <w:sz w:val="21"/>
          <w:szCs w:val="21"/>
        </w:rPr>
        <w:t>con</w:t>
      </w:r>
      <w:r w:rsidRPr="001D43B8">
        <w:rPr>
          <w:rFonts w:ascii="Abadi" w:hAnsi="Abadi" w:cs="Calibri Light"/>
          <w:spacing w:val="-1"/>
          <w:sz w:val="21"/>
          <w:szCs w:val="21"/>
        </w:rPr>
        <w:t xml:space="preserve"> </w:t>
      </w:r>
      <w:r w:rsidRPr="001D43B8">
        <w:rPr>
          <w:rFonts w:ascii="Abadi" w:hAnsi="Abadi" w:cs="Calibri Light"/>
          <w:sz w:val="21"/>
          <w:szCs w:val="21"/>
        </w:rPr>
        <w:t>256</w:t>
      </w:r>
      <w:r w:rsidRPr="001D43B8">
        <w:rPr>
          <w:rFonts w:ascii="Abadi" w:hAnsi="Abadi" w:cs="Calibri Light"/>
          <w:spacing w:val="-1"/>
          <w:sz w:val="21"/>
          <w:szCs w:val="21"/>
        </w:rPr>
        <w:t xml:space="preserve"> </w:t>
      </w:r>
      <w:r w:rsidRPr="001D43B8">
        <w:rPr>
          <w:rFonts w:ascii="Abadi" w:hAnsi="Abadi" w:cs="Calibri Light"/>
          <w:sz w:val="21"/>
          <w:szCs w:val="21"/>
        </w:rPr>
        <w:t>casos.</w:t>
      </w:r>
    </w:p>
    <w:p w14:paraId="1BE3944F" w14:textId="5BD5E04A" w:rsidR="00AF040F" w:rsidRDefault="00AF040F" w:rsidP="00A44DEE">
      <w:pPr>
        <w:kinsoku w:val="0"/>
        <w:overflowPunct w:val="0"/>
        <w:autoSpaceDE w:val="0"/>
        <w:autoSpaceDN w:val="0"/>
        <w:adjustRightInd w:val="0"/>
        <w:spacing w:before="146"/>
        <w:ind w:left="39" w:right="117"/>
        <w:jc w:val="both"/>
        <w:rPr>
          <w:rFonts w:ascii="Abadi" w:hAnsi="Abadi" w:cs="Calibri Light"/>
          <w:sz w:val="21"/>
          <w:szCs w:val="21"/>
        </w:rPr>
      </w:pPr>
      <w:r w:rsidRPr="001D43B8">
        <w:rPr>
          <w:rFonts w:ascii="Abadi" w:hAnsi="Abadi" w:cs="Calibri Light"/>
          <w:sz w:val="21"/>
          <w:szCs w:val="21"/>
        </w:rPr>
        <w:t>Ante</w:t>
      </w:r>
      <w:r w:rsidRPr="001D43B8">
        <w:rPr>
          <w:rFonts w:ascii="Abadi" w:hAnsi="Abadi" w:cs="Calibri Light"/>
          <w:spacing w:val="-8"/>
          <w:sz w:val="21"/>
          <w:szCs w:val="21"/>
        </w:rPr>
        <w:t xml:space="preserve"> </w:t>
      </w:r>
      <w:r w:rsidRPr="001D43B8">
        <w:rPr>
          <w:rFonts w:ascii="Abadi" w:hAnsi="Abadi" w:cs="Calibri Light"/>
          <w:sz w:val="21"/>
          <w:szCs w:val="21"/>
        </w:rPr>
        <w:t>el</w:t>
      </w:r>
      <w:r w:rsidRPr="001D43B8">
        <w:rPr>
          <w:rFonts w:ascii="Abadi" w:hAnsi="Abadi" w:cs="Calibri Light"/>
          <w:spacing w:val="-12"/>
          <w:sz w:val="21"/>
          <w:szCs w:val="21"/>
        </w:rPr>
        <w:t xml:space="preserve"> </w:t>
      </w:r>
      <w:r w:rsidRPr="001D43B8">
        <w:rPr>
          <w:rFonts w:ascii="Abadi" w:hAnsi="Abadi" w:cs="Calibri Light"/>
          <w:sz w:val="21"/>
          <w:szCs w:val="21"/>
        </w:rPr>
        <w:t>panorama</w:t>
      </w:r>
      <w:r w:rsidRPr="001D43B8">
        <w:rPr>
          <w:rFonts w:ascii="Abadi" w:hAnsi="Abadi" w:cs="Calibri Light"/>
          <w:spacing w:val="-9"/>
          <w:sz w:val="21"/>
          <w:szCs w:val="21"/>
        </w:rPr>
        <w:t xml:space="preserve"> </w:t>
      </w:r>
      <w:r w:rsidRPr="001D43B8">
        <w:rPr>
          <w:rFonts w:ascii="Abadi" w:hAnsi="Abadi" w:cs="Calibri Light"/>
          <w:sz w:val="21"/>
          <w:szCs w:val="21"/>
        </w:rPr>
        <w:t>presentado</w:t>
      </w:r>
      <w:r w:rsidRPr="001D43B8">
        <w:rPr>
          <w:rFonts w:ascii="Abadi" w:hAnsi="Abadi" w:cs="Calibri Light"/>
          <w:spacing w:val="-10"/>
          <w:sz w:val="21"/>
          <w:szCs w:val="21"/>
        </w:rPr>
        <w:t xml:space="preserve"> </w:t>
      </w:r>
      <w:r w:rsidRPr="001D43B8">
        <w:rPr>
          <w:rFonts w:ascii="Abadi" w:hAnsi="Abadi" w:cs="Calibri Light"/>
          <w:sz w:val="21"/>
          <w:szCs w:val="21"/>
        </w:rPr>
        <w:t>sobre</w:t>
      </w:r>
      <w:r w:rsidRPr="001D43B8">
        <w:rPr>
          <w:rFonts w:ascii="Abadi" w:hAnsi="Abadi" w:cs="Calibri Light"/>
          <w:spacing w:val="-10"/>
          <w:sz w:val="21"/>
          <w:szCs w:val="21"/>
        </w:rPr>
        <w:t xml:space="preserve"> </w:t>
      </w:r>
      <w:r w:rsidRPr="001D43B8">
        <w:rPr>
          <w:rFonts w:ascii="Abadi" w:hAnsi="Abadi" w:cs="Calibri Light"/>
          <w:sz w:val="21"/>
          <w:szCs w:val="21"/>
        </w:rPr>
        <w:t>la</w:t>
      </w:r>
      <w:r w:rsidRPr="001D43B8">
        <w:rPr>
          <w:rFonts w:ascii="Abadi" w:hAnsi="Abadi" w:cs="Calibri Light"/>
          <w:spacing w:val="-10"/>
          <w:sz w:val="21"/>
          <w:szCs w:val="21"/>
        </w:rPr>
        <w:t xml:space="preserve"> </w:t>
      </w:r>
      <w:r w:rsidRPr="001D43B8">
        <w:rPr>
          <w:rFonts w:ascii="Abadi" w:hAnsi="Abadi" w:cs="Calibri Light"/>
          <w:sz w:val="21"/>
          <w:szCs w:val="21"/>
        </w:rPr>
        <w:t>situación</w:t>
      </w:r>
      <w:r w:rsidRPr="001D43B8">
        <w:rPr>
          <w:rFonts w:ascii="Abadi" w:hAnsi="Abadi" w:cs="Calibri Light"/>
          <w:spacing w:val="-10"/>
          <w:sz w:val="21"/>
          <w:szCs w:val="21"/>
        </w:rPr>
        <w:t xml:space="preserve"> </w:t>
      </w:r>
      <w:r w:rsidRPr="001D43B8">
        <w:rPr>
          <w:rFonts w:ascii="Abadi" w:hAnsi="Abadi" w:cs="Calibri Light"/>
          <w:sz w:val="21"/>
          <w:szCs w:val="21"/>
        </w:rPr>
        <w:t>de</w:t>
      </w:r>
      <w:r w:rsidRPr="001D43B8">
        <w:rPr>
          <w:rFonts w:ascii="Abadi" w:hAnsi="Abadi" w:cs="Calibri Light"/>
          <w:spacing w:val="-10"/>
          <w:sz w:val="21"/>
          <w:szCs w:val="21"/>
        </w:rPr>
        <w:t xml:space="preserve"> </w:t>
      </w:r>
      <w:r w:rsidRPr="001D43B8">
        <w:rPr>
          <w:rFonts w:ascii="Abadi" w:hAnsi="Abadi" w:cs="Calibri Light"/>
          <w:sz w:val="21"/>
          <w:szCs w:val="21"/>
        </w:rPr>
        <w:t>violencia</w:t>
      </w:r>
      <w:r w:rsidRPr="001D43B8">
        <w:rPr>
          <w:rFonts w:ascii="Abadi" w:hAnsi="Abadi" w:cs="Calibri Light"/>
          <w:spacing w:val="-11"/>
          <w:sz w:val="21"/>
          <w:szCs w:val="21"/>
        </w:rPr>
        <w:t xml:space="preserve"> </w:t>
      </w:r>
      <w:r w:rsidRPr="001D43B8">
        <w:rPr>
          <w:rFonts w:ascii="Abadi" w:hAnsi="Abadi" w:cs="Calibri Light"/>
          <w:sz w:val="21"/>
          <w:szCs w:val="21"/>
        </w:rPr>
        <w:t>que</w:t>
      </w:r>
      <w:r w:rsidRPr="001D43B8">
        <w:rPr>
          <w:rFonts w:ascii="Abadi" w:hAnsi="Abadi" w:cs="Calibri Light"/>
          <w:spacing w:val="-10"/>
          <w:sz w:val="21"/>
          <w:szCs w:val="21"/>
        </w:rPr>
        <w:t xml:space="preserve"> </w:t>
      </w:r>
      <w:r w:rsidRPr="001D43B8">
        <w:rPr>
          <w:rFonts w:ascii="Abadi" w:hAnsi="Abadi" w:cs="Calibri Light"/>
          <w:sz w:val="21"/>
          <w:szCs w:val="21"/>
        </w:rPr>
        <w:t>viven</w:t>
      </w:r>
      <w:r w:rsidRPr="001D43B8">
        <w:rPr>
          <w:rFonts w:ascii="Abadi" w:hAnsi="Abadi" w:cs="Calibri Light"/>
          <w:spacing w:val="-11"/>
          <w:sz w:val="21"/>
          <w:szCs w:val="21"/>
        </w:rPr>
        <w:t xml:space="preserve"> </w:t>
      </w:r>
      <w:r w:rsidRPr="001D43B8">
        <w:rPr>
          <w:rFonts w:ascii="Abadi" w:hAnsi="Abadi" w:cs="Calibri Light"/>
          <w:sz w:val="21"/>
          <w:szCs w:val="21"/>
        </w:rPr>
        <w:t>las</w:t>
      </w:r>
      <w:r w:rsidRPr="001D43B8">
        <w:rPr>
          <w:rFonts w:ascii="Abadi" w:hAnsi="Abadi" w:cs="Calibri Light"/>
          <w:spacing w:val="-8"/>
          <w:sz w:val="21"/>
          <w:szCs w:val="21"/>
        </w:rPr>
        <w:t xml:space="preserve"> </w:t>
      </w:r>
      <w:r w:rsidRPr="001D43B8">
        <w:rPr>
          <w:rFonts w:ascii="Abadi" w:hAnsi="Abadi" w:cs="Calibri Light"/>
          <w:sz w:val="21"/>
          <w:szCs w:val="21"/>
        </w:rPr>
        <w:t>mujeres en</w:t>
      </w:r>
      <w:r w:rsidRPr="001D43B8">
        <w:rPr>
          <w:rFonts w:ascii="Abadi" w:hAnsi="Abadi" w:cs="Calibri Light"/>
          <w:spacing w:val="24"/>
          <w:sz w:val="21"/>
          <w:szCs w:val="21"/>
        </w:rPr>
        <w:t xml:space="preserve"> </w:t>
      </w:r>
      <w:r w:rsidRPr="001D43B8">
        <w:rPr>
          <w:rFonts w:ascii="Abadi" w:hAnsi="Abadi" w:cs="Calibri Light"/>
          <w:sz w:val="21"/>
          <w:szCs w:val="21"/>
        </w:rPr>
        <w:t>el</w:t>
      </w:r>
      <w:r w:rsidRPr="001D43B8">
        <w:rPr>
          <w:rFonts w:ascii="Abadi" w:hAnsi="Abadi" w:cs="Calibri Light"/>
          <w:spacing w:val="23"/>
          <w:sz w:val="21"/>
          <w:szCs w:val="21"/>
        </w:rPr>
        <w:t xml:space="preserve"> </w:t>
      </w:r>
      <w:r w:rsidRPr="001D43B8">
        <w:rPr>
          <w:rFonts w:ascii="Abadi" w:hAnsi="Abadi" w:cs="Calibri Light"/>
          <w:sz w:val="21"/>
          <w:szCs w:val="21"/>
        </w:rPr>
        <w:t>Estado</w:t>
      </w:r>
      <w:r w:rsidRPr="001D43B8">
        <w:rPr>
          <w:rFonts w:ascii="Abadi" w:hAnsi="Abadi" w:cs="Calibri Light"/>
          <w:spacing w:val="23"/>
          <w:sz w:val="21"/>
          <w:szCs w:val="21"/>
        </w:rPr>
        <w:t xml:space="preserve"> </w:t>
      </w:r>
      <w:r w:rsidRPr="001D43B8">
        <w:rPr>
          <w:rFonts w:ascii="Abadi" w:hAnsi="Abadi" w:cs="Calibri Light"/>
          <w:sz w:val="21"/>
          <w:szCs w:val="21"/>
        </w:rPr>
        <w:t>de</w:t>
      </w:r>
      <w:r w:rsidRPr="001D43B8">
        <w:rPr>
          <w:rFonts w:ascii="Abadi" w:hAnsi="Abadi" w:cs="Calibri Light"/>
          <w:spacing w:val="23"/>
          <w:sz w:val="21"/>
          <w:szCs w:val="21"/>
        </w:rPr>
        <w:t xml:space="preserve"> </w:t>
      </w:r>
      <w:r w:rsidRPr="001D43B8">
        <w:rPr>
          <w:rFonts w:ascii="Abadi" w:hAnsi="Abadi" w:cs="Calibri Light"/>
          <w:sz w:val="21"/>
          <w:szCs w:val="21"/>
        </w:rPr>
        <w:t>Guanajuato,</w:t>
      </w:r>
      <w:r w:rsidRPr="001D43B8">
        <w:rPr>
          <w:rFonts w:ascii="Abadi" w:hAnsi="Abadi" w:cs="Calibri Light"/>
          <w:spacing w:val="25"/>
          <w:sz w:val="21"/>
          <w:szCs w:val="21"/>
        </w:rPr>
        <w:t xml:space="preserve"> </w:t>
      </w:r>
      <w:r w:rsidRPr="001D43B8">
        <w:rPr>
          <w:rFonts w:ascii="Abadi" w:hAnsi="Abadi" w:cs="Calibri Light"/>
          <w:sz w:val="21"/>
          <w:szCs w:val="21"/>
        </w:rPr>
        <w:t>así</w:t>
      </w:r>
      <w:r w:rsidRPr="001D43B8">
        <w:rPr>
          <w:rFonts w:ascii="Abadi" w:hAnsi="Abadi" w:cs="Calibri Light"/>
          <w:spacing w:val="23"/>
          <w:sz w:val="21"/>
          <w:szCs w:val="21"/>
        </w:rPr>
        <w:t xml:space="preserve"> </w:t>
      </w:r>
      <w:r w:rsidRPr="001D43B8">
        <w:rPr>
          <w:rFonts w:ascii="Abadi" w:hAnsi="Abadi" w:cs="Calibri Light"/>
          <w:sz w:val="21"/>
          <w:szCs w:val="21"/>
        </w:rPr>
        <w:t>como</w:t>
      </w:r>
      <w:r w:rsidRPr="001D43B8">
        <w:rPr>
          <w:rFonts w:ascii="Abadi" w:hAnsi="Abadi" w:cs="Calibri Light"/>
          <w:spacing w:val="25"/>
          <w:sz w:val="21"/>
          <w:szCs w:val="21"/>
        </w:rPr>
        <w:t xml:space="preserve"> </w:t>
      </w:r>
      <w:r w:rsidRPr="001D43B8">
        <w:rPr>
          <w:rFonts w:ascii="Abadi" w:hAnsi="Abadi" w:cs="Calibri Light"/>
          <w:sz w:val="21"/>
          <w:szCs w:val="21"/>
        </w:rPr>
        <w:t>el</w:t>
      </w:r>
      <w:r w:rsidRPr="001D43B8">
        <w:rPr>
          <w:rFonts w:ascii="Abadi" w:hAnsi="Abadi" w:cs="Calibri Light"/>
          <w:spacing w:val="25"/>
          <w:sz w:val="21"/>
          <w:szCs w:val="21"/>
        </w:rPr>
        <w:t xml:space="preserve"> </w:t>
      </w:r>
      <w:r w:rsidRPr="001D43B8">
        <w:rPr>
          <w:rFonts w:ascii="Abadi" w:hAnsi="Abadi" w:cs="Calibri Light"/>
          <w:sz w:val="21"/>
          <w:szCs w:val="21"/>
        </w:rPr>
        <w:t>retroceso</w:t>
      </w:r>
      <w:r w:rsidRPr="001D43B8">
        <w:rPr>
          <w:rFonts w:ascii="Abadi" w:hAnsi="Abadi" w:cs="Calibri Light"/>
          <w:spacing w:val="21"/>
          <w:sz w:val="21"/>
          <w:szCs w:val="21"/>
        </w:rPr>
        <w:t xml:space="preserve"> </w:t>
      </w:r>
      <w:r w:rsidRPr="001D43B8">
        <w:rPr>
          <w:rFonts w:ascii="Abadi" w:hAnsi="Abadi" w:cs="Calibri Light"/>
          <w:sz w:val="21"/>
          <w:szCs w:val="21"/>
        </w:rPr>
        <w:t>en</w:t>
      </w:r>
      <w:r w:rsidRPr="001D43B8">
        <w:rPr>
          <w:rFonts w:ascii="Abadi" w:hAnsi="Abadi" w:cs="Calibri Light"/>
          <w:spacing w:val="24"/>
          <w:sz w:val="21"/>
          <w:szCs w:val="21"/>
        </w:rPr>
        <w:t xml:space="preserve"> </w:t>
      </w:r>
      <w:r w:rsidRPr="001D43B8">
        <w:rPr>
          <w:rFonts w:ascii="Abadi" w:hAnsi="Abadi" w:cs="Calibri Light"/>
          <w:sz w:val="21"/>
          <w:szCs w:val="21"/>
        </w:rPr>
        <w:t>el</w:t>
      </w:r>
      <w:r w:rsidRPr="001D43B8">
        <w:rPr>
          <w:rFonts w:ascii="Abadi" w:hAnsi="Abadi" w:cs="Calibri Light"/>
          <w:spacing w:val="23"/>
          <w:sz w:val="21"/>
          <w:szCs w:val="21"/>
        </w:rPr>
        <w:t xml:space="preserve"> </w:t>
      </w:r>
      <w:r w:rsidRPr="001D43B8">
        <w:rPr>
          <w:rFonts w:ascii="Abadi" w:hAnsi="Abadi" w:cs="Calibri Light"/>
          <w:sz w:val="21"/>
          <w:szCs w:val="21"/>
        </w:rPr>
        <w:t>combate</w:t>
      </w:r>
      <w:r w:rsidRPr="001D43B8">
        <w:rPr>
          <w:rFonts w:ascii="Abadi" w:hAnsi="Abadi" w:cs="Calibri Light"/>
          <w:spacing w:val="25"/>
          <w:sz w:val="21"/>
          <w:szCs w:val="21"/>
        </w:rPr>
        <w:t xml:space="preserve"> </w:t>
      </w:r>
      <w:r w:rsidRPr="001D43B8">
        <w:rPr>
          <w:rFonts w:ascii="Abadi" w:hAnsi="Abadi" w:cs="Calibri Light"/>
          <w:sz w:val="21"/>
          <w:szCs w:val="21"/>
        </w:rPr>
        <w:t>a</w:t>
      </w:r>
      <w:r w:rsidRPr="001D43B8">
        <w:rPr>
          <w:rFonts w:ascii="Abadi" w:hAnsi="Abadi" w:cs="Calibri Light"/>
          <w:spacing w:val="25"/>
          <w:sz w:val="21"/>
          <w:szCs w:val="21"/>
        </w:rPr>
        <w:t xml:space="preserve"> </w:t>
      </w:r>
      <w:r w:rsidRPr="001D43B8">
        <w:rPr>
          <w:rFonts w:ascii="Abadi" w:hAnsi="Abadi" w:cs="Calibri Light"/>
          <w:sz w:val="21"/>
          <w:szCs w:val="21"/>
        </w:rPr>
        <w:t>la</w:t>
      </w:r>
      <w:r w:rsidRPr="001D43B8">
        <w:rPr>
          <w:rFonts w:ascii="Abadi" w:hAnsi="Abadi" w:cs="Calibri Light"/>
          <w:spacing w:val="23"/>
          <w:sz w:val="21"/>
          <w:szCs w:val="21"/>
        </w:rPr>
        <w:t xml:space="preserve"> </w:t>
      </w:r>
      <w:r w:rsidRPr="001D43B8">
        <w:rPr>
          <w:rFonts w:ascii="Abadi" w:hAnsi="Abadi" w:cs="Calibri Light"/>
          <w:sz w:val="21"/>
          <w:szCs w:val="21"/>
        </w:rPr>
        <w:t>violencia histórica</w:t>
      </w:r>
      <w:r w:rsidRPr="001D43B8">
        <w:rPr>
          <w:rFonts w:ascii="Abadi" w:hAnsi="Abadi" w:cs="Calibri Light"/>
          <w:spacing w:val="-16"/>
          <w:sz w:val="21"/>
          <w:szCs w:val="21"/>
        </w:rPr>
        <w:t xml:space="preserve"> </w:t>
      </w:r>
      <w:r w:rsidRPr="001D43B8">
        <w:rPr>
          <w:rFonts w:ascii="Abadi" w:hAnsi="Abadi" w:cs="Calibri Light"/>
          <w:sz w:val="21"/>
          <w:szCs w:val="21"/>
        </w:rPr>
        <w:t>contra</w:t>
      </w:r>
      <w:r w:rsidRPr="001D43B8">
        <w:rPr>
          <w:rFonts w:ascii="Abadi" w:hAnsi="Abadi" w:cs="Calibri Light"/>
          <w:spacing w:val="-14"/>
          <w:sz w:val="21"/>
          <w:szCs w:val="21"/>
        </w:rPr>
        <w:t xml:space="preserve"> </w:t>
      </w:r>
      <w:r w:rsidRPr="001D43B8">
        <w:rPr>
          <w:rFonts w:ascii="Abadi" w:hAnsi="Abadi" w:cs="Calibri Light"/>
          <w:sz w:val="21"/>
          <w:szCs w:val="21"/>
        </w:rPr>
        <w:t>las</w:t>
      </w:r>
      <w:r w:rsidRPr="001D43B8">
        <w:rPr>
          <w:rFonts w:ascii="Abadi" w:hAnsi="Abadi" w:cs="Calibri Light"/>
          <w:spacing w:val="-13"/>
          <w:sz w:val="21"/>
          <w:szCs w:val="21"/>
        </w:rPr>
        <w:t xml:space="preserve"> </w:t>
      </w:r>
      <w:r w:rsidRPr="001D43B8">
        <w:rPr>
          <w:rFonts w:ascii="Abadi" w:hAnsi="Abadi" w:cs="Calibri Light"/>
          <w:sz w:val="21"/>
          <w:szCs w:val="21"/>
        </w:rPr>
        <w:t>mujeres,</w:t>
      </w:r>
      <w:r w:rsidRPr="001D43B8">
        <w:rPr>
          <w:rFonts w:ascii="Abadi" w:hAnsi="Abadi" w:cs="Calibri Light"/>
          <w:spacing w:val="-15"/>
          <w:sz w:val="21"/>
          <w:szCs w:val="21"/>
        </w:rPr>
        <w:t xml:space="preserve"> </w:t>
      </w:r>
      <w:r w:rsidRPr="001D43B8">
        <w:rPr>
          <w:rFonts w:ascii="Abadi" w:hAnsi="Abadi" w:cs="Calibri Light"/>
          <w:sz w:val="21"/>
          <w:szCs w:val="21"/>
        </w:rPr>
        <w:t>también</w:t>
      </w:r>
      <w:r w:rsidRPr="001D43B8">
        <w:rPr>
          <w:rFonts w:ascii="Abadi" w:hAnsi="Abadi" w:cs="Calibri Light"/>
          <w:spacing w:val="-13"/>
          <w:sz w:val="21"/>
          <w:szCs w:val="21"/>
        </w:rPr>
        <w:t xml:space="preserve"> </w:t>
      </w:r>
      <w:r w:rsidRPr="001D43B8">
        <w:rPr>
          <w:rFonts w:ascii="Abadi" w:hAnsi="Abadi" w:cs="Calibri Light"/>
          <w:sz w:val="21"/>
          <w:szCs w:val="21"/>
        </w:rPr>
        <w:t>consideramos</w:t>
      </w:r>
      <w:r w:rsidRPr="001D43B8">
        <w:rPr>
          <w:rFonts w:ascii="Abadi" w:hAnsi="Abadi" w:cs="Calibri Light"/>
          <w:spacing w:val="-13"/>
          <w:sz w:val="21"/>
          <w:szCs w:val="21"/>
        </w:rPr>
        <w:t xml:space="preserve"> </w:t>
      </w:r>
      <w:r w:rsidRPr="001D43B8">
        <w:rPr>
          <w:rFonts w:ascii="Abadi" w:hAnsi="Abadi" w:cs="Calibri Light"/>
          <w:sz w:val="21"/>
          <w:szCs w:val="21"/>
        </w:rPr>
        <w:t>necesario</w:t>
      </w:r>
      <w:r w:rsidRPr="001D43B8">
        <w:rPr>
          <w:rFonts w:ascii="Abadi" w:hAnsi="Abadi" w:cs="Calibri Light"/>
          <w:spacing w:val="-13"/>
          <w:sz w:val="21"/>
          <w:szCs w:val="21"/>
        </w:rPr>
        <w:t xml:space="preserve"> </w:t>
      </w:r>
      <w:r w:rsidRPr="001D43B8">
        <w:rPr>
          <w:rFonts w:ascii="Abadi" w:hAnsi="Abadi" w:cs="Calibri Light"/>
          <w:sz w:val="21"/>
          <w:szCs w:val="21"/>
        </w:rPr>
        <w:t>reorientar</w:t>
      </w:r>
      <w:r w:rsidRPr="001D43B8">
        <w:rPr>
          <w:rFonts w:ascii="Abadi" w:hAnsi="Abadi" w:cs="Calibri Light"/>
          <w:spacing w:val="-13"/>
          <w:sz w:val="21"/>
          <w:szCs w:val="21"/>
        </w:rPr>
        <w:t xml:space="preserve"> </w:t>
      </w:r>
      <w:r w:rsidRPr="001D43B8">
        <w:rPr>
          <w:rFonts w:ascii="Abadi" w:hAnsi="Abadi" w:cs="Calibri Light"/>
          <w:sz w:val="21"/>
          <w:szCs w:val="21"/>
        </w:rPr>
        <w:t>el</w:t>
      </w:r>
      <w:r w:rsidRPr="001D43B8">
        <w:rPr>
          <w:rFonts w:ascii="Abadi" w:hAnsi="Abadi" w:cs="Calibri Light"/>
          <w:spacing w:val="-11"/>
          <w:sz w:val="21"/>
          <w:szCs w:val="21"/>
        </w:rPr>
        <w:t xml:space="preserve"> </w:t>
      </w:r>
      <w:r w:rsidRPr="001D43B8">
        <w:rPr>
          <w:rFonts w:ascii="Abadi" w:hAnsi="Abadi" w:cs="Calibri Light"/>
          <w:sz w:val="21"/>
          <w:szCs w:val="21"/>
        </w:rPr>
        <w:t>trabajo que</w:t>
      </w:r>
      <w:r w:rsidRPr="001D43B8">
        <w:rPr>
          <w:rFonts w:ascii="Abadi" w:hAnsi="Abadi" w:cs="Calibri Light"/>
          <w:spacing w:val="1"/>
          <w:sz w:val="21"/>
          <w:szCs w:val="21"/>
        </w:rPr>
        <w:t xml:space="preserve"> </w:t>
      </w:r>
      <w:r w:rsidRPr="001D43B8">
        <w:rPr>
          <w:rFonts w:ascii="Abadi" w:hAnsi="Abadi" w:cs="Calibri Light"/>
          <w:sz w:val="21"/>
          <w:szCs w:val="21"/>
        </w:rPr>
        <w:t>el</w:t>
      </w:r>
      <w:r w:rsidRPr="001D43B8">
        <w:rPr>
          <w:rFonts w:ascii="Abadi" w:hAnsi="Abadi" w:cs="Calibri Light"/>
          <w:spacing w:val="3"/>
          <w:sz w:val="21"/>
          <w:szCs w:val="21"/>
        </w:rPr>
        <w:t xml:space="preserve"> </w:t>
      </w:r>
      <w:r w:rsidRPr="001D43B8">
        <w:rPr>
          <w:rFonts w:ascii="Abadi" w:hAnsi="Abadi" w:cs="Calibri Light"/>
          <w:sz w:val="21"/>
          <w:szCs w:val="21"/>
        </w:rPr>
        <w:t>Gobierno</w:t>
      </w:r>
      <w:r w:rsidRPr="001D43B8">
        <w:rPr>
          <w:rFonts w:ascii="Abadi" w:hAnsi="Abadi" w:cs="Calibri Light"/>
          <w:spacing w:val="2"/>
          <w:sz w:val="21"/>
          <w:szCs w:val="21"/>
        </w:rPr>
        <w:t xml:space="preserve"> </w:t>
      </w:r>
      <w:r w:rsidRPr="001D43B8">
        <w:rPr>
          <w:rFonts w:ascii="Abadi" w:hAnsi="Abadi" w:cs="Calibri Light"/>
          <w:sz w:val="21"/>
          <w:szCs w:val="21"/>
        </w:rPr>
        <w:t>del</w:t>
      </w:r>
      <w:r w:rsidRPr="001D43B8">
        <w:rPr>
          <w:rFonts w:ascii="Abadi" w:hAnsi="Abadi" w:cs="Calibri Light"/>
          <w:spacing w:val="3"/>
          <w:sz w:val="21"/>
          <w:szCs w:val="21"/>
        </w:rPr>
        <w:t xml:space="preserve"> </w:t>
      </w:r>
      <w:r w:rsidRPr="001D43B8">
        <w:rPr>
          <w:rFonts w:ascii="Abadi" w:hAnsi="Abadi" w:cs="Calibri Light"/>
          <w:sz w:val="21"/>
          <w:szCs w:val="21"/>
        </w:rPr>
        <w:t>Estado</w:t>
      </w:r>
      <w:r w:rsidRPr="001D43B8">
        <w:rPr>
          <w:rFonts w:ascii="Abadi" w:hAnsi="Abadi" w:cs="Calibri Light"/>
          <w:spacing w:val="2"/>
          <w:sz w:val="21"/>
          <w:szCs w:val="21"/>
        </w:rPr>
        <w:t xml:space="preserve"> </w:t>
      </w:r>
      <w:r w:rsidRPr="001D43B8">
        <w:rPr>
          <w:rFonts w:ascii="Abadi" w:hAnsi="Abadi" w:cs="Calibri Light"/>
          <w:sz w:val="21"/>
          <w:szCs w:val="21"/>
        </w:rPr>
        <w:t>de</w:t>
      </w:r>
      <w:r w:rsidRPr="001D43B8">
        <w:rPr>
          <w:rFonts w:ascii="Abadi" w:hAnsi="Abadi" w:cs="Calibri Light"/>
          <w:spacing w:val="2"/>
          <w:sz w:val="21"/>
          <w:szCs w:val="21"/>
        </w:rPr>
        <w:t xml:space="preserve"> </w:t>
      </w:r>
      <w:r w:rsidRPr="001D43B8">
        <w:rPr>
          <w:rFonts w:ascii="Abadi" w:hAnsi="Abadi" w:cs="Calibri Light"/>
          <w:sz w:val="21"/>
          <w:szCs w:val="21"/>
        </w:rPr>
        <w:t>Guanajuato</w:t>
      </w:r>
      <w:r w:rsidRPr="001D43B8">
        <w:rPr>
          <w:rFonts w:ascii="Abadi" w:hAnsi="Abadi" w:cs="Calibri Light"/>
          <w:spacing w:val="4"/>
          <w:sz w:val="21"/>
          <w:szCs w:val="21"/>
        </w:rPr>
        <w:t xml:space="preserve"> </w:t>
      </w:r>
      <w:r w:rsidRPr="001D43B8">
        <w:rPr>
          <w:rFonts w:ascii="Abadi" w:hAnsi="Abadi" w:cs="Calibri Light"/>
          <w:sz w:val="21"/>
          <w:szCs w:val="21"/>
        </w:rPr>
        <w:t>está</w:t>
      </w:r>
      <w:r w:rsidRPr="001D43B8">
        <w:rPr>
          <w:rFonts w:ascii="Abadi" w:hAnsi="Abadi" w:cs="Calibri Light"/>
          <w:spacing w:val="1"/>
          <w:sz w:val="21"/>
          <w:szCs w:val="21"/>
        </w:rPr>
        <w:t xml:space="preserve"> </w:t>
      </w:r>
      <w:r w:rsidRPr="001D43B8">
        <w:rPr>
          <w:rFonts w:ascii="Abadi" w:hAnsi="Abadi" w:cs="Calibri Light"/>
          <w:sz w:val="21"/>
          <w:szCs w:val="21"/>
        </w:rPr>
        <w:t>desempeñando</w:t>
      </w:r>
      <w:r w:rsidRPr="001D43B8">
        <w:rPr>
          <w:rFonts w:ascii="Abadi" w:hAnsi="Abadi" w:cs="Calibri Light"/>
          <w:spacing w:val="2"/>
          <w:sz w:val="21"/>
          <w:szCs w:val="21"/>
        </w:rPr>
        <w:t xml:space="preserve"> </w:t>
      </w:r>
      <w:r w:rsidRPr="001D43B8">
        <w:rPr>
          <w:rFonts w:ascii="Abadi" w:hAnsi="Abadi" w:cs="Calibri Light"/>
          <w:sz w:val="21"/>
          <w:szCs w:val="21"/>
        </w:rPr>
        <w:t>en</w:t>
      </w:r>
      <w:r w:rsidRPr="001D43B8">
        <w:rPr>
          <w:rFonts w:ascii="Abadi" w:hAnsi="Abadi" w:cs="Calibri Light"/>
          <w:spacing w:val="2"/>
          <w:sz w:val="21"/>
          <w:szCs w:val="21"/>
        </w:rPr>
        <w:t xml:space="preserve"> </w:t>
      </w:r>
      <w:r w:rsidRPr="001D43B8">
        <w:rPr>
          <w:rFonts w:ascii="Abadi" w:hAnsi="Abadi" w:cs="Calibri Light"/>
          <w:sz w:val="21"/>
          <w:szCs w:val="21"/>
        </w:rPr>
        <w:t>la</w:t>
      </w:r>
      <w:r w:rsidRPr="001D43B8">
        <w:rPr>
          <w:rFonts w:ascii="Abadi" w:hAnsi="Abadi" w:cs="Calibri Light"/>
          <w:spacing w:val="4"/>
          <w:sz w:val="21"/>
          <w:szCs w:val="21"/>
        </w:rPr>
        <w:t xml:space="preserve"> </w:t>
      </w:r>
      <w:r w:rsidRPr="001D43B8">
        <w:rPr>
          <w:rFonts w:ascii="Abadi" w:hAnsi="Abadi" w:cs="Calibri Light"/>
          <w:sz w:val="21"/>
          <w:szCs w:val="21"/>
        </w:rPr>
        <w:t>materia</w:t>
      </w:r>
      <w:r w:rsidRPr="001D43B8">
        <w:rPr>
          <w:rFonts w:ascii="Abadi" w:hAnsi="Abadi" w:cs="Calibri Light"/>
          <w:spacing w:val="13"/>
          <w:sz w:val="21"/>
          <w:szCs w:val="21"/>
        </w:rPr>
        <w:t xml:space="preserve"> </w:t>
      </w:r>
      <w:r w:rsidRPr="001D43B8">
        <w:rPr>
          <w:rFonts w:ascii="Abadi" w:hAnsi="Abadi" w:cs="Calibri Light"/>
          <w:sz w:val="21"/>
          <w:szCs w:val="21"/>
        </w:rPr>
        <w:t>con</w:t>
      </w:r>
      <w:r w:rsidRPr="001D43B8">
        <w:rPr>
          <w:rFonts w:ascii="Abadi" w:hAnsi="Abadi" w:cs="Calibri Light"/>
          <w:spacing w:val="-2"/>
          <w:sz w:val="21"/>
          <w:szCs w:val="21"/>
        </w:rPr>
        <w:t xml:space="preserve"> </w:t>
      </w:r>
      <w:r w:rsidRPr="001D43B8">
        <w:rPr>
          <w:rFonts w:ascii="Abadi" w:hAnsi="Abadi" w:cs="Calibri Light"/>
          <w:sz w:val="21"/>
          <w:szCs w:val="21"/>
        </w:rPr>
        <w:t>base en evidencia</w:t>
      </w:r>
      <w:r w:rsidRPr="001D43B8">
        <w:rPr>
          <w:rFonts w:ascii="Abadi" w:hAnsi="Abadi" w:cs="Calibri Light"/>
          <w:spacing w:val="1"/>
          <w:sz w:val="21"/>
          <w:szCs w:val="21"/>
        </w:rPr>
        <w:t xml:space="preserve"> </w:t>
      </w:r>
      <w:r w:rsidRPr="001D43B8">
        <w:rPr>
          <w:rFonts w:ascii="Abadi" w:hAnsi="Abadi" w:cs="Calibri Light"/>
          <w:sz w:val="21"/>
          <w:szCs w:val="21"/>
        </w:rPr>
        <w:t>e</w:t>
      </w:r>
      <w:r w:rsidRPr="001D43B8">
        <w:rPr>
          <w:rFonts w:ascii="Abadi" w:hAnsi="Abadi" w:cs="Calibri Light"/>
          <w:spacing w:val="-3"/>
          <w:sz w:val="21"/>
          <w:szCs w:val="21"/>
        </w:rPr>
        <w:t xml:space="preserve"> </w:t>
      </w:r>
      <w:r w:rsidRPr="001D43B8">
        <w:rPr>
          <w:rFonts w:ascii="Abadi" w:hAnsi="Abadi" w:cs="Calibri Light"/>
          <w:sz w:val="21"/>
          <w:szCs w:val="21"/>
        </w:rPr>
        <w:t>incorporando</w:t>
      </w:r>
      <w:r w:rsidRPr="001D43B8">
        <w:rPr>
          <w:rFonts w:ascii="Abadi" w:hAnsi="Abadi" w:cs="Calibri Light"/>
          <w:spacing w:val="-1"/>
          <w:sz w:val="21"/>
          <w:szCs w:val="21"/>
        </w:rPr>
        <w:t xml:space="preserve"> </w:t>
      </w:r>
      <w:r w:rsidRPr="001D43B8">
        <w:rPr>
          <w:rFonts w:ascii="Abadi" w:hAnsi="Abadi" w:cs="Calibri Light"/>
          <w:sz w:val="21"/>
          <w:szCs w:val="21"/>
        </w:rPr>
        <w:t>las</w:t>
      </w:r>
      <w:r w:rsidRPr="001D43B8">
        <w:rPr>
          <w:rFonts w:ascii="Abadi" w:hAnsi="Abadi" w:cs="Calibri Light"/>
          <w:spacing w:val="1"/>
          <w:sz w:val="21"/>
          <w:szCs w:val="21"/>
        </w:rPr>
        <w:t xml:space="preserve"> </w:t>
      </w:r>
      <w:r w:rsidRPr="001D43B8">
        <w:rPr>
          <w:rFonts w:ascii="Abadi" w:hAnsi="Abadi" w:cs="Calibri Light"/>
          <w:sz w:val="21"/>
          <w:szCs w:val="21"/>
        </w:rPr>
        <w:t>mejores</w:t>
      </w:r>
      <w:r w:rsidRPr="001D43B8">
        <w:rPr>
          <w:rFonts w:ascii="Abadi" w:hAnsi="Abadi" w:cs="Calibri Light"/>
          <w:spacing w:val="3"/>
          <w:sz w:val="21"/>
          <w:szCs w:val="21"/>
        </w:rPr>
        <w:t xml:space="preserve"> </w:t>
      </w:r>
      <w:r w:rsidRPr="001D43B8">
        <w:rPr>
          <w:rFonts w:ascii="Abadi" w:hAnsi="Abadi" w:cs="Calibri Light"/>
          <w:sz w:val="21"/>
          <w:szCs w:val="21"/>
        </w:rPr>
        <w:t>prácticas.</w:t>
      </w:r>
    </w:p>
    <w:p w14:paraId="370A5DFC" w14:textId="77777777" w:rsidR="00EC2317" w:rsidRPr="001D43B8" w:rsidRDefault="00EC2317" w:rsidP="00A44DEE">
      <w:pPr>
        <w:kinsoku w:val="0"/>
        <w:overflowPunct w:val="0"/>
        <w:autoSpaceDE w:val="0"/>
        <w:autoSpaceDN w:val="0"/>
        <w:adjustRightInd w:val="0"/>
        <w:spacing w:before="146"/>
        <w:ind w:left="39" w:right="117"/>
        <w:jc w:val="both"/>
        <w:rPr>
          <w:rFonts w:ascii="Abadi" w:hAnsi="Abadi" w:cs="Calibri Light"/>
          <w:sz w:val="21"/>
          <w:szCs w:val="21"/>
        </w:rPr>
      </w:pPr>
    </w:p>
    <w:p w14:paraId="04BD6CAD" w14:textId="77777777" w:rsidR="00AF040F" w:rsidRPr="001D43B8" w:rsidRDefault="00AF040F" w:rsidP="00A44DEE">
      <w:pPr>
        <w:kinsoku w:val="0"/>
        <w:overflowPunct w:val="0"/>
        <w:autoSpaceDE w:val="0"/>
        <w:autoSpaceDN w:val="0"/>
        <w:adjustRightInd w:val="0"/>
        <w:ind w:left="39"/>
        <w:jc w:val="both"/>
        <w:rPr>
          <w:rFonts w:ascii="Abadi" w:hAnsi="Abadi" w:cs="Calibri Light"/>
          <w:sz w:val="21"/>
          <w:szCs w:val="21"/>
        </w:rPr>
      </w:pPr>
      <w:r w:rsidRPr="001D43B8">
        <w:rPr>
          <w:rFonts w:ascii="Abadi" w:hAnsi="Abadi" w:cs="Calibri Light"/>
          <w:sz w:val="21"/>
          <w:szCs w:val="21"/>
        </w:rPr>
        <w:t>La</w:t>
      </w:r>
      <w:r w:rsidRPr="001D43B8">
        <w:rPr>
          <w:rFonts w:ascii="Abadi" w:hAnsi="Abadi" w:cs="Calibri Light"/>
          <w:spacing w:val="-2"/>
          <w:sz w:val="21"/>
          <w:szCs w:val="21"/>
        </w:rPr>
        <w:t xml:space="preserve"> </w:t>
      </w:r>
      <w:r w:rsidRPr="001D43B8">
        <w:rPr>
          <w:rFonts w:ascii="Abadi" w:hAnsi="Abadi" w:cs="Calibri Light"/>
          <w:sz w:val="21"/>
          <w:szCs w:val="21"/>
        </w:rPr>
        <w:t>deuda histórica</w:t>
      </w:r>
      <w:r w:rsidRPr="001D43B8">
        <w:rPr>
          <w:rFonts w:ascii="Abadi" w:hAnsi="Abadi" w:cs="Calibri Light"/>
          <w:spacing w:val="1"/>
          <w:sz w:val="21"/>
          <w:szCs w:val="21"/>
        </w:rPr>
        <w:t xml:space="preserve"> </w:t>
      </w:r>
      <w:r w:rsidRPr="001D43B8">
        <w:rPr>
          <w:rFonts w:ascii="Abadi" w:hAnsi="Abadi" w:cs="Calibri Light"/>
          <w:sz w:val="21"/>
          <w:szCs w:val="21"/>
        </w:rPr>
        <w:t>contra</w:t>
      </w:r>
      <w:r w:rsidRPr="001D43B8">
        <w:rPr>
          <w:rFonts w:ascii="Abadi" w:hAnsi="Abadi" w:cs="Calibri Light"/>
          <w:spacing w:val="-2"/>
          <w:sz w:val="21"/>
          <w:szCs w:val="21"/>
        </w:rPr>
        <w:t xml:space="preserve"> </w:t>
      </w:r>
      <w:r w:rsidRPr="001D43B8">
        <w:rPr>
          <w:rFonts w:ascii="Abadi" w:hAnsi="Abadi" w:cs="Calibri Light"/>
          <w:sz w:val="21"/>
          <w:szCs w:val="21"/>
        </w:rPr>
        <w:t>las</w:t>
      </w:r>
      <w:r w:rsidRPr="001D43B8">
        <w:rPr>
          <w:rFonts w:ascii="Abadi" w:hAnsi="Abadi" w:cs="Calibri Light"/>
          <w:spacing w:val="1"/>
          <w:sz w:val="21"/>
          <w:szCs w:val="21"/>
        </w:rPr>
        <w:t xml:space="preserve"> </w:t>
      </w:r>
      <w:r w:rsidRPr="001D43B8">
        <w:rPr>
          <w:rFonts w:ascii="Abadi" w:hAnsi="Abadi" w:cs="Calibri Light"/>
          <w:sz w:val="21"/>
          <w:szCs w:val="21"/>
        </w:rPr>
        <w:t>mujeres</w:t>
      </w:r>
      <w:r w:rsidRPr="001D43B8">
        <w:rPr>
          <w:rFonts w:ascii="Abadi" w:hAnsi="Abadi" w:cs="Calibri Light"/>
          <w:spacing w:val="1"/>
          <w:sz w:val="21"/>
          <w:szCs w:val="21"/>
        </w:rPr>
        <w:t xml:space="preserve"> </w:t>
      </w:r>
      <w:r w:rsidRPr="001D43B8">
        <w:rPr>
          <w:rFonts w:ascii="Abadi" w:hAnsi="Abadi" w:cs="Calibri Light"/>
          <w:sz w:val="21"/>
          <w:szCs w:val="21"/>
        </w:rPr>
        <w:t>sigue</w:t>
      </w:r>
      <w:r w:rsidRPr="001D43B8">
        <w:rPr>
          <w:rFonts w:ascii="Abadi" w:hAnsi="Abadi" w:cs="Calibri Light"/>
          <w:spacing w:val="-1"/>
          <w:sz w:val="21"/>
          <w:szCs w:val="21"/>
        </w:rPr>
        <w:t xml:space="preserve"> </w:t>
      </w:r>
      <w:r w:rsidRPr="001D43B8">
        <w:rPr>
          <w:rFonts w:ascii="Abadi" w:hAnsi="Abadi" w:cs="Calibri Light"/>
          <w:sz w:val="21"/>
          <w:szCs w:val="21"/>
        </w:rPr>
        <w:t>vigente.</w:t>
      </w:r>
    </w:p>
    <w:p w14:paraId="71FED162" w14:textId="77777777" w:rsidR="00AF040F" w:rsidRPr="001D43B8" w:rsidRDefault="00AF040F" w:rsidP="00A44DEE">
      <w:pPr>
        <w:pStyle w:val="Textoindependiente"/>
        <w:kinsoku w:val="0"/>
        <w:overflowPunct w:val="0"/>
        <w:rPr>
          <w:rFonts w:ascii="Abadi" w:hAnsi="Abadi"/>
          <w:sz w:val="21"/>
          <w:szCs w:val="21"/>
        </w:rPr>
      </w:pPr>
    </w:p>
    <w:p w14:paraId="57B380B4" w14:textId="77777777" w:rsidR="00AF040F" w:rsidRPr="00961415" w:rsidRDefault="00AF040F" w:rsidP="00A44DEE">
      <w:pPr>
        <w:pStyle w:val="Textoindependiente"/>
        <w:kinsoku w:val="0"/>
        <w:overflowPunct w:val="0"/>
        <w:rPr>
          <w:rFonts w:ascii="Abadi" w:hAnsi="Abadi"/>
          <w:b w:val="0"/>
          <w:bCs w:val="0"/>
          <w:sz w:val="21"/>
          <w:szCs w:val="21"/>
        </w:rPr>
      </w:pPr>
      <w:r w:rsidRPr="00961415">
        <w:rPr>
          <w:rFonts w:ascii="Abadi" w:hAnsi="Abadi"/>
          <w:b w:val="0"/>
          <w:bCs w:val="0"/>
          <w:sz w:val="21"/>
          <w:szCs w:val="21"/>
        </w:rPr>
        <w:t>Por</w:t>
      </w:r>
      <w:r w:rsidRPr="00961415">
        <w:rPr>
          <w:rFonts w:ascii="Abadi" w:hAnsi="Abadi"/>
          <w:b w:val="0"/>
          <w:bCs w:val="0"/>
          <w:spacing w:val="54"/>
          <w:sz w:val="21"/>
          <w:szCs w:val="21"/>
        </w:rPr>
        <w:t xml:space="preserve"> </w:t>
      </w:r>
      <w:r w:rsidRPr="00961415">
        <w:rPr>
          <w:rFonts w:ascii="Abadi" w:hAnsi="Abadi"/>
          <w:b w:val="0"/>
          <w:bCs w:val="0"/>
          <w:sz w:val="21"/>
          <w:szCs w:val="21"/>
        </w:rPr>
        <w:t>lo</w:t>
      </w:r>
      <w:r w:rsidRPr="00961415">
        <w:rPr>
          <w:rFonts w:ascii="Abadi" w:hAnsi="Abadi"/>
          <w:b w:val="0"/>
          <w:bCs w:val="0"/>
          <w:spacing w:val="55"/>
          <w:sz w:val="21"/>
          <w:szCs w:val="21"/>
        </w:rPr>
        <w:t xml:space="preserve"> </w:t>
      </w:r>
      <w:r w:rsidRPr="00961415">
        <w:rPr>
          <w:rFonts w:ascii="Abadi" w:hAnsi="Abadi"/>
          <w:b w:val="0"/>
          <w:bCs w:val="0"/>
          <w:sz w:val="21"/>
          <w:szCs w:val="21"/>
        </w:rPr>
        <w:t>anteriormente</w:t>
      </w:r>
      <w:r w:rsidRPr="00961415">
        <w:rPr>
          <w:rFonts w:ascii="Abadi" w:hAnsi="Abadi"/>
          <w:b w:val="0"/>
          <w:bCs w:val="0"/>
          <w:spacing w:val="58"/>
          <w:sz w:val="21"/>
          <w:szCs w:val="21"/>
        </w:rPr>
        <w:t xml:space="preserve"> </w:t>
      </w:r>
      <w:r w:rsidRPr="00961415">
        <w:rPr>
          <w:rFonts w:ascii="Abadi" w:hAnsi="Abadi"/>
          <w:b w:val="0"/>
          <w:bCs w:val="0"/>
          <w:sz w:val="21"/>
          <w:szCs w:val="21"/>
        </w:rPr>
        <w:t>expuesto,</w:t>
      </w:r>
      <w:r w:rsidRPr="00961415">
        <w:rPr>
          <w:rFonts w:ascii="Abadi" w:hAnsi="Abadi"/>
          <w:b w:val="0"/>
          <w:bCs w:val="0"/>
          <w:spacing w:val="56"/>
          <w:sz w:val="21"/>
          <w:szCs w:val="21"/>
        </w:rPr>
        <w:t xml:space="preserve"> </w:t>
      </w:r>
      <w:r w:rsidRPr="00961415">
        <w:rPr>
          <w:rFonts w:ascii="Abadi" w:hAnsi="Abadi"/>
          <w:b w:val="0"/>
          <w:bCs w:val="0"/>
          <w:sz w:val="21"/>
          <w:szCs w:val="21"/>
        </w:rPr>
        <w:t>someto</w:t>
      </w:r>
      <w:r w:rsidRPr="00961415">
        <w:rPr>
          <w:rFonts w:ascii="Abadi" w:hAnsi="Abadi"/>
          <w:b w:val="0"/>
          <w:bCs w:val="0"/>
          <w:spacing w:val="56"/>
          <w:sz w:val="21"/>
          <w:szCs w:val="21"/>
        </w:rPr>
        <w:t xml:space="preserve"> </w:t>
      </w:r>
      <w:r w:rsidRPr="00961415">
        <w:rPr>
          <w:rFonts w:ascii="Abadi" w:hAnsi="Abadi"/>
          <w:b w:val="0"/>
          <w:bCs w:val="0"/>
          <w:sz w:val="21"/>
          <w:szCs w:val="21"/>
        </w:rPr>
        <w:t>a</w:t>
      </w:r>
      <w:r w:rsidRPr="00961415">
        <w:rPr>
          <w:rFonts w:ascii="Abadi" w:hAnsi="Abadi"/>
          <w:b w:val="0"/>
          <w:bCs w:val="0"/>
          <w:spacing w:val="56"/>
          <w:sz w:val="21"/>
          <w:szCs w:val="21"/>
        </w:rPr>
        <w:t xml:space="preserve"> </w:t>
      </w:r>
      <w:r w:rsidRPr="00961415">
        <w:rPr>
          <w:rFonts w:ascii="Abadi" w:hAnsi="Abadi"/>
          <w:b w:val="0"/>
          <w:bCs w:val="0"/>
          <w:sz w:val="21"/>
          <w:szCs w:val="21"/>
        </w:rPr>
        <w:t>consideración</w:t>
      </w:r>
      <w:r w:rsidRPr="00961415">
        <w:rPr>
          <w:rFonts w:ascii="Abadi" w:hAnsi="Abadi"/>
          <w:b w:val="0"/>
          <w:bCs w:val="0"/>
          <w:spacing w:val="56"/>
          <w:sz w:val="21"/>
          <w:szCs w:val="21"/>
        </w:rPr>
        <w:t xml:space="preserve"> </w:t>
      </w:r>
      <w:r w:rsidRPr="00961415">
        <w:rPr>
          <w:rFonts w:ascii="Abadi" w:hAnsi="Abadi"/>
          <w:b w:val="0"/>
          <w:bCs w:val="0"/>
          <w:sz w:val="21"/>
          <w:szCs w:val="21"/>
        </w:rPr>
        <w:t>de</w:t>
      </w:r>
      <w:r w:rsidRPr="00961415">
        <w:rPr>
          <w:rFonts w:ascii="Abadi" w:hAnsi="Abadi"/>
          <w:b w:val="0"/>
          <w:bCs w:val="0"/>
          <w:spacing w:val="55"/>
          <w:sz w:val="21"/>
          <w:szCs w:val="21"/>
        </w:rPr>
        <w:t xml:space="preserve"> </w:t>
      </w:r>
      <w:r w:rsidRPr="00961415">
        <w:rPr>
          <w:rFonts w:ascii="Abadi" w:hAnsi="Abadi"/>
          <w:b w:val="0"/>
          <w:bCs w:val="0"/>
          <w:sz w:val="21"/>
          <w:szCs w:val="21"/>
        </w:rPr>
        <w:t>esta</w:t>
      </w:r>
      <w:r w:rsidRPr="00961415">
        <w:rPr>
          <w:rFonts w:ascii="Abadi" w:hAnsi="Abadi"/>
          <w:b w:val="0"/>
          <w:bCs w:val="0"/>
          <w:spacing w:val="59"/>
          <w:sz w:val="21"/>
          <w:szCs w:val="21"/>
        </w:rPr>
        <w:t xml:space="preserve"> </w:t>
      </w:r>
      <w:r w:rsidRPr="00961415">
        <w:rPr>
          <w:rFonts w:ascii="Abadi" w:hAnsi="Abadi"/>
          <w:b w:val="0"/>
          <w:bCs w:val="0"/>
          <w:sz w:val="21"/>
          <w:szCs w:val="21"/>
        </w:rPr>
        <w:t>asamblea</w:t>
      </w:r>
      <w:r w:rsidRPr="00961415">
        <w:rPr>
          <w:rFonts w:ascii="Abadi" w:hAnsi="Abadi"/>
          <w:b w:val="0"/>
          <w:bCs w:val="0"/>
          <w:spacing w:val="57"/>
          <w:sz w:val="21"/>
          <w:szCs w:val="21"/>
        </w:rPr>
        <w:t xml:space="preserve"> </w:t>
      </w:r>
      <w:r w:rsidRPr="00961415">
        <w:rPr>
          <w:rFonts w:ascii="Abadi" w:hAnsi="Abadi"/>
          <w:b w:val="0"/>
          <w:bCs w:val="0"/>
          <w:sz w:val="21"/>
          <w:szCs w:val="21"/>
        </w:rPr>
        <w:t>el</w:t>
      </w:r>
    </w:p>
    <w:p w14:paraId="42ED871C" w14:textId="12CF307D" w:rsidR="00961415" w:rsidRPr="00961415" w:rsidRDefault="00AF040F" w:rsidP="00A44DEE">
      <w:pPr>
        <w:pStyle w:val="Textoindependiente"/>
        <w:kinsoku w:val="0"/>
        <w:overflowPunct w:val="0"/>
        <w:rPr>
          <w:rFonts w:ascii="Abadi" w:hAnsi="Abadi"/>
          <w:b w:val="0"/>
          <w:bCs w:val="0"/>
          <w:sz w:val="21"/>
          <w:szCs w:val="21"/>
        </w:rPr>
      </w:pPr>
      <w:r w:rsidRPr="00961415">
        <w:rPr>
          <w:rFonts w:ascii="Abadi" w:hAnsi="Abadi"/>
          <w:b w:val="0"/>
          <w:bCs w:val="0"/>
          <w:sz w:val="21"/>
          <w:szCs w:val="21"/>
        </w:rPr>
        <w:t>siguiente</w:t>
      </w:r>
      <w:r w:rsidRPr="00961415">
        <w:rPr>
          <w:rFonts w:ascii="Abadi" w:hAnsi="Abadi"/>
          <w:b w:val="0"/>
          <w:bCs w:val="0"/>
          <w:spacing w:val="1"/>
          <w:sz w:val="21"/>
          <w:szCs w:val="21"/>
        </w:rPr>
        <w:t xml:space="preserve"> </w:t>
      </w:r>
      <w:r w:rsidRPr="00961415">
        <w:rPr>
          <w:rFonts w:ascii="Abadi" w:hAnsi="Abadi"/>
          <w:b w:val="0"/>
          <w:bCs w:val="0"/>
          <w:sz w:val="21"/>
          <w:szCs w:val="21"/>
        </w:rPr>
        <w:t>punto de:</w:t>
      </w:r>
    </w:p>
    <w:p w14:paraId="16B11339" w14:textId="77777777" w:rsidR="00194209" w:rsidRDefault="00194209" w:rsidP="00A44DEE">
      <w:pPr>
        <w:pStyle w:val="Textoindependiente"/>
        <w:kinsoku w:val="0"/>
        <w:overflowPunct w:val="0"/>
        <w:jc w:val="center"/>
        <w:rPr>
          <w:rFonts w:ascii="Abadi" w:hAnsi="Abadi"/>
          <w:sz w:val="21"/>
          <w:szCs w:val="21"/>
        </w:rPr>
      </w:pPr>
    </w:p>
    <w:p w14:paraId="4EC180A2" w14:textId="223B3EBC" w:rsidR="00961415" w:rsidRDefault="00961415" w:rsidP="00A44DEE">
      <w:pPr>
        <w:pStyle w:val="Textoindependiente"/>
        <w:kinsoku w:val="0"/>
        <w:overflowPunct w:val="0"/>
        <w:jc w:val="center"/>
        <w:rPr>
          <w:rFonts w:ascii="Abadi" w:hAnsi="Abadi"/>
          <w:sz w:val="21"/>
          <w:szCs w:val="21"/>
        </w:rPr>
      </w:pPr>
      <w:r>
        <w:rPr>
          <w:rFonts w:ascii="Abadi" w:hAnsi="Abadi"/>
          <w:sz w:val="21"/>
          <w:szCs w:val="21"/>
        </w:rPr>
        <w:t>ACUERDO</w:t>
      </w:r>
    </w:p>
    <w:p w14:paraId="312873BA" w14:textId="77777777" w:rsidR="00961415" w:rsidRPr="00961415" w:rsidRDefault="00961415" w:rsidP="00A44DEE">
      <w:pPr>
        <w:pStyle w:val="Textoindependiente"/>
        <w:kinsoku w:val="0"/>
        <w:overflowPunct w:val="0"/>
        <w:jc w:val="center"/>
        <w:rPr>
          <w:rFonts w:ascii="Abadi" w:hAnsi="Abadi"/>
          <w:sz w:val="21"/>
          <w:szCs w:val="21"/>
        </w:rPr>
      </w:pPr>
    </w:p>
    <w:p w14:paraId="1932B982" w14:textId="77777777" w:rsidR="00AF040F" w:rsidRPr="00AF040F" w:rsidRDefault="00AF040F" w:rsidP="00A44DEE">
      <w:pPr>
        <w:pStyle w:val="Textoindependiente"/>
        <w:kinsoku w:val="0"/>
        <w:overflowPunct w:val="0"/>
        <w:ind w:right="117"/>
        <w:rPr>
          <w:rFonts w:ascii="Abadi" w:hAnsi="Abadi"/>
          <w:b w:val="0"/>
          <w:bCs w:val="0"/>
          <w:sz w:val="21"/>
          <w:szCs w:val="21"/>
        </w:rPr>
      </w:pPr>
      <w:r w:rsidRPr="00AF040F">
        <w:rPr>
          <w:rFonts w:ascii="Abadi" w:hAnsi="Abadi"/>
          <w:sz w:val="21"/>
          <w:szCs w:val="21"/>
        </w:rPr>
        <w:t>PRIMERO.</w:t>
      </w:r>
      <w:r w:rsidRPr="00AF040F">
        <w:rPr>
          <w:rFonts w:ascii="Abadi" w:hAnsi="Abadi"/>
          <w:spacing w:val="20"/>
          <w:sz w:val="21"/>
          <w:szCs w:val="21"/>
        </w:rPr>
        <w:t xml:space="preserve"> </w:t>
      </w:r>
      <w:r w:rsidRPr="00AF040F">
        <w:rPr>
          <w:rFonts w:ascii="Abadi" w:hAnsi="Abadi"/>
          <w:sz w:val="21"/>
          <w:szCs w:val="21"/>
        </w:rPr>
        <w:t>-</w:t>
      </w:r>
      <w:r w:rsidRPr="001D43B8">
        <w:rPr>
          <w:rFonts w:ascii="Abadi" w:hAnsi="Abadi"/>
          <w:spacing w:val="25"/>
          <w:sz w:val="21"/>
          <w:szCs w:val="21"/>
        </w:rPr>
        <w:t xml:space="preserve"> </w:t>
      </w:r>
      <w:r w:rsidRPr="00AF040F">
        <w:rPr>
          <w:rFonts w:ascii="Abadi" w:hAnsi="Abadi"/>
          <w:b w:val="0"/>
          <w:bCs w:val="0"/>
          <w:sz w:val="21"/>
          <w:szCs w:val="21"/>
        </w:rPr>
        <w:t>Esta</w:t>
      </w:r>
      <w:r w:rsidRPr="00AF040F">
        <w:rPr>
          <w:rFonts w:ascii="Abadi" w:hAnsi="Abadi"/>
          <w:b w:val="0"/>
          <w:bCs w:val="0"/>
          <w:spacing w:val="23"/>
          <w:sz w:val="21"/>
          <w:szCs w:val="21"/>
        </w:rPr>
        <w:t xml:space="preserve"> </w:t>
      </w:r>
      <w:r w:rsidRPr="00AF040F">
        <w:rPr>
          <w:rFonts w:ascii="Abadi" w:hAnsi="Abadi"/>
          <w:b w:val="0"/>
          <w:bCs w:val="0"/>
          <w:sz w:val="21"/>
          <w:szCs w:val="21"/>
        </w:rPr>
        <w:t>LXV</w:t>
      </w:r>
      <w:r w:rsidRPr="00AF040F">
        <w:rPr>
          <w:rFonts w:ascii="Abadi" w:hAnsi="Abadi"/>
          <w:b w:val="0"/>
          <w:bCs w:val="0"/>
          <w:spacing w:val="25"/>
          <w:sz w:val="21"/>
          <w:szCs w:val="21"/>
        </w:rPr>
        <w:t xml:space="preserve"> </w:t>
      </w:r>
      <w:r w:rsidRPr="00AF040F">
        <w:rPr>
          <w:rFonts w:ascii="Abadi" w:hAnsi="Abadi"/>
          <w:b w:val="0"/>
          <w:bCs w:val="0"/>
          <w:sz w:val="21"/>
          <w:szCs w:val="21"/>
        </w:rPr>
        <w:t>Legislatura</w:t>
      </w:r>
      <w:r w:rsidRPr="00AF040F">
        <w:rPr>
          <w:rFonts w:ascii="Abadi" w:hAnsi="Abadi"/>
          <w:b w:val="0"/>
          <w:bCs w:val="0"/>
          <w:spacing w:val="26"/>
          <w:sz w:val="21"/>
          <w:szCs w:val="21"/>
        </w:rPr>
        <w:t xml:space="preserve"> </w:t>
      </w:r>
      <w:r w:rsidRPr="00AF040F">
        <w:rPr>
          <w:rFonts w:ascii="Abadi" w:hAnsi="Abadi"/>
          <w:b w:val="0"/>
          <w:bCs w:val="0"/>
          <w:sz w:val="21"/>
          <w:szCs w:val="21"/>
        </w:rPr>
        <w:t>del</w:t>
      </w:r>
      <w:r w:rsidRPr="00AF040F">
        <w:rPr>
          <w:rFonts w:ascii="Abadi" w:hAnsi="Abadi"/>
          <w:b w:val="0"/>
          <w:bCs w:val="0"/>
          <w:spacing w:val="25"/>
          <w:sz w:val="21"/>
          <w:szCs w:val="21"/>
        </w:rPr>
        <w:t xml:space="preserve"> </w:t>
      </w:r>
      <w:r w:rsidRPr="00AF040F">
        <w:rPr>
          <w:rFonts w:ascii="Abadi" w:hAnsi="Abadi"/>
          <w:b w:val="0"/>
          <w:bCs w:val="0"/>
          <w:sz w:val="21"/>
          <w:szCs w:val="21"/>
        </w:rPr>
        <w:t>Estado</w:t>
      </w:r>
      <w:r w:rsidRPr="00AF040F">
        <w:rPr>
          <w:rFonts w:ascii="Abadi" w:hAnsi="Abadi"/>
          <w:b w:val="0"/>
          <w:bCs w:val="0"/>
          <w:spacing w:val="23"/>
          <w:sz w:val="21"/>
          <w:szCs w:val="21"/>
        </w:rPr>
        <w:t xml:space="preserve"> </w:t>
      </w:r>
      <w:r w:rsidRPr="00AF040F">
        <w:rPr>
          <w:rFonts w:ascii="Abadi" w:hAnsi="Abadi"/>
          <w:b w:val="0"/>
          <w:bCs w:val="0"/>
          <w:sz w:val="21"/>
          <w:szCs w:val="21"/>
        </w:rPr>
        <w:t>de</w:t>
      </w:r>
      <w:r w:rsidRPr="00AF040F">
        <w:rPr>
          <w:rFonts w:ascii="Abadi" w:hAnsi="Abadi"/>
          <w:b w:val="0"/>
          <w:bCs w:val="0"/>
          <w:spacing w:val="23"/>
          <w:sz w:val="21"/>
          <w:szCs w:val="21"/>
        </w:rPr>
        <w:t xml:space="preserve"> </w:t>
      </w:r>
      <w:r w:rsidRPr="00AF040F">
        <w:rPr>
          <w:rFonts w:ascii="Abadi" w:hAnsi="Abadi"/>
          <w:b w:val="0"/>
          <w:bCs w:val="0"/>
          <w:sz w:val="21"/>
          <w:szCs w:val="21"/>
        </w:rPr>
        <w:t>Guanajuato</w:t>
      </w:r>
      <w:r w:rsidRPr="00AF040F">
        <w:rPr>
          <w:rFonts w:ascii="Abadi" w:hAnsi="Abadi"/>
          <w:b w:val="0"/>
          <w:bCs w:val="0"/>
          <w:spacing w:val="24"/>
          <w:sz w:val="21"/>
          <w:szCs w:val="21"/>
        </w:rPr>
        <w:t xml:space="preserve"> </w:t>
      </w:r>
      <w:r w:rsidRPr="00AF040F">
        <w:rPr>
          <w:rFonts w:ascii="Abadi" w:hAnsi="Abadi"/>
          <w:b w:val="0"/>
          <w:bCs w:val="0"/>
          <w:sz w:val="21"/>
          <w:szCs w:val="21"/>
        </w:rPr>
        <w:t>acuerda</w:t>
      </w:r>
      <w:r w:rsidRPr="00AF040F">
        <w:rPr>
          <w:rFonts w:ascii="Abadi" w:hAnsi="Abadi"/>
          <w:b w:val="0"/>
          <w:bCs w:val="0"/>
          <w:spacing w:val="35"/>
          <w:sz w:val="21"/>
          <w:szCs w:val="21"/>
        </w:rPr>
        <w:t xml:space="preserve"> </w:t>
      </w:r>
      <w:r w:rsidRPr="00AF040F">
        <w:rPr>
          <w:rFonts w:ascii="Abadi" w:hAnsi="Abadi"/>
          <w:b w:val="0"/>
          <w:bCs w:val="0"/>
          <w:sz w:val="21"/>
          <w:szCs w:val="21"/>
        </w:rPr>
        <w:t>girar</w:t>
      </w:r>
      <w:r w:rsidRPr="00AF040F">
        <w:rPr>
          <w:rFonts w:ascii="Abadi" w:hAnsi="Abadi"/>
          <w:b w:val="0"/>
          <w:bCs w:val="0"/>
          <w:spacing w:val="21"/>
          <w:sz w:val="21"/>
          <w:szCs w:val="21"/>
        </w:rPr>
        <w:t xml:space="preserve"> </w:t>
      </w:r>
      <w:r w:rsidRPr="00AF040F">
        <w:rPr>
          <w:rFonts w:ascii="Abadi" w:hAnsi="Abadi"/>
          <w:b w:val="0"/>
          <w:bCs w:val="0"/>
          <w:sz w:val="21"/>
          <w:szCs w:val="21"/>
        </w:rPr>
        <w:t>atento exhorto</w:t>
      </w:r>
      <w:r w:rsidRPr="00AF040F">
        <w:rPr>
          <w:rFonts w:ascii="Abadi" w:hAnsi="Abadi"/>
          <w:b w:val="0"/>
          <w:bCs w:val="0"/>
          <w:spacing w:val="25"/>
          <w:sz w:val="21"/>
          <w:szCs w:val="21"/>
        </w:rPr>
        <w:t xml:space="preserve"> </w:t>
      </w:r>
      <w:r w:rsidRPr="00AF040F">
        <w:rPr>
          <w:rFonts w:ascii="Abadi" w:hAnsi="Abadi"/>
          <w:b w:val="0"/>
          <w:bCs w:val="0"/>
          <w:sz w:val="21"/>
          <w:szCs w:val="21"/>
        </w:rPr>
        <w:t>al</w:t>
      </w:r>
      <w:r w:rsidRPr="00AF040F">
        <w:rPr>
          <w:rFonts w:ascii="Abadi" w:hAnsi="Abadi"/>
          <w:b w:val="0"/>
          <w:bCs w:val="0"/>
          <w:spacing w:val="28"/>
          <w:sz w:val="21"/>
          <w:szCs w:val="21"/>
        </w:rPr>
        <w:t xml:space="preserve"> </w:t>
      </w:r>
      <w:r w:rsidRPr="00AF040F">
        <w:rPr>
          <w:rFonts w:ascii="Abadi" w:hAnsi="Abadi"/>
          <w:b w:val="0"/>
          <w:bCs w:val="0"/>
          <w:sz w:val="21"/>
          <w:szCs w:val="21"/>
        </w:rPr>
        <w:t>titular</w:t>
      </w:r>
      <w:r w:rsidRPr="00AF040F">
        <w:rPr>
          <w:rFonts w:ascii="Abadi" w:hAnsi="Abadi"/>
          <w:b w:val="0"/>
          <w:bCs w:val="0"/>
          <w:spacing w:val="24"/>
          <w:sz w:val="21"/>
          <w:szCs w:val="21"/>
        </w:rPr>
        <w:t xml:space="preserve"> </w:t>
      </w:r>
      <w:r w:rsidRPr="00AF040F">
        <w:rPr>
          <w:rFonts w:ascii="Abadi" w:hAnsi="Abadi"/>
          <w:b w:val="0"/>
          <w:bCs w:val="0"/>
          <w:sz w:val="21"/>
          <w:szCs w:val="21"/>
        </w:rPr>
        <w:t>del</w:t>
      </w:r>
      <w:r w:rsidRPr="00AF040F">
        <w:rPr>
          <w:rFonts w:ascii="Abadi" w:hAnsi="Abadi"/>
          <w:b w:val="0"/>
          <w:bCs w:val="0"/>
          <w:spacing w:val="25"/>
          <w:sz w:val="21"/>
          <w:szCs w:val="21"/>
        </w:rPr>
        <w:t xml:space="preserve"> </w:t>
      </w:r>
      <w:r w:rsidRPr="00AF040F">
        <w:rPr>
          <w:rFonts w:ascii="Abadi" w:hAnsi="Abadi"/>
          <w:b w:val="0"/>
          <w:bCs w:val="0"/>
          <w:sz w:val="21"/>
          <w:szCs w:val="21"/>
        </w:rPr>
        <w:t>Poder</w:t>
      </w:r>
      <w:r w:rsidRPr="00AF040F">
        <w:rPr>
          <w:rFonts w:ascii="Abadi" w:hAnsi="Abadi"/>
          <w:b w:val="0"/>
          <w:bCs w:val="0"/>
          <w:spacing w:val="24"/>
          <w:sz w:val="21"/>
          <w:szCs w:val="21"/>
        </w:rPr>
        <w:t xml:space="preserve"> </w:t>
      </w:r>
      <w:r w:rsidRPr="00AF040F">
        <w:rPr>
          <w:rFonts w:ascii="Abadi" w:hAnsi="Abadi"/>
          <w:b w:val="0"/>
          <w:bCs w:val="0"/>
          <w:sz w:val="21"/>
          <w:szCs w:val="21"/>
        </w:rPr>
        <w:t>Ejecutivo,</w:t>
      </w:r>
      <w:r w:rsidRPr="00AF040F">
        <w:rPr>
          <w:rFonts w:ascii="Abadi" w:hAnsi="Abadi"/>
          <w:b w:val="0"/>
          <w:bCs w:val="0"/>
          <w:spacing w:val="28"/>
          <w:sz w:val="21"/>
          <w:szCs w:val="21"/>
        </w:rPr>
        <w:t xml:space="preserve"> </w:t>
      </w:r>
      <w:r w:rsidRPr="00AF040F">
        <w:rPr>
          <w:rFonts w:ascii="Abadi" w:hAnsi="Abadi"/>
          <w:b w:val="0"/>
          <w:bCs w:val="0"/>
          <w:sz w:val="21"/>
          <w:szCs w:val="21"/>
        </w:rPr>
        <w:t>Diego</w:t>
      </w:r>
      <w:r w:rsidRPr="00AF040F">
        <w:rPr>
          <w:rFonts w:ascii="Abadi" w:hAnsi="Abadi"/>
          <w:b w:val="0"/>
          <w:bCs w:val="0"/>
          <w:spacing w:val="26"/>
          <w:sz w:val="21"/>
          <w:szCs w:val="21"/>
        </w:rPr>
        <w:t xml:space="preserve"> </w:t>
      </w:r>
      <w:r w:rsidRPr="00AF040F">
        <w:rPr>
          <w:rFonts w:ascii="Abadi" w:hAnsi="Abadi"/>
          <w:b w:val="0"/>
          <w:bCs w:val="0"/>
          <w:sz w:val="21"/>
          <w:szCs w:val="21"/>
        </w:rPr>
        <w:t>Sinhue</w:t>
      </w:r>
      <w:r w:rsidRPr="00AF040F">
        <w:rPr>
          <w:rFonts w:ascii="Abadi" w:hAnsi="Abadi"/>
          <w:b w:val="0"/>
          <w:bCs w:val="0"/>
          <w:spacing w:val="25"/>
          <w:sz w:val="21"/>
          <w:szCs w:val="21"/>
        </w:rPr>
        <w:t xml:space="preserve"> </w:t>
      </w:r>
      <w:r w:rsidRPr="00AF040F">
        <w:rPr>
          <w:rFonts w:ascii="Abadi" w:hAnsi="Abadi"/>
          <w:b w:val="0"/>
          <w:bCs w:val="0"/>
          <w:sz w:val="21"/>
          <w:szCs w:val="21"/>
        </w:rPr>
        <w:t>Rodríguez</w:t>
      </w:r>
      <w:r w:rsidRPr="00AF040F">
        <w:rPr>
          <w:rFonts w:ascii="Abadi" w:hAnsi="Abadi"/>
          <w:b w:val="0"/>
          <w:bCs w:val="0"/>
          <w:spacing w:val="23"/>
          <w:sz w:val="21"/>
          <w:szCs w:val="21"/>
        </w:rPr>
        <w:t xml:space="preserve"> </w:t>
      </w:r>
      <w:r w:rsidRPr="00AF040F">
        <w:rPr>
          <w:rFonts w:ascii="Abadi" w:hAnsi="Abadi"/>
          <w:b w:val="0"/>
          <w:bCs w:val="0"/>
          <w:sz w:val="21"/>
          <w:szCs w:val="21"/>
        </w:rPr>
        <w:t>Vallejo,</w:t>
      </w:r>
      <w:r w:rsidRPr="00AF040F">
        <w:rPr>
          <w:rFonts w:ascii="Abadi" w:hAnsi="Abadi"/>
          <w:b w:val="0"/>
          <w:bCs w:val="0"/>
          <w:spacing w:val="24"/>
          <w:sz w:val="21"/>
          <w:szCs w:val="21"/>
        </w:rPr>
        <w:t xml:space="preserve"> </w:t>
      </w:r>
      <w:r w:rsidRPr="00AF040F">
        <w:rPr>
          <w:rFonts w:ascii="Abadi" w:hAnsi="Abadi"/>
          <w:b w:val="0"/>
          <w:bCs w:val="0"/>
          <w:sz w:val="21"/>
          <w:szCs w:val="21"/>
        </w:rPr>
        <w:t>para</w:t>
      </w:r>
      <w:r w:rsidRPr="00AF040F">
        <w:rPr>
          <w:rFonts w:ascii="Abadi" w:hAnsi="Abadi"/>
          <w:b w:val="0"/>
          <w:bCs w:val="0"/>
          <w:spacing w:val="25"/>
          <w:sz w:val="21"/>
          <w:szCs w:val="21"/>
        </w:rPr>
        <w:t xml:space="preserve"> </w:t>
      </w:r>
      <w:r w:rsidRPr="00AF040F">
        <w:rPr>
          <w:rFonts w:ascii="Abadi" w:hAnsi="Abadi"/>
          <w:b w:val="0"/>
          <w:bCs w:val="0"/>
          <w:sz w:val="21"/>
          <w:szCs w:val="21"/>
        </w:rPr>
        <w:t>que realice</w:t>
      </w:r>
      <w:r w:rsidRPr="00AF040F">
        <w:rPr>
          <w:rFonts w:ascii="Abadi" w:hAnsi="Abadi"/>
          <w:b w:val="0"/>
          <w:bCs w:val="0"/>
          <w:spacing w:val="52"/>
          <w:sz w:val="21"/>
          <w:szCs w:val="21"/>
        </w:rPr>
        <w:t xml:space="preserve"> </w:t>
      </w:r>
      <w:r w:rsidRPr="00AF040F">
        <w:rPr>
          <w:rFonts w:ascii="Abadi" w:hAnsi="Abadi"/>
          <w:b w:val="0"/>
          <w:bCs w:val="0"/>
          <w:sz w:val="21"/>
          <w:szCs w:val="21"/>
        </w:rPr>
        <w:t>las</w:t>
      </w:r>
      <w:r w:rsidRPr="00AF040F">
        <w:rPr>
          <w:rFonts w:ascii="Abadi" w:hAnsi="Abadi"/>
          <w:b w:val="0"/>
          <w:bCs w:val="0"/>
          <w:spacing w:val="56"/>
          <w:sz w:val="21"/>
          <w:szCs w:val="21"/>
        </w:rPr>
        <w:t xml:space="preserve"> </w:t>
      </w:r>
      <w:r w:rsidRPr="00AF040F">
        <w:rPr>
          <w:rFonts w:ascii="Abadi" w:hAnsi="Abadi"/>
          <w:b w:val="0"/>
          <w:bCs w:val="0"/>
          <w:sz w:val="21"/>
          <w:szCs w:val="21"/>
        </w:rPr>
        <w:t>acciones</w:t>
      </w:r>
      <w:r w:rsidRPr="00AF040F">
        <w:rPr>
          <w:rFonts w:ascii="Abadi" w:hAnsi="Abadi"/>
          <w:b w:val="0"/>
          <w:bCs w:val="0"/>
          <w:spacing w:val="54"/>
          <w:sz w:val="21"/>
          <w:szCs w:val="21"/>
        </w:rPr>
        <w:t xml:space="preserve"> </w:t>
      </w:r>
      <w:r w:rsidRPr="00AF040F">
        <w:rPr>
          <w:rFonts w:ascii="Abadi" w:hAnsi="Abadi"/>
          <w:b w:val="0"/>
          <w:bCs w:val="0"/>
          <w:sz w:val="21"/>
          <w:szCs w:val="21"/>
        </w:rPr>
        <w:t>necesarias</w:t>
      </w:r>
      <w:r w:rsidRPr="00AF040F">
        <w:rPr>
          <w:rFonts w:ascii="Abadi" w:hAnsi="Abadi"/>
          <w:b w:val="0"/>
          <w:bCs w:val="0"/>
          <w:spacing w:val="57"/>
          <w:sz w:val="21"/>
          <w:szCs w:val="21"/>
        </w:rPr>
        <w:t xml:space="preserve"> </w:t>
      </w:r>
      <w:r w:rsidRPr="00AF040F">
        <w:rPr>
          <w:rFonts w:ascii="Abadi" w:hAnsi="Abadi"/>
          <w:b w:val="0"/>
          <w:bCs w:val="0"/>
          <w:sz w:val="21"/>
          <w:szCs w:val="21"/>
        </w:rPr>
        <w:t>para</w:t>
      </w:r>
      <w:r w:rsidRPr="00AF040F">
        <w:rPr>
          <w:rFonts w:ascii="Abadi" w:hAnsi="Abadi"/>
          <w:b w:val="0"/>
          <w:bCs w:val="0"/>
          <w:spacing w:val="52"/>
          <w:sz w:val="21"/>
          <w:szCs w:val="21"/>
        </w:rPr>
        <w:t xml:space="preserve"> </w:t>
      </w:r>
      <w:r w:rsidRPr="00AF040F">
        <w:rPr>
          <w:rFonts w:ascii="Abadi" w:hAnsi="Abadi"/>
          <w:b w:val="0"/>
          <w:bCs w:val="0"/>
          <w:sz w:val="21"/>
          <w:szCs w:val="21"/>
        </w:rPr>
        <w:t>llevar</w:t>
      </w:r>
      <w:r w:rsidRPr="00AF040F">
        <w:rPr>
          <w:rFonts w:ascii="Abadi" w:hAnsi="Abadi"/>
          <w:b w:val="0"/>
          <w:bCs w:val="0"/>
          <w:spacing w:val="55"/>
          <w:sz w:val="21"/>
          <w:szCs w:val="21"/>
        </w:rPr>
        <w:t xml:space="preserve"> </w:t>
      </w:r>
      <w:r w:rsidRPr="00AF040F">
        <w:rPr>
          <w:rFonts w:ascii="Abadi" w:hAnsi="Abadi"/>
          <w:b w:val="0"/>
          <w:bCs w:val="0"/>
          <w:sz w:val="21"/>
          <w:szCs w:val="21"/>
        </w:rPr>
        <w:t>a</w:t>
      </w:r>
      <w:r w:rsidRPr="00AF040F">
        <w:rPr>
          <w:rFonts w:ascii="Abadi" w:hAnsi="Abadi"/>
          <w:b w:val="0"/>
          <w:bCs w:val="0"/>
          <w:spacing w:val="52"/>
          <w:sz w:val="21"/>
          <w:szCs w:val="21"/>
        </w:rPr>
        <w:t xml:space="preserve"> </w:t>
      </w:r>
      <w:r w:rsidRPr="00AF040F">
        <w:rPr>
          <w:rFonts w:ascii="Abadi" w:hAnsi="Abadi"/>
          <w:b w:val="0"/>
          <w:bCs w:val="0"/>
          <w:sz w:val="21"/>
          <w:szCs w:val="21"/>
        </w:rPr>
        <w:t>cabo</w:t>
      </w:r>
      <w:r w:rsidRPr="00AF040F">
        <w:rPr>
          <w:rFonts w:ascii="Abadi" w:hAnsi="Abadi"/>
          <w:b w:val="0"/>
          <w:bCs w:val="0"/>
          <w:spacing w:val="53"/>
          <w:sz w:val="21"/>
          <w:szCs w:val="21"/>
        </w:rPr>
        <w:t xml:space="preserve"> </w:t>
      </w:r>
      <w:r w:rsidRPr="00AF040F">
        <w:rPr>
          <w:rFonts w:ascii="Abadi" w:hAnsi="Abadi"/>
          <w:b w:val="0"/>
          <w:bCs w:val="0"/>
          <w:sz w:val="21"/>
          <w:szCs w:val="21"/>
        </w:rPr>
        <w:t>una</w:t>
      </w:r>
      <w:r w:rsidRPr="00AF040F">
        <w:rPr>
          <w:rFonts w:ascii="Abadi" w:hAnsi="Abadi"/>
          <w:b w:val="0"/>
          <w:bCs w:val="0"/>
          <w:spacing w:val="54"/>
          <w:sz w:val="21"/>
          <w:szCs w:val="21"/>
        </w:rPr>
        <w:t xml:space="preserve"> </w:t>
      </w:r>
      <w:r w:rsidRPr="00AF040F">
        <w:rPr>
          <w:rFonts w:ascii="Abadi" w:hAnsi="Abadi"/>
          <w:b w:val="0"/>
          <w:bCs w:val="0"/>
          <w:sz w:val="21"/>
          <w:szCs w:val="21"/>
        </w:rPr>
        <w:t>evaluación</w:t>
      </w:r>
      <w:r w:rsidRPr="00AF040F">
        <w:rPr>
          <w:rFonts w:ascii="Abadi" w:hAnsi="Abadi"/>
          <w:b w:val="0"/>
          <w:bCs w:val="0"/>
          <w:spacing w:val="51"/>
          <w:sz w:val="21"/>
          <w:szCs w:val="21"/>
        </w:rPr>
        <w:t xml:space="preserve"> </w:t>
      </w:r>
      <w:r w:rsidRPr="00AF040F">
        <w:rPr>
          <w:rFonts w:ascii="Abadi" w:hAnsi="Abadi"/>
          <w:b w:val="0"/>
          <w:bCs w:val="0"/>
          <w:sz w:val="21"/>
          <w:szCs w:val="21"/>
        </w:rPr>
        <w:t>integral</w:t>
      </w:r>
      <w:r w:rsidRPr="00AF040F">
        <w:rPr>
          <w:rFonts w:ascii="Abadi" w:hAnsi="Abadi"/>
          <w:b w:val="0"/>
          <w:bCs w:val="0"/>
          <w:spacing w:val="54"/>
          <w:sz w:val="21"/>
          <w:szCs w:val="21"/>
        </w:rPr>
        <w:t xml:space="preserve"> </w:t>
      </w:r>
      <w:r w:rsidRPr="00AF040F">
        <w:rPr>
          <w:rFonts w:ascii="Abadi" w:hAnsi="Abadi"/>
          <w:b w:val="0"/>
          <w:bCs w:val="0"/>
          <w:sz w:val="21"/>
          <w:szCs w:val="21"/>
        </w:rPr>
        <w:t>del programa</w:t>
      </w:r>
      <w:r w:rsidRPr="00AF040F">
        <w:rPr>
          <w:rFonts w:ascii="Abadi" w:hAnsi="Abadi"/>
          <w:b w:val="0"/>
          <w:bCs w:val="0"/>
          <w:spacing w:val="19"/>
          <w:sz w:val="21"/>
          <w:szCs w:val="21"/>
        </w:rPr>
        <w:t xml:space="preserve"> </w:t>
      </w:r>
      <w:r w:rsidRPr="00AF040F">
        <w:rPr>
          <w:rFonts w:ascii="Abadi" w:hAnsi="Abadi"/>
          <w:b w:val="0"/>
          <w:bCs w:val="0"/>
          <w:i/>
          <w:iCs/>
          <w:sz w:val="21"/>
          <w:szCs w:val="21"/>
        </w:rPr>
        <w:t>E045</w:t>
      </w:r>
      <w:r w:rsidRPr="00AF040F">
        <w:rPr>
          <w:rFonts w:ascii="Abadi" w:hAnsi="Abadi"/>
          <w:b w:val="0"/>
          <w:bCs w:val="0"/>
          <w:i/>
          <w:iCs/>
          <w:spacing w:val="18"/>
          <w:sz w:val="21"/>
          <w:szCs w:val="21"/>
        </w:rPr>
        <w:t xml:space="preserve"> </w:t>
      </w:r>
      <w:r w:rsidRPr="00AF040F">
        <w:rPr>
          <w:rFonts w:ascii="Abadi" w:hAnsi="Abadi"/>
          <w:b w:val="0"/>
          <w:bCs w:val="0"/>
          <w:i/>
          <w:iCs/>
          <w:sz w:val="21"/>
          <w:szCs w:val="21"/>
        </w:rPr>
        <w:t>Acceso</w:t>
      </w:r>
      <w:r w:rsidRPr="00AF040F">
        <w:rPr>
          <w:rFonts w:ascii="Abadi" w:hAnsi="Abadi"/>
          <w:b w:val="0"/>
          <w:bCs w:val="0"/>
          <w:i/>
          <w:iCs/>
          <w:spacing w:val="18"/>
          <w:sz w:val="21"/>
          <w:szCs w:val="21"/>
        </w:rPr>
        <w:t xml:space="preserve"> </w:t>
      </w:r>
      <w:r w:rsidRPr="00AF040F">
        <w:rPr>
          <w:rFonts w:ascii="Abadi" w:hAnsi="Abadi"/>
          <w:b w:val="0"/>
          <w:bCs w:val="0"/>
          <w:i/>
          <w:iCs/>
          <w:sz w:val="21"/>
          <w:szCs w:val="21"/>
        </w:rPr>
        <w:t>Equitativo</w:t>
      </w:r>
      <w:r w:rsidRPr="00AF040F">
        <w:rPr>
          <w:rFonts w:ascii="Abadi" w:hAnsi="Abadi"/>
          <w:b w:val="0"/>
          <w:bCs w:val="0"/>
          <w:i/>
          <w:iCs/>
          <w:spacing w:val="18"/>
          <w:sz w:val="21"/>
          <w:szCs w:val="21"/>
        </w:rPr>
        <w:t xml:space="preserve"> </w:t>
      </w:r>
      <w:r w:rsidRPr="00AF040F">
        <w:rPr>
          <w:rFonts w:ascii="Abadi" w:hAnsi="Abadi"/>
          <w:b w:val="0"/>
          <w:bCs w:val="0"/>
          <w:i/>
          <w:iCs/>
          <w:sz w:val="21"/>
          <w:szCs w:val="21"/>
        </w:rPr>
        <w:t>y</w:t>
      </w:r>
      <w:r w:rsidRPr="00AF040F">
        <w:rPr>
          <w:rFonts w:ascii="Abadi" w:hAnsi="Abadi"/>
          <w:b w:val="0"/>
          <w:bCs w:val="0"/>
          <w:i/>
          <w:iCs/>
          <w:spacing w:val="17"/>
          <w:sz w:val="21"/>
          <w:szCs w:val="21"/>
        </w:rPr>
        <w:t xml:space="preserve"> </w:t>
      </w:r>
      <w:r w:rsidRPr="00AF040F">
        <w:rPr>
          <w:rFonts w:ascii="Abadi" w:hAnsi="Abadi"/>
          <w:b w:val="0"/>
          <w:bCs w:val="0"/>
          <w:i/>
          <w:iCs/>
          <w:sz w:val="21"/>
          <w:szCs w:val="21"/>
        </w:rPr>
        <w:t>Oportunidades</w:t>
      </w:r>
      <w:r w:rsidRPr="00AF040F">
        <w:rPr>
          <w:rFonts w:ascii="Abadi" w:hAnsi="Abadi"/>
          <w:b w:val="0"/>
          <w:bCs w:val="0"/>
          <w:i/>
          <w:iCs/>
          <w:spacing w:val="18"/>
          <w:sz w:val="21"/>
          <w:szCs w:val="21"/>
        </w:rPr>
        <w:t xml:space="preserve"> </w:t>
      </w:r>
      <w:r w:rsidRPr="00AF040F">
        <w:rPr>
          <w:rFonts w:ascii="Abadi" w:hAnsi="Abadi"/>
          <w:b w:val="0"/>
          <w:bCs w:val="0"/>
          <w:i/>
          <w:iCs/>
          <w:sz w:val="21"/>
          <w:szCs w:val="21"/>
        </w:rPr>
        <w:t>de</w:t>
      </w:r>
      <w:r w:rsidRPr="00AF040F">
        <w:rPr>
          <w:rFonts w:ascii="Abadi" w:hAnsi="Abadi"/>
          <w:b w:val="0"/>
          <w:bCs w:val="0"/>
          <w:i/>
          <w:iCs/>
          <w:spacing w:val="18"/>
          <w:sz w:val="21"/>
          <w:szCs w:val="21"/>
        </w:rPr>
        <w:t xml:space="preserve"> </w:t>
      </w:r>
      <w:r w:rsidRPr="00AF040F">
        <w:rPr>
          <w:rFonts w:ascii="Abadi" w:hAnsi="Abadi"/>
          <w:b w:val="0"/>
          <w:bCs w:val="0"/>
          <w:i/>
          <w:iCs/>
          <w:sz w:val="21"/>
          <w:szCs w:val="21"/>
        </w:rPr>
        <w:t>Desarrollo</w:t>
      </w:r>
      <w:r w:rsidRPr="00AF040F">
        <w:rPr>
          <w:rFonts w:ascii="Abadi" w:hAnsi="Abadi"/>
          <w:b w:val="0"/>
          <w:bCs w:val="0"/>
          <w:i/>
          <w:iCs/>
          <w:spacing w:val="19"/>
          <w:sz w:val="21"/>
          <w:szCs w:val="21"/>
        </w:rPr>
        <w:t xml:space="preserve"> </w:t>
      </w:r>
      <w:r w:rsidRPr="00AF040F">
        <w:rPr>
          <w:rFonts w:ascii="Abadi" w:hAnsi="Abadi"/>
          <w:b w:val="0"/>
          <w:bCs w:val="0"/>
          <w:i/>
          <w:iCs/>
          <w:sz w:val="21"/>
          <w:szCs w:val="21"/>
        </w:rPr>
        <w:t>para</w:t>
      </w:r>
      <w:r w:rsidRPr="00AF040F">
        <w:rPr>
          <w:rFonts w:ascii="Abadi" w:hAnsi="Abadi"/>
          <w:b w:val="0"/>
          <w:bCs w:val="0"/>
          <w:i/>
          <w:iCs/>
          <w:spacing w:val="18"/>
          <w:sz w:val="21"/>
          <w:szCs w:val="21"/>
        </w:rPr>
        <w:t xml:space="preserve"> </w:t>
      </w:r>
      <w:r w:rsidRPr="00AF040F">
        <w:rPr>
          <w:rFonts w:ascii="Abadi" w:hAnsi="Abadi"/>
          <w:b w:val="0"/>
          <w:bCs w:val="0"/>
          <w:i/>
          <w:iCs/>
          <w:sz w:val="21"/>
          <w:szCs w:val="21"/>
        </w:rPr>
        <w:t>Mujeres</w:t>
      </w:r>
      <w:r w:rsidRPr="00AF040F">
        <w:rPr>
          <w:rFonts w:ascii="Abadi" w:hAnsi="Abadi"/>
          <w:b w:val="0"/>
          <w:bCs w:val="0"/>
          <w:i/>
          <w:iCs/>
          <w:spacing w:val="18"/>
          <w:sz w:val="21"/>
          <w:szCs w:val="21"/>
        </w:rPr>
        <w:t xml:space="preserve"> </w:t>
      </w:r>
      <w:r w:rsidRPr="00AF040F">
        <w:rPr>
          <w:rFonts w:ascii="Abadi" w:hAnsi="Abadi"/>
          <w:b w:val="0"/>
          <w:bCs w:val="0"/>
          <w:i/>
          <w:iCs/>
          <w:sz w:val="21"/>
          <w:szCs w:val="21"/>
        </w:rPr>
        <w:t>y</w:t>
      </w:r>
      <w:r w:rsidRPr="00AF040F">
        <w:rPr>
          <w:rFonts w:ascii="Abadi" w:hAnsi="Abadi"/>
          <w:b w:val="0"/>
          <w:bCs w:val="0"/>
          <w:i/>
          <w:iCs/>
          <w:spacing w:val="-1"/>
          <w:sz w:val="21"/>
          <w:szCs w:val="21"/>
        </w:rPr>
        <w:t xml:space="preserve"> </w:t>
      </w:r>
      <w:r w:rsidRPr="00AF040F">
        <w:rPr>
          <w:rFonts w:ascii="Abadi" w:hAnsi="Abadi"/>
          <w:b w:val="0"/>
          <w:bCs w:val="0"/>
          <w:i/>
          <w:iCs/>
          <w:sz w:val="21"/>
          <w:szCs w:val="21"/>
        </w:rPr>
        <w:t>Hombres</w:t>
      </w:r>
      <w:r w:rsidRPr="00AF040F">
        <w:rPr>
          <w:rFonts w:ascii="Abadi" w:hAnsi="Abadi"/>
          <w:b w:val="0"/>
          <w:bCs w:val="0"/>
          <w:sz w:val="21"/>
          <w:szCs w:val="21"/>
        </w:rPr>
        <w:t>,</w:t>
      </w:r>
      <w:r w:rsidRPr="00AF040F">
        <w:rPr>
          <w:rFonts w:ascii="Abadi" w:hAnsi="Abadi"/>
          <w:b w:val="0"/>
          <w:bCs w:val="0"/>
          <w:spacing w:val="48"/>
          <w:sz w:val="21"/>
          <w:szCs w:val="21"/>
        </w:rPr>
        <w:t xml:space="preserve"> </w:t>
      </w:r>
      <w:r w:rsidRPr="00AF040F">
        <w:rPr>
          <w:rFonts w:ascii="Abadi" w:hAnsi="Abadi"/>
          <w:b w:val="0"/>
          <w:bCs w:val="0"/>
          <w:sz w:val="21"/>
          <w:szCs w:val="21"/>
        </w:rPr>
        <w:t>así</w:t>
      </w:r>
      <w:r w:rsidRPr="00AF040F">
        <w:rPr>
          <w:rFonts w:ascii="Abadi" w:hAnsi="Abadi"/>
          <w:b w:val="0"/>
          <w:bCs w:val="0"/>
          <w:spacing w:val="49"/>
          <w:sz w:val="21"/>
          <w:szCs w:val="21"/>
        </w:rPr>
        <w:t xml:space="preserve"> </w:t>
      </w:r>
      <w:r w:rsidRPr="00AF040F">
        <w:rPr>
          <w:rFonts w:ascii="Abadi" w:hAnsi="Abadi"/>
          <w:b w:val="0"/>
          <w:bCs w:val="0"/>
          <w:sz w:val="21"/>
          <w:szCs w:val="21"/>
        </w:rPr>
        <w:t>como</w:t>
      </w:r>
      <w:r w:rsidRPr="00AF040F">
        <w:rPr>
          <w:rFonts w:ascii="Abadi" w:hAnsi="Abadi"/>
          <w:b w:val="0"/>
          <w:bCs w:val="0"/>
          <w:spacing w:val="50"/>
          <w:sz w:val="21"/>
          <w:szCs w:val="21"/>
        </w:rPr>
        <w:t xml:space="preserve"> </w:t>
      </w:r>
      <w:r w:rsidRPr="00AF040F">
        <w:rPr>
          <w:rFonts w:ascii="Abadi" w:hAnsi="Abadi"/>
          <w:b w:val="0"/>
          <w:bCs w:val="0"/>
          <w:sz w:val="21"/>
          <w:szCs w:val="21"/>
        </w:rPr>
        <w:t>para</w:t>
      </w:r>
      <w:r w:rsidRPr="00AF040F">
        <w:rPr>
          <w:rFonts w:ascii="Abadi" w:hAnsi="Abadi"/>
          <w:b w:val="0"/>
          <w:bCs w:val="0"/>
          <w:spacing w:val="49"/>
          <w:sz w:val="21"/>
          <w:szCs w:val="21"/>
        </w:rPr>
        <w:t xml:space="preserve"> </w:t>
      </w:r>
      <w:r w:rsidRPr="00AF040F">
        <w:rPr>
          <w:rFonts w:ascii="Abadi" w:hAnsi="Abadi"/>
          <w:b w:val="0"/>
          <w:bCs w:val="0"/>
          <w:sz w:val="21"/>
          <w:szCs w:val="21"/>
        </w:rPr>
        <w:t>que</w:t>
      </w:r>
      <w:r w:rsidRPr="00AF040F">
        <w:rPr>
          <w:rFonts w:ascii="Abadi" w:hAnsi="Abadi"/>
          <w:b w:val="0"/>
          <w:bCs w:val="0"/>
          <w:spacing w:val="49"/>
          <w:sz w:val="21"/>
          <w:szCs w:val="21"/>
        </w:rPr>
        <w:t xml:space="preserve"> </w:t>
      </w:r>
      <w:r w:rsidRPr="00AF040F">
        <w:rPr>
          <w:rFonts w:ascii="Abadi" w:hAnsi="Abadi"/>
          <w:b w:val="0"/>
          <w:bCs w:val="0"/>
          <w:sz w:val="21"/>
          <w:szCs w:val="21"/>
        </w:rPr>
        <w:t>investigue,</w:t>
      </w:r>
      <w:r w:rsidRPr="00AF040F">
        <w:rPr>
          <w:rFonts w:ascii="Abadi" w:hAnsi="Abadi"/>
          <w:b w:val="0"/>
          <w:bCs w:val="0"/>
          <w:spacing w:val="50"/>
          <w:sz w:val="21"/>
          <w:szCs w:val="21"/>
        </w:rPr>
        <w:t xml:space="preserve"> </w:t>
      </w:r>
      <w:r w:rsidRPr="00AF040F">
        <w:rPr>
          <w:rFonts w:ascii="Abadi" w:hAnsi="Abadi"/>
          <w:b w:val="0"/>
          <w:bCs w:val="0"/>
          <w:sz w:val="21"/>
          <w:szCs w:val="21"/>
        </w:rPr>
        <w:t>incorpore</w:t>
      </w:r>
      <w:r w:rsidRPr="00AF040F">
        <w:rPr>
          <w:rFonts w:ascii="Abadi" w:hAnsi="Abadi"/>
          <w:b w:val="0"/>
          <w:bCs w:val="0"/>
          <w:spacing w:val="50"/>
          <w:sz w:val="21"/>
          <w:szCs w:val="21"/>
        </w:rPr>
        <w:t xml:space="preserve"> </w:t>
      </w:r>
      <w:r w:rsidRPr="00AF040F">
        <w:rPr>
          <w:rFonts w:ascii="Abadi" w:hAnsi="Abadi"/>
          <w:b w:val="0"/>
          <w:bCs w:val="0"/>
          <w:sz w:val="21"/>
          <w:szCs w:val="21"/>
        </w:rPr>
        <w:t>e</w:t>
      </w:r>
      <w:r w:rsidRPr="00AF040F">
        <w:rPr>
          <w:rFonts w:ascii="Abadi" w:hAnsi="Abadi"/>
          <w:b w:val="0"/>
          <w:bCs w:val="0"/>
          <w:spacing w:val="50"/>
          <w:sz w:val="21"/>
          <w:szCs w:val="21"/>
        </w:rPr>
        <w:t xml:space="preserve"> </w:t>
      </w:r>
      <w:r w:rsidRPr="00AF040F">
        <w:rPr>
          <w:rFonts w:ascii="Abadi" w:hAnsi="Abadi"/>
          <w:b w:val="0"/>
          <w:bCs w:val="0"/>
          <w:sz w:val="21"/>
          <w:szCs w:val="21"/>
        </w:rPr>
        <w:t>implemente</w:t>
      </w:r>
      <w:r w:rsidRPr="00AF040F">
        <w:rPr>
          <w:rFonts w:ascii="Abadi" w:hAnsi="Abadi"/>
          <w:b w:val="0"/>
          <w:bCs w:val="0"/>
          <w:spacing w:val="49"/>
          <w:sz w:val="21"/>
          <w:szCs w:val="21"/>
        </w:rPr>
        <w:t xml:space="preserve"> </w:t>
      </w:r>
      <w:r w:rsidRPr="00AF040F">
        <w:rPr>
          <w:rFonts w:ascii="Abadi" w:hAnsi="Abadi"/>
          <w:b w:val="0"/>
          <w:bCs w:val="0"/>
          <w:sz w:val="21"/>
          <w:szCs w:val="21"/>
        </w:rPr>
        <w:t>las</w:t>
      </w:r>
      <w:r w:rsidRPr="00AF040F">
        <w:rPr>
          <w:rFonts w:ascii="Abadi" w:hAnsi="Abadi"/>
          <w:b w:val="0"/>
          <w:bCs w:val="0"/>
          <w:spacing w:val="52"/>
          <w:sz w:val="21"/>
          <w:szCs w:val="21"/>
        </w:rPr>
        <w:t xml:space="preserve"> </w:t>
      </w:r>
      <w:r w:rsidRPr="00AF040F">
        <w:rPr>
          <w:rFonts w:ascii="Abadi" w:hAnsi="Abadi"/>
          <w:b w:val="0"/>
          <w:bCs w:val="0"/>
          <w:sz w:val="21"/>
          <w:szCs w:val="21"/>
        </w:rPr>
        <w:t>mejores prácticas</w:t>
      </w:r>
      <w:r w:rsidRPr="00AF040F">
        <w:rPr>
          <w:rFonts w:ascii="Abadi" w:hAnsi="Abadi"/>
          <w:b w:val="0"/>
          <w:bCs w:val="0"/>
          <w:spacing w:val="3"/>
          <w:sz w:val="21"/>
          <w:szCs w:val="21"/>
        </w:rPr>
        <w:t xml:space="preserve"> </w:t>
      </w:r>
      <w:r w:rsidRPr="00AF040F">
        <w:rPr>
          <w:rFonts w:ascii="Abadi" w:hAnsi="Abadi"/>
          <w:b w:val="0"/>
          <w:bCs w:val="0"/>
          <w:sz w:val="21"/>
          <w:szCs w:val="21"/>
        </w:rPr>
        <w:t>en</w:t>
      </w:r>
      <w:r w:rsidRPr="00AF040F">
        <w:rPr>
          <w:rFonts w:ascii="Abadi" w:hAnsi="Abadi"/>
          <w:b w:val="0"/>
          <w:bCs w:val="0"/>
          <w:spacing w:val="2"/>
          <w:sz w:val="21"/>
          <w:szCs w:val="21"/>
        </w:rPr>
        <w:t xml:space="preserve"> </w:t>
      </w:r>
      <w:r w:rsidRPr="00AF040F">
        <w:rPr>
          <w:rFonts w:ascii="Abadi" w:hAnsi="Abadi"/>
          <w:b w:val="0"/>
          <w:bCs w:val="0"/>
          <w:sz w:val="21"/>
          <w:szCs w:val="21"/>
        </w:rPr>
        <w:t>materia de combate a</w:t>
      </w:r>
      <w:r w:rsidRPr="00AF040F">
        <w:rPr>
          <w:rFonts w:ascii="Abadi" w:hAnsi="Abadi"/>
          <w:b w:val="0"/>
          <w:bCs w:val="0"/>
          <w:spacing w:val="-1"/>
          <w:sz w:val="21"/>
          <w:szCs w:val="21"/>
        </w:rPr>
        <w:t xml:space="preserve"> </w:t>
      </w:r>
      <w:r w:rsidRPr="00AF040F">
        <w:rPr>
          <w:rFonts w:ascii="Abadi" w:hAnsi="Abadi"/>
          <w:b w:val="0"/>
          <w:bCs w:val="0"/>
          <w:sz w:val="21"/>
          <w:szCs w:val="21"/>
        </w:rPr>
        <w:t>la</w:t>
      </w:r>
      <w:r w:rsidRPr="00AF040F">
        <w:rPr>
          <w:rFonts w:ascii="Abadi" w:hAnsi="Abadi"/>
          <w:b w:val="0"/>
          <w:bCs w:val="0"/>
          <w:spacing w:val="4"/>
          <w:sz w:val="21"/>
          <w:szCs w:val="21"/>
        </w:rPr>
        <w:t xml:space="preserve"> </w:t>
      </w:r>
      <w:r w:rsidRPr="00AF040F">
        <w:rPr>
          <w:rFonts w:ascii="Abadi" w:hAnsi="Abadi"/>
          <w:b w:val="0"/>
          <w:bCs w:val="0"/>
          <w:sz w:val="21"/>
          <w:szCs w:val="21"/>
        </w:rPr>
        <w:t>violencia</w:t>
      </w:r>
      <w:r w:rsidRPr="00AF040F">
        <w:rPr>
          <w:rFonts w:ascii="Abadi" w:hAnsi="Abadi"/>
          <w:b w:val="0"/>
          <w:bCs w:val="0"/>
          <w:spacing w:val="3"/>
          <w:sz w:val="21"/>
          <w:szCs w:val="21"/>
        </w:rPr>
        <w:t xml:space="preserve"> </w:t>
      </w:r>
      <w:r w:rsidRPr="00AF040F">
        <w:rPr>
          <w:rFonts w:ascii="Abadi" w:hAnsi="Abadi"/>
          <w:b w:val="0"/>
          <w:bCs w:val="0"/>
          <w:sz w:val="21"/>
          <w:szCs w:val="21"/>
        </w:rPr>
        <w:t>de</w:t>
      </w:r>
      <w:r w:rsidRPr="00AF040F">
        <w:rPr>
          <w:rFonts w:ascii="Abadi" w:hAnsi="Abadi"/>
          <w:b w:val="0"/>
          <w:bCs w:val="0"/>
          <w:spacing w:val="-1"/>
          <w:sz w:val="21"/>
          <w:szCs w:val="21"/>
        </w:rPr>
        <w:t xml:space="preserve"> </w:t>
      </w:r>
      <w:r w:rsidRPr="00AF040F">
        <w:rPr>
          <w:rFonts w:ascii="Abadi" w:hAnsi="Abadi"/>
          <w:b w:val="0"/>
          <w:bCs w:val="0"/>
          <w:sz w:val="21"/>
          <w:szCs w:val="21"/>
        </w:rPr>
        <w:t>género</w:t>
      </w:r>
      <w:r w:rsidRPr="00AF040F">
        <w:rPr>
          <w:rFonts w:ascii="Abadi" w:hAnsi="Abadi"/>
          <w:b w:val="0"/>
          <w:bCs w:val="0"/>
          <w:spacing w:val="2"/>
          <w:sz w:val="21"/>
          <w:szCs w:val="21"/>
        </w:rPr>
        <w:t xml:space="preserve"> </w:t>
      </w:r>
      <w:r w:rsidRPr="00AF040F">
        <w:rPr>
          <w:rFonts w:ascii="Abadi" w:hAnsi="Abadi"/>
          <w:b w:val="0"/>
          <w:bCs w:val="0"/>
          <w:sz w:val="21"/>
          <w:szCs w:val="21"/>
        </w:rPr>
        <w:t>utilizando</w:t>
      </w:r>
      <w:r w:rsidRPr="00AF040F">
        <w:rPr>
          <w:rFonts w:ascii="Abadi" w:hAnsi="Abadi"/>
          <w:b w:val="0"/>
          <w:bCs w:val="0"/>
          <w:spacing w:val="-1"/>
          <w:sz w:val="21"/>
          <w:szCs w:val="21"/>
        </w:rPr>
        <w:t xml:space="preserve"> </w:t>
      </w:r>
      <w:r w:rsidRPr="00AF040F">
        <w:rPr>
          <w:rFonts w:ascii="Abadi" w:hAnsi="Abadi"/>
          <w:b w:val="0"/>
          <w:bCs w:val="0"/>
          <w:sz w:val="21"/>
          <w:szCs w:val="21"/>
        </w:rPr>
        <w:t>el</w:t>
      </w:r>
      <w:r w:rsidRPr="00AF040F">
        <w:rPr>
          <w:rFonts w:ascii="Abadi" w:hAnsi="Abadi"/>
          <w:b w:val="0"/>
          <w:bCs w:val="0"/>
          <w:spacing w:val="5"/>
          <w:sz w:val="21"/>
          <w:szCs w:val="21"/>
        </w:rPr>
        <w:t xml:space="preserve"> </w:t>
      </w:r>
      <w:r w:rsidRPr="00AF040F">
        <w:rPr>
          <w:rFonts w:ascii="Abadi" w:hAnsi="Abadi"/>
          <w:b w:val="0"/>
          <w:bCs w:val="0"/>
          <w:sz w:val="21"/>
          <w:szCs w:val="21"/>
        </w:rPr>
        <w:t>máximo de recursos</w:t>
      </w:r>
      <w:r w:rsidRPr="00AF040F">
        <w:rPr>
          <w:rFonts w:ascii="Abadi" w:hAnsi="Abadi"/>
          <w:b w:val="0"/>
          <w:bCs w:val="0"/>
          <w:spacing w:val="1"/>
          <w:sz w:val="21"/>
          <w:szCs w:val="21"/>
        </w:rPr>
        <w:t xml:space="preserve"> </w:t>
      </w:r>
      <w:r w:rsidRPr="00AF040F">
        <w:rPr>
          <w:rFonts w:ascii="Abadi" w:hAnsi="Abadi"/>
          <w:b w:val="0"/>
          <w:bCs w:val="0"/>
          <w:sz w:val="21"/>
          <w:szCs w:val="21"/>
        </w:rPr>
        <w:t>disponibles.</w:t>
      </w:r>
    </w:p>
    <w:p w14:paraId="4A0365CD" w14:textId="77777777" w:rsidR="00AF040F" w:rsidRPr="001D43B8" w:rsidRDefault="00AF040F" w:rsidP="00A44DEE">
      <w:pPr>
        <w:pStyle w:val="Textoindependiente"/>
        <w:kinsoku w:val="0"/>
        <w:overflowPunct w:val="0"/>
        <w:ind w:left="40"/>
        <w:jc w:val="center"/>
        <w:rPr>
          <w:rFonts w:ascii="Abadi" w:hAnsi="Abadi"/>
          <w:sz w:val="21"/>
          <w:szCs w:val="21"/>
        </w:rPr>
      </w:pPr>
    </w:p>
    <w:p w14:paraId="7F653E70" w14:textId="77777777" w:rsidR="00AF040F" w:rsidRPr="001D43B8" w:rsidRDefault="00AF040F" w:rsidP="00A44DEE">
      <w:pPr>
        <w:pStyle w:val="Textoindependiente"/>
        <w:kinsoku w:val="0"/>
        <w:overflowPunct w:val="0"/>
        <w:ind w:left="40"/>
        <w:jc w:val="center"/>
        <w:rPr>
          <w:rFonts w:ascii="Abadi" w:hAnsi="Abadi"/>
          <w:sz w:val="21"/>
          <w:szCs w:val="21"/>
        </w:rPr>
      </w:pPr>
      <w:r w:rsidRPr="001D43B8">
        <w:rPr>
          <w:rFonts w:ascii="Abadi" w:hAnsi="Abadi"/>
          <w:sz w:val="21"/>
          <w:szCs w:val="21"/>
        </w:rPr>
        <w:t>Guanajuato,</w:t>
      </w:r>
      <w:r w:rsidRPr="001D43B8">
        <w:rPr>
          <w:rFonts w:ascii="Abadi" w:hAnsi="Abadi"/>
          <w:spacing w:val="-1"/>
          <w:sz w:val="21"/>
          <w:szCs w:val="21"/>
        </w:rPr>
        <w:t xml:space="preserve"> </w:t>
      </w:r>
      <w:r w:rsidRPr="001D43B8">
        <w:rPr>
          <w:rFonts w:ascii="Abadi" w:hAnsi="Abadi"/>
          <w:sz w:val="21"/>
          <w:szCs w:val="21"/>
        </w:rPr>
        <w:t>Guanajuato,</w:t>
      </w:r>
      <w:r w:rsidRPr="001D43B8">
        <w:rPr>
          <w:rFonts w:ascii="Abadi" w:hAnsi="Abadi"/>
          <w:spacing w:val="-4"/>
          <w:sz w:val="21"/>
          <w:szCs w:val="21"/>
        </w:rPr>
        <w:t xml:space="preserve"> </w:t>
      </w:r>
      <w:r w:rsidRPr="001D43B8">
        <w:rPr>
          <w:rFonts w:ascii="Abadi" w:hAnsi="Abadi"/>
          <w:sz w:val="21"/>
          <w:szCs w:val="21"/>
        </w:rPr>
        <w:t>12</w:t>
      </w:r>
      <w:r w:rsidRPr="001D43B8">
        <w:rPr>
          <w:rFonts w:ascii="Abadi" w:hAnsi="Abadi"/>
          <w:spacing w:val="1"/>
          <w:sz w:val="21"/>
          <w:szCs w:val="21"/>
        </w:rPr>
        <w:t xml:space="preserve"> </w:t>
      </w:r>
      <w:r w:rsidRPr="001D43B8">
        <w:rPr>
          <w:rFonts w:ascii="Abadi" w:hAnsi="Abadi"/>
          <w:sz w:val="21"/>
          <w:szCs w:val="21"/>
        </w:rPr>
        <w:t>de octubre</w:t>
      </w:r>
      <w:r w:rsidRPr="001D43B8">
        <w:rPr>
          <w:rFonts w:ascii="Abadi" w:hAnsi="Abadi"/>
          <w:spacing w:val="2"/>
          <w:sz w:val="21"/>
          <w:szCs w:val="21"/>
        </w:rPr>
        <w:t xml:space="preserve"> </w:t>
      </w:r>
      <w:r w:rsidRPr="001D43B8">
        <w:rPr>
          <w:rFonts w:ascii="Abadi" w:hAnsi="Abadi"/>
          <w:sz w:val="21"/>
          <w:szCs w:val="21"/>
        </w:rPr>
        <w:t>de</w:t>
      </w:r>
      <w:r w:rsidRPr="001D43B8">
        <w:rPr>
          <w:rFonts w:ascii="Abadi" w:hAnsi="Abadi"/>
          <w:spacing w:val="-1"/>
          <w:sz w:val="21"/>
          <w:szCs w:val="21"/>
        </w:rPr>
        <w:t xml:space="preserve"> </w:t>
      </w:r>
      <w:r w:rsidRPr="001D43B8">
        <w:rPr>
          <w:rFonts w:ascii="Abadi" w:hAnsi="Abadi"/>
          <w:sz w:val="21"/>
          <w:szCs w:val="21"/>
        </w:rPr>
        <w:t>2022</w:t>
      </w:r>
    </w:p>
    <w:p w14:paraId="6A194E23" w14:textId="77777777" w:rsidR="00AF040F" w:rsidRPr="001D43B8" w:rsidRDefault="00AF040F" w:rsidP="00A44DEE">
      <w:pPr>
        <w:pStyle w:val="Textoindependiente"/>
        <w:kinsoku w:val="0"/>
        <w:overflowPunct w:val="0"/>
        <w:jc w:val="center"/>
        <w:rPr>
          <w:rFonts w:ascii="Abadi" w:hAnsi="Abadi"/>
          <w:sz w:val="21"/>
          <w:szCs w:val="21"/>
        </w:rPr>
      </w:pPr>
    </w:p>
    <w:p w14:paraId="67D793DE" w14:textId="77777777" w:rsidR="00AF040F" w:rsidRPr="001D43B8" w:rsidRDefault="00AF040F" w:rsidP="00A44DEE">
      <w:pPr>
        <w:pStyle w:val="Textoindependiente"/>
        <w:kinsoku w:val="0"/>
        <w:overflowPunct w:val="0"/>
        <w:jc w:val="center"/>
        <w:rPr>
          <w:rFonts w:ascii="Abadi" w:hAnsi="Abadi"/>
          <w:sz w:val="21"/>
          <w:szCs w:val="21"/>
        </w:rPr>
      </w:pPr>
      <w:r w:rsidRPr="001D43B8">
        <w:rPr>
          <w:rFonts w:ascii="Abadi" w:hAnsi="Abadi"/>
          <w:sz w:val="21"/>
          <w:szCs w:val="21"/>
        </w:rPr>
        <w:t>Dip.</w:t>
      </w:r>
      <w:r w:rsidRPr="001D43B8">
        <w:rPr>
          <w:rFonts w:ascii="Abadi" w:hAnsi="Abadi"/>
          <w:spacing w:val="-3"/>
          <w:sz w:val="21"/>
          <w:szCs w:val="21"/>
        </w:rPr>
        <w:t xml:space="preserve"> </w:t>
      </w:r>
      <w:r w:rsidRPr="001D43B8">
        <w:rPr>
          <w:rFonts w:ascii="Abadi" w:hAnsi="Abadi"/>
          <w:sz w:val="21"/>
          <w:szCs w:val="21"/>
        </w:rPr>
        <w:t>Alma</w:t>
      </w:r>
      <w:r w:rsidRPr="001D43B8">
        <w:rPr>
          <w:rFonts w:ascii="Abadi" w:hAnsi="Abadi"/>
          <w:spacing w:val="-4"/>
          <w:sz w:val="21"/>
          <w:szCs w:val="21"/>
        </w:rPr>
        <w:t xml:space="preserve"> </w:t>
      </w:r>
      <w:r w:rsidRPr="001D43B8">
        <w:rPr>
          <w:rFonts w:ascii="Abadi" w:hAnsi="Abadi"/>
          <w:sz w:val="21"/>
          <w:szCs w:val="21"/>
        </w:rPr>
        <w:t>Edwviges</w:t>
      </w:r>
      <w:r w:rsidRPr="001D43B8">
        <w:rPr>
          <w:rFonts w:ascii="Abadi" w:hAnsi="Abadi"/>
          <w:spacing w:val="-4"/>
          <w:sz w:val="21"/>
          <w:szCs w:val="21"/>
        </w:rPr>
        <w:t xml:space="preserve"> </w:t>
      </w:r>
      <w:r w:rsidRPr="001D43B8">
        <w:rPr>
          <w:rFonts w:ascii="Abadi" w:hAnsi="Abadi"/>
          <w:sz w:val="21"/>
          <w:szCs w:val="21"/>
        </w:rPr>
        <w:t>Alcaraz</w:t>
      </w:r>
      <w:r w:rsidRPr="001D43B8">
        <w:rPr>
          <w:rFonts w:ascii="Abadi" w:hAnsi="Abadi"/>
          <w:spacing w:val="-3"/>
          <w:sz w:val="21"/>
          <w:szCs w:val="21"/>
        </w:rPr>
        <w:t xml:space="preserve"> </w:t>
      </w:r>
      <w:r w:rsidRPr="001D43B8">
        <w:rPr>
          <w:rFonts w:ascii="Abadi" w:hAnsi="Abadi"/>
          <w:sz w:val="21"/>
          <w:szCs w:val="21"/>
        </w:rPr>
        <w:t>Hernández</w:t>
      </w:r>
    </w:p>
    <w:p w14:paraId="54508EDA" w14:textId="66B80664" w:rsidR="00AF040F" w:rsidRDefault="00AF040F" w:rsidP="00A44DEE">
      <w:pPr>
        <w:pStyle w:val="Textoindependiente"/>
        <w:kinsoku w:val="0"/>
        <w:overflowPunct w:val="0"/>
        <w:ind w:left="40"/>
        <w:jc w:val="center"/>
        <w:rPr>
          <w:rFonts w:ascii="Abadi" w:hAnsi="Abadi"/>
          <w:sz w:val="21"/>
          <w:szCs w:val="21"/>
        </w:rPr>
      </w:pPr>
      <w:r w:rsidRPr="001D43B8">
        <w:rPr>
          <w:rFonts w:ascii="Abadi" w:hAnsi="Abadi"/>
          <w:sz w:val="21"/>
          <w:szCs w:val="21"/>
        </w:rPr>
        <w:t>Grupo</w:t>
      </w:r>
      <w:r w:rsidRPr="001D43B8">
        <w:rPr>
          <w:rFonts w:ascii="Abadi" w:hAnsi="Abadi"/>
          <w:spacing w:val="-5"/>
          <w:sz w:val="21"/>
          <w:szCs w:val="21"/>
        </w:rPr>
        <w:t xml:space="preserve"> </w:t>
      </w:r>
      <w:r w:rsidRPr="001D43B8">
        <w:rPr>
          <w:rFonts w:ascii="Abadi" w:hAnsi="Abadi"/>
          <w:sz w:val="21"/>
          <w:szCs w:val="21"/>
        </w:rPr>
        <w:t>Parlamentario</w:t>
      </w:r>
      <w:r w:rsidRPr="001D43B8">
        <w:rPr>
          <w:rFonts w:ascii="Abadi" w:hAnsi="Abadi"/>
          <w:spacing w:val="-5"/>
          <w:sz w:val="21"/>
          <w:szCs w:val="21"/>
        </w:rPr>
        <w:t xml:space="preserve"> </w:t>
      </w:r>
      <w:r w:rsidRPr="001D43B8">
        <w:rPr>
          <w:rFonts w:ascii="Abadi" w:hAnsi="Abadi"/>
          <w:sz w:val="21"/>
          <w:szCs w:val="21"/>
        </w:rPr>
        <w:t>de</w:t>
      </w:r>
      <w:r w:rsidRPr="001D43B8">
        <w:rPr>
          <w:rFonts w:ascii="Abadi" w:hAnsi="Abadi"/>
          <w:spacing w:val="-3"/>
          <w:sz w:val="21"/>
          <w:szCs w:val="21"/>
        </w:rPr>
        <w:t xml:space="preserve"> </w:t>
      </w:r>
      <w:r w:rsidRPr="001D43B8">
        <w:rPr>
          <w:rFonts w:ascii="Abadi" w:hAnsi="Abadi"/>
          <w:sz w:val="21"/>
          <w:szCs w:val="21"/>
        </w:rPr>
        <w:t>Morena</w:t>
      </w:r>
    </w:p>
    <w:p w14:paraId="3CDA1ED8" w14:textId="16DE0941" w:rsidR="00A86E62" w:rsidRDefault="00A86E62" w:rsidP="00A44DEE">
      <w:pPr>
        <w:pStyle w:val="Textoindependiente"/>
        <w:kinsoku w:val="0"/>
        <w:overflowPunct w:val="0"/>
        <w:ind w:left="40"/>
        <w:jc w:val="center"/>
        <w:rPr>
          <w:rFonts w:ascii="Abadi" w:hAnsi="Abadi"/>
          <w:sz w:val="21"/>
          <w:szCs w:val="21"/>
        </w:rPr>
      </w:pPr>
    </w:p>
    <w:p w14:paraId="5F15D2B6" w14:textId="6341709F" w:rsidR="00A86E62" w:rsidRDefault="00A86E62" w:rsidP="00A44DEE">
      <w:pPr>
        <w:pStyle w:val="Textoindependiente"/>
        <w:kinsoku w:val="0"/>
        <w:overflowPunct w:val="0"/>
        <w:ind w:left="40"/>
        <w:jc w:val="center"/>
        <w:rPr>
          <w:rFonts w:ascii="Abadi" w:hAnsi="Abadi"/>
          <w:sz w:val="21"/>
          <w:szCs w:val="21"/>
        </w:rPr>
      </w:pPr>
    </w:p>
    <w:p w14:paraId="615DF19F" w14:textId="4B00E600" w:rsidR="00C37381" w:rsidRDefault="00C37381" w:rsidP="00C37381">
      <w:pPr>
        <w:jc w:val="both"/>
        <w:rPr>
          <w:rFonts w:ascii="Abadi" w:hAnsi="Abadi"/>
          <w:sz w:val="21"/>
          <w:szCs w:val="21"/>
        </w:rPr>
      </w:pPr>
      <w:r>
        <w:rPr>
          <w:rFonts w:ascii="Abadi" w:hAnsi="Abadi"/>
          <w:b/>
          <w:bCs/>
          <w:sz w:val="21"/>
          <w:szCs w:val="21"/>
        </w:rPr>
        <w:tab/>
      </w:r>
      <w:r w:rsidRPr="00AA7107">
        <w:rPr>
          <w:rFonts w:ascii="Abadi" w:hAnsi="Abadi"/>
          <w:b/>
          <w:bCs/>
          <w:sz w:val="21"/>
          <w:szCs w:val="21"/>
        </w:rPr>
        <w:t>- El Presidente.-</w:t>
      </w:r>
      <w:r w:rsidRPr="00AA7107">
        <w:rPr>
          <w:rFonts w:ascii="Abadi" w:hAnsi="Abadi"/>
          <w:sz w:val="21"/>
          <w:szCs w:val="21"/>
        </w:rPr>
        <w:t xml:space="preserve"> A continuación se solicita a la diputada Alma Edwviges Alcaraz, dar lectura a sus propuesta de punto de acuerdo que corresponde al punto 12 de nuestra orden del día. (ELD 195/LXV-PPA)</w:t>
      </w:r>
    </w:p>
    <w:p w14:paraId="7C846224" w14:textId="77777777" w:rsidR="00C37381" w:rsidRPr="00AA7107" w:rsidRDefault="00C37381" w:rsidP="00C37381">
      <w:pPr>
        <w:jc w:val="both"/>
        <w:rPr>
          <w:rFonts w:ascii="Abadi" w:hAnsi="Abadi"/>
          <w:sz w:val="21"/>
          <w:szCs w:val="21"/>
        </w:rPr>
      </w:pPr>
    </w:p>
    <w:p w14:paraId="6C0B57D2" w14:textId="77777777" w:rsidR="00C37381" w:rsidRPr="00AA7107" w:rsidRDefault="00C37381" w:rsidP="00C37381">
      <w:pPr>
        <w:jc w:val="both"/>
        <w:rPr>
          <w:rFonts w:ascii="Abadi" w:hAnsi="Abadi"/>
          <w:sz w:val="21"/>
          <w:szCs w:val="21"/>
        </w:rPr>
      </w:pPr>
      <w:r>
        <w:rPr>
          <w:rFonts w:ascii="Abadi" w:hAnsi="Abadi"/>
          <w:sz w:val="21"/>
          <w:szCs w:val="21"/>
        </w:rPr>
        <w:tab/>
      </w:r>
      <w:r w:rsidRPr="00AA7107">
        <w:rPr>
          <w:rFonts w:ascii="Abadi" w:hAnsi="Abadi"/>
          <w:sz w:val="21"/>
          <w:szCs w:val="21"/>
        </w:rPr>
        <w:t>- Tiene usted el uso de a voz, diputada Alma Edwviges.</w:t>
      </w:r>
    </w:p>
    <w:p w14:paraId="0A35052F" w14:textId="77777777" w:rsidR="00C37381" w:rsidRPr="00AA7107" w:rsidRDefault="00C37381" w:rsidP="00C37381">
      <w:pPr>
        <w:jc w:val="both"/>
        <w:rPr>
          <w:rFonts w:ascii="Abadi" w:hAnsi="Abadi"/>
          <w:sz w:val="21"/>
          <w:szCs w:val="21"/>
        </w:rPr>
      </w:pPr>
    </w:p>
    <w:p w14:paraId="2F149326" w14:textId="77777777" w:rsidR="00C37381" w:rsidRPr="00AA7107" w:rsidRDefault="00C37381" w:rsidP="00C37381">
      <w:pPr>
        <w:jc w:val="both"/>
        <w:rPr>
          <w:rFonts w:ascii="Abadi" w:hAnsi="Abadi"/>
          <w:b/>
          <w:bCs/>
          <w:sz w:val="21"/>
          <w:szCs w:val="21"/>
        </w:rPr>
      </w:pPr>
      <w:r w:rsidRPr="00AA7107">
        <w:rPr>
          <w:rFonts w:ascii="Abadi" w:hAnsi="Abadi"/>
          <w:b/>
          <w:bCs/>
          <w:sz w:val="21"/>
          <w:szCs w:val="21"/>
        </w:rPr>
        <w:t>(Sube a tribuna la diputada Alma Edwviges Alcaraz Hernández, para hablar del punto de acuerdo presentado)</w:t>
      </w:r>
    </w:p>
    <w:p w14:paraId="435DDFB0" w14:textId="0308C4AF" w:rsidR="00C37381" w:rsidRPr="00AA7107" w:rsidRDefault="00C37381" w:rsidP="00C37381">
      <w:pPr>
        <w:jc w:val="both"/>
        <w:rPr>
          <w:rFonts w:ascii="Abadi" w:hAnsi="Abadi"/>
          <w:b/>
          <w:bCs/>
          <w:sz w:val="21"/>
          <w:szCs w:val="21"/>
        </w:rPr>
      </w:pPr>
      <w:r w:rsidRPr="00AA7107">
        <w:rPr>
          <w:noProof/>
          <w:sz w:val="21"/>
          <w:szCs w:val="21"/>
        </w:rPr>
        <w:drawing>
          <wp:anchor distT="0" distB="0" distL="114300" distR="114300" simplePos="0" relativeHeight="251682816" behindDoc="1" locked="0" layoutInCell="1" allowOverlap="1" wp14:anchorId="7A941D91" wp14:editId="3BB245EE">
            <wp:simplePos x="0" y="0"/>
            <wp:positionH relativeFrom="column">
              <wp:posOffset>414727</wp:posOffset>
            </wp:positionH>
            <wp:positionV relativeFrom="paragraph">
              <wp:posOffset>490603</wp:posOffset>
            </wp:positionV>
            <wp:extent cx="1676684" cy="884799"/>
            <wp:effectExtent l="247650" t="228600" r="247650" b="810895"/>
            <wp:wrapTight wrapText="bothSides">
              <wp:wrapPolygon edited="0">
                <wp:start x="-3191" y="-5582"/>
                <wp:lineTo x="-3191" y="40936"/>
                <wp:lineTo x="24545" y="40936"/>
                <wp:lineTo x="24545" y="-5582"/>
                <wp:lineTo x="-3191" y="-5582"/>
              </wp:wrapPolygon>
            </wp:wrapTight>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b="6178"/>
                    <a:stretch/>
                  </pic:blipFill>
                  <pic:spPr bwMode="auto">
                    <a:xfrm>
                      <a:off x="0" y="0"/>
                      <a:ext cx="1676684" cy="884799"/>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035B3656" w14:textId="4C3AB399" w:rsidR="00C37381" w:rsidRPr="00AA7107" w:rsidRDefault="00C37381" w:rsidP="00C37381">
      <w:pPr>
        <w:jc w:val="both"/>
        <w:rPr>
          <w:rFonts w:ascii="Abadi" w:hAnsi="Abadi"/>
          <w:sz w:val="21"/>
          <w:szCs w:val="21"/>
        </w:rPr>
      </w:pPr>
    </w:p>
    <w:p w14:paraId="5D403B16" w14:textId="4BBA7108" w:rsidR="00C37381" w:rsidRPr="00AA7107" w:rsidRDefault="00C37381" w:rsidP="00C37381">
      <w:pPr>
        <w:jc w:val="both"/>
        <w:rPr>
          <w:rFonts w:ascii="Abadi" w:hAnsi="Abadi"/>
          <w:sz w:val="21"/>
          <w:szCs w:val="21"/>
        </w:rPr>
      </w:pPr>
    </w:p>
    <w:p w14:paraId="04279D87" w14:textId="6ED73530" w:rsidR="00C37381" w:rsidRPr="00AA7107" w:rsidRDefault="00C37381" w:rsidP="00C37381">
      <w:pPr>
        <w:jc w:val="both"/>
        <w:rPr>
          <w:rFonts w:ascii="Abadi" w:hAnsi="Abadi"/>
          <w:sz w:val="21"/>
          <w:szCs w:val="21"/>
        </w:rPr>
      </w:pPr>
      <w:r w:rsidRPr="00AA7107">
        <w:rPr>
          <w:rFonts w:ascii="Abadi" w:hAnsi="Abadi"/>
          <w:b/>
          <w:bCs/>
          <w:sz w:val="21"/>
          <w:szCs w:val="21"/>
        </w:rPr>
        <w:t>- Diputada Alma Edwviges Alcaraz Hernández</w:t>
      </w:r>
      <w:r>
        <w:rPr>
          <w:rFonts w:ascii="Abadi" w:hAnsi="Abadi"/>
          <w:b/>
          <w:bCs/>
          <w:sz w:val="21"/>
          <w:szCs w:val="21"/>
        </w:rPr>
        <w:t>-</w:t>
      </w:r>
      <w:r w:rsidRPr="00AA7107">
        <w:rPr>
          <w:rFonts w:ascii="Abadi" w:hAnsi="Abadi"/>
          <w:sz w:val="21"/>
          <w:szCs w:val="21"/>
        </w:rPr>
        <w:t xml:space="preserve"> </w:t>
      </w:r>
    </w:p>
    <w:p w14:paraId="7ED2F20C" w14:textId="77777777" w:rsidR="00C37381" w:rsidRPr="00AA7107" w:rsidRDefault="00C37381" w:rsidP="00C37381">
      <w:pPr>
        <w:jc w:val="both"/>
        <w:rPr>
          <w:rFonts w:ascii="Abadi" w:hAnsi="Abadi"/>
          <w:sz w:val="21"/>
          <w:szCs w:val="21"/>
        </w:rPr>
      </w:pPr>
    </w:p>
    <w:p w14:paraId="7D9CA46D" w14:textId="249C6796" w:rsidR="00C37381" w:rsidRDefault="00C37381" w:rsidP="00C37381">
      <w:pPr>
        <w:jc w:val="both"/>
        <w:rPr>
          <w:rFonts w:ascii="Abadi" w:hAnsi="Abadi"/>
          <w:sz w:val="21"/>
          <w:szCs w:val="21"/>
        </w:rPr>
      </w:pPr>
      <w:r w:rsidRPr="00AA7107">
        <w:rPr>
          <w:rFonts w:ascii="Abadi" w:hAnsi="Abadi"/>
          <w:sz w:val="21"/>
          <w:szCs w:val="21"/>
        </w:rPr>
        <w:t>- Muy buen día compañeras y compañeros  diputados medios de comunicación y quienes nos siguen por las redes sociales, muy buen día tengan, la violencia contra las mujeres representa un fenómeno que ha afectado históricamente la organización de nuestra sociedad es un problema de derechos humanos y una de las banderas, más importantes de la lucha por la transformación social y política que nos exige atender de manera urgente, una de las características de la violencia de género es su progresividad es decir que cuando se comienza a ejercer la violencia contra una mujer es muy poco probable que disminuya, se elimine o erradique por lo general siempre va en ascenso y con más intensidad por tanto las consecuencias contra la vida y el bienestar de las mujeres pues se pone en entredicho cuando la cultura patriarcal favorece la aparición sistemática de la violencia de género se abre una puerta a la violación reiterada y sistemática de los derechos humanos de las mujeres lo cual es su forma más extrema termina en los feminicidios, en guanajuato hasta el año 2021.</w:t>
      </w:r>
    </w:p>
    <w:p w14:paraId="1F3EA15D" w14:textId="77777777" w:rsidR="00390005" w:rsidRPr="00AA7107" w:rsidRDefault="00390005" w:rsidP="00C37381">
      <w:pPr>
        <w:jc w:val="both"/>
        <w:rPr>
          <w:rFonts w:ascii="Abadi" w:hAnsi="Abadi"/>
          <w:sz w:val="21"/>
          <w:szCs w:val="21"/>
        </w:rPr>
      </w:pPr>
    </w:p>
    <w:p w14:paraId="7D5CE35A" w14:textId="40C12548" w:rsidR="00C37381" w:rsidRDefault="00C37381" w:rsidP="00C37381">
      <w:pPr>
        <w:jc w:val="both"/>
        <w:rPr>
          <w:rFonts w:ascii="Abadi" w:hAnsi="Abadi"/>
          <w:sz w:val="21"/>
          <w:szCs w:val="21"/>
        </w:rPr>
      </w:pPr>
      <w:r w:rsidRPr="00AA7107">
        <w:rPr>
          <w:rFonts w:ascii="Abadi" w:hAnsi="Abadi"/>
          <w:sz w:val="21"/>
          <w:szCs w:val="21"/>
        </w:rPr>
        <w:t>- Según la encuesta del INEGI 7 de cada 10 mujeres de 15 años o más habían vivido al menos algún tipo de violencia o golpes a lo largo de sus vidas específicamente en el ámbito escolar fue el 30 % en el laboral el 25% en el comunitario el 43 y el familiar el 39% pero además la violencia contra las mujeres en guanajuato ha incrementado 5.1 puntos porcentuales respecto al 2016 lo que representa un evidente retroceso en el combate a la violencia contra las mujeres el problema es innegable de enero a agosto del 2022 en guanajuato existen 256 presuntas víctimas de mujeres que perdieron la vida por homicidio doloso y 14 casos calificados como feminicidios además ocupamos el segundo lugar el segundo lugar de presuntas víctimas de mujeres afectadas con lesiones dolosas con 4496 casos no es mínimo el tema lo que representa es 138 casos por cada 100000 guanajuatenses.</w:t>
      </w:r>
    </w:p>
    <w:p w14:paraId="4CC01359" w14:textId="77777777" w:rsidR="00390005" w:rsidRPr="00AA7107" w:rsidRDefault="00390005" w:rsidP="00C37381">
      <w:pPr>
        <w:jc w:val="both"/>
        <w:rPr>
          <w:rFonts w:ascii="Abadi" w:hAnsi="Abadi"/>
          <w:sz w:val="21"/>
          <w:szCs w:val="21"/>
        </w:rPr>
      </w:pPr>
    </w:p>
    <w:p w14:paraId="6F8AFA57" w14:textId="5FF2F831" w:rsidR="00C37381" w:rsidRDefault="00C37381" w:rsidP="00C37381">
      <w:pPr>
        <w:jc w:val="both"/>
        <w:rPr>
          <w:rFonts w:ascii="Abadi" w:hAnsi="Abadi"/>
          <w:sz w:val="21"/>
          <w:szCs w:val="21"/>
        </w:rPr>
      </w:pPr>
      <w:r w:rsidRPr="00AA7107">
        <w:rPr>
          <w:rFonts w:ascii="Abadi" w:hAnsi="Abadi"/>
          <w:sz w:val="21"/>
          <w:szCs w:val="21"/>
        </w:rPr>
        <w:t>- Adicionalmente en guanajuato también se ha presentado un incremento lamentable en los casos de delito por violación simple en 2020 hubo un total de 527 violaciones en 2021 un total de 818 por lo que respecta a este año al corte de agosto ya se tenían 598 casos de la misma forma los casos de delitos de violación equiparada van a la alza fueron 42 en 2021 78 y para agosto del 2022 ya se registraban 65 casos en lo que va de este año de los cuales en su mayoría pues las mujeres son víctimas ante este panorama las instituciones estatales pues deben de orientar sus esfuerzos de forma progresiva implementando al máximo los recursos disponibles y con perspectiva de género.</w:t>
      </w:r>
    </w:p>
    <w:p w14:paraId="072869A3" w14:textId="77777777" w:rsidR="00390005" w:rsidRPr="00AA7107" w:rsidRDefault="00390005" w:rsidP="00C37381">
      <w:pPr>
        <w:jc w:val="both"/>
        <w:rPr>
          <w:rFonts w:ascii="Abadi" w:hAnsi="Abadi"/>
          <w:sz w:val="21"/>
          <w:szCs w:val="21"/>
        </w:rPr>
      </w:pPr>
    </w:p>
    <w:p w14:paraId="41B2C52E" w14:textId="7FB30F26" w:rsidR="00C37381" w:rsidRDefault="00C37381" w:rsidP="00C37381">
      <w:pPr>
        <w:jc w:val="both"/>
        <w:rPr>
          <w:rFonts w:ascii="Abadi" w:hAnsi="Abadi"/>
          <w:sz w:val="21"/>
          <w:szCs w:val="21"/>
        </w:rPr>
      </w:pPr>
      <w:r w:rsidRPr="00AA7107">
        <w:rPr>
          <w:rFonts w:ascii="Abadi" w:hAnsi="Abadi"/>
          <w:sz w:val="21"/>
          <w:szCs w:val="21"/>
        </w:rPr>
        <w:t>- Sin embargo hoy en día no tenemos la certeza de que los esfuerzos institucionales estén orientando como deben de ser y hacia la igualdad sustantiva para el presente Ejercicio Fiscal por ejemplo el instituto para las mujeres guanajuatenses cuenta con un solo programa denominado el 045 acceso equitativo y oportunidades de desarrollo para hombres y mujeres mismo que contiene 3 proyectos solamente el Q3195 acceso de las mujeres a oportunidades de desarrollo en condiciones de igualdad a este subprograma se le destinó 11.2 millones de pesos el Q3189 que se llama acciones para reducir las manifestaciones de violencia contra las niñas adolescentes y mujeres que se le asignaron 15 millones de pesos y el Q 3128 que se le asignaron, qué es un refugio para mujeres y sus hijos e hijas en situación de violencia que se les asignaron 2.6 millones de pesos nada más.</w:t>
      </w:r>
    </w:p>
    <w:p w14:paraId="1359327F" w14:textId="77777777" w:rsidR="00390005" w:rsidRPr="00AA7107" w:rsidRDefault="00390005" w:rsidP="00C37381">
      <w:pPr>
        <w:jc w:val="both"/>
        <w:rPr>
          <w:rFonts w:ascii="Abadi" w:hAnsi="Abadi"/>
          <w:sz w:val="21"/>
          <w:szCs w:val="21"/>
        </w:rPr>
      </w:pPr>
    </w:p>
    <w:p w14:paraId="02434D02" w14:textId="34695307" w:rsidR="00C37381" w:rsidRDefault="00C37381" w:rsidP="00C37381">
      <w:pPr>
        <w:jc w:val="both"/>
        <w:rPr>
          <w:rFonts w:ascii="Abadi" w:hAnsi="Abadi"/>
          <w:sz w:val="21"/>
          <w:szCs w:val="21"/>
        </w:rPr>
      </w:pPr>
      <w:r w:rsidRPr="00AA7107">
        <w:rPr>
          <w:rFonts w:ascii="Abadi" w:hAnsi="Abadi"/>
          <w:sz w:val="21"/>
          <w:szCs w:val="21"/>
        </w:rPr>
        <w:t>- Estamos hablando de que este paquete solamente se la otorgó 29.5 millones de pesos el cual no ha sido modificado hacia la alza en lo que va de lo que va al corte de julio esta situación sí contrasta con la ampliación de otros gastos que no son prioritarios pero además hemos escuchado aquí muchos discursos muy bonitos muy bien hechos de apoyo hacia la mujer, de una gran preocupación del tema de la mujer ¿no? el no a la violencia, este, el día internacional, de la no violencia, el día internacional de la mujer rural, día internacional de muchos temas ¿sí? pero hechos son amores compañeras y compañeros y no buenas razones la realidad es que se le destina muy poco a los casos de violencia contra las mujer, este es un tema muy delicado porque guanajuato está siendo pionero en el tema también de la violencia contra la mujer y no podremos como cerrar los ojos o decir que no existe, lo que sí existe y lo que los números nos están diciendo esta situación contrasta con la ampliación de otros gastos donde sí hay un aumento importante y que no lo no los consideramos prioritarios como 198 millones de pesos al cierre de junio que se le adicionaron por ejemplo el gasto de comunicación social y publicidad 189 millones adicionales al caso de las mujeres 29 millones sin ninguna visión es mucha la diferencia de verdad tenemos que hacer un alto en este sentido para ver quién podemos hacer por tantas, para apoyar a tanta a tanta violencia contra la mujer en estos momentos este gasto cita a más de 330 millones de pesos así como 20 millones de pesos por ejemplo que se le adicionaron a los gastos de servicios oficiales que son gastos de eventos gastos de convenciones gastos de ferias y demás y ya hacienden a 85 millones de pesos es decir se le dan 56 millones de pesos adicionales a los eventos oficiales 30 y 302 millones de pesos adicionales a los gastos de comunicación social y publicidad que a los proyectos destinados a erradicar la violencia no se les aumenta nada de verdad ni un solo aumento estos programas solo hay 29.5 millones de pesos que es lo que aquí se aprobó el año pasado para este presupuesto actual y que no ha tenido ningún aumento.</w:t>
      </w:r>
    </w:p>
    <w:p w14:paraId="47A311F4" w14:textId="77777777" w:rsidR="00390005" w:rsidRPr="00AA7107" w:rsidRDefault="00390005" w:rsidP="00C37381">
      <w:pPr>
        <w:jc w:val="both"/>
        <w:rPr>
          <w:rFonts w:ascii="Abadi" w:hAnsi="Abadi"/>
          <w:sz w:val="21"/>
          <w:szCs w:val="21"/>
        </w:rPr>
      </w:pPr>
    </w:p>
    <w:p w14:paraId="6AEDEA4A" w14:textId="55F49262" w:rsidR="00C37381" w:rsidRDefault="00C37381" w:rsidP="00C37381">
      <w:pPr>
        <w:jc w:val="both"/>
        <w:rPr>
          <w:rFonts w:ascii="Abadi" w:hAnsi="Abadi"/>
          <w:sz w:val="21"/>
          <w:szCs w:val="21"/>
        </w:rPr>
      </w:pPr>
      <w:r w:rsidRPr="00AA7107">
        <w:rPr>
          <w:rFonts w:ascii="Abadi" w:hAnsi="Abadi"/>
          <w:sz w:val="21"/>
          <w:szCs w:val="21"/>
        </w:rPr>
        <w:t xml:space="preserve">- Entonces es un tema realmente muy delicado no porque de francamente compañeras compañeros de discursos las cosas no se van a arreglar ¿no? </w:t>
      </w:r>
    </w:p>
    <w:p w14:paraId="22A0A427" w14:textId="77777777" w:rsidR="00390005" w:rsidRPr="00AA7107" w:rsidRDefault="00390005" w:rsidP="00C37381">
      <w:pPr>
        <w:jc w:val="both"/>
        <w:rPr>
          <w:rFonts w:ascii="Abadi" w:hAnsi="Abadi"/>
          <w:sz w:val="21"/>
          <w:szCs w:val="21"/>
        </w:rPr>
      </w:pPr>
    </w:p>
    <w:p w14:paraId="44420B4D" w14:textId="0D15E5B1" w:rsidR="00C37381" w:rsidRDefault="00C37381" w:rsidP="00C37381">
      <w:pPr>
        <w:jc w:val="both"/>
        <w:rPr>
          <w:rFonts w:ascii="Abadi" w:hAnsi="Abadi"/>
          <w:sz w:val="21"/>
          <w:szCs w:val="21"/>
        </w:rPr>
      </w:pPr>
      <w:r w:rsidRPr="00AA7107">
        <w:rPr>
          <w:rFonts w:ascii="Abadi" w:hAnsi="Abadi"/>
          <w:sz w:val="21"/>
          <w:szCs w:val="21"/>
        </w:rPr>
        <w:t>- Sumando a esto hay que recordar que la auditoría Superior del Estado por otro también se negó a evaluar los programas del Instituto del IMUG Instituto de Mujeres Guanajuatenses, que propusimos desde nuestro Grupo Parlamentario de esa manera el Grupo Parlamentario de Morena considera necesario que el Gobierno del Estado evalúe de verdad, entre evalúe los impactos que tienen sus programas para garantizar los derechos de las mujeres a una vida libre de violencia pero en los hechos, no, nada más de los discursos.</w:t>
      </w:r>
    </w:p>
    <w:p w14:paraId="1C19654F" w14:textId="77777777" w:rsidR="00C52881" w:rsidRPr="00AA7107" w:rsidRDefault="00C52881" w:rsidP="00C37381">
      <w:pPr>
        <w:jc w:val="both"/>
        <w:rPr>
          <w:rFonts w:ascii="Abadi" w:hAnsi="Abadi"/>
          <w:sz w:val="21"/>
          <w:szCs w:val="21"/>
        </w:rPr>
      </w:pPr>
    </w:p>
    <w:p w14:paraId="34B86177" w14:textId="15504F69" w:rsidR="00C37381" w:rsidRDefault="00C37381" w:rsidP="00C37381">
      <w:pPr>
        <w:jc w:val="both"/>
        <w:rPr>
          <w:rFonts w:ascii="Abadi" w:hAnsi="Abadi"/>
          <w:sz w:val="21"/>
          <w:szCs w:val="21"/>
        </w:rPr>
      </w:pPr>
      <w:r w:rsidRPr="00AA7107">
        <w:rPr>
          <w:rFonts w:ascii="Abadi" w:hAnsi="Abadi"/>
          <w:sz w:val="21"/>
          <w:szCs w:val="21"/>
        </w:rPr>
        <w:t>- Si observamos los datos que se presentaron anteriormente que ya menciones identifican una deficiencia muy marcada en el funcionamiento y resultados de estos proyectos en comparación con otras entidades por ejemplo la Ciudad de México y Guanajuato, tiene casi cinco veces más presuntas víctimas, con mujeres dolosas, respecto a la Ciudad de México en el periodo de enero a agosto del 2022, mientras que en Ciudad de México tiene 909 casos de lesiones dolosos de lesiones dolosas en guanajuato alcanza como ya lo decíamos 4469 o sea tiene mucho que ver también con la mentalidad con la mentalidad que existe machismo del machismo, este muy, muy caníbal todavía en el Estado de Guanajuato un machismo aberrante en el Estado de Guanajuato y obviamente la mentalidad que existe en la Ciudad de México, sin embargo las cosas tienen que cambiar y es el gobierno a quien le toca cambiar la mentalidad del ciudadano generar una cultura diferente en el tema del machismo.</w:t>
      </w:r>
    </w:p>
    <w:p w14:paraId="45031C1A" w14:textId="77777777" w:rsidR="00C52881" w:rsidRPr="00AA7107" w:rsidRDefault="00C52881" w:rsidP="00C37381">
      <w:pPr>
        <w:jc w:val="both"/>
        <w:rPr>
          <w:rFonts w:ascii="Abadi" w:hAnsi="Abadi"/>
          <w:sz w:val="21"/>
          <w:szCs w:val="21"/>
        </w:rPr>
      </w:pPr>
    </w:p>
    <w:p w14:paraId="207FD991" w14:textId="2359EAB0" w:rsidR="00C37381" w:rsidRDefault="00C37381" w:rsidP="00C37381">
      <w:pPr>
        <w:jc w:val="both"/>
        <w:rPr>
          <w:rFonts w:ascii="Abadi" w:hAnsi="Abadi"/>
          <w:sz w:val="21"/>
          <w:szCs w:val="21"/>
        </w:rPr>
      </w:pPr>
      <w:r w:rsidRPr="00AA7107">
        <w:rPr>
          <w:rFonts w:ascii="Abadi" w:hAnsi="Abadi"/>
          <w:sz w:val="21"/>
          <w:szCs w:val="21"/>
        </w:rPr>
        <w:t>- En el mismo sentido la Ciudad de México registró 45 feminicidios y 37 homicidios dolosos en el mismo periodo y Guanajuato triplicó el número de presuntas víctimas de mujeres de homicidios dolosos en la Ciudad de México con 256 casos.</w:t>
      </w:r>
    </w:p>
    <w:p w14:paraId="4B8D223A" w14:textId="77777777" w:rsidR="00C52881" w:rsidRPr="00AA7107" w:rsidRDefault="00C52881" w:rsidP="00C37381">
      <w:pPr>
        <w:jc w:val="both"/>
        <w:rPr>
          <w:rFonts w:ascii="Abadi" w:hAnsi="Abadi"/>
          <w:sz w:val="21"/>
          <w:szCs w:val="21"/>
        </w:rPr>
      </w:pPr>
    </w:p>
    <w:p w14:paraId="63CA4027" w14:textId="0066DF12" w:rsidR="00C37381" w:rsidRDefault="00C37381" w:rsidP="00C37381">
      <w:pPr>
        <w:jc w:val="both"/>
        <w:rPr>
          <w:rFonts w:ascii="Abadi" w:hAnsi="Abadi"/>
          <w:sz w:val="21"/>
          <w:szCs w:val="21"/>
        </w:rPr>
      </w:pPr>
      <w:r w:rsidRPr="00AA7107">
        <w:rPr>
          <w:rFonts w:ascii="Abadi" w:hAnsi="Abadi"/>
          <w:sz w:val="21"/>
          <w:szCs w:val="21"/>
        </w:rPr>
        <w:t>- Estamos hablando de la cantidad de habitantes que tenemos en guanajuato comparado con la cantidad de habitantes que existe en la Ciudad de México algo no está bien, algo está fallando, en otros términos en lo que va de este año en guanajuato tenemos 7.98 casos de mujeres víctimas de homicidios dolosos por cada 100000 mujeres y la ciudad de México 0.76 casos por cada 100000 mujeres la diferencia es abismal 7.98 contra el 0.76 es mucha la agresión hacia la mujer ante el panorama presentado sobre la situación de violencia que viven las mujeres en el estado de guanajuato así como el retroceso en el combate a la violencia histórica contra las mujeres también consideramos necesario reorientar el trabajo del gobierno del estado de guanajuato.</w:t>
      </w:r>
    </w:p>
    <w:p w14:paraId="05885A68" w14:textId="77777777" w:rsidR="00C52881" w:rsidRPr="00AA7107" w:rsidRDefault="00C52881" w:rsidP="00C37381">
      <w:pPr>
        <w:jc w:val="both"/>
        <w:rPr>
          <w:rFonts w:ascii="Abadi" w:hAnsi="Abadi"/>
          <w:sz w:val="21"/>
          <w:szCs w:val="21"/>
        </w:rPr>
      </w:pPr>
    </w:p>
    <w:p w14:paraId="610C0603" w14:textId="77777777" w:rsidR="00C37381" w:rsidRPr="00AA7107" w:rsidRDefault="00C37381" w:rsidP="00C37381">
      <w:pPr>
        <w:jc w:val="both"/>
        <w:rPr>
          <w:rFonts w:ascii="Abadi" w:hAnsi="Abadi"/>
          <w:sz w:val="21"/>
          <w:szCs w:val="21"/>
        </w:rPr>
      </w:pPr>
      <w:r w:rsidRPr="00AA7107">
        <w:rPr>
          <w:rFonts w:ascii="Abadi" w:hAnsi="Abadi"/>
          <w:sz w:val="21"/>
          <w:szCs w:val="21"/>
        </w:rPr>
        <w:t>- El que está desempeñando en base en evidencia incorporando las mejores prácticas en guanajuato vemos tarde, vamos muy tarde en el reconocimiento de los derechos de las mujeres eso es una realidad, pero los tiempos han cambiado ya los tiempos de Pedro Infante, de Jorge Negrete de José Alfredo Jiménez, ¿no? donde sin demeritar su trabajo como artistas representaron en muchos años la figura del machismo a ultranza ese machismo donde nada más el hombre piensa donde la mujer no tiene derecho a pensar y si se le ocurre pensar pues la golpean le pegan la hacen menos de alguna manera la sobajan ya sea sicológicamente o en algún sentido económicamente o en algún sentido la hacen sentir menos.</w:t>
      </w:r>
    </w:p>
    <w:p w14:paraId="254F85DF" w14:textId="5B010958" w:rsidR="00C37381" w:rsidRDefault="00C37381" w:rsidP="00C37381">
      <w:pPr>
        <w:jc w:val="both"/>
        <w:rPr>
          <w:rFonts w:ascii="Abadi" w:hAnsi="Abadi"/>
          <w:sz w:val="21"/>
          <w:szCs w:val="21"/>
        </w:rPr>
      </w:pPr>
      <w:r w:rsidRPr="00AA7107">
        <w:rPr>
          <w:rFonts w:ascii="Abadi" w:hAnsi="Abadi"/>
          <w:sz w:val="21"/>
          <w:szCs w:val="21"/>
        </w:rPr>
        <w:t>- Ese tiempo pues ya pasó ese fue el tiempo de oro del cine mexicano a principios de siglo pasado ya estamos en otro momento y la ciudadanía requiere de otros mecanismos y requiere de avanzar en este tema con respecto a la eliminación de verdad, de este tipo de violencia, contra las mujeres, la deuda histórica contra las mujeres pues sigue vigente no porque ya lo decíamos violencia psicológica económica laboral social sexual política porque también en la política se da un una violencia tremenda contra las mujeres los espacios que se han ganado pues han sido en base a los cambios que se han dado a la ley no porque los hombres así lo hayan querido totalmente.</w:t>
      </w:r>
    </w:p>
    <w:p w14:paraId="51D05AB5" w14:textId="77777777" w:rsidR="00C52881" w:rsidRPr="00AA7107" w:rsidRDefault="00C52881" w:rsidP="00C37381">
      <w:pPr>
        <w:jc w:val="both"/>
        <w:rPr>
          <w:rFonts w:ascii="Abadi" w:hAnsi="Abadi"/>
          <w:sz w:val="21"/>
          <w:szCs w:val="21"/>
        </w:rPr>
      </w:pPr>
    </w:p>
    <w:p w14:paraId="76CF7B40" w14:textId="4134AE5E" w:rsidR="00C37381" w:rsidRDefault="00C37381" w:rsidP="00C37381">
      <w:pPr>
        <w:jc w:val="both"/>
        <w:rPr>
          <w:rFonts w:ascii="Abadi" w:hAnsi="Abadi"/>
          <w:sz w:val="21"/>
          <w:szCs w:val="21"/>
        </w:rPr>
      </w:pPr>
      <w:r w:rsidRPr="00AA7107">
        <w:rPr>
          <w:rFonts w:ascii="Abadi" w:hAnsi="Abadi"/>
          <w:sz w:val="21"/>
          <w:szCs w:val="21"/>
        </w:rPr>
        <w:t>- Por lo anteriormente expuesto tu meta a su consideración de esta asamblea el siguiente punto de acuerdo que esta legislatura del estado de guanajuato acuerde girar atento exhorto al titular del Poder Ejecutivo Diego Sinhue Rodríguez Vallejo para que realice las acciones necesarias para llevar a cabo una evaluación integral del programa E045 que es acceso equitativo y oportunidades de desarrollo para mujeres y hombres así como para que investigue e incorpore e implemente las mejores prácticas en materia de combate a la violencia de género utilizando el máximo de recursos económicos disponibles.</w:t>
      </w:r>
    </w:p>
    <w:p w14:paraId="1D12131C" w14:textId="77777777" w:rsidR="00C52881" w:rsidRPr="00AA7107" w:rsidRDefault="00C52881" w:rsidP="00C37381">
      <w:pPr>
        <w:jc w:val="both"/>
        <w:rPr>
          <w:rFonts w:ascii="Abadi" w:hAnsi="Abadi"/>
          <w:sz w:val="21"/>
          <w:szCs w:val="21"/>
        </w:rPr>
      </w:pPr>
    </w:p>
    <w:p w14:paraId="10B82BC8" w14:textId="5973CD2C" w:rsidR="00C37381" w:rsidRDefault="00C37381" w:rsidP="00C37381">
      <w:pPr>
        <w:jc w:val="both"/>
        <w:rPr>
          <w:rFonts w:ascii="Abadi" w:hAnsi="Abadi"/>
          <w:sz w:val="21"/>
          <w:szCs w:val="21"/>
        </w:rPr>
      </w:pPr>
      <w:r w:rsidRPr="00AA7107">
        <w:rPr>
          <w:rFonts w:ascii="Abadi" w:hAnsi="Abadi"/>
          <w:sz w:val="21"/>
          <w:szCs w:val="21"/>
        </w:rPr>
        <w:t>- Es cuánto, diputado presidente.</w:t>
      </w:r>
    </w:p>
    <w:p w14:paraId="4A92ED12" w14:textId="77777777" w:rsidR="00C52881" w:rsidRPr="00AA7107" w:rsidRDefault="00C52881" w:rsidP="00C37381">
      <w:pPr>
        <w:jc w:val="both"/>
        <w:rPr>
          <w:rFonts w:ascii="Abadi" w:hAnsi="Abadi"/>
          <w:sz w:val="21"/>
          <w:szCs w:val="21"/>
        </w:rPr>
      </w:pPr>
    </w:p>
    <w:p w14:paraId="04744FEE" w14:textId="019DAE73" w:rsidR="00C37381" w:rsidRDefault="00C37381" w:rsidP="00C37381">
      <w:pPr>
        <w:jc w:val="both"/>
        <w:rPr>
          <w:rFonts w:ascii="Abadi" w:hAnsi="Abadi"/>
          <w:sz w:val="21"/>
          <w:szCs w:val="21"/>
        </w:rPr>
      </w:pPr>
      <w:r w:rsidRPr="00AA7107">
        <w:rPr>
          <w:rFonts w:ascii="Abadi" w:hAnsi="Abadi"/>
          <w:sz w:val="21"/>
          <w:szCs w:val="21"/>
        </w:rPr>
        <w:tab/>
      </w:r>
      <w:r w:rsidRPr="00AA7107">
        <w:rPr>
          <w:rFonts w:ascii="Abadi" w:hAnsi="Abadi"/>
          <w:b/>
          <w:bCs/>
          <w:sz w:val="21"/>
          <w:szCs w:val="21"/>
        </w:rPr>
        <w:t>- El Presidente.-</w:t>
      </w:r>
      <w:r w:rsidRPr="00AA7107">
        <w:rPr>
          <w:rFonts w:ascii="Abadi" w:hAnsi="Abadi"/>
          <w:sz w:val="21"/>
          <w:szCs w:val="21"/>
        </w:rPr>
        <w:t xml:space="preserve"> ¡Gracias diputada¡ Alma Edwviges.</w:t>
      </w:r>
    </w:p>
    <w:p w14:paraId="193A1C44" w14:textId="77777777" w:rsidR="00C52881" w:rsidRPr="00AA7107" w:rsidRDefault="00C52881" w:rsidP="00C37381">
      <w:pPr>
        <w:jc w:val="both"/>
        <w:rPr>
          <w:rFonts w:ascii="Abadi" w:hAnsi="Abadi"/>
          <w:sz w:val="21"/>
          <w:szCs w:val="21"/>
        </w:rPr>
      </w:pPr>
    </w:p>
    <w:p w14:paraId="45585191" w14:textId="22A397AA" w:rsidR="00A14CB0" w:rsidRPr="00A14CB0" w:rsidRDefault="00A14CB0" w:rsidP="00A14CB0">
      <w:pPr>
        <w:jc w:val="both"/>
        <w:rPr>
          <w:rFonts w:ascii="Abadi" w:hAnsi="Abadi"/>
          <w:sz w:val="21"/>
          <w:szCs w:val="21"/>
        </w:rPr>
      </w:pPr>
      <w:r>
        <w:rPr>
          <w:rFonts w:ascii="Abadi" w:hAnsi="Abadi"/>
          <w:sz w:val="21"/>
          <w:szCs w:val="21"/>
        </w:rPr>
        <w:tab/>
      </w:r>
      <w:r w:rsidR="009E6ED2">
        <w:rPr>
          <w:rFonts w:ascii="Abadi" w:hAnsi="Abadi"/>
          <w:sz w:val="21"/>
          <w:szCs w:val="21"/>
        </w:rPr>
        <w:t xml:space="preserve">- </w:t>
      </w:r>
      <w:r w:rsidR="00C37381" w:rsidRPr="00A14CB0">
        <w:rPr>
          <w:rFonts w:ascii="Abadi" w:hAnsi="Abadi"/>
          <w:sz w:val="21"/>
          <w:szCs w:val="21"/>
        </w:rPr>
        <w:t>Con fundamento en el artículo 116 fracción III de nuestra Ley Orgánica</w:t>
      </w:r>
      <w:r>
        <w:rPr>
          <w:rFonts w:ascii="Abadi" w:hAnsi="Abadi"/>
          <w:sz w:val="21"/>
          <w:szCs w:val="21"/>
        </w:rPr>
        <w:t>.</w:t>
      </w:r>
    </w:p>
    <w:p w14:paraId="7D8ED812" w14:textId="77777777" w:rsidR="00A14CB0" w:rsidRDefault="00A14CB0" w:rsidP="00C52881">
      <w:pPr>
        <w:ind w:left="426" w:right="709"/>
        <w:jc w:val="both"/>
        <w:rPr>
          <w:rFonts w:ascii="Abadi" w:hAnsi="Abadi"/>
          <w:b/>
          <w:bCs/>
          <w:i/>
          <w:iCs/>
          <w:sz w:val="21"/>
          <w:szCs w:val="21"/>
          <w:u w:val="single"/>
        </w:rPr>
      </w:pPr>
    </w:p>
    <w:p w14:paraId="7D2B20BE" w14:textId="3BD9C143" w:rsidR="00C37381" w:rsidRDefault="00A14CB0" w:rsidP="00A14CB0">
      <w:pPr>
        <w:ind w:left="426" w:right="567"/>
        <w:jc w:val="both"/>
        <w:rPr>
          <w:rFonts w:ascii="Abadi" w:hAnsi="Abadi"/>
          <w:b/>
          <w:bCs/>
          <w:i/>
          <w:iCs/>
          <w:sz w:val="21"/>
          <w:szCs w:val="21"/>
          <w:u w:val="single"/>
        </w:rPr>
      </w:pPr>
      <w:r>
        <w:rPr>
          <w:rFonts w:ascii="Abadi" w:hAnsi="Abadi"/>
          <w:b/>
          <w:bCs/>
          <w:i/>
          <w:iCs/>
          <w:sz w:val="21"/>
          <w:szCs w:val="21"/>
          <w:u w:val="single"/>
        </w:rPr>
        <w:t>S</w:t>
      </w:r>
      <w:r w:rsidR="00C37381" w:rsidRPr="00AA7107">
        <w:rPr>
          <w:rFonts w:ascii="Abadi" w:hAnsi="Abadi"/>
          <w:b/>
          <w:bCs/>
          <w:i/>
          <w:iCs/>
          <w:sz w:val="21"/>
          <w:szCs w:val="21"/>
          <w:u w:val="single"/>
        </w:rPr>
        <w:t>e turna a la Comisión para la Igualdad de Género para su estudio y dictamen.</w:t>
      </w:r>
    </w:p>
    <w:p w14:paraId="2BD7F711" w14:textId="172E04D8" w:rsidR="00933FB1" w:rsidRDefault="00933FB1" w:rsidP="00A14CB0">
      <w:pPr>
        <w:ind w:left="426" w:right="567"/>
        <w:jc w:val="both"/>
        <w:rPr>
          <w:rFonts w:ascii="Abadi" w:hAnsi="Abadi"/>
          <w:b/>
          <w:bCs/>
          <w:i/>
          <w:iCs/>
          <w:sz w:val="21"/>
          <w:szCs w:val="21"/>
          <w:u w:val="single"/>
        </w:rPr>
      </w:pPr>
    </w:p>
    <w:p w14:paraId="2B073F94" w14:textId="77777777" w:rsidR="00933FB1" w:rsidRDefault="00933FB1" w:rsidP="00933FB1">
      <w:pPr>
        <w:ind w:firstLine="708"/>
        <w:jc w:val="both"/>
        <w:rPr>
          <w:rFonts w:ascii="Abadi" w:hAnsi="Abadi"/>
          <w:b/>
          <w:bCs/>
          <w:sz w:val="21"/>
          <w:szCs w:val="21"/>
        </w:rPr>
      </w:pPr>
    </w:p>
    <w:p w14:paraId="55FCE620" w14:textId="2AEB96DC" w:rsidR="00933FB1" w:rsidRDefault="00933FB1" w:rsidP="00933FB1">
      <w:pPr>
        <w:ind w:firstLine="708"/>
        <w:jc w:val="both"/>
        <w:rPr>
          <w:rFonts w:ascii="Abadi" w:hAnsi="Abadi"/>
          <w:sz w:val="21"/>
          <w:szCs w:val="21"/>
        </w:rPr>
      </w:pPr>
      <w:r w:rsidRPr="00AA7107">
        <w:rPr>
          <w:rFonts w:ascii="Abadi" w:hAnsi="Abadi"/>
          <w:b/>
          <w:bCs/>
          <w:sz w:val="21"/>
          <w:szCs w:val="21"/>
        </w:rPr>
        <w:t>- El Presidente.-</w:t>
      </w:r>
      <w:r w:rsidRPr="00AA7107">
        <w:rPr>
          <w:rFonts w:ascii="Abadi" w:hAnsi="Abadi"/>
          <w:sz w:val="21"/>
          <w:szCs w:val="21"/>
        </w:rPr>
        <w:t xml:space="preserve"> Corresponde tomar votación en los siguientes puntos del orden del día por lo que esta Mesa Directiva procede a cerciorarse de la presencia de las diputadas y los diputados asistentes a la presente Sesión.</w:t>
      </w:r>
    </w:p>
    <w:p w14:paraId="073582E7" w14:textId="77777777" w:rsidR="00933FB1" w:rsidRPr="00AA7107" w:rsidRDefault="00933FB1" w:rsidP="00933FB1">
      <w:pPr>
        <w:ind w:firstLine="708"/>
        <w:jc w:val="both"/>
        <w:rPr>
          <w:rFonts w:ascii="Abadi" w:hAnsi="Abadi"/>
          <w:sz w:val="21"/>
          <w:szCs w:val="21"/>
        </w:rPr>
      </w:pPr>
    </w:p>
    <w:p w14:paraId="62153470" w14:textId="77777777" w:rsidR="00933FB1" w:rsidRPr="00AA7107" w:rsidRDefault="00933FB1" w:rsidP="00933FB1">
      <w:pPr>
        <w:ind w:firstLine="708"/>
        <w:jc w:val="both"/>
        <w:rPr>
          <w:rFonts w:ascii="Abadi" w:hAnsi="Abadi"/>
          <w:sz w:val="21"/>
          <w:szCs w:val="21"/>
        </w:rPr>
      </w:pPr>
      <w:r w:rsidRPr="00AA7107">
        <w:rPr>
          <w:rFonts w:ascii="Abadi" w:hAnsi="Abadi"/>
          <w:sz w:val="21"/>
          <w:szCs w:val="21"/>
        </w:rPr>
        <w:t>- Asimismo se pide a las diputadas y a los diputados a abstenerse de abandonar este salón durante las votaciones.</w:t>
      </w:r>
    </w:p>
    <w:p w14:paraId="5B7C98C0" w14:textId="77777777" w:rsidR="00933FB1" w:rsidRPr="00AA7107" w:rsidRDefault="00933FB1" w:rsidP="00A14CB0">
      <w:pPr>
        <w:ind w:left="426" w:right="567"/>
        <w:jc w:val="both"/>
        <w:rPr>
          <w:rFonts w:ascii="Abadi" w:hAnsi="Abadi"/>
          <w:b/>
          <w:bCs/>
          <w:i/>
          <w:iCs/>
          <w:sz w:val="21"/>
          <w:szCs w:val="21"/>
          <w:u w:val="single"/>
        </w:rPr>
      </w:pPr>
    </w:p>
    <w:p w14:paraId="7CC3FBB2" w14:textId="77777777" w:rsidR="00E462B6" w:rsidRPr="0028553C" w:rsidRDefault="00E462B6" w:rsidP="00E462B6">
      <w:pPr>
        <w:autoSpaceDE w:val="0"/>
        <w:autoSpaceDN w:val="0"/>
        <w:adjustRightInd w:val="0"/>
        <w:jc w:val="both"/>
        <w:rPr>
          <w:rFonts w:ascii="Abadi" w:hAnsi="Abadi" w:cs="ArialMT"/>
          <w:b/>
          <w:bCs/>
          <w:sz w:val="20"/>
          <w:szCs w:val="21"/>
        </w:rPr>
      </w:pPr>
    </w:p>
    <w:p w14:paraId="059BC76A" w14:textId="77777777" w:rsidR="00E462B6" w:rsidRPr="0028553C" w:rsidRDefault="00E462B6" w:rsidP="005707B6">
      <w:pPr>
        <w:pStyle w:val="Prrafodelista"/>
        <w:numPr>
          <w:ilvl w:val="0"/>
          <w:numId w:val="14"/>
        </w:numPr>
        <w:autoSpaceDE w:val="0"/>
        <w:autoSpaceDN w:val="0"/>
        <w:adjustRightInd w:val="0"/>
        <w:ind w:left="426"/>
        <w:contextualSpacing/>
        <w:jc w:val="both"/>
        <w:rPr>
          <w:rFonts w:ascii="Abadi" w:hAnsi="Abadi" w:cs="ArialMT"/>
          <w:b/>
          <w:bCs/>
          <w:sz w:val="20"/>
          <w:szCs w:val="21"/>
        </w:rPr>
      </w:pPr>
      <w:r w:rsidRPr="0028553C">
        <w:rPr>
          <w:rFonts w:ascii="Abadi" w:hAnsi="Abadi" w:cs="ArialMT"/>
          <w:b/>
          <w:bCs/>
          <w:sz w:val="20"/>
          <w:szCs w:val="21"/>
        </w:rPr>
        <w:t>PRESENTACIÓN DE LA PROPUESTA DE PUNTO DE ACUERDO DE OBVIA RESOLUCIÓN FORMULADA POR DIPUTADA Y LOS DIPUTADOS INTEGRANTES DEL GRUPO PARLAMENTARIO DEL PARTIDO REVOLUCIONARIO INSTITUCIONAL A EFECTO DE EXHORTAR AL TITULAR DEL PODER EJECUTIVO ESTATAL, GOBERNADOR DIEGO SINHUE RODRÍGUEZ VALLEJO PARA QUE, EN EL USO DE SUS ATRIBUCIONES, EN ESPECIAL DE LAS SEÑALADAS EN LOS ARTÍCULOS 5-BIS Y 6 DE LA LEY DEL PATRIMONIO CULTURAL DEL ESTADO DE GUANAJUATO, DECLARE COMO PATRIMONIO CULTURAL INTANGIBLE DE LOS GUANAJUATENSES LAS MANIFESTACIONES CULTURALES QUE POR SU VALOR Y SIGNIFICADO ASÍ COMO RELEVANCIA ARTÍSTICA, TRADICIONAL, INTELECTUAL Y LINGÜÍSTICA REPRESENTAN EL TEATRO UNIVERSITARIO DE GUANAJUATO; LA ESCENIFICACIÓN DE LOS ENTREMESES CERVANTINOS Y LAS REPRESENTACIONES DE LOS JUGLARES DE GUANAJUATO; PARA QUE EN EL MARCO DEL 50 ANIVERSARIO DEL FESTIVAL INTERNACIONAL CERVANTINO SE DEJE UN TESTIMONIO PERENNE E INDELEBLE DE LA CONTRIBUCIÓN DE LA GENTE DE ESTA TIERRA A ESTA FIESTA DEL ESPÍRITU UNIVERSAL Y QUE EN CONSECUENCIA, DICHA DECLARATORIA SE PUBLIQUE EN EL PERIÓDICO OFICIAL DEL GOBIERNO DEL ESTADO DE GUANAJUATO Y, EN SU CASO, APROBACIÓN DE LA MISMA.</w:t>
      </w:r>
    </w:p>
    <w:p w14:paraId="443DE8C7" w14:textId="6D947E7D" w:rsidR="00E462B6" w:rsidRDefault="00E462B6" w:rsidP="00E462B6">
      <w:pPr>
        <w:autoSpaceDE w:val="0"/>
        <w:autoSpaceDN w:val="0"/>
        <w:adjustRightInd w:val="0"/>
        <w:jc w:val="both"/>
        <w:rPr>
          <w:rFonts w:ascii="Abadi" w:hAnsi="Abadi" w:cs="ArialMT"/>
          <w:b/>
          <w:bCs/>
          <w:sz w:val="20"/>
          <w:szCs w:val="21"/>
        </w:rPr>
      </w:pPr>
    </w:p>
    <w:p w14:paraId="17EF7114" w14:textId="77777777" w:rsidR="00241650" w:rsidRPr="00241650" w:rsidRDefault="00241650" w:rsidP="00241650">
      <w:pPr>
        <w:jc w:val="both"/>
        <w:rPr>
          <w:rFonts w:ascii="Abadi" w:eastAsiaTheme="minorHAnsi" w:hAnsi="Abadi" w:cstheme="minorBidi"/>
          <w:b/>
          <w:bCs/>
          <w:sz w:val="21"/>
          <w:szCs w:val="21"/>
          <w:lang w:val="es-MX" w:eastAsia="en-US"/>
        </w:rPr>
      </w:pPr>
      <w:r w:rsidRPr="00241650">
        <w:rPr>
          <w:rFonts w:ascii="Abadi" w:eastAsiaTheme="minorHAnsi" w:hAnsi="Abadi" w:cstheme="minorBidi"/>
          <w:b/>
          <w:bCs/>
          <w:sz w:val="21"/>
          <w:szCs w:val="21"/>
          <w:lang w:val="es-MX" w:eastAsia="en-US"/>
        </w:rPr>
        <w:t xml:space="preserve">DIPUTADO MARTÍN LÓPEZ CAMACHO </w:t>
      </w:r>
    </w:p>
    <w:p w14:paraId="57D1C728" w14:textId="77777777" w:rsidR="00241650" w:rsidRPr="00241650" w:rsidRDefault="00241650" w:rsidP="00241650">
      <w:pPr>
        <w:jc w:val="both"/>
        <w:rPr>
          <w:rFonts w:ascii="Abadi" w:eastAsiaTheme="minorHAnsi" w:hAnsi="Abadi" w:cstheme="minorBidi"/>
          <w:b/>
          <w:bCs/>
          <w:sz w:val="21"/>
          <w:szCs w:val="21"/>
          <w:lang w:val="es-MX" w:eastAsia="en-US"/>
        </w:rPr>
      </w:pPr>
      <w:r w:rsidRPr="00241650">
        <w:rPr>
          <w:rFonts w:ascii="Abadi" w:eastAsiaTheme="minorHAnsi" w:hAnsi="Abadi" w:cstheme="minorBidi"/>
          <w:b/>
          <w:bCs/>
          <w:sz w:val="21"/>
          <w:szCs w:val="21"/>
          <w:lang w:val="es-MX" w:eastAsia="en-US"/>
        </w:rPr>
        <w:t xml:space="preserve">PRESIDENTE DEL CONGRESO DEL ESTADO </w:t>
      </w:r>
    </w:p>
    <w:p w14:paraId="25D240E5" w14:textId="77777777" w:rsidR="00241650" w:rsidRPr="00241650" w:rsidRDefault="00241650" w:rsidP="00241650">
      <w:pPr>
        <w:jc w:val="both"/>
        <w:rPr>
          <w:rFonts w:ascii="Abadi" w:eastAsiaTheme="minorHAnsi" w:hAnsi="Abadi" w:cstheme="minorBidi"/>
          <w:b/>
          <w:bCs/>
          <w:sz w:val="21"/>
          <w:szCs w:val="21"/>
          <w:lang w:val="es-MX" w:eastAsia="en-US"/>
        </w:rPr>
      </w:pPr>
      <w:r w:rsidRPr="00241650">
        <w:rPr>
          <w:rFonts w:ascii="Abadi" w:eastAsiaTheme="minorHAnsi" w:hAnsi="Abadi" w:cstheme="minorBidi"/>
          <w:b/>
          <w:bCs/>
          <w:sz w:val="21"/>
          <w:szCs w:val="21"/>
          <w:lang w:val="es-MX" w:eastAsia="en-US"/>
        </w:rPr>
        <w:t xml:space="preserve">LIBRE Y SOBERANO DE GUANAJUATO. </w:t>
      </w:r>
    </w:p>
    <w:p w14:paraId="0E10523C" w14:textId="77777777" w:rsidR="00241650" w:rsidRPr="00241650" w:rsidRDefault="00241650" w:rsidP="00241650">
      <w:pPr>
        <w:spacing w:after="160"/>
        <w:jc w:val="both"/>
        <w:rPr>
          <w:rFonts w:ascii="Abadi" w:eastAsiaTheme="minorHAnsi" w:hAnsi="Abadi" w:cstheme="minorBidi"/>
          <w:b/>
          <w:bCs/>
          <w:sz w:val="21"/>
          <w:szCs w:val="21"/>
          <w:lang w:val="es-MX" w:eastAsia="en-US"/>
        </w:rPr>
      </w:pPr>
      <w:r w:rsidRPr="00241650">
        <w:rPr>
          <w:rFonts w:ascii="Abadi" w:eastAsiaTheme="minorHAnsi" w:hAnsi="Abadi" w:cstheme="minorBidi"/>
          <w:b/>
          <w:bCs/>
          <w:sz w:val="21"/>
          <w:szCs w:val="21"/>
          <w:lang w:val="es-MX" w:eastAsia="en-US"/>
        </w:rPr>
        <w:t xml:space="preserve">P R E S E N T E  </w:t>
      </w:r>
    </w:p>
    <w:p w14:paraId="232F6E63" w14:textId="77777777" w:rsidR="00241650" w:rsidRPr="00241650" w:rsidRDefault="00241650" w:rsidP="00241650">
      <w:pPr>
        <w:spacing w:after="160" w:line="259" w:lineRule="auto"/>
        <w:jc w:val="both"/>
        <w:rPr>
          <w:rFonts w:ascii="Abadi" w:eastAsiaTheme="minorHAnsi" w:hAnsi="Abadi" w:cstheme="minorBidi"/>
          <w:sz w:val="21"/>
          <w:szCs w:val="21"/>
          <w:lang w:val="es-MX" w:eastAsia="en-US"/>
        </w:rPr>
      </w:pPr>
      <w:r w:rsidRPr="00241650">
        <w:rPr>
          <w:rFonts w:ascii="Abadi" w:eastAsiaTheme="minorHAnsi" w:hAnsi="Abadi" w:cstheme="minorBidi"/>
          <w:sz w:val="21"/>
          <w:szCs w:val="21"/>
          <w:lang w:val="es-MX" w:eastAsia="en-US"/>
        </w:rPr>
        <w:t xml:space="preserve">La proponente </w:t>
      </w:r>
      <w:r w:rsidRPr="00241650">
        <w:rPr>
          <w:rFonts w:ascii="Abadi" w:eastAsiaTheme="minorHAnsi" w:hAnsi="Abadi" w:cstheme="minorBidi"/>
          <w:b/>
          <w:bCs/>
          <w:sz w:val="21"/>
          <w:szCs w:val="21"/>
          <w:lang w:val="es-MX" w:eastAsia="en-US"/>
        </w:rPr>
        <w:t>Ruth Noemí Tiscareño Agoitia</w:t>
      </w:r>
      <w:r w:rsidRPr="00241650">
        <w:rPr>
          <w:rFonts w:ascii="Abadi" w:eastAsiaTheme="minorHAnsi" w:hAnsi="Abadi" w:cstheme="minorBidi"/>
          <w:sz w:val="21"/>
          <w:szCs w:val="21"/>
          <w:lang w:val="es-MX" w:eastAsia="en-US"/>
        </w:rPr>
        <w:t xml:space="preserve">, Diputada Local a la LXV Legislatura del Estado de Guanajuato y quienes con ella suscriben acompañando la presente, Diputadas y Diputados integrantes del Grupo Parlamentario del Partido Revolucionario Institucional en este Congreso Local, con fundamento en lo dispuesto por la fracción II del artículo 56 de la Constitución Política para el Estado de Guanajuato, así como en los artículos 167, fracción II, 177 y 204, párrafos primero, segundo y tercero y fracción III, ambos de la Ley Orgánica del Poder Legislativo del Estado de Guanajuato, así como en lo dispuesto en el artículo 5bis de la Ley del Patrimonio Cultural del Estado de Guanajuato, en cuanto a la parte procedimental, someto a la  consideración de esta Asamblea la siguiente propuesta de Punto de Acuerdo, </w:t>
      </w:r>
      <w:r w:rsidRPr="00241650">
        <w:rPr>
          <w:rFonts w:ascii="Abadi" w:eastAsiaTheme="minorHAnsi" w:hAnsi="Abadi" w:cstheme="minorBidi"/>
          <w:sz w:val="21"/>
          <w:szCs w:val="21"/>
          <w:u w:val="single"/>
          <w:lang w:val="es-MX" w:eastAsia="en-US"/>
        </w:rPr>
        <w:t>de obvia y urgente resolución</w:t>
      </w:r>
      <w:r w:rsidRPr="00241650">
        <w:rPr>
          <w:rFonts w:ascii="Abadi" w:eastAsiaTheme="minorHAnsi" w:hAnsi="Abadi" w:cstheme="minorBidi"/>
          <w:sz w:val="21"/>
          <w:szCs w:val="21"/>
          <w:lang w:val="es-MX" w:eastAsia="en-US"/>
        </w:rPr>
        <w:t xml:space="preserve">, a efecto solicitar al Gobernador del Estado de Guanajuato que se declare como Patrimonio Cultural Intangible de los Guanajuatenses a las manifestaciones culturales nativas de la entidad que representan el Teatro Universitario, su representación de los entremeses cervantinos y los juglares de Guanajuato, de conformidad con las siguientes:  </w:t>
      </w:r>
    </w:p>
    <w:p w14:paraId="6DAA9458" w14:textId="77777777" w:rsidR="00241650" w:rsidRPr="00241650" w:rsidRDefault="00241650" w:rsidP="00241650">
      <w:pPr>
        <w:spacing w:after="160" w:line="259" w:lineRule="auto"/>
        <w:jc w:val="center"/>
        <w:rPr>
          <w:rFonts w:ascii="Abadi" w:eastAsiaTheme="minorHAnsi" w:hAnsi="Abadi" w:cstheme="minorBidi"/>
          <w:sz w:val="21"/>
          <w:szCs w:val="21"/>
          <w:lang w:val="es-MX" w:eastAsia="en-US"/>
        </w:rPr>
      </w:pPr>
      <w:r w:rsidRPr="00241650">
        <w:rPr>
          <w:rFonts w:ascii="Abadi" w:eastAsiaTheme="minorHAnsi" w:hAnsi="Abadi" w:cstheme="minorBidi"/>
          <w:sz w:val="21"/>
          <w:szCs w:val="21"/>
          <w:lang w:val="es-MX" w:eastAsia="en-US"/>
        </w:rPr>
        <w:t>C O N S I D E R A C I O N E S</w:t>
      </w:r>
    </w:p>
    <w:p w14:paraId="4409DFA4" w14:textId="77777777" w:rsidR="00241650" w:rsidRPr="00241650" w:rsidRDefault="00241650" w:rsidP="00241650">
      <w:pPr>
        <w:spacing w:after="160" w:line="259" w:lineRule="auto"/>
        <w:jc w:val="both"/>
        <w:rPr>
          <w:rFonts w:ascii="Abadi" w:eastAsiaTheme="minorHAnsi" w:hAnsi="Abadi" w:cstheme="minorBidi"/>
          <w:sz w:val="21"/>
          <w:szCs w:val="21"/>
          <w:lang w:val="es-MX" w:eastAsia="en-US"/>
        </w:rPr>
      </w:pPr>
      <w:r w:rsidRPr="00241650">
        <w:rPr>
          <w:rFonts w:ascii="Abadi" w:eastAsiaTheme="minorHAnsi" w:hAnsi="Abadi" w:cstheme="minorBidi"/>
          <w:sz w:val="21"/>
          <w:szCs w:val="21"/>
          <w:lang w:val="es-MX" w:eastAsia="en-US"/>
        </w:rPr>
        <w:t xml:space="preserve">La cultura es la memoria del pueblo, es la conciencia colectiva de la continuidad histórica, es el modo de pensar y de vivir, Milán Kundera. </w:t>
      </w:r>
    </w:p>
    <w:p w14:paraId="49D5712B" w14:textId="77777777" w:rsidR="00241650" w:rsidRPr="00241650" w:rsidRDefault="00241650" w:rsidP="00241650">
      <w:pPr>
        <w:spacing w:after="160" w:line="259" w:lineRule="auto"/>
        <w:jc w:val="both"/>
        <w:rPr>
          <w:rFonts w:ascii="Abadi" w:eastAsiaTheme="minorHAnsi" w:hAnsi="Abadi" w:cstheme="minorBidi"/>
          <w:sz w:val="21"/>
          <w:szCs w:val="21"/>
          <w:lang w:val="es-MX" w:eastAsia="en-US"/>
        </w:rPr>
      </w:pPr>
      <w:r w:rsidRPr="00241650">
        <w:rPr>
          <w:rFonts w:ascii="Abadi" w:eastAsiaTheme="minorHAnsi" w:hAnsi="Abadi" w:cstheme="minorBidi"/>
          <w:sz w:val="21"/>
          <w:szCs w:val="21"/>
          <w:lang w:val="es-MX" w:eastAsia="en-US"/>
        </w:rPr>
        <w:t xml:space="preserve">Cuando hablamos de Cultura nos estamos refiriendo al conjunto de bienes materiales y espirituales de un grupo social que se transmiten de generación en generación a fin de orientar las prácticas individuales y colectivas.      </w:t>
      </w:r>
    </w:p>
    <w:p w14:paraId="1C634941" w14:textId="77777777" w:rsidR="00241650" w:rsidRPr="00241650" w:rsidRDefault="00241650" w:rsidP="00241650">
      <w:pPr>
        <w:spacing w:after="160" w:line="259" w:lineRule="auto"/>
        <w:jc w:val="both"/>
        <w:rPr>
          <w:rFonts w:ascii="Abadi" w:eastAsiaTheme="minorHAnsi" w:hAnsi="Abadi" w:cstheme="minorBidi"/>
          <w:sz w:val="21"/>
          <w:szCs w:val="21"/>
          <w:lang w:val="es-MX" w:eastAsia="en-US"/>
        </w:rPr>
      </w:pPr>
      <w:r w:rsidRPr="00241650">
        <w:rPr>
          <w:rFonts w:ascii="Abadi" w:eastAsiaTheme="minorHAnsi" w:hAnsi="Abadi" w:cstheme="minorBidi"/>
          <w:sz w:val="21"/>
          <w:szCs w:val="21"/>
          <w:lang w:val="es-MX" w:eastAsia="en-US"/>
        </w:rPr>
        <w:t xml:space="preserve">Su expresión incluye, entre otras cosas, procesos, modos de vida, costumbres, tradiciones, hábitos, valores, patrones, herramientas y de manera muy señalada conocimiento.  </w:t>
      </w:r>
    </w:p>
    <w:p w14:paraId="27FDF2CB" w14:textId="77777777" w:rsidR="00241650" w:rsidRPr="00241650" w:rsidRDefault="00241650" w:rsidP="00241650">
      <w:pPr>
        <w:spacing w:after="160" w:line="259" w:lineRule="auto"/>
        <w:jc w:val="both"/>
        <w:rPr>
          <w:rFonts w:ascii="Abadi" w:eastAsiaTheme="minorHAnsi" w:hAnsi="Abadi" w:cstheme="minorBidi"/>
          <w:sz w:val="21"/>
          <w:szCs w:val="21"/>
          <w:lang w:val="es-MX" w:eastAsia="en-US"/>
        </w:rPr>
      </w:pPr>
      <w:r w:rsidRPr="00241650">
        <w:rPr>
          <w:rFonts w:ascii="Abadi" w:eastAsiaTheme="minorHAnsi" w:hAnsi="Abadi" w:cstheme="minorBidi"/>
          <w:sz w:val="21"/>
          <w:szCs w:val="21"/>
          <w:lang w:val="es-MX" w:eastAsia="en-US"/>
        </w:rPr>
        <w:t xml:space="preserve">Su función es la de garantizar la supervivencia de un conglomerado social y facilitar la adaptación de los sujetos que en el se desarrollan a su entorno.  </w:t>
      </w:r>
    </w:p>
    <w:p w14:paraId="545827B7" w14:textId="77777777" w:rsidR="00241650" w:rsidRPr="00241650" w:rsidRDefault="00241650" w:rsidP="00241650">
      <w:pPr>
        <w:spacing w:after="160" w:line="259" w:lineRule="auto"/>
        <w:jc w:val="both"/>
        <w:rPr>
          <w:rFonts w:ascii="Abadi" w:eastAsiaTheme="minorHAnsi" w:hAnsi="Abadi" w:cstheme="minorBidi"/>
          <w:sz w:val="21"/>
          <w:szCs w:val="21"/>
          <w:lang w:val="es-MX" w:eastAsia="en-US"/>
        </w:rPr>
      </w:pPr>
      <w:r w:rsidRPr="00241650">
        <w:rPr>
          <w:rFonts w:ascii="Abadi" w:eastAsiaTheme="minorHAnsi" w:hAnsi="Abadi" w:cstheme="minorBidi"/>
          <w:sz w:val="21"/>
          <w:szCs w:val="21"/>
          <w:lang w:val="es-MX" w:eastAsia="en-US"/>
        </w:rPr>
        <w:t xml:space="preserve">Así, cada cultura encarna una visión del mundo, es decir una particular cosmovisión, como respuesta a la realidad que vive el grupo social. No existe, por lo tanto, ningún grupo social carente de cultura. Lo que sí existe son diferentes culturas y, dentro de estas, diferentes grupos culturales, aun con respecto a la cultura dominante.  </w:t>
      </w:r>
    </w:p>
    <w:p w14:paraId="54F88CBE" w14:textId="77777777" w:rsidR="00241650" w:rsidRPr="00241650" w:rsidRDefault="00241650" w:rsidP="00241650">
      <w:pPr>
        <w:spacing w:after="160" w:line="259" w:lineRule="auto"/>
        <w:jc w:val="both"/>
        <w:rPr>
          <w:rFonts w:ascii="Abadi" w:eastAsiaTheme="minorHAnsi" w:hAnsi="Abadi" w:cstheme="minorBidi"/>
          <w:sz w:val="21"/>
          <w:szCs w:val="21"/>
          <w:lang w:val="es-MX" w:eastAsia="en-US"/>
        </w:rPr>
      </w:pPr>
      <w:r w:rsidRPr="00241650">
        <w:rPr>
          <w:rFonts w:ascii="Abadi" w:eastAsiaTheme="minorHAnsi" w:hAnsi="Abadi" w:cstheme="minorBidi"/>
          <w:sz w:val="21"/>
          <w:szCs w:val="21"/>
          <w:lang w:val="es-MX" w:eastAsia="en-US"/>
        </w:rPr>
        <w:t xml:space="preserve">Toda cultura, vista de esta manera, se conforma por un conjunto de elementos básicos, de entre los que podemos destacar los siguientes: elementos cognitivos, creencias, valores, normas, un sistema de signos y símbolos, y esos elementos tienen expresiones materiales, e inmateriales, también denominadas espirituales.  </w:t>
      </w:r>
    </w:p>
    <w:p w14:paraId="5E3C3920" w14:textId="77777777" w:rsidR="00241650" w:rsidRPr="00241650" w:rsidRDefault="00241650" w:rsidP="00241650">
      <w:pPr>
        <w:spacing w:after="160" w:line="259" w:lineRule="auto"/>
        <w:jc w:val="both"/>
        <w:rPr>
          <w:rFonts w:ascii="Abadi" w:eastAsiaTheme="minorHAnsi" w:hAnsi="Abadi" w:cstheme="minorBidi"/>
          <w:sz w:val="21"/>
          <w:szCs w:val="21"/>
          <w:lang w:val="es-MX" w:eastAsia="en-US"/>
        </w:rPr>
      </w:pPr>
      <w:r w:rsidRPr="00241650">
        <w:rPr>
          <w:rFonts w:ascii="Abadi" w:eastAsiaTheme="minorHAnsi" w:hAnsi="Abadi" w:cstheme="minorBidi"/>
          <w:sz w:val="21"/>
          <w:szCs w:val="21"/>
          <w:lang w:val="es-MX" w:eastAsia="en-US"/>
        </w:rPr>
        <w:t xml:space="preserve">Y quizás algunas de las expresiones más significativas de las manifestaciones culturales de tipo inmaterial son los sistemas de valores y creencias, así como la expresiones artísticas y folclóricas que testimonian la cosmovisión de una comunidad.  </w:t>
      </w:r>
    </w:p>
    <w:p w14:paraId="4768743D" w14:textId="77777777" w:rsidR="00241650" w:rsidRPr="00241650" w:rsidRDefault="00241650" w:rsidP="00241650">
      <w:pPr>
        <w:spacing w:after="160" w:line="259" w:lineRule="auto"/>
        <w:jc w:val="both"/>
        <w:rPr>
          <w:rFonts w:ascii="Abadi" w:eastAsiaTheme="minorHAnsi" w:hAnsi="Abadi" w:cstheme="minorBidi"/>
          <w:sz w:val="21"/>
          <w:szCs w:val="21"/>
          <w:lang w:val="es-MX" w:eastAsia="en-US"/>
        </w:rPr>
      </w:pPr>
      <w:r w:rsidRPr="00241650">
        <w:rPr>
          <w:rFonts w:ascii="Abadi" w:eastAsiaTheme="minorHAnsi" w:hAnsi="Abadi" w:cstheme="minorBidi"/>
          <w:sz w:val="21"/>
          <w:szCs w:val="21"/>
          <w:lang w:val="es-MX" w:eastAsia="en-US"/>
        </w:rPr>
        <w:t xml:space="preserve">Su valía radica el valor, es decir en la importancia, de preservar esas expresiones como un símbolo inequívoco de identidad, de sentido de pertenecía y orgullo a una comunidad.  </w:t>
      </w:r>
    </w:p>
    <w:p w14:paraId="0D402C6B" w14:textId="77777777" w:rsidR="00241650" w:rsidRPr="00241650" w:rsidRDefault="00241650" w:rsidP="00241650">
      <w:pPr>
        <w:spacing w:after="160" w:line="259" w:lineRule="auto"/>
        <w:jc w:val="both"/>
        <w:rPr>
          <w:rFonts w:ascii="Abadi" w:eastAsiaTheme="minorHAnsi" w:hAnsi="Abadi" w:cstheme="minorBidi"/>
          <w:sz w:val="21"/>
          <w:szCs w:val="21"/>
          <w:lang w:val="es-MX" w:eastAsia="en-US"/>
        </w:rPr>
      </w:pPr>
      <w:r w:rsidRPr="00241650">
        <w:rPr>
          <w:rFonts w:ascii="Abadi" w:eastAsiaTheme="minorHAnsi" w:hAnsi="Abadi" w:cstheme="minorBidi"/>
          <w:sz w:val="21"/>
          <w:szCs w:val="21"/>
          <w:lang w:val="es-MX" w:eastAsia="en-US"/>
        </w:rPr>
        <w:t xml:space="preserve">Una de las primeras acepciones del vocablo cultura tiene que ver con su raíz etimológica y en su origen se refiere a cultivar y el cultivo no tiene razón de ser si el efecto no es dar frutos.  </w:t>
      </w:r>
    </w:p>
    <w:p w14:paraId="71F4B9B1" w14:textId="77777777" w:rsidR="00241650" w:rsidRPr="00241650" w:rsidRDefault="00241650" w:rsidP="00241650">
      <w:pPr>
        <w:spacing w:after="160" w:line="259" w:lineRule="auto"/>
        <w:jc w:val="both"/>
        <w:rPr>
          <w:rFonts w:ascii="Abadi" w:eastAsiaTheme="minorHAnsi" w:hAnsi="Abadi" w:cstheme="minorBidi"/>
          <w:sz w:val="21"/>
          <w:szCs w:val="21"/>
          <w:lang w:val="es-MX" w:eastAsia="en-US"/>
        </w:rPr>
      </w:pPr>
      <w:r w:rsidRPr="00241650">
        <w:rPr>
          <w:rFonts w:ascii="Abadi" w:eastAsiaTheme="minorHAnsi" w:hAnsi="Abadi" w:cstheme="minorBidi"/>
          <w:sz w:val="21"/>
          <w:szCs w:val="21"/>
          <w:lang w:val="es-MX" w:eastAsia="en-US"/>
        </w:rPr>
        <w:t xml:space="preserve">Y ese es el sentido que se busca con esta iniciativa, celebrar los frutos que ha dado la semilla cultivada por decenas de guanajuatenses, para resultar en algo que hoy es un referente universal y sinónimo de una fiesta para el alma; y sin duda, frente a las actuales crisis, la cultura nos brinda un minuto de renacimiento para el alma.      </w:t>
      </w:r>
    </w:p>
    <w:p w14:paraId="5484BDAD" w14:textId="77777777" w:rsidR="00241650" w:rsidRPr="00241650" w:rsidRDefault="00241650" w:rsidP="00241650">
      <w:pPr>
        <w:spacing w:after="160" w:line="259" w:lineRule="auto"/>
        <w:jc w:val="both"/>
        <w:rPr>
          <w:rFonts w:ascii="Abadi" w:eastAsiaTheme="minorHAnsi" w:hAnsi="Abadi" w:cstheme="minorBidi"/>
          <w:sz w:val="21"/>
          <w:szCs w:val="21"/>
          <w:lang w:val="es-MX" w:eastAsia="en-US"/>
        </w:rPr>
      </w:pPr>
      <w:r w:rsidRPr="00241650">
        <w:rPr>
          <w:rFonts w:ascii="Abadi" w:eastAsiaTheme="minorHAnsi" w:hAnsi="Abadi" w:cstheme="minorBidi"/>
          <w:sz w:val="21"/>
          <w:szCs w:val="21"/>
          <w:lang w:val="es-MX" w:eastAsia="en-US"/>
        </w:rPr>
        <w:t xml:space="preserve">Este año es de Oro y Platino.  En 2022 el Festival Cervantino, que hoy es una manifestación de impacto mundial, cumple 50 años, aniversario de oro, pero que en medio de su internacionalización conserva su arraigo a esta tierra y no deja de estar anclado a sus orígenes, pues nunca se entendería sin referencia a Guanajuato, sin alardear de su origen universitario, y de su nacimiento en la Plaza de San Roque.  </w:t>
      </w:r>
    </w:p>
    <w:p w14:paraId="036D71CA" w14:textId="77777777" w:rsidR="00241650" w:rsidRPr="00241650" w:rsidRDefault="00241650" w:rsidP="00241650">
      <w:pPr>
        <w:spacing w:after="160" w:line="259" w:lineRule="auto"/>
        <w:jc w:val="both"/>
        <w:rPr>
          <w:rFonts w:ascii="Abadi" w:eastAsiaTheme="minorHAnsi" w:hAnsi="Abadi" w:cstheme="minorBidi"/>
          <w:sz w:val="21"/>
          <w:szCs w:val="21"/>
          <w:lang w:val="es-MX" w:eastAsia="en-US"/>
        </w:rPr>
      </w:pPr>
      <w:r w:rsidRPr="00241650">
        <w:rPr>
          <w:rFonts w:ascii="Abadi" w:eastAsiaTheme="minorHAnsi" w:hAnsi="Abadi" w:cstheme="minorBidi"/>
          <w:sz w:val="21"/>
          <w:szCs w:val="21"/>
          <w:lang w:val="es-MX" w:eastAsia="en-US"/>
        </w:rPr>
        <w:t xml:space="preserve">Por el festival, Guanajuato es la capital cervantina de América, pero el festival tiene esencia por los Guanajuatenses que han participado en el proceso de desarrollo, sin importar si aquí nacieron o solo por amor aquí se arraigaron.   </w:t>
      </w:r>
    </w:p>
    <w:p w14:paraId="18B300FE" w14:textId="77777777" w:rsidR="00241650" w:rsidRPr="00241650" w:rsidRDefault="00241650" w:rsidP="00241650">
      <w:pPr>
        <w:spacing w:after="160" w:line="259" w:lineRule="auto"/>
        <w:jc w:val="both"/>
        <w:rPr>
          <w:rFonts w:ascii="Abadi" w:eastAsiaTheme="minorHAnsi" w:hAnsi="Abadi" w:cstheme="minorBidi"/>
          <w:sz w:val="21"/>
          <w:szCs w:val="21"/>
          <w:lang w:val="es-MX" w:eastAsia="en-US"/>
        </w:rPr>
      </w:pPr>
      <w:r w:rsidRPr="00241650">
        <w:rPr>
          <w:rFonts w:ascii="Abadi" w:eastAsiaTheme="minorHAnsi" w:hAnsi="Abadi" w:cstheme="minorBidi"/>
          <w:sz w:val="21"/>
          <w:szCs w:val="21"/>
          <w:lang w:val="es-MX" w:eastAsia="en-US"/>
        </w:rPr>
        <w:t xml:space="preserve">Pero a la par, celebramos los 70 años del teatro universitario, fenómeno de gran trascendencia y sin el cual nuestro festival sería inimaginable, que solo fue posible al impulso del entonces rector Don Antonio Torres Gómez; hecho que se vio catapultado por la llegada a esta capital, a instancias de Don Enrique Ruelas, hidalguense de origen pero guanajuatense por propia decisión, de un puñado de jóvenes literatos españoles, exiliados republicanos como Luis Villoro, Pedro Garfias y Luis Rius.  </w:t>
      </w:r>
    </w:p>
    <w:p w14:paraId="2639C300" w14:textId="77777777" w:rsidR="00241650" w:rsidRPr="00241650" w:rsidRDefault="00241650" w:rsidP="00241650">
      <w:pPr>
        <w:spacing w:after="160" w:line="259" w:lineRule="auto"/>
        <w:jc w:val="both"/>
        <w:rPr>
          <w:rFonts w:ascii="Abadi" w:eastAsiaTheme="minorHAnsi" w:hAnsi="Abadi" w:cstheme="minorBidi"/>
          <w:sz w:val="21"/>
          <w:szCs w:val="21"/>
          <w:lang w:val="es-MX" w:eastAsia="en-US"/>
        </w:rPr>
      </w:pPr>
      <w:r w:rsidRPr="00241650">
        <w:rPr>
          <w:rFonts w:ascii="Abadi" w:eastAsiaTheme="minorHAnsi" w:hAnsi="Abadi" w:cstheme="minorBidi"/>
          <w:sz w:val="21"/>
          <w:szCs w:val="21"/>
          <w:lang w:val="es-MX" w:eastAsia="en-US"/>
        </w:rPr>
        <w:t xml:space="preserve">Que si bien fueron requeridos para fundar la escuela de filosofía y letras, su apertura fue parte de un proyecto integral de la Universidad y el Gobierno de Guanajuato que incluía, entre otras cosas, el teatro universitario  </w:t>
      </w:r>
    </w:p>
    <w:p w14:paraId="10FAAFB8" w14:textId="77777777" w:rsidR="00241650" w:rsidRPr="00241650" w:rsidRDefault="00241650" w:rsidP="00241650">
      <w:pPr>
        <w:spacing w:after="160" w:line="259" w:lineRule="auto"/>
        <w:jc w:val="both"/>
        <w:rPr>
          <w:rFonts w:ascii="Abadi" w:eastAsiaTheme="minorHAnsi" w:hAnsi="Abadi" w:cstheme="minorBidi"/>
          <w:sz w:val="21"/>
          <w:szCs w:val="21"/>
          <w:lang w:val="es-MX" w:eastAsia="en-US"/>
        </w:rPr>
      </w:pPr>
      <w:r w:rsidRPr="00241650">
        <w:rPr>
          <w:rFonts w:ascii="Abadi" w:eastAsiaTheme="minorHAnsi" w:hAnsi="Abadi" w:cstheme="minorBidi"/>
          <w:sz w:val="21"/>
          <w:szCs w:val="21"/>
          <w:lang w:val="es-MX" w:eastAsia="en-US"/>
        </w:rPr>
        <w:t xml:space="preserve">En ese histórico 1952, que marcó el regreso de Enrique Ruelas a Guanajuato, después de realizar estudios en la UNAM, retomó no solo su amistad con personajes clave para consolidar el proyecto escénico, como Don Eugenio Trueba Olivares y Don Armando Olivares Carrillo sino, como en sus años mozos, volvió a los cafés locales para garabatear libretos de Teatro.  </w:t>
      </w:r>
    </w:p>
    <w:p w14:paraId="7C33DBB7" w14:textId="77777777" w:rsidR="00241650" w:rsidRPr="00241650" w:rsidRDefault="00241650" w:rsidP="00241650">
      <w:pPr>
        <w:spacing w:after="160" w:line="259" w:lineRule="auto"/>
        <w:jc w:val="both"/>
        <w:rPr>
          <w:rFonts w:ascii="Abadi" w:eastAsiaTheme="minorHAnsi" w:hAnsi="Abadi" w:cstheme="minorBidi"/>
          <w:sz w:val="21"/>
          <w:szCs w:val="21"/>
          <w:lang w:val="es-MX" w:eastAsia="en-US"/>
        </w:rPr>
      </w:pPr>
      <w:r w:rsidRPr="00241650">
        <w:rPr>
          <w:rFonts w:ascii="Abadi" w:eastAsiaTheme="minorHAnsi" w:hAnsi="Abadi" w:cstheme="minorBidi"/>
          <w:sz w:val="21"/>
          <w:szCs w:val="21"/>
          <w:lang w:val="es-MX" w:eastAsia="en-US"/>
        </w:rPr>
        <w:t xml:space="preserve">Y fue la falta de divertimento y el amor a las letras lo que convirtió al teatro en una opción de una ciudad en la que para entonces no había mucho que hacer.      </w:t>
      </w:r>
    </w:p>
    <w:p w14:paraId="6C80EC52" w14:textId="77777777" w:rsidR="00241650" w:rsidRPr="00241650" w:rsidRDefault="00241650" w:rsidP="00241650">
      <w:pPr>
        <w:spacing w:after="160" w:line="259" w:lineRule="auto"/>
        <w:jc w:val="both"/>
        <w:rPr>
          <w:rFonts w:ascii="Abadi" w:eastAsiaTheme="minorHAnsi" w:hAnsi="Abadi" w:cstheme="minorBidi"/>
          <w:sz w:val="21"/>
          <w:szCs w:val="21"/>
          <w:lang w:val="es-MX" w:eastAsia="en-US"/>
        </w:rPr>
      </w:pPr>
      <w:r w:rsidRPr="00241650">
        <w:rPr>
          <w:rFonts w:ascii="Abadi" w:eastAsiaTheme="minorHAnsi" w:hAnsi="Abadi" w:cstheme="minorBidi"/>
          <w:sz w:val="21"/>
          <w:szCs w:val="21"/>
          <w:lang w:val="es-MX" w:eastAsia="en-US"/>
        </w:rPr>
        <w:t xml:space="preserve">Estudiantes, profesores y egresados de la carrera de derecho acompañados de los inscritos en las nacientes carreras de letras españolas y de filosofía junto a los trasterrados regaron el amor por la lengua castellana y liderados por Enrique Ruelas impulsaron fuerzas desde los cafés para impulsar una querencia que dio origen a los entremeses cervantinos y a la formación de los juglares de Guanajuato.  </w:t>
      </w:r>
    </w:p>
    <w:p w14:paraId="28F6F4E9" w14:textId="77777777" w:rsidR="00241650" w:rsidRPr="00241650" w:rsidRDefault="00241650" w:rsidP="00241650">
      <w:pPr>
        <w:spacing w:after="160" w:line="259" w:lineRule="auto"/>
        <w:jc w:val="both"/>
        <w:rPr>
          <w:rFonts w:ascii="Abadi" w:eastAsiaTheme="minorHAnsi" w:hAnsi="Abadi" w:cstheme="minorBidi"/>
          <w:sz w:val="21"/>
          <w:szCs w:val="21"/>
          <w:lang w:val="es-MX" w:eastAsia="en-US"/>
        </w:rPr>
      </w:pPr>
      <w:r w:rsidRPr="00241650">
        <w:rPr>
          <w:rFonts w:ascii="Abadi" w:eastAsiaTheme="minorHAnsi" w:hAnsi="Abadi" w:cstheme="minorBidi"/>
          <w:sz w:val="21"/>
          <w:szCs w:val="21"/>
          <w:lang w:val="es-MX" w:eastAsia="en-US"/>
        </w:rPr>
        <w:t xml:space="preserve">La escenificación de Las Estampas del Quijote, bajo la dirección de Ruelas, en ese idílico año reclutó como actores a iconos del teatro universitario como Joaquín “el flaco” Arias, Antonio de la Pompa y Pompa, así como con José “Pepe” Araujo son la semilla de los entremeses cervantinos y de la recreación de ese tipo de comedia medieval que caracteriza a la juglaría, y que solo han sido posibles por la magia que imprimen Guanajuato y sus inigualables escenarios.  </w:t>
      </w:r>
    </w:p>
    <w:p w14:paraId="251E5082" w14:textId="77777777" w:rsidR="00241650" w:rsidRPr="00241650" w:rsidRDefault="00241650" w:rsidP="00241650">
      <w:pPr>
        <w:spacing w:after="160" w:line="259" w:lineRule="auto"/>
        <w:jc w:val="both"/>
        <w:rPr>
          <w:rFonts w:ascii="Abadi" w:eastAsiaTheme="minorHAnsi" w:hAnsi="Abadi" w:cstheme="minorBidi"/>
          <w:sz w:val="21"/>
          <w:szCs w:val="21"/>
          <w:lang w:val="es-MX" w:eastAsia="en-US"/>
        </w:rPr>
      </w:pPr>
      <w:r w:rsidRPr="00241650">
        <w:rPr>
          <w:rFonts w:ascii="Abadi" w:eastAsiaTheme="minorHAnsi" w:hAnsi="Abadi" w:cstheme="minorBidi"/>
          <w:sz w:val="21"/>
          <w:szCs w:val="21"/>
          <w:lang w:val="es-MX" w:eastAsia="en-US"/>
        </w:rPr>
        <w:t xml:space="preserve">Estas son obras de la diversidad social y del placer cultural, donde lo mismo han participado las y los habitantes de la ciudad que quienes llegaron para integrarse y amarla. Obreros, amas de casa, profesionistas, maestros y estudiantes hicieron de San Roque y de las otras plazas de Guanajuato, una fiesta de creación e identidad guanajuatense muy señaladamente dando vida a la obra del Manco de Lepanto.  </w:t>
      </w:r>
    </w:p>
    <w:p w14:paraId="1703581B" w14:textId="77777777" w:rsidR="00241650" w:rsidRPr="00241650" w:rsidRDefault="00241650" w:rsidP="00241650">
      <w:pPr>
        <w:spacing w:after="160" w:line="259" w:lineRule="auto"/>
        <w:jc w:val="both"/>
        <w:rPr>
          <w:rFonts w:ascii="Abadi" w:eastAsiaTheme="minorHAnsi" w:hAnsi="Abadi" w:cstheme="minorBidi"/>
          <w:sz w:val="21"/>
          <w:szCs w:val="21"/>
          <w:lang w:val="es-MX" w:eastAsia="en-US"/>
        </w:rPr>
      </w:pPr>
      <w:r w:rsidRPr="00241650">
        <w:rPr>
          <w:rFonts w:ascii="Abadi" w:eastAsiaTheme="minorHAnsi" w:hAnsi="Abadi" w:cstheme="minorBidi"/>
          <w:sz w:val="21"/>
          <w:szCs w:val="21"/>
          <w:lang w:val="es-MX" w:eastAsia="en-US"/>
        </w:rPr>
        <w:t xml:space="preserve">Ahí iniciaba el largo pero hoy coronado y muy loado camino Cervantino en Cuévano.  </w:t>
      </w:r>
    </w:p>
    <w:p w14:paraId="7657C538" w14:textId="77777777" w:rsidR="00241650" w:rsidRPr="00241650" w:rsidRDefault="00241650" w:rsidP="00241650">
      <w:pPr>
        <w:spacing w:after="160" w:line="259" w:lineRule="auto"/>
        <w:jc w:val="both"/>
        <w:rPr>
          <w:rFonts w:ascii="Abadi" w:eastAsiaTheme="minorHAnsi" w:hAnsi="Abadi" w:cstheme="minorBidi"/>
          <w:sz w:val="21"/>
          <w:szCs w:val="21"/>
          <w:lang w:val="es-MX" w:eastAsia="en-US"/>
        </w:rPr>
      </w:pPr>
      <w:r w:rsidRPr="00241650">
        <w:rPr>
          <w:rFonts w:ascii="Abadi" w:eastAsiaTheme="minorHAnsi" w:hAnsi="Abadi" w:cstheme="minorBidi"/>
          <w:sz w:val="21"/>
          <w:szCs w:val="21"/>
          <w:lang w:val="es-MX" w:eastAsia="en-US"/>
        </w:rPr>
        <w:t xml:space="preserve">Este 2022 festeja el FIC de oro, los 50 años de los juglares de Guanajuato, los 70 de la formación del Teatro Universitario y en los albores de conmemorar el próximo mes de febrero el aniversario 70 de la primera escenificación de los entremeses cervantinos.  </w:t>
      </w:r>
    </w:p>
    <w:p w14:paraId="2035E524" w14:textId="77777777" w:rsidR="00241650" w:rsidRPr="00241650" w:rsidRDefault="00241650" w:rsidP="00241650">
      <w:pPr>
        <w:spacing w:after="160" w:line="259" w:lineRule="auto"/>
        <w:jc w:val="both"/>
        <w:rPr>
          <w:rFonts w:ascii="Abadi" w:eastAsiaTheme="minorHAnsi" w:hAnsi="Abadi" w:cstheme="minorBidi"/>
          <w:sz w:val="21"/>
          <w:szCs w:val="21"/>
          <w:lang w:val="es-MX" w:eastAsia="en-US"/>
        </w:rPr>
      </w:pPr>
      <w:r w:rsidRPr="00241650">
        <w:rPr>
          <w:rFonts w:ascii="Abadi" w:eastAsiaTheme="minorHAnsi" w:hAnsi="Abadi" w:cstheme="minorBidi"/>
          <w:sz w:val="21"/>
          <w:szCs w:val="21"/>
          <w:lang w:val="es-MX" w:eastAsia="en-US"/>
        </w:rPr>
        <w:t xml:space="preserve">Hoy, a 50 años de su creación y conformación actual bajo el influjo del Presidente Luis Echeverría, el Festival Cervantino es un festejo de calado y reconocimiento internacional que brilla con luz propia en el mundo de la Cultura, las artes y las letras hispánicas.  </w:t>
      </w:r>
    </w:p>
    <w:p w14:paraId="4EA449DA" w14:textId="77777777" w:rsidR="00241650" w:rsidRPr="00241650" w:rsidRDefault="00241650" w:rsidP="00241650">
      <w:pPr>
        <w:spacing w:after="160" w:line="259" w:lineRule="auto"/>
        <w:jc w:val="both"/>
        <w:rPr>
          <w:rFonts w:ascii="Abadi" w:eastAsiaTheme="minorHAnsi" w:hAnsi="Abadi" w:cstheme="minorBidi"/>
          <w:sz w:val="21"/>
          <w:szCs w:val="21"/>
          <w:lang w:val="es-MX" w:eastAsia="en-US"/>
        </w:rPr>
      </w:pPr>
      <w:r w:rsidRPr="00241650">
        <w:rPr>
          <w:rFonts w:ascii="Abadi" w:eastAsiaTheme="minorHAnsi" w:hAnsi="Abadi" w:cstheme="minorBidi"/>
          <w:sz w:val="21"/>
          <w:szCs w:val="21"/>
          <w:lang w:val="es-MX" w:eastAsia="en-US"/>
        </w:rPr>
        <w:t xml:space="preserve">Pero que es el resultado de una gestación brillante y permanente por su consolidación, pues nadie puede regatear el decidido y trascendente impulso que personajes como el Gobernador Velasco Ibarra o el Presidente López Portillo dieron para la fijación de la identidad del festival como una fiesta de las artes y un solaz de las letras hispánicas.  </w:t>
      </w:r>
    </w:p>
    <w:p w14:paraId="0FB21DBE" w14:textId="77777777" w:rsidR="00241650" w:rsidRPr="00241650" w:rsidRDefault="00241650" w:rsidP="00241650">
      <w:pPr>
        <w:spacing w:after="160" w:line="259" w:lineRule="auto"/>
        <w:jc w:val="both"/>
        <w:rPr>
          <w:rFonts w:ascii="Abadi" w:eastAsiaTheme="minorHAnsi" w:hAnsi="Abadi" w:cstheme="minorBidi"/>
          <w:sz w:val="21"/>
          <w:szCs w:val="21"/>
          <w:lang w:val="es-MX" w:eastAsia="en-US"/>
        </w:rPr>
      </w:pPr>
      <w:r w:rsidRPr="00241650">
        <w:rPr>
          <w:rFonts w:ascii="Abadi" w:eastAsiaTheme="minorHAnsi" w:hAnsi="Abadi" w:cstheme="minorBidi"/>
          <w:sz w:val="21"/>
          <w:szCs w:val="21"/>
          <w:lang w:val="es-MX" w:eastAsia="en-US"/>
        </w:rPr>
        <w:t xml:space="preserve">Pero el mismo no se explicaría sin la fundación del Teatro Universitario, que diríamos es el abuelo, que es el origen de los entremeses cervantinos, que son el padre y de la escenificación de los juglares de Guanajuato que son la apuesta por excelencia de hacer de las plazas y calles de esta capital un escenario, el amor de “callejonear”.  </w:t>
      </w:r>
    </w:p>
    <w:p w14:paraId="3F2BCAEE" w14:textId="77777777" w:rsidR="00241650" w:rsidRPr="00241650" w:rsidRDefault="00241650" w:rsidP="00241650">
      <w:pPr>
        <w:spacing w:after="160" w:line="259" w:lineRule="auto"/>
        <w:jc w:val="both"/>
        <w:rPr>
          <w:rFonts w:ascii="Abadi" w:eastAsiaTheme="minorHAnsi" w:hAnsi="Abadi" w:cstheme="minorBidi"/>
          <w:sz w:val="21"/>
          <w:szCs w:val="21"/>
          <w:lang w:val="es-MX" w:eastAsia="en-US"/>
        </w:rPr>
      </w:pPr>
      <w:r w:rsidRPr="00241650">
        <w:rPr>
          <w:rFonts w:ascii="Abadi" w:eastAsiaTheme="minorHAnsi" w:hAnsi="Abadi" w:cstheme="minorBidi"/>
          <w:sz w:val="21"/>
          <w:szCs w:val="21"/>
          <w:lang w:val="es-MX" w:eastAsia="en-US"/>
        </w:rPr>
        <w:t xml:space="preserve">Y tanto el teatro universitario, como los entremeses cervantinos y los juglares de Guanajuato están indisolublemente ligados a los personajes de esta tierra.  </w:t>
      </w:r>
    </w:p>
    <w:p w14:paraId="0E14DC30" w14:textId="77777777" w:rsidR="00241650" w:rsidRPr="00241650" w:rsidRDefault="00241650" w:rsidP="00241650">
      <w:pPr>
        <w:spacing w:after="160" w:line="259" w:lineRule="auto"/>
        <w:jc w:val="both"/>
        <w:rPr>
          <w:rFonts w:ascii="Abadi" w:eastAsiaTheme="minorHAnsi" w:hAnsi="Abadi" w:cstheme="minorBidi"/>
          <w:sz w:val="21"/>
          <w:szCs w:val="21"/>
          <w:lang w:val="es-MX" w:eastAsia="en-US"/>
        </w:rPr>
      </w:pPr>
      <w:r w:rsidRPr="00241650">
        <w:rPr>
          <w:rFonts w:ascii="Abadi" w:eastAsiaTheme="minorHAnsi" w:hAnsi="Abadi" w:cstheme="minorBidi"/>
          <w:sz w:val="21"/>
          <w:szCs w:val="21"/>
          <w:lang w:val="es-MX" w:eastAsia="en-US"/>
        </w:rPr>
        <w:t xml:space="preserve">Su devenir no se explica sin los nombres de Enrique Ruelas, Eugenio Trueba, Armando Olivares, Antonio Torres Gómez, Miguel Sabido, el flaco Arias, Pepe Araujo, Enrique Hagen, Eulalio Ferrer, Virgilio, Fernández, Isauro Rionda, Gloria Avila, Antonio de la Pompa, Luis Villoro, la familia Vázquez Nieto, en especial Isabel y Pedro, Hugo Gamba Briones o Arturo Gutiérrez Márquez.   </w:t>
      </w:r>
    </w:p>
    <w:p w14:paraId="514FDB1A" w14:textId="77777777" w:rsidR="00241650" w:rsidRPr="00241650" w:rsidRDefault="00241650" w:rsidP="00241650">
      <w:pPr>
        <w:spacing w:after="160" w:line="259" w:lineRule="auto"/>
        <w:jc w:val="both"/>
        <w:rPr>
          <w:rFonts w:ascii="Abadi" w:eastAsiaTheme="minorHAnsi" w:hAnsi="Abadi" w:cstheme="minorBidi"/>
          <w:sz w:val="21"/>
          <w:szCs w:val="21"/>
          <w:lang w:val="es-MX" w:eastAsia="en-US"/>
        </w:rPr>
      </w:pPr>
      <w:r w:rsidRPr="00241650">
        <w:rPr>
          <w:rFonts w:ascii="Abadi" w:eastAsiaTheme="minorHAnsi" w:hAnsi="Abadi" w:cstheme="minorBidi"/>
          <w:sz w:val="21"/>
          <w:szCs w:val="21"/>
          <w:lang w:val="es-MX" w:eastAsia="en-US"/>
        </w:rPr>
        <w:t xml:space="preserve">Y el concurso de estos ilustres guanajuatenses no es de ninguna manera una remembranza, pues el amor al arte y ese inquieto espíritu bohemio de Hugo Gamba, Pedro e Isabel Vázquez Nieto y Arturo Gutiérrez Márquez son el alma que preserva y mantiene vivo, para deleite de los guanajuatenses, el teatro universitario, debiendo aunar al elenco a Pepe Araujo, cara e imagen viva de los juglares de Guanajuato.  </w:t>
      </w:r>
    </w:p>
    <w:p w14:paraId="7F956116" w14:textId="77777777" w:rsidR="00241650" w:rsidRPr="00241650" w:rsidRDefault="00241650" w:rsidP="00241650">
      <w:pPr>
        <w:spacing w:after="160" w:line="259" w:lineRule="auto"/>
        <w:jc w:val="both"/>
        <w:rPr>
          <w:rFonts w:ascii="Abadi" w:eastAsiaTheme="minorHAnsi" w:hAnsi="Abadi" w:cstheme="minorBidi"/>
          <w:sz w:val="21"/>
          <w:szCs w:val="21"/>
          <w:lang w:val="es-MX" w:eastAsia="en-US"/>
        </w:rPr>
      </w:pPr>
      <w:r w:rsidRPr="00241650">
        <w:rPr>
          <w:rFonts w:ascii="Abadi" w:eastAsiaTheme="minorHAnsi" w:hAnsi="Abadi" w:cstheme="minorBidi"/>
          <w:sz w:val="21"/>
          <w:szCs w:val="21"/>
          <w:lang w:val="es-MX" w:eastAsia="en-US"/>
        </w:rPr>
        <w:t xml:space="preserve">Las contribuciones de las y los Guanajuatenses al festival como una particular herencia cultural cervantina es lo que motiva esta intervención, para solicitar respetuosamente al Gobernador del Estado, en términos de lo dispuesto en el artículo 5-Bis de la Ley del Patrimonio Cultural del Estado de Guanajuato, a que declare como Patrimonio Cultural Intangible de los Guanajuatenses esas manifestaciones culturales que conocemos el Teatro Universitario de Guanajuato; la representación de los entremeses cervantinos en San Roque y la escenificación de los juglares de Guanajuato.      </w:t>
      </w:r>
    </w:p>
    <w:p w14:paraId="20BA97BC" w14:textId="77777777" w:rsidR="00241650" w:rsidRPr="00241650" w:rsidRDefault="00241650" w:rsidP="00241650">
      <w:pPr>
        <w:spacing w:after="160" w:line="259" w:lineRule="auto"/>
        <w:jc w:val="both"/>
        <w:rPr>
          <w:rFonts w:ascii="Abadi" w:eastAsiaTheme="minorHAnsi" w:hAnsi="Abadi" w:cstheme="minorBidi"/>
          <w:sz w:val="21"/>
          <w:szCs w:val="21"/>
          <w:lang w:val="es-MX" w:eastAsia="en-US"/>
        </w:rPr>
      </w:pPr>
      <w:r w:rsidRPr="00241650">
        <w:rPr>
          <w:rFonts w:ascii="Abadi" w:eastAsiaTheme="minorHAnsi" w:hAnsi="Abadi" w:cstheme="minorBidi"/>
          <w:sz w:val="21"/>
          <w:szCs w:val="21"/>
          <w:lang w:val="es-MX" w:eastAsia="en-US"/>
        </w:rPr>
        <w:t xml:space="preserve">Aún más, la obvia resolución se encuentra debidamente justificada, toda vez que, el día doce de octubre de este año ha sido inaugurado el 50 Festival Internacional Cervantino, por lo que, el marco de la declaración de estas manifestaciones culturales como patrimonio cultural intangible se presenta en un momento que no debe ser desaprovechado para resaltar, reconocer y valorar el valor artístico con el que los guanajuatenses contamos.   </w:t>
      </w:r>
    </w:p>
    <w:p w14:paraId="315BBBD3" w14:textId="77777777" w:rsidR="00241650" w:rsidRPr="00241650" w:rsidRDefault="00241650" w:rsidP="00241650">
      <w:pPr>
        <w:spacing w:after="160" w:line="259" w:lineRule="auto"/>
        <w:jc w:val="both"/>
        <w:rPr>
          <w:rFonts w:ascii="Abadi" w:eastAsiaTheme="minorHAnsi" w:hAnsi="Abadi" w:cstheme="minorBidi"/>
          <w:sz w:val="21"/>
          <w:szCs w:val="21"/>
          <w:lang w:val="es-MX" w:eastAsia="en-US"/>
        </w:rPr>
      </w:pPr>
      <w:r w:rsidRPr="00241650">
        <w:rPr>
          <w:rFonts w:ascii="Abadi" w:eastAsiaTheme="minorHAnsi" w:hAnsi="Abadi" w:cstheme="minorBidi"/>
          <w:sz w:val="21"/>
          <w:szCs w:val="21"/>
          <w:lang w:val="es-MX" w:eastAsia="en-US"/>
        </w:rPr>
        <w:t xml:space="preserve">Además, esta Legislatura conformada por todos Ustedes compañeras y compañeros diputados se ha distinguido por ser mujeres y hombres comprometidos con todos los intereses sociales y culturales de nuestro Estado, por lo que, aprobando la obvia resolución y en su caso el punto de acuerdo que se pone a su consideración es una oportunidad para todos Ustedes de contribuir a la celebración del 50 Aniversario del Festival Internacional Cervantino.    </w:t>
      </w:r>
    </w:p>
    <w:p w14:paraId="27414DCB" w14:textId="77777777" w:rsidR="00241650" w:rsidRPr="00241650" w:rsidRDefault="00241650" w:rsidP="00241650">
      <w:pPr>
        <w:spacing w:after="160" w:line="259" w:lineRule="auto"/>
        <w:jc w:val="both"/>
        <w:rPr>
          <w:rFonts w:ascii="Abadi" w:eastAsiaTheme="minorHAnsi" w:hAnsi="Abadi" w:cstheme="minorBidi"/>
          <w:sz w:val="21"/>
          <w:szCs w:val="21"/>
          <w:lang w:val="es-MX" w:eastAsia="en-US"/>
        </w:rPr>
      </w:pPr>
      <w:r w:rsidRPr="00241650">
        <w:rPr>
          <w:rFonts w:ascii="Abadi" w:eastAsiaTheme="minorHAnsi" w:hAnsi="Abadi" w:cstheme="minorBidi"/>
          <w:sz w:val="21"/>
          <w:szCs w:val="21"/>
          <w:lang w:val="es-MX" w:eastAsia="en-US"/>
        </w:rPr>
        <w:t xml:space="preserve">Por lo anteriormente expuesto, para el Grupo Parlamentario del Partido Revolucionario Institucional es de capital importancia el buscar preservar estas expresiones culturales, que son signo de identidad, como parte del patrimonio eterno de los guanajuatenses, pues para el PRI la riqueza más grande que tiene México, es su riqueza cultural, nuestras tradiciones, porque nuestra cultura nos da identidad, nos da arraigo y por ello promovemos se  impulsen y fortalezcan los principios, valores y tradiciones que identifican nuestra rica herencia de tradición milenaria.  </w:t>
      </w:r>
    </w:p>
    <w:p w14:paraId="0F522ACF" w14:textId="77777777" w:rsidR="00241650" w:rsidRPr="00241650" w:rsidRDefault="00241650" w:rsidP="00241650">
      <w:pPr>
        <w:spacing w:after="160" w:line="259" w:lineRule="auto"/>
        <w:jc w:val="both"/>
        <w:rPr>
          <w:rFonts w:ascii="Abadi" w:eastAsiaTheme="minorHAnsi" w:hAnsi="Abadi" w:cstheme="minorBidi"/>
          <w:sz w:val="21"/>
          <w:szCs w:val="21"/>
          <w:lang w:val="es-MX" w:eastAsia="en-US"/>
        </w:rPr>
      </w:pPr>
      <w:r w:rsidRPr="00241650">
        <w:rPr>
          <w:rFonts w:ascii="Abadi" w:eastAsiaTheme="minorHAnsi" w:hAnsi="Abadi" w:cstheme="minorBidi"/>
          <w:sz w:val="21"/>
          <w:szCs w:val="21"/>
          <w:lang w:val="es-MX" w:eastAsia="en-US"/>
        </w:rPr>
        <w:t xml:space="preserve">Con esta motivación y derivado de los argumentos anteriormente expuestos, y con fundamento en lo establecido en los artículos 3 fracciones  IV y V, 5-Bis, 6 fracción VI, 26 y analógicamente el artículo 36, todos de la Ley del Patrimonio Cultural del Estado de Guanajuato, así como en lo dispuesto por la fracción II del artículo 56 de la Constitución Política para el Estado de Guanajuato, así como en los artículos 167, fracción II, 177 y 204, párrafos primero, segundo y tercero y fracción III, ambos de la Ley Orgánica del Poder Legislativo del Estado de Guanajuato  nos permitimos someter a la consideración de esta honorable Asamblea, el siguiente:      </w:t>
      </w:r>
    </w:p>
    <w:p w14:paraId="5E40F44E" w14:textId="4C21940B" w:rsidR="00241650" w:rsidRPr="00241650" w:rsidRDefault="00241650" w:rsidP="00241650">
      <w:pPr>
        <w:spacing w:after="160" w:line="259" w:lineRule="auto"/>
        <w:jc w:val="both"/>
        <w:rPr>
          <w:rFonts w:ascii="Abadi" w:eastAsiaTheme="minorHAnsi" w:hAnsi="Abadi" w:cstheme="minorBidi"/>
          <w:sz w:val="21"/>
          <w:szCs w:val="21"/>
          <w:lang w:val="es-MX" w:eastAsia="en-US"/>
        </w:rPr>
      </w:pPr>
      <w:r w:rsidRPr="00241650">
        <w:rPr>
          <w:rFonts w:ascii="Abadi" w:eastAsiaTheme="minorHAnsi" w:hAnsi="Abadi" w:cstheme="minorBidi"/>
          <w:b/>
          <w:bCs/>
          <w:sz w:val="21"/>
          <w:szCs w:val="21"/>
          <w:lang w:val="es-MX" w:eastAsia="en-US"/>
        </w:rPr>
        <w:t>ÚNICO</w:t>
      </w:r>
      <w:r w:rsidRPr="00241650">
        <w:rPr>
          <w:rFonts w:ascii="Abadi" w:eastAsiaTheme="minorHAnsi" w:hAnsi="Abadi" w:cstheme="minorBidi"/>
          <w:sz w:val="21"/>
          <w:szCs w:val="21"/>
          <w:lang w:val="es-MX" w:eastAsia="en-US"/>
        </w:rPr>
        <w:t xml:space="preserve"> .- La Sexagésima Quinta Legislatura del Congreso del Estado Libre y Soberano de Guanajuato, efectúa un respetuoso exhorto al titular del Poder Ejecutivo Estatal, Gobernador D</w:t>
      </w:r>
      <w:r>
        <w:rPr>
          <w:rFonts w:ascii="Abadi" w:eastAsiaTheme="minorHAnsi" w:hAnsi="Abadi" w:cstheme="minorBidi"/>
          <w:sz w:val="21"/>
          <w:szCs w:val="21"/>
          <w:lang w:val="es-MX" w:eastAsia="en-US"/>
        </w:rPr>
        <w:t>i</w:t>
      </w:r>
      <w:r w:rsidRPr="00241650">
        <w:rPr>
          <w:rFonts w:ascii="Abadi" w:eastAsiaTheme="minorHAnsi" w:hAnsi="Abadi" w:cstheme="minorBidi"/>
          <w:sz w:val="21"/>
          <w:szCs w:val="21"/>
          <w:lang w:val="es-MX" w:eastAsia="en-US"/>
        </w:rPr>
        <w:t xml:space="preserve">ego Sinhue Rodríguez Vallejo para que, en el uso de sus atribuciones, en especial de las señaladas en los artículos 5-Bis y 6 de la Ley del Patrimonio Cultural del Estado de Guanajuato, declare como patrimonio cultural intangible de los guanajuatenses las manifestaciones culturales que por su valor y significado así como relevancia artística, tradicional, intelectual y lingüística representan el Teatro Universitario de Guanajuato; la escenificación de los entremeses cervantinos y las representaciones de los juglares de Guanajuato; para que en el marco del 50 aniversario del Festival Internacional Cervantino se deje un testimonio perenne e indeleble de la contribución de la gente de esta tierra a esta fiesta del espíritu universal y que en consecuencia, dicha declaratoria se publique en el Periódico Oficial del Estado de Guanajuato.  </w:t>
      </w:r>
    </w:p>
    <w:p w14:paraId="7CE93B82" w14:textId="77777777" w:rsidR="00241650" w:rsidRPr="00241650" w:rsidRDefault="00241650" w:rsidP="00241650">
      <w:pPr>
        <w:spacing w:after="160" w:line="259" w:lineRule="auto"/>
        <w:jc w:val="both"/>
        <w:rPr>
          <w:rFonts w:ascii="Abadi" w:eastAsiaTheme="minorHAnsi" w:hAnsi="Abadi" w:cstheme="minorBidi"/>
          <w:sz w:val="21"/>
          <w:szCs w:val="21"/>
          <w:lang w:val="es-MX" w:eastAsia="en-US"/>
        </w:rPr>
      </w:pPr>
      <w:r w:rsidRPr="00241650">
        <w:rPr>
          <w:rFonts w:ascii="Abadi" w:eastAsiaTheme="minorHAnsi" w:hAnsi="Abadi" w:cstheme="minorBidi"/>
          <w:sz w:val="21"/>
          <w:szCs w:val="21"/>
          <w:lang w:val="es-MX" w:eastAsia="en-US"/>
        </w:rPr>
        <w:t xml:space="preserve">Seamos generosos, pues como decía Antonio Machado: En cuestiones de cultura y de saber, sólo se pierde lo que se guarda; sólo se gana lo que se da.  </w:t>
      </w:r>
    </w:p>
    <w:p w14:paraId="1A9CEF01" w14:textId="77777777" w:rsidR="00241650" w:rsidRPr="00241650" w:rsidRDefault="00241650" w:rsidP="00241650">
      <w:pPr>
        <w:spacing w:after="160" w:line="259" w:lineRule="auto"/>
        <w:jc w:val="both"/>
        <w:rPr>
          <w:rFonts w:ascii="Abadi" w:eastAsiaTheme="minorHAnsi" w:hAnsi="Abadi" w:cstheme="minorBidi"/>
          <w:sz w:val="21"/>
          <w:szCs w:val="21"/>
          <w:lang w:val="es-MX" w:eastAsia="en-US"/>
        </w:rPr>
      </w:pPr>
      <w:r w:rsidRPr="00241650">
        <w:rPr>
          <w:rFonts w:ascii="Abadi" w:eastAsiaTheme="minorHAnsi" w:hAnsi="Abadi" w:cstheme="minorBidi"/>
          <w:sz w:val="21"/>
          <w:szCs w:val="21"/>
          <w:lang w:val="es-MX" w:eastAsia="en-US"/>
        </w:rPr>
        <w:t xml:space="preserve">Es cuánto. </w:t>
      </w:r>
    </w:p>
    <w:p w14:paraId="1189A7BF" w14:textId="77777777" w:rsidR="00241650" w:rsidRPr="00241650" w:rsidRDefault="00241650" w:rsidP="00241650">
      <w:pPr>
        <w:spacing w:after="160" w:line="259" w:lineRule="auto"/>
        <w:jc w:val="center"/>
        <w:rPr>
          <w:rFonts w:ascii="Abadi" w:eastAsiaTheme="minorHAnsi" w:hAnsi="Abadi" w:cstheme="minorBidi"/>
          <w:b/>
          <w:bCs/>
          <w:sz w:val="21"/>
          <w:szCs w:val="21"/>
          <w:lang w:val="es-MX" w:eastAsia="en-US"/>
        </w:rPr>
      </w:pPr>
      <w:r w:rsidRPr="00241650">
        <w:rPr>
          <w:rFonts w:ascii="Abadi" w:eastAsiaTheme="minorHAnsi" w:hAnsi="Abadi" w:cstheme="minorBidi"/>
          <w:b/>
          <w:bCs/>
          <w:sz w:val="21"/>
          <w:szCs w:val="21"/>
          <w:lang w:val="es-MX" w:eastAsia="en-US"/>
        </w:rPr>
        <w:t>Guanajuato, Gto., a 13 de octubre de 2021.</w:t>
      </w:r>
    </w:p>
    <w:p w14:paraId="68F50E92" w14:textId="77777777" w:rsidR="00241650" w:rsidRPr="00241650" w:rsidRDefault="00241650" w:rsidP="00241650">
      <w:pPr>
        <w:spacing w:after="160" w:line="259" w:lineRule="auto"/>
        <w:jc w:val="center"/>
        <w:rPr>
          <w:rFonts w:ascii="Abadi" w:eastAsiaTheme="minorHAnsi" w:hAnsi="Abadi" w:cstheme="minorBidi"/>
          <w:b/>
          <w:bCs/>
          <w:sz w:val="21"/>
          <w:szCs w:val="21"/>
          <w:lang w:val="es-MX" w:eastAsia="en-US"/>
        </w:rPr>
      </w:pPr>
      <w:r w:rsidRPr="00241650">
        <w:rPr>
          <w:rFonts w:ascii="Abadi" w:eastAsiaTheme="minorHAnsi" w:hAnsi="Abadi" w:cstheme="minorBidi"/>
          <w:b/>
          <w:bCs/>
          <w:sz w:val="21"/>
          <w:szCs w:val="21"/>
          <w:lang w:val="es-MX" w:eastAsia="en-US"/>
        </w:rPr>
        <w:t>Las Diputadas y Los Diputados integrantes del Grupo Parlamentario del Partido</w:t>
      </w:r>
    </w:p>
    <w:p w14:paraId="377EF30A" w14:textId="77777777" w:rsidR="00241650" w:rsidRDefault="00241650" w:rsidP="00241650">
      <w:pPr>
        <w:spacing w:after="160" w:line="259" w:lineRule="auto"/>
        <w:jc w:val="center"/>
        <w:rPr>
          <w:rFonts w:ascii="Abadi" w:eastAsiaTheme="minorHAnsi" w:hAnsi="Abadi" w:cstheme="minorBidi"/>
          <w:b/>
          <w:bCs/>
          <w:sz w:val="21"/>
          <w:szCs w:val="21"/>
          <w:lang w:val="es-MX" w:eastAsia="en-US"/>
        </w:rPr>
      </w:pPr>
      <w:r w:rsidRPr="00241650">
        <w:rPr>
          <w:rFonts w:ascii="Abadi" w:eastAsiaTheme="minorHAnsi" w:hAnsi="Abadi" w:cstheme="minorBidi"/>
          <w:b/>
          <w:bCs/>
          <w:sz w:val="21"/>
          <w:szCs w:val="21"/>
          <w:lang w:val="es-MX" w:eastAsia="en-US"/>
        </w:rPr>
        <w:t>Revolucionario Institucional.</w:t>
      </w:r>
    </w:p>
    <w:p w14:paraId="2AA1C7FE" w14:textId="77777777" w:rsidR="00241650" w:rsidRDefault="00241650" w:rsidP="00241650">
      <w:pPr>
        <w:spacing w:after="160" w:line="259" w:lineRule="auto"/>
        <w:jc w:val="center"/>
        <w:rPr>
          <w:rFonts w:ascii="Abadi" w:eastAsiaTheme="minorHAnsi" w:hAnsi="Abadi" w:cstheme="minorBidi"/>
          <w:b/>
          <w:bCs/>
          <w:sz w:val="21"/>
          <w:szCs w:val="21"/>
          <w:lang w:val="es-MX" w:eastAsia="en-US"/>
        </w:rPr>
      </w:pPr>
    </w:p>
    <w:p w14:paraId="65D54602" w14:textId="1C3EA738" w:rsidR="00241650" w:rsidRPr="00241650" w:rsidRDefault="00241650" w:rsidP="00241650">
      <w:pPr>
        <w:spacing w:after="160" w:line="259" w:lineRule="auto"/>
        <w:jc w:val="both"/>
        <w:rPr>
          <w:rFonts w:ascii="Abadi" w:eastAsiaTheme="minorHAnsi" w:hAnsi="Abadi" w:cstheme="minorBidi"/>
          <w:b/>
          <w:bCs/>
          <w:sz w:val="21"/>
          <w:szCs w:val="21"/>
          <w:lang w:val="es-MX" w:eastAsia="en-US"/>
        </w:rPr>
      </w:pPr>
      <w:r w:rsidRPr="00241650">
        <w:rPr>
          <w:rFonts w:ascii="Abadi" w:eastAsiaTheme="minorHAnsi" w:hAnsi="Abadi" w:cstheme="minorBidi"/>
          <w:b/>
          <w:bCs/>
          <w:sz w:val="21"/>
          <w:szCs w:val="21"/>
          <w:lang w:val="es-MX" w:eastAsia="en-US"/>
        </w:rPr>
        <w:t>Dip. Ruth Noemí Tiscareño Agoitia</w:t>
      </w:r>
    </w:p>
    <w:p w14:paraId="41EBB622" w14:textId="77777777" w:rsidR="00241650" w:rsidRPr="00241650" w:rsidRDefault="00241650" w:rsidP="00241650">
      <w:pPr>
        <w:spacing w:after="160" w:line="259" w:lineRule="auto"/>
        <w:jc w:val="both"/>
        <w:rPr>
          <w:rFonts w:ascii="Abadi" w:eastAsiaTheme="minorHAnsi" w:hAnsi="Abadi" w:cstheme="minorBidi"/>
          <w:b/>
          <w:bCs/>
          <w:sz w:val="21"/>
          <w:szCs w:val="21"/>
          <w:lang w:val="es-MX" w:eastAsia="en-US"/>
        </w:rPr>
      </w:pPr>
      <w:r w:rsidRPr="00241650">
        <w:rPr>
          <w:rFonts w:ascii="Abadi" w:eastAsiaTheme="minorHAnsi" w:hAnsi="Abadi" w:cstheme="minorBidi"/>
          <w:b/>
          <w:bCs/>
          <w:sz w:val="21"/>
          <w:szCs w:val="21"/>
          <w:lang w:val="es-MX" w:eastAsia="en-US"/>
        </w:rPr>
        <w:t>Proponente</w:t>
      </w:r>
    </w:p>
    <w:p w14:paraId="0AB7166A" w14:textId="77777777" w:rsidR="00241650" w:rsidRPr="00241650" w:rsidRDefault="00241650" w:rsidP="00241650">
      <w:pPr>
        <w:spacing w:after="160" w:line="259" w:lineRule="auto"/>
        <w:jc w:val="both"/>
        <w:rPr>
          <w:rFonts w:ascii="Abadi" w:eastAsiaTheme="minorHAnsi" w:hAnsi="Abadi" w:cstheme="minorBidi"/>
          <w:b/>
          <w:bCs/>
          <w:sz w:val="21"/>
          <w:szCs w:val="21"/>
          <w:lang w:val="es-MX" w:eastAsia="en-US"/>
        </w:rPr>
      </w:pPr>
      <w:r w:rsidRPr="00241650">
        <w:rPr>
          <w:rFonts w:ascii="Abadi" w:eastAsiaTheme="minorHAnsi" w:hAnsi="Abadi" w:cstheme="minorBidi"/>
          <w:b/>
          <w:bCs/>
          <w:sz w:val="21"/>
          <w:szCs w:val="21"/>
          <w:lang w:val="es-MX" w:eastAsia="en-US"/>
        </w:rPr>
        <w:t>Dip. Alejandro Arias Avila</w:t>
      </w:r>
    </w:p>
    <w:p w14:paraId="2CE38EBD" w14:textId="77777777" w:rsidR="00241650" w:rsidRPr="00241650" w:rsidRDefault="00241650" w:rsidP="00241650">
      <w:pPr>
        <w:spacing w:after="160" w:line="259" w:lineRule="auto"/>
        <w:jc w:val="both"/>
        <w:rPr>
          <w:rFonts w:ascii="Abadi" w:eastAsiaTheme="minorHAnsi" w:hAnsi="Abadi" w:cstheme="minorBidi"/>
          <w:b/>
          <w:bCs/>
          <w:sz w:val="21"/>
          <w:szCs w:val="21"/>
          <w:lang w:val="es-MX" w:eastAsia="en-US"/>
        </w:rPr>
      </w:pPr>
      <w:r w:rsidRPr="00241650">
        <w:rPr>
          <w:rFonts w:ascii="Abadi" w:eastAsiaTheme="minorHAnsi" w:hAnsi="Abadi" w:cstheme="minorBidi"/>
          <w:b/>
          <w:bCs/>
          <w:sz w:val="21"/>
          <w:szCs w:val="21"/>
          <w:lang w:val="es-MX" w:eastAsia="en-US"/>
        </w:rPr>
        <w:t>Suscribiente</w:t>
      </w:r>
    </w:p>
    <w:p w14:paraId="30E7C546" w14:textId="77777777" w:rsidR="00241650" w:rsidRPr="00241650" w:rsidRDefault="00241650" w:rsidP="00241650">
      <w:pPr>
        <w:spacing w:after="160" w:line="259" w:lineRule="auto"/>
        <w:jc w:val="both"/>
        <w:rPr>
          <w:rFonts w:ascii="Abadi" w:eastAsiaTheme="minorHAnsi" w:hAnsi="Abadi" w:cstheme="minorBidi"/>
          <w:b/>
          <w:bCs/>
          <w:sz w:val="21"/>
          <w:szCs w:val="21"/>
          <w:lang w:val="es-MX" w:eastAsia="en-US"/>
        </w:rPr>
      </w:pPr>
      <w:r w:rsidRPr="00241650">
        <w:rPr>
          <w:rFonts w:ascii="Abadi" w:eastAsiaTheme="minorHAnsi" w:hAnsi="Abadi" w:cstheme="minorBidi"/>
          <w:b/>
          <w:bCs/>
          <w:sz w:val="21"/>
          <w:szCs w:val="21"/>
          <w:lang w:val="es-MX" w:eastAsia="en-US"/>
        </w:rPr>
        <w:t>Dip. Gustavo Adolfo Alfaro Reyes</w:t>
      </w:r>
    </w:p>
    <w:p w14:paraId="4687D563" w14:textId="7CEC2487" w:rsidR="00241650" w:rsidRDefault="00241650" w:rsidP="00241650">
      <w:pPr>
        <w:spacing w:after="160" w:line="259" w:lineRule="auto"/>
        <w:jc w:val="both"/>
        <w:rPr>
          <w:rFonts w:ascii="Abadi" w:eastAsiaTheme="minorHAnsi" w:hAnsi="Abadi" w:cstheme="minorBidi"/>
          <w:b/>
          <w:bCs/>
          <w:sz w:val="21"/>
          <w:szCs w:val="21"/>
          <w:lang w:val="es-MX" w:eastAsia="en-US"/>
        </w:rPr>
      </w:pPr>
      <w:r w:rsidRPr="00241650">
        <w:rPr>
          <w:rFonts w:ascii="Abadi" w:eastAsiaTheme="minorHAnsi" w:hAnsi="Abadi" w:cstheme="minorBidi"/>
          <w:b/>
          <w:bCs/>
          <w:sz w:val="21"/>
          <w:szCs w:val="21"/>
          <w:lang w:val="es-MX" w:eastAsia="en-US"/>
        </w:rPr>
        <w:t>Suscribiente</w:t>
      </w:r>
    </w:p>
    <w:p w14:paraId="7E554D03" w14:textId="77777777" w:rsidR="00A6230C" w:rsidRPr="00AA7107" w:rsidRDefault="00A6230C" w:rsidP="00A6230C">
      <w:pPr>
        <w:ind w:left="851" w:right="900"/>
        <w:jc w:val="both"/>
        <w:rPr>
          <w:rFonts w:ascii="Abadi" w:hAnsi="Abadi"/>
          <w:b/>
          <w:bCs/>
          <w:i/>
          <w:iCs/>
          <w:sz w:val="21"/>
          <w:szCs w:val="21"/>
          <w:u w:val="single"/>
        </w:rPr>
      </w:pPr>
    </w:p>
    <w:p w14:paraId="2E498CE0" w14:textId="77777777" w:rsidR="00A6230C" w:rsidRPr="00AA7107" w:rsidRDefault="00A6230C" w:rsidP="00A6230C">
      <w:pPr>
        <w:ind w:firstLine="708"/>
        <w:jc w:val="both"/>
        <w:rPr>
          <w:rFonts w:ascii="Abadi" w:hAnsi="Abadi"/>
          <w:sz w:val="21"/>
          <w:szCs w:val="21"/>
        </w:rPr>
      </w:pPr>
      <w:r w:rsidRPr="00AA7107">
        <w:rPr>
          <w:rFonts w:ascii="Abadi" w:hAnsi="Abadi"/>
          <w:b/>
          <w:bCs/>
          <w:sz w:val="21"/>
          <w:szCs w:val="21"/>
        </w:rPr>
        <w:t>- El Presidente.-</w:t>
      </w:r>
      <w:r w:rsidRPr="00AA7107">
        <w:rPr>
          <w:rFonts w:ascii="Abadi" w:hAnsi="Abadi"/>
          <w:sz w:val="21"/>
          <w:szCs w:val="21"/>
        </w:rPr>
        <w:t xml:space="preserve"> Se solicita a la diputada Ruth Noemí Tiscareño  a dar lectura a la propuesta de punto de acuerdo de obvia resolución que  corresponde al punto 13 de nuestra orden del día. (ELD 196/LXV-PPA)</w:t>
      </w:r>
    </w:p>
    <w:p w14:paraId="56AE2A4A" w14:textId="50D85C4D" w:rsidR="00A6230C" w:rsidRDefault="00A6230C" w:rsidP="00A6230C">
      <w:pPr>
        <w:ind w:firstLine="708"/>
        <w:jc w:val="both"/>
        <w:rPr>
          <w:rFonts w:ascii="Abadi" w:hAnsi="Abadi"/>
          <w:sz w:val="21"/>
          <w:szCs w:val="21"/>
        </w:rPr>
      </w:pPr>
      <w:r w:rsidRPr="00AA7107">
        <w:rPr>
          <w:rFonts w:ascii="Abadi" w:hAnsi="Abadi"/>
          <w:sz w:val="21"/>
          <w:szCs w:val="21"/>
        </w:rPr>
        <w:t>- Adelante diputada Ruth.</w:t>
      </w:r>
    </w:p>
    <w:p w14:paraId="1759CE04" w14:textId="77777777" w:rsidR="00562F79" w:rsidRPr="00AA7107" w:rsidRDefault="00562F79" w:rsidP="00A6230C">
      <w:pPr>
        <w:ind w:firstLine="708"/>
        <w:jc w:val="both"/>
        <w:rPr>
          <w:rFonts w:ascii="Abadi" w:hAnsi="Abadi"/>
          <w:sz w:val="21"/>
          <w:szCs w:val="21"/>
        </w:rPr>
      </w:pPr>
    </w:p>
    <w:p w14:paraId="72994C92" w14:textId="77777777" w:rsidR="00A6230C" w:rsidRPr="00AA7107" w:rsidRDefault="00A6230C" w:rsidP="00A6230C">
      <w:pPr>
        <w:jc w:val="both"/>
        <w:rPr>
          <w:rFonts w:ascii="Abadi" w:hAnsi="Abadi"/>
          <w:b/>
          <w:bCs/>
          <w:sz w:val="21"/>
          <w:szCs w:val="21"/>
        </w:rPr>
      </w:pPr>
      <w:r w:rsidRPr="00AA7107">
        <w:rPr>
          <w:rFonts w:ascii="Abadi" w:hAnsi="Abadi"/>
          <w:b/>
          <w:bCs/>
          <w:sz w:val="21"/>
          <w:szCs w:val="21"/>
        </w:rPr>
        <w:t>(Sube a tribuna la diputada Ruth Noemí Tiscareño, a dar lectura a la propuesta de punto de acuerdo de obvia resolución al respecto)</w:t>
      </w:r>
    </w:p>
    <w:p w14:paraId="7E1B6842" w14:textId="77777777" w:rsidR="00A6230C" w:rsidRPr="00AA7107" w:rsidRDefault="00A6230C" w:rsidP="00A6230C">
      <w:pPr>
        <w:jc w:val="both"/>
        <w:rPr>
          <w:rFonts w:ascii="Abadi" w:hAnsi="Abadi"/>
          <w:b/>
          <w:bCs/>
          <w:sz w:val="21"/>
          <w:szCs w:val="21"/>
        </w:rPr>
      </w:pPr>
    </w:p>
    <w:p w14:paraId="7C7BA97A" w14:textId="77777777" w:rsidR="00A6230C" w:rsidRPr="00AA7107" w:rsidRDefault="00A6230C" w:rsidP="00562F79">
      <w:pPr>
        <w:jc w:val="center"/>
        <w:rPr>
          <w:rFonts w:ascii="Abadi" w:hAnsi="Abadi"/>
          <w:b/>
          <w:bCs/>
          <w:sz w:val="21"/>
          <w:szCs w:val="21"/>
        </w:rPr>
      </w:pPr>
      <w:r w:rsidRPr="00AA7107">
        <w:rPr>
          <w:rFonts w:ascii="Abadi" w:hAnsi="Abadi"/>
          <w:b/>
          <w:bCs/>
          <w:sz w:val="21"/>
          <w:szCs w:val="21"/>
        </w:rPr>
        <w:t>(Posicionamiento)</w:t>
      </w:r>
    </w:p>
    <w:p w14:paraId="2F21B71D" w14:textId="77777777" w:rsidR="00A6230C" w:rsidRDefault="00A6230C" w:rsidP="00562F79">
      <w:pPr>
        <w:jc w:val="center"/>
        <w:rPr>
          <w:rFonts w:ascii="Abadi" w:hAnsi="Abadi"/>
          <w:sz w:val="28"/>
          <w:szCs w:val="28"/>
        </w:rPr>
      </w:pPr>
    </w:p>
    <w:p w14:paraId="16CB71FA" w14:textId="5B24C310" w:rsidR="00562F79" w:rsidRDefault="00562F79" w:rsidP="00A6230C">
      <w:pPr>
        <w:jc w:val="both"/>
        <w:rPr>
          <w:rFonts w:ascii="Abadi" w:hAnsi="Abadi"/>
          <w:sz w:val="21"/>
          <w:szCs w:val="21"/>
        </w:rPr>
      </w:pPr>
    </w:p>
    <w:p w14:paraId="57C4389D" w14:textId="38AC69E2" w:rsidR="00562F79" w:rsidRDefault="00562F79" w:rsidP="00A6230C">
      <w:pPr>
        <w:jc w:val="both"/>
        <w:rPr>
          <w:rFonts w:ascii="Abadi" w:hAnsi="Abadi"/>
          <w:sz w:val="21"/>
          <w:szCs w:val="21"/>
        </w:rPr>
      </w:pPr>
      <w:r>
        <w:rPr>
          <w:noProof/>
        </w:rPr>
        <w:drawing>
          <wp:anchor distT="0" distB="0" distL="114300" distR="114300" simplePos="0" relativeHeight="251683840" behindDoc="1" locked="0" layoutInCell="1" allowOverlap="1" wp14:anchorId="30ED1196" wp14:editId="4CC0EE63">
            <wp:simplePos x="0" y="0"/>
            <wp:positionH relativeFrom="column">
              <wp:posOffset>587256</wp:posOffset>
            </wp:positionH>
            <wp:positionV relativeFrom="paragraph">
              <wp:posOffset>134009</wp:posOffset>
            </wp:positionV>
            <wp:extent cx="1295400" cy="683593"/>
            <wp:effectExtent l="247650" t="228600" r="247650" b="745490"/>
            <wp:wrapTight wrapText="bothSides">
              <wp:wrapPolygon edited="0">
                <wp:start x="-4129" y="-7227"/>
                <wp:lineTo x="-4129" y="44565"/>
                <wp:lineTo x="25412" y="44565"/>
                <wp:lineTo x="25412" y="-7227"/>
                <wp:lineTo x="-4129" y="-7227"/>
              </wp:wrapPolygon>
            </wp:wrapTight>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b="6178"/>
                    <a:stretch/>
                  </pic:blipFill>
                  <pic:spPr bwMode="auto">
                    <a:xfrm>
                      <a:off x="0" y="0"/>
                      <a:ext cx="1295400" cy="683593"/>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6DF30530" w14:textId="77777777" w:rsidR="00562F79" w:rsidRDefault="00562F79" w:rsidP="00A6230C">
      <w:pPr>
        <w:jc w:val="both"/>
        <w:rPr>
          <w:rFonts w:ascii="Abadi" w:hAnsi="Abadi"/>
          <w:sz w:val="21"/>
          <w:szCs w:val="21"/>
        </w:rPr>
      </w:pPr>
    </w:p>
    <w:p w14:paraId="694CCA64" w14:textId="77777777" w:rsidR="00562F79" w:rsidRDefault="00562F79" w:rsidP="00A6230C">
      <w:pPr>
        <w:jc w:val="both"/>
        <w:rPr>
          <w:rFonts w:ascii="Abadi" w:hAnsi="Abadi"/>
          <w:sz w:val="21"/>
          <w:szCs w:val="21"/>
        </w:rPr>
      </w:pPr>
    </w:p>
    <w:p w14:paraId="2D269B5A" w14:textId="77777777" w:rsidR="00562F79" w:rsidRDefault="00562F79" w:rsidP="00A6230C">
      <w:pPr>
        <w:jc w:val="both"/>
        <w:rPr>
          <w:rFonts w:ascii="Abadi" w:hAnsi="Abadi"/>
          <w:sz w:val="21"/>
          <w:szCs w:val="21"/>
        </w:rPr>
      </w:pPr>
    </w:p>
    <w:p w14:paraId="72134E85" w14:textId="77777777" w:rsidR="00562F79" w:rsidRDefault="00562F79" w:rsidP="00A6230C">
      <w:pPr>
        <w:jc w:val="both"/>
        <w:rPr>
          <w:rFonts w:ascii="Abadi" w:hAnsi="Abadi"/>
          <w:sz w:val="21"/>
          <w:szCs w:val="21"/>
        </w:rPr>
      </w:pPr>
    </w:p>
    <w:p w14:paraId="5CED16DA" w14:textId="77777777" w:rsidR="00562F79" w:rsidRDefault="00562F79" w:rsidP="00A6230C">
      <w:pPr>
        <w:jc w:val="both"/>
        <w:rPr>
          <w:rFonts w:ascii="Abadi" w:hAnsi="Abadi"/>
          <w:sz w:val="21"/>
          <w:szCs w:val="21"/>
        </w:rPr>
      </w:pPr>
    </w:p>
    <w:p w14:paraId="2937B9B9" w14:textId="77777777" w:rsidR="00562F79" w:rsidRDefault="00562F79" w:rsidP="00A6230C">
      <w:pPr>
        <w:jc w:val="both"/>
        <w:rPr>
          <w:rFonts w:ascii="Abadi" w:hAnsi="Abadi"/>
          <w:sz w:val="21"/>
          <w:szCs w:val="21"/>
        </w:rPr>
      </w:pPr>
    </w:p>
    <w:p w14:paraId="038941D7" w14:textId="77777777" w:rsidR="00562F79" w:rsidRDefault="00562F79" w:rsidP="00A6230C">
      <w:pPr>
        <w:jc w:val="both"/>
        <w:rPr>
          <w:rFonts w:ascii="Abadi" w:hAnsi="Abadi"/>
          <w:sz w:val="21"/>
          <w:szCs w:val="21"/>
        </w:rPr>
      </w:pPr>
    </w:p>
    <w:p w14:paraId="4093283D" w14:textId="77777777" w:rsidR="00562F79" w:rsidRDefault="00562F79" w:rsidP="00A6230C">
      <w:pPr>
        <w:jc w:val="both"/>
        <w:rPr>
          <w:rFonts w:ascii="Abadi" w:hAnsi="Abadi"/>
          <w:sz w:val="21"/>
          <w:szCs w:val="21"/>
        </w:rPr>
      </w:pPr>
    </w:p>
    <w:p w14:paraId="67EFC73A" w14:textId="77777777" w:rsidR="00562F79" w:rsidRDefault="00562F79" w:rsidP="00A6230C">
      <w:pPr>
        <w:jc w:val="both"/>
        <w:rPr>
          <w:rFonts w:ascii="Abadi" w:hAnsi="Abadi"/>
          <w:sz w:val="21"/>
          <w:szCs w:val="21"/>
        </w:rPr>
      </w:pPr>
    </w:p>
    <w:p w14:paraId="429E0FEC" w14:textId="77777777" w:rsidR="00562F79" w:rsidRDefault="00562F79" w:rsidP="00A6230C">
      <w:pPr>
        <w:jc w:val="both"/>
        <w:rPr>
          <w:rFonts w:ascii="Abadi" w:hAnsi="Abadi"/>
          <w:sz w:val="21"/>
          <w:szCs w:val="21"/>
        </w:rPr>
      </w:pPr>
    </w:p>
    <w:p w14:paraId="08BB6C4C" w14:textId="77777777" w:rsidR="00562F79" w:rsidRDefault="00562F79" w:rsidP="00A6230C">
      <w:pPr>
        <w:jc w:val="both"/>
        <w:rPr>
          <w:rFonts w:ascii="Abadi" w:hAnsi="Abadi"/>
          <w:sz w:val="21"/>
          <w:szCs w:val="21"/>
        </w:rPr>
      </w:pPr>
    </w:p>
    <w:p w14:paraId="5515798B" w14:textId="77777777" w:rsidR="00562F79" w:rsidRDefault="00562F79" w:rsidP="00A6230C">
      <w:pPr>
        <w:jc w:val="both"/>
        <w:rPr>
          <w:rFonts w:ascii="Abadi" w:hAnsi="Abadi"/>
          <w:sz w:val="21"/>
          <w:szCs w:val="21"/>
        </w:rPr>
      </w:pPr>
    </w:p>
    <w:p w14:paraId="7346D30F" w14:textId="19365988" w:rsidR="00A6230C" w:rsidRDefault="00A6230C" w:rsidP="00A6230C">
      <w:pPr>
        <w:jc w:val="both"/>
        <w:rPr>
          <w:rFonts w:ascii="Abadi" w:hAnsi="Abadi"/>
          <w:b/>
          <w:bCs/>
          <w:sz w:val="21"/>
          <w:szCs w:val="21"/>
        </w:rPr>
      </w:pPr>
      <w:r w:rsidRPr="006813AA">
        <w:rPr>
          <w:rFonts w:ascii="Abadi" w:hAnsi="Abadi"/>
          <w:sz w:val="21"/>
          <w:szCs w:val="21"/>
        </w:rPr>
        <w:t xml:space="preserve">- </w:t>
      </w:r>
      <w:r w:rsidRPr="006813AA">
        <w:rPr>
          <w:rFonts w:ascii="Abadi" w:hAnsi="Abadi"/>
          <w:b/>
          <w:bCs/>
          <w:sz w:val="21"/>
          <w:szCs w:val="21"/>
        </w:rPr>
        <w:t xml:space="preserve">Diputada Ruth Noemí Tiscareño Agoitia </w:t>
      </w:r>
      <w:r w:rsidR="00562F79">
        <w:rPr>
          <w:rFonts w:ascii="Abadi" w:hAnsi="Abadi"/>
          <w:b/>
          <w:bCs/>
          <w:sz w:val="21"/>
          <w:szCs w:val="21"/>
        </w:rPr>
        <w:t>–</w:t>
      </w:r>
    </w:p>
    <w:p w14:paraId="627B4BEC" w14:textId="77777777" w:rsidR="00562F79" w:rsidRPr="006813AA" w:rsidRDefault="00562F79" w:rsidP="00A6230C">
      <w:pPr>
        <w:jc w:val="both"/>
        <w:rPr>
          <w:rFonts w:ascii="Abadi" w:hAnsi="Abadi"/>
          <w:b/>
          <w:bCs/>
          <w:sz w:val="21"/>
          <w:szCs w:val="21"/>
        </w:rPr>
      </w:pPr>
    </w:p>
    <w:p w14:paraId="7F1BE29A" w14:textId="4843E066" w:rsidR="00A6230C" w:rsidRDefault="00A6230C" w:rsidP="00A6230C">
      <w:pPr>
        <w:jc w:val="both"/>
        <w:rPr>
          <w:rFonts w:ascii="Abadi" w:hAnsi="Abadi"/>
          <w:sz w:val="21"/>
          <w:szCs w:val="21"/>
        </w:rPr>
      </w:pPr>
      <w:r w:rsidRPr="006813AA">
        <w:rPr>
          <w:rFonts w:ascii="Abadi" w:hAnsi="Abadi"/>
          <w:sz w:val="21"/>
          <w:szCs w:val="21"/>
        </w:rPr>
        <w:t>- Con su permiso Presidente y con el permiso de mis compañeras y compañeros diputados, un saludo a quienes nos acompañan por las redes de este Poder Legislativo.</w:t>
      </w:r>
    </w:p>
    <w:p w14:paraId="6F049061" w14:textId="77777777" w:rsidR="00562F79" w:rsidRPr="006813AA" w:rsidRDefault="00562F79" w:rsidP="00A6230C">
      <w:pPr>
        <w:jc w:val="both"/>
        <w:rPr>
          <w:rFonts w:ascii="Abadi" w:hAnsi="Abadi"/>
          <w:sz w:val="21"/>
          <w:szCs w:val="21"/>
        </w:rPr>
      </w:pPr>
    </w:p>
    <w:p w14:paraId="6BD12D65" w14:textId="1D23C596" w:rsidR="00A6230C" w:rsidRDefault="00A6230C" w:rsidP="00A6230C">
      <w:pPr>
        <w:jc w:val="both"/>
        <w:rPr>
          <w:rFonts w:ascii="Abadi" w:hAnsi="Abadi"/>
          <w:sz w:val="21"/>
          <w:szCs w:val="21"/>
        </w:rPr>
      </w:pPr>
      <w:r w:rsidRPr="006813AA">
        <w:rPr>
          <w:rFonts w:ascii="Abadi" w:hAnsi="Abadi"/>
          <w:sz w:val="21"/>
          <w:szCs w:val="21"/>
        </w:rPr>
        <w:t>¡Buenas tardes! a todos el día de hoy, me permito exponer ante ustedes el siguiente punto de acuerdo como de urgente y obvia resolución y cuyo objeto es emitir un respetuoso exhorto, al titular del Poder Ejecutivo Estatal, para que en uso que sus facultades y atribuciones declare como patrimonio cultural intangible de los guanajuatenses, las manifestaciones culturales que por su valor y significado así como su relevancia artística tradicional, intelectual, lingüística, representa el teatro universitario de guanajuato, su escenificación de los entremeses cervantinos y la representación de los juglares de guanajuato.</w:t>
      </w:r>
    </w:p>
    <w:p w14:paraId="005FD826" w14:textId="77777777" w:rsidR="00562F79" w:rsidRPr="006813AA" w:rsidRDefault="00562F79" w:rsidP="00A6230C">
      <w:pPr>
        <w:jc w:val="both"/>
        <w:rPr>
          <w:rFonts w:ascii="Abadi" w:hAnsi="Abadi"/>
          <w:sz w:val="21"/>
          <w:szCs w:val="21"/>
        </w:rPr>
      </w:pPr>
    </w:p>
    <w:p w14:paraId="52C77AD8" w14:textId="33E499BF" w:rsidR="00A6230C" w:rsidRDefault="00A6230C" w:rsidP="00A6230C">
      <w:pPr>
        <w:jc w:val="both"/>
        <w:rPr>
          <w:rFonts w:ascii="Abadi" w:hAnsi="Abadi"/>
          <w:sz w:val="21"/>
          <w:szCs w:val="21"/>
        </w:rPr>
      </w:pPr>
      <w:r w:rsidRPr="006813AA">
        <w:rPr>
          <w:rFonts w:ascii="Abadi" w:hAnsi="Abadi"/>
          <w:sz w:val="21"/>
          <w:szCs w:val="21"/>
        </w:rPr>
        <w:t>- Esto en el marco de los 50 aniversario del Festival Internacional Cervantino que recién inició y así se deje un testimonio perenne e indeleble de la contribución de la gente de nuestra Tierra a esta fiesta del espíritu universal y que en consecuencia dicha declaratoria se publique en el Periódico Oficial del Estado de Guanajuato.</w:t>
      </w:r>
    </w:p>
    <w:p w14:paraId="63EAFC77" w14:textId="77777777" w:rsidR="00562F79" w:rsidRPr="006813AA" w:rsidRDefault="00562F79" w:rsidP="00A6230C">
      <w:pPr>
        <w:jc w:val="both"/>
        <w:rPr>
          <w:rFonts w:ascii="Abadi" w:hAnsi="Abadi"/>
          <w:sz w:val="21"/>
          <w:szCs w:val="21"/>
        </w:rPr>
      </w:pPr>
    </w:p>
    <w:p w14:paraId="49C093C0" w14:textId="48E45764" w:rsidR="00A6230C" w:rsidRDefault="00A6230C" w:rsidP="00A6230C">
      <w:pPr>
        <w:jc w:val="both"/>
        <w:rPr>
          <w:rFonts w:ascii="Abadi" w:hAnsi="Abadi"/>
          <w:sz w:val="21"/>
          <w:szCs w:val="21"/>
        </w:rPr>
      </w:pPr>
      <w:r w:rsidRPr="006813AA">
        <w:rPr>
          <w:rFonts w:ascii="Abadi" w:hAnsi="Abadi"/>
          <w:sz w:val="21"/>
          <w:szCs w:val="21"/>
        </w:rPr>
        <w:t>- Y antes de remitirme a las consideraciones de fondo quiero hacer a manera de antecedentes una recapitulación de hechos al tenor de lo siguiente en sesión del 12 de septiembre durante el pasado receso de este pleno y ante la diputación permanente expuse el presente punto de acuerdo como es de conocimiento de todos ustedes sin la propuesta de trámite de obvia resolución pues no podría ser planteado por lo que una vez que fue expuesto el punto de acuerdo, fue turnado a la Comisión de Educación Ciencia y Tecnología y Cultura para su conocimiento estudio y dictamen.</w:t>
      </w:r>
    </w:p>
    <w:p w14:paraId="7AF98253" w14:textId="77777777" w:rsidR="00562F79" w:rsidRPr="006813AA" w:rsidRDefault="00562F79" w:rsidP="00A6230C">
      <w:pPr>
        <w:jc w:val="both"/>
        <w:rPr>
          <w:rFonts w:ascii="Abadi" w:hAnsi="Abadi"/>
          <w:sz w:val="21"/>
          <w:szCs w:val="21"/>
        </w:rPr>
      </w:pPr>
    </w:p>
    <w:p w14:paraId="7BF0FA13" w14:textId="510992AD" w:rsidR="00A6230C" w:rsidRDefault="00A6230C" w:rsidP="00A6230C">
      <w:pPr>
        <w:jc w:val="both"/>
        <w:rPr>
          <w:rFonts w:ascii="Abadi" w:hAnsi="Abadi"/>
          <w:sz w:val="21"/>
          <w:szCs w:val="21"/>
        </w:rPr>
      </w:pPr>
      <w:r w:rsidRPr="006813AA">
        <w:rPr>
          <w:rFonts w:ascii="Abadi" w:hAnsi="Abadi"/>
          <w:sz w:val="21"/>
          <w:szCs w:val="21"/>
        </w:rPr>
        <w:t>- Y aquí quiero hacer un paréntesis para agradecer y reconocer de manera muy sentida la disposición, atención, buena voluntad, para trabajar y las coincidencias de la presidenta de la comisión; mi amiga la diputada Lucita Hernández, para que el punto de acuerdo pudiera resolverse de manera expedita; entendiendo que por el respeto a la carga de trabajo preexistente no sería posible tener dictamen en este momento lo que precisa a esta reconducción del trámite Lucy una vez más mi gratitud y reconocimiento.</w:t>
      </w:r>
    </w:p>
    <w:p w14:paraId="774CDFAB" w14:textId="77777777" w:rsidR="00562F79" w:rsidRPr="006813AA" w:rsidRDefault="00562F79" w:rsidP="00A6230C">
      <w:pPr>
        <w:jc w:val="both"/>
        <w:rPr>
          <w:rFonts w:ascii="Abadi" w:hAnsi="Abadi"/>
          <w:sz w:val="21"/>
          <w:szCs w:val="21"/>
        </w:rPr>
      </w:pPr>
    </w:p>
    <w:p w14:paraId="66B6961F" w14:textId="5B2DA7BE" w:rsidR="00A6230C" w:rsidRDefault="00A6230C" w:rsidP="00A6230C">
      <w:pPr>
        <w:jc w:val="both"/>
        <w:rPr>
          <w:rFonts w:ascii="Abadi" w:hAnsi="Abadi"/>
          <w:sz w:val="21"/>
          <w:szCs w:val="21"/>
        </w:rPr>
      </w:pPr>
      <w:r w:rsidRPr="006813AA">
        <w:rPr>
          <w:rFonts w:ascii="Abadi" w:hAnsi="Abadi"/>
          <w:sz w:val="21"/>
          <w:szCs w:val="21"/>
        </w:rPr>
        <w:t>- Ahora bien y dado que el día de ayer 12 de octubre dio inicio la edición del 50 de la sección 50 del festival internacional cervantino en consecuencia que la obvia resolución se encuentra debidamente justificada toda vez que nos encontramos en el marco perfecto para que se de la declaración de estas manifestaciones culturales como patrimonio cultural intangible y que pueda realizarse en este momento que es él oportuno y que no debe ser desaprovechado para resaltar, reconocer y significar el valor artístico de los guanajuatenses; que los guanajuatenses han aportado a este proceso y que suma a nuestro patrimonio.</w:t>
      </w:r>
    </w:p>
    <w:p w14:paraId="01891159" w14:textId="77777777" w:rsidR="00562F79" w:rsidRPr="006813AA" w:rsidRDefault="00562F79" w:rsidP="00A6230C">
      <w:pPr>
        <w:jc w:val="both"/>
        <w:rPr>
          <w:rFonts w:ascii="Abadi" w:hAnsi="Abadi"/>
          <w:sz w:val="21"/>
          <w:szCs w:val="21"/>
        </w:rPr>
      </w:pPr>
    </w:p>
    <w:p w14:paraId="05AA20C5" w14:textId="56D75922" w:rsidR="00A6230C" w:rsidRDefault="00A6230C" w:rsidP="00A6230C">
      <w:pPr>
        <w:jc w:val="both"/>
        <w:rPr>
          <w:rFonts w:ascii="Abadi" w:hAnsi="Abadi"/>
          <w:sz w:val="21"/>
          <w:szCs w:val="21"/>
        </w:rPr>
      </w:pPr>
      <w:r w:rsidRPr="006813AA">
        <w:rPr>
          <w:rFonts w:ascii="Abadi" w:hAnsi="Abadi"/>
          <w:sz w:val="21"/>
          <w:szCs w:val="21"/>
        </w:rPr>
        <w:t>- Echa esta precisión quiero compartir con ustedes un breve, pero detallada detalladamente mis motivaciones en este particular; la cultura es la memoria del pueblo, es la conciencia colectiva que da continuidad histórica, es el modo de pensar y decidir «Milan Kundera» hablar de cultura es referirse al conjunto de bienes materiales y espirituales de un grupo social que se transmiten de generación en generación a fin de orientar las prácticas individuales y colectivas su expresión incluye entre otras cosas procesos, modos de vida, costumbres tradiciones hábitos, valores, patrones, herramientas y de manera muy señalada, conocimiento; cada cultura es una visión del mundo una particular cosmovisión como respuesta a la realidad que vive el grupo social y se conforma por un conjunto de elementos básicos de entre lo que podemos destacar los siguientes elementos cognitivos, creencias, valores, normas y un sistema de signos y símbolos y esos elementos tienen expresiones materiales e inmateriales y también denominadas espirituales y algunas de las expresiones más significativas de estas manifestaciones de tipo inmaterial son las artísticas y las folklóricas que testimonian esa cosmovisión; y así esta iniciativa pretende celebrar los frutos que ha dado la semilla cultivada por decenas de guanajuatense para resultar en algo que hoy es un referente universal y sinónimo de una fiesta para el alma y dado que sin duda frente a las actuales crisis la cultura nos brinda un espacio de renacimiento para el alma.</w:t>
      </w:r>
    </w:p>
    <w:p w14:paraId="1E835C3F" w14:textId="77777777" w:rsidR="00562F79" w:rsidRPr="006813AA" w:rsidRDefault="00562F79" w:rsidP="00A6230C">
      <w:pPr>
        <w:jc w:val="both"/>
        <w:rPr>
          <w:rFonts w:ascii="Abadi" w:hAnsi="Abadi"/>
          <w:sz w:val="21"/>
          <w:szCs w:val="21"/>
        </w:rPr>
      </w:pPr>
    </w:p>
    <w:p w14:paraId="6AB7E28E" w14:textId="026B3756" w:rsidR="00A6230C" w:rsidRDefault="00A6230C" w:rsidP="00A6230C">
      <w:pPr>
        <w:jc w:val="both"/>
        <w:rPr>
          <w:rFonts w:ascii="Abadi" w:hAnsi="Abadi"/>
          <w:sz w:val="21"/>
          <w:szCs w:val="21"/>
        </w:rPr>
      </w:pPr>
      <w:r w:rsidRPr="006813AA">
        <w:rPr>
          <w:rFonts w:ascii="Abadi" w:hAnsi="Abadi"/>
          <w:sz w:val="21"/>
          <w:szCs w:val="21"/>
        </w:rPr>
        <w:t>- El Festival Cervantino que hoy es una manifestación de impacto mundial cumple 50 años; aniversario de oro conserva su arraigo a esta tierra y no deja de estar anclado a sus orígenes pues nunca se entendería sin referencia a guanajuato y sin alardear de su origen universitario y de su nacimiento en la Plaza de San Roque; por el festival guanajuato es la capital cervantina de américa pero el festival tiene esencia por los guanajuatenses que han participado en el proceso de desarrollo sin importar si aquí nacieron o solo por amor, aquí se arraigaron y el marco es el propicio pues a la par celebramos 70 años del teatro universitario fenómeno de gran trascendencia y sin el cual nuestro festival sería inimaginable que sólo fue posible al impulso del entonces rector don Antonio Torres Gómez, hecho que se vio catapultado por la llegada a esta capital a instancias de Don Enrique Ruelas, Hidalguense de origen pero guanajuatense por propia decisión; y la de un puñado de jóvenes literatos españoles exiliados republicanos.</w:t>
      </w:r>
    </w:p>
    <w:p w14:paraId="663693F7" w14:textId="77777777" w:rsidR="00562F79" w:rsidRPr="006813AA" w:rsidRDefault="00562F79" w:rsidP="00A6230C">
      <w:pPr>
        <w:jc w:val="both"/>
        <w:rPr>
          <w:rFonts w:ascii="Abadi" w:hAnsi="Abadi"/>
          <w:sz w:val="21"/>
          <w:szCs w:val="21"/>
        </w:rPr>
      </w:pPr>
    </w:p>
    <w:p w14:paraId="2B7B5C3F" w14:textId="1682F08A" w:rsidR="00A6230C" w:rsidRDefault="00A6230C" w:rsidP="00A6230C">
      <w:pPr>
        <w:jc w:val="both"/>
        <w:rPr>
          <w:rFonts w:ascii="Abadi" w:hAnsi="Abadi"/>
          <w:sz w:val="21"/>
          <w:szCs w:val="21"/>
        </w:rPr>
      </w:pPr>
      <w:r w:rsidRPr="006813AA">
        <w:rPr>
          <w:rFonts w:ascii="Abadi" w:hAnsi="Abadi"/>
          <w:sz w:val="21"/>
          <w:szCs w:val="21"/>
        </w:rPr>
        <w:t>- En ese histórico 1952 y ante la falta de más divertimento y el amor a las letras fueron hechos que convirtieron al teatro en una opción de una ciudad en la que para entonces no había mucho que hacer; estudiantes, profesores y egresados de la carrera de derecho acompañados por los inscritos en las nacientes carreras de letras españolas y de filosofía junto a los transterrados llegaron el amor por la lengua castellana y liderados por Enrique Ruedas, impulsaron fuerzas desde los cafés para fomentar una querencia que dio origen a los entremeses cervantinos y a la formación de los juglares de guanajuato la escenificación de las estampas del quijote bajo la dirección de Ruelas, con actores eminentemente locales son la semilla de los entremeses cervantinos y de la recreación de este tipo de comedia medieval que caracteriza a la popularidad y que sólo ha sido posibles por la magia que imprimen guanajuato y sus inigualables escenarios.</w:t>
      </w:r>
    </w:p>
    <w:p w14:paraId="38528B64" w14:textId="77777777" w:rsidR="00562F79" w:rsidRPr="006813AA" w:rsidRDefault="00562F79" w:rsidP="00A6230C">
      <w:pPr>
        <w:jc w:val="both"/>
        <w:rPr>
          <w:rFonts w:ascii="Abadi" w:hAnsi="Abadi"/>
          <w:sz w:val="21"/>
          <w:szCs w:val="21"/>
        </w:rPr>
      </w:pPr>
    </w:p>
    <w:p w14:paraId="368E9DA0" w14:textId="51BA4A14" w:rsidR="00A6230C" w:rsidRDefault="00A6230C" w:rsidP="00A6230C">
      <w:pPr>
        <w:jc w:val="both"/>
        <w:rPr>
          <w:rFonts w:ascii="Abadi" w:hAnsi="Abadi"/>
          <w:sz w:val="21"/>
          <w:szCs w:val="21"/>
        </w:rPr>
      </w:pPr>
      <w:r w:rsidRPr="006813AA">
        <w:rPr>
          <w:rFonts w:ascii="Abadi" w:hAnsi="Abadi"/>
          <w:sz w:val="21"/>
          <w:szCs w:val="21"/>
        </w:rPr>
        <w:t xml:space="preserve">- Estas son obras de la diversidad social y del placer cultural donde lo mismo han participado las y los alcaldes de la ciudad que quienes llegaron para integrarse llamarla obreros amas de casa profesionistas maestros y estudiantes hicieron de San Roque y de las otras plazas de guanajuato una fiesta de la creación e identidad guanajuatense muy señaladamente dando vida a la obra del «Manco de Lepanto» </w:t>
      </w:r>
    </w:p>
    <w:p w14:paraId="72B8B76E" w14:textId="77777777" w:rsidR="00562F79" w:rsidRPr="006813AA" w:rsidRDefault="00562F79" w:rsidP="00A6230C">
      <w:pPr>
        <w:jc w:val="both"/>
        <w:rPr>
          <w:rFonts w:ascii="Abadi" w:hAnsi="Abadi"/>
          <w:sz w:val="21"/>
          <w:szCs w:val="21"/>
        </w:rPr>
      </w:pPr>
    </w:p>
    <w:p w14:paraId="1841DA92" w14:textId="3076B022" w:rsidR="00A6230C" w:rsidRDefault="00A6230C" w:rsidP="00A6230C">
      <w:pPr>
        <w:jc w:val="both"/>
        <w:rPr>
          <w:rFonts w:ascii="Abadi" w:hAnsi="Abadi"/>
          <w:sz w:val="21"/>
          <w:szCs w:val="21"/>
        </w:rPr>
      </w:pPr>
      <w:r w:rsidRPr="006813AA">
        <w:rPr>
          <w:rFonts w:ascii="Abadi" w:hAnsi="Abadi"/>
          <w:sz w:val="21"/>
          <w:szCs w:val="21"/>
        </w:rPr>
        <w:t>- Este 2022 festeja el FIC de oro los 50 años de los juglares de guanajuato los 70 de la formación del teatro universitario y los albores y a los que los  albores de conmemoraran el próximo mes de febrero, el aniversario 70 de la primera escenificación de los entremeses cervantinos hoy a 50 años de su creación el festival cervantino es un festejo de reconocimiento internacional que brilla con luz propia en el mundo de la cultura las artes y las letras hispánicas.</w:t>
      </w:r>
    </w:p>
    <w:p w14:paraId="544FDA9F" w14:textId="77777777" w:rsidR="00562F79" w:rsidRPr="006813AA" w:rsidRDefault="00562F79" w:rsidP="00A6230C">
      <w:pPr>
        <w:jc w:val="both"/>
        <w:rPr>
          <w:rFonts w:ascii="Abadi" w:hAnsi="Abadi"/>
          <w:sz w:val="21"/>
          <w:szCs w:val="21"/>
        </w:rPr>
      </w:pPr>
    </w:p>
    <w:p w14:paraId="316AC58B" w14:textId="77777777" w:rsidR="00A6230C" w:rsidRPr="006813AA" w:rsidRDefault="00A6230C" w:rsidP="00A6230C">
      <w:pPr>
        <w:jc w:val="both"/>
        <w:rPr>
          <w:rFonts w:ascii="Abadi" w:hAnsi="Abadi"/>
          <w:sz w:val="21"/>
          <w:szCs w:val="21"/>
        </w:rPr>
      </w:pPr>
      <w:r w:rsidRPr="006813AA">
        <w:rPr>
          <w:rFonts w:ascii="Abadi" w:hAnsi="Abadi"/>
          <w:sz w:val="21"/>
          <w:szCs w:val="21"/>
        </w:rPr>
        <w:t>- Pero él mismo no se explicaría si la fundación del teatro universitario, origen de la puesta en escena en escena de los entremeses cervantinos y la toma de las calles y las plazas por el festival no se entienden sin la escenificación de los juglares de guanajuato que son la apuesta por esencia de hacer de las plazas de esta capital un escenario la expresión de un amor por callejonear; pero estas expresiones en el teatro universitario la representación de los entremeses cervantinos y los juglares de guanajuato están indisolublemente ligados a los personajes de esta Tierra no se explican si los nombres de Enrique Ruelas, Eugenio Trueba, Armando Olivares, Antonio Torres Gómez, Miguel Sabido, Joaquín «El flaco Arias» «Pepe» Araujo, Enrique Ruelas, Eulalio Ferrer, Luis Villoro Pedro Garfias, Luis Ríos, Virgilio Fernández y también quiero resaltar el de un historiador académico y cronista vitalicio de esta ciudad que además todos nosotros tenemos el privilegio de coincidir en esa Sexagésima Quinta Legislatura, con su hija el de Don Isauro Rionda,  ¡no me hagas llorar! expresa la diputada, que ha aportado mucho a esta ciudad y que es padre de nuestra compañera Margarita, Francisco Caballero.</w:t>
      </w:r>
    </w:p>
    <w:p w14:paraId="4FAD1F81" w14:textId="77777777" w:rsidR="00562F79" w:rsidRDefault="00562F79" w:rsidP="00A6230C">
      <w:pPr>
        <w:jc w:val="both"/>
        <w:rPr>
          <w:rFonts w:ascii="Abadi" w:hAnsi="Abadi"/>
          <w:b/>
          <w:bCs/>
          <w:sz w:val="21"/>
          <w:szCs w:val="21"/>
        </w:rPr>
      </w:pPr>
    </w:p>
    <w:p w14:paraId="6829294E" w14:textId="3F9E8110" w:rsidR="00A6230C" w:rsidRDefault="00A6230C" w:rsidP="00A6230C">
      <w:pPr>
        <w:jc w:val="both"/>
        <w:rPr>
          <w:rFonts w:ascii="Abadi" w:hAnsi="Abadi"/>
          <w:b/>
          <w:bCs/>
          <w:sz w:val="21"/>
          <w:szCs w:val="21"/>
        </w:rPr>
      </w:pPr>
      <w:r w:rsidRPr="006813AA">
        <w:rPr>
          <w:rFonts w:ascii="Abadi" w:hAnsi="Abadi"/>
          <w:b/>
          <w:bCs/>
          <w:sz w:val="21"/>
          <w:szCs w:val="21"/>
        </w:rPr>
        <w:t>(Aplausos)</w:t>
      </w:r>
    </w:p>
    <w:p w14:paraId="3ECA1D8D" w14:textId="77777777" w:rsidR="00562F79" w:rsidRPr="006813AA" w:rsidRDefault="00562F79" w:rsidP="00A6230C">
      <w:pPr>
        <w:jc w:val="both"/>
        <w:rPr>
          <w:rFonts w:ascii="Abadi" w:hAnsi="Abadi"/>
          <w:b/>
          <w:bCs/>
          <w:sz w:val="21"/>
          <w:szCs w:val="21"/>
        </w:rPr>
      </w:pPr>
    </w:p>
    <w:p w14:paraId="0E227DF0" w14:textId="6ADC82C9" w:rsidR="00A6230C" w:rsidRDefault="00A6230C" w:rsidP="00A6230C">
      <w:pPr>
        <w:jc w:val="both"/>
        <w:rPr>
          <w:rFonts w:ascii="Abadi" w:hAnsi="Abadi"/>
          <w:sz w:val="21"/>
          <w:szCs w:val="21"/>
        </w:rPr>
      </w:pPr>
      <w:r w:rsidRPr="006813AA">
        <w:rPr>
          <w:rFonts w:ascii="Abadi" w:hAnsi="Abadi"/>
          <w:sz w:val="21"/>
          <w:szCs w:val="21"/>
        </w:rPr>
        <w:t>Francisco Caballero, «Primo» Lara, Gloria Ávila, Leti Villagómez, Antonio de la Pompa, Luis Villoro, la familia Vázquez Nieto, en especial Isabel y Pedro Hugo Gamboa Briones y Arturo Gutiérrez Vázquez, y es el concurso es entusiasta de tan ilustres guanajuatenses el alma que preserva y mantiene vivo para deleite de los guanajuatenses esta manifestación cultural muy propia de este cuevano, esta legislatura conformada por todas y todos ustedes; se ha distinguido por ser una de mujeres y hombres comprometidos con los intereses sociales y culturales que abonen al progreso de nuestro estado por lo que según estoy aprobando la obvia resolución y en su caso el punto de acuerdo que se propone, que se pone a su consideración damos una oportunidad para que todos ustedes de contribuir significativamente a la celebración del 50 aniversario del Festival Internacional Cervantino.</w:t>
      </w:r>
    </w:p>
    <w:p w14:paraId="28924DAF" w14:textId="77777777" w:rsidR="00562F79" w:rsidRPr="006813AA" w:rsidRDefault="00562F79" w:rsidP="00A6230C">
      <w:pPr>
        <w:jc w:val="both"/>
        <w:rPr>
          <w:rFonts w:ascii="Abadi" w:hAnsi="Abadi"/>
          <w:sz w:val="21"/>
          <w:szCs w:val="21"/>
        </w:rPr>
      </w:pPr>
    </w:p>
    <w:p w14:paraId="5C46298A" w14:textId="0FBB0560" w:rsidR="00A6230C" w:rsidRDefault="00A6230C" w:rsidP="00A6230C">
      <w:pPr>
        <w:jc w:val="both"/>
        <w:rPr>
          <w:rFonts w:ascii="Abadi" w:hAnsi="Abadi"/>
          <w:sz w:val="21"/>
          <w:szCs w:val="21"/>
        </w:rPr>
      </w:pPr>
      <w:r w:rsidRPr="006813AA">
        <w:rPr>
          <w:rFonts w:ascii="Abadi" w:hAnsi="Abadi"/>
          <w:sz w:val="21"/>
          <w:szCs w:val="21"/>
        </w:rPr>
        <w:t>- Los invito a que esta oportunidad no se nos diluya seamos generosos pues como decía Antonio Machado, en cuestiones de cultura y de saber sólo se pierde lo que se guarda y sólo se gana lo que se da.</w:t>
      </w:r>
    </w:p>
    <w:p w14:paraId="14C9DC57" w14:textId="77777777" w:rsidR="00562F79" w:rsidRPr="006813AA" w:rsidRDefault="00562F79" w:rsidP="00A6230C">
      <w:pPr>
        <w:jc w:val="both"/>
        <w:rPr>
          <w:rFonts w:ascii="Abadi" w:hAnsi="Abadi"/>
          <w:sz w:val="21"/>
          <w:szCs w:val="21"/>
        </w:rPr>
      </w:pPr>
    </w:p>
    <w:p w14:paraId="0AB48CAC" w14:textId="1F16AC61" w:rsidR="00A6230C" w:rsidRDefault="00A6230C" w:rsidP="00A6230C">
      <w:pPr>
        <w:jc w:val="both"/>
        <w:rPr>
          <w:rFonts w:ascii="Abadi" w:hAnsi="Abadi"/>
          <w:sz w:val="21"/>
          <w:szCs w:val="21"/>
        </w:rPr>
      </w:pPr>
      <w:r w:rsidRPr="006813AA">
        <w:rPr>
          <w:rFonts w:ascii="Abadi" w:hAnsi="Abadi"/>
          <w:sz w:val="21"/>
          <w:szCs w:val="21"/>
        </w:rPr>
        <w:t>- Es cuánto.</w:t>
      </w:r>
    </w:p>
    <w:p w14:paraId="43DFD69C" w14:textId="77777777" w:rsidR="00562F79" w:rsidRPr="006813AA" w:rsidRDefault="00562F79" w:rsidP="00A6230C">
      <w:pPr>
        <w:jc w:val="both"/>
        <w:rPr>
          <w:rFonts w:ascii="Abadi" w:hAnsi="Abadi"/>
          <w:sz w:val="21"/>
          <w:szCs w:val="21"/>
        </w:rPr>
      </w:pPr>
    </w:p>
    <w:p w14:paraId="4B85476C" w14:textId="7D39028C" w:rsidR="00A6230C" w:rsidRDefault="00A6230C" w:rsidP="00A6230C">
      <w:pPr>
        <w:jc w:val="both"/>
        <w:rPr>
          <w:rFonts w:ascii="Abadi" w:hAnsi="Abadi"/>
          <w:sz w:val="21"/>
          <w:szCs w:val="21"/>
        </w:rPr>
      </w:pPr>
      <w:r w:rsidRPr="006813AA">
        <w:rPr>
          <w:rFonts w:ascii="Abadi" w:hAnsi="Abadi"/>
          <w:b/>
          <w:bCs/>
          <w:sz w:val="21"/>
          <w:szCs w:val="21"/>
        </w:rPr>
        <w:t>- El Presidente.-</w:t>
      </w:r>
      <w:r w:rsidRPr="006813AA">
        <w:rPr>
          <w:rFonts w:ascii="Abadi" w:hAnsi="Abadi"/>
          <w:sz w:val="21"/>
          <w:szCs w:val="21"/>
        </w:rPr>
        <w:t xml:space="preserve"> ¡Gracias diputada! Ruth Noemí Tiscareño. </w:t>
      </w:r>
    </w:p>
    <w:p w14:paraId="0F23B9EF" w14:textId="77777777" w:rsidR="00562F79" w:rsidRPr="006813AA" w:rsidRDefault="00562F79" w:rsidP="00A6230C">
      <w:pPr>
        <w:jc w:val="both"/>
        <w:rPr>
          <w:rFonts w:ascii="Abadi" w:hAnsi="Abadi"/>
          <w:sz w:val="21"/>
          <w:szCs w:val="21"/>
        </w:rPr>
      </w:pPr>
    </w:p>
    <w:p w14:paraId="5311E921" w14:textId="68A0D013" w:rsidR="00A6230C" w:rsidRDefault="00A6230C" w:rsidP="00A6230C">
      <w:pPr>
        <w:jc w:val="both"/>
        <w:rPr>
          <w:rFonts w:ascii="Abadi" w:hAnsi="Abadi"/>
          <w:sz w:val="21"/>
          <w:szCs w:val="21"/>
        </w:rPr>
      </w:pPr>
      <w:r w:rsidRPr="006813AA">
        <w:rPr>
          <w:rFonts w:ascii="Abadi" w:hAnsi="Abadi"/>
          <w:sz w:val="21"/>
          <w:szCs w:val="21"/>
        </w:rPr>
        <w:t>- En los términos solicitados por los proponentes se somete a la Asamblea se declare de Obvia Resolución la propuesta de punto de acuerdo con fundamento en lo dispuesto por el artículo 177 de nuestra Ley Orgánica del Poder Legislativo del Estado de Guanajuato.</w:t>
      </w:r>
    </w:p>
    <w:p w14:paraId="7C5B6953" w14:textId="77777777" w:rsidR="00562F79" w:rsidRPr="006813AA" w:rsidRDefault="00562F79" w:rsidP="00A6230C">
      <w:pPr>
        <w:jc w:val="both"/>
        <w:rPr>
          <w:rFonts w:ascii="Abadi" w:hAnsi="Abadi"/>
          <w:sz w:val="21"/>
          <w:szCs w:val="21"/>
        </w:rPr>
      </w:pPr>
    </w:p>
    <w:p w14:paraId="71296A3B" w14:textId="59E4A217" w:rsidR="00A6230C" w:rsidRDefault="00A6230C" w:rsidP="00A6230C">
      <w:pPr>
        <w:jc w:val="both"/>
        <w:rPr>
          <w:rFonts w:ascii="Abadi" w:hAnsi="Abadi"/>
          <w:sz w:val="21"/>
          <w:szCs w:val="21"/>
        </w:rPr>
      </w:pPr>
      <w:r w:rsidRPr="006813AA">
        <w:rPr>
          <w:rFonts w:ascii="Abadi" w:hAnsi="Abadi"/>
          <w:sz w:val="21"/>
          <w:szCs w:val="21"/>
        </w:rPr>
        <w:t>- Se informa a la Asamblea que efecto de que la propuesta de punto de acuerdo se declare de trámite de Obvia Resolución debe ser aprobada por las dos terceras partes de los integrantes del Pleno.</w:t>
      </w:r>
    </w:p>
    <w:p w14:paraId="332B3FD2" w14:textId="77777777" w:rsidR="00562F79" w:rsidRPr="006813AA" w:rsidRDefault="00562F79" w:rsidP="00A6230C">
      <w:pPr>
        <w:jc w:val="both"/>
        <w:rPr>
          <w:rFonts w:ascii="Abadi" w:hAnsi="Abadi"/>
          <w:sz w:val="21"/>
          <w:szCs w:val="21"/>
        </w:rPr>
      </w:pPr>
    </w:p>
    <w:p w14:paraId="5CDD5211" w14:textId="1D3C319C" w:rsidR="00A6230C" w:rsidRDefault="00A6230C" w:rsidP="00A6230C">
      <w:pPr>
        <w:jc w:val="both"/>
        <w:rPr>
          <w:rFonts w:ascii="Abadi" w:hAnsi="Abadi"/>
          <w:sz w:val="21"/>
          <w:szCs w:val="21"/>
        </w:rPr>
      </w:pPr>
      <w:r w:rsidRPr="006813AA">
        <w:rPr>
          <w:rFonts w:ascii="Abadi" w:hAnsi="Abadi"/>
          <w:sz w:val="21"/>
          <w:szCs w:val="21"/>
        </w:rPr>
        <w:t>- Sí, alguna diputada o algún diputado desea hacer uso de la palabra en relación a la obvia resolución sírvanse manifestarlo indicando el sentido de su participación.</w:t>
      </w:r>
    </w:p>
    <w:p w14:paraId="2947EABD" w14:textId="77777777" w:rsidR="00562F79" w:rsidRPr="006813AA" w:rsidRDefault="00562F79" w:rsidP="00A6230C">
      <w:pPr>
        <w:jc w:val="both"/>
        <w:rPr>
          <w:rFonts w:ascii="Abadi" w:hAnsi="Abadi"/>
          <w:sz w:val="21"/>
          <w:szCs w:val="21"/>
        </w:rPr>
      </w:pPr>
    </w:p>
    <w:p w14:paraId="31A2411A" w14:textId="47052FEC" w:rsidR="00A6230C" w:rsidRDefault="00A6230C" w:rsidP="00A6230C">
      <w:pPr>
        <w:jc w:val="both"/>
        <w:rPr>
          <w:rFonts w:ascii="Abadi" w:hAnsi="Abadi"/>
          <w:sz w:val="21"/>
          <w:szCs w:val="21"/>
        </w:rPr>
      </w:pPr>
      <w:r w:rsidRPr="006813AA">
        <w:rPr>
          <w:rFonts w:ascii="Abadi" w:hAnsi="Abadi"/>
          <w:sz w:val="21"/>
          <w:szCs w:val="21"/>
        </w:rPr>
        <w:t xml:space="preserve">- En virtud de que ninguna diputada o ningún diputado </w:t>
      </w:r>
      <w:r>
        <w:rPr>
          <w:rFonts w:ascii="Abadi" w:hAnsi="Abadi"/>
          <w:sz w:val="21"/>
          <w:szCs w:val="21"/>
        </w:rPr>
        <w:t xml:space="preserve">desea </w:t>
      </w:r>
      <w:r w:rsidRPr="006813AA">
        <w:rPr>
          <w:rFonts w:ascii="Abadi" w:hAnsi="Abadi"/>
          <w:sz w:val="21"/>
          <w:szCs w:val="21"/>
        </w:rPr>
        <w:t>hacer uso de la palabra se ruega a la Secretaría que en votación económica a través del sistema electrónico pregunte a la Asamblea si es de aprobarse la Obvia Resolución sometida a su consideración.</w:t>
      </w:r>
    </w:p>
    <w:p w14:paraId="2D0C53B7" w14:textId="77777777" w:rsidR="00562F79" w:rsidRPr="006813AA" w:rsidRDefault="00562F79" w:rsidP="00A6230C">
      <w:pPr>
        <w:jc w:val="both"/>
        <w:rPr>
          <w:rFonts w:ascii="Abadi" w:hAnsi="Abadi"/>
          <w:sz w:val="21"/>
          <w:szCs w:val="21"/>
        </w:rPr>
      </w:pPr>
    </w:p>
    <w:p w14:paraId="38A83DA4" w14:textId="4CF46B4C" w:rsidR="00A6230C" w:rsidRDefault="00A6230C" w:rsidP="00A6230C">
      <w:pPr>
        <w:jc w:val="both"/>
        <w:rPr>
          <w:rFonts w:ascii="Abadi" w:hAnsi="Abadi"/>
          <w:b/>
          <w:bCs/>
          <w:sz w:val="21"/>
          <w:szCs w:val="21"/>
        </w:rPr>
      </w:pPr>
      <w:r w:rsidRPr="006813AA">
        <w:rPr>
          <w:rFonts w:ascii="Abadi" w:hAnsi="Abadi"/>
          <w:b/>
          <w:bCs/>
          <w:sz w:val="21"/>
          <w:szCs w:val="21"/>
        </w:rPr>
        <w:t>(Se abre nuestro sistema electrónico)</w:t>
      </w:r>
    </w:p>
    <w:p w14:paraId="57C517F4" w14:textId="77777777" w:rsidR="00562F79" w:rsidRPr="006813AA" w:rsidRDefault="00562F79" w:rsidP="00A6230C">
      <w:pPr>
        <w:jc w:val="both"/>
        <w:rPr>
          <w:rFonts w:ascii="Abadi" w:hAnsi="Abadi"/>
          <w:b/>
          <w:bCs/>
          <w:sz w:val="21"/>
          <w:szCs w:val="21"/>
        </w:rPr>
      </w:pPr>
    </w:p>
    <w:p w14:paraId="29518316" w14:textId="3F34C136" w:rsidR="00A6230C" w:rsidRDefault="00A6230C" w:rsidP="00A6230C">
      <w:pPr>
        <w:jc w:val="both"/>
        <w:rPr>
          <w:rFonts w:ascii="Abadi" w:hAnsi="Abadi"/>
          <w:sz w:val="21"/>
          <w:szCs w:val="21"/>
        </w:rPr>
      </w:pPr>
      <w:r w:rsidRPr="006813AA">
        <w:rPr>
          <w:rFonts w:ascii="Abadi" w:hAnsi="Abadi"/>
          <w:sz w:val="21"/>
          <w:szCs w:val="21"/>
        </w:rPr>
        <w:tab/>
      </w:r>
      <w:r w:rsidRPr="006813AA">
        <w:rPr>
          <w:rFonts w:ascii="Abadi" w:hAnsi="Abadi"/>
          <w:b/>
          <w:bCs/>
          <w:sz w:val="21"/>
          <w:szCs w:val="21"/>
        </w:rPr>
        <w:t>- El Secretario.-</w:t>
      </w:r>
      <w:r w:rsidRPr="006813AA">
        <w:rPr>
          <w:rFonts w:ascii="Abadi" w:hAnsi="Abadi"/>
          <w:sz w:val="21"/>
          <w:szCs w:val="21"/>
        </w:rPr>
        <w:t xml:space="preserve"> Por instrucciones de la presidencia en votación económica se pregunta a las diputadas y los diputados si se aprueba la Obvia Resolución mediante el sistema electronico. ¿Diputada Briseida Anabel Magdaleno?</w:t>
      </w:r>
      <w:r>
        <w:rPr>
          <w:rFonts w:ascii="Abadi" w:hAnsi="Abadi"/>
          <w:sz w:val="21"/>
          <w:szCs w:val="21"/>
        </w:rPr>
        <w:t xml:space="preserve"> ¿Diputada Irma Leticia González Sánchez?</w:t>
      </w:r>
    </w:p>
    <w:p w14:paraId="65E4F8BA" w14:textId="77777777" w:rsidR="00562F79" w:rsidRPr="006813AA" w:rsidRDefault="00562F79" w:rsidP="00A6230C">
      <w:pPr>
        <w:jc w:val="both"/>
        <w:rPr>
          <w:rFonts w:ascii="Abadi" w:hAnsi="Abadi"/>
          <w:sz w:val="21"/>
          <w:szCs w:val="21"/>
        </w:rPr>
      </w:pPr>
    </w:p>
    <w:p w14:paraId="371EB9E9" w14:textId="1C26D5AF" w:rsidR="00A6230C" w:rsidRDefault="00A6230C" w:rsidP="00A6230C">
      <w:pPr>
        <w:jc w:val="both"/>
        <w:rPr>
          <w:rFonts w:ascii="Abadi" w:hAnsi="Abadi"/>
          <w:sz w:val="21"/>
          <w:szCs w:val="21"/>
        </w:rPr>
      </w:pPr>
      <w:r w:rsidRPr="006813AA">
        <w:rPr>
          <w:rFonts w:ascii="Abadi" w:hAnsi="Abadi"/>
          <w:sz w:val="21"/>
          <w:szCs w:val="21"/>
        </w:rPr>
        <w:t>¿Falta alguna diputada o algún diputado de emitir su voto?</w:t>
      </w:r>
    </w:p>
    <w:p w14:paraId="18E05373" w14:textId="77777777" w:rsidR="00562F79" w:rsidRPr="006813AA" w:rsidRDefault="00562F79" w:rsidP="00A6230C">
      <w:pPr>
        <w:jc w:val="both"/>
        <w:rPr>
          <w:rFonts w:ascii="Abadi" w:hAnsi="Abadi"/>
          <w:sz w:val="21"/>
          <w:szCs w:val="21"/>
        </w:rPr>
      </w:pPr>
    </w:p>
    <w:p w14:paraId="30CEEE19" w14:textId="70EE1115" w:rsidR="00A6230C" w:rsidRDefault="00A6230C" w:rsidP="00562F79">
      <w:pPr>
        <w:jc w:val="center"/>
        <w:rPr>
          <w:rFonts w:ascii="Abadi" w:hAnsi="Abadi"/>
          <w:b/>
          <w:bCs/>
          <w:sz w:val="21"/>
          <w:szCs w:val="21"/>
        </w:rPr>
      </w:pPr>
      <w:r w:rsidRPr="006813AA">
        <w:rPr>
          <w:rFonts w:ascii="Abadi" w:hAnsi="Abadi"/>
          <w:b/>
          <w:bCs/>
          <w:sz w:val="21"/>
          <w:szCs w:val="21"/>
        </w:rPr>
        <w:t>(Se cierra el sistema electrónico)</w:t>
      </w:r>
    </w:p>
    <w:p w14:paraId="78123635" w14:textId="77777777" w:rsidR="00562F79" w:rsidRPr="006813AA" w:rsidRDefault="00562F79" w:rsidP="00A6230C">
      <w:pPr>
        <w:jc w:val="both"/>
        <w:rPr>
          <w:rFonts w:ascii="Abadi" w:hAnsi="Abadi"/>
          <w:b/>
          <w:bCs/>
          <w:sz w:val="21"/>
          <w:szCs w:val="21"/>
        </w:rPr>
      </w:pPr>
    </w:p>
    <w:p w14:paraId="0D90EF61" w14:textId="3BDD3273" w:rsidR="00A6230C" w:rsidRDefault="00A6230C" w:rsidP="00A6230C">
      <w:pPr>
        <w:jc w:val="both"/>
        <w:rPr>
          <w:rFonts w:ascii="Abadi" w:hAnsi="Abadi"/>
          <w:b/>
          <w:bCs/>
          <w:sz w:val="21"/>
          <w:szCs w:val="21"/>
        </w:rPr>
      </w:pPr>
    </w:p>
    <w:p w14:paraId="2FE540AB" w14:textId="57C756C5" w:rsidR="00562F79" w:rsidRDefault="00562F79" w:rsidP="00A6230C">
      <w:pPr>
        <w:jc w:val="both"/>
        <w:rPr>
          <w:rFonts w:ascii="Abadi" w:hAnsi="Abadi"/>
          <w:b/>
          <w:bCs/>
          <w:sz w:val="21"/>
          <w:szCs w:val="21"/>
        </w:rPr>
      </w:pPr>
      <w:r w:rsidRPr="006813AA">
        <w:rPr>
          <w:noProof/>
          <w:sz w:val="21"/>
          <w:szCs w:val="21"/>
        </w:rPr>
        <w:drawing>
          <wp:anchor distT="0" distB="0" distL="114300" distR="114300" simplePos="0" relativeHeight="251684864" behindDoc="1" locked="0" layoutInCell="1" allowOverlap="1" wp14:anchorId="539DB0FB" wp14:editId="30D48D99">
            <wp:simplePos x="0" y="0"/>
            <wp:positionH relativeFrom="column">
              <wp:posOffset>590550</wp:posOffset>
            </wp:positionH>
            <wp:positionV relativeFrom="paragraph">
              <wp:posOffset>94818</wp:posOffset>
            </wp:positionV>
            <wp:extent cx="1437849" cy="753520"/>
            <wp:effectExtent l="323850" t="323850" r="314960" b="332740"/>
            <wp:wrapTight wrapText="bothSides">
              <wp:wrapPolygon edited="0">
                <wp:start x="-2862" y="-9288"/>
                <wp:lineTo x="-4866" y="-8196"/>
                <wp:lineTo x="-4580" y="26772"/>
                <wp:lineTo x="-3148" y="29504"/>
                <wp:lineTo x="-2862" y="30597"/>
                <wp:lineTo x="24042" y="30597"/>
                <wp:lineTo x="24329" y="29504"/>
                <wp:lineTo x="25760" y="26772"/>
                <wp:lineTo x="26046" y="546"/>
                <wp:lineTo x="24042" y="-7649"/>
                <wp:lineTo x="24042" y="-9288"/>
                <wp:lineTo x="-2862" y="-9288"/>
              </wp:wrapPolygon>
            </wp:wrapTight>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b="6826"/>
                    <a:stretch/>
                  </pic:blipFill>
                  <pic:spPr bwMode="auto">
                    <a:xfrm>
                      <a:off x="0" y="0"/>
                      <a:ext cx="1437849" cy="753520"/>
                    </a:xfrm>
                    <a:prstGeom prst="rect">
                      <a:avLst/>
                    </a:prstGeom>
                    <a:ln w="88900" cap="sq" cmpd="thickThin">
                      <a:solidFill>
                        <a:srgbClr val="000000"/>
                      </a:solidFill>
                      <a:prstDash val="solid"/>
                      <a:miter lim="800000"/>
                    </a:ln>
                    <a:effectLst>
                      <a:glow rad="228600">
                        <a:schemeClr val="accent3">
                          <a:satMod val="17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79055C33" w14:textId="07E7DC57" w:rsidR="00A6230C" w:rsidRDefault="009D05CF" w:rsidP="00A6230C">
      <w:pPr>
        <w:jc w:val="both"/>
        <w:rPr>
          <w:rFonts w:ascii="Abadi" w:hAnsi="Abadi"/>
          <w:sz w:val="21"/>
          <w:szCs w:val="21"/>
        </w:rPr>
      </w:pPr>
      <w:r>
        <w:rPr>
          <w:rFonts w:ascii="Abadi" w:hAnsi="Abadi"/>
          <w:b/>
          <w:bCs/>
          <w:sz w:val="21"/>
          <w:szCs w:val="21"/>
        </w:rPr>
        <w:tab/>
      </w:r>
      <w:r w:rsidR="00A6230C" w:rsidRPr="006813AA">
        <w:rPr>
          <w:rFonts w:ascii="Abadi" w:hAnsi="Abadi"/>
          <w:b/>
          <w:bCs/>
          <w:sz w:val="21"/>
          <w:szCs w:val="21"/>
        </w:rPr>
        <w:t xml:space="preserve">-  El Secretario.- </w:t>
      </w:r>
      <w:r w:rsidR="00A6230C" w:rsidRPr="006813AA">
        <w:rPr>
          <w:rFonts w:ascii="Abadi" w:hAnsi="Abadi"/>
          <w:sz w:val="21"/>
          <w:szCs w:val="21"/>
        </w:rPr>
        <w:t>Se registraron 31 votos a favor.</w:t>
      </w:r>
    </w:p>
    <w:p w14:paraId="7F4FA29C" w14:textId="77777777" w:rsidR="00562F79" w:rsidRPr="006813AA" w:rsidRDefault="00562F79" w:rsidP="00A6230C">
      <w:pPr>
        <w:jc w:val="both"/>
        <w:rPr>
          <w:rFonts w:ascii="Abadi" w:hAnsi="Abadi"/>
          <w:sz w:val="21"/>
          <w:szCs w:val="21"/>
        </w:rPr>
      </w:pPr>
    </w:p>
    <w:p w14:paraId="5DAF00D8" w14:textId="117E9112" w:rsidR="00A6230C" w:rsidRDefault="00562F79" w:rsidP="00A6230C">
      <w:pPr>
        <w:jc w:val="both"/>
        <w:rPr>
          <w:rFonts w:ascii="Abadi" w:hAnsi="Abadi"/>
          <w:sz w:val="21"/>
          <w:szCs w:val="21"/>
        </w:rPr>
      </w:pPr>
      <w:r>
        <w:rPr>
          <w:rFonts w:ascii="Abadi" w:hAnsi="Abadi"/>
          <w:sz w:val="21"/>
          <w:szCs w:val="21"/>
        </w:rPr>
        <w:tab/>
      </w:r>
      <w:r w:rsidR="00A6230C" w:rsidRPr="006813AA">
        <w:rPr>
          <w:rFonts w:ascii="Abadi" w:hAnsi="Abadi"/>
          <w:sz w:val="21"/>
          <w:szCs w:val="21"/>
        </w:rPr>
        <w:t>- La</w:t>
      </w:r>
      <w:r w:rsidR="009D05CF">
        <w:rPr>
          <w:rFonts w:ascii="Abadi" w:hAnsi="Abadi"/>
          <w:sz w:val="21"/>
          <w:szCs w:val="21"/>
        </w:rPr>
        <w:t xml:space="preserve"> </w:t>
      </w:r>
      <w:r w:rsidR="00A6230C" w:rsidRPr="006813AA">
        <w:rPr>
          <w:rFonts w:ascii="Abadi" w:hAnsi="Abadi"/>
          <w:sz w:val="21"/>
          <w:szCs w:val="21"/>
        </w:rPr>
        <w:t>Resolución ha sido aprobada por unanimidad de votos.</w:t>
      </w:r>
    </w:p>
    <w:p w14:paraId="79E56AA4" w14:textId="77777777" w:rsidR="00562F79" w:rsidRPr="006813AA" w:rsidRDefault="00562F79" w:rsidP="00A6230C">
      <w:pPr>
        <w:jc w:val="both"/>
        <w:rPr>
          <w:rFonts w:ascii="Abadi" w:hAnsi="Abadi"/>
          <w:sz w:val="21"/>
          <w:szCs w:val="21"/>
        </w:rPr>
      </w:pPr>
    </w:p>
    <w:p w14:paraId="1DC0431A" w14:textId="23A11AB0" w:rsidR="00A6230C" w:rsidRDefault="00562F79" w:rsidP="00A6230C">
      <w:pPr>
        <w:jc w:val="both"/>
        <w:rPr>
          <w:rFonts w:ascii="Abadi" w:hAnsi="Abadi"/>
          <w:sz w:val="21"/>
          <w:szCs w:val="21"/>
        </w:rPr>
      </w:pPr>
      <w:r>
        <w:rPr>
          <w:rFonts w:ascii="Abadi" w:hAnsi="Abadi"/>
          <w:sz w:val="21"/>
          <w:szCs w:val="21"/>
        </w:rPr>
        <w:tab/>
      </w:r>
      <w:r w:rsidR="00A6230C" w:rsidRPr="006813AA">
        <w:rPr>
          <w:rFonts w:ascii="Abadi" w:hAnsi="Abadi"/>
          <w:sz w:val="21"/>
          <w:szCs w:val="21"/>
        </w:rPr>
        <w:t>- En consecuencia se somete a discusión el punto de acuerdo</w:t>
      </w:r>
      <w:r>
        <w:rPr>
          <w:rFonts w:ascii="Abadi" w:hAnsi="Abadi"/>
          <w:sz w:val="21"/>
          <w:szCs w:val="21"/>
        </w:rPr>
        <w:t>.</w:t>
      </w:r>
    </w:p>
    <w:p w14:paraId="5BAF04A8" w14:textId="77777777" w:rsidR="00562F79" w:rsidRPr="006813AA" w:rsidRDefault="00562F79" w:rsidP="00A6230C">
      <w:pPr>
        <w:jc w:val="both"/>
        <w:rPr>
          <w:rFonts w:ascii="Abadi" w:hAnsi="Abadi"/>
          <w:sz w:val="21"/>
          <w:szCs w:val="21"/>
        </w:rPr>
      </w:pPr>
    </w:p>
    <w:p w14:paraId="73DAEDBF" w14:textId="7689A242" w:rsidR="00A6230C" w:rsidRDefault="00562F79" w:rsidP="00A6230C">
      <w:pPr>
        <w:jc w:val="both"/>
        <w:rPr>
          <w:rFonts w:ascii="Abadi" w:hAnsi="Abadi"/>
          <w:sz w:val="21"/>
          <w:szCs w:val="21"/>
        </w:rPr>
      </w:pPr>
      <w:r>
        <w:rPr>
          <w:rFonts w:ascii="Abadi" w:hAnsi="Abadi"/>
          <w:sz w:val="21"/>
          <w:szCs w:val="21"/>
        </w:rPr>
        <w:tab/>
      </w:r>
      <w:r w:rsidR="00A6230C" w:rsidRPr="006813AA">
        <w:rPr>
          <w:rFonts w:ascii="Abadi" w:hAnsi="Abadi"/>
          <w:sz w:val="21"/>
          <w:szCs w:val="21"/>
        </w:rPr>
        <w:t>- Sí alguna diputada o algún diputado desea hacer uso de la palabra en pro o en contra sírvase manifestarlo indicando el sentido de su participación.</w:t>
      </w:r>
    </w:p>
    <w:p w14:paraId="4AEA5290" w14:textId="77777777" w:rsidR="00562F79" w:rsidRPr="006813AA" w:rsidRDefault="00562F79" w:rsidP="00A6230C">
      <w:pPr>
        <w:jc w:val="both"/>
        <w:rPr>
          <w:rFonts w:ascii="Abadi" w:hAnsi="Abadi"/>
          <w:sz w:val="21"/>
          <w:szCs w:val="21"/>
        </w:rPr>
      </w:pPr>
    </w:p>
    <w:p w14:paraId="30DFA628" w14:textId="6348CF14" w:rsidR="00A6230C" w:rsidRDefault="00562F79" w:rsidP="00A6230C">
      <w:pPr>
        <w:jc w:val="both"/>
        <w:rPr>
          <w:rFonts w:ascii="Abadi" w:hAnsi="Abadi"/>
          <w:sz w:val="21"/>
          <w:szCs w:val="21"/>
        </w:rPr>
      </w:pPr>
      <w:r>
        <w:rPr>
          <w:rFonts w:ascii="Abadi" w:hAnsi="Abadi"/>
          <w:sz w:val="21"/>
          <w:szCs w:val="21"/>
        </w:rPr>
        <w:tab/>
      </w:r>
      <w:r w:rsidR="00A6230C" w:rsidRPr="006813AA">
        <w:rPr>
          <w:rFonts w:ascii="Abadi" w:hAnsi="Abadi"/>
          <w:sz w:val="21"/>
          <w:szCs w:val="21"/>
        </w:rPr>
        <w:t>- No habiendo participaciones si instruye a la Secretaría para que en votación nominal y a través de nuestro sistema electrónico pregunte a la Asamblea si es de aprobarse o no el punto de acuerdo.</w:t>
      </w:r>
    </w:p>
    <w:p w14:paraId="7B3D249A" w14:textId="77777777" w:rsidR="00562F79" w:rsidRPr="006813AA" w:rsidRDefault="00562F79" w:rsidP="00A6230C">
      <w:pPr>
        <w:jc w:val="both"/>
        <w:rPr>
          <w:rFonts w:ascii="Abadi" w:hAnsi="Abadi"/>
          <w:sz w:val="21"/>
          <w:szCs w:val="21"/>
        </w:rPr>
      </w:pPr>
    </w:p>
    <w:p w14:paraId="0EF62A6B" w14:textId="77777777" w:rsidR="00A6230C" w:rsidRPr="006813AA" w:rsidRDefault="00A6230C" w:rsidP="00562F79">
      <w:pPr>
        <w:jc w:val="center"/>
        <w:rPr>
          <w:rFonts w:ascii="Abadi" w:hAnsi="Abadi"/>
          <w:b/>
          <w:bCs/>
          <w:sz w:val="21"/>
          <w:szCs w:val="21"/>
        </w:rPr>
      </w:pPr>
      <w:r w:rsidRPr="006813AA">
        <w:rPr>
          <w:rFonts w:ascii="Abadi" w:hAnsi="Abadi"/>
          <w:b/>
          <w:bCs/>
          <w:sz w:val="21"/>
          <w:szCs w:val="21"/>
        </w:rPr>
        <w:t>(Se abre nuestro sistema electrónico)</w:t>
      </w:r>
    </w:p>
    <w:p w14:paraId="14C61534" w14:textId="77777777" w:rsidR="00A6230C" w:rsidRPr="006813AA" w:rsidRDefault="00A6230C" w:rsidP="00562F79">
      <w:pPr>
        <w:jc w:val="center"/>
        <w:rPr>
          <w:rFonts w:ascii="Abadi" w:hAnsi="Abadi"/>
          <w:sz w:val="21"/>
          <w:szCs w:val="21"/>
        </w:rPr>
      </w:pPr>
    </w:p>
    <w:p w14:paraId="0E282690" w14:textId="73B22F30" w:rsidR="00A6230C" w:rsidRDefault="00A6230C" w:rsidP="00A6230C">
      <w:pPr>
        <w:jc w:val="both"/>
        <w:rPr>
          <w:rFonts w:ascii="Abadi" w:hAnsi="Abadi"/>
          <w:sz w:val="21"/>
          <w:szCs w:val="21"/>
        </w:rPr>
      </w:pPr>
      <w:r w:rsidRPr="006813AA">
        <w:rPr>
          <w:rFonts w:ascii="Abadi" w:hAnsi="Abadi"/>
          <w:b/>
          <w:bCs/>
          <w:sz w:val="21"/>
          <w:szCs w:val="21"/>
        </w:rPr>
        <w:tab/>
        <w:t>- El Secretario.-</w:t>
      </w:r>
      <w:r w:rsidRPr="006813AA">
        <w:rPr>
          <w:rFonts w:ascii="Abadi" w:hAnsi="Abadi"/>
          <w:sz w:val="21"/>
          <w:szCs w:val="21"/>
        </w:rPr>
        <w:t xml:space="preserve"> En votación nominal por el sistema electrónico se pregunta a las diputadas y a los diputados si se aprueba el punto de acuerdo puesto su consideración. ¿Diputada Alma Edwviges Alcaraz? ¿Diputado ¿José Alfonso Borja? </w:t>
      </w:r>
    </w:p>
    <w:p w14:paraId="15C93F66" w14:textId="77777777" w:rsidR="00562F79" w:rsidRPr="006813AA" w:rsidRDefault="00562F79" w:rsidP="00A6230C">
      <w:pPr>
        <w:jc w:val="both"/>
        <w:rPr>
          <w:rFonts w:ascii="Abadi" w:hAnsi="Abadi"/>
          <w:sz w:val="21"/>
          <w:szCs w:val="21"/>
        </w:rPr>
      </w:pPr>
    </w:p>
    <w:p w14:paraId="355C1E68" w14:textId="6491E260" w:rsidR="00A6230C" w:rsidRDefault="00A6230C" w:rsidP="00A6230C">
      <w:pPr>
        <w:jc w:val="both"/>
        <w:rPr>
          <w:rFonts w:ascii="Abadi" w:hAnsi="Abadi"/>
          <w:sz w:val="21"/>
          <w:szCs w:val="21"/>
        </w:rPr>
      </w:pPr>
      <w:r w:rsidRPr="006813AA">
        <w:rPr>
          <w:rFonts w:ascii="Abadi" w:hAnsi="Abadi"/>
          <w:sz w:val="21"/>
          <w:szCs w:val="21"/>
        </w:rPr>
        <w:t>¿Falta alguna diputada o algún diputado de emitir su voto?</w:t>
      </w:r>
    </w:p>
    <w:p w14:paraId="4BA6712A" w14:textId="77777777" w:rsidR="00562F79" w:rsidRPr="006813AA" w:rsidRDefault="00562F79" w:rsidP="00A6230C">
      <w:pPr>
        <w:jc w:val="both"/>
        <w:rPr>
          <w:rFonts w:ascii="Abadi" w:hAnsi="Abadi"/>
          <w:sz w:val="21"/>
          <w:szCs w:val="21"/>
        </w:rPr>
      </w:pPr>
    </w:p>
    <w:p w14:paraId="2A07492F" w14:textId="77777777" w:rsidR="00A6230C" w:rsidRPr="006813AA" w:rsidRDefault="00A6230C" w:rsidP="00562F79">
      <w:pPr>
        <w:jc w:val="center"/>
        <w:rPr>
          <w:rFonts w:ascii="Abadi" w:hAnsi="Abadi"/>
          <w:b/>
          <w:bCs/>
          <w:sz w:val="21"/>
          <w:szCs w:val="21"/>
        </w:rPr>
      </w:pPr>
      <w:r w:rsidRPr="006813AA">
        <w:rPr>
          <w:rFonts w:ascii="Abadi" w:hAnsi="Abadi"/>
          <w:b/>
          <w:bCs/>
          <w:sz w:val="21"/>
          <w:szCs w:val="21"/>
        </w:rPr>
        <w:t>(Se cierra el sistema electronico)</w:t>
      </w:r>
    </w:p>
    <w:p w14:paraId="748F5BE6" w14:textId="77777777" w:rsidR="00A6230C" w:rsidRPr="006813AA" w:rsidRDefault="00A6230C" w:rsidP="00A6230C">
      <w:pPr>
        <w:jc w:val="both"/>
        <w:rPr>
          <w:rFonts w:ascii="Abadi" w:hAnsi="Abadi"/>
          <w:b/>
          <w:bCs/>
          <w:sz w:val="21"/>
          <w:szCs w:val="21"/>
        </w:rPr>
      </w:pPr>
      <w:r w:rsidRPr="006813AA">
        <w:rPr>
          <w:noProof/>
          <w:sz w:val="21"/>
          <w:szCs w:val="21"/>
        </w:rPr>
        <w:drawing>
          <wp:inline distT="0" distB="0" distL="0" distR="0" wp14:anchorId="5EAC01BE" wp14:editId="07CBC299">
            <wp:extent cx="1815152" cy="1020946"/>
            <wp:effectExtent l="228600" t="228600" r="223520" b="23685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832344" cy="1030616"/>
                    </a:xfrm>
                    <a:prstGeom prst="rect">
                      <a:avLst/>
                    </a:prstGeom>
                    <a:effectLst>
                      <a:glow rad="228600">
                        <a:schemeClr val="accent3">
                          <a:satMod val="175000"/>
                          <a:alpha val="40000"/>
                        </a:schemeClr>
                      </a:glow>
                    </a:effectLst>
                  </pic:spPr>
                </pic:pic>
              </a:graphicData>
            </a:graphic>
          </wp:inline>
        </w:drawing>
      </w:r>
    </w:p>
    <w:p w14:paraId="3AC57FDD" w14:textId="334E0740" w:rsidR="00A6230C" w:rsidRDefault="00A6230C" w:rsidP="00A6230C">
      <w:pPr>
        <w:jc w:val="both"/>
        <w:rPr>
          <w:rFonts w:ascii="Abadi" w:hAnsi="Abadi"/>
          <w:sz w:val="21"/>
          <w:szCs w:val="21"/>
        </w:rPr>
      </w:pPr>
      <w:r w:rsidRPr="006813AA">
        <w:rPr>
          <w:rFonts w:ascii="Abadi" w:hAnsi="Abadi"/>
          <w:sz w:val="21"/>
          <w:szCs w:val="21"/>
        </w:rPr>
        <w:tab/>
      </w:r>
      <w:r w:rsidRPr="006813AA">
        <w:rPr>
          <w:rFonts w:ascii="Abadi" w:hAnsi="Abadi"/>
          <w:b/>
          <w:bCs/>
          <w:sz w:val="21"/>
          <w:szCs w:val="21"/>
        </w:rPr>
        <w:t>- El Secretario.-</w:t>
      </w:r>
      <w:r w:rsidRPr="006813AA">
        <w:rPr>
          <w:rFonts w:ascii="Abadi" w:hAnsi="Abadi"/>
          <w:sz w:val="21"/>
          <w:szCs w:val="21"/>
        </w:rPr>
        <w:t xml:space="preserve"> Señor Presidente se registraron 31 votos a favor.</w:t>
      </w:r>
    </w:p>
    <w:p w14:paraId="5378EF5A" w14:textId="77777777" w:rsidR="00562F79" w:rsidRPr="006813AA" w:rsidRDefault="00562F79" w:rsidP="00A6230C">
      <w:pPr>
        <w:jc w:val="both"/>
        <w:rPr>
          <w:rFonts w:ascii="Abadi" w:hAnsi="Abadi"/>
          <w:sz w:val="21"/>
          <w:szCs w:val="21"/>
        </w:rPr>
      </w:pPr>
    </w:p>
    <w:p w14:paraId="45C71E1F" w14:textId="61832603" w:rsidR="00A6230C" w:rsidRDefault="00A6230C" w:rsidP="00A6230C">
      <w:pPr>
        <w:jc w:val="both"/>
        <w:rPr>
          <w:rFonts w:ascii="Abadi" w:hAnsi="Abadi"/>
          <w:sz w:val="21"/>
          <w:szCs w:val="21"/>
        </w:rPr>
      </w:pPr>
      <w:r w:rsidRPr="006813AA">
        <w:rPr>
          <w:rFonts w:ascii="Abadi" w:hAnsi="Abadi"/>
          <w:sz w:val="21"/>
          <w:szCs w:val="21"/>
        </w:rPr>
        <w:tab/>
      </w:r>
      <w:r w:rsidRPr="006813AA">
        <w:rPr>
          <w:rFonts w:ascii="Abadi" w:hAnsi="Abadi"/>
          <w:b/>
          <w:bCs/>
          <w:sz w:val="21"/>
          <w:szCs w:val="21"/>
        </w:rPr>
        <w:t xml:space="preserve">- El Presidente.- </w:t>
      </w:r>
      <w:r w:rsidRPr="006813AA">
        <w:rPr>
          <w:rFonts w:ascii="Abadi" w:hAnsi="Abadi"/>
          <w:sz w:val="21"/>
          <w:szCs w:val="21"/>
        </w:rPr>
        <w:t>El punto de acuerdo ha sido aprobado por unanimidad de votos.</w:t>
      </w:r>
    </w:p>
    <w:p w14:paraId="7F562484" w14:textId="77777777" w:rsidR="00562F79" w:rsidRPr="006813AA" w:rsidRDefault="00562F79" w:rsidP="00A6230C">
      <w:pPr>
        <w:jc w:val="both"/>
        <w:rPr>
          <w:rFonts w:ascii="Abadi" w:hAnsi="Abadi"/>
          <w:sz w:val="21"/>
          <w:szCs w:val="21"/>
        </w:rPr>
      </w:pPr>
    </w:p>
    <w:p w14:paraId="02DB6721" w14:textId="77777777" w:rsidR="00A6230C" w:rsidRPr="006813AA" w:rsidRDefault="00A6230C" w:rsidP="002A4D8C">
      <w:pPr>
        <w:ind w:left="426" w:right="567"/>
        <w:jc w:val="both"/>
        <w:rPr>
          <w:rFonts w:ascii="Abadi" w:hAnsi="Abadi"/>
          <w:b/>
          <w:bCs/>
          <w:i/>
          <w:iCs/>
          <w:sz w:val="21"/>
          <w:szCs w:val="21"/>
          <w:u w:val="single"/>
        </w:rPr>
      </w:pPr>
      <w:r w:rsidRPr="006813AA">
        <w:rPr>
          <w:rFonts w:ascii="Abadi" w:hAnsi="Abadi"/>
          <w:b/>
          <w:bCs/>
          <w:i/>
          <w:iCs/>
          <w:sz w:val="21"/>
          <w:szCs w:val="21"/>
          <w:u w:val="single"/>
        </w:rPr>
        <w:t>En consecuencia remítase del acuerdo aprobado junto con sus consideraciones al titular del Poder Ejecutivo Estatal para los efectos conducentes</w:t>
      </w:r>
      <w:r>
        <w:rPr>
          <w:rFonts w:ascii="Abadi" w:hAnsi="Abadi"/>
          <w:b/>
          <w:bCs/>
          <w:i/>
          <w:iCs/>
          <w:sz w:val="21"/>
          <w:szCs w:val="21"/>
          <w:u w:val="single"/>
        </w:rPr>
        <w:t>.</w:t>
      </w:r>
    </w:p>
    <w:p w14:paraId="361004A0" w14:textId="77777777" w:rsidR="00A6230C" w:rsidRPr="006813AA" w:rsidRDefault="00A6230C" w:rsidP="00A6230C">
      <w:pPr>
        <w:jc w:val="both"/>
        <w:rPr>
          <w:rFonts w:ascii="Abadi" w:hAnsi="Abadi"/>
          <w:sz w:val="21"/>
          <w:szCs w:val="21"/>
        </w:rPr>
      </w:pPr>
    </w:p>
    <w:p w14:paraId="07764D24" w14:textId="77777777" w:rsidR="00562F79" w:rsidRDefault="00562F79" w:rsidP="00A6230C">
      <w:pPr>
        <w:jc w:val="both"/>
        <w:rPr>
          <w:rFonts w:ascii="Abadi" w:hAnsi="Abadi"/>
          <w:b/>
          <w:bCs/>
          <w:sz w:val="21"/>
          <w:szCs w:val="21"/>
        </w:rPr>
      </w:pPr>
    </w:p>
    <w:p w14:paraId="1F8E4B57" w14:textId="22FAB81F" w:rsidR="00A6230C" w:rsidRPr="006813AA" w:rsidRDefault="00A6230C" w:rsidP="00A6230C">
      <w:pPr>
        <w:jc w:val="both"/>
        <w:rPr>
          <w:rFonts w:ascii="Abadi" w:hAnsi="Abadi"/>
          <w:b/>
          <w:bCs/>
          <w:sz w:val="21"/>
          <w:szCs w:val="21"/>
        </w:rPr>
      </w:pPr>
      <w:r w:rsidRPr="006813AA">
        <w:rPr>
          <w:rFonts w:ascii="Abadi" w:hAnsi="Abadi"/>
          <w:b/>
          <w:bCs/>
          <w:sz w:val="21"/>
          <w:szCs w:val="21"/>
        </w:rPr>
        <w:t>(Aplausos)</w:t>
      </w:r>
    </w:p>
    <w:p w14:paraId="0926DD2B" w14:textId="32FF7A16" w:rsidR="00194209" w:rsidRDefault="00194209" w:rsidP="00E462B6">
      <w:pPr>
        <w:autoSpaceDE w:val="0"/>
        <w:autoSpaceDN w:val="0"/>
        <w:adjustRightInd w:val="0"/>
        <w:jc w:val="both"/>
        <w:rPr>
          <w:rFonts w:ascii="Abadi" w:hAnsi="Abadi" w:cs="ArialMT"/>
          <w:b/>
          <w:bCs/>
          <w:sz w:val="20"/>
          <w:szCs w:val="21"/>
        </w:rPr>
      </w:pPr>
    </w:p>
    <w:p w14:paraId="0DFB7211" w14:textId="77777777" w:rsidR="00194209" w:rsidRPr="0028553C" w:rsidRDefault="00194209" w:rsidP="00E462B6">
      <w:pPr>
        <w:autoSpaceDE w:val="0"/>
        <w:autoSpaceDN w:val="0"/>
        <w:adjustRightInd w:val="0"/>
        <w:jc w:val="both"/>
        <w:rPr>
          <w:rFonts w:ascii="Abadi" w:hAnsi="Abadi" w:cs="ArialMT"/>
          <w:b/>
          <w:bCs/>
          <w:sz w:val="20"/>
          <w:szCs w:val="21"/>
        </w:rPr>
      </w:pPr>
    </w:p>
    <w:p w14:paraId="72F8EACB" w14:textId="7F954373" w:rsidR="00FA0B52" w:rsidRPr="00FA0B52" w:rsidRDefault="00E462B6" w:rsidP="00964302">
      <w:pPr>
        <w:pStyle w:val="Prrafodelista"/>
        <w:numPr>
          <w:ilvl w:val="0"/>
          <w:numId w:val="14"/>
        </w:numPr>
        <w:autoSpaceDE w:val="0"/>
        <w:autoSpaceDN w:val="0"/>
        <w:adjustRightInd w:val="0"/>
        <w:ind w:left="426"/>
        <w:contextualSpacing/>
        <w:jc w:val="both"/>
        <w:rPr>
          <w:rFonts w:ascii="Abadi" w:hAnsi="Abadi" w:cs="ArialMT"/>
          <w:b/>
          <w:bCs/>
          <w:sz w:val="20"/>
          <w:szCs w:val="21"/>
        </w:rPr>
      </w:pPr>
      <w:r w:rsidRPr="0028553C">
        <w:rPr>
          <w:rFonts w:ascii="Abadi" w:hAnsi="Abadi" w:cs="ArialMT"/>
          <w:b/>
          <w:bCs/>
          <w:sz w:val="20"/>
          <w:szCs w:val="21"/>
        </w:rPr>
        <w:t>PRESENTACIÓN DE LA PROPUESTA DE PUNTO DE ACUERDO DE OBVIA RESOLUCIÓN SUSCRITA POR EL DIPUTADO CUAUHTÉMOC BECERRA GONZÁLEZ INTEGRANTE DEL GRUPO PARLAMENTARIO DEL PARTIDO MORENA A EFECTO DE EXHORTAR AL GOBERNADOR DEL ESTADO, DIEGO SINHUE RODRÍGUEZ VALLEJO, PARA QUE, EN EL ÁMBITO DE SUS ATRIBUCIONES, COMPLEMENTE LAS ACCIONES IMPLEMENTADAS DESDE EL GOBIERNO FEDERAL CON LA FINALIDAD DE REDUCIR LOS COSTOS DE LOS PRODUCTOS QUE INTEGRAN LA CANASTA BÁSICA Y, DE ESTA MANERA, GARANTIZAR LA SEGURIDAD ALIMENTARIA DE LA POBLACIÓN GUANAJUATENSE Y, EN SU CASO, APROBACIÓN DE LA MISMA.</w:t>
      </w:r>
    </w:p>
    <w:p w14:paraId="2E23435D" w14:textId="1C499BE6" w:rsidR="00E462B6" w:rsidRDefault="00E462B6" w:rsidP="00E462B6">
      <w:pPr>
        <w:autoSpaceDE w:val="0"/>
        <w:autoSpaceDN w:val="0"/>
        <w:adjustRightInd w:val="0"/>
        <w:jc w:val="both"/>
        <w:rPr>
          <w:rFonts w:ascii="Abadi" w:hAnsi="Abadi" w:cs="Arial-BoldMT"/>
          <w:b/>
          <w:bCs/>
          <w:sz w:val="20"/>
          <w:szCs w:val="21"/>
        </w:rPr>
      </w:pPr>
    </w:p>
    <w:p w14:paraId="52C507EE" w14:textId="77777777" w:rsidR="00FA0B52" w:rsidRPr="00FA0B52" w:rsidRDefault="00FA0B52" w:rsidP="00FA0B52">
      <w:pPr>
        <w:autoSpaceDE w:val="0"/>
        <w:autoSpaceDN w:val="0"/>
        <w:adjustRightInd w:val="0"/>
        <w:jc w:val="both"/>
        <w:rPr>
          <w:rFonts w:ascii="Abadi" w:eastAsiaTheme="minorHAnsi" w:hAnsi="Abadi" w:cs="Amasis MT Pro Light"/>
          <w:b/>
          <w:bCs/>
          <w:color w:val="000000"/>
          <w:sz w:val="21"/>
          <w:szCs w:val="21"/>
          <w:lang w:val="es-MX" w:eastAsia="en-US"/>
        </w:rPr>
      </w:pPr>
      <w:r w:rsidRPr="00FA0B52">
        <w:rPr>
          <w:rFonts w:ascii="Abadi" w:eastAsiaTheme="minorHAnsi" w:hAnsi="Abadi" w:cs="Amasis MT Pro Light"/>
          <w:b/>
          <w:bCs/>
          <w:color w:val="000000"/>
          <w:sz w:val="21"/>
          <w:szCs w:val="21"/>
          <w:lang w:val="es-MX" w:eastAsia="en-US"/>
        </w:rPr>
        <w:t>Diputado Martín López Camacho</w:t>
      </w:r>
    </w:p>
    <w:p w14:paraId="6BCE23FA" w14:textId="77777777" w:rsidR="00FA0B52" w:rsidRPr="00FA0B52" w:rsidRDefault="00FA0B52" w:rsidP="00FA0B52">
      <w:pPr>
        <w:autoSpaceDE w:val="0"/>
        <w:autoSpaceDN w:val="0"/>
        <w:adjustRightInd w:val="0"/>
        <w:jc w:val="both"/>
        <w:rPr>
          <w:rFonts w:ascii="Abadi" w:eastAsiaTheme="minorHAnsi" w:hAnsi="Abadi" w:cs="Amasis MT Pro Light"/>
          <w:b/>
          <w:bCs/>
          <w:color w:val="000000"/>
          <w:sz w:val="21"/>
          <w:szCs w:val="21"/>
          <w:lang w:val="es-MX" w:eastAsia="en-US"/>
        </w:rPr>
      </w:pPr>
      <w:r w:rsidRPr="00FA0B52">
        <w:rPr>
          <w:rFonts w:ascii="Abadi" w:eastAsiaTheme="minorHAnsi" w:hAnsi="Abadi" w:cs="Amasis MT Pro Light"/>
          <w:b/>
          <w:bCs/>
          <w:color w:val="000000"/>
          <w:sz w:val="21"/>
          <w:szCs w:val="21"/>
          <w:lang w:val="es-MX" w:eastAsia="en-US"/>
        </w:rPr>
        <w:t>Presidente De La Mesa Directiva</w:t>
      </w:r>
    </w:p>
    <w:p w14:paraId="5E472AF3" w14:textId="77777777" w:rsidR="00FA0B52" w:rsidRPr="00FA0B52" w:rsidRDefault="00FA0B52" w:rsidP="00FA0B52">
      <w:pPr>
        <w:autoSpaceDE w:val="0"/>
        <w:autoSpaceDN w:val="0"/>
        <w:adjustRightInd w:val="0"/>
        <w:jc w:val="both"/>
        <w:rPr>
          <w:rFonts w:ascii="Abadi" w:eastAsiaTheme="minorHAnsi" w:hAnsi="Abadi" w:cs="Amasis MT Pro Light"/>
          <w:b/>
          <w:bCs/>
          <w:color w:val="000000"/>
          <w:sz w:val="21"/>
          <w:szCs w:val="21"/>
          <w:lang w:val="es-MX" w:eastAsia="en-US"/>
        </w:rPr>
      </w:pPr>
      <w:r w:rsidRPr="00FA0B52">
        <w:rPr>
          <w:rFonts w:ascii="Abadi" w:eastAsiaTheme="minorHAnsi" w:hAnsi="Abadi" w:cs="Amasis MT Pro Light"/>
          <w:b/>
          <w:bCs/>
          <w:color w:val="000000"/>
          <w:sz w:val="21"/>
          <w:szCs w:val="21"/>
          <w:lang w:val="es-MX" w:eastAsia="en-US"/>
        </w:rPr>
        <w:t>Congreso Del Estado De Guanajuato</w:t>
      </w:r>
    </w:p>
    <w:p w14:paraId="6B47934D" w14:textId="77777777" w:rsidR="00FA0B52" w:rsidRPr="00FA0B52" w:rsidRDefault="00FA0B52" w:rsidP="00FA0B52">
      <w:pPr>
        <w:autoSpaceDE w:val="0"/>
        <w:autoSpaceDN w:val="0"/>
        <w:adjustRightInd w:val="0"/>
        <w:jc w:val="both"/>
        <w:rPr>
          <w:rFonts w:ascii="Abadi" w:eastAsiaTheme="minorHAnsi" w:hAnsi="Abadi" w:cs="Amasis MT Pro Light"/>
          <w:b/>
          <w:bCs/>
          <w:color w:val="000000"/>
          <w:sz w:val="21"/>
          <w:szCs w:val="21"/>
          <w:lang w:val="es-MX" w:eastAsia="en-US"/>
        </w:rPr>
      </w:pPr>
      <w:r w:rsidRPr="00FA0B52">
        <w:rPr>
          <w:rFonts w:ascii="Abadi" w:eastAsiaTheme="minorHAnsi" w:hAnsi="Abadi" w:cs="Amasis MT Pro Light"/>
          <w:b/>
          <w:bCs/>
          <w:color w:val="000000"/>
          <w:sz w:val="21"/>
          <w:szCs w:val="21"/>
          <w:lang w:val="es-MX" w:eastAsia="en-US"/>
        </w:rPr>
        <w:t>LXV Legislatura</w:t>
      </w:r>
    </w:p>
    <w:p w14:paraId="33EAE7CF" w14:textId="77777777" w:rsidR="00FA0B52" w:rsidRPr="00FA0B52" w:rsidRDefault="00FA0B52" w:rsidP="00FA0B52">
      <w:pPr>
        <w:autoSpaceDE w:val="0"/>
        <w:autoSpaceDN w:val="0"/>
        <w:adjustRightInd w:val="0"/>
        <w:jc w:val="both"/>
        <w:rPr>
          <w:rFonts w:ascii="Abadi" w:eastAsiaTheme="minorHAnsi" w:hAnsi="Abadi" w:cs="Amasis MT Pro Light"/>
          <w:color w:val="000000"/>
          <w:sz w:val="21"/>
          <w:szCs w:val="21"/>
          <w:lang w:val="es-MX" w:eastAsia="en-US"/>
        </w:rPr>
      </w:pPr>
      <w:r w:rsidRPr="00FA0B52">
        <w:rPr>
          <w:rFonts w:ascii="Abadi" w:eastAsiaTheme="minorHAnsi" w:hAnsi="Abadi" w:cs="Amasis MT Pro Light"/>
          <w:b/>
          <w:bCs/>
          <w:color w:val="000000"/>
          <w:sz w:val="21"/>
          <w:szCs w:val="21"/>
          <w:lang w:val="es-MX" w:eastAsia="en-US"/>
        </w:rPr>
        <w:t>Presente.</w:t>
      </w:r>
    </w:p>
    <w:p w14:paraId="55CBCD56" w14:textId="77777777" w:rsidR="00FA0B52" w:rsidRPr="00FA0B52" w:rsidRDefault="00FA0B52" w:rsidP="00FA0B52">
      <w:pPr>
        <w:autoSpaceDE w:val="0"/>
        <w:autoSpaceDN w:val="0"/>
        <w:adjustRightInd w:val="0"/>
        <w:jc w:val="both"/>
        <w:rPr>
          <w:rFonts w:ascii="Abadi" w:eastAsiaTheme="minorHAnsi" w:hAnsi="Abadi" w:cs="Amasis MT Pro Light"/>
          <w:color w:val="000000"/>
          <w:sz w:val="21"/>
          <w:szCs w:val="21"/>
          <w:lang w:val="es-MX" w:eastAsia="en-US"/>
        </w:rPr>
      </w:pPr>
    </w:p>
    <w:p w14:paraId="06912D9E" w14:textId="77777777" w:rsidR="00FA0B52" w:rsidRPr="00FA0B52" w:rsidRDefault="00FA0B52" w:rsidP="00FA0B52">
      <w:pPr>
        <w:autoSpaceDE w:val="0"/>
        <w:autoSpaceDN w:val="0"/>
        <w:adjustRightInd w:val="0"/>
        <w:jc w:val="both"/>
        <w:rPr>
          <w:rFonts w:ascii="Abadi" w:eastAsiaTheme="minorHAnsi" w:hAnsi="Abadi" w:cs="Amasis MT Pro Light"/>
          <w:color w:val="000000"/>
          <w:sz w:val="21"/>
          <w:szCs w:val="21"/>
          <w:lang w:val="es-MX" w:eastAsia="en-US"/>
        </w:rPr>
      </w:pPr>
      <w:r w:rsidRPr="00FA0B52">
        <w:rPr>
          <w:rFonts w:ascii="Abadi" w:eastAsiaTheme="minorHAnsi" w:hAnsi="Abadi" w:cs="Amasis MT Pro Light"/>
          <w:color w:val="000000"/>
          <w:sz w:val="21"/>
          <w:szCs w:val="21"/>
          <w:lang w:val="es-MX" w:eastAsia="en-US"/>
        </w:rPr>
        <w:t xml:space="preserve">Diputado </w:t>
      </w:r>
      <w:r w:rsidRPr="00FA0B52">
        <w:rPr>
          <w:rFonts w:ascii="Abadi" w:eastAsiaTheme="minorHAnsi" w:hAnsi="Abadi" w:cs="Amasis MT Pro Light"/>
          <w:b/>
          <w:bCs/>
          <w:color w:val="000000"/>
          <w:sz w:val="21"/>
          <w:szCs w:val="21"/>
          <w:lang w:val="es-MX" w:eastAsia="en-US"/>
        </w:rPr>
        <w:t>Cuauhtémoc Becerra González</w:t>
      </w:r>
      <w:r w:rsidRPr="00FA0B52">
        <w:rPr>
          <w:rFonts w:ascii="Abadi" w:eastAsiaTheme="minorHAnsi" w:hAnsi="Abadi" w:cs="Amasis MT Pro Light"/>
          <w:color w:val="000000"/>
          <w:sz w:val="21"/>
          <w:szCs w:val="21"/>
          <w:lang w:val="es-MX" w:eastAsia="en-US"/>
        </w:rPr>
        <w:t xml:space="preserve">, integrante del Grupo Parlamentario de Morena en la LXV Legislatura del Congreso del Estado de Guanajuato, con fundamento en lo dispuesto por los artículos 57 primer párrafo de la Constitución Política para el Estado de Guanajuato, así como los artículos 177 y 204 fracción III de la Ley Orgánica del Poder Legislativo del Estado de Guanajuato, me permito poner a la consideración de la Asamblea la siguiente propuesta de </w:t>
      </w:r>
      <w:r w:rsidRPr="00FA0B52">
        <w:rPr>
          <w:rFonts w:ascii="Abadi" w:eastAsiaTheme="minorHAnsi" w:hAnsi="Abadi" w:cs="Amasis MT Pro Light"/>
          <w:b/>
          <w:bCs/>
          <w:color w:val="000000"/>
          <w:sz w:val="21"/>
          <w:szCs w:val="21"/>
          <w:lang w:val="es-MX" w:eastAsia="en-US"/>
        </w:rPr>
        <w:t>Punto de Acuerdo de obvia resolución</w:t>
      </w:r>
      <w:r w:rsidRPr="00FA0B52">
        <w:rPr>
          <w:rFonts w:ascii="Abadi" w:eastAsiaTheme="minorHAnsi" w:hAnsi="Abadi" w:cs="Amasis MT Pro Light"/>
          <w:color w:val="000000"/>
          <w:sz w:val="21"/>
          <w:szCs w:val="21"/>
          <w:lang w:val="es-MX" w:eastAsia="en-US"/>
        </w:rPr>
        <w:t>, según las siguientes</w:t>
      </w:r>
    </w:p>
    <w:p w14:paraId="0A8FC3EB" w14:textId="77777777" w:rsidR="00FA0B52" w:rsidRPr="00FA0B52" w:rsidRDefault="00FA0B52" w:rsidP="00FA0B52">
      <w:pPr>
        <w:autoSpaceDE w:val="0"/>
        <w:autoSpaceDN w:val="0"/>
        <w:adjustRightInd w:val="0"/>
        <w:jc w:val="both"/>
        <w:rPr>
          <w:rFonts w:ascii="Abadi" w:eastAsiaTheme="minorHAnsi" w:hAnsi="Abadi" w:cs="Amasis MT Pro Light"/>
          <w:color w:val="000000"/>
          <w:sz w:val="21"/>
          <w:szCs w:val="21"/>
          <w:lang w:val="es-MX" w:eastAsia="en-US"/>
        </w:rPr>
      </w:pPr>
    </w:p>
    <w:p w14:paraId="485BC6B8" w14:textId="77777777" w:rsidR="00FA0B52" w:rsidRPr="00FA0B52" w:rsidRDefault="00FA0B52" w:rsidP="00FA0B52">
      <w:pPr>
        <w:autoSpaceDE w:val="0"/>
        <w:autoSpaceDN w:val="0"/>
        <w:adjustRightInd w:val="0"/>
        <w:jc w:val="center"/>
        <w:rPr>
          <w:rFonts w:ascii="Abadi" w:eastAsiaTheme="minorHAnsi" w:hAnsi="Abadi" w:cs="Amasis MT Pro Light"/>
          <w:b/>
          <w:bCs/>
          <w:color w:val="000000"/>
          <w:sz w:val="21"/>
          <w:szCs w:val="21"/>
          <w:lang w:val="es-MX" w:eastAsia="en-US"/>
        </w:rPr>
      </w:pPr>
      <w:r w:rsidRPr="00FA0B52">
        <w:rPr>
          <w:rFonts w:ascii="Abadi" w:eastAsiaTheme="minorHAnsi" w:hAnsi="Abadi" w:cs="Amasis MT Pro Light"/>
          <w:b/>
          <w:bCs/>
          <w:color w:val="000000"/>
          <w:sz w:val="21"/>
          <w:szCs w:val="21"/>
          <w:lang w:val="es-MX" w:eastAsia="en-US"/>
        </w:rPr>
        <w:t>CONSIDERACIONES</w:t>
      </w:r>
    </w:p>
    <w:p w14:paraId="03E34B1A" w14:textId="77777777" w:rsidR="00FA0B52" w:rsidRPr="00FA0B52" w:rsidRDefault="00FA0B52" w:rsidP="00FA0B52">
      <w:pPr>
        <w:autoSpaceDE w:val="0"/>
        <w:autoSpaceDN w:val="0"/>
        <w:adjustRightInd w:val="0"/>
        <w:jc w:val="both"/>
        <w:rPr>
          <w:rFonts w:ascii="Abadi" w:eastAsiaTheme="minorHAnsi" w:hAnsi="Abadi" w:cs="Amasis MT Pro Light"/>
          <w:color w:val="000000"/>
          <w:sz w:val="21"/>
          <w:szCs w:val="21"/>
          <w:lang w:val="es-MX" w:eastAsia="en-US"/>
        </w:rPr>
      </w:pPr>
    </w:p>
    <w:p w14:paraId="41C4D825" w14:textId="77777777" w:rsidR="00FA0B52" w:rsidRPr="00FA0B52" w:rsidRDefault="00FA0B52" w:rsidP="00FA0B52">
      <w:pPr>
        <w:autoSpaceDE w:val="0"/>
        <w:autoSpaceDN w:val="0"/>
        <w:adjustRightInd w:val="0"/>
        <w:jc w:val="both"/>
        <w:rPr>
          <w:rFonts w:ascii="Abadi" w:eastAsiaTheme="minorHAnsi" w:hAnsi="Abadi" w:cs="Amasis MT Pro Light"/>
          <w:color w:val="000000"/>
          <w:sz w:val="21"/>
          <w:szCs w:val="21"/>
          <w:lang w:val="es-MX" w:eastAsia="en-US"/>
        </w:rPr>
      </w:pPr>
      <w:r w:rsidRPr="00FA0B52">
        <w:rPr>
          <w:rFonts w:ascii="Abadi" w:eastAsiaTheme="minorHAnsi" w:hAnsi="Abadi" w:cs="Amasis MT Pro Light"/>
          <w:color w:val="000000"/>
          <w:sz w:val="21"/>
          <w:szCs w:val="21"/>
          <w:lang w:val="es-MX" w:eastAsia="en-US"/>
        </w:rPr>
        <w:t>Durante la década de los ochenta, el comportamiento altamente inflacionario de los precios de los alimentos se empezó a tratar como una problemática de afectación internacional1. Hoy, con certeza, damos cuenta de ello, pues los conflictos políticos internacionales, así como la reciente pandemia de la Covid-19, son prueba fehaciente de la problemática económica que se puede desencadenar entre los países cuando se interrumpen las líneas de producción y las cadenas de suministros.</w:t>
      </w:r>
    </w:p>
    <w:p w14:paraId="37A4EA05" w14:textId="77777777" w:rsidR="00FA0B52" w:rsidRPr="00FA0B52" w:rsidRDefault="00FA0B52" w:rsidP="00FA0B52">
      <w:pPr>
        <w:autoSpaceDE w:val="0"/>
        <w:autoSpaceDN w:val="0"/>
        <w:adjustRightInd w:val="0"/>
        <w:jc w:val="both"/>
        <w:rPr>
          <w:rFonts w:ascii="Abadi" w:eastAsiaTheme="minorHAnsi" w:hAnsi="Abadi" w:cs="Amasis MT Pro Light"/>
          <w:color w:val="000000"/>
          <w:sz w:val="21"/>
          <w:szCs w:val="21"/>
          <w:lang w:val="es-MX" w:eastAsia="en-US"/>
        </w:rPr>
      </w:pPr>
    </w:p>
    <w:p w14:paraId="4CB28ED8" w14:textId="77777777" w:rsidR="00FA0B52" w:rsidRPr="00FA0B52" w:rsidRDefault="00FA0B52" w:rsidP="00FA0B52">
      <w:pPr>
        <w:autoSpaceDE w:val="0"/>
        <w:autoSpaceDN w:val="0"/>
        <w:adjustRightInd w:val="0"/>
        <w:jc w:val="both"/>
        <w:rPr>
          <w:rFonts w:ascii="Abadi" w:eastAsiaTheme="minorHAnsi" w:hAnsi="Abadi" w:cs="Amasis MT Pro Light"/>
          <w:color w:val="000000"/>
          <w:sz w:val="21"/>
          <w:szCs w:val="21"/>
          <w:lang w:val="es-MX" w:eastAsia="en-US"/>
        </w:rPr>
      </w:pPr>
      <w:r w:rsidRPr="00FA0B52">
        <w:rPr>
          <w:rFonts w:ascii="Abadi" w:eastAsiaTheme="minorHAnsi" w:hAnsi="Abadi" w:cs="Amasis MT Pro Light"/>
          <w:color w:val="000000"/>
          <w:sz w:val="21"/>
          <w:szCs w:val="21"/>
          <w:lang w:val="es-MX" w:eastAsia="en-US"/>
        </w:rPr>
        <w:t>Las familias en el mundo enfrentan las mayores tasas de inflación reportadas en los últimos 40 años. México, por su parte, tiene cifras menores frente a otras naciones como Estados Unidos y Canadá, pero también contra Argentina y Turquía, en donde los precios suben hasta 79 por ciento2.</w:t>
      </w:r>
    </w:p>
    <w:p w14:paraId="791EC3D1" w14:textId="77777777" w:rsidR="00FA0B52" w:rsidRPr="00FA0B52" w:rsidRDefault="00FA0B52" w:rsidP="00FA0B52">
      <w:pPr>
        <w:autoSpaceDE w:val="0"/>
        <w:autoSpaceDN w:val="0"/>
        <w:adjustRightInd w:val="0"/>
        <w:jc w:val="both"/>
        <w:rPr>
          <w:rFonts w:ascii="Abadi" w:eastAsiaTheme="minorHAnsi" w:hAnsi="Abadi" w:cs="Amasis MT Pro Light"/>
          <w:color w:val="000000"/>
          <w:sz w:val="21"/>
          <w:szCs w:val="21"/>
          <w:lang w:val="es-MX" w:eastAsia="en-US"/>
        </w:rPr>
      </w:pPr>
    </w:p>
    <w:p w14:paraId="2C4B107A" w14:textId="77777777" w:rsidR="00FA0B52" w:rsidRPr="00FA0B52" w:rsidRDefault="00FA0B52" w:rsidP="00FA0B52">
      <w:pPr>
        <w:autoSpaceDE w:val="0"/>
        <w:autoSpaceDN w:val="0"/>
        <w:adjustRightInd w:val="0"/>
        <w:jc w:val="both"/>
        <w:rPr>
          <w:rFonts w:ascii="Abadi" w:eastAsiaTheme="minorHAnsi" w:hAnsi="Abadi" w:cs="Amasis MT Pro Light"/>
          <w:color w:val="000000"/>
          <w:sz w:val="21"/>
          <w:szCs w:val="21"/>
          <w:lang w:val="es-MX" w:eastAsia="en-US"/>
        </w:rPr>
      </w:pPr>
      <w:r w:rsidRPr="00FA0B52">
        <w:rPr>
          <w:rFonts w:ascii="Abadi" w:eastAsiaTheme="minorHAnsi" w:hAnsi="Abadi" w:cs="Amasis MT Pro Light"/>
          <w:color w:val="000000"/>
          <w:sz w:val="21"/>
          <w:szCs w:val="21"/>
          <w:lang w:val="es-MX" w:eastAsia="en-US"/>
        </w:rPr>
        <w:t>Las acciones para contener la inflación por parte del Gobierno Federal han sido efectivas y puntuales, pues sin ellas, la inflación estaría por niveles superiores de acuerdo con estimaciones realizadas por diversos organismos especializados en la materia.</w:t>
      </w:r>
    </w:p>
    <w:p w14:paraId="56C3F35B" w14:textId="77777777" w:rsidR="00FA0B52" w:rsidRPr="00FA0B52" w:rsidRDefault="00FA0B52" w:rsidP="00FA0B52">
      <w:pPr>
        <w:autoSpaceDE w:val="0"/>
        <w:autoSpaceDN w:val="0"/>
        <w:adjustRightInd w:val="0"/>
        <w:jc w:val="both"/>
        <w:rPr>
          <w:rFonts w:ascii="Abadi" w:eastAsiaTheme="minorHAnsi" w:hAnsi="Abadi" w:cs="Amasis MT Pro Light"/>
          <w:color w:val="000000"/>
          <w:sz w:val="21"/>
          <w:szCs w:val="21"/>
          <w:lang w:val="es-MX" w:eastAsia="en-US"/>
        </w:rPr>
      </w:pPr>
    </w:p>
    <w:p w14:paraId="365BDE80" w14:textId="77777777" w:rsidR="00FA0B52" w:rsidRPr="00FA0B52" w:rsidRDefault="00FA0B52" w:rsidP="00FA0B52">
      <w:pPr>
        <w:autoSpaceDE w:val="0"/>
        <w:autoSpaceDN w:val="0"/>
        <w:adjustRightInd w:val="0"/>
        <w:jc w:val="both"/>
        <w:rPr>
          <w:rFonts w:ascii="Abadi" w:eastAsiaTheme="minorHAnsi" w:hAnsi="Abadi" w:cs="Amasis MT Pro Light"/>
          <w:color w:val="000000"/>
          <w:sz w:val="21"/>
          <w:szCs w:val="21"/>
          <w:lang w:val="es-MX" w:eastAsia="en-US"/>
        </w:rPr>
      </w:pPr>
      <w:r w:rsidRPr="00FA0B52">
        <w:rPr>
          <w:rFonts w:ascii="Abadi" w:eastAsiaTheme="minorHAnsi" w:hAnsi="Abadi" w:cs="Amasis MT Pro Light"/>
          <w:color w:val="000000"/>
          <w:sz w:val="21"/>
          <w:szCs w:val="21"/>
          <w:lang w:val="es-MX" w:eastAsia="en-US"/>
        </w:rPr>
        <w:t>Entre las diversas acciones llevadas a cabo por el Gobierno de México, podemos mencionar: 1) Los subsidios a las gasolinas y; 2) El Paquete Contra la Inflación y la Carestía (PACIC)3. El primero ha servido para mantener bajos los precios de gasolinas y diésel con lo cual ha sido posible controlar la inflación que impacta en alimentos y otros bienes. Mientras que el segundo consiste en un acuerdo entre el Gobierno de México, productores, distribuidores y comerciantes, a través del cual se busca garantizar precios justos en los productos de la canasta básica. Cabe destacar que este plan es un acuerdo de reducción de costos y no de control de precios. Para lograr esa meta, se trazaron cuatro líneas de acción:</w:t>
      </w:r>
    </w:p>
    <w:p w14:paraId="7D739250" w14:textId="77777777" w:rsidR="00FA0B52" w:rsidRPr="00FA0B52" w:rsidRDefault="00FA0B52" w:rsidP="00FA0B52">
      <w:pPr>
        <w:autoSpaceDE w:val="0"/>
        <w:autoSpaceDN w:val="0"/>
        <w:adjustRightInd w:val="0"/>
        <w:jc w:val="both"/>
        <w:rPr>
          <w:rFonts w:ascii="Abadi" w:eastAsiaTheme="minorHAnsi" w:hAnsi="Abadi" w:cs="Amasis MT Pro Light"/>
          <w:color w:val="000000"/>
          <w:sz w:val="21"/>
          <w:szCs w:val="21"/>
          <w:lang w:val="es-MX" w:eastAsia="en-US"/>
        </w:rPr>
      </w:pPr>
    </w:p>
    <w:p w14:paraId="55C101A5" w14:textId="77777777" w:rsidR="00FA0B52" w:rsidRPr="00FA0B52" w:rsidRDefault="00FA0B52" w:rsidP="00FA0B52">
      <w:pPr>
        <w:autoSpaceDE w:val="0"/>
        <w:autoSpaceDN w:val="0"/>
        <w:adjustRightInd w:val="0"/>
        <w:jc w:val="both"/>
        <w:rPr>
          <w:rFonts w:ascii="Abadi" w:eastAsiaTheme="minorHAnsi" w:hAnsi="Abadi" w:cs="Amasis MT Pro Light"/>
          <w:color w:val="000000"/>
          <w:sz w:val="21"/>
          <w:szCs w:val="21"/>
          <w:lang w:val="es-MX" w:eastAsia="en-US"/>
        </w:rPr>
      </w:pPr>
      <w:r w:rsidRPr="00FA0B52">
        <w:rPr>
          <w:rFonts w:ascii="Abadi" w:eastAsiaTheme="minorHAnsi" w:hAnsi="Abadi" w:cs="Amasis MT Pro Light"/>
          <w:color w:val="000000"/>
          <w:sz w:val="21"/>
          <w:szCs w:val="21"/>
          <w:lang w:val="es-MX" w:eastAsia="en-US"/>
        </w:rPr>
        <w:t>1. Estrategia de Producción (Incremento de la oferta de alimentos);</w:t>
      </w:r>
    </w:p>
    <w:p w14:paraId="6868F712" w14:textId="77777777" w:rsidR="00FA0B52" w:rsidRPr="00FA0B52" w:rsidRDefault="00FA0B52" w:rsidP="00FA0B52">
      <w:pPr>
        <w:autoSpaceDE w:val="0"/>
        <w:autoSpaceDN w:val="0"/>
        <w:adjustRightInd w:val="0"/>
        <w:jc w:val="both"/>
        <w:rPr>
          <w:rFonts w:ascii="Abadi" w:eastAsiaTheme="minorHAnsi" w:hAnsi="Abadi" w:cs="Amasis MT Pro Light"/>
          <w:color w:val="000000"/>
          <w:sz w:val="21"/>
          <w:szCs w:val="21"/>
          <w:lang w:val="es-MX" w:eastAsia="en-US"/>
        </w:rPr>
      </w:pPr>
      <w:r w:rsidRPr="00FA0B52">
        <w:rPr>
          <w:rFonts w:ascii="Abadi" w:eastAsiaTheme="minorHAnsi" w:hAnsi="Abadi" w:cs="Amasis MT Pro Light"/>
          <w:color w:val="000000"/>
          <w:sz w:val="21"/>
          <w:szCs w:val="21"/>
          <w:lang w:val="es-MX" w:eastAsia="en-US"/>
        </w:rPr>
        <w:t>2. Estrategia de Distribución (Medidas de Distribución);</w:t>
      </w:r>
    </w:p>
    <w:p w14:paraId="1DDB6F78" w14:textId="77777777" w:rsidR="00FA0B52" w:rsidRPr="00FA0B52" w:rsidRDefault="00FA0B52" w:rsidP="00FA0B52">
      <w:pPr>
        <w:autoSpaceDE w:val="0"/>
        <w:autoSpaceDN w:val="0"/>
        <w:adjustRightInd w:val="0"/>
        <w:jc w:val="both"/>
        <w:rPr>
          <w:rFonts w:ascii="Abadi" w:eastAsiaTheme="minorHAnsi" w:hAnsi="Abadi" w:cs="Amasis MT Pro Light"/>
          <w:color w:val="000000"/>
          <w:sz w:val="21"/>
          <w:szCs w:val="21"/>
          <w:lang w:val="es-MX" w:eastAsia="en-US"/>
        </w:rPr>
      </w:pPr>
      <w:r w:rsidRPr="00FA0B52">
        <w:rPr>
          <w:rFonts w:ascii="Abadi" w:eastAsiaTheme="minorHAnsi" w:hAnsi="Abadi" w:cs="Amasis MT Pro Light"/>
          <w:color w:val="000000"/>
          <w:sz w:val="21"/>
          <w:szCs w:val="21"/>
          <w:lang w:val="es-MX" w:eastAsia="en-US"/>
        </w:rPr>
        <w:t>3. Estrategia de comercio exterior (Medidas de Comercio Exterior); y</w:t>
      </w:r>
    </w:p>
    <w:p w14:paraId="065000BA" w14:textId="77777777" w:rsidR="00FA0B52" w:rsidRPr="00FA0B52" w:rsidRDefault="00FA0B52" w:rsidP="00FA0B52">
      <w:pPr>
        <w:autoSpaceDE w:val="0"/>
        <w:autoSpaceDN w:val="0"/>
        <w:adjustRightInd w:val="0"/>
        <w:jc w:val="both"/>
        <w:rPr>
          <w:rFonts w:ascii="Abadi" w:eastAsiaTheme="minorHAnsi" w:hAnsi="Abadi" w:cs="Amasis MT Pro Light"/>
          <w:color w:val="000000"/>
          <w:sz w:val="21"/>
          <w:szCs w:val="21"/>
          <w:lang w:val="es-MX" w:eastAsia="en-US"/>
        </w:rPr>
      </w:pPr>
      <w:r w:rsidRPr="00FA0B52">
        <w:rPr>
          <w:rFonts w:ascii="Abadi" w:eastAsiaTheme="minorHAnsi" w:hAnsi="Abadi" w:cs="Amasis MT Pro Light"/>
          <w:color w:val="000000"/>
          <w:sz w:val="21"/>
          <w:szCs w:val="21"/>
          <w:lang w:val="es-MX" w:eastAsia="en-US"/>
        </w:rPr>
        <w:t>4. Otras medidas</w:t>
      </w:r>
    </w:p>
    <w:p w14:paraId="4638808A" w14:textId="77777777" w:rsidR="00FA0B52" w:rsidRPr="00FA0B52" w:rsidRDefault="00FA0B52" w:rsidP="00FA0B52">
      <w:pPr>
        <w:autoSpaceDE w:val="0"/>
        <w:autoSpaceDN w:val="0"/>
        <w:adjustRightInd w:val="0"/>
        <w:jc w:val="both"/>
        <w:rPr>
          <w:rFonts w:ascii="Abadi" w:eastAsiaTheme="minorHAnsi" w:hAnsi="Abadi" w:cs="Amasis MT Pro Light"/>
          <w:color w:val="000000"/>
          <w:sz w:val="21"/>
          <w:szCs w:val="21"/>
          <w:lang w:val="es-MX" w:eastAsia="en-US"/>
        </w:rPr>
      </w:pPr>
    </w:p>
    <w:p w14:paraId="00A804FB" w14:textId="77777777" w:rsidR="00FA0B52" w:rsidRPr="00FA0B52" w:rsidRDefault="00FA0B52" w:rsidP="00FA0B52">
      <w:pPr>
        <w:autoSpaceDE w:val="0"/>
        <w:autoSpaceDN w:val="0"/>
        <w:adjustRightInd w:val="0"/>
        <w:jc w:val="both"/>
        <w:rPr>
          <w:rFonts w:ascii="Abadi" w:eastAsiaTheme="minorHAnsi" w:hAnsi="Abadi" w:cs="Amasis MT Pro Light"/>
          <w:color w:val="000000"/>
          <w:sz w:val="21"/>
          <w:szCs w:val="21"/>
          <w:lang w:val="es-MX" w:eastAsia="en-US"/>
        </w:rPr>
      </w:pPr>
      <w:r w:rsidRPr="00FA0B52">
        <w:rPr>
          <w:rFonts w:ascii="Abadi" w:eastAsiaTheme="minorHAnsi" w:hAnsi="Abadi" w:cs="Amasis MT Pro Light"/>
          <w:color w:val="000000"/>
          <w:sz w:val="21"/>
          <w:szCs w:val="21"/>
          <w:lang w:val="es-MX" w:eastAsia="en-US"/>
        </w:rPr>
        <w:t>El objetivo inmediato del acuerdo es reducir en ocho por ciento el precio de 24 productos de la canasta básica.</w:t>
      </w:r>
    </w:p>
    <w:p w14:paraId="48D3B24D" w14:textId="77777777" w:rsidR="00FA0B52" w:rsidRPr="00FA0B52" w:rsidRDefault="00FA0B52" w:rsidP="00FA0B52">
      <w:pPr>
        <w:autoSpaceDE w:val="0"/>
        <w:autoSpaceDN w:val="0"/>
        <w:adjustRightInd w:val="0"/>
        <w:jc w:val="both"/>
        <w:rPr>
          <w:rFonts w:ascii="Abadi" w:eastAsiaTheme="minorHAnsi" w:hAnsi="Abadi" w:cs="Amasis MT Pro Light"/>
          <w:color w:val="000000"/>
          <w:sz w:val="21"/>
          <w:szCs w:val="21"/>
          <w:lang w:val="es-MX" w:eastAsia="en-US"/>
        </w:rPr>
      </w:pPr>
    </w:p>
    <w:p w14:paraId="7C6C18C0" w14:textId="77777777" w:rsidR="00FA0B52" w:rsidRPr="00FA0B52" w:rsidRDefault="00FA0B52" w:rsidP="00FA0B52">
      <w:pPr>
        <w:autoSpaceDE w:val="0"/>
        <w:autoSpaceDN w:val="0"/>
        <w:adjustRightInd w:val="0"/>
        <w:jc w:val="both"/>
        <w:rPr>
          <w:rFonts w:ascii="Abadi" w:eastAsiaTheme="minorHAnsi" w:hAnsi="Abadi" w:cs="Amasis MT Pro Light"/>
          <w:color w:val="000000"/>
          <w:sz w:val="21"/>
          <w:szCs w:val="21"/>
          <w:lang w:val="es-MX" w:eastAsia="en-US"/>
        </w:rPr>
      </w:pPr>
      <w:r w:rsidRPr="00FA0B52">
        <w:rPr>
          <w:rFonts w:ascii="Abadi" w:eastAsiaTheme="minorHAnsi" w:hAnsi="Abadi" w:cs="Amasis MT Pro Light"/>
          <w:color w:val="000000"/>
          <w:sz w:val="21"/>
          <w:szCs w:val="21"/>
          <w:lang w:val="es-MX" w:eastAsia="en-US"/>
        </w:rPr>
        <w:t>La implementación de este tipo de acciones es algo urgente y necesario, pues el problema de la inflación de alimentos se manifiesta de diversas maneras: desnutrición, pobreza alimentaria, abandono a los productores agrícolas, cambios en las tasas salariales del sector primario, agotamiento de recursos naturales, entre otras.</w:t>
      </w:r>
    </w:p>
    <w:p w14:paraId="59FE6ED1" w14:textId="77777777" w:rsidR="00FA0B52" w:rsidRPr="00FA0B52" w:rsidRDefault="00FA0B52" w:rsidP="00FA0B52">
      <w:pPr>
        <w:autoSpaceDE w:val="0"/>
        <w:autoSpaceDN w:val="0"/>
        <w:adjustRightInd w:val="0"/>
        <w:jc w:val="both"/>
        <w:rPr>
          <w:rFonts w:ascii="Abadi" w:eastAsiaTheme="minorHAnsi" w:hAnsi="Abadi" w:cs="Amasis MT Pro Light"/>
          <w:color w:val="000000"/>
          <w:sz w:val="21"/>
          <w:szCs w:val="21"/>
          <w:lang w:val="es-MX" w:eastAsia="en-US"/>
        </w:rPr>
      </w:pPr>
    </w:p>
    <w:p w14:paraId="10EE2584" w14:textId="77777777" w:rsidR="00FA0B52" w:rsidRPr="00FA0B52" w:rsidRDefault="00FA0B52" w:rsidP="00FA0B52">
      <w:pPr>
        <w:autoSpaceDE w:val="0"/>
        <w:autoSpaceDN w:val="0"/>
        <w:adjustRightInd w:val="0"/>
        <w:jc w:val="both"/>
        <w:rPr>
          <w:rFonts w:ascii="Abadi" w:eastAsiaTheme="minorHAnsi" w:hAnsi="Abadi" w:cs="Amasis MT Pro Light"/>
          <w:color w:val="000000"/>
          <w:sz w:val="21"/>
          <w:szCs w:val="21"/>
          <w:lang w:val="es-MX" w:eastAsia="en-US"/>
        </w:rPr>
      </w:pPr>
      <w:r w:rsidRPr="00FA0B52">
        <w:rPr>
          <w:rFonts w:ascii="Abadi" w:eastAsiaTheme="minorHAnsi" w:hAnsi="Abadi" w:cs="Amasis MT Pro Light"/>
          <w:color w:val="000000"/>
          <w:sz w:val="21"/>
          <w:szCs w:val="21"/>
          <w:lang w:val="es-MX" w:eastAsia="en-US"/>
        </w:rPr>
        <w:t>Diversos estudios sobre los efectos inflacionarios en la población mexicana han encontrado que un incremento del 15 % en los precios de los alimentos básicos implica un aumento aproximado del 2 % en la población en pobreza alimentaria, mientras que el aumento de 50 % en los grupos de carnes o cereales incrementa de 3.6 a 6 % la pobreza4. Allí la importancia en atender la problemática de manera puntual y desde diversos ámbitos, incluyendo, por supuesto, el local.</w:t>
      </w:r>
    </w:p>
    <w:p w14:paraId="1B21E769" w14:textId="77777777" w:rsidR="00FA0B52" w:rsidRPr="00FA0B52" w:rsidRDefault="00FA0B52" w:rsidP="00FA0B52">
      <w:pPr>
        <w:autoSpaceDE w:val="0"/>
        <w:autoSpaceDN w:val="0"/>
        <w:adjustRightInd w:val="0"/>
        <w:jc w:val="both"/>
        <w:rPr>
          <w:rFonts w:ascii="Abadi" w:eastAsiaTheme="minorHAnsi" w:hAnsi="Abadi" w:cs="Amasis MT Pro Light"/>
          <w:color w:val="000000"/>
          <w:sz w:val="21"/>
          <w:szCs w:val="21"/>
          <w:lang w:val="es-MX" w:eastAsia="en-US"/>
        </w:rPr>
      </w:pPr>
    </w:p>
    <w:p w14:paraId="7EB7724B" w14:textId="77777777" w:rsidR="00FA0B52" w:rsidRPr="00FA0B52" w:rsidRDefault="00FA0B52" w:rsidP="00FA0B52">
      <w:pPr>
        <w:autoSpaceDE w:val="0"/>
        <w:autoSpaceDN w:val="0"/>
        <w:adjustRightInd w:val="0"/>
        <w:jc w:val="both"/>
        <w:rPr>
          <w:rFonts w:ascii="Abadi" w:eastAsiaTheme="minorHAnsi" w:hAnsi="Abadi" w:cs="Amasis MT Pro Light"/>
          <w:color w:val="000000"/>
          <w:sz w:val="21"/>
          <w:szCs w:val="21"/>
          <w:lang w:val="es-MX" w:eastAsia="en-US"/>
        </w:rPr>
      </w:pPr>
      <w:r w:rsidRPr="00FA0B52">
        <w:rPr>
          <w:rFonts w:ascii="Abadi" w:eastAsiaTheme="minorHAnsi" w:hAnsi="Abadi" w:cs="Amasis MT Pro Light"/>
          <w:color w:val="000000"/>
          <w:sz w:val="21"/>
          <w:szCs w:val="21"/>
          <w:lang w:val="es-MX" w:eastAsia="en-US"/>
        </w:rPr>
        <w:t>En Guanajuato, se registró una de las tasas inflacionarias más altas en los últimos 21 años, con una variación por arriba del promedio nacional5. Esto ha provocado un incremento anual del 14 por ciento en los alimentos, particularmente aquellos centrales en la dieta de los mexicanos como las harinas de trigo y la tortilla de maíz. Estas alzas en los precios de los productos tienen fuertes impactos negativos en el bienestar de los hogares, particularmente en aquellos que se encuentran en el umbral de la pobreza.</w:t>
      </w:r>
    </w:p>
    <w:p w14:paraId="5EA8AE91" w14:textId="77777777" w:rsidR="00FA0B52" w:rsidRPr="00FA0B52" w:rsidRDefault="00FA0B52" w:rsidP="00FA0B52">
      <w:pPr>
        <w:autoSpaceDE w:val="0"/>
        <w:autoSpaceDN w:val="0"/>
        <w:adjustRightInd w:val="0"/>
        <w:jc w:val="both"/>
        <w:rPr>
          <w:rFonts w:ascii="Abadi" w:eastAsiaTheme="minorHAnsi" w:hAnsi="Abadi" w:cs="Amasis MT Pro Light"/>
          <w:color w:val="000000"/>
          <w:sz w:val="21"/>
          <w:szCs w:val="21"/>
          <w:lang w:val="es-MX" w:eastAsia="en-US"/>
        </w:rPr>
      </w:pPr>
    </w:p>
    <w:p w14:paraId="083DCC51" w14:textId="77777777" w:rsidR="00FA0B52" w:rsidRPr="00FA0B52" w:rsidRDefault="00FA0B52" w:rsidP="00FA0B52">
      <w:pPr>
        <w:autoSpaceDE w:val="0"/>
        <w:autoSpaceDN w:val="0"/>
        <w:adjustRightInd w:val="0"/>
        <w:jc w:val="both"/>
        <w:rPr>
          <w:rFonts w:ascii="Abadi" w:eastAsiaTheme="minorHAnsi" w:hAnsi="Abadi" w:cs="Amasis MT Pro Light"/>
          <w:color w:val="000000"/>
          <w:sz w:val="21"/>
          <w:szCs w:val="21"/>
          <w:lang w:val="es-MX" w:eastAsia="en-US"/>
        </w:rPr>
      </w:pPr>
      <w:r w:rsidRPr="00FA0B52">
        <w:rPr>
          <w:rFonts w:ascii="Abadi" w:eastAsiaTheme="minorHAnsi" w:hAnsi="Abadi" w:cs="Amasis MT Pro Light"/>
          <w:color w:val="000000"/>
          <w:sz w:val="21"/>
          <w:szCs w:val="21"/>
          <w:lang w:val="es-MX" w:eastAsia="en-US"/>
        </w:rPr>
        <w:t>Por estas razones, proponemos el siguiente:</w:t>
      </w:r>
    </w:p>
    <w:p w14:paraId="45D3F885" w14:textId="77777777" w:rsidR="00FA0B52" w:rsidRPr="00FA0B52" w:rsidRDefault="00FA0B52" w:rsidP="00FA0B52">
      <w:pPr>
        <w:autoSpaceDE w:val="0"/>
        <w:autoSpaceDN w:val="0"/>
        <w:adjustRightInd w:val="0"/>
        <w:jc w:val="both"/>
        <w:rPr>
          <w:rFonts w:ascii="Abadi" w:eastAsiaTheme="minorHAnsi" w:hAnsi="Abadi" w:cs="Amasis MT Pro Light"/>
          <w:color w:val="000000"/>
          <w:sz w:val="21"/>
          <w:szCs w:val="21"/>
          <w:lang w:val="es-MX" w:eastAsia="en-US"/>
        </w:rPr>
      </w:pPr>
    </w:p>
    <w:p w14:paraId="6FF1EFE3" w14:textId="77777777" w:rsidR="00FA0B52" w:rsidRPr="00FA0B52" w:rsidRDefault="00FA0B52" w:rsidP="00FA0B52">
      <w:pPr>
        <w:autoSpaceDE w:val="0"/>
        <w:autoSpaceDN w:val="0"/>
        <w:adjustRightInd w:val="0"/>
        <w:jc w:val="center"/>
        <w:rPr>
          <w:rFonts w:ascii="Abadi" w:eastAsiaTheme="minorHAnsi" w:hAnsi="Abadi" w:cs="Amasis MT Pro Light"/>
          <w:b/>
          <w:bCs/>
          <w:color w:val="000000"/>
          <w:sz w:val="21"/>
          <w:szCs w:val="21"/>
          <w:lang w:val="es-MX" w:eastAsia="en-US"/>
        </w:rPr>
      </w:pPr>
      <w:r w:rsidRPr="00FA0B52">
        <w:rPr>
          <w:rFonts w:ascii="Abadi" w:eastAsiaTheme="minorHAnsi" w:hAnsi="Abadi" w:cs="Amasis MT Pro Light"/>
          <w:b/>
          <w:bCs/>
          <w:color w:val="000000"/>
          <w:sz w:val="21"/>
          <w:szCs w:val="21"/>
          <w:lang w:val="es-MX" w:eastAsia="en-US"/>
        </w:rPr>
        <w:t>ACUERDO</w:t>
      </w:r>
    </w:p>
    <w:p w14:paraId="2F8CD50C" w14:textId="77777777" w:rsidR="00FA0B52" w:rsidRPr="00FA0B52" w:rsidRDefault="00FA0B52" w:rsidP="00FA0B52">
      <w:pPr>
        <w:autoSpaceDE w:val="0"/>
        <w:autoSpaceDN w:val="0"/>
        <w:adjustRightInd w:val="0"/>
        <w:jc w:val="both"/>
        <w:rPr>
          <w:rFonts w:ascii="Abadi" w:eastAsiaTheme="minorHAnsi" w:hAnsi="Abadi" w:cs="Amasis MT Pro Light"/>
          <w:color w:val="000000"/>
          <w:sz w:val="21"/>
          <w:szCs w:val="21"/>
          <w:lang w:val="es-MX" w:eastAsia="en-US"/>
        </w:rPr>
      </w:pPr>
    </w:p>
    <w:p w14:paraId="48D5F152" w14:textId="77777777" w:rsidR="00FA0B52" w:rsidRPr="00FA0B52" w:rsidRDefault="00FA0B52" w:rsidP="00FA0B52">
      <w:pPr>
        <w:autoSpaceDE w:val="0"/>
        <w:autoSpaceDN w:val="0"/>
        <w:adjustRightInd w:val="0"/>
        <w:jc w:val="both"/>
        <w:rPr>
          <w:rFonts w:ascii="Abadi" w:eastAsiaTheme="minorHAnsi" w:hAnsi="Abadi" w:cs="Amasis MT Pro Light"/>
          <w:color w:val="000000"/>
          <w:sz w:val="21"/>
          <w:szCs w:val="21"/>
          <w:lang w:val="es-MX" w:eastAsia="en-US"/>
        </w:rPr>
      </w:pPr>
      <w:r w:rsidRPr="00FA0B52">
        <w:rPr>
          <w:rFonts w:ascii="Abadi" w:eastAsiaTheme="minorHAnsi" w:hAnsi="Abadi" w:cs="Amasis MT Pro Light"/>
          <w:b/>
          <w:bCs/>
          <w:color w:val="000000"/>
          <w:sz w:val="21"/>
          <w:szCs w:val="21"/>
          <w:lang w:val="es-MX" w:eastAsia="en-US"/>
        </w:rPr>
        <w:t>ÚNICO</w:t>
      </w:r>
      <w:r w:rsidRPr="00FA0B52">
        <w:rPr>
          <w:rFonts w:ascii="Abadi" w:eastAsiaTheme="minorHAnsi" w:hAnsi="Abadi" w:cs="Amasis MT Pro Light"/>
          <w:color w:val="000000"/>
          <w:sz w:val="21"/>
          <w:szCs w:val="21"/>
          <w:lang w:val="es-MX" w:eastAsia="en-US"/>
        </w:rPr>
        <w:t>. Esta LXV Legislatura del Estado de Guanajuato acuerda girar atento exhorto al Gobernador del Estado, Diego Sinhue Rodríguez Vallejo, para que, en el ámbito de sus atribuciones, complemente las acciones implementadas desde el Gobierno Federal con la finalidad de reducir los costos de los productos que integran la canasta básica y, de esta manera, garantizar la seguridad alimentaria de la población guanajuatense.</w:t>
      </w:r>
    </w:p>
    <w:p w14:paraId="5297A6F6" w14:textId="77777777" w:rsidR="00FA0B52" w:rsidRPr="00FA0B52" w:rsidRDefault="00FA0B52" w:rsidP="00FA0B52">
      <w:pPr>
        <w:autoSpaceDE w:val="0"/>
        <w:autoSpaceDN w:val="0"/>
        <w:adjustRightInd w:val="0"/>
        <w:jc w:val="both"/>
        <w:rPr>
          <w:rFonts w:ascii="Abadi" w:eastAsiaTheme="minorHAnsi" w:hAnsi="Abadi" w:cs="Amasis MT Pro Light"/>
          <w:color w:val="000000"/>
          <w:sz w:val="21"/>
          <w:szCs w:val="21"/>
          <w:lang w:val="es-MX" w:eastAsia="en-US"/>
        </w:rPr>
      </w:pPr>
    </w:p>
    <w:p w14:paraId="1EED12D8" w14:textId="77777777" w:rsidR="00FA0B52" w:rsidRPr="00FA0B52" w:rsidRDefault="00FA0B52" w:rsidP="00FA0B52">
      <w:pPr>
        <w:autoSpaceDE w:val="0"/>
        <w:autoSpaceDN w:val="0"/>
        <w:adjustRightInd w:val="0"/>
        <w:jc w:val="center"/>
        <w:rPr>
          <w:rFonts w:ascii="Abadi" w:eastAsiaTheme="minorHAnsi" w:hAnsi="Abadi" w:cs="Amasis MT Pro Light"/>
          <w:b/>
          <w:bCs/>
          <w:color w:val="000000"/>
          <w:sz w:val="21"/>
          <w:szCs w:val="21"/>
          <w:lang w:val="es-MX" w:eastAsia="en-US"/>
        </w:rPr>
      </w:pPr>
      <w:r w:rsidRPr="00FA0B52">
        <w:rPr>
          <w:rFonts w:ascii="Abadi" w:eastAsiaTheme="minorHAnsi" w:hAnsi="Abadi" w:cs="Amasis MT Pro Light"/>
          <w:b/>
          <w:bCs/>
          <w:color w:val="000000"/>
          <w:sz w:val="21"/>
          <w:szCs w:val="21"/>
          <w:lang w:val="es-MX" w:eastAsia="en-US"/>
        </w:rPr>
        <w:t>PROTESTO LO NECESARIO</w:t>
      </w:r>
    </w:p>
    <w:p w14:paraId="07F8BC64" w14:textId="77777777" w:rsidR="00FA0B52" w:rsidRPr="00FA0B52" w:rsidRDefault="00FA0B52" w:rsidP="00FA0B52">
      <w:pPr>
        <w:autoSpaceDE w:val="0"/>
        <w:autoSpaceDN w:val="0"/>
        <w:adjustRightInd w:val="0"/>
        <w:jc w:val="center"/>
        <w:rPr>
          <w:rFonts w:ascii="Abadi" w:eastAsiaTheme="minorHAnsi" w:hAnsi="Abadi" w:cs="Amasis MT Pro Light"/>
          <w:color w:val="000000"/>
          <w:sz w:val="21"/>
          <w:szCs w:val="21"/>
          <w:lang w:val="es-MX" w:eastAsia="en-US"/>
        </w:rPr>
      </w:pPr>
    </w:p>
    <w:p w14:paraId="6C600C96" w14:textId="77777777" w:rsidR="00FA0B52" w:rsidRPr="00FA0B52" w:rsidRDefault="00FA0B52" w:rsidP="00FA0B52">
      <w:pPr>
        <w:autoSpaceDE w:val="0"/>
        <w:autoSpaceDN w:val="0"/>
        <w:adjustRightInd w:val="0"/>
        <w:jc w:val="center"/>
        <w:rPr>
          <w:rFonts w:ascii="Abadi" w:eastAsiaTheme="minorHAnsi" w:hAnsi="Abadi" w:cs="Amasis MT Pro Light"/>
          <w:color w:val="000000"/>
          <w:sz w:val="21"/>
          <w:szCs w:val="21"/>
          <w:lang w:val="es-MX" w:eastAsia="en-US"/>
        </w:rPr>
      </w:pPr>
      <w:r w:rsidRPr="00FA0B52">
        <w:rPr>
          <w:rFonts w:ascii="Abadi" w:eastAsiaTheme="minorHAnsi" w:hAnsi="Abadi" w:cs="Amasis MT Pro Light"/>
          <w:color w:val="000000"/>
          <w:sz w:val="21"/>
          <w:szCs w:val="21"/>
          <w:lang w:val="es-MX" w:eastAsia="en-US"/>
        </w:rPr>
        <w:t>Guanajuato, GTO., a 11 de octubre del 2022</w:t>
      </w:r>
    </w:p>
    <w:p w14:paraId="3BCFC28A" w14:textId="77777777" w:rsidR="00FA0B52" w:rsidRPr="00FA0B52" w:rsidRDefault="00FA0B52" w:rsidP="00FA0B52">
      <w:pPr>
        <w:autoSpaceDE w:val="0"/>
        <w:autoSpaceDN w:val="0"/>
        <w:adjustRightInd w:val="0"/>
        <w:jc w:val="center"/>
        <w:rPr>
          <w:rFonts w:ascii="Abadi" w:eastAsiaTheme="minorHAnsi" w:hAnsi="Abadi" w:cs="Amasis MT Pro Light"/>
          <w:b/>
          <w:bCs/>
          <w:color w:val="000000"/>
          <w:sz w:val="21"/>
          <w:szCs w:val="21"/>
          <w:lang w:val="es-MX" w:eastAsia="en-US"/>
        </w:rPr>
      </w:pPr>
    </w:p>
    <w:p w14:paraId="2C66FF47" w14:textId="77777777" w:rsidR="00FA0B52" w:rsidRPr="00FA0B52" w:rsidRDefault="00FA0B52" w:rsidP="00FA0B52">
      <w:pPr>
        <w:autoSpaceDE w:val="0"/>
        <w:autoSpaceDN w:val="0"/>
        <w:adjustRightInd w:val="0"/>
        <w:jc w:val="center"/>
        <w:rPr>
          <w:rFonts w:ascii="Abadi" w:eastAsiaTheme="minorHAnsi" w:hAnsi="Abadi" w:cs="Amasis MT Pro Light"/>
          <w:b/>
          <w:bCs/>
          <w:color w:val="000000"/>
          <w:sz w:val="21"/>
          <w:szCs w:val="21"/>
          <w:lang w:val="es-MX" w:eastAsia="en-US"/>
        </w:rPr>
      </w:pPr>
      <w:r w:rsidRPr="00FA0B52">
        <w:rPr>
          <w:rFonts w:ascii="Abadi" w:eastAsiaTheme="minorHAnsi" w:hAnsi="Abadi" w:cs="Amasis MT Pro Light"/>
          <w:b/>
          <w:bCs/>
          <w:color w:val="000000"/>
          <w:sz w:val="21"/>
          <w:szCs w:val="21"/>
          <w:lang w:val="es-MX" w:eastAsia="en-US"/>
        </w:rPr>
        <w:t>CUAUHTÉMOC BECERRA GONZÁLEZ</w:t>
      </w:r>
    </w:p>
    <w:p w14:paraId="065C03CA" w14:textId="3AEE08B7" w:rsidR="00FA0B52" w:rsidRDefault="00FA0B52" w:rsidP="00FA0B52">
      <w:pPr>
        <w:spacing w:after="160" w:line="259" w:lineRule="auto"/>
        <w:jc w:val="center"/>
        <w:rPr>
          <w:rFonts w:ascii="Abadi" w:eastAsiaTheme="minorHAnsi" w:hAnsi="Abadi" w:cs="Amasis MT Pro Light"/>
          <w:b/>
          <w:bCs/>
          <w:color w:val="000000"/>
          <w:sz w:val="21"/>
          <w:szCs w:val="21"/>
          <w:lang w:val="es-MX" w:eastAsia="en-US"/>
        </w:rPr>
      </w:pPr>
      <w:r w:rsidRPr="00FA0B52">
        <w:rPr>
          <w:rFonts w:ascii="Abadi" w:eastAsiaTheme="minorHAnsi" w:hAnsi="Abadi" w:cs="Amasis MT Pro Light"/>
          <w:b/>
          <w:bCs/>
          <w:color w:val="000000"/>
          <w:sz w:val="21"/>
          <w:szCs w:val="21"/>
          <w:lang w:val="es-MX" w:eastAsia="en-US"/>
        </w:rPr>
        <w:t>DIPUTADO DE LA LXV LEGISLATURA DEL ESTADO DE GUANAJUATO</w:t>
      </w:r>
    </w:p>
    <w:p w14:paraId="58D12AF2" w14:textId="6B697747" w:rsidR="00964302" w:rsidRDefault="00964302" w:rsidP="00FA0B52">
      <w:pPr>
        <w:spacing w:after="160" w:line="259" w:lineRule="auto"/>
        <w:jc w:val="center"/>
        <w:rPr>
          <w:rFonts w:ascii="Abadi" w:eastAsiaTheme="minorHAnsi" w:hAnsi="Abadi" w:cs="Amasis MT Pro Light"/>
          <w:b/>
          <w:bCs/>
          <w:color w:val="000000"/>
          <w:sz w:val="21"/>
          <w:szCs w:val="21"/>
          <w:lang w:val="es-MX" w:eastAsia="en-US"/>
        </w:rPr>
      </w:pPr>
    </w:p>
    <w:p w14:paraId="3D03E4E9" w14:textId="6F5A19DE" w:rsidR="00916248" w:rsidRDefault="00916248" w:rsidP="00916248">
      <w:pPr>
        <w:jc w:val="both"/>
        <w:rPr>
          <w:rFonts w:ascii="Abadi" w:hAnsi="Abadi"/>
          <w:sz w:val="21"/>
          <w:szCs w:val="21"/>
        </w:rPr>
      </w:pPr>
      <w:r>
        <w:rPr>
          <w:rFonts w:ascii="Abadi" w:hAnsi="Abadi"/>
          <w:b/>
          <w:bCs/>
          <w:sz w:val="21"/>
          <w:szCs w:val="21"/>
        </w:rPr>
        <w:tab/>
      </w:r>
      <w:r w:rsidRPr="006D33AD">
        <w:rPr>
          <w:rFonts w:ascii="Abadi" w:hAnsi="Abadi"/>
          <w:b/>
          <w:bCs/>
          <w:sz w:val="21"/>
          <w:szCs w:val="21"/>
        </w:rPr>
        <w:t>- El Presidente.-</w:t>
      </w:r>
      <w:r>
        <w:rPr>
          <w:rFonts w:ascii="Abadi" w:hAnsi="Abadi"/>
          <w:sz w:val="21"/>
          <w:szCs w:val="21"/>
        </w:rPr>
        <w:t xml:space="preserve"> </w:t>
      </w:r>
      <w:r w:rsidRPr="006813AA">
        <w:rPr>
          <w:rFonts w:ascii="Abadi" w:hAnsi="Abadi"/>
          <w:sz w:val="21"/>
          <w:szCs w:val="21"/>
        </w:rPr>
        <w:t>Solicitamos ahora al diputado Cuauhtémoc Becerra González, dar lectura a su propuesta de punto de acuerdo de Obvia Resolución relativa al punto 14 de nuestra orden del día.  (ELD 197/LXV-PPA)</w:t>
      </w:r>
    </w:p>
    <w:p w14:paraId="4DC4FD66" w14:textId="77777777" w:rsidR="00916248" w:rsidRPr="006813AA" w:rsidRDefault="00916248" w:rsidP="00916248">
      <w:pPr>
        <w:jc w:val="both"/>
        <w:rPr>
          <w:rFonts w:ascii="Abadi" w:hAnsi="Abadi"/>
          <w:sz w:val="21"/>
          <w:szCs w:val="21"/>
        </w:rPr>
      </w:pPr>
    </w:p>
    <w:p w14:paraId="597190D7" w14:textId="193A18C9" w:rsidR="00916248" w:rsidRDefault="00916248" w:rsidP="00916248">
      <w:pPr>
        <w:jc w:val="both"/>
        <w:rPr>
          <w:rFonts w:ascii="Abadi" w:hAnsi="Abadi"/>
          <w:sz w:val="21"/>
          <w:szCs w:val="21"/>
        </w:rPr>
      </w:pPr>
      <w:r w:rsidRPr="006813AA">
        <w:rPr>
          <w:rFonts w:ascii="Abadi" w:hAnsi="Abadi"/>
          <w:sz w:val="21"/>
          <w:szCs w:val="21"/>
        </w:rPr>
        <w:t>- Adelante diputado Cuauhtémoc.</w:t>
      </w:r>
    </w:p>
    <w:p w14:paraId="64D58B9E" w14:textId="77777777" w:rsidR="00916248" w:rsidRPr="006813AA" w:rsidRDefault="00916248" w:rsidP="00916248">
      <w:pPr>
        <w:jc w:val="both"/>
        <w:rPr>
          <w:rFonts w:ascii="Abadi" w:hAnsi="Abadi"/>
          <w:sz w:val="21"/>
          <w:szCs w:val="21"/>
        </w:rPr>
      </w:pPr>
    </w:p>
    <w:p w14:paraId="74CE6BE8" w14:textId="77777777" w:rsidR="00916248" w:rsidRPr="006813AA" w:rsidRDefault="00916248" w:rsidP="00916248">
      <w:pPr>
        <w:jc w:val="both"/>
        <w:rPr>
          <w:rFonts w:ascii="Abadi" w:hAnsi="Abadi"/>
          <w:b/>
          <w:bCs/>
          <w:sz w:val="21"/>
          <w:szCs w:val="21"/>
        </w:rPr>
      </w:pPr>
      <w:r w:rsidRPr="006813AA">
        <w:rPr>
          <w:rFonts w:ascii="Abadi" w:hAnsi="Abadi"/>
          <w:b/>
          <w:bCs/>
          <w:sz w:val="21"/>
          <w:szCs w:val="21"/>
        </w:rPr>
        <w:t>(Sube a tribuna el diputado Cuauhtémoc Becerra González, para dar lectura</w:t>
      </w:r>
      <w:r>
        <w:rPr>
          <w:rFonts w:ascii="Abadi" w:hAnsi="Abadi"/>
          <w:b/>
          <w:bCs/>
          <w:sz w:val="21"/>
          <w:szCs w:val="21"/>
        </w:rPr>
        <w:t xml:space="preserve"> al punto de acuerdo de o</w:t>
      </w:r>
      <w:r w:rsidRPr="006813AA">
        <w:rPr>
          <w:rFonts w:ascii="Abadi" w:hAnsi="Abadi"/>
          <w:b/>
          <w:bCs/>
          <w:sz w:val="21"/>
          <w:szCs w:val="21"/>
        </w:rPr>
        <w:t>bvia resolución en referencia)</w:t>
      </w:r>
    </w:p>
    <w:p w14:paraId="6EB1DB1F" w14:textId="77777777" w:rsidR="00916248" w:rsidRDefault="00916248" w:rsidP="00916248">
      <w:pPr>
        <w:jc w:val="both"/>
        <w:rPr>
          <w:rFonts w:ascii="Abadi" w:hAnsi="Abadi"/>
          <w:b/>
          <w:bCs/>
          <w:sz w:val="21"/>
          <w:szCs w:val="21"/>
        </w:rPr>
      </w:pPr>
    </w:p>
    <w:p w14:paraId="2E0EA163" w14:textId="6E9F41F2" w:rsidR="00916248" w:rsidRPr="006813AA" w:rsidRDefault="00916248" w:rsidP="00916248">
      <w:pPr>
        <w:jc w:val="center"/>
        <w:rPr>
          <w:rFonts w:ascii="Abadi" w:hAnsi="Abadi"/>
          <w:b/>
          <w:bCs/>
          <w:sz w:val="21"/>
          <w:szCs w:val="21"/>
        </w:rPr>
      </w:pPr>
      <w:r w:rsidRPr="006813AA">
        <w:rPr>
          <w:rFonts w:ascii="Abadi" w:hAnsi="Abadi"/>
          <w:b/>
          <w:bCs/>
          <w:sz w:val="21"/>
          <w:szCs w:val="21"/>
        </w:rPr>
        <w:t>(Posicionamiento)</w:t>
      </w:r>
    </w:p>
    <w:p w14:paraId="46C134CB" w14:textId="77777777" w:rsidR="00916248" w:rsidRDefault="00916248" w:rsidP="00916248">
      <w:pPr>
        <w:jc w:val="both"/>
        <w:rPr>
          <w:rFonts w:ascii="Abadi" w:hAnsi="Abadi"/>
          <w:sz w:val="21"/>
          <w:szCs w:val="21"/>
        </w:rPr>
      </w:pPr>
    </w:p>
    <w:p w14:paraId="6220FD52" w14:textId="77777777" w:rsidR="00916248" w:rsidRDefault="00916248" w:rsidP="00916248">
      <w:pPr>
        <w:jc w:val="both"/>
        <w:rPr>
          <w:rFonts w:ascii="Abadi" w:hAnsi="Abadi"/>
          <w:sz w:val="21"/>
          <w:szCs w:val="21"/>
        </w:rPr>
      </w:pPr>
    </w:p>
    <w:p w14:paraId="4D50F13D" w14:textId="7D13228A" w:rsidR="00916248" w:rsidRPr="006813AA" w:rsidRDefault="00916248" w:rsidP="00916248">
      <w:pPr>
        <w:jc w:val="both"/>
        <w:rPr>
          <w:rFonts w:ascii="Abadi" w:hAnsi="Abadi"/>
          <w:sz w:val="21"/>
          <w:szCs w:val="21"/>
        </w:rPr>
      </w:pPr>
      <w:r w:rsidRPr="006813AA">
        <w:rPr>
          <w:noProof/>
          <w:sz w:val="21"/>
          <w:szCs w:val="21"/>
        </w:rPr>
        <w:drawing>
          <wp:anchor distT="0" distB="0" distL="114300" distR="114300" simplePos="0" relativeHeight="251687936" behindDoc="1" locked="0" layoutInCell="1" allowOverlap="1" wp14:anchorId="5FFDAED8" wp14:editId="38DDECA7">
            <wp:simplePos x="0" y="0"/>
            <wp:positionH relativeFrom="column">
              <wp:posOffset>685692</wp:posOffset>
            </wp:positionH>
            <wp:positionV relativeFrom="paragraph">
              <wp:posOffset>134045</wp:posOffset>
            </wp:positionV>
            <wp:extent cx="1380351" cy="726744"/>
            <wp:effectExtent l="247650" t="228600" r="239395" b="740410"/>
            <wp:wrapTight wrapText="bothSides">
              <wp:wrapPolygon edited="0">
                <wp:start x="-3877" y="-6797"/>
                <wp:lineTo x="-3877" y="43049"/>
                <wp:lineTo x="25049" y="43049"/>
                <wp:lineTo x="25049" y="-6797"/>
                <wp:lineTo x="-3877" y="-6797"/>
              </wp:wrapPolygon>
            </wp:wrapTight>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b="6395"/>
                    <a:stretch/>
                  </pic:blipFill>
                  <pic:spPr bwMode="auto">
                    <a:xfrm>
                      <a:off x="0" y="0"/>
                      <a:ext cx="1380351" cy="726744"/>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58A6C878" w14:textId="77777777" w:rsidR="00916248" w:rsidRDefault="00916248" w:rsidP="00916248">
      <w:pPr>
        <w:jc w:val="both"/>
        <w:rPr>
          <w:rFonts w:ascii="Abadi" w:hAnsi="Abadi"/>
          <w:b/>
          <w:bCs/>
          <w:sz w:val="21"/>
          <w:szCs w:val="21"/>
        </w:rPr>
      </w:pPr>
    </w:p>
    <w:p w14:paraId="7F0B0BAA" w14:textId="77777777" w:rsidR="00916248" w:rsidRDefault="00916248" w:rsidP="00916248">
      <w:pPr>
        <w:jc w:val="both"/>
        <w:rPr>
          <w:rFonts w:ascii="Abadi" w:hAnsi="Abadi"/>
          <w:b/>
          <w:bCs/>
          <w:sz w:val="21"/>
          <w:szCs w:val="21"/>
        </w:rPr>
      </w:pPr>
    </w:p>
    <w:p w14:paraId="47966203" w14:textId="77777777" w:rsidR="00916248" w:rsidRDefault="00916248" w:rsidP="00916248">
      <w:pPr>
        <w:jc w:val="both"/>
        <w:rPr>
          <w:rFonts w:ascii="Abadi" w:hAnsi="Abadi"/>
          <w:b/>
          <w:bCs/>
          <w:sz w:val="21"/>
          <w:szCs w:val="21"/>
        </w:rPr>
      </w:pPr>
    </w:p>
    <w:p w14:paraId="44AE081F" w14:textId="77777777" w:rsidR="00916248" w:rsidRDefault="00916248" w:rsidP="00916248">
      <w:pPr>
        <w:jc w:val="both"/>
        <w:rPr>
          <w:rFonts w:ascii="Abadi" w:hAnsi="Abadi"/>
          <w:b/>
          <w:bCs/>
          <w:sz w:val="21"/>
          <w:szCs w:val="21"/>
        </w:rPr>
      </w:pPr>
    </w:p>
    <w:p w14:paraId="6850F372" w14:textId="77777777" w:rsidR="00916248" w:rsidRDefault="00916248" w:rsidP="00916248">
      <w:pPr>
        <w:jc w:val="both"/>
        <w:rPr>
          <w:rFonts w:ascii="Abadi" w:hAnsi="Abadi"/>
          <w:b/>
          <w:bCs/>
          <w:sz w:val="21"/>
          <w:szCs w:val="21"/>
        </w:rPr>
      </w:pPr>
    </w:p>
    <w:p w14:paraId="609993F0" w14:textId="77777777" w:rsidR="00916248" w:rsidRDefault="00916248" w:rsidP="00916248">
      <w:pPr>
        <w:jc w:val="both"/>
        <w:rPr>
          <w:rFonts w:ascii="Abadi" w:hAnsi="Abadi"/>
          <w:b/>
          <w:bCs/>
          <w:sz w:val="21"/>
          <w:szCs w:val="21"/>
        </w:rPr>
      </w:pPr>
    </w:p>
    <w:p w14:paraId="21897A9D" w14:textId="77777777" w:rsidR="00916248" w:rsidRDefault="00916248" w:rsidP="00916248">
      <w:pPr>
        <w:jc w:val="both"/>
        <w:rPr>
          <w:rFonts w:ascii="Abadi" w:hAnsi="Abadi"/>
          <w:b/>
          <w:bCs/>
          <w:sz w:val="21"/>
          <w:szCs w:val="21"/>
        </w:rPr>
      </w:pPr>
    </w:p>
    <w:p w14:paraId="359724D8" w14:textId="77777777" w:rsidR="00916248" w:rsidRDefault="00916248" w:rsidP="00916248">
      <w:pPr>
        <w:jc w:val="both"/>
        <w:rPr>
          <w:rFonts w:ascii="Abadi" w:hAnsi="Abadi"/>
          <w:b/>
          <w:bCs/>
          <w:sz w:val="21"/>
          <w:szCs w:val="21"/>
        </w:rPr>
      </w:pPr>
    </w:p>
    <w:p w14:paraId="34AB14AB" w14:textId="77777777" w:rsidR="00916248" w:rsidRDefault="00916248" w:rsidP="00916248">
      <w:pPr>
        <w:jc w:val="both"/>
        <w:rPr>
          <w:rFonts w:ascii="Abadi" w:hAnsi="Abadi"/>
          <w:b/>
          <w:bCs/>
          <w:sz w:val="21"/>
          <w:szCs w:val="21"/>
        </w:rPr>
      </w:pPr>
    </w:p>
    <w:p w14:paraId="3F7B0E99" w14:textId="77777777" w:rsidR="00916248" w:rsidRDefault="00916248" w:rsidP="00916248">
      <w:pPr>
        <w:jc w:val="both"/>
        <w:rPr>
          <w:rFonts w:ascii="Abadi" w:hAnsi="Abadi"/>
          <w:b/>
          <w:bCs/>
          <w:sz w:val="21"/>
          <w:szCs w:val="21"/>
        </w:rPr>
      </w:pPr>
    </w:p>
    <w:p w14:paraId="6963AC5C" w14:textId="77777777" w:rsidR="00916248" w:rsidRDefault="00916248" w:rsidP="00916248">
      <w:pPr>
        <w:jc w:val="both"/>
        <w:rPr>
          <w:rFonts w:ascii="Abadi" w:hAnsi="Abadi"/>
          <w:b/>
          <w:bCs/>
          <w:sz w:val="21"/>
          <w:szCs w:val="21"/>
        </w:rPr>
      </w:pPr>
    </w:p>
    <w:p w14:paraId="354383CF" w14:textId="6EEBDBFF" w:rsidR="00916248" w:rsidRDefault="00916248" w:rsidP="00916248">
      <w:pPr>
        <w:jc w:val="both"/>
        <w:rPr>
          <w:rFonts w:ascii="Abadi" w:hAnsi="Abadi"/>
          <w:b/>
          <w:bCs/>
          <w:sz w:val="21"/>
          <w:szCs w:val="21"/>
        </w:rPr>
      </w:pPr>
      <w:r w:rsidRPr="006813AA">
        <w:rPr>
          <w:rFonts w:ascii="Abadi" w:hAnsi="Abadi"/>
          <w:b/>
          <w:bCs/>
          <w:sz w:val="21"/>
          <w:szCs w:val="21"/>
        </w:rPr>
        <w:t xml:space="preserve">- Diputado Cuauhtémoc Becerra González </w:t>
      </w:r>
      <w:r>
        <w:rPr>
          <w:rFonts w:ascii="Abadi" w:hAnsi="Abadi"/>
          <w:b/>
          <w:bCs/>
          <w:sz w:val="21"/>
          <w:szCs w:val="21"/>
        </w:rPr>
        <w:t>–</w:t>
      </w:r>
    </w:p>
    <w:p w14:paraId="466D31F2" w14:textId="77777777" w:rsidR="00916248" w:rsidRPr="006813AA" w:rsidRDefault="00916248" w:rsidP="00916248">
      <w:pPr>
        <w:jc w:val="both"/>
        <w:rPr>
          <w:rFonts w:ascii="Abadi" w:hAnsi="Abadi"/>
          <w:b/>
          <w:bCs/>
          <w:sz w:val="21"/>
          <w:szCs w:val="21"/>
        </w:rPr>
      </w:pPr>
    </w:p>
    <w:p w14:paraId="7A245D15" w14:textId="0FD878E6" w:rsidR="00916248" w:rsidRDefault="00916248" w:rsidP="00916248">
      <w:pPr>
        <w:jc w:val="both"/>
        <w:rPr>
          <w:rFonts w:ascii="Abadi" w:hAnsi="Abadi"/>
          <w:sz w:val="21"/>
          <w:szCs w:val="21"/>
        </w:rPr>
      </w:pPr>
      <w:r w:rsidRPr="006813AA">
        <w:rPr>
          <w:rFonts w:ascii="Abadi" w:hAnsi="Abadi"/>
          <w:sz w:val="21"/>
          <w:szCs w:val="21"/>
        </w:rPr>
        <w:t>- Con su permiso Presidente y el de la Mesa Directiva, saludo con aprecio y respeto a mis padres sus compañeros diputados aquí presentes y a quien nos acompañan aquí en el salón asesores y personal técnico que hace posible el desarrollo de esta sesión también al público en general y a los medios quienes nos acompañan, desde luego un saludo a aquellas personas quienes nos siguen a distancia desde sus hogares y un saludo en especial a la ciudadanía del distrito 14 del municipio de Salamanca, ¡bien! me permito poner a la consideración de la Asamblea la siguiente propuesta de punto de acuerdo de obvia resolución;</w:t>
      </w:r>
    </w:p>
    <w:p w14:paraId="7EA2D768" w14:textId="77777777" w:rsidR="00916248" w:rsidRPr="006813AA" w:rsidRDefault="00916248" w:rsidP="00916248">
      <w:pPr>
        <w:jc w:val="both"/>
        <w:rPr>
          <w:rFonts w:ascii="Abadi" w:hAnsi="Abadi"/>
          <w:sz w:val="21"/>
          <w:szCs w:val="21"/>
        </w:rPr>
      </w:pPr>
    </w:p>
    <w:p w14:paraId="6013FA5E" w14:textId="482EB867" w:rsidR="00916248" w:rsidRDefault="00916248" w:rsidP="00916248">
      <w:pPr>
        <w:jc w:val="both"/>
        <w:rPr>
          <w:rFonts w:ascii="Abadi" w:hAnsi="Abadi"/>
          <w:sz w:val="21"/>
          <w:szCs w:val="21"/>
        </w:rPr>
      </w:pPr>
      <w:r w:rsidRPr="006813AA">
        <w:rPr>
          <w:rFonts w:ascii="Abadi" w:hAnsi="Abadi"/>
          <w:sz w:val="21"/>
          <w:szCs w:val="21"/>
        </w:rPr>
        <w:t>- Según las siguientes consideraciones durante la década de los 80’ el comportamiento altamente inflacionario de los precios de los alimentos se empezó a tratar como una problemática de afectación internacional.</w:t>
      </w:r>
    </w:p>
    <w:p w14:paraId="43651891" w14:textId="77777777" w:rsidR="00916248" w:rsidRPr="006813AA" w:rsidRDefault="00916248" w:rsidP="00916248">
      <w:pPr>
        <w:jc w:val="both"/>
        <w:rPr>
          <w:rFonts w:ascii="Abadi" w:hAnsi="Abadi"/>
          <w:sz w:val="21"/>
          <w:szCs w:val="21"/>
        </w:rPr>
      </w:pPr>
    </w:p>
    <w:p w14:paraId="7978DF35" w14:textId="186C41A7" w:rsidR="00916248" w:rsidRDefault="00916248" w:rsidP="00916248">
      <w:pPr>
        <w:jc w:val="both"/>
        <w:rPr>
          <w:rFonts w:ascii="Abadi" w:hAnsi="Abadi"/>
          <w:sz w:val="21"/>
          <w:szCs w:val="21"/>
        </w:rPr>
      </w:pPr>
      <w:r w:rsidRPr="006813AA">
        <w:rPr>
          <w:rFonts w:ascii="Abadi" w:hAnsi="Abadi"/>
          <w:sz w:val="21"/>
          <w:szCs w:val="21"/>
        </w:rPr>
        <w:t xml:space="preserve">- Hoy con certeza damos cuenta de ellos, pues los conflictos políticos internacionales así como la reciente pandemia de la COVID-19 son prueba fehaciente de la problemática económica que se puede desencadenar entre los países cuando se interrumpen la línea de producción y las cadenas de suministros; las familias en el mundo enfrentan las mayores tasas de inflación reportadas en los últimos 40 años, México por su parte tiene cifras menores frente a otras naciones como Estados Unidos y Canadá, pero también contra Argentina y Turquía, por citar algunas, en donde los precios han subido hasta el 79% orgullosamente puedo decir que aquí las acciones para contener la inflación por parte del gobierno federal han sido efectivas y puntuales, pues sin ellas la inflación estaría por niveles superiores de acuerdo con estimaciones realizadas por diversos organismos especializados en la materia entre las diversas acciones llevadas a cabo por el gobierno de México podemos mencionar los subsidios a la gasolina y el paquete contra la inflación y la carestía pacific las cifras son las referíamos ese paquete; el primero los subsidios a la gasolina han servido para mantener bajos los precios de gasolinas y diésel con lo cual ha sido posible controlar la inflación que impacta en alimentos y otros bienes, mientras que en el segundo consiste un acuerdo entre el gobierno de México entre productores distribuidores y comerciantes a través del cual se busca garantizar precios justos en los productos de la canasta básica cabe destacar que este plan es un acuerdo de reducción de costos y no de control de precios como para ahí se podría mal entender y para lograr esta meta, se trazaron cuatro líneas de acción; la primera estrategia de producción incremento de la oferta de alimentos, segunda; estrategia de distribución plan y medidas para Hacer una distribución más orgánica, tercero; estrategia de comercio exterior medida de comercio exterior y finalmente unas cuantas medidas generales relativas al rubro. </w:t>
      </w:r>
    </w:p>
    <w:p w14:paraId="0C1F6861" w14:textId="77777777" w:rsidR="00916248" w:rsidRPr="006813AA" w:rsidRDefault="00916248" w:rsidP="00916248">
      <w:pPr>
        <w:jc w:val="both"/>
        <w:rPr>
          <w:rFonts w:ascii="Abadi" w:hAnsi="Abadi"/>
          <w:sz w:val="21"/>
          <w:szCs w:val="21"/>
        </w:rPr>
      </w:pPr>
    </w:p>
    <w:p w14:paraId="2D17E625" w14:textId="2BF41A5F" w:rsidR="00916248" w:rsidRDefault="00916248" w:rsidP="00916248">
      <w:pPr>
        <w:jc w:val="both"/>
        <w:rPr>
          <w:rFonts w:ascii="Abadi" w:hAnsi="Abadi"/>
          <w:sz w:val="21"/>
          <w:szCs w:val="21"/>
        </w:rPr>
      </w:pPr>
      <w:r w:rsidRPr="006813AA">
        <w:rPr>
          <w:rFonts w:ascii="Abadi" w:hAnsi="Abadi"/>
          <w:sz w:val="21"/>
          <w:szCs w:val="21"/>
        </w:rPr>
        <w:t>- El objetivo inmediato del acuerdo es reducir en un 8% el precio de 24 productos de la canasta básica 24, la implementación de este tipo de acciones es algo urgente y necesario pues el problema de la inflación se manifiesta de diversas maneras, desnutrición pobreza alimentaria, abandonó a los productos agrícolas cambios en las tasas salariales del sector primario agotamiento de recursos naturales, entre otros.</w:t>
      </w:r>
    </w:p>
    <w:p w14:paraId="4EA46CC7" w14:textId="77777777" w:rsidR="00916248" w:rsidRPr="006813AA" w:rsidRDefault="00916248" w:rsidP="00916248">
      <w:pPr>
        <w:jc w:val="both"/>
        <w:rPr>
          <w:rFonts w:ascii="Abadi" w:hAnsi="Abadi"/>
          <w:sz w:val="21"/>
          <w:szCs w:val="21"/>
        </w:rPr>
      </w:pPr>
    </w:p>
    <w:p w14:paraId="08E4F6E1" w14:textId="14EDE5F6" w:rsidR="00916248" w:rsidRDefault="00916248" w:rsidP="00916248">
      <w:pPr>
        <w:jc w:val="both"/>
        <w:rPr>
          <w:rFonts w:ascii="Abadi" w:hAnsi="Abadi"/>
          <w:sz w:val="21"/>
          <w:szCs w:val="21"/>
        </w:rPr>
      </w:pPr>
      <w:r w:rsidRPr="006813AA">
        <w:rPr>
          <w:rFonts w:ascii="Abadi" w:hAnsi="Abadi"/>
          <w:sz w:val="21"/>
          <w:szCs w:val="21"/>
        </w:rPr>
        <w:t>- Diversos estudios sobre los efectos inflacionarios en la población mexicana han encontrado que un incremento del 15% de los precios de los alimentos básicos implica un aumento aproximado del 2% en la población en pobreza alimentaria, mientras que el aumento del 50% en los grupos de carnes o cereales incrementa de 3.6 hasta el 6% la pobreza, allí la importancia de atender la problemática de manera puntual y desde diversos ámbitos incluyendo por supuesto nuestro ámbito local.</w:t>
      </w:r>
    </w:p>
    <w:p w14:paraId="059BD5C7" w14:textId="77777777" w:rsidR="00916248" w:rsidRPr="006813AA" w:rsidRDefault="00916248" w:rsidP="00916248">
      <w:pPr>
        <w:jc w:val="both"/>
        <w:rPr>
          <w:rFonts w:ascii="Abadi" w:hAnsi="Abadi"/>
          <w:sz w:val="21"/>
          <w:szCs w:val="21"/>
        </w:rPr>
      </w:pPr>
    </w:p>
    <w:p w14:paraId="52DFDC9F" w14:textId="4664EABD" w:rsidR="00916248" w:rsidRDefault="00916248" w:rsidP="00916248">
      <w:pPr>
        <w:jc w:val="both"/>
        <w:rPr>
          <w:rFonts w:ascii="Abadi" w:hAnsi="Abadi"/>
          <w:sz w:val="21"/>
          <w:szCs w:val="21"/>
        </w:rPr>
      </w:pPr>
      <w:r w:rsidRPr="006813AA">
        <w:rPr>
          <w:rFonts w:ascii="Abadi" w:hAnsi="Abadi"/>
          <w:sz w:val="21"/>
          <w:szCs w:val="21"/>
        </w:rPr>
        <w:t>- Aquí en guanajuato se registró una de las tasas inflacionarias más altas de los últimos 21 años con una variación por arriba del promedio nacional esto ha provocado un incremento anual del 14% en los alimentos particularmente en aquellos centrales en la dieta de los mexicanos como lo son las harinas de trigo y las tortillas de maíz desde luego; estas alzas en los precios de los productos tienen fuertes impactos negativos en el bienestar de los hogares particularmente en aquellos que se encuentran en el umbral de la pobreza.</w:t>
      </w:r>
    </w:p>
    <w:p w14:paraId="288E3E63" w14:textId="77777777" w:rsidR="00916248" w:rsidRPr="006813AA" w:rsidRDefault="00916248" w:rsidP="00916248">
      <w:pPr>
        <w:jc w:val="both"/>
        <w:rPr>
          <w:rFonts w:ascii="Abadi" w:hAnsi="Abadi"/>
          <w:sz w:val="21"/>
          <w:szCs w:val="21"/>
        </w:rPr>
      </w:pPr>
    </w:p>
    <w:p w14:paraId="711F9327" w14:textId="43FA8F29" w:rsidR="00916248" w:rsidRDefault="00916248" w:rsidP="00916248">
      <w:pPr>
        <w:jc w:val="both"/>
        <w:rPr>
          <w:rFonts w:ascii="Abadi" w:hAnsi="Abadi"/>
          <w:sz w:val="21"/>
          <w:szCs w:val="21"/>
        </w:rPr>
      </w:pPr>
      <w:r>
        <w:rPr>
          <w:rFonts w:ascii="Abadi" w:hAnsi="Abadi"/>
          <w:sz w:val="21"/>
          <w:szCs w:val="21"/>
        </w:rPr>
        <w:t xml:space="preserve">- </w:t>
      </w:r>
      <w:r w:rsidRPr="006813AA">
        <w:rPr>
          <w:rFonts w:ascii="Abadi" w:hAnsi="Abadi"/>
          <w:sz w:val="21"/>
          <w:szCs w:val="21"/>
        </w:rPr>
        <w:t>Por esta razón es propongo el siguiente punto de acuerdo.</w:t>
      </w:r>
    </w:p>
    <w:p w14:paraId="7E52FF4B" w14:textId="77777777" w:rsidR="00916248" w:rsidRPr="006813AA" w:rsidRDefault="00916248" w:rsidP="00916248">
      <w:pPr>
        <w:jc w:val="both"/>
        <w:rPr>
          <w:rFonts w:ascii="Abadi" w:hAnsi="Abadi"/>
          <w:sz w:val="21"/>
          <w:szCs w:val="21"/>
        </w:rPr>
      </w:pPr>
    </w:p>
    <w:p w14:paraId="635D45BD" w14:textId="7D9268D7" w:rsidR="00916248" w:rsidRDefault="00916248" w:rsidP="00916248">
      <w:pPr>
        <w:jc w:val="both"/>
        <w:rPr>
          <w:rFonts w:ascii="Abadi" w:hAnsi="Abadi"/>
          <w:sz w:val="21"/>
          <w:szCs w:val="21"/>
        </w:rPr>
      </w:pPr>
      <w:r w:rsidRPr="006813AA">
        <w:rPr>
          <w:rFonts w:ascii="Abadi" w:hAnsi="Abadi"/>
          <w:sz w:val="21"/>
          <w:szCs w:val="21"/>
        </w:rPr>
        <w:t>- Único.- Esta Sexagésima Quinta Legislatura del Estado de Guanajuato acuerda girar atento exhorto al Gobernador del Estado de Guanajuato Diego Sinuhe Rodríguez Vallejo, para que en el ámbito de sus atribuciones complemente, en el ámbito de sus atribuciones, únicamente no estoy pidiendo más, únicamente complemente las acciones implementadas desde el gobierno federal esto con la finalidad de reducir los costos de los productos que integran la canasta básica y de esta manera garantizar la seguridad alimentaria de la población guanajuatense.</w:t>
      </w:r>
    </w:p>
    <w:p w14:paraId="74CCFCDC" w14:textId="77777777" w:rsidR="00916248" w:rsidRPr="006813AA" w:rsidRDefault="00916248" w:rsidP="00916248">
      <w:pPr>
        <w:jc w:val="both"/>
        <w:rPr>
          <w:rFonts w:ascii="Abadi" w:hAnsi="Abadi"/>
          <w:sz w:val="21"/>
          <w:szCs w:val="21"/>
        </w:rPr>
      </w:pPr>
    </w:p>
    <w:p w14:paraId="0C494632" w14:textId="5118D38F" w:rsidR="00916248" w:rsidRDefault="00916248" w:rsidP="00916248">
      <w:pPr>
        <w:jc w:val="both"/>
        <w:rPr>
          <w:rFonts w:ascii="Abadi" w:hAnsi="Abadi"/>
          <w:sz w:val="21"/>
          <w:szCs w:val="21"/>
        </w:rPr>
      </w:pPr>
      <w:r w:rsidRPr="006813AA">
        <w:rPr>
          <w:rFonts w:ascii="Abadi" w:hAnsi="Abadi"/>
          <w:sz w:val="21"/>
          <w:szCs w:val="21"/>
        </w:rPr>
        <w:t>- Es cuánto.</w:t>
      </w:r>
    </w:p>
    <w:p w14:paraId="407903C5" w14:textId="77777777" w:rsidR="00916248" w:rsidRPr="006813AA" w:rsidRDefault="00916248" w:rsidP="00916248">
      <w:pPr>
        <w:jc w:val="both"/>
        <w:rPr>
          <w:rFonts w:ascii="Abadi" w:hAnsi="Abadi"/>
          <w:sz w:val="21"/>
          <w:szCs w:val="21"/>
        </w:rPr>
      </w:pPr>
    </w:p>
    <w:p w14:paraId="72169A2B" w14:textId="770D6E64" w:rsidR="00916248" w:rsidRDefault="00916248" w:rsidP="00916248">
      <w:pPr>
        <w:jc w:val="both"/>
        <w:rPr>
          <w:rFonts w:ascii="Abadi" w:hAnsi="Abadi"/>
          <w:sz w:val="21"/>
          <w:szCs w:val="21"/>
        </w:rPr>
      </w:pPr>
      <w:r w:rsidRPr="006813AA">
        <w:rPr>
          <w:rFonts w:ascii="Abadi" w:hAnsi="Abadi"/>
          <w:b/>
          <w:bCs/>
          <w:sz w:val="21"/>
          <w:szCs w:val="21"/>
        </w:rPr>
        <w:tab/>
        <w:t>- El Presidente.-</w:t>
      </w:r>
      <w:r w:rsidRPr="006813AA">
        <w:rPr>
          <w:rFonts w:ascii="Abadi" w:hAnsi="Abadi"/>
          <w:sz w:val="21"/>
          <w:szCs w:val="21"/>
        </w:rPr>
        <w:t xml:space="preserve"> En los términos solicitados por el proponente se somete a la Asamblea se declare de Obvia Resolución la propuesta del punto de acuerdo con fundamento en lo dispuesto por el artículo 177 de la Ley Orgánica del Poder Legislativo del Estado.</w:t>
      </w:r>
    </w:p>
    <w:p w14:paraId="5950F6E0" w14:textId="77777777" w:rsidR="00916248" w:rsidRPr="006813AA" w:rsidRDefault="00916248" w:rsidP="00916248">
      <w:pPr>
        <w:jc w:val="both"/>
        <w:rPr>
          <w:rFonts w:ascii="Abadi" w:hAnsi="Abadi"/>
          <w:sz w:val="21"/>
          <w:szCs w:val="21"/>
        </w:rPr>
      </w:pPr>
    </w:p>
    <w:p w14:paraId="682551B0" w14:textId="2FF30AA8" w:rsidR="00916248" w:rsidRDefault="00916248" w:rsidP="00916248">
      <w:pPr>
        <w:jc w:val="both"/>
        <w:rPr>
          <w:rFonts w:ascii="Abadi" w:hAnsi="Abadi"/>
          <w:sz w:val="21"/>
          <w:szCs w:val="21"/>
        </w:rPr>
      </w:pPr>
      <w:r>
        <w:rPr>
          <w:rFonts w:ascii="Abadi" w:hAnsi="Abadi"/>
          <w:sz w:val="21"/>
          <w:szCs w:val="21"/>
        </w:rPr>
        <w:tab/>
      </w:r>
      <w:r w:rsidRPr="006813AA">
        <w:rPr>
          <w:rFonts w:ascii="Abadi" w:hAnsi="Abadi"/>
          <w:sz w:val="21"/>
          <w:szCs w:val="21"/>
        </w:rPr>
        <w:t xml:space="preserve">- Se informa la Asamblea que efecto de que la propuesta del punto de acuerdo se declare de trámite de Obvia Resolución debe ser aprobada por las dos terceras partes de los integrantes del Pleno. </w:t>
      </w:r>
    </w:p>
    <w:p w14:paraId="50E03F2F" w14:textId="77777777" w:rsidR="00916248" w:rsidRPr="006813AA" w:rsidRDefault="00916248" w:rsidP="00916248">
      <w:pPr>
        <w:jc w:val="both"/>
        <w:rPr>
          <w:rFonts w:ascii="Abadi" w:hAnsi="Abadi"/>
          <w:sz w:val="21"/>
          <w:szCs w:val="21"/>
        </w:rPr>
      </w:pPr>
    </w:p>
    <w:p w14:paraId="7ABBC6B1" w14:textId="19ECAAF9" w:rsidR="00916248" w:rsidRDefault="00916248" w:rsidP="00916248">
      <w:pPr>
        <w:jc w:val="both"/>
        <w:rPr>
          <w:rFonts w:ascii="Abadi" w:hAnsi="Abadi"/>
          <w:sz w:val="21"/>
          <w:szCs w:val="21"/>
        </w:rPr>
      </w:pPr>
      <w:r>
        <w:rPr>
          <w:rFonts w:ascii="Abadi" w:hAnsi="Abadi"/>
          <w:sz w:val="21"/>
          <w:szCs w:val="21"/>
        </w:rPr>
        <w:tab/>
      </w:r>
      <w:r w:rsidRPr="006813AA">
        <w:rPr>
          <w:rFonts w:ascii="Abadi" w:hAnsi="Abadi"/>
          <w:sz w:val="21"/>
          <w:szCs w:val="21"/>
        </w:rPr>
        <w:t>- Sí alguna diputada o algún diputado desea hacer uso de la palabra en relación al trámite de Obvia Resolución sírvanse manifestarlo indicando el sentido de su participación.</w:t>
      </w:r>
    </w:p>
    <w:p w14:paraId="75BC2355" w14:textId="77777777" w:rsidR="00916248" w:rsidRPr="006813AA" w:rsidRDefault="00916248" w:rsidP="00916248">
      <w:pPr>
        <w:jc w:val="both"/>
        <w:rPr>
          <w:rFonts w:ascii="Abadi" w:hAnsi="Abadi"/>
          <w:sz w:val="21"/>
          <w:szCs w:val="21"/>
        </w:rPr>
      </w:pPr>
    </w:p>
    <w:p w14:paraId="10C27AE0" w14:textId="2767C110" w:rsidR="00916248" w:rsidRDefault="00916248" w:rsidP="00916248">
      <w:pPr>
        <w:jc w:val="both"/>
        <w:rPr>
          <w:rFonts w:ascii="Abadi" w:hAnsi="Abadi"/>
          <w:sz w:val="21"/>
          <w:szCs w:val="21"/>
        </w:rPr>
      </w:pPr>
      <w:r>
        <w:rPr>
          <w:rFonts w:ascii="Abadi" w:hAnsi="Abadi"/>
          <w:sz w:val="21"/>
          <w:szCs w:val="21"/>
        </w:rPr>
        <w:tab/>
      </w:r>
      <w:r w:rsidRPr="006813AA">
        <w:rPr>
          <w:rFonts w:ascii="Abadi" w:hAnsi="Abadi"/>
          <w:sz w:val="21"/>
          <w:szCs w:val="21"/>
        </w:rPr>
        <w:t>- En virtud de que ninguna diputada o ningún diputado desea hacer uso de la palabra se ruega a la Secretaría que en votación económica y a través de nuestro sistema electrónico pregunte a la Asamblea si es de aprobarse la obvia resolución sometida a su consideración.</w:t>
      </w:r>
    </w:p>
    <w:p w14:paraId="358B0378" w14:textId="77777777" w:rsidR="00916248" w:rsidRPr="006813AA" w:rsidRDefault="00916248" w:rsidP="00916248">
      <w:pPr>
        <w:jc w:val="both"/>
        <w:rPr>
          <w:rFonts w:ascii="Abadi" w:hAnsi="Abadi"/>
          <w:sz w:val="21"/>
          <w:szCs w:val="21"/>
        </w:rPr>
      </w:pPr>
    </w:p>
    <w:p w14:paraId="0FF09F8C" w14:textId="3110D821" w:rsidR="00916248" w:rsidRDefault="00916248" w:rsidP="00916248">
      <w:pPr>
        <w:jc w:val="center"/>
        <w:rPr>
          <w:rFonts w:ascii="Abadi" w:hAnsi="Abadi"/>
          <w:b/>
          <w:bCs/>
          <w:sz w:val="21"/>
          <w:szCs w:val="21"/>
        </w:rPr>
      </w:pPr>
      <w:r w:rsidRPr="006813AA">
        <w:rPr>
          <w:rFonts w:ascii="Abadi" w:hAnsi="Abadi"/>
          <w:b/>
          <w:bCs/>
          <w:sz w:val="21"/>
          <w:szCs w:val="21"/>
        </w:rPr>
        <w:t>(Se abre nuestro sistema electrónico)</w:t>
      </w:r>
    </w:p>
    <w:p w14:paraId="6E40330A" w14:textId="77777777" w:rsidR="00916248" w:rsidRPr="006813AA" w:rsidRDefault="00916248" w:rsidP="00916248">
      <w:pPr>
        <w:jc w:val="both"/>
        <w:rPr>
          <w:rFonts w:ascii="Abadi" w:hAnsi="Abadi"/>
          <w:b/>
          <w:bCs/>
          <w:sz w:val="21"/>
          <w:szCs w:val="21"/>
        </w:rPr>
      </w:pPr>
    </w:p>
    <w:p w14:paraId="1D256BDE" w14:textId="2F737417" w:rsidR="00916248" w:rsidRDefault="00916248" w:rsidP="00916248">
      <w:pPr>
        <w:jc w:val="both"/>
        <w:rPr>
          <w:rFonts w:ascii="Abadi" w:hAnsi="Abadi"/>
          <w:sz w:val="21"/>
          <w:szCs w:val="21"/>
        </w:rPr>
      </w:pPr>
      <w:r>
        <w:rPr>
          <w:rFonts w:ascii="Abadi" w:hAnsi="Abadi"/>
          <w:sz w:val="21"/>
          <w:szCs w:val="21"/>
        </w:rPr>
        <w:tab/>
      </w:r>
      <w:r w:rsidRPr="006813AA">
        <w:rPr>
          <w:rFonts w:ascii="Abadi" w:hAnsi="Abadi"/>
          <w:sz w:val="21"/>
          <w:szCs w:val="21"/>
        </w:rPr>
        <w:t>- Por instrucciones de la presidencia en votación económica se pregunta a las diputadas y a los diputados, si se aprueba la obvia resolución, mediante el sistema electrónico.</w:t>
      </w:r>
    </w:p>
    <w:p w14:paraId="3BE085A2" w14:textId="77777777" w:rsidR="00916248" w:rsidRPr="006813AA" w:rsidRDefault="00916248" w:rsidP="00916248">
      <w:pPr>
        <w:jc w:val="both"/>
        <w:rPr>
          <w:rFonts w:ascii="Abadi" w:hAnsi="Abadi"/>
          <w:sz w:val="21"/>
          <w:szCs w:val="21"/>
        </w:rPr>
      </w:pPr>
    </w:p>
    <w:p w14:paraId="3FA7EB5B" w14:textId="7B3960D5" w:rsidR="00916248" w:rsidRDefault="00916248" w:rsidP="00916248">
      <w:pPr>
        <w:jc w:val="both"/>
        <w:rPr>
          <w:rFonts w:ascii="Abadi" w:hAnsi="Abadi"/>
          <w:sz w:val="21"/>
          <w:szCs w:val="21"/>
        </w:rPr>
      </w:pPr>
      <w:r w:rsidRPr="006813AA">
        <w:rPr>
          <w:rFonts w:ascii="Abadi" w:hAnsi="Abadi"/>
          <w:sz w:val="21"/>
          <w:szCs w:val="21"/>
        </w:rPr>
        <w:t>¿Falta alguna diputada o algún diputado de emitir su voto?</w:t>
      </w:r>
    </w:p>
    <w:p w14:paraId="6344BA59" w14:textId="40A418A1" w:rsidR="00916248" w:rsidRPr="006813AA" w:rsidRDefault="00916248" w:rsidP="00916248">
      <w:pPr>
        <w:jc w:val="both"/>
        <w:rPr>
          <w:rFonts w:ascii="Abadi" w:hAnsi="Abadi"/>
          <w:sz w:val="21"/>
          <w:szCs w:val="21"/>
        </w:rPr>
      </w:pPr>
    </w:p>
    <w:p w14:paraId="27FCD561" w14:textId="5838554C" w:rsidR="00916248" w:rsidRPr="006813AA" w:rsidRDefault="00916248" w:rsidP="00916248">
      <w:pPr>
        <w:jc w:val="both"/>
        <w:rPr>
          <w:rFonts w:ascii="Abadi" w:hAnsi="Abadi"/>
          <w:b/>
          <w:bCs/>
          <w:sz w:val="21"/>
          <w:szCs w:val="21"/>
        </w:rPr>
      </w:pPr>
      <w:r w:rsidRPr="006813AA">
        <w:rPr>
          <w:rFonts w:ascii="Abadi" w:hAnsi="Abadi"/>
          <w:b/>
          <w:bCs/>
          <w:sz w:val="21"/>
          <w:szCs w:val="21"/>
        </w:rPr>
        <w:t xml:space="preserve"> (Se cierra el sistema eléctrico)</w:t>
      </w:r>
    </w:p>
    <w:p w14:paraId="2992C37B" w14:textId="00AA5FA2" w:rsidR="00916248" w:rsidRPr="006813AA" w:rsidRDefault="00916248" w:rsidP="00916248">
      <w:pPr>
        <w:jc w:val="both"/>
        <w:rPr>
          <w:rFonts w:ascii="Abadi" w:hAnsi="Abadi"/>
          <w:b/>
          <w:bCs/>
          <w:sz w:val="21"/>
          <w:szCs w:val="21"/>
        </w:rPr>
      </w:pPr>
    </w:p>
    <w:p w14:paraId="41542E72" w14:textId="1E79AB8C" w:rsidR="00916248" w:rsidRDefault="00916248" w:rsidP="00916248">
      <w:pPr>
        <w:jc w:val="both"/>
        <w:rPr>
          <w:rFonts w:ascii="Abadi" w:hAnsi="Abadi"/>
          <w:sz w:val="21"/>
          <w:szCs w:val="21"/>
        </w:rPr>
      </w:pPr>
      <w:r w:rsidRPr="006813AA">
        <w:rPr>
          <w:rFonts w:ascii="Abadi" w:hAnsi="Abadi"/>
          <w:b/>
          <w:bCs/>
          <w:sz w:val="21"/>
          <w:szCs w:val="21"/>
        </w:rPr>
        <w:tab/>
        <w:t>- El Secretario.-</w:t>
      </w:r>
      <w:r w:rsidRPr="006813AA">
        <w:rPr>
          <w:rFonts w:ascii="Abadi" w:hAnsi="Abadi"/>
          <w:sz w:val="21"/>
          <w:szCs w:val="21"/>
        </w:rPr>
        <w:t xml:space="preserve"> Señor Presidente se registraron 30 votos a favor.</w:t>
      </w:r>
    </w:p>
    <w:p w14:paraId="2F964556" w14:textId="3CB6D37B" w:rsidR="00916248" w:rsidRPr="006813AA" w:rsidRDefault="005D47AC" w:rsidP="00916248">
      <w:pPr>
        <w:jc w:val="both"/>
        <w:rPr>
          <w:rFonts w:ascii="Abadi" w:hAnsi="Abadi"/>
          <w:sz w:val="21"/>
          <w:szCs w:val="21"/>
        </w:rPr>
      </w:pPr>
      <w:r w:rsidRPr="006813AA">
        <w:rPr>
          <w:noProof/>
          <w:sz w:val="21"/>
          <w:szCs w:val="21"/>
        </w:rPr>
        <w:drawing>
          <wp:anchor distT="0" distB="0" distL="114300" distR="114300" simplePos="0" relativeHeight="251688960" behindDoc="1" locked="0" layoutInCell="1" allowOverlap="1" wp14:anchorId="2C2E8AB7" wp14:editId="2AAC2E6F">
            <wp:simplePos x="0" y="0"/>
            <wp:positionH relativeFrom="column">
              <wp:posOffset>592455</wp:posOffset>
            </wp:positionH>
            <wp:positionV relativeFrom="paragraph">
              <wp:posOffset>354965</wp:posOffset>
            </wp:positionV>
            <wp:extent cx="1727200" cy="917575"/>
            <wp:effectExtent l="323850" t="323850" r="330200" b="320675"/>
            <wp:wrapTight wrapText="bothSides">
              <wp:wrapPolygon edited="0">
                <wp:start x="-2382" y="-7624"/>
                <wp:lineTo x="-4050" y="-6727"/>
                <wp:lineTo x="-4050" y="22422"/>
                <wp:lineTo x="-2621" y="27803"/>
                <wp:lineTo x="-2382" y="28700"/>
                <wp:lineTo x="23824" y="28700"/>
                <wp:lineTo x="24062" y="27803"/>
                <wp:lineTo x="25491" y="22422"/>
                <wp:lineTo x="25491" y="448"/>
                <wp:lineTo x="23824" y="-6278"/>
                <wp:lineTo x="23824" y="-7624"/>
                <wp:lineTo x="-2382" y="-7624"/>
              </wp:wrapPolygon>
            </wp:wrapTight>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b="5550"/>
                    <a:stretch/>
                  </pic:blipFill>
                  <pic:spPr bwMode="auto">
                    <a:xfrm>
                      <a:off x="0" y="0"/>
                      <a:ext cx="1727200" cy="917575"/>
                    </a:xfrm>
                    <a:prstGeom prst="rect">
                      <a:avLst/>
                    </a:prstGeom>
                    <a:ln w="88900" cap="sq" cmpd="thickThin">
                      <a:solidFill>
                        <a:srgbClr val="000000"/>
                      </a:solidFill>
                      <a:prstDash val="solid"/>
                      <a:miter lim="800000"/>
                    </a:ln>
                    <a:effectLst>
                      <a:glow rad="228600">
                        <a:schemeClr val="accent3">
                          <a:satMod val="175000"/>
                          <a:alpha val="40000"/>
                        </a:schemeClr>
                      </a:glow>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8693F2" w14:textId="32EECCCF" w:rsidR="00916248" w:rsidRDefault="00916248" w:rsidP="00916248">
      <w:pPr>
        <w:jc w:val="both"/>
        <w:rPr>
          <w:rFonts w:ascii="Abadi" w:hAnsi="Abadi"/>
          <w:sz w:val="21"/>
          <w:szCs w:val="21"/>
        </w:rPr>
      </w:pPr>
      <w:r w:rsidRPr="006813AA">
        <w:rPr>
          <w:rFonts w:ascii="Abadi" w:hAnsi="Abadi"/>
          <w:b/>
          <w:bCs/>
          <w:sz w:val="21"/>
          <w:szCs w:val="21"/>
        </w:rPr>
        <w:tab/>
        <w:t>- El Presidente.-</w:t>
      </w:r>
      <w:r w:rsidRPr="006813AA">
        <w:rPr>
          <w:rFonts w:ascii="Abadi" w:hAnsi="Abadi"/>
          <w:sz w:val="21"/>
          <w:szCs w:val="21"/>
        </w:rPr>
        <w:t xml:space="preserve">  La Obvia Resolución ha sido aprobada por unanimidad de votos.</w:t>
      </w:r>
    </w:p>
    <w:p w14:paraId="0E33EF81" w14:textId="77777777" w:rsidR="00916248" w:rsidRPr="006813AA" w:rsidRDefault="00916248" w:rsidP="00916248">
      <w:pPr>
        <w:jc w:val="both"/>
        <w:rPr>
          <w:rFonts w:ascii="Abadi" w:hAnsi="Abadi"/>
          <w:sz w:val="21"/>
          <w:szCs w:val="21"/>
        </w:rPr>
      </w:pPr>
    </w:p>
    <w:p w14:paraId="26E67E29" w14:textId="7977D438" w:rsidR="00916248" w:rsidRDefault="00916248" w:rsidP="00916248">
      <w:pPr>
        <w:jc w:val="both"/>
        <w:rPr>
          <w:rFonts w:ascii="Abadi" w:hAnsi="Abadi"/>
          <w:sz w:val="21"/>
          <w:szCs w:val="21"/>
        </w:rPr>
      </w:pPr>
      <w:r w:rsidRPr="006813AA">
        <w:rPr>
          <w:rFonts w:ascii="Abadi" w:hAnsi="Abadi"/>
          <w:sz w:val="21"/>
          <w:szCs w:val="21"/>
        </w:rPr>
        <w:tab/>
      </w:r>
      <w:r w:rsidRPr="006813AA">
        <w:rPr>
          <w:rFonts w:ascii="Abadi" w:hAnsi="Abadi"/>
          <w:b/>
          <w:bCs/>
          <w:sz w:val="21"/>
          <w:szCs w:val="21"/>
        </w:rPr>
        <w:t>- El Presidente.-</w:t>
      </w:r>
      <w:r w:rsidRPr="006813AA">
        <w:rPr>
          <w:rFonts w:ascii="Abadi" w:hAnsi="Abadi"/>
          <w:sz w:val="21"/>
          <w:szCs w:val="21"/>
        </w:rPr>
        <w:t xml:space="preserve"> En consecuencia ahora sometemos a discusión el punto de acuerdo</w:t>
      </w:r>
      <w:r>
        <w:rPr>
          <w:rFonts w:ascii="Abadi" w:hAnsi="Abadi"/>
          <w:sz w:val="21"/>
          <w:szCs w:val="21"/>
        </w:rPr>
        <w:t>.</w:t>
      </w:r>
    </w:p>
    <w:p w14:paraId="05155691" w14:textId="77777777" w:rsidR="00916248" w:rsidRDefault="00916248" w:rsidP="00916248">
      <w:pPr>
        <w:jc w:val="both"/>
        <w:rPr>
          <w:rFonts w:ascii="Abadi" w:hAnsi="Abadi"/>
          <w:sz w:val="21"/>
          <w:szCs w:val="21"/>
        </w:rPr>
      </w:pPr>
    </w:p>
    <w:p w14:paraId="7382BD2A" w14:textId="17061A64" w:rsidR="00916248" w:rsidRDefault="00916248" w:rsidP="00916248">
      <w:pPr>
        <w:jc w:val="both"/>
        <w:rPr>
          <w:rFonts w:ascii="Abadi" w:hAnsi="Abadi"/>
          <w:sz w:val="21"/>
          <w:szCs w:val="21"/>
        </w:rPr>
      </w:pPr>
      <w:r>
        <w:rPr>
          <w:rFonts w:ascii="Abadi" w:hAnsi="Abadi"/>
          <w:sz w:val="21"/>
          <w:szCs w:val="21"/>
        </w:rPr>
        <w:tab/>
        <w:t>- M</w:t>
      </w:r>
      <w:r w:rsidRPr="006813AA">
        <w:rPr>
          <w:rFonts w:ascii="Abadi" w:hAnsi="Abadi"/>
          <w:sz w:val="21"/>
          <w:szCs w:val="21"/>
        </w:rPr>
        <w:t>e permito informar que previamente se ha inscrito la diputada Susana Bermúdez Cano, para hablar en contra.</w:t>
      </w:r>
    </w:p>
    <w:p w14:paraId="7C4698E7" w14:textId="77777777" w:rsidR="00916248" w:rsidRPr="006813AA" w:rsidRDefault="00916248" w:rsidP="00916248">
      <w:pPr>
        <w:jc w:val="both"/>
        <w:rPr>
          <w:rFonts w:ascii="Abadi" w:hAnsi="Abadi"/>
          <w:sz w:val="21"/>
          <w:szCs w:val="21"/>
        </w:rPr>
      </w:pPr>
    </w:p>
    <w:p w14:paraId="799FDF07" w14:textId="602F289F" w:rsidR="00916248" w:rsidRDefault="00916248" w:rsidP="00916248">
      <w:pPr>
        <w:jc w:val="both"/>
        <w:rPr>
          <w:rFonts w:ascii="Abadi" w:hAnsi="Abadi"/>
          <w:sz w:val="21"/>
          <w:szCs w:val="21"/>
        </w:rPr>
      </w:pPr>
      <w:r>
        <w:rPr>
          <w:rFonts w:ascii="Abadi" w:hAnsi="Abadi"/>
          <w:sz w:val="21"/>
          <w:szCs w:val="21"/>
        </w:rPr>
        <w:tab/>
      </w:r>
      <w:r w:rsidRPr="006813AA">
        <w:rPr>
          <w:rFonts w:ascii="Abadi" w:hAnsi="Abadi"/>
          <w:sz w:val="21"/>
          <w:szCs w:val="21"/>
        </w:rPr>
        <w:t xml:space="preserve">- Sí alguna otra diputada o algún diputado desea hacer uso de la palabra en pro ¿diputado David Martínez? ¡perdón! </w:t>
      </w:r>
      <w:r w:rsidRPr="006813AA">
        <w:rPr>
          <w:rFonts w:ascii="Abadi" w:hAnsi="Abadi"/>
          <w:b/>
          <w:bCs/>
          <w:sz w:val="21"/>
          <w:szCs w:val="21"/>
        </w:rPr>
        <w:t>(Voz) diputado David Martínez,</w:t>
      </w:r>
      <w:r w:rsidRPr="006813AA">
        <w:rPr>
          <w:rFonts w:ascii="Abadi" w:hAnsi="Abadi"/>
          <w:sz w:val="21"/>
          <w:szCs w:val="21"/>
        </w:rPr>
        <w:t xml:space="preserve"> para hablar a favor </w:t>
      </w:r>
      <w:r w:rsidRPr="00223481">
        <w:rPr>
          <w:rFonts w:ascii="Abadi" w:hAnsi="Abadi"/>
          <w:b/>
          <w:bCs/>
          <w:sz w:val="21"/>
          <w:szCs w:val="21"/>
        </w:rPr>
        <w:t>(Voz) diputado Presidente,</w:t>
      </w:r>
      <w:r w:rsidRPr="006813AA">
        <w:rPr>
          <w:rFonts w:ascii="Abadi" w:hAnsi="Abadi"/>
          <w:sz w:val="21"/>
          <w:szCs w:val="21"/>
        </w:rPr>
        <w:t xml:space="preserve"> gracias diputado David. nadie más.</w:t>
      </w:r>
    </w:p>
    <w:p w14:paraId="27E164B7" w14:textId="77777777" w:rsidR="00916248" w:rsidRPr="006813AA" w:rsidRDefault="00916248" w:rsidP="00916248">
      <w:pPr>
        <w:jc w:val="both"/>
        <w:rPr>
          <w:rFonts w:ascii="Abadi" w:hAnsi="Abadi"/>
          <w:sz w:val="21"/>
          <w:szCs w:val="21"/>
        </w:rPr>
      </w:pPr>
    </w:p>
    <w:p w14:paraId="053C099B" w14:textId="1884D1AB" w:rsidR="00916248" w:rsidRDefault="00916248" w:rsidP="00916248">
      <w:pPr>
        <w:jc w:val="both"/>
        <w:rPr>
          <w:rFonts w:ascii="Abadi" w:hAnsi="Abadi"/>
          <w:sz w:val="21"/>
          <w:szCs w:val="21"/>
        </w:rPr>
      </w:pPr>
      <w:r>
        <w:rPr>
          <w:rFonts w:ascii="Abadi" w:hAnsi="Abadi"/>
          <w:sz w:val="21"/>
          <w:szCs w:val="21"/>
        </w:rPr>
        <w:tab/>
      </w:r>
      <w:r w:rsidRPr="006813AA">
        <w:rPr>
          <w:rFonts w:ascii="Abadi" w:hAnsi="Abadi"/>
          <w:sz w:val="21"/>
          <w:szCs w:val="21"/>
        </w:rPr>
        <w:t>- Agotada la participación ¿sí? se concede el uso de la palabra a la diputada Susana Bermúdez Cano, hasta por 10 minutos.</w:t>
      </w:r>
    </w:p>
    <w:p w14:paraId="3A6C5713" w14:textId="77C5B3B9" w:rsidR="00916248" w:rsidRPr="006813AA" w:rsidRDefault="00916248" w:rsidP="00916248">
      <w:pPr>
        <w:jc w:val="both"/>
        <w:rPr>
          <w:rFonts w:ascii="Abadi" w:hAnsi="Abadi"/>
          <w:sz w:val="21"/>
          <w:szCs w:val="21"/>
        </w:rPr>
      </w:pPr>
    </w:p>
    <w:p w14:paraId="6B492EBC" w14:textId="49A456F0" w:rsidR="00916248" w:rsidRDefault="00916248" w:rsidP="00916248">
      <w:pPr>
        <w:jc w:val="both"/>
        <w:rPr>
          <w:rFonts w:ascii="Abadi" w:hAnsi="Abadi"/>
          <w:b/>
          <w:bCs/>
          <w:sz w:val="21"/>
          <w:szCs w:val="21"/>
        </w:rPr>
      </w:pPr>
      <w:r w:rsidRPr="006813AA">
        <w:rPr>
          <w:rFonts w:ascii="Abadi" w:hAnsi="Abadi"/>
          <w:b/>
          <w:bCs/>
          <w:sz w:val="21"/>
          <w:szCs w:val="21"/>
        </w:rPr>
        <w:t>(Sube a tribuna la diputada Susana Bermúdez Cano, para hab</w:t>
      </w:r>
      <w:r>
        <w:rPr>
          <w:rFonts w:ascii="Abadi" w:hAnsi="Abadi"/>
          <w:b/>
          <w:bCs/>
          <w:sz w:val="21"/>
          <w:szCs w:val="21"/>
        </w:rPr>
        <w:t>l</w:t>
      </w:r>
      <w:r w:rsidRPr="006813AA">
        <w:rPr>
          <w:rFonts w:ascii="Abadi" w:hAnsi="Abadi"/>
          <w:b/>
          <w:bCs/>
          <w:sz w:val="21"/>
          <w:szCs w:val="21"/>
        </w:rPr>
        <w:t xml:space="preserve">ar en contra del punto de acuerdo en referencia) </w:t>
      </w:r>
    </w:p>
    <w:p w14:paraId="724F75E9" w14:textId="06FA65B1" w:rsidR="005D47AC" w:rsidRPr="006813AA" w:rsidRDefault="005D47AC" w:rsidP="00916248">
      <w:pPr>
        <w:jc w:val="both"/>
        <w:rPr>
          <w:rFonts w:ascii="Abadi" w:hAnsi="Abadi"/>
          <w:b/>
          <w:bCs/>
          <w:sz w:val="21"/>
          <w:szCs w:val="21"/>
        </w:rPr>
      </w:pPr>
    </w:p>
    <w:p w14:paraId="7192E1AC" w14:textId="77777777" w:rsidR="00916248" w:rsidRPr="006813AA" w:rsidRDefault="00916248" w:rsidP="00916248">
      <w:pPr>
        <w:jc w:val="both"/>
        <w:rPr>
          <w:rFonts w:ascii="Abadi" w:hAnsi="Abadi"/>
          <w:b/>
          <w:bCs/>
          <w:sz w:val="21"/>
          <w:szCs w:val="21"/>
        </w:rPr>
      </w:pPr>
    </w:p>
    <w:p w14:paraId="2AE87B99" w14:textId="0113AEE3" w:rsidR="00916248" w:rsidRPr="006813AA" w:rsidRDefault="00916248" w:rsidP="00916248">
      <w:pPr>
        <w:jc w:val="both"/>
        <w:rPr>
          <w:rFonts w:ascii="Abadi" w:hAnsi="Abadi"/>
          <w:b/>
          <w:bCs/>
          <w:sz w:val="21"/>
          <w:szCs w:val="21"/>
        </w:rPr>
      </w:pPr>
    </w:p>
    <w:p w14:paraId="33DA56A7" w14:textId="40A812A0" w:rsidR="00916248" w:rsidRPr="006813AA" w:rsidRDefault="005D47AC" w:rsidP="00916248">
      <w:pPr>
        <w:jc w:val="both"/>
        <w:rPr>
          <w:rFonts w:ascii="Abadi" w:hAnsi="Abadi"/>
          <w:b/>
          <w:bCs/>
          <w:sz w:val="21"/>
          <w:szCs w:val="21"/>
        </w:rPr>
      </w:pPr>
      <w:r w:rsidRPr="006813AA">
        <w:rPr>
          <w:noProof/>
          <w:sz w:val="21"/>
          <w:szCs w:val="21"/>
        </w:rPr>
        <w:drawing>
          <wp:anchor distT="0" distB="0" distL="114300" distR="114300" simplePos="0" relativeHeight="251691008" behindDoc="1" locked="0" layoutInCell="1" allowOverlap="1" wp14:anchorId="550BF1CA" wp14:editId="462F21BE">
            <wp:simplePos x="0" y="0"/>
            <wp:positionH relativeFrom="column">
              <wp:posOffset>638319</wp:posOffset>
            </wp:positionH>
            <wp:positionV relativeFrom="paragraph">
              <wp:posOffset>-203045</wp:posOffset>
            </wp:positionV>
            <wp:extent cx="1466850" cy="775237"/>
            <wp:effectExtent l="247650" t="228600" r="247650" b="787400"/>
            <wp:wrapTight wrapText="bothSides">
              <wp:wrapPolygon edited="0">
                <wp:start x="-3647" y="-6374"/>
                <wp:lineTo x="-3647" y="43023"/>
                <wp:lineTo x="24966" y="43023"/>
                <wp:lineTo x="24966" y="-6374"/>
                <wp:lineTo x="-3647" y="-6374"/>
              </wp:wrapPolygon>
            </wp:wrapTight>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b="6036"/>
                    <a:stretch/>
                  </pic:blipFill>
                  <pic:spPr bwMode="auto">
                    <a:xfrm>
                      <a:off x="0" y="0"/>
                      <a:ext cx="1466850" cy="775237"/>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5A3B15BD" w14:textId="2ECFEE83" w:rsidR="00916248" w:rsidRDefault="00916248" w:rsidP="00916248">
      <w:pPr>
        <w:jc w:val="both"/>
        <w:rPr>
          <w:rFonts w:ascii="Abadi" w:hAnsi="Abadi"/>
          <w:b/>
          <w:bCs/>
          <w:sz w:val="21"/>
          <w:szCs w:val="21"/>
        </w:rPr>
      </w:pPr>
    </w:p>
    <w:p w14:paraId="79FDD1A8" w14:textId="19611178" w:rsidR="000073B8" w:rsidRDefault="000073B8" w:rsidP="00916248">
      <w:pPr>
        <w:jc w:val="both"/>
        <w:rPr>
          <w:rFonts w:ascii="Abadi" w:hAnsi="Abadi"/>
          <w:b/>
          <w:bCs/>
          <w:sz w:val="21"/>
          <w:szCs w:val="21"/>
        </w:rPr>
      </w:pPr>
    </w:p>
    <w:p w14:paraId="3BE7F0C0" w14:textId="4C0BCC84" w:rsidR="000073B8" w:rsidRDefault="000073B8" w:rsidP="00916248">
      <w:pPr>
        <w:jc w:val="both"/>
        <w:rPr>
          <w:rFonts w:ascii="Abadi" w:hAnsi="Abadi"/>
          <w:b/>
          <w:bCs/>
          <w:sz w:val="21"/>
          <w:szCs w:val="21"/>
        </w:rPr>
      </w:pPr>
    </w:p>
    <w:p w14:paraId="7BB1CAD4" w14:textId="6EBF0FEA" w:rsidR="000073B8" w:rsidRDefault="000073B8" w:rsidP="00916248">
      <w:pPr>
        <w:jc w:val="both"/>
        <w:rPr>
          <w:rFonts w:ascii="Abadi" w:hAnsi="Abadi"/>
          <w:b/>
          <w:bCs/>
          <w:sz w:val="21"/>
          <w:szCs w:val="21"/>
        </w:rPr>
      </w:pPr>
    </w:p>
    <w:p w14:paraId="32D2693D" w14:textId="4D1C0BEC" w:rsidR="000073B8" w:rsidRDefault="000073B8" w:rsidP="00916248">
      <w:pPr>
        <w:jc w:val="both"/>
        <w:rPr>
          <w:rFonts w:ascii="Abadi" w:hAnsi="Abadi"/>
          <w:b/>
          <w:bCs/>
          <w:sz w:val="21"/>
          <w:szCs w:val="21"/>
        </w:rPr>
      </w:pPr>
    </w:p>
    <w:p w14:paraId="48023081" w14:textId="170BA18D" w:rsidR="000073B8" w:rsidRDefault="000073B8" w:rsidP="00916248">
      <w:pPr>
        <w:jc w:val="both"/>
        <w:rPr>
          <w:rFonts w:ascii="Abadi" w:hAnsi="Abadi"/>
          <w:b/>
          <w:bCs/>
          <w:sz w:val="21"/>
          <w:szCs w:val="21"/>
        </w:rPr>
      </w:pPr>
    </w:p>
    <w:p w14:paraId="34416C26" w14:textId="4CDEC40C" w:rsidR="000073B8" w:rsidRDefault="000073B8" w:rsidP="00916248">
      <w:pPr>
        <w:jc w:val="both"/>
        <w:rPr>
          <w:rFonts w:ascii="Abadi" w:hAnsi="Abadi"/>
          <w:b/>
          <w:bCs/>
          <w:sz w:val="21"/>
          <w:szCs w:val="21"/>
        </w:rPr>
      </w:pPr>
    </w:p>
    <w:p w14:paraId="1913DCD3" w14:textId="2A0B43AD" w:rsidR="000073B8" w:rsidRDefault="000073B8" w:rsidP="00916248">
      <w:pPr>
        <w:jc w:val="both"/>
        <w:rPr>
          <w:rFonts w:ascii="Abadi" w:hAnsi="Abadi"/>
          <w:b/>
          <w:bCs/>
          <w:sz w:val="21"/>
          <w:szCs w:val="21"/>
        </w:rPr>
      </w:pPr>
    </w:p>
    <w:p w14:paraId="0D300018" w14:textId="05804DB2" w:rsidR="000073B8" w:rsidRDefault="000073B8" w:rsidP="00916248">
      <w:pPr>
        <w:jc w:val="both"/>
        <w:rPr>
          <w:rFonts w:ascii="Abadi" w:hAnsi="Abadi"/>
          <w:b/>
          <w:bCs/>
          <w:sz w:val="21"/>
          <w:szCs w:val="21"/>
        </w:rPr>
      </w:pPr>
    </w:p>
    <w:p w14:paraId="26316940" w14:textId="509F8FF2" w:rsidR="000073B8" w:rsidRDefault="000073B8" w:rsidP="00916248">
      <w:pPr>
        <w:jc w:val="both"/>
        <w:rPr>
          <w:rFonts w:ascii="Abadi" w:hAnsi="Abadi"/>
          <w:b/>
          <w:bCs/>
          <w:sz w:val="21"/>
          <w:szCs w:val="21"/>
        </w:rPr>
      </w:pPr>
    </w:p>
    <w:p w14:paraId="14620CA3" w14:textId="108B74E7" w:rsidR="000073B8" w:rsidRDefault="000073B8" w:rsidP="00916248">
      <w:pPr>
        <w:jc w:val="both"/>
        <w:rPr>
          <w:rFonts w:ascii="Abadi" w:hAnsi="Abadi"/>
          <w:b/>
          <w:bCs/>
          <w:sz w:val="21"/>
          <w:szCs w:val="21"/>
        </w:rPr>
      </w:pPr>
    </w:p>
    <w:p w14:paraId="5110716C" w14:textId="77777777" w:rsidR="000073B8" w:rsidRPr="006813AA" w:rsidRDefault="000073B8" w:rsidP="00916248">
      <w:pPr>
        <w:jc w:val="both"/>
        <w:rPr>
          <w:rFonts w:ascii="Abadi" w:hAnsi="Abadi"/>
          <w:b/>
          <w:bCs/>
          <w:sz w:val="21"/>
          <w:szCs w:val="21"/>
        </w:rPr>
      </w:pPr>
    </w:p>
    <w:p w14:paraId="27BDE208" w14:textId="77777777" w:rsidR="00916248" w:rsidRPr="006813AA" w:rsidRDefault="00916248" w:rsidP="00147A8E">
      <w:pPr>
        <w:jc w:val="center"/>
        <w:rPr>
          <w:rFonts w:ascii="Abadi" w:hAnsi="Abadi"/>
          <w:sz w:val="21"/>
          <w:szCs w:val="21"/>
        </w:rPr>
      </w:pPr>
      <w:r w:rsidRPr="006813AA">
        <w:rPr>
          <w:rFonts w:ascii="Abadi" w:hAnsi="Abadi"/>
          <w:b/>
          <w:bCs/>
          <w:sz w:val="21"/>
          <w:szCs w:val="21"/>
        </w:rPr>
        <w:t>- Diputada Susana Bermúdez Cano -</w:t>
      </w:r>
    </w:p>
    <w:p w14:paraId="3A9515BD" w14:textId="77777777" w:rsidR="00916248" w:rsidRPr="006813AA" w:rsidRDefault="00916248" w:rsidP="00147A8E">
      <w:pPr>
        <w:jc w:val="center"/>
        <w:rPr>
          <w:rFonts w:ascii="Abadi" w:hAnsi="Abadi"/>
          <w:sz w:val="21"/>
          <w:szCs w:val="21"/>
        </w:rPr>
      </w:pPr>
    </w:p>
    <w:p w14:paraId="046FBC6B" w14:textId="44FF2EA1" w:rsidR="00916248" w:rsidRDefault="00916248" w:rsidP="00916248">
      <w:pPr>
        <w:jc w:val="both"/>
        <w:rPr>
          <w:rFonts w:ascii="Abadi" w:hAnsi="Abadi"/>
          <w:sz w:val="21"/>
          <w:szCs w:val="21"/>
        </w:rPr>
      </w:pPr>
      <w:r w:rsidRPr="006813AA">
        <w:rPr>
          <w:rFonts w:ascii="Abadi" w:hAnsi="Abadi"/>
          <w:sz w:val="21"/>
          <w:szCs w:val="21"/>
        </w:rPr>
        <w:t xml:space="preserve">¡Buenas tardes¡ a todas y a todos con su permiso Presidente y de la Mesa Directiva a quienes saludó con mucho gusto a mis compañeras diputadas a mis compañeros diputados y a quién nos acompañan de manera presencial a través de los medios electrónicos y a los medios de comunicación que </w:t>
      </w:r>
      <w:r>
        <w:rPr>
          <w:rFonts w:ascii="Abadi" w:hAnsi="Abadi"/>
          <w:sz w:val="21"/>
          <w:szCs w:val="21"/>
        </w:rPr>
        <w:t>a qui se encuentran.</w:t>
      </w:r>
    </w:p>
    <w:p w14:paraId="0CACBDAB" w14:textId="241BDD0E" w:rsidR="005D47AC" w:rsidRDefault="005D47AC" w:rsidP="00916248">
      <w:pPr>
        <w:jc w:val="both"/>
        <w:rPr>
          <w:rFonts w:ascii="Abadi" w:hAnsi="Abadi"/>
          <w:sz w:val="21"/>
          <w:szCs w:val="21"/>
        </w:rPr>
      </w:pPr>
    </w:p>
    <w:p w14:paraId="4D9C16A8" w14:textId="684BD18D" w:rsidR="00916248" w:rsidRDefault="00916248" w:rsidP="00916248">
      <w:pPr>
        <w:jc w:val="both"/>
        <w:rPr>
          <w:rFonts w:ascii="Abadi" w:hAnsi="Abadi"/>
          <w:sz w:val="21"/>
          <w:szCs w:val="21"/>
        </w:rPr>
      </w:pPr>
      <w:r>
        <w:rPr>
          <w:rFonts w:ascii="Abadi" w:hAnsi="Abadi"/>
          <w:sz w:val="21"/>
          <w:szCs w:val="21"/>
        </w:rPr>
        <w:t xml:space="preserve">Vengo hablar en contra y a señalar los motivos </w:t>
      </w:r>
      <w:r w:rsidRPr="006813AA">
        <w:rPr>
          <w:rFonts w:ascii="Abadi" w:hAnsi="Abadi"/>
          <w:sz w:val="21"/>
          <w:szCs w:val="21"/>
        </w:rPr>
        <w:t>de ello ya que desde el Grupo Parlamentario de Acción Nacional insistimos en este tema como parte de la Diputación Permanente y hoy lo reiteramos el programa de gobierno federal no sólo llegó tarde a la atención de la problemática de la inflación sino que es fallido en septiembre de este año se registró el incremento por más de 18 meses consecutivos de los alimentos del país en la discusión anterior responsabilizaron al conflicto internacional de Ucrania-Rusia sin embargo en el registro de la información del INEGI en diciembre de 2021 meses antes del conflicto el nivel del inflación en productos agropecuarios fue de 15% sólo en frutas y verduras el incremento anual de la inflación en 2021 superó el 21% el problema es claro estaba mucho antes lo hemos señalado y hoy se insiste en ello llegaron tarde y la atención fue y ha sido muy limitada la respuesta del gobierno federal llegó en mayo de 2022 tarde, muy tarde, el paquete contra la inflación y la carestía incluyó productos que representan el 13% del índice de precios y 46% de la inflación en alimentos es decir 87% de productos que forman parte del índice no se ubican en este paquete y más del 50% de productos que generan inflación en alimentos no se integraron al programa es decir extraordinariamente limitado.</w:t>
      </w:r>
    </w:p>
    <w:p w14:paraId="3FB30356" w14:textId="77777777" w:rsidR="00147A8E" w:rsidRPr="006813AA" w:rsidRDefault="00147A8E" w:rsidP="00916248">
      <w:pPr>
        <w:jc w:val="both"/>
        <w:rPr>
          <w:rFonts w:ascii="Abadi" w:hAnsi="Abadi"/>
          <w:sz w:val="21"/>
          <w:szCs w:val="21"/>
        </w:rPr>
      </w:pPr>
    </w:p>
    <w:p w14:paraId="781E174D" w14:textId="5193D069" w:rsidR="00916248" w:rsidRDefault="00916248" w:rsidP="00916248">
      <w:pPr>
        <w:jc w:val="both"/>
        <w:rPr>
          <w:rFonts w:ascii="Abadi" w:hAnsi="Abadi"/>
          <w:sz w:val="21"/>
          <w:szCs w:val="21"/>
        </w:rPr>
      </w:pPr>
      <w:r w:rsidRPr="006813AA">
        <w:rPr>
          <w:rFonts w:ascii="Abadi" w:hAnsi="Abadi"/>
          <w:sz w:val="21"/>
          <w:szCs w:val="21"/>
        </w:rPr>
        <w:t>- Se sorprendieron de que los resultados del programa los precios no sólo no bajaron sino que el incremento continuo el problema era de diseño en temas económicos y esta administración federal simplemente no tiene un resultado positivo inflación elevada y tasas de crecimiento económico nulo esa ha sido la combinación que hereda ese gobierno federal, compartimos también en sesión previa dos datos que son indicativos hoy hay información que confirman aquello que señalamos.</w:t>
      </w:r>
    </w:p>
    <w:p w14:paraId="2EAF21A4" w14:textId="77777777" w:rsidR="00147A8E" w:rsidRPr="006813AA" w:rsidRDefault="00147A8E" w:rsidP="00916248">
      <w:pPr>
        <w:jc w:val="both"/>
        <w:rPr>
          <w:rFonts w:ascii="Abadi" w:hAnsi="Abadi"/>
          <w:sz w:val="21"/>
          <w:szCs w:val="21"/>
        </w:rPr>
      </w:pPr>
    </w:p>
    <w:p w14:paraId="3570D0DF" w14:textId="0FAA4DB9" w:rsidR="00916248" w:rsidRDefault="00916248" w:rsidP="00916248">
      <w:pPr>
        <w:jc w:val="both"/>
        <w:rPr>
          <w:rFonts w:ascii="Abadi" w:hAnsi="Abadi"/>
          <w:sz w:val="21"/>
          <w:szCs w:val="21"/>
        </w:rPr>
      </w:pPr>
      <w:r w:rsidRPr="006813AA">
        <w:rPr>
          <w:rFonts w:ascii="Abadi" w:hAnsi="Abadi"/>
          <w:sz w:val="21"/>
          <w:szCs w:val="21"/>
        </w:rPr>
        <w:t>- Una corrupción en SEGALMEX y dos los efectos de la inseguridad, en el primer caso hoy sabemos que los desvíos son mayores al monto del estafa maestra 38 denuncias ante la fiscalía suponemos que dejaran la defensa que en semanas previas hicieron, sólo suponemos y se sumarán a los señalamientos por el desvío de recursos en el gobierno que ya se señaló en una institución que este gobierno creo, si son conscientes muy consistentes habrán de hacer algún exhorto para desaparecer ese organismo empañado hoy por señalamientos de corrupción.</w:t>
      </w:r>
    </w:p>
    <w:p w14:paraId="13746E14" w14:textId="77777777" w:rsidR="00147A8E" w:rsidRPr="006813AA" w:rsidRDefault="00147A8E" w:rsidP="00916248">
      <w:pPr>
        <w:jc w:val="both"/>
        <w:rPr>
          <w:rFonts w:ascii="Abadi" w:hAnsi="Abadi"/>
          <w:sz w:val="21"/>
          <w:szCs w:val="21"/>
        </w:rPr>
      </w:pPr>
    </w:p>
    <w:p w14:paraId="4409C411" w14:textId="1B8406CE" w:rsidR="00916248" w:rsidRDefault="00916248" w:rsidP="00916248">
      <w:pPr>
        <w:jc w:val="both"/>
        <w:rPr>
          <w:rFonts w:ascii="Abadi" w:hAnsi="Abadi"/>
          <w:sz w:val="21"/>
          <w:szCs w:val="21"/>
        </w:rPr>
      </w:pPr>
      <w:r w:rsidRPr="006813AA">
        <w:rPr>
          <w:rFonts w:ascii="Abadi" w:hAnsi="Abadi"/>
          <w:sz w:val="21"/>
          <w:szCs w:val="21"/>
        </w:rPr>
        <w:t>- En el en el programa de autosuficiencia alimentaria SEGALMEX era el organismo eje, terminó por convertirse en el estigma que dejará marcada a la administración con desvío contra quienes más dijeron que iban a proteger en el segundo caso hoy sabemos por las filtraciones de información que se ha revelado que tenían información que indicaba quienes controlaban el precio en productos como el limón y el pollo, cobro de cuotas por kilo señalan las tarjetas informativas que hoy conocemos y que el gobierno federal conocía; no obstante la estrategia no cambia las decisiones más recientes dejan entrever que siguen sin entender la naturaleza del problema y los alcances de la atención es una ironía que la administración que dijo separarse del neoliberalismo ahora decida disminuir la participación del estado.</w:t>
      </w:r>
    </w:p>
    <w:p w14:paraId="3305D4C5" w14:textId="77777777" w:rsidR="00147A8E" w:rsidRPr="006813AA" w:rsidRDefault="00147A8E" w:rsidP="00916248">
      <w:pPr>
        <w:jc w:val="both"/>
        <w:rPr>
          <w:rFonts w:ascii="Abadi" w:hAnsi="Abadi"/>
          <w:sz w:val="21"/>
          <w:szCs w:val="21"/>
        </w:rPr>
      </w:pPr>
    </w:p>
    <w:p w14:paraId="45B39DD6" w14:textId="01C04B6F" w:rsidR="00916248" w:rsidRDefault="00916248" w:rsidP="00916248">
      <w:pPr>
        <w:jc w:val="both"/>
        <w:rPr>
          <w:rFonts w:ascii="Abadi" w:hAnsi="Abadi"/>
          <w:sz w:val="21"/>
          <w:szCs w:val="21"/>
        </w:rPr>
      </w:pPr>
      <w:r w:rsidRPr="006813AA">
        <w:rPr>
          <w:rFonts w:ascii="Abadi" w:hAnsi="Abadi"/>
          <w:sz w:val="21"/>
          <w:szCs w:val="21"/>
        </w:rPr>
        <w:t>- Decidieron quitar los controles para la verificación de la sanidad y calidad de los alimentos ahora inflación alta con el riesgo de salud al consumidor.</w:t>
      </w:r>
    </w:p>
    <w:p w14:paraId="491A87D6" w14:textId="77777777" w:rsidR="00147A8E" w:rsidRPr="006813AA" w:rsidRDefault="00147A8E" w:rsidP="00916248">
      <w:pPr>
        <w:jc w:val="both"/>
        <w:rPr>
          <w:rFonts w:ascii="Abadi" w:hAnsi="Abadi"/>
          <w:sz w:val="21"/>
          <w:szCs w:val="21"/>
        </w:rPr>
      </w:pPr>
    </w:p>
    <w:p w14:paraId="16BAF688" w14:textId="77777777" w:rsidR="00916248" w:rsidRPr="006813AA" w:rsidRDefault="00916248" w:rsidP="00916248">
      <w:pPr>
        <w:jc w:val="both"/>
        <w:rPr>
          <w:rFonts w:ascii="Abadi" w:hAnsi="Abadi"/>
          <w:sz w:val="21"/>
          <w:szCs w:val="21"/>
        </w:rPr>
      </w:pPr>
      <w:r w:rsidRPr="006813AA">
        <w:rPr>
          <w:rFonts w:ascii="Abadi" w:hAnsi="Abadi"/>
          <w:sz w:val="21"/>
          <w:szCs w:val="21"/>
        </w:rPr>
        <w:t>- Guanajuato ha tomado decisiones para impulsar la economía local y el sector primario, como ejemplo se han impulsado proyectos para la entrega de fertilizantes para apoyo del campo guanajuatense se tienen instrumentos presupuestales específicos como el programa mi familia productiva y sustentable y otro ejemplo es el programa de reconversión sustentable de la agricultura además se ha trabajado con el mejoramiento de infraestructura de 500 km de caminos rurales.</w:t>
      </w:r>
    </w:p>
    <w:p w14:paraId="1D908671" w14:textId="4375BE0B" w:rsidR="00916248" w:rsidRDefault="00916248" w:rsidP="00916248">
      <w:pPr>
        <w:jc w:val="both"/>
        <w:rPr>
          <w:rFonts w:ascii="Abadi" w:hAnsi="Abadi"/>
          <w:sz w:val="21"/>
          <w:szCs w:val="21"/>
        </w:rPr>
      </w:pPr>
      <w:r w:rsidRPr="006813AA">
        <w:rPr>
          <w:rFonts w:ascii="Abadi" w:hAnsi="Abadi"/>
          <w:sz w:val="21"/>
          <w:szCs w:val="21"/>
        </w:rPr>
        <w:t>- Hoy mismo el Grupo Parlamentario de Acción Nacional en voz de mi compañera Briseida Magdaleno promueve reformas legislativas para empoderar a la mujer rural, guanajuatense, en guanajuato tenemos una administración que ha tomado decisiones determinadas para apoyar a las familias del estado.</w:t>
      </w:r>
    </w:p>
    <w:p w14:paraId="170887C9" w14:textId="77777777" w:rsidR="00147A8E" w:rsidRPr="006813AA" w:rsidRDefault="00147A8E" w:rsidP="00916248">
      <w:pPr>
        <w:jc w:val="both"/>
        <w:rPr>
          <w:rFonts w:ascii="Abadi" w:hAnsi="Abadi"/>
          <w:sz w:val="21"/>
          <w:szCs w:val="21"/>
        </w:rPr>
      </w:pPr>
    </w:p>
    <w:p w14:paraId="4C825805" w14:textId="74AFADC2" w:rsidR="00916248" w:rsidRDefault="00916248" w:rsidP="00916248">
      <w:pPr>
        <w:jc w:val="both"/>
        <w:rPr>
          <w:rFonts w:ascii="Abadi" w:hAnsi="Abadi"/>
          <w:sz w:val="21"/>
          <w:szCs w:val="21"/>
        </w:rPr>
      </w:pPr>
      <w:r w:rsidRPr="006813AA">
        <w:rPr>
          <w:rFonts w:ascii="Abadi" w:hAnsi="Abadi"/>
          <w:sz w:val="21"/>
          <w:szCs w:val="21"/>
        </w:rPr>
        <w:t>- Sabemos que son la base de todo en el estado se han impulsado diversas</w:t>
      </w:r>
      <w:r w:rsidRPr="008F09E2">
        <w:rPr>
          <w:rFonts w:ascii="Abadi" w:hAnsi="Abadi"/>
          <w:sz w:val="28"/>
          <w:szCs w:val="28"/>
        </w:rPr>
        <w:t xml:space="preserve"> </w:t>
      </w:r>
      <w:r w:rsidRPr="006813AA">
        <w:rPr>
          <w:rFonts w:ascii="Abadi" w:hAnsi="Abadi"/>
          <w:sz w:val="21"/>
          <w:szCs w:val="21"/>
        </w:rPr>
        <w:t>políticas de reactivación económica que han permitido enfrentar las crisis recientes las estrategias de política han permitido que la economía del estado se coloque con crecimiento por encima del promedio nacional nos hemos colocado como la sexta economía del país en el sector primario el valor de la producción agropecuaria total del país nos coloca en ese lugar.</w:t>
      </w:r>
    </w:p>
    <w:p w14:paraId="12A9EA09" w14:textId="77777777" w:rsidR="00147A8E" w:rsidRPr="006813AA" w:rsidRDefault="00147A8E" w:rsidP="00916248">
      <w:pPr>
        <w:jc w:val="both"/>
        <w:rPr>
          <w:rFonts w:ascii="Abadi" w:hAnsi="Abadi"/>
          <w:sz w:val="21"/>
          <w:szCs w:val="21"/>
        </w:rPr>
      </w:pPr>
    </w:p>
    <w:p w14:paraId="3F778FC8" w14:textId="19DA0486" w:rsidR="00916248" w:rsidRDefault="00916248" w:rsidP="00916248">
      <w:pPr>
        <w:jc w:val="both"/>
        <w:rPr>
          <w:rFonts w:ascii="Abadi" w:hAnsi="Abadi"/>
          <w:sz w:val="21"/>
          <w:szCs w:val="21"/>
        </w:rPr>
      </w:pPr>
      <w:r w:rsidRPr="006813AA">
        <w:rPr>
          <w:rFonts w:ascii="Abadi" w:hAnsi="Abadi"/>
          <w:sz w:val="21"/>
          <w:szCs w:val="21"/>
        </w:rPr>
        <w:t>- No citen cifras aisladas en un problema nacional del que la administración federal es responsable; el gobierno federal ha tenido la oportunidad de actuar contra la inflación, tomar decisiones con mayor anticipación, modificar estrategias darle peso a organismos enfocados en investigar aquellos casos en los que el incremento de precios responde a posibles actos de colusión de participantes en el mercado, mejorar la estrategia de gasto para enfocar subsidios evitar actos de corrupción contra la población más vulnerable, nada de ello han hecho no pidan que se coordine el estado en algo que resulta no sólo tardío sino que demuestra el fracaso de su estrategia que el Gobierno Federal se coordine con el Estado de Guanajuato muchas gracias.</w:t>
      </w:r>
    </w:p>
    <w:p w14:paraId="5BEC42BF" w14:textId="77777777" w:rsidR="00147A8E" w:rsidRPr="006813AA" w:rsidRDefault="00147A8E" w:rsidP="00916248">
      <w:pPr>
        <w:jc w:val="both"/>
        <w:rPr>
          <w:rFonts w:ascii="Abadi" w:hAnsi="Abadi"/>
          <w:sz w:val="21"/>
          <w:szCs w:val="21"/>
        </w:rPr>
      </w:pPr>
    </w:p>
    <w:p w14:paraId="68D3CEEF" w14:textId="11C990D3" w:rsidR="00916248" w:rsidRDefault="00916248" w:rsidP="00916248">
      <w:pPr>
        <w:jc w:val="both"/>
        <w:rPr>
          <w:rFonts w:ascii="Abadi" w:hAnsi="Abadi"/>
          <w:sz w:val="21"/>
          <w:szCs w:val="21"/>
        </w:rPr>
      </w:pPr>
      <w:r w:rsidRPr="006813AA">
        <w:rPr>
          <w:rFonts w:ascii="Abadi" w:hAnsi="Abadi"/>
          <w:sz w:val="21"/>
          <w:szCs w:val="21"/>
        </w:rPr>
        <w:t>- Es cuánto.</w:t>
      </w:r>
    </w:p>
    <w:p w14:paraId="7CC5B6A8" w14:textId="77777777" w:rsidR="00147A8E" w:rsidRPr="006813AA" w:rsidRDefault="00147A8E" w:rsidP="00916248">
      <w:pPr>
        <w:jc w:val="both"/>
        <w:rPr>
          <w:rFonts w:ascii="Abadi" w:hAnsi="Abadi"/>
          <w:sz w:val="21"/>
          <w:szCs w:val="21"/>
        </w:rPr>
      </w:pPr>
    </w:p>
    <w:p w14:paraId="20B69A84" w14:textId="47FD3A3A" w:rsidR="00916248" w:rsidRDefault="00916248" w:rsidP="00916248">
      <w:pPr>
        <w:jc w:val="both"/>
        <w:rPr>
          <w:rFonts w:ascii="Abadi" w:hAnsi="Abadi"/>
          <w:sz w:val="21"/>
          <w:szCs w:val="21"/>
        </w:rPr>
      </w:pPr>
      <w:r>
        <w:rPr>
          <w:rFonts w:ascii="Abadi" w:hAnsi="Abadi"/>
          <w:sz w:val="21"/>
          <w:szCs w:val="21"/>
        </w:rPr>
        <w:t xml:space="preserve">- </w:t>
      </w:r>
      <w:r w:rsidRPr="006813AA">
        <w:rPr>
          <w:rFonts w:ascii="Abadi" w:hAnsi="Abadi"/>
          <w:sz w:val="21"/>
          <w:szCs w:val="21"/>
        </w:rPr>
        <w:t>Gracias diputada Susana Bermúdez Cano.</w:t>
      </w:r>
    </w:p>
    <w:p w14:paraId="58AF8BD3" w14:textId="77777777" w:rsidR="00147A8E" w:rsidRPr="006813AA" w:rsidRDefault="00147A8E" w:rsidP="00916248">
      <w:pPr>
        <w:jc w:val="both"/>
        <w:rPr>
          <w:rFonts w:ascii="Abadi" w:hAnsi="Abadi"/>
          <w:sz w:val="21"/>
          <w:szCs w:val="21"/>
        </w:rPr>
      </w:pPr>
    </w:p>
    <w:p w14:paraId="18527ED1" w14:textId="619405CD" w:rsidR="00916248" w:rsidRDefault="00916248" w:rsidP="00916248">
      <w:pPr>
        <w:jc w:val="both"/>
        <w:rPr>
          <w:rFonts w:ascii="Abadi" w:hAnsi="Abadi"/>
          <w:sz w:val="21"/>
          <w:szCs w:val="21"/>
        </w:rPr>
      </w:pPr>
      <w:r>
        <w:rPr>
          <w:rFonts w:ascii="Abadi" w:hAnsi="Abadi"/>
          <w:b/>
          <w:bCs/>
          <w:sz w:val="28"/>
          <w:szCs w:val="28"/>
        </w:rPr>
        <w:tab/>
      </w:r>
      <w:r w:rsidRPr="006813AA">
        <w:rPr>
          <w:rFonts w:ascii="Abadi" w:hAnsi="Abadi"/>
          <w:b/>
          <w:bCs/>
          <w:sz w:val="21"/>
          <w:szCs w:val="21"/>
        </w:rPr>
        <w:t>- El Presidente.-</w:t>
      </w:r>
      <w:r w:rsidRPr="006813AA">
        <w:rPr>
          <w:rFonts w:ascii="Abadi" w:hAnsi="Abadi"/>
          <w:sz w:val="21"/>
          <w:szCs w:val="21"/>
        </w:rPr>
        <w:t xml:space="preserve"> Es ahora oportunidad de hacer uso de la voz del diputado David Martínez Mendizábal para hablar a favor hasta por 10 minutos.</w:t>
      </w:r>
    </w:p>
    <w:p w14:paraId="06AF75BF" w14:textId="77777777" w:rsidR="00147A8E" w:rsidRPr="006813AA" w:rsidRDefault="00147A8E" w:rsidP="00916248">
      <w:pPr>
        <w:jc w:val="both"/>
        <w:rPr>
          <w:rFonts w:ascii="Abadi" w:hAnsi="Abadi"/>
          <w:sz w:val="21"/>
          <w:szCs w:val="21"/>
        </w:rPr>
      </w:pPr>
    </w:p>
    <w:p w14:paraId="2FD7C8A1" w14:textId="1444E5EC" w:rsidR="00916248" w:rsidRDefault="00916248" w:rsidP="00916248">
      <w:pPr>
        <w:jc w:val="both"/>
        <w:rPr>
          <w:rFonts w:ascii="Abadi" w:hAnsi="Abadi"/>
          <w:sz w:val="21"/>
          <w:szCs w:val="21"/>
        </w:rPr>
      </w:pPr>
      <w:r w:rsidRPr="006813AA">
        <w:rPr>
          <w:rFonts w:ascii="Abadi" w:hAnsi="Abadi"/>
          <w:sz w:val="21"/>
          <w:szCs w:val="21"/>
        </w:rPr>
        <w:t>- Adelante diputado.</w:t>
      </w:r>
    </w:p>
    <w:p w14:paraId="323557CA" w14:textId="77777777" w:rsidR="00147A8E" w:rsidRPr="006813AA" w:rsidRDefault="00147A8E" w:rsidP="00916248">
      <w:pPr>
        <w:jc w:val="both"/>
        <w:rPr>
          <w:rFonts w:ascii="Abadi" w:hAnsi="Abadi"/>
          <w:sz w:val="21"/>
          <w:szCs w:val="21"/>
        </w:rPr>
      </w:pPr>
    </w:p>
    <w:p w14:paraId="0438A4E1" w14:textId="77777777" w:rsidR="00916248" w:rsidRDefault="00916248" w:rsidP="00916248">
      <w:pPr>
        <w:jc w:val="both"/>
        <w:rPr>
          <w:rFonts w:ascii="Abadi" w:hAnsi="Abadi"/>
          <w:sz w:val="21"/>
          <w:szCs w:val="21"/>
        </w:rPr>
      </w:pPr>
      <w:r w:rsidRPr="006813AA">
        <w:rPr>
          <w:rFonts w:ascii="Abadi" w:hAnsi="Abadi"/>
          <w:b/>
          <w:bCs/>
          <w:sz w:val="21"/>
          <w:szCs w:val="21"/>
        </w:rPr>
        <w:t>(Sube a tribuna el diputado David Martínez Mendizábal, para hablar a favor del punto de acuerdo en referencia)</w:t>
      </w:r>
      <w:r w:rsidRPr="006813AA">
        <w:rPr>
          <w:rFonts w:ascii="Abadi" w:hAnsi="Abadi"/>
          <w:sz w:val="21"/>
          <w:szCs w:val="21"/>
        </w:rPr>
        <w:t xml:space="preserve"> </w:t>
      </w:r>
    </w:p>
    <w:p w14:paraId="0C19FDCB" w14:textId="77777777" w:rsidR="00916248" w:rsidRDefault="00916248" w:rsidP="00916248">
      <w:pPr>
        <w:jc w:val="both"/>
        <w:rPr>
          <w:rFonts w:ascii="Abadi" w:hAnsi="Abadi"/>
          <w:sz w:val="21"/>
          <w:szCs w:val="21"/>
        </w:rPr>
      </w:pPr>
    </w:p>
    <w:p w14:paraId="5C2A151C" w14:textId="77777777" w:rsidR="00916248" w:rsidRDefault="00916248" w:rsidP="00916248">
      <w:pPr>
        <w:jc w:val="both"/>
        <w:rPr>
          <w:rFonts w:ascii="Abadi" w:hAnsi="Abadi"/>
          <w:sz w:val="21"/>
          <w:szCs w:val="21"/>
        </w:rPr>
      </w:pPr>
    </w:p>
    <w:p w14:paraId="0DF49FDC" w14:textId="6754DB43" w:rsidR="00916248" w:rsidRDefault="00916248" w:rsidP="00916248">
      <w:pPr>
        <w:jc w:val="both"/>
        <w:rPr>
          <w:rFonts w:ascii="Abadi" w:hAnsi="Abadi"/>
          <w:sz w:val="21"/>
          <w:szCs w:val="21"/>
        </w:rPr>
      </w:pPr>
    </w:p>
    <w:p w14:paraId="7CA56D7F" w14:textId="56F3DDF5" w:rsidR="00916248" w:rsidRDefault="00916248" w:rsidP="00916248">
      <w:pPr>
        <w:jc w:val="both"/>
        <w:rPr>
          <w:rFonts w:ascii="Abadi" w:hAnsi="Abadi"/>
          <w:sz w:val="21"/>
          <w:szCs w:val="21"/>
        </w:rPr>
      </w:pPr>
    </w:p>
    <w:p w14:paraId="6496D6FE" w14:textId="49A7D9D4" w:rsidR="00147A8E" w:rsidRDefault="00147A8E" w:rsidP="00916248">
      <w:pPr>
        <w:jc w:val="both"/>
        <w:rPr>
          <w:rFonts w:ascii="Abadi" w:hAnsi="Abadi"/>
          <w:sz w:val="21"/>
          <w:szCs w:val="21"/>
        </w:rPr>
      </w:pPr>
      <w:r>
        <w:rPr>
          <w:noProof/>
        </w:rPr>
        <w:drawing>
          <wp:anchor distT="0" distB="0" distL="114300" distR="114300" simplePos="0" relativeHeight="251686912" behindDoc="1" locked="0" layoutInCell="1" allowOverlap="1" wp14:anchorId="7022D1FE" wp14:editId="7D53789A">
            <wp:simplePos x="0" y="0"/>
            <wp:positionH relativeFrom="column">
              <wp:posOffset>471805</wp:posOffset>
            </wp:positionH>
            <wp:positionV relativeFrom="paragraph">
              <wp:posOffset>94388</wp:posOffset>
            </wp:positionV>
            <wp:extent cx="1543050" cy="803910"/>
            <wp:effectExtent l="247650" t="228600" r="247650" b="777240"/>
            <wp:wrapTight wrapText="bothSides">
              <wp:wrapPolygon edited="0">
                <wp:start x="-3467" y="-6142"/>
                <wp:lineTo x="-3467" y="41972"/>
                <wp:lineTo x="24800" y="41972"/>
                <wp:lineTo x="24800" y="-6142"/>
                <wp:lineTo x="-3467" y="-6142"/>
              </wp:wrapPolygon>
            </wp:wrapTight>
            <wp:docPr id="37" name="Imagen 37"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Interfaz de usuario gráfica, Sitio web&#10;&#10;Descripción generada automáticamente"/>
                    <pic:cNvPicPr/>
                  </pic:nvPicPr>
                  <pic:blipFill rotWithShape="1">
                    <a:blip r:embed="rId39" cstate="print">
                      <a:extLst>
                        <a:ext uri="{28A0092B-C50C-407E-A947-70E740481C1C}">
                          <a14:useLocalDpi xmlns:a14="http://schemas.microsoft.com/office/drawing/2010/main" val="0"/>
                        </a:ext>
                      </a:extLst>
                    </a:blip>
                    <a:srcRect b="7325"/>
                    <a:stretch/>
                  </pic:blipFill>
                  <pic:spPr bwMode="auto">
                    <a:xfrm>
                      <a:off x="0" y="0"/>
                      <a:ext cx="1543050" cy="80391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CE57A0" w14:textId="5704551D" w:rsidR="00147A8E" w:rsidRDefault="00147A8E" w:rsidP="00916248">
      <w:pPr>
        <w:jc w:val="both"/>
        <w:rPr>
          <w:rFonts w:ascii="Abadi" w:hAnsi="Abadi"/>
          <w:sz w:val="21"/>
          <w:szCs w:val="21"/>
        </w:rPr>
      </w:pPr>
    </w:p>
    <w:p w14:paraId="5C421805" w14:textId="6EA05387" w:rsidR="00147A8E" w:rsidRDefault="00147A8E" w:rsidP="00916248">
      <w:pPr>
        <w:jc w:val="both"/>
        <w:rPr>
          <w:rFonts w:ascii="Abadi" w:hAnsi="Abadi"/>
          <w:sz w:val="21"/>
          <w:szCs w:val="21"/>
        </w:rPr>
      </w:pPr>
    </w:p>
    <w:p w14:paraId="17B14879" w14:textId="07360920" w:rsidR="00147A8E" w:rsidRDefault="00147A8E" w:rsidP="00916248">
      <w:pPr>
        <w:jc w:val="both"/>
        <w:rPr>
          <w:rFonts w:ascii="Abadi" w:hAnsi="Abadi"/>
          <w:sz w:val="21"/>
          <w:szCs w:val="21"/>
        </w:rPr>
      </w:pPr>
    </w:p>
    <w:p w14:paraId="3F08C8D2" w14:textId="4F0D02F8" w:rsidR="00147A8E" w:rsidRDefault="00147A8E" w:rsidP="00916248">
      <w:pPr>
        <w:jc w:val="both"/>
        <w:rPr>
          <w:rFonts w:ascii="Abadi" w:hAnsi="Abadi"/>
          <w:sz w:val="21"/>
          <w:szCs w:val="21"/>
        </w:rPr>
      </w:pPr>
    </w:p>
    <w:p w14:paraId="4137C666" w14:textId="77777777" w:rsidR="00147A8E" w:rsidRDefault="00147A8E" w:rsidP="00916248">
      <w:pPr>
        <w:jc w:val="both"/>
        <w:rPr>
          <w:rFonts w:ascii="Abadi" w:hAnsi="Abadi"/>
          <w:sz w:val="21"/>
          <w:szCs w:val="21"/>
        </w:rPr>
      </w:pPr>
    </w:p>
    <w:p w14:paraId="71669247" w14:textId="77777777" w:rsidR="00916248" w:rsidRPr="006813AA" w:rsidRDefault="00916248" w:rsidP="00916248">
      <w:pPr>
        <w:jc w:val="both"/>
        <w:rPr>
          <w:rFonts w:ascii="Abadi" w:hAnsi="Abadi"/>
          <w:sz w:val="21"/>
          <w:szCs w:val="21"/>
        </w:rPr>
      </w:pPr>
    </w:p>
    <w:p w14:paraId="49EA960A" w14:textId="475C8769" w:rsidR="00147A8E" w:rsidRDefault="00147A8E" w:rsidP="00916248">
      <w:pPr>
        <w:jc w:val="both"/>
        <w:rPr>
          <w:rFonts w:ascii="Abadi" w:hAnsi="Abadi"/>
          <w:b/>
          <w:bCs/>
          <w:sz w:val="21"/>
          <w:szCs w:val="21"/>
        </w:rPr>
      </w:pPr>
    </w:p>
    <w:p w14:paraId="43C3A87A" w14:textId="44232849" w:rsidR="00147A8E" w:rsidRDefault="00147A8E" w:rsidP="00916248">
      <w:pPr>
        <w:jc w:val="both"/>
        <w:rPr>
          <w:rFonts w:ascii="Abadi" w:hAnsi="Abadi"/>
          <w:b/>
          <w:bCs/>
          <w:sz w:val="21"/>
          <w:szCs w:val="21"/>
        </w:rPr>
      </w:pPr>
    </w:p>
    <w:p w14:paraId="13CD5BCD" w14:textId="484794CC" w:rsidR="00147A8E" w:rsidRDefault="00147A8E" w:rsidP="00916248">
      <w:pPr>
        <w:jc w:val="both"/>
        <w:rPr>
          <w:rFonts w:ascii="Abadi" w:hAnsi="Abadi"/>
          <w:b/>
          <w:bCs/>
          <w:sz w:val="21"/>
          <w:szCs w:val="21"/>
        </w:rPr>
      </w:pPr>
    </w:p>
    <w:p w14:paraId="7D244154" w14:textId="77777777" w:rsidR="00147A8E" w:rsidRDefault="00147A8E" w:rsidP="00916248">
      <w:pPr>
        <w:jc w:val="both"/>
        <w:rPr>
          <w:rFonts w:ascii="Abadi" w:hAnsi="Abadi"/>
          <w:b/>
          <w:bCs/>
          <w:sz w:val="21"/>
          <w:szCs w:val="21"/>
        </w:rPr>
      </w:pPr>
    </w:p>
    <w:p w14:paraId="34734EE3" w14:textId="77777777" w:rsidR="00147A8E" w:rsidRDefault="00147A8E" w:rsidP="00916248">
      <w:pPr>
        <w:jc w:val="both"/>
        <w:rPr>
          <w:rFonts w:ascii="Abadi" w:hAnsi="Abadi"/>
          <w:b/>
          <w:bCs/>
          <w:sz w:val="21"/>
          <w:szCs w:val="21"/>
        </w:rPr>
      </w:pPr>
    </w:p>
    <w:p w14:paraId="305E1680" w14:textId="77777777" w:rsidR="00147A8E" w:rsidRDefault="00147A8E" w:rsidP="00916248">
      <w:pPr>
        <w:jc w:val="both"/>
        <w:rPr>
          <w:rFonts w:ascii="Abadi" w:hAnsi="Abadi"/>
          <w:b/>
          <w:bCs/>
          <w:sz w:val="21"/>
          <w:szCs w:val="21"/>
        </w:rPr>
      </w:pPr>
    </w:p>
    <w:p w14:paraId="0706926D" w14:textId="0205B785" w:rsidR="00916248" w:rsidRDefault="00916248" w:rsidP="00147A8E">
      <w:pPr>
        <w:jc w:val="center"/>
        <w:rPr>
          <w:rFonts w:ascii="Abadi" w:hAnsi="Abadi"/>
          <w:b/>
          <w:bCs/>
          <w:sz w:val="21"/>
          <w:szCs w:val="21"/>
        </w:rPr>
      </w:pPr>
      <w:r w:rsidRPr="006813AA">
        <w:rPr>
          <w:rFonts w:ascii="Abadi" w:hAnsi="Abadi"/>
          <w:b/>
          <w:bCs/>
          <w:sz w:val="21"/>
          <w:szCs w:val="21"/>
        </w:rPr>
        <w:t xml:space="preserve">- Diputado David Martínez Mendizábal </w:t>
      </w:r>
      <w:r w:rsidR="00147A8E">
        <w:rPr>
          <w:rFonts w:ascii="Abadi" w:hAnsi="Abadi"/>
          <w:b/>
          <w:bCs/>
          <w:sz w:val="21"/>
          <w:szCs w:val="21"/>
        </w:rPr>
        <w:t>–</w:t>
      </w:r>
    </w:p>
    <w:p w14:paraId="3F37DE2C" w14:textId="77777777" w:rsidR="00147A8E" w:rsidRPr="006813AA" w:rsidRDefault="00147A8E" w:rsidP="00916248">
      <w:pPr>
        <w:jc w:val="both"/>
        <w:rPr>
          <w:rFonts w:ascii="Abadi" w:hAnsi="Abadi"/>
          <w:sz w:val="21"/>
          <w:szCs w:val="21"/>
        </w:rPr>
      </w:pPr>
    </w:p>
    <w:p w14:paraId="222C10FA" w14:textId="72EB30F1" w:rsidR="00916248" w:rsidRDefault="00916248" w:rsidP="00916248">
      <w:pPr>
        <w:jc w:val="both"/>
        <w:rPr>
          <w:rFonts w:ascii="Abadi" w:hAnsi="Abadi"/>
          <w:sz w:val="21"/>
          <w:szCs w:val="21"/>
        </w:rPr>
      </w:pPr>
      <w:r>
        <w:rPr>
          <w:rFonts w:ascii="Abadi" w:hAnsi="Abadi"/>
          <w:sz w:val="21"/>
          <w:szCs w:val="21"/>
        </w:rPr>
        <w:t xml:space="preserve">- </w:t>
      </w:r>
      <w:r w:rsidRPr="006813AA">
        <w:rPr>
          <w:rFonts w:ascii="Abadi" w:hAnsi="Abadi"/>
          <w:sz w:val="21"/>
          <w:szCs w:val="21"/>
        </w:rPr>
        <w:t>Creo que no se entendió la propuesta de</w:t>
      </w:r>
      <w:r>
        <w:rPr>
          <w:rFonts w:ascii="Abadi" w:hAnsi="Abadi"/>
          <w:sz w:val="21"/>
          <w:szCs w:val="21"/>
        </w:rPr>
        <w:t>l</w:t>
      </w:r>
      <w:r w:rsidRPr="006813AA">
        <w:rPr>
          <w:rFonts w:ascii="Abadi" w:hAnsi="Abadi"/>
          <w:sz w:val="21"/>
          <w:szCs w:val="21"/>
        </w:rPr>
        <w:t xml:space="preserve"> compañero Cuauhtémoc, discutimos en la permanente este mismo asunto y me parece que hemos llegado a un callejón sin salida en la exposición del diputado Cuauhtémoc, y vienen aquí a decir que todo es culpa del Gobierno Federal, ¡haber! Lo  más sencillo es que con criterios políticos hablar de un problema económico y vuelvo a decir los primeros quien este estudiando economía, que quien está estudiando economía el primer año de la carrera, sabrá perfectamente los mecanismos por los cuales se genera la inflación y los mecanismos por los cuales la inflación actual porque hay varios tipos de causas que provocan la inflación pero que la compañera que ha dicho anterior que tomó la palabra anteriormente creo que lo desconoce y viene aquí a golpear políticamente, cuando estamos hablando de otra cosa.</w:t>
      </w:r>
    </w:p>
    <w:p w14:paraId="43C19073" w14:textId="77777777" w:rsidR="00147A8E" w:rsidRPr="006813AA" w:rsidRDefault="00147A8E" w:rsidP="00916248">
      <w:pPr>
        <w:jc w:val="both"/>
        <w:rPr>
          <w:rFonts w:ascii="Abadi" w:hAnsi="Abadi"/>
          <w:sz w:val="21"/>
          <w:szCs w:val="21"/>
        </w:rPr>
      </w:pPr>
    </w:p>
    <w:p w14:paraId="0F941533" w14:textId="73F20990" w:rsidR="00916248" w:rsidRDefault="00916248" w:rsidP="00916248">
      <w:pPr>
        <w:jc w:val="both"/>
        <w:rPr>
          <w:rFonts w:ascii="Abadi" w:hAnsi="Abadi"/>
          <w:sz w:val="21"/>
          <w:szCs w:val="21"/>
        </w:rPr>
      </w:pPr>
      <w:r w:rsidRPr="006813AA">
        <w:rPr>
          <w:rFonts w:ascii="Abadi" w:hAnsi="Abadi"/>
          <w:sz w:val="21"/>
          <w:szCs w:val="21"/>
        </w:rPr>
        <w:t xml:space="preserve">- </w:t>
      </w:r>
      <w:r w:rsidRPr="00311873">
        <w:rPr>
          <w:rFonts w:ascii="Abadi" w:hAnsi="Abadi"/>
          <w:sz w:val="21"/>
          <w:szCs w:val="21"/>
        </w:rPr>
        <w:t>Haber</w:t>
      </w:r>
      <w:r>
        <w:rPr>
          <w:rFonts w:ascii="Abadi" w:hAnsi="Abadi"/>
          <w:sz w:val="21"/>
          <w:szCs w:val="21"/>
        </w:rPr>
        <w:t>,</w:t>
      </w:r>
      <w:r w:rsidRPr="00311873">
        <w:rPr>
          <w:rFonts w:ascii="Abadi" w:hAnsi="Abadi"/>
          <w:sz w:val="21"/>
          <w:szCs w:val="21"/>
        </w:rPr>
        <w:t xml:space="preserve"> la inflación</w:t>
      </w:r>
      <w:r>
        <w:rPr>
          <w:rFonts w:ascii="Abadi" w:hAnsi="Abadi"/>
          <w:sz w:val="21"/>
          <w:szCs w:val="21"/>
        </w:rPr>
        <w:t>,</w:t>
      </w:r>
      <w:r w:rsidRPr="00311873">
        <w:rPr>
          <w:rFonts w:ascii="Abadi" w:hAnsi="Abadi"/>
          <w:sz w:val="21"/>
          <w:szCs w:val="21"/>
        </w:rPr>
        <w:t xml:space="preserve"> o sea la elevación de precios a ciertos niveles es producto actual, sí, aunque</w:t>
      </w:r>
      <w:r w:rsidRPr="006813AA">
        <w:rPr>
          <w:rFonts w:ascii="Abadi" w:hAnsi="Abadi"/>
          <w:sz w:val="21"/>
          <w:szCs w:val="21"/>
        </w:rPr>
        <w:t xml:space="preserve"> les duela pues de la guerra de Rusia contra Ucrania, y por el decremento de la tanto de la producción como de los problemas económicos provocados por la pandemia</w:t>
      </w:r>
      <w:r w:rsidR="00147A8E">
        <w:rPr>
          <w:rFonts w:ascii="Abadi" w:hAnsi="Abadi"/>
          <w:sz w:val="21"/>
          <w:szCs w:val="21"/>
        </w:rPr>
        <w:t>.</w:t>
      </w:r>
    </w:p>
    <w:p w14:paraId="785D1A57" w14:textId="77777777" w:rsidR="00147A8E" w:rsidRPr="006813AA" w:rsidRDefault="00147A8E" w:rsidP="00916248">
      <w:pPr>
        <w:jc w:val="both"/>
        <w:rPr>
          <w:rFonts w:ascii="Abadi" w:hAnsi="Abadi"/>
          <w:sz w:val="21"/>
          <w:szCs w:val="21"/>
        </w:rPr>
      </w:pPr>
    </w:p>
    <w:p w14:paraId="3EFDF8DB" w14:textId="2765E056" w:rsidR="00916248" w:rsidRDefault="00916248" w:rsidP="00916248">
      <w:pPr>
        <w:jc w:val="both"/>
        <w:rPr>
          <w:rFonts w:ascii="Abadi" w:hAnsi="Abadi"/>
          <w:sz w:val="21"/>
          <w:szCs w:val="21"/>
        </w:rPr>
      </w:pPr>
      <w:r w:rsidRPr="006813AA">
        <w:rPr>
          <w:rFonts w:ascii="Abadi" w:hAnsi="Abadi"/>
          <w:sz w:val="21"/>
          <w:szCs w:val="21"/>
        </w:rPr>
        <w:t>- Remontémonos, 3 años antes, decir ningún país en el mundo creció y el producto interno bruto que tiene que ver con el crecimiento de la economía y que es uno de los principales elementos para combatir la inflación en el producto en el año 2020 y 2021 en ningún país, creció en lo que venía creciendo,  pero no engañemos a la gente que nos está viendo, venimos del periodo neoliberal de ciertamente el mercado priorizado por los gobiernos del PRI y del PAN eran la cajita mágica que iba a resolver los problemas y por eso vendieron todas las empresas que producían fertilizantes que producían semilla, para no decir de los trenes de los bancos, de todo y otros vienen hablar de la intervención del estado; miren la intervención del estado en problemas  es tan grave como nación tal cual nos afecta hoy, si tiene limitaciones, en la medida que los gobiernos anteriores no han dejado las herramientas fundamentales para intervenir el proceso de inflación qué es lo que puede hacer el gobierno federal para abatir la inflación pues lo que está haciendo con empresarios y empresarias que por cierto ¡eh! quienes dicen que Morena es enemigo de los empresarios y empresarias, topan con pared, se han sentado con los principales agentes económicos del país para disminuir los precios de la tortilla, para congelar los precios del maíz y del frijol y los empresarios las empresarias y las empresarias, los empresarios y los comerciantes, han respondido positivamente al gobierno de Morena.</w:t>
      </w:r>
    </w:p>
    <w:p w14:paraId="0A5C0303" w14:textId="77777777" w:rsidR="00147A8E" w:rsidRPr="006813AA" w:rsidRDefault="00147A8E" w:rsidP="00916248">
      <w:pPr>
        <w:jc w:val="both"/>
        <w:rPr>
          <w:rFonts w:ascii="Abadi" w:hAnsi="Abadi"/>
          <w:sz w:val="21"/>
          <w:szCs w:val="21"/>
        </w:rPr>
      </w:pPr>
    </w:p>
    <w:p w14:paraId="3040AD4C" w14:textId="06EC2D4F" w:rsidR="00916248" w:rsidRDefault="00916248" w:rsidP="00916248">
      <w:pPr>
        <w:jc w:val="both"/>
        <w:rPr>
          <w:rFonts w:ascii="Abadi" w:hAnsi="Abadi"/>
          <w:sz w:val="21"/>
          <w:szCs w:val="21"/>
        </w:rPr>
      </w:pPr>
      <w:r w:rsidRPr="006813AA">
        <w:rPr>
          <w:rFonts w:ascii="Abadi" w:hAnsi="Abadi"/>
          <w:sz w:val="21"/>
          <w:szCs w:val="21"/>
        </w:rPr>
        <w:t>- Que vienen a decir aquí todos los enemigos, de que, pues de nada, todos los instrumentos que tiene el Gobierno Federal para combatir la inflación han sido utilizados, beneficiando sobre todo a la gente pobre.</w:t>
      </w:r>
    </w:p>
    <w:p w14:paraId="2D92F16A" w14:textId="77777777" w:rsidR="00147A8E" w:rsidRPr="006813AA" w:rsidRDefault="00147A8E" w:rsidP="00916248">
      <w:pPr>
        <w:jc w:val="both"/>
        <w:rPr>
          <w:rFonts w:ascii="Abadi" w:hAnsi="Abadi"/>
          <w:sz w:val="21"/>
          <w:szCs w:val="21"/>
        </w:rPr>
      </w:pPr>
    </w:p>
    <w:p w14:paraId="3C44F7E1" w14:textId="79442E72" w:rsidR="00916248" w:rsidRDefault="00916248" w:rsidP="00916248">
      <w:pPr>
        <w:jc w:val="both"/>
        <w:rPr>
          <w:rFonts w:ascii="Abadi" w:hAnsi="Abadi"/>
          <w:sz w:val="21"/>
          <w:szCs w:val="21"/>
        </w:rPr>
      </w:pPr>
      <w:r w:rsidRPr="006813AA">
        <w:rPr>
          <w:rFonts w:ascii="Abadi" w:hAnsi="Abadi"/>
          <w:sz w:val="21"/>
          <w:szCs w:val="21"/>
        </w:rPr>
        <w:t>- Lo que venimos a decir aquí no es achacar al Gobierno Estatal, ¿no? si hay actos de corrupción en el Gobierno Federal, que se persigan se combatan y se castiguen,  combatan  exacta del gobierno estatal hay actos de corrupción en el gobierno federal que persigan se combatan que castiguen, no como en el gobierno estatal, recuerden, la tranza del jardín de niños que se cubrió, recuerden 200000 millones de pesos utilizados, en la barda para la escuela de policía, y se quedó ahí pues se gastaron el dinero y quien sabe en qué, y no se persiguieron, se encubrieron.</w:t>
      </w:r>
    </w:p>
    <w:p w14:paraId="47B6BB6F" w14:textId="77777777" w:rsidR="00147A8E" w:rsidRPr="006813AA" w:rsidRDefault="00147A8E" w:rsidP="00916248">
      <w:pPr>
        <w:jc w:val="both"/>
        <w:rPr>
          <w:rFonts w:ascii="Abadi" w:hAnsi="Abadi"/>
          <w:sz w:val="21"/>
          <w:szCs w:val="21"/>
        </w:rPr>
      </w:pPr>
    </w:p>
    <w:p w14:paraId="3CE64037" w14:textId="48415A14" w:rsidR="00916248" w:rsidRDefault="00916248" w:rsidP="00916248">
      <w:pPr>
        <w:jc w:val="both"/>
        <w:rPr>
          <w:rFonts w:ascii="Abadi" w:hAnsi="Abadi"/>
          <w:sz w:val="21"/>
          <w:szCs w:val="21"/>
        </w:rPr>
      </w:pPr>
      <w:r w:rsidRPr="006813AA">
        <w:rPr>
          <w:rFonts w:ascii="Abadi" w:hAnsi="Abadi"/>
          <w:sz w:val="21"/>
          <w:szCs w:val="21"/>
        </w:rPr>
        <w:t xml:space="preserve">- Que se castigue la corrupción donde quiera, ningún gobierno está exento de los actos de corrupción, lo que sí, es cuando los gobiernos son omisos en combatir los actos de corrupción, ahí creo que todo mundo estamos de acuerdo en lo que se tiene que combatir. </w:t>
      </w:r>
    </w:p>
    <w:p w14:paraId="0E29996B" w14:textId="77777777" w:rsidR="00147A8E" w:rsidRPr="006813AA" w:rsidRDefault="00147A8E" w:rsidP="00916248">
      <w:pPr>
        <w:jc w:val="both"/>
        <w:rPr>
          <w:rFonts w:ascii="Abadi" w:hAnsi="Abadi"/>
          <w:sz w:val="21"/>
          <w:szCs w:val="21"/>
        </w:rPr>
      </w:pPr>
    </w:p>
    <w:p w14:paraId="683A50C6" w14:textId="6CEF63C7" w:rsidR="00916248" w:rsidRDefault="00916248" w:rsidP="00916248">
      <w:pPr>
        <w:jc w:val="both"/>
        <w:rPr>
          <w:rFonts w:ascii="Abadi" w:hAnsi="Abadi"/>
          <w:sz w:val="21"/>
          <w:szCs w:val="21"/>
        </w:rPr>
      </w:pPr>
      <w:r w:rsidRPr="006813AA">
        <w:rPr>
          <w:rFonts w:ascii="Abadi" w:hAnsi="Abadi"/>
          <w:sz w:val="21"/>
          <w:szCs w:val="21"/>
        </w:rPr>
        <w:t>- La inflación,  entonces sí puede ser combatida desde el estado pero es un asunto que tiene que ver con el capitalismo y con el mercado y con las dependencias de las economías del extranjero</w:t>
      </w:r>
      <w:r>
        <w:rPr>
          <w:rFonts w:ascii="Abadi" w:hAnsi="Abadi"/>
          <w:sz w:val="21"/>
          <w:szCs w:val="21"/>
        </w:rPr>
        <w:t>,</w:t>
      </w:r>
      <w:r w:rsidRPr="006813AA">
        <w:rPr>
          <w:rFonts w:ascii="Abadi" w:hAnsi="Abadi"/>
          <w:sz w:val="21"/>
          <w:szCs w:val="21"/>
        </w:rPr>
        <w:t xml:space="preserve"> por eso Morena propugna porque el petróleo y las gasolinas forman parte la autosuficiencia en el país;  como dijo, una diputada del PAN, no ustedes por supuesto, en otro ámbito, no mire, pues es que las gasolinas no influyen mucho en la inflación porque pues la mayoría no tiene coche; uno de los elementos fundamentales para controlar la inflación son la elevación de la gasolina en los combustibles, la gasolina, los combustibles, eso es lo que se está haciendo controlar y si, se está subsidiando </w:t>
      </w:r>
      <w:r>
        <w:rPr>
          <w:rFonts w:ascii="Abadi" w:hAnsi="Abadi"/>
          <w:sz w:val="21"/>
          <w:szCs w:val="21"/>
        </w:rPr>
        <w:t xml:space="preserve">se </w:t>
      </w:r>
      <w:r w:rsidRPr="006813AA">
        <w:rPr>
          <w:rFonts w:ascii="Abadi" w:hAnsi="Abadi"/>
          <w:sz w:val="21"/>
          <w:szCs w:val="21"/>
        </w:rPr>
        <w:t>está subsidiando la gasolina precisamente para evitar que la inflación lleguen a los hogares cualquier comerciante y lo dije la vez pasada que había comerciantes aquí de guanajuato cualquier comerciante sabe perfectamente que la principal de factor de inflación es cuando los combustibles la gasolina el diésel sube</w:t>
      </w:r>
      <w:r>
        <w:rPr>
          <w:rFonts w:ascii="Abadi" w:hAnsi="Abadi"/>
          <w:sz w:val="21"/>
          <w:szCs w:val="21"/>
        </w:rPr>
        <w:t>n,</w:t>
      </w:r>
      <w:r w:rsidRPr="006813AA">
        <w:rPr>
          <w:rFonts w:ascii="Abadi" w:hAnsi="Abadi"/>
          <w:sz w:val="21"/>
          <w:szCs w:val="21"/>
        </w:rPr>
        <w:t xml:space="preserve"> porque automáticamente</w:t>
      </w:r>
      <w:r>
        <w:rPr>
          <w:rFonts w:ascii="Abadi" w:hAnsi="Abadi"/>
          <w:sz w:val="21"/>
          <w:szCs w:val="21"/>
        </w:rPr>
        <w:t>,</w:t>
      </w:r>
      <w:r w:rsidRPr="006813AA">
        <w:rPr>
          <w:rFonts w:ascii="Abadi" w:hAnsi="Abadi"/>
          <w:sz w:val="21"/>
          <w:szCs w:val="21"/>
        </w:rPr>
        <w:t xml:space="preserve"> sube todo entonces control de precios en lo que puede el estado de los alimentos de primera necesidad</w:t>
      </w:r>
      <w:r>
        <w:rPr>
          <w:rFonts w:ascii="Abadi" w:hAnsi="Abadi"/>
          <w:sz w:val="21"/>
          <w:szCs w:val="21"/>
        </w:rPr>
        <w:t>,</w:t>
      </w:r>
      <w:r w:rsidRPr="006813AA">
        <w:rPr>
          <w:rFonts w:ascii="Abadi" w:hAnsi="Abadi"/>
          <w:sz w:val="21"/>
          <w:szCs w:val="21"/>
        </w:rPr>
        <w:t xml:space="preserve"> control </w:t>
      </w:r>
      <w:r>
        <w:rPr>
          <w:rFonts w:ascii="Abadi" w:hAnsi="Abadi"/>
          <w:sz w:val="21"/>
          <w:szCs w:val="21"/>
        </w:rPr>
        <w:t>d</w:t>
      </w:r>
      <w:r w:rsidRPr="006813AA">
        <w:rPr>
          <w:rFonts w:ascii="Abadi" w:hAnsi="Abadi"/>
          <w:sz w:val="21"/>
          <w:szCs w:val="21"/>
        </w:rPr>
        <w:t>el proceso inflacionario de los precios de la gasolina dar certidumbre a las inversiones estamos batiendo récord en inversión extranjera en el país que me viene a decir a mí</w:t>
      </w:r>
      <w:r>
        <w:rPr>
          <w:rFonts w:ascii="Abadi" w:hAnsi="Abadi"/>
          <w:sz w:val="21"/>
          <w:szCs w:val="21"/>
        </w:rPr>
        <w:t>;</w:t>
      </w:r>
      <w:r w:rsidRPr="006813AA">
        <w:rPr>
          <w:rFonts w:ascii="Abadi" w:hAnsi="Abadi"/>
          <w:sz w:val="21"/>
          <w:szCs w:val="21"/>
        </w:rPr>
        <w:t xml:space="preserve"> decir entendemos perfectamente que una economía no puede funcionar si no es a la luz de una producción de los privados de los empresarios y que esa ganancia que obtienen los empresarios es lícita</w:t>
      </w:r>
      <w:r>
        <w:rPr>
          <w:rFonts w:ascii="Abadi" w:hAnsi="Abadi"/>
          <w:sz w:val="21"/>
          <w:szCs w:val="21"/>
        </w:rPr>
        <w:t>,</w:t>
      </w:r>
      <w:r w:rsidRPr="006813AA">
        <w:rPr>
          <w:rFonts w:ascii="Abadi" w:hAnsi="Abadi"/>
          <w:sz w:val="21"/>
          <w:szCs w:val="21"/>
        </w:rPr>
        <w:t xml:space="preserve"> ahí está la muestra de la conf</w:t>
      </w:r>
      <w:r>
        <w:rPr>
          <w:rFonts w:ascii="Abadi" w:hAnsi="Abadi"/>
          <w:sz w:val="21"/>
          <w:szCs w:val="21"/>
        </w:rPr>
        <w:t>ianza</w:t>
      </w:r>
      <w:r w:rsidRPr="006813AA">
        <w:rPr>
          <w:rFonts w:ascii="Abadi" w:hAnsi="Abadi"/>
          <w:sz w:val="21"/>
          <w:szCs w:val="21"/>
        </w:rPr>
        <w:t xml:space="preserve"> que tiene del empresariado del gobierno de López </w:t>
      </w:r>
      <w:r>
        <w:rPr>
          <w:rFonts w:ascii="Abadi" w:hAnsi="Abadi"/>
          <w:sz w:val="21"/>
          <w:szCs w:val="21"/>
        </w:rPr>
        <w:t>O</w:t>
      </w:r>
      <w:r w:rsidRPr="006813AA">
        <w:rPr>
          <w:rFonts w:ascii="Abadi" w:hAnsi="Abadi"/>
          <w:sz w:val="21"/>
          <w:szCs w:val="21"/>
        </w:rPr>
        <w:t>brador</w:t>
      </w:r>
      <w:r>
        <w:rPr>
          <w:rFonts w:ascii="Abadi" w:hAnsi="Abadi"/>
          <w:sz w:val="21"/>
          <w:szCs w:val="21"/>
        </w:rPr>
        <w:t>,</w:t>
      </w:r>
      <w:r w:rsidRPr="006813AA">
        <w:rPr>
          <w:rFonts w:ascii="Abadi" w:hAnsi="Abadi"/>
          <w:sz w:val="21"/>
          <w:szCs w:val="21"/>
        </w:rPr>
        <w:t xml:space="preserve"> se sentaron con él</w:t>
      </w:r>
      <w:r>
        <w:rPr>
          <w:rFonts w:ascii="Abadi" w:hAnsi="Abadi"/>
          <w:sz w:val="21"/>
          <w:szCs w:val="21"/>
        </w:rPr>
        <w:t>,</w:t>
      </w:r>
      <w:r w:rsidRPr="006813AA">
        <w:rPr>
          <w:rFonts w:ascii="Abadi" w:hAnsi="Abadi"/>
          <w:sz w:val="21"/>
          <w:szCs w:val="21"/>
        </w:rPr>
        <w:t xml:space="preserve"> se sentó el señor de Maseca y cómo esos 10 o 15 la </w:t>
      </w:r>
      <w:r>
        <w:rPr>
          <w:rFonts w:ascii="Abadi" w:hAnsi="Abadi"/>
          <w:sz w:val="21"/>
          <w:szCs w:val="21"/>
        </w:rPr>
        <w:t>COPARMEX</w:t>
      </w:r>
      <w:r w:rsidRPr="006813AA">
        <w:rPr>
          <w:rFonts w:ascii="Abadi" w:hAnsi="Abadi"/>
          <w:sz w:val="21"/>
          <w:szCs w:val="21"/>
        </w:rPr>
        <w:t xml:space="preserve"> se sentó con el Presidente López </w:t>
      </w:r>
      <w:r>
        <w:rPr>
          <w:rFonts w:ascii="Abadi" w:hAnsi="Abadi"/>
          <w:sz w:val="21"/>
          <w:szCs w:val="21"/>
        </w:rPr>
        <w:t>O</w:t>
      </w:r>
      <w:r w:rsidRPr="006813AA">
        <w:rPr>
          <w:rFonts w:ascii="Abadi" w:hAnsi="Abadi"/>
          <w:sz w:val="21"/>
          <w:szCs w:val="21"/>
        </w:rPr>
        <w:t>brador</w:t>
      </w:r>
      <w:r>
        <w:rPr>
          <w:rFonts w:ascii="Abadi" w:hAnsi="Abadi"/>
          <w:sz w:val="21"/>
          <w:szCs w:val="21"/>
        </w:rPr>
        <w:t>,</w:t>
      </w:r>
      <w:r w:rsidRPr="006813AA">
        <w:rPr>
          <w:rFonts w:ascii="Abadi" w:hAnsi="Abadi"/>
          <w:sz w:val="21"/>
          <w:szCs w:val="21"/>
        </w:rPr>
        <w:t xml:space="preserve"> es lo que estamos haciendo entonces  no venimos a echarle la culpa al gobierno estatal más bien le decimos que se incorporen con más fuerza a los esfuerzos que están haciendo desde el gobierno federal para combatir la inflación y miren</w:t>
      </w:r>
      <w:r>
        <w:rPr>
          <w:rFonts w:ascii="Abadi" w:hAnsi="Abadi"/>
          <w:sz w:val="21"/>
          <w:szCs w:val="21"/>
        </w:rPr>
        <w:t>,</w:t>
      </w:r>
      <w:r w:rsidRPr="006813AA">
        <w:rPr>
          <w:rFonts w:ascii="Abadi" w:hAnsi="Abadi"/>
          <w:sz w:val="21"/>
          <w:szCs w:val="21"/>
        </w:rPr>
        <w:t xml:space="preserve"> no es nada nuevo</w:t>
      </w:r>
      <w:r>
        <w:rPr>
          <w:rFonts w:ascii="Abadi" w:hAnsi="Abadi"/>
          <w:sz w:val="21"/>
          <w:szCs w:val="21"/>
        </w:rPr>
        <w:t>,</w:t>
      </w:r>
      <w:r w:rsidRPr="006813AA">
        <w:rPr>
          <w:rFonts w:ascii="Abadi" w:hAnsi="Abadi"/>
          <w:sz w:val="21"/>
          <w:szCs w:val="21"/>
        </w:rPr>
        <w:t xml:space="preserve"> no es nada nuevo</w:t>
      </w:r>
      <w:r>
        <w:rPr>
          <w:rFonts w:ascii="Abadi" w:hAnsi="Abadi"/>
          <w:sz w:val="21"/>
          <w:szCs w:val="21"/>
        </w:rPr>
        <w:t>,</w:t>
      </w:r>
      <w:r w:rsidRPr="006813AA">
        <w:rPr>
          <w:rFonts w:ascii="Abadi" w:hAnsi="Abadi"/>
          <w:sz w:val="21"/>
          <w:szCs w:val="21"/>
        </w:rPr>
        <w:t xml:space="preserve"> un ejemplo es el caso del programa ferias de bienestar que ofrece la canasta básica en un proceso sustancialmente más bajo en zonas de  atención proyectaría otro ejemplo en la política de Michoacán sin carestías mediante la cual se establecieron acuerdos con el sector empresarial para contener el impacto inflacionario de la canasta básica</w:t>
      </w:r>
      <w:r>
        <w:rPr>
          <w:rFonts w:ascii="Abadi" w:hAnsi="Abadi"/>
          <w:sz w:val="21"/>
          <w:szCs w:val="21"/>
        </w:rPr>
        <w:t>,</w:t>
      </w:r>
      <w:r w:rsidRPr="006813AA">
        <w:rPr>
          <w:rFonts w:ascii="Abadi" w:hAnsi="Abadi"/>
          <w:sz w:val="21"/>
          <w:szCs w:val="21"/>
        </w:rPr>
        <w:t xml:space="preserve"> un ejemplo más el plan de autoconsumo de Veracruz con lo cual se impulsa el campo para implementar la producción agrícola de alimentos y generar cadenas de producción distribución</w:t>
      </w:r>
      <w:r>
        <w:rPr>
          <w:rFonts w:ascii="Abadi" w:hAnsi="Abadi"/>
          <w:sz w:val="21"/>
          <w:szCs w:val="21"/>
        </w:rPr>
        <w:t>,</w:t>
      </w:r>
      <w:r w:rsidRPr="006813AA">
        <w:rPr>
          <w:rFonts w:ascii="Abadi" w:hAnsi="Abadi"/>
          <w:sz w:val="21"/>
          <w:szCs w:val="21"/>
        </w:rPr>
        <w:t xml:space="preserve"> locales los gobiernos estatales</w:t>
      </w:r>
      <w:r>
        <w:rPr>
          <w:rFonts w:ascii="Abadi" w:hAnsi="Abadi"/>
          <w:sz w:val="21"/>
          <w:szCs w:val="21"/>
        </w:rPr>
        <w:t>,</w:t>
      </w:r>
      <w:r w:rsidRPr="006813AA">
        <w:rPr>
          <w:rFonts w:ascii="Abadi" w:hAnsi="Abadi"/>
          <w:sz w:val="21"/>
          <w:szCs w:val="21"/>
        </w:rPr>
        <w:t xml:space="preserve"> tienen las herramientas y responsabilidad de contribuir a la lucha de la inflación este es mensaje que los gobiernos estatales se incorporan al esfuerzo qué hace el gobierno federal para controlar la inflación</w:t>
      </w:r>
      <w:r>
        <w:rPr>
          <w:rFonts w:ascii="Abadi" w:hAnsi="Abadi"/>
          <w:sz w:val="21"/>
          <w:szCs w:val="21"/>
        </w:rPr>
        <w:t>,</w:t>
      </w:r>
      <w:r w:rsidRPr="006813AA">
        <w:rPr>
          <w:rFonts w:ascii="Abadi" w:hAnsi="Abadi"/>
          <w:sz w:val="21"/>
          <w:szCs w:val="21"/>
        </w:rPr>
        <w:t xml:space="preserve"> seguimos echando la culpa de aquí paya y de allá paca no va a resolver absolutamente nada</w:t>
      </w:r>
      <w:r>
        <w:rPr>
          <w:rFonts w:ascii="Abadi" w:hAnsi="Abadi"/>
          <w:sz w:val="21"/>
          <w:szCs w:val="21"/>
        </w:rPr>
        <w:t>.</w:t>
      </w:r>
    </w:p>
    <w:p w14:paraId="36D3B531" w14:textId="77777777" w:rsidR="00147A8E" w:rsidRDefault="00147A8E" w:rsidP="00916248">
      <w:pPr>
        <w:jc w:val="both"/>
        <w:rPr>
          <w:rFonts w:ascii="Abadi" w:hAnsi="Abadi"/>
          <w:sz w:val="21"/>
          <w:szCs w:val="21"/>
        </w:rPr>
      </w:pPr>
    </w:p>
    <w:p w14:paraId="2039B11F" w14:textId="72DAE1DA" w:rsidR="00916248" w:rsidRDefault="00916248" w:rsidP="00916248">
      <w:pPr>
        <w:jc w:val="both"/>
        <w:rPr>
          <w:rFonts w:ascii="Abadi" w:hAnsi="Abadi"/>
          <w:sz w:val="21"/>
          <w:szCs w:val="21"/>
        </w:rPr>
      </w:pPr>
      <w:r>
        <w:rPr>
          <w:rFonts w:ascii="Abadi" w:hAnsi="Abadi"/>
          <w:sz w:val="21"/>
          <w:szCs w:val="21"/>
        </w:rPr>
        <w:t>- A</w:t>
      </w:r>
      <w:r w:rsidRPr="006813AA">
        <w:rPr>
          <w:rFonts w:ascii="Abadi" w:hAnsi="Abadi"/>
          <w:sz w:val="21"/>
          <w:szCs w:val="21"/>
        </w:rPr>
        <w:t>garremos al toro por los cuernos de la inflación y sumemos a los esfuerzos en todos los niveles de gobierno para que la inflación no suba y recalcó</w:t>
      </w:r>
      <w:r>
        <w:rPr>
          <w:rFonts w:ascii="Abadi" w:hAnsi="Abadi"/>
          <w:sz w:val="21"/>
          <w:szCs w:val="21"/>
        </w:rPr>
        <w:t>,</w:t>
      </w:r>
      <w:r w:rsidRPr="006813AA">
        <w:rPr>
          <w:rFonts w:ascii="Abadi" w:hAnsi="Abadi"/>
          <w:sz w:val="21"/>
          <w:szCs w:val="21"/>
        </w:rPr>
        <w:t xml:space="preserve"> no es un asunto como se acaba de decir</w:t>
      </w:r>
      <w:r>
        <w:rPr>
          <w:rFonts w:ascii="Abadi" w:hAnsi="Abadi"/>
          <w:sz w:val="21"/>
          <w:szCs w:val="21"/>
        </w:rPr>
        <w:t>,</w:t>
      </w:r>
      <w:r w:rsidRPr="006813AA">
        <w:rPr>
          <w:rFonts w:ascii="Abadi" w:hAnsi="Abadi"/>
          <w:sz w:val="21"/>
          <w:szCs w:val="21"/>
        </w:rPr>
        <w:t xml:space="preserve"> con responsabilidad de cualquier gobierno</w:t>
      </w:r>
      <w:r>
        <w:rPr>
          <w:rFonts w:ascii="Abadi" w:hAnsi="Abadi"/>
          <w:sz w:val="21"/>
          <w:szCs w:val="21"/>
        </w:rPr>
        <w:t>,</w:t>
      </w:r>
      <w:r w:rsidRPr="006813AA">
        <w:rPr>
          <w:rFonts w:ascii="Abadi" w:hAnsi="Abadi"/>
          <w:sz w:val="21"/>
          <w:szCs w:val="21"/>
        </w:rPr>
        <w:t xml:space="preserve"> tiene que ver el mercado</w:t>
      </w:r>
      <w:r>
        <w:rPr>
          <w:rFonts w:ascii="Abadi" w:hAnsi="Abadi"/>
          <w:sz w:val="21"/>
          <w:szCs w:val="21"/>
        </w:rPr>
        <w:t>,</w:t>
      </w:r>
      <w:r w:rsidRPr="006813AA">
        <w:rPr>
          <w:rFonts w:ascii="Abadi" w:hAnsi="Abadi"/>
          <w:sz w:val="21"/>
          <w:szCs w:val="21"/>
        </w:rPr>
        <w:t xml:space="preserve"> tiene que ver la productividad las cadenas de valor tiene que ver con el control que puede tener el estado en la economía</w:t>
      </w:r>
      <w:r>
        <w:rPr>
          <w:rFonts w:ascii="Abadi" w:hAnsi="Abadi"/>
          <w:sz w:val="21"/>
          <w:szCs w:val="21"/>
        </w:rPr>
        <w:t>,</w:t>
      </w:r>
      <w:r w:rsidRPr="006813AA">
        <w:rPr>
          <w:rFonts w:ascii="Abadi" w:hAnsi="Abadi"/>
          <w:sz w:val="21"/>
          <w:szCs w:val="21"/>
        </w:rPr>
        <w:t xml:space="preserve"> el respeto para la inversión extranjera son muchos factores los que están enmarcados en el proceso de inflación</w:t>
      </w:r>
      <w:r>
        <w:rPr>
          <w:rFonts w:ascii="Abadi" w:hAnsi="Abadi"/>
          <w:sz w:val="21"/>
          <w:szCs w:val="21"/>
        </w:rPr>
        <w:t>,</w:t>
      </w:r>
      <w:r w:rsidRPr="006813AA">
        <w:rPr>
          <w:rFonts w:ascii="Abadi" w:hAnsi="Abadi"/>
          <w:sz w:val="21"/>
          <w:szCs w:val="21"/>
        </w:rPr>
        <w:t xml:space="preserve"> que el estado en todas sus manifestaciones federal</w:t>
      </w:r>
      <w:r>
        <w:rPr>
          <w:rFonts w:ascii="Abadi" w:hAnsi="Abadi"/>
          <w:sz w:val="21"/>
          <w:szCs w:val="21"/>
        </w:rPr>
        <w:t>,</w:t>
      </w:r>
      <w:r w:rsidRPr="006813AA">
        <w:rPr>
          <w:rFonts w:ascii="Abadi" w:hAnsi="Abadi"/>
          <w:sz w:val="21"/>
          <w:szCs w:val="21"/>
        </w:rPr>
        <w:t xml:space="preserve"> estatal</w:t>
      </w:r>
      <w:r>
        <w:rPr>
          <w:rFonts w:ascii="Abadi" w:hAnsi="Abadi"/>
          <w:sz w:val="21"/>
          <w:szCs w:val="21"/>
        </w:rPr>
        <w:t>,</w:t>
      </w:r>
      <w:r w:rsidRPr="006813AA">
        <w:rPr>
          <w:rFonts w:ascii="Abadi" w:hAnsi="Abadi"/>
          <w:sz w:val="21"/>
          <w:szCs w:val="21"/>
        </w:rPr>
        <w:t xml:space="preserve"> municipal</w:t>
      </w:r>
      <w:r>
        <w:rPr>
          <w:rFonts w:ascii="Abadi" w:hAnsi="Abadi"/>
          <w:sz w:val="21"/>
          <w:szCs w:val="21"/>
        </w:rPr>
        <w:t>,</w:t>
      </w:r>
      <w:r w:rsidRPr="006813AA">
        <w:rPr>
          <w:rFonts w:ascii="Abadi" w:hAnsi="Abadi"/>
          <w:sz w:val="21"/>
          <w:szCs w:val="21"/>
        </w:rPr>
        <w:t xml:space="preserve"> colabore para controlar la inflación</w:t>
      </w:r>
      <w:r>
        <w:rPr>
          <w:rFonts w:ascii="Abadi" w:hAnsi="Abadi"/>
          <w:sz w:val="21"/>
          <w:szCs w:val="21"/>
        </w:rPr>
        <w:t>.</w:t>
      </w:r>
    </w:p>
    <w:p w14:paraId="52176C38" w14:textId="77777777" w:rsidR="00147A8E" w:rsidRDefault="00147A8E" w:rsidP="00916248">
      <w:pPr>
        <w:jc w:val="both"/>
        <w:rPr>
          <w:rFonts w:ascii="Abadi" w:hAnsi="Abadi"/>
          <w:sz w:val="21"/>
          <w:szCs w:val="21"/>
        </w:rPr>
      </w:pPr>
    </w:p>
    <w:p w14:paraId="604CA908" w14:textId="679F7C47" w:rsidR="00916248" w:rsidRDefault="00916248" w:rsidP="00916248">
      <w:pPr>
        <w:jc w:val="both"/>
        <w:rPr>
          <w:rFonts w:ascii="Abadi" w:hAnsi="Abadi"/>
          <w:sz w:val="21"/>
          <w:szCs w:val="21"/>
        </w:rPr>
      </w:pPr>
      <w:r>
        <w:rPr>
          <w:rFonts w:ascii="Abadi" w:hAnsi="Abadi"/>
          <w:sz w:val="21"/>
          <w:szCs w:val="21"/>
        </w:rPr>
        <w:t>- P</w:t>
      </w:r>
      <w:r w:rsidRPr="006813AA">
        <w:rPr>
          <w:rFonts w:ascii="Abadi" w:hAnsi="Abadi"/>
          <w:sz w:val="21"/>
          <w:szCs w:val="21"/>
        </w:rPr>
        <w:t>or eso yo exhorto a que aprobemos lo que aquí ha venido a decir el compañero Cuauhtémoc porque es lógico</w:t>
      </w:r>
      <w:r>
        <w:rPr>
          <w:rFonts w:ascii="Abadi" w:hAnsi="Abadi"/>
          <w:sz w:val="21"/>
          <w:szCs w:val="21"/>
        </w:rPr>
        <w:t>,</w:t>
      </w:r>
      <w:r w:rsidRPr="006813AA">
        <w:rPr>
          <w:rFonts w:ascii="Abadi" w:hAnsi="Abadi"/>
          <w:sz w:val="21"/>
          <w:szCs w:val="21"/>
        </w:rPr>
        <w:t xml:space="preserve"> es sensato y porque quien sabe de economía entiende perfectamente que un discurso de tipo político no combate la inflación</w:t>
      </w:r>
      <w:r>
        <w:rPr>
          <w:rFonts w:ascii="Abadi" w:hAnsi="Abadi"/>
          <w:sz w:val="21"/>
          <w:szCs w:val="21"/>
        </w:rPr>
        <w:t>,</w:t>
      </w:r>
      <w:r w:rsidRPr="006813AA">
        <w:rPr>
          <w:rFonts w:ascii="Abadi" w:hAnsi="Abadi"/>
          <w:sz w:val="21"/>
          <w:szCs w:val="21"/>
        </w:rPr>
        <w:t xml:space="preserve"> al contrario desune y provoca más elevación de los precios </w:t>
      </w:r>
      <w:r>
        <w:rPr>
          <w:rFonts w:ascii="Abadi" w:hAnsi="Abadi"/>
          <w:sz w:val="21"/>
          <w:szCs w:val="21"/>
        </w:rPr>
        <w:t xml:space="preserve">sobre </w:t>
      </w:r>
      <w:r w:rsidRPr="006813AA">
        <w:rPr>
          <w:rFonts w:ascii="Abadi" w:hAnsi="Abadi"/>
          <w:sz w:val="21"/>
          <w:szCs w:val="21"/>
        </w:rPr>
        <w:t xml:space="preserve">todo para la gente que menos </w:t>
      </w:r>
      <w:r>
        <w:rPr>
          <w:rFonts w:ascii="Abadi" w:hAnsi="Abadi"/>
          <w:sz w:val="21"/>
          <w:szCs w:val="21"/>
        </w:rPr>
        <w:t>tiene.</w:t>
      </w:r>
    </w:p>
    <w:p w14:paraId="6C6FAB1F" w14:textId="77777777" w:rsidR="00147A8E" w:rsidRDefault="00147A8E" w:rsidP="00916248">
      <w:pPr>
        <w:jc w:val="both"/>
        <w:rPr>
          <w:rFonts w:ascii="Abadi" w:hAnsi="Abadi"/>
          <w:sz w:val="21"/>
          <w:szCs w:val="21"/>
        </w:rPr>
      </w:pPr>
    </w:p>
    <w:p w14:paraId="77FD8FA3" w14:textId="62AA6645" w:rsidR="00916248" w:rsidRDefault="00916248" w:rsidP="00916248">
      <w:pPr>
        <w:jc w:val="both"/>
        <w:rPr>
          <w:rFonts w:ascii="Abadi" w:hAnsi="Abadi"/>
          <w:sz w:val="21"/>
          <w:szCs w:val="21"/>
        </w:rPr>
      </w:pPr>
      <w:r>
        <w:rPr>
          <w:rFonts w:ascii="Abadi" w:hAnsi="Abadi"/>
          <w:sz w:val="21"/>
          <w:szCs w:val="21"/>
        </w:rPr>
        <w:t>- P</w:t>
      </w:r>
      <w:r w:rsidRPr="006813AA">
        <w:rPr>
          <w:rFonts w:ascii="Abadi" w:hAnsi="Abadi"/>
          <w:sz w:val="21"/>
          <w:szCs w:val="21"/>
        </w:rPr>
        <w:t>odría estar hablando de más elementos y programas que tiene el gobierno para beneficiar a los más pobres</w:t>
      </w:r>
      <w:r>
        <w:rPr>
          <w:rFonts w:ascii="Abadi" w:hAnsi="Abadi"/>
          <w:sz w:val="21"/>
          <w:szCs w:val="21"/>
        </w:rPr>
        <w:t>,</w:t>
      </w:r>
      <w:r w:rsidRPr="006813AA">
        <w:rPr>
          <w:rFonts w:ascii="Abadi" w:hAnsi="Abadi"/>
          <w:sz w:val="21"/>
          <w:szCs w:val="21"/>
        </w:rPr>
        <w:t xml:space="preserve"> pero pues ya se me acabo el tiempo señor presidente y yo exhorto a que votemos a favor de lo que ha planteado el compañero Cuauhtémoc</w:t>
      </w:r>
      <w:r>
        <w:rPr>
          <w:rFonts w:ascii="Abadi" w:hAnsi="Abadi"/>
          <w:sz w:val="21"/>
          <w:szCs w:val="21"/>
        </w:rPr>
        <w:t>,</w:t>
      </w:r>
      <w:r w:rsidRPr="006813AA">
        <w:rPr>
          <w:rFonts w:ascii="Abadi" w:hAnsi="Abadi"/>
          <w:sz w:val="21"/>
          <w:szCs w:val="21"/>
        </w:rPr>
        <w:t xml:space="preserve"> insisto cualquier estudiante de economía del primer semestre se avergonzaría de lo que se ha escuchado en esta tribuna anteriormente</w:t>
      </w:r>
      <w:r>
        <w:rPr>
          <w:rFonts w:ascii="Abadi" w:hAnsi="Abadi"/>
          <w:sz w:val="21"/>
          <w:szCs w:val="21"/>
        </w:rPr>
        <w:t>.</w:t>
      </w:r>
      <w:r w:rsidRPr="006813AA">
        <w:rPr>
          <w:rFonts w:ascii="Abadi" w:hAnsi="Abadi"/>
          <w:sz w:val="21"/>
          <w:szCs w:val="21"/>
        </w:rPr>
        <w:t xml:space="preserve"> </w:t>
      </w:r>
    </w:p>
    <w:p w14:paraId="3E2251CA" w14:textId="77777777" w:rsidR="00147A8E" w:rsidRPr="006813AA" w:rsidRDefault="00147A8E" w:rsidP="00916248">
      <w:pPr>
        <w:jc w:val="both"/>
        <w:rPr>
          <w:rFonts w:ascii="Abadi" w:hAnsi="Abadi"/>
          <w:sz w:val="21"/>
          <w:szCs w:val="21"/>
        </w:rPr>
      </w:pPr>
    </w:p>
    <w:p w14:paraId="557C6A75" w14:textId="1304C3B8" w:rsidR="00916248" w:rsidRDefault="00916248" w:rsidP="00916248">
      <w:pPr>
        <w:jc w:val="both"/>
        <w:rPr>
          <w:rFonts w:ascii="Abadi" w:hAnsi="Abadi"/>
          <w:sz w:val="21"/>
          <w:szCs w:val="21"/>
        </w:rPr>
      </w:pPr>
      <w:r>
        <w:rPr>
          <w:rFonts w:ascii="Abadi" w:hAnsi="Abadi"/>
          <w:sz w:val="21"/>
          <w:szCs w:val="21"/>
        </w:rPr>
        <w:t xml:space="preserve">- </w:t>
      </w:r>
      <w:r w:rsidRPr="006813AA">
        <w:rPr>
          <w:rFonts w:ascii="Abadi" w:hAnsi="Abadi"/>
          <w:sz w:val="21"/>
          <w:szCs w:val="21"/>
        </w:rPr>
        <w:t xml:space="preserve">Gracias diputado David. </w:t>
      </w:r>
    </w:p>
    <w:p w14:paraId="38D51C45" w14:textId="77777777" w:rsidR="00147A8E" w:rsidRDefault="00147A8E" w:rsidP="00916248">
      <w:pPr>
        <w:jc w:val="both"/>
        <w:rPr>
          <w:rFonts w:ascii="Abadi" w:hAnsi="Abadi"/>
          <w:sz w:val="21"/>
          <w:szCs w:val="21"/>
        </w:rPr>
      </w:pPr>
    </w:p>
    <w:p w14:paraId="210CE94A" w14:textId="45A87B5D" w:rsidR="00916248" w:rsidRDefault="00916248" w:rsidP="00916248">
      <w:pPr>
        <w:jc w:val="both"/>
        <w:rPr>
          <w:rFonts w:ascii="Abadi" w:hAnsi="Abadi"/>
          <w:b/>
          <w:bCs/>
          <w:sz w:val="21"/>
          <w:szCs w:val="21"/>
        </w:rPr>
      </w:pPr>
      <w:r w:rsidRPr="006028B3">
        <w:rPr>
          <w:rFonts w:ascii="Abadi" w:hAnsi="Abadi"/>
          <w:b/>
          <w:bCs/>
          <w:sz w:val="21"/>
          <w:szCs w:val="21"/>
        </w:rPr>
        <w:t>(Aplausos)</w:t>
      </w:r>
    </w:p>
    <w:p w14:paraId="6B91757A" w14:textId="77777777" w:rsidR="00147A8E" w:rsidRPr="006028B3" w:rsidRDefault="00147A8E" w:rsidP="00916248">
      <w:pPr>
        <w:jc w:val="both"/>
        <w:rPr>
          <w:rFonts w:ascii="Abadi" w:hAnsi="Abadi"/>
          <w:b/>
          <w:bCs/>
          <w:sz w:val="21"/>
          <w:szCs w:val="21"/>
        </w:rPr>
      </w:pPr>
    </w:p>
    <w:p w14:paraId="075E8D1C" w14:textId="4654A93A" w:rsidR="00916248" w:rsidRDefault="00916248" w:rsidP="00916248">
      <w:pPr>
        <w:jc w:val="both"/>
        <w:rPr>
          <w:rFonts w:ascii="Abadi" w:hAnsi="Abadi"/>
          <w:sz w:val="21"/>
          <w:szCs w:val="21"/>
        </w:rPr>
      </w:pPr>
      <w:r w:rsidRPr="006813AA">
        <w:rPr>
          <w:rFonts w:ascii="Abadi" w:hAnsi="Abadi"/>
          <w:sz w:val="21"/>
          <w:szCs w:val="21"/>
        </w:rPr>
        <w:tab/>
      </w:r>
      <w:r w:rsidRPr="006813AA">
        <w:rPr>
          <w:rFonts w:ascii="Abadi" w:hAnsi="Abadi"/>
          <w:b/>
          <w:bCs/>
          <w:sz w:val="21"/>
          <w:szCs w:val="21"/>
        </w:rPr>
        <w:t>- El Presidente.-</w:t>
      </w:r>
      <w:r w:rsidRPr="006813AA">
        <w:rPr>
          <w:rFonts w:ascii="Abadi" w:hAnsi="Abadi"/>
          <w:sz w:val="21"/>
          <w:szCs w:val="21"/>
        </w:rPr>
        <w:t xml:space="preserve"> Agotadas las participaciones </w:t>
      </w:r>
      <w:r>
        <w:rPr>
          <w:rFonts w:ascii="Abadi" w:hAnsi="Abadi"/>
          <w:sz w:val="21"/>
          <w:szCs w:val="21"/>
        </w:rPr>
        <w:t>s</w:t>
      </w:r>
      <w:r w:rsidRPr="006813AA">
        <w:rPr>
          <w:rFonts w:ascii="Abadi" w:hAnsi="Abadi"/>
          <w:sz w:val="21"/>
          <w:szCs w:val="21"/>
        </w:rPr>
        <w:t xml:space="preserve">e instruye a la Secretaría para que </w:t>
      </w:r>
      <w:r>
        <w:rPr>
          <w:rFonts w:ascii="Abadi" w:hAnsi="Abadi"/>
          <w:sz w:val="21"/>
          <w:szCs w:val="21"/>
        </w:rPr>
        <w:t xml:space="preserve">en votación nominal, </w:t>
      </w:r>
      <w:r w:rsidRPr="006813AA">
        <w:rPr>
          <w:rFonts w:ascii="Abadi" w:hAnsi="Abadi"/>
          <w:sz w:val="21"/>
          <w:szCs w:val="21"/>
        </w:rPr>
        <w:t>a través del sistema electrónico pregunte a la Asamblea si es de aprobarse o no el punto de acuerdo.</w:t>
      </w:r>
    </w:p>
    <w:p w14:paraId="38ED0317" w14:textId="77777777" w:rsidR="00147A8E" w:rsidRPr="006813AA" w:rsidRDefault="00147A8E" w:rsidP="00916248">
      <w:pPr>
        <w:jc w:val="both"/>
        <w:rPr>
          <w:rFonts w:ascii="Abadi" w:hAnsi="Abadi"/>
          <w:sz w:val="21"/>
          <w:szCs w:val="21"/>
        </w:rPr>
      </w:pPr>
    </w:p>
    <w:p w14:paraId="51581AC0" w14:textId="779C6E35" w:rsidR="00916248" w:rsidRDefault="00916248" w:rsidP="00916248">
      <w:pPr>
        <w:jc w:val="both"/>
        <w:rPr>
          <w:rFonts w:ascii="Abadi" w:hAnsi="Abadi"/>
          <w:b/>
          <w:bCs/>
          <w:sz w:val="21"/>
          <w:szCs w:val="21"/>
        </w:rPr>
      </w:pPr>
      <w:r w:rsidRPr="006813AA">
        <w:rPr>
          <w:rFonts w:ascii="Abadi" w:hAnsi="Abadi"/>
          <w:b/>
          <w:bCs/>
          <w:sz w:val="21"/>
          <w:szCs w:val="21"/>
        </w:rPr>
        <w:t>(Se abre nuestro sistema electrónico)</w:t>
      </w:r>
    </w:p>
    <w:p w14:paraId="473CD3D3" w14:textId="77777777" w:rsidR="00147A8E" w:rsidRPr="006813AA" w:rsidRDefault="00147A8E" w:rsidP="00916248">
      <w:pPr>
        <w:jc w:val="both"/>
        <w:rPr>
          <w:rFonts w:ascii="Abadi" w:hAnsi="Abadi"/>
          <w:b/>
          <w:bCs/>
          <w:sz w:val="21"/>
          <w:szCs w:val="21"/>
        </w:rPr>
      </w:pPr>
    </w:p>
    <w:p w14:paraId="3C071EB4" w14:textId="03972723" w:rsidR="00916248" w:rsidRDefault="00916248" w:rsidP="00916248">
      <w:pPr>
        <w:jc w:val="both"/>
        <w:rPr>
          <w:rFonts w:ascii="Abadi" w:hAnsi="Abadi"/>
          <w:sz w:val="21"/>
          <w:szCs w:val="21"/>
        </w:rPr>
      </w:pPr>
      <w:r w:rsidRPr="006813AA">
        <w:rPr>
          <w:rFonts w:ascii="Abadi" w:hAnsi="Abadi"/>
          <w:b/>
          <w:bCs/>
          <w:sz w:val="21"/>
          <w:szCs w:val="21"/>
        </w:rPr>
        <w:tab/>
        <w:t>- El Secretario.-</w:t>
      </w:r>
      <w:r w:rsidRPr="006813AA">
        <w:rPr>
          <w:rFonts w:ascii="Abadi" w:hAnsi="Abadi"/>
          <w:sz w:val="21"/>
          <w:szCs w:val="21"/>
        </w:rPr>
        <w:t xml:space="preserve">  En votación nominal </w:t>
      </w:r>
      <w:r>
        <w:rPr>
          <w:rFonts w:ascii="Abadi" w:hAnsi="Abadi"/>
          <w:sz w:val="21"/>
          <w:szCs w:val="21"/>
        </w:rPr>
        <w:t xml:space="preserve">por el </w:t>
      </w:r>
      <w:r w:rsidRPr="006813AA">
        <w:rPr>
          <w:rFonts w:ascii="Abadi" w:hAnsi="Abadi"/>
          <w:sz w:val="21"/>
          <w:szCs w:val="21"/>
        </w:rPr>
        <w:t xml:space="preserve">sistema electrónico se pregunta a las diputadas y los diputados si se aprueban el punto de acuerdo puesto a su consideración. </w:t>
      </w:r>
      <w:r>
        <w:rPr>
          <w:rFonts w:ascii="Abadi" w:hAnsi="Abadi"/>
          <w:sz w:val="21"/>
          <w:szCs w:val="21"/>
        </w:rPr>
        <w:t xml:space="preserve">¿Diputada Briseida Anabel? ¿Diputada Yulma Rocha? </w:t>
      </w:r>
      <w:r w:rsidRPr="00223481">
        <w:rPr>
          <w:rFonts w:ascii="Abadi" w:hAnsi="Abadi"/>
          <w:b/>
          <w:bCs/>
          <w:sz w:val="21"/>
          <w:szCs w:val="21"/>
        </w:rPr>
        <w:t>(Voz) diputada Yulma Rocha,</w:t>
      </w:r>
      <w:r>
        <w:rPr>
          <w:rFonts w:ascii="Abadi" w:hAnsi="Abadi"/>
          <w:sz w:val="21"/>
          <w:szCs w:val="21"/>
        </w:rPr>
        <w:t xml:space="preserve"> ¿puedo razonar mi voto Presidente? </w:t>
      </w:r>
      <w:r w:rsidRPr="00223481">
        <w:rPr>
          <w:rFonts w:ascii="Abadi" w:hAnsi="Abadi"/>
          <w:b/>
          <w:bCs/>
          <w:sz w:val="21"/>
          <w:szCs w:val="21"/>
        </w:rPr>
        <w:t>(Voz) diputado Presidente,</w:t>
      </w:r>
      <w:r>
        <w:rPr>
          <w:rFonts w:ascii="Abadi" w:hAnsi="Abadi"/>
          <w:sz w:val="21"/>
          <w:szCs w:val="21"/>
        </w:rPr>
        <w:t xml:space="preserve"> ¡primero tiene que emitir su voto diputada! Adelante diputada. </w:t>
      </w:r>
    </w:p>
    <w:p w14:paraId="58C52941" w14:textId="77777777" w:rsidR="00147A8E" w:rsidRDefault="00147A8E" w:rsidP="00916248">
      <w:pPr>
        <w:jc w:val="both"/>
        <w:rPr>
          <w:rFonts w:ascii="Abadi" w:hAnsi="Abadi"/>
          <w:sz w:val="21"/>
          <w:szCs w:val="21"/>
        </w:rPr>
      </w:pPr>
    </w:p>
    <w:p w14:paraId="7831A8E4" w14:textId="1ECC7DA7" w:rsidR="00916248" w:rsidRDefault="00916248" w:rsidP="00916248">
      <w:pPr>
        <w:jc w:val="both"/>
        <w:rPr>
          <w:rFonts w:ascii="Abadi" w:hAnsi="Abadi"/>
          <w:b/>
          <w:bCs/>
          <w:sz w:val="21"/>
          <w:szCs w:val="21"/>
        </w:rPr>
      </w:pPr>
      <w:r w:rsidRPr="009B16E7">
        <w:rPr>
          <w:rFonts w:ascii="Abadi" w:hAnsi="Abadi"/>
          <w:b/>
          <w:bCs/>
          <w:sz w:val="21"/>
          <w:szCs w:val="21"/>
        </w:rPr>
        <w:t>(Razona su voto la diputada Yulma Rocha Aguilar)</w:t>
      </w:r>
    </w:p>
    <w:p w14:paraId="25FD3DBF" w14:textId="77777777" w:rsidR="00147A8E" w:rsidRPr="009B16E7" w:rsidRDefault="00147A8E" w:rsidP="00916248">
      <w:pPr>
        <w:jc w:val="both"/>
        <w:rPr>
          <w:rFonts w:ascii="Abadi" w:hAnsi="Abadi"/>
          <w:b/>
          <w:bCs/>
          <w:sz w:val="21"/>
          <w:szCs w:val="21"/>
        </w:rPr>
      </w:pPr>
    </w:p>
    <w:p w14:paraId="24293A4D" w14:textId="7F368633" w:rsidR="00916248" w:rsidRDefault="00916248" w:rsidP="00916248">
      <w:pPr>
        <w:jc w:val="both"/>
        <w:rPr>
          <w:rFonts w:ascii="Abadi" w:hAnsi="Abadi"/>
          <w:sz w:val="21"/>
          <w:szCs w:val="21"/>
        </w:rPr>
      </w:pPr>
      <w:r>
        <w:rPr>
          <w:rFonts w:ascii="Abadi" w:hAnsi="Abadi"/>
          <w:sz w:val="21"/>
          <w:szCs w:val="21"/>
        </w:rPr>
        <w:t>- S</w:t>
      </w:r>
      <w:r w:rsidRPr="006813AA">
        <w:rPr>
          <w:rFonts w:ascii="Abadi" w:hAnsi="Abadi"/>
          <w:sz w:val="21"/>
          <w:szCs w:val="21"/>
        </w:rPr>
        <w:t xml:space="preserve">olamente para este mencionar que es loable la iniciativa que tuvo el </w:t>
      </w:r>
      <w:r>
        <w:rPr>
          <w:rFonts w:ascii="Abadi" w:hAnsi="Abadi"/>
          <w:sz w:val="21"/>
          <w:szCs w:val="21"/>
        </w:rPr>
        <w:t>E</w:t>
      </w:r>
      <w:r w:rsidRPr="006813AA">
        <w:rPr>
          <w:rFonts w:ascii="Abadi" w:hAnsi="Abadi"/>
          <w:sz w:val="21"/>
          <w:szCs w:val="21"/>
        </w:rPr>
        <w:t xml:space="preserve">jecutivo </w:t>
      </w:r>
      <w:r>
        <w:rPr>
          <w:rFonts w:ascii="Abadi" w:hAnsi="Abadi"/>
          <w:sz w:val="21"/>
          <w:szCs w:val="21"/>
        </w:rPr>
        <w:t>F</w:t>
      </w:r>
      <w:r w:rsidRPr="006813AA">
        <w:rPr>
          <w:rFonts w:ascii="Abadi" w:hAnsi="Abadi"/>
          <w:sz w:val="21"/>
          <w:szCs w:val="21"/>
        </w:rPr>
        <w:t>ederal con respecto a la intervención o control de precios sin embargo pues bueno los especialistas han coincidido que a lo largo de la historia la intervención y control de precios</w:t>
      </w:r>
      <w:r>
        <w:rPr>
          <w:rFonts w:ascii="Abadi" w:hAnsi="Abadi"/>
          <w:sz w:val="21"/>
          <w:szCs w:val="21"/>
        </w:rPr>
        <w:t xml:space="preserve">, </w:t>
      </w:r>
      <w:r w:rsidRPr="006813AA">
        <w:rPr>
          <w:rFonts w:ascii="Abadi" w:hAnsi="Abadi"/>
          <w:sz w:val="21"/>
          <w:szCs w:val="21"/>
        </w:rPr>
        <w:t xml:space="preserve">no ayuda a controlar </w:t>
      </w:r>
      <w:r>
        <w:rPr>
          <w:rFonts w:ascii="Abadi" w:hAnsi="Abadi"/>
          <w:sz w:val="21"/>
          <w:szCs w:val="21"/>
        </w:rPr>
        <w:t>la inflación al contrario hay otros mecanismos</w:t>
      </w:r>
      <w:r w:rsidRPr="006813AA">
        <w:rPr>
          <w:rFonts w:ascii="Abadi" w:hAnsi="Abadi"/>
          <w:sz w:val="21"/>
          <w:szCs w:val="21"/>
        </w:rPr>
        <w:t xml:space="preserve"> de</w:t>
      </w:r>
      <w:r>
        <w:rPr>
          <w:rFonts w:ascii="Abadi" w:hAnsi="Abadi"/>
          <w:sz w:val="21"/>
          <w:szCs w:val="21"/>
        </w:rPr>
        <w:t>sde</w:t>
      </w:r>
      <w:r w:rsidRPr="006813AA">
        <w:rPr>
          <w:rFonts w:ascii="Abadi" w:hAnsi="Abadi"/>
          <w:sz w:val="21"/>
          <w:szCs w:val="21"/>
        </w:rPr>
        <w:t xml:space="preserve"> política fiscal</w:t>
      </w:r>
      <w:r>
        <w:rPr>
          <w:rFonts w:ascii="Abadi" w:hAnsi="Abadi"/>
          <w:sz w:val="21"/>
          <w:szCs w:val="21"/>
        </w:rPr>
        <w:t xml:space="preserve">, </w:t>
      </w:r>
      <w:r w:rsidRPr="006813AA">
        <w:rPr>
          <w:rFonts w:ascii="Abadi" w:hAnsi="Abadi"/>
          <w:sz w:val="21"/>
          <w:szCs w:val="21"/>
        </w:rPr>
        <w:t xml:space="preserve">para que </w:t>
      </w:r>
      <w:r>
        <w:rPr>
          <w:rFonts w:ascii="Abadi" w:hAnsi="Abadi"/>
          <w:sz w:val="21"/>
          <w:szCs w:val="21"/>
        </w:rPr>
        <w:t xml:space="preserve">se </w:t>
      </w:r>
      <w:r w:rsidRPr="006813AA">
        <w:rPr>
          <w:rFonts w:ascii="Abadi" w:hAnsi="Abadi"/>
          <w:sz w:val="21"/>
          <w:szCs w:val="21"/>
        </w:rPr>
        <w:t xml:space="preserve">pueda un tanto menguar lo que </w:t>
      </w:r>
      <w:r>
        <w:rPr>
          <w:rFonts w:ascii="Abadi" w:hAnsi="Abadi"/>
          <w:sz w:val="21"/>
          <w:szCs w:val="21"/>
        </w:rPr>
        <w:t xml:space="preserve">estamos viviendo </w:t>
      </w:r>
      <w:r w:rsidRPr="006813AA">
        <w:rPr>
          <w:rFonts w:ascii="Abadi" w:hAnsi="Abadi"/>
          <w:sz w:val="21"/>
          <w:szCs w:val="21"/>
        </w:rPr>
        <w:t xml:space="preserve">efectivamente en México y en el mundo con respecto al aumento de la </w:t>
      </w:r>
      <w:r>
        <w:rPr>
          <w:rFonts w:ascii="Abadi" w:hAnsi="Abadi"/>
          <w:sz w:val="21"/>
          <w:szCs w:val="21"/>
        </w:rPr>
        <w:t xml:space="preserve">inflación. </w:t>
      </w:r>
    </w:p>
    <w:p w14:paraId="69C74D1C" w14:textId="77777777" w:rsidR="00147A8E" w:rsidRDefault="00147A8E" w:rsidP="00916248">
      <w:pPr>
        <w:jc w:val="both"/>
        <w:rPr>
          <w:rFonts w:ascii="Abadi" w:hAnsi="Abadi"/>
          <w:sz w:val="21"/>
          <w:szCs w:val="21"/>
        </w:rPr>
      </w:pPr>
    </w:p>
    <w:p w14:paraId="14BE7567" w14:textId="77777777" w:rsidR="00592408" w:rsidRDefault="00916248" w:rsidP="00592408">
      <w:pPr>
        <w:jc w:val="both"/>
        <w:rPr>
          <w:rFonts w:ascii="Abadi" w:hAnsi="Abadi"/>
          <w:sz w:val="21"/>
          <w:szCs w:val="21"/>
        </w:rPr>
      </w:pPr>
      <w:r>
        <w:rPr>
          <w:rFonts w:ascii="Abadi" w:hAnsi="Abadi"/>
          <w:sz w:val="21"/>
          <w:szCs w:val="21"/>
        </w:rPr>
        <w:t>¿F</w:t>
      </w:r>
      <w:r w:rsidRPr="006813AA">
        <w:rPr>
          <w:rFonts w:ascii="Abadi" w:hAnsi="Abadi"/>
          <w:sz w:val="21"/>
          <w:szCs w:val="21"/>
        </w:rPr>
        <w:t xml:space="preserve">alta alguna diputada o algún diputado </w:t>
      </w:r>
      <w:r>
        <w:rPr>
          <w:rFonts w:ascii="Abadi" w:hAnsi="Abadi"/>
          <w:sz w:val="21"/>
          <w:szCs w:val="21"/>
        </w:rPr>
        <w:t>de emitir su voto?</w:t>
      </w:r>
    </w:p>
    <w:p w14:paraId="51F9BE64" w14:textId="77777777" w:rsidR="00592408" w:rsidRDefault="00592408" w:rsidP="00592408">
      <w:pPr>
        <w:jc w:val="both"/>
        <w:rPr>
          <w:rFonts w:ascii="Abadi" w:hAnsi="Abadi"/>
          <w:sz w:val="21"/>
          <w:szCs w:val="21"/>
        </w:rPr>
      </w:pPr>
    </w:p>
    <w:p w14:paraId="2880A58D" w14:textId="69AAA145" w:rsidR="00916248" w:rsidRPr="00592408" w:rsidRDefault="00916248" w:rsidP="00592408">
      <w:pPr>
        <w:jc w:val="both"/>
        <w:rPr>
          <w:rFonts w:ascii="Abadi" w:hAnsi="Abadi"/>
          <w:sz w:val="21"/>
          <w:szCs w:val="21"/>
        </w:rPr>
      </w:pPr>
      <w:r w:rsidRPr="00242217">
        <w:rPr>
          <w:rFonts w:ascii="Abadi" w:hAnsi="Abadi"/>
          <w:b/>
          <w:bCs/>
          <w:sz w:val="21"/>
          <w:szCs w:val="21"/>
        </w:rPr>
        <w:t>(Se cierra el sistema electrónico)</w:t>
      </w:r>
    </w:p>
    <w:p w14:paraId="6A5BDE6C" w14:textId="77777777" w:rsidR="00916248" w:rsidRDefault="00916248" w:rsidP="00916248">
      <w:pPr>
        <w:jc w:val="both"/>
        <w:rPr>
          <w:rFonts w:ascii="Abadi" w:hAnsi="Abadi"/>
          <w:b/>
          <w:bCs/>
          <w:sz w:val="21"/>
          <w:szCs w:val="21"/>
        </w:rPr>
      </w:pPr>
    </w:p>
    <w:p w14:paraId="6170CB05" w14:textId="77777777" w:rsidR="00916248" w:rsidRPr="00242217" w:rsidRDefault="00916248" w:rsidP="00916248">
      <w:pPr>
        <w:jc w:val="both"/>
        <w:rPr>
          <w:rFonts w:ascii="Abadi" w:hAnsi="Abadi"/>
          <w:b/>
          <w:bCs/>
          <w:sz w:val="21"/>
          <w:szCs w:val="21"/>
        </w:rPr>
      </w:pPr>
      <w:r>
        <w:rPr>
          <w:noProof/>
        </w:rPr>
        <w:drawing>
          <wp:inline distT="0" distB="0" distL="0" distR="0" wp14:anchorId="3E789109" wp14:editId="36D76ED2">
            <wp:extent cx="1895677" cy="987365"/>
            <wp:effectExtent l="323850" t="323850" r="314325" b="327660"/>
            <wp:docPr id="38" name="Imagen 38"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Interfaz de usuario gráfica, Sitio web&#10;&#10;Descripción generada automáticamente"/>
                    <pic:cNvPicPr/>
                  </pic:nvPicPr>
                  <pic:blipFill rotWithShape="1">
                    <a:blip r:embed="rId40"/>
                    <a:srcRect b="7360"/>
                    <a:stretch/>
                  </pic:blipFill>
                  <pic:spPr bwMode="auto">
                    <a:xfrm>
                      <a:off x="0" y="0"/>
                      <a:ext cx="1908446" cy="994016"/>
                    </a:xfrm>
                    <a:prstGeom prst="rect">
                      <a:avLst/>
                    </a:prstGeom>
                    <a:ln w="88900" cap="sq" cmpd="thickThin">
                      <a:solidFill>
                        <a:srgbClr val="000000"/>
                      </a:solidFill>
                      <a:prstDash val="solid"/>
                      <a:miter lim="800000"/>
                    </a:ln>
                    <a:effectLst>
                      <a:glow rad="228600">
                        <a:schemeClr val="accent3">
                          <a:satMod val="1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3F296D56" w14:textId="1C79720C" w:rsidR="00916248" w:rsidRDefault="00916248" w:rsidP="00916248">
      <w:pPr>
        <w:ind w:firstLine="708"/>
        <w:jc w:val="both"/>
        <w:rPr>
          <w:rFonts w:ascii="Abadi" w:hAnsi="Abadi"/>
          <w:sz w:val="21"/>
          <w:szCs w:val="21"/>
        </w:rPr>
      </w:pPr>
      <w:r w:rsidRPr="00BD2A98">
        <w:rPr>
          <w:rFonts w:ascii="Abadi" w:hAnsi="Abadi"/>
          <w:b/>
          <w:bCs/>
          <w:sz w:val="21"/>
          <w:szCs w:val="21"/>
        </w:rPr>
        <w:t>- El Secretario.-</w:t>
      </w:r>
      <w:r>
        <w:rPr>
          <w:rFonts w:ascii="Abadi" w:hAnsi="Abadi"/>
          <w:sz w:val="21"/>
          <w:szCs w:val="21"/>
        </w:rPr>
        <w:t xml:space="preserve"> S</w:t>
      </w:r>
      <w:r w:rsidRPr="006813AA">
        <w:rPr>
          <w:rFonts w:ascii="Abadi" w:hAnsi="Abadi"/>
          <w:sz w:val="21"/>
          <w:szCs w:val="21"/>
        </w:rPr>
        <w:t>eñor Presidente se registraron 27 votos en contra y 5 votos a favor</w:t>
      </w:r>
      <w:r>
        <w:rPr>
          <w:rFonts w:ascii="Abadi" w:hAnsi="Abadi"/>
          <w:sz w:val="21"/>
          <w:szCs w:val="21"/>
        </w:rPr>
        <w:t>.</w:t>
      </w:r>
    </w:p>
    <w:p w14:paraId="7A18FDB0" w14:textId="77777777" w:rsidR="00147A8E" w:rsidRPr="006813AA" w:rsidRDefault="00147A8E" w:rsidP="00916248">
      <w:pPr>
        <w:ind w:firstLine="708"/>
        <w:jc w:val="both"/>
        <w:rPr>
          <w:rFonts w:ascii="Abadi" w:hAnsi="Abadi"/>
          <w:sz w:val="21"/>
          <w:szCs w:val="21"/>
        </w:rPr>
      </w:pPr>
    </w:p>
    <w:p w14:paraId="33545303" w14:textId="2BC94625" w:rsidR="00916248" w:rsidRDefault="00916248" w:rsidP="00916248">
      <w:pPr>
        <w:ind w:firstLine="708"/>
        <w:jc w:val="both"/>
        <w:rPr>
          <w:rFonts w:ascii="Abadi" w:hAnsi="Abadi"/>
          <w:sz w:val="21"/>
          <w:szCs w:val="21"/>
        </w:rPr>
      </w:pPr>
      <w:r w:rsidRPr="00D97989">
        <w:rPr>
          <w:rFonts w:ascii="Abadi" w:hAnsi="Abadi"/>
          <w:b/>
          <w:bCs/>
          <w:sz w:val="21"/>
          <w:szCs w:val="21"/>
        </w:rPr>
        <w:t>- El Presidente.-</w:t>
      </w:r>
      <w:r>
        <w:rPr>
          <w:rFonts w:ascii="Abadi" w:hAnsi="Abadi"/>
          <w:sz w:val="21"/>
          <w:szCs w:val="21"/>
        </w:rPr>
        <w:t xml:space="preserve"> E</w:t>
      </w:r>
      <w:r w:rsidRPr="006813AA">
        <w:rPr>
          <w:rFonts w:ascii="Abadi" w:hAnsi="Abadi"/>
          <w:sz w:val="21"/>
          <w:szCs w:val="21"/>
        </w:rPr>
        <w:t>l punto de acuerdo no ha sido aprobado</w:t>
      </w:r>
      <w:r>
        <w:rPr>
          <w:rFonts w:ascii="Abadi" w:hAnsi="Abadi"/>
          <w:sz w:val="21"/>
          <w:szCs w:val="21"/>
        </w:rPr>
        <w:t xml:space="preserve">. </w:t>
      </w:r>
    </w:p>
    <w:p w14:paraId="6394C0FF" w14:textId="77777777" w:rsidR="00147A8E" w:rsidRDefault="00147A8E" w:rsidP="00916248">
      <w:pPr>
        <w:ind w:firstLine="708"/>
        <w:jc w:val="both"/>
        <w:rPr>
          <w:rFonts w:ascii="Abadi" w:hAnsi="Abadi"/>
          <w:sz w:val="21"/>
          <w:szCs w:val="21"/>
        </w:rPr>
      </w:pPr>
    </w:p>
    <w:p w14:paraId="398544C0" w14:textId="77777777" w:rsidR="00836303" w:rsidRDefault="00836303" w:rsidP="00147A8E">
      <w:pPr>
        <w:ind w:left="426" w:right="567"/>
        <w:jc w:val="both"/>
        <w:rPr>
          <w:rFonts w:ascii="Abadi" w:hAnsi="Abadi"/>
          <w:b/>
          <w:bCs/>
          <w:i/>
          <w:iCs/>
          <w:sz w:val="21"/>
          <w:szCs w:val="21"/>
          <w:u w:val="single"/>
        </w:rPr>
      </w:pPr>
    </w:p>
    <w:p w14:paraId="6EB5BBE9" w14:textId="77777777" w:rsidR="00836303" w:rsidRDefault="00836303" w:rsidP="00147A8E">
      <w:pPr>
        <w:ind w:left="426" w:right="567"/>
        <w:jc w:val="both"/>
        <w:rPr>
          <w:rFonts w:ascii="Abadi" w:hAnsi="Abadi"/>
          <w:b/>
          <w:bCs/>
          <w:i/>
          <w:iCs/>
          <w:sz w:val="21"/>
          <w:szCs w:val="21"/>
          <w:u w:val="single"/>
        </w:rPr>
      </w:pPr>
    </w:p>
    <w:p w14:paraId="45015A9A" w14:textId="48AB4CFF" w:rsidR="00916248" w:rsidRPr="00D97989" w:rsidRDefault="00916248" w:rsidP="00147A8E">
      <w:pPr>
        <w:ind w:left="426" w:right="567"/>
        <w:jc w:val="both"/>
        <w:rPr>
          <w:rFonts w:ascii="Abadi" w:hAnsi="Abadi"/>
          <w:b/>
          <w:bCs/>
          <w:i/>
          <w:iCs/>
          <w:sz w:val="21"/>
          <w:szCs w:val="21"/>
          <w:u w:val="single"/>
        </w:rPr>
      </w:pPr>
      <w:r w:rsidRPr="00D97989">
        <w:rPr>
          <w:rFonts w:ascii="Abadi" w:hAnsi="Abadi"/>
          <w:b/>
          <w:bCs/>
          <w:i/>
          <w:iCs/>
          <w:sz w:val="21"/>
          <w:szCs w:val="21"/>
          <w:u w:val="single"/>
        </w:rPr>
        <w:t>En virtud de no haberse aprobado la propuesta, se procede al archivo de la misma instruyéndose para tal efecto a la Secretaría General.</w:t>
      </w:r>
    </w:p>
    <w:p w14:paraId="4811D82D" w14:textId="6F9F1A13" w:rsidR="00964302" w:rsidRDefault="00964302" w:rsidP="00147A8E">
      <w:pPr>
        <w:spacing w:after="160" w:line="259" w:lineRule="auto"/>
        <w:ind w:left="426" w:right="567"/>
        <w:jc w:val="center"/>
        <w:rPr>
          <w:rFonts w:ascii="Abadi" w:eastAsiaTheme="minorHAnsi" w:hAnsi="Abadi" w:cs="Amasis MT Pro Light"/>
          <w:b/>
          <w:bCs/>
          <w:color w:val="000000"/>
          <w:sz w:val="21"/>
          <w:szCs w:val="21"/>
          <w:lang w:val="es-MX" w:eastAsia="en-US"/>
        </w:rPr>
      </w:pPr>
    </w:p>
    <w:p w14:paraId="2C584E6A" w14:textId="77777777" w:rsidR="00FA0B52" w:rsidRPr="0028553C" w:rsidRDefault="00FA0B52" w:rsidP="00E462B6">
      <w:pPr>
        <w:autoSpaceDE w:val="0"/>
        <w:autoSpaceDN w:val="0"/>
        <w:adjustRightInd w:val="0"/>
        <w:jc w:val="both"/>
        <w:rPr>
          <w:rFonts w:ascii="Abadi" w:hAnsi="Abadi" w:cs="Arial-BoldMT"/>
          <w:b/>
          <w:bCs/>
          <w:sz w:val="20"/>
          <w:szCs w:val="21"/>
        </w:rPr>
      </w:pPr>
    </w:p>
    <w:p w14:paraId="19DC159D" w14:textId="77777777" w:rsidR="00E462B6" w:rsidRPr="0028553C" w:rsidRDefault="00E462B6">
      <w:pPr>
        <w:pStyle w:val="Prrafodelista"/>
        <w:numPr>
          <w:ilvl w:val="0"/>
          <w:numId w:val="14"/>
        </w:numPr>
        <w:autoSpaceDE w:val="0"/>
        <w:autoSpaceDN w:val="0"/>
        <w:adjustRightInd w:val="0"/>
        <w:contextualSpacing/>
        <w:jc w:val="both"/>
        <w:rPr>
          <w:rFonts w:ascii="Abadi" w:hAnsi="Abadi" w:cs="ArialMT"/>
          <w:b/>
          <w:bCs/>
          <w:sz w:val="20"/>
          <w:szCs w:val="21"/>
        </w:rPr>
      </w:pPr>
      <w:r w:rsidRPr="0028553C">
        <w:rPr>
          <w:rFonts w:ascii="Abadi" w:hAnsi="Abadi" w:cs="ArialMT"/>
          <w:b/>
          <w:bCs/>
          <w:sz w:val="20"/>
          <w:szCs w:val="21"/>
        </w:rPr>
        <w:t>PRESENTACIÓN DE LA PROPUESTA FORMULADA POR LA DIPUTADA Y LOS DIPUTADOS INTEGRANTES DE LA JUNTA DE GOBIERNO Y COORDINACIÓN POLÍTICA RELATIVA A LA MODIFICACIÓN DE LA INTEGRACIÓN DE LAS COMISIONES DE TURISMO, ADMINISTRACIÓN Y MEDIO AMBIENTE; ASÍ COMO DE LA COMISIÓN ESPECIAL PARA DAR SEGUIMIENTO A LA IMPLEMENTACIÓN DE LA AGENDA 2030 Y, EN SU CASO, APROBACIÓN DE LA MISMA.</w:t>
      </w:r>
    </w:p>
    <w:p w14:paraId="2B35DECF" w14:textId="42819003" w:rsidR="00E462B6" w:rsidRDefault="00E462B6" w:rsidP="00E462B6">
      <w:pPr>
        <w:autoSpaceDE w:val="0"/>
        <w:autoSpaceDN w:val="0"/>
        <w:adjustRightInd w:val="0"/>
        <w:jc w:val="both"/>
        <w:rPr>
          <w:rFonts w:ascii="Abadi" w:hAnsi="Abadi" w:cs="ArialMT"/>
          <w:b/>
          <w:bCs/>
          <w:sz w:val="20"/>
          <w:szCs w:val="21"/>
        </w:rPr>
      </w:pPr>
    </w:p>
    <w:p w14:paraId="760F1CD5" w14:textId="77777777" w:rsidR="0033555A" w:rsidRPr="0033555A" w:rsidRDefault="0033555A" w:rsidP="0033555A">
      <w:pPr>
        <w:autoSpaceDE w:val="0"/>
        <w:autoSpaceDN w:val="0"/>
        <w:adjustRightInd w:val="0"/>
        <w:jc w:val="both"/>
        <w:rPr>
          <w:rFonts w:ascii="Abadi" w:eastAsiaTheme="minorHAnsi" w:hAnsi="Abadi" w:cs="*Calibri-Bold-8167-Identity-H"/>
          <w:b/>
          <w:bCs/>
          <w:color w:val="14100E"/>
          <w:sz w:val="21"/>
          <w:szCs w:val="21"/>
          <w:lang w:val="es-MX" w:eastAsia="en-US"/>
        </w:rPr>
      </w:pPr>
      <w:r w:rsidRPr="0033555A">
        <w:rPr>
          <w:rFonts w:ascii="Abadi" w:eastAsiaTheme="minorHAnsi" w:hAnsi="Abadi" w:cs="*Calibri-Bold-8167-Identity-H"/>
          <w:b/>
          <w:bCs/>
          <w:color w:val="14100E"/>
          <w:sz w:val="21"/>
          <w:szCs w:val="21"/>
          <w:lang w:val="es-MX" w:eastAsia="en-US"/>
        </w:rPr>
        <w:t>DIPUTADO MARTÍN LÓPEZ CAMACHO</w:t>
      </w:r>
    </w:p>
    <w:p w14:paraId="3CD21509" w14:textId="77777777" w:rsidR="0033555A" w:rsidRPr="0033555A" w:rsidRDefault="0033555A" w:rsidP="0033555A">
      <w:pPr>
        <w:autoSpaceDE w:val="0"/>
        <w:autoSpaceDN w:val="0"/>
        <w:adjustRightInd w:val="0"/>
        <w:jc w:val="both"/>
        <w:rPr>
          <w:rFonts w:ascii="Abadi" w:eastAsiaTheme="minorHAnsi" w:hAnsi="Abadi" w:cs="*Calibri-Bold-8167-Identity-H"/>
          <w:b/>
          <w:bCs/>
          <w:color w:val="14100E"/>
          <w:sz w:val="21"/>
          <w:szCs w:val="21"/>
          <w:lang w:val="es-MX" w:eastAsia="en-US"/>
        </w:rPr>
      </w:pPr>
      <w:r w:rsidRPr="0033555A">
        <w:rPr>
          <w:rFonts w:ascii="Abadi" w:eastAsiaTheme="minorHAnsi" w:hAnsi="Abadi" w:cs="*Calibri-Bold-8167-Identity-H"/>
          <w:b/>
          <w:bCs/>
          <w:color w:val="14100E"/>
          <w:sz w:val="21"/>
          <w:szCs w:val="21"/>
          <w:lang w:val="es-MX" w:eastAsia="en-US"/>
        </w:rPr>
        <w:t>PRESIDENTE DEL CONGRESO DEL ESTADO</w:t>
      </w:r>
    </w:p>
    <w:p w14:paraId="627DC545" w14:textId="77777777" w:rsidR="0033555A" w:rsidRPr="0033555A" w:rsidRDefault="0033555A" w:rsidP="0033555A">
      <w:pPr>
        <w:autoSpaceDE w:val="0"/>
        <w:autoSpaceDN w:val="0"/>
        <w:adjustRightInd w:val="0"/>
        <w:jc w:val="both"/>
        <w:rPr>
          <w:rFonts w:ascii="Abadi" w:eastAsiaTheme="minorHAnsi" w:hAnsi="Abadi" w:cs="*Calibri-Bold-8167-Identity-H"/>
          <w:b/>
          <w:bCs/>
          <w:color w:val="14100E"/>
          <w:sz w:val="21"/>
          <w:szCs w:val="21"/>
          <w:lang w:val="es-MX" w:eastAsia="en-US"/>
        </w:rPr>
      </w:pPr>
      <w:r w:rsidRPr="0033555A">
        <w:rPr>
          <w:rFonts w:ascii="Abadi" w:eastAsiaTheme="minorHAnsi" w:hAnsi="Abadi" w:cs="*Calibri-Bold-8167-Identity-H"/>
          <w:b/>
          <w:bCs/>
          <w:color w:val="14100E"/>
          <w:sz w:val="21"/>
          <w:szCs w:val="21"/>
          <w:lang w:val="es-MX" w:eastAsia="en-US"/>
        </w:rPr>
        <w:t>P R E S E N T E.</w:t>
      </w:r>
    </w:p>
    <w:p w14:paraId="0E05E174" w14:textId="77777777" w:rsidR="0033555A" w:rsidRPr="0033555A" w:rsidRDefault="0033555A" w:rsidP="0033555A">
      <w:pPr>
        <w:autoSpaceDE w:val="0"/>
        <w:autoSpaceDN w:val="0"/>
        <w:adjustRightInd w:val="0"/>
        <w:jc w:val="both"/>
        <w:rPr>
          <w:rFonts w:ascii="Abadi" w:eastAsiaTheme="minorHAnsi" w:hAnsi="Abadi" w:cs="*Calibri-8163-Identity-H"/>
          <w:color w:val="12100F"/>
          <w:sz w:val="21"/>
          <w:szCs w:val="21"/>
          <w:lang w:val="es-MX" w:eastAsia="en-US"/>
        </w:rPr>
      </w:pPr>
    </w:p>
    <w:p w14:paraId="12A6DC83" w14:textId="77777777" w:rsidR="0033555A" w:rsidRPr="0033555A" w:rsidRDefault="0033555A" w:rsidP="0033555A">
      <w:pPr>
        <w:autoSpaceDE w:val="0"/>
        <w:autoSpaceDN w:val="0"/>
        <w:adjustRightInd w:val="0"/>
        <w:jc w:val="both"/>
        <w:rPr>
          <w:rFonts w:ascii="Abadi" w:eastAsiaTheme="minorHAnsi" w:hAnsi="Abadi" w:cs="*Calibri-8163-Identity-H"/>
          <w:color w:val="12100F"/>
          <w:sz w:val="21"/>
          <w:szCs w:val="21"/>
          <w:lang w:val="es-MX" w:eastAsia="en-US"/>
        </w:rPr>
      </w:pPr>
      <w:r w:rsidRPr="0033555A">
        <w:rPr>
          <w:rFonts w:ascii="Abadi" w:eastAsiaTheme="minorHAnsi" w:hAnsi="Abadi" w:cs="*Calibri-8163-Identity-H"/>
          <w:color w:val="12100F"/>
          <w:sz w:val="21"/>
          <w:szCs w:val="21"/>
          <w:lang w:val="es-MX" w:eastAsia="en-US"/>
        </w:rPr>
        <w:t>La diputada y los diputados integrantes de la Junta de Gobierno y Coordinación Política, ante esta Sexagésima Quinta Legislatura del Congreso del Estado Libre y Soberano de Guanajuato, con fundamento en el artículo 72 fracción V de la Ley Orgánica del Poder Legislativo del Estado de Guanajuato, formulamos propuesta de modificación en la integración de diversas comisiones, en los términos siguientes:</w:t>
      </w:r>
    </w:p>
    <w:p w14:paraId="26663800" w14:textId="77777777" w:rsidR="0033555A" w:rsidRPr="0033555A" w:rsidRDefault="0033555A" w:rsidP="0033555A">
      <w:pPr>
        <w:autoSpaceDE w:val="0"/>
        <w:autoSpaceDN w:val="0"/>
        <w:adjustRightInd w:val="0"/>
        <w:jc w:val="both"/>
        <w:rPr>
          <w:rFonts w:ascii="Abadi" w:eastAsiaTheme="minorHAnsi" w:hAnsi="Abadi" w:cs="*Calibri-Bold-8164-Identity-H"/>
          <w:b/>
          <w:bCs/>
          <w:color w:val="0A0706"/>
          <w:sz w:val="21"/>
          <w:szCs w:val="21"/>
          <w:lang w:val="es-MX" w:eastAsia="en-US"/>
        </w:rPr>
      </w:pPr>
    </w:p>
    <w:p w14:paraId="3A7F2A7F" w14:textId="77777777" w:rsidR="0033555A" w:rsidRPr="0033555A" w:rsidRDefault="0033555A" w:rsidP="0033555A">
      <w:pPr>
        <w:autoSpaceDE w:val="0"/>
        <w:autoSpaceDN w:val="0"/>
        <w:adjustRightInd w:val="0"/>
        <w:jc w:val="center"/>
        <w:rPr>
          <w:rFonts w:ascii="Abadi" w:eastAsiaTheme="minorHAnsi" w:hAnsi="Abadi" w:cs="*Calibri-Bold-8164-Identity-H"/>
          <w:b/>
          <w:bCs/>
          <w:color w:val="0A0706"/>
          <w:sz w:val="21"/>
          <w:szCs w:val="21"/>
          <w:lang w:val="es-MX" w:eastAsia="en-US"/>
        </w:rPr>
      </w:pPr>
      <w:r w:rsidRPr="0033555A">
        <w:rPr>
          <w:rFonts w:ascii="Abadi" w:eastAsiaTheme="minorHAnsi" w:hAnsi="Abadi" w:cs="*Calibri-Bold-8164-Identity-H"/>
          <w:b/>
          <w:bCs/>
          <w:color w:val="0A0706"/>
          <w:sz w:val="21"/>
          <w:szCs w:val="21"/>
          <w:lang w:val="es-MX" w:eastAsia="en-US"/>
        </w:rPr>
        <w:t>TURISMO</w:t>
      </w:r>
    </w:p>
    <w:p w14:paraId="3B8E2374" w14:textId="77777777" w:rsidR="0033555A" w:rsidRPr="0033555A" w:rsidRDefault="0033555A" w:rsidP="0033555A">
      <w:pPr>
        <w:autoSpaceDE w:val="0"/>
        <w:autoSpaceDN w:val="0"/>
        <w:adjustRightInd w:val="0"/>
        <w:jc w:val="both"/>
        <w:rPr>
          <w:rFonts w:ascii="Abadi" w:eastAsiaTheme="minorHAnsi" w:hAnsi="Abadi" w:cs="*Calibri-8163-Identity-H"/>
          <w:color w:val="191615"/>
          <w:sz w:val="21"/>
          <w:szCs w:val="21"/>
          <w:lang w:val="es-MX" w:eastAsia="en-US"/>
        </w:rPr>
      </w:pPr>
    </w:p>
    <w:p w14:paraId="56F2E065" w14:textId="77777777" w:rsidR="0033555A" w:rsidRPr="0033555A" w:rsidRDefault="0033555A" w:rsidP="0033555A">
      <w:pPr>
        <w:autoSpaceDE w:val="0"/>
        <w:autoSpaceDN w:val="0"/>
        <w:adjustRightInd w:val="0"/>
        <w:jc w:val="both"/>
        <w:rPr>
          <w:rFonts w:ascii="Abadi" w:eastAsiaTheme="minorHAnsi" w:hAnsi="Abadi" w:cs="*Calibri-8163-Identity-H"/>
          <w:color w:val="0E0C0B"/>
          <w:sz w:val="21"/>
          <w:szCs w:val="21"/>
          <w:lang w:val="es-MX" w:eastAsia="en-US"/>
        </w:rPr>
      </w:pPr>
      <w:r w:rsidRPr="0033555A">
        <w:rPr>
          <w:rFonts w:ascii="Abadi" w:eastAsiaTheme="minorHAnsi" w:hAnsi="Abadi" w:cs="*Calibri-8163-Identity-H"/>
          <w:color w:val="191615"/>
          <w:sz w:val="21"/>
          <w:szCs w:val="21"/>
          <w:lang w:val="es-MX" w:eastAsia="en-US"/>
        </w:rPr>
        <w:t xml:space="preserve">Presidenta: </w:t>
      </w:r>
      <w:r w:rsidRPr="0033555A">
        <w:rPr>
          <w:rFonts w:ascii="Abadi" w:eastAsiaTheme="minorHAnsi" w:hAnsi="Abadi" w:cs="*Calibri-8163-Identity-H"/>
          <w:color w:val="0E0C0B"/>
          <w:sz w:val="21"/>
          <w:szCs w:val="21"/>
          <w:lang w:val="es-MX" w:eastAsia="en-US"/>
        </w:rPr>
        <w:t>Diputada Janet Melanie Murillo Chávez</w:t>
      </w:r>
    </w:p>
    <w:p w14:paraId="3E9778EE" w14:textId="77777777" w:rsidR="0033555A" w:rsidRPr="0033555A" w:rsidRDefault="0033555A" w:rsidP="0033555A">
      <w:pPr>
        <w:autoSpaceDE w:val="0"/>
        <w:autoSpaceDN w:val="0"/>
        <w:adjustRightInd w:val="0"/>
        <w:jc w:val="both"/>
        <w:rPr>
          <w:rFonts w:ascii="Abadi" w:eastAsiaTheme="minorHAnsi" w:hAnsi="Abadi" w:cs="*Calibri-Bold-8164-Identity-H"/>
          <w:b/>
          <w:bCs/>
          <w:color w:val="0B0907"/>
          <w:sz w:val="21"/>
          <w:szCs w:val="21"/>
          <w:lang w:val="es-MX" w:eastAsia="en-US"/>
        </w:rPr>
      </w:pPr>
    </w:p>
    <w:p w14:paraId="54070E10" w14:textId="77777777" w:rsidR="0033555A" w:rsidRPr="0033555A" w:rsidRDefault="0033555A" w:rsidP="0033555A">
      <w:pPr>
        <w:autoSpaceDE w:val="0"/>
        <w:autoSpaceDN w:val="0"/>
        <w:adjustRightInd w:val="0"/>
        <w:jc w:val="center"/>
        <w:rPr>
          <w:rFonts w:ascii="Abadi" w:eastAsiaTheme="minorHAnsi" w:hAnsi="Abadi" w:cs="*Calibri-Bold-8164-Identity-H"/>
          <w:b/>
          <w:bCs/>
          <w:color w:val="0B0907"/>
          <w:sz w:val="21"/>
          <w:szCs w:val="21"/>
          <w:lang w:val="es-MX" w:eastAsia="en-US"/>
        </w:rPr>
      </w:pPr>
      <w:r w:rsidRPr="0033555A">
        <w:rPr>
          <w:rFonts w:ascii="Abadi" w:eastAsiaTheme="minorHAnsi" w:hAnsi="Abadi" w:cs="*Calibri-Bold-8164-Identity-H"/>
          <w:b/>
          <w:bCs/>
          <w:color w:val="0B0907"/>
          <w:sz w:val="21"/>
          <w:szCs w:val="21"/>
          <w:lang w:val="es-MX" w:eastAsia="en-US"/>
        </w:rPr>
        <w:t>AGENDA 2030</w:t>
      </w:r>
    </w:p>
    <w:p w14:paraId="2DB36038" w14:textId="77777777" w:rsidR="0033555A" w:rsidRPr="0033555A" w:rsidRDefault="0033555A" w:rsidP="0033555A">
      <w:pPr>
        <w:autoSpaceDE w:val="0"/>
        <w:autoSpaceDN w:val="0"/>
        <w:adjustRightInd w:val="0"/>
        <w:jc w:val="both"/>
        <w:rPr>
          <w:rFonts w:ascii="Abadi" w:eastAsiaTheme="minorHAnsi" w:hAnsi="Abadi" w:cs="*Calibri-8163-Identity-H"/>
          <w:color w:val="1D1917"/>
          <w:sz w:val="21"/>
          <w:szCs w:val="21"/>
          <w:lang w:val="es-MX" w:eastAsia="en-US"/>
        </w:rPr>
      </w:pPr>
    </w:p>
    <w:p w14:paraId="557F071B" w14:textId="77777777" w:rsidR="0033555A" w:rsidRPr="0033555A" w:rsidRDefault="0033555A" w:rsidP="0033555A">
      <w:pPr>
        <w:autoSpaceDE w:val="0"/>
        <w:autoSpaceDN w:val="0"/>
        <w:adjustRightInd w:val="0"/>
        <w:jc w:val="both"/>
        <w:rPr>
          <w:rFonts w:ascii="Abadi" w:eastAsiaTheme="minorHAnsi" w:hAnsi="Abadi" w:cs="*Calibri-8163-Identity-H"/>
          <w:color w:val="131010"/>
          <w:sz w:val="21"/>
          <w:szCs w:val="21"/>
          <w:lang w:val="es-MX" w:eastAsia="en-US"/>
        </w:rPr>
      </w:pPr>
      <w:r w:rsidRPr="0033555A">
        <w:rPr>
          <w:rFonts w:ascii="Abadi" w:eastAsiaTheme="minorHAnsi" w:hAnsi="Abadi" w:cs="*Calibri-8163-Identity-H"/>
          <w:color w:val="1D1917"/>
          <w:sz w:val="21"/>
          <w:szCs w:val="21"/>
          <w:lang w:val="es-MX" w:eastAsia="en-US"/>
        </w:rPr>
        <w:t xml:space="preserve">Presidenta: </w:t>
      </w:r>
      <w:r w:rsidRPr="0033555A">
        <w:rPr>
          <w:rFonts w:ascii="Abadi" w:eastAsiaTheme="minorHAnsi" w:hAnsi="Abadi" w:cs="*Calibri-8163-Identity-H"/>
          <w:color w:val="131010"/>
          <w:sz w:val="21"/>
          <w:szCs w:val="21"/>
          <w:lang w:val="es-MX" w:eastAsia="en-US"/>
        </w:rPr>
        <w:t>Diputada Katya Cristina Soto Escamilla</w:t>
      </w:r>
    </w:p>
    <w:p w14:paraId="05406A95" w14:textId="77777777" w:rsidR="0033555A" w:rsidRPr="0033555A" w:rsidRDefault="0033555A" w:rsidP="0033555A">
      <w:pPr>
        <w:autoSpaceDE w:val="0"/>
        <w:autoSpaceDN w:val="0"/>
        <w:adjustRightInd w:val="0"/>
        <w:jc w:val="both"/>
        <w:rPr>
          <w:rFonts w:ascii="Abadi" w:eastAsiaTheme="minorHAnsi" w:hAnsi="Abadi" w:cs="*Calibri-Bold-8164-Identity-H"/>
          <w:b/>
          <w:bCs/>
          <w:color w:val="090706"/>
          <w:sz w:val="21"/>
          <w:szCs w:val="21"/>
          <w:lang w:val="es-MX" w:eastAsia="en-US"/>
        </w:rPr>
      </w:pPr>
    </w:p>
    <w:p w14:paraId="13458C74" w14:textId="77777777" w:rsidR="0033555A" w:rsidRPr="0033555A" w:rsidRDefault="0033555A" w:rsidP="0033555A">
      <w:pPr>
        <w:autoSpaceDE w:val="0"/>
        <w:autoSpaceDN w:val="0"/>
        <w:adjustRightInd w:val="0"/>
        <w:jc w:val="center"/>
        <w:rPr>
          <w:rFonts w:ascii="Abadi" w:eastAsiaTheme="minorHAnsi" w:hAnsi="Abadi" w:cs="*Calibri-Bold-8164-Identity-H"/>
          <w:b/>
          <w:bCs/>
          <w:color w:val="090706"/>
          <w:sz w:val="21"/>
          <w:szCs w:val="21"/>
          <w:lang w:val="es-MX" w:eastAsia="en-US"/>
        </w:rPr>
      </w:pPr>
      <w:r w:rsidRPr="0033555A">
        <w:rPr>
          <w:rFonts w:ascii="Abadi" w:eastAsiaTheme="minorHAnsi" w:hAnsi="Abadi" w:cs="*Calibri-Bold-8164-Identity-H"/>
          <w:b/>
          <w:bCs/>
          <w:color w:val="090706"/>
          <w:sz w:val="21"/>
          <w:szCs w:val="21"/>
          <w:lang w:val="es-MX" w:eastAsia="en-US"/>
        </w:rPr>
        <w:t>ADMINISTRACIÓN</w:t>
      </w:r>
    </w:p>
    <w:p w14:paraId="6E2A0C10" w14:textId="77777777" w:rsidR="0033555A" w:rsidRPr="0033555A" w:rsidRDefault="0033555A" w:rsidP="0033555A">
      <w:pPr>
        <w:autoSpaceDE w:val="0"/>
        <w:autoSpaceDN w:val="0"/>
        <w:adjustRightInd w:val="0"/>
        <w:jc w:val="both"/>
        <w:rPr>
          <w:rFonts w:ascii="Abadi" w:eastAsiaTheme="minorHAnsi" w:hAnsi="Abadi" w:cs="*Calibri-8163-Identity-H"/>
          <w:color w:val="181614"/>
          <w:sz w:val="21"/>
          <w:szCs w:val="21"/>
          <w:lang w:val="es-MX" w:eastAsia="en-US"/>
        </w:rPr>
      </w:pPr>
    </w:p>
    <w:p w14:paraId="5E1DBE6B" w14:textId="77777777" w:rsidR="0033555A" w:rsidRPr="0033555A" w:rsidRDefault="0033555A" w:rsidP="0033555A">
      <w:pPr>
        <w:autoSpaceDE w:val="0"/>
        <w:autoSpaceDN w:val="0"/>
        <w:adjustRightInd w:val="0"/>
        <w:jc w:val="both"/>
        <w:rPr>
          <w:rFonts w:ascii="Abadi" w:eastAsiaTheme="minorHAnsi" w:hAnsi="Abadi" w:cs="*Calibri-8163-Identity-H"/>
          <w:color w:val="110F0E"/>
          <w:sz w:val="21"/>
          <w:szCs w:val="21"/>
          <w:lang w:val="es-MX" w:eastAsia="en-US"/>
        </w:rPr>
      </w:pPr>
      <w:r w:rsidRPr="0033555A">
        <w:rPr>
          <w:rFonts w:ascii="Abadi" w:eastAsiaTheme="minorHAnsi" w:hAnsi="Abadi" w:cs="*Calibri-8163-Identity-H"/>
          <w:color w:val="181614"/>
          <w:sz w:val="21"/>
          <w:szCs w:val="21"/>
          <w:lang w:val="es-MX" w:eastAsia="en-US"/>
        </w:rPr>
        <w:t xml:space="preserve">Vocal: </w:t>
      </w:r>
      <w:r w:rsidRPr="0033555A">
        <w:rPr>
          <w:rFonts w:ascii="Abadi" w:eastAsiaTheme="minorHAnsi" w:hAnsi="Abadi" w:cs="*Calibri-8163-Identity-H"/>
          <w:color w:val="110F0E"/>
          <w:sz w:val="21"/>
          <w:szCs w:val="21"/>
          <w:lang w:val="es-MX" w:eastAsia="en-US"/>
        </w:rPr>
        <w:t>Diputado Javier Alfonso Torres Mereles</w:t>
      </w:r>
    </w:p>
    <w:p w14:paraId="361EEB69" w14:textId="77777777" w:rsidR="0033555A" w:rsidRPr="0033555A" w:rsidRDefault="0033555A" w:rsidP="0033555A">
      <w:pPr>
        <w:autoSpaceDE w:val="0"/>
        <w:autoSpaceDN w:val="0"/>
        <w:adjustRightInd w:val="0"/>
        <w:jc w:val="both"/>
        <w:rPr>
          <w:rFonts w:ascii="Abadi" w:eastAsiaTheme="minorHAnsi" w:hAnsi="Abadi" w:cs="*Calibri-Bold-8164-Identity-H"/>
          <w:b/>
          <w:bCs/>
          <w:color w:val="0B0706"/>
          <w:sz w:val="21"/>
          <w:szCs w:val="21"/>
          <w:lang w:val="es-MX" w:eastAsia="en-US"/>
        </w:rPr>
      </w:pPr>
    </w:p>
    <w:p w14:paraId="5B39DB22" w14:textId="77777777" w:rsidR="0033555A" w:rsidRPr="0033555A" w:rsidRDefault="0033555A" w:rsidP="0033555A">
      <w:pPr>
        <w:autoSpaceDE w:val="0"/>
        <w:autoSpaceDN w:val="0"/>
        <w:adjustRightInd w:val="0"/>
        <w:jc w:val="both"/>
        <w:rPr>
          <w:rFonts w:ascii="Abadi" w:eastAsiaTheme="minorHAnsi" w:hAnsi="Abadi" w:cs="*Calibri-Bold-8164-Identity-H"/>
          <w:b/>
          <w:bCs/>
          <w:color w:val="0B0706"/>
          <w:sz w:val="21"/>
          <w:szCs w:val="21"/>
          <w:lang w:val="es-MX" w:eastAsia="en-US"/>
        </w:rPr>
      </w:pPr>
    </w:p>
    <w:p w14:paraId="559885D6" w14:textId="77777777" w:rsidR="0033555A" w:rsidRPr="0033555A" w:rsidRDefault="0033555A" w:rsidP="0033555A">
      <w:pPr>
        <w:autoSpaceDE w:val="0"/>
        <w:autoSpaceDN w:val="0"/>
        <w:adjustRightInd w:val="0"/>
        <w:jc w:val="center"/>
        <w:rPr>
          <w:rFonts w:ascii="Abadi" w:eastAsiaTheme="minorHAnsi" w:hAnsi="Abadi" w:cs="*Calibri-Bold-8164-Identity-H"/>
          <w:b/>
          <w:bCs/>
          <w:color w:val="0B0706"/>
          <w:sz w:val="21"/>
          <w:szCs w:val="21"/>
          <w:lang w:val="es-MX" w:eastAsia="en-US"/>
        </w:rPr>
      </w:pPr>
      <w:r w:rsidRPr="0033555A">
        <w:rPr>
          <w:rFonts w:ascii="Abadi" w:eastAsiaTheme="minorHAnsi" w:hAnsi="Abadi" w:cs="*Calibri-Bold-8164-Identity-H"/>
          <w:b/>
          <w:bCs/>
          <w:color w:val="0B0706"/>
          <w:sz w:val="21"/>
          <w:szCs w:val="21"/>
          <w:lang w:val="es-MX" w:eastAsia="en-US"/>
        </w:rPr>
        <w:t>MEDIO AMBIENTE</w:t>
      </w:r>
    </w:p>
    <w:p w14:paraId="57533E74" w14:textId="77777777" w:rsidR="0033555A" w:rsidRPr="0033555A" w:rsidRDefault="0033555A" w:rsidP="0033555A">
      <w:pPr>
        <w:autoSpaceDE w:val="0"/>
        <w:autoSpaceDN w:val="0"/>
        <w:adjustRightInd w:val="0"/>
        <w:jc w:val="both"/>
        <w:rPr>
          <w:rFonts w:ascii="Abadi" w:eastAsiaTheme="minorHAnsi" w:hAnsi="Abadi" w:cs="*Calibri-8163-Identity-H"/>
          <w:color w:val="201C1A"/>
          <w:sz w:val="21"/>
          <w:szCs w:val="21"/>
          <w:lang w:val="es-MX" w:eastAsia="en-US"/>
        </w:rPr>
      </w:pPr>
    </w:p>
    <w:p w14:paraId="2F8FCE92" w14:textId="77777777" w:rsidR="0033555A" w:rsidRPr="0033555A" w:rsidRDefault="0033555A" w:rsidP="0033555A">
      <w:pPr>
        <w:autoSpaceDE w:val="0"/>
        <w:autoSpaceDN w:val="0"/>
        <w:adjustRightInd w:val="0"/>
        <w:jc w:val="both"/>
        <w:rPr>
          <w:rFonts w:ascii="Abadi" w:eastAsiaTheme="minorHAnsi" w:hAnsi="Abadi" w:cs="*Calibri-8163-Identity-H"/>
          <w:color w:val="151211"/>
          <w:sz w:val="21"/>
          <w:szCs w:val="21"/>
          <w:lang w:val="es-MX" w:eastAsia="en-US"/>
        </w:rPr>
      </w:pPr>
      <w:r w:rsidRPr="0033555A">
        <w:rPr>
          <w:rFonts w:ascii="Abadi" w:eastAsiaTheme="minorHAnsi" w:hAnsi="Abadi" w:cs="*Calibri-8163-Identity-H"/>
          <w:color w:val="201C1A"/>
          <w:sz w:val="21"/>
          <w:szCs w:val="21"/>
          <w:lang w:val="es-MX" w:eastAsia="en-US"/>
        </w:rPr>
        <w:t xml:space="preserve">Vocal: </w:t>
      </w:r>
      <w:r w:rsidRPr="0033555A">
        <w:rPr>
          <w:rFonts w:ascii="Abadi" w:eastAsiaTheme="minorHAnsi" w:hAnsi="Abadi" w:cs="*Calibri-8163-Identity-H"/>
          <w:color w:val="151211"/>
          <w:sz w:val="21"/>
          <w:szCs w:val="21"/>
          <w:lang w:val="es-MX" w:eastAsia="en-US"/>
        </w:rPr>
        <w:t>Diputado Javier Alfonso Torres Mereles</w:t>
      </w:r>
    </w:p>
    <w:p w14:paraId="3AF47621" w14:textId="77777777" w:rsidR="0033555A" w:rsidRPr="0033555A" w:rsidRDefault="0033555A" w:rsidP="0033555A">
      <w:pPr>
        <w:autoSpaceDE w:val="0"/>
        <w:autoSpaceDN w:val="0"/>
        <w:adjustRightInd w:val="0"/>
        <w:jc w:val="both"/>
        <w:rPr>
          <w:rFonts w:ascii="Abadi" w:eastAsiaTheme="minorHAnsi" w:hAnsi="Abadi" w:cs="*Calibri-8163-Identity-H"/>
          <w:color w:val="171413"/>
          <w:sz w:val="21"/>
          <w:szCs w:val="21"/>
          <w:lang w:val="es-MX" w:eastAsia="en-US"/>
        </w:rPr>
      </w:pPr>
    </w:p>
    <w:p w14:paraId="4F64A794" w14:textId="77777777" w:rsidR="0033555A" w:rsidRPr="0033555A" w:rsidRDefault="0033555A" w:rsidP="0033555A">
      <w:pPr>
        <w:autoSpaceDE w:val="0"/>
        <w:autoSpaceDN w:val="0"/>
        <w:adjustRightInd w:val="0"/>
        <w:jc w:val="both"/>
        <w:rPr>
          <w:rFonts w:ascii="Abadi" w:eastAsiaTheme="minorHAnsi" w:hAnsi="Abadi" w:cs="*Calibri-8163-Identity-H"/>
          <w:color w:val="171413"/>
          <w:sz w:val="21"/>
          <w:szCs w:val="21"/>
          <w:lang w:val="es-MX" w:eastAsia="en-US"/>
        </w:rPr>
      </w:pPr>
      <w:r w:rsidRPr="0033555A">
        <w:rPr>
          <w:rFonts w:ascii="Abadi" w:eastAsiaTheme="minorHAnsi" w:hAnsi="Abadi" w:cs="*Calibri-8163-Identity-H"/>
          <w:color w:val="171413"/>
          <w:sz w:val="21"/>
          <w:szCs w:val="21"/>
          <w:lang w:val="es-MX" w:eastAsia="en-US"/>
        </w:rPr>
        <w:tab/>
        <w:t>Sin otro particular, solicitamos se le otorgue a la presente el trámite parlamentario</w:t>
      </w:r>
    </w:p>
    <w:p w14:paraId="637DBF91" w14:textId="77777777" w:rsidR="0033555A" w:rsidRPr="0033555A" w:rsidRDefault="0033555A" w:rsidP="0033555A">
      <w:pPr>
        <w:autoSpaceDE w:val="0"/>
        <w:autoSpaceDN w:val="0"/>
        <w:adjustRightInd w:val="0"/>
        <w:jc w:val="both"/>
        <w:rPr>
          <w:rFonts w:ascii="Abadi" w:eastAsiaTheme="minorHAnsi" w:hAnsi="Abadi" w:cs="*Calibri-8163-Identity-H"/>
          <w:color w:val="171413"/>
          <w:sz w:val="21"/>
          <w:szCs w:val="21"/>
          <w:lang w:val="es-MX" w:eastAsia="en-US"/>
        </w:rPr>
      </w:pPr>
      <w:r w:rsidRPr="0033555A">
        <w:rPr>
          <w:rFonts w:ascii="Abadi" w:eastAsiaTheme="minorHAnsi" w:hAnsi="Abadi" w:cs="*Calibri-8163-Identity-H"/>
          <w:color w:val="171413"/>
          <w:sz w:val="21"/>
          <w:szCs w:val="21"/>
          <w:lang w:val="es-MX" w:eastAsia="en-US"/>
        </w:rPr>
        <w:t>correspondiente y aprovechamos la ocasión para enviarle un cordial saludo.</w:t>
      </w:r>
    </w:p>
    <w:p w14:paraId="6A2AFF9B" w14:textId="77777777" w:rsidR="0033555A" w:rsidRPr="0033555A" w:rsidRDefault="0033555A" w:rsidP="0033555A">
      <w:pPr>
        <w:autoSpaceDE w:val="0"/>
        <w:autoSpaceDN w:val="0"/>
        <w:adjustRightInd w:val="0"/>
        <w:jc w:val="both"/>
        <w:rPr>
          <w:rFonts w:ascii="Abadi" w:eastAsiaTheme="minorHAnsi" w:hAnsi="Abadi" w:cs="*Calibri-Bold-8162-Identity-H"/>
          <w:b/>
          <w:bCs/>
          <w:color w:val="0E0A0A"/>
          <w:sz w:val="21"/>
          <w:szCs w:val="21"/>
          <w:lang w:val="es-MX" w:eastAsia="en-US"/>
        </w:rPr>
      </w:pPr>
    </w:p>
    <w:p w14:paraId="0E9CC6A9" w14:textId="77777777" w:rsidR="0033555A" w:rsidRPr="0033555A" w:rsidRDefault="0033555A" w:rsidP="0033555A">
      <w:pPr>
        <w:autoSpaceDE w:val="0"/>
        <w:autoSpaceDN w:val="0"/>
        <w:adjustRightInd w:val="0"/>
        <w:jc w:val="center"/>
        <w:rPr>
          <w:rFonts w:ascii="Abadi" w:eastAsiaTheme="minorHAnsi" w:hAnsi="Abadi" w:cs="*Calibri-Bold-8162-Identity-H"/>
          <w:b/>
          <w:bCs/>
          <w:color w:val="0E0A0A"/>
          <w:sz w:val="21"/>
          <w:szCs w:val="21"/>
          <w:lang w:val="es-MX" w:eastAsia="en-US"/>
        </w:rPr>
      </w:pPr>
      <w:r w:rsidRPr="0033555A">
        <w:rPr>
          <w:rFonts w:ascii="Abadi" w:eastAsiaTheme="minorHAnsi" w:hAnsi="Abadi" w:cs="*Calibri-Bold-8162-Identity-H"/>
          <w:b/>
          <w:bCs/>
          <w:color w:val="0E0A0A"/>
          <w:sz w:val="21"/>
          <w:szCs w:val="21"/>
          <w:lang w:val="es-MX" w:eastAsia="en-US"/>
        </w:rPr>
        <w:t>ATENTAMENTE</w:t>
      </w:r>
    </w:p>
    <w:p w14:paraId="2F7E03B5" w14:textId="77777777" w:rsidR="0033555A" w:rsidRPr="0033555A" w:rsidRDefault="0033555A" w:rsidP="0033555A">
      <w:pPr>
        <w:spacing w:after="160"/>
        <w:jc w:val="center"/>
        <w:rPr>
          <w:rFonts w:ascii="Abadi" w:eastAsiaTheme="minorHAnsi" w:hAnsi="Abadi" w:cs="*Calibri-Bold-8162-Identity-H"/>
          <w:b/>
          <w:bCs/>
          <w:color w:val="0E0A09"/>
          <w:sz w:val="21"/>
          <w:szCs w:val="21"/>
          <w:lang w:val="es-MX" w:eastAsia="en-US"/>
        </w:rPr>
      </w:pPr>
      <w:r w:rsidRPr="0033555A">
        <w:rPr>
          <w:rFonts w:ascii="Abadi" w:eastAsiaTheme="minorHAnsi" w:hAnsi="Abadi" w:cs="*Calibri-Bold-8162-Identity-H"/>
          <w:b/>
          <w:bCs/>
          <w:color w:val="0E0A09"/>
          <w:sz w:val="21"/>
          <w:szCs w:val="21"/>
          <w:lang w:val="es-MX" w:eastAsia="en-US"/>
        </w:rPr>
        <w:t>Guanajuato Gto., 12 de octubre de 2022</w:t>
      </w:r>
    </w:p>
    <w:p w14:paraId="75595950" w14:textId="38D486E4" w:rsidR="0033555A" w:rsidRPr="0033555A" w:rsidRDefault="0033555A" w:rsidP="0033555A">
      <w:pPr>
        <w:spacing w:after="160"/>
        <w:jc w:val="center"/>
        <w:rPr>
          <w:rFonts w:ascii="Abadi" w:eastAsiaTheme="minorHAnsi" w:hAnsi="Abadi" w:cs="*Calibri-Bold-8162-Identity-H"/>
          <w:b/>
          <w:bCs/>
          <w:color w:val="0E0A09"/>
          <w:sz w:val="21"/>
          <w:szCs w:val="21"/>
          <w:lang w:val="es-MX" w:eastAsia="en-US"/>
        </w:rPr>
      </w:pPr>
      <w:r w:rsidRPr="0033555A">
        <w:rPr>
          <w:rFonts w:ascii="Abadi" w:eastAsiaTheme="minorHAnsi" w:hAnsi="Abadi" w:cs="*Calibri-Bold-8162-Identity-H"/>
          <w:b/>
          <w:bCs/>
          <w:color w:val="0E0A09"/>
          <w:sz w:val="21"/>
          <w:szCs w:val="21"/>
          <w:lang w:val="es-MX" w:eastAsia="en-US"/>
        </w:rPr>
        <w:t>La Diputada y Los Diputados Integrantes de la</w:t>
      </w:r>
      <w:r w:rsidR="005E0101">
        <w:rPr>
          <w:rFonts w:ascii="Abadi" w:eastAsiaTheme="minorHAnsi" w:hAnsi="Abadi" w:cs="*Calibri-Bold-8162-Identity-H"/>
          <w:b/>
          <w:bCs/>
          <w:color w:val="0E0A09"/>
          <w:sz w:val="21"/>
          <w:szCs w:val="21"/>
          <w:lang w:val="es-MX" w:eastAsia="en-US"/>
        </w:rPr>
        <w:t xml:space="preserve"> J</w:t>
      </w:r>
      <w:r w:rsidRPr="0033555A">
        <w:rPr>
          <w:rFonts w:ascii="Abadi" w:eastAsiaTheme="minorHAnsi" w:hAnsi="Abadi" w:cs="*Calibri-Bold-8162-Identity-H"/>
          <w:b/>
          <w:bCs/>
          <w:color w:val="0E0A09"/>
          <w:sz w:val="21"/>
          <w:szCs w:val="21"/>
          <w:lang w:val="es-MX" w:eastAsia="en-US"/>
        </w:rPr>
        <w:t>unta de Gobierno y Coordinación Política</w:t>
      </w:r>
    </w:p>
    <w:p w14:paraId="7FC4441A" w14:textId="77777777" w:rsidR="0033555A" w:rsidRPr="0033555A" w:rsidRDefault="0033555A" w:rsidP="0033555A">
      <w:pPr>
        <w:spacing w:after="160" w:line="259" w:lineRule="auto"/>
        <w:rPr>
          <w:rFonts w:ascii="Abadi" w:eastAsiaTheme="minorHAnsi" w:hAnsi="Abadi" w:cs="*Calibri-Bold-8162-Identity-H"/>
          <w:b/>
          <w:bCs/>
          <w:sz w:val="21"/>
          <w:szCs w:val="21"/>
          <w:lang w:val="es-MX" w:eastAsia="en-US"/>
        </w:rPr>
      </w:pPr>
    </w:p>
    <w:p w14:paraId="277584F8" w14:textId="77777777" w:rsidR="0033555A" w:rsidRPr="0033555A" w:rsidRDefault="0033555A" w:rsidP="0033555A">
      <w:pPr>
        <w:spacing w:after="160" w:line="259" w:lineRule="auto"/>
        <w:rPr>
          <w:rFonts w:ascii="Abadi" w:eastAsiaTheme="minorHAnsi" w:hAnsi="Abadi" w:cs="*Calibri-Bold-8162-Identity-H"/>
          <w:b/>
          <w:bCs/>
          <w:sz w:val="21"/>
          <w:szCs w:val="21"/>
          <w:lang w:val="es-MX" w:eastAsia="en-US"/>
        </w:rPr>
      </w:pPr>
      <w:r w:rsidRPr="0033555A">
        <w:rPr>
          <w:rFonts w:ascii="Abadi" w:eastAsiaTheme="minorHAnsi" w:hAnsi="Abadi" w:cs="*Calibri-Bold-8162-Identity-H"/>
          <w:b/>
          <w:bCs/>
          <w:sz w:val="21"/>
          <w:szCs w:val="21"/>
          <w:lang w:val="es-MX" w:eastAsia="en-US"/>
        </w:rPr>
        <w:t>Dip. Ernesto Millán Soberanes</w:t>
      </w:r>
    </w:p>
    <w:p w14:paraId="627AEABE" w14:textId="77777777" w:rsidR="0033555A" w:rsidRPr="0033555A" w:rsidRDefault="0033555A" w:rsidP="0033555A">
      <w:pPr>
        <w:spacing w:after="160" w:line="259" w:lineRule="auto"/>
        <w:rPr>
          <w:rFonts w:ascii="Abadi" w:eastAsiaTheme="minorHAnsi" w:hAnsi="Abadi" w:cs="*Calibri-Bold-8162-Identity-H"/>
          <w:b/>
          <w:bCs/>
          <w:sz w:val="21"/>
          <w:szCs w:val="21"/>
          <w:lang w:val="es-MX" w:eastAsia="en-US"/>
        </w:rPr>
      </w:pPr>
      <w:r w:rsidRPr="0033555A">
        <w:rPr>
          <w:rFonts w:ascii="Abadi" w:eastAsiaTheme="minorHAnsi" w:hAnsi="Abadi" w:cs="*Calibri-Bold-8162-Identity-H"/>
          <w:b/>
          <w:bCs/>
          <w:sz w:val="21"/>
          <w:szCs w:val="21"/>
          <w:lang w:val="es-MX" w:eastAsia="en-US"/>
        </w:rPr>
        <w:t xml:space="preserve">Dip. Alejandro Arias Ávila </w:t>
      </w:r>
    </w:p>
    <w:p w14:paraId="16464ACE" w14:textId="77777777" w:rsidR="0033555A" w:rsidRDefault="0033555A" w:rsidP="0033555A">
      <w:pPr>
        <w:spacing w:after="160" w:line="259" w:lineRule="auto"/>
        <w:rPr>
          <w:rFonts w:ascii="Abadi" w:eastAsiaTheme="minorHAnsi" w:hAnsi="Abadi" w:cs="*Calibri-Bold-8162-Identity-H"/>
          <w:b/>
          <w:bCs/>
          <w:sz w:val="21"/>
          <w:szCs w:val="21"/>
          <w:lang w:val="es-MX" w:eastAsia="en-US"/>
        </w:rPr>
      </w:pPr>
      <w:r w:rsidRPr="0033555A">
        <w:rPr>
          <w:rFonts w:ascii="Abadi" w:eastAsiaTheme="minorHAnsi" w:hAnsi="Abadi" w:cs="*Calibri-Bold-8162-Identity-H"/>
          <w:b/>
          <w:bCs/>
          <w:sz w:val="21"/>
          <w:szCs w:val="21"/>
          <w:lang w:val="es-MX" w:eastAsia="en-US"/>
        </w:rPr>
        <w:t>Dip. Gerardo Fernández González</w:t>
      </w:r>
    </w:p>
    <w:p w14:paraId="5CFEA8E1" w14:textId="77777777" w:rsidR="00AD32D0" w:rsidRDefault="0033555A" w:rsidP="0033555A">
      <w:pPr>
        <w:spacing w:after="160" w:line="259" w:lineRule="auto"/>
        <w:rPr>
          <w:rFonts w:ascii="Abadi" w:eastAsiaTheme="minorHAnsi" w:hAnsi="Abadi" w:cs="*Calibri-Bold-8162-Identity-H"/>
          <w:b/>
          <w:bCs/>
          <w:sz w:val="21"/>
          <w:szCs w:val="21"/>
          <w:lang w:val="es-MX" w:eastAsia="en-US"/>
        </w:rPr>
      </w:pPr>
      <w:r w:rsidRPr="0033555A">
        <w:rPr>
          <w:rFonts w:ascii="Abadi" w:eastAsiaTheme="minorHAnsi" w:hAnsi="Abadi" w:cs="*Calibri-Bold-8162-Identity-H"/>
          <w:b/>
          <w:bCs/>
          <w:sz w:val="21"/>
          <w:szCs w:val="21"/>
          <w:lang w:val="es-MX" w:eastAsia="en-US"/>
        </w:rPr>
        <w:t xml:space="preserve">Dip. Dessire Angela Rocha </w:t>
      </w:r>
    </w:p>
    <w:p w14:paraId="05CA67F9" w14:textId="4713ED85" w:rsidR="00E437A9" w:rsidRDefault="0033555A" w:rsidP="00E437A9">
      <w:pPr>
        <w:ind w:firstLine="708"/>
        <w:jc w:val="both"/>
        <w:rPr>
          <w:rFonts w:ascii="Abadi" w:hAnsi="Abadi"/>
          <w:sz w:val="21"/>
          <w:szCs w:val="21"/>
        </w:rPr>
      </w:pPr>
      <w:r w:rsidRPr="0033555A">
        <w:rPr>
          <w:rFonts w:ascii="Abadi" w:eastAsiaTheme="minorHAnsi" w:hAnsi="Abadi" w:cs="*Calibri-Bold-8162-Identity-H"/>
          <w:b/>
          <w:bCs/>
          <w:sz w:val="21"/>
          <w:szCs w:val="21"/>
          <w:lang w:val="es-MX" w:eastAsia="en-US"/>
        </w:rPr>
        <w:t xml:space="preserve"> </w:t>
      </w:r>
      <w:r w:rsidR="00E437A9" w:rsidRPr="006C38AD">
        <w:rPr>
          <w:rFonts w:ascii="Abadi" w:hAnsi="Abadi"/>
          <w:b/>
          <w:bCs/>
          <w:sz w:val="21"/>
          <w:szCs w:val="21"/>
        </w:rPr>
        <w:t>- El Presidente.-</w:t>
      </w:r>
      <w:r w:rsidR="00E437A9">
        <w:rPr>
          <w:rFonts w:ascii="Abadi" w:hAnsi="Abadi"/>
          <w:sz w:val="21"/>
          <w:szCs w:val="21"/>
        </w:rPr>
        <w:t xml:space="preserve"> </w:t>
      </w:r>
      <w:r w:rsidR="00E437A9" w:rsidRPr="006C38AD">
        <w:rPr>
          <w:rFonts w:ascii="Abadi" w:hAnsi="Abadi"/>
          <w:sz w:val="21"/>
          <w:szCs w:val="21"/>
        </w:rPr>
        <w:t>Se solicita a la Secretaría a dar lectura a la propuesta relativa al punto 15 de nuestra orden del día</w:t>
      </w:r>
      <w:r w:rsidR="00E437A9">
        <w:rPr>
          <w:rFonts w:ascii="Abadi" w:hAnsi="Abadi"/>
          <w:sz w:val="21"/>
          <w:szCs w:val="21"/>
        </w:rPr>
        <w:t xml:space="preserve">. </w:t>
      </w:r>
      <w:r w:rsidR="00E437A9" w:rsidRPr="00D97989">
        <w:rPr>
          <w:rFonts w:ascii="Abadi" w:hAnsi="Abadi"/>
          <w:sz w:val="21"/>
          <w:szCs w:val="21"/>
        </w:rPr>
        <w:t>(ELD 198/LXV-PPA)</w:t>
      </w:r>
    </w:p>
    <w:p w14:paraId="628BD8B0" w14:textId="77777777" w:rsidR="00E437A9" w:rsidRPr="006C38AD" w:rsidRDefault="00E437A9" w:rsidP="00E437A9">
      <w:pPr>
        <w:ind w:firstLine="708"/>
        <w:jc w:val="both"/>
        <w:rPr>
          <w:rFonts w:ascii="Abadi" w:hAnsi="Abadi"/>
          <w:sz w:val="21"/>
          <w:szCs w:val="21"/>
        </w:rPr>
      </w:pPr>
    </w:p>
    <w:p w14:paraId="41037706" w14:textId="0A187A79" w:rsidR="00E437A9" w:rsidRDefault="00E437A9" w:rsidP="00E437A9">
      <w:pPr>
        <w:ind w:firstLine="708"/>
        <w:jc w:val="both"/>
        <w:rPr>
          <w:rFonts w:ascii="Abadi" w:hAnsi="Abadi"/>
          <w:sz w:val="21"/>
          <w:szCs w:val="21"/>
        </w:rPr>
      </w:pPr>
      <w:r w:rsidRPr="00D97989">
        <w:rPr>
          <w:rFonts w:ascii="Abadi" w:hAnsi="Abadi"/>
          <w:b/>
          <w:bCs/>
          <w:sz w:val="21"/>
          <w:szCs w:val="21"/>
        </w:rPr>
        <w:t>- El Secretario.-</w:t>
      </w:r>
      <w:r>
        <w:rPr>
          <w:rFonts w:ascii="Abadi" w:hAnsi="Abadi"/>
          <w:sz w:val="21"/>
          <w:szCs w:val="21"/>
        </w:rPr>
        <w:t xml:space="preserve"> D</w:t>
      </w:r>
      <w:r w:rsidRPr="006813AA">
        <w:rPr>
          <w:rFonts w:ascii="Abadi" w:hAnsi="Abadi"/>
          <w:sz w:val="21"/>
          <w:szCs w:val="21"/>
        </w:rPr>
        <w:t xml:space="preserve">iputado </w:t>
      </w:r>
      <w:r>
        <w:rPr>
          <w:rFonts w:ascii="Abadi" w:hAnsi="Abadi"/>
          <w:sz w:val="21"/>
          <w:szCs w:val="21"/>
        </w:rPr>
        <w:t>M</w:t>
      </w:r>
      <w:r w:rsidRPr="006813AA">
        <w:rPr>
          <w:rFonts w:ascii="Abadi" w:hAnsi="Abadi"/>
          <w:sz w:val="21"/>
          <w:szCs w:val="21"/>
        </w:rPr>
        <w:t xml:space="preserve">artín López </w:t>
      </w:r>
      <w:r>
        <w:rPr>
          <w:rFonts w:ascii="Abadi" w:hAnsi="Abadi"/>
          <w:sz w:val="21"/>
          <w:szCs w:val="21"/>
        </w:rPr>
        <w:t>C</w:t>
      </w:r>
      <w:r w:rsidRPr="006813AA">
        <w:rPr>
          <w:rFonts w:ascii="Abadi" w:hAnsi="Abadi"/>
          <w:sz w:val="21"/>
          <w:szCs w:val="21"/>
        </w:rPr>
        <w:t xml:space="preserve">amacho Presidente del </w:t>
      </w:r>
      <w:r>
        <w:rPr>
          <w:rFonts w:ascii="Abadi" w:hAnsi="Abadi"/>
          <w:sz w:val="21"/>
          <w:szCs w:val="21"/>
        </w:rPr>
        <w:t>C</w:t>
      </w:r>
      <w:r w:rsidRPr="006813AA">
        <w:rPr>
          <w:rFonts w:ascii="Abadi" w:hAnsi="Abadi"/>
          <w:sz w:val="21"/>
          <w:szCs w:val="21"/>
        </w:rPr>
        <w:t xml:space="preserve">ongreso del </w:t>
      </w:r>
      <w:r>
        <w:rPr>
          <w:rFonts w:ascii="Abadi" w:hAnsi="Abadi"/>
          <w:sz w:val="21"/>
          <w:szCs w:val="21"/>
        </w:rPr>
        <w:t>E</w:t>
      </w:r>
      <w:r w:rsidRPr="006813AA">
        <w:rPr>
          <w:rFonts w:ascii="Abadi" w:hAnsi="Abadi"/>
          <w:sz w:val="21"/>
          <w:szCs w:val="21"/>
        </w:rPr>
        <w:t>stado</w:t>
      </w:r>
      <w:r>
        <w:rPr>
          <w:rFonts w:ascii="Abadi" w:hAnsi="Abadi"/>
          <w:sz w:val="21"/>
          <w:szCs w:val="21"/>
        </w:rPr>
        <w:t xml:space="preserve">, Presente, la diputada y los diputados integrantes de la Junta de Gobierno, y Coordinación Política, ante esta Sexagésima Quinta Legislatura del Congreso del Congreso del Estado Libre Soberano de Guanajuato, </w:t>
      </w:r>
      <w:r w:rsidRPr="006813AA">
        <w:rPr>
          <w:rFonts w:ascii="Abadi" w:hAnsi="Abadi"/>
          <w:sz w:val="21"/>
          <w:szCs w:val="21"/>
        </w:rPr>
        <w:t>formulamos</w:t>
      </w:r>
      <w:r>
        <w:rPr>
          <w:rFonts w:ascii="Abadi" w:hAnsi="Abadi"/>
          <w:sz w:val="21"/>
          <w:szCs w:val="21"/>
        </w:rPr>
        <w:t xml:space="preserve"> </w:t>
      </w:r>
      <w:r w:rsidRPr="006813AA">
        <w:rPr>
          <w:rFonts w:ascii="Abadi" w:hAnsi="Abadi"/>
          <w:sz w:val="21"/>
          <w:szCs w:val="21"/>
        </w:rPr>
        <w:t xml:space="preserve">propuesta de modificación en la integración de diversas </w:t>
      </w:r>
      <w:r>
        <w:rPr>
          <w:rFonts w:ascii="Abadi" w:hAnsi="Abadi"/>
          <w:sz w:val="21"/>
          <w:szCs w:val="21"/>
        </w:rPr>
        <w:t>C</w:t>
      </w:r>
      <w:r w:rsidRPr="006813AA">
        <w:rPr>
          <w:rFonts w:ascii="Abadi" w:hAnsi="Abadi"/>
          <w:sz w:val="21"/>
          <w:szCs w:val="21"/>
        </w:rPr>
        <w:t>omisiones en los términos siguientes</w:t>
      </w:r>
      <w:r>
        <w:rPr>
          <w:rFonts w:ascii="Abadi" w:hAnsi="Abadi"/>
          <w:sz w:val="21"/>
          <w:szCs w:val="21"/>
        </w:rPr>
        <w:t>:</w:t>
      </w:r>
    </w:p>
    <w:p w14:paraId="681F27A8" w14:textId="77777777" w:rsidR="00E437A9" w:rsidRDefault="00E437A9" w:rsidP="00E437A9">
      <w:pPr>
        <w:ind w:firstLine="708"/>
        <w:jc w:val="both"/>
        <w:rPr>
          <w:rFonts w:ascii="Abadi" w:hAnsi="Abadi"/>
          <w:sz w:val="21"/>
          <w:szCs w:val="21"/>
        </w:rPr>
      </w:pPr>
    </w:p>
    <w:p w14:paraId="3CFA0A88" w14:textId="0E413E9D" w:rsidR="00E437A9" w:rsidRDefault="00E437A9" w:rsidP="00E437A9">
      <w:pPr>
        <w:jc w:val="both"/>
        <w:rPr>
          <w:rFonts w:ascii="Abadi" w:hAnsi="Abadi"/>
          <w:sz w:val="21"/>
          <w:szCs w:val="21"/>
        </w:rPr>
      </w:pPr>
      <w:r>
        <w:rPr>
          <w:rFonts w:ascii="Abadi" w:hAnsi="Abadi"/>
          <w:sz w:val="21"/>
          <w:szCs w:val="21"/>
        </w:rPr>
        <w:t>- T</w:t>
      </w:r>
      <w:r w:rsidRPr="006813AA">
        <w:rPr>
          <w:rFonts w:ascii="Abadi" w:hAnsi="Abadi"/>
          <w:sz w:val="21"/>
          <w:szCs w:val="21"/>
        </w:rPr>
        <w:t xml:space="preserve">urismo </w:t>
      </w:r>
    </w:p>
    <w:p w14:paraId="780BB3B2" w14:textId="77777777" w:rsidR="00E437A9" w:rsidRDefault="00E437A9" w:rsidP="00E437A9">
      <w:pPr>
        <w:jc w:val="both"/>
        <w:rPr>
          <w:rFonts w:ascii="Abadi" w:hAnsi="Abadi"/>
          <w:sz w:val="21"/>
          <w:szCs w:val="21"/>
        </w:rPr>
      </w:pPr>
    </w:p>
    <w:p w14:paraId="5F72C5B7" w14:textId="78D0A36E" w:rsidR="00E437A9" w:rsidRDefault="00E437A9" w:rsidP="00E437A9">
      <w:pPr>
        <w:jc w:val="both"/>
        <w:rPr>
          <w:rFonts w:ascii="Abadi" w:hAnsi="Abadi"/>
          <w:sz w:val="21"/>
          <w:szCs w:val="21"/>
        </w:rPr>
      </w:pPr>
      <w:r>
        <w:rPr>
          <w:rFonts w:ascii="Abadi" w:hAnsi="Abadi"/>
          <w:sz w:val="21"/>
          <w:szCs w:val="21"/>
        </w:rPr>
        <w:t>P</w:t>
      </w:r>
      <w:r w:rsidRPr="006813AA">
        <w:rPr>
          <w:rFonts w:ascii="Abadi" w:hAnsi="Abadi"/>
          <w:sz w:val="21"/>
          <w:szCs w:val="21"/>
        </w:rPr>
        <w:t>residenta</w:t>
      </w:r>
      <w:r>
        <w:rPr>
          <w:rFonts w:ascii="Abadi" w:hAnsi="Abadi"/>
          <w:sz w:val="21"/>
          <w:szCs w:val="21"/>
        </w:rPr>
        <w:t>: Di</w:t>
      </w:r>
      <w:r w:rsidRPr="006813AA">
        <w:rPr>
          <w:rFonts w:ascii="Abadi" w:hAnsi="Abadi"/>
          <w:sz w:val="21"/>
          <w:szCs w:val="21"/>
        </w:rPr>
        <w:t xml:space="preserve">putada </w:t>
      </w:r>
      <w:r>
        <w:rPr>
          <w:rFonts w:ascii="Abadi" w:hAnsi="Abadi"/>
          <w:sz w:val="21"/>
          <w:szCs w:val="21"/>
        </w:rPr>
        <w:t>J</w:t>
      </w:r>
      <w:r w:rsidRPr="006813AA">
        <w:rPr>
          <w:rFonts w:ascii="Abadi" w:hAnsi="Abadi"/>
          <w:sz w:val="21"/>
          <w:szCs w:val="21"/>
        </w:rPr>
        <w:t xml:space="preserve">anet </w:t>
      </w:r>
      <w:r>
        <w:rPr>
          <w:rFonts w:ascii="Abadi" w:hAnsi="Abadi"/>
          <w:sz w:val="21"/>
          <w:szCs w:val="21"/>
        </w:rPr>
        <w:t>M</w:t>
      </w:r>
      <w:r w:rsidRPr="006813AA">
        <w:rPr>
          <w:rFonts w:ascii="Abadi" w:hAnsi="Abadi"/>
          <w:sz w:val="21"/>
          <w:szCs w:val="21"/>
        </w:rPr>
        <w:t xml:space="preserve">elanie </w:t>
      </w:r>
      <w:r>
        <w:rPr>
          <w:rFonts w:ascii="Abadi" w:hAnsi="Abadi"/>
          <w:sz w:val="21"/>
          <w:szCs w:val="21"/>
        </w:rPr>
        <w:t>M</w:t>
      </w:r>
      <w:r w:rsidRPr="006813AA">
        <w:rPr>
          <w:rFonts w:ascii="Abadi" w:hAnsi="Abadi"/>
          <w:sz w:val="21"/>
          <w:szCs w:val="21"/>
        </w:rPr>
        <w:t xml:space="preserve">urillo </w:t>
      </w:r>
      <w:r>
        <w:rPr>
          <w:rFonts w:ascii="Abadi" w:hAnsi="Abadi"/>
          <w:sz w:val="21"/>
          <w:szCs w:val="21"/>
        </w:rPr>
        <w:t>C</w:t>
      </w:r>
      <w:r w:rsidRPr="006813AA">
        <w:rPr>
          <w:rFonts w:ascii="Abadi" w:hAnsi="Abadi"/>
          <w:sz w:val="21"/>
          <w:szCs w:val="21"/>
        </w:rPr>
        <w:t>hávez</w:t>
      </w:r>
      <w:r>
        <w:rPr>
          <w:rFonts w:ascii="Abadi" w:hAnsi="Abadi"/>
          <w:sz w:val="21"/>
          <w:szCs w:val="21"/>
        </w:rPr>
        <w:t>.</w:t>
      </w:r>
    </w:p>
    <w:p w14:paraId="771A9C4F" w14:textId="77777777" w:rsidR="00E437A9" w:rsidRDefault="00E437A9" w:rsidP="00E437A9">
      <w:pPr>
        <w:jc w:val="both"/>
        <w:rPr>
          <w:rFonts w:ascii="Abadi" w:hAnsi="Abadi"/>
          <w:sz w:val="21"/>
          <w:szCs w:val="21"/>
        </w:rPr>
      </w:pPr>
    </w:p>
    <w:p w14:paraId="5117F42B" w14:textId="52EB6B86" w:rsidR="00E437A9" w:rsidRDefault="00E437A9" w:rsidP="00E437A9">
      <w:pPr>
        <w:jc w:val="both"/>
        <w:rPr>
          <w:rFonts w:ascii="Abadi" w:hAnsi="Abadi"/>
          <w:sz w:val="21"/>
          <w:szCs w:val="21"/>
        </w:rPr>
      </w:pPr>
      <w:r>
        <w:rPr>
          <w:rFonts w:ascii="Abadi" w:hAnsi="Abadi"/>
          <w:sz w:val="21"/>
          <w:szCs w:val="21"/>
        </w:rPr>
        <w:t>- A</w:t>
      </w:r>
      <w:r w:rsidRPr="006813AA">
        <w:rPr>
          <w:rFonts w:ascii="Abadi" w:hAnsi="Abadi"/>
          <w:sz w:val="21"/>
          <w:szCs w:val="21"/>
        </w:rPr>
        <w:t>genda 2030</w:t>
      </w:r>
      <w:r>
        <w:rPr>
          <w:rFonts w:ascii="Abadi" w:hAnsi="Abadi"/>
          <w:sz w:val="21"/>
          <w:szCs w:val="21"/>
        </w:rPr>
        <w:t xml:space="preserve">. </w:t>
      </w:r>
    </w:p>
    <w:p w14:paraId="2C88D204" w14:textId="77777777" w:rsidR="00E437A9" w:rsidRDefault="00E437A9" w:rsidP="00E437A9">
      <w:pPr>
        <w:jc w:val="both"/>
        <w:rPr>
          <w:rFonts w:ascii="Abadi" w:hAnsi="Abadi"/>
          <w:sz w:val="21"/>
          <w:szCs w:val="21"/>
        </w:rPr>
      </w:pPr>
    </w:p>
    <w:p w14:paraId="1EFEE4AC" w14:textId="7BEAF35C" w:rsidR="00E437A9" w:rsidRDefault="00E437A9" w:rsidP="00E437A9">
      <w:pPr>
        <w:jc w:val="both"/>
        <w:rPr>
          <w:rFonts w:ascii="Abadi" w:hAnsi="Abadi"/>
          <w:sz w:val="21"/>
          <w:szCs w:val="21"/>
        </w:rPr>
      </w:pPr>
      <w:r>
        <w:rPr>
          <w:rFonts w:ascii="Abadi" w:hAnsi="Abadi"/>
          <w:sz w:val="21"/>
          <w:szCs w:val="21"/>
        </w:rPr>
        <w:t>P</w:t>
      </w:r>
      <w:r w:rsidRPr="006813AA">
        <w:rPr>
          <w:rFonts w:ascii="Abadi" w:hAnsi="Abadi"/>
          <w:sz w:val="21"/>
          <w:szCs w:val="21"/>
        </w:rPr>
        <w:t>residenta</w:t>
      </w:r>
      <w:r>
        <w:rPr>
          <w:rFonts w:ascii="Abadi" w:hAnsi="Abadi"/>
          <w:sz w:val="21"/>
          <w:szCs w:val="21"/>
        </w:rPr>
        <w:t>:</w:t>
      </w:r>
      <w:r w:rsidRPr="006813AA">
        <w:rPr>
          <w:rFonts w:ascii="Abadi" w:hAnsi="Abadi"/>
          <w:sz w:val="21"/>
          <w:szCs w:val="21"/>
        </w:rPr>
        <w:t xml:space="preserve"> </w:t>
      </w:r>
      <w:r>
        <w:rPr>
          <w:rFonts w:ascii="Abadi" w:hAnsi="Abadi"/>
          <w:sz w:val="21"/>
          <w:szCs w:val="21"/>
        </w:rPr>
        <w:t>D</w:t>
      </w:r>
      <w:r w:rsidRPr="006813AA">
        <w:rPr>
          <w:rFonts w:ascii="Abadi" w:hAnsi="Abadi"/>
          <w:sz w:val="21"/>
          <w:szCs w:val="21"/>
        </w:rPr>
        <w:t>iputada Kat</w:t>
      </w:r>
      <w:r>
        <w:rPr>
          <w:rFonts w:ascii="Abadi" w:hAnsi="Abadi"/>
          <w:sz w:val="21"/>
          <w:szCs w:val="21"/>
        </w:rPr>
        <w:t>ya</w:t>
      </w:r>
      <w:r w:rsidRPr="006813AA">
        <w:rPr>
          <w:rFonts w:ascii="Abadi" w:hAnsi="Abadi"/>
          <w:sz w:val="21"/>
          <w:szCs w:val="21"/>
        </w:rPr>
        <w:t xml:space="preserve"> </w:t>
      </w:r>
      <w:r>
        <w:rPr>
          <w:rFonts w:ascii="Abadi" w:hAnsi="Abadi"/>
          <w:sz w:val="21"/>
          <w:szCs w:val="21"/>
        </w:rPr>
        <w:t>C</w:t>
      </w:r>
      <w:r w:rsidRPr="006813AA">
        <w:rPr>
          <w:rFonts w:ascii="Abadi" w:hAnsi="Abadi"/>
          <w:sz w:val="21"/>
          <w:szCs w:val="21"/>
        </w:rPr>
        <w:t xml:space="preserve">ristina </w:t>
      </w:r>
      <w:r>
        <w:rPr>
          <w:rFonts w:ascii="Abadi" w:hAnsi="Abadi"/>
          <w:sz w:val="21"/>
          <w:szCs w:val="21"/>
        </w:rPr>
        <w:t>S</w:t>
      </w:r>
      <w:r w:rsidRPr="006813AA">
        <w:rPr>
          <w:rFonts w:ascii="Abadi" w:hAnsi="Abadi"/>
          <w:sz w:val="21"/>
          <w:szCs w:val="21"/>
        </w:rPr>
        <w:t>oto</w:t>
      </w:r>
      <w:r>
        <w:rPr>
          <w:rFonts w:ascii="Abadi" w:hAnsi="Abadi"/>
          <w:sz w:val="21"/>
          <w:szCs w:val="21"/>
        </w:rPr>
        <w:t xml:space="preserve"> E</w:t>
      </w:r>
      <w:r w:rsidRPr="006813AA">
        <w:rPr>
          <w:rFonts w:ascii="Abadi" w:hAnsi="Abadi"/>
          <w:sz w:val="21"/>
          <w:szCs w:val="21"/>
        </w:rPr>
        <w:t>scamilla</w:t>
      </w:r>
      <w:r>
        <w:rPr>
          <w:rFonts w:ascii="Abadi" w:hAnsi="Abadi"/>
          <w:sz w:val="21"/>
          <w:szCs w:val="21"/>
        </w:rPr>
        <w:t>.</w:t>
      </w:r>
    </w:p>
    <w:p w14:paraId="7F87156B" w14:textId="77777777" w:rsidR="00E437A9" w:rsidRDefault="00E437A9" w:rsidP="00E437A9">
      <w:pPr>
        <w:jc w:val="both"/>
        <w:rPr>
          <w:rFonts w:ascii="Abadi" w:hAnsi="Abadi"/>
          <w:sz w:val="21"/>
          <w:szCs w:val="21"/>
        </w:rPr>
      </w:pPr>
    </w:p>
    <w:p w14:paraId="3397662A" w14:textId="17EDB13B" w:rsidR="00E437A9" w:rsidRDefault="00E437A9" w:rsidP="00E437A9">
      <w:pPr>
        <w:jc w:val="both"/>
        <w:rPr>
          <w:rFonts w:ascii="Abadi" w:hAnsi="Abadi"/>
          <w:sz w:val="21"/>
          <w:szCs w:val="21"/>
        </w:rPr>
      </w:pPr>
      <w:r>
        <w:rPr>
          <w:rFonts w:ascii="Abadi" w:hAnsi="Abadi"/>
          <w:sz w:val="21"/>
          <w:szCs w:val="21"/>
        </w:rPr>
        <w:t>- A</w:t>
      </w:r>
      <w:r w:rsidRPr="006813AA">
        <w:rPr>
          <w:rFonts w:ascii="Abadi" w:hAnsi="Abadi"/>
          <w:sz w:val="21"/>
          <w:szCs w:val="21"/>
        </w:rPr>
        <w:t>dministració</w:t>
      </w:r>
      <w:r>
        <w:rPr>
          <w:rFonts w:ascii="Abadi" w:hAnsi="Abadi"/>
          <w:sz w:val="21"/>
          <w:szCs w:val="21"/>
        </w:rPr>
        <w:t>n</w:t>
      </w:r>
    </w:p>
    <w:p w14:paraId="14B4ECBE" w14:textId="77777777" w:rsidR="00E437A9" w:rsidRDefault="00E437A9" w:rsidP="00E437A9">
      <w:pPr>
        <w:jc w:val="both"/>
        <w:rPr>
          <w:rFonts w:ascii="Abadi" w:hAnsi="Abadi"/>
          <w:sz w:val="21"/>
          <w:szCs w:val="21"/>
        </w:rPr>
      </w:pPr>
    </w:p>
    <w:p w14:paraId="52371E44" w14:textId="7C4D9397" w:rsidR="00E437A9" w:rsidRDefault="00E437A9" w:rsidP="00E437A9">
      <w:pPr>
        <w:jc w:val="both"/>
        <w:rPr>
          <w:rFonts w:ascii="Abadi" w:hAnsi="Abadi"/>
          <w:sz w:val="21"/>
          <w:szCs w:val="21"/>
        </w:rPr>
      </w:pPr>
      <w:r w:rsidRPr="006813AA">
        <w:rPr>
          <w:rFonts w:ascii="Abadi" w:hAnsi="Abadi"/>
          <w:sz w:val="21"/>
          <w:szCs w:val="21"/>
        </w:rPr>
        <w:t xml:space="preserve"> </w:t>
      </w:r>
      <w:r>
        <w:rPr>
          <w:rFonts w:ascii="Abadi" w:hAnsi="Abadi"/>
          <w:sz w:val="21"/>
          <w:szCs w:val="21"/>
        </w:rPr>
        <w:t>V</w:t>
      </w:r>
      <w:r w:rsidRPr="006813AA">
        <w:rPr>
          <w:rFonts w:ascii="Abadi" w:hAnsi="Abadi"/>
          <w:sz w:val="21"/>
          <w:szCs w:val="21"/>
        </w:rPr>
        <w:t>ocal</w:t>
      </w:r>
      <w:r>
        <w:rPr>
          <w:rFonts w:ascii="Abadi" w:hAnsi="Abadi"/>
          <w:sz w:val="21"/>
          <w:szCs w:val="21"/>
        </w:rPr>
        <w:t>:</w:t>
      </w:r>
      <w:r w:rsidRPr="006813AA">
        <w:rPr>
          <w:rFonts w:ascii="Abadi" w:hAnsi="Abadi"/>
          <w:sz w:val="21"/>
          <w:szCs w:val="21"/>
        </w:rPr>
        <w:t xml:space="preserve"> </w:t>
      </w:r>
      <w:r>
        <w:rPr>
          <w:rFonts w:ascii="Abadi" w:hAnsi="Abadi"/>
          <w:sz w:val="21"/>
          <w:szCs w:val="21"/>
        </w:rPr>
        <w:t>D</w:t>
      </w:r>
      <w:r w:rsidRPr="006813AA">
        <w:rPr>
          <w:rFonts w:ascii="Abadi" w:hAnsi="Abadi"/>
          <w:sz w:val="21"/>
          <w:szCs w:val="21"/>
        </w:rPr>
        <w:t xml:space="preserve">iputado Javier </w:t>
      </w:r>
      <w:r>
        <w:rPr>
          <w:rFonts w:ascii="Abadi" w:hAnsi="Abadi"/>
          <w:sz w:val="21"/>
          <w:szCs w:val="21"/>
        </w:rPr>
        <w:t>A</w:t>
      </w:r>
      <w:r w:rsidRPr="006813AA">
        <w:rPr>
          <w:rFonts w:ascii="Abadi" w:hAnsi="Abadi"/>
          <w:sz w:val="21"/>
          <w:szCs w:val="21"/>
        </w:rPr>
        <w:t xml:space="preserve">lfonso </w:t>
      </w:r>
      <w:r>
        <w:rPr>
          <w:rFonts w:ascii="Abadi" w:hAnsi="Abadi"/>
          <w:sz w:val="21"/>
          <w:szCs w:val="21"/>
        </w:rPr>
        <w:t>T</w:t>
      </w:r>
      <w:r w:rsidRPr="006813AA">
        <w:rPr>
          <w:rFonts w:ascii="Abadi" w:hAnsi="Abadi"/>
          <w:sz w:val="21"/>
          <w:szCs w:val="21"/>
        </w:rPr>
        <w:t xml:space="preserve">orres </w:t>
      </w:r>
      <w:r>
        <w:rPr>
          <w:rFonts w:ascii="Abadi" w:hAnsi="Abadi"/>
          <w:sz w:val="21"/>
          <w:szCs w:val="21"/>
        </w:rPr>
        <w:t>Me</w:t>
      </w:r>
      <w:r w:rsidRPr="006813AA">
        <w:rPr>
          <w:rFonts w:ascii="Abadi" w:hAnsi="Abadi"/>
          <w:sz w:val="21"/>
          <w:szCs w:val="21"/>
        </w:rPr>
        <w:t>reles</w:t>
      </w:r>
      <w:r>
        <w:rPr>
          <w:rFonts w:ascii="Abadi" w:hAnsi="Abadi"/>
          <w:sz w:val="21"/>
          <w:szCs w:val="21"/>
        </w:rPr>
        <w:t xml:space="preserve">. </w:t>
      </w:r>
    </w:p>
    <w:p w14:paraId="47241372" w14:textId="77777777" w:rsidR="00E437A9" w:rsidRDefault="00E437A9" w:rsidP="00E437A9">
      <w:pPr>
        <w:jc w:val="both"/>
        <w:rPr>
          <w:rFonts w:ascii="Abadi" w:hAnsi="Abadi"/>
          <w:sz w:val="21"/>
          <w:szCs w:val="21"/>
        </w:rPr>
      </w:pPr>
    </w:p>
    <w:p w14:paraId="2790FBB5" w14:textId="4E0AE58A" w:rsidR="00E437A9" w:rsidRDefault="00E437A9" w:rsidP="00E437A9">
      <w:pPr>
        <w:jc w:val="both"/>
        <w:rPr>
          <w:rFonts w:ascii="Abadi" w:hAnsi="Abadi"/>
          <w:sz w:val="21"/>
          <w:szCs w:val="21"/>
        </w:rPr>
      </w:pPr>
      <w:r>
        <w:rPr>
          <w:rFonts w:ascii="Abadi" w:hAnsi="Abadi"/>
          <w:sz w:val="21"/>
          <w:szCs w:val="21"/>
        </w:rPr>
        <w:t>- M</w:t>
      </w:r>
      <w:r w:rsidRPr="006813AA">
        <w:rPr>
          <w:rFonts w:ascii="Abadi" w:hAnsi="Abadi"/>
          <w:sz w:val="21"/>
          <w:szCs w:val="21"/>
        </w:rPr>
        <w:t xml:space="preserve">edio </w:t>
      </w:r>
      <w:r>
        <w:rPr>
          <w:rFonts w:ascii="Abadi" w:hAnsi="Abadi"/>
          <w:sz w:val="21"/>
          <w:szCs w:val="21"/>
        </w:rPr>
        <w:t>A</w:t>
      </w:r>
      <w:r w:rsidRPr="006813AA">
        <w:rPr>
          <w:rFonts w:ascii="Abadi" w:hAnsi="Abadi"/>
          <w:sz w:val="21"/>
          <w:szCs w:val="21"/>
        </w:rPr>
        <w:t>mbiente</w:t>
      </w:r>
      <w:r>
        <w:rPr>
          <w:rFonts w:ascii="Abadi" w:hAnsi="Abadi"/>
          <w:sz w:val="21"/>
          <w:szCs w:val="21"/>
        </w:rPr>
        <w:t>.</w:t>
      </w:r>
      <w:r w:rsidRPr="006813AA">
        <w:rPr>
          <w:rFonts w:ascii="Abadi" w:hAnsi="Abadi"/>
          <w:sz w:val="21"/>
          <w:szCs w:val="21"/>
        </w:rPr>
        <w:t xml:space="preserve"> </w:t>
      </w:r>
    </w:p>
    <w:p w14:paraId="1314B2E8" w14:textId="77777777" w:rsidR="00E437A9" w:rsidRDefault="00E437A9" w:rsidP="00E437A9">
      <w:pPr>
        <w:jc w:val="both"/>
        <w:rPr>
          <w:rFonts w:ascii="Abadi" w:hAnsi="Abadi"/>
          <w:sz w:val="21"/>
          <w:szCs w:val="21"/>
        </w:rPr>
      </w:pPr>
    </w:p>
    <w:p w14:paraId="001522E7" w14:textId="1C20249B" w:rsidR="00E437A9" w:rsidRDefault="00E437A9" w:rsidP="00E437A9">
      <w:pPr>
        <w:jc w:val="both"/>
        <w:rPr>
          <w:rFonts w:ascii="Abadi" w:hAnsi="Abadi"/>
          <w:sz w:val="21"/>
          <w:szCs w:val="21"/>
        </w:rPr>
      </w:pPr>
      <w:r>
        <w:rPr>
          <w:rFonts w:ascii="Abadi" w:hAnsi="Abadi"/>
          <w:sz w:val="21"/>
          <w:szCs w:val="21"/>
        </w:rPr>
        <w:t>Vocal D</w:t>
      </w:r>
      <w:r w:rsidRPr="006813AA">
        <w:rPr>
          <w:rFonts w:ascii="Abadi" w:hAnsi="Abadi"/>
          <w:sz w:val="21"/>
          <w:szCs w:val="21"/>
        </w:rPr>
        <w:t xml:space="preserve">iputado Javier </w:t>
      </w:r>
      <w:r>
        <w:rPr>
          <w:rFonts w:ascii="Abadi" w:hAnsi="Abadi"/>
          <w:sz w:val="21"/>
          <w:szCs w:val="21"/>
        </w:rPr>
        <w:t>A</w:t>
      </w:r>
      <w:r w:rsidRPr="006813AA">
        <w:rPr>
          <w:rFonts w:ascii="Abadi" w:hAnsi="Abadi"/>
          <w:sz w:val="21"/>
          <w:szCs w:val="21"/>
        </w:rPr>
        <w:t xml:space="preserve">lfonso </w:t>
      </w:r>
      <w:r>
        <w:rPr>
          <w:rFonts w:ascii="Abadi" w:hAnsi="Abadi"/>
          <w:sz w:val="21"/>
          <w:szCs w:val="21"/>
        </w:rPr>
        <w:t>T</w:t>
      </w:r>
      <w:r w:rsidRPr="006813AA">
        <w:rPr>
          <w:rFonts w:ascii="Abadi" w:hAnsi="Abadi"/>
          <w:sz w:val="21"/>
          <w:szCs w:val="21"/>
        </w:rPr>
        <w:t xml:space="preserve">orres </w:t>
      </w:r>
      <w:r>
        <w:rPr>
          <w:rFonts w:ascii="Abadi" w:hAnsi="Abadi"/>
          <w:sz w:val="21"/>
          <w:szCs w:val="21"/>
        </w:rPr>
        <w:t>Me</w:t>
      </w:r>
      <w:r w:rsidRPr="006813AA">
        <w:rPr>
          <w:rFonts w:ascii="Abadi" w:hAnsi="Abadi"/>
          <w:sz w:val="21"/>
          <w:szCs w:val="21"/>
        </w:rPr>
        <w:t>reles</w:t>
      </w:r>
      <w:r>
        <w:rPr>
          <w:rFonts w:ascii="Abadi" w:hAnsi="Abadi"/>
          <w:sz w:val="21"/>
          <w:szCs w:val="21"/>
        </w:rPr>
        <w:t xml:space="preserve">. </w:t>
      </w:r>
    </w:p>
    <w:p w14:paraId="18291C3D" w14:textId="77777777" w:rsidR="00E437A9" w:rsidRDefault="00E437A9" w:rsidP="00E437A9">
      <w:pPr>
        <w:jc w:val="both"/>
        <w:rPr>
          <w:rFonts w:ascii="Abadi" w:hAnsi="Abadi"/>
          <w:sz w:val="21"/>
          <w:szCs w:val="21"/>
        </w:rPr>
      </w:pPr>
    </w:p>
    <w:p w14:paraId="45E8AAB8" w14:textId="7C2D0009" w:rsidR="00E437A9" w:rsidRDefault="00E437A9" w:rsidP="00E437A9">
      <w:pPr>
        <w:jc w:val="both"/>
        <w:rPr>
          <w:rFonts w:ascii="Abadi" w:hAnsi="Abadi"/>
          <w:sz w:val="21"/>
          <w:szCs w:val="21"/>
        </w:rPr>
      </w:pPr>
      <w:r>
        <w:rPr>
          <w:rFonts w:ascii="Abadi" w:hAnsi="Abadi"/>
          <w:sz w:val="21"/>
          <w:szCs w:val="21"/>
        </w:rPr>
        <w:t>- S</w:t>
      </w:r>
      <w:r w:rsidRPr="006813AA">
        <w:rPr>
          <w:rFonts w:ascii="Abadi" w:hAnsi="Abadi"/>
          <w:sz w:val="21"/>
          <w:szCs w:val="21"/>
        </w:rPr>
        <w:t>in otro particular solicitamos se le otorgue al presente el trámite parlamentario correspondiente y aprovechamos la ocasión para enviarle un cordial saludo</w:t>
      </w:r>
      <w:r>
        <w:rPr>
          <w:rFonts w:ascii="Abadi" w:hAnsi="Abadi"/>
          <w:sz w:val="21"/>
          <w:szCs w:val="21"/>
        </w:rPr>
        <w:t>.</w:t>
      </w:r>
    </w:p>
    <w:p w14:paraId="65675C18" w14:textId="77777777" w:rsidR="00E437A9" w:rsidRDefault="00E437A9" w:rsidP="00E437A9">
      <w:pPr>
        <w:jc w:val="both"/>
        <w:rPr>
          <w:rFonts w:ascii="Abadi" w:hAnsi="Abadi"/>
          <w:sz w:val="21"/>
          <w:szCs w:val="21"/>
        </w:rPr>
      </w:pPr>
    </w:p>
    <w:p w14:paraId="09EA3488" w14:textId="73F9A960" w:rsidR="00E437A9" w:rsidRDefault="00E437A9" w:rsidP="00E437A9">
      <w:pPr>
        <w:jc w:val="both"/>
        <w:rPr>
          <w:rFonts w:ascii="Abadi" w:hAnsi="Abadi"/>
          <w:sz w:val="21"/>
          <w:szCs w:val="21"/>
        </w:rPr>
      </w:pPr>
      <w:r>
        <w:rPr>
          <w:rFonts w:ascii="Abadi" w:hAnsi="Abadi"/>
          <w:sz w:val="21"/>
          <w:szCs w:val="21"/>
        </w:rPr>
        <w:t>G</w:t>
      </w:r>
      <w:r w:rsidRPr="006813AA">
        <w:rPr>
          <w:rFonts w:ascii="Abadi" w:hAnsi="Abadi"/>
          <w:sz w:val="21"/>
          <w:szCs w:val="21"/>
        </w:rPr>
        <w:t>uanajuato</w:t>
      </w:r>
      <w:r>
        <w:rPr>
          <w:rFonts w:ascii="Abadi" w:hAnsi="Abadi"/>
          <w:sz w:val="21"/>
          <w:szCs w:val="21"/>
        </w:rPr>
        <w:t>, guanajuato a 12 de octubre de 2022.</w:t>
      </w:r>
    </w:p>
    <w:p w14:paraId="4BE3AF80" w14:textId="77777777" w:rsidR="00E437A9" w:rsidRPr="006813AA" w:rsidRDefault="00E437A9" w:rsidP="00E437A9">
      <w:pPr>
        <w:jc w:val="both"/>
        <w:rPr>
          <w:rFonts w:ascii="Abadi" w:hAnsi="Abadi"/>
          <w:sz w:val="21"/>
          <w:szCs w:val="21"/>
        </w:rPr>
      </w:pPr>
    </w:p>
    <w:p w14:paraId="78EE04CB" w14:textId="4944E441" w:rsidR="00E437A9" w:rsidRDefault="00E437A9" w:rsidP="00E437A9">
      <w:pPr>
        <w:ind w:firstLine="708"/>
        <w:jc w:val="both"/>
        <w:rPr>
          <w:rFonts w:ascii="Abadi" w:hAnsi="Abadi"/>
          <w:sz w:val="21"/>
          <w:szCs w:val="21"/>
        </w:rPr>
      </w:pPr>
      <w:r w:rsidRPr="00F03EA6">
        <w:rPr>
          <w:rFonts w:ascii="Abadi" w:hAnsi="Abadi"/>
          <w:b/>
          <w:bCs/>
          <w:sz w:val="21"/>
          <w:szCs w:val="21"/>
        </w:rPr>
        <w:t>- El Presidente.-</w:t>
      </w:r>
      <w:r>
        <w:rPr>
          <w:rFonts w:ascii="Abadi" w:hAnsi="Abadi"/>
          <w:sz w:val="21"/>
          <w:szCs w:val="21"/>
        </w:rPr>
        <w:t xml:space="preserve"> L</w:t>
      </w:r>
      <w:r w:rsidRPr="006813AA">
        <w:rPr>
          <w:rFonts w:ascii="Abadi" w:hAnsi="Abadi"/>
          <w:sz w:val="21"/>
          <w:szCs w:val="21"/>
        </w:rPr>
        <w:t>a propuesta está a su consideración</w:t>
      </w:r>
      <w:r>
        <w:rPr>
          <w:rFonts w:ascii="Abadi" w:hAnsi="Abadi"/>
          <w:sz w:val="21"/>
          <w:szCs w:val="21"/>
        </w:rPr>
        <w:t>.</w:t>
      </w:r>
      <w:r w:rsidRPr="006813AA">
        <w:rPr>
          <w:rFonts w:ascii="Abadi" w:hAnsi="Abadi"/>
          <w:sz w:val="21"/>
          <w:szCs w:val="21"/>
        </w:rPr>
        <w:t xml:space="preserve"> </w:t>
      </w:r>
    </w:p>
    <w:p w14:paraId="72F55BCA" w14:textId="77777777" w:rsidR="00E437A9" w:rsidRDefault="00E437A9" w:rsidP="00E437A9">
      <w:pPr>
        <w:ind w:firstLine="708"/>
        <w:jc w:val="both"/>
        <w:rPr>
          <w:rFonts w:ascii="Abadi" w:hAnsi="Abadi"/>
          <w:sz w:val="21"/>
          <w:szCs w:val="21"/>
        </w:rPr>
      </w:pPr>
    </w:p>
    <w:p w14:paraId="5E3AD336" w14:textId="49CF4DD7" w:rsidR="00E437A9" w:rsidRDefault="00E437A9" w:rsidP="00E437A9">
      <w:pPr>
        <w:ind w:firstLine="708"/>
        <w:jc w:val="both"/>
        <w:rPr>
          <w:rFonts w:ascii="Abadi" w:hAnsi="Abadi"/>
          <w:sz w:val="21"/>
          <w:szCs w:val="21"/>
        </w:rPr>
      </w:pPr>
      <w:r>
        <w:rPr>
          <w:rFonts w:ascii="Abadi" w:hAnsi="Abadi"/>
          <w:sz w:val="21"/>
          <w:szCs w:val="21"/>
        </w:rPr>
        <w:t>- S</w:t>
      </w:r>
      <w:r w:rsidRPr="006813AA">
        <w:rPr>
          <w:rFonts w:ascii="Abadi" w:hAnsi="Abadi"/>
          <w:sz w:val="21"/>
          <w:szCs w:val="21"/>
        </w:rPr>
        <w:t xml:space="preserve">i alguna diputada o algún diputado desea hacer </w:t>
      </w:r>
      <w:r>
        <w:rPr>
          <w:rFonts w:ascii="Abadi" w:hAnsi="Abadi"/>
          <w:sz w:val="21"/>
          <w:szCs w:val="21"/>
        </w:rPr>
        <w:t>u</w:t>
      </w:r>
      <w:r w:rsidRPr="006813AA">
        <w:rPr>
          <w:rFonts w:ascii="Abadi" w:hAnsi="Abadi"/>
          <w:sz w:val="21"/>
          <w:szCs w:val="21"/>
        </w:rPr>
        <w:t>so de la palabra en pro o en contra manifiésten</w:t>
      </w:r>
      <w:r>
        <w:rPr>
          <w:rFonts w:ascii="Abadi" w:hAnsi="Abadi"/>
          <w:sz w:val="21"/>
          <w:szCs w:val="21"/>
        </w:rPr>
        <w:t xml:space="preserve">lo </w:t>
      </w:r>
      <w:r w:rsidRPr="006813AA">
        <w:rPr>
          <w:rFonts w:ascii="Abadi" w:hAnsi="Abadi"/>
          <w:sz w:val="21"/>
          <w:szCs w:val="21"/>
        </w:rPr>
        <w:t>a esta presidencia</w:t>
      </w:r>
      <w:r>
        <w:rPr>
          <w:rFonts w:ascii="Abadi" w:hAnsi="Abadi"/>
          <w:sz w:val="21"/>
          <w:szCs w:val="21"/>
        </w:rPr>
        <w:t>.</w:t>
      </w:r>
    </w:p>
    <w:p w14:paraId="30EA1BE1" w14:textId="77777777" w:rsidR="00E437A9" w:rsidRPr="006813AA" w:rsidRDefault="00E437A9" w:rsidP="00E437A9">
      <w:pPr>
        <w:ind w:firstLine="708"/>
        <w:jc w:val="both"/>
        <w:rPr>
          <w:rFonts w:ascii="Abadi" w:hAnsi="Abadi"/>
          <w:sz w:val="21"/>
          <w:szCs w:val="21"/>
        </w:rPr>
      </w:pPr>
    </w:p>
    <w:p w14:paraId="27009716" w14:textId="77777777" w:rsidR="00E437A9" w:rsidRDefault="00E437A9" w:rsidP="00E437A9">
      <w:pPr>
        <w:ind w:firstLine="708"/>
        <w:jc w:val="both"/>
        <w:rPr>
          <w:rFonts w:ascii="Abadi" w:hAnsi="Abadi"/>
          <w:sz w:val="21"/>
          <w:szCs w:val="21"/>
        </w:rPr>
      </w:pPr>
      <w:r w:rsidRPr="00812D5A">
        <w:rPr>
          <w:rFonts w:ascii="Abadi" w:hAnsi="Abadi"/>
          <w:b/>
          <w:bCs/>
          <w:sz w:val="21"/>
          <w:szCs w:val="21"/>
        </w:rPr>
        <w:t>- El Presidente.-</w:t>
      </w:r>
      <w:r>
        <w:rPr>
          <w:rFonts w:ascii="Abadi" w:hAnsi="Abadi"/>
          <w:sz w:val="21"/>
          <w:szCs w:val="21"/>
        </w:rPr>
        <w:t xml:space="preserve"> E</w:t>
      </w:r>
      <w:r w:rsidRPr="006813AA">
        <w:rPr>
          <w:rFonts w:ascii="Abadi" w:hAnsi="Abadi"/>
          <w:sz w:val="21"/>
          <w:szCs w:val="21"/>
        </w:rPr>
        <w:t xml:space="preserve">n virtud de no haberse registrado participaciones en los términos del artículo 76 de nuestra </w:t>
      </w:r>
      <w:r>
        <w:rPr>
          <w:rFonts w:ascii="Abadi" w:hAnsi="Abadi"/>
          <w:sz w:val="21"/>
          <w:szCs w:val="21"/>
        </w:rPr>
        <w:t>L</w:t>
      </w:r>
      <w:r w:rsidRPr="006813AA">
        <w:rPr>
          <w:rFonts w:ascii="Abadi" w:hAnsi="Abadi"/>
          <w:sz w:val="21"/>
          <w:szCs w:val="21"/>
        </w:rPr>
        <w:t xml:space="preserve">ey </w:t>
      </w:r>
      <w:r>
        <w:rPr>
          <w:rFonts w:ascii="Abadi" w:hAnsi="Abadi"/>
          <w:sz w:val="21"/>
          <w:szCs w:val="21"/>
        </w:rPr>
        <w:t>O</w:t>
      </w:r>
      <w:r w:rsidRPr="006813AA">
        <w:rPr>
          <w:rFonts w:ascii="Abadi" w:hAnsi="Abadi"/>
          <w:sz w:val="21"/>
          <w:szCs w:val="21"/>
        </w:rPr>
        <w:t>rgánica se procede a someter a votación la propuesta por lo cual se recabará votación por cédula a través del sistema electrónico habilitado para tal efecto</w:t>
      </w:r>
      <w:r>
        <w:rPr>
          <w:rFonts w:ascii="Abadi" w:hAnsi="Abadi"/>
          <w:sz w:val="21"/>
          <w:szCs w:val="21"/>
        </w:rPr>
        <w:t>.</w:t>
      </w:r>
      <w:r w:rsidRPr="007B66CE">
        <w:rPr>
          <w:rFonts w:ascii="Abadi" w:hAnsi="Abadi"/>
          <w:sz w:val="21"/>
          <w:szCs w:val="21"/>
        </w:rPr>
        <w:t xml:space="preserve"> </w:t>
      </w:r>
    </w:p>
    <w:p w14:paraId="09636C21" w14:textId="77777777" w:rsidR="00E437A9" w:rsidRDefault="00E437A9" w:rsidP="00E437A9">
      <w:pPr>
        <w:ind w:firstLine="708"/>
        <w:jc w:val="both"/>
        <w:rPr>
          <w:rFonts w:ascii="Abadi" w:hAnsi="Abadi"/>
          <w:sz w:val="21"/>
          <w:szCs w:val="21"/>
        </w:rPr>
      </w:pPr>
    </w:p>
    <w:p w14:paraId="63F2581F" w14:textId="5CB0E58E" w:rsidR="00E437A9" w:rsidRDefault="00E437A9" w:rsidP="00E437A9">
      <w:pPr>
        <w:jc w:val="both"/>
        <w:rPr>
          <w:rFonts w:ascii="Abadi" w:hAnsi="Abadi"/>
          <w:sz w:val="21"/>
          <w:szCs w:val="21"/>
        </w:rPr>
      </w:pPr>
      <w:r w:rsidRPr="00812D5A">
        <w:rPr>
          <w:rFonts w:ascii="Abadi" w:hAnsi="Abadi"/>
          <w:b/>
          <w:bCs/>
          <w:sz w:val="21"/>
          <w:szCs w:val="21"/>
        </w:rPr>
        <w:t>(Se abre nuestro sistema electrónico)</w:t>
      </w:r>
      <w:r w:rsidRPr="00D620DF">
        <w:rPr>
          <w:rFonts w:ascii="Abadi" w:hAnsi="Abadi"/>
          <w:sz w:val="21"/>
          <w:szCs w:val="21"/>
        </w:rPr>
        <w:t xml:space="preserve"> </w:t>
      </w:r>
    </w:p>
    <w:p w14:paraId="1B0CBDAA" w14:textId="77777777" w:rsidR="00E437A9" w:rsidRDefault="00E437A9" w:rsidP="00E437A9">
      <w:pPr>
        <w:ind w:firstLine="708"/>
        <w:jc w:val="both"/>
        <w:rPr>
          <w:rFonts w:ascii="Abadi" w:hAnsi="Abadi"/>
          <w:sz w:val="21"/>
          <w:szCs w:val="21"/>
        </w:rPr>
      </w:pPr>
    </w:p>
    <w:p w14:paraId="632B9AC4" w14:textId="61B176BF" w:rsidR="00E437A9" w:rsidRPr="00D620DF" w:rsidRDefault="000B5B6C" w:rsidP="000B5B6C">
      <w:pPr>
        <w:pStyle w:val="Prrafodelista"/>
        <w:numPr>
          <w:ilvl w:val="0"/>
          <w:numId w:val="76"/>
        </w:numPr>
        <w:spacing w:after="160" w:line="259" w:lineRule="auto"/>
        <w:ind w:left="0" w:firstLine="0"/>
        <w:contextualSpacing/>
        <w:jc w:val="both"/>
        <w:rPr>
          <w:rFonts w:ascii="Abadi" w:hAnsi="Abadi"/>
          <w:b/>
          <w:bCs/>
          <w:sz w:val="21"/>
          <w:szCs w:val="21"/>
        </w:rPr>
      </w:pPr>
      <w:r>
        <w:rPr>
          <w:rFonts w:ascii="Abadi" w:hAnsi="Abadi"/>
          <w:b/>
          <w:bCs/>
          <w:sz w:val="21"/>
          <w:szCs w:val="21"/>
        </w:rPr>
        <w:tab/>
      </w:r>
      <w:r w:rsidR="00E437A9" w:rsidRPr="00D620DF">
        <w:rPr>
          <w:rFonts w:ascii="Abadi" w:hAnsi="Abadi"/>
          <w:b/>
          <w:bCs/>
          <w:sz w:val="21"/>
          <w:szCs w:val="21"/>
        </w:rPr>
        <w:t xml:space="preserve">El Secretario.- </w:t>
      </w:r>
      <w:r w:rsidR="00E437A9" w:rsidRPr="00D620DF">
        <w:rPr>
          <w:rFonts w:ascii="Abadi" w:hAnsi="Abadi"/>
          <w:sz w:val="21"/>
          <w:szCs w:val="21"/>
        </w:rPr>
        <w:t>¿Diputada Alma Edwviges?</w:t>
      </w:r>
    </w:p>
    <w:p w14:paraId="1ADD3490" w14:textId="52D4DFE6" w:rsidR="00E437A9" w:rsidRDefault="00E437A9" w:rsidP="00E437A9">
      <w:pPr>
        <w:jc w:val="both"/>
        <w:rPr>
          <w:rFonts w:ascii="Abadi" w:hAnsi="Abadi"/>
          <w:sz w:val="21"/>
          <w:szCs w:val="21"/>
        </w:rPr>
      </w:pPr>
      <w:r>
        <w:rPr>
          <w:rFonts w:ascii="Abadi" w:hAnsi="Abadi"/>
          <w:sz w:val="21"/>
          <w:szCs w:val="21"/>
        </w:rPr>
        <w:t>¿F</w:t>
      </w:r>
      <w:r w:rsidRPr="006813AA">
        <w:rPr>
          <w:rFonts w:ascii="Abadi" w:hAnsi="Abadi"/>
          <w:sz w:val="21"/>
          <w:szCs w:val="21"/>
        </w:rPr>
        <w:t>alta alguna diputada o algún diputado de emitir su voto</w:t>
      </w:r>
      <w:r>
        <w:rPr>
          <w:rFonts w:ascii="Abadi" w:hAnsi="Abadi"/>
          <w:sz w:val="21"/>
          <w:szCs w:val="21"/>
        </w:rPr>
        <w:t>?</w:t>
      </w:r>
    </w:p>
    <w:p w14:paraId="4B9E5CC9" w14:textId="77777777" w:rsidR="00E437A9" w:rsidRDefault="00E437A9" w:rsidP="00E437A9">
      <w:pPr>
        <w:jc w:val="both"/>
        <w:rPr>
          <w:rFonts w:ascii="Abadi" w:hAnsi="Abadi"/>
          <w:sz w:val="21"/>
          <w:szCs w:val="21"/>
        </w:rPr>
      </w:pPr>
    </w:p>
    <w:p w14:paraId="3336263F" w14:textId="406A9BC3" w:rsidR="00E437A9" w:rsidRDefault="00A655C2" w:rsidP="00E437A9">
      <w:pPr>
        <w:jc w:val="both"/>
        <w:rPr>
          <w:rFonts w:ascii="Abadi" w:hAnsi="Abadi"/>
          <w:b/>
          <w:bCs/>
          <w:sz w:val="21"/>
          <w:szCs w:val="21"/>
        </w:rPr>
      </w:pPr>
      <w:r>
        <w:rPr>
          <w:noProof/>
        </w:rPr>
        <w:drawing>
          <wp:anchor distT="0" distB="0" distL="114300" distR="114300" simplePos="0" relativeHeight="251692032" behindDoc="1" locked="0" layoutInCell="1" allowOverlap="1" wp14:anchorId="7C6E516C" wp14:editId="54E65145">
            <wp:simplePos x="0" y="0"/>
            <wp:positionH relativeFrom="margin">
              <wp:align>left</wp:align>
            </wp:positionH>
            <wp:positionV relativeFrom="paragraph">
              <wp:posOffset>595415</wp:posOffset>
            </wp:positionV>
            <wp:extent cx="1847850" cy="969086"/>
            <wp:effectExtent l="323850" t="323850" r="323850" b="326390"/>
            <wp:wrapTight wrapText="bothSides">
              <wp:wrapPolygon edited="0">
                <wp:start x="-2227" y="-7219"/>
                <wp:lineTo x="-3786" y="-6370"/>
                <wp:lineTo x="-3786" y="21232"/>
                <wp:lineTo x="-2227" y="27602"/>
                <wp:lineTo x="-2227" y="28451"/>
                <wp:lineTo x="23604" y="28451"/>
                <wp:lineTo x="23604" y="27602"/>
                <wp:lineTo x="25163" y="21232"/>
                <wp:lineTo x="25163" y="425"/>
                <wp:lineTo x="23604" y="-5945"/>
                <wp:lineTo x="23604" y="-7219"/>
                <wp:lineTo x="-2227" y="-7219"/>
              </wp:wrapPolygon>
            </wp:wrapTight>
            <wp:docPr id="39" name="Imagen 39"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Interfaz de usuario gráfica, Sitio web&#10;&#10;Descripción generada automáticamente"/>
                    <pic:cNvPicPr/>
                  </pic:nvPicPr>
                  <pic:blipFill rotWithShape="1">
                    <a:blip r:embed="rId41" cstate="print">
                      <a:extLst>
                        <a:ext uri="{28A0092B-C50C-407E-A947-70E740481C1C}">
                          <a14:useLocalDpi xmlns:a14="http://schemas.microsoft.com/office/drawing/2010/main" val="0"/>
                        </a:ext>
                      </a:extLst>
                    </a:blip>
                    <a:srcRect b="6722"/>
                    <a:stretch/>
                  </pic:blipFill>
                  <pic:spPr bwMode="auto">
                    <a:xfrm>
                      <a:off x="0" y="0"/>
                      <a:ext cx="1847850" cy="969086"/>
                    </a:xfrm>
                    <a:prstGeom prst="rect">
                      <a:avLst/>
                    </a:prstGeom>
                    <a:ln w="88900" cap="sq" cmpd="thickThin">
                      <a:solidFill>
                        <a:srgbClr val="000000"/>
                      </a:solidFill>
                      <a:prstDash val="solid"/>
                      <a:miter lim="800000"/>
                    </a:ln>
                    <a:effectLst>
                      <a:glow rad="228600">
                        <a:schemeClr val="accent3">
                          <a:satMod val="17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r w:rsidR="00E437A9" w:rsidRPr="007B66CE">
        <w:rPr>
          <w:rFonts w:ascii="Abadi" w:hAnsi="Abadi"/>
          <w:b/>
          <w:bCs/>
          <w:sz w:val="21"/>
          <w:szCs w:val="21"/>
        </w:rPr>
        <w:t>(Se cierra el sistema electrónico)</w:t>
      </w:r>
    </w:p>
    <w:p w14:paraId="470C7491" w14:textId="0B89CC2D" w:rsidR="00E437A9" w:rsidRPr="007B66CE" w:rsidRDefault="00E437A9" w:rsidP="00E437A9">
      <w:pPr>
        <w:ind w:firstLine="708"/>
        <w:jc w:val="both"/>
        <w:rPr>
          <w:rFonts w:ascii="Abadi" w:hAnsi="Abadi"/>
          <w:b/>
          <w:bCs/>
          <w:sz w:val="21"/>
          <w:szCs w:val="21"/>
        </w:rPr>
      </w:pPr>
    </w:p>
    <w:p w14:paraId="43E0B78A" w14:textId="4323E9A5" w:rsidR="00E437A9" w:rsidRDefault="00E437A9" w:rsidP="00E437A9">
      <w:pPr>
        <w:ind w:firstLine="708"/>
        <w:jc w:val="both"/>
        <w:rPr>
          <w:rFonts w:ascii="Abadi" w:hAnsi="Abadi"/>
          <w:sz w:val="21"/>
          <w:szCs w:val="21"/>
        </w:rPr>
      </w:pPr>
      <w:r w:rsidRPr="000161BE">
        <w:rPr>
          <w:rFonts w:ascii="Abadi" w:hAnsi="Abadi"/>
          <w:b/>
          <w:bCs/>
          <w:sz w:val="21"/>
          <w:szCs w:val="21"/>
        </w:rPr>
        <w:t>- El Secretario.-</w:t>
      </w:r>
      <w:r>
        <w:rPr>
          <w:rFonts w:ascii="Abadi" w:hAnsi="Abadi"/>
          <w:sz w:val="21"/>
          <w:szCs w:val="21"/>
        </w:rPr>
        <w:t xml:space="preserve"> S</w:t>
      </w:r>
      <w:r w:rsidRPr="006813AA">
        <w:rPr>
          <w:rFonts w:ascii="Abadi" w:hAnsi="Abadi"/>
          <w:sz w:val="21"/>
          <w:szCs w:val="21"/>
        </w:rPr>
        <w:t>eñor Presidente se registraron 31 votos a favor</w:t>
      </w:r>
      <w:r>
        <w:rPr>
          <w:rFonts w:ascii="Abadi" w:hAnsi="Abadi"/>
          <w:sz w:val="21"/>
          <w:szCs w:val="21"/>
        </w:rPr>
        <w:t>.</w:t>
      </w:r>
    </w:p>
    <w:p w14:paraId="53C7352F" w14:textId="77777777" w:rsidR="00A655C2" w:rsidRPr="006813AA" w:rsidRDefault="00A655C2" w:rsidP="00E437A9">
      <w:pPr>
        <w:ind w:firstLine="708"/>
        <w:jc w:val="both"/>
        <w:rPr>
          <w:rFonts w:ascii="Abadi" w:hAnsi="Abadi"/>
          <w:sz w:val="21"/>
          <w:szCs w:val="21"/>
        </w:rPr>
      </w:pPr>
    </w:p>
    <w:p w14:paraId="1EEE134F" w14:textId="1C50288A" w:rsidR="00E437A9" w:rsidRDefault="00E437A9" w:rsidP="00E437A9">
      <w:pPr>
        <w:ind w:firstLine="708"/>
        <w:jc w:val="both"/>
        <w:rPr>
          <w:rFonts w:ascii="Abadi" w:hAnsi="Abadi"/>
          <w:sz w:val="21"/>
          <w:szCs w:val="21"/>
        </w:rPr>
      </w:pPr>
      <w:r w:rsidRPr="000161BE">
        <w:rPr>
          <w:rFonts w:ascii="Abadi" w:hAnsi="Abadi"/>
          <w:b/>
          <w:bCs/>
          <w:sz w:val="21"/>
          <w:szCs w:val="21"/>
        </w:rPr>
        <w:t>- El Presidente.-</w:t>
      </w:r>
      <w:r>
        <w:rPr>
          <w:rFonts w:ascii="Abadi" w:hAnsi="Abadi"/>
          <w:sz w:val="21"/>
          <w:szCs w:val="21"/>
        </w:rPr>
        <w:t xml:space="preserve"> L</w:t>
      </w:r>
      <w:r w:rsidRPr="006813AA">
        <w:rPr>
          <w:rFonts w:ascii="Abadi" w:hAnsi="Abadi"/>
          <w:sz w:val="21"/>
          <w:szCs w:val="21"/>
        </w:rPr>
        <w:t>a propuesta ha sido aprobada por unanimidad de</w:t>
      </w:r>
      <w:r>
        <w:rPr>
          <w:rFonts w:ascii="Abadi" w:hAnsi="Abadi"/>
          <w:sz w:val="21"/>
          <w:szCs w:val="21"/>
        </w:rPr>
        <w:t xml:space="preserve"> votos. </w:t>
      </w:r>
    </w:p>
    <w:p w14:paraId="4A2FEF27" w14:textId="77777777" w:rsidR="00A655C2" w:rsidRDefault="00A655C2" w:rsidP="00E437A9">
      <w:pPr>
        <w:ind w:firstLine="708"/>
        <w:jc w:val="both"/>
        <w:rPr>
          <w:rFonts w:ascii="Abadi" w:hAnsi="Abadi"/>
          <w:sz w:val="21"/>
          <w:szCs w:val="21"/>
        </w:rPr>
      </w:pPr>
    </w:p>
    <w:p w14:paraId="2E677FF0" w14:textId="70C4A540" w:rsidR="00E437A9" w:rsidRDefault="00E437A9" w:rsidP="00E437A9">
      <w:pPr>
        <w:ind w:firstLine="708"/>
        <w:jc w:val="both"/>
        <w:rPr>
          <w:rFonts w:ascii="Abadi" w:hAnsi="Abadi"/>
          <w:sz w:val="21"/>
          <w:szCs w:val="21"/>
        </w:rPr>
      </w:pPr>
      <w:r w:rsidRPr="000161BE">
        <w:rPr>
          <w:rFonts w:ascii="Abadi" w:hAnsi="Abadi"/>
          <w:b/>
          <w:bCs/>
          <w:sz w:val="21"/>
          <w:szCs w:val="21"/>
        </w:rPr>
        <w:t>- El Presidente.</w:t>
      </w:r>
      <w:r>
        <w:rPr>
          <w:rFonts w:ascii="Abadi" w:hAnsi="Abadi"/>
          <w:sz w:val="21"/>
          <w:szCs w:val="21"/>
        </w:rPr>
        <w:t xml:space="preserve">  En c</w:t>
      </w:r>
      <w:r w:rsidRPr="006813AA">
        <w:rPr>
          <w:rFonts w:ascii="Abadi" w:hAnsi="Abadi"/>
          <w:sz w:val="21"/>
          <w:szCs w:val="21"/>
        </w:rPr>
        <w:t xml:space="preserve">onsecuencia se declara modificada la integración de las comisiones de </w:t>
      </w:r>
      <w:r>
        <w:rPr>
          <w:rFonts w:ascii="Abadi" w:hAnsi="Abadi"/>
          <w:sz w:val="21"/>
          <w:szCs w:val="21"/>
        </w:rPr>
        <w:t>T</w:t>
      </w:r>
      <w:r w:rsidRPr="006813AA">
        <w:rPr>
          <w:rFonts w:ascii="Abadi" w:hAnsi="Abadi"/>
          <w:sz w:val="21"/>
          <w:szCs w:val="21"/>
        </w:rPr>
        <w:t>urismo</w:t>
      </w:r>
      <w:r>
        <w:rPr>
          <w:rFonts w:ascii="Abadi" w:hAnsi="Abadi"/>
          <w:sz w:val="21"/>
          <w:szCs w:val="21"/>
        </w:rPr>
        <w:t>,</w:t>
      </w:r>
      <w:r w:rsidRPr="006813AA">
        <w:rPr>
          <w:rFonts w:ascii="Abadi" w:hAnsi="Abadi"/>
          <w:sz w:val="21"/>
          <w:szCs w:val="21"/>
        </w:rPr>
        <w:t xml:space="preserve"> </w:t>
      </w:r>
      <w:r>
        <w:rPr>
          <w:rFonts w:ascii="Abadi" w:hAnsi="Abadi"/>
          <w:sz w:val="21"/>
          <w:szCs w:val="21"/>
        </w:rPr>
        <w:t>A</w:t>
      </w:r>
      <w:r w:rsidRPr="006813AA">
        <w:rPr>
          <w:rFonts w:ascii="Abadi" w:hAnsi="Abadi"/>
          <w:sz w:val="21"/>
          <w:szCs w:val="21"/>
        </w:rPr>
        <w:t xml:space="preserve">dministración y </w:t>
      </w:r>
      <w:r>
        <w:rPr>
          <w:rFonts w:ascii="Abadi" w:hAnsi="Abadi"/>
          <w:sz w:val="21"/>
          <w:szCs w:val="21"/>
        </w:rPr>
        <w:t>M</w:t>
      </w:r>
      <w:r w:rsidRPr="006813AA">
        <w:rPr>
          <w:rFonts w:ascii="Abadi" w:hAnsi="Abadi"/>
          <w:sz w:val="21"/>
          <w:szCs w:val="21"/>
        </w:rPr>
        <w:t xml:space="preserve">edio </w:t>
      </w:r>
      <w:r>
        <w:rPr>
          <w:rFonts w:ascii="Abadi" w:hAnsi="Abadi"/>
          <w:sz w:val="21"/>
          <w:szCs w:val="21"/>
        </w:rPr>
        <w:t>A</w:t>
      </w:r>
      <w:r w:rsidRPr="006813AA">
        <w:rPr>
          <w:rFonts w:ascii="Abadi" w:hAnsi="Abadi"/>
          <w:sz w:val="21"/>
          <w:szCs w:val="21"/>
        </w:rPr>
        <w:t>mbiente</w:t>
      </w:r>
      <w:r>
        <w:rPr>
          <w:rFonts w:ascii="Abadi" w:hAnsi="Abadi"/>
          <w:sz w:val="21"/>
          <w:szCs w:val="21"/>
        </w:rPr>
        <w:t>,</w:t>
      </w:r>
      <w:r w:rsidRPr="006813AA">
        <w:rPr>
          <w:rFonts w:ascii="Abadi" w:hAnsi="Abadi"/>
          <w:sz w:val="21"/>
          <w:szCs w:val="21"/>
        </w:rPr>
        <w:t xml:space="preserve"> así como de la </w:t>
      </w:r>
      <w:r>
        <w:rPr>
          <w:rFonts w:ascii="Abadi" w:hAnsi="Abadi"/>
          <w:sz w:val="21"/>
          <w:szCs w:val="21"/>
        </w:rPr>
        <w:t>C</w:t>
      </w:r>
      <w:r w:rsidRPr="006813AA">
        <w:rPr>
          <w:rFonts w:ascii="Abadi" w:hAnsi="Abadi"/>
          <w:sz w:val="21"/>
          <w:szCs w:val="21"/>
        </w:rPr>
        <w:t xml:space="preserve">omisión </w:t>
      </w:r>
      <w:r>
        <w:rPr>
          <w:rFonts w:ascii="Abadi" w:hAnsi="Abadi"/>
          <w:sz w:val="21"/>
          <w:szCs w:val="21"/>
        </w:rPr>
        <w:t>E</w:t>
      </w:r>
      <w:r w:rsidRPr="006813AA">
        <w:rPr>
          <w:rFonts w:ascii="Abadi" w:hAnsi="Abadi"/>
          <w:sz w:val="21"/>
          <w:szCs w:val="21"/>
        </w:rPr>
        <w:t xml:space="preserve">special para dar </w:t>
      </w:r>
      <w:r>
        <w:rPr>
          <w:rFonts w:ascii="Abadi" w:hAnsi="Abadi"/>
          <w:sz w:val="21"/>
          <w:szCs w:val="21"/>
        </w:rPr>
        <w:t>S</w:t>
      </w:r>
      <w:r w:rsidRPr="006813AA">
        <w:rPr>
          <w:rFonts w:ascii="Abadi" w:hAnsi="Abadi"/>
          <w:sz w:val="21"/>
          <w:szCs w:val="21"/>
        </w:rPr>
        <w:t xml:space="preserve">eguimiento a la </w:t>
      </w:r>
      <w:r>
        <w:rPr>
          <w:rFonts w:ascii="Abadi" w:hAnsi="Abadi"/>
          <w:sz w:val="21"/>
          <w:szCs w:val="21"/>
        </w:rPr>
        <w:t>I</w:t>
      </w:r>
      <w:r w:rsidRPr="006813AA">
        <w:rPr>
          <w:rFonts w:ascii="Abadi" w:hAnsi="Abadi"/>
          <w:sz w:val="21"/>
          <w:szCs w:val="21"/>
        </w:rPr>
        <w:t xml:space="preserve">mplementación de la </w:t>
      </w:r>
      <w:r>
        <w:rPr>
          <w:rFonts w:ascii="Abadi" w:hAnsi="Abadi"/>
          <w:sz w:val="21"/>
          <w:szCs w:val="21"/>
        </w:rPr>
        <w:t>A</w:t>
      </w:r>
      <w:r w:rsidRPr="006813AA">
        <w:rPr>
          <w:rFonts w:ascii="Abadi" w:hAnsi="Abadi"/>
          <w:sz w:val="21"/>
          <w:szCs w:val="21"/>
        </w:rPr>
        <w:t>genda 2030</w:t>
      </w:r>
      <w:r>
        <w:rPr>
          <w:rFonts w:ascii="Abadi" w:hAnsi="Abadi"/>
          <w:sz w:val="21"/>
          <w:szCs w:val="21"/>
        </w:rPr>
        <w:t>,</w:t>
      </w:r>
      <w:r w:rsidRPr="006813AA">
        <w:rPr>
          <w:rFonts w:ascii="Abadi" w:hAnsi="Abadi"/>
          <w:sz w:val="21"/>
          <w:szCs w:val="21"/>
        </w:rPr>
        <w:t xml:space="preserve"> conforme a la propuesta recién aprobada</w:t>
      </w:r>
      <w:r>
        <w:rPr>
          <w:rFonts w:ascii="Abadi" w:hAnsi="Abadi"/>
          <w:sz w:val="21"/>
          <w:szCs w:val="21"/>
        </w:rPr>
        <w:t>.</w:t>
      </w:r>
    </w:p>
    <w:p w14:paraId="43047C50" w14:textId="1E21F0D7" w:rsidR="001511FB" w:rsidRDefault="001511FB" w:rsidP="00E437A9">
      <w:pPr>
        <w:ind w:firstLine="708"/>
        <w:jc w:val="both"/>
        <w:rPr>
          <w:rFonts w:ascii="Abadi" w:hAnsi="Abadi"/>
          <w:sz w:val="21"/>
          <w:szCs w:val="21"/>
        </w:rPr>
      </w:pPr>
    </w:p>
    <w:p w14:paraId="6F762EE8" w14:textId="6A7A7259" w:rsidR="001511FB" w:rsidRDefault="001511FB" w:rsidP="001511FB">
      <w:pPr>
        <w:ind w:firstLine="708"/>
        <w:jc w:val="both"/>
        <w:rPr>
          <w:rFonts w:ascii="Abadi" w:hAnsi="Abadi"/>
          <w:sz w:val="21"/>
          <w:szCs w:val="21"/>
        </w:rPr>
      </w:pPr>
      <w:r w:rsidRPr="000161BE">
        <w:rPr>
          <w:rFonts w:ascii="Abadi" w:hAnsi="Abadi"/>
          <w:b/>
          <w:bCs/>
          <w:sz w:val="21"/>
          <w:szCs w:val="21"/>
        </w:rPr>
        <w:t>- El Presidente.-</w:t>
      </w:r>
      <w:r>
        <w:rPr>
          <w:rFonts w:ascii="Abadi" w:hAnsi="Abadi"/>
          <w:sz w:val="21"/>
          <w:szCs w:val="21"/>
        </w:rPr>
        <w:t xml:space="preserve"> C</w:t>
      </w:r>
      <w:r w:rsidRPr="006813AA">
        <w:rPr>
          <w:rFonts w:ascii="Abadi" w:hAnsi="Abadi"/>
          <w:sz w:val="21"/>
          <w:szCs w:val="21"/>
        </w:rPr>
        <w:t xml:space="preserve">on el objeto de agilizar el trámite </w:t>
      </w:r>
      <w:r>
        <w:rPr>
          <w:rFonts w:ascii="Abadi" w:hAnsi="Abadi"/>
          <w:sz w:val="21"/>
          <w:szCs w:val="21"/>
        </w:rPr>
        <w:t>P</w:t>
      </w:r>
      <w:r w:rsidRPr="006813AA">
        <w:rPr>
          <w:rFonts w:ascii="Abadi" w:hAnsi="Abadi"/>
          <w:sz w:val="21"/>
          <w:szCs w:val="21"/>
        </w:rPr>
        <w:t xml:space="preserve">arlamentario de los asuntos agendados en los puntos del 16 al 44 </w:t>
      </w:r>
      <w:r>
        <w:rPr>
          <w:rFonts w:ascii="Abadi" w:hAnsi="Abadi"/>
          <w:sz w:val="21"/>
          <w:szCs w:val="21"/>
        </w:rPr>
        <w:t>d</w:t>
      </w:r>
      <w:r w:rsidRPr="006813AA">
        <w:rPr>
          <w:rFonts w:ascii="Abadi" w:hAnsi="Abadi"/>
          <w:sz w:val="21"/>
          <w:szCs w:val="21"/>
        </w:rPr>
        <w:t xml:space="preserve">el orden del día y en virtud de haberse proporcionado con anticipación así como encontrarse en la </w:t>
      </w:r>
      <w:r>
        <w:rPr>
          <w:rFonts w:ascii="Abadi" w:hAnsi="Abadi"/>
          <w:sz w:val="21"/>
          <w:szCs w:val="21"/>
        </w:rPr>
        <w:t>G</w:t>
      </w:r>
      <w:r w:rsidRPr="006813AA">
        <w:rPr>
          <w:rFonts w:ascii="Abadi" w:hAnsi="Abadi"/>
          <w:sz w:val="21"/>
          <w:szCs w:val="21"/>
        </w:rPr>
        <w:t xml:space="preserve">aceta </w:t>
      </w:r>
      <w:r>
        <w:rPr>
          <w:rFonts w:ascii="Abadi" w:hAnsi="Abadi"/>
          <w:sz w:val="21"/>
          <w:szCs w:val="21"/>
        </w:rPr>
        <w:t>P</w:t>
      </w:r>
      <w:r w:rsidRPr="006813AA">
        <w:rPr>
          <w:rFonts w:ascii="Abadi" w:hAnsi="Abadi"/>
          <w:sz w:val="21"/>
          <w:szCs w:val="21"/>
        </w:rPr>
        <w:t xml:space="preserve">arlamentaria de esta presidencia </w:t>
      </w:r>
      <w:r>
        <w:rPr>
          <w:rFonts w:ascii="Abadi" w:hAnsi="Abadi"/>
          <w:sz w:val="21"/>
          <w:szCs w:val="21"/>
        </w:rPr>
        <w:t xml:space="preserve">se </w:t>
      </w:r>
      <w:r w:rsidRPr="006813AA">
        <w:rPr>
          <w:rFonts w:ascii="Abadi" w:hAnsi="Abadi"/>
          <w:sz w:val="21"/>
          <w:szCs w:val="21"/>
        </w:rPr>
        <w:t>propone se dispense la lectura de los mismos</w:t>
      </w:r>
      <w:r>
        <w:rPr>
          <w:rFonts w:ascii="Abadi" w:hAnsi="Abadi"/>
          <w:sz w:val="21"/>
          <w:szCs w:val="21"/>
        </w:rPr>
        <w:t>.</w:t>
      </w:r>
    </w:p>
    <w:p w14:paraId="7681ACFA" w14:textId="77777777" w:rsidR="005D2610" w:rsidRDefault="005D2610" w:rsidP="001511FB">
      <w:pPr>
        <w:ind w:firstLine="708"/>
        <w:jc w:val="both"/>
        <w:rPr>
          <w:rFonts w:ascii="Abadi" w:hAnsi="Abadi"/>
          <w:sz w:val="21"/>
          <w:szCs w:val="21"/>
        </w:rPr>
      </w:pPr>
    </w:p>
    <w:p w14:paraId="6AADB1C5" w14:textId="67D5DB31" w:rsidR="005D2610" w:rsidRDefault="005D2610" w:rsidP="005D2610">
      <w:pPr>
        <w:ind w:firstLine="708"/>
        <w:jc w:val="both"/>
        <w:rPr>
          <w:rFonts w:ascii="Abadi" w:hAnsi="Abadi"/>
          <w:sz w:val="21"/>
          <w:szCs w:val="21"/>
        </w:rPr>
      </w:pPr>
      <w:r>
        <w:rPr>
          <w:rFonts w:ascii="Abadi" w:hAnsi="Abadi"/>
          <w:sz w:val="21"/>
          <w:szCs w:val="21"/>
        </w:rPr>
        <w:t>- D</w:t>
      </w:r>
      <w:r w:rsidRPr="006813AA">
        <w:rPr>
          <w:rFonts w:ascii="Abadi" w:hAnsi="Abadi"/>
          <w:sz w:val="21"/>
          <w:szCs w:val="21"/>
        </w:rPr>
        <w:t xml:space="preserve">e igual forma se propone que los informes formulados por la </w:t>
      </w:r>
      <w:r>
        <w:rPr>
          <w:rFonts w:ascii="Abadi" w:hAnsi="Abadi"/>
          <w:sz w:val="21"/>
          <w:szCs w:val="21"/>
        </w:rPr>
        <w:t>C</w:t>
      </w:r>
      <w:r w:rsidRPr="006813AA">
        <w:rPr>
          <w:rFonts w:ascii="Abadi" w:hAnsi="Abadi"/>
          <w:sz w:val="21"/>
          <w:szCs w:val="21"/>
        </w:rPr>
        <w:t xml:space="preserve">omisión de </w:t>
      </w:r>
      <w:r>
        <w:rPr>
          <w:rFonts w:ascii="Abadi" w:hAnsi="Abadi"/>
          <w:sz w:val="21"/>
          <w:szCs w:val="21"/>
        </w:rPr>
        <w:t>A</w:t>
      </w:r>
      <w:r w:rsidRPr="006813AA">
        <w:rPr>
          <w:rFonts w:ascii="Abadi" w:hAnsi="Abadi"/>
          <w:sz w:val="21"/>
          <w:szCs w:val="21"/>
        </w:rPr>
        <w:t>dministración agendados en los puntos 17 y 18 del orden del día sean sometidos a discusión y posterior votación en un solo acto</w:t>
      </w:r>
      <w:r>
        <w:rPr>
          <w:rFonts w:ascii="Abadi" w:hAnsi="Abadi"/>
          <w:sz w:val="21"/>
          <w:szCs w:val="21"/>
        </w:rPr>
        <w:t>,</w:t>
      </w:r>
      <w:r w:rsidRPr="006813AA">
        <w:rPr>
          <w:rFonts w:ascii="Abadi" w:hAnsi="Abadi"/>
          <w:sz w:val="21"/>
          <w:szCs w:val="21"/>
        </w:rPr>
        <w:t xml:space="preserve"> la propuesta está a consideración de la </w:t>
      </w:r>
      <w:r>
        <w:rPr>
          <w:rFonts w:ascii="Abadi" w:hAnsi="Abadi"/>
          <w:sz w:val="21"/>
          <w:szCs w:val="21"/>
        </w:rPr>
        <w:t>A</w:t>
      </w:r>
      <w:r w:rsidRPr="006813AA">
        <w:rPr>
          <w:rFonts w:ascii="Abadi" w:hAnsi="Abadi"/>
          <w:sz w:val="21"/>
          <w:szCs w:val="21"/>
        </w:rPr>
        <w:t>samblea</w:t>
      </w:r>
      <w:r>
        <w:rPr>
          <w:rFonts w:ascii="Abadi" w:hAnsi="Abadi"/>
          <w:sz w:val="21"/>
          <w:szCs w:val="21"/>
        </w:rPr>
        <w:t>.</w:t>
      </w:r>
    </w:p>
    <w:p w14:paraId="1246E80E" w14:textId="77777777" w:rsidR="005D2610" w:rsidRDefault="005D2610" w:rsidP="005D2610">
      <w:pPr>
        <w:ind w:firstLine="708"/>
        <w:jc w:val="both"/>
        <w:rPr>
          <w:rFonts w:ascii="Abadi" w:hAnsi="Abadi"/>
          <w:sz w:val="21"/>
          <w:szCs w:val="21"/>
        </w:rPr>
      </w:pPr>
    </w:p>
    <w:p w14:paraId="2489C895" w14:textId="45412139" w:rsidR="005D2610" w:rsidRDefault="005D2610" w:rsidP="005D2610">
      <w:pPr>
        <w:ind w:firstLine="708"/>
        <w:jc w:val="both"/>
        <w:rPr>
          <w:rFonts w:ascii="Abadi" w:hAnsi="Abadi"/>
          <w:sz w:val="21"/>
          <w:szCs w:val="21"/>
        </w:rPr>
      </w:pPr>
      <w:r>
        <w:rPr>
          <w:rFonts w:ascii="Abadi" w:hAnsi="Abadi"/>
          <w:sz w:val="21"/>
          <w:szCs w:val="21"/>
        </w:rPr>
        <w:t>- Sí</w:t>
      </w:r>
      <w:r w:rsidRPr="006813AA">
        <w:rPr>
          <w:rFonts w:ascii="Abadi" w:hAnsi="Abadi"/>
          <w:sz w:val="21"/>
          <w:szCs w:val="21"/>
        </w:rPr>
        <w:t xml:space="preserve"> alguna diputada o algún diputado desea hacer </w:t>
      </w:r>
      <w:r>
        <w:rPr>
          <w:rFonts w:ascii="Abadi" w:hAnsi="Abadi"/>
          <w:sz w:val="21"/>
          <w:szCs w:val="21"/>
        </w:rPr>
        <w:t>u</w:t>
      </w:r>
      <w:r w:rsidRPr="006813AA">
        <w:rPr>
          <w:rFonts w:ascii="Abadi" w:hAnsi="Abadi"/>
          <w:sz w:val="21"/>
          <w:szCs w:val="21"/>
        </w:rPr>
        <w:t>so de la palabra manifiésten</w:t>
      </w:r>
      <w:r>
        <w:rPr>
          <w:rFonts w:ascii="Abadi" w:hAnsi="Abadi"/>
          <w:sz w:val="21"/>
          <w:szCs w:val="21"/>
        </w:rPr>
        <w:t>lo</w:t>
      </w:r>
      <w:r w:rsidRPr="006813AA">
        <w:rPr>
          <w:rFonts w:ascii="Abadi" w:hAnsi="Abadi"/>
          <w:sz w:val="21"/>
          <w:szCs w:val="21"/>
        </w:rPr>
        <w:t xml:space="preserve"> a esta presidencia</w:t>
      </w:r>
      <w:r>
        <w:rPr>
          <w:rFonts w:ascii="Abadi" w:hAnsi="Abadi"/>
          <w:sz w:val="21"/>
          <w:szCs w:val="21"/>
        </w:rPr>
        <w:t>.</w:t>
      </w:r>
    </w:p>
    <w:p w14:paraId="6EA47420" w14:textId="77777777" w:rsidR="005D2610" w:rsidRDefault="005D2610" w:rsidP="005D2610">
      <w:pPr>
        <w:ind w:firstLine="708"/>
        <w:jc w:val="both"/>
        <w:rPr>
          <w:rFonts w:ascii="Abadi" w:hAnsi="Abadi"/>
          <w:sz w:val="21"/>
          <w:szCs w:val="21"/>
        </w:rPr>
      </w:pPr>
    </w:p>
    <w:p w14:paraId="54E0B2D3" w14:textId="3607E976" w:rsidR="005D2610" w:rsidRDefault="005D2610" w:rsidP="005D2610">
      <w:pPr>
        <w:ind w:firstLine="708"/>
        <w:jc w:val="both"/>
        <w:rPr>
          <w:rFonts w:ascii="Abadi" w:hAnsi="Abadi"/>
          <w:sz w:val="21"/>
          <w:szCs w:val="21"/>
        </w:rPr>
      </w:pPr>
      <w:r>
        <w:rPr>
          <w:rFonts w:ascii="Abadi" w:hAnsi="Abadi"/>
          <w:sz w:val="21"/>
          <w:szCs w:val="21"/>
        </w:rPr>
        <w:t>- N</w:t>
      </w:r>
      <w:r w:rsidRPr="006813AA">
        <w:rPr>
          <w:rFonts w:ascii="Abadi" w:hAnsi="Abadi"/>
          <w:sz w:val="21"/>
          <w:szCs w:val="21"/>
        </w:rPr>
        <w:t xml:space="preserve">o habiendo intervención se pide a la </w:t>
      </w:r>
      <w:r>
        <w:rPr>
          <w:rFonts w:ascii="Abadi" w:hAnsi="Abadi"/>
          <w:sz w:val="21"/>
          <w:szCs w:val="21"/>
        </w:rPr>
        <w:t>S</w:t>
      </w:r>
      <w:r w:rsidRPr="006813AA">
        <w:rPr>
          <w:rFonts w:ascii="Abadi" w:hAnsi="Abadi"/>
          <w:sz w:val="21"/>
          <w:szCs w:val="21"/>
        </w:rPr>
        <w:t xml:space="preserve">ecretaría que en votación económica y a través de nuestro sistema electrónico pregunte a la </w:t>
      </w:r>
      <w:r>
        <w:rPr>
          <w:rFonts w:ascii="Abadi" w:hAnsi="Abadi"/>
          <w:sz w:val="21"/>
          <w:szCs w:val="21"/>
        </w:rPr>
        <w:t>A</w:t>
      </w:r>
      <w:r w:rsidRPr="006813AA">
        <w:rPr>
          <w:rFonts w:ascii="Abadi" w:hAnsi="Abadi"/>
          <w:sz w:val="21"/>
          <w:szCs w:val="21"/>
        </w:rPr>
        <w:t>samblea si se aprueba la propuesta</w:t>
      </w:r>
      <w:r>
        <w:rPr>
          <w:rFonts w:ascii="Abadi" w:hAnsi="Abadi"/>
          <w:sz w:val="21"/>
          <w:szCs w:val="21"/>
        </w:rPr>
        <w:t>.</w:t>
      </w:r>
    </w:p>
    <w:p w14:paraId="689414D4" w14:textId="77777777" w:rsidR="005D2610" w:rsidRDefault="005D2610" w:rsidP="005D2610">
      <w:pPr>
        <w:ind w:firstLine="708"/>
        <w:jc w:val="both"/>
        <w:rPr>
          <w:rFonts w:ascii="Abadi" w:hAnsi="Abadi"/>
          <w:sz w:val="21"/>
          <w:szCs w:val="21"/>
        </w:rPr>
      </w:pPr>
    </w:p>
    <w:p w14:paraId="4B39396B" w14:textId="13EFF55D" w:rsidR="005D2610" w:rsidRDefault="005D2610" w:rsidP="005D2610">
      <w:pPr>
        <w:ind w:firstLine="708"/>
        <w:jc w:val="both"/>
        <w:rPr>
          <w:rFonts w:ascii="Abadi" w:hAnsi="Abadi"/>
          <w:b/>
          <w:bCs/>
          <w:sz w:val="21"/>
          <w:szCs w:val="21"/>
        </w:rPr>
      </w:pPr>
      <w:r w:rsidRPr="000161BE">
        <w:rPr>
          <w:rFonts w:ascii="Abadi" w:hAnsi="Abadi"/>
          <w:b/>
          <w:bCs/>
          <w:sz w:val="21"/>
          <w:szCs w:val="21"/>
        </w:rPr>
        <w:t>(Abrimos nuestro sistema electrónico)</w:t>
      </w:r>
    </w:p>
    <w:p w14:paraId="77A4BD49" w14:textId="77777777" w:rsidR="005D2610" w:rsidRPr="000161BE" w:rsidRDefault="005D2610" w:rsidP="005D2610">
      <w:pPr>
        <w:ind w:firstLine="708"/>
        <w:jc w:val="both"/>
        <w:rPr>
          <w:rFonts w:ascii="Abadi" w:hAnsi="Abadi"/>
          <w:b/>
          <w:bCs/>
          <w:sz w:val="21"/>
          <w:szCs w:val="21"/>
        </w:rPr>
      </w:pPr>
    </w:p>
    <w:p w14:paraId="6D5CA5DE" w14:textId="05FE84D2" w:rsidR="005D2610" w:rsidRDefault="005D2610" w:rsidP="005D2610">
      <w:pPr>
        <w:ind w:firstLine="708"/>
        <w:jc w:val="both"/>
        <w:rPr>
          <w:rFonts w:ascii="Abadi" w:hAnsi="Abadi"/>
          <w:sz w:val="21"/>
          <w:szCs w:val="21"/>
        </w:rPr>
      </w:pPr>
      <w:r w:rsidRPr="000161BE">
        <w:rPr>
          <w:rFonts w:ascii="Abadi" w:hAnsi="Abadi"/>
          <w:b/>
          <w:bCs/>
          <w:sz w:val="21"/>
          <w:szCs w:val="21"/>
        </w:rPr>
        <w:t>- El Secretario.-</w:t>
      </w:r>
      <w:r>
        <w:rPr>
          <w:rFonts w:ascii="Abadi" w:hAnsi="Abadi"/>
          <w:sz w:val="21"/>
          <w:szCs w:val="21"/>
        </w:rPr>
        <w:t xml:space="preserve"> P</w:t>
      </w:r>
      <w:r w:rsidRPr="006813AA">
        <w:rPr>
          <w:rFonts w:ascii="Abadi" w:hAnsi="Abadi"/>
          <w:sz w:val="21"/>
          <w:szCs w:val="21"/>
        </w:rPr>
        <w:t xml:space="preserve">or instrucciones de la presidencia se pregunta al </w:t>
      </w:r>
      <w:r>
        <w:rPr>
          <w:rFonts w:ascii="Abadi" w:hAnsi="Abadi"/>
          <w:sz w:val="21"/>
          <w:szCs w:val="21"/>
        </w:rPr>
        <w:t>P</w:t>
      </w:r>
      <w:r w:rsidRPr="006813AA">
        <w:rPr>
          <w:rFonts w:ascii="Abadi" w:hAnsi="Abadi"/>
          <w:sz w:val="21"/>
          <w:szCs w:val="21"/>
        </w:rPr>
        <w:t>len</w:t>
      </w:r>
      <w:r>
        <w:rPr>
          <w:rFonts w:ascii="Abadi" w:hAnsi="Abadi"/>
          <w:sz w:val="21"/>
          <w:szCs w:val="21"/>
        </w:rPr>
        <w:t xml:space="preserve">o en votación </w:t>
      </w:r>
      <w:r w:rsidRPr="006813AA">
        <w:rPr>
          <w:rFonts w:ascii="Abadi" w:hAnsi="Abadi"/>
          <w:sz w:val="21"/>
          <w:szCs w:val="21"/>
        </w:rPr>
        <w:t>económica por el sistema electrónico</w:t>
      </w:r>
      <w:r>
        <w:rPr>
          <w:rFonts w:ascii="Abadi" w:hAnsi="Abadi"/>
          <w:sz w:val="21"/>
          <w:szCs w:val="21"/>
        </w:rPr>
        <w:t xml:space="preserve">, si se </w:t>
      </w:r>
      <w:r w:rsidRPr="006813AA">
        <w:rPr>
          <w:rFonts w:ascii="Abadi" w:hAnsi="Abadi"/>
          <w:sz w:val="21"/>
          <w:szCs w:val="21"/>
        </w:rPr>
        <w:t xml:space="preserve">aprueba la propuesta que nos </w:t>
      </w:r>
      <w:r>
        <w:rPr>
          <w:rFonts w:ascii="Abadi" w:hAnsi="Abadi"/>
          <w:sz w:val="21"/>
          <w:szCs w:val="21"/>
        </w:rPr>
        <w:t>ocupa. ¿Diputada Katya Cristina Soto?</w:t>
      </w:r>
    </w:p>
    <w:p w14:paraId="103A23F7" w14:textId="77777777" w:rsidR="005D2610" w:rsidRDefault="005D2610" w:rsidP="005D2610">
      <w:pPr>
        <w:ind w:firstLine="708"/>
        <w:jc w:val="both"/>
        <w:rPr>
          <w:rFonts w:ascii="Abadi" w:hAnsi="Abadi"/>
          <w:sz w:val="21"/>
          <w:szCs w:val="21"/>
        </w:rPr>
      </w:pPr>
    </w:p>
    <w:p w14:paraId="16543A59" w14:textId="21826CA3" w:rsidR="005D2610" w:rsidRDefault="005D2610" w:rsidP="005D2610">
      <w:pPr>
        <w:ind w:firstLine="708"/>
        <w:jc w:val="both"/>
        <w:rPr>
          <w:rFonts w:ascii="Abadi" w:hAnsi="Abadi"/>
          <w:sz w:val="21"/>
          <w:szCs w:val="21"/>
        </w:rPr>
      </w:pPr>
      <w:r w:rsidRPr="009C6D8D">
        <w:rPr>
          <w:rFonts w:ascii="Abadi" w:hAnsi="Abadi"/>
          <w:sz w:val="21"/>
          <w:szCs w:val="21"/>
        </w:rPr>
        <w:t>¿Falta alguna Diputada o algún diputado de emitir su voto?</w:t>
      </w:r>
    </w:p>
    <w:p w14:paraId="238E5BA5" w14:textId="77777777" w:rsidR="005D2610" w:rsidRPr="009C6D8D" w:rsidRDefault="005D2610" w:rsidP="005D2610">
      <w:pPr>
        <w:ind w:firstLine="708"/>
        <w:jc w:val="both"/>
        <w:rPr>
          <w:rFonts w:ascii="Abadi" w:hAnsi="Abadi"/>
          <w:sz w:val="21"/>
          <w:szCs w:val="21"/>
        </w:rPr>
      </w:pPr>
    </w:p>
    <w:p w14:paraId="384F362F" w14:textId="77777777" w:rsidR="005D2610" w:rsidRDefault="005D2610" w:rsidP="005D2610">
      <w:pPr>
        <w:jc w:val="both"/>
        <w:rPr>
          <w:rFonts w:ascii="Abadi" w:hAnsi="Abadi"/>
          <w:b/>
          <w:bCs/>
          <w:sz w:val="21"/>
          <w:szCs w:val="21"/>
        </w:rPr>
      </w:pPr>
      <w:r w:rsidRPr="000161BE">
        <w:rPr>
          <w:rFonts w:ascii="Abadi" w:hAnsi="Abadi"/>
          <w:b/>
          <w:bCs/>
          <w:sz w:val="21"/>
          <w:szCs w:val="21"/>
        </w:rPr>
        <w:t>(Se cierra el sistema electrónico)</w:t>
      </w:r>
    </w:p>
    <w:p w14:paraId="51DE7859" w14:textId="77777777" w:rsidR="005D2610" w:rsidRDefault="005D2610" w:rsidP="005D2610">
      <w:pPr>
        <w:jc w:val="both"/>
        <w:rPr>
          <w:rFonts w:ascii="Abadi" w:hAnsi="Abadi"/>
          <w:b/>
          <w:bCs/>
          <w:sz w:val="21"/>
          <w:szCs w:val="21"/>
        </w:rPr>
      </w:pPr>
      <w:r>
        <w:rPr>
          <w:noProof/>
        </w:rPr>
        <w:drawing>
          <wp:inline distT="0" distB="0" distL="0" distR="0" wp14:anchorId="1952B6B6" wp14:editId="153825D5">
            <wp:extent cx="1803242" cy="933450"/>
            <wp:effectExtent l="323850" t="323850" r="330835" b="323850"/>
            <wp:docPr id="40" name="Imagen 40"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Interfaz de usuario gráfica, Sitio web&#10;&#10;Descripción generada automáticamente"/>
                    <pic:cNvPicPr/>
                  </pic:nvPicPr>
                  <pic:blipFill rotWithShape="1">
                    <a:blip r:embed="rId42"/>
                    <a:srcRect b="7929"/>
                    <a:stretch/>
                  </pic:blipFill>
                  <pic:spPr bwMode="auto">
                    <a:xfrm>
                      <a:off x="0" y="0"/>
                      <a:ext cx="1815593" cy="939844"/>
                    </a:xfrm>
                    <a:prstGeom prst="rect">
                      <a:avLst/>
                    </a:prstGeom>
                    <a:ln w="88900" cap="sq" cmpd="thickThin">
                      <a:solidFill>
                        <a:srgbClr val="000000"/>
                      </a:solidFill>
                      <a:prstDash val="solid"/>
                      <a:miter lim="800000"/>
                    </a:ln>
                    <a:effectLst>
                      <a:glow rad="228600">
                        <a:schemeClr val="accent3">
                          <a:satMod val="1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5EBBCEEA" w14:textId="6A1655A9" w:rsidR="005D2610" w:rsidRDefault="005D2610" w:rsidP="005D2610">
      <w:pPr>
        <w:ind w:firstLine="708"/>
        <w:jc w:val="both"/>
        <w:rPr>
          <w:rFonts w:ascii="Abadi" w:hAnsi="Abadi"/>
          <w:sz w:val="21"/>
          <w:szCs w:val="21"/>
        </w:rPr>
      </w:pPr>
      <w:r w:rsidRPr="009144D5">
        <w:rPr>
          <w:rFonts w:ascii="Abadi" w:hAnsi="Abadi"/>
          <w:b/>
          <w:bCs/>
          <w:sz w:val="21"/>
          <w:szCs w:val="21"/>
        </w:rPr>
        <w:t xml:space="preserve">- El </w:t>
      </w:r>
      <w:r>
        <w:rPr>
          <w:rFonts w:ascii="Abadi" w:hAnsi="Abadi"/>
          <w:b/>
          <w:bCs/>
          <w:sz w:val="21"/>
          <w:szCs w:val="21"/>
        </w:rPr>
        <w:t>Secretario</w:t>
      </w:r>
      <w:r w:rsidRPr="009144D5">
        <w:rPr>
          <w:rFonts w:ascii="Abadi" w:hAnsi="Abadi"/>
          <w:b/>
          <w:bCs/>
          <w:sz w:val="21"/>
          <w:szCs w:val="21"/>
        </w:rPr>
        <w:t>.-</w:t>
      </w:r>
      <w:r w:rsidRPr="000161BE">
        <w:rPr>
          <w:rFonts w:ascii="Abadi" w:hAnsi="Abadi"/>
          <w:sz w:val="21"/>
          <w:szCs w:val="21"/>
        </w:rPr>
        <w:t xml:space="preserve"> Se</w:t>
      </w:r>
      <w:r>
        <w:rPr>
          <w:rFonts w:ascii="Abadi" w:hAnsi="Abadi"/>
          <w:sz w:val="21"/>
          <w:szCs w:val="21"/>
        </w:rPr>
        <w:t xml:space="preserve"> </w:t>
      </w:r>
      <w:r w:rsidRPr="000161BE">
        <w:rPr>
          <w:rFonts w:ascii="Abadi" w:hAnsi="Abadi"/>
          <w:sz w:val="21"/>
          <w:szCs w:val="21"/>
        </w:rPr>
        <w:t xml:space="preserve">registraron 32 votos a favor </w:t>
      </w:r>
      <w:r>
        <w:rPr>
          <w:rFonts w:ascii="Abadi" w:hAnsi="Abadi"/>
          <w:sz w:val="21"/>
          <w:szCs w:val="21"/>
        </w:rPr>
        <w:t>S</w:t>
      </w:r>
      <w:r w:rsidRPr="000161BE">
        <w:rPr>
          <w:rFonts w:ascii="Abadi" w:hAnsi="Abadi"/>
          <w:sz w:val="21"/>
          <w:szCs w:val="21"/>
        </w:rPr>
        <w:t>eñor Presidente</w:t>
      </w:r>
      <w:r>
        <w:rPr>
          <w:rFonts w:ascii="Abadi" w:hAnsi="Abadi"/>
          <w:sz w:val="21"/>
          <w:szCs w:val="21"/>
        </w:rPr>
        <w:t xml:space="preserve">. </w:t>
      </w:r>
    </w:p>
    <w:p w14:paraId="75E11247" w14:textId="77777777" w:rsidR="00E1213D" w:rsidRDefault="00E1213D" w:rsidP="005D2610">
      <w:pPr>
        <w:ind w:firstLine="708"/>
        <w:jc w:val="both"/>
        <w:rPr>
          <w:rFonts w:ascii="Abadi" w:hAnsi="Abadi"/>
          <w:sz w:val="21"/>
          <w:szCs w:val="21"/>
        </w:rPr>
      </w:pPr>
    </w:p>
    <w:p w14:paraId="65FDC604" w14:textId="1C7EC884" w:rsidR="005D2610" w:rsidRDefault="005D2610" w:rsidP="005D2610">
      <w:pPr>
        <w:ind w:firstLine="708"/>
        <w:jc w:val="both"/>
        <w:rPr>
          <w:rFonts w:ascii="Abadi" w:hAnsi="Abadi"/>
          <w:sz w:val="21"/>
          <w:szCs w:val="21"/>
        </w:rPr>
      </w:pPr>
      <w:r w:rsidRPr="007C3CBF">
        <w:rPr>
          <w:rFonts w:ascii="Abadi" w:hAnsi="Abadi"/>
          <w:b/>
          <w:bCs/>
          <w:sz w:val="21"/>
          <w:szCs w:val="21"/>
        </w:rPr>
        <w:t>- El Presidente.-</w:t>
      </w:r>
      <w:r>
        <w:rPr>
          <w:rFonts w:ascii="Abadi" w:hAnsi="Abadi"/>
          <w:sz w:val="21"/>
          <w:szCs w:val="21"/>
        </w:rPr>
        <w:t xml:space="preserve"> L</w:t>
      </w:r>
      <w:r w:rsidRPr="000161BE">
        <w:rPr>
          <w:rFonts w:ascii="Abadi" w:hAnsi="Abadi"/>
          <w:sz w:val="21"/>
          <w:szCs w:val="21"/>
        </w:rPr>
        <w:t>a propuesta ha sido aprobada por unanimidad de votos</w:t>
      </w:r>
      <w:r>
        <w:rPr>
          <w:rFonts w:ascii="Abadi" w:hAnsi="Abadi"/>
          <w:sz w:val="21"/>
          <w:szCs w:val="21"/>
        </w:rPr>
        <w:t>.</w:t>
      </w:r>
    </w:p>
    <w:p w14:paraId="46DF2022" w14:textId="77777777" w:rsidR="002833E5" w:rsidRDefault="002833E5" w:rsidP="005D2610">
      <w:pPr>
        <w:ind w:firstLine="708"/>
        <w:jc w:val="both"/>
        <w:rPr>
          <w:rFonts w:ascii="Abadi" w:hAnsi="Abadi"/>
          <w:sz w:val="21"/>
          <w:szCs w:val="21"/>
        </w:rPr>
      </w:pPr>
    </w:p>
    <w:p w14:paraId="53A26D94" w14:textId="77777777" w:rsidR="005D2610" w:rsidRDefault="005D2610" w:rsidP="005D2610">
      <w:pPr>
        <w:ind w:firstLine="708"/>
        <w:jc w:val="both"/>
        <w:rPr>
          <w:rFonts w:ascii="Abadi" w:hAnsi="Abadi"/>
          <w:sz w:val="21"/>
          <w:szCs w:val="21"/>
        </w:rPr>
      </w:pPr>
      <w:r w:rsidRPr="008F5653">
        <w:rPr>
          <w:rFonts w:ascii="Abadi" w:hAnsi="Abadi"/>
          <w:b/>
          <w:bCs/>
          <w:sz w:val="21"/>
          <w:szCs w:val="21"/>
        </w:rPr>
        <w:t xml:space="preserve">-  El Presidente.- </w:t>
      </w:r>
      <w:r>
        <w:rPr>
          <w:rFonts w:ascii="Abadi" w:hAnsi="Abadi"/>
          <w:sz w:val="21"/>
          <w:szCs w:val="21"/>
        </w:rPr>
        <w:t>B</w:t>
      </w:r>
      <w:r w:rsidRPr="000161BE">
        <w:rPr>
          <w:rFonts w:ascii="Abadi" w:hAnsi="Abadi"/>
          <w:sz w:val="21"/>
          <w:szCs w:val="21"/>
        </w:rPr>
        <w:t>ajo estos términos continuaremos con el desahogo de nuestra orden del día</w:t>
      </w:r>
      <w:r>
        <w:rPr>
          <w:rFonts w:ascii="Abadi" w:hAnsi="Abadi"/>
          <w:sz w:val="21"/>
          <w:szCs w:val="21"/>
        </w:rPr>
        <w:t>.</w:t>
      </w:r>
    </w:p>
    <w:p w14:paraId="7CD0A097" w14:textId="77777777" w:rsidR="005D2610" w:rsidRDefault="005D2610" w:rsidP="001511FB">
      <w:pPr>
        <w:ind w:firstLine="708"/>
        <w:jc w:val="both"/>
        <w:rPr>
          <w:rFonts w:ascii="Abadi" w:hAnsi="Abadi"/>
          <w:sz w:val="21"/>
          <w:szCs w:val="21"/>
        </w:rPr>
      </w:pPr>
    </w:p>
    <w:p w14:paraId="059D783F" w14:textId="77777777" w:rsidR="0033555A" w:rsidRPr="0028553C" w:rsidRDefault="0033555A" w:rsidP="00E462B6">
      <w:pPr>
        <w:autoSpaceDE w:val="0"/>
        <w:autoSpaceDN w:val="0"/>
        <w:adjustRightInd w:val="0"/>
        <w:jc w:val="both"/>
        <w:rPr>
          <w:rFonts w:ascii="Abadi" w:hAnsi="Abadi" w:cs="ArialMT"/>
          <w:b/>
          <w:bCs/>
          <w:sz w:val="20"/>
          <w:szCs w:val="21"/>
        </w:rPr>
      </w:pPr>
    </w:p>
    <w:p w14:paraId="4CB17C92" w14:textId="77777777" w:rsidR="00E462B6" w:rsidRPr="0028553C" w:rsidRDefault="00E462B6" w:rsidP="000B5B6C">
      <w:pPr>
        <w:pStyle w:val="Prrafodelista"/>
        <w:numPr>
          <w:ilvl w:val="0"/>
          <w:numId w:val="14"/>
        </w:numPr>
        <w:autoSpaceDE w:val="0"/>
        <w:autoSpaceDN w:val="0"/>
        <w:adjustRightInd w:val="0"/>
        <w:ind w:left="426"/>
        <w:contextualSpacing/>
        <w:jc w:val="both"/>
        <w:rPr>
          <w:rFonts w:ascii="Abadi" w:hAnsi="Abadi" w:cs="ArialMT"/>
          <w:b/>
          <w:bCs/>
          <w:sz w:val="20"/>
          <w:szCs w:val="21"/>
        </w:rPr>
      </w:pPr>
      <w:r w:rsidRPr="0028553C">
        <w:rPr>
          <w:rFonts w:ascii="Abadi" w:hAnsi="Abadi" w:cs="ArialMT"/>
          <w:b/>
          <w:bCs/>
          <w:sz w:val="20"/>
          <w:szCs w:val="21"/>
        </w:rPr>
        <w:t>PRESENTACIÓN DE LA PROPUESTA DE PUNTO DE ACUERDO DE OBVIA RESOLUCIÓN SUSCRITA POR LAS DIPUTADAS Y LOS DIPUTADOS INTEGRANTES DE LA COMISIÓN DE HACIENDA Y FISCALIZACIÓN QUE CONTIENE LA RECOMENDACIÓN SOBRE LOS MONTOS MÁXIMOS DE LAS REMUNERACIONES DE LOS INTEGRANTES DE LOS AYUNTAMIENTOS DEL ESTADO DE GUANAJUATO, PARA EL EJERCICIO FISCAL DEL AÑO 2023 Y, EN SU CASO, APROBACIÓN DE LA MISMA.</w:t>
      </w:r>
    </w:p>
    <w:p w14:paraId="5004D0EB" w14:textId="0A689662" w:rsidR="00E462B6" w:rsidRDefault="00E462B6" w:rsidP="00E462B6">
      <w:pPr>
        <w:autoSpaceDE w:val="0"/>
        <w:autoSpaceDN w:val="0"/>
        <w:adjustRightInd w:val="0"/>
        <w:jc w:val="both"/>
        <w:rPr>
          <w:rFonts w:ascii="Abadi" w:hAnsi="Abadi" w:cs="ArialMT"/>
          <w:b/>
          <w:bCs/>
          <w:sz w:val="20"/>
          <w:szCs w:val="21"/>
        </w:rPr>
      </w:pPr>
    </w:p>
    <w:p w14:paraId="0E5B3722" w14:textId="77777777" w:rsidR="00E81330" w:rsidRPr="00E81330" w:rsidRDefault="00E81330" w:rsidP="00E81330">
      <w:pPr>
        <w:autoSpaceDE w:val="0"/>
        <w:autoSpaceDN w:val="0"/>
        <w:adjustRightInd w:val="0"/>
        <w:jc w:val="both"/>
        <w:rPr>
          <w:rFonts w:ascii="Abadi" w:eastAsiaTheme="minorHAnsi" w:hAnsi="Abadi" w:cs="*Verdana-Bold-9451-Identity-H"/>
          <w:b/>
          <w:bCs/>
          <w:color w:val="131313"/>
          <w:sz w:val="21"/>
          <w:szCs w:val="21"/>
          <w:lang w:val="es-MX" w:eastAsia="en-US"/>
        </w:rPr>
      </w:pPr>
      <w:r w:rsidRPr="00E81330">
        <w:rPr>
          <w:rFonts w:ascii="Abadi" w:eastAsiaTheme="minorHAnsi" w:hAnsi="Abadi" w:cs="*Verdana-Bold-9451-Identity-H"/>
          <w:b/>
          <w:bCs/>
          <w:color w:val="131313"/>
          <w:sz w:val="21"/>
          <w:szCs w:val="21"/>
          <w:lang w:val="es-MX" w:eastAsia="en-US"/>
        </w:rPr>
        <w:t>C. DIPUTADO MARTÍN LÓPEZ CAMACHO</w:t>
      </w:r>
    </w:p>
    <w:p w14:paraId="5C5EBDAF" w14:textId="77777777" w:rsidR="00E81330" w:rsidRPr="00E81330" w:rsidRDefault="00E81330" w:rsidP="00E81330">
      <w:pPr>
        <w:autoSpaceDE w:val="0"/>
        <w:autoSpaceDN w:val="0"/>
        <w:adjustRightInd w:val="0"/>
        <w:jc w:val="both"/>
        <w:rPr>
          <w:rFonts w:ascii="Abadi" w:eastAsiaTheme="minorHAnsi" w:hAnsi="Abadi" w:cs="*Verdana-Bold-9451-Identity-H"/>
          <w:b/>
          <w:bCs/>
          <w:color w:val="131313"/>
          <w:sz w:val="21"/>
          <w:szCs w:val="21"/>
          <w:lang w:val="es-MX" w:eastAsia="en-US"/>
        </w:rPr>
      </w:pPr>
      <w:r w:rsidRPr="00E81330">
        <w:rPr>
          <w:rFonts w:ascii="Abadi" w:eastAsiaTheme="minorHAnsi" w:hAnsi="Abadi" w:cs="*Verdana-Bold-9451-Identity-H"/>
          <w:b/>
          <w:bCs/>
          <w:color w:val="131313"/>
          <w:sz w:val="21"/>
          <w:szCs w:val="21"/>
          <w:lang w:val="es-MX" w:eastAsia="en-US"/>
        </w:rPr>
        <w:t>PRESIDENTE DEL CONGRESO DEL ESTADO DE GUANAJUATO</w:t>
      </w:r>
    </w:p>
    <w:p w14:paraId="399FD477" w14:textId="77777777" w:rsidR="00E81330" w:rsidRPr="00E81330" w:rsidRDefault="00E81330" w:rsidP="00E81330">
      <w:pPr>
        <w:autoSpaceDE w:val="0"/>
        <w:autoSpaceDN w:val="0"/>
        <w:adjustRightInd w:val="0"/>
        <w:jc w:val="both"/>
        <w:rPr>
          <w:rFonts w:ascii="Abadi" w:eastAsiaTheme="minorHAnsi" w:hAnsi="Abadi" w:cs="*Verdana-Bold-9451-Identity-H"/>
          <w:b/>
          <w:bCs/>
          <w:color w:val="131313"/>
          <w:sz w:val="21"/>
          <w:szCs w:val="21"/>
          <w:lang w:val="es-MX" w:eastAsia="en-US"/>
        </w:rPr>
      </w:pPr>
      <w:r w:rsidRPr="00E81330">
        <w:rPr>
          <w:rFonts w:ascii="Abadi" w:eastAsiaTheme="minorHAnsi" w:hAnsi="Abadi" w:cs="*Verdana-Bold-9451-Identity-H"/>
          <w:b/>
          <w:bCs/>
          <w:color w:val="131313"/>
          <w:sz w:val="21"/>
          <w:szCs w:val="21"/>
          <w:lang w:val="es-MX" w:eastAsia="en-US"/>
        </w:rPr>
        <w:t>P R E S E N T E.</w:t>
      </w:r>
    </w:p>
    <w:p w14:paraId="43A6B6AB" w14:textId="77777777" w:rsidR="00E81330" w:rsidRPr="00E81330" w:rsidRDefault="00E81330" w:rsidP="00E81330">
      <w:pPr>
        <w:autoSpaceDE w:val="0"/>
        <w:autoSpaceDN w:val="0"/>
        <w:adjustRightInd w:val="0"/>
        <w:jc w:val="both"/>
        <w:rPr>
          <w:rFonts w:ascii="Abadi" w:eastAsiaTheme="minorHAnsi" w:hAnsi="Abadi" w:cs="*Verdana-9449-Identity-H"/>
          <w:color w:val="141414"/>
          <w:sz w:val="21"/>
          <w:szCs w:val="21"/>
          <w:lang w:val="es-MX" w:eastAsia="en-US"/>
        </w:rPr>
      </w:pPr>
    </w:p>
    <w:p w14:paraId="6DBA8500" w14:textId="77777777" w:rsidR="00E81330" w:rsidRPr="00E81330" w:rsidRDefault="00E81330" w:rsidP="00E81330">
      <w:pPr>
        <w:autoSpaceDE w:val="0"/>
        <w:autoSpaceDN w:val="0"/>
        <w:adjustRightInd w:val="0"/>
        <w:jc w:val="both"/>
        <w:rPr>
          <w:rFonts w:ascii="Abadi" w:eastAsiaTheme="minorHAnsi" w:hAnsi="Abadi" w:cs="*Verdana-9449-Identity-H"/>
          <w:color w:val="141414"/>
          <w:sz w:val="21"/>
          <w:szCs w:val="21"/>
          <w:lang w:val="es-MX" w:eastAsia="en-US"/>
        </w:rPr>
      </w:pPr>
      <w:r w:rsidRPr="00E81330">
        <w:rPr>
          <w:rFonts w:ascii="Abadi" w:eastAsiaTheme="minorHAnsi" w:hAnsi="Abadi" w:cs="*Verdana-9449-Identity-H"/>
          <w:color w:val="141414"/>
          <w:sz w:val="21"/>
          <w:szCs w:val="21"/>
          <w:lang w:val="es-MX" w:eastAsia="en-US"/>
        </w:rPr>
        <w:tab/>
        <w:t>Las diputadas y los diputados que integramos la Comisión de Hacienda y Fiscalización de la Sexagésima Quinta Legislatura, de conformidad con lo dispuesto por los artículos 112, fracción X y 177 de la Ley Orgánica del Poder Legislativo del Estado de Guanajuato, en relación con el artículo 81 de la Ley para el Ejercicio y Control de los Recursos Públicos para el Estado y los Municipios de Guanajuato, nos permitimos someter a consideración del Pleno del Congreso la presente propuesta de punto de acuerdo de obvia resolución que contiene la recomendación sobre los montos máximos de las remuneraciones de los integrantes de los ayuntamientos del Estado de</w:t>
      </w:r>
    </w:p>
    <w:p w14:paraId="278D4AC3" w14:textId="77777777" w:rsidR="00E81330" w:rsidRPr="00E81330" w:rsidRDefault="00E81330" w:rsidP="00E81330">
      <w:pPr>
        <w:autoSpaceDE w:val="0"/>
        <w:autoSpaceDN w:val="0"/>
        <w:adjustRightInd w:val="0"/>
        <w:jc w:val="both"/>
        <w:rPr>
          <w:rFonts w:ascii="Abadi" w:eastAsiaTheme="minorHAnsi" w:hAnsi="Abadi" w:cs="*Verdana-9449-Identity-H"/>
          <w:color w:val="141414"/>
          <w:sz w:val="21"/>
          <w:szCs w:val="21"/>
          <w:lang w:val="es-MX" w:eastAsia="en-US"/>
        </w:rPr>
      </w:pPr>
      <w:r w:rsidRPr="00E81330">
        <w:rPr>
          <w:rFonts w:ascii="Abadi" w:eastAsiaTheme="minorHAnsi" w:hAnsi="Abadi" w:cs="*Verdana-9449-Identity-H"/>
          <w:color w:val="141414"/>
          <w:sz w:val="21"/>
          <w:szCs w:val="21"/>
          <w:lang w:val="es-MX" w:eastAsia="en-US"/>
        </w:rPr>
        <w:t>Guanajuato para el ejercicio fiscal del año 2023, de conformidad con las siguientes:</w:t>
      </w:r>
    </w:p>
    <w:p w14:paraId="7279D4C2" w14:textId="77777777" w:rsidR="00E81330" w:rsidRPr="00E81330" w:rsidRDefault="00E81330" w:rsidP="00E81330">
      <w:pPr>
        <w:autoSpaceDE w:val="0"/>
        <w:autoSpaceDN w:val="0"/>
        <w:adjustRightInd w:val="0"/>
        <w:jc w:val="both"/>
        <w:rPr>
          <w:rFonts w:ascii="Abadi" w:eastAsiaTheme="minorHAnsi" w:hAnsi="Abadi" w:cs="*Verdana-Bold-9450-Identity-H"/>
          <w:b/>
          <w:bCs/>
          <w:color w:val="141414"/>
          <w:sz w:val="21"/>
          <w:szCs w:val="21"/>
          <w:lang w:val="es-MX" w:eastAsia="en-US"/>
        </w:rPr>
      </w:pPr>
    </w:p>
    <w:p w14:paraId="46E3FFFA" w14:textId="77777777" w:rsidR="00E81330" w:rsidRPr="00E81330" w:rsidRDefault="00E81330" w:rsidP="00E81330">
      <w:pPr>
        <w:autoSpaceDE w:val="0"/>
        <w:autoSpaceDN w:val="0"/>
        <w:adjustRightInd w:val="0"/>
        <w:jc w:val="both"/>
        <w:rPr>
          <w:rFonts w:ascii="Abadi" w:eastAsiaTheme="minorHAnsi" w:hAnsi="Abadi" w:cs="*Verdana-Bold-9450-Identity-H"/>
          <w:b/>
          <w:bCs/>
          <w:color w:val="141414"/>
          <w:sz w:val="21"/>
          <w:szCs w:val="21"/>
          <w:lang w:val="es-MX" w:eastAsia="en-US"/>
        </w:rPr>
      </w:pPr>
      <w:r w:rsidRPr="00E81330">
        <w:rPr>
          <w:rFonts w:ascii="Abadi" w:eastAsiaTheme="minorHAnsi" w:hAnsi="Abadi" w:cs="*Verdana-Bold-9450-Identity-H"/>
          <w:b/>
          <w:bCs/>
          <w:color w:val="141414"/>
          <w:sz w:val="21"/>
          <w:szCs w:val="21"/>
          <w:lang w:val="es-MX" w:eastAsia="en-US"/>
        </w:rPr>
        <w:t>Consideraciones</w:t>
      </w:r>
    </w:p>
    <w:p w14:paraId="33DFEA12" w14:textId="77777777" w:rsidR="00E81330" w:rsidRPr="00E81330" w:rsidRDefault="00E81330" w:rsidP="00E81330">
      <w:pPr>
        <w:autoSpaceDE w:val="0"/>
        <w:autoSpaceDN w:val="0"/>
        <w:adjustRightInd w:val="0"/>
        <w:jc w:val="both"/>
        <w:rPr>
          <w:rFonts w:ascii="Abadi" w:eastAsiaTheme="minorHAnsi" w:hAnsi="Abadi" w:cs="*Verdana-Bold-9450-Identity-H"/>
          <w:b/>
          <w:bCs/>
          <w:color w:val="131313"/>
          <w:sz w:val="21"/>
          <w:szCs w:val="21"/>
          <w:lang w:val="es-MX" w:eastAsia="en-US"/>
        </w:rPr>
      </w:pPr>
    </w:p>
    <w:p w14:paraId="30237C9F" w14:textId="77777777" w:rsidR="00E81330" w:rsidRPr="00E81330" w:rsidRDefault="00E81330" w:rsidP="00E81330">
      <w:pPr>
        <w:numPr>
          <w:ilvl w:val="0"/>
          <w:numId w:val="31"/>
        </w:numPr>
        <w:autoSpaceDE w:val="0"/>
        <w:autoSpaceDN w:val="0"/>
        <w:adjustRightInd w:val="0"/>
        <w:spacing w:after="160" w:line="259" w:lineRule="auto"/>
        <w:contextualSpacing/>
        <w:jc w:val="both"/>
        <w:rPr>
          <w:rFonts w:ascii="Abadi" w:eastAsiaTheme="minorHAnsi" w:hAnsi="Abadi" w:cs="*Verdana-Bold-9450-Identity-H"/>
          <w:b/>
          <w:bCs/>
          <w:color w:val="131313"/>
          <w:sz w:val="21"/>
          <w:szCs w:val="21"/>
          <w:lang w:val="es-MX" w:eastAsia="en-US"/>
        </w:rPr>
      </w:pPr>
      <w:r w:rsidRPr="00E81330">
        <w:rPr>
          <w:rFonts w:ascii="Abadi" w:eastAsiaTheme="minorHAnsi" w:hAnsi="Abadi" w:cs="*Verdana-Bold-9450-Identity-H"/>
          <w:b/>
          <w:bCs/>
          <w:color w:val="131313"/>
          <w:sz w:val="21"/>
          <w:szCs w:val="21"/>
          <w:lang w:val="es-MX" w:eastAsia="en-US"/>
        </w:rPr>
        <w:t>Competencia</w:t>
      </w:r>
    </w:p>
    <w:p w14:paraId="5C70AF8F" w14:textId="77777777" w:rsidR="00E81330" w:rsidRPr="00E81330" w:rsidRDefault="00E81330" w:rsidP="00E81330">
      <w:pPr>
        <w:autoSpaceDE w:val="0"/>
        <w:autoSpaceDN w:val="0"/>
        <w:adjustRightInd w:val="0"/>
        <w:jc w:val="both"/>
        <w:rPr>
          <w:rFonts w:ascii="Abadi" w:eastAsiaTheme="minorHAnsi" w:hAnsi="Abadi" w:cs="*Verdana-9449-Identity-H"/>
          <w:color w:val="141414"/>
          <w:sz w:val="21"/>
          <w:szCs w:val="21"/>
          <w:lang w:val="es-MX" w:eastAsia="en-US"/>
        </w:rPr>
      </w:pPr>
    </w:p>
    <w:p w14:paraId="6A0BEBF2" w14:textId="77777777" w:rsidR="00E81330" w:rsidRPr="00E81330" w:rsidRDefault="00E81330" w:rsidP="00E81330">
      <w:pPr>
        <w:autoSpaceDE w:val="0"/>
        <w:autoSpaceDN w:val="0"/>
        <w:adjustRightInd w:val="0"/>
        <w:jc w:val="both"/>
        <w:rPr>
          <w:rFonts w:ascii="Abadi" w:eastAsiaTheme="minorHAnsi" w:hAnsi="Abadi" w:cs="*Verdana-9449-Identity-H"/>
          <w:color w:val="141414"/>
          <w:sz w:val="21"/>
          <w:szCs w:val="21"/>
          <w:lang w:val="es-MX" w:eastAsia="en-US"/>
        </w:rPr>
      </w:pPr>
      <w:r w:rsidRPr="00E81330">
        <w:rPr>
          <w:rFonts w:ascii="Abadi" w:eastAsiaTheme="minorHAnsi" w:hAnsi="Abadi" w:cs="*Verdana-9449-Identity-H"/>
          <w:color w:val="141414"/>
          <w:sz w:val="21"/>
          <w:szCs w:val="21"/>
          <w:lang w:val="es-MX" w:eastAsia="en-US"/>
        </w:rPr>
        <w:tab/>
        <w:t>En términos de lo dispuesto por el artículo 81 de la Ley para el Ejercicio y Control de los Recursos Públicos para el Estado y los Municipios de Guanajuato, el Congreso del Estado está facultado para emitir la recomendación de los montos máximos de las remuneraciones de los integrantes de los ayuntamientos de la Entidad, a más tardar el quince de octubre de cada año.</w:t>
      </w:r>
    </w:p>
    <w:p w14:paraId="66678B70" w14:textId="77777777" w:rsidR="00E81330" w:rsidRPr="00E81330" w:rsidRDefault="00E81330" w:rsidP="00E81330">
      <w:pPr>
        <w:autoSpaceDE w:val="0"/>
        <w:autoSpaceDN w:val="0"/>
        <w:adjustRightInd w:val="0"/>
        <w:jc w:val="both"/>
        <w:rPr>
          <w:rFonts w:ascii="Abadi" w:eastAsiaTheme="minorHAnsi" w:hAnsi="Abadi" w:cs="*Verdana-9449-Identity-H"/>
          <w:color w:val="141414"/>
          <w:sz w:val="21"/>
          <w:szCs w:val="21"/>
          <w:lang w:val="es-MX" w:eastAsia="en-US"/>
        </w:rPr>
      </w:pPr>
    </w:p>
    <w:p w14:paraId="2D5D3070" w14:textId="77777777" w:rsidR="00E81330" w:rsidRPr="00E81330" w:rsidRDefault="00E81330" w:rsidP="00E81330">
      <w:pPr>
        <w:autoSpaceDE w:val="0"/>
        <w:autoSpaceDN w:val="0"/>
        <w:adjustRightInd w:val="0"/>
        <w:jc w:val="both"/>
        <w:rPr>
          <w:rFonts w:ascii="Abadi" w:eastAsiaTheme="minorHAnsi" w:hAnsi="Abadi" w:cs="*Verdana-9449-Identity-H"/>
          <w:color w:val="141414"/>
          <w:sz w:val="21"/>
          <w:szCs w:val="21"/>
          <w:lang w:val="es-MX" w:eastAsia="en-US"/>
        </w:rPr>
      </w:pPr>
      <w:r w:rsidRPr="00E81330">
        <w:rPr>
          <w:rFonts w:ascii="Abadi" w:eastAsiaTheme="minorHAnsi" w:hAnsi="Abadi" w:cs="*Verdana-9449-Identity-H"/>
          <w:color w:val="141414"/>
          <w:sz w:val="21"/>
          <w:szCs w:val="21"/>
          <w:lang w:val="es-MX" w:eastAsia="en-US"/>
        </w:rPr>
        <w:tab/>
        <w:t>Asimismo, la Ley de Disciplina Financiera de las Entidades Federativas y los Municipios ha fijado en su artículo 10, lo que las entidades federativas deben observar en materia de servicios personales resultando aplicable para los municipios, en términos del artículo 21 del citado ordenamiento.</w:t>
      </w:r>
    </w:p>
    <w:p w14:paraId="6B180FFA" w14:textId="77777777" w:rsidR="00E81330" w:rsidRPr="00E81330" w:rsidRDefault="00E81330" w:rsidP="00E81330">
      <w:pPr>
        <w:autoSpaceDE w:val="0"/>
        <w:autoSpaceDN w:val="0"/>
        <w:adjustRightInd w:val="0"/>
        <w:jc w:val="both"/>
        <w:rPr>
          <w:rFonts w:ascii="Abadi" w:eastAsiaTheme="minorHAnsi" w:hAnsi="Abadi" w:cs="*Verdana-Bold-9450-Identity-H"/>
          <w:b/>
          <w:bCs/>
          <w:color w:val="131313"/>
          <w:sz w:val="21"/>
          <w:szCs w:val="21"/>
          <w:lang w:val="es-MX" w:eastAsia="en-US"/>
        </w:rPr>
      </w:pPr>
    </w:p>
    <w:p w14:paraId="1529DB1D" w14:textId="77777777" w:rsidR="00E81330" w:rsidRPr="00E81330" w:rsidRDefault="00E81330" w:rsidP="00E81330">
      <w:pPr>
        <w:numPr>
          <w:ilvl w:val="0"/>
          <w:numId w:val="31"/>
        </w:numPr>
        <w:autoSpaceDE w:val="0"/>
        <w:autoSpaceDN w:val="0"/>
        <w:adjustRightInd w:val="0"/>
        <w:spacing w:after="160" w:line="259" w:lineRule="auto"/>
        <w:contextualSpacing/>
        <w:jc w:val="both"/>
        <w:rPr>
          <w:rFonts w:ascii="Abadi" w:eastAsiaTheme="minorHAnsi" w:hAnsi="Abadi" w:cs="*Verdana-Bold-9450-Identity-H"/>
          <w:b/>
          <w:bCs/>
          <w:color w:val="131313"/>
          <w:sz w:val="21"/>
          <w:szCs w:val="21"/>
          <w:lang w:val="es-MX" w:eastAsia="en-US"/>
        </w:rPr>
      </w:pPr>
      <w:r w:rsidRPr="00E81330">
        <w:rPr>
          <w:rFonts w:ascii="Abadi" w:eastAsiaTheme="minorHAnsi" w:hAnsi="Abadi" w:cs="*Verdana-Bold-9450-Identity-H"/>
          <w:b/>
          <w:bCs/>
          <w:color w:val="131313"/>
          <w:sz w:val="21"/>
          <w:szCs w:val="21"/>
          <w:lang w:val="es-MX" w:eastAsia="en-US"/>
        </w:rPr>
        <w:t>Naturaleza de la resolución</w:t>
      </w:r>
    </w:p>
    <w:p w14:paraId="01C7B397" w14:textId="77777777" w:rsidR="00E81330" w:rsidRPr="00E81330" w:rsidRDefault="00E81330" w:rsidP="00E81330">
      <w:pPr>
        <w:autoSpaceDE w:val="0"/>
        <w:autoSpaceDN w:val="0"/>
        <w:adjustRightInd w:val="0"/>
        <w:jc w:val="both"/>
        <w:rPr>
          <w:rFonts w:ascii="Abadi" w:eastAsiaTheme="minorHAnsi" w:hAnsi="Abadi" w:cs="*Verdana-9449-Identity-H"/>
          <w:color w:val="141414"/>
          <w:sz w:val="21"/>
          <w:szCs w:val="21"/>
          <w:lang w:val="es-MX" w:eastAsia="en-US"/>
        </w:rPr>
      </w:pPr>
    </w:p>
    <w:p w14:paraId="65416957" w14:textId="77777777" w:rsidR="00E81330" w:rsidRPr="00E81330" w:rsidRDefault="00E81330" w:rsidP="00E81330">
      <w:pPr>
        <w:autoSpaceDE w:val="0"/>
        <w:autoSpaceDN w:val="0"/>
        <w:adjustRightInd w:val="0"/>
        <w:jc w:val="both"/>
        <w:rPr>
          <w:rFonts w:ascii="Abadi" w:eastAsiaTheme="minorHAnsi" w:hAnsi="Abadi" w:cs="*Verdana-9449-Identity-H"/>
          <w:color w:val="141414"/>
          <w:sz w:val="21"/>
          <w:szCs w:val="21"/>
          <w:lang w:val="es-MX" w:eastAsia="en-US"/>
        </w:rPr>
      </w:pPr>
      <w:r w:rsidRPr="00E81330">
        <w:rPr>
          <w:rFonts w:ascii="Abadi" w:eastAsiaTheme="minorHAnsi" w:hAnsi="Abadi" w:cs="*Verdana-9449-Identity-H"/>
          <w:color w:val="141414"/>
          <w:sz w:val="21"/>
          <w:szCs w:val="21"/>
          <w:lang w:val="es-MX" w:eastAsia="en-US"/>
        </w:rPr>
        <w:tab/>
        <w:t>En observancia a lo dispuesto por los artículos 57, primer párrafo de la Constitución Política para el Estado de Guanajuato y 204, fracción III de la Ley Orgánica del Poder Legislativo, y en estricto apego a la facultad conferida en el artículo 81 de la Ley para el Ejercicio y Control de los Recursos Públicos para el Estado y los Municipios de Guanajuato, el Congreso del Estado debe emitir su resolución bajo la figura de acuerdo, cuyo contenido no genera o impone para los destinatarios derechos u obligaciones, por lo que se constituye en una mera recomendación.</w:t>
      </w:r>
    </w:p>
    <w:p w14:paraId="1973255F" w14:textId="77777777" w:rsidR="00E81330" w:rsidRPr="00E81330" w:rsidRDefault="00E81330" w:rsidP="00E81330">
      <w:pPr>
        <w:autoSpaceDE w:val="0"/>
        <w:autoSpaceDN w:val="0"/>
        <w:adjustRightInd w:val="0"/>
        <w:jc w:val="both"/>
        <w:rPr>
          <w:rFonts w:ascii="Abadi" w:eastAsiaTheme="minorHAnsi" w:hAnsi="Abadi" w:cs="*Minion Pro-Bold-7428-Identity-"/>
          <w:b/>
          <w:bCs/>
          <w:color w:val="181818"/>
          <w:sz w:val="21"/>
          <w:szCs w:val="21"/>
          <w:lang w:val="es-MX" w:eastAsia="en-US"/>
        </w:rPr>
      </w:pPr>
    </w:p>
    <w:p w14:paraId="716D742B" w14:textId="77777777" w:rsidR="00E81330" w:rsidRPr="00E81330" w:rsidRDefault="00E81330" w:rsidP="00E81330">
      <w:pPr>
        <w:numPr>
          <w:ilvl w:val="0"/>
          <w:numId w:val="31"/>
        </w:numPr>
        <w:autoSpaceDE w:val="0"/>
        <w:autoSpaceDN w:val="0"/>
        <w:adjustRightInd w:val="0"/>
        <w:spacing w:after="160" w:line="259" w:lineRule="auto"/>
        <w:contextualSpacing/>
        <w:jc w:val="both"/>
        <w:rPr>
          <w:rFonts w:ascii="Abadi" w:eastAsiaTheme="minorHAnsi" w:hAnsi="Abadi" w:cs="*Verdana-Bold-7426-Identity-H"/>
          <w:b/>
          <w:bCs/>
          <w:color w:val="151515"/>
          <w:sz w:val="21"/>
          <w:szCs w:val="21"/>
          <w:lang w:val="es-MX" w:eastAsia="en-US"/>
        </w:rPr>
      </w:pPr>
      <w:r w:rsidRPr="00E81330">
        <w:rPr>
          <w:rFonts w:ascii="Abadi" w:eastAsiaTheme="minorHAnsi" w:hAnsi="Abadi" w:cs="*Verdana-Bold-7426-Identity-H"/>
          <w:b/>
          <w:bCs/>
          <w:color w:val="151515"/>
          <w:sz w:val="21"/>
          <w:szCs w:val="21"/>
          <w:lang w:val="es-MX" w:eastAsia="en-US"/>
        </w:rPr>
        <w:t>Metodología de trabajo</w:t>
      </w:r>
    </w:p>
    <w:p w14:paraId="0F0E7A7A" w14:textId="77777777" w:rsidR="00E81330" w:rsidRPr="00E81330" w:rsidRDefault="00E81330" w:rsidP="00E81330">
      <w:pPr>
        <w:autoSpaceDE w:val="0"/>
        <w:autoSpaceDN w:val="0"/>
        <w:adjustRightInd w:val="0"/>
        <w:jc w:val="both"/>
        <w:rPr>
          <w:rFonts w:ascii="Abadi" w:eastAsiaTheme="minorHAnsi" w:hAnsi="Abadi" w:cs="*Verdana-7425-Identity-H"/>
          <w:color w:val="141414"/>
          <w:sz w:val="21"/>
          <w:szCs w:val="21"/>
          <w:lang w:val="es-MX" w:eastAsia="en-US"/>
        </w:rPr>
      </w:pPr>
    </w:p>
    <w:p w14:paraId="397D60AE" w14:textId="77777777" w:rsidR="00E81330" w:rsidRPr="00E81330" w:rsidRDefault="00E81330" w:rsidP="00E81330">
      <w:pPr>
        <w:autoSpaceDE w:val="0"/>
        <w:autoSpaceDN w:val="0"/>
        <w:adjustRightInd w:val="0"/>
        <w:jc w:val="both"/>
        <w:rPr>
          <w:rFonts w:ascii="Abadi" w:eastAsiaTheme="minorHAnsi" w:hAnsi="Abadi" w:cs="*Verdana-7425-Identity-H"/>
          <w:color w:val="141414"/>
          <w:sz w:val="21"/>
          <w:szCs w:val="21"/>
          <w:lang w:val="es-MX" w:eastAsia="en-US"/>
        </w:rPr>
      </w:pPr>
      <w:r w:rsidRPr="00E81330">
        <w:rPr>
          <w:rFonts w:ascii="Abadi" w:eastAsiaTheme="minorHAnsi" w:hAnsi="Abadi" w:cs="*Verdana-7425-Identity-H"/>
          <w:color w:val="141414"/>
          <w:sz w:val="21"/>
          <w:szCs w:val="21"/>
          <w:lang w:val="es-MX" w:eastAsia="en-US"/>
        </w:rPr>
        <w:tab/>
        <w:t>En estricto apego al mandato legal, se procedió a elaborar el estudio metodológico que precede a la recomendación, con la finalidad de sustentar la resolución que ponemos a consideración de la Asamblea.</w:t>
      </w:r>
    </w:p>
    <w:p w14:paraId="19F2BC32" w14:textId="77777777" w:rsidR="00E81330" w:rsidRPr="00E81330" w:rsidRDefault="00E81330" w:rsidP="00E81330">
      <w:pPr>
        <w:autoSpaceDE w:val="0"/>
        <w:autoSpaceDN w:val="0"/>
        <w:adjustRightInd w:val="0"/>
        <w:jc w:val="both"/>
        <w:rPr>
          <w:rFonts w:ascii="Abadi" w:eastAsiaTheme="minorHAnsi" w:hAnsi="Abadi" w:cs="*Verdana-7425-Identity-H"/>
          <w:color w:val="141414"/>
          <w:sz w:val="21"/>
          <w:szCs w:val="21"/>
          <w:lang w:val="es-MX" w:eastAsia="en-US"/>
        </w:rPr>
      </w:pPr>
    </w:p>
    <w:p w14:paraId="102A7A7F" w14:textId="77777777" w:rsidR="00E81330" w:rsidRPr="00E81330" w:rsidRDefault="00E81330" w:rsidP="00E81330">
      <w:pPr>
        <w:autoSpaceDE w:val="0"/>
        <w:autoSpaceDN w:val="0"/>
        <w:adjustRightInd w:val="0"/>
        <w:jc w:val="both"/>
        <w:rPr>
          <w:rFonts w:ascii="Abadi" w:eastAsiaTheme="minorHAnsi" w:hAnsi="Abadi" w:cs="*Verdana-7425-Identity-H"/>
          <w:color w:val="141414"/>
          <w:sz w:val="21"/>
          <w:szCs w:val="21"/>
          <w:lang w:val="es-MX" w:eastAsia="en-US"/>
        </w:rPr>
      </w:pPr>
      <w:r w:rsidRPr="00E81330">
        <w:rPr>
          <w:rFonts w:ascii="Abadi" w:eastAsiaTheme="minorHAnsi" w:hAnsi="Abadi" w:cs="*Verdana-7425-Identity-H"/>
          <w:color w:val="141414"/>
          <w:sz w:val="21"/>
          <w:szCs w:val="21"/>
          <w:lang w:val="es-MX" w:eastAsia="en-US"/>
        </w:rPr>
        <w:tab/>
        <w:t>El estudio estructurado para el ejercicio fiscal 2023 y que fue la base para la propuesta que se formula se realizó bajo las siguientes premisas técnico-jurídicas:</w:t>
      </w:r>
    </w:p>
    <w:p w14:paraId="48AA13AE" w14:textId="77777777" w:rsidR="00E81330" w:rsidRPr="00E81330" w:rsidRDefault="00E81330" w:rsidP="00E81330">
      <w:pPr>
        <w:autoSpaceDE w:val="0"/>
        <w:autoSpaceDN w:val="0"/>
        <w:adjustRightInd w:val="0"/>
        <w:jc w:val="both"/>
        <w:rPr>
          <w:rFonts w:ascii="Abadi" w:eastAsiaTheme="minorHAnsi" w:hAnsi="Abadi" w:cs="*Verdana-7425-Identity-H"/>
          <w:color w:val="141414"/>
          <w:sz w:val="21"/>
          <w:szCs w:val="21"/>
          <w:lang w:val="es-MX" w:eastAsia="en-US"/>
        </w:rPr>
      </w:pPr>
    </w:p>
    <w:p w14:paraId="3FC1E73B" w14:textId="77777777" w:rsidR="00E81330" w:rsidRPr="00E81330" w:rsidRDefault="00E81330" w:rsidP="00E81330">
      <w:pPr>
        <w:numPr>
          <w:ilvl w:val="1"/>
          <w:numId w:val="32"/>
        </w:numPr>
        <w:autoSpaceDE w:val="0"/>
        <w:autoSpaceDN w:val="0"/>
        <w:adjustRightInd w:val="0"/>
        <w:spacing w:after="160" w:line="259" w:lineRule="auto"/>
        <w:contextualSpacing/>
        <w:jc w:val="both"/>
        <w:rPr>
          <w:rFonts w:ascii="Abadi" w:eastAsiaTheme="minorHAnsi" w:hAnsi="Abadi" w:cs="*Verdana-7425-Identity-H"/>
          <w:color w:val="141414"/>
          <w:sz w:val="21"/>
          <w:szCs w:val="21"/>
          <w:lang w:val="es-MX" w:eastAsia="en-US"/>
        </w:rPr>
      </w:pPr>
      <w:r w:rsidRPr="00E81330">
        <w:rPr>
          <w:rFonts w:ascii="Abadi" w:eastAsiaTheme="minorHAnsi" w:hAnsi="Abadi" w:cs="*Verdana-Bold-7426-Identity-H"/>
          <w:b/>
          <w:bCs/>
          <w:color w:val="141414"/>
          <w:sz w:val="21"/>
          <w:szCs w:val="21"/>
          <w:lang w:val="es-MX" w:eastAsia="en-US"/>
        </w:rPr>
        <w:t xml:space="preserve">Selección de variables objetivas. </w:t>
      </w:r>
      <w:r w:rsidRPr="00E81330">
        <w:rPr>
          <w:rFonts w:ascii="Abadi" w:eastAsiaTheme="minorHAnsi" w:hAnsi="Abadi" w:cs="*Verdana-7425-Identity-H"/>
          <w:color w:val="141414"/>
          <w:sz w:val="21"/>
          <w:szCs w:val="21"/>
          <w:lang w:val="es-MX" w:eastAsia="en-US"/>
        </w:rPr>
        <w:t>Considerando el contenido material de la resolución, así como los criterios y principios aplicables a las percepciones de los integrantes de los ayuntamientos, se valoró y optó por el estudio y la aplicación de variables preponderantemente objetivas.</w:t>
      </w:r>
    </w:p>
    <w:p w14:paraId="0CD0A74A" w14:textId="77777777" w:rsidR="00E81330" w:rsidRPr="00E81330" w:rsidRDefault="00E81330" w:rsidP="00E81330">
      <w:pPr>
        <w:autoSpaceDE w:val="0"/>
        <w:autoSpaceDN w:val="0"/>
        <w:adjustRightInd w:val="0"/>
        <w:ind w:left="1440"/>
        <w:contextualSpacing/>
        <w:jc w:val="both"/>
        <w:rPr>
          <w:rFonts w:ascii="Abadi" w:eastAsiaTheme="minorHAnsi" w:hAnsi="Abadi" w:cs="*Verdana-7425-Identity-H"/>
          <w:color w:val="141414"/>
          <w:sz w:val="21"/>
          <w:szCs w:val="21"/>
          <w:lang w:val="es-MX" w:eastAsia="en-US"/>
        </w:rPr>
      </w:pPr>
    </w:p>
    <w:p w14:paraId="3BAE8817" w14:textId="77777777" w:rsidR="00E81330" w:rsidRPr="00E81330" w:rsidRDefault="00E81330" w:rsidP="00E81330">
      <w:pPr>
        <w:numPr>
          <w:ilvl w:val="1"/>
          <w:numId w:val="32"/>
        </w:numPr>
        <w:autoSpaceDE w:val="0"/>
        <w:autoSpaceDN w:val="0"/>
        <w:adjustRightInd w:val="0"/>
        <w:spacing w:after="160" w:line="259" w:lineRule="auto"/>
        <w:contextualSpacing/>
        <w:jc w:val="both"/>
        <w:rPr>
          <w:rFonts w:ascii="Abadi" w:eastAsiaTheme="minorHAnsi" w:hAnsi="Abadi" w:cs="*Verdana-7425-Identity-H"/>
          <w:color w:val="141414"/>
          <w:sz w:val="21"/>
          <w:szCs w:val="21"/>
          <w:lang w:val="es-MX" w:eastAsia="en-US"/>
        </w:rPr>
      </w:pPr>
      <w:r w:rsidRPr="00E81330">
        <w:rPr>
          <w:rFonts w:ascii="Abadi" w:eastAsiaTheme="minorHAnsi" w:hAnsi="Abadi" w:cs="*Verdana-Bold-7426-Identity-H"/>
          <w:b/>
          <w:bCs/>
          <w:color w:val="131313"/>
          <w:sz w:val="21"/>
          <w:szCs w:val="21"/>
          <w:lang w:val="es-MX" w:eastAsia="en-US"/>
        </w:rPr>
        <w:t xml:space="preserve">Aplicación de la técnica de la administración de sueldos </w:t>
      </w:r>
      <w:r w:rsidRPr="00E81330">
        <w:rPr>
          <w:rFonts w:ascii="Abadi" w:eastAsiaTheme="minorHAnsi" w:hAnsi="Abadi" w:cs="*Verdana-7425-Identity-H"/>
          <w:color w:val="131313"/>
          <w:sz w:val="21"/>
          <w:szCs w:val="21"/>
          <w:lang w:val="es-MX" w:eastAsia="en-US"/>
        </w:rPr>
        <w:t xml:space="preserve">y </w:t>
      </w:r>
      <w:r w:rsidRPr="00E81330">
        <w:rPr>
          <w:rFonts w:ascii="Abadi" w:eastAsiaTheme="minorHAnsi" w:hAnsi="Abadi" w:cs="*Verdana-Bold-7426-Identity-H"/>
          <w:b/>
          <w:bCs/>
          <w:color w:val="131313"/>
          <w:sz w:val="21"/>
          <w:szCs w:val="21"/>
          <w:lang w:val="es-MX" w:eastAsia="en-US"/>
        </w:rPr>
        <w:t xml:space="preserve">salarios. </w:t>
      </w:r>
      <w:r w:rsidRPr="00E81330">
        <w:rPr>
          <w:rFonts w:ascii="Abadi" w:eastAsiaTheme="minorHAnsi" w:hAnsi="Abadi" w:cs="*Verdana-7425-Identity-H"/>
          <w:color w:val="141414"/>
          <w:sz w:val="21"/>
          <w:szCs w:val="21"/>
          <w:lang w:val="es-MX" w:eastAsia="en-US"/>
        </w:rPr>
        <w:t>Ante la ausencia de un método técnico propio para la determinación de las remuneraciones de los servidores públicos de elección popular, se acudió a la técnica de la administración de sueldos y salarios, a fin de procesar con solidez metodológica las variables seleccionadas.</w:t>
      </w:r>
    </w:p>
    <w:p w14:paraId="31A7BBC3" w14:textId="77777777" w:rsidR="00E81330" w:rsidRPr="00E81330" w:rsidRDefault="00E81330" w:rsidP="00E81330">
      <w:pPr>
        <w:autoSpaceDE w:val="0"/>
        <w:autoSpaceDN w:val="0"/>
        <w:adjustRightInd w:val="0"/>
        <w:jc w:val="both"/>
        <w:rPr>
          <w:rFonts w:ascii="Abadi" w:eastAsiaTheme="minorHAnsi" w:hAnsi="Abadi" w:cs="*Verdana-7425-Identity-H"/>
          <w:color w:val="141414"/>
          <w:sz w:val="21"/>
          <w:szCs w:val="21"/>
          <w:lang w:val="es-MX" w:eastAsia="en-US"/>
        </w:rPr>
      </w:pPr>
    </w:p>
    <w:p w14:paraId="0ADB06C7" w14:textId="77777777" w:rsidR="00E81330" w:rsidRPr="00E81330" w:rsidRDefault="00E81330" w:rsidP="00E81330">
      <w:pPr>
        <w:autoSpaceDE w:val="0"/>
        <w:autoSpaceDN w:val="0"/>
        <w:adjustRightInd w:val="0"/>
        <w:jc w:val="both"/>
        <w:rPr>
          <w:rFonts w:ascii="Abadi" w:eastAsiaTheme="minorHAnsi" w:hAnsi="Abadi" w:cs="*Verdana-7425-Identity-H"/>
          <w:color w:val="141414"/>
          <w:sz w:val="21"/>
          <w:szCs w:val="21"/>
          <w:lang w:val="es-MX" w:eastAsia="en-US"/>
        </w:rPr>
      </w:pPr>
      <w:r w:rsidRPr="00E81330">
        <w:rPr>
          <w:rFonts w:ascii="Abadi" w:eastAsiaTheme="minorHAnsi" w:hAnsi="Abadi" w:cs="*Verdana-7425-Identity-H"/>
          <w:color w:val="141414"/>
          <w:sz w:val="21"/>
          <w:szCs w:val="21"/>
          <w:lang w:val="es-MX" w:eastAsia="en-US"/>
        </w:rPr>
        <w:tab/>
        <w:t>Una vez determinados los dos grandes aspectos metodológicos, se procedió a desarrollar el estudio bajo los siguientes razonamientos:</w:t>
      </w:r>
    </w:p>
    <w:p w14:paraId="0F9FB918" w14:textId="77777777" w:rsidR="00E81330" w:rsidRPr="00E81330" w:rsidRDefault="00E81330" w:rsidP="00E81330">
      <w:pPr>
        <w:autoSpaceDE w:val="0"/>
        <w:autoSpaceDN w:val="0"/>
        <w:adjustRightInd w:val="0"/>
        <w:jc w:val="both"/>
        <w:rPr>
          <w:rFonts w:ascii="Abadi" w:eastAsiaTheme="minorHAnsi" w:hAnsi="Abadi" w:cs="*Verdana-Bold-7426-Identity-H"/>
          <w:b/>
          <w:bCs/>
          <w:color w:val="151515"/>
          <w:sz w:val="21"/>
          <w:szCs w:val="21"/>
          <w:lang w:val="es-MX" w:eastAsia="en-US"/>
        </w:rPr>
      </w:pPr>
    </w:p>
    <w:p w14:paraId="7D8C750D" w14:textId="77777777" w:rsidR="00E81330" w:rsidRPr="00E81330" w:rsidRDefault="00E81330" w:rsidP="00E81330">
      <w:pPr>
        <w:autoSpaceDE w:val="0"/>
        <w:autoSpaceDN w:val="0"/>
        <w:adjustRightInd w:val="0"/>
        <w:jc w:val="both"/>
        <w:rPr>
          <w:rFonts w:ascii="Abadi" w:eastAsiaTheme="minorHAnsi" w:hAnsi="Abadi" w:cs="*Verdana-7425-Identity-H"/>
          <w:color w:val="151515"/>
          <w:sz w:val="21"/>
          <w:szCs w:val="21"/>
          <w:lang w:val="es-MX" w:eastAsia="en-US"/>
        </w:rPr>
      </w:pPr>
      <w:r w:rsidRPr="00E81330">
        <w:rPr>
          <w:rFonts w:ascii="Abadi" w:eastAsiaTheme="minorHAnsi" w:hAnsi="Abadi" w:cs="*Verdana-Bold-7426-Identity-H"/>
          <w:b/>
          <w:bCs/>
          <w:color w:val="151515"/>
          <w:sz w:val="21"/>
          <w:szCs w:val="21"/>
          <w:lang w:val="es-MX" w:eastAsia="en-US"/>
        </w:rPr>
        <w:t xml:space="preserve">1. Aspecto Jurídico. </w:t>
      </w:r>
      <w:r w:rsidRPr="00E81330">
        <w:rPr>
          <w:rFonts w:ascii="Abadi" w:eastAsiaTheme="minorHAnsi" w:hAnsi="Abadi" w:cs="*Verdana-7425-Identity-H"/>
          <w:color w:val="151515"/>
          <w:sz w:val="21"/>
          <w:szCs w:val="21"/>
          <w:lang w:val="es-MX" w:eastAsia="en-US"/>
        </w:rPr>
        <w:t>Para el estudio jurídico se analizaron los aspectos constitucionales y legales de la recomendación, a través de los siguientes apartados:</w:t>
      </w:r>
    </w:p>
    <w:p w14:paraId="107381CA" w14:textId="77777777" w:rsidR="00E81330" w:rsidRPr="00E81330" w:rsidRDefault="00E81330" w:rsidP="00E81330">
      <w:pPr>
        <w:autoSpaceDE w:val="0"/>
        <w:autoSpaceDN w:val="0"/>
        <w:adjustRightInd w:val="0"/>
        <w:jc w:val="both"/>
        <w:rPr>
          <w:rFonts w:ascii="Abadi" w:eastAsiaTheme="minorHAnsi" w:hAnsi="Abadi" w:cs="*Verdana-Bold-7426-Identity-H"/>
          <w:b/>
          <w:bCs/>
          <w:color w:val="131313"/>
          <w:sz w:val="21"/>
          <w:szCs w:val="21"/>
          <w:lang w:val="es-MX" w:eastAsia="en-US"/>
        </w:rPr>
      </w:pPr>
    </w:p>
    <w:p w14:paraId="3A46E4D8" w14:textId="77777777" w:rsidR="00E81330" w:rsidRPr="00E81330" w:rsidRDefault="00E81330" w:rsidP="00E81330">
      <w:pPr>
        <w:numPr>
          <w:ilvl w:val="0"/>
          <w:numId w:val="33"/>
        </w:numPr>
        <w:autoSpaceDE w:val="0"/>
        <w:autoSpaceDN w:val="0"/>
        <w:adjustRightInd w:val="0"/>
        <w:spacing w:after="160" w:line="259" w:lineRule="auto"/>
        <w:contextualSpacing/>
        <w:jc w:val="both"/>
        <w:rPr>
          <w:rFonts w:ascii="Abadi" w:eastAsiaTheme="minorHAnsi" w:hAnsi="Abadi" w:cs="*Verdana-Bold-7426-Identity-H"/>
          <w:b/>
          <w:bCs/>
          <w:color w:val="131313"/>
          <w:sz w:val="21"/>
          <w:szCs w:val="21"/>
          <w:lang w:val="es-MX" w:eastAsia="en-US"/>
        </w:rPr>
      </w:pPr>
      <w:r w:rsidRPr="00E81330">
        <w:rPr>
          <w:rFonts w:ascii="Abadi" w:eastAsiaTheme="minorHAnsi" w:hAnsi="Abadi" w:cs="*Verdana-Bold-7426-Identity-H"/>
          <w:b/>
          <w:bCs/>
          <w:color w:val="131313"/>
          <w:sz w:val="21"/>
          <w:szCs w:val="21"/>
          <w:lang w:val="es-MX" w:eastAsia="en-US"/>
        </w:rPr>
        <w:t xml:space="preserve">Antecedentes </w:t>
      </w:r>
      <w:r w:rsidRPr="00E81330">
        <w:rPr>
          <w:rFonts w:ascii="Abadi" w:eastAsiaTheme="minorHAnsi" w:hAnsi="Abadi" w:cs="*Verdana-7425-Identity-H"/>
          <w:color w:val="131313"/>
          <w:sz w:val="21"/>
          <w:szCs w:val="21"/>
          <w:lang w:val="es-MX" w:eastAsia="en-US"/>
        </w:rPr>
        <w:t xml:space="preserve">y </w:t>
      </w:r>
      <w:r w:rsidRPr="00E81330">
        <w:rPr>
          <w:rFonts w:ascii="Abadi" w:eastAsiaTheme="minorHAnsi" w:hAnsi="Abadi" w:cs="*Verdana-Bold-7426-Identity-H"/>
          <w:b/>
          <w:bCs/>
          <w:color w:val="131313"/>
          <w:sz w:val="21"/>
          <w:szCs w:val="21"/>
          <w:lang w:val="es-MX" w:eastAsia="en-US"/>
        </w:rPr>
        <w:t>análisis de la norma que sustenta el acuerdo</w:t>
      </w:r>
    </w:p>
    <w:p w14:paraId="4CC610BA" w14:textId="77777777" w:rsidR="00E81330" w:rsidRPr="00E81330" w:rsidRDefault="00E81330" w:rsidP="00E81330">
      <w:pPr>
        <w:autoSpaceDE w:val="0"/>
        <w:autoSpaceDN w:val="0"/>
        <w:adjustRightInd w:val="0"/>
        <w:jc w:val="both"/>
        <w:rPr>
          <w:rFonts w:ascii="Abadi" w:eastAsiaTheme="minorHAnsi" w:hAnsi="Abadi" w:cs="*Verdana-Bold-7426-Identity-H"/>
          <w:b/>
          <w:bCs/>
          <w:color w:val="141414"/>
          <w:sz w:val="21"/>
          <w:szCs w:val="21"/>
          <w:lang w:val="es-MX" w:eastAsia="en-US"/>
        </w:rPr>
      </w:pPr>
    </w:p>
    <w:p w14:paraId="657C9CBD" w14:textId="77777777" w:rsidR="00E81330" w:rsidRPr="00E81330" w:rsidRDefault="00E81330" w:rsidP="00E81330">
      <w:pPr>
        <w:autoSpaceDE w:val="0"/>
        <w:autoSpaceDN w:val="0"/>
        <w:adjustRightInd w:val="0"/>
        <w:jc w:val="both"/>
        <w:rPr>
          <w:rFonts w:ascii="Abadi" w:eastAsiaTheme="minorHAnsi" w:hAnsi="Abadi" w:cs="*Verdana-7425-Identity-H"/>
          <w:color w:val="141414"/>
          <w:sz w:val="21"/>
          <w:szCs w:val="21"/>
          <w:lang w:val="es-MX" w:eastAsia="en-US"/>
        </w:rPr>
      </w:pPr>
      <w:r w:rsidRPr="00E81330">
        <w:rPr>
          <w:rFonts w:ascii="Abadi" w:eastAsiaTheme="minorHAnsi" w:hAnsi="Abadi" w:cs="*Verdana-Bold-7426-Identity-H"/>
          <w:b/>
          <w:bCs/>
          <w:color w:val="141414"/>
          <w:sz w:val="21"/>
          <w:szCs w:val="21"/>
          <w:lang w:val="es-MX" w:eastAsia="en-US"/>
        </w:rPr>
        <w:tab/>
        <w:t xml:space="preserve">Antecedentes. </w:t>
      </w:r>
      <w:r w:rsidRPr="00E81330">
        <w:rPr>
          <w:rFonts w:ascii="Abadi" w:eastAsiaTheme="minorHAnsi" w:hAnsi="Abadi" w:cs="*Verdana-7425-Identity-H"/>
          <w:color w:val="141414"/>
          <w:sz w:val="21"/>
          <w:szCs w:val="21"/>
          <w:lang w:val="es-MX" w:eastAsia="en-US"/>
        </w:rPr>
        <w:t>El Congreso del Estado de Guanajuato al aprobar la Ley para el Ejercicio y Control de los Recursos Públicos para el Estado y los Municipios de Guanajuato consignó expresamente que el Poder Legislativo carece de facultades para determinar los montos de las remuneraciones de los integrantes de los ayuntamientos, y reconoció que dicha potestad sólo le es dable de manera exclusiva al propio Ayuntamiento.</w:t>
      </w:r>
    </w:p>
    <w:p w14:paraId="7895F172" w14:textId="77777777" w:rsidR="00E81330" w:rsidRPr="00E81330" w:rsidRDefault="00E81330" w:rsidP="00E81330">
      <w:pPr>
        <w:autoSpaceDE w:val="0"/>
        <w:autoSpaceDN w:val="0"/>
        <w:adjustRightInd w:val="0"/>
        <w:jc w:val="both"/>
        <w:rPr>
          <w:rFonts w:ascii="Abadi" w:eastAsiaTheme="minorHAnsi" w:hAnsi="Abadi" w:cs="*Verdana-7425-Identity-H"/>
          <w:color w:val="141414"/>
          <w:sz w:val="21"/>
          <w:szCs w:val="21"/>
          <w:lang w:val="es-MX" w:eastAsia="en-US"/>
        </w:rPr>
      </w:pPr>
    </w:p>
    <w:p w14:paraId="2B5CAD1C" w14:textId="77777777" w:rsidR="00E81330" w:rsidRPr="00E81330" w:rsidRDefault="00E81330" w:rsidP="00E81330">
      <w:pPr>
        <w:autoSpaceDE w:val="0"/>
        <w:autoSpaceDN w:val="0"/>
        <w:adjustRightInd w:val="0"/>
        <w:jc w:val="both"/>
        <w:rPr>
          <w:rFonts w:ascii="Abadi" w:eastAsiaTheme="minorHAnsi" w:hAnsi="Abadi" w:cs="*Verdana-7425-Identity-H"/>
          <w:color w:val="141414"/>
          <w:sz w:val="21"/>
          <w:szCs w:val="21"/>
          <w:lang w:val="es-MX" w:eastAsia="en-US"/>
        </w:rPr>
      </w:pPr>
      <w:r w:rsidRPr="00E81330">
        <w:rPr>
          <w:rFonts w:ascii="Abadi" w:eastAsiaTheme="minorHAnsi" w:hAnsi="Abadi" w:cs="*Verdana-7425-Identity-H"/>
          <w:color w:val="141414"/>
          <w:sz w:val="21"/>
          <w:szCs w:val="21"/>
          <w:lang w:val="es-MX" w:eastAsia="en-US"/>
        </w:rPr>
        <w:tab/>
        <w:t>Proceder en contrario a lo prescrito, sería violentar la autonomía del Municipio y el principio de libre administración hacendaría, ambos principios tutelados en sede constitucional.</w:t>
      </w:r>
    </w:p>
    <w:p w14:paraId="1D69C70B" w14:textId="77777777" w:rsidR="00E81330" w:rsidRPr="00E81330" w:rsidRDefault="00E81330" w:rsidP="00E81330">
      <w:pPr>
        <w:autoSpaceDE w:val="0"/>
        <w:autoSpaceDN w:val="0"/>
        <w:adjustRightInd w:val="0"/>
        <w:jc w:val="both"/>
        <w:rPr>
          <w:rFonts w:ascii="Abadi" w:eastAsiaTheme="minorHAnsi" w:hAnsi="Abadi" w:cs="*Cambria-Bold-7786-Identity-H"/>
          <w:b/>
          <w:bCs/>
          <w:color w:val="171717"/>
          <w:sz w:val="21"/>
          <w:szCs w:val="21"/>
          <w:lang w:val="es-MX" w:eastAsia="en-US"/>
        </w:rPr>
      </w:pPr>
    </w:p>
    <w:p w14:paraId="7E05A97D" w14:textId="77777777" w:rsidR="00E81330" w:rsidRPr="00E81330" w:rsidRDefault="00E81330" w:rsidP="00E81330">
      <w:pPr>
        <w:autoSpaceDE w:val="0"/>
        <w:autoSpaceDN w:val="0"/>
        <w:adjustRightInd w:val="0"/>
        <w:jc w:val="both"/>
        <w:rPr>
          <w:rFonts w:ascii="Abadi" w:eastAsiaTheme="minorHAnsi" w:hAnsi="Abadi" w:cs="*Verdana-7781-Identity-H"/>
          <w:color w:val="151515"/>
          <w:sz w:val="21"/>
          <w:szCs w:val="21"/>
          <w:lang w:val="es-MX" w:eastAsia="en-US"/>
        </w:rPr>
      </w:pPr>
      <w:r w:rsidRPr="00E81330">
        <w:rPr>
          <w:rFonts w:ascii="Abadi" w:eastAsiaTheme="minorHAnsi" w:hAnsi="Abadi" w:cs="*Cambria-Bold-7786-Identity-H"/>
          <w:b/>
          <w:bCs/>
          <w:color w:val="171717"/>
          <w:sz w:val="21"/>
          <w:szCs w:val="21"/>
          <w:lang w:val="es-MX" w:eastAsia="en-US"/>
        </w:rPr>
        <w:tab/>
      </w:r>
      <w:r w:rsidRPr="00E81330">
        <w:rPr>
          <w:rFonts w:ascii="Abadi" w:eastAsiaTheme="minorHAnsi" w:hAnsi="Abadi" w:cs="*Verdana-7781-Identity-H"/>
          <w:color w:val="151515"/>
          <w:sz w:val="21"/>
          <w:szCs w:val="21"/>
          <w:lang w:val="es-MX" w:eastAsia="en-US"/>
        </w:rPr>
        <w:t xml:space="preserve">Por lo tanto, el Congreso del Estado de Guanajuato resolvió, en su momento, que la comunicación con los ayuntamientos en este tema debe estar desprovista de obligatoriedad o vinculación, quedando solamente en el terreno de la recomendación. </w:t>
      </w:r>
    </w:p>
    <w:p w14:paraId="3A441EF7" w14:textId="77777777" w:rsidR="00E81330" w:rsidRPr="00E81330" w:rsidRDefault="00E81330" w:rsidP="00E81330">
      <w:pPr>
        <w:autoSpaceDE w:val="0"/>
        <w:autoSpaceDN w:val="0"/>
        <w:adjustRightInd w:val="0"/>
        <w:jc w:val="both"/>
        <w:rPr>
          <w:rFonts w:ascii="Abadi" w:eastAsiaTheme="minorHAnsi" w:hAnsi="Abadi" w:cs="*Verdana-7781-Identity-H"/>
          <w:color w:val="141414"/>
          <w:sz w:val="21"/>
          <w:szCs w:val="21"/>
          <w:lang w:val="es-MX" w:eastAsia="en-US"/>
        </w:rPr>
      </w:pPr>
    </w:p>
    <w:p w14:paraId="6264BBA0" w14:textId="77777777" w:rsidR="00E81330" w:rsidRPr="00E81330" w:rsidRDefault="00E81330" w:rsidP="00E81330">
      <w:pPr>
        <w:autoSpaceDE w:val="0"/>
        <w:autoSpaceDN w:val="0"/>
        <w:adjustRightInd w:val="0"/>
        <w:jc w:val="both"/>
        <w:rPr>
          <w:rFonts w:ascii="Abadi" w:eastAsiaTheme="minorHAnsi" w:hAnsi="Abadi" w:cs="*Verdana-7781-Identity-H"/>
          <w:color w:val="141414"/>
          <w:sz w:val="21"/>
          <w:szCs w:val="21"/>
          <w:lang w:val="es-MX" w:eastAsia="en-US"/>
        </w:rPr>
      </w:pPr>
      <w:r w:rsidRPr="00E81330">
        <w:rPr>
          <w:rFonts w:ascii="Abadi" w:eastAsiaTheme="minorHAnsi" w:hAnsi="Abadi" w:cs="*Verdana-7781-Identity-H"/>
          <w:color w:val="141414"/>
          <w:sz w:val="21"/>
          <w:szCs w:val="21"/>
          <w:lang w:val="es-MX" w:eastAsia="en-US"/>
        </w:rPr>
        <w:tab/>
        <w:t>En este sentido, quienes suscribimos la presente propuesta, coincidimos con los razonamientos mencionados, y reiteramos nuestro respeto al Gobierno Municipal en la orientación de su gasto público, como ejercicio responsable del principio de libre administración hacendaria.</w:t>
      </w:r>
    </w:p>
    <w:p w14:paraId="4D7ED76B" w14:textId="77777777" w:rsidR="00E81330" w:rsidRPr="00E81330" w:rsidRDefault="00E81330" w:rsidP="00E81330">
      <w:pPr>
        <w:autoSpaceDE w:val="0"/>
        <w:autoSpaceDN w:val="0"/>
        <w:adjustRightInd w:val="0"/>
        <w:jc w:val="both"/>
        <w:rPr>
          <w:rFonts w:ascii="Abadi" w:eastAsiaTheme="minorHAnsi" w:hAnsi="Abadi" w:cs="*Verdana-7781-Identity-H"/>
          <w:color w:val="141414"/>
          <w:sz w:val="21"/>
          <w:szCs w:val="21"/>
          <w:lang w:val="es-MX" w:eastAsia="en-US"/>
        </w:rPr>
      </w:pPr>
      <w:r w:rsidRPr="00E81330">
        <w:rPr>
          <w:rFonts w:ascii="Abadi" w:eastAsiaTheme="minorHAnsi" w:hAnsi="Abadi" w:cs="*Verdana-7781-Identity-H"/>
          <w:color w:val="141414"/>
          <w:sz w:val="21"/>
          <w:szCs w:val="21"/>
          <w:lang w:val="es-MX" w:eastAsia="en-US"/>
        </w:rPr>
        <w:tab/>
      </w:r>
    </w:p>
    <w:p w14:paraId="161B0C19" w14:textId="77777777" w:rsidR="00E81330" w:rsidRPr="00E81330" w:rsidRDefault="00E81330" w:rsidP="00E81330">
      <w:pPr>
        <w:autoSpaceDE w:val="0"/>
        <w:autoSpaceDN w:val="0"/>
        <w:adjustRightInd w:val="0"/>
        <w:jc w:val="both"/>
        <w:rPr>
          <w:rFonts w:ascii="Abadi" w:eastAsiaTheme="minorHAnsi" w:hAnsi="Abadi" w:cs="*Verdana-7781-Identity-H"/>
          <w:color w:val="141414"/>
          <w:sz w:val="21"/>
          <w:szCs w:val="21"/>
          <w:lang w:val="es-MX" w:eastAsia="en-US"/>
        </w:rPr>
      </w:pPr>
      <w:r w:rsidRPr="00E81330">
        <w:rPr>
          <w:rFonts w:ascii="Abadi" w:eastAsiaTheme="minorHAnsi" w:hAnsi="Abadi" w:cs="*Verdana-7781-Identity-H"/>
          <w:color w:val="141414"/>
          <w:sz w:val="21"/>
          <w:szCs w:val="21"/>
          <w:lang w:val="es-MX" w:eastAsia="en-US"/>
        </w:rPr>
        <w:tab/>
        <w:t>En suma, el cumplimiento de la atribución que nos ocupa no vulnera, en modo alguno, los principios constitucionales que tutelan al Municipio como orden de gobierno, ni atenta, en grado alguno, la libertad y autonomía política, económica o administrativa del mismo.</w:t>
      </w:r>
    </w:p>
    <w:p w14:paraId="26ABE7F6" w14:textId="77777777" w:rsidR="00E81330" w:rsidRPr="00E81330" w:rsidRDefault="00E81330" w:rsidP="00E81330">
      <w:pPr>
        <w:autoSpaceDE w:val="0"/>
        <w:autoSpaceDN w:val="0"/>
        <w:adjustRightInd w:val="0"/>
        <w:jc w:val="both"/>
        <w:rPr>
          <w:rFonts w:ascii="Abadi" w:eastAsiaTheme="minorHAnsi" w:hAnsi="Abadi" w:cs="*Verdana-Bold-7782-Identity-H"/>
          <w:b/>
          <w:bCs/>
          <w:color w:val="151515"/>
          <w:sz w:val="21"/>
          <w:szCs w:val="21"/>
          <w:lang w:val="es-MX" w:eastAsia="en-US"/>
        </w:rPr>
      </w:pPr>
    </w:p>
    <w:p w14:paraId="2BEE89C8" w14:textId="77777777" w:rsidR="00E81330" w:rsidRPr="00E81330" w:rsidRDefault="00E81330" w:rsidP="00E81330">
      <w:pPr>
        <w:autoSpaceDE w:val="0"/>
        <w:autoSpaceDN w:val="0"/>
        <w:adjustRightInd w:val="0"/>
        <w:jc w:val="both"/>
        <w:rPr>
          <w:rFonts w:ascii="Abadi" w:eastAsiaTheme="minorHAnsi" w:hAnsi="Abadi" w:cs="*Verdana-Italic-7783-Identity-H"/>
          <w:i/>
          <w:iCs/>
          <w:color w:val="151515"/>
          <w:sz w:val="21"/>
          <w:szCs w:val="21"/>
          <w:lang w:val="es-MX" w:eastAsia="en-US"/>
        </w:rPr>
      </w:pPr>
      <w:r w:rsidRPr="00E81330">
        <w:rPr>
          <w:rFonts w:ascii="Abadi" w:eastAsiaTheme="minorHAnsi" w:hAnsi="Abadi" w:cs="*Verdana-Bold-7782-Identity-H"/>
          <w:b/>
          <w:bCs/>
          <w:color w:val="151515"/>
          <w:sz w:val="21"/>
          <w:szCs w:val="21"/>
          <w:lang w:val="es-MX" w:eastAsia="en-US"/>
        </w:rPr>
        <w:tab/>
        <w:t xml:space="preserve">Alcance de la norma. </w:t>
      </w:r>
      <w:r w:rsidRPr="00E81330">
        <w:rPr>
          <w:rFonts w:ascii="Abadi" w:eastAsiaTheme="minorHAnsi" w:hAnsi="Abadi" w:cs="*Verdana-7781-Identity-H"/>
          <w:color w:val="151515"/>
          <w:sz w:val="21"/>
          <w:szCs w:val="21"/>
          <w:lang w:val="es-MX" w:eastAsia="en-US"/>
        </w:rPr>
        <w:t xml:space="preserve">Como ya lo apuntamos, la unidad normativa carece de efectos jurídicos para los destinatarios, su naturaleza es de mera </w:t>
      </w:r>
      <w:r w:rsidRPr="00E81330">
        <w:rPr>
          <w:rFonts w:ascii="Abadi" w:eastAsiaTheme="minorHAnsi" w:hAnsi="Abadi" w:cs="*Verdana-Italic-7783-Identity-H"/>
          <w:i/>
          <w:iCs/>
          <w:color w:val="151515"/>
          <w:sz w:val="21"/>
          <w:szCs w:val="21"/>
          <w:lang w:val="es-MX" w:eastAsia="en-US"/>
        </w:rPr>
        <w:t>&lt;&lt;recomendación».</w:t>
      </w:r>
    </w:p>
    <w:p w14:paraId="79288715" w14:textId="77777777" w:rsidR="00E81330" w:rsidRPr="00E81330" w:rsidRDefault="00E81330" w:rsidP="00E81330">
      <w:pPr>
        <w:autoSpaceDE w:val="0"/>
        <w:autoSpaceDN w:val="0"/>
        <w:adjustRightInd w:val="0"/>
        <w:jc w:val="both"/>
        <w:rPr>
          <w:rFonts w:ascii="Abadi" w:eastAsiaTheme="minorHAnsi" w:hAnsi="Abadi" w:cs="*Verdana-7781-Identity-H"/>
          <w:color w:val="151515"/>
          <w:sz w:val="21"/>
          <w:szCs w:val="21"/>
          <w:lang w:val="es-MX" w:eastAsia="en-US"/>
        </w:rPr>
      </w:pPr>
    </w:p>
    <w:p w14:paraId="22D33122" w14:textId="77777777" w:rsidR="00E81330" w:rsidRPr="00E81330" w:rsidRDefault="00E81330" w:rsidP="00E81330">
      <w:pPr>
        <w:autoSpaceDE w:val="0"/>
        <w:autoSpaceDN w:val="0"/>
        <w:adjustRightInd w:val="0"/>
        <w:jc w:val="both"/>
        <w:rPr>
          <w:rFonts w:ascii="Abadi" w:eastAsiaTheme="minorHAnsi" w:hAnsi="Abadi" w:cs="*Verdana-7781-Identity-H"/>
          <w:color w:val="151515"/>
          <w:sz w:val="21"/>
          <w:szCs w:val="21"/>
          <w:lang w:val="es-MX" w:eastAsia="en-US"/>
        </w:rPr>
      </w:pPr>
      <w:r w:rsidRPr="00E81330">
        <w:rPr>
          <w:rFonts w:ascii="Abadi" w:eastAsiaTheme="minorHAnsi" w:hAnsi="Abadi" w:cs="*Verdana-7781-Identity-H"/>
          <w:color w:val="151515"/>
          <w:sz w:val="21"/>
          <w:szCs w:val="21"/>
          <w:lang w:val="es-MX" w:eastAsia="en-US"/>
        </w:rPr>
        <w:tab/>
        <w:t>Para el Congreso del Estado si se constituye en una obligación, por ende, no está a discreción del Poder Legislativo emitir o no la resolución, no pudiendo soslayar su cumplimiento por ser derecho positivo vigente.</w:t>
      </w:r>
    </w:p>
    <w:p w14:paraId="1B10AC9C" w14:textId="77777777" w:rsidR="00E81330" w:rsidRPr="00E81330" w:rsidRDefault="00E81330" w:rsidP="00E81330">
      <w:pPr>
        <w:autoSpaceDE w:val="0"/>
        <w:autoSpaceDN w:val="0"/>
        <w:adjustRightInd w:val="0"/>
        <w:jc w:val="both"/>
        <w:rPr>
          <w:rFonts w:ascii="Abadi" w:eastAsiaTheme="minorHAnsi" w:hAnsi="Abadi" w:cs="*Verdana-Bold-7782-Identity-H"/>
          <w:b/>
          <w:bCs/>
          <w:color w:val="131313"/>
          <w:sz w:val="21"/>
          <w:szCs w:val="21"/>
          <w:lang w:val="es-MX" w:eastAsia="en-US"/>
        </w:rPr>
      </w:pPr>
    </w:p>
    <w:p w14:paraId="69BAAC8B" w14:textId="77777777" w:rsidR="00E81330" w:rsidRPr="00E81330" w:rsidRDefault="00E81330" w:rsidP="00E81330">
      <w:pPr>
        <w:numPr>
          <w:ilvl w:val="0"/>
          <w:numId w:val="33"/>
        </w:numPr>
        <w:autoSpaceDE w:val="0"/>
        <w:autoSpaceDN w:val="0"/>
        <w:adjustRightInd w:val="0"/>
        <w:spacing w:after="160" w:line="259" w:lineRule="auto"/>
        <w:contextualSpacing/>
        <w:jc w:val="both"/>
        <w:rPr>
          <w:rFonts w:ascii="Abadi" w:eastAsiaTheme="minorHAnsi" w:hAnsi="Abadi" w:cs="*Verdana-Bold-7782-Identity-H"/>
          <w:b/>
          <w:bCs/>
          <w:color w:val="131313"/>
          <w:sz w:val="21"/>
          <w:szCs w:val="21"/>
          <w:lang w:val="es-MX" w:eastAsia="en-US"/>
        </w:rPr>
      </w:pPr>
      <w:r w:rsidRPr="00E81330">
        <w:rPr>
          <w:rFonts w:ascii="Abadi" w:eastAsiaTheme="minorHAnsi" w:hAnsi="Abadi" w:cs="*Verdana-Bold-7782-Identity-H"/>
          <w:b/>
          <w:bCs/>
          <w:color w:val="131313"/>
          <w:sz w:val="21"/>
          <w:szCs w:val="21"/>
          <w:lang w:val="es-MX" w:eastAsia="en-US"/>
        </w:rPr>
        <w:t>Alcance de los princ1p1os constitucionales de «autonomía presupuesta!» y «libre administración hacendaria municipal»</w:t>
      </w:r>
    </w:p>
    <w:p w14:paraId="397A4276" w14:textId="77777777" w:rsidR="00E81330" w:rsidRPr="00E81330" w:rsidRDefault="00E81330" w:rsidP="00E81330">
      <w:pPr>
        <w:autoSpaceDE w:val="0"/>
        <w:autoSpaceDN w:val="0"/>
        <w:adjustRightInd w:val="0"/>
        <w:jc w:val="both"/>
        <w:rPr>
          <w:rFonts w:ascii="Abadi" w:eastAsiaTheme="minorHAnsi" w:hAnsi="Abadi" w:cs="*Verdana-7781-Identity-H"/>
          <w:color w:val="141414"/>
          <w:sz w:val="21"/>
          <w:szCs w:val="21"/>
          <w:lang w:val="es-MX" w:eastAsia="en-US"/>
        </w:rPr>
      </w:pPr>
    </w:p>
    <w:p w14:paraId="22548D46" w14:textId="77777777" w:rsidR="00E81330" w:rsidRPr="00E81330" w:rsidRDefault="00E81330" w:rsidP="00E81330">
      <w:pPr>
        <w:autoSpaceDE w:val="0"/>
        <w:autoSpaceDN w:val="0"/>
        <w:adjustRightInd w:val="0"/>
        <w:jc w:val="both"/>
        <w:rPr>
          <w:rFonts w:ascii="Abadi" w:eastAsiaTheme="minorHAnsi" w:hAnsi="Abadi" w:cs="*Verdana-7781-Identity-H"/>
          <w:color w:val="141414"/>
          <w:sz w:val="21"/>
          <w:szCs w:val="21"/>
          <w:lang w:val="es-MX" w:eastAsia="en-US"/>
        </w:rPr>
      </w:pPr>
      <w:r w:rsidRPr="00E81330">
        <w:rPr>
          <w:rFonts w:ascii="Abadi" w:eastAsiaTheme="minorHAnsi" w:hAnsi="Abadi" w:cs="*Verdana-7781-Identity-H"/>
          <w:color w:val="141414"/>
          <w:sz w:val="21"/>
          <w:szCs w:val="21"/>
          <w:lang w:val="es-MX" w:eastAsia="en-US"/>
        </w:rPr>
        <w:tab/>
        <w:t>En términos de lo dispuesto por el artículo 115 de la Constitución Política de los Estados Unidos Mexicanos, los municipios son autónomos en materia presupuesta!, incluyendo las remuneraciones de sus integrantes; asimismo, dicho numeral establece que los municipios administrarán libremente su hacienda.</w:t>
      </w:r>
    </w:p>
    <w:p w14:paraId="20BC7931" w14:textId="77777777" w:rsidR="00E81330" w:rsidRPr="00E81330" w:rsidRDefault="00E81330" w:rsidP="00E81330">
      <w:pPr>
        <w:autoSpaceDE w:val="0"/>
        <w:autoSpaceDN w:val="0"/>
        <w:adjustRightInd w:val="0"/>
        <w:jc w:val="both"/>
        <w:rPr>
          <w:rFonts w:ascii="Abadi" w:eastAsiaTheme="minorHAnsi" w:hAnsi="Abadi" w:cs="*Verdana-7781-Identity-H"/>
          <w:color w:val="141414"/>
          <w:sz w:val="21"/>
          <w:szCs w:val="21"/>
          <w:lang w:val="es-MX" w:eastAsia="en-US"/>
        </w:rPr>
      </w:pPr>
    </w:p>
    <w:p w14:paraId="79822091" w14:textId="77777777" w:rsidR="00E81330" w:rsidRPr="00E81330" w:rsidRDefault="00E81330" w:rsidP="00E81330">
      <w:pPr>
        <w:autoSpaceDE w:val="0"/>
        <w:autoSpaceDN w:val="0"/>
        <w:adjustRightInd w:val="0"/>
        <w:jc w:val="both"/>
        <w:rPr>
          <w:rFonts w:ascii="Abadi" w:eastAsiaTheme="minorHAnsi" w:hAnsi="Abadi" w:cs="*Verdana-7781-Identity-H"/>
          <w:color w:val="141414"/>
          <w:sz w:val="21"/>
          <w:szCs w:val="21"/>
          <w:lang w:val="es-MX" w:eastAsia="en-US"/>
        </w:rPr>
      </w:pPr>
      <w:r w:rsidRPr="00E81330">
        <w:rPr>
          <w:rFonts w:ascii="Abadi" w:eastAsiaTheme="minorHAnsi" w:hAnsi="Abadi" w:cs="*Verdana-7781-Identity-H"/>
          <w:color w:val="141414"/>
          <w:sz w:val="21"/>
          <w:szCs w:val="21"/>
          <w:lang w:val="es-MX" w:eastAsia="en-US"/>
        </w:rPr>
        <w:tab/>
        <w:t>Del texto constitucional se concluye que, tratándose del principio de libre administración hacendaria, no cabe autoridad distinta al Ayuntamiento para decidir cuánto y en qué orientar el gasto público, incluyendo las remuneraciones a sus servidores públicos.</w:t>
      </w:r>
    </w:p>
    <w:p w14:paraId="10285DBB" w14:textId="77777777" w:rsidR="00E81330" w:rsidRPr="00E81330" w:rsidRDefault="00E81330" w:rsidP="00E81330">
      <w:pPr>
        <w:autoSpaceDE w:val="0"/>
        <w:autoSpaceDN w:val="0"/>
        <w:adjustRightInd w:val="0"/>
        <w:jc w:val="both"/>
        <w:rPr>
          <w:rFonts w:ascii="Abadi" w:eastAsiaTheme="minorHAnsi" w:hAnsi="Abadi" w:cs="*Verdana-7781-Identity-H"/>
          <w:color w:val="141414"/>
          <w:sz w:val="21"/>
          <w:szCs w:val="21"/>
          <w:lang w:val="es-MX" w:eastAsia="en-US"/>
        </w:rPr>
      </w:pPr>
    </w:p>
    <w:p w14:paraId="77A07691" w14:textId="77777777" w:rsidR="00E81330" w:rsidRPr="00E81330" w:rsidRDefault="00E81330" w:rsidP="00E81330">
      <w:pPr>
        <w:autoSpaceDE w:val="0"/>
        <w:autoSpaceDN w:val="0"/>
        <w:adjustRightInd w:val="0"/>
        <w:jc w:val="both"/>
        <w:rPr>
          <w:rFonts w:ascii="Abadi" w:eastAsiaTheme="minorHAnsi" w:hAnsi="Abadi" w:cs="*Verdana-7781-Identity-H"/>
          <w:color w:val="141414"/>
          <w:sz w:val="21"/>
          <w:szCs w:val="21"/>
          <w:lang w:val="es-MX" w:eastAsia="en-US"/>
        </w:rPr>
      </w:pPr>
      <w:r w:rsidRPr="00E81330">
        <w:rPr>
          <w:rFonts w:ascii="Abadi" w:eastAsiaTheme="minorHAnsi" w:hAnsi="Abadi" w:cs="*Verdana-7781-Identity-H"/>
          <w:color w:val="141414"/>
          <w:sz w:val="21"/>
          <w:szCs w:val="21"/>
          <w:lang w:val="es-MX" w:eastAsia="en-US"/>
        </w:rPr>
        <w:tab/>
        <w:t>Bajo este marco normativo supremo, no escapa a quienes integramos esta Comisión, el fortalecimiento que en materia presupuesta! le ha sido otorgado a los municipios, más aún, esta propuesta reconoce y refrenda tales principios.</w:t>
      </w:r>
    </w:p>
    <w:p w14:paraId="61F19C40" w14:textId="77777777" w:rsidR="00E81330" w:rsidRPr="00E81330" w:rsidRDefault="00E81330" w:rsidP="00E81330">
      <w:pPr>
        <w:autoSpaceDE w:val="0"/>
        <w:autoSpaceDN w:val="0"/>
        <w:adjustRightInd w:val="0"/>
        <w:jc w:val="both"/>
        <w:rPr>
          <w:rFonts w:ascii="Abadi" w:eastAsiaTheme="minorHAnsi" w:hAnsi="Abadi" w:cs="*Minion Pro-Bold-7748-Identity-"/>
          <w:b/>
          <w:bCs/>
          <w:color w:val="232323"/>
          <w:sz w:val="21"/>
          <w:szCs w:val="21"/>
          <w:lang w:val="es-MX" w:eastAsia="en-US"/>
        </w:rPr>
      </w:pPr>
    </w:p>
    <w:p w14:paraId="0D041B98" w14:textId="77777777" w:rsidR="00E81330" w:rsidRPr="00E81330" w:rsidRDefault="00E81330" w:rsidP="00E81330">
      <w:pPr>
        <w:numPr>
          <w:ilvl w:val="0"/>
          <w:numId w:val="33"/>
        </w:numPr>
        <w:autoSpaceDE w:val="0"/>
        <w:autoSpaceDN w:val="0"/>
        <w:adjustRightInd w:val="0"/>
        <w:spacing w:after="160" w:line="259" w:lineRule="auto"/>
        <w:contextualSpacing/>
        <w:jc w:val="both"/>
        <w:rPr>
          <w:rFonts w:ascii="Abadi" w:eastAsiaTheme="minorHAnsi" w:hAnsi="Abadi" w:cs="*Verdana-Bold-7746-Identity-H"/>
          <w:b/>
          <w:bCs/>
          <w:color w:val="151515"/>
          <w:sz w:val="21"/>
          <w:szCs w:val="21"/>
          <w:lang w:val="es-MX" w:eastAsia="en-US"/>
        </w:rPr>
      </w:pPr>
      <w:r w:rsidRPr="00E81330">
        <w:rPr>
          <w:rFonts w:ascii="Abadi" w:eastAsiaTheme="minorHAnsi" w:hAnsi="Abadi" w:cs="*Verdana-Bold-7746-Identity-H"/>
          <w:b/>
          <w:bCs/>
          <w:color w:val="151515"/>
          <w:sz w:val="21"/>
          <w:szCs w:val="21"/>
          <w:lang w:val="es-MX" w:eastAsia="en-US"/>
        </w:rPr>
        <w:t>Principios jurídicos aplicables a las remuneraciones.</w:t>
      </w:r>
    </w:p>
    <w:p w14:paraId="71A34F9C" w14:textId="77777777" w:rsidR="00E81330" w:rsidRPr="00E81330" w:rsidRDefault="00E81330" w:rsidP="00E81330">
      <w:pPr>
        <w:autoSpaceDE w:val="0"/>
        <w:autoSpaceDN w:val="0"/>
        <w:adjustRightInd w:val="0"/>
        <w:jc w:val="both"/>
        <w:rPr>
          <w:rFonts w:ascii="Abadi" w:eastAsiaTheme="minorHAnsi" w:hAnsi="Abadi" w:cs="*Verdana-7745-Identity-H"/>
          <w:color w:val="1A1A1A"/>
          <w:sz w:val="21"/>
          <w:szCs w:val="21"/>
          <w:lang w:val="es-MX" w:eastAsia="en-US"/>
        </w:rPr>
      </w:pPr>
    </w:p>
    <w:p w14:paraId="2132191F" w14:textId="77777777" w:rsidR="00E81330" w:rsidRPr="00E81330" w:rsidRDefault="00E81330" w:rsidP="00E81330">
      <w:pPr>
        <w:autoSpaceDE w:val="0"/>
        <w:autoSpaceDN w:val="0"/>
        <w:adjustRightInd w:val="0"/>
        <w:jc w:val="both"/>
        <w:rPr>
          <w:rFonts w:ascii="Abadi" w:eastAsiaTheme="minorHAnsi" w:hAnsi="Abadi" w:cs="*Verdana-7745-Identity-H"/>
          <w:color w:val="1A1A1A"/>
          <w:sz w:val="21"/>
          <w:szCs w:val="21"/>
          <w:lang w:val="es-MX" w:eastAsia="en-US"/>
        </w:rPr>
      </w:pPr>
      <w:r w:rsidRPr="00E81330">
        <w:rPr>
          <w:rFonts w:ascii="Abadi" w:eastAsiaTheme="minorHAnsi" w:hAnsi="Abadi" w:cs="*Verdana-7745-Identity-H"/>
          <w:color w:val="1A1A1A"/>
          <w:sz w:val="21"/>
          <w:szCs w:val="21"/>
          <w:lang w:val="es-MX" w:eastAsia="en-US"/>
        </w:rPr>
        <w:tab/>
        <w:t>Para quienes formulamos la presente propuesta, los principios constitucionales y legales que aplican a las remuneraciones de los integrantes</w:t>
      </w:r>
      <w:r w:rsidRPr="00E81330">
        <w:rPr>
          <w:rFonts w:ascii="Abadi" w:eastAsiaTheme="minorHAnsi" w:hAnsi="Abadi" w:cs="*Verdana-7745-Identity-H"/>
          <w:color w:val="B1B1B1"/>
          <w:sz w:val="21"/>
          <w:szCs w:val="21"/>
          <w:lang w:val="es-MX" w:eastAsia="en-US"/>
        </w:rPr>
        <w:t xml:space="preserve">· </w:t>
      </w:r>
      <w:r w:rsidRPr="00E81330">
        <w:rPr>
          <w:rFonts w:ascii="Abadi" w:eastAsiaTheme="minorHAnsi" w:hAnsi="Abadi" w:cs="*Verdana-7745-Identity-H"/>
          <w:color w:val="1A1A1A"/>
          <w:sz w:val="21"/>
          <w:szCs w:val="21"/>
          <w:lang w:val="es-MX" w:eastAsia="en-US"/>
        </w:rPr>
        <w:t>de los ayuntamientos constituyen el sustento jurídico de la misma.</w:t>
      </w:r>
    </w:p>
    <w:p w14:paraId="19FA8112" w14:textId="77777777" w:rsidR="00E81330" w:rsidRPr="00E81330" w:rsidRDefault="00E81330" w:rsidP="00E81330">
      <w:pPr>
        <w:autoSpaceDE w:val="0"/>
        <w:autoSpaceDN w:val="0"/>
        <w:adjustRightInd w:val="0"/>
        <w:jc w:val="both"/>
        <w:rPr>
          <w:rFonts w:ascii="Abadi" w:eastAsiaTheme="minorHAnsi" w:hAnsi="Abadi" w:cs="*Verdana-7745-Identity-H"/>
          <w:color w:val="181818"/>
          <w:sz w:val="21"/>
          <w:szCs w:val="21"/>
          <w:lang w:val="es-MX" w:eastAsia="en-US"/>
        </w:rPr>
      </w:pPr>
    </w:p>
    <w:p w14:paraId="3A365BF7" w14:textId="77777777" w:rsidR="00E81330" w:rsidRPr="00E81330" w:rsidRDefault="00E81330" w:rsidP="00E81330">
      <w:pPr>
        <w:autoSpaceDE w:val="0"/>
        <w:autoSpaceDN w:val="0"/>
        <w:adjustRightInd w:val="0"/>
        <w:jc w:val="both"/>
        <w:rPr>
          <w:rFonts w:ascii="Abadi" w:eastAsiaTheme="minorHAnsi" w:hAnsi="Abadi" w:cs="*Verdana-7745-Identity-H"/>
          <w:color w:val="181818"/>
          <w:sz w:val="21"/>
          <w:szCs w:val="21"/>
          <w:lang w:val="es-MX" w:eastAsia="en-US"/>
        </w:rPr>
      </w:pPr>
      <w:r w:rsidRPr="00E81330">
        <w:rPr>
          <w:rFonts w:ascii="Abadi" w:eastAsiaTheme="minorHAnsi" w:hAnsi="Abadi" w:cs="*Verdana-7745-Identity-H"/>
          <w:color w:val="181818"/>
          <w:sz w:val="21"/>
          <w:szCs w:val="21"/>
          <w:lang w:val="es-MX" w:eastAsia="en-US"/>
        </w:rPr>
        <w:tab/>
        <w:t>En primer término, partimos del derecho que se consagra en el artículo 134 de la Constitución Política para el Estado de Guanajuato, que dispone que todo funcionario o empleado público recibirá por sus servicios, el sueldo o salario determinado por la ley, mismo que no podrá ser renunciable.</w:t>
      </w:r>
    </w:p>
    <w:p w14:paraId="5272F70F" w14:textId="77777777" w:rsidR="00E81330" w:rsidRPr="00E81330" w:rsidRDefault="00E81330" w:rsidP="00E81330">
      <w:pPr>
        <w:autoSpaceDE w:val="0"/>
        <w:autoSpaceDN w:val="0"/>
        <w:adjustRightInd w:val="0"/>
        <w:jc w:val="both"/>
        <w:rPr>
          <w:rFonts w:ascii="Abadi" w:eastAsiaTheme="minorHAnsi" w:hAnsi="Abadi" w:cs="*Verdana-7745-Identity-H"/>
          <w:color w:val="191919"/>
          <w:sz w:val="21"/>
          <w:szCs w:val="21"/>
          <w:lang w:val="es-MX" w:eastAsia="en-US"/>
        </w:rPr>
      </w:pPr>
    </w:p>
    <w:p w14:paraId="1F7CDC9C" w14:textId="77777777" w:rsidR="00E81330" w:rsidRPr="00E81330" w:rsidRDefault="00E81330" w:rsidP="00E81330">
      <w:pPr>
        <w:autoSpaceDE w:val="0"/>
        <w:autoSpaceDN w:val="0"/>
        <w:adjustRightInd w:val="0"/>
        <w:jc w:val="both"/>
        <w:rPr>
          <w:rFonts w:ascii="Abadi" w:eastAsiaTheme="minorHAnsi" w:hAnsi="Abadi" w:cs="*Verdana-7745-Identity-H"/>
          <w:color w:val="191919"/>
          <w:sz w:val="21"/>
          <w:szCs w:val="21"/>
          <w:lang w:val="es-MX" w:eastAsia="en-US"/>
        </w:rPr>
      </w:pPr>
      <w:r w:rsidRPr="00E81330">
        <w:rPr>
          <w:rFonts w:ascii="Abadi" w:eastAsiaTheme="minorHAnsi" w:hAnsi="Abadi" w:cs="*Verdana-7745-Identity-H"/>
          <w:color w:val="191919"/>
          <w:sz w:val="21"/>
          <w:szCs w:val="21"/>
          <w:lang w:val="es-MX" w:eastAsia="en-US"/>
        </w:rPr>
        <w:tab/>
        <w:t>Congruente con esta disposición, la Ley Orgánica Municipal para el Estado de Guanajuato en su numeral 28 dispone que el desempeño del cargo de Presidente Municipal, Síndico y Regidor es obligatorio y su remuneración se fijará en el presupuesto de egresos del Municipio, pero orientado bajo los principios de:</w:t>
      </w:r>
    </w:p>
    <w:p w14:paraId="1427FE34" w14:textId="77777777" w:rsidR="00E81330" w:rsidRPr="00E81330" w:rsidRDefault="00E81330" w:rsidP="00E81330">
      <w:pPr>
        <w:autoSpaceDE w:val="0"/>
        <w:autoSpaceDN w:val="0"/>
        <w:adjustRightInd w:val="0"/>
        <w:jc w:val="both"/>
        <w:rPr>
          <w:rFonts w:ascii="Abadi" w:eastAsiaTheme="minorHAnsi" w:hAnsi="Abadi" w:cs="*Verdana-7745-Identity-H"/>
          <w:color w:val="181818"/>
          <w:sz w:val="21"/>
          <w:szCs w:val="21"/>
          <w:lang w:val="es-MX" w:eastAsia="en-US"/>
        </w:rPr>
      </w:pPr>
    </w:p>
    <w:p w14:paraId="5D4FC6D6" w14:textId="77777777" w:rsidR="00E81330" w:rsidRPr="00E81330" w:rsidRDefault="00E81330" w:rsidP="00E81330">
      <w:pPr>
        <w:numPr>
          <w:ilvl w:val="0"/>
          <w:numId w:val="34"/>
        </w:numPr>
        <w:autoSpaceDE w:val="0"/>
        <w:autoSpaceDN w:val="0"/>
        <w:adjustRightInd w:val="0"/>
        <w:spacing w:after="160" w:line="259" w:lineRule="auto"/>
        <w:contextualSpacing/>
        <w:jc w:val="both"/>
        <w:rPr>
          <w:rFonts w:ascii="Abadi" w:eastAsiaTheme="minorHAnsi" w:hAnsi="Abadi" w:cs="*Verdana-7745-Identity-H"/>
          <w:color w:val="181818"/>
          <w:sz w:val="21"/>
          <w:szCs w:val="21"/>
          <w:lang w:val="es-MX" w:eastAsia="en-US"/>
        </w:rPr>
      </w:pPr>
      <w:r w:rsidRPr="00E81330">
        <w:rPr>
          <w:rFonts w:ascii="Abadi" w:eastAsiaTheme="minorHAnsi" w:hAnsi="Abadi" w:cs="*Verdana-7745-Identity-H"/>
          <w:color w:val="181818"/>
          <w:sz w:val="21"/>
          <w:szCs w:val="21"/>
          <w:lang w:val="es-MX" w:eastAsia="en-US"/>
        </w:rPr>
        <w:t>Racionalidad;</w:t>
      </w:r>
    </w:p>
    <w:p w14:paraId="588BF78D" w14:textId="77777777" w:rsidR="00E81330" w:rsidRPr="00E81330" w:rsidRDefault="00E81330" w:rsidP="00E81330">
      <w:pPr>
        <w:numPr>
          <w:ilvl w:val="0"/>
          <w:numId w:val="34"/>
        </w:numPr>
        <w:autoSpaceDE w:val="0"/>
        <w:autoSpaceDN w:val="0"/>
        <w:adjustRightInd w:val="0"/>
        <w:spacing w:after="160" w:line="259" w:lineRule="auto"/>
        <w:contextualSpacing/>
        <w:jc w:val="both"/>
        <w:rPr>
          <w:rFonts w:ascii="Abadi" w:eastAsiaTheme="minorHAnsi" w:hAnsi="Abadi" w:cs="*Verdana-7745-Identity-H"/>
          <w:color w:val="181818"/>
          <w:sz w:val="21"/>
          <w:szCs w:val="21"/>
          <w:lang w:val="es-MX" w:eastAsia="en-US"/>
        </w:rPr>
      </w:pPr>
      <w:r w:rsidRPr="00E81330">
        <w:rPr>
          <w:rFonts w:ascii="Abadi" w:eastAsiaTheme="minorHAnsi" w:hAnsi="Abadi" w:cs="*Verdana-7745-Identity-H"/>
          <w:color w:val="191919"/>
          <w:sz w:val="21"/>
          <w:szCs w:val="21"/>
          <w:lang w:val="es-MX" w:eastAsia="en-US"/>
        </w:rPr>
        <w:t xml:space="preserve">Austeridad; </w:t>
      </w:r>
    </w:p>
    <w:p w14:paraId="0CA4C713" w14:textId="77777777" w:rsidR="00E81330" w:rsidRPr="00E81330" w:rsidRDefault="00E81330" w:rsidP="00E81330">
      <w:pPr>
        <w:numPr>
          <w:ilvl w:val="0"/>
          <w:numId w:val="34"/>
        </w:numPr>
        <w:autoSpaceDE w:val="0"/>
        <w:autoSpaceDN w:val="0"/>
        <w:adjustRightInd w:val="0"/>
        <w:spacing w:after="160" w:line="259" w:lineRule="auto"/>
        <w:contextualSpacing/>
        <w:jc w:val="both"/>
        <w:rPr>
          <w:rFonts w:ascii="Abadi" w:eastAsiaTheme="minorHAnsi" w:hAnsi="Abadi" w:cs="*Verdana-7745-Identity-H"/>
          <w:color w:val="181818"/>
          <w:sz w:val="21"/>
          <w:szCs w:val="21"/>
          <w:lang w:val="es-MX" w:eastAsia="en-US"/>
        </w:rPr>
      </w:pPr>
      <w:r w:rsidRPr="00E81330">
        <w:rPr>
          <w:rFonts w:ascii="Abadi" w:eastAsiaTheme="minorHAnsi" w:hAnsi="Abadi" w:cs="*Verdana-7745-Identity-H"/>
          <w:color w:val="181818"/>
          <w:sz w:val="21"/>
          <w:szCs w:val="21"/>
          <w:lang w:val="es-MX" w:eastAsia="en-US"/>
        </w:rPr>
        <w:t xml:space="preserve">Disciplina del gasto público; y </w:t>
      </w:r>
    </w:p>
    <w:p w14:paraId="2875D821" w14:textId="77777777" w:rsidR="00E81330" w:rsidRPr="00E81330" w:rsidRDefault="00E81330" w:rsidP="00E81330">
      <w:pPr>
        <w:numPr>
          <w:ilvl w:val="0"/>
          <w:numId w:val="34"/>
        </w:numPr>
        <w:autoSpaceDE w:val="0"/>
        <w:autoSpaceDN w:val="0"/>
        <w:adjustRightInd w:val="0"/>
        <w:spacing w:after="160" w:line="259" w:lineRule="auto"/>
        <w:contextualSpacing/>
        <w:jc w:val="both"/>
        <w:rPr>
          <w:rFonts w:ascii="Abadi" w:eastAsiaTheme="minorHAnsi" w:hAnsi="Abadi" w:cs="*Verdana-7745-Identity-H"/>
          <w:color w:val="181818"/>
          <w:sz w:val="21"/>
          <w:szCs w:val="21"/>
          <w:lang w:val="es-MX" w:eastAsia="en-US"/>
        </w:rPr>
      </w:pPr>
      <w:r w:rsidRPr="00E81330">
        <w:rPr>
          <w:rFonts w:ascii="Abadi" w:eastAsiaTheme="minorHAnsi" w:hAnsi="Abadi" w:cs="*Verdana-7745-Identity-H"/>
          <w:color w:val="191919"/>
          <w:sz w:val="21"/>
          <w:szCs w:val="21"/>
          <w:lang w:val="es-MX" w:eastAsia="en-US"/>
        </w:rPr>
        <w:t>Situación socioeconómica del Municipio.</w:t>
      </w:r>
    </w:p>
    <w:p w14:paraId="4BF1349E" w14:textId="77777777" w:rsidR="00E81330" w:rsidRPr="00E81330" w:rsidRDefault="00E81330" w:rsidP="00E81330">
      <w:pPr>
        <w:autoSpaceDE w:val="0"/>
        <w:autoSpaceDN w:val="0"/>
        <w:adjustRightInd w:val="0"/>
        <w:jc w:val="both"/>
        <w:rPr>
          <w:rFonts w:ascii="Abadi" w:eastAsiaTheme="minorHAnsi" w:hAnsi="Abadi" w:cs="*Verdana-7745-Identity-H"/>
          <w:color w:val="181818"/>
          <w:sz w:val="21"/>
          <w:szCs w:val="21"/>
          <w:lang w:val="es-MX" w:eastAsia="en-US"/>
        </w:rPr>
      </w:pPr>
    </w:p>
    <w:p w14:paraId="7F7C67F0" w14:textId="77777777" w:rsidR="00E81330" w:rsidRPr="00E81330" w:rsidRDefault="00E81330" w:rsidP="00E81330">
      <w:pPr>
        <w:autoSpaceDE w:val="0"/>
        <w:autoSpaceDN w:val="0"/>
        <w:adjustRightInd w:val="0"/>
        <w:jc w:val="both"/>
        <w:rPr>
          <w:rFonts w:ascii="Abadi" w:eastAsiaTheme="minorHAnsi" w:hAnsi="Abadi" w:cs="*Verdana-7745-Identity-H"/>
          <w:color w:val="181818"/>
          <w:sz w:val="21"/>
          <w:szCs w:val="21"/>
          <w:lang w:val="es-MX" w:eastAsia="en-US"/>
        </w:rPr>
      </w:pPr>
      <w:r w:rsidRPr="00E81330">
        <w:rPr>
          <w:rFonts w:ascii="Abadi" w:eastAsiaTheme="minorHAnsi" w:hAnsi="Abadi" w:cs="*Verdana-7745-Identity-H"/>
          <w:color w:val="181818"/>
          <w:sz w:val="21"/>
          <w:szCs w:val="21"/>
          <w:lang w:val="es-MX" w:eastAsia="en-US"/>
        </w:rPr>
        <w:tab/>
        <w:t>En suma, es un derecho constitucional la remuneración de los integrantes del Ayuntamiento, pero también es un principio legal ceñirse a los criterios de racionalidad, austeridad, disciplina del gasto y a la situación socioeconómica de cada municipio en su determinación por cada Ayuntamiento.</w:t>
      </w:r>
    </w:p>
    <w:p w14:paraId="62AC5A85" w14:textId="77777777" w:rsidR="00E81330" w:rsidRPr="00E81330" w:rsidRDefault="00E81330" w:rsidP="00E81330">
      <w:pPr>
        <w:autoSpaceDE w:val="0"/>
        <w:autoSpaceDN w:val="0"/>
        <w:adjustRightInd w:val="0"/>
        <w:jc w:val="both"/>
        <w:rPr>
          <w:rFonts w:ascii="Abadi" w:eastAsiaTheme="minorHAnsi" w:hAnsi="Abadi" w:cs="*Verdana-Bold-7746-Identity-H"/>
          <w:b/>
          <w:bCs/>
          <w:color w:val="171717"/>
          <w:sz w:val="21"/>
          <w:szCs w:val="21"/>
          <w:lang w:val="es-MX" w:eastAsia="en-US"/>
        </w:rPr>
      </w:pPr>
    </w:p>
    <w:p w14:paraId="091995BC" w14:textId="77777777" w:rsidR="00E81330" w:rsidRPr="00E81330" w:rsidRDefault="00E81330" w:rsidP="00E81330">
      <w:pPr>
        <w:autoSpaceDE w:val="0"/>
        <w:autoSpaceDN w:val="0"/>
        <w:adjustRightInd w:val="0"/>
        <w:jc w:val="both"/>
        <w:rPr>
          <w:rFonts w:ascii="Abadi" w:eastAsiaTheme="minorHAnsi" w:hAnsi="Abadi" w:cs="*Verdana-7745-Identity-H"/>
          <w:color w:val="171717"/>
          <w:sz w:val="21"/>
          <w:szCs w:val="21"/>
          <w:lang w:val="es-MX" w:eastAsia="en-US"/>
        </w:rPr>
      </w:pPr>
      <w:r w:rsidRPr="00E81330">
        <w:rPr>
          <w:rFonts w:ascii="Abadi" w:eastAsiaTheme="minorHAnsi" w:hAnsi="Abadi" w:cs="*Verdana-Bold-7746-Identity-H"/>
          <w:b/>
          <w:bCs/>
          <w:color w:val="171717"/>
          <w:sz w:val="21"/>
          <w:szCs w:val="21"/>
          <w:lang w:val="es-MX" w:eastAsia="en-US"/>
        </w:rPr>
        <w:t xml:space="preserve">2. Variables seleccionadas. </w:t>
      </w:r>
      <w:r w:rsidRPr="00E81330">
        <w:rPr>
          <w:rFonts w:ascii="Abadi" w:eastAsiaTheme="minorHAnsi" w:hAnsi="Abadi" w:cs="*Verdana-7745-Identity-H"/>
          <w:color w:val="171717"/>
          <w:sz w:val="21"/>
          <w:szCs w:val="21"/>
          <w:lang w:val="es-MX" w:eastAsia="en-US"/>
        </w:rPr>
        <w:t>La recomendación que se presenta, toma como base la recomendación de remuneraciones aprobadas para el presente ejercicio fiscal por este Congreso del Estado en la que se utilizó para su determinación el análisis de variables preponderantemente objetivas, íntimamente relacionadas con los principios que establece la Ley Orgánica Municipal para el Estado de Guanajuato para la determinación de las remuneraciones de los integrantes de los ayuntamientos, además, apoyado en algunas de las herramientas de la valuación de puestos que</w:t>
      </w:r>
    </w:p>
    <w:p w14:paraId="3591F29D" w14:textId="77777777" w:rsidR="00E81330" w:rsidRPr="00E81330" w:rsidRDefault="00E81330" w:rsidP="00E81330">
      <w:pPr>
        <w:autoSpaceDE w:val="0"/>
        <w:autoSpaceDN w:val="0"/>
        <w:adjustRightInd w:val="0"/>
        <w:jc w:val="both"/>
        <w:rPr>
          <w:rFonts w:ascii="Abadi" w:eastAsiaTheme="minorHAnsi" w:hAnsi="Abadi" w:cs="*Verdana-7745-Identity-H"/>
          <w:color w:val="171717"/>
          <w:sz w:val="21"/>
          <w:szCs w:val="21"/>
          <w:lang w:val="es-MX" w:eastAsia="en-US"/>
        </w:rPr>
      </w:pPr>
      <w:r w:rsidRPr="00E81330">
        <w:rPr>
          <w:rFonts w:ascii="Abadi" w:eastAsiaTheme="minorHAnsi" w:hAnsi="Abadi" w:cs="*Verdana-7745-Identity-H"/>
          <w:color w:val="171717"/>
          <w:sz w:val="21"/>
          <w:szCs w:val="21"/>
          <w:lang w:val="es-MX" w:eastAsia="en-US"/>
        </w:rPr>
        <w:t>sugiere la técnica de la administración de sueldos y salarios.</w:t>
      </w:r>
    </w:p>
    <w:p w14:paraId="3B15360B" w14:textId="77777777" w:rsidR="00E81330" w:rsidRPr="00E81330" w:rsidRDefault="00E81330" w:rsidP="00E81330">
      <w:pPr>
        <w:autoSpaceDE w:val="0"/>
        <w:autoSpaceDN w:val="0"/>
        <w:adjustRightInd w:val="0"/>
        <w:jc w:val="both"/>
        <w:rPr>
          <w:rFonts w:ascii="Abadi" w:eastAsiaTheme="minorHAnsi" w:hAnsi="Abadi" w:cs="*Verdana-7745-Identity-H"/>
          <w:color w:val="1A1A1A"/>
          <w:sz w:val="21"/>
          <w:szCs w:val="21"/>
          <w:lang w:val="es-MX" w:eastAsia="en-US"/>
        </w:rPr>
      </w:pPr>
    </w:p>
    <w:p w14:paraId="37C72900" w14:textId="77777777" w:rsidR="00E81330" w:rsidRPr="00E81330" w:rsidRDefault="00E81330" w:rsidP="00E81330">
      <w:pPr>
        <w:autoSpaceDE w:val="0"/>
        <w:autoSpaceDN w:val="0"/>
        <w:adjustRightInd w:val="0"/>
        <w:jc w:val="both"/>
        <w:rPr>
          <w:rFonts w:ascii="Abadi" w:eastAsiaTheme="minorHAnsi" w:hAnsi="Abadi" w:cs="*Verdana-7745-Identity-H"/>
          <w:color w:val="1A1A1A"/>
          <w:sz w:val="21"/>
          <w:szCs w:val="21"/>
          <w:lang w:val="es-MX" w:eastAsia="en-US"/>
        </w:rPr>
      </w:pPr>
      <w:r w:rsidRPr="00E81330">
        <w:rPr>
          <w:rFonts w:ascii="Abadi" w:eastAsiaTheme="minorHAnsi" w:hAnsi="Abadi" w:cs="*Verdana-7745-Identity-H"/>
          <w:color w:val="1A1A1A"/>
          <w:sz w:val="21"/>
          <w:szCs w:val="21"/>
          <w:lang w:val="es-MX" w:eastAsia="en-US"/>
        </w:rPr>
        <w:tab/>
        <w:t>Las variables seleccionadas y valoradas fueron las siguientes:</w:t>
      </w:r>
    </w:p>
    <w:p w14:paraId="6E7CB924" w14:textId="77777777" w:rsidR="00E81330" w:rsidRPr="00E81330" w:rsidRDefault="00E81330" w:rsidP="00E81330">
      <w:pPr>
        <w:autoSpaceDE w:val="0"/>
        <w:autoSpaceDN w:val="0"/>
        <w:adjustRightInd w:val="0"/>
        <w:jc w:val="both"/>
        <w:rPr>
          <w:rFonts w:ascii="Abadi" w:eastAsiaTheme="minorHAnsi" w:hAnsi="Abadi" w:cs="*Verdana-Bold-7746-Identity-H"/>
          <w:b/>
          <w:bCs/>
          <w:color w:val="171717"/>
          <w:sz w:val="21"/>
          <w:szCs w:val="21"/>
          <w:lang w:val="es-MX" w:eastAsia="en-US"/>
        </w:rPr>
      </w:pPr>
    </w:p>
    <w:p w14:paraId="41D7999B" w14:textId="77777777" w:rsidR="00E81330" w:rsidRPr="00E81330" w:rsidRDefault="00E81330" w:rsidP="00E81330">
      <w:pPr>
        <w:autoSpaceDE w:val="0"/>
        <w:autoSpaceDN w:val="0"/>
        <w:adjustRightInd w:val="0"/>
        <w:jc w:val="both"/>
        <w:rPr>
          <w:rFonts w:ascii="Abadi" w:eastAsiaTheme="minorHAnsi" w:hAnsi="Abadi" w:cs="*Verdana-7745-Identity-H"/>
          <w:color w:val="171717"/>
          <w:sz w:val="21"/>
          <w:szCs w:val="21"/>
          <w:lang w:val="es-MX" w:eastAsia="en-US"/>
        </w:rPr>
      </w:pPr>
      <w:r w:rsidRPr="00E81330">
        <w:rPr>
          <w:rFonts w:ascii="Abadi" w:eastAsiaTheme="minorHAnsi" w:hAnsi="Abadi" w:cs="*Verdana-Bold-7746-Identity-H"/>
          <w:b/>
          <w:bCs/>
          <w:color w:val="171717"/>
          <w:sz w:val="21"/>
          <w:szCs w:val="21"/>
          <w:lang w:val="es-MX" w:eastAsia="en-US"/>
        </w:rPr>
        <w:tab/>
        <w:t xml:space="preserve">a) Indicadores socioeconómicos. </w:t>
      </w:r>
      <w:r w:rsidRPr="00E81330">
        <w:rPr>
          <w:rFonts w:ascii="Abadi" w:eastAsiaTheme="minorHAnsi" w:hAnsi="Abadi" w:cs="*Verdana-7745-Identity-H"/>
          <w:color w:val="171717"/>
          <w:sz w:val="21"/>
          <w:szCs w:val="21"/>
          <w:lang w:val="es-MX" w:eastAsia="en-US"/>
        </w:rPr>
        <w:t xml:space="preserve">Los indicadores socioeconómicos que se seleccionaron, que no son los únicos que se valoraron, constituyen las variables de ponderación objetiva para la determinación de la recomendación. </w:t>
      </w:r>
    </w:p>
    <w:p w14:paraId="072CAF25" w14:textId="77777777" w:rsidR="00E81330" w:rsidRPr="00E81330" w:rsidRDefault="00E81330" w:rsidP="00E81330">
      <w:pPr>
        <w:autoSpaceDE w:val="0"/>
        <w:autoSpaceDN w:val="0"/>
        <w:adjustRightInd w:val="0"/>
        <w:jc w:val="both"/>
        <w:rPr>
          <w:rFonts w:ascii="Abadi" w:eastAsiaTheme="minorHAnsi" w:hAnsi="Abadi" w:cs="*Arial-Italic-8353-Identity-H"/>
          <w:i/>
          <w:iCs/>
          <w:color w:val="181818"/>
          <w:sz w:val="21"/>
          <w:szCs w:val="21"/>
          <w:lang w:val="es-MX" w:eastAsia="en-US"/>
        </w:rPr>
      </w:pPr>
    </w:p>
    <w:p w14:paraId="5847DE21" w14:textId="77777777" w:rsidR="00E81330" w:rsidRPr="00E81330" w:rsidRDefault="00E81330" w:rsidP="00E81330">
      <w:pPr>
        <w:autoSpaceDE w:val="0"/>
        <w:autoSpaceDN w:val="0"/>
        <w:adjustRightInd w:val="0"/>
        <w:jc w:val="both"/>
        <w:rPr>
          <w:rFonts w:ascii="Abadi" w:eastAsiaTheme="minorHAnsi" w:hAnsi="Abadi" w:cs="*Verdana-8354-Identity-H"/>
          <w:color w:val="141414"/>
          <w:sz w:val="21"/>
          <w:szCs w:val="21"/>
          <w:lang w:val="es-MX" w:eastAsia="en-US"/>
        </w:rPr>
      </w:pPr>
      <w:r w:rsidRPr="00E81330">
        <w:rPr>
          <w:rFonts w:ascii="Abadi" w:eastAsiaTheme="minorHAnsi" w:hAnsi="Abadi" w:cs="*Arial-Italic-8353-Identity-H"/>
          <w:i/>
          <w:iCs/>
          <w:color w:val="181818"/>
          <w:sz w:val="21"/>
          <w:szCs w:val="21"/>
          <w:lang w:val="es-MX" w:eastAsia="en-US"/>
        </w:rPr>
        <w:tab/>
      </w:r>
      <w:r w:rsidRPr="00E81330">
        <w:rPr>
          <w:rFonts w:ascii="Abadi" w:eastAsiaTheme="minorHAnsi" w:hAnsi="Abadi" w:cs="*Verdana-8354-Identity-H"/>
          <w:color w:val="141414"/>
          <w:sz w:val="21"/>
          <w:szCs w:val="21"/>
          <w:lang w:val="es-MX" w:eastAsia="en-US"/>
        </w:rPr>
        <w:t>Cabe mencionar que los factores socioeconómicos que se presentan son coincidentes con algunas de las herramientas de valuación de puestos que sugiere la técnica de la administración de sueldos y salarios, considerada dentro del aspecto de la «complejidad de la función». De forma enunciativa pero no limitativa podemos identificarlos como población por Municipio, presupuesto de egresos por Municipio, tasa de crecimiento poblacional, índice de marginación, concentración poblacional urbana y número de localidades.</w:t>
      </w:r>
    </w:p>
    <w:p w14:paraId="582180F6" w14:textId="77777777" w:rsidR="00E81330" w:rsidRPr="00E81330" w:rsidRDefault="00E81330" w:rsidP="00E81330">
      <w:pPr>
        <w:autoSpaceDE w:val="0"/>
        <w:autoSpaceDN w:val="0"/>
        <w:adjustRightInd w:val="0"/>
        <w:jc w:val="both"/>
        <w:rPr>
          <w:rFonts w:ascii="Abadi" w:eastAsiaTheme="minorHAnsi" w:hAnsi="Abadi" w:cs="*Verdana-Bold-8355-Identity-H"/>
          <w:b/>
          <w:bCs/>
          <w:color w:val="141414"/>
          <w:sz w:val="21"/>
          <w:szCs w:val="21"/>
          <w:lang w:val="es-MX" w:eastAsia="en-US"/>
        </w:rPr>
      </w:pPr>
    </w:p>
    <w:p w14:paraId="185D4991" w14:textId="77777777" w:rsidR="00E81330" w:rsidRPr="00E81330" w:rsidRDefault="00E81330" w:rsidP="00E81330">
      <w:pPr>
        <w:autoSpaceDE w:val="0"/>
        <w:autoSpaceDN w:val="0"/>
        <w:adjustRightInd w:val="0"/>
        <w:jc w:val="both"/>
        <w:rPr>
          <w:rFonts w:ascii="Abadi" w:eastAsiaTheme="minorHAnsi" w:hAnsi="Abadi" w:cs="*Verdana-8354-Identity-H"/>
          <w:color w:val="141414"/>
          <w:sz w:val="21"/>
          <w:szCs w:val="21"/>
          <w:lang w:val="es-MX" w:eastAsia="en-US"/>
        </w:rPr>
      </w:pPr>
      <w:r w:rsidRPr="00E81330">
        <w:rPr>
          <w:rFonts w:ascii="Abadi" w:eastAsiaTheme="minorHAnsi" w:hAnsi="Abadi" w:cs="*Verdana-Bold-8355-Identity-H"/>
          <w:b/>
          <w:bCs/>
          <w:color w:val="141414"/>
          <w:sz w:val="21"/>
          <w:szCs w:val="21"/>
          <w:lang w:val="es-MX" w:eastAsia="en-US"/>
        </w:rPr>
        <w:tab/>
        <w:t xml:space="preserve">b) Indicadores de eficiencia administrativa o de gestión pública. </w:t>
      </w:r>
      <w:r w:rsidRPr="00E81330">
        <w:rPr>
          <w:rFonts w:ascii="Abadi" w:eastAsiaTheme="minorHAnsi" w:hAnsi="Abadi" w:cs="*Verdana-8354-Identity-H"/>
          <w:color w:val="141414"/>
          <w:sz w:val="21"/>
          <w:szCs w:val="21"/>
          <w:lang w:val="es-MX" w:eastAsia="en-US"/>
        </w:rPr>
        <w:t>Al igual que los indicadores socioeconómicos, la variable de eficiencia administrativa, tiene relación con las herramientas de valuación de puestos que sugiere la técnica de la administración de sueldos y salarios, considerada dentro del aspecto de la «gesti6n pública». El indicador de eficiencia administrativa que se tomó en cuenta es la recaudación del impuesto predial.</w:t>
      </w:r>
    </w:p>
    <w:p w14:paraId="4DDBFE3E" w14:textId="77777777" w:rsidR="00E81330" w:rsidRPr="00E81330" w:rsidRDefault="00E81330" w:rsidP="00E81330">
      <w:pPr>
        <w:autoSpaceDE w:val="0"/>
        <w:autoSpaceDN w:val="0"/>
        <w:adjustRightInd w:val="0"/>
        <w:jc w:val="both"/>
        <w:rPr>
          <w:rFonts w:ascii="Abadi" w:eastAsiaTheme="minorHAnsi" w:hAnsi="Abadi" w:cs="*Verdana-Bold-8355-Identity-H"/>
          <w:b/>
          <w:bCs/>
          <w:color w:val="131313"/>
          <w:sz w:val="21"/>
          <w:szCs w:val="21"/>
          <w:lang w:val="es-MX" w:eastAsia="en-US"/>
        </w:rPr>
      </w:pPr>
    </w:p>
    <w:p w14:paraId="0BB55DB4" w14:textId="77777777" w:rsidR="00E81330" w:rsidRPr="00E81330" w:rsidRDefault="00E81330" w:rsidP="00E81330">
      <w:pPr>
        <w:autoSpaceDE w:val="0"/>
        <w:autoSpaceDN w:val="0"/>
        <w:adjustRightInd w:val="0"/>
        <w:jc w:val="both"/>
        <w:rPr>
          <w:rFonts w:ascii="Abadi" w:eastAsiaTheme="minorHAnsi" w:hAnsi="Abadi" w:cs="*Verdana-Bold-8355-Identity-H"/>
          <w:b/>
          <w:bCs/>
          <w:color w:val="131313"/>
          <w:sz w:val="21"/>
          <w:szCs w:val="21"/>
          <w:lang w:val="es-MX" w:eastAsia="en-US"/>
        </w:rPr>
      </w:pPr>
      <w:r w:rsidRPr="00E81330">
        <w:rPr>
          <w:rFonts w:ascii="Abadi" w:eastAsiaTheme="minorHAnsi" w:hAnsi="Abadi" w:cs="*Verdana-Bold-8355-Identity-H"/>
          <w:b/>
          <w:bCs/>
          <w:color w:val="131313"/>
          <w:sz w:val="21"/>
          <w:szCs w:val="21"/>
          <w:lang w:val="es-MX" w:eastAsia="en-US"/>
        </w:rPr>
        <w:tab/>
        <w:t>c) Indicador de racionalidad, austeridad y disciplina del gasto público.</w:t>
      </w:r>
    </w:p>
    <w:p w14:paraId="47D87950" w14:textId="77777777" w:rsidR="00E81330" w:rsidRPr="00E81330" w:rsidRDefault="00E81330" w:rsidP="00E81330">
      <w:pPr>
        <w:autoSpaceDE w:val="0"/>
        <w:autoSpaceDN w:val="0"/>
        <w:adjustRightInd w:val="0"/>
        <w:jc w:val="both"/>
        <w:rPr>
          <w:rFonts w:ascii="Abadi" w:eastAsiaTheme="minorHAnsi" w:hAnsi="Abadi" w:cs="*Verdana-8354-Identity-H"/>
          <w:color w:val="151515"/>
          <w:sz w:val="21"/>
          <w:szCs w:val="21"/>
          <w:lang w:val="es-MX" w:eastAsia="en-US"/>
        </w:rPr>
      </w:pPr>
      <w:r w:rsidRPr="00E81330">
        <w:rPr>
          <w:rFonts w:ascii="Abadi" w:eastAsiaTheme="minorHAnsi" w:hAnsi="Abadi" w:cs="*Verdana-8354-Identity-H"/>
          <w:color w:val="151515"/>
          <w:sz w:val="21"/>
          <w:szCs w:val="21"/>
          <w:lang w:val="es-MX" w:eastAsia="en-US"/>
        </w:rPr>
        <w:t>Para traducir esta variable al plano objetivo, se consideraron como se reflejan estos indicadores respecto del presupuesto de egresos. Esta variable es propia de los principios que inspiran la determinación de las remuneraciones de los integrantes de los ayuntamientos, de conformidad con lo previsto por el artículo 28 de la Ley Orgánica Municipal para el Estado de Guanajuato.</w:t>
      </w:r>
    </w:p>
    <w:p w14:paraId="56B2D15F" w14:textId="77777777" w:rsidR="00E81330" w:rsidRPr="00E81330" w:rsidRDefault="00E81330" w:rsidP="00E81330">
      <w:pPr>
        <w:autoSpaceDE w:val="0"/>
        <w:autoSpaceDN w:val="0"/>
        <w:adjustRightInd w:val="0"/>
        <w:jc w:val="both"/>
        <w:rPr>
          <w:rFonts w:ascii="Abadi" w:eastAsiaTheme="minorHAnsi" w:hAnsi="Abadi" w:cs="*Verdana-Bold-8355-Identity-H"/>
          <w:b/>
          <w:bCs/>
          <w:color w:val="141414"/>
          <w:sz w:val="21"/>
          <w:szCs w:val="21"/>
          <w:lang w:val="es-MX" w:eastAsia="en-US"/>
        </w:rPr>
      </w:pPr>
    </w:p>
    <w:p w14:paraId="25170527" w14:textId="77777777" w:rsidR="00E81330" w:rsidRPr="00E81330" w:rsidRDefault="00E81330" w:rsidP="00E81330">
      <w:pPr>
        <w:autoSpaceDE w:val="0"/>
        <w:autoSpaceDN w:val="0"/>
        <w:adjustRightInd w:val="0"/>
        <w:jc w:val="both"/>
        <w:rPr>
          <w:rFonts w:ascii="Abadi" w:eastAsiaTheme="minorHAnsi" w:hAnsi="Abadi" w:cs="*Verdana-Bold-8355-Identity-H"/>
          <w:b/>
          <w:bCs/>
          <w:color w:val="141414"/>
          <w:sz w:val="21"/>
          <w:szCs w:val="21"/>
          <w:lang w:val="es-MX" w:eastAsia="en-US"/>
        </w:rPr>
      </w:pPr>
      <w:r w:rsidRPr="00E81330">
        <w:rPr>
          <w:rFonts w:ascii="Abadi" w:eastAsiaTheme="minorHAnsi" w:hAnsi="Abadi" w:cs="*Verdana-Bold-8355-Identity-H"/>
          <w:b/>
          <w:bCs/>
          <w:color w:val="141414"/>
          <w:sz w:val="21"/>
          <w:szCs w:val="21"/>
          <w:lang w:val="es-MX" w:eastAsia="en-US"/>
        </w:rPr>
        <w:tab/>
        <w:t xml:space="preserve">d) Responsabilidad de la función. </w:t>
      </w:r>
    </w:p>
    <w:p w14:paraId="7F2D6243" w14:textId="77777777" w:rsidR="00E81330" w:rsidRPr="00E81330" w:rsidRDefault="00E81330" w:rsidP="00E81330">
      <w:pPr>
        <w:autoSpaceDE w:val="0"/>
        <w:autoSpaceDN w:val="0"/>
        <w:adjustRightInd w:val="0"/>
        <w:jc w:val="both"/>
        <w:rPr>
          <w:rFonts w:ascii="Abadi" w:eastAsiaTheme="minorHAnsi" w:hAnsi="Abadi" w:cs="*Verdana-8354-Identity-H"/>
          <w:color w:val="141414"/>
          <w:sz w:val="21"/>
          <w:szCs w:val="21"/>
          <w:lang w:val="es-MX" w:eastAsia="en-US"/>
        </w:rPr>
      </w:pPr>
      <w:r w:rsidRPr="00E81330">
        <w:rPr>
          <w:rFonts w:ascii="Abadi" w:eastAsiaTheme="minorHAnsi" w:hAnsi="Abadi" w:cs="*Verdana-8354-Identity-H"/>
          <w:color w:val="141414"/>
          <w:sz w:val="21"/>
          <w:szCs w:val="21"/>
          <w:lang w:val="es-MX" w:eastAsia="en-US"/>
        </w:rPr>
        <w:t>A fin de introducir esta variable como factor ponderable para la determinación de los límites de las remuneraciones, se partió del reconocimiento de la responsabilidad que asumen los funcionarios públicos en el Estado y particularmente la que es atribuida al Gobernador del Estado, considerándolo como límite superior sobre el cual se estructura la propuesta, y en similar sentido, la propuesta de remuneración de cada Presidente Municipal respecto de los síndicos y regidores.</w:t>
      </w:r>
    </w:p>
    <w:p w14:paraId="0B1F8DEB" w14:textId="77777777" w:rsidR="00E81330" w:rsidRPr="00E81330" w:rsidRDefault="00E81330" w:rsidP="00E81330">
      <w:pPr>
        <w:autoSpaceDE w:val="0"/>
        <w:autoSpaceDN w:val="0"/>
        <w:adjustRightInd w:val="0"/>
        <w:jc w:val="both"/>
        <w:rPr>
          <w:rFonts w:ascii="Abadi" w:eastAsiaTheme="minorHAnsi" w:hAnsi="Abadi" w:cs="*Verdana-Bold-8355-Identity-H"/>
          <w:b/>
          <w:bCs/>
          <w:color w:val="141414"/>
          <w:sz w:val="21"/>
          <w:szCs w:val="21"/>
          <w:lang w:val="es-MX" w:eastAsia="en-US"/>
        </w:rPr>
      </w:pPr>
    </w:p>
    <w:p w14:paraId="5494214C" w14:textId="77777777" w:rsidR="00E81330" w:rsidRPr="00E81330" w:rsidRDefault="00E81330" w:rsidP="00E81330">
      <w:pPr>
        <w:autoSpaceDE w:val="0"/>
        <w:autoSpaceDN w:val="0"/>
        <w:adjustRightInd w:val="0"/>
        <w:jc w:val="both"/>
        <w:rPr>
          <w:rFonts w:ascii="Abadi" w:eastAsiaTheme="minorHAnsi" w:hAnsi="Abadi" w:cs="*Verdana-Bold-8355-Identity-H"/>
          <w:b/>
          <w:bCs/>
          <w:color w:val="141414"/>
          <w:sz w:val="21"/>
          <w:szCs w:val="21"/>
          <w:lang w:val="es-MX" w:eastAsia="en-US"/>
        </w:rPr>
      </w:pPr>
      <w:r w:rsidRPr="00E81330">
        <w:rPr>
          <w:rFonts w:ascii="Abadi" w:eastAsiaTheme="minorHAnsi" w:hAnsi="Abadi" w:cs="*Verdana-Bold-8355-Identity-H"/>
          <w:b/>
          <w:bCs/>
          <w:color w:val="141414"/>
          <w:sz w:val="21"/>
          <w:szCs w:val="21"/>
          <w:lang w:val="es-MX" w:eastAsia="en-US"/>
        </w:rPr>
        <w:tab/>
        <w:t xml:space="preserve">3. Estratificación de los municipios. </w:t>
      </w:r>
      <w:r w:rsidRPr="00E81330">
        <w:rPr>
          <w:rFonts w:ascii="Abadi" w:eastAsiaTheme="minorHAnsi" w:hAnsi="Abadi" w:cs="*Verdana-8354-Identity-H"/>
          <w:color w:val="141414"/>
          <w:sz w:val="21"/>
          <w:szCs w:val="21"/>
          <w:lang w:val="es-MX" w:eastAsia="en-US"/>
        </w:rPr>
        <w:t>Seleccionadas las variables de conformidad con los principios que establece la Ley Orgánica Municipal para el Estado de Guanajuato y algunas herramientas de la técnica de la administración de sueldos y salarios, se estableció el criterio de estratificar a los municipios.</w:t>
      </w:r>
    </w:p>
    <w:p w14:paraId="51CE51E6" w14:textId="77777777" w:rsidR="00E81330" w:rsidRPr="00E81330" w:rsidRDefault="00E81330" w:rsidP="00E81330">
      <w:pPr>
        <w:autoSpaceDE w:val="0"/>
        <w:autoSpaceDN w:val="0"/>
        <w:adjustRightInd w:val="0"/>
        <w:jc w:val="both"/>
        <w:rPr>
          <w:rFonts w:ascii="Abadi" w:eastAsiaTheme="minorHAnsi" w:hAnsi="Abadi" w:cs="*Verdana-Bold-8355-Identity-H"/>
          <w:b/>
          <w:bCs/>
          <w:color w:val="131313"/>
          <w:sz w:val="21"/>
          <w:szCs w:val="21"/>
          <w:lang w:val="es-MX" w:eastAsia="en-US"/>
        </w:rPr>
      </w:pPr>
    </w:p>
    <w:p w14:paraId="7328D6F8" w14:textId="77777777" w:rsidR="00E81330" w:rsidRPr="00E81330" w:rsidRDefault="00E81330" w:rsidP="00E81330">
      <w:pPr>
        <w:numPr>
          <w:ilvl w:val="0"/>
          <w:numId w:val="31"/>
        </w:numPr>
        <w:autoSpaceDE w:val="0"/>
        <w:autoSpaceDN w:val="0"/>
        <w:adjustRightInd w:val="0"/>
        <w:spacing w:after="160" w:line="259" w:lineRule="auto"/>
        <w:contextualSpacing/>
        <w:jc w:val="both"/>
        <w:rPr>
          <w:rFonts w:ascii="Abadi" w:eastAsiaTheme="minorHAnsi" w:hAnsi="Abadi" w:cs="*Verdana-Bold-8355-Identity-H"/>
          <w:b/>
          <w:bCs/>
          <w:color w:val="131313"/>
          <w:sz w:val="21"/>
          <w:szCs w:val="21"/>
          <w:lang w:val="es-MX" w:eastAsia="en-US"/>
        </w:rPr>
      </w:pPr>
      <w:r w:rsidRPr="00E81330">
        <w:rPr>
          <w:rFonts w:ascii="Abadi" w:eastAsiaTheme="minorHAnsi" w:hAnsi="Abadi" w:cs="*Verdana-Bold-8355-Identity-H"/>
          <w:b/>
          <w:bCs/>
          <w:color w:val="131313"/>
          <w:sz w:val="21"/>
          <w:szCs w:val="21"/>
          <w:lang w:val="es-MX" w:eastAsia="en-US"/>
        </w:rPr>
        <w:t>Determinación de la propuesta</w:t>
      </w:r>
    </w:p>
    <w:p w14:paraId="00CBCFF3" w14:textId="77777777" w:rsidR="00E81330" w:rsidRPr="00E81330" w:rsidRDefault="00E81330" w:rsidP="00E81330">
      <w:pPr>
        <w:autoSpaceDE w:val="0"/>
        <w:autoSpaceDN w:val="0"/>
        <w:adjustRightInd w:val="0"/>
        <w:jc w:val="both"/>
        <w:rPr>
          <w:rFonts w:ascii="Abadi" w:eastAsiaTheme="minorHAnsi" w:hAnsi="Abadi" w:cs="*Verdana-8354-Identity-H"/>
          <w:color w:val="141414"/>
          <w:sz w:val="21"/>
          <w:szCs w:val="21"/>
          <w:lang w:val="es-MX" w:eastAsia="en-US"/>
        </w:rPr>
      </w:pPr>
    </w:p>
    <w:p w14:paraId="25F54777" w14:textId="77777777" w:rsidR="00E81330" w:rsidRPr="00E81330" w:rsidRDefault="00E81330" w:rsidP="00E81330">
      <w:pPr>
        <w:autoSpaceDE w:val="0"/>
        <w:autoSpaceDN w:val="0"/>
        <w:adjustRightInd w:val="0"/>
        <w:jc w:val="both"/>
        <w:rPr>
          <w:rFonts w:ascii="Abadi" w:eastAsiaTheme="minorHAnsi" w:hAnsi="Abadi" w:cs="*Verdana-8354-Identity-H"/>
          <w:color w:val="141414"/>
          <w:sz w:val="21"/>
          <w:szCs w:val="21"/>
          <w:lang w:val="es-MX" w:eastAsia="en-US"/>
        </w:rPr>
      </w:pPr>
      <w:r w:rsidRPr="00E81330">
        <w:rPr>
          <w:rFonts w:ascii="Abadi" w:eastAsiaTheme="minorHAnsi" w:hAnsi="Abadi" w:cs="*Verdana-8354-Identity-H"/>
          <w:color w:val="141414"/>
          <w:sz w:val="21"/>
          <w:szCs w:val="21"/>
          <w:lang w:val="es-MX" w:eastAsia="en-US"/>
        </w:rPr>
        <w:tab/>
        <w:t>No obstante lo ya señalado, dadas las condiciones económicas predominantes en el presente año, para el ejercicio 2023 resulta importante destacar que en términos del artículo 21 de la Ley de Disciplina Financiera de las Entidades Federativas y los Municipios, se debe atender para el crecimiento de los salarios, el criterio señalado en el artículo 10 del citado ordenamiento que establece:</w:t>
      </w:r>
    </w:p>
    <w:p w14:paraId="4DC35DD2" w14:textId="77777777" w:rsidR="00E81330" w:rsidRPr="00E81330" w:rsidRDefault="00E81330" w:rsidP="00E81330">
      <w:pPr>
        <w:autoSpaceDE w:val="0"/>
        <w:autoSpaceDN w:val="0"/>
        <w:adjustRightInd w:val="0"/>
        <w:jc w:val="both"/>
        <w:rPr>
          <w:rFonts w:ascii="Abadi" w:eastAsiaTheme="minorHAnsi" w:hAnsi="Abadi" w:cs="*Cambria-9640-Identity-H"/>
          <w:color w:val="161616"/>
          <w:sz w:val="21"/>
          <w:szCs w:val="21"/>
          <w:lang w:val="es-MX" w:eastAsia="en-US"/>
        </w:rPr>
      </w:pPr>
    </w:p>
    <w:p w14:paraId="5AF33278" w14:textId="77777777" w:rsidR="00E81330" w:rsidRPr="00E81330" w:rsidRDefault="00E81330" w:rsidP="00E81330">
      <w:pPr>
        <w:autoSpaceDE w:val="0"/>
        <w:autoSpaceDN w:val="0"/>
        <w:adjustRightInd w:val="0"/>
        <w:ind w:left="709"/>
        <w:jc w:val="both"/>
        <w:rPr>
          <w:rFonts w:ascii="Abadi" w:eastAsiaTheme="minorHAnsi" w:hAnsi="Abadi" w:cs="*Verdana-Italic-9636-Identity-H"/>
          <w:i/>
          <w:iCs/>
          <w:color w:val="161616"/>
          <w:sz w:val="21"/>
          <w:szCs w:val="21"/>
          <w:lang w:val="es-MX" w:eastAsia="en-US"/>
        </w:rPr>
      </w:pPr>
      <w:r w:rsidRPr="00E81330">
        <w:rPr>
          <w:rFonts w:ascii="Abadi" w:eastAsiaTheme="minorHAnsi" w:hAnsi="Abadi" w:cs="*Verdana-Italic-9636-Identity-H"/>
          <w:i/>
          <w:iCs/>
          <w:color w:val="161616"/>
          <w:sz w:val="21"/>
          <w:szCs w:val="21"/>
          <w:lang w:val="es-MX" w:eastAsia="en-US"/>
        </w:rPr>
        <w:t>«La asignación global de recursos para servicios personales que se apruebe en el Presupuesto de Egresos, tendrá como límite, el producto que resulte de aplicar al monto aprobado en el Presupuesto de Egresos del ejercicio inmediato anterior, una tasa de crecimiento equivalente al valor que resulte menor entre:</w:t>
      </w:r>
    </w:p>
    <w:p w14:paraId="3EE3FA6A" w14:textId="77777777" w:rsidR="00E81330" w:rsidRPr="00E81330" w:rsidRDefault="00E81330" w:rsidP="00E81330">
      <w:pPr>
        <w:autoSpaceDE w:val="0"/>
        <w:autoSpaceDN w:val="0"/>
        <w:adjustRightInd w:val="0"/>
        <w:ind w:left="709"/>
        <w:jc w:val="both"/>
        <w:rPr>
          <w:rFonts w:ascii="Abadi" w:eastAsiaTheme="minorHAnsi" w:hAnsi="Abadi" w:cs="*Verdana-Italic-9636-Identity-H"/>
          <w:i/>
          <w:iCs/>
          <w:color w:val="161616"/>
          <w:sz w:val="21"/>
          <w:szCs w:val="21"/>
          <w:lang w:val="es-MX" w:eastAsia="en-US"/>
        </w:rPr>
      </w:pPr>
    </w:p>
    <w:p w14:paraId="4B0A7FA9" w14:textId="77777777" w:rsidR="00E81330" w:rsidRPr="00E81330" w:rsidRDefault="00E81330" w:rsidP="00E81330">
      <w:pPr>
        <w:autoSpaceDE w:val="0"/>
        <w:autoSpaceDN w:val="0"/>
        <w:adjustRightInd w:val="0"/>
        <w:ind w:left="709"/>
        <w:jc w:val="both"/>
        <w:rPr>
          <w:rFonts w:ascii="Abadi" w:eastAsiaTheme="minorHAnsi" w:hAnsi="Abadi" w:cs="*Verdana-Italic-9636-Identity-H"/>
          <w:i/>
          <w:iCs/>
          <w:color w:val="161616"/>
          <w:sz w:val="21"/>
          <w:szCs w:val="21"/>
          <w:lang w:val="es-MX" w:eastAsia="en-US"/>
        </w:rPr>
      </w:pPr>
      <w:r w:rsidRPr="00E81330">
        <w:rPr>
          <w:rFonts w:ascii="Abadi" w:eastAsiaTheme="minorHAnsi" w:hAnsi="Abadi" w:cs="*Verdana-Italic-9636-Identity-H"/>
          <w:i/>
          <w:iCs/>
          <w:color w:val="161616"/>
          <w:sz w:val="21"/>
          <w:szCs w:val="21"/>
          <w:lang w:val="es-MX" w:eastAsia="en-US"/>
        </w:rPr>
        <w:t>a) El 3 por ciento de crecimiento real, y</w:t>
      </w:r>
    </w:p>
    <w:p w14:paraId="6CD05759" w14:textId="77777777" w:rsidR="00E81330" w:rsidRPr="00E81330" w:rsidRDefault="00E81330" w:rsidP="00E81330">
      <w:pPr>
        <w:autoSpaceDE w:val="0"/>
        <w:autoSpaceDN w:val="0"/>
        <w:adjustRightInd w:val="0"/>
        <w:ind w:left="709"/>
        <w:jc w:val="both"/>
        <w:rPr>
          <w:rFonts w:ascii="Abadi" w:eastAsiaTheme="minorHAnsi" w:hAnsi="Abadi" w:cs="*Verdana-Italic-9636-Identity-H"/>
          <w:i/>
          <w:iCs/>
          <w:color w:val="161616"/>
          <w:sz w:val="21"/>
          <w:szCs w:val="21"/>
          <w:lang w:val="es-MX" w:eastAsia="en-US"/>
        </w:rPr>
      </w:pPr>
    </w:p>
    <w:p w14:paraId="0FB3F330" w14:textId="77777777" w:rsidR="00E81330" w:rsidRPr="00E81330" w:rsidRDefault="00E81330" w:rsidP="00E81330">
      <w:pPr>
        <w:autoSpaceDE w:val="0"/>
        <w:autoSpaceDN w:val="0"/>
        <w:adjustRightInd w:val="0"/>
        <w:ind w:left="709"/>
        <w:jc w:val="both"/>
        <w:rPr>
          <w:rFonts w:ascii="Abadi" w:eastAsiaTheme="minorHAnsi" w:hAnsi="Abadi" w:cs="*Verdana-Italic-9636-Identity-H"/>
          <w:i/>
          <w:iCs/>
          <w:color w:val="161616"/>
          <w:sz w:val="21"/>
          <w:szCs w:val="21"/>
          <w:lang w:val="es-MX" w:eastAsia="en-US"/>
        </w:rPr>
      </w:pPr>
      <w:r w:rsidRPr="00E81330">
        <w:rPr>
          <w:rFonts w:ascii="Abadi" w:eastAsiaTheme="minorHAnsi" w:hAnsi="Abadi" w:cs="*Verdana-Italic-9636-Identity-H"/>
          <w:i/>
          <w:iCs/>
          <w:color w:val="161616"/>
          <w:sz w:val="21"/>
          <w:szCs w:val="21"/>
          <w:lang w:val="es-MX" w:eastAsia="en-US"/>
        </w:rPr>
        <w:t>b) El crecimiento real del Producto Interno Bruto señalado en los Criterios Generales de Política Económica para el ejercicio que se está presupuestando...»</w:t>
      </w:r>
    </w:p>
    <w:p w14:paraId="058523AD" w14:textId="77777777" w:rsidR="00E81330" w:rsidRPr="00E81330" w:rsidRDefault="00E81330" w:rsidP="00E81330">
      <w:pPr>
        <w:autoSpaceDE w:val="0"/>
        <w:autoSpaceDN w:val="0"/>
        <w:adjustRightInd w:val="0"/>
        <w:jc w:val="both"/>
        <w:rPr>
          <w:rFonts w:ascii="Abadi" w:eastAsiaTheme="minorHAnsi" w:hAnsi="Abadi" w:cs="*Verdana-9635-Identity-H"/>
          <w:color w:val="151515"/>
          <w:sz w:val="21"/>
          <w:szCs w:val="21"/>
          <w:lang w:val="es-MX" w:eastAsia="en-US"/>
        </w:rPr>
      </w:pPr>
    </w:p>
    <w:p w14:paraId="5FB64FE7" w14:textId="77777777" w:rsidR="00E81330" w:rsidRPr="00E81330" w:rsidRDefault="00E81330" w:rsidP="00E81330">
      <w:pPr>
        <w:autoSpaceDE w:val="0"/>
        <w:autoSpaceDN w:val="0"/>
        <w:adjustRightInd w:val="0"/>
        <w:jc w:val="both"/>
        <w:rPr>
          <w:rFonts w:ascii="Abadi" w:eastAsiaTheme="minorHAnsi" w:hAnsi="Abadi" w:cs="*Verdana-9635-Identity-H"/>
          <w:color w:val="151515"/>
          <w:sz w:val="21"/>
          <w:szCs w:val="21"/>
          <w:lang w:val="es-MX" w:eastAsia="en-US"/>
        </w:rPr>
      </w:pPr>
      <w:r w:rsidRPr="00E81330">
        <w:rPr>
          <w:rFonts w:ascii="Abadi" w:eastAsiaTheme="minorHAnsi" w:hAnsi="Abadi" w:cs="*Verdana-9635-Identity-H"/>
          <w:color w:val="151515"/>
          <w:sz w:val="21"/>
          <w:szCs w:val="21"/>
          <w:lang w:val="es-MX" w:eastAsia="en-US"/>
        </w:rPr>
        <w:tab/>
        <w:t xml:space="preserve">El acuerdo que se propone es en cumplimiento del mandato de la ley, por lo </w:t>
      </w:r>
      <w:r w:rsidRPr="00E81330">
        <w:rPr>
          <w:rFonts w:ascii="Abadi" w:eastAsiaTheme="minorHAnsi" w:hAnsi="Abadi" w:cs="*Verdana-9635-Identity-H"/>
          <w:color w:val="141414"/>
          <w:sz w:val="21"/>
          <w:szCs w:val="21"/>
          <w:lang w:val="es-MX" w:eastAsia="en-US"/>
        </w:rPr>
        <w:t xml:space="preserve">tanto, no resulta de una pretensión arbitraria o discrecional de este Poder Legislativo, </w:t>
      </w:r>
      <w:r w:rsidRPr="00E81330">
        <w:rPr>
          <w:rFonts w:ascii="Abadi" w:eastAsiaTheme="minorHAnsi" w:hAnsi="Abadi" w:cs="*Verdana-9635-Identity-H"/>
          <w:color w:val="919191"/>
          <w:sz w:val="21"/>
          <w:szCs w:val="21"/>
          <w:lang w:val="es-MX" w:eastAsia="en-US"/>
        </w:rPr>
        <w:t>•</w:t>
      </w:r>
      <w:r w:rsidRPr="00E81330">
        <w:rPr>
          <w:rFonts w:ascii="Abadi" w:eastAsiaTheme="minorHAnsi" w:hAnsi="Abadi" w:cs="*Verdana-9635-Identity-H"/>
          <w:color w:val="151515"/>
          <w:sz w:val="21"/>
          <w:szCs w:val="21"/>
          <w:lang w:val="es-MX" w:eastAsia="en-US"/>
        </w:rPr>
        <w:t xml:space="preserve"> </w:t>
      </w:r>
      <w:r w:rsidRPr="00E81330">
        <w:rPr>
          <w:rFonts w:ascii="Abadi" w:eastAsiaTheme="minorHAnsi" w:hAnsi="Abadi" w:cs="*Verdana-9635-Identity-H"/>
          <w:color w:val="141414"/>
          <w:sz w:val="21"/>
          <w:szCs w:val="21"/>
          <w:lang w:val="es-MX" w:eastAsia="en-US"/>
        </w:rPr>
        <w:t>responde cabalmente al estatuto jurídico que se nos impone como servidores públicos,</w:t>
      </w:r>
      <w:r w:rsidRPr="00E81330">
        <w:rPr>
          <w:rFonts w:ascii="Abadi" w:eastAsiaTheme="minorHAnsi" w:hAnsi="Abadi" w:cs="*Verdana-9635-Identity-H"/>
          <w:color w:val="151515"/>
          <w:sz w:val="21"/>
          <w:szCs w:val="21"/>
          <w:lang w:val="es-MX" w:eastAsia="en-US"/>
        </w:rPr>
        <w:t xml:space="preserve"> </w:t>
      </w:r>
      <w:r w:rsidRPr="00E81330">
        <w:rPr>
          <w:rFonts w:ascii="Abadi" w:eastAsiaTheme="minorHAnsi" w:hAnsi="Abadi" w:cs="*Verdana-9635-Identity-H"/>
          <w:color w:val="141414"/>
          <w:sz w:val="21"/>
          <w:szCs w:val="21"/>
          <w:lang w:val="es-MX" w:eastAsia="en-US"/>
        </w:rPr>
        <w:t>de cumplir el marco jurídico vigente.</w:t>
      </w:r>
    </w:p>
    <w:p w14:paraId="702449A0" w14:textId="77777777" w:rsidR="00E81330" w:rsidRPr="00E81330" w:rsidRDefault="00E81330" w:rsidP="00E81330">
      <w:pPr>
        <w:autoSpaceDE w:val="0"/>
        <w:autoSpaceDN w:val="0"/>
        <w:adjustRightInd w:val="0"/>
        <w:jc w:val="both"/>
        <w:rPr>
          <w:rFonts w:ascii="Abadi" w:eastAsiaTheme="minorHAnsi" w:hAnsi="Abadi" w:cs="*Verdana-9635-Identity-H"/>
          <w:color w:val="141414"/>
          <w:sz w:val="21"/>
          <w:szCs w:val="21"/>
          <w:lang w:val="es-MX" w:eastAsia="en-US"/>
        </w:rPr>
      </w:pPr>
    </w:p>
    <w:p w14:paraId="3B2970DE" w14:textId="77777777" w:rsidR="00E81330" w:rsidRPr="00E81330" w:rsidRDefault="00E81330" w:rsidP="00E81330">
      <w:pPr>
        <w:autoSpaceDE w:val="0"/>
        <w:autoSpaceDN w:val="0"/>
        <w:adjustRightInd w:val="0"/>
        <w:jc w:val="both"/>
        <w:rPr>
          <w:rFonts w:ascii="Abadi" w:eastAsiaTheme="minorHAnsi" w:hAnsi="Abadi" w:cs="*Verdana-9635-Identity-H"/>
          <w:color w:val="141414"/>
          <w:sz w:val="21"/>
          <w:szCs w:val="21"/>
          <w:lang w:val="es-MX" w:eastAsia="en-US"/>
        </w:rPr>
      </w:pPr>
      <w:r w:rsidRPr="00E81330">
        <w:rPr>
          <w:rFonts w:ascii="Abadi" w:eastAsiaTheme="minorHAnsi" w:hAnsi="Abadi" w:cs="*Verdana-9635-Identity-H"/>
          <w:color w:val="141414"/>
          <w:sz w:val="21"/>
          <w:szCs w:val="21"/>
          <w:lang w:val="es-MX" w:eastAsia="en-US"/>
        </w:rPr>
        <w:tab/>
        <w:t>Asimismo, quienes integramos esta Comisión de Hacienda y Fiscalización, al analizar los Criterios Generales de Política Económica 2023 y considerando que la metodología aquí expresada, se ha consolidado con el marco en materia de Disciplina Financiera, es conveniente que los montos recomendados para el ejercicio fiscal del año 2023, se consideren partiendo de la base de los montos de salarios recomendados por este Congreso del Estado para el ejercicio fiscal 2022, actualizados en los términos del artículo 10 de la Ley de Disciplina Financiera de las Entidades Federativas y los Municipios, para determinar el límite del crecimiento en el gasto en servicios personales a contemplar en los presupuestos de egresos municipales en el ejercicio fiscal 2023, atendiendo a los elementos siguientes:</w:t>
      </w:r>
    </w:p>
    <w:p w14:paraId="3FDBC44C" w14:textId="77777777" w:rsidR="00E81330" w:rsidRPr="00E81330" w:rsidRDefault="00E81330" w:rsidP="00E81330">
      <w:pPr>
        <w:autoSpaceDE w:val="0"/>
        <w:autoSpaceDN w:val="0"/>
        <w:adjustRightInd w:val="0"/>
        <w:jc w:val="both"/>
        <w:rPr>
          <w:rFonts w:ascii="Arial" w:eastAsiaTheme="minorHAnsi" w:hAnsi="Arial" w:cs="Arial"/>
          <w:color w:val="141414"/>
          <w:sz w:val="21"/>
          <w:szCs w:val="21"/>
          <w:lang w:val="es-MX" w:eastAsia="en-US"/>
        </w:rPr>
      </w:pPr>
    </w:p>
    <w:p w14:paraId="6D0674AB" w14:textId="77777777" w:rsidR="00E81330" w:rsidRPr="00E81330" w:rsidRDefault="00E81330" w:rsidP="00E81330">
      <w:pPr>
        <w:numPr>
          <w:ilvl w:val="0"/>
          <w:numId w:val="35"/>
        </w:numPr>
        <w:autoSpaceDE w:val="0"/>
        <w:autoSpaceDN w:val="0"/>
        <w:adjustRightInd w:val="0"/>
        <w:spacing w:after="160" w:line="259" w:lineRule="auto"/>
        <w:contextualSpacing/>
        <w:jc w:val="both"/>
        <w:rPr>
          <w:rFonts w:ascii="Abadi" w:eastAsiaTheme="minorHAnsi" w:hAnsi="Abadi" w:cs="*Verdana-9635-Identity-H"/>
          <w:color w:val="141414"/>
          <w:sz w:val="21"/>
          <w:szCs w:val="21"/>
          <w:lang w:val="es-MX" w:eastAsia="en-US"/>
        </w:rPr>
      </w:pPr>
      <w:r w:rsidRPr="00E81330">
        <w:rPr>
          <w:rFonts w:ascii="Abadi" w:eastAsiaTheme="minorHAnsi" w:hAnsi="Abadi" w:cs="*Verdana-9635-Identity-H"/>
          <w:color w:val="141414"/>
          <w:sz w:val="21"/>
          <w:szCs w:val="21"/>
          <w:lang w:val="es-MX" w:eastAsia="en-US"/>
        </w:rPr>
        <w:t>Persisten presiones inflacionarias derivadas del entorno económico y geopolítico actual lo que ha provocado que, en el mes de agosto 2022 la inflación se ubique en un nivel 8.7% anual.</w:t>
      </w:r>
    </w:p>
    <w:p w14:paraId="2BB6B4E4" w14:textId="77777777" w:rsidR="00E81330" w:rsidRPr="00E81330" w:rsidRDefault="00E81330" w:rsidP="00E81330">
      <w:pPr>
        <w:numPr>
          <w:ilvl w:val="0"/>
          <w:numId w:val="35"/>
        </w:numPr>
        <w:autoSpaceDE w:val="0"/>
        <w:autoSpaceDN w:val="0"/>
        <w:adjustRightInd w:val="0"/>
        <w:spacing w:after="160" w:line="259" w:lineRule="auto"/>
        <w:contextualSpacing/>
        <w:jc w:val="both"/>
        <w:rPr>
          <w:rFonts w:ascii="Abadi" w:eastAsiaTheme="minorHAnsi" w:hAnsi="Abadi" w:cs="*Verdana-9635-Identity-H"/>
          <w:color w:val="141414"/>
          <w:sz w:val="21"/>
          <w:szCs w:val="21"/>
          <w:lang w:val="es-MX" w:eastAsia="en-US"/>
        </w:rPr>
      </w:pPr>
      <w:r w:rsidRPr="00E81330">
        <w:rPr>
          <w:rFonts w:ascii="Abadi" w:eastAsiaTheme="minorHAnsi" w:hAnsi="Abadi" w:cs="*Verdana-9635-Identity-H"/>
          <w:color w:val="151515"/>
          <w:sz w:val="21"/>
          <w:szCs w:val="21"/>
          <w:lang w:val="es-MX" w:eastAsia="en-US"/>
        </w:rPr>
        <w:t>Las previsiones para la inflación contempladas por el Banco de México en su informe trimestral abril - junio 2022 para el cuarto trimestre de 2022 de 8.1 % y de 3.2% para el cuarto trimestre de 2023.</w:t>
      </w:r>
    </w:p>
    <w:p w14:paraId="1B46508B" w14:textId="77777777" w:rsidR="00E81330" w:rsidRPr="00E81330" w:rsidRDefault="00E81330" w:rsidP="00E81330">
      <w:pPr>
        <w:numPr>
          <w:ilvl w:val="0"/>
          <w:numId w:val="35"/>
        </w:numPr>
        <w:autoSpaceDE w:val="0"/>
        <w:autoSpaceDN w:val="0"/>
        <w:adjustRightInd w:val="0"/>
        <w:spacing w:after="160" w:line="259" w:lineRule="auto"/>
        <w:contextualSpacing/>
        <w:jc w:val="both"/>
        <w:rPr>
          <w:rFonts w:ascii="Abadi" w:eastAsiaTheme="minorHAnsi" w:hAnsi="Abadi" w:cs="*Verdana-9635-Identity-H"/>
          <w:color w:val="141414"/>
          <w:sz w:val="21"/>
          <w:szCs w:val="21"/>
          <w:lang w:val="es-MX" w:eastAsia="en-US"/>
        </w:rPr>
      </w:pPr>
      <w:r w:rsidRPr="00E81330">
        <w:rPr>
          <w:rFonts w:ascii="Abadi" w:eastAsiaTheme="minorHAnsi" w:hAnsi="Abadi" w:cs="*Verdana-9635-Identity-H"/>
          <w:color w:val="151515"/>
          <w:sz w:val="21"/>
          <w:szCs w:val="21"/>
          <w:lang w:val="es-MX" w:eastAsia="en-US"/>
        </w:rPr>
        <w:t>En el marco macroeconómico 2023 de los Criterios Generales de Política Económica 2023, emitidos por la Secretaría de Hacienda y Crédito Público, la previsión de inflación anual medida con el Índice Nacional de Precios al Consumidor para 2022 es de 7.7% y de 3.2% para 2023. La inflación promedio anual para 2022 se prevé de 7.8% y de 4.7% para 2023.</w:t>
      </w:r>
    </w:p>
    <w:p w14:paraId="738CA36F" w14:textId="77777777" w:rsidR="00E81330" w:rsidRPr="00E81330" w:rsidRDefault="00E81330" w:rsidP="00E81330">
      <w:pPr>
        <w:numPr>
          <w:ilvl w:val="0"/>
          <w:numId w:val="35"/>
        </w:numPr>
        <w:autoSpaceDE w:val="0"/>
        <w:autoSpaceDN w:val="0"/>
        <w:adjustRightInd w:val="0"/>
        <w:spacing w:after="160" w:line="259" w:lineRule="auto"/>
        <w:contextualSpacing/>
        <w:jc w:val="both"/>
        <w:rPr>
          <w:rFonts w:ascii="Abadi" w:eastAsiaTheme="minorHAnsi" w:hAnsi="Abadi" w:cs="*Verdana-9635-Identity-H"/>
          <w:color w:val="141414"/>
          <w:sz w:val="21"/>
          <w:szCs w:val="21"/>
          <w:lang w:val="es-MX" w:eastAsia="en-US"/>
        </w:rPr>
      </w:pPr>
      <w:r w:rsidRPr="00E81330">
        <w:rPr>
          <w:rFonts w:ascii="Abadi" w:eastAsiaTheme="minorHAnsi" w:hAnsi="Abadi" w:cs="*Verdana-9635-Identity-H"/>
          <w:color w:val="151515"/>
          <w:sz w:val="21"/>
          <w:szCs w:val="21"/>
          <w:lang w:val="es-MX" w:eastAsia="en-US"/>
        </w:rPr>
        <w:t>Una perspectiva de crecimiento económico anual de 2.4% en 2022 y de 3% en 2023.</w:t>
      </w:r>
    </w:p>
    <w:p w14:paraId="7566C957" w14:textId="77777777" w:rsidR="00E81330" w:rsidRPr="00E81330" w:rsidRDefault="00E81330" w:rsidP="00E81330">
      <w:pPr>
        <w:numPr>
          <w:ilvl w:val="0"/>
          <w:numId w:val="35"/>
        </w:numPr>
        <w:autoSpaceDE w:val="0"/>
        <w:autoSpaceDN w:val="0"/>
        <w:adjustRightInd w:val="0"/>
        <w:spacing w:after="160" w:line="259" w:lineRule="auto"/>
        <w:contextualSpacing/>
        <w:jc w:val="both"/>
        <w:rPr>
          <w:rFonts w:ascii="Abadi" w:eastAsiaTheme="minorHAnsi" w:hAnsi="Abadi" w:cs="*Verdana-9635-Identity-H"/>
          <w:color w:val="141414"/>
          <w:sz w:val="21"/>
          <w:szCs w:val="21"/>
          <w:lang w:val="es-MX" w:eastAsia="en-US"/>
        </w:rPr>
      </w:pPr>
      <w:r w:rsidRPr="00E81330">
        <w:rPr>
          <w:rFonts w:ascii="Abadi" w:eastAsiaTheme="minorHAnsi" w:hAnsi="Abadi" w:cs="*Verdana-8754-Identity-H"/>
          <w:color w:val="141414"/>
          <w:sz w:val="21"/>
          <w:szCs w:val="21"/>
          <w:lang w:val="es-MX" w:eastAsia="en-US"/>
        </w:rPr>
        <w:t>El deflactor del Producto Interno Bruto mide los precios de todos los bienes producidos en una economía en comparación del Índice Nacional de Precios al Consumidor que mide solamente los precios de una canasta determinada de bienes. La Secretaría de Hacienda y Crédito Público en los Criterios Generales de Política Económica 2023, estima para el próximo año un deflactor del 5%.</w:t>
      </w:r>
    </w:p>
    <w:p w14:paraId="0346FDBA" w14:textId="77777777" w:rsidR="00E81330" w:rsidRPr="00E81330" w:rsidRDefault="00E81330" w:rsidP="00E81330">
      <w:pPr>
        <w:numPr>
          <w:ilvl w:val="0"/>
          <w:numId w:val="35"/>
        </w:numPr>
        <w:autoSpaceDE w:val="0"/>
        <w:autoSpaceDN w:val="0"/>
        <w:adjustRightInd w:val="0"/>
        <w:spacing w:after="160" w:line="259" w:lineRule="auto"/>
        <w:contextualSpacing/>
        <w:jc w:val="both"/>
        <w:rPr>
          <w:rFonts w:ascii="Abadi" w:eastAsiaTheme="minorHAnsi" w:hAnsi="Abadi" w:cs="*Verdana-9635-Identity-H"/>
          <w:color w:val="141414"/>
          <w:sz w:val="21"/>
          <w:szCs w:val="21"/>
          <w:lang w:val="es-MX" w:eastAsia="en-US"/>
        </w:rPr>
      </w:pPr>
      <w:r w:rsidRPr="00E81330">
        <w:rPr>
          <w:rFonts w:ascii="Abadi" w:eastAsiaTheme="minorHAnsi" w:hAnsi="Abadi" w:cs="*Verdana-8754-Identity-H"/>
          <w:color w:val="161616"/>
          <w:sz w:val="21"/>
          <w:szCs w:val="21"/>
          <w:lang w:val="es-MX" w:eastAsia="en-US"/>
        </w:rPr>
        <w:t>Aunado a que con el propósito de recuperar los costos asociados de la creciente variación de los precios en todos los bienes durante este año y la previsión de un ajuste a la baja en la trayectoria de la inflación para el próximo año, que permita administrar de manera eficiente los servicios públicos municipales y a la vez cuidar la economía de la población aún por los efectos de la pandemia y por los altos niveles inflacionarios, manteniendo el equilibrio presupuesta! y la responsabilidad hacendaria, la recomendación que fue aprobada por esta Comisión de Hacienda y Fiscalización para el porcentaje de ajuste en las iniciativas de leyes de ingresos municipales para el ejercicio fiscal 2023, fue del 5%.</w:t>
      </w:r>
    </w:p>
    <w:p w14:paraId="55808A6E" w14:textId="77777777" w:rsidR="00E81330" w:rsidRPr="00E81330" w:rsidRDefault="00E81330" w:rsidP="00E81330">
      <w:pPr>
        <w:autoSpaceDE w:val="0"/>
        <w:autoSpaceDN w:val="0"/>
        <w:adjustRightInd w:val="0"/>
        <w:jc w:val="both"/>
        <w:rPr>
          <w:rFonts w:ascii="Abadi" w:eastAsiaTheme="minorHAnsi" w:hAnsi="Abadi" w:cs="*Verdana-8754-Identity-H"/>
          <w:color w:val="141414"/>
          <w:sz w:val="21"/>
          <w:szCs w:val="21"/>
          <w:lang w:val="es-MX" w:eastAsia="en-US"/>
        </w:rPr>
      </w:pPr>
    </w:p>
    <w:p w14:paraId="3F4B9134" w14:textId="77777777" w:rsidR="00E81330" w:rsidRPr="00E81330" w:rsidRDefault="00E81330" w:rsidP="00E81330">
      <w:pPr>
        <w:autoSpaceDE w:val="0"/>
        <w:autoSpaceDN w:val="0"/>
        <w:adjustRightInd w:val="0"/>
        <w:jc w:val="both"/>
        <w:rPr>
          <w:rFonts w:ascii="Abadi" w:eastAsiaTheme="minorHAnsi" w:hAnsi="Abadi" w:cs="*Verdana-8754-Identity-H"/>
          <w:color w:val="141414"/>
          <w:sz w:val="21"/>
          <w:szCs w:val="21"/>
          <w:lang w:val="es-MX" w:eastAsia="en-US"/>
        </w:rPr>
      </w:pPr>
      <w:r w:rsidRPr="00E81330">
        <w:rPr>
          <w:rFonts w:ascii="Abadi" w:eastAsiaTheme="minorHAnsi" w:hAnsi="Abadi" w:cs="*Verdana-8754-Identity-H"/>
          <w:color w:val="141414"/>
          <w:sz w:val="21"/>
          <w:szCs w:val="21"/>
          <w:lang w:val="es-MX" w:eastAsia="en-US"/>
        </w:rPr>
        <w:tab/>
        <w:t>Aunado a lo anterior, y atendiendo a las disposiciones de la Ley de Disciplina Financiera de las Entidades Federativas y los Municipios y al espíritu de austeridad, racionalidad y disciplina presupuesta!, establecido en la Ley para el Ejercicio y Control de los Recursos Públicos para el Estado y los Municipios de Guanajuato, se determina recomendar que el porcentaje de crecimiento en el gasto en servicios personales para el ejercicio fiscal 2023 se base en las estimaciones realizadas por parte de la Secretaría de Hacienda y Crédito Público en los Criterios Generales de Política Económica 2023.</w:t>
      </w:r>
    </w:p>
    <w:p w14:paraId="510E504E" w14:textId="77777777" w:rsidR="00E81330" w:rsidRPr="00E81330" w:rsidRDefault="00E81330" w:rsidP="00E81330">
      <w:pPr>
        <w:autoSpaceDE w:val="0"/>
        <w:autoSpaceDN w:val="0"/>
        <w:adjustRightInd w:val="0"/>
        <w:jc w:val="both"/>
        <w:rPr>
          <w:rFonts w:ascii="Abadi" w:eastAsiaTheme="minorHAnsi" w:hAnsi="Abadi" w:cs="*Verdana-8754-Identity-H"/>
          <w:color w:val="151515"/>
          <w:sz w:val="21"/>
          <w:szCs w:val="21"/>
          <w:lang w:val="es-MX" w:eastAsia="en-US"/>
        </w:rPr>
      </w:pPr>
    </w:p>
    <w:p w14:paraId="2D2BA710" w14:textId="77777777" w:rsidR="00E81330" w:rsidRPr="00E81330" w:rsidRDefault="00E81330" w:rsidP="00E81330">
      <w:pPr>
        <w:autoSpaceDE w:val="0"/>
        <w:autoSpaceDN w:val="0"/>
        <w:adjustRightInd w:val="0"/>
        <w:jc w:val="both"/>
        <w:rPr>
          <w:rFonts w:ascii="Abadi" w:eastAsiaTheme="minorHAnsi" w:hAnsi="Abadi" w:cs="*Verdana-8754-Identity-H"/>
          <w:color w:val="151515"/>
          <w:sz w:val="21"/>
          <w:szCs w:val="21"/>
          <w:lang w:val="es-MX" w:eastAsia="en-US"/>
        </w:rPr>
      </w:pPr>
      <w:r w:rsidRPr="00E81330">
        <w:rPr>
          <w:rFonts w:ascii="Abadi" w:eastAsiaTheme="minorHAnsi" w:hAnsi="Abadi" w:cs="*Verdana-8754-Identity-H"/>
          <w:color w:val="151515"/>
          <w:sz w:val="21"/>
          <w:szCs w:val="21"/>
          <w:lang w:val="es-MX" w:eastAsia="en-US"/>
        </w:rPr>
        <w:tab/>
        <w:t>Es así como el Congreso del Estado en este ejercicio debe considerar como un factor porcentual adecuado para la actualización de los montos, atendiendo a un sentido de congruencia y objetividad en su alcance, el 5% sobre lo recomendado para 2022, considerando las expectativas de la Secretaría de Hacienda y Crédito Público sobre la economía para el ejercicio fiscal 2023.</w:t>
      </w:r>
    </w:p>
    <w:p w14:paraId="7EB4EBC6" w14:textId="77777777" w:rsidR="00E81330" w:rsidRPr="00E81330" w:rsidRDefault="00E81330" w:rsidP="00E81330">
      <w:pPr>
        <w:autoSpaceDE w:val="0"/>
        <w:autoSpaceDN w:val="0"/>
        <w:adjustRightInd w:val="0"/>
        <w:jc w:val="both"/>
        <w:rPr>
          <w:rFonts w:ascii="Abadi" w:eastAsiaTheme="minorHAnsi" w:hAnsi="Abadi" w:cs="*Verdana-Bold-8755-Identity-H"/>
          <w:b/>
          <w:bCs/>
          <w:color w:val="131413"/>
          <w:sz w:val="21"/>
          <w:szCs w:val="21"/>
          <w:lang w:val="es-MX" w:eastAsia="en-US"/>
        </w:rPr>
      </w:pPr>
    </w:p>
    <w:p w14:paraId="7DC5F865" w14:textId="77777777" w:rsidR="00E81330" w:rsidRPr="00E81330" w:rsidRDefault="00E81330" w:rsidP="00E81330">
      <w:pPr>
        <w:numPr>
          <w:ilvl w:val="0"/>
          <w:numId w:val="31"/>
        </w:numPr>
        <w:autoSpaceDE w:val="0"/>
        <w:autoSpaceDN w:val="0"/>
        <w:adjustRightInd w:val="0"/>
        <w:spacing w:after="160" w:line="259" w:lineRule="auto"/>
        <w:contextualSpacing/>
        <w:jc w:val="both"/>
        <w:rPr>
          <w:rFonts w:ascii="Abadi" w:eastAsiaTheme="minorHAnsi" w:hAnsi="Abadi" w:cs="*Verdana-Bold-8755-Identity-H"/>
          <w:b/>
          <w:bCs/>
          <w:color w:val="131413"/>
          <w:sz w:val="21"/>
          <w:szCs w:val="21"/>
          <w:lang w:val="es-MX" w:eastAsia="en-US"/>
        </w:rPr>
      </w:pPr>
      <w:r w:rsidRPr="00E81330">
        <w:rPr>
          <w:rFonts w:ascii="Abadi" w:eastAsiaTheme="minorHAnsi" w:hAnsi="Abadi" w:cs="*Verdana-Bold-8755-Identity-H"/>
          <w:b/>
          <w:bCs/>
          <w:color w:val="131413"/>
          <w:sz w:val="21"/>
          <w:szCs w:val="21"/>
          <w:lang w:val="es-MX" w:eastAsia="en-US"/>
        </w:rPr>
        <w:t>Consideraciones finales</w:t>
      </w:r>
    </w:p>
    <w:p w14:paraId="2ED7496E" w14:textId="77777777" w:rsidR="00E81330" w:rsidRPr="00E81330" w:rsidRDefault="00E81330" w:rsidP="00E81330">
      <w:pPr>
        <w:autoSpaceDE w:val="0"/>
        <w:autoSpaceDN w:val="0"/>
        <w:adjustRightInd w:val="0"/>
        <w:jc w:val="both"/>
        <w:rPr>
          <w:rFonts w:ascii="Abadi" w:eastAsiaTheme="minorHAnsi" w:hAnsi="Abadi" w:cs="*Verdana-8754-Identity-H"/>
          <w:color w:val="141414"/>
          <w:sz w:val="21"/>
          <w:szCs w:val="21"/>
          <w:lang w:val="es-MX" w:eastAsia="en-US"/>
        </w:rPr>
      </w:pPr>
    </w:p>
    <w:p w14:paraId="1428DBDA" w14:textId="77777777" w:rsidR="00E81330" w:rsidRPr="00E81330" w:rsidRDefault="00E81330" w:rsidP="00E81330">
      <w:pPr>
        <w:autoSpaceDE w:val="0"/>
        <w:autoSpaceDN w:val="0"/>
        <w:adjustRightInd w:val="0"/>
        <w:jc w:val="both"/>
        <w:rPr>
          <w:rFonts w:ascii="Abadi" w:eastAsiaTheme="minorHAnsi" w:hAnsi="Abadi" w:cs="*Verdana-8754-Identity-H"/>
          <w:color w:val="141414"/>
          <w:sz w:val="21"/>
          <w:szCs w:val="21"/>
          <w:lang w:val="es-MX" w:eastAsia="en-US"/>
        </w:rPr>
      </w:pPr>
      <w:r w:rsidRPr="00E81330">
        <w:rPr>
          <w:rFonts w:ascii="Abadi" w:eastAsiaTheme="minorHAnsi" w:hAnsi="Abadi" w:cs="*Verdana-8754-Identity-H"/>
          <w:color w:val="141414"/>
          <w:sz w:val="21"/>
          <w:szCs w:val="21"/>
          <w:lang w:val="es-MX" w:eastAsia="en-US"/>
        </w:rPr>
        <w:tab/>
        <w:t xml:space="preserve">El Congreso del Estado refrenda su pleno respeto y reconocimiento a los municipios en el ejercicio de sus potestades en materia presupuestaria, y en ninguna circunstancia se asumirá en la hoy exclusiva competencia municipal, ni mucho menos impondrá cargas o directrices al gasto público, más allá de lo que le faculte la ley. </w:t>
      </w:r>
    </w:p>
    <w:p w14:paraId="7E86FA55" w14:textId="77777777" w:rsidR="00E81330" w:rsidRPr="00E81330" w:rsidRDefault="00E81330" w:rsidP="00E81330">
      <w:pPr>
        <w:autoSpaceDE w:val="0"/>
        <w:autoSpaceDN w:val="0"/>
        <w:adjustRightInd w:val="0"/>
        <w:jc w:val="both"/>
        <w:rPr>
          <w:rFonts w:ascii="Abadi" w:eastAsiaTheme="minorHAnsi" w:hAnsi="Abadi" w:cs="*Verdana-8754-Identity-H"/>
          <w:color w:val="141414"/>
          <w:sz w:val="21"/>
          <w:szCs w:val="21"/>
          <w:lang w:val="es-MX" w:eastAsia="en-US"/>
        </w:rPr>
      </w:pPr>
    </w:p>
    <w:p w14:paraId="1B3E7B4D" w14:textId="77777777" w:rsidR="00E81330" w:rsidRPr="00E81330" w:rsidRDefault="00E81330" w:rsidP="00E81330">
      <w:pPr>
        <w:autoSpaceDE w:val="0"/>
        <w:autoSpaceDN w:val="0"/>
        <w:adjustRightInd w:val="0"/>
        <w:jc w:val="both"/>
        <w:rPr>
          <w:rFonts w:ascii="Abadi" w:eastAsiaTheme="minorHAnsi" w:hAnsi="Abadi" w:cs="*Verdana-8754-Identity-H"/>
          <w:color w:val="141414"/>
          <w:sz w:val="21"/>
          <w:szCs w:val="21"/>
          <w:lang w:val="es-MX" w:eastAsia="en-US"/>
        </w:rPr>
      </w:pPr>
      <w:r w:rsidRPr="00E81330">
        <w:rPr>
          <w:rFonts w:ascii="Abadi" w:eastAsiaTheme="minorHAnsi" w:hAnsi="Abadi" w:cs="*Verdana-8754-Identity-H"/>
          <w:color w:val="141414"/>
          <w:sz w:val="21"/>
          <w:szCs w:val="21"/>
          <w:lang w:val="es-MX" w:eastAsia="en-US"/>
        </w:rPr>
        <w:tab/>
        <w:t>No obstante, la recomendación que se propone tiene por objetivo coadyuvar a que las remuneraciones que se fijen para los integrantes de los ayuntamientos se ciñan a los criterios de racionalidad, austeridad, disciplina del gasto público.</w:t>
      </w:r>
    </w:p>
    <w:p w14:paraId="470D0C85" w14:textId="77777777" w:rsidR="00E81330" w:rsidRPr="00E81330" w:rsidRDefault="00E81330" w:rsidP="00E81330">
      <w:pPr>
        <w:autoSpaceDE w:val="0"/>
        <w:autoSpaceDN w:val="0"/>
        <w:adjustRightInd w:val="0"/>
        <w:jc w:val="both"/>
        <w:rPr>
          <w:rFonts w:ascii="Abadi" w:eastAsiaTheme="minorHAnsi" w:hAnsi="Abadi" w:cs="*Minion Pro-Bold-8327-Identity-"/>
          <w:b/>
          <w:bCs/>
          <w:color w:val="212121"/>
          <w:sz w:val="21"/>
          <w:szCs w:val="21"/>
          <w:lang w:val="es-MX" w:eastAsia="en-US"/>
        </w:rPr>
      </w:pPr>
    </w:p>
    <w:p w14:paraId="5AA61219" w14:textId="77777777" w:rsidR="00E81330" w:rsidRPr="00E81330" w:rsidRDefault="00E81330" w:rsidP="00E81330">
      <w:pPr>
        <w:autoSpaceDE w:val="0"/>
        <w:autoSpaceDN w:val="0"/>
        <w:adjustRightInd w:val="0"/>
        <w:jc w:val="both"/>
        <w:rPr>
          <w:rFonts w:ascii="Abadi" w:eastAsiaTheme="minorHAnsi" w:hAnsi="Abadi" w:cs="*Verdana-8324-Identity-H"/>
          <w:color w:val="191919"/>
          <w:sz w:val="21"/>
          <w:szCs w:val="21"/>
          <w:lang w:val="es-MX" w:eastAsia="en-US"/>
        </w:rPr>
      </w:pPr>
      <w:r w:rsidRPr="00E81330">
        <w:rPr>
          <w:rFonts w:ascii="Abadi" w:eastAsiaTheme="minorHAnsi" w:hAnsi="Abadi" w:cs="*Verdana-8324-Identity-H"/>
          <w:color w:val="191919"/>
          <w:sz w:val="21"/>
          <w:szCs w:val="21"/>
          <w:lang w:val="es-MX" w:eastAsia="en-US"/>
        </w:rPr>
        <w:tab/>
        <w:t>Para tal efecto, como ya lo señalamos previamente para la formulación de la presente recomendación partimos del estudio realizado para el ejercicio fiscal 2022, en el que se analizaron variables preponderantemente objetivas íntimamente relacionadas con los principios que establece la Ley Orgánica Municipal para el Estado de Guanajuato para la determinación de las remuneraciones de los integrantes de los ayuntamientos, con el apoyo de herramientas de la valuación de puestos que sugiere la técnica de la administración de sueldos y salarios.</w:t>
      </w:r>
    </w:p>
    <w:p w14:paraId="3011235F" w14:textId="77777777" w:rsidR="00E81330" w:rsidRPr="00E81330" w:rsidRDefault="00E81330" w:rsidP="00E81330">
      <w:pPr>
        <w:autoSpaceDE w:val="0"/>
        <w:autoSpaceDN w:val="0"/>
        <w:adjustRightInd w:val="0"/>
        <w:jc w:val="both"/>
        <w:rPr>
          <w:rFonts w:ascii="Abadi" w:eastAsiaTheme="minorHAnsi" w:hAnsi="Abadi" w:cs="*Verdana-8324-Identity-H"/>
          <w:color w:val="191919"/>
          <w:sz w:val="21"/>
          <w:szCs w:val="21"/>
          <w:lang w:val="es-MX" w:eastAsia="en-US"/>
        </w:rPr>
      </w:pPr>
    </w:p>
    <w:p w14:paraId="1C86C8A2" w14:textId="77777777" w:rsidR="00E81330" w:rsidRPr="00E81330" w:rsidRDefault="00E81330" w:rsidP="00E81330">
      <w:pPr>
        <w:autoSpaceDE w:val="0"/>
        <w:autoSpaceDN w:val="0"/>
        <w:adjustRightInd w:val="0"/>
        <w:jc w:val="both"/>
        <w:rPr>
          <w:rFonts w:ascii="Abadi" w:eastAsiaTheme="minorHAnsi" w:hAnsi="Abadi" w:cs="*Verdana-8324-Identity-H"/>
          <w:color w:val="191919"/>
          <w:sz w:val="21"/>
          <w:szCs w:val="21"/>
          <w:lang w:val="es-MX" w:eastAsia="en-US"/>
        </w:rPr>
      </w:pPr>
      <w:r w:rsidRPr="00E81330">
        <w:rPr>
          <w:rFonts w:ascii="Abadi" w:eastAsiaTheme="minorHAnsi" w:hAnsi="Abadi" w:cs="*Verdana-8324-Identity-H"/>
          <w:color w:val="191919"/>
          <w:sz w:val="21"/>
          <w:szCs w:val="21"/>
          <w:lang w:val="es-MX" w:eastAsia="en-US"/>
        </w:rPr>
        <w:tab/>
        <w:t>Con base en lo anterior, los montos de las remuneraciones de los integrantes de los ayuntamientos recomendados para el siguiente ejercicio fiscal se actualizaron considerando las previsiones inflacionarias contempladas por el Banco de México y por la Secretaría de Hacienda y Crédito Público, atendiendo a lo dispuesto por el artículo 10 de la Ley de Disciplina Financiera para las Entidades Federativas y los Municipios. Lo cual también abona a transparentar el ejercicio del gasto público, al establecer una propuesta que puede ser considerada por los ayuntamientos del Estado en la determinación de las remuneraciones de quienes los integran.</w:t>
      </w:r>
    </w:p>
    <w:p w14:paraId="79CBAF83" w14:textId="77777777" w:rsidR="00E81330" w:rsidRPr="00E81330" w:rsidRDefault="00E81330" w:rsidP="00E81330">
      <w:pPr>
        <w:autoSpaceDE w:val="0"/>
        <w:autoSpaceDN w:val="0"/>
        <w:adjustRightInd w:val="0"/>
        <w:jc w:val="both"/>
        <w:rPr>
          <w:rFonts w:ascii="Abadi" w:eastAsiaTheme="minorHAnsi" w:hAnsi="Abadi" w:cs="*Verdana-Bold-8325-Identity-H"/>
          <w:b/>
          <w:bCs/>
          <w:color w:val="141414"/>
          <w:sz w:val="21"/>
          <w:szCs w:val="21"/>
          <w:lang w:val="es-MX" w:eastAsia="en-US"/>
        </w:rPr>
      </w:pPr>
    </w:p>
    <w:p w14:paraId="16192B6E" w14:textId="77777777" w:rsidR="00E81330" w:rsidRPr="00E81330" w:rsidRDefault="00E81330" w:rsidP="00E81330">
      <w:pPr>
        <w:autoSpaceDE w:val="0"/>
        <w:autoSpaceDN w:val="0"/>
        <w:adjustRightInd w:val="0"/>
        <w:jc w:val="both"/>
        <w:rPr>
          <w:rFonts w:ascii="Abadi" w:eastAsiaTheme="minorHAnsi" w:hAnsi="Abadi" w:cs="*Verdana-Bold-8325-Identity-H"/>
          <w:b/>
          <w:bCs/>
          <w:color w:val="141414"/>
          <w:sz w:val="21"/>
          <w:szCs w:val="21"/>
          <w:lang w:val="es-MX" w:eastAsia="en-US"/>
        </w:rPr>
      </w:pPr>
      <w:r w:rsidRPr="00E81330">
        <w:rPr>
          <w:rFonts w:ascii="Abadi" w:eastAsiaTheme="minorHAnsi" w:hAnsi="Abadi" w:cs="*Verdana-Bold-8325-Identity-H"/>
          <w:b/>
          <w:bCs/>
          <w:color w:val="141414"/>
          <w:sz w:val="21"/>
          <w:szCs w:val="21"/>
          <w:lang w:val="es-MX" w:eastAsia="en-US"/>
        </w:rPr>
        <w:tab/>
        <w:t>Exhorto a los ayuntamientos del Estado de Guanajuato</w:t>
      </w:r>
    </w:p>
    <w:p w14:paraId="5EA3D1BB" w14:textId="77777777" w:rsidR="00E81330" w:rsidRPr="00E81330" w:rsidRDefault="00E81330" w:rsidP="00E81330">
      <w:pPr>
        <w:autoSpaceDE w:val="0"/>
        <w:autoSpaceDN w:val="0"/>
        <w:adjustRightInd w:val="0"/>
        <w:jc w:val="both"/>
        <w:rPr>
          <w:rFonts w:ascii="Abadi" w:eastAsiaTheme="minorHAnsi" w:hAnsi="Abadi" w:cs="*Verdana-8324-Identity-H"/>
          <w:color w:val="1A1A1A"/>
          <w:sz w:val="21"/>
          <w:szCs w:val="21"/>
          <w:lang w:val="es-MX" w:eastAsia="en-US"/>
        </w:rPr>
      </w:pPr>
    </w:p>
    <w:p w14:paraId="4DB1EAAB" w14:textId="77777777" w:rsidR="00E81330" w:rsidRPr="00E81330" w:rsidRDefault="00E81330" w:rsidP="00E81330">
      <w:pPr>
        <w:autoSpaceDE w:val="0"/>
        <w:autoSpaceDN w:val="0"/>
        <w:adjustRightInd w:val="0"/>
        <w:jc w:val="both"/>
        <w:rPr>
          <w:rFonts w:ascii="Abadi" w:eastAsiaTheme="minorHAnsi" w:hAnsi="Abadi" w:cs="*Verdana-8324-Identity-H"/>
          <w:color w:val="1A1A1A"/>
          <w:sz w:val="21"/>
          <w:szCs w:val="21"/>
          <w:lang w:val="es-MX" w:eastAsia="en-US"/>
        </w:rPr>
      </w:pPr>
      <w:r w:rsidRPr="00E81330">
        <w:rPr>
          <w:rFonts w:ascii="Abadi" w:eastAsiaTheme="minorHAnsi" w:hAnsi="Abadi" w:cs="*Verdana-8324-Identity-H"/>
          <w:color w:val="1A1A1A"/>
          <w:sz w:val="21"/>
          <w:szCs w:val="21"/>
          <w:lang w:val="es-MX" w:eastAsia="en-US"/>
        </w:rPr>
        <w:tab/>
        <w:t>Nos encontramos en vísperas de la formulación de los presupuestos de egresos municipales para el ejercicio fiscal de 2023, en los que sin duda habrán de discutirse las prioridades que se le darán al gasto público. Es momento oportuno para convocarlos a la reflexión sobre el tema de las remuneraciones a las que por ley tienen derecho y que será parte de esa deliberación de su presupuesto de egresos 2023.</w:t>
      </w:r>
    </w:p>
    <w:p w14:paraId="3D848600" w14:textId="77777777" w:rsidR="00E81330" w:rsidRPr="00E81330" w:rsidRDefault="00E81330" w:rsidP="00E81330">
      <w:pPr>
        <w:autoSpaceDE w:val="0"/>
        <w:autoSpaceDN w:val="0"/>
        <w:adjustRightInd w:val="0"/>
        <w:jc w:val="both"/>
        <w:rPr>
          <w:rFonts w:ascii="Abadi" w:eastAsiaTheme="minorHAnsi" w:hAnsi="Abadi" w:cs="*Verdana-8324-Identity-H"/>
          <w:color w:val="171717"/>
          <w:sz w:val="21"/>
          <w:szCs w:val="21"/>
          <w:lang w:val="es-MX" w:eastAsia="en-US"/>
        </w:rPr>
      </w:pPr>
    </w:p>
    <w:p w14:paraId="20158CB6" w14:textId="77777777" w:rsidR="00E81330" w:rsidRPr="00E81330" w:rsidRDefault="00E81330" w:rsidP="00E81330">
      <w:pPr>
        <w:autoSpaceDE w:val="0"/>
        <w:autoSpaceDN w:val="0"/>
        <w:adjustRightInd w:val="0"/>
        <w:jc w:val="both"/>
        <w:rPr>
          <w:rFonts w:ascii="Abadi" w:eastAsiaTheme="minorHAnsi" w:hAnsi="Abadi" w:cs="*Verdana-8324-Identity-H"/>
          <w:color w:val="171717"/>
          <w:sz w:val="21"/>
          <w:szCs w:val="21"/>
          <w:lang w:val="es-MX" w:eastAsia="en-US"/>
        </w:rPr>
      </w:pPr>
      <w:r w:rsidRPr="00E81330">
        <w:rPr>
          <w:rFonts w:ascii="Abadi" w:eastAsiaTheme="minorHAnsi" w:hAnsi="Abadi" w:cs="*Verdana-8324-Identity-H"/>
          <w:color w:val="171717"/>
          <w:sz w:val="21"/>
          <w:szCs w:val="21"/>
          <w:lang w:val="es-MX" w:eastAsia="en-US"/>
        </w:rPr>
        <w:tab/>
        <w:t>No dudamos que las administraciones municipales implementarán políticas internas de racionalidad y austeridad del gasto público, orientando en mayor medida su aplicación a la prestación de los servicios públicos.</w:t>
      </w:r>
    </w:p>
    <w:p w14:paraId="75C3EC5E" w14:textId="77777777" w:rsidR="00E81330" w:rsidRPr="00E81330" w:rsidRDefault="00E81330" w:rsidP="00E81330">
      <w:pPr>
        <w:autoSpaceDE w:val="0"/>
        <w:autoSpaceDN w:val="0"/>
        <w:adjustRightInd w:val="0"/>
        <w:jc w:val="both"/>
        <w:rPr>
          <w:rFonts w:ascii="Abadi" w:eastAsiaTheme="minorHAnsi" w:hAnsi="Abadi" w:cs="*Verdana-8324-Identity-H"/>
          <w:color w:val="1A1A1A"/>
          <w:sz w:val="21"/>
          <w:szCs w:val="21"/>
          <w:lang w:val="es-MX" w:eastAsia="en-US"/>
        </w:rPr>
      </w:pPr>
    </w:p>
    <w:p w14:paraId="784FD293" w14:textId="77777777" w:rsidR="00E81330" w:rsidRPr="00E81330" w:rsidRDefault="00E81330" w:rsidP="00E81330">
      <w:pPr>
        <w:autoSpaceDE w:val="0"/>
        <w:autoSpaceDN w:val="0"/>
        <w:adjustRightInd w:val="0"/>
        <w:jc w:val="both"/>
        <w:rPr>
          <w:rFonts w:ascii="Abadi" w:eastAsiaTheme="minorHAnsi" w:hAnsi="Abadi" w:cs="*Verdana-8324-Identity-H"/>
          <w:color w:val="1A1A1A"/>
          <w:sz w:val="21"/>
          <w:szCs w:val="21"/>
          <w:lang w:val="es-MX" w:eastAsia="en-US"/>
        </w:rPr>
      </w:pPr>
      <w:r w:rsidRPr="00E81330">
        <w:rPr>
          <w:rFonts w:ascii="Abadi" w:eastAsiaTheme="minorHAnsi" w:hAnsi="Abadi" w:cs="*Verdana-8324-Identity-H"/>
          <w:color w:val="1A1A1A"/>
          <w:sz w:val="21"/>
          <w:szCs w:val="21"/>
          <w:lang w:val="es-MX" w:eastAsia="en-US"/>
        </w:rPr>
        <w:tab/>
        <w:t>Estamos convencidos que el próximo año arrancarán su gestión con una visión social, superando prácticas que pudiesen lesionar a los gobernados.</w:t>
      </w:r>
    </w:p>
    <w:p w14:paraId="294E3821" w14:textId="77777777" w:rsidR="00E81330" w:rsidRPr="00E81330" w:rsidRDefault="00E81330" w:rsidP="00E81330">
      <w:pPr>
        <w:autoSpaceDE w:val="0"/>
        <w:autoSpaceDN w:val="0"/>
        <w:adjustRightInd w:val="0"/>
        <w:jc w:val="both"/>
        <w:rPr>
          <w:rFonts w:ascii="Abadi" w:eastAsiaTheme="minorHAnsi" w:hAnsi="Abadi" w:cs="*Verdana-8324-Identity-H"/>
          <w:color w:val="1A1A1A"/>
          <w:sz w:val="21"/>
          <w:szCs w:val="21"/>
          <w:lang w:val="es-MX" w:eastAsia="en-US"/>
        </w:rPr>
      </w:pPr>
    </w:p>
    <w:p w14:paraId="38CC2507" w14:textId="77777777" w:rsidR="00E81330" w:rsidRPr="00E81330" w:rsidRDefault="00E81330" w:rsidP="00E81330">
      <w:pPr>
        <w:autoSpaceDE w:val="0"/>
        <w:autoSpaceDN w:val="0"/>
        <w:adjustRightInd w:val="0"/>
        <w:jc w:val="both"/>
        <w:rPr>
          <w:rFonts w:ascii="Abadi" w:eastAsiaTheme="minorHAnsi" w:hAnsi="Abadi" w:cs="*Verdana-8324-Identity-H"/>
          <w:color w:val="191919"/>
          <w:sz w:val="21"/>
          <w:szCs w:val="21"/>
          <w:lang w:val="es-MX" w:eastAsia="en-US"/>
        </w:rPr>
      </w:pPr>
      <w:r w:rsidRPr="00E81330">
        <w:rPr>
          <w:rFonts w:ascii="Abadi" w:eastAsiaTheme="minorHAnsi" w:hAnsi="Abadi" w:cs="*Verdana-8324-Identity-H"/>
          <w:color w:val="191919"/>
          <w:sz w:val="21"/>
          <w:szCs w:val="21"/>
          <w:lang w:val="es-MX" w:eastAsia="en-US"/>
        </w:rPr>
        <w:tab/>
        <w:t>Por ello, la invitación a los ayuntamientos, que a la fecha se han mantenido por debajo de la recomendación legislativa en materia de remuneraciones, para que continúen con dicha política pública.</w:t>
      </w:r>
    </w:p>
    <w:p w14:paraId="0AB54B9F" w14:textId="77777777" w:rsidR="00E81330" w:rsidRPr="00E81330" w:rsidRDefault="00E81330" w:rsidP="00E81330">
      <w:pPr>
        <w:autoSpaceDE w:val="0"/>
        <w:autoSpaceDN w:val="0"/>
        <w:adjustRightInd w:val="0"/>
        <w:jc w:val="both"/>
        <w:rPr>
          <w:rFonts w:ascii="Abadi" w:eastAsiaTheme="minorHAnsi" w:hAnsi="Abadi" w:cs="*Verdana-8324-Identity-H"/>
          <w:color w:val="181818"/>
          <w:sz w:val="21"/>
          <w:szCs w:val="21"/>
          <w:lang w:val="es-MX" w:eastAsia="en-US"/>
        </w:rPr>
      </w:pPr>
    </w:p>
    <w:p w14:paraId="6822D093" w14:textId="77777777" w:rsidR="00E81330" w:rsidRPr="00E81330" w:rsidRDefault="00E81330" w:rsidP="00E81330">
      <w:pPr>
        <w:autoSpaceDE w:val="0"/>
        <w:autoSpaceDN w:val="0"/>
        <w:adjustRightInd w:val="0"/>
        <w:jc w:val="both"/>
        <w:rPr>
          <w:rFonts w:ascii="Abadi" w:eastAsiaTheme="minorHAnsi" w:hAnsi="Abadi" w:cs="*Verdana-8324-Identity-H"/>
          <w:color w:val="181818"/>
          <w:sz w:val="21"/>
          <w:szCs w:val="21"/>
          <w:lang w:val="es-MX" w:eastAsia="en-US"/>
        </w:rPr>
      </w:pPr>
      <w:r w:rsidRPr="00E81330">
        <w:rPr>
          <w:rFonts w:ascii="Abadi" w:eastAsiaTheme="minorHAnsi" w:hAnsi="Abadi" w:cs="*Verdana-8324-Identity-H"/>
          <w:color w:val="181818"/>
          <w:sz w:val="21"/>
          <w:szCs w:val="21"/>
          <w:lang w:val="es-MX" w:eastAsia="en-US"/>
        </w:rPr>
        <w:tab/>
        <w:t>Esa actitud demuestra la vocación de serv1c10 que los honra y distingue, priorizando el interés colectivo sobre su legítimo derecho económico. Postura que esperamos se confirme en la aprobación de sus presupuestos, y que, sin duda alguna, los hará acreedores al reconocimiento de sus gobernados.</w:t>
      </w:r>
    </w:p>
    <w:p w14:paraId="1AA891FD" w14:textId="77777777" w:rsidR="00E81330" w:rsidRPr="00E81330" w:rsidRDefault="00E81330" w:rsidP="00E81330">
      <w:pPr>
        <w:autoSpaceDE w:val="0"/>
        <w:autoSpaceDN w:val="0"/>
        <w:adjustRightInd w:val="0"/>
        <w:jc w:val="both"/>
        <w:rPr>
          <w:rFonts w:ascii="Abadi" w:eastAsiaTheme="minorHAnsi" w:hAnsi="Abadi" w:cs="*Minion Pro-Bold-8526-Identity-"/>
          <w:b/>
          <w:bCs/>
          <w:color w:val="171717"/>
          <w:sz w:val="21"/>
          <w:szCs w:val="21"/>
          <w:lang w:val="es-MX" w:eastAsia="en-US"/>
        </w:rPr>
      </w:pPr>
    </w:p>
    <w:p w14:paraId="4FF550AE"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r w:rsidRPr="00E81330">
        <w:rPr>
          <w:rFonts w:ascii="Abadi" w:eastAsiaTheme="minorHAnsi" w:hAnsi="Abadi" w:cs="*Verdana-8524-Identity-H"/>
          <w:color w:val="141414"/>
          <w:sz w:val="21"/>
          <w:szCs w:val="21"/>
          <w:lang w:val="es-MX" w:eastAsia="en-US"/>
        </w:rPr>
        <w:tab/>
        <w:t>No olvidemos que quienes tenemos el privilegio de asumir un cargo de elección popular, aceptamos el mandato de la ciudadanía que nos compromete a servirlos sin condición alguna, de manera pieria; en estas circunstancias, los criterios de austeridad que se aplican en los ayuntamientos para sus integrantes resultan de elevado reconocimiento y ejemplo para el sector público.</w:t>
      </w:r>
    </w:p>
    <w:p w14:paraId="1124FEC7" w14:textId="77777777" w:rsidR="00E81330" w:rsidRPr="00E81330" w:rsidRDefault="00E81330" w:rsidP="00E81330">
      <w:pPr>
        <w:autoSpaceDE w:val="0"/>
        <w:autoSpaceDN w:val="0"/>
        <w:adjustRightInd w:val="0"/>
        <w:jc w:val="both"/>
        <w:rPr>
          <w:rFonts w:ascii="Abadi" w:eastAsiaTheme="minorHAnsi" w:hAnsi="Abadi" w:cs="*Verdana-8524-Identity-H"/>
          <w:color w:val="151515"/>
          <w:sz w:val="21"/>
          <w:szCs w:val="21"/>
          <w:lang w:val="es-MX" w:eastAsia="en-US"/>
        </w:rPr>
      </w:pPr>
    </w:p>
    <w:p w14:paraId="534ECA6B" w14:textId="77777777" w:rsidR="00E81330" w:rsidRPr="00E81330" w:rsidRDefault="00E81330" w:rsidP="00E81330">
      <w:pPr>
        <w:autoSpaceDE w:val="0"/>
        <w:autoSpaceDN w:val="0"/>
        <w:adjustRightInd w:val="0"/>
        <w:jc w:val="both"/>
        <w:rPr>
          <w:rFonts w:ascii="Abadi" w:eastAsiaTheme="minorHAnsi" w:hAnsi="Abadi" w:cs="*Verdana-8524-Identity-H"/>
          <w:color w:val="151515"/>
          <w:sz w:val="21"/>
          <w:szCs w:val="21"/>
          <w:lang w:val="es-MX" w:eastAsia="en-US"/>
        </w:rPr>
      </w:pPr>
      <w:r w:rsidRPr="00E81330">
        <w:rPr>
          <w:rFonts w:ascii="Abadi" w:eastAsiaTheme="minorHAnsi" w:hAnsi="Abadi" w:cs="*Verdana-8524-Identity-H"/>
          <w:color w:val="151515"/>
          <w:sz w:val="21"/>
          <w:szCs w:val="21"/>
          <w:lang w:val="es-MX" w:eastAsia="en-US"/>
        </w:rPr>
        <w:tab/>
        <w:t>Por otro lado, no dudamos que los ayuntamientos que se encuentran con una percepción que supera cuantitativamente el monto de la remuneración que sugiere el Congreso del Estado, reconsiderarán, en beneficio de la sociedad tal prestación, implementando desde la sede misma del Ayuntamiento las políticas conducentes de austeridad y racionalidad para el año 2023.</w:t>
      </w:r>
    </w:p>
    <w:p w14:paraId="10B85892"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p>
    <w:p w14:paraId="0B2A8985"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r w:rsidRPr="00E81330">
        <w:rPr>
          <w:rFonts w:ascii="Abadi" w:eastAsiaTheme="minorHAnsi" w:hAnsi="Abadi" w:cs="*Verdana-8524-Identity-H"/>
          <w:color w:val="141414"/>
          <w:sz w:val="21"/>
          <w:szCs w:val="21"/>
          <w:lang w:val="es-MX" w:eastAsia="en-US"/>
        </w:rPr>
        <w:tab/>
        <w:t>Por otra parte, el cumplimiento de los Objetivos del Desarrollo Sostenible de la Agenda 2030 está presente en la propuesta que se pone a su consideración, pues la misma incide en el objetivo 16, denominado Paz, Justicia e Instituciones Sólidas, respecto a la meta 16.6, Crear a todos los niveles instituciones eficaces y transparentes que rindan cuentas. Lo anterior, en atención a que la recomendación que se propone coadyuva a que exista transparencia en la aplicación de los recursos públicos, de manera específica, aquellos destinados a las percepciones de los integrantes de los ayuntamientos.</w:t>
      </w:r>
    </w:p>
    <w:p w14:paraId="79EA7ACB"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p>
    <w:p w14:paraId="3375C8E4"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r w:rsidRPr="00E81330">
        <w:rPr>
          <w:rFonts w:ascii="Abadi" w:eastAsiaTheme="minorHAnsi" w:hAnsi="Abadi" w:cs="*Verdana-8524-Identity-H"/>
          <w:color w:val="141414"/>
          <w:sz w:val="21"/>
          <w:szCs w:val="21"/>
          <w:lang w:val="es-MX" w:eastAsia="en-US"/>
        </w:rPr>
        <w:tab/>
        <w:t>Finalmente, considerando el plazo que prevé la Ley para el Ejercicio y Control de los Recursos Públicos para el Estado y los Municipios de Guanajuato y con fundamento en lo dispuesto por el artículo 177 de la Ley Orgánica del Poder Legislativo del Estado de Guanajuato, solicitamos que la presente propuesta de acuerdo reciba el trámite de obvia resolución. Por lo anteriormente expuesto, sometemos a consideración de la Asamblea la aprobación del siguiente:</w:t>
      </w:r>
    </w:p>
    <w:p w14:paraId="48A89224" w14:textId="77777777" w:rsidR="00E81330" w:rsidRPr="00E81330" w:rsidRDefault="00E81330" w:rsidP="00E81330">
      <w:pPr>
        <w:autoSpaceDE w:val="0"/>
        <w:autoSpaceDN w:val="0"/>
        <w:adjustRightInd w:val="0"/>
        <w:jc w:val="both"/>
        <w:rPr>
          <w:rFonts w:ascii="Abadi" w:eastAsiaTheme="minorHAnsi" w:hAnsi="Abadi" w:cs="*Verdana-Bold-8525-Identity-H"/>
          <w:b/>
          <w:bCs/>
          <w:color w:val="151515"/>
          <w:sz w:val="21"/>
          <w:szCs w:val="21"/>
          <w:lang w:val="es-MX" w:eastAsia="en-US"/>
        </w:rPr>
      </w:pPr>
    </w:p>
    <w:p w14:paraId="05FB5B94" w14:textId="77777777" w:rsidR="00E81330" w:rsidRPr="00E81330" w:rsidRDefault="00E81330" w:rsidP="00E81330">
      <w:pPr>
        <w:autoSpaceDE w:val="0"/>
        <w:autoSpaceDN w:val="0"/>
        <w:adjustRightInd w:val="0"/>
        <w:jc w:val="center"/>
        <w:rPr>
          <w:rFonts w:ascii="Abadi" w:eastAsiaTheme="minorHAnsi" w:hAnsi="Abadi" w:cs="*Verdana-Bold-8525-Identity-H"/>
          <w:b/>
          <w:bCs/>
          <w:color w:val="151515"/>
          <w:sz w:val="21"/>
          <w:szCs w:val="21"/>
          <w:lang w:val="es-MX" w:eastAsia="en-US"/>
        </w:rPr>
      </w:pPr>
      <w:r w:rsidRPr="00E81330">
        <w:rPr>
          <w:rFonts w:ascii="Abadi" w:eastAsiaTheme="minorHAnsi" w:hAnsi="Abadi" w:cs="*Verdana-Bold-8525-Identity-H"/>
          <w:b/>
          <w:bCs/>
          <w:color w:val="151515"/>
          <w:sz w:val="21"/>
          <w:szCs w:val="21"/>
          <w:lang w:val="es-MX" w:eastAsia="en-US"/>
        </w:rPr>
        <w:t>ACUERDO</w:t>
      </w:r>
    </w:p>
    <w:p w14:paraId="16F4F0D8" w14:textId="77777777" w:rsidR="00E81330" w:rsidRPr="00E81330" w:rsidRDefault="00E81330" w:rsidP="00E81330">
      <w:pPr>
        <w:autoSpaceDE w:val="0"/>
        <w:autoSpaceDN w:val="0"/>
        <w:adjustRightInd w:val="0"/>
        <w:jc w:val="both"/>
        <w:rPr>
          <w:rFonts w:ascii="Abadi" w:eastAsiaTheme="minorHAnsi" w:hAnsi="Abadi" w:cs="*Verdana-Bold-8525-Identity-H"/>
          <w:b/>
          <w:bCs/>
          <w:color w:val="141414"/>
          <w:sz w:val="21"/>
          <w:szCs w:val="21"/>
          <w:lang w:val="es-MX" w:eastAsia="en-US"/>
        </w:rPr>
      </w:pPr>
    </w:p>
    <w:p w14:paraId="4DC84B29"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r w:rsidRPr="00E81330">
        <w:rPr>
          <w:rFonts w:ascii="Abadi" w:eastAsiaTheme="minorHAnsi" w:hAnsi="Abadi" w:cs="*Verdana-Bold-8525-Identity-H"/>
          <w:b/>
          <w:bCs/>
          <w:color w:val="141414"/>
          <w:sz w:val="21"/>
          <w:szCs w:val="21"/>
          <w:lang w:val="es-MX" w:eastAsia="en-US"/>
        </w:rPr>
        <w:tab/>
        <w:t xml:space="preserve">Artículo Primero. </w:t>
      </w:r>
      <w:r w:rsidRPr="00E81330">
        <w:rPr>
          <w:rFonts w:ascii="Abadi" w:eastAsiaTheme="minorHAnsi" w:hAnsi="Abadi" w:cs="*Verdana-8524-Identity-H"/>
          <w:color w:val="141414"/>
          <w:sz w:val="21"/>
          <w:szCs w:val="21"/>
          <w:lang w:val="es-MX" w:eastAsia="en-US"/>
        </w:rPr>
        <w:t xml:space="preserve">De conformidad con lo dispuesto por el artículo 81 de la Ley para el Ejercicio y Control de los Recursos Públicos para el Estado y los Municipios de Guanajuato, y considerando los principios de racionalidad, austeridad y disciplina del gasto público; así como la situación socioeconómica de los municipios del Estado, la Sexagésima Quinta Legislatura del Congreso del Estado de Guanajuato formula la siguiente recomendación sobre los montos máximos de las remuneraciones de los integrantes de los ayuntamientos del Estado de Guanajuato para el ejercicio fiscal del año 2023: </w:t>
      </w:r>
    </w:p>
    <w:p w14:paraId="17F842AE"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p>
    <w:p w14:paraId="2A22DE6F"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p>
    <w:tbl>
      <w:tblPr>
        <w:tblStyle w:val="Tablaconcuadrcula1"/>
        <w:tblW w:w="0" w:type="auto"/>
        <w:tblLook w:val="04A0" w:firstRow="1" w:lastRow="0" w:firstColumn="1" w:lastColumn="0" w:noHBand="0" w:noVBand="1"/>
      </w:tblPr>
      <w:tblGrid>
        <w:gridCol w:w="4101"/>
      </w:tblGrid>
      <w:tr w:rsidR="00E81330" w:rsidRPr="00E81330" w14:paraId="37A86BE1" w14:textId="77777777" w:rsidTr="000C51A7">
        <w:tc>
          <w:tcPr>
            <w:tcW w:w="8828" w:type="dxa"/>
          </w:tcPr>
          <w:p w14:paraId="16BC1E45" w14:textId="77777777" w:rsidR="00E81330" w:rsidRPr="00E81330" w:rsidRDefault="00E81330" w:rsidP="00E81330">
            <w:pPr>
              <w:autoSpaceDE w:val="0"/>
              <w:autoSpaceDN w:val="0"/>
              <w:adjustRightInd w:val="0"/>
              <w:jc w:val="center"/>
              <w:rPr>
                <w:rFonts w:ascii="Abadi" w:eastAsiaTheme="minorHAnsi" w:hAnsi="Abadi" w:cs="*Verdana-Bold-5195-Identity-H"/>
                <w:b/>
                <w:bCs/>
                <w:color w:val="131313"/>
                <w:sz w:val="21"/>
                <w:szCs w:val="21"/>
                <w:lang w:val="es-MX" w:eastAsia="en-US"/>
              </w:rPr>
            </w:pPr>
            <w:r w:rsidRPr="00E81330">
              <w:rPr>
                <w:rFonts w:ascii="Abadi" w:eastAsiaTheme="minorHAnsi" w:hAnsi="Abadi" w:cs="*Verdana-Bold-5195-Identity-H"/>
                <w:b/>
                <w:bCs/>
                <w:color w:val="131313"/>
                <w:sz w:val="21"/>
                <w:szCs w:val="21"/>
                <w:lang w:val="es-MX" w:eastAsia="en-US"/>
              </w:rPr>
              <w:t>Recomendación de montos máximos brutos de las remuneraciones de los integrantes de los ayuntamientos ejercicio 2023</w:t>
            </w:r>
          </w:p>
          <w:p w14:paraId="49E1FDA8" w14:textId="77777777" w:rsidR="00E81330" w:rsidRPr="00E81330" w:rsidRDefault="00E81330" w:rsidP="00E81330">
            <w:pPr>
              <w:autoSpaceDE w:val="0"/>
              <w:autoSpaceDN w:val="0"/>
              <w:adjustRightInd w:val="0"/>
              <w:jc w:val="center"/>
              <w:rPr>
                <w:rFonts w:ascii="Abadi" w:eastAsiaTheme="minorHAnsi" w:hAnsi="Abadi" w:cs="*Verdana-Bold-5195-Identity-H"/>
                <w:b/>
                <w:bCs/>
                <w:color w:val="131313"/>
                <w:sz w:val="21"/>
                <w:szCs w:val="21"/>
                <w:lang w:val="es-MX" w:eastAsia="en-US"/>
              </w:rPr>
            </w:pPr>
          </w:p>
          <w:p w14:paraId="7DCCDF88" w14:textId="77777777" w:rsidR="00E81330" w:rsidRPr="00E81330" w:rsidRDefault="00E81330" w:rsidP="00E81330">
            <w:pPr>
              <w:autoSpaceDE w:val="0"/>
              <w:autoSpaceDN w:val="0"/>
              <w:adjustRightInd w:val="0"/>
              <w:jc w:val="center"/>
              <w:rPr>
                <w:rFonts w:ascii="Abadi" w:eastAsiaTheme="minorHAnsi" w:hAnsi="Abadi" w:cs="*Verdana-Bold-5195-Identity-H"/>
                <w:b/>
                <w:bCs/>
                <w:color w:val="131313"/>
                <w:sz w:val="21"/>
                <w:szCs w:val="21"/>
                <w:lang w:val="es-MX" w:eastAsia="en-US"/>
              </w:rPr>
            </w:pPr>
            <w:r w:rsidRPr="00E81330">
              <w:rPr>
                <w:rFonts w:ascii="Abadi" w:eastAsiaTheme="minorHAnsi" w:hAnsi="Abadi" w:cs="*Verdana-Bold-5195-Identity-H"/>
                <w:b/>
                <w:bCs/>
                <w:color w:val="131313"/>
                <w:sz w:val="21"/>
                <w:szCs w:val="21"/>
                <w:lang w:val="es-MX" w:eastAsia="en-US"/>
              </w:rPr>
              <w:t>(Base mensual)</w:t>
            </w:r>
          </w:p>
        </w:tc>
      </w:tr>
    </w:tbl>
    <w:p w14:paraId="533F59CC" w14:textId="77777777" w:rsidR="00E81330" w:rsidRPr="00E81330" w:rsidRDefault="00E81330" w:rsidP="00E81330">
      <w:pPr>
        <w:autoSpaceDE w:val="0"/>
        <w:autoSpaceDN w:val="0"/>
        <w:adjustRightInd w:val="0"/>
        <w:jc w:val="both"/>
        <w:rPr>
          <w:rFonts w:ascii="Abadi" w:eastAsiaTheme="minorHAnsi" w:hAnsi="Abadi" w:cs="*Verdana-8524-Identity-H"/>
          <w:b/>
          <w:bCs/>
          <w:color w:val="141414"/>
          <w:sz w:val="21"/>
          <w:szCs w:val="21"/>
          <w:lang w:val="es-MX" w:eastAsia="en-US"/>
        </w:rPr>
      </w:pPr>
    </w:p>
    <w:tbl>
      <w:tblPr>
        <w:tblStyle w:val="Tablaconcuadrcula1"/>
        <w:tblW w:w="0" w:type="auto"/>
        <w:tblLook w:val="04A0" w:firstRow="1" w:lastRow="0" w:firstColumn="1" w:lastColumn="0" w:noHBand="0" w:noVBand="1"/>
      </w:tblPr>
      <w:tblGrid>
        <w:gridCol w:w="1107"/>
        <w:gridCol w:w="1056"/>
        <w:gridCol w:w="969"/>
        <w:gridCol w:w="969"/>
      </w:tblGrid>
      <w:tr w:rsidR="00E81330" w:rsidRPr="00E81330" w14:paraId="24EC6A77" w14:textId="77777777" w:rsidTr="000C51A7">
        <w:tc>
          <w:tcPr>
            <w:tcW w:w="2207" w:type="dxa"/>
          </w:tcPr>
          <w:p w14:paraId="4064D6C1" w14:textId="77777777" w:rsidR="00E81330" w:rsidRPr="00E81330" w:rsidRDefault="00E81330" w:rsidP="00E81330">
            <w:pPr>
              <w:autoSpaceDE w:val="0"/>
              <w:autoSpaceDN w:val="0"/>
              <w:adjustRightInd w:val="0"/>
              <w:jc w:val="center"/>
              <w:rPr>
                <w:rFonts w:ascii="Abadi" w:eastAsiaTheme="minorHAnsi" w:hAnsi="Abadi" w:cs="*Verdana-8524-Identity-H"/>
                <w:b/>
                <w:bCs/>
                <w:color w:val="141414"/>
                <w:sz w:val="21"/>
                <w:szCs w:val="21"/>
                <w:lang w:val="es-MX" w:eastAsia="en-US"/>
              </w:rPr>
            </w:pPr>
            <w:r w:rsidRPr="00E81330">
              <w:rPr>
                <w:rFonts w:ascii="Abadi" w:eastAsiaTheme="minorHAnsi" w:hAnsi="Abadi" w:cs="*Verdana-8524-Identity-H"/>
                <w:b/>
                <w:bCs/>
                <w:color w:val="141414"/>
                <w:sz w:val="21"/>
                <w:szCs w:val="21"/>
                <w:lang w:val="es-MX" w:eastAsia="en-US"/>
              </w:rPr>
              <w:t>Municipio</w:t>
            </w:r>
          </w:p>
        </w:tc>
        <w:tc>
          <w:tcPr>
            <w:tcW w:w="2207" w:type="dxa"/>
          </w:tcPr>
          <w:p w14:paraId="778F7650" w14:textId="77777777" w:rsidR="00E81330" w:rsidRPr="00E81330" w:rsidRDefault="00E81330" w:rsidP="00E81330">
            <w:pPr>
              <w:autoSpaceDE w:val="0"/>
              <w:autoSpaceDN w:val="0"/>
              <w:adjustRightInd w:val="0"/>
              <w:jc w:val="center"/>
              <w:rPr>
                <w:rFonts w:ascii="Abadi" w:eastAsiaTheme="minorHAnsi" w:hAnsi="Abadi" w:cs="*Verdana-8524-Identity-H"/>
                <w:b/>
                <w:bCs/>
                <w:color w:val="141414"/>
                <w:sz w:val="21"/>
                <w:szCs w:val="21"/>
                <w:lang w:val="es-MX" w:eastAsia="en-US"/>
              </w:rPr>
            </w:pPr>
            <w:r w:rsidRPr="00E81330">
              <w:rPr>
                <w:rFonts w:ascii="Abadi" w:eastAsiaTheme="minorHAnsi" w:hAnsi="Abadi" w:cs="*Verdana-8524-Identity-H"/>
                <w:b/>
                <w:bCs/>
                <w:color w:val="141414"/>
                <w:sz w:val="21"/>
                <w:szCs w:val="21"/>
                <w:lang w:val="es-MX" w:eastAsia="en-US"/>
              </w:rPr>
              <w:t>Presidente</w:t>
            </w:r>
          </w:p>
        </w:tc>
        <w:tc>
          <w:tcPr>
            <w:tcW w:w="2207" w:type="dxa"/>
          </w:tcPr>
          <w:p w14:paraId="55BAD0D9" w14:textId="77777777" w:rsidR="00E81330" w:rsidRPr="00E81330" w:rsidRDefault="00E81330" w:rsidP="00E81330">
            <w:pPr>
              <w:autoSpaceDE w:val="0"/>
              <w:autoSpaceDN w:val="0"/>
              <w:adjustRightInd w:val="0"/>
              <w:jc w:val="center"/>
              <w:rPr>
                <w:rFonts w:ascii="Abadi" w:eastAsiaTheme="minorHAnsi" w:hAnsi="Abadi" w:cs="*Verdana-8524-Identity-H"/>
                <w:b/>
                <w:bCs/>
                <w:color w:val="141414"/>
                <w:sz w:val="21"/>
                <w:szCs w:val="21"/>
                <w:lang w:val="es-MX" w:eastAsia="en-US"/>
              </w:rPr>
            </w:pPr>
            <w:r w:rsidRPr="00E81330">
              <w:rPr>
                <w:rFonts w:ascii="Abadi" w:eastAsiaTheme="minorHAnsi" w:hAnsi="Abadi" w:cs="*Verdana-8524-Identity-H"/>
                <w:b/>
                <w:bCs/>
                <w:color w:val="141414"/>
                <w:sz w:val="21"/>
                <w:szCs w:val="21"/>
                <w:lang w:val="es-MX" w:eastAsia="en-US"/>
              </w:rPr>
              <w:t>Síndico</w:t>
            </w:r>
          </w:p>
        </w:tc>
        <w:tc>
          <w:tcPr>
            <w:tcW w:w="2207" w:type="dxa"/>
          </w:tcPr>
          <w:p w14:paraId="7AEB0359" w14:textId="77777777" w:rsidR="00E81330" w:rsidRPr="00E81330" w:rsidRDefault="00E81330" w:rsidP="00E81330">
            <w:pPr>
              <w:autoSpaceDE w:val="0"/>
              <w:autoSpaceDN w:val="0"/>
              <w:adjustRightInd w:val="0"/>
              <w:jc w:val="center"/>
              <w:rPr>
                <w:rFonts w:ascii="Abadi" w:eastAsiaTheme="minorHAnsi" w:hAnsi="Abadi" w:cs="*Verdana-8524-Identity-H"/>
                <w:b/>
                <w:bCs/>
                <w:color w:val="141414"/>
                <w:sz w:val="21"/>
                <w:szCs w:val="21"/>
                <w:lang w:val="es-MX" w:eastAsia="en-US"/>
              </w:rPr>
            </w:pPr>
            <w:r w:rsidRPr="00E81330">
              <w:rPr>
                <w:rFonts w:ascii="Abadi" w:eastAsiaTheme="minorHAnsi" w:hAnsi="Abadi" w:cs="*Verdana-8524-Identity-H"/>
                <w:b/>
                <w:bCs/>
                <w:color w:val="141414"/>
                <w:sz w:val="21"/>
                <w:szCs w:val="21"/>
                <w:lang w:val="es-MX" w:eastAsia="en-US"/>
              </w:rPr>
              <w:t>Regidor</w:t>
            </w:r>
          </w:p>
        </w:tc>
      </w:tr>
      <w:tr w:rsidR="00E81330" w:rsidRPr="00E81330" w14:paraId="5DACF069" w14:textId="77777777" w:rsidTr="000C51A7">
        <w:tc>
          <w:tcPr>
            <w:tcW w:w="2207" w:type="dxa"/>
          </w:tcPr>
          <w:p w14:paraId="1CBD17E5" w14:textId="77777777" w:rsidR="00E81330" w:rsidRPr="00E81330" w:rsidRDefault="00E81330" w:rsidP="00E81330">
            <w:pPr>
              <w:autoSpaceDE w:val="0"/>
              <w:autoSpaceDN w:val="0"/>
              <w:adjustRightInd w:val="0"/>
              <w:jc w:val="both"/>
              <w:rPr>
                <w:rFonts w:ascii="Abadi" w:eastAsiaTheme="minorHAnsi" w:hAnsi="Abadi" w:cs="*Verdana-Bold-5195-Identity-H"/>
                <w:b/>
                <w:bCs/>
                <w:color w:val="141414"/>
                <w:sz w:val="21"/>
                <w:szCs w:val="21"/>
                <w:lang w:val="es-MX" w:eastAsia="en-US"/>
              </w:rPr>
            </w:pPr>
            <w:r w:rsidRPr="00E81330">
              <w:rPr>
                <w:rFonts w:ascii="Abadi" w:eastAsiaTheme="minorHAnsi" w:hAnsi="Abadi" w:cs="*Verdana-Bold-5195-Identity-H"/>
                <w:b/>
                <w:bCs/>
                <w:color w:val="141414"/>
                <w:sz w:val="21"/>
                <w:szCs w:val="21"/>
                <w:lang w:val="es-MX" w:eastAsia="en-US"/>
              </w:rPr>
              <w:t>Abasolo</w:t>
            </w:r>
          </w:p>
        </w:tc>
        <w:tc>
          <w:tcPr>
            <w:tcW w:w="2207" w:type="dxa"/>
          </w:tcPr>
          <w:p w14:paraId="1D4A7CAB"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r w:rsidRPr="00E81330">
              <w:rPr>
                <w:rFonts w:ascii="Abadi" w:eastAsiaTheme="minorHAnsi" w:hAnsi="Abadi" w:cs="*Verdana-Bold-5195-Identity-H"/>
                <w:b/>
                <w:bCs/>
                <w:color w:val="141414"/>
                <w:sz w:val="21"/>
                <w:szCs w:val="21"/>
                <w:lang w:val="es-MX" w:eastAsia="en-US"/>
              </w:rPr>
              <w:t>$96,114.65</w:t>
            </w:r>
          </w:p>
        </w:tc>
        <w:tc>
          <w:tcPr>
            <w:tcW w:w="2207" w:type="dxa"/>
          </w:tcPr>
          <w:p w14:paraId="4D9D62BE"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r w:rsidRPr="00E81330">
              <w:rPr>
                <w:rFonts w:ascii="Abadi" w:eastAsiaTheme="minorHAnsi" w:hAnsi="Abadi" w:cs="*Verdana-Bold-5195-Identity-H"/>
                <w:b/>
                <w:bCs/>
                <w:color w:val="141414"/>
                <w:sz w:val="21"/>
                <w:szCs w:val="21"/>
                <w:lang w:val="es-MX" w:eastAsia="en-US"/>
              </w:rPr>
              <w:t>$48,056.26</w:t>
            </w:r>
          </w:p>
        </w:tc>
        <w:tc>
          <w:tcPr>
            <w:tcW w:w="2207" w:type="dxa"/>
          </w:tcPr>
          <w:p w14:paraId="29E1FCD3" w14:textId="77777777" w:rsidR="00E81330" w:rsidRPr="00E81330" w:rsidRDefault="00E81330" w:rsidP="00E81330">
            <w:pPr>
              <w:autoSpaceDE w:val="0"/>
              <w:autoSpaceDN w:val="0"/>
              <w:adjustRightInd w:val="0"/>
              <w:jc w:val="both"/>
              <w:rPr>
                <w:rFonts w:ascii="Abadi" w:eastAsiaTheme="minorHAnsi" w:hAnsi="Abadi" w:cs="*Verdana-Bold-5195-Identity-H"/>
                <w:b/>
                <w:bCs/>
                <w:color w:val="141414"/>
                <w:sz w:val="21"/>
                <w:szCs w:val="21"/>
                <w:lang w:val="es-MX" w:eastAsia="en-US"/>
              </w:rPr>
            </w:pPr>
            <w:r w:rsidRPr="00E81330">
              <w:rPr>
                <w:rFonts w:ascii="Abadi" w:eastAsiaTheme="minorHAnsi" w:hAnsi="Abadi" w:cs="*Verdana-Bold-5195-Identity-H"/>
                <w:b/>
                <w:bCs/>
                <w:color w:val="151515"/>
                <w:sz w:val="21"/>
                <w:szCs w:val="21"/>
                <w:lang w:val="es-MX" w:eastAsia="en-US"/>
              </w:rPr>
              <w:t>$43,250.42</w:t>
            </w:r>
          </w:p>
        </w:tc>
      </w:tr>
      <w:tr w:rsidR="00E81330" w:rsidRPr="00E81330" w14:paraId="666B9ACD" w14:textId="77777777" w:rsidTr="000C51A7">
        <w:tc>
          <w:tcPr>
            <w:tcW w:w="2207" w:type="dxa"/>
          </w:tcPr>
          <w:p w14:paraId="4E8FCA1B" w14:textId="77777777" w:rsidR="00E81330" w:rsidRPr="00E81330" w:rsidRDefault="00E81330" w:rsidP="00E81330">
            <w:pPr>
              <w:autoSpaceDE w:val="0"/>
              <w:autoSpaceDN w:val="0"/>
              <w:adjustRightInd w:val="0"/>
              <w:jc w:val="both"/>
              <w:rPr>
                <w:rFonts w:ascii="Abadi" w:eastAsiaTheme="minorHAnsi" w:hAnsi="Abadi" w:cs="*Verdana-Bold-5195-Identity-H"/>
                <w:b/>
                <w:bCs/>
                <w:color w:val="141414"/>
                <w:sz w:val="21"/>
                <w:szCs w:val="21"/>
                <w:lang w:val="es-MX" w:eastAsia="en-US"/>
              </w:rPr>
            </w:pPr>
            <w:r w:rsidRPr="00E81330">
              <w:rPr>
                <w:rFonts w:ascii="Abadi" w:eastAsiaTheme="minorHAnsi" w:hAnsi="Abadi" w:cs="*Verdana-Bold-5195-Identity-H"/>
                <w:b/>
                <w:bCs/>
                <w:color w:val="141414"/>
                <w:sz w:val="21"/>
                <w:szCs w:val="21"/>
                <w:lang w:val="es-MX" w:eastAsia="en-US"/>
              </w:rPr>
              <w:t>Acámbaro</w:t>
            </w:r>
          </w:p>
        </w:tc>
        <w:tc>
          <w:tcPr>
            <w:tcW w:w="2207" w:type="dxa"/>
          </w:tcPr>
          <w:p w14:paraId="7D493F1A"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r w:rsidRPr="00E81330">
              <w:rPr>
                <w:rFonts w:ascii="Abadi" w:eastAsiaTheme="minorHAnsi" w:hAnsi="Abadi" w:cs="*Verdana-Bold-5195-Identity-H"/>
                <w:b/>
                <w:bCs/>
                <w:color w:val="141414"/>
                <w:sz w:val="21"/>
                <w:szCs w:val="21"/>
                <w:lang w:val="es-MX" w:eastAsia="en-US"/>
              </w:rPr>
              <w:t>$107,422.51</w:t>
            </w:r>
          </w:p>
        </w:tc>
        <w:tc>
          <w:tcPr>
            <w:tcW w:w="2207" w:type="dxa"/>
          </w:tcPr>
          <w:p w14:paraId="7E06CBB7"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r w:rsidRPr="00E81330">
              <w:rPr>
                <w:rFonts w:ascii="Abadi" w:eastAsiaTheme="minorHAnsi" w:hAnsi="Abadi" w:cs="*Verdana-Bold-5195-Identity-H"/>
                <w:b/>
                <w:bCs/>
                <w:color w:val="141414"/>
                <w:sz w:val="21"/>
                <w:szCs w:val="21"/>
                <w:lang w:val="es-MX" w:eastAsia="en-US"/>
              </w:rPr>
              <w:t>$53,710.19</w:t>
            </w:r>
          </w:p>
        </w:tc>
        <w:tc>
          <w:tcPr>
            <w:tcW w:w="2207" w:type="dxa"/>
          </w:tcPr>
          <w:p w14:paraId="65C234AC" w14:textId="77777777" w:rsidR="00E81330" w:rsidRPr="00E81330" w:rsidRDefault="00E81330" w:rsidP="00E81330">
            <w:pPr>
              <w:autoSpaceDE w:val="0"/>
              <w:autoSpaceDN w:val="0"/>
              <w:adjustRightInd w:val="0"/>
              <w:jc w:val="both"/>
              <w:rPr>
                <w:rFonts w:ascii="Abadi" w:eastAsiaTheme="minorHAnsi" w:hAnsi="Abadi" w:cs="*Verdana-Bold-5195-Identity-H"/>
                <w:b/>
                <w:bCs/>
                <w:color w:val="141414"/>
                <w:sz w:val="21"/>
                <w:szCs w:val="21"/>
                <w:lang w:val="es-MX" w:eastAsia="en-US"/>
              </w:rPr>
            </w:pPr>
            <w:r w:rsidRPr="00E81330">
              <w:rPr>
                <w:rFonts w:ascii="Abadi" w:eastAsiaTheme="minorHAnsi" w:hAnsi="Abadi" w:cs="*Verdana-Bold-5195-Identity-H"/>
                <w:b/>
                <w:bCs/>
                <w:color w:val="141414"/>
                <w:sz w:val="21"/>
                <w:szCs w:val="21"/>
                <w:lang w:val="es-MX" w:eastAsia="en-US"/>
              </w:rPr>
              <w:t>$48,338.95</w:t>
            </w:r>
          </w:p>
        </w:tc>
      </w:tr>
      <w:tr w:rsidR="00E81330" w:rsidRPr="00E81330" w14:paraId="7F52D1C6" w14:textId="77777777" w:rsidTr="000C51A7">
        <w:tc>
          <w:tcPr>
            <w:tcW w:w="2207" w:type="dxa"/>
          </w:tcPr>
          <w:p w14:paraId="491E8F07" w14:textId="77777777" w:rsidR="00E81330" w:rsidRPr="00E81330" w:rsidRDefault="00E81330" w:rsidP="00E81330">
            <w:pPr>
              <w:autoSpaceDE w:val="0"/>
              <w:autoSpaceDN w:val="0"/>
              <w:adjustRightInd w:val="0"/>
              <w:jc w:val="both"/>
              <w:rPr>
                <w:rFonts w:ascii="Abadi" w:eastAsiaTheme="minorHAnsi" w:hAnsi="Abadi" w:cs="*Verdana-Bold-5195-Identity-H"/>
                <w:b/>
                <w:bCs/>
                <w:color w:val="151515"/>
                <w:sz w:val="21"/>
                <w:szCs w:val="21"/>
                <w:lang w:val="es-MX" w:eastAsia="en-US"/>
              </w:rPr>
            </w:pPr>
            <w:r w:rsidRPr="00E81330">
              <w:rPr>
                <w:rFonts w:ascii="Abadi" w:eastAsiaTheme="minorHAnsi" w:hAnsi="Abadi" w:cs="*Verdana-Bold-5195-Identity-H"/>
                <w:b/>
                <w:bCs/>
                <w:color w:val="151515"/>
                <w:sz w:val="21"/>
                <w:szCs w:val="21"/>
                <w:lang w:val="es-MX" w:eastAsia="en-US"/>
              </w:rPr>
              <w:t>Apaseo el Alto</w:t>
            </w:r>
          </w:p>
        </w:tc>
        <w:tc>
          <w:tcPr>
            <w:tcW w:w="2207" w:type="dxa"/>
          </w:tcPr>
          <w:p w14:paraId="3461D03E"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r w:rsidRPr="00E81330">
              <w:rPr>
                <w:rFonts w:ascii="Abadi" w:eastAsiaTheme="minorHAnsi" w:hAnsi="Abadi" w:cs="*Verdana-Bold-5195-Identity-H"/>
                <w:b/>
                <w:bCs/>
                <w:color w:val="141414"/>
                <w:sz w:val="21"/>
                <w:szCs w:val="21"/>
                <w:lang w:val="es-MX" w:eastAsia="en-US"/>
              </w:rPr>
              <w:t>$84,806.80</w:t>
            </w:r>
          </w:p>
        </w:tc>
        <w:tc>
          <w:tcPr>
            <w:tcW w:w="2207" w:type="dxa"/>
          </w:tcPr>
          <w:p w14:paraId="277EA60E"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r w:rsidRPr="00E81330">
              <w:rPr>
                <w:rFonts w:ascii="Abadi" w:eastAsiaTheme="minorHAnsi" w:hAnsi="Abadi" w:cs="*Verdana-Bold-5195-Identity-H"/>
                <w:b/>
                <w:bCs/>
                <w:color w:val="151515"/>
                <w:sz w:val="21"/>
                <w:szCs w:val="21"/>
                <w:lang w:val="es-MX" w:eastAsia="en-US"/>
              </w:rPr>
              <w:t>$42,402.33</w:t>
            </w:r>
          </w:p>
        </w:tc>
        <w:tc>
          <w:tcPr>
            <w:tcW w:w="2207" w:type="dxa"/>
          </w:tcPr>
          <w:p w14:paraId="40B51E29" w14:textId="77777777" w:rsidR="00E81330" w:rsidRPr="00E81330" w:rsidRDefault="00E81330" w:rsidP="00E81330">
            <w:pPr>
              <w:autoSpaceDE w:val="0"/>
              <w:autoSpaceDN w:val="0"/>
              <w:adjustRightInd w:val="0"/>
              <w:jc w:val="both"/>
              <w:rPr>
                <w:rFonts w:ascii="Abadi" w:eastAsiaTheme="minorHAnsi" w:hAnsi="Abadi" w:cs="*Verdana-Bold-5195-Identity-H"/>
                <w:b/>
                <w:bCs/>
                <w:color w:val="141414"/>
                <w:sz w:val="21"/>
                <w:szCs w:val="21"/>
                <w:lang w:val="es-MX" w:eastAsia="en-US"/>
              </w:rPr>
            </w:pPr>
            <w:r w:rsidRPr="00E81330">
              <w:rPr>
                <w:rFonts w:ascii="Abadi" w:eastAsiaTheme="minorHAnsi" w:hAnsi="Abadi" w:cs="*Verdana-Bold-5195-Identity-H"/>
                <w:b/>
                <w:bCs/>
                <w:color w:val="141414"/>
                <w:sz w:val="21"/>
                <w:szCs w:val="21"/>
                <w:lang w:val="es-MX" w:eastAsia="en-US"/>
              </w:rPr>
              <w:t>$38,161.89</w:t>
            </w:r>
          </w:p>
        </w:tc>
      </w:tr>
      <w:tr w:rsidR="00E81330" w:rsidRPr="00E81330" w14:paraId="4717F7ED" w14:textId="77777777" w:rsidTr="000C51A7">
        <w:tc>
          <w:tcPr>
            <w:tcW w:w="2207" w:type="dxa"/>
          </w:tcPr>
          <w:p w14:paraId="274692B1" w14:textId="77777777" w:rsidR="00E81330" w:rsidRPr="00E81330" w:rsidRDefault="00E81330" w:rsidP="00E81330">
            <w:pPr>
              <w:autoSpaceDE w:val="0"/>
              <w:autoSpaceDN w:val="0"/>
              <w:adjustRightInd w:val="0"/>
              <w:jc w:val="both"/>
              <w:rPr>
                <w:rFonts w:ascii="Abadi" w:eastAsiaTheme="minorHAnsi" w:hAnsi="Abadi" w:cs="*Verdana-Bold-5195-Identity-H"/>
                <w:b/>
                <w:bCs/>
                <w:color w:val="141515"/>
                <w:sz w:val="21"/>
                <w:szCs w:val="21"/>
                <w:lang w:val="es-MX" w:eastAsia="en-US"/>
              </w:rPr>
            </w:pPr>
            <w:r w:rsidRPr="00E81330">
              <w:rPr>
                <w:rFonts w:ascii="Abadi" w:eastAsiaTheme="minorHAnsi" w:hAnsi="Abadi" w:cs="*Verdana-Bold-5195-Identity-H"/>
                <w:b/>
                <w:bCs/>
                <w:color w:val="141515"/>
                <w:sz w:val="21"/>
                <w:szCs w:val="21"/>
                <w:lang w:val="es-MX" w:eastAsia="en-US"/>
              </w:rPr>
              <w:t>Apaseo el Grande</w:t>
            </w:r>
          </w:p>
        </w:tc>
        <w:tc>
          <w:tcPr>
            <w:tcW w:w="2207" w:type="dxa"/>
          </w:tcPr>
          <w:p w14:paraId="59764A38"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r w:rsidRPr="00E81330">
              <w:rPr>
                <w:rFonts w:ascii="Abadi" w:eastAsiaTheme="minorHAnsi" w:hAnsi="Abadi" w:cs="*Verdana-Bold-5195-Identity-H"/>
                <w:b/>
                <w:bCs/>
                <w:color w:val="141414"/>
                <w:sz w:val="21"/>
                <w:szCs w:val="21"/>
                <w:lang w:val="es-MX" w:eastAsia="en-US"/>
              </w:rPr>
              <w:t>$90,460.73</w:t>
            </w:r>
          </w:p>
        </w:tc>
        <w:tc>
          <w:tcPr>
            <w:tcW w:w="2207" w:type="dxa"/>
          </w:tcPr>
          <w:p w14:paraId="2A0A2FD8"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r w:rsidRPr="00E81330">
              <w:rPr>
                <w:rFonts w:ascii="Abadi" w:eastAsiaTheme="minorHAnsi" w:hAnsi="Abadi" w:cs="*Verdana-Bold-5195-Identity-H"/>
                <w:b/>
                <w:bCs/>
                <w:color w:val="141414"/>
                <w:sz w:val="21"/>
                <w:szCs w:val="21"/>
                <w:lang w:val="es-MX" w:eastAsia="en-US"/>
              </w:rPr>
              <w:t>$45,229.29</w:t>
            </w:r>
          </w:p>
        </w:tc>
        <w:tc>
          <w:tcPr>
            <w:tcW w:w="2207" w:type="dxa"/>
          </w:tcPr>
          <w:p w14:paraId="63DA41B7" w14:textId="77777777" w:rsidR="00E81330" w:rsidRPr="00E81330" w:rsidRDefault="00E81330" w:rsidP="00E81330">
            <w:pPr>
              <w:autoSpaceDE w:val="0"/>
              <w:autoSpaceDN w:val="0"/>
              <w:adjustRightInd w:val="0"/>
              <w:jc w:val="both"/>
              <w:rPr>
                <w:rFonts w:ascii="Abadi" w:eastAsiaTheme="minorHAnsi" w:hAnsi="Abadi" w:cs="*Verdana-Bold-5195-Identity-H"/>
                <w:b/>
                <w:bCs/>
                <w:color w:val="141414"/>
                <w:sz w:val="21"/>
                <w:szCs w:val="21"/>
                <w:lang w:val="es-MX" w:eastAsia="en-US"/>
              </w:rPr>
            </w:pPr>
            <w:r w:rsidRPr="00E81330">
              <w:rPr>
                <w:rFonts w:ascii="Abadi" w:eastAsiaTheme="minorHAnsi" w:hAnsi="Abadi" w:cs="*Verdana-Bold-5195-Identity-H"/>
                <w:b/>
                <w:bCs/>
                <w:color w:val="141414"/>
                <w:sz w:val="21"/>
                <w:szCs w:val="21"/>
                <w:lang w:val="es-MX" w:eastAsia="en-US"/>
              </w:rPr>
              <w:t>$40,706.16</w:t>
            </w:r>
          </w:p>
        </w:tc>
      </w:tr>
      <w:tr w:rsidR="00E81330" w:rsidRPr="00E81330" w14:paraId="53025F0F" w14:textId="77777777" w:rsidTr="000C51A7">
        <w:tc>
          <w:tcPr>
            <w:tcW w:w="2207" w:type="dxa"/>
          </w:tcPr>
          <w:p w14:paraId="7D8F0EE5"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r w:rsidRPr="00E81330">
              <w:rPr>
                <w:rFonts w:ascii="Abadi" w:eastAsiaTheme="minorHAnsi" w:hAnsi="Abadi" w:cs="*Verdana-Bold-5195-Identity-H"/>
                <w:b/>
                <w:bCs/>
                <w:color w:val="141414"/>
                <w:sz w:val="21"/>
                <w:szCs w:val="21"/>
                <w:lang w:val="es-MX" w:eastAsia="en-US"/>
              </w:rPr>
              <w:t>Atarjea</w:t>
            </w:r>
          </w:p>
        </w:tc>
        <w:tc>
          <w:tcPr>
            <w:tcW w:w="2207" w:type="dxa"/>
          </w:tcPr>
          <w:p w14:paraId="743B5230"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r w:rsidRPr="00E81330">
              <w:rPr>
                <w:rFonts w:ascii="Abadi" w:eastAsiaTheme="minorHAnsi" w:hAnsi="Abadi" w:cs="*Verdana-Bold-5195-Identity-H"/>
                <w:b/>
                <w:bCs/>
                <w:color w:val="141414"/>
                <w:sz w:val="21"/>
                <w:szCs w:val="21"/>
                <w:lang w:val="es-MX" w:eastAsia="en-US"/>
              </w:rPr>
              <w:t>$50,883.22</w:t>
            </w:r>
          </w:p>
        </w:tc>
        <w:tc>
          <w:tcPr>
            <w:tcW w:w="2207" w:type="dxa"/>
          </w:tcPr>
          <w:p w14:paraId="22CCE3F7"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r w:rsidRPr="00E81330">
              <w:rPr>
                <w:rFonts w:ascii="Abadi" w:eastAsiaTheme="minorHAnsi" w:hAnsi="Abadi" w:cs="*Verdana-Bold-5195-Identity-H"/>
                <w:b/>
                <w:bCs/>
                <w:color w:val="151515"/>
                <w:sz w:val="21"/>
                <w:szCs w:val="21"/>
                <w:lang w:val="es-MX" w:eastAsia="en-US"/>
              </w:rPr>
              <w:t>$25,440.55</w:t>
            </w:r>
          </w:p>
        </w:tc>
        <w:tc>
          <w:tcPr>
            <w:tcW w:w="2207" w:type="dxa"/>
          </w:tcPr>
          <w:p w14:paraId="29523D32" w14:textId="77777777" w:rsidR="00E81330" w:rsidRPr="00E81330" w:rsidRDefault="00E81330" w:rsidP="00E81330">
            <w:pPr>
              <w:autoSpaceDE w:val="0"/>
              <w:autoSpaceDN w:val="0"/>
              <w:adjustRightInd w:val="0"/>
              <w:jc w:val="both"/>
              <w:rPr>
                <w:rFonts w:ascii="Abadi" w:eastAsiaTheme="minorHAnsi" w:hAnsi="Abadi" w:cs="*Verdana-Bold-5195-Identity-H"/>
                <w:b/>
                <w:bCs/>
                <w:color w:val="141414"/>
                <w:sz w:val="21"/>
                <w:szCs w:val="21"/>
                <w:lang w:val="es-MX" w:eastAsia="en-US"/>
              </w:rPr>
            </w:pPr>
            <w:r w:rsidRPr="00E81330">
              <w:rPr>
                <w:rFonts w:ascii="Abadi" w:eastAsiaTheme="minorHAnsi" w:hAnsi="Abadi" w:cs="*Verdana-Bold-5195-Identity-H"/>
                <w:b/>
                <w:bCs/>
                <w:color w:val="141414"/>
                <w:sz w:val="21"/>
                <w:szCs w:val="21"/>
                <w:lang w:val="es-MX" w:eastAsia="en-US"/>
              </w:rPr>
              <w:t>$22,896.28</w:t>
            </w:r>
          </w:p>
        </w:tc>
      </w:tr>
      <w:tr w:rsidR="00E81330" w:rsidRPr="00E81330" w14:paraId="60269A42" w14:textId="77777777" w:rsidTr="000C51A7">
        <w:tc>
          <w:tcPr>
            <w:tcW w:w="2207" w:type="dxa"/>
          </w:tcPr>
          <w:p w14:paraId="1D05AF9F" w14:textId="77777777" w:rsidR="00E81330" w:rsidRPr="00E81330" w:rsidRDefault="00E81330" w:rsidP="00E81330">
            <w:pPr>
              <w:autoSpaceDE w:val="0"/>
              <w:autoSpaceDN w:val="0"/>
              <w:adjustRightInd w:val="0"/>
              <w:jc w:val="both"/>
              <w:rPr>
                <w:rFonts w:ascii="Abadi" w:eastAsiaTheme="minorHAnsi" w:hAnsi="Abadi" w:cs="*Verdana-Bold-5195-Identity-H"/>
                <w:b/>
                <w:bCs/>
                <w:color w:val="151515"/>
                <w:sz w:val="21"/>
                <w:szCs w:val="21"/>
                <w:lang w:val="es-MX" w:eastAsia="en-US"/>
              </w:rPr>
            </w:pPr>
            <w:r w:rsidRPr="00E81330">
              <w:rPr>
                <w:rFonts w:ascii="Abadi" w:eastAsiaTheme="minorHAnsi" w:hAnsi="Abadi" w:cs="*Verdana-Bold-5195-Identity-H"/>
                <w:b/>
                <w:bCs/>
                <w:color w:val="151515"/>
                <w:sz w:val="21"/>
                <w:szCs w:val="21"/>
                <w:lang w:val="es-MX" w:eastAsia="en-US"/>
              </w:rPr>
              <w:t>Celaya</w:t>
            </w:r>
          </w:p>
        </w:tc>
        <w:tc>
          <w:tcPr>
            <w:tcW w:w="2207" w:type="dxa"/>
          </w:tcPr>
          <w:p w14:paraId="7E2F332F"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r w:rsidRPr="00E81330">
              <w:rPr>
                <w:rFonts w:ascii="Abadi" w:eastAsiaTheme="minorHAnsi" w:hAnsi="Abadi" w:cs="*Verdana-Bold-5195-Identity-H"/>
                <w:b/>
                <w:bCs/>
                <w:color w:val="141414"/>
                <w:sz w:val="21"/>
                <w:szCs w:val="21"/>
                <w:lang w:val="es-MX" w:eastAsia="en-US"/>
              </w:rPr>
              <w:t>$158,307.86</w:t>
            </w:r>
          </w:p>
        </w:tc>
        <w:tc>
          <w:tcPr>
            <w:tcW w:w="2207" w:type="dxa"/>
          </w:tcPr>
          <w:p w14:paraId="73CB9CC3"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r w:rsidRPr="00E81330">
              <w:rPr>
                <w:rFonts w:ascii="Abadi" w:eastAsiaTheme="minorHAnsi" w:hAnsi="Abadi" w:cs="*Verdana-Bold-5195-Identity-H"/>
                <w:b/>
                <w:bCs/>
                <w:color w:val="131313"/>
                <w:sz w:val="21"/>
                <w:szCs w:val="21"/>
                <w:lang w:val="es-MX" w:eastAsia="en-US"/>
              </w:rPr>
              <w:t>$79,152.87</w:t>
            </w:r>
          </w:p>
        </w:tc>
        <w:tc>
          <w:tcPr>
            <w:tcW w:w="2207" w:type="dxa"/>
          </w:tcPr>
          <w:p w14:paraId="6549ED6F" w14:textId="77777777" w:rsidR="00E81330" w:rsidRPr="00E81330" w:rsidRDefault="00E81330" w:rsidP="00E81330">
            <w:pPr>
              <w:autoSpaceDE w:val="0"/>
              <w:autoSpaceDN w:val="0"/>
              <w:adjustRightInd w:val="0"/>
              <w:jc w:val="both"/>
              <w:rPr>
                <w:rFonts w:ascii="Abadi" w:eastAsiaTheme="minorHAnsi" w:hAnsi="Abadi" w:cs="*Verdana-Bold-5195-Identity-H"/>
                <w:b/>
                <w:bCs/>
                <w:color w:val="151515"/>
                <w:sz w:val="21"/>
                <w:szCs w:val="21"/>
                <w:lang w:val="es-MX" w:eastAsia="en-US"/>
              </w:rPr>
            </w:pPr>
            <w:r w:rsidRPr="00E81330">
              <w:rPr>
                <w:rFonts w:ascii="Abadi" w:eastAsiaTheme="minorHAnsi" w:hAnsi="Abadi" w:cs="*Verdana-Bold-5195-Identity-H"/>
                <w:b/>
                <w:bCs/>
                <w:color w:val="151515"/>
                <w:sz w:val="21"/>
                <w:szCs w:val="21"/>
                <w:lang w:val="es-MX" w:eastAsia="en-US"/>
              </w:rPr>
              <w:t>$71,237.37</w:t>
            </w:r>
          </w:p>
        </w:tc>
      </w:tr>
      <w:tr w:rsidR="00E81330" w:rsidRPr="00E81330" w14:paraId="7E54AA86" w14:textId="77777777" w:rsidTr="000C51A7">
        <w:tc>
          <w:tcPr>
            <w:tcW w:w="2207" w:type="dxa"/>
          </w:tcPr>
          <w:p w14:paraId="43F8B523" w14:textId="77777777" w:rsidR="00E81330" w:rsidRPr="00E81330" w:rsidRDefault="00E81330" w:rsidP="00E81330">
            <w:pPr>
              <w:autoSpaceDE w:val="0"/>
              <w:autoSpaceDN w:val="0"/>
              <w:adjustRightInd w:val="0"/>
              <w:jc w:val="both"/>
              <w:rPr>
                <w:rFonts w:ascii="Abadi" w:eastAsiaTheme="minorHAnsi" w:hAnsi="Abadi" w:cs="*Verdana-Bold-5195-Identity-H"/>
                <w:b/>
                <w:bCs/>
                <w:color w:val="131313"/>
                <w:sz w:val="21"/>
                <w:szCs w:val="21"/>
                <w:lang w:val="es-MX" w:eastAsia="en-US"/>
              </w:rPr>
            </w:pPr>
            <w:r w:rsidRPr="00E81330">
              <w:rPr>
                <w:rFonts w:ascii="Abadi" w:eastAsiaTheme="minorHAnsi" w:hAnsi="Abadi" w:cs="*Verdana-Bold-5195-Identity-H"/>
                <w:b/>
                <w:bCs/>
                <w:color w:val="131313"/>
                <w:sz w:val="21"/>
                <w:szCs w:val="21"/>
                <w:lang w:val="es-MX" w:eastAsia="en-US"/>
              </w:rPr>
              <w:t>Comonfort</w:t>
            </w:r>
          </w:p>
        </w:tc>
        <w:tc>
          <w:tcPr>
            <w:tcW w:w="2207" w:type="dxa"/>
          </w:tcPr>
          <w:p w14:paraId="3749CD6B"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r w:rsidRPr="00E81330">
              <w:rPr>
                <w:rFonts w:ascii="Abadi" w:eastAsiaTheme="minorHAnsi" w:hAnsi="Abadi" w:cs="*Verdana-Bold-5195-Identity-H"/>
                <w:b/>
                <w:bCs/>
                <w:color w:val="141414"/>
                <w:sz w:val="21"/>
                <w:szCs w:val="21"/>
                <w:lang w:val="es-MX" w:eastAsia="en-US"/>
              </w:rPr>
              <w:t>$84,806.80</w:t>
            </w:r>
          </w:p>
        </w:tc>
        <w:tc>
          <w:tcPr>
            <w:tcW w:w="2207" w:type="dxa"/>
          </w:tcPr>
          <w:p w14:paraId="255A4336"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r w:rsidRPr="00E81330">
              <w:rPr>
                <w:rFonts w:ascii="Abadi" w:eastAsiaTheme="minorHAnsi" w:hAnsi="Abadi" w:cs="*Verdana-Bold-5195-Identity-H"/>
                <w:b/>
                <w:bCs/>
                <w:color w:val="141414"/>
                <w:sz w:val="21"/>
                <w:szCs w:val="21"/>
                <w:lang w:val="es-MX" w:eastAsia="en-US"/>
              </w:rPr>
              <w:t>$42,402.33</w:t>
            </w:r>
          </w:p>
        </w:tc>
        <w:tc>
          <w:tcPr>
            <w:tcW w:w="2207" w:type="dxa"/>
          </w:tcPr>
          <w:p w14:paraId="12D13115" w14:textId="77777777" w:rsidR="00E81330" w:rsidRPr="00E81330" w:rsidRDefault="00E81330" w:rsidP="00E81330">
            <w:pPr>
              <w:autoSpaceDE w:val="0"/>
              <w:autoSpaceDN w:val="0"/>
              <w:adjustRightInd w:val="0"/>
              <w:jc w:val="both"/>
              <w:rPr>
                <w:rFonts w:ascii="Abadi" w:eastAsiaTheme="minorHAnsi" w:hAnsi="Abadi" w:cs="*Verdana-Bold-5195-Identity-H"/>
                <w:b/>
                <w:bCs/>
                <w:color w:val="131313"/>
                <w:sz w:val="21"/>
                <w:szCs w:val="21"/>
                <w:lang w:val="es-MX" w:eastAsia="en-US"/>
              </w:rPr>
            </w:pPr>
            <w:r w:rsidRPr="00E81330">
              <w:rPr>
                <w:rFonts w:ascii="Abadi" w:eastAsiaTheme="minorHAnsi" w:hAnsi="Abadi" w:cs="*Verdana-Bold-5195-Identity-H"/>
                <w:b/>
                <w:bCs/>
                <w:color w:val="131313"/>
                <w:sz w:val="21"/>
                <w:szCs w:val="21"/>
                <w:lang w:val="es-MX" w:eastAsia="en-US"/>
              </w:rPr>
              <w:t>$38,161.89</w:t>
            </w:r>
          </w:p>
        </w:tc>
      </w:tr>
      <w:tr w:rsidR="00E81330" w:rsidRPr="00E81330" w14:paraId="6FED4BAE" w14:textId="77777777" w:rsidTr="000C51A7">
        <w:tc>
          <w:tcPr>
            <w:tcW w:w="2207" w:type="dxa"/>
          </w:tcPr>
          <w:p w14:paraId="111EC3DA" w14:textId="77777777" w:rsidR="00E81330" w:rsidRPr="00E81330" w:rsidRDefault="00E81330" w:rsidP="00E81330">
            <w:pPr>
              <w:autoSpaceDE w:val="0"/>
              <w:autoSpaceDN w:val="0"/>
              <w:adjustRightInd w:val="0"/>
              <w:jc w:val="both"/>
              <w:rPr>
                <w:rFonts w:ascii="Abadi" w:eastAsiaTheme="minorHAnsi" w:hAnsi="Abadi" w:cs="*Verdana-Bold-5195-Identity-H"/>
                <w:b/>
                <w:bCs/>
                <w:color w:val="141414"/>
                <w:sz w:val="21"/>
                <w:szCs w:val="21"/>
                <w:lang w:val="es-MX" w:eastAsia="en-US"/>
              </w:rPr>
            </w:pPr>
            <w:r w:rsidRPr="00E81330">
              <w:rPr>
                <w:rFonts w:ascii="Abadi" w:eastAsiaTheme="minorHAnsi" w:hAnsi="Abadi" w:cs="*Verdana-Bold-5195-Identity-H"/>
                <w:b/>
                <w:bCs/>
                <w:color w:val="141414"/>
                <w:sz w:val="21"/>
                <w:szCs w:val="21"/>
                <w:lang w:val="es-MX" w:eastAsia="en-US"/>
              </w:rPr>
              <w:t>Coroneo</w:t>
            </w:r>
          </w:p>
        </w:tc>
        <w:tc>
          <w:tcPr>
            <w:tcW w:w="2207" w:type="dxa"/>
          </w:tcPr>
          <w:p w14:paraId="644C4EB2"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r w:rsidRPr="00E81330">
              <w:rPr>
                <w:rFonts w:ascii="Abadi" w:eastAsiaTheme="minorHAnsi" w:hAnsi="Abadi" w:cs="*Verdana-Bold-5195-Identity-H"/>
                <w:b/>
                <w:bCs/>
                <w:color w:val="131313"/>
                <w:sz w:val="21"/>
                <w:szCs w:val="21"/>
                <w:lang w:val="es-MX" w:eastAsia="en-US"/>
              </w:rPr>
              <w:t>$50,883.22</w:t>
            </w:r>
          </w:p>
        </w:tc>
        <w:tc>
          <w:tcPr>
            <w:tcW w:w="2207" w:type="dxa"/>
          </w:tcPr>
          <w:p w14:paraId="5E73EDF6"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r w:rsidRPr="00E81330">
              <w:rPr>
                <w:rFonts w:ascii="Abadi" w:eastAsiaTheme="minorHAnsi" w:hAnsi="Abadi" w:cs="*Verdana-Bold-5195-Identity-H"/>
                <w:b/>
                <w:bCs/>
                <w:color w:val="141414"/>
                <w:sz w:val="21"/>
                <w:szCs w:val="21"/>
                <w:lang w:val="es-MX" w:eastAsia="en-US"/>
              </w:rPr>
              <w:t>$25,440.55</w:t>
            </w:r>
          </w:p>
        </w:tc>
        <w:tc>
          <w:tcPr>
            <w:tcW w:w="2207" w:type="dxa"/>
          </w:tcPr>
          <w:p w14:paraId="207CD468" w14:textId="77777777" w:rsidR="00E81330" w:rsidRPr="00E81330" w:rsidRDefault="00E81330" w:rsidP="00E81330">
            <w:pPr>
              <w:autoSpaceDE w:val="0"/>
              <w:autoSpaceDN w:val="0"/>
              <w:adjustRightInd w:val="0"/>
              <w:jc w:val="both"/>
              <w:rPr>
                <w:rFonts w:ascii="Abadi" w:eastAsiaTheme="minorHAnsi" w:hAnsi="Abadi" w:cs="*Verdana-Bold-5195-Identity-H"/>
                <w:b/>
                <w:bCs/>
                <w:color w:val="141414"/>
                <w:sz w:val="21"/>
                <w:szCs w:val="21"/>
                <w:lang w:val="es-MX" w:eastAsia="en-US"/>
              </w:rPr>
            </w:pPr>
            <w:r w:rsidRPr="00E81330">
              <w:rPr>
                <w:rFonts w:ascii="Abadi" w:eastAsiaTheme="minorHAnsi" w:hAnsi="Abadi" w:cs="*Verdana-Bold-5195-Identity-H"/>
                <w:b/>
                <w:bCs/>
                <w:color w:val="141414"/>
                <w:sz w:val="21"/>
                <w:szCs w:val="21"/>
                <w:lang w:val="es-MX" w:eastAsia="en-US"/>
              </w:rPr>
              <w:t>$22,896.28</w:t>
            </w:r>
          </w:p>
        </w:tc>
      </w:tr>
      <w:tr w:rsidR="00E81330" w:rsidRPr="00E81330" w14:paraId="06D4302B" w14:textId="77777777" w:rsidTr="000C51A7">
        <w:tc>
          <w:tcPr>
            <w:tcW w:w="2207" w:type="dxa"/>
          </w:tcPr>
          <w:p w14:paraId="7D7D515C" w14:textId="77777777" w:rsidR="00E81330" w:rsidRPr="00E81330" w:rsidRDefault="00E81330" w:rsidP="00E81330">
            <w:pPr>
              <w:autoSpaceDE w:val="0"/>
              <w:autoSpaceDN w:val="0"/>
              <w:adjustRightInd w:val="0"/>
              <w:jc w:val="both"/>
              <w:rPr>
                <w:rFonts w:ascii="Abadi" w:eastAsiaTheme="minorHAnsi" w:hAnsi="Abadi" w:cs="*Verdana-Bold-5195-Identity-H"/>
                <w:b/>
                <w:bCs/>
                <w:color w:val="141414"/>
                <w:sz w:val="21"/>
                <w:szCs w:val="21"/>
                <w:lang w:val="es-MX" w:eastAsia="en-US"/>
              </w:rPr>
            </w:pPr>
            <w:r w:rsidRPr="00E81330">
              <w:rPr>
                <w:rFonts w:ascii="Abadi" w:eastAsiaTheme="minorHAnsi" w:hAnsi="Abadi" w:cs="*Verdana-Bold-5195-Identity-H"/>
                <w:b/>
                <w:bCs/>
                <w:color w:val="141414"/>
                <w:sz w:val="21"/>
                <w:szCs w:val="21"/>
                <w:lang w:val="es-MX" w:eastAsia="en-US"/>
              </w:rPr>
              <w:t>Cortazar</w:t>
            </w:r>
          </w:p>
        </w:tc>
        <w:tc>
          <w:tcPr>
            <w:tcW w:w="2207" w:type="dxa"/>
          </w:tcPr>
          <w:p w14:paraId="4BA74011"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r w:rsidRPr="00E81330">
              <w:rPr>
                <w:rFonts w:ascii="Abadi" w:eastAsiaTheme="minorHAnsi" w:hAnsi="Abadi" w:cs="*Verdana-Bold-5195-Identity-H"/>
                <w:b/>
                <w:bCs/>
                <w:color w:val="141414"/>
                <w:sz w:val="21"/>
                <w:szCs w:val="21"/>
                <w:lang w:val="es-MX" w:eastAsia="en-US"/>
              </w:rPr>
              <w:t>$84,806.80</w:t>
            </w:r>
          </w:p>
        </w:tc>
        <w:tc>
          <w:tcPr>
            <w:tcW w:w="2207" w:type="dxa"/>
          </w:tcPr>
          <w:p w14:paraId="6A519993"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r w:rsidRPr="00E81330">
              <w:rPr>
                <w:rFonts w:ascii="Abadi" w:eastAsiaTheme="minorHAnsi" w:hAnsi="Abadi" w:cs="*Verdana-Bold-5195-Identity-H"/>
                <w:b/>
                <w:bCs/>
                <w:color w:val="141414"/>
                <w:sz w:val="21"/>
                <w:szCs w:val="21"/>
                <w:lang w:val="es-MX" w:eastAsia="en-US"/>
              </w:rPr>
              <w:t>$42,402.33</w:t>
            </w:r>
          </w:p>
        </w:tc>
        <w:tc>
          <w:tcPr>
            <w:tcW w:w="2207" w:type="dxa"/>
          </w:tcPr>
          <w:p w14:paraId="577D8E98" w14:textId="77777777" w:rsidR="00E81330" w:rsidRPr="00E81330" w:rsidRDefault="00E81330" w:rsidP="00E81330">
            <w:pPr>
              <w:autoSpaceDE w:val="0"/>
              <w:autoSpaceDN w:val="0"/>
              <w:adjustRightInd w:val="0"/>
              <w:jc w:val="both"/>
              <w:rPr>
                <w:rFonts w:ascii="Abadi" w:eastAsiaTheme="minorHAnsi" w:hAnsi="Abadi" w:cs="*Verdana-Bold-5195-Identity-H"/>
                <w:b/>
                <w:bCs/>
                <w:color w:val="131313"/>
                <w:sz w:val="21"/>
                <w:szCs w:val="21"/>
                <w:lang w:val="es-MX" w:eastAsia="en-US"/>
              </w:rPr>
            </w:pPr>
            <w:r w:rsidRPr="00E81330">
              <w:rPr>
                <w:rFonts w:ascii="Abadi" w:eastAsiaTheme="minorHAnsi" w:hAnsi="Abadi" w:cs="*Verdana-Bold-5195-Identity-H"/>
                <w:b/>
                <w:bCs/>
                <w:color w:val="131313"/>
                <w:sz w:val="21"/>
                <w:szCs w:val="21"/>
                <w:lang w:val="es-MX" w:eastAsia="en-US"/>
              </w:rPr>
              <w:t>$38,161.89</w:t>
            </w:r>
          </w:p>
        </w:tc>
      </w:tr>
      <w:tr w:rsidR="00E81330" w:rsidRPr="00E81330" w14:paraId="3EB3E680" w14:textId="77777777" w:rsidTr="000C51A7">
        <w:tc>
          <w:tcPr>
            <w:tcW w:w="2207" w:type="dxa"/>
          </w:tcPr>
          <w:p w14:paraId="15489806" w14:textId="77777777" w:rsidR="00E81330" w:rsidRPr="00E81330" w:rsidRDefault="00E81330" w:rsidP="00E81330">
            <w:pPr>
              <w:autoSpaceDE w:val="0"/>
              <w:autoSpaceDN w:val="0"/>
              <w:adjustRightInd w:val="0"/>
              <w:jc w:val="both"/>
              <w:rPr>
                <w:rFonts w:ascii="Abadi" w:eastAsiaTheme="minorHAnsi" w:hAnsi="Abadi" w:cs="*Verdana-Bold-5195-Identity-H"/>
                <w:b/>
                <w:bCs/>
                <w:color w:val="141414"/>
                <w:sz w:val="21"/>
                <w:szCs w:val="21"/>
                <w:lang w:val="es-MX" w:eastAsia="en-US"/>
              </w:rPr>
            </w:pPr>
            <w:r w:rsidRPr="00E81330">
              <w:rPr>
                <w:rFonts w:ascii="Abadi" w:eastAsiaTheme="minorHAnsi" w:hAnsi="Abadi" w:cs="*Verdana-Bold-5195-Identity-H"/>
                <w:b/>
                <w:bCs/>
                <w:color w:val="141414"/>
                <w:sz w:val="21"/>
                <w:szCs w:val="21"/>
                <w:lang w:val="es-MX" w:eastAsia="en-US"/>
              </w:rPr>
              <w:t>Cuerámaro</w:t>
            </w:r>
          </w:p>
        </w:tc>
        <w:tc>
          <w:tcPr>
            <w:tcW w:w="2207" w:type="dxa"/>
          </w:tcPr>
          <w:p w14:paraId="1CFCCCB6"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r w:rsidRPr="00E81330">
              <w:rPr>
                <w:rFonts w:ascii="Abadi" w:eastAsiaTheme="minorHAnsi" w:hAnsi="Abadi" w:cs="*Verdana-Bold-5195-Identity-H"/>
                <w:b/>
                <w:bCs/>
                <w:color w:val="181818"/>
                <w:sz w:val="21"/>
                <w:szCs w:val="21"/>
                <w:lang w:val="es-MX" w:eastAsia="en-US"/>
              </w:rPr>
              <w:t>$67,845.01</w:t>
            </w:r>
          </w:p>
        </w:tc>
        <w:tc>
          <w:tcPr>
            <w:tcW w:w="2207" w:type="dxa"/>
          </w:tcPr>
          <w:p w14:paraId="2946343E"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r w:rsidRPr="00E81330">
              <w:rPr>
                <w:rFonts w:ascii="Abadi" w:eastAsiaTheme="minorHAnsi" w:hAnsi="Abadi" w:cs="*Verdana-Bold-5195-Identity-H"/>
                <w:b/>
                <w:bCs/>
                <w:color w:val="161616"/>
                <w:sz w:val="21"/>
                <w:szCs w:val="21"/>
                <w:lang w:val="es-MX" w:eastAsia="en-US"/>
              </w:rPr>
              <w:t>$33,921.44</w:t>
            </w:r>
          </w:p>
        </w:tc>
        <w:tc>
          <w:tcPr>
            <w:tcW w:w="2207" w:type="dxa"/>
          </w:tcPr>
          <w:p w14:paraId="054EE500" w14:textId="77777777" w:rsidR="00E81330" w:rsidRPr="00E81330" w:rsidRDefault="00E81330" w:rsidP="00E81330">
            <w:pPr>
              <w:autoSpaceDE w:val="0"/>
              <w:autoSpaceDN w:val="0"/>
              <w:adjustRightInd w:val="0"/>
              <w:jc w:val="both"/>
              <w:rPr>
                <w:rFonts w:ascii="Abadi" w:eastAsiaTheme="minorHAnsi" w:hAnsi="Abadi" w:cs="*Verdana-Bold-5195-Identity-H"/>
                <w:b/>
                <w:bCs/>
                <w:color w:val="161616"/>
                <w:sz w:val="21"/>
                <w:szCs w:val="21"/>
                <w:lang w:val="es-MX" w:eastAsia="en-US"/>
              </w:rPr>
            </w:pPr>
            <w:r w:rsidRPr="00E81330">
              <w:rPr>
                <w:rFonts w:ascii="Abadi" w:eastAsiaTheme="minorHAnsi" w:hAnsi="Abadi" w:cs="*Verdana-Bold-5195-Identity-H"/>
                <w:b/>
                <w:bCs/>
                <w:color w:val="161616"/>
                <w:sz w:val="21"/>
                <w:szCs w:val="21"/>
                <w:lang w:val="es-MX" w:eastAsia="en-US"/>
              </w:rPr>
              <w:t>$30,529.08</w:t>
            </w:r>
          </w:p>
        </w:tc>
      </w:tr>
      <w:tr w:rsidR="00E81330" w:rsidRPr="00E81330" w14:paraId="6D652092" w14:textId="77777777" w:rsidTr="000C51A7">
        <w:tc>
          <w:tcPr>
            <w:tcW w:w="2207" w:type="dxa"/>
          </w:tcPr>
          <w:p w14:paraId="169E8A81" w14:textId="77777777" w:rsidR="00E81330" w:rsidRPr="00E81330" w:rsidRDefault="00E81330" w:rsidP="00E81330">
            <w:pPr>
              <w:autoSpaceDE w:val="0"/>
              <w:autoSpaceDN w:val="0"/>
              <w:adjustRightInd w:val="0"/>
              <w:jc w:val="both"/>
              <w:rPr>
                <w:rFonts w:ascii="Abadi" w:eastAsiaTheme="minorHAnsi" w:hAnsi="Abadi" w:cs="*Verdana-Bold-5195-Identity-H"/>
                <w:b/>
                <w:bCs/>
                <w:color w:val="141414"/>
                <w:sz w:val="21"/>
                <w:szCs w:val="21"/>
                <w:lang w:val="es-MX" w:eastAsia="en-US"/>
              </w:rPr>
            </w:pPr>
            <w:r w:rsidRPr="00E81330">
              <w:rPr>
                <w:rFonts w:ascii="Abadi" w:eastAsiaTheme="minorHAnsi" w:hAnsi="Abadi" w:cs="*Verdana-Bold-5195-Identity-H"/>
                <w:b/>
                <w:bCs/>
                <w:color w:val="141414"/>
                <w:sz w:val="21"/>
                <w:szCs w:val="21"/>
                <w:lang w:val="es-MX" w:eastAsia="en-US"/>
              </w:rPr>
              <w:t>Doctor Mora</w:t>
            </w:r>
          </w:p>
        </w:tc>
        <w:tc>
          <w:tcPr>
            <w:tcW w:w="2207" w:type="dxa"/>
          </w:tcPr>
          <w:p w14:paraId="5B342DB6" w14:textId="77777777" w:rsidR="00E81330" w:rsidRPr="00E81330" w:rsidRDefault="00E81330" w:rsidP="00E81330">
            <w:pPr>
              <w:autoSpaceDE w:val="0"/>
              <w:autoSpaceDN w:val="0"/>
              <w:adjustRightInd w:val="0"/>
              <w:jc w:val="both"/>
              <w:rPr>
                <w:rFonts w:ascii="Abadi" w:eastAsiaTheme="minorHAnsi" w:hAnsi="Abadi" w:cs="*Verdana-Bold-5195-Identity-H"/>
                <w:b/>
                <w:bCs/>
                <w:color w:val="181818"/>
                <w:sz w:val="21"/>
                <w:szCs w:val="21"/>
                <w:lang w:val="es-MX" w:eastAsia="en-US"/>
              </w:rPr>
            </w:pPr>
            <w:r w:rsidRPr="00E81330">
              <w:rPr>
                <w:rFonts w:ascii="Abadi" w:eastAsiaTheme="minorHAnsi" w:hAnsi="Abadi" w:cs="*Verdana-Bold-5195-Identity-H"/>
                <w:b/>
                <w:bCs/>
                <w:color w:val="141414"/>
                <w:sz w:val="21"/>
                <w:szCs w:val="21"/>
                <w:lang w:val="es-MX" w:eastAsia="en-US"/>
              </w:rPr>
              <w:t>$56,537.15</w:t>
            </w:r>
          </w:p>
        </w:tc>
        <w:tc>
          <w:tcPr>
            <w:tcW w:w="2207" w:type="dxa"/>
          </w:tcPr>
          <w:p w14:paraId="7BCA7774" w14:textId="77777777" w:rsidR="00E81330" w:rsidRPr="00E81330" w:rsidRDefault="00E81330" w:rsidP="00E81330">
            <w:pPr>
              <w:autoSpaceDE w:val="0"/>
              <w:autoSpaceDN w:val="0"/>
              <w:adjustRightInd w:val="0"/>
              <w:jc w:val="both"/>
              <w:rPr>
                <w:rFonts w:ascii="Abadi" w:eastAsiaTheme="minorHAnsi" w:hAnsi="Abadi" w:cs="*Verdana-Bold-5195-Identity-H"/>
                <w:b/>
                <w:bCs/>
                <w:color w:val="161616"/>
                <w:sz w:val="21"/>
                <w:szCs w:val="21"/>
                <w:lang w:val="es-MX" w:eastAsia="en-US"/>
              </w:rPr>
            </w:pPr>
            <w:r w:rsidRPr="00E81330">
              <w:rPr>
                <w:rFonts w:ascii="Abadi" w:eastAsiaTheme="minorHAnsi" w:hAnsi="Abadi" w:cs="*Verdana-Bold-5195-Identity-H"/>
                <w:b/>
                <w:bCs/>
                <w:color w:val="141414"/>
                <w:sz w:val="21"/>
                <w:szCs w:val="21"/>
                <w:lang w:val="es-MX" w:eastAsia="en-US"/>
              </w:rPr>
              <w:t>$28,267.51</w:t>
            </w:r>
          </w:p>
        </w:tc>
        <w:tc>
          <w:tcPr>
            <w:tcW w:w="2207" w:type="dxa"/>
          </w:tcPr>
          <w:p w14:paraId="2155A344" w14:textId="77777777" w:rsidR="00E81330" w:rsidRPr="00E81330" w:rsidRDefault="00E81330" w:rsidP="00E81330">
            <w:pPr>
              <w:autoSpaceDE w:val="0"/>
              <w:autoSpaceDN w:val="0"/>
              <w:adjustRightInd w:val="0"/>
              <w:jc w:val="both"/>
              <w:rPr>
                <w:rFonts w:ascii="Abadi" w:eastAsiaTheme="minorHAnsi" w:hAnsi="Abadi" w:cs="*Verdana-Bold-5195-Identity-H"/>
                <w:b/>
                <w:bCs/>
                <w:color w:val="151515"/>
                <w:sz w:val="21"/>
                <w:szCs w:val="21"/>
                <w:lang w:val="es-MX" w:eastAsia="en-US"/>
              </w:rPr>
            </w:pPr>
            <w:r w:rsidRPr="00E81330">
              <w:rPr>
                <w:rFonts w:ascii="Abadi" w:eastAsiaTheme="minorHAnsi" w:hAnsi="Abadi" w:cs="*Verdana-Bold-5195-Identity-H"/>
                <w:b/>
                <w:bCs/>
                <w:color w:val="151515"/>
                <w:sz w:val="21"/>
                <w:szCs w:val="21"/>
                <w:lang w:val="es-MX" w:eastAsia="en-US"/>
              </w:rPr>
              <w:t>$25,440.55</w:t>
            </w:r>
          </w:p>
        </w:tc>
      </w:tr>
      <w:tr w:rsidR="00E81330" w:rsidRPr="00E81330" w14:paraId="72C8A977" w14:textId="77777777" w:rsidTr="000C51A7">
        <w:tc>
          <w:tcPr>
            <w:tcW w:w="2207" w:type="dxa"/>
          </w:tcPr>
          <w:p w14:paraId="5B9F7C12" w14:textId="77777777" w:rsidR="00E81330" w:rsidRPr="00E81330" w:rsidRDefault="00E81330" w:rsidP="00E81330">
            <w:pPr>
              <w:autoSpaceDE w:val="0"/>
              <w:autoSpaceDN w:val="0"/>
              <w:adjustRightInd w:val="0"/>
              <w:jc w:val="both"/>
              <w:rPr>
                <w:rFonts w:ascii="Abadi" w:eastAsiaTheme="minorHAnsi" w:hAnsi="Abadi" w:cs="*Verdana-Bold-5195-Identity-H"/>
                <w:b/>
                <w:bCs/>
                <w:color w:val="141414"/>
                <w:sz w:val="21"/>
                <w:szCs w:val="21"/>
                <w:lang w:val="es-MX" w:eastAsia="en-US"/>
              </w:rPr>
            </w:pPr>
            <w:r w:rsidRPr="00E81330">
              <w:rPr>
                <w:rFonts w:ascii="Abadi" w:eastAsiaTheme="minorHAnsi" w:hAnsi="Abadi" w:cs="*Verdana-Bold-5195-Identity-H"/>
                <w:b/>
                <w:bCs/>
                <w:color w:val="141414"/>
                <w:sz w:val="21"/>
                <w:szCs w:val="21"/>
                <w:lang w:val="es-MX" w:eastAsia="en-US"/>
              </w:rPr>
              <w:t xml:space="preserve">Dolores Hidalgo Cuna de la Independencia Nacional </w:t>
            </w:r>
          </w:p>
        </w:tc>
        <w:tc>
          <w:tcPr>
            <w:tcW w:w="2207" w:type="dxa"/>
          </w:tcPr>
          <w:p w14:paraId="1067A246" w14:textId="77777777" w:rsidR="00E81330" w:rsidRPr="00E81330" w:rsidRDefault="00E81330" w:rsidP="00E81330">
            <w:pPr>
              <w:autoSpaceDE w:val="0"/>
              <w:autoSpaceDN w:val="0"/>
              <w:adjustRightInd w:val="0"/>
              <w:jc w:val="both"/>
              <w:rPr>
                <w:rFonts w:ascii="Abadi" w:eastAsiaTheme="minorHAnsi" w:hAnsi="Abadi" w:cs="*Verdana-Bold-5195-Identity-H"/>
                <w:b/>
                <w:bCs/>
                <w:color w:val="181818"/>
                <w:sz w:val="21"/>
                <w:szCs w:val="21"/>
                <w:lang w:val="es-MX" w:eastAsia="en-US"/>
              </w:rPr>
            </w:pPr>
            <w:r w:rsidRPr="00E81330">
              <w:rPr>
                <w:rFonts w:ascii="Abadi" w:eastAsiaTheme="minorHAnsi" w:hAnsi="Abadi" w:cs="*Verdana-Bold-5195-Identity-H"/>
                <w:b/>
                <w:bCs/>
                <w:color w:val="141414"/>
                <w:sz w:val="21"/>
                <w:szCs w:val="21"/>
                <w:lang w:val="es-MX" w:eastAsia="en-US"/>
              </w:rPr>
              <w:t>$113,076.44</w:t>
            </w:r>
          </w:p>
        </w:tc>
        <w:tc>
          <w:tcPr>
            <w:tcW w:w="2207" w:type="dxa"/>
          </w:tcPr>
          <w:p w14:paraId="72C901D6" w14:textId="77777777" w:rsidR="00E81330" w:rsidRPr="00E81330" w:rsidRDefault="00E81330" w:rsidP="00E81330">
            <w:pPr>
              <w:autoSpaceDE w:val="0"/>
              <w:autoSpaceDN w:val="0"/>
              <w:adjustRightInd w:val="0"/>
              <w:jc w:val="both"/>
              <w:rPr>
                <w:rFonts w:ascii="Abadi" w:eastAsiaTheme="minorHAnsi" w:hAnsi="Abadi" w:cs="*Verdana-Bold-5195-Identity-H"/>
                <w:b/>
                <w:bCs/>
                <w:color w:val="161616"/>
                <w:sz w:val="21"/>
                <w:szCs w:val="21"/>
                <w:lang w:val="es-MX" w:eastAsia="en-US"/>
              </w:rPr>
            </w:pPr>
            <w:r w:rsidRPr="00E81330">
              <w:rPr>
                <w:rFonts w:ascii="Abadi" w:eastAsiaTheme="minorHAnsi" w:hAnsi="Abadi" w:cs="*Verdana-Bold-5195-Identity-H"/>
                <w:b/>
                <w:bCs/>
                <w:color w:val="131313"/>
                <w:sz w:val="21"/>
                <w:szCs w:val="21"/>
                <w:lang w:val="es-MX" w:eastAsia="en-US"/>
              </w:rPr>
              <w:t>$56,537.15</w:t>
            </w:r>
          </w:p>
        </w:tc>
        <w:tc>
          <w:tcPr>
            <w:tcW w:w="2207" w:type="dxa"/>
          </w:tcPr>
          <w:p w14:paraId="2458679B" w14:textId="77777777" w:rsidR="00E81330" w:rsidRPr="00E81330" w:rsidRDefault="00E81330" w:rsidP="00E81330">
            <w:pPr>
              <w:autoSpaceDE w:val="0"/>
              <w:autoSpaceDN w:val="0"/>
              <w:adjustRightInd w:val="0"/>
              <w:jc w:val="both"/>
              <w:rPr>
                <w:rFonts w:ascii="Abadi" w:eastAsiaTheme="minorHAnsi" w:hAnsi="Abadi" w:cs="*Verdana-Bold-5195-Identity-H"/>
                <w:b/>
                <w:bCs/>
                <w:color w:val="141414"/>
                <w:sz w:val="21"/>
                <w:szCs w:val="21"/>
                <w:lang w:val="es-MX" w:eastAsia="en-US"/>
              </w:rPr>
            </w:pPr>
            <w:r w:rsidRPr="00E81330">
              <w:rPr>
                <w:rFonts w:ascii="Abadi" w:eastAsiaTheme="minorHAnsi" w:hAnsi="Abadi" w:cs="*Verdana-Bold-5195-Identity-H"/>
                <w:b/>
                <w:bCs/>
                <w:color w:val="121212"/>
                <w:sz w:val="21"/>
                <w:szCs w:val="21"/>
                <w:lang w:val="es-MX" w:eastAsia="en-US"/>
              </w:rPr>
              <w:t>$50,883.22</w:t>
            </w:r>
          </w:p>
          <w:p w14:paraId="6E8B5855" w14:textId="77777777" w:rsidR="00E81330" w:rsidRPr="00E81330" w:rsidRDefault="00E81330" w:rsidP="00E81330">
            <w:pPr>
              <w:autoSpaceDE w:val="0"/>
              <w:autoSpaceDN w:val="0"/>
              <w:adjustRightInd w:val="0"/>
              <w:jc w:val="both"/>
              <w:rPr>
                <w:rFonts w:ascii="Abadi" w:eastAsiaTheme="minorHAnsi" w:hAnsi="Abadi" w:cs="*Verdana-Bold-5195-Identity-H"/>
                <w:b/>
                <w:bCs/>
                <w:color w:val="161616"/>
                <w:sz w:val="21"/>
                <w:szCs w:val="21"/>
                <w:lang w:val="es-MX" w:eastAsia="en-US"/>
              </w:rPr>
            </w:pPr>
          </w:p>
        </w:tc>
      </w:tr>
      <w:tr w:rsidR="00E81330" w:rsidRPr="00E81330" w14:paraId="1CCED327" w14:textId="77777777" w:rsidTr="000C51A7">
        <w:tc>
          <w:tcPr>
            <w:tcW w:w="2207" w:type="dxa"/>
          </w:tcPr>
          <w:p w14:paraId="171A2C59" w14:textId="77777777" w:rsidR="00E81330" w:rsidRPr="00E81330" w:rsidRDefault="00E81330" w:rsidP="00E81330">
            <w:pPr>
              <w:autoSpaceDE w:val="0"/>
              <w:autoSpaceDN w:val="0"/>
              <w:adjustRightInd w:val="0"/>
              <w:jc w:val="both"/>
              <w:rPr>
                <w:rFonts w:ascii="Abadi" w:eastAsiaTheme="minorHAnsi" w:hAnsi="Abadi" w:cs="*Verdana-Bold-5195-Identity-H"/>
                <w:b/>
                <w:bCs/>
                <w:color w:val="141414"/>
                <w:sz w:val="21"/>
                <w:szCs w:val="21"/>
                <w:lang w:val="es-MX" w:eastAsia="en-US"/>
              </w:rPr>
            </w:pPr>
            <w:r w:rsidRPr="00E81330">
              <w:rPr>
                <w:rFonts w:ascii="Abadi" w:eastAsiaTheme="minorHAnsi" w:hAnsi="Abadi" w:cs="*Verdana-Bold-5195-Identity-H"/>
                <w:b/>
                <w:bCs/>
                <w:color w:val="141414"/>
                <w:sz w:val="21"/>
                <w:szCs w:val="21"/>
                <w:lang w:val="es-MX" w:eastAsia="en-US"/>
              </w:rPr>
              <w:t>Guanajuato</w:t>
            </w:r>
          </w:p>
        </w:tc>
        <w:tc>
          <w:tcPr>
            <w:tcW w:w="2207" w:type="dxa"/>
          </w:tcPr>
          <w:p w14:paraId="62241E62" w14:textId="77777777" w:rsidR="00E81330" w:rsidRPr="00E81330" w:rsidRDefault="00E81330" w:rsidP="00E81330">
            <w:pPr>
              <w:autoSpaceDE w:val="0"/>
              <w:autoSpaceDN w:val="0"/>
              <w:adjustRightInd w:val="0"/>
              <w:jc w:val="both"/>
              <w:rPr>
                <w:rFonts w:ascii="Abadi" w:eastAsiaTheme="minorHAnsi" w:hAnsi="Abadi" w:cs="*Verdana-Bold-5195-Identity-H"/>
                <w:b/>
                <w:bCs/>
                <w:color w:val="181818"/>
                <w:sz w:val="21"/>
                <w:szCs w:val="21"/>
                <w:lang w:val="es-MX" w:eastAsia="en-US"/>
              </w:rPr>
            </w:pPr>
            <w:r w:rsidRPr="00E81330">
              <w:rPr>
                <w:rFonts w:ascii="Abadi" w:eastAsiaTheme="minorHAnsi" w:hAnsi="Abadi" w:cs="*Verdana-Bold-5195-Identity-H"/>
                <w:b/>
                <w:bCs/>
                <w:color w:val="131313"/>
                <w:sz w:val="21"/>
                <w:szCs w:val="21"/>
                <w:lang w:val="es-MX" w:eastAsia="en-US"/>
              </w:rPr>
              <w:t>$124,384.29</w:t>
            </w:r>
          </w:p>
        </w:tc>
        <w:tc>
          <w:tcPr>
            <w:tcW w:w="2207" w:type="dxa"/>
          </w:tcPr>
          <w:p w14:paraId="1EAE7D74" w14:textId="77777777" w:rsidR="00E81330" w:rsidRPr="00E81330" w:rsidRDefault="00E81330" w:rsidP="00E81330">
            <w:pPr>
              <w:autoSpaceDE w:val="0"/>
              <w:autoSpaceDN w:val="0"/>
              <w:adjustRightInd w:val="0"/>
              <w:jc w:val="both"/>
              <w:rPr>
                <w:rFonts w:ascii="Abadi" w:eastAsiaTheme="minorHAnsi" w:hAnsi="Abadi" w:cs="*Verdana-Bold-5195-Identity-H"/>
                <w:b/>
                <w:bCs/>
                <w:color w:val="161616"/>
                <w:sz w:val="21"/>
                <w:szCs w:val="21"/>
                <w:lang w:val="es-MX" w:eastAsia="en-US"/>
              </w:rPr>
            </w:pPr>
            <w:r w:rsidRPr="00E81330">
              <w:rPr>
                <w:rFonts w:ascii="Abadi" w:eastAsiaTheme="minorHAnsi" w:hAnsi="Abadi" w:cs="*Verdana-Bold-5195-Identity-H"/>
                <w:b/>
                <w:bCs/>
                <w:color w:val="141414"/>
                <w:sz w:val="21"/>
                <w:szCs w:val="21"/>
                <w:lang w:val="es-MX" w:eastAsia="en-US"/>
              </w:rPr>
              <w:t>$62,191.09</w:t>
            </w:r>
          </w:p>
        </w:tc>
        <w:tc>
          <w:tcPr>
            <w:tcW w:w="2207" w:type="dxa"/>
          </w:tcPr>
          <w:p w14:paraId="270F9B8A" w14:textId="77777777" w:rsidR="00E81330" w:rsidRPr="00E81330" w:rsidRDefault="00E81330" w:rsidP="00E81330">
            <w:pPr>
              <w:autoSpaceDE w:val="0"/>
              <w:autoSpaceDN w:val="0"/>
              <w:adjustRightInd w:val="0"/>
              <w:jc w:val="both"/>
              <w:rPr>
                <w:rFonts w:ascii="Abadi" w:eastAsiaTheme="minorHAnsi" w:hAnsi="Abadi" w:cs="*Verdana-Bold-5195-Identity-H"/>
                <w:b/>
                <w:bCs/>
                <w:color w:val="131313"/>
                <w:sz w:val="21"/>
                <w:szCs w:val="21"/>
                <w:lang w:val="es-MX" w:eastAsia="en-US"/>
              </w:rPr>
            </w:pPr>
            <w:r w:rsidRPr="00E81330">
              <w:rPr>
                <w:rFonts w:ascii="Abadi" w:eastAsiaTheme="minorHAnsi" w:hAnsi="Abadi" w:cs="*Verdana-Bold-5195-Identity-H"/>
                <w:b/>
                <w:bCs/>
                <w:color w:val="131313"/>
                <w:sz w:val="21"/>
                <w:szCs w:val="21"/>
                <w:lang w:val="es-MX" w:eastAsia="en-US"/>
              </w:rPr>
              <w:t>$55,971.76</w:t>
            </w:r>
          </w:p>
        </w:tc>
      </w:tr>
      <w:tr w:rsidR="00E81330" w:rsidRPr="00E81330" w14:paraId="5899612A" w14:textId="77777777" w:rsidTr="000C51A7">
        <w:tc>
          <w:tcPr>
            <w:tcW w:w="2207" w:type="dxa"/>
          </w:tcPr>
          <w:p w14:paraId="458746B9" w14:textId="77777777" w:rsidR="00E81330" w:rsidRPr="00E81330" w:rsidRDefault="00E81330" w:rsidP="00E81330">
            <w:pPr>
              <w:autoSpaceDE w:val="0"/>
              <w:autoSpaceDN w:val="0"/>
              <w:adjustRightInd w:val="0"/>
              <w:jc w:val="both"/>
              <w:rPr>
                <w:rFonts w:ascii="Abadi" w:eastAsiaTheme="minorHAnsi" w:hAnsi="Abadi" w:cs="*Verdana-Bold-5195-Identity-H"/>
                <w:b/>
                <w:bCs/>
                <w:color w:val="131313"/>
                <w:sz w:val="21"/>
                <w:szCs w:val="21"/>
                <w:lang w:val="es-MX" w:eastAsia="en-US"/>
              </w:rPr>
            </w:pPr>
            <w:r w:rsidRPr="00E81330">
              <w:rPr>
                <w:rFonts w:ascii="Abadi" w:eastAsiaTheme="minorHAnsi" w:hAnsi="Abadi" w:cs="*Verdana-Bold-5195-Identity-H"/>
                <w:b/>
                <w:bCs/>
                <w:color w:val="131313"/>
                <w:sz w:val="21"/>
                <w:szCs w:val="21"/>
                <w:lang w:val="es-MX" w:eastAsia="en-US"/>
              </w:rPr>
              <w:t>Huanímaro</w:t>
            </w:r>
          </w:p>
        </w:tc>
        <w:tc>
          <w:tcPr>
            <w:tcW w:w="2207" w:type="dxa"/>
          </w:tcPr>
          <w:p w14:paraId="71B112F4" w14:textId="77777777" w:rsidR="00E81330" w:rsidRPr="00E81330" w:rsidRDefault="00E81330" w:rsidP="00E81330">
            <w:pPr>
              <w:autoSpaceDE w:val="0"/>
              <w:autoSpaceDN w:val="0"/>
              <w:adjustRightInd w:val="0"/>
              <w:jc w:val="both"/>
              <w:rPr>
                <w:rFonts w:ascii="Abadi" w:eastAsiaTheme="minorHAnsi" w:hAnsi="Abadi" w:cs="*Verdana-Bold-5195-Identity-H"/>
                <w:b/>
                <w:bCs/>
                <w:color w:val="181818"/>
                <w:sz w:val="21"/>
                <w:szCs w:val="21"/>
                <w:lang w:val="es-MX" w:eastAsia="en-US"/>
              </w:rPr>
            </w:pPr>
            <w:r w:rsidRPr="00E81330">
              <w:rPr>
                <w:rFonts w:ascii="Abadi" w:eastAsiaTheme="minorHAnsi" w:hAnsi="Abadi" w:cs="*Verdana-Bold-5195-Identity-H"/>
                <w:b/>
                <w:bCs/>
                <w:color w:val="141414"/>
                <w:sz w:val="21"/>
                <w:szCs w:val="21"/>
                <w:lang w:val="es-MX" w:eastAsia="en-US"/>
              </w:rPr>
              <w:t>$56,537.15</w:t>
            </w:r>
          </w:p>
        </w:tc>
        <w:tc>
          <w:tcPr>
            <w:tcW w:w="2207" w:type="dxa"/>
          </w:tcPr>
          <w:p w14:paraId="3130FC20" w14:textId="77777777" w:rsidR="00E81330" w:rsidRPr="00E81330" w:rsidRDefault="00E81330" w:rsidP="00E81330">
            <w:pPr>
              <w:autoSpaceDE w:val="0"/>
              <w:autoSpaceDN w:val="0"/>
              <w:adjustRightInd w:val="0"/>
              <w:jc w:val="both"/>
              <w:rPr>
                <w:rFonts w:ascii="Abadi" w:eastAsiaTheme="minorHAnsi" w:hAnsi="Abadi" w:cs="*Verdana-Bold-5195-Identity-H"/>
                <w:b/>
                <w:bCs/>
                <w:color w:val="161616"/>
                <w:sz w:val="21"/>
                <w:szCs w:val="21"/>
                <w:lang w:val="es-MX" w:eastAsia="en-US"/>
              </w:rPr>
            </w:pPr>
            <w:r w:rsidRPr="00E81330">
              <w:rPr>
                <w:rFonts w:ascii="Abadi" w:eastAsiaTheme="minorHAnsi" w:hAnsi="Abadi" w:cs="*Verdana-Bold-5195-Identity-H"/>
                <w:b/>
                <w:bCs/>
                <w:color w:val="131313"/>
                <w:sz w:val="21"/>
                <w:szCs w:val="21"/>
                <w:lang w:val="es-MX" w:eastAsia="en-US"/>
              </w:rPr>
              <w:t>$28,267.51</w:t>
            </w:r>
          </w:p>
        </w:tc>
        <w:tc>
          <w:tcPr>
            <w:tcW w:w="2207" w:type="dxa"/>
          </w:tcPr>
          <w:p w14:paraId="3F45173D" w14:textId="77777777" w:rsidR="00E81330" w:rsidRPr="00E81330" w:rsidRDefault="00E81330" w:rsidP="00E81330">
            <w:pPr>
              <w:autoSpaceDE w:val="0"/>
              <w:autoSpaceDN w:val="0"/>
              <w:adjustRightInd w:val="0"/>
              <w:jc w:val="both"/>
              <w:rPr>
                <w:rFonts w:ascii="Abadi" w:eastAsiaTheme="minorHAnsi" w:hAnsi="Abadi" w:cs="*Verdana-Bold-5195-Identity-H"/>
                <w:b/>
                <w:bCs/>
                <w:color w:val="131313"/>
                <w:sz w:val="21"/>
                <w:szCs w:val="21"/>
                <w:lang w:val="es-MX" w:eastAsia="en-US"/>
              </w:rPr>
            </w:pPr>
            <w:r w:rsidRPr="00E81330">
              <w:rPr>
                <w:rFonts w:ascii="Abadi" w:eastAsiaTheme="minorHAnsi" w:hAnsi="Abadi" w:cs="*Verdana-Bold-5195-Identity-H"/>
                <w:b/>
                <w:bCs/>
                <w:color w:val="131313"/>
                <w:sz w:val="21"/>
                <w:szCs w:val="21"/>
                <w:lang w:val="es-MX" w:eastAsia="en-US"/>
              </w:rPr>
              <w:t>$25,440.55</w:t>
            </w:r>
          </w:p>
        </w:tc>
      </w:tr>
      <w:tr w:rsidR="00E81330" w:rsidRPr="00E81330" w14:paraId="523CB6AD" w14:textId="77777777" w:rsidTr="000C51A7">
        <w:tc>
          <w:tcPr>
            <w:tcW w:w="2207" w:type="dxa"/>
          </w:tcPr>
          <w:p w14:paraId="0F317894" w14:textId="77777777" w:rsidR="00E81330" w:rsidRPr="00E81330" w:rsidRDefault="00E81330" w:rsidP="00E81330">
            <w:pPr>
              <w:autoSpaceDE w:val="0"/>
              <w:autoSpaceDN w:val="0"/>
              <w:adjustRightInd w:val="0"/>
              <w:jc w:val="both"/>
              <w:rPr>
                <w:rFonts w:ascii="Abadi" w:eastAsiaTheme="minorHAnsi" w:hAnsi="Abadi" w:cs="*Verdana-Bold-5195-Identity-H"/>
                <w:b/>
                <w:bCs/>
                <w:color w:val="141414"/>
                <w:sz w:val="21"/>
                <w:szCs w:val="21"/>
                <w:lang w:val="es-MX" w:eastAsia="en-US"/>
              </w:rPr>
            </w:pPr>
            <w:r w:rsidRPr="00E81330">
              <w:rPr>
                <w:rFonts w:ascii="Abadi" w:eastAsiaTheme="minorHAnsi" w:hAnsi="Abadi" w:cs="*Verdana-Bold-5195-Identity-H"/>
                <w:b/>
                <w:bCs/>
                <w:color w:val="141414"/>
                <w:sz w:val="21"/>
                <w:szCs w:val="21"/>
                <w:lang w:val="es-MX" w:eastAsia="en-US"/>
              </w:rPr>
              <w:t>Irapuato</w:t>
            </w:r>
          </w:p>
        </w:tc>
        <w:tc>
          <w:tcPr>
            <w:tcW w:w="2207" w:type="dxa"/>
          </w:tcPr>
          <w:p w14:paraId="77EB83F4" w14:textId="77777777" w:rsidR="00E81330" w:rsidRPr="00E81330" w:rsidRDefault="00E81330" w:rsidP="00E81330">
            <w:pPr>
              <w:autoSpaceDE w:val="0"/>
              <w:autoSpaceDN w:val="0"/>
              <w:adjustRightInd w:val="0"/>
              <w:jc w:val="both"/>
              <w:rPr>
                <w:rFonts w:ascii="Abadi" w:eastAsiaTheme="minorHAnsi" w:hAnsi="Abadi" w:cs="*Verdana-Bold-5195-Identity-H"/>
                <w:b/>
                <w:bCs/>
                <w:color w:val="181818"/>
                <w:sz w:val="21"/>
                <w:szCs w:val="21"/>
                <w:lang w:val="es-MX" w:eastAsia="en-US"/>
              </w:rPr>
            </w:pPr>
            <w:r w:rsidRPr="00E81330">
              <w:rPr>
                <w:rFonts w:ascii="Abadi" w:eastAsiaTheme="minorHAnsi" w:hAnsi="Abadi" w:cs="*Verdana-Bold-5195-Identity-H"/>
                <w:b/>
                <w:bCs/>
                <w:color w:val="131313"/>
                <w:sz w:val="21"/>
                <w:szCs w:val="21"/>
                <w:lang w:val="es-MX" w:eastAsia="en-US"/>
              </w:rPr>
              <w:t>$158,307.86</w:t>
            </w:r>
          </w:p>
        </w:tc>
        <w:tc>
          <w:tcPr>
            <w:tcW w:w="2207" w:type="dxa"/>
          </w:tcPr>
          <w:p w14:paraId="21321EB4" w14:textId="77777777" w:rsidR="00E81330" w:rsidRPr="00E81330" w:rsidRDefault="00E81330" w:rsidP="00E81330">
            <w:pPr>
              <w:autoSpaceDE w:val="0"/>
              <w:autoSpaceDN w:val="0"/>
              <w:adjustRightInd w:val="0"/>
              <w:jc w:val="both"/>
              <w:rPr>
                <w:rFonts w:ascii="Abadi" w:eastAsiaTheme="minorHAnsi" w:hAnsi="Abadi" w:cs="*Verdana-Bold-5195-Identity-H"/>
                <w:b/>
                <w:bCs/>
                <w:color w:val="161616"/>
                <w:sz w:val="21"/>
                <w:szCs w:val="21"/>
                <w:lang w:val="es-MX" w:eastAsia="en-US"/>
              </w:rPr>
            </w:pPr>
            <w:r w:rsidRPr="00E81330">
              <w:rPr>
                <w:rFonts w:ascii="Abadi" w:eastAsiaTheme="minorHAnsi" w:hAnsi="Abadi" w:cs="*Verdana-Bold-5195-Identity-H"/>
                <w:b/>
                <w:bCs/>
                <w:color w:val="131313"/>
                <w:sz w:val="21"/>
                <w:szCs w:val="21"/>
                <w:lang w:val="es-MX" w:eastAsia="en-US"/>
              </w:rPr>
              <w:t>$79,152.87</w:t>
            </w:r>
          </w:p>
        </w:tc>
        <w:tc>
          <w:tcPr>
            <w:tcW w:w="2207" w:type="dxa"/>
          </w:tcPr>
          <w:p w14:paraId="1AD0AAFF" w14:textId="77777777" w:rsidR="00E81330" w:rsidRPr="00E81330" w:rsidRDefault="00E81330" w:rsidP="00E81330">
            <w:pPr>
              <w:autoSpaceDE w:val="0"/>
              <w:autoSpaceDN w:val="0"/>
              <w:adjustRightInd w:val="0"/>
              <w:jc w:val="both"/>
              <w:rPr>
                <w:rFonts w:ascii="Abadi" w:eastAsiaTheme="minorHAnsi" w:hAnsi="Abadi" w:cs="*Verdana-Bold-5195-Identity-H"/>
                <w:b/>
                <w:bCs/>
                <w:color w:val="141414"/>
                <w:sz w:val="21"/>
                <w:szCs w:val="21"/>
                <w:lang w:val="es-MX" w:eastAsia="en-US"/>
              </w:rPr>
            </w:pPr>
            <w:r w:rsidRPr="00E81330">
              <w:rPr>
                <w:rFonts w:ascii="Abadi" w:eastAsiaTheme="minorHAnsi" w:hAnsi="Abadi" w:cs="*Verdana-Bold-5195-Identity-H"/>
                <w:b/>
                <w:bCs/>
                <w:color w:val="141414"/>
                <w:sz w:val="21"/>
                <w:szCs w:val="21"/>
                <w:lang w:val="es-MX" w:eastAsia="en-US"/>
              </w:rPr>
              <w:t>$71,237.37</w:t>
            </w:r>
          </w:p>
        </w:tc>
      </w:tr>
      <w:tr w:rsidR="00E81330" w:rsidRPr="00E81330" w14:paraId="23824572" w14:textId="77777777" w:rsidTr="000C51A7">
        <w:tc>
          <w:tcPr>
            <w:tcW w:w="2207" w:type="dxa"/>
          </w:tcPr>
          <w:p w14:paraId="7E38F3F8" w14:textId="77777777" w:rsidR="00E81330" w:rsidRPr="00E81330" w:rsidRDefault="00E81330" w:rsidP="00E81330">
            <w:pPr>
              <w:autoSpaceDE w:val="0"/>
              <w:autoSpaceDN w:val="0"/>
              <w:adjustRightInd w:val="0"/>
              <w:jc w:val="both"/>
              <w:rPr>
                <w:rFonts w:ascii="Abadi" w:eastAsiaTheme="minorHAnsi" w:hAnsi="Abadi" w:cs="*Verdana-Bold-5195-Identity-H"/>
                <w:b/>
                <w:bCs/>
                <w:color w:val="141414"/>
                <w:sz w:val="21"/>
                <w:szCs w:val="21"/>
                <w:lang w:val="es-MX" w:eastAsia="en-US"/>
              </w:rPr>
            </w:pPr>
            <w:r w:rsidRPr="00E81330">
              <w:rPr>
                <w:rFonts w:ascii="Abadi" w:eastAsiaTheme="minorHAnsi" w:hAnsi="Abadi" w:cs="*Verdana-Bold-5195-Identity-H"/>
                <w:b/>
                <w:bCs/>
                <w:color w:val="141414"/>
                <w:sz w:val="21"/>
                <w:szCs w:val="21"/>
                <w:lang w:val="es-MX" w:eastAsia="en-US"/>
              </w:rPr>
              <w:t>Jaral del Progreso</w:t>
            </w:r>
          </w:p>
        </w:tc>
        <w:tc>
          <w:tcPr>
            <w:tcW w:w="2207" w:type="dxa"/>
          </w:tcPr>
          <w:p w14:paraId="69F46B3A" w14:textId="77777777" w:rsidR="00E81330" w:rsidRPr="00E81330" w:rsidRDefault="00E81330" w:rsidP="00E81330">
            <w:pPr>
              <w:autoSpaceDE w:val="0"/>
              <w:autoSpaceDN w:val="0"/>
              <w:adjustRightInd w:val="0"/>
              <w:jc w:val="both"/>
              <w:rPr>
                <w:rFonts w:ascii="Abadi" w:eastAsiaTheme="minorHAnsi" w:hAnsi="Abadi" w:cs="*Verdana-Bold-5195-Identity-H"/>
                <w:b/>
                <w:bCs/>
                <w:color w:val="181818"/>
                <w:sz w:val="21"/>
                <w:szCs w:val="21"/>
                <w:lang w:val="es-MX" w:eastAsia="en-US"/>
              </w:rPr>
            </w:pPr>
            <w:r w:rsidRPr="00E81330">
              <w:rPr>
                <w:rFonts w:ascii="Abadi" w:eastAsiaTheme="minorHAnsi" w:hAnsi="Abadi" w:cs="*Verdana-Bold-5195-Identity-H"/>
                <w:b/>
                <w:bCs/>
                <w:color w:val="131313"/>
                <w:sz w:val="21"/>
                <w:szCs w:val="21"/>
                <w:lang w:val="es-MX" w:eastAsia="en-US"/>
              </w:rPr>
              <w:t>$56,537.15</w:t>
            </w:r>
          </w:p>
        </w:tc>
        <w:tc>
          <w:tcPr>
            <w:tcW w:w="2207" w:type="dxa"/>
          </w:tcPr>
          <w:p w14:paraId="60C26CE8" w14:textId="77777777" w:rsidR="00E81330" w:rsidRPr="00E81330" w:rsidRDefault="00E81330" w:rsidP="00E81330">
            <w:pPr>
              <w:autoSpaceDE w:val="0"/>
              <w:autoSpaceDN w:val="0"/>
              <w:adjustRightInd w:val="0"/>
              <w:jc w:val="both"/>
              <w:rPr>
                <w:rFonts w:ascii="Abadi" w:eastAsiaTheme="minorHAnsi" w:hAnsi="Abadi" w:cs="*Verdana-Bold-5195-Identity-H"/>
                <w:b/>
                <w:bCs/>
                <w:color w:val="161616"/>
                <w:sz w:val="21"/>
                <w:szCs w:val="21"/>
                <w:lang w:val="es-MX" w:eastAsia="en-US"/>
              </w:rPr>
            </w:pPr>
            <w:r w:rsidRPr="00E81330">
              <w:rPr>
                <w:rFonts w:ascii="Abadi" w:eastAsiaTheme="minorHAnsi" w:hAnsi="Abadi" w:cs="*Verdana-Bold-5195-Identity-H"/>
                <w:b/>
                <w:bCs/>
                <w:color w:val="131313"/>
                <w:sz w:val="21"/>
                <w:szCs w:val="21"/>
                <w:lang w:val="es-MX" w:eastAsia="en-US"/>
              </w:rPr>
              <w:t>$28,267.51</w:t>
            </w:r>
          </w:p>
        </w:tc>
        <w:tc>
          <w:tcPr>
            <w:tcW w:w="2207" w:type="dxa"/>
          </w:tcPr>
          <w:p w14:paraId="1DD8DC25" w14:textId="77777777" w:rsidR="00E81330" w:rsidRPr="00E81330" w:rsidRDefault="00E81330" w:rsidP="00E81330">
            <w:pPr>
              <w:autoSpaceDE w:val="0"/>
              <w:autoSpaceDN w:val="0"/>
              <w:adjustRightInd w:val="0"/>
              <w:jc w:val="both"/>
              <w:rPr>
                <w:rFonts w:ascii="Abadi" w:eastAsiaTheme="minorHAnsi" w:hAnsi="Abadi" w:cs="*Verdana-Bold-5195-Identity-H"/>
                <w:b/>
                <w:bCs/>
                <w:color w:val="131313"/>
                <w:sz w:val="21"/>
                <w:szCs w:val="21"/>
                <w:lang w:val="es-MX" w:eastAsia="en-US"/>
              </w:rPr>
            </w:pPr>
            <w:r w:rsidRPr="00E81330">
              <w:rPr>
                <w:rFonts w:ascii="Abadi" w:eastAsiaTheme="minorHAnsi" w:hAnsi="Abadi" w:cs="*Verdana-Bold-5195-Identity-H"/>
                <w:b/>
                <w:bCs/>
                <w:color w:val="131313"/>
                <w:sz w:val="21"/>
                <w:szCs w:val="21"/>
                <w:lang w:val="es-MX" w:eastAsia="en-US"/>
              </w:rPr>
              <w:t>$25,440.55</w:t>
            </w:r>
          </w:p>
        </w:tc>
      </w:tr>
      <w:tr w:rsidR="00E81330" w:rsidRPr="00E81330" w14:paraId="4884C971" w14:textId="77777777" w:rsidTr="000C51A7">
        <w:tc>
          <w:tcPr>
            <w:tcW w:w="2207" w:type="dxa"/>
          </w:tcPr>
          <w:p w14:paraId="57AEDD43" w14:textId="77777777" w:rsidR="00E81330" w:rsidRPr="00E81330" w:rsidRDefault="00E81330" w:rsidP="00E81330">
            <w:pPr>
              <w:autoSpaceDE w:val="0"/>
              <w:autoSpaceDN w:val="0"/>
              <w:adjustRightInd w:val="0"/>
              <w:jc w:val="both"/>
              <w:rPr>
                <w:rFonts w:ascii="Abadi" w:eastAsiaTheme="minorHAnsi" w:hAnsi="Abadi" w:cs="*Verdana-Bold-5195-Identity-H"/>
                <w:b/>
                <w:bCs/>
                <w:color w:val="131313"/>
                <w:sz w:val="21"/>
                <w:szCs w:val="21"/>
                <w:lang w:val="es-MX" w:eastAsia="en-US"/>
              </w:rPr>
            </w:pPr>
            <w:r w:rsidRPr="00E81330">
              <w:rPr>
                <w:rFonts w:ascii="Abadi" w:eastAsiaTheme="minorHAnsi" w:hAnsi="Abadi" w:cs="*Verdana-Bold-5195-Identity-H"/>
                <w:b/>
                <w:bCs/>
                <w:color w:val="131313"/>
                <w:sz w:val="21"/>
                <w:szCs w:val="21"/>
                <w:lang w:val="es-MX" w:eastAsia="en-US"/>
              </w:rPr>
              <w:t>Jerécuaro</w:t>
            </w:r>
          </w:p>
        </w:tc>
        <w:tc>
          <w:tcPr>
            <w:tcW w:w="2207" w:type="dxa"/>
          </w:tcPr>
          <w:p w14:paraId="6A6B2BAE" w14:textId="77777777" w:rsidR="00E81330" w:rsidRPr="00E81330" w:rsidRDefault="00E81330" w:rsidP="00E81330">
            <w:pPr>
              <w:autoSpaceDE w:val="0"/>
              <w:autoSpaceDN w:val="0"/>
              <w:adjustRightInd w:val="0"/>
              <w:jc w:val="both"/>
              <w:rPr>
                <w:rFonts w:ascii="Abadi" w:eastAsiaTheme="minorHAnsi" w:hAnsi="Abadi" w:cs="*Verdana-Bold-5195-Identity-H"/>
                <w:b/>
                <w:bCs/>
                <w:color w:val="181818"/>
                <w:sz w:val="21"/>
                <w:szCs w:val="21"/>
                <w:lang w:val="es-MX" w:eastAsia="en-US"/>
              </w:rPr>
            </w:pPr>
            <w:r w:rsidRPr="00E81330">
              <w:rPr>
                <w:rFonts w:ascii="Abadi" w:eastAsiaTheme="minorHAnsi" w:hAnsi="Abadi" w:cs="*Verdana-Bold-5195-Identity-H"/>
                <w:b/>
                <w:bCs/>
                <w:color w:val="121212"/>
                <w:sz w:val="21"/>
                <w:szCs w:val="21"/>
                <w:lang w:val="es-MX" w:eastAsia="en-US"/>
              </w:rPr>
              <w:t>$56,537.15</w:t>
            </w:r>
          </w:p>
        </w:tc>
        <w:tc>
          <w:tcPr>
            <w:tcW w:w="2207" w:type="dxa"/>
          </w:tcPr>
          <w:p w14:paraId="2C7791F9" w14:textId="77777777" w:rsidR="00E81330" w:rsidRPr="00E81330" w:rsidRDefault="00E81330" w:rsidP="00E81330">
            <w:pPr>
              <w:autoSpaceDE w:val="0"/>
              <w:autoSpaceDN w:val="0"/>
              <w:adjustRightInd w:val="0"/>
              <w:jc w:val="both"/>
              <w:rPr>
                <w:rFonts w:ascii="Abadi" w:eastAsiaTheme="minorHAnsi" w:hAnsi="Abadi" w:cs="*Verdana-Bold-5195-Identity-H"/>
                <w:b/>
                <w:bCs/>
                <w:color w:val="161616"/>
                <w:sz w:val="21"/>
                <w:szCs w:val="21"/>
                <w:lang w:val="es-MX" w:eastAsia="en-US"/>
              </w:rPr>
            </w:pPr>
            <w:r w:rsidRPr="00E81330">
              <w:rPr>
                <w:rFonts w:ascii="Abadi" w:eastAsiaTheme="minorHAnsi" w:hAnsi="Abadi" w:cs="*Verdana-Bold-5195-Identity-H"/>
                <w:b/>
                <w:bCs/>
                <w:color w:val="131313"/>
                <w:sz w:val="21"/>
                <w:szCs w:val="21"/>
                <w:lang w:val="es-MX" w:eastAsia="en-US"/>
              </w:rPr>
              <w:t>$28,267.51</w:t>
            </w:r>
          </w:p>
        </w:tc>
        <w:tc>
          <w:tcPr>
            <w:tcW w:w="2207" w:type="dxa"/>
          </w:tcPr>
          <w:p w14:paraId="0227B62F" w14:textId="77777777" w:rsidR="00E81330" w:rsidRPr="00E81330" w:rsidRDefault="00E81330" w:rsidP="00E81330">
            <w:pPr>
              <w:autoSpaceDE w:val="0"/>
              <w:autoSpaceDN w:val="0"/>
              <w:adjustRightInd w:val="0"/>
              <w:jc w:val="both"/>
              <w:rPr>
                <w:rFonts w:ascii="Abadi" w:eastAsiaTheme="minorHAnsi" w:hAnsi="Abadi" w:cs="*Verdana-Bold-5195-Identity-H"/>
                <w:b/>
                <w:bCs/>
                <w:color w:val="131313"/>
                <w:sz w:val="21"/>
                <w:szCs w:val="21"/>
                <w:lang w:val="es-MX" w:eastAsia="en-US"/>
              </w:rPr>
            </w:pPr>
            <w:r w:rsidRPr="00E81330">
              <w:rPr>
                <w:rFonts w:ascii="Abadi" w:eastAsiaTheme="minorHAnsi" w:hAnsi="Abadi" w:cs="*Verdana-Bold-5195-Identity-H"/>
                <w:b/>
                <w:bCs/>
                <w:color w:val="131313"/>
                <w:sz w:val="21"/>
                <w:szCs w:val="21"/>
                <w:lang w:val="es-MX" w:eastAsia="en-US"/>
              </w:rPr>
              <w:t>$25,440.55</w:t>
            </w:r>
          </w:p>
        </w:tc>
      </w:tr>
      <w:tr w:rsidR="00E81330" w:rsidRPr="00E81330" w14:paraId="1DD138A6" w14:textId="77777777" w:rsidTr="000C51A7">
        <w:tc>
          <w:tcPr>
            <w:tcW w:w="2207" w:type="dxa"/>
          </w:tcPr>
          <w:p w14:paraId="2930DFE0" w14:textId="77777777" w:rsidR="00E81330" w:rsidRPr="00E81330" w:rsidRDefault="00E81330" w:rsidP="00E81330">
            <w:pPr>
              <w:autoSpaceDE w:val="0"/>
              <w:autoSpaceDN w:val="0"/>
              <w:adjustRightInd w:val="0"/>
              <w:jc w:val="both"/>
              <w:rPr>
                <w:rFonts w:ascii="Abadi" w:eastAsiaTheme="minorHAnsi" w:hAnsi="Abadi" w:cs="*Verdana-Bold-5195-Identity-H"/>
                <w:b/>
                <w:bCs/>
                <w:color w:val="141414"/>
                <w:sz w:val="21"/>
                <w:szCs w:val="21"/>
                <w:lang w:val="es-MX" w:eastAsia="en-US"/>
              </w:rPr>
            </w:pPr>
            <w:r w:rsidRPr="00E81330">
              <w:rPr>
                <w:rFonts w:ascii="Abadi" w:eastAsiaTheme="minorHAnsi" w:hAnsi="Abadi" w:cs="*Verdana-Bold-5195-Identity-H"/>
                <w:b/>
                <w:bCs/>
                <w:color w:val="141414"/>
                <w:sz w:val="21"/>
                <w:szCs w:val="21"/>
                <w:lang w:val="es-MX" w:eastAsia="en-US"/>
              </w:rPr>
              <w:t>León</w:t>
            </w:r>
          </w:p>
        </w:tc>
        <w:tc>
          <w:tcPr>
            <w:tcW w:w="2207" w:type="dxa"/>
          </w:tcPr>
          <w:p w14:paraId="53096D77" w14:textId="77777777" w:rsidR="00E81330" w:rsidRPr="00E81330" w:rsidRDefault="00E81330" w:rsidP="00E81330">
            <w:pPr>
              <w:autoSpaceDE w:val="0"/>
              <w:autoSpaceDN w:val="0"/>
              <w:adjustRightInd w:val="0"/>
              <w:jc w:val="both"/>
              <w:rPr>
                <w:rFonts w:ascii="Abadi" w:eastAsiaTheme="minorHAnsi" w:hAnsi="Abadi" w:cs="*Verdana-Bold-5195-Identity-H"/>
                <w:b/>
                <w:bCs/>
                <w:color w:val="181818"/>
                <w:sz w:val="21"/>
                <w:szCs w:val="21"/>
                <w:lang w:val="es-MX" w:eastAsia="en-US"/>
              </w:rPr>
            </w:pPr>
            <w:r w:rsidRPr="00E81330">
              <w:rPr>
                <w:rFonts w:ascii="Abadi" w:eastAsiaTheme="minorHAnsi" w:hAnsi="Abadi" w:cs="*Verdana-Bold-5195-Identity-H"/>
                <w:b/>
                <w:bCs/>
                <w:color w:val="131313"/>
                <w:sz w:val="21"/>
                <w:szCs w:val="21"/>
                <w:lang w:val="es-MX" w:eastAsia="en-US"/>
              </w:rPr>
              <w:t>$169,615.71</w:t>
            </w:r>
          </w:p>
        </w:tc>
        <w:tc>
          <w:tcPr>
            <w:tcW w:w="2207" w:type="dxa"/>
          </w:tcPr>
          <w:p w14:paraId="2BB946F2" w14:textId="77777777" w:rsidR="00E81330" w:rsidRPr="00E81330" w:rsidRDefault="00E81330" w:rsidP="00E81330">
            <w:pPr>
              <w:autoSpaceDE w:val="0"/>
              <w:autoSpaceDN w:val="0"/>
              <w:adjustRightInd w:val="0"/>
              <w:jc w:val="both"/>
              <w:rPr>
                <w:rFonts w:ascii="Abadi" w:eastAsiaTheme="minorHAnsi" w:hAnsi="Abadi" w:cs="*Verdana-Bold-5195-Identity-H"/>
                <w:b/>
                <w:bCs/>
                <w:color w:val="161616"/>
                <w:sz w:val="21"/>
                <w:szCs w:val="21"/>
                <w:lang w:val="es-MX" w:eastAsia="en-US"/>
              </w:rPr>
            </w:pPr>
            <w:r w:rsidRPr="00E81330">
              <w:rPr>
                <w:rFonts w:ascii="Abadi" w:eastAsiaTheme="minorHAnsi" w:hAnsi="Abadi" w:cs="*Verdana-Bold-5195-Identity-H"/>
                <w:b/>
                <w:bCs/>
                <w:color w:val="131313"/>
                <w:sz w:val="21"/>
                <w:szCs w:val="21"/>
                <w:lang w:val="es-MX" w:eastAsia="en-US"/>
              </w:rPr>
              <w:t>$84,806.80</w:t>
            </w:r>
          </w:p>
        </w:tc>
        <w:tc>
          <w:tcPr>
            <w:tcW w:w="2207" w:type="dxa"/>
          </w:tcPr>
          <w:p w14:paraId="7DE38E26" w14:textId="77777777" w:rsidR="00E81330" w:rsidRPr="00E81330" w:rsidRDefault="00E81330" w:rsidP="00E81330">
            <w:pPr>
              <w:autoSpaceDE w:val="0"/>
              <w:autoSpaceDN w:val="0"/>
              <w:adjustRightInd w:val="0"/>
              <w:jc w:val="both"/>
              <w:rPr>
                <w:rFonts w:ascii="Abadi" w:eastAsiaTheme="minorHAnsi" w:hAnsi="Abadi" w:cs="*Verdana-Bold-5195-Identity-H"/>
                <w:b/>
                <w:bCs/>
                <w:color w:val="131313"/>
                <w:sz w:val="21"/>
                <w:szCs w:val="21"/>
                <w:lang w:val="es-MX" w:eastAsia="en-US"/>
              </w:rPr>
            </w:pPr>
            <w:r w:rsidRPr="00E81330">
              <w:rPr>
                <w:rFonts w:ascii="Abadi" w:eastAsiaTheme="minorHAnsi" w:hAnsi="Abadi" w:cs="*Verdana-Bold-5195-Identity-H"/>
                <w:b/>
                <w:bCs/>
                <w:color w:val="131313"/>
                <w:sz w:val="21"/>
                <w:szCs w:val="21"/>
                <w:lang w:val="es-MX" w:eastAsia="en-US"/>
              </w:rPr>
              <w:t>$76,325.90</w:t>
            </w:r>
          </w:p>
        </w:tc>
      </w:tr>
      <w:tr w:rsidR="00E81330" w:rsidRPr="00E81330" w14:paraId="0C44058F" w14:textId="77777777" w:rsidTr="000C51A7">
        <w:tc>
          <w:tcPr>
            <w:tcW w:w="2207" w:type="dxa"/>
          </w:tcPr>
          <w:p w14:paraId="7E77010E" w14:textId="77777777" w:rsidR="00E81330" w:rsidRPr="00E81330" w:rsidRDefault="00E81330" w:rsidP="00E81330">
            <w:pPr>
              <w:autoSpaceDE w:val="0"/>
              <w:autoSpaceDN w:val="0"/>
              <w:adjustRightInd w:val="0"/>
              <w:jc w:val="both"/>
              <w:rPr>
                <w:rFonts w:ascii="Abadi" w:eastAsiaTheme="minorHAnsi" w:hAnsi="Abadi" w:cs="*Verdana-Bold-4722-Identity-H"/>
                <w:b/>
                <w:bCs/>
                <w:color w:val="151515"/>
                <w:sz w:val="21"/>
                <w:szCs w:val="21"/>
                <w:lang w:val="es-MX" w:eastAsia="en-US"/>
              </w:rPr>
            </w:pPr>
            <w:r w:rsidRPr="00E81330">
              <w:rPr>
                <w:rFonts w:ascii="Abadi" w:eastAsiaTheme="minorHAnsi" w:hAnsi="Abadi" w:cs="*Verdana-Bold-4722-Identity-H"/>
                <w:b/>
                <w:bCs/>
                <w:color w:val="151515"/>
                <w:sz w:val="21"/>
                <w:szCs w:val="21"/>
                <w:lang w:val="es-MX" w:eastAsia="en-US"/>
              </w:rPr>
              <w:t>Manuel Doblado</w:t>
            </w:r>
          </w:p>
        </w:tc>
        <w:tc>
          <w:tcPr>
            <w:tcW w:w="2207" w:type="dxa"/>
          </w:tcPr>
          <w:p w14:paraId="3670849A" w14:textId="77777777" w:rsidR="00E81330" w:rsidRPr="00E81330" w:rsidRDefault="00E81330" w:rsidP="00E81330">
            <w:pPr>
              <w:autoSpaceDE w:val="0"/>
              <w:autoSpaceDN w:val="0"/>
              <w:adjustRightInd w:val="0"/>
              <w:jc w:val="both"/>
              <w:rPr>
                <w:rFonts w:ascii="Abadi" w:eastAsiaTheme="minorHAnsi" w:hAnsi="Abadi" w:cs="*Verdana-Bold-5195-Identity-H"/>
                <w:b/>
                <w:bCs/>
                <w:color w:val="181818"/>
                <w:sz w:val="21"/>
                <w:szCs w:val="21"/>
                <w:lang w:val="es-MX" w:eastAsia="en-US"/>
              </w:rPr>
            </w:pPr>
            <w:r w:rsidRPr="00E81330">
              <w:rPr>
                <w:rFonts w:ascii="Abadi" w:eastAsiaTheme="minorHAnsi" w:hAnsi="Abadi" w:cs="*Verdana-Bold-4722-Identity-H"/>
                <w:b/>
                <w:bCs/>
                <w:color w:val="141414"/>
                <w:sz w:val="21"/>
                <w:szCs w:val="21"/>
                <w:lang w:val="es-MX" w:eastAsia="en-US"/>
              </w:rPr>
              <w:t>$67,845.01</w:t>
            </w:r>
          </w:p>
        </w:tc>
        <w:tc>
          <w:tcPr>
            <w:tcW w:w="2207" w:type="dxa"/>
          </w:tcPr>
          <w:p w14:paraId="159BCE02" w14:textId="77777777" w:rsidR="00E81330" w:rsidRPr="00E81330" w:rsidRDefault="00E81330" w:rsidP="00E81330">
            <w:pPr>
              <w:autoSpaceDE w:val="0"/>
              <w:autoSpaceDN w:val="0"/>
              <w:adjustRightInd w:val="0"/>
              <w:jc w:val="both"/>
              <w:rPr>
                <w:rFonts w:ascii="Abadi" w:eastAsiaTheme="minorHAnsi" w:hAnsi="Abadi" w:cs="*Verdana-Bold-5195-Identity-H"/>
                <w:b/>
                <w:bCs/>
                <w:color w:val="161616"/>
                <w:sz w:val="21"/>
                <w:szCs w:val="21"/>
                <w:lang w:val="es-MX" w:eastAsia="en-US"/>
              </w:rPr>
            </w:pPr>
            <w:r w:rsidRPr="00E81330">
              <w:rPr>
                <w:rFonts w:ascii="Abadi" w:eastAsiaTheme="minorHAnsi" w:hAnsi="Abadi" w:cs="*Verdana-Bold-4722-Identity-H"/>
                <w:b/>
                <w:bCs/>
                <w:color w:val="151515"/>
                <w:sz w:val="21"/>
                <w:szCs w:val="21"/>
                <w:lang w:val="es-MX" w:eastAsia="en-US"/>
              </w:rPr>
              <w:t>$33,921.44</w:t>
            </w:r>
          </w:p>
        </w:tc>
        <w:tc>
          <w:tcPr>
            <w:tcW w:w="2207" w:type="dxa"/>
          </w:tcPr>
          <w:p w14:paraId="153ACFD6"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4722-Identity-H"/>
                <w:b/>
                <w:bCs/>
                <w:color w:val="141414"/>
                <w:sz w:val="21"/>
                <w:szCs w:val="21"/>
                <w:lang w:val="es-MX" w:eastAsia="en-US"/>
              </w:rPr>
              <w:t>$30,529.08</w:t>
            </w:r>
          </w:p>
        </w:tc>
      </w:tr>
      <w:tr w:rsidR="00E81330" w:rsidRPr="00E81330" w14:paraId="67BC6631" w14:textId="77777777" w:rsidTr="000C51A7">
        <w:tc>
          <w:tcPr>
            <w:tcW w:w="2207" w:type="dxa"/>
          </w:tcPr>
          <w:p w14:paraId="2895F6FF"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4722-Identity-H"/>
                <w:b/>
                <w:bCs/>
                <w:color w:val="141414"/>
                <w:sz w:val="21"/>
                <w:szCs w:val="21"/>
                <w:lang w:val="es-MX" w:eastAsia="en-US"/>
              </w:rPr>
              <w:t>Moroleón</w:t>
            </w:r>
          </w:p>
        </w:tc>
        <w:tc>
          <w:tcPr>
            <w:tcW w:w="2207" w:type="dxa"/>
          </w:tcPr>
          <w:p w14:paraId="1C316962"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4722-Identity-H"/>
                <w:b/>
                <w:bCs/>
                <w:color w:val="141414"/>
                <w:sz w:val="21"/>
                <w:szCs w:val="21"/>
                <w:lang w:val="es-MX" w:eastAsia="en-US"/>
              </w:rPr>
              <w:t>$90,460.73</w:t>
            </w:r>
          </w:p>
        </w:tc>
        <w:tc>
          <w:tcPr>
            <w:tcW w:w="2207" w:type="dxa"/>
          </w:tcPr>
          <w:p w14:paraId="2EA498CA" w14:textId="77777777" w:rsidR="00E81330" w:rsidRPr="00E81330" w:rsidRDefault="00E81330" w:rsidP="00E81330">
            <w:pPr>
              <w:autoSpaceDE w:val="0"/>
              <w:autoSpaceDN w:val="0"/>
              <w:adjustRightInd w:val="0"/>
              <w:jc w:val="both"/>
              <w:rPr>
                <w:rFonts w:ascii="Abadi" w:eastAsiaTheme="minorHAnsi" w:hAnsi="Abadi" w:cs="*Verdana-Bold-4722-Identity-H"/>
                <w:b/>
                <w:bCs/>
                <w:color w:val="151515"/>
                <w:sz w:val="21"/>
                <w:szCs w:val="21"/>
                <w:lang w:val="es-MX" w:eastAsia="en-US"/>
              </w:rPr>
            </w:pPr>
            <w:r w:rsidRPr="00E81330">
              <w:rPr>
                <w:rFonts w:ascii="Abadi" w:eastAsiaTheme="minorHAnsi" w:hAnsi="Abadi" w:cs="*Verdana-Bold-4722-Identity-H"/>
                <w:b/>
                <w:bCs/>
                <w:color w:val="141414"/>
                <w:sz w:val="21"/>
                <w:szCs w:val="21"/>
                <w:lang w:val="es-MX" w:eastAsia="en-US"/>
              </w:rPr>
              <w:t>$45,229.29</w:t>
            </w:r>
          </w:p>
        </w:tc>
        <w:tc>
          <w:tcPr>
            <w:tcW w:w="2207" w:type="dxa"/>
          </w:tcPr>
          <w:p w14:paraId="7B863C18"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4722-Identity-H"/>
                <w:b/>
                <w:bCs/>
                <w:color w:val="141414"/>
                <w:sz w:val="21"/>
                <w:szCs w:val="21"/>
                <w:lang w:val="es-MX" w:eastAsia="en-US"/>
              </w:rPr>
              <w:t>$40,706.16</w:t>
            </w:r>
          </w:p>
        </w:tc>
      </w:tr>
      <w:tr w:rsidR="00E81330" w:rsidRPr="00E81330" w14:paraId="141524E7" w14:textId="77777777" w:rsidTr="000C51A7">
        <w:tc>
          <w:tcPr>
            <w:tcW w:w="2207" w:type="dxa"/>
          </w:tcPr>
          <w:p w14:paraId="41A96135" w14:textId="77777777" w:rsidR="00E81330" w:rsidRPr="00E81330" w:rsidRDefault="00E81330" w:rsidP="00E81330">
            <w:pPr>
              <w:autoSpaceDE w:val="0"/>
              <w:autoSpaceDN w:val="0"/>
              <w:adjustRightInd w:val="0"/>
              <w:jc w:val="both"/>
              <w:rPr>
                <w:rFonts w:ascii="Abadi" w:eastAsiaTheme="minorHAnsi" w:hAnsi="Abadi" w:cs="*Verdana-Bold-4722-Identity-H"/>
                <w:b/>
                <w:bCs/>
                <w:color w:val="151515"/>
                <w:sz w:val="21"/>
                <w:szCs w:val="21"/>
                <w:lang w:val="es-MX" w:eastAsia="en-US"/>
              </w:rPr>
            </w:pPr>
            <w:r w:rsidRPr="00E81330">
              <w:rPr>
                <w:rFonts w:ascii="Abadi" w:eastAsiaTheme="minorHAnsi" w:hAnsi="Abadi" w:cs="*Verdana-Bold-4722-Identity-H"/>
                <w:b/>
                <w:bCs/>
                <w:color w:val="151515"/>
                <w:sz w:val="21"/>
                <w:szCs w:val="21"/>
                <w:lang w:val="es-MX" w:eastAsia="en-US"/>
              </w:rPr>
              <w:t>Ocampo</w:t>
            </w:r>
          </w:p>
        </w:tc>
        <w:tc>
          <w:tcPr>
            <w:tcW w:w="2207" w:type="dxa"/>
          </w:tcPr>
          <w:p w14:paraId="1A030E51"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4722-Identity-H"/>
                <w:b/>
                <w:bCs/>
                <w:color w:val="131313"/>
                <w:sz w:val="21"/>
                <w:szCs w:val="21"/>
                <w:lang w:val="es-MX" w:eastAsia="en-US"/>
              </w:rPr>
              <w:t>$56,537.15</w:t>
            </w:r>
          </w:p>
        </w:tc>
        <w:tc>
          <w:tcPr>
            <w:tcW w:w="2207" w:type="dxa"/>
          </w:tcPr>
          <w:p w14:paraId="0248E7A9" w14:textId="77777777" w:rsidR="00E81330" w:rsidRPr="00E81330" w:rsidRDefault="00E81330" w:rsidP="00E81330">
            <w:pPr>
              <w:autoSpaceDE w:val="0"/>
              <w:autoSpaceDN w:val="0"/>
              <w:adjustRightInd w:val="0"/>
              <w:jc w:val="both"/>
              <w:rPr>
                <w:rFonts w:ascii="Abadi" w:eastAsiaTheme="minorHAnsi" w:hAnsi="Abadi" w:cs="*Verdana-Bold-4722-Identity-H"/>
                <w:b/>
                <w:bCs/>
                <w:color w:val="151515"/>
                <w:sz w:val="21"/>
                <w:szCs w:val="21"/>
                <w:lang w:val="es-MX" w:eastAsia="en-US"/>
              </w:rPr>
            </w:pPr>
            <w:r w:rsidRPr="00E81330">
              <w:rPr>
                <w:rFonts w:ascii="Abadi" w:eastAsiaTheme="minorHAnsi" w:hAnsi="Abadi" w:cs="*Verdana-Bold-4722-Identity-H"/>
                <w:b/>
                <w:bCs/>
                <w:color w:val="141414"/>
                <w:sz w:val="21"/>
                <w:szCs w:val="21"/>
                <w:lang w:val="es-MX" w:eastAsia="en-US"/>
              </w:rPr>
              <w:t>$28,267.51</w:t>
            </w:r>
          </w:p>
        </w:tc>
        <w:tc>
          <w:tcPr>
            <w:tcW w:w="2207" w:type="dxa"/>
          </w:tcPr>
          <w:p w14:paraId="41EBF4A5"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4722-Identity-H"/>
                <w:b/>
                <w:bCs/>
                <w:color w:val="141414"/>
                <w:sz w:val="21"/>
                <w:szCs w:val="21"/>
                <w:lang w:val="es-MX" w:eastAsia="en-US"/>
              </w:rPr>
              <w:t>$25,440.55</w:t>
            </w:r>
          </w:p>
        </w:tc>
      </w:tr>
      <w:tr w:rsidR="00E81330" w:rsidRPr="00E81330" w14:paraId="6A1FE304" w14:textId="77777777" w:rsidTr="000C51A7">
        <w:tc>
          <w:tcPr>
            <w:tcW w:w="2207" w:type="dxa"/>
          </w:tcPr>
          <w:p w14:paraId="0A357CED"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4722-Identity-H"/>
                <w:b/>
                <w:bCs/>
                <w:color w:val="141414"/>
                <w:sz w:val="21"/>
                <w:szCs w:val="21"/>
                <w:lang w:val="es-MX" w:eastAsia="en-US"/>
              </w:rPr>
              <w:t>Pénjamo</w:t>
            </w:r>
          </w:p>
        </w:tc>
        <w:tc>
          <w:tcPr>
            <w:tcW w:w="2207" w:type="dxa"/>
          </w:tcPr>
          <w:p w14:paraId="41063CC1"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4722-Identity-H"/>
                <w:b/>
                <w:bCs/>
                <w:color w:val="141414"/>
                <w:sz w:val="21"/>
                <w:szCs w:val="21"/>
                <w:lang w:val="es-MX" w:eastAsia="en-US"/>
              </w:rPr>
              <w:t>$107,422.51</w:t>
            </w:r>
          </w:p>
        </w:tc>
        <w:tc>
          <w:tcPr>
            <w:tcW w:w="2207" w:type="dxa"/>
          </w:tcPr>
          <w:p w14:paraId="27559BD8" w14:textId="77777777" w:rsidR="00E81330" w:rsidRPr="00E81330" w:rsidRDefault="00E81330" w:rsidP="00E81330">
            <w:pPr>
              <w:autoSpaceDE w:val="0"/>
              <w:autoSpaceDN w:val="0"/>
              <w:adjustRightInd w:val="0"/>
              <w:jc w:val="both"/>
              <w:rPr>
                <w:rFonts w:ascii="Abadi" w:eastAsiaTheme="minorHAnsi" w:hAnsi="Abadi" w:cs="*Verdana-Bold-4722-Identity-H"/>
                <w:b/>
                <w:bCs/>
                <w:color w:val="151515"/>
                <w:sz w:val="21"/>
                <w:szCs w:val="21"/>
                <w:lang w:val="es-MX" w:eastAsia="en-US"/>
              </w:rPr>
            </w:pPr>
            <w:r w:rsidRPr="00E81330">
              <w:rPr>
                <w:rFonts w:ascii="Abadi" w:eastAsiaTheme="minorHAnsi" w:hAnsi="Abadi" w:cs="*Verdana-Bold-4722-Identity-H"/>
                <w:b/>
                <w:bCs/>
                <w:color w:val="131313"/>
                <w:sz w:val="21"/>
                <w:szCs w:val="21"/>
                <w:lang w:val="es-MX" w:eastAsia="en-US"/>
              </w:rPr>
              <w:t>$53,710.19</w:t>
            </w:r>
          </w:p>
        </w:tc>
        <w:tc>
          <w:tcPr>
            <w:tcW w:w="2207" w:type="dxa"/>
          </w:tcPr>
          <w:p w14:paraId="1A487E3E" w14:textId="77777777" w:rsidR="00E81330" w:rsidRPr="00E81330" w:rsidRDefault="00E81330" w:rsidP="00E81330">
            <w:pPr>
              <w:autoSpaceDE w:val="0"/>
              <w:autoSpaceDN w:val="0"/>
              <w:adjustRightInd w:val="0"/>
              <w:jc w:val="both"/>
              <w:rPr>
                <w:rFonts w:ascii="Abadi" w:eastAsiaTheme="minorHAnsi" w:hAnsi="Abadi" w:cs="*Verdana-Bold-4722-Identity-H"/>
                <w:b/>
                <w:bCs/>
                <w:color w:val="131313"/>
                <w:sz w:val="21"/>
                <w:szCs w:val="21"/>
                <w:lang w:val="es-MX" w:eastAsia="en-US"/>
              </w:rPr>
            </w:pPr>
            <w:r w:rsidRPr="00E81330">
              <w:rPr>
                <w:rFonts w:ascii="Abadi" w:eastAsiaTheme="minorHAnsi" w:hAnsi="Abadi" w:cs="*Verdana-Bold-4722-Identity-H"/>
                <w:b/>
                <w:bCs/>
                <w:color w:val="131313"/>
                <w:sz w:val="21"/>
                <w:szCs w:val="21"/>
                <w:lang w:val="es-MX" w:eastAsia="en-US"/>
              </w:rPr>
              <w:t>$48,338.95</w:t>
            </w:r>
          </w:p>
        </w:tc>
      </w:tr>
      <w:tr w:rsidR="00E81330" w:rsidRPr="00E81330" w14:paraId="3E149C46" w14:textId="77777777" w:rsidTr="000C51A7">
        <w:tc>
          <w:tcPr>
            <w:tcW w:w="2207" w:type="dxa"/>
          </w:tcPr>
          <w:p w14:paraId="64551021" w14:textId="77777777" w:rsidR="00E81330" w:rsidRPr="00E81330" w:rsidRDefault="00E81330" w:rsidP="00E81330">
            <w:pPr>
              <w:autoSpaceDE w:val="0"/>
              <w:autoSpaceDN w:val="0"/>
              <w:adjustRightInd w:val="0"/>
              <w:jc w:val="both"/>
              <w:rPr>
                <w:rFonts w:ascii="Abadi" w:eastAsiaTheme="minorHAnsi" w:hAnsi="Abadi" w:cs="*Verdana-Bold-4722-Identity-H"/>
                <w:b/>
                <w:bCs/>
                <w:color w:val="151515"/>
                <w:sz w:val="21"/>
                <w:szCs w:val="21"/>
                <w:lang w:val="es-MX" w:eastAsia="en-US"/>
              </w:rPr>
            </w:pPr>
            <w:r w:rsidRPr="00E81330">
              <w:rPr>
                <w:rFonts w:ascii="Abadi" w:eastAsiaTheme="minorHAnsi" w:hAnsi="Abadi" w:cs="*Verdana-Bold-4722-Identity-H"/>
                <w:b/>
                <w:bCs/>
                <w:color w:val="151515"/>
                <w:sz w:val="21"/>
                <w:szCs w:val="21"/>
                <w:lang w:val="es-MX" w:eastAsia="en-US"/>
              </w:rPr>
              <w:t>Pueblo Nuevo</w:t>
            </w:r>
          </w:p>
        </w:tc>
        <w:tc>
          <w:tcPr>
            <w:tcW w:w="2207" w:type="dxa"/>
          </w:tcPr>
          <w:p w14:paraId="2E58AF9C"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4722-Identity-H"/>
                <w:b/>
                <w:bCs/>
                <w:color w:val="141414"/>
                <w:sz w:val="21"/>
                <w:szCs w:val="21"/>
                <w:lang w:val="es-MX" w:eastAsia="en-US"/>
              </w:rPr>
              <w:t>$50,883.22</w:t>
            </w:r>
          </w:p>
        </w:tc>
        <w:tc>
          <w:tcPr>
            <w:tcW w:w="2207" w:type="dxa"/>
          </w:tcPr>
          <w:p w14:paraId="1B55C38C" w14:textId="77777777" w:rsidR="00E81330" w:rsidRPr="00E81330" w:rsidRDefault="00E81330" w:rsidP="00E81330">
            <w:pPr>
              <w:autoSpaceDE w:val="0"/>
              <w:autoSpaceDN w:val="0"/>
              <w:adjustRightInd w:val="0"/>
              <w:jc w:val="both"/>
              <w:rPr>
                <w:rFonts w:ascii="Abadi" w:eastAsiaTheme="minorHAnsi" w:hAnsi="Abadi" w:cs="*Verdana-Bold-4722-Identity-H"/>
                <w:b/>
                <w:bCs/>
                <w:color w:val="151515"/>
                <w:sz w:val="21"/>
                <w:szCs w:val="21"/>
                <w:lang w:val="es-MX" w:eastAsia="en-US"/>
              </w:rPr>
            </w:pPr>
            <w:r w:rsidRPr="00E81330">
              <w:rPr>
                <w:rFonts w:ascii="Abadi" w:eastAsiaTheme="minorHAnsi" w:hAnsi="Abadi" w:cs="*Verdana-Bold-4722-Identity-H"/>
                <w:b/>
                <w:bCs/>
                <w:color w:val="141414"/>
                <w:sz w:val="21"/>
                <w:szCs w:val="21"/>
                <w:lang w:val="es-MX" w:eastAsia="en-US"/>
              </w:rPr>
              <w:t>$25,440.55</w:t>
            </w:r>
          </w:p>
        </w:tc>
        <w:tc>
          <w:tcPr>
            <w:tcW w:w="2207" w:type="dxa"/>
          </w:tcPr>
          <w:p w14:paraId="443B9D76"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4722-Identity-H"/>
                <w:b/>
                <w:bCs/>
                <w:color w:val="141414"/>
                <w:sz w:val="21"/>
                <w:szCs w:val="21"/>
                <w:lang w:val="es-MX" w:eastAsia="en-US"/>
              </w:rPr>
              <w:t>$22,896.28</w:t>
            </w:r>
          </w:p>
        </w:tc>
      </w:tr>
      <w:tr w:rsidR="00E81330" w:rsidRPr="00E81330" w14:paraId="4FC09F61" w14:textId="77777777" w:rsidTr="000C51A7">
        <w:tc>
          <w:tcPr>
            <w:tcW w:w="2207" w:type="dxa"/>
          </w:tcPr>
          <w:p w14:paraId="37BBEC31"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4722-Identity-H"/>
                <w:b/>
                <w:bCs/>
                <w:color w:val="141414"/>
                <w:sz w:val="21"/>
                <w:szCs w:val="21"/>
                <w:lang w:val="es-MX" w:eastAsia="en-US"/>
              </w:rPr>
              <w:t>Purísima del Rincón</w:t>
            </w:r>
          </w:p>
        </w:tc>
        <w:tc>
          <w:tcPr>
            <w:tcW w:w="2207" w:type="dxa"/>
          </w:tcPr>
          <w:p w14:paraId="3F60E792"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r w:rsidRPr="00E81330">
              <w:rPr>
                <w:rFonts w:ascii="Abadi" w:eastAsiaTheme="minorHAnsi" w:hAnsi="Abadi" w:cs="*Verdana-Bold-4722-Identity-H"/>
                <w:b/>
                <w:bCs/>
                <w:color w:val="131313"/>
                <w:sz w:val="21"/>
                <w:szCs w:val="21"/>
                <w:lang w:val="es-MX" w:eastAsia="en-US"/>
              </w:rPr>
              <w:t>$84,806.80</w:t>
            </w:r>
          </w:p>
        </w:tc>
        <w:tc>
          <w:tcPr>
            <w:tcW w:w="2207" w:type="dxa"/>
          </w:tcPr>
          <w:p w14:paraId="03A0A8BB"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r w:rsidRPr="00E81330">
              <w:rPr>
                <w:rFonts w:ascii="Abadi" w:eastAsiaTheme="minorHAnsi" w:hAnsi="Abadi" w:cs="*Verdana-Bold-4722-Identity-H"/>
                <w:b/>
                <w:bCs/>
                <w:color w:val="141414"/>
                <w:sz w:val="21"/>
                <w:szCs w:val="21"/>
                <w:lang w:val="es-MX" w:eastAsia="en-US"/>
              </w:rPr>
              <w:t>$42,402.33</w:t>
            </w:r>
          </w:p>
        </w:tc>
        <w:tc>
          <w:tcPr>
            <w:tcW w:w="2207" w:type="dxa"/>
          </w:tcPr>
          <w:p w14:paraId="4575B57F"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4722-Identity-H"/>
                <w:b/>
                <w:bCs/>
                <w:color w:val="141414"/>
                <w:sz w:val="21"/>
                <w:szCs w:val="21"/>
                <w:lang w:val="es-MX" w:eastAsia="en-US"/>
              </w:rPr>
              <w:t>$38,161.89</w:t>
            </w:r>
          </w:p>
        </w:tc>
      </w:tr>
      <w:tr w:rsidR="00E81330" w:rsidRPr="00E81330" w14:paraId="5721E2F1" w14:textId="77777777" w:rsidTr="000C51A7">
        <w:tc>
          <w:tcPr>
            <w:tcW w:w="2207" w:type="dxa"/>
          </w:tcPr>
          <w:p w14:paraId="2BAF28B4" w14:textId="77777777" w:rsidR="00E81330" w:rsidRPr="00E81330" w:rsidRDefault="00E81330" w:rsidP="00E81330">
            <w:pPr>
              <w:autoSpaceDE w:val="0"/>
              <w:autoSpaceDN w:val="0"/>
              <w:adjustRightInd w:val="0"/>
              <w:jc w:val="both"/>
              <w:rPr>
                <w:rFonts w:ascii="Abadi" w:eastAsiaTheme="minorHAnsi" w:hAnsi="Abadi" w:cs="*Verdana-Bold-4722-Identity-H"/>
                <w:b/>
                <w:bCs/>
                <w:color w:val="151515"/>
                <w:sz w:val="21"/>
                <w:szCs w:val="21"/>
                <w:lang w:val="es-MX" w:eastAsia="en-US"/>
              </w:rPr>
            </w:pPr>
            <w:r w:rsidRPr="00E81330">
              <w:rPr>
                <w:rFonts w:ascii="Abadi" w:eastAsiaTheme="minorHAnsi" w:hAnsi="Abadi" w:cs="*Verdana-Bold-4722-Identity-H"/>
                <w:b/>
                <w:bCs/>
                <w:color w:val="151515"/>
                <w:sz w:val="21"/>
                <w:szCs w:val="21"/>
                <w:lang w:val="es-MX" w:eastAsia="en-US"/>
              </w:rPr>
              <w:t>Romita</w:t>
            </w:r>
          </w:p>
        </w:tc>
        <w:tc>
          <w:tcPr>
            <w:tcW w:w="2207" w:type="dxa"/>
          </w:tcPr>
          <w:p w14:paraId="79B93A68"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r w:rsidRPr="00E81330">
              <w:rPr>
                <w:rFonts w:ascii="Abadi" w:eastAsiaTheme="minorHAnsi" w:hAnsi="Abadi" w:cs="*Verdana-Bold-4722-Identity-H"/>
                <w:b/>
                <w:bCs/>
                <w:color w:val="141414"/>
                <w:sz w:val="21"/>
                <w:szCs w:val="21"/>
                <w:lang w:val="es-MX" w:eastAsia="en-US"/>
              </w:rPr>
              <w:t>$79,152.87</w:t>
            </w:r>
          </w:p>
        </w:tc>
        <w:tc>
          <w:tcPr>
            <w:tcW w:w="2207" w:type="dxa"/>
          </w:tcPr>
          <w:p w14:paraId="5202B0C0"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r w:rsidRPr="00E81330">
              <w:rPr>
                <w:rFonts w:ascii="Abadi" w:eastAsiaTheme="minorHAnsi" w:hAnsi="Abadi" w:cs="*Verdana-Bold-4722-Identity-H"/>
                <w:b/>
                <w:bCs/>
                <w:color w:val="131313"/>
                <w:sz w:val="21"/>
                <w:szCs w:val="21"/>
                <w:lang w:val="es-MX" w:eastAsia="en-US"/>
              </w:rPr>
              <w:t>$39,575.36</w:t>
            </w:r>
          </w:p>
        </w:tc>
        <w:tc>
          <w:tcPr>
            <w:tcW w:w="2207" w:type="dxa"/>
          </w:tcPr>
          <w:p w14:paraId="4C439116" w14:textId="77777777" w:rsidR="00E81330" w:rsidRPr="00E81330" w:rsidRDefault="00E81330" w:rsidP="00E81330">
            <w:pPr>
              <w:autoSpaceDE w:val="0"/>
              <w:autoSpaceDN w:val="0"/>
              <w:adjustRightInd w:val="0"/>
              <w:jc w:val="both"/>
              <w:rPr>
                <w:rFonts w:ascii="Abadi" w:eastAsiaTheme="minorHAnsi" w:hAnsi="Abadi" w:cs="*Verdana-Bold-4722-Identity-H"/>
                <w:b/>
                <w:bCs/>
                <w:color w:val="151515"/>
                <w:sz w:val="21"/>
                <w:szCs w:val="21"/>
                <w:lang w:val="es-MX" w:eastAsia="en-US"/>
              </w:rPr>
            </w:pPr>
            <w:r w:rsidRPr="00E81330">
              <w:rPr>
                <w:rFonts w:ascii="Abadi" w:eastAsiaTheme="minorHAnsi" w:hAnsi="Abadi" w:cs="*Verdana-Bold-4722-Identity-H"/>
                <w:b/>
                <w:bCs/>
                <w:color w:val="151515"/>
                <w:sz w:val="21"/>
                <w:szCs w:val="21"/>
                <w:lang w:val="es-MX" w:eastAsia="en-US"/>
              </w:rPr>
              <w:t>$35,617.61</w:t>
            </w:r>
          </w:p>
        </w:tc>
      </w:tr>
      <w:tr w:rsidR="00E81330" w:rsidRPr="00E81330" w14:paraId="0E28C13C" w14:textId="77777777" w:rsidTr="000C51A7">
        <w:tc>
          <w:tcPr>
            <w:tcW w:w="2207" w:type="dxa"/>
          </w:tcPr>
          <w:p w14:paraId="4A0C0B3F"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4722-Identity-H"/>
                <w:b/>
                <w:bCs/>
                <w:color w:val="141414"/>
                <w:sz w:val="21"/>
                <w:szCs w:val="21"/>
                <w:lang w:val="es-MX" w:eastAsia="en-US"/>
              </w:rPr>
              <w:t>Salamanca</w:t>
            </w:r>
          </w:p>
        </w:tc>
        <w:tc>
          <w:tcPr>
            <w:tcW w:w="2207" w:type="dxa"/>
          </w:tcPr>
          <w:p w14:paraId="4B18459B"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r w:rsidRPr="00E81330">
              <w:rPr>
                <w:rFonts w:ascii="Abadi" w:eastAsiaTheme="minorHAnsi" w:hAnsi="Abadi" w:cs="*Verdana-Bold-4722-Identity-H"/>
                <w:b/>
                <w:bCs/>
                <w:color w:val="141414"/>
                <w:sz w:val="21"/>
                <w:szCs w:val="21"/>
                <w:lang w:val="es-MX" w:eastAsia="en-US"/>
              </w:rPr>
              <w:t>$135,692.15</w:t>
            </w:r>
          </w:p>
        </w:tc>
        <w:tc>
          <w:tcPr>
            <w:tcW w:w="2207" w:type="dxa"/>
          </w:tcPr>
          <w:p w14:paraId="7D331D5A"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r w:rsidRPr="00E81330">
              <w:rPr>
                <w:rFonts w:ascii="Abadi" w:eastAsiaTheme="minorHAnsi" w:hAnsi="Abadi" w:cs="*Verdana-Bold-4722-Identity-H"/>
                <w:b/>
                <w:bCs/>
                <w:color w:val="141414"/>
                <w:sz w:val="21"/>
                <w:szCs w:val="21"/>
                <w:lang w:val="es-MX" w:eastAsia="en-US"/>
              </w:rPr>
              <w:t>$67,845.01</w:t>
            </w:r>
          </w:p>
        </w:tc>
        <w:tc>
          <w:tcPr>
            <w:tcW w:w="2207" w:type="dxa"/>
          </w:tcPr>
          <w:p w14:paraId="2CFA01EE"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4722-Identity-H"/>
                <w:b/>
                <w:bCs/>
                <w:color w:val="141414"/>
                <w:sz w:val="21"/>
                <w:szCs w:val="21"/>
                <w:lang w:val="es-MX" w:eastAsia="en-US"/>
              </w:rPr>
              <w:t>$61,060.29</w:t>
            </w:r>
          </w:p>
        </w:tc>
      </w:tr>
      <w:tr w:rsidR="00E81330" w:rsidRPr="00E81330" w14:paraId="23073956" w14:textId="77777777" w:rsidTr="000C51A7">
        <w:tc>
          <w:tcPr>
            <w:tcW w:w="2207" w:type="dxa"/>
          </w:tcPr>
          <w:p w14:paraId="4C89CFFF" w14:textId="77777777" w:rsidR="00E81330" w:rsidRPr="00E81330" w:rsidRDefault="00E81330" w:rsidP="00E81330">
            <w:pPr>
              <w:autoSpaceDE w:val="0"/>
              <w:autoSpaceDN w:val="0"/>
              <w:adjustRightInd w:val="0"/>
              <w:jc w:val="both"/>
              <w:rPr>
                <w:rFonts w:ascii="Abadi" w:eastAsiaTheme="minorHAnsi" w:hAnsi="Abadi" w:cs="*Verdana-Bold-4722-Identity-H"/>
                <w:b/>
                <w:bCs/>
                <w:color w:val="131313"/>
                <w:sz w:val="21"/>
                <w:szCs w:val="21"/>
                <w:lang w:val="es-MX" w:eastAsia="en-US"/>
              </w:rPr>
            </w:pPr>
            <w:r w:rsidRPr="00E81330">
              <w:rPr>
                <w:rFonts w:ascii="Abadi" w:eastAsiaTheme="minorHAnsi" w:hAnsi="Abadi" w:cs="*Verdana-Bold-4722-Identity-H"/>
                <w:b/>
                <w:bCs/>
                <w:color w:val="131313"/>
                <w:sz w:val="21"/>
                <w:szCs w:val="21"/>
                <w:lang w:val="es-MX" w:eastAsia="en-US"/>
              </w:rPr>
              <w:t>Salvatierra</w:t>
            </w:r>
          </w:p>
        </w:tc>
        <w:tc>
          <w:tcPr>
            <w:tcW w:w="2207" w:type="dxa"/>
          </w:tcPr>
          <w:p w14:paraId="5DFD4220"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r w:rsidRPr="00E81330">
              <w:rPr>
                <w:rFonts w:ascii="Abadi" w:eastAsiaTheme="minorHAnsi" w:hAnsi="Abadi" w:cs="*Verdana-Bold-4722-Identity-H"/>
                <w:b/>
                <w:bCs/>
                <w:color w:val="141414"/>
                <w:sz w:val="21"/>
                <w:szCs w:val="21"/>
                <w:lang w:val="es-MX" w:eastAsia="en-US"/>
              </w:rPr>
              <w:t>$96,114.65</w:t>
            </w:r>
          </w:p>
        </w:tc>
        <w:tc>
          <w:tcPr>
            <w:tcW w:w="2207" w:type="dxa"/>
          </w:tcPr>
          <w:p w14:paraId="57DEB352"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r w:rsidRPr="00E81330">
              <w:rPr>
                <w:rFonts w:ascii="Abadi" w:eastAsiaTheme="minorHAnsi" w:hAnsi="Abadi" w:cs="*Verdana-Bold-4722-Identity-H"/>
                <w:b/>
                <w:bCs/>
                <w:color w:val="131313"/>
                <w:sz w:val="21"/>
                <w:szCs w:val="21"/>
                <w:lang w:val="es-MX" w:eastAsia="en-US"/>
              </w:rPr>
              <w:t>$48,056.26</w:t>
            </w:r>
          </w:p>
        </w:tc>
        <w:tc>
          <w:tcPr>
            <w:tcW w:w="2207" w:type="dxa"/>
          </w:tcPr>
          <w:p w14:paraId="159227A2"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4722-Identity-H"/>
                <w:b/>
                <w:bCs/>
                <w:color w:val="141414"/>
                <w:sz w:val="21"/>
                <w:szCs w:val="21"/>
                <w:lang w:val="es-MX" w:eastAsia="en-US"/>
              </w:rPr>
              <w:t>$43,250.42</w:t>
            </w:r>
          </w:p>
        </w:tc>
      </w:tr>
      <w:tr w:rsidR="00E81330" w:rsidRPr="00E81330" w14:paraId="4022FBCA" w14:textId="77777777" w:rsidTr="000C51A7">
        <w:tc>
          <w:tcPr>
            <w:tcW w:w="2207" w:type="dxa"/>
          </w:tcPr>
          <w:p w14:paraId="672F56A8"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4722-Identity-H"/>
                <w:b/>
                <w:bCs/>
                <w:color w:val="141414"/>
                <w:sz w:val="21"/>
                <w:szCs w:val="21"/>
                <w:lang w:val="es-MX" w:eastAsia="en-US"/>
              </w:rPr>
              <w:t>San Diego de la Unión</w:t>
            </w:r>
          </w:p>
        </w:tc>
        <w:tc>
          <w:tcPr>
            <w:tcW w:w="2207" w:type="dxa"/>
          </w:tcPr>
          <w:p w14:paraId="1E1C50A3"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r w:rsidRPr="00E81330">
              <w:rPr>
                <w:rFonts w:ascii="Abadi" w:eastAsiaTheme="minorHAnsi" w:hAnsi="Abadi" w:cs="*Verdana-Bold-4722-Identity-H"/>
                <w:b/>
                <w:bCs/>
                <w:color w:val="141414"/>
                <w:sz w:val="21"/>
                <w:szCs w:val="21"/>
                <w:lang w:val="es-MX" w:eastAsia="en-US"/>
              </w:rPr>
              <w:t>$50,883.22</w:t>
            </w:r>
          </w:p>
        </w:tc>
        <w:tc>
          <w:tcPr>
            <w:tcW w:w="2207" w:type="dxa"/>
          </w:tcPr>
          <w:p w14:paraId="3F4E3C61"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r w:rsidRPr="00E81330">
              <w:rPr>
                <w:rFonts w:ascii="Abadi" w:eastAsiaTheme="minorHAnsi" w:hAnsi="Abadi" w:cs="*Verdana-Bold-4722-Identity-H"/>
                <w:b/>
                <w:bCs/>
                <w:color w:val="141414"/>
                <w:sz w:val="21"/>
                <w:szCs w:val="21"/>
                <w:lang w:val="es-MX" w:eastAsia="en-US"/>
              </w:rPr>
              <w:t>$25,440.55</w:t>
            </w:r>
          </w:p>
        </w:tc>
        <w:tc>
          <w:tcPr>
            <w:tcW w:w="2207" w:type="dxa"/>
          </w:tcPr>
          <w:p w14:paraId="376F33CC"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4722-Identity-H"/>
                <w:b/>
                <w:bCs/>
                <w:color w:val="141414"/>
                <w:sz w:val="21"/>
                <w:szCs w:val="21"/>
                <w:lang w:val="es-MX" w:eastAsia="en-US"/>
              </w:rPr>
              <w:t>$22,896.28</w:t>
            </w:r>
          </w:p>
        </w:tc>
      </w:tr>
      <w:tr w:rsidR="00E81330" w:rsidRPr="00E81330" w14:paraId="1B6E2AEF" w14:textId="77777777" w:rsidTr="000C51A7">
        <w:tc>
          <w:tcPr>
            <w:tcW w:w="2207" w:type="dxa"/>
          </w:tcPr>
          <w:p w14:paraId="192256B1" w14:textId="77777777" w:rsidR="00E81330" w:rsidRPr="00E81330" w:rsidRDefault="00E81330" w:rsidP="00E81330">
            <w:pPr>
              <w:autoSpaceDE w:val="0"/>
              <w:autoSpaceDN w:val="0"/>
              <w:adjustRightInd w:val="0"/>
              <w:jc w:val="both"/>
              <w:rPr>
                <w:rFonts w:ascii="Abadi" w:eastAsiaTheme="minorHAnsi" w:hAnsi="Abadi" w:cs="*Verdana-Bold-4722-Identity-H"/>
                <w:b/>
                <w:bCs/>
                <w:color w:val="151515"/>
                <w:sz w:val="21"/>
                <w:szCs w:val="21"/>
                <w:lang w:val="es-MX" w:eastAsia="en-US"/>
              </w:rPr>
            </w:pPr>
            <w:r w:rsidRPr="00E81330">
              <w:rPr>
                <w:rFonts w:ascii="Abadi" w:eastAsiaTheme="minorHAnsi" w:hAnsi="Abadi" w:cs="*Verdana-Bold-4722-Identity-H"/>
                <w:b/>
                <w:bCs/>
                <w:color w:val="151515"/>
                <w:sz w:val="21"/>
                <w:szCs w:val="21"/>
                <w:lang w:val="es-MX" w:eastAsia="en-US"/>
              </w:rPr>
              <w:t>San Felipe</w:t>
            </w:r>
          </w:p>
        </w:tc>
        <w:tc>
          <w:tcPr>
            <w:tcW w:w="2207" w:type="dxa"/>
          </w:tcPr>
          <w:p w14:paraId="556483C4"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r w:rsidRPr="00E81330">
              <w:rPr>
                <w:rFonts w:ascii="Abadi" w:eastAsiaTheme="minorHAnsi" w:hAnsi="Abadi" w:cs="*Verdana-Bold-4722-Identity-H"/>
                <w:b/>
                <w:bCs/>
                <w:color w:val="131313"/>
                <w:sz w:val="21"/>
                <w:szCs w:val="21"/>
                <w:lang w:val="es-MX" w:eastAsia="en-US"/>
              </w:rPr>
              <w:t>$101,768.58</w:t>
            </w:r>
          </w:p>
        </w:tc>
        <w:tc>
          <w:tcPr>
            <w:tcW w:w="2207" w:type="dxa"/>
          </w:tcPr>
          <w:p w14:paraId="0C1FCA47"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r w:rsidRPr="00E81330">
              <w:rPr>
                <w:rFonts w:ascii="Abadi" w:eastAsiaTheme="minorHAnsi" w:hAnsi="Abadi" w:cs="*Verdana-Bold-4722-Identity-H"/>
                <w:b/>
                <w:bCs/>
                <w:color w:val="141414"/>
                <w:sz w:val="21"/>
                <w:szCs w:val="21"/>
                <w:lang w:val="es-MX" w:eastAsia="en-US"/>
              </w:rPr>
              <w:t>$50,883.22</w:t>
            </w:r>
          </w:p>
        </w:tc>
        <w:tc>
          <w:tcPr>
            <w:tcW w:w="2207" w:type="dxa"/>
          </w:tcPr>
          <w:p w14:paraId="3A9FB1A0"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4722-Identity-H"/>
                <w:b/>
                <w:bCs/>
                <w:color w:val="141414"/>
                <w:sz w:val="21"/>
                <w:szCs w:val="21"/>
                <w:lang w:val="es-MX" w:eastAsia="en-US"/>
              </w:rPr>
              <w:t>$45,794.69</w:t>
            </w:r>
          </w:p>
        </w:tc>
      </w:tr>
      <w:tr w:rsidR="00E81330" w:rsidRPr="00E81330" w14:paraId="41106551" w14:textId="77777777" w:rsidTr="000C51A7">
        <w:tc>
          <w:tcPr>
            <w:tcW w:w="2207" w:type="dxa"/>
          </w:tcPr>
          <w:p w14:paraId="6C71C433" w14:textId="77777777" w:rsidR="00E81330" w:rsidRPr="00E81330" w:rsidRDefault="00E81330" w:rsidP="00E81330">
            <w:pPr>
              <w:autoSpaceDE w:val="0"/>
              <w:autoSpaceDN w:val="0"/>
              <w:adjustRightInd w:val="0"/>
              <w:jc w:val="both"/>
              <w:rPr>
                <w:rFonts w:ascii="Abadi" w:eastAsiaTheme="minorHAnsi" w:hAnsi="Abadi" w:cs="*Verdana-Bold-4722-Identity-H"/>
                <w:b/>
                <w:bCs/>
                <w:color w:val="161616"/>
                <w:sz w:val="21"/>
                <w:szCs w:val="21"/>
                <w:lang w:val="es-MX" w:eastAsia="en-US"/>
              </w:rPr>
            </w:pPr>
            <w:r w:rsidRPr="00E81330">
              <w:rPr>
                <w:rFonts w:ascii="Abadi" w:eastAsiaTheme="minorHAnsi" w:hAnsi="Abadi" w:cs="*Verdana-Bold-4722-Identity-H"/>
                <w:b/>
                <w:bCs/>
                <w:color w:val="151515"/>
                <w:sz w:val="21"/>
                <w:szCs w:val="21"/>
                <w:lang w:val="es-MX" w:eastAsia="en-US"/>
              </w:rPr>
              <w:t xml:space="preserve">San </w:t>
            </w:r>
            <w:r w:rsidRPr="00E81330">
              <w:rPr>
                <w:rFonts w:ascii="Abadi" w:eastAsiaTheme="minorHAnsi" w:hAnsi="Abadi" w:cs="*Verdana-Bold-4722-Identity-H"/>
                <w:b/>
                <w:bCs/>
                <w:color w:val="141414"/>
                <w:sz w:val="21"/>
                <w:szCs w:val="21"/>
                <w:lang w:val="es-MX" w:eastAsia="en-US"/>
              </w:rPr>
              <w:t xml:space="preserve">Francisco </w:t>
            </w:r>
            <w:r w:rsidRPr="00E81330">
              <w:rPr>
                <w:rFonts w:ascii="Abadi" w:eastAsiaTheme="minorHAnsi" w:hAnsi="Abadi" w:cs="*Verdana-Bold-4722-Identity-H"/>
                <w:b/>
                <w:bCs/>
                <w:color w:val="151515"/>
                <w:sz w:val="21"/>
                <w:szCs w:val="21"/>
                <w:lang w:val="es-MX" w:eastAsia="en-US"/>
              </w:rPr>
              <w:t xml:space="preserve">del </w:t>
            </w:r>
            <w:r w:rsidRPr="00E81330">
              <w:rPr>
                <w:rFonts w:ascii="Abadi" w:eastAsiaTheme="minorHAnsi" w:hAnsi="Abadi" w:cs="*Verdana-Bold-4722-Identity-H"/>
                <w:b/>
                <w:bCs/>
                <w:color w:val="161616"/>
                <w:sz w:val="21"/>
                <w:szCs w:val="21"/>
                <w:lang w:val="es-MX" w:eastAsia="en-US"/>
              </w:rPr>
              <w:t xml:space="preserve">Rincón </w:t>
            </w:r>
          </w:p>
        </w:tc>
        <w:tc>
          <w:tcPr>
            <w:tcW w:w="2207" w:type="dxa"/>
          </w:tcPr>
          <w:p w14:paraId="6380CD44"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r w:rsidRPr="00E81330">
              <w:rPr>
                <w:rFonts w:ascii="Abadi" w:eastAsiaTheme="minorHAnsi" w:hAnsi="Abadi" w:cs="*Verdana-Bold-4722-Identity-H"/>
                <w:b/>
                <w:bCs/>
                <w:color w:val="151515"/>
                <w:sz w:val="21"/>
                <w:szCs w:val="21"/>
                <w:lang w:val="es-MX" w:eastAsia="en-US"/>
              </w:rPr>
              <w:t>$113,076.44</w:t>
            </w:r>
          </w:p>
        </w:tc>
        <w:tc>
          <w:tcPr>
            <w:tcW w:w="2207" w:type="dxa"/>
          </w:tcPr>
          <w:p w14:paraId="5F4F838A"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r w:rsidRPr="00E81330">
              <w:rPr>
                <w:rFonts w:ascii="Abadi" w:eastAsiaTheme="minorHAnsi" w:hAnsi="Abadi" w:cs="*Verdana-Bold-4722-Identity-H"/>
                <w:b/>
                <w:bCs/>
                <w:color w:val="141414"/>
                <w:sz w:val="21"/>
                <w:szCs w:val="21"/>
                <w:lang w:val="es-MX" w:eastAsia="en-US"/>
              </w:rPr>
              <w:t>$56,537.15</w:t>
            </w:r>
          </w:p>
        </w:tc>
        <w:tc>
          <w:tcPr>
            <w:tcW w:w="2207" w:type="dxa"/>
          </w:tcPr>
          <w:p w14:paraId="08763D2C" w14:textId="77777777" w:rsidR="00E81330" w:rsidRPr="00E81330" w:rsidRDefault="00E81330" w:rsidP="00E81330">
            <w:pPr>
              <w:autoSpaceDE w:val="0"/>
              <w:autoSpaceDN w:val="0"/>
              <w:adjustRightInd w:val="0"/>
              <w:jc w:val="both"/>
              <w:rPr>
                <w:rFonts w:ascii="Abadi" w:eastAsiaTheme="minorHAnsi" w:hAnsi="Abadi" w:cs="*Verdana-Bold-4722-Identity-H"/>
                <w:b/>
                <w:bCs/>
                <w:color w:val="151515"/>
                <w:sz w:val="21"/>
                <w:szCs w:val="21"/>
                <w:lang w:val="es-MX" w:eastAsia="en-US"/>
              </w:rPr>
            </w:pPr>
            <w:r w:rsidRPr="00E81330">
              <w:rPr>
                <w:rFonts w:ascii="Abadi" w:eastAsiaTheme="minorHAnsi" w:hAnsi="Abadi" w:cs="*Verdana-Bold-4722-Identity-H"/>
                <w:b/>
                <w:bCs/>
                <w:color w:val="131313"/>
                <w:sz w:val="21"/>
                <w:szCs w:val="21"/>
                <w:lang w:val="es-MX" w:eastAsia="en-US"/>
              </w:rPr>
              <w:t>$50,883.22</w:t>
            </w:r>
          </w:p>
          <w:p w14:paraId="3B157403"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p>
        </w:tc>
      </w:tr>
      <w:tr w:rsidR="00E81330" w:rsidRPr="00E81330" w14:paraId="065CC6D9" w14:textId="77777777" w:rsidTr="000C51A7">
        <w:tc>
          <w:tcPr>
            <w:tcW w:w="2207" w:type="dxa"/>
          </w:tcPr>
          <w:p w14:paraId="2D0BA02E"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4722-Identity-H"/>
                <w:b/>
                <w:bCs/>
                <w:color w:val="141414"/>
                <w:sz w:val="21"/>
                <w:szCs w:val="21"/>
                <w:lang w:val="es-MX" w:eastAsia="en-US"/>
              </w:rPr>
              <w:t>San José Iturbide</w:t>
            </w:r>
          </w:p>
        </w:tc>
        <w:tc>
          <w:tcPr>
            <w:tcW w:w="2207" w:type="dxa"/>
          </w:tcPr>
          <w:p w14:paraId="320CD0B0"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r w:rsidRPr="00E81330">
              <w:rPr>
                <w:rFonts w:ascii="Abadi" w:eastAsiaTheme="minorHAnsi" w:hAnsi="Abadi" w:cs="*Verdana-Bold-4722-Identity-H"/>
                <w:b/>
                <w:bCs/>
                <w:color w:val="131313"/>
                <w:sz w:val="21"/>
                <w:szCs w:val="21"/>
                <w:lang w:val="es-MX" w:eastAsia="en-US"/>
              </w:rPr>
              <w:t>$90,460.73</w:t>
            </w:r>
          </w:p>
        </w:tc>
        <w:tc>
          <w:tcPr>
            <w:tcW w:w="2207" w:type="dxa"/>
          </w:tcPr>
          <w:p w14:paraId="30AED0D2"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r w:rsidRPr="00E81330">
              <w:rPr>
                <w:rFonts w:ascii="Abadi" w:eastAsiaTheme="minorHAnsi" w:hAnsi="Abadi" w:cs="*Verdana-Bold-4722-Identity-H"/>
                <w:b/>
                <w:bCs/>
                <w:color w:val="141414"/>
                <w:sz w:val="21"/>
                <w:szCs w:val="21"/>
                <w:lang w:val="es-MX" w:eastAsia="en-US"/>
              </w:rPr>
              <w:t>$45,229.29</w:t>
            </w:r>
          </w:p>
        </w:tc>
        <w:tc>
          <w:tcPr>
            <w:tcW w:w="2207" w:type="dxa"/>
          </w:tcPr>
          <w:p w14:paraId="3D8DDCCF" w14:textId="77777777" w:rsidR="00E81330" w:rsidRPr="00E81330" w:rsidRDefault="00E81330" w:rsidP="00E81330">
            <w:pPr>
              <w:autoSpaceDE w:val="0"/>
              <w:autoSpaceDN w:val="0"/>
              <w:adjustRightInd w:val="0"/>
              <w:jc w:val="both"/>
              <w:rPr>
                <w:rFonts w:ascii="Abadi" w:eastAsiaTheme="minorHAnsi" w:hAnsi="Abadi" w:cs="*Verdana-Bold-4722-Identity-H"/>
                <w:b/>
                <w:bCs/>
                <w:color w:val="131313"/>
                <w:sz w:val="21"/>
                <w:szCs w:val="21"/>
                <w:lang w:val="es-MX" w:eastAsia="en-US"/>
              </w:rPr>
            </w:pPr>
            <w:r w:rsidRPr="00E81330">
              <w:rPr>
                <w:rFonts w:ascii="Abadi" w:eastAsiaTheme="minorHAnsi" w:hAnsi="Abadi" w:cs="*Verdana-Bold-4722-Identity-H"/>
                <w:b/>
                <w:bCs/>
                <w:color w:val="131313"/>
                <w:sz w:val="21"/>
                <w:szCs w:val="21"/>
                <w:lang w:val="es-MX" w:eastAsia="en-US"/>
              </w:rPr>
              <w:t>$40,706.16</w:t>
            </w:r>
          </w:p>
        </w:tc>
      </w:tr>
      <w:tr w:rsidR="00E81330" w:rsidRPr="00E81330" w14:paraId="1ACCA281" w14:textId="77777777" w:rsidTr="000C51A7">
        <w:tc>
          <w:tcPr>
            <w:tcW w:w="2207" w:type="dxa"/>
          </w:tcPr>
          <w:p w14:paraId="3045178C"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4722-Identity-H"/>
                <w:b/>
                <w:bCs/>
                <w:color w:val="141414"/>
                <w:sz w:val="21"/>
                <w:szCs w:val="21"/>
                <w:lang w:val="es-MX" w:eastAsia="en-US"/>
              </w:rPr>
              <w:t>San Luis de la Paz</w:t>
            </w:r>
          </w:p>
        </w:tc>
        <w:tc>
          <w:tcPr>
            <w:tcW w:w="2207" w:type="dxa"/>
          </w:tcPr>
          <w:p w14:paraId="65A52FD9" w14:textId="77777777" w:rsidR="00E81330" w:rsidRPr="00E81330" w:rsidRDefault="00E81330" w:rsidP="00E81330">
            <w:pPr>
              <w:autoSpaceDE w:val="0"/>
              <w:autoSpaceDN w:val="0"/>
              <w:adjustRightInd w:val="0"/>
              <w:jc w:val="both"/>
              <w:rPr>
                <w:rFonts w:ascii="Abadi" w:eastAsiaTheme="minorHAnsi" w:hAnsi="Abadi" w:cs="*Verdana-Bold-4722-Identity-H"/>
                <w:b/>
                <w:bCs/>
                <w:color w:val="131313"/>
                <w:sz w:val="21"/>
                <w:szCs w:val="21"/>
                <w:lang w:val="es-MX" w:eastAsia="en-US"/>
              </w:rPr>
            </w:pPr>
            <w:r w:rsidRPr="00E81330">
              <w:rPr>
                <w:rFonts w:ascii="Abadi" w:eastAsiaTheme="minorHAnsi" w:hAnsi="Abadi" w:cs="*Verdana-Bold-4722-Identity-H"/>
                <w:b/>
                <w:bCs/>
                <w:color w:val="141414"/>
                <w:sz w:val="21"/>
                <w:szCs w:val="21"/>
                <w:lang w:val="es-MX" w:eastAsia="en-US"/>
              </w:rPr>
              <w:t>$107,422.51</w:t>
            </w:r>
          </w:p>
        </w:tc>
        <w:tc>
          <w:tcPr>
            <w:tcW w:w="2207" w:type="dxa"/>
          </w:tcPr>
          <w:p w14:paraId="0D297772"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4722-Identity-H"/>
                <w:b/>
                <w:bCs/>
                <w:color w:val="131313"/>
                <w:sz w:val="21"/>
                <w:szCs w:val="21"/>
                <w:lang w:val="es-MX" w:eastAsia="en-US"/>
              </w:rPr>
              <w:t>$53,710.19</w:t>
            </w:r>
          </w:p>
        </w:tc>
        <w:tc>
          <w:tcPr>
            <w:tcW w:w="2207" w:type="dxa"/>
          </w:tcPr>
          <w:p w14:paraId="0AD7FB34" w14:textId="77777777" w:rsidR="00E81330" w:rsidRPr="00E81330" w:rsidRDefault="00E81330" w:rsidP="00E81330">
            <w:pPr>
              <w:autoSpaceDE w:val="0"/>
              <w:autoSpaceDN w:val="0"/>
              <w:adjustRightInd w:val="0"/>
              <w:jc w:val="both"/>
              <w:rPr>
                <w:rFonts w:ascii="Abadi" w:eastAsiaTheme="minorHAnsi" w:hAnsi="Abadi" w:cs="*Verdana-Bold-4722-Identity-H"/>
                <w:b/>
                <w:bCs/>
                <w:color w:val="131313"/>
                <w:sz w:val="21"/>
                <w:szCs w:val="21"/>
                <w:lang w:val="es-MX" w:eastAsia="en-US"/>
              </w:rPr>
            </w:pPr>
            <w:r w:rsidRPr="00E81330">
              <w:rPr>
                <w:rFonts w:ascii="Abadi" w:eastAsiaTheme="minorHAnsi" w:hAnsi="Abadi" w:cs="*Verdana-Bold-4722-Identity-H"/>
                <w:b/>
                <w:bCs/>
                <w:color w:val="131313"/>
                <w:sz w:val="21"/>
                <w:szCs w:val="21"/>
                <w:lang w:val="es-MX" w:eastAsia="en-US"/>
              </w:rPr>
              <w:t>$48,338.95</w:t>
            </w:r>
          </w:p>
        </w:tc>
      </w:tr>
      <w:tr w:rsidR="00E81330" w:rsidRPr="00E81330" w14:paraId="2E219798" w14:textId="77777777" w:rsidTr="000C51A7">
        <w:tc>
          <w:tcPr>
            <w:tcW w:w="2207" w:type="dxa"/>
          </w:tcPr>
          <w:p w14:paraId="3782F393"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4722-Identity-H"/>
                <w:b/>
                <w:bCs/>
                <w:color w:val="141414"/>
                <w:sz w:val="21"/>
                <w:szCs w:val="21"/>
                <w:lang w:val="es-MX" w:eastAsia="en-US"/>
              </w:rPr>
              <w:t>San Miguel de Allende</w:t>
            </w:r>
          </w:p>
        </w:tc>
        <w:tc>
          <w:tcPr>
            <w:tcW w:w="2207" w:type="dxa"/>
          </w:tcPr>
          <w:p w14:paraId="35C71789" w14:textId="77777777" w:rsidR="00E81330" w:rsidRPr="00E81330" w:rsidRDefault="00E81330" w:rsidP="00E81330">
            <w:pPr>
              <w:autoSpaceDE w:val="0"/>
              <w:autoSpaceDN w:val="0"/>
              <w:adjustRightInd w:val="0"/>
              <w:jc w:val="both"/>
              <w:rPr>
                <w:rFonts w:ascii="Abadi" w:eastAsiaTheme="minorHAnsi" w:hAnsi="Abadi" w:cs="*Verdana-Bold-4722-Identity-H"/>
                <w:b/>
                <w:bCs/>
                <w:color w:val="131313"/>
                <w:sz w:val="21"/>
                <w:szCs w:val="21"/>
                <w:lang w:val="es-MX" w:eastAsia="en-US"/>
              </w:rPr>
            </w:pPr>
            <w:r w:rsidRPr="00E81330">
              <w:rPr>
                <w:rFonts w:ascii="Abadi" w:eastAsiaTheme="minorHAnsi" w:hAnsi="Abadi" w:cs="*Verdana-Bold-4722-Identity-H"/>
                <w:b/>
                <w:bCs/>
                <w:color w:val="141414"/>
                <w:sz w:val="21"/>
                <w:szCs w:val="21"/>
                <w:lang w:val="es-MX" w:eastAsia="en-US"/>
              </w:rPr>
              <w:t>$135,692.15</w:t>
            </w:r>
          </w:p>
        </w:tc>
        <w:tc>
          <w:tcPr>
            <w:tcW w:w="2207" w:type="dxa"/>
          </w:tcPr>
          <w:p w14:paraId="31DEA109"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4722-Identity-H"/>
                <w:b/>
                <w:bCs/>
                <w:color w:val="131313"/>
                <w:sz w:val="21"/>
                <w:szCs w:val="21"/>
                <w:lang w:val="es-MX" w:eastAsia="en-US"/>
              </w:rPr>
              <w:t>$67,845.01</w:t>
            </w:r>
          </w:p>
        </w:tc>
        <w:tc>
          <w:tcPr>
            <w:tcW w:w="2207" w:type="dxa"/>
          </w:tcPr>
          <w:p w14:paraId="44D4ADF0" w14:textId="77777777" w:rsidR="00E81330" w:rsidRPr="00E81330" w:rsidRDefault="00E81330" w:rsidP="00E81330">
            <w:pPr>
              <w:autoSpaceDE w:val="0"/>
              <w:autoSpaceDN w:val="0"/>
              <w:adjustRightInd w:val="0"/>
              <w:jc w:val="both"/>
              <w:rPr>
                <w:rFonts w:ascii="Abadi" w:eastAsiaTheme="minorHAnsi" w:hAnsi="Abadi" w:cs="*Verdana-Bold-4722-Identity-H"/>
                <w:b/>
                <w:bCs/>
                <w:color w:val="131313"/>
                <w:sz w:val="21"/>
                <w:szCs w:val="21"/>
                <w:lang w:val="es-MX" w:eastAsia="en-US"/>
              </w:rPr>
            </w:pPr>
            <w:r w:rsidRPr="00E81330">
              <w:rPr>
                <w:rFonts w:ascii="Abadi" w:eastAsiaTheme="minorHAnsi" w:hAnsi="Abadi" w:cs="*Verdana-Bold-4722-Identity-H"/>
                <w:b/>
                <w:bCs/>
                <w:color w:val="131313"/>
                <w:sz w:val="21"/>
                <w:szCs w:val="21"/>
                <w:lang w:val="es-MX" w:eastAsia="en-US"/>
              </w:rPr>
              <w:t>$61,060.29</w:t>
            </w:r>
          </w:p>
        </w:tc>
      </w:tr>
      <w:tr w:rsidR="00E81330" w:rsidRPr="00E81330" w14:paraId="10E6F63F" w14:textId="77777777" w:rsidTr="000C51A7">
        <w:tc>
          <w:tcPr>
            <w:tcW w:w="2207" w:type="dxa"/>
          </w:tcPr>
          <w:p w14:paraId="59C18007"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4722-Identity-H"/>
                <w:b/>
                <w:bCs/>
                <w:color w:val="141414"/>
                <w:sz w:val="21"/>
                <w:szCs w:val="21"/>
                <w:lang w:val="es-MX" w:eastAsia="en-US"/>
              </w:rPr>
              <w:t>Santa Catarina</w:t>
            </w:r>
          </w:p>
        </w:tc>
        <w:tc>
          <w:tcPr>
            <w:tcW w:w="2207" w:type="dxa"/>
          </w:tcPr>
          <w:p w14:paraId="6F597644" w14:textId="77777777" w:rsidR="00E81330" w:rsidRPr="00E81330" w:rsidRDefault="00E81330" w:rsidP="00E81330">
            <w:pPr>
              <w:autoSpaceDE w:val="0"/>
              <w:autoSpaceDN w:val="0"/>
              <w:adjustRightInd w:val="0"/>
              <w:jc w:val="both"/>
              <w:rPr>
                <w:rFonts w:ascii="Abadi" w:eastAsiaTheme="minorHAnsi" w:hAnsi="Abadi" w:cs="*Verdana-Bold-4722-Identity-H"/>
                <w:b/>
                <w:bCs/>
                <w:color w:val="131313"/>
                <w:sz w:val="21"/>
                <w:szCs w:val="21"/>
                <w:lang w:val="es-MX" w:eastAsia="en-US"/>
              </w:rPr>
            </w:pPr>
            <w:r w:rsidRPr="00E81330">
              <w:rPr>
                <w:rFonts w:ascii="Abadi" w:eastAsiaTheme="minorHAnsi" w:hAnsi="Abadi" w:cs="*Verdana-Bold-4722-Identity-H"/>
                <w:b/>
                <w:bCs/>
                <w:color w:val="141414"/>
                <w:sz w:val="21"/>
                <w:szCs w:val="21"/>
                <w:lang w:val="es-MX" w:eastAsia="en-US"/>
              </w:rPr>
              <w:t>$50,883.22</w:t>
            </w:r>
          </w:p>
        </w:tc>
        <w:tc>
          <w:tcPr>
            <w:tcW w:w="2207" w:type="dxa"/>
          </w:tcPr>
          <w:p w14:paraId="561AF3DB"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4722-Identity-H"/>
                <w:b/>
                <w:bCs/>
                <w:color w:val="141414"/>
                <w:sz w:val="21"/>
                <w:szCs w:val="21"/>
                <w:lang w:val="es-MX" w:eastAsia="en-US"/>
              </w:rPr>
              <w:t>$25,440.55</w:t>
            </w:r>
          </w:p>
        </w:tc>
        <w:tc>
          <w:tcPr>
            <w:tcW w:w="2207" w:type="dxa"/>
          </w:tcPr>
          <w:p w14:paraId="6309FACA" w14:textId="77777777" w:rsidR="00E81330" w:rsidRPr="00E81330" w:rsidRDefault="00E81330" w:rsidP="00E81330">
            <w:pPr>
              <w:autoSpaceDE w:val="0"/>
              <w:autoSpaceDN w:val="0"/>
              <w:adjustRightInd w:val="0"/>
              <w:jc w:val="both"/>
              <w:rPr>
                <w:rFonts w:ascii="Abadi" w:eastAsiaTheme="minorHAnsi" w:hAnsi="Abadi" w:cs="*Verdana-Bold-4722-Identity-H"/>
                <w:b/>
                <w:bCs/>
                <w:color w:val="131313"/>
                <w:sz w:val="21"/>
                <w:szCs w:val="21"/>
                <w:lang w:val="es-MX" w:eastAsia="en-US"/>
              </w:rPr>
            </w:pPr>
            <w:r w:rsidRPr="00E81330">
              <w:rPr>
                <w:rFonts w:ascii="Abadi" w:eastAsiaTheme="minorHAnsi" w:hAnsi="Abadi" w:cs="*Verdana-Bold-4722-Identity-H"/>
                <w:b/>
                <w:bCs/>
                <w:color w:val="131313"/>
                <w:sz w:val="21"/>
                <w:szCs w:val="21"/>
                <w:lang w:val="es-MX" w:eastAsia="en-US"/>
              </w:rPr>
              <w:t>$22,896.28</w:t>
            </w:r>
          </w:p>
        </w:tc>
      </w:tr>
      <w:tr w:rsidR="00E81330" w:rsidRPr="00E81330" w14:paraId="7CD0A5A7" w14:textId="77777777" w:rsidTr="000C51A7">
        <w:tc>
          <w:tcPr>
            <w:tcW w:w="2207" w:type="dxa"/>
          </w:tcPr>
          <w:p w14:paraId="078180B8"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4722-Identity-H"/>
                <w:b/>
                <w:bCs/>
                <w:color w:val="141414"/>
                <w:sz w:val="21"/>
                <w:szCs w:val="21"/>
                <w:lang w:val="es-MX" w:eastAsia="en-US"/>
              </w:rPr>
              <w:t xml:space="preserve">Santa Cruz de Juventino Rosas </w:t>
            </w:r>
          </w:p>
        </w:tc>
        <w:tc>
          <w:tcPr>
            <w:tcW w:w="2207" w:type="dxa"/>
          </w:tcPr>
          <w:p w14:paraId="0E33BE4E"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4722-Identity-H"/>
                <w:b/>
                <w:bCs/>
                <w:color w:val="141414"/>
                <w:sz w:val="21"/>
                <w:szCs w:val="21"/>
                <w:lang w:val="es-MX" w:eastAsia="en-US"/>
              </w:rPr>
              <w:t>$96,114.65</w:t>
            </w:r>
          </w:p>
        </w:tc>
        <w:tc>
          <w:tcPr>
            <w:tcW w:w="2207" w:type="dxa"/>
          </w:tcPr>
          <w:p w14:paraId="7218774C"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4722-Identity-H"/>
                <w:b/>
                <w:bCs/>
                <w:color w:val="141414"/>
                <w:sz w:val="21"/>
                <w:szCs w:val="21"/>
                <w:lang w:val="es-MX" w:eastAsia="en-US"/>
              </w:rPr>
              <w:t>$48,056.26</w:t>
            </w:r>
          </w:p>
        </w:tc>
        <w:tc>
          <w:tcPr>
            <w:tcW w:w="2207" w:type="dxa"/>
          </w:tcPr>
          <w:p w14:paraId="2FA58AF5"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4722-Identity-H"/>
                <w:b/>
                <w:bCs/>
                <w:color w:val="141414"/>
                <w:sz w:val="21"/>
                <w:szCs w:val="21"/>
                <w:lang w:val="es-MX" w:eastAsia="en-US"/>
              </w:rPr>
              <w:t>$43,250.42</w:t>
            </w:r>
          </w:p>
        </w:tc>
      </w:tr>
      <w:tr w:rsidR="00E81330" w:rsidRPr="00E81330" w14:paraId="434931BC" w14:textId="77777777" w:rsidTr="000C51A7">
        <w:tc>
          <w:tcPr>
            <w:tcW w:w="2207" w:type="dxa"/>
          </w:tcPr>
          <w:p w14:paraId="6B6FF0E6"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4722-Identity-H"/>
                <w:b/>
                <w:bCs/>
                <w:color w:val="141414"/>
                <w:sz w:val="21"/>
                <w:szCs w:val="21"/>
                <w:lang w:val="es-MX" w:eastAsia="en-US"/>
              </w:rPr>
              <w:t>Santiago Maravatío</w:t>
            </w:r>
          </w:p>
        </w:tc>
        <w:tc>
          <w:tcPr>
            <w:tcW w:w="2207" w:type="dxa"/>
          </w:tcPr>
          <w:p w14:paraId="4079A3DC"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4722-Identity-H"/>
                <w:b/>
                <w:bCs/>
                <w:color w:val="131313"/>
                <w:sz w:val="21"/>
                <w:szCs w:val="21"/>
                <w:lang w:val="es-MX" w:eastAsia="en-US"/>
              </w:rPr>
              <w:t>$50,883.22</w:t>
            </w:r>
          </w:p>
        </w:tc>
        <w:tc>
          <w:tcPr>
            <w:tcW w:w="2207" w:type="dxa"/>
          </w:tcPr>
          <w:p w14:paraId="159015F4"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4722-Identity-H"/>
                <w:b/>
                <w:bCs/>
                <w:color w:val="131313"/>
                <w:sz w:val="21"/>
                <w:szCs w:val="21"/>
                <w:lang w:val="es-MX" w:eastAsia="en-US"/>
              </w:rPr>
              <w:t>$25,440.55</w:t>
            </w:r>
          </w:p>
        </w:tc>
        <w:tc>
          <w:tcPr>
            <w:tcW w:w="2207" w:type="dxa"/>
          </w:tcPr>
          <w:p w14:paraId="53A6DBC0" w14:textId="77777777" w:rsidR="00E81330" w:rsidRPr="00E81330" w:rsidRDefault="00E81330" w:rsidP="00E81330">
            <w:pPr>
              <w:autoSpaceDE w:val="0"/>
              <w:autoSpaceDN w:val="0"/>
              <w:adjustRightInd w:val="0"/>
              <w:jc w:val="both"/>
              <w:rPr>
                <w:rFonts w:ascii="Abadi" w:eastAsiaTheme="minorHAnsi" w:hAnsi="Abadi" w:cs="*Verdana-Bold-4722-Identity-H"/>
                <w:b/>
                <w:bCs/>
                <w:color w:val="121212"/>
                <w:sz w:val="21"/>
                <w:szCs w:val="21"/>
                <w:lang w:val="es-MX" w:eastAsia="en-US"/>
              </w:rPr>
            </w:pPr>
            <w:r w:rsidRPr="00E81330">
              <w:rPr>
                <w:rFonts w:ascii="Abadi" w:eastAsiaTheme="minorHAnsi" w:hAnsi="Abadi" w:cs="*Verdana-Bold-4722-Identity-H"/>
                <w:b/>
                <w:bCs/>
                <w:color w:val="121212"/>
                <w:sz w:val="21"/>
                <w:szCs w:val="21"/>
                <w:lang w:val="es-MX" w:eastAsia="en-US"/>
              </w:rPr>
              <w:t>$22,896.28</w:t>
            </w:r>
          </w:p>
        </w:tc>
      </w:tr>
      <w:tr w:rsidR="00E81330" w:rsidRPr="00E81330" w14:paraId="48C1B49C" w14:textId="77777777" w:rsidTr="000C51A7">
        <w:tc>
          <w:tcPr>
            <w:tcW w:w="2207" w:type="dxa"/>
          </w:tcPr>
          <w:p w14:paraId="6A05E318"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4722-Identity-H"/>
                <w:b/>
                <w:bCs/>
                <w:color w:val="141414"/>
                <w:sz w:val="21"/>
                <w:szCs w:val="21"/>
                <w:lang w:val="es-MX" w:eastAsia="en-US"/>
              </w:rPr>
              <w:t>Silao de la Victoria</w:t>
            </w:r>
          </w:p>
        </w:tc>
        <w:tc>
          <w:tcPr>
            <w:tcW w:w="2207" w:type="dxa"/>
          </w:tcPr>
          <w:p w14:paraId="7EE5FBD6" w14:textId="77777777" w:rsidR="00E81330" w:rsidRPr="00E81330" w:rsidRDefault="00E81330" w:rsidP="00E81330">
            <w:pPr>
              <w:autoSpaceDE w:val="0"/>
              <w:autoSpaceDN w:val="0"/>
              <w:adjustRightInd w:val="0"/>
              <w:jc w:val="both"/>
              <w:rPr>
                <w:rFonts w:ascii="Abadi" w:eastAsiaTheme="minorHAnsi" w:hAnsi="Abadi" w:cs="*Verdana-Bold-4722-Identity-H"/>
                <w:b/>
                <w:bCs/>
                <w:color w:val="131313"/>
                <w:sz w:val="21"/>
                <w:szCs w:val="21"/>
                <w:lang w:val="es-MX" w:eastAsia="en-US"/>
              </w:rPr>
            </w:pPr>
            <w:r w:rsidRPr="00E81330">
              <w:rPr>
                <w:rFonts w:ascii="Abadi" w:eastAsiaTheme="minorHAnsi" w:hAnsi="Abadi" w:cs="*Verdana-Bold-4722-Identity-H"/>
                <w:b/>
                <w:bCs/>
                <w:color w:val="131313"/>
                <w:sz w:val="21"/>
                <w:szCs w:val="21"/>
                <w:lang w:val="es-MX" w:eastAsia="en-US"/>
              </w:rPr>
              <w:t>$124,384.29</w:t>
            </w:r>
          </w:p>
        </w:tc>
        <w:tc>
          <w:tcPr>
            <w:tcW w:w="2207" w:type="dxa"/>
          </w:tcPr>
          <w:p w14:paraId="57FB4510" w14:textId="77777777" w:rsidR="00E81330" w:rsidRPr="00E81330" w:rsidRDefault="00E81330" w:rsidP="00E81330">
            <w:pPr>
              <w:autoSpaceDE w:val="0"/>
              <w:autoSpaceDN w:val="0"/>
              <w:adjustRightInd w:val="0"/>
              <w:jc w:val="both"/>
              <w:rPr>
                <w:rFonts w:ascii="Abadi" w:eastAsiaTheme="minorHAnsi" w:hAnsi="Abadi" w:cs="*Verdana-Bold-4722-Identity-H"/>
                <w:b/>
                <w:bCs/>
                <w:color w:val="131313"/>
                <w:sz w:val="21"/>
                <w:szCs w:val="21"/>
                <w:lang w:val="es-MX" w:eastAsia="en-US"/>
              </w:rPr>
            </w:pPr>
            <w:r w:rsidRPr="00E81330">
              <w:rPr>
                <w:rFonts w:ascii="Abadi" w:eastAsiaTheme="minorHAnsi" w:hAnsi="Abadi" w:cs="*Verdana-Bold-4722-Identity-H"/>
                <w:b/>
                <w:bCs/>
                <w:color w:val="141414"/>
                <w:sz w:val="21"/>
                <w:szCs w:val="21"/>
                <w:lang w:val="es-MX" w:eastAsia="en-US"/>
              </w:rPr>
              <w:t>$62,191.09</w:t>
            </w:r>
          </w:p>
        </w:tc>
        <w:tc>
          <w:tcPr>
            <w:tcW w:w="2207" w:type="dxa"/>
          </w:tcPr>
          <w:p w14:paraId="5D956E9F" w14:textId="77777777" w:rsidR="00E81330" w:rsidRPr="00E81330" w:rsidRDefault="00E81330" w:rsidP="00E81330">
            <w:pPr>
              <w:autoSpaceDE w:val="0"/>
              <w:autoSpaceDN w:val="0"/>
              <w:adjustRightInd w:val="0"/>
              <w:jc w:val="both"/>
              <w:rPr>
                <w:rFonts w:ascii="Abadi" w:eastAsiaTheme="minorHAnsi" w:hAnsi="Abadi" w:cs="*Verdana-Bold-4722-Identity-H"/>
                <w:b/>
                <w:bCs/>
                <w:color w:val="131313"/>
                <w:sz w:val="21"/>
                <w:szCs w:val="21"/>
                <w:lang w:val="es-MX" w:eastAsia="en-US"/>
              </w:rPr>
            </w:pPr>
            <w:r w:rsidRPr="00E81330">
              <w:rPr>
                <w:rFonts w:ascii="Abadi" w:eastAsiaTheme="minorHAnsi" w:hAnsi="Abadi" w:cs="*Verdana-Bold-4722-Identity-H"/>
                <w:b/>
                <w:bCs/>
                <w:color w:val="131313"/>
                <w:sz w:val="21"/>
                <w:szCs w:val="21"/>
                <w:lang w:val="es-MX" w:eastAsia="en-US"/>
              </w:rPr>
              <w:t>$55,971.76</w:t>
            </w:r>
          </w:p>
        </w:tc>
      </w:tr>
      <w:tr w:rsidR="00E81330" w:rsidRPr="00E81330" w14:paraId="6C1ED656" w14:textId="77777777" w:rsidTr="000C51A7">
        <w:tc>
          <w:tcPr>
            <w:tcW w:w="2207" w:type="dxa"/>
          </w:tcPr>
          <w:p w14:paraId="4A3A9F43" w14:textId="77777777" w:rsidR="00E81330" w:rsidRPr="00E81330" w:rsidRDefault="00E81330" w:rsidP="00E81330">
            <w:pPr>
              <w:autoSpaceDE w:val="0"/>
              <w:autoSpaceDN w:val="0"/>
              <w:adjustRightInd w:val="0"/>
              <w:jc w:val="both"/>
              <w:rPr>
                <w:rFonts w:ascii="Abadi" w:eastAsiaTheme="minorHAnsi" w:hAnsi="Abadi" w:cs="*Verdana-Bold-4722-Identity-H"/>
                <w:b/>
                <w:bCs/>
                <w:color w:val="151515"/>
                <w:sz w:val="21"/>
                <w:szCs w:val="21"/>
                <w:lang w:val="es-MX" w:eastAsia="en-US"/>
              </w:rPr>
            </w:pPr>
            <w:r w:rsidRPr="00E81330">
              <w:rPr>
                <w:rFonts w:ascii="Abadi" w:eastAsiaTheme="minorHAnsi" w:hAnsi="Abadi" w:cs="*Verdana-Bold-4722-Identity-H"/>
                <w:b/>
                <w:bCs/>
                <w:color w:val="151515"/>
                <w:sz w:val="21"/>
                <w:szCs w:val="21"/>
                <w:lang w:val="es-MX" w:eastAsia="en-US"/>
              </w:rPr>
              <w:t>Tarandacuao</w:t>
            </w:r>
          </w:p>
        </w:tc>
        <w:tc>
          <w:tcPr>
            <w:tcW w:w="2207" w:type="dxa"/>
          </w:tcPr>
          <w:p w14:paraId="45FC97F8" w14:textId="77777777" w:rsidR="00E81330" w:rsidRPr="00E81330" w:rsidRDefault="00E81330" w:rsidP="00E81330">
            <w:pPr>
              <w:autoSpaceDE w:val="0"/>
              <w:autoSpaceDN w:val="0"/>
              <w:adjustRightInd w:val="0"/>
              <w:jc w:val="both"/>
              <w:rPr>
                <w:rFonts w:ascii="Abadi" w:eastAsiaTheme="minorHAnsi" w:hAnsi="Abadi" w:cs="*Verdana-Bold-4722-Identity-H"/>
                <w:b/>
                <w:bCs/>
                <w:color w:val="131313"/>
                <w:sz w:val="21"/>
                <w:szCs w:val="21"/>
                <w:lang w:val="es-MX" w:eastAsia="en-US"/>
              </w:rPr>
            </w:pPr>
            <w:r w:rsidRPr="00E81330">
              <w:rPr>
                <w:rFonts w:ascii="Abadi" w:eastAsiaTheme="minorHAnsi" w:hAnsi="Abadi" w:cs="*Verdana-Bold-4722-Identity-H"/>
                <w:b/>
                <w:bCs/>
                <w:color w:val="131313"/>
                <w:sz w:val="21"/>
                <w:szCs w:val="21"/>
                <w:lang w:val="es-MX" w:eastAsia="en-US"/>
              </w:rPr>
              <w:t>$56,537.15</w:t>
            </w:r>
          </w:p>
        </w:tc>
        <w:tc>
          <w:tcPr>
            <w:tcW w:w="2207" w:type="dxa"/>
          </w:tcPr>
          <w:p w14:paraId="065EDBA4" w14:textId="77777777" w:rsidR="00E81330" w:rsidRPr="00E81330" w:rsidRDefault="00E81330" w:rsidP="00E81330">
            <w:pPr>
              <w:autoSpaceDE w:val="0"/>
              <w:autoSpaceDN w:val="0"/>
              <w:adjustRightInd w:val="0"/>
              <w:jc w:val="both"/>
              <w:rPr>
                <w:rFonts w:ascii="Abadi" w:eastAsiaTheme="minorHAnsi" w:hAnsi="Abadi" w:cs="*Verdana-Bold-4722-Identity-H"/>
                <w:b/>
                <w:bCs/>
                <w:color w:val="131313"/>
                <w:sz w:val="21"/>
                <w:szCs w:val="21"/>
                <w:lang w:val="es-MX" w:eastAsia="en-US"/>
              </w:rPr>
            </w:pPr>
            <w:r w:rsidRPr="00E81330">
              <w:rPr>
                <w:rFonts w:ascii="Abadi" w:eastAsiaTheme="minorHAnsi" w:hAnsi="Abadi" w:cs="*Verdana-Bold-4722-Identity-H"/>
                <w:b/>
                <w:bCs/>
                <w:color w:val="141414"/>
                <w:sz w:val="21"/>
                <w:szCs w:val="21"/>
                <w:lang w:val="es-MX" w:eastAsia="en-US"/>
              </w:rPr>
              <w:t>$28,267.51</w:t>
            </w:r>
          </w:p>
        </w:tc>
        <w:tc>
          <w:tcPr>
            <w:tcW w:w="2207" w:type="dxa"/>
          </w:tcPr>
          <w:p w14:paraId="001CCE31"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4722-Identity-H"/>
                <w:b/>
                <w:bCs/>
                <w:color w:val="141414"/>
                <w:sz w:val="21"/>
                <w:szCs w:val="21"/>
                <w:lang w:val="es-MX" w:eastAsia="en-US"/>
              </w:rPr>
              <w:t>$25,440.55</w:t>
            </w:r>
          </w:p>
        </w:tc>
      </w:tr>
      <w:tr w:rsidR="00E81330" w:rsidRPr="00E81330" w14:paraId="65D51037" w14:textId="77777777" w:rsidTr="000C51A7">
        <w:tc>
          <w:tcPr>
            <w:tcW w:w="2207" w:type="dxa"/>
          </w:tcPr>
          <w:p w14:paraId="76118558" w14:textId="77777777" w:rsidR="00E81330" w:rsidRPr="00E81330" w:rsidRDefault="00E81330" w:rsidP="00E81330">
            <w:pPr>
              <w:autoSpaceDE w:val="0"/>
              <w:autoSpaceDN w:val="0"/>
              <w:adjustRightInd w:val="0"/>
              <w:jc w:val="both"/>
              <w:rPr>
                <w:rFonts w:ascii="Abadi" w:eastAsiaTheme="minorHAnsi" w:hAnsi="Abadi" w:cs="*Verdana-Bold-6732-Identity-H"/>
                <w:b/>
                <w:bCs/>
                <w:color w:val="141414"/>
                <w:sz w:val="21"/>
                <w:szCs w:val="21"/>
                <w:lang w:val="es-MX" w:eastAsia="en-US"/>
              </w:rPr>
            </w:pPr>
            <w:r w:rsidRPr="00E81330">
              <w:rPr>
                <w:rFonts w:ascii="Abadi" w:eastAsiaTheme="minorHAnsi" w:hAnsi="Abadi" w:cs="*Verdana-Bold-6732-Identity-H"/>
                <w:b/>
                <w:bCs/>
                <w:color w:val="141414"/>
                <w:sz w:val="21"/>
                <w:szCs w:val="21"/>
                <w:lang w:val="es-MX" w:eastAsia="en-US"/>
              </w:rPr>
              <w:t>Tarimoro</w:t>
            </w:r>
          </w:p>
        </w:tc>
        <w:tc>
          <w:tcPr>
            <w:tcW w:w="2207" w:type="dxa"/>
          </w:tcPr>
          <w:p w14:paraId="193582F9" w14:textId="77777777" w:rsidR="00E81330" w:rsidRPr="00E81330" w:rsidRDefault="00E81330" w:rsidP="00E81330">
            <w:pPr>
              <w:autoSpaceDE w:val="0"/>
              <w:autoSpaceDN w:val="0"/>
              <w:adjustRightInd w:val="0"/>
              <w:jc w:val="both"/>
              <w:rPr>
                <w:rFonts w:ascii="Abadi" w:eastAsiaTheme="minorHAnsi" w:hAnsi="Abadi" w:cs="*Verdana-Bold-4722-Identity-H"/>
                <w:b/>
                <w:bCs/>
                <w:color w:val="131313"/>
                <w:sz w:val="21"/>
                <w:szCs w:val="21"/>
                <w:lang w:val="es-MX" w:eastAsia="en-US"/>
              </w:rPr>
            </w:pPr>
            <w:r w:rsidRPr="00E81330">
              <w:rPr>
                <w:rFonts w:ascii="Abadi" w:eastAsiaTheme="minorHAnsi" w:hAnsi="Abadi" w:cs="*Verdana-Bold-6732-Identity-H"/>
                <w:b/>
                <w:bCs/>
                <w:color w:val="151515"/>
                <w:sz w:val="21"/>
                <w:szCs w:val="21"/>
                <w:lang w:val="es-MX" w:eastAsia="en-US"/>
              </w:rPr>
              <w:t>$67,845.01</w:t>
            </w:r>
          </w:p>
        </w:tc>
        <w:tc>
          <w:tcPr>
            <w:tcW w:w="2207" w:type="dxa"/>
          </w:tcPr>
          <w:p w14:paraId="34EE43A1" w14:textId="77777777" w:rsidR="00E81330" w:rsidRPr="00E81330" w:rsidRDefault="00E81330" w:rsidP="00E81330">
            <w:pPr>
              <w:autoSpaceDE w:val="0"/>
              <w:autoSpaceDN w:val="0"/>
              <w:adjustRightInd w:val="0"/>
              <w:jc w:val="both"/>
              <w:rPr>
                <w:rFonts w:ascii="Abadi" w:eastAsiaTheme="minorHAnsi" w:hAnsi="Abadi" w:cs="*Verdana-Bold-4722-Identity-H"/>
                <w:b/>
                <w:bCs/>
                <w:color w:val="131313"/>
                <w:sz w:val="21"/>
                <w:szCs w:val="21"/>
                <w:lang w:val="es-MX" w:eastAsia="en-US"/>
              </w:rPr>
            </w:pPr>
            <w:r w:rsidRPr="00E81330">
              <w:rPr>
                <w:rFonts w:ascii="Abadi" w:eastAsiaTheme="minorHAnsi" w:hAnsi="Abadi" w:cs="*Verdana-Bold-6732-Identity-H"/>
                <w:b/>
                <w:bCs/>
                <w:color w:val="141414"/>
                <w:sz w:val="21"/>
                <w:szCs w:val="21"/>
                <w:lang w:val="es-MX" w:eastAsia="en-US"/>
              </w:rPr>
              <w:t>$33,921.44</w:t>
            </w:r>
          </w:p>
        </w:tc>
        <w:tc>
          <w:tcPr>
            <w:tcW w:w="2207" w:type="dxa"/>
          </w:tcPr>
          <w:p w14:paraId="33A541AB" w14:textId="77777777" w:rsidR="00E81330" w:rsidRPr="00E81330" w:rsidRDefault="00E81330" w:rsidP="00E81330">
            <w:pPr>
              <w:autoSpaceDE w:val="0"/>
              <w:autoSpaceDN w:val="0"/>
              <w:adjustRightInd w:val="0"/>
              <w:jc w:val="both"/>
              <w:rPr>
                <w:rFonts w:ascii="Abadi" w:eastAsiaTheme="minorHAnsi" w:hAnsi="Abadi" w:cs="*Verdana-Bold-6732-Identity-H"/>
                <w:b/>
                <w:bCs/>
                <w:color w:val="131313"/>
                <w:sz w:val="21"/>
                <w:szCs w:val="21"/>
                <w:lang w:val="es-MX" w:eastAsia="en-US"/>
              </w:rPr>
            </w:pPr>
            <w:r w:rsidRPr="00E81330">
              <w:rPr>
                <w:rFonts w:ascii="Abadi" w:eastAsiaTheme="minorHAnsi" w:hAnsi="Abadi" w:cs="*Verdana-Bold-6732-Identity-H"/>
                <w:b/>
                <w:bCs/>
                <w:color w:val="131313"/>
                <w:sz w:val="21"/>
                <w:szCs w:val="21"/>
                <w:lang w:val="es-MX" w:eastAsia="en-US"/>
              </w:rPr>
              <w:t>$30,529.08</w:t>
            </w:r>
          </w:p>
        </w:tc>
      </w:tr>
      <w:tr w:rsidR="00E81330" w:rsidRPr="00E81330" w14:paraId="3DBF592B" w14:textId="77777777" w:rsidTr="000C51A7">
        <w:tc>
          <w:tcPr>
            <w:tcW w:w="2207" w:type="dxa"/>
          </w:tcPr>
          <w:p w14:paraId="39DBF8AE" w14:textId="77777777" w:rsidR="00E81330" w:rsidRPr="00E81330" w:rsidRDefault="00E81330" w:rsidP="00E81330">
            <w:pPr>
              <w:autoSpaceDE w:val="0"/>
              <w:autoSpaceDN w:val="0"/>
              <w:adjustRightInd w:val="0"/>
              <w:jc w:val="both"/>
              <w:rPr>
                <w:rFonts w:ascii="Abadi" w:eastAsiaTheme="minorHAnsi" w:hAnsi="Abadi" w:cs="*Verdana-Bold-6732-Identity-H"/>
                <w:b/>
                <w:bCs/>
                <w:color w:val="151515"/>
                <w:sz w:val="21"/>
                <w:szCs w:val="21"/>
                <w:lang w:val="es-MX" w:eastAsia="en-US"/>
              </w:rPr>
            </w:pPr>
            <w:r w:rsidRPr="00E81330">
              <w:rPr>
                <w:rFonts w:ascii="Abadi" w:eastAsiaTheme="minorHAnsi" w:hAnsi="Abadi" w:cs="*Verdana-Bold-6732-Identity-H"/>
                <w:b/>
                <w:bCs/>
                <w:color w:val="151515"/>
                <w:sz w:val="21"/>
                <w:szCs w:val="21"/>
                <w:lang w:val="es-MX" w:eastAsia="en-US"/>
              </w:rPr>
              <w:t>Tierra Blanca</w:t>
            </w:r>
          </w:p>
        </w:tc>
        <w:tc>
          <w:tcPr>
            <w:tcW w:w="2207" w:type="dxa"/>
          </w:tcPr>
          <w:p w14:paraId="46DFF7DD"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6732-Identity-H"/>
                <w:b/>
                <w:bCs/>
                <w:color w:val="141414"/>
                <w:sz w:val="21"/>
                <w:szCs w:val="21"/>
                <w:lang w:val="es-MX" w:eastAsia="en-US"/>
              </w:rPr>
              <w:t>$50,883.22</w:t>
            </w:r>
          </w:p>
        </w:tc>
        <w:tc>
          <w:tcPr>
            <w:tcW w:w="2207" w:type="dxa"/>
          </w:tcPr>
          <w:p w14:paraId="1934AC29"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6732-Identity-H"/>
                <w:b/>
                <w:bCs/>
                <w:color w:val="141414"/>
                <w:sz w:val="21"/>
                <w:szCs w:val="21"/>
                <w:lang w:val="es-MX" w:eastAsia="en-US"/>
              </w:rPr>
              <w:t>$25,440.55</w:t>
            </w:r>
          </w:p>
        </w:tc>
        <w:tc>
          <w:tcPr>
            <w:tcW w:w="2207" w:type="dxa"/>
          </w:tcPr>
          <w:p w14:paraId="14BD5054" w14:textId="77777777" w:rsidR="00E81330" w:rsidRPr="00E81330" w:rsidRDefault="00E81330" w:rsidP="00E81330">
            <w:pPr>
              <w:autoSpaceDE w:val="0"/>
              <w:autoSpaceDN w:val="0"/>
              <w:adjustRightInd w:val="0"/>
              <w:jc w:val="both"/>
              <w:rPr>
                <w:rFonts w:ascii="Abadi" w:eastAsiaTheme="minorHAnsi" w:hAnsi="Abadi" w:cs="*Verdana-Bold-6732-Identity-H"/>
                <w:b/>
                <w:bCs/>
                <w:color w:val="131313"/>
                <w:sz w:val="21"/>
                <w:szCs w:val="21"/>
                <w:lang w:val="es-MX" w:eastAsia="en-US"/>
              </w:rPr>
            </w:pPr>
            <w:r w:rsidRPr="00E81330">
              <w:rPr>
                <w:rFonts w:ascii="Abadi" w:eastAsiaTheme="minorHAnsi" w:hAnsi="Abadi" w:cs="*Verdana-Bold-6732-Identity-H"/>
                <w:b/>
                <w:bCs/>
                <w:color w:val="131313"/>
                <w:sz w:val="21"/>
                <w:szCs w:val="21"/>
                <w:lang w:val="es-MX" w:eastAsia="en-US"/>
              </w:rPr>
              <w:t>$22,896.28</w:t>
            </w:r>
          </w:p>
        </w:tc>
      </w:tr>
      <w:tr w:rsidR="00E81330" w:rsidRPr="00E81330" w14:paraId="7667A0E8" w14:textId="77777777" w:rsidTr="000C51A7">
        <w:tc>
          <w:tcPr>
            <w:tcW w:w="2207" w:type="dxa"/>
          </w:tcPr>
          <w:p w14:paraId="70CC985D" w14:textId="77777777" w:rsidR="00E81330" w:rsidRPr="00E81330" w:rsidRDefault="00E81330" w:rsidP="00E81330">
            <w:pPr>
              <w:autoSpaceDE w:val="0"/>
              <w:autoSpaceDN w:val="0"/>
              <w:adjustRightInd w:val="0"/>
              <w:jc w:val="both"/>
              <w:rPr>
                <w:rFonts w:ascii="Abadi" w:eastAsiaTheme="minorHAnsi" w:hAnsi="Abadi" w:cs="*Verdana-Bold-6732-Identity-H"/>
                <w:b/>
                <w:bCs/>
                <w:color w:val="151515"/>
                <w:sz w:val="21"/>
                <w:szCs w:val="21"/>
                <w:lang w:val="es-MX" w:eastAsia="en-US"/>
              </w:rPr>
            </w:pPr>
            <w:r w:rsidRPr="00E81330">
              <w:rPr>
                <w:rFonts w:ascii="Abadi" w:eastAsiaTheme="minorHAnsi" w:hAnsi="Abadi" w:cs="*Verdana-Bold-6732-Identity-H"/>
                <w:b/>
                <w:bCs/>
                <w:color w:val="151515"/>
                <w:sz w:val="21"/>
                <w:szCs w:val="21"/>
                <w:lang w:val="es-MX" w:eastAsia="en-US"/>
              </w:rPr>
              <w:t>Uriangato</w:t>
            </w:r>
          </w:p>
        </w:tc>
        <w:tc>
          <w:tcPr>
            <w:tcW w:w="2207" w:type="dxa"/>
          </w:tcPr>
          <w:p w14:paraId="73FE2E81"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6732-Identity-H"/>
                <w:b/>
                <w:bCs/>
                <w:color w:val="141414"/>
                <w:sz w:val="21"/>
                <w:szCs w:val="21"/>
                <w:lang w:val="es-MX" w:eastAsia="en-US"/>
              </w:rPr>
              <w:t>$84,806.80</w:t>
            </w:r>
          </w:p>
        </w:tc>
        <w:tc>
          <w:tcPr>
            <w:tcW w:w="2207" w:type="dxa"/>
          </w:tcPr>
          <w:p w14:paraId="794AFB7A"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6732-Identity-H"/>
                <w:b/>
                <w:bCs/>
                <w:color w:val="151515"/>
                <w:sz w:val="21"/>
                <w:szCs w:val="21"/>
                <w:lang w:val="es-MX" w:eastAsia="en-US"/>
              </w:rPr>
              <w:t>$42,402.33</w:t>
            </w:r>
          </w:p>
        </w:tc>
        <w:tc>
          <w:tcPr>
            <w:tcW w:w="2207" w:type="dxa"/>
          </w:tcPr>
          <w:p w14:paraId="4C9E77D2" w14:textId="77777777" w:rsidR="00E81330" w:rsidRPr="00E81330" w:rsidRDefault="00E81330" w:rsidP="00E81330">
            <w:pPr>
              <w:autoSpaceDE w:val="0"/>
              <w:autoSpaceDN w:val="0"/>
              <w:adjustRightInd w:val="0"/>
              <w:jc w:val="both"/>
              <w:rPr>
                <w:rFonts w:ascii="Abadi" w:eastAsiaTheme="minorHAnsi" w:hAnsi="Abadi" w:cs="*Verdana-Bold-6732-Identity-H"/>
                <w:b/>
                <w:bCs/>
                <w:color w:val="141414"/>
                <w:sz w:val="21"/>
                <w:szCs w:val="21"/>
                <w:lang w:val="es-MX" w:eastAsia="en-US"/>
              </w:rPr>
            </w:pPr>
            <w:r w:rsidRPr="00E81330">
              <w:rPr>
                <w:rFonts w:ascii="Abadi" w:eastAsiaTheme="minorHAnsi" w:hAnsi="Abadi" w:cs="*Verdana-Bold-6732-Identity-H"/>
                <w:b/>
                <w:bCs/>
                <w:color w:val="141414"/>
                <w:sz w:val="21"/>
                <w:szCs w:val="21"/>
                <w:lang w:val="es-MX" w:eastAsia="en-US"/>
              </w:rPr>
              <w:t>$38,161.89</w:t>
            </w:r>
          </w:p>
        </w:tc>
      </w:tr>
      <w:tr w:rsidR="00E81330" w:rsidRPr="00E81330" w14:paraId="0611447A" w14:textId="77777777" w:rsidTr="000C51A7">
        <w:tc>
          <w:tcPr>
            <w:tcW w:w="2207" w:type="dxa"/>
          </w:tcPr>
          <w:p w14:paraId="0094DA86" w14:textId="77777777" w:rsidR="00E81330" w:rsidRPr="00E81330" w:rsidRDefault="00E81330" w:rsidP="00E81330">
            <w:pPr>
              <w:autoSpaceDE w:val="0"/>
              <w:autoSpaceDN w:val="0"/>
              <w:adjustRightInd w:val="0"/>
              <w:jc w:val="both"/>
              <w:rPr>
                <w:rFonts w:ascii="Abadi" w:eastAsiaTheme="minorHAnsi" w:hAnsi="Abadi" w:cs="*Verdana-Bold-6732-Identity-H"/>
                <w:b/>
                <w:bCs/>
                <w:color w:val="141414"/>
                <w:sz w:val="21"/>
                <w:szCs w:val="21"/>
                <w:lang w:val="es-MX" w:eastAsia="en-US"/>
              </w:rPr>
            </w:pPr>
            <w:r w:rsidRPr="00E81330">
              <w:rPr>
                <w:rFonts w:ascii="Abadi" w:eastAsiaTheme="minorHAnsi" w:hAnsi="Abadi" w:cs="*Verdana-Bold-6732-Identity-H"/>
                <w:b/>
                <w:bCs/>
                <w:color w:val="141414"/>
                <w:sz w:val="21"/>
                <w:szCs w:val="21"/>
                <w:lang w:val="es-MX" w:eastAsia="en-US"/>
              </w:rPr>
              <w:t>Valle de Santiago</w:t>
            </w:r>
          </w:p>
        </w:tc>
        <w:tc>
          <w:tcPr>
            <w:tcW w:w="2207" w:type="dxa"/>
          </w:tcPr>
          <w:p w14:paraId="698FEC11"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6732-Identity-H"/>
                <w:b/>
                <w:bCs/>
                <w:color w:val="141414"/>
                <w:sz w:val="21"/>
                <w:szCs w:val="21"/>
                <w:lang w:val="es-MX" w:eastAsia="en-US"/>
              </w:rPr>
              <w:t>$101,768.58</w:t>
            </w:r>
          </w:p>
        </w:tc>
        <w:tc>
          <w:tcPr>
            <w:tcW w:w="2207" w:type="dxa"/>
          </w:tcPr>
          <w:p w14:paraId="51603A84"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6732-Identity-H"/>
                <w:b/>
                <w:bCs/>
                <w:color w:val="131313"/>
                <w:sz w:val="21"/>
                <w:szCs w:val="21"/>
                <w:lang w:val="es-MX" w:eastAsia="en-US"/>
              </w:rPr>
              <w:t>$50,883.22</w:t>
            </w:r>
          </w:p>
        </w:tc>
        <w:tc>
          <w:tcPr>
            <w:tcW w:w="2207" w:type="dxa"/>
          </w:tcPr>
          <w:p w14:paraId="73B1C64C" w14:textId="77777777" w:rsidR="00E81330" w:rsidRPr="00E81330" w:rsidRDefault="00E81330" w:rsidP="00E81330">
            <w:pPr>
              <w:autoSpaceDE w:val="0"/>
              <w:autoSpaceDN w:val="0"/>
              <w:adjustRightInd w:val="0"/>
              <w:jc w:val="both"/>
              <w:rPr>
                <w:rFonts w:ascii="Abadi" w:eastAsiaTheme="minorHAnsi" w:hAnsi="Abadi" w:cs="*Verdana-Bold-6732-Identity-H"/>
                <w:b/>
                <w:bCs/>
                <w:color w:val="141414"/>
                <w:sz w:val="21"/>
                <w:szCs w:val="21"/>
                <w:lang w:val="es-MX" w:eastAsia="en-US"/>
              </w:rPr>
            </w:pPr>
            <w:r w:rsidRPr="00E81330">
              <w:rPr>
                <w:rFonts w:ascii="Abadi" w:eastAsiaTheme="minorHAnsi" w:hAnsi="Abadi" w:cs="*Verdana-Bold-6732-Identity-H"/>
                <w:b/>
                <w:bCs/>
                <w:color w:val="141414"/>
                <w:sz w:val="21"/>
                <w:szCs w:val="21"/>
                <w:lang w:val="es-MX" w:eastAsia="en-US"/>
              </w:rPr>
              <w:t>$45,794.69</w:t>
            </w:r>
          </w:p>
        </w:tc>
      </w:tr>
      <w:tr w:rsidR="00E81330" w:rsidRPr="00E81330" w14:paraId="4E5FC497" w14:textId="77777777" w:rsidTr="000C51A7">
        <w:tc>
          <w:tcPr>
            <w:tcW w:w="2207" w:type="dxa"/>
          </w:tcPr>
          <w:p w14:paraId="5F7CC154" w14:textId="77777777" w:rsidR="00E81330" w:rsidRPr="00E81330" w:rsidRDefault="00E81330" w:rsidP="00E81330">
            <w:pPr>
              <w:autoSpaceDE w:val="0"/>
              <w:autoSpaceDN w:val="0"/>
              <w:adjustRightInd w:val="0"/>
              <w:jc w:val="both"/>
              <w:rPr>
                <w:rFonts w:ascii="Abadi" w:eastAsiaTheme="minorHAnsi" w:hAnsi="Abadi" w:cs="*Verdana-Bold-6732-Identity-H"/>
                <w:b/>
                <w:bCs/>
                <w:color w:val="141414"/>
                <w:sz w:val="21"/>
                <w:szCs w:val="21"/>
                <w:lang w:val="es-MX" w:eastAsia="en-US"/>
              </w:rPr>
            </w:pPr>
            <w:r w:rsidRPr="00E81330">
              <w:rPr>
                <w:rFonts w:ascii="Abadi" w:eastAsiaTheme="minorHAnsi" w:hAnsi="Abadi" w:cs="*Verdana-Bold-6732-Identity-H"/>
                <w:b/>
                <w:bCs/>
                <w:color w:val="141414"/>
                <w:sz w:val="21"/>
                <w:szCs w:val="21"/>
                <w:lang w:val="es-MX" w:eastAsia="en-US"/>
              </w:rPr>
              <w:t>Victoria</w:t>
            </w:r>
          </w:p>
        </w:tc>
        <w:tc>
          <w:tcPr>
            <w:tcW w:w="2207" w:type="dxa"/>
          </w:tcPr>
          <w:p w14:paraId="50119885"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6732-Identity-H"/>
                <w:b/>
                <w:bCs/>
                <w:color w:val="141414"/>
                <w:sz w:val="21"/>
                <w:szCs w:val="21"/>
                <w:lang w:val="es-MX" w:eastAsia="en-US"/>
              </w:rPr>
              <w:t>$62,191.09</w:t>
            </w:r>
          </w:p>
        </w:tc>
        <w:tc>
          <w:tcPr>
            <w:tcW w:w="2207" w:type="dxa"/>
          </w:tcPr>
          <w:p w14:paraId="4E14FA76"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6732-Identity-H"/>
                <w:b/>
                <w:bCs/>
                <w:color w:val="141414"/>
                <w:sz w:val="21"/>
                <w:szCs w:val="21"/>
                <w:lang w:val="es-MX" w:eastAsia="en-US"/>
              </w:rPr>
              <w:t>$31,094.48</w:t>
            </w:r>
          </w:p>
        </w:tc>
        <w:tc>
          <w:tcPr>
            <w:tcW w:w="2207" w:type="dxa"/>
          </w:tcPr>
          <w:p w14:paraId="15D95A09" w14:textId="77777777" w:rsidR="00E81330" w:rsidRPr="00E81330" w:rsidRDefault="00E81330" w:rsidP="00E81330">
            <w:pPr>
              <w:autoSpaceDE w:val="0"/>
              <w:autoSpaceDN w:val="0"/>
              <w:adjustRightInd w:val="0"/>
              <w:jc w:val="both"/>
              <w:rPr>
                <w:rFonts w:ascii="Abadi" w:eastAsiaTheme="minorHAnsi" w:hAnsi="Abadi" w:cs="*Verdana-Bold-6732-Identity-H"/>
                <w:b/>
                <w:bCs/>
                <w:color w:val="141414"/>
                <w:sz w:val="21"/>
                <w:szCs w:val="21"/>
                <w:lang w:val="es-MX" w:eastAsia="en-US"/>
              </w:rPr>
            </w:pPr>
            <w:r w:rsidRPr="00E81330">
              <w:rPr>
                <w:rFonts w:ascii="Abadi" w:eastAsiaTheme="minorHAnsi" w:hAnsi="Abadi" w:cs="*Verdana-Bold-6732-Identity-H"/>
                <w:b/>
                <w:bCs/>
                <w:color w:val="141414"/>
                <w:sz w:val="21"/>
                <w:szCs w:val="21"/>
                <w:lang w:val="es-MX" w:eastAsia="en-US"/>
              </w:rPr>
              <w:t>$27,984.82</w:t>
            </w:r>
          </w:p>
        </w:tc>
      </w:tr>
      <w:tr w:rsidR="00E81330" w:rsidRPr="00E81330" w14:paraId="700E3287" w14:textId="77777777" w:rsidTr="000C51A7">
        <w:tc>
          <w:tcPr>
            <w:tcW w:w="2207" w:type="dxa"/>
          </w:tcPr>
          <w:p w14:paraId="4B05ACF9" w14:textId="77777777" w:rsidR="00E81330" w:rsidRPr="00E81330" w:rsidRDefault="00E81330" w:rsidP="00E81330">
            <w:pPr>
              <w:autoSpaceDE w:val="0"/>
              <w:autoSpaceDN w:val="0"/>
              <w:adjustRightInd w:val="0"/>
              <w:jc w:val="both"/>
              <w:rPr>
                <w:rFonts w:ascii="Abadi" w:eastAsiaTheme="minorHAnsi" w:hAnsi="Abadi" w:cs="*Verdana-Bold-6732-Identity-H"/>
                <w:b/>
                <w:bCs/>
                <w:color w:val="141414"/>
                <w:sz w:val="21"/>
                <w:szCs w:val="21"/>
                <w:lang w:val="es-MX" w:eastAsia="en-US"/>
              </w:rPr>
            </w:pPr>
            <w:r w:rsidRPr="00E81330">
              <w:rPr>
                <w:rFonts w:ascii="Abadi" w:eastAsiaTheme="minorHAnsi" w:hAnsi="Abadi" w:cs="*Verdana-Bold-6732-Identity-H"/>
                <w:b/>
                <w:bCs/>
                <w:color w:val="141414"/>
                <w:sz w:val="21"/>
                <w:szCs w:val="21"/>
                <w:lang w:val="es-MX" w:eastAsia="en-US"/>
              </w:rPr>
              <w:t>Villagrán</w:t>
            </w:r>
          </w:p>
        </w:tc>
        <w:tc>
          <w:tcPr>
            <w:tcW w:w="2207" w:type="dxa"/>
          </w:tcPr>
          <w:p w14:paraId="33C99750"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6732-Identity-H"/>
                <w:b/>
                <w:bCs/>
                <w:color w:val="141414"/>
                <w:sz w:val="21"/>
                <w:szCs w:val="21"/>
                <w:lang w:val="es-MX" w:eastAsia="en-US"/>
              </w:rPr>
              <w:t>$84,806.80</w:t>
            </w:r>
          </w:p>
        </w:tc>
        <w:tc>
          <w:tcPr>
            <w:tcW w:w="2207" w:type="dxa"/>
          </w:tcPr>
          <w:p w14:paraId="57BE9D25"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6732-Identity-H"/>
                <w:b/>
                <w:bCs/>
                <w:color w:val="141414"/>
                <w:sz w:val="21"/>
                <w:szCs w:val="21"/>
                <w:lang w:val="es-MX" w:eastAsia="en-US"/>
              </w:rPr>
              <w:t>$42,402.33</w:t>
            </w:r>
          </w:p>
        </w:tc>
        <w:tc>
          <w:tcPr>
            <w:tcW w:w="2207" w:type="dxa"/>
          </w:tcPr>
          <w:p w14:paraId="469F806A" w14:textId="77777777" w:rsidR="00E81330" w:rsidRPr="00E81330" w:rsidRDefault="00E81330" w:rsidP="00E81330">
            <w:pPr>
              <w:autoSpaceDE w:val="0"/>
              <w:autoSpaceDN w:val="0"/>
              <w:adjustRightInd w:val="0"/>
              <w:jc w:val="both"/>
              <w:rPr>
                <w:rFonts w:ascii="Abadi" w:eastAsiaTheme="minorHAnsi" w:hAnsi="Abadi" w:cs="*Verdana-Bold-6732-Identity-H"/>
                <w:b/>
                <w:bCs/>
                <w:color w:val="131313"/>
                <w:sz w:val="21"/>
                <w:szCs w:val="21"/>
                <w:lang w:val="es-MX" w:eastAsia="en-US"/>
              </w:rPr>
            </w:pPr>
            <w:r w:rsidRPr="00E81330">
              <w:rPr>
                <w:rFonts w:ascii="Abadi" w:eastAsiaTheme="minorHAnsi" w:hAnsi="Abadi" w:cs="*Verdana-Bold-6732-Identity-H"/>
                <w:b/>
                <w:bCs/>
                <w:color w:val="131313"/>
                <w:sz w:val="21"/>
                <w:szCs w:val="21"/>
                <w:lang w:val="es-MX" w:eastAsia="en-US"/>
              </w:rPr>
              <w:t>$38,161.89</w:t>
            </w:r>
          </w:p>
        </w:tc>
      </w:tr>
      <w:tr w:rsidR="00E81330" w:rsidRPr="00E81330" w14:paraId="1197ACC1" w14:textId="77777777" w:rsidTr="000C51A7">
        <w:tc>
          <w:tcPr>
            <w:tcW w:w="2207" w:type="dxa"/>
          </w:tcPr>
          <w:p w14:paraId="6BB564F1" w14:textId="77777777" w:rsidR="00E81330" w:rsidRPr="00E81330" w:rsidRDefault="00E81330" w:rsidP="00E81330">
            <w:pPr>
              <w:autoSpaceDE w:val="0"/>
              <w:autoSpaceDN w:val="0"/>
              <w:adjustRightInd w:val="0"/>
              <w:jc w:val="both"/>
              <w:rPr>
                <w:rFonts w:ascii="Abadi" w:eastAsiaTheme="minorHAnsi" w:hAnsi="Abadi" w:cs="*Verdana-Bold-6732-Identity-H"/>
                <w:b/>
                <w:bCs/>
                <w:color w:val="151515"/>
                <w:sz w:val="21"/>
                <w:szCs w:val="21"/>
                <w:lang w:val="es-MX" w:eastAsia="en-US"/>
              </w:rPr>
            </w:pPr>
            <w:r w:rsidRPr="00E81330">
              <w:rPr>
                <w:rFonts w:ascii="Abadi" w:eastAsiaTheme="minorHAnsi" w:hAnsi="Abadi" w:cs="*Verdana-Bold-6732-Identity-H"/>
                <w:b/>
                <w:bCs/>
                <w:color w:val="151515"/>
                <w:sz w:val="21"/>
                <w:szCs w:val="21"/>
                <w:lang w:val="es-MX" w:eastAsia="en-US"/>
              </w:rPr>
              <w:t>Xichú</w:t>
            </w:r>
          </w:p>
        </w:tc>
        <w:tc>
          <w:tcPr>
            <w:tcW w:w="2207" w:type="dxa"/>
          </w:tcPr>
          <w:p w14:paraId="28EE7427"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6732-Identity-H"/>
                <w:b/>
                <w:bCs/>
                <w:color w:val="151515"/>
                <w:sz w:val="21"/>
                <w:szCs w:val="21"/>
                <w:lang w:val="es-MX" w:eastAsia="en-US"/>
              </w:rPr>
              <w:t>$62,191.09</w:t>
            </w:r>
          </w:p>
        </w:tc>
        <w:tc>
          <w:tcPr>
            <w:tcW w:w="2207" w:type="dxa"/>
          </w:tcPr>
          <w:p w14:paraId="5EEAC6B8" w14:textId="77777777" w:rsidR="00E81330" w:rsidRPr="00E81330" w:rsidRDefault="00E81330" w:rsidP="00E81330">
            <w:pPr>
              <w:autoSpaceDE w:val="0"/>
              <w:autoSpaceDN w:val="0"/>
              <w:adjustRightInd w:val="0"/>
              <w:jc w:val="both"/>
              <w:rPr>
                <w:rFonts w:ascii="Abadi" w:eastAsiaTheme="minorHAnsi" w:hAnsi="Abadi" w:cs="*Verdana-Bold-4722-Identity-H"/>
                <w:b/>
                <w:bCs/>
                <w:color w:val="141414"/>
                <w:sz w:val="21"/>
                <w:szCs w:val="21"/>
                <w:lang w:val="es-MX" w:eastAsia="en-US"/>
              </w:rPr>
            </w:pPr>
            <w:r w:rsidRPr="00E81330">
              <w:rPr>
                <w:rFonts w:ascii="Abadi" w:eastAsiaTheme="minorHAnsi" w:hAnsi="Abadi" w:cs="*Verdana-Bold-6732-Identity-H"/>
                <w:b/>
                <w:bCs/>
                <w:color w:val="141414"/>
                <w:sz w:val="21"/>
                <w:szCs w:val="21"/>
                <w:lang w:val="es-MX" w:eastAsia="en-US"/>
              </w:rPr>
              <w:t>$31,094.48</w:t>
            </w:r>
          </w:p>
        </w:tc>
        <w:tc>
          <w:tcPr>
            <w:tcW w:w="2207" w:type="dxa"/>
          </w:tcPr>
          <w:p w14:paraId="6FD676C7" w14:textId="77777777" w:rsidR="00E81330" w:rsidRPr="00E81330" w:rsidRDefault="00E81330" w:rsidP="00E81330">
            <w:pPr>
              <w:autoSpaceDE w:val="0"/>
              <w:autoSpaceDN w:val="0"/>
              <w:adjustRightInd w:val="0"/>
              <w:jc w:val="both"/>
              <w:rPr>
                <w:rFonts w:ascii="Abadi" w:eastAsiaTheme="minorHAnsi" w:hAnsi="Abadi" w:cs="*Verdana-Bold-6732-Identity-H"/>
                <w:b/>
                <w:bCs/>
                <w:color w:val="141414"/>
                <w:sz w:val="21"/>
                <w:szCs w:val="21"/>
                <w:lang w:val="es-MX" w:eastAsia="en-US"/>
              </w:rPr>
            </w:pPr>
            <w:r w:rsidRPr="00E81330">
              <w:rPr>
                <w:rFonts w:ascii="Abadi" w:eastAsiaTheme="minorHAnsi" w:hAnsi="Abadi" w:cs="*Verdana-Bold-6732-Identity-H"/>
                <w:b/>
                <w:bCs/>
                <w:color w:val="141414"/>
                <w:sz w:val="21"/>
                <w:szCs w:val="21"/>
                <w:lang w:val="es-MX" w:eastAsia="en-US"/>
              </w:rPr>
              <w:t>$27,984.82</w:t>
            </w:r>
          </w:p>
        </w:tc>
      </w:tr>
      <w:tr w:rsidR="00E81330" w:rsidRPr="00E81330" w14:paraId="27D3DCED" w14:textId="77777777" w:rsidTr="000C51A7">
        <w:tc>
          <w:tcPr>
            <w:tcW w:w="2207" w:type="dxa"/>
          </w:tcPr>
          <w:p w14:paraId="02CB105B" w14:textId="77777777" w:rsidR="00E81330" w:rsidRPr="00E81330" w:rsidRDefault="00E81330" w:rsidP="00E81330">
            <w:pPr>
              <w:autoSpaceDE w:val="0"/>
              <w:autoSpaceDN w:val="0"/>
              <w:adjustRightInd w:val="0"/>
              <w:jc w:val="both"/>
              <w:rPr>
                <w:rFonts w:ascii="Abadi" w:eastAsiaTheme="minorHAnsi" w:hAnsi="Abadi" w:cs="*Verdana-Bold-6732-Identity-H"/>
                <w:b/>
                <w:bCs/>
                <w:color w:val="161616"/>
                <w:sz w:val="21"/>
                <w:szCs w:val="21"/>
                <w:lang w:val="es-MX" w:eastAsia="en-US"/>
              </w:rPr>
            </w:pPr>
            <w:r w:rsidRPr="00E81330">
              <w:rPr>
                <w:rFonts w:ascii="Abadi" w:eastAsiaTheme="minorHAnsi" w:hAnsi="Abadi" w:cs="*Verdana-Bold-6732-Identity-H"/>
                <w:b/>
                <w:bCs/>
                <w:color w:val="161616"/>
                <w:sz w:val="21"/>
                <w:szCs w:val="21"/>
                <w:lang w:val="es-MX" w:eastAsia="en-US"/>
              </w:rPr>
              <w:t>Yuriria</w:t>
            </w:r>
          </w:p>
        </w:tc>
        <w:tc>
          <w:tcPr>
            <w:tcW w:w="2207" w:type="dxa"/>
          </w:tcPr>
          <w:p w14:paraId="433F14ED"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r w:rsidRPr="00E81330">
              <w:rPr>
                <w:rFonts w:ascii="Abadi" w:eastAsiaTheme="minorHAnsi" w:hAnsi="Abadi" w:cs="*Verdana-Bold-6732-Identity-H"/>
                <w:b/>
                <w:bCs/>
                <w:color w:val="141414"/>
                <w:sz w:val="21"/>
                <w:szCs w:val="21"/>
                <w:lang w:val="es-MX" w:eastAsia="en-US"/>
              </w:rPr>
              <w:t>$84,806.80</w:t>
            </w:r>
          </w:p>
        </w:tc>
        <w:tc>
          <w:tcPr>
            <w:tcW w:w="2207" w:type="dxa"/>
          </w:tcPr>
          <w:p w14:paraId="6612A5D5" w14:textId="77777777" w:rsidR="00E81330" w:rsidRPr="00E81330" w:rsidRDefault="00E81330" w:rsidP="00E81330">
            <w:pPr>
              <w:autoSpaceDE w:val="0"/>
              <w:autoSpaceDN w:val="0"/>
              <w:adjustRightInd w:val="0"/>
              <w:jc w:val="both"/>
              <w:rPr>
                <w:rFonts w:ascii="Abadi" w:eastAsiaTheme="minorHAnsi" w:hAnsi="Abadi" w:cs="*Verdana-8524-Identity-H"/>
                <w:color w:val="141414"/>
                <w:sz w:val="21"/>
                <w:szCs w:val="21"/>
                <w:lang w:val="es-MX" w:eastAsia="en-US"/>
              </w:rPr>
            </w:pPr>
            <w:r w:rsidRPr="00E81330">
              <w:rPr>
                <w:rFonts w:ascii="Abadi" w:eastAsiaTheme="minorHAnsi" w:hAnsi="Abadi" w:cs="*Verdana-Bold-6732-Identity-H"/>
                <w:b/>
                <w:bCs/>
                <w:color w:val="141414"/>
                <w:sz w:val="21"/>
                <w:szCs w:val="21"/>
                <w:lang w:val="es-MX" w:eastAsia="en-US"/>
              </w:rPr>
              <w:t>$42,402.33</w:t>
            </w:r>
          </w:p>
        </w:tc>
        <w:tc>
          <w:tcPr>
            <w:tcW w:w="2207" w:type="dxa"/>
          </w:tcPr>
          <w:p w14:paraId="7470D622" w14:textId="77777777" w:rsidR="00E81330" w:rsidRPr="00E81330" w:rsidRDefault="00E81330" w:rsidP="00E81330">
            <w:pPr>
              <w:autoSpaceDE w:val="0"/>
              <w:autoSpaceDN w:val="0"/>
              <w:adjustRightInd w:val="0"/>
              <w:jc w:val="both"/>
              <w:rPr>
                <w:rFonts w:ascii="Abadi" w:eastAsiaTheme="minorHAnsi" w:hAnsi="Abadi" w:cs="*Verdana-Bold-6732-Identity-H"/>
                <w:b/>
                <w:bCs/>
                <w:color w:val="141414"/>
                <w:sz w:val="21"/>
                <w:szCs w:val="21"/>
                <w:lang w:val="es-MX" w:eastAsia="en-US"/>
              </w:rPr>
            </w:pPr>
            <w:r w:rsidRPr="00E81330">
              <w:rPr>
                <w:rFonts w:ascii="Abadi" w:eastAsiaTheme="minorHAnsi" w:hAnsi="Abadi" w:cs="*Verdana-Bold-6732-Identity-H"/>
                <w:b/>
                <w:bCs/>
                <w:color w:val="141414"/>
                <w:sz w:val="21"/>
                <w:szCs w:val="21"/>
                <w:lang w:val="es-MX" w:eastAsia="en-US"/>
              </w:rPr>
              <w:t>$38,161.89</w:t>
            </w:r>
          </w:p>
        </w:tc>
      </w:tr>
    </w:tbl>
    <w:p w14:paraId="05CF2C45" w14:textId="77777777" w:rsidR="00E81330" w:rsidRPr="00E81330" w:rsidRDefault="00E81330" w:rsidP="00E81330">
      <w:pPr>
        <w:autoSpaceDE w:val="0"/>
        <w:autoSpaceDN w:val="0"/>
        <w:adjustRightInd w:val="0"/>
        <w:jc w:val="both"/>
        <w:rPr>
          <w:rFonts w:ascii="Abadi" w:eastAsiaTheme="minorHAnsi" w:hAnsi="Abadi" w:cs="*Verdana-Bold-6732-Identity-H"/>
          <w:b/>
          <w:bCs/>
          <w:color w:val="141414"/>
          <w:sz w:val="21"/>
          <w:szCs w:val="21"/>
          <w:lang w:val="es-MX" w:eastAsia="en-US"/>
        </w:rPr>
      </w:pPr>
    </w:p>
    <w:p w14:paraId="77E20112" w14:textId="77777777" w:rsidR="00E81330" w:rsidRPr="00E81330" w:rsidRDefault="00E81330" w:rsidP="00E81330">
      <w:pPr>
        <w:autoSpaceDE w:val="0"/>
        <w:autoSpaceDN w:val="0"/>
        <w:adjustRightInd w:val="0"/>
        <w:jc w:val="both"/>
        <w:rPr>
          <w:rFonts w:ascii="Abadi" w:eastAsiaTheme="minorHAnsi" w:hAnsi="Abadi" w:cs="*Verdana-6731-Identity-H"/>
          <w:color w:val="141414"/>
          <w:sz w:val="21"/>
          <w:szCs w:val="21"/>
          <w:lang w:val="es-MX" w:eastAsia="en-US"/>
        </w:rPr>
      </w:pPr>
      <w:r w:rsidRPr="00E81330">
        <w:rPr>
          <w:rFonts w:ascii="Abadi" w:eastAsiaTheme="minorHAnsi" w:hAnsi="Abadi" w:cs="*Verdana-Bold-6732-Identity-H"/>
          <w:b/>
          <w:bCs/>
          <w:color w:val="141414"/>
          <w:sz w:val="21"/>
          <w:szCs w:val="21"/>
          <w:lang w:val="es-MX" w:eastAsia="en-US"/>
        </w:rPr>
        <w:tab/>
        <w:t xml:space="preserve">Artículo Segundó. </w:t>
      </w:r>
      <w:r w:rsidRPr="00E81330">
        <w:rPr>
          <w:rFonts w:ascii="Abadi" w:eastAsiaTheme="minorHAnsi" w:hAnsi="Abadi" w:cs="*Verdana-6731-Identity-H"/>
          <w:color w:val="141414"/>
          <w:sz w:val="21"/>
          <w:szCs w:val="21"/>
          <w:lang w:val="es-MX" w:eastAsia="en-US"/>
        </w:rPr>
        <w:t>La recomendación a que se refiere el artículo primero del presente Acuerdo está proyectada para los presupuestos de egresos municipales para el ejercicio fiscal del año 2023.</w:t>
      </w:r>
    </w:p>
    <w:p w14:paraId="344FFD9C" w14:textId="77777777" w:rsidR="00E81330" w:rsidRPr="00E81330" w:rsidRDefault="00E81330" w:rsidP="00E81330">
      <w:pPr>
        <w:autoSpaceDE w:val="0"/>
        <w:autoSpaceDN w:val="0"/>
        <w:adjustRightInd w:val="0"/>
        <w:jc w:val="both"/>
        <w:rPr>
          <w:rFonts w:ascii="Abadi" w:eastAsiaTheme="minorHAnsi" w:hAnsi="Abadi" w:cs="*Verdana-Bold-6732-Identity-H"/>
          <w:b/>
          <w:bCs/>
          <w:color w:val="141414"/>
          <w:sz w:val="21"/>
          <w:szCs w:val="21"/>
          <w:lang w:val="es-MX" w:eastAsia="en-US"/>
        </w:rPr>
      </w:pPr>
    </w:p>
    <w:p w14:paraId="7BC11D10" w14:textId="77777777" w:rsidR="00E81330" w:rsidRPr="00E81330" w:rsidRDefault="00E81330" w:rsidP="00E81330">
      <w:pPr>
        <w:autoSpaceDE w:val="0"/>
        <w:autoSpaceDN w:val="0"/>
        <w:adjustRightInd w:val="0"/>
        <w:jc w:val="both"/>
        <w:rPr>
          <w:rFonts w:ascii="Abadi" w:eastAsiaTheme="minorHAnsi" w:hAnsi="Abadi" w:cs="*Verdana-6731-Identity-H"/>
          <w:color w:val="141414"/>
          <w:sz w:val="21"/>
          <w:szCs w:val="21"/>
          <w:lang w:val="es-MX" w:eastAsia="en-US"/>
        </w:rPr>
      </w:pPr>
      <w:r w:rsidRPr="00E81330">
        <w:rPr>
          <w:rFonts w:ascii="Abadi" w:eastAsiaTheme="minorHAnsi" w:hAnsi="Abadi" w:cs="*Verdana-Bold-6732-Identity-H"/>
          <w:b/>
          <w:bCs/>
          <w:color w:val="141414"/>
          <w:sz w:val="21"/>
          <w:szCs w:val="21"/>
          <w:lang w:val="es-MX" w:eastAsia="en-US"/>
        </w:rPr>
        <w:tab/>
        <w:t xml:space="preserve">Artículo Tercero. </w:t>
      </w:r>
      <w:r w:rsidRPr="00E81330">
        <w:rPr>
          <w:rFonts w:ascii="Abadi" w:eastAsiaTheme="minorHAnsi" w:hAnsi="Abadi" w:cs="*Verdana-6731-Identity-H"/>
          <w:color w:val="141414"/>
          <w:sz w:val="21"/>
          <w:szCs w:val="21"/>
          <w:lang w:val="es-MX" w:eastAsia="en-US"/>
        </w:rPr>
        <w:t>Los montos max1mos de las remuneraciones están constituidos sobre una base mensual bruta. No incluye la percepción del Fondo de Ahorro para el Retiro por la parte que corresponde al erario público.</w:t>
      </w:r>
    </w:p>
    <w:p w14:paraId="3A84F562" w14:textId="77777777" w:rsidR="00E81330" w:rsidRPr="00E81330" w:rsidRDefault="00E81330" w:rsidP="00E81330">
      <w:pPr>
        <w:autoSpaceDE w:val="0"/>
        <w:autoSpaceDN w:val="0"/>
        <w:adjustRightInd w:val="0"/>
        <w:jc w:val="both"/>
        <w:rPr>
          <w:rFonts w:ascii="Abadi" w:eastAsiaTheme="minorHAnsi" w:hAnsi="Abadi" w:cs="*Verdana-Bold-6732-Identity-H"/>
          <w:b/>
          <w:bCs/>
          <w:color w:val="141414"/>
          <w:sz w:val="21"/>
          <w:szCs w:val="21"/>
          <w:lang w:val="es-MX" w:eastAsia="en-US"/>
        </w:rPr>
      </w:pPr>
    </w:p>
    <w:p w14:paraId="19C69323" w14:textId="77777777" w:rsidR="00E81330" w:rsidRPr="00E81330" w:rsidRDefault="00E81330" w:rsidP="00E81330">
      <w:pPr>
        <w:autoSpaceDE w:val="0"/>
        <w:autoSpaceDN w:val="0"/>
        <w:adjustRightInd w:val="0"/>
        <w:jc w:val="both"/>
        <w:rPr>
          <w:rFonts w:ascii="Abadi" w:eastAsiaTheme="minorHAnsi" w:hAnsi="Abadi" w:cs="*Verdana-6731-Identity-H"/>
          <w:color w:val="141414"/>
          <w:sz w:val="21"/>
          <w:szCs w:val="21"/>
          <w:lang w:val="es-MX" w:eastAsia="en-US"/>
        </w:rPr>
      </w:pPr>
      <w:r w:rsidRPr="00E81330">
        <w:rPr>
          <w:rFonts w:ascii="Abadi" w:eastAsiaTheme="minorHAnsi" w:hAnsi="Abadi" w:cs="*Verdana-Bold-6732-Identity-H"/>
          <w:b/>
          <w:bCs/>
          <w:color w:val="141414"/>
          <w:sz w:val="21"/>
          <w:szCs w:val="21"/>
          <w:lang w:val="es-MX" w:eastAsia="en-US"/>
        </w:rPr>
        <w:tab/>
        <w:t xml:space="preserve">Artículo Cuarto. </w:t>
      </w:r>
      <w:r w:rsidRPr="00E81330">
        <w:rPr>
          <w:rFonts w:ascii="Abadi" w:eastAsiaTheme="minorHAnsi" w:hAnsi="Abadi" w:cs="*Verdana-6731-Identity-H"/>
          <w:color w:val="141414"/>
          <w:sz w:val="21"/>
          <w:szCs w:val="21"/>
          <w:lang w:val="es-MX" w:eastAsia="en-US"/>
        </w:rPr>
        <w:t>Se exhorta a los ayuntamientos ceñirse a la presente recomendación; asimismo, a los ayuntamientos que mantienen remuneraciones menores o iguales a las establecidas en el artículo primero del presente Acuerdo a que permanezcan en los mismos términos, en virtud de velar por el interés público y bajo los criterios de racionalidad, austeridad y disciplina del gasto público.</w:t>
      </w:r>
    </w:p>
    <w:p w14:paraId="720753B8" w14:textId="77777777" w:rsidR="00E81330" w:rsidRPr="00E81330" w:rsidRDefault="00E81330" w:rsidP="00E81330">
      <w:pPr>
        <w:autoSpaceDE w:val="0"/>
        <w:autoSpaceDN w:val="0"/>
        <w:adjustRightInd w:val="0"/>
        <w:jc w:val="both"/>
        <w:rPr>
          <w:rFonts w:ascii="Abadi" w:eastAsiaTheme="minorHAnsi" w:hAnsi="Abadi" w:cs="*Verdana-Bold-6732-Identity-H"/>
          <w:b/>
          <w:bCs/>
          <w:color w:val="151515"/>
          <w:sz w:val="21"/>
          <w:szCs w:val="21"/>
          <w:lang w:val="es-MX" w:eastAsia="en-US"/>
        </w:rPr>
      </w:pPr>
    </w:p>
    <w:p w14:paraId="1E23A7EA" w14:textId="77777777" w:rsidR="00E81330" w:rsidRPr="00E81330" w:rsidRDefault="00E81330" w:rsidP="00E81330">
      <w:pPr>
        <w:autoSpaceDE w:val="0"/>
        <w:autoSpaceDN w:val="0"/>
        <w:adjustRightInd w:val="0"/>
        <w:jc w:val="both"/>
        <w:rPr>
          <w:rFonts w:ascii="Abadi" w:eastAsiaTheme="minorHAnsi" w:hAnsi="Abadi" w:cs="*Verdana-6731-Identity-H"/>
          <w:color w:val="151515"/>
          <w:sz w:val="21"/>
          <w:szCs w:val="21"/>
          <w:lang w:val="es-MX" w:eastAsia="en-US"/>
        </w:rPr>
      </w:pPr>
      <w:r w:rsidRPr="00E81330">
        <w:rPr>
          <w:rFonts w:ascii="Abadi" w:eastAsiaTheme="minorHAnsi" w:hAnsi="Abadi" w:cs="*Verdana-Bold-6732-Identity-H"/>
          <w:b/>
          <w:bCs/>
          <w:color w:val="151515"/>
          <w:sz w:val="21"/>
          <w:szCs w:val="21"/>
          <w:lang w:val="es-MX" w:eastAsia="en-US"/>
        </w:rPr>
        <w:tab/>
        <w:t xml:space="preserve">Artículo Quinto. </w:t>
      </w:r>
      <w:r w:rsidRPr="00E81330">
        <w:rPr>
          <w:rFonts w:ascii="Abadi" w:eastAsiaTheme="minorHAnsi" w:hAnsi="Abadi" w:cs="*Verdana-6731-Identity-H"/>
          <w:color w:val="151515"/>
          <w:sz w:val="21"/>
          <w:szCs w:val="21"/>
          <w:lang w:val="es-MX" w:eastAsia="en-US"/>
        </w:rPr>
        <w:t>Comuníquese el presente Acuerdo a los cuarenta y seis ayuntamientos del Estado.</w:t>
      </w:r>
    </w:p>
    <w:p w14:paraId="58ED8F67" w14:textId="77777777" w:rsidR="00E81330" w:rsidRPr="00E81330" w:rsidRDefault="00E81330" w:rsidP="00E81330">
      <w:pPr>
        <w:autoSpaceDE w:val="0"/>
        <w:autoSpaceDN w:val="0"/>
        <w:adjustRightInd w:val="0"/>
        <w:jc w:val="both"/>
        <w:rPr>
          <w:rFonts w:ascii="Abadi" w:eastAsiaTheme="minorHAnsi" w:hAnsi="Abadi" w:cs="*Minion Pro-Bold-5473-Identity-"/>
          <w:b/>
          <w:bCs/>
          <w:color w:val="161616"/>
          <w:sz w:val="21"/>
          <w:szCs w:val="21"/>
          <w:lang w:val="es-MX" w:eastAsia="en-US"/>
        </w:rPr>
      </w:pPr>
    </w:p>
    <w:p w14:paraId="2CA342A1" w14:textId="77777777" w:rsidR="00E81330" w:rsidRPr="00E81330" w:rsidRDefault="00E81330" w:rsidP="00E81330">
      <w:pPr>
        <w:autoSpaceDE w:val="0"/>
        <w:autoSpaceDN w:val="0"/>
        <w:adjustRightInd w:val="0"/>
        <w:jc w:val="both"/>
        <w:rPr>
          <w:rFonts w:ascii="Abadi" w:eastAsiaTheme="minorHAnsi" w:hAnsi="Abadi" w:cs="*Verdana-5471-Identity-H"/>
          <w:color w:val="151515"/>
          <w:sz w:val="21"/>
          <w:szCs w:val="21"/>
          <w:lang w:val="es-MX" w:eastAsia="en-US"/>
        </w:rPr>
      </w:pPr>
      <w:r w:rsidRPr="00E81330">
        <w:rPr>
          <w:rFonts w:ascii="Abadi" w:eastAsiaTheme="minorHAnsi" w:hAnsi="Abadi" w:cs="*Verdana-Bold-5470-Identity-H"/>
          <w:b/>
          <w:bCs/>
          <w:color w:val="151515"/>
          <w:sz w:val="21"/>
          <w:szCs w:val="21"/>
          <w:lang w:val="es-MX" w:eastAsia="en-US"/>
        </w:rPr>
        <w:tab/>
        <w:t xml:space="preserve">Artículo Sexto. </w:t>
      </w:r>
      <w:r w:rsidRPr="00E81330">
        <w:rPr>
          <w:rFonts w:ascii="Abadi" w:eastAsiaTheme="minorHAnsi" w:hAnsi="Abadi" w:cs="*Verdana-5471-Identity-H"/>
          <w:color w:val="151515"/>
          <w:sz w:val="21"/>
          <w:szCs w:val="21"/>
          <w:lang w:val="es-MX" w:eastAsia="en-US"/>
        </w:rPr>
        <w:t>De conformidad con lo dispuesto por el artículo 81 de la Ley para el Ejercicio y Control de los Recursos Públicos para el Estado y los Municipios de Guanajuato, publíquese el presente Acuerdo en el periódico Oficial del Gobierno del Estado de Guanajuato; y en un diario de amplia circulación e cada Municipio.</w:t>
      </w:r>
    </w:p>
    <w:p w14:paraId="0E3FD6A9" w14:textId="77777777" w:rsidR="00E81330" w:rsidRPr="00E81330" w:rsidRDefault="00E81330" w:rsidP="00E81330">
      <w:pPr>
        <w:autoSpaceDE w:val="0"/>
        <w:autoSpaceDN w:val="0"/>
        <w:adjustRightInd w:val="0"/>
        <w:jc w:val="both"/>
        <w:rPr>
          <w:rFonts w:ascii="Abadi" w:eastAsiaTheme="minorHAnsi" w:hAnsi="Abadi" w:cs="*Verdana-5471-Identity-H"/>
          <w:color w:val="151515"/>
          <w:sz w:val="21"/>
          <w:szCs w:val="21"/>
          <w:lang w:val="es-MX" w:eastAsia="en-US"/>
        </w:rPr>
      </w:pPr>
    </w:p>
    <w:p w14:paraId="421ABF67" w14:textId="77777777" w:rsidR="00E81330" w:rsidRPr="00E81330" w:rsidRDefault="00E81330" w:rsidP="00E81330">
      <w:pPr>
        <w:autoSpaceDE w:val="0"/>
        <w:autoSpaceDN w:val="0"/>
        <w:adjustRightInd w:val="0"/>
        <w:jc w:val="center"/>
        <w:rPr>
          <w:rFonts w:ascii="Abadi" w:eastAsiaTheme="minorHAnsi" w:hAnsi="Abadi" w:cs="*Verdana-Bold-5470-Identity-H"/>
          <w:b/>
          <w:bCs/>
          <w:color w:val="131313"/>
          <w:sz w:val="21"/>
          <w:szCs w:val="21"/>
          <w:lang w:val="es-MX" w:eastAsia="en-US"/>
        </w:rPr>
      </w:pPr>
      <w:r w:rsidRPr="00E81330">
        <w:rPr>
          <w:rFonts w:ascii="Abadi" w:eastAsiaTheme="minorHAnsi" w:hAnsi="Abadi" w:cs="*Verdana-Bold-5470-Identity-H"/>
          <w:b/>
          <w:bCs/>
          <w:color w:val="131313"/>
          <w:sz w:val="21"/>
          <w:szCs w:val="21"/>
          <w:lang w:val="es-MX" w:eastAsia="en-US"/>
        </w:rPr>
        <w:t>Guanajuato, Gto., 10 de octubre de 2022</w:t>
      </w:r>
    </w:p>
    <w:p w14:paraId="4B7E90F2" w14:textId="0AC36F57" w:rsidR="00E81330" w:rsidRPr="00E81330" w:rsidRDefault="00E81330" w:rsidP="00E81330">
      <w:pPr>
        <w:autoSpaceDE w:val="0"/>
        <w:autoSpaceDN w:val="0"/>
        <w:adjustRightInd w:val="0"/>
        <w:jc w:val="center"/>
        <w:rPr>
          <w:rFonts w:ascii="Abadi" w:eastAsiaTheme="minorHAnsi" w:hAnsi="Abadi" w:cs="*Verdana-Bold-5470-Identity-H"/>
          <w:b/>
          <w:bCs/>
          <w:color w:val="131313"/>
          <w:sz w:val="21"/>
          <w:szCs w:val="21"/>
          <w:lang w:val="es-MX" w:eastAsia="en-US"/>
        </w:rPr>
      </w:pPr>
      <w:r w:rsidRPr="00E81330">
        <w:rPr>
          <w:rFonts w:ascii="Abadi" w:eastAsiaTheme="minorHAnsi" w:hAnsi="Abadi" w:cs="*Verdana-Bold-5470-Identity-H"/>
          <w:b/>
          <w:bCs/>
          <w:color w:val="131313"/>
          <w:sz w:val="21"/>
          <w:szCs w:val="21"/>
          <w:lang w:val="es-MX" w:eastAsia="en-US"/>
        </w:rPr>
        <w:t>Las diputadas y los diputados integrantes de la</w:t>
      </w:r>
      <w:r w:rsidR="006D03BE">
        <w:rPr>
          <w:rFonts w:ascii="Abadi" w:eastAsiaTheme="minorHAnsi" w:hAnsi="Abadi" w:cs="*Verdana-Bold-5470-Identity-H"/>
          <w:b/>
          <w:bCs/>
          <w:color w:val="131313"/>
          <w:sz w:val="21"/>
          <w:szCs w:val="21"/>
          <w:lang w:val="es-MX" w:eastAsia="en-US"/>
        </w:rPr>
        <w:t xml:space="preserve"> </w:t>
      </w:r>
      <w:r w:rsidRPr="00E81330">
        <w:rPr>
          <w:rFonts w:ascii="Abadi" w:eastAsiaTheme="minorHAnsi" w:hAnsi="Abadi" w:cs="*Verdana-Bold-5470-Identity-H"/>
          <w:b/>
          <w:bCs/>
          <w:color w:val="131313"/>
          <w:sz w:val="21"/>
          <w:szCs w:val="21"/>
          <w:lang w:val="es-MX" w:eastAsia="en-US"/>
        </w:rPr>
        <w:t>Comisión de Hacienda y Fiscalización</w:t>
      </w:r>
    </w:p>
    <w:p w14:paraId="518B6D27" w14:textId="77777777" w:rsidR="00E81330" w:rsidRPr="00E81330" w:rsidRDefault="00E81330" w:rsidP="00E81330">
      <w:pPr>
        <w:autoSpaceDE w:val="0"/>
        <w:autoSpaceDN w:val="0"/>
        <w:adjustRightInd w:val="0"/>
        <w:jc w:val="center"/>
        <w:rPr>
          <w:rFonts w:ascii="Abadi" w:eastAsiaTheme="minorHAnsi" w:hAnsi="Abadi" w:cs="*Verdana-Bold-5470-Identity-H"/>
          <w:b/>
          <w:bCs/>
          <w:color w:val="131313"/>
          <w:sz w:val="21"/>
          <w:szCs w:val="21"/>
          <w:lang w:val="es-MX" w:eastAsia="en-US"/>
        </w:rPr>
      </w:pPr>
    </w:p>
    <w:p w14:paraId="6CE757D1" w14:textId="77777777" w:rsidR="00E81330" w:rsidRPr="00E81330" w:rsidRDefault="00E81330" w:rsidP="00E81330">
      <w:pPr>
        <w:autoSpaceDE w:val="0"/>
        <w:autoSpaceDN w:val="0"/>
        <w:adjustRightInd w:val="0"/>
        <w:rPr>
          <w:rFonts w:ascii="Abadi" w:eastAsiaTheme="minorHAnsi" w:hAnsi="Abadi" w:cs="*Verdana-Bold-5470-Identity-H"/>
          <w:b/>
          <w:bCs/>
          <w:color w:val="131313"/>
          <w:sz w:val="21"/>
          <w:szCs w:val="21"/>
          <w:lang w:val="es-MX" w:eastAsia="en-US"/>
        </w:rPr>
      </w:pPr>
      <w:r w:rsidRPr="00E81330">
        <w:rPr>
          <w:rFonts w:ascii="Abadi" w:eastAsiaTheme="minorHAnsi" w:hAnsi="Abadi" w:cs="*Verdana-Bold-5470-Identity-H"/>
          <w:b/>
          <w:bCs/>
          <w:color w:val="131313"/>
          <w:sz w:val="21"/>
          <w:szCs w:val="21"/>
          <w:lang w:val="es-MX" w:eastAsia="en-US"/>
        </w:rPr>
        <w:t>Diputado Victor Manuel Zanella Huerta</w:t>
      </w:r>
    </w:p>
    <w:p w14:paraId="0220E74A" w14:textId="77777777" w:rsidR="00E81330" w:rsidRPr="00E81330" w:rsidRDefault="00E81330" w:rsidP="00E81330">
      <w:pPr>
        <w:autoSpaceDE w:val="0"/>
        <w:autoSpaceDN w:val="0"/>
        <w:adjustRightInd w:val="0"/>
        <w:rPr>
          <w:rFonts w:ascii="Abadi" w:eastAsiaTheme="minorHAnsi" w:hAnsi="Abadi" w:cs="*Verdana-Bold-5470-Identity-H"/>
          <w:b/>
          <w:bCs/>
          <w:color w:val="131313"/>
          <w:sz w:val="21"/>
          <w:szCs w:val="21"/>
          <w:lang w:val="es-MX" w:eastAsia="en-US"/>
        </w:rPr>
      </w:pPr>
      <w:r w:rsidRPr="00E81330">
        <w:rPr>
          <w:rFonts w:ascii="Abadi" w:eastAsiaTheme="minorHAnsi" w:hAnsi="Abadi" w:cs="*Verdana-Bold-5470-Identity-H"/>
          <w:b/>
          <w:bCs/>
          <w:color w:val="131313"/>
          <w:sz w:val="21"/>
          <w:szCs w:val="21"/>
          <w:lang w:val="es-MX" w:eastAsia="en-US"/>
        </w:rPr>
        <w:t>Diputada Ruth Noemí Tiscareño Agoitia (Firma electrónica)</w:t>
      </w:r>
    </w:p>
    <w:p w14:paraId="4355A6D3" w14:textId="77777777" w:rsidR="00E81330" w:rsidRPr="00E81330" w:rsidRDefault="00E81330" w:rsidP="00E81330">
      <w:pPr>
        <w:autoSpaceDE w:val="0"/>
        <w:autoSpaceDN w:val="0"/>
        <w:adjustRightInd w:val="0"/>
        <w:rPr>
          <w:rFonts w:ascii="Abadi" w:eastAsiaTheme="minorHAnsi" w:hAnsi="Abadi" w:cs="*Verdana-Bold-5470-Identity-H"/>
          <w:b/>
          <w:bCs/>
          <w:color w:val="131313"/>
          <w:sz w:val="21"/>
          <w:szCs w:val="21"/>
          <w:lang w:val="es-MX" w:eastAsia="en-US"/>
        </w:rPr>
      </w:pPr>
      <w:r w:rsidRPr="00E81330">
        <w:rPr>
          <w:rFonts w:ascii="Abadi" w:eastAsiaTheme="minorHAnsi" w:hAnsi="Abadi" w:cs="*Verdana-Bold-5470-Identity-H"/>
          <w:b/>
          <w:bCs/>
          <w:color w:val="131313"/>
          <w:sz w:val="21"/>
          <w:szCs w:val="21"/>
          <w:lang w:val="es-MX" w:eastAsia="en-US"/>
        </w:rPr>
        <w:t>Diputado Miguel Ángel Salim Alle</w:t>
      </w:r>
    </w:p>
    <w:p w14:paraId="47EDB52F" w14:textId="77777777" w:rsidR="00E81330" w:rsidRPr="00E81330" w:rsidRDefault="00E81330" w:rsidP="00E81330">
      <w:pPr>
        <w:autoSpaceDE w:val="0"/>
        <w:autoSpaceDN w:val="0"/>
        <w:adjustRightInd w:val="0"/>
        <w:rPr>
          <w:rFonts w:ascii="Abadi" w:eastAsiaTheme="minorHAnsi" w:hAnsi="Abadi" w:cs="*Verdana-Bold-5470-Identity-H"/>
          <w:b/>
          <w:bCs/>
          <w:color w:val="131313"/>
          <w:sz w:val="21"/>
          <w:szCs w:val="21"/>
          <w:lang w:val="es-MX" w:eastAsia="en-US"/>
        </w:rPr>
      </w:pPr>
      <w:r w:rsidRPr="00E81330">
        <w:rPr>
          <w:rFonts w:ascii="Abadi" w:eastAsiaTheme="minorHAnsi" w:hAnsi="Abadi" w:cs="*Verdana-Bold-5470-Identity-H"/>
          <w:b/>
          <w:bCs/>
          <w:color w:val="131313"/>
          <w:sz w:val="21"/>
          <w:szCs w:val="21"/>
          <w:lang w:val="es-MX" w:eastAsia="en-US"/>
        </w:rPr>
        <w:t>Diputado José Alfonso Borja Pimentel</w:t>
      </w:r>
    </w:p>
    <w:p w14:paraId="054CB654" w14:textId="4513CE3A" w:rsidR="00E81330" w:rsidRDefault="00E81330" w:rsidP="00E81330">
      <w:pPr>
        <w:autoSpaceDE w:val="0"/>
        <w:autoSpaceDN w:val="0"/>
        <w:adjustRightInd w:val="0"/>
        <w:rPr>
          <w:rFonts w:ascii="Abadi" w:eastAsiaTheme="minorHAnsi" w:hAnsi="Abadi" w:cs="*Verdana-Bold-5470-Identity-H"/>
          <w:b/>
          <w:bCs/>
          <w:color w:val="131313"/>
          <w:sz w:val="21"/>
          <w:szCs w:val="21"/>
          <w:lang w:val="es-MX" w:eastAsia="en-US"/>
        </w:rPr>
      </w:pPr>
      <w:r w:rsidRPr="00E81330">
        <w:rPr>
          <w:rFonts w:ascii="Abadi" w:eastAsiaTheme="minorHAnsi" w:hAnsi="Abadi" w:cs="*Verdana-Bold-5470-Identity-H"/>
          <w:b/>
          <w:bCs/>
          <w:color w:val="131313"/>
          <w:sz w:val="21"/>
          <w:szCs w:val="21"/>
          <w:lang w:val="es-MX" w:eastAsia="en-US"/>
        </w:rPr>
        <w:t>Diputada Alma Edwviges Alcaraz Hernández (Voto en contra)</w:t>
      </w:r>
    </w:p>
    <w:p w14:paraId="5C96B785" w14:textId="1D0B451B" w:rsidR="005647AC" w:rsidRDefault="005647AC" w:rsidP="00E81330">
      <w:pPr>
        <w:autoSpaceDE w:val="0"/>
        <w:autoSpaceDN w:val="0"/>
        <w:adjustRightInd w:val="0"/>
        <w:rPr>
          <w:rFonts w:ascii="Abadi" w:eastAsiaTheme="minorHAnsi" w:hAnsi="Abadi" w:cs="*Verdana-Bold-5470-Identity-H"/>
          <w:b/>
          <w:bCs/>
          <w:color w:val="131313"/>
          <w:sz w:val="21"/>
          <w:szCs w:val="21"/>
          <w:lang w:val="es-MX" w:eastAsia="en-US"/>
        </w:rPr>
      </w:pPr>
    </w:p>
    <w:p w14:paraId="48A00D1D" w14:textId="77777777" w:rsidR="00C30A76" w:rsidRDefault="00C30A76" w:rsidP="00C30A76">
      <w:pPr>
        <w:ind w:firstLine="708"/>
        <w:jc w:val="both"/>
        <w:rPr>
          <w:rFonts w:ascii="Abadi" w:hAnsi="Abadi"/>
          <w:sz w:val="21"/>
          <w:szCs w:val="21"/>
        </w:rPr>
      </w:pPr>
      <w:r w:rsidRPr="008F5653">
        <w:rPr>
          <w:rFonts w:ascii="Abadi" w:hAnsi="Abadi"/>
          <w:b/>
          <w:sz w:val="21"/>
          <w:szCs w:val="21"/>
        </w:rPr>
        <w:t>- El Presidente.-</w:t>
      </w:r>
      <w:r>
        <w:rPr>
          <w:rFonts w:ascii="Abadi" w:hAnsi="Abadi"/>
          <w:sz w:val="21"/>
          <w:szCs w:val="21"/>
        </w:rPr>
        <w:t xml:space="preserve"> C</w:t>
      </w:r>
      <w:r w:rsidRPr="000161BE">
        <w:rPr>
          <w:rFonts w:ascii="Abadi" w:hAnsi="Abadi"/>
          <w:sz w:val="21"/>
          <w:szCs w:val="21"/>
        </w:rPr>
        <w:t xml:space="preserve">orresponde someter a la </w:t>
      </w:r>
      <w:r>
        <w:rPr>
          <w:rFonts w:ascii="Abadi" w:hAnsi="Abadi"/>
          <w:sz w:val="21"/>
          <w:szCs w:val="21"/>
        </w:rPr>
        <w:t>A</w:t>
      </w:r>
      <w:r w:rsidRPr="000161BE">
        <w:rPr>
          <w:rFonts w:ascii="Abadi" w:hAnsi="Abadi"/>
          <w:sz w:val="21"/>
          <w:szCs w:val="21"/>
        </w:rPr>
        <w:t>samblea se declare de obvia resolución la propuesta del punto de acuerdo referida en el punto 16 de nuestra orden del día</w:t>
      </w:r>
      <w:r>
        <w:rPr>
          <w:rFonts w:ascii="Abadi" w:hAnsi="Abadi"/>
          <w:sz w:val="21"/>
          <w:szCs w:val="21"/>
        </w:rPr>
        <w:t xml:space="preserve">. </w:t>
      </w:r>
      <w:r w:rsidRPr="007C3CBF">
        <w:rPr>
          <w:rFonts w:ascii="Abadi" w:hAnsi="Abadi"/>
          <w:sz w:val="21"/>
          <w:szCs w:val="21"/>
        </w:rPr>
        <w:t>(ELD 199/LXV-PPA)</w:t>
      </w:r>
    </w:p>
    <w:p w14:paraId="3F23DEB6" w14:textId="58066419" w:rsidR="00C30A76" w:rsidRDefault="00C30A76" w:rsidP="00C30A76">
      <w:pPr>
        <w:ind w:firstLine="708"/>
        <w:jc w:val="both"/>
        <w:rPr>
          <w:rFonts w:ascii="Abadi" w:hAnsi="Abadi"/>
          <w:sz w:val="21"/>
          <w:szCs w:val="21"/>
        </w:rPr>
      </w:pPr>
      <w:r>
        <w:rPr>
          <w:rFonts w:ascii="Abadi" w:hAnsi="Abadi"/>
          <w:sz w:val="21"/>
          <w:szCs w:val="21"/>
        </w:rPr>
        <w:t>- E</w:t>
      </w:r>
      <w:r w:rsidRPr="000161BE">
        <w:rPr>
          <w:rFonts w:ascii="Abadi" w:hAnsi="Abadi"/>
          <w:sz w:val="21"/>
          <w:szCs w:val="21"/>
        </w:rPr>
        <w:t xml:space="preserve">n los términos solicitados por las y los proponentes y con fundamento en lo dispuesto por el artículo 177 de nuestra </w:t>
      </w:r>
      <w:r>
        <w:rPr>
          <w:rFonts w:ascii="Abadi" w:hAnsi="Abadi"/>
          <w:sz w:val="21"/>
          <w:szCs w:val="21"/>
        </w:rPr>
        <w:t>L</w:t>
      </w:r>
      <w:r w:rsidRPr="000161BE">
        <w:rPr>
          <w:rFonts w:ascii="Abadi" w:hAnsi="Abadi"/>
          <w:sz w:val="21"/>
          <w:szCs w:val="21"/>
        </w:rPr>
        <w:t xml:space="preserve">ey </w:t>
      </w:r>
      <w:r>
        <w:rPr>
          <w:rFonts w:ascii="Abadi" w:hAnsi="Abadi"/>
          <w:sz w:val="21"/>
          <w:szCs w:val="21"/>
        </w:rPr>
        <w:t>O</w:t>
      </w:r>
      <w:r w:rsidRPr="000161BE">
        <w:rPr>
          <w:rFonts w:ascii="Abadi" w:hAnsi="Abadi"/>
          <w:sz w:val="21"/>
          <w:szCs w:val="21"/>
        </w:rPr>
        <w:t xml:space="preserve">rgánica del </w:t>
      </w:r>
      <w:r>
        <w:rPr>
          <w:rFonts w:ascii="Abadi" w:hAnsi="Abadi"/>
          <w:sz w:val="21"/>
          <w:szCs w:val="21"/>
        </w:rPr>
        <w:t>P</w:t>
      </w:r>
      <w:r w:rsidRPr="000161BE">
        <w:rPr>
          <w:rFonts w:ascii="Abadi" w:hAnsi="Abadi"/>
          <w:sz w:val="21"/>
          <w:szCs w:val="21"/>
        </w:rPr>
        <w:t xml:space="preserve">oder </w:t>
      </w:r>
      <w:r>
        <w:rPr>
          <w:rFonts w:ascii="Abadi" w:hAnsi="Abadi"/>
          <w:sz w:val="21"/>
          <w:szCs w:val="21"/>
        </w:rPr>
        <w:t>L</w:t>
      </w:r>
      <w:r w:rsidRPr="000161BE">
        <w:rPr>
          <w:rFonts w:ascii="Abadi" w:hAnsi="Abadi"/>
          <w:sz w:val="21"/>
          <w:szCs w:val="21"/>
        </w:rPr>
        <w:t xml:space="preserve">egislativo del </w:t>
      </w:r>
      <w:r>
        <w:rPr>
          <w:rFonts w:ascii="Abadi" w:hAnsi="Abadi"/>
          <w:sz w:val="21"/>
          <w:szCs w:val="21"/>
        </w:rPr>
        <w:t>E</w:t>
      </w:r>
      <w:r w:rsidRPr="000161BE">
        <w:rPr>
          <w:rFonts w:ascii="Abadi" w:hAnsi="Abadi"/>
          <w:sz w:val="21"/>
          <w:szCs w:val="21"/>
        </w:rPr>
        <w:t>stado</w:t>
      </w:r>
      <w:r>
        <w:rPr>
          <w:rFonts w:ascii="Abadi" w:hAnsi="Abadi"/>
          <w:sz w:val="21"/>
          <w:szCs w:val="21"/>
        </w:rPr>
        <w:t>.</w:t>
      </w:r>
    </w:p>
    <w:p w14:paraId="083AFDA2" w14:textId="77777777" w:rsidR="002C4014" w:rsidRDefault="002C4014" w:rsidP="00C30A76">
      <w:pPr>
        <w:ind w:firstLine="708"/>
        <w:jc w:val="both"/>
        <w:rPr>
          <w:rFonts w:ascii="Abadi" w:hAnsi="Abadi"/>
          <w:sz w:val="21"/>
          <w:szCs w:val="21"/>
        </w:rPr>
      </w:pPr>
    </w:p>
    <w:p w14:paraId="5E23C967" w14:textId="5A20EE91" w:rsidR="00C30A76" w:rsidRDefault="00C30A76" w:rsidP="00C30A76">
      <w:pPr>
        <w:ind w:firstLine="708"/>
        <w:jc w:val="both"/>
        <w:rPr>
          <w:rFonts w:ascii="Abadi" w:hAnsi="Abadi"/>
          <w:sz w:val="21"/>
          <w:szCs w:val="21"/>
        </w:rPr>
      </w:pPr>
      <w:r>
        <w:rPr>
          <w:rFonts w:ascii="Abadi" w:hAnsi="Abadi"/>
          <w:sz w:val="21"/>
          <w:szCs w:val="21"/>
        </w:rPr>
        <w:t>- S</w:t>
      </w:r>
      <w:r w:rsidRPr="000161BE">
        <w:rPr>
          <w:rFonts w:ascii="Abadi" w:hAnsi="Abadi"/>
          <w:sz w:val="21"/>
          <w:szCs w:val="21"/>
        </w:rPr>
        <w:t xml:space="preserve">e informa a la </w:t>
      </w:r>
      <w:r>
        <w:rPr>
          <w:rFonts w:ascii="Abadi" w:hAnsi="Abadi"/>
          <w:sz w:val="21"/>
          <w:szCs w:val="21"/>
        </w:rPr>
        <w:t>A</w:t>
      </w:r>
      <w:r w:rsidRPr="000161BE">
        <w:rPr>
          <w:rFonts w:ascii="Abadi" w:hAnsi="Abadi"/>
          <w:sz w:val="21"/>
          <w:szCs w:val="21"/>
        </w:rPr>
        <w:t xml:space="preserve">samblea que efecto de que la propuesta de punto de acuerdo </w:t>
      </w:r>
      <w:r>
        <w:rPr>
          <w:rFonts w:ascii="Abadi" w:hAnsi="Abadi"/>
          <w:sz w:val="21"/>
          <w:szCs w:val="21"/>
        </w:rPr>
        <w:t xml:space="preserve">se </w:t>
      </w:r>
      <w:r w:rsidRPr="000161BE">
        <w:rPr>
          <w:rFonts w:ascii="Abadi" w:hAnsi="Abadi"/>
          <w:sz w:val="21"/>
          <w:szCs w:val="21"/>
        </w:rPr>
        <w:t xml:space="preserve">declare de obvia resolución debe ser aprobada por las </w:t>
      </w:r>
      <w:r>
        <w:rPr>
          <w:rFonts w:ascii="Abadi" w:hAnsi="Abadi"/>
          <w:sz w:val="21"/>
          <w:szCs w:val="21"/>
        </w:rPr>
        <w:t xml:space="preserve">dos tres terceras partes </w:t>
      </w:r>
      <w:r w:rsidRPr="000161BE">
        <w:rPr>
          <w:rFonts w:ascii="Abadi" w:hAnsi="Abadi"/>
          <w:sz w:val="21"/>
          <w:szCs w:val="21"/>
        </w:rPr>
        <w:t xml:space="preserve">de los integrantes de este </w:t>
      </w:r>
      <w:r>
        <w:rPr>
          <w:rFonts w:ascii="Abadi" w:hAnsi="Abadi"/>
          <w:sz w:val="21"/>
          <w:szCs w:val="21"/>
        </w:rPr>
        <w:t>P</w:t>
      </w:r>
      <w:r w:rsidRPr="000161BE">
        <w:rPr>
          <w:rFonts w:ascii="Abadi" w:hAnsi="Abadi"/>
          <w:sz w:val="21"/>
          <w:szCs w:val="21"/>
        </w:rPr>
        <w:t>leno</w:t>
      </w:r>
      <w:r>
        <w:rPr>
          <w:rFonts w:ascii="Abadi" w:hAnsi="Abadi"/>
          <w:sz w:val="21"/>
          <w:szCs w:val="21"/>
        </w:rPr>
        <w:t>.</w:t>
      </w:r>
    </w:p>
    <w:p w14:paraId="3C6D0BCA" w14:textId="77777777" w:rsidR="002C4014" w:rsidRDefault="002C4014" w:rsidP="00C30A76">
      <w:pPr>
        <w:ind w:firstLine="708"/>
        <w:jc w:val="both"/>
        <w:rPr>
          <w:rFonts w:ascii="Abadi" w:hAnsi="Abadi"/>
          <w:sz w:val="21"/>
          <w:szCs w:val="21"/>
        </w:rPr>
      </w:pPr>
    </w:p>
    <w:p w14:paraId="1DF253BB" w14:textId="3E6A196D" w:rsidR="00C30A76" w:rsidRDefault="00C30A76" w:rsidP="00C30A76">
      <w:pPr>
        <w:ind w:firstLine="708"/>
        <w:jc w:val="both"/>
        <w:rPr>
          <w:rFonts w:ascii="Abadi" w:hAnsi="Abadi"/>
          <w:sz w:val="21"/>
          <w:szCs w:val="21"/>
        </w:rPr>
      </w:pPr>
      <w:r w:rsidRPr="009144D5">
        <w:rPr>
          <w:rFonts w:ascii="Abadi" w:hAnsi="Abadi"/>
          <w:b/>
          <w:bCs/>
          <w:sz w:val="21"/>
          <w:szCs w:val="21"/>
        </w:rPr>
        <w:t xml:space="preserve">- </w:t>
      </w:r>
      <w:r>
        <w:rPr>
          <w:rFonts w:ascii="Abadi" w:hAnsi="Abadi"/>
          <w:sz w:val="21"/>
          <w:szCs w:val="21"/>
        </w:rPr>
        <w:t>S</w:t>
      </w:r>
      <w:r w:rsidRPr="000161BE">
        <w:rPr>
          <w:rFonts w:ascii="Abadi" w:hAnsi="Abadi"/>
          <w:sz w:val="21"/>
          <w:szCs w:val="21"/>
        </w:rPr>
        <w:t>i alguna diputada o algún diputado de</w:t>
      </w:r>
      <w:r>
        <w:rPr>
          <w:rFonts w:ascii="Abadi" w:hAnsi="Abadi"/>
          <w:sz w:val="21"/>
          <w:szCs w:val="21"/>
        </w:rPr>
        <w:t>sea</w:t>
      </w:r>
      <w:r w:rsidRPr="000161BE">
        <w:rPr>
          <w:rFonts w:ascii="Abadi" w:hAnsi="Abadi"/>
          <w:sz w:val="21"/>
          <w:szCs w:val="21"/>
        </w:rPr>
        <w:t xml:space="preserve"> hacer </w:t>
      </w:r>
      <w:r>
        <w:rPr>
          <w:rFonts w:ascii="Abadi" w:hAnsi="Abadi"/>
          <w:sz w:val="21"/>
          <w:szCs w:val="21"/>
        </w:rPr>
        <w:t>u</w:t>
      </w:r>
      <w:r w:rsidRPr="000161BE">
        <w:rPr>
          <w:rFonts w:ascii="Abadi" w:hAnsi="Abadi"/>
          <w:sz w:val="21"/>
          <w:szCs w:val="21"/>
        </w:rPr>
        <w:t>so de la palabra en relación al trámite de obvia resolución</w:t>
      </w:r>
      <w:r>
        <w:rPr>
          <w:rFonts w:ascii="Abadi" w:hAnsi="Abadi"/>
          <w:sz w:val="21"/>
          <w:szCs w:val="21"/>
        </w:rPr>
        <w:t>, s</w:t>
      </w:r>
      <w:r w:rsidRPr="000161BE">
        <w:rPr>
          <w:rFonts w:ascii="Abadi" w:hAnsi="Abadi"/>
          <w:sz w:val="21"/>
          <w:szCs w:val="21"/>
        </w:rPr>
        <w:t>írvanse manifestarlo indicando el sentido de su participación</w:t>
      </w:r>
      <w:r>
        <w:rPr>
          <w:rFonts w:ascii="Abadi" w:hAnsi="Abadi"/>
          <w:sz w:val="21"/>
          <w:szCs w:val="21"/>
        </w:rPr>
        <w:t>.</w:t>
      </w:r>
    </w:p>
    <w:p w14:paraId="075E4AA9" w14:textId="77777777" w:rsidR="002C4014" w:rsidRDefault="002C4014" w:rsidP="00C30A76">
      <w:pPr>
        <w:ind w:firstLine="708"/>
        <w:jc w:val="both"/>
        <w:rPr>
          <w:rFonts w:ascii="Abadi" w:hAnsi="Abadi"/>
          <w:sz w:val="21"/>
          <w:szCs w:val="21"/>
        </w:rPr>
      </w:pPr>
    </w:p>
    <w:p w14:paraId="7482E234" w14:textId="4762E3A0" w:rsidR="00C30A76" w:rsidRDefault="00C30A76" w:rsidP="00C30A76">
      <w:pPr>
        <w:ind w:firstLine="708"/>
        <w:jc w:val="both"/>
        <w:rPr>
          <w:rFonts w:ascii="Abadi" w:hAnsi="Abadi"/>
          <w:sz w:val="21"/>
          <w:szCs w:val="21"/>
        </w:rPr>
      </w:pPr>
      <w:r>
        <w:rPr>
          <w:rFonts w:ascii="Abadi" w:hAnsi="Abadi"/>
          <w:sz w:val="21"/>
          <w:szCs w:val="21"/>
        </w:rPr>
        <w:t>- E</w:t>
      </w:r>
      <w:r w:rsidRPr="000161BE">
        <w:rPr>
          <w:rFonts w:ascii="Abadi" w:hAnsi="Abadi"/>
          <w:sz w:val="21"/>
          <w:szCs w:val="21"/>
        </w:rPr>
        <w:t>n virtud de que ninguna diputada</w:t>
      </w:r>
      <w:r>
        <w:rPr>
          <w:rFonts w:ascii="Abadi" w:hAnsi="Abadi"/>
          <w:sz w:val="21"/>
          <w:szCs w:val="21"/>
        </w:rPr>
        <w:t xml:space="preserve"> o </w:t>
      </w:r>
      <w:r w:rsidRPr="000161BE">
        <w:rPr>
          <w:rFonts w:ascii="Abadi" w:hAnsi="Abadi"/>
          <w:sz w:val="21"/>
          <w:szCs w:val="21"/>
        </w:rPr>
        <w:t>ningún diputado</w:t>
      </w:r>
      <w:r>
        <w:rPr>
          <w:rFonts w:ascii="Abadi" w:hAnsi="Abadi"/>
          <w:sz w:val="21"/>
          <w:szCs w:val="21"/>
        </w:rPr>
        <w:t>,</w:t>
      </w:r>
      <w:r w:rsidRPr="000161BE">
        <w:rPr>
          <w:rFonts w:ascii="Abadi" w:hAnsi="Abadi"/>
          <w:sz w:val="21"/>
          <w:szCs w:val="21"/>
        </w:rPr>
        <w:t xml:space="preserve"> des</w:t>
      </w:r>
      <w:r>
        <w:rPr>
          <w:rFonts w:ascii="Abadi" w:hAnsi="Abadi"/>
          <w:sz w:val="21"/>
          <w:szCs w:val="21"/>
        </w:rPr>
        <w:t>ea h</w:t>
      </w:r>
      <w:r w:rsidRPr="000161BE">
        <w:rPr>
          <w:rFonts w:ascii="Abadi" w:hAnsi="Abadi"/>
          <w:sz w:val="21"/>
          <w:szCs w:val="21"/>
        </w:rPr>
        <w:t>ace</w:t>
      </w:r>
      <w:r>
        <w:rPr>
          <w:rFonts w:ascii="Abadi" w:hAnsi="Abadi"/>
          <w:sz w:val="21"/>
          <w:szCs w:val="21"/>
        </w:rPr>
        <w:t>r el u</w:t>
      </w:r>
      <w:r w:rsidRPr="000161BE">
        <w:rPr>
          <w:rFonts w:ascii="Abadi" w:hAnsi="Abadi"/>
          <w:sz w:val="21"/>
          <w:szCs w:val="21"/>
        </w:rPr>
        <w:t>so de la palabra</w:t>
      </w:r>
      <w:r>
        <w:rPr>
          <w:rFonts w:ascii="Abadi" w:hAnsi="Abadi"/>
          <w:sz w:val="21"/>
          <w:szCs w:val="21"/>
        </w:rPr>
        <w:t xml:space="preserve">, </w:t>
      </w:r>
      <w:r w:rsidRPr="000161BE">
        <w:rPr>
          <w:rFonts w:ascii="Abadi" w:hAnsi="Abadi"/>
          <w:sz w:val="21"/>
          <w:szCs w:val="21"/>
        </w:rPr>
        <w:t xml:space="preserve"> se ruega a la </w:t>
      </w:r>
      <w:r>
        <w:rPr>
          <w:rFonts w:ascii="Abadi" w:hAnsi="Abadi"/>
          <w:sz w:val="21"/>
          <w:szCs w:val="21"/>
        </w:rPr>
        <w:t>S</w:t>
      </w:r>
      <w:r w:rsidRPr="000161BE">
        <w:rPr>
          <w:rFonts w:ascii="Abadi" w:hAnsi="Abadi"/>
          <w:sz w:val="21"/>
          <w:szCs w:val="21"/>
        </w:rPr>
        <w:t>ecretaría que en votación económica y a través del sistema electrónico</w:t>
      </w:r>
      <w:r>
        <w:rPr>
          <w:rFonts w:ascii="Abadi" w:hAnsi="Abadi"/>
          <w:sz w:val="21"/>
          <w:szCs w:val="21"/>
        </w:rPr>
        <w:t>.</w:t>
      </w:r>
    </w:p>
    <w:p w14:paraId="37C34DBD" w14:textId="77777777" w:rsidR="002C4014" w:rsidRDefault="002C4014" w:rsidP="00C30A76">
      <w:pPr>
        <w:ind w:firstLine="708"/>
        <w:jc w:val="both"/>
        <w:rPr>
          <w:rFonts w:ascii="Abadi" w:hAnsi="Abadi"/>
          <w:sz w:val="21"/>
          <w:szCs w:val="21"/>
        </w:rPr>
      </w:pPr>
    </w:p>
    <w:p w14:paraId="5C2CEAB6" w14:textId="550E1C87" w:rsidR="00C30A76" w:rsidRDefault="00C30A76" w:rsidP="00C30A76">
      <w:pPr>
        <w:ind w:firstLine="708"/>
        <w:jc w:val="both"/>
        <w:rPr>
          <w:rFonts w:ascii="Abadi" w:hAnsi="Abadi"/>
          <w:sz w:val="21"/>
          <w:szCs w:val="21"/>
        </w:rPr>
      </w:pPr>
      <w:r>
        <w:rPr>
          <w:rFonts w:ascii="Abadi" w:hAnsi="Abadi"/>
          <w:sz w:val="21"/>
          <w:szCs w:val="21"/>
        </w:rPr>
        <w:t>- P</w:t>
      </w:r>
      <w:r w:rsidRPr="000161BE">
        <w:rPr>
          <w:rFonts w:ascii="Abadi" w:hAnsi="Abadi"/>
          <w:sz w:val="21"/>
          <w:szCs w:val="21"/>
        </w:rPr>
        <w:t xml:space="preserve">regunte a la </w:t>
      </w:r>
      <w:r>
        <w:rPr>
          <w:rFonts w:ascii="Abadi" w:hAnsi="Abadi"/>
          <w:sz w:val="21"/>
          <w:szCs w:val="21"/>
        </w:rPr>
        <w:t>As</w:t>
      </w:r>
      <w:r w:rsidRPr="000161BE">
        <w:rPr>
          <w:rFonts w:ascii="Abadi" w:hAnsi="Abadi"/>
          <w:sz w:val="21"/>
          <w:szCs w:val="21"/>
        </w:rPr>
        <w:t>amblea si es de aprobarse</w:t>
      </w:r>
      <w:r>
        <w:rPr>
          <w:rFonts w:ascii="Abadi" w:hAnsi="Abadi"/>
          <w:sz w:val="21"/>
          <w:szCs w:val="21"/>
        </w:rPr>
        <w:t>,</w:t>
      </w:r>
      <w:r w:rsidRPr="000161BE">
        <w:rPr>
          <w:rFonts w:ascii="Abadi" w:hAnsi="Abadi"/>
          <w:sz w:val="21"/>
          <w:szCs w:val="21"/>
        </w:rPr>
        <w:t xml:space="preserve"> el trámite de obvia resolución sometida a su consideración</w:t>
      </w:r>
      <w:r w:rsidR="002C4014">
        <w:rPr>
          <w:rFonts w:ascii="Abadi" w:hAnsi="Abadi"/>
          <w:sz w:val="21"/>
          <w:szCs w:val="21"/>
        </w:rPr>
        <w:t>.</w:t>
      </w:r>
    </w:p>
    <w:p w14:paraId="7DF911C2" w14:textId="77777777" w:rsidR="002C4014" w:rsidRDefault="002C4014" w:rsidP="00C30A76">
      <w:pPr>
        <w:ind w:firstLine="708"/>
        <w:jc w:val="both"/>
        <w:rPr>
          <w:rFonts w:ascii="Abadi" w:hAnsi="Abadi"/>
          <w:sz w:val="21"/>
          <w:szCs w:val="21"/>
        </w:rPr>
      </w:pPr>
    </w:p>
    <w:p w14:paraId="423531D7" w14:textId="318D0414" w:rsidR="00C30A76" w:rsidRDefault="00C30A76" w:rsidP="00C30A76">
      <w:pPr>
        <w:ind w:firstLine="708"/>
        <w:jc w:val="both"/>
        <w:rPr>
          <w:rFonts w:ascii="Abadi" w:hAnsi="Abadi"/>
          <w:b/>
          <w:bCs/>
          <w:sz w:val="21"/>
          <w:szCs w:val="21"/>
        </w:rPr>
      </w:pPr>
      <w:r w:rsidRPr="008F5653">
        <w:rPr>
          <w:rFonts w:ascii="Abadi" w:hAnsi="Abadi"/>
          <w:b/>
          <w:bCs/>
          <w:sz w:val="21"/>
          <w:szCs w:val="21"/>
        </w:rPr>
        <w:t>(Se abre nuestro sistema electrónico)</w:t>
      </w:r>
    </w:p>
    <w:p w14:paraId="09E24B16" w14:textId="77777777" w:rsidR="002C4014" w:rsidRPr="008F5653" w:rsidRDefault="002C4014" w:rsidP="00C30A76">
      <w:pPr>
        <w:ind w:firstLine="708"/>
        <w:jc w:val="both"/>
        <w:rPr>
          <w:rFonts w:ascii="Abadi" w:hAnsi="Abadi"/>
          <w:b/>
          <w:bCs/>
          <w:sz w:val="21"/>
          <w:szCs w:val="21"/>
        </w:rPr>
      </w:pPr>
    </w:p>
    <w:p w14:paraId="0DC5EA43" w14:textId="496739F9" w:rsidR="00C30A76" w:rsidRDefault="00C30A76" w:rsidP="00C30A76">
      <w:pPr>
        <w:ind w:firstLine="708"/>
        <w:jc w:val="both"/>
        <w:rPr>
          <w:rFonts w:ascii="Abadi" w:hAnsi="Abadi"/>
          <w:sz w:val="21"/>
          <w:szCs w:val="21"/>
        </w:rPr>
      </w:pPr>
      <w:r w:rsidRPr="008F5653">
        <w:rPr>
          <w:rFonts w:ascii="Abadi" w:hAnsi="Abadi"/>
          <w:b/>
          <w:bCs/>
          <w:sz w:val="21"/>
          <w:szCs w:val="21"/>
        </w:rPr>
        <w:t>- El Secretario.-</w:t>
      </w:r>
      <w:r>
        <w:rPr>
          <w:rFonts w:ascii="Abadi" w:hAnsi="Abadi"/>
          <w:sz w:val="21"/>
          <w:szCs w:val="21"/>
        </w:rPr>
        <w:t xml:space="preserve"> P</w:t>
      </w:r>
      <w:r w:rsidRPr="000161BE">
        <w:rPr>
          <w:rFonts w:ascii="Abadi" w:hAnsi="Abadi"/>
          <w:sz w:val="21"/>
          <w:szCs w:val="21"/>
        </w:rPr>
        <w:t>or instrucciones de la presidencia en votación económica se pregunta a las diputadas y a los diputados</w:t>
      </w:r>
      <w:r>
        <w:rPr>
          <w:rFonts w:ascii="Abadi" w:hAnsi="Abadi"/>
          <w:sz w:val="21"/>
          <w:szCs w:val="21"/>
        </w:rPr>
        <w:t xml:space="preserve">, si se </w:t>
      </w:r>
      <w:r w:rsidRPr="000161BE">
        <w:rPr>
          <w:rFonts w:ascii="Abadi" w:hAnsi="Abadi"/>
          <w:sz w:val="21"/>
          <w:szCs w:val="21"/>
        </w:rPr>
        <w:t>aprueba la obvia resolución mediante el sistema electrónico</w:t>
      </w:r>
      <w:r>
        <w:rPr>
          <w:rFonts w:ascii="Abadi" w:hAnsi="Abadi"/>
          <w:sz w:val="21"/>
          <w:szCs w:val="21"/>
        </w:rPr>
        <w:t>. ¿Diputada Janet Melanie Murillo?</w:t>
      </w:r>
    </w:p>
    <w:p w14:paraId="1827DB07" w14:textId="77777777" w:rsidR="002C4014" w:rsidRPr="000161BE" w:rsidRDefault="002C4014" w:rsidP="00C30A76">
      <w:pPr>
        <w:ind w:firstLine="708"/>
        <w:jc w:val="both"/>
        <w:rPr>
          <w:rFonts w:ascii="Abadi" w:hAnsi="Abadi"/>
          <w:sz w:val="21"/>
          <w:szCs w:val="21"/>
        </w:rPr>
      </w:pPr>
    </w:p>
    <w:p w14:paraId="7CB8C80E" w14:textId="4C0A5FA7" w:rsidR="00C30A76" w:rsidRDefault="00C30A76" w:rsidP="00C30A76">
      <w:pPr>
        <w:jc w:val="both"/>
        <w:rPr>
          <w:rFonts w:ascii="Abadi" w:hAnsi="Abadi"/>
          <w:sz w:val="21"/>
          <w:szCs w:val="21"/>
        </w:rPr>
      </w:pPr>
      <w:r w:rsidRPr="0000352B">
        <w:rPr>
          <w:rFonts w:ascii="Abadi" w:hAnsi="Abadi"/>
          <w:sz w:val="21"/>
          <w:szCs w:val="21"/>
        </w:rPr>
        <w:t>¿Falta alguna diputada o algún diputado de emitir su voto?</w:t>
      </w:r>
    </w:p>
    <w:p w14:paraId="450467C7" w14:textId="77777777" w:rsidR="002C4014" w:rsidRPr="0000352B" w:rsidRDefault="002C4014" w:rsidP="00C30A76">
      <w:pPr>
        <w:jc w:val="both"/>
        <w:rPr>
          <w:rFonts w:ascii="Abadi" w:hAnsi="Abadi"/>
          <w:sz w:val="21"/>
          <w:szCs w:val="21"/>
        </w:rPr>
      </w:pPr>
    </w:p>
    <w:p w14:paraId="57DFB85F" w14:textId="77777777" w:rsidR="00C30A76" w:rsidRDefault="00C30A76" w:rsidP="00C30A76">
      <w:pPr>
        <w:jc w:val="both"/>
        <w:rPr>
          <w:rFonts w:ascii="Abadi" w:hAnsi="Abadi"/>
          <w:b/>
          <w:bCs/>
          <w:sz w:val="21"/>
          <w:szCs w:val="21"/>
        </w:rPr>
      </w:pPr>
      <w:r w:rsidRPr="00A66CC1">
        <w:rPr>
          <w:rFonts w:ascii="Abadi" w:hAnsi="Abadi"/>
          <w:b/>
          <w:bCs/>
          <w:sz w:val="21"/>
          <w:szCs w:val="21"/>
        </w:rPr>
        <w:t>(Se cierra el sistema electrónico</w:t>
      </w:r>
      <w:r>
        <w:rPr>
          <w:rFonts w:ascii="Abadi" w:hAnsi="Abadi"/>
          <w:b/>
          <w:bCs/>
          <w:sz w:val="21"/>
          <w:szCs w:val="21"/>
        </w:rPr>
        <w:t>)</w:t>
      </w:r>
    </w:p>
    <w:p w14:paraId="3CB0F4F2" w14:textId="77777777" w:rsidR="00C30A76" w:rsidRDefault="00C30A76" w:rsidP="00C30A76">
      <w:pPr>
        <w:jc w:val="both"/>
        <w:rPr>
          <w:rFonts w:ascii="Abadi" w:hAnsi="Abadi"/>
          <w:b/>
          <w:bCs/>
          <w:sz w:val="21"/>
          <w:szCs w:val="21"/>
        </w:rPr>
      </w:pPr>
    </w:p>
    <w:p w14:paraId="6BB1B8FC" w14:textId="77777777" w:rsidR="00C30A76" w:rsidRDefault="00C30A76" w:rsidP="00C30A76">
      <w:pPr>
        <w:jc w:val="both"/>
        <w:rPr>
          <w:rFonts w:ascii="Abadi" w:hAnsi="Abadi"/>
          <w:b/>
          <w:bCs/>
          <w:sz w:val="21"/>
          <w:szCs w:val="21"/>
        </w:rPr>
      </w:pPr>
      <w:r>
        <w:rPr>
          <w:noProof/>
        </w:rPr>
        <w:drawing>
          <wp:inline distT="0" distB="0" distL="0" distR="0" wp14:anchorId="13DBAE62" wp14:editId="34BE701C">
            <wp:extent cx="1862946" cy="964355"/>
            <wp:effectExtent l="323850" t="323850" r="328295" b="331470"/>
            <wp:docPr id="42" name="Imagen 42"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Interfaz de usuario gráfica, Sitio web&#10;&#10;Descripción generada automáticamente"/>
                    <pic:cNvPicPr/>
                  </pic:nvPicPr>
                  <pic:blipFill rotWithShape="1">
                    <a:blip r:embed="rId43"/>
                    <a:srcRect b="7929"/>
                    <a:stretch/>
                  </pic:blipFill>
                  <pic:spPr bwMode="auto">
                    <a:xfrm>
                      <a:off x="0" y="0"/>
                      <a:ext cx="1875613" cy="970912"/>
                    </a:xfrm>
                    <a:prstGeom prst="rect">
                      <a:avLst/>
                    </a:prstGeom>
                    <a:ln w="88900" cap="sq" cmpd="thickThin">
                      <a:solidFill>
                        <a:srgbClr val="000000"/>
                      </a:solidFill>
                      <a:prstDash val="solid"/>
                      <a:miter lim="800000"/>
                    </a:ln>
                    <a:effectLst>
                      <a:glow rad="228600">
                        <a:schemeClr val="accent3">
                          <a:satMod val="1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1C1289EB" w14:textId="08DFAF20" w:rsidR="00C30A76" w:rsidRDefault="00C30A76" w:rsidP="00C30A76">
      <w:pPr>
        <w:ind w:firstLine="708"/>
        <w:jc w:val="both"/>
        <w:rPr>
          <w:rFonts w:ascii="Abadi" w:hAnsi="Abadi"/>
          <w:sz w:val="21"/>
          <w:szCs w:val="21"/>
        </w:rPr>
      </w:pPr>
      <w:r w:rsidRPr="00A66CC1">
        <w:rPr>
          <w:rFonts w:ascii="Abadi" w:hAnsi="Abadi"/>
          <w:b/>
          <w:bCs/>
          <w:sz w:val="21"/>
          <w:szCs w:val="21"/>
        </w:rPr>
        <w:t>- El Secretario.-</w:t>
      </w:r>
      <w:r>
        <w:rPr>
          <w:rFonts w:ascii="Abadi" w:hAnsi="Abadi"/>
          <w:sz w:val="21"/>
          <w:szCs w:val="21"/>
        </w:rPr>
        <w:t xml:space="preserve"> Señor Presidente se </w:t>
      </w:r>
      <w:r w:rsidRPr="006813AA">
        <w:rPr>
          <w:rFonts w:ascii="Abadi" w:hAnsi="Abadi"/>
          <w:sz w:val="21"/>
          <w:szCs w:val="21"/>
        </w:rPr>
        <w:t>registraron 32 votos a favor</w:t>
      </w:r>
      <w:r>
        <w:rPr>
          <w:rFonts w:ascii="Abadi" w:hAnsi="Abadi"/>
          <w:sz w:val="21"/>
          <w:szCs w:val="21"/>
        </w:rPr>
        <w:t>.</w:t>
      </w:r>
    </w:p>
    <w:p w14:paraId="084E2702" w14:textId="77777777" w:rsidR="002C4014" w:rsidRDefault="002C4014" w:rsidP="00C30A76">
      <w:pPr>
        <w:ind w:firstLine="708"/>
        <w:jc w:val="both"/>
        <w:rPr>
          <w:rFonts w:ascii="Abadi" w:hAnsi="Abadi"/>
          <w:sz w:val="21"/>
          <w:szCs w:val="21"/>
        </w:rPr>
      </w:pPr>
    </w:p>
    <w:p w14:paraId="0E41C548" w14:textId="393B3D09" w:rsidR="00C30A76" w:rsidRDefault="00C30A76" w:rsidP="00C30A76">
      <w:pPr>
        <w:ind w:firstLine="708"/>
        <w:jc w:val="both"/>
        <w:rPr>
          <w:rFonts w:ascii="Abadi" w:hAnsi="Abadi"/>
          <w:sz w:val="21"/>
          <w:szCs w:val="21"/>
        </w:rPr>
      </w:pPr>
      <w:r w:rsidRPr="00A2791F">
        <w:rPr>
          <w:rFonts w:ascii="Abadi" w:hAnsi="Abadi"/>
          <w:b/>
          <w:bCs/>
          <w:sz w:val="21"/>
          <w:szCs w:val="21"/>
        </w:rPr>
        <w:t>- El Presidente.-</w:t>
      </w:r>
      <w:r>
        <w:rPr>
          <w:rFonts w:ascii="Abadi" w:hAnsi="Abadi"/>
          <w:sz w:val="21"/>
          <w:szCs w:val="21"/>
        </w:rPr>
        <w:t xml:space="preserve"> El </w:t>
      </w:r>
      <w:r w:rsidRPr="006813AA">
        <w:rPr>
          <w:rFonts w:ascii="Abadi" w:hAnsi="Abadi"/>
          <w:sz w:val="21"/>
          <w:szCs w:val="21"/>
        </w:rPr>
        <w:t xml:space="preserve">trámite de </w:t>
      </w:r>
      <w:r>
        <w:rPr>
          <w:rFonts w:ascii="Abadi" w:hAnsi="Abadi"/>
          <w:sz w:val="21"/>
          <w:szCs w:val="21"/>
        </w:rPr>
        <w:t xml:space="preserve">obvia </w:t>
      </w:r>
      <w:r w:rsidRPr="006813AA">
        <w:rPr>
          <w:rFonts w:ascii="Abadi" w:hAnsi="Abadi"/>
          <w:sz w:val="21"/>
          <w:szCs w:val="21"/>
        </w:rPr>
        <w:t>resolución ha sido aprobado con unanimidad</w:t>
      </w:r>
      <w:r>
        <w:rPr>
          <w:rFonts w:ascii="Abadi" w:hAnsi="Abadi"/>
          <w:sz w:val="21"/>
          <w:szCs w:val="21"/>
        </w:rPr>
        <w:t xml:space="preserve"> de votos, </w:t>
      </w:r>
      <w:r w:rsidRPr="006813AA">
        <w:rPr>
          <w:rFonts w:ascii="Abadi" w:hAnsi="Abadi"/>
          <w:sz w:val="21"/>
          <w:szCs w:val="21"/>
        </w:rPr>
        <w:t>en consecuencia</w:t>
      </w:r>
      <w:r>
        <w:rPr>
          <w:rFonts w:ascii="Abadi" w:hAnsi="Abadi"/>
          <w:sz w:val="21"/>
          <w:szCs w:val="21"/>
        </w:rPr>
        <w:t>,</w:t>
      </w:r>
      <w:r w:rsidRPr="006813AA">
        <w:rPr>
          <w:rFonts w:ascii="Abadi" w:hAnsi="Abadi"/>
          <w:sz w:val="21"/>
          <w:szCs w:val="21"/>
        </w:rPr>
        <w:t xml:space="preserve"> ahora sometemos a discusión el punto de acuerdo en lo general</w:t>
      </w:r>
      <w:r>
        <w:rPr>
          <w:rFonts w:ascii="Abadi" w:hAnsi="Abadi"/>
          <w:sz w:val="21"/>
          <w:szCs w:val="21"/>
        </w:rPr>
        <w:t>.</w:t>
      </w:r>
    </w:p>
    <w:p w14:paraId="30A15CC9" w14:textId="77777777" w:rsidR="002C4014" w:rsidRDefault="002C4014" w:rsidP="00C30A76">
      <w:pPr>
        <w:ind w:firstLine="708"/>
        <w:jc w:val="both"/>
        <w:rPr>
          <w:rFonts w:ascii="Abadi" w:hAnsi="Abadi"/>
          <w:sz w:val="21"/>
          <w:szCs w:val="21"/>
        </w:rPr>
      </w:pPr>
    </w:p>
    <w:p w14:paraId="0C3A0485" w14:textId="39714EAE" w:rsidR="00C30A76" w:rsidRDefault="00C30A76" w:rsidP="00C30A76">
      <w:pPr>
        <w:ind w:firstLine="708"/>
        <w:jc w:val="both"/>
        <w:rPr>
          <w:rFonts w:ascii="Abadi" w:hAnsi="Abadi"/>
          <w:sz w:val="21"/>
          <w:szCs w:val="21"/>
        </w:rPr>
      </w:pPr>
      <w:r>
        <w:rPr>
          <w:rFonts w:ascii="Abadi" w:hAnsi="Abadi"/>
          <w:sz w:val="21"/>
          <w:szCs w:val="21"/>
        </w:rPr>
        <w:t>- Sí</w:t>
      </w:r>
      <w:r w:rsidRPr="006813AA">
        <w:rPr>
          <w:rFonts w:ascii="Abadi" w:hAnsi="Abadi"/>
          <w:sz w:val="21"/>
          <w:szCs w:val="21"/>
        </w:rPr>
        <w:t xml:space="preserve"> alguna diputada o algún diputado desea hacer </w:t>
      </w:r>
      <w:r>
        <w:rPr>
          <w:rFonts w:ascii="Abadi" w:hAnsi="Abadi"/>
          <w:sz w:val="21"/>
          <w:szCs w:val="21"/>
        </w:rPr>
        <w:t>u</w:t>
      </w:r>
      <w:r w:rsidRPr="006813AA">
        <w:rPr>
          <w:rFonts w:ascii="Abadi" w:hAnsi="Abadi"/>
          <w:sz w:val="21"/>
          <w:szCs w:val="21"/>
        </w:rPr>
        <w:t>so de la palabra en pro o en cont</w:t>
      </w:r>
      <w:r>
        <w:rPr>
          <w:rFonts w:ascii="Abadi" w:hAnsi="Abadi"/>
          <w:sz w:val="21"/>
          <w:szCs w:val="21"/>
        </w:rPr>
        <w:t xml:space="preserve">ra </w:t>
      </w:r>
      <w:r w:rsidRPr="006813AA">
        <w:rPr>
          <w:rFonts w:ascii="Abadi" w:hAnsi="Abadi"/>
          <w:sz w:val="21"/>
          <w:szCs w:val="21"/>
        </w:rPr>
        <w:t>sírvanse manifestarlo indicando el sentido de su participación</w:t>
      </w:r>
      <w:r>
        <w:rPr>
          <w:rFonts w:ascii="Abadi" w:hAnsi="Abadi"/>
          <w:sz w:val="21"/>
          <w:szCs w:val="21"/>
        </w:rPr>
        <w:t>, ¿sí</w:t>
      </w:r>
      <w:r w:rsidRPr="006813AA">
        <w:rPr>
          <w:rFonts w:ascii="Abadi" w:hAnsi="Abadi"/>
          <w:sz w:val="21"/>
          <w:szCs w:val="21"/>
        </w:rPr>
        <w:t xml:space="preserve"> diputada </w:t>
      </w:r>
      <w:r>
        <w:rPr>
          <w:rFonts w:ascii="Abadi" w:hAnsi="Abadi"/>
          <w:sz w:val="21"/>
          <w:szCs w:val="21"/>
        </w:rPr>
        <w:t>A</w:t>
      </w:r>
      <w:r w:rsidRPr="006813AA">
        <w:rPr>
          <w:rFonts w:ascii="Abadi" w:hAnsi="Abadi"/>
          <w:sz w:val="21"/>
          <w:szCs w:val="21"/>
        </w:rPr>
        <w:t xml:space="preserve">lma </w:t>
      </w:r>
      <w:r>
        <w:rPr>
          <w:rFonts w:ascii="Abadi" w:hAnsi="Abadi"/>
          <w:sz w:val="21"/>
          <w:szCs w:val="21"/>
        </w:rPr>
        <w:t>Edwviges A</w:t>
      </w:r>
      <w:r w:rsidRPr="006813AA">
        <w:rPr>
          <w:rFonts w:ascii="Abadi" w:hAnsi="Abadi"/>
          <w:sz w:val="21"/>
          <w:szCs w:val="21"/>
        </w:rPr>
        <w:t>lcaraz</w:t>
      </w:r>
      <w:r>
        <w:rPr>
          <w:rFonts w:ascii="Abadi" w:hAnsi="Abadi"/>
          <w:sz w:val="21"/>
          <w:szCs w:val="21"/>
        </w:rPr>
        <w:t xml:space="preserve">? </w:t>
      </w:r>
      <w:r w:rsidRPr="009D1349">
        <w:rPr>
          <w:rFonts w:ascii="Abadi" w:hAnsi="Abadi"/>
          <w:b/>
          <w:bCs/>
          <w:sz w:val="21"/>
          <w:szCs w:val="21"/>
        </w:rPr>
        <w:t>(Voz) diputada Alma</w:t>
      </w:r>
      <w:r>
        <w:rPr>
          <w:rFonts w:ascii="Abadi" w:hAnsi="Abadi"/>
          <w:sz w:val="21"/>
          <w:szCs w:val="21"/>
        </w:rPr>
        <w:t xml:space="preserve">, sí </w:t>
      </w:r>
      <w:r w:rsidRPr="006813AA">
        <w:rPr>
          <w:rFonts w:ascii="Abadi" w:hAnsi="Abadi"/>
          <w:sz w:val="21"/>
          <w:szCs w:val="21"/>
        </w:rPr>
        <w:t>gracias</w:t>
      </w:r>
      <w:r>
        <w:rPr>
          <w:rFonts w:ascii="Abadi" w:hAnsi="Abadi"/>
          <w:sz w:val="21"/>
          <w:szCs w:val="21"/>
        </w:rPr>
        <w:t xml:space="preserve"> Presidente, para hablar en contra de la propuesta y hacer una propuesta de modificación, </w:t>
      </w:r>
      <w:r w:rsidRPr="00505F7D">
        <w:rPr>
          <w:rFonts w:ascii="Abadi" w:hAnsi="Abadi"/>
          <w:b/>
          <w:bCs/>
          <w:sz w:val="21"/>
          <w:szCs w:val="21"/>
        </w:rPr>
        <w:t>(Voz) diputado Presidente,</w:t>
      </w:r>
      <w:r>
        <w:rPr>
          <w:rFonts w:ascii="Abadi" w:hAnsi="Abadi"/>
          <w:sz w:val="21"/>
          <w:szCs w:val="21"/>
        </w:rPr>
        <w:t xml:space="preserve"> ¡gracias diputada! ¿D</w:t>
      </w:r>
      <w:r w:rsidRPr="006813AA">
        <w:rPr>
          <w:rFonts w:ascii="Abadi" w:hAnsi="Abadi"/>
          <w:sz w:val="21"/>
          <w:szCs w:val="21"/>
        </w:rPr>
        <w:t xml:space="preserve">iputado </w:t>
      </w:r>
      <w:r>
        <w:rPr>
          <w:rFonts w:ascii="Abadi" w:hAnsi="Abadi"/>
          <w:sz w:val="21"/>
          <w:szCs w:val="21"/>
        </w:rPr>
        <w:t xml:space="preserve">Víctor </w:t>
      </w:r>
      <w:r w:rsidRPr="006813AA">
        <w:rPr>
          <w:rFonts w:ascii="Abadi" w:hAnsi="Abadi"/>
          <w:sz w:val="21"/>
          <w:szCs w:val="21"/>
        </w:rPr>
        <w:t xml:space="preserve">Manuel </w:t>
      </w:r>
      <w:r>
        <w:rPr>
          <w:rFonts w:ascii="Abadi" w:hAnsi="Abadi"/>
          <w:sz w:val="21"/>
          <w:szCs w:val="21"/>
        </w:rPr>
        <w:t>Z</w:t>
      </w:r>
      <w:r w:rsidRPr="006813AA">
        <w:rPr>
          <w:rFonts w:ascii="Abadi" w:hAnsi="Abadi"/>
          <w:sz w:val="21"/>
          <w:szCs w:val="21"/>
        </w:rPr>
        <w:t>anella</w:t>
      </w:r>
      <w:r>
        <w:rPr>
          <w:rFonts w:ascii="Abadi" w:hAnsi="Abadi"/>
          <w:sz w:val="21"/>
          <w:szCs w:val="21"/>
        </w:rPr>
        <w:t xml:space="preserve">? </w:t>
      </w:r>
      <w:r w:rsidRPr="009D1349">
        <w:rPr>
          <w:rFonts w:ascii="Abadi" w:hAnsi="Abadi"/>
          <w:b/>
          <w:bCs/>
          <w:sz w:val="21"/>
          <w:szCs w:val="21"/>
        </w:rPr>
        <w:t>(Voz) diputado Víctor Manuel Zanella,</w:t>
      </w:r>
      <w:r>
        <w:rPr>
          <w:rFonts w:ascii="Abadi" w:hAnsi="Abadi"/>
          <w:sz w:val="21"/>
          <w:szCs w:val="21"/>
        </w:rPr>
        <w:t xml:space="preserve"> </w:t>
      </w:r>
      <w:r w:rsidRPr="006813AA">
        <w:rPr>
          <w:rFonts w:ascii="Abadi" w:hAnsi="Abadi"/>
          <w:sz w:val="21"/>
          <w:szCs w:val="21"/>
        </w:rPr>
        <w:t xml:space="preserve">para hablar a </w:t>
      </w:r>
      <w:r>
        <w:rPr>
          <w:rFonts w:ascii="Abadi" w:hAnsi="Abadi"/>
          <w:sz w:val="21"/>
          <w:szCs w:val="21"/>
        </w:rPr>
        <w:t xml:space="preserve">favor, </w:t>
      </w:r>
      <w:r w:rsidRPr="009D1349">
        <w:rPr>
          <w:rFonts w:ascii="Abadi" w:hAnsi="Abadi"/>
          <w:b/>
          <w:bCs/>
          <w:sz w:val="21"/>
          <w:szCs w:val="21"/>
        </w:rPr>
        <w:t>(Voz) diputado Presidente,</w:t>
      </w:r>
      <w:r>
        <w:rPr>
          <w:rFonts w:ascii="Abadi" w:hAnsi="Abadi"/>
          <w:sz w:val="21"/>
          <w:szCs w:val="21"/>
        </w:rPr>
        <w:t xml:space="preserve"> ¡gra</w:t>
      </w:r>
      <w:r w:rsidRPr="006813AA">
        <w:rPr>
          <w:rFonts w:ascii="Abadi" w:hAnsi="Abadi"/>
          <w:sz w:val="21"/>
          <w:szCs w:val="21"/>
        </w:rPr>
        <w:t xml:space="preserve">cias </w:t>
      </w:r>
      <w:r>
        <w:rPr>
          <w:rFonts w:ascii="Abadi" w:hAnsi="Abadi"/>
          <w:sz w:val="21"/>
          <w:szCs w:val="21"/>
        </w:rPr>
        <w:t>diputado! V</w:t>
      </w:r>
      <w:r w:rsidRPr="006813AA">
        <w:rPr>
          <w:rFonts w:ascii="Abadi" w:hAnsi="Abadi"/>
          <w:sz w:val="21"/>
          <w:szCs w:val="21"/>
        </w:rPr>
        <w:t>íctor Manuel</w:t>
      </w:r>
      <w:r>
        <w:rPr>
          <w:rFonts w:ascii="Abadi" w:hAnsi="Abadi"/>
          <w:sz w:val="21"/>
          <w:szCs w:val="21"/>
        </w:rPr>
        <w:t>,</w:t>
      </w:r>
      <w:r w:rsidRPr="006813AA">
        <w:rPr>
          <w:rFonts w:ascii="Abadi" w:hAnsi="Abadi"/>
          <w:sz w:val="21"/>
          <w:szCs w:val="21"/>
        </w:rPr>
        <w:t xml:space="preserve"> tiene el </w:t>
      </w:r>
      <w:r>
        <w:rPr>
          <w:rFonts w:ascii="Abadi" w:hAnsi="Abadi"/>
          <w:sz w:val="21"/>
          <w:szCs w:val="21"/>
        </w:rPr>
        <w:t>u</w:t>
      </w:r>
      <w:r w:rsidRPr="006813AA">
        <w:rPr>
          <w:rFonts w:ascii="Abadi" w:hAnsi="Abadi"/>
          <w:sz w:val="21"/>
          <w:szCs w:val="21"/>
        </w:rPr>
        <w:t xml:space="preserve">so de la voz </w:t>
      </w:r>
      <w:r>
        <w:rPr>
          <w:rFonts w:ascii="Abadi" w:hAnsi="Abadi"/>
          <w:sz w:val="21"/>
          <w:szCs w:val="21"/>
        </w:rPr>
        <w:t xml:space="preserve">la </w:t>
      </w:r>
      <w:r w:rsidRPr="006813AA">
        <w:rPr>
          <w:rFonts w:ascii="Abadi" w:hAnsi="Abadi"/>
          <w:sz w:val="21"/>
          <w:szCs w:val="21"/>
        </w:rPr>
        <w:t xml:space="preserve">diputada </w:t>
      </w:r>
      <w:r>
        <w:rPr>
          <w:rFonts w:ascii="Abadi" w:hAnsi="Abadi"/>
          <w:sz w:val="21"/>
          <w:szCs w:val="21"/>
        </w:rPr>
        <w:t>A</w:t>
      </w:r>
      <w:r w:rsidRPr="006813AA">
        <w:rPr>
          <w:rFonts w:ascii="Abadi" w:hAnsi="Abadi"/>
          <w:sz w:val="21"/>
          <w:szCs w:val="21"/>
        </w:rPr>
        <w:t xml:space="preserve">lma </w:t>
      </w:r>
      <w:r>
        <w:rPr>
          <w:rFonts w:ascii="Abadi" w:hAnsi="Abadi"/>
          <w:sz w:val="21"/>
          <w:szCs w:val="21"/>
        </w:rPr>
        <w:t xml:space="preserve">Edwviges, Alcaraz Hernández, </w:t>
      </w:r>
      <w:r w:rsidRPr="006813AA">
        <w:rPr>
          <w:rFonts w:ascii="Abadi" w:hAnsi="Abadi"/>
          <w:sz w:val="21"/>
          <w:szCs w:val="21"/>
        </w:rPr>
        <w:t xml:space="preserve">hasta por </w:t>
      </w:r>
      <w:r>
        <w:rPr>
          <w:rFonts w:ascii="Abadi" w:hAnsi="Abadi"/>
          <w:sz w:val="21"/>
          <w:szCs w:val="21"/>
        </w:rPr>
        <w:t>1</w:t>
      </w:r>
      <w:r w:rsidRPr="006813AA">
        <w:rPr>
          <w:rFonts w:ascii="Abadi" w:hAnsi="Abadi"/>
          <w:sz w:val="21"/>
          <w:szCs w:val="21"/>
        </w:rPr>
        <w:t>0 minutos</w:t>
      </w:r>
      <w:r>
        <w:rPr>
          <w:rFonts w:ascii="Abadi" w:hAnsi="Abadi"/>
          <w:sz w:val="21"/>
          <w:szCs w:val="21"/>
        </w:rPr>
        <w:t>, por favor.</w:t>
      </w:r>
    </w:p>
    <w:p w14:paraId="4AE443E0" w14:textId="77777777" w:rsidR="002C4014" w:rsidRDefault="002C4014" w:rsidP="00C30A76">
      <w:pPr>
        <w:ind w:firstLine="708"/>
        <w:jc w:val="both"/>
        <w:rPr>
          <w:rFonts w:ascii="Abadi" w:hAnsi="Abadi"/>
          <w:sz w:val="21"/>
          <w:szCs w:val="21"/>
        </w:rPr>
      </w:pPr>
    </w:p>
    <w:p w14:paraId="28CC1FFC" w14:textId="77777777" w:rsidR="00C30A76" w:rsidRDefault="00C30A76" w:rsidP="00C30A76">
      <w:pPr>
        <w:jc w:val="both"/>
        <w:rPr>
          <w:rFonts w:ascii="Abadi" w:hAnsi="Abadi"/>
          <w:b/>
          <w:bCs/>
          <w:sz w:val="21"/>
          <w:szCs w:val="21"/>
        </w:rPr>
      </w:pPr>
      <w:r w:rsidRPr="008875DF">
        <w:rPr>
          <w:rFonts w:ascii="Abadi" w:hAnsi="Abadi"/>
          <w:b/>
          <w:bCs/>
          <w:sz w:val="21"/>
          <w:szCs w:val="21"/>
        </w:rPr>
        <w:t>(Sube a tribuna la diputada Alma Edwviges Alcaraz Hernández, para hablar en contra de la propuesta</w:t>
      </w:r>
      <w:r>
        <w:rPr>
          <w:rFonts w:ascii="Abadi" w:hAnsi="Abadi"/>
          <w:b/>
          <w:bCs/>
          <w:sz w:val="21"/>
          <w:szCs w:val="21"/>
        </w:rPr>
        <w:t xml:space="preserve"> del punto de acuerdo en referencia</w:t>
      </w:r>
      <w:r w:rsidRPr="008875DF">
        <w:rPr>
          <w:rFonts w:ascii="Abadi" w:hAnsi="Abadi"/>
          <w:b/>
          <w:bCs/>
          <w:sz w:val="21"/>
          <w:szCs w:val="21"/>
        </w:rPr>
        <w:t>)</w:t>
      </w:r>
    </w:p>
    <w:p w14:paraId="39F3CCD5" w14:textId="77777777" w:rsidR="00C30A76" w:rsidRDefault="00C30A76" w:rsidP="00C30A76">
      <w:pPr>
        <w:jc w:val="both"/>
        <w:rPr>
          <w:rFonts w:ascii="Abadi" w:hAnsi="Abadi"/>
          <w:b/>
          <w:bCs/>
          <w:sz w:val="21"/>
          <w:szCs w:val="21"/>
        </w:rPr>
      </w:pPr>
    </w:p>
    <w:p w14:paraId="5905C964" w14:textId="2FD499F0" w:rsidR="00C30A76" w:rsidRDefault="00C30A76" w:rsidP="00C30A76">
      <w:pPr>
        <w:jc w:val="both"/>
        <w:rPr>
          <w:rFonts w:ascii="Abadi" w:hAnsi="Abadi"/>
          <w:b/>
          <w:bCs/>
          <w:sz w:val="21"/>
          <w:szCs w:val="21"/>
        </w:rPr>
      </w:pPr>
    </w:p>
    <w:p w14:paraId="4E0BDC24" w14:textId="0A225732" w:rsidR="00C30A76" w:rsidRDefault="002C4014" w:rsidP="00C30A76">
      <w:pPr>
        <w:jc w:val="both"/>
        <w:rPr>
          <w:rFonts w:ascii="Abadi" w:hAnsi="Abadi"/>
          <w:b/>
          <w:bCs/>
          <w:sz w:val="21"/>
          <w:szCs w:val="21"/>
        </w:rPr>
      </w:pPr>
      <w:r>
        <w:rPr>
          <w:noProof/>
        </w:rPr>
        <w:drawing>
          <wp:anchor distT="0" distB="0" distL="114300" distR="114300" simplePos="0" relativeHeight="251693056" behindDoc="1" locked="0" layoutInCell="1" allowOverlap="1" wp14:anchorId="1E220061" wp14:editId="65DEA5E2">
            <wp:simplePos x="0" y="0"/>
            <wp:positionH relativeFrom="column">
              <wp:posOffset>478658</wp:posOffset>
            </wp:positionH>
            <wp:positionV relativeFrom="paragraph">
              <wp:posOffset>137855</wp:posOffset>
            </wp:positionV>
            <wp:extent cx="1469521" cy="763438"/>
            <wp:effectExtent l="247650" t="228600" r="245110" b="760730"/>
            <wp:wrapTight wrapText="bothSides">
              <wp:wrapPolygon edited="0">
                <wp:start x="-3640" y="-6469"/>
                <wp:lineTo x="-3640" y="42589"/>
                <wp:lineTo x="24923" y="42589"/>
                <wp:lineTo x="24923" y="30190"/>
                <wp:lineTo x="21283" y="28033"/>
                <wp:lineTo x="21003" y="28033"/>
                <wp:lineTo x="24923" y="25877"/>
                <wp:lineTo x="24923" y="-6469"/>
                <wp:lineTo x="-3640" y="-6469"/>
              </wp:wrapPolygon>
            </wp:wrapTight>
            <wp:docPr id="43" name="Imagen 43"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Interfaz de usuario gráfica, Sitio web&#10;&#10;Descripción generada automáticamente"/>
                    <pic:cNvPicPr/>
                  </pic:nvPicPr>
                  <pic:blipFill rotWithShape="1">
                    <a:blip r:embed="rId44" cstate="print">
                      <a:extLst>
                        <a:ext uri="{28A0092B-C50C-407E-A947-70E740481C1C}">
                          <a14:useLocalDpi xmlns:a14="http://schemas.microsoft.com/office/drawing/2010/main" val="0"/>
                        </a:ext>
                      </a:extLst>
                    </a:blip>
                    <a:srcRect b="7597"/>
                    <a:stretch/>
                  </pic:blipFill>
                  <pic:spPr bwMode="auto">
                    <a:xfrm>
                      <a:off x="0" y="0"/>
                      <a:ext cx="1469521" cy="763438"/>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27ECED05" w14:textId="77777777" w:rsidR="002C4014" w:rsidRPr="002C4014" w:rsidRDefault="002C4014" w:rsidP="002C4014">
      <w:pPr>
        <w:spacing w:after="160" w:line="259" w:lineRule="auto"/>
        <w:contextualSpacing/>
        <w:jc w:val="both"/>
        <w:rPr>
          <w:rFonts w:ascii="Abadi" w:hAnsi="Abadi"/>
          <w:b/>
          <w:bCs/>
          <w:sz w:val="21"/>
          <w:szCs w:val="21"/>
        </w:rPr>
      </w:pPr>
    </w:p>
    <w:p w14:paraId="096FD85B" w14:textId="09589088" w:rsidR="002C4014" w:rsidRDefault="002C4014" w:rsidP="002C4014">
      <w:pPr>
        <w:spacing w:after="160" w:line="259" w:lineRule="auto"/>
        <w:contextualSpacing/>
        <w:jc w:val="both"/>
        <w:rPr>
          <w:rFonts w:ascii="Abadi" w:hAnsi="Abadi"/>
          <w:b/>
          <w:bCs/>
          <w:sz w:val="21"/>
          <w:szCs w:val="21"/>
        </w:rPr>
      </w:pPr>
    </w:p>
    <w:p w14:paraId="25AD542D" w14:textId="0583009E" w:rsidR="002C4014" w:rsidRDefault="002C4014" w:rsidP="002C4014">
      <w:pPr>
        <w:spacing w:after="160" w:line="259" w:lineRule="auto"/>
        <w:contextualSpacing/>
        <w:jc w:val="both"/>
        <w:rPr>
          <w:rFonts w:ascii="Abadi" w:hAnsi="Abadi"/>
          <w:b/>
          <w:bCs/>
          <w:sz w:val="21"/>
          <w:szCs w:val="21"/>
        </w:rPr>
      </w:pPr>
    </w:p>
    <w:p w14:paraId="0DBB5EB4" w14:textId="682CE6CC" w:rsidR="002C4014" w:rsidRDefault="002C4014" w:rsidP="002C4014">
      <w:pPr>
        <w:spacing w:after="160" w:line="259" w:lineRule="auto"/>
        <w:contextualSpacing/>
        <w:jc w:val="both"/>
        <w:rPr>
          <w:rFonts w:ascii="Abadi" w:hAnsi="Abadi"/>
          <w:b/>
          <w:bCs/>
          <w:sz w:val="21"/>
          <w:szCs w:val="21"/>
        </w:rPr>
      </w:pPr>
    </w:p>
    <w:p w14:paraId="1D9EFDEC" w14:textId="77800A18" w:rsidR="002C4014" w:rsidRDefault="002C4014" w:rsidP="002C4014">
      <w:pPr>
        <w:spacing w:after="160" w:line="259" w:lineRule="auto"/>
        <w:contextualSpacing/>
        <w:jc w:val="both"/>
        <w:rPr>
          <w:rFonts w:ascii="Abadi" w:hAnsi="Abadi"/>
          <w:b/>
          <w:bCs/>
          <w:sz w:val="21"/>
          <w:szCs w:val="21"/>
        </w:rPr>
      </w:pPr>
    </w:p>
    <w:p w14:paraId="06101FE0" w14:textId="33A3903E" w:rsidR="002C4014" w:rsidRDefault="002C4014" w:rsidP="002C4014">
      <w:pPr>
        <w:spacing w:after="160" w:line="259" w:lineRule="auto"/>
        <w:contextualSpacing/>
        <w:jc w:val="both"/>
        <w:rPr>
          <w:rFonts w:ascii="Abadi" w:hAnsi="Abadi"/>
          <w:b/>
          <w:bCs/>
          <w:sz w:val="21"/>
          <w:szCs w:val="21"/>
        </w:rPr>
      </w:pPr>
    </w:p>
    <w:p w14:paraId="24E17962" w14:textId="78FA7CCA" w:rsidR="002C4014" w:rsidRDefault="002C4014" w:rsidP="002C4014">
      <w:pPr>
        <w:spacing w:after="160" w:line="259" w:lineRule="auto"/>
        <w:contextualSpacing/>
        <w:jc w:val="both"/>
        <w:rPr>
          <w:rFonts w:ascii="Abadi" w:hAnsi="Abadi"/>
          <w:b/>
          <w:bCs/>
          <w:sz w:val="21"/>
          <w:szCs w:val="21"/>
        </w:rPr>
      </w:pPr>
    </w:p>
    <w:p w14:paraId="3C924991" w14:textId="531D2700" w:rsidR="002C4014" w:rsidRDefault="002C4014" w:rsidP="002C4014">
      <w:pPr>
        <w:spacing w:after="160" w:line="259" w:lineRule="auto"/>
        <w:contextualSpacing/>
        <w:jc w:val="both"/>
        <w:rPr>
          <w:rFonts w:ascii="Abadi" w:hAnsi="Abadi"/>
          <w:b/>
          <w:bCs/>
          <w:sz w:val="21"/>
          <w:szCs w:val="21"/>
        </w:rPr>
      </w:pPr>
    </w:p>
    <w:p w14:paraId="206E1759" w14:textId="3A827DD6" w:rsidR="002C4014" w:rsidRDefault="002C4014" w:rsidP="002C4014">
      <w:pPr>
        <w:spacing w:after="160" w:line="259" w:lineRule="auto"/>
        <w:contextualSpacing/>
        <w:jc w:val="both"/>
        <w:rPr>
          <w:rFonts w:ascii="Abadi" w:hAnsi="Abadi"/>
          <w:b/>
          <w:bCs/>
          <w:sz w:val="21"/>
          <w:szCs w:val="21"/>
        </w:rPr>
      </w:pPr>
    </w:p>
    <w:p w14:paraId="3B223FAD" w14:textId="2BF1ADE2" w:rsidR="002C4014" w:rsidRDefault="002C4014" w:rsidP="002C4014">
      <w:pPr>
        <w:spacing w:after="160" w:line="259" w:lineRule="auto"/>
        <w:contextualSpacing/>
        <w:jc w:val="both"/>
        <w:rPr>
          <w:rFonts w:ascii="Abadi" w:hAnsi="Abadi"/>
          <w:b/>
          <w:bCs/>
          <w:sz w:val="21"/>
          <w:szCs w:val="21"/>
        </w:rPr>
      </w:pPr>
    </w:p>
    <w:p w14:paraId="71A88F5D" w14:textId="6A90E1F0" w:rsidR="002C4014" w:rsidRDefault="002C4014" w:rsidP="002C4014">
      <w:pPr>
        <w:spacing w:after="160" w:line="259" w:lineRule="auto"/>
        <w:contextualSpacing/>
        <w:jc w:val="both"/>
        <w:rPr>
          <w:rFonts w:ascii="Abadi" w:hAnsi="Abadi"/>
          <w:b/>
          <w:bCs/>
          <w:sz w:val="21"/>
          <w:szCs w:val="21"/>
        </w:rPr>
      </w:pPr>
    </w:p>
    <w:p w14:paraId="53389777" w14:textId="3D17A3EC" w:rsidR="002C4014" w:rsidRDefault="002C4014" w:rsidP="002C4014">
      <w:pPr>
        <w:spacing w:after="160" w:line="259" w:lineRule="auto"/>
        <w:contextualSpacing/>
        <w:jc w:val="both"/>
        <w:rPr>
          <w:rFonts w:ascii="Abadi" w:hAnsi="Abadi"/>
          <w:b/>
          <w:bCs/>
          <w:sz w:val="21"/>
          <w:szCs w:val="21"/>
        </w:rPr>
      </w:pPr>
    </w:p>
    <w:p w14:paraId="539AC137" w14:textId="474DA997" w:rsidR="00C30A76" w:rsidRPr="0019733D" w:rsidRDefault="00C30A76" w:rsidP="002C4014">
      <w:pPr>
        <w:pStyle w:val="Prrafodelista"/>
        <w:numPr>
          <w:ilvl w:val="0"/>
          <w:numId w:val="76"/>
        </w:numPr>
        <w:spacing w:after="160" w:line="259" w:lineRule="auto"/>
        <w:ind w:left="284"/>
        <w:contextualSpacing/>
        <w:jc w:val="both"/>
        <w:rPr>
          <w:rFonts w:ascii="Abadi" w:hAnsi="Abadi"/>
          <w:b/>
          <w:bCs/>
          <w:sz w:val="21"/>
          <w:szCs w:val="21"/>
        </w:rPr>
      </w:pPr>
      <w:r>
        <w:rPr>
          <w:rFonts w:ascii="Abadi" w:hAnsi="Abadi"/>
          <w:b/>
          <w:bCs/>
          <w:sz w:val="21"/>
          <w:szCs w:val="21"/>
        </w:rPr>
        <w:t>Diputada Alma Edwviges Alcaraz Hernández -</w:t>
      </w:r>
    </w:p>
    <w:p w14:paraId="72F32E13" w14:textId="7974D90D" w:rsidR="00C30A76" w:rsidRDefault="00C30A76" w:rsidP="00C30A76">
      <w:pPr>
        <w:jc w:val="both"/>
        <w:rPr>
          <w:rFonts w:ascii="Abadi" w:hAnsi="Abadi"/>
          <w:sz w:val="21"/>
          <w:szCs w:val="21"/>
        </w:rPr>
      </w:pPr>
      <w:r>
        <w:rPr>
          <w:rFonts w:ascii="Abadi" w:hAnsi="Abadi"/>
          <w:sz w:val="21"/>
          <w:szCs w:val="21"/>
        </w:rPr>
        <w:t xml:space="preserve">- Con su venia Presidente y integrantes de la Mesa Directiva, </w:t>
      </w:r>
      <w:r w:rsidRPr="006813AA">
        <w:rPr>
          <w:rFonts w:ascii="Abadi" w:hAnsi="Abadi"/>
          <w:sz w:val="21"/>
          <w:szCs w:val="21"/>
        </w:rPr>
        <w:t xml:space="preserve">como lo sostuvimos dentro de la </w:t>
      </w:r>
      <w:r>
        <w:rPr>
          <w:rFonts w:ascii="Abadi" w:hAnsi="Abadi"/>
          <w:sz w:val="21"/>
          <w:szCs w:val="21"/>
        </w:rPr>
        <w:t>C</w:t>
      </w:r>
      <w:r w:rsidRPr="006813AA">
        <w:rPr>
          <w:rFonts w:ascii="Abadi" w:hAnsi="Abadi"/>
          <w:sz w:val="21"/>
          <w:szCs w:val="21"/>
        </w:rPr>
        <w:t xml:space="preserve">omisión de </w:t>
      </w:r>
      <w:r>
        <w:rPr>
          <w:rFonts w:ascii="Abadi" w:hAnsi="Abadi"/>
          <w:sz w:val="21"/>
          <w:szCs w:val="21"/>
        </w:rPr>
        <w:t>H</w:t>
      </w:r>
      <w:r w:rsidRPr="006813AA">
        <w:rPr>
          <w:rFonts w:ascii="Abadi" w:hAnsi="Abadi"/>
          <w:sz w:val="21"/>
          <w:szCs w:val="21"/>
        </w:rPr>
        <w:t xml:space="preserve">acienda reiteramos que </w:t>
      </w:r>
      <w:r>
        <w:rPr>
          <w:rFonts w:ascii="Abadi" w:hAnsi="Abadi"/>
          <w:sz w:val="21"/>
          <w:szCs w:val="21"/>
        </w:rPr>
        <w:t>en M</w:t>
      </w:r>
      <w:r w:rsidRPr="006813AA">
        <w:rPr>
          <w:rFonts w:ascii="Abadi" w:hAnsi="Abadi"/>
          <w:sz w:val="21"/>
          <w:szCs w:val="21"/>
        </w:rPr>
        <w:t xml:space="preserve">orena debemos apartarnos de las recomendación de montos máximos de las remuneraciones de los integrantes </w:t>
      </w:r>
      <w:r>
        <w:rPr>
          <w:rFonts w:ascii="Abadi" w:hAnsi="Abadi"/>
          <w:sz w:val="21"/>
          <w:szCs w:val="21"/>
        </w:rPr>
        <w:t xml:space="preserve">de los ayuntamientos para el 2023. </w:t>
      </w:r>
      <w:r w:rsidRPr="006813AA">
        <w:rPr>
          <w:rFonts w:ascii="Abadi" w:hAnsi="Abadi"/>
          <w:sz w:val="21"/>
          <w:szCs w:val="21"/>
        </w:rPr>
        <w:t>pues establece el incremento del 5% respecto a lo que se tenía en el año 2022 sabemos que las recomendaciones de montos máximos no son vinculantes</w:t>
      </w:r>
      <w:r>
        <w:rPr>
          <w:rFonts w:ascii="Abadi" w:hAnsi="Abadi"/>
          <w:sz w:val="21"/>
          <w:szCs w:val="21"/>
        </w:rPr>
        <w:t>,</w:t>
      </w:r>
      <w:r w:rsidRPr="006813AA">
        <w:rPr>
          <w:rFonts w:ascii="Abadi" w:hAnsi="Abadi"/>
          <w:sz w:val="21"/>
          <w:szCs w:val="21"/>
        </w:rPr>
        <w:t xml:space="preserve"> </w:t>
      </w:r>
      <w:r>
        <w:rPr>
          <w:rFonts w:ascii="Abadi" w:hAnsi="Abadi"/>
          <w:sz w:val="21"/>
          <w:szCs w:val="21"/>
        </w:rPr>
        <w:t>no son obligatorias para los ayuntamientos, ¿</w:t>
      </w:r>
      <w:r w:rsidRPr="006813AA">
        <w:rPr>
          <w:rFonts w:ascii="Abadi" w:hAnsi="Abadi"/>
          <w:sz w:val="21"/>
          <w:szCs w:val="21"/>
        </w:rPr>
        <w:t>no</w:t>
      </w:r>
      <w:r>
        <w:rPr>
          <w:rFonts w:ascii="Abadi" w:hAnsi="Abadi"/>
          <w:sz w:val="21"/>
          <w:szCs w:val="21"/>
        </w:rPr>
        <w:t>?</w:t>
      </w:r>
      <w:r w:rsidRPr="006813AA">
        <w:rPr>
          <w:rFonts w:ascii="Abadi" w:hAnsi="Abadi"/>
          <w:sz w:val="21"/>
          <w:szCs w:val="21"/>
        </w:rPr>
        <w:t xml:space="preserve"> porque obviamente tienen ellos amparados </w:t>
      </w:r>
      <w:r>
        <w:rPr>
          <w:rFonts w:ascii="Abadi" w:hAnsi="Abadi"/>
          <w:sz w:val="21"/>
          <w:szCs w:val="21"/>
        </w:rPr>
        <w:t xml:space="preserve">su </w:t>
      </w:r>
      <w:r w:rsidRPr="006813AA">
        <w:rPr>
          <w:rFonts w:ascii="Abadi" w:hAnsi="Abadi"/>
          <w:sz w:val="21"/>
          <w:szCs w:val="21"/>
        </w:rPr>
        <w:t>autonomía de</w:t>
      </w:r>
      <w:r>
        <w:rPr>
          <w:rFonts w:ascii="Abadi" w:hAnsi="Abadi"/>
          <w:sz w:val="21"/>
          <w:szCs w:val="21"/>
        </w:rPr>
        <w:t>l</w:t>
      </w:r>
      <w:r w:rsidRPr="006813AA">
        <w:rPr>
          <w:rFonts w:ascii="Abadi" w:hAnsi="Abadi"/>
          <w:sz w:val="21"/>
          <w:szCs w:val="21"/>
        </w:rPr>
        <w:t xml:space="preserve"> manejo de presupuesto</w:t>
      </w:r>
      <w:r>
        <w:rPr>
          <w:rFonts w:ascii="Abadi" w:hAnsi="Abadi"/>
          <w:sz w:val="21"/>
          <w:szCs w:val="21"/>
        </w:rPr>
        <w:t>s</w:t>
      </w:r>
      <w:r w:rsidRPr="006813AA">
        <w:rPr>
          <w:rFonts w:ascii="Abadi" w:hAnsi="Abadi"/>
          <w:sz w:val="21"/>
          <w:szCs w:val="21"/>
        </w:rPr>
        <w:t xml:space="preserve"> en el artículo 115 constitucional</w:t>
      </w:r>
      <w:r>
        <w:rPr>
          <w:rFonts w:ascii="Abadi" w:hAnsi="Abadi"/>
          <w:sz w:val="21"/>
          <w:szCs w:val="21"/>
        </w:rPr>
        <w:t>.</w:t>
      </w:r>
    </w:p>
    <w:p w14:paraId="12B7CC93" w14:textId="77777777" w:rsidR="00477391" w:rsidRDefault="00477391" w:rsidP="00C30A76">
      <w:pPr>
        <w:jc w:val="both"/>
        <w:rPr>
          <w:rFonts w:ascii="Abadi" w:hAnsi="Abadi"/>
          <w:sz w:val="21"/>
          <w:szCs w:val="21"/>
        </w:rPr>
      </w:pPr>
    </w:p>
    <w:p w14:paraId="763B7999" w14:textId="77777777" w:rsidR="00C30A76" w:rsidRDefault="00C30A76" w:rsidP="00C30A76">
      <w:pPr>
        <w:jc w:val="both"/>
        <w:rPr>
          <w:rFonts w:ascii="Abadi" w:hAnsi="Abadi"/>
          <w:sz w:val="21"/>
          <w:szCs w:val="21"/>
        </w:rPr>
      </w:pPr>
      <w:r>
        <w:rPr>
          <w:rFonts w:ascii="Abadi" w:hAnsi="Abadi"/>
          <w:sz w:val="21"/>
          <w:szCs w:val="21"/>
        </w:rPr>
        <w:t>- S</w:t>
      </w:r>
      <w:r w:rsidRPr="006813AA">
        <w:rPr>
          <w:rFonts w:ascii="Abadi" w:hAnsi="Abadi"/>
          <w:sz w:val="21"/>
          <w:szCs w:val="21"/>
        </w:rPr>
        <w:t>in embargo sabemos que estas recomendaciones son un mensaje político</w:t>
      </w:r>
      <w:r>
        <w:rPr>
          <w:rFonts w:ascii="Abadi" w:hAnsi="Abadi"/>
          <w:sz w:val="21"/>
          <w:szCs w:val="21"/>
        </w:rPr>
        <w:t>,</w:t>
      </w:r>
      <w:r w:rsidRPr="006813AA">
        <w:rPr>
          <w:rFonts w:ascii="Abadi" w:hAnsi="Abadi"/>
          <w:sz w:val="21"/>
          <w:szCs w:val="21"/>
        </w:rPr>
        <w:t xml:space="preserve"> un mensaje claro acerca de cómo se ven las remuneraciones desde el </w:t>
      </w:r>
      <w:r>
        <w:rPr>
          <w:rFonts w:ascii="Abadi" w:hAnsi="Abadi"/>
          <w:sz w:val="21"/>
          <w:szCs w:val="21"/>
        </w:rPr>
        <w:t>P</w:t>
      </w:r>
      <w:r w:rsidRPr="006813AA">
        <w:rPr>
          <w:rFonts w:ascii="Abadi" w:hAnsi="Abadi"/>
          <w:sz w:val="21"/>
          <w:szCs w:val="21"/>
        </w:rPr>
        <w:t xml:space="preserve">oder </w:t>
      </w:r>
      <w:r>
        <w:rPr>
          <w:rFonts w:ascii="Abadi" w:hAnsi="Abadi"/>
          <w:sz w:val="21"/>
          <w:szCs w:val="21"/>
        </w:rPr>
        <w:t>Le</w:t>
      </w:r>
      <w:r w:rsidRPr="006813AA">
        <w:rPr>
          <w:rFonts w:ascii="Abadi" w:hAnsi="Abadi"/>
          <w:sz w:val="21"/>
          <w:szCs w:val="21"/>
        </w:rPr>
        <w:t xml:space="preserve">gislativo como suele suceder pues el partido </w:t>
      </w:r>
      <w:r>
        <w:rPr>
          <w:rFonts w:ascii="Abadi" w:hAnsi="Abadi"/>
          <w:sz w:val="21"/>
          <w:szCs w:val="21"/>
        </w:rPr>
        <w:t>A</w:t>
      </w:r>
      <w:r w:rsidRPr="006813AA">
        <w:rPr>
          <w:rFonts w:ascii="Abadi" w:hAnsi="Abadi"/>
          <w:sz w:val="21"/>
          <w:szCs w:val="21"/>
        </w:rPr>
        <w:t xml:space="preserve">cción </w:t>
      </w:r>
      <w:r>
        <w:rPr>
          <w:rFonts w:ascii="Abadi" w:hAnsi="Abadi"/>
          <w:sz w:val="21"/>
          <w:szCs w:val="21"/>
        </w:rPr>
        <w:t>N</w:t>
      </w:r>
      <w:r w:rsidRPr="006813AA">
        <w:rPr>
          <w:rFonts w:ascii="Abadi" w:hAnsi="Abadi"/>
          <w:sz w:val="21"/>
          <w:szCs w:val="21"/>
        </w:rPr>
        <w:t xml:space="preserve">acional en este </w:t>
      </w:r>
      <w:r>
        <w:rPr>
          <w:rFonts w:ascii="Abadi" w:hAnsi="Abadi"/>
          <w:sz w:val="21"/>
          <w:szCs w:val="21"/>
        </w:rPr>
        <w:t>C</w:t>
      </w:r>
      <w:r w:rsidRPr="006813AA">
        <w:rPr>
          <w:rFonts w:ascii="Abadi" w:hAnsi="Abadi"/>
          <w:sz w:val="21"/>
          <w:szCs w:val="21"/>
        </w:rPr>
        <w:t>ongreso se va a escudar</w:t>
      </w:r>
      <w:r>
        <w:rPr>
          <w:rFonts w:ascii="Abadi" w:hAnsi="Abadi"/>
          <w:sz w:val="21"/>
          <w:szCs w:val="21"/>
        </w:rPr>
        <w:t xml:space="preserve"> ¿no? </w:t>
      </w:r>
      <w:r w:rsidRPr="006813AA">
        <w:rPr>
          <w:rFonts w:ascii="Abadi" w:hAnsi="Abadi"/>
          <w:sz w:val="21"/>
          <w:szCs w:val="21"/>
        </w:rPr>
        <w:t>diciendo que estas recomendaciones se hacen con base en un estudio técnico</w:t>
      </w:r>
      <w:r>
        <w:rPr>
          <w:rFonts w:ascii="Abadi" w:hAnsi="Abadi"/>
          <w:sz w:val="21"/>
          <w:szCs w:val="21"/>
        </w:rPr>
        <w:t>,</w:t>
      </w:r>
      <w:r w:rsidRPr="006813AA">
        <w:rPr>
          <w:rFonts w:ascii="Abadi" w:hAnsi="Abadi"/>
          <w:sz w:val="21"/>
          <w:szCs w:val="21"/>
        </w:rPr>
        <w:t xml:space="preserve"> sin embargo lo que no se va a decir es que utilizan esta técnica para aparentar y esconder decisiones políticas</w:t>
      </w:r>
      <w:r>
        <w:rPr>
          <w:rFonts w:ascii="Abadi" w:hAnsi="Abadi"/>
          <w:sz w:val="21"/>
          <w:szCs w:val="21"/>
        </w:rPr>
        <w:t>,</w:t>
      </w:r>
      <w:r w:rsidRPr="006813AA">
        <w:rPr>
          <w:rFonts w:ascii="Abadi" w:hAnsi="Abadi"/>
          <w:sz w:val="21"/>
          <w:szCs w:val="21"/>
        </w:rPr>
        <w:t xml:space="preserve"> para respaldar este tipo de aumentos y beneficiar a los </w:t>
      </w:r>
      <w:r>
        <w:rPr>
          <w:rFonts w:ascii="Abadi" w:hAnsi="Abadi"/>
          <w:sz w:val="21"/>
          <w:szCs w:val="21"/>
        </w:rPr>
        <w:t>P</w:t>
      </w:r>
      <w:r w:rsidRPr="006813AA">
        <w:rPr>
          <w:rFonts w:ascii="Abadi" w:hAnsi="Abadi"/>
          <w:sz w:val="21"/>
          <w:szCs w:val="21"/>
        </w:rPr>
        <w:t xml:space="preserve">residentes </w:t>
      </w:r>
      <w:r>
        <w:rPr>
          <w:rFonts w:ascii="Abadi" w:hAnsi="Abadi"/>
          <w:sz w:val="21"/>
          <w:szCs w:val="21"/>
        </w:rPr>
        <w:t>M</w:t>
      </w:r>
      <w:r w:rsidRPr="006813AA">
        <w:rPr>
          <w:rFonts w:ascii="Abadi" w:hAnsi="Abadi"/>
          <w:sz w:val="21"/>
          <w:szCs w:val="21"/>
        </w:rPr>
        <w:t xml:space="preserve">unicipales allegados existen al menos </w:t>
      </w:r>
      <w:r>
        <w:rPr>
          <w:rFonts w:ascii="Abadi" w:hAnsi="Abadi"/>
          <w:sz w:val="21"/>
          <w:szCs w:val="21"/>
        </w:rPr>
        <w:t>dos</w:t>
      </w:r>
      <w:r w:rsidRPr="006813AA">
        <w:rPr>
          <w:rFonts w:ascii="Abadi" w:hAnsi="Abadi"/>
          <w:sz w:val="21"/>
          <w:szCs w:val="21"/>
        </w:rPr>
        <w:t xml:space="preserve"> razones para rechazar esta propuesta de acuerdo y modificarla</w:t>
      </w:r>
      <w:r>
        <w:rPr>
          <w:rFonts w:ascii="Abadi" w:hAnsi="Abadi"/>
          <w:sz w:val="21"/>
          <w:szCs w:val="21"/>
        </w:rPr>
        <w:t>,</w:t>
      </w:r>
      <w:r w:rsidRPr="006813AA">
        <w:rPr>
          <w:rFonts w:ascii="Abadi" w:hAnsi="Abadi"/>
          <w:sz w:val="21"/>
          <w:szCs w:val="21"/>
        </w:rPr>
        <w:t xml:space="preserve"> primero el estudio en el que se basó no considera los sueldos que actualmente reciben los alcaldes síndicos y regidores de los ayuntamientos</w:t>
      </w:r>
      <w:r>
        <w:rPr>
          <w:rFonts w:ascii="Abadi" w:hAnsi="Abadi"/>
          <w:sz w:val="21"/>
          <w:szCs w:val="21"/>
        </w:rPr>
        <w:t>;</w:t>
      </w:r>
      <w:r w:rsidRPr="006813AA">
        <w:rPr>
          <w:rFonts w:ascii="Abadi" w:hAnsi="Abadi"/>
          <w:sz w:val="21"/>
          <w:szCs w:val="21"/>
        </w:rPr>
        <w:t xml:space="preserve"> hoy en día por ejemplo existen 20 ayuntamientos que desatienden las remuneraciones máximas sugeridas por este </w:t>
      </w:r>
      <w:r>
        <w:rPr>
          <w:rFonts w:ascii="Abadi" w:hAnsi="Abadi"/>
          <w:sz w:val="21"/>
          <w:szCs w:val="21"/>
        </w:rPr>
        <w:t>C</w:t>
      </w:r>
      <w:r w:rsidRPr="006813AA">
        <w:rPr>
          <w:rFonts w:ascii="Abadi" w:hAnsi="Abadi"/>
          <w:sz w:val="21"/>
          <w:szCs w:val="21"/>
        </w:rPr>
        <w:t>ongreso para incrementar los sueldos</w:t>
      </w:r>
      <w:r>
        <w:rPr>
          <w:rFonts w:ascii="Abadi" w:hAnsi="Abadi"/>
          <w:sz w:val="21"/>
          <w:szCs w:val="21"/>
        </w:rPr>
        <w:t xml:space="preserve">; </w:t>
      </w:r>
      <w:r w:rsidRPr="006813AA">
        <w:rPr>
          <w:rFonts w:ascii="Abadi" w:hAnsi="Abadi"/>
          <w:sz w:val="21"/>
          <w:szCs w:val="21"/>
        </w:rPr>
        <w:t>esa simple la razón debería bastar para enviar un fuerte mensaje de austeridad republicana estableciendo una atenta recomendación de remuneración máxima que no incremente respecto a la del presente año</w:t>
      </w:r>
      <w:r>
        <w:rPr>
          <w:rFonts w:ascii="Abadi" w:hAnsi="Abadi"/>
          <w:sz w:val="21"/>
          <w:szCs w:val="21"/>
        </w:rPr>
        <w:t>.</w:t>
      </w:r>
    </w:p>
    <w:p w14:paraId="4234AA44" w14:textId="77777777" w:rsidR="00477391" w:rsidRDefault="00C30A76" w:rsidP="00C30A76">
      <w:pPr>
        <w:jc w:val="both"/>
        <w:rPr>
          <w:rFonts w:ascii="Abadi" w:hAnsi="Abadi"/>
          <w:sz w:val="21"/>
          <w:szCs w:val="21"/>
        </w:rPr>
      </w:pPr>
      <w:r>
        <w:rPr>
          <w:rFonts w:ascii="Abadi" w:hAnsi="Abadi"/>
          <w:sz w:val="21"/>
          <w:szCs w:val="21"/>
        </w:rPr>
        <w:t>- S</w:t>
      </w:r>
      <w:r w:rsidRPr="006813AA">
        <w:rPr>
          <w:rFonts w:ascii="Abadi" w:hAnsi="Abadi"/>
          <w:sz w:val="21"/>
          <w:szCs w:val="21"/>
        </w:rPr>
        <w:t xml:space="preserve">egunda tenemos presiones inflacionarias como ya </w:t>
      </w:r>
      <w:r>
        <w:rPr>
          <w:rFonts w:ascii="Abadi" w:hAnsi="Abadi"/>
          <w:sz w:val="21"/>
          <w:szCs w:val="21"/>
        </w:rPr>
        <w:t xml:space="preserve">se </w:t>
      </w:r>
      <w:r w:rsidRPr="006813AA">
        <w:rPr>
          <w:rFonts w:ascii="Abadi" w:hAnsi="Abadi"/>
          <w:sz w:val="21"/>
          <w:szCs w:val="21"/>
        </w:rPr>
        <w:t xml:space="preserve">ha estado discutiendo aquí globales que provocan que los sueldos de las y los guanajuatenses estén cada vez más golpeados y no alcance muchas ocasiones y en muchas familias ni siquiera para comer los Datos son muy claros el </w:t>
      </w:r>
      <w:r>
        <w:rPr>
          <w:rFonts w:ascii="Abadi" w:hAnsi="Abadi"/>
          <w:sz w:val="21"/>
          <w:szCs w:val="21"/>
        </w:rPr>
        <w:t>C</w:t>
      </w:r>
      <w:r w:rsidRPr="006813AA">
        <w:rPr>
          <w:rFonts w:ascii="Abadi" w:hAnsi="Abadi"/>
          <w:sz w:val="21"/>
          <w:szCs w:val="21"/>
        </w:rPr>
        <w:t>oneval ha señalado que al cierre de junio del presente año guanajuato es la entidad qué más ha incrementado su pobreza laboral desde el cierre del 2018</w:t>
      </w:r>
      <w:r>
        <w:rPr>
          <w:rFonts w:ascii="Abadi" w:hAnsi="Abadi"/>
          <w:sz w:val="21"/>
          <w:szCs w:val="21"/>
        </w:rPr>
        <w:t xml:space="preserve">, con un 13% adicional, </w:t>
      </w:r>
      <w:r w:rsidRPr="006813AA">
        <w:rPr>
          <w:rFonts w:ascii="Abadi" w:hAnsi="Abadi"/>
          <w:sz w:val="21"/>
          <w:szCs w:val="21"/>
        </w:rPr>
        <w:t>esto significa que hoy en día 3838 de cada 100 guanajuatenses no les alcanza lo que ganan para cubrir el costo de la canasta alimentaria</w:t>
      </w:r>
      <w:r>
        <w:rPr>
          <w:rFonts w:ascii="Abadi" w:hAnsi="Abadi"/>
          <w:sz w:val="21"/>
          <w:szCs w:val="21"/>
        </w:rPr>
        <w:t>;</w:t>
      </w:r>
      <w:r w:rsidRPr="006813AA">
        <w:rPr>
          <w:rFonts w:ascii="Abadi" w:hAnsi="Abadi"/>
          <w:sz w:val="21"/>
          <w:szCs w:val="21"/>
        </w:rPr>
        <w:t xml:space="preserve"> en un contexto como este todas las autoridades deben destinar el máximo de recursos disponibles para contener los amplios efectos negativos de es</w:t>
      </w:r>
      <w:r>
        <w:rPr>
          <w:rFonts w:ascii="Abadi" w:hAnsi="Abadi"/>
          <w:sz w:val="21"/>
          <w:szCs w:val="21"/>
        </w:rPr>
        <w:t>t</w:t>
      </w:r>
      <w:r w:rsidRPr="006813AA">
        <w:rPr>
          <w:rFonts w:ascii="Abadi" w:hAnsi="Abadi"/>
          <w:sz w:val="21"/>
          <w:szCs w:val="21"/>
        </w:rPr>
        <w:t>a crisis mundial</w:t>
      </w:r>
      <w:r>
        <w:rPr>
          <w:rFonts w:ascii="Abadi" w:hAnsi="Abadi"/>
          <w:sz w:val="21"/>
          <w:szCs w:val="21"/>
        </w:rPr>
        <w:t>,</w:t>
      </w:r>
      <w:r w:rsidRPr="006813AA">
        <w:rPr>
          <w:rFonts w:ascii="Abadi" w:hAnsi="Abadi"/>
          <w:sz w:val="21"/>
          <w:szCs w:val="21"/>
        </w:rPr>
        <w:t xml:space="preserve"> sobre la población los que menos tienen en vez de buscar blindar los altos sueldos de presidentes síndicos y regidores porque así se percibe como un blindaje</w:t>
      </w:r>
      <w:r>
        <w:rPr>
          <w:rFonts w:ascii="Abadi" w:hAnsi="Abadi"/>
          <w:sz w:val="21"/>
          <w:szCs w:val="21"/>
        </w:rPr>
        <w:t>.</w:t>
      </w:r>
    </w:p>
    <w:p w14:paraId="62B4D598" w14:textId="480D52F7" w:rsidR="00C30A76" w:rsidRDefault="00C30A76" w:rsidP="00C30A76">
      <w:pPr>
        <w:jc w:val="both"/>
        <w:rPr>
          <w:rFonts w:ascii="Abadi" w:hAnsi="Abadi"/>
          <w:sz w:val="21"/>
          <w:szCs w:val="21"/>
        </w:rPr>
      </w:pPr>
      <w:r>
        <w:rPr>
          <w:rFonts w:ascii="Abadi" w:hAnsi="Abadi"/>
          <w:sz w:val="21"/>
          <w:szCs w:val="21"/>
        </w:rPr>
        <w:t xml:space="preserve"> </w:t>
      </w:r>
    </w:p>
    <w:p w14:paraId="4E732187" w14:textId="302FD8D4" w:rsidR="00C30A76" w:rsidRDefault="00C30A76" w:rsidP="00C30A76">
      <w:pPr>
        <w:jc w:val="both"/>
        <w:rPr>
          <w:rFonts w:ascii="Abadi" w:hAnsi="Abadi"/>
          <w:sz w:val="21"/>
          <w:szCs w:val="21"/>
        </w:rPr>
      </w:pPr>
      <w:r>
        <w:rPr>
          <w:rFonts w:ascii="Abadi" w:hAnsi="Abadi"/>
          <w:sz w:val="21"/>
          <w:szCs w:val="21"/>
        </w:rPr>
        <w:t>- L</w:t>
      </w:r>
      <w:r w:rsidRPr="006813AA">
        <w:rPr>
          <w:rFonts w:ascii="Abadi" w:hAnsi="Abadi"/>
          <w:sz w:val="21"/>
          <w:szCs w:val="21"/>
        </w:rPr>
        <w:t xml:space="preserve">os  </w:t>
      </w:r>
      <w:r>
        <w:rPr>
          <w:rFonts w:ascii="Abadi" w:hAnsi="Abadi"/>
          <w:sz w:val="21"/>
          <w:szCs w:val="21"/>
        </w:rPr>
        <w:t>P</w:t>
      </w:r>
      <w:r w:rsidRPr="006813AA">
        <w:rPr>
          <w:rFonts w:ascii="Abadi" w:hAnsi="Abadi"/>
          <w:sz w:val="21"/>
          <w:szCs w:val="21"/>
        </w:rPr>
        <w:t xml:space="preserve">residentes </w:t>
      </w:r>
      <w:r>
        <w:rPr>
          <w:rFonts w:ascii="Abadi" w:hAnsi="Abadi"/>
          <w:sz w:val="21"/>
          <w:szCs w:val="21"/>
        </w:rPr>
        <w:t>M</w:t>
      </w:r>
      <w:r w:rsidRPr="006813AA">
        <w:rPr>
          <w:rFonts w:ascii="Abadi" w:hAnsi="Abadi"/>
          <w:sz w:val="21"/>
          <w:szCs w:val="21"/>
        </w:rPr>
        <w:t>unicipales con la recomendación del sueldo más baja por ejemplo son los de</w:t>
      </w:r>
      <w:r>
        <w:rPr>
          <w:rFonts w:ascii="Abadi" w:hAnsi="Abadi"/>
          <w:sz w:val="21"/>
          <w:szCs w:val="21"/>
        </w:rPr>
        <w:t xml:space="preserve">  A</w:t>
      </w:r>
      <w:r w:rsidRPr="006813AA">
        <w:rPr>
          <w:rFonts w:ascii="Abadi" w:hAnsi="Abadi"/>
          <w:sz w:val="21"/>
          <w:szCs w:val="21"/>
        </w:rPr>
        <w:t xml:space="preserve">tarjea municipios muy pequeños Tierra </w:t>
      </w:r>
      <w:r>
        <w:rPr>
          <w:rFonts w:ascii="Abadi" w:hAnsi="Abadi"/>
          <w:sz w:val="21"/>
          <w:szCs w:val="21"/>
        </w:rPr>
        <w:t>B</w:t>
      </w:r>
      <w:r w:rsidRPr="006813AA">
        <w:rPr>
          <w:rFonts w:ascii="Abadi" w:hAnsi="Abadi"/>
          <w:sz w:val="21"/>
          <w:szCs w:val="21"/>
        </w:rPr>
        <w:t>lanca</w:t>
      </w:r>
      <w:r>
        <w:rPr>
          <w:rFonts w:ascii="Abadi" w:hAnsi="Abadi"/>
          <w:sz w:val="21"/>
          <w:szCs w:val="21"/>
        </w:rPr>
        <w:t>,</w:t>
      </w:r>
      <w:r w:rsidRPr="006813AA">
        <w:rPr>
          <w:rFonts w:ascii="Abadi" w:hAnsi="Abadi"/>
          <w:sz w:val="21"/>
          <w:szCs w:val="21"/>
        </w:rPr>
        <w:t xml:space="preserve"> Santiago </w:t>
      </w:r>
      <w:r>
        <w:rPr>
          <w:rFonts w:ascii="Abadi" w:hAnsi="Abadi"/>
          <w:sz w:val="21"/>
          <w:szCs w:val="21"/>
        </w:rPr>
        <w:t>M</w:t>
      </w:r>
      <w:r w:rsidRPr="006813AA">
        <w:rPr>
          <w:rFonts w:ascii="Abadi" w:hAnsi="Abadi"/>
          <w:sz w:val="21"/>
          <w:szCs w:val="21"/>
        </w:rPr>
        <w:t>aravatío</w:t>
      </w:r>
      <w:r>
        <w:rPr>
          <w:rFonts w:ascii="Abadi" w:hAnsi="Abadi"/>
          <w:sz w:val="21"/>
          <w:szCs w:val="21"/>
        </w:rPr>
        <w:t>,</w:t>
      </w:r>
      <w:r w:rsidRPr="006813AA">
        <w:rPr>
          <w:rFonts w:ascii="Abadi" w:hAnsi="Abadi"/>
          <w:sz w:val="21"/>
          <w:szCs w:val="21"/>
        </w:rPr>
        <w:t xml:space="preserve"> </w:t>
      </w:r>
      <w:r>
        <w:rPr>
          <w:rFonts w:ascii="Abadi" w:hAnsi="Abadi"/>
          <w:sz w:val="21"/>
          <w:szCs w:val="21"/>
        </w:rPr>
        <w:t>S</w:t>
      </w:r>
      <w:r w:rsidRPr="006813AA">
        <w:rPr>
          <w:rFonts w:ascii="Abadi" w:hAnsi="Abadi"/>
          <w:sz w:val="21"/>
          <w:szCs w:val="21"/>
        </w:rPr>
        <w:t xml:space="preserve">an Diego de la </w:t>
      </w:r>
      <w:r>
        <w:rPr>
          <w:rFonts w:ascii="Abadi" w:hAnsi="Abadi"/>
          <w:sz w:val="21"/>
          <w:szCs w:val="21"/>
        </w:rPr>
        <w:t>U</w:t>
      </w:r>
      <w:r w:rsidRPr="006813AA">
        <w:rPr>
          <w:rFonts w:ascii="Abadi" w:hAnsi="Abadi"/>
          <w:sz w:val="21"/>
          <w:szCs w:val="21"/>
        </w:rPr>
        <w:t>nión y Coroneo</w:t>
      </w:r>
      <w:r>
        <w:rPr>
          <w:rFonts w:ascii="Abadi" w:hAnsi="Abadi"/>
          <w:sz w:val="21"/>
          <w:szCs w:val="21"/>
        </w:rPr>
        <w:t>,</w:t>
      </w:r>
      <w:r w:rsidRPr="006813AA">
        <w:rPr>
          <w:rFonts w:ascii="Abadi" w:hAnsi="Abadi"/>
          <w:sz w:val="21"/>
          <w:szCs w:val="21"/>
        </w:rPr>
        <w:t xml:space="preserve"> con una propuesta de 50883 </w:t>
      </w:r>
      <w:r>
        <w:rPr>
          <w:rFonts w:ascii="Abadi" w:hAnsi="Abadi"/>
          <w:sz w:val="21"/>
          <w:szCs w:val="21"/>
        </w:rPr>
        <w:t xml:space="preserve">pesos </w:t>
      </w:r>
      <w:r w:rsidRPr="006813AA">
        <w:rPr>
          <w:rFonts w:ascii="Abadi" w:hAnsi="Abadi"/>
          <w:sz w:val="21"/>
          <w:szCs w:val="21"/>
        </w:rPr>
        <w:t>mensuales</w:t>
      </w:r>
      <w:r>
        <w:rPr>
          <w:rFonts w:ascii="Abadi" w:hAnsi="Abadi"/>
          <w:sz w:val="21"/>
          <w:szCs w:val="21"/>
        </w:rPr>
        <w:t>,</w:t>
      </w:r>
      <w:r w:rsidRPr="006813AA">
        <w:rPr>
          <w:rFonts w:ascii="Abadi" w:hAnsi="Abadi"/>
          <w:sz w:val="21"/>
          <w:szCs w:val="21"/>
        </w:rPr>
        <w:t xml:space="preserve"> la pregunta es</w:t>
      </w:r>
      <w:r>
        <w:rPr>
          <w:rFonts w:ascii="Abadi" w:hAnsi="Abadi"/>
          <w:sz w:val="21"/>
          <w:szCs w:val="21"/>
        </w:rPr>
        <w:t xml:space="preserve"> ¿</w:t>
      </w:r>
      <w:r w:rsidRPr="006813AA">
        <w:rPr>
          <w:rFonts w:ascii="Abadi" w:hAnsi="Abadi"/>
          <w:sz w:val="21"/>
          <w:szCs w:val="21"/>
        </w:rPr>
        <w:t>cuántos trabajadores de este municipio</w:t>
      </w:r>
      <w:r>
        <w:rPr>
          <w:rFonts w:ascii="Abadi" w:hAnsi="Abadi"/>
          <w:sz w:val="21"/>
          <w:szCs w:val="21"/>
        </w:rPr>
        <w:t>?</w:t>
      </w:r>
      <w:r w:rsidRPr="006813AA">
        <w:rPr>
          <w:rFonts w:ascii="Abadi" w:hAnsi="Abadi"/>
          <w:sz w:val="21"/>
          <w:szCs w:val="21"/>
        </w:rPr>
        <w:t xml:space="preserve"> </w:t>
      </w:r>
      <w:r>
        <w:rPr>
          <w:rFonts w:ascii="Abadi" w:hAnsi="Abadi"/>
          <w:sz w:val="21"/>
          <w:szCs w:val="21"/>
        </w:rPr>
        <w:t>¿</w:t>
      </w:r>
      <w:r w:rsidRPr="006813AA">
        <w:rPr>
          <w:rFonts w:ascii="Abadi" w:hAnsi="Abadi"/>
          <w:sz w:val="21"/>
          <w:szCs w:val="21"/>
        </w:rPr>
        <w:t>cuántos habitantes de este municipio</w:t>
      </w:r>
      <w:r>
        <w:rPr>
          <w:rFonts w:ascii="Abadi" w:hAnsi="Abadi"/>
          <w:sz w:val="21"/>
          <w:szCs w:val="21"/>
        </w:rPr>
        <w:t>,</w:t>
      </w:r>
      <w:r w:rsidRPr="006813AA">
        <w:rPr>
          <w:rFonts w:ascii="Abadi" w:hAnsi="Abadi"/>
          <w:sz w:val="21"/>
          <w:szCs w:val="21"/>
        </w:rPr>
        <w:t xml:space="preserve"> tienen un sueldo de más de 50</w:t>
      </w:r>
      <w:r>
        <w:rPr>
          <w:rFonts w:ascii="Abadi" w:hAnsi="Abadi"/>
          <w:sz w:val="21"/>
          <w:szCs w:val="21"/>
        </w:rPr>
        <w:t xml:space="preserve"> mil pesos </w:t>
      </w:r>
      <w:r w:rsidRPr="006813AA">
        <w:rPr>
          <w:rFonts w:ascii="Abadi" w:hAnsi="Abadi"/>
          <w:sz w:val="21"/>
          <w:szCs w:val="21"/>
        </w:rPr>
        <w:t xml:space="preserve"> mensuales</w:t>
      </w:r>
      <w:r>
        <w:rPr>
          <w:rFonts w:ascii="Abadi" w:hAnsi="Abadi"/>
          <w:sz w:val="21"/>
          <w:szCs w:val="21"/>
        </w:rPr>
        <w:t>?</w:t>
      </w:r>
      <w:r w:rsidRPr="006813AA">
        <w:rPr>
          <w:rFonts w:ascii="Abadi" w:hAnsi="Abadi"/>
          <w:sz w:val="21"/>
          <w:szCs w:val="21"/>
        </w:rPr>
        <w:t xml:space="preserve"> la respuesta es que muy pocos</w:t>
      </w:r>
      <w:r>
        <w:rPr>
          <w:rFonts w:ascii="Abadi" w:hAnsi="Abadi"/>
          <w:sz w:val="21"/>
          <w:szCs w:val="21"/>
        </w:rPr>
        <w:t>,</w:t>
      </w:r>
      <w:r w:rsidRPr="006813AA">
        <w:rPr>
          <w:rFonts w:ascii="Abadi" w:hAnsi="Abadi"/>
          <w:sz w:val="21"/>
          <w:szCs w:val="21"/>
        </w:rPr>
        <w:t xml:space="preserve"> pues en estos municipios</w:t>
      </w:r>
      <w:r>
        <w:rPr>
          <w:rFonts w:ascii="Abadi" w:hAnsi="Abadi"/>
          <w:sz w:val="21"/>
          <w:szCs w:val="21"/>
        </w:rPr>
        <w:t>,</w:t>
      </w:r>
      <w:r w:rsidRPr="006813AA">
        <w:rPr>
          <w:rFonts w:ascii="Abadi" w:hAnsi="Abadi"/>
          <w:sz w:val="21"/>
          <w:szCs w:val="21"/>
        </w:rPr>
        <w:t xml:space="preserve"> el promedio de los salarios es de 4</w:t>
      </w:r>
      <w:r>
        <w:rPr>
          <w:rFonts w:ascii="Abadi" w:hAnsi="Abadi"/>
          <w:sz w:val="21"/>
          <w:szCs w:val="21"/>
        </w:rPr>
        <w:t>,</w:t>
      </w:r>
      <w:r w:rsidRPr="006813AA">
        <w:rPr>
          <w:rFonts w:ascii="Abadi" w:hAnsi="Abadi"/>
          <w:sz w:val="21"/>
          <w:szCs w:val="21"/>
        </w:rPr>
        <w:t>510</w:t>
      </w:r>
      <w:r>
        <w:rPr>
          <w:rFonts w:ascii="Abadi" w:hAnsi="Abadi"/>
          <w:sz w:val="21"/>
          <w:szCs w:val="21"/>
        </w:rPr>
        <w:t xml:space="preserve"> pesos, c</w:t>
      </w:r>
      <w:r w:rsidRPr="006813AA">
        <w:rPr>
          <w:rFonts w:ascii="Abadi" w:hAnsi="Abadi"/>
          <w:sz w:val="21"/>
          <w:szCs w:val="21"/>
        </w:rPr>
        <w:t>ontra 50</w:t>
      </w:r>
      <w:r>
        <w:rPr>
          <w:rFonts w:ascii="Abadi" w:hAnsi="Abadi"/>
          <w:sz w:val="21"/>
          <w:szCs w:val="21"/>
        </w:rPr>
        <w:t xml:space="preserve"> mil, es d</w:t>
      </w:r>
      <w:r w:rsidRPr="006813AA">
        <w:rPr>
          <w:rFonts w:ascii="Abadi" w:hAnsi="Abadi"/>
          <w:sz w:val="21"/>
          <w:szCs w:val="21"/>
        </w:rPr>
        <w:t xml:space="preserve">ecir este acuerdo pretende que como </w:t>
      </w:r>
      <w:r>
        <w:rPr>
          <w:rFonts w:ascii="Abadi" w:hAnsi="Abadi"/>
          <w:sz w:val="21"/>
          <w:szCs w:val="21"/>
        </w:rPr>
        <w:t>Co</w:t>
      </w:r>
      <w:r w:rsidRPr="006813AA">
        <w:rPr>
          <w:rFonts w:ascii="Abadi" w:hAnsi="Abadi"/>
          <w:sz w:val="21"/>
          <w:szCs w:val="21"/>
        </w:rPr>
        <w:t xml:space="preserve">ngreso recomendemos que los </w:t>
      </w:r>
      <w:r>
        <w:rPr>
          <w:rFonts w:ascii="Abadi" w:hAnsi="Abadi"/>
          <w:sz w:val="21"/>
          <w:szCs w:val="21"/>
        </w:rPr>
        <w:t>P</w:t>
      </w:r>
      <w:r w:rsidRPr="006813AA">
        <w:rPr>
          <w:rFonts w:ascii="Abadi" w:hAnsi="Abadi"/>
          <w:sz w:val="21"/>
          <w:szCs w:val="21"/>
        </w:rPr>
        <w:t>residentes de los ayuntamientos más pequeños del estado ganen 11 veces más que el ciudadano promedio común de sus municipios no podemos validar que siga habiendo</w:t>
      </w:r>
      <w:r w:rsidRPr="008F09E2">
        <w:rPr>
          <w:rFonts w:ascii="Abadi" w:hAnsi="Abadi"/>
          <w:sz w:val="28"/>
          <w:szCs w:val="28"/>
        </w:rPr>
        <w:t xml:space="preserve"> </w:t>
      </w:r>
      <w:r w:rsidRPr="006813AA">
        <w:rPr>
          <w:rFonts w:ascii="Abadi" w:hAnsi="Abadi"/>
          <w:sz w:val="21"/>
          <w:szCs w:val="21"/>
        </w:rPr>
        <w:t>gobiernos ricos con pueblo pobre en casos como León Alejandra Gutiérrez</w:t>
      </w:r>
      <w:r>
        <w:rPr>
          <w:rFonts w:ascii="Abadi" w:hAnsi="Abadi"/>
          <w:sz w:val="21"/>
          <w:szCs w:val="21"/>
        </w:rPr>
        <w:t xml:space="preserve">, </w:t>
      </w:r>
      <w:r w:rsidRPr="006813AA">
        <w:rPr>
          <w:rFonts w:ascii="Abadi" w:hAnsi="Abadi"/>
          <w:sz w:val="21"/>
          <w:szCs w:val="21"/>
        </w:rPr>
        <w:t>por ejemplo el municipio con más personas en situación de pobreza en todo el país</w:t>
      </w:r>
      <w:r>
        <w:rPr>
          <w:rFonts w:ascii="Abadi" w:hAnsi="Abadi"/>
          <w:sz w:val="21"/>
          <w:szCs w:val="21"/>
        </w:rPr>
        <w:t xml:space="preserve">, </w:t>
      </w:r>
      <w:r w:rsidRPr="006813AA">
        <w:rPr>
          <w:rFonts w:ascii="Abadi" w:hAnsi="Abadi"/>
          <w:sz w:val="21"/>
          <w:szCs w:val="21"/>
        </w:rPr>
        <w:t>la alcaldesa gana 139</w:t>
      </w:r>
      <w:r>
        <w:rPr>
          <w:rFonts w:ascii="Abadi" w:hAnsi="Abadi"/>
          <w:sz w:val="21"/>
          <w:szCs w:val="21"/>
        </w:rPr>
        <w:t xml:space="preserve"> mil </w:t>
      </w:r>
      <w:r w:rsidRPr="006813AA">
        <w:rPr>
          <w:rFonts w:ascii="Abadi" w:hAnsi="Abadi"/>
          <w:sz w:val="21"/>
          <w:szCs w:val="21"/>
        </w:rPr>
        <w:t xml:space="preserve">236 </w:t>
      </w:r>
      <w:r>
        <w:rPr>
          <w:rFonts w:ascii="Abadi" w:hAnsi="Abadi"/>
          <w:sz w:val="21"/>
          <w:szCs w:val="21"/>
        </w:rPr>
        <w:t xml:space="preserve">pesos mensuales. </w:t>
      </w:r>
    </w:p>
    <w:p w14:paraId="369E040C" w14:textId="77777777" w:rsidR="00477391" w:rsidRDefault="00477391" w:rsidP="00C30A76">
      <w:pPr>
        <w:jc w:val="both"/>
        <w:rPr>
          <w:rFonts w:ascii="Abadi" w:hAnsi="Abadi"/>
          <w:sz w:val="21"/>
          <w:szCs w:val="21"/>
        </w:rPr>
      </w:pPr>
    </w:p>
    <w:p w14:paraId="31DA14CE" w14:textId="670E21B0" w:rsidR="00C30A76" w:rsidRDefault="00C30A76" w:rsidP="00C30A76">
      <w:pPr>
        <w:jc w:val="both"/>
        <w:rPr>
          <w:rFonts w:ascii="Abadi" w:hAnsi="Abadi"/>
          <w:sz w:val="21"/>
          <w:szCs w:val="21"/>
        </w:rPr>
      </w:pPr>
      <w:r>
        <w:rPr>
          <w:rFonts w:ascii="Abadi" w:hAnsi="Abadi"/>
          <w:sz w:val="21"/>
          <w:szCs w:val="21"/>
        </w:rPr>
        <w:t>- S</w:t>
      </w:r>
      <w:r w:rsidRPr="006813AA">
        <w:rPr>
          <w:rFonts w:ascii="Abadi" w:hAnsi="Abadi"/>
          <w:sz w:val="21"/>
          <w:szCs w:val="21"/>
        </w:rPr>
        <w:t>in embargo su sueldo se está validando para que se incremente en más de 30</w:t>
      </w:r>
      <w:r>
        <w:rPr>
          <w:rFonts w:ascii="Abadi" w:hAnsi="Abadi"/>
          <w:sz w:val="21"/>
          <w:szCs w:val="21"/>
        </w:rPr>
        <w:t xml:space="preserve"> mil pesos, con lo cual llegaría a ganar</w:t>
      </w:r>
      <w:r w:rsidRPr="006813AA">
        <w:rPr>
          <w:rFonts w:ascii="Abadi" w:hAnsi="Abadi"/>
          <w:sz w:val="21"/>
          <w:szCs w:val="21"/>
        </w:rPr>
        <w:t xml:space="preserve"> 169</w:t>
      </w:r>
      <w:r>
        <w:rPr>
          <w:rFonts w:ascii="Abadi" w:hAnsi="Abadi"/>
          <w:sz w:val="21"/>
          <w:szCs w:val="21"/>
        </w:rPr>
        <w:t xml:space="preserve"> mil </w:t>
      </w:r>
      <w:r w:rsidRPr="006813AA">
        <w:rPr>
          <w:rFonts w:ascii="Abadi" w:hAnsi="Abadi"/>
          <w:sz w:val="21"/>
          <w:szCs w:val="21"/>
        </w:rPr>
        <w:t xml:space="preserve">615 </w:t>
      </w:r>
      <w:r>
        <w:rPr>
          <w:rFonts w:ascii="Abadi" w:hAnsi="Abadi"/>
          <w:sz w:val="21"/>
          <w:szCs w:val="21"/>
        </w:rPr>
        <w:t xml:space="preserve">pesos </w:t>
      </w:r>
      <w:r w:rsidRPr="006813AA">
        <w:rPr>
          <w:rFonts w:ascii="Abadi" w:hAnsi="Abadi"/>
          <w:sz w:val="21"/>
          <w:szCs w:val="21"/>
        </w:rPr>
        <w:t>mensuales es</w:t>
      </w:r>
      <w:r>
        <w:rPr>
          <w:rFonts w:ascii="Abadi" w:hAnsi="Abadi"/>
          <w:sz w:val="21"/>
          <w:szCs w:val="21"/>
        </w:rPr>
        <w:t>t</w:t>
      </w:r>
      <w:r w:rsidRPr="006813AA">
        <w:rPr>
          <w:rFonts w:ascii="Abadi" w:hAnsi="Abadi"/>
          <w:sz w:val="21"/>
          <w:szCs w:val="21"/>
        </w:rPr>
        <w:t xml:space="preserve">o apenas 5000 </w:t>
      </w:r>
      <w:r>
        <w:rPr>
          <w:rFonts w:ascii="Abadi" w:hAnsi="Abadi"/>
          <w:sz w:val="21"/>
          <w:szCs w:val="21"/>
        </w:rPr>
        <w:t xml:space="preserve">pesos debajo del </w:t>
      </w:r>
      <w:r w:rsidRPr="006813AA">
        <w:rPr>
          <w:rFonts w:ascii="Abadi" w:hAnsi="Abadi"/>
          <w:sz w:val="21"/>
          <w:szCs w:val="21"/>
        </w:rPr>
        <w:t xml:space="preserve">Presidente Andrés Manuel López </w:t>
      </w:r>
      <w:r>
        <w:rPr>
          <w:rFonts w:ascii="Abadi" w:hAnsi="Abadi"/>
          <w:sz w:val="21"/>
          <w:szCs w:val="21"/>
        </w:rPr>
        <w:t>O</w:t>
      </w:r>
      <w:r w:rsidRPr="006813AA">
        <w:rPr>
          <w:rFonts w:ascii="Abadi" w:hAnsi="Abadi"/>
          <w:sz w:val="21"/>
          <w:szCs w:val="21"/>
        </w:rPr>
        <w:t>brador para el próximo 2023</w:t>
      </w:r>
      <w:r>
        <w:rPr>
          <w:rFonts w:ascii="Abadi" w:hAnsi="Abadi"/>
          <w:sz w:val="21"/>
          <w:szCs w:val="21"/>
        </w:rPr>
        <w:t xml:space="preserve">. </w:t>
      </w:r>
    </w:p>
    <w:p w14:paraId="242F5B45" w14:textId="77777777" w:rsidR="00477391" w:rsidRDefault="00477391" w:rsidP="00C30A76">
      <w:pPr>
        <w:jc w:val="both"/>
        <w:rPr>
          <w:rFonts w:ascii="Abadi" w:hAnsi="Abadi"/>
          <w:sz w:val="21"/>
          <w:szCs w:val="21"/>
        </w:rPr>
      </w:pPr>
    </w:p>
    <w:p w14:paraId="165CF7BC" w14:textId="47CD22FC" w:rsidR="00C30A76" w:rsidRDefault="00C30A76" w:rsidP="00C30A76">
      <w:pPr>
        <w:jc w:val="both"/>
        <w:rPr>
          <w:rFonts w:ascii="Abadi" w:hAnsi="Abadi"/>
          <w:sz w:val="21"/>
          <w:szCs w:val="21"/>
        </w:rPr>
      </w:pPr>
      <w:r>
        <w:rPr>
          <w:rFonts w:ascii="Abadi" w:hAnsi="Abadi"/>
          <w:sz w:val="21"/>
          <w:szCs w:val="21"/>
        </w:rPr>
        <w:t>- P</w:t>
      </w:r>
      <w:r w:rsidRPr="006813AA">
        <w:rPr>
          <w:rFonts w:ascii="Abadi" w:hAnsi="Abadi"/>
          <w:sz w:val="21"/>
          <w:szCs w:val="21"/>
        </w:rPr>
        <w:t xml:space="preserve">ara el </w:t>
      </w:r>
      <w:r>
        <w:rPr>
          <w:rFonts w:ascii="Abadi" w:hAnsi="Abadi"/>
          <w:sz w:val="21"/>
          <w:szCs w:val="21"/>
        </w:rPr>
        <w:t>G</w:t>
      </w:r>
      <w:r w:rsidRPr="006813AA">
        <w:rPr>
          <w:rFonts w:ascii="Abadi" w:hAnsi="Abadi"/>
          <w:sz w:val="21"/>
          <w:szCs w:val="21"/>
        </w:rPr>
        <w:t xml:space="preserve">rupo </w:t>
      </w:r>
      <w:r>
        <w:rPr>
          <w:rFonts w:ascii="Abadi" w:hAnsi="Abadi"/>
          <w:sz w:val="21"/>
          <w:szCs w:val="21"/>
        </w:rPr>
        <w:t>P</w:t>
      </w:r>
      <w:r w:rsidRPr="006813AA">
        <w:rPr>
          <w:rFonts w:ascii="Abadi" w:hAnsi="Abadi"/>
          <w:sz w:val="21"/>
          <w:szCs w:val="21"/>
        </w:rPr>
        <w:t xml:space="preserve">arlamentario de </w:t>
      </w:r>
      <w:r>
        <w:rPr>
          <w:rFonts w:ascii="Abadi" w:hAnsi="Abadi"/>
          <w:sz w:val="21"/>
          <w:szCs w:val="21"/>
        </w:rPr>
        <w:t>M</w:t>
      </w:r>
      <w:r w:rsidRPr="006813AA">
        <w:rPr>
          <w:rFonts w:ascii="Abadi" w:hAnsi="Abadi"/>
          <w:sz w:val="21"/>
          <w:szCs w:val="21"/>
        </w:rPr>
        <w:t>orena resulta irracional</w:t>
      </w:r>
      <w:r>
        <w:rPr>
          <w:rFonts w:ascii="Abadi" w:hAnsi="Abadi"/>
          <w:sz w:val="21"/>
          <w:szCs w:val="21"/>
        </w:rPr>
        <w:t>,</w:t>
      </w:r>
      <w:r w:rsidRPr="006813AA">
        <w:rPr>
          <w:rFonts w:ascii="Abadi" w:hAnsi="Abadi"/>
          <w:sz w:val="21"/>
          <w:szCs w:val="21"/>
        </w:rPr>
        <w:t xml:space="preserve"> compañeras y compañeros suponer que la responsabilidad de encabezar el municipio de León es equivalente a encabezar los esfuerzos de sacar adelante un país como el caso de la </w:t>
      </w:r>
      <w:r>
        <w:rPr>
          <w:rFonts w:ascii="Abadi" w:hAnsi="Abadi"/>
          <w:sz w:val="21"/>
          <w:szCs w:val="21"/>
        </w:rPr>
        <w:t>P</w:t>
      </w:r>
      <w:r w:rsidRPr="006813AA">
        <w:rPr>
          <w:rFonts w:ascii="Abadi" w:hAnsi="Abadi"/>
          <w:sz w:val="21"/>
          <w:szCs w:val="21"/>
        </w:rPr>
        <w:t xml:space="preserve">residencia de la </w:t>
      </w:r>
      <w:r>
        <w:rPr>
          <w:rFonts w:ascii="Abadi" w:hAnsi="Abadi"/>
          <w:sz w:val="21"/>
          <w:szCs w:val="21"/>
        </w:rPr>
        <w:t>R</w:t>
      </w:r>
      <w:r w:rsidRPr="006813AA">
        <w:rPr>
          <w:rFonts w:ascii="Abadi" w:hAnsi="Abadi"/>
          <w:sz w:val="21"/>
          <w:szCs w:val="21"/>
        </w:rPr>
        <w:t>epública</w:t>
      </w:r>
      <w:r>
        <w:rPr>
          <w:rFonts w:ascii="Abadi" w:hAnsi="Abadi"/>
          <w:sz w:val="21"/>
          <w:szCs w:val="21"/>
        </w:rPr>
        <w:t>,</w:t>
      </w:r>
      <w:r w:rsidRPr="006813AA">
        <w:rPr>
          <w:rFonts w:ascii="Abadi" w:hAnsi="Abadi"/>
          <w:sz w:val="21"/>
          <w:szCs w:val="21"/>
        </w:rPr>
        <w:t xml:space="preserve"> por lo tanto al regirnos bajo el principio de que</w:t>
      </w:r>
      <w:r>
        <w:rPr>
          <w:rFonts w:ascii="Abadi" w:hAnsi="Abadi"/>
          <w:sz w:val="21"/>
          <w:szCs w:val="21"/>
        </w:rPr>
        <w:t>,</w:t>
      </w:r>
      <w:r w:rsidRPr="006813AA">
        <w:rPr>
          <w:rFonts w:ascii="Abadi" w:hAnsi="Abadi"/>
          <w:sz w:val="21"/>
          <w:szCs w:val="21"/>
        </w:rPr>
        <w:t xml:space="preserve"> por el bien de todos primero los pobres desde nuestro </w:t>
      </w:r>
      <w:r>
        <w:rPr>
          <w:rFonts w:ascii="Abadi" w:hAnsi="Abadi"/>
          <w:sz w:val="21"/>
          <w:szCs w:val="21"/>
        </w:rPr>
        <w:t>G</w:t>
      </w:r>
      <w:r w:rsidRPr="006813AA">
        <w:rPr>
          <w:rFonts w:ascii="Abadi" w:hAnsi="Abadi"/>
          <w:sz w:val="21"/>
          <w:szCs w:val="21"/>
        </w:rPr>
        <w:t xml:space="preserve">rupo </w:t>
      </w:r>
      <w:r>
        <w:rPr>
          <w:rFonts w:ascii="Abadi" w:hAnsi="Abadi"/>
          <w:sz w:val="21"/>
          <w:szCs w:val="21"/>
        </w:rPr>
        <w:t>P</w:t>
      </w:r>
      <w:r w:rsidRPr="006813AA">
        <w:rPr>
          <w:rFonts w:ascii="Abadi" w:hAnsi="Abadi"/>
          <w:sz w:val="21"/>
          <w:szCs w:val="21"/>
        </w:rPr>
        <w:t>arlamentario</w:t>
      </w:r>
      <w:r>
        <w:rPr>
          <w:rFonts w:ascii="Abadi" w:hAnsi="Abadi"/>
          <w:sz w:val="21"/>
          <w:szCs w:val="21"/>
        </w:rPr>
        <w:t>,</w:t>
      </w:r>
      <w:r w:rsidRPr="006813AA">
        <w:rPr>
          <w:rFonts w:ascii="Abadi" w:hAnsi="Abadi"/>
          <w:sz w:val="21"/>
          <w:szCs w:val="21"/>
        </w:rPr>
        <w:t xml:space="preserve"> no consideramos adecua</w:t>
      </w:r>
      <w:r>
        <w:rPr>
          <w:rFonts w:ascii="Abadi" w:hAnsi="Abadi"/>
          <w:sz w:val="21"/>
          <w:szCs w:val="21"/>
        </w:rPr>
        <w:t>d</w:t>
      </w:r>
      <w:r w:rsidRPr="006813AA">
        <w:rPr>
          <w:rFonts w:ascii="Abadi" w:hAnsi="Abadi"/>
          <w:sz w:val="21"/>
          <w:szCs w:val="21"/>
        </w:rPr>
        <w:t>o</w:t>
      </w:r>
      <w:r>
        <w:rPr>
          <w:rFonts w:ascii="Abadi" w:hAnsi="Abadi"/>
          <w:sz w:val="21"/>
          <w:szCs w:val="21"/>
        </w:rPr>
        <w:t>,</w:t>
      </w:r>
      <w:r w:rsidRPr="006813AA">
        <w:rPr>
          <w:rFonts w:ascii="Abadi" w:hAnsi="Abadi"/>
          <w:sz w:val="21"/>
          <w:szCs w:val="21"/>
        </w:rPr>
        <w:t xml:space="preserve"> pertinente</w:t>
      </w:r>
      <w:r>
        <w:rPr>
          <w:rFonts w:ascii="Abadi" w:hAnsi="Abadi"/>
          <w:sz w:val="21"/>
          <w:szCs w:val="21"/>
        </w:rPr>
        <w:t>,</w:t>
      </w:r>
      <w:r w:rsidRPr="006813AA">
        <w:rPr>
          <w:rFonts w:ascii="Abadi" w:hAnsi="Abadi"/>
          <w:sz w:val="21"/>
          <w:szCs w:val="21"/>
        </w:rPr>
        <w:t xml:space="preserve"> ni propio</w:t>
      </w:r>
      <w:r>
        <w:rPr>
          <w:rFonts w:ascii="Abadi" w:hAnsi="Abadi"/>
          <w:sz w:val="21"/>
          <w:szCs w:val="21"/>
        </w:rPr>
        <w:t>,</w:t>
      </w:r>
      <w:r w:rsidRPr="006813AA">
        <w:rPr>
          <w:rFonts w:ascii="Abadi" w:hAnsi="Abadi"/>
          <w:sz w:val="21"/>
          <w:szCs w:val="21"/>
        </w:rPr>
        <w:t xml:space="preserve"> esta recomendación</w:t>
      </w:r>
      <w:r>
        <w:rPr>
          <w:rFonts w:ascii="Abadi" w:hAnsi="Abadi"/>
          <w:sz w:val="21"/>
          <w:szCs w:val="21"/>
        </w:rPr>
        <w:t>,</w:t>
      </w:r>
      <w:r w:rsidRPr="006813AA">
        <w:rPr>
          <w:rFonts w:ascii="Abadi" w:hAnsi="Abadi"/>
          <w:sz w:val="21"/>
          <w:szCs w:val="21"/>
        </w:rPr>
        <w:t xml:space="preserve"> a los ayuntamientos </w:t>
      </w:r>
      <w:r>
        <w:rPr>
          <w:rFonts w:ascii="Abadi" w:hAnsi="Abadi"/>
          <w:sz w:val="21"/>
          <w:szCs w:val="21"/>
        </w:rPr>
        <w:t>P</w:t>
      </w:r>
      <w:r w:rsidRPr="006813AA">
        <w:rPr>
          <w:rFonts w:ascii="Abadi" w:hAnsi="Abadi"/>
          <w:sz w:val="21"/>
          <w:szCs w:val="21"/>
        </w:rPr>
        <w:t xml:space="preserve">residentes </w:t>
      </w:r>
      <w:r>
        <w:rPr>
          <w:rFonts w:ascii="Abadi" w:hAnsi="Abadi"/>
          <w:sz w:val="21"/>
          <w:szCs w:val="21"/>
        </w:rPr>
        <w:t>M</w:t>
      </w:r>
      <w:r w:rsidRPr="006813AA">
        <w:rPr>
          <w:rFonts w:ascii="Abadi" w:hAnsi="Abadi"/>
          <w:sz w:val="21"/>
          <w:szCs w:val="21"/>
        </w:rPr>
        <w:t>unicipales</w:t>
      </w:r>
      <w:r>
        <w:rPr>
          <w:rFonts w:ascii="Abadi" w:hAnsi="Abadi"/>
          <w:sz w:val="21"/>
          <w:szCs w:val="21"/>
        </w:rPr>
        <w:t>,</w:t>
      </w:r>
      <w:r w:rsidRPr="006813AA">
        <w:rPr>
          <w:rFonts w:ascii="Abadi" w:hAnsi="Abadi"/>
          <w:sz w:val="21"/>
          <w:szCs w:val="21"/>
        </w:rPr>
        <w:t xml:space="preserve"> </w:t>
      </w:r>
      <w:r>
        <w:rPr>
          <w:rFonts w:ascii="Abadi" w:hAnsi="Abadi"/>
          <w:sz w:val="21"/>
          <w:szCs w:val="21"/>
        </w:rPr>
        <w:t>S</w:t>
      </w:r>
      <w:r w:rsidRPr="006813AA">
        <w:rPr>
          <w:rFonts w:ascii="Abadi" w:hAnsi="Abadi"/>
          <w:sz w:val="21"/>
          <w:szCs w:val="21"/>
        </w:rPr>
        <w:t xml:space="preserve">índicos y </w:t>
      </w:r>
      <w:r>
        <w:rPr>
          <w:rFonts w:ascii="Abadi" w:hAnsi="Abadi"/>
          <w:sz w:val="21"/>
          <w:szCs w:val="21"/>
        </w:rPr>
        <w:t>R</w:t>
      </w:r>
      <w:r w:rsidRPr="006813AA">
        <w:rPr>
          <w:rFonts w:ascii="Abadi" w:hAnsi="Abadi"/>
          <w:sz w:val="21"/>
          <w:szCs w:val="21"/>
        </w:rPr>
        <w:t>egidores</w:t>
      </w:r>
      <w:r>
        <w:rPr>
          <w:rFonts w:ascii="Abadi" w:hAnsi="Abadi"/>
          <w:sz w:val="21"/>
          <w:szCs w:val="21"/>
        </w:rPr>
        <w:t>,</w:t>
      </w:r>
      <w:r w:rsidRPr="006813AA">
        <w:rPr>
          <w:rFonts w:ascii="Abadi" w:hAnsi="Abadi"/>
          <w:sz w:val="21"/>
          <w:szCs w:val="21"/>
        </w:rPr>
        <w:t xml:space="preserve"> de aumentar en un 5% sus sueldos</w:t>
      </w:r>
      <w:r>
        <w:rPr>
          <w:rFonts w:ascii="Abadi" w:hAnsi="Abadi"/>
          <w:sz w:val="21"/>
          <w:szCs w:val="21"/>
        </w:rPr>
        <w:t>,</w:t>
      </w:r>
      <w:r w:rsidRPr="006813AA">
        <w:rPr>
          <w:rFonts w:ascii="Abadi" w:hAnsi="Abadi"/>
          <w:sz w:val="21"/>
          <w:szCs w:val="21"/>
        </w:rPr>
        <w:t xml:space="preserve"> de esa manera quisiéramos proponer a consideración de esta </w:t>
      </w:r>
      <w:r>
        <w:rPr>
          <w:rFonts w:ascii="Abadi" w:hAnsi="Abadi"/>
          <w:sz w:val="21"/>
          <w:szCs w:val="21"/>
        </w:rPr>
        <w:t>A</w:t>
      </w:r>
      <w:r w:rsidRPr="006813AA">
        <w:rPr>
          <w:rFonts w:ascii="Abadi" w:hAnsi="Abadi"/>
          <w:sz w:val="21"/>
          <w:szCs w:val="21"/>
        </w:rPr>
        <w:t>samblea reduci</w:t>
      </w:r>
      <w:r>
        <w:rPr>
          <w:rFonts w:ascii="Abadi" w:hAnsi="Abadi"/>
          <w:sz w:val="21"/>
          <w:szCs w:val="21"/>
        </w:rPr>
        <w:t xml:space="preserve">r </w:t>
      </w:r>
      <w:r w:rsidRPr="006813AA">
        <w:rPr>
          <w:rFonts w:ascii="Abadi" w:hAnsi="Abadi"/>
          <w:sz w:val="21"/>
          <w:szCs w:val="21"/>
        </w:rPr>
        <w:t xml:space="preserve">en 5% de la recomendación de montos máximos brutos de las remuneraciones de los integrantes de los ayuntamientos para el </w:t>
      </w:r>
      <w:r>
        <w:rPr>
          <w:rFonts w:ascii="Abadi" w:hAnsi="Abadi"/>
          <w:sz w:val="21"/>
          <w:szCs w:val="21"/>
        </w:rPr>
        <w:t>E</w:t>
      </w:r>
      <w:r w:rsidRPr="006813AA">
        <w:rPr>
          <w:rFonts w:ascii="Abadi" w:hAnsi="Abadi"/>
          <w:sz w:val="21"/>
          <w:szCs w:val="21"/>
        </w:rPr>
        <w:t xml:space="preserve">jercicio </w:t>
      </w:r>
      <w:r>
        <w:rPr>
          <w:rFonts w:ascii="Abadi" w:hAnsi="Abadi"/>
          <w:sz w:val="21"/>
          <w:szCs w:val="21"/>
        </w:rPr>
        <w:t>F</w:t>
      </w:r>
      <w:r w:rsidRPr="006813AA">
        <w:rPr>
          <w:rFonts w:ascii="Abadi" w:hAnsi="Abadi"/>
          <w:sz w:val="21"/>
          <w:szCs w:val="21"/>
        </w:rPr>
        <w:t>iscal 2023</w:t>
      </w:r>
      <w:r>
        <w:rPr>
          <w:rFonts w:ascii="Abadi" w:hAnsi="Abadi"/>
          <w:sz w:val="21"/>
          <w:szCs w:val="21"/>
        </w:rPr>
        <w:t xml:space="preserve">, </w:t>
      </w:r>
      <w:r w:rsidRPr="006813AA">
        <w:rPr>
          <w:rFonts w:ascii="Abadi" w:hAnsi="Abadi"/>
          <w:sz w:val="21"/>
          <w:szCs w:val="21"/>
        </w:rPr>
        <w:t xml:space="preserve">es cuanto diputado </w:t>
      </w:r>
      <w:r>
        <w:rPr>
          <w:rFonts w:ascii="Abadi" w:hAnsi="Abadi"/>
          <w:sz w:val="21"/>
          <w:szCs w:val="21"/>
        </w:rPr>
        <w:t>P</w:t>
      </w:r>
      <w:r w:rsidRPr="006813AA">
        <w:rPr>
          <w:rFonts w:ascii="Abadi" w:hAnsi="Abadi"/>
          <w:sz w:val="21"/>
          <w:szCs w:val="21"/>
        </w:rPr>
        <w:t>residente</w:t>
      </w:r>
      <w:r>
        <w:rPr>
          <w:rFonts w:ascii="Abadi" w:hAnsi="Abadi"/>
          <w:sz w:val="21"/>
          <w:szCs w:val="21"/>
        </w:rPr>
        <w:t>.</w:t>
      </w:r>
    </w:p>
    <w:p w14:paraId="23C3EAE0" w14:textId="77777777" w:rsidR="00477391" w:rsidRPr="006813AA" w:rsidRDefault="00477391" w:rsidP="00C30A76">
      <w:pPr>
        <w:jc w:val="both"/>
        <w:rPr>
          <w:rFonts w:ascii="Abadi" w:hAnsi="Abadi"/>
          <w:sz w:val="21"/>
          <w:szCs w:val="21"/>
        </w:rPr>
      </w:pPr>
    </w:p>
    <w:p w14:paraId="2A43CCDD" w14:textId="77777777" w:rsidR="00477391" w:rsidRDefault="00C30A76" w:rsidP="00C30A76">
      <w:pPr>
        <w:ind w:firstLine="708"/>
        <w:jc w:val="both"/>
        <w:rPr>
          <w:rFonts w:ascii="Abadi" w:hAnsi="Abadi"/>
          <w:sz w:val="21"/>
          <w:szCs w:val="21"/>
        </w:rPr>
      </w:pPr>
      <w:r w:rsidRPr="005B4DE5">
        <w:rPr>
          <w:rFonts w:ascii="Abadi" w:hAnsi="Abadi"/>
          <w:b/>
          <w:bCs/>
          <w:sz w:val="21"/>
          <w:szCs w:val="21"/>
        </w:rPr>
        <w:t>- El Presidente.-</w:t>
      </w:r>
      <w:r>
        <w:rPr>
          <w:rFonts w:ascii="Abadi" w:hAnsi="Abadi"/>
          <w:b/>
          <w:bCs/>
          <w:sz w:val="21"/>
          <w:szCs w:val="21"/>
        </w:rPr>
        <w:t xml:space="preserve"> </w:t>
      </w:r>
      <w:r>
        <w:rPr>
          <w:rFonts w:ascii="Abadi" w:hAnsi="Abadi"/>
          <w:sz w:val="21"/>
          <w:szCs w:val="21"/>
        </w:rPr>
        <w:t>¡G</w:t>
      </w:r>
      <w:r w:rsidRPr="006813AA">
        <w:rPr>
          <w:rFonts w:ascii="Abadi" w:hAnsi="Abadi"/>
          <w:sz w:val="21"/>
          <w:szCs w:val="21"/>
        </w:rPr>
        <w:t xml:space="preserve">racias diputada </w:t>
      </w:r>
      <w:r>
        <w:rPr>
          <w:rFonts w:ascii="Abadi" w:hAnsi="Abadi"/>
          <w:sz w:val="21"/>
          <w:szCs w:val="21"/>
        </w:rPr>
        <w:t>A</w:t>
      </w:r>
      <w:r w:rsidRPr="006813AA">
        <w:rPr>
          <w:rFonts w:ascii="Abadi" w:hAnsi="Abadi"/>
          <w:sz w:val="21"/>
          <w:szCs w:val="21"/>
        </w:rPr>
        <w:t>lma</w:t>
      </w:r>
      <w:r>
        <w:rPr>
          <w:rFonts w:ascii="Abadi" w:hAnsi="Abadi"/>
          <w:sz w:val="21"/>
          <w:szCs w:val="21"/>
        </w:rPr>
        <w:t>!</w:t>
      </w:r>
      <w:r w:rsidRPr="006813AA">
        <w:rPr>
          <w:rFonts w:ascii="Abadi" w:hAnsi="Abadi"/>
          <w:sz w:val="21"/>
          <w:szCs w:val="21"/>
        </w:rPr>
        <w:t xml:space="preserve"> solamente una observación estamos en la discusión en lo general</w:t>
      </w:r>
      <w:r>
        <w:rPr>
          <w:rFonts w:ascii="Abadi" w:hAnsi="Abadi"/>
          <w:sz w:val="21"/>
          <w:szCs w:val="21"/>
        </w:rPr>
        <w:t xml:space="preserve">, </w:t>
      </w:r>
      <w:r w:rsidRPr="006813AA">
        <w:rPr>
          <w:rFonts w:ascii="Abadi" w:hAnsi="Abadi"/>
          <w:sz w:val="21"/>
          <w:szCs w:val="21"/>
        </w:rPr>
        <w:t xml:space="preserve">no en lo particular por lo tanto tendría ahorita de nueva cuenta que </w:t>
      </w:r>
      <w:r>
        <w:rPr>
          <w:rFonts w:ascii="Abadi" w:hAnsi="Abadi"/>
          <w:sz w:val="21"/>
          <w:szCs w:val="21"/>
        </w:rPr>
        <w:t xml:space="preserve"> hacer alusión a esto, en lo particular, ahorita estamos en la discusión en lo general, ¿sí? para dar el debido trámite parlamentario.</w:t>
      </w:r>
    </w:p>
    <w:p w14:paraId="0798930F" w14:textId="2E16583C" w:rsidR="00C30A76" w:rsidRDefault="00C30A76" w:rsidP="00C30A76">
      <w:pPr>
        <w:ind w:firstLine="708"/>
        <w:jc w:val="both"/>
        <w:rPr>
          <w:rFonts w:ascii="Abadi" w:hAnsi="Abadi"/>
          <w:sz w:val="21"/>
          <w:szCs w:val="21"/>
        </w:rPr>
      </w:pPr>
      <w:r>
        <w:rPr>
          <w:rFonts w:ascii="Abadi" w:hAnsi="Abadi"/>
          <w:sz w:val="21"/>
          <w:szCs w:val="21"/>
        </w:rPr>
        <w:t xml:space="preserve"> </w:t>
      </w:r>
    </w:p>
    <w:p w14:paraId="034E5CED" w14:textId="77777777" w:rsidR="00C30A76" w:rsidRDefault="00C30A76" w:rsidP="00C30A76">
      <w:pPr>
        <w:ind w:firstLine="708"/>
        <w:jc w:val="both"/>
        <w:rPr>
          <w:rFonts w:ascii="Abadi" w:hAnsi="Abadi"/>
          <w:sz w:val="21"/>
          <w:szCs w:val="21"/>
        </w:rPr>
      </w:pPr>
      <w:r>
        <w:rPr>
          <w:rFonts w:ascii="Abadi" w:hAnsi="Abadi"/>
          <w:sz w:val="21"/>
          <w:szCs w:val="21"/>
        </w:rPr>
        <w:t>- T</w:t>
      </w:r>
      <w:r w:rsidRPr="006813AA">
        <w:rPr>
          <w:rFonts w:ascii="Abadi" w:hAnsi="Abadi"/>
          <w:sz w:val="21"/>
          <w:szCs w:val="21"/>
        </w:rPr>
        <w:t xml:space="preserve">iene el </w:t>
      </w:r>
      <w:r>
        <w:rPr>
          <w:rFonts w:ascii="Abadi" w:hAnsi="Abadi"/>
          <w:sz w:val="21"/>
          <w:szCs w:val="21"/>
        </w:rPr>
        <w:t>u</w:t>
      </w:r>
      <w:r w:rsidRPr="006813AA">
        <w:rPr>
          <w:rFonts w:ascii="Abadi" w:hAnsi="Abadi"/>
          <w:sz w:val="21"/>
          <w:szCs w:val="21"/>
        </w:rPr>
        <w:t xml:space="preserve">so de la voz el diputado </w:t>
      </w:r>
      <w:r>
        <w:rPr>
          <w:rFonts w:ascii="Abadi" w:hAnsi="Abadi"/>
          <w:sz w:val="21"/>
          <w:szCs w:val="21"/>
        </w:rPr>
        <w:t>V</w:t>
      </w:r>
      <w:r w:rsidRPr="006813AA">
        <w:rPr>
          <w:rFonts w:ascii="Abadi" w:hAnsi="Abadi"/>
          <w:sz w:val="21"/>
          <w:szCs w:val="21"/>
        </w:rPr>
        <w:t xml:space="preserve">íctor Manuel </w:t>
      </w:r>
      <w:r>
        <w:rPr>
          <w:rFonts w:ascii="Abadi" w:hAnsi="Abadi"/>
          <w:sz w:val="21"/>
          <w:szCs w:val="21"/>
        </w:rPr>
        <w:t xml:space="preserve">Zanella Huerta, hasta por 10 minutos, </w:t>
      </w:r>
      <w:r w:rsidRPr="006813AA">
        <w:rPr>
          <w:rFonts w:ascii="Abadi" w:hAnsi="Abadi"/>
          <w:sz w:val="21"/>
          <w:szCs w:val="21"/>
        </w:rPr>
        <w:t>para hablar a favor</w:t>
      </w:r>
      <w:r>
        <w:rPr>
          <w:rFonts w:ascii="Abadi" w:hAnsi="Abadi"/>
          <w:sz w:val="21"/>
          <w:szCs w:val="21"/>
        </w:rPr>
        <w:t>, a</w:t>
      </w:r>
      <w:r w:rsidRPr="006813AA">
        <w:rPr>
          <w:rFonts w:ascii="Abadi" w:hAnsi="Abadi"/>
          <w:sz w:val="21"/>
          <w:szCs w:val="21"/>
        </w:rPr>
        <w:t>delante diputado</w:t>
      </w:r>
      <w:r>
        <w:rPr>
          <w:rFonts w:ascii="Abadi" w:hAnsi="Abadi"/>
          <w:sz w:val="21"/>
          <w:szCs w:val="21"/>
        </w:rPr>
        <w:t xml:space="preserve">. </w:t>
      </w:r>
    </w:p>
    <w:p w14:paraId="704FA598" w14:textId="77777777" w:rsidR="00C30A76" w:rsidRDefault="00C30A76" w:rsidP="00C30A76">
      <w:pPr>
        <w:ind w:firstLine="708"/>
        <w:jc w:val="both"/>
        <w:rPr>
          <w:rFonts w:ascii="Abadi" w:hAnsi="Abadi"/>
          <w:sz w:val="21"/>
          <w:szCs w:val="21"/>
        </w:rPr>
      </w:pPr>
    </w:p>
    <w:p w14:paraId="3A90AC96" w14:textId="77777777" w:rsidR="00C30A76" w:rsidRDefault="00C30A76" w:rsidP="00C30A76">
      <w:pPr>
        <w:jc w:val="both"/>
        <w:rPr>
          <w:rFonts w:ascii="Abadi" w:hAnsi="Abadi"/>
          <w:b/>
          <w:bCs/>
          <w:sz w:val="21"/>
          <w:szCs w:val="21"/>
        </w:rPr>
      </w:pPr>
      <w:r w:rsidRPr="00604DA5">
        <w:rPr>
          <w:rFonts w:ascii="Abadi" w:hAnsi="Abadi"/>
          <w:b/>
          <w:bCs/>
          <w:sz w:val="21"/>
          <w:szCs w:val="21"/>
        </w:rPr>
        <w:t>(Sube a tribuna el diputado Víctor Manuel Zanella Huerta, para hablar a favor, de la propuesta del punto de acuerdo)</w:t>
      </w:r>
    </w:p>
    <w:p w14:paraId="5B39C457" w14:textId="77777777" w:rsidR="00C30A76" w:rsidRDefault="00C30A76" w:rsidP="00C30A76">
      <w:pPr>
        <w:jc w:val="both"/>
        <w:rPr>
          <w:rFonts w:ascii="Abadi" w:hAnsi="Abadi"/>
          <w:b/>
          <w:bCs/>
          <w:sz w:val="21"/>
          <w:szCs w:val="21"/>
        </w:rPr>
      </w:pPr>
    </w:p>
    <w:p w14:paraId="522E333E" w14:textId="1B85BD0C" w:rsidR="00C30A76" w:rsidRDefault="00477391" w:rsidP="00C30A76">
      <w:pPr>
        <w:jc w:val="both"/>
        <w:rPr>
          <w:rFonts w:ascii="Abadi" w:hAnsi="Abadi"/>
          <w:b/>
          <w:bCs/>
          <w:sz w:val="21"/>
          <w:szCs w:val="21"/>
        </w:rPr>
      </w:pPr>
      <w:r>
        <w:rPr>
          <w:noProof/>
        </w:rPr>
        <w:drawing>
          <wp:anchor distT="0" distB="0" distL="114300" distR="114300" simplePos="0" relativeHeight="251694080" behindDoc="1" locked="0" layoutInCell="1" allowOverlap="1" wp14:anchorId="43C93195" wp14:editId="7128F32C">
            <wp:simplePos x="0" y="0"/>
            <wp:positionH relativeFrom="column">
              <wp:posOffset>440055</wp:posOffset>
            </wp:positionH>
            <wp:positionV relativeFrom="paragraph">
              <wp:posOffset>467995</wp:posOffset>
            </wp:positionV>
            <wp:extent cx="1628775" cy="859155"/>
            <wp:effectExtent l="247650" t="228600" r="238125" b="798195"/>
            <wp:wrapTight wrapText="bothSides">
              <wp:wrapPolygon edited="0">
                <wp:start x="-3284" y="-5747"/>
                <wp:lineTo x="-3284" y="41188"/>
                <wp:lineTo x="24505" y="41188"/>
                <wp:lineTo x="24505" y="-5747"/>
                <wp:lineTo x="-3284" y="-5747"/>
              </wp:wrapPolygon>
            </wp:wrapTight>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b="6118"/>
                    <a:stretch/>
                  </pic:blipFill>
                  <pic:spPr bwMode="auto">
                    <a:xfrm>
                      <a:off x="0" y="0"/>
                      <a:ext cx="1628775" cy="85915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5170B21B" w14:textId="17907283" w:rsidR="00C30A76" w:rsidRDefault="00C30A76" w:rsidP="00C30A76">
      <w:pPr>
        <w:jc w:val="both"/>
        <w:rPr>
          <w:rFonts w:ascii="Abadi" w:hAnsi="Abadi"/>
          <w:b/>
          <w:bCs/>
          <w:sz w:val="21"/>
          <w:szCs w:val="21"/>
        </w:rPr>
      </w:pPr>
    </w:p>
    <w:p w14:paraId="38142B6E" w14:textId="77777777" w:rsidR="00477391" w:rsidRDefault="00477391" w:rsidP="00477391">
      <w:pPr>
        <w:pStyle w:val="Prrafodelista"/>
        <w:spacing w:after="160" w:line="259" w:lineRule="auto"/>
        <w:ind w:left="1068"/>
        <w:contextualSpacing/>
        <w:jc w:val="both"/>
        <w:rPr>
          <w:rFonts w:ascii="Abadi" w:hAnsi="Abadi"/>
          <w:b/>
          <w:bCs/>
          <w:sz w:val="21"/>
          <w:szCs w:val="21"/>
        </w:rPr>
      </w:pPr>
    </w:p>
    <w:p w14:paraId="50A44708" w14:textId="77777777" w:rsidR="00477391" w:rsidRDefault="00477391" w:rsidP="00477391">
      <w:pPr>
        <w:pStyle w:val="Prrafodelista"/>
        <w:spacing w:after="160" w:line="259" w:lineRule="auto"/>
        <w:ind w:left="1068"/>
        <w:contextualSpacing/>
        <w:jc w:val="both"/>
        <w:rPr>
          <w:rFonts w:ascii="Abadi" w:hAnsi="Abadi"/>
          <w:b/>
          <w:bCs/>
          <w:sz w:val="21"/>
          <w:szCs w:val="21"/>
        </w:rPr>
      </w:pPr>
    </w:p>
    <w:p w14:paraId="6B6D94D1" w14:textId="0AD734FD" w:rsidR="00C30A76" w:rsidRPr="00DD4796" w:rsidRDefault="00C30A76" w:rsidP="00477391">
      <w:pPr>
        <w:pStyle w:val="Prrafodelista"/>
        <w:numPr>
          <w:ilvl w:val="0"/>
          <w:numId w:val="76"/>
        </w:numPr>
        <w:spacing w:after="160" w:line="259" w:lineRule="auto"/>
        <w:ind w:left="426"/>
        <w:contextualSpacing/>
        <w:jc w:val="both"/>
        <w:rPr>
          <w:rFonts w:ascii="Abadi" w:hAnsi="Abadi"/>
          <w:b/>
          <w:bCs/>
          <w:sz w:val="21"/>
          <w:szCs w:val="21"/>
        </w:rPr>
      </w:pPr>
      <w:r>
        <w:rPr>
          <w:rFonts w:ascii="Abadi" w:hAnsi="Abadi"/>
          <w:b/>
          <w:bCs/>
          <w:sz w:val="21"/>
          <w:szCs w:val="21"/>
        </w:rPr>
        <w:t xml:space="preserve">Diputado Víctor Manuel Zanella Huerta </w:t>
      </w:r>
      <w:r w:rsidR="00477391">
        <w:rPr>
          <w:rFonts w:ascii="Abadi" w:hAnsi="Abadi"/>
          <w:b/>
          <w:bCs/>
          <w:sz w:val="21"/>
          <w:szCs w:val="21"/>
        </w:rPr>
        <w:t>-</w:t>
      </w:r>
    </w:p>
    <w:p w14:paraId="65F2FC0D" w14:textId="77777777" w:rsidR="00C30A76" w:rsidRDefault="00C30A76" w:rsidP="00C30A76">
      <w:pPr>
        <w:jc w:val="both"/>
        <w:rPr>
          <w:rFonts w:ascii="Abadi" w:hAnsi="Abadi"/>
          <w:sz w:val="21"/>
          <w:szCs w:val="21"/>
        </w:rPr>
      </w:pPr>
    </w:p>
    <w:p w14:paraId="35BC6EBE" w14:textId="733E3107" w:rsidR="00C30A76" w:rsidRDefault="00C30A76" w:rsidP="00C30A76">
      <w:pPr>
        <w:jc w:val="both"/>
        <w:rPr>
          <w:rFonts w:ascii="Abadi" w:hAnsi="Abadi"/>
          <w:sz w:val="21"/>
          <w:szCs w:val="21"/>
        </w:rPr>
      </w:pPr>
      <w:r>
        <w:rPr>
          <w:rFonts w:ascii="Abadi" w:hAnsi="Abadi"/>
          <w:sz w:val="21"/>
          <w:szCs w:val="21"/>
        </w:rPr>
        <w:t>- C</w:t>
      </w:r>
      <w:r w:rsidRPr="006813AA">
        <w:rPr>
          <w:rFonts w:ascii="Abadi" w:hAnsi="Abadi"/>
          <w:sz w:val="21"/>
          <w:szCs w:val="21"/>
        </w:rPr>
        <w:t>on la ven</w:t>
      </w:r>
      <w:r>
        <w:rPr>
          <w:rFonts w:ascii="Abadi" w:hAnsi="Abadi"/>
          <w:sz w:val="21"/>
          <w:szCs w:val="21"/>
        </w:rPr>
        <w:t>í</w:t>
      </w:r>
      <w:r w:rsidRPr="006813AA">
        <w:rPr>
          <w:rFonts w:ascii="Abadi" w:hAnsi="Abadi"/>
          <w:sz w:val="21"/>
          <w:szCs w:val="21"/>
        </w:rPr>
        <w:t xml:space="preserve">a de la </w:t>
      </w:r>
      <w:r>
        <w:rPr>
          <w:rFonts w:ascii="Abadi" w:hAnsi="Abadi"/>
          <w:sz w:val="21"/>
          <w:szCs w:val="21"/>
        </w:rPr>
        <w:t>P</w:t>
      </w:r>
      <w:r w:rsidRPr="006813AA">
        <w:rPr>
          <w:rFonts w:ascii="Abadi" w:hAnsi="Abadi"/>
          <w:sz w:val="21"/>
          <w:szCs w:val="21"/>
        </w:rPr>
        <w:t xml:space="preserve">residencia muy buenas tardes compañeras y compañeros integrantes de este </w:t>
      </w:r>
      <w:r>
        <w:rPr>
          <w:rFonts w:ascii="Abadi" w:hAnsi="Abadi"/>
          <w:sz w:val="21"/>
          <w:szCs w:val="21"/>
        </w:rPr>
        <w:t>C</w:t>
      </w:r>
      <w:r w:rsidRPr="006813AA">
        <w:rPr>
          <w:rFonts w:ascii="Abadi" w:hAnsi="Abadi"/>
          <w:sz w:val="21"/>
          <w:szCs w:val="21"/>
        </w:rPr>
        <w:t xml:space="preserve">ongreso a los que siguen la transmisión a público presente </w:t>
      </w:r>
      <w:r>
        <w:rPr>
          <w:rFonts w:ascii="Abadi" w:hAnsi="Abadi"/>
          <w:sz w:val="21"/>
          <w:szCs w:val="21"/>
        </w:rPr>
        <w:t xml:space="preserve">a los </w:t>
      </w:r>
      <w:r w:rsidRPr="006813AA">
        <w:rPr>
          <w:rFonts w:ascii="Abadi" w:hAnsi="Abadi"/>
          <w:sz w:val="21"/>
          <w:szCs w:val="21"/>
        </w:rPr>
        <w:t xml:space="preserve">medios de comunicación a ver hay un punto fundamental en este asunto no es una graciosa concesión el acto que el día de hoy estamos haciendo </w:t>
      </w:r>
      <w:r>
        <w:rPr>
          <w:rFonts w:ascii="Abadi" w:hAnsi="Abadi"/>
          <w:sz w:val="21"/>
          <w:szCs w:val="21"/>
        </w:rPr>
        <w:t xml:space="preserve">es </w:t>
      </w:r>
      <w:r w:rsidRPr="006813AA">
        <w:rPr>
          <w:rFonts w:ascii="Abadi" w:hAnsi="Abadi"/>
          <w:sz w:val="21"/>
          <w:szCs w:val="21"/>
        </w:rPr>
        <w:t xml:space="preserve">simplemente cumplir la </w:t>
      </w:r>
      <w:r>
        <w:rPr>
          <w:rFonts w:ascii="Abadi" w:hAnsi="Abadi"/>
          <w:sz w:val="21"/>
          <w:szCs w:val="21"/>
        </w:rPr>
        <w:t>L</w:t>
      </w:r>
      <w:r w:rsidRPr="006813AA">
        <w:rPr>
          <w:rFonts w:ascii="Abadi" w:hAnsi="Abadi"/>
          <w:sz w:val="21"/>
          <w:szCs w:val="21"/>
        </w:rPr>
        <w:t xml:space="preserve">ey </w:t>
      </w:r>
      <w:r>
        <w:rPr>
          <w:rFonts w:ascii="Abadi" w:hAnsi="Abadi"/>
          <w:sz w:val="21"/>
          <w:szCs w:val="21"/>
        </w:rPr>
        <w:t xml:space="preserve">es la Ley, </w:t>
      </w:r>
      <w:r w:rsidRPr="006813AA">
        <w:rPr>
          <w:rFonts w:ascii="Abadi" w:hAnsi="Abadi"/>
          <w:sz w:val="21"/>
          <w:szCs w:val="21"/>
        </w:rPr>
        <w:t xml:space="preserve">el artículo 81 de la </w:t>
      </w:r>
      <w:r>
        <w:rPr>
          <w:rFonts w:ascii="Abadi" w:hAnsi="Abadi"/>
          <w:sz w:val="21"/>
          <w:szCs w:val="21"/>
        </w:rPr>
        <w:t>L</w:t>
      </w:r>
      <w:r w:rsidRPr="006813AA">
        <w:rPr>
          <w:rFonts w:ascii="Abadi" w:hAnsi="Abadi"/>
          <w:sz w:val="21"/>
          <w:szCs w:val="21"/>
        </w:rPr>
        <w:t xml:space="preserve">ey del </w:t>
      </w:r>
      <w:r>
        <w:rPr>
          <w:rFonts w:ascii="Abadi" w:hAnsi="Abadi"/>
          <w:sz w:val="21"/>
          <w:szCs w:val="21"/>
        </w:rPr>
        <w:t>E</w:t>
      </w:r>
      <w:r w:rsidRPr="006813AA">
        <w:rPr>
          <w:rFonts w:ascii="Abadi" w:hAnsi="Abadi"/>
          <w:sz w:val="21"/>
          <w:szCs w:val="21"/>
        </w:rPr>
        <w:t xml:space="preserve">jercicio y </w:t>
      </w:r>
      <w:r>
        <w:rPr>
          <w:rFonts w:ascii="Abadi" w:hAnsi="Abadi"/>
          <w:sz w:val="21"/>
          <w:szCs w:val="21"/>
        </w:rPr>
        <w:t>C</w:t>
      </w:r>
      <w:r w:rsidRPr="006813AA">
        <w:rPr>
          <w:rFonts w:ascii="Abadi" w:hAnsi="Abadi"/>
          <w:sz w:val="21"/>
          <w:szCs w:val="21"/>
        </w:rPr>
        <w:t xml:space="preserve">ontrol de los </w:t>
      </w:r>
      <w:r>
        <w:rPr>
          <w:rFonts w:ascii="Abadi" w:hAnsi="Abadi"/>
          <w:sz w:val="21"/>
          <w:szCs w:val="21"/>
        </w:rPr>
        <w:t>R</w:t>
      </w:r>
      <w:r w:rsidRPr="006813AA">
        <w:rPr>
          <w:rFonts w:ascii="Abadi" w:hAnsi="Abadi"/>
          <w:sz w:val="21"/>
          <w:szCs w:val="21"/>
        </w:rPr>
        <w:t xml:space="preserve">ecursos </w:t>
      </w:r>
      <w:r>
        <w:rPr>
          <w:rFonts w:ascii="Abadi" w:hAnsi="Abadi"/>
          <w:sz w:val="21"/>
          <w:szCs w:val="21"/>
        </w:rPr>
        <w:t>P</w:t>
      </w:r>
      <w:r w:rsidRPr="006813AA">
        <w:rPr>
          <w:rFonts w:ascii="Abadi" w:hAnsi="Abadi"/>
          <w:sz w:val="21"/>
          <w:szCs w:val="21"/>
        </w:rPr>
        <w:t xml:space="preserve">úblicos para el </w:t>
      </w:r>
      <w:r>
        <w:rPr>
          <w:rFonts w:ascii="Abadi" w:hAnsi="Abadi"/>
          <w:sz w:val="21"/>
          <w:szCs w:val="21"/>
        </w:rPr>
        <w:t>E</w:t>
      </w:r>
      <w:r w:rsidRPr="006813AA">
        <w:rPr>
          <w:rFonts w:ascii="Abadi" w:hAnsi="Abadi"/>
          <w:sz w:val="21"/>
          <w:szCs w:val="21"/>
        </w:rPr>
        <w:t xml:space="preserve">stado y los </w:t>
      </w:r>
      <w:r>
        <w:rPr>
          <w:rFonts w:ascii="Abadi" w:hAnsi="Abadi"/>
          <w:sz w:val="21"/>
          <w:szCs w:val="21"/>
        </w:rPr>
        <w:t>M</w:t>
      </w:r>
      <w:r w:rsidRPr="006813AA">
        <w:rPr>
          <w:rFonts w:ascii="Abadi" w:hAnsi="Abadi"/>
          <w:sz w:val="21"/>
          <w:szCs w:val="21"/>
        </w:rPr>
        <w:t xml:space="preserve">unicipios de </w:t>
      </w:r>
      <w:r>
        <w:rPr>
          <w:rFonts w:ascii="Abadi" w:hAnsi="Abadi"/>
          <w:sz w:val="21"/>
          <w:szCs w:val="21"/>
        </w:rPr>
        <w:t>G</w:t>
      </w:r>
      <w:r w:rsidRPr="006813AA">
        <w:rPr>
          <w:rFonts w:ascii="Abadi" w:hAnsi="Abadi"/>
          <w:sz w:val="21"/>
          <w:szCs w:val="21"/>
        </w:rPr>
        <w:t>uanajuato</w:t>
      </w:r>
      <w:r>
        <w:rPr>
          <w:rFonts w:ascii="Abadi" w:hAnsi="Abadi"/>
          <w:sz w:val="21"/>
          <w:szCs w:val="21"/>
        </w:rPr>
        <w:t>,</w:t>
      </w:r>
      <w:r w:rsidRPr="006813AA">
        <w:rPr>
          <w:rFonts w:ascii="Abadi" w:hAnsi="Abadi"/>
          <w:sz w:val="21"/>
          <w:szCs w:val="21"/>
        </w:rPr>
        <w:t xml:space="preserve"> </w:t>
      </w:r>
      <w:r>
        <w:rPr>
          <w:rFonts w:ascii="Abadi" w:hAnsi="Abadi"/>
          <w:sz w:val="21"/>
          <w:szCs w:val="21"/>
        </w:rPr>
        <w:t xml:space="preserve">¡pues ahí! Señala claramente, </w:t>
      </w:r>
      <w:r w:rsidRPr="006813AA">
        <w:rPr>
          <w:rFonts w:ascii="Abadi" w:hAnsi="Abadi"/>
          <w:sz w:val="21"/>
          <w:szCs w:val="21"/>
        </w:rPr>
        <w:t>que</w:t>
      </w:r>
      <w:r>
        <w:rPr>
          <w:rFonts w:ascii="Abadi" w:hAnsi="Abadi"/>
          <w:sz w:val="21"/>
          <w:szCs w:val="21"/>
        </w:rPr>
        <w:t xml:space="preserve">, </w:t>
      </w:r>
      <w:r w:rsidRPr="006813AA">
        <w:rPr>
          <w:rFonts w:ascii="Abadi" w:hAnsi="Abadi"/>
          <w:sz w:val="21"/>
          <w:szCs w:val="21"/>
        </w:rPr>
        <w:t xml:space="preserve">es una atribución de este </w:t>
      </w:r>
      <w:r>
        <w:rPr>
          <w:rFonts w:ascii="Abadi" w:hAnsi="Abadi"/>
          <w:sz w:val="21"/>
          <w:szCs w:val="21"/>
        </w:rPr>
        <w:t>C</w:t>
      </w:r>
      <w:r w:rsidRPr="006813AA">
        <w:rPr>
          <w:rFonts w:ascii="Abadi" w:hAnsi="Abadi"/>
          <w:sz w:val="21"/>
          <w:szCs w:val="21"/>
        </w:rPr>
        <w:t>ongreso hacer esta</w:t>
      </w:r>
      <w:r>
        <w:rPr>
          <w:rFonts w:ascii="Abadi" w:hAnsi="Abadi"/>
          <w:sz w:val="21"/>
          <w:szCs w:val="21"/>
        </w:rPr>
        <w:t xml:space="preserve"> </w:t>
      </w:r>
      <w:r w:rsidRPr="006813AA">
        <w:rPr>
          <w:rFonts w:ascii="Abadi" w:hAnsi="Abadi"/>
          <w:sz w:val="21"/>
          <w:szCs w:val="21"/>
        </w:rPr>
        <w:t>recomendación y esto no es nuevo tampoco</w:t>
      </w:r>
      <w:r>
        <w:rPr>
          <w:rFonts w:ascii="Abadi" w:hAnsi="Abadi"/>
          <w:sz w:val="21"/>
          <w:szCs w:val="21"/>
        </w:rPr>
        <w:t xml:space="preserve">. </w:t>
      </w:r>
    </w:p>
    <w:p w14:paraId="33EBD27A" w14:textId="77777777" w:rsidR="00E12A85" w:rsidRDefault="00E12A85" w:rsidP="00C30A76">
      <w:pPr>
        <w:jc w:val="both"/>
        <w:rPr>
          <w:rFonts w:ascii="Abadi" w:hAnsi="Abadi"/>
          <w:sz w:val="21"/>
          <w:szCs w:val="21"/>
        </w:rPr>
      </w:pPr>
    </w:p>
    <w:p w14:paraId="18F137B5" w14:textId="78F672C0" w:rsidR="00C30A76" w:rsidRDefault="00C30A76" w:rsidP="00C30A76">
      <w:pPr>
        <w:jc w:val="both"/>
        <w:rPr>
          <w:rFonts w:ascii="Abadi" w:hAnsi="Abadi"/>
          <w:sz w:val="21"/>
          <w:szCs w:val="21"/>
        </w:rPr>
      </w:pPr>
      <w:r>
        <w:rPr>
          <w:rFonts w:ascii="Abadi" w:hAnsi="Abadi"/>
          <w:sz w:val="21"/>
          <w:szCs w:val="21"/>
        </w:rPr>
        <w:t>- D</w:t>
      </w:r>
      <w:r w:rsidRPr="006813AA">
        <w:rPr>
          <w:rFonts w:ascii="Abadi" w:hAnsi="Abadi"/>
          <w:sz w:val="21"/>
          <w:szCs w:val="21"/>
        </w:rPr>
        <w:t xml:space="preserve">esde el año 2004 se emiten las recomendaciones de los montos máximos de las remuneraciones de los integrantes de los ayuntamientos en el </w:t>
      </w:r>
      <w:r>
        <w:rPr>
          <w:rFonts w:ascii="Abadi" w:hAnsi="Abadi"/>
          <w:sz w:val="21"/>
          <w:szCs w:val="21"/>
        </w:rPr>
        <w:t>E</w:t>
      </w:r>
      <w:r w:rsidRPr="006813AA">
        <w:rPr>
          <w:rFonts w:ascii="Abadi" w:hAnsi="Abadi"/>
          <w:sz w:val="21"/>
          <w:szCs w:val="21"/>
        </w:rPr>
        <w:t xml:space="preserve">stado de </w:t>
      </w:r>
      <w:r>
        <w:rPr>
          <w:rFonts w:ascii="Abadi" w:hAnsi="Abadi"/>
          <w:sz w:val="21"/>
          <w:szCs w:val="21"/>
        </w:rPr>
        <w:t>G</w:t>
      </w:r>
      <w:r w:rsidRPr="006813AA">
        <w:rPr>
          <w:rFonts w:ascii="Abadi" w:hAnsi="Abadi"/>
          <w:sz w:val="21"/>
          <w:szCs w:val="21"/>
        </w:rPr>
        <w:t xml:space="preserve">uanajuato prácticamente tiene 18 años la emisión de estas precisiones estas recomendaciones qué hace el </w:t>
      </w:r>
      <w:r>
        <w:rPr>
          <w:rFonts w:ascii="Abadi" w:hAnsi="Abadi"/>
          <w:sz w:val="21"/>
          <w:szCs w:val="21"/>
        </w:rPr>
        <w:t>P</w:t>
      </w:r>
      <w:r w:rsidRPr="006813AA">
        <w:rPr>
          <w:rFonts w:ascii="Abadi" w:hAnsi="Abadi"/>
          <w:sz w:val="21"/>
          <w:szCs w:val="21"/>
        </w:rPr>
        <w:t xml:space="preserve">oder </w:t>
      </w:r>
      <w:r>
        <w:rPr>
          <w:rFonts w:ascii="Abadi" w:hAnsi="Abadi"/>
          <w:sz w:val="21"/>
          <w:szCs w:val="21"/>
        </w:rPr>
        <w:t>L</w:t>
      </w:r>
      <w:r w:rsidRPr="006813AA">
        <w:rPr>
          <w:rFonts w:ascii="Abadi" w:hAnsi="Abadi"/>
          <w:sz w:val="21"/>
          <w:szCs w:val="21"/>
        </w:rPr>
        <w:t>egislativo</w:t>
      </w:r>
      <w:r>
        <w:rPr>
          <w:rFonts w:ascii="Abadi" w:hAnsi="Abadi"/>
          <w:sz w:val="21"/>
          <w:szCs w:val="21"/>
        </w:rPr>
        <w:t xml:space="preserve">, </w:t>
      </w:r>
      <w:r w:rsidRPr="006813AA">
        <w:rPr>
          <w:rFonts w:ascii="Abadi" w:hAnsi="Abadi"/>
          <w:sz w:val="21"/>
          <w:szCs w:val="21"/>
        </w:rPr>
        <w:t xml:space="preserve">el </w:t>
      </w:r>
      <w:r>
        <w:rPr>
          <w:rFonts w:ascii="Abadi" w:hAnsi="Abadi"/>
          <w:sz w:val="21"/>
          <w:szCs w:val="21"/>
        </w:rPr>
        <w:t>C</w:t>
      </w:r>
      <w:r w:rsidRPr="006813AA">
        <w:rPr>
          <w:rFonts w:ascii="Abadi" w:hAnsi="Abadi"/>
          <w:sz w:val="21"/>
          <w:szCs w:val="21"/>
        </w:rPr>
        <w:t>ongreso recomienda a los ayuntamientos en un respeto pleno a la autonomía municipal</w:t>
      </w:r>
      <w:r>
        <w:rPr>
          <w:rFonts w:ascii="Abadi" w:hAnsi="Abadi"/>
          <w:sz w:val="21"/>
          <w:szCs w:val="21"/>
        </w:rPr>
        <w:t xml:space="preserve">, </w:t>
      </w:r>
      <w:r w:rsidRPr="006813AA">
        <w:rPr>
          <w:rFonts w:ascii="Abadi" w:hAnsi="Abadi"/>
          <w:sz w:val="21"/>
          <w:szCs w:val="21"/>
        </w:rPr>
        <w:t>no es</w:t>
      </w:r>
      <w:r>
        <w:rPr>
          <w:rFonts w:ascii="Abadi" w:hAnsi="Abadi"/>
          <w:sz w:val="21"/>
          <w:szCs w:val="21"/>
        </w:rPr>
        <w:t>,</w:t>
      </w:r>
      <w:r w:rsidRPr="006813AA">
        <w:rPr>
          <w:rFonts w:ascii="Abadi" w:hAnsi="Abadi"/>
          <w:sz w:val="21"/>
          <w:szCs w:val="21"/>
        </w:rPr>
        <w:t xml:space="preserve"> así lo tenemos que decir</w:t>
      </w:r>
      <w:r>
        <w:rPr>
          <w:rFonts w:ascii="Abadi" w:hAnsi="Abadi"/>
          <w:sz w:val="21"/>
          <w:szCs w:val="21"/>
        </w:rPr>
        <w:t>,</w:t>
      </w:r>
      <w:r w:rsidRPr="006813AA">
        <w:rPr>
          <w:rFonts w:ascii="Abadi" w:hAnsi="Abadi"/>
          <w:sz w:val="21"/>
          <w:szCs w:val="21"/>
        </w:rPr>
        <w:t xml:space="preserve"> una autorización para tener un aumento en el sueldo y aquí pues varios compañeros han sido </w:t>
      </w:r>
      <w:r>
        <w:rPr>
          <w:rFonts w:ascii="Abadi" w:hAnsi="Abadi"/>
          <w:sz w:val="21"/>
          <w:szCs w:val="21"/>
        </w:rPr>
        <w:t>P</w:t>
      </w:r>
      <w:r w:rsidRPr="006813AA">
        <w:rPr>
          <w:rFonts w:ascii="Abadi" w:hAnsi="Abadi"/>
          <w:sz w:val="21"/>
          <w:szCs w:val="21"/>
        </w:rPr>
        <w:t xml:space="preserve">residentes </w:t>
      </w:r>
      <w:r>
        <w:rPr>
          <w:rFonts w:ascii="Abadi" w:hAnsi="Abadi"/>
          <w:sz w:val="21"/>
          <w:szCs w:val="21"/>
        </w:rPr>
        <w:t>M</w:t>
      </w:r>
      <w:r w:rsidRPr="006813AA">
        <w:rPr>
          <w:rFonts w:ascii="Abadi" w:hAnsi="Abadi"/>
          <w:sz w:val="21"/>
          <w:szCs w:val="21"/>
        </w:rPr>
        <w:t xml:space="preserve">unicipales en distintos periodos y que seguramente pues cada quien en su libre el artículo 115 de la </w:t>
      </w:r>
      <w:r>
        <w:rPr>
          <w:rFonts w:ascii="Abadi" w:hAnsi="Abadi"/>
          <w:sz w:val="21"/>
          <w:szCs w:val="21"/>
        </w:rPr>
        <w:t>C</w:t>
      </w:r>
      <w:r w:rsidRPr="006813AA">
        <w:rPr>
          <w:rFonts w:ascii="Abadi" w:hAnsi="Abadi"/>
          <w:sz w:val="21"/>
          <w:szCs w:val="21"/>
        </w:rPr>
        <w:t>onstitución da la facultad de la libre administración de los recursos públicos</w:t>
      </w:r>
      <w:r>
        <w:rPr>
          <w:rFonts w:ascii="Abadi" w:hAnsi="Abadi"/>
          <w:sz w:val="21"/>
          <w:szCs w:val="21"/>
        </w:rPr>
        <w:t>.</w:t>
      </w:r>
    </w:p>
    <w:p w14:paraId="219D2730" w14:textId="77777777" w:rsidR="00E12A85" w:rsidRDefault="00E12A85" w:rsidP="00C30A76">
      <w:pPr>
        <w:jc w:val="both"/>
        <w:rPr>
          <w:rFonts w:ascii="Abadi" w:hAnsi="Abadi"/>
          <w:sz w:val="21"/>
          <w:szCs w:val="21"/>
        </w:rPr>
      </w:pPr>
    </w:p>
    <w:p w14:paraId="78F2D592" w14:textId="24F52498" w:rsidR="00C30A76" w:rsidRDefault="00C30A76" w:rsidP="00C30A76">
      <w:pPr>
        <w:jc w:val="both"/>
        <w:rPr>
          <w:rFonts w:ascii="Abadi" w:hAnsi="Abadi"/>
          <w:sz w:val="21"/>
          <w:szCs w:val="21"/>
        </w:rPr>
      </w:pPr>
      <w:r>
        <w:rPr>
          <w:rFonts w:ascii="Abadi" w:hAnsi="Abadi"/>
          <w:sz w:val="21"/>
          <w:szCs w:val="21"/>
        </w:rPr>
        <w:t>- A</w:t>
      </w:r>
      <w:r w:rsidRPr="006813AA">
        <w:rPr>
          <w:rFonts w:ascii="Abadi" w:hAnsi="Abadi"/>
          <w:sz w:val="21"/>
          <w:szCs w:val="21"/>
        </w:rPr>
        <w:t>quí simplemente no les autorizamos nada eso lo hacen en el cabildo no es para dar una patente de corso para que se aumenten el sueldo como se dice</w:t>
      </w:r>
      <w:r>
        <w:rPr>
          <w:rFonts w:ascii="Abadi" w:hAnsi="Abadi"/>
          <w:sz w:val="21"/>
          <w:szCs w:val="21"/>
        </w:rPr>
        <w:t>,</w:t>
      </w:r>
      <w:r w:rsidRPr="006813AA">
        <w:rPr>
          <w:rFonts w:ascii="Abadi" w:hAnsi="Abadi"/>
          <w:sz w:val="21"/>
          <w:szCs w:val="21"/>
        </w:rPr>
        <w:t xml:space="preserve"> no es </w:t>
      </w:r>
      <w:r>
        <w:rPr>
          <w:rFonts w:ascii="Abadi" w:hAnsi="Abadi"/>
          <w:sz w:val="21"/>
          <w:szCs w:val="21"/>
        </w:rPr>
        <w:t>c</w:t>
      </w:r>
      <w:r w:rsidRPr="006813AA">
        <w:rPr>
          <w:rFonts w:ascii="Abadi" w:hAnsi="Abadi"/>
          <w:sz w:val="21"/>
          <w:szCs w:val="21"/>
        </w:rPr>
        <w:t>hina libre</w:t>
      </w:r>
      <w:r>
        <w:rPr>
          <w:rFonts w:ascii="Abadi" w:hAnsi="Abadi"/>
          <w:sz w:val="21"/>
          <w:szCs w:val="21"/>
        </w:rPr>
        <w:t>,</w:t>
      </w:r>
      <w:r w:rsidRPr="006813AA">
        <w:rPr>
          <w:rFonts w:ascii="Abadi" w:hAnsi="Abadi"/>
          <w:sz w:val="21"/>
          <w:szCs w:val="21"/>
        </w:rPr>
        <w:t xml:space="preserve"> no es </w:t>
      </w:r>
      <w:r>
        <w:rPr>
          <w:rFonts w:ascii="Abadi" w:hAnsi="Abadi"/>
          <w:sz w:val="21"/>
          <w:szCs w:val="21"/>
        </w:rPr>
        <w:t xml:space="preserve">y </w:t>
      </w:r>
      <w:r w:rsidRPr="006813AA">
        <w:rPr>
          <w:rFonts w:ascii="Abadi" w:hAnsi="Abadi"/>
          <w:sz w:val="21"/>
          <w:szCs w:val="21"/>
        </w:rPr>
        <w:t xml:space="preserve">ahí quiero aclararlo porque a veces en los medios de comunicación en la opinión hay una duda </w:t>
      </w:r>
      <w:r>
        <w:rPr>
          <w:rFonts w:ascii="Abadi" w:hAnsi="Abadi"/>
          <w:sz w:val="21"/>
          <w:szCs w:val="21"/>
        </w:rPr>
        <w:t>¡</w:t>
      </w:r>
      <w:r w:rsidRPr="006813AA">
        <w:rPr>
          <w:rFonts w:ascii="Abadi" w:hAnsi="Abadi"/>
          <w:sz w:val="21"/>
          <w:szCs w:val="21"/>
        </w:rPr>
        <w:t>a ver</w:t>
      </w:r>
      <w:r>
        <w:rPr>
          <w:rFonts w:ascii="Abadi" w:hAnsi="Abadi"/>
          <w:sz w:val="21"/>
          <w:szCs w:val="21"/>
        </w:rPr>
        <w:t>!</w:t>
      </w:r>
      <w:r w:rsidRPr="006813AA">
        <w:rPr>
          <w:rFonts w:ascii="Abadi" w:hAnsi="Abadi"/>
          <w:sz w:val="21"/>
          <w:szCs w:val="21"/>
        </w:rPr>
        <w:t xml:space="preserve"> vamos a hablar que no son la</w:t>
      </w:r>
      <w:r>
        <w:rPr>
          <w:rFonts w:ascii="Abadi" w:hAnsi="Abadi"/>
          <w:sz w:val="21"/>
          <w:szCs w:val="21"/>
        </w:rPr>
        <w:t>s</w:t>
      </w:r>
      <w:r w:rsidRPr="006813AA">
        <w:rPr>
          <w:rFonts w:ascii="Abadi" w:hAnsi="Abadi"/>
          <w:sz w:val="21"/>
          <w:szCs w:val="21"/>
        </w:rPr>
        <w:t xml:space="preserve"> recomendacion</w:t>
      </w:r>
      <w:r>
        <w:rPr>
          <w:rFonts w:ascii="Abadi" w:hAnsi="Abadi"/>
          <w:sz w:val="21"/>
          <w:szCs w:val="21"/>
        </w:rPr>
        <w:t>es no</w:t>
      </w:r>
      <w:r w:rsidRPr="006813AA">
        <w:rPr>
          <w:rFonts w:ascii="Abadi" w:hAnsi="Abadi"/>
          <w:sz w:val="21"/>
          <w:szCs w:val="21"/>
        </w:rPr>
        <w:t xml:space="preserve"> un mecanismo que implique una subordinación</w:t>
      </w:r>
      <w:r>
        <w:rPr>
          <w:rFonts w:ascii="Abadi" w:hAnsi="Abadi"/>
          <w:sz w:val="21"/>
          <w:szCs w:val="21"/>
        </w:rPr>
        <w:t>.</w:t>
      </w:r>
      <w:r w:rsidRPr="006813AA">
        <w:rPr>
          <w:rFonts w:ascii="Abadi" w:hAnsi="Abadi"/>
          <w:sz w:val="21"/>
          <w:szCs w:val="21"/>
        </w:rPr>
        <w:t xml:space="preserve"> es un instrumento que busca una vigilancia sobre el manejo de los recursos </w:t>
      </w:r>
      <w:r>
        <w:rPr>
          <w:rFonts w:ascii="Abadi" w:hAnsi="Abadi"/>
          <w:sz w:val="21"/>
          <w:szCs w:val="21"/>
        </w:rPr>
        <w:t>públicos,</w:t>
      </w:r>
      <w:r w:rsidRPr="006813AA">
        <w:rPr>
          <w:rFonts w:ascii="Abadi" w:hAnsi="Abadi"/>
          <w:sz w:val="21"/>
          <w:szCs w:val="21"/>
        </w:rPr>
        <w:t xml:space="preserve"> sí es un proceso de transparencia proactiva</w:t>
      </w:r>
      <w:r>
        <w:rPr>
          <w:rFonts w:ascii="Abadi" w:hAnsi="Abadi"/>
          <w:sz w:val="21"/>
          <w:szCs w:val="21"/>
        </w:rPr>
        <w:t>,</w:t>
      </w:r>
      <w:r w:rsidRPr="006813AA">
        <w:rPr>
          <w:rFonts w:ascii="Abadi" w:hAnsi="Abadi"/>
          <w:sz w:val="21"/>
          <w:szCs w:val="21"/>
        </w:rPr>
        <w:t xml:space="preserve"> para que todos los ciudadanos puedan conocer cuánto es</w:t>
      </w:r>
      <w:r>
        <w:rPr>
          <w:rFonts w:ascii="Abadi" w:hAnsi="Abadi"/>
          <w:sz w:val="21"/>
          <w:szCs w:val="21"/>
        </w:rPr>
        <w:t>,</w:t>
      </w:r>
      <w:r w:rsidRPr="006813AA">
        <w:rPr>
          <w:rFonts w:ascii="Abadi" w:hAnsi="Abadi"/>
          <w:sz w:val="21"/>
          <w:szCs w:val="21"/>
        </w:rPr>
        <w:t xml:space="preserve"> lo que percibe las autoridades municipales</w:t>
      </w:r>
      <w:r>
        <w:rPr>
          <w:rFonts w:ascii="Abadi" w:hAnsi="Abadi"/>
          <w:sz w:val="21"/>
          <w:szCs w:val="21"/>
        </w:rPr>
        <w:t>;</w:t>
      </w:r>
      <w:r w:rsidRPr="006813AA">
        <w:rPr>
          <w:rFonts w:ascii="Abadi" w:hAnsi="Abadi"/>
          <w:sz w:val="21"/>
          <w:szCs w:val="21"/>
        </w:rPr>
        <w:t xml:space="preserve"> a tal punto que este mecanismo otro día platicaba con un medio de comunicación decía </w:t>
      </w:r>
      <w:r>
        <w:rPr>
          <w:rFonts w:ascii="Abadi" w:hAnsi="Abadi"/>
          <w:sz w:val="21"/>
          <w:szCs w:val="21"/>
        </w:rPr>
        <w:t>¡</w:t>
      </w:r>
      <w:r w:rsidRPr="006813AA">
        <w:rPr>
          <w:rFonts w:ascii="Abadi" w:hAnsi="Abadi"/>
          <w:sz w:val="21"/>
          <w:szCs w:val="21"/>
        </w:rPr>
        <w:t>oye</w:t>
      </w:r>
      <w:r>
        <w:rPr>
          <w:rFonts w:ascii="Abadi" w:hAnsi="Abadi"/>
          <w:sz w:val="21"/>
          <w:szCs w:val="21"/>
        </w:rPr>
        <w:t>!</w:t>
      </w:r>
      <w:r w:rsidRPr="006813AA">
        <w:rPr>
          <w:rFonts w:ascii="Abadi" w:hAnsi="Abadi"/>
          <w:sz w:val="21"/>
          <w:szCs w:val="21"/>
        </w:rPr>
        <w:t xml:space="preserve"> y para quien la recomendación le</w:t>
      </w:r>
      <w:r>
        <w:rPr>
          <w:rFonts w:ascii="Abadi" w:hAnsi="Abadi"/>
          <w:sz w:val="21"/>
          <w:szCs w:val="21"/>
        </w:rPr>
        <w:t xml:space="preserve"> digo,</w:t>
      </w:r>
      <w:r w:rsidRPr="006813AA">
        <w:rPr>
          <w:rFonts w:ascii="Abadi" w:hAnsi="Abadi"/>
          <w:sz w:val="21"/>
          <w:szCs w:val="21"/>
        </w:rPr>
        <w:t xml:space="preserve"> pues ustedes en sus notas periodísticas que cada año salen en esta temporada con estas recomendaciones</w:t>
      </w:r>
      <w:r>
        <w:rPr>
          <w:rFonts w:ascii="Abadi" w:hAnsi="Abadi"/>
          <w:sz w:val="21"/>
          <w:szCs w:val="21"/>
        </w:rPr>
        <w:t>,</w:t>
      </w:r>
      <w:r w:rsidRPr="006813AA">
        <w:rPr>
          <w:rFonts w:ascii="Abadi" w:hAnsi="Abadi"/>
          <w:sz w:val="21"/>
          <w:szCs w:val="21"/>
        </w:rPr>
        <w:t xml:space="preserve"> toman de punto de partida justamente las recomendaciones para saber </w:t>
      </w:r>
      <w:r>
        <w:rPr>
          <w:rFonts w:ascii="Abadi" w:hAnsi="Abadi"/>
          <w:sz w:val="21"/>
          <w:szCs w:val="21"/>
        </w:rPr>
        <w:t xml:space="preserve">un parámetro de quien está más alto o quien está más abajo, y eso sirve para que el ciudadano, juzgue, </w:t>
      </w:r>
      <w:r w:rsidRPr="006813AA">
        <w:rPr>
          <w:rFonts w:ascii="Abadi" w:hAnsi="Abadi"/>
          <w:sz w:val="21"/>
          <w:szCs w:val="21"/>
        </w:rPr>
        <w:t>critiquen</w:t>
      </w:r>
      <w:r>
        <w:rPr>
          <w:rFonts w:ascii="Abadi" w:hAnsi="Abadi"/>
          <w:sz w:val="21"/>
          <w:szCs w:val="21"/>
        </w:rPr>
        <w:t>,</w:t>
      </w:r>
      <w:r w:rsidRPr="006813AA">
        <w:rPr>
          <w:rFonts w:ascii="Abadi" w:hAnsi="Abadi"/>
          <w:sz w:val="21"/>
          <w:szCs w:val="21"/>
        </w:rPr>
        <w:t xml:space="preserve"> o acepte una decisión de su autoridad municipal</w:t>
      </w:r>
      <w:r>
        <w:rPr>
          <w:rFonts w:ascii="Abadi" w:hAnsi="Abadi"/>
          <w:sz w:val="21"/>
          <w:szCs w:val="21"/>
        </w:rPr>
        <w:t xml:space="preserve">. </w:t>
      </w:r>
    </w:p>
    <w:p w14:paraId="6B89B1FC" w14:textId="77777777" w:rsidR="00E12A85" w:rsidRDefault="00E12A85" w:rsidP="00C30A76">
      <w:pPr>
        <w:jc w:val="both"/>
        <w:rPr>
          <w:rFonts w:ascii="Abadi" w:hAnsi="Abadi"/>
          <w:sz w:val="21"/>
          <w:szCs w:val="21"/>
        </w:rPr>
      </w:pPr>
    </w:p>
    <w:p w14:paraId="16F8326F" w14:textId="1C7DF76D" w:rsidR="00C30A76" w:rsidRDefault="00C30A76" w:rsidP="00C30A76">
      <w:pPr>
        <w:jc w:val="both"/>
        <w:rPr>
          <w:rFonts w:ascii="Abadi" w:hAnsi="Abadi"/>
          <w:sz w:val="21"/>
          <w:szCs w:val="21"/>
        </w:rPr>
      </w:pPr>
      <w:r>
        <w:rPr>
          <w:rFonts w:ascii="Abadi" w:hAnsi="Abadi"/>
          <w:sz w:val="21"/>
          <w:szCs w:val="21"/>
        </w:rPr>
        <w:t>- E</w:t>
      </w:r>
      <w:r w:rsidRPr="006813AA">
        <w:rPr>
          <w:rFonts w:ascii="Abadi" w:hAnsi="Abadi"/>
          <w:sz w:val="21"/>
          <w:szCs w:val="21"/>
        </w:rPr>
        <w:t xml:space="preserve">s una revisión de los motivos de los que se tuvieron para la primera recomendación allá en 2004 y que tuvo el respaldo en su momento de todas las fuerzas </w:t>
      </w:r>
      <w:r>
        <w:rPr>
          <w:rFonts w:ascii="Abadi" w:hAnsi="Abadi"/>
          <w:sz w:val="21"/>
          <w:szCs w:val="21"/>
        </w:rPr>
        <w:t xml:space="preserve">políticas, </w:t>
      </w:r>
      <w:r w:rsidRPr="006813AA">
        <w:rPr>
          <w:rFonts w:ascii="Abadi" w:hAnsi="Abadi"/>
          <w:sz w:val="21"/>
          <w:szCs w:val="21"/>
        </w:rPr>
        <w:t xml:space="preserve"> el primero fue establecer precisamente como una herramienta en ese momento de transparencia con toda la extensión de la palabra</w:t>
      </w:r>
      <w:r>
        <w:rPr>
          <w:rFonts w:ascii="Abadi" w:hAnsi="Abadi"/>
          <w:sz w:val="21"/>
          <w:szCs w:val="21"/>
        </w:rPr>
        <w:t>,</w:t>
      </w:r>
      <w:r w:rsidRPr="006813AA">
        <w:rPr>
          <w:rFonts w:ascii="Abadi" w:hAnsi="Abadi"/>
          <w:sz w:val="21"/>
          <w:szCs w:val="21"/>
        </w:rPr>
        <w:t xml:space="preserve"> de los sueldos</w:t>
      </w:r>
      <w:r>
        <w:rPr>
          <w:rFonts w:ascii="Abadi" w:hAnsi="Abadi"/>
          <w:sz w:val="21"/>
          <w:szCs w:val="21"/>
        </w:rPr>
        <w:t>,</w:t>
      </w:r>
      <w:r w:rsidRPr="006813AA">
        <w:rPr>
          <w:rFonts w:ascii="Abadi" w:hAnsi="Abadi"/>
          <w:sz w:val="21"/>
          <w:szCs w:val="21"/>
        </w:rPr>
        <w:t xml:space="preserve"> de los ayuntamiento y surge un llamado ahora de esta soberanía a la responsabilidad del ejercicio del cargo público en el ámbito municipal</w:t>
      </w:r>
      <w:r>
        <w:rPr>
          <w:rFonts w:ascii="Abadi" w:hAnsi="Abadi"/>
          <w:sz w:val="21"/>
          <w:szCs w:val="21"/>
        </w:rPr>
        <w:t>,</w:t>
      </w:r>
      <w:r w:rsidRPr="006813AA">
        <w:rPr>
          <w:rFonts w:ascii="Abadi" w:hAnsi="Abadi"/>
          <w:sz w:val="21"/>
          <w:szCs w:val="21"/>
        </w:rPr>
        <w:t xml:space="preserve"> mejor dicho</w:t>
      </w:r>
      <w:r>
        <w:rPr>
          <w:rFonts w:ascii="Abadi" w:hAnsi="Abadi"/>
          <w:sz w:val="21"/>
          <w:szCs w:val="21"/>
        </w:rPr>
        <w:t>,</w:t>
      </w:r>
      <w:r w:rsidRPr="006813AA">
        <w:rPr>
          <w:rFonts w:ascii="Abadi" w:hAnsi="Abadi"/>
          <w:sz w:val="21"/>
          <w:szCs w:val="21"/>
        </w:rPr>
        <w:t xml:space="preserve"> es la fiscalización ciudadana de los recursos </w:t>
      </w:r>
      <w:r>
        <w:rPr>
          <w:rFonts w:ascii="Abadi" w:hAnsi="Abadi"/>
          <w:sz w:val="21"/>
          <w:szCs w:val="21"/>
        </w:rPr>
        <w:t>públicos,</w:t>
      </w:r>
      <w:r w:rsidRPr="006813AA">
        <w:rPr>
          <w:rFonts w:ascii="Abadi" w:hAnsi="Abadi"/>
          <w:sz w:val="21"/>
          <w:szCs w:val="21"/>
        </w:rPr>
        <w:t xml:space="preserve"> además la propuesta de este punto de acuerdo debe de contener y contiene elementos objetivos cómo es la técnica de la administración de sueldos y salarios</w:t>
      </w:r>
      <w:r>
        <w:rPr>
          <w:rFonts w:ascii="Abadi" w:hAnsi="Abadi"/>
          <w:sz w:val="21"/>
          <w:szCs w:val="21"/>
        </w:rPr>
        <w:t>,</w:t>
      </w:r>
      <w:r w:rsidRPr="006813AA">
        <w:rPr>
          <w:rFonts w:ascii="Abadi" w:hAnsi="Abadi"/>
          <w:sz w:val="21"/>
          <w:szCs w:val="21"/>
        </w:rPr>
        <w:t xml:space="preserve"> la responsabilidad de la función</w:t>
      </w:r>
      <w:r>
        <w:rPr>
          <w:rFonts w:ascii="Abadi" w:hAnsi="Abadi"/>
          <w:sz w:val="21"/>
          <w:szCs w:val="21"/>
        </w:rPr>
        <w:t>,</w:t>
      </w:r>
      <w:r w:rsidRPr="006813AA">
        <w:rPr>
          <w:rFonts w:ascii="Abadi" w:hAnsi="Abadi"/>
          <w:sz w:val="21"/>
          <w:szCs w:val="21"/>
        </w:rPr>
        <w:t xml:space="preserve"> indicadores socioeconómicos y de gestión</w:t>
      </w:r>
      <w:r>
        <w:rPr>
          <w:rFonts w:ascii="Abadi" w:hAnsi="Abadi"/>
          <w:sz w:val="21"/>
          <w:szCs w:val="21"/>
        </w:rPr>
        <w:t>,</w:t>
      </w:r>
      <w:r w:rsidRPr="006813AA">
        <w:rPr>
          <w:rFonts w:ascii="Abadi" w:hAnsi="Abadi"/>
          <w:sz w:val="21"/>
          <w:szCs w:val="21"/>
        </w:rPr>
        <w:t xml:space="preserve"> entre otros más</w:t>
      </w:r>
      <w:r>
        <w:rPr>
          <w:rFonts w:ascii="Abadi" w:hAnsi="Abadi"/>
          <w:sz w:val="21"/>
          <w:szCs w:val="21"/>
        </w:rPr>
        <w:t>,</w:t>
      </w:r>
      <w:r w:rsidRPr="006813AA">
        <w:rPr>
          <w:rFonts w:ascii="Abadi" w:hAnsi="Abadi"/>
          <w:sz w:val="21"/>
          <w:szCs w:val="21"/>
        </w:rPr>
        <w:t xml:space="preserve"> que el dictamen nos contiene</w:t>
      </w:r>
      <w:r>
        <w:rPr>
          <w:rFonts w:ascii="Abadi" w:hAnsi="Abadi"/>
          <w:sz w:val="21"/>
          <w:szCs w:val="21"/>
        </w:rPr>
        <w:t>;</w:t>
      </w:r>
      <w:r w:rsidRPr="006813AA">
        <w:rPr>
          <w:rFonts w:ascii="Abadi" w:hAnsi="Abadi"/>
          <w:sz w:val="21"/>
          <w:szCs w:val="21"/>
        </w:rPr>
        <w:t xml:space="preserve"> elementos que se van a aplicar a partir del año mencionado que se aplica a toda persona que integre el ayuntamiento regidor</w:t>
      </w:r>
      <w:r>
        <w:rPr>
          <w:rFonts w:ascii="Abadi" w:hAnsi="Abadi"/>
          <w:sz w:val="21"/>
          <w:szCs w:val="21"/>
        </w:rPr>
        <w:t>,</w:t>
      </w:r>
      <w:r w:rsidRPr="006813AA">
        <w:rPr>
          <w:rFonts w:ascii="Abadi" w:hAnsi="Abadi"/>
          <w:sz w:val="21"/>
          <w:szCs w:val="21"/>
        </w:rPr>
        <w:t xml:space="preserve"> síndico</w:t>
      </w:r>
      <w:r>
        <w:rPr>
          <w:rFonts w:ascii="Abadi" w:hAnsi="Abadi"/>
          <w:sz w:val="21"/>
          <w:szCs w:val="21"/>
        </w:rPr>
        <w:t>,</w:t>
      </w:r>
      <w:r w:rsidRPr="006813AA">
        <w:rPr>
          <w:rFonts w:ascii="Abadi" w:hAnsi="Abadi"/>
          <w:sz w:val="21"/>
          <w:szCs w:val="21"/>
        </w:rPr>
        <w:t xml:space="preserve"> </w:t>
      </w:r>
      <w:r>
        <w:rPr>
          <w:rFonts w:ascii="Abadi" w:hAnsi="Abadi"/>
          <w:sz w:val="21"/>
          <w:szCs w:val="21"/>
        </w:rPr>
        <w:t>p</w:t>
      </w:r>
      <w:r w:rsidRPr="006813AA">
        <w:rPr>
          <w:rFonts w:ascii="Abadi" w:hAnsi="Abadi"/>
          <w:sz w:val="21"/>
          <w:szCs w:val="21"/>
        </w:rPr>
        <w:t>residente</w:t>
      </w:r>
      <w:r>
        <w:rPr>
          <w:rFonts w:ascii="Abadi" w:hAnsi="Abadi"/>
          <w:sz w:val="21"/>
          <w:szCs w:val="21"/>
        </w:rPr>
        <w:t xml:space="preserve"> </w:t>
      </w:r>
      <w:r w:rsidRPr="006813AA">
        <w:rPr>
          <w:rFonts w:ascii="Abadi" w:hAnsi="Abadi"/>
          <w:sz w:val="21"/>
          <w:szCs w:val="21"/>
        </w:rPr>
        <w:t>presidenta municipal</w:t>
      </w:r>
      <w:r>
        <w:rPr>
          <w:rFonts w:ascii="Abadi" w:hAnsi="Abadi"/>
          <w:sz w:val="21"/>
          <w:szCs w:val="21"/>
        </w:rPr>
        <w:t>,</w:t>
      </w:r>
      <w:r w:rsidRPr="006813AA">
        <w:rPr>
          <w:rFonts w:ascii="Abadi" w:hAnsi="Abadi"/>
          <w:sz w:val="21"/>
          <w:szCs w:val="21"/>
        </w:rPr>
        <w:t xml:space="preserve"> lo más importante que tiene la recomendación sin distinguir el origen partidista o el color que abanderó a esa persona para ganar su posición tiene su origen en un tema totalmente fuera de los intereses partidistas o un esquema de un alto contenido ideológico o de tener expresiones sobre el </w:t>
      </w:r>
      <w:r>
        <w:rPr>
          <w:rFonts w:ascii="Abadi" w:hAnsi="Abadi"/>
          <w:sz w:val="21"/>
          <w:szCs w:val="21"/>
        </w:rPr>
        <w:t>u</w:t>
      </w:r>
      <w:r w:rsidRPr="006813AA">
        <w:rPr>
          <w:rFonts w:ascii="Abadi" w:hAnsi="Abadi"/>
          <w:sz w:val="21"/>
          <w:szCs w:val="21"/>
        </w:rPr>
        <w:t>so de los recursos públicos o adjetivos para poder determinar la modalidad del gas</w:t>
      </w:r>
      <w:r>
        <w:rPr>
          <w:rFonts w:ascii="Abadi" w:hAnsi="Abadi"/>
          <w:sz w:val="21"/>
          <w:szCs w:val="21"/>
        </w:rPr>
        <w:t xml:space="preserve">to. </w:t>
      </w:r>
    </w:p>
    <w:p w14:paraId="2789D336" w14:textId="77777777" w:rsidR="00E12A85" w:rsidRDefault="00E12A85" w:rsidP="00C30A76">
      <w:pPr>
        <w:jc w:val="both"/>
        <w:rPr>
          <w:rFonts w:ascii="Abadi" w:hAnsi="Abadi"/>
          <w:sz w:val="21"/>
          <w:szCs w:val="21"/>
        </w:rPr>
      </w:pPr>
    </w:p>
    <w:p w14:paraId="4AB3917C" w14:textId="6D788473" w:rsidR="00C30A76" w:rsidRDefault="00C30A76" w:rsidP="00C30A76">
      <w:pPr>
        <w:jc w:val="both"/>
        <w:rPr>
          <w:rFonts w:ascii="Abadi" w:hAnsi="Abadi"/>
          <w:sz w:val="21"/>
          <w:szCs w:val="21"/>
        </w:rPr>
      </w:pPr>
      <w:r>
        <w:rPr>
          <w:rFonts w:ascii="Abadi" w:hAnsi="Abadi"/>
          <w:sz w:val="21"/>
          <w:szCs w:val="21"/>
        </w:rPr>
        <w:t>- P</w:t>
      </w:r>
      <w:r w:rsidRPr="006813AA">
        <w:rPr>
          <w:rFonts w:ascii="Abadi" w:hAnsi="Abadi"/>
          <w:sz w:val="21"/>
          <w:szCs w:val="21"/>
        </w:rPr>
        <w:t>orque al revisar la primera recomendación había una mayoría de administraciones del del partido al que represento y no se tuvieron excepciones</w:t>
      </w:r>
      <w:r>
        <w:rPr>
          <w:rFonts w:ascii="Abadi" w:hAnsi="Abadi"/>
          <w:sz w:val="21"/>
          <w:szCs w:val="21"/>
        </w:rPr>
        <w:t>,</w:t>
      </w:r>
      <w:r w:rsidRPr="006813AA">
        <w:rPr>
          <w:rFonts w:ascii="Abadi" w:hAnsi="Abadi"/>
          <w:sz w:val="21"/>
          <w:szCs w:val="21"/>
        </w:rPr>
        <w:t xml:space="preserve"> el compromiso con la transparencia</w:t>
      </w:r>
      <w:r>
        <w:rPr>
          <w:rFonts w:ascii="Abadi" w:hAnsi="Abadi"/>
          <w:sz w:val="21"/>
          <w:szCs w:val="21"/>
        </w:rPr>
        <w:t>,</w:t>
      </w:r>
      <w:r w:rsidRPr="006813AA">
        <w:rPr>
          <w:rFonts w:ascii="Abadi" w:hAnsi="Abadi"/>
          <w:sz w:val="21"/>
          <w:szCs w:val="21"/>
        </w:rPr>
        <w:t xml:space="preserve"> con responsabilidad y sin subjetividad se ha impuesto</w:t>
      </w:r>
      <w:r>
        <w:rPr>
          <w:rFonts w:ascii="Abadi" w:hAnsi="Abadi"/>
          <w:sz w:val="21"/>
          <w:szCs w:val="21"/>
        </w:rPr>
        <w:t>;</w:t>
      </w:r>
      <w:r w:rsidRPr="006813AA">
        <w:rPr>
          <w:rFonts w:ascii="Abadi" w:hAnsi="Abadi"/>
          <w:sz w:val="21"/>
          <w:szCs w:val="21"/>
        </w:rPr>
        <w:t xml:space="preserve"> el consenso se ha construido y el acuerdo tiene una recomendación con pleno respeto a la autonomía municipal que es instituyó</w:t>
      </w:r>
      <w:r>
        <w:rPr>
          <w:rFonts w:ascii="Abadi" w:hAnsi="Abadi"/>
          <w:sz w:val="21"/>
          <w:szCs w:val="21"/>
        </w:rPr>
        <w:t>;</w:t>
      </w:r>
      <w:r w:rsidRPr="006813AA">
        <w:rPr>
          <w:rFonts w:ascii="Abadi" w:hAnsi="Abadi"/>
          <w:sz w:val="21"/>
          <w:szCs w:val="21"/>
        </w:rPr>
        <w:t xml:space="preserve"> por eso cada año hacemos un llamado desde esta alta tribuna para que se tenga una reflexión sobre el gasto público sobre la rendición de </w:t>
      </w:r>
      <w:r>
        <w:rPr>
          <w:rFonts w:ascii="Abadi" w:hAnsi="Abadi"/>
          <w:sz w:val="21"/>
          <w:szCs w:val="21"/>
        </w:rPr>
        <w:t>c</w:t>
      </w:r>
      <w:r w:rsidRPr="006813AA">
        <w:rPr>
          <w:rFonts w:ascii="Abadi" w:hAnsi="Abadi"/>
          <w:sz w:val="21"/>
          <w:szCs w:val="21"/>
        </w:rPr>
        <w:t>uentas</w:t>
      </w:r>
      <w:r>
        <w:rPr>
          <w:rFonts w:ascii="Abadi" w:hAnsi="Abadi"/>
          <w:sz w:val="21"/>
          <w:szCs w:val="21"/>
        </w:rPr>
        <w:t xml:space="preserve">, </w:t>
      </w:r>
      <w:r w:rsidRPr="006813AA">
        <w:rPr>
          <w:rFonts w:ascii="Abadi" w:hAnsi="Abadi"/>
          <w:sz w:val="21"/>
          <w:szCs w:val="21"/>
        </w:rPr>
        <w:t>lo que incluso coincide</w:t>
      </w:r>
      <w:r>
        <w:rPr>
          <w:rFonts w:ascii="Abadi" w:hAnsi="Abadi"/>
          <w:sz w:val="21"/>
          <w:szCs w:val="21"/>
        </w:rPr>
        <w:t>,</w:t>
      </w:r>
      <w:r w:rsidRPr="006813AA">
        <w:rPr>
          <w:rFonts w:ascii="Abadi" w:hAnsi="Abadi"/>
          <w:sz w:val="21"/>
          <w:szCs w:val="21"/>
        </w:rPr>
        <w:t xml:space="preserve"> el término de plazo</w:t>
      </w:r>
      <w:r>
        <w:rPr>
          <w:rFonts w:ascii="Abadi" w:hAnsi="Abadi"/>
          <w:sz w:val="21"/>
          <w:szCs w:val="21"/>
        </w:rPr>
        <w:t>,</w:t>
      </w:r>
      <w:r w:rsidRPr="006813AA">
        <w:rPr>
          <w:rFonts w:ascii="Abadi" w:hAnsi="Abadi"/>
          <w:sz w:val="21"/>
          <w:szCs w:val="21"/>
        </w:rPr>
        <w:t xml:space="preserve"> de la rendición del informe municipal</w:t>
      </w:r>
      <w:r>
        <w:rPr>
          <w:rFonts w:ascii="Abadi" w:hAnsi="Abadi"/>
          <w:sz w:val="21"/>
          <w:szCs w:val="21"/>
        </w:rPr>
        <w:t>;</w:t>
      </w:r>
      <w:r w:rsidRPr="006813AA">
        <w:rPr>
          <w:rFonts w:ascii="Abadi" w:hAnsi="Abadi"/>
          <w:sz w:val="21"/>
          <w:szCs w:val="21"/>
        </w:rPr>
        <w:t xml:space="preserve"> hoy es una herramienta para el juicio ciudadano hoy</w:t>
      </w:r>
      <w:r>
        <w:rPr>
          <w:rFonts w:ascii="Abadi" w:hAnsi="Abadi"/>
          <w:sz w:val="21"/>
          <w:szCs w:val="21"/>
        </w:rPr>
        <w:t xml:space="preserve">, </w:t>
      </w:r>
      <w:r w:rsidRPr="006813AA">
        <w:rPr>
          <w:rFonts w:ascii="Abadi" w:hAnsi="Abadi"/>
          <w:sz w:val="21"/>
          <w:szCs w:val="21"/>
        </w:rPr>
        <w:t>es una herramienta para la sociedad</w:t>
      </w:r>
      <w:r>
        <w:rPr>
          <w:rFonts w:ascii="Abadi" w:hAnsi="Abadi"/>
          <w:sz w:val="21"/>
          <w:szCs w:val="21"/>
        </w:rPr>
        <w:t>,</w:t>
      </w:r>
      <w:r w:rsidRPr="006813AA">
        <w:rPr>
          <w:rFonts w:ascii="Abadi" w:hAnsi="Abadi"/>
          <w:sz w:val="21"/>
          <w:szCs w:val="21"/>
        </w:rPr>
        <w:t xml:space="preserve"> hoy podemos decir que el 50% de los municipios erogan sus sueldos por debajo de la recomendación con respecto a la realizada en 2021</w:t>
      </w:r>
      <w:r>
        <w:rPr>
          <w:rFonts w:ascii="Abadi" w:hAnsi="Abadi"/>
          <w:sz w:val="21"/>
          <w:szCs w:val="21"/>
        </w:rPr>
        <w:t>.</w:t>
      </w:r>
    </w:p>
    <w:p w14:paraId="437E14B5" w14:textId="77777777" w:rsidR="00E12A85" w:rsidRDefault="00E12A85" w:rsidP="00C30A76">
      <w:pPr>
        <w:jc w:val="both"/>
        <w:rPr>
          <w:rFonts w:ascii="Abadi" w:hAnsi="Abadi"/>
          <w:sz w:val="21"/>
          <w:szCs w:val="21"/>
        </w:rPr>
      </w:pPr>
    </w:p>
    <w:p w14:paraId="65E10E9F" w14:textId="56ED3101" w:rsidR="00C30A76" w:rsidRDefault="00C30A76" w:rsidP="00C30A76">
      <w:pPr>
        <w:jc w:val="both"/>
        <w:rPr>
          <w:rFonts w:ascii="Abadi" w:hAnsi="Abadi"/>
          <w:sz w:val="21"/>
          <w:szCs w:val="21"/>
        </w:rPr>
      </w:pPr>
      <w:r>
        <w:rPr>
          <w:rFonts w:ascii="Abadi" w:hAnsi="Abadi"/>
          <w:sz w:val="21"/>
          <w:szCs w:val="21"/>
        </w:rPr>
        <w:t>- F</w:t>
      </w:r>
      <w:r w:rsidRPr="006813AA">
        <w:rPr>
          <w:rFonts w:ascii="Abadi" w:hAnsi="Abadi"/>
          <w:sz w:val="21"/>
          <w:szCs w:val="21"/>
        </w:rPr>
        <w:t>rente a circunstancias económicas que se tiene como es la alta inflación que lo acabamos de  debatir hace un momento</w:t>
      </w:r>
      <w:r>
        <w:rPr>
          <w:rFonts w:ascii="Abadi" w:hAnsi="Abadi"/>
          <w:sz w:val="21"/>
          <w:szCs w:val="21"/>
        </w:rPr>
        <w:t>,</w:t>
      </w:r>
      <w:r w:rsidRPr="006813AA">
        <w:rPr>
          <w:rFonts w:ascii="Abadi" w:hAnsi="Abadi"/>
          <w:sz w:val="21"/>
          <w:szCs w:val="21"/>
        </w:rPr>
        <w:t xml:space="preserve"> la baja perspectiva de crecimiento económico y también en congruencia con el porcentaje de incremento en cuotas y tarifas en las iniciativas de las leyes de ingresos que se recomienda y lo repito nuevamente</w:t>
      </w:r>
      <w:r>
        <w:rPr>
          <w:rFonts w:ascii="Abadi" w:hAnsi="Abadi"/>
          <w:sz w:val="21"/>
          <w:szCs w:val="21"/>
        </w:rPr>
        <w:t>,</w:t>
      </w:r>
      <w:r w:rsidRPr="006813AA">
        <w:rPr>
          <w:rFonts w:ascii="Abadi" w:hAnsi="Abadi"/>
          <w:sz w:val="21"/>
          <w:szCs w:val="21"/>
        </w:rPr>
        <w:t xml:space="preserve"> sólo la posibilidad de un ajuste en la remuneraci</w:t>
      </w:r>
      <w:r>
        <w:rPr>
          <w:rFonts w:ascii="Abadi" w:hAnsi="Abadi"/>
          <w:sz w:val="21"/>
          <w:szCs w:val="21"/>
        </w:rPr>
        <w:t>ones,</w:t>
      </w:r>
      <w:r w:rsidRPr="006813AA">
        <w:rPr>
          <w:rFonts w:ascii="Abadi" w:hAnsi="Abadi"/>
          <w:sz w:val="21"/>
          <w:szCs w:val="21"/>
        </w:rPr>
        <w:t xml:space="preserve"> porque la autoridad que finalmente ha de tomar la determinación es el ayuntamiento son ellos los que al final toman la decisión de tener o de no tener un incremento</w:t>
      </w:r>
      <w:r>
        <w:rPr>
          <w:rFonts w:ascii="Abadi" w:hAnsi="Abadi"/>
          <w:sz w:val="21"/>
          <w:szCs w:val="21"/>
        </w:rPr>
        <w:t>,</w:t>
      </w:r>
      <w:r w:rsidRPr="006813AA">
        <w:rPr>
          <w:rFonts w:ascii="Abadi" w:hAnsi="Abadi"/>
          <w:sz w:val="21"/>
          <w:szCs w:val="21"/>
        </w:rPr>
        <w:t xml:space="preserve"> no el congreso y lo reiteró la recomendación es un instrumento de vigilancia de control que a coadyuva que ayuda a la fiscalización ciudadana y que quede claro cada ayuntamiento es responsable ante la ley de su salario</w:t>
      </w:r>
      <w:r>
        <w:rPr>
          <w:rFonts w:ascii="Abadi" w:hAnsi="Abadi"/>
          <w:sz w:val="21"/>
          <w:szCs w:val="21"/>
        </w:rPr>
        <w:t>.</w:t>
      </w:r>
    </w:p>
    <w:p w14:paraId="647DD79E" w14:textId="77777777" w:rsidR="00E12A85" w:rsidRDefault="00E12A85" w:rsidP="00C30A76">
      <w:pPr>
        <w:jc w:val="both"/>
        <w:rPr>
          <w:rFonts w:ascii="Abadi" w:hAnsi="Abadi"/>
          <w:sz w:val="21"/>
          <w:szCs w:val="21"/>
        </w:rPr>
      </w:pPr>
    </w:p>
    <w:p w14:paraId="05FADC08" w14:textId="627E6FFB" w:rsidR="00C30A76" w:rsidRDefault="00C30A76" w:rsidP="00C30A76">
      <w:pPr>
        <w:jc w:val="both"/>
        <w:rPr>
          <w:rFonts w:ascii="Abadi" w:hAnsi="Abadi"/>
          <w:sz w:val="21"/>
          <w:szCs w:val="21"/>
        </w:rPr>
      </w:pPr>
      <w:r>
        <w:rPr>
          <w:rFonts w:ascii="Abadi" w:hAnsi="Abadi"/>
          <w:sz w:val="21"/>
          <w:szCs w:val="21"/>
        </w:rPr>
        <w:t>- N</w:t>
      </w:r>
      <w:r w:rsidRPr="006813AA">
        <w:rPr>
          <w:rFonts w:ascii="Abadi" w:hAnsi="Abadi"/>
          <w:sz w:val="21"/>
          <w:szCs w:val="21"/>
        </w:rPr>
        <w:t xml:space="preserve">o busquemos entender que ahora se tiene un permiso o un aval superior para ganar más en determinado lugar porque esos no fueron el motivo el origen de este presente punto de acuerdo no busquemos usar expresiones </w:t>
      </w:r>
      <w:r w:rsidR="001C6B4F">
        <w:rPr>
          <w:noProof/>
        </w:rPr>
        <w:drawing>
          <wp:anchor distT="0" distB="0" distL="114300" distR="114300" simplePos="0" relativeHeight="251695104" behindDoc="1" locked="0" layoutInCell="1" allowOverlap="1" wp14:anchorId="7E5EE9B2" wp14:editId="603F948B">
            <wp:simplePos x="0" y="0"/>
            <wp:positionH relativeFrom="column">
              <wp:posOffset>3945255</wp:posOffset>
            </wp:positionH>
            <wp:positionV relativeFrom="paragraph">
              <wp:posOffset>323850</wp:posOffset>
            </wp:positionV>
            <wp:extent cx="1720215" cy="879475"/>
            <wp:effectExtent l="323850" t="323850" r="318135" b="320675"/>
            <wp:wrapTight wrapText="bothSides">
              <wp:wrapPolygon edited="0">
                <wp:start x="-2392" y="-7954"/>
                <wp:lineTo x="-4066" y="-7018"/>
                <wp:lineTo x="-4066" y="23394"/>
                <wp:lineTo x="-2631" y="28072"/>
                <wp:lineTo x="-2392" y="29008"/>
                <wp:lineTo x="23681" y="29008"/>
                <wp:lineTo x="23920" y="28072"/>
                <wp:lineTo x="25355" y="23394"/>
                <wp:lineTo x="25355" y="468"/>
                <wp:lineTo x="23681" y="-6550"/>
                <wp:lineTo x="23681" y="-7954"/>
                <wp:lineTo x="-2392" y="-7954"/>
              </wp:wrapPolygon>
            </wp:wrapTight>
            <wp:docPr id="45" name="Imagen 45"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Interfaz de usuario gráfica, Aplicación, Sitio web&#10;&#10;Descripción generada automáticamente"/>
                    <pic:cNvPicPr/>
                  </pic:nvPicPr>
                  <pic:blipFill rotWithShape="1">
                    <a:blip r:embed="rId46" cstate="print">
                      <a:extLst>
                        <a:ext uri="{28A0092B-C50C-407E-A947-70E740481C1C}">
                          <a14:useLocalDpi xmlns:a14="http://schemas.microsoft.com/office/drawing/2010/main" val="0"/>
                        </a:ext>
                      </a:extLst>
                    </a:blip>
                    <a:srcRect b="9023"/>
                    <a:stretch/>
                  </pic:blipFill>
                  <pic:spPr bwMode="auto">
                    <a:xfrm>
                      <a:off x="0" y="0"/>
                      <a:ext cx="1720215" cy="879475"/>
                    </a:xfrm>
                    <a:prstGeom prst="rect">
                      <a:avLst/>
                    </a:prstGeom>
                    <a:ln w="88900" cap="sq" cmpd="thickThin">
                      <a:solidFill>
                        <a:srgbClr val="000000"/>
                      </a:solidFill>
                      <a:prstDash val="solid"/>
                      <a:miter lim="800000"/>
                    </a:ln>
                    <a:effectLst>
                      <a:glow rad="228600">
                        <a:schemeClr val="accent3">
                          <a:satMod val="175000"/>
                          <a:alpha val="40000"/>
                        </a:schemeClr>
                      </a:glow>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813AA">
        <w:rPr>
          <w:rFonts w:ascii="Abadi" w:hAnsi="Abadi"/>
          <w:sz w:val="21"/>
          <w:szCs w:val="21"/>
        </w:rPr>
        <w:t>distintas a la función de recomendación</w:t>
      </w:r>
      <w:r>
        <w:rPr>
          <w:rFonts w:ascii="Abadi" w:hAnsi="Abadi"/>
          <w:sz w:val="21"/>
          <w:szCs w:val="21"/>
        </w:rPr>
        <w:t>.</w:t>
      </w:r>
    </w:p>
    <w:p w14:paraId="1B218D82" w14:textId="77777777" w:rsidR="00E12A85" w:rsidRDefault="00E12A85" w:rsidP="00C30A76">
      <w:pPr>
        <w:jc w:val="both"/>
        <w:rPr>
          <w:rFonts w:ascii="Abadi" w:hAnsi="Abadi"/>
          <w:sz w:val="21"/>
          <w:szCs w:val="21"/>
        </w:rPr>
      </w:pPr>
    </w:p>
    <w:p w14:paraId="03D7D276" w14:textId="713E69CC" w:rsidR="00C30A76" w:rsidRDefault="00C30A76" w:rsidP="00C30A76">
      <w:pPr>
        <w:jc w:val="both"/>
        <w:rPr>
          <w:rFonts w:ascii="Abadi" w:hAnsi="Abadi"/>
          <w:sz w:val="21"/>
          <w:szCs w:val="21"/>
        </w:rPr>
      </w:pPr>
      <w:r>
        <w:rPr>
          <w:rFonts w:ascii="Abadi" w:hAnsi="Abadi"/>
          <w:sz w:val="21"/>
          <w:szCs w:val="21"/>
        </w:rPr>
        <w:t>- D</w:t>
      </w:r>
      <w:r w:rsidRPr="006813AA">
        <w:rPr>
          <w:rFonts w:ascii="Abadi" w:hAnsi="Abadi"/>
          <w:sz w:val="21"/>
          <w:szCs w:val="21"/>
        </w:rPr>
        <w:t xml:space="preserve">esde el </w:t>
      </w:r>
      <w:r>
        <w:rPr>
          <w:rFonts w:ascii="Abadi" w:hAnsi="Abadi"/>
          <w:sz w:val="21"/>
          <w:szCs w:val="21"/>
        </w:rPr>
        <w:t>C</w:t>
      </w:r>
      <w:r w:rsidRPr="006813AA">
        <w:rPr>
          <w:rFonts w:ascii="Abadi" w:hAnsi="Abadi"/>
          <w:sz w:val="21"/>
          <w:szCs w:val="21"/>
        </w:rPr>
        <w:t xml:space="preserve">ongreso del </w:t>
      </w:r>
      <w:r>
        <w:rPr>
          <w:rFonts w:ascii="Abadi" w:hAnsi="Abadi"/>
          <w:sz w:val="21"/>
          <w:szCs w:val="21"/>
        </w:rPr>
        <w:t>E</w:t>
      </w:r>
      <w:r w:rsidRPr="006813AA">
        <w:rPr>
          <w:rFonts w:ascii="Abadi" w:hAnsi="Abadi"/>
          <w:sz w:val="21"/>
          <w:szCs w:val="21"/>
        </w:rPr>
        <w:t>stado estaremos siempre a favor del acuerdo y de un consenso para respetar el ejercicio del gasto</w:t>
      </w:r>
      <w:r>
        <w:rPr>
          <w:rFonts w:ascii="Abadi" w:hAnsi="Abadi"/>
          <w:sz w:val="21"/>
          <w:szCs w:val="21"/>
        </w:rPr>
        <w:t>,</w:t>
      </w:r>
      <w:r w:rsidRPr="006813AA">
        <w:rPr>
          <w:rFonts w:ascii="Abadi" w:hAnsi="Abadi"/>
          <w:sz w:val="21"/>
          <w:szCs w:val="21"/>
        </w:rPr>
        <w:t xml:space="preserve"> del dinero</w:t>
      </w:r>
      <w:r>
        <w:rPr>
          <w:rFonts w:ascii="Abadi" w:hAnsi="Abadi"/>
          <w:sz w:val="21"/>
          <w:szCs w:val="21"/>
        </w:rPr>
        <w:t>,</w:t>
      </w:r>
      <w:r w:rsidRPr="006813AA">
        <w:rPr>
          <w:rFonts w:ascii="Abadi" w:hAnsi="Abadi"/>
          <w:sz w:val="21"/>
          <w:szCs w:val="21"/>
        </w:rPr>
        <w:t xml:space="preserve"> que es de la gente</w:t>
      </w:r>
      <w:r>
        <w:rPr>
          <w:rFonts w:ascii="Abadi" w:hAnsi="Abadi"/>
          <w:sz w:val="21"/>
          <w:szCs w:val="21"/>
        </w:rPr>
        <w:t>,</w:t>
      </w:r>
      <w:r w:rsidRPr="006813AA">
        <w:rPr>
          <w:rFonts w:ascii="Abadi" w:hAnsi="Abadi"/>
          <w:sz w:val="21"/>
          <w:szCs w:val="21"/>
        </w:rPr>
        <w:t xml:space="preserve"> busquemos usar el presente acuerdo a favor del ciudadano y no a favor de intereses particulares o juicios de valor</w:t>
      </w:r>
      <w:r>
        <w:rPr>
          <w:rFonts w:ascii="Abadi" w:hAnsi="Abadi"/>
          <w:sz w:val="21"/>
          <w:szCs w:val="21"/>
        </w:rPr>
        <w:t>,</w:t>
      </w:r>
      <w:r w:rsidRPr="006813AA">
        <w:rPr>
          <w:rFonts w:ascii="Abadi" w:hAnsi="Abadi"/>
          <w:sz w:val="21"/>
          <w:szCs w:val="21"/>
        </w:rPr>
        <w:t xml:space="preserve"> que solamente buscan confundir y eludir la responsabilidad del ejercicio del gasto público</w:t>
      </w:r>
      <w:r>
        <w:rPr>
          <w:rFonts w:ascii="Abadi" w:hAnsi="Abadi"/>
          <w:sz w:val="21"/>
          <w:szCs w:val="21"/>
        </w:rPr>
        <w:t>;</w:t>
      </w:r>
      <w:r w:rsidRPr="006813AA">
        <w:rPr>
          <w:rFonts w:ascii="Abadi" w:hAnsi="Abadi"/>
          <w:sz w:val="21"/>
          <w:szCs w:val="21"/>
        </w:rPr>
        <w:t xml:space="preserve"> sigamos pues en la construcción de todas las alternativas para tener una vigilancia y un control del ejercicio público para que </w:t>
      </w:r>
      <w:r>
        <w:rPr>
          <w:rFonts w:ascii="Abadi" w:hAnsi="Abadi"/>
          <w:sz w:val="21"/>
          <w:szCs w:val="21"/>
        </w:rPr>
        <w:t xml:space="preserve">en </w:t>
      </w:r>
      <w:r w:rsidRPr="006813AA">
        <w:rPr>
          <w:rFonts w:ascii="Abadi" w:hAnsi="Abadi"/>
          <w:sz w:val="21"/>
          <w:szCs w:val="21"/>
        </w:rPr>
        <w:t xml:space="preserve"> acuerdo y en consenso que nació esta libre recomendación tengamos cada día un mejor ejercicio de la vida pública y en esencia la responsabilidad municipal</w:t>
      </w:r>
      <w:r>
        <w:rPr>
          <w:rFonts w:ascii="Abadi" w:hAnsi="Abadi"/>
          <w:sz w:val="21"/>
          <w:szCs w:val="21"/>
        </w:rPr>
        <w:t>,</w:t>
      </w:r>
      <w:r w:rsidRPr="006813AA">
        <w:rPr>
          <w:rFonts w:ascii="Abadi" w:hAnsi="Abadi"/>
          <w:sz w:val="21"/>
          <w:szCs w:val="21"/>
        </w:rPr>
        <w:t xml:space="preserve"> los municipios en primer orden de gobierno que es la esencia de la nación</w:t>
      </w:r>
      <w:r>
        <w:rPr>
          <w:rFonts w:ascii="Abadi" w:hAnsi="Abadi"/>
          <w:sz w:val="21"/>
          <w:szCs w:val="21"/>
        </w:rPr>
        <w:t>,</w:t>
      </w:r>
      <w:r w:rsidRPr="006813AA">
        <w:rPr>
          <w:rFonts w:ascii="Abadi" w:hAnsi="Abadi"/>
          <w:sz w:val="21"/>
          <w:szCs w:val="21"/>
        </w:rPr>
        <w:t xml:space="preserve"> busquemos fortalecer la función edilicia y profesionalizar a los municipios que han considerado la recomendación</w:t>
      </w:r>
      <w:r>
        <w:rPr>
          <w:rFonts w:ascii="Abadi" w:hAnsi="Abadi"/>
          <w:sz w:val="21"/>
          <w:szCs w:val="21"/>
        </w:rPr>
        <w:t>,</w:t>
      </w:r>
      <w:r w:rsidRPr="006813AA">
        <w:rPr>
          <w:rFonts w:ascii="Abadi" w:hAnsi="Abadi"/>
          <w:sz w:val="21"/>
          <w:szCs w:val="21"/>
        </w:rPr>
        <w:t xml:space="preserve"> le reiteramos nuestro respeto</w:t>
      </w:r>
      <w:r>
        <w:rPr>
          <w:rFonts w:ascii="Abadi" w:hAnsi="Abadi"/>
          <w:sz w:val="21"/>
          <w:szCs w:val="21"/>
        </w:rPr>
        <w:t>,</w:t>
      </w:r>
      <w:r w:rsidRPr="006813AA">
        <w:rPr>
          <w:rFonts w:ascii="Abadi" w:hAnsi="Abadi"/>
          <w:sz w:val="21"/>
          <w:szCs w:val="21"/>
        </w:rPr>
        <w:t xml:space="preserve"> porque tienen un parámetro para tener una mejor administración de los recursos públicos que como toda persona servidora pública estamos obligados a cumplir</w:t>
      </w:r>
      <w:r>
        <w:rPr>
          <w:rFonts w:ascii="Abadi" w:hAnsi="Abadi"/>
          <w:sz w:val="21"/>
          <w:szCs w:val="21"/>
        </w:rPr>
        <w:t>,</w:t>
      </w:r>
      <w:r w:rsidRPr="006813AA">
        <w:rPr>
          <w:rFonts w:ascii="Abadi" w:hAnsi="Abadi"/>
          <w:sz w:val="21"/>
          <w:szCs w:val="21"/>
        </w:rPr>
        <w:t xml:space="preserve"> para que el trabajo</w:t>
      </w:r>
      <w:r>
        <w:rPr>
          <w:rFonts w:ascii="Abadi" w:hAnsi="Abadi"/>
          <w:sz w:val="21"/>
          <w:szCs w:val="21"/>
        </w:rPr>
        <w:t>,</w:t>
      </w:r>
      <w:r w:rsidRPr="006813AA">
        <w:rPr>
          <w:rFonts w:ascii="Abadi" w:hAnsi="Abadi"/>
          <w:sz w:val="21"/>
          <w:szCs w:val="21"/>
        </w:rPr>
        <w:t xml:space="preserve"> para el que nos contrató la ciudadanía pueda funciona</w:t>
      </w:r>
      <w:r>
        <w:rPr>
          <w:rFonts w:ascii="Abadi" w:hAnsi="Abadi"/>
          <w:sz w:val="21"/>
          <w:szCs w:val="21"/>
        </w:rPr>
        <w:t>r.</w:t>
      </w:r>
    </w:p>
    <w:p w14:paraId="026DB272" w14:textId="77777777" w:rsidR="00E12A85" w:rsidRDefault="00E12A85" w:rsidP="00C30A76">
      <w:pPr>
        <w:jc w:val="both"/>
        <w:rPr>
          <w:rFonts w:ascii="Abadi" w:hAnsi="Abadi"/>
          <w:sz w:val="21"/>
          <w:szCs w:val="21"/>
        </w:rPr>
      </w:pPr>
    </w:p>
    <w:p w14:paraId="09B1AB26" w14:textId="4563724A" w:rsidR="00C30A76" w:rsidRDefault="00C30A76" w:rsidP="00C30A76">
      <w:pPr>
        <w:jc w:val="both"/>
        <w:rPr>
          <w:rFonts w:ascii="Abadi" w:hAnsi="Abadi"/>
          <w:sz w:val="21"/>
          <w:szCs w:val="21"/>
        </w:rPr>
      </w:pPr>
      <w:r>
        <w:rPr>
          <w:rFonts w:ascii="Abadi" w:hAnsi="Abadi"/>
          <w:sz w:val="21"/>
          <w:szCs w:val="21"/>
        </w:rPr>
        <w:t>- P</w:t>
      </w:r>
      <w:r w:rsidRPr="006813AA">
        <w:rPr>
          <w:rFonts w:ascii="Abadi" w:hAnsi="Abadi"/>
          <w:sz w:val="21"/>
          <w:szCs w:val="21"/>
        </w:rPr>
        <w:t>or su atención muchas gr</w:t>
      </w:r>
      <w:r>
        <w:rPr>
          <w:rFonts w:ascii="Abadi" w:hAnsi="Abadi"/>
          <w:sz w:val="21"/>
          <w:szCs w:val="21"/>
        </w:rPr>
        <w:t>acias.</w:t>
      </w:r>
    </w:p>
    <w:p w14:paraId="1324678A" w14:textId="77777777" w:rsidR="00E12A85" w:rsidRDefault="00E12A85" w:rsidP="00C30A76">
      <w:pPr>
        <w:jc w:val="both"/>
        <w:rPr>
          <w:rFonts w:ascii="Abadi" w:hAnsi="Abadi"/>
          <w:sz w:val="21"/>
          <w:szCs w:val="21"/>
        </w:rPr>
      </w:pPr>
    </w:p>
    <w:p w14:paraId="7FFF7FB5" w14:textId="76A4DDC4" w:rsidR="00C30A76" w:rsidRDefault="00C30A76" w:rsidP="00C30A76">
      <w:pPr>
        <w:ind w:firstLine="708"/>
        <w:jc w:val="both"/>
        <w:rPr>
          <w:rFonts w:ascii="Abadi" w:hAnsi="Abadi"/>
          <w:sz w:val="21"/>
          <w:szCs w:val="21"/>
        </w:rPr>
      </w:pPr>
      <w:r w:rsidRPr="003145C8">
        <w:rPr>
          <w:rFonts w:ascii="Abadi" w:hAnsi="Abadi"/>
          <w:b/>
          <w:bCs/>
          <w:sz w:val="21"/>
          <w:szCs w:val="21"/>
        </w:rPr>
        <w:t>- El Presidente.-</w:t>
      </w:r>
      <w:r>
        <w:rPr>
          <w:rFonts w:ascii="Abadi" w:hAnsi="Abadi"/>
          <w:sz w:val="21"/>
          <w:szCs w:val="21"/>
        </w:rPr>
        <w:t xml:space="preserve"> ¡G</w:t>
      </w:r>
      <w:r w:rsidRPr="006813AA">
        <w:rPr>
          <w:rFonts w:ascii="Abadi" w:hAnsi="Abadi"/>
          <w:sz w:val="21"/>
          <w:szCs w:val="21"/>
        </w:rPr>
        <w:t>racias</w:t>
      </w:r>
      <w:r>
        <w:rPr>
          <w:rFonts w:ascii="Abadi" w:hAnsi="Abadi"/>
          <w:sz w:val="21"/>
          <w:szCs w:val="21"/>
        </w:rPr>
        <w:t>!</w:t>
      </w:r>
      <w:r w:rsidRPr="006813AA">
        <w:rPr>
          <w:rFonts w:ascii="Abadi" w:hAnsi="Abadi"/>
          <w:sz w:val="21"/>
          <w:szCs w:val="21"/>
        </w:rPr>
        <w:t xml:space="preserve"> diputado </w:t>
      </w:r>
      <w:r>
        <w:rPr>
          <w:rFonts w:ascii="Abadi" w:hAnsi="Abadi"/>
          <w:sz w:val="21"/>
          <w:szCs w:val="21"/>
        </w:rPr>
        <w:t>V</w:t>
      </w:r>
      <w:r w:rsidRPr="006813AA">
        <w:rPr>
          <w:rFonts w:ascii="Abadi" w:hAnsi="Abadi"/>
          <w:sz w:val="21"/>
          <w:szCs w:val="21"/>
        </w:rPr>
        <w:t xml:space="preserve">íctor Manuel </w:t>
      </w:r>
      <w:r>
        <w:rPr>
          <w:rFonts w:ascii="Abadi" w:hAnsi="Abadi"/>
          <w:sz w:val="21"/>
          <w:szCs w:val="21"/>
        </w:rPr>
        <w:t>Z</w:t>
      </w:r>
      <w:r w:rsidRPr="006813AA">
        <w:rPr>
          <w:rFonts w:ascii="Abadi" w:hAnsi="Abadi"/>
          <w:sz w:val="21"/>
          <w:szCs w:val="21"/>
        </w:rPr>
        <w:t>anella</w:t>
      </w:r>
      <w:r>
        <w:rPr>
          <w:rFonts w:ascii="Abadi" w:hAnsi="Abadi"/>
          <w:sz w:val="21"/>
          <w:szCs w:val="21"/>
        </w:rPr>
        <w:t>,</w:t>
      </w:r>
      <w:r w:rsidRPr="006813AA">
        <w:rPr>
          <w:rFonts w:ascii="Abadi" w:hAnsi="Abadi"/>
          <w:sz w:val="21"/>
          <w:szCs w:val="21"/>
        </w:rPr>
        <w:t xml:space="preserve"> agotadas las participaciones se instruye a la </w:t>
      </w:r>
      <w:r>
        <w:rPr>
          <w:rFonts w:ascii="Abadi" w:hAnsi="Abadi"/>
          <w:sz w:val="21"/>
          <w:szCs w:val="21"/>
        </w:rPr>
        <w:t>S</w:t>
      </w:r>
      <w:r w:rsidRPr="006813AA">
        <w:rPr>
          <w:rFonts w:ascii="Abadi" w:hAnsi="Abadi"/>
          <w:sz w:val="21"/>
          <w:szCs w:val="21"/>
        </w:rPr>
        <w:t>ecretaría para que en votación nominal y a través de nuestro sistema electrónico pregunte</w:t>
      </w:r>
      <w:r>
        <w:rPr>
          <w:rFonts w:ascii="Abadi" w:hAnsi="Abadi"/>
          <w:sz w:val="21"/>
          <w:szCs w:val="21"/>
        </w:rPr>
        <w:t xml:space="preserve"> si es de </w:t>
      </w:r>
      <w:r w:rsidRPr="006813AA">
        <w:rPr>
          <w:rFonts w:ascii="Abadi" w:hAnsi="Abadi"/>
          <w:sz w:val="21"/>
          <w:szCs w:val="21"/>
        </w:rPr>
        <w:t xml:space="preserve">aprobarse </w:t>
      </w:r>
      <w:r>
        <w:rPr>
          <w:rFonts w:ascii="Abadi" w:hAnsi="Abadi"/>
          <w:sz w:val="21"/>
          <w:szCs w:val="21"/>
        </w:rPr>
        <w:t xml:space="preserve">o </w:t>
      </w:r>
      <w:r w:rsidRPr="006813AA">
        <w:rPr>
          <w:rFonts w:ascii="Abadi" w:hAnsi="Abadi"/>
          <w:sz w:val="21"/>
          <w:szCs w:val="21"/>
        </w:rPr>
        <w:t>no en lo general el punto de acuerdo</w:t>
      </w:r>
      <w:r>
        <w:rPr>
          <w:rFonts w:ascii="Abadi" w:hAnsi="Abadi"/>
          <w:sz w:val="21"/>
          <w:szCs w:val="21"/>
        </w:rPr>
        <w:t>.</w:t>
      </w:r>
    </w:p>
    <w:p w14:paraId="2DDC90BB" w14:textId="77777777" w:rsidR="00E12A85" w:rsidRDefault="00E12A85" w:rsidP="00C30A76">
      <w:pPr>
        <w:ind w:firstLine="708"/>
        <w:jc w:val="both"/>
        <w:rPr>
          <w:rFonts w:ascii="Abadi" w:hAnsi="Abadi"/>
          <w:sz w:val="21"/>
          <w:szCs w:val="21"/>
        </w:rPr>
      </w:pPr>
    </w:p>
    <w:p w14:paraId="07D337B9" w14:textId="01A91866" w:rsidR="00C30A76" w:rsidRDefault="00C30A76" w:rsidP="00C30A76">
      <w:pPr>
        <w:jc w:val="both"/>
        <w:rPr>
          <w:rFonts w:ascii="Abadi" w:hAnsi="Abadi"/>
          <w:b/>
          <w:bCs/>
          <w:sz w:val="21"/>
          <w:szCs w:val="21"/>
        </w:rPr>
      </w:pPr>
      <w:r>
        <w:rPr>
          <w:rFonts w:ascii="Abadi" w:hAnsi="Abadi"/>
          <w:b/>
          <w:bCs/>
          <w:sz w:val="21"/>
          <w:szCs w:val="21"/>
        </w:rPr>
        <w:t>(</w:t>
      </w:r>
      <w:r w:rsidRPr="003145C8">
        <w:rPr>
          <w:rFonts w:ascii="Abadi" w:hAnsi="Abadi"/>
          <w:b/>
          <w:bCs/>
          <w:sz w:val="21"/>
          <w:szCs w:val="21"/>
        </w:rPr>
        <w:t>Se abre nuestro sistema electrónico</w:t>
      </w:r>
      <w:r>
        <w:rPr>
          <w:rFonts w:ascii="Abadi" w:hAnsi="Abadi"/>
          <w:b/>
          <w:bCs/>
          <w:sz w:val="21"/>
          <w:szCs w:val="21"/>
        </w:rPr>
        <w:t>)</w:t>
      </w:r>
    </w:p>
    <w:p w14:paraId="4F19B8F3" w14:textId="77777777" w:rsidR="00E12A85" w:rsidRPr="003145C8" w:rsidRDefault="00E12A85" w:rsidP="00C30A76">
      <w:pPr>
        <w:jc w:val="both"/>
        <w:rPr>
          <w:rFonts w:ascii="Abadi" w:hAnsi="Abadi"/>
          <w:b/>
          <w:bCs/>
          <w:sz w:val="21"/>
          <w:szCs w:val="21"/>
        </w:rPr>
      </w:pPr>
    </w:p>
    <w:p w14:paraId="4D0D5626" w14:textId="28D92F73" w:rsidR="00C30A76" w:rsidRDefault="00C30A76" w:rsidP="00C30A76">
      <w:pPr>
        <w:ind w:firstLine="708"/>
        <w:jc w:val="both"/>
        <w:rPr>
          <w:rFonts w:ascii="Abadi" w:hAnsi="Abadi"/>
          <w:sz w:val="21"/>
          <w:szCs w:val="21"/>
        </w:rPr>
      </w:pPr>
      <w:r w:rsidRPr="003145C8">
        <w:rPr>
          <w:rFonts w:ascii="Abadi" w:hAnsi="Abadi"/>
          <w:b/>
          <w:bCs/>
          <w:sz w:val="21"/>
          <w:szCs w:val="21"/>
        </w:rPr>
        <w:t>- El Secretario.-</w:t>
      </w:r>
      <w:r>
        <w:rPr>
          <w:rFonts w:ascii="Abadi" w:hAnsi="Abadi"/>
          <w:sz w:val="21"/>
          <w:szCs w:val="21"/>
        </w:rPr>
        <w:t xml:space="preserve"> E</w:t>
      </w:r>
      <w:r w:rsidRPr="006813AA">
        <w:rPr>
          <w:rFonts w:ascii="Abadi" w:hAnsi="Abadi"/>
          <w:sz w:val="21"/>
          <w:szCs w:val="21"/>
        </w:rPr>
        <w:t>n votación nominal por el sistema electrónico se pregunta a las diputadas y a los diputados si se aprueba en lo general el punto de acuerdo puesto a su consideración</w:t>
      </w:r>
      <w:r>
        <w:rPr>
          <w:rFonts w:ascii="Abadi" w:hAnsi="Abadi"/>
          <w:sz w:val="21"/>
          <w:szCs w:val="21"/>
        </w:rPr>
        <w:t xml:space="preserve">. </w:t>
      </w:r>
    </w:p>
    <w:p w14:paraId="2EFE26AB" w14:textId="77777777" w:rsidR="00E12A85" w:rsidRPr="006813AA" w:rsidRDefault="00E12A85" w:rsidP="00C30A76">
      <w:pPr>
        <w:ind w:firstLine="708"/>
        <w:jc w:val="both"/>
        <w:rPr>
          <w:rFonts w:ascii="Abadi" w:hAnsi="Abadi"/>
          <w:sz w:val="21"/>
          <w:szCs w:val="21"/>
        </w:rPr>
      </w:pPr>
    </w:p>
    <w:p w14:paraId="13AED483" w14:textId="671E4A6E" w:rsidR="00C30A76" w:rsidRDefault="00C30A76" w:rsidP="00C30A76">
      <w:pPr>
        <w:jc w:val="both"/>
        <w:rPr>
          <w:rFonts w:ascii="Abadi" w:hAnsi="Abadi"/>
          <w:b/>
          <w:bCs/>
          <w:sz w:val="21"/>
          <w:szCs w:val="21"/>
        </w:rPr>
      </w:pPr>
      <w:r w:rsidRPr="003145C8">
        <w:rPr>
          <w:rFonts w:ascii="Abadi" w:hAnsi="Abadi"/>
          <w:b/>
          <w:bCs/>
          <w:sz w:val="21"/>
          <w:szCs w:val="21"/>
        </w:rPr>
        <w:t>¿Falta alguna diputada o algún diputado de emitir su voto?</w:t>
      </w:r>
    </w:p>
    <w:p w14:paraId="101A55C6" w14:textId="77777777" w:rsidR="00E12A85" w:rsidRDefault="00E12A85" w:rsidP="00C30A76">
      <w:pPr>
        <w:jc w:val="both"/>
        <w:rPr>
          <w:rFonts w:ascii="Abadi" w:hAnsi="Abadi"/>
          <w:b/>
          <w:bCs/>
          <w:sz w:val="21"/>
          <w:szCs w:val="21"/>
        </w:rPr>
      </w:pPr>
    </w:p>
    <w:p w14:paraId="351B5DDD" w14:textId="0ACBDBBA" w:rsidR="00C30A76" w:rsidRDefault="00C30A76" w:rsidP="00C30A76">
      <w:pPr>
        <w:jc w:val="both"/>
        <w:rPr>
          <w:rFonts w:ascii="Abadi" w:hAnsi="Abadi"/>
          <w:b/>
          <w:bCs/>
          <w:sz w:val="21"/>
          <w:szCs w:val="21"/>
        </w:rPr>
      </w:pPr>
      <w:r>
        <w:rPr>
          <w:rFonts w:ascii="Abadi" w:hAnsi="Abadi"/>
          <w:b/>
          <w:bCs/>
          <w:sz w:val="21"/>
          <w:szCs w:val="21"/>
        </w:rPr>
        <w:t>(Se cierra el sistema electronico)</w:t>
      </w:r>
    </w:p>
    <w:p w14:paraId="49B91EF9" w14:textId="77777777" w:rsidR="001C6B4F" w:rsidRPr="003145C8" w:rsidRDefault="001C6B4F" w:rsidP="00C30A76">
      <w:pPr>
        <w:jc w:val="both"/>
        <w:rPr>
          <w:rFonts w:ascii="Abadi" w:hAnsi="Abadi"/>
          <w:b/>
          <w:bCs/>
          <w:sz w:val="21"/>
          <w:szCs w:val="21"/>
        </w:rPr>
      </w:pPr>
    </w:p>
    <w:p w14:paraId="16A13B22" w14:textId="6E4DC47C" w:rsidR="004C56B9" w:rsidRPr="002B2D88" w:rsidRDefault="004C56B9" w:rsidP="004C56B9">
      <w:pPr>
        <w:pStyle w:val="Prrafodelista"/>
        <w:spacing w:after="160" w:line="259" w:lineRule="auto"/>
        <w:ind w:left="426"/>
        <w:contextualSpacing/>
        <w:jc w:val="both"/>
        <w:rPr>
          <w:rFonts w:ascii="Abadi" w:hAnsi="Abadi"/>
          <w:b/>
          <w:bCs/>
          <w:sz w:val="21"/>
          <w:szCs w:val="21"/>
        </w:rPr>
      </w:pPr>
      <w:r w:rsidRPr="003145C8">
        <w:rPr>
          <w:rFonts w:ascii="Abadi" w:hAnsi="Abadi"/>
          <w:b/>
          <w:bCs/>
          <w:sz w:val="21"/>
          <w:szCs w:val="21"/>
        </w:rPr>
        <w:t>El Secretario.-</w:t>
      </w:r>
      <w:r w:rsidRPr="003145C8">
        <w:rPr>
          <w:rFonts w:ascii="Abadi" w:hAnsi="Abadi"/>
          <w:sz w:val="21"/>
          <w:szCs w:val="21"/>
        </w:rPr>
        <w:t xml:space="preserve"> Señor Presidente se registraron 27 votos a favor y 5 votos en contra</w:t>
      </w:r>
      <w:r>
        <w:rPr>
          <w:rFonts w:ascii="Abadi" w:hAnsi="Abadi"/>
          <w:sz w:val="21"/>
          <w:szCs w:val="21"/>
        </w:rPr>
        <w:t>.</w:t>
      </w:r>
    </w:p>
    <w:p w14:paraId="42663FC6" w14:textId="77777777" w:rsidR="004C56B9" w:rsidRPr="003145C8" w:rsidRDefault="004C56B9" w:rsidP="004C56B9">
      <w:pPr>
        <w:pStyle w:val="Prrafodelista"/>
        <w:ind w:left="426"/>
        <w:jc w:val="both"/>
        <w:rPr>
          <w:rFonts w:ascii="Abadi" w:hAnsi="Abadi"/>
          <w:b/>
          <w:bCs/>
          <w:sz w:val="21"/>
          <w:szCs w:val="21"/>
        </w:rPr>
      </w:pPr>
    </w:p>
    <w:p w14:paraId="29396259" w14:textId="77777777" w:rsidR="004C56B9" w:rsidRDefault="004C56B9" w:rsidP="004C56B9">
      <w:pPr>
        <w:pStyle w:val="Prrafodelista"/>
        <w:numPr>
          <w:ilvl w:val="0"/>
          <w:numId w:val="76"/>
        </w:numPr>
        <w:spacing w:after="160" w:line="259" w:lineRule="auto"/>
        <w:ind w:left="0" w:firstLine="0"/>
        <w:contextualSpacing/>
        <w:jc w:val="both"/>
        <w:rPr>
          <w:rFonts w:ascii="Abadi" w:hAnsi="Abadi"/>
          <w:sz w:val="21"/>
          <w:szCs w:val="21"/>
        </w:rPr>
      </w:pPr>
      <w:r>
        <w:rPr>
          <w:rFonts w:ascii="Abadi" w:hAnsi="Abadi"/>
          <w:b/>
          <w:bCs/>
          <w:sz w:val="21"/>
          <w:szCs w:val="21"/>
        </w:rPr>
        <w:t>El Presidente.</w:t>
      </w:r>
      <w:r>
        <w:rPr>
          <w:rFonts w:ascii="Abadi" w:hAnsi="Abadi"/>
          <w:sz w:val="21"/>
          <w:szCs w:val="21"/>
        </w:rPr>
        <w:t xml:space="preserve">- </w:t>
      </w:r>
      <w:r w:rsidRPr="003145C8">
        <w:rPr>
          <w:rFonts w:ascii="Abadi" w:hAnsi="Abadi"/>
          <w:sz w:val="21"/>
          <w:szCs w:val="21"/>
        </w:rPr>
        <w:t>El punto de acuerdo ha sido aprobado en lo general por mayoría de votos</w:t>
      </w:r>
      <w:r>
        <w:rPr>
          <w:rFonts w:ascii="Abadi" w:hAnsi="Abadi"/>
          <w:sz w:val="21"/>
          <w:szCs w:val="21"/>
        </w:rPr>
        <w:t>.</w:t>
      </w:r>
    </w:p>
    <w:p w14:paraId="2E13A332" w14:textId="77777777" w:rsidR="004C56B9" w:rsidRDefault="004C56B9" w:rsidP="004C56B9">
      <w:pPr>
        <w:pStyle w:val="Prrafodelista"/>
        <w:spacing w:after="160" w:line="259" w:lineRule="auto"/>
        <w:ind w:left="426"/>
        <w:contextualSpacing/>
        <w:jc w:val="both"/>
        <w:rPr>
          <w:rFonts w:ascii="Abadi" w:hAnsi="Abadi"/>
          <w:sz w:val="21"/>
          <w:szCs w:val="21"/>
        </w:rPr>
      </w:pPr>
    </w:p>
    <w:p w14:paraId="468AAF20" w14:textId="3D9C898E" w:rsidR="004C56B9" w:rsidRPr="004C56B9" w:rsidRDefault="004C56B9" w:rsidP="004C56B9">
      <w:pPr>
        <w:pStyle w:val="Prrafodelista"/>
        <w:numPr>
          <w:ilvl w:val="0"/>
          <w:numId w:val="76"/>
        </w:numPr>
        <w:spacing w:after="160" w:line="259" w:lineRule="auto"/>
        <w:ind w:left="0" w:firstLine="0"/>
        <w:contextualSpacing/>
        <w:jc w:val="both"/>
        <w:rPr>
          <w:rFonts w:ascii="Abadi" w:hAnsi="Abadi"/>
          <w:sz w:val="21"/>
          <w:szCs w:val="21"/>
        </w:rPr>
      </w:pPr>
      <w:r w:rsidRPr="004C56B9">
        <w:rPr>
          <w:rFonts w:ascii="Abadi" w:hAnsi="Abadi"/>
          <w:sz w:val="21"/>
          <w:szCs w:val="21"/>
        </w:rPr>
        <w:t>¡Ahora si¡</w:t>
      </w:r>
      <w:r>
        <w:rPr>
          <w:rFonts w:ascii="Abadi" w:hAnsi="Abadi"/>
          <w:sz w:val="21"/>
          <w:szCs w:val="21"/>
        </w:rPr>
        <w:t xml:space="preserve"> </w:t>
      </w:r>
      <w:r w:rsidRPr="004C56B9">
        <w:rPr>
          <w:rFonts w:ascii="Abadi" w:hAnsi="Abadi"/>
          <w:sz w:val="21"/>
          <w:szCs w:val="21"/>
        </w:rPr>
        <w:t>corresponde someter a discusión el punto de acuerdo en lo particular.</w:t>
      </w:r>
    </w:p>
    <w:p w14:paraId="516D2821" w14:textId="77777777" w:rsidR="004C56B9" w:rsidRPr="00B5654E" w:rsidRDefault="004C56B9" w:rsidP="004C56B9">
      <w:pPr>
        <w:pStyle w:val="Prrafodelista"/>
        <w:ind w:left="426"/>
        <w:jc w:val="both"/>
        <w:rPr>
          <w:rFonts w:ascii="Abadi" w:hAnsi="Abadi"/>
          <w:sz w:val="21"/>
          <w:szCs w:val="21"/>
        </w:rPr>
      </w:pPr>
    </w:p>
    <w:p w14:paraId="63A95B18" w14:textId="431F009C" w:rsidR="004C56B9" w:rsidRDefault="004C56B9" w:rsidP="004C56B9">
      <w:pPr>
        <w:pStyle w:val="Prrafodelista"/>
        <w:numPr>
          <w:ilvl w:val="0"/>
          <w:numId w:val="76"/>
        </w:numPr>
        <w:spacing w:after="160" w:line="259" w:lineRule="auto"/>
        <w:ind w:left="0" w:firstLine="0"/>
        <w:contextualSpacing/>
        <w:jc w:val="both"/>
        <w:rPr>
          <w:rFonts w:ascii="Abadi" w:hAnsi="Abadi"/>
          <w:sz w:val="21"/>
          <w:szCs w:val="21"/>
        </w:rPr>
      </w:pPr>
      <w:r w:rsidRPr="002B2D88">
        <w:rPr>
          <w:rFonts w:ascii="Abadi" w:hAnsi="Abadi"/>
          <w:sz w:val="21"/>
          <w:szCs w:val="21"/>
        </w:rPr>
        <w:t>Si desean reservar cualquiera de los puntos que contiene sírvanse apartarlo en la inteligencia de que los puntos no reservados se tendrán por aprobados</w:t>
      </w:r>
      <w:r>
        <w:rPr>
          <w:rFonts w:ascii="Abadi" w:hAnsi="Abadi"/>
          <w:sz w:val="21"/>
          <w:szCs w:val="21"/>
        </w:rPr>
        <w:t>.</w:t>
      </w:r>
    </w:p>
    <w:p w14:paraId="17673AF7" w14:textId="77777777" w:rsidR="004C56B9" w:rsidRDefault="004C56B9" w:rsidP="004C56B9">
      <w:pPr>
        <w:pStyle w:val="Prrafodelista"/>
        <w:spacing w:after="160" w:line="259" w:lineRule="auto"/>
        <w:ind w:left="426"/>
        <w:contextualSpacing/>
        <w:jc w:val="both"/>
        <w:rPr>
          <w:rFonts w:ascii="Abadi" w:hAnsi="Abadi"/>
          <w:sz w:val="21"/>
          <w:szCs w:val="21"/>
        </w:rPr>
      </w:pPr>
    </w:p>
    <w:p w14:paraId="108501B9" w14:textId="77777777" w:rsidR="004C56B9" w:rsidRDefault="004C56B9" w:rsidP="004C56B9">
      <w:pPr>
        <w:pStyle w:val="Prrafodelista"/>
        <w:ind w:left="0"/>
        <w:jc w:val="both"/>
        <w:rPr>
          <w:rFonts w:ascii="Abadi" w:hAnsi="Abadi"/>
          <w:sz w:val="21"/>
          <w:szCs w:val="21"/>
        </w:rPr>
      </w:pPr>
      <w:r w:rsidRPr="002B2D88">
        <w:rPr>
          <w:rFonts w:ascii="Abadi" w:hAnsi="Abadi"/>
          <w:b/>
          <w:bCs/>
          <w:sz w:val="21"/>
          <w:szCs w:val="21"/>
        </w:rPr>
        <w:t>(Voz) diputada Alma Edwviges Alcaraz,</w:t>
      </w:r>
      <w:r>
        <w:rPr>
          <w:rFonts w:ascii="Abadi" w:hAnsi="Abadi"/>
          <w:sz w:val="21"/>
          <w:szCs w:val="21"/>
        </w:rPr>
        <w:t xml:space="preserve"> sí diputado Presidente, </w:t>
      </w:r>
      <w:r w:rsidRPr="002B2D88">
        <w:rPr>
          <w:rFonts w:ascii="Abadi" w:hAnsi="Abadi"/>
          <w:b/>
          <w:bCs/>
          <w:sz w:val="21"/>
          <w:szCs w:val="21"/>
        </w:rPr>
        <w:t>(Voz) diputado Presidente,</w:t>
      </w:r>
      <w:r>
        <w:rPr>
          <w:rFonts w:ascii="Abadi" w:hAnsi="Abadi"/>
          <w:sz w:val="21"/>
          <w:szCs w:val="21"/>
        </w:rPr>
        <w:t xml:space="preserve"> ahora si diputada Alma Edwviges Alcaraz, </w:t>
      </w:r>
      <w:r w:rsidRPr="002B2D88">
        <w:rPr>
          <w:rFonts w:ascii="Abadi" w:hAnsi="Abadi"/>
          <w:b/>
          <w:bCs/>
          <w:sz w:val="21"/>
          <w:szCs w:val="21"/>
        </w:rPr>
        <w:t>(Voz) diputada Alma Edwviges Alcaraz,</w:t>
      </w:r>
      <w:r>
        <w:rPr>
          <w:rFonts w:ascii="Abadi" w:hAnsi="Abadi"/>
          <w:sz w:val="21"/>
          <w:szCs w:val="21"/>
        </w:rPr>
        <w:t xml:space="preserve"> </w:t>
      </w:r>
      <w:r w:rsidRPr="006813AA">
        <w:rPr>
          <w:rFonts w:ascii="Abadi" w:hAnsi="Abadi"/>
          <w:sz w:val="21"/>
          <w:szCs w:val="21"/>
        </w:rPr>
        <w:t>sí diputado</w:t>
      </w:r>
      <w:r>
        <w:rPr>
          <w:rFonts w:ascii="Abadi" w:hAnsi="Abadi"/>
          <w:sz w:val="21"/>
          <w:szCs w:val="21"/>
        </w:rPr>
        <w:t xml:space="preserve"> me reservo el artículo primero. </w:t>
      </w:r>
    </w:p>
    <w:p w14:paraId="599FE28F" w14:textId="77777777" w:rsidR="004C56B9" w:rsidRDefault="004C56B9" w:rsidP="004C56B9">
      <w:pPr>
        <w:pStyle w:val="Prrafodelista"/>
        <w:ind w:left="426"/>
        <w:jc w:val="both"/>
        <w:rPr>
          <w:rFonts w:ascii="Abadi" w:hAnsi="Abadi"/>
          <w:sz w:val="21"/>
          <w:szCs w:val="21"/>
        </w:rPr>
      </w:pPr>
    </w:p>
    <w:p w14:paraId="72655CE9" w14:textId="77777777" w:rsidR="004C56B9" w:rsidRDefault="004C56B9" w:rsidP="004C56B9">
      <w:pPr>
        <w:pStyle w:val="Prrafodelista"/>
        <w:numPr>
          <w:ilvl w:val="0"/>
          <w:numId w:val="76"/>
        </w:numPr>
        <w:spacing w:after="160" w:line="259" w:lineRule="auto"/>
        <w:ind w:left="0" w:firstLine="0"/>
        <w:contextualSpacing/>
        <w:jc w:val="both"/>
        <w:rPr>
          <w:rFonts w:ascii="Abadi" w:hAnsi="Abadi"/>
          <w:sz w:val="21"/>
          <w:szCs w:val="21"/>
        </w:rPr>
      </w:pPr>
      <w:r>
        <w:rPr>
          <w:rFonts w:ascii="Abadi" w:hAnsi="Abadi"/>
          <w:sz w:val="21"/>
          <w:szCs w:val="21"/>
        </w:rPr>
        <w:t>Adelante diputada.</w:t>
      </w:r>
    </w:p>
    <w:p w14:paraId="61F53E9C" w14:textId="77777777" w:rsidR="004C56B9" w:rsidRDefault="004C56B9" w:rsidP="004C56B9">
      <w:pPr>
        <w:pStyle w:val="Prrafodelista"/>
        <w:spacing w:after="160" w:line="259" w:lineRule="auto"/>
        <w:ind w:left="0"/>
        <w:contextualSpacing/>
        <w:jc w:val="both"/>
        <w:rPr>
          <w:rFonts w:ascii="Abadi" w:hAnsi="Abadi"/>
          <w:sz w:val="21"/>
          <w:szCs w:val="21"/>
        </w:rPr>
      </w:pPr>
    </w:p>
    <w:p w14:paraId="56968519" w14:textId="35AA5114" w:rsidR="00C30A76" w:rsidRPr="004C56B9" w:rsidRDefault="00C30A76" w:rsidP="004C56B9">
      <w:pPr>
        <w:pStyle w:val="Prrafodelista"/>
        <w:spacing w:after="160" w:line="259" w:lineRule="auto"/>
        <w:ind w:left="0"/>
        <w:contextualSpacing/>
        <w:jc w:val="both"/>
        <w:rPr>
          <w:rFonts w:ascii="Abadi" w:hAnsi="Abadi"/>
          <w:sz w:val="21"/>
          <w:szCs w:val="21"/>
        </w:rPr>
      </w:pPr>
      <w:r w:rsidRPr="004C56B9">
        <w:rPr>
          <w:rFonts w:ascii="Abadi" w:hAnsi="Abadi"/>
          <w:b/>
          <w:bCs/>
          <w:sz w:val="21"/>
          <w:szCs w:val="21"/>
        </w:rPr>
        <w:t>(Sube a la tribuna, la diputada Alma Edwviges Alcaraz Hernández, para solicitar el apoyo y el voto a favor de la propuesta de punto de acuerdo)</w:t>
      </w:r>
    </w:p>
    <w:p w14:paraId="77ADCE2C" w14:textId="77777777" w:rsidR="00E12A85" w:rsidRDefault="00E12A85" w:rsidP="00C30A76">
      <w:pPr>
        <w:jc w:val="both"/>
        <w:rPr>
          <w:rFonts w:ascii="Abadi" w:hAnsi="Abadi"/>
          <w:b/>
          <w:bCs/>
          <w:sz w:val="21"/>
          <w:szCs w:val="21"/>
        </w:rPr>
      </w:pPr>
    </w:p>
    <w:p w14:paraId="677CEB6B" w14:textId="6EF233BC" w:rsidR="00C30A76" w:rsidRDefault="00C30A76" w:rsidP="00C30A76">
      <w:pPr>
        <w:jc w:val="both"/>
        <w:rPr>
          <w:rFonts w:ascii="Abadi" w:hAnsi="Abadi"/>
          <w:b/>
          <w:bCs/>
          <w:sz w:val="21"/>
          <w:szCs w:val="21"/>
        </w:rPr>
      </w:pPr>
    </w:p>
    <w:p w14:paraId="3E6051D2" w14:textId="5CB79B25" w:rsidR="00C30A76" w:rsidRDefault="001C6B4F" w:rsidP="00C30A76">
      <w:pPr>
        <w:jc w:val="both"/>
        <w:rPr>
          <w:rFonts w:ascii="Abadi" w:hAnsi="Abadi"/>
          <w:b/>
          <w:bCs/>
          <w:sz w:val="21"/>
          <w:szCs w:val="21"/>
        </w:rPr>
      </w:pPr>
      <w:r>
        <w:rPr>
          <w:noProof/>
        </w:rPr>
        <w:drawing>
          <wp:anchor distT="0" distB="0" distL="114300" distR="114300" simplePos="0" relativeHeight="251696128" behindDoc="1" locked="0" layoutInCell="1" allowOverlap="1" wp14:anchorId="7EC336B8" wp14:editId="31E7A2C8">
            <wp:simplePos x="0" y="0"/>
            <wp:positionH relativeFrom="column">
              <wp:posOffset>570002</wp:posOffset>
            </wp:positionH>
            <wp:positionV relativeFrom="paragraph">
              <wp:posOffset>64398</wp:posOffset>
            </wp:positionV>
            <wp:extent cx="1460380" cy="776685"/>
            <wp:effectExtent l="247650" t="228600" r="254635" b="785495"/>
            <wp:wrapTight wrapText="bothSides">
              <wp:wrapPolygon edited="0">
                <wp:start x="-3664" y="-6358"/>
                <wp:lineTo x="-3664" y="42917"/>
                <wp:lineTo x="25086" y="42917"/>
                <wp:lineTo x="25086" y="-6358"/>
                <wp:lineTo x="-3664" y="-6358"/>
              </wp:wrapPolygon>
            </wp:wrapTight>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b="5444"/>
                    <a:stretch/>
                  </pic:blipFill>
                  <pic:spPr bwMode="auto">
                    <a:xfrm>
                      <a:off x="0" y="0"/>
                      <a:ext cx="1460380" cy="77668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102FB8FD" w14:textId="77777777" w:rsidR="00C30A76" w:rsidRPr="004B7D4A" w:rsidRDefault="00C30A76" w:rsidP="00C30A76">
      <w:pPr>
        <w:jc w:val="both"/>
        <w:rPr>
          <w:rFonts w:ascii="Abadi" w:hAnsi="Abadi"/>
          <w:b/>
          <w:bCs/>
          <w:sz w:val="21"/>
          <w:szCs w:val="21"/>
        </w:rPr>
      </w:pPr>
    </w:p>
    <w:p w14:paraId="2EB74DA7" w14:textId="77777777" w:rsidR="001C6B4F" w:rsidRDefault="001C6B4F" w:rsidP="00C30A76">
      <w:pPr>
        <w:jc w:val="both"/>
        <w:rPr>
          <w:rFonts w:ascii="Abadi" w:hAnsi="Abadi"/>
          <w:sz w:val="21"/>
          <w:szCs w:val="21"/>
        </w:rPr>
      </w:pPr>
    </w:p>
    <w:p w14:paraId="07ED8FAF" w14:textId="77777777" w:rsidR="001C6B4F" w:rsidRDefault="001C6B4F" w:rsidP="00C30A76">
      <w:pPr>
        <w:jc w:val="both"/>
        <w:rPr>
          <w:rFonts w:ascii="Abadi" w:hAnsi="Abadi"/>
          <w:sz w:val="21"/>
          <w:szCs w:val="21"/>
        </w:rPr>
      </w:pPr>
    </w:p>
    <w:p w14:paraId="0C90235D" w14:textId="77777777" w:rsidR="001C6B4F" w:rsidRDefault="001C6B4F" w:rsidP="00C30A76">
      <w:pPr>
        <w:jc w:val="both"/>
        <w:rPr>
          <w:rFonts w:ascii="Abadi" w:hAnsi="Abadi"/>
          <w:sz w:val="21"/>
          <w:szCs w:val="21"/>
        </w:rPr>
      </w:pPr>
    </w:p>
    <w:p w14:paraId="4CB6457A" w14:textId="77777777" w:rsidR="001C6B4F" w:rsidRDefault="001C6B4F" w:rsidP="00C30A76">
      <w:pPr>
        <w:jc w:val="both"/>
        <w:rPr>
          <w:rFonts w:ascii="Abadi" w:hAnsi="Abadi"/>
          <w:sz w:val="21"/>
          <w:szCs w:val="21"/>
        </w:rPr>
      </w:pPr>
    </w:p>
    <w:p w14:paraId="5AE6044A" w14:textId="77777777" w:rsidR="001C6B4F" w:rsidRDefault="001C6B4F" w:rsidP="00C30A76">
      <w:pPr>
        <w:jc w:val="both"/>
        <w:rPr>
          <w:rFonts w:ascii="Abadi" w:hAnsi="Abadi"/>
          <w:sz w:val="21"/>
          <w:szCs w:val="21"/>
        </w:rPr>
      </w:pPr>
    </w:p>
    <w:p w14:paraId="2F54F8DC" w14:textId="77777777" w:rsidR="001C6B4F" w:rsidRDefault="001C6B4F" w:rsidP="00C30A76">
      <w:pPr>
        <w:jc w:val="both"/>
        <w:rPr>
          <w:rFonts w:ascii="Abadi" w:hAnsi="Abadi"/>
          <w:sz w:val="21"/>
          <w:szCs w:val="21"/>
        </w:rPr>
      </w:pPr>
    </w:p>
    <w:p w14:paraId="3139D6D4" w14:textId="77777777" w:rsidR="001C6B4F" w:rsidRDefault="001C6B4F" w:rsidP="00C30A76">
      <w:pPr>
        <w:jc w:val="both"/>
        <w:rPr>
          <w:rFonts w:ascii="Abadi" w:hAnsi="Abadi"/>
          <w:sz w:val="21"/>
          <w:szCs w:val="21"/>
        </w:rPr>
      </w:pPr>
    </w:p>
    <w:p w14:paraId="1B32E6C5" w14:textId="77777777" w:rsidR="001C6B4F" w:rsidRDefault="001C6B4F" w:rsidP="00C30A76">
      <w:pPr>
        <w:jc w:val="both"/>
        <w:rPr>
          <w:rFonts w:ascii="Abadi" w:hAnsi="Abadi"/>
          <w:sz w:val="21"/>
          <w:szCs w:val="21"/>
        </w:rPr>
      </w:pPr>
    </w:p>
    <w:p w14:paraId="11D87145" w14:textId="279ACAEC" w:rsidR="00C30A76" w:rsidRDefault="00C30A76" w:rsidP="00C30A76">
      <w:pPr>
        <w:jc w:val="both"/>
        <w:rPr>
          <w:rFonts w:ascii="Abadi" w:hAnsi="Abadi"/>
          <w:sz w:val="21"/>
          <w:szCs w:val="21"/>
        </w:rPr>
      </w:pPr>
      <w:r>
        <w:rPr>
          <w:rFonts w:ascii="Abadi" w:hAnsi="Abadi"/>
          <w:sz w:val="21"/>
          <w:szCs w:val="21"/>
        </w:rPr>
        <w:t xml:space="preserve">¡Gracias Presidente¡ solamente solicito, </w:t>
      </w:r>
      <w:r w:rsidRPr="006813AA">
        <w:rPr>
          <w:rFonts w:ascii="Abadi" w:hAnsi="Abadi"/>
          <w:sz w:val="21"/>
          <w:szCs w:val="21"/>
        </w:rPr>
        <w:t>se me tengan por presenta</w:t>
      </w:r>
      <w:r>
        <w:rPr>
          <w:rFonts w:ascii="Abadi" w:hAnsi="Abadi"/>
          <w:sz w:val="21"/>
          <w:szCs w:val="21"/>
        </w:rPr>
        <w:t xml:space="preserve">das </w:t>
      </w:r>
      <w:r w:rsidRPr="006813AA">
        <w:rPr>
          <w:rFonts w:ascii="Abadi" w:hAnsi="Abadi"/>
          <w:sz w:val="21"/>
          <w:szCs w:val="21"/>
        </w:rPr>
        <w:t xml:space="preserve">las consideraciones ya expuestas y la propuesta ya solicitada solicitando desde luego el apoyo </w:t>
      </w:r>
      <w:r>
        <w:rPr>
          <w:rFonts w:ascii="Abadi" w:hAnsi="Abadi"/>
          <w:sz w:val="21"/>
          <w:szCs w:val="21"/>
        </w:rPr>
        <w:t xml:space="preserve">y su voto a favor de nuestra  propuesta. </w:t>
      </w:r>
    </w:p>
    <w:p w14:paraId="7867984C" w14:textId="77777777" w:rsidR="001C6B4F" w:rsidRDefault="001C6B4F" w:rsidP="00C30A76">
      <w:pPr>
        <w:jc w:val="both"/>
        <w:rPr>
          <w:rFonts w:ascii="Abadi" w:hAnsi="Abadi"/>
          <w:sz w:val="21"/>
          <w:szCs w:val="21"/>
        </w:rPr>
      </w:pPr>
    </w:p>
    <w:p w14:paraId="377E0FC0" w14:textId="394A9046" w:rsidR="00C30A76" w:rsidRDefault="00C30A76" w:rsidP="00C30A76">
      <w:pPr>
        <w:jc w:val="both"/>
        <w:rPr>
          <w:rFonts w:ascii="Abadi" w:hAnsi="Abadi"/>
          <w:sz w:val="21"/>
          <w:szCs w:val="21"/>
        </w:rPr>
      </w:pPr>
      <w:r>
        <w:rPr>
          <w:rFonts w:ascii="Abadi" w:hAnsi="Abadi"/>
          <w:sz w:val="21"/>
          <w:szCs w:val="21"/>
        </w:rPr>
        <w:t>- Muchas Gracias.</w:t>
      </w:r>
    </w:p>
    <w:p w14:paraId="7C8DA039" w14:textId="77777777" w:rsidR="001C6B4F" w:rsidRPr="006813AA" w:rsidRDefault="001C6B4F" w:rsidP="00C30A76">
      <w:pPr>
        <w:jc w:val="both"/>
        <w:rPr>
          <w:rFonts w:ascii="Abadi" w:hAnsi="Abadi"/>
          <w:sz w:val="21"/>
          <w:szCs w:val="21"/>
        </w:rPr>
      </w:pPr>
    </w:p>
    <w:p w14:paraId="7A2F0E9D" w14:textId="60489FE5" w:rsidR="00C30A76" w:rsidRDefault="00C30A76" w:rsidP="00C30A76">
      <w:pPr>
        <w:ind w:firstLine="708"/>
        <w:jc w:val="both"/>
        <w:rPr>
          <w:rFonts w:ascii="Abadi" w:hAnsi="Abadi"/>
          <w:sz w:val="21"/>
          <w:szCs w:val="21"/>
        </w:rPr>
      </w:pPr>
      <w:r w:rsidRPr="00F060AF">
        <w:rPr>
          <w:rFonts w:ascii="Abadi" w:hAnsi="Abadi"/>
          <w:b/>
          <w:bCs/>
          <w:sz w:val="21"/>
          <w:szCs w:val="21"/>
        </w:rPr>
        <w:t>- El Presidente.-</w:t>
      </w:r>
      <w:r>
        <w:rPr>
          <w:rFonts w:ascii="Abadi" w:hAnsi="Abadi"/>
          <w:sz w:val="21"/>
          <w:szCs w:val="21"/>
        </w:rPr>
        <w:t xml:space="preserve"> N</w:t>
      </w:r>
      <w:r w:rsidRPr="006813AA">
        <w:rPr>
          <w:rFonts w:ascii="Abadi" w:hAnsi="Abadi"/>
          <w:sz w:val="21"/>
          <w:szCs w:val="21"/>
        </w:rPr>
        <w:t xml:space="preserve">o habiendo más intervenciones se solicita a la </w:t>
      </w:r>
      <w:r>
        <w:rPr>
          <w:rFonts w:ascii="Abadi" w:hAnsi="Abadi"/>
          <w:sz w:val="21"/>
          <w:szCs w:val="21"/>
        </w:rPr>
        <w:t>S</w:t>
      </w:r>
      <w:r w:rsidRPr="006813AA">
        <w:rPr>
          <w:rFonts w:ascii="Abadi" w:hAnsi="Abadi"/>
          <w:sz w:val="21"/>
          <w:szCs w:val="21"/>
        </w:rPr>
        <w:t xml:space="preserve">ecretaría recabar votación nominal de la </w:t>
      </w:r>
      <w:r>
        <w:rPr>
          <w:rFonts w:ascii="Abadi" w:hAnsi="Abadi"/>
          <w:sz w:val="21"/>
          <w:szCs w:val="21"/>
        </w:rPr>
        <w:t>A</w:t>
      </w:r>
      <w:r w:rsidRPr="006813AA">
        <w:rPr>
          <w:rFonts w:ascii="Abadi" w:hAnsi="Abadi"/>
          <w:sz w:val="21"/>
          <w:szCs w:val="21"/>
        </w:rPr>
        <w:t>samblea por el sistema electr</w:t>
      </w:r>
      <w:r>
        <w:rPr>
          <w:rFonts w:ascii="Abadi" w:hAnsi="Abadi"/>
          <w:sz w:val="21"/>
          <w:szCs w:val="21"/>
        </w:rPr>
        <w:t>onico. ¡perdón!</w:t>
      </w:r>
      <w:r>
        <w:rPr>
          <w:rFonts w:ascii="Abadi" w:hAnsi="Abadi"/>
          <w:sz w:val="21"/>
          <w:szCs w:val="21"/>
        </w:rPr>
        <w:tab/>
      </w:r>
    </w:p>
    <w:p w14:paraId="5D2AF153" w14:textId="77777777" w:rsidR="001C6B4F" w:rsidRPr="006813AA" w:rsidRDefault="001C6B4F" w:rsidP="00C30A76">
      <w:pPr>
        <w:ind w:firstLine="708"/>
        <w:jc w:val="both"/>
        <w:rPr>
          <w:rFonts w:ascii="Abadi" w:hAnsi="Abadi"/>
          <w:sz w:val="21"/>
          <w:szCs w:val="21"/>
        </w:rPr>
      </w:pPr>
    </w:p>
    <w:p w14:paraId="7A50A361" w14:textId="5378F4E3" w:rsidR="00C30A76" w:rsidRDefault="00C30A76" w:rsidP="00C30A76">
      <w:pPr>
        <w:ind w:firstLine="708"/>
        <w:jc w:val="both"/>
        <w:rPr>
          <w:rFonts w:ascii="Abadi" w:hAnsi="Abadi"/>
          <w:sz w:val="21"/>
          <w:szCs w:val="21"/>
        </w:rPr>
      </w:pPr>
      <w:r>
        <w:rPr>
          <w:rFonts w:ascii="Abadi" w:hAnsi="Abadi"/>
          <w:sz w:val="21"/>
          <w:szCs w:val="21"/>
        </w:rPr>
        <w:t xml:space="preserve">- Con </w:t>
      </w:r>
      <w:r w:rsidRPr="006813AA">
        <w:rPr>
          <w:rFonts w:ascii="Abadi" w:hAnsi="Abadi"/>
          <w:sz w:val="21"/>
          <w:szCs w:val="21"/>
        </w:rPr>
        <w:t xml:space="preserve">fundamento dispuesto por el artículo 187 de nuestra </w:t>
      </w:r>
      <w:r>
        <w:rPr>
          <w:rFonts w:ascii="Abadi" w:hAnsi="Abadi"/>
          <w:sz w:val="21"/>
          <w:szCs w:val="21"/>
        </w:rPr>
        <w:t>L</w:t>
      </w:r>
      <w:r w:rsidRPr="006813AA">
        <w:rPr>
          <w:rFonts w:ascii="Abadi" w:hAnsi="Abadi"/>
          <w:sz w:val="21"/>
          <w:szCs w:val="21"/>
        </w:rPr>
        <w:t xml:space="preserve">ey </w:t>
      </w:r>
      <w:r>
        <w:rPr>
          <w:rFonts w:ascii="Abadi" w:hAnsi="Abadi"/>
          <w:sz w:val="21"/>
          <w:szCs w:val="21"/>
        </w:rPr>
        <w:t>O</w:t>
      </w:r>
      <w:r w:rsidRPr="006813AA">
        <w:rPr>
          <w:rFonts w:ascii="Abadi" w:hAnsi="Abadi"/>
          <w:sz w:val="21"/>
          <w:szCs w:val="21"/>
        </w:rPr>
        <w:t xml:space="preserve">rgánica se somete a consideración de la </w:t>
      </w:r>
      <w:r>
        <w:rPr>
          <w:rFonts w:ascii="Abadi" w:hAnsi="Abadi"/>
          <w:sz w:val="21"/>
          <w:szCs w:val="21"/>
        </w:rPr>
        <w:t>A</w:t>
      </w:r>
      <w:r w:rsidRPr="006813AA">
        <w:rPr>
          <w:rFonts w:ascii="Abadi" w:hAnsi="Abadi"/>
          <w:sz w:val="21"/>
          <w:szCs w:val="21"/>
        </w:rPr>
        <w:t xml:space="preserve">samblea la propuesta de modificación al artículo primero formulada por la diputada </w:t>
      </w:r>
      <w:r>
        <w:rPr>
          <w:rFonts w:ascii="Abadi" w:hAnsi="Abadi"/>
          <w:sz w:val="21"/>
          <w:szCs w:val="21"/>
        </w:rPr>
        <w:t>A</w:t>
      </w:r>
      <w:r w:rsidRPr="006813AA">
        <w:rPr>
          <w:rFonts w:ascii="Abadi" w:hAnsi="Abadi"/>
          <w:sz w:val="21"/>
          <w:szCs w:val="21"/>
        </w:rPr>
        <w:t xml:space="preserve">lma </w:t>
      </w:r>
      <w:r>
        <w:rPr>
          <w:rFonts w:ascii="Abadi" w:hAnsi="Abadi"/>
          <w:sz w:val="21"/>
          <w:szCs w:val="21"/>
        </w:rPr>
        <w:t>Edwviges A</w:t>
      </w:r>
      <w:r w:rsidRPr="006813AA">
        <w:rPr>
          <w:rFonts w:ascii="Abadi" w:hAnsi="Abadi"/>
          <w:sz w:val="21"/>
          <w:szCs w:val="21"/>
        </w:rPr>
        <w:t>lcaraz Hernández</w:t>
      </w:r>
      <w:r>
        <w:rPr>
          <w:rFonts w:ascii="Abadi" w:hAnsi="Abadi"/>
          <w:sz w:val="21"/>
          <w:szCs w:val="21"/>
        </w:rPr>
        <w:t xml:space="preserve">, </w:t>
      </w:r>
      <w:r w:rsidRPr="006813AA">
        <w:rPr>
          <w:rFonts w:ascii="Abadi" w:hAnsi="Abadi"/>
          <w:sz w:val="21"/>
          <w:szCs w:val="21"/>
        </w:rPr>
        <w:t xml:space="preserve">si desean hacer </w:t>
      </w:r>
      <w:r>
        <w:rPr>
          <w:rFonts w:ascii="Abadi" w:hAnsi="Abadi"/>
          <w:sz w:val="21"/>
          <w:szCs w:val="21"/>
        </w:rPr>
        <w:t>u</w:t>
      </w:r>
      <w:r w:rsidRPr="006813AA">
        <w:rPr>
          <w:rFonts w:ascii="Abadi" w:hAnsi="Abadi"/>
          <w:sz w:val="21"/>
          <w:szCs w:val="21"/>
        </w:rPr>
        <w:t>so de la palabra en pro y en contra de acuerdo a su propuesta manifiéstenlo a esta presidencia</w:t>
      </w:r>
      <w:r>
        <w:rPr>
          <w:rFonts w:ascii="Abadi" w:hAnsi="Abadi"/>
          <w:sz w:val="21"/>
          <w:szCs w:val="21"/>
        </w:rPr>
        <w:t>.</w:t>
      </w:r>
    </w:p>
    <w:p w14:paraId="62578C58" w14:textId="77777777" w:rsidR="001C6B4F" w:rsidRPr="006813AA" w:rsidRDefault="001C6B4F" w:rsidP="00C30A76">
      <w:pPr>
        <w:ind w:firstLine="708"/>
        <w:jc w:val="both"/>
        <w:rPr>
          <w:rFonts w:ascii="Abadi" w:hAnsi="Abadi"/>
          <w:sz w:val="21"/>
          <w:szCs w:val="21"/>
        </w:rPr>
      </w:pPr>
    </w:p>
    <w:p w14:paraId="0298B44E" w14:textId="67EBB24B" w:rsidR="00C30A76" w:rsidRDefault="00C30A76" w:rsidP="00C30A76">
      <w:pPr>
        <w:ind w:firstLine="708"/>
        <w:jc w:val="both"/>
        <w:rPr>
          <w:rFonts w:ascii="Abadi" w:hAnsi="Abadi"/>
          <w:sz w:val="21"/>
          <w:szCs w:val="21"/>
        </w:rPr>
      </w:pPr>
      <w:r>
        <w:rPr>
          <w:rFonts w:ascii="Abadi" w:hAnsi="Abadi"/>
          <w:sz w:val="21"/>
          <w:szCs w:val="21"/>
        </w:rPr>
        <w:t>- N</w:t>
      </w:r>
      <w:r w:rsidRPr="006813AA">
        <w:rPr>
          <w:rFonts w:ascii="Abadi" w:hAnsi="Abadi"/>
          <w:sz w:val="21"/>
          <w:szCs w:val="21"/>
        </w:rPr>
        <w:t xml:space="preserve">o habiendo intervenciones se solicita ahora sí a la </w:t>
      </w:r>
      <w:r>
        <w:rPr>
          <w:rFonts w:ascii="Abadi" w:hAnsi="Abadi"/>
          <w:sz w:val="21"/>
          <w:szCs w:val="21"/>
        </w:rPr>
        <w:t>S</w:t>
      </w:r>
      <w:r w:rsidRPr="006813AA">
        <w:rPr>
          <w:rFonts w:ascii="Abadi" w:hAnsi="Abadi"/>
          <w:sz w:val="21"/>
          <w:szCs w:val="21"/>
        </w:rPr>
        <w:t xml:space="preserve">ecretaría de recabar votación nominal de la </w:t>
      </w:r>
      <w:r>
        <w:rPr>
          <w:rFonts w:ascii="Abadi" w:hAnsi="Abadi"/>
          <w:sz w:val="21"/>
          <w:szCs w:val="21"/>
        </w:rPr>
        <w:t>A</w:t>
      </w:r>
      <w:r w:rsidRPr="006813AA">
        <w:rPr>
          <w:rFonts w:ascii="Abadi" w:hAnsi="Abadi"/>
          <w:sz w:val="21"/>
          <w:szCs w:val="21"/>
        </w:rPr>
        <w:t xml:space="preserve">samblea por el sistema electrónico para aprobar o no la propuesta de modificación para tal efecto </w:t>
      </w:r>
    </w:p>
    <w:p w14:paraId="5823CDD2" w14:textId="77777777" w:rsidR="001C6B4F" w:rsidRDefault="001C6B4F" w:rsidP="00C30A76">
      <w:pPr>
        <w:ind w:firstLine="708"/>
        <w:jc w:val="both"/>
        <w:rPr>
          <w:rFonts w:ascii="Abadi" w:hAnsi="Abadi"/>
          <w:sz w:val="21"/>
          <w:szCs w:val="21"/>
        </w:rPr>
      </w:pPr>
    </w:p>
    <w:p w14:paraId="1ECADF78" w14:textId="77777777" w:rsidR="001C6B4F" w:rsidRDefault="001C6B4F" w:rsidP="00C30A76">
      <w:pPr>
        <w:jc w:val="both"/>
        <w:rPr>
          <w:rFonts w:ascii="Abadi" w:hAnsi="Abadi"/>
          <w:b/>
          <w:bCs/>
          <w:sz w:val="21"/>
          <w:szCs w:val="21"/>
        </w:rPr>
      </w:pPr>
    </w:p>
    <w:p w14:paraId="3749D5C0" w14:textId="709BE4AD" w:rsidR="00C30A76" w:rsidRDefault="00C30A76" w:rsidP="00C30A76">
      <w:pPr>
        <w:jc w:val="both"/>
        <w:rPr>
          <w:rFonts w:ascii="Abadi" w:hAnsi="Abadi"/>
          <w:b/>
          <w:bCs/>
          <w:sz w:val="21"/>
          <w:szCs w:val="21"/>
        </w:rPr>
      </w:pPr>
      <w:r w:rsidRPr="00F060AF">
        <w:rPr>
          <w:rFonts w:ascii="Abadi" w:hAnsi="Abadi"/>
          <w:b/>
          <w:bCs/>
          <w:sz w:val="21"/>
          <w:szCs w:val="21"/>
        </w:rPr>
        <w:t>(Se abre nuestro sistema electrónico)</w:t>
      </w:r>
    </w:p>
    <w:p w14:paraId="27A0B690" w14:textId="77777777" w:rsidR="001C6B4F" w:rsidRPr="00F060AF" w:rsidRDefault="001C6B4F" w:rsidP="00C30A76">
      <w:pPr>
        <w:jc w:val="both"/>
        <w:rPr>
          <w:rFonts w:ascii="Abadi" w:hAnsi="Abadi"/>
          <w:b/>
          <w:bCs/>
          <w:sz w:val="21"/>
          <w:szCs w:val="21"/>
        </w:rPr>
      </w:pPr>
    </w:p>
    <w:p w14:paraId="2699F02F" w14:textId="0F206CC7" w:rsidR="00C30A76" w:rsidRDefault="00C30A76" w:rsidP="00C30A76">
      <w:pPr>
        <w:ind w:firstLine="708"/>
        <w:jc w:val="both"/>
        <w:rPr>
          <w:rFonts w:ascii="Abadi" w:hAnsi="Abadi"/>
          <w:sz w:val="21"/>
          <w:szCs w:val="21"/>
        </w:rPr>
      </w:pPr>
      <w:r w:rsidRPr="00F060AF">
        <w:rPr>
          <w:rFonts w:ascii="Abadi" w:hAnsi="Abadi"/>
          <w:b/>
          <w:bCs/>
          <w:sz w:val="21"/>
          <w:szCs w:val="21"/>
        </w:rPr>
        <w:t>- El Secretario.-</w:t>
      </w:r>
      <w:r>
        <w:rPr>
          <w:rFonts w:ascii="Abadi" w:hAnsi="Abadi"/>
          <w:sz w:val="21"/>
          <w:szCs w:val="21"/>
        </w:rPr>
        <w:t xml:space="preserve"> E</w:t>
      </w:r>
      <w:r w:rsidRPr="006813AA">
        <w:rPr>
          <w:rFonts w:ascii="Abadi" w:hAnsi="Abadi"/>
          <w:sz w:val="21"/>
          <w:szCs w:val="21"/>
        </w:rPr>
        <w:t xml:space="preserve">n votación nominal por el sistema electrónico se pregunta a la </w:t>
      </w:r>
      <w:r>
        <w:rPr>
          <w:rFonts w:ascii="Abadi" w:hAnsi="Abadi"/>
          <w:sz w:val="21"/>
          <w:szCs w:val="21"/>
        </w:rPr>
        <w:t>A</w:t>
      </w:r>
      <w:r w:rsidRPr="006813AA">
        <w:rPr>
          <w:rFonts w:ascii="Abadi" w:hAnsi="Abadi"/>
          <w:sz w:val="21"/>
          <w:szCs w:val="21"/>
        </w:rPr>
        <w:t>samblea si es de aprobarse la propuesta que nos ocu</w:t>
      </w:r>
      <w:r>
        <w:rPr>
          <w:rFonts w:ascii="Abadi" w:hAnsi="Abadi"/>
          <w:sz w:val="21"/>
          <w:szCs w:val="21"/>
        </w:rPr>
        <w:t>pa.</w:t>
      </w:r>
    </w:p>
    <w:p w14:paraId="69F9C151" w14:textId="77777777" w:rsidR="00C30A76" w:rsidRPr="006813AA" w:rsidRDefault="00C30A76" w:rsidP="00C30A76">
      <w:pPr>
        <w:ind w:firstLine="708"/>
        <w:jc w:val="both"/>
        <w:rPr>
          <w:rFonts w:ascii="Abadi" w:hAnsi="Abadi"/>
          <w:sz w:val="21"/>
          <w:szCs w:val="21"/>
        </w:rPr>
      </w:pPr>
    </w:p>
    <w:p w14:paraId="7AA005D9" w14:textId="2D7A3504" w:rsidR="00C30A76" w:rsidRDefault="00C30A76" w:rsidP="00C30A76">
      <w:pPr>
        <w:jc w:val="both"/>
        <w:rPr>
          <w:rFonts w:ascii="Abadi" w:hAnsi="Abadi"/>
          <w:sz w:val="21"/>
          <w:szCs w:val="21"/>
        </w:rPr>
      </w:pPr>
      <w:r>
        <w:rPr>
          <w:rFonts w:ascii="Abadi" w:hAnsi="Abadi"/>
          <w:sz w:val="21"/>
          <w:szCs w:val="21"/>
        </w:rPr>
        <w:t>¿F</w:t>
      </w:r>
      <w:r w:rsidRPr="006813AA">
        <w:rPr>
          <w:rFonts w:ascii="Abadi" w:hAnsi="Abadi"/>
          <w:sz w:val="21"/>
          <w:szCs w:val="21"/>
        </w:rPr>
        <w:t>alta alguna diputada o algún diputado de emitir su voto</w:t>
      </w:r>
      <w:r>
        <w:rPr>
          <w:rFonts w:ascii="Abadi" w:hAnsi="Abadi"/>
          <w:sz w:val="21"/>
          <w:szCs w:val="21"/>
        </w:rPr>
        <w:t>?</w:t>
      </w:r>
    </w:p>
    <w:p w14:paraId="4450A635" w14:textId="77777777" w:rsidR="00C30A76" w:rsidRDefault="00C30A76" w:rsidP="00C30A76">
      <w:pPr>
        <w:jc w:val="both"/>
        <w:rPr>
          <w:rFonts w:ascii="Abadi" w:hAnsi="Abadi"/>
          <w:sz w:val="21"/>
          <w:szCs w:val="21"/>
        </w:rPr>
      </w:pPr>
    </w:p>
    <w:p w14:paraId="680D60AC" w14:textId="77777777" w:rsidR="00C30A76" w:rsidRDefault="00C30A76" w:rsidP="00C30A76">
      <w:pPr>
        <w:jc w:val="both"/>
        <w:rPr>
          <w:rFonts w:ascii="Abadi" w:hAnsi="Abadi"/>
          <w:b/>
          <w:bCs/>
          <w:sz w:val="21"/>
          <w:szCs w:val="21"/>
        </w:rPr>
      </w:pPr>
      <w:r w:rsidRPr="00DA77ED">
        <w:rPr>
          <w:rFonts w:ascii="Abadi" w:hAnsi="Abadi"/>
          <w:b/>
          <w:bCs/>
          <w:sz w:val="21"/>
          <w:szCs w:val="21"/>
        </w:rPr>
        <w:t>(Se cierr</w:t>
      </w:r>
      <w:r>
        <w:rPr>
          <w:rFonts w:ascii="Abadi" w:hAnsi="Abadi"/>
          <w:b/>
          <w:bCs/>
          <w:sz w:val="21"/>
          <w:szCs w:val="21"/>
        </w:rPr>
        <w:t>a</w:t>
      </w:r>
      <w:r w:rsidRPr="00DA77ED">
        <w:rPr>
          <w:rFonts w:ascii="Abadi" w:hAnsi="Abadi"/>
          <w:b/>
          <w:bCs/>
          <w:sz w:val="21"/>
          <w:szCs w:val="21"/>
        </w:rPr>
        <w:t xml:space="preserve"> del sistema electrónico)</w:t>
      </w:r>
    </w:p>
    <w:p w14:paraId="644296A6" w14:textId="77777777" w:rsidR="00C30A76" w:rsidRPr="00DA77ED" w:rsidRDefault="00C30A76" w:rsidP="00C30A76">
      <w:pPr>
        <w:jc w:val="both"/>
        <w:rPr>
          <w:rFonts w:ascii="Abadi" w:hAnsi="Abadi"/>
          <w:b/>
          <w:bCs/>
          <w:sz w:val="21"/>
          <w:szCs w:val="21"/>
        </w:rPr>
      </w:pPr>
      <w:r>
        <w:rPr>
          <w:noProof/>
        </w:rPr>
        <w:drawing>
          <wp:inline distT="0" distB="0" distL="0" distR="0" wp14:anchorId="6CB362B2" wp14:editId="4382E1E2">
            <wp:extent cx="1686104" cy="880270"/>
            <wp:effectExtent l="323850" t="323850" r="314325" b="32004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b="7143"/>
                    <a:stretch/>
                  </pic:blipFill>
                  <pic:spPr bwMode="auto">
                    <a:xfrm>
                      <a:off x="0" y="0"/>
                      <a:ext cx="1707011" cy="891185"/>
                    </a:xfrm>
                    <a:prstGeom prst="rect">
                      <a:avLst/>
                    </a:prstGeom>
                    <a:ln w="88900" cap="sq" cmpd="thickThin">
                      <a:solidFill>
                        <a:srgbClr val="000000"/>
                      </a:solidFill>
                      <a:prstDash val="solid"/>
                      <a:miter lim="800000"/>
                    </a:ln>
                    <a:effectLst>
                      <a:glow rad="228600">
                        <a:schemeClr val="accent3">
                          <a:satMod val="1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699A5B48" w14:textId="30F6933C" w:rsidR="00C30A76" w:rsidRDefault="00C30A76" w:rsidP="00C30A76">
      <w:pPr>
        <w:ind w:firstLine="708"/>
        <w:jc w:val="both"/>
        <w:rPr>
          <w:rFonts w:ascii="Abadi" w:hAnsi="Abadi"/>
          <w:sz w:val="21"/>
          <w:szCs w:val="21"/>
        </w:rPr>
      </w:pPr>
      <w:r w:rsidRPr="00DA77ED">
        <w:rPr>
          <w:rFonts w:ascii="Abadi" w:hAnsi="Abadi"/>
          <w:b/>
          <w:bCs/>
          <w:sz w:val="21"/>
          <w:szCs w:val="21"/>
        </w:rPr>
        <w:t>- El Secretario.-</w:t>
      </w:r>
      <w:r>
        <w:rPr>
          <w:rFonts w:ascii="Abadi" w:hAnsi="Abadi"/>
          <w:sz w:val="21"/>
          <w:szCs w:val="21"/>
        </w:rPr>
        <w:t xml:space="preserve"> S</w:t>
      </w:r>
      <w:r w:rsidRPr="006813AA">
        <w:rPr>
          <w:rFonts w:ascii="Abadi" w:hAnsi="Abadi"/>
          <w:sz w:val="21"/>
          <w:szCs w:val="21"/>
        </w:rPr>
        <w:t>eñor Presidente se registraron 5 votos a favor y 27 votos en contra</w:t>
      </w:r>
      <w:r>
        <w:rPr>
          <w:rFonts w:ascii="Abadi" w:hAnsi="Abadi"/>
          <w:sz w:val="21"/>
          <w:szCs w:val="21"/>
        </w:rPr>
        <w:t>.</w:t>
      </w:r>
    </w:p>
    <w:p w14:paraId="7E7B31D2" w14:textId="77777777" w:rsidR="00C30A76" w:rsidRPr="006813AA" w:rsidRDefault="00C30A76" w:rsidP="00C30A76">
      <w:pPr>
        <w:ind w:firstLine="708"/>
        <w:jc w:val="both"/>
        <w:rPr>
          <w:rFonts w:ascii="Abadi" w:hAnsi="Abadi"/>
          <w:sz w:val="21"/>
          <w:szCs w:val="21"/>
        </w:rPr>
      </w:pPr>
    </w:p>
    <w:p w14:paraId="61ACD875" w14:textId="70E70928" w:rsidR="00C30A76" w:rsidRDefault="00C30A76" w:rsidP="00C30A76">
      <w:pPr>
        <w:jc w:val="both"/>
        <w:rPr>
          <w:rFonts w:ascii="Abadi" w:hAnsi="Abadi"/>
          <w:sz w:val="21"/>
          <w:szCs w:val="21"/>
        </w:rPr>
      </w:pPr>
      <w:r>
        <w:rPr>
          <w:rFonts w:ascii="Abadi" w:hAnsi="Abadi"/>
          <w:b/>
          <w:bCs/>
          <w:sz w:val="21"/>
          <w:szCs w:val="21"/>
        </w:rPr>
        <w:tab/>
      </w:r>
      <w:r w:rsidRPr="00DA77ED">
        <w:rPr>
          <w:rFonts w:ascii="Abadi" w:hAnsi="Abadi"/>
          <w:b/>
          <w:bCs/>
          <w:sz w:val="21"/>
          <w:szCs w:val="21"/>
        </w:rPr>
        <w:t>- El Presidente.-</w:t>
      </w:r>
      <w:r>
        <w:rPr>
          <w:rFonts w:ascii="Abadi" w:hAnsi="Abadi"/>
          <w:sz w:val="21"/>
          <w:szCs w:val="21"/>
        </w:rPr>
        <w:t xml:space="preserve"> E</w:t>
      </w:r>
      <w:r w:rsidRPr="006813AA">
        <w:rPr>
          <w:rFonts w:ascii="Abadi" w:hAnsi="Abadi"/>
          <w:sz w:val="21"/>
          <w:szCs w:val="21"/>
        </w:rPr>
        <w:t>n consecuencia la propuesta no ha sido aprobada por mayoría de votos</w:t>
      </w:r>
      <w:r>
        <w:rPr>
          <w:rFonts w:ascii="Abadi" w:hAnsi="Abadi"/>
          <w:sz w:val="21"/>
          <w:szCs w:val="21"/>
        </w:rPr>
        <w:t>.</w:t>
      </w:r>
    </w:p>
    <w:p w14:paraId="6A5744C8" w14:textId="77777777" w:rsidR="00C30A76" w:rsidRPr="006813AA" w:rsidRDefault="00C30A76" w:rsidP="00C30A76">
      <w:pPr>
        <w:jc w:val="both"/>
        <w:rPr>
          <w:rFonts w:ascii="Abadi" w:hAnsi="Abadi"/>
          <w:sz w:val="21"/>
          <w:szCs w:val="21"/>
        </w:rPr>
      </w:pPr>
    </w:p>
    <w:p w14:paraId="3EF8F1A5" w14:textId="69DB4EFB" w:rsidR="00C30A76" w:rsidRDefault="00C30A76" w:rsidP="00C30A76">
      <w:pPr>
        <w:ind w:firstLine="708"/>
        <w:jc w:val="both"/>
        <w:rPr>
          <w:rFonts w:ascii="Abadi" w:hAnsi="Abadi"/>
          <w:sz w:val="21"/>
          <w:szCs w:val="21"/>
        </w:rPr>
      </w:pPr>
      <w:r w:rsidRPr="00EE353E">
        <w:rPr>
          <w:rFonts w:ascii="Abadi" w:hAnsi="Abadi"/>
          <w:b/>
          <w:bCs/>
          <w:sz w:val="21"/>
          <w:szCs w:val="21"/>
        </w:rPr>
        <w:t>- El Presidente.-</w:t>
      </w:r>
      <w:r>
        <w:rPr>
          <w:rFonts w:ascii="Abadi" w:hAnsi="Abadi"/>
          <w:sz w:val="21"/>
          <w:szCs w:val="21"/>
        </w:rPr>
        <w:t xml:space="preserve"> E</w:t>
      </w:r>
      <w:r w:rsidRPr="006813AA">
        <w:rPr>
          <w:rFonts w:ascii="Abadi" w:hAnsi="Abadi"/>
          <w:sz w:val="21"/>
          <w:szCs w:val="21"/>
        </w:rPr>
        <w:t>sta presidencia declar</w:t>
      </w:r>
      <w:r>
        <w:rPr>
          <w:rFonts w:ascii="Abadi" w:hAnsi="Abadi"/>
          <w:sz w:val="21"/>
          <w:szCs w:val="21"/>
        </w:rPr>
        <w:t>a</w:t>
      </w:r>
      <w:r w:rsidRPr="006813AA">
        <w:rPr>
          <w:rFonts w:ascii="Abadi" w:hAnsi="Abadi"/>
          <w:sz w:val="21"/>
          <w:szCs w:val="21"/>
        </w:rPr>
        <w:t xml:space="preserve"> tener por aprobados todos aquellos puntos que </w:t>
      </w:r>
      <w:r>
        <w:rPr>
          <w:rFonts w:ascii="Abadi" w:hAnsi="Abadi"/>
          <w:sz w:val="21"/>
          <w:szCs w:val="21"/>
        </w:rPr>
        <w:t>no fueron r</w:t>
      </w:r>
      <w:r w:rsidRPr="006813AA">
        <w:rPr>
          <w:rFonts w:ascii="Abadi" w:hAnsi="Abadi"/>
          <w:sz w:val="21"/>
          <w:szCs w:val="21"/>
        </w:rPr>
        <w:t>eservados</w:t>
      </w:r>
      <w:r>
        <w:rPr>
          <w:rFonts w:ascii="Abadi" w:hAnsi="Abadi"/>
          <w:sz w:val="21"/>
          <w:szCs w:val="21"/>
        </w:rPr>
        <w:t>.</w:t>
      </w:r>
    </w:p>
    <w:p w14:paraId="1D71E946" w14:textId="360EE019" w:rsidR="00C30A76" w:rsidRDefault="00C30A76" w:rsidP="00C30A76">
      <w:pPr>
        <w:ind w:firstLine="708"/>
        <w:jc w:val="both"/>
        <w:rPr>
          <w:rFonts w:ascii="Abadi" w:hAnsi="Abadi"/>
          <w:sz w:val="21"/>
          <w:szCs w:val="21"/>
        </w:rPr>
      </w:pPr>
    </w:p>
    <w:p w14:paraId="73B7E55D" w14:textId="77777777" w:rsidR="00C30A76" w:rsidRDefault="00C30A76" w:rsidP="00C30A76">
      <w:pPr>
        <w:ind w:firstLine="708"/>
        <w:jc w:val="both"/>
        <w:rPr>
          <w:rFonts w:ascii="Abadi" w:hAnsi="Abadi"/>
          <w:sz w:val="21"/>
          <w:szCs w:val="21"/>
        </w:rPr>
      </w:pPr>
    </w:p>
    <w:p w14:paraId="6F5B2B6B" w14:textId="2B7204CD" w:rsidR="00C30A76" w:rsidRDefault="00C30A76" w:rsidP="001C6B4F">
      <w:pPr>
        <w:ind w:left="284" w:right="567"/>
        <w:jc w:val="both"/>
        <w:rPr>
          <w:rFonts w:ascii="Abadi" w:hAnsi="Abadi"/>
          <w:b/>
          <w:bCs/>
          <w:i/>
          <w:iCs/>
          <w:sz w:val="21"/>
          <w:szCs w:val="21"/>
          <w:u w:val="single"/>
        </w:rPr>
      </w:pPr>
      <w:r w:rsidRPr="00FB4E1A">
        <w:rPr>
          <w:rFonts w:ascii="Abadi" w:hAnsi="Abadi"/>
          <w:b/>
          <w:bCs/>
          <w:i/>
          <w:iCs/>
          <w:sz w:val="21"/>
          <w:szCs w:val="21"/>
          <w:u w:val="single"/>
        </w:rPr>
        <w:t>En consecuencia remítase el acuerdo aprobado junto con sus consideraciones a los 46 ayuntamientos de la entidad para su conocimiento así como el Ejecutivo del Estado para su publicación en el Periódico Oficial de Gobierno del Estado.</w:t>
      </w:r>
    </w:p>
    <w:p w14:paraId="502EF9F3" w14:textId="77777777" w:rsidR="001C6B4F" w:rsidRPr="00FB4E1A" w:rsidRDefault="001C6B4F" w:rsidP="001C6B4F">
      <w:pPr>
        <w:ind w:left="284" w:right="567"/>
        <w:jc w:val="both"/>
        <w:rPr>
          <w:rFonts w:ascii="Abadi" w:hAnsi="Abadi"/>
          <w:b/>
          <w:bCs/>
          <w:i/>
          <w:iCs/>
          <w:sz w:val="21"/>
          <w:szCs w:val="21"/>
          <w:u w:val="single"/>
        </w:rPr>
      </w:pPr>
    </w:p>
    <w:p w14:paraId="179D97F7" w14:textId="77777777" w:rsidR="00C30A76" w:rsidRPr="00FB4E1A" w:rsidRDefault="00C30A76" w:rsidP="001C6B4F">
      <w:pPr>
        <w:ind w:left="284" w:right="567"/>
        <w:jc w:val="both"/>
        <w:rPr>
          <w:rFonts w:ascii="Abadi" w:hAnsi="Abadi"/>
          <w:b/>
          <w:bCs/>
          <w:i/>
          <w:iCs/>
          <w:sz w:val="21"/>
          <w:szCs w:val="21"/>
          <w:u w:val="single"/>
        </w:rPr>
      </w:pPr>
      <w:r w:rsidRPr="00FB4E1A">
        <w:rPr>
          <w:rFonts w:ascii="Abadi" w:hAnsi="Abadi"/>
          <w:b/>
          <w:bCs/>
          <w:i/>
          <w:iCs/>
          <w:sz w:val="21"/>
          <w:szCs w:val="21"/>
          <w:u w:val="single"/>
        </w:rPr>
        <w:t>De igual manera se instruye a la dirección de relaciones interinstitucionales de este Congreso para que proceda a la publicación de la propuesta aprobada en un diario de amplia circulación en cada uno de los 46 municipios</w:t>
      </w:r>
      <w:r>
        <w:rPr>
          <w:rFonts w:ascii="Abadi" w:hAnsi="Abadi"/>
          <w:b/>
          <w:bCs/>
          <w:i/>
          <w:iCs/>
          <w:sz w:val="21"/>
          <w:szCs w:val="21"/>
          <w:u w:val="single"/>
        </w:rPr>
        <w:t>.</w:t>
      </w:r>
    </w:p>
    <w:p w14:paraId="5466E3D7" w14:textId="77777777" w:rsidR="005647AC" w:rsidRPr="00E81330" w:rsidRDefault="005647AC" w:rsidP="001C6B4F">
      <w:pPr>
        <w:autoSpaceDE w:val="0"/>
        <w:autoSpaceDN w:val="0"/>
        <w:adjustRightInd w:val="0"/>
        <w:ind w:left="284" w:right="567"/>
        <w:rPr>
          <w:rFonts w:ascii="Abadi" w:eastAsiaTheme="minorHAnsi" w:hAnsi="Abadi" w:cs="*Verdana-Bold-5470-Identity-H"/>
          <w:b/>
          <w:bCs/>
          <w:color w:val="131313"/>
          <w:sz w:val="21"/>
          <w:szCs w:val="21"/>
          <w:lang w:val="es-MX" w:eastAsia="en-US"/>
        </w:rPr>
      </w:pPr>
    </w:p>
    <w:p w14:paraId="6F05EDB1" w14:textId="77777777" w:rsidR="008D6A8E" w:rsidRPr="0028553C" w:rsidRDefault="008D6A8E" w:rsidP="00E462B6">
      <w:pPr>
        <w:autoSpaceDE w:val="0"/>
        <w:autoSpaceDN w:val="0"/>
        <w:adjustRightInd w:val="0"/>
        <w:jc w:val="both"/>
        <w:rPr>
          <w:rFonts w:ascii="Abadi" w:hAnsi="Abadi" w:cs="ArialMT"/>
          <w:b/>
          <w:bCs/>
          <w:sz w:val="20"/>
          <w:szCs w:val="21"/>
        </w:rPr>
      </w:pPr>
    </w:p>
    <w:p w14:paraId="63CFA614" w14:textId="01E06B74" w:rsidR="00E462B6" w:rsidRPr="0028553C" w:rsidRDefault="00E462B6" w:rsidP="00EE07AF">
      <w:pPr>
        <w:pStyle w:val="Prrafodelista"/>
        <w:numPr>
          <w:ilvl w:val="0"/>
          <w:numId w:val="14"/>
        </w:numPr>
        <w:autoSpaceDE w:val="0"/>
        <w:autoSpaceDN w:val="0"/>
        <w:adjustRightInd w:val="0"/>
        <w:ind w:left="426"/>
        <w:contextualSpacing/>
        <w:jc w:val="both"/>
        <w:rPr>
          <w:rFonts w:ascii="Abadi" w:hAnsi="Abadi" w:cs="ArialMT"/>
          <w:b/>
          <w:bCs/>
          <w:sz w:val="20"/>
          <w:szCs w:val="21"/>
        </w:rPr>
      </w:pPr>
      <w:r w:rsidRPr="0028553C">
        <w:rPr>
          <w:rFonts w:ascii="Abadi" w:hAnsi="Abadi" w:cs="ArialMT"/>
          <w:b/>
          <w:bCs/>
          <w:sz w:val="20"/>
          <w:szCs w:val="21"/>
        </w:rPr>
        <w:t>PRESENTACIÓN DEL INFORME DE LOS CONCEPTOS GENERALES DE LOS ESTADOS FINANCIEROS DE LOS RECURSOS PRESUPUESTALES Y LAS TRANSFERENCIAS Y AJUSTES PRESUPUESTALES, CORRESPONDIENTE AL PERIODO COMPRENDIDO DEL 1 AL 31 DE AGOSTO DEL AÑO EN CURSO, FORMULADO POR LA COMISIÓN DE ADMINISTRACIÓN Y, EN SU CASO, APROBACIÓN DEL MISMO.</w:t>
      </w:r>
      <w:r w:rsidR="001C7C18">
        <w:rPr>
          <w:rStyle w:val="Refdenotaalpie"/>
          <w:rFonts w:ascii="Abadi" w:hAnsi="Abadi" w:cs="ArialMT"/>
          <w:b/>
          <w:bCs/>
          <w:sz w:val="20"/>
          <w:szCs w:val="21"/>
        </w:rPr>
        <w:footnoteReference w:id="72"/>
      </w:r>
    </w:p>
    <w:p w14:paraId="30233DE2" w14:textId="7A0A1A18" w:rsidR="00E462B6" w:rsidRDefault="00E462B6" w:rsidP="00E462B6">
      <w:pPr>
        <w:autoSpaceDE w:val="0"/>
        <w:autoSpaceDN w:val="0"/>
        <w:adjustRightInd w:val="0"/>
        <w:jc w:val="both"/>
        <w:rPr>
          <w:rFonts w:ascii="Abadi" w:hAnsi="Abadi" w:cs="ArialMT"/>
          <w:sz w:val="20"/>
          <w:szCs w:val="21"/>
        </w:rPr>
      </w:pPr>
    </w:p>
    <w:p w14:paraId="0D6FA0C4" w14:textId="77777777" w:rsidR="00AF3A6B" w:rsidRPr="00AF3A6B" w:rsidRDefault="00AF3A6B" w:rsidP="00AF3A6B">
      <w:pPr>
        <w:spacing w:after="160"/>
        <w:jc w:val="right"/>
        <w:rPr>
          <w:rFonts w:ascii="Abadi" w:eastAsiaTheme="minorHAnsi" w:hAnsi="Abadi" w:cstheme="minorBidi"/>
          <w:b/>
          <w:bCs/>
          <w:sz w:val="21"/>
          <w:szCs w:val="21"/>
          <w:lang w:val="es-MX" w:eastAsia="en-US"/>
        </w:rPr>
      </w:pPr>
      <w:r w:rsidRPr="00AF3A6B">
        <w:rPr>
          <w:rFonts w:ascii="Abadi" w:eastAsiaTheme="minorHAnsi" w:hAnsi="Abadi" w:cstheme="minorBidi"/>
          <w:b/>
          <w:bCs/>
          <w:sz w:val="21"/>
          <w:szCs w:val="21"/>
          <w:lang w:val="es-MX" w:eastAsia="en-US"/>
        </w:rPr>
        <w:t>OFICIO: LXV/CA13/161/2022.</w:t>
      </w:r>
    </w:p>
    <w:p w14:paraId="0E773FDF" w14:textId="77777777" w:rsidR="00AF3A6B" w:rsidRPr="00AF3A6B" w:rsidRDefault="00AF3A6B" w:rsidP="00AF3A6B">
      <w:pPr>
        <w:spacing w:after="160"/>
        <w:jc w:val="right"/>
        <w:rPr>
          <w:rFonts w:ascii="Abadi" w:eastAsiaTheme="minorHAnsi" w:hAnsi="Abadi" w:cstheme="minorBidi"/>
          <w:sz w:val="21"/>
          <w:szCs w:val="21"/>
          <w:lang w:val="es-MX" w:eastAsia="en-US"/>
        </w:rPr>
      </w:pPr>
      <w:r w:rsidRPr="00AF3A6B">
        <w:rPr>
          <w:rFonts w:ascii="Abadi" w:eastAsiaTheme="minorHAnsi" w:hAnsi="Abadi" w:cstheme="minorBidi"/>
          <w:sz w:val="21"/>
          <w:szCs w:val="21"/>
          <w:lang w:val="es-MX" w:eastAsia="en-US"/>
        </w:rPr>
        <w:t>Guanajuato, Gto., a 7 de octubre de 2022.</w:t>
      </w:r>
    </w:p>
    <w:p w14:paraId="0FD9F820" w14:textId="77777777" w:rsidR="00AF3A6B" w:rsidRPr="00AF3A6B" w:rsidRDefault="00AF3A6B" w:rsidP="009B0EDB">
      <w:pPr>
        <w:jc w:val="center"/>
        <w:rPr>
          <w:rFonts w:ascii="Abadi" w:eastAsiaTheme="minorHAnsi" w:hAnsi="Abadi" w:cstheme="minorBidi"/>
          <w:b/>
          <w:bCs/>
          <w:sz w:val="21"/>
          <w:szCs w:val="21"/>
          <w:lang w:val="es-MX" w:eastAsia="en-US"/>
        </w:rPr>
      </w:pPr>
      <w:r w:rsidRPr="00AF3A6B">
        <w:rPr>
          <w:rFonts w:ascii="Abadi" w:eastAsiaTheme="minorHAnsi" w:hAnsi="Abadi" w:cstheme="minorBidi"/>
          <w:b/>
          <w:bCs/>
          <w:sz w:val="21"/>
          <w:szCs w:val="21"/>
          <w:lang w:val="es-MX" w:eastAsia="en-US"/>
        </w:rPr>
        <w:t>Diputado</w:t>
      </w:r>
    </w:p>
    <w:p w14:paraId="38109A40" w14:textId="4FF97B77" w:rsidR="00AF3A6B" w:rsidRDefault="00AF3A6B" w:rsidP="009B0EDB">
      <w:pPr>
        <w:jc w:val="center"/>
        <w:rPr>
          <w:rFonts w:ascii="Abadi" w:eastAsiaTheme="minorHAnsi" w:hAnsi="Abadi" w:cstheme="minorBidi"/>
          <w:b/>
          <w:bCs/>
          <w:sz w:val="21"/>
          <w:szCs w:val="21"/>
          <w:lang w:val="es-MX" w:eastAsia="en-US"/>
        </w:rPr>
      </w:pPr>
      <w:r w:rsidRPr="00AF3A6B">
        <w:rPr>
          <w:rFonts w:ascii="Abadi" w:eastAsiaTheme="minorHAnsi" w:hAnsi="Abadi" w:cstheme="minorBidi"/>
          <w:b/>
          <w:bCs/>
          <w:sz w:val="21"/>
          <w:szCs w:val="21"/>
          <w:lang w:val="es-MX" w:eastAsia="en-US"/>
        </w:rPr>
        <w:t>Martín López Camacho</w:t>
      </w:r>
    </w:p>
    <w:p w14:paraId="31026D82" w14:textId="77777777" w:rsidR="009B0EDB" w:rsidRPr="00AF3A6B" w:rsidRDefault="009B0EDB" w:rsidP="009B0EDB">
      <w:pPr>
        <w:jc w:val="center"/>
        <w:rPr>
          <w:rFonts w:ascii="Abadi" w:eastAsiaTheme="minorHAnsi" w:hAnsi="Abadi" w:cstheme="minorBidi"/>
          <w:b/>
          <w:bCs/>
          <w:sz w:val="21"/>
          <w:szCs w:val="21"/>
          <w:lang w:val="es-MX" w:eastAsia="en-US"/>
        </w:rPr>
      </w:pPr>
    </w:p>
    <w:p w14:paraId="6FFA4CAF" w14:textId="77777777" w:rsidR="00AF3A6B" w:rsidRPr="00AF3A6B" w:rsidRDefault="00AF3A6B" w:rsidP="009B0EDB">
      <w:pPr>
        <w:jc w:val="center"/>
        <w:rPr>
          <w:rFonts w:ascii="Abadi" w:eastAsiaTheme="minorHAnsi" w:hAnsi="Abadi" w:cstheme="minorBidi"/>
          <w:b/>
          <w:bCs/>
          <w:sz w:val="21"/>
          <w:szCs w:val="21"/>
          <w:lang w:val="es-MX" w:eastAsia="en-US"/>
        </w:rPr>
      </w:pPr>
      <w:r w:rsidRPr="00AF3A6B">
        <w:rPr>
          <w:rFonts w:ascii="Abadi" w:eastAsiaTheme="minorHAnsi" w:hAnsi="Abadi" w:cstheme="minorBidi"/>
          <w:b/>
          <w:bCs/>
          <w:sz w:val="21"/>
          <w:szCs w:val="21"/>
          <w:lang w:val="es-MX" w:eastAsia="en-US"/>
        </w:rPr>
        <w:t>Presidente del Honorable Congreso</w:t>
      </w:r>
    </w:p>
    <w:p w14:paraId="705CC1B1" w14:textId="77777777" w:rsidR="00AF3A6B" w:rsidRPr="00AF3A6B" w:rsidRDefault="00AF3A6B" w:rsidP="009B0EDB">
      <w:pPr>
        <w:jc w:val="center"/>
        <w:rPr>
          <w:rFonts w:ascii="Abadi" w:eastAsiaTheme="minorHAnsi" w:hAnsi="Abadi" w:cstheme="minorBidi"/>
          <w:b/>
          <w:bCs/>
          <w:sz w:val="21"/>
          <w:szCs w:val="21"/>
          <w:lang w:val="es-MX" w:eastAsia="en-US"/>
        </w:rPr>
      </w:pPr>
      <w:r w:rsidRPr="00AF3A6B">
        <w:rPr>
          <w:rFonts w:ascii="Abadi" w:eastAsiaTheme="minorHAnsi" w:hAnsi="Abadi" w:cstheme="minorBidi"/>
          <w:b/>
          <w:bCs/>
          <w:sz w:val="21"/>
          <w:szCs w:val="21"/>
          <w:lang w:val="es-MX" w:eastAsia="en-US"/>
        </w:rPr>
        <w:t>del Estado de Guanajuato</w:t>
      </w:r>
    </w:p>
    <w:p w14:paraId="317FA7B3" w14:textId="77777777" w:rsidR="00AF3A6B" w:rsidRPr="00AF3A6B" w:rsidRDefault="00AF3A6B" w:rsidP="009B0EDB">
      <w:pPr>
        <w:jc w:val="center"/>
        <w:rPr>
          <w:rFonts w:ascii="Abadi" w:eastAsiaTheme="minorHAnsi" w:hAnsi="Abadi" w:cstheme="minorBidi"/>
          <w:b/>
          <w:bCs/>
          <w:sz w:val="21"/>
          <w:szCs w:val="21"/>
          <w:lang w:val="es-MX" w:eastAsia="en-US"/>
        </w:rPr>
      </w:pPr>
      <w:r w:rsidRPr="00AF3A6B">
        <w:rPr>
          <w:rFonts w:ascii="Abadi" w:eastAsiaTheme="minorHAnsi" w:hAnsi="Abadi" w:cstheme="minorBidi"/>
          <w:b/>
          <w:bCs/>
          <w:sz w:val="21"/>
          <w:szCs w:val="21"/>
          <w:lang w:val="es-MX" w:eastAsia="en-US"/>
        </w:rPr>
        <w:t>Presente.</w:t>
      </w:r>
    </w:p>
    <w:p w14:paraId="0951565F" w14:textId="77777777" w:rsidR="00AF3A6B" w:rsidRPr="00AF3A6B" w:rsidRDefault="00AF3A6B" w:rsidP="00AF3A6B">
      <w:pPr>
        <w:spacing w:after="160"/>
        <w:rPr>
          <w:rFonts w:ascii="Abadi" w:eastAsiaTheme="minorHAnsi" w:hAnsi="Abadi" w:cstheme="minorBidi"/>
          <w:b/>
          <w:bCs/>
          <w:sz w:val="21"/>
          <w:szCs w:val="21"/>
          <w:lang w:val="es-MX" w:eastAsia="en-US"/>
        </w:rPr>
      </w:pPr>
    </w:p>
    <w:p w14:paraId="106B33E9" w14:textId="096A2E7C" w:rsidR="00AF3A6B" w:rsidRPr="00AF3A6B" w:rsidRDefault="00AF3A6B" w:rsidP="00AF3A6B">
      <w:pPr>
        <w:spacing w:after="160"/>
        <w:jc w:val="both"/>
        <w:rPr>
          <w:rFonts w:ascii="Abadi" w:eastAsiaTheme="minorHAnsi" w:hAnsi="Abadi" w:cstheme="minorBidi"/>
          <w:sz w:val="21"/>
          <w:szCs w:val="21"/>
          <w:lang w:val="es-MX" w:eastAsia="en-US"/>
        </w:rPr>
      </w:pPr>
      <w:r w:rsidRPr="00AF3A6B">
        <w:rPr>
          <w:rFonts w:ascii="Abadi" w:eastAsiaTheme="minorHAnsi" w:hAnsi="Abadi" w:cstheme="minorBidi"/>
          <w:sz w:val="21"/>
          <w:szCs w:val="21"/>
          <w:lang w:val="es-MX" w:eastAsia="en-US"/>
        </w:rPr>
        <w:t xml:space="preserve">En cumplimiento a lo dispuesto en el artículo 102, fracción II de la Ley Orgánica del Poder Legislativo del Estado de Guanajuato, la Comisión de Administración de </w:t>
      </w:r>
      <w:r w:rsidR="00836A8D" w:rsidRPr="00AF3A6B">
        <w:rPr>
          <w:rFonts w:ascii="Abadi" w:eastAsiaTheme="minorHAnsi" w:hAnsi="Abadi" w:cstheme="minorBidi"/>
          <w:sz w:val="21"/>
          <w:szCs w:val="21"/>
          <w:lang w:val="es-MX" w:eastAsia="en-US"/>
        </w:rPr>
        <w:t>esta</w:t>
      </w:r>
      <w:r w:rsidRPr="00AF3A6B">
        <w:rPr>
          <w:rFonts w:ascii="Abadi" w:eastAsiaTheme="minorHAnsi" w:hAnsi="Abadi" w:cstheme="minorBidi"/>
          <w:sz w:val="21"/>
          <w:szCs w:val="21"/>
          <w:lang w:val="es-MX" w:eastAsia="en-US"/>
        </w:rPr>
        <w:t xml:space="preserve"> Sexagésima Quinta Legislatura, presenta a consideración del Pleno de la Asamblea en sesión Ordinaria Pública, el Informe de los conceptos generales de los Estados Financieros de los recursos presupuestales y las transferencias y ajustes presupuestales, correspondiente al período del 01 al 31 de Agosto de 2022. (anexo 1).</w:t>
      </w:r>
    </w:p>
    <w:p w14:paraId="7BB32A5D" w14:textId="77777777" w:rsidR="00AF3A6B" w:rsidRPr="00AF3A6B" w:rsidRDefault="00AF3A6B" w:rsidP="00AF3A6B">
      <w:pPr>
        <w:spacing w:after="160"/>
        <w:jc w:val="both"/>
        <w:rPr>
          <w:rFonts w:ascii="Abadi" w:eastAsiaTheme="minorHAnsi" w:hAnsi="Abadi" w:cstheme="minorBidi"/>
          <w:sz w:val="21"/>
          <w:szCs w:val="21"/>
          <w:lang w:val="es-MX" w:eastAsia="en-US"/>
        </w:rPr>
      </w:pPr>
      <w:r w:rsidRPr="00AF3A6B">
        <w:rPr>
          <w:rFonts w:ascii="Abadi" w:eastAsiaTheme="minorHAnsi" w:hAnsi="Abadi" w:cstheme="minorBidi"/>
          <w:sz w:val="21"/>
          <w:szCs w:val="21"/>
          <w:lang w:val="es-MX" w:eastAsia="en-US"/>
        </w:rPr>
        <w:t>Por lo expuesto, solicitamos de la Presidencia del Honorable Congreso del Estado, se exponga a consideración del Pleno el Informe de la Comisión de Administración, en los términos de la Ley Orgánica del Poder Legislativo del Estado de Guanajuato.</w:t>
      </w:r>
    </w:p>
    <w:p w14:paraId="236D1EE2" w14:textId="77777777" w:rsidR="00AF3A6B" w:rsidRPr="00AF3A6B" w:rsidRDefault="00AF3A6B" w:rsidP="00AF3A6B">
      <w:pPr>
        <w:spacing w:after="160"/>
        <w:jc w:val="both"/>
        <w:rPr>
          <w:rFonts w:ascii="Abadi" w:eastAsiaTheme="minorHAnsi" w:hAnsi="Abadi" w:cstheme="minorBidi"/>
          <w:sz w:val="21"/>
          <w:szCs w:val="21"/>
          <w:lang w:val="es-MX" w:eastAsia="en-US"/>
        </w:rPr>
      </w:pPr>
      <w:r w:rsidRPr="00AF3A6B">
        <w:rPr>
          <w:rFonts w:ascii="Abadi" w:eastAsiaTheme="minorHAnsi" w:hAnsi="Abadi" w:cstheme="minorBidi"/>
          <w:sz w:val="21"/>
          <w:szCs w:val="21"/>
          <w:lang w:val="es-MX" w:eastAsia="en-US"/>
        </w:rPr>
        <w:t>Sin otro particular por el momento, aprovecho la ocasión para reiterarle las seguridades de mi distinguida consideración.</w:t>
      </w:r>
    </w:p>
    <w:p w14:paraId="29181B67" w14:textId="77777777" w:rsidR="00AF3A6B" w:rsidRPr="00AF3A6B" w:rsidRDefault="00AF3A6B" w:rsidP="00AF3A6B">
      <w:pPr>
        <w:spacing w:after="160"/>
        <w:jc w:val="center"/>
        <w:rPr>
          <w:rFonts w:ascii="Abadi" w:eastAsiaTheme="minorHAnsi" w:hAnsi="Abadi" w:cstheme="minorBidi"/>
          <w:b/>
          <w:bCs/>
          <w:sz w:val="21"/>
          <w:szCs w:val="21"/>
          <w:lang w:val="es-MX" w:eastAsia="en-US"/>
        </w:rPr>
      </w:pPr>
      <w:r w:rsidRPr="00AF3A6B">
        <w:rPr>
          <w:rFonts w:ascii="Abadi" w:eastAsiaTheme="minorHAnsi" w:hAnsi="Abadi" w:cstheme="minorBidi"/>
          <w:b/>
          <w:bCs/>
          <w:sz w:val="21"/>
          <w:szCs w:val="21"/>
          <w:lang w:val="es-MX" w:eastAsia="en-US"/>
        </w:rPr>
        <w:t>ATENTAMENTE</w:t>
      </w:r>
    </w:p>
    <w:p w14:paraId="1CDFF9D7" w14:textId="77777777" w:rsidR="00AF3A6B" w:rsidRPr="00AF3A6B" w:rsidRDefault="00AF3A6B" w:rsidP="00AF3A6B">
      <w:pPr>
        <w:spacing w:after="160"/>
        <w:jc w:val="center"/>
        <w:rPr>
          <w:rFonts w:ascii="Abadi" w:eastAsiaTheme="minorHAnsi" w:hAnsi="Abadi" w:cstheme="minorBidi"/>
          <w:b/>
          <w:bCs/>
          <w:sz w:val="21"/>
          <w:szCs w:val="21"/>
          <w:lang w:val="es-MX" w:eastAsia="en-US"/>
        </w:rPr>
      </w:pPr>
      <w:r w:rsidRPr="00AF3A6B">
        <w:rPr>
          <w:rFonts w:ascii="Abadi" w:eastAsiaTheme="minorHAnsi" w:hAnsi="Abadi" w:cstheme="minorBidi"/>
          <w:b/>
          <w:bCs/>
          <w:sz w:val="21"/>
          <w:szCs w:val="21"/>
          <w:lang w:val="es-MX" w:eastAsia="en-US"/>
        </w:rPr>
        <w:t>DIP. LUIS ERNESTO AYALA TORRES</w:t>
      </w:r>
    </w:p>
    <w:p w14:paraId="57806227" w14:textId="77777777" w:rsidR="00AF3A6B" w:rsidRPr="00AF3A6B" w:rsidRDefault="00AF3A6B" w:rsidP="00AF3A6B">
      <w:pPr>
        <w:spacing w:after="160"/>
        <w:jc w:val="center"/>
        <w:rPr>
          <w:rFonts w:ascii="Abadi" w:eastAsiaTheme="minorHAnsi" w:hAnsi="Abadi" w:cstheme="minorBidi"/>
          <w:b/>
          <w:bCs/>
          <w:sz w:val="21"/>
          <w:szCs w:val="21"/>
          <w:lang w:val="es-MX" w:eastAsia="en-US"/>
        </w:rPr>
      </w:pPr>
      <w:r w:rsidRPr="00AF3A6B">
        <w:rPr>
          <w:rFonts w:ascii="Abadi" w:eastAsiaTheme="minorHAnsi" w:hAnsi="Abadi" w:cstheme="minorBidi"/>
          <w:b/>
          <w:bCs/>
          <w:sz w:val="21"/>
          <w:szCs w:val="21"/>
          <w:lang w:val="es-MX" w:eastAsia="en-US"/>
        </w:rPr>
        <w:t>PRESIDENTE</w:t>
      </w:r>
    </w:p>
    <w:p w14:paraId="3345FA94" w14:textId="77777777" w:rsidR="00836A8D" w:rsidRDefault="00AF3A6B" w:rsidP="00AF3A6B">
      <w:pPr>
        <w:spacing w:after="160"/>
        <w:jc w:val="center"/>
        <w:rPr>
          <w:rFonts w:ascii="Abadi" w:eastAsiaTheme="minorHAnsi" w:hAnsi="Abadi" w:cstheme="minorBidi"/>
          <w:b/>
          <w:bCs/>
          <w:sz w:val="21"/>
          <w:szCs w:val="21"/>
          <w:lang w:val="es-MX" w:eastAsia="en-US"/>
        </w:rPr>
      </w:pPr>
      <w:r w:rsidRPr="00AF3A6B">
        <w:rPr>
          <w:rFonts w:ascii="Abadi" w:eastAsiaTheme="minorHAnsi" w:hAnsi="Abadi" w:cstheme="minorBidi"/>
          <w:b/>
          <w:bCs/>
          <w:sz w:val="21"/>
          <w:szCs w:val="21"/>
          <w:lang w:val="es-MX" w:eastAsia="en-US"/>
        </w:rPr>
        <w:t xml:space="preserve">DIP. IRMA LETICIA GONZÁLEZ SÁNCHEZ </w:t>
      </w:r>
    </w:p>
    <w:p w14:paraId="73426315" w14:textId="4985F648" w:rsidR="00AF3A6B" w:rsidRPr="00AF3A6B" w:rsidRDefault="00AF3A6B" w:rsidP="00AF3A6B">
      <w:pPr>
        <w:spacing w:after="160"/>
        <w:jc w:val="center"/>
        <w:rPr>
          <w:rFonts w:ascii="Abadi" w:eastAsiaTheme="minorHAnsi" w:hAnsi="Abadi" w:cstheme="minorBidi"/>
          <w:b/>
          <w:bCs/>
          <w:sz w:val="21"/>
          <w:szCs w:val="21"/>
          <w:lang w:val="es-MX" w:eastAsia="en-US"/>
        </w:rPr>
      </w:pPr>
      <w:r w:rsidRPr="00AF3A6B">
        <w:rPr>
          <w:rFonts w:ascii="Abadi" w:eastAsiaTheme="minorHAnsi" w:hAnsi="Abadi" w:cstheme="minorBidi"/>
          <w:b/>
          <w:bCs/>
          <w:sz w:val="21"/>
          <w:szCs w:val="21"/>
          <w:lang w:val="es-MX" w:eastAsia="en-US"/>
        </w:rPr>
        <w:t>DIP. ANGÉLICA CASILLAS MARTÍNEZ</w:t>
      </w:r>
    </w:p>
    <w:p w14:paraId="54E01291" w14:textId="77777777" w:rsidR="00AF3A6B" w:rsidRPr="00AF3A6B" w:rsidRDefault="00AF3A6B" w:rsidP="00AF3A6B">
      <w:pPr>
        <w:spacing w:after="160"/>
        <w:jc w:val="center"/>
        <w:rPr>
          <w:rFonts w:ascii="Abadi" w:eastAsiaTheme="minorHAnsi" w:hAnsi="Abadi" w:cstheme="minorBidi"/>
          <w:b/>
          <w:bCs/>
          <w:sz w:val="21"/>
          <w:szCs w:val="21"/>
          <w:lang w:val="es-MX" w:eastAsia="en-US"/>
        </w:rPr>
      </w:pPr>
      <w:r w:rsidRPr="00AF3A6B">
        <w:rPr>
          <w:rFonts w:ascii="Abadi" w:eastAsiaTheme="minorHAnsi" w:hAnsi="Abadi" w:cstheme="minorBidi"/>
          <w:b/>
          <w:bCs/>
          <w:sz w:val="21"/>
          <w:szCs w:val="21"/>
          <w:lang w:val="es-MX" w:eastAsia="en-US"/>
        </w:rPr>
        <w:t>SECRETARIA VOCAL</w:t>
      </w:r>
    </w:p>
    <w:p w14:paraId="33351AEB" w14:textId="77777777" w:rsidR="00AF3A6B" w:rsidRPr="00AF3A6B" w:rsidRDefault="00AF3A6B" w:rsidP="00AF3A6B">
      <w:pPr>
        <w:spacing w:after="160"/>
        <w:jc w:val="center"/>
        <w:rPr>
          <w:rFonts w:ascii="Abadi" w:eastAsiaTheme="minorHAnsi" w:hAnsi="Abadi" w:cstheme="minorBidi"/>
          <w:b/>
          <w:bCs/>
          <w:sz w:val="21"/>
          <w:szCs w:val="21"/>
          <w:lang w:val="es-MX" w:eastAsia="en-US"/>
        </w:rPr>
      </w:pPr>
      <w:r w:rsidRPr="00AF3A6B">
        <w:rPr>
          <w:rFonts w:ascii="Abadi" w:eastAsiaTheme="minorHAnsi" w:hAnsi="Abadi" w:cstheme="minorBidi"/>
          <w:b/>
          <w:bCs/>
          <w:sz w:val="21"/>
          <w:szCs w:val="21"/>
          <w:lang w:val="es-MX" w:eastAsia="en-US"/>
        </w:rPr>
        <w:t>DIP. ALEJANDRO ARIAS ÁVILA</w:t>
      </w:r>
    </w:p>
    <w:p w14:paraId="7097F50A" w14:textId="1EAAD21D" w:rsidR="00AF3A6B" w:rsidRDefault="00AF3A6B" w:rsidP="00AF3A6B">
      <w:pPr>
        <w:spacing w:after="160"/>
        <w:jc w:val="center"/>
        <w:rPr>
          <w:rFonts w:ascii="Abadi" w:eastAsiaTheme="minorHAnsi" w:hAnsi="Abadi" w:cstheme="minorBidi"/>
          <w:b/>
          <w:bCs/>
          <w:sz w:val="21"/>
          <w:szCs w:val="21"/>
          <w:lang w:val="es-MX" w:eastAsia="en-US"/>
        </w:rPr>
      </w:pPr>
      <w:r w:rsidRPr="00AF3A6B">
        <w:rPr>
          <w:rFonts w:ascii="Abadi" w:eastAsiaTheme="minorHAnsi" w:hAnsi="Abadi" w:cstheme="minorBidi"/>
          <w:b/>
          <w:bCs/>
          <w:sz w:val="21"/>
          <w:szCs w:val="21"/>
          <w:lang w:val="es-MX" w:eastAsia="en-US"/>
        </w:rPr>
        <w:t>VOCAL</w:t>
      </w:r>
    </w:p>
    <w:p w14:paraId="33BD1ADC" w14:textId="3787D14C" w:rsidR="00836A8D" w:rsidRDefault="00836A8D" w:rsidP="00AF3A6B">
      <w:pPr>
        <w:spacing w:after="160"/>
        <w:jc w:val="center"/>
        <w:rPr>
          <w:rFonts w:ascii="Abadi" w:eastAsiaTheme="minorHAnsi" w:hAnsi="Abadi" w:cstheme="minorBidi"/>
          <w:sz w:val="21"/>
          <w:szCs w:val="21"/>
          <w:lang w:val="es-MX" w:eastAsia="en-US"/>
        </w:rPr>
      </w:pPr>
    </w:p>
    <w:p w14:paraId="5309E12A" w14:textId="3D4A4981" w:rsidR="00E462B6" w:rsidRPr="0028553C" w:rsidRDefault="00E462B6" w:rsidP="002F3821">
      <w:pPr>
        <w:pStyle w:val="Prrafodelista"/>
        <w:numPr>
          <w:ilvl w:val="0"/>
          <w:numId w:val="14"/>
        </w:numPr>
        <w:autoSpaceDE w:val="0"/>
        <w:autoSpaceDN w:val="0"/>
        <w:adjustRightInd w:val="0"/>
        <w:ind w:left="284"/>
        <w:contextualSpacing/>
        <w:jc w:val="both"/>
        <w:rPr>
          <w:rFonts w:ascii="Abadi" w:hAnsi="Abadi" w:cs="ArialMT"/>
          <w:b/>
          <w:bCs/>
          <w:sz w:val="20"/>
          <w:szCs w:val="21"/>
        </w:rPr>
      </w:pPr>
      <w:r w:rsidRPr="0028553C">
        <w:rPr>
          <w:rFonts w:ascii="Abadi" w:hAnsi="Abadi" w:cs="ArialMT"/>
          <w:b/>
          <w:bCs/>
          <w:sz w:val="20"/>
          <w:szCs w:val="21"/>
        </w:rPr>
        <w:t>PRESENTACIÓN DE LAS TRANSFERENCIAS Y AJUSTES PRESUPUESTALES, CORRESPONDIENTE AL PERIODO COMPRENDIDO DEL 1 AL 31 DE JULIO DEL AÑO EN CURSO, FORMULADO POR LA COMISIÓN DE ADMINISTRACIÓN Y, EN SU CASO, APROBACIÓN DEL MISMO.</w:t>
      </w:r>
      <w:r w:rsidR="00B92B45">
        <w:rPr>
          <w:rStyle w:val="Refdenotaalpie"/>
          <w:rFonts w:ascii="Abadi" w:hAnsi="Abadi" w:cs="ArialMT"/>
          <w:b/>
          <w:bCs/>
          <w:sz w:val="20"/>
          <w:szCs w:val="21"/>
        </w:rPr>
        <w:footnoteReference w:id="73"/>
      </w:r>
    </w:p>
    <w:p w14:paraId="3D0FEED6" w14:textId="4CBDD61C" w:rsidR="00E462B6" w:rsidRDefault="00E462B6" w:rsidP="00E462B6">
      <w:pPr>
        <w:autoSpaceDE w:val="0"/>
        <w:autoSpaceDN w:val="0"/>
        <w:adjustRightInd w:val="0"/>
        <w:jc w:val="both"/>
        <w:rPr>
          <w:rFonts w:ascii="Abadi" w:hAnsi="Abadi" w:cs="ArialMT"/>
          <w:b/>
          <w:bCs/>
          <w:sz w:val="20"/>
          <w:szCs w:val="21"/>
        </w:rPr>
      </w:pPr>
    </w:p>
    <w:p w14:paraId="4354E5B0" w14:textId="77777777" w:rsidR="00D247CC" w:rsidRPr="00D247CC" w:rsidRDefault="00D247CC" w:rsidP="00D247CC">
      <w:pPr>
        <w:spacing w:after="160" w:line="259" w:lineRule="auto"/>
        <w:jc w:val="right"/>
        <w:rPr>
          <w:rFonts w:ascii="Abadi" w:eastAsiaTheme="minorHAnsi" w:hAnsi="Abadi" w:cstheme="minorBidi"/>
          <w:b/>
          <w:bCs/>
          <w:sz w:val="21"/>
          <w:szCs w:val="21"/>
          <w:lang w:val="es-MX" w:eastAsia="en-US"/>
        </w:rPr>
      </w:pPr>
      <w:r w:rsidRPr="00D247CC">
        <w:rPr>
          <w:rFonts w:ascii="Abadi" w:eastAsiaTheme="minorHAnsi" w:hAnsi="Abadi" w:cstheme="minorBidi"/>
          <w:b/>
          <w:bCs/>
          <w:sz w:val="21"/>
          <w:szCs w:val="21"/>
          <w:lang w:val="es-MX" w:eastAsia="en-US"/>
        </w:rPr>
        <w:t>OFICIO: LXV/CA13/160/2022.</w:t>
      </w:r>
    </w:p>
    <w:p w14:paraId="2AFC61B6" w14:textId="77777777" w:rsidR="00D247CC" w:rsidRPr="00D247CC" w:rsidRDefault="00D247CC" w:rsidP="00D247CC">
      <w:pPr>
        <w:spacing w:after="160" w:line="259" w:lineRule="auto"/>
        <w:jc w:val="right"/>
        <w:rPr>
          <w:rFonts w:ascii="Abadi" w:eastAsiaTheme="minorHAnsi" w:hAnsi="Abadi" w:cstheme="minorBidi"/>
          <w:sz w:val="21"/>
          <w:szCs w:val="21"/>
          <w:lang w:val="es-MX" w:eastAsia="en-US"/>
        </w:rPr>
      </w:pPr>
      <w:r w:rsidRPr="00D247CC">
        <w:rPr>
          <w:rFonts w:ascii="Abadi" w:eastAsiaTheme="minorHAnsi" w:hAnsi="Abadi" w:cstheme="minorBidi"/>
          <w:sz w:val="21"/>
          <w:szCs w:val="21"/>
          <w:lang w:val="es-MX" w:eastAsia="en-US"/>
        </w:rPr>
        <w:t>Guanajuato, Gto., a 7 de octubre de 2022.</w:t>
      </w:r>
    </w:p>
    <w:p w14:paraId="2F3D559D" w14:textId="77777777" w:rsidR="00D247CC" w:rsidRPr="00D247CC" w:rsidRDefault="00D247CC" w:rsidP="00D247CC">
      <w:pPr>
        <w:spacing w:after="160" w:line="259" w:lineRule="auto"/>
        <w:rPr>
          <w:rFonts w:ascii="Abadi" w:eastAsiaTheme="minorHAnsi" w:hAnsi="Abadi" w:cstheme="minorBidi"/>
          <w:b/>
          <w:bCs/>
          <w:sz w:val="21"/>
          <w:szCs w:val="21"/>
          <w:lang w:val="es-MX" w:eastAsia="en-US"/>
        </w:rPr>
      </w:pPr>
      <w:r w:rsidRPr="00D247CC">
        <w:rPr>
          <w:rFonts w:ascii="Abadi" w:eastAsiaTheme="minorHAnsi" w:hAnsi="Abadi" w:cstheme="minorBidi"/>
          <w:b/>
          <w:bCs/>
          <w:sz w:val="21"/>
          <w:szCs w:val="21"/>
          <w:lang w:val="es-MX" w:eastAsia="en-US"/>
        </w:rPr>
        <w:t>Diputado</w:t>
      </w:r>
    </w:p>
    <w:p w14:paraId="5F0A4159" w14:textId="77777777" w:rsidR="00D247CC" w:rsidRPr="00D247CC" w:rsidRDefault="00D247CC" w:rsidP="00D247CC">
      <w:pPr>
        <w:spacing w:after="160" w:line="259" w:lineRule="auto"/>
        <w:rPr>
          <w:rFonts w:ascii="Abadi" w:eastAsiaTheme="minorHAnsi" w:hAnsi="Abadi" w:cstheme="minorBidi"/>
          <w:b/>
          <w:bCs/>
          <w:sz w:val="21"/>
          <w:szCs w:val="21"/>
          <w:lang w:val="es-MX" w:eastAsia="en-US"/>
        </w:rPr>
      </w:pPr>
      <w:r w:rsidRPr="00D247CC">
        <w:rPr>
          <w:rFonts w:ascii="Abadi" w:eastAsiaTheme="minorHAnsi" w:hAnsi="Abadi" w:cstheme="minorBidi"/>
          <w:b/>
          <w:bCs/>
          <w:sz w:val="21"/>
          <w:szCs w:val="21"/>
          <w:lang w:val="es-MX" w:eastAsia="en-US"/>
        </w:rPr>
        <w:t>Martín López Camacho</w:t>
      </w:r>
    </w:p>
    <w:p w14:paraId="2779E0F4" w14:textId="77777777" w:rsidR="00D247CC" w:rsidRPr="00D247CC" w:rsidRDefault="00D247CC" w:rsidP="00D247CC">
      <w:pPr>
        <w:spacing w:after="160" w:line="259" w:lineRule="auto"/>
        <w:rPr>
          <w:rFonts w:ascii="Abadi" w:eastAsiaTheme="minorHAnsi" w:hAnsi="Abadi" w:cstheme="minorBidi"/>
          <w:b/>
          <w:bCs/>
          <w:sz w:val="21"/>
          <w:szCs w:val="21"/>
          <w:lang w:val="es-MX" w:eastAsia="en-US"/>
        </w:rPr>
      </w:pPr>
      <w:r w:rsidRPr="00D247CC">
        <w:rPr>
          <w:rFonts w:ascii="Abadi" w:eastAsiaTheme="minorHAnsi" w:hAnsi="Abadi" w:cstheme="minorBidi"/>
          <w:b/>
          <w:bCs/>
          <w:sz w:val="21"/>
          <w:szCs w:val="21"/>
          <w:lang w:val="es-MX" w:eastAsia="en-US"/>
        </w:rPr>
        <w:t>Presidente del Honorable Congreso</w:t>
      </w:r>
    </w:p>
    <w:p w14:paraId="09B7C085" w14:textId="77777777" w:rsidR="00D247CC" w:rsidRPr="00D247CC" w:rsidRDefault="00D247CC" w:rsidP="00D247CC">
      <w:pPr>
        <w:spacing w:after="160" w:line="259" w:lineRule="auto"/>
        <w:rPr>
          <w:rFonts w:ascii="Abadi" w:eastAsiaTheme="minorHAnsi" w:hAnsi="Abadi" w:cstheme="minorBidi"/>
          <w:b/>
          <w:bCs/>
          <w:sz w:val="21"/>
          <w:szCs w:val="21"/>
          <w:lang w:val="es-MX" w:eastAsia="en-US"/>
        </w:rPr>
      </w:pPr>
      <w:r w:rsidRPr="00D247CC">
        <w:rPr>
          <w:rFonts w:ascii="Abadi" w:eastAsiaTheme="minorHAnsi" w:hAnsi="Abadi" w:cstheme="minorBidi"/>
          <w:b/>
          <w:bCs/>
          <w:sz w:val="21"/>
          <w:szCs w:val="21"/>
          <w:lang w:val="es-MX" w:eastAsia="en-US"/>
        </w:rPr>
        <w:t>del Estado de Guanajuato</w:t>
      </w:r>
    </w:p>
    <w:p w14:paraId="6961538E" w14:textId="77777777" w:rsidR="00D247CC" w:rsidRPr="00D247CC" w:rsidRDefault="00D247CC" w:rsidP="00D247CC">
      <w:pPr>
        <w:spacing w:after="160" w:line="259" w:lineRule="auto"/>
        <w:rPr>
          <w:rFonts w:ascii="Abadi" w:eastAsiaTheme="minorHAnsi" w:hAnsi="Abadi" w:cstheme="minorBidi"/>
          <w:b/>
          <w:bCs/>
          <w:sz w:val="21"/>
          <w:szCs w:val="21"/>
          <w:lang w:val="es-MX" w:eastAsia="en-US"/>
        </w:rPr>
      </w:pPr>
      <w:r w:rsidRPr="00D247CC">
        <w:rPr>
          <w:rFonts w:ascii="Abadi" w:eastAsiaTheme="minorHAnsi" w:hAnsi="Abadi" w:cstheme="minorBidi"/>
          <w:b/>
          <w:bCs/>
          <w:sz w:val="21"/>
          <w:szCs w:val="21"/>
          <w:lang w:val="es-MX" w:eastAsia="en-US"/>
        </w:rPr>
        <w:t>Presente.</w:t>
      </w:r>
    </w:p>
    <w:p w14:paraId="0DAF9D0A" w14:textId="77777777" w:rsidR="00D247CC" w:rsidRPr="00D247CC" w:rsidRDefault="00D247CC" w:rsidP="00D247CC">
      <w:pPr>
        <w:spacing w:after="160" w:line="259" w:lineRule="auto"/>
        <w:jc w:val="both"/>
        <w:rPr>
          <w:rFonts w:ascii="Abadi" w:eastAsiaTheme="minorHAnsi" w:hAnsi="Abadi" w:cstheme="minorBidi"/>
          <w:sz w:val="21"/>
          <w:szCs w:val="21"/>
          <w:lang w:val="es-MX" w:eastAsia="en-US"/>
        </w:rPr>
      </w:pPr>
      <w:r w:rsidRPr="00D247CC">
        <w:rPr>
          <w:rFonts w:ascii="Abadi" w:eastAsiaTheme="minorHAnsi" w:hAnsi="Abadi" w:cstheme="minorBidi"/>
          <w:sz w:val="21"/>
          <w:szCs w:val="21"/>
          <w:lang w:val="es-MX" w:eastAsia="en-US"/>
        </w:rPr>
        <w:t>En cumplimiento a lo dispuesto en el artículo 102, fracción II de la Ley Orgánica del Poder Legislativo del Estado de Guanajuato, la Comisión de Administración de ésta Sexagésima Quinta Legislatura, presenta a consideración del Pleno de la Asamblea en sesión Ordinaria Pública, las transferencias y ajustes presupuestales, correspondiente al período del 01 al 31 de Julio de 2022. (anexo 1).</w:t>
      </w:r>
    </w:p>
    <w:p w14:paraId="2528360B" w14:textId="77777777" w:rsidR="00D247CC" w:rsidRPr="00D247CC" w:rsidRDefault="00D247CC" w:rsidP="00D247CC">
      <w:pPr>
        <w:spacing w:after="160" w:line="259" w:lineRule="auto"/>
        <w:jc w:val="both"/>
        <w:rPr>
          <w:rFonts w:ascii="Abadi" w:eastAsiaTheme="minorHAnsi" w:hAnsi="Abadi" w:cstheme="minorBidi"/>
          <w:sz w:val="21"/>
          <w:szCs w:val="21"/>
          <w:lang w:val="es-MX" w:eastAsia="en-US"/>
        </w:rPr>
      </w:pPr>
      <w:r w:rsidRPr="00D247CC">
        <w:rPr>
          <w:rFonts w:ascii="Abadi" w:eastAsiaTheme="minorHAnsi" w:hAnsi="Abadi" w:cstheme="minorBidi"/>
          <w:sz w:val="21"/>
          <w:szCs w:val="21"/>
          <w:lang w:val="es-MX" w:eastAsia="en-US"/>
        </w:rPr>
        <w:t>Por lo expuesto, solicitamos de la Presidencia del Honorable Congreso del Estado, se exponga a consideración del Pleno el Informe de la Comisión de Administración, en los términos de la Ley Orgánica del Poder Legislativo del Estado de Guanajuato.</w:t>
      </w:r>
    </w:p>
    <w:p w14:paraId="12ADFA52" w14:textId="77777777" w:rsidR="00D247CC" w:rsidRPr="00D247CC" w:rsidRDefault="00D247CC" w:rsidP="00D247CC">
      <w:pPr>
        <w:spacing w:after="160" w:line="259" w:lineRule="auto"/>
        <w:jc w:val="both"/>
        <w:rPr>
          <w:rFonts w:ascii="Abadi" w:eastAsiaTheme="minorHAnsi" w:hAnsi="Abadi" w:cstheme="minorBidi"/>
          <w:sz w:val="21"/>
          <w:szCs w:val="21"/>
          <w:lang w:val="es-MX" w:eastAsia="en-US"/>
        </w:rPr>
      </w:pPr>
      <w:r w:rsidRPr="00D247CC">
        <w:rPr>
          <w:rFonts w:ascii="Abadi" w:eastAsiaTheme="minorHAnsi" w:hAnsi="Abadi" w:cstheme="minorBidi"/>
          <w:sz w:val="21"/>
          <w:szCs w:val="21"/>
          <w:lang w:val="es-MX" w:eastAsia="en-US"/>
        </w:rPr>
        <w:t>Sin otro particular por el momento, aprovecho la ocasión para reiterarle las seguridades de mi distinguida consideración.</w:t>
      </w:r>
    </w:p>
    <w:p w14:paraId="3768E9B7" w14:textId="77777777" w:rsidR="00D247CC" w:rsidRPr="00D247CC" w:rsidRDefault="00D247CC" w:rsidP="00D247CC">
      <w:pPr>
        <w:spacing w:after="160" w:line="259" w:lineRule="auto"/>
        <w:rPr>
          <w:rFonts w:ascii="Abadi" w:eastAsiaTheme="minorHAnsi" w:hAnsi="Abadi" w:cstheme="minorBidi"/>
          <w:b/>
          <w:bCs/>
          <w:sz w:val="21"/>
          <w:szCs w:val="21"/>
          <w:lang w:val="es-MX" w:eastAsia="en-US"/>
        </w:rPr>
      </w:pPr>
    </w:p>
    <w:p w14:paraId="4EDAE7B9" w14:textId="77777777" w:rsidR="00D247CC" w:rsidRPr="00D247CC" w:rsidRDefault="00D247CC" w:rsidP="00D247CC">
      <w:pPr>
        <w:spacing w:after="160" w:line="259" w:lineRule="auto"/>
        <w:jc w:val="center"/>
        <w:rPr>
          <w:rFonts w:ascii="Abadi" w:eastAsiaTheme="minorHAnsi" w:hAnsi="Abadi" w:cstheme="minorBidi"/>
          <w:b/>
          <w:bCs/>
          <w:sz w:val="21"/>
          <w:szCs w:val="21"/>
          <w:lang w:val="es-MX" w:eastAsia="en-US"/>
        </w:rPr>
      </w:pPr>
      <w:r w:rsidRPr="00D247CC">
        <w:rPr>
          <w:rFonts w:ascii="Abadi" w:eastAsiaTheme="minorHAnsi" w:hAnsi="Abadi" w:cstheme="minorBidi"/>
          <w:b/>
          <w:bCs/>
          <w:sz w:val="21"/>
          <w:szCs w:val="21"/>
          <w:lang w:val="es-MX" w:eastAsia="en-US"/>
        </w:rPr>
        <w:t>ATENTAMENTE</w:t>
      </w:r>
    </w:p>
    <w:p w14:paraId="3EF880AB" w14:textId="77777777" w:rsidR="00D247CC" w:rsidRPr="00D247CC" w:rsidRDefault="00D247CC" w:rsidP="00D247CC">
      <w:pPr>
        <w:spacing w:after="160" w:line="259" w:lineRule="auto"/>
        <w:jc w:val="center"/>
        <w:rPr>
          <w:rFonts w:ascii="Abadi" w:eastAsiaTheme="minorHAnsi" w:hAnsi="Abadi" w:cstheme="minorBidi"/>
          <w:b/>
          <w:bCs/>
          <w:sz w:val="21"/>
          <w:szCs w:val="21"/>
          <w:lang w:val="es-MX" w:eastAsia="en-US"/>
        </w:rPr>
      </w:pPr>
      <w:r w:rsidRPr="00D247CC">
        <w:rPr>
          <w:rFonts w:ascii="Abadi" w:eastAsiaTheme="minorHAnsi" w:hAnsi="Abadi" w:cstheme="minorBidi"/>
          <w:b/>
          <w:bCs/>
          <w:sz w:val="21"/>
          <w:szCs w:val="21"/>
          <w:lang w:val="es-MX" w:eastAsia="en-US"/>
        </w:rPr>
        <w:t>DIP. LUIS ERNESTO AYALA TORRES</w:t>
      </w:r>
    </w:p>
    <w:p w14:paraId="5E6CFF81" w14:textId="77777777" w:rsidR="00D247CC" w:rsidRPr="00D247CC" w:rsidRDefault="00D247CC" w:rsidP="00D247CC">
      <w:pPr>
        <w:spacing w:after="160" w:line="259" w:lineRule="auto"/>
        <w:jc w:val="center"/>
        <w:rPr>
          <w:rFonts w:ascii="Abadi" w:eastAsiaTheme="minorHAnsi" w:hAnsi="Abadi" w:cstheme="minorBidi"/>
          <w:b/>
          <w:bCs/>
          <w:sz w:val="21"/>
          <w:szCs w:val="21"/>
          <w:lang w:val="es-MX" w:eastAsia="en-US"/>
        </w:rPr>
      </w:pPr>
      <w:r w:rsidRPr="00D247CC">
        <w:rPr>
          <w:rFonts w:ascii="Abadi" w:eastAsiaTheme="minorHAnsi" w:hAnsi="Abadi" w:cstheme="minorBidi"/>
          <w:b/>
          <w:bCs/>
          <w:sz w:val="21"/>
          <w:szCs w:val="21"/>
          <w:lang w:val="es-MX" w:eastAsia="en-US"/>
        </w:rPr>
        <w:t>PRESIDENTE</w:t>
      </w:r>
    </w:p>
    <w:p w14:paraId="1692DA79" w14:textId="77777777" w:rsidR="00D247CC" w:rsidRPr="00D247CC" w:rsidRDefault="00D247CC" w:rsidP="00D247CC">
      <w:pPr>
        <w:spacing w:after="160" w:line="259" w:lineRule="auto"/>
        <w:jc w:val="center"/>
        <w:rPr>
          <w:rFonts w:ascii="Abadi" w:eastAsiaTheme="minorHAnsi" w:hAnsi="Abadi" w:cstheme="minorBidi"/>
          <w:b/>
          <w:bCs/>
          <w:sz w:val="21"/>
          <w:szCs w:val="21"/>
          <w:lang w:val="es-MX" w:eastAsia="en-US"/>
        </w:rPr>
      </w:pPr>
      <w:r w:rsidRPr="00D247CC">
        <w:rPr>
          <w:rFonts w:ascii="Abadi" w:eastAsiaTheme="minorHAnsi" w:hAnsi="Abadi" w:cstheme="minorBidi"/>
          <w:b/>
          <w:bCs/>
          <w:sz w:val="21"/>
          <w:szCs w:val="21"/>
          <w:lang w:val="es-MX" w:eastAsia="en-US"/>
        </w:rPr>
        <w:t>DIP. IRMA LETICIA GONZÁLEZ SÁNCHEZ DIP. ANGÉLICA CASILLAS MARTÍNEZ</w:t>
      </w:r>
    </w:p>
    <w:p w14:paraId="1AD408EF" w14:textId="77777777" w:rsidR="00D247CC" w:rsidRPr="00D247CC" w:rsidRDefault="00D247CC" w:rsidP="00D247CC">
      <w:pPr>
        <w:spacing w:after="160" w:line="259" w:lineRule="auto"/>
        <w:jc w:val="center"/>
        <w:rPr>
          <w:rFonts w:ascii="Abadi" w:eastAsiaTheme="minorHAnsi" w:hAnsi="Abadi" w:cstheme="minorBidi"/>
          <w:b/>
          <w:bCs/>
          <w:sz w:val="21"/>
          <w:szCs w:val="21"/>
          <w:lang w:val="es-MX" w:eastAsia="en-US"/>
        </w:rPr>
      </w:pPr>
      <w:r w:rsidRPr="00D247CC">
        <w:rPr>
          <w:rFonts w:ascii="Abadi" w:eastAsiaTheme="minorHAnsi" w:hAnsi="Abadi" w:cstheme="minorBidi"/>
          <w:b/>
          <w:bCs/>
          <w:sz w:val="21"/>
          <w:szCs w:val="21"/>
          <w:lang w:val="es-MX" w:eastAsia="en-US"/>
        </w:rPr>
        <w:t>SECRETARIA VOCAL</w:t>
      </w:r>
    </w:p>
    <w:p w14:paraId="53677C69" w14:textId="77777777" w:rsidR="00D247CC" w:rsidRPr="00D247CC" w:rsidRDefault="00D247CC" w:rsidP="00D247CC">
      <w:pPr>
        <w:spacing w:after="160" w:line="259" w:lineRule="auto"/>
        <w:jc w:val="center"/>
        <w:rPr>
          <w:rFonts w:ascii="Abadi" w:eastAsiaTheme="minorHAnsi" w:hAnsi="Abadi" w:cstheme="minorBidi"/>
          <w:b/>
          <w:bCs/>
          <w:sz w:val="21"/>
          <w:szCs w:val="21"/>
          <w:lang w:val="es-MX" w:eastAsia="en-US"/>
        </w:rPr>
      </w:pPr>
      <w:r w:rsidRPr="00D247CC">
        <w:rPr>
          <w:rFonts w:ascii="Abadi" w:eastAsiaTheme="minorHAnsi" w:hAnsi="Abadi" w:cstheme="minorBidi"/>
          <w:b/>
          <w:bCs/>
          <w:sz w:val="21"/>
          <w:szCs w:val="21"/>
          <w:lang w:val="es-MX" w:eastAsia="en-US"/>
        </w:rPr>
        <w:t>DIP. ALEJANDRO ARIAS ÁVILA</w:t>
      </w:r>
    </w:p>
    <w:p w14:paraId="441C9BD7" w14:textId="1CAC76DF" w:rsidR="00D247CC" w:rsidRDefault="00D247CC" w:rsidP="00D247CC">
      <w:pPr>
        <w:spacing w:after="160" w:line="259" w:lineRule="auto"/>
        <w:jc w:val="center"/>
        <w:rPr>
          <w:rFonts w:ascii="Abadi" w:eastAsiaTheme="minorHAnsi" w:hAnsi="Abadi" w:cstheme="minorBidi"/>
          <w:b/>
          <w:bCs/>
          <w:sz w:val="21"/>
          <w:szCs w:val="21"/>
          <w:lang w:val="es-MX" w:eastAsia="en-US"/>
        </w:rPr>
      </w:pPr>
      <w:r w:rsidRPr="00D247CC">
        <w:rPr>
          <w:rFonts w:ascii="Abadi" w:eastAsiaTheme="minorHAnsi" w:hAnsi="Abadi" w:cstheme="minorBidi"/>
          <w:b/>
          <w:bCs/>
          <w:sz w:val="21"/>
          <w:szCs w:val="21"/>
          <w:lang w:val="es-MX" w:eastAsia="en-US"/>
        </w:rPr>
        <w:t>VOCAL</w:t>
      </w:r>
    </w:p>
    <w:p w14:paraId="1F58F8AB" w14:textId="33487FAE" w:rsidR="00EC3531" w:rsidRDefault="00EC3531" w:rsidP="00D247CC">
      <w:pPr>
        <w:spacing w:after="160" w:line="259" w:lineRule="auto"/>
        <w:jc w:val="center"/>
        <w:rPr>
          <w:rFonts w:ascii="Abadi" w:eastAsiaTheme="minorHAnsi" w:hAnsi="Abadi" w:cstheme="minorBidi"/>
          <w:b/>
          <w:bCs/>
          <w:sz w:val="21"/>
          <w:szCs w:val="21"/>
          <w:lang w:val="es-MX" w:eastAsia="en-US"/>
        </w:rPr>
      </w:pPr>
    </w:p>
    <w:p w14:paraId="46FED7B3" w14:textId="77777777" w:rsidR="00EC3531" w:rsidRDefault="00EC3531" w:rsidP="00EC3531">
      <w:pPr>
        <w:ind w:firstLine="708"/>
        <w:rPr>
          <w:rFonts w:ascii="Abadi" w:hAnsi="Abadi"/>
          <w:sz w:val="21"/>
          <w:szCs w:val="21"/>
        </w:rPr>
      </w:pPr>
      <w:r w:rsidRPr="00FB4E1A">
        <w:rPr>
          <w:rFonts w:ascii="Abadi" w:hAnsi="Abadi"/>
          <w:b/>
          <w:bCs/>
          <w:sz w:val="21"/>
          <w:szCs w:val="21"/>
        </w:rPr>
        <w:t>- El Presidente.-</w:t>
      </w:r>
      <w:r>
        <w:rPr>
          <w:rFonts w:ascii="Abadi" w:hAnsi="Abadi"/>
          <w:sz w:val="21"/>
          <w:szCs w:val="21"/>
        </w:rPr>
        <w:t xml:space="preserve"> E</w:t>
      </w:r>
      <w:r w:rsidRPr="006813AA">
        <w:rPr>
          <w:rFonts w:ascii="Abadi" w:hAnsi="Abadi"/>
          <w:sz w:val="21"/>
          <w:szCs w:val="21"/>
        </w:rPr>
        <w:t xml:space="preserve">stá a consideración de la </w:t>
      </w:r>
      <w:r>
        <w:rPr>
          <w:rFonts w:ascii="Abadi" w:hAnsi="Abadi"/>
          <w:sz w:val="21"/>
          <w:szCs w:val="21"/>
        </w:rPr>
        <w:t>A</w:t>
      </w:r>
      <w:r w:rsidRPr="006813AA">
        <w:rPr>
          <w:rFonts w:ascii="Abadi" w:hAnsi="Abadi"/>
          <w:sz w:val="21"/>
          <w:szCs w:val="21"/>
        </w:rPr>
        <w:t xml:space="preserve">samblea los informes formulados por la </w:t>
      </w:r>
      <w:r>
        <w:rPr>
          <w:rFonts w:ascii="Abadi" w:hAnsi="Abadi"/>
          <w:sz w:val="21"/>
          <w:szCs w:val="21"/>
        </w:rPr>
        <w:t>C</w:t>
      </w:r>
      <w:r w:rsidRPr="006813AA">
        <w:rPr>
          <w:rFonts w:ascii="Abadi" w:hAnsi="Abadi"/>
          <w:sz w:val="21"/>
          <w:szCs w:val="21"/>
        </w:rPr>
        <w:t>omisión</w:t>
      </w:r>
      <w:r>
        <w:rPr>
          <w:rFonts w:ascii="Abadi" w:hAnsi="Abadi"/>
          <w:sz w:val="21"/>
          <w:szCs w:val="21"/>
        </w:rPr>
        <w:t xml:space="preserve"> </w:t>
      </w:r>
      <w:r w:rsidRPr="006813AA">
        <w:rPr>
          <w:rFonts w:ascii="Abadi" w:hAnsi="Abadi"/>
          <w:sz w:val="21"/>
          <w:szCs w:val="21"/>
        </w:rPr>
        <w:t xml:space="preserve">de </w:t>
      </w:r>
      <w:r>
        <w:rPr>
          <w:rFonts w:ascii="Abadi" w:hAnsi="Abadi"/>
          <w:sz w:val="21"/>
          <w:szCs w:val="21"/>
        </w:rPr>
        <w:t>A</w:t>
      </w:r>
      <w:r w:rsidRPr="006813AA">
        <w:rPr>
          <w:rFonts w:ascii="Abadi" w:hAnsi="Abadi"/>
          <w:sz w:val="21"/>
          <w:szCs w:val="21"/>
        </w:rPr>
        <w:t xml:space="preserve">dministración </w:t>
      </w:r>
      <w:r>
        <w:rPr>
          <w:rFonts w:ascii="Abadi" w:hAnsi="Abadi"/>
          <w:sz w:val="21"/>
          <w:szCs w:val="21"/>
        </w:rPr>
        <w:t>A</w:t>
      </w:r>
      <w:r w:rsidRPr="006813AA">
        <w:rPr>
          <w:rFonts w:ascii="Abadi" w:hAnsi="Abadi"/>
          <w:sz w:val="21"/>
          <w:szCs w:val="21"/>
        </w:rPr>
        <w:t xml:space="preserve">gendados en los puntos 17 y 18 de nuestra </w:t>
      </w:r>
      <w:r>
        <w:rPr>
          <w:rFonts w:ascii="Abadi" w:hAnsi="Abadi"/>
          <w:sz w:val="21"/>
          <w:szCs w:val="21"/>
        </w:rPr>
        <w:t>o</w:t>
      </w:r>
      <w:r w:rsidRPr="006813AA">
        <w:rPr>
          <w:rFonts w:ascii="Abadi" w:hAnsi="Abadi"/>
          <w:sz w:val="21"/>
          <w:szCs w:val="21"/>
        </w:rPr>
        <w:t>rden del día</w:t>
      </w:r>
      <w:r>
        <w:rPr>
          <w:rFonts w:ascii="Abadi" w:hAnsi="Abadi"/>
          <w:sz w:val="21"/>
          <w:szCs w:val="21"/>
        </w:rPr>
        <w:t>.</w:t>
      </w:r>
    </w:p>
    <w:p w14:paraId="39A5D401" w14:textId="77777777" w:rsidR="00EC3531" w:rsidRDefault="00EC3531" w:rsidP="00EC3531">
      <w:pPr>
        <w:ind w:firstLine="708"/>
        <w:rPr>
          <w:rFonts w:ascii="Abadi" w:hAnsi="Abadi"/>
          <w:sz w:val="21"/>
          <w:szCs w:val="21"/>
        </w:rPr>
      </w:pPr>
    </w:p>
    <w:p w14:paraId="29C30C5F" w14:textId="09EE4700" w:rsidR="00EC3531" w:rsidRDefault="00EC3531" w:rsidP="00EC3531">
      <w:pPr>
        <w:ind w:firstLine="708"/>
        <w:jc w:val="both"/>
        <w:rPr>
          <w:rFonts w:ascii="Abadi" w:hAnsi="Abadi"/>
          <w:sz w:val="21"/>
          <w:szCs w:val="21"/>
        </w:rPr>
      </w:pPr>
      <w:r>
        <w:rPr>
          <w:rFonts w:ascii="Abadi" w:hAnsi="Abadi"/>
          <w:sz w:val="21"/>
          <w:szCs w:val="21"/>
        </w:rPr>
        <w:t>- Sí</w:t>
      </w:r>
      <w:r w:rsidRPr="006813AA">
        <w:rPr>
          <w:rFonts w:ascii="Abadi" w:hAnsi="Abadi"/>
          <w:sz w:val="21"/>
          <w:szCs w:val="21"/>
        </w:rPr>
        <w:t xml:space="preserve"> alguna diputada </w:t>
      </w:r>
      <w:r>
        <w:rPr>
          <w:rFonts w:ascii="Abadi" w:hAnsi="Abadi"/>
          <w:sz w:val="21"/>
          <w:szCs w:val="21"/>
        </w:rPr>
        <w:t xml:space="preserve">o </w:t>
      </w:r>
      <w:r w:rsidRPr="006813AA">
        <w:rPr>
          <w:rFonts w:ascii="Abadi" w:hAnsi="Abadi"/>
          <w:sz w:val="21"/>
          <w:szCs w:val="21"/>
        </w:rPr>
        <w:t xml:space="preserve">algún diputado desea hacer </w:t>
      </w:r>
      <w:r>
        <w:rPr>
          <w:rFonts w:ascii="Abadi" w:hAnsi="Abadi"/>
          <w:sz w:val="21"/>
          <w:szCs w:val="21"/>
        </w:rPr>
        <w:t>u</w:t>
      </w:r>
      <w:r w:rsidRPr="006813AA">
        <w:rPr>
          <w:rFonts w:ascii="Abadi" w:hAnsi="Abadi"/>
          <w:sz w:val="21"/>
          <w:szCs w:val="21"/>
        </w:rPr>
        <w:t>so de la palabra manifiést</w:t>
      </w:r>
      <w:r>
        <w:rPr>
          <w:rFonts w:ascii="Abadi" w:hAnsi="Abadi"/>
          <w:sz w:val="21"/>
          <w:szCs w:val="21"/>
        </w:rPr>
        <w:t xml:space="preserve">enlo </w:t>
      </w:r>
      <w:r w:rsidRPr="006813AA">
        <w:rPr>
          <w:rFonts w:ascii="Abadi" w:hAnsi="Abadi"/>
          <w:sz w:val="21"/>
          <w:szCs w:val="21"/>
        </w:rPr>
        <w:t>a esta presidencia</w:t>
      </w:r>
      <w:r>
        <w:rPr>
          <w:rFonts w:ascii="Abadi" w:hAnsi="Abadi"/>
          <w:sz w:val="21"/>
          <w:szCs w:val="21"/>
        </w:rPr>
        <w:t>.</w:t>
      </w:r>
    </w:p>
    <w:p w14:paraId="1526909C" w14:textId="77777777" w:rsidR="00EC3531" w:rsidRPr="006813AA" w:rsidRDefault="00EC3531" w:rsidP="00EC3531">
      <w:pPr>
        <w:ind w:firstLine="708"/>
        <w:jc w:val="both"/>
        <w:rPr>
          <w:rFonts w:ascii="Abadi" w:hAnsi="Abadi"/>
          <w:sz w:val="21"/>
          <w:szCs w:val="21"/>
        </w:rPr>
      </w:pPr>
    </w:p>
    <w:p w14:paraId="3ABE6277" w14:textId="038680B3" w:rsidR="00EC3531" w:rsidRDefault="00EC3531" w:rsidP="00EC3531">
      <w:pPr>
        <w:ind w:firstLine="708"/>
        <w:jc w:val="both"/>
        <w:rPr>
          <w:rFonts w:ascii="Abadi" w:hAnsi="Abadi"/>
          <w:sz w:val="21"/>
          <w:szCs w:val="21"/>
        </w:rPr>
      </w:pPr>
      <w:r w:rsidRPr="00DA77ED">
        <w:rPr>
          <w:rFonts w:ascii="Abadi" w:hAnsi="Abadi"/>
          <w:b/>
          <w:bCs/>
          <w:sz w:val="21"/>
          <w:szCs w:val="21"/>
        </w:rPr>
        <w:t xml:space="preserve">- </w:t>
      </w:r>
      <w:r>
        <w:rPr>
          <w:rFonts w:ascii="Abadi" w:hAnsi="Abadi"/>
          <w:sz w:val="21"/>
          <w:szCs w:val="21"/>
        </w:rPr>
        <w:t>E</w:t>
      </w:r>
      <w:r w:rsidRPr="006813AA">
        <w:rPr>
          <w:rFonts w:ascii="Abadi" w:hAnsi="Abadi"/>
          <w:sz w:val="21"/>
          <w:szCs w:val="21"/>
        </w:rPr>
        <w:t xml:space="preserve">n virtud de que no se han registrado participaciones </w:t>
      </w:r>
      <w:r>
        <w:rPr>
          <w:rFonts w:ascii="Abadi" w:hAnsi="Abadi"/>
          <w:sz w:val="21"/>
          <w:szCs w:val="21"/>
        </w:rPr>
        <w:t>se pide a la S</w:t>
      </w:r>
      <w:r w:rsidRPr="006813AA">
        <w:rPr>
          <w:rFonts w:ascii="Abadi" w:hAnsi="Abadi"/>
          <w:sz w:val="21"/>
          <w:szCs w:val="21"/>
        </w:rPr>
        <w:t xml:space="preserve">ecretaría que proceda a recabar votación nominal de la </w:t>
      </w:r>
      <w:r>
        <w:rPr>
          <w:rFonts w:ascii="Abadi" w:hAnsi="Abadi"/>
          <w:sz w:val="21"/>
          <w:szCs w:val="21"/>
        </w:rPr>
        <w:t>A</w:t>
      </w:r>
      <w:r w:rsidRPr="006813AA">
        <w:rPr>
          <w:rFonts w:ascii="Abadi" w:hAnsi="Abadi"/>
          <w:sz w:val="21"/>
          <w:szCs w:val="21"/>
        </w:rPr>
        <w:t>samblea a través del sistema electrónico a efecto de aprobar o no los informes puestos a su consideración</w:t>
      </w:r>
      <w:r>
        <w:rPr>
          <w:rFonts w:ascii="Abadi" w:hAnsi="Abadi"/>
          <w:sz w:val="21"/>
          <w:szCs w:val="21"/>
        </w:rPr>
        <w:t>.</w:t>
      </w:r>
    </w:p>
    <w:p w14:paraId="5A040634" w14:textId="77777777" w:rsidR="00EC3531" w:rsidRDefault="00EC3531" w:rsidP="00EC3531">
      <w:pPr>
        <w:ind w:firstLine="708"/>
        <w:jc w:val="both"/>
        <w:rPr>
          <w:rFonts w:ascii="Abadi" w:hAnsi="Abadi"/>
          <w:sz w:val="21"/>
          <w:szCs w:val="21"/>
        </w:rPr>
      </w:pPr>
    </w:p>
    <w:p w14:paraId="34D453C9" w14:textId="77777777" w:rsidR="00EC3531" w:rsidRDefault="00EC3531" w:rsidP="00EC3531">
      <w:pPr>
        <w:ind w:firstLine="708"/>
        <w:jc w:val="both"/>
        <w:rPr>
          <w:rFonts w:ascii="Abadi" w:hAnsi="Abadi"/>
          <w:b/>
          <w:bCs/>
          <w:sz w:val="21"/>
          <w:szCs w:val="21"/>
        </w:rPr>
      </w:pPr>
      <w:r w:rsidRPr="00DA77ED">
        <w:rPr>
          <w:rFonts w:ascii="Abadi" w:hAnsi="Abadi"/>
          <w:b/>
          <w:bCs/>
          <w:sz w:val="21"/>
          <w:szCs w:val="21"/>
        </w:rPr>
        <w:t>(Se abre nuestro sistema electrónico</w:t>
      </w:r>
      <w:r>
        <w:rPr>
          <w:rFonts w:ascii="Abadi" w:hAnsi="Abadi"/>
          <w:b/>
          <w:bCs/>
          <w:sz w:val="21"/>
          <w:szCs w:val="21"/>
        </w:rPr>
        <w:t>)</w:t>
      </w:r>
    </w:p>
    <w:p w14:paraId="509F16B7" w14:textId="77777777" w:rsidR="00EC3531" w:rsidRDefault="00EC3531" w:rsidP="00EC3531">
      <w:pPr>
        <w:ind w:firstLine="708"/>
        <w:jc w:val="both"/>
        <w:rPr>
          <w:rFonts w:ascii="Abadi" w:hAnsi="Abadi"/>
          <w:sz w:val="21"/>
          <w:szCs w:val="21"/>
        </w:rPr>
      </w:pPr>
    </w:p>
    <w:p w14:paraId="02375C60" w14:textId="676ED50D" w:rsidR="00EC3531" w:rsidRDefault="00EC3531" w:rsidP="00EC3531">
      <w:pPr>
        <w:ind w:firstLine="708"/>
        <w:jc w:val="both"/>
        <w:rPr>
          <w:rFonts w:ascii="Abadi" w:hAnsi="Abadi"/>
          <w:sz w:val="21"/>
          <w:szCs w:val="21"/>
        </w:rPr>
      </w:pPr>
      <w:r>
        <w:rPr>
          <w:rFonts w:ascii="Abadi" w:hAnsi="Abadi"/>
          <w:sz w:val="21"/>
          <w:szCs w:val="21"/>
        </w:rPr>
        <w:t>- E</w:t>
      </w:r>
      <w:r w:rsidRPr="006813AA">
        <w:rPr>
          <w:rFonts w:ascii="Abadi" w:hAnsi="Abadi"/>
          <w:sz w:val="21"/>
          <w:szCs w:val="21"/>
        </w:rPr>
        <w:t xml:space="preserve">n votación nominal por el sistema electrónico se pregunta a las diputadas y los diputados si se aprueban los informes </w:t>
      </w:r>
      <w:r>
        <w:rPr>
          <w:rFonts w:ascii="Abadi" w:hAnsi="Abadi"/>
          <w:sz w:val="21"/>
          <w:szCs w:val="21"/>
        </w:rPr>
        <w:t>puestos a su consideración. ¿Diputada Dessire Ángel Rocha? ¿Diputada Janet M</w:t>
      </w:r>
      <w:r w:rsidRPr="006813AA">
        <w:rPr>
          <w:rFonts w:ascii="Abadi" w:hAnsi="Abadi"/>
          <w:sz w:val="21"/>
          <w:szCs w:val="21"/>
        </w:rPr>
        <w:t>elanie</w:t>
      </w:r>
      <w:r>
        <w:rPr>
          <w:rFonts w:ascii="Abadi" w:hAnsi="Abadi"/>
          <w:sz w:val="21"/>
          <w:szCs w:val="21"/>
        </w:rPr>
        <w:t>?</w:t>
      </w:r>
    </w:p>
    <w:p w14:paraId="21F03D99" w14:textId="77777777" w:rsidR="00EC3531" w:rsidRDefault="00EC3531" w:rsidP="00EC3531">
      <w:pPr>
        <w:ind w:firstLine="708"/>
        <w:jc w:val="both"/>
        <w:rPr>
          <w:rFonts w:ascii="Abadi" w:hAnsi="Abadi"/>
          <w:sz w:val="21"/>
          <w:szCs w:val="21"/>
        </w:rPr>
      </w:pPr>
    </w:p>
    <w:p w14:paraId="20DF85F3" w14:textId="1877E350" w:rsidR="00EC3531" w:rsidRDefault="00EC3531" w:rsidP="00EC3531">
      <w:pPr>
        <w:ind w:firstLine="708"/>
        <w:jc w:val="both"/>
        <w:rPr>
          <w:rFonts w:ascii="Abadi" w:hAnsi="Abadi"/>
          <w:sz w:val="21"/>
          <w:szCs w:val="21"/>
        </w:rPr>
      </w:pPr>
      <w:r>
        <w:rPr>
          <w:rFonts w:ascii="Abadi" w:hAnsi="Abadi"/>
          <w:sz w:val="21"/>
          <w:szCs w:val="21"/>
        </w:rPr>
        <w:t>¿F</w:t>
      </w:r>
      <w:r w:rsidRPr="006813AA">
        <w:rPr>
          <w:rFonts w:ascii="Abadi" w:hAnsi="Abadi"/>
          <w:sz w:val="21"/>
          <w:szCs w:val="21"/>
        </w:rPr>
        <w:t>alta alguna diputada o algún diputado de emitir su voto</w:t>
      </w:r>
      <w:r>
        <w:rPr>
          <w:rFonts w:ascii="Abadi" w:hAnsi="Abadi"/>
          <w:sz w:val="21"/>
          <w:szCs w:val="21"/>
        </w:rPr>
        <w:t>?</w:t>
      </w:r>
    </w:p>
    <w:p w14:paraId="4A58278A" w14:textId="77777777" w:rsidR="00EC3531" w:rsidRDefault="00EC3531" w:rsidP="00EC3531">
      <w:pPr>
        <w:ind w:firstLine="708"/>
        <w:jc w:val="both"/>
        <w:rPr>
          <w:rFonts w:ascii="Abadi" w:hAnsi="Abadi"/>
          <w:sz w:val="21"/>
          <w:szCs w:val="21"/>
        </w:rPr>
      </w:pPr>
    </w:p>
    <w:p w14:paraId="3A22822A" w14:textId="77777777" w:rsidR="00EC3531" w:rsidRDefault="00EC3531" w:rsidP="00EC3531">
      <w:pPr>
        <w:jc w:val="both"/>
        <w:rPr>
          <w:rFonts w:ascii="Abadi" w:hAnsi="Abadi"/>
          <w:b/>
          <w:bCs/>
          <w:sz w:val="21"/>
          <w:szCs w:val="21"/>
        </w:rPr>
      </w:pPr>
      <w:r w:rsidRPr="00DA77ED">
        <w:rPr>
          <w:rFonts w:ascii="Abadi" w:hAnsi="Abadi"/>
          <w:b/>
          <w:bCs/>
          <w:sz w:val="21"/>
          <w:szCs w:val="21"/>
        </w:rPr>
        <w:t>(Se cierra el sistema electrónico)</w:t>
      </w:r>
    </w:p>
    <w:p w14:paraId="58E8494B" w14:textId="77777777" w:rsidR="00EC3531" w:rsidRPr="00DA77ED" w:rsidRDefault="00EC3531" w:rsidP="00EC3531">
      <w:pPr>
        <w:jc w:val="both"/>
        <w:rPr>
          <w:rFonts w:ascii="Abadi" w:hAnsi="Abadi"/>
          <w:b/>
          <w:bCs/>
          <w:sz w:val="21"/>
          <w:szCs w:val="21"/>
        </w:rPr>
      </w:pPr>
      <w:r>
        <w:rPr>
          <w:noProof/>
        </w:rPr>
        <w:drawing>
          <wp:inline distT="0" distB="0" distL="0" distR="0" wp14:anchorId="6ADE7415" wp14:editId="731830BA">
            <wp:extent cx="1770845" cy="922479"/>
            <wp:effectExtent l="323850" t="323850" r="325120" b="31623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b="7347"/>
                    <a:stretch/>
                  </pic:blipFill>
                  <pic:spPr bwMode="auto">
                    <a:xfrm>
                      <a:off x="0" y="0"/>
                      <a:ext cx="1790307" cy="932617"/>
                    </a:xfrm>
                    <a:prstGeom prst="rect">
                      <a:avLst/>
                    </a:prstGeom>
                    <a:ln w="88900" cap="sq" cmpd="thickThin">
                      <a:solidFill>
                        <a:srgbClr val="000000"/>
                      </a:solidFill>
                      <a:prstDash val="solid"/>
                      <a:miter lim="800000"/>
                    </a:ln>
                    <a:effectLst>
                      <a:glow rad="228600">
                        <a:schemeClr val="accent3">
                          <a:satMod val="1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62509963" w14:textId="32F1AACE" w:rsidR="00EC3531" w:rsidRDefault="00EC3531" w:rsidP="00EC3531">
      <w:pPr>
        <w:ind w:firstLine="708"/>
        <w:jc w:val="both"/>
        <w:rPr>
          <w:rFonts w:ascii="Abadi" w:hAnsi="Abadi"/>
          <w:sz w:val="21"/>
          <w:szCs w:val="21"/>
        </w:rPr>
      </w:pPr>
      <w:r w:rsidRPr="00DA77ED">
        <w:rPr>
          <w:rFonts w:ascii="Abadi" w:hAnsi="Abadi"/>
          <w:b/>
          <w:bCs/>
          <w:sz w:val="21"/>
          <w:szCs w:val="21"/>
        </w:rPr>
        <w:t xml:space="preserve">- El Secretario.- </w:t>
      </w:r>
      <w:r>
        <w:rPr>
          <w:rFonts w:ascii="Abadi" w:hAnsi="Abadi"/>
          <w:sz w:val="21"/>
          <w:szCs w:val="21"/>
        </w:rPr>
        <w:t>S</w:t>
      </w:r>
      <w:r w:rsidRPr="006813AA">
        <w:rPr>
          <w:rFonts w:ascii="Abadi" w:hAnsi="Abadi"/>
          <w:sz w:val="21"/>
          <w:szCs w:val="21"/>
        </w:rPr>
        <w:t xml:space="preserve">eñor Presidente se registraron 28 votos a favor y un </w:t>
      </w:r>
      <w:r>
        <w:rPr>
          <w:rFonts w:ascii="Abadi" w:hAnsi="Abadi"/>
          <w:sz w:val="21"/>
          <w:szCs w:val="21"/>
        </w:rPr>
        <w:t>1 voto</w:t>
      </w:r>
      <w:r w:rsidRPr="006813AA">
        <w:rPr>
          <w:rFonts w:ascii="Abadi" w:hAnsi="Abadi"/>
          <w:sz w:val="21"/>
          <w:szCs w:val="21"/>
        </w:rPr>
        <w:t xml:space="preserve"> en contra</w:t>
      </w:r>
      <w:r>
        <w:rPr>
          <w:rFonts w:ascii="Abadi" w:hAnsi="Abadi"/>
          <w:sz w:val="21"/>
          <w:szCs w:val="21"/>
        </w:rPr>
        <w:t>.</w:t>
      </w:r>
    </w:p>
    <w:p w14:paraId="7C327A39" w14:textId="77777777" w:rsidR="00EC3531" w:rsidRDefault="00EC3531" w:rsidP="00EC3531">
      <w:pPr>
        <w:ind w:firstLine="708"/>
        <w:jc w:val="both"/>
        <w:rPr>
          <w:rFonts w:ascii="Abadi" w:hAnsi="Abadi"/>
          <w:sz w:val="21"/>
          <w:szCs w:val="21"/>
        </w:rPr>
      </w:pPr>
    </w:p>
    <w:p w14:paraId="49194E52" w14:textId="77777777" w:rsidR="00EC3531" w:rsidRDefault="00EC3531" w:rsidP="00EC3531">
      <w:pPr>
        <w:ind w:firstLine="708"/>
        <w:jc w:val="both"/>
        <w:rPr>
          <w:rFonts w:ascii="Abadi" w:hAnsi="Abadi"/>
          <w:sz w:val="21"/>
          <w:szCs w:val="21"/>
        </w:rPr>
      </w:pPr>
      <w:r w:rsidRPr="00C54B93">
        <w:rPr>
          <w:rFonts w:ascii="Abadi" w:hAnsi="Abadi"/>
          <w:b/>
          <w:bCs/>
          <w:sz w:val="21"/>
          <w:szCs w:val="21"/>
        </w:rPr>
        <w:t>- El Presidente.-</w:t>
      </w:r>
      <w:r>
        <w:rPr>
          <w:rFonts w:ascii="Abadi" w:hAnsi="Abadi"/>
          <w:sz w:val="21"/>
          <w:szCs w:val="21"/>
        </w:rPr>
        <w:t xml:space="preserve"> L</w:t>
      </w:r>
      <w:r w:rsidRPr="006813AA">
        <w:rPr>
          <w:rFonts w:ascii="Abadi" w:hAnsi="Abadi"/>
          <w:sz w:val="21"/>
          <w:szCs w:val="21"/>
        </w:rPr>
        <w:t>os informes han sido aprobados por mayoría de votos</w:t>
      </w:r>
      <w:r>
        <w:rPr>
          <w:rFonts w:ascii="Abadi" w:hAnsi="Abadi"/>
          <w:sz w:val="21"/>
          <w:szCs w:val="21"/>
        </w:rPr>
        <w:t>.</w:t>
      </w:r>
    </w:p>
    <w:p w14:paraId="7F56FB97" w14:textId="77777777" w:rsidR="00EC3531" w:rsidRPr="00D247CC" w:rsidRDefault="00EC3531" w:rsidP="00D247CC">
      <w:pPr>
        <w:spacing w:after="160" w:line="259" w:lineRule="auto"/>
        <w:jc w:val="center"/>
        <w:rPr>
          <w:rFonts w:ascii="Abadi" w:eastAsiaTheme="minorHAnsi" w:hAnsi="Abadi" w:cstheme="minorBidi"/>
          <w:sz w:val="21"/>
          <w:szCs w:val="21"/>
          <w:lang w:val="es-MX" w:eastAsia="en-US"/>
        </w:rPr>
      </w:pPr>
    </w:p>
    <w:p w14:paraId="7D353071" w14:textId="77777777" w:rsidR="00AF3A6B" w:rsidRPr="0028553C" w:rsidRDefault="00AF3A6B" w:rsidP="00E462B6">
      <w:pPr>
        <w:autoSpaceDE w:val="0"/>
        <w:autoSpaceDN w:val="0"/>
        <w:adjustRightInd w:val="0"/>
        <w:jc w:val="both"/>
        <w:rPr>
          <w:rFonts w:ascii="Abadi" w:hAnsi="Abadi" w:cs="ArialMT"/>
          <w:b/>
          <w:bCs/>
          <w:sz w:val="20"/>
          <w:szCs w:val="21"/>
        </w:rPr>
      </w:pPr>
    </w:p>
    <w:p w14:paraId="274A54C5" w14:textId="77777777" w:rsidR="00E462B6" w:rsidRPr="001B67B0" w:rsidRDefault="00E462B6">
      <w:pPr>
        <w:pStyle w:val="Prrafodelista"/>
        <w:numPr>
          <w:ilvl w:val="0"/>
          <w:numId w:val="14"/>
        </w:numPr>
        <w:autoSpaceDE w:val="0"/>
        <w:autoSpaceDN w:val="0"/>
        <w:adjustRightInd w:val="0"/>
        <w:contextualSpacing/>
        <w:jc w:val="both"/>
        <w:rPr>
          <w:rFonts w:ascii="Abadi" w:hAnsi="Abadi" w:cs="ArialMT"/>
          <w:b/>
          <w:bCs/>
          <w:sz w:val="20"/>
          <w:szCs w:val="21"/>
        </w:rPr>
      </w:pPr>
      <w:r w:rsidRPr="001B67B0">
        <w:rPr>
          <w:rFonts w:ascii="Abadi" w:hAnsi="Abadi" w:cs="ArialMT"/>
          <w:b/>
          <w:bCs/>
          <w:sz w:val="20"/>
          <w:szCs w:val="21"/>
        </w:rPr>
        <w:t>DISCUSIÓN Y, EN SU CASO, APROBACIÓN DEL DICTAMEN SUSCRITO POR LA COMISIÓN DE DERECHOS HUMANOS Y ATENCIÓN A GRUPOS VULNERABLES RELATIVO A LA INICIATIVA DE LEY DE LOS DERECHOS DE LAS PERSONAS USUARIAS DE PERROS GUÍA O DE ASISTENCIA MÉDICA PARA EL ESTADO DE GUANAJUATO FORMULADA POR LA DIPUTADA MARÍA DE JESÚS EUNICES REVELES CONEJO, DE LA REPRESENTACIÓN PARLAMENTARIA DEL PARTIDO DEL TRABAJO ANTE LA SEXAGÉSIMA CUARTA LEGISLATURA.</w:t>
      </w:r>
    </w:p>
    <w:p w14:paraId="69A2D8EA" w14:textId="77777777" w:rsidR="00E462B6" w:rsidRPr="0028553C" w:rsidRDefault="00E462B6" w:rsidP="00E462B6">
      <w:pPr>
        <w:autoSpaceDE w:val="0"/>
        <w:autoSpaceDN w:val="0"/>
        <w:adjustRightInd w:val="0"/>
        <w:jc w:val="both"/>
        <w:rPr>
          <w:rFonts w:ascii="Abadi" w:hAnsi="Abadi" w:cs="ArialMT"/>
          <w:b/>
          <w:bCs/>
          <w:sz w:val="20"/>
          <w:szCs w:val="21"/>
        </w:rPr>
      </w:pPr>
    </w:p>
    <w:p w14:paraId="3BB67602" w14:textId="77777777" w:rsidR="0094362E" w:rsidRPr="0094362E" w:rsidRDefault="0094362E" w:rsidP="0094362E">
      <w:pPr>
        <w:widowControl w:val="0"/>
        <w:jc w:val="both"/>
        <w:rPr>
          <w:rFonts w:ascii="Abadi" w:hAnsi="Abadi"/>
          <w:b/>
          <w:bCs/>
          <w:sz w:val="21"/>
          <w:szCs w:val="21"/>
          <w:lang w:val="es-MX" w:eastAsia="en-US"/>
        </w:rPr>
      </w:pPr>
      <w:r w:rsidRPr="0094362E">
        <w:rPr>
          <w:rFonts w:ascii="Abadi" w:hAnsi="Abadi"/>
          <w:b/>
          <w:bCs/>
          <w:sz w:val="21"/>
          <w:szCs w:val="21"/>
          <w:lang w:val="es-MX" w:eastAsia="en-US"/>
        </w:rPr>
        <w:t>DICTAMEN NEGATIVO QUE LA COMISIÓN DE DERECHOS HUMANOS Y ATENCIÓN A GRUPOS VULNERABLES PRESENTA AL PLENO DEL CONGRESO, DE LA INICIATIVA DE LEY DE LOS DERECHOS DE LAS PERSONAS USUARIAS DE PERROS GUÍA O DE ASISTENCIA MÉDICA PARA EL ESTADO DE GUANAJUATO FORMULADA POR LA DIPUTADA MARÍA DE JESÚS EUNICES REVELES CONEJO, DE LA REPRESENTACIÓN PARLAMENTARIA DEL PARTIDO DEL TRABAJO, EN LA SEXAGÉSIMA CUARTA LEGISLATURA.</w:t>
      </w:r>
    </w:p>
    <w:p w14:paraId="61DA08C3" w14:textId="77777777" w:rsidR="0094362E" w:rsidRPr="0094362E" w:rsidRDefault="0094362E" w:rsidP="0094362E">
      <w:pPr>
        <w:widowControl w:val="0"/>
        <w:spacing w:line="360" w:lineRule="auto"/>
        <w:jc w:val="both"/>
        <w:rPr>
          <w:rFonts w:ascii="Abadi" w:hAnsi="Abadi" w:cs="Arial"/>
          <w:sz w:val="21"/>
          <w:szCs w:val="21"/>
          <w:lang w:val="es-MX"/>
        </w:rPr>
      </w:pPr>
    </w:p>
    <w:p w14:paraId="048EF91C" w14:textId="77777777" w:rsidR="0094362E" w:rsidRPr="0094362E" w:rsidRDefault="0094362E" w:rsidP="0094362E">
      <w:pPr>
        <w:widowControl w:val="0"/>
        <w:spacing w:line="360" w:lineRule="auto"/>
        <w:jc w:val="both"/>
        <w:rPr>
          <w:rFonts w:ascii="Abadi" w:hAnsi="Abadi" w:cs="Arial"/>
          <w:sz w:val="21"/>
          <w:szCs w:val="21"/>
          <w:lang w:val="es-MX"/>
        </w:rPr>
      </w:pPr>
    </w:p>
    <w:p w14:paraId="7BF75998" w14:textId="77777777" w:rsidR="0094362E" w:rsidRPr="0094362E" w:rsidRDefault="0094362E" w:rsidP="00004DAA">
      <w:pPr>
        <w:widowControl w:val="0"/>
        <w:ind w:firstLine="851"/>
        <w:jc w:val="both"/>
        <w:rPr>
          <w:rFonts w:ascii="Abadi" w:hAnsi="Abadi" w:cs="Arial"/>
          <w:sz w:val="21"/>
          <w:szCs w:val="21"/>
          <w:lang w:val="es-MX"/>
        </w:rPr>
      </w:pPr>
      <w:r w:rsidRPr="0094362E">
        <w:rPr>
          <w:rFonts w:ascii="Abadi" w:hAnsi="Abadi" w:cs="Arial"/>
          <w:sz w:val="21"/>
          <w:szCs w:val="21"/>
          <w:lang w:val="es-MX"/>
        </w:rPr>
        <w:t>A la Comisión de Derechos Humanos y Atención a Grupos Vulnerables le fue turnada para estudio y dictamen, la iniciativa de Ley de los Derechos de las Personas Usuarias de Perros Guía o de Asistencia Médica para el Estado de Guanajuato formulada por la diputada María de Jesús Eunices Reveles Conejo, de la Representación Parlamentaria del Partido del Trabajo, en la Sexagésima Cuarta Legislatura.</w:t>
      </w:r>
    </w:p>
    <w:p w14:paraId="5B3525C9" w14:textId="77777777" w:rsidR="0094362E" w:rsidRPr="0094362E" w:rsidRDefault="0094362E" w:rsidP="00004DAA">
      <w:pPr>
        <w:widowControl w:val="0"/>
        <w:jc w:val="both"/>
        <w:rPr>
          <w:rFonts w:ascii="Abadi" w:hAnsi="Abadi" w:cs="Arial"/>
          <w:sz w:val="21"/>
          <w:szCs w:val="21"/>
          <w:lang w:val="es-MX"/>
        </w:rPr>
      </w:pPr>
    </w:p>
    <w:p w14:paraId="20F77CBE" w14:textId="77777777" w:rsidR="0094362E" w:rsidRPr="0094362E" w:rsidRDefault="0094362E" w:rsidP="00004DAA">
      <w:pPr>
        <w:widowControl w:val="0"/>
        <w:ind w:firstLine="851"/>
        <w:jc w:val="both"/>
        <w:rPr>
          <w:rFonts w:ascii="Abadi" w:hAnsi="Abadi" w:cs="Arial"/>
          <w:sz w:val="21"/>
          <w:szCs w:val="21"/>
          <w:lang w:val="es-MX"/>
        </w:rPr>
      </w:pPr>
      <w:r w:rsidRPr="0094362E">
        <w:rPr>
          <w:rFonts w:ascii="Abadi" w:hAnsi="Abadi" w:cs="Arial"/>
          <w:sz w:val="21"/>
          <w:szCs w:val="21"/>
          <w:lang w:val="es-MX"/>
        </w:rPr>
        <w:t>Analizada la iniciativa de referencia, esta Comisión de conformidad con lo dispuesto en los artículos 89 -fracción V- y 171 de la Ley Orgánica del Poder Legislativo del Estado de Guanajuato rinde el dictamen, con base en las siguientes:</w:t>
      </w:r>
    </w:p>
    <w:p w14:paraId="51794E01" w14:textId="77777777" w:rsidR="0094362E" w:rsidRPr="0094362E" w:rsidRDefault="0094362E" w:rsidP="00004DAA">
      <w:pPr>
        <w:widowControl w:val="0"/>
        <w:jc w:val="both"/>
        <w:rPr>
          <w:rFonts w:ascii="Abadi" w:hAnsi="Abadi" w:cs="Arial"/>
          <w:sz w:val="21"/>
          <w:szCs w:val="21"/>
          <w:lang w:val="es-MX"/>
        </w:rPr>
      </w:pPr>
    </w:p>
    <w:p w14:paraId="35B2530E" w14:textId="77777777" w:rsidR="0094362E" w:rsidRPr="0094362E" w:rsidRDefault="0094362E" w:rsidP="00004DAA">
      <w:pPr>
        <w:widowControl w:val="0"/>
        <w:jc w:val="both"/>
        <w:rPr>
          <w:rFonts w:ascii="Abadi" w:hAnsi="Abadi" w:cs="Arial"/>
          <w:sz w:val="21"/>
          <w:szCs w:val="21"/>
          <w:lang w:val="es-MX"/>
        </w:rPr>
      </w:pPr>
    </w:p>
    <w:p w14:paraId="15291FFF" w14:textId="77777777" w:rsidR="0094362E" w:rsidRPr="0094362E" w:rsidRDefault="0094362E" w:rsidP="00004DAA">
      <w:pPr>
        <w:widowControl w:val="0"/>
        <w:jc w:val="center"/>
        <w:rPr>
          <w:rFonts w:ascii="Abadi" w:hAnsi="Abadi" w:cs="Arial"/>
          <w:b/>
          <w:sz w:val="21"/>
          <w:szCs w:val="21"/>
          <w:lang w:val="es-MX"/>
        </w:rPr>
      </w:pPr>
      <w:r w:rsidRPr="0094362E">
        <w:rPr>
          <w:rFonts w:ascii="Abadi" w:hAnsi="Abadi" w:cs="Arial"/>
          <w:b/>
          <w:sz w:val="21"/>
          <w:szCs w:val="21"/>
          <w:lang w:val="es-MX"/>
        </w:rPr>
        <w:t>C O N S I D E R A C I O N E S</w:t>
      </w:r>
    </w:p>
    <w:p w14:paraId="65BD404B" w14:textId="77777777" w:rsidR="0094362E" w:rsidRPr="0094362E" w:rsidRDefault="0094362E" w:rsidP="00004DAA">
      <w:pPr>
        <w:widowControl w:val="0"/>
        <w:jc w:val="both"/>
        <w:rPr>
          <w:rFonts w:ascii="Abadi" w:hAnsi="Abadi" w:cs="Arial"/>
          <w:sz w:val="21"/>
          <w:szCs w:val="21"/>
          <w:lang w:val="es-MX"/>
        </w:rPr>
      </w:pPr>
    </w:p>
    <w:p w14:paraId="2858621A" w14:textId="77777777" w:rsidR="0094362E" w:rsidRPr="0094362E" w:rsidRDefault="0094362E" w:rsidP="00004DAA">
      <w:pPr>
        <w:widowControl w:val="0"/>
        <w:ind w:left="851"/>
        <w:jc w:val="both"/>
        <w:rPr>
          <w:rFonts w:ascii="Abadi" w:hAnsi="Abadi" w:cs="Arial"/>
          <w:b/>
          <w:sz w:val="21"/>
          <w:szCs w:val="21"/>
          <w:lang w:val="es-MX"/>
        </w:rPr>
      </w:pPr>
      <w:r w:rsidRPr="0094362E">
        <w:rPr>
          <w:rFonts w:ascii="Abadi" w:hAnsi="Abadi" w:cs="Arial"/>
          <w:b/>
          <w:sz w:val="21"/>
          <w:szCs w:val="21"/>
          <w:lang w:val="es-MX"/>
        </w:rPr>
        <w:t>PROCESO LEGISLATIVO.</w:t>
      </w:r>
    </w:p>
    <w:p w14:paraId="61B845A7" w14:textId="77777777" w:rsidR="0094362E" w:rsidRPr="0094362E" w:rsidRDefault="0094362E" w:rsidP="00004DAA">
      <w:pPr>
        <w:widowControl w:val="0"/>
        <w:jc w:val="both"/>
        <w:rPr>
          <w:rFonts w:ascii="Abadi" w:hAnsi="Abadi" w:cs="Arial"/>
          <w:sz w:val="21"/>
          <w:szCs w:val="21"/>
          <w:lang w:val="es-MX"/>
        </w:rPr>
      </w:pPr>
    </w:p>
    <w:p w14:paraId="7554F912" w14:textId="77777777" w:rsidR="0094362E" w:rsidRPr="0094362E" w:rsidRDefault="0094362E" w:rsidP="00004DAA">
      <w:pPr>
        <w:widowControl w:val="0"/>
        <w:ind w:firstLine="851"/>
        <w:jc w:val="both"/>
        <w:rPr>
          <w:rFonts w:ascii="Abadi" w:hAnsi="Abadi" w:cs="Arial"/>
          <w:sz w:val="21"/>
          <w:szCs w:val="21"/>
          <w:lang w:val="es-MX"/>
        </w:rPr>
      </w:pPr>
      <w:r w:rsidRPr="0094362E">
        <w:rPr>
          <w:rFonts w:ascii="Abadi" w:hAnsi="Abadi" w:cs="Arial"/>
          <w:sz w:val="21"/>
          <w:szCs w:val="21"/>
          <w:lang w:val="es-MX"/>
        </w:rPr>
        <w:t>En sesión ordinaria del 28 de marzo de 2019 ingresó la iniciativa; misma que se turnó por la Presidencia del Congreso a esta Comisión legislativa para su estudio y dictamen, con fundamento en el artículo 106 -fracción XII- de la Ley Orgánica del Poder Legislativo del Estado de Guanajuato.</w:t>
      </w:r>
    </w:p>
    <w:p w14:paraId="57E42CD6" w14:textId="77777777" w:rsidR="0094362E" w:rsidRPr="0094362E" w:rsidRDefault="0094362E" w:rsidP="00004DAA">
      <w:pPr>
        <w:widowControl w:val="0"/>
        <w:jc w:val="both"/>
        <w:rPr>
          <w:rFonts w:ascii="Abadi" w:hAnsi="Abadi" w:cs="Arial"/>
          <w:sz w:val="21"/>
          <w:szCs w:val="21"/>
          <w:lang w:val="es-MX"/>
        </w:rPr>
      </w:pPr>
    </w:p>
    <w:p w14:paraId="6798ECF9" w14:textId="77777777" w:rsidR="0094362E" w:rsidRPr="0094362E" w:rsidRDefault="0094362E" w:rsidP="00004DAA">
      <w:pPr>
        <w:widowControl w:val="0"/>
        <w:ind w:firstLine="851"/>
        <w:jc w:val="both"/>
        <w:rPr>
          <w:rFonts w:ascii="Abadi" w:hAnsi="Abadi" w:cs="Arial"/>
          <w:sz w:val="21"/>
          <w:szCs w:val="21"/>
          <w:lang w:val="es-MX"/>
        </w:rPr>
      </w:pPr>
      <w:r w:rsidRPr="0094362E">
        <w:rPr>
          <w:rFonts w:ascii="Abadi" w:hAnsi="Abadi" w:cs="Arial"/>
          <w:sz w:val="21"/>
          <w:szCs w:val="21"/>
          <w:lang w:val="es-MX"/>
        </w:rPr>
        <w:t>La Comisión de Derechos Humanos y Atención a Grupos Vulnerables, en reunión de fecha 4 de abril de 2019 radicó la iniciativa.</w:t>
      </w:r>
    </w:p>
    <w:p w14:paraId="70C8077D" w14:textId="77777777" w:rsidR="0094362E" w:rsidRPr="0094362E" w:rsidRDefault="0094362E" w:rsidP="00004DAA">
      <w:pPr>
        <w:widowControl w:val="0"/>
        <w:jc w:val="both"/>
        <w:rPr>
          <w:rFonts w:ascii="Abadi" w:hAnsi="Abadi" w:cs="Arial"/>
          <w:sz w:val="21"/>
          <w:szCs w:val="21"/>
          <w:lang w:val="es-MX"/>
        </w:rPr>
      </w:pPr>
    </w:p>
    <w:p w14:paraId="44D429FD" w14:textId="77777777" w:rsidR="0094362E" w:rsidRPr="0094362E" w:rsidRDefault="0094362E" w:rsidP="00004DAA">
      <w:pPr>
        <w:widowControl w:val="0"/>
        <w:ind w:left="851"/>
        <w:jc w:val="both"/>
        <w:rPr>
          <w:rFonts w:ascii="Abadi" w:hAnsi="Abadi" w:cs="Arial"/>
          <w:b/>
          <w:sz w:val="21"/>
          <w:szCs w:val="21"/>
          <w:lang w:val="es-MX"/>
        </w:rPr>
      </w:pPr>
      <w:r w:rsidRPr="0094362E">
        <w:rPr>
          <w:rFonts w:ascii="Abadi" w:hAnsi="Abadi" w:cs="Arial"/>
          <w:b/>
          <w:sz w:val="21"/>
          <w:szCs w:val="21"/>
          <w:lang w:val="es-MX"/>
        </w:rPr>
        <w:t>Propósito de la iniciativa.</w:t>
      </w:r>
    </w:p>
    <w:p w14:paraId="1A5BB830" w14:textId="77777777" w:rsidR="0094362E" w:rsidRPr="0094362E" w:rsidRDefault="0094362E" w:rsidP="00004DAA">
      <w:pPr>
        <w:widowControl w:val="0"/>
        <w:jc w:val="both"/>
        <w:rPr>
          <w:rFonts w:ascii="Abadi" w:hAnsi="Abadi"/>
          <w:sz w:val="21"/>
          <w:szCs w:val="21"/>
          <w:lang w:val="es-MX" w:eastAsia="en-US"/>
        </w:rPr>
      </w:pPr>
    </w:p>
    <w:p w14:paraId="4BB5C4C8" w14:textId="77777777" w:rsidR="0094362E" w:rsidRPr="0094362E" w:rsidRDefault="0094362E" w:rsidP="00004DAA">
      <w:pPr>
        <w:widowControl w:val="0"/>
        <w:ind w:firstLine="851"/>
        <w:jc w:val="both"/>
        <w:rPr>
          <w:rFonts w:ascii="Abadi" w:hAnsi="Abadi"/>
          <w:sz w:val="21"/>
          <w:szCs w:val="21"/>
          <w:lang w:val="es-MX" w:eastAsia="en-US"/>
        </w:rPr>
      </w:pPr>
      <w:r w:rsidRPr="0094362E">
        <w:rPr>
          <w:rFonts w:ascii="Abadi" w:hAnsi="Abadi"/>
          <w:sz w:val="21"/>
          <w:szCs w:val="21"/>
          <w:lang w:val="es-MX" w:eastAsia="en-US"/>
        </w:rPr>
        <w:t>En la exposición de motivos de la iniciativa se puede leer que:</w:t>
      </w:r>
    </w:p>
    <w:p w14:paraId="174B011A" w14:textId="77777777" w:rsidR="0094362E" w:rsidRPr="0094362E" w:rsidRDefault="0094362E" w:rsidP="00004DAA">
      <w:pPr>
        <w:widowControl w:val="0"/>
        <w:jc w:val="both"/>
        <w:rPr>
          <w:rFonts w:ascii="Abadi" w:hAnsi="Abadi"/>
          <w:sz w:val="21"/>
          <w:szCs w:val="21"/>
          <w:lang w:val="es-MX" w:eastAsia="en-US"/>
        </w:rPr>
      </w:pPr>
    </w:p>
    <w:p w14:paraId="3376111F" w14:textId="77777777" w:rsidR="0094362E" w:rsidRPr="0094362E" w:rsidRDefault="0094362E" w:rsidP="00004DAA">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La exclusión social es uno de los principales obstáculos a los que se enfrentan las personas con discapacidad, el derribar esas barreras y, en consecuencia, permitir su integración plena debería ser una de nuestras principales preocupaciones.</w:t>
      </w:r>
    </w:p>
    <w:p w14:paraId="537BA176" w14:textId="77777777" w:rsidR="0094362E" w:rsidRPr="0094362E" w:rsidRDefault="0094362E" w:rsidP="00004DAA">
      <w:pPr>
        <w:widowControl w:val="0"/>
        <w:ind w:left="851" w:right="851"/>
        <w:jc w:val="both"/>
        <w:rPr>
          <w:rFonts w:ascii="Abadi" w:hAnsi="Abadi" w:cs="Arial"/>
          <w:i/>
          <w:sz w:val="21"/>
          <w:szCs w:val="21"/>
          <w:lang w:val="es-MX" w:eastAsia="en-US"/>
        </w:rPr>
      </w:pPr>
    </w:p>
    <w:p w14:paraId="48EE057B"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En días pasados, en este mismo recinto, se llevó a cabo el Primer Parlamento de Personas con Discapacidad, en él, pudimos ser testigos, por un lado, del enorme potencial y talento que estas personas poseen, sus ganas de salir adelante y su deseo por superarse día a día a pesar de las adversidades.</w:t>
      </w:r>
    </w:p>
    <w:p w14:paraId="6E5522D0" w14:textId="77777777" w:rsidR="0094362E" w:rsidRPr="0094362E" w:rsidRDefault="0094362E" w:rsidP="0094362E">
      <w:pPr>
        <w:widowControl w:val="0"/>
        <w:ind w:left="851" w:right="851"/>
        <w:jc w:val="both"/>
        <w:rPr>
          <w:rFonts w:ascii="Abadi" w:hAnsi="Abadi" w:cs="Arial"/>
          <w:i/>
          <w:sz w:val="21"/>
          <w:szCs w:val="21"/>
          <w:lang w:val="es-MX" w:eastAsia="en-US"/>
        </w:rPr>
      </w:pPr>
    </w:p>
    <w:p w14:paraId="53256B50"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Por otro lado, sin embargo, escuchamos testimonios que expresan los enormes obstáculos que limitan o, mejor dicho, que hacen más complicado el lograr su óptimo desarrollo.</w:t>
      </w:r>
    </w:p>
    <w:p w14:paraId="5D92CFAD" w14:textId="77777777" w:rsidR="0094362E" w:rsidRPr="0094362E" w:rsidRDefault="0094362E" w:rsidP="0094362E">
      <w:pPr>
        <w:widowControl w:val="0"/>
        <w:ind w:left="851" w:right="851"/>
        <w:jc w:val="both"/>
        <w:rPr>
          <w:rFonts w:ascii="Abadi" w:hAnsi="Abadi" w:cs="Arial"/>
          <w:i/>
          <w:sz w:val="21"/>
          <w:szCs w:val="21"/>
          <w:lang w:val="es-MX" w:eastAsia="en-US"/>
        </w:rPr>
      </w:pPr>
    </w:p>
    <w:p w14:paraId="6436041A"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Pareciera que quisiéramos limitarles su plena inclusión en la sociedad. Con que facilidad una persona se estaciona, por ejemplo, en un lugar exclusivo para discapacitados, u obstruyendo la rampa de las banquetas; debemos cambiar a una cultura de mayor sensibilidad social y colaborativa.</w:t>
      </w:r>
    </w:p>
    <w:p w14:paraId="074834A3" w14:textId="77777777" w:rsidR="0094362E" w:rsidRPr="0094362E" w:rsidRDefault="0094362E" w:rsidP="0094362E">
      <w:pPr>
        <w:widowControl w:val="0"/>
        <w:ind w:left="851" w:right="851"/>
        <w:jc w:val="both"/>
        <w:rPr>
          <w:rFonts w:ascii="Abadi" w:hAnsi="Abadi" w:cs="Arial"/>
          <w:i/>
          <w:sz w:val="21"/>
          <w:szCs w:val="21"/>
          <w:lang w:val="es-MX" w:eastAsia="en-US"/>
        </w:rPr>
      </w:pPr>
    </w:p>
    <w:p w14:paraId="781806DC"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En el caso de las personas usuarias de perros guía, encontramos que su función, dependiendo de la discapacidad en particular, es prioritaria para el desempeño de las actividades que estas desempeñan de manera cotidiana.</w:t>
      </w:r>
    </w:p>
    <w:p w14:paraId="4CCC2839" w14:textId="77777777" w:rsidR="0094362E" w:rsidRPr="0094362E" w:rsidRDefault="0094362E" w:rsidP="0094362E">
      <w:pPr>
        <w:widowControl w:val="0"/>
        <w:ind w:left="851" w:right="851"/>
        <w:jc w:val="both"/>
        <w:rPr>
          <w:rFonts w:ascii="Abadi" w:hAnsi="Abadi" w:cs="Arial"/>
          <w:i/>
          <w:sz w:val="21"/>
          <w:szCs w:val="21"/>
          <w:lang w:val="es-MX" w:eastAsia="en-US"/>
        </w:rPr>
      </w:pPr>
    </w:p>
    <w:p w14:paraId="4F2FE7C0"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En algunos casos te alertan o bien alertan a otros, te guían, te brindan ayuda, asistencia y, ante todo, compañía; se vuelven por el grado de confianza y su adiestramiento, una extensión de tus ojos o de tus oídos.</w:t>
      </w:r>
    </w:p>
    <w:p w14:paraId="7BDA90CE" w14:textId="77777777" w:rsidR="0094362E" w:rsidRPr="0094362E" w:rsidRDefault="0094362E" w:rsidP="0094362E">
      <w:pPr>
        <w:widowControl w:val="0"/>
        <w:ind w:left="851" w:right="851"/>
        <w:jc w:val="both"/>
        <w:rPr>
          <w:rFonts w:ascii="Abadi" w:hAnsi="Abadi" w:cs="Arial"/>
          <w:i/>
          <w:sz w:val="21"/>
          <w:szCs w:val="21"/>
          <w:lang w:val="es-MX" w:eastAsia="en-US"/>
        </w:rPr>
      </w:pPr>
    </w:p>
    <w:p w14:paraId="0AF229CC"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Se convierten en fundamentales para el desempeño de tus actividades y sin embargo, hay lugares públicos y privados en donde se les limita o de plano se les niega el acceso o el servicio si insisten en ingresar o deambular con su perro guía, violentando evidente y flagrantemente los derechos fundamentales de estas personas.</w:t>
      </w:r>
    </w:p>
    <w:p w14:paraId="073A2D70" w14:textId="77777777" w:rsidR="0094362E" w:rsidRPr="0094362E" w:rsidRDefault="0094362E" w:rsidP="0094362E">
      <w:pPr>
        <w:widowControl w:val="0"/>
        <w:ind w:left="851" w:right="851"/>
        <w:jc w:val="both"/>
        <w:rPr>
          <w:rFonts w:ascii="Abadi" w:hAnsi="Abadi" w:cs="Arial"/>
          <w:i/>
          <w:sz w:val="21"/>
          <w:szCs w:val="21"/>
          <w:lang w:val="es-MX" w:eastAsia="en-US"/>
        </w:rPr>
      </w:pPr>
    </w:p>
    <w:p w14:paraId="5DEDC940"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¿Cómo puede dejar a su perro guía afuera de cualquier lugar o transporte al que se desee ingresar? Sería tanto como como dejar a la misma persona afuera, pues lo haría sin el medio que tiene de valerse en el mundo.</w:t>
      </w:r>
    </w:p>
    <w:p w14:paraId="064E727F" w14:textId="77777777" w:rsidR="0094362E" w:rsidRPr="0094362E" w:rsidRDefault="0094362E" w:rsidP="0094362E">
      <w:pPr>
        <w:widowControl w:val="0"/>
        <w:ind w:left="851" w:right="851"/>
        <w:jc w:val="both"/>
        <w:rPr>
          <w:rFonts w:ascii="Abadi" w:hAnsi="Abadi" w:cs="Arial"/>
          <w:i/>
          <w:sz w:val="21"/>
          <w:szCs w:val="21"/>
          <w:lang w:val="es-MX" w:eastAsia="en-US"/>
        </w:rPr>
      </w:pPr>
    </w:p>
    <w:p w14:paraId="0A8B283D"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Debemos considerar el sacrificio que se tiene por parte de las familias de quienes por su discapacidad requieren el apoyo de un perro guía, el adquirirlo, alimentarlo y cuidarlo, simplemente para que no pueda brindarle a quien lo necesita, el máximo de sus facultades para las que ha sido adiestrado, por ignorancia u omisión e inclusive por discriminación de quienes tienen a su cargo el permitir el acceso al lugar y que se trate.</w:t>
      </w:r>
    </w:p>
    <w:p w14:paraId="1793652F" w14:textId="77777777" w:rsidR="0094362E" w:rsidRPr="0094362E" w:rsidRDefault="0094362E" w:rsidP="0094362E">
      <w:pPr>
        <w:widowControl w:val="0"/>
        <w:ind w:left="851" w:right="851"/>
        <w:jc w:val="both"/>
        <w:rPr>
          <w:rFonts w:ascii="Abadi" w:hAnsi="Abadi" w:cs="Arial"/>
          <w:i/>
          <w:sz w:val="21"/>
          <w:szCs w:val="21"/>
          <w:lang w:val="es-MX" w:eastAsia="en-US"/>
        </w:rPr>
      </w:pPr>
    </w:p>
    <w:p w14:paraId="0C9D7852"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La Convención Internacional de las Naciones Unidas sobre los Derechos de las Personas con Discapacidad, señala en su artículo 9: “Los Estados deben adoptar las medidas pertinentes para asegurar el acceso de estas personas, en igualdad de condiciones con las demás, al entorno físico, el transporte, la información y las comunicaciones, y a otros servicios e instalaciones abiertos al público o de uso público”.</w:t>
      </w:r>
    </w:p>
    <w:p w14:paraId="101D96C4" w14:textId="77777777" w:rsidR="0094362E" w:rsidRPr="0094362E" w:rsidRDefault="0094362E" w:rsidP="0094362E">
      <w:pPr>
        <w:widowControl w:val="0"/>
        <w:ind w:left="851" w:right="851"/>
        <w:jc w:val="both"/>
        <w:rPr>
          <w:rFonts w:ascii="Abadi" w:hAnsi="Abadi" w:cs="Arial"/>
          <w:i/>
          <w:sz w:val="21"/>
          <w:szCs w:val="21"/>
          <w:lang w:val="es-MX" w:eastAsia="en-US"/>
        </w:rPr>
      </w:pPr>
    </w:p>
    <w:p w14:paraId="5A2DA0CA"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Así también, insta a los estados a adoptar las medidas pertinentes para que, “entre otras finalidades, ofrecer formas de asistencia humana o animal e intermediarios, incluidos guías, lectores e intérpretes profesionales de la lengua de señas, para facilitar el acceso a edificios y otras instalaciones abiertas al público”.</w:t>
      </w:r>
    </w:p>
    <w:p w14:paraId="237E3914" w14:textId="77777777" w:rsidR="0094362E" w:rsidRPr="0094362E" w:rsidRDefault="0094362E" w:rsidP="0094362E">
      <w:pPr>
        <w:widowControl w:val="0"/>
        <w:ind w:left="851" w:right="851"/>
        <w:jc w:val="both"/>
        <w:rPr>
          <w:rFonts w:ascii="Abadi" w:hAnsi="Abadi" w:cs="Arial"/>
          <w:i/>
          <w:sz w:val="21"/>
          <w:szCs w:val="21"/>
          <w:lang w:val="es-MX" w:eastAsia="en-US"/>
        </w:rPr>
      </w:pPr>
    </w:p>
    <w:p w14:paraId="3C6089FC"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De esta manera se debe garantizar que las necesidades de las personas con discapacidad formen parte de manera latente de las políticas públicas del Estado de Guanajuato.</w:t>
      </w:r>
    </w:p>
    <w:p w14:paraId="5E9A5A98" w14:textId="77777777" w:rsidR="0094362E" w:rsidRPr="0094362E" w:rsidRDefault="0094362E" w:rsidP="0094362E">
      <w:pPr>
        <w:widowControl w:val="0"/>
        <w:ind w:left="851" w:right="851"/>
        <w:jc w:val="both"/>
        <w:rPr>
          <w:rFonts w:ascii="Abadi" w:hAnsi="Abadi" w:cs="Arial"/>
          <w:i/>
          <w:sz w:val="21"/>
          <w:szCs w:val="21"/>
          <w:lang w:val="es-MX" w:eastAsia="en-US"/>
        </w:rPr>
      </w:pPr>
    </w:p>
    <w:p w14:paraId="62924F16" w14:textId="77777777" w:rsidR="0094362E" w:rsidRPr="0094362E" w:rsidRDefault="0094362E" w:rsidP="0094362E">
      <w:pPr>
        <w:widowControl w:val="0"/>
        <w:ind w:left="851" w:right="851"/>
        <w:jc w:val="both"/>
        <w:rPr>
          <w:rFonts w:ascii="Abadi" w:hAnsi="Abadi" w:cs="Arial"/>
          <w:i/>
          <w:sz w:val="21"/>
          <w:szCs w:val="21"/>
          <w:lang w:val="es-MX" w:eastAsia="en-US"/>
        </w:rPr>
      </w:pPr>
    </w:p>
    <w:p w14:paraId="21F0DEFA"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Un solo ciudadano que se ve limitado por las condiciones desfavorables del entorno social urbanístico o de atención, es suficiente para ir ahí y generar las leyes pertinentes que le garanticen el pleno goce de sus derechos.</w:t>
      </w:r>
    </w:p>
    <w:p w14:paraId="30A6EA73" w14:textId="77777777" w:rsidR="0094362E" w:rsidRPr="0094362E" w:rsidRDefault="0094362E" w:rsidP="0094362E">
      <w:pPr>
        <w:widowControl w:val="0"/>
        <w:ind w:left="851" w:right="851"/>
        <w:jc w:val="both"/>
        <w:rPr>
          <w:rFonts w:ascii="Abadi" w:hAnsi="Abadi" w:cs="Arial"/>
          <w:i/>
          <w:sz w:val="21"/>
          <w:szCs w:val="21"/>
          <w:lang w:val="es-MX" w:eastAsia="en-US"/>
        </w:rPr>
      </w:pPr>
    </w:p>
    <w:p w14:paraId="0E7CF826"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El artículo 1o. de la Constitución Política de los Estados Unidos Mexicanos, expresa claramente: “Queda prohibida toda discriminación motivada por origen étnico o nacional, el género, la edad, las discapacidades, la condición social, las condiciones de salud, la religión, las opiniones, las preferencias, el estado civil o cualquier otra que atente contra la dignidad humana y tenga por objeto anular o menoscabar los derechos y libertades de las personas”.</w:t>
      </w:r>
    </w:p>
    <w:p w14:paraId="6B489063" w14:textId="77777777" w:rsidR="0094362E" w:rsidRPr="0094362E" w:rsidRDefault="0094362E" w:rsidP="0094362E">
      <w:pPr>
        <w:widowControl w:val="0"/>
        <w:ind w:left="851" w:right="851"/>
        <w:jc w:val="both"/>
        <w:rPr>
          <w:rFonts w:ascii="Abadi" w:hAnsi="Abadi" w:cs="Arial"/>
          <w:i/>
          <w:sz w:val="21"/>
          <w:szCs w:val="21"/>
          <w:lang w:val="es-MX" w:eastAsia="en-US"/>
        </w:rPr>
      </w:pPr>
    </w:p>
    <w:p w14:paraId="59D803D9"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Es por ello, que de conformidad con lo establecido por el artículo 209 de la Ley Orgánica del Poder Legislativo del Estado de Guanajuato, de aprobarse el presente decreto, tendrá los siguientes impactos:</w:t>
      </w:r>
    </w:p>
    <w:p w14:paraId="4F188C99" w14:textId="77777777" w:rsidR="0094362E" w:rsidRPr="0094362E" w:rsidRDefault="0094362E" w:rsidP="0094362E">
      <w:pPr>
        <w:widowControl w:val="0"/>
        <w:ind w:left="851" w:right="851"/>
        <w:jc w:val="both"/>
        <w:rPr>
          <w:rFonts w:ascii="Abadi" w:hAnsi="Abadi" w:cs="Arial"/>
          <w:i/>
          <w:sz w:val="21"/>
          <w:szCs w:val="21"/>
          <w:lang w:val="es-MX" w:eastAsia="en-US"/>
        </w:rPr>
      </w:pPr>
    </w:p>
    <w:p w14:paraId="7BD6B194"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b/>
          <w:bCs/>
          <w:i/>
          <w:sz w:val="21"/>
          <w:szCs w:val="21"/>
          <w:lang w:val="es-MX" w:eastAsia="en-US"/>
        </w:rPr>
        <w:t>Impacto Jurídico -</w:t>
      </w:r>
      <w:r w:rsidRPr="0094362E">
        <w:rPr>
          <w:rFonts w:ascii="Abadi" w:hAnsi="Abadi" w:cs="Arial"/>
          <w:i/>
          <w:sz w:val="21"/>
          <w:szCs w:val="21"/>
          <w:lang w:val="es-MX" w:eastAsia="en-US"/>
        </w:rPr>
        <w:t xml:space="preserve"> El presente proyecto impacta jurídicamente en tanto que se crean condiciones jurídicas que garantizan el libre acceso, tránsito y permanencia de las personas usuarias de perros guía o de asistencia a cualquier lugar sea de índole público o privado.</w:t>
      </w:r>
    </w:p>
    <w:p w14:paraId="76677F76" w14:textId="77777777" w:rsidR="0094362E" w:rsidRPr="0094362E" w:rsidRDefault="0094362E" w:rsidP="0094362E">
      <w:pPr>
        <w:widowControl w:val="0"/>
        <w:ind w:left="851" w:right="851"/>
        <w:jc w:val="both"/>
        <w:rPr>
          <w:rFonts w:ascii="Abadi" w:hAnsi="Abadi" w:cs="Arial"/>
          <w:i/>
          <w:sz w:val="21"/>
          <w:szCs w:val="21"/>
          <w:lang w:val="es-MX" w:eastAsia="en-US"/>
        </w:rPr>
      </w:pPr>
    </w:p>
    <w:p w14:paraId="7B91C614"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b/>
          <w:bCs/>
          <w:i/>
          <w:sz w:val="21"/>
          <w:szCs w:val="21"/>
          <w:lang w:val="es-MX" w:eastAsia="en-US"/>
        </w:rPr>
        <w:t>Impacto Administrativo.</w:t>
      </w:r>
      <w:r w:rsidRPr="0094362E">
        <w:rPr>
          <w:rFonts w:ascii="Abadi" w:hAnsi="Abadi" w:cs="Arial"/>
          <w:i/>
          <w:sz w:val="21"/>
          <w:szCs w:val="21"/>
          <w:lang w:val="es-MX" w:eastAsia="en-US"/>
        </w:rPr>
        <w:t xml:space="preserve"> El presente proyecto representa como impacto Administrativo, la carga conferida al Instituto Guanajuatense como responsable de la ejecución, promoción e impulso de las acciones en materia de atención, protección, rehabilitación e inclusión de las personas con discapacidad en el Estado a fin de promover las disposiciones contenidas en la presente Ley.</w:t>
      </w:r>
    </w:p>
    <w:p w14:paraId="2268E2FB" w14:textId="77777777" w:rsidR="0094362E" w:rsidRPr="0094362E" w:rsidRDefault="0094362E" w:rsidP="0094362E">
      <w:pPr>
        <w:widowControl w:val="0"/>
        <w:ind w:left="851" w:right="851"/>
        <w:jc w:val="both"/>
        <w:rPr>
          <w:rFonts w:ascii="Abadi" w:hAnsi="Abadi" w:cs="Arial"/>
          <w:i/>
          <w:sz w:val="21"/>
          <w:szCs w:val="21"/>
          <w:lang w:val="es-MX" w:eastAsia="en-US"/>
        </w:rPr>
      </w:pPr>
    </w:p>
    <w:p w14:paraId="2CD87873"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b/>
          <w:i/>
          <w:sz w:val="21"/>
          <w:szCs w:val="21"/>
          <w:lang w:val="es-MX" w:eastAsia="en-US"/>
        </w:rPr>
        <w:t>Impacto Presupuestario.</w:t>
      </w:r>
      <w:r w:rsidRPr="0094362E">
        <w:rPr>
          <w:rFonts w:ascii="Abadi" w:hAnsi="Abadi" w:cs="Arial"/>
          <w:i/>
          <w:sz w:val="21"/>
          <w:szCs w:val="21"/>
          <w:lang w:val="es-MX" w:eastAsia="en-US"/>
        </w:rPr>
        <w:t xml:space="preserve"> La presente iniciativa no representa un impacto presupuestario para el Estado.</w:t>
      </w:r>
    </w:p>
    <w:p w14:paraId="07918F46" w14:textId="77777777" w:rsidR="0094362E" w:rsidRPr="0094362E" w:rsidRDefault="0094362E" w:rsidP="0094362E">
      <w:pPr>
        <w:widowControl w:val="0"/>
        <w:ind w:left="851" w:right="851"/>
        <w:jc w:val="both"/>
        <w:rPr>
          <w:rFonts w:ascii="Abadi" w:hAnsi="Abadi" w:cs="Arial"/>
          <w:i/>
          <w:sz w:val="21"/>
          <w:szCs w:val="21"/>
          <w:lang w:val="es-MX" w:eastAsia="en-US"/>
        </w:rPr>
      </w:pPr>
    </w:p>
    <w:p w14:paraId="76322C72"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b/>
          <w:bCs/>
          <w:i/>
          <w:sz w:val="21"/>
          <w:szCs w:val="21"/>
          <w:lang w:val="es-MX" w:eastAsia="en-US"/>
        </w:rPr>
        <w:t>Impacto Social.</w:t>
      </w:r>
      <w:r w:rsidRPr="0094362E">
        <w:rPr>
          <w:rFonts w:ascii="Abadi" w:hAnsi="Abadi" w:cs="Arial"/>
          <w:i/>
          <w:sz w:val="21"/>
          <w:szCs w:val="21"/>
          <w:lang w:val="es-MX" w:eastAsia="en-US"/>
        </w:rPr>
        <w:t xml:space="preserve"> La presente iniciativa posee un impacto social que permitirá a las personas usuarias de perros guía o de asistencia, su plena inclusión en la dinámica social, en igualdad de condiciones, con el resto de la sociedad.</w:t>
      </w:r>
    </w:p>
    <w:p w14:paraId="7DDFFE35" w14:textId="77777777" w:rsidR="0094362E" w:rsidRPr="0094362E" w:rsidRDefault="0094362E" w:rsidP="0094362E">
      <w:pPr>
        <w:widowControl w:val="0"/>
        <w:spacing w:line="360" w:lineRule="auto"/>
        <w:jc w:val="both"/>
        <w:rPr>
          <w:rFonts w:ascii="Abadi" w:hAnsi="Abadi" w:cs="Arial"/>
          <w:sz w:val="21"/>
          <w:szCs w:val="21"/>
          <w:lang w:val="es-MX"/>
        </w:rPr>
      </w:pPr>
    </w:p>
    <w:p w14:paraId="15282D92" w14:textId="77777777" w:rsidR="0094362E" w:rsidRPr="0094362E" w:rsidRDefault="0094362E" w:rsidP="0094362E">
      <w:pPr>
        <w:widowControl w:val="0"/>
        <w:spacing w:line="360" w:lineRule="auto"/>
        <w:jc w:val="both"/>
        <w:rPr>
          <w:rFonts w:ascii="Abadi" w:hAnsi="Abadi" w:cs="Arial"/>
          <w:sz w:val="21"/>
          <w:szCs w:val="21"/>
          <w:lang w:val="es-MX"/>
        </w:rPr>
      </w:pPr>
    </w:p>
    <w:p w14:paraId="4168E652" w14:textId="77777777" w:rsidR="0094362E" w:rsidRPr="0094362E" w:rsidRDefault="0094362E" w:rsidP="0094362E">
      <w:pPr>
        <w:widowControl w:val="0"/>
        <w:spacing w:line="360" w:lineRule="auto"/>
        <w:ind w:left="851"/>
        <w:jc w:val="both"/>
        <w:rPr>
          <w:rFonts w:ascii="Abadi" w:hAnsi="Abadi"/>
          <w:b/>
          <w:sz w:val="21"/>
          <w:szCs w:val="21"/>
          <w:lang w:val="es-MX"/>
        </w:rPr>
      </w:pPr>
      <w:r w:rsidRPr="0094362E">
        <w:rPr>
          <w:rFonts w:ascii="Abadi" w:hAnsi="Abadi" w:cs="Arial"/>
          <w:b/>
          <w:sz w:val="21"/>
          <w:szCs w:val="21"/>
          <w:lang w:val="es-MX"/>
        </w:rPr>
        <w:t>Metodología acordada para el estudio y dictamen de la iniciativa</w:t>
      </w:r>
      <w:r w:rsidRPr="0094362E">
        <w:rPr>
          <w:rFonts w:ascii="Abadi" w:hAnsi="Abadi"/>
          <w:b/>
          <w:sz w:val="21"/>
          <w:szCs w:val="21"/>
          <w:lang w:val="es-MX"/>
        </w:rPr>
        <w:t>.</w:t>
      </w:r>
    </w:p>
    <w:p w14:paraId="7058BF0A" w14:textId="77777777" w:rsidR="0094362E" w:rsidRPr="0094362E" w:rsidRDefault="0094362E" w:rsidP="0094362E">
      <w:pPr>
        <w:widowControl w:val="0"/>
        <w:spacing w:line="360" w:lineRule="auto"/>
        <w:jc w:val="both"/>
        <w:rPr>
          <w:rFonts w:ascii="Abadi" w:hAnsi="Abadi"/>
          <w:sz w:val="21"/>
          <w:szCs w:val="21"/>
          <w:lang w:val="es-MX" w:eastAsia="en-US"/>
        </w:rPr>
      </w:pPr>
    </w:p>
    <w:p w14:paraId="17A5C803" w14:textId="77777777" w:rsidR="0094362E" w:rsidRPr="0094362E" w:rsidRDefault="0094362E" w:rsidP="0094362E">
      <w:pPr>
        <w:widowControl w:val="0"/>
        <w:spacing w:line="360" w:lineRule="auto"/>
        <w:ind w:firstLine="851"/>
        <w:jc w:val="both"/>
        <w:rPr>
          <w:rFonts w:ascii="Abadi" w:hAnsi="Abadi" w:cs="Arial"/>
          <w:sz w:val="21"/>
          <w:szCs w:val="21"/>
          <w:lang w:val="es-MX"/>
        </w:rPr>
      </w:pPr>
      <w:r w:rsidRPr="0094362E">
        <w:rPr>
          <w:rFonts w:ascii="Abadi" w:hAnsi="Abadi" w:cs="Arial"/>
          <w:sz w:val="21"/>
          <w:szCs w:val="21"/>
          <w:lang w:val="es-MX"/>
        </w:rPr>
        <w:t>El 8 de junio de 2020 se acordó por unanimidad la siguiente metodología para el estudio y dictamen de la iniciativa:</w:t>
      </w:r>
    </w:p>
    <w:p w14:paraId="4DF6EBC9" w14:textId="77777777" w:rsidR="0094362E" w:rsidRPr="0094362E" w:rsidRDefault="0094362E" w:rsidP="0094362E">
      <w:pPr>
        <w:widowControl w:val="0"/>
        <w:spacing w:line="360" w:lineRule="auto"/>
        <w:jc w:val="both"/>
        <w:rPr>
          <w:rFonts w:ascii="Abadi" w:hAnsi="Abadi"/>
          <w:sz w:val="21"/>
          <w:szCs w:val="21"/>
          <w:lang w:val="es-MX" w:eastAsia="en-US"/>
        </w:rPr>
      </w:pPr>
    </w:p>
    <w:p w14:paraId="14C06FEA" w14:textId="77777777" w:rsidR="0094362E" w:rsidRPr="0094362E" w:rsidRDefault="0094362E" w:rsidP="0094362E">
      <w:pPr>
        <w:widowControl w:val="0"/>
        <w:ind w:left="1418" w:right="851" w:hanging="567"/>
        <w:jc w:val="both"/>
        <w:rPr>
          <w:rFonts w:ascii="Abadi" w:hAnsi="Abadi"/>
          <w:i/>
          <w:iCs/>
          <w:sz w:val="21"/>
          <w:szCs w:val="21"/>
          <w:lang w:val="es-MX" w:eastAsia="en-US"/>
        </w:rPr>
      </w:pPr>
      <w:r w:rsidRPr="0094362E">
        <w:rPr>
          <w:rFonts w:ascii="Abadi" w:hAnsi="Abadi"/>
          <w:b/>
          <w:i/>
          <w:iCs/>
          <w:sz w:val="21"/>
          <w:szCs w:val="21"/>
          <w:lang w:val="es-MX" w:eastAsia="en-US"/>
        </w:rPr>
        <w:t>a)</w:t>
      </w:r>
      <w:r w:rsidRPr="0094362E">
        <w:rPr>
          <w:rFonts w:ascii="Abadi" w:hAnsi="Abadi"/>
          <w:b/>
          <w:i/>
          <w:iCs/>
          <w:sz w:val="21"/>
          <w:szCs w:val="21"/>
          <w:lang w:val="es-MX" w:eastAsia="en-US"/>
        </w:rPr>
        <w:tab/>
      </w:r>
      <w:r w:rsidRPr="0094362E">
        <w:rPr>
          <w:rFonts w:ascii="Abadi" w:hAnsi="Abadi"/>
          <w:i/>
          <w:iCs/>
          <w:sz w:val="21"/>
          <w:szCs w:val="21"/>
          <w:lang w:val="es-MX" w:eastAsia="en-US"/>
        </w:rPr>
        <w:t>Remisión de la iniciativa a los ayuntamientos del Estado, en términos del último párrafo del artículo 56 de la Constitución Política para el Estado de Guanajuato.</w:t>
      </w:r>
    </w:p>
    <w:p w14:paraId="35921B15" w14:textId="77777777" w:rsidR="0094362E" w:rsidRPr="0094362E" w:rsidRDefault="0094362E" w:rsidP="0094362E">
      <w:pPr>
        <w:widowControl w:val="0"/>
        <w:ind w:left="1418" w:right="851" w:hanging="567"/>
        <w:jc w:val="both"/>
        <w:rPr>
          <w:rFonts w:ascii="Abadi" w:hAnsi="Abadi"/>
          <w:i/>
          <w:iCs/>
          <w:sz w:val="21"/>
          <w:szCs w:val="21"/>
          <w:lang w:val="es-MX" w:eastAsia="en-US"/>
        </w:rPr>
      </w:pPr>
    </w:p>
    <w:p w14:paraId="4125BB83" w14:textId="77777777" w:rsidR="0094362E" w:rsidRPr="0094362E" w:rsidRDefault="0094362E" w:rsidP="0094362E">
      <w:pPr>
        <w:widowControl w:val="0"/>
        <w:ind w:left="1418" w:right="851"/>
        <w:contextualSpacing/>
        <w:jc w:val="both"/>
        <w:rPr>
          <w:rFonts w:ascii="Abadi" w:eastAsia="Calibri" w:hAnsi="Abadi"/>
          <w:i/>
          <w:iCs/>
          <w:sz w:val="21"/>
          <w:szCs w:val="21"/>
          <w:lang w:val="es-MX" w:eastAsia="en-US"/>
        </w:rPr>
      </w:pPr>
      <w:r w:rsidRPr="0094362E">
        <w:rPr>
          <w:rFonts w:ascii="Abadi" w:eastAsia="Calibri" w:hAnsi="Abadi"/>
          <w:i/>
          <w:iCs/>
          <w:sz w:val="21"/>
          <w:szCs w:val="21"/>
          <w:lang w:val="es-MX" w:eastAsia="en-US"/>
        </w:rPr>
        <w:t>Señalando como plazo para la remisión de la opinión, 15 días hábiles.</w:t>
      </w:r>
    </w:p>
    <w:p w14:paraId="5F9763FC" w14:textId="77777777" w:rsidR="0094362E" w:rsidRPr="0094362E" w:rsidRDefault="0094362E" w:rsidP="0094362E">
      <w:pPr>
        <w:widowControl w:val="0"/>
        <w:ind w:left="1418" w:right="851" w:hanging="567"/>
        <w:jc w:val="both"/>
        <w:rPr>
          <w:rFonts w:ascii="Abadi" w:hAnsi="Abadi"/>
          <w:i/>
          <w:iCs/>
          <w:sz w:val="21"/>
          <w:szCs w:val="21"/>
          <w:lang w:val="es-MX" w:eastAsia="en-US"/>
        </w:rPr>
      </w:pPr>
    </w:p>
    <w:p w14:paraId="4DE39AC1" w14:textId="77777777" w:rsidR="0094362E" w:rsidRPr="0094362E" w:rsidRDefault="0094362E" w:rsidP="0094362E">
      <w:pPr>
        <w:widowControl w:val="0"/>
        <w:ind w:left="1418" w:right="851" w:hanging="567"/>
        <w:jc w:val="both"/>
        <w:rPr>
          <w:rFonts w:ascii="Abadi" w:hAnsi="Abadi"/>
          <w:i/>
          <w:iCs/>
          <w:sz w:val="21"/>
          <w:szCs w:val="21"/>
          <w:lang w:val="es-MX" w:eastAsia="en-US"/>
        </w:rPr>
      </w:pPr>
      <w:r w:rsidRPr="0094362E">
        <w:rPr>
          <w:rFonts w:ascii="Abadi" w:hAnsi="Abadi"/>
          <w:b/>
          <w:i/>
          <w:iCs/>
          <w:sz w:val="21"/>
          <w:szCs w:val="21"/>
          <w:lang w:val="es-MX" w:eastAsia="en-US"/>
        </w:rPr>
        <w:t>b)</w:t>
      </w:r>
      <w:r w:rsidRPr="0094362E">
        <w:rPr>
          <w:rFonts w:ascii="Abadi" w:hAnsi="Abadi"/>
          <w:b/>
          <w:i/>
          <w:iCs/>
          <w:sz w:val="21"/>
          <w:szCs w:val="21"/>
          <w:lang w:val="es-MX" w:eastAsia="en-US"/>
        </w:rPr>
        <w:tab/>
      </w:r>
      <w:r w:rsidRPr="0094362E">
        <w:rPr>
          <w:rFonts w:ascii="Abadi" w:hAnsi="Abadi"/>
          <w:i/>
          <w:iCs/>
          <w:sz w:val="21"/>
          <w:szCs w:val="21"/>
          <w:lang w:val="es-MX" w:eastAsia="en-US"/>
        </w:rPr>
        <w:t>Remisión de la iniciativa, por correo electrónico, para solicitar opinión a:</w:t>
      </w:r>
    </w:p>
    <w:p w14:paraId="2FB4C0A5" w14:textId="77777777" w:rsidR="0094362E" w:rsidRPr="0094362E" w:rsidRDefault="0094362E" w:rsidP="0094362E">
      <w:pPr>
        <w:widowControl w:val="0"/>
        <w:numPr>
          <w:ilvl w:val="0"/>
          <w:numId w:val="36"/>
        </w:numPr>
        <w:ind w:left="1701" w:right="851" w:hanging="283"/>
        <w:jc w:val="both"/>
        <w:rPr>
          <w:rFonts w:ascii="Abadi" w:eastAsia="Calibri" w:hAnsi="Abadi"/>
          <w:i/>
          <w:iCs/>
          <w:sz w:val="21"/>
          <w:szCs w:val="21"/>
          <w:lang w:val="es-MX" w:eastAsia="en-US"/>
        </w:rPr>
      </w:pPr>
      <w:r w:rsidRPr="0094362E">
        <w:rPr>
          <w:rFonts w:ascii="Abadi" w:eastAsia="Calibri" w:hAnsi="Abadi"/>
          <w:i/>
          <w:iCs/>
          <w:sz w:val="21"/>
          <w:szCs w:val="21"/>
          <w:lang w:val="es-MX" w:eastAsia="en-US"/>
        </w:rPr>
        <w:t>Las diputadas y los diputados de la LXIV Legislatura.</w:t>
      </w:r>
    </w:p>
    <w:p w14:paraId="444F4E50" w14:textId="77777777" w:rsidR="0094362E" w:rsidRPr="0094362E" w:rsidRDefault="0094362E" w:rsidP="0094362E">
      <w:pPr>
        <w:widowControl w:val="0"/>
        <w:numPr>
          <w:ilvl w:val="0"/>
          <w:numId w:val="36"/>
        </w:numPr>
        <w:ind w:left="1701" w:right="851" w:hanging="283"/>
        <w:jc w:val="both"/>
        <w:rPr>
          <w:rFonts w:ascii="Abadi" w:eastAsia="Calibri" w:hAnsi="Abadi"/>
          <w:i/>
          <w:iCs/>
          <w:sz w:val="21"/>
          <w:szCs w:val="21"/>
          <w:lang w:val="es-MX" w:eastAsia="en-US"/>
        </w:rPr>
      </w:pPr>
      <w:r w:rsidRPr="0094362E">
        <w:rPr>
          <w:rFonts w:ascii="Abadi" w:eastAsia="Calibri" w:hAnsi="Abadi"/>
          <w:i/>
          <w:iCs/>
          <w:sz w:val="21"/>
          <w:szCs w:val="21"/>
          <w:lang w:val="es-MX" w:eastAsia="en-US"/>
        </w:rPr>
        <w:t>Procuraduría de los Derechos Humanos del Estado de Guanajuato.</w:t>
      </w:r>
    </w:p>
    <w:p w14:paraId="317C1AC5" w14:textId="77777777" w:rsidR="0094362E" w:rsidRPr="0094362E" w:rsidRDefault="0094362E" w:rsidP="0094362E">
      <w:pPr>
        <w:widowControl w:val="0"/>
        <w:numPr>
          <w:ilvl w:val="0"/>
          <w:numId w:val="36"/>
        </w:numPr>
        <w:ind w:left="1701" w:right="851" w:hanging="283"/>
        <w:jc w:val="both"/>
        <w:rPr>
          <w:rFonts w:ascii="Abadi" w:eastAsia="Calibri" w:hAnsi="Abadi"/>
          <w:i/>
          <w:iCs/>
          <w:sz w:val="21"/>
          <w:szCs w:val="21"/>
          <w:lang w:val="es-MX" w:eastAsia="en-US"/>
        </w:rPr>
      </w:pPr>
      <w:r w:rsidRPr="0094362E">
        <w:rPr>
          <w:rFonts w:ascii="Abadi" w:eastAsia="Calibri" w:hAnsi="Abadi"/>
          <w:i/>
          <w:iCs/>
          <w:sz w:val="21"/>
          <w:szCs w:val="21"/>
          <w:lang w:val="es-MX" w:eastAsia="en-US"/>
        </w:rPr>
        <w:t>Coordinación General Jurídica.</w:t>
      </w:r>
    </w:p>
    <w:p w14:paraId="011BCAE4" w14:textId="77777777" w:rsidR="0094362E" w:rsidRPr="0094362E" w:rsidRDefault="0094362E" w:rsidP="0094362E">
      <w:pPr>
        <w:widowControl w:val="0"/>
        <w:numPr>
          <w:ilvl w:val="0"/>
          <w:numId w:val="36"/>
        </w:numPr>
        <w:ind w:left="1701" w:right="851" w:hanging="283"/>
        <w:jc w:val="both"/>
        <w:rPr>
          <w:rFonts w:ascii="Abadi" w:eastAsia="Calibri" w:hAnsi="Abadi"/>
          <w:i/>
          <w:iCs/>
          <w:sz w:val="21"/>
          <w:szCs w:val="21"/>
          <w:lang w:val="es-MX" w:eastAsia="en-US"/>
        </w:rPr>
      </w:pPr>
      <w:r w:rsidRPr="0094362E">
        <w:rPr>
          <w:rFonts w:ascii="Abadi" w:eastAsia="Calibri" w:hAnsi="Abadi"/>
          <w:i/>
          <w:iCs/>
          <w:sz w:val="21"/>
          <w:szCs w:val="21"/>
          <w:lang w:val="es-MX" w:eastAsia="en-US"/>
        </w:rPr>
        <w:t>Instituto Guanajuatense para las Personas con Discapacidad.</w:t>
      </w:r>
    </w:p>
    <w:p w14:paraId="22433FB5" w14:textId="77777777" w:rsidR="0094362E" w:rsidRPr="0094362E" w:rsidRDefault="0094362E" w:rsidP="0094362E">
      <w:pPr>
        <w:widowControl w:val="0"/>
        <w:ind w:left="1418" w:right="851" w:hanging="567"/>
        <w:jc w:val="both"/>
        <w:rPr>
          <w:rFonts w:ascii="Abadi" w:hAnsi="Abadi"/>
          <w:i/>
          <w:iCs/>
          <w:sz w:val="21"/>
          <w:szCs w:val="21"/>
          <w:lang w:val="es-MX" w:eastAsia="en-US"/>
        </w:rPr>
      </w:pPr>
    </w:p>
    <w:p w14:paraId="08EFC30C" w14:textId="77777777" w:rsidR="0094362E" w:rsidRPr="0094362E" w:rsidRDefault="0094362E" w:rsidP="0094362E">
      <w:pPr>
        <w:widowControl w:val="0"/>
        <w:ind w:left="1418" w:right="851"/>
        <w:contextualSpacing/>
        <w:jc w:val="both"/>
        <w:rPr>
          <w:rFonts w:ascii="Abadi" w:eastAsia="Calibri" w:hAnsi="Abadi"/>
          <w:i/>
          <w:iCs/>
          <w:sz w:val="21"/>
          <w:szCs w:val="21"/>
          <w:lang w:val="es-MX" w:eastAsia="en-US"/>
        </w:rPr>
      </w:pPr>
      <w:r w:rsidRPr="0094362E">
        <w:rPr>
          <w:rFonts w:ascii="Abadi" w:eastAsia="Calibri" w:hAnsi="Abadi"/>
          <w:i/>
          <w:iCs/>
          <w:sz w:val="21"/>
          <w:szCs w:val="21"/>
          <w:lang w:val="es-MX" w:eastAsia="en-US"/>
        </w:rPr>
        <w:t>Señalando como plazo para la remisión de la opinión, 15 días hábiles.</w:t>
      </w:r>
    </w:p>
    <w:p w14:paraId="711A5C7D" w14:textId="77777777" w:rsidR="0094362E" w:rsidRPr="0094362E" w:rsidRDefault="0094362E" w:rsidP="0094362E">
      <w:pPr>
        <w:widowControl w:val="0"/>
        <w:ind w:left="1418" w:right="851" w:hanging="567"/>
        <w:jc w:val="both"/>
        <w:rPr>
          <w:rFonts w:ascii="Abadi" w:hAnsi="Abadi"/>
          <w:i/>
          <w:iCs/>
          <w:sz w:val="21"/>
          <w:szCs w:val="21"/>
          <w:lang w:val="es-MX" w:eastAsia="en-US"/>
        </w:rPr>
      </w:pPr>
    </w:p>
    <w:p w14:paraId="1B5B27A7" w14:textId="77777777" w:rsidR="0094362E" w:rsidRPr="0094362E" w:rsidRDefault="0094362E" w:rsidP="0094362E">
      <w:pPr>
        <w:widowControl w:val="0"/>
        <w:ind w:left="1418" w:right="851" w:hanging="567"/>
        <w:jc w:val="both"/>
        <w:rPr>
          <w:rFonts w:ascii="Abadi" w:hAnsi="Abadi"/>
          <w:i/>
          <w:iCs/>
          <w:sz w:val="21"/>
          <w:szCs w:val="21"/>
          <w:lang w:val="es-MX" w:eastAsia="en-US"/>
        </w:rPr>
      </w:pPr>
      <w:r w:rsidRPr="0094362E">
        <w:rPr>
          <w:rFonts w:ascii="Abadi" w:hAnsi="Abadi"/>
          <w:b/>
          <w:bCs/>
          <w:i/>
          <w:iCs/>
          <w:sz w:val="21"/>
          <w:szCs w:val="21"/>
          <w:lang w:val="es-MX" w:eastAsia="en-US"/>
        </w:rPr>
        <w:t>c)</w:t>
      </w:r>
      <w:r w:rsidRPr="0094362E">
        <w:rPr>
          <w:rFonts w:ascii="Abadi" w:hAnsi="Abadi"/>
          <w:b/>
          <w:bCs/>
          <w:i/>
          <w:iCs/>
          <w:sz w:val="21"/>
          <w:szCs w:val="21"/>
          <w:lang w:val="es-MX" w:eastAsia="en-US"/>
        </w:rPr>
        <w:tab/>
      </w:r>
      <w:r w:rsidRPr="0094362E">
        <w:rPr>
          <w:rFonts w:ascii="Abadi" w:hAnsi="Abadi"/>
          <w:i/>
          <w:iCs/>
          <w:sz w:val="21"/>
          <w:szCs w:val="21"/>
          <w:lang w:val="es-MX" w:eastAsia="en-US"/>
        </w:rPr>
        <w:t>Solicitar, por correo electrónico, al Instituto de Investigaciones Legislativas su opinión de la iniciativa; y a la Unidad de Estudios de las Finanzas Públicas la elaboración de un estudio sobre la implicación financiera de la propuesta.</w:t>
      </w:r>
    </w:p>
    <w:p w14:paraId="130CF3AF" w14:textId="77777777" w:rsidR="0094362E" w:rsidRPr="0094362E" w:rsidRDefault="0094362E" w:rsidP="0094362E">
      <w:pPr>
        <w:widowControl w:val="0"/>
        <w:ind w:left="1418" w:right="851" w:hanging="567"/>
        <w:jc w:val="both"/>
        <w:rPr>
          <w:rFonts w:ascii="Abadi" w:hAnsi="Abadi"/>
          <w:i/>
          <w:iCs/>
          <w:sz w:val="21"/>
          <w:szCs w:val="21"/>
          <w:lang w:val="es-MX" w:eastAsia="en-US"/>
        </w:rPr>
      </w:pPr>
    </w:p>
    <w:p w14:paraId="72ED3505" w14:textId="77777777" w:rsidR="0094362E" w:rsidRPr="0094362E" w:rsidRDefault="0094362E" w:rsidP="0094362E">
      <w:pPr>
        <w:widowControl w:val="0"/>
        <w:ind w:left="1418" w:right="851"/>
        <w:contextualSpacing/>
        <w:jc w:val="both"/>
        <w:rPr>
          <w:rFonts w:ascii="Abadi" w:eastAsia="Calibri" w:hAnsi="Abadi"/>
          <w:i/>
          <w:iCs/>
          <w:sz w:val="21"/>
          <w:szCs w:val="21"/>
          <w:lang w:val="es-MX" w:eastAsia="en-US"/>
        </w:rPr>
      </w:pPr>
      <w:r w:rsidRPr="0094362E">
        <w:rPr>
          <w:rFonts w:ascii="Abadi" w:eastAsia="Calibri" w:hAnsi="Abadi"/>
          <w:i/>
          <w:iCs/>
          <w:sz w:val="21"/>
          <w:szCs w:val="21"/>
          <w:lang w:val="es-MX" w:eastAsia="en-US"/>
        </w:rPr>
        <w:t>Señalando como plazo para la remisión de la opinión y del estudio, 15 días hábiles.</w:t>
      </w:r>
    </w:p>
    <w:p w14:paraId="111806B7" w14:textId="77777777" w:rsidR="0094362E" w:rsidRPr="0094362E" w:rsidRDefault="0094362E" w:rsidP="0094362E">
      <w:pPr>
        <w:widowControl w:val="0"/>
        <w:ind w:left="1418" w:right="851" w:hanging="567"/>
        <w:jc w:val="both"/>
        <w:rPr>
          <w:rFonts w:ascii="Abadi" w:hAnsi="Abadi"/>
          <w:i/>
          <w:iCs/>
          <w:sz w:val="21"/>
          <w:szCs w:val="21"/>
          <w:lang w:val="es-MX" w:eastAsia="en-US"/>
        </w:rPr>
      </w:pPr>
    </w:p>
    <w:p w14:paraId="61C664BC" w14:textId="77777777" w:rsidR="0094362E" w:rsidRPr="0094362E" w:rsidRDefault="0094362E" w:rsidP="0094362E">
      <w:pPr>
        <w:widowControl w:val="0"/>
        <w:ind w:left="1418" w:right="851" w:hanging="567"/>
        <w:jc w:val="both"/>
        <w:rPr>
          <w:rFonts w:ascii="Abadi" w:hAnsi="Abadi"/>
          <w:i/>
          <w:iCs/>
          <w:sz w:val="21"/>
          <w:szCs w:val="21"/>
          <w:lang w:val="es-MX" w:eastAsia="en-US"/>
        </w:rPr>
      </w:pPr>
      <w:r w:rsidRPr="0094362E">
        <w:rPr>
          <w:rFonts w:ascii="Abadi" w:hAnsi="Abadi"/>
          <w:b/>
          <w:i/>
          <w:iCs/>
          <w:sz w:val="21"/>
          <w:szCs w:val="21"/>
          <w:lang w:val="es-MX" w:eastAsia="en-US"/>
        </w:rPr>
        <w:t>d)</w:t>
      </w:r>
      <w:r w:rsidRPr="0094362E">
        <w:rPr>
          <w:rFonts w:ascii="Abadi" w:hAnsi="Abadi"/>
          <w:b/>
          <w:i/>
          <w:iCs/>
          <w:sz w:val="21"/>
          <w:szCs w:val="21"/>
          <w:lang w:val="es-MX" w:eastAsia="en-US"/>
        </w:rPr>
        <w:tab/>
      </w:r>
      <w:r w:rsidRPr="0094362E">
        <w:rPr>
          <w:rFonts w:ascii="Abadi" w:hAnsi="Abadi"/>
          <w:i/>
          <w:iCs/>
          <w:sz w:val="21"/>
          <w:szCs w:val="21"/>
          <w:lang w:val="es-MX" w:eastAsia="en-US"/>
        </w:rPr>
        <w:t>Subir la iniciativa al portal del Congreso del Estado para consulta y participación ciudadana. La cual estará disponible por 15 días hábiles.</w:t>
      </w:r>
    </w:p>
    <w:p w14:paraId="13135A5D" w14:textId="77777777" w:rsidR="0094362E" w:rsidRPr="0094362E" w:rsidRDefault="0094362E" w:rsidP="0094362E">
      <w:pPr>
        <w:widowControl w:val="0"/>
        <w:ind w:left="1418" w:right="851" w:hanging="567"/>
        <w:rPr>
          <w:rFonts w:ascii="Abadi" w:hAnsi="Abadi"/>
          <w:i/>
          <w:iCs/>
          <w:sz w:val="21"/>
          <w:szCs w:val="21"/>
          <w:lang w:val="es-MX" w:eastAsia="en-US"/>
        </w:rPr>
      </w:pPr>
    </w:p>
    <w:p w14:paraId="687E61FF" w14:textId="77777777" w:rsidR="0094362E" w:rsidRPr="0094362E" w:rsidRDefault="0094362E" w:rsidP="0094362E">
      <w:pPr>
        <w:widowControl w:val="0"/>
        <w:ind w:left="1418" w:right="851" w:hanging="567"/>
        <w:jc w:val="both"/>
        <w:rPr>
          <w:rFonts w:ascii="Abadi" w:hAnsi="Abadi"/>
          <w:i/>
          <w:iCs/>
          <w:sz w:val="21"/>
          <w:szCs w:val="21"/>
          <w:lang w:val="es-MX" w:eastAsia="en-US"/>
        </w:rPr>
      </w:pPr>
      <w:r w:rsidRPr="0094362E">
        <w:rPr>
          <w:rFonts w:ascii="Abadi" w:hAnsi="Abadi"/>
          <w:b/>
          <w:bCs/>
          <w:i/>
          <w:iCs/>
          <w:sz w:val="21"/>
          <w:szCs w:val="21"/>
          <w:lang w:val="es-MX" w:eastAsia="en-US"/>
        </w:rPr>
        <w:t>e)</w:t>
      </w:r>
      <w:r w:rsidRPr="0094362E">
        <w:rPr>
          <w:rFonts w:ascii="Abadi" w:hAnsi="Abadi"/>
          <w:i/>
          <w:iCs/>
          <w:sz w:val="21"/>
          <w:szCs w:val="21"/>
          <w:lang w:val="es-MX" w:eastAsia="en-US"/>
        </w:rPr>
        <w:tab/>
        <w:t xml:space="preserve">Realizar un foro, en el que se considere además la consulta de las iniciativas: suscrita por la diputada María de Jesús Eunices Reveles Conejo de la Representación Parlamentaria del Partido del Trabajo, a efecto de adicionar las fracciones XVI y XVII recorriéndose en su orden la subsecuente, al artículo 6 de la Ley de Inclusión para las Personas con Discapacidad en el Estado de Guanajuato; y formulada por el diputado Juan Elías Chávez de la Representación Parlamentaria del Partido Nueva Alianza, </w:t>
      </w:r>
      <w:bookmarkStart w:id="4" w:name="_Hlk25824952"/>
      <w:r w:rsidRPr="0094362E">
        <w:rPr>
          <w:rFonts w:ascii="Abadi" w:hAnsi="Abadi"/>
          <w:i/>
          <w:iCs/>
          <w:sz w:val="21"/>
          <w:szCs w:val="21"/>
          <w:lang w:val="es-MX" w:eastAsia="en-US"/>
        </w:rPr>
        <w:t>a fin de reformar los artículos 31 y 32 fracciones II y V y adicionar el artículo 31 Bis a la Ley de Inclusión para las Personas con Discapacidad en el Estado de Guanajuato</w:t>
      </w:r>
      <w:bookmarkEnd w:id="4"/>
      <w:r w:rsidRPr="0094362E">
        <w:rPr>
          <w:rFonts w:ascii="Abadi" w:hAnsi="Abadi"/>
          <w:i/>
          <w:iCs/>
          <w:sz w:val="21"/>
          <w:szCs w:val="21"/>
          <w:lang w:val="es-MX" w:eastAsia="en-US"/>
        </w:rPr>
        <w:t>. En la fecha y términos que se acuerden con posterioridad.</w:t>
      </w:r>
    </w:p>
    <w:p w14:paraId="53826707" w14:textId="77777777" w:rsidR="0094362E" w:rsidRPr="0094362E" w:rsidRDefault="0094362E" w:rsidP="0094362E">
      <w:pPr>
        <w:widowControl w:val="0"/>
        <w:ind w:left="1418" w:right="851" w:hanging="567"/>
        <w:rPr>
          <w:rFonts w:ascii="Abadi" w:hAnsi="Abadi"/>
          <w:i/>
          <w:iCs/>
          <w:sz w:val="21"/>
          <w:szCs w:val="21"/>
          <w:lang w:val="es-MX" w:eastAsia="en-US"/>
        </w:rPr>
      </w:pPr>
    </w:p>
    <w:p w14:paraId="4CB746E4" w14:textId="77777777" w:rsidR="0094362E" w:rsidRPr="0094362E" w:rsidRDefault="0094362E" w:rsidP="0094362E">
      <w:pPr>
        <w:widowControl w:val="0"/>
        <w:ind w:left="1418" w:right="851" w:hanging="567"/>
        <w:jc w:val="both"/>
        <w:rPr>
          <w:rFonts w:ascii="Abadi" w:hAnsi="Abadi"/>
          <w:i/>
          <w:iCs/>
          <w:sz w:val="21"/>
          <w:szCs w:val="21"/>
          <w:lang w:val="es-MX" w:eastAsia="en-US"/>
        </w:rPr>
      </w:pPr>
      <w:r w:rsidRPr="0094362E">
        <w:rPr>
          <w:rFonts w:ascii="Abadi" w:hAnsi="Abadi"/>
          <w:b/>
          <w:i/>
          <w:iCs/>
          <w:sz w:val="21"/>
          <w:szCs w:val="21"/>
          <w:lang w:val="es-MX" w:eastAsia="en-US"/>
        </w:rPr>
        <w:t>f)</w:t>
      </w:r>
      <w:r w:rsidRPr="0094362E">
        <w:rPr>
          <w:rFonts w:ascii="Abadi" w:hAnsi="Abadi"/>
          <w:b/>
          <w:i/>
          <w:iCs/>
          <w:sz w:val="21"/>
          <w:szCs w:val="21"/>
          <w:lang w:val="es-MX" w:eastAsia="en-US"/>
        </w:rPr>
        <w:tab/>
      </w:r>
      <w:r w:rsidRPr="0094362E">
        <w:rPr>
          <w:rFonts w:ascii="Abadi" w:hAnsi="Abadi"/>
          <w:i/>
          <w:iCs/>
          <w:sz w:val="21"/>
          <w:szCs w:val="21"/>
          <w:lang w:val="es-MX" w:eastAsia="en-US"/>
        </w:rPr>
        <w:t>Elaboración de un documento que concentre las observaciones que se hayan formulado a la iniciativa. Tarea que estará a cargo de la secretaría técnica.</w:t>
      </w:r>
    </w:p>
    <w:p w14:paraId="2E278061" w14:textId="77777777" w:rsidR="0094362E" w:rsidRPr="0094362E" w:rsidRDefault="0094362E" w:rsidP="0094362E">
      <w:pPr>
        <w:widowControl w:val="0"/>
        <w:ind w:left="1418" w:right="851" w:hanging="567"/>
        <w:rPr>
          <w:rFonts w:ascii="Abadi" w:hAnsi="Abadi"/>
          <w:i/>
          <w:iCs/>
          <w:sz w:val="21"/>
          <w:szCs w:val="21"/>
          <w:lang w:val="es-MX" w:eastAsia="en-US"/>
        </w:rPr>
      </w:pPr>
    </w:p>
    <w:p w14:paraId="3C74E420" w14:textId="77777777" w:rsidR="0094362E" w:rsidRPr="0094362E" w:rsidRDefault="0094362E" w:rsidP="0094362E">
      <w:pPr>
        <w:widowControl w:val="0"/>
        <w:ind w:left="1418" w:right="851" w:hanging="567"/>
        <w:jc w:val="both"/>
        <w:rPr>
          <w:rFonts w:ascii="Abadi" w:hAnsi="Abadi"/>
          <w:i/>
          <w:iCs/>
          <w:sz w:val="21"/>
          <w:szCs w:val="21"/>
          <w:lang w:val="es-MX" w:eastAsia="en-US"/>
        </w:rPr>
      </w:pPr>
      <w:r w:rsidRPr="0094362E">
        <w:rPr>
          <w:rFonts w:ascii="Abadi" w:hAnsi="Abadi"/>
          <w:b/>
          <w:i/>
          <w:iCs/>
          <w:sz w:val="21"/>
          <w:szCs w:val="21"/>
          <w:lang w:val="es-MX" w:eastAsia="en-US"/>
        </w:rPr>
        <w:t>g)</w:t>
      </w:r>
      <w:r w:rsidRPr="0094362E">
        <w:rPr>
          <w:rFonts w:ascii="Abadi" w:hAnsi="Abadi"/>
          <w:i/>
          <w:iCs/>
          <w:sz w:val="21"/>
          <w:szCs w:val="21"/>
          <w:lang w:val="es-MX" w:eastAsia="en-US"/>
        </w:rPr>
        <w:tab/>
        <w:t>Integrar un grupo de trabajo con:</w:t>
      </w:r>
    </w:p>
    <w:p w14:paraId="6B608620" w14:textId="77777777" w:rsidR="0094362E" w:rsidRPr="0094362E" w:rsidRDefault="0094362E" w:rsidP="0094362E">
      <w:pPr>
        <w:widowControl w:val="0"/>
        <w:numPr>
          <w:ilvl w:val="0"/>
          <w:numId w:val="36"/>
        </w:numPr>
        <w:ind w:left="1701" w:right="851" w:hanging="283"/>
        <w:jc w:val="both"/>
        <w:rPr>
          <w:rFonts w:ascii="Abadi" w:eastAsia="Calibri" w:hAnsi="Abadi"/>
          <w:i/>
          <w:iCs/>
          <w:sz w:val="21"/>
          <w:szCs w:val="21"/>
          <w:lang w:val="es-MX" w:eastAsia="en-US"/>
        </w:rPr>
      </w:pPr>
      <w:r w:rsidRPr="0094362E">
        <w:rPr>
          <w:rFonts w:ascii="Abadi" w:eastAsia="Calibri" w:hAnsi="Abadi"/>
          <w:i/>
          <w:iCs/>
          <w:sz w:val="21"/>
          <w:szCs w:val="21"/>
          <w:lang w:val="es-MX" w:eastAsia="en-US"/>
        </w:rPr>
        <w:t>Diputadas y diputados que deseen sumarse.</w:t>
      </w:r>
    </w:p>
    <w:p w14:paraId="7106660B" w14:textId="77777777" w:rsidR="0094362E" w:rsidRPr="0094362E" w:rsidRDefault="0094362E" w:rsidP="0094362E">
      <w:pPr>
        <w:widowControl w:val="0"/>
        <w:numPr>
          <w:ilvl w:val="0"/>
          <w:numId w:val="36"/>
        </w:numPr>
        <w:ind w:left="1701" w:right="851" w:hanging="283"/>
        <w:jc w:val="both"/>
        <w:rPr>
          <w:rFonts w:ascii="Abadi" w:eastAsia="Calibri" w:hAnsi="Abadi"/>
          <w:i/>
          <w:iCs/>
          <w:sz w:val="21"/>
          <w:szCs w:val="21"/>
          <w:lang w:val="es-MX" w:eastAsia="en-US"/>
        </w:rPr>
      </w:pPr>
      <w:r w:rsidRPr="0094362E">
        <w:rPr>
          <w:rFonts w:ascii="Abadi" w:eastAsia="Calibri" w:hAnsi="Abadi"/>
          <w:i/>
          <w:iCs/>
          <w:sz w:val="21"/>
          <w:szCs w:val="21"/>
          <w:lang w:val="es-MX" w:eastAsia="en-US"/>
        </w:rPr>
        <w:t>Un representante de la Procuraduría de los Derechos Humanos del Estado de Guanajuato.</w:t>
      </w:r>
    </w:p>
    <w:p w14:paraId="1D85ADE8" w14:textId="77777777" w:rsidR="0094362E" w:rsidRPr="0094362E" w:rsidRDefault="0094362E" w:rsidP="0094362E">
      <w:pPr>
        <w:widowControl w:val="0"/>
        <w:numPr>
          <w:ilvl w:val="0"/>
          <w:numId w:val="36"/>
        </w:numPr>
        <w:ind w:left="1701" w:right="851" w:hanging="283"/>
        <w:jc w:val="both"/>
        <w:rPr>
          <w:rFonts w:ascii="Abadi" w:eastAsia="Calibri" w:hAnsi="Abadi"/>
          <w:i/>
          <w:iCs/>
          <w:sz w:val="21"/>
          <w:szCs w:val="21"/>
          <w:lang w:val="es-MX" w:eastAsia="en-US"/>
        </w:rPr>
      </w:pPr>
      <w:r w:rsidRPr="0094362E">
        <w:rPr>
          <w:rFonts w:ascii="Abadi" w:eastAsia="Calibri" w:hAnsi="Abadi"/>
          <w:i/>
          <w:iCs/>
          <w:sz w:val="21"/>
          <w:szCs w:val="21"/>
          <w:lang w:val="es-MX" w:eastAsia="en-US"/>
        </w:rPr>
        <w:t>Un representante de la Coordinación General Jurídica.</w:t>
      </w:r>
    </w:p>
    <w:p w14:paraId="2C6D6524" w14:textId="77777777" w:rsidR="0094362E" w:rsidRPr="0094362E" w:rsidRDefault="0094362E" w:rsidP="0094362E">
      <w:pPr>
        <w:widowControl w:val="0"/>
        <w:numPr>
          <w:ilvl w:val="0"/>
          <w:numId w:val="36"/>
        </w:numPr>
        <w:ind w:left="1701" w:right="851" w:hanging="283"/>
        <w:jc w:val="both"/>
        <w:rPr>
          <w:rFonts w:ascii="Abadi" w:eastAsia="Calibri" w:hAnsi="Abadi"/>
          <w:i/>
          <w:iCs/>
          <w:sz w:val="21"/>
          <w:szCs w:val="21"/>
          <w:lang w:val="es-MX" w:eastAsia="en-US"/>
        </w:rPr>
      </w:pPr>
      <w:r w:rsidRPr="0094362E">
        <w:rPr>
          <w:rFonts w:ascii="Abadi" w:eastAsia="Calibri" w:hAnsi="Abadi"/>
          <w:i/>
          <w:iCs/>
          <w:sz w:val="21"/>
          <w:szCs w:val="21"/>
          <w:lang w:val="es-MX" w:eastAsia="en-US"/>
        </w:rPr>
        <w:t>Un representante del Instituto Guanajuatense para las Personas con Discapacidad.</w:t>
      </w:r>
    </w:p>
    <w:p w14:paraId="7BCDD0F8" w14:textId="77777777" w:rsidR="0094362E" w:rsidRPr="0094362E" w:rsidRDefault="0094362E" w:rsidP="0094362E">
      <w:pPr>
        <w:widowControl w:val="0"/>
        <w:numPr>
          <w:ilvl w:val="0"/>
          <w:numId w:val="36"/>
        </w:numPr>
        <w:ind w:left="1701" w:right="851" w:hanging="283"/>
        <w:jc w:val="both"/>
        <w:rPr>
          <w:rFonts w:ascii="Abadi" w:eastAsia="Calibri" w:hAnsi="Abadi"/>
          <w:i/>
          <w:iCs/>
          <w:sz w:val="21"/>
          <w:szCs w:val="21"/>
          <w:lang w:val="es-MX" w:eastAsia="en-US"/>
        </w:rPr>
      </w:pPr>
      <w:r w:rsidRPr="0094362E">
        <w:rPr>
          <w:rFonts w:ascii="Abadi" w:eastAsia="Calibri" w:hAnsi="Abadi"/>
          <w:i/>
          <w:iCs/>
          <w:sz w:val="21"/>
          <w:szCs w:val="21"/>
          <w:lang w:val="es-MX" w:eastAsia="en-US"/>
        </w:rPr>
        <w:t>Un representante del Instituto de Investigaciones Legislativas.</w:t>
      </w:r>
    </w:p>
    <w:p w14:paraId="21D6B175" w14:textId="77777777" w:rsidR="0094362E" w:rsidRPr="0094362E" w:rsidRDefault="0094362E" w:rsidP="0094362E">
      <w:pPr>
        <w:widowControl w:val="0"/>
        <w:numPr>
          <w:ilvl w:val="0"/>
          <w:numId w:val="36"/>
        </w:numPr>
        <w:ind w:left="1701" w:right="851" w:hanging="283"/>
        <w:jc w:val="both"/>
        <w:rPr>
          <w:rFonts w:ascii="Abadi" w:eastAsia="Calibri" w:hAnsi="Abadi"/>
          <w:i/>
          <w:iCs/>
          <w:sz w:val="21"/>
          <w:szCs w:val="21"/>
          <w:lang w:val="es-MX" w:eastAsia="en-US"/>
        </w:rPr>
      </w:pPr>
      <w:r w:rsidRPr="0094362E">
        <w:rPr>
          <w:rFonts w:ascii="Abadi" w:eastAsia="Calibri" w:hAnsi="Abadi"/>
          <w:i/>
          <w:iCs/>
          <w:sz w:val="21"/>
          <w:szCs w:val="21"/>
          <w:lang w:val="es-MX" w:eastAsia="en-US"/>
        </w:rPr>
        <w:t>Un representante de la Unidad de Estudios de las Finanzas Públicas.</w:t>
      </w:r>
    </w:p>
    <w:p w14:paraId="4462969E" w14:textId="77777777" w:rsidR="0094362E" w:rsidRPr="0094362E" w:rsidRDefault="0094362E" w:rsidP="0094362E">
      <w:pPr>
        <w:widowControl w:val="0"/>
        <w:numPr>
          <w:ilvl w:val="0"/>
          <w:numId w:val="36"/>
        </w:numPr>
        <w:ind w:left="1701" w:right="851" w:hanging="283"/>
        <w:jc w:val="both"/>
        <w:rPr>
          <w:rFonts w:ascii="Abadi" w:eastAsia="Calibri" w:hAnsi="Abadi"/>
          <w:i/>
          <w:iCs/>
          <w:sz w:val="21"/>
          <w:szCs w:val="21"/>
          <w:lang w:val="es-MX" w:eastAsia="en-US"/>
        </w:rPr>
      </w:pPr>
      <w:r w:rsidRPr="0094362E">
        <w:rPr>
          <w:rFonts w:ascii="Abadi" w:eastAsia="Calibri" w:hAnsi="Abadi"/>
          <w:i/>
          <w:iCs/>
          <w:sz w:val="21"/>
          <w:szCs w:val="21"/>
          <w:lang w:val="es-MX" w:eastAsia="en-US"/>
        </w:rPr>
        <w:t>Asesores y asesoras de la Comisión.</w:t>
      </w:r>
    </w:p>
    <w:p w14:paraId="1538FF52" w14:textId="77777777" w:rsidR="0094362E" w:rsidRPr="0094362E" w:rsidRDefault="0094362E" w:rsidP="0094362E">
      <w:pPr>
        <w:widowControl w:val="0"/>
        <w:numPr>
          <w:ilvl w:val="0"/>
          <w:numId w:val="36"/>
        </w:numPr>
        <w:ind w:left="1701" w:right="851" w:hanging="283"/>
        <w:jc w:val="both"/>
        <w:rPr>
          <w:rFonts w:ascii="Abadi" w:eastAsia="Calibri" w:hAnsi="Abadi"/>
          <w:i/>
          <w:iCs/>
          <w:sz w:val="21"/>
          <w:szCs w:val="21"/>
          <w:lang w:val="es-MX" w:eastAsia="en-US"/>
        </w:rPr>
      </w:pPr>
      <w:r w:rsidRPr="0094362E">
        <w:rPr>
          <w:rFonts w:ascii="Abadi" w:eastAsia="Calibri" w:hAnsi="Abadi"/>
          <w:i/>
          <w:iCs/>
          <w:sz w:val="21"/>
          <w:szCs w:val="21"/>
          <w:lang w:val="es-MX" w:eastAsia="en-US"/>
        </w:rPr>
        <w:t>Secretaría técnica.</w:t>
      </w:r>
    </w:p>
    <w:p w14:paraId="46A7B10C" w14:textId="77777777" w:rsidR="0094362E" w:rsidRPr="0094362E" w:rsidRDefault="0094362E" w:rsidP="0094362E">
      <w:pPr>
        <w:widowControl w:val="0"/>
        <w:ind w:left="1418" w:right="851" w:hanging="567"/>
        <w:jc w:val="both"/>
        <w:rPr>
          <w:rFonts w:ascii="Abadi" w:hAnsi="Abadi"/>
          <w:i/>
          <w:iCs/>
          <w:sz w:val="21"/>
          <w:szCs w:val="21"/>
          <w:lang w:val="es-MX" w:eastAsia="en-US"/>
        </w:rPr>
      </w:pPr>
    </w:p>
    <w:p w14:paraId="2A400568" w14:textId="77777777" w:rsidR="0094362E" w:rsidRPr="0094362E" w:rsidRDefault="0094362E" w:rsidP="0094362E">
      <w:pPr>
        <w:widowControl w:val="0"/>
        <w:ind w:left="1418" w:right="851" w:hanging="567"/>
        <w:jc w:val="both"/>
        <w:rPr>
          <w:rFonts w:ascii="Abadi" w:hAnsi="Abadi"/>
          <w:i/>
          <w:iCs/>
          <w:sz w:val="21"/>
          <w:szCs w:val="21"/>
          <w:lang w:val="es-MX" w:eastAsia="en-US"/>
        </w:rPr>
      </w:pPr>
      <w:r w:rsidRPr="0094362E">
        <w:rPr>
          <w:rFonts w:ascii="Abadi" w:hAnsi="Abadi"/>
          <w:b/>
          <w:i/>
          <w:iCs/>
          <w:sz w:val="21"/>
          <w:szCs w:val="21"/>
          <w:lang w:val="es-MX" w:eastAsia="en-US"/>
        </w:rPr>
        <w:t>h)</w:t>
      </w:r>
      <w:r w:rsidRPr="0094362E">
        <w:rPr>
          <w:rFonts w:ascii="Abadi" w:hAnsi="Abadi"/>
          <w:i/>
          <w:iCs/>
          <w:sz w:val="21"/>
          <w:szCs w:val="21"/>
          <w:lang w:val="es-MX" w:eastAsia="en-US"/>
        </w:rPr>
        <w:tab/>
        <w:t>Reunión o reuniones del grupo de trabajo que sean necesarias.</w:t>
      </w:r>
    </w:p>
    <w:p w14:paraId="751C3DC5" w14:textId="77777777" w:rsidR="0094362E" w:rsidRPr="0094362E" w:rsidRDefault="0094362E" w:rsidP="0094362E">
      <w:pPr>
        <w:widowControl w:val="0"/>
        <w:ind w:left="1418" w:right="851" w:hanging="567"/>
        <w:jc w:val="both"/>
        <w:rPr>
          <w:rFonts w:ascii="Abadi" w:hAnsi="Abadi"/>
          <w:i/>
          <w:iCs/>
          <w:sz w:val="21"/>
          <w:szCs w:val="21"/>
          <w:lang w:val="es-MX" w:eastAsia="en-US"/>
        </w:rPr>
      </w:pPr>
    </w:p>
    <w:p w14:paraId="577AAA59" w14:textId="77777777" w:rsidR="0094362E" w:rsidRPr="0094362E" w:rsidRDefault="0094362E" w:rsidP="0094362E">
      <w:pPr>
        <w:widowControl w:val="0"/>
        <w:ind w:left="1418" w:right="851" w:hanging="567"/>
        <w:jc w:val="both"/>
        <w:rPr>
          <w:rFonts w:ascii="Abadi" w:hAnsi="Abadi"/>
          <w:i/>
          <w:iCs/>
          <w:sz w:val="21"/>
          <w:szCs w:val="21"/>
          <w:lang w:val="es-MX" w:eastAsia="en-US"/>
        </w:rPr>
      </w:pPr>
      <w:r w:rsidRPr="0094362E">
        <w:rPr>
          <w:rFonts w:ascii="Abadi" w:hAnsi="Abadi"/>
          <w:b/>
          <w:i/>
          <w:iCs/>
          <w:sz w:val="21"/>
          <w:szCs w:val="21"/>
          <w:lang w:val="es-MX" w:eastAsia="en-US"/>
        </w:rPr>
        <w:t>i)</w:t>
      </w:r>
      <w:r w:rsidRPr="0094362E">
        <w:rPr>
          <w:rFonts w:ascii="Abadi" w:hAnsi="Abadi"/>
          <w:b/>
          <w:i/>
          <w:iCs/>
          <w:sz w:val="21"/>
          <w:szCs w:val="21"/>
          <w:lang w:val="es-MX" w:eastAsia="en-US"/>
        </w:rPr>
        <w:tab/>
      </w:r>
      <w:r w:rsidRPr="0094362E">
        <w:rPr>
          <w:rFonts w:ascii="Abadi" w:hAnsi="Abadi"/>
          <w:i/>
          <w:iCs/>
          <w:sz w:val="21"/>
          <w:szCs w:val="21"/>
          <w:lang w:val="es-MX" w:eastAsia="en-US"/>
        </w:rPr>
        <w:t>Reunión de la Comisión para análisis y acuerdos para la elaboración del dictamen.</w:t>
      </w:r>
    </w:p>
    <w:p w14:paraId="17E5F4DF" w14:textId="77777777" w:rsidR="0094362E" w:rsidRPr="0094362E" w:rsidRDefault="0094362E" w:rsidP="0094362E">
      <w:pPr>
        <w:widowControl w:val="0"/>
        <w:ind w:left="1418" w:right="851" w:hanging="567"/>
        <w:jc w:val="both"/>
        <w:rPr>
          <w:rFonts w:ascii="Abadi" w:hAnsi="Abadi"/>
          <w:i/>
          <w:iCs/>
          <w:sz w:val="21"/>
          <w:szCs w:val="21"/>
          <w:lang w:val="es-MX" w:eastAsia="en-US"/>
        </w:rPr>
      </w:pPr>
    </w:p>
    <w:p w14:paraId="6BEFCF00" w14:textId="77777777" w:rsidR="0094362E" w:rsidRPr="0094362E" w:rsidRDefault="0094362E" w:rsidP="0094362E">
      <w:pPr>
        <w:widowControl w:val="0"/>
        <w:ind w:left="1418" w:right="851" w:hanging="567"/>
        <w:jc w:val="both"/>
        <w:rPr>
          <w:rFonts w:ascii="Abadi" w:hAnsi="Abadi"/>
          <w:i/>
          <w:iCs/>
          <w:sz w:val="21"/>
          <w:szCs w:val="21"/>
          <w:lang w:val="es-MX" w:eastAsia="en-US"/>
        </w:rPr>
      </w:pPr>
      <w:r w:rsidRPr="0094362E">
        <w:rPr>
          <w:rFonts w:ascii="Abadi" w:hAnsi="Abadi"/>
          <w:b/>
          <w:i/>
          <w:iCs/>
          <w:sz w:val="21"/>
          <w:szCs w:val="21"/>
          <w:lang w:val="es-MX" w:eastAsia="en-US"/>
        </w:rPr>
        <w:t>j)</w:t>
      </w:r>
      <w:r w:rsidRPr="0094362E">
        <w:rPr>
          <w:rFonts w:ascii="Abadi" w:hAnsi="Abadi"/>
          <w:i/>
          <w:iCs/>
          <w:sz w:val="21"/>
          <w:szCs w:val="21"/>
          <w:lang w:val="es-MX" w:eastAsia="en-US"/>
        </w:rPr>
        <w:tab/>
        <w:t>Reunión de la Comisión para la discusión y, en su caso, aprobación del dictamen.</w:t>
      </w:r>
    </w:p>
    <w:p w14:paraId="69E5117B" w14:textId="77777777" w:rsidR="0094362E" w:rsidRPr="0094362E" w:rsidRDefault="0094362E" w:rsidP="0094362E">
      <w:pPr>
        <w:widowControl w:val="0"/>
        <w:spacing w:line="360" w:lineRule="auto"/>
        <w:jc w:val="both"/>
        <w:rPr>
          <w:rFonts w:ascii="Abadi" w:hAnsi="Abadi"/>
          <w:sz w:val="21"/>
          <w:szCs w:val="21"/>
          <w:lang w:val="es-MX" w:eastAsia="en-US"/>
        </w:rPr>
      </w:pPr>
    </w:p>
    <w:p w14:paraId="119FE1C7" w14:textId="77777777" w:rsidR="0094362E" w:rsidRPr="0094362E" w:rsidRDefault="0094362E" w:rsidP="00E43860">
      <w:pPr>
        <w:widowControl w:val="0"/>
        <w:ind w:left="851"/>
        <w:jc w:val="both"/>
        <w:rPr>
          <w:rFonts w:ascii="Abadi" w:hAnsi="Abadi"/>
          <w:b/>
          <w:sz w:val="21"/>
          <w:szCs w:val="21"/>
          <w:lang w:val="es-MX"/>
        </w:rPr>
      </w:pPr>
      <w:r w:rsidRPr="0094362E">
        <w:rPr>
          <w:rFonts w:ascii="Abadi" w:hAnsi="Abadi" w:cs="Arial"/>
          <w:b/>
          <w:sz w:val="21"/>
          <w:szCs w:val="21"/>
          <w:lang w:val="es-MX"/>
        </w:rPr>
        <w:t>Cumplimiento de las acciones acordadas para el estudio y dictamen de la iniciativa</w:t>
      </w:r>
      <w:r w:rsidRPr="0094362E">
        <w:rPr>
          <w:rFonts w:ascii="Abadi" w:hAnsi="Abadi"/>
          <w:b/>
          <w:sz w:val="21"/>
          <w:szCs w:val="21"/>
          <w:lang w:val="es-MX"/>
        </w:rPr>
        <w:t>.</w:t>
      </w:r>
    </w:p>
    <w:p w14:paraId="3DA54A43" w14:textId="77777777" w:rsidR="0094362E" w:rsidRPr="0094362E" w:rsidRDefault="0094362E" w:rsidP="0094362E">
      <w:pPr>
        <w:widowControl w:val="0"/>
        <w:spacing w:line="360" w:lineRule="auto"/>
        <w:jc w:val="both"/>
        <w:rPr>
          <w:rFonts w:ascii="Abadi" w:hAnsi="Abadi" w:cs="Arial"/>
          <w:sz w:val="21"/>
          <w:szCs w:val="21"/>
          <w:lang w:val="es-MX" w:eastAsia="en-US"/>
        </w:rPr>
      </w:pPr>
    </w:p>
    <w:p w14:paraId="091EC44F" w14:textId="77777777" w:rsidR="0094362E" w:rsidRPr="0094362E" w:rsidRDefault="0094362E" w:rsidP="00004DAA">
      <w:pPr>
        <w:widowControl w:val="0"/>
        <w:ind w:firstLine="851"/>
        <w:jc w:val="both"/>
        <w:rPr>
          <w:rFonts w:ascii="Abadi" w:hAnsi="Abadi" w:cs="Arial"/>
          <w:sz w:val="21"/>
          <w:szCs w:val="21"/>
          <w:lang w:val="es-MX" w:eastAsia="en-US"/>
        </w:rPr>
      </w:pPr>
      <w:r w:rsidRPr="0094362E">
        <w:rPr>
          <w:rFonts w:ascii="Abadi" w:hAnsi="Abadi" w:cs="Arial"/>
          <w:sz w:val="21"/>
          <w:szCs w:val="21"/>
          <w:lang w:val="es-MX" w:eastAsia="en-US"/>
        </w:rPr>
        <w:t>Dada la incidencia en la competencia municipal, en cumplimiento al artículo 56 de la Constitución Política para el Estado de Guanajuato, la iniciativa se remitió a los ayuntamientos.</w:t>
      </w:r>
    </w:p>
    <w:p w14:paraId="7C5DC79D" w14:textId="77777777" w:rsidR="0094362E" w:rsidRPr="0094362E" w:rsidRDefault="0094362E" w:rsidP="00004DAA">
      <w:pPr>
        <w:widowControl w:val="0"/>
        <w:jc w:val="both"/>
        <w:rPr>
          <w:rFonts w:ascii="Abadi" w:hAnsi="Abadi" w:cs="Arial"/>
          <w:sz w:val="21"/>
          <w:szCs w:val="21"/>
          <w:lang w:val="es-MX" w:eastAsia="en-US"/>
        </w:rPr>
      </w:pPr>
    </w:p>
    <w:p w14:paraId="34BFC5BA" w14:textId="77777777" w:rsidR="0094362E" w:rsidRPr="0094362E" w:rsidRDefault="0094362E" w:rsidP="00004DAA">
      <w:pPr>
        <w:widowControl w:val="0"/>
        <w:ind w:firstLine="851"/>
        <w:jc w:val="both"/>
        <w:rPr>
          <w:rFonts w:ascii="Abadi" w:hAnsi="Abadi"/>
          <w:color w:val="000000"/>
          <w:sz w:val="21"/>
          <w:szCs w:val="21"/>
          <w:lang w:val="es-MX" w:eastAsia="es-MX"/>
        </w:rPr>
      </w:pPr>
      <w:r w:rsidRPr="0094362E">
        <w:rPr>
          <w:rFonts w:ascii="Abadi" w:hAnsi="Abadi" w:cs="Arial"/>
          <w:sz w:val="21"/>
          <w:szCs w:val="21"/>
          <w:lang w:val="es-MX" w:eastAsia="en-US"/>
        </w:rPr>
        <w:t xml:space="preserve">Dieron respuesta los ayuntamientos de: </w:t>
      </w:r>
      <w:r w:rsidRPr="0094362E">
        <w:rPr>
          <w:rFonts w:ascii="Abadi" w:hAnsi="Abadi"/>
          <w:color w:val="000000"/>
          <w:sz w:val="21"/>
          <w:szCs w:val="21"/>
          <w:lang w:val="es-MX" w:eastAsia="es-MX"/>
        </w:rPr>
        <w:t>Abasolo, para comunicar la aprobación del dictamen a través del cual los integrantes del Ayuntamiento se pronuncian a favor de la iniciativa sin tener observaciones; Celaya, para remitir observaciones; Comonfort, en el sentido de que el secretario del Ayuntamiento dio lectura al oficio, manifestando que era para conocimiento del Ayuntamiento; Coroneo, a fin de comunicar que, por unanimidad, los integrantes del Ayuntamiento se dan por enterados del oficio circular 216 y no tienen ninguna observación a la iniciativa; Cortazar, para remitir comentarios; Doctor Mora, para informar la determinación unánime del cuerpo colegiado de que no existen comentarios u observaciones que emitir; Irapuato, para remitir observaciones del director de lo Contencioso y encargado del despacho de la Dirección General de Asuntos Jurídicos; y Jaral del Progreso, para comunicar que, por unanimidad, el Ayuntamiento está de acuerdo con la iniciativa.</w:t>
      </w:r>
    </w:p>
    <w:p w14:paraId="3C11356E" w14:textId="77777777" w:rsidR="0094362E" w:rsidRPr="0094362E" w:rsidRDefault="0094362E" w:rsidP="00004DAA">
      <w:pPr>
        <w:widowControl w:val="0"/>
        <w:jc w:val="both"/>
        <w:rPr>
          <w:rFonts w:ascii="Abadi" w:hAnsi="Abadi"/>
          <w:color w:val="000000"/>
          <w:sz w:val="21"/>
          <w:szCs w:val="21"/>
          <w:lang w:val="es-MX" w:eastAsia="es-MX"/>
        </w:rPr>
      </w:pPr>
    </w:p>
    <w:p w14:paraId="7B3B9406" w14:textId="77777777" w:rsidR="0094362E" w:rsidRPr="0094362E" w:rsidRDefault="0094362E" w:rsidP="00004DAA">
      <w:pPr>
        <w:widowControl w:val="0"/>
        <w:ind w:firstLine="851"/>
        <w:jc w:val="both"/>
        <w:rPr>
          <w:rFonts w:ascii="Abadi" w:hAnsi="Abadi"/>
          <w:color w:val="000000"/>
          <w:sz w:val="21"/>
          <w:szCs w:val="21"/>
          <w:lang w:val="es-MX" w:eastAsia="es-MX"/>
        </w:rPr>
      </w:pPr>
      <w:r w:rsidRPr="0094362E">
        <w:rPr>
          <w:rFonts w:ascii="Abadi" w:hAnsi="Abadi"/>
          <w:color w:val="000000"/>
          <w:sz w:val="21"/>
          <w:szCs w:val="21"/>
          <w:lang w:val="es-MX" w:eastAsia="es-MX"/>
        </w:rPr>
        <w:t>Asimismo, remitieron respuesta los ayuntamientos de Jerécuaro, para informar el acuerdo de enterados, sin emitir comentarios; León, para remitir observaciones y aportaciones técnico-jurídicas; Manuel Doblado, para comunicar el acuerdo de enterados y la instrucción al secretario del Ayuntamiento para que de vista al DIF municipal para el seguimiento; Moroleón, para informar que el Ayuntamiento se da por enterado y ordena su turno al departamento de Derechos Humanos; Purísima del Rincón, para comunicar el acuerdo de enterados; Romita, a fin de informar el acuerdo unánime de darse por enterados y no contar con observaciones; Salamanca, para comunicar la aprobación del dictamen de la Comisión de Derechos Humanos, a través del cual se determina que no se tienen observaciones o comentarios que realizar; San Francisco del Rincón, para informar que el Ayuntamiento tuvo por recibida, se dio por enterado del contenido de la iniciativa, y ordenó dejar a disposición de los integrantes del Ayuntamiento la iniciativa para su estudio; San Luis de la Paz, para indicar que el Ayuntamiento da su visto bueno a la iniciativa; Silao de la Victoria, a fin de remitir comentarios; y Tarimoro, para comunicar que no existen propuestas ni observaciones por parte de los integrantes del Ayuntamiento.</w:t>
      </w:r>
    </w:p>
    <w:p w14:paraId="37AAACEE" w14:textId="77777777" w:rsidR="0094362E" w:rsidRPr="0094362E" w:rsidRDefault="0094362E" w:rsidP="00004DAA">
      <w:pPr>
        <w:widowControl w:val="0"/>
        <w:jc w:val="both"/>
        <w:rPr>
          <w:rFonts w:ascii="Abadi" w:hAnsi="Abadi" w:cs="Arial"/>
          <w:sz w:val="21"/>
          <w:szCs w:val="21"/>
          <w:lang w:val="es-MX" w:eastAsia="en-US"/>
        </w:rPr>
      </w:pPr>
    </w:p>
    <w:p w14:paraId="29B8FEF4" w14:textId="77777777" w:rsidR="0094362E" w:rsidRPr="0094362E" w:rsidRDefault="0094362E" w:rsidP="00004DAA">
      <w:pPr>
        <w:widowControl w:val="0"/>
        <w:ind w:firstLine="851"/>
        <w:jc w:val="both"/>
        <w:rPr>
          <w:rFonts w:ascii="Abadi" w:hAnsi="Abadi" w:cs="Arial"/>
          <w:sz w:val="21"/>
          <w:szCs w:val="21"/>
          <w:lang w:val="es-MX" w:eastAsia="en-US"/>
        </w:rPr>
      </w:pPr>
      <w:r w:rsidRPr="0094362E">
        <w:rPr>
          <w:rFonts w:ascii="Abadi" w:hAnsi="Abadi" w:cs="Arial"/>
          <w:sz w:val="21"/>
          <w:szCs w:val="21"/>
          <w:lang w:val="es-MX" w:eastAsia="en-US"/>
        </w:rPr>
        <w:t>En el proceso de consulta, la iniciativa se compartió a las diputadas y a los diputados de la Sexagésima Cuarta Legislatura; a la Coordinación General Jurídica y al Instituto Guanajuatense para las Personas con Discapacidad. No se recibieron comentarios.</w:t>
      </w:r>
    </w:p>
    <w:p w14:paraId="39199DF9" w14:textId="77777777" w:rsidR="0094362E" w:rsidRPr="0094362E" w:rsidRDefault="0094362E" w:rsidP="00004DAA">
      <w:pPr>
        <w:widowControl w:val="0"/>
        <w:jc w:val="both"/>
        <w:rPr>
          <w:rFonts w:ascii="Abadi" w:hAnsi="Abadi" w:cs="Arial"/>
          <w:sz w:val="21"/>
          <w:szCs w:val="21"/>
          <w:lang w:val="es-MX" w:eastAsia="en-US"/>
        </w:rPr>
      </w:pPr>
    </w:p>
    <w:p w14:paraId="26CE304D" w14:textId="77777777" w:rsidR="0094362E" w:rsidRPr="0094362E" w:rsidRDefault="0094362E" w:rsidP="00004DAA">
      <w:pPr>
        <w:widowControl w:val="0"/>
        <w:ind w:firstLine="851"/>
        <w:jc w:val="both"/>
        <w:rPr>
          <w:rFonts w:ascii="Abadi" w:hAnsi="Abadi"/>
          <w:sz w:val="21"/>
          <w:szCs w:val="21"/>
          <w:lang w:val="es-MX" w:eastAsia="en-US"/>
        </w:rPr>
      </w:pPr>
      <w:r w:rsidRPr="0094362E">
        <w:rPr>
          <w:rFonts w:ascii="Abadi" w:hAnsi="Abadi"/>
          <w:sz w:val="21"/>
          <w:szCs w:val="21"/>
          <w:lang w:val="es-MX" w:eastAsia="en-US"/>
        </w:rPr>
        <w:t>Igualmente se remitió la iniciativa a la Procuraduría de los Derechos Humanos del Estado de Guanajuato, quien nos compartió sus aportaciones.</w:t>
      </w:r>
    </w:p>
    <w:p w14:paraId="4F1FC174" w14:textId="77777777" w:rsidR="0094362E" w:rsidRPr="0094362E" w:rsidRDefault="0094362E" w:rsidP="00004DAA">
      <w:pPr>
        <w:widowControl w:val="0"/>
        <w:jc w:val="both"/>
        <w:rPr>
          <w:rFonts w:ascii="Abadi" w:hAnsi="Abadi"/>
          <w:sz w:val="21"/>
          <w:szCs w:val="21"/>
          <w:lang w:val="es-MX" w:eastAsia="en-US"/>
        </w:rPr>
      </w:pPr>
    </w:p>
    <w:p w14:paraId="104D63EC" w14:textId="77777777" w:rsidR="0094362E" w:rsidRPr="0094362E" w:rsidRDefault="0094362E" w:rsidP="00004DAA">
      <w:pPr>
        <w:widowControl w:val="0"/>
        <w:ind w:firstLine="851"/>
        <w:jc w:val="both"/>
        <w:rPr>
          <w:rFonts w:ascii="Abadi" w:hAnsi="Abadi"/>
          <w:sz w:val="21"/>
          <w:szCs w:val="21"/>
          <w:lang w:val="es-MX" w:eastAsia="en-US"/>
        </w:rPr>
      </w:pPr>
      <w:r w:rsidRPr="0094362E">
        <w:rPr>
          <w:rFonts w:ascii="Abadi" w:hAnsi="Abadi"/>
          <w:sz w:val="21"/>
          <w:szCs w:val="21"/>
          <w:lang w:val="es-MX" w:eastAsia="en-US"/>
        </w:rPr>
        <w:t>En atención a la petición de la Comisión, el Instituto de Investigaciones Legislativas remitió opinión de la iniciativa. De la misma manera la Unidad de Estudios de las Finanzas Públicas entregó el estudio sobre la implicación financiera de la propuesta.</w:t>
      </w:r>
    </w:p>
    <w:p w14:paraId="03FF13FA" w14:textId="77777777" w:rsidR="0094362E" w:rsidRPr="0094362E" w:rsidRDefault="0094362E" w:rsidP="00004DAA">
      <w:pPr>
        <w:widowControl w:val="0"/>
        <w:jc w:val="both"/>
        <w:rPr>
          <w:rFonts w:ascii="Abadi" w:hAnsi="Abadi" w:cs="Arial"/>
          <w:sz w:val="21"/>
          <w:szCs w:val="21"/>
          <w:lang w:val="es-MX" w:eastAsia="en-US"/>
        </w:rPr>
      </w:pPr>
    </w:p>
    <w:p w14:paraId="6BAE1CFC" w14:textId="77777777" w:rsidR="0094362E" w:rsidRPr="0094362E" w:rsidRDefault="0094362E" w:rsidP="00004DAA">
      <w:pPr>
        <w:widowControl w:val="0"/>
        <w:ind w:firstLine="851"/>
        <w:jc w:val="both"/>
        <w:rPr>
          <w:rFonts w:ascii="Abadi" w:hAnsi="Abadi" w:cs="Arial"/>
          <w:sz w:val="21"/>
          <w:szCs w:val="21"/>
          <w:lang w:val="es-MX" w:eastAsia="en-US"/>
        </w:rPr>
      </w:pPr>
      <w:r w:rsidRPr="0094362E">
        <w:rPr>
          <w:rFonts w:ascii="Abadi" w:hAnsi="Abadi"/>
          <w:sz w:val="21"/>
          <w:szCs w:val="21"/>
          <w:lang w:val="es-MX" w:eastAsia="en-US"/>
        </w:rPr>
        <w:t>E</w:t>
      </w:r>
      <w:r w:rsidRPr="0094362E">
        <w:rPr>
          <w:rFonts w:ascii="Abadi" w:hAnsi="Abadi" w:cs="Arial"/>
          <w:sz w:val="21"/>
          <w:szCs w:val="21"/>
          <w:lang w:val="es-MX" w:eastAsia="en-US"/>
        </w:rPr>
        <w:t>n el marco de la promoción de la participación e inclusión ciudadana en el proceso legislativo se creó un micro sitio en la página del Congreso, invitando a enviar comentarios a la iniciativa. No se recibieron comentarios.</w:t>
      </w:r>
    </w:p>
    <w:p w14:paraId="119ACE1C" w14:textId="77777777" w:rsidR="0094362E" w:rsidRPr="0094362E" w:rsidRDefault="0094362E" w:rsidP="00004DAA">
      <w:pPr>
        <w:widowControl w:val="0"/>
        <w:jc w:val="both"/>
        <w:rPr>
          <w:rFonts w:ascii="Abadi" w:hAnsi="Abadi" w:cs="Arial"/>
          <w:sz w:val="21"/>
          <w:szCs w:val="21"/>
          <w:lang w:val="es-MX" w:eastAsia="en-US"/>
        </w:rPr>
      </w:pPr>
    </w:p>
    <w:p w14:paraId="7AE1C4A3" w14:textId="77777777" w:rsidR="0094362E" w:rsidRPr="0094362E" w:rsidRDefault="0094362E" w:rsidP="00004DAA">
      <w:pPr>
        <w:widowControl w:val="0"/>
        <w:ind w:firstLine="851"/>
        <w:jc w:val="both"/>
        <w:rPr>
          <w:rFonts w:ascii="Abadi" w:hAnsi="Abadi"/>
          <w:sz w:val="21"/>
          <w:szCs w:val="21"/>
          <w:lang w:val="es-MX" w:eastAsia="en-US"/>
        </w:rPr>
      </w:pPr>
      <w:r w:rsidRPr="0094362E">
        <w:rPr>
          <w:rFonts w:ascii="Abadi" w:hAnsi="Abadi"/>
          <w:sz w:val="21"/>
          <w:szCs w:val="21"/>
          <w:lang w:val="es-MX" w:eastAsia="en-US"/>
        </w:rPr>
        <w:t>El miércoles 16 de junio de 2021 se celebró el foro de consulta, en la modalidad a distancia, a través de herramienta tecnológica. Se recibieron las siguientes ponencias:</w:t>
      </w:r>
    </w:p>
    <w:p w14:paraId="42419175" w14:textId="77777777" w:rsidR="0094362E" w:rsidRPr="0094362E" w:rsidRDefault="0094362E" w:rsidP="00004DAA">
      <w:pPr>
        <w:widowControl w:val="0"/>
        <w:jc w:val="both"/>
        <w:rPr>
          <w:rFonts w:ascii="Abadi" w:hAnsi="Abadi"/>
          <w:sz w:val="21"/>
          <w:szCs w:val="21"/>
          <w:lang w:val="es-MX" w:eastAsia="en-US"/>
        </w:rPr>
      </w:pPr>
    </w:p>
    <w:tbl>
      <w:tblP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155"/>
        <w:gridCol w:w="1419"/>
        <w:gridCol w:w="1507"/>
      </w:tblGrid>
      <w:tr w:rsidR="0094362E" w:rsidRPr="0094362E" w14:paraId="0D8092DE" w14:textId="77777777" w:rsidTr="0092607A">
        <w:trPr>
          <w:trHeight w:val="1666"/>
        </w:trPr>
        <w:tc>
          <w:tcPr>
            <w:tcW w:w="1666" w:type="pct"/>
            <w:tcBorders>
              <w:top w:val="double" w:sz="4" w:space="0" w:color="auto"/>
              <w:left w:val="double" w:sz="4" w:space="0" w:color="auto"/>
              <w:bottom w:val="double" w:sz="4" w:space="0" w:color="auto"/>
              <w:right w:val="double" w:sz="4" w:space="0" w:color="auto"/>
            </w:tcBorders>
            <w:hideMark/>
          </w:tcPr>
          <w:p w14:paraId="6876133D" w14:textId="77777777" w:rsidR="0094362E" w:rsidRPr="0094362E" w:rsidRDefault="0094362E" w:rsidP="00004DAA">
            <w:pPr>
              <w:jc w:val="both"/>
              <w:rPr>
                <w:rFonts w:ascii="Abadi" w:hAnsi="Abadi"/>
                <w:sz w:val="21"/>
                <w:szCs w:val="21"/>
                <w:lang w:val="es-MX" w:eastAsia="en-US"/>
              </w:rPr>
            </w:pPr>
            <w:r w:rsidRPr="0094362E">
              <w:rPr>
                <w:rFonts w:ascii="Abadi" w:hAnsi="Abadi"/>
                <w:sz w:val="21"/>
                <w:szCs w:val="21"/>
                <w:lang w:val="es-MX" w:eastAsia="en-US"/>
              </w:rPr>
              <w:t>Diputada María de Jesús Eunices Reveles Conejo</w:t>
            </w:r>
          </w:p>
        </w:tc>
        <w:tc>
          <w:tcPr>
            <w:tcW w:w="1667" w:type="pct"/>
            <w:tcBorders>
              <w:top w:val="double" w:sz="4" w:space="0" w:color="auto"/>
              <w:left w:val="double" w:sz="4" w:space="0" w:color="auto"/>
              <w:bottom w:val="double" w:sz="4" w:space="0" w:color="auto"/>
              <w:right w:val="double" w:sz="4" w:space="0" w:color="auto"/>
            </w:tcBorders>
          </w:tcPr>
          <w:p w14:paraId="14CCEDEB" w14:textId="77777777" w:rsidR="0094362E" w:rsidRPr="0094362E" w:rsidRDefault="0094362E" w:rsidP="00004DAA">
            <w:pPr>
              <w:jc w:val="both"/>
              <w:rPr>
                <w:rFonts w:ascii="Abadi" w:hAnsi="Abadi"/>
                <w:sz w:val="21"/>
                <w:szCs w:val="21"/>
                <w:lang w:val="es-MX" w:eastAsia="en-US"/>
              </w:rPr>
            </w:pPr>
            <w:r w:rsidRPr="0094362E">
              <w:rPr>
                <w:rFonts w:ascii="Abadi" w:hAnsi="Abadi"/>
                <w:sz w:val="21"/>
                <w:szCs w:val="21"/>
                <w:lang w:val="es-MX" w:eastAsia="en-US"/>
              </w:rPr>
              <w:t>Diputada ante la Sexagésima Cuarta Legislatura del Congreso del Estado de Guanajuato</w:t>
            </w:r>
          </w:p>
        </w:tc>
        <w:tc>
          <w:tcPr>
            <w:tcW w:w="1667" w:type="pct"/>
            <w:tcBorders>
              <w:top w:val="double" w:sz="4" w:space="0" w:color="auto"/>
              <w:left w:val="double" w:sz="4" w:space="0" w:color="auto"/>
              <w:bottom w:val="double" w:sz="4" w:space="0" w:color="auto"/>
              <w:right w:val="double" w:sz="4" w:space="0" w:color="auto"/>
            </w:tcBorders>
            <w:hideMark/>
          </w:tcPr>
          <w:p w14:paraId="14D01349" w14:textId="77777777" w:rsidR="0094362E" w:rsidRPr="0094362E" w:rsidRDefault="0094362E" w:rsidP="00004DAA">
            <w:pPr>
              <w:jc w:val="both"/>
              <w:rPr>
                <w:rFonts w:ascii="Abadi" w:hAnsi="Abadi"/>
                <w:sz w:val="21"/>
                <w:szCs w:val="21"/>
                <w:lang w:val="es-MX" w:eastAsia="en-US"/>
              </w:rPr>
            </w:pPr>
            <w:r w:rsidRPr="0094362E">
              <w:rPr>
                <w:rFonts w:ascii="Abadi" w:hAnsi="Abadi"/>
                <w:sz w:val="21"/>
                <w:szCs w:val="21"/>
                <w:lang w:val="es-MX" w:eastAsia="en-US"/>
              </w:rPr>
              <w:t>Comentarios a las iniciativas presentadas por ella</w:t>
            </w:r>
          </w:p>
        </w:tc>
      </w:tr>
      <w:tr w:rsidR="0094362E" w:rsidRPr="0094362E" w14:paraId="5D8AB7A0" w14:textId="77777777" w:rsidTr="0092607A">
        <w:trPr>
          <w:trHeight w:val="1666"/>
        </w:trPr>
        <w:tc>
          <w:tcPr>
            <w:tcW w:w="1666" w:type="pct"/>
            <w:tcBorders>
              <w:top w:val="double" w:sz="4" w:space="0" w:color="auto"/>
              <w:left w:val="double" w:sz="4" w:space="0" w:color="auto"/>
              <w:bottom w:val="double" w:sz="4" w:space="0" w:color="auto"/>
              <w:right w:val="double" w:sz="4" w:space="0" w:color="auto"/>
            </w:tcBorders>
            <w:hideMark/>
          </w:tcPr>
          <w:p w14:paraId="188EFCBB" w14:textId="77777777" w:rsidR="0094362E" w:rsidRPr="0094362E" w:rsidRDefault="0094362E" w:rsidP="0094362E">
            <w:pPr>
              <w:widowControl w:val="0"/>
              <w:jc w:val="both"/>
              <w:rPr>
                <w:rFonts w:ascii="Abadi" w:eastAsiaTheme="minorHAnsi" w:hAnsi="Abadi" w:cs="Arial"/>
                <w:sz w:val="21"/>
                <w:szCs w:val="21"/>
                <w:lang w:val="es-MX" w:eastAsia="en-US"/>
              </w:rPr>
            </w:pPr>
            <w:r w:rsidRPr="0094362E">
              <w:rPr>
                <w:rFonts w:ascii="Abadi" w:eastAsiaTheme="minorHAnsi" w:hAnsi="Abadi" w:cs="Arial"/>
                <w:sz w:val="21"/>
                <w:szCs w:val="21"/>
                <w:lang w:val="es-MX" w:eastAsia="en-US"/>
              </w:rPr>
              <w:t>María del Consuelo García Ramírez</w:t>
            </w:r>
          </w:p>
        </w:tc>
        <w:tc>
          <w:tcPr>
            <w:tcW w:w="1667" w:type="pct"/>
            <w:tcBorders>
              <w:top w:val="double" w:sz="4" w:space="0" w:color="auto"/>
              <w:left w:val="double" w:sz="4" w:space="0" w:color="auto"/>
              <w:bottom w:val="double" w:sz="4" w:space="0" w:color="auto"/>
              <w:right w:val="double" w:sz="4" w:space="0" w:color="auto"/>
            </w:tcBorders>
            <w:hideMark/>
          </w:tcPr>
          <w:p w14:paraId="4082609C" w14:textId="77777777" w:rsidR="0094362E" w:rsidRPr="0094362E" w:rsidRDefault="0094362E" w:rsidP="0094362E">
            <w:pPr>
              <w:jc w:val="both"/>
              <w:rPr>
                <w:rFonts w:ascii="Abadi" w:hAnsi="Abadi" w:cs="Arial"/>
                <w:sz w:val="21"/>
                <w:szCs w:val="21"/>
                <w:lang w:val="es-MX" w:eastAsia="en-US"/>
              </w:rPr>
            </w:pPr>
          </w:p>
        </w:tc>
        <w:tc>
          <w:tcPr>
            <w:tcW w:w="1667" w:type="pct"/>
            <w:tcBorders>
              <w:top w:val="double" w:sz="4" w:space="0" w:color="auto"/>
              <w:left w:val="double" w:sz="4" w:space="0" w:color="auto"/>
              <w:bottom w:val="double" w:sz="4" w:space="0" w:color="auto"/>
              <w:right w:val="double" w:sz="4" w:space="0" w:color="auto"/>
            </w:tcBorders>
            <w:hideMark/>
          </w:tcPr>
          <w:p w14:paraId="64C10FDF" w14:textId="77777777" w:rsidR="0094362E" w:rsidRPr="0094362E" w:rsidRDefault="0094362E" w:rsidP="0094362E">
            <w:pPr>
              <w:widowControl w:val="0"/>
              <w:jc w:val="both"/>
              <w:rPr>
                <w:rFonts w:ascii="Abadi" w:eastAsiaTheme="minorHAnsi" w:hAnsi="Abadi" w:cs="Arial"/>
                <w:sz w:val="21"/>
                <w:szCs w:val="21"/>
                <w:lang w:val="es-MX" w:eastAsia="en-US"/>
              </w:rPr>
            </w:pPr>
            <w:r w:rsidRPr="0094362E">
              <w:rPr>
                <w:rFonts w:ascii="Abadi" w:eastAsiaTheme="minorHAnsi" w:hAnsi="Abadi" w:cs="Arial"/>
                <w:sz w:val="21"/>
                <w:szCs w:val="21"/>
                <w:lang w:val="es-MX" w:eastAsia="en-US"/>
              </w:rPr>
              <w:t>Accesibilidad</w:t>
            </w:r>
          </w:p>
        </w:tc>
      </w:tr>
      <w:tr w:rsidR="0094362E" w:rsidRPr="0094362E" w14:paraId="12EA9792" w14:textId="77777777" w:rsidTr="0092607A">
        <w:trPr>
          <w:trHeight w:val="1666"/>
        </w:trPr>
        <w:tc>
          <w:tcPr>
            <w:tcW w:w="1666" w:type="pct"/>
            <w:tcBorders>
              <w:top w:val="double" w:sz="4" w:space="0" w:color="auto"/>
              <w:left w:val="double" w:sz="4" w:space="0" w:color="auto"/>
              <w:bottom w:val="double" w:sz="4" w:space="0" w:color="auto"/>
              <w:right w:val="double" w:sz="4" w:space="0" w:color="auto"/>
            </w:tcBorders>
            <w:hideMark/>
          </w:tcPr>
          <w:p w14:paraId="2DB35842" w14:textId="77777777" w:rsidR="0094362E" w:rsidRPr="0094362E" w:rsidRDefault="0094362E" w:rsidP="0094362E">
            <w:pPr>
              <w:widowControl w:val="0"/>
              <w:jc w:val="both"/>
              <w:rPr>
                <w:rFonts w:ascii="Abadi" w:eastAsiaTheme="minorHAnsi" w:hAnsi="Abadi" w:cs="Arial"/>
                <w:sz w:val="21"/>
                <w:szCs w:val="21"/>
                <w:lang w:val="es-MX" w:eastAsia="en-US"/>
              </w:rPr>
            </w:pPr>
            <w:r w:rsidRPr="0094362E">
              <w:rPr>
                <w:rFonts w:ascii="Abadi" w:eastAsiaTheme="minorHAnsi" w:hAnsi="Abadi" w:cs="Arial"/>
                <w:sz w:val="21"/>
                <w:szCs w:val="21"/>
                <w:lang w:val="es-MX" w:eastAsia="en-US"/>
              </w:rPr>
              <w:t>Licenciado Adolfo Iván Ornelas Lozano</w:t>
            </w:r>
          </w:p>
        </w:tc>
        <w:tc>
          <w:tcPr>
            <w:tcW w:w="1667" w:type="pct"/>
            <w:tcBorders>
              <w:top w:val="double" w:sz="4" w:space="0" w:color="auto"/>
              <w:left w:val="double" w:sz="4" w:space="0" w:color="auto"/>
              <w:bottom w:val="double" w:sz="4" w:space="0" w:color="auto"/>
              <w:right w:val="double" w:sz="4" w:space="0" w:color="auto"/>
            </w:tcBorders>
          </w:tcPr>
          <w:p w14:paraId="544D9B5D" w14:textId="77777777" w:rsidR="0094362E" w:rsidRPr="0094362E" w:rsidRDefault="0094362E" w:rsidP="0094362E">
            <w:pPr>
              <w:widowControl w:val="0"/>
              <w:jc w:val="both"/>
              <w:rPr>
                <w:rFonts w:ascii="Abadi" w:eastAsiaTheme="minorHAnsi" w:hAnsi="Abadi" w:cs="Arial"/>
                <w:sz w:val="21"/>
                <w:szCs w:val="21"/>
                <w:lang w:val="es-MX" w:eastAsia="en-US"/>
              </w:rPr>
            </w:pPr>
            <w:r w:rsidRPr="0094362E">
              <w:rPr>
                <w:rFonts w:ascii="Abadi" w:eastAsiaTheme="minorHAnsi" w:hAnsi="Abadi" w:cs="Arial"/>
                <w:sz w:val="21"/>
                <w:szCs w:val="21"/>
                <w:lang w:val="es-MX" w:eastAsia="en-US"/>
              </w:rPr>
              <w:t>Presidente de la Asociación Mexicana de Educadores de Personas con Discapacidad Visual A. C., y maestro del Taller de Apoyo para Ciegos y Débiles Visuales de Cáritas de León A. C.</w:t>
            </w:r>
          </w:p>
        </w:tc>
        <w:tc>
          <w:tcPr>
            <w:tcW w:w="1667" w:type="pct"/>
            <w:tcBorders>
              <w:top w:val="double" w:sz="4" w:space="0" w:color="auto"/>
              <w:left w:val="double" w:sz="4" w:space="0" w:color="auto"/>
              <w:bottom w:val="double" w:sz="4" w:space="0" w:color="auto"/>
              <w:right w:val="double" w:sz="4" w:space="0" w:color="auto"/>
            </w:tcBorders>
            <w:hideMark/>
          </w:tcPr>
          <w:p w14:paraId="404E3240" w14:textId="77777777" w:rsidR="0094362E" w:rsidRPr="0094362E" w:rsidRDefault="0094362E" w:rsidP="0094362E">
            <w:pPr>
              <w:widowControl w:val="0"/>
              <w:jc w:val="both"/>
              <w:rPr>
                <w:rFonts w:ascii="Abadi" w:eastAsiaTheme="minorHAnsi" w:hAnsi="Abadi" w:cs="Arial"/>
                <w:sz w:val="21"/>
                <w:szCs w:val="21"/>
                <w:lang w:val="es-MX" w:eastAsia="en-US"/>
              </w:rPr>
            </w:pPr>
            <w:r w:rsidRPr="0094362E">
              <w:rPr>
                <w:rFonts w:ascii="Abadi" w:eastAsiaTheme="minorHAnsi" w:hAnsi="Abadi" w:cs="Arial"/>
                <w:sz w:val="21"/>
                <w:szCs w:val="21"/>
                <w:lang w:val="es-MX" w:eastAsia="en-US"/>
              </w:rPr>
              <w:t>Opinión sobre la iniciativa de adición del artículo 7-1 a la Ley de Inclusión para las Personas con Discapacidad en el Estado de Guanajuato</w:t>
            </w:r>
          </w:p>
        </w:tc>
      </w:tr>
      <w:tr w:rsidR="0094362E" w:rsidRPr="0094362E" w14:paraId="551BA322" w14:textId="77777777" w:rsidTr="0092607A">
        <w:trPr>
          <w:trHeight w:val="1666"/>
        </w:trPr>
        <w:tc>
          <w:tcPr>
            <w:tcW w:w="1666" w:type="pct"/>
            <w:tcBorders>
              <w:top w:val="double" w:sz="4" w:space="0" w:color="auto"/>
              <w:left w:val="double" w:sz="4" w:space="0" w:color="auto"/>
              <w:bottom w:val="double" w:sz="4" w:space="0" w:color="auto"/>
              <w:right w:val="double" w:sz="4" w:space="0" w:color="auto"/>
            </w:tcBorders>
            <w:hideMark/>
          </w:tcPr>
          <w:p w14:paraId="4CC5791B" w14:textId="77777777" w:rsidR="0094362E" w:rsidRPr="0094362E" w:rsidRDefault="0094362E" w:rsidP="0094362E">
            <w:pPr>
              <w:widowControl w:val="0"/>
              <w:jc w:val="both"/>
              <w:rPr>
                <w:rFonts w:ascii="Abadi" w:eastAsiaTheme="minorHAnsi" w:hAnsi="Abadi" w:cs="Arial"/>
                <w:sz w:val="21"/>
                <w:szCs w:val="21"/>
                <w:lang w:val="es-MX" w:eastAsia="en-US"/>
              </w:rPr>
            </w:pPr>
            <w:r w:rsidRPr="0094362E">
              <w:rPr>
                <w:rFonts w:ascii="Abadi" w:eastAsiaTheme="minorHAnsi" w:hAnsi="Abadi" w:cs="Arial"/>
                <w:sz w:val="21"/>
                <w:szCs w:val="21"/>
                <w:lang w:val="es-MX" w:eastAsia="en-US"/>
              </w:rPr>
              <w:t>Licenciado Adolfo Iván Ornelas Lozano</w:t>
            </w:r>
          </w:p>
        </w:tc>
        <w:tc>
          <w:tcPr>
            <w:tcW w:w="1667" w:type="pct"/>
            <w:tcBorders>
              <w:top w:val="double" w:sz="4" w:space="0" w:color="auto"/>
              <w:left w:val="double" w:sz="4" w:space="0" w:color="auto"/>
              <w:bottom w:val="double" w:sz="4" w:space="0" w:color="auto"/>
              <w:right w:val="double" w:sz="4" w:space="0" w:color="auto"/>
            </w:tcBorders>
          </w:tcPr>
          <w:p w14:paraId="4EC3DC12" w14:textId="77777777" w:rsidR="0094362E" w:rsidRPr="0094362E" w:rsidRDefault="0094362E" w:rsidP="0094362E">
            <w:pPr>
              <w:jc w:val="both"/>
              <w:rPr>
                <w:rFonts w:ascii="Abadi" w:hAnsi="Abadi" w:cs="Arial"/>
                <w:sz w:val="21"/>
                <w:szCs w:val="21"/>
                <w:lang w:val="es-MX" w:eastAsia="en-US"/>
              </w:rPr>
            </w:pPr>
            <w:r w:rsidRPr="0094362E">
              <w:rPr>
                <w:rFonts w:ascii="Abadi" w:hAnsi="Abadi" w:cs="Arial"/>
                <w:sz w:val="21"/>
                <w:szCs w:val="21"/>
                <w:lang w:val="es-MX" w:eastAsia="en-US"/>
              </w:rPr>
              <w:t>Presidente de la Asociación Mexicana de Educadores de Personas con Discapacidad Visual A. C., y maestro del Taller de Apoyo para Ciegos y Débiles Visuales de Cáritas de León A. C.</w:t>
            </w:r>
          </w:p>
        </w:tc>
        <w:tc>
          <w:tcPr>
            <w:tcW w:w="1667" w:type="pct"/>
            <w:tcBorders>
              <w:top w:val="double" w:sz="4" w:space="0" w:color="auto"/>
              <w:left w:val="double" w:sz="4" w:space="0" w:color="auto"/>
              <w:bottom w:val="double" w:sz="4" w:space="0" w:color="auto"/>
              <w:right w:val="double" w:sz="4" w:space="0" w:color="auto"/>
            </w:tcBorders>
            <w:hideMark/>
          </w:tcPr>
          <w:p w14:paraId="4ADE8185" w14:textId="77777777" w:rsidR="0094362E" w:rsidRPr="0094362E" w:rsidRDefault="0094362E" w:rsidP="0094362E">
            <w:pPr>
              <w:widowControl w:val="0"/>
              <w:jc w:val="both"/>
              <w:rPr>
                <w:rFonts w:ascii="Abadi" w:eastAsiaTheme="minorHAnsi" w:hAnsi="Abadi" w:cs="Arial"/>
                <w:sz w:val="21"/>
                <w:szCs w:val="21"/>
                <w:lang w:val="es-MX" w:eastAsia="en-US"/>
              </w:rPr>
            </w:pPr>
            <w:r w:rsidRPr="0094362E">
              <w:rPr>
                <w:rFonts w:ascii="Abadi" w:eastAsiaTheme="minorHAnsi" w:hAnsi="Abadi" w:cs="Arial"/>
                <w:sz w:val="21"/>
                <w:szCs w:val="21"/>
                <w:lang w:val="es-MX" w:eastAsia="en-US"/>
              </w:rPr>
              <w:t>Opinión sobre la iniciativa de Ley para la Protección de los Derechos de las Personas Usuarias de Perros Guía o Asistencia Médica para el Estado de Guanajuato</w:t>
            </w:r>
          </w:p>
        </w:tc>
      </w:tr>
      <w:tr w:rsidR="0094362E" w:rsidRPr="0094362E" w14:paraId="01628578" w14:textId="77777777" w:rsidTr="0092607A">
        <w:trPr>
          <w:trHeight w:val="1666"/>
        </w:trPr>
        <w:tc>
          <w:tcPr>
            <w:tcW w:w="1666" w:type="pct"/>
            <w:tcBorders>
              <w:top w:val="double" w:sz="4" w:space="0" w:color="auto"/>
              <w:left w:val="double" w:sz="4" w:space="0" w:color="auto"/>
              <w:bottom w:val="double" w:sz="4" w:space="0" w:color="auto"/>
              <w:right w:val="double" w:sz="4" w:space="0" w:color="auto"/>
            </w:tcBorders>
            <w:hideMark/>
          </w:tcPr>
          <w:p w14:paraId="204E24B2" w14:textId="77777777" w:rsidR="0094362E" w:rsidRPr="0094362E" w:rsidRDefault="0094362E" w:rsidP="0094362E">
            <w:pPr>
              <w:jc w:val="both"/>
              <w:rPr>
                <w:rFonts w:ascii="Abadi" w:hAnsi="Abadi"/>
                <w:sz w:val="21"/>
                <w:szCs w:val="21"/>
                <w:lang w:val="es-MX" w:eastAsia="en-US"/>
              </w:rPr>
            </w:pPr>
            <w:r w:rsidRPr="0094362E">
              <w:rPr>
                <w:rFonts w:ascii="Abadi" w:hAnsi="Abadi"/>
                <w:sz w:val="21"/>
                <w:szCs w:val="21"/>
                <w:lang w:val="es-MX" w:eastAsia="en-US"/>
              </w:rPr>
              <w:t>Licenciada Alicia del Socorro Franco Dávalos</w:t>
            </w:r>
          </w:p>
        </w:tc>
        <w:tc>
          <w:tcPr>
            <w:tcW w:w="1667" w:type="pct"/>
            <w:tcBorders>
              <w:top w:val="double" w:sz="4" w:space="0" w:color="auto"/>
              <w:left w:val="double" w:sz="4" w:space="0" w:color="auto"/>
              <w:bottom w:val="double" w:sz="4" w:space="0" w:color="auto"/>
              <w:right w:val="double" w:sz="4" w:space="0" w:color="auto"/>
            </w:tcBorders>
          </w:tcPr>
          <w:p w14:paraId="70E2963B" w14:textId="77777777" w:rsidR="0094362E" w:rsidRPr="0094362E" w:rsidRDefault="0094362E" w:rsidP="0094362E">
            <w:pPr>
              <w:jc w:val="both"/>
              <w:rPr>
                <w:rFonts w:ascii="Abadi" w:hAnsi="Abadi"/>
                <w:sz w:val="21"/>
                <w:szCs w:val="21"/>
                <w:lang w:val="es-MX" w:eastAsia="en-US"/>
              </w:rPr>
            </w:pPr>
            <w:r w:rsidRPr="0094362E">
              <w:rPr>
                <w:rFonts w:ascii="Abadi" w:hAnsi="Abadi" w:cs="Arial"/>
                <w:sz w:val="21"/>
                <w:szCs w:val="21"/>
                <w:lang w:val="es-MX" w:eastAsia="en-US"/>
              </w:rPr>
              <w:t>Presidenta del Consejo para Prevenir, Atender y Erradicar la Discriminación en el Estado de Guanajuato</w:t>
            </w:r>
          </w:p>
        </w:tc>
        <w:tc>
          <w:tcPr>
            <w:tcW w:w="1667" w:type="pct"/>
            <w:tcBorders>
              <w:top w:val="double" w:sz="4" w:space="0" w:color="auto"/>
              <w:left w:val="double" w:sz="4" w:space="0" w:color="auto"/>
              <w:bottom w:val="double" w:sz="4" w:space="0" w:color="auto"/>
              <w:right w:val="double" w:sz="4" w:space="0" w:color="auto"/>
            </w:tcBorders>
            <w:hideMark/>
          </w:tcPr>
          <w:p w14:paraId="3FAA3FE8" w14:textId="77777777" w:rsidR="0094362E" w:rsidRPr="0094362E" w:rsidRDefault="0094362E" w:rsidP="0094362E">
            <w:pPr>
              <w:widowControl w:val="0"/>
              <w:jc w:val="both"/>
              <w:rPr>
                <w:rFonts w:ascii="Abadi" w:eastAsiaTheme="minorHAnsi" w:hAnsi="Abadi" w:cs="Arial"/>
                <w:sz w:val="21"/>
                <w:szCs w:val="21"/>
                <w:lang w:val="es-MX" w:eastAsia="en-US"/>
              </w:rPr>
            </w:pPr>
            <w:r w:rsidRPr="0094362E">
              <w:rPr>
                <w:rFonts w:ascii="Abadi" w:eastAsiaTheme="minorHAnsi" w:hAnsi="Abadi" w:cs="Arial"/>
                <w:sz w:val="21"/>
                <w:szCs w:val="21"/>
                <w:lang w:val="es-MX" w:eastAsia="en-US"/>
              </w:rPr>
              <w:t>Comentarios a las 3 iniciativas materia del foro</w:t>
            </w:r>
          </w:p>
        </w:tc>
      </w:tr>
      <w:tr w:rsidR="0094362E" w:rsidRPr="0094362E" w14:paraId="013BC9A0" w14:textId="77777777" w:rsidTr="0092607A">
        <w:trPr>
          <w:trHeight w:val="1666"/>
        </w:trPr>
        <w:tc>
          <w:tcPr>
            <w:tcW w:w="1666" w:type="pct"/>
            <w:tcBorders>
              <w:top w:val="double" w:sz="4" w:space="0" w:color="auto"/>
              <w:left w:val="double" w:sz="4" w:space="0" w:color="auto"/>
              <w:bottom w:val="double" w:sz="4" w:space="0" w:color="auto"/>
              <w:right w:val="double" w:sz="4" w:space="0" w:color="auto"/>
            </w:tcBorders>
            <w:hideMark/>
          </w:tcPr>
          <w:p w14:paraId="3BA70C6F" w14:textId="77777777" w:rsidR="0094362E" w:rsidRPr="0094362E" w:rsidRDefault="0094362E" w:rsidP="0094362E">
            <w:pPr>
              <w:jc w:val="both"/>
              <w:rPr>
                <w:rFonts w:ascii="Abadi" w:hAnsi="Abadi"/>
                <w:sz w:val="21"/>
                <w:szCs w:val="21"/>
                <w:lang w:val="es-MX" w:eastAsia="en-US"/>
              </w:rPr>
            </w:pPr>
            <w:r w:rsidRPr="0094362E">
              <w:rPr>
                <w:rFonts w:ascii="Abadi" w:hAnsi="Abadi"/>
                <w:sz w:val="21"/>
                <w:szCs w:val="21"/>
                <w:lang w:val="es-MX" w:eastAsia="en-US"/>
              </w:rPr>
              <w:t>Ana Lilia González Amador</w:t>
            </w:r>
          </w:p>
        </w:tc>
        <w:tc>
          <w:tcPr>
            <w:tcW w:w="1667" w:type="pct"/>
            <w:tcBorders>
              <w:top w:val="double" w:sz="4" w:space="0" w:color="auto"/>
              <w:left w:val="double" w:sz="4" w:space="0" w:color="auto"/>
              <w:bottom w:val="double" w:sz="4" w:space="0" w:color="auto"/>
              <w:right w:val="double" w:sz="4" w:space="0" w:color="auto"/>
            </w:tcBorders>
            <w:hideMark/>
          </w:tcPr>
          <w:p w14:paraId="1294CEE0" w14:textId="77777777" w:rsidR="0094362E" w:rsidRPr="0094362E" w:rsidRDefault="0094362E" w:rsidP="0094362E">
            <w:pPr>
              <w:widowControl w:val="0"/>
              <w:jc w:val="both"/>
              <w:rPr>
                <w:rFonts w:ascii="Abadi" w:hAnsi="Abadi"/>
                <w:sz w:val="21"/>
                <w:szCs w:val="21"/>
                <w:lang w:val="es-MX" w:eastAsia="en-US"/>
              </w:rPr>
            </w:pPr>
            <w:r w:rsidRPr="0094362E">
              <w:rPr>
                <w:rFonts w:ascii="Abadi" w:hAnsi="Abadi"/>
                <w:sz w:val="21"/>
                <w:szCs w:val="21"/>
                <w:lang w:val="es-MX" w:eastAsia="en-US"/>
              </w:rPr>
              <w:t>Directora del Centro Integral Educando y Asistiendo con Animales de Compañía León</w:t>
            </w:r>
          </w:p>
        </w:tc>
        <w:tc>
          <w:tcPr>
            <w:tcW w:w="1667" w:type="pct"/>
            <w:tcBorders>
              <w:top w:val="double" w:sz="4" w:space="0" w:color="auto"/>
              <w:left w:val="double" w:sz="4" w:space="0" w:color="auto"/>
              <w:bottom w:val="double" w:sz="4" w:space="0" w:color="auto"/>
              <w:right w:val="double" w:sz="4" w:space="0" w:color="auto"/>
            </w:tcBorders>
          </w:tcPr>
          <w:p w14:paraId="71D1306D" w14:textId="77777777" w:rsidR="0094362E" w:rsidRPr="0094362E" w:rsidRDefault="0094362E" w:rsidP="0094362E">
            <w:pPr>
              <w:widowControl w:val="0"/>
              <w:jc w:val="both"/>
              <w:rPr>
                <w:rFonts w:ascii="Abadi" w:eastAsiaTheme="minorHAnsi" w:hAnsi="Abadi" w:cs="Arial"/>
                <w:sz w:val="21"/>
                <w:szCs w:val="21"/>
                <w:lang w:val="es-MX" w:eastAsia="en-US"/>
              </w:rPr>
            </w:pPr>
            <w:r w:rsidRPr="0094362E">
              <w:rPr>
                <w:rFonts w:ascii="Abadi" w:eastAsiaTheme="minorHAnsi" w:hAnsi="Abadi" w:cs="Arial"/>
                <w:sz w:val="21"/>
                <w:szCs w:val="21"/>
                <w:lang w:val="es-MX" w:eastAsia="en-US"/>
              </w:rPr>
              <w:t>Comentarios a la iniciativa de Ley para la Protección de los Derechos de las Personas Usuarias de Perros Guía o Asistencia Médica para el Estado de Guanajuato</w:t>
            </w:r>
          </w:p>
        </w:tc>
      </w:tr>
      <w:tr w:rsidR="0094362E" w:rsidRPr="0094362E" w14:paraId="61347A71" w14:textId="77777777" w:rsidTr="0092607A">
        <w:trPr>
          <w:trHeight w:val="1666"/>
        </w:trPr>
        <w:tc>
          <w:tcPr>
            <w:tcW w:w="1666" w:type="pct"/>
            <w:tcBorders>
              <w:top w:val="double" w:sz="4" w:space="0" w:color="auto"/>
              <w:left w:val="double" w:sz="4" w:space="0" w:color="auto"/>
              <w:bottom w:val="double" w:sz="4" w:space="0" w:color="auto"/>
              <w:right w:val="double" w:sz="4" w:space="0" w:color="auto"/>
            </w:tcBorders>
            <w:hideMark/>
          </w:tcPr>
          <w:p w14:paraId="6DB2B4B2" w14:textId="77777777" w:rsidR="0094362E" w:rsidRPr="0094362E" w:rsidRDefault="0094362E" w:rsidP="0094362E">
            <w:pPr>
              <w:jc w:val="both"/>
              <w:rPr>
                <w:rFonts w:ascii="Abadi" w:hAnsi="Abadi"/>
                <w:sz w:val="21"/>
                <w:szCs w:val="21"/>
                <w:lang w:val="es-MX" w:eastAsia="en-US"/>
              </w:rPr>
            </w:pPr>
            <w:r w:rsidRPr="0094362E">
              <w:rPr>
                <w:rFonts w:ascii="Abadi" w:hAnsi="Abadi"/>
                <w:sz w:val="21"/>
                <w:szCs w:val="21"/>
                <w:lang w:val="es-MX" w:eastAsia="en-US"/>
              </w:rPr>
              <w:t>Licenciada Claudia Tayde Sosa García</w:t>
            </w:r>
          </w:p>
        </w:tc>
        <w:tc>
          <w:tcPr>
            <w:tcW w:w="1667" w:type="pct"/>
            <w:tcBorders>
              <w:top w:val="double" w:sz="4" w:space="0" w:color="auto"/>
              <w:left w:val="double" w:sz="4" w:space="0" w:color="auto"/>
              <w:bottom w:val="double" w:sz="4" w:space="0" w:color="auto"/>
              <w:right w:val="double" w:sz="4" w:space="0" w:color="auto"/>
            </w:tcBorders>
            <w:hideMark/>
          </w:tcPr>
          <w:p w14:paraId="7BCB0BFE" w14:textId="77777777" w:rsidR="0094362E" w:rsidRPr="0094362E" w:rsidRDefault="0094362E" w:rsidP="0094362E">
            <w:pPr>
              <w:jc w:val="both"/>
              <w:rPr>
                <w:rFonts w:ascii="Abadi" w:hAnsi="Abadi"/>
                <w:sz w:val="21"/>
                <w:szCs w:val="21"/>
                <w:lang w:val="es-MX" w:eastAsia="en-US"/>
              </w:rPr>
            </w:pPr>
            <w:r w:rsidRPr="0094362E">
              <w:rPr>
                <w:rFonts w:ascii="Abadi" w:hAnsi="Abadi"/>
                <w:sz w:val="21"/>
                <w:szCs w:val="21"/>
                <w:lang w:val="es-MX" w:eastAsia="en-US"/>
              </w:rPr>
              <w:t>Coordinadora del programa de pacientes integrados del Centro de Rehabilitación Celaya, A.C. Centro afiliado a APAC, México</w:t>
            </w:r>
          </w:p>
        </w:tc>
        <w:tc>
          <w:tcPr>
            <w:tcW w:w="1667" w:type="pct"/>
            <w:tcBorders>
              <w:top w:val="double" w:sz="4" w:space="0" w:color="auto"/>
              <w:left w:val="double" w:sz="4" w:space="0" w:color="auto"/>
              <w:bottom w:val="double" w:sz="4" w:space="0" w:color="auto"/>
              <w:right w:val="double" w:sz="4" w:space="0" w:color="auto"/>
            </w:tcBorders>
          </w:tcPr>
          <w:p w14:paraId="37981A44" w14:textId="77777777" w:rsidR="0094362E" w:rsidRPr="0094362E" w:rsidRDefault="0094362E" w:rsidP="0094362E">
            <w:pPr>
              <w:widowControl w:val="0"/>
              <w:jc w:val="both"/>
              <w:rPr>
                <w:rFonts w:ascii="Abadi" w:eastAsiaTheme="minorHAnsi" w:hAnsi="Abadi" w:cs="Arial"/>
                <w:sz w:val="21"/>
                <w:szCs w:val="21"/>
                <w:lang w:val="es-MX" w:eastAsia="en-US"/>
              </w:rPr>
            </w:pPr>
            <w:r w:rsidRPr="0094362E">
              <w:rPr>
                <w:rFonts w:ascii="Abadi" w:eastAsiaTheme="minorHAnsi" w:hAnsi="Abadi" w:cs="Arial"/>
                <w:sz w:val="21"/>
                <w:szCs w:val="21"/>
                <w:lang w:val="es-MX" w:eastAsia="en-US"/>
              </w:rPr>
              <w:t>Comentarios a la iniciativa de adición del artículo 7-1 a la Ley de Inclusión para las Personas con Discapacidad en el Estado de Guanajuato</w:t>
            </w:r>
          </w:p>
        </w:tc>
      </w:tr>
      <w:tr w:rsidR="0094362E" w:rsidRPr="0094362E" w14:paraId="3F925AD9" w14:textId="77777777" w:rsidTr="0092607A">
        <w:trPr>
          <w:trHeight w:val="1666"/>
        </w:trPr>
        <w:tc>
          <w:tcPr>
            <w:tcW w:w="1666" w:type="pct"/>
            <w:tcBorders>
              <w:top w:val="double" w:sz="4" w:space="0" w:color="auto"/>
              <w:left w:val="double" w:sz="4" w:space="0" w:color="auto"/>
              <w:bottom w:val="double" w:sz="4" w:space="0" w:color="auto"/>
              <w:right w:val="double" w:sz="4" w:space="0" w:color="auto"/>
            </w:tcBorders>
            <w:hideMark/>
          </w:tcPr>
          <w:p w14:paraId="354A35CA" w14:textId="77777777" w:rsidR="0094362E" w:rsidRPr="0094362E" w:rsidRDefault="0094362E" w:rsidP="0094362E">
            <w:pPr>
              <w:jc w:val="both"/>
              <w:rPr>
                <w:rFonts w:ascii="Abadi" w:hAnsi="Abadi"/>
                <w:sz w:val="21"/>
                <w:szCs w:val="21"/>
                <w:lang w:val="es-MX" w:eastAsia="en-US"/>
              </w:rPr>
            </w:pPr>
            <w:r w:rsidRPr="0094362E">
              <w:rPr>
                <w:rFonts w:ascii="Abadi" w:hAnsi="Abadi"/>
                <w:sz w:val="21"/>
                <w:szCs w:val="21"/>
                <w:lang w:val="es-MX" w:eastAsia="en-US"/>
              </w:rPr>
              <w:t>Licenciada Ma. del Carmen García Maya</w:t>
            </w:r>
          </w:p>
        </w:tc>
        <w:tc>
          <w:tcPr>
            <w:tcW w:w="1667" w:type="pct"/>
            <w:tcBorders>
              <w:top w:val="double" w:sz="4" w:space="0" w:color="auto"/>
              <w:left w:val="double" w:sz="4" w:space="0" w:color="auto"/>
              <w:bottom w:val="double" w:sz="4" w:space="0" w:color="auto"/>
              <w:right w:val="double" w:sz="4" w:space="0" w:color="auto"/>
            </w:tcBorders>
            <w:hideMark/>
          </w:tcPr>
          <w:p w14:paraId="7AFE6012" w14:textId="77777777" w:rsidR="0094362E" w:rsidRPr="0094362E" w:rsidRDefault="0094362E" w:rsidP="0094362E">
            <w:pPr>
              <w:jc w:val="both"/>
              <w:rPr>
                <w:rFonts w:ascii="Abadi" w:hAnsi="Abadi"/>
                <w:sz w:val="21"/>
                <w:szCs w:val="21"/>
                <w:lang w:val="es-MX" w:eastAsia="en-US"/>
              </w:rPr>
            </w:pPr>
            <w:r w:rsidRPr="0094362E">
              <w:rPr>
                <w:rFonts w:ascii="Abadi" w:hAnsi="Abadi"/>
                <w:sz w:val="21"/>
                <w:szCs w:val="21"/>
                <w:lang w:val="es-MX" w:eastAsia="en-US"/>
              </w:rPr>
              <w:t>Directora del Centro de Aprendizaje y Lenguaje Especial "Mi Sol" A.C.</w:t>
            </w:r>
          </w:p>
        </w:tc>
        <w:tc>
          <w:tcPr>
            <w:tcW w:w="1667" w:type="pct"/>
            <w:tcBorders>
              <w:top w:val="double" w:sz="4" w:space="0" w:color="auto"/>
              <w:left w:val="double" w:sz="4" w:space="0" w:color="auto"/>
              <w:bottom w:val="double" w:sz="4" w:space="0" w:color="auto"/>
              <w:right w:val="double" w:sz="4" w:space="0" w:color="auto"/>
            </w:tcBorders>
          </w:tcPr>
          <w:p w14:paraId="0BB87CA4" w14:textId="77777777" w:rsidR="0094362E" w:rsidRPr="0094362E" w:rsidRDefault="0094362E" w:rsidP="0094362E">
            <w:pPr>
              <w:jc w:val="both"/>
              <w:rPr>
                <w:rFonts w:ascii="Abadi" w:hAnsi="Abadi"/>
                <w:sz w:val="21"/>
                <w:szCs w:val="21"/>
                <w:lang w:val="es-MX" w:eastAsia="en-US"/>
              </w:rPr>
            </w:pPr>
            <w:r w:rsidRPr="0094362E">
              <w:rPr>
                <w:rFonts w:ascii="Abadi" w:hAnsi="Abadi"/>
                <w:sz w:val="21"/>
                <w:szCs w:val="21"/>
                <w:lang w:val="es-MX" w:eastAsia="en-US"/>
              </w:rPr>
              <w:t>Comentarios a la iniciativa de adición del artículo 7-1 a la Ley de Inclusión para las Personas con Discapacidad en el Estado de Guanajuato</w:t>
            </w:r>
          </w:p>
        </w:tc>
      </w:tr>
      <w:tr w:rsidR="0094362E" w:rsidRPr="0094362E" w14:paraId="504F1D60" w14:textId="77777777" w:rsidTr="0092607A">
        <w:trPr>
          <w:trHeight w:val="1666"/>
        </w:trPr>
        <w:tc>
          <w:tcPr>
            <w:tcW w:w="1666" w:type="pct"/>
            <w:tcBorders>
              <w:top w:val="double" w:sz="4" w:space="0" w:color="auto"/>
              <w:left w:val="double" w:sz="4" w:space="0" w:color="auto"/>
              <w:bottom w:val="double" w:sz="4" w:space="0" w:color="auto"/>
              <w:right w:val="double" w:sz="4" w:space="0" w:color="auto"/>
            </w:tcBorders>
            <w:hideMark/>
          </w:tcPr>
          <w:p w14:paraId="6CB4044E" w14:textId="77777777" w:rsidR="0094362E" w:rsidRPr="0094362E" w:rsidRDefault="0094362E" w:rsidP="0094362E">
            <w:pPr>
              <w:jc w:val="both"/>
              <w:rPr>
                <w:rFonts w:ascii="Abadi" w:hAnsi="Abadi"/>
                <w:sz w:val="21"/>
                <w:szCs w:val="21"/>
                <w:lang w:val="es-MX" w:eastAsia="en-US"/>
              </w:rPr>
            </w:pPr>
            <w:r w:rsidRPr="0094362E">
              <w:rPr>
                <w:rFonts w:ascii="Abadi" w:hAnsi="Abadi"/>
                <w:sz w:val="21"/>
                <w:szCs w:val="21"/>
                <w:lang w:val="es-MX" w:eastAsia="en-US"/>
              </w:rPr>
              <w:t>Ciudadano Juan Pablo Sánchez Padilla</w:t>
            </w:r>
          </w:p>
        </w:tc>
        <w:tc>
          <w:tcPr>
            <w:tcW w:w="1667" w:type="pct"/>
            <w:tcBorders>
              <w:top w:val="double" w:sz="4" w:space="0" w:color="auto"/>
              <w:left w:val="double" w:sz="4" w:space="0" w:color="auto"/>
              <w:bottom w:val="double" w:sz="4" w:space="0" w:color="auto"/>
              <w:right w:val="double" w:sz="4" w:space="0" w:color="auto"/>
            </w:tcBorders>
            <w:hideMark/>
          </w:tcPr>
          <w:p w14:paraId="51161D7F" w14:textId="77777777" w:rsidR="0094362E" w:rsidRPr="0094362E" w:rsidRDefault="0094362E" w:rsidP="0094362E">
            <w:pPr>
              <w:jc w:val="both"/>
              <w:rPr>
                <w:rFonts w:ascii="Abadi" w:hAnsi="Abadi"/>
                <w:sz w:val="21"/>
                <w:szCs w:val="21"/>
                <w:lang w:val="es-MX" w:eastAsia="en-US"/>
              </w:rPr>
            </w:pPr>
          </w:p>
        </w:tc>
        <w:tc>
          <w:tcPr>
            <w:tcW w:w="1667" w:type="pct"/>
            <w:tcBorders>
              <w:top w:val="double" w:sz="4" w:space="0" w:color="auto"/>
              <w:left w:val="double" w:sz="4" w:space="0" w:color="auto"/>
              <w:bottom w:val="double" w:sz="4" w:space="0" w:color="auto"/>
              <w:right w:val="double" w:sz="4" w:space="0" w:color="auto"/>
            </w:tcBorders>
          </w:tcPr>
          <w:p w14:paraId="58766009" w14:textId="77777777" w:rsidR="0094362E" w:rsidRPr="0094362E" w:rsidRDefault="0094362E" w:rsidP="0094362E">
            <w:pPr>
              <w:jc w:val="both"/>
              <w:rPr>
                <w:rFonts w:ascii="Abadi" w:hAnsi="Abadi"/>
                <w:sz w:val="21"/>
                <w:szCs w:val="21"/>
                <w:lang w:val="es-MX" w:eastAsia="en-US"/>
              </w:rPr>
            </w:pPr>
            <w:r w:rsidRPr="0094362E">
              <w:rPr>
                <w:rFonts w:ascii="Abadi" w:hAnsi="Abadi"/>
                <w:sz w:val="21"/>
                <w:szCs w:val="21"/>
                <w:lang w:val="es-MX" w:eastAsia="en-US"/>
              </w:rPr>
              <w:t>Lengua de señas mexicana</w:t>
            </w:r>
          </w:p>
        </w:tc>
      </w:tr>
      <w:tr w:rsidR="0094362E" w:rsidRPr="0094362E" w14:paraId="1F266E1D" w14:textId="77777777" w:rsidTr="0092607A">
        <w:trPr>
          <w:trHeight w:val="1666"/>
        </w:trPr>
        <w:tc>
          <w:tcPr>
            <w:tcW w:w="1666" w:type="pct"/>
            <w:tcBorders>
              <w:top w:val="double" w:sz="4" w:space="0" w:color="auto"/>
              <w:left w:val="double" w:sz="4" w:space="0" w:color="auto"/>
              <w:bottom w:val="double" w:sz="4" w:space="0" w:color="auto"/>
              <w:right w:val="double" w:sz="4" w:space="0" w:color="auto"/>
            </w:tcBorders>
          </w:tcPr>
          <w:p w14:paraId="0626B921" w14:textId="77777777" w:rsidR="0094362E" w:rsidRPr="0094362E" w:rsidRDefault="0094362E" w:rsidP="0094362E">
            <w:pPr>
              <w:jc w:val="both"/>
              <w:rPr>
                <w:rFonts w:ascii="Abadi" w:hAnsi="Abadi"/>
                <w:sz w:val="21"/>
                <w:szCs w:val="21"/>
                <w:lang w:val="es-MX" w:eastAsia="en-US"/>
              </w:rPr>
            </w:pPr>
            <w:r w:rsidRPr="0094362E">
              <w:rPr>
                <w:rFonts w:ascii="Abadi" w:hAnsi="Abadi"/>
                <w:sz w:val="21"/>
                <w:szCs w:val="21"/>
                <w:lang w:val="es-MX" w:eastAsia="en-US"/>
              </w:rPr>
              <w:t>Ciudadano Juan Gilberto Ávila Estrada</w:t>
            </w:r>
          </w:p>
        </w:tc>
        <w:tc>
          <w:tcPr>
            <w:tcW w:w="1667" w:type="pct"/>
            <w:tcBorders>
              <w:top w:val="double" w:sz="4" w:space="0" w:color="auto"/>
              <w:left w:val="double" w:sz="4" w:space="0" w:color="auto"/>
              <w:bottom w:val="double" w:sz="4" w:space="0" w:color="auto"/>
              <w:right w:val="double" w:sz="4" w:space="0" w:color="auto"/>
            </w:tcBorders>
            <w:hideMark/>
          </w:tcPr>
          <w:p w14:paraId="1698E4E2" w14:textId="77777777" w:rsidR="0094362E" w:rsidRPr="0094362E" w:rsidRDefault="0094362E" w:rsidP="0094362E">
            <w:pPr>
              <w:jc w:val="both"/>
              <w:rPr>
                <w:rFonts w:ascii="Abadi" w:hAnsi="Abadi"/>
                <w:sz w:val="21"/>
                <w:szCs w:val="21"/>
                <w:lang w:val="es-MX" w:eastAsia="en-US"/>
              </w:rPr>
            </w:pPr>
          </w:p>
        </w:tc>
        <w:tc>
          <w:tcPr>
            <w:tcW w:w="1667" w:type="pct"/>
            <w:tcBorders>
              <w:top w:val="double" w:sz="4" w:space="0" w:color="auto"/>
              <w:left w:val="double" w:sz="4" w:space="0" w:color="auto"/>
              <w:bottom w:val="double" w:sz="4" w:space="0" w:color="auto"/>
              <w:right w:val="double" w:sz="4" w:space="0" w:color="auto"/>
            </w:tcBorders>
          </w:tcPr>
          <w:p w14:paraId="029166EE" w14:textId="77777777" w:rsidR="0094362E" w:rsidRPr="0094362E" w:rsidRDefault="0094362E" w:rsidP="0094362E">
            <w:pPr>
              <w:jc w:val="both"/>
              <w:rPr>
                <w:rFonts w:ascii="Abadi" w:hAnsi="Abadi"/>
                <w:sz w:val="21"/>
                <w:szCs w:val="21"/>
                <w:lang w:val="es-MX" w:eastAsia="en-US"/>
              </w:rPr>
            </w:pPr>
            <w:r w:rsidRPr="0094362E">
              <w:rPr>
                <w:rFonts w:ascii="Abadi" w:hAnsi="Abadi"/>
                <w:sz w:val="21"/>
                <w:szCs w:val="21"/>
                <w:lang w:val="es-MX" w:eastAsia="en-US"/>
              </w:rPr>
              <w:t>Una posibilidad de promover el desplazamiento de personas con discapacidad</w:t>
            </w:r>
          </w:p>
        </w:tc>
      </w:tr>
      <w:tr w:rsidR="0094362E" w:rsidRPr="0094362E" w14:paraId="78C95FC4" w14:textId="77777777" w:rsidTr="0092607A">
        <w:trPr>
          <w:trHeight w:val="1666"/>
        </w:trPr>
        <w:tc>
          <w:tcPr>
            <w:tcW w:w="1666" w:type="pct"/>
            <w:tcBorders>
              <w:top w:val="double" w:sz="4" w:space="0" w:color="auto"/>
              <w:left w:val="double" w:sz="4" w:space="0" w:color="auto"/>
              <w:bottom w:val="double" w:sz="4" w:space="0" w:color="auto"/>
              <w:right w:val="double" w:sz="4" w:space="0" w:color="auto"/>
            </w:tcBorders>
            <w:hideMark/>
          </w:tcPr>
          <w:p w14:paraId="205B041D" w14:textId="77777777" w:rsidR="0094362E" w:rsidRPr="0094362E" w:rsidRDefault="0094362E" w:rsidP="0094362E">
            <w:pPr>
              <w:jc w:val="both"/>
              <w:rPr>
                <w:rFonts w:ascii="Abadi" w:hAnsi="Abadi"/>
                <w:sz w:val="21"/>
                <w:szCs w:val="21"/>
                <w:lang w:val="es-MX" w:eastAsia="en-US"/>
              </w:rPr>
            </w:pPr>
            <w:r w:rsidRPr="0094362E">
              <w:rPr>
                <w:rFonts w:ascii="Abadi" w:hAnsi="Abadi"/>
                <w:sz w:val="21"/>
                <w:szCs w:val="21"/>
                <w:lang w:val="es-MX" w:eastAsia="en-US"/>
              </w:rPr>
              <w:t>Licenciado José José Grimaldo Colmenero</w:t>
            </w:r>
          </w:p>
        </w:tc>
        <w:tc>
          <w:tcPr>
            <w:tcW w:w="1667" w:type="pct"/>
            <w:tcBorders>
              <w:top w:val="double" w:sz="4" w:space="0" w:color="auto"/>
              <w:left w:val="double" w:sz="4" w:space="0" w:color="auto"/>
              <w:bottom w:val="double" w:sz="4" w:space="0" w:color="auto"/>
              <w:right w:val="double" w:sz="4" w:space="0" w:color="auto"/>
            </w:tcBorders>
          </w:tcPr>
          <w:p w14:paraId="5EB99224" w14:textId="77777777" w:rsidR="0094362E" w:rsidRPr="0094362E" w:rsidRDefault="0094362E" w:rsidP="0094362E">
            <w:pPr>
              <w:jc w:val="both"/>
              <w:rPr>
                <w:rFonts w:ascii="Abadi" w:hAnsi="Abadi"/>
                <w:sz w:val="21"/>
                <w:szCs w:val="21"/>
                <w:lang w:val="es-MX" w:eastAsia="en-US"/>
              </w:rPr>
            </w:pPr>
            <w:r w:rsidRPr="0094362E">
              <w:rPr>
                <w:rFonts w:ascii="Abadi" w:hAnsi="Abadi"/>
                <w:sz w:val="21"/>
                <w:szCs w:val="21"/>
                <w:lang w:val="es-MX" w:eastAsia="en-US"/>
              </w:rPr>
              <w:t>Director General del Instituto Guanajuatense para las Personas con Discapacidad</w:t>
            </w:r>
          </w:p>
        </w:tc>
        <w:tc>
          <w:tcPr>
            <w:tcW w:w="1667" w:type="pct"/>
            <w:tcBorders>
              <w:top w:val="double" w:sz="4" w:space="0" w:color="auto"/>
              <w:left w:val="double" w:sz="4" w:space="0" w:color="auto"/>
              <w:bottom w:val="double" w:sz="4" w:space="0" w:color="auto"/>
              <w:right w:val="double" w:sz="4" w:space="0" w:color="auto"/>
            </w:tcBorders>
            <w:hideMark/>
          </w:tcPr>
          <w:p w14:paraId="10286578" w14:textId="77777777" w:rsidR="0094362E" w:rsidRPr="0094362E" w:rsidRDefault="0094362E" w:rsidP="0094362E">
            <w:pPr>
              <w:jc w:val="both"/>
              <w:rPr>
                <w:rFonts w:ascii="Abadi" w:hAnsi="Abadi"/>
                <w:sz w:val="21"/>
                <w:szCs w:val="21"/>
                <w:lang w:val="es-MX" w:eastAsia="en-US"/>
              </w:rPr>
            </w:pPr>
            <w:r w:rsidRPr="0094362E">
              <w:rPr>
                <w:rFonts w:ascii="Abadi" w:hAnsi="Abadi" w:cs="Arial"/>
                <w:sz w:val="21"/>
                <w:szCs w:val="21"/>
                <w:lang w:val="es-MX" w:eastAsia="en-US"/>
              </w:rPr>
              <w:t>Comentarios a las iniciativas materia del foro</w:t>
            </w:r>
          </w:p>
        </w:tc>
      </w:tr>
      <w:tr w:rsidR="0094362E" w:rsidRPr="0094362E" w14:paraId="5592B286" w14:textId="77777777" w:rsidTr="0092607A">
        <w:trPr>
          <w:trHeight w:val="1666"/>
        </w:trPr>
        <w:tc>
          <w:tcPr>
            <w:tcW w:w="1666" w:type="pct"/>
            <w:tcBorders>
              <w:top w:val="double" w:sz="4" w:space="0" w:color="auto"/>
              <w:left w:val="double" w:sz="4" w:space="0" w:color="auto"/>
              <w:bottom w:val="double" w:sz="4" w:space="0" w:color="auto"/>
              <w:right w:val="double" w:sz="4" w:space="0" w:color="auto"/>
            </w:tcBorders>
          </w:tcPr>
          <w:p w14:paraId="606BE4BA" w14:textId="77777777" w:rsidR="0094362E" w:rsidRPr="0094362E" w:rsidRDefault="0094362E" w:rsidP="0094362E">
            <w:pPr>
              <w:jc w:val="both"/>
              <w:rPr>
                <w:rFonts w:ascii="Abadi" w:hAnsi="Abadi"/>
                <w:sz w:val="21"/>
                <w:szCs w:val="21"/>
                <w:lang w:val="es-MX" w:eastAsia="en-US"/>
              </w:rPr>
            </w:pPr>
            <w:r w:rsidRPr="0094362E">
              <w:rPr>
                <w:rFonts w:ascii="Abadi" w:hAnsi="Abadi"/>
                <w:sz w:val="21"/>
                <w:szCs w:val="21"/>
                <w:lang w:val="es-MX" w:eastAsia="en-US"/>
              </w:rPr>
              <w:t>Licenciado Carlos Alejandro Rodríguez Pacheco</w:t>
            </w:r>
          </w:p>
          <w:p w14:paraId="26329D99" w14:textId="77777777" w:rsidR="0094362E" w:rsidRPr="0094362E" w:rsidRDefault="0094362E" w:rsidP="0094362E">
            <w:pPr>
              <w:jc w:val="both"/>
              <w:rPr>
                <w:rFonts w:ascii="Abadi" w:hAnsi="Abadi" w:cs="Arial"/>
                <w:sz w:val="21"/>
                <w:szCs w:val="21"/>
                <w:lang w:val="es-MX" w:eastAsia="en-US"/>
              </w:rPr>
            </w:pPr>
            <w:r w:rsidRPr="0094362E">
              <w:rPr>
                <w:rFonts w:ascii="Abadi" w:hAnsi="Abadi"/>
                <w:sz w:val="21"/>
                <w:szCs w:val="21"/>
                <w:lang w:val="es-MX" w:eastAsia="en-US"/>
              </w:rPr>
              <w:t>Licenciado Alejandro Domínguez López Velarde</w:t>
            </w:r>
          </w:p>
        </w:tc>
        <w:tc>
          <w:tcPr>
            <w:tcW w:w="1667" w:type="pct"/>
            <w:tcBorders>
              <w:top w:val="double" w:sz="4" w:space="0" w:color="auto"/>
              <w:left w:val="double" w:sz="4" w:space="0" w:color="auto"/>
              <w:bottom w:val="double" w:sz="4" w:space="0" w:color="auto"/>
              <w:right w:val="double" w:sz="4" w:space="0" w:color="auto"/>
            </w:tcBorders>
            <w:hideMark/>
          </w:tcPr>
          <w:p w14:paraId="7ED4AAE1" w14:textId="77777777" w:rsidR="0094362E" w:rsidRPr="0094362E" w:rsidRDefault="0094362E" w:rsidP="0094362E">
            <w:pPr>
              <w:widowControl w:val="0"/>
              <w:jc w:val="both"/>
              <w:rPr>
                <w:rFonts w:ascii="Abadi" w:eastAsiaTheme="minorHAnsi" w:hAnsi="Abadi" w:cs="Arial"/>
                <w:sz w:val="21"/>
                <w:szCs w:val="21"/>
                <w:lang w:val="es-MX" w:eastAsia="en-US"/>
              </w:rPr>
            </w:pPr>
            <w:r w:rsidRPr="0094362E">
              <w:rPr>
                <w:rFonts w:ascii="Abadi" w:eastAsiaTheme="minorHAnsi" w:hAnsi="Abadi" w:cs="Arial"/>
                <w:sz w:val="21"/>
                <w:szCs w:val="21"/>
                <w:lang w:val="es-MX" w:eastAsia="en-US"/>
              </w:rPr>
              <w:t>Coordinación General Jurídica</w:t>
            </w:r>
          </w:p>
        </w:tc>
        <w:tc>
          <w:tcPr>
            <w:tcW w:w="1667" w:type="pct"/>
            <w:tcBorders>
              <w:top w:val="double" w:sz="4" w:space="0" w:color="auto"/>
              <w:left w:val="double" w:sz="4" w:space="0" w:color="auto"/>
              <w:bottom w:val="double" w:sz="4" w:space="0" w:color="auto"/>
              <w:right w:val="double" w:sz="4" w:space="0" w:color="auto"/>
            </w:tcBorders>
            <w:hideMark/>
          </w:tcPr>
          <w:p w14:paraId="3FAC71B3" w14:textId="77777777" w:rsidR="0094362E" w:rsidRPr="0094362E" w:rsidRDefault="0094362E" w:rsidP="0094362E">
            <w:pPr>
              <w:widowControl w:val="0"/>
              <w:jc w:val="both"/>
              <w:rPr>
                <w:rFonts w:ascii="Abadi" w:eastAsiaTheme="minorHAnsi" w:hAnsi="Abadi" w:cs="Arial"/>
                <w:sz w:val="21"/>
                <w:szCs w:val="21"/>
                <w:lang w:val="es-MX" w:eastAsia="en-US"/>
              </w:rPr>
            </w:pPr>
            <w:r w:rsidRPr="0094362E">
              <w:rPr>
                <w:rFonts w:ascii="Abadi" w:eastAsiaTheme="minorHAnsi" w:hAnsi="Abadi" w:cs="Arial"/>
                <w:sz w:val="21"/>
                <w:szCs w:val="21"/>
                <w:lang w:val="es-MX" w:eastAsia="en-US"/>
              </w:rPr>
              <w:t>Comentarios a las 3 iniciativas materia del foro</w:t>
            </w:r>
          </w:p>
        </w:tc>
      </w:tr>
    </w:tbl>
    <w:p w14:paraId="77D797FE" w14:textId="77777777" w:rsidR="0094362E" w:rsidRPr="0094362E" w:rsidRDefault="0094362E" w:rsidP="0094362E">
      <w:pPr>
        <w:widowControl w:val="0"/>
        <w:spacing w:line="360" w:lineRule="auto"/>
        <w:jc w:val="both"/>
        <w:rPr>
          <w:rFonts w:ascii="Abadi" w:hAnsi="Abadi"/>
          <w:sz w:val="21"/>
          <w:szCs w:val="21"/>
          <w:lang w:val="es-MX" w:eastAsia="en-US"/>
        </w:rPr>
      </w:pPr>
    </w:p>
    <w:p w14:paraId="24EED8E5" w14:textId="77777777" w:rsidR="0094362E" w:rsidRPr="0094362E" w:rsidRDefault="0094362E" w:rsidP="0092607A">
      <w:pPr>
        <w:widowControl w:val="0"/>
        <w:ind w:firstLine="851"/>
        <w:jc w:val="both"/>
        <w:rPr>
          <w:rFonts w:ascii="Abadi" w:hAnsi="Abadi" w:cs="Arial"/>
          <w:sz w:val="21"/>
          <w:szCs w:val="21"/>
          <w:lang w:val="es-MX" w:eastAsia="en-US"/>
        </w:rPr>
      </w:pPr>
      <w:r w:rsidRPr="0094362E">
        <w:rPr>
          <w:rFonts w:ascii="Abadi" w:hAnsi="Abadi" w:cs="Arial"/>
          <w:sz w:val="21"/>
          <w:szCs w:val="21"/>
          <w:lang w:val="es-MX" w:eastAsia="en-US"/>
        </w:rPr>
        <w:t>La secretaría técnica entregó el 27 de mayo de 2022, el comparativo que concentró las observaciones formuladas a la iniciativa.</w:t>
      </w:r>
    </w:p>
    <w:p w14:paraId="7A039923" w14:textId="77777777" w:rsidR="0094362E" w:rsidRPr="0094362E" w:rsidRDefault="0094362E" w:rsidP="0092607A">
      <w:pPr>
        <w:widowControl w:val="0"/>
        <w:jc w:val="both"/>
        <w:rPr>
          <w:rFonts w:ascii="Abadi" w:hAnsi="Abadi" w:cs="Arial"/>
          <w:sz w:val="21"/>
          <w:szCs w:val="21"/>
          <w:lang w:val="es-MX" w:eastAsia="en-US"/>
        </w:rPr>
      </w:pPr>
    </w:p>
    <w:p w14:paraId="7716CCA5" w14:textId="77777777" w:rsidR="0094362E" w:rsidRPr="0094362E" w:rsidRDefault="0094362E" w:rsidP="0092607A">
      <w:pPr>
        <w:widowControl w:val="0"/>
        <w:ind w:firstLine="851"/>
        <w:jc w:val="both"/>
        <w:rPr>
          <w:rFonts w:ascii="Abadi" w:hAnsi="Abadi" w:cs="Arial"/>
          <w:sz w:val="21"/>
          <w:szCs w:val="21"/>
          <w:lang w:val="es-MX" w:eastAsia="en-US"/>
        </w:rPr>
      </w:pPr>
      <w:r w:rsidRPr="0094362E">
        <w:rPr>
          <w:rFonts w:ascii="Abadi" w:hAnsi="Abadi" w:cs="Arial"/>
          <w:sz w:val="21"/>
          <w:szCs w:val="21"/>
          <w:lang w:val="es-MX" w:eastAsia="en-US"/>
        </w:rPr>
        <w:t>El 1 de junio de 2022 se acordó por unanimidad modificar la metodología, a efecto de no continuar con las acciones acordadas en la misma, y dictaminar la iniciativa en sentido negativo.</w:t>
      </w:r>
    </w:p>
    <w:p w14:paraId="40B5DCBD" w14:textId="77777777" w:rsidR="0094362E" w:rsidRPr="0094362E" w:rsidRDefault="0094362E" w:rsidP="0092607A">
      <w:pPr>
        <w:widowControl w:val="0"/>
        <w:jc w:val="both"/>
        <w:rPr>
          <w:rFonts w:ascii="Abadi" w:hAnsi="Abadi"/>
          <w:sz w:val="21"/>
          <w:szCs w:val="21"/>
          <w:lang w:val="es-MX" w:eastAsia="en-US"/>
        </w:rPr>
      </w:pPr>
    </w:p>
    <w:p w14:paraId="1BE20FCF" w14:textId="77777777" w:rsidR="0094362E" w:rsidRPr="0094362E" w:rsidRDefault="0094362E" w:rsidP="0092607A">
      <w:pPr>
        <w:widowControl w:val="0"/>
        <w:ind w:left="851"/>
        <w:jc w:val="both"/>
        <w:rPr>
          <w:rFonts w:ascii="Abadi" w:hAnsi="Abadi"/>
          <w:b/>
          <w:sz w:val="21"/>
          <w:szCs w:val="21"/>
          <w:lang w:val="es-MX"/>
        </w:rPr>
      </w:pPr>
      <w:r w:rsidRPr="0094362E">
        <w:rPr>
          <w:rFonts w:ascii="Abadi" w:hAnsi="Abadi" w:cs="Arial"/>
          <w:b/>
          <w:sz w:val="21"/>
          <w:szCs w:val="21"/>
          <w:lang w:val="es-MX"/>
        </w:rPr>
        <w:t>Opiniones compartidas en el proceso de consulta.</w:t>
      </w:r>
    </w:p>
    <w:p w14:paraId="4A85472C" w14:textId="77777777" w:rsidR="0094362E" w:rsidRPr="0094362E" w:rsidRDefault="0094362E" w:rsidP="0092607A">
      <w:pPr>
        <w:widowControl w:val="0"/>
        <w:jc w:val="both"/>
        <w:rPr>
          <w:rFonts w:ascii="Abadi" w:hAnsi="Abadi"/>
          <w:sz w:val="21"/>
          <w:szCs w:val="21"/>
          <w:lang w:val="es-MX" w:eastAsia="en-US"/>
        </w:rPr>
      </w:pPr>
    </w:p>
    <w:p w14:paraId="76084E0E" w14:textId="1B485F43" w:rsidR="0094362E" w:rsidRDefault="0094362E" w:rsidP="0092607A">
      <w:pPr>
        <w:widowControl w:val="0"/>
        <w:ind w:firstLine="851"/>
        <w:jc w:val="both"/>
        <w:rPr>
          <w:rFonts w:ascii="Abadi" w:hAnsi="Abadi"/>
          <w:sz w:val="21"/>
          <w:szCs w:val="21"/>
          <w:lang w:val="es-MX" w:eastAsia="en-US"/>
        </w:rPr>
      </w:pPr>
      <w:r w:rsidRPr="0094362E">
        <w:rPr>
          <w:rFonts w:ascii="Abadi" w:hAnsi="Abadi"/>
          <w:sz w:val="21"/>
          <w:szCs w:val="21"/>
          <w:lang w:val="es-MX" w:eastAsia="en-US"/>
        </w:rPr>
        <w:t>A continuación, transcribimos la parte relativa a las propuestas y comentarios que se recibieron en el proceso de consulta, mismas que valoramos al dictaminar la iniciativa que nos ocupa.</w:t>
      </w:r>
    </w:p>
    <w:p w14:paraId="427B5665" w14:textId="77777777" w:rsidR="0092607A" w:rsidRPr="0094362E" w:rsidRDefault="0092607A" w:rsidP="0092607A">
      <w:pPr>
        <w:widowControl w:val="0"/>
        <w:ind w:firstLine="851"/>
        <w:jc w:val="both"/>
        <w:rPr>
          <w:rFonts w:ascii="Abadi" w:hAnsi="Abadi"/>
          <w:sz w:val="21"/>
          <w:szCs w:val="21"/>
          <w:lang w:val="es-MX" w:eastAsia="en-US"/>
        </w:rPr>
      </w:pPr>
    </w:p>
    <w:p w14:paraId="37A75E94" w14:textId="77777777" w:rsidR="0094362E" w:rsidRPr="0094362E" w:rsidRDefault="0094362E" w:rsidP="0094362E">
      <w:pPr>
        <w:widowControl w:val="0"/>
        <w:spacing w:line="360" w:lineRule="auto"/>
        <w:ind w:firstLine="851"/>
        <w:jc w:val="both"/>
        <w:rPr>
          <w:rFonts w:ascii="Abadi" w:hAnsi="Abadi" w:cs="Arial"/>
          <w:iCs/>
          <w:sz w:val="21"/>
          <w:szCs w:val="21"/>
          <w:lang w:val="es-MX" w:eastAsia="en-US"/>
        </w:rPr>
      </w:pPr>
      <w:r w:rsidRPr="0094362E">
        <w:rPr>
          <w:rFonts w:ascii="Abadi" w:hAnsi="Abadi" w:cs="Arial"/>
          <w:iCs/>
          <w:sz w:val="21"/>
          <w:szCs w:val="21"/>
          <w:lang w:val="es-MX" w:eastAsia="en-US"/>
        </w:rPr>
        <w:t>El Ayuntamiento de Celaya expresó que:</w:t>
      </w:r>
    </w:p>
    <w:p w14:paraId="1054525C"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El planteamiento de la Ley que se presenta se considera técnicamente muy escueta, y de sopesar se regule esta materia, se sugiere insertar un capítulo en la Ley de Inclusión para las personas con Discapacidad en el Estado de Guanajuato.</w:t>
      </w:r>
    </w:p>
    <w:p w14:paraId="0DE85AD5" w14:textId="77777777" w:rsidR="0094362E" w:rsidRPr="0094362E" w:rsidRDefault="0094362E" w:rsidP="0094362E">
      <w:pPr>
        <w:widowControl w:val="0"/>
        <w:spacing w:line="360" w:lineRule="auto"/>
        <w:jc w:val="both"/>
        <w:rPr>
          <w:rFonts w:ascii="Abadi" w:hAnsi="Abadi" w:cs="Arial"/>
          <w:iCs/>
          <w:sz w:val="21"/>
          <w:szCs w:val="21"/>
          <w:lang w:val="es-MX" w:eastAsia="en-US"/>
        </w:rPr>
      </w:pPr>
    </w:p>
    <w:p w14:paraId="25F154D4" w14:textId="77777777" w:rsidR="0094362E" w:rsidRPr="0094362E" w:rsidRDefault="0094362E" w:rsidP="0094362E">
      <w:pPr>
        <w:widowControl w:val="0"/>
        <w:spacing w:line="360" w:lineRule="auto"/>
        <w:ind w:firstLine="851"/>
        <w:jc w:val="both"/>
        <w:rPr>
          <w:rFonts w:ascii="Abadi" w:hAnsi="Abadi"/>
          <w:sz w:val="21"/>
          <w:szCs w:val="21"/>
          <w:lang w:val="es-MX" w:eastAsia="en-US"/>
        </w:rPr>
      </w:pPr>
      <w:r w:rsidRPr="0094362E">
        <w:rPr>
          <w:rFonts w:ascii="Abadi" w:hAnsi="Abadi"/>
          <w:sz w:val="21"/>
          <w:szCs w:val="21"/>
          <w:lang w:val="es-MX" w:eastAsia="en-US"/>
        </w:rPr>
        <w:t>El Ayuntamiento de Cortazar, destacó que:</w:t>
      </w:r>
    </w:p>
    <w:p w14:paraId="36500C61" w14:textId="77777777" w:rsidR="0094362E" w:rsidRPr="0094362E" w:rsidRDefault="0094362E" w:rsidP="0094362E">
      <w:pPr>
        <w:widowControl w:val="0"/>
        <w:spacing w:line="360" w:lineRule="auto"/>
        <w:jc w:val="both"/>
        <w:rPr>
          <w:rFonts w:ascii="Abadi" w:hAnsi="Abadi" w:cs="Arial"/>
          <w:iCs/>
          <w:sz w:val="21"/>
          <w:szCs w:val="21"/>
          <w:lang w:val="es-MX" w:eastAsia="en-US"/>
        </w:rPr>
      </w:pPr>
    </w:p>
    <w:p w14:paraId="37F7A407" w14:textId="77777777" w:rsidR="0094362E" w:rsidRPr="0094362E" w:rsidRDefault="0094362E" w:rsidP="0094362E">
      <w:pPr>
        <w:widowControl w:val="0"/>
        <w:ind w:left="851" w:right="851"/>
        <w:jc w:val="center"/>
        <w:rPr>
          <w:rFonts w:ascii="Abadi" w:hAnsi="Abadi" w:cs="Arial"/>
          <w:b/>
          <w:bCs/>
          <w:i/>
          <w:sz w:val="21"/>
          <w:szCs w:val="21"/>
          <w:lang w:val="es-MX" w:eastAsia="en-US"/>
        </w:rPr>
      </w:pPr>
      <w:r w:rsidRPr="0094362E">
        <w:rPr>
          <w:rFonts w:ascii="Abadi" w:hAnsi="Abadi" w:cs="Arial"/>
          <w:b/>
          <w:bCs/>
          <w:i/>
          <w:sz w:val="21"/>
          <w:szCs w:val="21"/>
          <w:lang w:val="es-MX" w:eastAsia="en-US"/>
        </w:rPr>
        <w:t>CONSIDERACIONES</w:t>
      </w:r>
    </w:p>
    <w:p w14:paraId="325C82A0" w14:textId="77777777" w:rsidR="0094362E" w:rsidRPr="0094362E" w:rsidRDefault="0094362E" w:rsidP="0094362E">
      <w:pPr>
        <w:widowControl w:val="0"/>
        <w:ind w:left="851" w:right="851"/>
        <w:jc w:val="both"/>
        <w:rPr>
          <w:rFonts w:ascii="Abadi" w:hAnsi="Abadi" w:cs="Arial"/>
          <w:i/>
          <w:sz w:val="21"/>
          <w:szCs w:val="21"/>
          <w:lang w:val="es-MX" w:eastAsia="en-US"/>
        </w:rPr>
      </w:pPr>
    </w:p>
    <w:p w14:paraId="220C050D"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b/>
          <w:i/>
          <w:sz w:val="21"/>
          <w:szCs w:val="21"/>
          <w:lang w:val="es-MX" w:eastAsia="en-US"/>
        </w:rPr>
        <w:t>PRIMERA.</w:t>
      </w:r>
      <w:r w:rsidRPr="0094362E">
        <w:rPr>
          <w:rFonts w:ascii="Abadi" w:hAnsi="Abadi" w:cs="Arial"/>
          <w:i/>
          <w:sz w:val="21"/>
          <w:szCs w:val="21"/>
          <w:lang w:val="es-MX" w:eastAsia="en-US"/>
        </w:rPr>
        <w:t xml:space="preserve"> Nos parece apropiado y necesario el garantizar y reconocer los derechos humanos de quienes necesitan de estos perros, garantizando su libre acceso a los espacios públicos y privados, cuidando que se implementen con sus respectivas responsabilidades para el correcto goce y seguridad de toda la población.</w:t>
      </w:r>
    </w:p>
    <w:p w14:paraId="422A7DCB" w14:textId="77777777" w:rsidR="0094362E" w:rsidRPr="0094362E" w:rsidRDefault="0094362E" w:rsidP="0094362E">
      <w:pPr>
        <w:widowControl w:val="0"/>
        <w:ind w:left="851" w:right="851"/>
        <w:jc w:val="both"/>
        <w:rPr>
          <w:rFonts w:ascii="Abadi" w:hAnsi="Abadi" w:cs="Arial"/>
          <w:i/>
          <w:sz w:val="21"/>
          <w:szCs w:val="21"/>
          <w:lang w:val="es-MX" w:eastAsia="en-US"/>
        </w:rPr>
      </w:pPr>
    </w:p>
    <w:p w14:paraId="7328A5D1"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Para ejercer los derechos establecidos en el Capítulo I, el usuario deberá contar con una credencial o distintivo expedidos por la autoridad competente para lo cual se deberá:</w:t>
      </w:r>
    </w:p>
    <w:p w14:paraId="796E314B" w14:textId="77777777" w:rsidR="0094362E" w:rsidRPr="0094362E" w:rsidRDefault="0094362E" w:rsidP="0094362E">
      <w:pPr>
        <w:widowControl w:val="0"/>
        <w:ind w:left="851" w:right="851"/>
        <w:jc w:val="both"/>
        <w:rPr>
          <w:rFonts w:ascii="Abadi" w:hAnsi="Abadi" w:cs="Arial"/>
          <w:i/>
          <w:sz w:val="21"/>
          <w:szCs w:val="21"/>
          <w:lang w:val="es-MX" w:eastAsia="en-US"/>
        </w:rPr>
      </w:pPr>
    </w:p>
    <w:p w14:paraId="1365F985" w14:textId="77777777" w:rsidR="0094362E" w:rsidRPr="0094362E" w:rsidRDefault="0094362E" w:rsidP="0094362E">
      <w:pPr>
        <w:widowControl w:val="0"/>
        <w:ind w:left="851" w:right="851"/>
        <w:jc w:val="both"/>
        <w:rPr>
          <w:rFonts w:ascii="Abadi" w:hAnsi="Abadi" w:cs="Arial"/>
          <w:i/>
          <w:sz w:val="21"/>
          <w:szCs w:val="21"/>
          <w:lang w:val="es-MX" w:eastAsia="en-US"/>
        </w:rPr>
      </w:pPr>
    </w:p>
    <w:p w14:paraId="4A220CC0" w14:textId="77777777" w:rsidR="0094362E" w:rsidRPr="0094362E" w:rsidRDefault="0094362E" w:rsidP="0094362E">
      <w:pPr>
        <w:widowControl w:val="0"/>
        <w:ind w:left="851" w:right="851"/>
        <w:jc w:val="both"/>
        <w:rPr>
          <w:rFonts w:ascii="Abadi" w:hAnsi="Abadi" w:cs="Arial"/>
          <w:i/>
          <w:sz w:val="21"/>
          <w:szCs w:val="21"/>
          <w:lang w:val="es-MX" w:eastAsia="en-US"/>
        </w:rPr>
      </w:pPr>
    </w:p>
    <w:p w14:paraId="17500CC0"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b/>
          <w:i/>
          <w:sz w:val="21"/>
          <w:szCs w:val="21"/>
          <w:lang w:val="es-MX" w:eastAsia="en-US"/>
        </w:rPr>
        <w:t>a)</w:t>
      </w:r>
      <w:r w:rsidRPr="0094362E">
        <w:rPr>
          <w:rFonts w:ascii="Abadi" w:hAnsi="Abadi" w:cs="Arial"/>
          <w:i/>
          <w:sz w:val="21"/>
          <w:szCs w:val="21"/>
          <w:lang w:val="es-MX" w:eastAsia="en-US"/>
        </w:rPr>
        <w:t xml:space="preserve"> Acreditar el cumplimiento de la identificación del usuario del perro de asistencia al que se refiere el artículo 2º fracción VIII, artículo 3 fracciones I, II y III.</w:t>
      </w:r>
    </w:p>
    <w:p w14:paraId="7505E3E9" w14:textId="77777777" w:rsidR="0094362E" w:rsidRPr="0094362E" w:rsidRDefault="0094362E" w:rsidP="0094362E">
      <w:pPr>
        <w:widowControl w:val="0"/>
        <w:ind w:left="851" w:right="851"/>
        <w:jc w:val="both"/>
        <w:rPr>
          <w:rFonts w:ascii="Abadi" w:hAnsi="Abadi" w:cs="Arial"/>
          <w:i/>
          <w:sz w:val="21"/>
          <w:szCs w:val="21"/>
          <w:lang w:val="es-MX" w:eastAsia="en-US"/>
        </w:rPr>
      </w:pPr>
    </w:p>
    <w:p w14:paraId="7E054A64" w14:textId="77777777" w:rsidR="0094362E" w:rsidRPr="0094362E" w:rsidRDefault="0094362E" w:rsidP="0094362E">
      <w:pPr>
        <w:widowControl w:val="0"/>
        <w:ind w:left="1134" w:right="851"/>
        <w:jc w:val="both"/>
        <w:rPr>
          <w:rFonts w:ascii="Abadi" w:hAnsi="Abadi" w:cs="Arial"/>
          <w:i/>
          <w:sz w:val="21"/>
          <w:szCs w:val="21"/>
          <w:lang w:val="es-MX" w:eastAsia="en-US"/>
        </w:rPr>
      </w:pPr>
      <w:r w:rsidRPr="0094362E">
        <w:rPr>
          <w:rFonts w:ascii="Abadi" w:hAnsi="Abadi" w:cs="Arial"/>
          <w:i/>
          <w:sz w:val="21"/>
          <w:szCs w:val="21"/>
          <w:lang w:val="es-MX" w:eastAsia="en-US"/>
        </w:rPr>
        <w:t>* Se considera perro guía o de asistencia a aquel que, tras superar un proceso de selección, finalice satisfactoriamente su adiestramiento, para el acompañamiento, conducción, auxilio y alerta de las personas con discapacidad y obtenga la identificación que así lo acredite. Dicha identificación puede ser extendida por una institución oficialmente reconocida y debe contemplar la validación que ampare ser un animal correctamente adiestrado para desempeñar sus funciones de manera que represente seguridad para el dueño y para las personas que se encuentran alrededor, incluso ver la posibilidad de considerar un seguro en caso de representarse algún incidente con el animal.</w:t>
      </w:r>
    </w:p>
    <w:p w14:paraId="2C03DC22" w14:textId="77777777" w:rsidR="0094362E" w:rsidRPr="0094362E" w:rsidRDefault="0094362E" w:rsidP="0094362E">
      <w:pPr>
        <w:widowControl w:val="0"/>
        <w:ind w:left="851" w:right="851"/>
        <w:jc w:val="both"/>
        <w:rPr>
          <w:rFonts w:ascii="Abadi" w:hAnsi="Abadi" w:cs="Arial"/>
          <w:i/>
          <w:sz w:val="21"/>
          <w:szCs w:val="21"/>
          <w:lang w:val="es-MX" w:eastAsia="en-US"/>
        </w:rPr>
      </w:pPr>
    </w:p>
    <w:p w14:paraId="2B20DD4B" w14:textId="77777777" w:rsidR="0094362E" w:rsidRPr="0094362E" w:rsidRDefault="0094362E" w:rsidP="0094362E">
      <w:pPr>
        <w:widowControl w:val="0"/>
        <w:ind w:left="1134" w:right="851"/>
        <w:jc w:val="both"/>
        <w:rPr>
          <w:rFonts w:ascii="Abadi" w:hAnsi="Abadi" w:cs="Arial"/>
          <w:i/>
          <w:sz w:val="21"/>
          <w:szCs w:val="21"/>
          <w:lang w:val="es-MX" w:eastAsia="en-US"/>
        </w:rPr>
      </w:pPr>
      <w:r w:rsidRPr="0094362E">
        <w:rPr>
          <w:rFonts w:ascii="Abadi" w:hAnsi="Abadi" w:cs="Arial"/>
          <w:i/>
          <w:sz w:val="21"/>
          <w:szCs w:val="21"/>
          <w:lang w:val="es-MX" w:eastAsia="en-US"/>
        </w:rPr>
        <w:t>* Cada perro guía o de asistencia médica debe ser identificado, mediante la colocación en lugar y forma visible de un distintivo, carnet o certificado correspondiente. Dicha identificación deberá solicitarse en el momento a la persona titular por la autoridad competente o por el responsable del lugar o servicio que esté utilizando, así mismo consideramos que debe haber una autoridad competente encargada del refrendo de dicho certificado y especificar que dependencia en cada Municipio se debe hacer responsable de dicho refrendo.</w:t>
      </w:r>
    </w:p>
    <w:p w14:paraId="26D65107" w14:textId="77777777" w:rsidR="0094362E" w:rsidRPr="0094362E" w:rsidRDefault="0094362E" w:rsidP="0094362E">
      <w:pPr>
        <w:widowControl w:val="0"/>
        <w:ind w:left="851" w:right="851"/>
        <w:jc w:val="both"/>
        <w:rPr>
          <w:rFonts w:ascii="Abadi" w:hAnsi="Abadi" w:cs="Arial"/>
          <w:i/>
          <w:sz w:val="21"/>
          <w:szCs w:val="21"/>
          <w:lang w:val="es-MX" w:eastAsia="en-US"/>
        </w:rPr>
      </w:pPr>
    </w:p>
    <w:p w14:paraId="06EF37AA"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b/>
          <w:bCs/>
          <w:i/>
          <w:sz w:val="21"/>
          <w:szCs w:val="21"/>
          <w:lang w:val="es-MX" w:eastAsia="en-US"/>
        </w:rPr>
        <w:t>b)</w:t>
      </w:r>
      <w:r w:rsidRPr="0094362E">
        <w:rPr>
          <w:rFonts w:ascii="Abadi" w:hAnsi="Abadi" w:cs="Arial"/>
          <w:i/>
          <w:sz w:val="21"/>
          <w:szCs w:val="21"/>
          <w:lang w:val="es-MX" w:eastAsia="en-US"/>
        </w:rPr>
        <w:t xml:space="preserve"> Acreditar el cumplimiento de las condiciones higiénicos-sanitarias de los Perros Guía o de Asistencia a que se refiere el artículo 4º, fracción I y II.</w:t>
      </w:r>
    </w:p>
    <w:p w14:paraId="22371820" w14:textId="77777777" w:rsidR="0094362E" w:rsidRPr="0094362E" w:rsidRDefault="0094362E" w:rsidP="0094362E">
      <w:pPr>
        <w:widowControl w:val="0"/>
        <w:ind w:left="851" w:right="851"/>
        <w:jc w:val="both"/>
        <w:rPr>
          <w:rFonts w:ascii="Abadi" w:hAnsi="Abadi" w:cs="Arial"/>
          <w:i/>
          <w:sz w:val="21"/>
          <w:szCs w:val="21"/>
          <w:lang w:val="es-MX" w:eastAsia="en-US"/>
        </w:rPr>
      </w:pPr>
    </w:p>
    <w:p w14:paraId="36A55346" w14:textId="77777777" w:rsidR="0094362E" w:rsidRPr="0094362E" w:rsidRDefault="0094362E" w:rsidP="0094362E">
      <w:pPr>
        <w:widowControl w:val="0"/>
        <w:ind w:left="1134" w:right="851"/>
        <w:jc w:val="both"/>
        <w:rPr>
          <w:rFonts w:ascii="Abadi" w:hAnsi="Abadi" w:cs="Arial"/>
          <w:i/>
          <w:sz w:val="21"/>
          <w:szCs w:val="21"/>
          <w:lang w:val="es-MX" w:eastAsia="en-US"/>
        </w:rPr>
      </w:pPr>
      <w:r w:rsidRPr="0094362E">
        <w:rPr>
          <w:rFonts w:ascii="Abadi" w:hAnsi="Abadi" w:cs="Arial"/>
          <w:i/>
          <w:sz w:val="21"/>
          <w:szCs w:val="21"/>
          <w:lang w:val="es-MX" w:eastAsia="en-US"/>
        </w:rPr>
        <w:t>* Los perros guía o de asistencia deben cumplir con las condiciones higiénicas y sanitarias previstas para los animales domésticos en general, pero de manera particular para su función de perro guía o de asistencia, es por eso que no deben padecer enfermedades contagiosas para las personas y deben cumplir con su esquema de vacunación.</w:t>
      </w:r>
    </w:p>
    <w:p w14:paraId="7F78817D" w14:textId="77777777" w:rsidR="0094362E" w:rsidRPr="0094362E" w:rsidRDefault="0094362E" w:rsidP="0094362E">
      <w:pPr>
        <w:widowControl w:val="0"/>
        <w:ind w:left="851" w:right="851"/>
        <w:jc w:val="both"/>
        <w:rPr>
          <w:rFonts w:ascii="Abadi" w:hAnsi="Abadi" w:cs="Arial"/>
          <w:i/>
          <w:sz w:val="21"/>
          <w:szCs w:val="21"/>
          <w:lang w:val="es-MX" w:eastAsia="en-US"/>
        </w:rPr>
      </w:pPr>
    </w:p>
    <w:p w14:paraId="4D0C892D"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b/>
          <w:bCs/>
          <w:i/>
          <w:sz w:val="21"/>
          <w:szCs w:val="21"/>
          <w:lang w:val="es-MX" w:eastAsia="en-US"/>
        </w:rPr>
        <w:t>c)</w:t>
      </w:r>
      <w:r w:rsidRPr="0094362E">
        <w:rPr>
          <w:rFonts w:ascii="Abadi" w:hAnsi="Abadi" w:cs="Arial"/>
          <w:i/>
          <w:sz w:val="21"/>
          <w:szCs w:val="21"/>
          <w:lang w:val="es-MX" w:eastAsia="en-US"/>
        </w:rPr>
        <w:t xml:space="preserve"> Los usuarios del perro guía deberán mantener la limpieza e higiene en cuanto a la disposición de heces fecales y orina en los lugares de uso público que establece el artículo 6, fracción I, II, III IV, V, VI y VII.</w:t>
      </w:r>
    </w:p>
    <w:p w14:paraId="74F76B6C" w14:textId="77777777" w:rsidR="0094362E" w:rsidRPr="0094362E" w:rsidRDefault="0094362E" w:rsidP="0094362E">
      <w:pPr>
        <w:widowControl w:val="0"/>
        <w:ind w:left="851" w:right="851"/>
        <w:jc w:val="both"/>
        <w:rPr>
          <w:rFonts w:ascii="Abadi" w:hAnsi="Abadi" w:cs="Arial"/>
          <w:i/>
          <w:sz w:val="21"/>
          <w:szCs w:val="21"/>
          <w:lang w:val="es-MX" w:eastAsia="en-US"/>
        </w:rPr>
      </w:pPr>
    </w:p>
    <w:p w14:paraId="52E0F389" w14:textId="77777777" w:rsidR="0094362E" w:rsidRPr="0094362E" w:rsidRDefault="0094362E" w:rsidP="0094362E">
      <w:pPr>
        <w:widowControl w:val="0"/>
        <w:ind w:left="1134" w:right="851"/>
        <w:jc w:val="both"/>
        <w:rPr>
          <w:rFonts w:ascii="Abadi" w:hAnsi="Abadi" w:cs="Arial"/>
          <w:i/>
          <w:sz w:val="21"/>
          <w:szCs w:val="21"/>
          <w:lang w:val="es-MX" w:eastAsia="en-US"/>
        </w:rPr>
      </w:pPr>
      <w:r w:rsidRPr="0094362E">
        <w:rPr>
          <w:rFonts w:ascii="Abadi" w:hAnsi="Abadi" w:cs="Arial"/>
          <w:i/>
          <w:sz w:val="21"/>
          <w:szCs w:val="21"/>
          <w:lang w:val="es-MX" w:eastAsia="en-US"/>
        </w:rPr>
        <w:t>* Estimamos que se trata de un proyecto muy amplio donde se debe considerar una señalética adecuada y específica para personas discapacitadas o débiles visuales de</w:t>
      </w:r>
    </w:p>
    <w:p w14:paraId="1AEBBECA" w14:textId="77777777" w:rsidR="0094362E" w:rsidRPr="0094362E" w:rsidRDefault="0094362E" w:rsidP="0094362E">
      <w:pPr>
        <w:widowControl w:val="0"/>
        <w:spacing w:line="360" w:lineRule="auto"/>
        <w:jc w:val="both"/>
        <w:rPr>
          <w:rFonts w:ascii="Abadi" w:hAnsi="Abadi" w:cs="Arial"/>
          <w:iCs/>
          <w:sz w:val="21"/>
          <w:szCs w:val="21"/>
          <w:lang w:val="es-MX" w:eastAsia="en-US"/>
        </w:rPr>
      </w:pPr>
    </w:p>
    <w:p w14:paraId="61031410" w14:textId="77777777" w:rsidR="0094362E" w:rsidRPr="0094362E" w:rsidRDefault="0094362E" w:rsidP="00E43860">
      <w:pPr>
        <w:widowControl w:val="0"/>
        <w:ind w:firstLine="851"/>
        <w:jc w:val="both"/>
        <w:rPr>
          <w:rFonts w:ascii="Abadi" w:hAnsi="Abadi" w:cs="Arial"/>
          <w:iCs/>
          <w:sz w:val="21"/>
          <w:szCs w:val="21"/>
          <w:lang w:val="es-MX" w:eastAsia="en-US"/>
        </w:rPr>
      </w:pPr>
      <w:r w:rsidRPr="0094362E">
        <w:rPr>
          <w:rFonts w:ascii="Abadi" w:hAnsi="Abadi" w:cs="Arial"/>
          <w:iCs/>
          <w:sz w:val="21"/>
          <w:szCs w:val="21"/>
          <w:lang w:val="es-MX" w:eastAsia="en-US"/>
        </w:rPr>
        <w:t>De la opinión del director de lo Contencioso y encargado del Despacho de la Dirección General de Asuntos Jurídicos de Irapuato, destacamos lo siguiente:</w:t>
      </w:r>
    </w:p>
    <w:p w14:paraId="4E258AFE" w14:textId="77777777" w:rsidR="0094362E" w:rsidRPr="0094362E" w:rsidRDefault="0094362E" w:rsidP="0094362E">
      <w:pPr>
        <w:widowControl w:val="0"/>
        <w:spacing w:line="360" w:lineRule="auto"/>
        <w:jc w:val="both"/>
        <w:rPr>
          <w:rFonts w:ascii="Abadi" w:hAnsi="Abadi" w:cs="Arial"/>
          <w:iCs/>
          <w:sz w:val="21"/>
          <w:szCs w:val="21"/>
          <w:lang w:val="es-MX" w:eastAsia="en-US"/>
        </w:rPr>
      </w:pPr>
    </w:p>
    <w:p w14:paraId="115222AB"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 xml:space="preserve">De lo anterior, se advierte que el objeto que se señala en el citado artículo precisa el </w:t>
      </w:r>
      <w:r w:rsidRPr="0094362E">
        <w:rPr>
          <w:rFonts w:ascii="Abadi" w:hAnsi="Abadi" w:cs="Arial"/>
          <w:b/>
          <w:bCs/>
          <w:i/>
          <w:sz w:val="21"/>
          <w:szCs w:val="21"/>
          <w:lang w:val="es-MX" w:eastAsia="en-US"/>
        </w:rPr>
        <w:t>garantizar</w:t>
      </w:r>
      <w:r w:rsidRPr="0094362E">
        <w:rPr>
          <w:rFonts w:ascii="Abadi" w:hAnsi="Abadi" w:cs="Arial"/>
          <w:i/>
          <w:sz w:val="21"/>
          <w:szCs w:val="21"/>
          <w:lang w:val="es-MX" w:eastAsia="en-US"/>
        </w:rPr>
        <w:t xml:space="preserve"> que las personas usuarias de perros guía o de asistencia médica tengan libre acceso a diversos lugares, sin embargo se pone a consideración el incluir en el objeto de la referida Ley los conceptos de </w:t>
      </w:r>
      <w:r w:rsidRPr="0094362E">
        <w:rPr>
          <w:rFonts w:ascii="Abadi" w:hAnsi="Abadi" w:cs="Arial"/>
          <w:b/>
          <w:bCs/>
          <w:i/>
          <w:sz w:val="21"/>
          <w:szCs w:val="21"/>
          <w:lang w:val="es-MX" w:eastAsia="en-US"/>
        </w:rPr>
        <w:t>reconocer y regular</w:t>
      </w:r>
      <w:r w:rsidRPr="0094362E">
        <w:rPr>
          <w:rFonts w:ascii="Abadi" w:hAnsi="Abadi" w:cs="Arial"/>
          <w:i/>
          <w:sz w:val="21"/>
          <w:szCs w:val="21"/>
          <w:lang w:val="es-MX" w:eastAsia="en-US"/>
        </w:rPr>
        <w:t xml:space="preserve"> el derecho de accesibilidad de las personas usuarias de perros guías, y de igual forma podrían incluirse a los animales de servicio.</w:t>
      </w:r>
    </w:p>
    <w:p w14:paraId="1708BF48" w14:textId="77777777" w:rsidR="0094362E" w:rsidRPr="0094362E" w:rsidRDefault="0094362E" w:rsidP="0094362E">
      <w:pPr>
        <w:widowControl w:val="0"/>
        <w:ind w:left="851" w:right="851"/>
        <w:jc w:val="both"/>
        <w:rPr>
          <w:rFonts w:ascii="Abadi" w:hAnsi="Abadi" w:cs="Arial"/>
          <w:i/>
          <w:sz w:val="21"/>
          <w:szCs w:val="21"/>
          <w:lang w:val="es-MX" w:eastAsia="en-US"/>
        </w:rPr>
      </w:pPr>
    </w:p>
    <w:p w14:paraId="459EF9BC"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b/>
          <w:bCs/>
          <w:i/>
          <w:sz w:val="21"/>
          <w:szCs w:val="21"/>
          <w:lang w:val="es-MX" w:eastAsia="en-US"/>
        </w:rPr>
        <w:t>SEGUNDO.-</w:t>
      </w:r>
      <w:r w:rsidRPr="0094362E">
        <w:rPr>
          <w:rFonts w:ascii="Abadi" w:hAnsi="Abadi" w:cs="Arial"/>
          <w:i/>
          <w:sz w:val="21"/>
          <w:szCs w:val="21"/>
          <w:lang w:val="es-MX" w:eastAsia="en-US"/>
        </w:rPr>
        <w:t xml:space="preserve"> Se advierte que en el contenido del documento no se prevén autoridades responsables sus facultades y obligaciones, situación relevante a fin de establecer la autoridad responsable en la emisión de identificaciones de personas usuarias de perros guías o de asistencia médica, de certificaciones de reconocimiento y calificación de discapacidad, de emitir la acreditación de perros guías que hubieren sido formados para tal fin en los centros de adiestramiento, o aquellas que conocerán de las quejas, o impondrán sanciones, entre otras.</w:t>
      </w:r>
    </w:p>
    <w:p w14:paraId="7EDF6D32" w14:textId="77777777" w:rsidR="0094362E" w:rsidRPr="0094362E" w:rsidRDefault="0094362E" w:rsidP="0094362E">
      <w:pPr>
        <w:widowControl w:val="0"/>
        <w:ind w:left="851" w:right="851"/>
        <w:jc w:val="both"/>
        <w:rPr>
          <w:rFonts w:ascii="Abadi" w:hAnsi="Abadi" w:cs="Arial"/>
          <w:i/>
          <w:sz w:val="21"/>
          <w:szCs w:val="21"/>
          <w:lang w:val="es-MX" w:eastAsia="en-US"/>
        </w:rPr>
      </w:pPr>
    </w:p>
    <w:p w14:paraId="5C6D1771"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w:t>
      </w:r>
    </w:p>
    <w:p w14:paraId="602922B0" w14:textId="77777777" w:rsidR="0094362E" w:rsidRPr="0094362E" w:rsidRDefault="0094362E" w:rsidP="0094362E">
      <w:pPr>
        <w:widowControl w:val="0"/>
        <w:ind w:left="851" w:right="851"/>
        <w:jc w:val="both"/>
        <w:rPr>
          <w:rFonts w:ascii="Abadi" w:hAnsi="Abadi" w:cs="Arial"/>
          <w:i/>
          <w:sz w:val="21"/>
          <w:szCs w:val="21"/>
          <w:lang w:val="es-MX" w:eastAsia="en-US"/>
        </w:rPr>
      </w:pPr>
    </w:p>
    <w:p w14:paraId="2524B592"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Derivado de lo anterior, se advierte que no se señala la autoridad que emitirá el reconocimiento de la condición de perro de asistencia, así mismo en los requisitos que se mencionan en la citada fracción I no se precisa el documento con el cual se acredita el adiestramiento, y de igual forma lo señalado en la fracción III no corresponde a un requisito, sería una acción de la autoridad competente o del responsable del servicio.</w:t>
      </w:r>
    </w:p>
    <w:p w14:paraId="0C5670A4" w14:textId="77777777" w:rsidR="0094362E" w:rsidRPr="0094362E" w:rsidRDefault="0094362E" w:rsidP="0094362E">
      <w:pPr>
        <w:widowControl w:val="0"/>
        <w:ind w:left="851" w:right="851"/>
        <w:jc w:val="both"/>
        <w:rPr>
          <w:rFonts w:ascii="Abadi" w:hAnsi="Abadi" w:cs="Arial"/>
          <w:i/>
          <w:sz w:val="21"/>
          <w:szCs w:val="21"/>
          <w:lang w:val="es-MX" w:eastAsia="en-US"/>
        </w:rPr>
      </w:pPr>
    </w:p>
    <w:p w14:paraId="6B2C0BCF"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b/>
          <w:bCs/>
          <w:i/>
          <w:sz w:val="21"/>
          <w:szCs w:val="21"/>
          <w:lang w:val="es-MX" w:eastAsia="en-US"/>
        </w:rPr>
        <w:t>CUARTO.-</w:t>
      </w:r>
      <w:r w:rsidRPr="0094362E">
        <w:rPr>
          <w:rFonts w:ascii="Abadi" w:hAnsi="Abadi" w:cs="Arial"/>
          <w:i/>
          <w:sz w:val="21"/>
          <w:szCs w:val="21"/>
          <w:lang w:val="es-MX" w:eastAsia="en-US"/>
        </w:rPr>
        <w:t xml:space="preserve"> En el mismo orden de ideas en el contenido del documento se señalan diversos tipos de perros como lo son perro guía y perro de asistencia médica; por lo que se sugiere precisar en el documento los diversos tipos de perro o animales de servicio en su caso que serán incluidos en esta Ley y la definición de los mismos, como pudieran ser: Perros guía, perros señalo de alerta; perros de servicio; perros de aviso o alerta medica; perros para personas con trastornos del espectro autista; perros de rehabilitación o terapia entre otros.</w:t>
      </w:r>
    </w:p>
    <w:p w14:paraId="13CDE1F0" w14:textId="77777777" w:rsidR="0094362E" w:rsidRPr="0094362E" w:rsidRDefault="0094362E" w:rsidP="0094362E">
      <w:pPr>
        <w:widowControl w:val="0"/>
        <w:ind w:left="851" w:right="851"/>
        <w:jc w:val="both"/>
        <w:rPr>
          <w:rFonts w:ascii="Abadi" w:hAnsi="Abadi" w:cs="Arial"/>
          <w:i/>
          <w:sz w:val="21"/>
          <w:szCs w:val="21"/>
          <w:lang w:val="es-MX" w:eastAsia="en-US"/>
        </w:rPr>
      </w:pPr>
    </w:p>
    <w:p w14:paraId="5C6170A7"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w:t>
      </w:r>
    </w:p>
    <w:p w14:paraId="212BA6EA" w14:textId="77777777" w:rsidR="0094362E" w:rsidRPr="0094362E" w:rsidRDefault="0094362E" w:rsidP="0094362E">
      <w:pPr>
        <w:widowControl w:val="0"/>
        <w:ind w:left="851" w:right="851"/>
        <w:jc w:val="both"/>
        <w:rPr>
          <w:rFonts w:ascii="Abadi" w:hAnsi="Abadi" w:cs="Arial"/>
          <w:i/>
          <w:sz w:val="21"/>
          <w:szCs w:val="21"/>
          <w:lang w:val="es-MX" w:eastAsia="en-US"/>
        </w:rPr>
      </w:pPr>
    </w:p>
    <w:p w14:paraId="22AF163B"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De lo anterior, no se precisa la autoridad responsable para la revisión sanitaria del perro de asistencia cada dos años, así mismo no se advierte en el contenido del documento algún señalamiento de registro, de revisiones o inspecciones a perros de asistencia.</w:t>
      </w:r>
    </w:p>
    <w:p w14:paraId="31F4AA41" w14:textId="77777777" w:rsidR="0094362E" w:rsidRPr="0094362E" w:rsidRDefault="0094362E" w:rsidP="0094362E">
      <w:pPr>
        <w:widowControl w:val="0"/>
        <w:ind w:left="851" w:right="851"/>
        <w:jc w:val="both"/>
        <w:rPr>
          <w:rFonts w:ascii="Abadi" w:hAnsi="Abadi" w:cs="Arial"/>
          <w:i/>
          <w:sz w:val="21"/>
          <w:szCs w:val="21"/>
          <w:lang w:val="es-MX" w:eastAsia="en-US"/>
        </w:rPr>
      </w:pPr>
    </w:p>
    <w:p w14:paraId="12344AC5"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b/>
          <w:i/>
          <w:sz w:val="21"/>
          <w:szCs w:val="21"/>
          <w:lang w:val="es-MX" w:eastAsia="en-US"/>
        </w:rPr>
        <w:t>SEXTO.-</w:t>
      </w:r>
      <w:r w:rsidRPr="0094362E">
        <w:rPr>
          <w:rFonts w:ascii="Abadi" w:hAnsi="Abadi" w:cs="Arial"/>
          <w:i/>
          <w:sz w:val="21"/>
          <w:szCs w:val="21"/>
          <w:lang w:val="es-MX" w:eastAsia="en-US"/>
        </w:rPr>
        <w:t xml:space="preserve"> Del contenido del documento, se advierte que no se prevé algún procedimiento de interposición de quejas al incumplimiento de las disposiciones previstas en la referida Ley, en la cual se precise la substanciación y resolución de las mismas.</w:t>
      </w:r>
    </w:p>
    <w:p w14:paraId="7B252228" w14:textId="77777777" w:rsidR="0094362E" w:rsidRPr="0094362E" w:rsidRDefault="0094362E" w:rsidP="0094362E">
      <w:pPr>
        <w:widowControl w:val="0"/>
        <w:ind w:left="851" w:right="851"/>
        <w:jc w:val="both"/>
        <w:rPr>
          <w:rFonts w:ascii="Abadi" w:hAnsi="Abadi" w:cs="Arial"/>
          <w:i/>
          <w:sz w:val="21"/>
          <w:szCs w:val="21"/>
          <w:lang w:val="es-MX" w:eastAsia="en-US"/>
        </w:rPr>
      </w:pPr>
    </w:p>
    <w:p w14:paraId="5A9C5A61"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De igual forma, se omite en el documento, señalar las sanciones y el procedimiento para imposición de las mismas, así como los medios de impugnación.</w:t>
      </w:r>
    </w:p>
    <w:p w14:paraId="3B443333" w14:textId="77777777" w:rsidR="0094362E" w:rsidRPr="0094362E" w:rsidRDefault="0094362E" w:rsidP="0094362E">
      <w:pPr>
        <w:widowControl w:val="0"/>
        <w:spacing w:line="360" w:lineRule="auto"/>
        <w:jc w:val="both"/>
        <w:rPr>
          <w:rFonts w:ascii="Abadi" w:hAnsi="Abadi" w:cs="Arial"/>
          <w:iCs/>
          <w:sz w:val="21"/>
          <w:szCs w:val="21"/>
          <w:lang w:val="es-MX" w:eastAsia="en-US"/>
        </w:rPr>
      </w:pPr>
    </w:p>
    <w:p w14:paraId="426CFDF3" w14:textId="77777777" w:rsidR="0094362E" w:rsidRPr="0094362E" w:rsidRDefault="0094362E" w:rsidP="0094362E">
      <w:pPr>
        <w:widowControl w:val="0"/>
        <w:spacing w:line="360" w:lineRule="auto"/>
        <w:ind w:firstLine="851"/>
        <w:jc w:val="both"/>
        <w:rPr>
          <w:rFonts w:ascii="Abadi" w:hAnsi="Abadi" w:cs="Arial"/>
          <w:iCs/>
          <w:sz w:val="21"/>
          <w:szCs w:val="21"/>
          <w:lang w:val="es-MX" w:eastAsia="en-US"/>
        </w:rPr>
      </w:pPr>
      <w:r w:rsidRPr="0094362E">
        <w:rPr>
          <w:rFonts w:ascii="Abadi" w:hAnsi="Abadi" w:cs="Arial"/>
          <w:iCs/>
          <w:sz w:val="21"/>
          <w:szCs w:val="21"/>
          <w:lang w:val="es-MX" w:eastAsia="en-US"/>
        </w:rPr>
        <w:t>De las observaciones y aportaciones técnico-jurídicas remitidas por el Ayuntamiento de León, se destaca que:</w:t>
      </w:r>
    </w:p>
    <w:p w14:paraId="6A57259F" w14:textId="77777777" w:rsidR="0094362E" w:rsidRPr="0094362E" w:rsidRDefault="0094362E" w:rsidP="0094362E">
      <w:pPr>
        <w:widowControl w:val="0"/>
        <w:spacing w:line="360" w:lineRule="auto"/>
        <w:jc w:val="both"/>
        <w:rPr>
          <w:rFonts w:ascii="Abadi" w:hAnsi="Abadi" w:cs="Arial"/>
          <w:iCs/>
          <w:sz w:val="21"/>
          <w:szCs w:val="21"/>
          <w:lang w:val="es-MX" w:eastAsia="en-US"/>
        </w:rPr>
      </w:pPr>
    </w:p>
    <w:p w14:paraId="2C4B3681"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 xml:space="preserve">Este Ayuntamiento considera que se debe garantizar el pleno acceso a una vida sin discriminación por condiciones físicas especiales, procurando que no sea un obstáculo para realizar el libre desarrollo de la personalidad de cada individuo, sin embargo, </w:t>
      </w:r>
      <w:r w:rsidRPr="0094362E">
        <w:rPr>
          <w:rFonts w:ascii="Abadi" w:hAnsi="Abadi" w:cs="Arial"/>
          <w:b/>
          <w:bCs/>
          <w:i/>
          <w:sz w:val="21"/>
          <w:szCs w:val="21"/>
          <w:lang w:val="es-MX" w:eastAsia="en-US"/>
        </w:rPr>
        <w:t>no se coincide con los términos de la propuesta presentada por la iniciante.</w:t>
      </w:r>
    </w:p>
    <w:p w14:paraId="5C76C25C" w14:textId="77777777" w:rsidR="0094362E" w:rsidRPr="0094362E" w:rsidRDefault="0094362E" w:rsidP="0094362E">
      <w:pPr>
        <w:widowControl w:val="0"/>
        <w:ind w:left="851" w:right="851"/>
        <w:jc w:val="both"/>
        <w:rPr>
          <w:rFonts w:ascii="Abadi" w:hAnsi="Abadi" w:cs="Arial"/>
          <w:i/>
          <w:sz w:val="21"/>
          <w:szCs w:val="21"/>
          <w:lang w:val="es-MX" w:eastAsia="en-US"/>
        </w:rPr>
      </w:pPr>
    </w:p>
    <w:p w14:paraId="530B38E9"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Por lo anterior, se realizan las siguientes observaciones en lo particular:</w:t>
      </w:r>
    </w:p>
    <w:p w14:paraId="7093154A" w14:textId="77777777" w:rsidR="0094362E" w:rsidRPr="0094362E" w:rsidRDefault="0094362E" w:rsidP="0094362E">
      <w:pPr>
        <w:widowControl w:val="0"/>
        <w:ind w:left="851" w:right="851"/>
        <w:jc w:val="both"/>
        <w:rPr>
          <w:rFonts w:ascii="Abadi" w:hAnsi="Abadi" w:cs="Arial"/>
          <w:i/>
          <w:sz w:val="21"/>
          <w:szCs w:val="21"/>
          <w:lang w:val="es-MX" w:eastAsia="en-US"/>
        </w:rPr>
      </w:pPr>
    </w:p>
    <w:p w14:paraId="55A49F22"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b/>
          <w:bCs/>
          <w:i/>
          <w:sz w:val="21"/>
          <w:szCs w:val="21"/>
          <w:lang w:val="es-MX" w:eastAsia="en-US"/>
        </w:rPr>
        <w:t>• Existencia de una iniciativa a nivel federal:</w:t>
      </w:r>
      <w:r w:rsidRPr="0094362E">
        <w:rPr>
          <w:rFonts w:ascii="Abadi" w:hAnsi="Abadi" w:cs="Arial"/>
          <w:i/>
          <w:sz w:val="21"/>
          <w:szCs w:val="21"/>
          <w:lang w:val="es-MX" w:eastAsia="en-US"/>
        </w:rPr>
        <w:t xml:space="preserve"> Es fundamental iniciar indicando que en abril de 2018 la Cámara de Diputados del Congreso de la Unión, aprobó el dictamen de la Ley de los Derechos de las Personas Usuarias de Perros Guías y Animales de Servicio, con la finalidad de reconocer y regular el derecho de accesibilidad de las personas usuarias de perros guía o animales de servicio para permanecer con ellos en todos los espacios donde se desenvuelvan. Este dictamen se turnó al Senado de la República para su análisis y futura ratificación, no obstante, </w:t>
      </w:r>
      <w:r w:rsidRPr="0094362E">
        <w:rPr>
          <w:rFonts w:ascii="Abadi" w:hAnsi="Abadi" w:cs="Arial"/>
          <w:i/>
          <w:sz w:val="21"/>
          <w:szCs w:val="21"/>
          <w:u w:val="single"/>
          <w:lang w:val="es-MX" w:eastAsia="en-US"/>
        </w:rPr>
        <w:t>hasta la fecha no ha sido discutido ni dictaminado</w:t>
      </w:r>
      <w:r w:rsidRPr="0094362E">
        <w:rPr>
          <w:rFonts w:ascii="Abadi" w:hAnsi="Abadi" w:cs="Arial"/>
          <w:i/>
          <w:sz w:val="21"/>
          <w:szCs w:val="21"/>
          <w:lang w:val="es-MX" w:eastAsia="en-US"/>
        </w:rPr>
        <w:t>.</w:t>
      </w:r>
    </w:p>
    <w:p w14:paraId="2779C0E2" w14:textId="77777777" w:rsidR="0094362E" w:rsidRPr="0094362E" w:rsidRDefault="0094362E" w:rsidP="0094362E">
      <w:pPr>
        <w:widowControl w:val="0"/>
        <w:ind w:left="851" w:right="851"/>
        <w:jc w:val="both"/>
        <w:rPr>
          <w:rFonts w:ascii="Abadi" w:hAnsi="Abadi" w:cs="Arial"/>
          <w:i/>
          <w:sz w:val="21"/>
          <w:szCs w:val="21"/>
          <w:lang w:val="es-MX" w:eastAsia="en-US"/>
        </w:rPr>
      </w:pPr>
    </w:p>
    <w:p w14:paraId="04E9564D"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b/>
          <w:bCs/>
          <w:i/>
          <w:sz w:val="21"/>
          <w:szCs w:val="21"/>
          <w:lang w:val="es-MX" w:eastAsia="en-US"/>
        </w:rPr>
        <w:t>• Reformas a normatividad especializada:</w:t>
      </w:r>
      <w:r w:rsidRPr="0094362E">
        <w:rPr>
          <w:rFonts w:ascii="Abadi" w:hAnsi="Abadi" w:cs="Arial"/>
          <w:i/>
          <w:sz w:val="21"/>
          <w:szCs w:val="21"/>
          <w:lang w:val="es-MX" w:eastAsia="en-US"/>
        </w:rPr>
        <w:t xml:space="preserve"> Considerando que la propuesta es una armonización local de la Ley General propuesta en 2018, la observación integral por parte de este Ayuntamiento, sería que, con la finalidad de alcanzar los objetivos planteados, se efectuara un análisis y revisión de la iniciativa de reformas y adiciones para Ley de Protección a los Animales del Distrito Federal de 2015, en Ciudad de México, la cual fue suscrita por el entonces Jefe de Gobierno Miguel Ángel Mancera Espinosa, misma que tenía como objetivo dotar de las herramientas y mecanismos necesarios a las personas con discapacidad para que pudieran ejercer plenamente sus derechos y autonomía.</w:t>
      </w:r>
    </w:p>
    <w:p w14:paraId="06A0844B" w14:textId="77777777" w:rsidR="0094362E" w:rsidRPr="0094362E" w:rsidRDefault="0094362E" w:rsidP="0094362E">
      <w:pPr>
        <w:widowControl w:val="0"/>
        <w:ind w:left="851" w:right="851"/>
        <w:jc w:val="both"/>
        <w:rPr>
          <w:rFonts w:ascii="Abadi" w:hAnsi="Abadi" w:cs="Arial"/>
          <w:i/>
          <w:sz w:val="21"/>
          <w:szCs w:val="21"/>
          <w:lang w:val="es-MX" w:eastAsia="en-US"/>
        </w:rPr>
      </w:pPr>
    </w:p>
    <w:p w14:paraId="56FFED30"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 xml:space="preserve">Aunque la iniciativa descrita en el párrafo anterior proponía la inclusión de grupos sensibles y desprotegidos de la sociedad, además de dotar a los Perros de Asistencia de un marco jurídico de protección y bienestar, es importante resaltar que </w:t>
      </w:r>
      <w:r w:rsidRPr="0094362E">
        <w:rPr>
          <w:rFonts w:ascii="Abadi" w:hAnsi="Abadi" w:cs="Arial"/>
          <w:i/>
          <w:sz w:val="21"/>
          <w:szCs w:val="21"/>
          <w:u w:val="single"/>
          <w:lang w:val="es-MX" w:eastAsia="en-US"/>
        </w:rPr>
        <w:t>estas reformas no fueron discutidas ni ratificadas por la Asamblea Legislativa del Distrito Federal</w:t>
      </w:r>
      <w:r w:rsidRPr="0094362E">
        <w:rPr>
          <w:rFonts w:ascii="Abadi" w:hAnsi="Abadi" w:cs="Arial"/>
          <w:i/>
          <w:sz w:val="21"/>
          <w:szCs w:val="21"/>
          <w:lang w:val="es-MX" w:eastAsia="en-US"/>
        </w:rPr>
        <w:t>.</w:t>
      </w:r>
    </w:p>
    <w:p w14:paraId="333B3044" w14:textId="77777777" w:rsidR="0094362E" w:rsidRPr="0094362E" w:rsidRDefault="0094362E" w:rsidP="0094362E">
      <w:pPr>
        <w:widowControl w:val="0"/>
        <w:ind w:left="851" w:right="851"/>
        <w:jc w:val="both"/>
        <w:rPr>
          <w:rFonts w:ascii="Abadi" w:hAnsi="Abadi" w:cs="Arial"/>
          <w:i/>
          <w:sz w:val="21"/>
          <w:szCs w:val="21"/>
          <w:lang w:val="es-MX" w:eastAsia="en-US"/>
        </w:rPr>
      </w:pPr>
    </w:p>
    <w:p w14:paraId="00B774C7"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b/>
          <w:bCs/>
          <w:i/>
          <w:sz w:val="21"/>
          <w:szCs w:val="21"/>
          <w:lang w:val="es-MX" w:eastAsia="en-US"/>
        </w:rPr>
        <w:t>• Armonización de conceptos con normatividad vigente:</w:t>
      </w:r>
      <w:r w:rsidRPr="0094362E">
        <w:rPr>
          <w:rFonts w:ascii="Abadi" w:hAnsi="Abadi" w:cs="Arial"/>
          <w:i/>
          <w:sz w:val="21"/>
          <w:szCs w:val="21"/>
          <w:lang w:val="es-MX" w:eastAsia="en-US"/>
        </w:rPr>
        <w:t xml:space="preserve"> A fin de armonizar la iniciativa con la normatividad vigente, se considera oportuna la unificación el concepto de "perro guía o animal de servicio", tal y como lo contempla la Ley General para la Inclusión de las Personas con Discapacidad, así como la NOM-008-SEGOB-2015 Personas con discapacidad.- Acciones de prevención y condiciones de seguridad en materia de protección civil en situación de emergencia o desastre: Son aquellos que han sido certificados para el acompañamiento, conducción y auxilio de personas con discapacidad.</w:t>
      </w:r>
    </w:p>
    <w:p w14:paraId="1907A221" w14:textId="77777777" w:rsidR="0094362E" w:rsidRPr="0094362E" w:rsidRDefault="0094362E" w:rsidP="0094362E">
      <w:pPr>
        <w:widowControl w:val="0"/>
        <w:ind w:left="851" w:right="851"/>
        <w:jc w:val="both"/>
        <w:rPr>
          <w:rFonts w:ascii="Abadi" w:hAnsi="Abadi" w:cs="Arial"/>
          <w:i/>
          <w:sz w:val="21"/>
          <w:szCs w:val="21"/>
          <w:lang w:val="es-MX" w:eastAsia="en-US"/>
        </w:rPr>
      </w:pPr>
    </w:p>
    <w:p w14:paraId="54E3896E"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b/>
          <w:bCs/>
          <w:i/>
          <w:sz w:val="21"/>
          <w:szCs w:val="21"/>
          <w:lang w:val="es-MX" w:eastAsia="en-US"/>
        </w:rPr>
        <w:t>• Impacto presupuestario:</w:t>
      </w:r>
      <w:r w:rsidRPr="0094362E">
        <w:rPr>
          <w:rFonts w:ascii="Abadi" w:hAnsi="Abadi" w:cs="Arial"/>
          <w:i/>
          <w:sz w:val="21"/>
          <w:szCs w:val="21"/>
          <w:lang w:val="es-MX" w:eastAsia="en-US"/>
        </w:rPr>
        <w:t xml:space="preserve"> La iniciante refiere que su propuesta no generará un impacto presupuestario para el erario del Estado de Guanajuato ni sus municipios, sin embargo se estima que la implementación de este nuevo servicio deberá generar al menos una unidad administrativa con estructura orgánica capacitada para la aplicación, seguimiento y certificación para asistencia médica y cuidado de perros guía, es decir, la iniciante deberá tomar en cuenta el estudio presupuestario para pago de nómina, además del gasto corriente generado solo por operatividad de la unidad especializada en este rubro.</w:t>
      </w:r>
    </w:p>
    <w:p w14:paraId="381C2434" w14:textId="77777777" w:rsidR="0094362E" w:rsidRPr="0094362E" w:rsidRDefault="0094362E" w:rsidP="0094362E">
      <w:pPr>
        <w:widowControl w:val="0"/>
        <w:ind w:left="851" w:right="851"/>
        <w:jc w:val="both"/>
        <w:rPr>
          <w:rFonts w:ascii="Abadi" w:hAnsi="Abadi" w:cs="Arial"/>
          <w:i/>
          <w:sz w:val="21"/>
          <w:szCs w:val="21"/>
          <w:lang w:val="es-MX" w:eastAsia="en-US"/>
        </w:rPr>
      </w:pPr>
    </w:p>
    <w:p w14:paraId="2AA5BBF4"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b/>
          <w:bCs/>
          <w:i/>
          <w:sz w:val="21"/>
          <w:szCs w:val="21"/>
          <w:lang w:val="es-MX" w:eastAsia="en-US"/>
        </w:rPr>
        <w:t>• Centros de adiestramiento certificados:</w:t>
      </w:r>
      <w:r w:rsidRPr="0094362E">
        <w:rPr>
          <w:rFonts w:ascii="Abadi" w:hAnsi="Abadi" w:cs="Arial"/>
          <w:i/>
          <w:sz w:val="21"/>
          <w:szCs w:val="21"/>
          <w:lang w:val="es-MX" w:eastAsia="en-US"/>
        </w:rPr>
        <w:t xml:space="preserve"> Sería un hecho afirmar que el Estado de Guanajuato no cuenta con centros de adiestramiento certificados en perros guía o de asistencia médica, lo cual perjudica a los ciudadanos para la obtención de algún comprobante, ya que tendrían que realizarlo en otra parte de nuestra entidad. El otro factor negativo sería que el costo de adquisición de uno de estos animales de asistencia, pues el impacto económico afectaría directamente a la persona que lo necesita para hacer su vida de forma digna, esto sin tomar en cuenta el costo del alimento especial, cuidado veterinario, aseo y retiro digno para los canes.</w:t>
      </w:r>
    </w:p>
    <w:p w14:paraId="33284A0C" w14:textId="77777777" w:rsidR="0094362E" w:rsidRPr="0094362E" w:rsidRDefault="0094362E" w:rsidP="0094362E">
      <w:pPr>
        <w:widowControl w:val="0"/>
        <w:ind w:left="851" w:right="851"/>
        <w:jc w:val="both"/>
        <w:rPr>
          <w:rFonts w:ascii="Abadi" w:hAnsi="Abadi" w:cs="Arial"/>
          <w:i/>
          <w:sz w:val="21"/>
          <w:szCs w:val="21"/>
          <w:lang w:val="es-MX" w:eastAsia="en-US"/>
        </w:rPr>
      </w:pPr>
    </w:p>
    <w:p w14:paraId="2BAD7000"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Por todo lo anterior, en concordancia con los objetivos de apoyo a las personas con cualquier tipo de discapacidad que este Ayuntamiento procura, se sugiere que los supuestos jurídicos que presenta la iniciativa se estructuren como reformas a la Ley para la Protección Animal en el Estado de Guanajuato, así como a la Ley de Inclusión para las personas con Discapacidad en el Estado de Guanajuato, previendo de esta forma una agilización por parte del poder legislativo estatal, concatenado con el apoyo de la sociedad en general a favor de la concientización y visibilidad de este tipo de necesidades especiales.</w:t>
      </w:r>
    </w:p>
    <w:p w14:paraId="37AE67F9" w14:textId="77777777" w:rsidR="0094362E" w:rsidRPr="0094362E" w:rsidRDefault="0094362E" w:rsidP="0094362E">
      <w:pPr>
        <w:widowControl w:val="0"/>
        <w:spacing w:line="360" w:lineRule="auto"/>
        <w:jc w:val="both"/>
        <w:rPr>
          <w:rFonts w:ascii="Abadi" w:hAnsi="Abadi" w:cs="Arial"/>
          <w:iCs/>
          <w:sz w:val="21"/>
          <w:szCs w:val="21"/>
          <w:lang w:val="es-MX" w:eastAsia="en-US"/>
        </w:rPr>
      </w:pPr>
    </w:p>
    <w:p w14:paraId="38D7893C" w14:textId="77777777" w:rsidR="0094362E" w:rsidRPr="0094362E" w:rsidRDefault="0094362E" w:rsidP="0094362E">
      <w:pPr>
        <w:widowControl w:val="0"/>
        <w:spacing w:line="360" w:lineRule="auto"/>
        <w:ind w:firstLine="851"/>
        <w:jc w:val="both"/>
        <w:rPr>
          <w:rFonts w:ascii="Abadi" w:hAnsi="Abadi" w:cs="Arial"/>
          <w:iCs/>
          <w:sz w:val="21"/>
          <w:szCs w:val="21"/>
          <w:lang w:val="es-MX" w:eastAsia="en-US"/>
        </w:rPr>
      </w:pPr>
      <w:r w:rsidRPr="0094362E">
        <w:rPr>
          <w:rFonts w:ascii="Abadi" w:hAnsi="Abadi" w:cs="Arial"/>
          <w:iCs/>
          <w:sz w:val="21"/>
          <w:szCs w:val="21"/>
          <w:lang w:val="es-MX" w:eastAsia="en-US"/>
        </w:rPr>
        <w:t>El Ayuntamiento de Silao de la Victoria, compartió lo siguiente.</w:t>
      </w:r>
    </w:p>
    <w:p w14:paraId="3FB88B1A" w14:textId="77777777" w:rsidR="0094362E" w:rsidRPr="0094362E" w:rsidRDefault="0094362E" w:rsidP="0094362E">
      <w:pPr>
        <w:widowControl w:val="0"/>
        <w:spacing w:line="360" w:lineRule="auto"/>
        <w:ind w:firstLine="851"/>
        <w:jc w:val="both"/>
        <w:rPr>
          <w:rFonts w:ascii="Abadi" w:hAnsi="Abadi" w:cs="Arial"/>
          <w:iCs/>
          <w:sz w:val="21"/>
          <w:szCs w:val="21"/>
          <w:lang w:val="es-MX" w:eastAsia="en-US"/>
        </w:rPr>
      </w:pPr>
    </w:p>
    <w:p w14:paraId="25BD4927"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b/>
          <w:bCs/>
          <w:i/>
          <w:sz w:val="21"/>
          <w:szCs w:val="21"/>
          <w:lang w:val="es-MX" w:eastAsia="en-US"/>
        </w:rPr>
        <w:t>ÚNICO.</w:t>
      </w:r>
      <w:r w:rsidRPr="0094362E">
        <w:rPr>
          <w:rFonts w:ascii="Abadi" w:hAnsi="Abadi" w:cs="Arial"/>
          <w:i/>
          <w:sz w:val="21"/>
          <w:szCs w:val="21"/>
          <w:lang w:val="es-MX" w:eastAsia="en-US"/>
        </w:rPr>
        <w:t xml:space="preserve"> Coincidimos con la exposición de motivos de la presente iniciativa, en el sentido de reconocer y regular el derecho de accesibilidad de las personas usuarias de perros guía o animales de servicio para permanecer con ellos en todos los espacios en donde se desenvuelvan y con ello fortalecer la inclusión social en nuestro estado.</w:t>
      </w:r>
    </w:p>
    <w:p w14:paraId="69AC1570" w14:textId="77777777" w:rsidR="0094362E" w:rsidRPr="0094362E" w:rsidRDefault="0094362E" w:rsidP="0094362E">
      <w:pPr>
        <w:widowControl w:val="0"/>
        <w:ind w:left="851" w:right="851"/>
        <w:jc w:val="both"/>
        <w:rPr>
          <w:rFonts w:ascii="Abadi" w:hAnsi="Abadi" w:cs="Arial"/>
          <w:i/>
          <w:sz w:val="21"/>
          <w:szCs w:val="21"/>
          <w:lang w:val="es-MX" w:eastAsia="en-US"/>
        </w:rPr>
      </w:pPr>
    </w:p>
    <w:p w14:paraId="09BF5357"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Ahora bien, a manera de observación y con la finalidad de fortalecer el orden jurídico en nuestra entidad, respetuosamente solicitamos al Congreso del Estado, tome en cuenta las siguientes consideraciones a saber:</w:t>
      </w:r>
    </w:p>
    <w:p w14:paraId="0BECE86E" w14:textId="77777777" w:rsidR="0094362E" w:rsidRPr="0094362E" w:rsidRDefault="0094362E" w:rsidP="0094362E">
      <w:pPr>
        <w:widowControl w:val="0"/>
        <w:ind w:left="851" w:right="851"/>
        <w:jc w:val="both"/>
        <w:rPr>
          <w:rFonts w:ascii="Abadi" w:hAnsi="Abadi" w:cs="Arial"/>
          <w:i/>
          <w:sz w:val="21"/>
          <w:szCs w:val="21"/>
          <w:lang w:val="es-MX" w:eastAsia="en-US"/>
        </w:rPr>
      </w:pPr>
    </w:p>
    <w:p w14:paraId="1A9D83CD"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 xml:space="preserve">I. La iniciativa </w:t>
      </w:r>
      <w:r w:rsidRPr="0094362E">
        <w:rPr>
          <w:rFonts w:ascii="Abadi" w:hAnsi="Abadi" w:cs="Arial"/>
          <w:b/>
          <w:bCs/>
          <w:i/>
          <w:sz w:val="21"/>
          <w:szCs w:val="21"/>
          <w:lang w:val="es-MX" w:eastAsia="en-US"/>
        </w:rPr>
        <w:t>de Ley de los Derechos de las Personas Usuarias de Perros Guías o de Asistencia Médica para el Estado de Guanajuato</w:t>
      </w:r>
      <w:r w:rsidRPr="0094362E">
        <w:rPr>
          <w:rFonts w:ascii="Abadi" w:hAnsi="Abadi" w:cs="Arial"/>
          <w:i/>
          <w:sz w:val="21"/>
          <w:szCs w:val="21"/>
          <w:lang w:val="es-MX" w:eastAsia="en-US"/>
        </w:rPr>
        <w:t xml:space="preserve">, no contempla un capítulo de Autoridades competentes y sus atribuciones para hacer funcional la materia que se pretende regular, en consecuencia, de aprobarse la ley analizada en los términos propuesto, no habría autoridades competentes para su aplicación, lo cual evidentemente generaría </w:t>
      </w:r>
      <w:r w:rsidRPr="0094362E">
        <w:rPr>
          <w:rFonts w:ascii="Abadi" w:hAnsi="Abadi" w:cs="Arial"/>
          <w:b/>
          <w:bCs/>
          <w:i/>
          <w:sz w:val="21"/>
          <w:szCs w:val="21"/>
          <w:lang w:val="es-MX" w:eastAsia="en-US"/>
        </w:rPr>
        <w:t>incertidumbre jurídica</w:t>
      </w:r>
      <w:r w:rsidRPr="0094362E">
        <w:rPr>
          <w:rFonts w:ascii="Abadi" w:hAnsi="Abadi" w:cs="Arial"/>
          <w:i/>
          <w:sz w:val="21"/>
          <w:szCs w:val="21"/>
          <w:lang w:val="es-MX" w:eastAsia="en-US"/>
        </w:rPr>
        <w:t xml:space="preserve"> al sector social al que se pretende beneficiar;</w:t>
      </w:r>
    </w:p>
    <w:p w14:paraId="27D62006" w14:textId="77777777" w:rsidR="0094362E" w:rsidRPr="0094362E" w:rsidRDefault="0094362E" w:rsidP="0094362E">
      <w:pPr>
        <w:widowControl w:val="0"/>
        <w:ind w:left="851" w:right="851"/>
        <w:jc w:val="both"/>
        <w:rPr>
          <w:rFonts w:ascii="Abadi" w:hAnsi="Abadi" w:cs="Arial"/>
          <w:i/>
          <w:sz w:val="21"/>
          <w:szCs w:val="21"/>
          <w:lang w:val="es-MX" w:eastAsia="en-US"/>
        </w:rPr>
      </w:pPr>
    </w:p>
    <w:p w14:paraId="5C9743C5"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II. La iniciativa analizada, carece de consecuencias jurídicas por el incumpliendo de la Ley, es decir, no se contemplan infracciones administrativas, tampoco se contempla un procedimiento de queja por el incumpliendo a las obligaciones de los usuarios o de las personas físicas o morales que impidan el cumplimiento del objeto de la Ley; y</w:t>
      </w:r>
    </w:p>
    <w:p w14:paraId="320FC23F" w14:textId="77777777" w:rsidR="0094362E" w:rsidRPr="0094362E" w:rsidRDefault="0094362E" w:rsidP="0094362E">
      <w:pPr>
        <w:widowControl w:val="0"/>
        <w:ind w:left="851" w:right="851"/>
        <w:jc w:val="both"/>
        <w:rPr>
          <w:rFonts w:ascii="Abadi" w:hAnsi="Abadi" w:cs="Arial"/>
          <w:i/>
          <w:sz w:val="21"/>
          <w:szCs w:val="21"/>
          <w:lang w:val="es-MX" w:eastAsia="en-US"/>
        </w:rPr>
      </w:pPr>
    </w:p>
    <w:p w14:paraId="219BB106"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III. Finalmente, en la actualidad nuestro estado cuenta con la Ley de Inclusión para Personas con Discapacidad en el Estado de Guanajuato, misma que en lo medular y en relación a la iniciativa analizada, garantiza las acciones que aseguren el acceso de las personas con discapacidad, en igualdad de condiciones con las demás, al entorno físico, el transporte, la información, la tecnología, las comunicaciones, y a los servicios públicos e instalaciones de acceso al público, además de generar mecanismo de colaboración con el sector social y privado para garantizarla accesibilidad incluyente.</w:t>
      </w:r>
    </w:p>
    <w:p w14:paraId="6CE2E741" w14:textId="77777777" w:rsidR="0094362E" w:rsidRPr="0094362E" w:rsidRDefault="0094362E" w:rsidP="0094362E">
      <w:pPr>
        <w:widowControl w:val="0"/>
        <w:ind w:left="851" w:right="851"/>
        <w:jc w:val="both"/>
        <w:rPr>
          <w:rFonts w:ascii="Abadi" w:hAnsi="Abadi" w:cs="Arial"/>
          <w:i/>
          <w:sz w:val="21"/>
          <w:szCs w:val="21"/>
          <w:lang w:val="es-MX" w:eastAsia="en-US"/>
        </w:rPr>
      </w:pPr>
    </w:p>
    <w:p w14:paraId="57CE8BAB"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A manera de conclusión, este órgano edilicio, consideramos que, de una interpretación sistemática y funcional de los preceptos contenidos en la Ley de Movilidad Estatal y la Ley de Inclusión para Personas con Discapacidad en el Estado de Guanajuato, garantizan la movilidad incluyente sin Discriminación de las personas con alguna discapacidad de las cuales debe considerarse a aquellas que requieren la asistencia de perros guía, en tal sentido resulta innecesaria la iniciativa analizada.</w:t>
      </w:r>
    </w:p>
    <w:p w14:paraId="51AF3E3E" w14:textId="77777777" w:rsidR="0094362E" w:rsidRPr="0094362E" w:rsidRDefault="0094362E" w:rsidP="0094362E">
      <w:pPr>
        <w:widowControl w:val="0"/>
        <w:spacing w:line="360" w:lineRule="auto"/>
        <w:jc w:val="both"/>
        <w:rPr>
          <w:rFonts w:ascii="Abadi" w:hAnsi="Abadi"/>
          <w:sz w:val="21"/>
          <w:szCs w:val="21"/>
          <w:lang w:val="es-MX" w:eastAsia="en-US"/>
        </w:rPr>
      </w:pPr>
    </w:p>
    <w:p w14:paraId="4AF3C496" w14:textId="77777777" w:rsidR="0094362E" w:rsidRPr="0094362E" w:rsidRDefault="0094362E" w:rsidP="007B6F55">
      <w:pPr>
        <w:widowControl w:val="0"/>
        <w:ind w:firstLine="851"/>
        <w:jc w:val="both"/>
        <w:rPr>
          <w:rFonts w:ascii="Abadi" w:hAnsi="Abadi"/>
          <w:sz w:val="21"/>
          <w:szCs w:val="21"/>
          <w:lang w:val="es-MX" w:eastAsia="en-US"/>
        </w:rPr>
      </w:pPr>
      <w:r w:rsidRPr="0094362E">
        <w:rPr>
          <w:rFonts w:ascii="Abadi" w:hAnsi="Abadi"/>
          <w:sz w:val="21"/>
          <w:szCs w:val="21"/>
          <w:lang w:val="es-MX" w:eastAsia="en-US"/>
        </w:rPr>
        <w:t>La Procuraduría de los Derechos Humanos del Estado de Guanajuato en respuesta a la consulta, señaló que:</w:t>
      </w:r>
    </w:p>
    <w:p w14:paraId="04C99632" w14:textId="77777777" w:rsidR="0094362E" w:rsidRPr="0094362E" w:rsidRDefault="0094362E" w:rsidP="0094362E">
      <w:pPr>
        <w:widowControl w:val="0"/>
        <w:spacing w:line="360" w:lineRule="auto"/>
        <w:jc w:val="both"/>
        <w:rPr>
          <w:rFonts w:ascii="Abadi" w:hAnsi="Abadi"/>
          <w:sz w:val="21"/>
          <w:szCs w:val="21"/>
          <w:lang w:val="es-MX" w:eastAsia="en-US"/>
        </w:rPr>
      </w:pPr>
    </w:p>
    <w:p w14:paraId="4493BEA0" w14:textId="77777777" w:rsidR="0094362E" w:rsidRPr="0094362E" w:rsidRDefault="0094362E" w:rsidP="0094362E">
      <w:pPr>
        <w:widowControl w:val="0"/>
        <w:ind w:left="851" w:right="851"/>
        <w:jc w:val="both"/>
        <w:rPr>
          <w:rFonts w:ascii="Abadi" w:hAnsi="Abadi" w:cs="Arial"/>
          <w:b/>
          <w:bCs/>
          <w:i/>
          <w:sz w:val="21"/>
          <w:szCs w:val="21"/>
          <w:lang w:val="es-MX" w:eastAsia="en-US"/>
        </w:rPr>
      </w:pPr>
      <w:r w:rsidRPr="0094362E">
        <w:rPr>
          <w:rFonts w:ascii="Abadi" w:hAnsi="Abadi" w:cs="Arial"/>
          <w:b/>
          <w:bCs/>
          <w:i/>
          <w:sz w:val="21"/>
          <w:szCs w:val="21"/>
          <w:lang w:val="es-MX" w:eastAsia="en-US"/>
        </w:rPr>
        <w:t>a) Objetivo de la iniciativa:</w:t>
      </w:r>
    </w:p>
    <w:p w14:paraId="7304DE62"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Expedir la creación de la Ley de Derechos de Personas Usuarias de Perros Guía o de Asistencia Médica para el Estado de Guanajuato, con el objeto de garantizar a las personas usuarias de estos el libre acceso a los lugares que sean de carácter público o privado, reconociendo su derecho de acceder, deambular y permanecer con él en cualquier lugar del Estado de Guanajuato, en condiciones de igualdad con el resto de la sociedad.</w:t>
      </w:r>
    </w:p>
    <w:p w14:paraId="1CD442C6" w14:textId="77777777" w:rsidR="0094362E" w:rsidRPr="0094362E" w:rsidRDefault="0094362E" w:rsidP="0094362E">
      <w:pPr>
        <w:widowControl w:val="0"/>
        <w:ind w:left="851" w:right="851"/>
        <w:jc w:val="both"/>
        <w:rPr>
          <w:rFonts w:ascii="Abadi" w:hAnsi="Abadi" w:cs="Arial"/>
          <w:i/>
          <w:sz w:val="21"/>
          <w:szCs w:val="21"/>
          <w:lang w:val="es-MX" w:eastAsia="en-US"/>
        </w:rPr>
      </w:pPr>
    </w:p>
    <w:p w14:paraId="1612726F" w14:textId="77777777" w:rsidR="0094362E" w:rsidRPr="0094362E" w:rsidRDefault="0094362E" w:rsidP="0094362E">
      <w:pPr>
        <w:widowControl w:val="0"/>
        <w:ind w:left="851" w:right="851"/>
        <w:jc w:val="both"/>
        <w:rPr>
          <w:rFonts w:ascii="Abadi" w:hAnsi="Abadi" w:cs="Arial"/>
          <w:b/>
          <w:bCs/>
          <w:i/>
          <w:sz w:val="21"/>
          <w:szCs w:val="21"/>
          <w:lang w:val="es-MX" w:eastAsia="en-US"/>
        </w:rPr>
      </w:pPr>
      <w:r w:rsidRPr="0094362E">
        <w:rPr>
          <w:rFonts w:ascii="Abadi" w:hAnsi="Abadi" w:cs="Arial"/>
          <w:b/>
          <w:bCs/>
          <w:i/>
          <w:sz w:val="21"/>
          <w:szCs w:val="21"/>
          <w:lang w:val="es-MX" w:eastAsia="en-US"/>
        </w:rPr>
        <w:t>b) Consideraciones previas:</w:t>
      </w:r>
    </w:p>
    <w:p w14:paraId="5CBCD142"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La regulación sobre la utilización de perros guía en México se encuentra apenas en vía de desarrollo, puesto que no existe una normativa de aplicación general al respecto; sin embargo, se conoce de diversos intentos por garantizar el derecho a la autonomía de personas con discapacidad que se apoyan en estos animales de apoyo, entre los cuales encontramos los siguientes temas relacionados:</w:t>
      </w:r>
    </w:p>
    <w:p w14:paraId="52B4AF03" w14:textId="77777777" w:rsidR="0094362E" w:rsidRPr="0094362E" w:rsidRDefault="0094362E" w:rsidP="0094362E">
      <w:pPr>
        <w:widowControl w:val="0"/>
        <w:ind w:left="851" w:right="851"/>
        <w:jc w:val="both"/>
        <w:rPr>
          <w:rFonts w:ascii="Abadi" w:hAnsi="Abadi" w:cs="Arial"/>
          <w:i/>
          <w:sz w:val="21"/>
          <w:szCs w:val="21"/>
          <w:lang w:val="es-MX" w:eastAsia="en-US"/>
        </w:rPr>
      </w:pPr>
    </w:p>
    <w:p w14:paraId="78AADE5A" w14:textId="77777777" w:rsidR="0094362E" w:rsidRPr="0094362E" w:rsidRDefault="0094362E" w:rsidP="0094362E">
      <w:pPr>
        <w:widowControl w:val="0"/>
        <w:ind w:left="1134" w:right="851"/>
        <w:jc w:val="both"/>
        <w:rPr>
          <w:rFonts w:ascii="Abadi" w:hAnsi="Abadi" w:cs="Arial"/>
          <w:i/>
          <w:sz w:val="21"/>
          <w:szCs w:val="21"/>
          <w:lang w:val="es-MX" w:eastAsia="en-US"/>
        </w:rPr>
      </w:pPr>
      <w:r w:rsidRPr="0094362E">
        <w:rPr>
          <w:rFonts w:ascii="Abadi" w:hAnsi="Abadi" w:cs="Arial"/>
          <w:i/>
          <w:sz w:val="21"/>
          <w:szCs w:val="21"/>
          <w:lang w:val="es-MX" w:eastAsia="en-US"/>
        </w:rPr>
        <w:t>a) En 2008 se elaboró la Norma Oficial Mexicana NOM-148-SCFI-2008, Prácticas Comerciales-Comercialización de Animales de Compañía o de Servicio, y Prestación de Servicios para su Cuidado y Adiestramiento, misma que tenía por objetivo establecer los elementos y requisitos mínimos de información comercial; y, el contenido mínimo de los contratos de adhesión, en caso de que se utilicen, y garantías, en caso de que se ofrezcan, a que deben apegarse los proveedores dedicados a comercializar animales de compañía o de servicio, y/o a prestar servicios para su cuidado y/o adiestramiento, a fin de que los consumidores cuenten con información clara y suficiente para tomar la decisión más adecuada a sus necesidades.</w:t>
      </w:r>
    </w:p>
    <w:p w14:paraId="4E2121D9" w14:textId="77777777" w:rsidR="0094362E" w:rsidRPr="0094362E" w:rsidRDefault="0094362E" w:rsidP="0094362E">
      <w:pPr>
        <w:widowControl w:val="0"/>
        <w:ind w:left="1134" w:right="851"/>
        <w:jc w:val="both"/>
        <w:rPr>
          <w:rFonts w:ascii="Abadi" w:hAnsi="Abadi" w:cs="Arial"/>
          <w:i/>
          <w:sz w:val="21"/>
          <w:szCs w:val="21"/>
          <w:lang w:val="es-MX" w:eastAsia="en-US"/>
        </w:rPr>
      </w:pPr>
    </w:p>
    <w:p w14:paraId="681C651C" w14:textId="77777777" w:rsidR="0094362E" w:rsidRPr="0094362E" w:rsidRDefault="0094362E" w:rsidP="0094362E">
      <w:pPr>
        <w:widowControl w:val="0"/>
        <w:ind w:left="1134" w:right="851"/>
        <w:jc w:val="both"/>
        <w:rPr>
          <w:rFonts w:ascii="Abadi" w:hAnsi="Abadi" w:cs="Arial"/>
          <w:i/>
          <w:sz w:val="21"/>
          <w:szCs w:val="21"/>
          <w:lang w:val="es-MX" w:eastAsia="en-US"/>
        </w:rPr>
      </w:pPr>
      <w:r w:rsidRPr="0094362E">
        <w:rPr>
          <w:rFonts w:ascii="Abadi" w:hAnsi="Abadi" w:cs="Arial"/>
          <w:i/>
          <w:sz w:val="21"/>
          <w:szCs w:val="21"/>
          <w:lang w:val="es-MX" w:eastAsia="en-US"/>
        </w:rPr>
        <w:t>Cabe señalar que esta norma regula a los animales de compañía, pero también los animales de servicio, definidos como: aquellos que, previo adiestramiento proporcionado por el proveedor, pueden obedecer instrucciones o estar condicionados para lograr fines específicos y cuenten con los permisos o autorizaciones correspondientes para su comercialización conforme a la legislación vigente.</w:t>
      </w:r>
    </w:p>
    <w:p w14:paraId="245FD6DD" w14:textId="77777777" w:rsidR="0094362E" w:rsidRPr="0094362E" w:rsidRDefault="0094362E" w:rsidP="0094362E">
      <w:pPr>
        <w:widowControl w:val="0"/>
        <w:ind w:left="1134" w:right="851"/>
        <w:jc w:val="both"/>
        <w:rPr>
          <w:rFonts w:ascii="Abadi" w:hAnsi="Abadi" w:cs="Arial"/>
          <w:i/>
          <w:sz w:val="21"/>
          <w:szCs w:val="21"/>
          <w:lang w:val="es-MX" w:eastAsia="en-US"/>
        </w:rPr>
      </w:pPr>
    </w:p>
    <w:p w14:paraId="0BC2A126" w14:textId="77777777" w:rsidR="0094362E" w:rsidRPr="0094362E" w:rsidRDefault="0094362E" w:rsidP="0094362E">
      <w:pPr>
        <w:widowControl w:val="0"/>
        <w:ind w:left="1134" w:right="851"/>
        <w:jc w:val="both"/>
        <w:rPr>
          <w:rFonts w:ascii="Abadi" w:hAnsi="Abadi" w:cs="Arial"/>
          <w:i/>
          <w:sz w:val="21"/>
          <w:szCs w:val="21"/>
          <w:lang w:val="es-MX" w:eastAsia="en-US"/>
        </w:rPr>
      </w:pPr>
      <w:r w:rsidRPr="0094362E">
        <w:rPr>
          <w:rFonts w:ascii="Abadi" w:hAnsi="Abadi" w:cs="Arial"/>
          <w:i/>
          <w:sz w:val="21"/>
          <w:szCs w:val="21"/>
          <w:lang w:val="es-MX" w:eastAsia="en-US"/>
        </w:rPr>
        <w:t>b) El 25 de mayo de 2015, se presentó una iniciativa en la Ciudad de México que reformó la Ley de Protección a los Animales y la Ley de Establecimientos Mercantiles para regular la accesibilidad de los usuarios de perros guía o animales de asistencia.</w:t>
      </w:r>
    </w:p>
    <w:p w14:paraId="44ACDF82" w14:textId="77777777" w:rsidR="0094362E" w:rsidRPr="0094362E" w:rsidRDefault="0094362E" w:rsidP="0094362E">
      <w:pPr>
        <w:widowControl w:val="0"/>
        <w:ind w:left="1134" w:right="851"/>
        <w:jc w:val="both"/>
        <w:rPr>
          <w:rFonts w:ascii="Abadi" w:hAnsi="Abadi" w:cs="Arial"/>
          <w:i/>
          <w:sz w:val="21"/>
          <w:szCs w:val="21"/>
          <w:lang w:val="es-MX" w:eastAsia="en-US"/>
        </w:rPr>
      </w:pPr>
    </w:p>
    <w:p w14:paraId="37075A9D" w14:textId="77777777" w:rsidR="0094362E" w:rsidRPr="0094362E" w:rsidRDefault="0094362E" w:rsidP="0094362E">
      <w:pPr>
        <w:widowControl w:val="0"/>
        <w:ind w:left="1134" w:right="851"/>
        <w:jc w:val="both"/>
        <w:rPr>
          <w:rFonts w:ascii="Abadi" w:hAnsi="Abadi" w:cs="Arial"/>
          <w:i/>
          <w:sz w:val="21"/>
          <w:szCs w:val="21"/>
          <w:lang w:val="es-MX" w:eastAsia="en-US"/>
        </w:rPr>
      </w:pPr>
      <w:r w:rsidRPr="0094362E">
        <w:rPr>
          <w:rFonts w:ascii="Abadi" w:hAnsi="Abadi" w:cs="Arial"/>
          <w:i/>
          <w:sz w:val="21"/>
          <w:szCs w:val="21"/>
          <w:lang w:val="es-MX" w:eastAsia="en-US"/>
        </w:rPr>
        <w:t>c) El artículo 58 de La Ley Federal del Protección a los Derechos del Consumidor, indica que no se puede negar el servicio ni cobrar cuotas extra por el perro guía, además de que son muy nobles.</w:t>
      </w:r>
    </w:p>
    <w:p w14:paraId="302C1174" w14:textId="77777777" w:rsidR="0094362E" w:rsidRPr="0094362E" w:rsidRDefault="0094362E" w:rsidP="0094362E">
      <w:pPr>
        <w:widowControl w:val="0"/>
        <w:ind w:left="1134" w:right="851"/>
        <w:jc w:val="both"/>
        <w:rPr>
          <w:rFonts w:ascii="Abadi" w:hAnsi="Abadi" w:cs="Arial"/>
          <w:i/>
          <w:sz w:val="21"/>
          <w:szCs w:val="21"/>
          <w:lang w:val="es-MX" w:eastAsia="en-US"/>
        </w:rPr>
      </w:pPr>
    </w:p>
    <w:p w14:paraId="25A64F82" w14:textId="77777777" w:rsidR="0094362E" w:rsidRPr="0094362E" w:rsidRDefault="0094362E" w:rsidP="0094362E">
      <w:pPr>
        <w:widowControl w:val="0"/>
        <w:ind w:left="1134" w:right="851"/>
        <w:jc w:val="both"/>
        <w:rPr>
          <w:rFonts w:ascii="Abadi" w:hAnsi="Abadi" w:cs="Arial"/>
          <w:i/>
          <w:sz w:val="21"/>
          <w:szCs w:val="21"/>
          <w:lang w:val="es-MX" w:eastAsia="en-US"/>
        </w:rPr>
      </w:pPr>
      <w:r w:rsidRPr="0094362E">
        <w:rPr>
          <w:rFonts w:ascii="Abadi" w:hAnsi="Abadi" w:cs="Arial"/>
          <w:i/>
          <w:sz w:val="21"/>
          <w:szCs w:val="21"/>
          <w:lang w:val="es-MX" w:eastAsia="en-US"/>
        </w:rPr>
        <w:t>d) En 2019 se presentó en la Cámara de Diputados Federal la Iniciativa que expide la Ley para el uso de perros guía y animales de servicio, suscrita por las Diputadas del Grupo Parlamentario de Movimiento Ciudadano.</w:t>
      </w:r>
    </w:p>
    <w:p w14:paraId="7844E2D3" w14:textId="77777777" w:rsidR="0094362E" w:rsidRPr="0094362E" w:rsidRDefault="0094362E" w:rsidP="0094362E">
      <w:pPr>
        <w:widowControl w:val="0"/>
        <w:ind w:left="1134" w:right="851"/>
        <w:jc w:val="both"/>
        <w:rPr>
          <w:rFonts w:ascii="Abadi" w:hAnsi="Abadi" w:cs="Arial"/>
          <w:i/>
          <w:sz w:val="21"/>
          <w:szCs w:val="21"/>
          <w:lang w:val="es-MX" w:eastAsia="en-US"/>
        </w:rPr>
      </w:pPr>
    </w:p>
    <w:p w14:paraId="05BEA620" w14:textId="77777777" w:rsidR="0094362E" w:rsidRPr="0094362E" w:rsidRDefault="0094362E" w:rsidP="0094362E">
      <w:pPr>
        <w:widowControl w:val="0"/>
        <w:ind w:left="1134" w:right="851"/>
        <w:jc w:val="both"/>
        <w:rPr>
          <w:rFonts w:ascii="Abadi" w:hAnsi="Abadi" w:cs="Arial"/>
          <w:i/>
          <w:sz w:val="21"/>
          <w:szCs w:val="21"/>
          <w:lang w:val="es-MX" w:eastAsia="en-US"/>
        </w:rPr>
      </w:pPr>
      <w:r w:rsidRPr="0094362E">
        <w:rPr>
          <w:rFonts w:ascii="Abadi" w:hAnsi="Abadi" w:cs="Arial"/>
          <w:i/>
          <w:sz w:val="21"/>
          <w:szCs w:val="21"/>
          <w:lang w:val="es-MX" w:eastAsia="en-US"/>
        </w:rPr>
        <w:t>e) NORMA Oficial Mexicana NOM-148-SCFI-2018, Prácticas comerciales-Comercialización de animales de compañía y prestación de servicios para su cuidado, adiestramiento y entrenamiento (cancelará a la NOM-148-SCFI-2008).</w:t>
      </w:r>
    </w:p>
    <w:p w14:paraId="7DF7DBA2" w14:textId="77777777" w:rsidR="0094362E" w:rsidRPr="0094362E" w:rsidRDefault="0094362E" w:rsidP="0094362E">
      <w:pPr>
        <w:widowControl w:val="0"/>
        <w:ind w:left="851" w:right="851"/>
        <w:jc w:val="both"/>
        <w:rPr>
          <w:rFonts w:ascii="Abadi" w:hAnsi="Abadi" w:cs="Arial"/>
          <w:i/>
          <w:sz w:val="21"/>
          <w:szCs w:val="21"/>
          <w:lang w:val="es-MX" w:eastAsia="en-US"/>
        </w:rPr>
      </w:pPr>
    </w:p>
    <w:p w14:paraId="28B1D708" w14:textId="77777777" w:rsidR="0094362E" w:rsidRPr="0094362E" w:rsidRDefault="0094362E" w:rsidP="0094362E">
      <w:pPr>
        <w:widowControl w:val="0"/>
        <w:ind w:left="851" w:right="851"/>
        <w:jc w:val="both"/>
        <w:rPr>
          <w:rFonts w:ascii="Abadi" w:hAnsi="Abadi" w:cs="Arial"/>
          <w:i/>
          <w:sz w:val="21"/>
          <w:szCs w:val="21"/>
          <w:lang w:val="es-MX" w:eastAsia="en-US"/>
        </w:rPr>
      </w:pPr>
    </w:p>
    <w:p w14:paraId="49930714"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En relación al objetivo de la iniciativa se advierte que no existe una norma de referencia a nivel federal o una norma general al respecto, por lo cual se enfrenta a un reto para el logro de su objetivo en el Estado de Guanajuato, ello toda vez que, tampoco obra en la legislación de las demás entidades federativas una norma que regule exprofeso este ámbito.</w:t>
      </w:r>
    </w:p>
    <w:p w14:paraId="28835472" w14:textId="77777777" w:rsidR="0094362E" w:rsidRPr="0094362E" w:rsidRDefault="0094362E" w:rsidP="0094362E">
      <w:pPr>
        <w:widowControl w:val="0"/>
        <w:ind w:left="851" w:right="851"/>
        <w:jc w:val="both"/>
        <w:rPr>
          <w:rFonts w:ascii="Abadi" w:hAnsi="Abadi" w:cs="Arial"/>
          <w:i/>
          <w:sz w:val="21"/>
          <w:szCs w:val="21"/>
          <w:lang w:val="es-MX" w:eastAsia="en-US"/>
        </w:rPr>
      </w:pPr>
    </w:p>
    <w:p w14:paraId="514B6C82"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Por su parte, se encuentran en otros países diversas normas que pueden servir de referente para el análisis del proyecto en comento, como lo son las siguientes:</w:t>
      </w:r>
    </w:p>
    <w:p w14:paraId="558EA1EC" w14:textId="77777777" w:rsidR="0094362E" w:rsidRPr="0094362E" w:rsidRDefault="0094362E" w:rsidP="0094362E">
      <w:pPr>
        <w:widowControl w:val="0"/>
        <w:ind w:left="851" w:right="851"/>
        <w:jc w:val="both"/>
        <w:rPr>
          <w:rFonts w:ascii="Abadi" w:hAnsi="Abadi" w:cs="Arial"/>
          <w:i/>
          <w:sz w:val="21"/>
          <w:szCs w:val="21"/>
          <w:lang w:val="es-MX" w:eastAsia="en-US"/>
        </w:rPr>
      </w:pPr>
    </w:p>
    <w:p w14:paraId="5BE6CDBF" w14:textId="77777777" w:rsidR="0094362E" w:rsidRPr="0094362E" w:rsidRDefault="0094362E" w:rsidP="0094362E">
      <w:pPr>
        <w:widowControl w:val="0"/>
        <w:ind w:left="1134" w:right="851"/>
        <w:jc w:val="both"/>
        <w:rPr>
          <w:rFonts w:ascii="Abadi" w:hAnsi="Abadi" w:cs="Arial"/>
          <w:i/>
          <w:sz w:val="21"/>
          <w:szCs w:val="21"/>
          <w:lang w:val="es-MX" w:eastAsia="en-US"/>
        </w:rPr>
      </w:pPr>
      <w:r w:rsidRPr="0094362E">
        <w:rPr>
          <w:rFonts w:ascii="Abadi" w:hAnsi="Abadi" w:cs="Arial"/>
          <w:i/>
          <w:sz w:val="21"/>
          <w:szCs w:val="21"/>
          <w:lang w:val="es-MX" w:eastAsia="en-US"/>
        </w:rPr>
        <w:t>• Ley N° 2.510, sancionada el15 de noviembre de 2007, por la Legislatura de la Ciudad Autónoma de Buenos Aires mediante la cual se permite el acceso a todo espacio público o de acceso público y a todos los transportes públicos de pasajeros a toda persona con necesidades especiales, munida del correspondiente certificado de discapacidad, acompañada por un perro de asistencia.</w:t>
      </w:r>
    </w:p>
    <w:p w14:paraId="4070119F" w14:textId="77777777" w:rsidR="0094362E" w:rsidRPr="0094362E" w:rsidRDefault="0094362E" w:rsidP="0094362E">
      <w:pPr>
        <w:widowControl w:val="0"/>
        <w:ind w:left="1134" w:right="851"/>
        <w:jc w:val="both"/>
        <w:rPr>
          <w:rFonts w:ascii="Abadi" w:hAnsi="Abadi" w:cs="Arial"/>
          <w:i/>
          <w:sz w:val="21"/>
          <w:szCs w:val="21"/>
          <w:lang w:val="es-MX" w:eastAsia="en-US"/>
        </w:rPr>
      </w:pPr>
    </w:p>
    <w:p w14:paraId="2660D68E" w14:textId="77777777" w:rsidR="0094362E" w:rsidRPr="0094362E" w:rsidRDefault="0094362E" w:rsidP="0094362E">
      <w:pPr>
        <w:widowControl w:val="0"/>
        <w:ind w:left="1134" w:right="851"/>
        <w:jc w:val="both"/>
        <w:rPr>
          <w:rFonts w:ascii="Abadi" w:hAnsi="Abadi" w:cs="Arial"/>
          <w:i/>
          <w:sz w:val="21"/>
          <w:szCs w:val="21"/>
          <w:lang w:val="es-MX" w:eastAsia="en-US"/>
        </w:rPr>
      </w:pPr>
      <w:r w:rsidRPr="0094362E">
        <w:rPr>
          <w:rFonts w:ascii="Abadi" w:hAnsi="Abadi" w:cs="Arial"/>
          <w:i/>
          <w:sz w:val="21"/>
          <w:szCs w:val="21"/>
          <w:lang w:val="es-MX" w:eastAsia="en-US"/>
        </w:rPr>
        <w:t>• LEY N° 30433. Ley que Modifica la Ley 29830, Ley que Promueve y Regula el Uso de Perros Guía por Personas con Discapacidad Visual. 14 de mayo de 2016.</w:t>
      </w:r>
    </w:p>
    <w:p w14:paraId="6C13DE99" w14:textId="77777777" w:rsidR="0094362E" w:rsidRPr="0094362E" w:rsidRDefault="0094362E" w:rsidP="0094362E">
      <w:pPr>
        <w:widowControl w:val="0"/>
        <w:ind w:left="1134" w:right="851"/>
        <w:jc w:val="both"/>
        <w:rPr>
          <w:rFonts w:ascii="Abadi" w:hAnsi="Abadi" w:cs="Arial"/>
          <w:i/>
          <w:sz w:val="21"/>
          <w:szCs w:val="21"/>
          <w:lang w:val="es-MX" w:eastAsia="en-US"/>
        </w:rPr>
      </w:pPr>
    </w:p>
    <w:p w14:paraId="514F8BB1" w14:textId="77777777" w:rsidR="0094362E" w:rsidRPr="0094362E" w:rsidRDefault="0094362E" w:rsidP="0094362E">
      <w:pPr>
        <w:widowControl w:val="0"/>
        <w:ind w:left="1134" w:right="851"/>
        <w:jc w:val="both"/>
        <w:rPr>
          <w:rFonts w:ascii="Abadi" w:hAnsi="Abadi" w:cs="Arial"/>
          <w:i/>
          <w:sz w:val="21"/>
          <w:szCs w:val="21"/>
          <w:lang w:val="es-MX" w:eastAsia="en-US"/>
        </w:rPr>
      </w:pPr>
      <w:r w:rsidRPr="0094362E">
        <w:rPr>
          <w:rFonts w:ascii="Abadi" w:hAnsi="Abadi" w:cs="Arial"/>
          <w:i/>
          <w:sz w:val="21"/>
          <w:szCs w:val="21"/>
          <w:lang w:val="es-MX" w:eastAsia="en-US"/>
        </w:rPr>
        <w:t>• Ley 3/2017, de 26 de abril, de perros de asistencia para personas con discapacidad en la Comunidad Autónoma de Canarias.</w:t>
      </w:r>
    </w:p>
    <w:p w14:paraId="73AEE5BB" w14:textId="77777777" w:rsidR="0094362E" w:rsidRPr="0094362E" w:rsidRDefault="0094362E" w:rsidP="0094362E">
      <w:pPr>
        <w:widowControl w:val="0"/>
        <w:ind w:left="851" w:right="851"/>
        <w:jc w:val="both"/>
        <w:rPr>
          <w:rFonts w:ascii="Abadi" w:hAnsi="Abadi" w:cs="Arial"/>
          <w:i/>
          <w:sz w:val="21"/>
          <w:szCs w:val="21"/>
          <w:lang w:val="es-MX" w:eastAsia="en-US"/>
        </w:rPr>
      </w:pPr>
    </w:p>
    <w:p w14:paraId="17B02E5F"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Ahora bien, se señala que la Convención Internacional sobre los Derechos de las Personas con Discapacidad y su Protocolo Facultativo, aprobados por la Asamblea General de las Naciones Unidas el 13 de diciembre de 2006, son instrumentos jurídicos de notoria relevancia en el marco general de los derechos humanos, ya que tienen como propósito promover, proteger y asegurar el goce pleno y en condiciones de igualdad de todos los derechos humanos y libertades fundamentales por todas las personas con discapacidad, y promover el respeto de su dignidad inherente y, además, los Estados parte se comprometen a adoptar todas las medidas legislativas, administrativas y de otra índole que sean pertinentes para hacer efectivos los derechos reconocidos en la citada Convención Internacional.</w:t>
      </w:r>
    </w:p>
    <w:p w14:paraId="5CEFBAAB" w14:textId="77777777" w:rsidR="0094362E" w:rsidRPr="0094362E" w:rsidRDefault="0094362E" w:rsidP="0094362E">
      <w:pPr>
        <w:widowControl w:val="0"/>
        <w:ind w:left="851" w:right="851"/>
        <w:jc w:val="both"/>
        <w:rPr>
          <w:rFonts w:ascii="Abadi" w:hAnsi="Abadi" w:cs="Arial"/>
          <w:i/>
          <w:sz w:val="21"/>
          <w:szCs w:val="21"/>
          <w:lang w:val="es-MX" w:eastAsia="en-US"/>
        </w:rPr>
      </w:pPr>
    </w:p>
    <w:p w14:paraId="73D908E3"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En este sentido, siendo esta Convención el tratado internacional de derechos especializado en la materia que se aborda, se advierte que la presente iniciativa abona al desarrollo de diversos principios rectores de la misma establecidos en su artículo 3 inciso a) la autonomía individual y la independencia de las personas; b) La no discriminación y c) La participación e inclusión plenas y efectivas en la sociedad.</w:t>
      </w:r>
    </w:p>
    <w:p w14:paraId="6836D357" w14:textId="77777777" w:rsidR="0094362E" w:rsidRPr="0094362E" w:rsidRDefault="0094362E" w:rsidP="0094362E">
      <w:pPr>
        <w:widowControl w:val="0"/>
        <w:ind w:left="851" w:right="851"/>
        <w:jc w:val="both"/>
        <w:rPr>
          <w:rFonts w:ascii="Abadi" w:hAnsi="Abadi" w:cs="Arial"/>
          <w:i/>
          <w:sz w:val="21"/>
          <w:szCs w:val="21"/>
          <w:lang w:val="es-MX" w:eastAsia="en-US"/>
        </w:rPr>
      </w:pPr>
    </w:p>
    <w:p w14:paraId="1A569995"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Además de abonarse a la concreción y especificación del derecho a la accesibilidad establecido en el artículo 9 especialmente en su inciso e).</w:t>
      </w:r>
    </w:p>
    <w:p w14:paraId="074EAEF7" w14:textId="77777777" w:rsidR="0094362E" w:rsidRPr="0094362E" w:rsidRDefault="0094362E" w:rsidP="0094362E">
      <w:pPr>
        <w:widowControl w:val="0"/>
        <w:ind w:left="851" w:right="851"/>
        <w:jc w:val="both"/>
        <w:rPr>
          <w:rFonts w:ascii="Abadi" w:hAnsi="Abadi" w:cs="Arial"/>
          <w:i/>
          <w:sz w:val="21"/>
          <w:szCs w:val="21"/>
          <w:lang w:val="es-MX" w:eastAsia="en-US"/>
        </w:rPr>
      </w:pPr>
    </w:p>
    <w:p w14:paraId="709AF84B" w14:textId="77777777" w:rsidR="0094362E" w:rsidRPr="0094362E" w:rsidRDefault="0094362E" w:rsidP="0094362E">
      <w:pPr>
        <w:widowControl w:val="0"/>
        <w:ind w:left="1134" w:right="851"/>
        <w:jc w:val="both"/>
        <w:rPr>
          <w:rFonts w:ascii="Abadi" w:hAnsi="Abadi" w:cs="Arial"/>
          <w:i/>
          <w:sz w:val="21"/>
          <w:szCs w:val="21"/>
          <w:lang w:val="es-MX" w:eastAsia="en-US"/>
        </w:rPr>
      </w:pPr>
      <w:r w:rsidRPr="0094362E">
        <w:rPr>
          <w:rFonts w:ascii="Abadi" w:hAnsi="Abadi" w:cs="Arial"/>
          <w:i/>
          <w:sz w:val="21"/>
          <w:szCs w:val="21"/>
          <w:lang w:val="es-MX" w:eastAsia="en-US"/>
        </w:rPr>
        <w:t>Artículo 9 Accesibilidad 1. A fin de que las personas con discapacidad puedan vivir en forma independiente y participar plenamente en todos los aspectos de la vida, los Estados Partes adoptarán medidas pertinentes para asegurar el acceso de las personas con discapacidad, en igualdad de condiciones con las demás, al entorno físico, el transporte, la información y las comunicaciones, incluidos los sistemas y las tecnologías de la información y las comunicaciones, y a otros servicios e instalaciones abiertos al público o de uso público, tanto en zonas urbanas como rurales. Estas medidas, que incluirán la identificación y eliminación de obstáculos y barreras de acceso, se aplicarán, entre otras cosas, a:</w:t>
      </w:r>
    </w:p>
    <w:p w14:paraId="043448CA" w14:textId="77777777" w:rsidR="0094362E" w:rsidRPr="0094362E" w:rsidRDefault="0094362E" w:rsidP="0094362E">
      <w:pPr>
        <w:widowControl w:val="0"/>
        <w:ind w:left="1134" w:right="851"/>
        <w:jc w:val="both"/>
        <w:rPr>
          <w:rFonts w:ascii="Abadi" w:hAnsi="Abadi" w:cs="Arial"/>
          <w:i/>
          <w:sz w:val="21"/>
          <w:szCs w:val="21"/>
          <w:lang w:val="es-MX" w:eastAsia="en-US"/>
        </w:rPr>
      </w:pPr>
    </w:p>
    <w:p w14:paraId="64D92474" w14:textId="77777777" w:rsidR="0094362E" w:rsidRPr="0094362E" w:rsidRDefault="0094362E" w:rsidP="0094362E">
      <w:pPr>
        <w:widowControl w:val="0"/>
        <w:ind w:left="1134" w:right="851"/>
        <w:jc w:val="both"/>
        <w:rPr>
          <w:rFonts w:ascii="Abadi" w:hAnsi="Abadi" w:cs="Arial"/>
          <w:i/>
          <w:sz w:val="21"/>
          <w:szCs w:val="21"/>
          <w:lang w:val="es-MX" w:eastAsia="en-US"/>
        </w:rPr>
      </w:pPr>
      <w:r w:rsidRPr="0094362E">
        <w:rPr>
          <w:rFonts w:ascii="Abadi" w:hAnsi="Abadi" w:cs="Arial"/>
          <w:i/>
          <w:sz w:val="21"/>
          <w:szCs w:val="21"/>
          <w:lang w:val="es-MX" w:eastAsia="en-US"/>
        </w:rPr>
        <w:t>[…]</w:t>
      </w:r>
    </w:p>
    <w:p w14:paraId="79586362" w14:textId="77777777" w:rsidR="0094362E" w:rsidRPr="0094362E" w:rsidRDefault="0094362E" w:rsidP="0094362E">
      <w:pPr>
        <w:widowControl w:val="0"/>
        <w:ind w:left="1134" w:right="851"/>
        <w:jc w:val="both"/>
        <w:rPr>
          <w:rFonts w:ascii="Abadi" w:hAnsi="Abadi" w:cs="Arial"/>
          <w:i/>
          <w:sz w:val="21"/>
          <w:szCs w:val="21"/>
          <w:lang w:val="es-MX" w:eastAsia="en-US"/>
        </w:rPr>
      </w:pPr>
    </w:p>
    <w:p w14:paraId="4EE9A05C" w14:textId="77777777" w:rsidR="0094362E" w:rsidRPr="0094362E" w:rsidRDefault="0094362E" w:rsidP="0094362E">
      <w:pPr>
        <w:widowControl w:val="0"/>
        <w:ind w:left="1134" w:right="851"/>
        <w:jc w:val="both"/>
        <w:rPr>
          <w:rFonts w:ascii="Abadi" w:hAnsi="Abadi" w:cs="Arial"/>
          <w:i/>
          <w:sz w:val="21"/>
          <w:szCs w:val="21"/>
          <w:lang w:val="es-MX" w:eastAsia="en-US"/>
        </w:rPr>
      </w:pPr>
      <w:r w:rsidRPr="0094362E">
        <w:rPr>
          <w:rFonts w:ascii="Abadi" w:hAnsi="Abadi" w:cs="Arial"/>
          <w:i/>
          <w:sz w:val="21"/>
          <w:szCs w:val="21"/>
          <w:lang w:val="es-MX" w:eastAsia="en-US"/>
        </w:rPr>
        <w:t>e) Ofrecer formas de asistencia humana o animal e intermediarios, incluidos guías, lectores e intérpretes profesionales de la lengua de señas, para facilitar el acceso a edificios y otras instalaciones abiertas al público;</w:t>
      </w:r>
    </w:p>
    <w:p w14:paraId="73B9C9B4" w14:textId="77777777" w:rsidR="0094362E" w:rsidRPr="0094362E" w:rsidRDefault="0094362E" w:rsidP="0094362E">
      <w:pPr>
        <w:widowControl w:val="0"/>
        <w:ind w:left="851" w:right="851"/>
        <w:jc w:val="both"/>
        <w:rPr>
          <w:rFonts w:ascii="Abadi" w:hAnsi="Abadi" w:cs="Arial"/>
          <w:i/>
          <w:sz w:val="21"/>
          <w:szCs w:val="21"/>
          <w:lang w:val="es-MX" w:eastAsia="en-US"/>
        </w:rPr>
      </w:pPr>
    </w:p>
    <w:p w14:paraId="397BE7E4"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Habida cuenta de lo anterior, se considera que en términos generales esta iniciativa fortalece a todas luces los mecanismos de garantía de derechos de autonomía y accesibilidad a personas con discapacidad en el Estado de Guanajuato.</w:t>
      </w:r>
    </w:p>
    <w:p w14:paraId="617BE613" w14:textId="77777777" w:rsidR="0094362E" w:rsidRPr="0094362E" w:rsidRDefault="0094362E" w:rsidP="0094362E">
      <w:pPr>
        <w:widowControl w:val="0"/>
        <w:ind w:left="851" w:right="851"/>
        <w:jc w:val="both"/>
        <w:rPr>
          <w:rFonts w:ascii="Abadi" w:hAnsi="Abadi" w:cs="Arial"/>
          <w:i/>
          <w:sz w:val="21"/>
          <w:szCs w:val="21"/>
          <w:lang w:val="es-MX" w:eastAsia="en-US"/>
        </w:rPr>
      </w:pPr>
    </w:p>
    <w:p w14:paraId="69365558" w14:textId="77777777" w:rsidR="0094362E" w:rsidRPr="0094362E" w:rsidRDefault="0094362E" w:rsidP="0094362E">
      <w:pPr>
        <w:widowControl w:val="0"/>
        <w:ind w:left="851" w:right="851"/>
        <w:jc w:val="both"/>
        <w:rPr>
          <w:rFonts w:ascii="Abadi" w:hAnsi="Abadi" w:cs="Arial"/>
          <w:b/>
          <w:bCs/>
          <w:i/>
          <w:sz w:val="21"/>
          <w:szCs w:val="21"/>
          <w:lang w:val="es-MX" w:eastAsia="en-US"/>
        </w:rPr>
      </w:pPr>
      <w:r w:rsidRPr="0094362E">
        <w:rPr>
          <w:rFonts w:ascii="Abadi" w:hAnsi="Abadi" w:cs="Arial"/>
          <w:b/>
          <w:bCs/>
          <w:i/>
          <w:sz w:val="21"/>
          <w:szCs w:val="21"/>
          <w:lang w:val="es-MX" w:eastAsia="en-US"/>
        </w:rPr>
        <w:t>c) Análisis de fondo:</w:t>
      </w:r>
    </w:p>
    <w:p w14:paraId="64750721"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b/>
          <w:bCs/>
          <w:i/>
          <w:sz w:val="21"/>
          <w:szCs w:val="21"/>
          <w:lang w:val="es-MX" w:eastAsia="en-US"/>
        </w:rPr>
        <w:t>1.-</w:t>
      </w:r>
      <w:r w:rsidRPr="0094362E">
        <w:rPr>
          <w:rFonts w:ascii="Abadi" w:hAnsi="Abadi" w:cs="Arial"/>
          <w:i/>
          <w:sz w:val="21"/>
          <w:szCs w:val="21"/>
          <w:lang w:val="es-MX" w:eastAsia="en-US"/>
        </w:rPr>
        <w:t xml:space="preserve"> La Ley para la Protección de los Derechos de las Personas Usuarias de Perros Guía o de Asistencia Médica para el Estado de Guanajuato, como lo señala su nombre hace referencia a Perros Guía o de Asistencia Médica, sin embargo, en su artículo 2 que configura el glosario, solamente se hace una definición de Perro de asistencia.</w:t>
      </w:r>
    </w:p>
    <w:p w14:paraId="789F67FC" w14:textId="77777777" w:rsidR="0094362E" w:rsidRPr="0094362E" w:rsidRDefault="0094362E" w:rsidP="0094362E">
      <w:pPr>
        <w:widowControl w:val="0"/>
        <w:ind w:left="851" w:right="851"/>
        <w:jc w:val="both"/>
        <w:rPr>
          <w:rFonts w:ascii="Abadi" w:hAnsi="Abadi" w:cs="Arial"/>
          <w:i/>
          <w:sz w:val="21"/>
          <w:szCs w:val="21"/>
          <w:lang w:val="es-MX" w:eastAsia="en-US"/>
        </w:rPr>
      </w:pPr>
    </w:p>
    <w:p w14:paraId="16651713"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Derivado de lo anterior, se considera necesario alinear el glosario con el objetivo regulatorio de la norma, de forma que se especifique con mayor claridad qué significa Perros Guía o de Asistencia Médica</w:t>
      </w:r>
    </w:p>
    <w:p w14:paraId="3F32F65D" w14:textId="77777777" w:rsidR="0094362E" w:rsidRPr="0094362E" w:rsidRDefault="0094362E" w:rsidP="0094362E">
      <w:pPr>
        <w:widowControl w:val="0"/>
        <w:ind w:left="851" w:right="851"/>
        <w:jc w:val="both"/>
        <w:rPr>
          <w:rFonts w:ascii="Abadi" w:hAnsi="Abadi" w:cs="Arial"/>
          <w:i/>
          <w:sz w:val="21"/>
          <w:szCs w:val="21"/>
          <w:lang w:val="es-MX" w:eastAsia="en-US"/>
        </w:rPr>
      </w:pPr>
    </w:p>
    <w:p w14:paraId="21222C0C"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Al respecto y de forma orientativa se pone a consideración de ese Honorable Congreso el análisis de la definición de perros de asistencia y su tipología utilizada en los artículos 3 y 4 de la Ley 3/2017, de 26 de abril, de perros de asistencia para personas con discapacidad en la Comunidad Autónoma de Canarias.</w:t>
      </w:r>
    </w:p>
    <w:p w14:paraId="37008F2B" w14:textId="77777777" w:rsidR="0094362E" w:rsidRPr="0094362E" w:rsidRDefault="0094362E" w:rsidP="0094362E">
      <w:pPr>
        <w:widowControl w:val="0"/>
        <w:ind w:left="851" w:right="851"/>
        <w:jc w:val="both"/>
        <w:rPr>
          <w:rFonts w:ascii="Abadi" w:hAnsi="Abadi" w:cs="Arial"/>
          <w:i/>
          <w:sz w:val="21"/>
          <w:szCs w:val="21"/>
          <w:lang w:val="es-MX" w:eastAsia="en-US"/>
        </w:rPr>
      </w:pPr>
    </w:p>
    <w:p w14:paraId="2B81310D"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b/>
          <w:bCs/>
          <w:i/>
          <w:sz w:val="21"/>
          <w:szCs w:val="21"/>
          <w:lang w:val="es-MX" w:eastAsia="en-US"/>
        </w:rPr>
        <w:t>2.-</w:t>
      </w:r>
      <w:r w:rsidRPr="0094362E">
        <w:rPr>
          <w:rFonts w:ascii="Abadi" w:hAnsi="Abadi" w:cs="Arial"/>
          <w:i/>
          <w:sz w:val="21"/>
          <w:szCs w:val="21"/>
          <w:lang w:val="es-MX" w:eastAsia="en-US"/>
        </w:rPr>
        <w:t xml:space="preserve"> En el segundo párrafo del artículo 4 de la Ley se establece que la revisión sanitaria del perro deberá realizarse cada dos años, lo cual se considera que puede ser analizado, por lo que se pone a consideración que se reduzca el tiempo de verificación, tomando en cuenta que cada raza atención diferencia de conformidad con la raza, necesidades básicas y advertencias importantes según el artículo 4.3.2 de la NOM-148-SCFI-2018, que puede verse como criterio orientador.</w:t>
      </w:r>
    </w:p>
    <w:p w14:paraId="16437DB1" w14:textId="77777777" w:rsidR="0094362E" w:rsidRPr="0094362E" w:rsidRDefault="0094362E" w:rsidP="0094362E">
      <w:pPr>
        <w:widowControl w:val="0"/>
        <w:ind w:left="851" w:right="851"/>
        <w:jc w:val="both"/>
        <w:rPr>
          <w:rFonts w:ascii="Abadi" w:hAnsi="Abadi" w:cs="Arial"/>
          <w:i/>
          <w:sz w:val="21"/>
          <w:szCs w:val="21"/>
          <w:lang w:val="es-MX" w:eastAsia="en-US"/>
        </w:rPr>
      </w:pPr>
    </w:p>
    <w:p w14:paraId="3639AB18"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b/>
          <w:bCs/>
          <w:i/>
          <w:sz w:val="21"/>
          <w:szCs w:val="21"/>
          <w:lang w:val="es-MX" w:eastAsia="en-US"/>
        </w:rPr>
        <w:t>3.-</w:t>
      </w:r>
      <w:r w:rsidRPr="0094362E">
        <w:rPr>
          <w:rFonts w:ascii="Abadi" w:hAnsi="Abadi" w:cs="Arial"/>
          <w:i/>
          <w:sz w:val="21"/>
          <w:szCs w:val="21"/>
          <w:lang w:val="es-MX" w:eastAsia="en-US"/>
        </w:rPr>
        <w:t xml:space="preserve"> Se considera que en términos generales para el Título II de la Ley sobre las condiciones higienico-sanitarias de los perros de asistencia, en especial para el artículo 4, así como el artículo 9 de la misma, pueden verse fortalecidos o retroalimentados por las libertades reconocidas en favor de los animales en el artículo 3.2 de la NOM-148-SCFI-2018, que señala lo siguiente:</w:t>
      </w:r>
    </w:p>
    <w:p w14:paraId="5D658F9C" w14:textId="77777777" w:rsidR="0094362E" w:rsidRPr="0094362E" w:rsidRDefault="0094362E" w:rsidP="0094362E">
      <w:pPr>
        <w:widowControl w:val="0"/>
        <w:ind w:left="851" w:right="851"/>
        <w:jc w:val="both"/>
        <w:rPr>
          <w:rFonts w:ascii="Abadi" w:hAnsi="Abadi" w:cs="Arial"/>
          <w:i/>
          <w:sz w:val="21"/>
          <w:szCs w:val="21"/>
          <w:lang w:val="es-MX" w:eastAsia="en-US"/>
        </w:rPr>
      </w:pPr>
    </w:p>
    <w:p w14:paraId="1C432FFC"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En todos los establecimientos se deben exhibir las Cinco Libertades que se les reconocen mundialmente a los Animales de Compañía expresadas de la siguiente forma:</w:t>
      </w:r>
    </w:p>
    <w:p w14:paraId="5894A7FE" w14:textId="77777777" w:rsidR="0094362E" w:rsidRPr="0094362E" w:rsidRDefault="0094362E" w:rsidP="0094362E">
      <w:pPr>
        <w:widowControl w:val="0"/>
        <w:ind w:left="851" w:right="851"/>
        <w:jc w:val="both"/>
        <w:rPr>
          <w:rFonts w:ascii="Abadi" w:hAnsi="Abadi" w:cs="Arial"/>
          <w:i/>
          <w:sz w:val="21"/>
          <w:szCs w:val="21"/>
          <w:lang w:val="es-MX" w:eastAsia="en-US"/>
        </w:rPr>
      </w:pPr>
    </w:p>
    <w:p w14:paraId="59FDA61F"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Los Animales deben estar:</w:t>
      </w:r>
    </w:p>
    <w:p w14:paraId="72DACDD9"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 xml:space="preserve">a. </w:t>
      </w:r>
      <w:r w:rsidRPr="0094362E">
        <w:rPr>
          <w:rFonts w:ascii="Abadi" w:hAnsi="Abadi" w:cs="Arial"/>
          <w:i/>
          <w:sz w:val="21"/>
          <w:szCs w:val="21"/>
          <w:u w:val="single"/>
          <w:lang w:val="es-MX" w:eastAsia="en-US"/>
        </w:rPr>
        <w:t>Libre de hambre, sed y desnutrición</w:t>
      </w:r>
      <w:r w:rsidRPr="0094362E">
        <w:rPr>
          <w:rFonts w:ascii="Abadi" w:hAnsi="Abadi" w:cs="Arial"/>
          <w:i/>
          <w:sz w:val="21"/>
          <w:szCs w:val="21"/>
          <w:lang w:val="es-MX" w:eastAsia="en-US"/>
        </w:rPr>
        <w:t>;</w:t>
      </w:r>
    </w:p>
    <w:p w14:paraId="4F17EED3"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b. Libre de miedos y angustias;</w:t>
      </w:r>
    </w:p>
    <w:p w14:paraId="6431EB31"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c. Libre de incomodidades físicas o térmicas;</w:t>
      </w:r>
    </w:p>
    <w:p w14:paraId="6A18AF22"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 xml:space="preserve">d. </w:t>
      </w:r>
      <w:r w:rsidRPr="0094362E">
        <w:rPr>
          <w:rFonts w:ascii="Abadi" w:hAnsi="Abadi" w:cs="Arial"/>
          <w:i/>
          <w:sz w:val="21"/>
          <w:szCs w:val="21"/>
          <w:u w:val="single"/>
          <w:lang w:val="es-MX" w:eastAsia="en-US"/>
        </w:rPr>
        <w:t>Libre de dolor, lesiones o enfermedades</w:t>
      </w:r>
      <w:r w:rsidRPr="0094362E">
        <w:rPr>
          <w:rFonts w:ascii="Abadi" w:hAnsi="Abadi" w:cs="Arial"/>
          <w:i/>
          <w:sz w:val="21"/>
          <w:szCs w:val="21"/>
          <w:lang w:val="es-MX" w:eastAsia="en-US"/>
        </w:rPr>
        <w:t>; y</w:t>
      </w:r>
    </w:p>
    <w:p w14:paraId="5003A09D"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e. Libre para expresar las pautas propias de comportamiento.</w:t>
      </w:r>
    </w:p>
    <w:p w14:paraId="36358B24" w14:textId="77777777" w:rsidR="0094362E" w:rsidRPr="0094362E" w:rsidRDefault="0094362E" w:rsidP="0094362E">
      <w:pPr>
        <w:widowControl w:val="0"/>
        <w:ind w:left="851" w:right="851"/>
        <w:jc w:val="both"/>
        <w:rPr>
          <w:rFonts w:ascii="Abadi" w:hAnsi="Abadi" w:cs="Arial"/>
          <w:i/>
          <w:sz w:val="21"/>
          <w:szCs w:val="21"/>
          <w:lang w:val="es-MX" w:eastAsia="en-US"/>
        </w:rPr>
      </w:pPr>
    </w:p>
    <w:p w14:paraId="3F27B154"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En relación a lo anterior, se considera que podría incorporarse a las condiciones higiénico sanitarias del artículo 4 precisamente la de encontrarse en condiciones higiénicas.</w:t>
      </w:r>
    </w:p>
    <w:p w14:paraId="70CAC7C4" w14:textId="77777777" w:rsidR="0094362E" w:rsidRPr="0094362E" w:rsidRDefault="0094362E" w:rsidP="0094362E">
      <w:pPr>
        <w:widowControl w:val="0"/>
        <w:ind w:left="851" w:right="851"/>
        <w:jc w:val="both"/>
        <w:rPr>
          <w:rFonts w:ascii="Abadi" w:hAnsi="Abadi" w:cs="Arial"/>
          <w:i/>
          <w:sz w:val="21"/>
          <w:szCs w:val="21"/>
          <w:lang w:val="es-MX" w:eastAsia="en-US"/>
        </w:rPr>
      </w:pPr>
    </w:p>
    <w:p w14:paraId="2E5EABC1"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b/>
          <w:bCs/>
          <w:i/>
          <w:sz w:val="21"/>
          <w:szCs w:val="21"/>
          <w:lang w:val="es-MX" w:eastAsia="en-US"/>
        </w:rPr>
        <w:t>4.-</w:t>
      </w:r>
      <w:r w:rsidRPr="0094362E">
        <w:rPr>
          <w:rFonts w:ascii="Abadi" w:hAnsi="Abadi" w:cs="Arial"/>
          <w:i/>
          <w:sz w:val="21"/>
          <w:szCs w:val="21"/>
          <w:lang w:val="es-MX" w:eastAsia="en-US"/>
        </w:rPr>
        <w:t xml:space="preserve"> Si bien el artículo 6 establece de forma casuística los espacios a los cuales podrán acceder las personas con discapacidad que se apoyan en perros guía, se considera que este listado podría verse reforzado, con algunos otros supuestos sobre los cuales podría generarse duda como lo son restaurantes, centros educativos, centros de entretenimiento, centros de culto o religiosos, ello tomando como ejemplo lo señalado en el artículo 9 de la Ley 3/2017, de 26 de abril, de perros de asistencia para personas con discapacidad en la Comunidad Autónoma de Canarias.</w:t>
      </w:r>
    </w:p>
    <w:p w14:paraId="00EFE734" w14:textId="77777777" w:rsidR="0094362E" w:rsidRPr="0094362E" w:rsidRDefault="0094362E" w:rsidP="0094362E">
      <w:pPr>
        <w:widowControl w:val="0"/>
        <w:ind w:left="851" w:right="851"/>
        <w:jc w:val="both"/>
        <w:rPr>
          <w:rFonts w:ascii="Abadi" w:hAnsi="Abadi" w:cs="Arial"/>
          <w:i/>
          <w:sz w:val="21"/>
          <w:szCs w:val="21"/>
          <w:lang w:val="es-MX" w:eastAsia="en-US"/>
        </w:rPr>
      </w:pPr>
    </w:p>
    <w:p w14:paraId="0E857270"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Tomando en consideración que el artículo 6 es casuístico, puede suceder que en la práctica resulte restrictivo o insuficiente sobre ciertos espacios que no estén específicamente señalados, por lo que se considera que se podría reforzar con una regla en favor de la inclusión de casos no mencionados específicamente, para brindar un espectro más habilitador y, que el artículo 8 de la Ley el que casuísticamente limite estos derechos.</w:t>
      </w:r>
    </w:p>
    <w:p w14:paraId="3083DD2D" w14:textId="77777777" w:rsidR="0094362E" w:rsidRPr="0094362E" w:rsidRDefault="0094362E" w:rsidP="0094362E">
      <w:pPr>
        <w:widowControl w:val="0"/>
        <w:ind w:left="851" w:right="851"/>
        <w:jc w:val="both"/>
        <w:rPr>
          <w:rFonts w:ascii="Abadi" w:hAnsi="Abadi" w:cs="Arial"/>
          <w:i/>
          <w:sz w:val="21"/>
          <w:szCs w:val="21"/>
          <w:lang w:val="es-MX" w:eastAsia="en-US"/>
        </w:rPr>
      </w:pPr>
    </w:p>
    <w:p w14:paraId="4DC8C5F3"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Es decir la construcción de una presunción en favor del acceso, salvo casos extraordinarios contemplados en la Ley.</w:t>
      </w:r>
    </w:p>
    <w:p w14:paraId="2A5EDF1F" w14:textId="77777777" w:rsidR="0094362E" w:rsidRPr="0094362E" w:rsidRDefault="0094362E" w:rsidP="0094362E">
      <w:pPr>
        <w:widowControl w:val="0"/>
        <w:ind w:left="851" w:right="851"/>
        <w:jc w:val="both"/>
        <w:rPr>
          <w:rFonts w:ascii="Abadi" w:hAnsi="Abadi" w:cs="Arial"/>
          <w:i/>
          <w:sz w:val="21"/>
          <w:szCs w:val="21"/>
          <w:lang w:val="es-MX" w:eastAsia="en-US"/>
        </w:rPr>
      </w:pPr>
    </w:p>
    <w:p w14:paraId="14A27059"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b/>
          <w:i/>
          <w:sz w:val="21"/>
          <w:szCs w:val="21"/>
          <w:lang w:val="es-MX" w:eastAsia="en-US"/>
        </w:rPr>
        <w:t>5.-</w:t>
      </w:r>
      <w:r w:rsidRPr="0094362E">
        <w:rPr>
          <w:rFonts w:ascii="Abadi" w:hAnsi="Abadi" w:cs="Arial"/>
          <w:i/>
          <w:sz w:val="21"/>
          <w:szCs w:val="21"/>
          <w:lang w:val="es-MX" w:eastAsia="en-US"/>
        </w:rPr>
        <w:t xml:space="preserve"> Se señala la importancia de establecer la necesidad de que el acceso debido a los lugares señalados no podrá quedar condicionado al otorgamiento de garantías, ni tampoco podrá acarrear un gasto adicional para las personas usuarias de los espacios, salvo que se trate de la contraprestación por un servicio específico económicamente evaluable y no relacionada con el propio ejercicio del derecho de acceso.</w:t>
      </w:r>
    </w:p>
    <w:p w14:paraId="36BCAFC5" w14:textId="77777777" w:rsidR="0094362E" w:rsidRPr="0094362E" w:rsidRDefault="0094362E" w:rsidP="0094362E">
      <w:pPr>
        <w:widowControl w:val="0"/>
        <w:ind w:left="851" w:right="851"/>
        <w:jc w:val="both"/>
        <w:rPr>
          <w:rFonts w:ascii="Abadi" w:hAnsi="Abadi" w:cs="Arial"/>
          <w:i/>
          <w:sz w:val="21"/>
          <w:szCs w:val="21"/>
          <w:lang w:val="es-MX" w:eastAsia="en-US"/>
        </w:rPr>
      </w:pPr>
    </w:p>
    <w:p w14:paraId="7FAFDD32"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b/>
          <w:bCs/>
          <w:i/>
          <w:sz w:val="21"/>
          <w:szCs w:val="21"/>
          <w:lang w:val="es-MX" w:eastAsia="en-US"/>
        </w:rPr>
        <w:t>6.-</w:t>
      </w:r>
      <w:r w:rsidRPr="0094362E">
        <w:rPr>
          <w:rFonts w:ascii="Abadi" w:hAnsi="Abadi" w:cs="Arial"/>
          <w:i/>
          <w:sz w:val="21"/>
          <w:szCs w:val="21"/>
          <w:lang w:val="es-MX" w:eastAsia="en-US"/>
        </w:rPr>
        <w:t xml:space="preserve"> En relación al reconocimiento de la condición de perro de asistencia, establecidos en el artículo 3 se señala en la fracción I, la acreditación de adiestramiento para desempeñarlas funciones propias de auxilio, guía y asistencia médica. Sin embargo, no se precisa qué centros o autoridades son reconocidos por la Ley capaces de otorgar esta acreditación.</w:t>
      </w:r>
    </w:p>
    <w:p w14:paraId="18C5D60E" w14:textId="77777777" w:rsidR="0094362E" w:rsidRPr="0094362E" w:rsidRDefault="0094362E" w:rsidP="0094362E">
      <w:pPr>
        <w:widowControl w:val="0"/>
        <w:ind w:left="851" w:right="851"/>
        <w:jc w:val="both"/>
        <w:rPr>
          <w:rFonts w:ascii="Abadi" w:hAnsi="Abadi" w:cs="Arial"/>
          <w:i/>
          <w:sz w:val="21"/>
          <w:szCs w:val="21"/>
          <w:lang w:val="es-MX" w:eastAsia="en-US"/>
        </w:rPr>
      </w:pPr>
    </w:p>
    <w:p w14:paraId="78B1998B"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Lo anterior, se pone a consideración del Congreso toda vez que se prevé que en la práctica el cobro adicional o la exigencia de garantías pueden constituir un obstáculo de hecho en el ejercicio de los derechos de personas usuarias de perros guía.</w:t>
      </w:r>
    </w:p>
    <w:p w14:paraId="505C6E1E" w14:textId="77777777" w:rsidR="0094362E" w:rsidRPr="0094362E" w:rsidRDefault="0094362E" w:rsidP="0094362E">
      <w:pPr>
        <w:widowControl w:val="0"/>
        <w:ind w:left="851" w:right="851"/>
        <w:jc w:val="both"/>
        <w:rPr>
          <w:rFonts w:ascii="Abadi" w:hAnsi="Abadi" w:cs="Arial"/>
          <w:i/>
          <w:sz w:val="21"/>
          <w:szCs w:val="21"/>
          <w:lang w:val="es-MX" w:eastAsia="en-US"/>
        </w:rPr>
      </w:pPr>
    </w:p>
    <w:p w14:paraId="04F96239"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b/>
          <w:bCs/>
          <w:i/>
          <w:sz w:val="21"/>
          <w:szCs w:val="21"/>
          <w:lang w:val="es-MX" w:eastAsia="en-US"/>
        </w:rPr>
        <w:t>7.-</w:t>
      </w:r>
      <w:r w:rsidRPr="0094362E">
        <w:rPr>
          <w:rFonts w:ascii="Abadi" w:hAnsi="Abadi" w:cs="Arial"/>
          <w:i/>
          <w:sz w:val="21"/>
          <w:szCs w:val="21"/>
          <w:lang w:val="es-MX" w:eastAsia="en-US"/>
        </w:rPr>
        <w:t xml:space="preserve"> Se considera ponderar qué autoridad en el Estado tendrán la calidad de usuarios y cuál será el mecanismo de identificación correspondiente e incorporar la autoridad que tenga como función revisar, supervisar o regular si un perro tiene o no la aptitud para ser certificado como perro guía o de asistencia médica, puesto que por la edad, raza o alguna enfermedad el perro, puede no ser apto a determinado tiempo o incapacidad.</w:t>
      </w:r>
    </w:p>
    <w:p w14:paraId="6E39D8B4" w14:textId="77777777" w:rsidR="0094362E" w:rsidRPr="0094362E" w:rsidRDefault="0094362E" w:rsidP="0094362E">
      <w:pPr>
        <w:widowControl w:val="0"/>
        <w:ind w:left="851" w:right="851"/>
        <w:jc w:val="both"/>
        <w:rPr>
          <w:rFonts w:ascii="Abadi" w:hAnsi="Abadi" w:cs="Arial"/>
          <w:i/>
          <w:sz w:val="21"/>
          <w:szCs w:val="21"/>
          <w:lang w:val="es-MX" w:eastAsia="en-US"/>
        </w:rPr>
      </w:pPr>
    </w:p>
    <w:p w14:paraId="3C3B73D7"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b/>
          <w:bCs/>
          <w:i/>
          <w:sz w:val="21"/>
          <w:szCs w:val="21"/>
          <w:lang w:val="es-MX" w:eastAsia="en-US"/>
        </w:rPr>
        <w:t>8.-</w:t>
      </w:r>
      <w:r w:rsidRPr="0094362E">
        <w:rPr>
          <w:rFonts w:ascii="Abadi" w:hAnsi="Abadi" w:cs="Arial"/>
          <w:i/>
          <w:sz w:val="21"/>
          <w:szCs w:val="21"/>
          <w:lang w:val="es-MX" w:eastAsia="en-US"/>
        </w:rPr>
        <w:t xml:space="preserve"> El proyecto de ley no regula el funcionamiento de los Centros de Entrenamiento en el Estado y menciona únicamente en cuanto a su certificación para realizar esa actividad ni regula qué autoridad desarrollará la actividad de supervisión sobre su honesto y eficaz funcionamiento. Lo anterior debido a que un deficiente entrenamiento pone en riesgo la salud y vida del usuario como de cualquier otro tercero.</w:t>
      </w:r>
    </w:p>
    <w:p w14:paraId="4FD7E216" w14:textId="77777777" w:rsidR="0094362E" w:rsidRPr="0094362E" w:rsidRDefault="0094362E" w:rsidP="0094362E">
      <w:pPr>
        <w:widowControl w:val="0"/>
        <w:ind w:left="851" w:right="851"/>
        <w:jc w:val="both"/>
        <w:rPr>
          <w:rFonts w:ascii="Abadi" w:hAnsi="Abadi" w:cs="Arial"/>
          <w:i/>
          <w:sz w:val="21"/>
          <w:szCs w:val="21"/>
          <w:lang w:val="es-MX" w:eastAsia="en-US"/>
        </w:rPr>
      </w:pPr>
    </w:p>
    <w:p w14:paraId="28093DCF"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b/>
          <w:bCs/>
          <w:i/>
          <w:sz w:val="21"/>
          <w:szCs w:val="21"/>
          <w:lang w:val="es-MX" w:eastAsia="en-US"/>
        </w:rPr>
        <w:t>9.-</w:t>
      </w:r>
      <w:r w:rsidRPr="0094362E">
        <w:rPr>
          <w:rFonts w:ascii="Abadi" w:hAnsi="Abadi" w:cs="Arial"/>
          <w:i/>
          <w:sz w:val="21"/>
          <w:szCs w:val="21"/>
          <w:lang w:val="es-MX" w:eastAsia="en-US"/>
        </w:rPr>
        <w:t xml:space="preserve"> Se considera que deben ampliarse las hipótesis de prohibiciones de acceso a espacios o lugares, cuando: los perros presenten objetivamente: síntomas de alguna enfermedad o agresividad extrema generadas por agentes externos; falta de higiene o riesgo inminente para terceras personas por las circunstancias particulares del lugar (asistencia de ancianos, niños, enfermos, etc.).</w:t>
      </w:r>
    </w:p>
    <w:p w14:paraId="0595038C" w14:textId="77777777" w:rsidR="0094362E" w:rsidRPr="0094362E" w:rsidRDefault="0094362E" w:rsidP="0094362E">
      <w:pPr>
        <w:widowControl w:val="0"/>
        <w:ind w:left="851" w:right="851"/>
        <w:jc w:val="both"/>
        <w:rPr>
          <w:rFonts w:ascii="Abadi" w:hAnsi="Abadi" w:cs="Arial"/>
          <w:i/>
          <w:sz w:val="21"/>
          <w:szCs w:val="21"/>
          <w:lang w:val="es-MX" w:eastAsia="en-US"/>
        </w:rPr>
      </w:pPr>
    </w:p>
    <w:p w14:paraId="40B5C111" w14:textId="77777777" w:rsidR="0094362E" w:rsidRPr="0094362E" w:rsidRDefault="0094362E" w:rsidP="0094362E">
      <w:pPr>
        <w:widowControl w:val="0"/>
        <w:ind w:left="851" w:right="851"/>
        <w:jc w:val="both"/>
        <w:rPr>
          <w:rFonts w:ascii="Abadi" w:hAnsi="Abadi" w:cs="Arial"/>
          <w:i/>
          <w:sz w:val="21"/>
          <w:szCs w:val="21"/>
          <w:lang w:val="es-MX" w:eastAsia="en-US"/>
        </w:rPr>
      </w:pPr>
    </w:p>
    <w:p w14:paraId="17BC6D4A"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b/>
          <w:i/>
          <w:sz w:val="21"/>
          <w:szCs w:val="21"/>
          <w:lang w:val="es-MX" w:eastAsia="en-US"/>
        </w:rPr>
        <w:t>10.-</w:t>
      </w:r>
      <w:r w:rsidRPr="0094362E">
        <w:rPr>
          <w:rFonts w:ascii="Abadi" w:hAnsi="Abadi" w:cs="Arial"/>
          <w:i/>
          <w:sz w:val="21"/>
          <w:szCs w:val="21"/>
          <w:lang w:val="es-MX" w:eastAsia="en-US"/>
        </w:rPr>
        <w:t xml:space="preserve"> El proyecto no establece una regulación por una autoridad determinada, sobre quejas que el usuario del perro guía o de asistencia médica pueda presentar ante la persistencia de la discriminación sin que haya motivo objetivo y debidamente regulado por esta misma ley e imponga las sanciones respectivas.</w:t>
      </w:r>
    </w:p>
    <w:p w14:paraId="32B967A1" w14:textId="77777777" w:rsidR="0094362E" w:rsidRPr="0094362E" w:rsidRDefault="0094362E" w:rsidP="0094362E">
      <w:pPr>
        <w:widowControl w:val="0"/>
        <w:ind w:left="851" w:right="851"/>
        <w:jc w:val="both"/>
        <w:rPr>
          <w:rFonts w:ascii="Abadi" w:hAnsi="Abadi" w:cs="Arial"/>
          <w:i/>
          <w:sz w:val="21"/>
          <w:szCs w:val="21"/>
          <w:lang w:val="es-MX" w:eastAsia="en-US"/>
        </w:rPr>
      </w:pPr>
    </w:p>
    <w:p w14:paraId="0DC96ABA"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b/>
          <w:i/>
          <w:sz w:val="21"/>
          <w:szCs w:val="21"/>
          <w:lang w:val="es-MX" w:eastAsia="en-US"/>
        </w:rPr>
        <w:t>11.-</w:t>
      </w:r>
      <w:r w:rsidRPr="0094362E">
        <w:rPr>
          <w:rFonts w:ascii="Abadi" w:hAnsi="Abadi" w:cs="Arial"/>
          <w:i/>
          <w:sz w:val="21"/>
          <w:szCs w:val="21"/>
          <w:lang w:val="es-MX" w:eastAsia="en-US"/>
        </w:rPr>
        <w:t xml:space="preserve"> Respecto del artículo 5, debe precisarse con toda precisión el ámbito de competencia de aplicación de la Ley que se propone, dado que establece en forma genera servicios y espacios, debiendo recordar que hay servicios y espacios públicos de carácter federal, por lo que se sugiere que se precise que será aplicable a espacios y servicios regulados o que sean competencia del estado (vgr. No podría regularse a través de la ley propuesta, el acceso de perros guía o de asistencia a aeropuertos de jurisdicción federal, edificios federales o servicios de transporte federal).</w:t>
      </w:r>
    </w:p>
    <w:p w14:paraId="03100FE1" w14:textId="77777777" w:rsidR="0094362E" w:rsidRPr="0094362E" w:rsidRDefault="0094362E" w:rsidP="0094362E">
      <w:pPr>
        <w:widowControl w:val="0"/>
        <w:ind w:left="851" w:right="851"/>
        <w:jc w:val="both"/>
        <w:rPr>
          <w:rFonts w:ascii="Abadi" w:hAnsi="Abadi" w:cs="Arial"/>
          <w:i/>
          <w:sz w:val="21"/>
          <w:szCs w:val="21"/>
          <w:lang w:val="es-MX" w:eastAsia="en-US"/>
        </w:rPr>
      </w:pPr>
    </w:p>
    <w:p w14:paraId="1A3DE7F5"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b/>
          <w:i/>
          <w:sz w:val="21"/>
          <w:szCs w:val="21"/>
          <w:lang w:val="es-MX" w:eastAsia="en-US"/>
        </w:rPr>
        <w:t>12.-</w:t>
      </w:r>
      <w:r w:rsidRPr="0094362E">
        <w:rPr>
          <w:rFonts w:ascii="Abadi" w:hAnsi="Abadi" w:cs="Arial"/>
          <w:i/>
          <w:sz w:val="21"/>
          <w:szCs w:val="21"/>
          <w:lang w:val="es-MX" w:eastAsia="en-US"/>
        </w:rPr>
        <w:t xml:space="preserve"> De conformidad con el artículo 4 fracción 3 de la Convención sobre Derechos de Personas con Discapacidad, los Estados se comprometen a:</w:t>
      </w:r>
    </w:p>
    <w:p w14:paraId="53F864D7" w14:textId="77777777" w:rsidR="0094362E" w:rsidRPr="0094362E" w:rsidRDefault="0094362E" w:rsidP="0094362E">
      <w:pPr>
        <w:widowControl w:val="0"/>
        <w:ind w:left="851" w:right="851"/>
        <w:jc w:val="both"/>
        <w:rPr>
          <w:rFonts w:ascii="Abadi" w:hAnsi="Abadi" w:cs="Arial"/>
          <w:i/>
          <w:sz w:val="21"/>
          <w:szCs w:val="21"/>
          <w:lang w:val="es-MX" w:eastAsia="en-US"/>
        </w:rPr>
      </w:pPr>
    </w:p>
    <w:p w14:paraId="7B417DD8" w14:textId="77777777" w:rsidR="0094362E" w:rsidRPr="0094362E" w:rsidRDefault="0094362E" w:rsidP="0094362E">
      <w:pPr>
        <w:widowControl w:val="0"/>
        <w:ind w:left="1134" w:right="851"/>
        <w:jc w:val="both"/>
        <w:rPr>
          <w:rFonts w:ascii="Abadi" w:hAnsi="Abadi" w:cs="Arial"/>
          <w:i/>
          <w:sz w:val="21"/>
          <w:szCs w:val="21"/>
          <w:lang w:val="es-MX" w:eastAsia="en-US"/>
        </w:rPr>
      </w:pPr>
      <w:r w:rsidRPr="0094362E">
        <w:rPr>
          <w:rFonts w:ascii="Abadi" w:hAnsi="Abadi" w:cs="Arial"/>
          <w:i/>
          <w:sz w:val="21"/>
          <w:szCs w:val="21"/>
          <w:lang w:val="es-MX" w:eastAsia="en-US"/>
        </w:rPr>
        <w:t>En la elaboración y aplicación de legislación y políticas para hacer efectiva la presente Convención, y en otros procesos de adopción de decisiones sobre cuestiones relacionadas con las personas con discapacidad, los Estados Partes celebrarán consultas estrechas y colaborarán activamente con las personas con discapacidad, incluidos los niños y las niñas con discapacidad, a través de las organizaciones que las representan.</w:t>
      </w:r>
    </w:p>
    <w:p w14:paraId="1A85BD55" w14:textId="77777777" w:rsidR="0094362E" w:rsidRPr="0094362E" w:rsidRDefault="0094362E" w:rsidP="0094362E">
      <w:pPr>
        <w:widowControl w:val="0"/>
        <w:ind w:left="851" w:right="851"/>
        <w:jc w:val="both"/>
        <w:rPr>
          <w:rFonts w:ascii="Abadi" w:hAnsi="Abadi" w:cs="Arial"/>
          <w:i/>
          <w:sz w:val="21"/>
          <w:szCs w:val="21"/>
          <w:lang w:val="es-MX" w:eastAsia="en-US"/>
        </w:rPr>
      </w:pPr>
    </w:p>
    <w:p w14:paraId="17BD3515"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Derivado de lo anterior, se advierte que existe una obligación por parte del Estado para tomar en cuenta la opinión de las personas con discapacidad y celebrar consultas estrechas de colaboración a través de las organizaciones que los representan. En este tenor se parte de la noción de que esta obligación se actualiza en la adopción de medidas legislativas como podría suceder a partir de la presente iniciativa.</w:t>
      </w:r>
    </w:p>
    <w:p w14:paraId="50AA19E1" w14:textId="77777777" w:rsidR="0094362E" w:rsidRPr="0094362E" w:rsidRDefault="0094362E" w:rsidP="0094362E">
      <w:pPr>
        <w:widowControl w:val="0"/>
        <w:spacing w:line="360" w:lineRule="auto"/>
        <w:jc w:val="both"/>
        <w:rPr>
          <w:rFonts w:ascii="Abadi" w:hAnsi="Abadi" w:cs="Arial"/>
          <w:iCs/>
          <w:sz w:val="21"/>
          <w:szCs w:val="21"/>
          <w:lang w:val="es-MX" w:eastAsia="en-US"/>
        </w:rPr>
      </w:pPr>
    </w:p>
    <w:p w14:paraId="28AFAFDF" w14:textId="77777777" w:rsidR="0094362E" w:rsidRPr="0094362E" w:rsidRDefault="0094362E" w:rsidP="007B6F55">
      <w:pPr>
        <w:widowControl w:val="0"/>
        <w:ind w:firstLine="851"/>
        <w:jc w:val="both"/>
        <w:rPr>
          <w:rFonts w:ascii="Abadi" w:hAnsi="Abadi" w:cs="Arial"/>
          <w:iCs/>
          <w:sz w:val="21"/>
          <w:szCs w:val="21"/>
          <w:lang w:val="es-MX" w:eastAsia="en-US"/>
        </w:rPr>
      </w:pPr>
      <w:r w:rsidRPr="0094362E">
        <w:rPr>
          <w:rFonts w:ascii="Abadi" w:hAnsi="Abadi" w:cs="Arial"/>
          <w:iCs/>
          <w:sz w:val="21"/>
          <w:szCs w:val="21"/>
          <w:lang w:val="es-MX" w:eastAsia="en-US"/>
        </w:rPr>
        <w:t>La Unidad de Estudios de las Finanzas Públicas, destacó que:</w:t>
      </w:r>
    </w:p>
    <w:p w14:paraId="76FABD66" w14:textId="77777777" w:rsidR="0094362E" w:rsidRPr="0094362E" w:rsidRDefault="0094362E" w:rsidP="007B6F55">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…la propuesta propone como un elemento de fortalecimiento, el establecer una Ley especial a nivel local para el trato igualitario de aquellas personas que se hacen acompañar de un perro guía o de asistencia médica, esto en busca de eliminar las barreras que se advierten por la iniciante, que provocan un trato discriminatorio eliminando la posibilidad de facilitar su integración social, limitando su derecho al desarrollo y su bienestar personal; no obstante, es conveniente evaluar el planteamiento ya que pudiera incorporarse como parte de la estructura normativa en la Ley de Inclusión para las Personas con Discapacidad en el Estado de Guanajuato, esto en correspondencia a la estructura normativa federal en relación a las restricciones de accesibilidad, así mismo, dado el involucramiento del trato digno que deben tener los animales, vincular sus alcances a la Ley para la Protección Animal del Estado de Guanajuato, garantizando las condiciones adecuadas en el trato a los perros guía o de asistencia médica, considerando además que se establece como requisito para el reconocimiento de esta actividad, las distintas certificaciones que se realizan de su adiestramiento y condición de salud, que el propio Instituto Guanajuatense paras las Personas con Discapacidad será responsable de vigilar.</w:t>
      </w:r>
    </w:p>
    <w:p w14:paraId="0C40E586" w14:textId="77777777" w:rsidR="0094362E" w:rsidRPr="0094362E" w:rsidRDefault="0094362E" w:rsidP="0094362E">
      <w:pPr>
        <w:widowControl w:val="0"/>
        <w:ind w:left="851" w:right="851"/>
        <w:jc w:val="both"/>
        <w:rPr>
          <w:rFonts w:ascii="Abadi" w:hAnsi="Abadi" w:cs="Arial"/>
          <w:i/>
          <w:sz w:val="21"/>
          <w:szCs w:val="21"/>
          <w:lang w:val="es-MX" w:eastAsia="en-US"/>
        </w:rPr>
      </w:pPr>
    </w:p>
    <w:p w14:paraId="30B1F5B6"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w:t>
      </w:r>
    </w:p>
    <w:p w14:paraId="362C0B27" w14:textId="77777777" w:rsidR="0094362E" w:rsidRPr="0094362E" w:rsidRDefault="0094362E" w:rsidP="0094362E">
      <w:pPr>
        <w:widowControl w:val="0"/>
        <w:ind w:left="851" w:right="851"/>
        <w:jc w:val="both"/>
        <w:rPr>
          <w:rFonts w:ascii="Abadi" w:hAnsi="Abadi" w:cs="Arial"/>
          <w:i/>
          <w:sz w:val="21"/>
          <w:szCs w:val="21"/>
          <w:lang w:val="es-MX" w:eastAsia="en-US"/>
        </w:rPr>
      </w:pPr>
    </w:p>
    <w:p w14:paraId="52B4AE4F" w14:textId="77777777" w:rsidR="0094362E" w:rsidRPr="0094362E" w:rsidRDefault="0094362E" w:rsidP="0094362E">
      <w:pPr>
        <w:widowControl w:val="0"/>
        <w:ind w:left="851" w:right="851"/>
        <w:jc w:val="both"/>
        <w:rPr>
          <w:rFonts w:ascii="Abadi" w:hAnsi="Abadi" w:cs="Arial"/>
          <w:i/>
          <w:sz w:val="21"/>
          <w:szCs w:val="21"/>
          <w:lang w:val="es-MX" w:eastAsia="en-US"/>
        </w:rPr>
      </w:pPr>
    </w:p>
    <w:p w14:paraId="788FF00D"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Derivado de lo anterior, el impacto presupuestal que implica la creación de la &lt;&lt;Ley de los Derechos de las Personas Usuarias de Perros Guía o de Asistencia Médica para el Estado de Guanajuato&gt;&gt;, no prevé un impacto en materia administrativa ya que no modificaría la actual estructura gubernamental al señalar que el Instituto Guanajuatense para las Personas con Discapacidad (INGUDIS) tendrá la atribución de otorgar una identificación al &lt;&lt;Perro Guía&gt;&gt;, misma que deberá de ser colocada de manera visible, según lo señalado en la iniciativa de Ley. Sin embargo, esta acción o trámite administrativo pudiera representar una erogación adicional al presupuesto y una modificación a los procesos actuales del INGUDIS ya que para el presente ejercicio cuenta con un presupuesto de 89.86 millones de pesos, distribuidos en diferentes procesos…</w:t>
      </w:r>
    </w:p>
    <w:p w14:paraId="44F91D61" w14:textId="77777777" w:rsidR="0094362E" w:rsidRPr="0094362E" w:rsidRDefault="0094362E" w:rsidP="0094362E">
      <w:pPr>
        <w:widowControl w:val="0"/>
        <w:ind w:left="851" w:right="851"/>
        <w:jc w:val="both"/>
        <w:rPr>
          <w:rFonts w:ascii="Abadi" w:hAnsi="Abadi" w:cs="Arial"/>
          <w:i/>
          <w:sz w:val="21"/>
          <w:szCs w:val="21"/>
          <w:lang w:val="es-MX" w:eastAsia="en-US"/>
        </w:rPr>
      </w:pPr>
    </w:p>
    <w:p w14:paraId="23E8F96B"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w:t>
      </w:r>
    </w:p>
    <w:p w14:paraId="3BB535EB" w14:textId="77777777" w:rsidR="0094362E" w:rsidRPr="0094362E" w:rsidRDefault="0094362E" w:rsidP="0094362E">
      <w:pPr>
        <w:widowControl w:val="0"/>
        <w:ind w:left="851" w:right="851"/>
        <w:jc w:val="both"/>
        <w:rPr>
          <w:rFonts w:ascii="Abadi" w:hAnsi="Abadi" w:cs="Arial"/>
          <w:i/>
          <w:sz w:val="21"/>
          <w:szCs w:val="21"/>
          <w:lang w:val="es-MX" w:eastAsia="en-US"/>
        </w:rPr>
      </w:pPr>
    </w:p>
    <w:p w14:paraId="31E24D1E"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También se considera necesario vincular un impacto económico para las dependencias y entidades que otorgan servicios al público, las cuales deberán de realizar las modificaciones y señalizaciones requeridas para este fin y para los prestadores de servicios o dueños de establecimientos comerciales ya que deberán realizar modificaciones estructurales, como es el caso de los prestadores de servicios de transporte o en la compra de señalizaciones o adecuación de espacios por parte de los dueños de establecimientos comerciales con la finalidad de garantizar el derecho de acceso en lugares públicos del Estado de Guanajuato.</w:t>
      </w:r>
    </w:p>
    <w:p w14:paraId="51B53C15" w14:textId="77777777" w:rsidR="0094362E" w:rsidRPr="0094362E" w:rsidRDefault="0094362E" w:rsidP="0094362E">
      <w:pPr>
        <w:widowControl w:val="0"/>
        <w:ind w:left="851" w:right="851"/>
        <w:jc w:val="both"/>
        <w:rPr>
          <w:rFonts w:ascii="Abadi" w:hAnsi="Abadi" w:cs="Arial"/>
          <w:i/>
          <w:sz w:val="21"/>
          <w:szCs w:val="21"/>
          <w:lang w:val="es-MX" w:eastAsia="en-US"/>
        </w:rPr>
      </w:pPr>
    </w:p>
    <w:p w14:paraId="30CED6B5" w14:textId="77777777" w:rsidR="0094362E" w:rsidRPr="0094362E" w:rsidRDefault="0094362E" w:rsidP="0094362E">
      <w:pPr>
        <w:widowControl w:val="0"/>
        <w:ind w:left="851" w:right="851"/>
        <w:jc w:val="both"/>
        <w:rPr>
          <w:rFonts w:ascii="Abadi" w:hAnsi="Abadi" w:cs="Arial"/>
          <w:b/>
          <w:bCs/>
          <w:i/>
          <w:sz w:val="21"/>
          <w:szCs w:val="21"/>
          <w:lang w:val="es-MX" w:eastAsia="en-US"/>
        </w:rPr>
      </w:pPr>
      <w:r w:rsidRPr="0094362E">
        <w:rPr>
          <w:rFonts w:ascii="Abadi" w:hAnsi="Abadi" w:cs="Arial"/>
          <w:b/>
          <w:bCs/>
          <w:i/>
          <w:sz w:val="21"/>
          <w:szCs w:val="21"/>
          <w:lang w:val="es-MX" w:eastAsia="en-US"/>
        </w:rPr>
        <w:t>IV. Conclusiones del Estudio:</w:t>
      </w:r>
    </w:p>
    <w:p w14:paraId="0A0FB8DF" w14:textId="77777777" w:rsidR="0094362E" w:rsidRPr="0094362E" w:rsidRDefault="0094362E" w:rsidP="0094362E">
      <w:pPr>
        <w:widowControl w:val="0"/>
        <w:ind w:left="851" w:right="851"/>
        <w:jc w:val="both"/>
        <w:rPr>
          <w:rFonts w:ascii="Abadi" w:hAnsi="Abadi" w:cs="Arial"/>
          <w:i/>
          <w:sz w:val="21"/>
          <w:szCs w:val="21"/>
          <w:lang w:val="es-MX" w:eastAsia="en-US"/>
        </w:rPr>
      </w:pPr>
    </w:p>
    <w:p w14:paraId="1833F1B2"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Del análisis, se advierte que el objeto de esta nueva ley, es reconocer el derecho de igualdad con el resto de la sociedad, para aquellas personas que requieren el uso de perros guías o de asistencia médica, garantizándoles el acceso a todos los lugares, sean públicos o privados, incluyendo el acceso a los servicios de transporte, todo esto como parte de la &lt;&lt;accesibilidad&gt;&gt; considerada como un principio rector para la formulación de políticas públicas y la inclusión social de las personas con discapacidad en el Estado; al respecto, del texto normativo que se propone, se advierte un impacto presupuestal marginal para el Instituto Guanajuatense para las Personas con Discapacidad, ya que como responsable de vigilar su cumplimiento, no altera o modifica su estructura organizacional, sin embargo, implica la erogación de recursos al otorgar un distintivo a cada &lt;&lt;Perro Guía&gt;&gt;, gasto presupuestal que deberá cubrirse con los recursos asignados para el presente ejercicio fiscal, así como las dependencias y entidades que otorgan servicios al público, deberán de realizar las modificaciones y señalizaciones requeridas para este fin. Adicionalmente se prevé un impacto económico para los prestadores de servicios o dueños de establecimientos al considerar la necesidad de adquirir señalizaciones o modificación de espacios con la finalidad de garantizar el derecho de acceso a lugares públicos del Estado de Guanajuato.</w:t>
      </w:r>
    </w:p>
    <w:p w14:paraId="1BCBF35D" w14:textId="77777777" w:rsidR="0094362E" w:rsidRPr="0094362E" w:rsidRDefault="0094362E" w:rsidP="0094362E">
      <w:pPr>
        <w:widowControl w:val="0"/>
        <w:ind w:left="851" w:right="851"/>
        <w:jc w:val="both"/>
        <w:rPr>
          <w:rFonts w:ascii="Abadi" w:hAnsi="Abadi" w:cs="Arial"/>
          <w:i/>
          <w:sz w:val="21"/>
          <w:szCs w:val="21"/>
          <w:lang w:val="es-MX" w:eastAsia="en-US"/>
        </w:rPr>
      </w:pPr>
    </w:p>
    <w:p w14:paraId="7A43E503"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Se recomienda evaluar el planteamiento como una nueva Ley, o modificar el planteamiento como una incorporación en la estructura normativa en la Ley de Inclusión para las Personas con Discapacidad en el Estado de Guanajuato, esto en correspondencia a la estructura normativa federal en relación a las restricciones de accesibilidad, así mismo, vincular sus  alcances a la Ley para la Protección Animal del Estado de Guanajuato, garantizando el trato y condiciones que se deben otorgar a los perros guía o de asistencia médica.</w:t>
      </w:r>
    </w:p>
    <w:p w14:paraId="19B5A711" w14:textId="77777777" w:rsidR="0094362E" w:rsidRPr="0094362E" w:rsidRDefault="0094362E" w:rsidP="0094362E">
      <w:pPr>
        <w:widowControl w:val="0"/>
        <w:spacing w:line="360" w:lineRule="auto"/>
        <w:jc w:val="both"/>
        <w:rPr>
          <w:rFonts w:ascii="Abadi" w:hAnsi="Abadi" w:cs="Arial"/>
          <w:iCs/>
          <w:sz w:val="21"/>
          <w:szCs w:val="21"/>
          <w:lang w:val="es-MX" w:eastAsia="en-US"/>
        </w:rPr>
      </w:pPr>
    </w:p>
    <w:p w14:paraId="68D6FE21" w14:textId="77777777" w:rsidR="0094362E" w:rsidRPr="0094362E" w:rsidRDefault="0094362E" w:rsidP="007B6F55">
      <w:pPr>
        <w:widowControl w:val="0"/>
        <w:ind w:firstLine="851"/>
        <w:jc w:val="both"/>
        <w:rPr>
          <w:rFonts w:ascii="Abadi" w:hAnsi="Abadi" w:cs="Arial"/>
          <w:iCs/>
          <w:sz w:val="21"/>
          <w:szCs w:val="21"/>
          <w:lang w:val="es-MX" w:eastAsia="en-US"/>
        </w:rPr>
      </w:pPr>
      <w:r w:rsidRPr="0094362E">
        <w:rPr>
          <w:rFonts w:ascii="Abadi" w:hAnsi="Abadi" w:cs="Arial"/>
          <w:iCs/>
          <w:sz w:val="21"/>
          <w:szCs w:val="21"/>
          <w:lang w:val="es-MX" w:eastAsia="en-US"/>
        </w:rPr>
        <w:t>El Instituto de Investigaciones Legislativas en su opinión manifestó que:</w:t>
      </w:r>
    </w:p>
    <w:p w14:paraId="1AE038B8" w14:textId="77777777" w:rsidR="0094362E" w:rsidRPr="0094362E" w:rsidRDefault="0094362E" w:rsidP="0094362E">
      <w:pPr>
        <w:widowControl w:val="0"/>
        <w:spacing w:line="360" w:lineRule="auto"/>
        <w:jc w:val="both"/>
        <w:rPr>
          <w:rFonts w:ascii="Abadi" w:hAnsi="Abadi" w:cs="Arial"/>
          <w:iCs/>
          <w:sz w:val="21"/>
          <w:szCs w:val="21"/>
          <w:lang w:val="es-MX" w:eastAsia="en-US"/>
        </w:rPr>
      </w:pPr>
    </w:p>
    <w:p w14:paraId="26ECA092"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En la iniciativa propuesta por la legisladora, se establece la configuración de un binomio compuesto por una persona que presenta una discapacidad y un perro guía o de asistencia médica.</w:t>
      </w:r>
    </w:p>
    <w:p w14:paraId="5ED8BD94" w14:textId="77777777" w:rsidR="0094362E" w:rsidRPr="0094362E" w:rsidRDefault="0094362E" w:rsidP="0094362E">
      <w:pPr>
        <w:widowControl w:val="0"/>
        <w:ind w:left="851" w:right="851"/>
        <w:jc w:val="both"/>
        <w:rPr>
          <w:rFonts w:ascii="Abadi" w:hAnsi="Abadi" w:cs="Arial"/>
          <w:i/>
          <w:sz w:val="21"/>
          <w:szCs w:val="21"/>
          <w:lang w:val="es-MX" w:eastAsia="en-US"/>
        </w:rPr>
      </w:pPr>
    </w:p>
    <w:p w14:paraId="3BEDCDFA"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Hasta ahora solo hemos presentado los datos estadísticos (El 5.5% vive con algún tipo de discapacidad o dificultad para realizar alguna actividad, de una población asciende a 5 millones 853 mil personas) que nos permiten determinar la población objetivo; no obstante, para su determinación es necesario cuestionarnos, ¿qué grupo de personas con discapacidad son candidatos para que por prescripción médica se les asigne un perro guía?; Debido a que anteriormente, solo se limitaba a personas con discapacidad visual. Ahora es más amplio la aplicación de estos perros de asistencia médica, ya que son entrenados y adiestrados para avisar a personas con discapacidad auditiva de la emisión de sonidos y su procedencia, o como perros de servicio, como apoyo a personas con discapacidad física; o bien, son adiestrados para preservar la integridad física de personas con trastornos del espectro autista; entre otras diversas funciones que, con el adiestramiento adecuado, estos perros son capaces de realizar. Por lo que, en la actualidad, son utilizados como apoyo para personas con cualquier tipo de discapacidad.</w:t>
      </w:r>
    </w:p>
    <w:p w14:paraId="2D03C949" w14:textId="77777777" w:rsidR="0094362E" w:rsidRPr="0094362E" w:rsidRDefault="0094362E" w:rsidP="0094362E">
      <w:pPr>
        <w:widowControl w:val="0"/>
        <w:ind w:left="851" w:right="851"/>
        <w:jc w:val="both"/>
        <w:rPr>
          <w:rFonts w:ascii="Abadi" w:hAnsi="Abadi" w:cs="Arial"/>
          <w:i/>
          <w:sz w:val="21"/>
          <w:szCs w:val="21"/>
          <w:lang w:val="es-MX" w:eastAsia="en-US"/>
        </w:rPr>
      </w:pPr>
    </w:p>
    <w:p w14:paraId="054DCAB8"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Y aunque se ha legislado en materia de protección animal, y se ha vuelto común que en la composición familiar exista un perro como mascota, no es garantía de que estos, cumplan con los requerimientos que un perro guía o de asistencia médica debe contar, ya que, se requiere de un entrenamiento y adiestramiento especial, para que estos perros sean capaces de cumplir con esta noble labor, la cual, constituye un trabajo del cual depende una persona que presenta una discapacidad y que tiene la necesidad de integrarlo a su vida.</w:t>
      </w:r>
    </w:p>
    <w:p w14:paraId="1466961D" w14:textId="77777777" w:rsidR="0094362E" w:rsidRPr="0094362E" w:rsidRDefault="0094362E" w:rsidP="0094362E">
      <w:pPr>
        <w:widowControl w:val="0"/>
        <w:ind w:left="851" w:right="851"/>
        <w:jc w:val="both"/>
        <w:rPr>
          <w:rFonts w:ascii="Abadi" w:hAnsi="Abadi" w:cs="Arial"/>
          <w:i/>
          <w:sz w:val="21"/>
          <w:szCs w:val="21"/>
          <w:lang w:val="es-MX" w:eastAsia="en-US"/>
        </w:rPr>
      </w:pPr>
    </w:p>
    <w:p w14:paraId="3E99A2E3"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Ahora bien, para que un perro pueda ser considerado guía o de asistencia médica, debe ser sometido a un adiestramiento especial. Formalmente en México se encontró a la Escuela para entrenamiento de perros guías para ciegos I.A.P.</w:t>
      </w:r>
      <w:sdt>
        <w:sdtPr>
          <w:rPr>
            <w:rFonts w:ascii="Abadi" w:hAnsi="Abadi" w:cs="Arial"/>
            <w:i/>
            <w:sz w:val="21"/>
            <w:szCs w:val="21"/>
            <w:lang w:val="es-MX" w:eastAsia="en-US"/>
          </w:rPr>
          <w:id w:val="-276869973"/>
          <w:citation/>
        </w:sdtPr>
        <w:sdtEndPr/>
        <w:sdtContent>
          <w:r w:rsidRPr="0094362E">
            <w:rPr>
              <w:rFonts w:ascii="Abadi" w:hAnsi="Abadi" w:cs="Arial"/>
              <w:i/>
              <w:sz w:val="21"/>
              <w:szCs w:val="21"/>
              <w:lang w:val="es-MX" w:eastAsia="en-US"/>
            </w:rPr>
            <w:fldChar w:fldCharType="begin"/>
          </w:r>
          <w:r w:rsidRPr="0094362E">
            <w:rPr>
              <w:rFonts w:ascii="Abadi" w:hAnsi="Abadi" w:cs="Arial"/>
              <w:i/>
              <w:sz w:val="21"/>
              <w:szCs w:val="21"/>
              <w:lang w:val="es-MX" w:eastAsia="en-US"/>
            </w:rPr>
            <w:instrText xml:space="preserve"> CITATION Sil20 \l 2058 </w:instrText>
          </w:r>
          <w:r w:rsidRPr="0094362E">
            <w:rPr>
              <w:rFonts w:ascii="Abadi" w:hAnsi="Abadi" w:cs="Arial"/>
              <w:i/>
              <w:sz w:val="21"/>
              <w:szCs w:val="21"/>
              <w:lang w:val="es-MX" w:eastAsia="en-US"/>
            </w:rPr>
            <w:fldChar w:fldCharType="separate"/>
          </w:r>
          <w:r w:rsidRPr="0094362E">
            <w:rPr>
              <w:rFonts w:ascii="Abadi" w:hAnsi="Abadi" w:cs="Arial"/>
              <w:i/>
              <w:sz w:val="21"/>
              <w:szCs w:val="21"/>
              <w:lang w:val="es-MX" w:eastAsia="en-US"/>
            </w:rPr>
            <w:t xml:space="preserve"> (Silvia Lozada Badillo, 2020)</w:t>
          </w:r>
          <w:r w:rsidRPr="0094362E">
            <w:rPr>
              <w:rFonts w:ascii="Abadi" w:hAnsi="Abadi" w:cs="Arial"/>
              <w:i/>
              <w:sz w:val="21"/>
              <w:szCs w:val="21"/>
              <w:lang w:val="es-MX" w:eastAsia="en-US"/>
            </w:rPr>
            <w:fldChar w:fldCharType="end"/>
          </w:r>
        </w:sdtContent>
      </w:sdt>
      <w:r w:rsidRPr="0094362E">
        <w:rPr>
          <w:rFonts w:ascii="Abadi" w:hAnsi="Abadi" w:cs="Arial"/>
          <w:i/>
          <w:sz w:val="21"/>
          <w:szCs w:val="21"/>
          <w:lang w:val="es-MX" w:eastAsia="en-US"/>
        </w:rPr>
        <w:t>, la cual, se constituyo desde el año 1995 como institución de asistencia privada, pero fue hasta 1997 cuando se inauguraron sus instalaciones en Avenida Canal Nacional número 1075, Colonia Villa Quietud, alcaldía Coyoacán, Ciudad de México.</w:t>
      </w:r>
    </w:p>
    <w:p w14:paraId="270ABBD4" w14:textId="77777777" w:rsidR="0094362E" w:rsidRPr="0094362E" w:rsidRDefault="0094362E" w:rsidP="0094362E">
      <w:pPr>
        <w:widowControl w:val="0"/>
        <w:ind w:left="851" w:right="851"/>
        <w:jc w:val="both"/>
        <w:rPr>
          <w:rFonts w:ascii="Abadi" w:hAnsi="Abadi" w:cs="Arial"/>
          <w:i/>
          <w:sz w:val="21"/>
          <w:szCs w:val="21"/>
          <w:lang w:val="es-MX" w:eastAsia="en-US"/>
        </w:rPr>
      </w:pPr>
    </w:p>
    <w:p w14:paraId="61D473ED"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Existe también una entidad de carácter social acreditada por ADI (Assistance Dogs International) que se dedica a mejorar la calidad de vida de personas en situaciones de discapacidad o desventaja social a través del estudio de la conducta y la implementación de programas de perros de asistencia o terapia &amp; educación asistida con animales. Denominada Fundación Bocalán</w:t>
      </w:r>
      <w:sdt>
        <w:sdtPr>
          <w:rPr>
            <w:rFonts w:ascii="Abadi" w:hAnsi="Abadi" w:cs="Arial"/>
            <w:i/>
            <w:sz w:val="21"/>
            <w:szCs w:val="21"/>
            <w:lang w:val="es-MX" w:eastAsia="en-US"/>
          </w:rPr>
          <w:id w:val="50664098"/>
          <w:citation/>
        </w:sdtPr>
        <w:sdtEndPr/>
        <w:sdtContent>
          <w:r w:rsidRPr="0094362E">
            <w:rPr>
              <w:rFonts w:ascii="Abadi" w:hAnsi="Abadi" w:cs="Arial"/>
              <w:i/>
              <w:sz w:val="21"/>
              <w:szCs w:val="21"/>
              <w:lang w:val="es-MX" w:eastAsia="en-US"/>
            </w:rPr>
            <w:fldChar w:fldCharType="begin"/>
          </w:r>
          <w:r w:rsidRPr="0094362E">
            <w:rPr>
              <w:rFonts w:ascii="Abadi" w:hAnsi="Abadi" w:cs="Arial"/>
              <w:i/>
              <w:sz w:val="21"/>
              <w:szCs w:val="21"/>
              <w:lang w:val="es-MX" w:eastAsia="en-US"/>
            </w:rPr>
            <w:instrText xml:space="preserve"> CITATION Fun20 \l 2058 </w:instrText>
          </w:r>
          <w:r w:rsidRPr="0094362E">
            <w:rPr>
              <w:rFonts w:ascii="Abadi" w:hAnsi="Abadi" w:cs="Arial"/>
              <w:i/>
              <w:sz w:val="21"/>
              <w:szCs w:val="21"/>
              <w:lang w:val="es-MX" w:eastAsia="en-US"/>
            </w:rPr>
            <w:fldChar w:fldCharType="separate"/>
          </w:r>
          <w:r w:rsidRPr="0094362E">
            <w:rPr>
              <w:rFonts w:ascii="Abadi" w:hAnsi="Abadi" w:cs="Arial"/>
              <w:i/>
              <w:sz w:val="21"/>
              <w:szCs w:val="21"/>
              <w:lang w:val="es-MX" w:eastAsia="en-US"/>
            </w:rPr>
            <w:t xml:space="preserve"> (Fundación Bocalán, 2020)</w:t>
          </w:r>
          <w:r w:rsidRPr="0094362E">
            <w:rPr>
              <w:rFonts w:ascii="Abadi" w:hAnsi="Abadi" w:cs="Arial"/>
              <w:i/>
              <w:sz w:val="21"/>
              <w:szCs w:val="21"/>
              <w:lang w:val="es-MX" w:eastAsia="en-US"/>
            </w:rPr>
            <w:fldChar w:fldCharType="end"/>
          </w:r>
        </w:sdtContent>
      </w:sdt>
      <w:r w:rsidRPr="0094362E">
        <w:rPr>
          <w:rFonts w:ascii="Abadi" w:hAnsi="Abadi" w:cs="Arial"/>
          <w:i/>
          <w:sz w:val="21"/>
          <w:szCs w:val="21"/>
          <w:lang w:val="es-MX" w:eastAsia="en-US"/>
        </w:rPr>
        <w:t>, la cual tiene presencia en México desde el 2012, de la cual no se encontró con una dirección web, solo tienen habilitada una cuenta en Facebook</w:t>
      </w:r>
      <w:sdt>
        <w:sdtPr>
          <w:rPr>
            <w:rFonts w:ascii="Abadi" w:hAnsi="Abadi" w:cs="Arial"/>
            <w:i/>
            <w:sz w:val="21"/>
            <w:szCs w:val="21"/>
            <w:lang w:val="es-MX" w:eastAsia="en-US"/>
          </w:rPr>
          <w:id w:val="-680969957"/>
          <w:citation/>
        </w:sdtPr>
        <w:sdtEndPr/>
        <w:sdtContent>
          <w:r w:rsidRPr="0094362E">
            <w:rPr>
              <w:rFonts w:ascii="Abadi" w:hAnsi="Abadi" w:cs="Arial"/>
              <w:i/>
              <w:sz w:val="21"/>
              <w:szCs w:val="21"/>
              <w:lang w:val="es-MX" w:eastAsia="en-US"/>
            </w:rPr>
            <w:fldChar w:fldCharType="begin"/>
          </w:r>
          <w:r w:rsidRPr="0094362E">
            <w:rPr>
              <w:rFonts w:ascii="Abadi" w:hAnsi="Abadi" w:cs="Arial"/>
              <w:i/>
              <w:sz w:val="21"/>
              <w:szCs w:val="21"/>
              <w:lang w:val="es-MX" w:eastAsia="en-US"/>
            </w:rPr>
            <w:instrText xml:space="preserve"> CITATION Boc20 \l 2058 </w:instrText>
          </w:r>
          <w:r w:rsidRPr="0094362E">
            <w:rPr>
              <w:rFonts w:ascii="Abadi" w:hAnsi="Abadi" w:cs="Arial"/>
              <w:i/>
              <w:sz w:val="21"/>
              <w:szCs w:val="21"/>
              <w:lang w:val="es-MX" w:eastAsia="en-US"/>
            </w:rPr>
            <w:fldChar w:fldCharType="separate"/>
          </w:r>
          <w:r w:rsidRPr="0094362E">
            <w:rPr>
              <w:rFonts w:ascii="Abadi" w:hAnsi="Abadi" w:cs="Arial"/>
              <w:i/>
              <w:sz w:val="21"/>
              <w:szCs w:val="21"/>
              <w:lang w:val="es-MX" w:eastAsia="en-US"/>
            </w:rPr>
            <w:t xml:space="preserve"> (Bocalán México, 2020)</w:t>
          </w:r>
          <w:r w:rsidRPr="0094362E">
            <w:rPr>
              <w:rFonts w:ascii="Abadi" w:hAnsi="Abadi" w:cs="Arial"/>
              <w:i/>
              <w:sz w:val="21"/>
              <w:szCs w:val="21"/>
              <w:lang w:val="es-MX" w:eastAsia="en-US"/>
            </w:rPr>
            <w:fldChar w:fldCharType="end"/>
          </w:r>
        </w:sdtContent>
      </w:sdt>
      <w:r w:rsidRPr="0094362E">
        <w:rPr>
          <w:rFonts w:ascii="Abadi" w:hAnsi="Abadi" w:cs="Arial"/>
          <w:i/>
          <w:sz w:val="21"/>
          <w:szCs w:val="21"/>
          <w:lang w:val="es-MX" w:eastAsia="en-US"/>
        </w:rPr>
        <w:t>.</w:t>
      </w:r>
    </w:p>
    <w:p w14:paraId="2E7048FB" w14:textId="77777777" w:rsidR="0094362E" w:rsidRPr="0094362E" w:rsidRDefault="0094362E" w:rsidP="0094362E">
      <w:pPr>
        <w:widowControl w:val="0"/>
        <w:ind w:left="851" w:right="851"/>
        <w:jc w:val="both"/>
        <w:rPr>
          <w:rFonts w:ascii="Abadi" w:hAnsi="Abadi" w:cs="Arial"/>
          <w:i/>
          <w:sz w:val="21"/>
          <w:szCs w:val="21"/>
          <w:lang w:val="es-MX" w:eastAsia="en-US"/>
        </w:rPr>
      </w:pPr>
    </w:p>
    <w:p w14:paraId="24AC7EA8"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Ambas instituciones dependen de la donación, como fuentes de ingresos.</w:t>
      </w:r>
    </w:p>
    <w:p w14:paraId="0883B2B9" w14:textId="77777777" w:rsidR="0094362E" w:rsidRPr="0094362E" w:rsidRDefault="0094362E" w:rsidP="0094362E">
      <w:pPr>
        <w:widowControl w:val="0"/>
        <w:ind w:left="851" w:right="851"/>
        <w:jc w:val="both"/>
        <w:rPr>
          <w:rFonts w:ascii="Abadi" w:hAnsi="Abadi" w:cs="Arial"/>
          <w:i/>
          <w:sz w:val="21"/>
          <w:szCs w:val="21"/>
          <w:lang w:val="es-MX" w:eastAsia="en-US"/>
        </w:rPr>
      </w:pPr>
    </w:p>
    <w:p w14:paraId="3F6C25D2"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Existen además en nuestro país otras escuelas de adiestramiento canino, pero no se especializan en el adiestramiento de perros guías o de asistencia médica. En el estado de Guanajuato, no se detecto la existencia de escuelas formalmente establecidas y dedicadas al adiestramiento canino especializadas en perros guías para personas con discapacidad.</w:t>
      </w:r>
    </w:p>
    <w:p w14:paraId="32F3AF20" w14:textId="77777777" w:rsidR="0094362E" w:rsidRPr="0094362E" w:rsidRDefault="0094362E" w:rsidP="0094362E">
      <w:pPr>
        <w:widowControl w:val="0"/>
        <w:ind w:left="851" w:right="851"/>
        <w:jc w:val="both"/>
        <w:rPr>
          <w:rFonts w:ascii="Abadi" w:hAnsi="Abadi" w:cs="Arial"/>
          <w:i/>
          <w:sz w:val="21"/>
          <w:szCs w:val="21"/>
          <w:lang w:val="es-MX" w:eastAsia="en-US"/>
        </w:rPr>
      </w:pPr>
    </w:p>
    <w:p w14:paraId="49921D31"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Y aunque el perro guía no se vende el solicitante debe cubrir cuotas de recuperación donde se incluye, el tiempo que estuvo en el albergue, la alimentación, sus accesorios (collar, correa, comedero, peine, cepillo, placa de identificación y microchip) y por la capacitación en el manejo del perro guía dando un total aproximado de $25,000.00 (veinticinco mil pesos 00/100 MXN). Para esto se deben cubrir primeramente con ciertos requisitos para solicitar un perro guía.</w:t>
      </w:r>
    </w:p>
    <w:p w14:paraId="0576ADFB" w14:textId="77777777" w:rsidR="0094362E" w:rsidRPr="0094362E" w:rsidRDefault="0094362E" w:rsidP="0094362E">
      <w:pPr>
        <w:widowControl w:val="0"/>
        <w:ind w:left="851" w:right="851"/>
        <w:jc w:val="both"/>
        <w:rPr>
          <w:rFonts w:ascii="Abadi" w:hAnsi="Abadi" w:cs="Arial"/>
          <w:i/>
          <w:sz w:val="21"/>
          <w:szCs w:val="21"/>
          <w:lang w:val="es-MX" w:eastAsia="en-US"/>
        </w:rPr>
      </w:pPr>
    </w:p>
    <w:p w14:paraId="34FD2D1B"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De lo anteriormente expuesto podemos concluir que, en el Estado de Guanajuato, la población asciende a 5 millones 853 mil personas, de las cuales el 5.5% vive con algún tipo de discapacidad o dificultad para realizar alguna actividad. Y aunque no se encontraron registros de cuantas personas son usuarias de perros guía en el estado de Guanajuato, se estima que debe ser un grupo muy reducido al existir pocas escuelas especializadas al adiestramiento de estos animales en el país, y, por otra parte, está el poder cubrir con los requisitos establecidos para solicitar un perro de asistencia médica.</w:t>
      </w:r>
    </w:p>
    <w:p w14:paraId="6FB8441D" w14:textId="77777777" w:rsidR="0094362E" w:rsidRPr="0094362E" w:rsidRDefault="0094362E" w:rsidP="0094362E">
      <w:pPr>
        <w:widowControl w:val="0"/>
        <w:ind w:left="851" w:right="851"/>
        <w:jc w:val="both"/>
        <w:rPr>
          <w:rFonts w:ascii="Abadi" w:hAnsi="Abadi" w:cs="Arial"/>
          <w:i/>
          <w:sz w:val="21"/>
          <w:szCs w:val="21"/>
          <w:lang w:val="es-MX" w:eastAsia="en-US"/>
        </w:rPr>
      </w:pPr>
    </w:p>
    <w:p w14:paraId="0B1A0E8A"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w:t>
      </w:r>
    </w:p>
    <w:p w14:paraId="01AC7D4F" w14:textId="77777777" w:rsidR="0094362E" w:rsidRPr="0094362E" w:rsidRDefault="0094362E" w:rsidP="0094362E">
      <w:pPr>
        <w:widowControl w:val="0"/>
        <w:ind w:left="851" w:right="851"/>
        <w:jc w:val="both"/>
        <w:rPr>
          <w:rFonts w:ascii="Abadi" w:hAnsi="Abadi" w:cs="Arial"/>
          <w:i/>
          <w:sz w:val="21"/>
          <w:szCs w:val="21"/>
          <w:lang w:val="es-MX" w:eastAsia="en-US"/>
        </w:rPr>
      </w:pPr>
    </w:p>
    <w:p w14:paraId="514FE384" w14:textId="77777777" w:rsidR="0094362E" w:rsidRPr="0094362E" w:rsidRDefault="0094362E" w:rsidP="0094362E">
      <w:pPr>
        <w:widowControl w:val="0"/>
        <w:ind w:left="851" w:right="851"/>
        <w:jc w:val="both"/>
        <w:rPr>
          <w:rFonts w:ascii="Abadi" w:hAnsi="Abadi" w:cs="Arial"/>
          <w:i/>
          <w:sz w:val="21"/>
          <w:szCs w:val="21"/>
          <w:lang w:val="es-MX" w:eastAsia="en-US"/>
        </w:rPr>
      </w:pPr>
      <w:bookmarkStart w:id="5" w:name="_Toc44427253"/>
      <w:r w:rsidRPr="0094362E">
        <w:rPr>
          <w:rFonts w:ascii="Abadi" w:hAnsi="Abadi" w:cs="Arial"/>
          <w:i/>
          <w:sz w:val="21"/>
          <w:szCs w:val="21"/>
          <w:lang w:val="es-MX" w:eastAsia="en-US"/>
        </w:rPr>
        <w:t>d) Información de soporte</w:t>
      </w:r>
      <w:bookmarkEnd w:id="5"/>
    </w:p>
    <w:p w14:paraId="00D8120E" w14:textId="77777777" w:rsidR="0094362E" w:rsidRPr="0094362E" w:rsidRDefault="0094362E" w:rsidP="0094362E">
      <w:pPr>
        <w:widowControl w:val="0"/>
        <w:ind w:left="851" w:right="851"/>
        <w:jc w:val="both"/>
        <w:rPr>
          <w:rFonts w:ascii="Abadi" w:hAnsi="Abadi" w:cs="Arial"/>
          <w:i/>
          <w:sz w:val="21"/>
          <w:szCs w:val="21"/>
          <w:lang w:val="es-MX" w:eastAsia="en-US"/>
        </w:rPr>
      </w:pPr>
    </w:p>
    <w:p w14:paraId="7C39580F"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Derivado de la revisión y análisis de las legislaciones de cada una de las entidades federativas, se observó que ninguna de estas cuenta con una ley, norma o instrumento jurídico especializado, como lo propone la iniciante en el documento que da origen al presente Estudio. De igual forma se pudo apreciar que ciertas entidades como lo son Baja California, Baja California Sur, Campeche, Nuevo León y la Ciudad de México por resaltar algunas, tiene dentro de la legislación en materia de inclusión a personas con discapacidad o similares algunos artículos referentes al tema que se pretende regular con esta iniciativa.</w:t>
      </w:r>
    </w:p>
    <w:p w14:paraId="3EF42166" w14:textId="77777777" w:rsidR="0094362E" w:rsidRPr="0094362E" w:rsidRDefault="0094362E" w:rsidP="0094362E">
      <w:pPr>
        <w:widowControl w:val="0"/>
        <w:ind w:left="851" w:right="851"/>
        <w:jc w:val="both"/>
        <w:rPr>
          <w:rFonts w:ascii="Abadi" w:hAnsi="Abadi" w:cs="Arial"/>
          <w:i/>
          <w:sz w:val="21"/>
          <w:szCs w:val="21"/>
          <w:lang w:val="es-MX" w:eastAsia="en-US"/>
        </w:rPr>
      </w:pPr>
    </w:p>
    <w:p w14:paraId="36B2254A" w14:textId="77777777" w:rsidR="0094362E" w:rsidRPr="0094362E" w:rsidRDefault="0094362E" w:rsidP="0094362E">
      <w:pPr>
        <w:widowControl w:val="0"/>
        <w:ind w:left="851" w:right="851"/>
        <w:jc w:val="both"/>
        <w:rPr>
          <w:rFonts w:ascii="Abadi" w:hAnsi="Abadi" w:cs="Arial"/>
          <w:i/>
          <w:sz w:val="21"/>
          <w:szCs w:val="21"/>
          <w:lang w:val="es-MX" w:eastAsia="en-US"/>
        </w:rPr>
      </w:pPr>
      <w:bookmarkStart w:id="6" w:name="_Toc44427254"/>
      <w:r w:rsidRPr="0094362E">
        <w:rPr>
          <w:rFonts w:ascii="Abadi" w:hAnsi="Abadi" w:cs="Arial"/>
          <w:i/>
          <w:sz w:val="21"/>
          <w:szCs w:val="21"/>
          <w:lang w:val="es-MX" w:eastAsia="en-US"/>
        </w:rPr>
        <w:t>e) Conclusiones</w:t>
      </w:r>
      <w:bookmarkEnd w:id="6"/>
    </w:p>
    <w:p w14:paraId="6B4D5C8D" w14:textId="77777777" w:rsidR="0094362E" w:rsidRPr="0094362E" w:rsidRDefault="0094362E" w:rsidP="0094362E">
      <w:pPr>
        <w:widowControl w:val="0"/>
        <w:ind w:left="851" w:right="851"/>
        <w:jc w:val="both"/>
        <w:rPr>
          <w:rFonts w:ascii="Abadi" w:hAnsi="Abadi" w:cs="Arial"/>
          <w:i/>
          <w:sz w:val="21"/>
          <w:szCs w:val="21"/>
          <w:lang w:val="es-MX" w:eastAsia="en-US"/>
        </w:rPr>
      </w:pPr>
    </w:p>
    <w:p w14:paraId="11E470CE"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De lo anterior expuesto se concluye lo siguiente:</w:t>
      </w:r>
    </w:p>
    <w:p w14:paraId="03C851C0" w14:textId="77777777" w:rsidR="0094362E" w:rsidRPr="0094362E" w:rsidRDefault="0094362E" w:rsidP="0094362E">
      <w:pPr>
        <w:widowControl w:val="0"/>
        <w:ind w:left="851" w:right="851"/>
        <w:jc w:val="both"/>
        <w:rPr>
          <w:rFonts w:ascii="Abadi" w:hAnsi="Abadi" w:cs="Arial"/>
          <w:i/>
          <w:sz w:val="21"/>
          <w:szCs w:val="21"/>
          <w:lang w:val="es-MX" w:eastAsia="en-US"/>
        </w:rPr>
      </w:pPr>
    </w:p>
    <w:p w14:paraId="36F4EE18"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PRIMERO. El Congreso del Estado está, facultado para legislar en materia derechos de usuarios de perros guía o de asistencia médica; al no existir ningún impedimento o restricción inscrita en el texto de la Constitucional Federal, en materia de Derechos humanos, por no tratarse de un tema que sea de competencia exclusiva, reservado a la federación.</w:t>
      </w:r>
    </w:p>
    <w:p w14:paraId="6D5EE329" w14:textId="77777777" w:rsidR="0094362E" w:rsidRPr="0094362E" w:rsidRDefault="0094362E" w:rsidP="0094362E">
      <w:pPr>
        <w:widowControl w:val="0"/>
        <w:ind w:left="851" w:right="851"/>
        <w:jc w:val="both"/>
        <w:rPr>
          <w:rFonts w:ascii="Abadi" w:hAnsi="Abadi" w:cs="Arial"/>
          <w:i/>
          <w:sz w:val="21"/>
          <w:szCs w:val="21"/>
          <w:lang w:val="es-MX" w:eastAsia="en-US"/>
        </w:rPr>
      </w:pPr>
    </w:p>
    <w:p w14:paraId="6C3D90EE"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SEGUNDO. La propuesta de la iniciante atiende una problemática social de uno de los sectores de la población que está considerado como de mayor vulnerabilidad; los derechos de las personas con discapacidad que son usuarios de perros guías o de asistencia médica, para asegurar su inclusión en los espacios públicos y privados. Para lo cual, se carece de regulación jurídica.</w:t>
      </w:r>
    </w:p>
    <w:p w14:paraId="10EDF02D" w14:textId="77777777" w:rsidR="0094362E" w:rsidRPr="0094362E" w:rsidRDefault="0094362E" w:rsidP="0094362E">
      <w:pPr>
        <w:widowControl w:val="0"/>
        <w:ind w:left="851" w:right="851"/>
        <w:jc w:val="both"/>
        <w:rPr>
          <w:rFonts w:ascii="Abadi" w:hAnsi="Abadi" w:cs="Arial"/>
          <w:i/>
          <w:sz w:val="21"/>
          <w:szCs w:val="21"/>
          <w:lang w:val="es-MX" w:eastAsia="en-US"/>
        </w:rPr>
      </w:pPr>
    </w:p>
    <w:p w14:paraId="1323AF9D"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TERCERO. La población objetivo en el estado, representa el 5.5% de la población. La cual asciende a 5 millones 853 mil personas. Y son personas que viven con algún tipo de discapacidad o dificultad para realizar alguna actividad.</w:t>
      </w:r>
    </w:p>
    <w:p w14:paraId="5B14D587" w14:textId="77777777" w:rsidR="0094362E" w:rsidRPr="0094362E" w:rsidRDefault="0094362E" w:rsidP="0094362E">
      <w:pPr>
        <w:widowControl w:val="0"/>
        <w:ind w:left="851" w:right="851"/>
        <w:jc w:val="both"/>
        <w:rPr>
          <w:rFonts w:ascii="Abadi" w:hAnsi="Abadi" w:cs="Arial"/>
          <w:i/>
          <w:sz w:val="21"/>
          <w:szCs w:val="21"/>
          <w:lang w:val="es-MX" w:eastAsia="en-US"/>
        </w:rPr>
      </w:pPr>
    </w:p>
    <w:p w14:paraId="49507E6C"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CUARTO. En México se detectaron 2 escuelas de adiestramiento para perros guía. La primera es, la Escuela para entrenamiento de perros guías para ciegos I.A.P. la cual cuenta con toda la infraestructura operativa y de servicios para cumplir con este propósito. Y la segunda pese a pertenecer a una fundación reconocida internacionalmente en México, se encontraron varios comentarios en sentido negativo. Se trata de Fundación Bocalán México.</w:t>
      </w:r>
    </w:p>
    <w:p w14:paraId="300EE208" w14:textId="77777777" w:rsidR="0094362E" w:rsidRPr="0094362E" w:rsidRDefault="0094362E" w:rsidP="0094362E">
      <w:pPr>
        <w:widowControl w:val="0"/>
        <w:ind w:left="851" w:right="851"/>
        <w:jc w:val="both"/>
        <w:rPr>
          <w:rFonts w:ascii="Abadi" w:hAnsi="Abadi" w:cs="Arial"/>
          <w:i/>
          <w:sz w:val="21"/>
          <w:szCs w:val="21"/>
          <w:lang w:val="es-MX" w:eastAsia="en-US"/>
        </w:rPr>
      </w:pPr>
    </w:p>
    <w:p w14:paraId="46021CDB"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QUINTO. Para aspirar tener un perro guía se tiene llenar una solicitud y cumplir con ciertos requisitos como son acudir a una entrevista, llenar unos formatos y presentar una evaluación de orientación y movilidad. Posteriormente la escuela determinara si el aspirante ha calificado para obtener un perro guía. Si el aspirante es aceptado, deberá pasar los próximos 28 días en las instalaciones para recibir la capacitación en el manejo del perro guía. Los perros guía no se venden, pero se deberán pagar varias cuotas de recuperación las cuales conforman un monto de $ 25,000.00 pesos MXN.</w:t>
      </w:r>
    </w:p>
    <w:p w14:paraId="5A19D021" w14:textId="77777777" w:rsidR="0094362E" w:rsidRPr="0094362E" w:rsidRDefault="0094362E" w:rsidP="0094362E">
      <w:pPr>
        <w:widowControl w:val="0"/>
        <w:ind w:left="851" w:right="851"/>
        <w:jc w:val="both"/>
        <w:rPr>
          <w:rFonts w:ascii="Abadi" w:hAnsi="Abadi" w:cs="Arial"/>
          <w:i/>
          <w:sz w:val="21"/>
          <w:szCs w:val="21"/>
          <w:lang w:val="es-MX" w:eastAsia="en-US"/>
        </w:rPr>
      </w:pPr>
    </w:p>
    <w:p w14:paraId="2B526246"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SEXTO. En relación con la Racionalidad lingüística, es decir el texto que debe ser entendido claramente sin lugar dudas o interpretaciones por parte del receptor (a quien va dirigido). Podemos precisar que el cuerpo normativo, tanto en su estructura como en su parte enunciativa del proyecto de iniciativa se encontraron un sinnúmero de deficiencias (las cuales fueron expuestas en el apartado correspondiente) que deben ser atendidas de fondo para lograr que este dispositivo normativo cumpla con el objeto de creación.</w:t>
      </w:r>
    </w:p>
    <w:p w14:paraId="1290DA92" w14:textId="77777777" w:rsidR="0094362E" w:rsidRPr="0094362E" w:rsidRDefault="0094362E" w:rsidP="0094362E">
      <w:pPr>
        <w:widowControl w:val="0"/>
        <w:ind w:left="851" w:right="851"/>
        <w:jc w:val="both"/>
        <w:rPr>
          <w:rFonts w:ascii="Abadi" w:hAnsi="Abadi" w:cs="Arial"/>
          <w:i/>
          <w:sz w:val="21"/>
          <w:szCs w:val="21"/>
          <w:lang w:val="es-MX" w:eastAsia="en-US"/>
        </w:rPr>
      </w:pPr>
    </w:p>
    <w:p w14:paraId="5A1DBCEC"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SEPTIMO. La legislación en materia de discapacidad de nuestro estado fue concebida desde una visión global, para generar la inclusión de este grupo vulnerable a todos los espacios públicos como privados. No obstante, no se contemplo en esa inclusión el binomio conformado por una persona con discapacidad y su perro guía o de asistencia médica.</w:t>
      </w:r>
    </w:p>
    <w:p w14:paraId="41E5982E" w14:textId="77777777" w:rsidR="0094362E" w:rsidRPr="0094362E" w:rsidRDefault="0094362E" w:rsidP="0094362E">
      <w:pPr>
        <w:widowControl w:val="0"/>
        <w:ind w:left="851" w:right="851"/>
        <w:jc w:val="both"/>
        <w:rPr>
          <w:rFonts w:ascii="Abadi" w:hAnsi="Abadi" w:cs="Arial"/>
          <w:i/>
          <w:sz w:val="21"/>
          <w:szCs w:val="21"/>
          <w:lang w:val="es-MX" w:eastAsia="en-US"/>
        </w:rPr>
      </w:pPr>
    </w:p>
    <w:p w14:paraId="200BEC83"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Para dar cumplimiento a lo solicitado por la Comisión de Derechos humanos y Atención a Grupos Vulnerables, en virtud del estudio realizado por el Instituto de Investigaciones Legislativas, y derivado de las conclusiones expuestas, estamos en posibilidad de externar nuestra opinión de la iniciativa con proyecto de decreto de la creación de una nueva Ley de los Derechos de las Personas Usuarias de Perros Guía o de Asistencia Médica para el Estado de Guanajuato.</w:t>
      </w:r>
    </w:p>
    <w:p w14:paraId="047D223A" w14:textId="77777777" w:rsidR="0094362E" w:rsidRPr="0094362E" w:rsidRDefault="0094362E" w:rsidP="0094362E">
      <w:pPr>
        <w:widowControl w:val="0"/>
        <w:ind w:left="851" w:right="851"/>
        <w:jc w:val="both"/>
        <w:rPr>
          <w:rFonts w:ascii="Abadi" w:hAnsi="Abadi" w:cs="Arial"/>
          <w:i/>
          <w:sz w:val="21"/>
          <w:szCs w:val="21"/>
          <w:lang w:val="es-MX" w:eastAsia="en-US"/>
        </w:rPr>
      </w:pPr>
    </w:p>
    <w:p w14:paraId="4F96CD3B"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El proyecto de ley que conforma la iniciativa presenta una serie de deficiencias, que lejos de contribuir a solucionar la problemática planteada, como lo es la inclusión de personas con discapacidad usuaria de perros guías a espacios públicos como parte de sus derechos, genere otro tipo de problemas, debido a que no se estableció los parámetros que determinen limitaciones o restricciones del derecho de acceso a espacios públicos o privados perro guía o de asistencia médica, cuando muestren signos evidentes de enfermedad, falta de higiene, o bien situaciones de riesgo que pongan en riesgo inminente la integridad física al usuario y su perro de asistencia, así como otras personas. Por poner un ejemplo.</w:t>
      </w:r>
    </w:p>
    <w:p w14:paraId="674C392E" w14:textId="77777777" w:rsidR="0094362E" w:rsidRPr="0094362E" w:rsidRDefault="0094362E" w:rsidP="0094362E">
      <w:pPr>
        <w:widowControl w:val="0"/>
        <w:ind w:left="851" w:right="851"/>
        <w:jc w:val="both"/>
        <w:rPr>
          <w:rFonts w:ascii="Abadi" w:hAnsi="Abadi" w:cs="Arial"/>
          <w:i/>
          <w:sz w:val="21"/>
          <w:szCs w:val="21"/>
          <w:lang w:val="es-MX" w:eastAsia="en-US"/>
        </w:rPr>
      </w:pPr>
    </w:p>
    <w:p w14:paraId="723A975D"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Se sugiere realizar un replanteamiento e incorporar estos conceptos, en una iniciativa de reforma a la Ley de Inclusión para las Personas con Discapacidad en el Estado de Guanajuato. La cual esta diseñada para proteger los derechos consagrados por la Constitución federal y la Constitución de nuestro estado; en materia de no discriminación y asegurar la inclusión a los espacios públicos y privados a toda persona con discapacidad.</w:t>
      </w:r>
    </w:p>
    <w:p w14:paraId="4CCDBC14" w14:textId="77777777" w:rsidR="0094362E" w:rsidRPr="0094362E" w:rsidRDefault="0094362E" w:rsidP="0094362E">
      <w:pPr>
        <w:widowControl w:val="0"/>
        <w:ind w:left="851" w:right="851"/>
        <w:jc w:val="both"/>
        <w:rPr>
          <w:rFonts w:ascii="Abadi" w:hAnsi="Abadi" w:cs="Arial"/>
          <w:i/>
          <w:sz w:val="21"/>
          <w:szCs w:val="21"/>
          <w:lang w:val="es-MX" w:eastAsia="en-US"/>
        </w:rPr>
      </w:pPr>
    </w:p>
    <w:p w14:paraId="0BB51752" w14:textId="77777777" w:rsidR="0094362E" w:rsidRPr="0094362E" w:rsidRDefault="0094362E" w:rsidP="0094362E">
      <w:pPr>
        <w:widowControl w:val="0"/>
        <w:ind w:left="851" w:right="851"/>
        <w:jc w:val="both"/>
        <w:rPr>
          <w:rFonts w:ascii="Abadi" w:hAnsi="Abadi" w:cs="Arial"/>
          <w:i/>
          <w:sz w:val="21"/>
          <w:szCs w:val="21"/>
          <w:lang w:val="es-MX" w:eastAsia="en-US"/>
        </w:rPr>
      </w:pPr>
      <w:r w:rsidRPr="0094362E">
        <w:rPr>
          <w:rFonts w:ascii="Abadi" w:hAnsi="Abadi" w:cs="Arial"/>
          <w:i/>
          <w:sz w:val="21"/>
          <w:szCs w:val="21"/>
          <w:lang w:val="es-MX" w:eastAsia="en-US"/>
        </w:rPr>
        <w:t>Asimismo, es preciso acotar que, al incorporar cualquier enunciado normativo en el cuerpo de leyes de cualquier orden jurídico, se debe tener presente que pueden ser afectados otros instrumentos normativos.</w:t>
      </w:r>
    </w:p>
    <w:p w14:paraId="3D4C6647" w14:textId="77777777" w:rsidR="0094362E" w:rsidRPr="0094362E" w:rsidRDefault="0094362E" w:rsidP="0094362E">
      <w:pPr>
        <w:widowControl w:val="0"/>
        <w:spacing w:line="360" w:lineRule="auto"/>
        <w:jc w:val="both"/>
        <w:rPr>
          <w:rFonts w:ascii="Abadi" w:hAnsi="Abadi"/>
          <w:sz w:val="21"/>
          <w:szCs w:val="21"/>
          <w:lang w:val="es-MX" w:eastAsia="en-US"/>
        </w:rPr>
      </w:pPr>
    </w:p>
    <w:p w14:paraId="36FC8231" w14:textId="77777777" w:rsidR="0094362E" w:rsidRPr="0094362E" w:rsidRDefault="0094362E" w:rsidP="0094362E">
      <w:pPr>
        <w:widowControl w:val="0"/>
        <w:spacing w:line="360" w:lineRule="auto"/>
        <w:ind w:left="851"/>
        <w:jc w:val="both"/>
        <w:rPr>
          <w:rFonts w:ascii="Abadi" w:hAnsi="Abadi"/>
          <w:b/>
          <w:sz w:val="21"/>
          <w:szCs w:val="21"/>
          <w:lang w:val="es-MX"/>
        </w:rPr>
      </w:pPr>
      <w:r w:rsidRPr="0094362E">
        <w:rPr>
          <w:rFonts w:ascii="Abadi" w:hAnsi="Abadi" w:cs="Arial"/>
          <w:b/>
          <w:sz w:val="21"/>
          <w:szCs w:val="21"/>
          <w:lang w:val="es-MX"/>
        </w:rPr>
        <w:t>Opiniones compartidas en el foro de consulta.</w:t>
      </w:r>
    </w:p>
    <w:p w14:paraId="101B67D2" w14:textId="77777777" w:rsidR="0094362E" w:rsidRPr="0094362E" w:rsidRDefault="0094362E" w:rsidP="0094362E">
      <w:pPr>
        <w:widowControl w:val="0"/>
        <w:spacing w:line="360" w:lineRule="auto"/>
        <w:jc w:val="both"/>
        <w:rPr>
          <w:rFonts w:ascii="Abadi" w:hAnsi="Abadi"/>
          <w:sz w:val="21"/>
          <w:szCs w:val="21"/>
          <w:lang w:val="es-MX" w:eastAsia="en-US"/>
        </w:rPr>
      </w:pPr>
    </w:p>
    <w:p w14:paraId="066AAAD9" w14:textId="77777777" w:rsidR="0094362E" w:rsidRPr="0094362E" w:rsidRDefault="0094362E" w:rsidP="003E5FF7">
      <w:pPr>
        <w:widowControl w:val="0"/>
        <w:ind w:firstLine="851"/>
        <w:jc w:val="both"/>
        <w:rPr>
          <w:rFonts w:ascii="Abadi" w:hAnsi="Abadi"/>
          <w:sz w:val="21"/>
          <w:szCs w:val="21"/>
          <w:lang w:val="es-MX" w:eastAsia="en-US"/>
        </w:rPr>
      </w:pPr>
      <w:r w:rsidRPr="0094362E">
        <w:rPr>
          <w:rFonts w:ascii="Abadi" w:hAnsi="Abadi"/>
          <w:sz w:val="21"/>
          <w:szCs w:val="21"/>
          <w:lang w:val="es-MX" w:eastAsia="en-US"/>
        </w:rPr>
        <w:t>Además de aquellas opiniones que ya se describieron en apartados anteriores del dictamen que nos ocupa, a continuación incorporamos un extracto de los comentarios entregados por los ponentes en el foro celebrado el 16 de junio de 2021, que corresponden a la iniciativa materia de dictaminación.</w:t>
      </w:r>
    </w:p>
    <w:p w14:paraId="45290C37" w14:textId="77777777" w:rsidR="0094362E" w:rsidRPr="0094362E" w:rsidRDefault="0094362E" w:rsidP="0094362E">
      <w:pPr>
        <w:widowControl w:val="0"/>
        <w:spacing w:line="360" w:lineRule="auto"/>
        <w:jc w:val="both"/>
        <w:rPr>
          <w:rFonts w:ascii="Abadi" w:hAnsi="Abadi"/>
          <w:sz w:val="21"/>
          <w:szCs w:val="21"/>
          <w:lang w:val="es-MX" w:eastAsia="en-US"/>
        </w:rPr>
      </w:pPr>
    </w:p>
    <w:p w14:paraId="52C67B76" w14:textId="77777777" w:rsidR="0094362E" w:rsidRPr="0094362E" w:rsidRDefault="0094362E" w:rsidP="0094362E">
      <w:pPr>
        <w:widowControl w:val="0"/>
        <w:adjustRightInd w:val="0"/>
        <w:spacing w:line="360" w:lineRule="auto"/>
        <w:ind w:firstLine="851"/>
        <w:jc w:val="both"/>
        <w:rPr>
          <w:rFonts w:ascii="Abadi" w:hAnsi="Abadi"/>
          <w:sz w:val="21"/>
          <w:szCs w:val="21"/>
          <w:lang w:val="es-MX" w:eastAsia="en-US"/>
        </w:rPr>
      </w:pPr>
      <w:r w:rsidRPr="0094362E">
        <w:rPr>
          <w:rFonts w:ascii="Abadi" w:hAnsi="Abadi"/>
          <w:sz w:val="21"/>
          <w:szCs w:val="21"/>
          <w:lang w:val="es-MX" w:eastAsia="en-US"/>
        </w:rPr>
        <w:t>María del Consuelo García Ramírez:</w:t>
      </w:r>
    </w:p>
    <w:p w14:paraId="237B43C6" w14:textId="77777777" w:rsidR="0094362E" w:rsidRPr="0094362E" w:rsidRDefault="0094362E" w:rsidP="0094362E">
      <w:pPr>
        <w:widowControl w:val="0"/>
        <w:adjustRightInd w:val="0"/>
        <w:spacing w:line="360" w:lineRule="auto"/>
        <w:jc w:val="both"/>
        <w:rPr>
          <w:rFonts w:ascii="Abadi" w:hAnsi="Abadi"/>
          <w:sz w:val="21"/>
          <w:szCs w:val="21"/>
          <w:lang w:val="es-MX" w:eastAsia="en-US"/>
        </w:rPr>
      </w:pPr>
    </w:p>
    <w:p w14:paraId="4AE3B79B" w14:textId="77777777" w:rsidR="0094362E" w:rsidRPr="0094362E" w:rsidRDefault="0094362E" w:rsidP="0094362E">
      <w:pPr>
        <w:widowControl w:val="0"/>
        <w:ind w:left="851" w:right="851"/>
        <w:jc w:val="both"/>
        <w:rPr>
          <w:rFonts w:ascii="Abadi" w:hAnsi="Abadi"/>
          <w:i/>
          <w:iCs/>
          <w:sz w:val="21"/>
          <w:szCs w:val="21"/>
          <w:lang w:val="es-MX" w:eastAsia="en-US"/>
        </w:rPr>
      </w:pPr>
      <w:r w:rsidRPr="0094362E">
        <w:rPr>
          <w:rFonts w:ascii="Abadi" w:hAnsi="Abadi"/>
          <w:i/>
          <w:iCs/>
          <w:sz w:val="21"/>
          <w:szCs w:val="21"/>
          <w:lang w:val="es-MX" w:eastAsia="en-US"/>
        </w:rPr>
        <w:t>Bueno este, en cuanto a mi iniciativa sobre el tema del acceso a las personas con discapacidad en referencia con los perros guía, este ya que somos nosotros personas con discapacidad visual ya sea total o con rastros visuales, somos usuarias de perros guía y queremos que exista o que se crea el acceso a todos los lugares ya sean públicos o privados nosotros bien sabemos cómo usuarios de perros guía que hay lugares en los cuales nos es imposible entrar, este principalmente en los hospitales sabemos que no podemos entrar a lo que es quirófanos y terapias intensivas, pero aun así pues no existe el que concienticen o que conozcan en realidad lo que es el trabajo de los perros guía, entonces nosotros buscamos que se crea el acceso a ese tipo de lugares, llámese también tiendas departamentales y eso, nosotros como usuarios de perros guía pues tenemos la responsabilidad de que el perro esté limpio que esté de acuerdo a sus vacunas y pues tenemos la responsabilidad de tener a los perros en condiciones buenas pero lamentablemente tampoco eso lo saben las personas, por decir los empresarios o los dueños de las tiendas y pues nos niegan el acceso a esos lugares, este que hubiera como que los mismos dueños de esas empresas les hicieran como una iniciativa de que inviertan en su personal para que les den a conocer lo que en realidad es el trabajo de un perro guía y que al momento de que uno acceda a esos lugares no haya ningún problema debido a que pues ellos ya van a saber que el perro que llevamos pues es un perro de apoyo y que en el momento de que van estar en el lugar no van a hacer cosas que a lo mejor las mismas personas tienen el temor de que, si por decir están en una tienda pues que el perro vaya hacer pues del baño u otras cosas, pero ya uno como usuario de perro guía pues ya sabe que no, pues están entrenados para que cuando vayan a ese tipo de lugares no haya ningún contratiempo; pues sí que se crea el acceso, que se haya la concientización incluso pues la cultura sobre el perro guía.</w:t>
      </w:r>
    </w:p>
    <w:p w14:paraId="1D078363" w14:textId="77777777" w:rsidR="0094362E" w:rsidRPr="0094362E" w:rsidRDefault="0094362E" w:rsidP="0094362E">
      <w:pPr>
        <w:widowControl w:val="0"/>
        <w:ind w:left="851" w:right="851"/>
        <w:jc w:val="both"/>
        <w:rPr>
          <w:rFonts w:ascii="Abadi" w:eastAsiaTheme="minorHAnsi" w:hAnsi="Abadi" w:cstheme="minorBidi"/>
          <w:i/>
          <w:iCs/>
          <w:sz w:val="21"/>
          <w:szCs w:val="21"/>
          <w:lang w:val="es-MX" w:eastAsia="en-US"/>
        </w:rPr>
      </w:pPr>
    </w:p>
    <w:p w14:paraId="44482AC8" w14:textId="77777777" w:rsidR="0094362E" w:rsidRPr="0094362E" w:rsidRDefault="0094362E" w:rsidP="0094362E">
      <w:pPr>
        <w:widowControl w:val="0"/>
        <w:ind w:left="851" w:right="851"/>
        <w:jc w:val="both"/>
        <w:rPr>
          <w:rFonts w:ascii="Abadi" w:hAnsi="Abadi"/>
          <w:i/>
          <w:iCs/>
          <w:sz w:val="21"/>
          <w:szCs w:val="21"/>
          <w:lang w:val="es-MX" w:eastAsia="en-US"/>
        </w:rPr>
      </w:pPr>
      <w:r w:rsidRPr="0094362E">
        <w:rPr>
          <w:rFonts w:ascii="Abadi" w:hAnsi="Abadi"/>
          <w:i/>
          <w:iCs/>
          <w:sz w:val="21"/>
          <w:szCs w:val="21"/>
          <w:lang w:val="es-MX" w:eastAsia="en-US"/>
        </w:rPr>
        <w:t>También existe este algo que nosotros cuando viajamos tenemos la responsabilidad de al momento de abordar en el avión tenemos que presentar un certificado médico por parte de un veterinario entonces pues uno va confiado a que al regreso al país del que somos no va suceder nada y resulta que uno llega al aeropuerto un ejemplo y a pesar de que uno lleva el certificado médico del perro, que presenta su cartilla de vacunas al corriente, aun así los requisitos que uno tiene que cubrir por decir que llegamos al aeropuerto a león y presentamos esos documentos nos dicen que no son válidos que tiene que checar el perro un veterinario de ahí o que si nosotros conocemos a alguien pues lo hagamos llamar y que ellos chequen al perro pero no confían en el certificado médico que nosotros ya llevamos que tenemos que tenemos que presentar ante esa autoridad, entonces yo para esto que hubiera como un tipo como un departamento en el cual cuando uno viaje, pues sepa ese mismo departamento que el perro va con al corriente con todos sus cosas, es como por decir un ejemplo claro de como cuando hacen la verificación en los coches te dan una tarjeta igual y si tu coche no pasa pues te regresan que tienes que darle un arreglo o algo y ya vuelves a ir y pues obviamente ya pasa, lo mismo sucede con los perros, yo pienso yo como usuaria de perro guía este voy a tener mi tarjeta, voy a presentarlo y voy a dar a confiar que el perro está bien, porque no creo que cualquier veterinario se preste a decir que el perro está bien aun no checándolo que es lo que pasa con los carros, ahora sí que aquí hablaría de más pero hay veces que van y verifican los carros y si el carro no pasa pues ya le dan así como muy debajo del agua a la persona que verifica el carro pues di que pasa y ya, y nosotros así con los perros guía no haríamos lo mismo, pero que hubiera como un registro que uno no tenga que andar ahora ve para acá o así porque tengas que andar en tu viaje buscando veterinarios cuando si tú vas a una cuidad no conoces y tenga uno que andar buscando el veterinario por cubrir el requisito que uno tiene que presentar cuando ya llegas a tu destino. Yo siento que, si existiera un registro así o una tarjeta o algo, sería para nosotros la accesibilidad mejor porque a veces uno anda en otros países y te tratan mejor que yendo a tu país de donde eres es donde te hacen pues como dicen ver tu suerte entonces que hubiera algo que tenga uno algo a ese acceso y que cuando regresen no exista ningún problema.</w:t>
      </w:r>
    </w:p>
    <w:p w14:paraId="1F9E0EE1" w14:textId="77777777" w:rsidR="0094362E" w:rsidRPr="0094362E" w:rsidRDefault="0094362E" w:rsidP="0094362E">
      <w:pPr>
        <w:widowControl w:val="0"/>
        <w:ind w:left="851" w:right="851"/>
        <w:jc w:val="both"/>
        <w:rPr>
          <w:rFonts w:ascii="Abadi" w:hAnsi="Abadi"/>
          <w:i/>
          <w:iCs/>
          <w:sz w:val="21"/>
          <w:szCs w:val="21"/>
          <w:lang w:val="es-MX" w:eastAsia="en-US"/>
        </w:rPr>
      </w:pPr>
    </w:p>
    <w:p w14:paraId="0DAD8783" w14:textId="77777777" w:rsidR="0094362E" w:rsidRPr="0094362E" w:rsidRDefault="0094362E" w:rsidP="0094362E">
      <w:pPr>
        <w:widowControl w:val="0"/>
        <w:adjustRightInd w:val="0"/>
        <w:ind w:left="851" w:right="851"/>
        <w:jc w:val="both"/>
        <w:rPr>
          <w:rFonts w:ascii="Abadi" w:hAnsi="Abadi"/>
          <w:i/>
          <w:iCs/>
          <w:sz w:val="21"/>
          <w:szCs w:val="21"/>
          <w:lang w:val="es-MX" w:eastAsia="en-US"/>
        </w:rPr>
      </w:pPr>
      <w:r w:rsidRPr="0094362E">
        <w:rPr>
          <w:rFonts w:ascii="Abadi" w:hAnsi="Abadi"/>
          <w:i/>
          <w:iCs/>
          <w:sz w:val="21"/>
          <w:szCs w:val="21"/>
          <w:lang w:val="es-MX" w:eastAsia="en-US"/>
        </w:rPr>
        <w:t>Hay ocasiones en las cuales que nos toca ir a equis tienda por decir nos dicen tú puedes entrar, pero tu perro guía no, entonces me pregunto yo, ¿eso lo harían también con las personas que usan silla de ruedas? También les pudieran decir puedes entrar tu pero tu silla no, ya que pues son diferentes discapacidades y pues a lo mejor uno como usuario de perro guía pues ya lo ve de otro enfoque, este ahora si que ya depende de a que discapacidad pertenecemos pues son las necesidades que uno ocupa pues, entonces este pues estaría muy bien que existiera la iniciativa al acceso a los perros guía a todos los lugares y que no existiera ningún problema, e incluso crear la concientización a la sociedad porque hay personas bueno la mayoría de las personas no saben en realidad lo que es un perro guía, entonces ya un perro guía se diferencia porque trae su arnés, trae su correa y pues va guiando a la persona, a diferencia de otros perros que son de apoyo emocional pues son de diferentes razas y como decía va de acuerdo a la diferente discapacidad a la que uno pertenezca.</w:t>
      </w:r>
    </w:p>
    <w:p w14:paraId="553461CA" w14:textId="77777777" w:rsidR="0094362E" w:rsidRPr="0094362E" w:rsidRDefault="0094362E" w:rsidP="0094362E">
      <w:pPr>
        <w:widowControl w:val="0"/>
        <w:adjustRightInd w:val="0"/>
        <w:spacing w:line="360" w:lineRule="auto"/>
        <w:jc w:val="both"/>
        <w:rPr>
          <w:rFonts w:ascii="Abadi" w:hAnsi="Abadi"/>
          <w:sz w:val="21"/>
          <w:szCs w:val="21"/>
          <w:lang w:val="es-MX" w:eastAsia="en-US"/>
        </w:rPr>
      </w:pPr>
    </w:p>
    <w:p w14:paraId="55985ADF" w14:textId="77777777" w:rsidR="0094362E" w:rsidRPr="0094362E" w:rsidRDefault="0094362E" w:rsidP="003E5FF7">
      <w:pPr>
        <w:widowControl w:val="0"/>
        <w:adjustRightInd w:val="0"/>
        <w:ind w:firstLine="851"/>
        <w:jc w:val="both"/>
        <w:rPr>
          <w:rFonts w:ascii="Abadi" w:hAnsi="Abadi"/>
          <w:sz w:val="21"/>
          <w:szCs w:val="21"/>
          <w:lang w:val="es-MX" w:eastAsia="en-US"/>
        </w:rPr>
      </w:pPr>
      <w:r w:rsidRPr="0094362E">
        <w:rPr>
          <w:rFonts w:ascii="Abadi" w:hAnsi="Abadi"/>
          <w:sz w:val="21"/>
          <w:szCs w:val="21"/>
          <w:lang w:val="es-MX" w:eastAsia="en-US"/>
        </w:rPr>
        <w:t>Licenciado Adolfo Iván Ornelas Lozano, presidente de la Asociación Mexicana de Educadores de Personas con Discapacidad Visual A. C., y maestro del Taller de Apoyo para Ciegos y Débiles Visuales de Cáritas de León, A. C.:</w:t>
      </w:r>
    </w:p>
    <w:p w14:paraId="50E30AB5" w14:textId="77777777" w:rsidR="0094362E" w:rsidRPr="0094362E" w:rsidRDefault="0094362E" w:rsidP="0094362E">
      <w:pPr>
        <w:widowControl w:val="0"/>
        <w:adjustRightInd w:val="0"/>
        <w:spacing w:line="360" w:lineRule="auto"/>
        <w:jc w:val="both"/>
        <w:rPr>
          <w:rFonts w:ascii="Abadi" w:hAnsi="Abadi"/>
          <w:sz w:val="21"/>
          <w:szCs w:val="21"/>
          <w:lang w:val="es-MX" w:eastAsia="en-US"/>
        </w:rPr>
      </w:pPr>
    </w:p>
    <w:p w14:paraId="311E9899" w14:textId="77777777" w:rsidR="0094362E" w:rsidRPr="0094362E" w:rsidRDefault="0094362E" w:rsidP="0094362E">
      <w:pPr>
        <w:widowControl w:val="0"/>
        <w:ind w:left="851" w:right="851"/>
        <w:jc w:val="both"/>
        <w:rPr>
          <w:rFonts w:ascii="Abadi" w:eastAsiaTheme="minorHAnsi" w:hAnsi="Abadi"/>
          <w:i/>
          <w:iCs/>
          <w:sz w:val="21"/>
          <w:szCs w:val="21"/>
          <w:lang w:val="es-MX" w:eastAsia="en-US"/>
        </w:rPr>
      </w:pPr>
      <w:r w:rsidRPr="0094362E">
        <w:rPr>
          <w:rFonts w:ascii="Abadi" w:hAnsi="Abadi"/>
          <w:i/>
          <w:iCs/>
          <w:sz w:val="21"/>
          <w:szCs w:val="21"/>
          <w:lang w:val="es-MX" w:eastAsia="en-US"/>
        </w:rPr>
        <w:t>En la elaboración del presente documento, no solamente se realizan aportaciones a título personal, sino que también se tomó en consideración la opinión de:</w:t>
      </w:r>
    </w:p>
    <w:p w14:paraId="7DD0ED0F" w14:textId="77777777" w:rsidR="0094362E" w:rsidRPr="0094362E" w:rsidRDefault="0094362E" w:rsidP="0094362E">
      <w:pPr>
        <w:widowControl w:val="0"/>
        <w:ind w:left="851" w:right="851"/>
        <w:jc w:val="both"/>
        <w:rPr>
          <w:rFonts w:ascii="Abadi" w:hAnsi="Abadi"/>
          <w:i/>
          <w:iCs/>
          <w:sz w:val="21"/>
          <w:szCs w:val="21"/>
          <w:lang w:val="es-MX" w:eastAsia="en-US"/>
        </w:rPr>
      </w:pPr>
    </w:p>
    <w:p w14:paraId="53236397" w14:textId="77777777" w:rsidR="0094362E" w:rsidRPr="0094362E" w:rsidRDefault="0094362E" w:rsidP="0094362E">
      <w:pPr>
        <w:widowControl w:val="0"/>
        <w:ind w:left="851" w:right="851"/>
        <w:jc w:val="both"/>
        <w:rPr>
          <w:rFonts w:ascii="Abadi" w:hAnsi="Abadi"/>
          <w:i/>
          <w:iCs/>
          <w:sz w:val="21"/>
          <w:szCs w:val="21"/>
          <w:lang w:val="es-MX" w:eastAsia="en-US"/>
        </w:rPr>
      </w:pPr>
      <w:r w:rsidRPr="0094362E">
        <w:rPr>
          <w:rFonts w:ascii="Abadi" w:hAnsi="Abadi"/>
          <w:i/>
          <w:iCs/>
          <w:sz w:val="21"/>
          <w:szCs w:val="21"/>
          <w:lang w:val="es-MX" w:eastAsia="en-US"/>
        </w:rPr>
        <w:t>a) Diversas personas usuarias de perros de asistencia (tipos perro guía).</w:t>
      </w:r>
    </w:p>
    <w:p w14:paraId="0FB07D89" w14:textId="77777777" w:rsidR="0094362E" w:rsidRPr="0094362E" w:rsidRDefault="0094362E" w:rsidP="0094362E">
      <w:pPr>
        <w:widowControl w:val="0"/>
        <w:ind w:left="851" w:right="851"/>
        <w:jc w:val="both"/>
        <w:rPr>
          <w:rFonts w:ascii="Abadi" w:hAnsi="Abadi"/>
          <w:i/>
          <w:iCs/>
          <w:sz w:val="21"/>
          <w:szCs w:val="21"/>
          <w:lang w:val="es-MX" w:eastAsia="en-US"/>
        </w:rPr>
      </w:pPr>
      <w:r w:rsidRPr="0094362E">
        <w:rPr>
          <w:rFonts w:ascii="Abadi" w:hAnsi="Abadi"/>
          <w:i/>
          <w:iCs/>
          <w:sz w:val="21"/>
          <w:szCs w:val="21"/>
          <w:lang w:val="es-MX" w:eastAsia="en-US"/>
        </w:rPr>
        <w:t>b) Personas con discapacidad visual no usuarias de este tipo de perros (principalmente por razones económicas).</w:t>
      </w:r>
    </w:p>
    <w:p w14:paraId="00CCB6E8" w14:textId="77777777" w:rsidR="0094362E" w:rsidRPr="0094362E" w:rsidRDefault="0094362E" w:rsidP="0094362E">
      <w:pPr>
        <w:widowControl w:val="0"/>
        <w:ind w:left="851" w:right="851"/>
        <w:jc w:val="both"/>
        <w:rPr>
          <w:rFonts w:ascii="Abadi" w:hAnsi="Abadi"/>
          <w:i/>
          <w:iCs/>
          <w:sz w:val="21"/>
          <w:szCs w:val="21"/>
          <w:lang w:val="es-MX" w:eastAsia="en-US"/>
        </w:rPr>
      </w:pPr>
      <w:r w:rsidRPr="0094362E">
        <w:rPr>
          <w:rFonts w:ascii="Abadi" w:hAnsi="Abadi"/>
          <w:i/>
          <w:iCs/>
          <w:sz w:val="21"/>
          <w:szCs w:val="21"/>
          <w:lang w:val="es-MX" w:eastAsia="en-US"/>
        </w:rPr>
        <w:t>c) Miembros de la Asociación Mexicana de Educadores de Personas con Discapacidad Visual AMEPDIVI.</w:t>
      </w:r>
    </w:p>
    <w:p w14:paraId="4891965B" w14:textId="77777777" w:rsidR="0094362E" w:rsidRPr="0094362E" w:rsidRDefault="0094362E" w:rsidP="0094362E">
      <w:pPr>
        <w:widowControl w:val="0"/>
        <w:ind w:left="851" w:right="851"/>
        <w:jc w:val="both"/>
        <w:rPr>
          <w:rFonts w:ascii="Abadi" w:hAnsi="Abadi"/>
          <w:i/>
          <w:iCs/>
          <w:sz w:val="21"/>
          <w:szCs w:val="21"/>
          <w:lang w:val="es-MX" w:eastAsia="en-US"/>
        </w:rPr>
      </w:pPr>
      <w:r w:rsidRPr="0094362E">
        <w:rPr>
          <w:rFonts w:ascii="Abadi" w:hAnsi="Abadi"/>
          <w:i/>
          <w:iCs/>
          <w:sz w:val="21"/>
          <w:szCs w:val="21"/>
          <w:lang w:val="es-MX" w:eastAsia="en-US"/>
        </w:rPr>
        <w:t>d) Escuela de Entrenamiento de Perros Guía para Ciegos IAP.</w:t>
      </w:r>
    </w:p>
    <w:p w14:paraId="1442041E" w14:textId="77777777" w:rsidR="0094362E" w:rsidRPr="0094362E" w:rsidRDefault="0094362E" w:rsidP="0094362E">
      <w:pPr>
        <w:widowControl w:val="0"/>
        <w:ind w:left="851" w:right="851"/>
        <w:jc w:val="both"/>
        <w:rPr>
          <w:rFonts w:ascii="Abadi" w:hAnsi="Abadi"/>
          <w:i/>
          <w:iCs/>
          <w:sz w:val="21"/>
          <w:szCs w:val="21"/>
          <w:lang w:val="es-MX" w:eastAsia="en-US"/>
        </w:rPr>
      </w:pPr>
    </w:p>
    <w:p w14:paraId="43A4B6C9" w14:textId="77777777" w:rsidR="0094362E" w:rsidRPr="0094362E" w:rsidRDefault="0094362E" w:rsidP="0094362E">
      <w:pPr>
        <w:widowControl w:val="0"/>
        <w:ind w:left="851" w:right="851"/>
        <w:jc w:val="both"/>
        <w:rPr>
          <w:rFonts w:ascii="Abadi" w:hAnsi="Abadi"/>
          <w:b/>
          <w:bCs/>
          <w:i/>
          <w:iCs/>
          <w:sz w:val="21"/>
          <w:szCs w:val="21"/>
          <w:lang w:val="es-MX" w:eastAsia="en-US"/>
        </w:rPr>
      </w:pPr>
      <w:r w:rsidRPr="0094362E">
        <w:rPr>
          <w:rFonts w:ascii="Abadi" w:hAnsi="Abadi"/>
          <w:b/>
          <w:bCs/>
          <w:i/>
          <w:iCs/>
          <w:sz w:val="21"/>
          <w:szCs w:val="21"/>
          <w:lang w:val="es-MX" w:eastAsia="en-US"/>
        </w:rPr>
        <w:t>COMENTARIOS A LA PROPUESTA DE LEY</w:t>
      </w:r>
    </w:p>
    <w:p w14:paraId="2105063A" w14:textId="77777777" w:rsidR="0094362E" w:rsidRPr="0094362E" w:rsidRDefault="0094362E" w:rsidP="0094362E">
      <w:pPr>
        <w:widowControl w:val="0"/>
        <w:ind w:left="851" w:right="851"/>
        <w:jc w:val="both"/>
        <w:rPr>
          <w:rFonts w:ascii="Abadi" w:hAnsi="Abadi"/>
          <w:i/>
          <w:iCs/>
          <w:sz w:val="21"/>
          <w:szCs w:val="21"/>
          <w:lang w:val="es-MX" w:eastAsia="en-US"/>
        </w:rPr>
      </w:pPr>
    </w:p>
    <w:p w14:paraId="58CCA44E" w14:textId="77777777" w:rsidR="0094362E" w:rsidRPr="0094362E" w:rsidRDefault="0094362E" w:rsidP="0094362E">
      <w:pPr>
        <w:widowControl w:val="0"/>
        <w:ind w:left="851" w:right="851"/>
        <w:jc w:val="both"/>
        <w:rPr>
          <w:rFonts w:ascii="Abadi" w:hAnsi="Abadi"/>
          <w:b/>
          <w:bCs/>
          <w:i/>
          <w:iCs/>
          <w:sz w:val="21"/>
          <w:szCs w:val="21"/>
          <w:lang w:val="es-MX" w:eastAsia="en-US"/>
        </w:rPr>
      </w:pPr>
      <w:r w:rsidRPr="0094362E">
        <w:rPr>
          <w:rFonts w:ascii="Abadi" w:hAnsi="Abadi"/>
          <w:b/>
          <w:bCs/>
          <w:i/>
          <w:iCs/>
          <w:sz w:val="21"/>
          <w:szCs w:val="21"/>
          <w:lang w:val="es-MX" w:eastAsia="en-US"/>
        </w:rPr>
        <w:t>1.- DENOMINACIÓN DE LA LEY.</w:t>
      </w:r>
    </w:p>
    <w:p w14:paraId="3DC817E2" w14:textId="77777777" w:rsidR="0094362E" w:rsidRPr="0094362E" w:rsidRDefault="0094362E" w:rsidP="0094362E">
      <w:pPr>
        <w:widowControl w:val="0"/>
        <w:ind w:left="851" w:right="851"/>
        <w:jc w:val="both"/>
        <w:rPr>
          <w:rFonts w:ascii="Abadi" w:hAnsi="Abadi"/>
          <w:i/>
          <w:iCs/>
          <w:sz w:val="21"/>
          <w:szCs w:val="21"/>
          <w:lang w:val="es-MX" w:eastAsia="en-US"/>
        </w:rPr>
      </w:pPr>
    </w:p>
    <w:p w14:paraId="404900E2" w14:textId="77777777" w:rsidR="0094362E" w:rsidRPr="0094362E" w:rsidRDefault="0094362E" w:rsidP="0094362E">
      <w:pPr>
        <w:widowControl w:val="0"/>
        <w:ind w:left="851" w:right="851"/>
        <w:jc w:val="both"/>
        <w:rPr>
          <w:rFonts w:ascii="Abadi" w:hAnsi="Abadi"/>
          <w:i/>
          <w:iCs/>
          <w:sz w:val="21"/>
          <w:szCs w:val="21"/>
          <w:lang w:val="es-MX"/>
        </w:rPr>
      </w:pPr>
      <w:r w:rsidRPr="0094362E">
        <w:rPr>
          <w:rFonts w:ascii="Abadi" w:hAnsi="Abadi"/>
          <w:i/>
          <w:iCs/>
          <w:sz w:val="21"/>
          <w:szCs w:val="21"/>
          <w:lang w:val="es-MX"/>
        </w:rPr>
        <w:t xml:space="preserve">La iniciativa de ley propuesta por el legislador, llevaría por nombre el de: </w:t>
      </w:r>
      <w:bookmarkStart w:id="7" w:name="_Hlk74477689"/>
      <w:r w:rsidRPr="0094362E">
        <w:rPr>
          <w:rFonts w:ascii="Abadi" w:hAnsi="Abadi"/>
          <w:i/>
          <w:iCs/>
          <w:sz w:val="21"/>
          <w:szCs w:val="21"/>
          <w:lang w:val="es-MX"/>
        </w:rPr>
        <w:t>“Ley Para la Protección</w:t>
      </w:r>
      <w:r w:rsidRPr="0094362E">
        <w:rPr>
          <w:rFonts w:ascii="Abadi" w:hAnsi="Abadi"/>
          <w:i/>
          <w:iCs/>
          <w:spacing w:val="1"/>
          <w:sz w:val="21"/>
          <w:szCs w:val="21"/>
          <w:lang w:val="es-MX"/>
        </w:rPr>
        <w:t xml:space="preserve"> </w:t>
      </w:r>
      <w:r w:rsidRPr="0094362E">
        <w:rPr>
          <w:rFonts w:ascii="Abadi" w:hAnsi="Abadi"/>
          <w:i/>
          <w:iCs/>
          <w:sz w:val="21"/>
          <w:szCs w:val="21"/>
          <w:lang w:val="es-MX"/>
        </w:rPr>
        <w:t>de los Derechos de las Personas</w:t>
      </w:r>
      <w:r w:rsidRPr="0094362E">
        <w:rPr>
          <w:rFonts w:ascii="Abadi" w:hAnsi="Abadi"/>
          <w:i/>
          <w:iCs/>
          <w:spacing w:val="1"/>
          <w:sz w:val="21"/>
          <w:szCs w:val="21"/>
          <w:lang w:val="es-MX"/>
        </w:rPr>
        <w:t xml:space="preserve"> </w:t>
      </w:r>
      <w:r w:rsidRPr="0094362E">
        <w:rPr>
          <w:rFonts w:ascii="Abadi" w:hAnsi="Abadi"/>
          <w:i/>
          <w:iCs/>
          <w:sz w:val="21"/>
          <w:szCs w:val="21"/>
          <w:lang w:val="es-MX"/>
        </w:rPr>
        <w:t>Usuarias de Perros Guía o Asistencia Médica para el Estado de Guanajuato”.</w:t>
      </w:r>
      <w:bookmarkEnd w:id="7"/>
    </w:p>
    <w:p w14:paraId="4BB3B864" w14:textId="77777777" w:rsidR="0094362E" w:rsidRPr="0094362E" w:rsidRDefault="0094362E" w:rsidP="0094362E">
      <w:pPr>
        <w:widowControl w:val="0"/>
        <w:ind w:left="851" w:right="851"/>
        <w:jc w:val="both"/>
        <w:rPr>
          <w:rFonts w:ascii="Abadi" w:hAnsi="Abadi"/>
          <w:i/>
          <w:iCs/>
          <w:sz w:val="21"/>
          <w:szCs w:val="21"/>
          <w:lang w:val="es-MX"/>
        </w:rPr>
      </w:pPr>
    </w:p>
    <w:p w14:paraId="48B5A972" w14:textId="740CFC44" w:rsidR="0094362E" w:rsidRDefault="0094362E" w:rsidP="0094362E">
      <w:pPr>
        <w:widowControl w:val="0"/>
        <w:ind w:left="851" w:right="851"/>
        <w:jc w:val="both"/>
        <w:rPr>
          <w:rFonts w:ascii="Abadi" w:hAnsi="Abadi"/>
          <w:i/>
          <w:iCs/>
          <w:sz w:val="21"/>
          <w:szCs w:val="21"/>
          <w:lang w:val="es-MX"/>
        </w:rPr>
      </w:pPr>
      <w:r w:rsidRPr="0094362E">
        <w:rPr>
          <w:rFonts w:ascii="Abadi" w:hAnsi="Abadi"/>
          <w:i/>
          <w:iCs/>
          <w:sz w:val="21"/>
          <w:szCs w:val="21"/>
          <w:lang w:val="es-MX"/>
        </w:rPr>
        <w:t>Ahora bien, después de investigar y consultar sobre el tema a legislar, se llega a la conclusión de que el término genérico y correcto es “perros de asistencia”, encontrándose dentro de éstos:</w:t>
      </w:r>
    </w:p>
    <w:p w14:paraId="3136B8A3" w14:textId="58345706" w:rsidR="003E5FF7" w:rsidRDefault="003E5FF7" w:rsidP="0094362E">
      <w:pPr>
        <w:widowControl w:val="0"/>
        <w:ind w:left="851" w:right="851"/>
        <w:jc w:val="both"/>
        <w:rPr>
          <w:rFonts w:ascii="Abadi" w:hAnsi="Abadi"/>
          <w:i/>
          <w:iCs/>
          <w:sz w:val="21"/>
          <w:szCs w:val="21"/>
          <w:lang w:val="es-MX"/>
        </w:rPr>
      </w:pPr>
    </w:p>
    <w:p w14:paraId="6AFB6F66" w14:textId="4AED7D50" w:rsidR="003E5FF7" w:rsidRDefault="003E5FF7" w:rsidP="0094362E">
      <w:pPr>
        <w:widowControl w:val="0"/>
        <w:ind w:left="851" w:right="851"/>
        <w:jc w:val="both"/>
        <w:rPr>
          <w:rFonts w:ascii="Abadi" w:hAnsi="Abadi"/>
          <w:i/>
          <w:iCs/>
          <w:sz w:val="21"/>
          <w:szCs w:val="21"/>
          <w:lang w:val="es-MX"/>
        </w:rPr>
      </w:pPr>
    </w:p>
    <w:p w14:paraId="4CBDE731" w14:textId="48E96B0F" w:rsidR="00BA4FF2" w:rsidRPr="00BC5320" w:rsidRDefault="003E5FF7" w:rsidP="00BC5320">
      <w:pPr>
        <w:pStyle w:val="Prrafodelista"/>
        <w:widowControl w:val="0"/>
        <w:numPr>
          <w:ilvl w:val="0"/>
          <w:numId w:val="77"/>
        </w:numPr>
        <w:ind w:left="1276" w:right="851"/>
        <w:jc w:val="both"/>
        <w:rPr>
          <w:rFonts w:ascii="Abadi" w:hAnsi="Abadi"/>
          <w:i/>
          <w:iCs/>
          <w:sz w:val="21"/>
          <w:szCs w:val="21"/>
          <w:lang w:val="es-MX"/>
        </w:rPr>
      </w:pPr>
      <w:r w:rsidRPr="00BC5320">
        <w:rPr>
          <w:rFonts w:ascii="Abadi" w:hAnsi="Abadi"/>
          <w:i/>
          <w:iCs/>
          <w:sz w:val="21"/>
          <w:szCs w:val="21"/>
          <w:lang w:val="es-MX"/>
        </w:rPr>
        <w:t>Perros guía: para personas con discapacidad visual</w:t>
      </w:r>
      <w:r w:rsidR="00BA4FF2" w:rsidRPr="00BC5320">
        <w:rPr>
          <w:rFonts w:ascii="Abadi" w:hAnsi="Abadi"/>
          <w:i/>
          <w:iCs/>
          <w:sz w:val="21"/>
          <w:szCs w:val="21"/>
          <w:lang w:val="es-MX"/>
        </w:rPr>
        <w:t>.</w:t>
      </w:r>
    </w:p>
    <w:p w14:paraId="5BBA48ED" w14:textId="148C9B98" w:rsidR="003E5FF7" w:rsidRDefault="003E5FF7" w:rsidP="00BC5320">
      <w:pPr>
        <w:widowControl w:val="0"/>
        <w:ind w:left="1276" w:right="851"/>
        <w:jc w:val="both"/>
        <w:rPr>
          <w:rFonts w:ascii="Abadi" w:hAnsi="Abadi"/>
          <w:i/>
          <w:iCs/>
          <w:sz w:val="21"/>
          <w:szCs w:val="21"/>
          <w:lang w:val="es-MX"/>
        </w:rPr>
      </w:pPr>
    </w:p>
    <w:p w14:paraId="7139D47B" w14:textId="712F07FA" w:rsidR="003E5FF7" w:rsidRPr="00BC5320" w:rsidRDefault="00BA4FF2" w:rsidP="00BC5320">
      <w:pPr>
        <w:pStyle w:val="Prrafodelista"/>
        <w:widowControl w:val="0"/>
        <w:numPr>
          <w:ilvl w:val="0"/>
          <w:numId w:val="77"/>
        </w:numPr>
        <w:ind w:left="1276" w:right="851"/>
        <w:jc w:val="both"/>
        <w:rPr>
          <w:rFonts w:ascii="Abadi" w:hAnsi="Abadi"/>
          <w:i/>
          <w:iCs/>
          <w:sz w:val="21"/>
          <w:szCs w:val="21"/>
          <w:lang w:val="es-MX"/>
        </w:rPr>
      </w:pPr>
      <w:r w:rsidRPr="00BC5320">
        <w:rPr>
          <w:rFonts w:ascii="Abadi" w:hAnsi="Abadi"/>
          <w:i/>
          <w:iCs/>
          <w:sz w:val="21"/>
          <w:szCs w:val="21"/>
          <w:lang w:val="es-MX"/>
        </w:rPr>
        <w:t>Perros guía: para personas con discapacidad visual</w:t>
      </w:r>
      <w:r w:rsidR="00BC5320" w:rsidRPr="00BC5320">
        <w:rPr>
          <w:rFonts w:ascii="Abadi" w:hAnsi="Abadi"/>
          <w:i/>
          <w:iCs/>
          <w:sz w:val="21"/>
          <w:szCs w:val="21"/>
          <w:lang w:val="es-MX"/>
        </w:rPr>
        <w:t>.</w:t>
      </w:r>
    </w:p>
    <w:p w14:paraId="3451E553" w14:textId="44D78362" w:rsidR="00BC5320" w:rsidRDefault="00BC5320" w:rsidP="00BC5320">
      <w:pPr>
        <w:widowControl w:val="0"/>
        <w:ind w:left="1276" w:right="851"/>
        <w:jc w:val="both"/>
        <w:rPr>
          <w:rFonts w:ascii="Abadi" w:hAnsi="Abadi"/>
          <w:i/>
          <w:iCs/>
          <w:sz w:val="21"/>
          <w:szCs w:val="21"/>
          <w:lang w:val="es-MX"/>
        </w:rPr>
      </w:pPr>
    </w:p>
    <w:p w14:paraId="1AD82577" w14:textId="7121F80E" w:rsidR="00BC5320" w:rsidRDefault="00BC5320" w:rsidP="00BC5320">
      <w:pPr>
        <w:widowControl w:val="0"/>
        <w:ind w:left="1276" w:right="851"/>
        <w:jc w:val="both"/>
        <w:rPr>
          <w:rFonts w:ascii="Abadi" w:hAnsi="Abadi"/>
          <w:i/>
          <w:iCs/>
          <w:sz w:val="21"/>
          <w:szCs w:val="21"/>
          <w:lang w:val="es-MX"/>
        </w:rPr>
      </w:pPr>
    </w:p>
    <w:p w14:paraId="3F362945" w14:textId="7BE45FBC" w:rsidR="00BC5320" w:rsidRPr="00BC5320" w:rsidRDefault="00BC5320" w:rsidP="00BC5320">
      <w:pPr>
        <w:pStyle w:val="Prrafodelista"/>
        <w:widowControl w:val="0"/>
        <w:numPr>
          <w:ilvl w:val="0"/>
          <w:numId w:val="77"/>
        </w:numPr>
        <w:ind w:left="1276" w:right="851"/>
        <w:jc w:val="both"/>
        <w:rPr>
          <w:rFonts w:ascii="Abadi" w:hAnsi="Abadi"/>
          <w:i/>
          <w:iCs/>
          <w:sz w:val="21"/>
          <w:szCs w:val="21"/>
          <w:lang w:val="es-MX"/>
        </w:rPr>
      </w:pPr>
      <w:r w:rsidRPr="00BC5320">
        <w:rPr>
          <w:rFonts w:ascii="Abadi" w:hAnsi="Abadi"/>
          <w:i/>
          <w:iCs/>
          <w:sz w:val="21"/>
          <w:szCs w:val="21"/>
          <w:lang w:val="es-MX"/>
        </w:rPr>
        <w:t>Perros alarma: para personas con discapacidad auditiva</w:t>
      </w:r>
    </w:p>
    <w:p w14:paraId="0339B01A" w14:textId="57259236" w:rsidR="00BC5320" w:rsidRDefault="00BC5320" w:rsidP="00BC5320">
      <w:pPr>
        <w:widowControl w:val="0"/>
        <w:ind w:left="1276" w:right="851"/>
        <w:jc w:val="both"/>
        <w:rPr>
          <w:rFonts w:ascii="Abadi" w:hAnsi="Abadi"/>
          <w:i/>
          <w:iCs/>
          <w:sz w:val="21"/>
          <w:szCs w:val="21"/>
          <w:lang w:val="es-MX"/>
        </w:rPr>
      </w:pPr>
    </w:p>
    <w:p w14:paraId="5767075F" w14:textId="2692AB9E" w:rsidR="00BC5320" w:rsidRPr="00BC5320" w:rsidRDefault="00BC5320" w:rsidP="00BC5320">
      <w:pPr>
        <w:pStyle w:val="Prrafodelista"/>
        <w:widowControl w:val="0"/>
        <w:numPr>
          <w:ilvl w:val="0"/>
          <w:numId w:val="77"/>
        </w:numPr>
        <w:ind w:left="1276" w:right="851"/>
        <w:jc w:val="both"/>
        <w:rPr>
          <w:rFonts w:ascii="Abadi" w:hAnsi="Abadi"/>
          <w:i/>
          <w:iCs/>
          <w:sz w:val="21"/>
          <w:szCs w:val="21"/>
          <w:lang w:val="es-MX"/>
        </w:rPr>
      </w:pPr>
      <w:r w:rsidRPr="00BC5320">
        <w:rPr>
          <w:rFonts w:ascii="Abadi" w:hAnsi="Abadi"/>
          <w:i/>
          <w:iCs/>
          <w:sz w:val="21"/>
          <w:szCs w:val="21"/>
          <w:lang w:val="es-MX"/>
        </w:rPr>
        <w:t>Perros de alerta médica: para personas con alguna condición médica relacionada con crisis convulsivas, epilepsia, diabetes, enfermedad de Lyme.</w:t>
      </w:r>
    </w:p>
    <w:p w14:paraId="606D7155" w14:textId="6AE132C4" w:rsidR="00BC5320" w:rsidRDefault="00BC5320" w:rsidP="0094362E">
      <w:pPr>
        <w:widowControl w:val="0"/>
        <w:ind w:left="851" w:right="851"/>
        <w:jc w:val="both"/>
        <w:rPr>
          <w:rFonts w:ascii="Abadi" w:hAnsi="Abadi"/>
          <w:i/>
          <w:iCs/>
          <w:sz w:val="21"/>
          <w:szCs w:val="21"/>
          <w:lang w:val="es-MX"/>
        </w:rPr>
      </w:pPr>
    </w:p>
    <w:p w14:paraId="616A64FD" w14:textId="77777777" w:rsidR="00BA4FF2" w:rsidRPr="0094362E" w:rsidRDefault="00BA4FF2" w:rsidP="0094362E">
      <w:pPr>
        <w:widowControl w:val="0"/>
        <w:ind w:left="851" w:right="851"/>
        <w:jc w:val="both"/>
        <w:rPr>
          <w:rFonts w:ascii="Abadi" w:hAnsi="Abadi"/>
          <w:i/>
          <w:iCs/>
          <w:sz w:val="21"/>
          <w:szCs w:val="21"/>
          <w:lang w:val="es-MX"/>
        </w:rPr>
      </w:pPr>
    </w:p>
    <w:p w14:paraId="4B09B072" w14:textId="5C0CD9D1" w:rsidR="0094362E" w:rsidRPr="0094362E" w:rsidRDefault="0094362E" w:rsidP="0094362E">
      <w:pPr>
        <w:widowControl w:val="0"/>
        <w:ind w:left="851" w:right="851"/>
        <w:jc w:val="both"/>
        <w:rPr>
          <w:rFonts w:ascii="Abadi" w:eastAsiaTheme="minorHAnsi" w:hAnsi="Abadi"/>
          <w:i/>
          <w:iCs/>
          <w:sz w:val="21"/>
          <w:szCs w:val="21"/>
          <w:lang w:val="es-MX" w:eastAsia="en-US"/>
        </w:rPr>
      </w:pPr>
      <w:r w:rsidRPr="0094362E">
        <w:rPr>
          <w:rFonts w:ascii="Abadi" w:hAnsi="Abadi"/>
          <w:i/>
          <w:iCs/>
          <w:sz w:val="21"/>
          <w:szCs w:val="21"/>
          <w:lang w:val="es-MX" w:eastAsia="en-US"/>
        </w:rPr>
        <w:t xml:space="preserve">Por lo tanto, respecto a la denominación de la ley que se pretende implementar, se estima que su denominación </w:t>
      </w:r>
      <w:r w:rsidR="003E5FF7" w:rsidRPr="0094362E">
        <w:rPr>
          <w:rFonts w:ascii="Abadi" w:hAnsi="Abadi"/>
          <w:i/>
          <w:iCs/>
          <w:sz w:val="21"/>
          <w:szCs w:val="21"/>
          <w:lang w:val="es-MX" w:eastAsia="en-US"/>
        </w:rPr>
        <w:t>más</w:t>
      </w:r>
      <w:r w:rsidRPr="0094362E">
        <w:rPr>
          <w:rFonts w:ascii="Abadi" w:hAnsi="Abadi"/>
          <w:i/>
          <w:iCs/>
          <w:sz w:val="21"/>
          <w:szCs w:val="21"/>
          <w:lang w:val="es-MX" w:eastAsia="en-US"/>
        </w:rPr>
        <w:t xml:space="preserve"> adecuada sería: “Ley Para la Protección</w:t>
      </w:r>
      <w:r w:rsidRPr="0094362E">
        <w:rPr>
          <w:rFonts w:ascii="Abadi" w:hAnsi="Abadi"/>
          <w:i/>
          <w:iCs/>
          <w:spacing w:val="1"/>
          <w:sz w:val="21"/>
          <w:szCs w:val="21"/>
          <w:lang w:val="es-MX" w:eastAsia="en-US"/>
        </w:rPr>
        <w:t xml:space="preserve"> </w:t>
      </w:r>
      <w:r w:rsidRPr="0094362E">
        <w:rPr>
          <w:rFonts w:ascii="Abadi" w:hAnsi="Abadi"/>
          <w:i/>
          <w:iCs/>
          <w:sz w:val="21"/>
          <w:szCs w:val="21"/>
          <w:lang w:val="es-MX" w:eastAsia="en-US"/>
        </w:rPr>
        <w:t>de los Derechos de las Personas</w:t>
      </w:r>
      <w:r w:rsidRPr="0094362E">
        <w:rPr>
          <w:rFonts w:ascii="Abadi" w:hAnsi="Abadi"/>
          <w:i/>
          <w:iCs/>
          <w:spacing w:val="1"/>
          <w:sz w:val="21"/>
          <w:szCs w:val="21"/>
          <w:lang w:val="es-MX" w:eastAsia="en-US"/>
        </w:rPr>
        <w:t xml:space="preserve"> </w:t>
      </w:r>
      <w:r w:rsidRPr="0094362E">
        <w:rPr>
          <w:rFonts w:ascii="Abadi" w:hAnsi="Abadi"/>
          <w:i/>
          <w:iCs/>
          <w:sz w:val="21"/>
          <w:szCs w:val="21"/>
          <w:lang w:val="es-MX" w:eastAsia="en-US"/>
        </w:rPr>
        <w:t>Usuarias de Perros de Asistencia para el Estado de Guanajuato”.</w:t>
      </w:r>
    </w:p>
    <w:p w14:paraId="4DC2EE2A" w14:textId="77777777" w:rsidR="0094362E" w:rsidRPr="0094362E" w:rsidRDefault="0094362E" w:rsidP="0094362E">
      <w:pPr>
        <w:widowControl w:val="0"/>
        <w:ind w:left="851" w:right="851"/>
        <w:jc w:val="both"/>
        <w:rPr>
          <w:rFonts w:ascii="Abadi" w:hAnsi="Abadi"/>
          <w:i/>
          <w:iCs/>
          <w:sz w:val="21"/>
          <w:szCs w:val="21"/>
          <w:lang w:val="es-MX" w:eastAsia="en-US"/>
        </w:rPr>
      </w:pPr>
    </w:p>
    <w:p w14:paraId="4A37988D" w14:textId="77777777" w:rsidR="0094362E" w:rsidRPr="0094362E" w:rsidRDefault="0094362E" w:rsidP="0094362E">
      <w:pPr>
        <w:widowControl w:val="0"/>
        <w:ind w:left="851" w:right="851"/>
        <w:jc w:val="both"/>
        <w:rPr>
          <w:rFonts w:ascii="Abadi" w:hAnsi="Abadi"/>
          <w:i/>
          <w:iCs/>
          <w:sz w:val="21"/>
          <w:szCs w:val="21"/>
          <w:lang w:val="es-MX" w:eastAsia="en-US"/>
        </w:rPr>
      </w:pPr>
      <w:r w:rsidRPr="0094362E">
        <w:rPr>
          <w:rFonts w:ascii="Abadi" w:hAnsi="Abadi"/>
          <w:i/>
          <w:iCs/>
          <w:sz w:val="21"/>
          <w:szCs w:val="21"/>
          <w:lang w:val="es-MX" w:eastAsia="en-US"/>
        </w:rPr>
        <w:t>Se sugiere corregir la redacción de los distintos artículos de la ley en la que se hace referencia a los “perros de asistencia”, sin necesidad de hacer alusión específica de perros guía o de asistencia médica, ya que éstos últimos están considerados como tipos dentro de su género.</w:t>
      </w:r>
    </w:p>
    <w:p w14:paraId="51E42426" w14:textId="77777777" w:rsidR="0094362E" w:rsidRPr="0094362E" w:rsidRDefault="0094362E" w:rsidP="0094362E">
      <w:pPr>
        <w:widowControl w:val="0"/>
        <w:ind w:left="851" w:right="851"/>
        <w:jc w:val="both"/>
        <w:rPr>
          <w:rFonts w:ascii="Abadi" w:hAnsi="Abadi"/>
          <w:i/>
          <w:iCs/>
          <w:sz w:val="21"/>
          <w:szCs w:val="21"/>
          <w:lang w:val="es-MX" w:eastAsia="en-US"/>
        </w:rPr>
      </w:pPr>
    </w:p>
    <w:p w14:paraId="384BB839" w14:textId="77777777" w:rsidR="0094362E" w:rsidRPr="0094362E" w:rsidRDefault="0094362E" w:rsidP="0094362E">
      <w:pPr>
        <w:widowControl w:val="0"/>
        <w:ind w:left="851" w:right="851"/>
        <w:jc w:val="both"/>
        <w:rPr>
          <w:rFonts w:ascii="Abadi" w:hAnsi="Abadi"/>
          <w:b/>
          <w:bCs/>
          <w:i/>
          <w:iCs/>
          <w:sz w:val="21"/>
          <w:szCs w:val="21"/>
          <w:lang w:val="es-MX" w:eastAsia="en-US"/>
        </w:rPr>
      </w:pPr>
      <w:r w:rsidRPr="0094362E">
        <w:rPr>
          <w:rFonts w:ascii="Abadi" w:hAnsi="Abadi"/>
          <w:b/>
          <w:bCs/>
          <w:i/>
          <w:iCs/>
          <w:sz w:val="21"/>
          <w:szCs w:val="21"/>
          <w:lang w:val="es-MX" w:eastAsia="en-US"/>
        </w:rPr>
        <w:t>II.- PERSONA CON DISCAPACIDAD.</w:t>
      </w:r>
    </w:p>
    <w:p w14:paraId="4BE72432" w14:textId="77777777" w:rsidR="0094362E" w:rsidRPr="0094362E" w:rsidRDefault="0094362E" w:rsidP="0094362E">
      <w:pPr>
        <w:widowControl w:val="0"/>
        <w:ind w:left="851" w:right="851"/>
        <w:jc w:val="both"/>
        <w:rPr>
          <w:rFonts w:ascii="Abadi" w:hAnsi="Abadi"/>
          <w:i/>
          <w:iCs/>
          <w:sz w:val="21"/>
          <w:szCs w:val="21"/>
          <w:lang w:val="es-MX" w:eastAsia="en-US"/>
        </w:rPr>
      </w:pPr>
    </w:p>
    <w:p w14:paraId="7D64628F" w14:textId="77777777" w:rsidR="0094362E" w:rsidRPr="0094362E" w:rsidRDefault="0094362E" w:rsidP="0094362E">
      <w:pPr>
        <w:widowControl w:val="0"/>
        <w:ind w:left="851" w:right="851"/>
        <w:jc w:val="both"/>
        <w:rPr>
          <w:rFonts w:ascii="Abadi" w:hAnsi="Abadi"/>
          <w:i/>
          <w:iCs/>
          <w:sz w:val="21"/>
          <w:szCs w:val="21"/>
          <w:lang w:val="es-MX" w:eastAsia="en-US"/>
        </w:rPr>
      </w:pPr>
      <w:r w:rsidRPr="0094362E">
        <w:rPr>
          <w:rFonts w:ascii="Abadi" w:hAnsi="Abadi"/>
          <w:i/>
          <w:iCs/>
          <w:sz w:val="21"/>
          <w:szCs w:val="21"/>
          <w:lang w:val="es-MX" w:eastAsia="en-US"/>
        </w:rPr>
        <w:t>El término correcto y acorde a la Convención sobre los Derechos de las Personas con Discapacidad, es precisamente “PERSONA CON DISCAPACIDAD”.</w:t>
      </w:r>
    </w:p>
    <w:p w14:paraId="0F260455" w14:textId="77777777" w:rsidR="0094362E" w:rsidRPr="0094362E" w:rsidRDefault="0094362E" w:rsidP="0094362E">
      <w:pPr>
        <w:widowControl w:val="0"/>
        <w:ind w:left="851" w:right="851"/>
        <w:jc w:val="both"/>
        <w:rPr>
          <w:rFonts w:ascii="Abadi" w:hAnsi="Abadi"/>
          <w:i/>
          <w:iCs/>
          <w:sz w:val="21"/>
          <w:szCs w:val="21"/>
          <w:lang w:val="es-MX" w:eastAsia="en-US"/>
        </w:rPr>
      </w:pPr>
    </w:p>
    <w:p w14:paraId="4080F870" w14:textId="77777777" w:rsidR="0094362E" w:rsidRPr="0094362E" w:rsidRDefault="0094362E" w:rsidP="0094362E">
      <w:pPr>
        <w:widowControl w:val="0"/>
        <w:ind w:left="851" w:right="851"/>
        <w:jc w:val="both"/>
        <w:rPr>
          <w:rFonts w:ascii="Abadi" w:hAnsi="Abadi"/>
          <w:i/>
          <w:iCs/>
          <w:sz w:val="21"/>
          <w:szCs w:val="21"/>
          <w:lang w:val="es-MX" w:eastAsia="en-US"/>
        </w:rPr>
      </w:pPr>
      <w:r w:rsidRPr="0094362E">
        <w:rPr>
          <w:rFonts w:ascii="Abadi" w:hAnsi="Abadi"/>
          <w:i/>
          <w:iCs/>
          <w:sz w:val="21"/>
          <w:szCs w:val="21"/>
          <w:lang w:val="es-MX" w:eastAsia="en-US"/>
        </w:rPr>
        <w:t>Atento a lo anterior, se estima incorrecta la redacción del artículo 6 en su fracción I, donde se utiliza el término “personas discapacitadas”.</w:t>
      </w:r>
    </w:p>
    <w:p w14:paraId="2EC7A613" w14:textId="77777777" w:rsidR="0094362E" w:rsidRPr="0094362E" w:rsidRDefault="0094362E" w:rsidP="0094362E">
      <w:pPr>
        <w:widowControl w:val="0"/>
        <w:ind w:left="851" w:right="851"/>
        <w:jc w:val="both"/>
        <w:rPr>
          <w:rFonts w:ascii="Abadi" w:hAnsi="Abadi"/>
          <w:i/>
          <w:iCs/>
          <w:sz w:val="21"/>
          <w:szCs w:val="21"/>
          <w:lang w:val="es-MX" w:eastAsia="en-US"/>
        </w:rPr>
      </w:pPr>
    </w:p>
    <w:p w14:paraId="3C3AE205" w14:textId="77777777" w:rsidR="0094362E" w:rsidRPr="0094362E" w:rsidRDefault="0094362E" w:rsidP="0094362E">
      <w:pPr>
        <w:widowControl w:val="0"/>
        <w:ind w:left="1134" w:right="1134"/>
        <w:jc w:val="both"/>
        <w:rPr>
          <w:rFonts w:ascii="Abadi" w:hAnsi="Abadi"/>
          <w:i/>
          <w:iCs/>
          <w:sz w:val="21"/>
          <w:szCs w:val="21"/>
          <w:lang w:val="es-MX" w:eastAsia="en-US"/>
        </w:rPr>
      </w:pPr>
      <w:r w:rsidRPr="0094362E">
        <w:rPr>
          <w:rFonts w:ascii="Abadi" w:hAnsi="Abadi"/>
          <w:i/>
          <w:iCs/>
          <w:sz w:val="21"/>
          <w:szCs w:val="21"/>
          <w:lang w:val="es-MX" w:eastAsia="en-US"/>
        </w:rPr>
        <w:t>I. Los previamente señalados en la infraestructura urbana como de uso exclusivo de personas discapacitadas.</w:t>
      </w:r>
    </w:p>
    <w:p w14:paraId="39FDBFB8" w14:textId="77777777" w:rsidR="0094362E" w:rsidRPr="0094362E" w:rsidRDefault="0094362E" w:rsidP="0094362E">
      <w:pPr>
        <w:widowControl w:val="0"/>
        <w:ind w:left="851" w:right="851"/>
        <w:jc w:val="both"/>
        <w:rPr>
          <w:rFonts w:ascii="Abadi" w:hAnsi="Abadi"/>
          <w:i/>
          <w:iCs/>
          <w:sz w:val="21"/>
          <w:szCs w:val="21"/>
          <w:lang w:val="es-MX" w:eastAsia="en-US"/>
        </w:rPr>
      </w:pPr>
    </w:p>
    <w:p w14:paraId="56B0D0E1" w14:textId="77777777" w:rsidR="0094362E" w:rsidRPr="0094362E" w:rsidRDefault="0094362E" w:rsidP="0094362E">
      <w:pPr>
        <w:widowControl w:val="0"/>
        <w:ind w:left="851" w:right="851"/>
        <w:jc w:val="both"/>
        <w:rPr>
          <w:rFonts w:ascii="Abadi" w:hAnsi="Abadi"/>
          <w:i/>
          <w:iCs/>
          <w:sz w:val="21"/>
          <w:szCs w:val="21"/>
          <w:lang w:val="es-MX" w:eastAsia="en-US"/>
        </w:rPr>
      </w:pPr>
      <w:r w:rsidRPr="0094362E">
        <w:rPr>
          <w:rFonts w:ascii="Abadi" w:hAnsi="Abadi"/>
          <w:i/>
          <w:iCs/>
          <w:sz w:val="21"/>
          <w:szCs w:val="21"/>
          <w:lang w:val="es-MX" w:eastAsia="en-US"/>
        </w:rPr>
        <w:t>Se sugiere corregir la redacción de la fracción antes aludida.</w:t>
      </w:r>
    </w:p>
    <w:p w14:paraId="584A3C2D" w14:textId="77777777" w:rsidR="0094362E" w:rsidRPr="0094362E" w:rsidRDefault="0094362E" w:rsidP="0094362E">
      <w:pPr>
        <w:widowControl w:val="0"/>
        <w:ind w:left="851" w:right="851"/>
        <w:jc w:val="both"/>
        <w:rPr>
          <w:rFonts w:ascii="Abadi" w:hAnsi="Abadi"/>
          <w:i/>
          <w:iCs/>
          <w:sz w:val="21"/>
          <w:szCs w:val="21"/>
          <w:lang w:val="es-MX" w:eastAsia="en-US"/>
        </w:rPr>
      </w:pPr>
    </w:p>
    <w:p w14:paraId="32F36E87" w14:textId="77777777" w:rsidR="0094362E" w:rsidRPr="0094362E" w:rsidRDefault="0094362E" w:rsidP="0094362E">
      <w:pPr>
        <w:widowControl w:val="0"/>
        <w:ind w:left="851" w:right="851"/>
        <w:jc w:val="both"/>
        <w:rPr>
          <w:rFonts w:ascii="Abadi" w:hAnsi="Abadi"/>
          <w:i/>
          <w:iCs/>
          <w:sz w:val="21"/>
          <w:szCs w:val="21"/>
          <w:lang w:val="es-MX" w:eastAsia="en-US"/>
        </w:rPr>
      </w:pPr>
      <w:r w:rsidRPr="0094362E">
        <w:rPr>
          <w:rFonts w:ascii="Abadi" w:hAnsi="Abadi"/>
          <w:b/>
          <w:bCs/>
          <w:i/>
          <w:iCs/>
          <w:sz w:val="21"/>
          <w:szCs w:val="21"/>
          <w:lang w:val="es-MX" w:eastAsia="en-US"/>
        </w:rPr>
        <w:t>III.-SOBRE LA PÓLIZA DE DAÑOS A TERCEROS</w:t>
      </w:r>
      <w:r w:rsidRPr="0094362E">
        <w:rPr>
          <w:rFonts w:ascii="Abadi" w:hAnsi="Abadi"/>
          <w:i/>
          <w:iCs/>
          <w:sz w:val="21"/>
          <w:szCs w:val="21"/>
          <w:lang w:val="es-MX" w:eastAsia="en-US"/>
        </w:rPr>
        <w:t>.</w:t>
      </w:r>
    </w:p>
    <w:p w14:paraId="3FE40543" w14:textId="77777777" w:rsidR="0094362E" w:rsidRPr="0094362E" w:rsidRDefault="0094362E" w:rsidP="0094362E">
      <w:pPr>
        <w:widowControl w:val="0"/>
        <w:ind w:left="851" w:right="851"/>
        <w:jc w:val="both"/>
        <w:rPr>
          <w:rFonts w:ascii="Abadi" w:hAnsi="Abadi"/>
          <w:i/>
          <w:iCs/>
          <w:sz w:val="21"/>
          <w:szCs w:val="21"/>
          <w:lang w:val="es-MX" w:eastAsia="en-US"/>
        </w:rPr>
      </w:pPr>
    </w:p>
    <w:p w14:paraId="29AABB79" w14:textId="77777777" w:rsidR="0094362E" w:rsidRPr="0094362E" w:rsidRDefault="0094362E" w:rsidP="0094362E">
      <w:pPr>
        <w:widowControl w:val="0"/>
        <w:ind w:left="851" w:right="851"/>
        <w:jc w:val="both"/>
        <w:rPr>
          <w:rFonts w:ascii="Abadi" w:hAnsi="Abadi"/>
          <w:i/>
          <w:iCs/>
          <w:sz w:val="21"/>
          <w:szCs w:val="21"/>
          <w:lang w:val="es-MX" w:eastAsia="en-US"/>
        </w:rPr>
      </w:pPr>
      <w:r w:rsidRPr="0094362E">
        <w:rPr>
          <w:rFonts w:ascii="Abadi" w:hAnsi="Abadi"/>
          <w:i/>
          <w:iCs/>
          <w:sz w:val="21"/>
          <w:szCs w:val="21"/>
          <w:lang w:val="es-MX" w:eastAsia="en-US"/>
        </w:rPr>
        <w:t>El artículo 9 de la iniciativa de ley, hace referencia a las obligaciones de los usuarios de perros de asistencia, desprendiéndose de la fracción IX del artículo en mención, que se debe tener suscrita una póliza de responsabilidad civil que cubra daños a terceros.</w:t>
      </w:r>
    </w:p>
    <w:p w14:paraId="15E6EC86" w14:textId="77777777" w:rsidR="0094362E" w:rsidRPr="0094362E" w:rsidRDefault="0094362E" w:rsidP="0094362E">
      <w:pPr>
        <w:widowControl w:val="0"/>
        <w:ind w:left="851" w:right="851"/>
        <w:jc w:val="both"/>
        <w:rPr>
          <w:rFonts w:ascii="Abadi" w:hAnsi="Abadi"/>
          <w:i/>
          <w:iCs/>
          <w:sz w:val="21"/>
          <w:szCs w:val="21"/>
          <w:lang w:val="es-MX" w:eastAsia="en-US"/>
        </w:rPr>
      </w:pPr>
    </w:p>
    <w:p w14:paraId="570C82CE" w14:textId="77777777" w:rsidR="0094362E" w:rsidRPr="0094362E" w:rsidRDefault="0094362E" w:rsidP="0094362E">
      <w:pPr>
        <w:widowControl w:val="0"/>
        <w:ind w:left="851" w:right="851"/>
        <w:jc w:val="both"/>
        <w:rPr>
          <w:rFonts w:ascii="Abadi" w:hAnsi="Abadi"/>
          <w:i/>
          <w:iCs/>
          <w:sz w:val="21"/>
          <w:szCs w:val="21"/>
          <w:lang w:val="es-MX" w:eastAsia="en-US"/>
        </w:rPr>
      </w:pPr>
      <w:r w:rsidRPr="0094362E">
        <w:rPr>
          <w:rFonts w:ascii="Abadi" w:hAnsi="Abadi"/>
          <w:i/>
          <w:iCs/>
          <w:sz w:val="21"/>
          <w:szCs w:val="21"/>
          <w:lang w:val="es-MX" w:eastAsia="en-US"/>
        </w:rPr>
        <w:t>IX. El responsable del perro de asistencia es responsable de los daños, perjuicios y molestias que ocasione a personas, otros animales, bienes, vías y espacios públicos y al medio natural en general, de acuerdo con lo establecido por la legislación civil aplicable y debe tener suscrita una póliza de responsabilidad civil que cubra los eventuales daños a terceros.</w:t>
      </w:r>
    </w:p>
    <w:p w14:paraId="16030689" w14:textId="77777777" w:rsidR="0094362E" w:rsidRPr="0094362E" w:rsidRDefault="0094362E" w:rsidP="0094362E">
      <w:pPr>
        <w:widowControl w:val="0"/>
        <w:ind w:left="851" w:right="851"/>
        <w:jc w:val="both"/>
        <w:rPr>
          <w:rFonts w:ascii="Abadi" w:hAnsi="Abadi"/>
          <w:i/>
          <w:iCs/>
          <w:sz w:val="21"/>
          <w:szCs w:val="21"/>
          <w:lang w:val="es-MX" w:eastAsia="en-US"/>
        </w:rPr>
      </w:pPr>
    </w:p>
    <w:p w14:paraId="0D1E6640" w14:textId="77777777" w:rsidR="0094362E" w:rsidRPr="0094362E" w:rsidRDefault="0094362E" w:rsidP="0094362E">
      <w:pPr>
        <w:widowControl w:val="0"/>
        <w:ind w:left="851" w:right="851"/>
        <w:jc w:val="both"/>
        <w:rPr>
          <w:rFonts w:ascii="Abadi" w:hAnsi="Abadi"/>
          <w:i/>
          <w:iCs/>
          <w:sz w:val="21"/>
          <w:szCs w:val="21"/>
          <w:lang w:val="es-MX" w:eastAsia="en-US"/>
        </w:rPr>
      </w:pPr>
      <w:r w:rsidRPr="0094362E">
        <w:rPr>
          <w:rFonts w:ascii="Abadi" w:hAnsi="Abadi"/>
          <w:i/>
          <w:iCs/>
          <w:sz w:val="21"/>
          <w:szCs w:val="21"/>
          <w:lang w:val="es-MX" w:eastAsia="en-US"/>
        </w:rPr>
        <w:t>Respecto a la exigencia de la póliza de responsabilidad civil, manifiesto que los usuarios de perros de asistencia de tipo guía que consulté, me mencionaron no estar de acuerdo con tal obligación (criterio que un servidor también comparte). Si el perro de asistencia ya cuenta con una acreditación de adiestramiento, en la que está incluido el comportamiento adecuado y no agresivo del perro, estiman extremosa la exigencia de la póliza de daños a terceros, considerando dicha exigencia como una restricción al derecho de uso de este tipo de animales.</w:t>
      </w:r>
    </w:p>
    <w:p w14:paraId="62456CBB" w14:textId="77777777" w:rsidR="0094362E" w:rsidRPr="0094362E" w:rsidRDefault="0094362E" w:rsidP="0094362E">
      <w:pPr>
        <w:widowControl w:val="0"/>
        <w:ind w:left="851" w:right="851"/>
        <w:jc w:val="both"/>
        <w:rPr>
          <w:rFonts w:ascii="Abadi" w:hAnsi="Abadi"/>
          <w:i/>
          <w:iCs/>
          <w:sz w:val="21"/>
          <w:szCs w:val="21"/>
          <w:lang w:val="es-MX" w:eastAsia="en-US"/>
        </w:rPr>
      </w:pPr>
    </w:p>
    <w:p w14:paraId="1C6926B7" w14:textId="77777777" w:rsidR="0094362E" w:rsidRPr="0094362E" w:rsidRDefault="0094362E" w:rsidP="0094362E">
      <w:pPr>
        <w:widowControl w:val="0"/>
        <w:ind w:left="851" w:right="851"/>
        <w:jc w:val="both"/>
        <w:rPr>
          <w:rFonts w:ascii="Abadi" w:hAnsi="Abadi"/>
          <w:i/>
          <w:iCs/>
          <w:sz w:val="21"/>
          <w:szCs w:val="21"/>
          <w:lang w:val="es-MX" w:eastAsia="en-US"/>
        </w:rPr>
      </w:pPr>
      <w:r w:rsidRPr="0094362E">
        <w:rPr>
          <w:rFonts w:ascii="Abadi" w:hAnsi="Abadi"/>
          <w:i/>
          <w:iCs/>
          <w:sz w:val="21"/>
          <w:szCs w:val="21"/>
          <w:lang w:val="es-MX" w:eastAsia="en-US"/>
        </w:rPr>
        <w:t>No es económico contar con un perro de asistencia, y si además se exige para su uso, el cubrir el gasto de una póliza de seguro, se estaría elevando aún mas lo gravoso de contar con uno. Los usuarios consideran que tal requisito puede generar el ánimo de preferir no utilizarlo y que la exigencia de adquirir dicho seguro, contraviene lo dispuesto en el artículo 20 de la Convención Sobre los derechos de las Personas con Discapacidad.</w:t>
      </w:r>
    </w:p>
    <w:p w14:paraId="08FEF9B9" w14:textId="77777777" w:rsidR="0094362E" w:rsidRPr="0094362E" w:rsidRDefault="0094362E" w:rsidP="0094362E">
      <w:pPr>
        <w:widowControl w:val="0"/>
        <w:ind w:left="851" w:right="851"/>
        <w:jc w:val="both"/>
        <w:rPr>
          <w:rFonts w:ascii="Abadi" w:hAnsi="Abadi"/>
          <w:i/>
          <w:iCs/>
          <w:sz w:val="21"/>
          <w:szCs w:val="21"/>
          <w:lang w:val="es-MX" w:eastAsia="en-US"/>
        </w:rPr>
      </w:pPr>
    </w:p>
    <w:p w14:paraId="38BEED5F" w14:textId="77777777" w:rsidR="0094362E" w:rsidRPr="0094362E" w:rsidRDefault="0094362E" w:rsidP="0094362E">
      <w:pPr>
        <w:widowControl w:val="0"/>
        <w:ind w:left="851" w:right="851"/>
        <w:jc w:val="both"/>
        <w:rPr>
          <w:rFonts w:ascii="Abadi" w:hAnsi="Abadi"/>
          <w:i/>
          <w:iCs/>
          <w:sz w:val="21"/>
          <w:szCs w:val="21"/>
          <w:lang w:val="es-MX" w:eastAsia="en-US"/>
        </w:rPr>
      </w:pPr>
      <w:r w:rsidRPr="0094362E">
        <w:rPr>
          <w:rFonts w:ascii="Abadi" w:hAnsi="Abadi"/>
          <w:i/>
          <w:iCs/>
          <w:sz w:val="21"/>
          <w:szCs w:val="21"/>
          <w:lang w:val="es-MX" w:eastAsia="en-US"/>
        </w:rPr>
        <w:t>Incluso si nuestro Código Civil ya previene las consecuencias por daños ocasionados por animales, no tendría sentido el exigir contar con una póliza de seguro como la pretendida.</w:t>
      </w:r>
    </w:p>
    <w:p w14:paraId="0FA53413" w14:textId="77777777" w:rsidR="0094362E" w:rsidRPr="0094362E" w:rsidRDefault="0094362E" w:rsidP="0094362E">
      <w:pPr>
        <w:widowControl w:val="0"/>
        <w:ind w:left="851" w:right="851"/>
        <w:jc w:val="both"/>
        <w:rPr>
          <w:rFonts w:ascii="Abadi" w:hAnsi="Abadi"/>
          <w:i/>
          <w:iCs/>
          <w:sz w:val="21"/>
          <w:szCs w:val="21"/>
          <w:lang w:val="es-MX" w:eastAsia="en-US"/>
        </w:rPr>
      </w:pPr>
    </w:p>
    <w:p w14:paraId="4FCB7938" w14:textId="77777777" w:rsidR="0094362E" w:rsidRPr="0094362E" w:rsidRDefault="0094362E" w:rsidP="0094362E">
      <w:pPr>
        <w:widowControl w:val="0"/>
        <w:ind w:left="851" w:right="851"/>
        <w:jc w:val="both"/>
        <w:rPr>
          <w:rFonts w:ascii="Abadi" w:hAnsi="Abadi"/>
          <w:i/>
          <w:iCs/>
          <w:sz w:val="21"/>
          <w:szCs w:val="21"/>
          <w:lang w:val="es-MX" w:eastAsia="en-US"/>
        </w:rPr>
      </w:pPr>
      <w:r w:rsidRPr="0094362E">
        <w:rPr>
          <w:rFonts w:ascii="Abadi" w:hAnsi="Abadi"/>
          <w:i/>
          <w:iCs/>
          <w:sz w:val="21"/>
          <w:szCs w:val="21"/>
          <w:lang w:val="es-MX" w:eastAsia="en-US"/>
        </w:rPr>
        <w:t>Ahora bien, expongo que la directiva de la Escuela de Entrenamiento de Perros Guía para Ciegos IAP, fue la única que refirió sí estár de acuerdo con la exigencia de adquirir una póliza como la mencionada en la iniciativa de ley, al estimarla como parte de la cultura cívica de responder de eventuales daños, respetando la postura de dicha institución, aunque personalmente no la comparto por las razones antes expuestas.</w:t>
      </w:r>
    </w:p>
    <w:p w14:paraId="4BF63BA6" w14:textId="77777777" w:rsidR="0094362E" w:rsidRPr="0094362E" w:rsidRDefault="0094362E" w:rsidP="0094362E">
      <w:pPr>
        <w:widowControl w:val="0"/>
        <w:ind w:left="851" w:right="851"/>
        <w:jc w:val="both"/>
        <w:rPr>
          <w:rFonts w:ascii="Abadi" w:hAnsi="Abadi"/>
          <w:i/>
          <w:iCs/>
          <w:sz w:val="21"/>
          <w:szCs w:val="21"/>
          <w:lang w:val="es-MX" w:eastAsia="en-US"/>
        </w:rPr>
      </w:pPr>
    </w:p>
    <w:p w14:paraId="405B3522" w14:textId="77777777" w:rsidR="0094362E" w:rsidRPr="0094362E" w:rsidRDefault="0094362E" w:rsidP="0094362E">
      <w:pPr>
        <w:widowControl w:val="0"/>
        <w:ind w:left="851" w:right="851"/>
        <w:jc w:val="both"/>
        <w:rPr>
          <w:rFonts w:ascii="Abadi" w:hAnsi="Abadi"/>
          <w:b/>
          <w:bCs/>
          <w:i/>
          <w:iCs/>
          <w:sz w:val="21"/>
          <w:szCs w:val="21"/>
          <w:lang w:val="es-MX" w:eastAsia="en-US"/>
        </w:rPr>
      </w:pPr>
      <w:r w:rsidRPr="0094362E">
        <w:rPr>
          <w:rFonts w:ascii="Abadi" w:hAnsi="Abadi"/>
          <w:b/>
          <w:bCs/>
          <w:i/>
          <w:iCs/>
          <w:sz w:val="21"/>
          <w:szCs w:val="21"/>
          <w:lang w:val="es-MX" w:eastAsia="en-US"/>
        </w:rPr>
        <w:t>IV.- SOBRE LAS CONCECUENCIAS DE NO RESPETAR EL DERECHO DE LOS USUARIOS.</w:t>
      </w:r>
    </w:p>
    <w:p w14:paraId="06122D6D" w14:textId="77777777" w:rsidR="0094362E" w:rsidRPr="0094362E" w:rsidRDefault="0094362E" w:rsidP="0094362E">
      <w:pPr>
        <w:widowControl w:val="0"/>
        <w:ind w:left="851" w:right="851"/>
        <w:jc w:val="both"/>
        <w:rPr>
          <w:rFonts w:ascii="Abadi" w:hAnsi="Abadi"/>
          <w:i/>
          <w:iCs/>
          <w:sz w:val="21"/>
          <w:szCs w:val="21"/>
          <w:lang w:val="es-MX" w:eastAsia="en-US"/>
        </w:rPr>
      </w:pPr>
      <w:r w:rsidRPr="0094362E">
        <w:rPr>
          <w:rFonts w:ascii="Abadi" w:hAnsi="Abadi"/>
          <w:i/>
          <w:iCs/>
          <w:sz w:val="21"/>
          <w:szCs w:val="21"/>
          <w:lang w:val="es-MX" w:eastAsia="en-US"/>
        </w:rPr>
        <w:t>La ley establece los derechos y obligaciones de los usuarios de los perros de asistencia, pero la legislación no menciona nada respecto a las consecuencias o sanciones al no respeto de tales derechos.</w:t>
      </w:r>
    </w:p>
    <w:p w14:paraId="02655A6F" w14:textId="77777777" w:rsidR="0094362E" w:rsidRPr="0094362E" w:rsidRDefault="0094362E" w:rsidP="0094362E">
      <w:pPr>
        <w:widowControl w:val="0"/>
        <w:ind w:left="851" w:right="851"/>
        <w:jc w:val="both"/>
        <w:rPr>
          <w:rFonts w:ascii="Abadi" w:hAnsi="Abadi"/>
          <w:i/>
          <w:iCs/>
          <w:sz w:val="21"/>
          <w:szCs w:val="21"/>
          <w:lang w:val="es-MX" w:eastAsia="en-US"/>
        </w:rPr>
      </w:pPr>
      <w:r w:rsidRPr="0094362E">
        <w:rPr>
          <w:rFonts w:ascii="Abadi" w:hAnsi="Abadi"/>
          <w:i/>
          <w:iCs/>
          <w:sz w:val="21"/>
          <w:szCs w:val="21"/>
          <w:lang w:val="es-MX" w:eastAsia="en-US"/>
        </w:rPr>
        <w:t>Si a un usuario se le niega el acceso a un lugar público como un restaurante, cine, plaza comercial, tienda de autoservicio, etc., ¿Cuál sería la consecuencia a dicho establecimiento, si niega el derecho del usuario de un perro de asistencia de acceder a dicho espacio?</w:t>
      </w:r>
    </w:p>
    <w:p w14:paraId="054B11C5" w14:textId="77777777" w:rsidR="0094362E" w:rsidRPr="0094362E" w:rsidRDefault="0094362E" w:rsidP="0094362E">
      <w:pPr>
        <w:widowControl w:val="0"/>
        <w:ind w:left="851" w:right="851"/>
        <w:jc w:val="both"/>
        <w:rPr>
          <w:rFonts w:ascii="Abadi" w:hAnsi="Abadi"/>
          <w:i/>
          <w:iCs/>
          <w:sz w:val="21"/>
          <w:szCs w:val="21"/>
          <w:lang w:val="es-MX" w:eastAsia="en-US"/>
        </w:rPr>
      </w:pPr>
    </w:p>
    <w:p w14:paraId="2BF563F3" w14:textId="77777777" w:rsidR="0094362E" w:rsidRPr="0094362E" w:rsidRDefault="0094362E" w:rsidP="0094362E">
      <w:pPr>
        <w:widowControl w:val="0"/>
        <w:ind w:left="851" w:right="851"/>
        <w:jc w:val="both"/>
        <w:rPr>
          <w:rFonts w:ascii="Abadi" w:hAnsi="Abadi"/>
          <w:i/>
          <w:iCs/>
          <w:sz w:val="21"/>
          <w:szCs w:val="21"/>
          <w:lang w:val="es-MX" w:eastAsia="en-US"/>
        </w:rPr>
      </w:pPr>
      <w:r w:rsidRPr="0094362E">
        <w:rPr>
          <w:rFonts w:ascii="Abadi" w:hAnsi="Abadi"/>
          <w:i/>
          <w:iCs/>
          <w:sz w:val="21"/>
          <w:szCs w:val="21"/>
          <w:lang w:val="es-MX" w:eastAsia="en-US"/>
        </w:rPr>
        <w:t>Se opina que la legislación debería contar con un capítulo de sanciones como multas o en caso de reincidencia, la clausura del establecimiento, impuesta por las autoridades facultadas para ello.</w:t>
      </w:r>
    </w:p>
    <w:p w14:paraId="00082049" w14:textId="77777777" w:rsidR="0094362E" w:rsidRPr="0094362E" w:rsidRDefault="0094362E" w:rsidP="0094362E">
      <w:pPr>
        <w:widowControl w:val="0"/>
        <w:ind w:left="851" w:right="851"/>
        <w:jc w:val="both"/>
        <w:rPr>
          <w:rFonts w:ascii="Abadi" w:hAnsi="Abadi"/>
          <w:i/>
          <w:iCs/>
          <w:sz w:val="21"/>
          <w:szCs w:val="21"/>
          <w:lang w:val="es-MX" w:eastAsia="en-US"/>
        </w:rPr>
      </w:pPr>
    </w:p>
    <w:p w14:paraId="52CB51E5" w14:textId="77777777" w:rsidR="0094362E" w:rsidRPr="0094362E" w:rsidRDefault="0094362E" w:rsidP="0094362E">
      <w:pPr>
        <w:widowControl w:val="0"/>
        <w:ind w:left="851" w:right="851"/>
        <w:jc w:val="both"/>
        <w:rPr>
          <w:rFonts w:ascii="Abadi" w:hAnsi="Abadi"/>
          <w:i/>
          <w:iCs/>
          <w:sz w:val="21"/>
          <w:szCs w:val="21"/>
          <w:lang w:val="es-MX" w:eastAsia="en-US"/>
        </w:rPr>
      </w:pPr>
      <w:r w:rsidRPr="0094362E">
        <w:rPr>
          <w:rFonts w:ascii="Abadi" w:hAnsi="Abadi"/>
          <w:i/>
          <w:iCs/>
          <w:sz w:val="21"/>
          <w:szCs w:val="21"/>
          <w:lang w:val="es-MX" w:eastAsia="en-US"/>
        </w:rPr>
        <w:t>Si no hay una consecuencia para el caso de no respetar los derechos de los usuarios de perros de asistencia, la legislación estaría incompleta. Una forma de que se respete el derecho del usuario, es que existan consecuencias eficaces y reales, a quienes no respeten los derechos contenidos en la ley.</w:t>
      </w:r>
    </w:p>
    <w:p w14:paraId="5D119752" w14:textId="77777777" w:rsidR="0094362E" w:rsidRPr="0094362E" w:rsidRDefault="0094362E" w:rsidP="0094362E">
      <w:pPr>
        <w:widowControl w:val="0"/>
        <w:adjustRightInd w:val="0"/>
        <w:spacing w:line="360" w:lineRule="auto"/>
        <w:jc w:val="both"/>
        <w:rPr>
          <w:rFonts w:ascii="Abadi" w:hAnsi="Abadi"/>
          <w:sz w:val="21"/>
          <w:szCs w:val="21"/>
          <w:lang w:val="es-MX" w:eastAsia="en-US"/>
        </w:rPr>
      </w:pPr>
    </w:p>
    <w:p w14:paraId="06E6FB7C" w14:textId="77777777" w:rsidR="0094362E" w:rsidRPr="0094362E" w:rsidRDefault="0094362E" w:rsidP="00F96199">
      <w:pPr>
        <w:widowControl w:val="0"/>
        <w:ind w:firstLine="851"/>
        <w:jc w:val="both"/>
        <w:rPr>
          <w:rFonts w:ascii="Abadi" w:hAnsi="Abadi"/>
          <w:sz w:val="21"/>
          <w:szCs w:val="21"/>
          <w:lang w:val="es-MX" w:eastAsia="en-US"/>
        </w:rPr>
      </w:pPr>
      <w:r w:rsidRPr="0094362E">
        <w:rPr>
          <w:rFonts w:ascii="Abadi" w:hAnsi="Abadi"/>
          <w:sz w:val="21"/>
          <w:szCs w:val="21"/>
          <w:lang w:val="es-MX" w:eastAsia="en-US"/>
        </w:rPr>
        <w:t>Licenciada Alicia del Socorro Franco Dávalos, presidenta del Consejo para Prevenir, Atender y Erradicar la Discriminación en el Estado de Guanajuato:</w:t>
      </w:r>
    </w:p>
    <w:p w14:paraId="664A7D97" w14:textId="77777777" w:rsidR="0094362E" w:rsidRPr="0094362E" w:rsidRDefault="0094362E" w:rsidP="0094362E">
      <w:pPr>
        <w:widowControl w:val="0"/>
        <w:spacing w:line="360" w:lineRule="auto"/>
        <w:jc w:val="both"/>
        <w:rPr>
          <w:rFonts w:ascii="Abadi" w:hAnsi="Abadi"/>
          <w:sz w:val="21"/>
          <w:szCs w:val="21"/>
          <w:lang w:val="es-MX" w:eastAsia="en-US"/>
        </w:rPr>
      </w:pPr>
    </w:p>
    <w:p w14:paraId="52C0F6E0" w14:textId="77777777" w:rsidR="0094362E" w:rsidRPr="0094362E" w:rsidRDefault="0094362E" w:rsidP="0094362E">
      <w:pPr>
        <w:widowControl w:val="0"/>
        <w:ind w:left="851" w:right="851"/>
        <w:jc w:val="both"/>
        <w:rPr>
          <w:rFonts w:ascii="Abadi" w:eastAsiaTheme="minorHAnsi" w:hAnsi="Abadi"/>
          <w:b/>
          <w:i/>
          <w:iCs/>
          <w:sz w:val="21"/>
          <w:szCs w:val="21"/>
          <w:lang w:val="es-MX" w:eastAsia="en-US"/>
        </w:rPr>
      </w:pPr>
      <w:r w:rsidRPr="0094362E">
        <w:rPr>
          <w:rFonts w:ascii="Abadi" w:hAnsi="Abadi"/>
          <w:i/>
          <w:iCs/>
          <w:sz w:val="21"/>
          <w:szCs w:val="21"/>
          <w:lang w:val="es-MX" w:eastAsia="en-US"/>
        </w:rPr>
        <w:t>El objetivo de la iniciativa es</w:t>
      </w:r>
      <w:r w:rsidRPr="0094362E">
        <w:rPr>
          <w:rFonts w:ascii="Abadi" w:hAnsi="Abadi"/>
          <w:b/>
          <w:i/>
          <w:iCs/>
          <w:sz w:val="21"/>
          <w:szCs w:val="21"/>
          <w:lang w:val="es-MX" w:eastAsia="en-US"/>
        </w:rPr>
        <w:t xml:space="preserve"> </w:t>
      </w:r>
      <w:r w:rsidRPr="0094362E">
        <w:rPr>
          <w:rFonts w:ascii="Abadi" w:hAnsi="Abadi"/>
          <w:i/>
          <w:iCs/>
          <w:sz w:val="21"/>
          <w:szCs w:val="21"/>
          <w:lang w:val="es-MX" w:eastAsia="en-US"/>
        </w:rPr>
        <w:t>garantizar a las personas usuarias de estos el libre acceso a los lugares que sean de carácter público o privado, reconociendo su derecho de acceder, deambular y permanecer con él en cualquier lugar del Estado de Guanajuato, en condiciones de igualdad con el resto de la sociedad.</w:t>
      </w:r>
    </w:p>
    <w:p w14:paraId="4FCBD43A" w14:textId="77777777" w:rsidR="0094362E" w:rsidRPr="0094362E" w:rsidRDefault="0094362E" w:rsidP="0094362E">
      <w:pPr>
        <w:widowControl w:val="0"/>
        <w:ind w:left="851" w:right="851"/>
        <w:jc w:val="both"/>
        <w:rPr>
          <w:rFonts w:ascii="Abadi" w:hAnsi="Abadi"/>
          <w:i/>
          <w:iCs/>
          <w:sz w:val="21"/>
          <w:szCs w:val="21"/>
          <w:lang w:val="es-MX" w:eastAsia="en-US"/>
        </w:rPr>
      </w:pPr>
    </w:p>
    <w:p w14:paraId="5999A1A4" w14:textId="77777777" w:rsidR="0094362E" w:rsidRPr="0094362E" w:rsidRDefault="0094362E" w:rsidP="0094362E">
      <w:pPr>
        <w:widowControl w:val="0"/>
        <w:ind w:left="851" w:right="851"/>
        <w:jc w:val="both"/>
        <w:rPr>
          <w:rFonts w:ascii="Abadi" w:hAnsi="Abadi"/>
          <w:i/>
          <w:iCs/>
          <w:sz w:val="21"/>
          <w:szCs w:val="21"/>
          <w:lang w:val="es-MX" w:eastAsia="en-US"/>
        </w:rPr>
      </w:pPr>
      <w:r w:rsidRPr="0094362E">
        <w:rPr>
          <w:rFonts w:ascii="Abadi" w:hAnsi="Abadi"/>
          <w:i/>
          <w:iCs/>
          <w:sz w:val="21"/>
          <w:szCs w:val="21"/>
          <w:lang w:val="es-MX" w:eastAsia="en-US"/>
        </w:rPr>
        <w:t>Bajo este contexto, la Convención sobre los Derechos de las Personas con Discapacidad y su Protocolo Facultativo, aprobados por la Asamblea General de las Naciones Unidas el 13 de diciembre de 2006, son instrumentos jurídicos de notoria relevancia en el marco general de los derechos humanos, ya que tienen como propósito promover, proteger y asegurar el goce pleno y en condiciones de igualdad de todos los derechos humanos y libertades fundamentales por todas las personas con discapacidad, y promover el respeto de su dignidad inherente y, además, los Estados parte se comprometen a adoptar todas las medidas legislativas, administrativas y de otra índole que sean pertinentes para hacer efectivos los derechos reconocidos en la citada Convención Internacional.</w:t>
      </w:r>
    </w:p>
    <w:p w14:paraId="75DAF1FB" w14:textId="77777777" w:rsidR="0094362E" w:rsidRPr="0094362E" w:rsidRDefault="0094362E" w:rsidP="0094362E">
      <w:pPr>
        <w:widowControl w:val="0"/>
        <w:ind w:left="851" w:right="851"/>
        <w:jc w:val="both"/>
        <w:rPr>
          <w:rFonts w:ascii="Abadi" w:hAnsi="Abadi"/>
          <w:i/>
          <w:iCs/>
          <w:sz w:val="21"/>
          <w:szCs w:val="21"/>
          <w:lang w:val="es-MX" w:eastAsia="en-US"/>
        </w:rPr>
      </w:pPr>
    </w:p>
    <w:p w14:paraId="6B822F7B" w14:textId="77777777" w:rsidR="0094362E" w:rsidRPr="0094362E" w:rsidRDefault="0094362E" w:rsidP="0094362E">
      <w:pPr>
        <w:widowControl w:val="0"/>
        <w:ind w:left="851" w:right="851"/>
        <w:jc w:val="both"/>
        <w:rPr>
          <w:rFonts w:ascii="Abadi" w:hAnsi="Abadi"/>
          <w:i/>
          <w:iCs/>
          <w:sz w:val="21"/>
          <w:szCs w:val="21"/>
          <w:lang w:val="es-MX" w:eastAsia="en-US"/>
        </w:rPr>
      </w:pPr>
      <w:r w:rsidRPr="0094362E">
        <w:rPr>
          <w:rFonts w:ascii="Abadi" w:hAnsi="Abadi"/>
          <w:i/>
          <w:iCs/>
          <w:sz w:val="21"/>
          <w:szCs w:val="21"/>
          <w:lang w:val="es-MX" w:eastAsia="en-US"/>
        </w:rPr>
        <w:t>En este sentido, siendo esta Convención el tratado internacional de derechos especializado en la materia que se aborda, se advierte que la presente iniciativa abona al desarrollo de diversos principios rectores de la misma establecidos en su artículo 3, tales como:</w:t>
      </w:r>
    </w:p>
    <w:p w14:paraId="7C6460EA" w14:textId="77777777" w:rsidR="0094362E" w:rsidRPr="0094362E" w:rsidRDefault="0094362E" w:rsidP="0094362E">
      <w:pPr>
        <w:widowControl w:val="0"/>
        <w:ind w:left="851" w:right="851"/>
        <w:jc w:val="both"/>
        <w:rPr>
          <w:rFonts w:ascii="Abadi" w:hAnsi="Abadi"/>
          <w:i/>
          <w:iCs/>
          <w:sz w:val="21"/>
          <w:szCs w:val="21"/>
          <w:lang w:val="es-MX" w:eastAsia="en-US"/>
        </w:rPr>
      </w:pPr>
    </w:p>
    <w:p w14:paraId="31E6EC1E" w14:textId="77777777" w:rsidR="0094362E" w:rsidRPr="0094362E" w:rsidRDefault="0094362E" w:rsidP="0094362E">
      <w:pPr>
        <w:widowControl w:val="0"/>
        <w:numPr>
          <w:ilvl w:val="0"/>
          <w:numId w:val="38"/>
        </w:numPr>
        <w:ind w:left="851" w:right="851" w:firstLine="0"/>
        <w:contextualSpacing/>
        <w:jc w:val="both"/>
        <w:rPr>
          <w:rFonts w:ascii="Abadi" w:eastAsia="Calibri" w:hAnsi="Abadi" w:cstheme="minorBidi"/>
          <w:i/>
          <w:iCs/>
          <w:sz w:val="21"/>
          <w:szCs w:val="21"/>
          <w:lang w:val="es-MX" w:eastAsia="en-US"/>
        </w:rPr>
      </w:pPr>
      <w:r w:rsidRPr="0094362E">
        <w:rPr>
          <w:rFonts w:ascii="Abadi" w:eastAsia="Calibri" w:hAnsi="Abadi"/>
          <w:i/>
          <w:iCs/>
          <w:sz w:val="21"/>
          <w:szCs w:val="21"/>
          <w:lang w:val="es-MX" w:eastAsia="en-US"/>
        </w:rPr>
        <w:t>La autonomía individual y la independencia de las personas;</w:t>
      </w:r>
    </w:p>
    <w:p w14:paraId="02FCFF2A" w14:textId="77777777" w:rsidR="0094362E" w:rsidRPr="0094362E" w:rsidRDefault="0094362E" w:rsidP="0094362E">
      <w:pPr>
        <w:widowControl w:val="0"/>
        <w:numPr>
          <w:ilvl w:val="0"/>
          <w:numId w:val="38"/>
        </w:numPr>
        <w:ind w:left="851" w:right="851" w:firstLine="0"/>
        <w:contextualSpacing/>
        <w:jc w:val="both"/>
        <w:rPr>
          <w:rFonts w:ascii="Abadi" w:eastAsia="Calibri" w:hAnsi="Abadi"/>
          <w:i/>
          <w:iCs/>
          <w:sz w:val="21"/>
          <w:szCs w:val="21"/>
          <w:lang w:val="es-MX" w:eastAsia="en-US"/>
        </w:rPr>
      </w:pPr>
      <w:r w:rsidRPr="0094362E">
        <w:rPr>
          <w:rFonts w:ascii="Abadi" w:eastAsia="Calibri" w:hAnsi="Abadi"/>
          <w:i/>
          <w:iCs/>
          <w:sz w:val="21"/>
          <w:szCs w:val="21"/>
          <w:lang w:val="es-MX" w:eastAsia="en-US"/>
        </w:rPr>
        <w:t xml:space="preserve">La no discriminación y </w:t>
      </w:r>
    </w:p>
    <w:p w14:paraId="3ED58D94" w14:textId="77777777" w:rsidR="0094362E" w:rsidRPr="0094362E" w:rsidRDefault="0094362E" w:rsidP="0094362E">
      <w:pPr>
        <w:widowControl w:val="0"/>
        <w:numPr>
          <w:ilvl w:val="0"/>
          <w:numId w:val="38"/>
        </w:numPr>
        <w:ind w:left="851" w:right="851" w:firstLine="0"/>
        <w:contextualSpacing/>
        <w:jc w:val="both"/>
        <w:rPr>
          <w:rFonts w:ascii="Abadi" w:eastAsia="Calibri" w:hAnsi="Abadi"/>
          <w:i/>
          <w:iCs/>
          <w:sz w:val="21"/>
          <w:szCs w:val="21"/>
          <w:lang w:val="es-MX" w:eastAsia="en-US"/>
        </w:rPr>
      </w:pPr>
      <w:r w:rsidRPr="0094362E">
        <w:rPr>
          <w:rFonts w:ascii="Abadi" w:eastAsia="Calibri" w:hAnsi="Abadi"/>
          <w:i/>
          <w:iCs/>
          <w:sz w:val="21"/>
          <w:szCs w:val="21"/>
          <w:lang w:val="es-MX" w:eastAsia="en-US"/>
        </w:rPr>
        <w:t>La participación e inclusión plenas y efectivas en la sociedad.</w:t>
      </w:r>
    </w:p>
    <w:p w14:paraId="21A53DC3" w14:textId="77777777" w:rsidR="0094362E" w:rsidRPr="0094362E" w:rsidRDefault="0094362E" w:rsidP="0094362E">
      <w:pPr>
        <w:widowControl w:val="0"/>
        <w:ind w:left="851" w:right="851"/>
        <w:jc w:val="both"/>
        <w:rPr>
          <w:rFonts w:ascii="Abadi" w:hAnsi="Abadi"/>
          <w:i/>
          <w:iCs/>
          <w:sz w:val="21"/>
          <w:szCs w:val="21"/>
          <w:lang w:val="es-MX" w:eastAsia="en-US"/>
        </w:rPr>
      </w:pPr>
    </w:p>
    <w:p w14:paraId="5B3F27E5" w14:textId="77777777" w:rsidR="0094362E" w:rsidRPr="0094362E" w:rsidRDefault="0094362E" w:rsidP="0094362E">
      <w:pPr>
        <w:widowControl w:val="0"/>
        <w:ind w:left="851" w:right="851"/>
        <w:jc w:val="both"/>
        <w:rPr>
          <w:rFonts w:ascii="Abadi" w:hAnsi="Abadi"/>
          <w:i/>
          <w:iCs/>
          <w:sz w:val="21"/>
          <w:szCs w:val="21"/>
          <w:lang w:val="es-MX" w:eastAsia="en-US"/>
        </w:rPr>
      </w:pPr>
      <w:r w:rsidRPr="0094362E">
        <w:rPr>
          <w:rFonts w:ascii="Abadi" w:hAnsi="Abadi"/>
          <w:i/>
          <w:iCs/>
          <w:sz w:val="21"/>
          <w:szCs w:val="21"/>
          <w:lang w:val="es-MX" w:eastAsia="en-US"/>
        </w:rPr>
        <w:t>Además de abonarse a la concreción y especificación del derecho a la accesibilidad establecido en el artículo 9, especialmente en su inciso e, que señala:</w:t>
      </w:r>
    </w:p>
    <w:p w14:paraId="20EA7607" w14:textId="77777777" w:rsidR="0094362E" w:rsidRPr="0094362E" w:rsidRDefault="0094362E" w:rsidP="0094362E">
      <w:pPr>
        <w:widowControl w:val="0"/>
        <w:ind w:left="851" w:right="851"/>
        <w:jc w:val="both"/>
        <w:rPr>
          <w:rFonts w:ascii="Abadi" w:hAnsi="Abadi"/>
          <w:i/>
          <w:iCs/>
          <w:sz w:val="21"/>
          <w:szCs w:val="21"/>
          <w:lang w:val="es-MX" w:eastAsia="en-US"/>
        </w:rPr>
      </w:pPr>
    </w:p>
    <w:p w14:paraId="5DBEAB5B" w14:textId="77777777" w:rsidR="0094362E" w:rsidRPr="0094362E" w:rsidRDefault="0094362E" w:rsidP="0094362E">
      <w:pPr>
        <w:widowControl w:val="0"/>
        <w:ind w:left="1134" w:right="1134"/>
        <w:jc w:val="both"/>
        <w:rPr>
          <w:rFonts w:ascii="Abadi" w:hAnsi="Abadi"/>
          <w:i/>
          <w:iCs/>
          <w:sz w:val="21"/>
          <w:szCs w:val="21"/>
          <w:lang w:val="es-MX" w:eastAsia="en-US"/>
        </w:rPr>
      </w:pPr>
      <w:r w:rsidRPr="0094362E">
        <w:rPr>
          <w:rFonts w:ascii="Abadi" w:hAnsi="Abadi"/>
          <w:i/>
          <w:iCs/>
          <w:sz w:val="21"/>
          <w:szCs w:val="21"/>
          <w:lang w:val="es-MX" w:eastAsia="en-US"/>
        </w:rPr>
        <w:t>A fin de que las personas con discapacidad puedan vivir en forma independiente y participar plenamente en todos los aspectos de la vida, los Estados Partes adoptarán medidas pertinentes para asegurar el acceso de las personas con discapacidad, en igualdad de condiciones con las demás, al entorno físico, el transporte, la información y las comunicaciones, incluidos los sistemas y las tecnologías de la información y las comunicaciones, y a otros servicios e instalaciones abiertos al público o de uso público, tanto en zonas urbanas como rurales. Estas medidas, que incluirán la identificación y eliminación de obstáculos y barreras de acceso, se aplicarán, entre otras cosas, a:</w:t>
      </w:r>
    </w:p>
    <w:p w14:paraId="76C0A077" w14:textId="77777777" w:rsidR="0094362E" w:rsidRPr="0094362E" w:rsidRDefault="0094362E" w:rsidP="0094362E">
      <w:pPr>
        <w:widowControl w:val="0"/>
        <w:ind w:left="1134" w:right="1134"/>
        <w:jc w:val="both"/>
        <w:rPr>
          <w:rFonts w:ascii="Abadi" w:hAnsi="Abadi"/>
          <w:i/>
          <w:iCs/>
          <w:sz w:val="21"/>
          <w:szCs w:val="21"/>
          <w:lang w:val="es-MX" w:eastAsia="en-US"/>
        </w:rPr>
      </w:pPr>
    </w:p>
    <w:p w14:paraId="56D8F056" w14:textId="77777777" w:rsidR="0094362E" w:rsidRPr="0094362E" w:rsidRDefault="0094362E" w:rsidP="0094362E">
      <w:pPr>
        <w:widowControl w:val="0"/>
        <w:ind w:left="1134" w:right="1134"/>
        <w:jc w:val="both"/>
        <w:rPr>
          <w:rFonts w:ascii="Abadi" w:hAnsi="Abadi"/>
          <w:i/>
          <w:iCs/>
          <w:sz w:val="21"/>
          <w:szCs w:val="21"/>
          <w:lang w:val="es-MX" w:eastAsia="en-US"/>
        </w:rPr>
      </w:pPr>
      <w:r w:rsidRPr="0094362E">
        <w:rPr>
          <w:rFonts w:ascii="Abadi" w:hAnsi="Abadi"/>
          <w:i/>
          <w:iCs/>
          <w:sz w:val="21"/>
          <w:szCs w:val="21"/>
          <w:lang w:val="es-MX" w:eastAsia="en-US"/>
        </w:rPr>
        <w:t>[…]</w:t>
      </w:r>
    </w:p>
    <w:p w14:paraId="5B88FDDD" w14:textId="77777777" w:rsidR="0094362E" w:rsidRPr="0094362E" w:rsidRDefault="0094362E" w:rsidP="0094362E">
      <w:pPr>
        <w:widowControl w:val="0"/>
        <w:ind w:left="1134" w:right="1134"/>
        <w:jc w:val="both"/>
        <w:rPr>
          <w:rFonts w:ascii="Abadi" w:hAnsi="Abadi"/>
          <w:i/>
          <w:iCs/>
          <w:sz w:val="21"/>
          <w:szCs w:val="21"/>
          <w:lang w:val="es-MX" w:eastAsia="en-US"/>
        </w:rPr>
      </w:pPr>
    </w:p>
    <w:p w14:paraId="317FF355" w14:textId="77777777" w:rsidR="0094362E" w:rsidRPr="0094362E" w:rsidRDefault="0094362E" w:rsidP="0094362E">
      <w:pPr>
        <w:widowControl w:val="0"/>
        <w:ind w:left="1134" w:right="1134"/>
        <w:jc w:val="both"/>
        <w:rPr>
          <w:rFonts w:ascii="Abadi" w:hAnsi="Abadi"/>
          <w:i/>
          <w:iCs/>
          <w:sz w:val="21"/>
          <w:szCs w:val="21"/>
          <w:lang w:val="es-MX" w:eastAsia="en-US"/>
        </w:rPr>
      </w:pPr>
      <w:r w:rsidRPr="0094362E">
        <w:rPr>
          <w:rFonts w:ascii="Abadi" w:hAnsi="Abadi"/>
          <w:i/>
          <w:iCs/>
          <w:sz w:val="21"/>
          <w:szCs w:val="21"/>
          <w:lang w:val="es-MX" w:eastAsia="en-US"/>
        </w:rPr>
        <w:t>e) Ofrecer formas de asistencia humana o animal e intermediarios, incluidos guías, lectores e intérpretes profesionales de la lengua de señas, para facilitar el acceso a edificios y otras instalaciones abiertas al público;</w:t>
      </w:r>
    </w:p>
    <w:p w14:paraId="14A6DAE0" w14:textId="77777777" w:rsidR="0094362E" w:rsidRPr="0094362E" w:rsidRDefault="0094362E" w:rsidP="0094362E">
      <w:pPr>
        <w:widowControl w:val="0"/>
        <w:ind w:left="851" w:right="851"/>
        <w:jc w:val="both"/>
        <w:rPr>
          <w:rFonts w:ascii="Abadi" w:hAnsi="Abadi"/>
          <w:i/>
          <w:iCs/>
          <w:sz w:val="21"/>
          <w:szCs w:val="21"/>
          <w:lang w:val="es-MX" w:eastAsia="en-US"/>
        </w:rPr>
      </w:pPr>
    </w:p>
    <w:p w14:paraId="6027726E" w14:textId="77777777" w:rsidR="0094362E" w:rsidRPr="0094362E" w:rsidRDefault="0094362E" w:rsidP="0094362E">
      <w:pPr>
        <w:widowControl w:val="0"/>
        <w:ind w:left="851" w:right="851"/>
        <w:jc w:val="both"/>
        <w:rPr>
          <w:rFonts w:ascii="Abadi" w:hAnsi="Abadi"/>
          <w:i/>
          <w:iCs/>
          <w:sz w:val="21"/>
          <w:szCs w:val="21"/>
          <w:lang w:val="es-MX" w:eastAsia="en-US"/>
        </w:rPr>
      </w:pPr>
      <w:r w:rsidRPr="0094362E">
        <w:rPr>
          <w:rFonts w:ascii="Abadi" w:hAnsi="Abadi"/>
          <w:i/>
          <w:iCs/>
          <w:sz w:val="21"/>
          <w:szCs w:val="21"/>
          <w:lang w:val="es-MX" w:eastAsia="en-US"/>
        </w:rPr>
        <w:t>Habida cuenta de lo anterior, se considera que en términos generales esta iniciativa fortalece a todas luces los mecanismos de garantía de derechos de autonomía y accesibilidad a personas con discapacidad en el Estado de Guanajuato.</w:t>
      </w:r>
    </w:p>
    <w:p w14:paraId="645DC27F" w14:textId="77777777" w:rsidR="0094362E" w:rsidRPr="0094362E" w:rsidRDefault="0094362E" w:rsidP="0094362E">
      <w:pPr>
        <w:widowControl w:val="0"/>
        <w:ind w:left="851" w:right="851"/>
        <w:jc w:val="both"/>
        <w:rPr>
          <w:rFonts w:ascii="Abadi" w:hAnsi="Abadi"/>
          <w:i/>
          <w:iCs/>
          <w:sz w:val="21"/>
          <w:szCs w:val="21"/>
          <w:lang w:val="es-MX" w:eastAsia="en-US"/>
        </w:rPr>
      </w:pPr>
    </w:p>
    <w:p w14:paraId="7BFB687C" w14:textId="77777777" w:rsidR="0094362E" w:rsidRPr="0094362E" w:rsidRDefault="0094362E" w:rsidP="0094362E">
      <w:pPr>
        <w:widowControl w:val="0"/>
        <w:ind w:left="851" w:right="851"/>
        <w:jc w:val="both"/>
        <w:rPr>
          <w:rFonts w:ascii="Abadi" w:hAnsi="Abadi"/>
          <w:i/>
          <w:iCs/>
          <w:sz w:val="21"/>
          <w:szCs w:val="21"/>
          <w:lang w:val="es-MX" w:eastAsia="en-US"/>
        </w:rPr>
      </w:pPr>
      <w:r w:rsidRPr="0094362E">
        <w:rPr>
          <w:rFonts w:ascii="Abadi" w:hAnsi="Abadi"/>
          <w:i/>
          <w:iCs/>
          <w:sz w:val="21"/>
          <w:szCs w:val="21"/>
          <w:lang w:val="es-MX" w:eastAsia="en-US"/>
        </w:rPr>
        <w:t>Sin embargo, me permito, respetuosamente hacer algunas sugerencias en cuanto al fondo de la iniciativa:</w:t>
      </w:r>
    </w:p>
    <w:p w14:paraId="76E461E4" w14:textId="77777777" w:rsidR="0094362E" w:rsidRPr="0094362E" w:rsidRDefault="0094362E" w:rsidP="0094362E">
      <w:pPr>
        <w:widowControl w:val="0"/>
        <w:ind w:left="851" w:right="851"/>
        <w:jc w:val="both"/>
        <w:rPr>
          <w:rFonts w:ascii="Abadi" w:hAnsi="Abadi"/>
          <w:b/>
          <w:i/>
          <w:iCs/>
          <w:sz w:val="21"/>
          <w:szCs w:val="21"/>
          <w:lang w:val="es-MX" w:eastAsia="en-US"/>
        </w:rPr>
      </w:pPr>
    </w:p>
    <w:p w14:paraId="328C69FB" w14:textId="77777777" w:rsidR="0094362E" w:rsidRPr="0094362E" w:rsidRDefault="0094362E" w:rsidP="0094362E">
      <w:pPr>
        <w:widowControl w:val="0"/>
        <w:ind w:left="851" w:right="851"/>
        <w:jc w:val="both"/>
        <w:rPr>
          <w:rFonts w:ascii="Abadi" w:hAnsi="Abadi"/>
          <w:i/>
          <w:iCs/>
          <w:sz w:val="21"/>
          <w:szCs w:val="21"/>
          <w:lang w:val="es-MX" w:eastAsia="en-US"/>
        </w:rPr>
      </w:pPr>
      <w:r w:rsidRPr="0094362E">
        <w:rPr>
          <w:rFonts w:ascii="Abadi" w:hAnsi="Abadi"/>
          <w:i/>
          <w:iCs/>
          <w:sz w:val="21"/>
          <w:szCs w:val="21"/>
          <w:lang w:val="es-MX" w:eastAsia="en-US"/>
        </w:rPr>
        <w:t>La Ley para la Protección de los Derechos de las Personas Usuarias de Perros Guía o de Asistencia Médica para el Estado de Guanajuato, como lo señala su nombre hace referencia a Perros Guía o de Asistencia Médica, sin embargo, en su artículo 2 que configura el glosario, solamente se hace una definición de Perro de asistencia, derivado de lo anterior, se considera necesario alinear el glosario con el objetivo regulatorio de la norma, de forma que se especifique con mayor claridad qué significa Perros Guía o de Asistencia Médica</w:t>
      </w:r>
    </w:p>
    <w:p w14:paraId="4FCA894A" w14:textId="77777777" w:rsidR="0094362E" w:rsidRPr="0094362E" w:rsidRDefault="0094362E" w:rsidP="0094362E">
      <w:pPr>
        <w:widowControl w:val="0"/>
        <w:ind w:left="851" w:right="851"/>
        <w:jc w:val="both"/>
        <w:rPr>
          <w:rFonts w:ascii="Abadi" w:hAnsi="Abadi"/>
          <w:i/>
          <w:iCs/>
          <w:sz w:val="21"/>
          <w:szCs w:val="21"/>
          <w:lang w:val="es-MX" w:eastAsia="en-US"/>
        </w:rPr>
      </w:pPr>
    </w:p>
    <w:p w14:paraId="2801C42F" w14:textId="77777777" w:rsidR="0094362E" w:rsidRPr="0094362E" w:rsidRDefault="0094362E" w:rsidP="0094362E">
      <w:pPr>
        <w:widowControl w:val="0"/>
        <w:ind w:left="851" w:right="851"/>
        <w:jc w:val="both"/>
        <w:rPr>
          <w:rFonts w:ascii="Abadi" w:hAnsi="Abadi"/>
          <w:i/>
          <w:iCs/>
          <w:sz w:val="21"/>
          <w:szCs w:val="21"/>
          <w:lang w:val="es-MX" w:eastAsia="en-US"/>
        </w:rPr>
      </w:pPr>
    </w:p>
    <w:p w14:paraId="66D012EB" w14:textId="77777777" w:rsidR="0094362E" w:rsidRPr="0094362E" w:rsidRDefault="0094362E" w:rsidP="0094362E">
      <w:pPr>
        <w:widowControl w:val="0"/>
        <w:ind w:left="851" w:right="851"/>
        <w:jc w:val="both"/>
        <w:rPr>
          <w:rFonts w:ascii="Abadi" w:hAnsi="Abadi"/>
          <w:i/>
          <w:iCs/>
          <w:sz w:val="21"/>
          <w:szCs w:val="21"/>
          <w:lang w:val="es-MX" w:eastAsia="en-US"/>
        </w:rPr>
      </w:pPr>
      <w:r w:rsidRPr="0094362E">
        <w:rPr>
          <w:rFonts w:ascii="Abadi" w:hAnsi="Abadi"/>
          <w:i/>
          <w:iCs/>
          <w:sz w:val="21"/>
          <w:szCs w:val="21"/>
          <w:lang w:val="es-MX" w:eastAsia="en-US"/>
        </w:rPr>
        <w:t>Al respecto y de forma orientativa se pone a consideración de ese Honorable Congreso el análisis de la definición de perros de asistencia y su tipología utilizada en los artículos 3 y 4 de la Ley 3/2017, de 26 de abril, de perros de asistencia para personas con discapacidad en la Comunidad Autónoma de Canarias.</w:t>
      </w:r>
    </w:p>
    <w:p w14:paraId="5772A506" w14:textId="77777777" w:rsidR="0094362E" w:rsidRPr="0094362E" w:rsidRDefault="0094362E" w:rsidP="0094362E">
      <w:pPr>
        <w:widowControl w:val="0"/>
        <w:ind w:left="851" w:right="851"/>
        <w:jc w:val="both"/>
        <w:rPr>
          <w:rFonts w:ascii="Abadi" w:hAnsi="Abadi"/>
          <w:b/>
          <w:i/>
          <w:iCs/>
          <w:sz w:val="21"/>
          <w:szCs w:val="21"/>
          <w:lang w:val="es-MX" w:eastAsia="en-US"/>
        </w:rPr>
      </w:pPr>
    </w:p>
    <w:p w14:paraId="6431C758" w14:textId="77777777" w:rsidR="0094362E" w:rsidRPr="0094362E" w:rsidRDefault="0094362E" w:rsidP="0094362E">
      <w:pPr>
        <w:widowControl w:val="0"/>
        <w:ind w:left="851" w:right="851"/>
        <w:jc w:val="both"/>
        <w:rPr>
          <w:rFonts w:ascii="Abadi" w:hAnsi="Abadi"/>
          <w:i/>
          <w:iCs/>
          <w:sz w:val="21"/>
          <w:szCs w:val="21"/>
          <w:lang w:val="es-MX" w:eastAsia="es-MX"/>
        </w:rPr>
      </w:pPr>
      <w:r w:rsidRPr="0094362E">
        <w:rPr>
          <w:rFonts w:ascii="Abadi" w:hAnsi="Abadi"/>
          <w:i/>
          <w:iCs/>
          <w:sz w:val="21"/>
          <w:szCs w:val="21"/>
          <w:lang w:val="es-MX" w:eastAsia="en-US"/>
        </w:rPr>
        <w:t xml:space="preserve">En el segundo párrafo del artículo 4 de la Ley se establece que la revisión sanitaria del perro deberá realizarse cada dos años, por lo que se pone a consideración que se reduzca el tiempo de verificación, tomando en cuenta que cada raza atención diferencia de conformidad con la raza, necesidades básicas y advertencias importantes según el artículo </w:t>
      </w:r>
      <w:r w:rsidRPr="0094362E">
        <w:rPr>
          <w:rFonts w:ascii="Abadi" w:hAnsi="Abadi"/>
          <w:bCs/>
          <w:i/>
          <w:iCs/>
          <w:sz w:val="21"/>
          <w:szCs w:val="21"/>
          <w:lang w:val="es-MX" w:eastAsia="es-MX"/>
        </w:rPr>
        <w:t xml:space="preserve">4.3.2 de la </w:t>
      </w:r>
      <w:r w:rsidRPr="0094362E">
        <w:rPr>
          <w:rFonts w:ascii="Abadi" w:hAnsi="Abadi"/>
          <w:i/>
          <w:iCs/>
          <w:sz w:val="21"/>
          <w:szCs w:val="21"/>
          <w:lang w:val="es-MX" w:eastAsia="en-US"/>
        </w:rPr>
        <w:t>NOM-148-SCFI-2018, que puede verse como criterio orientador.</w:t>
      </w:r>
    </w:p>
    <w:p w14:paraId="64B977F2" w14:textId="77777777" w:rsidR="0094362E" w:rsidRPr="0094362E" w:rsidRDefault="0094362E" w:rsidP="0094362E">
      <w:pPr>
        <w:widowControl w:val="0"/>
        <w:ind w:left="851" w:right="851"/>
        <w:jc w:val="both"/>
        <w:rPr>
          <w:rFonts w:ascii="Abadi" w:eastAsiaTheme="minorHAnsi" w:hAnsi="Abadi"/>
          <w:b/>
          <w:i/>
          <w:iCs/>
          <w:sz w:val="21"/>
          <w:szCs w:val="21"/>
          <w:lang w:val="es-MX" w:eastAsia="en-US"/>
        </w:rPr>
      </w:pPr>
    </w:p>
    <w:p w14:paraId="3A3B7E38" w14:textId="77777777" w:rsidR="0094362E" w:rsidRPr="0094362E" w:rsidRDefault="0094362E" w:rsidP="0094362E">
      <w:pPr>
        <w:widowControl w:val="0"/>
        <w:ind w:left="851" w:right="851"/>
        <w:jc w:val="both"/>
        <w:rPr>
          <w:rFonts w:ascii="Abadi" w:hAnsi="Abadi"/>
          <w:i/>
          <w:iCs/>
          <w:sz w:val="21"/>
          <w:szCs w:val="21"/>
          <w:lang w:val="es-MX" w:eastAsia="en-US"/>
        </w:rPr>
      </w:pPr>
      <w:r w:rsidRPr="0094362E">
        <w:rPr>
          <w:rFonts w:ascii="Abadi" w:hAnsi="Abadi"/>
          <w:i/>
          <w:iCs/>
          <w:sz w:val="21"/>
          <w:szCs w:val="21"/>
          <w:lang w:val="es-MX" w:eastAsia="en-US"/>
        </w:rPr>
        <w:t xml:space="preserve">Se considera que en términos generales para el Título II de la Ley sobre las condiciones higienico-sanitarias de los perros de asistencia, en especial para el artículo 4, así como el artículo 9 de la misma, pueden verse fortalecidos o retroalimentados por las libertades reconocidas en favor de los animales en el artículo 3.2 </w:t>
      </w:r>
      <w:r w:rsidRPr="0094362E">
        <w:rPr>
          <w:rFonts w:ascii="Abadi" w:hAnsi="Abadi"/>
          <w:bCs/>
          <w:i/>
          <w:iCs/>
          <w:sz w:val="21"/>
          <w:szCs w:val="21"/>
          <w:lang w:val="es-MX" w:eastAsia="es-MX"/>
        </w:rPr>
        <w:t xml:space="preserve">de la </w:t>
      </w:r>
      <w:r w:rsidRPr="0094362E">
        <w:rPr>
          <w:rFonts w:ascii="Abadi" w:hAnsi="Abadi"/>
          <w:i/>
          <w:iCs/>
          <w:sz w:val="21"/>
          <w:szCs w:val="21"/>
          <w:lang w:val="es-MX" w:eastAsia="en-US"/>
        </w:rPr>
        <w:t>NOM-148-SCFI-2018, que señala lo siguiente:</w:t>
      </w:r>
    </w:p>
    <w:p w14:paraId="1765F520" w14:textId="77777777" w:rsidR="0094362E" w:rsidRPr="0094362E" w:rsidRDefault="0094362E" w:rsidP="0094362E">
      <w:pPr>
        <w:widowControl w:val="0"/>
        <w:ind w:left="851" w:right="851"/>
        <w:jc w:val="both"/>
        <w:rPr>
          <w:rFonts w:ascii="Abadi" w:hAnsi="Abadi"/>
          <w:i/>
          <w:iCs/>
          <w:sz w:val="21"/>
          <w:szCs w:val="21"/>
          <w:lang w:val="es-MX" w:eastAsia="en-US"/>
        </w:rPr>
      </w:pPr>
    </w:p>
    <w:p w14:paraId="3D798ABE" w14:textId="77777777" w:rsidR="0094362E" w:rsidRPr="0094362E" w:rsidRDefault="0094362E" w:rsidP="0094362E">
      <w:pPr>
        <w:widowControl w:val="0"/>
        <w:ind w:left="1134" w:right="1134"/>
        <w:jc w:val="both"/>
        <w:rPr>
          <w:rFonts w:ascii="Abadi" w:hAnsi="Abadi"/>
          <w:i/>
          <w:iCs/>
          <w:sz w:val="21"/>
          <w:szCs w:val="21"/>
          <w:lang w:val="es-MX" w:eastAsia="en-US"/>
        </w:rPr>
      </w:pPr>
      <w:r w:rsidRPr="0094362E">
        <w:rPr>
          <w:rFonts w:ascii="Abadi" w:hAnsi="Abadi"/>
          <w:i/>
          <w:iCs/>
          <w:sz w:val="21"/>
          <w:szCs w:val="21"/>
          <w:lang w:val="es-MX" w:eastAsia="en-US"/>
        </w:rPr>
        <w:t>En todos los establecimientos se deben exhibir las Cinco Libertades que se les reconocen mundialmente a los Animales de Compañía expresadas de la siguiente forma:</w:t>
      </w:r>
    </w:p>
    <w:p w14:paraId="7ACC64C0" w14:textId="77777777" w:rsidR="0094362E" w:rsidRPr="0094362E" w:rsidRDefault="0094362E" w:rsidP="0094362E">
      <w:pPr>
        <w:widowControl w:val="0"/>
        <w:ind w:left="1134" w:right="1134"/>
        <w:jc w:val="both"/>
        <w:rPr>
          <w:rFonts w:ascii="Abadi" w:hAnsi="Abadi"/>
          <w:i/>
          <w:iCs/>
          <w:sz w:val="21"/>
          <w:szCs w:val="21"/>
          <w:lang w:val="es-MX" w:eastAsia="en-US"/>
        </w:rPr>
      </w:pPr>
    </w:p>
    <w:p w14:paraId="0E420FC4" w14:textId="77777777" w:rsidR="0094362E" w:rsidRPr="0094362E" w:rsidRDefault="0094362E" w:rsidP="0094362E">
      <w:pPr>
        <w:widowControl w:val="0"/>
        <w:ind w:left="1134" w:right="1134"/>
        <w:jc w:val="both"/>
        <w:rPr>
          <w:rFonts w:ascii="Abadi" w:hAnsi="Abadi"/>
          <w:i/>
          <w:iCs/>
          <w:sz w:val="21"/>
          <w:szCs w:val="21"/>
          <w:lang w:val="es-MX" w:eastAsia="en-US"/>
        </w:rPr>
      </w:pPr>
      <w:r w:rsidRPr="0094362E">
        <w:rPr>
          <w:rFonts w:ascii="Abadi" w:hAnsi="Abadi"/>
          <w:i/>
          <w:iCs/>
          <w:sz w:val="21"/>
          <w:szCs w:val="21"/>
          <w:lang w:val="es-MX" w:eastAsia="en-US"/>
        </w:rPr>
        <w:t>Los Animales deben estar:</w:t>
      </w:r>
    </w:p>
    <w:p w14:paraId="176388FA" w14:textId="77777777" w:rsidR="0094362E" w:rsidRPr="0094362E" w:rsidRDefault="0094362E" w:rsidP="0094362E">
      <w:pPr>
        <w:widowControl w:val="0"/>
        <w:ind w:left="1134" w:right="1134"/>
        <w:jc w:val="both"/>
        <w:rPr>
          <w:rFonts w:ascii="Abadi" w:hAnsi="Abadi"/>
          <w:i/>
          <w:iCs/>
          <w:sz w:val="21"/>
          <w:szCs w:val="21"/>
          <w:lang w:val="es-MX" w:eastAsia="en-US"/>
        </w:rPr>
      </w:pPr>
    </w:p>
    <w:p w14:paraId="608AB031" w14:textId="77777777" w:rsidR="0094362E" w:rsidRPr="0094362E" w:rsidRDefault="0094362E" w:rsidP="0094362E">
      <w:pPr>
        <w:widowControl w:val="0"/>
        <w:ind w:left="1134" w:right="1134"/>
        <w:jc w:val="both"/>
        <w:rPr>
          <w:rFonts w:ascii="Abadi" w:hAnsi="Abadi"/>
          <w:i/>
          <w:iCs/>
          <w:sz w:val="21"/>
          <w:szCs w:val="21"/>
          <w:lang w:val="es-MX" w:eastAsia="en-US"/>
        </w:rPr>
      </w:pPr>
      <w:r w:rsidRPr="0094362E">
        <w:rPr>
          <w:rFonts w:ascii="Abadi" w:hAnsi="Abadi"/>
          <w:i/>
          <w:iCs/>
          <w:sz w:val="21"/>
          <w:szCs w:val="21"/>
          <w:lang w:val="es-MX" w:eastAsia="en-US"/>
        </w:rPr>
        <w:t>a.</w:t>
      </w:r>
      <w:r w:rsidRPr="0094362E">
        <w:rPr>
          <w:rFonts w:ascii="Abadi" w:hAnsi="Abadi"/>
          <w:i/>
          <w:iCs/>
          <w:sz w:val="21"/>
          <w:szCs w:val="21"/>
          <w:lang w:val="es-MX" w:eastAsia="en-US"/>
        </w:rPr>
        <w:tab/>
      </w:r>
      <w:r w:rsidRPr="0094362E">
        <w:rPr>
          <w:rFonts w:ascii="Abadi" w:hAnsi="Abadi"/>
          <w:i/>
          <w:iCs/>
          <w:sz w:val="21"/>
          <w:szCs w:val="21"/>
          <w:u w:val="single"/>
          <w:lang w:val="es-MX" w:eastAsia="en-US"/>
        </w:rPr>
        <w:t>Libre de hambre, sed y desnutrición</w:t>
      </w:r>
      <w:r w:rsidRPr="0094362E">
        <w:rPr>
          <w:rFonts w:ascii="Abadi" w:hAnsi="Abadi"/>
          <w:i/>
          <w:iCs/>
          <w:sz w:val="21"/>
          <w:szCs w:val="21"/>
          <w:lang w:val="es-MX" w:eastAsia="en-US"/>
        </w:rPr>
        <w:t>;</w:t>
      </w:r>
    </w:p>
    <w:p w14:paraId="43962BAE" w14:textId="77777777" w:rsidR="0094362E" w:rsidRPr="0094362E" w:rsidRDefault="0094362E" w:rsidP="0094362E">
      <w:pPr>
        <w:widowControl w:val="0"/>
        <w:ind w:left="1134" w:right="1134"/>
        <w:jc w:val="both"/>
        <w:rPr>
          <w:rFonts w:ascii="Abadi" w:hAnsi="Abadi"/>
          <w:i/>
          <w:iCs/>
          <w:sz w:val="21"/>
          <w:szCs w:val="21"/>
          <w:lang w:val="es-MX" w:eastAsia="en-US"/>
        </w:rPr>
      </w:pPr>
      <w:r w:rsidRPr="0094362E">
        <w:rPr>
          <w:rFonts w:ascii="Abadi" w:hAnsi="Abadi"/>
          <w:i/>
          <w:iCs/>
          <w:sz w:val="21"/>
          <w:szCs w:val="21"/>
          <w:lang w:val="es-MX" w:eastAsia="en-US"/>
        </w:rPr>
        <w:t>b.</w:t>
      </w:r>
      <w:r w:rsidRPr="0094362E">
        <w:rPr>
          <w:rFonts w:ascii="Abadi" w:hAnsi="Abadi"/>
          <w:i/>
          <w:iCs/>
          <w:sz w:val="21"/>
          <w:szCs w:val="21"/>
          <w:lang w:val="es-MX" w:eastAsia="en-US"/>
        </w:rPr>
        <w:tab/>
        <w:t>Libre de miedos y angustias;</w:t>
      </w:r>
    </w:p>
    <w:p w14:paraId="731690EB" w14:textId="77777777" w:rsidR="0094362E" w:rsidRPr="0094362E" w:rsidRDefault="0094362E" w:rsidP="0094362E">
      <w:pPr>
        <w:widowControl w:val="0"/>
        <w:ind w:left="1134" w:right="1134"/>
        <w:jc w:val="both"/>
        <w:rPr>
          <w:rFonts w:ascii="Abadi" w:hAnsi="Abadi"/>
          <w:i/>
          <w:iCs/>
          <w:sz w:val="21"/>
          <w:szCs w:val="21"/>
          <w:lang w:val="es-MX" w:eastAsia="en-US"/>
        </w:rPr>
      </w:pPr>
      <w:r w:rsidRPr="0094362E">
        <w:rPr>
          <w:rFonts w:ascii="Abadi" w:hAnsi="Abadi"/>
          <w:i/>
          <w:iCs/>
          <w:sz w:val="21"/>
          <w:szCs w:val="21"/>
          <w:lang w:val="es-MX" w:eastAsia="en-US"/>
        </w:rPr>
        <w:t>c.</w:t>
      </w:r>
      <w:r w:rsidRPr="0094362E">
        <w:rPr>
          <w:rFonts w:ascii="Abadi" w:hAnsi="Abadi"/>
          <w:i/>
          <w:iCs/>
          <w:sz w:val="21"/>
          <w:szCs w:val="21"/>
          <w:lang w:val="es-MX" w:eastAsia="en-US"/>
        </w:rPr>
        <w:tab/>
        <w:t>Libre de incomodidades físicas o térmicas;</w:t>
      </w:r>
    </w:p>
    <w:p w14:paraId="43C277FD" w14:textId="77777777" w:rsidR="0094362E" w:rsidRPr="0094362E" w:rsidRDefault="0094362E" w:rsidP="0094362E">
      <w:pPr>
        <w:widowControl w:val="0"/>
        <w:ind w:left="1134" w:right="1134"/>
        <w:jc w:val="both"/>
        <w:rPr>
          <w:rFonts w:ascii="Abadi" w:hAnsi="Abadi"/>
          <w:i/>
          <w:iCs/>
          <w:sz w:val="21"/>
          <w:szCs w:val="21"/>
          <w:lang w:val="es-MX" w:eastAsia="en-US"/>
        </w:rPr>
      </w:pPr>
      <w:r w:rsidRPr="0094362E">
        <w:rPr>
          <w:rFonts w:ascii="Abadi" w:hAnsi="Abadi"/>
          <w:i/>
          <w:iCs/>
          <w:sz w:val="21"/>
          <w:szCs w:val="21"/>
          <w:lang w:val="es-MX" w:eastAsia="en-US"/>
        </w:rPr>
        <w:t>d.</w:t>
      </w:r>
      <w:r w:rsidRPr="0094362E">
        <w:rPr>
          <w:rFonts w:ascii="Abadi" w:hAnsi="Abadi"/>
          <w:i/>
          <w:iCs/>
          <w:sz w:val="21"/>
          <w:szCs w:val="21"/>
          <w:lang w:val="es-MX" w:eastAsia="en-US"/>
        </w:rPr>
        <w:tab/>
      </w:r>
      <w:r w:rsidRPr="0094362E">
        <w:rPr>
          <w:rFonts w:ascii="Abadi" w:hAnsi="Abadi"/>
          <w:i/>
          <w:iCs/>
          <w:sz w:val="21"/>
          <w:szCs w:val="21"/>
          <w:u w:val="single"/>
          <w:lang w:val="es-MX" w:eastAsia="en-US"/>
        </w:rPr>
        <w:t>Libre de dolor, lesiones o enfermedades</w:t>
      </w:r>
      <w:r w:rsidRPr="0094362E">
        <w:rPr>
          <w:rFonts w:ascii="Abadi" w:hAnsi="Abadi"/>
          <w:i/>
          <w:iCs/>
          <w:sz w:val="21"/>
          <w:szCs w:val="21"/>
          <w:lang w:val="es-MX" w:eastAsia="en-US"/>
        </w:rPr>
        <w:t>; y</w:t>
      </w:r>
    </w:p>
    <w:p w14:paraId="1681FF0D" w14:textId="77777777" w:rsidR="0094362E" w:rsidRPr="0094362E" w:rsidRDefault="0094362E" w:rsidP="0094362E">
      <w:pPr>
        <w:widowControl w:val="0"/>
        <w:ind w:left="1134" w:right="1134"/>
        <w:jc w:val="both"/>
        <w:rPr>
          <w:rFonts w:ascii="Abadi" w:hAnsi="Abadi"/>
          <w:i/>
          <w:iCs/>
          <w:sz w:val="21"/>
          <w:szCs w:val="21"/>
          <w:lang w:val="es-MX" w:eastAsia="en-US"/>
        </w:rPr>
      </w:pPr>
      <w:r w:rsidRPr="0094362E">
        <w:rPr>
          <w:rFonts w:ascii="Abadi" w:hAnsi="Abadi"/>
          <w:i/>
          <w:iCs/>
          <w:sz w:val="21"/>
          <w:szCs w:val="21"/>
          <w:lang w:val="es-MX" w:eastAsia="en-US"/>
        </w:rPr>
        <w:t>e.</w:t>
      </w:r>
      <w:r w:rsidRPr="0094362E">
        <w:rPr>
          <w:rFonts w:ascii="Abadi" w:hAnsi="Abadi"/>
          <w:i/>
          <w:iCs/>
          <w:sz w:val="21"/>
          <w:szCs w:val="21"/>
          <w:lang w:val="es-MX" w:eastAsia="en-US"/>
        </w:rPr>
        <w:tab/>
        <w:t>Libre para expresar las pautas propias de comportamiento.</w:t>
      </w:r>
    </w:p>
    <w:p w14:paraId="14225CE8" w14:textId="77777777" w:rsidR="0094362E" w:rsidRPr="0094362E" w:rsidRDefault="0094362E" w:rsidP="0094362E">
      <w:pPr>
        <w:widowControl w:val="0"/>
        <w:ind w:left="851" w:right="851"/>
        <w:jc w:val="both"/>
        <w:rPr>
          <w:rFonts w:ascii="Abadi" w:hAnsi="Abadi"/>
          <w:i/>
          <w:iCs/>
          <w:sz w:val="21"/>
          <w:szCs w:val="21"/>
          <w:lang w:val="es-MX" w:eastAsia="en-US"/>
        </w:rPr>
      </w:pPr>
    </w:p>
    <w:p w14:paraId="0552F931" w14:textId="77777777" w:rsidR="0094362E" w:rsidRPr="0094362E" w:rsidRDefault="0094362E" w:rsidP="0094362E">
      <w:pPr>
        <w:widowControl w:val="0"/>
        <w:ind w:left="851" w:right="851"/>
        <w:jc w:val="both"/>
        <w:rPr>
          <w:rFonts w:ascii="Abadi" w:hAnsi="Abadi"/>
          <w:i/>
          <w:iCs/>
          <w:sz w:val="21"/>
          <w:szCs w:val="21"/>
          <w:lang w:val="es-MX" w:eastAsia="en-US"/>
        </w:rPr>
      </w:pPr>
      <w:r w:rsidRPr="0094362E">
        <w:rPr>
          <w:rFonts w:ascii="Abadi" w:hAnsi="Abadi"/>
          <w:i/>
          <w:iCs/>
          <w:sz w:val="21"/>
          <w:szCs w:val="21"/>
          <w:lang w:val="es-MX" w:eastAsia="en-US"/>
        </w:rPr>
        <w:t>En relación a lo anterior, se considera que podría incorporarse a las condiciones higiénico sanitarias del artículo 4 precisamente la de encontrarse en condiciones higiénicas.</w:t>
      </w:r>
    </w:p>
    <w:p w14:paraId="5B2E7629" w14:textId="77777777" w:rsidR="0094362E" w:rsidRPr="0094362E" w:rsidRDefault="0094362E" w:rsidP="0094362E">
      <w:pPr>
        <w:widowControl w:val="0"/>
        <w:ind w:left="851" w:right="851"/>
        <w:jc w:val="both"/>
        <w:rPr>
          <w:rFonts w:ascii="Abadi" w:hAnsi="Abadi"/>
          <w:b/>
          <w:i/>
          <w:iCs/>
          <w:sz w:val="21"/>
          <w:szCs w:val="21"/>
          <w:lang w:val="es-MX" w:eastAsia="en-US"/>
        </w:rPr>
      </w:pPr>
    </w:p>
    <w:p w14:paraId="2077E6ED" w14:textId="77777777" w:rsidR="0094362E" w:rsidRPr="0094362E" w:rsidRDefault="0094362E" w:rsidP="0094362E">
      <w:pPr>
        <w:widowControl w:val="0"/>
        <w:ind w:left="851" w:right="851"/>
        <w:jc w:val="both"/>
        <w:rPr>
          <w:rFonts w:ascii="Abadi" w:hAnsi="Abadi"/>
          <w:i/>
          <w:iCs/>
          <w:sz w:val="21"/>
          <w:szCs w:val="21"/>
          <w:lang w:val="es-MX" w:eastAsia="en-US"/>
        </w:rPr>
      </w:pPr>
      <w:r w:rsidRPr="0094362E">
        <w:rPr>
          <w:rFonts w:ascii="Abadi" w:hAnsi="Abadi"/>
          <w:i/>
          <w:iCs/>
          <w:sz w:val="21"/>
          <w:szCs w:val="21"/>
          <w:lang w:val="es-MX" w:eastAsia="en-US"/>
        </w:rPr>
        <w:t>Si bien el artículo 6 establece de forma casuística los espacios a los cuales podrán acceder las personas con discapacidad que se apoyan en perros guía, se considera que este listado podría verse reforzado, toda vez que puede suceder que en la práctica resulte restrictivo o insuficiente sobre ciertos espacios que no estén específicamente señalados, por lo que se considera que se podría reforzar con una regla en favor de la inclusión de casos no mencionados específicamente, para brindar un espectro más habilitador.</w:t>
      </w:r>
    </w:p>
    <w:p w14:paraId="32E2D862" w14:textId="77777777" w:rsidR="0094362E" w:rsidRPr="0094362E" w:rsidRDefault="0094362E" w:rsidP="0094362E">
      <w:pPr>
        <w:widowControl w:val="0"/>
        <w:ind w:left="851" w:right="851"/>
        <w:jc w:val="both"/>
        <w:rPr>
          <w:rFonts w:ascii="Abadi" w:hAnsi="Abadi"/>
          <w:i/>
          <w:iCs/>
          <w:sz w:val="21"/>
          <w:szCs w:val="21"/>
          <w:lang w:val="es-MX" w:eastAsia="en-US"/>
        </w:rPr>
      </w:pPr>
    </w:p>
    <w:p w14:paraId="4393E99D" w14:textId="77777777" w:rsidR="0094362E" w:rsidRPr="0094362E" w:rsidRDefault="0094362E" w:rsidP="0094362E">
      <w:pPr>
        <w:widowControl w:val="0"/>
        <w:ind w:left="851" w:right="851"/>
        <w:jc w:val="both"/>
        <w:rPr>
          <w:rFonts w:ascii="Abadi" w:hAnsi="Abadi"/>
          <w:i/>
          <w:iCs/>
          <w:sz w:val="21"/>
          <w:szCs w:val="21"/>
          <w:lang w:val="es-MX" w:eastAsia="en-US"/>
        </w:rPr>
      </w:pPr>
      <w:r w:rsidRPr="0094362E">
        <w:rPr>
          <w:rFonts w:ascii="Abadi" w:hAnsi="Abadi"/>
          <w:i/>
          <w:iCs/>
          <w:sz w:val="21"/>
          <w:szCs w:val="21"/>
          <w:lang w:val="es-MX" w:eastAsia="en-US"/>
        </w:rPr>
        <w:t>Es decir la construcción de una presunción en favor del acceso, salvo casos extraordinarios contemplados en la Ley.</w:t>
      </w:r>
    </w:p>
    <w:p w14:paraId="1C7606DA" w14:textId="77777777" w:rsidR="0094362E" w:rsidRPr="0094362E" w:rsidRDefault="0094362E" w:rsidP="0094362E">
      <w:pPr>
        <w:widowControl w:val="0"/>
        <w:ind w:left="851" w:right="851"/>
        <w:jc w:val="both"/>
        <w:rPr>
          <w:rFonts w:ascii="Abadi" w:hAnsi="Abadi"/>
          <w:i/>
          <w:iCs/>
          <w:sz w:val="21"/>
          <w:szCs w:val="21"/>
          <w:lang w:val="es-MX" w:eastAsia="en-US"/>
        </w:rPr>
      </w:pPr>
    </w:p>
    <w:p w14:paraId="76F1925D" w14:textId="77777777" w:rsidR="0094362E" w:rsidRPr="0094362E" w:rsidRDefault="0094362E" w:rsidP="00F96199">
      <w:pPr>
        <w:widowControl w:val="0"/>
        <w:adjustRightInd w:val="0"/>
        <w:ind w:firstLine="851"/>
        <w:jc w:val="both"/>
        <w:rPr>
          <w:rFonts w:ascii="Abadi" w:hAnsi="Abadi"/>
          <w:sz w:val="21"/>
          <w:szCs w:val="21"/>
          <w:lang w:val="es-MX" w:eastAsia="en-US"/>
        </w:rPr>
      </w:pPr>
      <w:r w:rsidRPr="0094362E">
        <w:rPr>
          <w:rFonts w:ascii="Abadi" w:hAnsi="Abadi"/>
          <w:sz w:val="21"/>
          <w:szCs w:val="21"/>
          <w:lang w:val="es-MX" w:eastAsia="en-US"/>
        </w:rPr>
        <w:t>Ciudadano Juan Gilberto Ávila Estrada:</w:t>
      </w:r>
    </w:p>
    <w:p w14:paraId="2C88EA54" w14:textId="77777777" w:rsidR="0094362E" w:rsidRPr="0094362E" w:rsidRDefault="0094362E" w:rsidP="00F96199">
      <w:pPr>
        <w:widowControl w:val="0"/>
        <w:adjustRightInd w:val="0"/>
        <w:jc w:val="both"/>
        <w:rPr>
          <w:rFonts w:ascii="Abadi" w:hAnsi="Abadi"/>
          <w:sz w:val="21"/>
          <w:szCs w:val="21"/>
          <w:lang w:val="es-MX" w:eastAsia="en-US"/>
        </w:rPr>
      </w:pPr>
    </w:p>
    <w:p w14:paraId="1B926BC3" w14:textId="77777777" w:rsidR="0094362E" w:rsidRPr="0094362E" w:rsidRDefault="0094362E" w:rsidP="00F96199">
      <w:pPr>
        <w:widowControl w:val="0"/>
        <w:shd w:val="clear" w:color="auto" w:fill="FFFFFF"/>
        <w:ind w:left="851" w:right="851"/>
        <w:jc w:val="both"/>
        <w:textAlignment w:val="baseline"/>
        <w:rPr>
          <w:rFonts w:ascii="Abadi" w:hAnsi="Abadi" w:cs="Arial"/>
          <w:i/>
          <w:iCs/>
          <w:sz w:val="21"/>
          <w:szCs w:val="21"/>
          <w:lang w:val="es-MX"/>
        </w:rPr>
      </w:pPr>
      <w:r w:rsidRPr="0094362E">
        <w:rPr>
          <w:rFonts w:ascii="Abadi" w:hAnsi="Abadi" w:cs="Arial"/>
          <w:i/>
          <w:iCs/>
          <w:sz w:val="21"/>
          <w:szCs w:val="21"/>
          <w:lang w:val="es-MX"/>
        </w:rPr>
        <w:t>Una posibilidad de promover el desplazamiento de personas con discapacidad</w:t>
      </w:r>
    </w:p>
    <w:p w14:paraId="5B3CEA1C" w14:textId="77777777" w:rsidR="0094362E" w:rsidRPr="0094362E" w:rsidRDefault="0094362E" w:rsidP="00F96199">
      <w:pPr>
        <w:widowControl w:val="0"/>
        <w:shd w:val="clear" w:color="auto" w:fill="FFFFFF"/>
        <w:ind w:left="851" w:right="851"/>
        <w:jc w:val="both"/>
        <w:textAlignment w:val="baseline"/>
        <w:rPr>
          <w:rFonts w:ascii="Abadi" w:hAnsi="Abadi" w:cs="Arial"/>
          <w:i/>
          <w:iCs/>
          <w:sz w:val="21"/>
          <w:szCs w:val="21"/>
          <w:lang w:val="es-MX"/>
        </w:rPr>
      </w:pPr>
    </w:p>
    <w:p w14:paraId="4AEE1EF2" w14:textId="77777777" w:rsidR="0094362E" w:rsidRPr="0094362E" w:rsidRDefault="0094362E" w:rsidP="00F96199">
      <w:pPr>
        <w:widowControl w:val="0"/>
        <w:shd w:val="clear" w:color="auto" w:fill="FFFFFF"/>
        <w:ind w:left="851" w:right="851"/>
        <w:jc w:val="both"/>
        <w:textAlignment w:val="baseline"/>
        <w:rPr>
          <w:rFonts w:ascii="Abadi" w:hAnsi="Abadi" w:cs="Arial"/>
          <w:i/>
          <w:iCs/>
          <w:sz w:val="21"/>
          <w:szCs w:val="21"/>
          <w:lang w:val="es-MX"/>
        </w:rPr>
      </w:pPr>
      <w:r w:rsidRPr="0094362E">
        <w:rPr>
          <w:rFonts w:ascii="Abadi" w:hAnsi="Abadi" w:cs="Arial"/>
          <w:i/>
          <w:iCs/>
          <w:sz w:val="21"/>
          <w:szCs w:val="21"/>
          <w:lang w:val="es-MX"/>
        </w:rPr>
        <w:t>Cuando hablamos de la independencia de las personas con discapacidad lo primero que se nos viene a la mente es una persona desarrollando sus capacidades al máximo tratando de subsistir dentro de una sociedad: lo cual no está más alejado de la realidad pero son pocas las ocasiones en las que pensamos en las necesidades que tiene una persona con discapacidad para desenvolverse en la sociedad.</w:t>
      </w:r>
    </w:p>
    <w:p w14:paraId="2C25FD89" w14:textId="77777777" w:rsidR="0094362E" w:rsidRPr="0094362E" w:rsidRDefault="0094362E" w:rsidP="00F96199">
      <w:pPr>
        <w:widowControl w:val="0"/>
        <w:shd w:val="clear" w:color="auto" w:fill="FFFFFF"/>
        <w:ind w:left="851" w:right="851"/>
        <w:jc w:val="both"/>
        <w:textAlignment w:val="baseline"/>
        <w:rPr>
          <w:rFonts w:ascii="Abadi" w:hAnsi="Abadi" w:cs="Arial"/>
          <w:i/>
          <w:iCs/>
          <w:sz w:val="21"/>
          <w:szCs w:val="21"/>
          <w:lang w:val="es-MX"/>
        </w:rPr>
      </w:pPr>
    </w:p>
    <w:p w14:paraId="487C3F85" w14:textId="77777777" w:rsidR="0094362E" w:rsidRPr="0094362E" w:rsidRDefault="0094362E" w:rsidP="00F96199">
      <w:pPr>
        <w:widowControl w:val="0"/>
        <w:shd w:val="clear" w:color="auto" w:fill="FFFFFF"/>
        <w:ind w:left="851" w:right="851"/>
        <w:jc w:val="both"/>
        <w:textAlignment w:val="baseline"/>
        <w:rPr>
          <w:rFonts w:ascii="Abadi" w:hAnsi="Abadi" w:cs="Arial"/>
          <w:i/>
          <w:iCs/>
          <w:sz w:val="21"/>
          <w:szCs w:val="21"/>
          <w:lang w:val="es-MX"/>
        </w:rPr>
      </w:pPr>
      <w:r w:rsidRPr="0094362E">
        <w:rPr>
          <w:rFonts w:ascii="Abadi" w:hAnsi="Abadi" w:cs="Arial"/>
          <w:i/>
          <w:iCs/>
          <w:sz w:val="21"/>
          <w:szCs w:val="21"/>
          <w:lang w:val="es-MX"/>
        </w:rPr>
        <w:t>Las personas con discapacidad requieren de algunos aditamentos especiales para poder llevar una vida más plena y poder realizar algunas de sus actividades de una manera más autónoma pero qué son estos aditamentos especiales? En la gran mayoría de las ocasiones son ortesis esto quiere decir objetos inanimados como bastones sillas de ruedas muletas etcétera que permiten a la persona realizar sus actividades cotidianas.</w:t>
      </w:r>
    </w:p>
    <w:p w14:paraId="619DA77B" w14:textId="77777777" w:rsidR="0094362E" w:rsidRPr="0094362E" w:rsidRDefault="0094362E" w:rsidP="00F96199">
      <w:pPr>
        <w:widowControl w:val="0"/>
        <w:shd w:val="clear" w:color="auto" w:fill="FFFFFF"/>
        <w:ind w:left="851" w:right="851"/>
        <w:jc w:val="both"/>
        <w:textAlignment w:val="baseline"/>
        <w:rPr>
          <w:rFonts w:ascii="Abadi" w:hAnsi="Abadi" w:cs="Arial"/>
          <w:i/>
          <w:iCs/>
          <w:sz w:val="21"/>
          <w:szCs w:val="21"/>
          <w:lang w:val="es-MX"/>
        </w:rPr>
      </w:pPr>
    </w:p>
    <w:p w14:paraId="782F1589" w14:textId="77777777" w:rsidR="0094362E" w:rsidRPr="0094362E" w:rsidRDefault="0094362E" w:rsidP="00F96199">
      <w:pPr>
        <w:widowControl w:val="0"/>
        <w:shd w:val="clear" w:color="auto" w:fill="FFFFFF"/>
        <w:ind w:left="851" w:right="851"/>
        <w:jc w:val="both"/>
        <w:textAlignment w:val="baseline"/>
        <w:rPr>
          <w:rFonts w:ascii="Abadi" w:hAnsi="Abadi" w:cs="Arial"/>
          <w:i/>
          <w:iCs/>
          <w:sz w:val="21"/>
          <w:szCs w:val="21"/>
          <w:lang w:val="es-MX"/>
        </w:rPr>
      </w:pPr>
      <w:r w:rsidRPr="0094362E">
        <w:rPr>
          <w:rFonts w:ascii="Abadi" w:hAnsi="Abadi" w:cs="Arial"/>
          <w:i/>
          <w:iCs/>
          <w:sz w:val="21"/>
          <w:szCs w:val="21"/>
          <w:lang w:val="es-MX"/>
        </w:rPr>
        <w:t>Pero que hay de las necesidades que tiene una persona con discapacidad que no requiere de un objeto inanimado sino de un ser vivo para poder desenvolverse mejor: así es estoy hablando de los perros de asistencia esos animales que apoyan y dan servicio a una persona con discapacidad para mejorar su calidad.</w:t>
      </w:r>
    </w:p>
    <w:p w14:paraId="415A32A3" w14:textId="77777777" w:rsidR="0094362E" w:rsidRPr="0094362E" w:rsidRDefault="0094362E" w:rsidP="00F96199">
      <w:pPr>
        <w:widowControl w:val="0"/>
        <w:shd w:val="clear" w:color="auto" w:fill="FFFFFF"/>
        <w:ind w:left="851" w:right="851"/>
        <w:jc w:val="both"/>
        <w:textAlignment w:val="baseline"/>
        <w:rPr>
          <w:rFonts w:ascii="Abadi" w:hAnsi="Abadi" w:cs="Arial"/>
          <w:i/>
          <w:iCs/>
          <w:sz w:val="21"/>
          <w:szCs w:val="21"/>
          <w:lang w:val="es-MX"/>
        </w:rPr>
      </w:pPr>
    </w:p>
    <w:p w14:paraId="3C557972" w14:textId="77777777" w:rsidR="0094362E" w:rsidRPr="0094362E" w:rsidRDefault="0094362E" w:rsidP="0094362E">
      <w:pPr>
        <w:widowControl w:val="0"/>
        <w:shd w:val="clear" w:color="auto" w:fill="FFFFFF"/>
        <w:ind w:left="851" w:right="851"/>
        <w:jc w:val="both"/>
        <w:textAlignment w:val="baseline"/>
        <w:rPr>
          <w:rFonts w:ascii="Abadi" w:hAnsi="Abadi" w:cs="Arial"/>
          <w:i/>
          <w:iCs/>
          <w:sz w:val="21"/>
          <w:szCs w:val="21"/>
          <w:lang w:val="es-MX"/>
        </w:rPr>
      </w:pPr>
      <w:r w:rsidRPr="0094362E">
        <w:rPr>
          <w:rFonts w:ascii="Abadi" w:hAnsi="Abadi" w:cs="Arial"/>
          <w:i/>
          <w:iCs/>
          <w:sz w:val="21"/>
          <w:szCs w:val="21"/>
          <w:lang w:val="es-MX"/>
        </w:rPr>
        <w:t>Las personas que presentan alguna condición de discapacidad, requieren de distintos tipos de apoyos para desenvolverse de una mejor manera en nuestra sociedad sin la necesidad de estar al cuidado de otra persona.</w:t>
      </w:r>
    </w:p>
    <w:p w14:paraId="3620E946" w14:textId="77777777" w:rsidR="0094362E" w:rsidRPr="0094362E" w:rsidRDefault="0094362E" w:rsidP="0094362E">
      <w:pPr>
        <w:widowControl w:val="0"/>
        <w:shd w:val="clear" w:color="auto" w:fill="FFFFFF"/>
        <w:ind w:left="851" w:right="851"/>
        <w:jc w:val="both"/>
        <w:textAlignment w:val="baseline"/>
        <w:rPr>
          <w:rFonts w:ascii="Abadi" w:hAnsi="Abadi" w:cs="Arial"/>
          <w:i/>
          <w:iCs/>
          <w:sz w:val="21"/>
          <w:szCs w:val="21"/>
          <w:lang w:val="es-MX"/>
        </w:rPr>
      </w:pPr>
    </w:p>
    <w:p w14:paraId="27A1FA9F" w14:textId="77777777" w:rsidR="0094362E" w:rsidRPr="0094362E" w:rsidRDefault="0094362E" w:rsidP="0094362E">
      <w:pPr>
        <w:widowControl w:val="0"/>
        <w:shd w:val="clear" w:color="auto" w:fill="FFFFFF"/>
        <w:ind w:left="851" w:right="851"/>
        <w:jc w:val="both"/>
        <w:textAlignment w:val="baseline"/>
        <w:rPr>
          <w:rFonts w:ascii="Abadi" w:hAnsi="Abadi" w:cs="Arial"/>
          <w:i/>
          <w:iCs/>
          <w:sz w:val="21"/>
          <w:szCs w:val="21"/>
          <w:lang w:val="es-MX"/>
        </w:rPr>
      </w:pPr>
      <w:r w:rsidRPr="0094362E">
        <w:rPr>
          <w:rFonts w:ascii="Abadi" w:hAnsi="Abadi" w:cs="Arial"/>
          <w:i/>
          <w:iCs/>
          <w:sz w:val="21"/>
          <w:szCs w:val="21"/>
          <w:lang w:val="es-MX"/>
        </w:rPr>
        <w:t>En muchas ocasiones los aparatos o aditamentos que la persona con discapacidad necesita son las llamadas ortesis es decir aparatos externos que le sirven para llevar una vida con mejor calidad cómo pueden ser las sillas de ruedas, muletas, bastón de apoyo, bastón guía, etcétera. Aunque todos estos aditamentos son muy útiles y proporcionan a la persona con discapacidad mayor seguridad hay algunos que optan por otro tipo de apoyos como por ejemplo los perros de asistencia.</w:t>
      </w:r>
    </w:p>
    <w:p w14:paraId="0C187796" w14:textId="77777777" w:rsidR="0094362E" w:rsidRPr="0094362E" w:rsidRDefault="0094362E" w:rsidP="0094362E">
      <w:pPr>
        <w:widowControl w:val="0"/>
        <w:shd w:val="clear" w:color="auto" w:fill="FFFFFF"/>
        <w:ind w:left="851" w:right="851"/>
        <w:jc w:val="both"/>
        <w:textAlignment w:val="baseline"/>
        <w:rPr>
          <w:rFonts w:ascii="Abadi" w:hAnsi="Abadi" w:cs="Arial"/>
          <w:i/>
          <w:iCs/>
          <w:sz w:val="21"/>
          <w:szCs w:val="21"/>
          <w:lang w:val="es-MX"/>
        </w:rPr>
      </w:pPr>
    </w:p>
    <w:p w14:paraId="21B07675" w14:textId="77777777" w:rsidR="0094362E" w:rsidRPr="0094362E" w:rsidRDefault="0094362E" w:rsidP="0094362E">
      <w:pPr>
        <w:widowControl w:val="0"/>
        <w:shd w:val="clear" w:color="auto" w:fill="FFFFFF"/>
        <w:ind w:left="851" w:right="851"/>
        <w:jc w:val="both"/>
        <w:textAlignment w:val="baseline"/>
        <w:rPr>
          <w:rFonts w:ascii="Abadi" w:hAnsi="Abadi" w:cs="Arial"/>
          <w:i/>
          <w:iCs/>
          <w:sz w:val="21"/>
          <w:szCs w:val="21"/>
          <w:lang w:val="es-MX"/>
        </w:rPr>
      </w:pPr>
      <w:r w:rsidRPr="0094362E">
        <w:rPr>
          <w:rFonts w:ascii="Abadi" w:hAnsi="Abadi" w:cs="Arial"/>
          <w:i/>
          <w:iCs/>
          <w:sz w:val="21"/>
          <w:szCs w:val="21"/>
          <w:lang w:val="es-MX"/>
        </w:rPr>
        <w:t>Pero qué son los perros de asistencia?</w:t>
      </w:r>
    </w:p>
    <w:p w14:paraId="09BD2C7E" w14:textId="77777777" w:rsidR="0094362E" w:rsidRPr="0094362E" w:rsidRDefault="0094362E" w:rsidP="0094362E">
      <w:pPr>
        <w:widowControl w:val="0"/>
        <w:shd w:val="clear" w:color="auto" w:fill="FFFFFF"/>
        <w:ind w:left="851" w:right="851"/>
        <w:jc w:val="both"/>
        <w:textAlignment w:val="baseline"/>
        <w:rPr>
          <w:rFonts w:ascii="Abadi" w:hAnsi="Abadi" w:cs="Arial"/>
          <w:i/>
          <w:iCs/>
          <w:sz w:val="21"/>
          <w:szCs w:val="21"/>
          <w:lang w:val="es-MX"/>
        </w:rPr>
      </w:pPr>
      <w:r w:rsidRPr="0094362E">
        <w:rPr>
          <w:rFonts w:ascii="Abadi" w:hAnsi="Abadi" w:cs="Arial"/>
          <w:i/>
          <w:iCs/>
          <w:sz w:val="21"/>
          <w:szCs w:val="21"/>
          <w:lang w:val="es-MX"/>
        </w:rPr>
        <w:t xml:space="preserve">Los perros de asistencia son canes preparados para </w:t>
      </w:r>
      <w:r w:rsidRPr="0094362E">
        <w:rPr>
          <w:rFonts w:ascii="Abadi" w:hAnsi="Abadi" w:cs="Arial"/>
          <w:b/>
          <w:bCs/>
          <w:i/>
          <w:iCs/>
          <w:sz w:val="21"/>
          <w:szCs w:val="21"/>
          <w:bdr w:val="none" w:sz="0" w:space="0" w:color="auto" w:frame="1"/>
          <w:lang w:val="es-MX"/>
        </w:rPr>
        <w:t xml:space="preserve">ayudar a las personas con alguna situación de discapacidad a disminuir las limitaciones propiciadas por esta condición, </w:t>
      </w:r>
      <w:r w:rsidRPr="0094362E">
        <w:rPr>
          <w:rFonts w:ascii="Abadi" w:hAnsi="Abadi" w:cs="Arial"/>
          <w:i/>
          <w:iCs/>
          <w:sz w:val="21"/>
          <w:szCs w:val="21"/>
          <w:lang w:val="es-MX"/>
        </w:rPr>
        <w:t xml:space="preserve">y por las barreras de su entorno. En teoría cualquier persona con una condición física o psicológica que limite su vida de forma sustancial podría adoptar uno de estos </w:t>
      </w:r>
      <w:r w:rsidRPr="0094362E">
        <w:rPr>
          <w:rFonts w:ascii="Abadi" w:hAnsi="Abadi" w:cs="Arial"/>
          <w:b/>
          <w:bCs/>
          <w:i/>
          <w:iCs/>
          <w:sz w:val="21"/>
          <w:szCs w:val="21"/>
          <w:bdr w:val="none" w:sz="0" w:space="0" w:color="auto" w:frame="1"/>
          <w:lang w:val="es-MX"/>
        </w:rPr>
        <w:t>animales de asistencia</w:t>
      </w:r>
      <w:r w:rsidRPr="0094362E">
        <w:rPr>
          <w:rFonts w:ascii="Abadi" w:hAnsi="Abadi" w:cs="Arial"/>
          <w:i/>
          <w:iCs/>
          <w:sz w:val="21"/>
          <w:szCs w:val="21"/>
          <w:lang w:val="es-MX"/>
        </w:rPr>
        <w:t>.</w:t>
      </w:r>
    </w:p>
    <w:p w14:paraId="396083EA" w14:textId="77777777" w:rsidR="0094362E" w:rsidRPr="0094362E" w:rsidRDefault="0094362E" w:rsidP="0094362E">
      <w:pPr>
        <w:widowControl w:val="0"/>
        <w:shd w:val="clear" w:color="auto" w:fill="FFFFFF"/>
        <w:ind w:left="851" w:right="851"/>
        <w:jc w:val="both"/>
        <w:textAlignment w:val="baseline"/>
        <w:rPr>
          <w:rFonts w:ascii="Abadi" w:hAnsi="Abadi" w:cs="Arial"/>
          <w:i/>
          <w:iCs/>
          <w:sz w:val="21"/>
          <w:szCs w:val="21"/>
          <w:lang w:val="es-MX"/>
        </w:rPr>
      </w:pPr>
    </w:p>
    <w:p w14:paraId="46B16CF1" w14:textId="77777777" w:rsidR="0094362E" w:rsidRPr="0094362E" w:rsidRDefault="0094362E" w:rsidP="0094362E">
      <w:pPr>
        <w:widowControl w:val="0"/>
        <w:shd w:val="clear" w:color="auto" w:fill="FFFFFF"/>
        <w:ind w:left="851" w:right="851"/>
        <w:jc w:val="both"/>
        <w:textAlignment w:val="baseline"/>
        <w:rPr>
          <w:rFonts w:ascii="Abadi" w:hAnsi="Abadi" w:cs="Arial"/>
          <w:i/>
          <w:iCs/>
          <w:sz w:val="21"/>
          <w:szCs w:val="21"/>
          <w:lang w:val="es-MX"/>
        </w:rPr>
      </w:pPr>
      <w:r w:rsidRPr="0094362E">
        <w:rPr>
          <w:rFonts w:ascii="Abadi" w:hAnsi="Abadi" w:cs="Arial"/>
          <w:i/>
          <w:iCs/>
          <w:sz w:val="21"/>
          <w:szCs w:val="21"/>
          <w:lang w:val="es-MX"/>
        </w:rPr>
        <w:t xml:space="preserve">Los perros pueden adiestrarse para </w:t>
      </w:r>
      <w:r w:rsidRPr="0094362E">
        <w:rPr>
          <w:rFonts w:ascii="Abadi" w:hAnsi="Abadi" w:cs="Arial"/>
          <w:b/>
          <w:bCs/>
          <w:i/>
          <w:iCs/>
          <w:sz w:val="21"/>
          <w:szCs w:val="21"/>
          <w:bdr w:val="none" w:sz="0" w:space="0" w:color="auto" w:frame="1"/>
          <w:lang w:val="es-MX"/>
        </w:rPr>
        <w:t>asistir a personas con discapacidad</w:t>
      </w:r>
      <w:r w:rsidRPr="0094362E">
        <w:rPr>
          <w:rFonts w:ascii="Abadi" w:hAnsi="Abadi" w:cs="Arial"/>
          <w:i/>
          <w:iCs/>
          <w:sz w:val="21"/>
          <w:szCs w:val="21"/>
          <w:lang w:val="es-MX"/>
        </w:rPr>
        <w:t xml:space="preserve"> convirtiéndose en mucho más que mascotas: se trata de fieles e inseparables compañeros que facilitan a sus dueños su día a día y que, en muchas ocasiones, también les ayudan a aligerar sus miedos, barreras físicas y problemas psicológicos.</w:t>
      </w:r>
    </w:p>
    <w:p w14:paraId="1FAD3797" w14:textId="77777777" w:rsidR="0094362E" w:rsidRPr="0094362E" w:rsidRDefault="0094362E" w:rsidP="0094362E">
      <w:pPr>
        <w:widowControl w:val="0"/>
        <w:ind w:left="851" w:right="851"/>
        <w:jc w:val="both"/>
        <w:rPr>
          <w:rFonts w:ascii="Abadi" w:hAnsi="Abadi"/>
          <w:i/>
          <w:iCs/>
          <w:sz w:val="21"/>
          <w:szCs w:val="21"/>
          <w:lang w:val="es-MX" w:eastAsia="en-US"/>
        </w:rPr>
      </w:pPr>
    </w:p>
    <w:p w14:paraId="533A4DC2" w14:textId="77777777" w:rsidR="0094362E" w:rsidRPr="0094362E" w:rsidRDefault="0094362E" w:rsidP="0094362E">
      <w:pPr>
        <w:widowControl w:val="0"/>
        <w:ind w:left="851" w:right="851"/>
        <w:jc w:val="both"/>
        <w:rPr>
          <w:rFonts w:ascii="Abadi" w:hAnsi="Abadi" w:cstheme="minorBidi"/>
          <w:i/>
          <w:iCs/>
          <w:sz w:val="21"/>
          <w:szCs w:val="21"/>
          <w:lang w:val="es-MX" w:eastAsia="en-US"/>
        </w:rPr>
      </w:pPr>
      <w:r w:rsidRPr="0094362E">
        <w:rPr>
          <w:rFonts w:ascii="Abadi" w:hAnsi="Abadi"/>
          <w:i/>
          <w:iCs/>
          <w:sz w:val="21"/>
          <w:szCs w:val="21"/>
          <w:lang w:val="es-MX" w:eastAsia="en-US"/>
        </w:rPr>
        <w:t>Qué características deben poseer los perros que se adiestran para este fin?</w:t>
      </w:r>
    </w:p>
    <w:p w14:paraId="7EC5E443" w14:textId="77777777" w:rsidR="0094362E" w:rsidRPr="0094362E" w:rsidRDefault="0094362E" w:rsidP="0094362E">
      <w:pPr>
        <w:widowControl w:val="0"/>
        <w:shd w:val="clear" w:color="auto" w:fill="FFFFFF"/>
        <w:ind w:left="851" w:right="851"/>
        <w:jc w:val="both"/>
        <w:textAlignment w:val="baseline"/>
        <w:rPr>
          <w:rFonts w:ascii="Abadi" w:hAnsi="Abadi" w:cs="Arial"/>
          <w:i/>
          <w:iCs/>
          <w:sz w:val="21"/>
          <w:szCs w:val="21"/>
          <w:lang w:val="es-MX"/>
        </w:rPr>
      </w:pPr>
      <w:r w:rsidRPr="0094362E">
        <w:rPr>
          <w:rFonts w:ascii="Abadi" w:hAnsi="Abadi" w:cs="Arial"/>
          <w:i/>
          <w:iCs/>
          <w:sz w:val="21"/>
          <w:szCs w:val="21"/>
          <w:lang w:val="es-MX"/>
        </w:rPr>
        <w:t xml:space="preserve">No es imprescindible que los </w:t>
      </w:r>
      <w:r w:rsidRPr="0094362E">
        <w:rPr>
          <w:rFonts w:ascii="Abadi" w:hAnsi="Abadi" w:cs="Arial"/>
          <w:b/>
          <w:bCs/>
          <w:i/>
          <w:iCs/>
          <w:sz w:val="21"/>
          <w:szCs w:val="21"/>
          <w:bdr w:val="none" w:sz="0" w:space="0" w:color="auto" w:frame="1"/>
          <w:lang w:val="es-MX"/>
        </w:rPr>
        <w:t>perros de asistencia</w:t>
      </w:r>
      <w:r w:rsidRPr="0094362E">
        <w:rPr>
          <w:rFonts w:ascii="Abadi" w:hAnsi="Abadi" w:cs="Arial"/>
          <w:i/>
          <w:iCs/>
          <w:sz w:val="21"/>
          <w:szCs w:val="21"/>
          <w:lang w:val="es-MX"/>
        </w:rPr>
        <w:t xml:space="preserve"> sean de una raza determinada aunque es recomendable que sean </w:t>
      </w:r>
      <w:r w:rsidRPr="0094362E">
        <w:rPr>
          <w:rFonts w:ascii="Abadi" w:hAnsi="Abadi" w:cs="Arial"/>
          <w:b/>
          <w:bCs/>
          <w:i/>
          <w:iCs/>
          <w:sz w:val="21"/>
          <w:szCs w:val="21"/>
          <w:bdr w:val="none" w:sz="0" w:space="0" w:color="auto" w:frame="1"/>
          <w:lang w:val="es-MX"/>
        </w:rPr>
        <w:t>dóciles, tranquilos, afectuosos y previsibles</w:t>
      </w:r>
      <w:r w:rsidRPr="0094362E">
        <w:rPr>
          <w:rFonts w:ascii="Abadi" w:hAnsi="Abadi" w:cs="Arial"/>
          <w:i/>
          <w:iCs/>
          <w:sz w:val="21"/>
          <w:szCs w:val="21"/>
          <w:lang w:val="es-MX"/>
        </w:rPr>
        <w:t xml:space="preserve"> para poder vivir en sociedad sin problemas. Algunas de las características propias de los animales qué pueden adiestrarse para hacer un perro de asistencia son:</w:t>
      </w:r>
    </w:p>
    <w:p w14:paraId="08D2E7E9" w14:textId="77777777" w:rsidR="0094362E" w:rsidRPr="0094362E" w:rsidRDefault="0094362E" w:rsidP="0094362E">
      <w:pPr>
        <w:widowControl w:val="0"/>
        <w:shd w:val="clear" w:color="auto" w:fill="FFFFFF"/>
        <w:ind w:left="851" w:right="851"/>
        <w:jc w:val="both"/>
        <w:textAlignment w:val="baseline"/>
        <w:rPr>
          <w:rFonts w:ascii="Abadi" w:hAnsi="Abadi" w:cs="Arial"/>
          <w:i/>
          <w:iCs/>
          <w:sz w:val="21"/>
          <w:szCs w:val="21"/>
          <w:lang w:val="es-MX"/>
        </w:rPr>
      </w:pPr>
    </w:p>
    <w:p w14:paraId="1E179C01" w14:textId="77777777" w:rsidR="0094362E" w:rsidRPr="0094362E" w:rsidRDefault="0094362E" w:rsidP="0094362E">
      <w:pPr>
        <w:widowControl w:val="0"/>
        <w:numPr>
          <w:ilvl w:val="0"/>
          <w:numId w:val="39"/>
        </w:numPr>
        <w:shd w:val="clear" w:color="auto" w:fill="FFFFFF"/>
        <w:ind w:left="851" w:right="851" w:firstLine="0"/>
        <w:jc w:val="both"/>
        <w:textAlignment w:val="baseline"/>
        <w:rPr>
          <w:rFonts w:ascii="Abadi" w:hAnsi="Abadi"/>
          <w:i/>
          <w:iCs/>
          <w:sz w:val="21"/>
          <w:szCs w:val="21"/>
          <w:lang w:val="es-MX" w:eastAsia="en-US"/>
        </w:rPr>
      </w:pPr>
      <w:r w:rsidRPr="0094362E">
        <w:rPr>
          <w:rFonts w:ascii="Abadi" w:hAnsi="Abadi"/>
          <w:i/>
          <w:iCs/>
          <w:sz w:val="21"/>
          <w:szCs w:val="21"/>
          <w:lang w:val="es-MX" w:eastAsia="en-US"/>
        </w:rPr>
        <w:t>Gran capacidad de aprendizaje</w:t>
      </w:r>
    </w:p>
    <w:p w14:paraId="0AC89B59" w14:textId="77777777" w:rsidR="0094362E" w:rsidRPr="0094362E" w:rsidRDefault="0094362E" w:rsidP="0094362E">
      <w:pPr>
        <w:widowControl w:val="0"/>
        <w:numPr>
          <w:ilvl w:val="0"/>
          <w:numId w:val="39"/>
        </w:numPr>
        <w:shd w:val="clear" w:color="auto" w:fill="FFFFFF"/>
        <w:ind w:left="851" w:right="851" w:firstLine="0"/>
        <w:jc w:val="both"/>
        <w:textAlignment w:val="baseline"/>
        <w:rPr>
          <w:rFonts w:ascii="Abadi" w:hAnsi="Abadi"/>
          <w:i/>
          <w:iCs/>
          <w:sz w:val="21"/>
          <w:szCs w:val="21"/>
          <w:lang w:val="es-MX" w:eastAsia="en-US"/>
        </w:rPr>
      </w:pPr>
      <w:r w:rsidRPr="0094362E">
        <w:rPr>
          <w:rFonts w:ascii="Abadi" w:hAnsi="Abadi"/>
          <w:i/>
          <w:iCs/>
          <w:sz w:val="21"/>
          <w:szCs w:val="21"/>
          <w:lang w:val="es-MX" w:eastAsia="en-US"/>
        </w:rPr>
        <w:t>Escasa agresividad</w:t>
      </w:r>
    </w:p>
    <w:p w14:paraId="4CFC55A9" w14:textId="77777777" w:rsidR="0094362E" w:rsidRPr="0094362E" w:rsidRDefault="0094362E" w:rsidP="0094362E">
      <w:pPr>
        <w:widowControl w:val="0"/>
        <w:numPr>
          <w:ilvl w:val="0"/>
          <w:numId w:val="39"/>
        </w:numPr>
        <w:shd w:val="clear" w:color="auto" w:fill="FFFFFF"/>
        <w:ind w:left="851" w:right="851" w:firstLine="0"/>
        <w:jc w:val="both"/>
        <w:textAlignment w:val="baseline"/>
        <w:rPr>
          <w:rFonts w:ascii="Abadi" w:hAnsi="Abadi"/>
          <w:i/>
          <w:iCs/>
          <w:sz w:val="21"/>
          <w:szCs w:val="21"/>
          <w:lang w:val="es-MX" w:eastAsia="en-US"/>
        </w:rPr>
      </w:pPr>
      <w:r w:rsidRPr="0094362E">
        <w:rPr>
          <w:rFonts w:ascii="Abadi" w:hAnsi="Abadi"/>
          <w:i/>
          <w:iCs/>
          <w:sz w:val="21"/>
          <w:szCs w:val="21"/>
          <w:lang w:val="es-MX" w:eastAsia="en-US"/>
        </w:rPr>
        <w:t>Buena reacción ante sonidos y señales</w:t>
      </w:r>
    </w:p>
    <w:p w14:paraId="076F144E" w14:textId="77777777" w:rsidR="0094362E" w:rsidRPr="0094362E" w:rsidRDefault="0094362E" w:rsidP="0094362E">
      <w:pPr>
        <w:widowControl w:val="0"/>
        <w:shd w:val="clear" w:color="auto" w:fill="FFFFFF"/>
        <w:ind w:left="851" w:right="851"/>
        <w:jc w:val="both"/>
        <w:textAlignment w:val="baseline"/>
        <w:rPr>
          <w:rFonts w:ascii="Abadi" w:hAnsi="Abadi" w:cs="Arial"/>
          <w:i/>
          <w:iCs/>
          <w:sz w:val="21"/>
          <w:szCs w:val="21"/>
          <w:lang w:val="es-MX"/>
        </w:rPr>
      </w:pPr>
    </w:p>
    <w:p w14:paraId="4B6ABAFE" w14:textId="77777777" w:rsidR="0094362E" w:rsidRPr="0094362E" w:rsidRDefault="0094362E" w:rsidP="0094362E">
      <w:pPr>
        <w:widowControl w:val="0"/>
        <w:shd w:val="clear" w:color="auto" w:fill="FFFFFF"/>
        <w:ind w:left="851" w:right="851"/>
        <w:jc w:val="both"/>
        <w:textAlignment w:val="baseline"/>
        <w:rPr>
          <w:rFonts w:ascii="Abadi" w:hAnsi="Abadi" w:cs="Arial"/>
          <w:i/>
          <w:iCs/>
          <w:sz w:val="21"/>
          <w:szCs w:val="21"/>
          <w:lang w:val="es-MX"/>
        </w:rPr>
      </w:pPr>
      <w:r w:rsidRPr="0094362E">
        <w:rPr>
          <w:rFonts w:ascii="Abadi" w:hAnsi="Abadi" w:cs="Arial"/>
          <w:i/>
          <w:iCs/>
          <w:sz w:val="21"/>
          <w:szCs w:val="21"/>
          <w:lang w:val="es-MX"/>
        </w:rPr>
        <w:t xml:space="preserve">Entre las </w:t>
      </w:r>
      <w:r w:rsidRPr="0094362E">
        <w:rPr>
          <w:rFonts w:ascii="Abadi" w:hAnsi="Abadi" w:cs="Arial"/>
          <w:b/>
          <w:bCs/>
          <w:i/>
          <w:iCs/>
          <w:sz w:val="21"/>
          <w:szCs w:val="21"/>
          <w:bdr w:val="none" w:sz="0" w:space="0" w:color="auto" w:frame="1"/>
          <w:lang w:val="es-MX"/>
        </w:rPr>
        <w:t>razas que suelen ser seleccionadas</w:t>
      </w:r>
      <w:r w:rsidRPr="0094362E">
        <w:rPr>
          <w:rFonts w:ascii="Abadi" w:hAnsi="Abadi" w:cs="Arial"/>
          <w:i/>
          <w:iCs/>
          <w:sz w:val="21"/>
          <w:szCs w:val="21"/>
          <w:lang w:val="es-MX"/>
        </w:rPr>
        <w:t xml:space="preserve"> para convertirse en perros de asistencia y perros de terapia destacan el Golden retriever </w:t>
      </w:r>
      <w:r w:rsidRPr="0094362E">
        <w:rPr>
          <w:rFonts w:ascii="Abadi" w:hAnsi="Abadi" w:cs="Arial"/>
          <w:i/>
          <w:iCs/>
          <w:sz w:val="21"/>
          <w:szCs w:val="21"/>
          <w:bdr w:val="none" w:sz="0" w:space="0" w:color="auto" w:frame="1"/>
          <w:lang w:val="es-MX"/>
        </w:rPr>
        <w:t xml:space="preserve">y </w:t>
      </w:r>
      <w:r w:rsidRPr="0094362E">
        <w:rPr>
          <w:rFonts w:ascii="Abadi" w:hAnsi="Abadi" w:cs="Arial"/>
          <w:i/>
          <w:iCs/>
          <w:sz w:val="21"/>
          <w:szCs w:val="21"/>
          <w:lang w:val="es-MX"/>
        </w:rPr>
        <w:t>el Labrador retriever, también son habituales los Pastores belga malinois (inteligentes y con muchas habilidades físicas) y los Alaskan malamuten (leales, trabajadores y muy nobles).</w:t>
      </w:r>
    </w:p>
    <w:p w14:paraId="58948720" w14:textId="77777777" w:rsidR="0094362E" w:rsidRPr="0094362E" w:rsidRDefault="0094362E" w:rsidP="0094362E">
      <w:pPr>
        <w:widowControl w:val="0"/>
        <w:shd w:val="clear" w:color="auto" w:fill="FFFFFF"/>
        <w:ind w:left="851" w:right="851"/>
        <w:jc w:val="both"/>
        <w:textAlignment w:val="baseline"/>
        <w:rPr>
          <w:rFonts w:ascii="Abadi" w:hAnsi="Abadi" w:cs="Arial"/>
          <w:i/>
          <w:iCs/>
          <w:sz w:val="21"/>
          <w:szCs w:val="21"/>
          <w:lang w:val="es-MX"/>
        </w:rPr>
      </w:pPr>
    </w:p>
    <w:p w14:paraId="5510C332" w14:textId="77777777" w:rsidR="0094362E" w:rsidRPr="0094362E" w:rsidRDefault="0094362E" w:rsidP="0094362E">
      <w:pPr>
        <w:widowControl w:val="0"/>
        <w:shd w:val="clear" w:color="auto" w:fill="FFFFFF"/>
        <w:ind w:left="851" w:right="851"/>
        <w:jc w:val="both"/>
        <w:textAlignment w:val="baseline"/>
        <w:rPr>
          <w:rFonts w:ascii="Abadi" w:hAnsi="Abadi" w:cs="Arial"/>
          <w:i/>
          <w:iCs/>
          <w:sz w:val="21"/>
          <w:szCs w:val="21"/>
          <w:lang w:val="es-MX"/>
        </w:rPr>
      </w:pPr>
      <w:r w:rsidRPr="0094362E">
        <w:rPr>
          <w:rFonts w:ascii="Abadi" w:hAnsi="Abadi" w:cs="Arial"/>
          <w:i/>
          <w:iCs/>
          <w:sz w:val="21"/>
          <w:szCs w:val="21"/>
          <w:lang w:val="es-MX"/>
        </w:rPr>
        <w:t>El proceso de adiestramiento para perros de asistencia</w:t>
      </w:r>
    </w:p>
    <w:p w14:paraId="7F1D3691" w14:textId="77777777" w:rsidR="0094362E" w:rsidRPr="0094362E" w:rsidRDefault="0094362E" w:rsidP="0094362E">
      <w:pPr>
        <w:widowControl w:val="0"/>
        <w:shd w:val="clear" w:color="auto" w:fill="FFFFFF"/>
        <w:ind w:left="851" w:right="851"/>
        <w:jc w:val="both"/>
        <w:textAlignment w:val="baseline"/>
        <w:rPr>
          <w:rFonts w:ascii="Abadi" w:hAnsi="Abadi" w:cs="Arial"/>
          <w:i/>
          <w:iCs/>
          <w:sz w:val="21"/>
          <w:szCs w:val="21"/>
          <w:lang w:val="es-MX"/>
        </w:rPr>
      </w:pPr>
      <w:r w:rsidRPr="0094362E">
        <w:rPr>
          <w:rFonts w:ascii="Abadi" w:hAnsi="Abadi" w:cs="Arial"/>
          <w:i/>
          <w:iCs/>
          <w:sz w:val="21"/>
          <w:szCs w:val="21"/>
          <w:lang w:val="es-MX"/>
        </w:rPr>
        <w:t xml:space="preserve">El </w:t>
      </w:r>
      <w:r w:rsidRPr="0094362E">
        <w:rPr>
          <w:rFonts w:ascii="Abadi" w:hAnsi="Abadi" w:cs="Arial"/>
          <w:b/>
          <w:bCs/>
          <w:i/>
          <w:iCs/>
          <w:sz w:val="21"/>
          <w:szCs w:val="21"/>
          <w:bdr w:val="none" w:sz="0" w:space="0" w:color="auto" w:frame="1"/>
          <w:lang w:val="es-MX"/>
        </w:rPr>
        <w:t>adiestramiento de los perros de asistencia</w:t>
      </w:r>
      <w:r w:rsidRPr="0094362E">
        <w:rPr>
          <w:rFonts w:ascii="Abadi" w:hAnsi="Abadi" w:cs="Arial"/>
          <w:i/>
          <w:iCs/>
          <w:sz w:val="21"/>
          <w:szCs w:val="21"/>
          <w:lang w:val="es-MX"/>
        </w:rPr>
        <w:t xml:space="preserve"> y los perros de terapia suele ser largo, como mínimo </w:t>
      </w:r>
      <w:r w:rsidRPr="0094362E">
        <w:rPr>
          <w:rFonts w:ascii="Abadi" w:hAnsi="Abadi" w:cs="Arial"/>
          <w:b/>
          <w:bCs/>
          <w:i/>
          <w:iCs/>
          <w:sz w:val="21"/>
          <w:szCs w:val="21"/>
          <w:bdr w:val="none" w:sz="0" w:space="0" w:color="auto" w:frame="1"/>
          <w:lang w:val="es-MX"/>
        </w:rPr>
        <w:t>entre 8 y 10 meses</w:t>
      </w:r>
      <w:r w:rsidRPr="0094362E">
        <w:rPr>
          <w:rFonts w:ascii="Abadi" w:hAnsi="Abadi" w:cs="Arial"/>
          <w:i/>
          <w:iCs/>
          <w:sz w:val="21"/>
          <w:szCs w:val="21"/>
          <w:lang w:val="es-MX"/>
        </w:rPr>
        <w:t>, aunque puede alargarse hasta dos años. Generalmente los animales son seleccionados desde cachorros y su dueño los adopta cuando ya están en proceso e incluso educados completamente, aunque en algunas ocasiones se intenta educar a un animal propiedad de la persona con discapacidad.</w:t>
      </w:r>
    </w:p>
    <w:p w14:paraId="1EC35DFA" w14:textId="77777777" w:rsidR="0094362E" w:rsidRPr="0094362E" w:rsidRDefault="0094362E" w:rsidP="0094362E">
      <w:pPr>
        <w:widowControl w:val="0"/>
        <w:shd w:val="clear" w:color="auto" w:fill="FFFFFF"/>
        <w:ind w:left="851" w:right="851"/>
        <w:jc w:val="both"/>
        <w:textAlignment w:val="baseline"/>
        <w:rPr>
          <w:rFonts w:ascii="Abadi" w:hAnsi="Abadi" w:cs="Arial"/>
          <w:i/>
          <w:iCs/>
          <w:sz w:val="21"/>
          <w:szCs w:val="21"/>
          <w:lang w:val="es-MX"/>
        </w:rPr>
      </w:pPr>
    </w:p>
    <w:p w14:paraId="47F8F8B1" w14:textId="77777777" w:rsidR="0094362E" w:rsidRPr="0094362E" w:rsidRDefault="0094362E" w:rsidP="0094362E">
      <w:pPr>
        <w:widowControl w:val="0"/>
        <w:shd w:val="clear" w:color="auto" w:fill="FFFFFF"/>
        <w:ind w:left="851" w:right="851"/>
        <w:jc w:val="both"/>
        <w:textAlignment w:val="baseline"/>
        <w:rPr>
          <w:rFonts w:ascii="Abadi" w:hAnsi="Abadi" w:cs="Arial"/>
          <w:i/>
          <w:iCs/>
          <w:sz w:val="21"/>
          <w:szCs w:val="21"/>
          <w:lang w:val="es-MX"/>
        </w:rPr>
      </w:pPr>
      <w:r w:rsidRPr="0094362E">
        <w:rPr>
          <w:rFonts w:ascii="Abadi" w:hAnsi="Abadi" w:cs="Arial"/>
          <w:i/>
          <w:iCs/>
          <w:sz w:val="21"/>
          <w:szCs w:val="21"/>
          <w:lang w:val="es-MX"/>
        </w:rPr>
        <w:t xml:space="preserve">El adiestramiento de los perros de asistencia consiste en enseñar al perro a realizar </w:t>
      </w:r>
      <w:r w:rsidRPr="0094362E">
        <w:rPr>
          <w:rFonts w:ascii="Abadi" w:hAnsi="Abadi" w:cs="Arial"/>
          <w:b/>
          <w:bCs/>
          <w:i/>
          <w:iCs/>
          <w:sz w:val="21"/>
          <w:szCs w:val="21"/>
          <w:bdr w:val="none" w:sz="0" w:space="0" w:color="auto" w:frame="1"/>
          <w:lang w:val="es-MX"/>
        </w:rPr>
        <w:t>tareas que ayuden a su futuro dueño</w:t>
      </w:r>
      <w:r w:rsidRPr="0094362E">
        <w:rPr>
          <w:rFonts w:ascii="Abadi" w:hAnsi="Abadi" w:cs="Arial"/>
          <w:i/>
          <w:iCs/>
          <w:sz w:val="21"/>
          <w:szCs w:val="21"/>
          <w:lang w:val="es-MX"/>
        </w:rPr>
        <w:t xml:space="preserve"> en su vida diaria,</w:t>
      </w:r>
      <w:r w:rsidRPr="0094362E">
        <w:rPr>
          <w:rFonts w:ascii="Abadi" w:hAnsi="Abadi" w:cs="Arial"/>
          <w:b/>
          <w:bCs/>
          <w:i/>
          <w:iCs/>
          <w:sz w:val="21"/>
          <w:szCs w:val="21"/>
          <w:bdr w:val="none" w:sz="0" w:space="0" w:color="auto" w:frame="1"/>
          <w:lang w:val="es-MX"/>
        </w:rPr>
        <w:t xml:space="preserve"> </w:t>
      </w:r>
      <w:r w:rsidRPr="0094362E">
        <w:rPr>
          <w:rFonts w:ascii="Abadi" w:hAnsi="Abadi" w:cs="Arial"/>
          <w:i/>
          <w:iCs/>
          <w:sz w:val="21"/>
          <w:szCs w:val="21"/>
          <w:lang w:val="es-MX"/>
        </w:rPr>
        <w:t>como recoger y traer cosas, abrir o cerrar puertas, tocar timbres, apagar o encender luces, abrir y cerrar cajones o ayudar a la persona a quitarse ropa o zapatos. También son educados para proteger a su dueño, pedir ayuda, guiar a personas ciegas o tirar de la silla de ruedas en distancias cortas.</w:t>
      </w:r>
    </w:p>
    <w:p w14:paraId="356972F9" w14:textId="77777777" w:rsidR="0094362E" w:rsidRPr="0094362E" w:rsidRDefault="0094362E" w:rsidP="0094362E">
      <w:pPr>
        <w:widowControl w:val="0"/>
        <w:ind w:left="851" w:right="851"/>
        <w:jc w:val="both"/>
        <w:textAlignment w:val="baseline"/>
        <w:rPr>
          <w:rFonts w:ascii="Abadi" w:hAnsi="Abadi"/>
          <w:i/>
          <w:iCs/>
          <w:sz w:val="21"/>
          <w:szCs w:val="21"/>
          <w:lang w:val="es-MX"/>
        </w:rPr>
      </w:pPr>
    </w:p>
    <w:p w14:paraId="296C77AD" w14:textId="77777777" w:rsidR="0094362E" w:rsidRPr="0094362E" w:rsidRDefault="0094362E" w:rsidP="0094362E">
      <w:pPr>
        <w:widowControl w:val="0"/>
        <w:ind w:left="851" w:right="851"/>
        <w:jc w:val="both"/>
        <w:textAlignment w:val="baseline"/>
        <w:rPr>
          <w:rFonts w:ascii="Abadi" w:hAnsi="Abadi"/>
          <w:i/>
          <w:iCs/>
          <w:sz w:val="21"/>
          <w:szCs w:val="21"/>
          <w:lang w:val="es-MX"/>
        </w:rPr>
      </w:pPr>
      <w:r w:rsidRPr="0094362E">
        <w:rPr>
          <w:rFonts w:ascii="Abadi" w:hAnsi="Abadi"/>
          <w:i/>
          <w:iCs/>
          <w:sz w:val="21"/>
          <w:szCs w:val="21"/>
          <w:lang w:val="es-MX"/>
        </w:rPr>
        <w:t xml:space="preserve">Los perros pueden adiestrarse para </w:t>
      </w:r>
      <w:r w:rsidRPr="0094362E">
        <w:rPr>
          <w:rFonts w:ascii="Abadi" w:hAnsi="Abadi"/>
          <w:b/>
          <w:bCs/>
          <w:i/>
          <w:iCs/>
          <w:sz w:val="21"/>
          <w:szCs w:val="21"/>
          <w:bdr w:val="none" w:sz="0" w:space="0" w:color="auto" w:frame="1"/>
          <w:lang w:val="es-MX"/>
        </w:rPr>
        <w:t xml:space="preserve">asistir a personas con discapacidad </w:t>
      </w:r>
      <w:r w:rsidRPr="0094362E">
        <w:rPr>
          <w:rFonts w:ascii="Abadi" w:hAnsi="Abadi"/>
          <w:i/>
          <w:iCs/>
          <w:sz w:val="21"/>
          <w:szCs w:val="21"/>
          <w:lang w:val="es-MX"/>
        </w:rPr>
        <w:t>convirtiéndose en mucho más que mascotas: se trata de fieles e inseparables compañeros que facilitan a sus dueños.</w:t>
      </w:r>
    </w:p>
    <w:p w14:paraId="4137EAAF" w14:textId="77777777" w:rsidR="0094362E" w:rsidRPr="0094362E" w:rsidRDefault="0094362E" w:rsidP="0094362E">
      <w:pPr>
        <w:widowControl w:val="0"/>
        <w:ind w:left="851" w:right="851"/>
        <w:jc w:val="both"/>
        <w:textAlignment w:val="baseline"/>
        <w:rPr>
          <w:rFonts w:ascii="Abadi" w:hAnsi="Abadi"/>
          <w:i/>
          <w:iCs/>
          <w:noProof/>
          <w:sz w:val="21"/>
          <w:szCs w:val="21"/>
          <w:lang w:val="es-MX"/>
        </w:rPr>
      </w:pPr>
    </w:p>
    <w:p w14:paraId="19331651" w14:textId="77777777" w:rsidR="0094362E" w:rsidRPr="0094362E" w:rsidRDefault="0094362E" w:rsidP="0094362E">
      <w:pPr>
        <w:widowControl w:val="0"/>
        <w:ind w:left="851" w:right="851"/>
        <w:jc w:val="both"/>
        <w:textAlignment w:val="baseline"/>
        <w:rPr>
          <w:rFonts w:ascii="Abadi" w:hAnsi="Abadi"/>
          <w:i/>
          <w:iCs/>
          <w:noProof/>
          <w:sz w:val="21"/>
          <w:szCs w:val="21"/>
          <w:lang w:val="es-MX"/>
        </w:rPr>
      </w:pPr>
      <w:r w:rsidRPr="0094362E">
        <w:rPr>
          <w:rFonts w:ascii="Abadi" w:hAnsi="Abadi"/>
          <w:i/>
          <w:iCs/>
          <w:noProof/>
          <w:sz w:val="21"/>
          <w:szCs w:val="21"/>
          <w:lang w:val="es-MX"/>
        </w:rPr>
        <w:t>Cómo solicitar un perro de asistencia?</w:t>
      </w:r>
    </w:p>
    <w:p w14:paraId="57EBD3A0" w14:textId="77777777" w:rsidR="0094362E" w:rsidRPr="0094362E" w:rsidRDefault="0094362E" w:rsidP="0094362E">
      <w:pPr>
        <w:widowControl w:val="0"/>
        <w:ind w:left="851" w:right="851"/>
        <w:jc w:val="both"/>
        <w:textAlignment w:val="baseline"/>
        <w:rPr>
          <w:rFonts w:ascii="Abadi" w:hAnsi="Abadi"/>
          <w:i/>
          <w:iCs/>
          <w:noProof/>
          <w:sz w:val="21"/>
          <w:szCs w:val="21"/>
          <w:lang w:val="es-MX"/>
        </w:rPr>
      </w:pPr>
      <w:r w:rsidRPr="0094362E">
        <w:rPr>
          <w:rFonts w:ascii="Abadi" w:hAnsi="Abadi"/>
          <w:i/>
          <w:iCs/>
          <w:noProof/>
          <w:sz w:val="21"/>
          <w:szCs w:val="21"/>
          <w:lang w:val="es-MX"/>
        </w:rPr>
        <w:t>La solicitud de un perro de asistencia debe estar analizada minuciosamente y el futuro usuario debe valorar el impacto que la presencia de su nuevo compañero va a tener en su estilo de vida. Aún así, un porcentaje alto de personas con discapacidad opta por los perros de terapia porque, además de apoyarlos, también les hacen compañía hasta convertirse en buenos amigos.</w:t>
      </w:r>
    </w:p>
    <w:p w14:paraId="0D2295CB" w14:textId="77777777" w:rsidR="0094362E" w:rsidRPr="0094362E" w:rsidRDefault="0094362E" w:rsidP="0094362E">
      <w:pPr>
        <w:widowControl w:val="0"/>
        <w:ind w:left="851" w:right="851"/>
        <w:jc w:val="both"/>
        <w:textAlignment w:val="baseline"/>
        <w:rPr>
          <w:rFonts w:ascii="Abadi" w:hAnsi="Abadi"/>
          <w:i/>
          <w:iCs/>
          <w:noProof/>
          <w:sz w:val="21"/>
          <w:szCs w:val="21"/>
          <w:lang w:val="es-MX"/>
        </w:rPr>
      </w:pPr>
    </w:p>
    <w:p w14:paraId="02D9391C" w14:textId="77777777" w:rsidR="0094362E" w:rsidRPr="0094362E" w:rsidRDefault="0094362E" w:rsidP="0094362E">
      <w:pPr>
        <w:widowControl w:val="0"/>
        <w:ind w:left="851" w:right="851"/>
        <w:jc w:val="both"/>
        <w:textAlignment w:val="baseline"/>
        <w:rPr>
          <w:rFonts w:ascii="Abadi" w:hAnsi="Abadi"/>
          <w:i/>
          <w:iCs/>
          <w:noProof/>
          <w:sz w:val="21"/>
          <w:szCs w:val="21"/>
          <w:lang w:val="es-MX"/>
        </w:rPr>
      </w:pPr>
      <w:r w:rsidRPr="0094362E">
        <w:rPr>
          <w:rFonts w:ascii="Abadi" w:hAnsi="Abadi"/>
          <w:i/>
          <w:iCs/>
          <w:noProof/>
          <w:sz w:val="21"/>
          <w:szCs w:val="21"/>
          <w:lang w:val="es-MX"/>
        </w:rPr>
        <w:t>El proceso de solicitud de los perros de asistencia suele ser largo debido a la gran demanda. Las asociaciones dedicadas a la educación de estos animales de asistencia valoran cada solicitud de forma individual buscando al perro correcto para cada persona. En algunos casos, tras la asignación, se realizan entrenamientos conjuntos para ver si ambos congenian bien. El seguimiento posterior puede durar varios meses.</w:t>
      </w:r>
    </w:p>
    <w:p w14:paraId="627088AA" w14:textId="77777777" w:rsidR="0094362E" w:rsidRPr="0094362E" w:rsidRDefault="0094362E" w:rsidP="0094362E">
      <w:pPr>
        <w:widowControl w:val="0"/>
        <w:ind w:left="851" w:right="851"/>
        <w:jc w:val="both"/>
        <w:textAlignment w:val="baseline"/>
        <w:outlineLvl w:val="1"/>
        <w:rPr>
          <w:rFonts w:ascii="Abadi" w:hAnsi="Abadi" w:cs="Arial"/>
          <w:i/>
          <w:iCs/>
          <w:sz w:val="21"/>
          <w:szCs w:val="21"/>
          <w:lang w:val="es-MX" w:eastAsia="es-MX"/>
        </w:rPr>
      </w:pPr>
    </w:p>
    <w:p w14:paraId="1237C305" w14:textId="77777777" w:rsidR="0094362E" w:rsidRPr="0094362E" w:rsidRDefault="0094362E" w:rsidP="0094362E">
      <w:pPr>
        <w:widowControl w:val="0"/>
        <w:ind w:left="851" w:right="851"/>
        <w:jc w:val="both"/>
        <w:textAlignment w:val="baseline"/>
        <w:outlineLvl w:val="1"/>
        <w:rPr>
          <w:rFonts w:ascii="Abadi" w:hAnsi="Abadi" w:cs="Arial"/>
          <w:i/>
          <w:iCs/>
          <w:sz w:val="21"/>
          <w:szCs w:val="21"/>
          <w:lang w:val="es-MX" w:eastAsia="es-MX"/>
        </w:rPr>
      </w:pPr>
      <w:r w:rsidRPr="0094362E">
        <w:rPr>
          <w:rFonts w:ascii="Abadi" w:hAnsi="Abadi" w:cs="Arial"/>
          <w:i/>
          <w:iCs/>
          <w:sz w:val="21"/>
          <w:szCs w:val="21"/>
          <w:lang w:val="es-MX" w:eastAsia="es-MX"/>
        </w:rPr>
        <w:t>Tipos de perros de asistencia según la discapacidad</w:t>
      </w:r>
    </w:p>
    <w:p w14:paraId="00415875" w14:textId="77777777" w:rsidR="0094362E" w:rsidRPr="0094362E" w:rsidRDefault="0094362E" w:rsidP="0094362E">
      <w:pPr>
        <w:widowControl w:val="0"/>
        <w:ind w:left="851" w:right="851"/>
        <w:jc w:val="both"/>
        <w:rPr>
          <w:rFonts w:ascii="Abadi" w:eastAsiaTheme="minorEastAsia" w:hAnsi="Abadi" w:cstheme="minorBidi"/>
          <w:i/>
          <w:iCs/>
          <w:sz w:val="21"/>
          <w:szCs w:val="21"/>
          <w:lang w:val="es-MX" w:eastAsia="en-US"/>
        </w:rPr>
      </w:pPr>
      <w:r w:rsidRPr="0094362E">
        <w:rPr>
          <w:rFonts w:ascii="Abadi" w:hAnsi="Abadi"/>
          <w:i/>
          <w:iCs/>
          <w:sz w:val="21"/>
          <w:szCs w:val="21"/>
          <w:lang w:val="es-MX" w:eastAsia="en-US"/>
        </w:rPr>
        <w:t>El adiestramiento que se da a los perros que fungirán como perros de asistencia varía de acuerdo con la discapacidad de la persona a la cual brindarán sus servicios.</w:t>
      </w:r>
    </w:p>
    <w:p w14:paraId="65EB3879" w14:textId="77777777" w:rsidR="0094362E" w:rsidRPr="0094362E" w:rsidRDefault="0094362E" w:rsidP="0094362E">
      <w:pPr>
        <w:widowControl w:val="0"/>
        <w:ind w:left="851" w:right="851"/>
        <w:jc w:val="both"/>
        <w:rPr>
          <w:rFonts w:ascii="Abadi" w:hAnsi="Abadi"/>
          <w:i/>
          <w:iCs/>
          <w:sz w:val="21"/>
          <w:szCs w:val="21"/>
          <w:lang w:val="es-MX" w:eastAsia="en-US"/>
        </w:rPr>
      </w:pPr>
    </w:p>
    <w:p w14:paraId="0BE26E1A" w14:textId="77777777" w:rsidR="0094362E" w:rsidRPr="0094362E" w:rsidRDefault="0094362E" w:rsidP="0094362E">
      <w:pPr>
        <w:widowControl w:val="0"/>
        <w:ind w:left="851" w:right="851"/>
        <w:jc w:val="both"/>
        <w:rPr>
          <w:rFonts w:ascii="Abadi" w:hAnsi="Abadi"/>
          <w:i/>
          <w:iCs/>
          <w:sz w:val="21"/>
          <w:szCs w:val="21"/>
          <w:lang w:val="es-MX" w:eastAsia="en-US"/>
        </w:rPr>
      </w:pPr>
      <w:r w:rsidRPr="0094362E">
        <w:rPr>
          <w:rFonts w:ascii="Abadi" w:hAnsi="Abadi"/>
          <w:i/>
          <w:iCs/>
          <w:sz w:val="21"/>
          <w:szCs w:val="21"/>
          <w:lang w:val="es-MX" w:eastAsia="en-US"/>
        </w:rPr>
        <w:t>Aquí se enlistan los diferentes tipos de perro de asistencia de acuerdo a la discapacidad del usuario.</w:t>
      </w:r>
    </w:p>
    <w:p w14:paraId="08A68BC7" w14:textId="77777777" w:rsidR="0094362E" w:rsidRPr="0094362E" w:rsidRDefault="0094362E" w:rsidP="0094362E">
      <w:pPr>
        <w:widowControl w:val="0"/>
        <w:ind w:left="851" w:right="851"/>
        <w:jc w:val="both"/>
        <w:rPr>
          <w:rFonts w:ascii="Abadi" w:hAnsi="Abadi"/>
          <w:i/>
          <w:iCs/>
          <w:sz w:val="21"/>
          <w:szCs w:val="21"/>
          <w:lang w:val="es-MX" w:eastAsia="en-US"/>
        </w:rPr>
      </w:pPr>
    </w:p>
    <w:p w14:paraId="784D0AD6" w14:textId="77777777" w:rsidR="0094362E" w:rsidRPr="0094362E" w:rsidRDefault="0094362E" w:rsidP="0094362E">
      <w:pPr>
        <w:widowControl w:val="0"/>
        <w:numPr>
          <w:ilvl w:val="0"/>
          <w:numId w:val="40"/>
        </w:numPr>
        <w:ind w:left="851" w:right="851" w:firstLine="0"/>
        <w:jc w:val="both"/>
        <w:textAlignment w:val="baseline"/>
        <w:rPr>
          <w:rFonts w:ascii="Abadi" w:hAnsi="Abadi"/>
          <w:i/>
          <w:iCs/>
          <w:sz w:val="21"/>
          <w:szCs w:val="21"/>
          <w:lang w:val="es-MX" w:eastAsia="en-US"/>
        </w:rPr>
      </w:pPr>
      <w:r w:rsidRPr="0094362E">
        <w:rPr>
          <w:rFonts w:ascii="Abadi" w:hAnsi="Abadi"/>
          <w:b/>
          <w:bCs/>
          <w:i/>
          <w:iCs/>
          <w:sz w:val="21"/>
          <w:szCs w:val="21"/>
          <w:bdr w:val="none" w:sz="0" w:space="0" w:color="auto" w:frame="1"/>
          <w:lang w:val="es-MX" w:eastAsia="en-US"/>
        </w:rPr>
        <w:t>Perros de asistencia para personas con discapacidad física</w:t>
      </w:r>
      <w:r w:rsidRPr="0094362E">
        <w:rPr>
          <w:rFonts w:ascii="Abadi" w:hAnsi="Abadi"/>
          <w:i/>
          <w:iCs/>
          <w:sz w:val="21"/>
          <w:szCs w:val="21"/>
          <w:lang w:val="es-MX" w:eastAsia="en-US"/>
        </w:rPr>
        <w:t>. Preparados para coger cosas del suelo, encender interruptores, abrir y cerrar puertas y cajones, etc.</w:t>
      </w:r>
    </w:p>
    <w:p w14:paraId="3EA5A0C3" w14:textId="77777777" w:rsidR="0094362E" w:rsidRPr="0094362E" w:rsidRDefault="0094362E" w:rsidP="0094362E">
      <w:pPr>
        <w:widowControl w:val="0"/>
        <w:numPr>
          <w:ilvl w:val="0"/>
          <w:numId w:val="40"/>
        </w:numPr>
        <w:ind w:left="851" w:right="851" w:firstLine="0"/>
        <w:jc w:val="both"/>
        <w:textAlignment w:val="baseline"/>
        <w:rPr>
          <w:rFonts w:ascii="Abadi" w:hAnsi="Abadi" w:cstheme="minorBidi"/>
          <w:i/>
          <w:iCs/>
          <w:sz w:val="21"/>
          <w:szCs w:val="21"/>
          <w:lang w:val="es-MX" w:eastAsia="en-US"/>
        </w:rPr>
      </w:pPr>
      <w:r w:rsidRPr="0094362E">
        <w:rPr>
          <w:rFonts w:ascii="Abadi" w:hAnsi="Abadi"/>
          <w:b/>
          <w:bCs/>
          <w:i/>
          <w:iCs/>
          <w:sz w:val="21"/>
          <w:szCs w:val="21"/>
          <w:bdr w:val="none" w:sz="0" w:space="0" w:color="auto" w:frame="1"/>
          <w:lang w:val="es-MX" w:eastAsia="en-US"/>
        </w:rPr>
        <w:t>Perros de asistencia para personas con discapacidad auditiva</w:t>
      </w:r>
      <w:r w:rsidRPr="0094362E">
        <w:rPr>
          <w:rFonts w:ascii="Abadi" w:hAnsi="Abadi"/>
          <w:i/>
          <w:iCs/>
          <w:sz w:val="21"/>
          <w:szCs w:val="21"/>
          <w:lang w:val="es-MX" w:eastAsia="en-US"/>
        </w:rPr>
        <w:t>. Especialmente entrenados para avisar a su dueño de diversos sonidos (timbres, teléfono, llanto de un bebé, voces, alarmas, despertador, etc.) y llevarle hasta el lugar de donde proviene sonido.</w:t>
      </w:r>
    </w:p>
    <w:p w14:paraId="73153DC4" w14:textId="77777777" w:rsidR="0094362E" w:rsidRPr="0094362E" w:rsidRDefault="0094362E" w:rsidP="0094362E">
      <w:pPr>
        <w:widowControl w:val="0"/>
        <w:numPr>
          <w:ilvl w:val="0"/>
          <w:numId w:val="40"/>
        </w:numPr>
        <w:ind w:left="851" w:right="851" w:firstLine="0"/>
        <w:jc w:val="both"/>
        <w:textAlignment w:val="baseline"/>
        <w:rPr>
          <w:rFonts w:ascii="Abadi" w:hAnsi="Abadi"/>
          <w:i/>
          <w:iCs/>
          <w:sz w:val="21"/>
          <w:szCs w:val="21"/>
          <w:lang w:val="es-MX" w:eastAsia="en-US"/>
        </w:rPr>
      </w:pPr>
      <w:r w:rsidRPr="0094362E">
        <w:rPr>
          <w:rFonts w:ascii="Abadi" w:hAnsi="Abadi"/>
          <w:b/>
          <w:bCs/>
          <w:i/>
          <w:iCs/>
          <w:sz w:val="21"/>
          <w:szCs w:val="21"/>
          <w:bdr w:val="none" w:sz="0" w:space="0" w:color="auto" w:frame="1"/>
          <w:lang w:val="es-MX" w:eastAsia="en-US"/>
        </w:rPr>
        <w:t>Perros de asistencia para personas con discapacidad visual.</w:t>
      </w:r>
      <w:r w:rsidRPr="0094362E">
        <w:rPr>
          <w:rFonts w:ascii="Abadi" w:hAnsi="Abadi"/>
          <w:i/>
          <w:iCs/>
          <w:sz w:val="21"/>
          <w:szCs w:val="21"/>
          <w:lang w:val="es-MX" w:eastAsia="en-US"/>
        </w:rPr>
        <w:t xml:space="preserve"> También conocidos como perros guía: están entrenados principalmente para ayudar al desplazamiento de la persona con seguridad sin poner en riesgo su integridad física.</w:t>
      </w:r>
    </w:p>
    <w:p w14:paraId="10EF7BBF" w14:textId="77777777" w:rsidR="0094362E" w:rsidRPr="0094362E" w:rsidRDefault="0094362E" w:rsidP="0094362E">
      <w:pPr>
        <w:widowControl w:val="0"/>
        <w:ind w:left="851" w:right="851"/>
        <w:jc w:val="both"/>
        <w:textAlignment w:val="baseline"/>
        <w:rPr>
          <w:rFonts w:ascii="Abadi" w:hAnsi="Abadi"/>
          <w:i/>
          <w:iCs/>
          <w:sz w:val="21"/>
          <w:szCs w:val="21"/>
          <w:lang w:val="es-MX" w:eastAsia="en-US"/>
        </w:rPr>
      </w:pPr>
    </w:p>
    <w:p w14:paraId="4E6B0575" w14:textId="77777777" w:rsidR="0094362E" w:rsidRPr="0094362E" w:rsidRDefault="0094362E" w:rsidP="0094362E">
      <w:pPr>
        <w:widowControl w:val="0"/>
        <w:numPr>
          <w:ilvl w:val="0"/>
          <w:numId w:val="40"/>
        </w:numPr>
        <w:ind w:left="851" w:right="851" w:firstLine="0"/>
        <w:jc w:val="both"/>
        <w:textAlignment w:val="baseline"/>
        <w:rPr>
          <w:rFonts w:ascii="Abadi" w:hAnsi="Abadi"/>
          <w:i/>
          <w:iCs/>
          <w:sz w:val="21"/>
          <w:szCs w:val="21"/>
          <w:lang w:val="es-MX" w:eastAsia="en-US"/>
        </w:rPr>
      </w:pPr>
      <w:r w:rsidRPr="0094362E">
        <w:rPr>
          <w:rFonts w:ascii="Abadi" w:hAnsi="Abadi"/>
          <w:b/>
          <w:bCs/>
          <w:i/>
          <w:iCs/>
          <w:sz w:val="21"/>
          <w:szCs w:val="21"/>
          <w:bdr w:val="none" w:sz="0" w:space="0" w:color="auto" w:frame="1"/>
          <w:lang w:val="es-MX" w:eastAsia="en-US"/>
        </w:rPr>
        <w:t>Perros de asistencia para personas con autismo.</w:t>
      </w:r>
      <w:r w:rsidRPr="0094362E">
        <w:rPr>
          <w:rFonts w:ascii="Abadi" w:hAnsi="Abadi"/>
          <w:i/>
          <w:iCs/>
          <w:sz w:val="21"/>
          <w:szCs w:val="21"/>
          <w:lang w:val="es-MX" w:eastAsia="en-US"/>
        </w:rPr>
        <w:t xml:space="preserve"> Son un tipo de perros de terapia capaces de evitar o reducir las conductas disruptivas y conductas estereotipadas propias del autismo. Estos animales, que establecen un canal afectivo muy fuerte con sus dueños, mejoran la comunicación, la estimulación sensorial y la seguridad de sus propietarios.</w:t>
      </w:r>
    </w:p>
    <w:p w14:paraId="7ABD46BF" w14:textId="77777777" w:rsidR="0094362E" w:rsidRPr="0094362E" w:rsidRDefault="0094362E" w:rsidP="0094362E">
      <w:pPr>
        <w:widowControl w:val="0"/>
        <w:ind w:left="851" w:right="851"/>
        <w:jc w:val="both"/>
        <w:textAlignment w:val="baseline"/>
        <w:rPr>
          <w:rFonts w:ascii="Abadi" w:hAnsi="Abadi"/>
          <w:i/>
          <w:iCs/>
          <w:sz w:val="21"/>
          <w:szCs w:val="21"/>
          <w:bdr w:val="none" w:sz="0" w:space="0" w:color="auto" w:frame="1"/>
          <w:lang w:val="es-MX" w:eastAsia="en-US"/>
        </w:rPr>
      </w:pPr>
    </w:p>
    <w:p w14:paraId="4A500725" w14:textId="77777777" w:rsidR="0094362E" w:rsidRPr="0094362E" w:rsidRDefault="0094362E" w:rsidP="0094362E">
      <w:pPr>
        <w:widowControl w:val="0"/>
        <w:ind w:left="851" w:right="851"/>
        <w:jc w:val="both"/>
        <w:textAlignment w:val="baseline"/>
        <w:rPr>
          <w:rFonts w:ascii="Abadi" w:eastAsiaTheme="minorEastAsia" w:hAnsi="Abadi"/>
          <w:i/>
          <w:iCs/>
          <w:sz w:val="21"/>
          <w:szCs w:val="21"/>
          <w:lang w:val="es-MX" w:eastAsia="en-US"/>
        </w:rPr>
      </w:pPr>
      <w:r w:rsidRPr="0094362E">
        <w:rPr>
          <w:rFonts w:ascii="Abadi" w:hAnsi="Abadi"/>
          <w:b/>
          <w:bCs/>
          <w:i/>
          <w:iCs/>
          <w:sz w:val="21"/>
          <w:szCs w:val="21"/>
          <w:bdr w:val="none" w:sz="0" w:space="0" w:color="auto" w:frame="1"/>
          <w:lang w:val="es-MX" w:eastAsia="en-US"/>
        </w:rPr>
        <w:t>Después de conocer lo referente a los perros de asistencia nos damos cuenta que en nuestro estado aún tenemos inmensas lagunas</w:t>
      </w:r>
      <w:r w:rsidRPr="0094362E">
        <w:rPr>
          <w:rFonts w:ascii="Abadi" w:hAnsi="Abadi"/>
          <w:i/>
          <w:iCs/>
          <w:sz w:val="21"/>
          <w:szCs w:val="21"/>
          <w:lang w:val="es-MX" w:eastAsia="en-US"/>
        </w:rPr>
        <w:t xml:space="preserve"> en cuanto a las características de cada uno de ellos así como también de las necesidades que tienen los diferentes usuarios de estos canes de apoyo y acompañamiento los cuales les permiten mejorar su calidad de vida de una forma más agradable de la mano de un ser vivo.</w:t>
      </w:r>
    </w:p>
    <w:p w14:paraId="7B2EF6B9" w14:textId="77777777" w:rsidR="0094362E" w:rsidRPr="0094362E" w:rsidRDefault="0094362E" w:rsidP="0094362E">
      <w:pPr>
        <w:widowControl w:val="0"/>
        <w:ind w:left="851" w:right="851"/>
        <w:jc w:val="both"/>
        <w:textAlignment w:val="baseline"/>
        <w:rPr>
          <w:rFonts w:ascii="Abadi" w:hAnsi="Abadi"/>
          <w:i/>
          <w:iCs/>
          <w:sz w:val="21"/>
          <w:szCs w:val="21"/>
          <w:lang w:val="es-MX" w:eastAsia="en-US"/>
        </w:rPr>
      </w:pPr>
    </w:p>
    <w:p w14:paraId="53BC00B5" w14:textId="77777777" w:rsidR="0094362E" w:rsidRPr="0094362E" w:rsidRDefault="0094362E" w:rsidP="0094362E">
      <w:pPr>
        <w:widowControl w:val="0"/>
        <w:ind w:left="851" w:right="851"/>
        <w:jc w:val="both"/>
        <w:textAlignment w:val="baseline"/>
        <w:rPr>
          <w:rFonts w:ascii="Abadi" w:hAnsi="Abadi"/>
          <w:i/>
          <w:iCs/>
          <w:sz w:val="21"/>
          <w:szCs w:val="21"/>
          <w:lang w:val="es-MX" w:eastAsia="en-US"/>
        </w:rPr>
      </w:pPr>
      <w:r w:rsidRPr="0094362E">
        <w:rPr>
          <w:rFonts w:ascii="Abadi" w:hAnsi="Abadi"/>
          <w:i/>
          <w:iCs/>
          <w:sz w:val="21"/>
          <w:szCs w:val="21"/>
          <w:lang w:val="es-MX" w:eastAsia="en-US"/>
        </w:rPr>
        <w:t>Es por estos motivos y otros más qué es imperativo e indispensable incluir en nuestras leyes garantías que permitan a los usuarios de perros de asistencia desplazarse por nuestro estado con la libertad y la certeza de que no recibirán ningún tipo de discriminación tanto hacia su persona como a su compañero de apoyo.</w:t>
      </w:r>
    </w:p>
    <w:p w14:paraId="6E73F000" w14:textId="77777777" w:rsidR="0094362E" w:rsidRPr="0094362E" w:rsidRDefault="0094362E" w:rsidP="0094362E">
      <w:pPr>
        <w:widowControl w:val="0"/>
        <w:ind w:left="851" w:right="851"/>
        <w:jc w:val="both"/>
        <w:textAlignment w:val="baseline"/>
        <w:rPr>
          <w:rFonts w:ascii="Abadi" w:hAnsi="Abadi"/>
          <w:i/>
          <w:iCs/>
          <w:sz w:val="21"/>
          <w:szCs w:val="21"/>
          <w:lang w:val="es-MX" w:eastAsia="en-US"/>
        </w:rPr>
      </w:pPr>
    </w:p>
    <w:p w14:paraId="70CB1E71" w14:textId="77777777" w:rsidR="0094362E" w:rsidRPr="0094362E" w:rsidRDefault="0094362E" w:rsidP="0094362E">
      <w:pPr>
        <w:widowControl w:val="0"/>
        <w:ind w:left="851" w:right="851"/>
        <w:jc w:val="both"/>
        <w:textAlignment w:val="baseline"/>
        <w:rPr>
          <w:rFonts w:ascii="Abadi" w:hAnsi="Abadi"/>
          <w:i/>
          <w:iCs/>
          <w:sz w:val="21"/>
          <w:szCs w:val="21"/>
          <w:lang w:val="es-MX" w:eastAsia="en-US"/>
        </w:rPr>
      </w:pPr>
      <w:r w:rsidRPr="0094362E">
        <w:rPr>
          <w:rFonts w:ascii="Abadi" w:hAnsi="Abadi"/>
          <w:i/>
          <w:iCs/>
          <w:sz w:val="21"/>
          <w:szCs w:val="21"/>
          <w:lang w:val="es-MX" w:eastAsia="en-US"/>
        </w:rPr>
        <w:t>Un decreto que se enfoque en la accesibilidad de los usuarios de perros de asistencia permitiría a nuestro estado colocarse a la vanguardia en la inclusión de personas con discapacidad que son usuarios de perros de asistencia y esto contribuira a qué las personas con discapacidad de nuestro estado se sientan con la confianza y seguridad de que no serán objeto de burlas o discriminación en ningún área pública o privada cómo edificios públicos plazas restaurantes hoteles oficinas etcétera.</w:t>
      </w:r>
    </w:p>
    <w:p w14:paraId="3B5BCB5D" w14:textId="77777777" w:rsidR="0094362E" w:rsidRPr="0094362E" w:rsidRDefault="0094362E" w:rsidP="0094362E">
      <w:pPr>
        <w:widowControl w:val="0"/>
        <w:ind w:left="851" w:right="851"/>
        <w:jc w:val="both"/>
        <w:textAlignment w:val="baseline"/>
        <w:rPr>
          <w:rFonts w:ascii="Abadi" w:hAnsi="Abadi"/>
          <w:i/>
          <w:iCs/>
          <w:sz w:val="21"/>
          <w:szCs w:val="21"/>
          <w:lang w:val="es-MX" w:eastAsia="en-US"/>
        </w:rPr>
      </w:pPr>
    </w:p>
    <w:p w14:paraId="4B95816E" w14:textId="77777777" w:rsidR="0094362E" w:rsidRPr="0094362E" w:rsidRDefault="0094362E" w:rsidP="0094362E">
      <w:pPr>
        <w:widowControl w:val="0"/>
        <w:ind w:left="851" w:right="851"/>
        <w:jc w:val="both"/>
        <w:textAlignment w:val="baseline"/>
        <w:rPr>
          <w:rFonts w:ascii="Abadi" w:hAnsi="Abadi"/>
          <w:i/>
          <w:iCs/>
          <w:sz w:val="21"/>
          <w:szCs w:val="21"/>
          <w:lang w:val="es-MX" w:eastAsia="en-US"/>
        </w:rPr>
      </w:pPr>
      <w:r w:rsidRPr="0094362E">
        <w:rPr>
          <w:rFonts w:ascii="Abadi" w:hAnsi="Abadi"/>
          <w:i/>
          <w:iCs/>
          <w:sz w:val="21"/>
          <w:szCs w:val="21"/>
          <w:lang w:val="es-MX" w:eastAsia="en-US"/>
        </w:rPr>
        <w:t>Por último es importante destacar que las personas con discapacidad en su mayoría se trasladan en transporte público el cual aún no permite el acceso a los perros de asistencia sería importante incluir un párrafo dirigido a este servicio que ofrecen todos los municipios de nuestro estado y que gran parte de las personas con discapacidad utilizan a diario.</w:t>
      </w:r>
    </w:p>
    <w:p w14:paraId="41934036" w14:textId="77777777" w:rsidR="0094362E" w:rsidRPr="0094362E" w:rsidRDefault="0094362E" w:rsidP="0094362E">
      <w:pPr>
        <w:widowControl w:val="0"/>
        <w:ind w:left="851" w:right="851"/>
        <w:jc w:val="both"/>
        <w:textAlignment w:val="baseline"/>
        <w:rPr>
          <w:rFonts w:ascii="Abadi" w:hAnsi="Abadi"/>
          <w:i/>
          <w:iCs/>
          <w:sz w:val="21"/>
          <w:szCs w:val="21"/>
          <w:lang w:val="es-MX" w:eastAsia="en-US"/>
        </w:rPr>
      </w:pPr>
    </w:p>
    <w:p w14:paraId="49133CFF" w14:textId="77777777" w:rsidR="0094362E" w:rsidRPr="0094362E" w:rsidRDefault="0094362E" w:rsidP="0094362E">
      <w:pPr>
        <w:widowControl w:val="0"/>
        <w:ind w:left="851" w:right="851"/>
        <w:jc w:val="both"/>
        <w:textAlignment w:val="baseline"/>
        <w:rPr>
          <w:rFonts w:ascii="Abadi" w:hAnsi="Abadi" w:cstheme="minorBidi"/>
          <w:i/>
          <w:iCs/>
          <w:sz w:val="21"/>
          <w:szCs w:val="21"/>
          <w:lang w:val="es-MX" w:eastAsia="en-US"/>
        </w:rPr>
      </w:pPr>
      <w:r w:rsidRPr="0094362E">
        <w:rPr>
          <w:rFonts w:ascii="Abadi" w:hAnsi="Abadi"/>
          <w:i/>
          <w:iCs/>
          <w:sz w:val="21"/>
          <w:szCs w:val="21"/>
          <w:lang w:val="es-MX" w:eastAsia="en-US"/>
        </w:rPr>
        <w:t>Invitó a nuestras legisladoras y legisladores a tomar en cuenta todos estos puntos ya que sólo así podemos lograr tener un estado inclusivo, y amigable con las personas que presentan una condición de discapacidad y son usuarios de perros de asistencia.</w:t>
      </w:r>
    </w:p>
    <w:p w14:paraId="0217D343" w14:textId="77777777" w:rsidR="0094362E" w:rsidRPr="0094362E" w:rsidRDefault="0094362E" w:rsidP="0094362E">
      <w:pPr>
        <w:widowControl w:val="0"/>
        <w:adjustRightInd w:val="0"/>
        <w:spacing w:line="360" w:lineRule="auto"/>
        <w:jc w:val="both"/>
        <w:rPr>
          <w:rFonts w:ascii="Abadi" w:hAnsi="Abadi"/>
          <w:sz w:val="21"/>
          <w:szCs w:val="21"/>
          <w:lang w:val="es-MX" w:eastAsia="en-US"/>
        </w:rPr>
      </w:pPr>
    </w:p>
    <w:p w14:paraId="671075E6" w14:textId="77777777" w:rsidR="0094362E" w:rsidRPr="0094362E" w:rsidRDefault="0094362E" w:rsidP="0094362E">
      <w:pPr>
        <w:widowControl w:val="0"/>
        <w:spacing w:line="360" w:lineRule="auto"/>
        <w:ind w:firstLine="851"/>
        <w:jc w:val="both"/>
        <w:rPr>
          <w:rFonts w:ascii="Abadi" w:hAnsi="Abadi"/>
          <w:sz w:val="21"/>
          <w:szCs w:val="21"/>
          <w:lang w:val="es-MX" w:eastAsia="en-US"/>
        </w:rPr>
      </w:pPr>
      <w:r w:rsidRPr="0094362E">
        <w:rPr>
          <w:rFonts w:ascii="Abadi" w:hAnsi="Abadi"/>
          <w:sz w:val="21"/>
          <w:szCs w:val="21"/>
          <w:lang w:val="es-MX" w:eastAsia="en-US"/>
        </w:rPr>
        <w:t>Licenciado José José Grimaldo Colmenero, director general del Instituto Guanajuatense para las Personas con Discapacidad:</w:t>
      </w:r>
    </w:p>
    <w:p w14:paraId="7D87DA1C" w14:textId="77777777" w:rsidR="0094362E" w:rsidRPr="0094362E" w:rsidRDefault="0094362E" w:rsidP="0094362E">
      <w:pPr>
        <w:widowControl w:val="0"/>
        <w:spacing w:line="360" w:lineRule="auto"/>
        <w:jc w:val="both"/>
        <w:rPr>
          <w:rFonts w:ascii="Abadi" w:hAnsi="Abadi"/>
          <w:sz w:val="21"/>
          <w:szCs w:val="21"/>
          <w:lang w:val="es-MX" w:eastAsia="en-US"/>
        </w:rPr>
      </w:pPr>
    </w:p>
    <w:p w14:paraId="5FC7680B" w14:textId="77777777" w:rsidR="0094362E" w:rsidRPr="0094362E" w:rsidRDefault="0094362E" w:rsidP="0094362E">
      <w:pPr>
        <w:widowControl w:val="0"/>
        <w:ind w:left="851" w:right="851"/>
        <w:jc w:val="both"/>
        <w:rPr>
          <w:rFonts w:ascii="Abadi" w:hAnsi="Abadi"/>
          <w:i/>
          <w:iCs/>
          <w:sz w:val="21"/>
          <w:szCs w:val="21"/>
          <w:lang w:val="es-MX" w:eastAsia="es-MX"/>
        </w:rPr>
      </w:pPr>
      <w:r w:rsidRPr="0094362E">
        <w:rPr>
          <w:rFonts w:ascii="Abadi" w:hAnsi="Abadi"/>
          <w:i/>
          <w:iCs/>
          <w:sz w:val="21"/>
          <w:szCs w:val="21"/>
          <w:lang w:val="es-MX" w:eastAsia="es-MX"/>
        </w:rPr>
        <w:t>Es innegable la creación de un marco jurídico acorde a la nueva normalidad y la dinámica social que se ha manifestado en los diversos aspectos de la inclusión social en nuestro Estado, es un deber de las y los legisladores el velar por los derechos de las personas con discapacidad en nuestro Estado que ha sido cuna de múltiples iniciativas progresivas y no regresivas con la aplicación del máximo uso de los recursos disponibles, es importante resaltar que esta iniciativa debe resaltar la importancia del trato respetuoso, digno y disposición final, lo cual debe estar acorde con lo establecido en la Declaración Universal de los Derechos del Animal, la cual los estados parte deberán crear conciencia a la sociedad sobre la importancia del cuidado digno de los animales, sus derechos a ser respetados e impone el auxilio del hombre para su protección de los tratos crueles, por lo anterior es importante incluir las bases legislativas mínimas en la iniciativa para prever la protección de los perros guía o de asistencia médica.</w:t>
      </w:r>
    </w:p>
    <w:p w14:paraId="7FEF6235" w14:textId="77777777" w:rsidR="0094362E" w:rsidRPr="0094362E" w:rsidRDefault="0094362E" w:rsidP="0094362E">
      <w:pPr>
        <w:widowControl w:val="0"/>
        <w:ind w:left="851" w:right="851"/>
        <w:jc w:val="both"/>
        <w:rPr>
          <w:rFonts w:ascii="Abadi" w:hAnsi="Abadi"/>
          <w:i/>
          <w:iCs/>
          <w:sz w:val="21"/>
          <w:szCs w:val="21"/>
          <w:lang w:val="es-MX" w:eastAsia="es-MX"/>
        </w:rPr>
      </w:pPr>
    </w:p>
    <w:p w14:paraId="1D9780E5" w14:textId="77777777" w:rsidR="0094362E" w:rsidRPr="0094362E" w:rsidRDefault="0094362E" w:rsidP="0094362E">
      <w:pPr>
        <w:widowControl w:val="0"/>
        <w:ind w:left="851" w:right="851"/>
        <w:jc w:val="both"/>
        <w:rPr>
          <w:rFonts w:ascii="Abadi" w:hAnsi="Abadi"/>
          <w:b/>
          <w:i/>
          <w:iCs/>
          <w:sz w:val="21"/>
          <w:szCs w:val="21"/>
          <w:lang w:val="es-MX" w:eastAsia="es-MX"/>
        </w:rPr>
      </w:pPr>
      <w:r w:rsidRPr="0094362E">
        <w:rPr>
          <w:rFonts w:ascii="Abadi" w:hAnsi="Abadi"/>
          <w:b/>
          <w:i/>
          <w:iCs/>
          <w:sz w:val="21"/>
          <w:szCs w:val="21"/>
          <w:lang w:val="es-MX" w:eastAsia="es-MX"/>
        </w:rPr>
        <w:t>Consideraciones</w:t>
      </w:r>
    </w:p>
    <w:p w14:paraId="58388B8F" w14:textId="77777777" w:rsidR="0094362E" w:rsidRPr="0094362E" w:rsidRDefault="0094362E" w:rsidP="0094362E">
      <w:pPr>
        <w:widowControl w:val="0"/>
        <w:ind w:left="851" w:right="851"/>
        <w:jc w:val="both"/>
        <w:rPr>
          <w:rFonts w:ascii="Abadi" w:hAnsi="Abadi"/>
          <w:i/>
          <w:iCs/>
          <w:sz w:val="21"/>
          <w:szCs w:val="21"/>
          <w:lang w:val="es-MX" w:eastAsia="es-MX"/>
        </w:rPr>
      </w:pPr>
    </w:p>
    <w:p w14:paraId="0C4ED9E6" w14:textId="77777777" w:rsidR="0094362E" w:rsidRPr="0094362E" w:rsidRDefault="0094362E" w:rsidP="0094362E">
      <w:pPr>
        <w:widowControl w:val="0"/>
        <w:ind w:left="851" w:right="851"/>
        <w:jc w:val="both"/>
        <w:rPr>
          <w:rFonts w:ascii="Abadi" w:hAnsi="Abadi"/>
          <w:i/>
          <w:iCs/>
          <w:sz w:val="21"/>
          <w:szCs w:val="21"/>
          <w:lang w:val="es-MX" w:eastAsia="es-MX"/>
        </w:rPr>
      </w:pPr>
      <w:r w:rsidRPr="0094362E">
        <w:rPr>
          <w:rFonts w:ascii="Abadi" w:hAnsi="Abadi"/>
          <w:i/>
          <w:iCs/>
          <w:sz w:val="21"/>
          <w:szCs w:val="21"/>
          <w:lang w:val="es-MX" w:eastAsia="es-MX"/>
        </w:rPr>
        <w:t xml:space="preserve">Coincido en la Iniciativa de </w:t>
      </w:r>
      <w:r w:rsidRPr="0094362E">
        <w:rPr>
          <w:rFonts w:ascii="Abadi" w:hAnsi="Abadi"/>
          <w:b/>
          <w:i/>
          <w:iCs/>
          <w:sz w:val="21"/>
          <w:szCs w:val="21"/>
          <w:lang w:val="es-MX" w:eastAsia="es-MX"/>
        </w:rPr>
        <w:t>Ley de los Derechos de las Personas Usuarias de Perros Guía o Asistencia Médica para el Estado de Guanajuato</w:t>
      </w:r>
      <w:r w:rsidRPr="0094362E">
        <w:rPr>
          <w:rFonts w:ascii="Abadi" w:hAnsi="Abadi"/>
          <w:i/>
          <w:iCs/>
          <w:sz w:val="21"/>
          <w:szCs w:val="21"/>
          <w:lang w:val="es-MX" w:eastAsia="es-MX"/>
        </w:rPr>
        <w:t>, esta disposición legislativa en concordancia con los principios de progresividad de los derechos humanos es factible, ya que la regulación tutela los derechos y obligaciones de los usuarios de perros guía o asistencia médica considero que dentro de la iniciativa se está dando más énfasis a los derechos de usuarios con discapacidad visual, por lo que es importante recalcar que no solo existen los perros guía para personas con discapacidad visual sino también hay perros de asistencia a personas con otros tipo de discapacidad como personas sordas, perros de asistencia en movilidad para niños con autismo o perros de son una ayuda en alerta médica para personas con padecimientos como epilepsia, entre otras enfermedades, los cuales deberán ser considerados en el apartado correspondiente con el ánimo de evitar confusiones en la aplicación de la norma.</w:t>
      </w:r>
    </w:p>
    <w:p w14:paraId="480A0414" w14:textId="77777777" w:rsidR="0094362E" w:rsidRPr="0094362E" w:rsidRDefault="0094362E" w:rsidP="0094362E">
      <w:pPr>
        <w:widowControl w:val="0"/>
        <w:ind w:left="851" w:right="851"/>
        <w:jc w:val="both"/>
        <w:textAlignment w:val="baseline"/>
        <w:rPr>
          <w:rFonts w:ascii="Abadi" w:hAnsi="Abadi" w:cs="Arial"/>
          <w:i/>
          <w:iCs/>
          <w:sz w:val="21"/>
          <w:szCs w:val="21"/>
          <w:lang w:val="es-MX" w:eastAsia="es-MX"/>
        </w:rPr>
      </w:pPr>
    </w:p>
    <w:p w14:paraId="434B3D98" w14:textId="77777777" w:rsidR="0094362E" w:rsidRPr="0094362E" w:rsidRDefault="0094362E" w:rsidP="0094362E">
      <w:pPr>
        <w:widowControl w:val="0"/>
        <w:ind w:left="851" w:right="851"/>
        <w:jc w:val="both"/>
        <w:textAlignment w:val="baseline"/>
        <w:rPr>
          <w:rFonts w:ascii="Abadi" w:hAnsi="Abadi" w:cs="Arial"/>
          <w:i/>
          <w:iCs/>
          <w:sz w:val="21"/>
          <w:szCs w:val="21"/>
          <w:lang w:val="es-MX" w:eastAsia="es-MX"/>
        </w:rPr>
      </w:pPr>
      <w:r w:rsidRPr="0094362E">
        <w:rPr>
          <w:rFonts w:ascii="Abadi" w:hAnsi="Abadi" w:cs="Arial"/>
          <w:i/>
          <w:iCs/>
          <w:sz w:val="21"/>
          <w:szCs w:val="21"/>
          <w:lang w:val="es-MX" w:eastAsia="es-MX"/>
        </w:rPr>
        <w:t>Es muy relevante la propuesta de la diputada María de Jesús Eunices Reveles Conejo al contemplar los derechos de los usuarios de perros guía o asistencia médica, es necesario considerar dentro del articulado de la iniciativa y en armonía con la técnica legislativa el apartado a los usuarios de perros para asistencia médica, dando la precisión para evitar en la aplicación de la norma la diferencia entre asistencia por una condición de tratamiento médico que por lo general son confundidos con perros de compañía para dar la debida protección de los derechos humanos y no sean vulnerados, de igual forma sugiero señala un apartado de sanciones por el incumplimiento  a la norma, ya que al ser vulnerados los principios constitucionales de no discriminación de las personas con discapacidad y si se desarrolla un nuevo procedimiento de sanciones pudiera invadir atribuciones o incrementar cargas administrativas a otras instancias, por lo que se sugiere en los casos de incumplimiento sean atendidos por la Comisión Nacional de los Derechos Humanos y la Procuraduría de los Derechos Humanos del Estado de Guanajuato atendiendo a la jurisdicción que corresponda,  y por ultimo considerar dentro de la norma el trato digno, bienestar y disposición de los perros guía o de asistencia médica al finalizar su función.</w:t>
      </w:r>
    </w:p>
    <w:p w14:paraId="3886D140" w14:textId="77777777" w:rsidR="0094362E" w:rsidRPr="0094362E" w:rsidRDefault="0094362E" w:rsidP="0094362E">
      <w:pPr>
        <w:widowControl w:val="0"/>
        <w:spacing w:line="360" w:lineRule="auto"/>
        <w:jc w:val="both"/>
        <w:textAlignment w:val="baseline"/>
        <w:rPr>
          <w:rFonts w:ascii="Abadi" w:hAnsi="Abadi" w:cs="Arial"/>
          <w:sz w:val="21"/>
          <w:szCs w:val="21"/>
          <w:lang w:val="es-MX" w:eastAsia="es-MX"/>
        </w:rPr>
      </w:pPr>
    </w:p>
    <w:p w14:paraId="271666B5" w14:textId="77777777" w:rsidR="0094362E" w:rsidRPr="0094362E" w:rsidRDefault="0094362E" w:rsidP="0094362E">
      <w:pPr>
        <w:widowControl w:val="0"/>
        <w:spacing w:line="360" w:lineRule="auto"/>
        <w:ind w:firstLine="851"/>
        <w:jc w:val="both"/>
        <w:textAlignment w:val="baseline"/>
        <w:rPr>
          <w:rFonts w:ascii="Abadi" w:hAnsi="Abadi" w:cs="Arial"/>
          <w:sz w:val="21"/>
          <w:szCs w:val="21"/>
          <w:lang w:val="es-MX" w:eastAsia="es-MX"/>
        </w:rPr>
      </w:pPr>
      <w:r w:rsidRPr="0094362E">
        <w:rPr>
          <w:rFonts w:ascii="Abadi" w:hAnsi="Abadi" w:cs="Arial"/>
          <w:sz w:val="21"/>
          <w:szCs w:val="21"/>
          <w:lang w:val="es-MX" w:eastAsia="es-MX"/>
        </w:rPr>
        <w:t>Ciudadana Ana Lilia González Amador, directora del Centro Integral Educando y Asistiendo con Animales de Compañía León:</w:t>
      </w:r>
    </w:p>
    <w:p w14:paraId="216EFB28" w14:textId="77777777" w:rsidR="0094362E" w:rsidRPr="0094362E" w:rsidRDefault="0094362E" w:rsidP="0094362E">
      <w:pPr>
        <w:widowControl w:val="0"/>
        <w:spacing w:line="360" w:lineRule="auto"/>
        <w:jc w:val="both"/>
        <w:textAlignment w:val="baseline"/>
        <w:rPr>
          <w:rFonts w:ascii="Abadi" w:hAnsi="Abadi" w:cs="Arial"/>
          <w:sz w:val="21"/>
          <w:szCs w:val="21"/>
          <w:lang w:val="es-MX" w:eastAsia="es-MX"/>
        </w:rPr>
      </w:pPr>
    </w:p>
    <w:p w14:paraId="39A5F95C" w14:textId="77777777" w:rsidR="0094362E" w:rsidRPr="0094362E" w:rsidRDefault="0094362E" w:rsidP="0094362E">
      <w:pPr>
        <w:widowControl w:val="0"/>
        <w:ind w:left="851" w:right="851"/>
        <w:jc w:val="both"/>
        <w:textAlignment w:val="baseline"/>
        <w:rPr>
          <w:rFonts w:ascii="Abadi" w:hAnsi="Abadi" w:cs="Arial"/>
          <w:b/>
          <w:bCs/>
          <w:i/>
          <w:iCs/>
          <w:sz w:val="21"/>
          <w:szCs w:val="21"/>
          <w:lang w:val="es-MX" w:eastAsia="es-MX"/>
        </w:rPr>
      </w:pPr>
      <w:r w:rsidRPr="0094362E">
        <w:rPr>
          <w:rFonts w:ascii="Abadi" w:hAnsi="Abadi" w:cs="Arial"/>
          <w:i/>
          <w:iCs/>
          <w:sz w:val="21"/>
          <w:szCs w:val="21"/>
          <w:lang w:val="es-MX" w:eastAsia="es-MX"/>
        </w:rPr>
        <w:t xml:space="preserve">La presente propuesta tiene como objeto principal dotar a la generalidad de las personas con discapacidad de un mejor modelo de movilidad y seguridad, a través del apoyo de perros de asistencia en sus cinco especialidades: </w:t>
      </w:r>
      <w:r w:rsidRPr="0094362E">
        <w:rPr>
          <w:rFonts w:ascii="Abadi" w:hAnsi="Abadi" w:cs="Arial"/>
          <w:b/>
          <w:bCs/>
          <w:i/>
          <w:iCs/>
          <w:sz w:val="21"/>
          <w:szCs w:val="21"/>
          <w:lang w:val="es-MX" w:eastAsia="es-MX"/>
        </w:rPr>
        <w:t>a) perro guía, b) perro de asistencia para personas con trastorno del espectro autista (TEA), c) perro señal, d) perro de alerta médica y e) perro de asistencia para personas con discapacidad motriz o movilidad reducida.</w:t>
      </w:r>
    </w:p>
    <w:p w14:paraId="2F5C115E" w14:textId="77777777" w:rsidR="0094362E" w:rsidRPr="0094362E" w:rsidRDefault="0094362E" w:rsidP="0094362E">
      <w:pPr>
        <w:widowControl w:val="0"/>
        <w:ind w:left="851" w:right="851"/>
        <w:jc w:val="both"/>
        <w:textAlignment w:val="baseline"/>
        <w:rPr>
          <w:rFonts w:ascii="Abadi" w:hAnsi="Abadi" w:cs="Arial"/>
          <w:i/>
          <w:iCs/>
          <w:sz w:val="21"/>
          <w:szCs w:val="21"/>
          <w:lang w:val="es-MX" w:eastAsia="es-MX"/>
        </w:rPr>
      </w:pPr>
    </w:p>
    <w:p w14:paraId="7A131FE8" w14:textId="77777777" w:rsidR="0094362E" w:rsidRPr="0094362E" w:rsidRDefault="0094362E" w:rsidP="0094362E">
      <w:pPr>
        <w:widowControl w:val="0"/>
        <w:ind w:left="851" w:right="851"/>
        <w:jc w:val="both"/>
        <w:textAlignment w:val="baseline"/>
        <w:rPr>
          <w:rFonts w:ascii="Abadi" w:hAnsi="Abadi" w:cs="Arial"/>
          <w:i/>
          <w:iCs/>
          <w:sz w:val="21"/>
          <w:szCs w:val="21"/>
          <w:lang w:val="es-MX" w:eastAsia="es-MX"/>
        </w:rPr>
      </w:pPr>
      <w:r w:rsidRPr="0094362E">
        <w:rPr>
          <w:rFonts w:ascii="Abadi" w:hAnsi="Abadi" w:cs="Arial"/>
          <w:i/>
          <w:iCs/>
          <w:sz w:val="21"/>
          <w:szCs w:val="21"/>
          <w:lang w:val="es-MX" w:eastAsia="es-MX"/>
        </w:rPr>
        <w:t>Debido a que la iniciativa de Ley formulada actualmente deja fuera a tres de las especialidades de perros de asistencia reconocidos y protocolizados bajo normativas internacionales, siendo la ADA (American With Disabilities Act) una de las instancias reguladoras. Es de nuestro interés la participación en este foro.</w:t>
      </w:r>
    </w:p>
    <w:p w14:paraId="4ABC028A" w14:textId="77777777" w:rsidR="0094362E" w:rsidRPr="0094362E" w:rsidRDefault="0094362E" w:rsidP="0094362E">
      <w:pPr>
        <w:widowControl w:val="0"/>
        <w:ind w:left="851" w:right="851"/>
        <w:jc w:val="both"/>
        <w:textAlignment w:val="baseline"/>
        <w:rPr>
          <w:rFonts w:ascii="Abadi" w:hAnsi="Abadi" w:cs="Arial"/>
          <w:i/>
          <w:iCs/>
          <w:sz w:val="21"/>
          <w:szCs w:val="21"/>
          <w:lang w:val="es-MX" w:eastAsia="es-MX"/>
        </w:rPr>
      </w:pPr>
    </w:p>
    <w:p w14:paraId="29BA3A55" w14:textId="77777777" w:rsidR="0094362E" w:rsidRPr="0094362E" w:rsidRDefault="0094362E" w:rsidP="0094362E">
      <w:pPr>
        <w:widowControl w:val="0"/>
        <w:ind w:left="851" w:right="851"/>
        <w:jc w:val="both"/>
        <w:textAlignment w:val="baseline"/>
        <w:rPr>
          <w:rFonts w:ascii="Abadi" w:hAnsi="Abadi" w:cs="Arial"/>
          <w:i/>
          <w:iCs/>
          <w:sz w:val="21"/>
          <w:szCs w:val="21"/>
          <w:lang w:val="es-MX" w:eastAsia="es-MX"/>
        </w:rPr>
      </w:pPr>
      <w:r w:rsidRPr="0094362E">
        <w:rPr>
          <w:rFonts w:ascii="Abadi" w:hAnsi="Abadi" w:cs="Arial"/>
          <w:i/>
          <w:iCs/>
          <w:sz w:val="21"/>
          <w:szCs w:val="21"/>
          <w:lang w:val="es-MX" w:eastAsia="es-MX"/>
        </w:rPr>
        <w:t>De acuerdo a estas especialidades de perros de asistencia, el Centro Integral Educando y Asistiendo con Animales de Compañía A.C. con siglas CIEdAAC estamos formando un perro de asistencia para discapacidad motriz para un usuario residente de la ciudad de León, Guanajuato, quien se convertirá al termino de su formación en el primer perro de asistencia de la ciudad.</w:t>
      </w:r>
    </w:p>
    <w:p w14:paraId="685C8C51" w14:textId="77777777" w:rsidR="0094362E" w:rsidRPr="0094362E" w:rsidRDefault="0094362E" w:rsidP="0094362E">
      <w:pPr>
        <w:widowControl w:val="0"/>
        <w:ind w:left="851" w:right="851"/>
        <w:jc w:val="both"/>
        <w:textAlignment w:val="baseline"/>
        <w:rPr>
          <w:rFonts w:ascii="Abadi" w:hAnsi="Abadi" w:cs="Arial"/>
          <w:i/>
          <w:iCs/>
          <w:sz w:val="21"/>
          <w:szCs w:val="21"/>
          <w:lang w:val="es-MX" w:eastAsia="es-MX"/>
        </w:rPr>
      </w:pPr>
    </w:p>
    <w:p w14:paraId="417FFD88" w14:textId="77777777" w:rsidR="0094362E" w:rsidRPr="0094362E" w:rsidRDefault="0094362E" w:rsidP="0094362E">
      <w:pPr>
        <w:widowControl w:val="0"/>
        <w:ind w:left="851" w:right="851"/>
        <w:jc w:val="both"/>
        <w:textAlignment w:val="baseline"/>
        <w:rPr>
          <w:rFonts w:ascii="Abadi" w:hAnsi="Abadi" w:cs="Arial"/>
          <w:i/>
          <w:iCs/>
          <w:sz w:val="21"/>
          <w:szCs w:val="21"/>
          <w:lang w:val="es-MX" w:eastAsia="es-MX"/>
        </w:rPr>
      </w:pPr>
      <w:r w:rsidRPr="0094362E">
        <w:rPr>
          <w:rFonts w:ascii="Abadi" w:hAnsi="Abadi" w:cs="Arial"/>
          <w:i/>
          <w:iCs/>
          <w:sz w:val="21"/>
          <w:szCs w:val="21"/>
          <w:lang w:val="es-MX" w:eastAsia="es-MX"/>
        </w:rPr>
        <w:t>Por tratarse de normas dirigidas a fomentar una mayor inclusión de las personas con discapacidad se propone insertar estas adecuaciones dentro de la LEY PARA LA INCLUSIÓN Y DESARROLLO DE LAS PERSONAS CON DISCAPACIDAD DEL ESTADO DE GUANAJUATO, cuyo objetivo es garantizar la integración de las personas con discapacidad a la sociedad guanajuatense y resguardar el pleno ejercicio de los derechos que la Constitución mexicana y el resto de códigos que conforman el andamiaje legal reconocen a todas las personas.</w:t>
      </w:r>
    </w:p>
    <w:p w14:paraId="662E18C7" w14:textId="77777777" w:rsidR="0094362E" w:rsidRPr="0094362E" w:rsidRDefault="0094362E" w:rsidP="0094362E">
      <w:pPr>
        <w:widowControl w:val="0"/>
        <w:ind w:left="851" w:right="851"/>
        <w:jc w:val="both"/>
        <w:textAlignment w:val="baseline"/>
        <w:rPr>
          <w:rFonts w:ascii="Abadi" w:hAnsi="Abadi" w:cs="Arial"/>
          <w:i/>
          <w:iCs/>
          <w:sz w:val="21"/>
          <w:szCs w:val="21"/>
          <w:lang w:val="es-MX" w:eastAsia="es-MX"/>
        </w:rPr>
      </w:pPr>
    </w:p>
    <w:p w14:paraId="11798A59" w14:textId="77777777" w:rsidR="0094362E" w:rsidRPr="0094362E" w:rsidRDefault="0094362E" w:rsidP="0094362E">
      <w:pPr>
        <w:widowControl w:val="0"/>
        <w:ind w:left="851" w:right="851"/>
        <w:jc w:val="both"/>
        <w:textAlignment w:val="baseline"/>
        <w:rPr>
          <w:rFonts w:ascii="Abadi" w:hAnsi="Abadi" w:cs="Arial"/>
          <w:i/>
          <w:iCs/>
          <w:sz w:val="21"/>
          <w:szCs w:val="21"/>
          <w:lang w:val="es-MX" w:eastAsia="es-MX"/>
        </w:rPr>
      </w:pPr>
      <w:r w:rsidRPr="0094362E">
        <w:rPr>
          <w:rFonts w:ascii="Abadi" w:hAnsi="Abadi" w:cs="Arial"/>
          <w:i/>
          <w:iCs/>
          <w:sz w:val="21"/>
          <w:szCs w:val="21"/>
          <w:lang w:val="es-MX" w:eastAsia="es-MX"/>
        </w:rPr>
        <w:t>Exposición de motivos:</w:t>
      </w:r>
    </w:p>
    <w:p w14:paraId="7EBD3C10" w14:textId="77777777" w:rsidR="0094362E" w:rsidRPr="0094362E" w:rsidRDefault="0094362E" w:rsidP="0094362E">
      <w:pPr>
        <w:widowControl w:val="0"/>
        <w:ind w:left="851" w:right="851"/>
        <w:jc w:val="both"/>
        <w:textAlignment w:val="baseline"/>
        <w:rPr>
          <w:rFonts w:ascii="Abadi" w:hAnsi="Abadi" w:cs="Arial"/>
          <w:i/>
          <w:iCs/>
          <w:sz w:val="21"/>
          <w:szCs w:val="21"/>
          <w:lang w:val="es-MX" w:eastAsia="es-MX"/>
        </w:rPr>
      </w:pPr>
    </w:p>
    <w:p w14:paraId="3CB639CF" w14:textId="77777777" w:rsidR="0094362E" w:rsidRPr="0094362E" w:rsidRDefault="0094362E" w:rsidP="0094362E">
      <w:pPr>
        <w:widowControl w:val="0"/>
        <w:ind w:left="851" w:right="851"/>
        <w:jc w:val="both"/>
        <w:textAlignment w:val="baseline"/>
        <w:rPr>
          <w:rFonts w:ascii="Abadi" w:hAnsi="Abadi" w:cs="Arial"/>
          <w:i/>
          <w:iCs/>
          <w:sz w:val="21"/>
          <w:szCs w:val="21"/>
          <w:lang w:val="es-MX" w:eastAsia="es-MX"/>
        </w:rPr>
      </w:pPr>
      <w:r w:rsidRPr="0094362E">
        <w:rPr>
          <w:rFonts w:ascii="Abadi" w:hAnsi="Abadi" w:cs="Arial"/>
          <w:i/>
          <w:iCs/>
          <w:sz w:val="21"/>
          <w:szCs w:val="21"/>
          <w:lang w:val="es-MX" w:eastAsia="es-MX"/>
        </w:rPr>
        <w:t>Está científicamente comprobado</w:t>
      </w:r>
      <w:r w:rsidRPr="0094362E">
        <w:rPr>
          <w:rFonts w:ascii="Abadi" w:hAnsi="Abadi" w:cs="Arial"/>
          <w:i/>
          <w:iCs/>
          <w:sz w:val="21"/>
          <w:szCs w:val="21"/>
          <w:vertAlign w:val="superscript"/>
          <w:lang w:val="es-MX" w:eastAsia="es-MX"/>
        </w:rPr>
        <w:footnoteReference w:id="74"/>
      </w:r>
      <w:r w:rsidRPr="0094362E">
        <w:rPr>
          <w:rFonts w:ascii="Abadi" w:hAnsi="Abadi" w:cs="Arial"/>
          <w:i/>
          <w:iCs/>
          <w:sz w:val="21"/>
          <w:szCs w:val="21"/>
          <w:lang w:val="es-MX" w:eastAsia="es-MX"/>
        </w:rPr>
        <w:t xml:space="preserve"> que el apoyo de los perros de asistencia otorga beneficios medibles tanto en la movilidad de las personas con discapacidad -lo que redunda en una mayor oportunidad de inclusión social- como en la calidad de vida en los ámbitos privado y emocional del usuario.</w:t>
      </w:r>
    </w:p>
    <w:p w14:paraId="35D487C0" w14:textId="77777777" w:rsidR="0094362E" w:rsidRPr="0094362E" w:rsidRDefault="0094362E" w:rsidP="0094362E">
      <w:pPr>
        <w:widowControl w:val="0"/>
        <w:ind w:left="851" w:right="851"/>
        <w:jc w:val="both"/>
        <w:textAlignment w:val="baseline"/>
        <w:rPr>
          <w:rFonts w:ascii="Abadi" w:hAnsi="Abadi" w:cs="Arial"/>
          <w:i/>
          <w:iCs/>
          <w:sz w:val="21"/>
          <w:szCs w:val="21"/>
          <w:lang w:val="es-MX" w:eastAsia="es-MX"/>
        </w:rPr>
      </w:pPr>
    </w:p>
    <w:p w14:paraId="3568AA84" w14:textId="77777777" w:rsidR="0094362E" w:rsidRPr="0094362E" w:rsidRDefault="0094362E" w:rsidP="0094362E">
      <w:pPr>
        <w:widowControl w:val="0"/>
        <w:ind w:left="851" w:right="851"/>
        <w:jc w:val="both"/>
        <w:textAlignment w:val="baseline"/>
        <w:rPr>
          <w:rFonts w:ascii="Abadi" w:hAnsi="Abadi" w:cs="Arial"/>
          <w:i/>
          <w:iCs/>
          <w:sz w:val="21"/>
          <w:szCs w:val="21"/>
          <w:lang w:val="es-MX" w:eastAsia="es-MX"/>
        </w:rPr>
      </w:pPr>
      <w:r w:rsidRPr="0094362E">
        <w:rPr>
          <w:rFonts w:ascii="Abadi" w:hAnsi="Abadi" w:cs="Arial"/>
          <w:i/>
          <w:iCs/>
          <w:sz w:val="21"/>
          <w:szCs w:val="21"/>
          <w:lang w:val="es-MX" w:eastAsia="es-MX"/>
        </w:rPr>
        <w:t>La normatividad internacional</w:t>
      </w:r>
      <w:r w:rsidRPr="0094362E">
        <w:rPr>
          <w:rFonts w:ascii="Abadi" w:hAnsi="Abadi" w:cs="Arial"/>
          <w:i/>
          <w:iCs/>
          <w:sz w:val="21"/>
          <w:szCs w:val="21"/>
          <w:vertAlign w:val="superscript"/>
          <w:lang w:val="es-MX" w:eastAsia="es-MX"/>
        </w:rPr>
        <w:footnoteReference w:id="75"/>
      </w:r>
      <w:r w:rsidRPr="0094362E">
        <w:rPr>
          <w:rFonts w:ascii="Abadi" w:hAnsi="Abadi" w:cs="Arial"/>
          <w:i/>
          <w:iCs/>
          <w:sz w:val="21"/>
          <w:szCs w:val="21"/>
          <w:lang w:val="es-MX" w:eastAsia="es-MX"/>
        </w:rPr>
        <w:t xml:space="preserve"> establece el término PERROS DE ASISTENCIA para englobar las cinco especialidades que conforman esta modalidad del entrenamiento canino. A su vez, determina la nomenclatura de estas especialidades. Los cuales actualmente están fuera de la LEY PARA LA INCLUSIÓN Y DESARROLLO DE LAS PERSONAS CON DISCAPACIDAD DEL ESTADO DE GUANAJUATO.</w:t>
      </w:r>
    </w:p>
    <w:p w14:paraId="0B6254A9" w14:textId="77777777" w:rsidR="0094362E" w:rsidRPr="0094362E" w:rsidRDefault="0094362E" w:rsidP="0094362E">
      <w:pPr>
        <w:widowControl w:val="0"/>
        <w:ind w:left="851" w:right="851"/>
        <w:jc w:val="both"/>
        <w:textAlignment w:val="baseline"/>
        <w:rPr>
          <w:rFonts w:ascii="Abadi" w:hAnsi="Abadi" w:cs="Arial"/>
          <w:i/>
          <w:iCs/>
          <w:sz w:val="21"/>
          <w:szCs w:val="21"/>
          <w:lang w:val="es-MX" w:eastAsia="es-MX"/>
        </w:rPr>
      </w:pPr>
    </w:p>
    <w:p w14:paraId="56568E8A" w14:textId="77777777" w:rsidR="0094362E" w:rsidRPr="0094362E" w:rsidRDefault="0094362E" w:rsidP="0094362E">
      <w:pPr>
        <w:widowControl w:val="0"/>
        <w:ind w:left="851" w:right="851"/>
        <w:jc w:val="both"/>
        <w:textAlignment w:val="baseline"/>
        <w:rPr>
          <w:rFonts w:ascii="Abadi" w:hAnsi="Abadi" w:cs="Arial"/>
          <w:i/>
          <w:iCs/>
          <w:sz w:val="21"/>
          <w:szCs w:val="21"/>
          <w:lang w:val="es-MX" w:eastAsia="es-MX"/>
        </w:rPr>
      </w:pPr>
      <w:r w:rsidRPr="0094362E">
        <w:rPr>
          <w:rFonts w:ascii="Abadi" w:hAnsi="Abadi" w:cs="Arial"/>
          <w:i/>
          <w:iCs/>
          <w:sz w:val="21"/>
          <w:szCs w:val="21"/>
          <w:lang w:val="es-MX" w:eastAsia="es-MX"/>
        </w:rPr>
        <w:t>Si se pretende legislar una Ley que contemple la accesibilidad de los perros de asistencia debe considerarse las normativas y protocolos internacionales para una mayor efectividad de la función asistencial de los perros de asistencia en favor de las personas con discapacidad o alguna condición médica.</w:t>
      </w:r>
    </w:p>
    <w:p w14:paraId="51A73859" w14:textId="77777777" w:rsidR="0094362E" w:rsidRPr="0094362E" w:rsidRDefault="0094362E" w:rsidP="0094362E">
      <w:pPr>
        <w:widowControl w:val="0"/>
        <w:ind w:left="851" w:right="851"/>
        <w:jc w:val="both"/>
        <w:textAlignment w:val="baseline"/>
        <w:rPr>
          <w:rFonts w:ascii="Abadi" w:hAnsi="Abadi" w:cs="Arial"/>
          <w:i/>
          <w:iCs/>
          <w:sz w:val="21"/>
          <w:szCs w:val="21"/>
          <w:lang w:val="es-MX" w:eastAsia="es-MX"/>
        </w:rPr>
      </w:pPr>
    </w:p>
    <w:p w14:paraId="17297D9C" w14:textId="77777777" w:rsidR="0094362E" w:rsidRPr="0094362E" w:rsidRDefault="0094362E" w:rsidP="0094362E">
      <w:pPr>
        <w:widowControl w:val="0"/>
        <w:ind w:left="851" w:right="851"/>
        <w:jc w:val="both"/>
        <w:textAlignment w:val="baseline"/>
        <w:rPr>
          <w:rFonts w:ascii="Abadi" w:hAnsi="Abadi" w:cs="Arial"/>
          <w:i/>
          <w:iCs/>
          <w:sz w:val="21"/>
          <w:szCs w:val="21"/>
          <w:lang w:val="es-MX" w:eastAsia="es-MX"/>
        </w:rPr>
      </w:pPr>
      <w:r w:rsidRPr="0094362E">
        <w:rPr>
          <w:rFonts w:ascii="Abadi" w:hAnsi="Abadi" w:cs="Arial"/>
          <w:i/>
          <w:iCs/>
          <w:sz w:val="21"/>
          <w:szCs w:val="21"/>
          <w:lang w:val="es-MX" w:eastAsia="es-MX"/>
        </w:rPr>
        <w:t>Se enlistan a continuación:</w:t>
      </w:r>
    </w:p>
    <w:p w14:paraId="2DC483E5" w14:textId="77777777" w:rsidR="0094362E" w:rsidRPr="0094362E" w:rsidRDefault="0094362E" w:rsidP="0094362E">
      <w:pPr>
        <w:widowControl w:val="0"/>
        <w:ind w:left="851" w:right="851"/>
        <w:jc w:val="both"/>
        <w:textAlignment w:val="baseline"/>
        <w:rPr>
          <w:rFonts w:ascii="Abadi" w:hAnsi="Abadi" w:cs="Arial"/>
          <w:i/>
          <w:iCs/>
          <w:sz w:val="21"/>
          <w:szCs w:val="21"/>
          <w:lang w:val="es-MX" w:eastAsia="es-MX"/>
        </w:rPr>
      </w:pPr>
    </w:p>
    <w:p w14:paraId="6704A0D6" w14:textId="77777777" w:rsidR="0094362E" w:rsidRPr="0094362E" w:rsidRDefault="0094362E" w:rsidP="0094362E">
      <w:pPr>
        <w:widowControl w:val="0"/>
        <w:ind w:left="851" w:right="851"/>
        <w:jc w:val="both"/>
        <w:textAlignment w:val="baseline"/>
        <w:rPr>
          <w:rFonts w:ascii="Abadi" w:hAnsi="Abadi" w:cs="Arial"/>
          <w:i/>
          <w:iCs/>
          <w:sz w:val="21"/>
          <w:szCs w:val="21"/>
          <w:lang w:val="es-MX" w:eastAsia="es-MX"/>
        </w:rPr>
      </w:pPr>
      <w:r w:rsidRPr="0094362E">
        <w:rPr>
          <w:rFonts w:ascii="Abadi" w:hAnsi="Abadi" w:cs="Arial"/>
          <w:i/>
          <w:iCs/>
          <w:sz w:val="21"/>
          <w:szCs w:val="21"/>
          <w:lang w:val="es-MX" w:eastAsia="es-MX"/>
        </w:rPr>
        <w:t>-Perro guía: formado para la asistencia de personas ciegas o con debilidad visual.</w:t>
      </w:r>
    </w:p>
    <w:p w14:paraId="379B17DF" w14:textId="77777777" w:rsidR="0094362E" w:rsidRPr="0094362E" w:rsidRDefault="0094362E" w:rsidP="0094362E">
      <w:pPr>
        <w:widowControl w:val="0"/>
        <w:ind w:left="851" w:right="851"/>
        <w:jc w:val="both"/>
        <w:textAlignment w:val="baseline"/>
        <w:rPr>
          <w:rFonts w:ascii="Abadi" w:hAnsi="Abadi" w:cs="Arial"/>
          <w:i/>
          <w:iCs/>
          <w:sz w:val="21"/>
          <w:szCs w:val="21"/>
          <w:lang w:val="es-MX" w:eastAsia="es-MX"/>
        </w:rPr>
      </w:pPr>
    </w:p>
    <w:p w14:paraId="53EF8F97" w14:textId="77777777" w:rsidR="0094362E" w:rsidRPr="0094362E" w:rsidRDefault="0094362E" w:rsidP="0094362E">
      <w:pPr>
        <w:widowControl w:val="0"/>
        <w:ind w:left="851" w:right="851"/>
        <w:jc w:val="both"/>
        <w:textAlignment w:val="baseline"/>
        <w:rPr>
          <w:rFonts w:ascii="Abadi" w:hAnsi="Abadi" w:cs="Arial"/>
          <w:i/>
          <w:iCs/>
          <w:sz w:val="21"/>
          <w:szCs w:val="21"/>
          <w:lang w:val="es-MX" w:eastAsia="es-MX"/>
        </w:rPr>
      </w:pPr>
      <w:r w:rsidRPr="0094362E">
        <w:rPr>
          <w:rFonts w:ascii="Abadi" w:hAnsi="Abadi" w:cs="Arial"/>
          <w:i/>
          <w:iCs/>
          <w:sz w:val="21"/>
          <w:szCs w:val="21"/>
          <w:lang w:val="es-MX" w:eastAsia="es-MX"/>
        </w:rPr>
        <w:t xml:space="preserve">-Perro de alerta médica: formado para asistir a personas con diabetes mellitus tipo 1 DM1, epilepsia o alguna otra condición médica que lo requiera. </w:t>
      </w:r>
    </w:p>
    <w:p w14:paraId="28647BEF" w14:textId="77777777" w:rsidR="0094362E" w:rsidRPr="0094362E" w:rsidRDefault="0094362E" w:rsidP="0094362E">
      <w:pPr>
        <w:widowControl w:val="0"/>
        <w:ind w:left="851" w:right="851"/>
        <w:jc w:val="both"/>
        <w:textAlignment w:val="baseline"/>
        <w:rPr>
          <w:rFonts w:ascii="Abadi" w:hAnsi="Abadi" w:cs="Arial"/>
          <w:i/>
          <w:iCs/>
          <w:sz w:val="21"/>
          <w:szCs w:val="21"/>
          <w:lang w:val="es-MX" w:eastAsia="es-MX"/>
        </w:rPr>
      </w:pPr>
    </w:p>
    <w:p w14:paraId="31F33EC4" w14:textId="77777777" w:rsidR="0094362E" w:rsidRPr="0094362E" w:rsidRDefault="0094362E" w:rsidP="0094362E">
      <w:pPr>
        <w:widowControl w:val="0"/>
        <w:ind w:left="851" w:right="851"/>
        <w:jc w:val="both"/>
        <w:textAlignment w:val="baseline"/>
        <w:rPr>
          <w:rFonts w:ascii="Abadi" w:hAnsi="Abadi" w:cs="Arial"/>
          <w:i/>
          <w:iCs/>
          <w:sz w:val="21"/>
          <w:szCs w:val="21"/>
          <w:lang w:val="es-MX" w:eastAsia="es-MX"/>
        </w:rPr>
      </w:pPr>
      <w:r w:rsidRPr="0094362E">
        <w:rPr>
          <w:rFonts w:ascii="Abadi" w:hAnsi="Abadi" w:cs="Arial"/>
          <w:i/>
          <w:iCs/>
          <w:sz w:val="21"/>
          <w:szCs w:val="21"/>
          <w:lang w:val="es-MX" w:eastAsia="es-MX"/>
        </w:rPr>
        <w:t>-Perro señal: formado para asistir a personas sordas o con algún grado de sordera.</w:t>
      </w:r>
    </w:p>
    <w:p w14:paraId="5BBBAEDB" w14:textId="77777777" w:rsidR="0094362E" w:rsidRPr="0094362E" w:rsidRDefault="0094362E" w:rsidP="0094362E">
      <w:pPr>
        <w:widowControl w:val="0"/>
        <w:ind w:left="851" w:right="851"/>
        <w:jc w:val="both"/>
        <w:textAlignment w:val="baseline"/>
        <w:rPr>
          <w:rFonts w:ascii="Abadi" w:hAnsi="Abadi" w:cs="Arial"/>
          <w:i/>
          <w:iCs/>
          <w:sz w:val="21"/>
          <w:szCs w:val="21"/>
          <w:lang w:val="es-MX" w:eastAsia="es-MX"/>
        </w:rPr>
      </w:pPr>
    </w:p>
    <w:p w14:paraId="4A2FF69A" w14:textId="77777777" w:rsidR="0094362E" w:rsidRPr="0094362E" w:rsidRDefault="0094362E" w:rsidP="0094362E">
      <w:pPr>
        <w:widowControl w:val="0"/>
        <w:ind w:left="851" w:right="851"/>
        <w:jc w:val="both"/>
        <w:textAlignment w:val="baseline"/>
        <w:rPr>
          <w:rFonts w:ascii="Abadi" w:hAnsi="Abadi" w:cs="Arial"/>
          <w:i/>
          <w:iCs/>
          <w:sz w:val="21"/>
          <w:szCs w:val="21"/>
          <w:lang w:val="es-MX" w:eastAsia="es-MX"/>
        </w:rPr>
      </w:pPr>
    </w:p>
    <w:p w14:paraId="2D145321" w14:textId="77777777" w:rsidR="0094362E" w:rsidRPr="0094362E" w:rsidRDefault="0094362E" w:rsidP="0094362E">
      <w:pPr>
        <w:widowControl w:val="0"/>
        <w:ind w:left="851" w:right="851"/>
        <w:jc w:val="both"/>
        <w:textAlignment w:val="baseline"/>
        <w:rPr>
          <w:rFonts w:ascii="Abadi" w:hAnsi="Abadi" w:cs="Arial"/>
          <w:i/>
          <w:iCs/>
          <w:sz w:val="21"/>
          <w:szCs w:val="21"/>
          <w:lang w:val="es-MX" w:eastAsia="es-MX"/>
        </w:rPr>
      </w:pPr>
      <w:r w:rsidRPr="0094362E">
        <w:rPr>
          <w:rFonts w:ascii="Abadi" w:hAnsi="Abadi" w:cs="Arial"/>
          <w:i/>
          <w:iCs/>
          <w:sz w:val="21"/>
          <w:szCs w:val="21"/>
          <w:lang w:val="es-MX" w:eastAsia="es-MX"/>
        </w:rPr>
        <w:t>-Perro de asistencia para personas con trastorno del espectro autista TEA</w:t>
      </w:r>
    </w:p>
    <w:p w14:paraId="7FC5E304" w14:textId="77777777" w:rsidR="0094362E" w:rsidRPr="0094362E" w:rsidRDefault="0094362E" w:rsidP="0094362E">
      <w:pPr>
        <w:widowControl w:val="0"/>
        <w:ind w:left="851" w:right="851"/>
        <w:jc w:val="both"/>
        <w:textAlignment w:val="baseline"/>
        <w:rPr>
          <w:rFonts w:ascii="Abadi" w:hAnsi="Abadi" w:cs="Arial"/>
          <w:i/>
          <w:iCs/>
          <w:sz w:val="21"/>
          <w:szCs w:val="21"/>
          <w:lang w:val="es-MX" w:eastAsia="es-MX"/>
        </w:rPr>
      </w:pPr>
    </w:p>
    <w:p w14:paraId="65A2FBF9" w14:textId="77777777" w:rsidR="0094362E" w:rsidRPr="0094362E" w:rsidRDefault="0094362E" w:rsidP="0094362E">
      <w:pPr>
        <w:widowControl w:val="0"/>
        <w:ind w:left="851" w:right="851"/>
        <w:jc w:val="both"/>
        <w:textAlignment w:val="baseline"/>
        <w:rPr>
          <w:rFonts w:ascii="Abadi" w:hAnsi="Abadi" w:cs="Arial"/>
          <w:i/>
          <w:iCs/>
          <w:sz w:val="21"/>
          <w:szCs w:val="21"/>
          <w:lang w:val="es-MX" w:eastAsia="es-MX"/>
        </w:rPr>
      </w:pPr>
      <w:r w:rsidRPr="0094362E">
        <w:rPr>
          <w:rFonts w:ascii="Abadi" w:hAnsi="Abadi" w:cs="Arial"/>
          <w:i/>
          <w:iCs/>
          <w:sz w:val="21"/>
          <w:szCs w:val="21"/>
          <w:lang w:val="es-MX" w:eastAsia="es-MX"/>
        </w:rPr>
        <w:t>-Perro de asistencia para personas con discapacidad motriz o movilidad reducida.</w:t>
      </w:r>
    </w:p>
    <w:p w14:paraId="38A97279" w14:textId="77777777" w:rsidR="0094362E" w:rsidRPr="0094362E" w:rsidRDefault="0094362E" w:rsidP="0094362E">
      <w:pPr>
        <w:widowControl w:val="0"/>
        <w:ind w:left="851" w:right="851"/>
        <w:jc w:val="both"/>
        <w:textAlignment w:val="baseline"/>
        <w:rPr>
          <w:rFonts w:ascii="Abadi" w:hAnsi="Abadi" w:cs="Arial"/>
          <w:i/>
          <w:iCs/>
          <w:sz w:val="21"/>
          <w:szCs w:val="21"/>
          <w:lang w:val="es-MX" w:eastAsia="es-MX"/>
        </w:rPr>
      </w:pPr>
    </w:p>
    <w:p w14:paraId="57995ED4" w14:textId="77777777" w:rsidR="0094362E" w:rsidRPr="0094362E" w:rsidRDefault="0094362E" w:rsidP="0094362E">
      <w:pPr>
        <w:widowControl w:val="0"/>
        <w:ind w:left="851" w:right="851"/>
        <w:jc w:val="both"/>
        <w:textAlignment w:val="baseline"/>
        <w:rPr>
          <w:rFonts w:ascii="Abadi" w:hAnsi="Abadi" w:cs="Arial"/>
          <w:i/>
          <w:iCs/>
          <w:sz w:val="21"/>
          <w:szCs w:val="21"/>
          <w:lang w:val="es-MX" w:eastAsia="es-MX"/>
        </w:rPr>
      </w:pPr>
      <w:r w:rsidRPr="0094362E">
        <w:rPr>
          <w:rFonts w:ascii="Abadi" w:hAnsi="Abadi" w:cs="Arial"/>
          <w:i/>
          <w:iCs/>
          <w:sz w:val="21"/>
          <w:szCs w:val="21"/>
          <w:lang w:val="es-MX" w:eastAsia="es-MX"/>
        </w:rPr>
        <w:t>Adicionalmente, para fines de operatividad de la ley, resulta reducida la utilización del término PERROS GUÍA Y DE ASISTENCIA MÉDICA, puesto que deja abierta la posibilidad de que un usuario de un perro de Asistencia para Discapacidad Motriz, como Sofia nuestra futura usuario, sea discriminado al no tener cabida dentro de los perros mencionados en la propuesta de ley presentada.</w:t>
      </w:r>
    </w:p>
    <w:p w14:paraId="31D7C0CF" w14:textId="77777777" w:rsidR="0094362E" w:rsidRPr="0094362E" w:rsidRDefault="0094362E" w:rsidP="0094362E">
      <w:pPr>
        <w:widowControl w:val="0"/>
        <w:ind w:left="851" w:right="851"/>
        <w:jc w:val="both"/>
        <w:textAlignment w:val="baseline"/>
        <w:rPr>
          <w:rFonts w:ascii="Abadi" w:hAnsi="Abadi" w:cs="Arial"/>
          <w:i/>
          <w:iCs/>
          <w:sz w:val="21"/>
          <w:szCs w:val="21"/>
          <w:lang w:val="es-MX" w:eastAsia="es-MX"/>
        </w:rPr>
      </w:pPr>
    </w:p>
    <w:p w14:paraId="3D0C9E37" w14:textId="77777777" w:rsidR="0094362E" w:rsidRPr="0094362E" w:rsidRDefault="0094362E" w:rsidP="0094362E">
      <w:pPr>
        <w:widowControl w:val="0"/>
        <w:ind w:left="851" w:right="851"/>
        <w:jc w:val="both"/>
        <w:textAlignment w:val="baseline"/>
        <w:rPr>
          <w:rFonts w:ascii="Abadi" w:hAnsi="Abadi" w:cs="Arial"/>
          <w:i/>
          <w:iCs/>
          <w:sz w:val="21"/>
          <w:szCs w:val="21"/>
          <w:lang w:val="es-MX" w:eastAsia="es-MX"/>
        </w:rPr>
      </w:pPr>
      <w:r w:rsidRPr="0094362E">
        <w:rPr>
          <w:rFonts w:ascii="Abadi" w:hAnsi="Abadi" w:cs="Arial"/>
          <w:i/>
          <w:iCs/>
          <w:sz w:val="21"/>
          <w:szCs w:val="21"/>
          <w:lang w:val="es-MX" w:eastAsia="es-MX"/>
        </w:rPr>
        <w:t>Por todo ello, es importante que la terminología utilizada en la legislación estatal se encuentre empatada con los parámetros internacionales en cuanto a la nomenclatura que nos ocupa, cambiando el termino ANIMALES DE SERVICIO, PERRO GUÍA O ASISTENCIA MÉDICA por PERRO DE ASISTENCIA. Contemplando en este concepto las 5 especialidades.</w:t>
      </w:r>
    </w:p>
    <w:p w14:paraId="281E75BB" w14:textId="77777777" w:rsidR="0094362E" w:rsidRPr="0094362E" w:rsidRDefault="0094362E" w:rsidP="0094362E">
      <w:pPr>
        <w:widowControl w:val="0"/>
        <w:ind w:left="851" w:right="851"/>
        <w:jc w:val="both"/>
        <w:textAlignment w:val="baseline"/>
        <w:rPr>
          <w:rFonts w:ascii="Abadi" w:hAnsi="Abadi" w:cs="Arial"/>
          <w:i/>
          <w:iCs/>
          <w:sz w:val="21"/>
          <w:szCs w:val="21"/>
          <w:lang w:val="es-MX" w:eastAsia="es-MX"/>
        </w:rPr>
      </w:pPr>
    </w:p>
    <w:p w14:paraId="339740EE" w14:textId="77777777" w:rsidR="0094362E" w:rsidRPr="0094362E" w:rsidRDefault="0094362E" w:rsidP="0094362E">
      <w:pPr>
        <w:widowControl w:val="0"/>
        <w:ind w:left="851" w:right="851"/>
        <w:jc w:val="both"/>
        <w:textAlignment w:val="baseline"/>
        <w:rPr>
          <w:rFonts w:ascii="Abadi" w:hAnsi="Abadi" w:cs="Arial"/>
          <w:i/>
          <w:iCs/>
          <w:sz w:val="21"/>
          <w:szCs w:val="21"/>
          <w:lang w:val="es-MX" w:eastAsia="es-MX"/>
        </w:rPr>
      </w:pPr>
      <w:r w:rsidRPr="0094362E">
        <w:rPr>
          <w:rFonts w:ascii="Abadi" w:hAnsi="Abadi" w:cs="Arial"/>
          <w:i/>
          <w:iCs/>
          <w:sz w:val="21"/>
          <w:szCs w:val="21"/>
          <w:lang w:val="es-MX" w:eastAsia="es-MX"/>
        </w:rPr>
        <w:t>En relación con el término para describir la preparación del perro de asistencia, en la propuesta de ley se utiliza la palabra “adiestramiento”, lo que pudiera interpretarse como una preparación limitada a las acciones por reflejo del perro. Se propone como un concepto más adecuado y completo hablar de “formación”, por reflejar una preparación más integral, que incluye los aspectos físico y emocional, habiendo sido comprobado por la ciencia que los canes cuentan con sistema límbico, por lo que tienen emociones primarias.</w:t>
      </w:r>
    </w:p>
    <w:p w14:paraId="4CA2B491" w14:textId="77777777" w:rsidR="0094362E" w:rsidRPr="0094362E" w:rsidRDefault="0094362E" w:rsidP="0094362E">
      <w:pPr>
        <w:widowControl w:val="0"/>
        <w:ind w:left="851" w:right="851"/>
        <w:jc w:val="both"/>
        <w:textAlignment w:val="baseline"/>
        <w:rPr>
          <w:rFonts w:ascii="Abadi" w:hAnsi="Abadi" w:cs="Arial"/>
          <w:i/>
          <w:iCs/>
          <w:sz w:val="21"/>
          <w:szCs w:val="21"/>
          <w:lang w:val="es-MX" w:eastAsia="es-MX"/>
        </w:rPr>
      </w:pPr>
    </w:p>
    <w:p w14:paraId="18F5EACE" w14:textId="77777777" w:rsidR="0094362E" w:rsidRPr="0094362E" w:rsidRDefault="0094362E" w:rsidP="0094362E">
      <w:pPr>
        <w:widowControl w:val="0"/>
        <w:ind w:left="851" w:right="851"/>
        <w:jc w:val="both"/>
        <w:textAlignment w:val="baseline"/>
        <w:rPr>
          <w:rFonts w:ascii="Abadi" w:hAnsi="Abadi" w:cs="Arial"/>
          <w:i/>
          <w:iCs/>
          <w:sz w:val="21"/>
          <w:szCs w:val="21"/>
          <w:lang w:val="es-MX" w:eastAsia="es-MX"/>
        </w:rPr>
      </w:pPr>
      <w:r w:rsidRPr="0094362E">
        <w:rPr>
          <w:rFonts w:ascii="Abadi" w:hAnsi="Abadi" w:cs="Arial"/>
          <w:i/>
          <w:iCs/>
          <w:sz w:val="21"/>
          <w:szCs w:val="21"/>
          <w:lang w:val="es-MX" w:eastAsia="es-MX"/>
        </w:rPr>
        <w:t>Propuesta</w:t>
      </w:r>
    </w:p>
    <w:p w14:paraId="2D3DA94B" w14:textId="77777777" w:rsidR="0094362E" w:rsidRPr="0094362E" w:rsidRDefault="0094362E" w:rsidP="0094362E">
      <w:pPr>
        <w:widowControl w:val="0"/>
        <w:ind w:left="851" w:right="851"/>
        <w:jc w:val="both"/>
        <w:textAlignment w:val="baseline"/>
        <w:rPr>
          <w:rFonts w:ascii="Abadi" w:hAnsi="Abadi" w:cs="Arial"/>
          <w:i/>
          <w:iCs/>
          <w:sz w:val="21"/>
          <w:szCs w:val="21"/>
          <w:lang w:val="es-MX" w:eastAsia="es-MX"/>
        </w:rPr>
      </w:pPr>
    </w:p>
    <w:p w14:paraId="31946E86" w14:textId="77777777" w:rsidR="0094362E" w:rsidRPr="0094362E" w:rsidRDefault="0094362E" w:rsidP="0094362E">
      <w:pPr>
        <w:widowControl w:val="0"/>
        <w:ind w:left="851" w:right="851"/>
        <w:jc w:val="both"/>
        <w:textAlignment w:val="baseline"/>
        <w:rPr>
          <w:rFonts w:ascii="Abadi" w:hAnsi="Abadi" w:cs="Arial"/>
          <w:i/>
          <w:iCs/>
          <w:sz w:val="21"/>
          <w:szCs w:val="21"/>
          <w:lang w:val="es-MX" w:eastAsia="es-MX"/>
        </w:rPr>
      </w:pPr>
      <w:r w:rsidRPr="0094362E">
        <w:rPr>
          <w:rFonts w:ascii="Abadi" w:hAnsi="Abadi" w:cs="Arial"/>
          <w:i/>
          <w:iCs/>
          <w:sz w:val="21"/>
          <w:szCs w:val="21"/>
          <w:lang w:val="es-MX" w:eastAsia="es-MX"/>
        </w:rPr>
        <w:t>Realizar una modificación inclusiva desde las bases internacionales, y un reglamento adecuado al uso de perros de asistencia en sus 5 especialidades.</w:t>
      </w:r>
    </w:p>
    <w:p w14:paraId="2660E113" w14:textId="77777777" w:rsidR="0094362E" w:rsidRPr="0094362E" w:rsidRDefault="0094362E" w:rsidP="0094362E">
      <w:pPr>
        <w:widowControl w:val="0"/>
        <w:ind w:left="851" w:right="851"/>
        <w:jc w:val="both"/>
        <w:textAlignment w:val="baseline"/>
        <w:rPr>
          <w:rFonts w:ascii="Abadi" w:hAnsi="Abadi" w:cs="Arial"/>
          <w:i/>
          <w:iCs/>
          <w:sz w:val="21"/>
          <w:szCs w:val="21"/>
          <w:lang w:val="es-MX" w:eastAsia="es-MX"/>
        </w:rPr>
      </w:pPr>
    </w:p>
    <w:p w14:paraId="6DA759EF" w14:textId="77777777" w:rsidR="0094362E" w:rsidRPr="0094362E" w:rsidRDefault="0094362E" w:rsidP="0094362E">
      <w:pPr>
        <w:widowControl w:val="0"/>
        <w:ind w:left="851" w:right="851"/>
        <w:jc w:val="both"/>
        <w:textAlignment w:val="baseline"/>
        <w:rPr>
          <w:rFonts w:ascii="Abadi" w:hAnsi="Abadi" w:cs="Arial"/>
          <w:i/>
          <w:iCs/>
          <w:sz w:val="21"/>
          <w:szCs w:val="21"/>
          <w:lang w:val="es-MX" w:eastAsia="es-MX"/>
        </w:rPr>
      </w:pPr>
      <w:r w:rsidRPr="0094362E">
        <w:rPr>
          <w:rFonts w:ascii="Abadi" w:hAnsi="Abadi" w:cs="Arial"/>
          <w:i/>
          <w:iCs/>
          <w:sz w:val="21"/>
          <w:szCs w:val="21"/>
          <w:lang w:val="es-MX" w:eastAsia="es-MX"/>
        </w:rPr>
        <w:t>Difusión y educación de los organismos públicos y privados para conocer y respetar los derechos de los usuarios de perros de asistencia.</w:t>
      </w:r>
    </w:p>
    <w:p w14:paraId="48322354" w14:textId="77777777" w:rsidR="0094362E" w:rsidRPr="0094362E" w:rsidRDefault="0094362E" w:rsidP="0094362E">
      <w:pPr>
        <w:widowControl w:val="0"/>
        <w:spacing w:line="360" w:lineRule="auto"/>
        <w:jc w:val="both"/>
        <w:rPr>
          <w:rFonts w:ascii="Abadi" w:hAnsi="Abadi"/>
          <w:sz w:val="21"/>
          <w:szCs w:val="21"/>
          <w:lang w:val="es-MX" w:eastAsia="en-US"/>
        </w:rPr>
      </w:pPr>
    </w:p>
    <w:p w14:paraId="0B9C8F2E" w14:textId="77777777" w:rsidR="0094362E" w:rsidRPr="0094362E" w:rsidRDefault="0094362E" w:rsidP="007E6E2B">
      <w:pPr>
        <w:widowControl w:val="0"/>
        <w:ind w:firstLine="851"/>
        <w:jc w:val="both"/>
        <w:rPr>
          <w:rFonts w:ascii="Abadi" w:hAnsi="Abadi" w:cs="Arial"/>
          <w:b/>
          <w:sz w:val="21"/>
          <w:szCs w:val="21"/>
          <w:lang w:val="es-MX"/>
        </w:rPr>
      </w:pPr>
      <w:r w:rsidRPr="0094362E">
        <w:rPr>
          <w:rFonts w:ascii="Abadi" w:hAnsi="Abadi" w:cs="Arial"/>
          <w:b/>
          <w:sz w:val="21"/>
          <w:szCs w:val="21"/>
          <w:lang w:val="es-MX"/>
        </w:rPr>
        <w:t>CONSIDERACIONES DE LA COMISIÓN.</w:t>
      </w:r>
    </w:p>
    <w:p w14:paraId="102D9455" w14:textId="77777777" w:rsidR="0094362E" w:rsidRPr="0094362E" w:rsidRDefault="0094362E" w:rsidP="007E6E2B">
      <w:pPr>
        <w:widowControl w:val="0"/>
        <w:jc w:val="both"/>
        <w:rPr>
          <w:rFonts w:ascii="Abadi" w:hAnsi="Abadi" w:cs="Arial"/>
          <w:sz w:val="21"/>
          <w:szCs w:val="21"/>
          <w:lang w:val="es-MX"/>
        </w:rPr>
      </w:pPr>
    </w:p>
    <w:p w14:paraId="3FA03255" w14:textId="77777777" w:rsidR="0094362E" w:rsidRPr="0094362E" w:rsidRDefault="0094362E" w:rsidP="007E6E2B">
      <w:pPr>
        <w:widowControl w:val="0"/>
        <w:ind w:firstLine="851"/>
        <w:jc w:val="both"/>
        <w:rPr>
          <w:rFonts w:ascii="Abadi" w:hAnsi="Abadi" w:cs="Arial"/>
          <w:sz w:val="21"/>
          <w:szCs w:val="21"/>
          <w:lang w:val="es-MX"/>
        </w:rPr>
      </w:pPr>
      <w:r w:rsidRPr="0094362E">
        <w:rPr>
          <w:rFonts w:ascii="Abadi" w:hAnsi="Abadi" w:cs="Arial"/>
          <w:sz w:val="21"/>
          <w:szCs w:val="21"/>
          <w:lang w:val="es-MX"/>
        </w:rPr>
        <w:t xml:space="preserve">Esta comisión legislativa tiene competencia para el conocimiento y dictamen de los asuntos que </w:t>
      </w:r>
      <w:r w:rsidRPr="0094362E">
        <w:rPr>
          <w:rFonts w:ascii="Abadi" w:hAnsi="Abadi" w:cs="Arial"/>
          <w:i/>
          <w:iCs/>
          <w:sz w:val="21"/>
          <w:szCs w:val="21"/>
          <w:lang w:val="es-MX"/>
        </w:rPr>
        <w:t xml:space="preserve">se refieran a las iniciativas de ley o modificaciones, relacionadas con legislación en materia de derechos humanos y atención a grupos vulnerables </w:t>
      </w:r>
      <w:r w:rsidRPr="0094362E">
        <w:rPr>
          <w:rFonts w:ascii="Abadi" w:hAnsi="Abadi" w:cs="Arial"/>
          <w:sz w:val="21"/>
          <w:szCs w:val="21"/>
          <w:lang w:val="es-MX"/>
        </w:rPr>
        <w:t>(artículo 106 -fracción I- de la Ley Orgánica del Poder Legislativo del Estado de Guanajuato). Asimismo, se le asigna competencia para el conocimiento y dictamen de los asuntos análogos que a juicio de la presidencia del Congreso sean materia de tratamiento por esta Comisión. Con este último fundamento se turnó la iniciativa que nos ocupa.</w:t>
      </w:r>
    </w:p>
    <w:p w14:paraId="7FB7BC38" w14:textId="77777777" w:rsidR="0094362E" w:rsidRPr="0094362E" w:rsidRDefault="0094362E" w:rsidP="007E6E2B">
      <w:pPr>
        <w:widowControl w:val="0"/>
        <w:jc w:val="both"/>
        <w:rPr>
          <w:rFonts w:ascii="Abadi" w:hAnsi="Abadi" w:cs="Arial"/>
          <w:sz w:val="21"/>
          <w:szCs w:val="21"/>
          <w:lang w:val="es-MX"/>
        </w:rPr>
      </w:pPr>
    </w:p>
    <w:p w14:paraId="46BCAC46" w14:textId="77777777" w:rsidR="0094362E" w:rsidRPr="0094362E" w:rsidRDefault="0094362E" w:rsidP="007E6E2B">
      <w:pPr>
        <w:widowControl w:val="0"/>
        <w:ind w:firstLine="851"/>
        <w:jc w:val="both"/>
        <w:rPr>
          <w:rFonts w:ascii="Abadi" w:hAnsi="Abadi" w:cs="Arial"/>
          <w:sz w:val="21"/>
          <w:szCs w:val="21"/>
          <w:lang w:val="es-MX"/>
        </w:rPr>
      </w:pPr>
      <w:r w:rsidRPr="0094362E">
        <w:rPr>
          <w:rFonts w:ascii="Abadi" w:hAnsi="Abadi" w:cs="Arial"/>
          <w:sz w:val="21"/>
          <w:szCs w:val="21"/>
          <w:lang w:val="es-MX"/>
        </w:rPr>
        <w:t xml:space="preserve">Al realizar el análisis, advertimos que en los comentarios y observaciones formulados hay manifestaciones tanto a favor como en contra. Así se plasmó en los apartados correspondientes a las </w:t>
      </w:r>
      <w:r w:rsidRPr="0094362E">
        <w:rPr>
          <w:rFonts w:ascii="Abadi" w:hAnsi="Abadi" w:cs="Arial"/>
          <w:i/>
          <w:iCs/>
          <w:sz w:val="21"/>
          <w:szCs w:val="21"/>
          <w:lang w:val="es-MX"/>
        </w:rPr>
        <w:t>opiniones compartidas en el proceso de consulta</w:t>
      </w:r>
      <w:r w:rsidRPr="0094362E">
        <w:rPr>
          <w:rFonts w:ascii="Abadi" w:hAnsi="Abadi" w:cs="Arial"/>
          <w:sz w:val="21"/>
          <w:szCs w:val="21"/>
          <w:lang w:val="es-MX"/>
        </w:rPr>
        <w:t xml:space="preserve"> y </w:t>
      </w:r>
      <w:r w:rsidRPr="0094362E">
        <w:rPr>
          <w:rFonts w:ascii="Abadi" w:hAnsi="Abadi" w:cs="Arial"/>
          <w:i/>
          <w:iCs/>
          <w:sz w:val="21"/>
          <w:szCs w:val="21"/>
          <w:lang w:val="es-MX"/>
        </w:rPr>
        <w:t>opiniones compartidas en el foro de consulta</w:t>
      </w:r>
      <w:r w:rsidRPr="0094362E">
        <w:rPr>
          <w:rFonts w:ascii="Abadi" w:hAnsi="Abadi" w:cs="Arial"/>
          <w:sz w:val="21"/>
          <w:szCs w:val="21"/>
          <w:lang w:val="es-MX"/>
        </w:rPr>
        <w:t>.</w:t>
      </w:r>
    </w:p>
    <w:p w14:paraId="4F29E40D" w14:textId="77777777" w:rsidR="0094362E" w:rsidRPr="0094362E" w:rsidRDefault="0094362E" w:rsidP="007E6E2B">
      <w:pPr>
        <w:widowControl w:val="0"/>
        <w:jc w:val="both"/>
        <w:rPr>
          <w:rFonts w:ascii="Abadi" w:hAnsi="Abadi" w:cs="Arial"/>
          <w:sz w:val="21"/>
          <w:szCs w:val="21"/>
          <w:lang w:val="es-MX"/>
        </w:rPr>
      </w:pPr>
    </w:p>
    <w:p w14:paraId="151EB2C6" w14:textId="77777777" w:rsidR="0094362E" w:rsidRPr="0094362E" w:rsidRDefault="0094362E" w:rsidP="007E6E2B">
      <w:pPr>
        <w:widowControl w:val="0"/>
        <w:ind w:firstLine="851"/>
        <w:jc w:val="both"/>
        <w:rPr>
          <w:rFonts w:ascii="Abadi" w:hAnsi="Abadi"/>
          <w:sz w:val="21"/>
          <w:szCs w:val="21"/>
          <w:lang w:val="es-MX" w:eastAsia="en-US"/>
        </w:rPr>
      </w:pPr>
      <w:r w:rsidRPr="0094362E">
        <w:rPr>
          <w:rFonts w:ascii="Abadi" w:hAnsi="Abadi"/>
          <w:sz w:val="21"/>
          <w:szCs w:val="21"/>
          <w:lang w:val="es-MX" w:eastAsia="en-US"/>
        </w:rPr>
        <w:t>Enseguida anotamos los puntos a considerar, que fueron observados por quienes participaron en el ejercicio de consulta, y que tomamos en cuenta al dictaminar:</w:t>
      </w:r>
    </w:p>
    <w:p w14:paraId="55BD068F" w14:textId="77777777" w:rsidR="0094362E" w:rsidRPr="0094362E" w:rsidRDefault="0094362E" w:rsidP="007E6E2B">
      <w:pPr>
        <w:widowControl w:val="0"/>
        <w:numPr>
          <w:ilvl w:val="0"/>
          <w:numId w:val="41"/>
        </w:numPr>
        <w:tabs>
          <w:tab w:val="right" w:pos="8838"/>
        </w:tabs>
        <w:ind w:left="1134" w:hanging="283"/>
        <w:contextualSpacing/>
        <w:jc w:val="both"/>
        <w:rPr>
          <w:rFonts w:ascii="Abadi" w:eastAsia="Calibri" w:hAnsi="Abadi"/>
          <w:sz w:val="21"/>
          <w:szCs w:val="21"/>
          <w:lang w:val="es-MX" w:eastAsia="en-US"/>
        </w:rPr>
      </w:pPr>
      <w:r w:rsidRPr="0094362E">
        <w:rPr>
          <w:rFonts w:ascii="Abadi" w:eastAsia="Calibri" w:hAnsi="Abadi"/>
          <w:sz w:val="21"/>
          <w:szCs w:val="21"/>
          <w:lang w:val="es-MX" w:eastAsia="en-US"/>
        </w:rPr>
        <w:t>Se recomienda evaluar el planteamiento como una nueva Ley y valorar incorporar la propuesta en la Ley de Inclusión para las Personas con Discapacidad en el Estado de Guanajuato.</w:t>
      </w:r>
    </w:p>
    <w:p w14:paraId="4FB1715E" w14:textId="77777777" w:rsidR="0094362E" w:rsidRPr="0094362E" w:rsidRDefault="0094362E" w:rsidP="007E6E2B">
      <w:pPr>
        <w:widowControl w:val="0"/>
        <w:numPr>
          <w:ilvl w:val="0"/>
          <w:numId w:val="41"/>
        </w:numPr>
        <w:tabs>
          <w:tab w:val="right" w:pos="8838"/>
        </w:tabs>
        <w:ind w:left="1134" w:hanging="283"/>
        <w:contextualSpacing/>
        <w:jc w:val="both"/>
        <w:rPr>
          <w:rFonts w:ascii="Abadi" w:eastAsia="Calibri" w:hAnsi="Abadi"/>
          <w:sz w:val="21"/>
          <w:szCs w:val="21"/>
          <w:lang w:val="es-MX" w:eastAsia="en-US"/>
        </w:rPr>
      </w:pPr>
      <w:r w:rsidRPr="0094362E">
        <w:rPr>
          <w:rFonts w:ascii="Abadi" w:eastAsia="Calibri" w:hAnsi="Abadi"/>
          <w:sz w:val="21"/>
          <w:szCs w:val="21"/>
          <w:lang w:val="es-MX" w:eastAsia="en-US"/>
        </w:rPr>
        <w:t>En relación con la racionalidad lingüística, la propuesta presenta un sinnúmero de deficiencias.</w:t>
      </w:r>
    </w:p>
    <w:p w14:paraId="6556FFAF" w14:textId="77777777" w:rsidR="0094362E" w:rsidRPr="0094362E" w:rsidRDefault="0094362E" w:rsidP="007E6E2B">
      <w:pPr>
        <w:widowControl w:val="0"/>
        <w:numPr>
          <w:ilvl w:val="0"/>
          <w:numId w:val="41"/>
        </w:numPr>
        <w:tabs>
          <w:tab w:val="right" w:pos="8838"/>
        </w:tabs>
        <w:ind w:left="1134" w:hanging="283"/>
        <w:contextualSpacing/>
        <w:jc w:val="both"/>
        <w:rPr>
          <w:rFonts w:ascii="Abadi" w:eastAsia="Calibri" w:hAnsi="Abadi"/>
          <w:sz w:val="21"/>
          <w:szCs w:val="21"/>
          <w:lang w:val="es-MX" w:eastAsia="en-US"/>
        </w:rPr>
      </w:pPr>
      <w:r w:rsidRPr="0094362E">
        <w:rPr>
          <w:rFonts w:ascii="Abadi" w:eastAsia="Calibri" w:hAnsi="Abadi"/>
          <w:sz w:val="21"/>
          <w:szCs w:val="21"/>
          <w:lang w:val="es-MX" w:eastAsia="en-US"/>
        </w:rPr>
        <w:t>No se establecen parámetros que determinen limitaciones o restricciones del derecho de acceso a espacios públicos o privados de los perros guía o de asistencia médica, cuando muestren signos evidentes de enfermedad, falta de higiene, o bien situaciones que pongan en riesgo inminente la integridad física del usuario y su perro de asistencia, así como de otras personas.</w:t>
      </w:r>
    </w:p>
    <w:p w14:paraId="559BC2ED" w14:textId="77777777" w:rsidR="0094362E" w:rsidRPr="0094362E" w:rsidRDefault="0094362E" w:rsidP="007E6E2B">
      <w:pPr>
        <w:widowControl w:val="0"/>
        <w:numPr>
          <w:ilvl w:val="0"/>
          <w:numId w:val="41"/>
        </w:numPr>
        <w:tabs>
          <w:tab w:val="right" w:pos="8838"/>
        </w:tabs>
        <w:ind w:left="1134" w:hanging="283"/>
        <w:contextualSpacing/>
        <w:jc w:val="both"/>
        <w:rPr>
          <w:rFonts w:ascii="Abadi" w:eastAsia="Calibri" w:hAnsi="Abadi"/>
          <w:sz w:val="21"/>
          <w:szCs w:val="21"/>
          <w:lang w:val="es-MX" w:eastAsia="en-US"/>
        </w:rPr>
      </w:pPr>
      <w:r w:rsidRPr="0094362E">
        <w:rPr>
          <w:rFonts w:ascii="Abadi" w:eastAsia="Calibri" w:hAnsi="Abadi"/>
          <w:sz w:val="21"/>
          <w:szCs w:val="21"/>
          <w:lang w:val="es-MX" w:eastAsia="en-US"/>
        </w:rPr>
        <w:t>La iniciativa no contempla un capítulo de autoridades competentes y sus atribuciones para hacer funcional la materia que se pretende regular.</w:t>
      </w:r>
    </w:p>
    <w:p w14:paraId="5391DC95" w14:textId="77777777" w:rsidR="0094362E" w:rsidRPr="0094362E" w:rsidRDefault="0094362E" w:rsidP="007E6E2B">
      <w:pPr>
        <w:widowControl w:val="0"/>
        <w:numPr>
          <w:ilvl w:val="0"/>
          <w:numId w:val="41"/>
        </w:numPr>
        <w:tabs>
          <w:tab w:val="right" w:pos="8838"/>
        </w:tabs>
        <w:ind w:left="1134" w:hanging="283"/>
        <w:contextualSpacing/>
        <w:jc w:val="both"/>
        <w:rPr>
          <w:rFonts w:ascii="Abadi" w:eastAsia="Calibri" w:hAnsi="Abadi"/>
          <w:color w:val="100E12"/>
          <w:sz w:val="21"/>
          <w:szCs w:val="21"/>
          <w:lang w:val="es-MX" w:eastAsia="en-US"/>
        </w:rPr>
      </w:pPr>
      <w:r w:rsidRPr="0094362E">
        <w:rPr>
          <w:rFonts w:ascii="Abadi" w:eastAsia="Calibri" w:hAnsi="Abadi"/>
          <w:sz w:val="21"/>
          <w:szCs w:val="21"/>
          <w:lang w:val="es-MX" w:eastAsia="en-US"/>
        </w:rPr>
        <w:t>La iniciativa no contempla infracciones administrativas</w:t>
      </w:r>
      <w:r w:rsidRPr="0094362E">
        <w:rPr>
          <w:rFonts w:ascii="Abadi" w:eastAsia="Calibri" w:hAnsi="Abadi"/>
          <w:color w:val="100E12"/>
          <w:sz w:val="21"/>
          <w:szCs w:val="21"/>
          <w:lang w:val="es-MX" w:eastAsia="en-US"/>
        </w:rPr>
        <w:t>.</w:t>
      </w:r>
    </w:p>
    <w:p w14:paraId="1DC81BD8" w14:textId="77777777" w:rsidR="0094362E" w:rsidRPr="0094362E" w:rsidRDefault="0094362E" w:rsidP="007E6E2B">
      <w:pPr>
        <w:widowControl w:val="0"/>
        <w:numPr>
          <w:ilvl w:val="0"/>
          <w:numId w:val="41"/>
        </w:numPr>
        <w:tabs>
          <w:tab w:val="right" w:pos="8838"/>
        </w:tabs>
        <w:ind w:left="1134" w:hanging="283"/>
        <w:contextualSpacing/>
        <w:jc w:val="both"/>
        <w:textAlignment w:val="baseline"/>
        <w:rPr>
          <w:rFonts w:ascii="Abadi" w:eastAsia="Calibri" w:hAnsi="Abadi" w:cs="Arial"/>
          <w:sz w:val="21"/>
          <w:szCs w:val="21"/>
          <w:lang w:val="es-MX" w:eastAsia="en-US"/>
        </w:rPr>
      </w:pPr>
      <w:r w:rsidRPr="0094362E">
        <w:rPr>
          <w:rFonts w:ascii="Abadi" w:eastAsia="Calibri" w:hAnsi="Abadi" w:cs="Arial"/>
          <w:sz w:val="21"/>
          <w:szCs w:val="21"/>
          <w:lang w:val="es-MX" w:eastAsia="en-US"/>
        </w:rPr>
        <w:t>Debe considerarse la normativa y protocolos internacionales para una mayor efectividad de la función asistencial de los perros de asistencia en favor de las personas con discapacidad o con alguna condición médica: perro guía; perro de alerta médica; perro señal; perro de asistencia para personas con trastorno del espectro autista TEA; perro de asistencia para personas con discapacidad motriz o movilidad reducida.</w:t>
      </w:r>
    </w:p>
    <w:p w14:paraId="20E0ED89" w14:textId="77777777" w:rsidR="0094362E" w:rsidRPr="0094362E" w:rsidRDefault="0094362E" w:rsidP="007E6E2B">
      <w:pPr>
        <w:widowControl w:val="0"/>
        <w:numPr>
          <w:ilvl w:val="0"/>
          <w:numId w:val="41"/>
        </w:numPr>
        <w:tabs>
          <w:tab w:val="right" w:pos="8838"/>
        </w:tabs>
        <w:ind w:left="1134" w:hanging="283"/>
        <w:contextualSpacing/>
        <w:jc w:val="both"/>
        <w:textAlignment w:val="baseline"/>
        <w:rPr>
          <w:rFonts w:ascii="Abadi" w:eastAsia="Calibri" w:hAnsi="Abadi"/>
          <w:sz w:val="21"/>
          <w:szCs w:val="21"/>
          <w:lang w:val="es-MX" w:eastAsia="en-US"/>
        </w:rPr>
      </w:pPr>
      <w:r w:rsidRPr="0094362E">
        <w:rPr>
          <w:rFonts w:ascii="Abadi" w:eastAsia="Calibri" w:hAnsi="Abadi"/>
          <w:color w:val="100E12"/>
          <w:sz w:val="21"/>
          <w:szCs w:val="21"/>
          <w:lang w:val="es-MX" w:eastAsia="en-US"/>
        </w:rPr>
        <w:t>No se señala quien emitirá el reconocimiento de la condición de perro de asistencia, ni la autoridad responsable para su revisión sanitaria.</w:t>
      </w:r>
    </w:p>
    <w:p w14:paraId="70055FDB" w14:textId="77777777" w:rsidR="0094362E" w:rsidRPr="0094362E" w:rsidRDefault="0094362E" w:rsidP="007E6E2B">
      <w:pPr>
        <w:widowControl w:val="0"/>
        <w:numPr>
          <w:ilvl w:val="0"/>
          <w:numId w:val="41"/>
        </w:numPr>
        <w:tabs>
          <w:tab w:val="right" w:pos="8838"/>
        </w:tabs>
        <w:ind w:left="1134" w:hanging="283"/>
        <w:contextualSpacing/>
        <w:jc w:val="both"/>
        <w:textAlignment w:val="baseline"/>
        <w:rPr>
          <w:rFonts w:ascii="Abadi" w:eastAsia="Calibri" w:hAnsi="Abadi"/>
          <w:sz w:val="21"/>
          <w:szCs w:val="21"/>
          <w:lang w:val="es-MX" w:eastAsia="en-US"/>
        </w:rPr>
      </w:pPr>
      <w:r w:rsidRPr="0094362E">
        <w:rPr>
          <w:rFonts w:ascii="Abadi" w:eastAsia="Calibri" w:hAnsi="Abadi"/>
          <w:sz w:val="21"/>
          <w:szCs w:val="21"/>
          <w:lang w:val="es-MX" w:eastAsia="en-US"/>
        </w:rPr>
        <w:t>El proyecto de ley no regula el funcionamiento de los Centros de Entrenamiento.</w:t>
      </w:r>
    </w:p>
    <w:p w14:paraId="193B5284" w14:textId="77777777" w:rsidR="0094362E" w:rsidRPr="0094362E" w:rsidRDefault="0094362E" w:rsidP="007E6E2B">
      <w:pPr>
        <w:widowControl w:val="0"/>
        <w:jc w:val="both"/>
        <w:rPr>
          <w:rFonts w:ascii="Abadi" w:hAnsi="Abadi"/>
          <w:sz w:val="21"/>
          <w:szCs w:val="21"/>
          <w:lang w:val="es-MX" w:eastAsia="en-US"/>
        </w:rPr>
      </w:pPr>
    </w:p>
    <w:p w14:paraId="13D95278" w14:textId="77777777" w:rsidR="0094362E" w:rsidRPr="0094362E" w:rsidRDefault="0094362E" w:rsidP="007E6E2B">
      <w:pPr>
        <w:widowControl w:val="0"/>
        <w:ind w:firstLine="851"/>
        <w:jc w:val="both"/>
        <w:rPr>
          <w:rFonts w:ascii="Abadi" w:hAnsi="Abadi"/>
          <w:sz w:val="21"/>
          <w:szCs w:val="21"/>
          <w:lang w:val="es-MX" w:eastAsia="en-US"/>
        </w:rPr>
      </w:pPr>
      <w:r w:rsidRPr="0094362E">
        <w:rPr>
          <w:rFonts w:ascii="Abadi" w:hAnsi="Abadi"/>
          <w:sz w:val="21"/>
          <w:szCs w:val="21"/>
          <w:lang w:val="es-MX" w:eastAsia="en-US"/>
        </w:rPr>
        <w:t>Teniendo en consideración los comentarios anteriores, es que nos pronunciamos por dictaminar en sentido negativo la iniciativa que nos ocupa.</w:t>
      </w:r>
    </w:p>
    <w:p w14:paraId="133D8822" w14:textId="77777777" w:rsidR="0094362E" w:rsidRPr="0094362E" w:rsidRDefault="0094362E" w:rsidP="007E6E2B">
      <w:pPr>
        <w:widowControl w:val="0"/>
        <w:jc w:val="both"/>
        <w:rPr>
          <w:rFonts w:ascii="Abadi" w:hAnsi="Abadi"/>
          <w:sz w:val="21"/>
          <w:szCs w:val="21"/>
          <w:lang w:val="es-MX" w:eastAsia="en-US"/>
        </w:rPr>
      </w:pPr>
    </w:p>
    <w:p w14:paraId="3A9C3F38" w14:textId="77777777" w:rsidR="0094362E" w:rsidRPr="0094362E" w:rsidRDefault="0094362E" w:rsidP="007E6E2B">
      <w:pPr>
        <w:widowControl w:val="0"/>
        <w:ind w:firstLine="851"/>
        <w:jc w:val="both"/>
        <w:rPr>
          <w:rFonts w:ascii="Abadi" w:hAnsi="Abadi"/>
          <w:sz w:val="21"/>
          <w:szCs w:val="21"/>
          <w:lang w:val="es-MX" w:eastAsia="en-US"/>
        </w:rPr>
      </w:pPr>
      <w:r w:rsidRPr="0094362E">
        <w:rPr>
          <w:rFonts w:ascii="Abadi" w:hAnsi="Abadi"/>
          <w:sz w:val="21"/>
          <w:szCs w:val="21"/>
          <w:lang w:val="es-MX" w:eastAsia="en-US"/>
        </w:rPr>
        <w:t>En mérito de lo expuesto, sometemos a consideración de la Asamblea, la aprobación del siguiente:</w:t>
      </w:r>
    </w:p>
    <w:p w14:paraId="17320A08" w14:textId="77777777" w:rsidR="0094362E" w:rsidRPr="0094362E" w:rsidRDefault="0094362E" w:rsidP="007E6E2B">
      <w:pPr>
        <w:widowControl w:val="0"/>
        <w:ind w:firstLine="851"/>
        <w:jc w:val="both"/>
        <w:rPr>
          <w:rFonts w:ascii="Abadi" w:hAnsi="Abadi"/>
          <w:sz w:val="21"/>
          <w:szCs w:val="21"/>
          <w:lang w:val="es-MX" w:eastAsia="en-US"/>
        </w:rPr>
      </w:pPr>
    </w:p>
    <w:p w14:paraId="75B7A1B4" w14:textId="77777777" w:rsidR="0094362E" w:rsidRPr="0094362E" w:rsidRDefault="0094362E" w:rsidP="007E6E2B">
      <w:pPr>
        <w:widowControl w:val="0"/>
        <w:autoSpaceDE w:val="0"/>
        <w:autoSpaceDN w:val="0"/>
        <w:adjustRightInd w:val="0"/>
        <w:jc w:val="center"/>
        <w:rPr>
          <w:rFonts w:ascii="Abadi" w:hAnsi="Abadi"/>
          <w:b/>
          <w:sz w:val="21"/>
          <w:szCs w:val="21"/>
          <w:lang w:val="es-MX" w:eastAsia="en-US"/>
        </w:rPr>
      </w:pPr>
      <w:r w:rsidRPr="0094362E">
        <w:rPr>
          <w:rFonts w:ascii="Abadi" w:hAnsi="Abadi"/>
          <w:b/>
          <w:sz w:val="21"/>
          <w:szCs w:val="21"/>
          <w:lang w:val="es-MX" w:eastAsia="en-US"/>
        </w:rPr>
        <w:t>A C U E R D O</w:t>
      </w:r>
    </w:p>
    <w:p w14:paraId="20C37D90" w14:textId="77777777" w:rsidR="0094362E" w:rsidRPr="0094362E" w:rsidRDefault="0094362E" w:rsidP="007E6E2B">
      <w:pPr>
        <w:widowControl w:val="0"/>
        <w:autoSpaceDE w:val="0"/>
        <w:autoSpaceDN w:val="0"/>
        <w:adjustRightInd w:val="0"/>
        <w:jc w:val="center"/>
        <w:rPr>
          <w:rFonts w:ascii="Abadi" w:hAnsi="Abadi"/>
          <w:b/>
          <w:sz w:val="21"/>
          <w:szCs w:val="21"/>
          <w:lang w:val="es-MX" w:eastAsia="en-US"/>
        </w:rPr>
      </w:pPr>
    </w:p>
    <w:p w14:paraId="06B4CADE" w14:textId="77777777" w:rsidR="0094362E" w:rsidRPr="0094362E" w:rsidRDefault="0094362E" w:rsidP="007E6E2B">
      <w:pPr>
        <w:widowControl w:val="0"/>
        <w:autoSpaceDE w:val="0"/>
        <w:autoSpaceDN w:val="0"/>
        <w:adjustRightInd w:val="0"/>
        <w:jc w:val="both"/>
        <w:rPr>
          <w:rFonts w:ascii="Abadi" w:hAnsi="Abadi"/>
          <w:b/>
          <w:sz w:val="21"/>
          <w:szCs w:val="21"/>
          <w:lang w:val="es-MX" w:eastAsia="en-US"/>
        </w:rPr>
      </w:pPr>
      <w:r w:rsidRPr="0094362E">
        <w:rPr>
          <w:rFonts w:ascii="Abadi" w:hAnsi="Abadi"/>
          <w:b/>
          <w:sz w:val="21"/>
          <w:szCs w:val="21"/>
          <w:lang w:val="es-MX" w:eastAsia="en-US"/>
        </w:rPr>
        <w:t>Único.</w:t>
      </w:r>
      <w:r w:rsidRPr="0094362E">
        <w:rPr>
          <w:rFonts w:ascii="Abadi" w:hAnsi="Abadi"/>
          <w:sz w:val="21"/>
          <w:szCs w:val="21"/>
          <w:lang w:val="es-MX" w:eastAsia="en-US"/>
        </w:rPr>
        <w:t xml:space="preserve"> No resulta procedente la iniciativa de Ley de los Derechos de las Personas Usuarias de Perros Guía o de Asistencia Médica para el Estado de Guanajuato formulada por la diputada María de Jesús Eunices Reveles Conejo, de la Representación Parlamentaria del Partido del Trabajo, en la Sexagésima Cuarta Legislatura.</w:t>
      </w:r>
    </w:p>
    <w:p w14:paraId="60D75A0C" w14:textId="77777777" w:rsidR="0094362E" w:rsidRPr="0094362E" w:rsidRDefault="0094362E" w:rsidP="007E6E2B">
      <w:pPr>
        <w:widowControl w:val="0"/>
        <w:ind w:right="-1" w:firstLine="851"/>
        <w:jc w:val="both"/>
        <w:rPr>
          <w:rFonts w:ascii="Abadi" w:hAnsi="Abadi"/>
          <w:sz w:val="21"/>
          <w:szCs w:val="21"/>
          <w:lang w:val="es-MX" w:eastAsia="en-US"/>
        </w:rPr>
      </w:pPr>
    </w:p>
    <w:p w14:paraId="40A66F6D" w14:textId="77777777" w:rsidR="0094362E" w:rsidRPr="0094362E" w:rsidRDefault="0094362E" w:rsidP="007E6E2B">
      <w:pPr>
        <w:widowControl w:val="0"/>
        <w:ind w:right="-1" w:firstLine="851"/>
        <w:jc w:val="both"/>
        <w:rPr>
          <w:rFonts w:ascii="Abadi" w:hAnsi="Abadi"/>
          <w:sz w:val="21"/>
          <w:szCs w:val="21"/>
          <w:lang w:val="es-MX" w:eastAsia="en-US"/>
        </w:rPr>
      </w:pPr>
      <w:r w:rsidRPr="0094362E">
        <w:rPr>
          <w:rFonts w:ascii="Abadi" w:hAnsi="Abadi"/>
          <w:sz w:val="21"/>
          <w:szCs w:val="21"/>
          <w:lang w:val="es-MX" w:eastAsia="en-US"/>
        </w:rPr>
        <w:t>En consecuencia, se ordena el archivo definitivo de la iniciativa.</w:t>
      </w:r>
    </w:p>
    <w:p w14:paraId="4C0D861C" w14:textId="77777777" w:rsidR="0094362E" w:rsidRPr="0094362E" w:rsidRDefault="0094362E" w:rsidP="007E6E2B">
      <w:pPr>
        <w:widowControl w:val="0"/>
        <w:jc w:val="both"/>
        <w:rPr>
          <w:rFonts w:ascii="Abadi" w:hAnsi="Abadi"/>
          <w:sz w:val="21"/>
          <w:szCs w:val="21"/>
          <w:lang w:val="es-MX" w:eastAsia="en-US"/>
        </w:rPr>
      </w:pPr>
    </w:p>
    <w:p w14:paraId="3DDEAE06" w14:textId="77777777" w:rsidR="0094362E" w:rsidRPr="0094362E" w:rsidRDefault="0094362E" w:rsidP="007E6E2B">
      <w:pPr>
        <w:widowControl w:val="0"/>
        <w:jc w:val="center"/>
        <w:rPr>
          <w:rFonts w:ascii="Abadi" w:eastAsia="Arial Unicode MS" w:hAnsi="Abadi" w:cs="Arial"/>
          <w:b/>
          <w:iCs/>
          <w:sz w:val="21"/>
          <w:szCs w:val="21"/>
          <w:lang w:val="es-MX" w:eastAsia="en-US"/>
        </w:rPr>
      </w:pPr>
      <w:r w:rsidRPr="0094362E">
        <w:rPr>
          <w:rFonts w:ascii="Abadi" w:eastAsia="Arial Unicode MS" w:hAnsi="Abadi" w:cs="Arial"/>
          <w:b/>
          <w:iCs/>
          <w:sz w:val="21"/>
          <w:szCs w:val="21"/>
          <w:lang w:val="es-MX" w:eastAsia="en-US"/>
        </w:rPr>
        <w:t>Guanajuato, Gto., 29 de junio de 2022</w:t>
      </w:r>
    </w:p>
    <w:p w14:paraId="22C6EB75" w14:textId="77777777" w:rsidR="0094362E" w:rsidRPr="0094362E" w:rsidRDefault="0094362E" w:rsidP="007E6E2B">
      <w:pPr>
        <w:widowControl w:val="0"/>
        <w:jc w:val="center"/>
        <w:rPr>
          <w:rFonts w:ascii="Abadi" w:eastAsia="Arial Unicode MS" w:hAnsi="Abadi" w:cs="Arial"/>
          <w:b/>
          <w:iCs/>
          <w:sz w:val="21"/>
          <w:szCs w:val="21"/>
          <w:lang w:val="es-MX" w:eastAsia="en-US"/>
        </w:rPr>
      </w:pPr>
      <w:r w:rsidRPr="0094362E">
        <w:rPr>
          <w:rFonts w:ascii="Abadi" w:hAnsi="Abadi"/>
          <w:b/>
          <w:sz w:val="21"/>
          <w:szCs w:val="21"/>
          <w:lang w:val="en-US" w:eastAsia="en-US"/>
        </w:rPr>
        <w:t>La Comisión de Derechos Humanos y Atención a Grupos Vulnerables</w:t>
      </w:r>
    </w:p>
    <w:p w14:paraId="4443A1B9" w14:textId="77777777" w:rsidR="0094362E" w:rsidRPr="0094362E" w:rsidRDefault="0094362E" w:rsidP="007E6E2B">
      <w:pPr>
        <w:widowControl w:val="0"/>
        <w:jc w:val="center"/>
        <w:rPr>
          <w:rFonts w:ascii="Abadi" w:hAnsi="Abadi" w:cs="Arial"/>
          <w:b/>
          <w:bCs/>
          <w:sz w:val="21"/>
          <w:szCs w:val="21"/>
          <w:lang w:val="es-MX" w:eastAsia="en-US"/>
        </w:rPr>
      </w:pPr>
    </w:p>
    <w:p w14:paraId="255AC51C" w14:textId="77777777" w:rsidR="0094362E" w:rsidRPr="0094362E" w:rsidRDefault="0094362E" w:rsidP="007E6E2B">
      <w:pPr>
        <w:widowControl w:val="0"/>
        <w:jc w:val="center"/>
        <w:rPr>
          <w:rFonts w:ascii="Abadi" w:hAnsi="Abadi" w:cs="Arial"/>
          <w:b/>
          <w:bCs/>
          <w:sz w:val="21"/>
          <w:szCs w:val="21"/>
          <w:lang w:val="es-MX" w:eastAsia="en-US"/>
        </w:rPr>
      </w:pPr>
      <w:r w:rsidRPr="0094362E">
        <w:rPr>
          <w:rFonts w:ascii="Abadi" w:hAnsi="Abadi" w:cs="Arial"/>
          <w:b/>
          <w:bCs/>
          <w:sz w:val="21"/>
          <w:szCs w:val="21"/>
          <w:lang w:val="es-MX" w:eastAsia="en-US"/>
        </w:rPr>
        <w:t>Diputado David Martínez Mendizábal</w:t>
      </w:r>
    </w:p>
    <w:p w14:paraId="26488CD4" w14:textId="77777777" w:rsidR="0094362E" w:rsidRPr="0094362E" w:rsidRDefault="0094362E" w:rsidP="007E6E2B">
      <w:pPr>
        <w:widowControl w:val="0"/>
        <w:jc w:val="center"/>
        <w:rPr>
          <w:rFonts w:ascii="Abadi" w:hAnsi="Abadi" w:cs="Arial"/>
          <w:b/>
          <w:bCs/>
          <w:sz w:val="21"/>
          <w:szCs w:val="21"/>
          <w:lang w:val="es-MX" w:eastAsia="en-US"/>
        </w:rPr>
      </w:pPr>
    </w:p>
    <w:p w14:paraId="484F69B2" w14:textId="77777777" w:rsidR="0094362E" w:rsidRPr="0094362E" w:rsidRDefault="0094362E" w:rsidP="007E6E2B">
      <w:pPr>
        <w:widowControl w:val="0"/>
        <w:jc w:val="center"/>
        <w:rPr>
          <w:rFonts w:ascii="Abadi" w:hAnsi="Abadi" w:cs="Arial"/>
          <w:b/>
          <w:bCs/>
          <w:sz w:val="21"/>
          <w:szCs w:val="21"/>
          <w:lang w:val="es-MX" w:eastAsia="en-US"/>
        </w:rPr>
      </w:pPr>
      <w:r w:rsidRPr="0094362E">
        <w:rPr>
          <w:rFonts w:ascii="Abadi" w:hAnsi="Abadi" w:cs="Arial"/>
          <w:b/>
          <w:bCs/>
          <w:sz w:val="21"/>
          <w:szCs w:val="21"/>
          <w:lang w:val="es-MX" w:eastAsia="en-US"/>
        </w:rPr>
        <w:t>Diputada Janet Melanie Murillo Chávez</w:t>
      </w:r>
    </w:p>
    <w:p w14:paraId="2996B2D9" w14:textId="77777777" w:rsidR="0094362E" w:rsidRPr="0094362E" w:rsidRDefault="0094362E" w:rsidP="007E6E2B">
      <w:pPr>
        <w:widowControl w:val="0"/>
        <w:jc w:val="center"/>
        <w:rPr>
          <w:rFonts w:ascii="Abadi" w:hAnsi="Abadi" w:cs="Arial"/>
          <w:b/>
          <w:bCs/>
          <w:sz w:val="21"/>
          <w:szCs w:val="21"/>
          <w:lang w:val="es-MX" w:eastAsia="en-US"/>
        </w:rPr>
      </w:pPr>
    </w:p>
    <w:p w14:paraId="1557F8DD" w14:textId="77777777" w:rsidR="0094362E" w:rsidRPr="0094362E" w:rsidRDefault="0094362E" w:rsidP="007E6E2B">
      <w:pPr>
        <w:widowControl w:val="0"/>
        <w:jc w:val="center"/>
        <w:rPr>
          <w:rFonts w:ascii="Abadi" w:hAnsi="Abadi" w:cs="Arial"/>
          <w:b/>
          <w:bCs/>
          <w:sz w:val="21"/>
          <w:szCs w:val="21"/>
          <w:lang w:val="es-MX" w:eastAsia="en-US"/>
        </w:rPr>
      </w:pPr>
      <w:r w:rsidRPr="0094362E">
        <w:rPr>
          <w:rFonts w:ascii="Abadi" w:hAnsi="Abadi" w:cs="Arial"/>
          <w:b/>
          <w:bCs/>
          <w:sz w:val="21"/>
          <w:szCs w:val="21"/>
          <w:lang w:val="es-MX" w:eastAsia="en-US"/>
        </w:rPr>
        <w:t>Diputado Gustavo Adolfo Alfaro Reyes</w:t>
      </w:r>
    </w:p>
    <w:p w14:paraId="6AF2FB71" w14:textId="77777777" w:rsidR="0094362E" w:rsidRPr="0094362E" w:rsidRDefault="0094362E" w:rsidP="007E6E2B">
      <w:pPr>
        <w:widowControl w:val="0"/>
        <w:jc w:val="center"/>
        <w:rPr>
          <w:rFonts w:ascii="Abadi" w:hAnsi="Abadi" w:cs="Arial"/>
          <w:b/>
          <w:bCs/>
          <w:sz w:val="21"/>
          <w:szCs w:val="21"/>
          <w:lang w:val="es-MX" w:eastAsia="en-US"/>
        </w:rPr>
      </w:pPr>
    </w:p>
    <w:p w14:paraId="06A510FF" w14:textId="77777777" w:rsidR="0094362E" w:rsidRPr="0094362E" w:rsidRDefault="0094362E" w:rsidP="007E6E2B">
      <w:pPr>
        <w:widowControl w:val="0"/>
        <w:jc w:val="center"/>
        <w:rPr>
          <w:rFonts w:ascii="Abadi" w:hAnsi="Abadi" w:cs="Arial"/>
          <w:b/>
          <w:bCs/>
          <w:sz w:val="21"/>
          <w:szCs w:val="21"/>
          <w:lang w:val="es-MX" w:eastAsia="en-US"/>
        </w:rPr>
      </w:pPr>
      <w:r w:rsidRPr="0094362E">
        <w:rPr>
          <w:rFonts w:ascii="Abadi" w:hAnsi="Abadi" w:cs="Arial"/>
          <w:b/>
          <w:bCs/>
          <w:sz w:val="21"/>
          <w:szCs w:val="21"/>
          <w:lang w:val="es-MX" w:eastAsia="en-US"/>
        </w:rPr>
        <w:t>Diputada Briseida Anabel Magdaleno González</w:t>
      </w:r>
    </w:p>
    <w:p w14:paraId="0589AC54" w14:textId="77777777" w:rsidR="0094362E" w:rsidRPr="0094362E" w:rsidRDefault="0094362E" w:rsidP="007E6E2B">
      <w:pPr>
        <w:widowControl w:val="0"/>
        <w:jc w:val="center"/>
        <w:rPr>
          <w:rFonts w:ascii="Abadi" w:hAnsi="Abadi" w:cs="Arial"/>
          <w:b/>
          <w:bCs/>
          <w:sz w:val="21"/>
          <w:szCs w:val="21"/>
          <w:lang w:val="es-MX" w:eastAsia="en-US"/>
        </w:rPr>
      </w:pPr>
    </w:p>
    <w:p w14:paraId="0DA4D402" w14:textId="1A1149F1" w:rsidR="0094362E" w:rsidRDefault="0094362E" w:rsidP="007E6E2B">
      <w:pPr>
        <w:widowControl w:val="0"/>
        <w:jc w:val="center"/>
        <w:rPr>
          <w:rFonts w:ascii="Abadi" w:hAnsi="Abadi" w:cs="Arial"/>
          <w:b/>
          <w:bCs/>
          <w:sz w:val="21"/>
          <w:szCs w:val="21"/>
          <w:lang w:val="es-MX" w:eastAsia="en-US"/>
        </w:rPr>
      </w:pPr>
      <w:r w:rsidRPr="0094362E">
        <w:rPr>
          <w:rFonts w:ascii="Abadi" w:hAnsi="Abadi" w:cs="Arial"/>
          <w:b/>
          <w:bCs/>
          <w:sz w:val="21"/>
          <w:szCs w:val="21"/>
          <w:lang w:val="es-MX" w:eastAsia="en-US"/>
        </w:rPr>
        <w:t>Diputada Katya Cristina Soto Escamilla</w:t>
      </w:r>
    </w:p>
    <w:p w14:paraId="244E5A13" w14:textId="6CE2553B" w:rsidR="00E668B1" w:rsidRDefault="00E668B1" w:rsidP="007E6E2B">
      <w:pPr>
        <w:widowControl w:val="0"/>
        <w:jc w:val="center"/>
        <w:rPr>
          <w:rFonts w:ascii="Abadi" w:hAnsi="Abadi" w:cs="Arial"/>
          <w:b/>
          <w:bCs/>
          <w:sz w:val="21"/>
          <w:szCs w:val="21"/>
          <w:lang w:val="es-MX" w:eastAsia="en-US"/>
        </w:rPr>
      </w:pPr>
    </w:p>
    <w:p w14:paraId="41EC9977" w14:textId="2CC84CC3" w:rsidR="00E668B1" w:rsidRDefault="00E668B1" w:rsidP="007E6E2B">
      <w:pPr>
        <w:widowControl w:val="0"/>
        <w:jc w:val="center"/>
        <w:rPr>
          <w:rFonts w:ascii="Abadi" w:hAnsi="Abadi" w:cs="Arial"/>
          <w:b/>
          <w:bCs/>
          <w:sz w:val="21"/>
          <w:szCs w:val="21"/>
          <w:lang w:val="es-MX" w:eastAsia="en-US"/>
        </w:rPr>
      </w:pPr>
    </w:p>
    <w:p w14:paraId="16539719" w14:textId="356460DA" w:rsidR="00E601F6" w:rsidRDefault="00E601F6" w:rsidP="00E601F6">
      <w:pPr>
        <w:ind w:firstLine="708"/>
        <w:jc w:val="both"/>
        <w:rPr>
          <w:rFonts w:ascii="Abadi" w:hAnsi="Abadi"/>
          <w:sz w:val="21"/>
          <w:szCs w:val="21"/>
        </w:rPr>
      </w:pPr>
      <w:r w:rsidRPr="00C54B93">
        <w:rPr>
          <w:rFonts w:ascii="Abadi" w:hAnsi="Abadi"/>
          <w:b/>
          <w:bCs/>
          <w:sz w:val="21"/>
          <w:szCs w:val="21"/>
        </w:rPr>
        <w:t>- El Secretario.-</w:t>
      </w:r>
      <w:r>
        <w:rPr>
          <w:rFonts w:ascii="Abadi" w:hAnsi="Abadi"/>
          <w:sz w:val="21"/>
          <w:szCs w:val="21"/>
        </w:rPr>
        <w:t xml:space="preserve"> S</w:t>
      </w:r>
      <w:r w:rsidRPr="006813AA">
        <w:rPr>
          <w:rFonts w:ascii="Abadi" w:hAnsi="Abadi"/>
          <w:sz w:val="21"/>
          <w:szCs w:val="21"/>
        </w:rPr>
        <w:t xml:space="preserve">e procede someter a discusión el dictamen suscrito por la </w:t>
      </w:r>
      <w:r>
        <w:rPr>
          <w:rFonts w:ascii="Abadi" w:hAnsi="Abadi"/>
          <w:sz w:val="21"/>
          <w:szCs w:val="21"/>
        </w:rPr>
        <w:t>C</w:t>
      </w:r>
      <w:r w:rsidRPr="006813AA">
        <w:rPr>
          <w:rFonts w:ascii="Abadi" w:hAnsi="Abadi"/>
          <w:sz w:val="21"/>
          <w:szCs w:val="21"/>
        </w:rPr>
        <w:t xml:space="preserve">omisión de </w:t>
      </w:r>
      <w:r>
        <w:rPr>
          <w:rFonts w:ascii="Abadi" w:hAnsi="Abadi"/>
          <w:sz w:val="21"/>
          <w:szCs w:val="21"/>
        </w:rPr>
        <w:t>D</w:t>
      </w:r>
      <w:r w:rsidRPr="006813AA">
        <w:rPr>
          <w:rFonts w:ascii="Abadi" w:hAnsi="Abadi"/>
          <w:sz w:val="21"/>
          <w:szCs w:val="21"/>
        </w:rPr>
        <w:t xml:space="preserve">erechos </w:t>
      </w:r>
      <w:r>
        <w:rPr>
          <w:rFonts w:ascii="Abadi" w:hAnsi="Abadi"/>
          <w:sz w:val="21"/>
          <w:szCs w:val="21"/>
        </w:rPr>
        <w:t>H</w:t>
      </w:r>
      <w:r w:rsidRPr="006813AA">
        <w:rPr>
          <w:rFonts w:ascii="Abadi" w:hAnsi="Abadi"/>
          <w:sz w:val="21"/>
          <w:szCs w:val="21"/>
        </w:rPr>
        <w:t xml:space="preserve">umanos y atención a </w:t>
      </w:r>
      <w:r>
        <w:rPr>
          <w:rFonts w:ascii="Abadi" w:hAnsi="Abadi"/>
          <w:sz w:val="21"/>
          <w:szCs w:val="21"/>
        </w:rPr>
        <w:t>G</w:t>
      </w:r>
      <w:r w:rsidRPr="006813AA">
        <w:rPr>
          <w:rFonts w:ascii="Abadi" w:hAnsi="Abadi"/>
          <w:sz w:val="21"/>
          <w:szCs w:val="21"/>
        </w:rPr>
        <w:t xml:space="preserve">rupos </w:t>
      </w:r>
      <w:r>
        <w:rPr>
          <w:rFonts w:ascii="Abadi" w:hAnsi="Abadi"/>
          <w:sz w:val="21"/>
          <w:szCs w:val="21"/>
        </w:rPr>
        <w:t>V</w:t>
      </w:r>
      <w:r w:rsidRPr="006813AA">
        <w:rPr>
          <w:rFonts w:ascii="Abadi" w:hAnsi="Abadi"/>
          <w:sz w:val="21"/>
          <w:szCs w:val="21"/>
        </w:rPr>
        <w:t>ulnerables relativo al punto 19 de nuestra orden del día</w:t>
      </w:r>
      <w:r>
        <w:rPr>
          <w:rFonts w:ascii="Abadi" w:hAnsi="Abadi"/>
          <w:sz w:val="21"/>
          <w:szCs w:val="21"/>
        </w:rPr>
        <w:t>.</w:t>
      </w:r>
    </w:p>
    <w:p w14:paraId="66E45393" w14:textId="77777777" w:rsidR="00E601F6" w:rsidRDefault="00E601F6" w:rsidP="00E601F6">
      <w:pPr>
        <w:ind w:firstLine="708"/>
        <w:jc w:val="both"/>
        <w:rPr>
          <w:rFonts w:ascii="Abadi" w:hAnsi="Abadi"/>
          <w:sz w:val="21"/>
          <w:szCs w:val="21"/>
        </w:rPr>
      </w:pPr>
    </w:p>
    <w:p w14:paraId="1FD869CF" w14:textId="60671A13" w:rsidR="00E601F6" w:rsidRDefault="00E601F6" w:rsidP="00E601F6">
      <w:pPr>
        <w:ind w:firstLine="708"/>
        <w:jc w:val="both"/>
        <w:rPr>
          <w:rFonts w:ascii="Abadi" w:hAnsi="Abadi"/>
          <w:sz w:val="21"/>
          <w:szCs w:val="21"/>
        </w:rPr>
      </w:pPr>
      <w:r>
        <w:rPr>
          <w:rFonts w:ascii="Abadi" w:hAnsi="Abadi"/>
          <w:sz w:val="21"/>
          <w:szCs w:val="21"/>
        </w:rPr>
        <w:t>- Si, al</w:t>
      </w:r>
      <w:r w:rsidRPr="006813AA">
        <w:rPr>
          <w:rFonts w:ascii="Abadi" w:hAnsi="Abadi"/>
          <w:sz w:val="21"/>
          <w:szCs w:val="21"/>
        </w:rPr>
        <w:t xml:space="preserve">guna diputada </w:t>
      </w:r>
      <w:r>
        <w:rPr>
          <w:rFonts w:ascii="Abadi" w:hAnsi="Abadi"/>
          <w:sz w:val="21"/>
          <w:szCs w:val="21"/>
        </w:rPr>
        <w:t xml:space="preserve">o </w:t>
      </w:r>
      <w:r w:rsidRPr="006813AA">
        <w:rPr>
          <w:rFonts w:ascii="Abadi" w:hAnsi="Abadi"/>
          <w:sz w:val="21"/>
          <w:szCs w:val="21"/>
        </w:rPr>
        <w:t xml:space="preserve">algún diputado desea hacer </w:t>
      </w:r>
      <w:r>
        <w:rPr>
          <w:rFonts w:ascii="Abadi" w:hAnsi="Abadi"/>
          <w:sz w:val="21"/>
          <w:szCs w:val="21"/>
        </w:rPr>
        <w:t>u</w:t>
      </w:r>
      <w:r w:rsidRPr="006813AA">
        <w:rPr>
          <w:rFonts w:ascii="Abadi" w:hAnsi="Abadi"/>
          <w:sz w:val="21"/>
          <w:szCs w:val="21"/>
        </w:rPr>
        <w:t xml:space="preserve">so de la palabra </w:t>
      </w:r>
      <w:r>
        <w:rPr>
          <w:rFonts w:ascii="Abadi" w:hAnsi="Abadi"/>
          <w:sz w:val="21"/>
          <w:szCs w:val="21"/>
        </w:rPr>
        <w:t xml:space="preserve">en pro o en contra </w:t>
      </w:r>
      <w:r w:rsidRPr="006813AA">
        <w:rPr>
          <w:rFonts w:ascii="Abadi" w:hAnsi="Abadi"/>
          <w:sz w:val="21"/>
          <w:szCs w:val="21"/>
        </w:rPr>
        <w:t>manifiéstelo indicando el sentido de su participación</w:t>
      </w:r>
      <w:r>
        <w:rPr>
          <w:rFonts w:ascii="Abadi" w:hAnsi="Abadi"/>
          <w:sz w:val="21"/>
          <w:szCs w:val="21"/>
        </w:rPr>
        <w:t>.</w:t>
      </w:r>
    </w:p>
    <w:p w14:paraId="6E60256A" w14:textId="77777777" w:rsidR="00E601F6" w:rsidRDefault="00E601F6" w:rsidP="00E601F6">
      <w:pPr>
        <w:ind w:firstLine="708"/>
        <w:jc w:val="both"/>
        <w:rPr>
          <w:rFonts w:ascii="Abadi" w:hAnsi="Abadi"/>
          <w:sz w:val="21"/>
          <w:szCs w:val="21"/>
        </w:rPr>
      </w:pPr>
    </w:p>
    <w:p w14:paraId="690E1514" w14:textId="77777777" w:rsidR="00E601F6" w:rsidRDefault="00E601F6" w:rsidP="00E601F6">
      <w:pPr>
        <w:ind w:firstLine="708"/>
        <w:jc w:val="both"/>
        <w:rPr>
          <w:rFonts w:ascii="Abadi" w:hAnsi="Abadi"/>
          <w:sz w:val="21"/>
          <w:szCs w:val="21"/>
        </w:rPr>
      </w:pPr>
      <w:r>
        <w:rPr>
          <w:rFonts w:ascii="Abadi" w:hAnsi="Abadi"/>
          <w:sz w:val="21"/>
          <w:szCs w:val="21"/>
        </w:rPr>
        <w:t>- N</w:t>
      </w:r>
      <w:r w:rsidRPr="006813AA">
        <w:rPr>
          <w:rFonts w:ascii="Abadi" w:hAnsi="Abadi"/>
          <w:sz w:val="21"/>
          <w:szCs w:val="21"/>
        </w:rPr>
        <w:t xml:space="preserve">o habiendo participaciones y pida a la </w:t>
      </w:r>
      <w:r>
        <w:rPr>
          <w:rFonts w:ascii="Abadi" w:hAnsi="Abadi"/>
          <w:sz w:val="21"/>
          <w:szCs w:val="21"/>
        </w:rPr>
        <w:t>S</w:t>
      </w:r>
      <w:r w:rsidRPr="006813AA">
        <w:rPr>
          <w:rFonts w:ascii="Abadi" w:hAnsi="Abadi"/>
          <w:sz w:val="21"/>
          <w:szCs w:val="21"/>
        </w:rPr>
        <w:t xml:space="preserve">ecretaría que proceda a recabar votación nominal de la </w:t>
      </w:r>
      <w:r>
        <w:rPr>
          <w:rFonts w:ascii="Abadi" w:hAnsi="Abadi"/>
          <w:sz w:val="21"/>
          <w:szCs w:val="21"/>
        </w:rPr>
        <w:t>A</w:t>
      </w:r>
      <w:r w:rsidRPr="006813AA">
        <w:rPr>
          <w:rFonts w:ascii="Abadi" w:hAnsi="Abadi"/>
          <w:sz w:val="21"/>
          <w:szCs w:val="21"/>
        </w:rPr>
        <w:t xml:space="preserve">samblea a través del sistema electrónico efecto de aprobar o no el dictamen puesto </w:t>
      </w:r>
      <w:r>
        <w:rPr>
          <w:rFonts w:ascii="Abadi" w:hAnsi="Abadi"/>
          <w:sz w:val="21"/>
          <w:szCs w:val="21"/>
        </w:rPr>
        <w:t xml:space="preserve">a </w:t>
      </w:r>
      <w:r w:rsidRPr="006813AA">
        <w:rPr>
          <w:rFonts w:ascii="Abadi" w:hAnsi="Abadi"/>
          <w:sz w:val="21"/>
          <w:szCs w:val="21"/>
        </w:rPr>
        <w:t>su consideración</w:t>
      </w:r>
      <w:r>
        <w:rPr>
          <w:rFonts w:ascii="Abadi" w:hAnsi="Abadi"/>
          <w:sz w:val="21"/>
          <w:szCs w:val="21"/>
        </w:rPr>
        <w:t>.</w:t>
      </w:r>
    </w:p>
    <w:p w14:paraId="4C5FE7DD" w14:textId="7AAD6524" w:rsidR="00E601F6" w:rsidRDefault="00E601F6" w:rsidP="00E601F6">
      <w:pPr>
        <w:ind w:firstLine="708"/>
        <w:jc w:val="both"/>
        <w:rPr>
          <w:rFonts w:ascii="Abadi" w:hAnsi="Abadi"/>
          <w:sz w:val="21"/>
          <w:szCs w:val="21"/>
        </w:rPr>
      </w:pPr>
      <w:r w:rsidRPr="006813AA">
        <w:rPr>
          <w:rFonts w:ascii="Abadi" w:hAnsi="Abadi"/>
          <w:sz w:val="21"/>
          <w:szCs w:val="21"/>
        </w:rPr>
        <w:t xml:space="preserve"> </w:t>
      </w:r>
    </w:p>
    <w:p w14:paraId="164EF5EF" w14:textId="77777777" w:rsidR="00E601F6" w:rsidRPr="003708CB" w:rsidRDefault="00E601F6" w:rsidP="00E601F6">
      <w:pPr>
        <w:ind w:firstLine="708"/>
        <w:jc w:val="both"/>
        <w:rPr>
          <w:rFonts w:ascii="Abadi" w:hAnsi="Abadi"/>
          <w:b/>
          <w:bCs/>
          <w:sz w:val="21"/>
          <w:szCs w:val="21"/>
        </w:rPr>
      </w:pPr>
      <w:r w:rsidRPr="003708CB">
        <w:rPr>
          <w:rFonts w:ascii="Abadi" w:hAnsi="Abadi"/>
          <w:b/>
          <w:bCs/>
          <w:sz w:val="21"/>
          <w:szCs w:val="21"/>
        </w:rPr>
        <w:t>(Se abre nuestro sistema electrónico)</w:t>
      </w:r>
    </w:p>
    <w:p w14:paraId="4B5D538E" w14:textId="5C4B9BF9" w:rsidR="00E601F6" w:rsidRDefault="00E601F6" w:rsidP="00E601F6">
      <w:pPr>
        <w:ind w:firstLine="708"/>
        <w:jc w:val="both"/>
        <w:rPr>
          <w:rFonts w:ascii="Abadi" w:hAnsi="Abadi"/>
          <w:sz w:val="21"/>
          <w:szCs w:val="21"/>
        </w:rPr>
      </w:pPr>
      <w:r w:rsidRPr="003708CB">
        <w:rPr>
          <w:rFonts w:ascii="Abadi" w:hAnsi="Abadi"/>
          <w:b/>
          <w:bCs/>
          <w:sz w:val="21"/>
          <w:szCs w:val="21"/>
        </w:rPr>
        <w:t xml:space="preserve"> - El Presidente.- </w:t>
      </w:r>
      <w:r>
        <w:rPr>
          <w:rFonts w:ascii="Abadi" w:hAnsi="Abadi"/>
          <w:sz w:val="21"/>
          <w:szCs w:val="21"/>
        </w:rPr>
        <w:t>En</w:t>
      </w:r>
      <w:r w:rsidRPr="006813AA">
        <w:rPr>
          <w:rFonts w:ascii="Abadi" w:hAnsi="Abadi"/>
          <w:sz w:val="21"/>
          <w:szCs w:val="21"/>
        </w:rPr>
        <w:t xml:space="preserve"> votación nominal por el sistema electrónico se pregunta a las diputadas y los diputados </w:t>
      </w:r>
      <w:r>
        <w:rPr>
          <w:rFonts w:ascii="Abadi" w:hAnsi="Abadi"/>
          <w:sz w:val="21"/>
          <w:szCs w:val="21"/>
        </w:rPr>
        <w:t>si</w:t>
      </w:r>
      <w:r w:rsidRPr="006813AA">
        <w:rPr>
          <w:rFonts w:ascii="Abadi" w:hAnsi="Abadi"/>
          <w:sz w:val="21"/>
          <w:szCs w:val="21"/>
        </w:rPr>
        <w:t xml:space="preserve"> se aprueba el dictamen puesto a su consideración</w:t>
      </w:r>
      <w:r>
        <w:rPr>
          <w:rFonts w:ascii="Abadi" w:hAnsi="Abadi"/>
          <w:sz w:val="21"/>
          <w:szCs w:val="21"/>
        </w:rPr>
        <w:t>. ¿Diputado G</w:t>
      </w:r>
      <w:r w:rsidRPr="006813AA">
        <w:rPr>
          <w:rFonts w:ascii="Abadi" w:hAnsi="Abadi"/>
          <w:sz w:val="21"/>
          <w:szCs w:val="21"/>
        </w:rPr>
        <w:t xml:space="preserve">ustavo </w:t>
      </w:r>
      <w:r>
        <w:rPr>
          <w:rFonts w:ascii="Abadi" w:hAnsi="Abadi"/>
          <w:sz w:val="21"/>
          <w:szCs w:val="21"/>
        </w:rPr>
        <w:t>A</w:t>
      </w:r>
      <w:r w:rsidRPr="006813AA">
        <w:rPr>
          <w:rFonts w:ascii="Abadi" w:hAnsi="Abadi"/>
          <w:sz w:val="21"/>
          <w:szCs w:val="21"/>
        </w:rPr>
        <w:t>dolfo</w:t>
      </w:r>
      <w:r>
        <w:rPr>
          <w:rFonts w:ascii="Abadi" w:hAnsi="Abadi"/>
          <w:sz w:val="21"/>
          <w:szCs w:val="21"/>
        </w:rPr>
        <w:t>?</w:t>
      </w:r>
      <w:r w:rsidRPr="006813AA">
        <w:rPr>
          <w:rFonts w:ascii="Abadi" w:hAnsi="Abadi"/>
          <w:sz w:val="21"/>
          <w:szCs w:val="21"/>
        </w:rPr>
        <w:t xml:space="preserve"> </w:t>
      </w:r>
      <w:r>
        <w:rPr>
          <w:rFonts w:ascii="Abadi" w:hAnsi="Abadi"/>
          <w:sz w:val="21"/>
          <w:szCs w:val="21"/>
        </w:rPr>
        <w:t>¿D</w:t>
      </w:r>
      <w:r w:rsidRPr="006813AA">
        <w:rPr>
          <w:rFonts w:ascii="Abadi" w:hAnsi="Abadi"/>
          <w:sz w:val="21"/>
          <w:szCs w:val="21"/>
        </w:rPr>
        <w:t xml:space="preserve">iputado </w:t>
      </w:r>
      <w:r>
        <w:rPr>
          <w:rFonts w:ascii="Abadi" w:hAnsi="Abadi"/>
          <w:sz w:val="21"/>
          <w:szCs w:val="21"/>
        </w:rPr>
        <w:t>V</w:t>
      </w:r>
      <w:r w:rsidRPr="006813AA">
        <w:rPr>
          <w:rFonts w:ascii="Abadi" w:hAnsi="Abadi"/>
          <w:sz w:val="21"/>
          <w:szCs w:val="21"/>
        </w:rPr>
        <w:t xml:space="preserve">íctor Manuel </w:t>
      </w:r>
      <w:r>
        <w:rPr>
          <w:rFonts w:ascii="Abadi" w:hAnsi="Abadi"/>
          <w:sz w:val="21"/>
          <w:szCs w:val="21"/>
        </w:rPr>
        <w:t>Z</w:t>
      </w:r>
      <w:r w:rsidRPr="006813AA">
        <w:rPr>
          <w:rFonts w:ascii="Abadi" w:hAnsi="Abadi"/>
          <w:sz w:val="21"/>
          <w:szCs w:val="21"/>
        </w:rPr>
        <w:t>avala</w:t>
      </w:r>
      <w:r>
        <w:rPr>
          <w:rFonts w:ascii="Abadi" w:hAnsi="Abadi"/>
          <w:sz w:val="21"/>
          <w:szCs w:val="21"/>
        </w:rPr>
        <w:t>?</w:t>
      </w:r>
    </w:p>
    <w:p w14:paraId="5BAB7506" w14:textId="77777777" w:rsidR="00E601F6" w:rsidRDefault="00E601F6" w:rsidP="00E601F6">
      <w:pPr>
        <w:ind w:firstLine="708"/>
        <w:jc w:val="both"/>
        <w:rPr>
          <w:rFonts w:ascii="Abadi" w:hAnsi="Abadi"/>
          <w:sz w:val="21"/>
          <w:szCs w:val="21"/>
        </w:rPr>
      </w:pPr>
    </w:p>
    <w:p w14:paraId="565B4E1E" w14:textId="5BB551A7" w:rsidR="00E601F6" w:rsidRDefault="00E601F6" w:rsidP="00E601F6">
      <w:pPr>
        <w:ind w:firstLine="708"/>
        <w:jc w:val="both"/>
        <w:rPr>
          <w:rFonts w:ascii="Abadi" w:hAnsi="Abadi"/>
          <w:sz w:val="21"/>
          <w:szCs w:val="21"/>
        </w:rPr>
      </w:pPr>
      <w:r>
        <w:rPr>
          <w:rFonts w:ascii="Abadi" w:hAnsi="Abadi"/>
          <w:sz w:val="21"/>
          <w:szCs w:val="21"/>
        </w:rPr>
        <w:t>¿F</w:t>
      </w:r>
      <w:r w:rsidRPr="006813AA">
        <w:rPr>
          <w:rFonts w:ascii="Abadi" w:hAnsi="Abadi"/>
          <w:sz w:val="21"/>
          <w:szCs w:val="21"/>
        </w:rPr>
        <w:t>alta alguna diputada o algún diputado de emitir su voto</w:t>
      </w:r>
      <w:r>
        <w:rPr>
          <w:rFonts w:ascii="Abadi" w:hAnsi="Abadi"/>
          <w:sz w:val="21"/>
          <w:szCs w:val="21"/>
        </w:rPr>
        <w:t>?</w:t>
      </w:r>
    </w:p>
    <w:p w14:paraId="560A51C7" w14:textId="77777777" w:rsidR="00E601F6" w:rsidRDefault="00E601F6" w:rsidP="00E601F6">
      <w:pPr>
        <w:ind w:firstLine="708"/>
        <w:jc w:val="both"/>
        <w:rPr>
          <w:rFonts w:ascii="Abadi" w:hAnsi="Abadi"/>
          <w:sz w:val="21"/>
          <w:szCs w:val="21"/>
        </w:rPr>
      </w:pPr>
    </w:p>
    <w:p w14:paraId="07D0C572" w14:textId="6C2AF89E" w:rsidR="00E601F6" w:rsidRDefault="00E601F6" w:rsidP="00E601F6">
      <w:pPr>
        <w:ind w:firstLine="708"/>
        <w:jc w:val="both"/>
        <w:rPr>
          <w:rFonts w:ascii="Abadi" w:hAnsi="Abadi"/>
          <w:b/>
          <w:bCs/>
          <w:sz w:val="21"/>
          <w:szCs w:val="21"/>
        </w:rPr>
      </w:pPr>
      <w:r>
        <w:rPr>
          <w:noProof/>
        </w:rPr>
        <w:drawing>
          <wp:anchor distT="0" distB="0" distL="114300" distR="114300" simplePos="0" relativeHeight="251697152" behindDoc="1" locked="0" layoutInCell="1" allowOverlap="1" wp14:anchorId="0EEE1782" wp14:editId="4790B86A">
            <wp:simplePos x="0" y="0"/>
            <wp:positionH relativeFrom="column">
              <wp:align>right</wp:align>
            </wp:positionH>
            <wp:positionV relativeFrom="paragraph">
              <wp:posOffset>602771</wp:posOffset>
            </wp:positionV>
            <wp:extent cx="1784882" cy="931840"/>
            <wp:effectExtent l="323850" t="323850" r="330200" b="325755"/>
            <wp:wrapTight wrapText="bothSides">
              <wp:wrapPolygon edited="0">
                <wp:start x="-2306" y="-7509"/>
                <wp:lineTo x="-3920" y="-6626"/>
                <wp:lineTo x="-3920" y="22086"/>
                <wp:lineTo x="-2306" y="28712"/>
                <wp:lineTo x="23752" y="28712"/>
                <wp:lineTo x="25367" y="22086"/>
                <wp:lineTo x="25367" y="442"/>
                <wp:lineTo x="23752" y="-6184"/>
                <wp:lineTo x="23752" y="-7509"/>
                <wp:lineTo x="-2306" y="-7509"/>
              </wp:wrapPolygon>
            </wp:wrapTight>
            <wp:docPr id="47" name="Imagen 47"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Interfaz de usuario gráfica, Sitio web&#10;&#10;Descripción generada automáticamente"/>
                    <pic:cNvPicPr/>
                  </pic:nvPicPr>
                  <pic:blipFill rotWithShape="1">
                    <a:blip r:embed="rId50" cstate="print">
                      <a:extLst>
                        <a:ext uri="{28A0092B-C50C-407E-A947-70E740481C1C}">
                          <a14:useLocalDpi xmlns:a14="http://schemas.microsoft.com/office/drawing/2010/main" val="0"/>
                        </a:ext>
                      </a:extLst>
                    </a:blip>
                    <a:srcRect b="7143"/>
                    <a:stretch/>
                  </pic:blipFill>
                  <pic:spPr bwMode="auto">
                    <a:xfrm>
                      <a:off x="0" y="0"/>
                      <a:ext cx="1784882" cy="931840"/>
                    </a:xfrm>
                    <a:prstGeom prst="rect">
                      <a:avLst/>
                    </a:prstGeom>
                    <a:ln w="88900" cap="sq" cmpd="thickThin">
                      <a:solidFill>
                        <a:srgbClr val="000000"/>
                      </a:solidFill>
                      <a:prstDash val="solid"/>
                      <a:miter lim="800000"/>
                    </a:ln>
                    <a:effectLst>
                      <a:glow rad="228600">
                        <a:schemeClr val="accent3">
                          <a:satMod val="17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r w:rsidRPr="003708CB">
        <w:rPr>
          <w:rFonts w:ascii="Abadi" w:hAnsi="Abadi"/>
          <w:b/>
          <w:bCs/>
          <w:sz w:val="21"/>
          <w:szCs w:val="21"/>
        </w:rPr>
        <w:t xml:space="preserve"> (Cerramos el sistema electrónico)</w:t>
      </w:r>
    </w:p>
    <w:p w14:paraId="4EDE3ABB" w14:textId="0D3B6716" w:rsidR="00E601F6" w:rsidRPr="009F3156" w:rsidRDefault="00E601F6" w:rsidP="00E601F6">
      <w:pPr>
        <w:pStyle w:val="Prrafodelista"/>
        <w:spacing w:after="160" w:line="259" w:lineRule="auto"/>
        <w:ind w:left="0"/>
        <w:contextualSpacing/>
        <w:jc w:val="both"/>
        <w:rPr>
          <w:rFonts w:ascii="Abadi" w:hAnsi="Abadi"/>
          <w:sz w:val="21"/>
          <w:szCs w:val="21"/>
        </w:rPr>
      </w:pPr>
      <w:r>
        <w:rPr>
          <w:rFonts w:ascii="Abadi" w:hAnsi="Abadi"/>
          <w:b/>
          <w:bCs/>
          <w:sz w:val="21"/>
          <w:szCs w:val="21"/>
        </w:rPr>
        <w:tab/>
        <w:t xml:space="preserve">- </w:t>
      </w:r>
      <w:r w:rsidRPr="009F3156">
        <w:rPr>
          <w:rFonts w:ascii="Abadi" w:hAnsi="Abadi"/>
          <w:b/>
          <w:bCs/>
          <w:sz w:val="21"/>
          <w:szCs w:val="21"/>
        </w:rPr>
        <w:t>El Secretario.-</w:t>
      </w:r>
      <w:r>
        <w:rPr>
          <w:rFonts w:ascii="Abadi" w:hAnsi="Abadi"/>
          <w:sz w:val="21"/>
          <w:szCs w:val="21"/>
        </w:rPr>
        <w:t xml:space="preserve"> </w:t>
      </w:r>
      <w:r w:rsidRPr="009F3156">
        <w:rPr>
          <w:rFonts w:ascii="Abadi" w:hAnsi="Abadi"/>
          <w:sz w:val="21"/>
          <w:szCs w:val="21"/>
        </w:rPr>
        <w:t>Señor Presidente se</w:t>
      </w:r>
      <w:r>
        <w:rPr>
          <w:rFonts w:ascii="Abadi" w:hAnsi="Abadi"/>
          <w:sz w:val="21"/>
          <w:szCs w:val="21"/>
        </w:rPr>
        <w:t xml:space="preserve"> </w:t>
      </w:r>
      <w:r w:rsidRPr="009F3156">
        <w:rPr>
          <w:rFonts w:ascii="Abadi" w:hAnsi="Abadi"/>
          <w:sz w:val="21"/>
          <w:szCs w:val="21"/>
        </w:rPr>
        <w:t>registraron 31 votos a favor y 1 en contra.</w:t>
      </w:r>
    </w:p>
    <w:p w14:paraId="3E7FEACE" w14:textId="161EADD1" w:rsidR="00E601F6" w:rsidRDefault="00E601F6" w:rsidP="00E601F6">
      <w:pPr>
        <w:ind w:firstLine="708"/>
        <w:jc w:val="both"/>
        <w:rPr>
          <w:rFonts w:ascii="Abadi" w:hAnsi="Abadi"/>
          <w:sz w:val="21"/>
          <w:szCs w:val="21"/>
        </w:rPr>
      </w:pPr>
      <w:r>
        <w:rPr>
          <w:rFonts w:ascii="Abadi" w:hAnsi="Abadi"/>
          <w:sz w:val="21"/>
          <w:szCs w:val="21"/>
        </w:rPr>
        <w:t>- E</w:t>
      </w:r>
      <w:r w:rsidRPr="006813AA">
        <w:rPr>
          <w:rFonts w:ascii="Abadi" w:hAnsi="Abadi"/>
          <w:sz w:val="21"/>
          <w:szCs w:val="21"/>
        </w:rPr>
        <w:t>l dictamen ha sido aprobado por mayoría de votos</w:t>
      </w:r>
      <w:r>
        <w:rPr>
          <w:rFonts w:ascii="Abadi" w:hAnsi="Abadi"/>
          <w:sz w:val="21"/>
          <w:szCs w:val="21"/>
        </w:rPr>
        <w:t>.</w:t>
      </w:r>
    </w:p>
    <w:p w14:paraId="31FED6AF" w14:textId="77777777" w:rsidR="00E601F6" w:rsidRDefault="00E601F6" w:rsidP="00E601F6">
      <w:pPr>
        <w:ind w:firstLine="708"/>
        <w:jc w:val="both"/>
        <w:rPr>
          <w:rFonts w:ascii="Abadi" w:hAnsi="Abadi"/>
          <w:sz w:val="21"/>
          <w:szCs w:val="21"/>
        </w:rPr>
      </w:pPr>
    </w:p>
    <w:p w14:paraId="4C5FB6A1" w14:textId="77777777" w:rsidR="00E601F6" w:rsidRPr="000058B6" w:rsidRDefault="00E601F6" w:rsidP="00E601F6">
      <w:pPr>
        <w:ind w:left="567" w:right="567"/>
        <w:jc w:val="both"/>
        <w:rPr>
          <w:rFonts w:ascii="Abadi" w:hAnsi="Abadi"/>
          <w:b/>
          <w:bCs/>
          <w:i/>
          <w:iCs/>
          <w:sz w:val="21"/>
          <w:szCs w:val="21"/>
          <w:u w:val="single"/>
        </w:rPr>
      </w:pPr>
      <w:r w:rsidRPr="000058B6">
        <w:rPr>
          <w:rFonts w:ascii="Abadi" w:hAnsi="Abadi"/>
          <w:b/>
          <w:bCs/>
          <w:i/>
          <w:iCs/>
          <w:sz w:val="21"/>
          <w:szCs w:val="21"/>
          <w:u w:val="single"/>
        </w:rPr>
        <w:t>En consecuencia, se instruye a la Secretaría General para que proceda al archivo definitivo de la iniciativa referida en el dictamen aprobado.</w:t>
      </w:r>
    </w:p>
    <w:p w14:paraId="2768708F" w14:textId="32900F7C" w:rsidR="00E462B6" w:rsidRDefault="00E462B6" w:rsidP="007E6E2B">
      <w:pPr>
        <w:autoSpaceDE w:val="0"/>
        <w:autoSpaceDN w:val="0"/>
        <w:adjustRightInd w:val="0"/>
        <w:jc w:val="both"/>
        <w:rPr>
          <w:rFonts w:ascii="Abadi" w:hAnsi="Abadi" w:cs="ArialMT"/>
          <w:sz w:val="20"/>
          <w:szCs w:val="21"/>
        </w:rPr>
      </w:pPr>
    </w:p>
    <w:p w14:paraId="5BAEE1F6" w14:textId="77777777" w:rsidR="0094362E" w:rsidRPr="0094362E" w:rsidRDefault="0094362E" w:rsidP="00E462B6">
      <w:pPr>
        <w:autoSpaceDE w:val="0"/>
        <w:autoSpaceDN w:val="0"/>
        <w:adjustRightInd w:val="0"/>
        <w:jc w:val="both"/>
        <w:rPr>
          <w:rFonts w:ascii="Abadi" w:hAnsi="Abadi" w:cs="ArialMT"/>
          <w:sz w:val="20"/>
          <w:szCs w:val="21"/>
        </w:rPr>
      </w:pPr>
    </w:p>
    <w:p w14:paraId="6CB2F8D6" w14:textId="77777777" w:rsidR="00E462B6" w:rsidRPr="0028553C" w:rsidRDefault="00E462B6">
      <w:pPr>
        <w:pStyle w:val="Prrafodelista"/>
        <w:numPr>
          <w:ilvl w:val="0"/>
          <w:numId w:val="14"/>
        </w:numPr>
        <w:autoSpaceDE w:val="0"/>
        <w:autoSpaceDN w:val="0"/>
        <w:adjustRightInd w:val="0"/>
        <w:contextualSpacing/>
        <w:jc w:val="both"/>
        <w:rPr>
          <w:rFonts w:ascii="Abadi" w:hAnsi="Abadi" w:cs="ArialMT"/>
          <w:b/>
          <w:bCs/>
          <w:sz w:val="20"/>
          <w:szCs w:val="21"/>
        </w:rPr>
      </w:pPr>
      <w:r w:rsidRPr="0028553C">
        <w:rPr>
          <w:rFonts w:ascii="Abadi" w:hAnsi="Abadi" w:cs="ArialMT"/>
          <w:b/>
          <w:bCs/>
          <w:sz w:val="20"/>
          <w:szCs w:val="21"/>
        </w:rPr>
        <w:t>DISCUSIÓN Y, EN SU CASO, APROBACIÓN DEL DICTAMEN SIGNADO POR LA COMISIÓN DE DERECHOS HUMANOS Y ATENCIÓN A GRUPOS VULNERABLES RELATIVO A LA INICIATIVA SUSCRITA POR LA DIPUTADA MARÍA DE JESÚS EUNICES REVELES CONEJO DE LA REPRESENTACIÓN PARLAMENTARIA DEL PARTIDO DEL TRABAJO ANTE LA SEXAGÉSIMA CUARTA LEGISLATURA, A EFECTO DE ADICIONAR LAS FRACCIONES XVI Y XVII RECORRIÉNDOSE EN SU ORDEN LA SUBSECUENTE, AL ARTÍCULO 6 DE LA LEY DE INCLUSIÓN PARA LAS PERSONAS CON DISCAPACIDAD EN EL ESTADO DE GUANAJUATO.</w:t>
      </w:r>
    </w:p>
    <w:p w14:paraId="2901103F" w14:textId="41A68DF0" w:rsidR="00E462B6" w:rsidRDefault="00E462B6" w:rsidP="00E462B6">
      <w:pPr>
        <w:autoSpaceDE w:val="0"/>
        <w:autoSpaceDN w:val="0"/>
        <w:adjustRightInd w:val="0"/>
        <w:jc w:val="both"/>
        <w:rPr>
          <w:rFonts w:ascii="Abadi" w:hAnsi="Abadi" w:cs="Arial-BoldMT"/>
          <w:sz w:val="20"/>
          <w:szCs w:val="21"/>
        </w:rPr>
      </w:pPr>
    </w:p>
    <w:p w14:paraId="755F0152" w14:textId="77777777" w:rsidR="00E871CF" w:rsidRPr="00E871CF" w:rsidRDefault="00E871CF" w:rsidP="00E871CF">
      <w:pPr>
        <w:widowControl w:val="0"/>
        <w:jc w:val="both"/>
        <w:rPr>
          <w:rFonts w:ascii="Abadi" w:hAnsi="Abadi"/>
          <w:b/>
          <w:bCs/>
          <w:sz w:val="21"/>
          <w:szCs w:val="21"/>
          <w:lang w:val="es-MX" w:eastAsia="en-US"/>
        </w:rPr>
      </w:pPr>
      <w:r w:rsidRPr="00E871CF">
        <w:rPr>
          <w:rFonts w:ascii="Abadi" w:hAnsi="Abadi"/>
          <w:b/>
          <w:bCs/>
          <w:sz w:val="21"/>
          <w:szCs w:val="21"/>
          <w:lang w:val="es-MX" w:eastAsia="en-US"/>
        </w:rPr>
        <w:t>DICTAMEN NEGATIVO QUE LA COMISIÓN DE DERECHOS HUMANOS Y ATENCIÓN A GRUPOS VULNERABLES PRESENTA AL PLENO DEL CONGRESO, DE LA INICIATIVA SUSCRITA POR LA DIPUTADA MARÍA DE JESÚS EUNICES REVELES CONEJO DE LA REPRESENTACIÓN PARLAMENTARIA DEL PARTIDO DEL TRABAJO, EN LA SEXAGÉSIMA CUARTA LEGISLATURA, A EFECTO DE ADICIONAR LAS FRACCIONES XVI Y XVII RECORRIÉNDOSE EN SU ORDEN LA SUBSECUENTE, AL ARTÍCULO 6 DE LA LEY DE INCLUSIÓN PARA LAS PERSONAS CON DISCAPACIDAD EN EL ESTADO DE GUANAJUATO.</w:t>
      </w:r>
    </w:p>
    <w:p w14:paraId="58C2A3FE" w14:textId="77777777" w:rsidR="00E871CF" w:rsidRPr="00E871CF" w:rsidRDefault="00E871CF" w:rsidP="00E871CF">
      <w:pPr>
        <w:widowControl w:val="0"/>
        <w:spacing w:line="360" w:lineRule="auto"/>
        <w:jc w:val="both"/>
        <w:rPr>
          <w:rFonts w:ascii="Abadi" w:hAnsi="Abadi" w:cs="Arial"/>
          <w:sz w:val="21"/>
          <w:szCs w:val="21"/>
          <w:lang w:val="es-MX"/>
        </w:rPr>
      </w:pPr>
    </w:p>
    <w:p w14:paraId="3E1A3532" w14:textId="77777777" w:rsidR="00E871CF" w:rsidRPr="00E871CF" w:rsidRDefault="00E871CF" w:rsidP="00E871CF">
      <w:pPr>
        <w:widowControl w:val="0"/>
        <w:spacing w:line="360" w:lineRule="auto"/>
        <w:jc w:val="both"/>
        <w:rPr>
          <w:rFonts w:ascii="Abadi" w:hAnsi="Abadi" w:cs="Arial"/>
          <w:sz w:val="21"/>
          <w:szCs w:val="21"/>
          <w:lang w:val="es-MX"/>
        </w:rPr>
      </w:pPr>
    </w:p>
    <w:p w14:paraId="0E77848D" w14:textId="77777777" w:rsidR="00E871CF" w:rsidRPr="00E871CF" w:rsidRDefault="00E871CF" w:rsidP="00B6141E">
      <w:pPr>
        <w:widowControl w:val="0"/>
        <w:ind w:firstLine="851"/>
        <w:jc w:val="both"/>
        <w:rPr>
          <w:rFonts w:ascii="Abadi" w:hAnsi="Abadi" w:cs="Arial"/>
          <w:sz w:val="21"/>
          <w:szCs w:val="21"/>
          <w:lang w:val="es-MX"/>
        </w:rPr>
      </w:pPr>
      <w:r w:rsidRPr="00E871CF">
        <w:rPr>
          <w:rFonts w:ascii="Abadi" w:hAnsi="Abadi" w:cs="Arial"/>
          <w:sz w:val="21"/>
          <w:szCs w:val="21"/>
          <w:lang w:val="es-MX"/>
        </w:rPr>
        <w:t>A la Comisión de Derechos Humanos y Atención a Grupos Vulnerables le fue turnada para estudio y dictamen, la iniciativa suscrita por la diputada María de Jesús Eunices Reveles Conejo de la Representación Parlamentaria del Partido del Trabajo, en la Sexagésima Cuarta Legislatura, a efecto de adicionar las fracciones XVI y XVII recorriéndose en su orden la subsecuente, al artículo 6 de la Ley de Inclusión para las Personas con Discapacidad en el Estado de Guanajuato.</w:t>
      </w:r>
    </w:p>
    <w:p w14:paraId="1A24D058" w14:textId="77777777" w:rsidR="00E871CF" w:rsidRPr="00E871CF" w:rsidRDefault="00E871CF" w:rsidP="00B6141E">
      <w:pPr>
        <w:widowControl w:val="0"/>
        <w:jc w:val="both"/>
        <w:rPr>
          <w:rFonts w:ascii="Abadi" w:hAnsi="Abadi" w:cs="Arial"/>
          <w:sz w:val="21"/>
          <w:szCs w:val="21"/>
          <w:lang w:val="es-MX"/>
        </w:rPr>
      </w:pPr>
    </w:p>
    <w:p w14:paraId="11597F83" w14:textId="77777777" w:rsidR="00E871CF" w:rsidRPr="00E871CF" w:rsidRDefault="00E871CF" w:rsidP="00B6141E">
      <w:pPr>
        <w:widowControl w:val="0"/>
        <w:ind w:firstLine="851"/>
        <w:jc w:val="both"/>
        <w:rPr>
          <w:rFonts w:ascii="Abadi" w:hAnsi="Abadi" w:cs="Arial"/>
          <w:sz w:val="21"/>
          <w:szCs w:val="21"/>
          <w:lang w:val="es-MX"/>
        </w:rPr>
      </w:pPr>
      <w:r w:rsidRPr="00E871CF">
        <w:rPr>
          <w:rFonts w:ascii="Abadi" w:hAnsi="Abadi" w:cs="Arial"/>
          <w:sz w:val="21"/>
          <w:szCs w:val="21"/>
          <w:lang w:val="es-MX"/>
        </w:rPr>
        <w:t>Analizada la iniciativa de referencia, esta Comisión de conformidad con lo dispuesto en los artículos 89 -fracción V- y 171 de la Ley Orgánica del Poder Legislativo del Estado de Guanajuato rinde el dictamen, con base en las siguientes:</w:t>
      </w:r>
    </w:p>
    <w:p w14:paraId="317D7944" w14:textId="77777777" w:rsidR="00E871CF" w:rsidRPr="00E871CF" w:rsidRDefault="00E871CF" w:rsidP="00E871CF">
      <w:pPr>
        <w:widowControl w:val="0"/>
        <w:spacing w:line="360" w:lineRule="auto"/>
        <w:jc w:val="both"/>
        <w:rPr>
          <w:rFonts w:ascii="Abadi" w:hAnsi="Abadi" w:cs="Arial"/>
          <w:sz w:val="21"/>
          <w:szCs w:val="21"/>
          <w:lang w:val="es-MX"/>
        </w:rPr>
      </w:pPr>
    </w:p>
    <w:p w14:paraId="35A1F3C8" w14:textId="77777777" w:rsidR="00E871CF" w:rsidRPr="00E871CF" w:rsidRDefault="00E871CF" w:rsidP="00E871CF">
      <w:pPr>
        <w:widowControl w:val="0"/>
        <w:spacing w:line="360" w:lineRule="auto"/>
        <w:jc w:val="both"/>
        <w:rPr>
          <w:rFonts w:ascii="Abadi" w:hAnsi="Abadi" w:cs="Arial"/>
          <w:sz w:val="21"/>
          <w:szCs w:val="21"/>
          <w:lang w:val="es-MX"/>
        </w:rPr>
      </w:pPr>
    </w:p>
    <w:p w14:paraId="2111FD79" w14:textId="77777777" w:rsidR="00E871CF" w:rsidRPr="00E871CF" w:rsidRDefault="00E871CF" w:rsidP="00B6141E">
      <w:pPr>
        <w:widowControl w:val="0"/>
        <w:jc w:val="center"/>
        <w:rPr>
          <w:rFonts w:ascii="Abadi" w:hAnsi="Abadi" w:cs="Arial"/>
          <w:b/>
          <w:sz w:val="21"/>
          <w:szCs w:val="21"/>
          <w:lang w:val="es-MX"/>
        </w:rPr>
      </w:pPr>
      <w:r w:rsidRPr="00E871CF">
        <w:rPr>
          <w:rFonts w:ascii="Abadi" w:hAnsi="Abadi" w:cs="Arial"/>
          <w:b/>
          <w:sz w:val="21"/>
          <w:szCs w:val="21"/>
          <w:lang w:val="es-MX"/>
        </w:rPr>
        <w:t>C O N S I D E R A C I O N E S</w:t>
      </w:r>
    </w:p>
    <w:p w14:paraId="4A35DF2D" w14:textId="77777777" w:rsidR="00E871CF" w:rsidRPr="00E871CF" w:rsidRDefault="00E871CF" w:rsidP="00B6141E">
      <w:pPr>
        <w:widowControl w:val="0"/>
        <w:jc w:val="both"/>
        <w:rPr>
          <w:rFonts w:ascii="Abadi" w:hAnsi="Abadi" w:cs="Arial"/>
          <w:sz w:val="21"/>
          <w:szCs w:val="21"/>
          <w:lang w:val="es-MX"/>
        </w:rPr>
      </w:pPr>
    </w:p>
    <w:p w14:paraId="0FBFA17C" w14:textId="77777777" w:rsidR="00E871CF" w:rsidRPr="00E871CF" w:rsidRDefault="00E871CF" w:rsidP="00B6141E">
      <w:pPr>
        <w:widowControl w:val="0"/>
        <w:ind w:left="851"/>
        <w:jc w:val="both"/>
        <w:rPr>
          <w:rFonts w:ascii="Abadi" w:hAnsi="Abadi" w:cs="Arial"/>
          <w:b/>
          <w:sz w:val="21"/>
          <w:szCs w:val="21"/>
          <w:lang w:val="es-MX"/>
        </w:rPr>
      </w:pPr>
      <w:r w:rsidRPr="00E871CF">
        <w:rPr>
          <w:rFonts w:ascii="Abadi" w:hAnsi="Abadi" w:cs="Arial"/>
          <w:b/>
          <w:sz w:val="21"/>
          <w:szCs w:val="21"/>
          <w:lang w:val="es-MX"/>
        </w:rPr>
        <w:t>PROCESO LEGISLATIVO.</w:t>
      </w:r>
    </w:p>
    <w:p w14:paraId="45A2C73F" w14:textId="77777777" w:rsidR="00E871CF" w:rsidRPr="00E871CF" w:rsidRDefault="00E871CF" w:rsidP="00B6141E">
      <w:pPr>
        <w:widowControl w:val="0"/>
        <w:jc w:val="both"/>
        <w:rPr>
          <w:rFonts w:ascii="Abadi" w:hAnsi="Abadi" w:cs="Arial"/>
          <w:sz w:val="21"/>
          <w:szCs w:val="21"/>
          <w:lang w:val="es-MX"/>
        </w:rPr>
      </w:pPr>
    </w:p>
    <w:p w14:paraId="10C29461" w14:textId="77777777" w:rsidR="00E871CF" w:rsidRPr="00E871CF" w:rsidRDefault="00E871CF" w:rsidP="00B6141E">
      <w:pPr>
        <w:widowControl w:val="0"/>
        <w:ind w:firstLine="851"/>
        <w:jc w:val="both"/>
        <w:rPr>
          <w:rFonts w:ascii="Abadi" w:hAnsi="Abadi" w:cs="Arial"/>
          <w:sz w:val="21"/>
          <w:szCs w:val="21"/>
          <w:lang w:val="es-MX"/>
        </w:rPr>
      </w:pPr>
      <w:r w:rsidRPr="00E871CF">
        <w:rPr>
          <w:rFonts w:ascii="Abadi" w:hAnsi="Abadi" w:cs="Arial"/>
          <w:sz w:val="21"/>
          <w:szCs w:val="21"/>
          <w:lang w:val="es-MX"/>
        </w:rPr>
        <w:t>En sesión ordinaria del 24 de octubre de 2019 ingresó la iniciativa; misma que se turnó por la Presidencia del Congreso a esta Comisión legislativa para su estudio y dictamen, con fundamento en el artículo 106 -fracción I- de la Ley Orgánica del Poder Legislativo del Estado de Guanajuato.</w:t>
      </w:r>
    </w:p>
    <w:p w14:paraId="13C31493" w14:textId="77777777" w:rsidR="00E871CF" w:rsidRPr="00E871CF" w:rsidRDefault="00E871CF" w:rsidP="00B6141E">
      <w:pPr>
        <w:widowControl w:val="0"/>
        <w:jc w:val="both"/>
        <w:rPr>
          <w:rFonts w:ascii="Abadi" w:hAnsi="Abadi" w:cs="Arial"/>
          <w:sz w:val="21"/>
          <w:szCs w:val="21"/>
          <w:lang w:val="es-MX"/>
        </w:rPr>
      </w:pPr>
    </w:p>
    <w:p w14:paraId="3DF8FBE2" w14:textId="77777777" w:rsidR="00E871CF" w:rsidRPr="00E871CF" w:rsidRDefault="00E871CF" w:rsidP="00B6141E">
      <w:pPr>
        <w:widowControl w:val="0"/>
        <w:ind w:firstLine="851"/>
        <w:jc w:val="both"/>
        <w:rPr>
          <w:rFonts w:ascii="Abadi" w:hAnsi="Abadi" w:cs="Arial"/>
          <w:sz w:val="21"/>
          <w:szCs w:val="21"/>
          <w:lang w:val="es-MX"/>
        </w:rPr>
      </w:pPr>
      <w:r w:rsidRPr="00E871CF">
        <w:rPr>
          <w:rFonts w:ascii="Abadi" w:hAnsi="Abadi" w:cs="Arial"/>
          <w:sz w:val="21"/>
          <w:szCs w:val="21"/>
          <w:lang w:val="es-MX"/>
        </w:rPr>
        <w:t>La Comisión de Derechos Humanos y Atención a Grupos Vulnerables, en reunión de fecha 10 de marzo de 2020 radicó la iniciativa.</w:t>
      </w:r>
    </w:p>
    <w:p w14:paraId="13E3D496" w14:textId="77777777" w:rsidR="00E871CF" w:rsidRPr="00E871CF" w:rsidRDefault="00E871CF" w:rsidP="00E871CF">
      <w:pPr>
        <w:widowControl w:val="0"/>
        <w:spacing w:line="360" w:lineRule="auto"/>
        <w:jc w:val="both"/>
        <w:rPr>
          <w:rFonts w:ascii="Abadi" w:hAnsi="Abadi" w:cs="Arial"/>
          <w:sz w:val="21"/>
          <w:szCs w:val="21"/>
          <w:lang w:val="es-MX"/>
        </w:rPr>
      </w:pPr>
    </w:p>
    <w:p w14:paraId="265F3CE9" w14:textId="77777777" w:rsidR="00E871CF" w:rsidRPr="00E871CF" w:rsidRDefault="00E871CF" w:rsidP="00E871CF">
      <w:pPr>
        <w:widowControl w:val="0"/>
        <w:spacing w:line="360" w:lineRule="auto"/>
        <w:ind w:left="851"/>
        <w:jc w:val="both"/>
        <w:rPr>
          <w:rFonts w:ascii="Abadi" w:hAnsi="Abadi" w:cs="Arial"/>
          <w:b/>
          <w:sz w:val="21"/>
          <w:szCs w:val="21"/>
          <w:lang w:val="es-MX"/>
        </w:rPr>
      </w:pPr>
      <w:r w:rsidRPr="00E871CF">
        <w:rPr>
          <w:rFonts w:ascii="Abadi" w:hAnsi="Abadi" w:cs="Arial"/>
          <w:b/>
          <w:sz w:val="21"/>
          <w:szCs w:val="21"/>
          <w:lang w:val="es-MX"/>
        </w:rPr>
        <w:t>Propósito de la iniciativa.</w:t>
      </w:r>
    </w:p>
    <w:p w14:paraId="2EB075E3" w14:textId="77777777" w:rsidR="00E871CF" w:rsidRPr="00E871CF" w:rsidRDefault="00E871CF" w:rsidP="00E871CF">
      <w:pPr>
        <w:widowControl w:val="0"/>
        <w:spacing w:line="360" w:lineRule="auto"/>
        <w:jc w:val="both"/>
        <w:rPr>
          <w:rFonts w:ascii="Abadi" w:hAnsi="Abadi"/>
          <w:sz w:val="21"/>
          <w:szCs w:val="21"/>
          <w:lang w:val="es-MX" w:eastAsia="en-US"/>
        </w:rPr>
      </w:pPr>
    </w:p>
    <w:p w14:paraId="42A744A1" w14:textId="77777777" w:rsidR="00E871CF" w:rsidRPr="00E871CF" w:rsidRDefault="00E871CF" w:rsidP="00B6141E">
      <w:pPr>
        <w:widowControl w:val="0"/>
        <w:ind w:firstLine="851"/>
        <w:jc w:val="both"/>
        <w:rPr>
          <w:rFonts w:ascii="Abadi" w:hAnsi="Abadi"/>
          <w:sz w:val="21"/>
          <w:szCs w:val="21"/>
          <w:lang w:val="es-MX" w:eastAsia="en-US"/>
        </w:rPr>
      </w:pPr>
      <w:r w:rsidRPr="00E871CF">
        <w:rPr>
          <w:rFonts w:ascii="Abadi" w:hAnsi="Abadi"/>
          <w:sz w:val="21"/>
          <w:szCs w:val="21"/>
          <w:lang w:val="es-MX" w:eastAsia="en-US"/>
        </w:rPr>
        <w:t>En la exposición de motivos de la iniciativa se puede leer que:</w:t>
      </w:r>
    </w:p>
    <w:p w14:paraId="2600B30D" w14:textId="77777777" w:rsidR="00E871CF" w:rsidRPr="00E871CF" w:rsidRDefault="00E871CF" w:rsidP="00E871CF">
      <w:pPr>
        <w:widowControl w:val="0"/>
        <w:spacing w:line="360" w:lineRule="auto"/>
        <w:jc w:val="both"/>
        <w:rPr>
          <w:rFonts w:ascii="Abadi" w:hAnsi="Abadi"/>
          <w:sz w:val="21"/>
          <w:szCs w:val="21"/>
          <w:lang w:val="es-MX" w:eastAsia="en-US"/>
        </w:rPr>
      </w:pPr>
    </w:p>
    <w:p w14:paraId="03E1B60B" w14:textId="77777777" w:rsidR="00E871CF" w:rsidRPr="00E871CF" w:rsidRDefault="00E871CF" w:rsidP="00E871CF">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Es parte de la vida cotidiana de los ciudadanos, el acudir ante las autoridades a realizar trámites y gestionar servicios, una actividad incluso kafkiana que la mayoría damos por descontado, sin embargo, el realizar estas actividades no esta siempre al alcance de todos.</w:t>
      </w:r>
    </w:p>
    <w:p w14:paraId="05117FF1" w14:textId="77777777" w:rsidR="00E871CF" w:rsidRPr="00E871CF" w:rsidRDefault="00E871CF" w:rsidP="00E871CF">
      <w:pPr>
        <w:widowControl w:val="0"/>
        <w:ind w:left="851" w:right="851"/>
        <w:jc w:val="both"/>
        <w:rPr>
          <w:rFonts w:ascii="Abadi" w:hAnsi="Abadi" w:cs="Arial"/>
          <w:i/>
          <w:sz w:val="21"/>
          <w:szCs w:val="21"/>
          <w:lang w:val="es-MX" w:eastAsia="en-US"/>
        </w:rPr>
      </w:pPr>
    </w:p>
    <w:p w14:paraId="0B660005" w14:textId="77777777" w:rsidR="00E871CF" w:rsidRPr="00E871CF" w:rsidRDefault="00E871CF" w:rsidP="00E871CF">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No se habla de el no querer, se trata de el no poder. Hablo de las personas con discapacidad a quienes acudir a las dependencias públicas a realizar un trámite, representa una dificultad.</w:t>
      </w:r>
    </w:p>
    <w:p w14:paraId="631B6D85" w14:textId="77777777" w:rsidR="00E871CF" w:rsidRPr="00E871CF" w:rsidRDefault="00E871CF" w:rsidP="00E871CF">
      <w:pPr>
        <w:widowControl w:val="0"/>
        <w:ind w:left="851" w:right="851"/>
        <w:jc w:val="both"/>
        <w:rPr>
          <w:rFonts w:ascii="Abadi" w:hAnsi="Abadi" w:cs="Arial"/>
          <w:i/>
          <w:sz w:val="21"/>
          <w:szCs w:val="21"/>
          <w:lang w:val="es-MX" w:eastAsia="en-US"/>
        </w:rPr>
      </w:pPr>
    </w:p>
    <w:p w14:paraId="2E457FE1" w14:textId="77777777" w:rsidR="00E871CF" w:rsidRPr="00E871CF" w:rsidRDefault="00E871CF" w:rsidP="00E871CF">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No solo es tener acceso a la movilidad que como derecho fundamental se tiene, para trasladarse a la dependencia que se requiere, es el llegar ante la ventanilla de la dependencia de que se trate y enfrentarse a todo un laberinto burocrático de un mundo diseñado por y para quienes no sufren discapacidad alguna.</w:t>
      </w:r>
    </w:p>
    <w:p w14:paraId="3B47982E" w14:textId="77777777" w:rsidR="00E871CF" w:rsidRPr="00E871CF" w:rsidRDefault="00E871CF" w:rsidP="00E871CF">
      <w:pPr>
        <w:widowControl w:val="0"/>
        <w:ind w:left="851" w:right="851"/>
        <w:jc w:val="both"/>
        <w:rPr>
          <w:rFonts w:ascii="Abadi" w:hAnsi="Abadi" w:cs="Arial"/>
          <w:i/>
          <w:sz w:val="21"/>
          <w:szCs w:val="21"/>
          <w:lang w:val="es-MX" w:eastAsia="en-US"/>
        </w:rPr>
      </w:pPr>
    </w:p>
    <w:p w14:paraId="44A5F474" w14:textId="77777777" w:rsidR="00E871CF" w:rsidRPr="00E871CF" w:rsidRDefault="00E871CF" w:rsidP="00E871CF">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Los edificios en que se encuentran las dependencias no están acondicionados para permitir a las personas con discapacidad el acudir a llevar a cabo los asuntos que requiera, más aún, las dependencias no cuentan con formatos apropiados a los distintos tipos de discapacidad de tal manera que facilite a los usuarios el llevar a cabo el trámite de que se trate.</w:t>
      </w:r>
    </w:p>
    <w:p w14:paraId="2D9FD484" w14:textId="77777777" w:rsidR="00E871CF" w:rsidRPr="00E871CF" w:rsidRDefault="00E871CF" w:rsidP="00E871CF">
      <w:pPr>
        <w:widowControl w:val="0"/>
        <w:ind w:left="851" w:right="851"/>
        <w:jc w:val="both"/>
        <w:rPr>
          <w:rFonts w:ascii="Abadi" w:hAnsi="Abadi" w:cs="Arial"/>
          <w:i/>
          <w:sz w:val="21"/>
          <w:szCs w:val="21"/>
          <w:lang w:val="es-MX" w:eastAsia="en-US"/>
        </w:rPr>
      </w:pPr>
    </w:p>
    <w:p w14:paraId="67A8A5A4" w14:textId="77777777" w:rsidR="00E871CF" w:rsidRPr="00E871CF" w:rsidRDefault="00E871CF" w:rsidP="00E871CF">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Esta misma Ley de Inclusión para las personas con discapacidad en el Estado de Guanajuato habla de la prioridad que debe brindar la administración pública estatal o municipal en los trámites y servicios que solicite una persona con discapacidad para que pueda ser atendida de manera preferente, sin embargo, la realidad dista mucho de este precepto.</w:t>
      </w:r>
    </w:p>
    <w:p w14:paraId="4BE76EAD" w14:textId="77777777" w:rsidR="00E871CF" w:rsidRPr="00E871CF" w:rsidRDefault="00E871CF" w:rsidP="00E871CF">
      <w:pPr>
        <w:widowControl w:val="0"/>
        <w:ind w:left="851" w:right="851"/>
        <w:jc w:val="both"/>
        <w:rPr>
          <w:rFonts w:ascii="Abadi" w:hAnsi="Abadi" w:cs="Arial"/>
          <w:i/>
          <w:sz w:val="21"/>
          <w:szCs w:val="21"/>
          <w:lang w:val="es-MX" w:eastAsia="en-US"/>
        </w:rPr>
      </w:pPr>
    </w:p>
    <w:p w14:paraId="088DC47C" w14:textId="77777777" w:rsidR="00E871CF" w:rsidRPr="00E871CF" w:rsidRDefault="00E871CF" w:rsidP="00E871CF">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En Guanajuato hay cerca de 235 mil personas con algún tipo de discapacidad o dificultad para realizar alguna actividad, de este total 115 mil 579 son mujeres y 115 mil 741 son hombres, de estos, el 56% tienen dificultad para caminar o moverse, el 26.9% para ver, 10.2% para escuchar, 8.2% para hablar o comunicarse, 4.7% para atender su cuidado personal, 5.2% para poner atención o aprender y el 10% alguna discapacidad mental.</w:t>
      </w:r>
    </w:p>
    <w:p w14:paraId="41B77029" w14:textId="77777777" w:rsidR="00E871CF" w:rsidRPr="00E871CF" w:rsidRDefault="00E871CF" w:rsidP="00E871CF">
      <w:pPr>
        <w:widowControl w:val="0"/>
        <w:ind w:left="851" w:right="851"/>
        <w:jc w:val="both"/>
        <w:rPr>
          <w:rFonts w:ascii="Abadi" w:hAnsi="Abadi" w:cs="Arial"/>
          <w:i/>
          <w:sz w:val="21"/>
          <w:szCs w:val="21"/>
          <w:lang w:val="es-MX" w:eastAsia="en-US"/>
        </w:rPr>
      </w:pPr>
    </w:p>
    <w:p w14:paraId="3556A7B1" w14:textId="77777777" w:rsidR="00E871CF" w:rsidRPr="00E871CF" w:rsidRDefault="00E871CF" w:rsidP="00E871CF">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Es por ello importante que la administración pública estatal y municipal hagan accesibles los formatos y la información que se brinda para las personas con discapacidad, considerando los distintos grados de discapacidad existentes de tal manera que el ciudadano pueda de manera digna realizar el trámite que necesita.</w:t>
      </w:r>
    </w:p>
    <w:p w14:paraId="586C0020" w14:textId="77777777" w:rsidR="00E871CF" w:rsidRPr="00E871CF" w:rsidRDefault="00E871CF" w:rsidP="00E871CF">
      <w:pPr>
        <w:widowControl w:val="0"/>
        <w:ind w:left="851" w:right="851"/>
        <w:jc w:val="both"/>
        <w:rPr>
          <w:rFonts w:ascii="Abadi" w:hAnsi="Abadi" w:cs="Arial"/>
          <w:i/>
          <w:sz w:val="21"/>
          <w:szCs w:val="21"/>
          <w:lang w:val="es-MX" w:eastAsia="en-US"/>
        </w:rPr>
      </w:pPr>
    </w:p>
    <w:p w14:paraId="424DA8C3" w14:textId="77777777" w:rsidR="00E871CF" w:rsidRPr="00E871CF" w:rsidRDefault="00E871CF" w:rsidP="00E871CF">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De igual manera, el Estado y los municipios deberán diseñar un sistema de difusión sobre los servicios públicos en materia de discapacidad a través de la utilización de comunicación y tecnologías apropiadas a los distintos tipos de discapacidad.</w:t>
      </w:r>
    </w:p>
    <w:p w14:paraId="38501236" w14:textId="77777777" w:rsidR="00E871CF" w:rsidRPr="00E871CF" w:rsidRDefault="00E871CF" w:rsidP="00E871CF">
      <w:pPr>
        <w:widowControl w:val="0"/>
        <w:ind w:left="851" w:right="851"/>
        <w:jc w:val="both"/>
        <w:rPr>
          <w:rFonts w:ascii="Abadi" w:hAnsi="Abadi" w:cs="Arial"/>
          <w:i/>
          <w:sz w:val="21"/>
          <w:szCs w:val="21"/>
          <w:lang w:val="es-MX" w:eastAsia="en-US"/>
        </w:rPr>
      </w:pPr>
    </w:p>
    <w:p w14:paraId="72D7857E" w14:textId="77777777" w:rsidR="00E871CF" w:rsidRPr="00E871CF" w:rsidRDefault="00E871CF" w:rsidP="00E871CF">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Se deben encaminar los esfuerzos a reducir la brecha de desigualdad a que se enfrentan las personas con discapacidad y acercar en la medida de lo posible, los servicios, la atención y en resumen la administración pública para un mejor y equilibrado verdadero desarrollo social de Guanajuato.</w:t>
      </w:r>
    </w:p>
    <w:p w14:paraId="512937D8" w14:textId="77777777" w:rsidR="00E871CF" w:rsidRPr="00E871CF" w:rsidRDefault="00E871CF" w:rsidP="00E871CF">
      <w:pPr>
        <w:widowControl w:val="0"/>
        <w:ind w:left="851" w:right="851"/>
        <w:jc w:val="both"/>
        <w:rPr>
          <w:rFonts w:ascii="Abadi" w:hAnsi="Abadi" w:cs="Arial"/>
          <w:i/>
          <w:sz w:val="21"/>
          <w:szCs w:val="21"/>
          <w:lang w:val="es-MX" w:eastAsia="en-US"/>
        </w:rPr>
      </w:pPr>
    </w:p>
    <w:p w14:paraId="35504A16" w14:textId="77777777" w:rsidR="00E871CF" w:rsidRPr="00E871CF" w:rsidRDefault="00E871CF" w:rsidP="00E871CF">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Es por ello, que de conformidad con lo establecido por el artículo 209 de la Ley Orgánica del Poder Legislativo del Estado de Guanajuato, de aprobarse el presente decreto, tendrá los siguientes impactos:</w:t>
      </w:r>
    </w:p>
    <w:p w14:paraId="6437080E" w14:textId="77777777" w:rsidR="00E871CF" w:rsidRPr="00E871CF" w:rsidRDefault="00E871CF" w:rsidP="00E871CF">
      <w:pPr>
        <w:widowControl w:val="0"/>
        <w:ind w:left="851" w:right="851"/>
        <w:jc w:val="both"/>
        <w:rPr>
          <w:rFonts w:ascii="Abadi" w:hAnsi="Abadi" w:cs="Arial"/>
          <w:i/>
          <w:sz w:val="21"/>
          <w:szCs w:val="21"/>
          <w:lang w:val="es-MX" w:eastAsia="en-US"/>
        </w:rPr>
      </w:pPr>
    </w:p>
    <w:p w14:paraId="2E3CE7AA" w14:textId="77777777" w:rsidR="00E871CF" w:rsidRPr="00E871CF" w:rsidRDefault="00E871CF" w:rsidP="00E871CF">
      <w:pPr>
        <w:widowControl w:val="0"/>
        <w:ind w:left="851" w:right="851"/>
        <w:jc w:val="both"/>
        <w:rPr>
          <w:rFonts w:ascii="Abadi" w:hAnsi="Abadi" w:cs="Arial"/>
          <w:i/>
          <w:sz w:val="21"/>
          <w:szCs w:val="21"/>
          <w:lang w:val="es-MX" w:eastAsia="en-US"/>
        </w:rPr>
      </w:pPr>
      <w:r w:rsidRPr="00E871CF">
        <w:rPr>
          <w:rFonts w:ascii="Abadi" w:hAnsi="Abadi" w:cs="Arial"/>
          <w:b/>
          <w:bCs/>
          <w:i/>
          <w:sz w:val="21"/>
          <w:szCs w:val="21"/>
          <w:lang w:val="es-MX" w:eastAsia="en-US"/>
        </w:rPr>
        <w:t>Impacto Jurídico -</w:t>
      </w:r>
      <w:r w:rsidRPr="00E871CF">
        <w:rPr>
          <w:rFonts w:ascii="Abadi" w:hAnsi="Abadi" w:cs="Arial"/>
          <w:i/>
          <w:sz w:val="21"/>
          <w:szCs w:val="21"/>
          <w:lang w:val="es-MX" w:eastAsia="en-US"/>
        </w:rPr>
        <w:t xml:space="preserve"> El presente proyecto impacta jurídicamente mediante las reformas que contiene, en la Ley de Inclusión para las Personas con Discapacidad en el Estado de Guanajuato.</w:t>
      </w:r>
    </w:p>
    <w:p w14:paraId="719031C8" w14:textId="77777777" w:rsidR="00E871CF" w:rsidRPr="00E871CF" w:rsidRDefault="00E871CF" w:rsidP="00E871CF">
      <w:pPr>
        <w:widowControl w:val="0"/>
        <w:ind w:left="851" w:right="851"/>
        <w:jc w:val="both"/>
        <w:rPr>
          <w:rFonts w:ascii="Abadi" w:hAnsi="Abadi" w:cs="Arial"/>
          <w:i/>
          <w:sz w:val="21"/>
          <w:szCs w:val="21"/>
          <w:lang w:val="es-MX" w:eastAsia="en-US"/>
        </w:rPr>
      </w:pPr>
    </w:p>
    <w:p w14:paraId="43D2BB5E" w14:textId="77777777" w:rsidR="00E871CF" w:rsidRPr="00E871CF" w:rsidRDefault="00E871CF" w:rsidP="00E871CF">
      <w:pPr>
        <w:widowControl w:val="0"/>
        <w:ind w:left="851" w:right="851"/>
        <w:jc w:val="both"/>
        <w:rPr>
          <w:rFonts w:ascii="Abadi" w:hAnsi="Abadi" w:cs="Arial"/>
          <w:i/>
          <w:sz w:val="21"/>
          <w:szCs w:val="21"/>
          <w:lang w:val="es-MX" w:eastAsia="en-US"/>
        </w:rPr>
      </w:pPr>
      <w:r w:rsidRPr="00E871CF">
        <w:rPr>
          <w:rFonts w:ascii="Abadi" w:hAnsi="Abadi" w:cs="Arial"/>
          <w:b/>
          <w:bCs/>
          <w:i/>
          <w:sz w:val="21"/>
          <w:szCs w:val="21"/>
          <w:lang w:val="es-MX" w:eastAsia="en-US"/>
        </w:rPr>
        <w:t>Impacto Administrativo.</w:t>
      </w:r>
      <w:r w:rsidRPr="00E871CF">
        <w:rPr>
          <w:rFonts w:ascii="Abadi" w:hAnsi="Abadi" w:cs="Arial"/>
          <w:i/>
          <w:sz w:val="21"/>
          <w:szCs w:val="21"/>
          <w:lang w:val="es-MX" w:eastAsia="en-US"/>
        </w:rPr>
        <w:t xml:space="preserve"> El presente proyecto impacta de manera Administrativa en la Administración Pública Estatal y Municipal al tener que adecuar los formatos propios del servicio que brindan para facilitar los mismos a las personas con discapacidad.</w:t>
      </w:r>
    </w:p>
    <w:p w14:paraId="066AECC7" w14:textId="77777777" w:rsidR="00E871CF" w:rsidRPr="00E871CF" w:rsidRDefault="00E871CF" w:rsidP="00E871CF">
      <w:pPr>
        <w:widowControl w:val="0"/>
        <w:ind w:left="851" w:right="851"/>
        <w:jc w:val="both"/>
        <w:rPr>
          <w:rFonts w:ascii="Abadi" w:hAnsi="Abadi" w:cs="Arial"/>
          <w:i/>
          <w:sz w:val="21"/>
          <w:szCs w:val="21"/>
          <w:lang w:val="es-MX" w:eastAsia="en-US"/>
        </w:rPr>
      </w:pPr>
    </w:p>
    <w:p w14:paraId="4F0A49C9" w14:textId="77777777" w:rsidR="00E871CF" w:rsidRPr="00E871CF" w:rsidRDefault="00E871CF" w:rsidP="00E871CF">
      <w:pPr>
        <w:widowControl w:val="0"/>
        <w:ind w:left="851" w:right="851"/>
        <w:jc w:val="both"/>
        <w:rPr>
          <w:rFonts w:ascii="Abadi" w:hAnsi="Abadi" w:cs="Arial"/>
          <w:i/>
          <w:sz w:val="21"/>
          <w:szCs w:val="21"/>
          <w:lang w:val="es-MX" w:eastAsia="en-US"/>
        </w:rPr>
      </w:pPr>
      <w:r w:rsidRPr="00E871CF">
        <w:rPr>
          <w:rFonts w:ascii="Abadi" w:hAnsi="Abadi" w:cs="Arial"/>
          <w:b/>
          <w:bCs/>
          <w:i/>
          <w:sz w:val="21"/>
          <w:szCs w:val="21"/>
          <w:lang w:val="es-MX" w:eastAsia="en-US"/>
        </w:rPr>
        <w:t>Impacto Presupuestario.</w:t>
      </w:r>
      <w:r w:rsidRPr="00E871CF">
        <w:rPr>
          <w:rFonts w:ascii="Abadi" w:hAnsi="Abadi" w:cs="Arial"/>
          <w:i/>
          <w:sz w:val="21"/>
          <w:szCs w:val="21"/>
          <w:lang w:val="es-MX" w:eastAsia="en-US"/>
        </w:rPr>
        <w:t xml:space="preserve"> La presente iniciativa tiene impacto presupuestario al destinar recursos en los términos de lo propuesto en el presente proyecto de decreto.</w:t>
      </w:r>
    </w:p>
    <w:p w14:paraId="58BD8666" w14:textId="77777777" w:rsidR="00E871CF" w:rsidRPr="00E871CF" w:rsidRDefault="00E871CF" w:rsidP="00E871CF">
      <w:pPr>
        <w:widowControl w:val="0"/>
        <w:ind w:left="851" w:right="851"/>
        <w:jc w:val="both"/>
        <w:rPr>
          <w:rFonts w:ascii="Abadi" w:hAnsi="Abadi" w:cs="Arial"/>
          <w:i/>
          <w:sz w:val="21"/>
          <w:szCs w:val="21"/>
          <w:lang w:val="es-MX" w:eastAsia="en-US"/>
        </w:rPr>
      </w:pPr>
    </w:p>
    <w:p w14:paraId="79D9E3D9" w14:textId="77777777" w:rsidR="00E871CF" w:rsidRPr="00E871CF" w:rsidRDefault="00E871CF" w:rsidP="00E871CF">
      <w:pPr>
        <w:widowControl w:val="0"/>
        <w:ind w:left="851" w:right="851"/>
        <w:jc w:val="both"/>
        <w:rPr>
          <w:rFonts w:ascii="Abadi" w:hAnsi="Abadi" w:cs="Arial"/>
          <w:i/>
          <w:sz w:val="21"/>
          <w:szCs w:val="21"/>
          <w:lang w:val="es-MX" w:eastAsia="en-US"/>
        </w:rPr>
      </w:pPr>
      <w:r w:rsidRPr="00E871CF">
        <w:rPr>
          <w:rFonts w:ascii="Abadi" w:hAnsi="Abadi" w:cs="Arial"/>
          <w:b/>
          <w:bCs/>
          <w:i/>
          <w:sz w:val="21"/>
          <w:szCs w:val="21"/>
          <w:lang w:val="es-MX" w:eastAsia="en-US"/>
        </w:rPr>
        <w:t>Impacto Social.</w:t>
      </w:r>
      <w:r w:rsidRPr="00E871CF">
        <w:rPr>
          <w:rFonts w:ascii="Abadi" w:hAnsi="Abadi" w:cs="Arial"/>
          <w:i/>
          <w:sz w:val="21"/>
          <w:szCs w:val="21"/>
          <w:lang w:val="es-MX" w:eastAsia="en-US"/>
        </w:rPr>
        <w:t xml:space="preserve"> La presente iniciativa tendrá un impacto social que impactará de manera benéfica a las personas con discapacidad al brindarles información detallada de los servicios públicos brindados por las dependencias de la administración pública dirigidas a las personas con discapacidad, así como la elaboración de formatos para la realización de trámites acordes a los distintos tipos de discapacidad existentes.</w:t>
      </w:r>
    </w:p>
    <w:p w14:paraId="3706F225" w14:textId="77777777" w:rsidR="00E871CF" w:rsidRPr="00E871CF" w:rsidRDefault="00E871CF" w:rsidP="00E871CF">
      <w:pPr>
        <w:widowControl w:val="0"/>
        <w:spacing w:line="360" w:lineRule="auto"/>
        <w:jc w:val="both"/>
        <w:rPr>
          <w:rFonts w:ascii="Abadi" w:hAnsi="Abadi" w:cs="Arial"/>
          <w:sz w:val="21"/>
          <w:szCs w:val="21"/>
          <w:lang w:val="es-MX"/>
        </w:rPr>
      </w:pPr>
    </w:p>
    <w:p w14:paraId="20844817" w14:textId="77777777" w:rsidR="00E871CF" w:rsidRPr="00E871CF" w:rsidRDefault="00E871CF" w:rsidP="00B6141E">
      <w:pPr>
        <w:widowControl w:val="0"/>
        <w:ind w:left="851"/>
        <w:jc w:val="both"/>
        <w:rPr>
          <w:rFonts w:ascii="Abadi" w:hAnsi="Abadi"/>
          <w:b/>
          <w:sz w:val="21"/>
          <w:szCs w:val="21"/>
          <w:lang w:val="es-MX"/>
        </w:rPr>
      </w:pPr>
      <w:r w:rsidRPr="00E871CF">
        <w:rPr>
          <w:rFonts w:ascii="Abadi" w:hAnsi="Abadi" w:cs="Arial"/>
          <w:b/>
          <w:sz w:val="21"/>
          <w:szCs w:val="21"/>
          <w:lang w:val="es-MX"/>
        </w:rPr>
        <w:t>Metodología acordada para el estudio y dictamen de la iniciativa</w:t>
      </w:r>
      <w:r w:rsidRPr="00E871CF">
        <w:rPr>
          <w:rFonts w:ascii="Abadi" w:hAnsi="Abadi"/>
          <w:b/>
          <w:sz w:val="21"/>
          <w:szCs w:val="21"/>
          <w:lang w:val="es-MX"/>
        </w:rPr>
        <w:t>.</w:t>
      </w:r>
    </w:p>
    <w:p w14:paraId="0DCE5B3F" w14:textId="77777777" w:rsidR="00E871CF" w:rsidRPr="00E871CF" w:rsidRDefault="00E871CF" w:rsidP="00B6141E">
      <w:pPr>
        <w:widowControl w:val="0"/>
        <w:jc w:val="both"/>
        <w:rPr>
          <w:rFonts w:ascii="Abadi" w:hAnsi="Abadi"/>
          <w:sz w:val="21"/>
          <w:szCs w:val="21"/>
          <w:lang w:val="es-MX" w:eastAsia="en-US"/>
        </w:rPr>
      </w:pPr>
    </w:p>
    <w:p w14:paraId="408F3EE7" w14:textId="77777777" w:rsidR="00E871CF" w:rsidRPr="00E871CF" w:rsidRDefault="00E871CF" w:rsidP="00B6141E">
      <w:pPr>
        <w:widowControl w:val="0"/>
        <w:ind w:firstLine="851"/>
        <w:jc w:val="both"/>
        <w:rPr>
          <w:rFonts w:ascii="Abadi" w:hAnsi="Abadi" w:cs="Arial"/>
          <w:sz w:val="21"/>
          <w:szCs w:val="21"/>
          <w:lang w:val="es-MX"/>
        </w:rPr>
      </w:pPr>
      <w:r w:rsidRPr="00E871CF">
        <w:rPr>
          <w:rFonts w:ascii="Abadi" w:hAnsi="Abadi" w:cs="Arial"/>
          <w:sz w:val="21"/>
          <w:szCs w:val="21"/>
          <w:lang w:val="es-MX"/>
        </w:rPr>
        <w:t>El 8 de junio de 2020 se acordó por unanimidad la siguiente metodología para el estudio y dictamen de la iniciativa:</w:t>
      </w:r>
    </w:p>
    <w:p w14:paraId="526CF48A" w14:textId="77777777" w:rsidR="00E871CF" w:rsidRPr="00E871CF" w:rsidRDefault="00E871CF" w:rsidP="00E871CF">
      <w:pPr>
        <w:widowControl w:val="0"/>
        <w:spacing w:line="360" w:lineRule="auto"/>
        <w:jc w:val="both"/>
        <w:rPr>
          <w:rFonts w:ascii="Abadi" w:hAnsi="Abadi"/>
          <w:sz w:val="21"/>
          <w:szCs w:val="21"/>
          <w:lang w:val="es-MX" w:eastAsia="en-US"/>
        </w:rPr>
      </w:pPr>
    </w:p>
    <w:p w14:paraId="38EE3D0E" w14:textId="77777777" w:rsidR="00E871CF" w:rsidRPr="00E871CF" w:rsidRDefault="00E871CF" w:rsidP="00E871CF">
      <w:pPr>
        <w:widowControl w:val="0"/>
        <w:ind w:left="1418" w:right="851" w:hanging="567"/>
        <w:jc w:val="both"/>
        <w:rPr>
          <w:rFonts w:ascii="Abadi" w:hAnsi="Abadi"/>
          <w:i/>
          <w:iCs/>
          <w:sz w:val="21"/>
          <w:szCs w:val="21"/>
          <w:lang w:val="es-MX" w:eastAsia="en-US"/>
        </w:rPr>
      </w:pPr>
      <w:r w:rsidRPr="00E871CF">
        <w:rPr>
          <w:rFonts w:ascii="Abadi" w:hAnsi="Abadi"/>
          <w:b/>
          <w:i/>
          <w:iCs/>
          <w:sz w:val="21"/>
          <w:szCs w:val="21"/>
          <w:lang w:val="es-MX" w:eastAsia="en-US"/>
        </w:rPr>
        <w:t>a)</w:t>
      </w:r>
      <w:r w:rsidRPr="00E871CF">
        <w:rPr>
          <w:rFonts w:ascii="Abadi" w:hAnsi="Abadi"/>
          <w:b/>
          <w:i/>
          <w:iCs/>
          <w:sz w:val="21"/>
          <w:szCs w:val="21"/>
          <w:lang w:val="es-MX" w:eastAsia="en-US"/>
        </w:rPr>
        <w:tab/>
      </w:r>
      <w:r w:rsidRPr="00E871CF">
        <w:rPr>
          <w:rFonts w:ascii="Abadi" w:hAnsi="Abadi"/>
          <w:i/>
          <w:iCs/>
          <w:sz w:val="21"/>
          <w:szCs w:val="21"/>
          <w:lang w:val="es-MX" w:eastAsia="en-US"/>
        </w:rPr>
        <w:t>Remisión de la iniciativa a los ayuntamientos del Estado, en términos del último párrafo del artículo 56 de la Constitución Política para el Estado de Guanajuato.</w:t>
      </w:r>
    </w:p>
    <w:p w14:paraId="26A923A5" w14:textId="77777777" w:rsidR="00E871CF" w:rsidRPr="00E871CF" w:rsidRDefault="00E871CF" w:rsidP="00E871CF">
      <w:pPr>
        <w:widowControl w:val="0"/>
        <w:ind w:left="1418" w:right="851" w:hanging="567"/>
        <w:jc w:val="both"/>
        <w:rPr>
          <w:rFonts w:ascii="Abadi" w:hAnsi="Abadi"/>
          <w:i/>
          <w:iCs/>
          <w:sz w:val="21"/>
          <w:szCs w:val="21"/>
          <w:lang w:val="es-MX" w:eastAsia="en-US"/>
        </w:rPr>
      </w:pPr>
    </w:p>
    <w:p w14:paraId="41C93773" w14:textId="77777777" w:rsidR="00E871CF" w:rsidRPr="00E871CF" w:rsidRDefault="00E871CF" w:rsidP="00E871CF">
      <w:pPr>
        <w:widowControl w:val="0"/>
        <w:ind w:left="1418" w:right="851"/>
        <w:contextualSpacing/>
        <w:jc w:val="both"/>
        <w:rPr>
          <w:rFonts w:ascii="Abadi" w:eastAsia="Calibri" w:hAnsi="Abadi"/>
          <w:i/>
          <w:iCs/>
          <w:sz w:val="21"/>
          <w:szCs w:val="21"/>
          <w:lang w:val="es-MX" w:eastAsia="en-US"/>
        </w:rPr>
      </w:pPr>
      <w:r w:rsidRPr="00E871CF">
        <w:rPr>
          <w:rFonts w:ascii="Abadi" w:eastAsia="Calibri" w:hAnsi="Abadi"/>
          <w:i/>
          <w:iCs/>
          <w:sz w:val="21"/>
          <w:szCs w:val="21"/>
          <w:lang w:val="es-MX" w:eastAsia="en-US"/>
        </w:rPr>
        <w:t>Señalando como plazo para la remisión de la opinión, 15 días hábiles.</w:t>
      </w:r>
    </w:p>
    <w:p w14:paraId="5F610DB1" w14:textId="77777777" w:rsidR="00E871CF" w:rsidRPr="00E871CF" w:rsidRDefault="00E871CF" w:rsidP="00E871CF">
      <w:pPr>
        <w:widowControl w:val="0"/>
        <w:ind w:left="1418" w:right="851" w:hanging="567"/>
        <w:jc w:val="both"/>
        <w:rPr>
          <w:rFonts w:ascii="Abadi" w:hAnsi="Abadi"/>
          <w:i/>
          <w:iCs/>
          <w:sz w:val="21"/>
          <w:szCs w:val="21"/>
          <w:lang w:val="es-MX" w:eastAsia="en-US"/>
        </w:rPr>
      </w:pPr>
    </w:p>
    <w:p w14:paraId="2957341E" w14:textId="77777777" w:rsidR="00E871CF" w:rsidRPr="00E871CF" w:rsidRDefault="00E871CF" w:rsidP="00E871CF">
      <w:pPr>
        <w:widowControl w:val="0"/>
        <w:ind w:left="1418" w:right="851" w:hanging="567"/>
        <w:jc w:val="both"/>
        <w:rPr>
          <w:rFonts w:ascii="Abadi" w:hAnsi="Abadi"/>
          <w:i/>
          <w:iCs/>
          <w:sz w:val="21"/>
          <w:szCs w:val="21"/>
          <w:lang w:val="es-MX" w:eastAsia="en-US"/>
        </w:rPr>
      </w:pPr>
      <w:r w:rsidRPr="00E871CF">
        <w:rPr>
          <w:rFonts w:ascii="Abadi" w:hAnsi="Abadi"/>
          <w:b/>
          <w:i/>
          <w:iCs/>
          <w:sz w:val="21"/>
          <w:szCs w:val="21"/>
          <w:lang w:val="es-MX" w:eastAsia="en-US"/>
        </w:rPr>
        <w:t>b)</w:t>
      </w:r>
      <w:r w:rsidRPr="00E871CF">
        <w:rPr>
          <w:rFonts w:ascii="Abadi" w:hAnsi="Abadi"/>
          <w:b/>
          <w:i/>
          <w:iCs/>
          <w:sz w:val="21"/>
          <w:szCs w:val="21"/>
          <w:lang w:val="es-MX" w:eastAsia="en-US"/>
        </w:rPr>
        <w:tab/>
      </w:r>
      <w:r w:rsidRPr="00E871CF">
        <w:rPr>
          <w:rFonts w:ascii="Abadi" w:hAnsi="Abadi"/>
          <w:i/>
          <w:iCs/>
          <w:sz w:val="21"/>
          <w:szCs w:val="21"/>
          <w:lang w:val="es-MX" w:eastAsia="en-US"/>
        </w:rPr>
        <w:t>Remisión de la iniciativa, por correo electrónico, para solicitar opinión a:</w:t>
      </w:r>
    </w:p>
    <w:p w14:paraId="11771D32" w14:textId="77777777" w:rsidR="00E871CF" w:rsidRPr="00E871CF" w:rsidRDefault="00E871CF" w:rsidP="00E871CF">
      <w:pPr>
        <w:widowControl w:val="0"/>
        <w:numPr>
          <w:ilvl w:val="0"/>
          <w:numId w:val="36"/>
        </w:numPr>
        <w:ind w:left="1701" w:right="851" w:hanging="283"/>
        <w:jc w:val="both"/>
        <w:rPr>
          <w:rFonts w:ascii="Abadi" w:eastAsia="Calibri" w:hAnsi="Abadi"/>
          <w:i/>
          <w:iCs/>
          <w:sz w:val="21"/>
          <w:szCs w:val="21"/>
          <w:lang w:val="es-MX" w:eastAsia="en-US"/>
        </w:rPr>
      </w:pPr>
      <w:r w:rsidRPr="00E871CF">
        <w:rPr>
          <w:rFonts w:ascii="Abadi" w:eastAsia="Calibri" w:hAnsi="Abadi"/>
          <w:i/>
          <w:iCs/>
          <w:sz w:val="21"/>
          <w:szCs w:val="21"/>
          <w:lang w:val="es-MX" w:eastAsia="en-US"/>
        </w:rPr>
        <w:t>Las diputadas y los diputados de la LXIV Legislatura.</w:t>
      </w:r>
    </w:p>
    <w:p w14:paraId="21A7C6C8" w14:textId="77777777" w:rsidR="00E871CF" w:rsidRPr="00E871CF" w:rsidRDefault="00E871CF" w:rsidP="00E871CF">
      <w:pPr>
        <w:widowControl w:val="0"/>
        <w:numPr>
          <w:ilvl w:val="0"/>
          <w:numId w:val="36"/>
        </w:numPr>
        <w:ind w:left="1701" w:right="851" w:hanging="283"/>
        <w:jc w:val="both"/>
        <w:rPr>
          <w:rFonts w:ascii="Abadi" w:eastAsia="Calibri" w:hAnsi="Abadi"/>
          <w:i/>
          <w:iCs/>
          <w:sz w:val="21"/>
          <w:szCs w:val="21"/>
          <w:lang w:val="es-MX" w:eastAsia="en-US"/>
        </w:rPr>
      </w:pPr>
      <w:r w:rsidRPr="00E871CF">
        <w:rPr>
          <w:rFonts w:ascii="Abadi" w:eastAsia="Calibri" w:hAnsi="Abadi"/>
          <w:i/>
          <w:iCs/>
          <w:sz w:val="21"/>
          <w:szCs w:val="21"/>
          <w:lang w:val="es-MX" w:eastAsia="en-US"/>
        </w:rPr>
        <w:t>Procuraduría de los Derechos Humanos del Estado de Guanajuato.</w:t>
      </w:r>
    </w:p>
    <w:p w14:paraId="3C81A24D" w14:textId="77777777" w:rsidR="00E871CF" w:rsidRPr="00E871CF" w:rsidRDefault="00E871CF" w:rsidP="00E871CF">
      <w:pPr>
        <w:widowControl w:val="0"/>
        <w:numPr>
          <w:ilvl w:val="0"/>
          <w:numId w:val="36"/>
        </w:numPr>
        <w:ind w:left="1701" w:right="851" w:hanging="283"/>
        <w:jc w:val="both"/>
        <w:rPr>
          <w:rFonts w:ascii="Abadi" w:eastAsia="Calibri" w:hAnsi="Abadi"/>
          <w:i/>
          <w:iCs/>
          <w:sz w:val="21"/>
          <w:szCs w:val="21"/>
          <w:lang w:val="es-MX" w:eastAsia="en-US"/>
        </w:rPr>
      </w:pPr>
      <w:r w:rsidRPr="00E871CF">
        <w:rPr>
          <w:rFonts w:ascii="Abadi" w:eastAsia="Calibri" w:hAnsi="Abadi"/>
          <w:i/>
          <w:iCs/>
          <w:sz w:val="21"/>
          <w:szCs w:val="21"/>
          <w:lang w:val="es-MX" w:eastAsia="en-US"/>
        </w:rPr>
        <w:t>Coordinación General Jurídica.</w:t>
      </w:r>
    </w:p>
    <w:p w14:paraId="543C2DED" w14:textId="77777777" w:rsidR="00E871CF" w:rsidRPr="00E871CF" w:rsidRDefault="00E871CF" w:rsidP="00E871CF">
      <w:pPr>
        <w:widowControl w:val="0"/>
        <w:numPr>
          <w:ilvl w:val="0"/>
          <w:numId w:val="36"/>
        </w:numPr>
        <w:ind w:left="1701" w:right="851" w:hanging="283"/>
        <w:jc w:val="both"/>
        <w:rPr>
          <w:rFonts w:ascii="Abadi" w:eastAsia="Calibri" w:hAnsi="Abadi"/>
          <w:i/>
          <w:iCs/>
          <w:sz w:val="21"/>
          <w:szCs w:val="21"/>
          <w:lang w:val="es-MX" w:eastAsia="en-US"/>
        </w:rPr>
      </w:pPr>
      <w:r w:rsidRPr="00E871CF">
        <w:rPr>
          <w:rFonts w:ascii="Abadi" w:eastAsia="Calibri" w:hAnsi="Abadi"/>
          <w:i/>
          <w:iCs/>
          <w:sz w:val="21"/>
          <w:szCs w:val="21"/>
          <w:lang w:val="es-MX" w:eastAsia="en-US"/>
        </w:rPr>
        <w:t>Instituto Guanajuatense para las Personas con Discapacidad.</w:t>
      </w:r>
    </w:p>
    <w:p w14:paraId="23BAC1A7" w14:textId="77777777" w:rsidR="00E871CF" w:rsidRPr="00E871CF" w:rsidRDefault="00E871CF" w:rsidP="00E871CF">
      <w:pPr>
        <w:widowControl w:val="0"/>
        <w:ind w:left="1418" w:right="851" w:hanging="567"/>
        <w:jc w:val="both"/>
        <w:rPr>
          <w:rFonts w:ascii="Abadi" w:hAnsi="Abadi"/>
          <w:i/>
          <w:iCs/>
          <w:sz w:val="21"/>
          <w:szCs w:val="21"/>
          <w:lang w:val="es-MX" w:eastAsia="en-US"/>
        </w:rPr>
      </w:pPr>
    </w:p>
    <w:p w14:paraId="4EA3F45D" w14:textId="77777777" w:rsidR="00E871CF" w:rsidRPr="00E871CF" w:rsidRDefault="00E871CF" w:rsidP="00E871CF">
      <w:pPr>
        <w:widowControl w:val="0"/>
        <w:ind w:left="1418" w:right="851"/>
        <w:contextualSpacing/>
        <w:jc w:val="both"/>
        <w:rPr>
          <w:rFonts w:ascii="Abadi" w:eastAsia="Calibri" w:hAnsi="Abadi"/>
          <w:i/>
          <w:iCs/>
          <w:sz w:val="21"/>
          <w:szCs w:val="21"/>
          <w:lang w:val="es-MX" w:eastAsia="en-US"/>
        </w:rPr>
      </w:pPr>
      <w:r w:rsidRPr="00E871CF">
        <w:rPr>
          <w:rFonts w:ascii="Abadi" w:eastAsia="Calibri" w:hAnsi="Abadi"/>
          <w:i/>
          <w:iCs/>
          <w:sz w:val="21"/>
          <w:szCs w:val="21"/>
          <w:lang w:val="es-MX" w:eastAsia="en-US"/>
        </w:rPr>
        <w:t>Señalando como plazo para la remisión de la opinión, 15 días hábiles.</w:t>
      </w:r>
    </w:p>
    <w:p w14:paraId="02E285AE" w14:textId="77777777" w:rsidR="00E871CF" w:rsidRPr="00E871CF" w:rsidRDefault="00E871CF" w:rsidP="00E871CF">
      <w:pPr>
        <w:widowControl w:val="0"/>
        <w:ind w:left="1418" w:right="851" w:hanging="567"/>
        <w:jc w:val="both"/>
        <w:rPr>
          <w:rFonts w:ascii="Abadi" w:hAnsi="Abadi"/>
          <w:i/>
          <w:iCs/>
          <w:sz w:val="21"/>
          <w:szCs w:val="21"/>
          <w:lang w:val="es-MX" w:eastAsia="en-US"/>
        </w:rPr>
      </w:pPr>
    </w:p>
    <w:p w14:paraId="472F1B48" w14:textId="77777777" w:rsidR="00E871CF" w:rsidRPr="00E871CF" w:rsidRDefault="00E871CF" w:rsidP="00E871CF">
      <w:pPr>
        <w:widowControl w:val="0"/>
        <w:ind w:left="1418" w:right="851" w:hanging="567"/>
        <w:jc w:val="both"/>
        <w:rPr>
          <w:rFonts w:ascii="Abadi" w:hAnsi="Abadi"/>
          <w:i/>
          <w:iCs/>
          <w:sz w:val="21"/>
          <w:szCs w:val="21"/>
          <w:lang w:val="es-MX" w:eastAsia="en-US"/>
        </w:rPr>
      </w:pPr>
      <w:r w:rsidRPr="00E871CF">
        <w:rPr>
          <w:rFonts w:ascii="Abadi" w:hAnsi="Abadi"/>
          <w:b/>
          <w:bCs/>
          <w:i/>
          <w:iCs/>
          <w:sz w:val="21"/>
          <w:szCs w:val="21"/>
          <w:lang w:val="es-MX" w:eastAsia="en-US"/>
        </w:rPr>
        <w:t>c)</w:t>
      </w:r>
      <w:r w:rsidRPr="00E871CF">
        <w:rPr>
          <w:rFonts w:ascii="Abadi" w:hAnsi="Abadi"/>
          <w:b/>
          <w:bCs/>
          <w:i/>
          <w:iCs/>
          <w:sz w:val="21"/>
          <w:szCs w:val="21"/>
          <w:lang w:val="es-MX" w:eastAsia="en-US"/>
        </w:rPr>
        <w:tab/>
      </w:r>
      <w:r w:rsidRPr="00E871CF">
        <w:rPr>
          <w:rFonts w:ascii="Abadi" w:hAnsi="Abadi"/>
          <w:i/>
          <w:iCs/>
          <w:sz w:val="21"/>
          <w:szCs w:val="21"/>
          <w:lang w:val="es-MX" w:eastAsia="en-US"/>
        </w:rPr>
        <w:t>Solicitar, por correo electrónico, al Instituto de Investigaciones Legislativas su opinión de la iniciativa.</w:t>
      </w:r>
    </w:p>
    <w:p w14:paraId="75368667" w14:textId="77777777" w:rsidR="00E871CF" w:rsidRPr="00E871CF" w:rsidRDefault="00E871CF" w:rsidP="00E871CF">
      <w:pPr>
        <w:widowControl w:val="0"/>
        <w:ind w:left="1418" w:right="851" w:hanging="567"/>
        <w:jc w:val="both"/>
        <w:rPr>
          <w:rFonts w:ascii="Abadi" w:hAnsi="Abadi"/>
          <w:i/>
          <w:iCs/>
          <w:sz w:val="21"/>
          <w:szCs w:val="21"/>
          <w:lang w:val="es-MX" w:eastAsia="en-US"/>
        </w:rPr>
      </w:pPr>
    </w:p>
    <w:p w14:paraId="47CF07D1" w14:textId="77777777" w:rsidR="00E871CF" w:rsidRPr="00E871CF" w:rsidRDefault="00E871CF" w:rsidP="00E871CF">
      <w:pPr>
        <w:widowControl w:val="0"/>
        <w:ind w:left="1418" w:right="851"/>
        <w:contextualSpacing/>
        <w:jc w:val="both"/>
        <w:rPr>
          <w:rFonts w:ascii="Abadi" w:eastAsia="Calibri" w:hAnsi="Abadi"/>
          <w:i/>
          <w:iCs/>
          <w:sz w:val="21"/>
          <w:szCs w:val="21"/>
          <w:lang w:val="es-MX" w:eastAsia="en-US"/>
        </w:rPr>
      </w:pPr>
      <w:r w:rsidRPr="00E871CF">
        <w:rPr>
          <w:rFonts w:ascii="Abadi" w:eastAsia="Calibri" w:hAnsi="Abadi"/>
          <w:i/>
          <w:iCs/>
          <w:sz w:val="21"/>
          <w:szCs w:val="21"/>
          <w:lang w:val="es-MX" w:eastAsia="en-US"/>
        </w:rPr>
        <w:t>Señalando como plazo para la remisión de la opinión, 15 días hábiles.</w:t>
      </w:r>
    </w:p>
    <w:p w14:paraId="6C6BB411" w14:textId="77777777" w:rsidR="00E871CF" w:rsidRPr="00E871CF" w:rsidRDefault="00E871CF" w:rsidP="00E871CF">
      <w:pPr>
        <w:widowControl w:val="0"/>
        <w:ind w:left="1418" w:right="851" w:hanging="567"/>
        <w:jc w:val="both"/>
        <w:rPr>
          <w:rFonts w:ascii="Abadi" w:hAnsi="Abadi"/>
          <w:i/>
          <w:iCs/>
          <w:sz w:val="21"/>
          <w:szCs w:val="21"/>
          <w:lang w:val="es-MX" w:eastAsia="en-US"/>
        </w:rPr>
      </w:pPr>
    </w:p>
    <w:p w14:paraId="7AE7D387" w14:textId="77777777" w:rsidR="00E871CF" w:rsidRPr="00E871CF" w:rsidRDefault="00E871CF" w:rsidP="00E871CF">
      <w:pPr>
        <w:widowControl w:val="0"/>
        <w:ind w:left="1418" w:right="851" w:hanging="567"/>
        <w:jc w:val="both"/>
        <w:rPr>
          <w:rFonts w:ascii="Abadi" w:hAnsi="Abadi"/>
          <w:i/>
          <w:iCs/>
          <w:sz w:val="21"/>
          <w:szCs w:val="21"/>
          <w:lang w:val="es-MX" w:eastAsia="en-US"/>
        </w:rPr>
      </w:pPr>
      <w:r w:rsidRPr="00E871CF">
        <w:rPr>
          <w:rFonts w:ascii="Abadi" w:hAnsi="Abadi"/>
          <w:b/>
          <w:i/>
          <w:iCs/>
          <w:sz w:val="21"/>
          <w:szCs w:val="21"/>
          <w:lang w:val="es-MX" w:eastAsia="en-US"/>
        </w:rPr>
        <w:t>d)</w:t>
      </w:r>
      <w:r w:rsidRPr="00E871CF">
        <w:rPr>
          <w:rFonts w:ascii="Abadi" w:hAnsi="Abadi"/>
          <w:b/>
          <w:i/>
          <w:iCs/>
          <w:sz w:val="21"/>
          <w:szCs w:val="21"/>
          <w:lang w:val="es-MX" w:eastAsia="en-US"/>
        </w:rPr>
        <w:tab/>
      </w:r>
      <w:r w:rsidRPr="00E871CF">
        <w:rPr>
          <w:rFonts w:ascii="Abadi" w:hAnsi="Abadi"/>
          <w:i/>
          <w:iCs/>
          <w:sz w:val="21"/>
          <w:szCs w:val="21"/>
          <w:lang w:val="es-MX" w:eastAsia="en-US"/>
        </w:rPr>
        <w:t>Subir la iniciativa al portal del Congreso del Estado para consulta y participación ciudadana. La cual estará disponible por 15 días hábiles.</w:t>
      </w:r>
    </w:p>
    <w:p w14:paraId="2AAADCDA" w14:textId="77777777" w:rsidR="00E871CF" w:rsidRPr="00E871CF" w:rsidRDefault="00E871CF" w:rsidP="00E871CF">
      <w:pPr>
        <w:widowControl w:val="0"/>
        <w:ind w:left="1418" w:right="851" w:hanging="567"/>
        <w:rPr>
          <w:rFonts w:ascii="Abadi" w:hAnsi="Abadi"/>
          <w:i/>
          <w:iCs/>
          <w:sz w:val="21"/>
          <w:szCs w:val="21"/>
          <w:lang w:val="es-MX" w:eastAsia="en-US"/>
        </w:rPr>
      </w:pPr>
    </w:p>
    <w:p w14:paraId="77E765F1" w14:textId="77777777" w:rsidR="00E871CF" w:rsidRPr="00E871CF" w:rsidRDefault="00E871CF" w:rsidP="00E871CF">
      <w:pPr>
        <w:widowControl w:val="0"/>
        <w:ind w:left="1418" w:right="851" w:hanging="567"/>
        <w:jc w:val="both"/>
        <w:rPr>
          <w:rFonts w:ascii="Abadi" w:hAnsi="Abadi"/>
          <w:i/>
          <w:iCs/>
          <w:sz w:val="21"/>
          <w:szCs w:val="21"/>
          <w:lang w:val="es-MX" w:eastAsia="en-US"/>
        </w:rPr>
      </w:pPr>
      <w:r w:rsidRPr="00E871CF">
        <w:rPr>
          <w:rFonts w:ascii="Abadi" w:hAnsi="Abadi"/>
          <w:b/>
          <w:bCs/>
          <w:i/>
          <w:iCs/>
          <w:sz w:val="21"/>
          <w:szCs w:val="21"/>
          <w:lang w:val="es-MX" w:eastAsia="en-US"/>
        </w:rPr>
        <w:t>e)</w:t>
      </w:r>
      <w:r w:rsidRPr="00E871CF">
        <w:rPr>
          <w:rFonts w:ascii="Abadi" w:hAnsi="Abadi"/>
          <w:i/>
          <w:iCs/>
          <w:sz w:val="21"/>
          <w:szCs w:val="21"/>
          <w:lang w:val="es-MX" w:eastAsia="en-US"/>
        </w:rPr>
        <w:tab/>
        <w:t>Realizar un foro, en el que se considere además la consulta de las iniciativas: de Ley de los Derechos de las Personas Usuarias de Perros Guía o de Asistencia Médica para el Estado de Guanajuato, formulada por la diputada María de Jesús Eunices Reveles Conejo de la Representación Parlamentaria del Partido del Trabajo; y suscrita por el diputado Juan Elias Chávez de la Representación Parlamentaria del Partido Nueva Alianza, a fin de reformar los artículos 31 y 32 fracciones II y V y adicionar el artículo 31 Bis a la Ley de Inclusión para las Personas con Discapacidad en el Estado de Guanajuato. En la fecha y términos que se acuerden con posterioridad.</w:t>
      </w:r>
    </w:p>
    <w:p w14:paraId="033ECB16" w14:textId="77777777" w:rsidR="00E871CF" w:rsidRPr="00E871CF" w:rsidRDefault="00E871CF" w:rsidP="00E871CF">
      <w:pPr>
        <w:widowControl w:val="0"/>
        <w:ind w:left="1418" w:right="851" w:hanging="567"/>
        <w:rPr>
          <w:rFonts w:ascii="Abadi" w:hAnsi="Abadi"/>
          <w:i/>
          <w:iCs/>
          <w:sz w:val="21"/>
          <w:szCs w:val="21"/>
          <w:lang w:val="es-MX" w:eastAsia="en-US"/>
        </w:rPr>
      </w:pPr>
    </w:p>
    <w:p w14:paraId="1B01BA46" w14:textId="77777777" w:rsidR="00E871CF" w:rsidRPr="00E871CF" w:rsidRDefault="00E871CF" w:rsidP="00E871CF">
      <w:pPr>
        <w:widowControl w:val="0"/>
        <w:ind w:left="1418" w:right="851" w:hanging="567"/>
        <w:jc w:val="both"/>
        <w:rPr>
          <w:rFonts w:ascii="Abadi" w:hAnsi="Abadi"/>
          <w:i/>
          <w:iCs/>
          <w:sz w:val="21"/>
          <w:szCs w:val="21"/>
          <w:lang w:val="es-MX" w:eastAsia="en-US"/>
        </w:rPr>
      </w:pPr>
      <w:r w:rsidRPr="00E871CF">
        <w:rPr>
          <w:rFonts w:ascii="Abadi" w:hAnsi="Abadi"/>
          <w:b/>
          <w:i/>
          <w:iCs/>
          <w:sz w:val="21"/>
          <w:szCs w:val="21"/>
          <w:lang w:val="es-MX" w:eastAsia="en-US"/>
        </w:rPr>
        <w:t>f)</w:t>
      </w:r>
      <w:r w:rsidRPr="00E871CF">
        <w:rPr>
          <w:rFonts w:ascii="Abadi" w:hAnsi="Abadi"/>
          <w:b/>
          <w:i/>
          <w:iCs/>
          <w:sz w:val="21"/>
          <w:szCs w:val="21"/>
          <w:lang w:val="es-MX" w:eastAsia="en-US"/>
        </w:rPr>
        <w:tab/>
      </w:r>
      <w:r w:rsidRPr="00E871CF">
        <w:rPr>
          <w:rFonts w:ascii="Abadi" w:hAnsi="Abadi"/>
          <w:i/>
          <w:iCs/>
          <w:sz w:val="21"/>
          <w:szCs w:val="21"/>
          <w:lang w:val="es-MX" w:eastAsia="en-US"/>
        </w:rPr>
        <w:t>Elaboración de un documento que concentre las observaciones que se hayan formulado a la iniciativa. Tarea que estará a cargo de la secretaría técnica.</w:t>
      </w:r>
    </w:p>
    <w:p w14:paraId="2C53DA83" w14:textId="77777777" w:rsidR="00E871CF" w:rsidRPr="00E871CF" w:rsidRDefault="00E871CF" w:rsidP="00E871CF">
      <w:pPr>
        <w:widowControl w:val="0"/>
        <w:ind w:left="1418" w:right="851" w:hanging="567"/>
        <w:rPr>
          <w:rFonts w:ascii="Abadi" w:hAnsi="Abadi"/>
          <w:i/>
          <w:iCs/>
          <w:sz w:val="21"/>
          <w:szCs w:val="21"/>
          <w:lang w:val="es-MX" w:eastAsia="en-US"/>
        </w:rPr>
      </w:pPr>
    </w:p>
    <w:p w14:paraId="27F29E38" w14:textId="77777777" w:rsidR="00E871CF" w:rsidRPr="00E871CF" w:rsidRDefault="00E871CF" w:rsidP="00E871CF">
      <w:pPr>
        <w:widowControl w:val="0"/>
        <w:ind w:left="1418" w:right="851" w:hanging="567"/>
        <w:jc w:val="both"/>
        <w:rPr>
          <w:rFonts w:ascii="Abadi" w:hAnsi="Abadi"/>
          <w:i/>
          <w:iCs/>
          <w:sz w:val="21"/>
          <w:szCs w:val="21"/>
          <w:lang w:val="es-MX" w:eastAsia="en-US"/>
        </w:rPr>
      </w:pPr>
      <w:r w:rsidRPr="00E871CF">
        <w:rPr>
          <w:rFonts w:ascii="Abadi" w:hAnsi="Abadi"/>
          <w:b/>
          <w:i/>
          <w:iCs/>
          <w:sz w:val="21"/>
          <w:szCs w:val="21"/>
          <w:lang w:val="es-MX" w:eastAsia="en-US"/>
        </w:rPr>
        <w:t>g)</w:t>
      </w:r>
      <w:r w:rsidRPr="00E871CF">
        <w:rPr>
          <w:rFonts w:ascii="Abadi" w:hAnsi="Abadi"/>
          <w:i/>
          <w:iCs/>
          <w:sz w:val="21"/>
          <w:szCs w:val="21"/>
          <w:lang w:val="es-MX" w:eastAsia="en-US"/>
        </w:rPr>
        <w:tab/>
        <w:t>Integrar un grupo de trabajo con:</w:t>
      </w:r>
    </w:p>
    <w:p w14:paraId="21ACA0E3" w14:textId="77777777" w:rsidR="00E871CF" w:rsidRPr="00E871CF" w:rsidRDefault="00E871CF" w:rsidP="00E871CF">
      <w:pPr>
        <w:widowControl w:val="0"/>
        <w:numPr>
          <w:ilvl w:val="0"/>
          <w:numId w:val="36"/>
        </w:numPr>
        <w:ind w:left="1701" w:right="851" w:hanging="283"/>
        <w:jc w:val="both"/>
        <w:rPr>
          <w:rFonts w:ascii="Abadi" w:eastAsia="Calibri" w:hAnsi="Abadi"/>
          <w:i/>
          <w:iCs/>
          <w:sz w:val="21"/>
          <w:szCs w:val="21"/>
          <w:lang w:val="es-MX" w:eastAsia="en-US"/>
        </w:rPr>
      </w:pPr>
      <w:r w:rsidRPr="00E871CF">
        <w:rPr>
          <w:rFonts w:ascii="Abadi" w:eastAsia="Calibri" w:hAnsi="Abadi"/>
          <w:i/>
          <w:iCs/>
          <w:sz w:val="21"/>
          <w:szCs w:val="21"/>
          <w:lang w:val="es-MX" w:eastAsia="en-US"/>
        </w:rPr>
        <w:t>Diputadas y diputados que deseen sumarse.</w:t>
      </w:r>
    </w:p>
    <w:p w14:paraId="76A4F66F" w14:textId="77777777" w:rsidR="00E871CF" w:rsidRPr="00E871CF" w:rsidRDefault="00E871CF" w:rsidP="00E871CF">
      <w:pPr>
        <w:widowControl w:val="0"/>
        <w:numPr>
          <w:ilvl w:val="0"/>
          <w:numId w:val="36"/>
        </w:numPr>
        <w:ind w:left="1701" w:right="851" w:hanging="283"/>
        <w:jc w:val="both"/>
        <w:rPr>
          <w:rFonts w:ascii="Abadi" w:eastAsia="Calibri" w:hAnsi="Abadi"/>
          <w:i/>
          <w:iCs/>
          <w:sz w:val="21"/>
          <w:szCs w:val="21"/>
          <w:lang w:val="es-MX" w:eastAsia="en-US"/>
        </w:rPr>
      </w:pPr>
      <w:r w:rsidRPr="00E871CF">
        <w:rPr>
          <w:rFonts w:ascii="Abadi" w:eastAsia="Calibri" w:hAnsi="Abadi"/>
          <w:i/>
          <w:iCs/>
          <w:sz w:val="21"/>
          <w:szCs w:val="21"/>
          <w:lang w:val="es-MX" w:eastAsia="en-US"/>
        </w:rPr>
        <w:t>Un representante de la Procuraduría de los Derechos Humanos del Estado de Guanajuato.</w:t>
      </w:r>
    </w:p>
    <w:p w14:paraId="318EF597" w14:textId="77777777" w:rsidR="00E871CF" w:rsidRPr="00E871CF" w:rsidRDefault="00E871CF" w:rsidP="00E871CF">
      <w:pPr>
        <w:widowControl w:val="0"/>
        <w:numPr>
          <w:ilvl w:val="0"/>
          <w:numId w:val="36"/>
        </w:numPr>
        <w:ind w:left="1701" w:right="851" w:hanging="283"/>
        <w:jc w:val="both"/>
        <w:rPr>
          <w:rFonts w:ascii="Abadi" w:eastAsia="Calibri" w:hAnsi="Abadi"/>
          <w:i/>
          <w:iCs/>
          <w:sz w:val="21"/>
          <w:szCs w:val="21"/>
          <w:lang w:val="es-MX" w:eastAsia="en-US"/>
        </w:rPr>
      </w:pPr>
      <w:r w:rsidRPr="00E871CF">
        <w:rPr>
          <w:rFonts w:ascii="Abadi" w:eastAsia="Calibri" w:hAnsi="Abadi"/>
          <w:i/>
          <w:iCs/>
          <w:sz w:val="21"/>
          <w:szCs w:val="21"/>
          <w:lang w:val="es-MX" w:eastAsia="en-US"/>
        </w:rPr>
        <w:t>Un representante de la Coordinación General Jurídica.</w:t>
      </w:r>
    </w:p>
    <w:p w14:paraId="54705FAC" w14:textId="77777777" w:rsidR="00E871CF" w:rsidRPr="00E871CF" w:rsidRDefault="00E871CF" w:rsidP="00E871CF">
      <w:pPr>
        <w:widowControl w:val="0"/>
        <w:numPr>
          <w:ilvl w:val="0"/>
          <w:numId w:val="36"/>
        </w:numPr>
        <w:ind w:left="1701" w:right="851" w:hanging="283"/>
        <w:jc w:val="both"/>
        <w:rPr>
          <w:rFonts w:ascii="Abadi" w:eastAsia="Calibri" w:hAnsi="Abadi"/>
          <w:i/>
          <w:iCs/>
          <w:sz w:val="21"/>
          <w:szCs w:val="21"/>
          <w:lang w:val="es-MX" w:eastAsia="en-US"/>
        </w:rPr>
      </w:pPr>
      <w:r w:rsidRPr="00E871CF">
        <w:rPr>
          <w:rFonts w:ascii="Abadi" w:eastAsia="Calibri" w:hAnsi="Abadi"/>
          <w:i/>
          <w:iCs/>
          <w:sz w:val="21"/>
          <w:szCs w:val="21"/>
          <w:lang w:val="es-MX" w:eastAsia="en-US"/>
        </w:rPr>
        <w:t>Un representante del Instituto Guanajuatense para las Personas con Discapacidad.</w:t>
      </w:r>
    </w:p>
    <w:p w14:paraId="76131DB3" w14:textId="77777777" w:rsidR="00E871CF" w:rsidRPr="00E871CF" w:rsidRDefault="00E871CF" w:rsidP="00E871CF">
      <w:pPr>
        <w:widowControl w:val="0"/>
        <w:numPr>
          <w:ilvl w:val="0"/>
          <w:numId w:val="36"/>
        </w:numPr>
        <w:ind w:left="1701" w:right="851" w:hanging="283"/>
        <w:jc w:val="both"/>
        <w:rPr>
          <w:rFonts w:ascii="Abadi" w:eastAsia="Calibri" w:hAnsi="Abadi"/>
          <w:i/>
          <w:iCs/>
          <w:sz w:val="21"/>
          <w:szCs w:val="21"/>
          <w:lang w:val="es-MX" w:eastAsia="en-US"/>
        </w:rPr>
      </w:pPr>
      <w:r w:rsidRPr="00E871CF">
        <w:rPr>
          <w:rFonts w:ascii="Abadi" w:eastAsia="Calibri" w:hAnsi="Abadi"/>
          <w:i/>
          <w:iCs/>
          <w:sz w:val="21"/>
          <w:szCs w:val="21"/>
          <w:lang w:val="es-MX" w:eastAsia="en-US"/>
        </w:rPr>
        <w:t>Un representante del Instituto de Investigaciones Legislativas.</w:t>
      </w:r>
    </w:p>
    <w:p w14:paraId="56676286" w14:textId="77777777" w:rsidR="00E871CF" w:rsidRPr="00E871CF" w:rsidRDefault="00E871CF" w:rsidP="00E871CF">
      <w:pPr>
        <w:widowControl w:val="0"/>
        <w:numPr>
          <w:ilvl w:val="0"/>
          <w:numId w:val="36"/>
        </w:numPr>
        <w:ind w:left="1701" w:right="851" w:hanging="283"/>
        <w:jc w:val="both"/>
        <w:rPr>
          <w:rFonts w:ascii="Abadi" w:eastAsia="Calibri" w:hAnsi="Abadi"/>
          <w:i/>
          <w:iCs/>
          <w:sz w:val="21"/>
          <w:szCs w:val="21"/>
          <w:lang w:val="es-MX" w:eastAsia="en-US"/>
        </w:rPr>
      </w:pPr>
      <w:r w:rsidRPr="00E871CF">
        <w:rPr>
          <w:rFonts w:ascii="Abadi" w:eastAsia="Calibri" w:hAnsi="Abadi"/>
          <w:i/>
          <w:iCs/>
          <w:sz w:val="21"/>
          <w:szCs w:val="21"/>
          <w:lang w:val="es-MX" w:eastAsia="en-US"/>
        </w:rPr>
        <w:t>Asesores y asesoras de la Comisión.</w:t>
      </w:r>
    </w:p>
    <w:p w14:paraId="573B8A51" w14:textId="77777777" w:rsidR="00E871CF" w:rsidRPr="00E871CF" w:rsidRDefault="00E871CF" w:rsidP="00E871CF">
      <w:pPr>
        <w:widowControl w:val="0"/>
        <w:numPr>
          <w:ilvl w:val="0"/>
          <w:numId w:val="36"/>
        </w:numPr>
        <w:ind w:left="1701" w:right="851" w:hanging="283"/>
        <w:jc w:val="both"/>
        <w:rPr>
          <w:rFonts w:ascii="Abadi" w:eastAsia="Calibri" w:hAnsi="Abadi"/>
          <w:i/>
          <w:iCs/>
          <w:sz w:val="21"/>
          <w:szCs w:val="21"/>
          <w:lang w:val="es-MX" w:eastAsia="en-US"/>
        </w:rPr>
      </w:pPr>
      <w:r w:rsidRPr="00E871CF">
        <w:rPr>
          <w:rFonts w:ascii="Abadi" w:eastAsia="Calibri" w:hAnsi="Abadi"/>
          <w:i/>
          <w:iCs/>
          <w:sz w:val="21"/>
          <w:szCs w:val="21"/>
          <w:lang w:val="es-MX" w:eastAsia="en-US"/>
        </w:rPr>
        <w:t>Secretaría técnica.</w:t>
      </w:r>
    </w:p>
    <w:p w14:paraId="223624E3" w14:textId="77777777" w:rsidR="00E871CF" w:rsidRPr="00E871CF" w:rsidRDefault="00E871CF" w:rsidP="00E871CF">
      <w:pPr>
        <w:widowControl w:val="0"/>
        <w:ind w:left="1418" w:right="851" w:hanging="567"/>
        <w:jc w:val="both"/>
        <w:rPr>
          <w:rFonts w:ascii="Abadi" w:hAnsi="Abadi"/>
          <w:i/>
          <w:iCs/>
          <w:sz w:val="21"/>
          <w:szCs w:val="21"/>
          <w:lang w:val="es-MX" w:eastAsia="en-US"/>
        </w:rPr>
      </w:pPr>
    </w:p>
    <w:p w14:paraId="1231DBAE" w14:textId="77777777" w:rsidR="00E871CF" w:rsidRPr="00E871CF" w:rsidRDefault="00E871CF" w:rsidP="00E871CF">
      <w:pPr>
        <w:widowControl w:val="0"/>
        <w:ind w:left="1418" w:right="851" w:hanging="567"/>
        <w:jc w:val="both"/>
        <w:rPr>
          <w:rFonts w:ascii="Abadi" w:hAnsi="Abadi"/>
          <w:i/>
          <w:iCs/>
          <w:sz w:val="21"/>
          <w:szCs w:val="21"/>
          <w:lang w:val="es-MX" w:eastAsia="en-US"/>
        </w:rPr>
      </w:pPr>
      <w:r w:rsidRPr="00E871CF">
        <w:rPr>
          <w:rFonts w:ascii="Abadi" w:hAnsi="Abadi"/>
          <w:b/>
          <w:i/>
          <w:iCs/>
          <w:sz w:val="21"/>
          <w:szCs w:val="21"/>
          <w:lang w:val="es-MX" w:eastAsia="en-US"/>
        </w:rPr>
        <w:t>h)</w:t>
      </w:r>
      <w:r w:rsidRPr="00E871CF">
        <w:rPr>
          <w:rFonts w:ascii="Abadi" w:hAnsi="Abadi"/>
          <w:i/>
          <w:iCs/>
          <w:sz w:val="21"/>
          <w:szCs w:val="21"/>
          <w:lang w:val="es-MX" w:eastAsia="en-US"/>
        </w:rPr>
        <w:tab/>
        <w:t>Reunión o reuniones del grupo de trabajo que sean necesarias.</w:t>
      </w:r>
    </w:p>
    <w:p w14:paraId="1DC55311" w14:textId="77777777" w:rsidR="00E871CF" w:rsidRPr="00E871CF" w:rsidRDefault="00E871CF" w:rsidP="00E871CF">
      <w:pPr>
        <w:widowControl w:val="0"/>
        <w:ind w:left="1418" w:right="851" w:hanging="567"/>
        <w:jc w:val="both"/>
        <w:rPr>
          <w:rFonts w:ascii="Abadi" w:hAnsi="Abadi"/>
          <w:i/>
          <w:iCs/>
          <w:sz w:val="21"/>
          <w:szCs w:val="21"/>
          <w:lang w:val="es-MX" w:eastAsia="en-US"/>
        </w:rPr>
      </w:pPr>
    </w:p>
    <w:p w14:paraId="36107723" w14:textId="77777777" w:rsidR="00E871CF" w:rsidRPr="00E871CF" w:rsidRDefault="00E871CF" w:rsidP="00E871CF">
      <w:pPr>
        <w:widowControl w:val="0"/>
        <w:ind w:left="1418" w:right="851" w:hanging="567"/>
        <w:jc w:val="both"/>
        <w:rPr>
          <w:rFonts w:ascii="Abadi" w:hAnsi="Abadi"/>
          <w:i/>
          <w:iCs/>
          <w:sz w:val="21"/>
          <w:szCs w:val="21"/>
          <w:lang w:val="es-MX" w:eastAsia="en-US"/>
        </w:rPr>
      </w:pPr>
      <w:r w:rsidRPr="00E871CF">
        <w:rPr>
          <w:rFonts w:ascii="Abadi" w:hAnsi="Abadi"/>
          <w:b/>
          <w:i/>
          <w:iCs/>
          <w:sz w:val="21"/>
          <w:szCs w:val="21"/>
          <w:lang w:val="es-MX" w:eastAsia="en-US"/>
        </w:rPr>
        <w:t>i)</w:t>
      </w:r>
      <w:r w:rsidRPr="00E871CF">
        <w:rPr>
          <w:rFonts w:ascii="Abadi" w:hAnsi="Abadi"/>
          <w:b/>
          <w:i/>
          <w:iCs/>
          <w:sz w:val="21"/>
          <w:szCs w:val="21"/>
          <w:lang w:val="es-MX" w:eastAsia="en-US"/>
        </w:rPr>
        <w:tab/>
      </w:r>
      <w:r w:rsidRPr="00E871CF">
        <w:rPr>
          <w:rFonts w:ascii="Abadi" w:hAnsi="Abadi"/>
          <w:i/>
          <w:iCs/>
          <w:sz w:val="21"/>
          <w:szCs w:val="21"/>
          <w:lang w:val="es-MX" w:eastAsia="en-US"/>
        </w:rPr>
        <w:t>Reunión de la Comisión para análisis y acuerdos para la elaboración del dictamen.</w:t>
      </w:r>
    </w:p>
    <w:p w14:paraId="30B749E4" w14:textId="77777777" w:rsidR="00E871CF" w:rsidRPr="00E871CF" w:rsidRDefault="00E871CF" w:rsidP="00E871CF">
      <w:pPr>
        <w:widowControl w:val="0"/>
        <w:ind w:left="1418" w:right="851" w:hanging="567"/>
        <w:jc w:val="both"/>
        <w:rPr>
          <w:rFonts w:ascii="Abadi" w:hAnsi="Abadi"/>
          <w:i/>
          <w:iCs/>
          <w:sz w:val="21"/>
          <w:szCs w:val="21"/>
          <w:lang w:val="es-MX" w:eastAsia="en-US"/>
        </w:rPr>
      </w:pPr>
    </w:p>
    <w:p w14:paraId="029A70F2" w14:textId="77777777" w:rsidR="00E871CF" w:rsidRPr="00E871CF" w:rsidRDefault="00E871CF" w:rsidP="00E871CF">
      <w:pPr>
        <w:widowControl w:val="0"/>
        <w:ind w:left="1418" w:right="851" w:hanging="567"/>
        <w:jc w:val="both"/>
        <w:rPr>
          <w:rFonts w:ascii="Abadi" w:hAnsi="Abadi"/>
          <w:i/>
          <w:iCs/>
          <w:sz w:val="21"/>
          <w:szCs w:val="21"/>
          <w:lang w:val="es-MX" w:eastAsia="en-US"/>
        </w:rPr>
      </w:pPr>
      <w:r w:rsidRPr="00E871CF">
        <w:rPr>
          <w:rFonts w:ascii="Abadi" w:hAnsi="Abadi"/>
          <w:b/>
          <w:i/>
          <w:iCs/>
          <w:sz w:val="21"/>
          <w:szCs w:val="21"/>
          <w:lang w:val="es-MX" w:eastAsia="en-US"/>
        </w:rPr>
        <w:t>j)</w:t>
      </w:r>
      <w:r w:rsidRPr="00E871CF">
        <w:rPr>
          <w:rFonts w:ascii="Abadi" w:hAnsi="Abadi"/>
          <w:i/>
          <w:iCs/>
          <w:sz w:val="21"/>
          <w:szCs w:val="21"/>
          <w:lang w:val="es-MX" w:eastAsia="en-US"/>
        </w:rPr>
        <w:tab/>
        <w:t>Reunión de la Comisión para la discusión y, en su caso, aprobación del dictamen.</w:t>
      </w:r>
    </w:p>
    <w:p w14:paraId="79EBA178" w14:textId="77777777" w:rsidR="00E871CF" w:rsidRPr="00E871CF" w:rsidRDefault="00E871CF" w:rsidP="00E871CF">
      <w:pPr>
        <w:widowControl w:val="0"/>
        <w:spacing w:line="360" w:lineRule="auto"/>
        <w:jc w:val="both"/>
        <w:rPr>
          <w:rFonts w:ascii="Abadi" w:hAnsi="Abadi" w:cs="Arial"/>
          <w:sz w:val="21"/>
          <w:szCs w:val="21"/>
          <w:lang w:val="es-MX" w:eastAsia="en-US"/>
        </w:rPr>
      </w:pPr>
    </w:p>
    <w:p w14:paraId="5F9E6338" w14:textId="77777777" w:rsidR="00E871CF" w:rsidRPr="00E871CF" w:rsidRDefault="00E871CF" w:rsidP="00B6141E">
      <w:pPr>
        <w:widowControl w:val="0"/>
        <w:ind w:left="851"/>
        <w:jc w:val="both"/>
        <w:rPr>
          <w:rFonts w:ascii="Abadi" w:hAnsi="Abadi"/>
          <w:b/>
          <w:sz w:val="21"/>
          <w:szCs w:val="21"/>
          <w:lang w:val="es-MX"/>
        </w:rPr>
      </w:pPr>
      <w:r w:rsidRPr="00E871CF">
        <w:rPr>
          <w:rFonts w:ascii="Abadi" w:hAnsi="Abadi" w:cs="Arial"/>
          <w:b/>
          <w:sz w:val="21"/>
          <w:szCs w:val="21"/>
          <w:lang w:val="es-MX"/>
        </w:rPr>
        <w:t>Cumplimiento de las acciones acordadas para el estudio y dictamen de la iniciativa</w:t>
      </w:r>
      <w:r w:rsidRPr="00E871CF">
        <w:rPr>
          <w:rFonts w:ascii="Abadi" w:hAnsi="Abadi"/>
          <w:b/>
          <w:sz w:val="21"/>
          <w:szCs w:val="21"/>
          <w:lang w:val="es-MX"/>
        </w:rPr>
        <w:t>.</w:t>
      </w:r>
    </w:p>
    <w:p w14:paraId="5A513807" w14:textId="77777777" w:rsidR="00E871CF" w:rsidRPr="00E871CF" w:rsidRDefault="00E871CF" w:rsidP="00B6141E">
      <w:pPr>
        <w:widowControl w:val="0"/>
        <w:jc w:val="both"/>
        <w:rPr>
          <w:rFonts w:ascii="Abadi" w:hAnsi="Abadi" w:cs="Arial"/>
          <w:sz w:val="21"/>
          <w:szCs w:val="21"/>
          <w:lang w:val="es-MX" w:eastAsia="en-US"/>
        </w:rPr>
      </w:pPr>
    </w:p>
    <w:p w14:paraId="78DF58D4" w14:textId="77777777" w:rsidR="00E871CF" w:rsidRPr="00E871CF" w:rsidRDefault="00E871CF" w:rsidP="00B6141E">
      <w:pPr>
        <w:widowControl w:val="0"/>
        <w:ind w:firstLine="851"/>
        <w:jc w:val="both"/>
        <w:rPr>
          <w:rFonts w:ascii="Abadi" w:hAnsi="Abadi" w:cs="Arial"/>
          <w:sz w:val="21"/>
          <w:szCs w:val="21"/>
          <w:lang w:val="es-MX" w:eastAsia="en-US"/>
        </w:rPr>
      </w:pPr>
      <w:r w:rsidRPr="00E871CF">
        <w:rPr>
          <w:rFonts w:ascii="Abadi" w:hAnsi="Abadi" w:cs="Arial"/>
          <w:sz w:val="21"/>
          <w:szCs w:val="21"/>
          <w:lang w:val="es-MX" w:eastAsia="en-US"/>
        </w:rPr>
        <w:t>Dada la incidencia en la competencia municipal, en cumplimiento al artículo 56 de la Constitución Política para el Estado de Guanajuato, la iniciativa se remitió a los ayuntamientos.</w:t>
      </w:r>
    </w:p>
    <w:p w14:paraId="2B5FB99F" w14:textId="77777777" w:rsidR="00E871CF" w:rsidRPr="00E871CF" w:rsidRDefault="00E871CF" w:rsidP="00B6141E">
      <w:pPr>
        <w:widowControl w:val="0"/>
        <w:jc w:val="both"/>
        <w:rPr>
          <w:rFonts w:ascii="Abadi" w:hAnsi="Abadi" w:cs="Arial"/>
          <w:sz w:val="21"/>
          <w:szCs w:val="21"/>
          <w:lang w:val="es-MX" w:eastAsia="en-US"/>
        </w:rPr>
      </w:pPr>
    </w:p>
    <w:p w14:paraId="1260E54D" w14:textId="77777777" w:rsidR="00E871CF" w:rsidRPr="00E871CF" w:rsidRDefault="00E871CF" w:rsidP="00B6141E">
      <w:pPr>
        <w:widowControl w:val="0"/>
        <w:ind w:firstLine="851"/>
        <w:jc w:val="both"/>
        <w:rPr>
          <w:rFonts w:ascii="Abadi" w:hAnsi="Abadi" w:cs="Arial"/>
          <w:sz w:val="21"/>
          <w:szCs w:val="21"/>
          <w:lang w:val="es-MX" w:eastAsia="en-US"/>
        </w:rPr>
      </w:pPr>
      <w:r w:rsidRPr="00E871CF">
        <w:rPr>
          <w:rFonts w:ascii="Abadi" w:hAnsi="Abadi" w:cs="Arial"/>
          <w:sz w:val="21"/>
          <w:szCs w:val="21"/>
          <w:lang w:val="es-MX" w:eastAsia="en-US"/>
        </w:rPr>
        <w:t xml:space="preserve">Dieron respuesta los ayuntamientos de: Celaya, para hacer constar que no se presentan observaciones a la iniciativa; Comonfort, para informar que el secretario del Ayuntamiento manifestó: </w:t>
      </w:r>
      <w:r w:rsidRPr="00E871CF">
        <w:rPr>
          <w:rFonts w:ascii="Abadi" w:hAnsi="Abadi" w:cs="Arial"/>
          <w:i/>
          <w:iCs/>
          <w:sz w:val="21"/>
          <w:szCs w:val="21"/>
          <w:lang w:val="es-MX" w:eastAsia="en-US"/>
        </w:rPr>
        <w:t>es para conocimiento y si alguien tiene alguna aportación hacerla llegar</w:t>
      </w:r>
      <w:r w:rsidRPr="00E871CF">
        <w:rPr>
          <w:rFonts w:ascii="Abadi" w:hAnsi="Abadi" w:cs="Arial"/>
          <w:sz w:val="21"/>
          <w:szCs w:val="21"/>
          <w:lang w:val="es-MX" w:eastAsia="en-US"/>
        </w:rPr>
        <w:t>; Coroneo, para comunicar que por unanimidad, los integrantes del Ayuntamiento se dan por enterados del oficio circular 217 y no tienen ninguna observación a la iniciativa; Cortazar y Doctor Mora, para remitir comentarios; y Jaral del Progreso, para informar que, por unanimidad, el Ayuntamiento está de acuerdo con la iniciativa.</w:t>
      </w:r>
    </w:p>
    <w:p w14:paraId="2A497AF7" w14:textId="77777777" w:rsidR="00E871CF" w:rsidRPr="00E871CF" w:rsidRDefault="00E871CF" w:rsidP="00B6141E">
      <w:pPr>
        <w:widowControl w:val="0"/>
        <w:jc w:val="both"/>
        <w:rPr>
          <w:rFonts w:ascii="Abadi" w:hAnsi="Abadi" w:cs="Arial"/>
          <w:sz w:val="21"/>
          <w:szCs w:val="21"/>
          <w:lang w:val="es-MX" w:eastAsia="en-US"/>
        </w:rPr>
      </w:pPr>
    </w:p>
    <w:p w14:paraId="5FFF0DDA" w14:textId="77777777" w:rsidR="00E871CF" w:rsidRPr="00E871CF" w:rsidRDefault="00E871CF" w:rsidP="00B6141E">
      <w:pPr>
        <w:widowControl w:val="0"/>
        <w:ind w:firstLine="851"/>
        <w:jc w:val="both"/>
        <w:rPr>
          <w:rFonts w:ascii="Abadi" w:hAnsi="Abadi" w:cs="Arial"/>
          <w:sz w:val="21"/>
          <w:szCs w:val="21"/>
          <w:lang w:val="es-MX" w:eastAsia="en-US"/>
        </w:rPr>
      </w:pPr>
      <w:r w:rsidRPr="00E871CF">
        <w:rPr>
          <w:rFonts w:ascii="Abadi" w:hAnsi="Abadi" w:cs="Arial"/>
          <w:sz w:val="21"/>
          <w:szCs w:val="21"/>
          <w:lang w:val="es-MX" w:eastAsia="en-US"/>
        </w:rPr>
        <w:t>Asimismo, dieron respuesta los ayuntamientos de Jerécuaro, para comunicar el acuerdo de enterados, sin emitir comentarios; León, para enviar observaciones y aportaciones técnico-jurídicas; Manuel Doblado, para comunicar el acuerdo de enterados y que en la medida de la posibilidad presupuestal se impulsará el uso de formatos y tecnologías que faciliten el acceso a trámites y servicios de las personas con discapacidad; y Moroleón, para comunicar que el Ayuntamiento se da por enterado y ordena su turno al Dif Municipal departamento de Derechos Humanos.</w:t>
      </w:r>
    </w:p>
    <w:p w14:paraId="56C33FE8" w14:textId="77777777" w:rsidR="00E871CF" w:rsidRPr="00E871CF" w:rsidRDefault="00E871CF" w:rsidP="00B6141E">
      <w:pPr>
        <w:widowControl w:val="0"/>
        <w:jc w:val="both"/>
        <w:rPr>
          <w:rFonts w:ascii="Abadi" w:hAnsi="Abadi" w:cs="Arial"/>
          <w:sz w:val="21"/>
          <w:szCs w:val="21"/>
          <w:lang w:val="es-MX" w:eastAsia="en-US"/>
        </w:rPr>
      </w:pPr>
    </w:p>
    <w:p w14:paraId="1B778DB6" w14:textId="77777777" w:rsidR="00E871CF" w:rsidRPr="00E871CF" w:rsidRDefault="00E871CF" w:rsidP="00B6141E">
      <w:pPr>
        <w:widowControl w:val="0"/>
        <w:ind w:firstLine="851"/>
        <w:jc w:val="both"/>
        <w:rPr>
          <w:rFonts w:ascii="Abadi" w:hAnsi="Abadi" w:cs="Arial"/>
          <w:sz w:val="21"/>
          <w:szCs w:val="21"/>
          <w:lang w:val="es-MX" w:eastAsia="en-US"/>
        </w:rPr>
      </w:pPr>
      <w:r w:rsidRPr="00E871CF">
        <w:rPr>
          <w:rFonts w:ascii="Abadi" w:hAnsi="Abadi" w:cs="Arial"/>
          <w:sz w:val="21"/>
          <w:szCs w:val="21"/>
          <w:lang w:val="es-MX" w:eastAsia="en-US"/>
        </w:rPr>
        <w:t>También recibimos la respuesta de los ayuntamientos de Purísima del Rincón, a fin de comunicar el acuerdo de enterados; Romita, para informar el acuerdo de enterados y de pronunciarse a favor de la iniciativa; Salamanca, para informar la aprobación del dictamen de la Comisión de Derechos Humanos, a través del cual se determina que no se tienen observaciones o comentarios que realizar; San Francisco del Rincón, para indicar que el Ayuntamiento tuvo por recibida, se dio por enterado del contenido de la iniciativa, y ordenó dejarla a disposición de los integrantes del Ayuntamiento para su estudio; San Luis de la Paz y Silao de la Victoria, para remitir comentarios; Tarimoro, a fin de comunicar que la iniciativa se presentó en la sesión de Ayuntamiento de fecha 29 de junio de 2020; Victoria, para indicar que la Comisión de Salud Pública y Asistencia Social del Ayuntamiento propuso al cuerpo edilicio solidarizarse con la iniciativa; y Yuriria, para comunicar el acuerdo de enterados sin existir comentarios u observaciones.</w:t>
      </w:r>
    </w:p>
    <w:p w14:paraId="54843E35" w14:textId="77777777" w:rsidR="00E871CF" w:rsidRPr="00E871CF" w:rsidRDefault="00E871CF" w:rsidP="00B6141E">
      <w:pPr>
        <w:widowControl w:val="0"/>
        <w:jc w:val="both"/>
        <w:rPr>
          <w:rFonts w:ascii="Abadi" w:hAnsi="Abadi" w:cs="Arial"/>
          <w:sz w:val="21"/>
          <w:szCs w:val="21"/>
          <w:lang w:val="es-MX" w:eastAsia="en-US"/>
        </w:rPr>
      </w:pPr>
    </w:p>
    <w:p w14:paraId="70534ED8" w14:textId="77777777" w:rsidR="00E871CF" w:rsidRPr="00E871CF" w:rsidRDefault="00E871CF" w:rsidP="00B6141E">
      <w:pPr>
        <w:widowControl w:val="0"/>
        <w:ind w:firstLine="851"/>
        <w:jc w:val="both"/>
        <w:rPr>
          <w:rFonts w:ascii="Abadi" w:hAnsi="Abadi" w:cs="Arial"/>
          <w:sz w:val="21"/>
          <w:szCs w:val="21"/>
          <w:lang w:val="es-MX" w:eastAsia="en-US"/>
        </w:rPr>
      </w:pPr>
      <w:r w:rsidRPr="00E871CF">
        <w:rPr>
          <w:rFonts w:ascii="Abadi" w:hAnsi="Abadi" w:cs="Arial"/>
          <w:sz w:val="21"/>
          <w:szCs w:val="21"/>
          <w:lang w:val="es-MX" w:eastAsia="en-US"/>
        </w:rPr>
        <w:t>La iniciativa se compartió a las diputadas y a los diputados de la Sexagésima Cuarta Legislatura; a la Coordinación General Jurídica y al Instituto Guanajuatense para las Personas con Discapacidad. No se recibieron comentarios.</w:t>
      </w:r>
    </w:p>
    <w:p w14:paraId="47049B45" w14:textId="77777777" w:rsidR="00E871CF" w:rsidRPr="00E871CF" w:rsidRDefault="00E871CF" w:rsidP="00B6141E">
      <w:pPr>
        <w:widowControl w:val="0"/>
        <w:jc w:val="both"/>
        <w:rPr>
          <w:rFonts w:ascii="Abadi" w:hAnsi="Abadi" w:cs="Arial"/>
          <w:sz w:val="21"/>
          <w:szCs w:val="21"/>
          <w:lang w:val="es-MX" w:eastAsia="en-US"/>
        </w:rPr>
      </w:pPr>
    </w:p>
    <w:p w14:paraId="16C58800" w14:textId="77777777" w:rsidR="00E871CF" w:rsidRPr="00E871CF" w:rsidRDefault="00E871CF" w:rsidP="00B6141E">
      <w:pPr>
        <w:widowControl w:val="0"/>
        <w:ind w:firstLine="851"/>
        <w:jc w:val="both"/>
        <w:rPr>
          <w:rFonts w:ascii="Abadi" w:hAnsi="Abadi"/>
          <w:sz w:val="21"/>
          <w:szCs w:val="21"/>
          <w:lang w:val="es-MX" w:eastAsia="en-US"/>
        </w:rPr>
      </w:pPr>
      <w:r w:rsidRPr="00E871CF">
        <w:rPr>
          <w:rFonts w:ascii="Abadi" w:hAnsi="Abadi"/>
          <w:sz w:val="21"/>
          <w:szCs w:val="21"/>
          <w:lang w:val="es-MX" w:eastAsia="en-US"/>
        </w:rPr>
        <w:t>Igualmente se remitió la iniciativa a la Procuraduría de los Derechos Humanos del Estado de Guanajuato, quien nos compartió sus aportaciones.</w:t>
      </w:r>
    </w:p>
    <w:p w14:paraId="32FF2AFD" w14:textId="77777777" w:rsidR="00E871CF" w:rsidRPr="00E871CF" w:rsidRDefault="00E871CF" w:rsidP="00B6141E">
      <w:pPr>
        <w:widowControl w:val="0"/>
        <w:jc w:val="both"/>
        <w:rPr>
          <w:rFonts w:ascii="Abadi" w:hAnsi="Abadi"/>
          <w:sz w:val="21"/>
          <w:szCs w:val="21"/>
          <w:lang w:val="es-MX" w:eastAsia="en-US"/>
        </w:rPr>
      </w:pPr>
    </w:p>
    <w:p w14:paraId="0220EE3A" w14:textId="77777777" w:rsidR="00E871CF" w:rsidRPr="00E871CF" w:rsidRDefault="00E871CF" w:rsidP="00B6141E">
      <w:pPr>
        <w:widowControl w:val="0"/>
        <w:ind w:firstLine="851"/>
        <w:jc w:val="both"/>
        <w:rPr>
          <w:rFonts w:ascii="Abadi" w:hAnsi="Abadi"/>
          <w:sz w:val="21"/>
          <w:szCs w:val="21"/>
          <w:lang w:val="es-MX" w:eastAsia="en-US"/>
        </w:rPr>
      </w:pPr>
      <w:r w:rsidRPr="00E871CF">
        <w:rPr>
          <w:rFonts w:ascii="Abadi" w:hAnsi="Abadi"/>
          <w:sz w:val="21"/>
          <w:szCs w:val="21"/>
          <w:lang w:val="es-MX" w:eastAsia="en-US"/>
        </w:rPr>
        <w:t>En atención a la petición de la Comisión, el Instituto de Investigaciones Legislativas remitió opinión de la iniciativa.</w:t>
      </w:r>
    </w:p>
    <w:p w14:paraId="445FD108" w14:textId="77777777" w:rsidR="00E871CF" w:rsidRPr="00E871CF" w:rsidRDefault="00E871CF" w:rsidP="00B6141E">
      <w:pPr>
        <w:widowControl w:val="0"/>
        <w:jc w:val="both"/>
        <w:rPr>
          <w:rFonts w:ascii="Abadi" w:hAnsi="Abadi" w:cs="Arial"/>
          <w:sz w:val="21"/>
          <w:szCs w:val="21"/>
          <w:lang w:val="es-MX" w:eastAsia="en-US"/>
        </w:rPr>
      </w:pPr>
    </w:p>
    <w:p w14:paraId="2AE2EEF6" w14:textId="77777777" w:rsidR="00E871CF" w:rsidRPr="00E871CF" w:rsidRDefault="00E871CF" w:rsidP="00B6141E">
      <w:pPr>
        <w:widowControl w:val="0"/>
        <w:ind w:firstLine="851"/>
        <w:jc w:val="both"/>
        <w:rPr>
          <w:rFonts w:ascii="Abadi" w:hAnsi="Abadi" w:cs="Arial"/>
          <w:sz w:val="21"/>
          <w:szCs w:val="21"/>
          <w:lang w:val="es-MX" w:eastAsia="en-US"/>
        </w:rPr>
      </w:pPr>
      <w:r w:rsidRPr="00E871CF">
        <w:rPr>
          <w:rFonts w:ascii="Abadi" w:hAnsi="Abadi"/>
          <w:sz w:val="21"/>
          <w:szCs w:val="21"/>
          <w:lang w:val="es-MX" w:eastAsia="en-US"/>
        </w:rPr>
        <w:t>E</w:t>
      </w:r>
      <w:r w:rsidRPr="00E871CF">
        <w:rPr>
          <w:rFonts w:ascii="Abadi" w:hAnsi="Abadi" w:cs="Arial"/>
          <w:sz w:val="21"/>
          <w:szCs w:val="21"/>
          <w:lang w:val="es-MX" w:eastAsia="en-US"/>
        </w:rPr>
        <w:t>n el marco de la promoción de la participación e inclusión ciudadana en el proceso legislativo se creó un micro sitio en la página del Congreso, invitando a enviar comentarios a la iniciativa. No se recibieron comentarios.</w:t>
      </w:r>
    </w:p>
    <w:p w14:paraId="5EF60FAF" w14:textId="77777777" w:rsidR="00E871CF" w:rsidRPr="00E871CF" w:rsidRDefault="00E871CF" w:rsidP="00B6141E">
      <w:pPr>
        <w:widowControl w:val="0"/>
        <w:jc w:val="both"/>
        <w:rPr>
          <w:rFonts w:ascii="Abadi" w:hAnsi="Abadi" w:cs="Arial"/>
          <w:sz w:val="21"/>
          <w:szCs w:val="21"/>
          <w:lang w:val="es-MX" w:eastAsia="en-US"/>
        </w:rPr>
      </w:pPr>
    </w:p>
    <w:p w14:paraId="20C48EE2" w14:textId="77777777" w:rsidR="00E871CF" w:rsidRPr="00E871CF" w:rsidRDefault="00E871CF" w:rsidP="00B6141E">
      <w:pPr>
        <w:widowControl w:val="0"/>
        <w:ind w:firstLine="851"/>
        <w:jc w:val="both"/>
        <w:rPr>
          <w:rFonts w:ascii="Abadi" w:hAnsi="Abadi"/>
          <w:sz w:val="21"/>
          <w:szCs w:val="21"/>
          <w:lang w:val="es-MX" w:eastAsia="en-US"/>
        </w:rPr>
      </w:pPr>
      <w:bookmarkStart w:id="8" w:name="_Hlk76127210"/>
      <w:r w:rsidRPr="00E871CF">
        <w:rPr>
          <w:rFonts w:ascii="Abadi" w:hAnsi="Abadi"/>
          <w:sz w:val="21"/>
          <w:szCs w:val="21"/>
          <w:lang w:val="es-MX" w:eastAsia="en-US"/>
        </w:rPr>
        <w:t>El miércoles 16 de junio de 2021 se celebró el foro de consulta, en la modalidad a distancia, a través de herramienta tecnológica. Se recibieron las siguientes ponencias:</w:t>
      </w:r>
    </w:p>
    <w:p w14:paraId="2FAA3391" w14:textId="77777777" w:rsidR="00E871CF" w:rsidRPr="00E871CF" w:rsidRDefault="00E871CF" w:rsidP="00E871CF">
      <w:pPr>
        <w:widowControl w:val="0"/>
        <w:spacing w:line="360" w:lineRule="auto"/>
        <w:jc w:val="both"/>
        <w:rPr>
          <w:rFonts w:ascii="Abadi" w:hAnsi="Abadi"/>
          <w:sz w:val="21"/>
          <w:szCs w:val="21"/>
          <w:lang w:val="es-MX" w:eastAsia="en-US"/>
        </w:rPr>
      </w:pPr>
    </w:p>
    <w:tbl>
      <w:tblP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155"/>
        <w:gridCol w:w="1419"/>
        <w:gridCol w:w="1507"/>
      </w:tblGrid>
      <w:tr w:rsidR="00E871CF" w:rsidRPr="00E871CF" w14:paraId="4131C591" w14:textId="77777777" w:rsidTr="00B6141E">
        <w:trPr>
          <w:trHeight w:val="397"/>
        </w:trPr>
        <w:tc>
          <w:tcPr>
            <w:tcW w:w="1452" w:type="pct"/>
            <w:tcBorders>
              <w:top w:val="double" w:sz="4" w:space="0" w:color="auto"/>
              <w:left w:val="double" w:sz="4" w:space="0" w:color="auto"/>
              <w:bottom w:val="double" w:sz="4" w:space="0" w:color="auto"/>
              <w:right w:val="double" w:sz="4" w:space="0" w:color="auto"/>
            </w:tcBorders>
            <w:hideMark/>
          </w:tcPr>
          <w:p w14:paraId="2F8915BF" w14:textId="77777777" w:rsidR="00E871CF" w:rsidRPr="00E871CF" w:rsidRDefault="00E871CF" w:rsidP="00E871CF">
            <w:pPr>
              <w:widowControl w:val="0"/>
              <w:jc w:val="both"/>
              <w:rPr>
                <w:rFonts w:ascii="Abadi" w:hAnsi="Abadi"/>
                <w:sz w:val="21"/>
                <w:szCs w:val="21"/>
                <w:lang w:val="es-MX" w:eastAsia="en-US"/>
              </w:rPr>
            </w:pPr>
            <w:r w:rsidRPr="00E871CF">
              <w:rPr>
                <w:rFonts w:ascii="Abadi" w:hAnsi="Abadi"/>
                <w:sz w:val="21"/>
                <w:szCs w:val="21"/>
                <w:lang w:val="es-MX" w:eastAsia="en-US"/>
              </w:rPr>
              <w:t>Diputada María de Jesús Eunices Reveles Conejo</w:t>
            </w:r>
          </w:p>
        </w:tc>
        <w:tc>
          <w:tcPr>
            <w:tcW w:w="1774" w:type="pct"/>
            <w:tcBorders>
              <w:top w:val="double" w:sz="4" w:space="0" w:color="auto"/>
              <w:left w:val="double" w:sz="4" w:space="0" w:color="auto"/>
              <w:bottom w:val="double" w:sz="4" w:space="0" w:color="auto"/>
              <w:right w:val="double" w:sz="4" w:space="0" w:color="auto"/>
            </w:tcBorders>
          </w:tcPr>
          <w:p w14:paraId="39141295" w14:textId="77777777" w:rsidR="00E871CF" w:rsidRPr="00E871CF" w:rsidRDefault="00E871CF" w:rsidP="00E871CF">
            <w:pPr>
              <w:widowControl w:val="0"/>
              <w:jc w:val="both"/>
              <w:rPr>
                <w:rFonts w:ascii="Abadi" w:hAnsi="Abadi"/>
                <w:sz w:val="21"/>
                <w:szCs w:val="21"/>
                <w:lang w:val="es-MX" w:eastAsia="en-US"/>
              </w:rPr>
            </w:pPr>
            <w:r w:rsidRPr="00E871CF">
              <w:rPr>
                <w:rFonts w:ascii="Abadi" w:hAnsi="Abadi"/>
                <w:sz w:val="21"/>
                <w:szCs w:val="21"/>
                <w:lang w:val="es-MX" w:eastAsia="en-US"/>
              </w:rPr>
              <w:t>Diputada ante la Sexagésima Cuarta Legislatura del Congreso del Estado de Guanajuato</w:t>
            </w:r>
          </w:p>
        </w:tc>
        <w:tc>
          <w:tcPr>
            <w:tcW w:w="1774" w:type="pct"/>
            <w:tcBorders>
              <w:top w:val="double" w:sz="4" w:space="0" w:color="auto"/>
              <w:left w:val="double" w:sz="4" w:space="0" w:color="auto"/>
              <w:bottom w:val="double" w:sz="4" w:space="0" w:color="auto"/>
              <w:right w:val="double" w:sz="4" w:space="0" w:color="auto"/>
            </w:tcBorders>
            <w:hideMark/>
          </w:tcPr>
          <w:p w14:paraId="5219C1EF" w14:textId="77777777" w:rsidR="00E871CF" w:rsidRPr="00E871CF" w:rsidRDefault="00E871CF" w:rsidP="00E871CF">
            <w:pPr>
              <w:widowControl w:val="0"/>
              <w:jc w:val="both"/>
              <w:rPr>
                <w:rFonts w:ascii="Abadi" w:hAnsi="Abadi"/>
                <w:sz w:val="21"/>
                <w:szCs w:val="21"/>
                <w:lang w:val="es-MX" w:eastAsia="en-US"/>
              </w:rPr>
            </w:pPr>
            <w:r w:rsidRPr="00E871CF">
              <w:rPr>
                <w:rFonts w:ascii="Abadi" w:hAnsi="Abadi"/>
                <w:sz w:val="21"/>
                <w:szCs w:val="21"/>
                <w:lang w:val="es-MX" w:eastAsia="en-US"/>
              </w:rPr>
              <w:t>Comentarios a las iniciativas presentadas por ella</w:t>
            </w:r>
          </w:p>
        </w:tc>
      </w:tr>
      <w:tr w:rsidR="00E871CF" w:rsidRPr="00E871CF" w14:paraId="61F62828" w14:textId="77777777" w:rsidTr="00B6141E">
        <w:trPr>
          <w:trHeight w:val="462"/>
        </w:trPr>
        <w:tc>
          <w:tcPr>
            <w:tcW w:w="1452" w:type="pct"/>
            <w:tcBorders>
              <w:top w:val="double" w:sz="4" w:space="0" w:color="auto"/>
              <w:left w:val="double" w:sz="4" w:space="0" w:color="auto"/>
              <w:bottom w:val="double" w:sz="4" w:space="0" w:color="auto"/>
              <w:right w:val="double" w:sz="4" w:space="0" w:color="auto"/>
            </w:tcBorders>
            <w:hideMark/>
          </w:tcPr>
          <w:p w14:paraId="2D751A0D" w14:textId="77777777" w:rsidR="00E871CF" w:rsidRPr="00E871CF" w:rsidRDefault="00E871CF" w:rsidP="00E871CF">
            <w:pPr>
              <w:widowControl w:val="0"/>
              <w:jc w:val="both"/>
              <w:rPr>
                <w:rFonts w:ascii="Abadi" w:eastAsiaTheme="minorHAnsi" w:hAnsi="Abadi" w:cs="Arial"/>
                <w:sz w:val="21"/>
                <w:szCs w:val="21"/>
                <w:lang w:val="es-MX" w:eastAsia="en-US"/>
              </w:rPr>
            </w:pPr>
            <w:r w:rsidRPr="00E871CF">
              <w:rPr>
                <w:rFonts w:ascii="Abadi" w:eastAsiaTheme="minorHAnsi" w:hAnsi="Abadi" w:cs="Arial"/>
                <w:sz w:val="21"/>
                <w:szCs w:val="21"/>
                <w:lang w:val="es-MX" w:eastAsia="en-US"/>
              </w:rPr>
              <w:t>Ciudadana María del Consuelo García Ramírez</w:t>
            </w:r>
          </w:p>
        </w:tc>
        <w:tc>
          <w:tcPr>
            <w:tcW w:w="1774" w:type="pct"/>
            <w:tcBorders>
              <w:top w:val="double" w:sz="4" w:space="0" w:color="auto"/>
              <w:left w:val="double" w:sz="4" w:space="0" w:color="auto"/>
              <w:bottom w:val="double" w:sz="4" w:space="0" w:color="auto"/>
              <w:right w:val="double" w:sz="4" w:space="0" w:color="auto"/>
            </w:tcBorders>
            <w:hideMark/>
          </w:tcPr>
          <w:p w14:paraId="00753E6B" w14:textId="77777777" w:rsidR="00E871CF" w:rsidRPr="00E871CF" w:rsidRDefault="00E871CF" w:rsidP="00E871CF">
            <w:pPr>
              <w:widowControl w:val="0"/>
              <w:jc w:val="both"/>
              <w:rPr>
                <w:rFonts w:ascii="Abadi" w:hAnsi="Abadi" w:cs="Arial"/>
                <w:sz w:val="21"/>
                <w:szCs w:val="21"/>
                <w:lang w:val="es-MX" w:eastAsia="en-US"/>
              </w:rPr>
            </w:pPr>
          </w:p>
        </w:tc>
        <w:tc>
          <w:tcPr>
            <w:tcW w:w="1774" w:type="pct"/>
            <w:tcBorders>
              <w:top w:val="double" w:sz="4" w:space="0" w:color="auto"/>
              <w:left w:val="double" w:sz="4" w:space="0" w:color="auto"/>
              <w:bottom w:val="double" w:sz="4" w:space="0" w:color="auto"/>
              <w:right w:val="double" w:sz="4" w:space="0" w:color="auto"/>
            </w:tcBorders>
            <w:hideMark/>
          </w:tcPr>
          <w:p w14:paraId="2CE82C3F" w14:textId="77777777" w:rsidR="00E871CF" w:rsidRPr="00E871CF" w:rsidRDefault="00E871CF" w:rsidP="00E871CF">
            <w:pPr>
              <w:widowControl w:val="0"/>
              <w:jc w:val="both"/>
              <w:rPr>
                <w:rFonts w:ascii="Abadi" w:eastAsiaTheme="minorHAnsi" w:hAnsi="Abadi" w:cs="Arial"/>
                <w:sz w:val="21"/>
                <w:szCs w:val="21"/>
                <w:lang w:val="es-MX" w:eastAsia="en-US"/>
              </w:rPr>
            </w:pPr>
            <w:r w:rsidRPr="00E871CF">
              <w:rPr>
                <w:rFonts w:ascii="Abadi" w:eastAsiaTheme="minorHAnsi" w:hAnsi="Abadi" w:cs="Arial"/>
                <w:sz w:val="21"/>
                <w:szCs w:val="21"/>
                <w:lang w:val="es-MX" w:eastAsia="en-US"/>
              </w:rPr>
              <w:t>Accesibilidad</w:t>
            </w:r>
          </w:p>
        </w:tc>
      </w:tr>
      <w:tr w:rsidR="00E871CF" w:rsidRPr="00E871CF" w14:paraId="47E0862E" w14:textId="77777777" w:rsidTr="00B6141E">
        <w:trPr>
          <w:trHeight w:val="462"/>
        </w:trPr>
        <w:tc>
          <w:tcPr>
            <w:tcW w:w="1452" w:type="pct"/>
            <w:tcBorders>
              <w:top w:val="double" w:sz="4" w:space="0" w:color="auto"/>
              <w:left w:val="double" w:sz="4" w:space="0" w:color="auto"/>
              <w:bottom w:val="double" w:sz="4" w:space="0" w:color="auto"/>
              <w:right w:val="double" w:sz="4" w:space="0" w:color="auto"/>
            </w:tcBorders>
            <w:hideMark/>
          </w:tcPr>
          <w:p w14:paraId="3B6F5F82" w14:textId="77777777" w:rsidR="00E871CF" w:rsidRPr="00E871CF" w:rsidRDefault="00E871CF" w:rsidP="00E871CF">
            <w:pPr>
              <w:widowControl w:val="0"/>
              <w:jc w:val="both"/>
              <w:rPr>
                <w:rFonts w:ascii="Abadi" w:eastAsiaTheme="minorHAnsi" w:hAnsi="Abadi" w:cs="Arial"/>
                <w:sz w:val="21"/>
                <w:szCs w:val="21"/>
                <w:lang w:val="es-MX" w:eastAsia="en-US"/>
              </w:rPr>
            </w:pPr>
            <w:r w:rsidRPr="00E871CF">
              <w:rPr>
                <w:rFonts w:ascii="Abadi" w:eastAsiaTheme="minorHAnsi" w:hAnsi="Abadi" w:cs="Arial"/>
                <w:sz w:val="21"/>
                <w:szCs w:val="21"/>
                <w:lang w:val="es-MX" w:eastAsia="en-US"/>
              </w:rPr>
              <w:t>Licenciado Adolfo Iván Ornelas Lozano</w:t>
            </w:r>
          </w:p>
        </w:tc>
        <w:tc>
          <w:tcPr>
            <w:tcW w:w="1774" w:type="pct"/>
            <w:tcBorders>
              <w:top w:val="double" w:sz="4" w:space="0" w:color="auto"/>
              <w:left w:val="double" w:sz="4" w:space="0" w:color="auto"/>
              <w:bottom w:val="double" w:sz="4" w:space="0" w:color="auto"/>
              <w:right w:val="double" w:sz="4" w:space="0" w:color="auto"/>
            </w:tcBorders>
          </w:tcPr>
          <w:p w14:paraId="3AAFDFA2" w14:textId="77777777" w:rsidR="00E871CF" w:rsidRPr="00E871CF" w:rsidRDefault="00E871CF" w:rsidP="00E871CF">
            <w:pPr>
              <w:widowControl w:val="0"/>
              <w:jc w:val="both"/>
              <w:rPr>
                <w:rFonts w:ascii="Abadi" w:eastAsiaTheme="minorHAnsi" w:hAnsi="Abadi" w:cs="Arial"/>
                <w:sz w:val="21"/>
                <w:szCs w:val="21"/>
                <w:lang w:val="es-MX" w:eastAsia="en-US"/>
              </w:rPr>
            </w:pPr>
            <w:r w:rsidRPr="00E871CF">
              <w:rPr>
                <w:rFonts w:ascii="Abadi" w:eastAsiaTheme="minorHAnsi" w:hAnsi="Abadi" w:cs="Arial"/>
                <w:sz w:val="21"/>
                <w:szCs w:val="21"/>
                <w:lang w:val="es-MX" w:eastAsia="en-US"/>
              </w:rPr>
              <w:t>Presidente de la Asociación Mexicana de Educadores de Personas con Discapacidad Visual A. C., y maestro del Taller de Apoyo para Ciegos y Débiles Visuales de Cáritas de León A. C.</w:t>
            </w:r>
          </w:p>
        </w:tc>
        <w:tc>
          <w:tcPr>
            <w:tcW w:w="1774" w:type="pct"/>
            <w:tcBorders>
              <w:top w:val="double" w:sz="4" w:space="0" w:color="auto"/>
              <w:left w:val="double" w:sz="4" w:space="0" w:color="auto"/>
              <w:bottom w:val="double" w:sz="4" w:space="0" w:color="auto"/>
              <w:right w:val="double" w:sz="4" w:space="0" w:color="auto"/>
            </w:tcBorders>
            <w:hideMark/>
          </w:tcPr>
          <w:p w14:paraId="082328CA" w14:textId="77777777" w:rsidR="00E871CF" w:rsidRPr="00E871CF" w:rsidRDefault="00E871CF" w:rsidP="00E871CF">
            <w:pPr>
              <w:widowControl w:val="0"/>
              <w:jc w:val="both"/>
              <w:rPr>
                <w:rFonts w:ascii="Abadi" w:eastAsiaTheme="minorHAnsi" w:hAnsi="Abadi" w:cs="Arial"/>
                <w:sz w:val="21"/>
                <w:szCs w:val="21"/>
                <w:lang w:val="es-MX" w:eastAsia="en-US"/>
              </w:rPr>
            </w:pPr>
            <w:r w:rsidRPr="00E871CF">
              <w:rPr>
                <w:rFonts w:ascii="Abadi" w:eastAsiaTheme="minorHAnsi" w:hAnsi="Abadi" w:cs="Arial"/>
                <w:sz w:val="21"/>
                <w:szCs w:val="21"/>
                <w:lang w:val="es-MX" w:eastAsia="en-US"/>
              </w:rPr>
              <w:t>Opinión sobre la iniciativa de adición del artículo 7-1 a la Ley de Inclusión para las Personas con Discapacidad en el Estado de Guanajuato</w:t>
            </w:r>
          </w:p>
        </w:tc>
      </w:tr>
      <w:tr w:rsidR="00E871CF" w:rsidRPr="00E871CF" w14:paraId="2291C182" w14:textId="77777777" w:rsidTr="00B6141E">
        <w:trPr>
          <w:trHeight w:val="462"/>
        </w:trPr>
        <w:tc>
          <w:tcPr>
            <w:tcW w:w="1452" w:type="pct"/>
            <w:tcBorders>
              <w:top w:val="double" w:sz="4" w:space="0" w:color="auto"/>
              <w:left w:val="double" w:sz="4" w:space="0" w:color="auto"/>
              <w:bottom w:val="double" w:sz="4" w:space="0" w:color="auto"/>
              <w:right w:val="double" w:sz="4" w:space="0" w:color="auto"/>
            </w:tcBorders>
            <w:hideMark/>
          </w:tcPr>
          <w:p w14:paraId="0B88606A" w14:textId="77777777" w:rsidR="00E871CF" w:rsidRPr="00E871CF" w:rsidRDefault="00E871CF" w:rsidP="00E871CF">
            <w:pPr>
              <w:widowControl w:val="0"/>
              <w:jc w:val="both"/>
              <w:rPr>
                <w:rFonts w:ascii="Abadi" w:eastAsiaTheme="minorHAnsi" w:hAnsi="Abadi" w:cs="Arial"/>
                <w:sz w:val="21"/>
                <w:szCs w:val="21"/>
                <w:lang w:val="es-MX" w:eastAsia="en-US"/>
              </w:rPr>
            </w:pPr>
            <w:r w:rsidRPr="00E871CF">
              <w:rPr>
                <w:rFonts w:ascii="Abadi" w:eastAsiaTheme="minorHAnsi" w:hAnsi="Abadi" w:cs="Arial"/>
                <w:sz w:val="21"/>
                <w:szCs w:val="21"/>
                <w:lang w:val="es-MX" w:eastAsia="en-US"/>
              </w:rPr>
              <w:t>Licenciado Adolfo Iván Ornelas Lozano</w:t>
            </w:r>
          </w:p>
        </w:tc>
        <w:tc>
          <w:tcPr>
            <w:tcW w:w="1774" w:type="pct"/>
            <w:tcBorders>
              <w:top w:val="double" w:sz="4" w:space="0" w:color="auto"/>
              <w:left w:val="double" w:sz="4" w:space="0" w:color="auto"/>
              <w:bottom w:val="double" w:sz="4" w:space="0" w:color="auto"/>
              <w:right w:val="double" w:sz="4" w:space="0" w:color="auto"/>
            </w:tcBorders>
          </w:tcPr>
          <w:p w14:paraId="09E783D9" w14:textId="77777777" w:rsidR="00E871CF" w:rsidRPr="00E871CF" w:rsidRDefault="00E871CF" w:rsidP="00E871CF">
            <w:pPr>
              <w:widowControl w:val="0"/>
              <w:jc w:val="both"/>
              <w:rPr>
                <w:rFonts w:ascii="Abadi" w:hAnsi="Abadi" w:cs="Arial"/>
                <w:sz w:val="21"/>
                <w:szCs w:val="21"/>
                <w:lang w:val="es-MX" w:eastAsia="en-US"/>
              </w:rPr>
            </w:pPr>
            <w:r w:rsidRPr="00E871CF">
              <w:rPr>
                <w:rFonts w:ascii="Abadi" w:hAnsi="Abadi" w:cs="Arial"/>
                <w:sz w:val="21"/>
                <w:szCs w:val="21"/>
                <w:lang w:val="es-MX" w:eastAsia="en-US"/>
              </w:rPr>
              <w:t>Presidente de la Asociación Mexicana de Educadores de Personas con Discapacidad Visual A. C., y maestro del Taller de Apoyo para Ciegos y Débiles Visuales de Cáritas de León A. C.</w:t>
            </w:r>
          </w:p>
        </w:tc>
        <w:tc>
          <w:tcPr>
            <w:tcW w:w="1774" w:type="pct"/>
            <w:tcBorders>
              <w:top w:val="double" w:sz="4" w:space="0" w:color="auto"/>
              <w:left w:val="double" w:sz="4" w:space="0" w:color="auto"/>
              <w:bottom w:val="double" w:sz="4" w:space="0" w:color="auto"/>
              <w:right w:val="double" w:sz="4" w:space="0" w:color="auto"/>
            </w:tcBorders>
            <w:hideMark/>
          </w:tcPr>
          <w:p w14:paraId="11B9DE4C" w14:textId="77777777" w:rsidR="00E871CF" w:rsidRPr="00E871CF" w:rsidRDefault="00E871CF" w:rsidP="00E871CF">
            <w:pPr>
              <w:widowControl w:val="0"/>
              <w:jc w:val="both"/>
              <w:rPr>
                <w:rFonts w:ascii="Abadi" w:eastAsiaTheme="minorHAnsi" w:hAnsi="Abadi" w:cs="Arial"/>
                <w:sz w:val="21"/>
                <w:szCs w:val="21"/>
                <w:lang w:val="es-MX" w:eastAsia="en-US"/>
              </w:rPr>
            </w:pPr>
            <w:r w:rsidRPr="00E871CF">
              <w:rPr>
                <w:rFonts w:ascii="Abadi" w:eastAsiaTheme="minorHAnsi" w:hAnsi="Abadi" w:cs="Arial"/>
                <w:sz w:val="21"/>
                <w:szCs w:val="21"/>
                <w:lang w:val="es-MX" w:eastAsia="en-US"/>
              </w:rPr>
              <w:t>Opinión sobre la iniciativa de Ley para la Protección de los Derechos de las Personas Usuarias de Perros Guía o Asistencia Médica para el Estado de Guanajuato</w:t>
            </w:r>
          </w:p>
        </w:tc>
      </w:tr>
      <w:tr w:rsidR="00E871CF" w:rsidRPr="00E871CF" w14:paraId="41352A81" w14:textId="77777777" w:rsidTr="00B6141E">
        <w:trPr>
          <w:trHeight w:val="397"/>
        </w:trPr>
        <w:tc>
          <w:tcPr>
            <w:tcW w:w="1452" w:type="pct"/>
            <w:tcBorders>
              <w:top w:val="double" w:sz="4" w:space="0" w:color="auto"/>
              <w:left w:val="double" w:sz="4" w:space="0" w:color="auto"/>
              <w:bottom w:val="double" w:sz="4" w:space="0" w:color="auto"/>
              <w:right w:val="double" w:sz="4" w:space="0" w:color="auto"/>
            </w:tcBorders>
            <w:hideMark/>
          </w:tcPr>
          <w:p w14:paraId="4CB95F09" w14:textId="77777777" w:rsidR="00E871CF" w:rsidRPr="00E871CF" w:rsidRDefault="00E871CF" w:rsidP="00E871CF">
            <w:pPr>
              <w:widowControl w:val="0"/>
              <w:jc w:val="both"/>
              <w:rPr>
                <w:rFonts w:ascii="Abadi" w:hAnsi="Abadi"/>
                <w:sz w:val="21"/>
                <w:szCs w:val="21"/>
                <w:lang w:val="es-MX" w:eastAsia="en-US"/>
              </w:rPr>
            </w:pPr>
            <w:r w:rsidRPr="00E871CF">
              <w:rPr>
                <w:rFonts w:ascii="Abadi" w:hAnsi="Abadi"/>
                <w:sz w:val="21"/>
                <w:szCs w:val="21"/>
                <w:lang w:val="es-MX" w:eastAsia="en-US"/>
              </w:rPr>
              <w:t>Licenciada Alicia del Socorro Franco Dávalos</w:t>
            </w:r>
          </w:p>
        </w:tc>
        <w:tc>
          <w:tcPr>
            <w:tcW w:w="1774" w:type="pct"/>
            <w:tcBorders>
              <w:top w:val="double" w:sz="4" w:space="0" w:color="auto"/>
              <w:left w:val="double" w:sz="4" w:space="0" w:color="auto"/>
              <w:bottom w:val="double" w:sz="4" w:space="0" w:color="auto"/>
              <w:right w:val="double" w:sz="4" w:space="0" w:color="auto"/>
            </w:tcBorders>
          </w:tcPr>
          <w:p w14:paraId="7E7FA8B1" w14:textId="77777777" w:rsidR="00E871CF" w:rsidRPr="00E871CF" w:rsidRDefault="00E871CF" w:rsidP="00E871CF">
            <w:pPr>
              <w:widowControl w:val="0"/>
              <w:jc w:val="both"/>
              <w:rPr>
                <w:rFonts w:ascii="Abadi" w:hAnsi="Abadi"/>
                <w:sz w:val="21"/>
                <w:szCs w:val="21"/>
                <w:lang w:val="es-MX" w:eastAsia="en-US"/>
              </w:rPr>
            </w:pPr>
            <w:r w:rsidRPr="00E871CF">
              <w:rPr>
                <w:rFonts w:ascii="Abadi" w:hAnsi="Abadi" w:cs="Arial"/>
                <w:sz w:val="21"/>
                <w:szCs w:val="21"/>
                <w:lang w:val="es-MX" w:eastAsia="en-US"/>
              </w:rPr>
              <w:t>Presidenta del Consejo para Prevenir, Atender y Erradicar la Discriminación en el Estado de Guanajuato</w:t>
            </w:r>
          </w:p>
        </w:tc>
        <w:tc>
          <w:tcPr>
            <w:tcW w:w="1774" w:type="pct"/>
            <w:tcBorders>
              <w:top w:val="double" w:sz="4" w:space="0" w:color="auto"/>
              <w:left w:val="double" w:sz="4" w:space="0" w:color="auto"/>
              <w:bottom w:val="double" w:sz="4" w:space="0" w:color="auto"/>
              <w:right w:val="double" w:sz="4" w:space="0" w:color="auto"/>
            </w:tcBorders>
            <w:hideMark/>
          </w:tcPr>
          <w:p w14:paraId="027798FF" w14:textId="77777777" w:rsidR="00E871CF" w:rsidRPr="00E871CF" w:rsidRDefault="00E871CF" w:rsidP="00E871CF">
            <w:pPr>
              <w:widowControl w:val="0"/>
              <w:jc w:val="both"/>
              <w:rPr>
                <w:rFonts w:ascii="Abadi" w:eastAsiaTheme="minorHAnsi" w:hAnsi="Abadi" w:cs="Arial"/>
                <w:sz w:val="21"/>
                <w:szCs w:val="21"/>
                <w:lang w:val="es-MX" w:eastAsia="en-US"/>
              </w:rPr>
            </w:pPr>
            <w:r w:rsidRPr="00E871CF">
              <w:rPr>
                <w:rFonts w:ascii="Abadi" w:eastAsiaTheme="minorHAnsi" w:hAnsi="Abadi" w:cs="Arial"/>
                <w:sz w:val="21"/>
                <w:szCs w:val="21"/>
                <w:lang w:val="es-MX" w:eastAsia="en-US"/>
              </w:rPr>
              <w:t>Comentarios a las 3 iniciativas materia del foro</w:t>
            </w:r>
          </w:p>
        </w:tc>
      </w:tr>
      <w:tr w:rsidR="00E871CF" w:rsidRPr="00E871CF" w14:paraId="6C5E0922" w14:textId="77777777" w:rsidTr="00B6141E">
        <w:trPr>
          <w:trHeight w:val="397"/>
        </w:trPr>
        <w:tc>
          <w:tcPr>
            <w:tcW w:w="1452" w:type="pct"/>
            <w:tcBorders>
              <w:top w:val="double" w:sz="4" w:space="0" w:color="auto"/>
              <w:left w:val="double" w:sz="4" w:space="0" w:color="auto"/>
              <w:bottom w:val="double" w:sz="4" w:space="0" w:color="auto"/>
              <w:right w:val="double" w:sz="4" w:space="0" w:color="auto"/>
            </w:tcBorders>
            <w:hideMark/>
          </w:tcPr>
          <w:p w14:paraId="2FAC75BA" w14:textId="77777777" w:rsidR="00E871CF" w:rsidRPr="00E871CF" w:rsidRDefault="00E871CF" w:rsidP="00E871CF">
            <w:pPr>
              <w:widowControl w:val="0"/>
              <w:jc w:val="both"/>
              <w:rPr>
                <w:rFonts w:ascii="Abadi" w:hAnsi="Abadi"/>
                <w:sz w:val="21"/>
                <w:szCs w:val="21"/>
                <w:lang w:val="es-MX" w:eastAsia="en-US"/>
              </w:rPr>
            </w:pPr>
            <w:r w:rsidRPr="00E871CF">
              <w:rPr>
                <w:rFonts w:ascii="Abadi" w:hAnsi="Abadi"/>
                <w:sz w:val="21"/>
                <w:szCs w:val="21"/>
                <w:lang w:val="es-MX" w:eastAsia="en-US"/>
              </w:rPr>
              <w:t>Ciudadana Ana Lilia González Amador</w:t>
            </w:r>
          </w:p>
        </w:tc>
        <w:tc>
          <w:tcPr>
            <w:tcW w:w="1774" w:type="pct"/>
            <w:tcBorders>
              <w:top w:val="double" w:sz="4" w:space="0" w:color="auto"/>
              <w:left w:val="double" w:sz="4" w:space="0" w:color="auto"/>
              <w:bottom w:val="double" w:sz="4" w:space="0" w:color="auto"/>
              <w:right w:val="double" w:sz="4" w:space="0" w:color="auto"/>
            </w:tcBorders>
            <w:hideMark/>
          </w:tcPr>
          <w:p w14:paraId="062D2968" w14:textId="77777777" w:rsidR="00E871CF" w:rsidRPr="00E871CF" w:rsidRDefault="00E871CF" w:rsidP="00E871CF">
            <w:pPr>
              <w:widowControl w:val="0"/>
              <w:jc w:val="both"/>
              <w:rPr>
                <w:rFonts w:ascii="Abadi" w:hAnsi="Abadi"/>
                <w:sz w:val="21"/>
                <w:szCs w:val="21"/>
                <w:lang w:val="es-MX" w:eastAsia="en-US"/>
              </w:rPr>
            </w:pPr>
            <w:r w:rsidRPr="00E871CF">
              <w:rPr>
                <w:rFonts w:ascii="Abadi" w:hAnsi="Abadi"/>
                <w:sz w:val="21"/>
                <w:szCs w:val="21"/>
                <w:lang w:val="es-MX" w:eastAsia="en-US"/>
              </w:rPr>
              <w:t>Directora del Centro Integral Educando y Asistiendo con Animales de Compañía León</w:t>
            </w:r>
          </w:p>
        </w:tc>
        <w:tc>
          <w:tcPr>
            <w:tcW w:w="1774" w:type="pct"/>
            <w:tcBorders>
              <w:top w:val="double" w:sz="4" w:space="0" w:color="auto"/>
              <w:left w:val="double" w:sz="4" w:space="0" w:color="auto"/>
              <w:bottom w:val="double" w:sz="4" w:space="0" w:color="auto"/>
              <w:right w:val="double" w:sz="4" w:space="0" w:color="auto"/>
            </w:tcBorders>
          </w:tcPr>
          <w:p w14:paraId="0D9A1D2D" w14:textId="77777777" w:rsidR="00E871CF" w:rsidRPr="00E871CF" w:rsidRDefault="00E871CF" w:rsidP="00E871CF">
            <w:pPr>
              <w:widowControl w:val="0"/>
              <w:jc w:val="both"/>
              <w:rPr>
                <w:rFonts w:ascii="Abadi" w:eastAsiaTheme="minorHAnsi" w:hAnsi="Abadi" w:cs="Arial"/>
                <w:sz w:val="21"/>
                <w:szCs w:val="21"/>
                <w:lang w:val="es-MX" w:eastAsia="en-US"/>
              </w:rPr>
            </w:pPr>
            <w:r w:rsidRPr="00E871CF">
              <w:rPr>
                <w:rFonts w:ascii="Abadi" w:eastAsiaTheme="minorHAnsi" w:hAnsi="Abadi" w:cs="Arial"/>
                <w:sz w:val="21"/>
                <w:szCs w:val="21"/>
                <w:lang w:val="es-MX" w:eastAsia="en-US"/>
              </w:rPr>
              <w:t>Comentarios a la iniciativa de Ley para la Protección de los Derechos de las Personas Usuarias de Perros Guía o Asistencia Médica para el Estado de Guanajuato</w:t>
            </w:r>
          </w:p>
        </w:tc>
      </w:tr>
      <w:tr w:rsidR="00E871CF" w:rsidRPr="00E871CF" w14:paraId="5522F333" w14:textId="77777777" w:rsidTr="00B6141E">
        <w:trPr>
          <w:trHeight w:val="489"/>
        </w:trPr>
        <w:tc>
          <w:tcPr>
            <w:tcW w:w="1452" w:type="pct"/>
            <w:tcBorders>
              <w:top w:val="double" w:sz="4" w:space="0" w:color="auto"/>
              <w:left w:val="double" w:sz="4" w:space="0" w:color="auto"/>
              <w:bottom w:val="double" w:sz="4" w:space="0" w:color="auto"/>
              <w:right w:val="double" w:sz="4" w:space="0" w:color="auto"/>
            </w:tcBorders>
            <w:hideMark/>
          </w:tcPr>
          <w:p w14:paraId="6E91499F" w14:textId="77777777" w:rsidR="00E871CF" w:rsidRPr="00E871CF" w:rsidRDefault="00E871CF" w:rsidP="00E871CF">
            <w:pPr>
              <w:widowControl w:val="0"/>
              <w:jc w:val="both"/>
              <w:rPr>
                <w:rFonts w:ascii="Abadi" w:hAnsi="Abadi"/>
                <w:sz w:val="21"/>
                <w:szCs w:val="21"/>
                <w:lang w:val="es-MX" w:eastAsia="en-US"/>
              </w:rPr>
            </w:pPr>
            <w:r w:rsidRPr="00E871CF">
              <w:rPr>
                <w:rFonts w:ascii="Abadi" w:hAnsi="Abadi"/>
                <w:sz w:val="21"/>
                <w:szCs w:val="21"/>
                <w:lang w:val="es-MX" w:eastAsia="en-US"/>
              </w:rPr>
              <w:t>Licenciada Claudia Tayde Sosa García</w:t>
            </w:r>
          </w:p>
        </w:tc>
        <w:tc>
          <w:tcPr>
            <w:tcW w:w="1774" w:type="pct"/>
            <w:tcBorders>
              <w:top w:val="double" w:sz="4" w:space="0" w:color="auto"/>
              <w:left w:val="double" w:sz="4" w:space="0" w:color="auto"/>
              <w:bottom w:val="double" w:sz="4" w:space="0" w:color="auto"/>
              <w:right w:val="double" w:sz="4" w:space="0" w:color="auto"/>
            </w:tcBorders>
            <w:hideMark/>
          </w:tcPr>
          <w:p w14:paraId="56C244BB" w14:textId="77777777" w:rsidR="00E871CF" w:rsidRPr="00E871CF" w:rsidRDefault="00E871CF" w:rsidP="00E871CF">
            <w:pPr>
              <w:widowControl w:val="0"/>
              <w:jc w:val="both"/>
              <w:rPr>
                <w:rFonts w:ascii="Abadi" w:hAnsi="Abadi"/>
                <w:sz w:val="21"/>
                <w:szCs w:val="21"/>
                <w:lang w:val="es-MX" w:eastAsia="en-US"/>
              </w:rPr>
            </w:pPr>
            <w:r w:rsidRPr="00E871CF">
              <w:rPr>
                <w:rFonts w:ascii="Abadi" w:hAnsi="Abadi"/>
                <w:sz w:val="21"/>
                <w:szCs w:val="21"/>
                <w:lang w:val="es-MX" w:eastAsia="en-US"/>
              </w:rPr>
              <w:t>Coordinadora del programa de pacientes integrados del Centro de Rehabilitación Celaya, A.C. Centro afiliado a APAC, México</w:t>
            </w:r>
          </w:p>
        </w:tc>
        <w:tc>
          <w:tcPr>
            <w:tcW w:w="1774" w:type="pct"/>
            <w:tcBorders>
              <w:top w:val="double" w:sz="4" w:space="0" w:color="auto"/>
              <w:left w:val="double" w:sz="4" w:space="0" w:color="auto"/>
              <w:bottom w:val="double" w:sz="4" w:space="0" w:color="auto"/>
              <w:right w:val="double" w:sz="4" w:space="0" w:color="auto"/>
            </w:tcBorders>
          </w:tcPr>
          <w:p w14:paraId="75D3B064" w14:textId="77777777" w:rsidR="00E871CF" w:rsidRPr="00E871CF" w:rsidRDefault="00E871CF" w:rsidP="00E871CF">
            <w:pPr>
              <w:widowControl w:val="0"/>
              <w:jc w:val="both"/>
              <w:rPr>
                <w:rFonts w:ascii="Abadi" w:eastAsiaTheme="minorHAnsi" w:hAnsi="Abadi" w:cs="Arial"/>
                <w:sz w:val="21"/>
                <w:szCs w:val="21"/>
                <w:lang w:val="es-MX" w:eastAsia="en-US"/>
              </w:rPr>
            </w:pPr>
            <w:r w:rsidRPr="00E871CF">
              <w:rPr>
                <w:rFonts w:ascii="Abadi" w:eastAsiaTheme="minorHAnsi" w:hAnsi="Abadi" w:cs="Arial"/>
                <w:sz w:val="21"/>
                <w:szCs w:val="21"/>
                <w:lang w:val="es-MX" w:eastAsia="en-US"/>
              </w:rPr>
              <w:t>Comentarios a la iniciativa de adición del artículo 7-1 a la Ley de Inclusión para las Personas con Discapacidad en el Estado de Guanajuato</w:t>
            </w:r>
          </w:p>
        </w:tc>
      </w:tr>
      <w:tr w:rsidR="00E871CF" w:rsidRPr="00E871CF" w14:paraId="11ED01A6" w14:textId="77777777" w:rsidTr="00B6141E">
        <w:trPr>
          <w:trHeight w:val="643"/>
        </w:trPr>
        <w:tc>
          <w:tcPr>
            <w:tcW w:w="1452" w:type="pct"/>
            <w:tcBorders>
              <w:top w:val="double" w:sz="4" w:space="0" w:color="auto"/>
              <w:left w:val="double" w:sz="4" w:space="0" w:color="auto"/>
              <w:bottom w:val="double" w:sz="4" w:space="0" w:color="auto"/>
              <w:right w:val="double" w:sz="4" w:space="0" w:color="auto"/>
            </w:tcBorders>
            <w:hideMark/>
          </w:tcPr>
          <w:p w14:paraId="38D8C392" w14:textId="77777777" w:rsidR="00E871CF" w:rsidRPr="00E871CF" w:rsidRDefault="00E871CF" w:rsidP="00E871CF">
            <w:pPr>
              <w:widowControl w:val="0"/>
              <w:jc w:val="both"/>
              <w:rPr>
                <w:rFonts w:ascii="Abadi" w:hAnsi="Abadi"/>
                <w:sz w:val="21"/>
                <w:szCs w:val="21"/>
                <w:lang w:val="es-MX" w:eastAsia="en-US"/>
              </w:rPr>
            </w:pPr>
            <w:r w:rsidRPr="00E871CF">
              <w:rPr>
                <w:rFonts w:ascii="Abadi" w:hAnsi="Abadi"/>
                <w:sz w:val="21"/>
                <w:szCs w:val="21"/>
                <w:lang w:val="es-MX" w:eastAsia="en-US"/>
              </w:rPr>
              <w:t>Licenciada Ma. del Carmen García Maya</w:t>
            </w:r>
          </w:p>
        </w:tc>
        <w:tc>
          <w:tcPr>
            <w:tcW w:w="1774" w:type="pct"/>
            <w:tcBorders>
              <w:top w:val="double" w:sz="4" w:space="0" w:color="auto"/>
              <w:left w:val="double" w:sz="4" w:space="0" w:color="auto"/>
              <w:bottom w:val="double" w:sz="4" w:space="0" w:color="auto"/>
              <w:right w:val="double" w:sz="4" w:space="0" w:color="auto"/>
            </w:tcBorders>
            <w:hideMark/>
          </w:tcPr>
          <w:p w14:paraId="6ED37BEC" w14:textId="77777777" w:rsidR="00E871CF" w:rsidRPr="00E871CF" w:rsidRDefault="00E871CF" w:rsidP="00E871CF">
            <w:pPr>
              <w:widowControl w:val="0"/>
              <w:jc w:val="both"/>
              <w:rPr>
                <w:rFonts w:ascii="Abadi" w:hAnsi="Abadi"/>
                <w:sz w:val="21"/>
                <w:szCs w:val="21"/>
                <w:lang w:val="es-MX" w:eastAsia="en-US"/>
              </w:rPr>
            </w:pPr>
            <w:r w:rsidRPr="00E871CF">
              <w:rPr>
                <w:rFonts w:ascii="Abadi" w:hAnsi="Abadi"/>
                <w:sz w:val="21"/>
                <w:szCs w:val="21"/>
                <w:lang w:val="es-MX" w:eastAsia="en-US"/>
              </w:rPr>
              <w:t>Directora del Centro de Aprendizaje y Lenguaje Especial "Mi Sol" A.C.</w:t>
            </w:r>
          </w:p>
        </w:tc>
        <w:tc>
          <w:tcPr>
            <w:tcW w:w="1774" w:type="pct"/>
            <w:tcBorders>
              <w:top w:val="double" w:sz="4" w:space="0" w:color="auto"/>
              <w:left w:val="double" w:sz="4" w:space="0" w:color="auto"/>
              <w:bottom w:val="double" w:sz="4" w:space="0" w:color="auto"/>
              <w:right w:val="double" w:sz="4" w:space="0" w:color="auto"/>
            </w:tcBorders>
          </w:tcPr>
          <w:p w14:paraId="4245FC4E" w14:textId="77777777" w:rsidR="00E871CF" w:rsidRPr="00E871CF" w:rsidRDefault="00E871CF" w:rsidP="00E871CF">
            <w:pPr>
              <w:widowControl w:val="0"/>
              <w:jc w:val="both"/>
              <w:rPr>
                <w:rFonts w:ascii="Abadi" w:hAnsi="Abadi"/>
                <w:sz w:val="21"/>
                <w:szCs w:val="21"/>
                <w:lang w:val="es-MX" w:eastAsia="en-US"/>
              </w:rPr>
            </w:pPr>
            <w:r w:rsidRPr="00E871CF">
              <w:rPr>
                <w:rFonts w:ascii="Abadi" w:hAnsi="Abadi"/>
                <w:sz w:val="21"/>
                <w:szCs w:val="21"/>
                <w:lang w:val="es-MX" w:eastAsia="en-US"/>
              </w:rPr>
              <w:t>Comentarios a la iniciativa de adición del artículo 7-1 a la Ley de Inclusión para las Personas con Discapacidad en el Estado de Guanajuato</w:t>
            </w:r>
          </w:p>
        </w:tc>
      </w:tr>
      <w:tr w:rsidR="00E871CF" w:rsidRPr="00E871CF" w14:paraId="22C90155" w14:textId="77777777" w:rsidTr="00B6141E">
        <w:trPr>
          <w:trHeight w:val="435"/>
        </w:trPr>
        <w:tc>
          <w:tcPr>
            <w:tcW w:w="1452" w:type="pct"/>
            <w:tcBorders>
              <w:top w:val="double" w:sz="4" w:space="0" w:color="auto"/>
              <w:left w:val="double" w:sz="4" w:space="0" w:color="auto"/>
              <w:bottom w:val="double" w:sz="4" w:space="0" w:color="auto"/>
              <w:right w:val="double" w:sz="4" w:space="0" w:color="auto"/>
            </w:tcBorders>
            <w:hideMark/>
          </w:tcPr>
          <w:p w14:paraId="4C64F174" w14:textId="77777777" w:rsidR="00E871CF" w:rsidRPr="00E871CF" w:rsidRDefault="00E871CF" w:rsidP="00E871CF">
            <w:pPr>
              <w:widowControl w:val="0"/>
              <w:jc w:val="both"/>
              <w:rPr>
                <w:rFonts w:ascii="Abadi" w:hAnsi="Abadi"/>
                <w:sz w:val="21"/>
                <w:szCs w:val="21"/>
                <w:lang w:val="es-MX" w:eastAsia="en-US"/>
              </w:rPr>
            </w:pPr>
            <w:r w:rsidRPr="00E871CF">
              <w:rPr>
                <w:rFonts w:ascii="Abadi" w:hAnsi="Abadi"/>
                <w:sz w:val="21"/>
                <w:szCs w:val="21"/>
                <w:lang w:val="es-MX" w:eastAsia="en-US"/>
              </w:rPr>
              <w:t>Ciudadano Juan Pablo Sánchez Padilla</w:t>
            </w:r>
          </w:p>
        </w:tc>
        <w:tc>
          <w:tcPr>
            <w:tcW w:w="1774" w:type="pct"/>
            <w:tcBorders>
              <w:top w:val="double" w:sz="4" w:space="0" w:color="auto"/>
              <w:left w:val="double" w:sz="4" w:space="0" w:color="auto"/>
              <w:bottom w:val="double" w:sz="4" w:space="0" w:color="auto"/>
              <w:right w:val="double" w:sz="4" w:space="0" w:color="auto"/>
            </w:tcBorders>
            <w:hideMark/>
          </w:tcPr>
          <w:p w14:paraId="578FD92A" w14:textId="77777777" w:rsidR="00E871CF" w:rsidRPr="00E871CF" w:rsidRDefault="00E871CF" w:rsidP="00E871CF">
            <w:pPr>
              <w:widowControl w:val="0"/>
              <w:jc w:val="both"/>
              <w:rPr>
                <w:rFonts w:ascii="Abadi" w:hAnsi="Abadi"/>
                <w:sz w:val="21"/>
                <w:szCs w:val="21"/>
                <w:lang w:val="es-MX" w:eastAsia="en-US"/>
              </w:rPr>
            </w:pPr>
          </w:p>
        </w:tc>
        <w:tc>
          <w:tcPr>
            <w:tcW w:w="1774" w:type="pct"/>
            <w:tcBorders>
              <w:top w:val="double" w:sz="4" w:space="0" w:color="auto"/>
              <w:left w:val="double" w:sz="4" w:space="0" w:color="auto"/>
              <w:bottom w:val="double" w:sz="4" w:space="0" w:color="auto"/>
              <w:right w:val="double" w:sz="4" w:space="0" w:color="auto"/>
            </w:tcBorders>
          </w:tcPr>
          <w:p w14:paraId="448AFAEC" w14:textId="77777777" w:rsidR="00E871CF" w:rsidRPr="00E871CF" w:rsidRDefault="00E871CF" w:rsidP="00E871CF">
            <w:pPr>
              <w:widowControl w:val="0"/>
              <w:jc w:val="both"/>
              <w:rPr>
                <w:rFonts w:ascii="Abadi" w:hAnsi="Abadi"/>
                <w:sz w:val="21"/>
                <w:szCs w:val="21"/>
                <w:lang w:val="es-MX" w:eastAsia="en-US"/>
              </w:rPr>
            </w:pPr>
            <w:r w:rsidRPr="00E871CF">
              <w:rPr>
                <w:rFonts w:ascii="Abadi" w:hAnsi="Abadi"/>
                <w:sz w:val="21"/>
                <w:szCs w:val="21"/>
                <w:lang w:val="es-MX" w:eastAsia="en-US"/>
              </w:rPr>
              <w:t>Lengua de señas mexicana</w:t>
            </w:r>
          </w:p>
        </w:tc>
      </w:tr>
      <w:tr w:rsidR="00E871CF" w:rsidRPr="00E871CF" w14:paraId="5412BA1E" w14:textId="77777777" w:rsidTr="00B6141E">
        <w:trPr>
          <w:trHeight w:val="643"/>
        </w:trPr>
        <w:tc>
          <w:tcPr>
            <w:tcW w:w="1452" w:type="pct"/>
            <w:tcBorders>
              <w:top w:val="double" w:sz="4" w:space="0" w:color="auto"/>
              <w:left w:val="double" w:sz="4" w:space="0" w:color="auto"/>
              <w:bottom w:val="double" w:sz="4" w:space="0" w:color="auto"/>
              <w:right w:val="double" w:sz="4" w:space="0" w:color="auto"/>
            </w:tcBorders>
          </w:tcPr>
          <w:p w14:paraId="1444EC4E" w14:textId="77777777" w:rsidR="00E871CF" w:rsidRPr="00E871CF" w:rsidRDefault="00E871CF" w:rsidP="00E871CF">
            <w:pPr>
              <w:widowControl w:val="0"/>
              <w:jc w:val="both"/>
              <w:rPr>
                <w:rFonts w:ascii="Abadi" w:hAnsi="Abadi"/>
                <w:sz w:val="21"/>
                <w:szCs w:val="21"/>
                <w:lang w:val="es-MX" w:eastAsia="en-US"/>
              </w:rPr>
            </w:pPr>
            <w:r w:rsidRPr="00E871CF">
              <w:rPr>
                <w:rFonts w:ascii="Abadi" w:hAnsi="Abadi"/>
                <w:sz w:val="21"/>
                <w:szCs w:val="21"/>
                <w:lang w:val="es-MX" w:eastAsia="en-US"/>
              </w:rPr>
              <w:t>Ciudadano Juan Gilberto Ávila Estrada</w:t>
            </w:r>
          </w:p>
        </w:tc>
        <w:tc>
          <w:tcPr>
            <w:tcW w:w="1774" w:type="pct"/>
            <w:tcBorders>
              <w:top w:val="double" w:sz="4" w:space="0" w:color="auto"/>
              <w:left w:val="double" w:sz="4" w:space="0" w:color="auto"/>
              <w:bottom w:val="double" w:sz="4" w:space="0" w:color="auto"/>
              <w:right w:val="double" w:sz="4" w:space="0" w:color="auto"/>
            </w:tcBorders>
            <w:hideMark/>
          </w:tcPr>
          <w:p w14:paraId="332A1852" w14:textId="77777777" w:rsidR="00E871CF" w:rsidRPr="00E871CF" w:rsidRDefault="00E871CF" w:rsidP="00E871CF">
            <w:pPr>
              <w:widowControl w:val="0"/>
              <w:jc w:val="both"/>
              <w:rPr>
                <w:rFonts w:ascii="Abadi" w:hAnsi="Abadi"/>
                <w:sz w:val="21"/>
                <w:szCs w:val="21"/>
                <w:lang w:val="es-MX" w:eastAsia="en-US"/>
              </w:rPr>
            </w:pPr>
          </w:p>
        </w:tc>
        <w:tc>
          <w:tcPr>
            <w:tcW w:w="1774" w:type="pct"/>
            <w:tcBorders>
              <w:top w:val="double" w:sz="4" w:space="0" w:color="auto"/>
              <w:left w:val="double" w:sz="4" w:space="0" w:color="auto"/>
              <w:bottom w:val="double" w:sz="4" w:space="0" w:color="auto"/>
              <w:right w:val="double" w:sz="4" w:space="0" w:color="auto"/>
            </w:tcBorders>
          </w:tcPr>
          <w:p w14:paraId="70F3CD2A" w14:textId="77777777" w:rsidR="00E871CF" w:rsidRPr="00E871CF" w:rsidRDefault="00E871CF" w:rsidP="00E871CF">
            <w:pPr>
              <w:widowControl w:val="0"/>
              <w:jc w:val="both"/>
              <w:rPr>
                <w:rFonts w:ascii="Abadi" w:hAnsi="Abadi"/>
                <w:sz w:val="21"/>
                <w:szCs w:val="21"/>
                <w:lang w:val="es-MX" w:eastAsia="en-US"/>
              </w:rPr>
            </w:pPr>
            <w:r w:rsidRPr="00E871CF">
              <w:rPr>
                <w:rFonts w:ascii="Abadi" w:hAnsi="Abadi"/>
                <w:sz w:val="21"/>
                <w:szCs w:val="21"/>
                <w:lang w:val="es-MX" w:eastAsia="en-US"/>
              </w:rPr>
              <w:t>Una posibilidad de promover el desplazamiento de personas con discapacidad</w:t>
            </w:r>
          </w:p>
        </w:tc>
      </w:tr>
      <w:tr w:rsidR="00E871CF" w:rsidRPr="00E871CF" w14:paraId="1B0A6451" w14:textId="77777777" w:rsidTr="00B6141E">
        <w:trPr>
          <w:trHeight w:val="643"/>
        </w:trPr>
        <w:tc>
          <w:tcPr>
            <w:tcW w:w="1452" w:type="pct"/>
            <w:tcBorders>
              <w:top w:val="double" w:sz="4" w:space="0" w:color="auto"/>
              <w:left w:val="double" w:sz="4" w:space="0" w:color="auto"/>
              <w:bottom w:val="double" w:sz="4" w:space="0" w:color="auto"/>
              <w:right w:val="double" w:sz="4" w:space="0" w:color="auto"/>
            </w:tcBorders>
            <w:hideMark/>
          </w:tcPr>
          <w:p w14:paraId="6D7B0675" w14:textId="77777777" w:rsidR="00E871CF" w:rsidRPr="00E871CF" w:rsidRDefault="00E871CF" w:rsidP="00E871CF">
            <w:pPr>
              <w:widowControl w:val="0"/>
              <w:jc w:val="both"/>
              <w:rPr>
                <w:rFonts w:ascii="Abadi" w:hAnsi="Abadi"/>
                <w:sz w:val="21"/>
                <w:szCs w:val="21"/>
                <w:lang w:val="es-MX" w:eastAsia="en-US"/>
              </w:rPr>
            </w:pPr>
            <w:r w:rsidRPr="00E871CF">
              <w:rPr>
                <w:rFonts w:ascii="Abadi" w:hAnsi="Abadi"/>
                <w:sz w:val="21"/>
                <w:szCs w:val="21"/>
                <w:lang w:val="es-MX" w:eastAsia="en-US"/>
              </w:rPr>
              <w:t>Licenciado José José Grimaldo Colmenero</w:t>
            </w:r>
          </w:p>
        </w:tc>
        <w:tc>
          <w:tcPr>
            <w:tcW w:w="1774" w:type="pct"/>
            <w:tcBorders>
              <w:top w:val="double" w:sz="4" w:space="0" w:color="auto"/>
              <w:left w:val="double" w:sz="4" w:space="0" w:color="auto"/>
              <w:bottom w:val="double" w:sz="4" w:space="0" w:color="auto"/>
              <w:right w:val="double" w:sz="4" w:space="0" w:color="auto"/>
            </w:tcBorders>
          </w:tcPr>
          <w:p w14:paraId="23B3B67C" w14:textId="77777777" w:rsidR="00E871CF" w:rsidRPr="00E871CF" w:rsidRDefault="00E871CF" w:rsidP="00E871CF">
            <w:pPr>
              <w:widowControl w:val="0"/>
              <w:jc w:val="both"/>
              <w:rPr>
                <w:rFonts w:ascii="Abadi" w:hAnsi="Abadi"/>
                <w:sz w:val="21"/>
                <w:szCs w:val="21"/>
                <w:lang w:val="es-MX" w:eastAsia="en-US"/>
              </w:rPr>
            </w:pPr>
            <w:r w:rsidRPr="00E871CF">
              <w:rPr>
                <w:rFonts w:ascii="Abadi" w:hAnsi="Abadi"/>
                <w:sz w:val="21"/>
                <w:szCs w:val="21"/>
                <w:lang w:val="es-MX" w:eastAsia="en-US"/>
              </w:rPr>
              <w:t>Director General del Instituto Guanajuatense para las Personas con Discapacidad</w:t>
            </w:r>
          </w:p>
        </w:tc>
        <w:tc>
          <w:tcPr>
            <w:tcW w:w="1774" w:type="pct"/>
            <w:tcBorders>
              <w:top w:val="double" w:sz="4" w:space="0" w:color="auto"/>
              <w:left w:val="double" w:sz="4" w:space="0" w:color="auto"/>
              <w:bottom w:val="double" w:sz="4" w:space="0" w:color="auto"/>
              <w:right w:val="double" w:sz="4" w:space="0" w:color="auto"/>
            </w:tcBorders>
            <w:hideMark/>
          </w:tcPr>
          <w:p w14:paraId="406C6FD0" w14:textId="77777777" w:rsidR="00E871CF" w:rsidRPr="00E871CF" w:rsidRDefault="00E871CF" w:rsidP="00E871CF">
            <w:pPr>
              <w:widowControl w:val="0"/>
              <w:jc w:val="both"/>
              <w:rPr>
                <w:rFonts w:ascii="Abadi" w:hAnsi="Abadi"/>
                <w:sz w:val="21"/>
                <w:szCs w:val="21"/>
                <w:lang w:val="es-MX" w:eastAsia="en-US"/>
              </w:rPr>
            </w:pPr>
            <w:r w:rsidRPr="00E871CF">
              <w:rPr>
                <w:rFonts w:ascii="Abadi" w:hAnsi="Abadi" w:cs="Arial"/>
                <w:sz w:val="21"/>
                <w:szCs w:val="21"/>
                <w:lang w:val="es-MX" w:eastAsia="en-US"/>
              </w:rPr>
              <w:t>Comentarios a las iniciativas materia del foro</w:t>
            </w:r>
          </w:p>
        </w:tc>
      </w:tr>
      <w:tr w:rsidR="00E871CF" w:rsidRPr="00E871CF" w14:paraId="3360FE7C" w14:textId="77777777" w:rsidTr="00B6141E">
        <w:trPr>
          <w:trHeight w:val="643"/>
        </w:trPr>
        <w:tc>
          <w:tcPr>
            <w:tcW w:w="1452" w:type="pct"/>
            <w:tcBorders>
              <w:top w:val="double" w:sz="4" w:space="0" w:color="auto"/>
              <w:left w:val="double" w:sz="4" w:space="0" w:color="auto"/>
              <w:bottom w:val="double" w:sz="4" w:space="0" w:color="auto"/>
              <w:right w:val="double" w:sz="4" w:space="0" w:color="auto"/>
            </w:tcBorders>
          </w:tcPr>
          <w:p w14:paraId="78B74486" w14:textId="77777777" w:rsidR="00E871CF" w:rsidRPr="00E871CF" w:rsidRDefault="00E871CF" w:rsidP="00E871CF">
            <w:pPr>
              <w:widowControl w:val="0"/>
              <w:jc w:val="both"/>
              <w:rPr>
                <w:rFonts w:ascii="Abadi" w:hAnsi="Abadi"/>
                <w:sz w:val="21"/>
                <w:szCs w:val="21"/>
                <w:lang w:val="es-MX" w:eastAsia="en-US"/>
              </w:rPr>
            </w:pPr>
            <w:r w:rsidRPr="00E871CF">
              <w:rPr>
                <w:rFonts w:ascii="Abadi" w:hAnsi="Abadi"/>
                <w:sz w:val="21"/>
                <w:szCs w:val="21"/>
                <w:lang w:val="es-MX" w:eastAsia="en-US"/>
              </w:rPr>
              <w:t>Licenciado Carlos Alejandro Rodríguez Pacheco</w:t>
            </w:r>
          </w:p>
          <w:p w14:paraId="29CCC55D" w14:textId="77777777" w:rsidR="00E871CF" w:rsidRPr="00E871CF" w:rsidRDefault="00E871CF" w:rsidP="00E871CF">
            <w:pPr>
              <w:widowControl w:val="0"/>
              <w:jc w:val="both"/>
              <w:rPr>
                <w:rFonts w:ascii="Abadi" w:hAnsi="Abadi" w:cs="Arial"/>
                <w:sz w:val="21"/>
                <w:szCs w:val="21"/>
                <w:lang w:val="es-MX" w:eastAsia="en-US"/>
              </w:rPr>
            </w:pPr>
            <w:r w:rsidRPr="00E871CF">
              <w:rPr>
                <w:rFonts w:ascii="Abadi" w:hAnsi="Abadi"/>
                <w:sz w:val="21"/>
                <w:szCs w:val="21"/>
                <w:lang w:val="es-MX" w:eastAsia="en-US"/>
              </w:rPr>
              <w:t>Licenciado Alejandro Domínguez López Velarde</w:t>
            </w:r>
          </w:p>
        </w:tc>
        <w:tc>
          <w:tcPr>
            <w:tcW w:w="1774" w:type="pct"/>
            <w:tcBorders>
              <w:top w:val="double" w:sz="4" w:space="0" w:color="auto"/>
              <w:left w:val="double" w:sz="4" w:space="0" w:color="auto"/>
              <w:bottom w:val="double" w:sz="4" w:space="0" w:color="auto"/>
              <w:right w:val="double" w:sz="4" w:space="0" w:color="auto"/>
            </w:tcBorders>
            <w:hideMark/>
          </w:tcPr>
          <w:p w14:paraId="2FBC3DDA" w14:textId="77777777" w:rsidR="00E871CF" w:rsidRPr="00E871CF" w:rsidRDefault="00E871CF" w:rsidP="00E871CF">
            <w:pPr>
              <w:widowControl w:val="0"/>
              <w:jc w:val="both"/>
              <w:rPr>
                <w:rFonts w:ascii="Abadi" w:eastAsiaTheme="minorHAnsi" w:hAnsi="Abadi" w:cs="Arial"/>
                <w:sz w:val="21"/>
                <w:szCs w:val="21"/>
                <w:lang w:val="es-MX" w:eastAsia="en-US"/>
              </w:rPr>
            </w:pPr>
            <w:r w:rsidRPr="00E871CF">
              <w:rPr>
                <w:rFonts w:ascii="Abadi" w:eastAsiaTheme="minorHAnsi" w:hAnsi="Abadi" w:cs="Arial"/>
                <w:sz w:val="21"/>
                <w:szCs w:val="21"/>
                <w:lang w:val="es-MX" w:eastAsia="en-US"/>
              </w:rPr>
              <w:t>Coordinación General Jurídica</w:t>
            </w:r>
          </w:p>
        </w:tc>
        <w:tc>
          <w:tcPr>
            <w:tcW w:w="1774" w:type="pct"/>
            <w:tcBorders>
              <w:top w:val="double" w:sz="4" w:space="0" w:color="auto"/>
              <w:left w:val="double" w:sz="4" w:space="0" w:color="auto"/>
              <w:bottom w:val="double" w:sz="4" w:space="0" w:color="auto"/>
              <w:right w:val="double" w:sz="4" w:space="0" w:color="auto"/>
            </w:tcBorders>
            <w:hideMark/>
          </w:tcPr>
          <w:p w14:paraId="639DAF75" w14:textId="77777777" w:rsidR="00E871CF" w:rsidRPr="00E871CF" w:rsidRDefault="00E871CF" w:rsidP="00E871CF">
            <w:pPr>
              <w:widowControl w:val="0"/>
              <w:jc w:val="both"/>
              <w:rPr>
                <w:rFonts w:ascii="Abadi" w:eastAsiaTheme="minorHAnsi" w:hAnsi="Abadi" w:cs="Arial"/>
                <w:sz w:val="21"/>
                <w:szCs w:val="21"/>
                <w:lang w:val="es-MX" w:eastAsia="en-US"/>
              </w:rPr>
            </w:pPr>
            <w:r w:rsidRPr="00E871CF">
              <w:rPr>
                <w:rFonts w:ascii="Abadi" w:eastAsiaTheme="minorHAnsi" w:hAnsi="Abadi" w:cs="Arial"/>
                <w:sz w:val="21"/>
                <w:szCs w:val="21"/>
                <w:lang w:val="es-MX" w:eastAsia="en-US"/>
              </w:rPr>
              <w:t>Comentarios a las 3 iniciativas materia del foro</w:t>
            </w:r>
          </w:p>
        </w:tc>
      </w:tr>
    </w:tbl>
    <w:p w14:paraId="2B0FB2DD" w14:textId="77777777" w:rsidR="00E871CF" w:rsidRPr="00E871CF" w:rsidRDefault="00E871CF" w:rsidP="00E871CF">
      <w:pPr>
        <w:widowControl w:val="0"/>
        <w:spacing w:line="360" w:lineRule="auto"/>
        <w:jc w:val="both"/>
        <w:rPr>
          <w:rFonts w:ascii="Abadi" w:hAnsi="Abadi"/>
          <w:sz w:val="21"/>
          <w:szCs w:val="21"/>
          <w:lang w:val="es-MX" w:eastAsia="en-US"/>
        </w:rPr>
      </w:pPr>
    </w:p>
    <w:bookmarkEnd w:id="8"/>
    <w:p w14:paraId="144D9DA2" w14:textId="77777777" w:rsidR="00E871CF" w:rsidRPr="00E871CF" w:rsidRDefault="00E871CF" w:rsidP="00496725">
      <w:pPr>
        <w:widowControl w:val="0"/>
        <w:ind w:firstLine="851"/>
        <w:jc w:val="both"/>
        <w:rPr>
          <w:rFonts w:ascii="Abadi" w:hAnsi="Abadi" w:cs="Arial"/>
          <w:sz w:val="21"/>
          <w:szCs w:val="21"/>
          <w:lang w:val="es-MX" w:eastAsia="en-US"/>
        </w:rPr>
      </w:pPr>
      <w:r w:rsidRPr="00E871CF">
        <w:rPr>
          <w:rFonts w:ascii="Abadi" w:hAnsi="Abadi" w:cs="Arial"/>
          <w:sz w:val="21"/>
          <w:szCs w:val="21"/>
          <w:lang w:val="es-MX" w:eastAsia="en-US"/>
        </w:rPr>
        <w:t>La secretaría técnica entregó el 27 de mayo de 2022, el comparativo que concentró las observaciones formuladas a la iniciativa.</w:t>
      </w:r>
    </w:p>
    <w:p w14:paraId="00A4FF10" w14:textId="77777777" w:rsidR="00E871CF" w:rsidRPr="00E871CF" w:rsidRDefault="00E871CF" w:rsidP="00496725">
      <w:pPr>
        <w:widowControl w:val="0"/>
        <w:ind w:firstLine="851"/>
        <w:jc w:val="both"/>
        <w:rPr>
          <w:rFonts w:ascii="Abadi" w:hAnsi="Abadi" w:cs="Arial"/>
          <w:sz w:val="21"/>
          <w:szCs w:val="21"/>
          <w:lang w:val="es-MX" w:eastAsia="en-US"/>
        </w:rPr>
      </w:pPr>
    </w:p>
    <w:p w14:paraId="54D9A68F" w14:textId="77777777" w:rsidR="00E871CF" w:rsidRPr="00E871CF" w:rsidRDefault="00E871CF" w:rsidP="00496725">
      <w:pPr>
        <w:widowControl w:val="0"/>
        <w:ind w:firstLine="851"/>
        <w:jc w:val="both"/>
        <w:rPr>
          <w:rFonts w:ascii="Abadi" w:hAnsi="Abadi" w:cs="Arial"/>
          <w:sz w:val="21"/>
          <w:szCs w:val="21"/>
          <w:lang w:val="es-MX" w:eastAsia="en-US"/>
        </w:rPr>
      </w:pPr>
      <w:r w:rsidRPr="00E871CF">
        <w:rPr>
          <w:rFonts w:ascii="Abadi" w:hAnsi="Abadi" w:cs="Arial"/>
          <w:sz w:val="21"/>
          <w:szCs w:val="21"/>
          <w:lang w:val="es-MX" w:eastAsia="en-US"/>
        </w:rPr>
        <w:t>El 1 de junio de 2022 se acordó por unanimidad modificar la metodología, a efecto de no continuar con las acciones acordadas en la misma, y dictaminar la iniciativa en sentido negativo.</w:t>
      </w:r>
    </w:p>
    <w:p w14:paraId="3CD79A10" w14:textId="77777777" w:rsidR="00E871CF" w:rsidRPr="00E871CF" w:rsidRDefault="00E871CF" w:rsidP="00496725">
      <w:pPr>
        <w:widowControl w:val="0"/>
        <w:jc w:val="both"/>
        <w:rPr>
          <w:rFonts w:ascii="Abadi" w:hAnsi="Abadi"/>
          <w:sz w:val="21"/>
          <w:szCs w:val="21"/>
          <w:lang w:val="es-MX" w:eastAsia="en-US"/>
        </w:rPr>
      </w:pPr>
    </w:p>
    <w:p w14:paraId="363E1C26" w14:textId="77777777" w:rsidR="00E871CF" w:rsidRPr="00E871CF" w:rsidRDefault="00E871CF" w:rsidP="00496725">
      <w:pPr>
        <w:widowControl w:val="0"/>
        <w:ind w:left="851"/>
        <w:jc w:val="both"/>
        <w:rPr>
          <w:rFonts w:ascii="Abadi" w:hAnsi="Abadi"/>
          <w:b/>
          <w:sz w:val="21"/>
          <w:szCs w:val="21"/>
          <w:lang w:val="es-MX"/>
        </w:rPr>
      </w:pPr>
      <w:r w:rsidRPr="00E871CF">
        <w:rPr>
          <w:rFonts w:ascii="Abadi" w:hAnsi="Abadi" w:cs="Arial"/>
          <w:b/>
          <w:sz w:val="21"/>
          <w:szCs w:val="21"/>
          <w:lang w:val="es-MX"/>
        </w:rPr>
        <w:t>Opiniones compartidas en el proceso de consulta.</w:t>
      </w:r>
    </w:p>
    <w:p w14:paraId="07CAAA76" w14:textId="77777777" w:rsidR="00E871CF" w:rsidRPr="00E871CF" w:rsidRDefault="00E871CF" w:rsidP="00496725">
      <w:pPr>
        <w:widowControl w:val="0"/>
        <w:jc w:val="both"/>
        <w:rPr>
          <w:rFonts w:ascii="Abadi" w:hAnsi="Abadi"/>
          <w:sz w:val="21"/>
          <w:szCs w:val="21"/>
          <w:lang w:val="es-MX" w:eastAsia="en-US"/>
        </w:rPr>
      </w:pPr>
    </w:p>
    <w:p w14:paraId="04FA1D61" w14:textId="77777777" w:rsidR="00E871CF" w:rsidRPr="00E871CF" w:rsidRDefault="00E871CF" w:rsidP="00496725">
      <w:pPr>
        <w:widowControl w:val="0"/>
        <w:ind w:firstLine="851"/>
        <w:jc w:val="both"/>
        <w:rPr>
          <w:rFonts w:ascii="Abadi" w:hAnsi="Abadi"/>
          <w:sz w:val="21"/>
          <w:szCs w:val="21"/>
          <w:lang w:val="es-MX" w:eastAsia="en-US"/>
        </w:rPr>
      </w:pPr>
      <w:r w:rsidRPr="00E871CF">
        <w:rPr>
          <w:rFonts w:ascii="Abadi" w:hAnsi="Abadi"/>
          <w:sz w:val="21"/>
          <w:szCs w:val="21"/>
          <w:lang w:val="es-MX" w:eastAsia="en-US"/>
        </w:rPr>
        <w:t>A continuación, transcribimos la parte relativa a las propuestas y comentarios que se recibieron en el proceso de consulta, mismas que valoramos al dictaminar la iniciativa que nos ocupa.</w:t>
      </w:r>
    </w:p>
    <w:p w14:paraId="0A45C1AC" w14:textId="77777777" w:rsidR="00E871CF" w:rsidRPr="00E871CF" w:rsidRDefault="00E871CF" w:rsidP="00496725">
      <w:pPr>
        <w:widowControl w:val="0"/>
        <w:ind w:firstLine="851"/>
        <w:jc w:val="both"/>
        <w:rPr>
          <w:rFonts w:ascii="Abadi" w:hAnsi="Abadi"/>
          <w:sz w:val="21"/>
          <w:szCs w:val="21"/>
          <w:lang w:val="es-MX" w:eastAsia="en-US"/>
        </w:rPr>
      </w:pPr>
    </w:p>
    <w:p w14:paraId="31239623" w14:textId="77777777" w:rsidR="00E871CF" w:rsidRPr="00E871CF" w:rsidRDefault="00E871CF" w:rsidP="00496725">
      <w:pPr>
        <w:widowControl w:val="0"/>
        <w:ind w:firstLine="851"/>
        <w:jc w:val="both"/>
        <w:rPr>
          <w:rFonts w:ascii="Abadi" w:hAnsi="Abadi"/>
          <w:sz w:val="21"/>
          <w:szCs w:val="21"/>
          <w:lang w:val="es-MX" w:eastAsia="en-US"/>
        </w:rPr>
      </w:pPr>
      <w:r w:rsidRPr="00E871CF">
        <w:rPr>
          <w:rFonts w:ascii="Abadi" w:hAnsi="Abadi"/>
          <w:sz w:val="21"/>
          <w:szCs w:val="21"/>
          <w:lang w:val="es-MX" w:eastAsia="en-US"/>
        </w:rPr>
        <w:t>El Ayuntamiento de Cortazar, expresó que:</w:t>
      </w:r>
    </w:p>
    <w:p w14:paraId="3D438E76" w14:textId="77777777" w:rsidR="00E871CF" w:rsidRPr="00E871CF" w:rsidRDefault="00E871CF" w:rsidP="00496725">
      <w:pPr>
        <w:widowControl w:val="0"/>
        <w:ind w:left="851" w:right="851"/>
        <w:jc w:val="both"/>
        <w:rPr>
          <w:rFonts w:ascii="Abadi" w:hAnsi="Abadi" w:cs="Arial"/>
          <w:i/>
          <w:sz w:val="21"/>
          <w:szCs w:val="21"/>
          <w:lang w:val="es-MX" w:eastAsia="en-US"/>
        </w:rPr>
      </w:pPr>
    </w:p>
    <w:p w14:paraId="63BD2539" w14:textId="77777777" w:rsidR="00E871CF" w:rsidRPr="00E871CF" w:rsidRDefault="00E871CF" w:rsidP="00496725">
      <w:pPr>
        <w:widowControl w:val="0"/>
        <w:ind w:left="851" w:right="851"/>
        <w:jc w:val="both"/>
        <w:rPr>
          <w:rFonts w:ascii="Abadi" w:hAnsi="Abadi" w:cs="Arial"/>
          <w:i/>
          <w:sz w:val="21"/>
          <w:szCs w:val="21"/>
          <w:lang w:val="es-MX" w:eastAsia="en-US"/>
        </w:rPr>
      </w:pPr>
    </w:p>
    <w:p w14:paraId="6A49EC2C" w14:textId="77777777" w:rsidR="00E871CF" w:rsidRPr="00E871CF" w:rsidRDefault="00E871CF" w:rsidP="00496725">
      <w:pPr>
        <w:widowControl w:val="0"/>
        <w:ind w:left="851" w:right="851"/>
        <w:jc w:val="center"/>
        <w:rPr>
          <w:rFonts w:ascii="Abadi" w:hAnsi="Abadi" w:cs="Arial"/>
          <w:b/>
          <w:bCs/>
          <w:i/>
          <w:sz w:val="21"/>
          <w:szCs w:val="21"/>
          <w:lang w:val="es-MX" w:eastAsia="en-US"/>
        </w:rPr>
      </w:pPr>
      <w:r w:rsidRPr="00E871CF">
        <w:rPr>
          <w:rFonts w:ascii="Abadi" w:hAnsi="Abadi" w:cs="Arial"/>
          <w:b/>
          <w:bCs/>
          <w:i/>
          <w:sz w:val="21"/>
          <w:szCs w:val="21"/>
          <w:lang w:val="es-MX" w:eastAsia="en-US"/>
        </w:rPr>
        <w:t>CONSIDERACIONES</w:t>
      </w:r>
    </w:p>
    <w:p w14:paraId="30F6467A" w14:textId="77777777" w:rsidR="00E871CF" w:rsidRPr="00E871CF" w:rsidRDefault="00E871CF" w:rsidP="00496725">
      <w:pPr>
        <w:widowControl w:val="0"/>
        <w:ind w:left="851" w:right="851"/>
        <w:jc w:val="both"/>
        <w:rPr>
          <w:rFonts w:ascii="Abadi" w:hAnsi="Abadi" w:cs="Arial"/>
          <w:i/>
          <w:sz w:val="21"/>
          <w:szCs w:val="21"/>
          <w:lang w:val="es-MX" w:eastAsia="en-US"/>
        </w:rPr>
      </w:pPr>
    </w:p>
    <w:p w14:paraId="72FA7EC6" w14:textId="77777777" w:rsidR="00E871CF" w:rsidRPr="00E871CF" w:rsidRDefault="00E871CF" w:rsidP="00496725">
      <w:pPr>
        <w:widowControl w:val="0"/>
        <w:ind w:left="851" w:right="851"/>
        <w:jc w:val="both"/>
        <w:rPr>
          <w:rFonts w:ascii="Abadi" w:hAnsi="Abadi" w:cs="Arial"/>
          <w:i/>
          <w:sz w:val="21"/>
          <w:szCs w:val="21"/>
          <w:lang w:val="es-MX" w:eastAsia="en-US"/>
        </w:rPr>
      </w:pPr>
      <w:r w:rsidRPr="00E871CF">
        <w:rPr>
          <w:rFonts w:ascii="Abadi" w:hAnsi="Abadi" w:cs="Arial"/>
          <w:b/>
          <w:bCs/>
          <w:i/>
          <w:sz w:val="21"/>
          <w:szCs w:val="21"/>
          <w:lang w:val="es-MX" w:eastAsia="en-US"/>
        </w:rPr>
        <w:t>ÚNICA.</w:t>
      </w:r>
      <w:r w:rsidRPr="00E871CF">
        <w:rPr>
          <w:rFonts w:ascii="Abadi" w:hAnsi="Abadi" w:cs="Arial"/>
          <w:i/>
          <w:sz w:val="21"/>
          <w:szCs w:val="21"/>
          <w:lang w:val="es-MX" w:eastAsia="en-US"/>
        </w:rPr>
        <w:t xml:space="preserve"> la simplificación de trámites es una de las metas que se buscan conseguir con las políticas de mejora regulatoria que en los últimos años se han implementado en nuestro país. Guanajuato se ha destacado en este rubro por lo que es pertinente buscar que también se faciliten los trámites y gestiones que tengan que realizar las personas con capacidades diferentes.</w:t>
      </w:r>
    </w:p>
    <w:p w14:paraId="0EDE6493" w14:textId="77777777" w:rsidR="00E871CF" w:rsidRPr="00E871CF" w:rsidRDefault="00E871CF" w:rsidP="00496725">
      <w:pPr>
        <w:widowControl w:val="0"/>
        <w:ind w:left="851" w:right="851"/>
        <w:jc w:val="both"/>
        <w:rPr>
          <w:rFonts w:ascii="Abadi" w:hAnsi="Abadi" w:cs="Arial"/>
          <w:i/>
          <w:sz w:val="21"/>
          <w:szCs w:val="21"/>
          <w:lang w:val="es-MX" w:eastAsia="en-US"/>
        </w:rPr>
      </w:pPr>
    </w:p>
    <w:p w14:paraId="04C50B96" w14:textId="77777777" w:rsidR="00E871CF" w:rsidRPr="00E871CF" w:rsidRDefault="00E871CF" w:rsidP="00496725">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Las tecnologías actuales pueden ayudar en este aspecto, pero contar con estas herramientas implica un gasto presupuestal que no todos los municipios pueden solventar. Pensamos que es necesario que el gobierno estatal establezca algún programa o mecanismo presupuestario para que, conjuntamente con los municipios, implementen ese tipo de tecnologías en beneficio de las personas con capacidades diferentes. De igual manera se podría invitar a empresas privadas para que participaran en esos programas buscando que todas las partes salgan beneficiadas con esos posibles convenios.</w:t>
      </w:r>
    </w:p>
    <w:p w14:paraId="165A251A" w14:textId="77777777" w:rsidR="00E871CF" w:rsidRPr="00E871CF" w:rsidRDefault="00E871CF" w:rsidP="00496725">
      <w:pPr>
        <w:widowControl w:val="0"/>
        <w:ind w:left="851" w:right="851"/>
        <w:jc w:val="both"/>
        <w:rPr>
          <w:rFonts w:ascii="Abadi" w:hAnsi="Abadi" w:cs="Arial"/>
          <w:i/>
          <w:sz w:val="21"/>
          <w:szCs w:val="21"/>
          <w:lang w:val="es-MX" w:eastAsia="en-US"/>
        </w:rPr>
      </w:pPr>
    </w:p>
    <w:p w14:paraId="1B4E2559" w14:textId="77777777" w:rsidR="00E871CF" w:rsidRPr="00E871CF" w:rsidRDefault="00E871CF" w:rsidP="00496725">
      <w:pPr>
        <w:widowControl w:val="0"/>
        <w:ind w:left="851" w:right="851"/>
        <w:jc w:val="both"/>
        <w:rPr>
          <w:rFonts w:ascii="Abadi" w:hAnsi="Abadi" w:cs="Arial"/>
          <w:i/>
          <w:sz w:val="21"/>
          <w:szCs w:val="21"/>
          <w:lang w:val="es-MX" w:eastAsia="en-US"/>
        </w:rPr>
      </w:pPr>
      <w:r w:rsidRPr="00E871CF">
        <w:rPr>
          <w:rFonts w:ascii="Abadi" w:hAnsi="Abadi" w:cs="Arial"/>
          <w:b/>
          <w:bCs/>
          <w:i/>
          <w:sz w:val="21"/>
          <w:szCs w:val="21"/>
          <w:lang w:val="es-MX" w:eastAsia="en-US"/>
        </w:rPr>
        <w:t>SEGUNDA.</w:t>
      </w:r>
      <w:r w:rsidRPr="00E871CF">
        <w:rPr>
          <w:rFonts w:ascii="Abadi" w:hAnsi="Abadi" w:cs="Arial"/>
          <w:i/>
          <w:sz w:val="21"/>
          <w:szCs w:val="21"/>
          <w:lang w:val="es-MX" w:eastAsia="en-US"/>
        </w:rPr>
        <w:t xml:space="preserve"> Respecto a la redacción del Decreto, notamos que se omite hacer la modificación a la vigente fracción XV del mencionado artículo 6, ya que en la parte final de la misma aparece la conjunción "y", la cual debe ser colocada en la propuesta fracción XVII.</w:t>
      </w:r>
    </w:p>
    <w:p w14:paraId="1FFB8513" w14:textId="77777777" w:rsidR="00E871CF" w:rsidRPr="00E871CF" w:rsidRDefault="00E871CF" w:rsidP="00496725">
      <w:pPr>
        <w:widowControl w:val="0"/>
        <w:ind w:left="851" w:right="851"/>
        <w:jc w:val="both"/>
        <w:rPr>
          <w:rFonts w:ascii="Abadi" w:hAnsi="Abadi" w:cs="Arial"/>
          <w:i/>
          <w:sz w:val="21"/>
          <w:szCs w:val="21"/>
          <w:lang w:val="es-MX" w:eastAsia="en-US"/>
        </w:rPr>
      </w:pPr>
    </w:p>
    <w:p w14:paraId="0F2CF728" w14:textId="77777777" w:rsidR="00E871CF" w:rsidRPr="00E871CF" w:rsidRDefault="00E871CF" w:rsidP="00496725">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Estas modificaciones deben estar especificadas en la iniciativa y en el Decreto ya que, aunque pudieran parecer solo un detalle, en el fondo hablan del cuidado y profesionalismo que se tiene al presentar una iniciativa que al final de cuentas, pudiera quedar plasmada en un documento de importancia para la ciudadanía en general.</w:t>
      </w:r>
    </w:p>
    <w:p w14:paraId="4B12776C" w14:textId="77777777" w:rsidR="00E871CF" w:rsidRPr="00E871CF" w:rsidRDefault="00E871CF" w:rsidP="00496725">
      <w:pPr>
        <w:widowControl w:val="0"/>
        <w:ind w:left="851" w:right="851"/>
        <w:jc w:val="both"/>
        <w:rPr>
          <w:rFonts w:ascii="Abadi" w:hAnsi="Abadi" w:cs="Arial"/>
          <w:i/>
          <w:sz w:val="21"/>
          <w:szCs w:val="21"/>
          <w:lang w:val="es-MX" w:eastAsia="en-US"/>
        </w:rPr>
      </w:pPr>
    </w:p>
    <w:p w14:paraId="1E7C456D" w14:textId="77777777" w:rsidR="00E871CF" w:rsidRPr="00E871CF" w:rsidRDefault="00E871CF" w:rsidP="00496725">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Terminada la revisión del documento, se llegaron a las siguientes:</w:t>
      </w:r>
    </w:p>
    <w:p w14:paraId="20801C40" w14:textId="77777777" w:rsidR="00E871CF" w:rsidRPr="00E871CF" w:rsidRDefault="00E871CF" w:rsidP="00496725">
      <w:pPr>
        <w:widowControl w:val="0"/>
        <w:ind w:left="851" w:right="851"/>
        <w:jc w:val="both"/>
        <w:rPr>
          <w:rFonts w:ascii="Abadi" w:hAnsi="Abadi" w:cs="Arial"/>
          <w:i/>
          <w:sz w:val="21"/>
          <w:szCs w:val="21"/>
          <w:lang w:val="es-MX" w:eastAsia="en-US"/>
        </w:rPr>
      </w:pPr>
    </w:p>
    <w:p w14:paraId="6DC878D2" w14:textId="77777777" w:rsidR="00E871CF" w:rsidRPr="00E871CF" w:rsidRDefault="00E871CF" w:rsidP="00496725">
      <w:pPr>
        <w:widowControl w:val="0"/>
        <w:ind w:left="851" w:right="851"/>
        <w:jc w:val="center"/>
        <w:rPr>
          <w:rFonts w:ascii="Abadi" w:hAnsi="Abadi" w:cs="Arial"/>
          <w:b/>
          <w:bCs/>
          <w:i/>
          <w:sz w:val="21"/>
          <w:szCs w:val="21"/>
          <w:lang w:val="es-MX" w:eastAsia="en-US"/>
        </w:rPr>
      </w:pPr>
      <w:r w:rsidRPr="00E871CF">
        <w:rPr>
          <w:rFonts w:ascii="Abadi" w:hAnsi="Abadi" w:cs="Arial"/>
          <w:b/>
          <w:bCs/>
          <w:i/>
          <w:sz w:val="21"/>
          <w:szCs w:val="21"/>
          <w:lang w:val="es-MX" w:eastAsia="en-US"/>
        </w:rPr>
        <w:t>CONCLUSIONES</w:t>
      </w:r>
    </w:p>
    <w:p w14:paraId="3ED00B9F" w14:textId="77777777" w:rsidR="00E871CF" w:rsidRPr="00E871CF" w:rsidRDefault="00E871CF" w:rsidP="00496725">
      <w:pPr>
        <w:widowControl w:val="0"/>
        <w:ind w:left="851" w:right="851"/>
        <w:jc w:val="both"/>
        <w:rPr>
          <w:rFonts w:ascii="Abadi" w:hAnsi="Abadi" w:cs="Arial"/>
          <w:i/>
          <w:sz w:val="21"/>
          <w:szCs w:val="21"/>
          <w:lang w:val="es-MX" w:eastAsia="en-US"/>
        </w:rPr>
      </w:pPr>
    </w:p>
    <w:p w14:paraId="4E5AAC00" w14:textId="77777777" w:rsidR="00E871CF" w:rsidRPr="00E871CF" w:rsidRDefault="00E871CF" w:rsidP="00496725">
      <w:pPr>
        <w:widowControl w:val="0"/>
        <w:ind w:left="851" w:right="851"/>
        <w:jc w:val="both"/>
        <w:rPr>
          <w:rFonts w:ascii="Abadi" w:hAnsi="Abadi" w:cs="Arial"/>
          <w:i/>
          <w:sz w:val="21"/>
          <w:szCs w:val="21"/>
          <w:lang w:val="es-MX" w:eastAsia="en-US"/>
        </w:rPr>
      </w:pPr>
      <w:r w:rsidRPr="00E871CF">
        <w:rPr>
          <w:rFonts w:ascii="Abadi" w:hAnsi="Abadi" w:cs="Arial"/>
          <w:b/>
          <w:bCs/>
          <w:i/>
          <w:sz w:val="21"/>
          <w:szCs w:val="21"/>
          <w:lang w:val="es-MX" w:eastAsia="en-US"/>
        </w:rPr>
        <w:t>ÚNICA.</w:t>
      </w:r>
      <w:r w:rsidRPr="00E871CF">
        <w:rPr>
          <w:rFonts w:ascii="Abadi" w:hAnsi="Abadi" w:cs="Arial"/>
          <w:i/>
          <w:sz w:val="21"/>
          <w:szCs w:val="21"/>
          <w:lang w:val="es-MX" w:eastAsia="en-US"/>
        </w:rPr>
        <w:t xml:space="preserve"> los que suscribimos el presente, nos pronunciamos en lo general por la afirmativa respecto a la iniciativa en análisis sugiriendo, en lo particular, se tome en cuenta nuestra observación respecto a las posibles dificultades presupuestarias que se pudieran presentar en algunos municipios que no cuentan con los recursos propios para implementar esas tecnologías.</w:t>
      </w:r>
    </w:p>
    <w:p w14:paraId="078562A8" w14:textId="77777777" w:rsidR="00E871CF" w:rsidRPr="00E871CF" w:rsidRDefault="00E871CF" w:rsidP="00496725">
      <w:pPr>
        <w:widowControl w:val="0"/>
        <w:jc w:val="both"/>
        <w:rPr>
          <w:rFonts w:ascii="Abadi" w:hAnsi="Abadi"/>
          <w:sz w:val="21"/>
          <w:szCs w:val="21"/>
          <w:lang w:val="es-MX" w:eastAsia="en-US"/>
        </w:rPr>
      </w:pPr>
    </w:p>
    <w:p w14:paraId="232674AA" w14:textId="77777777" w:rsidR="00E871CF" w:rsidRPr="00E871CF" w:rsidRDefault="00E871CF" w:rsidP="00496725">
      <w:pPr>
        <w:widowControl w:val="0"/>
        <w:ind w:firstLine="851"/>
        <w:jc w:val="both"/>
        <w:rPr>
          <w:rFonts w:ascii="Abadi" w:hAnsi="Abadi"/>
          <w:sz w:val="21"/>
          <w:szCs w:val="21"/>
          <w:lang w:val="es-MX" w:eastAsia="en-US"/>
        </w:rPr>
      </w:pPr>
      <w:r w:rsidRPr="00E871CF">
        <w:rPr>
          <w:rFonts w:ascii="Abadi" w:hAnsi="Abadi"/>
          <w:sz w:val="21"/>
          <w:szCs w:val="21"/>
          <w:lang w:val="es-MX" w:eastAsia="en-US"/>
        </w:rPr>
        <w:t>El Ayuntamiento de Doctor Mora sugirió que:</w:t>
      </w:r>
    </w:p>
    <w:p w14:paraId="155668FD" w14:textId="77777777" w:rsidR="00E871CF" w:rsidRPr="00E871CF" w:rsidRDefault="00E871CF" w:rsidP="00496725">
      <w:pPr>
        <w:widowControl w:val="0"/>
        <w:jc w:val="both"/>
        <w:rPr>
          <w:rFonts w:ascii="Abadi" w:hAnsi="Abadi"/>
          <w:sz w:val="21"/>
          <w:szCs w:val="21"/>
          <w:lang w:val="es-MX" w:eastAsia="en-US"/>
        </w:rPr>
      </w:pPr>
    </w:p>
    <w:p w14:paraId="2F067379" w14:textId="77777777" w:rsidR="00E871CF" w:rsidRPr="00E871CF" w:rsidRDefault="00E871CF" w:rsidP="00496725">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Que dentro de la iniciativa se consideren las maneras en que se pueda brindar a las personas con discapacidad el acceso a la información que se emite y se tomen en cuenta todos los tipos de discapacidad y que sean considerados para que tengan acceso a avisos, convocatorias y se vean las formas y estrategias adecuadas para poder brindar la información a todas las personas discapacitadas…</w:t>
      </w:r>
    </w:p>
    <w:p w14:paraId="2588C053" w14:textId="77777777" w:rsidR="00E871CF" w:rsidRPr="00E871CF" w:rsidRDefault="00E871CF" w:rsidP="00496725">
      <w:pPr>
        <w:widowControl w:val="0"/>
        <w:jc w:val="both"/>
        <w:rPr>
          <w:rFonts w:ascii="Abadi" w:hAnsi="Abadi"/>
          <w:sz w:val="21"/>
          <w:szCs w:val="21"/>
          <w:lang w:val="es-MX" w:eastAsia="en-US"/>
        </w:rPr>
      </w:pPr>
    </w:p>
    <w:p w14:paraId="0A47020D" w14:textId="77777777" w:rsidR="00E871CF" w:rsidRPr="00E871CF" w:rsidRDefault="00E871CF" w:rsidP="00496725">
      <w:pPr>
        <w:widowControl w:val="0"/>
        <w:ind w:firstLine="851"/>
        <w:jc w:val="both"/>
        <w:rPr>
          <w:rFonts w:ascii="Abadi" w:hAnsi="Abadi"/>
          <w:sz w:val="21"/>
          <w:szCs w:val="21"/>
          <w:lang w:val="es-MX" w:eastAsia="en-US"/>
        </w:rPr>
      </w:pPr>
      <w:r w:rsidRPr="00E871CF">
        <w:rPr>
          <w:rFonts w:ascii="Abadi" w:hAnsi="Abadi"/>
          <w:sz w:val="21"/>
          <w:szCs w:val="21"/>
          <w:lang w:val="es-MX" w:eastAsia="en-US"/>
        </w:rPr>
        <w:t>En las observaciones y aportaciones técnico-jurídicas compartidas por el Ayuntamiento de León, se destaca que:</w:t>
      </w:r>
    </w:p>
    <w:p w14:paraId="612674A7" w14:textId="77777777" w:rsidR="00E871CF" w:rsidRPr="00E871CF" w:rsidRDefault="00E871CF" w:rsidP="00496725">
      <w:pPr>
        <w:widowControl w:val="0"/>
        <w:ind w:firstLine="851"/>
        <w:jc w:val="both"/>
        <w:rPr>
          <w:rFonts w:ascii="Abadi" w:hAnsi="Abadi"/>
          <w:sz w:val="21"/>
          <w:szCs w:val="21"/>
          <w:lang w:val="es-MX" w:eastAsia="en-US"/>
        </w:rPr>
      </w:pPr>
    </w:p>
    <w:p w14:paraId="1B5612E5" w14:textId="77777777" w:rsidR="00E871CF" w:rsidRPr="00E871CF" w:rsidRDefault="00E871CF" w:rsidP="00496725">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 xml:space="preserve">Este Ayuntamiento coincide con lo establecido en el artículo 4° de la Ley de Inclusión para las Personas con Discapacidad en el Estado de Guanajuato, el cual describe que las personas con cualquier tipo de discapacidad deben contar con el derecho de prioridad por parte de la administración pública estatal o municipal en los trámites y servicios que soliciten, es decir de manera preferente, misma razón por la que </w:t>
      </w:r>
      <w:r w:rsidRPr="00E871CF">
        <w:rPr>
          <w:rFonts w:ascii="Abadi" w:hAnsi="Abadi" w:cs="Arial"/>
          <w:b/>
          <w:bCs/>
          <w:i/>
          <w:sz w:val="21"/>
          <w:szCs w:val="21"/>
          <w:lang w:val="es-MX" w:eastAsia="en-US"/>
        </w:rPr>
        <w:t>no se se concuerda con los términos de la propuesta presentada por la iniciante</w:t>
      </w:r>
      <w:r w:rsidRPr="00E871CF">
        <w:rPr>
          <w:rFonts w:ascii="Abadi" w:hAnsi="Abadi" w:cs="Arial"/>
          <w:i/>
          <w:sz w:val="21"/>
          <w:szCs w:val="21"/>
          <w:lang w:val="es-MX" w:eastAsia="en-US"/>
        </w:rPr>
        <w:t xml:space="preserve"> debido a que existiría una duplicidad de supuestos normativos en la misma Ley.</w:t>
      </w:r>
    </w:p>
    <w:p w14:paraId="501FA811" w14:textId="77777777" w:rsidR="00E871CF" w:rsidRPr="00E871CF" w:rsidRDefault="00E871CF" w:rsidP="00496725">
      <w:pPr>
        <w:widowControl w:val="0"/>
        <w:ind w:left="851" w:right="851"/>
        <w:jc w:val="both"/>
        <w:rPr>
          <w:rFonts w:ascii="Abadi" w:hAnsi="Abadi" w:cs="Arial"/>
          <w:i/>
          <w:sz w:val="21"/>
          <w:szCs w:val="21"/>
          <w:lang w:val="es-MX" w:eastAsia="en-US"/>
        </w:rPr>
      </w:pPr>
    </w:p>
    <w:p w14:paraId="697F7BF3" w14:textId="77777777" w:rsidR="00E871CF" w:rsidRPr="00E871CF" w:rsidRDefault="00E871CF" w:rsidP="00496725">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Además de lo anterior, se realizan las siguientes observaciones en lo particular:</w:t>
      </w:r>
    </w:p>
    <w:p w14:paraId="5AC30912" w14:textId="77777777" w:rsidR="00E871CF" w:rsidRPr="00E871CF" w:rsidRDefault="00E871CF" w:rsidP="00496725">
      <w:pPr>
        <w:widowControl w:val="0"/>
        <w:ind w:left="851" w:right="851"/>
        <w:jc w:val="both"/>
        <w:rPr>
          <w:rFonts w:ascii="Abadi" w:hAnsi="Abadi" w:cs="Arial"/>
          <w:i/>
          <w:sz w:val="21"/>
          <w:szCs w:val="21"/>
          <w:lang w:val="es-MX" w:eastAsia="en-US"/>
        </w:rPr>
      </w:pPr>
    </w:p>
    <w:p w14:paraId="073FD1AE" w14:textId="77777777" w:rsidR="00E871CF" w:rsidRPr="00E871CF" w:rsidRDefault="00E871CF" w:rsidP="00496725">
      <w:pPr>
        <w:widowControl w:val="0"/>
        <w:ind w:left="851" w:right="851"/>
        <w:jc w:val="both"/>
        <w:rPr>
          <w:rFonts w:ascii="Abadi" w:hAnsi="Abadi" w:cs="Arial"/>
          <w:i/>
          <w:sz w:val="21"/>
          <w:szCs w:val="21"/>
          <w:lang w:val="es-MX" w:eastAsia="en-US"/>
        </w:rPr>
      </w:pPr>
      <w:r w:rsidRPr="00E871CF">
        <w:rPr>
          <w:rFonts w:ascii="Abadi" w:hAnsi="Abadi" w:cs="Arial"/>
          <w:b/>
          <w:bCs/>
          <w:i/>
          <w:sz w:val="21"/>
          <w:szCs w:val="21"/>
          <w:lang w:val="es-MX" w:eastAsia="en-US"/>
        </w:rPr>
        <w:t>• Sobre el diseño de un "sistema de difusión de servicios públicos":</w:t>
      </w:r>
      <w:r w:rsidRPr="00E871CF">
        <w:rPr>
          <w:rFonts w:ascii="Abadi" w:hAnsi="Abadi" w:cs="Arial"/>
          <w:i/>
          <w:sz w:val="21"/>
          <w:szCs w:val="21"/>
          <w:lang w:val="es-MX" w:eastAsia="en-US"/>
        </w:rPr>
        <w:t xml:space="preserve"> La iniciante propone un innovador concepto para que el Estado de Guanajuato y los municipios adopten un sistema que difunda los servicios públicos a personas con discapacidad, aunque no refiere qué tipo de difusión debe llevarse a cabo en este sistema o demuestra la efectividad sobre el uso de un sistema operativo de este tipo. Se considera que lejos de abonar a la complicada situación que vive una persona con discapacidad, la falta de armonía en el diseño de diversos sistemas municipales o estatales por cada servicio público, solo perjudicaría al usuario cuando realice los trámites que necesita.</w:t>
      </w:r>
    </w:p>
    <w:p w14:paraId="365BC765" w14:textId="77777777" w:rsidR="00E871CF" w:rsidRPr="00E871CF" w:rsidRDefault="00E871CF" w:rsidP="00496725">
      <w:pPr>
        <w:widowControl w:val="0"/>
        <w:ind w:left="851" w:right="851"/>
        <w:jc w:val="both"/>
        <w:rPr>
          <w:rFonts w:ascii="Abadi" w:hAnsi="Abadi" w:cs="Arial"/>
          <w:i/>
          <w:sz w:val="21"/>
          <w:szCs w:val="21"/>
          <w:lang w:val="es-MX" w:eastAsia="en-US"/>
        </w:rPr>
      </w:pPr>
    </w:p>
    <w:p w14:paraId="79FD3698" w14:textId="77777777" w:rsidR="00E871CF" w:rsidRPr="00E871CF" w:rsidRDefault="00E871CF" w:rsidP="00496725">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Asimismo, se sugiere que el diseño del sistema que pretende, se focalice en una problemática general y no se limite únicamente a la difusión de servicios públicos, sino que también considere la realización de trámites, pago de servicios, reporte de quejas, atención a los usuarios, líneas directas, así como la comunicación telefónica y a través de redes oficiales de los servicios públicos referidos, considerando así el apoyo y atención a personas con distintos tipos de discapacidad.</w:t>
      </w:r>
    </w:p>
    <w:p w14:paraId="02245B4F" w14:textId="77777777" w:rsidR="00E871CF" w:rsidRPr="00E871CF" w:rsidRDefault="00E871CF" w:rsidP="00496725">
      <w:pPr>
        <w:widowControl w:val="0"/>
        <w:ind w:left="851" w:right="851"/>
        <w:jc w:val="both"/>
        <w:rPr>
          <w:rFonts w:ascii="Abadi" w:hAnsi="Abadi" w:cs="Arial"/>
          <w:i/>
          <w:sz w:val="21"/>
          <w:szCs w:val="21"/>
          <w:lang w:val="es-MX" w:eastAsia="en-US"/>
        </w:rPr>
      </w:pPr>
    </w:p>
    <w:p w14:paraId="47CFA35D" w14:textId="77777777" w:rsidR="00E871CF" w:rsidRPr="00E871CF" w:rsidRDefault="00E871CF" w:rsidP="00496725">
      <w:pPr>
        <w:widowControl w:val="0"/>
        <w:ind w:left="851" w:right="851"/>
        <w:jc w:val="both"/>
        <w:rPr>
          <w:rFonts w:ascii="Abadi" w:hAnsi="Abadi" w:cs="Arial"/>
          <w:i/>
          <w:sz w:val="21"/>
          <w:szCs w:val="21"/>
          <w:lang w:val="es-MX" w:eastAsia="en-US"/>
        </w:rPr>
      </w:pPr>
      <w:r w:rsidRPr="00E871CF">
        <w:rPr>
          <w:rFonts w:ascii="Abadi" w:hAnsi="Abadi" w:cs="Arial"/>
          <w:b/>
          <w:bCs/>
          <w:i/>
          <w:sz w:val="21"/>
          <w:szCs w:val="21"/>
          <w:lang w:val="es-MX" w:eastAsia="en-US"/>
        </w:rPr>
        <w:t>• Sobre los formatos y tecnologías:</w:t>
      </w:r>
      <w:r w:rsidRPr="00E871CF">
        <w:rPr>
          <w:rFonts w:ascii="Abadi" w:hAnsi="Abadi" w:cs="Arial"/>
          <w:i/>
          <w:sz w:val="21"/>
          <w:szCs w:val="21"/>
          <w:lang w:val="es-MX" w:eastAsia="en-US"/>
        </w:rPr>
        <w:t xml:space="preserve"> La digitalización de trámites que refiere la iniciante no es un proceso nuevo o que no utilice la administración pública actualmente. Prácticamente todos los servicios concesionados pueden pagarse en línea, bancos, tiendas departamentales y de autoservicio, en cajas de dependencias o entidades, así como en las distintas sedes estatales y municipales que se encuentran en el territorio, sin mencionar los distintos tipos de pago que se acepta en cada uno de estos espacios. Asimismo, debido a la época en la que vivimos, los trámites de la administración pública municipal se pueden realizar vía remota a través de plataformas digitales y envío de documentación online.</w:t>
      </w:r>
    </w:p>
    <w:p w14:paraId="03BB1370" w14:textId="77777777" w:rsidR="00E871CF" w:rsidRPr="00E871CF" w:rsidRDefault="00E871CF" w:rsidP="00496725">
      <w:pPr>
        <w:widowControl w:val="0"/>
        <w:ind w:left="851" w:right="851"/>
        <w:jc w:val="both"/>
        <w:rPr>
          <w:rFonts w:ascii="Abadi" w:hAnsi="Abadi" w:cs="Arial"/>
          <w:i/>
          <w:sz w:val="21"/>
          <w:szCs w:val="21"/>
          <w:lang w:val="es-MX" w:eastAsia="en-US"/>
        </w:rPr>
      </w:pPr>
    </w:p>
    <w:p w14:paraId="3AE56257" w14:textId="77777777" w:rsidR="00E871CF" w:rsidRPr="00E871CF" w:rsidRDefault="00E871CF" w:rsidP="00496725">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La finalidad de lo antes mencionado obedece a una agilización en temas contables, de registro y de facilidad para el usuario, por lo que actualmente ya son prácticas implementadas.</w:t>
      </w:r>
    </w:p>
    <w:p w14:paraId="0CFA755B" w14:textId="77777777" w:rsidR="00E871CF" w:rsidRPr="00E871CF" w:rsidRDefault="00E871CF" w:rsidP="00496725">
      <w:pPr>
        <w:widowControl w:val="0"/>
        <w:ind w:left="851" w:right="851"/>
        <w:jc w:val="both"/>
        <w:rPr>
          <w:rFonts w:ascii="Abadi" w:hAnsi="Abadi" w:cs="Arial"/>
          <w:i/>
          <w:sz w:val="21"/>
          <w:szCs w:val="21"/>
          <w:lang w:val="es-MX" w:eastAsia="en-US"/>
        </w:rPr>
      </w:pPr>
    </w:p>
    <w:p w14:paraId="7F74DE0D" w14:textId="77777777" w:rsidR="00E871CF" w:rsidRPr="00E871CF" w:rsidRDefault="00E871CF" w:rsidP="00496725">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Por lo anterior y en relación con lo establecido en la legislación vigente que se pretende reformar, las personas con discapacidad tienen actualmente el derecho para tener un trato preferente, sin embargo, se observa que la iniciante no consideró la disponibilidad de recursos económicos, humanos y de infraestructura de cada municipio cuando formuló la iniciativa de reformas, además que la propuesta resulta insuficiente para la era digital que nuestro Estado atraviesa.</w:t>
      </w:r>
    </w:p>
    <w:p w14:paraId="41778931" w14:textId="77777777" w:rsidR="00E871CF" w:rsidRPr="00E871CF" w:rsidRDefault="00E871CF" w:rsidP="00496725">
      <w:pPr>
        <w:widowControl w:val="0"/>
        <w:jc w:val="both"/>
        <w:rPr>
          <w:rFonts w:ascii="Abadi" w:hAnsi="Abadi"/>
          <w:sz w:val="21"/>
          <w:szCs w:val="21"/>
          <w:lang w:val="es-MX" w:eastAsia="en-US"/>
        </w:rPr>
      </w:pPr>
    </w:p>
    <w:p w14:paraId="21D6E901" w14:textId="77777777" w:rsidR="00E871CF" w:rsidRPr="00E871CF" w:rsidRDefault="00E871CF" w:rsidP="00496725">
      <w:pPr>
        <w:widowControl w:val="0"/>
        <w:ind w:firstLine="851"/>
        <w:jc w:val="both"/>
        <w:rPr>
          <w:rFonts w:ascii="Abadi" w:hAnsi="Abadi"/>
          <w:sz w:val="21"/>
          <w:szCs w:val="21"/>
          <w:lang w:val="es-MX" w:eastAsia="en-US"/>
        </w:rPr>
      </w:pPr>
      <w:r w:rsidRPr="00E871CF">
        <w:rPr>
          <w:rFonts w:ascii="Abadi" w:hAnsi="Abadi"/>
          <w:sz w:val="21"/>
          <w:szCs w:val="21"/>
          <w:lang w:val="es-MX" w:eastAsia="en-US"/>
        </w:rPr>
        <w:t>El Ayuntamiento de Manuel Doblado nos compartió lo siguiente:</w:t>
      </w:r>
    </w:p>
    <w:p w14:paraId="4CB59AC9" w14:textId="77777777" w:rsidR="00E871CF" w:rsidRPr="00E871CF" w:rsidRDefault="00E871CF" w:rsidP="00496725">
      <w:pPr>
        <w:widowControl w:val="0"/>
        <w:ind w:firstLine="851"/>
        <w:jc w:val="both"/>
        <w:rPr>
          <w:rFonts w:ascii="Abadi" w:hAnsi="Abadi"/>
          <w:sz w:val="21"/>
          <w:szCs w:val="21"/>
          <w:lang w:val="es-MX" w:eastAsia="en-US"/>
        </w:rPr>
      </w:pPr>
    </w:p>
    <w:p w14:paraId="6DFFFF89" w14:textId="77777777" w:rsidR="00E871CF" w:rsidRPr="00E871CF" w:rsidRDefault="00E871CF" w:rsidP="00496725">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En la medida de la posibilidad presupuestal se impulsará el uso de formato y tecnologías que facilite el acceso a trámites y servicios de las personas con discapacidad.</w:t>
      </w:r>
    </w:p>
    <w:p w14:paraId="10FB27E7" w14:textId="77777777" w:rsidR="00E871CF" w:rsidRPr="00E871CF" w:rsidRDefault="00E871CF" w:rsidP="00496725">
      <w:pPr>
        <w:widowControl w:val="0"/>
        <w:jc w:val="both"/>
        <w:rPr>
          <w:rFonts w:ascii="Abadi" w:hAnsi="Abadi"/>
          <w:sz w:val="21"/>
          <w:szCs w:val="21"/>
          <w:lang w:val="es-MX" w:eastAsia="en-US"/>
        </w:rPr>
      </w:pPr>
    </w:p>
    <w:p w14:paraId="0E368996" w14:textId="77777777" w:rsidR="00E871CF" w:rsidRPr="00E871CF" w:rsidRDefault="00E871CF" w:rsidP="00496725">
      <w:pPr>
        <w:widowControl w:val="0"/>
        <w:ind w:firstLine="851"/>
        <w:jc w:val="both"/>
        <w:rPr>
          <w:rFonts w:ascii="Abadi" w:hAnsi="Abadi"/>
          <w:sz w:val="21"/>
          <w:szCs w:val="21"/>
          <w:lang w:val="es-MX" w:eastAsia="en-US"/>
        </w:rPr>
      </w:pPr>
      <w:r w:rsidRPr="00E871CF">
        <w:rPr>
          <w:rFonts w:ascii="Abadi" w:hAnsi="Abadi"/>
          <w:sz w:val="21"/>
          <w:szCs w:val="21"/>
          <w:lang w:val="es-MX" w:eastAsia="en-US"/>
        </w:rPr>
        <w:t>El Ayuntamiento de San Luis de la Paz, compartió la siguiente opinión:</w:t>
      </w:r>
    </w:p>
    <w:p w14:paraId="5D48E99A" w14:textId="77777777" w:rsidR="00E871CF" w:rsidRPr="00E871CF" w:rsidRDefault="00E871CF" w:rsidP="00496725">
      <w:pPr>
        <w:widowControl w:val="0"/>
        <w:ind w:firstLine="851"/>
        <w:jc w:val="both"/>
        <w:rPr>
          <w:rFonts w:ascii="Abadi" w:hAnsi="Abadi"/>
          <w:sz w:val="21"/>
          <w:szCs w:val="21"/>
          <w:lang w:val="es-MX" w:eastAsia="en-US"/>
        </w:rPr>
      </w:pPr>
    </w:p>
    <w:p w14:paraId="513695EE" w14:textId="77777777" w:rsidR="00E871CF" w:rsidRPr="00E871CF" w:rsidRDefault="00E871CF" w:rsidP="00E871CF">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SE CONSIDERA VIABLE LA INICIATIVA PARA ADICIONAR LAS FRACCIONES XVI Y XVII DEL ARTÍCULO 6 DE LA LEY DE INCLUSIÓN PARA LAS PERSONAS CON DISCAPACIDAD EN EL ESTADO DE GUANAJUATO, EN RAZÓN DE QUE CONTIENE Y PROPONE ACCIONES EN FAVOR DE LAS PERSONAS CON DISCAPACIDAD QUE LES PERMITIRÁ DESARROLLARSE EN FORMA ÍNTEGRA Y PLENA, CON ELLO CUMPLIENDO CON LOS PRINCIPALES TRATADOS INTERNACIONALES CELEBRADOS POR EL ESTADO MEXICANO EN ESPECÍFICO, EL ARTICULADO INTEGRANTE DE LA CONVENCIÓN SOBRE LOS DERECHOS DE LAS PERSONAS CON DISCAPACIDAD Y SU PROTOCOLO FACULTATIVO, MISMOS QUE FUERON RATIFICADOS POR EL ESTADO MEXICANO, CONVIRTIÉNDOSE ASÍ EN PARTE DE LOS ESTADOS COMPROMETIDOS A PROTEGER Y PROMOVER LOS DERECHOS Y LA DIGNIDAD DE LAS PERSONAS CON DISCAPACIDAD, OBLIGACIÓN PREVISTA EN EL ARTÍCULO 1 DE LA CONSTITUCIÓN POLÍTICA DE LOS ESTADOS UNIDOS MEXICANOS.</w:t>
      </w:r>
    </w:p>
    <w:p w14:paraId="3622B543" w14:textId="77777777" w:rsidR="00E871CF" w:rsidRPr="00E871CF" w:rsidRDefault="00E871CF" w:rsidP="00E871CF">
      <w:pPr>
        <w:widowControl w:val="0"/>
        <w:spacing w:line="360" w:lineRule="auto"/>
        <w:jc w:val="both"/>
        <w:rPr>
          <w:rFonts w:ascii="Abadi" w:hAnsi="Abadi"/>
          <w:sz w:val="21"/>
          <w:szCs w:val="21"/>
          <w:lang w:val="es-MX" w:eastAsia="en-US"/>
        </w:rPr>
      </w:pPr>
    </w:p>
    <w:p w14:paraId="6C909118" w14:textId="77777777" w:rsidR="00E871CF" w:rsidRPr="00E871CF" w:rsidRDefault="00E871CF" w:rsidP="00496725">
      <w:pPr>
        <w:widowControl w:val="0"/>
        <w:ind w:firstLine="851"/>
        <w:jc w:val="both"/>
        <w:rPr>
          <w:rFonts w:ascii="Abadi" w:hAnsi="Abadi"/>
          <w:sz w:val="21"/>
          <w:szCs w:val="21"/>
          <w:lang w:val="es-MX" w:eastAsia="en-US"/>
        </w:rPr>
      </w:pPr>
      <w:r w:rsidRPr="00E871CF">
        <w:rPr>
          <w:rFonts w:ascii="Abadi" w:hAnsi="Abadi"/>
          <w:sz w:val="21"/>
          <w:szCs w:val="21"/>
          <w:lang w:val="es-MX" w:eastAsia="en-US"/>
        </w:rPr>
        <w:t>El Ayuntamiento de Silao de la Victoria, señaló que:</w:t>
      </w:r>
    </w:p>
    <w:p w14:paraId="011B4A0C" w14:textId="77777777" w:rsidR="00E871CF" w:rsidRPr="00E871CF" w:rsidRDefault="00E871CF" w:rsidP="00496725">
      <w:pPr>
        <w:widowControl w:val="0"/>
        <w:jc w:val="both"/>
        <w:rPr>
          <w:rFonts w:ascii="Abadi" w:hAnsi="Abadi"/>
          <w:sz w:val="21"/>
          <w:szCs w:val="21"/>
          <w:lang w:val="es-MX" w:eastAsia="en-US"/>
        </w:rPr>
      </w:pPr>
    </w:p>
    <w:p w14:paraId="0EF45972" w14:textId="77777777" w:rsidR="00E871CF" w:rsidRPr="00E871CF" w:rsidRDefault="00E871CF" w:rsidP="00496725">
      <w:pPr>
        <w:widowControl w:val="0"/>
        <w:ind w:left="851" w:right="851"/>
        <w:jc w:val="both"/>
        <w:rPr>
          <w:rFonts w:ascii="Abadi" w:hAnsi="Abadi" w:cs="Arial"/>
          <w:i/>
          <w:sz w:val="21"/>
          <w:szCs w:val="21"/>
          <w:lang w:val="es-MX" w:eastAsia="en-US"/>
        </w:rPr>
      </w:pPr>
      <w:r w:rsidRPr="00E871CF">
        <w:rPr>
          <w:rFonts w:ascii="Abadi" w:hAnsi="Abadi" w:cs="Arial"/>
          <w:b/>
          <w:bCs/>
          <w:i/>
          <w:sz w:val="21"/>
          <w:szCs w:val="21"/>
          <w:lang w:val="es-MX" w:eastAsia="en-US"/>
        </w:rPr>
        <w:t>ÚNICO.</w:t>
      </w:r>
      <w:r w:rsidRPr="00E871CF">
        <w:rPr>
          <w:rFonts w:ascii="Abadi" w:hAnsi="Abadi" w:cs="Arial"/>
          <w:i/>
          <w:sz w:val="21"/>
          <w:szCs w:val="21"/>
          <w:lang w:val="es-MX" w:eastAsia="en-US"/>
        </w:rPr>
        <w:t xml:space="preserve"> La falta de accesibilidad es la primera barrera que enfrentan las personas con discapacidad, pues ella dificulta su integración a la escuela, centros de salud, centros de trabajo, trámites y servicios públicos. Si entendemos la accesibilidad como el derecho de uso de la ciudad y sus servicios sin restricción alguna por todos sus habitantes, sin importar su estatura, peso, edad, género, cultura, o discapacidad, podremos darnos cuenta que tendremos una sociedad guanajuatense incluyente y con calidad de vida.</w:t>
      </w:r>
    </w:p>
    <w:p w14:paraId="4F182EE6" w14:textId="77777777" w:rsidR="00E871CF" w:rsidRPr="00E871CF" w:rsidRDefault="00E871CF" w:rsidP="00496725">
      <w:pPr>
        <w:widowControl w:val="0"/>
        <w:ind w:left="851" w:right="851"/>
        <w:jc w:val="both"/>
        <w:rPr>
          <w:rFonts w:ascii="Abadi" w:hAnsi="Abadi" w:cs="Arial"/>
          <w:i/>
          <w:sz w:val="21"/>
          <w:szCs w:val="21"/>
          <w:lang w:val="es-MX" w:eastAsia="en-US"/>
        </w:rPr>
      </w:pPr>
    </w:p>
    <w:p w14:paraId="6DCC13A4" w14:textId="77777777" w:rsidR="00E871CF" w:rsidRPr="00E871CF" w:rsidRDefault="00E871CF" w:rsidP="00496725">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En ese sentido, con la presente iniciativa se sumarán esfuerzos para reducir la brecha de desigualdad que existe entre las personas con discapacidad y acercarlos en la medida de lo posible con el resto de los habitantes de la entidad. En el Municipio de Silao de la Victoria, Guanajuato, estamos comprometidos con brindar la atención ciudadana sin discriminación alguna siempre velando por el interés de las peticiones ciudadanas.</w:t>
      </w:r>
    </w:p>
    <w:p w14:paraId="491A7A41" w14:textId="77777777" w:rsidR="00E871CF" w:rsidRPr="00E871CF" w:rsidRDefault="00E871CF" w:rsidP="00496725">
      <w:pPr>
        <w:widowControl w:val="0"/>
        <w:ind w:left="851" w:right="851"/>
        <w:jc w:val="both"/>
        <w:rPr>
          <w:rFonts w:ascii="Abadi" w:hAnsi="Abadi" w:cs="Arial"/>
          <w:i/>
          <w:sz w:val="21"/>
          <w:szCs w:val="21"/>
          <w:lang w:val="es-MX" w:eastAsia="en-US"/>
        </w:rPr>
      </w:pPr>
    </w:p>
    <w:p w14:paraId="17D0FD3C" w14:textId="77777777" w:rsidR="00E871CF" w:rsidRPr="00E871CF" w:rsidRDefault="00E871CF" w:rsidP="00496725">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Finalmente, este órgano edilicio se pronuncia a favor de la iniciativa analizada, la cual fortalecerá el sistema de trámites y servicios de las administraciones públicas estatales y municipales, a fin de atender de forma integral e incluyente a las personas con algún tipo de discapacidad en su relación con la autoridad…</w:t>
      </w:r>
    </w:p>
    <w:p w14:paraId="478FB6AC" w14:textId="77777777" w:rsidR="00E871CF" w:rsidRPr="00E871CF" w:rsidRDefault="00E871CF" w:rsidP="00496725">
      <w:pPr>
        <w:widowControl w:val="0"/>
        <w:jc w:val="both"/>
        <w:rPr>
          <w:rFonts w:ascii="Abadi" w:hAnsi="Abadi"/>
          <w:sz w:val="21"/>
          <w:szCs w:val="21"/>
          <w:lang w:val="es-MX" w:eastAsia="en-US"/>
        </w:rPr>
      </w:pPr>
    </w:p>
    <w:p w14:paraId="6F5FB016" w14:textId="77777777" w:rsidR="00E871CF" w:rsidRPr="00E871CF" w:rsidRDefault="00E871CF" w:rsidP="00496725">
      <w:pPr>
        <w:widowControl w:val="0"/>
        <w:ind w:firstLine="851"/>
        <w:jc w:val="both"/>
        <w:rPr>
          <w:rFonts w:ascii="Abadi" w:hAnsi="Abadi"/>
          <w:sz w:val="21"/>
          <w:szCs w:val="21"/>
          <w:lang w:val="es-MX" w:eastAsia="en-US"/>
        </w:rPr>
      </w:pPr>
      <w:r w:rsidRPr="00E871CF">
        <w:rPr>
          <w:rFonts w:ascii="Abadi" w:hAnsi="Abadi"/>
          <w:sz w:val="21"/>
          <w:szCs w:val="21"/>
          <w:lang w:val="es-MX" w:eastAsia="en-US"/>
        </w:rPr>
        <w:t>La Procuraduría de los Derechos Humanos del Estado de Guanajuato en respuesta a la consulta, señaló que:</w:t>
      </w:r>
    </w:p>
    <w:p w14:paraId="44F32065" w14:textId="77777777" w:rsidR="00E871CF" w:rsidRPr="00E871CF" w:rsidRDefault="00E871CF" w:rsidP="00496725">
      <w:pPr>
        <w:widowControl w:val="0"/>
        <w:jc w:val="both"/>
        <w:rPr>
          <w:rFonts w:ascii="Abadi" w:hAnsi="Abadi"/>
          <w:sz w:val="21"/>
          <w:szCs w:val="21"/>
          <w:lang w:val="es-MX" w:eastAsia="en-US"/>
        </w:rPr>
      </w:pPr>
    </w:p>
    <w:p w14:paraId="3E2EABD1" w14:textId="77777777" w:rsidR="00E871CF" w:rsidRPr="00E871CF" w:rsidRDefault="00E871CF" w:rsidP="00496725">
      <w:pPr>
        <w:widowControl w:val="0"/>
        <w:ind w:left="851" w:right="851"/>
        <w:jc w:val="both"/>
        <w:rPr>
          <w:rFonts w:ascii="Abadi" w:hAnsi="Abadi" w:cs="Arial"/>
          <w:b/>
          <w:bCs/>
          <w:i/>
          <w:sz w:val="21"/>
          <w:szCs w:val="21"/>
          <w:lang w:val="es-MX" w:eastAsia="en-US"/>
        </w:rPr>
      </w:pPr>
      <w:r w:rsidRPr="00E871CF">
        <w:rPr>
          <w:rFonts w:ascii="Abadi" w:hAnsi="Abadi" w:cs="Arial"/>
          <w:b/>
          <w:bCs/>
          <w:i/>
          <w:sz w:val="21"/>
          <w:szCs w:val="21"/>
          <w:lang w:val="es-MX" w:eastAsia="en-US"/>
        </w:rPr>
        <w:t>a) Objetivo de la iniciativa:</w:t>
      </w:r>
    </w:p>
    <w:p w14:paraId="1F8244B3" w14:textId="77777777" w:rsidR="00E871CF" w:rsidRPr="00E871CF" w:rsidRDefault="00E871CF" w:rsidP="00496725">
      <w:pPr>
        <w:widowControl w:val="0"/>
        <w:ind w:left="851" w:right="851"/>
        <w:jc w:val="both"/>
        <w:rPr>
          <w:rFonts w:ascii="Abadi" w:hAnsi="Abadi" w:cs="Arial"/>
          <w:i/>
          <w:sz w:val="21"/>
          <w:szCs w:val="21"/>
          <w:lang w:val="es-MX" w:eastAsia="en-US"/>
        </w:rPr>
      </w:pPr>
    </w:p>
    <w:p w14:paraId="63923D59" w14:textId="77777777" w:rsidR="00E871CF" w:rsidRPr="00E871CF" w:rsidRDefault="00E871CF" w:rsidP="00496725">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Reducir la brecha de desigualdad a que se enfrentan las personas con discapacidad y acercar en la medida de lo posible los servicios la atención para un mejor y equilibrado desarrollo social en Guanajuato.</w:t>
      </w:r>
    </w:p>
    <w:p w14:paraId="7C48739E" w14:textId="77777777" w:rsidR="00E871CF" w:rsidRPr="00E871CF" w:rsidRDefault="00E871CF" w:rsidP="00496725">
      <w:pPr>
        <w:widowControl w:val="0"/>
        <w:ind w:left="851" w:right="851"/>
        <w:jc w:val="both"/>
        <w:rPr>
          <w:rFonts w:ascii="Abadi" w:hAnsi="Abadi" w:cs="Arial"/>
          <w:i/>
          <w:sz w:val="21"/>
          <w:szCs w:val="21"/>
          <w:lang w:val="es-MX" w:eastAsia="en-US"/>
        </w:rPr>
      </w:pPr>
    </w:p>
    <w:p w14:paraId="02887102" w14:textId="77777777" w:rsidR="00E871CF" w:rsidRPr="00E871CF" w:rsidRDefault="00E871CF" w:rsidP="00496725">
      <w:pPr>
        <w:widowControl w:val="0"/>
        <w:ind w:left="851" w:right="851"/>
        <w:jc w:val="both"/>
        <w:rPr>
          <w:rFonts w:ascii="Abadi" w:hAnsi="Abadi" w:cs="Arial"/>
          <w:b/>
          <w:bCs/>
          <w:i/>
          <w:sz w:val="21"/>
          <w:szCs w:val="21"/>
          <w:lang w:val="es-MX" w:eastAsia="en-US"/>
        </w:rPr>
      </w:pPr>
      <w:r w:rsidRPr="00E871CF">
        <w:rPr>
          <w:rFonts w:ascii="Abadi" w:hAnsi="Abadi" w:cs="Arial"/>
          <w:b/>
          <w:bCs/>
          <w:i/>
          <w:sz w:val="21"/>
          <w:szCs w:val="21"/>
          <w:lang w:val="es-MX" w:eastAsia="en-US"/>
        </w:rPr>
        <w:t>b) Consideraciones previas:</w:t>
      </w:r>
    </w:p>
    <w:p w14:paraId="47640FE6" w14:textId="77777777" w:rsidR="00E871CF" w:rsidRPr="00E871CF" w:rsidRDefault="00E871CF" w:rsidP="00496725">
      <w:pPr>
        <w:widowControl w:val="0"/>
        <w:ind w:left="851" w:right="851"/>
        <w:jc w:val="both"/>
        <w:rPr>
          <w:rFonts w:ascii="Abadi" w:hAnsi="Abadi" w:cs="Arial"/>
          <w:i/>
          <w:sz w:val="21"/>
          <w:szCs w:val="21"/>
          <w:lang w:val="es-MX" w:eastAsia="en-US"/>
        </w:rPr>
      </w:pPr>
    </w:p>
    <w:p w14:paraId="64C2D0E8" w14:textId="77777777" w:rsidR="00E871CF" w:rsidRPr="00E871CF" w:rsidRDefault="00E871CF" w:rsidP="00496725">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La Convención Internacional sobre los Derechos de las Personas con Discapacidad y su Protocolo Facultativo, aprobados por la Asamblea General de las Naciones Unidas el 13 de diciembre de 2006, son instrumentos jurídicos de notoria relevancia en el marco general de los derechos humanos, ya que tienen como propósito promover, proteger y asegurar el goce pleno y en condiciones de igualdad de todos los derechos humanos y libertades fundamentales por todas las personas con discapacidad, y promover el respeto de su dignidad inherente y, además, los Estados parte se comprometen a adoptar todas las medidas legislativas, administrativas y de otra índole que sean pertinentes para hacer efectivos los derechos reconocidos en la citada Convención Internacional.</w:t>
      </w:r>
    </w:p>
    <w:p w14:paraId="20D549C5" w14:textId="77777777" w:rsidR="00E871CF" w:rsidRPr="00E871CF" w:rsidRDefault="00E871CF" w:rsidP="00496725">
      <w:pPr>
        <w:widowControl w:val="0"/>
        <w:ind w:left="851" w:right="851"/>
        <w:jc w:val="both"/>
        <w:rPr>
          <w:rFonts w:ascii="Abadi" w:hAnsi="Abadi" w:cs="Arial"/>
          <w:i/>
          <w:sz w:val="21"/>
          <w:szCs w:val="21"/>
          <w:lang w:val="es-MX" w:eastAsia="en-US"/>
        </w:rPr>
      </w:pPr>
    </w:p>
    <w:p w14:paraId="317BDD37" w14:textId="77777777" w:rsidR="00E871CF" w:rsidRPr="00E871CF" w:rsidRDefault="00E871CF" w:rsidP="00496725">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Con base en el artículo 3 fracción f) de esa Convención, la accesibilidad es uno de los principios sobre los cuales operan los derechos de esas personas, que se constituye como un pilar para garantizar los derechos humanos de las personas con discapacidad.</w:t>
      </w:r>
    </w:p>
    <w:p w14:paraId="77E247DE" w14:textId="77777777" w:rsidR="00E871CF" w:rsidRPr="00E871CF" w:rsidRDefault="00E871CF" w:rsidP="00496725">
      <w:pPr>
        <w:widowControl w:val="0"/>
        <w:ind w:left="851" w:right="851"/>
        <w:jc w:val="both"/>
        <w:rPr>
          <w:rFonts w:ascii="Abadi" w:hAnsi="Abadi" w:cs="Arial"/>
          <w:i/>
          <w:sz w:val="21"/>
          <w:szCs w:val="21"/>
          <w:lang w:val="es-MX" w:eastAsia="en-US"/>
        </w:rPr>
      </w:pPr>
    </w:p>
    <w:p w14:paraId="3EEBF507" w14:textId="77777777" w:rsidR="00E871CF" w:rsidRPr="00E871CF" w:rsidRDefault="00E871CF" w:rsidP="00496725">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Ahora bien, el artículo 9 de este tratado establece al respeto de la accesibilidad lo siguiente:</w:t>
      </w:r>
    </w:p>
    <w:p w14:paraId="7D23DE3D" w14:textId="77777777" w:rsidR="00E871CF" w:rsidRPr="00E871CF" w:rsidRDefault="00E871CF" w:rsidP="00496725">
      <w:pPr>
        <w:widowControl w:val="0"/>
        <w:ind w:left="851" w:right="851"/>
        <w:jc w:val="both"/>
        <w:rPr>
          <w:rFonts w:ascii="Abadi" w:hAnsi="Abadi" w:cs="Arial"/>
          <w:i/>
          <w:sz w:val="21"/>
          <w:szCs w:val="21"/>
          <w:lang w:val="es-MX" w:eastAsia="en-US"/>
        </w:rPr>
      </w:pPr>
    </w:p>
    <w:p w14:paraId="6411BC0D" w14:textId="77777777" w:rsidR="00E871CF" w:rsidRPr="00E871CF" w:rsidRDefault="00E871CF" w:rsidP="00496725">
      <w:pPr>
        <w:widowControl w:val="0"/>
        <w:ind w:left="1418" w:right="1418"/>
        <w:jc w:val="both"/>
        <w:rPr>
          <w:rFonts w:ascii="Abadi" w:hAnsi="Abadi" w:cs="Arial"/>
          <w:i/>
          <w:sz w:val="21"/>
          <w:szCs w:val="21"/>
          <w:lang w:val="es-MX" w:eastAsia="en-US"/>
        </w:rPr>
      </w:pPr>
      <w:r w:rsidRPr="00E871CF">
        <w:rPr>
          <w:rFonts w:ascii="Abadi" w:hAnsi="Abadi" w:cs="Arial"/>
          <w:i/>
          <w:sz w:val="21"/>
          <w:szCs w:val="21"/>
          <w:lang w:val="es-MX" w:eastAsia="en-US"/>
        </w:rPr>
        <w:t>A fin de que las personas con discapacidad puedan vivir en forma independiente y participar plenamente en todos los aspectos de la vida, los Estados Partes adoptarán medidas pertinentes para asegurar el acceso de las personas con discapacidad, en igualdad de condiciones con las demás, al entorno físico, el transporte, la información y las comunicaciones, incluidos los sistemas y las tecnologías de la información y las comunicaciones, y a otros servicios e instalaciones abiertos al público o de uso público, tanto en zonas urbanas como rurales.</w:t>
      </w:r>
    </w:p>
    <w:p w14:paraId="17681C29" w14:textId="77777777" w:rsidR="00E871CF" w:rsidRPr="00E871CF" w:rsidRDefault="00E871CF" w:rsidP="00496725">
      <w:pPr>
        <w:widowControl w:val="0"/>
        <w:ind w:left="851" w:right="851"/>
        <w:jc w:val="both"/>
        <w:rPr>
          <w:rFonts w:ascii="Abadi" w:hAnsi="Abadi" w:cs="Arial"/>
          <w:i/>
          <w:sz w:val="21"/>
          <w:szCs w:val="21"/>
          <w:lang w:val="es-MX" w:eastAsia="en-US"/>
        </w:rPr>
      </w:pPr>
    </w:p>
    <w:p w14:paraId="100D17C8" w14:textId="77777777" w:rsidR="00E871CF" w:rsidRPr="00E871CF" w:rsidRDefault="00E871CF" w:rsidP="00496725">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Por tanto, podemos configurar la responsabilidad del Estado para garantizar el derecho a la accesibilidad, como una tarea primaria para con la sociedad, favoreciendo de manera primordial la igualdad de condiciones para la población, especialmente, las personas con discapacidad.</w:t>
      </w:r>
    </w:p>
    <w:p w14:paraId="615600B0" w14:textId="77777777" w:rsidR="00E871CF" w:rsidRPr="00E871CF" w:rsidRDefault="00E871CF" w:rsidP="00496725">
      <w:pPr>
        <w:widowControl w:val="0"/>
        <w:ind w:left="851" w:right="851"/>
        <w:jc w:val="both"/>
        <w:rPr>
          <w:rFonts w:ascii="Abadi" w:hAnsi="Abadi" w:cs="Arial"/>
          <w:i/>
          <w:sz w:val="21"/>
          <w:szCs w:val="21"/>
          <w:lang w:val="es-MX" w:eastAsia="en-US"/>
        </w:rPr>
      </w:pPr>
    </w:p>
    <w:p w14:paraId="3B654025" w14:textId="77777777" w:rsidR="00E871CF" w:rsidRPr="00E871CF" w:rsidRDefault="00E871CF" w:rsidP="00496725">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En suma, las obligaciones sobre accesibilidad de los Estados se especifican en diversos incisos del mismo artículo 9 punto 2, de los cuales resultan atinentes los siguientes en el presente caso:</w:t>
      </w:r>
    </w:p>
    <w:p w14:paraId="365AADF9" w14:textId="77777777" w:rsidR="00E871CF" w:rsidRPr="00E871CF" w:rsidRDefault="00E871CF" w:rsidP="00496725">
      <w:pPr>
        <w:widowControl w:val="0"/>
        <w:ind w:left="851" w:right="851"/>
        <w:jc w:val="both"/>
        <w:rPr>
          <w:rFonts w:ascii="Abadi" w:hAnsi="Abadi" w:cs="Arial"/>
          <w:i/>
          <w:sz w:val="21"/>
          <w:szCs w:val="21"/>
          <w:lang w:val="es-MX" w:eastAsia="en-US"/>
        </w:rPr>
      </w:pPr>
    </w:p>
    <w:p w14:paraId="4FD0FDD3" w14:textId="77777777" w:rsidR="00E871CF" w:rsidRPr="00E871CF" w:rsidRDefault="00E871CF" w:rsidP="00496725">
      <w:pPr>
        <w:widowControl w:val="0"/>
        <w:ind w:left="1418" w:right="1418"/>
        <w:jc w:val="both"/>
        <w:rPr>
          <w:rFonts w:ascii="Abadi" w:hAnsi="Abadi" w:cs="Arial"/>
          <w:i/>
          <w:sz w:val="21"/>
          <w:szCs w:val="21"/>
          <w:lang w:val="es-MX" w:eastAsia="en-US"/>
        </w:rPr>
      </w:pPr>
      <w:r w:rsidRPr="00E871CF">
        <w:rPr>
          <w:rFonts w:ascii="Abadi" w:hAnsi="Abadi" w:cs="Arial"/>
          <w:i/>
          <w:sz w:val="21"/>
          <w:szCs w:val="21"/>
          <w:lang w:val="es-MX" w:eastAsia="en-US"/>
        </w:rPr>
        <w:t>2. Los Estados Partes también adoptarán las medidas pertinentes para:</w:t>
      </w:r>
    </w:p>
    <w:p w14:paraId="1FA675B9" w14:textId="77777777" w:rsidR="00E871CF" w:rsidRPr="00E871CF" w:rsidRDefault="00E871CF" w:rsidP="00496725">
      <w:pPr>
        <w:widowControl w:val="0"/>
        <w:ind w:left="1418" w:right="1418"/>
        <w:jc w:val="both"/>
        <w:rPr>
          <w:rFonts w:ascii="Abadi" w:hAnsi="Abadi" w:cs="Arial"/>
          <w:i/>
          <w:sz w:val="21"/>
          <w:szCs w:val="21"/>
          <w:lang w:val="es-MX" w:eastAsia="en-US"/>
        </w:rPr>
      </w:pPr>
      <w:r w:rsidRPr="00E871CF">
        <w:rPr>
          <w:rFonts w:ascii="Abadi" w:hAnsi="Abadi" w:cs="Arial"/>
          <w:i/>
          <w:sz w:val="21"/>
          <w:szCs w:val="21"/>
          <w:lang w:val="es-MX" w:eastAsia="en-US"/>
        </w:rPr>
        <w:t>a) Desarrollar, promulgar y supervisar la aplicación de normas mínimas y directrices sobre la accesibilidad de las instalaciones y los servicios abiertos al público o de uso público;</w:t>
      </w:r>
    </w:p>
    <w:p w14:paraId="4FFF0D87" w14:textId="77777777" w:rsidR="00E871CF" w:rsidRPr="00E871CF" w:rsidRDefault="00E871CF" w:rsidP="00496725">
      <w:pPr>
        <w:widowControl w:val="0"/>
        <w:ind w:left="1418" w:right="1418"/>
        <w:jc w:val="both"/>
        <w:rPr>
          <w:rFonts w:ascii="Abadi" w:hAnsi="Abadi" w:cs="Arial"/>
          <w:i/>
          <w:sz w:val="21"/>
          <w:szCs w:val="21"/>
          <w:lang w:val="es-MX" w:eastAsia="en-US"/>
        </w:rPr>
      </w:pPr>
      <w:r w:rsidRPr="00E871CF">
        <w:rPr>
          <w:rFonts w:ascii="Abadi" w:hAnsi="Abadi" w:cs="Arial"/>
          <w:i/>
          <w:sz w:val="21"/>
          <w:szCs w:val="21"/>
          <w:lang w:val="es-MX" w:eastAsia="en-US"/>
        </w:rPr>
        <w:t>d) Dotar a los edificios y otras instalaciones abiertas al público de señalización en Braille y en formatos de fácil lectura y comprensión;</w:t>
      </w:r>
    </w:p>
    <w:p w14:paraId="06B6CD49" w14:textId="77777777" w:rsidR="00E871CF" w:rsidRPr="00E871CF" w:rsidRDefault="00E871CF" w:rsidP="00496725">
      <w:pPr>
        <w:widowControl w:val="0"/>
        <w:ind w:left="1418" w:right="1418"/>
        <w:jc w:val="both"/>
        <w:rPr>
          <w:rFonts w:ascii="Abadi" w:hAnsi="Abadi" w:cs="Arial"/>
          <w:i/>
          <w:sz w:val="21"/>
          <w:szCs w:val="21"/>
          <w:lang w:val="es-MX" w:eastAsia="en-US"/>
        </w:rPr>
      </w:pPr>
      <w:r w:rsidRPr="00E871CF">
        <w:rPr>
          <w:rFonts w:ascii="Abadi" w:hAnsi="Abadi" w:cs="Arial"/>
          <w:i/>
          <w:sz w:val="21"/>
          <w:szCs w:val="21"/>
          <w:lang w:val="es-MX" w:eastAsia="en-US"/>
        </w:rPr>
        <w:t>g) Promover el acceso de las personas con discapacidad a los nuevos sistemas y tecnologías de la información y las comunicaciones, incluida Internet;</w:t>
      </w:r>
    </w:p>
    <w:p w14:paraId="2DEE29CF" w14:textId="77777777" w:rsidR="00E871CF" w:rsidRPr="00E871CF" w:rsidRDefault="00E871CF" w:rsidP="00496725">
      <w:pPr>
        <w:widowControl w:val="0"/>
        <w:ind w:left="851" w:right="851"/>
        <w:jc w:val="both"/>
        <w:rPr>
          <w:rFonts w:ascii="Abadi" w:hAnsi="Abadi" w:cs="Arial"/>
          <w:i/>
          <w:sz w:val="21"/>
          <w:szCs w:val="21"/>
          <w:lang w:val="es-MX" w:eastAsia="en-US"/>
        </w:rPr>
      </w:pPr>
    </w:p>
    <w:p w14:paraId="24C6BE32" w14:textId="77777777" w:rsidR="00E871CF" w:rsidRPr="00E871CF" w:rsidRDefault="00E871CF" w:rsidP="00496725">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En este contexto, resulta importante reconocer que las fracciones propuestas por la presente iniciativa se encuentran alineadas al desarrollo de los criterios internacionales para las personas con discapacidad, establecidas en la Convención de Derechos de Personas con Discapacidad, de la cual México forma parte.</w:t>
      </w:r>
    </w:p>
    <w:p w14:paraId="777B4F64" w14:textId="77777777" w:rsidR="00E871CF" w:rsidRPr="00E871CF" w:rsidRDefault="00E871CF" w:rsidP="00496725">
      <w:pPr>
        <w:widowControl w:val="0"/>
        <w:ind w:left="851" w:right="851"/>
        <w:jc w:val="both"/>
        <w:rPr>
          <w:rFonts w:ascii="Abadi" w:hAnsi="Abadi" w:cs="Arial"/>
          <w:i/>
          <w:sz w:val="21"/>
          <w:szCs w:val="21"/>
          <w:lang w:val="es-MX" w:eastAsia="en-US"/>
        </w:rPr>
      </w:pPr>
    </w:p>
    <w:p w14:paraId="50A19741" w14:textId="77777777" w:rsidR="00E871CF" w:rsidRPr="00E871CF" w:rsidRDefault="00E871CF" w:rsidP="00496725">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Asimismo, se refiere lo establecido por la Ley General para la Inclusión de las personas con discapacidad en su artículo segundo, que en las fracciones I y V se definen los conceptos de accesibilidad y comunicación de la siguiente manera:</w:t>
      </w:r>
    </w:p>
    <w:p w14:paraId="6234700E" w14:textId="77777777" w:rsidR="00E871CF" w:rsidRPr="00E871CF" w:rsidRDefault="00E871CF" w:rsidP="00496725">
      <w:pPr>
        <w:widowControl w:val="0"/>
        <w:ind w:left="851" w:right="851"/>
        <w:jc w:val="both"/>
        <w:rPr>
          <w:rFonts w:ascii="Abadi" w:hAnsi="Abadi" w:cs="Arial"/>
          <w:i/>
          <w:sz w:val="21"/>
          <w:szCs w:val="21"/>
          <w:lang w:val="es-MX" w:eastAsia="en-US"/>
        </w:rPr>
      </w:pPr>
    </w:p>
    <w:p w14:paraId="10BBA1F4" w14:textId="77777777" w:rsidR="00E871CF" w:rsidRPr="00E871CF" w:rsidRDefault="00E871CF" w:rsidP="00496725">
      <w:pPr>
        <w:widowControl w:val="0"/>
        <w:ind w:left="1418" w:right="1418"/>
        <w:jc w:val="both"/>
        <w:rPr>
          <w:rFonts w:ascii="Abadi" w:hAnsi="Abadi" w:cs="Arial"/>
          <w:i/>
          <w:sz w:val="21"/>
          <w:szCs w:val="21"/>
          <w:lang w:val="es-MX" w:eastAsia="en-US"/>
        </w:rPr>
      </w:pPr>
      <w:r w:rsidRPr="00E871CF">
        <w:rPr>
          <w:rFonts w:ascii="Abadi" w:hAnsi="Abadi" w:cs="Arial"/>
          <w:i/>
          <w:sz w:val="21"/>
          <w:szCs w:val="21"/>
          <w:lang w:val="es-MX" w:eastAsia="en-US"/>
        </w:rPr>
        <w:t>Artículo 2. Para los efectos de esta Ley se entenderá por:</w:t>
      </w:r>
    </w:p>
    <w:p w14:paraId="0940D174" w14:textId="77777777" w:rsidR="00E871CF" w:rsidRPr="00E871CF" w:rsidRDefault="00E871CF" w:rsidP="00496725">
      <w:pPr>
        <w:widowControl w:val="0"/>
        <w:ind w:left="1418" w:right="1418"/>
        <w:jc w:val="both"/>
        <w:rPr>
          <w:rFonts w:ascii="Abadi" w:hAnsi="Abadi" w:cs="Arial"/>
          <w:i/>
          <w:sz w:val="21"/>
          <w:szCs w:val="21"/>
          <w:lang w:val="es-MX" w:eastAsia="en-US"/>
        </w:rPr>
      </w:pPr>
    </w:p>
    <w:p w14:paraId="16B01161" w14:textId="77777777" w:rsidR="00E871CF" w:rsidRPr="00E871CF" w:rsidRDefault="00E871CF" w:rsidP="00496725">
      <w:pPr>
        <w:widowControl w:val="0"/>
        <w:ind w:left="1418" w:right="1418"/>
        <w:jc w:val="both"/>
        <w:rPr>
          <w:rFonts w:ascii="Abadi" w:hAnsi="Abadi" w:cs="Arial"/>
          <w:i/>
          <w:sz w:val="21"/>
          <w:szCs w:val="21"/>
          <w:lang w:val="es-MX" w:eastAsia="en-US"/>
        </w:rPr>
      </w:pPr>
      <w:r w:rsidRPr="00E871CF">
        <w:rPr>
          <w:rFonts w:ascii="Abadi" w:hAnsi="Abadi" w:cs="Arial"/>
          <w:i/>
          <w:sz w:val="21"/>
          <w:szCs w:val="21"/>
          <w:lang w:val="es-MX" w:eastAsia="en-US"/>
        </w:rPr>
        <w:t>I. Accesibilidad. Las medidas pertinentes para asegurar el acceso de las personas con discapacidad, en igualdad de condiciones con las demás, al entorno físico, el transporte, la información y las comunicaciones, incluidos los sistemas y las tecnologías de la información y las comunicaciones, y a otros servicios e instalaciones abiertos al público o de uso público, tanto en zonas urbanas como rurales;</w:t>
      </w:r>
    </w:p>
    <w:p w14:paraId="7B977F97" w14:textId="77777777" w:rsidR="00E871CF" w:rsidRPr="00E871CF" w:rsidRDefault="00E871CF" w:rsidP="00E871CF">
      <w:pPr>
        <w:widowControl w:val="0"/>
        <w:ind w:left="851" w:right="851"/>
        <w:jc w:val="both"/>
        <w:rPr>
          <w:rFonts w:ascii="Abadi" w:hAnsi="Abadi" w:cs="Arial"/>
          <w:i/>
          <w:sz w:val="21"/>
          <w:szCs w:val="21"/>
          <w:lang w:val="es-MX" w:eastAsia="en-US"/>
        </w:rPr>
      </w:pPr>
    </w:p>
    <w:p w14:paraId="7E06BD63" w14:textId="77777777" w:rsidR="00E871CF" w:rsidRPr="00E871CF" w:rsidRDefault="00E871CF" w:rsidP="00E871CF">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De igual manera, se cita la fracción V del artículo 2 de la norma antes citada, que define la comunicación de la siguiente manera:</w:t>
      </w:r>
    </w:p>
    <w:p w14:paraId="639C70C7" w14:textId="77777777" w:rsidR="00E871CF" w:rsidRPr="00E871CF" w:rsidRDefault="00E871CF" w:rsidP="00E871CF">
      <w:pPr>
        <w:widowControl w:val="0"/>
        <w:ind w:left="851" w:right="851"/>
        <w:jc w:val="both"/>
        <w:rPr>
          <w:rFonts w:ascii="Abadi" w:hAnsi="Abadi" w:cs="Arial"/>
          <w:i/>
          <w:sz w:val="21"/>
          <w:szCs w:val="21"/>
          <w:lang w:val="es-MX" w:eastAsia="en-US"/>
        </w:rPr>
      </w:pPr>
    </w:p>
    <w:p w14:paraId="039F7F34" w14:textId="77777777" w:rsidR="00E871CF" w:rsidRPr="00E871CF" w:rsidRDefault="00E871CF" w:rsidP="00E871CF">
      <w:pPr>
        <w:widowControl w:val="0"/>
        <w:ind w:left="1418" w:right="1418"/>
        <w:jc w:val="both"/>
        <w:rPr>
          <w:rFonts w:ascii="Abadi" w:hAnsi="Abadi" w:cs="Arial"/>
          <w:i/>
          <w:sz w:val="21"/>
          <w:szCs w:val="21"/>
          <w:lang w:val="es-MX" w:eastAsia="en-US"/>
        </w:rPr>
      </w:pPr>
      <w:r w:rsidRPr="00E871CF">
        <w:rPr>
          <w:rFonts w:ascii="Abadi" w:hAnsi="Abadi" w:cs="Arial"/>
          <w:i/>
          <w:sz w:val="21"/>
          <w:szCs w:val="21"/>
          <w:lang w:val="es-MX" w:eastAsia="en-US"/>
        </w:rPr>
        <w:t xml:space="preserve">V. Comunicación. Se entenderá el lenguaje escrito, oral y la lengua de señas mexicana, la visualización de textos, sistema Braille, la comunicación táctil, los macro tipos, los dispositivos multimedia escritos o auditivos de fácil acceso, el lenguaje sencillo, los medios de voz digitalizada y otros modos, medios, sistemas </w:t>
      </w:r>
      <w:r w:rsidRPr="00E871CF">
        <w:rPr>
          <w:rFonts w:ascii="Abadi" w:hAnsi="Abadi" w:cs="Arial"/>
          <w:b/>
          <w:bCs/>
          <w:i/>
          <w:sz w:val="21"/>
          <w:szCs w:val="21"/>
          <w:lang w:val="es-MX" w:eastAsia="en-US"/>
        </w:rPr>
        <w:t>y formatos aumentativos o alternativos de comunicación</w:t>
      </w:r>
      <w:r w:rsidRPr="00E871CF">
        <w:rPr>
          <w:rFonts w:ascii="Abadi" w:hAnsi="Abadi" w:cs="Arial"/>
          <w:i/>
          <w:sz w:val="21"/>
          <w:szCs w:val="21"/>
          <w:lang w:val="es-MX" w:eastAsia="en-US"/>
        </w:rPr>
        <w:t>, incluida la tecnología de la información y las comunicaciones de fácil acceso”;</w:t>
      </w:r>
    </w:p>
    <w:p w14:paraId="18DF9980" w14:textId="77777777" w:rsidR="00E871CF" w:rsidRPr="00E871CF" w:rsidRDefault="00E871CF" w:rsidP="00E871CF">
      <w:pPr>
        <w:widowControl w:val="0"/>
        <w:ind w:left="851" w:right="851"/>
        <w:jc w:val="both"/>
        <w:rPr>
          <w:rFonts w:ascii="Abadi" w:hAnsi="Abadi" w:cs="Arial"/>
          <w:i/>
          <w:sz w:val="21"/>
          <w:szCs w:val="21"/>
          <w:lang w:val="es-MX" w:eastAsia="en-US"/>
        </w:rPr>
      </w:pPr>
    </w:p>
    <w:p w14:paraId="55109266" w14:textId="77777777" w:rsidR="00E871CF" w:rsidRPr="00E871CF" w:rsidRDefault="00E871CF" w:rsidP="00E871CF">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De igual forma, se hace referencia al artículo 31 de la Ley referida, que precisa:</w:t>
      </w:r>
    </w:p>
    <w:p w14:paraId="77CD3728" w14:textId="77777777" w:rsidR="00E871CF" w:rsidRPr="00E871CF" w:rsidRDefault="00E871CF" w:rsidP="00E871CF">
      <w:pPr>
        <w:widowControl w:val="0"/>
        <w:ind w:left="851" w:right="851"/>
        <w:jc w:val="both"/>
        <w:rPr>
          <w:rFonts w:ascii="Abadi" w:hAnsi="Abadi" w:cs="Arial"/>
          <w:i/>
          <w:sz w:val="21"/>
          <w:szCs w:val="21"/>
          <w:lang w:val="es-MX" w:eastAsia="en-US"/>
        </w:rPr>
      </w:pPr>
    </w:p>
    <w:p w14:paraId="16C9ED26" w14:textId="77777777" w:rsidR="00E871CF" w:rsidRPr="00E871CF" w:rsidRDefault="00E871CF" w:rsidP="00E871CF">
      <w:pPr>
        <w:widowControl w:val="0"/>
        <w:ind w:left="1418" w:right="1418"/>
        <w:jc w:val="both"/>
        <w:rPr>
          <w:rFonts w:ascii="Abadi" w:hAnsi="Abadi" w:cs="Arial"/>
          <w:i/>
          <w:sz w:val="21"/>
          <w:szCs w:val="21"/>
          <w:lang w:val="es-MX" w:eastAsia="en-US"/>
        </w:rPr>
      </w:pPr>
      <w:r w:rsidRPr="00E871CF">
        <w:rPr>
          <w:rFonts w:ascii="Abadi" w:hAnsi="Abadi" w:cs="Arial"/>
          <w:i/>
          <w:sz w:val="21"/>
          <w:szCs w:val="21"/>
          <w:lang w:val="es-MX" w:eastAsia="en-US"/>
        </w:rPr>
        <w:t>“Artículo 31. El Poder Ejecutivo Federal y los Gobiernos de las Entidades Federativas, en coordinación con el Consejo, promoverán que las instancias de administración e impartición de justicia, cuenten con la disponibilidad de los recursos para la comunicación, ayudas técnicas y humanas necesarias para la atención de las personas con discapacidad en sus respectivas jurisdicciones”</w:t>
      </w:r>
    </w:p>
    <w:p w14:paraId="5B9B88C5" w14:textId="77777777" w:rsidR="00E871CF" w:rsidRPr="00E871CF" w:rsidRDefault="00E871CF" w:rsidP="00E871CF">
      <w:pPr>
        <w:widowControl w:val="0"/>
        <w:ind w:left="851" w:right="851"/>
        <w:jc w:val="both"/>
        <w:rPr>
          <w:rFonts w:ascii="Abadi" w:hAnsi="Abadi" w:cs="Arial"/>
          <w:i/>
          <w:sz w:val="21"/>
          <w:szCs w:val="21"/>
          <w:lang w:val="es-MX" w:eastAsia="en-US"/>
        </w:rPr>
      </w:pPr>
    </w:p>
    <w:p w14:paraId="78DACFB8" w14:textId="77777777" w:rsidR="00E871CF" w:rsidRPr="00E871CF" w:rsidRDefault="00E871CF" w:rsidP="00E871CF">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Es decir, otorga el fundamento por el cual el Estado tiene la obligación de brindar recursos necesarios para generar la comunicación de las personas con discapacidad, mediante la utilización de recursos técnicos y humanos, mismos que son descritos en la fracción XVII que se desea anexar al numeral de la ley descrita por la presente iniciativa.</w:t>
      </w:r>
    </w:p>
    <w:p w14:paraId="7D5FC418" w14:textId="77777777" w:rsidR="00E871CF" w:rsidRPr="00E871CF" w:rsidRDefault="00E871CF" w:rsidP="00E871CF">
      <w:pPr>
        <w:widowControl w:val="0"/>
        <w:ind w:left="851" w:right="851"/>
        <w:jc w:val="both"/>
        <w:rPr>
          <w:rFonts w:ascii="Abadi" w:hAnsi="Abadi" w:cs="Arial"/>
          <w:i/>
          <w:sz w:val="21"/>
          <w:szCs w:val="21"/>
          <w:lang w:val="es-MX" w:eastAsia="en-US"/>
        </w:rPr>
      </w:pPr>
    </w:p>
    <w:p w14:paraId="5DF2CF78" w14:textId="77777777" w:rsidR="00E871CF" w:rsidRPr="00E871CF" w:rsidRDefault="00E871CF" w:rsidP="00E871CF">
      <w:pPr>
        <w:widowControl w:val="0"/>
        <w:ind w:left="1418" w:right="1418"/>
        <w:jc w:val="both"/>
        <w:rPr>
          <w:rFonts w:ascii="Abadi" w:hAnsi="Abadi" w:cs="Arial"/>
          <w:i/>
          <w:sz w:val="21"/>
          <w:szCs w:val="21"/>
          <w:lang w:val="es-MX" w:eastAsia="en-US"/>
        </w:rPr>
      </w:pPr>
      <w:r w:rsidRPr="00E871CF">
        <w:rPr>
          <w:rFonts w:ascii="Abadi" w:hAnsi="Abadi" w:cs="Arial"/>
          <w:i/>
          <w:sz w:val="21"/>
          <w:szCs w:val="21"/>
          <w:lang w:val="es-MX" w:eastAsia="en-US"/>
        </w:rPr>
        <w:t>XVII. Diseñar un sistema de difusión sobre los servicios públicos en materia de discapacidad a través de la utilización de comunicación y tecnologías apropiadas a los distintos tipos de discapacidad.</w:t>
      </w:r>
    </w:p>
    <w:p w14:paraId="470E0715" w14:textId="77777777" w:rsidR="00E871CF" w:rsidRPr="00E871CF" w:rsidRDefault="00E871CF" w:rsidP="00E871CF">
      <w:pPr>
        <w:widowControl w:val="0"/>
        <w:ind w:left="851" w:right="851"/>
        <w:jc w:val="both"/>
        <w:rPr>
          <w:rFonts w:ascii="Abadi" w:hAnsi="Abadi" w:cs="Arial"/>
          <w:i/>
          <w:sz w:val="21"/>
          <w:szCs w:val="21"/>
          <w:lang w:val="es-MX" w:eastAsia="en-US"/>
        </w:rPr>
      </w:pPr>
    </w:p>
    <w:p w14:paraId="00329E54" w14:textId="77777777" w:rsidR="00E871CF" w:rsidRPr="00E871CF" w:rsidRDefault="00E871CF" w:rsidP="00E871CF">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Más aún, el artículo 32 precisa de forma más detallada que dentro del derecho a la libertad de expresión, del cual se desprende el derecho a recibir y facilitar información, mediante cualquier forma de participación y establecen en las fracciones II y IV los formatos de comunicación que se han precisado en párrafos anteriores; amén de la implementación de tecnologías de la información y la comunicación para garantizar servicios de atención por organismos públicos dentro del Estado.</w:t>
      </w:r>
    </w:p>
    <w:p w14:paraId="30F0ACFF" w14:textId="77777777" w:rsidR="00E871CF" w:rsidRPr="00E871CF" w:rsidRDefault="00E871CF" w:rsidP="00E871CF">
      <w:pPr>
        <w:widowControl w:val="0"/>
        <w:ind w:left="851" w:right="851"/>
        <w:jc w:val="both"/>
        <w:rPr>
          <w:rFonts w:ascii="Abadi" w:hAnsi="Abadi" w:cs="Arial"/>
          <w:i/>
          <w:sz w:val="21"/>
          <w:szCs w:val="21"/>
          <w:lang w:val="es-MX" w:eastAsia="en-US"/>
        </w:rPr>
      </w:pPr>
    </w:p>
    <w:p w14:paraId="1C297A1F" w14:textId="77777777" w:rsidR="00E871CF" w:rsidRPr="00E871CF" w:rsidRDefault="00E871CF" w:rsidP="00E871CF">
      <w:pPr>
        <w:widowControl w:val="0"/>
        <w:ind w:left="1418" w:right="1418"/>
        <w:jc w:val="both"/>
        <w:rPr>
          <w:rFonts w:ascii="Abadi" w:hAnsi="Abadi" w:cs="Arial"/>
          <w:i/>
          <w:sz w:val="21"/>
          <w:szCs w:val="21"/>
          <w:lang w:val="es-MX" w:eastAsia="en-US"/>
        </w:rPr>
      </w:pPr>
      <w:r w:rsidRPr="00E871CF">
        <w:rPr>
          <w:rFonts w:ascii="Abadi" w:hAnsi="Abadi" w:cs="Arial"/>
          <w:i/>
          <w:sz w:val="21"/>
          <w:szCs w:val="21"/>
          <w:lang w:val="es-MX" w:eastAsia="en-US"/>
        </w:rPr>
        <w:t>“Artículo 32. Las personas con discapacidad tienen derecho a la libertad de expresión y opinión; incluida la libertad de recabar, recibir y facilitar información mediante cualquier forma de comunicación que les facilite una participación e integración en igualdad de condiciones que el resto de la población. Para tales efectos, las autoridades competentes establecerán entre otras, las siguientes medidas:</w:t>
      </w:r>
    </w:p>
    <w:p w14:paraId="7E3EC40F" w14:textId="77777777" w:rsidR="00E871CF" w:rsidRPr="00E871CF" w:rsidRDefault="00E871CF" w:rsidP="00E871CF">
      <w:pPr>
        <w:widowControl w:val="0"/>
        <w:ind w:left="1418" w:right="1418"/>
        <w:jc w:val="both"/>
        <w:rPr>
          <w:rFonts w:ascii="Abadi" w:hAnsi="Abadi" w:cs="Arial"/>
          <w:i/>
          <w:sz w:val="21"/>
          <w:szCs w:val="21"/>
          <w:lang w:val="es-MX" w:eastAsia="en-US"/>
        </w:rPr>
      </w:pPr>
    </w:p>
    <w:p w14:paraId="48F47A9F" w14:textId="77777777" w:rsidR="00E871CF" w:rsidRPr="00E871CF" w:rsidRDefault="00E871CF" w:rsidP="00E871CF">
      <w:pPr>
        <w:widowControl w:val="0"/>
        <w:ind w:left="1418" w:right="1418"/>
        <w:jc w:val="both"/>
        <w:rPr>
          <w:rFonts w:ascii="Abadi" w:hAnsi="Abadi" w:cs="Arial"/>
          <w:i/>
          <w:sz w:val="21"/>
          <w:szCs w:val="21"/>
          <w:lang w:val="es-MX" w:eastAsia="en-US"/>
        </w:rPr>
      </w:pPr>
      <w:r w:rsidRPr="00E871CF">
        <w:rPr>
          <w:rFonts w:ascii="Abadi" w:hAnsi="Abadi" w:cs="Arial"/>
          <w:i/>
          <w:sz w:val="21"/>
          <w:szCs w:val="21"/>
          <w:lang w:val="es-MX" w:eastAsia="en-US"/>
        </w:rPr>
        <w:t>II. Promover la utilización de la Lengua de Señas Mexicana, el Sistema Braille, y otros modos, medios y formatos de comunicación, así como el acceso a los nuevos sistemas y tecnologías de la información y las comunicaciones, incluido Internet;</w:t>
      </w:r>
    </w:p>
    <w:p w14:paraId="6610F34F" w14:textId="77777777" w:rsidR="00E871CF" w:rsidRPr="00E871CF" w:rsidRDefault="00E871CF" w:rsidP="00E871CF">
      <w:pPr>
        <w:widowControl w:val="0"/>
        <w:ind w:left="1418" w:right="1418"/>
        <w:jc w:val="both"/>
        <w:rPr>
          <w:rFonts w:ascii="Abadi" w:hAnsi="Abadi" w:cs="Arial"/>
          <w:i/>
          <w:sz w:val="21"/>
          <w:szCs w:val="21"/>
          <w:lang w:val="es-MX" w:eastAsia="en-US"/>
        </w:rPr>
      </w:pPr>
    </w:p>
    <w:p w14:paraId="33531DD4" w14:textId="77777777" w:rsidR="00E871CF" w:rsidRPr="00E871CF" w:rsidRDefault="00E871CF" w:rsidP="00E871CF">
      <w:pPr>
        <w:widowControl w:val="0"/>
        <w:ind w:left="1418" w:right="1418"/>
        <w:jc w:val="both"/>
        <w:rPr>
          <w:rFonts w:ascii="Abadi" w:hAnsi="Abadi" w:cs="Arial"/>
          <w:i/>
          <w:sz w:val="21"/>
          <w:szCs w:val="21"/>
          <w:lang w:val="es-MX" w:eastAsia="en-US"/>
        </w:rPr>
      </w:pPr>
      <w:r w:rsidRPr="00E871CF">
        <w:rPr>
          <w:rFonts w:ascii="Abadi" w:hAnsi="Abadi" w:cs="Arial"/>
          <w:i/>
          <w:sz w:val="21"/>
          <w:szCs w:val="21"/>
          <w:lang w:val="es-MX" w:eastAsia="en-US"/>
        </w:rPr>
        <w:t>IV. Los medios de comunicación y las instituciones del sector privado que prestan servicios y suministran información al público en general, la proporcionarán en formatos accesibles y de fácil comprensión a las personas con discapacidad”</w:t>
      </w:r>
    </w:p>
    <w:p w14:paraId="16AC18B9" w14:textId="77777777" w:rsidR="00E871CF" w:rsidRPr="00E871CF" w:rsidRDefault="00E871CF" w:rsidP="00E871CF">
      <w:pPr>
        <w:widowControl w:val="0"/>
        <w:ind w:left="851" w:right="851"/>
        <w:jc w:val="both"/>
        <w:rPr>
          <w:rFonts w:ascii="Abadi" w:hAnsi="Abadi" w:cs="Arial"/>
          <w:i/>
          <w:sz w:val="21"/>
          <w:szCs w:val="21"/>
          <w:lang w:val="es-MX" w:eastAsia="en-US"/>
        </w:rPr>
      </w:pPr>
    </w:p>
    <w:p w14:paraId="633D285A" w14:textId="77777777" w:rsidR="00E871CF" w:rsidRPr="00E871CF" w:rsidRDefault="00E871CF" w:rsidP="00E871CF">
      <w:pPr>
        <w:widowControl w:val="0"/>
        <w:ind w:left="851" w:right="851"/>
        <w:jc w:val="both"/>
        <w:rPr>
          <w:rFonts w:ascii="Abadi" w:hAnsi="Abadi" w:cs="Arial"/>
          <w:b/>
          <w:bCs/>
          <w:i/>
          <w:sz w:val="21"/>
          <w:szCs w:val="21"/>
          <w:lang w:val="es-MX" w:eastAsia="en-US"/>
        </w:rPr>
      </w:pPr>
      <w:r w:rsidRPr="00E871CF">
        <w:rPr>
          <w:rFonts w:ascii="Abadi" w:hAnsi="Abadi" w:cs="Arial"/>
          <w:b/>
          <w:bCs/>
          <w:i/>
          <w:sz w:val="21"/>
          <w:szCs w:val="21"/>
          <w:lang w:val="es-MX" w:eastAsia="en-US"/>
        </w:rPr>
        <w:t>c) Contenido de la iniciativa</w:t>
      </w:r>
    </w:p>
    <w:p w14:paraId="3C41F8E9" w14:textId="77777777" w:rsidR="00E871CF" w:rsidRPr="00E871CF" w:rsidRDefault="00E871CF" w:rsidP="00E871CF">
      <w:pPr>
        <w:widowControl w:val="0"/>
        <w:ind w:left="851" w:right="851"/>
        <w:jc w:val="both"/>
        <w:rPr>
          <w:rFonts w:ascii="Abadi" w:hAnsi="Abadi" w:cs="Arial"/>
          <w:i/>
          <w:sz w:val="21"/>
          <w:szCs w:val="21"/>
          <w:lang w:val="es-MX" w:eastAsia="en-US"/>
        </w:rPr>
      </w:pPr>
    </w:p>
    <w:p w14:paraId="49F6D1EB" w14:textId="77777777" w:rsidR="00E871CF" w:rsidRPr="00E871CF" w:rsidRDefault="00E871CF" w:rsidP="00E871CF">
      <w:pPr>
        <w:widowControl w:val="0"/>
        <w:ind w:left="1418" w:right="1418"/>
        <w:jc w:val="right"/>
        <w:rPr>
          <w:rFonts w:ascii="Abadi" w:hAnsi="Abadi" w:cs="Arial"/>
          <w:i/>
          <w:sz w:val="21"/>
          <w:szCs w:val="21"/>
          <w:lang w:val="es-MX" w:eastAsia="en-US"/>
        </w:rPr>
      </w:pPr>
      <w:r w:rsidRPr="00E871CF">
        <w:rPr>
          <w:rFonts w:ascii="Abadi" w:hAnsi="Abadi" w:cs="Arial"/>
          <w:i/>
          <w:sz w:val="21"/>
          <w:szCs w:val="21"/>
          <w:lang w:val="es-MX" w:eastAsia="en-US"/>
        </w:rPr>
        <w:t>Atribuciones del Ejecutivo del Estado y los municipios</w:t>
      </w:r>
    </w:p>
    <w:p w14:paraId="1CE004F5" w14:textId="77777777" w:rsidR="00E871CF" w:rsidRPr="00E871CF" w:rsidRDefault="00E871CF" w:rsidP="00E871CF">
      <w:pPr>
        <w:widowControl w:val="0"/>
        <w:ind w:left="1418" w:right="1418"/>
        <w:jc w:val="both"/>
        <w:rPr>
          <w:rFonts w:ascii="Abadi" w:hAnsi="Abadi" w:cs="Arial"/>
          <w:i/>
          <w:sz w:val="21"/>
          <w:szCs w:val="21"/>
          <w:lang w:val="es-MX" w:eastAsia="en-US"/>
        </w:rPr>
      </w:pPr>
      <w:r w:rsidRPr="00E871CF">
        <w:rPr>
          <w:rFonts w:ascii="Abadi" w:hAnsi="Abadi" w:cs="Arial"/>
          <w:i/>
          <w:sz w:val="21"/>
          <w:szCs w:val="21"/>
          <w:lang w:val="es-MX" w:eastAsia="en-US"/>
        </w:rPr>
        <w:t>Artículo 6. El Ejecutivo del Estado y los municipios para garantizar la inclusión de las personas con discapacidad, contarán con las siguientes atribuciones:</w:t>
      </w:r>
    </w:p>
    <w:p w14:paraId="592AE3A6" w14:textId="77777777" w:rsidR="00E871CF" w:rsidRPr="00E871CF" w:rsidRDefault="00E871CF" w:rsidP="00E871CF">
      <w:pPr>
        <w:widowControl w:val="0"/>
        <w:ind w:left="1418" w:right="1418"/>
        <w:jc w:val="both"/>
        <w:rPr>
          <w:rFonts w:ascii="Abadi" w:hAnsi="Abadi" w:cs="Arial"/>
          <w:i/>
          <w:sz w:val="21"/>
          <w:szCs w:val="21"/>
          <w:lang w:val="es-MX" w:eastAsia="en-US"/>
        </w:rPr>
      </w:pPr>
      <w:r w:rsidRPr="00E871CF">
        <w:rPr>
          <w:rFonts w:ascii="Abadi" w:hAnsi="Abadi" w:cs="Arial"/>
          <w:i/>
          <w:sz w:val="21"/>
          <w:szCs w:val="21"/>
          <w:lang w:val="es-MX" w:eastAsia="en-US"/>
        </w:rPr>
        <w:t>I-XV …</w:t>
      </w:r>
    </w:p>
    <w:p w14:paraId="5D6C3D6E" w14:textId="77777777" w:rsidR="00E871CF" w:rsidRPr="00E871CF" w:rsidRDefault="00E871CF" w:rsidP="00E871CF">
      <w:pPr>
        <w:widowControl w:val="0"/>
        <w:ind w:left="1418" w:right="1418"/>
        <w:jc w:val="both"/>
        <w:rPr>
          <w:rFonts w:ascii="Abadi" w:hAnsi="Abadi" w:cs="Arial"/>
          <w:i/>
          <w:sz w:val="21"/>
          <w:szCs w:val="21"/>
          <w:u w:val="single"/>
          <w:lang w:val="es-MX" w:eastAsia="en-US"/>
        </w:rPr>
      </w:pPr>
      <w:r w:rsidRPr="00E871CF">
        <w:rPr>
          <w:rFonts w:ascii="Abadi" w:hAnsi="Abadi" w:cs="Arial"/>
          <w:i/>
          <w:sz w:val="21"/>
          <w:szCs w:val="21"/>
          <w:u w:val="single"/>
          <w:lang w:val="es-MX" w:eastAsia="en-US"/>
        </w:rPr>
        <w:t>XVI. Impulsar el uso de formatos y tecnologías que faciliten el acceso a trámites y servicios de las personas con discapacidad.</w:t>
      </w:r>
    </w:p>
    <w:p w14:paraId="1C7D94E8" w14:textId="77777777" w:rsidR="00E871CF" w:rsidRPr="00E871CF" w:rsidRDefault="00E871CF" w:rsidP="00E871CF">
      <w:pPr>
        <w:widowControl w:val="0"/>
        <w:ind w:left="1418" w:right="1418"/>
        <w:jc w:val="both"/>
        <w:rPr>
          <w:rFonts w:ascii="Abadi" w:hAnsi="Abadi" w:cs="Arial"/>
          <w:i/>
          <w:sz w:val="21"/>
          <w:szCs w:val="21"/>
          <w:u w:val="single"/>
          <w:lang w:val="es-MX" w:eastAsia="en-US"/>
        </w:rPr>
      </w:pPr>
      <w:r w:rsidRPr="00E871CF">
        <w:rPr>
          <w:rFonts w:ascii="Abadi" w:hAnsi="Abadi" w:cs="Arial"/>
          <w:i/>
          <w:sz w:val="21"/>
          <w:szCs w:val="21"/>
          <w:u w:val="single"/>
          <w:lang w:val="es-MX" w:eastAsia="en-US"/>
        </w:rPr>
        <w:t>XVII. Diseñar un sistema de difusión sobre los servicios públicos en materia de discapacidad a través de la utilización de comunicación y tecnologías apropiadas a los distintos tipos de discapacidad.</w:t>
      </w:r>
    </w:p>
    <w:p w14:paraId="18C649FF" w14:textId="77777777" w:rsidR="00E871CF" w:rsidRPr="00E871CF" w:rsidRDefault="00E871CF" w:rsidP="00E871CF">
      <w:pPr>
        <w:widowControl w:val="0"/>
        <w:ind w:left="851" w:right="851"/>
        <w:jc w:val="both"/>
        <w:rPr>
          <w:rFonts w:ascii="Abadi" w:hAnsi="Abadi" w:cs="Arial"/>
          <w:i/>
          <w:sz w:val="21"/>
          <w:szCs w:val="21"/>
          <w:lang w:val="es-MX" w:eastAsia="en-US"/>
        </w:rPr>
      </w:pPr>
    </w:p>
    <w:p w14:paraId="0A117A95" w14:textId="77777777" w:rsidR="00E871CF" w:rsidRPr="00E871CF" w:rsidRDefault="00E871CF" w:rsidP="00E871CF">
      <w:pPr>
        <w:widowControl w:val="0"/>
        <w:ind w:left="851" w:right="851"/>
        <w:jc w:val="both"/>
        <w:rPr>
          <w:rFonts w:ascii="Abadi" w:hAnsi="Abadi" w:cs="Arial"/>
          <w:b/>
          <w:bCs/>
          <w:i/>
          <w:sz w:val="21"/>
          <w:szCs w:val="21"/>
          <w:lang w:val="es-MX" w:eastAsia="en-US"/>
        </w:rPr>
      </w:pPr>
      <w:r w:rsidRPr="00E871CF">
        <w:rPr>
          <w:rFonts w:ascii="Abadi" w:hAnsi="Abadi" w:cs="Arial"/>
          <w:b/>
          <w:bCs/>
          <w:i/>
          <w:sz w:val="21"/>
          <w:szCs w:val="21"/>
          <w:lang w:val="es-MX" w:eastAsia="en-US"/>
        </w:rPr>
        <w:t>d) Análisis de fondo:</w:t>
      </w:r>
    </w:p>
    <w:p w14:paraId="5B98496B" w14:textId="77777777" w:rsidR="00E871CF" w:rsidRPr="00E871CF" w:rsidRDefault="00E871CF" w:rsidP="00E871CF">
      <w:pPr>
        <w:widowControl w:val="0"/>
        <w:ind w:left="851" w:right="851"/>
        <w:jc w:val="both"/>
        <w:rPr>
          <w:rFonts w:ascii="Abadi" w:hAnsi="Abadi" w:cs="Arial"/>
          <w:i/>
          <w:sz w:val="21"/>
          <w:szCs w:val="21"/>
          <w:lang w:val="es-MX" w:eastAsia="en-US"/>
        </w:rPr>
      </w:pPr>
    </w:p>
    <w:p w14:paraId="7C457CE9" w14:textId="77777777" w:rsidR="00E871CF" w:rsidRPr="00E871CF" w:rsidRDefault="00E871CF" w:rsidP="00E871CF">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Del análisis del artículo 6 de la Ley de Inclusión para las Personas con Discapacidad en el Estado de Guanajuato, se advierte que no existe dentro de sus fracciones una que aborde de forma suficiente la Accesibilidad en las comunicaciones y las informaciones públicas, derivado de lo cual se advierte que esta Iniciativa guarda una intención loable para el fortalecimiento y armonización de las obligaciones legales en favor de personas con discapacidad.</w:t>
      </w:r>
    </w:p>
    <w:p w14:paraId="10D5FE31" w14:textId="77777777" w:rsidR="00E871CF" w:rsidRPr="00E871CF" w:rsidRDefault="00E871CF" w:rsidP="00E871CF">
      <w:pPr>
        <w:widowControl w:val="0"/>
        <w:ind w:left="851" w:right="851"/>
        <w:jc w:val="both"/>
        <w:rPr>
          <w:rFonts w:ascii="Abadi" w:hAnsi="Abadi" w:cs="Arial"/>
          <w:i/>
          <w:sz w:val="21"/>
          <w:szCs w:val="21"/>
          <w:lang w:val="es-MX" w:eastAsia="en-US"/>
        </w:rPr>
      </w:pPr>
    </w:p>
    <w:p w14:paraId="7C8567E7" w14:textId="77777777" w:rsidR="00E871CF" w:rsidRPr="00E871CF" w:rsidRDefault="00E871CF" w:rsidP="00E871CF">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En efecto, de conformidad con la Convención sobre los Derechos de Personas con Discapacidad se precisa que la accesibilidad es un derecho reconocido en su artículo 9, derivado de lo cual este representa una obligación para el Estado frente a estas personas; ahora bien, encontramos que este derecho es amplio e incluye accesibilidad sobre la información y las comunicaciones, incluidos los sistemas y las tecnologías de la información y las comunicaciones.</w:t>
      </w:r>
    </w:p>
    <w:p w14:paraId="24EFFB69" w14:textId="77777777" w:rsidR="00E871CF" w:rsidRPr="00E871CF" w:rsidRDefault="00E871CF" w:rsidP="00E871CF">
      <w:pPr>
        <w:widowControl w:val="0"/>
        <w:ind w:left="851" w:right="851"/>
        <w:jc w:val="both"/>
        <w:rPr>
          <w:rFonts w:ascii="Abadi" w:hAnsi="Abadi" w:cs="Arial"/>
          <w:i/>
          <w:sz w:val="21"/>
          <w:szCs w:val="21"/>
          <w:lang w:val="es-MX" w:eastAsia="en-US"/>
        </w:rPr>
      </w:pPr>
    </w:p>
    <w:p w14:paraId="258CB39A" w14:textId="77777777" w:rsidR="00E871CF" w:rsidRPr="00E871CF" w:rsidRDefault="00E871CF" w:rsidP="00E871CF">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De tal suerte, se analiza que la fracción XVI propuesta indica que será atribución del ejecutivo y los Municipios el impulsar el uso de formatos y tecnologías que faciliten el acceso a trámites y servicios de las personas con discapacidad.</w:t>
      </w:r>
    </w:p>
    <w:p w14:paraId="21D2E739" w14:textId="77777777" w:rsidR="00E871CF" w:rsidRPr="00E871CF" w:rsidRDefault="00E871CF" w:rsidP="00E871CF">
      <w:pPr>
        <w:widowControl w:val="0"/>
        <w:ind w:left="851" w:right="851"/>
        <w:jc w:val="both"/>
        <w:rPr>
          <w:rFonts w:ascii="Abadi" w:hAnsi="Abadi" w:cs="Arial"/>
          <w:i/>
          <w:sz w:val="21"/>
          <w:szCs w:val="21"/>
          <w:lang w:val="es-MX" w:eastAsia="en-US"/>
        </w:rPr>
      </w:pPr>
    </w:p>
    <w:p w14:paraId="32FD4C1A" w14:textId="77777777" w:rsidR="00E871CF" w:rsidRPr="00E871CF" w:rsidRDefault="00E871CF" w:rsidP="00E871CF">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Al respecto, a forma de reflexión se observa que el texto de la iniciativa señala el acceso a la información será para conocer los trámites y servicios de las personas con discapacidad, sobre lo cual se pone a consideración de ese H. Congreso una redacción más amplia de conformidad con lo señalado en la Convención sobre los Derechos de las Personas con Discapacidad, en el sentido de acceder a las informaciones y comunicaciones de las dependencias en igualdad de condiciones que las demás personas.</w:t>
      </w:r>
    </w:p>
    <w:p w14:paraId="3A5D457B" w14:textId="77777777" w:rsidR="00E871CF" w:rsidRPr="00E871CF" w:rsidRDefault="00E871CF" w:rsidP="00E871CF">
      <w:pPr>
        <w:widowControl w:val="0"/>
        <w:ind w:left="851" w:right="851"/>
        <w:jc w:val="both"/>
        <w:rPr>
          <w:rFonts w:ascii="Abadi" w:hAnsi="Abadi" w:cs="Arial"/>
          <w:i/>
          <w:sz w:val="21"/>
          <w:szCs w:val="21"/>
          <w:lang w:val="es-MX" w:eastAsia="en-US"/>
        </w:rPr>
      </w:pPr>
    </w:p>
    <w:p w14:paraId="273F56D4" w14:textId="77777777" w:rsidR="00E871CF" w:rsidRPr="00E871CF" w:rsidRDefault="00E871CF" w:rsidP="00E871CF">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Con lo anterior, se considera que no solamente se aseguraría el acceso a la información sino el entablar una comunicación con la autoridad para el desahogo de cualquier asunto de forma incluyente.</w:t>
      </w:r>
    </w:p>
    <w:p w14:paraId="43F2C002" w14:textId="77777777" w:rsidR="00E871CF" w:rsidRPr="00E871CF" w:rsidRDefault="00E871CF" w:rsidP="00E871CF">
      <w:pPr>
        <w:widowControl w:val="0"/>
        <w:ind w:left="851" w:right="851"/>
        <w:jc w:val="both"/>
        <w:rPr>
          <w:rFonts w:ascii="Abadi" w:hAnsi="Abadi" w:cs="Arial"/>
          <w:i/>
          <w:sz w:val="21"/>
          <w:szCs w:val="21"/>
          <w:lang w:val="es-MX" w:eastAsia="en-US"/>
        </w:rPr>
      </w:pPr>
    </w:p>
    <w:p w14:paraId="52BCE105" w14:textId="77777777" w:rsidR="00E871CF" w:rsidRPr="00E871CF" w:rsidRDefault="00E871CF" w:rsidP="00E871CF">
      <w:pPr>
        <w:widowControl w:val="0"/>
        <w:ind w:left="851" w:right="851"/>
        <w:jc w:val="both"/>
        <w:rPr>
          <w:rFonts w:ascii="Abadi" w:hAnsi="Abadi" w:cs="Arial"/>
          <w:i/>
          <w:sz w:val="21"/>
          <w:szCs w:val="21"/>
          <w:lang w:val="es-MX" w:eastAsia="en-US"/>
        </w:rPr>
      </w:pPr>
    </w:p>
    <w:p w14:paraId="331163EB" w14:textId="77777777" w:rsidR="00E871CF" w:rsidRPr="00E871CF" w:rsidRDefault="00E871CF" w:rsidP="00E871CF">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Al respecto, se cita de referencia el artículo2 fracción V de la Ley General para la Inclusión de las Personas con Discapacidad, que señala:</w:t>
      </w:r>
    </w:p>
    <w:p w14:paraId="3D3305D0" w14:textId="77777777" w:rsidR="00E871CF" w:rsidRPr="00E871CF" w:rsidRDefault="00E871CF" w:rsidP="00E871CF">
      <w:pPr>
        <w:widowControl w:val="0"/>
        <w:ind w:left="851" w:right="851"/>
        <w:jc w:val="both"/>
        <w:rPr>
          <w:rFonts w:ascii="Abadi" w:hAnsi="Abadi" w:cs="Arial"/>
          <w:i/>
          <w:sz w:val="21"/>
          <w:szCs w:val="21"/>
          <w:lang w:val="es-MX" w:eastAsia="en-US"/>
        </w:rPr>
      </w:pPr>
    </w:p>
    <w:p w14:paraId="6972D56D" w14:textId="77777777" w:rsidR="00E871CF" w:rsidRPr="00E871CF" w:rsidRDefault="00E871CF" w:rsidP="00E871CF">
      <w:pPr>
        <w:widowControl w:val="0"/>
        <w:ind w:left="1418" w:right="1418"/>
        <w:jc w:val="both"/>
        <w:rPr>
          <w:rFonts w:ascii="Abadi" w:hAnsi="Abadi" w:cs="Arial"/>
          <w:i/>
          <w:sz w:val="21"/>
          <w:szCs w:val="21"/>
          <w:lang w:val="es-MX" w:eastAsia="en-US"/>
        </w:rPr>
      </w:pPr>
      <w:r w:rsidRPr="00E871CF">
        <w:rPr>
          <w:rFonts w:ascii="Abadi" w:hAnsi="Abadi" w:cs="Arial"/>
          <w:i/>
          <w:sz w:val="21"/>
          <w:szCs w:val="21"/>
          <w:lang w:val="es-MX" w:eastAsia="en-US"/>
        </w:rPr>
        <w:t>Artículo 2. Para los efectos de esta Ley se entenderá por:</w:t>
      </w:r>
    </w:p>
    <w:p w14:paraId="7572A0C5" w14:textId="77777777" w:rsidR="00E871CF" w:rsidRPr="00E871CF" w:rsidRDefault="00E871CF" w:rsidP="00E871CF">
      <w:pPr>
        <w:widowControl w:val="0"/>
        <w:ind w:left="1418" w:right="1418"/>
        <w:jc w:val="both"/>
        <w:rPr>
          <w:rFonts w:ascii="Abadi" w:hAnsi="Abadi" w:cs="Arial"/>
          <w:i/>
          <w:sz w:val="21"/>
          <w:szCs w:val="21"/>
          <w:lang w:val="es-MX" w:eastAsia="en-US"/>
        </w:rPr>
      </w:pPr>
    </w:p>
    <w:p w14:paraId="498E8E2B" w14:textId="77777777" w:rsidR="00E871CF" w:rsidRPr="00E871CF" w:rsidRDefault="00E871CF" w:rsidP="00E871CF">
      <w:pPr>
        <w:widowControl w:val="0"/>
        <w:ind w:left="1418" w:right="1418"/>
        <w:jc w:val="both"/>
        <w:rPr>
          <w:rFonts w:ascii="Abadi" w:hAnsi="Abadi" w:cs="Arial"/>
          <w:i/>
          <w:sz w:val="21"/>
          <w:szCs w:val="21"/>
          <w:lang w:val="es-MX" w:eastAsia="en-US"/>
        </w:rPr>
      </w:pPr>
      <w:r w:rsidRPr="00E871CF">
        <w:rPr>
          <w:rFonts w:ascii="Abadi" w:hAnsi="Abadi" w:cs="Arial"/>
          <w:i/>
          <w:sz w:val="21"/>
          <w:szCs w:val="21"/>
          <w:lang w:val="es-MX" w:eastAsia="en-US"/>
        </w:rPr>
        <w:t>[…]</w:t>
      </w:r>
    </w:p>
    <w:p w14:paraId="7CF0D0F9" w14:textId="77777777" w:rsidR="00E871CF" w:rsidRPr="00E871CF" w:rsidRDefault="00E871CF" w:rsidP="00E871CF">
      <w:pPr>
        <w:widowControl w:val="0"/>
        <w:ind w:left="1418" w:right="1418"/>
        <w:jc w:val="both"/>
        <w:rPr>
          <w:rFonts w:ascii="Abadi" w:hAnsi="Abadi" w:cs="Arial"/>
          <w:i/>
          <w:sz w:val="21"/>
          <w:szCs w:val="21"/>
          <w:lang w:val="es-MX" w:eastAsia="en-US"/>
        </w:rPr>
      </w:pPr>
    </w:p>
    <w:p w14:paraId="3D8DD9FE" w14:textId="77777777" w:rsidR="00E871CF" w:rsidRPr="00E871CF" w:rsidRDefault="00E871CF" w:rsidP="00E871CF">
      <w:pPr>
        <w:widowControl w:val="0"/>
        <w:ind w:left="1418" w:right="1418"/>
        <w:jc w:val="both"/>
        <w:rPr>
          <w:rFonts w:ascii="Abadi" w:hAnsi="Abadi" w:cs="Arial"/>
          <w:i/>
          <w:sz w:val="21"/>
          <w:szCs w:val="21"/>
          <w:lang w:val="es-MX" w:eastAsia="en-US"/>
        </w:rPr>
      </w:pPr>
      <w:r w:rsidRPr="00E871CF">
        <w:rPr>
          <w:rFonts w:ascii="Abadi" w:hAnsi="Abadi" w:cs="Arial"/>
          <w:i/>
          <w:sz w:val="21"/>
          <w:szCs w:val="21"/>
          <w:lang w:val="es-MX" w:eastAsia="en-US"/>
        </w:rPr>
        <w:t>V. Comunicación. Se entenderá el lenguaje escrito, oral y la lengua de señas mexicana, la visualización de textos, sistema Braille, la comunicación táctil, los macro-tipos, los dispositivos multimedia escritos o auditivos de fácil acceso, el lenguaje sencillo, los medios de voz digitalizada y otros modos, medios, sistemas y formatos aumentativos o alternativos de comunicación, incluida la tecnología de la información y las comunicaciones de fácil acceso;</w:t>
      </w:r>
    </w:p>
    <w:p w14:paraId="05F0B0BB" w14:textId="77777777" w:rsidR="00E871CF" w:rsidRPr="00E871CF" w:rsidRDefault="00E871CF" w:rsidP="00E871CF">
      <w:pPr>
        <w:widowControl w:val="0"/>
        <w:ind w:left="851" w:right="851"/>
        <w:jc w:val="both"/>
        <w:rPr>
          <w:rFonts w:ascii="Abadi" w:hAnsi="Abadi" w:cs="Arial"/>
          <w:i/>
          <w:sz w:val="21"/>
          <w:szCs w:val="21"/>
          <w:lang w:val="es-MX" w:eastAsia="en-US"/>
        </w:rPr>
      </w:pPr>
    </w:p>
    <w:p w14:paraId="7DB8A609" w14:textId="77777777" w:rsidR="00E871CF" w:rsidRPr="00E871CF" w:rsidRDefault="00E871CF" w:rsidP="00E871CF">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De la misma manera, en relación a la propuesta del texto propuesto con la fracción XVII, se pone a Consideración la posibilidad de añadir a la redacción de la misma lo relativo a poner en funcionamiento el sistema referido, ello de forma que la obligación no se agote solamente con su diseño:</w:t>
      </w:r>
    </w:p>
    <w:p w14:paraId="2FC698A3" w14:textId="77777777" w:rsidR="00E871CF" w:rsidRPr="00E871CF" w:rsidRDefault="00E871CF" w:rsidP="00E871CF">
      <w:pPr>
        <w:widowControl w:val="0"/>
        <w:ind w:left="851" w:right="851"/>
        <w:jc w:val="both"/>
        <w:rPr>
          <w:rFonts w:ascii="Abadi" w:hAnsi="Abadi" w:cs="Arial"/>
          <w:i/>
          <w:sz w:val="21"/>
          <w:szCs w:val="21"/>
          <w:lang w:val="es-MX" w:eastAsia="en-US"/>
        </w:rPr>
      </w:pPr>
    </w:p>
    <w:p w14:paraId="70DA784F" w14:textId="77777777" w:rsidR="00E871CF" w:rsidRPr="00E871CF" w:rsidRDefault="00E871CF" w:rsidP="00E871CF">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Finalmente, de conformidad con el artículo 4 fracción 3 de la Convención sobre Derechos de Personas con Discapacidad, los Estados se comprometen a:</w:t>
      </w:r>
    </w:p>
    <w:p w14:paraId="08465967" w14:textId="77777777" w:rsidR="00E871CF" w:rsidRPr="00E871CF" w:rsidRDefault="00E871CF" w:rsidP="00E871CF">
      <w:pPr>
        <w:widowControl w:val="0"/>
        <w:ind w:left="851" w:right="851"/>
        <w:jc w:val="both"/>
        <w:rPr>
          <w:rFonts w:ascii="Abadi" w:hAnsi="Abadi" w:cs="Arial"/>
          <w:i/>
          <w:sz w:val="21"/>
          <w:szCs w:val="21"/>
          <w:lang w:val="es-MX" w:eastAsia="en-US"/>
        </w:rPr>
      </w:pPr>
    </w:p>
    <w:p w14:paraId="0DE06AB6" w14:textId="77777777" w:rsidR="00E871CF" w:rsidRPr="00E871CF" w:rsidRDefault="00E871CF" w:rsidP="00E871CF">
      <w:pPr>
        <w:widowControl w:val="0"/>
        <w:ind w:left="1418" w:right="1418"/>
        <w:jc w:val="both"/>
        <w:rPr>
          <w:rFonts w:ascii="Abadi" w:hAnsi="Abadi" w:cs="Arial"/>
          <w:i/>
          <w:sz w:val="21"/>
          <w:szCs w:val="21"/>
          <w:lang w:val="es-MX" w:eastAsia="en-US"/>
        </w:rPr>
      </w:pPr>
      <w:r w:rsidRPr="00E871CF">
        <w:rPr>
          <w:rFonts w:ascii="Abadi" w:hAnsi="Abadi" w:cs="Arial"/>
          <w:i/>
          <w:sz w:val="21"/>
          <w:szCs w:val="21"/>
          <w:lang w:val="es-MX" w:eastAsia="en-US"/>
        </w:rPr>
        <w:t>En la elaboración y aplicación de legislación y políticas para hacer efectiva la presente Convención, y en otros procesos de adopción de decisiones sobre cuestiones relacionadas con las personas con discapacidad, los Estados Partes celebrarán consultas estrechas y colaborarán activamente con las personas con discapacidad, incluidos los niños y las niñas con discapacidad, a través de las organizaciones que las representan.</w:t>
      </w:r>
    </w:p>
    <w:p w14:paraId="756A749F" w14:textId="77777777" w:rsidR="00E871CF" w:rsidRPr="00E871CF" w:rsidRDefault="00E871CF" w:rsidP="00E871CF">
      <w:pPr>
        <w:widowControl w:val="0"/>
        <w:ind w:left="851" w:right="851"/>
        <w:jc w:val="both"/>
        <w:rPr>
          <w:rFonts w:ascii="Abadi" w:hAnsi="Abadi" w:cs="Arial"/>
          <w:i/>
          <w:sz w:val="21"/>
          <w:szCs w:val="21"/>
          <w:lang w:val="es-MX" w:eastAsia="en-US"/>
        </w:rPr>
      </w:pPr>
    </w:p>
    <w:p w14:paraId="1008F3EC" w14:textId="77777777" w:rsidR="00E871CF" w:rsidRPr="00E871CF" w:rsidRDefault="00E871CF" w:rsidP="00E871CF">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Por lo anterior, se advierte que existe una obligación por parte del Estado para tomar en cuenta la opinión de las personas con discapacidad y celebrar consultas estrechas de colaboración a través de las organizaciones que los representan. En este tenor, se parte de la noción de que esta obligación se actualiza en la adopción de medidas legislativas como podría suceder a partir de la presente iniciativa.</w:t>
      </w:r>
    </w:p>
    <w:p w14:paraId="42825776" w14:textId="77777777" w:rsidR="00E871CF" w:rsidRPr="00E871CF" w:rsidRDefault="00E871CF" w:rsidP="00E871CF">
      <w:pPr>
        <w:widowControl w:val="0"/>
        <w:spacing w:line="360" w:lineRule="auto"/>
        <w:jc w:val="both"/>
        <w:rPr>
          <w:rFonts w:ascii="Abadi" w:hAnsi="Abadi"/>
          <w:sz w:val="21"/>
          <w:szCs w:val="21"/>
          <w:lang w:val="es-MX" w:eastAsia="en-US"/>
        </w:rPr>
      </w:pPr>
    </w:p>
    <w:p w14:paraId="1D622296" w14:textId="77777777" w:rsidR="00E871CF" w:rsidRPr="00E871CF" w:rsidRDefault="00E871CF" w:rsidP="00E871CF">
      <w:pPr>
        <w:widowControl w:val="0"/>
        <w:spacing w:line="360" w:lineRule="auto"/>
        <w:ind w:firstLine="851"/>
        <w:jc w:val="both"/>
        <w:rPr>
          <w:rFonts w:ascii="Abadi" w:hAnsi="Abadi"/>
          <w:sz w:val="21"/>
          <w:szCs w:val="21"/>
          <w:lang w:val="es-MX" w:eastAsia="en-US"/>
        </w:rPr>
      </w:pPr>
      <w:r w:rsidRPr="00E871CF">
        <w:rPr>
          <w:rFonts w:ascii="Abadi" w:hAnsi="Abadi"/>
          <w:sz w:val="21"/>
          <w:szCs w:val="21"/>
          <w:lang w:val="es-MX" w:eastAsia="en-US"/>
        </w:rPr>
        <w:t>En la opinión remitida por el Instituto de Investigaciones Legislativas, se concluye que:</w:t>
      </w:r>
    </w:p>
    <w:p w14:paraId="58D58A5D" w14:textId="77777777" w:rsidR="00E871CF" w:rsidRPr="00E871CF" w:rsidRDefault="00E871CF" w:rsidP="00E871CF">
      <w:pPr>
        <w:widowControl w:val="0"/>
        <w:spacing w:line="360" w:lineRule="auto"/>
        <w:jc w:val="both"/>
        <w:rPr>
          <w:rFonts w:ascii="Abadi" w:hAnsi="Abadi"/>
          <w:sz w:val="21"/>
          <w:szCs w:val="21"/>
          <w:lang w:val="es-MX" w:eastAsia="en-US"/>
        </w:rPr>
      </w:pPr>
    </w:p>
    <w:p w14:paraId="132A02A1" w14:textId="77777777" w:rsidR="00E871CF" w:rsidRPr="00E871CF" w:rsidRDefault="00E871CF" w:rsidP="00E871CF">
      <w:pPr>
        <w:widowControl w:val="0"/>
        <w:ind w:left="851" w:right="851"/>
        <w:jc w:val="both"/>
        <w:rPr>
          <w:rFonts w:ascii="Abadi" w:hAnsi="Abadi" w:cs="Arial"/>
          <w:b/>
          <w:bCs/>
          <w:i/>
          <w:sz w:val="21"/>
          <w:szCs w:val="21"/>
          <w:lang w:val="es-MX" w:eastAsia="en-US"/>
        </w:rPr>
      </w:pPr>
      <w:r w:rsidRPr="00E871CF">
        <w:rPr>
          <w:rFonts w:ascii="Abadi" w:hAnsi="Abadi" w:cs="Arial"/>
          <w:b/>
          <w:bCs/>
          <w:i/>
          <w:sz w:val="21"/>
          <w:szCs w:val="21"/>
          <w:lang w:val="es-MX" w:eastAsia="en-US"/>
        </w:rPr>
        <w:t>e) Conclusiones</w:t>
      </w:r>
    </w:p>
    <w:p w14:paraId="4DB3A318" w14:textId="77777777" w:rsidR="00E871CF" w:rsidRPr="00E871CF" w:rsidRDefault="00E871CF" w:rsidP="00E871CF">
      <w:pPr>
        <w:widowControl w:val="0"/>
        <w:ind w:left="851" w:right="851"/>
        <w:jc w:val="both"/>
        <w:rPr>
          <w:rFonts w:ascii="Abadi" w:hAnsi="Abadi" w:cs="Arial"/>
          <w:i/>
          <w:sz w:val="21"/>
          <w:szCs w:val="21"/>
          <w:lang w:val="es-MX" w:eastAsia="en-US"/>
        </w:rPr>
      </w:pPr>
    </w:p>
    <w:p w14:paraId="7F84A9EE" w14:textId="77777777" w:rsidR="00E871CF" w:rsidRPr="00E871CF" w:rsidRDefault="00E871CF" w:rsidP="00E871CF">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De los datos contenidos en la tabla anterior sobre la legislación en la materia, correspondientes a cada una de las entidades federativas, se destacan el siguiente análisis:</w:t>
      </w:r>
    </w:p>
    <w:p w14:paraId="1F7803FA" w14:textId="77777777" w:rsidR="00E871CF" w:rsidRPr="00E871CF" w:rsidRDefault="00E871CF" w:rsidP="00E871CF">
      <w:pPr>
        <w:widowControl w:val="0"/>
        <w:ind w:left="851" w:right="851"/>
        <w:jc w:val="both"/>
        <w:rPr>
          <w:rFonts w:ascii="Abadi" w:hAnsi="Abadi" w:cs="Arial"/>
          <w:i/>
          <w:sz w:val="21"/>
          <w:szCs w:val="21"/>
          <w:lang w:val="es-MX" w:eastAsia="en-US"/>
        </w:rPr>
      </w:pPr>
    </w:p>
    <w:p w14:paraId="5A3D52AE" w14:textId="77777777" w:rsidR="00E871CF" w:rsidRPr="00E871CF" w:rsidRDefault="00E871CF" w:rsidP="00E871CF">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1. En todas las entidades federativas se ha legislado en torno a los derechos de las personas con discapacidad, así mismo se establece también competencias y atribuciones de las instituciones públicas y privadas.</w:t>
      </w:r>
    </w:p>
    <w:p w14:paraId="7D99B446" w14:textId="77777777" w:rsidR="00E871CF" w:rsidRPr="00E871CF" w:rsidRDefault="00E871CF" w:rsidP="00E871CF">
      <w:pPr>
        <w:widowControl w:val="0"/>
        <w:ind w:left="851" w:right="851"/>
        <w:jc w:val="both"/>
        <w:rPr>
          <w:rFonts w:ascii="Abadi" w:hAnsi="Abadi" w:cs="Arial"/>
          <w:i/>
          <w:sz w:val="21"/>
          <w:szCs w:val="21"/>
          <w:lang w:val="es-MX" w:eastAsia="en-US"/>
        </w:rPr>
      </w:pPr>
    </w:p>
    <w:p w14:paraId="0CA5E42F" w14:textId="77777777" w:rsidR="00E871CF" w:rsidRPr="00E871CF" w:rsidRDefault="00E871CF" w:rsidP="00E871CF">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En el Estado de Guanajuato se ha seguido esta misma línea legislativa con la Ley de Inclusión para las Personas con Discapacidad, por lo tanto, se ha cumplido con lo dispuesto por los instrumentos internacionales y nacionales en torno a legislar en pro de los derechos de las personas con discapacidad.</w:t>
      </w:r>
    </w:p>
    <w:p w14:paraId="532F9133" w14:textId="77777777" w:rsidR="00E871CF" w:rsidRPr="00E871CF" w:rsidRDefault="00E871CF" w:rsidP="00E871CF">
      <w:pPr>
        <w:widowControl w:val="0"/>
        <w:ind w:left="851" w:right="851"/>
        <w:jc w:val="both"/>
        <w:rPr>
          <w:rFonts w:ascii="Abadi" w:hAnsi="Abadi" w:cs="Arial"/>
          <w:i/>
          <w:sz w:val="21"/>
          <w:szCs w:val="21"/>
          <w:lang w:val="es-MX" w:eastAsia="en-US"/>
        </w:rPr>
      </w:pPr>
    </w:p>
    <w:p w14:paraId="62E23F38" w14:textId="77777777" w:rsidR="00E871CF" w:rsidRPr="00E871CF" w:rsidRDefault="00E871CF" w:rsidP="00E871CF">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2. En cuanto al contenido que integra cada una de las leyes estatales en torno a los derechos de las personas con discapacidad, se tiene que existe coincidencia en cuanto a los derechos, atribuciones y creaciones de organismos públicos para fomentar los derechos de igualdad en las personas con discapacidad.</w:t>
      </w:r>
    </w:p>
    <w:p w14:paraId="1CA0448D" w14:textId="77777777" w:rsidR="00E871CF" w:rsidRPr="00E871CF" w:rsidRDefault="00E871CF" w:rsidP="00E871CF">
      <w:pPr>
        <w:widowControl w:val="0"/>
        <w:ind w:left="851" w:right="851"/>
        <w:jc w:val="both"/>
        <w:rPr>
          <w:rFonts w:ascii="Abadi" w:hAnsi="Abadi" w:cs="Arial"/>
          <w:i/>
          <w:sz w:val="21"/>
          <w:szCs w:val="21"/>
          <w:lang w:val="es-MX" w:eastAsia="en-US"/>
        </w:rPr>
      </w:pPr>
    </w:p>
    <w:p w14:paraId="4B729CB4" w14:textId="77777777" w:rsidR="00E871CF" w:rsidRPr="00E871CF" w:rsidRDefault="00E871CF" w:rsidP="00E871CF">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Sin embargo, también existen en las legislaciones locales diferencias consistentes en hacer viable la progresividad de los derechos de las personas con discapacidad. También se visualiza que en cada entidad, el tema de los ajustes razonables se encuentra poco desarrollo en algunas legislaciones y muy desarrollado en otras.</w:t>
      </w:r>
    </w:p>
    <w:p w14:paraId="06F28A2C" w14:textId="77777777" w:rsidR="00E871CF" w:rsidRPr="00E871CF" w:rsidRDefault="00E871CF" w:rsidP="00E871CF">
      <w:pPr>
        <w:widowControl w:val="0"/>
        <w:ind w:left="851" w:right="851"/>
        <w:jc w:val="both"/>
        <w:rPr>
          <w:rFonts w:ascii="Abadi" w:hAnsi="Abadi" w:cs="Arial"/>
          <w:i/>
          <w:sz w:val="21"/>
          <w:szCs w:val="21"/>
          <w:lang w:val="es-MX" w:eastAsia="en-US"/>
        </w:rPr>
      </w:pPr>
    </w:p>
    <w:p w14:paraId="21AB793A" w14:textId="77777777" w:rsidR="00E871CF" w:rsidRPr="00E871CF" w:rsidRDefault="00E871CF" w:rsidP="00E871CF">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En el caso del Estado de Guanajuato, con la iniciativa presentada puede fomentarse aún más la progresividad de los derechos de las personas con discapacidad, toda vez que la iniciativa propone medidas para el acceso de los medios informativos y de comunicación en las instancias administrativas estatales y municipales.</w:t>
      </w:r>
    </w:p>
    <w:p w14:paraId="4A56653C" w14:textId="77777777" w:rsidR="00E871CF" w:rsidRPr="00E871CF" w:rsidRDefault="00E871CF" w:rsidP="00E871CF">
      <w:pPr>
        <w:widowControl w:val="0"/>
        <w:ind w:left="851" w:right="851"/>
        <w:jc w:val="both"/>
        <w:rPr>
          <w:rFonts w:ascii="Abadi" w:hAnsi="Abadi" w:cs="Arial"/>
          <w:i/>
          <w:sz w:val="21"/>
          <w:szCs w:val="21"/>
          <w:lang w:val="es-MX" w:eastAsia="en-US"/>
        </w:rPr>
      </w:pPr>
    </w:p>
    <w:p w14:paraId="6F768D5B" w14:textId="77777777" w:rsidR="00E871CF" w:rsidRPr="00E871CF" w:rsidRDefault="00E871CF" w:rsidP="00E871CF">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En este caso, de las legislaturas estatales analizadas, la entidad federativa que recientemente ha incorporado a su instrumento jurídico este tipo de disposiciones, lo es el Estado de Nuevo León, como a continuación se ve:</w:t>
      </w:r>
    </w:p>
    <w:p w14:paraId="3219BEBE" w14:textId="77777777" w:rsidR="00E871CF" w:rsidRPr="00E871CF" w:rsidRDefault="00E871CF" w:rsidP="00E871CF">
      <w:pPr>
        <w:widowControl w:val="0"/>
        <w:ind w:left="851" w:right="851"/>
        <w:jc w:val="both"/>
        <w:rPr>
          <w:rFonts w:ascii="Abadi" w:hAnsi="Abadi" w:cs="Arial"/>
          <w:i/>
          <w:sz w:val="21"/>
          <w:szCs w:val="21"/>
          <w:lang w:val="es-MX" w:eastAsia="en-US"/>
        </w:rPr>
      </w:pPr>
    </w:p>
    <w:tbl>
      <w:tblPr>
        <w:tblStyle w:val="Tablaconcuadrcula2"/>
        <w:tblW w:w="5000" w:type="pct"/>
        <w:tblLook w:val="04A0" w:firstRow="1" w:lastRow="0" w:firstColumn="1" w:lastColumn="0" w:noHBand="0" w:noVBand="1"/>
      </w:tblPr>
      <w:tblGrid>
        <w:gridCol w:w="2050"/>
        <w:gridCol w:w="2051"/>
      </w:tblGrid>
      <w:tr w:rsidR="00E871CF" w:rsidRPr="00E871CF" w14:paraId="0ECEDAEA" w14:textId="77777777" w:rsidTr="007C202D">
        <w:tc>
          <w:tcPr>
            <w:tcW w:w="2500" w:type="pct"/>
          </w:tcPr>
          <w:p w14:paraId="20B73B0B" w14:textId="77777777" w:rsidR="00E871CF" w:rsidRPr="00E871CF" w:rsidRDefault="00E871CF" w:rsidP="00E871CF">
            <w:pPr>
              <w:widowControl w:val="0"/>
              <w:snapToGrid w:val="0"/>
              <w:jc w:val="both"/>
              <w:rPr>
                <w:rFonts w:ascii="Abadi" w:hAnsi="Abadi" w:cs="Arial"/>
                <w:b/>
                <w:i/>
                <w:iCs/>
                <w:sz w:val="21"/>
                <w:szCs w:val="21"/>
                <w:lang w:val="es-MX" w:eastAsia="ar-SA"/>
              </w:rPr>
            </w:pPr>
            <w:r w:rsidRPr="00E871CF">
              <w:rPr>
                <w:rFonts w:ascii="Abadi" w:hAnsi="Abadi" w:cs="Arial"/>
                <w:b/>
                <w:i/>
                <w:iCs/>
                <w:sz w:val="21"/>
                <w:szCs w:val="21"/>
                <w:lang w:val="es-MX" w:eastAsia="ar-SA"/>
              </w:rPr>
              <w:t>Ley para la Protección de los derechos de las Personas con Discapacidad en el Estado de Nuevo León</w:t>
            </w:r>
          </w:p>
        </w:tc>
        <w:tc>
          <w:tcPr>
            <w:tcW w:w="2500" w:type="pct"/>
          </w:tcPr>
          <w:p w14:paraId="3060DB6E" w14:textId="77777777" w:rsidR="00E871CF" w:rsidRPr="00E871CF" w:rsidRDefault="00E871CF" w:rsidP="00E871CF">
            <w:pPr>
              <w:widowControl w:val="0"/>
              <w:snapToGrid w:val="0"/>
              <w:jc w:val="both"/>
              <w:rPr>
                <w:rFonts w:ascii="Abadi" w:hAnsi="Abadi" w:cs="Arial"/>
                <w:b/>
                <w:i/>
                <w:iCs/>
                <w:sz w:val="21"/>
                <w:szCs w:val="21"/>
                <w:lang w:val="es-MX" w:eastAsia="ar-SA"/>
              </w:rPr>
            </w:pPr>
            <w:r w:rsidRPr="00E871CF">
              <w:rPr>
                <w:rFonts w:ascii="Abadi" w:hAnsi="Abadi" w:cs="Arial"/>
                <w:b/>
                <w:i/>
                <w:iCs/>
                <w:sz w:val="21"/>
                <w:szCs w:val="21"/>
                <w:lang w:val="es-MX" w:eastAsia="ar-SA"/>
              </w:rPr>
              <w:t>Ley de Inclusión para las personas con discapacidad en el Estado de Guanajuato.</w:t>
            </w:r>
          </w:p>
        </w:tc>
      </w:tr>
      <w:tr w:rsidR="00E871CF" w:rsidRPr="00E871CF" w14:paraId="6BD72224" w14:textId="77777777" w:rsidTr="007C202D">
        <w:tc>
          <w:tcPr>
            <w:tcW w:w="2500" w:type="pct"/>
          </w:tcPr>
          <w:p w14:paraId="30B0EF37" w14:textId="77777777" w:rsidR="00E871CF" w:rsidRPr="00E871CF" w:rsidRDefault="00E871CF" w:rsidP="00E871CF">
            <w:pPr>
              <w:widowControl w:val="0"/>
              <w:snapToGrid w:val="0"/>
              <w:jc w:val="both"/>
              <w:rPr>
                <w:rFonts w:ascii="Abadi" w:hAnsi="Abadi" w:cs="Arial"/>
                <w:bCs/>
                <w:i/>
                <w:iCs/>
                <w:sz w:val="21"/>
                <w:szCs w:val="21"/>
                <w:lang w:val="es-MX" w:eastAsia="ar-SA"/>
              </w:rPr>
            </w:pPr>
            <w:r w:rsidRPr="00E871CF">
              <w:rPr>
                <w:rFonts w:ascii="Abadi" w:hAnsi="Abadi" w:cs="Arial"/>
                <w:b/>
                <w:i/>
                <w:iCs/>
                <w:sz w:val="21"/>
                <w:szCs w:val="21"/>
                <w:lang w:val="es-MX" w:eastAsia="ar-SA"/>
              </w:rPr>
              <w:t>Artículo 37.-</w:t>
            </w:r>
            <w:r w:rsidRPr="00E871CF">
              <w:rPr>
                <w:rFonts w:ascii="Abadi" w:hAnsi="Abadi" w:cs="Arial"/>
                <w:bCs/>
                <w:i/>
                <w:iCs/>
                <w:sz w:val="21"/>
                <w:szCs w:val="21"/>
                <w:lang w:val="es-MX" w:eastAsia="ar-SA"/>
              </w:rPr>
              <w:t xml:space="preserve"> Las autoridades competentes deberán:</w:t>
            </w:r>
          </w:p>
          <w:p w14:paraId="0ED5F144" w14:textId="77777777" w:rsidR="00E871CF" w:rsidRPr="00E871CF" w:rsidRDefault="00E871CF" w:rsidP="00E871CF">
            <w:pPr>
              <w:widowControl w:val="0"/>
              <w:snapToGrid w:val="0"/>
              <w:jc w:val="both"/>
              <w:rPr>
                <w:rFonts w:ascii="Abadi" w:hAnsi="Abadi" w:cs="Arial"/>
                <w:bCs/>
                <w:i/>
                <w:iCs/>
                <w:sz w:val="21"/>
                <w:szCs w:val="21"/>
                <w:lang w:val="es-MX" w:eastAsia="ar-SA"/>
              </w:rPr>
            </w:pPr>
          </w:p>
          <w:p w14:paraId="409580D7" w14:textId="77777777" w:rsidR="00E871CF" w:rsidRPr="00E871CF" w:rsidRDefault="00E871CF" w:rsidP="00E871CF">
            <w:pPr>
              <w:widowControl w:val="0"/>
              <w:snapToGrid w:val="0"/>
              <w:jc w:val="both"/>
              <w:rPr>
                <w:rFonts w:ascii="Abadi" w:hAnsi="Abadi" w:cs="Arial"/>
                <w:bCs/>
                <w:i/>
                <w:iCs/>
                <w:sz w:val="21"/>
                <w:szCs w:val="21"/>
                <w:lang w:val="es-MX" w:eastAsia="ar-SA"/>
              </w:rPr>
            </w:pPr>
            <w:r w:rsidRPr="00E871CF">
              <w:rPr>
                <w:rFonts w:ascii="Abadi" w:hAnsi="Abadi" w:cs="Arial"/>
                <w:bCs/>
                <w:i/>
                <w:iCs/>
                <w:sz w:val="21"/>
                <w:szCs w:val="21"/>
                <w:lang w:val="es-MX" w:eastAsia="ar-SA"/>
              </w:rPr>
              <w:t>(REFORMADA, P.O. 16 DE DICIEMBRE DE 2019)</w:t>
            </w:r>
          </w:p>
          <w:p w14:paraId="427C885B" w14:textId="77777777" w:rsidR="00E871CF" w:rsidRPr="00E871CF" w:rsidRDefault="00E871CF" w:rsidP="00E871CF">
            <w:pPr>
              <w:widowControl w:val="0"/>
              <w:snapToGrid w:val="0"/>
              <w:jc w:val="both"/>
              <w:rPr>
                <w:rFonts w:ascii="Abadi" w:hAnsi="Abadi" w:cs="Arial"/>
                <w:bCs/>
                <w:i/>
                <w:iCs/>
                <w:sz w:val="21"/>
                <w:szCs w:val="21"/>
                <w:lang w:val="es-MX" w:eastAsia="ar-SA"/>
              </w:rPr>
            </w:pPr>
            <w:r w:rsidRPr="00E871CF">
              <w:rPr>
                <w:rFonts w:ascii="Abadi" w:hAnsi="Abadi" w:cs="Arial"/>
                <w:bCs/>
                <w:i/>
                <w:iCs/>
                <w:sz w:val="21"/>
                <w:szCs w:val="21"/>
                <w:lang w:val="es-MX" w:eastAsia="ar-SA"/>
              </w:rPr>
              <w:t xml:space="preserve">I. Establecer medidas que garanticen la plena incorporación de las personas con discapacidad en todas las acciones y programas de desarrollo social del Estado, así como </w:t>
            </w:r>
            <w:r w:rsidRPr="00E871CF">
              <w:rPr>
                <w:rFonts w:ascii="Abadi" w:hAnsi="Abadi" w:cs="Arial"/>
                <w:b/>
                <w:i/>
                <w:iCs/>
                <w:sz w:val="21"/>
                <w:szCs w:val="21"/>
                <w:u w:val="single"/>
                <w:lang w:val="es-MX" w:eastAsia="ar-SA"/>
              </w:rPr>
              <w:t>fomentar que las dependencias utilicen formatos accesibles y con las tecnologías adecuadas a los diferentes tipos de discapacidad para la difusión de información dirigida al público</w:t>
            </w:r>
            <w:r w:rsidRPr="00E871CF">
              <w:rPr>
                <w:rFonts w:ascii="Abadi" w:hAnsi="Abadi" w:cs="Arial"/>
                <w:bCs/>
                <w:i/>
                <w:iCs/>
                <w:sz w:val="21"/>
                <w:szCs w:val="21"/>
                <w:lang w:val="es-MX" w:eastAsia="ar-SA"/>
              </w:rPr>
              <w:t>, de manera oportuna y sin costo adicional;</w:t>
            </w:r>
          </w:p>
          <w:p w14:paraId="3E87D324" w14:textId="77777777" w:rsidR="00E871CF" w:rsidRPr="00E871CF" w:rsidRDefault="00E871CF" w:rsidP="00E871CF">
            <w:pPr>
              <w:widowControl w:val="0"/>
              <w:snapToGrid w:val="0"/>
              <w:jc w:val="both"/>
              <w:rPr>
                <w:rFonts w:ascii="Abadi" w:hAnsi="Abadi" w:cs="Arial"/>
                <w:bCs/>
                <w:i/>
                <w:iCs/>
                <w:sz w:val="21"/>
                <w:szCs w:val="21"/>
                <w:lang w:val="es-MX" w:eastAsia="ar-SA"/>
              </w:rPr>
            </w:pPr>
            <w:r w:rsidRPr="00E871CF">
              <w:rPr>
                <w:rFonts w:ascii="Abadi" w:hAnsi="Abadi" w:cs="Arial"/>
                <w:bCs/>
                <w:i/>
                <w:iCs/>
                <w:sz w:val="21"/>
                <w:szCs w:val="21"/>
                <w:lang w:val="es-MX" w:eastAsia="ar-SA"/>
              </w:rPr>
              <w:t>[…]</w:t>
            </w:r>
          </w:p>
          <w:p w14:paraId="7BBBDBE0" w14:textId="77777777" w:rsidR="00E871CF" w:rsidRPr="00E871CF" w:rsidRDefault="00E871CF" w:rsidP="00E871CF">
            <w:pPr>
              <w:widowControl w:val="0"/>
              <w:snapToGrid w:val="0"/>
              <w:jc w:val="both"/>
              <w:rPr>
                <w:rFonts w:ascii="Abadi" w:hAnsi="Abadi" w:cs="Arial"/>
                <w:bCs/>
                <w:i/>
                <w:iCs/>
                <w:sz w:val="21"/>
                <w:szCs w:val="21"/>
                <w:lang w:val="es-MX" w:eastAsia="ar-SA"/>
              </w:rPr>
            </w:pPr>
          </w:p>
          <w:p w14:paraId="70EF0B5F" w14:textId="77777777" w:rsidR="00E871CF" w:rsidRPr="00E871CF" w:rsidRDefault="00E871CF" w:rsidP="00E871CF">
            <w:pPr>
              <w:widowControl w:val="0"/>
              <w:snapToGrid w:val="0"/>
              <w:jc w:val="both"/>
              <w:rPr>
                <w:rFonts w:ascii="Abadi" w:hAnsi="Abadi" w:cs="Arial"/>
                <w:bCs/>
                <w:i/>
                <w:iCs/>
                <w:sz w:val="21"/>
                <w:szCs w:val="21"/>
                <w:lang w:val="es-MX" w:eastAsia="ar-SA"/>
              </w:rPr>
            </w:pPr>
            <w:r w:rsidRPr="00E871CF">
              <w:rPr>
                <w:rFonts w:ascii="Abadi" w:hAnsi="Abadi" w:cs="Arial"/>
                <w:bCs/>
                <w:i/>
                <w:iCs/>
                <w:sz w:val="21"/>
                <w:szCs w:val="21"/>
                <w:lang w:val="es-MX" w:eastAsia="ar-SA"/>
              </w:rPr>
              <w:t>(REFORMADA, P.O. 16 DE DICIEMBRE DE 2019)</w:t>
            </w:r>
          </w:p>
          <w:p w14:paraId="1D94240A" w14:textId="77777777" w:rsidR="00E871CF" w:rsidRPr="00E871CF" w:rsidRDefault="00E871CF" w:rsidP="00E871CF">
            <w:pPr>
              <w:widowControl w:val="0"/>
              <w:snapToGrid w:val="0"/>
              <w:jc w:val="both"/>
              <w:rPr>
                <w:rFonts w:ascii="Abadi" w:hAnsi="Abadi" w:cs="Arial"/>
                <w:bCs/>
                <w:i/>
                <w:iCs/>
                <w:sz w:val="21"/>
                <w:szCs w:val="21"/>
                <w:lang w:val="es-MX" w:eastAsia="ar-SA"/>
              </w:rPr>
            </w:pPr>
            <w:r w:rsidRPr="00E871CF">
              <w:rPr>
                <w:rFonts w:ascii="Abadi" w:hAnsi="Abadi" w:cs="Arial"/>
                <w:bCs/>
                <w:i/>
                <w:iCs/>
                <w:sz w:val="21"/>
                <w:szCs w:val="21"/>
                <w:lang w:val="es-MX" w:eastAsia="ar-SA"/>
              </w:rPr>
              <w:t>VI. Propiciar el diseño y la formación de un sistema de información sobre los servicios públicos en materia de discapacidad, a través de la utilización de la lengua de señas mexicana, el sistema braille, así como los sistemas y tecnologías de acceso a la información y las comunicaciones e internet con los que se cuente, con el objeto de identificar y difundir la existencia de los diferentes servicios de asistencia social y las instancias que los otorguen;</w:t>
            </w:r>
          </w:p>
        </w:tc>
        <w:tc>
          <w:tcPr>
            <w:tcW w:w="2500" w:type="pct"/>
          </w:tcPr>
          <w:p w14:paraId="57375618" w14:textId="77777777" w:rsidR="00E871CF" w:rsidRPr="00E871CF" w:rsidRDefault="00E871CF" w:rsidP="00E871CF">
            <w:pPr>
              <w:widowControl w:val="0"/>
              <w:snapToGrid w:val="0"/>
              <w:jc w:val="both"/>
              <w:rPr>
                <w:rFonts w:ascii="Abadi" w:hAnsi="Abadi" w:cs="Arial"/>
                <w:bCs/>
                <w:i/>
                <w:iCs/>
                <w:sz w:val="21"/>
                <w:szCs w:val="21"/>
                <w:lang w:val="es-MX" w:eastAsia="ar-SA"/>
              </w:rPr>
            </w:pPr>
            <w:r w:rsidRPr="00E871CF">
              <w:rPr>
                <w:rFonts w:ascii="Abadi" w:hAnsi="Abadi" w:cs="Arial"/>
                <w:b/>
                <w:bCs/>
                <w:i/>
                <w:iCs/>
                <w:sz w:val="21"/>
                <w:szCs w:val="21"/>
                <w:lang w:val="es-MX" w:eastAsia="ar-SA"/>
              </w:rPr>
              <w:t>Artículo 6.</w:t>
            </w:r>
            <w:r w:rsidRPr="00E871CF">
              <w:rPr>
                <w:rFonts w:ascii="Abadi" w:hAnsi="Abadi" w:cs="Arial"/>
                <w:bCs/>
                <w:i/>
                <w:iCs/>
                <w:sz w:val="21"/>
                <w:szCs w:val="21"/>
                <w:lang w:val="es-MX" w:eastAsia="ar-SA"/>
              </w:rPr>
              <w:t xml:space="preserve"> El Ejecutivo del Estado y los municipios para garantizar la inclusión de las personas con discapacidad, contarán con las siguientes atribuciones:</w:t>
            </w:r>
            <w:r w:rsidRPr="00E871CF">
              <w:rPr>
                <w:rFonts w:ascii="Abadi" w:hAnsi="Abadi" w:cs="Arial"/>
                <w:bCs/>
                <w:i/>
                <w:iCs/>
                <w:sz w:val="21"/>
                <w:szCs w:val="21"/>
                <w:lang w:val="es-MX" w:eastAsia="ar-SA"/>
              </w:rPr>
              <w:cr/>
            </w:r>
          </w:p>
          <w:p w14:paraId="00EEB4FC" w14:textId="77777777" w:rsidR="00E871CF" w:rsidRPr="00E871CF" w:rsidRDefault="00E871CF" w:rsidP="00E871CF">
            <w:pPr>
              <w:widowControl w:val="0"/>
              <w:snapToGrid w:val="0"/>
              <w:jc w:val="both"/>
              <w:rPr>
                <w:rFonts w:ascii="Abadi" w:hAnsi="Abadi" w:cs="Arial"/>
                <w:bCs/>
                <w:i/>
                <w:iCs/>
                <w:sz w:val="21"/>
                <w:szCs w:val="21"/>
                <w:lang w:val="es-MX" w:eastAsia="ar-SA"/>
              </w:rPr>
            </w:pPr>
            <w:r w:rsidRPr="00E871CF">
              <w:rPr>
                <w:rFonts w:ascii="Abadi" w:hAnsi="Abadi" w:cs="Arial"/>
                <w:b/>
                <w:i/>
                <w:iCs/>
                <w:sz w:val="21"/>
                <w:szCs w:val="21"/>
                <w:lang w:val="es-MX" w:eastAsia="ar-SA"/>
              </w:rPr>
              <w:t>XVI.</w:t>
            </w:r>
            <w:r w:rsidRPr="00E871CF">
              <w:rPr>
                <w:rFonts w:ascii="Abadi" w:hAnsi="Abadi" w:cs="Arial"/>
                <w:bCs/>
                <w:i/>
                <w:iCs/>
                <w:sz w:val="21"/>
                <w:szCs w:val="21"/>
                <w:lang w:val="es-MX" w:eastAsia="ar-SA"/>
              </w:rPr>
              <w:t xml:space="preserve"> </w:t>
            </w:r>
            <w:r w:rsidRPr="00E871CF">
              <w:rPr>
                <w:rFonts w:ascii="Abadi" w:hAnsi="Abadi" w:cs="Arial"/>
                <w:b/>
                <w:i/>
                <w:iCs/>
                <w:sz w:val="21"/>
                <w:szCs w:val="21"/>
                <w:u w:val="single"/>
                <w:lang w:val="es-MX" w:eastAsia="ar-SA"/>
              </w:rPr>
              <w:t>Impulsar el uso de formatos y tecnologías que faciliten el acceso a trámites y servicios</w:t>
            </w:r>
            <w:r w:rsidRPr="00E871CF">
              <w:rPr>
                <w:rFonts w:ascii="Abadi" w:hAnsi="Abadi" w:cs="Arial"/>
                <w:bCs/>
                <w:i/>
                <w:iCs/>
                <w:sz w:val="21"/>
                <w:szCs w:val="21"/>
                <w:lang w:val="es-MX" w:eastAsia="ar-SA"/>
              </w:rPr>
              <w:t xml:space="preserve"> de las personas con discapacidad. </w:t>
            </w:r>
          </w:p>
          <w:p w14:paraId="60A1C7FD" w14:textId="77777777" w:rsidR="00E871CF" w:rsidRPr="00E871CF" w:rsidRDefault="00E871CF" w:rsidP="00E871CF">
            <w:pPr>
              <w:widowControl w:val="0"/>
              <w:snapToGrid w:val="0"/>
              <w:jc w:val="both"/>
              <w:rPr>
                <w:rFonts w:ascii="Abadi" w:hAnsi="Abadi" w:cs="Arial"/>
                <w:bCs/>
                <w:i/>
                <w:iCs/>
                <w:sz w:val="21"/>
                <w:szCs w:val="21"/>
                <w:lang w:val="es-MX" w:eastAsia="ar-SA"/>
              </w:rPr>
            </w:pPr>
          </w:p>
          <w:p w14:paraId="398227B4" w14:textId="77777777" w:rsidR="00E871CF" w:rsidRPr="00E871CF" w:rsidRDefault="00E871CF" w:rsidP="00E871CF">
            <w:pPr>
              <w:widowControl w:val="0"/>
              <w:snapToGrid w:val="0"/>
              <w:jc w:val="both"/>
              <w:rPr>
                <w:rFonts w:ascii="Abadi" w:hAnsi="Abadi" w:cs="Arial"/>
                <w:bCs/>
                <w:i/>
                <w:iCs/>
                <w:sz w:val="21"/>
                <w:szCs w:val="21"/>
                <w:lang w:val="es-MX" w:eastAsia="ar-SA"/>
              </w:rPr>
            </w:pPr>
          </w:p>
          <w:p w14:paraId="5139EDD2" w14:textId="77777777" w:rsidR="00E871CF" w:rsidRPr="00E871CF" w:rsidRDefault="00E871CF" w:rsidP="00E871CF">
            <w:pPr>
              <w:widowControl w:val="0"/>
              <w:snapToGrid w:val="0"/>
              <w:jc w:val="both"/>
              <w:rPr>
                <w:rFonts w:ascii="Abadi" w:hAnsi="Abadi" w:cs="Arial"/>
                <w:bCs/>
                <w:i/>
                <w:iCs/>
                <w:sz w:val="21"/>
                <w:szCs w:val="21"/>
                <w:lang w:val="es-MX" w:eastAsia="ar-SA"/>
              </w:rPr>
            </w:pPr>
            <w:r w:rsidRPr="00E871CF">
              <w:rPr>
                <w:rFonts w:ascii="Abadi" w:hAnsi="Abadi" w:cs="Arial"/>
                <w:b/>
                <w:i/>
                <w:iCs/>
                <w:sz w:val="21"/>
                <w:szCs w:val="21"/>
                <w:lang w:val="es-MX" w:eastAsia="ar-SA"/>
              </w:rPr>
              <w:t>XVII.</w:t>
            </w:r>
            <w:r w:rsidRPr="00E871CF">
              <w:rPr>
                <w:rFonts w:ascii="Abadi" w:hAnsi="Abadi" w:cs="Arial"/>
                <w:bCs/>
                <w:i/>
                <w:iCs/>
                <w:sz w:val="21"/>
                <w:szCs w:val="21"/>
                <w:lang w:val="es-MX" w:eastAsia="ar-SA"/>
              </w:rPr>
              <w:t xml:space="preserve"> Diseñar un sistema de difusión sobre los servicios públicos en materia de discapacidad a través de la utilización de comunicación y tecnologías apropiadas a los distintos tipos de incapacidad.” </w:t>
            </w:r>
          </w:p>
          <w:p w14:paraId="36656B6E" w14:textId="77777777" w:rsidR="00E871CF" w:rsidRPr="00E871CF" w:rsidRDefault="00E871CF" w:rsidP="00E871CF">
            <w:pPr>
              <w:widowControl w:val="0"/>
              <w:snapToGrid w:val="0"/>
              <w:jc w:val="both"/>
              <w:rPr>
                <w:rFonts w:ascii="Abadi" w:hAnsi="Abadi" w:cs="Arial"/>
                <w:bCs/>
                <w:i/>
                <w:iCs/>
                <w:sz w:val="21"/>
                <w:szCs w:val="21"/>
                <w:lang w:val="es-MX" w:eastAsia="ar-SA"/>
              </w:rPr>
            </w:pPr>
          </w:p>
        </w:tc>
      </w:tr>
    </w:tbl>
    <w:p w14:paraId="3745AE59" w14:textId="77777777" w:rsidR="00E871CF" w:rsidRPr="00E871CF" w:rsidRDefault="00E871CF" w:rsidP="00E871CF">
      <w:pPr>
        <w:widowControl w:val="0"/>
        <w:ind w:left="851" w:right="851"/>
        <w:jc w:val="both"/>
        <w:rPr>
          <w:rFonts w:ascii="Abadi" w:hAnsi="Abadi" w:cs="Arial"/>
          <w:i/>
          <w:sz w:val="21"/>
          <w:szCs w:val="21"/>
          <w:lang w:val="es-MX" w:eastAsia="en-US"/>
        </w:rPr>
      </w:pPr>
    </w:p>
    <w:p w14:paraId="073E5C22" w14:textId="77777777" w:rsidR="00E871CF" w:rsidRPr="00E871CF" w:rsidRDefault="00E871CF" w:rsidP="00E871CF">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La acción afirmativa, entendida como “una medida que beneficia a un colectivo determinado con el objetivo de que alcance la igualdad material”</w:t>
      </w:r>
      <w:sdt>
        <w:sdtPr>
          <w:rPr>
            <w:rFonts w:ascii="Abadi" w:hAnsi="Abadi" w:cs="Arial"/>
            <w:i/>
            <w:sz w:val="21"/>
            <w:szCs w:val="21"/>
            <w:lang w:val="es-MX" w:eastAsia="en-US"/>
          </w:rPr>
          <w:id w:val="-1467576496"/>
          <w:citation/>
        </w:sdtPr>
        <w:sdtEndPr/>
        <w:sdtContent>
          <w:r w:rsidRPr="00E871CF">
            <w:rPr>
              <w:rFonts w:ascii="Abadi" w:hAnsi="Abadi" w:cs="Arial"/>
              <w:i/>
              <w:sz w:val="21"/>
              <w:szCs w:val="21"/>
              <w:lang w:val="es-MX" w:eastAsia="en-US"/>
            </w:rPr>
            <w:fldChar w:fldCharType="begin"/>
          </w:r>
          <w:r w:rsidRPr="00E871CF">
            <w:rPr>
              <w:rFonts w:ascii="Abadi" w:hAnsi="Abadi" w:cs="Arial"/>
              <w:i/>
              <w:sz w:val="21"/>
              <w:szCs w:val="21"/>
              <w:lang w:val="es-MX" w:eastAsia="en-US"/>
            </w:rPr>
            <w:instrText xml:space="preserve"> CITATION Gim11 \l 2058 </w:instrText>
          </w:r>
          <w:r w:rsidRPr="00E871CF">
            <w:rPr>
              <w:rFonts w:ascii="Abadi" w:hAnsi="Abadi" w:cs="Arial"/>
              <w:i/>
              <w:sz w:val="21"/>
              <w:szCs w:val="21"/>
              <w:lang w:val="es-MX" w:eastAsia="en-US"/>
            </w:rPr>
            <w:fldChar w:fldCharType="separate"/>
          </w:r>
          <w:r w:rsidRPr="00E871CF">
            <w:rPr>
              <w:rFonts w:ascii="Abadi" w:hAnsi="Abadi" w:cs="Arial"/>
              <w:i/>
              <w:sz w:val="21"/>
              <w:szCs w:val="21"/>
              <w:lang w:val="es-MX" w:eastAsia="en-US"/>
            </w:rPr>
            <w:t xml:space="preserve"> (Gimenez Glück, 2011)</w:t>
          </w:r>
          <w:r w:rsidRPr="00E871CF">
            <w:rPr>
              <w:rFonts w:ascii="Abadi" w:hAnsi="Abadi" w:cs="Arial"/>
              <w:i/>
              <w:sz w:val="21"/>
              <w:szCs w:val="21"/>
              <w:lang w:val="es-MX" w:eastAsia="en-US"/>
            </w:rPr>
            <w:fldChar w:fldCharType="end"/>
          </w:r>
        </w:sdtContent>
      </w:sdt>
      <w:r w:rsidRPr="00E871CF">
        <w:rPr>
          <w:rFonts w:ascii="Abadi" w:hAnsi="Abadi" w:cs="Arial"/>
          <w:i/>
          <w:sz w:val="21"/>
          <w:szCs w:val="21"/>
          <w:lang w:val="es-MX" w:eastAsia="en-US"/>
        </w:rPr>
        <w:t xml:space="preserve"> se encuentra establecida en los instrumentos internacionales como una obligación para que los Estados las adopten en su régimen interior, a través de sus legislaciones.</w:t>
      </w:r>
    </w:p>
    <w:p w14:paraId="7E6148FB" w14:textId="77777777" w:rsidR="00E871CF" w:rsidRPr="00E871CF" w:rsidRDefault="00E871CF" w:rsidP="00E871CF">
      <w:pPr>
        <w:widowControl w:val="0"/>
        <w:ind w:left="851" w:right="851"/>
        <w:jc w:val="both"/>
        <w:rPr>
          <w:rFonts w:ascii="Abadi" w:hAnsi="Abadi" w:cs="Arial"/>
          <w:i/>
          <w:sz w:val="21"/>
          <w:szCs w:val="21"/>
          <w:lang w:val="es-MX" w:eastAsia="en-US"/>
        </w:rPr>
      </w:pPr>
    </w:p>
    <w:p w14:paraId="7539D412" w14:textId="77777777" w:rsidR="00E871CF" w:rsidRPr="00E871CF" w:rsidRDefault="00E871CF" w:rsidP="00E871CF">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En ese sentido, el Estado de Nuevo León y el Estado de Guanajuato como se pretende hacer con la incorporación de las dos fracciones de la iniciativa analizada, atiende al hecho de que la persona con discapacidad no se encuentre en estado de desigualdad en relación en el acceso a los servicios que prestan la administración pública estatal y municipal a través de los sistemas tecnológicos y de comunicación.</w:t>
      </w:r>
    </w:p>
    <w:p w14:paraId="46899F5D" w14:textId="77777777" w:rsidR="00E871CF" w:rsidRPr="00E871CF" w:rsidRDefault="00E871CF" w:rsidP="00E871CF">
      <w:pPr>
        <w:widowControl w:val="0"/>
        <w:ind w:left="851" w:right="851"/>
        <w:jc w:val="both"/>
        <w:rPr>
          <w:rFonts w:ascii="Abadi" w:hAnsi="Abadi" w:cs="Arial"/>
          <w:i/>
          <w:sz w:val="21"/>
          <w:szCs w:val="21"/>
          <w:lang w:val="es-MX" w:eastAsia="en-US"/>
        </w:rPr>
      </w:pPr>
    </w:p>
    <w:p w14:paraId="28B3911F" w14:textId="77777777" w:rsidR="00E871CF" w:rsidRPr="00E871CF" w:rsidRDefault="00E871CF" w:rsidP="00E871CF">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El principio de progresividad en materia de los derechos de las personas con discapacidad refiere la obligación contraída desde el ámbito internacional para que los Estados ajusten sus instrumentos legislativos y administrativos en aras de la más amplia protección de los derechos de igualdad para las personas con discapacidad.</w:t>
      </w:r>
    </w:p>
    <w:p w14:paraId="0BD3200A" w14:textId="77777777" w:rsidR="00E871CF" w:rsidRPr="00E871CF" w:rsidRDefault="00E871CF" w:rsidP="00E871CF">
      <w:pPr>
        <w:widowControl w:val="0"/>
        <w:ind w:left="851" w:right="851"/>
        <w:jc w:val="both"/>
        <w:rPr>
          <w:rFonts w:ascii="Abadi" w:hAnsi="Abadi" w:cs="Arial"/>
          <w:i/>
          <w:sz w:val="21"/>
          <w:szCs w:val="21"/>
          <w:lang w:val="es-MX" w:eastAsia="en-US"/>
        </w:rPr>
      </w:pPr>
    </w:p>
    <w:p w14:paraId="3D80E7F0" w14:textId="77777777" w:rsidR="00E871CF" w:rsidRPr="00E871CF" w:rsidRDefault="00E871CF" w:rsidP="00E871CF">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En ese sentido, las adecuaciones en la legislación que se propone con la iniciativa de la Ley de Inclusión para las personas con discapacidad en el Estado de Guanajuato generan precisamente en la teoría jurídica los ajustes razonables, incorporando disposiciones normativas que permitan a las personas con discapacidad el acceso a las tecnologías y comunicación dentro de la gestión de la administración pública estatal y municipal.</w:t>
      </w:r>
    </w:p>
    <w:p w14:paraId="154EC6E5" w14:textId="77777777" w:rsidR="00E871CF" w:rsidRPr="00E871CF" w:rsidRDefault="00E871CF" w:rsidP="00E871CF">
      <w:pPr>
        <w:widowControl w:val="0"/>
        <w:ind w:left="851" w:right="851"/>
        <w:jc w:val="both"/>
        <w:rPr>
          <w:rFonts w:ascii="Abadi" w:hAnsi="Abadi" w:cs="Arial"/>
          <w:i/>
          <w:sz w:val="21"/>
          <w:szCs w:val="21"/>
          <w:lang w:val="es-MX" w:eastAsia="en-US"/>
        </w:rPr>
      </w:pPr>
    </w:p>
    <w:p w14:paraId="0A30F777" w14:textId="77777777" w:rsidR="00E871CF" w:rsidRPr="00E871CF" w:rsidRDefault="00E871CF" w:rsidP="00E871CF">
      <w:pPr>
        <w:widowControl w:val="0"/>
        <w:ind w:left="851" w:right="851"/>
        <w:jc w:val="both"/>
        <w:rPr>
          <w:rFonts w:ascii="Abadi" w:hAnsi="Abadi" w:cs="Arial"/>
          <w:i/>
          <w:sz w:val="21"/>
          <w:szCs w:val="21"/>
          <w:lang w:val="es-MX" w:eastAsia="en-US"/>
        </w:rPr>
      </w:pPr>
      <w:r w:rsidRPr="00E871CF">
        <w:rPr>
          <w:rFonts w:ascii="Abadi" w:hAnsi="Abadi" w:cs="Arial"/>
          <w:i/>
          <w:sz w:val="21"/>
          <w:szCs w:val="21"/>
          <w:lang w:val="es-MX" w:eastAsia="en-US"/>
        </w:rPr>
        <w:t>Por lo enunciado, se concluye la viabilidad en la adicción que se pretende en la legislación del Estado de Guanajuato.</w:t>
      </w:r>
    </w:p>
    <w:p w14:paraId="13925385" w14:textId="77777777" w:rsidR="00E871CF" w:rsidRPr="00E871CF" w:rsidRDefault="00E871CF" w:rsidP="00E871CF">
      <w:pPr>
        <w:widowControl w:val="0"/>
        <w:ind w:left="851" w:right="851"/>
        <w:jc w:val="both"/>
        <w:rPr>
          <w:rFonts w:ascii="Abadi" w:hAnsi="Abadi" w:cs="Arial"/>
          <w:i/>
          <w:sz w:val="21"/>
          <w:szCs w:val="21"/>
          <w:lang w:val="es-MX" w:eastAsia="en-US"/>
        </w:rPr>
      </w:pPr>
    </w:p>
    <w:p w14:paraId="6F9ACD23" w14:textId="77777777" w:rsidR="00E871CF" w:rsidRPr="00E871CF" w:rsidRDefault="00E871CF" w:rsidP="004E29E7">
      <w:pPr>
        <w:widowControl w:val="0"/>
        <w:ind w:left="851"/>
        <w:jc w:val="both"/>
        <w:rPr>
          <w:rFonts w:ascii="Abadi" w:hAnsi="Abadi" w:cs="Arial"/>
          <w:b/>
          <w:sz w:val="21"/>
          <w:szCs w:val="21"/>
          <w:lang w:val="es-MX"/>
        </w:rPr>
      </w:pPr>
      <w:bookmarkStart w:id="9" w:name="_Hlk76127244"/>
      <w:r w:rsidRPr="00E871CF">
        <w:rPr>
          <w:rFonts w:ascii="Abadi" w:hAnsi="Abadi" w:cs="Arial"/>
          <w:b/>
          <w:sz w:val="21"/>
          <w:szCs w:val="21"/>
          <w:lang w:val="es-MX"/>
        </w:rPr>
        <w:t>Opiniones compartidas en el foro de consulta.</w:t>
      </w:r>
    </w:p>
    <w:p w14:paraId="20BC9DEB" w14:textId="77777777" w:rsidR="00E871CF" w:rsidRPr="00E871CF" w:rsidRDefault="00E871CF" w:rsidP="004E29E7">
      <w:pPr>
        <w:widowControl w:val="0"/>
        <w:ind w:left="851"/>
        <w:jc w:val="both"/>
        <w:rPr>
          <w:rFonts w:ascii="Abadi" w:hAnsi="Abadi"/>
          <w:b/>
          <w:sz w:val="21"/>
          <w:szCs w:val="21"/>
          <w:lang w:val="es-MX"/>
        </w:rPr>
      </w:pPr>
    </w:p>
    <w:p w14:paraId="7F0310EA" w14:textId="77777777" w:rsidR="00E871CF" w:rsidRPr="00E871CF" w:rsidRDefault="00E871CF" w:rsidP="004E29E7">
      <w:pPr>
        <w:widowControl w:val="0"/>
        <w:ind w:firstLine="851"/>
        <w:jc w:val="both"/>
        <w:rPr>
          <w:rFonts w:ascii="Abadi" w:hAnsi="Abadi"/>
          <w:sz w:val="21"/>
          <w:szCs w:val="21"/>
          <w:lang w:val="es-MX" w:eastAsia="en-US"/>
        </w:rPr>
      </w:pPr>
      <w:r w:rsidRPr="00E871CF">
        <w:rPr>
          <w:rFonts w:ascii="Abadi" w:hAnsi="Abadi"/>
          <w:sz w:val="21"/>
          <w:szCs w:val="21"/>
          <w:lang w:val="es-MX" w:eastAsia="en-US"/>
        </w:rPr>
        <w:t>Además de aquellas opiniones que se describieron en apartados anteriores del dictamen que nos ocupa, a continuación incorporamos un extracto de los comentarios entregados por los ponentes en el foro celebrado el 16 de junio de 2021, que corresponden a la iniciativa materia de dictaminación.</w:t>
      </w:r>
    </w:p>
    <w:p w14:paraId="33ACEB54" w14:textId="77777777" w:rsidR="00E871CF" w:rsidRPr="00E871CF" w:rsidRDefault="00E871CF" w:rsidP="004E29E7">
      <w:pPr>
        <w:widowControl w:val="0"/>
        <w:jc w:val="both"/>
        <w:rPr>
          <w:rFonts w:ascii="Abadi" w:hAnsi="Abadi"/>
          <w:sz w:val="21"/>
          <w:szCs w:val="21"/>
          <w:lang w:val="es-MX" w:eastAsia="en-US"/>
        </w:rPr>
      </w:pPr>
    </w:p>
    <w:bookmarkEnd w:id="9"/>
    <w:p w14:paraId="0BCCB4FC" w14:textId="77777777" w:rsidR="00E871CF" w:rsidRPr="00E871CF" w:rsidRDefault="00E871CF" w:rsidP="004E29E7">
      <w:pPr>
        <w:widowControl w:val="0"/>
        <w:ind w:firstLine="851"/>
        <w:jc w:val="both"/>
        <w:rPr>
          <w:rFonts w:ascii="Abadi" w:hAnsi="Abadi"/>
          <w:sz w:val="21"/>
          <w:szCs w:val="21"/>
          <w:lang w:val="es-MX" w:eastAsia="en-US"/>
        </w:rPr>
      </w:pPr>
      <w:r w:rsidRPr="00E871CF">
        <w:rPr>
          <w:rFonts w:ascii="Abadi" w:hAnsi="Abadi"/>
          <w:sz w:val="21"/>
          <w:szCs w:val="21"/>
          <w:lang w:val="es-MX" w:eastAsia="en-US"/>
        </w:rPr>
        <w:t>Licenciada Alicia del Socorro Franco Dávalos, presidenta del Consejo para Prevenir, Atender y Erradicar la Discriminación en el Estado de Guanajuato:</w:t>
      </w:r>
    </w:p>
    <w:p w14:paraId="4747D541" w14:textId="77777777" w:rsidR="00E871CF" w:rsidRPr="00E871CF" w:rsidRDefault="00E871CF" w:rsidP="004E29E7">
      <w:pPr>
        <w:widowControl w:val="0"/>
        <w:jc w:val="both"/>
        <w:rPr>
          <w:rFonts w:ascii="Abadi" w:hAnsi="Abadi" w:cstheme="minorBidi"/>
          <w:sz w:val="21"/>
          <w:szCs w:val="21"/>
          <w:lang w:val="es-MX" w:eastAsia="en-US"/>
        </w:rPr>
      </w:pPr>
    </w:p>
    <w:p w14:paraId="29CCF0D0" w14:textId="77777777" w:rsidR="00E871CF" w:rsidRPr="00E871CF" w:rsidRDefault="00E871CF" w:rsidP="004E29E7">
      <w:pPr>
        <w:widowControl w:val="0"/>
        <w:ind w:left="851" w:right="851"/>
        <w:jc w:val="both"/>
        <w:rPr>
          <w:rFonts w:ascii="Abadi" w:hAnsi="Abadi" w:cstheme="minorBidi"/>
          <w:i/>
          <w:iCs/>
          <w:sz w:val="21"/>
          <w:szCs w:val="21"/>
          <w:lang w:val="es-MX" w:eastAsia="en-US"/>
        </w:rPr>
      </w:pPr>
      <w:r w:rsidRPr="00E871CF">
        <w:rPr>
          <w:rFonts w:ascii="Abadi" w:hAnsi="Abadi" w:cstheme="minorBidi"/>
          <w:i/>
          <w:iCs/>
          <w:sz w:val="21"/>
          <w:szCs w:val="21"/>
          <w:lang w:val="es-MX" w:eastAsia="en-US"/>
        </w:rPr>
        <w:t>El objetivo de la iniciativa es reducir la brecha de desigualdad a que se enfrentan las personas con discapacidad y acercar en la medida de lo posible los servicios la atención para un mejor y equilibrado desarrollo social en Guanajuato.</w:t>
      </w:r>
    </w:p>
    <w:p w14:paraId="363F1901" w14:textId="77777777" w:rsidR="00E871CF" w:rsidRPr="00E871CF" w:rsidRDefault="00E871CF" w:rsidP="004E29E7">
      <w:pPr>
        <w:widowControl w:val="0"/>
        <w:ind w:left="851" w:right="851"/>
        <w:jc w:val="both"/>
        <w:rPr>
          <w:rFonts w:ascii="Abadi" w:hAnsi="Abadi" w:cstheme="minorBidi"/>
          <w:i/>
          <w:iCs/>
          <w:sz w:val="21"/>
          <w:szCs w:val="21"/>
          <w:lang w:val="es-MX" w:eastAsia="en-US"/>
        </w:rPr>
      </w:pPr>
    </w:p>
    <w:p w14:paraId="2DAF131B" w14:textId="77777777" w:rsidR="00E871CF" w:rsidRPr="00E871CF" w:rsidRDefault="00E871CF" w:rsidP="004E29E7">
      <w:pPr>
        <w:widowControl w:val="0"/>
        <w:ind w:left="851" w:right="851"/>
        <w:jc w:val="both"/>
        <w:rPr>
          <w:rFonts w:ascii="Abadi" w:hAnsi="Abadi" w:cstheme="minorBidi"/>
          <w:i/>
          <w:iCs/>
          <w:sz w:val="21"/>
          <w:szCs w:val="21"/>
          <w:lang w:val="es-MX" w:eastAsia="en-US"/>
        </w:rPr>
      </w:pPr>
      <w:r w:rsidRPr="00E871CF">
        <w:rPr>
          <w:rFonts w:ascii="Abadi" w:hAnsi="Abadi" w:cstheme="minorBidi"/>
          <w:i/>
          <w:iCs/>
          <w:sz w:val="21"/>
          <w:szCs w:val="21"/>
          <w:lang w:val="es-MX" w:eastAsia="en-US"/>
        </w:rPr>
        <w:t>Por tanto, podemos configurar la obligación del Estado para garantizar el derecho a la accesibilidad, como una tarea primaria para con la sociedad, favoreciendo de manera primordial la igualdad de condiciones para la población, especialmente, las personas con discapacidad.</w:t>
      </w:r>
    </w:p>
    <w:p w14:paraId="307CC12F" w14:textId="77777777" w:rsidR="00E871CF" w:rsidRPr="00E871CF" w:rsidRDefault="00E871CF" w:rsidP="004E29E7">
      <w:pPr>
        <w:widowControl w:val="0"/>
        <w:ind w:left="851" w:right="851"/>
        <w:jc w:val="both"/>
        <w:rPr>
          <w:rFonts w:ascii="Abadi" w:hAnsi="Abadi" w:cstheme="minorBidi"/>
          <w:i/>
          <w:iCs/>
          <w:sz w:val="21"/>
          <w:szCs w:val="21"/>
          <w:lang w:val="es-MX" w:eastAsia="en-US"/>
        </w:rPr>
      </w:pPr>
    </w:p>
    <w:p w14:paraId="3D0C01C4" w14:textId="77777777" w:rsidR="00E871CF" w:rsidRPr="00E871CF" w:rsidRDefault="00E871CF" w:rsidP="004E29E7">
      <w:pPr>
        <w:widowControl w:val="0"/>
        <w:ind w:left="851" w:right="851"/>
        <w:jc w:val="both"/>
        <w:rPr>
          <w:rFonts w:ascii="Abadi" w:hAnsi="Abadi" w:cstheme="minorBidi"/>
          <w:i/>
          <w:iCs/>
          <w:sz w:val="21"/>
          <w:szCs w:val="21"/>
          <w:lang w:val="es-MX" w:eastAsia="en-US"/>
        </w:rPr>
      </w:pPr>
      <w:r w:rsidRPr="00E871CF">
        <w:rPr>
          <w:rFonts w:ascii="Abadi" w:hAnsi="Abadi" w:cstheme="minorBidi"/>
          <w:i/>
          <w:iCs/>
          <w:sz w:val="21"/>
          <w:szCs w:val="21"/>
          <w:lang w:val="es-MX" w:eastAsia="en-US"/>
        </w:rPr>
        <w:t>En suma, las obligaciones sobre accesibilidad de los Estados se especifican en diversos incisos del mismo artículo 9 punto 2, de los cuales resultan atinentes los siguientes en el presente caso:</w:t>
      </w:r>
    </w:p>
    <w:p w14:paraId="10AC7FF1" w14:textId="77777777" w:rsidR="00E871CF" w:rsidRPr="00E871CF" w:rsidRDefault="00E871CF" w:rsidP="004E29E7">
      <w:pPr>
        <w:widowControl w:val="0"/>
        <w:ind w:left="851" w:right="851"/>
        <w:jc w:val="both"/>
        <w:rPr>
          <w:rFonts w:ascii="Abadi" w:hAnsi="Abadi" w:cstheme="minorBidi"/>
          <w:i/>
          <w:iCs/>
          <w:sz w:val="21"/>
          <w:szCs w:val="21"/>
          <w:lang w:val="es-MX" w:eastAsia="en-US"/>
        </w:rPr>
      </w:pPr>
    </w:p>
    <w:p w14:paraId="44B4FBD2" w14:textId="77777777" w:rsidR="00E871CF" w:rsidRPr="00E871CF" w:rsidRDefault="00E871CF" w:rsidP="004E29E7">
      <w:pPr>
        <w:widowControl w:val="0"/>
        <w:ind w:left="1134" w:right="1134"/>
        <w:jc w:val="both"/>
        <w:rPr>
          <w:rFonts w:ascii="Abadi" w:hAnsi="Abadi" w:cstheme="minorBidi"/>
          <w:i/>
          <w:iCs/>
          <w:sz w:val="21"/>
          <w:szCs w:val="21"/>
          <w:lang w:val="es-MX" w:eastAsia="en-US"/>
        </w:rPr>
      </w:pPr>
      <w:r w:rsidRPr="00E871CF">
        <w:rPr>
          <w:rFonts w:ascii="Abadi" w:hAnsi="Abadi" w:cstheme="minorBidi"/>
          <w:i/>
          <w:iCs/>
          <w:sz w:val="21"/>
          <w:szCs w:val="21"/>
          <w:lang w:val="es-MX" w:eastAsia="en-US"/>
        </w:rPr>
        <w:t>2. Los Estados Partes también adoptarán las medidas pertinentes para:</w:t>
      </w:r>
    </w:p>
    <w:p w14:paraId="6E2D74C3" w14:textId="77777777" w:rsidR="00E871CF" w:rsidRPr="00E871CF" w:rsidRDefault="00E871CF" w:rsidP="004E29E7">
      <w:pPr>
        <w:widowControl w:val="0"/>
        <w:ind w:left="1134" w:right="1134"/>
        <w:jc w:val="both"/>
        <w:rPr>
          <w:rFonts w:ascii="Abadi" w:hAnsi="Abadi" w:cstheme="minorBidi"/>
          <w:i/>
          <w:iCs/>
          <w:sz w:val="21"/>
          <w:szCs w:val="21"/>
          <w:lang w:val="es-MX" w:eastAsia="en-US"/>
        </w:rPr>
      </w:pPr>
      <w:r w:rsidRPr="00E871CF">
        <w:rPr>
          <w:rFonts w:ascii="Abadi" w:hAnsi="Abadi" w:cstheme="minorBidi"/>
          <w:i/>
          <w:iCs/>
          <w:sz w:val="21"/>
          <w:szCs w:val="21"/>
          <w:lang w:val="es-MX" w:eastAsia="en-US"/>
        </w:rPr>
        <w:t>a) Desarrollar, promulgar y supervisar la aplicación de normas mínimas y directrices sobre la accesibilidad de las instalaciones y los servicios abiertos al público o de uso público;</w:t>
      </w:r>
    </w:p>
    <w:p w14:paraId="60E555FF" w14:textId="77777777" w:rsidR="00E871CF" w:rsidRPr="00E871CF" w:rsidRDefault="00E871CF" w:rsidP="004E29E7">
      <w:pPr>
        <w:widowControl w:val="0"/>
        <w:ind w:left="1134" w:right="1134"/>
        <w:jc w:val="both"/>
        <w:rPr>
          <w:rFonts w:ascii="Abadi" w:hAnsi="Abadi" w:cstheme="minorBidi"/>
          <w:i/>
          <w:iCs/>
          <w:sz w:val="21"/>
          <w:szCs w:val="21"/>
          <w:lang w:val="es-MX" w:eastAsia="en-US"/>
        </w:rPr>
      </w:pPr>
      <w:r w:rsidRPr="00E871CF">
        <w:rPr>
          <w:rFonts w:ascii="Abadi" w:hAnsi="Abadi" w:cstheme="minorBidi"/>
          <w:i/>
          <w:iCs/>
          <w:sz w:val="21"/>
          <w:szCs w:val="21"/>
          <w:lang w:val="es-MX" w:eastAsia="en-US"/>
        </w:rPr>
        <w:t>d) Dotar a los edificios y otras instalaciones abiertas al público de señalización en Braille y en formatos de fácil lectura y comprensión;</w:t>
      </w:r>
    </w:p>
    <w:p w14:paraId="59210CE6" w14:textId="77777777" w:rsidR="00E871CF" w:rsidRPr="00E871CF" w:rsidRDefault="00E871CF" w:rsidP="004E29E7">
      <w:pPr>
        <w:widowControl w:val="0"/>
        <w:ind w:left="1134" w:right="1134"/>
        <w:jc w:val="both"/>
        <w:rPr>
          <w:rFonts w:ascii="Abadi" w:hAnsi="Abadi" w:cstheme="minorBidi"/>
          <w:i/>
          <w:iCs/>
          <w:sz w:val="21"/>
          <w:szCs w:val="21"/>
          <w:lang w:val="es-MX" w:eastAsia="en-US"/>
        </w:rPr>
      </w:pPr>
      <w:r w:rsidRPr="00E871CF">
        <w:rPr>
          <w:rFonts w:ascii="Abadi" w:hAnsi="Abadi" w:cstheme="minorBidi"/>
          <w:i/>
          <w:iCs/>
          <w:sz w:val="21"/>
          <w:szCs w:val="21"/>
          <w:lang w:val="es-MX" w:eastAsia="en-US"/>
        </w:rPr>
        <w:t>g) Promover el acceso de las personas con discapacidad a los nuevos sistemas y tecnologías de la información y las comunicaciones, incluida Internet;</w:t>
      </w:r>
    </w:p>
    <w:p w14:paraId="63F8B7A8" w14:textId="77777777" w:rsidR="00E871CF" w:rsidRPr="00E871CF" w:rsidRDefault="00E871CF" w:rsidP="004E29E7">
      <w:pPr>
        <w:widowControl w:val="0"/>
        <w:ind w:left="851" w:right="851"/>
        <w:jc w:val="both"/>
        <w:rPr>
          <w:rFonts w:ascii="Abadi" w:hAnsi="Abadi" w:cstheme="minorBidi"/>
          <w:i/>
          <w:iCs/>
          <w:sz w:val="21"/>
          <w:szCs w:val="21"/>
          <w:lang w:val="es-MX" w:eastAsia="en-US"/>
        </w:rPr>
      </w:pPr>
    </w:p>
    <w:p w14:paraId="57AA9BA5" w14:textId="77777777" w:rsidR="00E871CF" w:rsidRPr="00E871CF" w:rsidRDefault="00E871CF" w:rsidP="004E29E7">
      <w:pPr>
        <w:widowControl w:val="0"/>
        <w:ind w:left="851" w:right="851"/>
        <w:jc w:val="both"/>
        <w:rPr>
          <w:rFonts w:ascii="Abadi" w:hAnsi="Abadi" w:cstheme="minorBidi"/>
          <w:i/>
          <w:iCs/>
          <w:sz w:val="21"/>
          <w:szCs w:val="21"/>
          <w:lang w:val="es-MX" w:eastAsia="en-US"/>
        </w:rPr>
      </w:pPr>
      <w:r w:rsidRPr="00E871CF">
        <w:rPr>
          <w:rFonts w:ascii="Abadi" w:hAnsi="Abadi" w:cstheme="minorBidi"/>
          <w:i/>
          <w:iCs/>
          <w:sz w:val="21"/>
          <w:szCs w:val="21"/>
          <w:lang w:val="es-MX" w:eastAsia="en-US"/>
        </w:rPr>
        <w:t>En este contexto, resulta importante reconocer que las fracciones propuestas por la presente iniciativa se encuentran alineadas al desarrollo de los criterios internacionales para las personas con discapacidad, establecidas en la Convención de Derechos de Personas con Discapacidad, de la cual México forma parte.</w:t>
      </w:r>
    </w:p>
    <w:p w14:paraId="4721ED32" w14:textId="77777777" w:rsidR="00E871CF" w:rsidRPr="00E871CF" w:rsidRDefault="00E871CF" w:rsidP="004E29E7">
      <w:pPr>
        <w:widowControl w:val="0"/>
        <w:ind w:left="851" w:right="851"/>
        <w:jc w:val="both"/>
        <w:rPr>
          <w:rFonts w:ascii="Abadi" w:hAnsi="Abadi" w:cstheme="minorBidi"/>
          <w:i/>
          <w:iCs/>
          <w:sz w:val="21"/>
          <w:szCs w:val="21"/>
          <w:lang w:val="es-MX" w:eastAsia="en-US"/>
        </w:rPr>
      </w:pPr>
    </w:p>
    <w:p w14:paraId="7B957259" w14:textId="77777777" w:rsidR="00E871CF" w:rsidRPr="00E871CF" w:rsidRDefault="00E871CF" w:rsidP="004E29E7">
      <w:pPr>
        <w:widowControl w:val="0"/>
        <w:ind w:left="851" w:right="851"/>
        <w:jc w:val="both"/>
        <w:rPr>
          <w:rFonts w:ascii="Abadi" w:hAnsi="Abadi" w:cstheme="minorBidi"/>
          <w:i/>
          <w:iCs/>
          <w:sz w:val="21"/>
          <w:szCs w:val="21"/>
          <w:lang w:val="es-MX" w:eastAsia="en-US"/>
        </w:rPr>
      </w:pPr>
      <w:r w:rsidRPr="00E871CF">
        <w:rPr>
          <w:rFonts w:ascii="Abadi" w:hAnsi="Abadi" w:cstheme="minorBidi"/>
          <w:i/>
          <w:iCs/>
          <w:sz w:val="21"/>
          <w:szCs w:val="21"/>
          <w:lang w:val="es-MX" w:eastAsia="en-US"/>
        </w:rPr>
        <w:t>Asimismo, se refiere lo establecido por la Ley General para la Inclusión de las personas con discapacidad en su artículo segundo, que en las fracciones I y V se definen los conceptos de accesibilidad y comunicación y, concretamente, se cita la fracción V del artículo 2 de la norma antes citada, que define la comunicación de la siguiente manera:</w:t>
      </w:r>
    </w:p>
    <w:p w14:paraId="2F50C2B5" w14:textId="77777777" w:rsidR="00E871CF" w:rsidRPr="00E871CF" w:rsidRDefault="00E871CF" w:rsidP="004E29E7">
      <w:pPr>
        <w:widowControl w:val="0"/>
        <w:ind w:left="851" w:right="851"/>
        <w:jc w:val="both"/>
        <w:rPr>
          <w:rFonts w:ascii="Abadi" w:hAnsi="Abadi" w:cstheme="minorBidi"/>
          <w:i/>
          <w:iCs/>
          <w:sz w:val="21"/>
          <w:szCs w:val="21"/>
          <w:lang w:val="es-MX" w:eastAsia="en-US"/>
        </w:rPr>
      </w:pPr>
    </w:p>
    <w:p w14:paraId="484A75B1" w14:textId="77777777" w:rsidR="00E871CF" w:rsidRPr="00E871CF" w:rsidRDefault="00E871CF" w:rsidP="004E29E7">
      <w:pPr>
        <w:widowControl w:val="0"/>
        <w:ind w:left="1134" w:right="1134"/>
        <w:jc w:val="both"/>
        <w:rPr>
          <w:rFonts w:ascii="Abadi" w:hAnsi="Abadi"/>
          <w:i/>
          <w:iCs/>
          <w:sz w:val="21"/>
          <w:szCs w:val="21"/>
          <w:lang w:val="es-MX" w:eastAsia="en-US"/>
        </w:rPr>
      </w:pPr>
      <w:r w:rsidRPr="00E871CF">
        <w:rPr>
          <w:rFonts w:ascii="Abadi" w:hAnsi="Abadi"/>
          <w:i/>
          <w:iCs/>
          <w:sz w:val="21"/>
          <w:szCs w:val="21"/>
          <w:lang w:val="es-MX" w:eastAsia="en-US"/>
        </w:rPr>
        <w:t xml:space="preserve">V. Comunicación. Se entenderá el lenguaje escrito, oral y la lengua de señas mexicana, la visualización de textos, sistema Braille, la comunicación táctil, los macro tipos, los dispositivos multimedia escritos o auditivos de fácil acceso, el lenguaje sencillo, los medios de voz digitalizada y otros modos, medios, sistemas </w:t>
      </w:r>
      <w:r w:rsidRPr="00E871CF">
        <w:rPr>
          <w:rFonts w:ascii="Abadi" w:hAnsi="Abadi"/>
          <w:b/>
          <w:bCs/>
          <w:i/>
          <w:iCs/>
          <w:sz w:val="21"/>
          <w:szCs w:val="21"/>
          <w:lang w:val="es-MX" w:eastAsia="en-US"/>
        </w:rPr>
        <w:t>y formatos aumentativos o alternativos de comunicación</w:t>
      </w:r>
      <w:r w:rsidRPr="00E871CF">
        <w:rPr>
          <w:rFonts w:ascii="Abadi" w:hAnsi="Abadi"/>
          <w:i/>
          <w:iCs/>
          <w:sz w:val="21"/>
          <w:szCs w:val="21"/>
          <w:lang w:val="es-MX" w:eastAsia="en-US"/>
        </w:rPr>
        <w:t>, incluida la tecnología de la información y las comunicaciones de fácil acceso”;</w:t>
      </w:r>
    </w:p>
    <w:p w14:paraId="6B91DC44" w14:textId="77777777" w:rsidR="00E871CF" w:rsidRPr="00E871CF" w:rsidRDefault="00E871CF" w:rsidP="004E29E7">
      <w:pPr>
        <w:widowControl w:val="0"/>
        <w:ind w:left="851" w:right="851"/>
        <w:jc w:val="both"/>
        <w:rPr>
          <w:rFonts w:ascii="Abadi" w:hAnsi="Abadi" w:cstheme="minorBidi"/>
          <w:i/>
          <w:iCs/>
          <w:sz w:val="21"/>
          <w:szCs w:val="21"/>
          <w:lang w:val="es-MX" w:eastAsia="en-US"/>
        </w:rPr>
      </w:pPr>
    </w:p>
    <w:p w14:paraId="55BC1C28" w14:textId="77777777" w:rsidR="00E871CF" w:rsidRPr="00E871CF" w:rsidRDefault="00E871CF" w:rsidP="004E29E7">
      <w:pPr>
        <w:widowControl w:val="0"/>
        <w:ind w:left="851" w:right="851"/>
        <w:jc w:val="both"/>
        <w:rPr>
          <w:rFonts w:ascii="Abadi" w:hAnsi="Abadi" w:cstheme="minorBidi"/>
          <w:i/>
          <w:iCs/>
          <w:sz w:val="21"/>
          <w:szCs w:val="21"/>
          <w:lang w:val="es-MX" w:eastAsia="en-US"/>
        </w:rPr>
      </w:pPr>
      <w:r w:rsidRPr="00E871CF">
        <w:rPr>
          <w:rFonts w:ascii="Abadi" w:hAnsi="Abadi" w:cstheme="minorBidi"/>
          <w:i/>
          <w:iCs/>
          <w:sz w:val="21"/>
          <w:szCs w:val="21"/>
          <w:lang w:val="es-MX" w:eastAsia="en-US"/>
        </w:rPr>
        <w:t>De igual forma, se hace referencia al artículo 31 de la Ley referida, que precisa:</w:t>
      </w:r>
    </w:p>
    <w:p w14:paraId="2C910353" w14:textId="77777777" w:rsidR="00E871CF" w:rsidRPr="00E871CF" w:rsidRDefault="00E871CF" w:rsidP="004E29E7">
      <w:pPr>
        <w:widowControl w:val="0"/>
        <w:ind w:left="851" w:right="851"/>
        <w:jc w:val="both"/>
        <w:rPr>
          <w:rFonts w:ascii="Abadi" w:hAnsi="Abadi" w:cstheme="minorBidi"/>
          <w:i/>
          <w:iCs/>
          <w:sz w:val="21"/>
          <w:szCs w:val="21"/>
          <w:lang w:val="es-MX" w:eastAsia="en-US"/>
        </w:rPr>
      </w:pPr>
    </w:p>
    <w:p w14:paraId="523943FE" w14:textId="77777777" w:rsidR="00E871CF" w:rsidRPr="00E871CF" w:rsidRDefault="00E871CF" w:rsidP="004E29E7">
      <w:pPr>
        <w:widowControl w:val="0"/>
        <w:ind w:left="1134" w:right="1134"/>
        <w:jc w:val="both"/>
        <w:rPr>
          <w:rFonts w:ascii="Abadi" w:hAnsi="Abadi"/>
          <w:i/>
          <w:iCs/>
          <w:sz w:val="21"/>
          <w:szCs w:val="21"/>
          <w:lang w:val="es-MX" w:eastAsia="en-US"/>
        </w:rPr>
      </w:pPr>
      <w:r w:rsidRPr="00E871CF">
        <w:rPr>
          <w:rFonts w:ascii="Abadi" w:hAnsi="Abadi"/>
          <w:i/>
          <w:iCs/>
          <w:sz w:val="21"/>
          <w:szCs w:val="21"/>
          <w:lang w:val="es-MX" w:eastAsia="en-US"/>
        </w:rPr>
        <w:t>“Artículo 31. El Poder Ejecutivo Federal y los Gobiernos de las Entidades Federativas, en coordinación con el Consejo, promoverán que las instancias de administración e impartición de justicia, cuenten con la disponibilidad de los recursos para la comunicación, ayudas técnicas y humanas necesarias para la atención de las personas con discapacidad en sus respectivas jurisdicciones”</w:t>
      </w:r>
    </w:p>
    <w:p w14:paraId="79F253FE" w14:textId="77777777" w:rsidR="00E871CF" w:rsidRPr="00E871CF" w:rsidRDefault="00E871CF" w:rsidP="004E29E7">
      <w:pPr>
        <w:widowControl w:val="0"/>
        <w:ind w:left="851" w:right="851"/>
        <w:jc w:val="both"/>
        <w:rPr>
          <w:rFonts w:ascii="Abadi" w:hAnsi="Abadi" w:cstheme="minorBidi"/>
          <w:i/>
          <w:iCs/>
          <w:sz w:val="21"/>
          <w:szCs w:val="21"/>
          <w:lang w:val="es-MX" w:eastAsia="en-US"/>
        </w:rPr>
      </w:pPr>
    </w:p>
    <w:p w14:paraId="608D269D" w14:textId="77777777" w:rsidR="00E871CF" w:rsidRPr="00E871CF" w:rsidRDefault="00E871CF" w:rsidP="004E29E7">
      <w:pPr>
        <w:widowControl w:val="0"/>
        <w:ind w:left="851" w:right="851"/>
        <w:jc w:val="both"/>
        <w:rPr>
          <w:rFonts w:ascii="Abadi" w:hAnsi="Abadi" w:cstheme="minorBidi"/>
          <w:i/>
          <w:iCs/>
          <w:sz w:val="21"/>
          <w:szCs w:val="21"/>
          <w:lang w:val="es-MX" w:eastAsia="en-US"/>
        </w:rPr>
      </w:pPr>
      <w:r w:rsidRPr="00E871CF">
        <w:rPr>
          <w:rFonts w:ascii="Abadi" w:hAnsi="Abadi" w:cstheme="minorBidi"/>
          <w:i/>
          <w:iCs/>
          <w:sz w:val="21"/>
          <w:szCs w:val="21"/>
          <w:lang w:val="es-MX" w:eastAsia="en-US"/>
        </w:rPr>
        <w:t>Es decir, otorga el fundamento por el cual el Estado tiene la obligación de brindar recursos necesarios para generar la comunicación de las personas con discapacidad, mediante la utilización de recursos técnicos y humanos, mismos que son descritos en la fracción XVII que se desea anexar al numeral de la ley descrita por la presente iniciativa.</w:t>
      </w:r>
    </w:p>
    <w:p w14:paraId="220F523E" w14:textId="77777777" w:rsidR="00E871CF" w:rsidRPr="00E871CF" w:rsidRDefault="00E871CF" w:rsidP="004E29E7">
      <w:pPr>
        <w:widowControl w:val="0"/>
        <w:ind w:left="851" w:right="851"/>
        <w:jc w:val="both"/>
        <w:rPr>
          <w:rFonts w:ascii="Abadi" w:hAnsi="Abadi" w:cstheme="minorBidi"/>
          <w:i/>
          <w:iCs/>
          <w:sz w:val="21"/>
          <w:szCs w:val="21"/>
          <w:lang w:val="es-MX" w:eastAsia="en-US"/>
        </w:rPr>
      </w:pPr>
    </w:p>
    <w:p w14:paraId="40D2DC01" w14:textId="77777777" w:rsidR="00E871CF" w:rsidRPr="00E871CF" w:rsidRDefault="00E871CF" w:rsidP="004E29E7">
      <w:pPr>
        <w:widowControl w:val="0"/>
        <w:ind w:left="851" w:right="851"/>
        <w:jc w:val="both"/>
        <w:rPr>
          <w:rFonts w:ascii="Abadi" w:hAnsi="Abadi" w:cstheme="minorBidi"/>
          <w:i/>
          <w:iCs/>
          <w:sz w:val="21"/>
          <w:szCs w:val="21"/>
          <w:lang w:val="es-MX" w:eastAsia="en-US"/>
        </w:rPr>
      </w:pPr>
      <w:r w:rsidRPr="00E871CF">
        <w:rPr>
          <w:rFonts w:ascii="Abadi" w:hAnsi="Abadi" w:cstheme="minorBidi"/>
          <w:i/>
          <w:iCs/>
          <w:sz w:val="21"/>
          <w:szCs w:val="21"/>
          <w:lang w:val="es-MX" w:eastAsia="en-US"/>
        </w:rPr>
        <w:t>Por ello, del análisis del artículo 6 de la Ley de Inclusión para las Personas con Discapacidad en el Estado de Guanajuato, se advierte que no existe dentro de sus fracciones una que aborde de forma suficiente la accesibilidad en las comunicaciones y las informaciones públicas, derivado de lo cual se estima que esta iniciativa guarda una intención loable para el fortalecimiento y armonización de las obligaciones legales en favor de personas con discapacidad.</w:t>
      </w:r>
    </w:p>
    <w:p w14:paraId="744EF724" w14:textId="77777777" w:rsidR="00E871CF" w:rsidRPr="00E871CF" w:rsidRDefault="00E871CF" w:rsidP="004E29E7">
      <w:pPr>
        <w:widowControl w:val="0"/>
        <w:ind w:left="851" w:right="851"/>
        <w:jc w:val="both"/>
        <w:rPr>
          <w:rFonts w:ascii="Abadi" w:hAnsi="Abadi" w:cstheme="minorBidi"/>
          <w:i/>
          <w:iCs/>
          <w:sz w:val="21"/>
          <w:szCs w:val="21"/>
          <w:lang w:val="es-MX" w:eastAsia="en-US"/>
        </w:rPr>
      </w:pPr>
    </w:p>
    <w:p w14:paraId="146C05AF" w14:textId="77777777" w:rsidR="00E871CF" w:rsidRPr="00E871CF" w:rsidRDefault="00E871CF" w:rsidP="004E29E7">
      <w:pPr>
        <w:widowControl w:val="0"/>
        <w:ind w:left="851" w:right="851"/>
        <w:jc w:val="both"/>
        <w:rPr>
          <w:rFonts w:ascii="Abadi" w:hAnsi="Abadi"/>
          <w:i/>
          <w:iCs/>
          <w:sz w:val="21"/>
          <w:szCs w:val="21"/>
          <w:lang w:val="es-MX" w:eastAsia="en-US"/>
        </w:rPr>
      </w:pPr>
      <w:r w:rsidRPr="00E871CF">
        <w:rPr>
          <w:rFonts w:ascii="Abadi" w:hAnsi="Abadi" w:cstheme="minorBidi"/>
          <w:i/>
          <w:iCs/>
          <w:sz w:val="21"/>
          <w:szCs w:val="21"/>
          <w:lang w:val="es-MX" w:eastAsia="en-US"/>
        </w:rPr>
        <w:t>En efecto, de conformidad con la Convención sobre los Derechos de Personas con Discapacidad se precisa que la accesibilidad es un derecho reconocido en su artículo 9, derivado de lo cual este representa una obligación para el Estado frente a estas personas; ahora bien, encontramos que este derecho es amplio e incluye accesibilidad sobre la información y las comunicaciones, incluidos los sistemas y las tecnologías de la información y las comunicaciones.</w:t>
      </w:r>
    </w:p>
    <w:p w14:paraId="0F22C9BE" w14:textId="77777777" w:rsidR="00E871CF" w:rsidRPr="00E871CF" w:rsidRDefault="00E871CF" w:rsidP="004E29E7">
      <w:pPr>
        <w:widowControl w:val="0"/>
        <w:jc w:val="both"/>
        <w:rPr>
          <w:rFonts w:ascii="Abadi" w:hAnsi="Abadi"/>
          <w:sz w:val="21"/>
          <w:szCs w:val="21"/>
          <w:lang w:val="es-MX" w:eastAsia="en-US"/>
        </w:rPr>
      </w:pPr>
    </w:p>
    <w:p w14:paraId="44A23638" w14:textId="77777777" w:rsidR="00E871CF" w:rsidRPr="00E871CF" w:rsidRDefault="00E871CF" w:rsidP="004E29E7">
      <w:pPr>
        <w:widowControl w:val="0"/>
        <w:ind w:firstLine="851"/>
        <w:jc w:val="both"/>
        <w:rPr>
          <w:rFonts w:ascii="Abadi" w:hAnsi="Abadi"/>
          <w:sz w:val="21"/>
          <w:szCs w:val="21"/>
          <w:lang w:val="es-MX" w:eastAsia="en-US"/>
        </w:rPr>
      </w:pPr>
      <w:r w:rsidRPr="00E871CF">
        <w:rPr>
          <w:rFonts w:ascii="Abadi" w:hAnsi="Abadi"/>
          <w:sz w:val="21"/>
          <w:szCs w:val="21"/>
          <w:lang w:val="es-MX" w:eastAsia="en-US"/>
        </w:rPr>
        <w:t>Ciudadano Juan Pablo Sánchez Padilla:</w:t>
      </w:r>
    </w:p>
    <w:p w14:paraId="1E06E507" w14:textId="77777777" w:rsidR="00E871CF" w:rsidRPr="00E871CF" w:rsidRDefault="00E871CF" w:rsidP="004E29E7">
      <w:pPr>
        <w:widowControl w:val="0"/>
        <w:jc w:val="both"/>
        <w:rPr>
          <w:rFonts w:ascii="Abadi" w:hAnsi="Abadi"/>
          <w:sz w:val="21"/>
          <w:szCs w:val="21"/>
          <w:lang w:val="es-MX" w:eastAsia="en-US"/>
        </w:rPr>
      </w:pPr>
    </w:p>
    <w:p w14:paraId="098CF97D" w14:textId="77777777" w:rsidR="00E871CF" w:rsidRPr="00E871CF" w:rsidRDefault="00E871CF" w:rsidP="004E29E7">
      <w:pPr>
        <w:widowControl w:val="0"/>
        <w:ind w:left="851" w:right="851"/>
        <w:jc w:val="both"/>
        <w:rPr>
          <w:rFonts w:ascii="Abadi" w:hAnsi="Abadi" w:cstheme="minorBidi"/>
          <w:i/>
          <w:iCs/>
          <w:sz w:val="21"/>
          <w:szCs w:val="21"/>
          <w:lang w:val="es-MX" w:eastAsia="en-US"/>
        </w:rPr>
      </w:pPr>
      <w:r w:rsidRPr="00E871CF">
        <w:rPr>
          <w:rFonts w:ascii="Abadi" w:hAnsi="Abadi" w:cstheme="minorBidi"/>
          <w:i/>
          <w:iCs/>
          <w:sz w:val="21"/>
          <w:szCs w:val="21"/>
          <w:lang w:val="es-MX" w:eastAsia="en-US"/>
        </w:rPr>
        <w:t>LENGUA DE SEÑAS MEXICANA en las escuelas</w:t>
      </w:r>
    </w:p>
    <w:p w14:paraId="004BEFE1" w14:textId="77777777" w:rsidR="00E871CF" w:rsidRPr="00E871CF" w:rsidRDefault="00E871CF" w:rsidP="004E29E7">
      <w:pPr>
        <w:widowControl w:val="0"/>
        <w:ind w:left="851" w:right="851"/>
        <w:jc w:val="both"/>
        <w:rPr>
          <w:rFonts w:ascii="Abadi" w:hAnsi="Abadi" w:cstheme="minorBidi"/>
          <w:i/>
          <w:iCs/>
          <w:sz w:val="21"/>
          <w:szCs w:val="21"/>
          <w:lang w:val="es-MX" w:eastAsia="en-US"/>
        </w:rPr>
      </w:pPr>
    </w:p>
    <w:p w14:paraId="7C3E3871" w14:textId="77777777" w:rsidR="00E871CF" w:rsidRPr="00E871CF" w:rsidRDefault="00E871CF" w:rsidP="004E29E7">
      <w:pPr>
        <w:widowControl w:val="0"/>
        <w:ind w:left="851" w:right="851"/>
        <w:jc w:val="both"/>
        <w:rPr>
          <w:rFonts w:ascii="Abadi" w:hAnsi="Abadi" w:cstheme="minorBidi"/>
          <w:i/>
          <w:iCs/>
          <w:sz w:val="21"/>
          <w:szCs w:val="21"/>
          <w:lang w:val="es-MX" w:eastAsia="en-US"/>
        </w:rPr>
      </w:pPr>
      <w:r w:rsidRPr="00E871CF">
        <w:rPr>
          <w:rFonts w:ascii="Abadi" w:hAnsi="Abadi" w:cstheme="minorBidi"/>
          <w:i/>
          <w:iCs/>
          <w:sz w:val="21"/>
          <w:szCs w:val="21"/>
          <w:lang w:val="es-MX" w:eastAsia="en-US"/>
        </w:rPr>
        <w:t>LENGUA DE SEÑAS MEXICANA en todos los comunicados e información publica;</w:t>
      </w:r>
    </w:p>
    <w:p w14:paraId="7A083F9C" w14:textId="77777777" w:rsidR="00E871CF" w:rsidRPr="00E871CF" w:rsidRDefault="00E871CF" w:rsidP="004E29E7">
      <w:pPr>
        <w:widowControl w:val="0"/>
        <w:ind w:left="851" w:right="851"/>
        <w:jc w:val="both"/>
        <w:rPr>
          <w:rFonts w:ascii="Abadi" w:hAnsi="Abadi" w:cstheme="minorBidi"/>
          <w:i/>
          <w:iCs/>
          <w:sz w:val="21"/>
          <w:szCs w:val="21"/>
          <w:lang w:val="es-MX" w:eastAsia="en-US"/>
        </w:rPr>
      </w:pPr>
    </w:p>
    <w:p w14:paraId="297D35F0" w14:textId="77777777" w:rsidR="00E871CF" w:rsidRPr="00E871CF" w:rsidRDefault="00E871CF" w:rsidP="004E29E7">
      <w:pPr>
        <w:widowControl w:val="0"/>
        <w:ind w:left="851" w:right="851"/>
        <w:jc w:val="both"/>
        <w:rPr>
          <w:rFonts w:ascii="Abadi" w:hAnsi="Abadi" w:cstheme="minorBidi"/>
          <w:i/>
          <w:iCs/>
          <w:sz w:val="21"/>
          <w:szCs w:val="21"/>
          <w:lang w:val="es-MX" w:eastAsia="en-US"/>
        </w:rPr>
      </w:pPr>
      <w:r w:rsidRPr="00E871CF">
        <w:rPr>
          <w:rFonts w:ascii="Abadi" w:hAnsi="Abadi" w:cstheme="minorBidi"/>
          <w:i/>
          <w:iCs/>
          <w:sz w:val="21"/>
          <w:szCs w:val="21"/>
          <w:lang w:val="es-MX" w:eastAsia="en-US"/>
        </w:rPr>
        <w:t>Problemática: Vulneración de derechos de las personas sordas de acceso inclusivo a *toda* la información publica por los órganos de gobierno Contexto social:</w:t>
      </w:r>
    </w:p>
    <w:p w14:paraId="438B122D" w14:textId="77777777" w:rsidR="00E871CF" w:rsidRPr="00E871CF" w:rsidRDefault="00E871CF" w:rsidP="004E29E7">
      <w:pPr>
        <w:widowControl w:val="0"/>
        <w:ind w:left="851" w:right="851"/>
        <w:jc w:val="both"/>
        <w:rPr>
          <w:rFonts w:ascii="Abadi" w:hAnsi="Abadi" w:cstheme="minorBidi"/>
          <w:i/>
          <w:iCs/>
          <w:sz w:val="21"/>
          <w:szCs w:val="21"/>
          <w:lang w:val="es-MX" w:eastAsia="en-US"/>
        </w:rPr>
      </w:pPr>
    </w:p>
    <w:p w14:paraId="494527F5" w14:textId="77777777" w:rsidR="00E871CF" w:rsidRPr="00E871CF" w:rsidRDefault="00E871CF" w:rsidP="004E29E7">
      <w:pPr>
        <w:widowControl w:val="0"/>
        <w:ind w:left="851" w:right="851"/>
        <w:jc w:val="both"/>
        <w:rPr>
          <w:rFonts w:ascii="Abadi" w:hAnsi="Abadi" w:cstheme="minorBidi"/>
          <w:i/>
          <w:iCs/>
          <w:sz w:val="21"/>
          <w:szCs w:val="21"/>
          <w:lang w:val="es-MX" w:eastAsia="en-US"/>
        </w:rPr>
      </w:pPr>
      <w:r w:rsidRPr="00E871CF">
        <w:rPr>
          <w:rFonts w:ascii="Abadi" w:hAnsi="Abadi" w:cstheme="minorBidi"/>
          <w:i/>
          <w:iCs/>
          <w:sz w:val="21"/>
          <w:szCs w:val="21"/>
          <w:lang w:val="es-MX" w:eastAsia="en-US"/>
        </w:rPr>
        <w:t>1) Rezago educativo de las personas sordas por la falta de educación incluyente tomando como base la LSM como lengua primaria para la enseñanza del español como lengua secundaria.</w:t>
      </w:r>
    </w:p>
    <w:p w14:paraId="7D1AB326" w14:textId="77777777" w:rsidR="00E871CF" w:rsidRPr="00E871CF" w:rsidRDefault="00E871CF" w:rsidP="004E29E7">
      <w:pPr>
        <w:widowControl w:val="0"/>
        <w:ind w:left="851" w:right="851"/>
        <w:jc w:val="both"/>
        <w:rPr>
          <w:rFonts w:ascii="Abadi" w:hAnsi="Abadi" w:cstheme="minorBidi"/>
          <w:i/>
          <w:iCs/>
          <w:sz w:val="21"/>
          <w:szCs w:val="21"/>
          <w:lang w:val="es-MX" w:eastAsia="en-US"/>
        </w:rPr>
      </w:pPr>
      <w:r w:rsidRPr="00E871CF">
        <w:rPr>
          <w:rFonts w:ascii="Abadi" w:hAnsi="Abadi" w:cstheme="minorBidi"/>
          <w:i/>
          <w:iCs/>
          <w:sz w:val="21"/>
          <w:szCs w:val="21"/>
          <w:lang w:val="es-MX" w:eastAsia="en-US"/>
        </w:rPr>
        <w:t>Resultado: Desconocimiento sustantivo(uso) del español en un grado efectivo y eficiente.</w:t>
      </w:r>
    </w:p>
    <w:p w14:paraId="0457AE25" w14:textId="77777777" w:rsidR="00E871CF" w:rsidRPr="00E871CF" w:rsidRDefault="00E871CF" w:rsidP="004E29E7">
      <w:pPr>
        <w:widowControl w:val="0"/>
        <w:ind w:left="851" w:right="851"/>
        <w:jc w:val="both"/>
        <w:rPr>
          <w:rFonts w:ascii="Abadi" w:hAnsi="Abadi" w:cstheme="minorBidi"/>
          <w:i/>
          <w:iCs/>
          <w:sz w:val="21"/>
          <w:szCs w:val="21"/>
          <w:lang w:val="es-MX" w:eastAsia="en-US"/>
        </w:rPr>
      </w:pPr>
    </w:p>
    <w:p w14:paraId="32C0864D" w14:textId="77777777" w:rsidR="00E871CF" w:rsidRPr="00E871CF" w:rsidRDefault="00E871CF" w:rsidP="004E29E7">
      <w:pPr>
        <w:widowControl w:val="0"/>
        <w:ind w:left="851" w:right="851"/>
        <w:jc w:val="both"/>
        <w:rPr>
          <w:rFonts w:ascii="Abadi" w:hAnsi="Abadi" w:cstheme="minorBidi"/>
          <w:i/>
          <w:iCs/>
          <w:sz w:val="21"/>
          <w:szCs w:val="21"/>
          <w:lang w:val="es-MX" w:eastAsia="en-US"/>
        </w:rPr>
      </w:pPr>
      <w:r w:rsidRPr="00E871CF">
        <w:rPr>
          <w:rFonts w:ascii="Abadi" w:hAnsi="Abadi" w:cstheme="minorBidi"/>
          <w:i/>
          <w:iCs/>
          <w:sz w:val="21"/>
          <w:szCs w:val="21"/>
          <w:lang w:val="es-MX" w:eastAsia="en-US"/>
        </w:rPr>
        <w:t>2) Medidas de comunicación implementadas: Subtitulado en español de los comunicados e información Educación 100% bilingüe, tomando como lengua primaria de las personas sordas, la Medidas</w:t>
      </w:r>
    </w:p>
    <w:p w14:paraId="1EED0F0B" w14:textId="77777777" w:rsidR="00E871CF" w:rsidRPr="00E871CF" w:rsidRDefault="00E871CF" w:rsidP="004E29E7">
      <w:pPr>
        <w:widowControl w:val="0"/>
        <w:jc w:val="both"/>
        <w:rPr>
          <w:rFonts w:ascii="Abadi" w:hAnsi="Abadi"/>
          <w:sz w:val="21"/>
          <w:szCs w:val="21"/>
          <w:lang w:val="es-MX" w:eastAsia="en-US"/>
        </w:rPr>
      </w:pPr>
    </w:p>
    <w:p w14:paraId="0766CF06" w14:textId="77777777" w:rsidR="00E871CF" w:rsidRPr="00E871CF" w:rsidRDefault="00E871CF" w:rsidP="004E29E7">
      <w:pPr>
        <w:widowControl w:val="0"/>
        <w:ind w:firstLine="851"/>
        <w:jc w:val="both"/>
        <w:rPr>
          <w:rFonts w:ascii="Abadi" w:hAnsi="Abadi"/>
          <w:sz w:val="21"/>
          <w:szCs w:val="21"/>
          <w:lang w:val="es-MX" w:eastAsia="en-US"/>
        </w:rPr>
      </w:pPr>
      <w:r w:rsidRPr="00E871CF">
        <w:rPr>
          <w:rFonts w:ascii="Abadi" w:hAnsi="Abadi"/>
          <w:sz w:val="21"/>
          <w:szCs w:val="21"/>
          <w:lang w:val="es-MX" w:eastAsia="en-US"/>
        </w:rPr>
        <w:t>Licenciado José José Grimaldo Colmenero, director general del Instituto Guanajuatense para las Personas con Discapacidad:</w:t>
      </w:r>
    </w:p>
    <w:p w14:paraId="0E20CB3C" w14:textId="77777777" w:rsidR="00E871CF" w:rsidRPr="00E871CF" w:rsidRDefault="00E871CF" w:rsidP="004E29E7">
      <w:pPr>
        <w:widowControl w:val="0"/>
        <w:jc w:val="both"/>
        <w:rPr>
          <w:rFonts w:ascii="Abadi" w:hAnsi="Abadi"/>
          <w:sz w:val="21"/>
          <w:szCs w:val="21"/>
          <w:lang w:val="es-MX" w:eastAsia="en-US"/>
        </w:rPr>
      </w:pPr>
    </w:p>
    <w:p w14:paraId="1B217D2A" w14:textId="77777777" w:rsidR="00E871CF" w:rsidRPr="00E871CF" w:rsidRDefault="00E871CF" w:rsidP="004E29E7">
      <w:pPr>
        <w:widowControl w:val="0"/>
        <w:ind w:left="851" w:right="851"/>
        <w:jc w:val="both"/>
        <w:rPr>
          <w:rFonts w:ascii="Abadi" w:eastAsiaTheme="minorHAnsi" w:hAnsi="Abadi" w:cstheme="minorBidi"/>
          <w:i/>
          <w:iCs/>
          <w:sz w:val="21"/>
          <w:szCs w:val="21"/>
          <w:lang w:val="es-MX" w:eastAsia="en-US"/>
        </w:rPr>
      </w:pPr>
      <w:r w:rsidRPr="00E871CF">
        <w:rPr>
          <w:rFonts w:ascii="Abadi" w:eastAsiaTheme="minorHAnsi" w:hAnsi="Abadi" w:cstheme="minorBidi"/>
          <w:i/>
          <w:iCs/>
          <w:sz w:val="21"/>
          <w:szCs w:val="21"/>
          <w:lang w:val="es-MX" w:eastAsia="en-US"/>
        </w:rPr>
        <w:t>Como bien lo señala en la exposición de motivos de la iniciativa con proyecto de decreto presentada por la fracción parlamentaria del partido del trabajo, una de las características más distintivas de la administración pública es su ubicuidad dentro de la vida de los individuos, como lo señala la convención sobre los derechos de las personas con discapacidad, su protocolo facultativo y con la reforma constitucional en Materia de Derechos Humanos de 2011, se elevan a rango constitucional. Las normas relativas a los Derechos Humanos se interpretan de conformidad con nuestra Constitución y con los Tratados Internacionales en la materia, favoreciendo en todo tiempo a las personas con la protección más amplia. Todas las autoridades, en el ámbito de sus competencias, tienen la obligación de promover, respetar, proteger y garantizar los Derechos Humanos de conformidad con los principios de universalidad, interdependencia, indivisibilidad y progresividad. En consecuencia, el Estado debe prevenir, investigar, sancionar y reparar las violaciones a los derechos humanos, en los términos que establezca la ley, la Convención sobre los Derechos de las Personas con Discapacidad y su Protocolo Facultativo.</w:t>
      </w:r>
    </w:p>
    <w:p w14:paraId="6ECB68DB" w14:textId="77777777" w:rsidR="00E871CF" w:rsidRPr="00E871CF" w:rsidRDefault="00E871CF" w:rsidP="00E871CF">
      <w:pPr>
        <w:widowControl w:val="0"/>
        <w:ind w:left="851" w:right="851"/>
        <w:jc w:val="both"/>
        <w:rPr>
          <w:rFonts w:ascii="Abadi" w:eastAsiaTheme="minorHAnsi" w:hAnsi="Abadi" w:cstheme="minorBidi"/>
          <w:i/>
          <w:iCs/>
          <w:sz w:val="21"/>
          <w:szCs w:val="21"/>
          <w:lang w:val="es-MX" w:eastAsia="en-US"/>
        </w:rPr>
      </w:pPr>
    </w:p>
    <w:p w14:paraId="0C828708" w14:textId="77777777" w:rsidR="00E871CF" w:rsidRPr="00E871CF" w:rsidRDefault="00E871CF" w:rsidP="00E871CF">
      <w:pPr>
        <w:widowControl w:val="0"/>
        <w:ind w:left="851" w:right="851"/>
        <w:jc w:val="both"/>
        <w:rPr>
          <w:rFonts w:ascii="Abadi" w:hAnsi="Abadi"/>
          <w:i/>
          <w:iCs/>
          <w:sz w:val="21"/>
          <w:szCs w:val="21"/>
          <w:lang w:val="es-MX" w:eastAsia="en-US"/>
        </w:rPr>
      </w:pPr>
      <w:r w:rsidRPr="00E871CF">
        <w:rPr>
          <w:rFonts w:ascii="Abadi" w:eastAsiaTheme="minorHAnsi" w:hAnsi="Abadi" w:cstheme="minorBidi"/>
          <w:i/>
          <w:iCs/>
          <w:sz w:val="21"/>
          <w:szCs w:val="21"/>
          <w:lang w:val="es-MX" w:eastAsia="en-US"/>
        </w:rPr>
        <w:t>El enfoque de derechos humanos toma como referente la universalidad, la igualdad y la no discriminación, de donde derivan acciones prioritarias hacia los grupos prioritarios. A través de la implementación de políticas públicas con perspectiva de derechos humanos se han enfocado esfuerzos para atender las especificidades de las poblaciones en desventaja o en condiciones de vulnerabilidad.</w:t>
      </w:r>
    </w:p>
    <w:p w14:paraId="0682FFEC" w14:textId="77777777" w:rsidR="00E871CF" w:rsidRPr="00E871CF" w:rsidRDefault="00E871CF" w:rsidP="00E871CF">
      <w:pPr>
        <w:widowControl w:val="0"/>
        <w:ind w:left="851" w:right="851"/>
        <w:jc w:val="both"/>
        <w:rPr>
          <w:rFonts w:ascii="Abadi" w:eastAsiaTheme="minorHAnsi" w:hAnsi="Abadi" w:cstheme="minorBidi"/>
          <w:i/>
          <w:iCs/>
          <w:sz w:val="21"/>
          <w:szCs w:val="21"/>
          <w:lang w:val="es-MX" w:eastAsia="en-US"/>
        </w:rPr>
      </w:pPr>
    </w:p>
    <w:p w14:paraId="6AA0B52F" w14:textId="77777777" w:rsidR="00E871CF" w:rsidRPr="00E871CF" w:rsidRDefault="00E871CF" w:rsidP="00E871CF">
      <w:pPr>
        <w:widowControl w:val="0"/>
        <w:ind w:left="851" w:right="851"/>
        <w:jc w:val="both"/>
        <w:rPr>
          <w:rFonts w:ascii="Abadi" w:hAnsi="Abadi"/>
          <w:i/>
          <w:iCs/>
          <w:sz w:val="21"/>
          <w:szCs w:val="21"/>
          <w:lang w:val="es-MX" w:eastAsia="en-US"/>
        </w:rPr>
      </w:pPr>
      <w:r w:rsidRPr="00E871CF">
        <w:rPr>
          <w:rFonts w:ascii="Abadi" w:eastAsiaTheme="minorHAnsi" w:hAnsi="Abadi" w:cstheme="minorBidi"/>
          <w:i/>
          <w:iCs/>
          <w:sz w:val="21"/>
          <w:szCs w:val="21"/>
          <w:lang w:val="es-MX" w:eastAsia="en-US"/>
        </w:rPr>
        <w:t>El Gobierno del Estado ha establecido un compromiso claro con la atención prioritaria a la población en situación de discapacidad, trabajamos para reconstruir las barreras físicas y sociales de los entornos donde viven y que dificultan o impiden el acceso a una vida autónoma con la dignidad inherente a todo ser humano.</w:t>
      </w:r>
    </w:p>
    <w:p w14:paraId="3253AB9C" w14:textId="77777777" w:rsidR="00E871CF" w:rsidRPr="00E871CF" w:rsidRDefault="00E871CF" w:rsidP="00E871CF">
      <w:pPr>
        <w:widowControl w:val="0"/>
        <w:ind w:left="851" w:right="851"/>
        <w:jc w:val="both"/>
        <w:rPr>
          <w:rFonts w:ascii="Abadi" w:eastAsiaTheme="minorHAnsi" w:hAnsi="Abadi" w:cstheme="minorBidi"/>
          <w:i/>
          <w:iCs/>
          <w:sz w:val="21"/>
          <w:szCs w:val="21"/>
          <w:lang w:val="es-MX" w:eastAsia="en-US"/>
        </w:rPr>
      </w:pPr>
    </w:p>
    <w:p w14:paraId="4EEB49DA" w14:textId="77777777" w:rsidR="00E871CF" w:rsidRPr="00E871CF" w:rsidRDefault="00E871CF" w:rsidP="00E871CF">
      <w:pPr>
        <w:widowControl w:val="0"/>
        <w:ind w:left="851" w:right="851"/>
        <w:jc w:val="both"/>
        <w:rPr>
          <w:rFonts w:ascii="Abadi" w:eastAsiaTheme="minorHAnsi" w:hAnsi="Abadi" w:cstheme="minorBidi"/>
          <w:i/>
          <w:iCs/>
          <w:sz w:val="21"/>
          <w:szCs w:val="21"/>
          <w:lang w:val="es-MX" w:eastAsia="en-US"/>
        </w:rPr>
      </w:pPr>
      <w:r w:rsidRPr="00E871CF">
        <w:rPr>
          <w:rFonts w:ascii="Abadi" w:eastAsiaTheme="minorHAnsi" w:hAnsi="Abadi" w:cstheme="minorBidi"/>
          <w:i/>
          <w:iCs/>
          <w:sz w:val="21"/>
          <w:szCs w:val="21"/>
          <w:lang w:val="es-MX" w:eastAsia="en-US"/>
        </w:rPr>
        <w:t>En materia de acceso a la información pública eficaz, la secretaria de la Transparencia y Rendición de Cuentas como órgano rector en materia de mejora regulatoria, está enfocada en la actualización de los servicios que presta gobierno del Estado, con la expedición de la Ley General de Mejora Regulatoria, y Decreto Legislativo número 340, publicado en el Periódico Oficial del Gobierno del Estado número 194, Cuarta Parte, de 24 de septiembre de 2018, se publica la Ley de Mejora Regulatoria para el Estado de Guanajuato, entrando en vigor el 1º de enero del 2019.</w:t>
      </w:r>
    </w:p>
    <w:p w14:paraId="337D034B" w14:textId="77777777" w:rsidR="00E871CF" w:rsidRPr="00E871CF" w:rsidRDefault="00E871CF" w:rsidP="00E871CF">
      <w:pPr>
        <w:widowControl w:val="0"/>
        <w:ind w:left="851" w:right="851"/>
        <w:jc w:val="both"/>
        <w:rPr>
          <w:rFonts w:ascii="Abadi" w:eastAsiaTheme="minorHAnsi" w:hAnsi="Abadi" w:cstheme="minorBidi"/>
          <w:i/>
          <w:iCs/>
          <w:sz w:val="21"/>
          <w:szCs w:val="21"/>
          <w:lang w:val="es-MX" w:eastAsia="en-US"/>
        </w:rPr>
      </w:pPr>
    </w:p>
    <w:p w14:paraId="5DF41894" w14:textId="77777777" w:rsidR="00E871CF" w:rsidRPr="00E871CF" w:rsidRDefault="00E871CF" w:rsidP="00E871CF">
      <w:pPr>
        <w:widowControl w:val="0"/>
        <w:ind w:left="851" w:right="851"/>
        <w:jc w:val="both"/>
        <w:rPr>
          <w:rFonts w:ascii="Abadi" w:hAnsi="Abadi"/>
          <w:i/>
          <w:iCs/>
          <w:sz w:val="21"/>
          <w:szCs w:val="21"/>
          <w:lang w:val="es-MX" w:eastAsia="en-US"/>
        </w:rPr>
      </w:pPr>
      <w:r w:rsidRPr="00E871CF">
        <w:rPr>
          <w:rFonts w:ascii="Abadi" w:hAnsi="Abadi" w:cstheme="minorBidi"/>
          <w:i/>
          <w:iCs/>
          <w:sz w:val="21"/>
          <w:szCs w:val="21"/>
          <w:lang w:val="es-MX" w:eastAsia="en-US"/>
        </w:rPr>
        <w:t>Con el objeto de cumplir con los principios y objetivos de la política de mejora regulatoria se crean lineamientos que permiten su materialización. Atendiendo específicamente a los Lineamientos para la elaboración de los Programas de Mejora Regulatoria de la Administración Pública Estatal, se desprende en el Artículo 25, que la Dirección de Mejora Regulatoria emitirá a través de la herramienta informática y, en casos excepcionales, de manera oficial, una propuesta a los Sujetos Obligados con recomendaciones específicas para mejorar las regulaciones y simplificar los trámites y servicios que generen el mayor impacto a los particulares.</w:t>
      </w:r>
    </w:p>
    <w:p w14:paraId="785FD8C7" w14:textId="77777777" w:rsidR="00E871CF" w:rsidRPr="00E871CF" w:rsidRDefault="00E871CF" w:rsidP="00E871CF">
      <w:pPr>
        <w:widowControl w:val="0"/>
        <w:ind w:left="851" w:right="851"/>
        <w:jc w:val="both"/>
        <w:rPr>
          <w:rFonts w:ascii="Abadi" w:eastAsiaTheme="minorHAnsi" w:hAnsi="Abadi" w:cstheme="minorBidi"/>
          <w:i/>
          <w:iCs/>
          <w:sz w:val="21"/>
          <w:szCs w:val="21"/>
          <w:lang w:val="es-MX" w:eastAsia="en-US"/>
        </w:rPr>
      </w:pPr>
    </w:p>
    <w:p w14:paraId="100C4388" w14:textId="77777777" w:rsidR="00E871CF" w:rsidRPr="00E871CF" w:rsidRDefault="00E871CF" w:rsidP="00E871CF">
      <w:pPr>
        <w:widowControl w:val="0"/>
        <w:ind w:left="851" w:right="851"/>
        <w:jc w:val="both"/>
        <w:rPr>
          <w:rFonts w:ascii="Abadi" w:hAnsi="Abadi"/>
          <w:i/>
          <w:iCs/>
          <w:sz w:val="21"/>
          <w:szCs w:val="21"/>
          <w:lang w:val="es-MX" w:eastAsia="en-US"/>
        </w:rPr>
      </w:pPr>
      <w:r w:rsidRPr="00E871CF">
        <w:rPr>
          <w:rFonts w:ascii="Abadi" w:hAnsi="Abadi" w:cstheme="minorBidi"/>
          <w:i/>
          <w:iCs/>
          <w:sz w:val="21"/>
          <w:szCs w:val="21"/>
          <w:lang w:val="es-MX" w:eastAsia="en-US"/>
        </w:rPr>
        <w:t>Así, las recomendaciones específicas para la mejora y simplificación administrativa de los trámites y servicios que ofrece la Administración Pública Estatal, versan sobre lo siguiente:</w:t>
      </w:r>
    </w:p>
    <w:p w14:paraId="418767FC" w14:textId="77777777" w:rsidR="00E871CF" w:rsidRPr="00E871CF" w:rsidRDefault="00E871CF" w:rsidP="00E871CF">
      <w:pPr>
        <w:widowControl w:val="0"/>
        <w:ind w:left="851" w:right="851"/>
        <w:jc w:val="both"/>
        <w:rPr>
          <w:rFonts w:ascii="Abadi" w:hAnsi="Abadi" w:cstheme="minorBidi"/>
          <w:i/>
          <w:iCs/>
          <w:sz w:val="21"/>
          <w:szCs w:val="21"/>
          <w:lang w:val="es-MX" w:eastAsia="en-US"/>
        </w:rPr>
      </w:pPr>
    </w:p>
    <w:p w14:paraId="02AD1581" w14:textId="77777777" w:rsidR="00E871CF" w:rsidRPr="00E871CF" w:rsidRDefault="00E871CF" w:rsidP="00E871CF">
      <w:pPr>
        <w:widowControl w:val="0"/>
        <w:ind w:left="851" w:right="851"/>
        <w:jc w:val="both"/>
        <w:rPr>
          <w:rFonts w:ascii="Abadi" w:hAnsi="Abadi" w:cstheme="minorBidi"/>
          <w:i/>
          <w:iCs/>
          <w:sz w:val="21"/>
          <w:szCs w:val="21"/>
          <w:lang w:val="es-MX" w:eastAsia="en-US"/>
        </w:rPr>
      </w:pPr>
      <w:r w:rsidRPr="00E871CF">
        <w:rPr>
          <w:rFonts w:ascii="Abadi" w:hAnsi="Abadi" w:cstheme="minorBidi"/>
          <w:i/>
          <w:iCs/>
          <w:sz w:val="21"/>
          <w:szCs w:val="21"/>
          <w:lang w:val="es-MX" w:eastAsia="en-US"/>
        </w:rPr>
        <w:t>1. Implementación de Lineamientos de Mejora de Trámites y Servicios que tienen por finalidad, contribuir a incrementar la eficacia y eficiencia de los procesos, la efectividad de la gestión gubernamental y la satisfacción de los ciudadanos en la gestión de trámites y servicios estatales.</w:t>
      </w:r>
    </w:p>
    <w:p w14:paraId="451E9901" w14:textId="77777777" w:rsidR="00E871CF" w:rsidRPr="00E871CF" w:rsidRDefault="00E871CF" w:rsidP="00E871CF">
      <w:pPr>
        <w:widowControl w:val="0"/>
        <w:ind w:left="851" w:right="851"/>
        <w:jc w:val="both"/>
        <w:rPr>
          <w:rFonts w:ascii="Abadi" w:hAnsi="Abadi" w:cstheme="minorBidi"/>
          <w:i/>
          <w:iCs/>
          <w:sz w:val="21"/>
          <w:szCs w:val="21"/>
          <w:lang w:val="es-MX" w:eastAsia="en-US"/>
        </w:rPr>
      </w:pPr>
    </w:p>
    <w:p w14:paraId="41E09C79" w14:textId="77777777" w:rsidR="00E871CF" w:rsidRPr="00E871CF" w:rsidRDefault="00E871CF" w:rsidP="00E871CF">
      <w:pPr>
        <w:widowControl w:val="0"/>
        <w:ind w:left="851" w:right="851"/>
        <w:jc w:val="both"/>
        <w:rPr>
          <w:rFonts w:ascii="Abadi" w:hAnsi="Abadi"/>
          <w:i/>
          <w:iCs/>
          <w:sz w:val="21"/>
          <w:szCs w:val="21"/>
          <w:lang w:val="es-MX" w:eastAsia="en-US"/>
        </w:rPr>
      </w:pPr>
      <w:r w:rsidRPr="00E871CF">
        <w:rPr>
          <w:rFonts w:ascii="Abadi" w:hAnsi="Abadi" w:cstheme="minorBidi"/>
          <w:i/>
          <w:iCs/>
          <w:sz w:val="21"/>
          <w:szCs w:val="21"/>
          <w:lang w:val="es-MX" w:eastAsia="en-US"/>
        </w:rPr>
        <w:t>2. Atender a la digitalización de los trámites. Ya que el uso de las tecnologías es la manifestación de un país y su población de la brecha digital existente. La digitalización consiste en la captura, procesamiento y almacenamiento de información en redes informáticas accesibles en tiempo real, para su reproducción o manipulación.</w:t>
      </w:r>
    </w:p>
    <w:p w14:paraId="60DFA805" w14:textId="77777777" w:rsidR="00E871CF" w:rsidRPr="00E871CF" w:rsidRDefault="00E871CF" w:rsidP="00E871CF">
      <w:pPr>
        <w:widowControl w:val="0"/>
        <w:ind w:left="851" w:right="851"/>
        <w:jc w:val="both"/>
        <w:rPr>
          <w:rFonts w:ascii="Abadi" w:hAnsi="Abadi" w:cstheme="minorBidi"/>
          <w:i/>
          <w:iCs/>
          <w:sz w:val="21"/>
          <w:szCs w:val="21"/>
          <w:lang w:val="es-MX" w:eastAsia="en-US"/>
        </w:rPr>
      </w:pPr>
    </w:p>
    <w:p w14:paraId="7F3DAE64" w14:textId="77777777" w:rsidR="00E871CF" w:rsidRPr="00E871CF" w:rsidRDefault="00E871CF" w:rsidP="00E871CF">
      <w:pPr>
        <w:widowControl w:val="0"/>
        <w:ind w:left="851" w:right="851"/>
        <w:jc w:val="both"/>
        <w:rPr>
          <w:rFonts w:ascii="Abadi" w:hAnsi="Abadi" w:cstheme="minorBidi"/>
          <w:i/>
          <w:iCs/>
          <w:sz w:val="21"/>
          <w:szCs w:val="21"/>
          <w:lang w:val="es-MX" w:eastAsia="en-US"/>
        </w:rPr>
      </w:pPr>
      <w:r w:rsidRPr="00E871CF">
        <w:rPr>
          <w:rFonts w:ascii="Abadi" w:hAnsi="Abadi" w:cstheme="minorBidi"/>
          <w:i/>
          <w:iCs/>
          <w:sz w:val="21"/>
          <w:szCs w:val="21"/>
          <w:lang w:val="es-MX" w:eastAsia="en-US"/>
        </w:rPr>
        <w:t>La evaluación del nivel de madurez de un trámite en cuanto a la digitalización permite identificar el avance del trámite en los diferentes ámbitos y comparar de forma específica un trámite con otro. En donde los niveles de madurez se encuentran:</w:t>
      </w:r>
    </w:p>
    <w:p w14:paraId="7C5825B7" w14:textId="77777777" w:rsidR="00E871CF" w:rsidRPr="00E871CF" w:rsidRDefault="00E871CF" w:rsidP="00E871CF">
      <w:pPr>
        <w:widowControl w:val="0"/>
        <w:ind w:left="851" w:right="851"/>
        <w:jc w:val="both"/>
        <w:rPr>
          <w:rFonts w:ascii="Abadi" w:hAnsi="Abadi" w:cstheme="minorBidi"/>
          <w:i/>
          <w:iCs/>
          <w:sz w:val="21"/>
          <w:szCs w:val="21"/>
          <w:lang w:val="es-MX" w:eastAsia="en-US"/>
        </w:rPr>
      </w:pPr>
    </w:p>
    <w:p w14:paraId="5CABD331" w14:textId="77777777" w:rsidR="00E871CF" w:rsidRPr="00E871CF" w:rsidRDefault="00E871CF" w:rsidP="00E871CF">
      <w:pPr>
        <w:widowControl w:val="0"/>
        <w:ind w:left="851" w:right="851"/>
        <w:jc w:val="both"/>
        <w:rPr>
          <w:rFonts w:ascii="Abadi" w:hAnsi="Abadi" w:cstheme="minorBidi"/>
          <w:i/>
          <w:iCs/>
          <w:sz w:val="21"/>
          <w:szCs w:val="21"/>
          <w:lang w:val="es-MX" w:eastAsia="en-US"/>
        </w:rPr>
      </w:pPr>
      <w:r w:rsidRPr="00E871CF">
        <w:rPr>
          <w:rFonts w:ascii="Abadi" w:hAnsi="Abadi" w:cstheme="minorBidi"/>
          <w:i/>
          <w:iCs/>
          <w:sz w:val="21"/>
          <w:szCs w:val="21"/>
          <w:lang w:val="es-MX" w:eastAsia="en-US"/>
        </w:rPr>
        <w:t>1° Informativo Información del trámite;</w:t>
      </w:r>
    </w:p>
    <w:p w14:paraId="46D1E66D" w14:textId="77777777" w:rsidR="00E871CF" w:rsidRPr="00E871CF" w:rsidRDefault="00E871CF" w:rsidP="00E871CF">
      <w:pPr>
        <w:widowControl w:val="0"/>
        <w:ind w:left="851" w:right="851"/>
        <w:jc w:val="both"/>
        <w:rPr>
          <w:rFonts w:ascii="Abadi" w:eastAsiaTheme="minorHAnsi" w:hAnsi="Abadi" w:cstheme="minorBidi"/>
          <w:i/>
          <w:iCs/>
          <w:sz w:val="21"/>
          <w:szCs w:val="21"/>
          <w:lang w:val="es-MX" w:eastAsia="en-US"/>
        </w:rPr>
      </w:pPr>
      <w:r w:rsidRPr="00E871CF">
        <w:rPr>
          <w:rFonts w:ascii="Abadi" w:eastAsiaTheme="minorHAnsi" w:hAnsi="Abadi"/>
          <w:i/>
          <w:iCs/>
          <w:sz w:val="21"/>
          <w:szCs w:val="21"/>
          <w:lang w:val="es-MX" w:eastAsia="en-US"/>
        </w:rPr>
        <w:t>2° Descarga de formatos;</w:t>
      </w:r>
    </w:p>
    <w:p w14:paraId="7D81C573" w14:textId="77777777" w:rsidR="00E871CF" w:rsidRPr="00E871CF" w:rsidRDefault="00E871CF" w:rsidP="00E871CF">
      <w:pPr>
        <w:widowControl w:val="0"/>
        <w:ind w:left="851" w:right="851"/>
        <w:jc w:val="both"/>
        <w:rPr>
          <w:rFonts w:ascii="Abadi" w:eastAsiaTheme="minorHAnsi" w:hAnsi="Abadi"/>
          <w:i/>
          <w:iCs/>
          <w:sz w:val="21"/>
          <w:szCs w:val="21"/>
          <w:lang w:val="es-MX" w:eastAsia="en-US"/>
        </w:rPr>
      </w:pPr>
      <w:r w:rsidRPr="00E871CF">
        <w:rPr>
          <w:rFonts w:ascii="Abadi" w:eastAsiaTheme="minorHAnsi" w:hAnsi="Abadi"/>
          <w:i/>
          <w:iCs/>
          <w:sz w:val="21"/>
          <w:szCs w:val="21"/>
          <w:lang w:val="es-MX" w:eastAsia="en-US"/>
        </w:rPr>
        <w:t>3° Transaccional y</w:t>
      </w:r>
    </w:p>
    <w:p w14:paraId="7680D585" w14:textId="77777777" w:rsidR="00E871CF" w:rsidRPr="00E871CF" w:rsidRDefault="00E871CF" w:rsidP="00E871CF">
      <w:pPr>
        <w:widowControl w:val="0"/>
        <w:ind w:left="851" w:right="851"/>
        <w:jc w:val="both"/>
        <w:rPr>
          <w:rFonts w:ascii="Abadi" w:eastAsiaTheme="minorHAnsi" w:hAnsi="Abadi"/>
          <w:i/>
          <w:iCs/>
          <w:sz w:val="21"/>
          <w:szCs w:val="21"/>
          <w:lang w:val="es-MX" w:eastAsia="en-US"/>
        </w:rPr>
      </w:pPr>
      <w:r w:rsidRPr="00E871CF">
        <w:rPr>
          <w:rFonts w:ascii="Abadi" w:eastAsiaTheme="minorHAnsi" w:hAnsi="Abadi"/>
          <w:i/>
          <w:iCs/>
          <w:sz w:val="21"/>
          <w:szCs w:val="21"/>
          <w:lang w:val="es-MX" w:eastAsia="en-US"/>
        </w:rPr>
        <w:t>4° En línea</w:t>
      </w:r>
    </w:p>
    <w:p w14:paraId="478C3C30" w14:textId="77777777" w:rsidR="00E871CF" w:rsidRPr="00E871CF" w:rsidRDefault="00E871CF" w:rsidP="00E871CF">
      <w:pPr>
        <w:widowControl w:val="0"/>
        <w:ind w:left="851" w:right="851"/>
        <w:jc w:val="both"/>
        <w:rPr>
          <w:rFonts w:ascii="Abadi" w:eastAsiaTheme="minorHAnsi" w:hAnsi="Abadi"/>
          <w:i/>
          <w:iCs/>
          <w:sz w:val="21"/>
          <w:szCs w:val="21"/>
          <w:lang w:val="es-MX" w:eastAsia="en-US"/>
        </w:rPr>
      </w:pPr>
    </w:p>
    <w:p w14:paraId="69EDD46D" w14:textId="77777777" w:rsidR="00E871CF" w:rsidRPr="00E871CF" w:rsidRDefault="00E871CF" w:rsidP="00E871CF">
      <w:pPr>
        <w:widowControl w:val="0"/>
        <w:ind w:left="851" w:right="851"/>
        <w:jc w:val="both"/>
        <w:rPr>
          <w:rFonts w:ascii="Abadi" w:eastAsiaTheme="minorHAnsi" w:hAnsi="Abadi"/>
          <w:i/>
          <w:iCs/>
          <w:sz w:val="21"/>
          <w:szCs w:val="21"/>
          <w:lang w:val="es-MX" w:eastAsia="en-US"/>
        </w:rPr>
      </w:pPr>
      <w:r w:rsidRPr="00E871CF">
        <w:rPr>
          <w:rFonts w:ascii="Abadi" w:eastAsiaTheme="minorHAnsi" w:hAnsi="Abadi"/>
          <w:i/>
          <w:iCs/>
          <w:sz w:val="21"/>
          <w:szCs w:val="21"/>
          <w:lang w:val="es-MX" w:eastAsia="en-US"/>
        </w:rPr>
        <w:t>El propósito durante este año es contar con tramites desde nivel 2 a 4; considerando la planeación futura de un franco desarrollo en este ámbito.</w:t>
      </w:r>
    </w:p>
    <w:p w14:paraId="63FB5561" w14:textId="77777777" w:rsidR="00E871CF" w:rsidRPr="00E871CF" w:rsidRDefault="00E871CF" w:rsidP="00E871CF">
      <w:pPr>
        <w:widowControl w:val="0"/>
        <w:ind w:left="851" w:right="851"/>
        <w:jc w:val="both"/>
        <w:rPr>
          <w:rFonts w:ascii="Abadi" w:eastAsiaTheme="minorHAnsi" w:hAnsi="Abadi"/>
          <w:i/>
          <w:iCs/>
          <w:sz w:val="21"/>
          <w:szCs w:val="21"/>
          <w:lang w:val="es-MX" w:eastAsia="en-US"/>
        </w:rPr>
      </w:pPr>
    </w:p>
    <w:p w14:paraId="3C0746C6" w14:textId="77777777" w:rsidR="00E871CF" w:rsidRPr="00E871CF" w:rsidRDefault="00E871CF" w:rsidP="00E871CF">
      <w:pPr>
        <w:widowControl w:val="0"/>
        <w:ind w:left="851" w:right="851"/>
        <w:jc w:val="both"/>
        <w:rPr>
          <w:rFonts w:ascii="Abadi" w:eastAsiaTheme="minorHAnsi" w:hAnsi="Abadi"/>
          <w:i/>
          <w:iCs/>
          <w:sz w:val="21"/>
          <w:szCs w:val="21"/>
          <w:lang w:val="es-MX" w:eastAsia="en-US"/>
        </w:rPr>
      </w:pPr>
      <w:r w:rsidRPr="00E871CF">
        <w:rPr>
          <w:rFonts w:ascii="Abadi" w:eastAsiaTheme="minorHAnsi" w:hAnsi="Abadi"/>
          <w:i/>
          <w:iCs/>
          <w:sz w:val="21"/>
          <w:szCs w:val="21"/>
          <w:lang w:val="es-MX" w:eastAsia="en-US"/>
        </w:rPr>
        <w:t>3. Rediseño de Trámites de AIC / Prioritario. Entendiendo como Trámites de alto impacto ciudadano (TAIC), aquellos trámites y servicios que presta la administración pública estatal a la ciudadanía; que tienen mayor relevancia, demanda y repercusión en esta. En tanto que un trámite prioritario es aquel cuya cuantía en el Costo Económico Social es representativa dentro de sus dependencias.</w:t>
      </w:r>
    </w:p>
    <w:p w14:paraId="7E330047" w14:textId="77777777" w:rsidR="00E871CF" w:rsidRPr="00E871CF" w:rsidRDefault="00E871CF" w:rsidP="00E871CF">
      <w:pPr>
        <w:widowControl w:val="0"/>
        <w:ind w:left="851" w:right="851"/>
        <w:jc w:val="both"/>
        <w:rPr>
          <w:rFonts w:ascii="Abadi" w:eastAsiaTheme="minorHAnsi" w:hAnsi="Abadi" w:cstheme="minorBidi"/>
          <w:i/>
          <w:iCs/>
          <w:sz w:val="21"/>
          <w:szCs w:val="21"/>
          <w:lang w:val="es-MX" w:eastAsia="en-US"/>
        </w:rPr>
      </w:pPr>
    </w:p>
    <w:p w14:paraId="059EA8A5" w14:textId="77777777" w:rsidR="00E871CF" w:rsidRPr="00E871CF" w:rsidRDefault="00E871CF" w:rsidP="00E871CF">
      <w:pPr>
        <w:widowControl w:val="0"/>
        <w:ind w:left="851" w:right="851"/>
        <w:jc w:val="both"/>
        <w:rPr>
          <w:rFonts w:ascii="Abadi" w:eastAsiaTheme="minorHAnsi" w:hAnsi="Abadi" w:cstheme="minorBidi"/>
          <w:b/>
          <w:bCs/>
          <w:i/>
          <w:iCs/>
          <w:sz w:val="21"/>
          <w:szCs w:val="21"/>
          <w:lang w:val="es-MX" w:eastAsia="en-US"/>
        </w:rPr>
      </w:pPr>
      <w:r w:rsidRPr="00E871CF">
        <w:rPr>
          <w:rFonts w:ascii="Abadi" w:eastAsiaTheme="minorHAnsi" w:hAnsi="Abadi" w:cstheme="minorBidi"/>
          <w:b/>
          <w:bCs/>
          <w:i/>
          <w:iCs/>
          <w:sz w:val="21"/>
          <w:szCs w:val="21"/>
          <w:lang w:val="es-MX" w:eastAsia="en-US"/>
        </w:rPr>
        <w:t>Consideraciones</w:t>
      </w:r>
    </w:p>
    <w:p w14:paraId="32B8775E" w14:textId="77777777" w:rsidR="00E871CF" w:rsidRPr="00E871CF" w:rsidRDefault="00E871CF" w:rsidP="00E871CF">
      <w:pPr>
        <w:widowControl w:val="0"/>
        <w:ind w:left="851" w:right="851"/>
        <w:jc w:val="both"/>
        <w:rPr>
          <w:rFonts w:ascii="Abadi" w:eastAsiaTheme="minorHAnsi" w:hAnsi="Abadi" w:cstheme="minorBidi"/>
          <w:i/>
          <w:iCs/>
          <w:sz w:val="21"/>
          <w:szCs w:val="21"/>
          <w:lang w:val="es-MX" w:eastAsia="en-US"/>
        </w:rPr>
      </w:pPr>
    </w:p>
    <w:p w14:paraId="69C8182E" w14:textId="77777777" w:rsidR="00E871CF" w:rsidRPr="00E871CF" w:rsidRDefault="00E871CF" w:rsidP="00E871CF">
      <w:pPr>
        <w:widowControl w:val="0"/>
        <w:ind w:left="851" w:right="851"/>
        <w:jc w:val="both"/>
        <w:rPr>
          <w:rFonts w:ascii="Abadi" w:hAnsi="Abadi"/>
          <w:i/>
          <w:iCs/>
          <w:sz w:val="21"/>
          <w:szCs w:val="21"/>
          <w:lang w:val="es-MX" w:eastAsia="en-US"/>
        </w:rPr>
      </w:pPr>
      <w:r w:rsidRPr="00E871CF">
        <w:rPr>
          <w:rFonts w:ascii="Abadi" w:eastAsiaTheme="minorHAnsi" w:hAnsi="Abadi" w:cstheme="minorBidi"/>
          <w:i/>
          <w:iCs/>
          <w:sz w:val="21"/>
          <w:szCs w:val="21"/>
          <w:lang w:val="es-MX" w:eastAsia="en-US"/>
        </w:rPr>
        <w:t xml:space="preserve">La obligatoriedad en la simplificación administrativa de trámites y servicios ya se encuentra regulada, la innovación en nuevos sistemas se ha visto fortalecida con la nueva normalidad nos ha hecho replantear la conveniencia de disponer de servicio a nuestros usuarios a distancia para facilitar el acceso a los bienes y servicios que se establecen en los programas de política social, el gobierno del estado ha aplicado un apolítica de acceso universal a los sistemas implementados tanto para la consulta como para la atención, la implementación es gradual ya que implica una carga en el mejoramiento tecnológico de todas las dependencias de gobierno del estado y los gobiernos municipales, así como la liberación de los desarrollos informáticos se irán liberando atendiendo a lo que marca la ley de mejora regulatoria por tal razón la presente propuesta de modificación al artículo 6 de la </w:t>
      </w:r>
      <w:r w:rsidRPr="00E871CF">
        <w:rPr>
          <w:rFonts w:ascii="Abadi" w:eastAsiaTheme="minorHAnsi" w:hAnsi="Abadi" w:cstheme="minorBidi"/>
          <w:b/>
          <w:bCs/>
          <w:i/>
          <w:iCs/>
          <w:sz w:val="21"/>
          <w:szCs w:val="21"/>
          <w:lang w:val="es-MX" w:eastAsia="en-US"/>
        </w:rPr>
        <w:t xml:space="preserve">Ley de Inclusión para las Personas con Discapacidad en el Estado de Guanajuato </w:t>
      </w:r>
      <w:r w:rsidRPr="00E871CF">
        <w:rPr>
          <w:rFonts w:ascii="Abadi" w:eastAsiaTheme="minorHAnsi" w:hAnsi="Abadi" w:cstheme="minorBidi"/>
          <w:i/>
          <w:iCs/>
          <w:sz w:val="21"/>
          <w:szCs w:val="21"/>
          <w:lang w:val="es-MX" w:eastAsia="en-US"/>
        </w:rPr>
        <w:t xml:space="preserve"> supone una duplicidad de competencia con la </w:t>
      </w:r>
      <w:r w:rsidRPr="00E871CF">
        <w:rPr>
          <w:rFonts w:ascii="Abadi" w:eastAsiaTheme="minorHAnsi" w:hAnsi="Abadi" w:cstheme="minorBidi"/>
          <w:b/>
          <w:bCs/>
          <w:i/>
          <w:iCs/>
          <w:sz w:val="21"/>
          <w:szCs w:val="21"/>
          <w:lang w:val="es-MX" w:eastAsia="en-US"/>
        </w:rPr>
        <w:t>Ley de Mejora Regulatoria para el Estado de Guanajuato</w:t>
      </w:r>
      <w:r w:rsidRPr="00E871CF">
        <w:rPr>
          <w:rFonts w:ascii="Abadi" w:eastAsiaTheme="minorHAnsi" w:hAnsi="Abadi" w:cstheme="minorBidi"/>
          <w:i/>
          <w:iCs/>
          <w:sz w:val="21"/>
          <w:szCs w:val="21"/>
          <w:lang w:val="es-MX" w:eastAsia="en-US"/>
        </w:rPr>
        <w:t>, entrando en vigor el 1º de enero del 2019 toda vez que estamos ante un supuesto de competencia y no de jerarquía jurídica toda vez que ambas leyes estatales se encuentran a un mismo nivel jurídico jerárquico, en cuanto a la ley de mejora regulatoria  ya se ha implementado y las cargas presupuestales y administrativas ya están considerados en los presupuestos de las dependencias del gobierno del estado que participan en los programas de mejora regulatoria, se envían reportes y avances a la secretaria de la transparencia para conocimiento sobre el grado de avance en la madurez de los programas estableciendo compromisos muy claros sobre su cumplimiento en la implementación.</w:t>
      </w:r>
    </w:p>
    <w:p w14:paraId="3C547E0B" w14:textId="77777777" w:rsidR="00E871CF" w:rsidRPr="00E871CF" w:rsidRDefault="00E871CF" w:rsidP="00E871CF">
      <w:pPr>
        <w:widowControl w:val="0"/>
        <w:spacing w:line="360" w:lineRule="auto"/>
        <w:jc w:val="both"/>
        <w:rPr>
          <w:rFonts w:ascii="Abadi" w:hAnsi="Abadi"/>
          <w:sz w:val="21"/>
          <w:szCs w:val="21"/>
          <w:lang w:val="es-MX" w:eastAsia="en-US"/>
        </w:rPr>
      </w:pPr>
    </w:p>
    <w:p w14:paraId="107443F7" w14:textId="77777777" w:rsidR="00E871CF" w:rsidRPr="00E871CF" w:rsidRDefault="00E871CF" w:rsidP="004E29E7">
      <w:pPr>
        <w:widowControl w:val="0"/>
        <w:ind w:firstLine="851"/>
        <w:jc w:val="both"/>
        <w:rPr>
          <w:rFonts w:ascii="Abadi" w:hAnsi="Abadi" w:cs="Arial"/>
          <w:b/>
          <w:sz w:val="21"/>
          <w:szCs w:val="21"/>
          <w:lang w:val="es-MX"/>
        </w:rPr>
      </w:pPr>
      <w:r w:rsidRPr="00E871CF">
        <w:rPr>
          <w:rFonts w:ascii="Abadi" w:hAnsi="Abadi" w:cs="Arial"/>
          <w:b/>
          <w:sz w:val="21"/>
          <w:szCs w:val="21"/>
          <w:lang w:val="es-MX"/>
        </w:rPr>
        <w:t>CONSIDERACIONES DE LA COMISIÓN.</w:t>
      </w:r>
    </w:p>
    <w:p w14:paraId="576017A5" w14:textId="77777777" w:rsidR="00E871CF" w:rsidRPr="00E871CF" w:rsidRDefault="00E871CF" w:rsidP="004E29E7">
      <w:pPr>
        <w:widowControl w:val="0"/>
        <w:jc w:val="both"/>
        <w:rPr>
          <w:rFonts w:ascii="Abadi" w:hAnsi="Abadi" w:cs="Arial"/>
          <w:sz w:val="21"/>
          <w:szCs w:val="21"/>
          <w:lang w:val="es-MX"/>
        </w:rPr>
      </w:pPr>
    </w:p>
    <w:p w14:paraId="1C7808A2" w14:textId="77777777" w:rsidR="00E871CF" w:rsidRPr="00E871CF" w:rsidRDefault="00E871CF" w:rsidP="004E29E7">
      <w:pPr>
        <w:widowControl w:val="0"/>
        <w:ind w:firstLine="851"/>
        <w:jc w:val="both"/>
        <w:rPr>
          <w:rFonts w:ascii="Abadi" w:hAnsi="Abadi" w:cs="Arial"/>
          <w:sz w:val="21"/>
          <w:szCs w:val="21"/>
          <w:lang w:val="es-MX"/>
        </w:rPr>
      </w:pPr>
      <w:r w:rsidRPr="00E871CF">
        <w:rPr>
          <w:rFonts w:ascii="Abadi" w:hAnsi="Abadi" w:cs="Arial"/>
          <w:sz w:val="21"/>
          <w:szCs w:val="21"/>
          <w:lang w:val="es-MX"/>
        </w:rPr>
        <w:t xml:space="preserve">Esta comisión legislativa tiene competencia para el conocimiento y dictamen de los asuntos que </w:t>
      </w:r>
      <w:r w:rsidRPr="00E871CF">
        <w:rPr>
          <w:rFonts w:ascii="Abadi" w:hAnsi="Abadi" w:cs="Arial"/>
          <w:i/>
          <w:iCs/>
          <w:sz w:val="21"/>
          <w:szCs w:val="21"/>
          <w:lang w:val="es-MX"/>
        </w:rPr>
        <w:t xml:space="preserve">se refieran a las iniciativas de ley o modificaciones, relacionadas con legislación en materia de derechos humanos y atención a grupos vulnerables </w:t>
      </w:r>
      <w:r w:rsidRPr="00E871CF">
        <w:rPr>
          <w:rFonts w:ascii="Abadi" w:hAnsi="Abadi" w:cs="Arial"/>
          <w:sz w:val="21"/>
          <w:szCs w:val="21"/>
          <w:lang w:val="es-MX"/>
        </w:rPr>
        <w:t>(artículo 106 -fracción I- de la Ley Orgánica del Poder Legislativo del Estado de Guanajuato). Con este fundamento se turnó la iniciativa que nos ocupa.</w:t>
      </w:r>
    </w:p>
    <w:p w14:paraId="43EFF3B6" w14:textId="77777777" w:rsidR="00E871CF" w:rsidRPr="00E871CF" w:rsidRDefault="00E871CF" w:rsidP="004E29E7">
      <w:pPr>
        <w:widowControl w:val="0"/>
        <w:jc w:val="both"/>
        <w:rPr>
          <w:rFonts w:ascii="Abadi" w:hAnsi="Abadi" w:cs="Arial"/>
          <w:sz w:val="21"/>
          <w:szCs w:val="21"/>
          <w:lang w:val="es-MX"/>
        </w:rPr>
      </w:pPr>
    </w:p>
    <w:p w14:paraId="6765642F" w14:textId="77777777" w:rsidR="00E871CF" w:rsidRPr="00E871CF" w:rsidRDefault="00E871CF" w:rsidP="004E29E7">
      <w:pPr>
        <w:widowControl w:val="0"/>
        <w:ind w:firstLine="851"/>
        <w:jc w:val="both"/>
        <w:rPr>
          <w:rFonts w:ascii="Abadi" w:hAnsi="Abadi" w:cs="Arial"/>
          <w:sz w:val="21"/>
          <w:szCs w:val="21"/>
          <w:lang w:val="es-MX"/>
        </w:rPr>
      </w:pPr>
      <w:r w:rsidRPr="00E871CF">
        <w:rPr>
          <w:rFonts w:ascii="Abadi" w:hAnsi="Abadi" w:cs="Arial"/>
          <w:sz w:val="21"/>
          <w:szCs w:val="21"/>
          <w:lang w:val="es-MX"/>
        </w:rPr>
        <w:t xml:space="preserve">Al realizar el análisis, advertimos que en los comentarios y observaciones formulados hay manifestaciones tanto a favor como en contra. Así se plasmó en los apartados correspondientes a las </w:t>
      </w:r>
      <w:r w:rsidRPr="00E871CF">
        <w:rPr>
          <w:rFonts w:ascii="Abadi" w:hAnsi="Abadi" w:cs="Arial"/>
          <w:i/>
          <w:iCs/>
          <w:sz w:val="21"/>
          <w:szCs w:val="21"/>
          <w:lang w:val="es-MX"/>
        </w:rPr>
        <w:t>opiniones compartidas en el proceso de consulta</w:t>
      </w:r>
      <w:r w:rsidRPr="00E871CF">
        <w:rPr>
          <w:rFonts w:ascii="Abadi" w:hAnsi="Abadi" w:cs="Arial"/>
          <w:sz w:val="21"/>
          <w:szCs w:val="21"/>
          <w:lang w:val="es-MX"/>
        </w:rPr>
        <w:t xml:space="preserve"> y </w:t>
      </w:r>
      <w:r w:rsidRPr="00E871CF">
        <w:rPr>
          <w:rFonts w:ascii="Abadi" w:hAnsi="Abadi" w:cs="Arial"/>
          <w:i/>
          <w:iCs/>
          <w:sz w:val="21"/>
          <w:szCs w:val="21"/>
          <w:lang w:val="es-MX"/>
        </w:rPr>
        <w:t>opiniones compartidas en el foro de consulta</w:t>
      </w:r>
      <w:r w:rsidRPr="00E871CF">
        <w:rPr>
          <w:rFonts w:ascii="Abadi" w:hAnsi="Abadi" w:cs="Arial"/>
          <w:sz w:val="21"/>
          <w:szCs w:val="21"/>
          <w:lang w:val="es-MX"/>
        </w:rPr>
        <w:t>.</w:t>
      </w:r>
    </w:p>
    <w:p w14:paraId="37C13B76" w14:textId="77777777" w:rsidR="00E871CF" w:rsidRPr="00E871CF" w:rsidRDefault="00E871CF" w:rsidP="004E29E7">
      <w:pPr>
        <w:widowControl w:val="0"/>
        <w:jc w:val="both"/>
        <w:rPr>
          <w:rFonts w:ascii="Abadi" w:hAnsi="Abadi" w:cs="Arial"/>
          <w:sz w:val="21"/>
          <w:szCs w:val="21"/>
          <w:lang w:val="es-MX"/>
        </w:rPr>
      </w:pPr>
    </w:p>
    <w:p w14:paraId="0B12F649" w14:textId="292F821A" w:rsidR="00E871CF" w:rsidRDefault="00E871CF" w:rsidP="004E29E7">
      <w:pPr>
        <w:widowControl w:val="0"/>
        <w:ind w:firstLine="851"/>
        <w:jc w:val="both"/>
        <w:rPr>
          <w:rFonts w:ascii="Abadi" w:hAnsi="Abadi"/>
          <w:sz w:val="21"/>
          <w:szCs w:val="21"/>
          <w:lang w:val="es-MX" w:eastAsia="en-US"/>
        </w:rPr>
      </w:pPr>
      <w:r w:rsidRPr="00E871CF">
        <w:rPr>
          <w:rFonts w:ascii="Abadi" w:hAnsi="Abadi"/>
          <w:sz w:val="21"/>
          <w:szCs w:val="21"/>
          <w:lang w:val="es-MX" w:eastAsia="en-US"/>
        </w:rPr>
        <w:t>Enseguida anotamos los puntos a considerar, que fueron observados por quienes participaron en el ejercicio de consulta y que tomamos en cuenta al dictaminar:</w:t>
      </w:r>
    </w:p>
    <w:p w14:paraId="1E9EE043" w14:textId="77777777" w:rsidR="004E29E7" w:rsidRPr="00E871CF" w:rsidRDefault="004E29E7" w:rsidP="004E29E7">
      <w:pPr>
        <w:widowControl w:val="0"/>
        <w:ind w:firstLine="851"/>
        <w:jc w:val="both"/>
        <w:rPr>
          <w:rFonts w:ascii="Abadi" w:hAnsi="Abadi"/>
          <w:sz w:val="21"/>
          <w:szCs w:val="21"/>
          <w:lang w:val="es-MX" w:eastAsia="en-US"/>
        </w:rPr>
      </w:pPr>
    </w:p>
    <w:p w14:paraId="717F0EE1" w14:textId="500E2263" w:rsidR="00E871CF" w:rsidRDefault="00E871CF" w:rsidP="004E29E7">
      <w:pPr>
        <w:widowControl w:val="0"/>
        <w:numPr>
          <w:ilvl w:val="0"/>
          <w:numId w:val="41"/>
        </w:numPr>
        <w:tabs>
          <w:tab w:val="right" w:pos="8838"/>
        </w:tabs>
        <w:ind w:left="1134" w:hanging="283"/>
        <w:contextualSpacing/>
        <w:jc w:val="both"/>
        <w:rPr>
          <w:rFonts w:ascii="Abadi" w:eastAsia="Calibri" w:hAnsi="Abadi"/>
          <w:sz w:val="21"/>
          <w:szCs w:val="21"/>
          <w:lang w:val="es-MX" w:eastAsia="en-US"/>
        </w:rPr>
      </w:pPr>
      <w:r w:rsidRPr="00E871CF">
        <w:rPr>
          <w:rFonts w:ascii="Abadi" w:eastAsia="Calibri" w:hAnsi="Abadi"/>
          <w:sz w:val="21"/>
          <w:szCs w:val="21"/>
          <w:lang w:val="es-MX" w:eastAsia="en-US"/>
        </w:rPr>
        <w:t>El artículo 4 de la Ley de Inclusión para las Personas con Discapacidad en el Estado de Guanajuato, describe que las personas con cualquier tipo de discapacidad deben contar con el derecho de prioridad por parte de la administración pública estatal o municipal en los trámites y servicios que soliciten, es decir de manera preferente, misma razón por la que no se concuerda con los términos de la propuesta presentada por la iniciante debido a que existiría una duplicidad de supuestos normativos en la misma Ley.</w:t>
      </w:r>
    </w:p>
    <w:p w14:paraId="494A04B5" w14:textId="77777777" w:rsidR="004E29E7" w:rsidRPr="00E871CF" w:rsidRDefault="004E29E7" w:rsidP="004E29E7">
      <w:pPr>
        <w:widowControl w:val="0"/>
        <w:tabs>
          <w:tab w:val="right" w:pos="8838"/>
        </w:tabs>
        <w:ind w:left="1134"/>
        <w:contextualSpacing/>
        <w:jc w:val="both"/>
        <w:rPr>
          <w:rFonts w:ascii="Abadi" w:eastAsia="Calibri" w:hAnsi="Abadi"/>
          <w:sz w:val="21"/>
          <w:szCs w:val="21"/>
          <w:lang w:val="es-MX" w:eastAsia="en-US"/>
        </w:rPr>
      </w:pPr>
    </w:p>
    <w:p w14:paraId="326ACF11" w14:textId="37A37E4E" w:rsidR="00E871CF" w:rsidRDefault="00E871CF" w:rsidP="004E29E7">
      <w:pPr>
        <w:widowControl w:val="0"/>
        <w:numPr>
          <w:ilvl w:val="0"/>
          <w:numId w:val="41"/>
        </w:numPr>
        <w:tabs>
          <w:tab w:val="right" w:pos="8838"/>
        </w:tabs>
        <w:ind w:left="1134" w:hanging="283"/>
        <w:contextualSpacing/>
        <w:jc w:val="both"/>
        <w:rPr>
          <w:rFonts w:ascii="Abadi" w:eastAsia="Calibri" w:hAnsi="Abadi"/>
          <w:sz w:val="21"/>
          <w:szCs w:val="21"/>
          <w:lang w:val="es-MX" w:eastAsia="en-US"/>
        </w:rPr>
      </w:pPr>
      <w:r w:rsidRPr="00E871CF">
        <w:rPr>
          <w:rFonts w:ascii="Abadi" w:eastAsia="Calibri" w:hAnsi="Abadi"/>
          <w:sz w:val="21"/>
          <w:szCs w:val="21"/>
          <w:lang w:val="es-MX" w:eastAsia="en-US"/>
        </w:rPr>
        <w:t>La iniciante propone un innovador concepto para que el estado de Guanajuato y los municipios adopten un sistema que difunda los servicios públicos a personas con discapacidad, aunque no refiere qué tipo de difusión debe llevarse a cabo en este sistema o demuestra la efectividad sobre el uso de un sistema operativo de este tipo.</w:t>
      </w:r>
    </w:p>
    <w:p w14:paraId="1631350E" w14:textId="77777777" w:rsidR="004E29E7" w:rsidRPr="00E871CF" w:rsidRDefault="004E29E7" w:rsidP="004E29E7">
      <w:pPr>
        <w:widowControl w:val="0"/>
        <w:tabs>
          <w:tab w:val="right" w:pos="8838"/>
        </w:tabs>
        <w:ind w:left="1134"/>
        <w:contextualSpacing/>
        <w:jc w:val="both"/>
        <w:rPr>
          <w:rFonts w:ascii="Abadi" w:eastAsia="Calibri" w:hAnsi="Abadi"/>
          <w:sz w:val="21"/>
          <w:szCs w:val="21"/>
          <w:lang w:val="es-MX" w:eastAsia="en-US"/>
        </w:rPr>
      </w:pPr>
    </w:p>
    <w:p w14:paraId="4696866F" w14:textId="78CD0ED5" w:rsidR="00E871CF" w:rsidRDefault="00E871CF" w:rsidP="004E29E7">
      <w:pPr>
        <w:widowControl w:val="0"/>
        <w:numPr>
          <w:ilvl w:val="0"/>
          <w:numId w:val="41"/>
        </w:numPr>
        <w:tabs>
          <w:tab w:val="right" w:pos="8838"/>
        </w:tabs>
        <w:ind w:left="1134" w:hanging="283"/>
        <w:contextualSpacing/>
        <w:jc w:val="both"/>
        <w:rPr>
          <w:rFonts w:ascii="Abadi" w:eastAsia="Calibri" w:hAnsi="Abadi"/>
          <w:sz w:val="21"/>
          <w:szCs w:val="21"/>
          <w:lang w:val="es-MX" w:eastAsia="en-US"/>
        </w:rPr>
      </w:pPr>
      <w:r w:rsidRPr="00E871CF">
        <w:rPr>
          <w:rFonts w:ascii="Abadi" w:eastAsia="Calibri" w:hAnsi="Abadi"/>
          <w:sz w:val="21"/>
          <w:szCs w:val="21"/>
          <w:lang w:val="es-MX" w:eastAsia="en-US"/>
        </w:rPr>
        <w:t>La falta de armonía en el diseño de diversos sistemas municipales o estatales por cada servicio público solo perjudicaría al usuario cuando realice los trámites que necesita.</w:t>
      </w:r>
    </w:p>
    <w:p w14:paraId="6DBEFCC9" w14:textId="77777777" w:rsidR="004E29E7" w:rsidRPr="00E871CF" w:rsidRDefault="004E29E7" w:rsidP="004E29E7">
      <w:pPr>
        <w:widowControl w:val="0"/>
        <w:tabs>
          <w:tab w:val="right" w:pos="8838"/>
        </w:tabs>
        <w:ind w:left="1134"/>
        <w:contextualSpacing/>
        <w:jc w:val="both"/>
        <w:rPr>
          <w:rFonts w:ascii="Abadi" w:eastAsia="Calibri" w:hAnsi="Abadi"/>
          <w:sz w:val="21"/>
          <w:szCs w:val="21"/>
          <w:lang w:val="es-MX" w:eastAsia="en-US"/>
        </w:rPr>
      </w:pPr>
    </w:p>
    <w:p w14:paraId="17B02033" w14:textId="52F48B27" w:rsidR="00E871CF" w:rsidRDefault="00E871CF" w:rsidP="004E29E7">
      <w:pPr>
        <w:widowControl w:val="0"/>
        <w:numPr>
          <w:ilvl w:val="0"/>
          <w:numId w:val="41"/>
        </w:numPr>
        <w:tabs>
          <w:tab w:val="right" w:pos="8838"/>
        </w:tabs>
        <w:ind w:left="1134" w:hanging="283"/>
        <w:contextualSpacing/>
        <w:jc w:val="both"/>
        <w:rPr>
          <w:rFonts w:ascii="Abadi" w:eastAsia="Calibri" w:hAnsi="Abadi"/>
          <w:sz w:val="21"/>
          <w:szCs w:val="21"/>
          <w:lang w:val="es-MX" w:eastAsia="en-US"/>
        </w:rPr>
      </w:pPr>
      <w:r w:rsidRPr="00E871CF">
        <w:rPr>
          <w:rFonts w:ascii="Abadi" w:eastAsia="Calibri" w:hAnsi="Abadi"/>
          <w:sz w:val="21"/>
          <w:szCs w:val="21"/>
          <w:lang w:val="es-MX" w:eastAsia="en-US"/>
        </w:rPr>
        <w:t>Las personas con discapacidad tienen actualmente el derecho a un trato preferente; sin embargo, se observa que la iniciante no consideró la disponibilidad de recursos económicos, humanos y de infraestructura de cada municipio cuando formuló la iniciativa.</w:t>
      </w:r>
    </w:p>
    <w:p w14:paraId="0A8B32CF" w14:textId="77777777" w:rsidR="004E29E7" w:rsidRPr="00E871CF" w:rsidRDefault="004E29E7" w:rsidP="004E29E7">
      <w:pPr>
        <w:widowControl w:val="0"/>
        <w:tabs>
          <w:tab w:val="right" w:pos="8838"/>
        </w:tabs>
        <w:ind w:left="1134"/>
        <w:contextualSpacing/>
        <w:jc w:val="both"/>
        <w:rPr>
          <w:rFonts w:ascii="Abadi" w:eastAsia="Calibri" w:hAnsi="Abadi"/>
          <w:sz w:val="21"/>
          <w:szCs w:val="21"/>
          <w:lang w:val="es-MX" w:eastAsia="en-US"/>
        </w:rPr>
      </w:pPr>
    </w:p>
    <w:p w14:paraId="5AD01021" w14:textId="77777777" w:rsidR="00E871CF" w:rsidRPr="00E871CF" w:rsidRDefault="00E871CF" w:rsidP="004E29E7">
      <w:pPr>
        <w:widowControl w:val="0"/>
        <w:numPr>
          <w:ilvl w:val="0"/>
          <w:numId w:val="41"/>
        </w:numPr>
        <w:tabs>
          <w:tab w:val="right" w:pos="8838"/>
        </w:tabs>
        <w:ind w:left="1134" w:hanging="283"/>
        <w:contextualSpacing/>
        <w:jc w:val="both"/>
        <w:rPr>
          <w:rFonts w:ascii="Abadi" w:eastAsia="Calibri" w:hAnsi="Abadi"/>
          <w:sz w:val="21"/>
          <w:szCs w:val="21"/>
          <w:lang w:val="es-MX" w:eastAsia="en-US"/>
        </w:rPr>
      </w:pPr>
      <w:r w:rsidRPr="00E871CF">
        <w:rPr>
          <w:rFonts w:ascii="Abadi" w:eastAsia="Calibri" w:hAnsi="Abadi"/>
          <w:sz w:val="21"/>
          <w:szCs w:val="21"/>
          <w:lang w:val="es-MX" w:eastAsia="en-US"/>
        </w:rPr>
        <w:t>La propuesta resulta insuficiente para la era digital que nuestro Estado atraviesa.</w:t>
      </w:r>
    </w:p>
    <w:p w14:paraId="7B07A664" w14:textId="77777777" w:rsidR="00E871CF" w:rsidRPr="00E871CF" w:rsidRDefault="00E871CF" w:rsidP="004E29E7">
      <w:pPr>
        <w:widowControl w:val="0"/>
        <w:jc w:val="both"/>
        <w:rPr>
          <w:rFonts w:ascii="Abadi" w:hAnsi="Abadi"/>
          <w:sz w:val="21"/>
          <w:szCs w:val="21"/>
          <w:lang w:val="es-MX" w:eastAsia="en-US"/>
        </w:rPr>
      </w:pPr>
    </w:p>
    <w:p w14:paraId="6F873373" w14:textId="77777777" w:rsidR="00E871CF" w:rsidRPr="00E871CF" w:rsidRDefault="00E871CF" w:rsidP="004E29E7">
      <w:pPr>
        <w:widowControl w:val="0"/>
        <w:ind w:firstLine="851"/>
        <w:jc w:val="both"/>
        <w:rPr>
          <w:rFonts w:ascii="Abadi" w:hAnsi="Abadi"/>
          <w:sz w:val="21"/>
          <w:szCs w:val="21"/>
          <w:lang w:val="es-MX" w:eastAsia="en-US"/>
        </w:rPr>
      </w:pPr>
      <w:r w:rsidRPr="00E871CF">
        <w:rPr>
          <w:rFonts w:ascii="Abadi" w:hAnsi="Abadi"/>
          <w:sz w:val="21"/>
          <w:szCs w:val="21"/>
          <w:lang w:val="es-MX" w:eastAsia="en-US"/>
        </w:rPr>
        <w:t>Teniendo en consideración los comentarios anteriores, es que nos pronunciamos por dictaminar en sentido negativo la iniciativa que nos ocupa.</w:t>
      </w:r>
    </w:p>
    <w:p w14:paraId="30CDBCFD" w14:textId="77777777" w:rsidR="00E871CF" w:rsidRPr="00E871CF" w:rsidRDefault="00E871CF" w:rsidP="004E29E7">
      <w:pPr>
        <w:widowControl w:val="0"/>
        <w:jc w:val="both"/>
        <w:rPr>
          <w:rFonts w:ascii="Abadi" w:hAnsi="Abadi"/>
          <w:sz w:val="21"/>
          <w:szCs w:val="21"/>
          <w:lang w:val="es-MX" w:eastAsia="en-US"/>
        </w:rPr>
      </w:pPr>
    </w:p>
    <w:p w14:paraId="5FD7F346" w14:textId="77777777" w:rsidR="00E871CF" w:rsidRPr="00E871CF" w:rsidRDefault="00E871CF" w:rsidP="004E29E7">
      <w:pPr>
        <w:widowControl w:val="0"/>
        <w:ind w:firstLine="851"/>
        <w:jc w:val="both"/>
        <w:rPr>
          <w:rFonts w:ascii="Abadi" w:hAnsi="Abadi"/>
          <w:sz w:val="21"/>
          <w:szCs w:val="21"/>
          <w:lang w:val="es-MX" w:eastAsia="en-US"/>
        </w:rPr>
      </w:pPr>
      <w:r w:rsidRPr="00E871CF">
        <w:rPr>
          <w:rFonts w:ascii="Abadi" w:hAnsi="Abadi"/>
          <w:sz w:val="21"/>
          <w:szCs w:val="21"/>
          <w:lang w:val="es-MX" w:eastAsia="en-US"/>
        </w:rPr>
        <w:t>En mérito de lo expuesto, sometemos a consideración de la Asamblea, la aprobación del siguiente:</w:t>
      </w:r>
    </w:p>
    <w:p w14:paraId="7A9CBB90" w14:textId="77777777" w:rsidR="00E871CF" w:rsidRPr="00E871CF" w:rsidRDefault="00E871CF" w:rsidP="004E29E7">
      <w:pPr>
        <w:widowControl w:val="0"/>
        <w:jc w:val="both"/>
        <w:rPr>
          <w:rFonts w:ascii="Abadi" w:hAnsi="Abadi" w:cs="Arial"/>
          <w:sz w:val="21"/>
          <w:szCs w:val="21"/>
          <w:lang w:val="es-MX"/>
        </w:rPr>
      </w:pPr>
    </w:p>
    <w:p w14:paraId="17AC7D60" w14:textId="10DDB628" w:rsidR="00E871CF" w:rsidRPr="00E871CF" w:rsidRDefault="00E871CF" w:rsidP="004E29E7">
      <w:pPr>
        <w:widowControl w:val="0"/>
        <w:autoSpaceDE w:val="0"/>
        <w:autoSpaceDN w:val="0"/>
        <w:adjustRightInd w:val="0"/>
        <w:jc w:val="center"/>
        <w:rPr>
          <w:rFonts w:ascii="Abadi" w:hAnsi="Abadi"/>
          <w:b/>
          <w:sz w:val="21"/>
          <w:szCs w:val="21"/>
          <w:lang w:val="es-MX" w:eastAsia="en-US"/>
        </w:rPr>
      </w:pPr>
      <w:r w:rsidRPr="00E871CF">
        <w:rPr>
          <w:rFonts w:ascii="Abadi" w:hAnsi="Abadi"/>
          <w:b/>
          <w:sz w:val="21"/>
          <w:szCs w:val="21"/>
          <w:lang w:val="es-MX" w:eastAsia="en-US"/>
        </w:rPr>
        <w:t>A C U E R D O</w:t>
      </w:r>
    </w:p>
    <w:p w14:paraId="2EEEA333" w14:textId="712AA26E" w:rsidR="00E871CF" w:rsidRDefault="00E871CF" w:rsidP="004E29E7">
      <w:pPr>
        <w:widowControl w:val="0"/>
        <w:ind w:right="-1" w:firstLine="851"/>
        <w:jc w:val="both"/>
        <w:rPr>
          <w:rFonts w:ascii="Abadi" w:hAnsi="Abadi"/>
          <w:sz w:val="21"/>
          <w:szCs w:val="21"/>
          <w:lang w:val="es-MX" w:eastAsia="en-US"/>
        </w:rPr>
      </w:pPr>
      <w:r w:rsidRPr="00E871CF">
        <w:rPr>
          <w:rFonts w:ascii="Abadi" w:hAnsi="Abadi"/>
          <w:b/>
          <w:sz w:val="21"/>
          <w:szCs w:val="21"/>
          <w:lang w:val="es-MX" w:eastAsia="en-US"/>
        </w:rPr>
        <w:t>Único.</w:t>
      </w:r>
      <w:r w:rsidRPr="00E871CF">
        <w:rPr>
          <w:rFonts w:ascii="Abadi" w:hAnsi="Abadi"/>
          <w:sz w:val="21"/>
          <w:szCs w:val="21"/>
          <w:lang w:val="es-MX" w:eastAsia="en-US"/>
        </w:rPr>
        <w:t xml:space="preserve"> No resulta procedente la </w:t>
      </w:r>
      <w:r w:rsidRPr="00E871CF">
        <w:rPr>
          <w:rFonts w:ascii="Abadi" w:hAnsi="Abadi" w:cs="Arial"/>
          <w:sz w:val="21"/>
          <w:szCs w:val="21"/>
          <w:lang w:val="es-MX" w:eastAsia="en-US"/>
        </w:rPr>
        <w:t>iniciativa suscrita por la diputada María de Jesús Eunices Reveles Conejo de la Representación Parlamentaria del Partido del Trabajo, en la Sexagésima Cuarta Legislatura, a efecto de adicionar las fracciones XVI y XVII recorriéndose en su orden la subsecuente, al artículo 6 de la Ley de Inclusión para las Personas con Discapacidad en el Estado de Guanajuato</w:t>
      </w:r>
      <w:r w:rsidRPr="00E871CF">
        <w:rPr>
          <w:rFonts w:ascii="Abadi" w:hAnsi="Abadi"/>
          <w:sz w:val="21"/>
          <w:szCs w:val="21"/>
          <w:lang w:val="es-MX" w:eastAsia="en-US"/>
        </w:rPr>
        <w:t>.</w:t>
      </w:r>
    </w:p>
    <w:p w14:paraId="0BA65CC3" w14:textId="77777777" w:rsidR="001D1B5D" w:rsidRPr="00E871CF" w:rsidRDefault="001D1B5D" w:rsidP="004E29E7">
      <w:pPr>
        <w:widowControl w:val="0"/>
        <w:ind w:right="-1" w:firstLine="851"/>
        <w:jc w:val="both"/>
        <w:rPr>
          <w:rFonts w:ascii="Abadi" w:hAnsi="Abadi"/>
          <w:sz w:val="21"/>
          <w:szCs w:val="21"/>
          <w:lang w:val="es-MX" w:eastAsia="en-US"/>
        </w:rPr>
      </w:pPr>
    </w:p>
    <w:p w14:paraId="13F7A782" w14:textId="77777777" w:rsidR="00E871CF" w:rsidRPr="00E871CF" w:rsidRDefault="00E871CF" w:rsidP="004E29E7">
      <w:pPr>
        <w:widowControl w:val="0"/>
        <w:ind w:right="-1" w:firstLine="851"/>
        <w:jc w:val="both"/>
        <w:rPr>
          <w:rFonts w:ascii="Abadi" w:hAnsi="Abadi"/>
          <w:sz w:val="21"/>
          <w:szCs w:val="21"/>
          <w:lang w:val="es-MX" w:eastAsia="en-US"/>
        </w:rPr>
      </w:pPr>
      <w:r w:rsidRPr="00E871CF">
        <w:rPr>
          <w:rFonts w:ascii="Abadi" w:hAnsi="Abadi"/>
          <w:sz w:val="21"/>
          <w:szCs w:val="21"/>
          <w:lang w:val="es-MX" w:eastAsia="en-US"/>
        </w:rPr>
        <w:t>En consecuencia, se ordena el archivo definitivo de la iniciativa.</w:t>
      </w:r>
    </w:p>
    <w:p w14:paraId="1EE1E0BF" w14:textId="77777777" w:rsidR="00E871CF" w:rsidRPr="00E871CF" w:rsidRDefault="00E871CF" w:rsidP="00E871CF">
      <w:pPr>
        <w:widowControl w:val="0"/>
        <w:spacing w:line="360" w:lineRule="auto"/>
        <w:jc w:val="both"/>
        <w:rPr>
          <w:rFonts w:ascii="Abadi" w:hAnsi="Abadi"/>
          <w:sz w:val="21"/>
          <w:szCs w:val="21"/>
          <w:lang w:val="es-MX" w:eastAsia="en-US"/>
        </w:rPr>
      </w:pPr>
    </w:p>
    <w:p w14:paraId="5A77D3E8" w14:textId="77777777" w:rsidR="00E871CF" w:rsidRPr="00E871CF" w:rsidRDefault="00E871CF" w:rsidP="00E871CF">
      <w:pPr>
        <w:widowControl w:val="0"/>
        <w:jc w:val="center"/>
        <w:rPr>
          <w:rFonts w:ascii="Abadi" w:eastAsia="Arial Unicode MS" w:hAnsi="Abadi" w:cs="Arial"/>
          <w:b/>
          <w:iCs/>
          <w:sz w:val="21"/>
          <w:szCs w:val="21"/>
          <w:lang w:val="es-MX" w:eastAsia="en-US"/>
        </w:rPr>
      </w:pPr>
      <w:r w:rsidRPr="00E871CF">
        <w:rPr>
          <w:rFonts w:ascii="Abadi" w:eastAsia="Arial Unicode MS" w:hAnsi="Abadi" w:cs="Arial"/>
          <w:b/>
          <w:iCs/>
          <w:sz w:val="21"/>
          <w:szCs w:val="21"/>
          <w:lang w:val="es-MX" w:eastAsia="en-US"/>
        </w:rPr>
        <w:t>Guanajuato, Gto., 29 de junio de 2022</w:t>
      </w:r>
    </w:p>
    <w:p w14:paraId="420940ED" w14:textId="77777777" w:rsidR="00E871CF" w:rsidRPr="00E871CF" w:rsidRDefault="00E871CF" w:rsidP="00E871CF">
      <w:pPr>
        <w:widowControl w:val="0"/>
        <w:jc w:val="center"/>
        <w:rPr>
          <w:rFonts w:ascii="Abadi" w:eastAsiaTheme="minorHAnsi" w:hAnsi="Abadi" w:cstheme="minorBidi"/>
          <w:b/>
          <w:sz w:val="21"/>
          <w:szCs w:val="21"/>
          <w:lang w:val="es-MX" w:eastAsia="en-US"/>
        </w:rPr>
      </w:pPr>
      <w:r w:rsidRPr="00E871CF">
        <w:rPr>
          <w:rFonts w:ascii="Abadi" w:eastAsiaTheme="minorHAnsi" w:hAnsi="Abadi" w:cstheme="minorBidi"/>
          <w:b/>
          <w:sz w:val="21"/>
          <w:szCs w:val="21"/>
          <w:lang w:val="es-MX" w:eastAsia="en-US"/>
        </w:rPr>
        <w:t>La Comisión de Derechos Humanos y Atención a Grupos Vulnerables</w:t>
      </w:r>
    </w:p>
    <w:p w14:paraId="14DD8B57" w14:textId="77777777" w:rsidR="00E871CF" w:rsidRPr="00E871CF" w:rsidRDefault="00E871CF" w:rsidP="00E871CF">
      <w:pPr>
        <w:widowControl w:val="0"/>
        <w:jc w:val="center"/>
        <w:rPr>
          <w:rFonts w:ascii="Abadi" w:hAnsi="Abadi" w:cs="Arial"/>
          <w:b/>
          <w:bCs/>
          <w:sz w:val="21"/>
          <w:szCs w:val="21"/>
          <w:lang w:val="es-MX" w:eastAsia="en-US"/>
        </w:rPr>
      </w:pPr>
    </w:p>
    <w:p w14:paraId="123741EE" w14:textId="77777777" w:rsidR="00E871CF" w:rsidRPr="00E871CF" w:rsidRDefault="00E871CF" w:rsidP="00E871CF">
      <w:pPr>
        <w:widowControl w:val="0"/>
        <w:jc w:val="center"/>
        <w:rPr>
          <w:rFonts w:ascii="Abadi" w:hAnsi="Abadi" w:cs="Arial"/>
          <w:b/>
          <w:bCs/>
          <w:sz w:val="21"/>
          <w:szCs w:val="21"/>
          <w:lang w:val="es-MX" w:eastAsia="en-US"/>
        </w:rPr>
      </w:pPr>
      <w:r w:rsidRPr="00E871CF">
        <w:rPr>
          <w:rFonts w:ascii="Abadi" w:hAnsi="Abadi" w:cs="Arial"/>
          <w:b/>
          <w:bCs/>
          <w:sz w:val="21"/>
          <w:szCs w:val="21"/>
          <w:lang w:val="es-MX" w:eastAsia="en-US"/>
        </w:rPr>
        <w:t>Diputado David Martínez Mendizábal</w:t>
      </w:r>
    </w:p>
    <w:p w14:paraId="40AD7DD6" w14:textId="77777777" w:rsidR="00E871CF" w:rsidRPr="00E871CF" w:rsidRDefault="00E871CF" w:rsidP="00E871CF">
      <w:pPr>
        <w:widowControl w:val="0"/>
        <w:jc w:val="center"/>
        <w:rPr>
          <w:rFonts w:ascii="Abadi" w:hAnsi="Abadi" w:cs="Arial"/>
          <w:b/>
          <w:bCs/>
          <w:sz w:val="21"/>
          <w:szCs w:val="21"/>
          <w:lang w:val="es-MX" w:eastAsia="en-US"/>
        </w:rPr>
      </w:pPr>
      <w:r w:rsidRPr="00E871CF">
        <w:rPr>
          <w:rFonts w:ascii="Abadi" w:hAnsi="Abadi" w:cs="Arial"/>
          <w:b/>
          <w:bCs/>
          <w:sz w:val="21"/>
          <w:szCs w:val="21"/>
          <w:lang w:val="es-MX" w:eastAsia="en-US"/>
        </w:rPr>
        <w:t>Diputada Janet Melanie Murillo Chávez</w:t>
      </w:r>
    </w:p>
    <w:p w14:paraId="42BD4D7F" w14:textId="77777777" w:rsidR="00E871CF" w:rsidRPr="00E871CF" w:rsidRDefault="00E871CF" w:rsidP="00E871CF">
      <w:pPr>
        <w:widowControl w:val="0"/>
        <w:jc w:val="center"/>
        <w:rPr>
          <w:rFonts w:ascii="Abadi" w:hAnsi="Abadi" w:cs="Arial"/>
          <w:b/>
          <w:bCs/>
          <w:sz w:val="21"/>
          <w:szCs w:val="21"/>
          <w:lang w:val="es-MX" w:eastAsia="en-US"/>
        </w:rPr>
      </w:pPr>
      <w:r w:rsidRPr="00E871CF">
        <w:rPr>
          <w:rFonts w:ascii="Abadi" w:hAnsi="Abadi" w:cs="Arial"/>
          <w:b/>
          <w:bCs/>
          <w:sz w:val="21"/>
          <w:szCs w:val="21"/>
          <w:lang w:val="es-MX" w:eastAsia="en-US"/>
        </w:rPr>
        <w:t>Diputada Briseida Anabel Magdaleno González</w:t>
      </w:r>
    </w:p>
    <w:p w14:paraId="4A90D28C" w14:textId="77777777" w:rsidR="00E871CF" w:rsidRPr="00E871CF" w:rsidRDefault="00E871CF" w:rsidP="00E871CF">
      <w:pPr>
        <w:widowControl w:val="0"/>
        <w:jc w:val="center"/>
        <w:rPr>
          <w:rFonts w:ascii="Abadi" w:hAnsi="Abadi" w:cs="Arial"/>
          <w:b/>
          <w:bCs/>
          <w:sz w:val="21"/>
          <w:szCs w:val="21"/>
          <w:lang w:val="es-MX" w:eastAsia="en-US"/>
        </w:rPr>
      </w:pPr>
      <w:r w:rsidRPr="00E871CF">
        <w:rPr>
          <w:rFonts w:ascii="Abadi" w:hAnsi="Abadi" w:cs="Arial"/>
          <w:b/>
          <w:bCs/>
          <w:sz w:val="21"/>
          <w:szCs w:val="21"/>
          <w:lang w:val="es-MX" w:eastAsia="en-US"/>
        </w:rPr>
        <w:t>Diputado Gustavo Adolfo Alfaro Reyes</w:t>
      </w:r>
    </w:p>
    <w:p w14:paraId="207A8CC5" w14:textId="5C859697" w:rsidR="00E871CF" w:rsidRDefault="00E871CF" w:rsidP="00E871CF">
      <w:pPr>
        <w:widowControl w:val="0"/>
        <w:jc w:val="center"/>
        <w:rPr>
          <w:rFonts w:ascii="Abadi" w:hAnsi="Abadi" w:cs="Arial"/>
          <w:b/>
          <w:bCs/>
          <w:sz w:val="21"/>
          <w:szCs w:val="21"/>
          <w:lang w:val="es-MX" w:eastAsia="en-US"/>
        </w:rPr>
      </w:pPr>
      <w:r w:rsidRPr="00E871CF">
        <w:rPr>
          <w:rFonts w:ascii="Abadi" w:hAnsi="Abadi" w:cs="Arial"/>
          <w:b/>
          <w:bCs/>
          <w:sz w:val="21"/>
          <w:szCs w:val="21"/>
          <w:lang w:val="es-MX" w:eastAsia="en-US"/>
        </w:rPr>
        <w:t>Diputada Katya Cristina Soto Escamilla</w:t>
      </w:r>
    </w:p>
    <w:p w14:paraId="0BEEF999" w14:textId="69EA14C8" w:rsidR="00292710" w:rsidRDefault="00292710" w:rsidP="00E871CF">
      <w:pPr>
        <w:widowControl w:val="0"/>
        <w:jc w:val="center"/>
        <w:rPr>
          <w:rFonts w:ascii="Abadi" w:hAnsi="Abadi" w:cs="Arial"/>
          <w:b/>
          <w:bCs/>
          <w:sz w:val="21"/>
          <w:szCs w:val="21"/>
          <w:lang w:val="es-MX" w:eastAsia="en-US"/>
        </w:rPr>
      </w:pPr>
    </w:p>
    <w:p w14:paraId="1248AFE8" w14:textId="2F2BB879" w:rsidR="00646DE7" w:rsidRDefault="00646DE7" w:rsidP="00646DE7">
      <w:pPr>
        <w:ind w:firstLine="567"/>
        <w:jc w:val="both"/>
        <w:rPr>
          <w:rFonts w:ascii="Abadi" w:hAnsi="Abadi"/>
          <w:sz w:val="21"/>
          <w:szCs w:val="21"/>
        </w:rPr>
      </w:pPr>
      <w:r w:rsidRPr="000058B6">
        <w:rPr>
          <w:rFonts w:ascii="Abadi" w:hAnsi="Abadi"/>
          <w:b/>
          <w:bCs/>
          <w:sz w:val="21"/>
          <w:szCs w:val="21"/>
        </w:rPr>
        <w:t>- El Presidente.-</w:t>
      </w:r>
      <w:r>
        <w:rPr>
          <w:rFonts w:ascii="Abadi" w:hAnsi="Abadi"/>
          <w:sz w:val="21"/>
          <w:szCs w:val="21"/>
        </w:rPr>
        <w:t xml:space="preserve"> A</w:t>
      </w:r>
      <w:r w:rsidRPr="006813AA">
        <w:rPr>
          <w:rFonts w:ascii="Abadi" w:hAnsi="Abadi"/>
          <w:sz w:val="21"/>
          <w:szCs w:val="21"/>
        </w:rPr>
        <w:t xml:space="preserve"> continuación se somete a discusión el dictamen signado por la </w:t>
      </w:r>
      <w:r>
        <w:rPr>
          <w:rFonts w:ascii="Abadi" w:hAnsi="Abadi"/>
          <w:sz w:val="21"/>
          <w:szCs w:val="21"/>
        </w:rPr>
        <w:t>C</w:t>
      </w:r>
      <w:r w:rsidRPr="006813AA">
        <w:rPr>
          <w:rFonts w:ascii="Abadi" w:hAnsi="Abadi"/>
          <w:sz w:val="21"/>
          <w:szCs w:val="21"/>
        </w:rPr>
        <w:t xml:space="preserve">omisión de </w:t>
      </w:r>
      <w:r>
        <w:rPr>
          <w:rFonts w:ascii="Abadi" w:hAnsi="Abadi"/>
          <w:sz w:val="21"/>
          <w:szCs w:val="21"/>
        </w:rPr>
        <w:t>D</w:t>
      </w:r>
      <w:r w:rsidRPr="006813AA">
        <w:rPr>
          <w:rFonts w:ascii="Abadi" w:hAnsi="Abadi"/>
          <w:sz w:val="21"/>
          <w:szCs w:val="21"/>
        </w:rPr>
        <w:t xml:space="preserve">erechos </w:t>
      </w:r>
      <w:r>
        <w:rPr>
          <w:rFonts w:ascii="Abadi" w:hAnsi="Abadi"/>
          <w:sz w:val="21"/>
          <w:szCs w:val="21"/>
        </w:rPr>
        <w:t>H</w:t>
      </w:r>
      <w:r w:rsidRPr="006813AA">
        <w:rPr>
          <w:rFonts w:ascii="Abadi" w:hAnsi="Abadi"/>
          <w:sz w:val="21"/>
          <w:szCs w:val="21"/>
        </w:rPr>
        <w:t xml:space="preserve">umanos y </w:t>
      </w:r>
      <w:r>
        <w:rPr>
          <w:rFonts w:ascii="Abadi" w:hAnsi="Abadi"/>
          <w:sz w:val="21"/>
          <w:szCs w:val="21"/>
        </w:rPr>
        <w:t>A</w:t>
      </w:r>
      <w:r w:rsidRPr="006813AA">
        <w:rPr>
          <w:rFonts w:ascii="Abadi" w:hAnsi="Abadi"/>
          <w:sz w:val="21"/>
          <w:szCs w:val="21"/>
        </w:rPr>
        <w:t xml:space="preserve">tención a </w:t>
      </w:r>
      <w:r>
        <w:rPr>
          <w:rFonts w:ascii="Abadi" w:hAnsi="Abadi"/>
          <w:sz w:val="21"/>
          <w:szCs w:val="21"/>
        </w:rPr>
        <w:t>G</w:t>
      </w:r>
      <w:r w:rsidRPr="006813AA">
        <w:rPr>
          <w:rFonts w:ascii="Abadi" w:hAnsi="Abadi"/>
          <w:sz w:val="21"/>
          <w:szCs w:val="21"/>
        </w:rPr>
        <w:t>rupos</w:t>
      </w:r>
      <w:r>
        <w:rPr>
          <w:rFonts w:ascii="Abadi" w:hAnsi="Abadi"/>
          <w:sz w:val="21"/>
          <w:szCs w:val="21"/>
        </w:rPr>
        <w:t xml:space="preserve"> V</w:t>
      </w:r>
      <w:r w:rsidRPr="006813AA">
        <w:rPr>
          <w:rFonts w:ascii="Abadi" w:hAnsi="Abadi"/>
          <w:sz w:val="21"/>
          <w:szCs w:val="21"/>
        </w:rPr>
        <w:t>ulnerables correspondiente al punto 20 de nuestra orden del día</w:t>
      </w:r>
      <w:r>
        <w:rPr>
          <w:rFonts w:ascii="Abadi" w:hAnsi="Abadi"/>
          <w:sz w:val="21"/>
          <w:szCs w:val="21"/>
        </w:rPr>
        <w:t>.</w:t>
      </w:r>
    </w:p>
    <w:p w14:paraId="3B50B886" w14:textId="77777777" w:rsidR="00646DE7" w:rsidRDefault="00646DE7" w:rsidP="00646DE7">
      <w:pPr>
        <w:ind w:firstLine="567"/>
        <w:jc w:val="both"/>
        <w:rPr>
          <w:rFonts w:ascii="Abadi" w:hAnsi="Abadi"/>
          <w:sz w:val="21"/>
          <w:szCs w:val="21"/>
        </w:rPr>
      </w:pPr>
    </w:p>
    <w:p w14:paraId="099103DE" w14:textId="22C3B9DC" w:rsidR="00646DE7" w:rsidRDefault="00646DE7" w:rsidP="00646DE7">
      <w:pPr>
        <w:ind w:firstLine="708"/>
        <w:jc w:val="both"/>
        <w:rPr>
          <w:rFonts w:ascii="Abadi" w:hAnsi="Abadi"/>
          <w:sz w:val="21"/>
          <w:szCs w:val="21"/>
        </w:rPr>
      </w:pPr>
      <w:r>
        <w:rPr>
          <w:rFonts w:ascii="Abadi" w:hAnsi="Abadi"/>
          <w:sz w:val="21"/>
          <w:szCs w:val="21"/>
        </w:rPr>
        <w:t>- S</w:t>
      </w:r>
      <w:r w:rsidRPr="006813AA">
        <w:rPr>
          <w:rFonts w:ascii="Abadi" w:hAnsi="Abadi"/>
          <w:sz w:val="21"/>
          <w:szCs w:val="21"/>
        </w:rPr>
        <w:t xml:space="preserve">i alguna diputada o algún diputado desea hacer </w:t>
      </w:r>
      <w:r>
        <w:rPr>
          <w:rFonts w:ascii="Abadi" w:hAnsi="Abadi"/>
          <w:sz w:val="21"/>
          <w:szCs w:val="21"/>
        </w:rPr>
        <w:t>u</w:t>
      </w:r>
      <w:r w:rsidRPr="006813AA">
        <w:rPr>
          <w:rFonts w:ascii="Abadi" w:hAnsi="Abadi"/>
          <w:sz w:val="21"/>
          <w:szCs w:val="21"/>
        </w:rPr>
        <w:t>so de la palabra en pro o en contra manifiésten</w:t>
      </w:r>
      <w:r>
        <w:rPr>
          <w:rFonts w:ascii="Abadi" w:hAnsi="Abadi"/>
          <w:sz w:val="21"/>
          <w:szCs w:val="21"/>
        </w:rPr>
        <w:t>lo</w:t>
      </w:r>
      <w:r w:rsidRPr="006813AA">
        <w:rPr>
          <w:rFonts w:ascii="Abadi" w:hAnsi="Abadi"/>
          <w:sz w:val="21"/>
          <w:szCs w:val="21"/>
        </w:rPr>
        <w:t xml:space="preserve"> indicando el sentido de su participación</w:t>
      </w:r>
      <w:r>
        <w:rPr>
          <w:rFonts w:ascii="Abadi" w:hAnsi="Abadi"/>
          <w:sz w:val="21"/>
          <w:szCs w:val="21"/>
        </w:rPr>
        <w:t>.</w:t>
      </w:r>
    </w:p>
    <w:p w14:paraId="49BDE3D8" w14:textId="77777777" w:rsidR="00646DE7" w:rsidRDefault="00646DE7" w:rsidP="00646DE7">
      <w:pPr>
        <w:ind w:firstLine="708"/>
        <w:jc w:val="both"/>
        <w:rPr>
          <w:rFonts w:ascii="Abadi" w:hAnsi="Abadi"/>
          <w:sz w:val="21"/>
          <w:szCs w:val="21"/>
        </w:rPr>
      </w:pPr>
    </w:p>
    <w:p w14:paraId="1B4E120D" w14:textId="14DAB4C8" w:rsidR="00646DE7" w:rsidRDefault="00646DE7" w:rsidP="00646DE7">
      <w:pPr>
        <w:ind w:firstLine="708"/>
        <w:jc w:val="both"/>
        <w:rPr>
          <w:rFonts w:ascii="Abadi" w:hAnsi="Abadi"/>
          <w:sz w:val="21"/>
          <w:szCs w:val="21"/>
        </w:rPr>
      </w:pPr>
      <w:r>
        <w:rPr>
          <w:rFonts w:ascii="Abadi" w:hAnsi="Abadi"/>
          <w:sz w:val="21"/>
          <w:szCs w:val="21"/>
        </w:rPr>
        <w:t>- N</w:t>
      </w:r>
      <w:r w:rsidRPr="006813AA">
        <w:rPr>
          <w:rFonts w:ascii="Abadi" w:hAnsi="Abadi"/>
          <w:sz w:val="21"/>
          <w:szCs w:val="21"/>
        </w:rPr>
        <w:t>o habiendo participacione</w:t>
      </w:r>
      <w:r>
        <w:rPr>
          <w:rFonts w:ascii="Abadi" w:hAnsi="Abadi"/>
          <w:sz w:val="21"/>
          <w:szCs w:val="21"/>
        </w:rPr>
        <w:t>s, s</w:t>
      </w:r>
      <w:r w:rsidRPr="006813AA">
        <w:rPr>
          <w:rFonts w:ascii="Abadi" w:hAnsi="Abadi"/>
          <w:sz w:val="21"/>
          <w:szCs w:val="21"/>
        </w:rPr>
        <w:t xml:space="preserve">e pide a la </w:t>
      </w:r>
      <w:r>
        <w:rPr>
          <w:rFonts w:ascii="Abadi" w:hAnsi="Abadi"/>
          <w:sz w:val="21"/>
          <w:szCs w:val="21"/>
        </w:rPr>
        <w:t>S</w:t>
      </w:r>
      <w:r w:rsidRPr="006813AA">
        <w:rPr>
          <w:rFonts w:ascii="Abadi" w:hAnsi="Abadi"/>
          <w:sz w:val="21"/>
          <w:szCs w:val="21"/>
        </w:rPr>
        <w:t xml:space="preserve">ecretaría que proceda a recabar votación nominal de la </w:t>
      </w:r>
      <w:r>
        <w:rPr>
          <w:rFonts w:ascii="Abadi" w:hAnsi="Abadi"/>
          <w:sz w:val="21"/>
          <w:szCs w:val="21"/>
        </w:rPr>
        <w:t>A</w:t>
      </w:r>
      <w:r w:rsidRPr="006813AA">
        <w:rPr>
          <w:rFonts w:ascii="Abadi" w:hAnsi="Abadi"/>
          <w:sz w:val="21"/>
          <w:szCs w:val="21"/>
        </w:rPr>
        <w:t>samblea a través de nuestro sistema electrónico a efecto de aprobar o no el dictamen</w:t>
      </w:r>
      <w:r>
        <w:rPr>
          <w:rFonts w:ascii="Abadi" w:hAnsi="Abadi"/>
          <w:sz w:val="21"/>
          <w:szCs w:val="21"/>
        </w:rPr>
        <w:t>,</w:t>
      </w:r>
      <w:r w:rsidRPr="006813AA">
        <w:rPr>
          <w:rFonts w:ascii="Abadi" w:hAnsi="Abadi"/>
          <w:sz w:val="21"/>
          <w:szCs w:val="21"/>
        </w:rPr>
        <w:t xml:space="preserve"> puesto a su consideración</w:t>
      </w:r>
      <w:r>
        <w:rPr>
          <w:rFonts w:ascii="Abadi" w:hAnsi="Abadi"/>
          <w:sz w:val="21"/>
          <w:szCs w:val="21"/>
        </w:rPr>
        <w:t>.</w:t>
      </w:r>
    </w:p>
    <w:p w14:paraId="255611EF" w14:textId="77777777" w:rsidR="00646DE7" w:rsidRDefault="00646DE7" w:rsidP="00646DE7">
      <w:pPr>
        <w:ind w:firstLine="708"/>
        <w:jc w:val="both"/>
        <w:rPr>
          <w:rFonts w:ascii="Abadi" w:hAnsi="Abadi"/>
          <w:sz w:val="21"/>
          <w:szCs w:val="21"/>
        </w:rPr>
      </w:pPr>
    </w:p>
    <w:p w14:paraId="1D172B41" w14:textId="71FAB6EB" w:rsidR="00646DE7" w:rsidRDefault="00646DE7" w:rsidP="00646DE7">
      <w:pPr>
        <w:ind w:firstLine="708"/>
        <w:jc w:val="both"/>
        <w:rPr>
          <w:rFonts w:ascii="Abadi" w:hAnsi="Abadi"/>
          <w:b/>
          <w:bCs/>
          <w:sz w:val="21"/>
          <w:szCs w:val="21"/>
        </w:rPr>
      </w:pPr>
      <w:r w:rsidRPr="0029439E">
        <w:rPr>
          <w:rFonts w:ascii="Abadi" w:hAnsi="Abadi"/>
          <w:b/>
          <w:bCs/>
          <w:sz w:val="21"/>
          <w:szCs w:val="21"/>
        </w:rPr>
        <w:t>(Abrimos nuestro sistema electrónico)</w:t>
      </w:r>
    </w:p>
    <w:p w14:paraId="3A483EF2" w14:textId="77777777" w:rsidR="00646DE7" w:rsidRPr="0029439E" w:rsidRDefault="00646DE7" w:rsidP="00646DE7">
      <w:pPr>
        <w:ind w:firstLine="708"/>
        <w:jc w:val="both"/>
        <w:rPr>
          <w:rFonts w:ascii="Abadi" w:hAnsi="Abadi"/>
          <w:b/>
          <w:bCs/>
          <w:sz w:val="21"/>
          <w:szCs w:val="21"/>
        </w:rPr>
      </w:pPr>
    </w:p>
    <w:p w14:paraId="1CE32EBD" w14:textId="00A3A136" w:rsidR="00646DE7" w:rsidRDefault="00646DE7" w:rsidP="00646DE7">
      <w:pPr>
        <w:ind w:firstLine="708"/>
        <w:jc w:val="both"/>
        <w:rPr>
          <w:rFonts w:ascii="Abadi" w:hAnsi="Abadi"/>
          <w:sz w:val="21"/>
          <w:szCs w:val="21"/>
        </w:rPr>
      </w:pPr>
      <w:r w:rsidRPr="006813AA">
        <w:rPr>
          <w:rFonts w:ascii="Abadi" w:hAnsi="Abadi"/>
          <w:sz w:val="21"/>
          <w:szCs w:val="21"/>
        </w:rPr>
        <w:t xml:space="preserve"> </w:t>
      </w:r>
      <w:r>
        <w:rPr>
          <w:rFonts w:ascii="Abadi" w:hAnsi="Abadi"/>
          <w:sz w:val="21"/>
          <w:szCs w:val="21"/>
        </w:rPr>
        <w:t>- E</w:t>
      </w:r>
      <w:r w:rsidRPr="006813AA">
        <w:rPr>
          <w:rFonts w:ascii="Abadi" w:hAnsi="Abadi"/>
          <w:sz w:val="21"/>
          <w:szCs w:val="21"/>
        </w:rPr>
        <w:t xml:space="preserve">n votación nominal por el sistema electrónico se pregunta a las diputadas y a los diputados si se aprueba el dictamen puesto su </w:t>
      </w:r>
      <w:r>
        <w:rPr>
          <w:rFonts w:ascii="Abadi" w:hAnsi="Abadi"/>
          <w:sz w:val="21"/>
          <w:szCs w:val="21"/>
        </w:rPr>
        <w:t>consideración.</w:t>
      </w:r>
    </w:p>
    <w:p w14:paraId="206C392F" w14:textId="77777777" w:rsidR="00646DE7" w:rsidRPr="006813AA" w:rsidRDefault="00646DE7" w:rsidP="00646DE7">
      <w:pPr>
        <w:ind w:firstLine="708"/>
        <w:jc w:val="both"/>
        <w:rPr>
          <w:rFonts w:ascii="Abadi" w:hAnsi="Abadi"/>
          <w:sz w:val="21"/>
          <w:szCs w:val="21"/>
        </w:rPr>
      </w:pPr>
    </w:p>
    <w:p w14:paraId="5284BF22" w14:textId="72DA8C20" w:rsidR="00646DE7" w:rsidRDefault="00646DE7" w:rsidP="00646DE7">
      <w:pPr>
        <w:jc w:val="both"/>
        <w:rPr>
          <w:rFonts w:ascii="Abadi" w:hAnsi="Abadi"/>
          <w:sz w:val="21"/>
          <w:szCs w:val="21"/>
        </w:rPr>
      </w:pPr>
      <w:r>
        <w:rPr>
          <w:rFonts w:ascii="Abadi" w:hAnsi="Abadi"/>
          <w:sz w:val="21"/>
          <w:szCs w:val="21"/>
        </w:rPr>
        <w:t>¿F</w:t>
      </w:r>
      <w:r w:rsidRPr="006813AA">
        <w:rPr>
          <w:rFonts w:ascii="Abadi" w:hAnsi="Abadi"/>
          <w:sz w:val="21"/>
          <w:szCs w:val="21"/>
        </w:rPr>
        <w:t>alta alguna diputada o algún diputado de emitir su voto</w:t>
      </w:r>
      <w:r>
        <w:rPr>
          <w:rFonts w:ascii="Abadi" w:hAnsi="Abadi"/>
          <w:sz w:val="21"/>
          <w:szCs w:val="21"/>
        </w:rPr>
        <w:t>?</w:t>
      </w:r>
    </w:p>
    <w:p w14:paraId="453E9AFA" w14:textId="77777777" w:rsidR="00646DE7" w:rsidRDefault="00646DE7" w:rsidP="00646DE7">
      <w:pPr>
        <w:jc w:val="both"/>
        <w:rPr>
          <w:rFonts w:ascii="Abadi" w:hAnsi="Abadi"/>
          <w:sz w:val="21"/>
          <w:szCs w:val="21"/>
        </w:rPr>
      </w:pPr>
    </w:p>
    <w:p w14:paraId="49A55737" w14:textId="77777777" w:rsidR="00646DE7" w:rsidRDefault="00646DE7" w:rsidP="00646DE7">
      <w:pPr>
        <w:jc w:val="both"/>
        <w:rPr>
          <w:rFonts w:ascii="Abadi" w:hAnsi="Abadi"/>
          <w:b/>
          <w:bCs/>
          <w:sz w:val="21"/>
          <w:szCs w:val="21"/>
        </w:rPr>
      </w:pPr>
      <w:r w:rsidRPr="00BA1F20">
        <w:rPr>
          <w:rFonts w:ascii="Abadi" w:hAnsi="Abadi"/>
          <w:b/>
          <w:bCs/>
          <w:sz w:val="21"/>
          <w:szCs w:val="21"/>
        </w:rPr>
        <w:t>(Cerrar un sistema electrónico)</w:t>
      </w:r>
    </w:p>
    <w:p w14:paraId="670FA6FB" w14:textId="77777777" w:rsidR="00646DE7" w:rsidRPr="00BA1F20" w:rsidRDefault="00646DE7" w:rsidP="00646DE7">
      <w:pPr>
        <w:jc w:val="both"/>
        <w:rPr>
          <w:rFonts w:ascii="Abadi" w:hAnsi="Abadi"/>
          <w:b/>
          <w:bCs/>
          <w:sz w:val="21"/>
          <w:szCs w:val="21"/>
        </w:rPr>
      </w:pPr>
      <w:r>
        <w:rPr>
          <w:noProof/>
        </w:rPr>
        <w:drawing>
          <wp:inline distT="0" distB="0" distL="0" distR="0" wp14:anchorId="7112DDD7" wp14:editId="7BD56E33">
            <wp:extent cx="1738648" cy="907702"/>
            <wp:effectExtent l="323850" t="323850" r="318770" b="33083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b="7143"/>
                    <a:stretch/>
                  </pic:blipFill>
                  <pic:spPr bwMode="auto">
                    <a:xfrm>
                      <a:off x="0" y="0"/>
                      <a:ext cx="1760704" cy="919217"/>
                    </a:xfrm>
                    <a:prstGeom prst="rect">
                      <a:avLst/>
                    </a:prstGeom>
                    <a:ln w="88900" cap="sq" cmpd="thickThin">
                      <a:solidFill>
                        <a:srgbClr val="000000"/>
                      </a:solidFill>
                      <a:prstDash val="solid"/>
                      <a:miter lim="800000"/>
                    </a:ln>
                    <a:effectLst>
                      <a:glow rad="228600">
                        <a:schemeClr val="accent3">
                          <a:satMod val="1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5E85C865" w14:textId="77777777" w:rsidR="00646DE7" w:rsidRDefault="00646DE7" w:rsidP="00646DE7">
      <w:pPr>
        <w:ind w:firstLine="708"/>
        <w:jc w:val="both"/>
        <w:rPr>
          <w:rFonts w:ascii="Abadi" w:hAnsi="Abadi"/>
          <w:sz w:val="21"/>
          <w:szCs w:val="21"/>
        </w:rPr>
      </w:pPr>
      <w:r w:rsidRPr="00885421">
        <w:rPr>
          <w:rFonts w:ascii="Abadi" w:hAnsi="Abadi"/>
          <w:b/>
          <w:bCs/>
          <w:sz w:val="21"/>
          <w:szCs w:val="21"/>
        </w:rPr>
        <w:t xml:space="preserve">- El Secretario.- </w:t>
      </w:r>
      <w:r>
        <w:rPr>
          <w:rFonts w:ascii="Abadi" w:hAnsi="Abadi"/>
          <w:sz w:val="21"/>
          <w:szCs w:val="21"/>
        </w:rPr>
        <w:t>S</w:t>
      </w:r>
      <w:r w:rsidRPr="006813AA">
        <w:rPr>
          <w:rFonts w:ascii="Abadi" w:hAnsi="Abadi"/>
          <w:sz w:val="21"/>
          <w:szCs w:val="21"/>
        </w:rPr>
        <w:t>e registraron 32 votos a favor</w:t>
      </w:r>
      <w:r>
        <w:rPr>
          <w:rFonts w:ascii="Abadi" w:hAnsi="Abadi"/>
          <w:sz w:val="21"/>
          <w:szCs w:val="21"/>
        </w:rPr>
        <w:t>.</w:t>
      </w:r>
    </w:p>
    <w:p w14:paraId="4D65A308" w14:textId="437284D4" w:rsidR="00646DE7" w:rsidRDefault="00646DE7" w:rsidP="00646DE7">
      <w:pPr>
        <w:ind w:firstLine="708"/>
        <w:jc w:val="both"/>
        <w:rPr>
          <w:rFonts w:ascii="Abadi" w:hAnsi="Abadi"/>
          <w:sz w:val="21"/>
          <w:szCs w:val="21"/>
        </w:rPr>
      </w:pPr>
      <w:r w:rsidRPr="00885421">
        <w:rPr>
          <w:rFonts w:ascii="Abadi" w:hAnsi="Abadi"/>
          <w:b/>
          <w:bCs/>
          <w:sz w:val="21"/>
          <w:szCs w:val="21"/>
        </w:rPr>
        <w:t>- El Presidente.-</w:t>
      </w:r>
      <w:r>
        <w:rPr>
          <w:rFonts w:ascii="Abadi" w:hAnsi="Abadi"/>
          <w:sz w:val="21"/>
          <w:szCs w:val="21"/>
        </w:rPr>
        <w:t xml:space="preserve"> E</w:t>
      </w:r>
      <w:r w:rsidRPr="006813AA">
        <w:rPr>
          <w:rFonts w:ascii="Abadi" w:hAnsi="Abadi"/>
          <w:sz w:val="21"/>
          <w:szCs w:val="21"/>
        </w:rPr>
        <w:t>l dictamen ha sido aprobado por unanimidad de votos</w:t>
      </w:r>
      <w:r>
        <w:rPr>
          <w:rFonts w:ascii="Abadi" w:hAnsi="Abadi"/>
          <w:sz w:val="21"/>
          <w:szCs w:val="21"/>
        </w:rPr>
        <w:t>.</w:t>
      </w:r>
    </w:p>
    <w:p w14:paraId="1B5E9914" w14:textId="77777777" w:rsidR="005C58C8" w:rsidRDefault="005C58C8" w:rsidP="00646DE7">
      <w:pPr>
        <w:ind w:firstLine="708"/>
        <w:jc w:val="both"/>
        <w:rPr>
          <w:rFonts w:ascii="Abadi" w:hAnsi="Abadi"/>
          <w:sz w:val="21"/>
          <w:szCs w:val="21"/>
        </w:rPr>
      </w:pPr>
    </w:p>
    <w:p w14:paraId="542C3152" w14:textId="4F2C49AA" w:rsidR="00292710" w:rsidRPr="00E871CF" w:rsidRDefault="00646DE7" w:rsidP="005C58C8">
      <w:pPr>
        <w:widowControl w:val="0"/>
        <w:ind w:left="567" w:right="283"/>
        <w:jc w:val="both"/>
        <w:rPr>
          <w:rFonts w:ascii="Abadi" w:hAnsi="Abadi" w:cs="Arial"/>
          <w:b/>
          <w:bCs/>
          <w:sz w:val="21"/>
          <w:szCs w:val="21"/>
          <w:lang w:val="es-MX" w:eastAsia="en-US"/>
        </w:rPr>
      </w:pPr>
      <w:r w:rsidRPr="002A1884">
        <w:rPr>
          <w:rFonts w:ascii="Abadi" w:hAnsi="Abadi"/>
          <w:b/>
          <w:bCs/>
          <w:i/>
          <w:iCs/>
          <w:sz w:val="21"/>
          <w:szCs w:val="21"/>
          <w:u w:val="single"/>
        </w:rPr>
        <w:t xml:space="preserve"> En consecuencia se instruye a la Secretaría General para que proceda al archivo definitivo de la iniciativa referida en el dictamen aprobado.</w:t>
      </w:r>
    </w:p>
    <w:p w14:paraId="2D9FF87F" w14:textId="77777777" w:rsidR="009D0901" w:rsidRPr="009D0901" w:rsidRDefault="009D0901" w:rsidP="00E462B6">
      <w:pPr>
        <w:autoSpaceDE w:val="0"/>
        <w:autoSpaceDN w:val="0"/>
        <w:adjustRightInd w:val="0"/>
        <w:jc w:val="both"/>
        <w:rPr>
          <w:rFonts w:ascii="Abadi" w:hAnsi="Abadi" w:cs="Arial-BoldMT"/>
          <w:sz w:val="20"/>
          <w:szCs w:val="21"/>
        </w:rPr>
      </w:pPr>
    </w:p>
    <w:p w14:paraId="28D906F2" w14:textId="77777777" w:rsidR="00E462B6" w:rsidRPr="0028553C" w:rsidRDefault="00E462B6" w:rsidP="00E462B6">
      <w:pPr>
        <w:autoSpaceDE w:val="0"/>
        <w:autoSpaceDN w:val="0"/>
        <w:adjustRightInd w:val="0"/>
        <w:jc w:val="both"/>
        <w:rPr>
          <w:rFonts w:ascii="Abadi" w:hAnsi="Abadi" w:cs="Arial-BoldMT"/>
          <w:b/>
          <w:bCs/>
          <w:sz w:val="20"/>
          <w:szCs w:val="21"/>
        </w:rPr>
      </w:pPr>
    </w:p>
    <w:p w14:paraId="28EC4563" w14:textId="77777777" w:rsidR="00E462B6" w:rsidRPr="001B67B0" w:rsidRDefault="00E462B6" w:rsidP="000932F7">
      <w:pPr>
        <w:pStyle w:val="Prrafodelista"/>
        <w:numPr>
          <w:ilvl w:val="0"/>
          <w:numId w:val="14"/>
        </w:numPr>
        <w:autoSpaceDE w:val="0"/>
        <w:autoSpaceDN w:val="0"/>
        <w:adjustRightInd w:val="0"/>
        <w:ind w:left="426"/>
        <w:contextualSpacing/>
        <w:jc w:val="both"/>
        <w:rPr>
          <w:rFonts w:ascii="Abadi" w:hAnsi="Abadi" w:cs="ArialMT"/>
          <w:b/>
          <w:bCs/>
          <w:sz w:val="20"/>
          <w:szCs w:val="21"/>
        </w:rPr>
      </w:pPr>
      <w:r w:rsidRPr="001B67B0">
        <w:rPr>
          <w:rFonts w:ascii="Abadi" w:hAnsi="Abadi" w:cs="ArialMT"/>
          <w:b/>
          <w:bCs/>
          <w:sz w:val="20"/>
          <w:szCs w:val="21"/>
        </w:rPr>
        <w:t>DISCUSIÓN Y, EN SU CASO, APROBACIÓN DEL DICTAMEN EMITIDO POR LA COMISIÓN DE DERECHOS HUMANOS Y ATENCIÓN A GRUPOS VULNERABLES RELATIVO A LA PROPUESTA DE PUNTO DE ACUERDO SUSCRITA POR LA DIPUTADA MA. GUADALUPE JOSEFINA SALAS BUSTAMANTE, ANTE LA SEXAGÉSIMA CUARTA LEGISLATURA, POR LA CUAL SE EXHORTA AL TITULAR DE LA PROCURADURÍA DE DERECHOS HUMANOS EN EL ESTADO, A EFECTO DE QUE SE IMPLEMENTE UN MECANISMO DE IDENTIFICACIÓN DE EMPRESAS QUE DISCRIMINAN ASPIRANTES QUE HAN COLABORADO EN LAS FUERZAS DE SEGURIDAD PÚBLICA DEL ESTADO.</w:t>
      </w:r>
    </w:p>
    <w:p w14:paraId="0B2EA7C8" w14:textId="7DFECAA2" w:rsidR="00E462B6" w:rsidRDefault="00E462B6" w:rsidP="00E462B6">
      <w:pPr>
        <w:autoSpaceDE w:val="0"/>
        <w:autoSpaceDN w:val="0"/>
        <w:adjustRightInd w:val="0"/>
        <w:jc w:val="both"/>
        <w:rPr>
          <w:rFonts w:ascii="Abadi" w:hAnsi="Abadi" w:cs="ArialMT"/>
          <w:sz w:val="20"/>
          <w:szCs w:val="21"/>
        </w:rPr>
      </w:pPr>
    </w:p>
    <w:p w14:paraId="167FEA58" w14:textId="77777777" w:rsidR="00A432FE" w:rsidRPr="00A432FE" w:rsidRDefault="00A432FE" w:rsidP="00A432FE">
      <w:pPr>
        <w:widowControl w:val="0"/>
        <w:jc w:val="both"/>
        <w:rPr>
          <w:rFonts w:ascii="Abadi" w:hAnsi="Abadi"/>
          <w:b/>
          <w:bCs/>
          <w:sz w:val="21"/>
          <w:szCs w:val="21"/>
          <w:lang w:val="es-MX" w:eastAsia="en-US"/>
        </w:rPr>
      </w:pPr>
      <w:r w:rsidRPr="00A432FE">
        <w:rPr>
          <w:rFonts w:ascii="Abadi" w:hAnsi="Abadi"/>
          <w:b/>
          <w:bCs/>
          <w:sz w:val="21"/>
          <w:szCs w:val="21"/>
          <w:lang w:val="es-MX" w:eastAsia="en-US"/>
        </w:rPr>
        <w:t>DICTAMEN NEGATIVO QUE LA COMISIÓN DE DERECHOS HUMANOS Y ATENCIÓN A GRUPOS VULNERABLES PRESENTA AL PLENO DEL CONGRESO, DE LA PROPUESTA DE PUNTO DE ACUERDO SUSCRITA POR LA DIPUTADA MA. GUADALUPE JOSEFINA SALAS BUSTAMANTE, ANTE LA SEXAGÉSIMA CUARTA LEGISLATURA, POR LA CUAL SE EXHORTA AL TITULAR DE LA PROCURADURÍA DE DERECHOS HUMANOS EN EL ESTADO, A EFECTO DE QUE SE IMPLEMENTE UN MECANISMO DE IDENTIFICACIÓN DE EMPRESAS QUE DISCRIMINAN ASPIRANTES QUE HAN COLABORADO EN LAS FUERZAS DE SEGURIDAD PÚBLICA DEL ESTADO.</w:t>
      </w:r>
    </w:p>
    <w:p w14:paraId="444DF973" w14:textId="77777777" w:rsidR="00A432FE" w:rsidRPr="00A432FE" w:rsidRDefault="00A432FE" w:rsidP="00A432FE">
      <w:pPr>
        <w:widowControl w:val="0"/>
        <w:spacing w:line="360" w:lineRule="auto"/>
        <w:jc w:val="both"/>
        <w:rPr>
          <w:rFonts w:ascii="Abadi" w:hAnsi="Abadi" w:cs="Arial"/>
          <w:sz w:val="21"/>
          <w:szCs w:val="21"/>
          <w:lang w:val="es-MX"/>
        </w:rPr>
      </w:pPr>
    </w:p>
    <w:p w14:paraId="7E67958D" w14:textId="77777777" w:rsidR="00A432FE" w:rsidRPr="00A432FE" w:rsidRDefault="00A432FE" w:rsidP="002D48E5">
      <w:pPr>
        <w:widowControl w:val="0"/>
        <w:ind w:firstLine="851"/>
        <w:jc w:val="both"/>
        <w:rPr>
          <w:rFonts w:ascii="Abadi" w:hAnsi="Abadi" w:cs="Arial"/>
          <w:sz w:val="21"/>
          <w:szCs w:val="21"/>
          <w:lang w:val="es-MX"/>
        </w:rPr>
      </w:pPr>
      <w:r w:rsidRPr="00A432FE">
        <w:rPr>
          <w:rFonts w:ascii="Abadi" w:hAnsi="Abadi" w:cs="Arial"/>
          <w:sz w:val="21"/>
          <w:szCs w:val="21"/>
          <w:lang w:val="es-MX"/>
        </w:rPr>
        <w:t>A la Comisión de Derechos Humanos y Atención a Grupos Vulnerables le fue turnada para estudio y dictamen, la propuesta de punto de acuerdo suscrita por la diputada Ma. Guadalupe Josefina Salas Bustamante, ante la Sexagésima Cuarta Legislatura, por la cual se exhorta al titular de la Procuraduría de Derechos Humanos en el Estado, a efecto de que se implemente un mecanismo de identificación de empresas que discriminan aspirantes que han colaborado en las Fuerzas de Seguridad Pública del Estado.</w:t>
      </w:r>
    </w:p>
    <w:p w14:paraId="66E14E30" w14:textId="77777777" w:rsidR="00A432FE" w:rsidRPr="00A432FE" w:rsidRDefault="00A432FE" w:rsidP="002D48E5">
      <w:pPr>
        <w:widowControl w:val="0"/>
        <w:jc w:val="both"/>
        <w:rPr>
          <w:rFonts w:ascii="Abadi" w:hAnsi="Abadi" w:cs="Arial"/>
          <w:sz w:val="21"/>
          <w:szCs w:val="21"/>
          <w:lang w:val="es-MX"/>
        </w:rPr>
      </w:pPr>
    </w:p>
    <w:p w14:paraId="6C816CF7" w14:textId="77777777" w:rsidR="00A432FE" w:rsidRPr="00A432FE" w:rsidRDefault="00A432FE" w:rsidP="002D48E5">
      <w:pPr>
        <w:widowControl w:val="0"/>
        <w:ind w:firstLine="851"/>
        <w:jc w:val="both"/>
        <w:rPr>
          <w:rFonts w:ascii="Abadi" w:hAnsi="Abadi" w:cs="Arial"/>
          <w:sz w:val="21"/>
          <w:szCs w:val="21"/>
          <w:lang w:val="es-MX"/>
        </w:rPr>
      </w:pPr>
      <w:r w:rsidRPr="00A432FE">
        <w:rPr>
          <w:rFonts w:ascii="Abadi" w:hAnsi="Abadi" w:cs="Arial"/>
          <w:sz w:val="21"/>
          <w:szCs w:val="21"/>
          <w:lang w:val="es-MX"/>
        </w:rPr>
        <w:t>Analizada la propuesta de referencia, esta Comisión de conformidad con lo dispuesto en los artículos 89 -fracción V- y 171 de la Ley Orgánica del Poder Legislativo del Estado de Guanajuato rinde el dictamen, con base en las siguientes:</w:t>
      </w:r>
    </w:p>
    <w:p w14:paraId="3C3E1E4A" w14:textId="77777777" w:rsidR="00A432FE" w:rsidRPr="00A432FE" w:rsidRDefault="00A432FE" w:rsidP="002D48E5">
      <w:pPr>
        <w:widowControl w:val="0"/>
        <w:jc w:val="both"/>
        <w:rPr>
          <w:rFonts w:ascii="Abadi" w:hAnsi="Abadi" w:cs="Arial"/>
          <w:sz w:val="21"/>
          <w:szCs w:val="21"/>
          <w:lang w:val="es-MX"/>
        </w:rPr>
      </w:pPr>
    </w:p>
    <w:p w14:paraId="361CDFB7" w14:textId="77777777" w:rsidR="00A432FE" w:rsidRPr="00A432FE" w:rsidRDefault="00A432FE" w:rsidP="002D48E5">
      <w:pPr>
        <w:widowControl w:val="0"/>
        <w:jc w:val="center"/>
        <w:rPr>
          <w:rFonts w:ascii="Abadi" w:hAnsi="Abadi" w:cs="Arial"/>
          <w:b/>
          <w:sz w:val="21"/>
          <w:szCs w:val="21"/>
          <w:lang w:val="es-MX"/>
        </w:rPr>
      </w:pPr>
      <w:r w:rsidRPr="00A432FE">
        <w:rPr>
          <w:rFonts w:ascii="Abadi" w:hAnsi="Abadi" w:cs="Arial"/>
          <w:b/>
          <w:sz w:val="21"/>
          <w:szCs w:val="21"/>
          <w:lang w:val="es-MX"/>
        </w:rPr>
        <w:t>C O N S I D E R A C I O N E S</w:t>
      </w:r>
    </w:p>
    <w:p w14:paraId="0CBF395D" w14:textId="77777777" w:rsidR="00A432FE" w:rsidRPr="00A432FE" w:rsidRDefault="00A432FE" w:rsidP="002D48E5">
      <w:pPr>
        <w:widowControl w:val="0"/>
        <w:jc w:val="both"/>
        <w:rPr>
          <w:rFonts w:ascii="Abadi" w:hAnsi="Abadi" w:cs="Arial"/>
          <w:sz w:val="21"/>
          <w:szCs w:val="21"/>
          <w:lang w:val="es-MX"/>
        </w:rPr>
      </w:pPr>
    </w:p>
    <w:p w14:paraId="1F085C02" w14:textId="77777777" w:rsidR="00A432FE" w:rsidRPr="00A432FE" w:rsidRDefault="00A432FE" w:rsidP="002D48E5">
      <w:pPr>
        <w:widowControl w:val="0"/>
        <w:ind w:left="851"/>
        <w:jc w:val="both"/>
        <w:rPr>
          <w:rFonts w:ascii="Abadi" w:hAnsi="Abadi" w:cs="Arial"/>
          <w:b/>
          <w:sz w:val="21"/>
          <w:szCs w:val="21"/>
          <w:lang w:val="es-MX"/>
        </w:rPr>
      </w:pPr>
      <w:r w:rsidRPr="00A432FE">
        <w:rPr>
          <w:rFonts w:ascii="Abadi" w:hAnsi="Abadi" w:cs="Arial"/>
          <w:b/>
          <w:sz w:val="21"/>
          <w:szCs w:val="21"/>
          <w:lang w:val="es-MX"/>
        </w:rPr>
        <w:t>PROCESO LEGISLATIVO.</w:t>
      </w:r>
    </w:p>
    <w:p w14:paraId="1EBE8D8C" w14:textId="77777777" w:rsidR="00A432FE" w:rsidRPr="00A432FE" w:rsidRDefault="00A432FE" w:rsidP="002D48E5">
      <w:pPr>
        <w:widowControl w:val="0"/>
        <w:jc w:val="both"/>
        <w:rPr>
          <w:rFonts w:ascii="Abadi" w:hAnsi="Abadi" w:cs="Arial"/>
          <w:sz w:val="21"/>
          <w:szCs w:val="21"/>
          <w:lang w:val="es-MX"/>
        </w:rPr>
      </w:pPr>
    </w:p>
    <w:p w14:paraId="0F48FF04" w14:textId="77777777" w:rsidR="00A432FE" w:rsidRPr="00A432FE" w:rsidRDefault="00A432FE" w:rsidP="002D48E5">
      <w:pPr>
        <w:widowControl w:val="0"/>
        <w:ind w:firstLine="851"/>
        <w:jc w:val="both"/>
        <w:rPr>
          <w:rFonts w:ascii="Abadi" w:hAnsi="Abadi" w:cs="Arial"/>
          <w:sz w:val="21"/>
          <w:szCs w:val="21"/>
          <w:lang w:val="es-MX"/>
        </w:rPr>
      </w:pPr>
      <w:r w:rsidRPr="00A432FE">
        <w:rPr>
          <w:rFonts w:ascii="Abadi" w:hAnsi="Abadi" w:cs="Arial"/>
          <w:sz w:val="21"/>
          <w:szCs w:val="21"/>
          <w:lang w:val="es-MX"/>
        </w:rPr>
        <w:t>En sesión ordinaria del 3 de junio de 2021 ingresó la propuesta; misma que, con fundamento en el artículo 106 -fracción XII- de la Ley Orgánica del Poder Legislativo del Estado de Guanajuato, se turnó por parte de la presidencia del Congreso a esta Comisión legislativa para su estudio y dictamen.</w:t>
      </w:r>
    </w:p>
    <w:p w14:paraId="7E6BF70B" w14:textId="77777777" w:rsidR="00A432FE" w:rsidRPr="00A432FE" w:rsidRDefault="00A432FE" w:rsidP="002D48E5">
      <w:pPr>
        <w:widowControl w:val="0"/>
        <w:jc w:val="both"/>
        <w:rPr>
          <w:rFonts w:ascii="Abadi" w:hAnsi="Abadi" w:cs="Arial"/>
          <w:sz w:val="21"/>
          <w:szCs w:val="21"/>
          <w:lang w:val="es-MX"/>
        </w:rPr>
      </w:pPr>
    </w:p>
    <w:p w14:paraId="0EF162DA" w14:textId="77777777" w:rsidR="00A432FE" w:rsidRPr="00A432FE" w:rsidRDefault="00A432FE" w:rsidP="002D48E5">
      <w:pPr>
        <w:widowControl w:val="0"/>
        <w:ind w:firstLine="851"/>
        <w:jc w:val="both"/>
        <w:rPr>
          <w:rFonts w:ascii="Abadi" w:hAnsi="Abadi" w:cs="Arial"/>
          <w:sz w:val="21"/>
          <w:szCs w:val="21"/>
          <w:lang w:val="es-MX"/>
        </w:rPr>
      </w:pPr>
      <w:r w:rsidRPr="00A432FE">
        <w:rPr>
          <w:rFonts w:ascii="Abadi" w:hAnsi="Abadi" w:cs="Arial"/>
          <w:sz w:val="21"/>
          <w:szCs w:val="21"/>
          <w:lang w:val="es-MX"/>
        </w:rPr>
        <w:t>La Comisión de Derechos Humanos y Atención a Grupos Vulnerables, en reunión de fecha 6 de septiembre de 2021 radicó la propuesta.</w:t>
      </w:r>
    </w:p>
    <w:p w14:paraId="5D69F06D" w14:textId="77777777" w:rsidR="00A432FE" w:rsidRPr="00A432FE" w:rsidRDefault="00A432FE" w:rsidP="002D48E5">
      <w:pPr>
        <w:widowControl w:val="0"/>
        <w:jc w:val="both"/>
        <w:rPr>
          <w:rFonts w:ascii="Abadi" w:hAnsi="Abadi" w:cs="Arial"/>
          <w:sz w:val="21"/>
          <w:szCs w:val="21"/>
          <w:lang w:val="es-MX"/>
        </w:rPr>
      </w:pPr>
    </w:p>
    <w:p w14:paraId="44397E62" w14:textId="77777777" w:rsidR="00A432FE" w:rsidRPr="00A432FE" w:rsidRDefault="00A432FE" w:rsidP="002D48E5">
      <w:pPr>
        <w:widowControl w:val="0"/>
        <w:ind w:left="851"/>
        <w:jc w:val="both"/>
        <w:rPr>
          <w:rFonts w:ascii="Abadi" w:hAnsi="Abadi" w:cs="Arial"/>
          <w:b/>
          <w:sz w:val="21"/>
          <w:szCs w:val="21"/>
          <w:lang w:val="es-MX"/>
        </w:rPr>
      </w:pPr>
      <w:r w:rsidRPr="00A432FE">
        <w:rPr>
          <w:rFonts w:ascii="Abadi" w:hAnsi="Abadi" w:cs="Arial"/>
          <w:b/>
          <w:sz w:val="21"/>
          <w:szCs w:val="21"/>
          <w:lang w:val="es-MX"/>
        </w:rPr>
        <w:t>Propósito de la propuesta de punto de acuerdo.</w:t>
      </w:r>
    </w:p>
    <w:p w14:paraId="6CB247F2" w14:textId="77777777" w:rsidR="00A432FE" w:rsidRPr="00A432FE" w:rsidRDefault="00A432FE" w:rsidP="002D48E5">
      <w:pPr>
        <w:widowControl w:val="0"/>
        <w:ind w:left="851"/>
        <w:jc w:val="both"/>
        <w:rPr>
          <w:rFonts w:ascii="Abadi" w:hAnsi="Abadi" w:cs="Arial"/>
          <w:b/>
          <w:sz w:val="21"/>
          <w:szCs w:val="21"/>
          <w:lang w:val="es-MX"/>
        </w:rPr>
      </w:pPr>
    </w:p>
    <w:p w14:paraId="0E7F00A9" w14:textId="77777777" w:rsidR="00A432FE" w:rsidRPr="00A432FE" w:rsidRDefault="00A432FE" w:rsidP="002D48E5">
      <w:pPr>
        <w:widowControl w:val="0"/>
        <w:ind w:firstLine="851"/>
        <w:jc w:val="both"/>
        <w:rPr>
          <w:rFonts w:ascii="Abadi" w:hAnsi="Abadi"/>
          <w:sz w:val="21"/>
          <w:szCs w:val="21"/>
          <w:lang w:val="es-MX" w:eastAsia="en-US"/>
        </w:rPr>
      </w:pPr>
      <w:r w:rsidRPr="00A432FE">
        <w:rPr>
          <w:rFonts w:ascii="Abadi" w:hAnsi="Abadi"/>
          <w:sz w:val="21"/>
          <w:szCs w:val="21"/>
          <w:lang w:val="es-MX" w:eastAsia="en-US"/>
        </w:rPr>
        <w:t>En las consideraciones de la propuesta se puede leer que:</w:t>
      </w:r>
    </w:p>
    <w:p w14:paraId="3948FCAE" w14:textId="77777777" w:rsidR="00A432FE" w:rsidRPr="00A432FE" w:rsidRDefault="00A432FE" w:rsidP="002D48E5">
      <w:pPr>
        <w:widowControl w:val="0"/>
        <w:ind w:left="851" w:right="851"/>
        <w:jc w:val="both"/>
        <w:rPr>
          <w:rFonts w:ascii="Abadi" w:hAnsi="Abadi" w:cs="Arial"/>
          <w:i/>
          <w:sz w:val="21"/>
          <w:szCs w:val="21"/>
          <w:lang w:val="es-MX" w:eastAsia="en-US"/>
        </w:rPr>
      </w:pPr>
      <w:r w:rsidRPr="00A432FE">
        <w:rPr>
          <w:rFonts w:ascii="Abadi" w:hAnsi="Abadi" w:cs="Arial"/>
          <w:i/>
          <w:sz w:val="21"/>
          <w:szCs w:val="21"/>
          <w:lang w:val="es-MX" w:eastAsia="en-US"/>
        </w:rPr>
        <w:t>En junio 2016 se habló de una reforma a la Ley de Seguridad Pública del Estado, lo cual implicaba la implementación de evaluaciones de control y confianza a elementos integrantes de las corporaciones policiacas existentes en el Estado, así como también a los aspirantes a formar parte de ellas, dicha evaluación y aprobación era esencial tanto como para ingresar a las corporaciones, como para permanecer en ellas, fue así como en ese mismo año, pero en el mes de septiembre fue publicado el DECRETO LEGISLATIVO NÚMERO 170, MEDIANTE EL CUAL SE EXPIDE EL REGLAMENTO DE EVALUACIONES DEL CENTRO DE EVALUACIÓN Y CONTROL DE CONFIANZA DEL ESTADO DE GUANAJUATO.</w:t>
      </w:r>
    </w:p>
    <w:p w14:paraId="40127C46" w14:textId="77777777" w:rsidR="00A432FE" w:rsidRPr="00A432FE" w:rsidRDefault="00A432FE" w:rsidP="002D48E5">
      <w:pPr>
        <w:widowControl w:val="0"/>
        <w:ind w:left="851" w:right="851"/>
        <w:jc w:val="both"/>
        <w:rPr>
          <w:rFonts w:ascii="Abadi" w:hAnsi="Abadi" w:cs="Arial"/>
          <w:i/>
          <w:sz w:val="21"/>
          <w:szCs w:val="21"/>
          <w:lang w:val="es-MX" w:eastAsia="en-US"/>
        </w:rPr>
      </w:pPr>
    </w:p>
    <w:p w14:paraId="203653D6" w14:textId="77777777" w:rsidR="00A432FE" w:rsidRPr="00A432FE" w:rsidRDefault="00A432FE" w:rsidP="002D48E5">
      <w:pPr>
        <w:widowControl w:val="0"/>
        <w:ind w:left="851" w:right="851"/>
        <w:jc w:val="both"/>
        <w:rPr>
          <w:rFonts w:ascii="Abadi" w:hAnsi="Abadi" w:cs="Arial"/>
          <w:i/>
          <w:sz w:val="21"/>
          <w:szCs w:val="21"/>
          <w:lang w:val="es-MX" w:eastAsia="en-US"/>
        </w:rPr>
      </w:pPr>
      <w:r w:rsidRPr="00A432FE">
        <w:rPr>
          <w:rFonts w:ascii="Abadi" w:hAnsi="Abadi" w:cs="Arial"/>
          <w:i/>
          <w:sz w:val="21"/>
          <w:szCs w:val="21"/>
          <w:lang w:val="es-MX" w:eastAsia="en-US"/>
        </w:rPr>
        <w:t>Desde entonces fueron realizados alrededor de 32 mil evaluaciones por año, con un porcentaje de reprobación del 15.99% lo que se traduce en 1117 elementos de policías despedidos, uno de los principales que presentó la aplicación de las mencionadas evaluaciones y sigue presentándose a la fecha, es que las personas encargadas de la aplicación de las mencionadas evaluaciones no en el cien por ciento de los casos resultan ser peritos especializados en "Psicología Clínica", diciplina adecuada para la aplicación de los mismos, lo que es factor determinante en muchos de los casos para que en el examen realizado el elemento obtenga resultados poco o nada favorables.</w:t>
      </w:r>
    </w:p>
    <w:p w14:paraId="5F3AFA61" w14:textId="77777777" w:rsidR="00A432FE" w:rsidRPr="00A432FE" w:rsidRDefault="00A432FE" w:rsidP="002D48E5">
      <w:pPr>
        <w:widowControl w:val="0"/>
        <w:ind w:left="851" w:right="851"/>
        <w:jc w:val="both"/>
        <w:rPr>
          <w:rFonts w:ascii="Abadi" w:hAnsi="Abadi" w:cs="Arial"/>
          <w:i/>
          <w:sz w:val="21"/>
          <w:szCs w:val="21"/>
          <w:lang w:val="es-MX" w:eastAsia="en-US"/>
        </w:rPr>
      </w:pPr>
    </w:p>
    <w:p w14:paraId="74A43992" w14:textId="77777777" w:rsidR="00A432FE" w:rsidRPr="00A432FE" w:rsidRDefault="00A432FE" w:rsidP="002D48E5">
      <w:pPr>
        <w:widowControl w:val="0"/>
        <w:ind w:left="851" w:right="851"/>
        <w:jc w:val="both"/>
        <w:rPr>
          <w:rFonts w:ascii="Abadi" w:hAnsi="Abadi" w:cs="Arial"/>
          <w:i/>
          <w:sz w:val="21"/>
          <w:szCs w:val="21"/>
          <w:lang w:val="es-MX" w:eastAsia="en-US"/>
        </w:rPr>
      </w:pPr>
      <w:r w:rsidRPr="00A432FE">
        <w:rPr>
          <w:rFonts w:ascii="Abadi" w:hAnsi="Abadi" w:cs="Arial"/>
          <w:i/>
          <w:sz w:val="21"/>
          <w:szCs w:val="21"/>
          <w:lang w:val="es-MX" w:eastAsia="en-US"/>
        </w:rPr>
        <w:t>Debido a que la Ley del Sistema de Seguridad Pública del Estado de Guanajuato en su artículo 43 marca cómo obligación de los elementos la aplicación de dicha evaluación y aprobación del mismo para poder continuar dentro de la Institución, alrededor de 1117 elementos anualmente se quedan en situación de desempleo, dicha situación además de preocupante resulta ser gravosa, pues están siendo vulnerados en sus más básicos Derechos Humanos, como lo son aquellos relacionados en el ámbito laboral.</w:t>
      </w:r>
    </w:p>
    <w:p w14:paraId="5B418A2D" w14:textId="77777777" w:rsidR="00A432FE" w:rsidRPr="00A432FE" w:rsidRDefault="00A432FE" w:rsidP="002D48E5">
      <w:pPr>
        <w:widowControl w:val="0"/>
        <w:ind w:left="851" w:right="851"/>
        <w:jc w:val="both"/>
        <w:rPr>
          <w:rFonts w:ascii="Abadi" w:hAnsi="Abadi" w:cs="Arial"/>
          <w:i/>
          <w:sz w:val="21"/>
          <w:szCs w:val="21"/>
          <w:lang w:val="es-MX" w:eastAsia="en-US"/>
        </w:rPr>
      </w:pPr>
    </w:p>
    <w:p w14:paraId="7C5ECF2A" w14:textId="77777777" w:rsidR="00A432FE" w:rsidRPr="00A432FE" w:rsidRDefault="00A432FE" w:rsidP="002D48E5">
      <w:pPr>
        <w:widowControl w:val="0"/>
        <w:ind w:left="851" w:right="851"/>
        <w:jc w:val="both"/>
        <w:rPr>
          <w:rFonts w:ascii="Abadi" w:hAnsi="Abadi" w:cs="Arial"/>
          <w:i/>
          <w:sz w:val="21"/>
          <w:szCs w:val="21"/>
          <w:lang w:val="es-MX" w:eastAsia="en-US"/>
        </w:rPr>
      </w:pPr>
      <w:r w:rsidRPr="00A432FE">
        <w:rPr>
          <w:rFonts w:ascii="Abadi" w:hAnsi="Abadi" w:cs="Arial"/>
          <w:i/>
          <w:sz w:val="21"/>
          <w:szCs w:val="21"/>
          <w:lang w:val="es-MX" w:eastAsia="en-US"/>
        </w:rPr>
        <w:t>Una vez suscitada la situación mencionada, aquellos que resultan ser separados de sus cargos se ven en la urgente necesidad de adquirir un nuevo empleo y es justo en ese punto dónde la situación se complica aún más, ello en razón de que comienzan a postularse en las diversas vacantes disponibles en empresas o industrias, mismas que en su proceso de selección descartan a los postulantes que hayan formado parte de las filas de mandos policiacos o Instituciones dedicadas a la Seguridad Pública, siendo así discriminados en razón a su historial laboral y coartando el Derecho de ejercer su libertad laboral.</w:t>
      </w:r>
    </w:p>
    <w:p w14:paraId="5C3E70E6" w14:textId="77777777" w:rsidR="00A432FE" w:rsidRPr="00A432FE" w:rsidRDefault="00A432FE" w:rsidP="002D48E5">
      <w:pPr>
        <w:widowControl w:val="0"/>
        <w:ind w:left="851" w:right="851"/>
        <w:jc w:val="both"/>
        <w:rPr>
          <w:rFonts w:ascii="Abadi" w:hAnsi="Abadi" w:cs="Arial"/>
          <w:i/>
          <w:sz w:val="21"/>
          <w:szCs w:val="21"/>
          <w:lang w:val="es-MX" w:eastAsia="en-US"/>
        </w:rPr>
      </w:pPr>
    </w:p>
    <w:p w14:paraId="627DFE18" w14:textId="77777777" w:rsidR="00A432FE" w:rsidRPr="00A432FE" w:rsidRDefault="00A432FE" w:rsidP="002D48E5">
      <w:pPr>
        <w:widowControl w:val="0"/>
        <w:ind w:left="851" w:right="851"/>
        <w:jc w:val="both"/>
        <w:rPr>
          <w:rFonts w:ascii="Abadi" w:hAnsi="Abadi" w:cs="Arial"/>
          <w:i/>
          <w:sz w:val="21"/>
          <w:szCs w:val="21"/>
          <w:lang w:val="es-MX" w:eastAsia="en-US"/>
        </w:rPr>
      </w:pPr>
      <w:r w:rsidRPr="00A432FE">
        <w:rPr>
          <w:rFonts w:ascii="Abadi" w:hAnsi="Abadi" w:cs="Arial"/>
          <w:i/>
          <w:sz w:val="21"/>
          <w:szCs w:val="21"/>
          <w:lang w:val="es-MX" w:eastAsia="en-US"/>
        </w:rPr>
        <w:t>De todo lo mencionado con anterioridad, lo aún más preocupante es saber que al encontrarse en situación de desempleo y con obligaciones de primera necesidad por solventar, muchos de esos elementos se unen a las filas del crimen organizado, justo ahí dónde son enlistados debido a las habilidades que han adquirido en el tiempo en que han servido a las Fuerzas de Seguridad del Estado.</w:t>
      </w:r>
    </w:p>
    <w:p w14:paraId="1689D70E" w14:textId="77777777" w:rsidR="00A432FE" w:rsidRPr="00A432FE" w:rsidRDefault="00A432FE" w:rsidP="002D48E5">
      <w:pPr>
        <w:widowControl w:val="0"/>
        <w:ind w:left="851" w:right="851"/>
        <w:jc w:val="both"/>
        <w:rPr>
          <w:rFonts w:ascii="Abadi" w:hAnsi="Abadi" w:cs="Arial"/>
          <w:i/>
          <w:sz w:val="21"/>
          <w:szCs w:val="21"/>
          <w:lang w:val="es-MX" w:eastAsia="en-US"/>
        </w:rPr>
      </w:pPr>
    </w:p>
    <w:p w14:paraId="410C02FC" w14:textId="77777777" w:rsidR="00A432FE" w:rsidRPr="00A432FE" w:rsidRDefault="00A432FE" w:rsidP="002D48E5">
      <w:pPr>
        <w:widowControl w:val="0"/>
        <w:ind w:left="851" w:right="851"/>
        <w:jc w:val="both"/>
        <w:rPr>
          <w:rFonts w:ascii="Abadi" w:hAnsi="Abadi" w:cs="Arial"/>
          <w:i/>
          <w:sz w:val="21"/>
          <w:szCs w:val="21"/>
          <w:lang w:val="es-MX" w:eastAsia="en-US"/>
        </w:rPr>
      </w:pPr>
      <w:r w:rsidRPr="00A432FE">
        <w:rPr>
          <w:rFonts w:ascii="Abadi" w:hAnsi="Abadi" w:cs="Arial"/>
          <w:i/>
          <w:sz w:val="21"/>
          <w:szCs w:val="21"/>
          <w:lang w:val="es-MX" w:eastAsia="en-US"/>
        </w:rPr>
        <w:t>Por lo anterior, la de la voz hace un atento llamado al Titular de la Procuraduría de Derechos Humanos a fin de que identifique a aquellas empresas que realizan tales prácticas discriminatorias y violatorias de los más fundamentales Derechos Humanos y realice las observaciones y procedimientos que considere pertinentes, para así poder erradicar paulatinamente malas prácticas en procesos de selección que evitan un reingreso al ámbito laboral de aquellos elementos despedidos que quedan en situación de desempleo.</w:t>
      </w:r>
    </w:p>
    <w:p w14:paraId="04DB61A8" w14:textId="77777777" w:rsidR="00A432FE" w:rsidRPr="00A432FE" w:rsidRDefault="00A432FE" w:rsidP="002D48E5">
      <w:pPr>
        <w:widowControl w:val="0"/>
        <w:jc w:val="both"/>
        <w:rPr>
          <w:rFonts w:ascii="Abadi" w:hAnsi="Abadi" w:cs="Arial"/>
          <w:sz w:val="21"/>
          <w:szCs w:val="21"/>
          <w:lang w:val="es-MX"/>
        </w:rPr>
      </w:pPr>
    </w:p>
    <w:p w14:paraId="6F3E10EB" w14:textId="77777777" w:rsidR="00A432FE" w:rsidRPr="00A432FE" w:rsidRDefault="00A432FE" w:rsidP="002D48E5">
      <w:pPr>
        <w:widowControl w:val="0"/>
        <w:ind w:left="851"/>
        <w:jc w:val="both"/>
        <w:rPr>
          <w:rFonts w:ascii="Abadi" w:hAnsi="Abadi"/>
          <w:b/>
          <w:sz w:val="21"/>
          <w:szCs w:val="21"/>
          <w:lang w:val="es-MX"/>
        </w:rPr>
      </w:pPr>
      <w:r w:rsidRPr="00A432FE">
        <w:rPr>
          <w:rFonts w:ascii="Abadi" w:hAnsi="Abadi" w:cs="Arial"/>
          <w:b/>
          <w:sz w:val="21"/>
          <w:szCs w:val="21"/>
          <w:lang w:val="es-MX"/>
        </w:rPr>
        <w:t>ARGUMENTOS DE LA COMISIÓN</w:t>
      </w:r>
      <w:r w:rsidRPr="00A432FE">
        <w:rPr>
          <w:rFonts w:ascii="Abadi" w:hAnsi="Abadi"/>
          <w:b/>
          <w:sz w:val="21"/>
          <w:szCs w:val="21"/>
          <w:lang w:val="es-MX"/>
        </w:rPr>
        <w:t>.</w:t>
      </w:r>
    </w:p>
    <w:p w14:paraId="3B1BEBA0" w14:textId="77777777" w:rsidR="00A432FE" w:rsidRPr="00A432FE" w:rsidRDefault="00A432FE" w:rsidP="002D48E5">
      <w:pPr>
        <w:widowControl w:val="0"/>
        <w:jc w:val="both"/>
        <w:rPr>
          <w:rFonts w:ascii="Abadi" w:hAnsi="Abadi"/>
          <w:sz w:val="21"/>
          <w:szCs w:val="21"/>
          <w:lang w:val="es-MX" w:eastAsia="en-US"/>
        </w:rPr>
      </w:pPr>
    </w:p>
    <w:p w14:paraId="392B3477" w14:textId="77777777" w:rsidR="00A432FE" w:rsidRPr="00A432FE" w:rsidRDefault="00A432FE" w:rsidP="002D48E5">
      <w:pPr>
        <w:widowControl w:val="0"/>
        <w:ind w:firstLine="851"/>
        <w:jc w:val="both"/>
        <w:rPr>
          <w:rFonts w:ascii="Abadi" w:hAnsi="Abadi" w:cs="Arial"/>
          <w:sz w:val="21"/>
          <w:szCs w:val="21"/>
          <w:lang w:val="es-MX"/>
        </w:rPr>
      </w:pPr>
      <w:r w:rsidRPr="00A432FE">
        <w:rPr>
          <w:rFonts w:ascii="Abadi" w:hAnsi="Abadi" w:cs="Arial"/>
          <w:sz w:val="21"/>
          <w:szCs w:val="21"/>
          <w:lang w:val="es-MX"/>
        </w:rPr>
        <w:t xml:space="preserve">Esta comisión legislativa tiene competencia para el conocimiento y dictamen de los asuntos que </w:t>
      </w:r>
      <w:r w:rsidRPr="00A432FE">
        <w:rPr>
          <w:rFonts w:ascii="Abadi" w:hAnsi="Abadi" w:cs="Arial"/>
          <w:i/>
          <w:iCs/>
          <w:sz w:val="21"/>
          <w:szCs w:val="21"/>
          <w:lang w:val="es-MX"/>
        </w:rPr>
        <w:t xml:space="preserve">se refieran a las iniciativas de ley o modificaciones, relacionadas con legislación en materia de derechos humanos y atención a grupos vulnerables </w:t>
      </w:r>
      <w:r w:rsidRPr="00A432FE">
        <w:rPr>
          <w:rFonts w:ascii="Abadi" w:hAnsi="Abadi" w:cs="Arial"/>
          <w:sz w:val="21"/>
          <w:szCs w:val="21"/>
          <w:lang w:val="es-MX"/>
        </w:rPr>
        <w:t>(artículo 106 -fracción I- de la Ley Orgánica del Poder Legislativo del Estado de Guanajuato). Asimismo, se le asigna competencia para el conocimiento y dictamen de los asuntos análogos que a juicio de la presidencia del Congreso sean materia de tratamiento por esta Comisión. Con este último fundamento se turnó la propuesta que nos ocupa.</w:t>
      </w:r>
    </w:p>
    <w:p w14:paraId="49887CD1" w14:textId="77777777" w:rsidR="00A432FE" w:rsidRPr="00A432FE" w:rsidRDefault="00A432FE" w:rsidP="002D48E5">
      <w:pPr>
        <w:widowControl w:val="0"/>
        <w:jc w:val="both"/>
        <w:rPr>
          <w:rFonts w:ascii="Abadi" w:hAnsi="Abadi" w:cs="Arial"/>
          <w:sz w:val="21"/>
          <w:szCs w:val="21"/>
          <w:lang w:val="es-MX"/>
        </w:rPr>
      </w:pPr>
    </w:p>
    <w:p w14:paraId="142931A0" w14:textId="77777777" w:rsidR="00A432FE" w:rsidRPr="00A432FE" w:rsidRDefault="00A432FE" w:rsidP="002D48E5">
      <w:pPr>
        <w:widowControl w:val="0"/>
        <w:ind w:firstLine="851"/>
        <w:jc w:val="both"/>
        <w:rPr>
          <w:rFonts w:ascii="Abadi" w:hAnsi="Abadi" w:cs="Arial"/>
          <w:sz w:val="21"/>
          <w:szCs w:val="21"/>
          <w:lang w:val="es-MX"/>
        </w:rPr>
      </w:pPr>
      <w:r w:rsidRPr="00A432FE">
        <w:rPr>
          <w:rFonts w:ascii="Abadi" w:hAnsi="Abadi" w:cs="Arial"/>
          <w:sz w:val="21"/>
          <w:szCs w:val="21"/>
          <w:lang w:val="es-MX"/>
        </w:rPr>
        <w:t>En reunión de la Comisión celebrada el 1 de junio de 2022 se acordó por unanimidad dictaminar en sentido negativo la propuesta de punto de acuerdo.</w:t>
      </w:r>
    </w:p>
    <w:p w14:paraId="0B61767C" w14:textId="77777777" w:rsidR="00A432FE" w:rsidRPr="00A432FE" w:rsidRDefault="00A432FE" w:rsidP="002D48E5">
      <w:pPr>
        <w:widowControl w:val="0"/>
        <w:jc w:val="both"/>
        <w:rPr>
          <w:rFonts w:ascii="Abadi" w:hAnsi="Abadi" w:cs="Arial"/>
          <w:sz w:val="21"/>
          <w:szCs w:val="21"/>
          <w:lang w:val="es-MX"/>
        </w:rPr>
      </w:pPr>
    </w:p>
    <w:p w14:paraId="350B1EBB" w14:textId="77777777" w:rsidR="00A432FE" w:rsidRPr="00A432FE" w:rsidRDefault="00A432FE" w:rsidP="002D48E5">
      <w:pPr>
        <w:widowControl w:val="0"/>
        <w:ind w:firstLine="851"/>
        <w:jc w:val="both"/>
        <w:rPr>
          <w:rFonts w:ascii="Abadi" w:hAnsi="Abadi" w:cs="Arial"/>
          <w:sz w:val="21"/>
          <w:szCs w:val="21"/>
          <w:lang w:val="es-MX"/>
        </w:rPr>
      </w:pPr>
      <w:r w:rsidRPr="00A432FE">
        <w:rPr>
          <w:rFonts w:ascii="Abadi" w:hAnsi="Abadi" w:cs="Arial"/>
          <w:sz w:val="21"/>
          <w:szCs w:val="21"/>
          <w:lang w:val="es-MX"/>
        </w:rPr>
        <w:t xml:space="preserve">La iniciante afirma que las empresas o industrias en el proceso de selección descartan a los postulantes que hayan formado parte de los mandos policiacos o instituciones dedicadas a la seguridad pública, lo que genera discriminación; y que, al estar desempleados, muchos de estos elementos se unen a las filas del crimen organizado. Sin embargo, no se aportan datos sobre la fuente a la que se recurrió para soportar tales aseveraciones. </w:t>
      </w:r>
    </w:p>
    <w:p w14:paraId="06A6C1CE" w14:textId="77777777" w:rsidR="00A432FE" w:rsidRPr="00A432FE" w:rsidRDefault="00A432FE" w:rsidP="002D48E5">
      <w:pPr>
        <w:widowControl w:val="0"/>
        <w:jc w:val="both"/>
        <w:rPr>
          <w:rFonts w:ascii="Abadi" w:hAnsi="Abadi" w:cs="Arial"/>
          <w:sz w:val="21"/>
          <w:szCs w:val="21"/>
          <w:lang w:val="es-MX"/>
        </w:rPr>
      </w:pPr>
    </w:p>
    <w:p w14:paraId="4665B575" w14:textId="77777777" w:rsidR="00A432FE" w:rsidRPr="00A432FE" w:rsidRDefault="00A432FE" w:rsidP="002D48E5">
      <w:pPr>
        <w:widowControl w:val="0"/>
        <w:ind w:firstLine="851"/>
        <w:jc w:val="both"/>
        <w:rPr>
          <w:rFonts w:ascii="Abadi" w:hAnsi="Abadi" w:cs="Arial"/>
          <w:sz w:val="21"/>
          <w:szCs w:val="21"/>
          <w:lang w:val="es-MX"/>
        </w:rPr>
      </w:pPr>
      <w:r w:rsidRPr="00A432FE">
        <w:rPr>
          <w:rFonts w:ascii="Abadi" w:hAnsi="Abadi" w:cs="Arial"/>
          <w:sz w:val="21"/>
          <w:szCs w:val="21"/>
          <w:lang w:val="es-MX"/>
        </w:rPr>
        <w:t xml:space="preserve">Por otro lado, se pretende que el titular de la Procuraduría de los Derechos Humanos del Estado de Guanajuato identifique a las empresas que realizan estas </w:t>
      </w:r>
      <w:r w:rsidRPr="00A432FE">
        <w:rPr>
          <w:rFonts w:ascii="Abadi" w:hAnsi="Abadi" w:cs="Arial"/>
          <w:i/>
          <w:iCs/>
          <w:sz w:val="21"/>
          <w:szCs w:val="21"/>
          <w:lang w:val="es-MX"/>
        </w:rPr>
        <w:t>prácticas discriminatorias y violatorias de los más fundamentales Derechos Humanos</w:t>
      </w:r>
      <w:r w:rsidRPr="00A432FE">
        <w:rPr>
          <w:rFonts w:ascii="Abadi" w:hAnsi="Abadi" w:cs="Arial"/>
          <w:sz w:val="21"/>
          <w:szCs w:val="21"/>
          <w:lang w:val="es-MX"/>
        </w:rPr>
        <w:t xml:space="preserve"> y realice las observaciones y procedimientos que considere pertinentes. Sin embargo, no debemos perder de vista la competencia del organismo protector de los derechos humanos.</w:t>
      </w:r>
    </w:p>
    <w:p w14:paraId="46EF1721" w14:textId="77777777" w:rsidR="00A432FE" w:rsidRPr="00A432FE" w:rsidRDefault="00A432FE" w:rsidP="002D48E5">
      <w:pPr>
        <w:widowControl w:val="0"/>
        <w:jc w:val="both"/>
        <w:rPr>
          <w:rFonts w:ascii="Abadi" w:hAnsi="Abadi" w:cs="Arial"/>
          <w:sz w:val="21"/>
          <w:szCs w:val="21"/>
          <w:lang w:val="es-MX"/>
        </w:rPr>
      </w:pPr>
    </w:p>
    <w:p w14:paraId="5D572DB8" w14:textId="77777777" w:rsidR="00A432FE" w:rsidRPr="00A432FE" w:rsidRDefault="00A432FE" w:rsidP="002D48E5">
      <w:pPr>
        <w:widowControl w:val="0"/>
        <w:ind w:firstLine="851"/>
        <w:jc w:val="both"/>
        <w:rPr>
          <w:rFonts w:ascii="Abadi" w:hAnsi="Abadi"/>
          <w:sz w:val="21"/>
          <w:szCs w:val="21"/>
          <w:lang w:val="es-MX"/>
        </w:rPr>
      </w:pPr>
      <w:r w:rsidRPr="00A432FE">
        <w:rPr>
          <w:rFonts w:ascii="Abadi" w:hAnsi="Abadi" w:cs="Arial"/>
          <w:sz w:val="21"/>
          <w:szCs w:val="21"/>
          <w:lang w:val="es-MX"/>
        </w:rPr>
        <w:t xml:space="preserve">En mérito de lo expuesto, sometemos a </w:t>
      </w:r>
      <w:r w:rsidRPr="00A432FE">
        <w:rPr>
          <w:rFonts w:ascii="Abadi" w:hAnsi="Abadi"/>
          <w:sz w:val="21"/>
          <w:szCs w:val="21"/>
          <w:lang w:val="es-MX"/>
        </w:rPr>
        <w:t>consideración de la Asamblea, la aprobación del siguiente:</w:t>
      </w:r>
    </w:p>
    <w:p w14:paraId="7481D8C9" w14:textId="77777777" w:rsidR="00A432FE" w:rsidRPr="00A432FE" w:rsidRDefault="00A432FE" w:rsidP="002D48E5">
      <w:pPr>
        <w:widowControl w:val="0"/>
        <w:jc w:val="both"/>
        <w:rPr>
          <w:rFonts w:ascii="Abadi" w:hAnsi="Abadi"/>
          <w:sz w:val="21"/>
          <w:szCs w:val="21"/>
          <w:lang w:val="es-MX"/>
        </w:rPr>
      </w:pPr>
    </w:p>
    <w:p w14:paraId="34669B45" w14:textId="77777777" w:rsidR="00A432FE" w:rsidRPr="00A432FE" w:rsidRDefault="00A432FE" w:rsidP="002D48E5">
      <w:pPr>
        <w:widowControl w:val="0"/>
        <w:jc w:val="center"/>
        <w:rPr>
          <w:rFonts w:ascii="Abadi" w:hAnsi="Abadi" w:cs="Arial"/>
          <w:b/>
          <w:sz w:val="21"/>
          <w:szCs w:val="21"/>
          <w:lang w:val="es-MX" w:eastAsia="en-US"/>
        </w:rPr>
      </w:pPr>
      <w:r w:rsidRPr="00A432FE">
        <w:rPr>
          <w:rFonts w:ascii="Abadi" w:hAnsi="Abadi" w:cs="Arial"/>
          <w:b/>
          <w:sz w:val="21"/>
          <w:szCs w:val="21"/>
          <w:lang w:val="es-MX" w:eastAsia="en-US"/>
        </w:rPr>
        <w:t>A C U E R D O</w:t>
      </w:r>
    </w:p>
    <w:p w14:paraId="5F5F7078" w14:textId="77777777" w:rsidR="00A432FE" w:rsidRPr="00A432FE" w:rsidRDefault="00A432FE" w:rsidP="002D48E5">
      <w:pPr>
        <w:widowControl w:val="0"/>
        <w:autoSpaceDE w:val="0"/>
        <w:autoSpaceDN w:val="0"/>
        <w:adjustRightInd w:val="0"/>
        <w:jc w:val="both"/>
        <w:rPr>
          <w:rFonts w:ascii="Abadi" w:hAnsi="Abadi" w:cs="Arial"/>
          <w:sz w:val="21"/>
          <w:szCs w:val="21"/>
          <w:lang w:val="es-MX" w:eastAsia="en-US"/>
        </w:rPr>
      </w:pPr>
    </w:p>
    <w:p w14:paraId="6B6A9398" w14:textId="77777777" w:rsidR="00A432FE" w:rsidRPr="00A432FE" w:rsidRDefault="00A432FE" w:rsidP="002D48E5">
      <w:pPr>
        <w:widowControl w:val="0"/>
        <w:ind w:right="-1" w:firstLine="851"/>
        <w:jc w:val="both"/>
        <w:rPr>
          <w:rFonts w:ascii="Abadi" w:hAnsi="Abadi"/>
          <w:sz w:val="21"/>
          <w:szCs w:val="21"/>
          <w:lang w:val="es-MX" w:eastAsia="en-US"/>
        </w:rPr>
      </w:pPr>
      <w:r w:rsidRPr="00A432FE">
        <w:rPr>
          <w:rFonts w:ascii="Abadi" w:hAnsi="Abadi"/>
          <w:b/>
          <w:sz w:val="21"/>
          <w:szCs w:val="21"/>
          <w:lang w:val="es-MX" w:eastAsia="en-US"/>
        </w:rPr>
        <w:t>Único.</w:t>
      </w:r>
      <w:r w:rsidRPr="00A432FE">
        <w:rPr>
          <w:rFonts w:ascii="Abadi" w:hAnsi="Abadi"/>
          <w:sz w:val="21"/>
          <w:szCs w:val="21"/>
          <w:lang w:val="es-MX" w:eastAsia="en-US"/>
        </w:rPr>
        <w:t xml:space="preserve"> No resulta procedente la</w:t>
      </w:r>
      <w:r w:rsidRPr="00A432FE">
        <w:rPr>
          <w:rFonts w:ascii="Abadi" w:hAnsi="Abadi" w:cs="Arial"/>
          <w:sz w:val="21"/>
          <w:szCs w:val="21"/>
          <w:lang w:val="es-MX" w:eastAsia="en-US"/>
        </w:rPr>
        <w:t xml:space="preserve"> propuesta de punto de acuerdo suscrita por la diputada Ma. Guadalupe Josefina Salas Bustamante, ante la Sexagésima Cuarta Legislatura, por la cual se exhorta al titular de la Procuraduría de Derechos Humanos en el Estado, a efecto de que se implemente un mecanismo de identificación de empresas que discriminan aspirantes que han colaborado en las Fuerzas de Seguridad Pública del Estado</w:t>
      </w:r>
      <w:r w:rsidRPr="00A432FE">
        <w:rPr>
          <w:rFonts w:ascii="Abadi" w:hAnsi="Abadi"/>
          <w:sz w:val="21"/>
          <w:szCs w:val="21"/>
          <w:lang w:val="es-MX" w:eastAsia="en-US"/>
        </w:rPr>
        <w:t>.</w:t>
      </w:r>
    </w:p>
    <w:p w14:paraId="72AD0C8D" w14:textId="77777777" w:rsidR="00A432FE" w:rsidRPr="00A432FE" w:rsidRDefault="00A432FE" w:rsidP="002D48E5">
      <w:pPr>
        <w:widowControl w:val="0"/>
        <w:ind w:right="-1"/>
        <w:jc w:val="both"/>
        <w:rPr>
          <w:rFonts w:ascii="Abadi" w:hAnsi="Abadi"/>
          <w:sz w:val="21"/>
          <w:szCs w:val="21"/>
          <w:lang w:val="es-MX" w:eastAsia="en-US"/>
        </w:rPr>
      </w:pPr>
    </w:p>
    <w:p w14:paraId="73C7716F" w14:textId="77777777" w:rsidR="00A432FE" w:rsidRPr="00A432FE" w:rsidRDefault="00A432FE" w:rsidP="002D48E5">
      <w:pPr>
        <w:widowControl w:val="0"/>
        <w:ind w:right="-1" w:firstLine="851"/>
        <w:jc w:val="both"/>
        <w:rPr>
          <w:rFonts w:ascii="Abadi" w:hAnsi="Abadi"/>
          <w:sz w:val="21"/>
          <w:szCs w:val="21"/>
          <w:lang w:val="es-MX" w:eastAsia="en-US"/>
        </w:rPr>
      </w:pPr>
      <w:r w:rsidRPr="00A432FE">
        <w:rPr>
          <w:rFonts w:ascii="Abadi" w:hAnsi="Abadi"/>
          <w:sz w:val="21"/>
          <w:szCs w:val="21"/>
          <w:lang w:val="es-MX" w:eastAsia="en-US"/>
        </w:rPr>
        <w:t>En consecuencia, se ordena el archivo definitivo de la iniciativa.</w:t>
      </w:r>
    </w:p>
    <w:p w14:paraId="4557A509" w14:textId="77777777" w:rsidR="00A432FE" w:rsidRPr="00A432FE" w:rsidRDefault="00A432FE" w:rsidP="002D48E5">
      <w:pPr>
        <w:widowControl w:val="0"/>
        <w:ind w:right="-1"/>
        <w:jc w:val="both"/>
        <w:rPr>
          <w:rFonts w:ascii="Abadi" w:hAnsi="Abadi"/>
          <w:sz w:val="21"/>
          <w:szCs w:val="21"/>
          <w:lang w:val="es-MX" w:eastAsia="en-US"/>
        </w:rPr>
      </w:pPr>
    </w:p>
    <w:p w14:paraId="4E6331E5" w14:textId="77777777" w:rsidR="00A432FE" w:rsidRPr="00A432FE" w:rsidRDefault="00A432FE" w:rsidP="002D48E5">
      <w:pPr>
        <w:widowControl w:val="0"/>
        <w:jc w:val="center"/>
        <w:rPr>
          <w:rFonts w:ascii="Abadi" w:eastAsia="Arial Unicode MS" w:hAnsi="Abadi" w:cs="Arial"/>
          <w:b/>
          <w:iCs/>
          <w:sz w:val="21"/>
          <w:szCs w:val="21"/>
          <w:lang w:val="es-MX" w:eastAsia="en-US"/>
        </w:rPr>
      </w:pPr>
      <w:r w:rsidRPr="00A432FE">
        <w:rPr>
          <w:rFonts w:ascii="Abadi" w:eastAsia="Arial Unicode MS" w:hAnsi="Abadi" w:cs="Arial"/>
          <w:b/>
          <w:iCs/>
          <w:sz w:val="21"/>
          <w:szCs w:val="21"/>
          <w:lang w:val="es-MX" w:eastAsia="en-US"/>
        </w:rPr>
        <w:t>Guanajuato, Gto., 29 de junio de 2022</w:t>
      </w:r>
    </w:p>
    <w:p w14:paraId="4E7E000C" w14:textId="77777777" w:rsidR="00A432FE" w:rsidRPr="00A432FE" w:rsidRDefault="00A432FE" w:rsidP="002D48E5">
      <w:pPr>
        <w:widowControl w:val="0"/>
        <w:jc w:val="center"/>
        <w:rPr>
          <w:rFonts w:ascii="Abadi" w:eastAsia="Calibri" w:hAnsi="Abadi"/>
          <w:b/>
          <w:sz w:val="21"/>
          <w:szCs w:val="21"/>
          <w:lang w:val="es-MX" w:eastAsia="en-US"/>
        </w:rPr>
      </w:pPr>
      <w:r w:rsidRPr="00A432FE">
        <w:rPr>
          <w:rFonts w:ascii="Abadi" w:eastAsia="Calibri" w:hAnsi="Abadi"/>
          <w:b/>
          <w:sz w:val="21"/>
          <w:szCs w:val="21"/>
          <w:lang w:val="es-MX" w:eastAsia="en-US"/>
        </w:rPr>
        <w:t>La Comisión de Derechos Humanos y Atención a Grupos Vulnerables</w:t>
      </w:r>
    </w:p>
    <w:p w14:paraId="77E6D973" w14:textId="21BE2345" w:rsidR="00A432FE" w:rsidRDefault="00A432FE" w:rsidP="002D48E5">
      <w:pPr>
        <w:widowControl w:val="0"/>
        <w:jc w:val="center"/>
        <w:rPr>
          <w:rFonts w:ascii="Abadi" w:hAnsi="Abadi" w:cs="Arial"/>
          <w:b/>
          <w:bCs/>
          <w:sz w:val="21"/>
          <w:szCs w:val="21"/>
          <w:lang w:val="es-MX" w:eastAsia="en-US"/>
        </w:rPr>
      </w:pPr>
    </w:p>
    <w:p w14:paraId="165BC4B1" w14:textId="77777777" w:rsidR="00A432FE" w:rsidRPr="00A432FE" w:rsidRDefault="00A432FE" w:rsidP="002D48E5">
      <w:pPr>
        <w:widowControl w:val="0"/>
        <w:jc w:val="center"/>
        <w:rPr>
          <w:rFonts w:ascii="Abadi" w:hAnsi="Abadi" w:cs="Arial"/>
          <w:b/>
          <w:bCs/>
          <w:sz w:val="21"/>
          <w:szCs w:val="21"/>
          <w:lang w:val="es-MX" w:eastAsia="en-US"/>
        </w:rPr>
      </w:pPr>
    </w:p>
    <w:p w14:paraId="6E3109B6" w14:textId="77777777" w:rsidR="00A432FE" w:rsidRPr="00A432FE" w:rsidRDefault="00A432FE" w:rsidP="002D48E5">
      <w:pPr>
        <w:widowControl w:val="0"/>
        <w:jc w:val="center"/>
        <w:rPr>
          <w:rFonts w:ascii="Abadi" w:hAnsi="Abadi" w:cs="Arial"/>
          <w:b/>
          <w:bCs/>
          <w:sz w:val="21"/>
          <w:szCs w:val="21"/>
          <w:lang w:val="es-MX" w:eastAsia="en-US"/>
        </w:rPr>
      </w:pPr>
      <w:r w:rsidRPr="00A432FE">
        <w:rPr>
          <w:rFonts w:ascii="Abadi" w:hAnsi="Abadi" w:cs="Arial"/>
          <w:b/>
          <w:bCs/>
          <w:sz w:val="21"/>
          <w:szCs w:val="21"/>
          <w:lang w:val="es-MX" w:eastAsia="en-US"/>
        </w:rPr>
        <w:t>Diputado David Martínez Mendizábal</w:t>
      </w:r>
    </w:p>
    <w:p w14:paraId="6A4E6B8C" w14:textId="77777777" w:rsidR="00A432FE" w:rsidRPr="00A432FE" w:rsidRDefault="00A432FE" w:rsidP="002D48E5">
      <w:pPr>
        <w:widowControl w:val="0"/>
        <w:jc w:val="center"/>
        <w:rPr>
          <w:rFonts w:ascii="Abadi" w:hAnsi="Abadi" w:cs="Arial"/>
          <w:b/>
          <w:bCs/>
          <w:sz w:val="21"/>
          <w:szCs w:val="21"/>
          <w:lang w:val="es-MX" w:eastAsia="en-US"/>
        </w:rPr>
      </w:pPr>
    </w:p>
    <w:p w14:paraId="5D80D15E" w14:textId="77777777" w:rsidR="00A432FE" w:rsidRPr="00A432FE" w:rsidRDefault="00A432FE" w:rsidP="002D48E5">
      <w:pPr>
        <w:widowControl w:val="0"/>
        <w:jc w:val="center"/>
        <w:rPr>
          <w:rFonts w:ascii="Abadi" w:hAnsi="Abadi" w:cs="Arial"/>
          <w:b/>
          <w:bCs/>
          <w:sz w:val="21"/>
          <w:szCs w:val="21"/>
          <w:lang w:val="es-MX" w:eastAsia="en-US"/>
        </w:rPr>
      </w:pPr>
      <w:r w:rsidRPr="00A432FE">
        <w:rPr>
          <w:rFonts w:ascii="Abadi" w:hAnsi="Abadi" w:cs="Arial"/>
          <w:b/>
          <w:bCs/>
          <w:sz w:val="21"/>
          <w:szCs w:val="21"/>
          <w:lang w:val="es-MX" w:eastAsia="en-US"/>
        </w:rPr>
        <w:t>Diputada Janet Melanie Murillo Chávez</w:t>
      </w:r>
    </w:p>
    <w:p w14:paraId="31ECF87D" w14:textId="77777777" w:rsidR="00A432FE" w:rsidRPr="00A432FE" w:rsidRDefault="00A432FE" w:rsidP="002D48E5">
      <w:pPr>
        <w:widowControl w:val="0"/>
        <w:jc w:val="center"/>
        <w:rPr>
          <w:rFonts w:ascii="Abadi" w:hAnsi="Abadi" w:cs="Arial"/>
          <w:b/>
          <w:bCs/>
          <w:sz w:val="21"/>
          <w:szCs w:val="21"/>
          <w:lang w:val="es-MX" w:eastAsia="en-US"/>
        </w:rPr>
      </w:pPr>
    </w:p>
    <w:p w14:paraId="6B05981E" w14:textId="77777777" w:rsidR="00A432FE" w:rsidRPr="00A432FE" w:rsidRDefault="00A432FE" w:rsidP="002D48E5">
      <w:pPr>
        <w:widowControl w:val="0"/>
        <w:jc w:val="center"/>
        <w:rPr>
          <w:rFonts w:ascii="Abadi" w:hAnsi="Abadi" w:cs="Arial"/>
          <w:b/>
          <w:bCs/>
          <w:sz w:val="21"/>
          <w:szCs w:val="21"/>
          <w:lang w:val="es-MX" w:eastAsia="en-US"/>
        </w:rPr>
      </w:pPr>
      <w:r w:rsidRPr="00A432FE">
        <w:rPr>
          <w:rFonts w:ascii="Abadi" w:hAnsi="Abadi" w:cs="Arial"/>
          <w:b/>
          <w:bCs/>
          <w:sz w:val="21"/>
          <w:szCs w:val="21"/>
          <w:lang w:val="es-MX" w:eastAsia="en-US"/>
        </w:rPr>
        <w:t>Diputado Gustavo Adolfo Alfaro Reyes</w:t>
      </w:r>
    </w:p>
    <w:p w14:paraId="50A9A664" w14:textId="77777777" w:rsidR="00A432FE" w:rsidRPr="00A432FE" w:rsidRDefault="00A432FE" w:rsidP="002D48E5">
      <w:pPr>
        <w:widowControl w:val="0"/>
        <w:jc w:val="center"/>
        <w:rPr>
          <w:rFonts w:ascii="Abadi" w:hAnsi="Abadi" w:cs="Arial"/>
          <w:b/>
          <w:bCs/>
          <w:sz w:val="21"/>
          <w:szCs w:val="21"/>
          <w:lang w:val="es-MX" w:eastAsia="en-US"/>
        </w:rPr>
      </w:pPr>
    </w:p>
    <w:p w14:paraId="17612EF6" w14:textId="77777777" w:rsidR="00A432FE" w:rsidRPr="00A432FE" w:rsidRDefault="00A432FE" w:rsidP="002D48E5">
      <w:pPr>
        <w:widowControl w:val="0"/>
        <w:jc w:val="center"/>
        <w:rPr>
          <w:rFonts w:ascii="Abadi" w:hAnsi="Abadi" w:cs="Arial"/>
          <w:b/>
          <w:bCs/>
          <w:sz w:val="21"/>
          <w:szCs w:val="21"/>
          <w:lang w:val="es-MX" w:eastAsia="en-US"/>
        </w:rPr>
      </w:pPr>
      <w:r w:rsidRPr="00A432FE">
        <w:rPr>
          <w:rFonts w:ascii="Abadi" w:hAnsi="Abadi" w:cs="Arial"/>
          <w:b/>
          <w:bCs/>
          <w:sz w:val="21"/>
          <w:szCs w:val="21"/>
          <w:lang w:val="es-MX" w:eastAsia="en-US"/>
        </w:rPr>
        <w:t>Diputada Briseida Anabel Magdaleno González</w:t>
      </w:r>
    </w:p>
    <w:p w14:paraId="065344AD" w14:textId="77777777" w:rsidR="00A432FE" w:rsidRPr="00A432FE" w:rsidRDefault="00A432FE" w:rsidP="002D48E5">
      <w:pPr>
        <w:widowControl w:val="0"/>
        <w:jc w:val="center"/>
        <w:rPr>
          <w:rFonts w:ascii="Abadi" w:hAnsi="Abadi" w:cs="Arial"/>
          <w:b/>
          <w:bCs/>
          <w:sz w:val="21"/>
          <w:szCs w:val="21"/>
          <w:lang w:val="es-MX" w:eastAsia="en-US"/>
        </w:rPr>
      </w:pPr>
    </w:p>
    <w:p w14:paraId="437E41E4" w14:textId="3BFFBD89" w:rsidR="00A432FE" w:rsidRDefault="00A432FE" w:rsidP="002D48E5">
      <w:pPr>
        <w:widowControl w:val="0"/>
        <w:jc w:val="center"/>
        <w:rPr>
          <w:rFonts w:ascii="Abadi" w:hAnsi="Abadi" w:cs="Arial"/>
          <w:b/>
          <w:bCs/>
          <w:sz w:val="21"/>
          <w:szCs w:val="21"/>
          <w:lang w:val="es-MX" w:eastAsia="en-US"/>
        </w:rPr>
      </w:pPr>
      <w:r w:rsidRPr="00A432FE">
        <w:rPr>
          <w:rFonts w:ascii="Abadi" w:hAnsi="Abadi" w:cs="Arial"/>
          <w:b/>
          <w:bCs/>
          <w:sz w:val="21"/>
          <w:szCs w:val="21"/>
          <w:lang w:val="es-MX" w:eastAsia="en-US"/>
        </w:rPr>
        <w:t>Diputada Katya Cristina Soto Escamilla</w:t>
      </w:r>
    </w:p>
    <w:p w14:paraId="5D1713F9" w14:textId="5966242D" w:rsidR="002D48E5" w:rsidRDefault="002D48E5" w:rsidP="002D48E5">
      <w:pPr>
        <w:widowControl w:val="0"/>
        <w:jc w:val="center"/>
        <w:rPr>
          <w:rFonts w:ascii="Abadi" w:hAnsi="Abadi" w:cs="Arial"/>
          <w:b/>
          <w:bCs/>
          <w:sz w:val="21"/>
          <w:szCs w:val="21"/>
          <w:lang w:val="es-MX" w:eastAsia="en-US"/>
        </w:rPr>
      </w:pPr>
    </w:p>
    <w:p w14:paraId="52C179FE" w14:textId="5107FADB" w:rsidR="002D48E5" w:rsidRDefault="002D48E5" w:rsidP="002D48E5">
      <w:pPr>
        <w:ind w:firstLine="284"/>
        <w:jc w:val="both"/>
        <w:rPr>
          <w:rFonts w:ascii="Abadi" w:hAnsi="Abadi"/>
          <w:sz w:val="21"/>
          <w:szCs w:val="21"/>
        </w:rPr>
      </w:pPr>
      <w:r w:rsidRPr="002066F8">
        <w:rPr>
          <w:rFonts w:ascii="Abadi" w:hAnsi="Abadi"/>
          <w:b/>
          <w:bCs/>
          <w:sz w:val="21"/>
          <w:szCs w:val="21"/>
        </w:rPr>
        <w:t>- El Presidente.-</w:t>
      </w:r>
      <w:r>
        <w:rPr>
          <w:rFonts w:ascii="Abadi" w:hAnsi="Abadi"/>
          <w:sz w:val="21"/>
          <w:szCs w:val="21"/>
        </w:rPr>
        <w:t xml:space="preserve"> Se</w:t>
      </w:r>
      <w:r w:rsidRPr="006813AA">
        <w:rPr>
          <w:rFonts w:ascii="Abadi" w:hAnsi="Abadi"/>
          <w:sz w:val="21"/>
          <w:szCs w:val="21"/>
        </w:rPr>
        <w:t xml:space="preserve"> somete a discusión el dictamen emitido por la </w:t>
      </w:r>
      <w:r>
        <w:rPr>
          <w:rFonts w:ascii="Abadi" w:hAnsi="Abadi"/>
          <w:sz w:val="21"/>
          <w:szCs w:val="21"/>
        </w:rPr>
        <w:t>C</w:t>
      </w:r>
      <w:r w:rsidRPr="006813AA">
        <w:rPr>
          <w:rFonts w:ascii="Abadi" w:hAnsi="Abadi"/>
          <w:sz w:val="21"/>
          <w:szCs w:val="21"/>
        </w:rPr>
        <w:t xml:space="preserve">omisión de </w:t>
      </w:r>
      <w:r>
        <w:rPr>
          <w:rFonts w:ascii="Abadi" w:hAnsi="Abadi"/>
          <w:sz w:val="21"/>
          <w:szCs w:val="21"/>
        </w:rPr>
        <w:t>D</w:t>
      </w:r>
      <w:r w:rsidRPr="006813AA">
        <w:rPr>
          <w:rFonts w:ascii="Abadi" w:hAnsi="Abadi"/>
          <w:sz w:val="21"/>
          <w:szCs w:val="21"/>
        </w:rPr>
        <w:t xml:space="preserve">erechos </w:t>
      </w:r>
      <w:r>
        <w:rPr>
          <w:rFonts w:ascii="Abadi" w:hAnsi="Abadi"/>
          <w:sz w:val="21"/>
          <w:szCs w:val="21"/>
        </w:rPr>
        <w:t>H</w:t>
      </w:r>
      <w:r w:rsidRPr="006813AA">
        <w:rPr>
          <w:rFonts w:ascii="Abadi" w:hAnsi="Abadi"/>
          <w:sz w:val="21"/>
          <w:szCs w:val="21"/>
        </w:rPr>
        <w:t xml:space="preserve">umanos y </w:t>
      </w:r>
      <w:r>
        <w:rPr>
          <w:rFonts w:ascii="Abadi" w:hAnsi="Abadi"/>
          <w:sz w:val="21"/>
          <w:szCs w:val="21"/>
        </w:rPr>
        <w:t>A</w:t>
      </w:r>
      <w:r w:rsidRPr="006813AA">
        <w:rPr>
          <w:rFonts w:ascii="Abadi" w:hAnsi="Abadi"/>
          <w:sz w:val="21"/>
          <w:szCs w:val="21"/>
        </w:rPr>
        <w:t xml:space="preserve">tención a </w:t>
      </w:r>
      <w:r>
        <w:rPr>
          <w:rFonts w:ascii="Abadi" w:hAnsi="Abadi"/>
          <w:sz w:val="21"/>
          <w:szCs w:val="21"/>
        </w:rPr>
        <w:t>G</w:t>
      </w:r>
      <w:r w:rsidRPr="006813AA">
        <w:rPr>
          <w:rFonts w:ascii="Abadi" w:hAnsi="Abadi"/>
          <w:sz w:val="21"/>
          <w:szCs w:val="21"/>
        </w:rPr>
        <w:t xml:space="preserve">rupos </w:t>
      </w:r>
      <w:r>
        <w:rPr>
          <w:rFonts w:ascii="Abadi" w:hAnsi="Abadi"/>
          <w:sz w:val="21"/>
          <w:szCs w:val="21"/>
        </w:rPr>
        <w:t>V</w:t>
      </w:r>
      <w:r w:rsidRPr="006813AA">
        <w:rPr>
          <w:rFonts w:ascii="Abadi" w:hAnsi="Abadi"/>
          <w:sz w:val="21"/>
          <w:szCs w:val="21"/>
        </w:rPr>
        <w:t>ulnerables correspondiente al punto 21 del orden del día</w:t>
      </w:r>
      <w:r>
        <w:rPr>
          <w:rFonts w:ascii="Abadi" w:hAnsi="Abadi"/>
          <w:sz w:val="21"/>
          <w:szCs w:val="21"/>
        </w:rPr>
        <w:t>.</w:t>
      </w:r>
    </w:p>
    <w:p w14:paraId="3A2F924E" w14:textId="77777777" w:rsidR="002D48E5" w:rsidRDefault="002D48E5" w:rsidP="002D48E5">
      <w:pPr>
        <w:ind w:firstLine="284"/>
        <w:jc w:val="both"/>
        <w:rPr>
          <w:rFonts w:ascii="Abadi" w:hAnsi="Abadi"/>
          <w:sz w:val="21"/>
          <w:szCs w:val="21"/>
        </w:rPr>
      </w:pPr>
    </w:p>
    <w:p w14:paraId="04310F21" w14:textId="77777777" w:rsidR="002D48E5" w:rsidRDefault="002D48E5" w:rsidP="002D48E5">
      <w:pPr>
        <w:ind w:firstLine="708"/>
        <w:jc w:val="both"/>
        <w:rPr>
          <w:rFonts w:ascii="Abadi" w:hAnsi="Abadi"/>
          <w:sz w:val="21"/>
          <w:szCs w:val="21"/>
        </w:rPr>
      </w:pPr>
      <w:r>
        <w:rPr>
          <w:rFonts w:ascii="Abadi" w:hAnsi="Abadi"/>
          <w:sz w:val="21"/>
          <w:szCs w:val="21"/>
        </w:rPr>
        <w:t>- Sí</w:t>
      </w:r>
      <w:r w:rsidRPr="006813AA">
        <w:rPr>
          <w:rFonts w:ascii="Abadi" w:hAnsi="Abadi"/>
          <w:sz w:val="21"/>
          <w:szCs w:val="21"/>
        </w:rPr>
        <w:t xml:space="preserve"> alguna diputada</w:t>
      </w:r>
      <w:r>
        <w:rPr>
          <w:rFonts w:ascii="Abadi" w:hAnsi="Abadi"/>
          <w:sz w:val="21"/>
          <w:szCs w:val="21"/>
        </w:rPr>
        <w:t xml:space="preserve"> o</w:t>
      </w:r>
      <w:r w:rsidRPr="006813AA">
        <w:rPr>
          <w:rFonts w:ascii="Abadi" w:hAnsi="Abadi"/>
          <w:sz w:val="21"/>
          <w:szCs w:val="21"/>
        </w:rPr>
        <w:t xml:space="preserve"> algún diputado desea hacer </w:t>
      </w:r>
      <w:r>
        <w:rPr>
          <w:rFonts w:ascii="Abadi" w:hAnsi="Abadi"/>
          <w:sz w:val="21"/>
          <w:szCs w:val="21"/>
        </w:rPr>
        <w:t>u</w:t>
      </w:r>
      <w:r w:rsidRPr="006813AA">
        <w:rPr>
          <w:rFonts w:ascii="Abadi" w:hAnsi="Abadi"/>
          <w:sz w:val="21"/>
          <w:szCs w:val="21"/>
        </w:rPr>
        <w:t>so de la palabra en pro</w:t>
      </w:r>
      <w:r>
        <w:rPr>
          <w:rFonts w:ascii="Abadi" w:hAnsi="Abadi"/>
          <w:sz w:val="21"/>
          <w:szCs w:val="21"/>
        </w:rPr>
        <w:t xml:space="preserve"> o en contra </w:t>
      </w:r>
      <w:r w:rsidRPr="006813AA">
        <w:rPr>
          <w:rFonts w:ascii="Abadi" w:hAnsi="Abadi"/>
          <w:sz w:val="21"/>
          <w:szCs w:val="21"/>
        </w:rPr>
        <w:t>manifiéstenlo</w:t>
      </w:r>
      <w:r>
        <w:rPr>
          <w:rFonts w:ascii="Abadi" w:hAnsi="Abadi"/>
          <w:sz w:val="21"/>
          <w:szCs w:val="21"/>
        </w:rPr>
        <w:t xml:space="preserve"> i</w:t>
      </w:r>
      <w:r w:rsidRPr="006813AA">
        <w:rPr>
          <w:rFonts w:ascii="Abadi" w:hAnsi="Abadi"/>
          <w:sz w:val="21"/>
          <w:szCs w:val="21"/>
        </w:rPr>
        <w:t>ndicando el sentido de su participación</w:t>
      </w:r>
      <w:r>
        <w:rPr>
          <w:rFonts w:ascii="Abadi" w:hAnsi="Abadi"/>
          <w:sz w:val="21"/>
          <w:szCs w:val="21"/>
        </w:rPr>
        <w:t>,</w:t>
      </w:r>
      <w:r w:rsidRPr="006813AA">
        <w:rPr>
          <w:rFonts w:ascii="Abadi" w:hAnsi="Abadi"/>
          <w:sz w:val="21"/>
          <w:szCs w:val="21"/>
        </w:rPr>
        <w:t xml:space="preserve"> no habiendo participaciones</w:t>
      </w:r>
      <w:r>
        <w:rPr>
          <w:rFonts w:ascii="Abadi" w:hAnsi="Abadi"/>
          <w:sz w:val="21"/>
          <w:szCs w:val="21"/>
        </w:rPr>
        <w:t>,</w:t>
      </w:r>
      <w:r w:rsidRPr="006813AA">
        <w:rPr>
          <w:rFonts w:ascii="Abadi" w:hAnsi="Abadi"/>
          <w:sz w:val="21"/>
          <w:szCs w:val="21"/>
        </w:rPr>
        <w:t xml:space="preserve"> se pide a la </w:t>
      </w:r>
      <w:r>
        <w:rPr>
          <w:rFonts w:ascii="Abadi" w:hAnsi="Abadi"/>
          <w:sz w:val="21"/>
          <w:szCs w:val="21"/>
        </w:rPr>
        <w:t>S</w:t>
      </w:r>
      <w:r w:rsidRPr="006813AA">
        <w:rPr>
          <w:rFonts w:ascii="Abadi" w:hAnsi="Abadi"/>
          <w:sz w:val="21"/>
          <w:szCs w:val="21"/>
        </w:rPr>
        <w:t xml:space="preserve">ecretaría que proceda a recabar votación nominal de la </w:t>
      </w:r>
      <w:r>
        <w:rPr>
          <w:rFonts w:ascii="Abadi" w:hAnsi="Abadi"/>
          <w:sz w:val="21"/>
          <w:szCs w:val="21"/>
        </w:rPr>
        <w:t>A</w:t>
      </w:r>
      <w:r w:rsidRPr="006813AA">
        <w:rPr>
          <w:rFonts w:ascii="Abadi" w:hAnsi="Abadi"/>
          <w:sz w:val="21"/>
          <w:szCs w:val="21"/>
        </w:rPr>
        <w:t>samblea a través del sistema electrónico a efecto de aprobar o no el dictamen puesto a su consideración</w:t>
      </w:r>
      <w:r>
        <w:rPr>
          <w:rFonts w:ascii="Abadi" w:hAnsi="Abadi"/>
          <w:sz w:val="21"/>
          <w:szCs w:val="21"/>
        </w:rPr>
        <w:t>.</w:t>
      </w:r>
    </w:p>
    <w:p w14:paraId="3FA6810B" w14:textId="77777777" w:rsidR="002D48E5" w:rsidRDefault="002D48E5" w:rsidP="002D48E5">
      <w:pPr>
        <w:ind w:firstLine="708"/>
        <w:jc w:val="both"/>
        <w:rPr>
          <w:rFonts w:ascii="Abadi" w:hAnsi="Abadi"/>
          <w:sz w:val="21"/>
          <w:szCs w:val="21"/>
        </w:rPr>
      </w:pPr>
    </w:p>
    <w:p w14:paraId="237202BC" w14:textId="691E04AE" w:rsidR="002D48E5" w:rsidRPr="002D48E5" w:rsidRDefault="002D48E5" w:rsidP="002D48E5">
      <w:pPr>
        <w:jc w:val="both"/>
        <w:rPr>
          <w:rFonts w:ascii="Abadi" w:hAnsi="Abadi"/>
          <w:sz w:val="21"/>
          <w:szCs w:val="21"/>
        </w:rPr>
      </w:pPr>
      <w:r w:rsidRPr="001A5981">
        <w:rPr>
          <w:rFonts w:ascii="Abadi" w:hAnsi="Abadi"/>
          <w:b/>
          <w:bCs/>
          <w:sz w:val="21"/>
          <w:szCs w:val="21"/>
        </w:rPr>
        <w:t>(Abrimos nuestro sistema electrónico)</w:t>
      </w:r>
    </w:p>
    <w:p w14:paraId="67DFA4C9" w14:textId="2949C1A9" w:rsidR="002D48E5" w:rsidRDefault="002D48E5" w:rsidP="002D48E5">
      <w:pPr>
        <w:ind w:firstLine="708"/>
        <w:jc w:val="both"/>
        <w:rPr>
          <w:rFonts w:ascii="Abadi" w:hAnsi="Abadi"/>
          <w:sz w:val="21"/>
          <w:szCs w:val="21"/>
        </w:rPr>
      </w:pPr>
      <w:r>
        <w:rPr>
          <w:rFonts w:ascii="Abadi" w:hAnsi="Abadi"/>
          <w:sz w:val="21"/>
          <w:szCs w:val="21"/>
        </w:rPr>
        <w:t xml:space="preserve">- </w:t>
      </w:r>
      <w:r w:rsidRPr="006813AA">
        <w:rPr>
          <w:rFonts w:ascii="Abadi" w:hAnsi="Abadi"/>
          <w:sz w:val="21"/>
          <w:szCs w:val="21"/>
        </w:rPr>
        <w:t xml:space="preserve"> </w:t>
      </w:r>
      <w:r>
        <w:rPr>
          <w:rFonts w:ascii="Abadi" w:hAnsi="Abadi"/>
          <w:sz w:val="21"/>
          <w:szCs w:val="21"/>
        </w:rPr>
        <w:t>En</w:t>
      </w:r>
      <w:r w:rsidRPr="006813AA">
        <w:rPr>
          <w:rFonts w:ascii="Abadi" w:hAnsi="Abadi"/>
          <w:sz w:val="21"/>
          <w:szCs w:val="21"/>
        </w:rPr>
        <w:t xml:space="preserve"> votación nominal por el sistema electrónico se pregunta a las diputadas y los diputados si se aprueba el dictamen puesto a su consideración</w:t>
      </w:r>
      <w:r>
        <w:rPr>
          <w:rFonts w:ascii="Abadi" w:hAnsi="Abadi"/>
          <w:sz w:val="21"/>
          <w:szCs w:val="21"/>
        </w:rPr>
        <w:t>. ¿Janet Melanie?</w:t>
      </w:r>
    </w:p>
    <w:p w14:paraId="0D9745D1" w14:textId="77777777" w:rsidR="002D48E5" w:rsidRDefault="002D48E5" w:rsidP="002D48E5">
      <w:pPr>
        <w:ind w:firstLine="708"/>
        <w:jc w:val="both"/>
        <w:rPr>
          <w:rFonts w:ascii="Abadi" w:hAnsi="Abadi"/>
          <w:sz w:val="21"/>
          <w:szCs w:val="21"/>
        </w:rPr>
      </w:pPr>
    </w:p>
    <w:p w14:paraId="09C19F98" w14:textId="7F5E1918" w:rsidR="002D48E5" w:rsidRDefault="002D48E5" w:rsidP="002D48E5">
      <w:pPr>
        <w:jc w:val="both"/>
        <w:rPr>
          <w:rFonts w:ascii="Abadi" w:hAnsi="Abadi"/>
          <w:sz w:val="21"/>
          <w:szCs w:val="21"/>
        </w:rPr>
      </w:pPr>
      <w:r>
        <w:rPr>
          <w:rFonts w:ascii="Abadi" w:hAnsi="Abadi"/>
          <w:sz w:val="21"/>
          <w:szCs w:val="21"/>
        </w:rPr>
        <w:t>¿F</w:t>
      </w:r>
      <w:r w:rsidRPr="006813AA">
        <w:rPr>
          <w:rFonts w:ascii="Abadi" w:hAnsi="Abadi"/>
          <w:sz w:val="21"/>
          <w:szCs w:val="21"/>
        </w:rPr>
        <w:t>alta alguna diputada o algún diputado de emitir su voto</w:t>
      </w:r>
      <w:r>
        <w:rPr>
          <w:rFonts w:ascii="Abadi" w:hAnsi="Abadi"/>
          <w:sz w:val="21"/>
          <w:szCs w:val="21"/>
        </w:rPr>
        <w:t>?</w:t>
      </w:r>
    </w:p>
    <w:p w14:paraId="57F5BA6F" w14:textId="77777777" w:rsidR="002D48E5" w:rsidRDefault="002D48E5" w:rsidP="002D48E5">
      <w:pPr>
        <w:jc w:val="both"/>
        <w:rPr>
          <w:rFonts w:ascii="Abadi" w:hAnsi="Abadi"/>
          <w:sz w:val="21"/>
          <w:szCs w:val="21"/>
        </w:rPr>
      </w:pPr>
    </w:p>
    <w:p w14:paraId="64144543" w14:textId="77777777" w:rsidR="002D48E5" w:rsidRDefault="002D48E5" w:rsidP="002D48E5">
      <w:pPr>
        <w:jc w:val="both"/>
        <w:rPr>
          <w:rFonts w:ascii="Abadi" w:hAnsi="Abadi"/>
          <w:b/>
          <w:bCs/>
          <w:sz w:val="21"/>
          <w:szCs w:val="21"/>
        </w:rPr>
      </w:pPr>
      <w:r w:rsidRPr="009A543B">
        <w:rPr>
          <w:rFonts w:ascii="Abadi" w:hAnsi="Abadi"/>
          <w:b/>
          <w:bCs/>
          <w:sz w:val="21"/>
          <w:szCs w:val="21"/>
        </w:rPr>
        <w:t>(</w:t>
      </w:r>
      <w:r>
        <w:rPr>
          <w:rFonts w:ascii="Abadi" w:hAnsi="Abadi"/>
          <w:b/>
          <w:bCs/>
          <w:sz w:val="21"/>
          <w:szCs w:val="21"/>
        </w:rPr>
        <w:t xml:space="preserve">Cerramos </w:t>
      </w:r>
      <w:r w:rsidRPr="009A543B">
        <w:rPr>
          <w:rFonts w:ascii="Abadi" w:hAnsi="Abadi"/>
          <w:b/>
          <w:bCs/>
          <w:sz w:val="21"/>
          <w:szCs w:val="21"/>
        </w:rPr>
        <w:t xml:space="preserve">nuestro sistema electrónico) </w:t>
      </w:r>
    </w:p>
    <w:p w14:paraId="78B1FA45" w14:textId="77777777" w:rsidR="002D48E5" w:rsidRDefault="002D48E5" w:rsidP="002D48E5">
      <w:pPr>
        <w:jc w:val="both"/>
        <w:rPr>
          <w:rFonts w:ascii="Abadi" w:hAnsi="Abadi"/>
          <w:b/>
          <w:bCs/>
          <w:sz w:val="21"/>
          <w:szCs w:val="21"/>
        </w:rPr>
      </w:pPr>
    </w:p>
    <w:p w14:paraId="5EDB2E96" w14:textId="77777777" w:rsidR="002D48E5" w:rsidRPr="009A543B" w:rsidRDefault="002D48E5" w:rsidP="002D48E5">
      <w:pPr>
        <w:jc w:val="both"/>
        <w:rPr>
          <w:rFonts w:ascii="Abadi" w:hAnsi="Abadi"/>
          <w:b/>
          <w:bCs/>
          <w:sz w:val="21"/>
          <w:szCs w:val="21"/>
        </w:rPr>
      </w:pPr>
      <w:r>
        <w:rPr>
          <w:noProof/>
        </w:rPr>
        <w:drawing>
          <wp:inline distT="0" distB="0" distL="0" distR="0" wp14:anchorId="5F301EA2" wp14:editId="541412FA">
            <wp:extent cx="1796603" cy="929713"/>
            <wp:effectExtent l="228600" t="228600" r="222885" b="232410"/>
            <wp:docPr id="49" name="Imagen 49"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Interfaz de usuario gráfica, Sitio web&#10;&#10;Descripción generada automáticamente"/>
                    <pic:cNvPicPr/>
                  </pic:nvPicPr>
                  <pic:blipFill rotWithShape="1">
                    <a:blip r:embed="rId52"/>
                    <a:srcRect b="7959"/>
                    <a:stretch/>
                  </pic:blipFill>
                  <pic:spPr bwMode="auto">
                    <a:xfrm>
                      <a:off x="0" y="0"/>
                      <a:ext cx="1810533" cy="936922"/>
                    </a:xfrm>
                    <a:prstGeom prst="rect">
                      <a:avLst/>
                    </a:prstGeom>
                    <a:ln>
                      <a:noFill/>
                    </a:ln>
                    <a:effectLst>
                      <a:glow rad="228600">
                        <a:schemeClr val="accent3">
                          <a:satMod val="175000"/>
                          <a:alpha val="40000"/>
                        </a:schemeClr>
                      </a:glow>
                    </a:effectLst>
                    <a:extLst>
                      <a:ext uri="{53640926-AAD7-44D8-BBD7-CCE9431645EC}">
                        <a14:shadowObscured xmlns:a14="http://schemas.microsoft.com/office/drawing/2010/main"/>
                      </a:ext>
                    </a:extLst>
                  </pic:spPr>
                </pic:pic>
              </a:graphicData>
            </a:graphic>
          </wp:inline>
        </w:drawing>
      </w:r>
    </w:p>
    <w:p w14:paraId="199724B5" w14:textId="08FE12F6" w:rsidR="002D48E5" w:rsidRDefault="002D48E5" w:rsidP="002D48E5">
      <w:pPr>
        <w:ind w:firstLine="708"/>
        <w:jc w:val="both"/>
        <w:rPr>
          <w:rFonts w:ascii="Abadi" w:hAnsi="Abadi"/>
          <w:sz w:val="21"/>
          <w:szCs w:val="21"/>
        </w:rPr>
      </w:pPr>
      <w:r>
        <w:rPr>
          <w:rFonts w:ascii="Abadi" w:hAnsi="Abadi"/>
          <w:b/>
          <w:bCs/>
          <w:sz w:val="21"/>
          <w:szCs w:val="21"/>
        </w:rPr>
        <w:t xml:space="preserve"> </w:t>
      </w:r>
      <w:r w:rsidRPr="009A543B">
        <w:rPr>
          <w:rFonts w:ascii="Abadi" w:hAnsi="Abadi"/>
          <w:b/>
          <w:bCs/>
          <w:sz w:val="21"/>
          <w:szCs w:val="21"/>
        </w:rPr>
        <w:t>- El Secretario.-</w:t>
      </w:r>
      <w:r>
        <w:rPr>
          <w:rFonts w:ascii="Abadi" w:hAnsi="Abadi"/>
          <w:sz w:val="21"/>
          <w:szCs w:val="21"/>
        </w:rPr>
        <w:t xml:space="preserve"> S</w:t>
      </w:r>
      <w:r w:rsidRPr="006813AA">
        <w:rPr>
          <w:rFonts w:ascii="Abadi" w:hAnsi="Abadi"/>
          <w:sz w:val="21"/>
          <w:szCs w:val="21"/>
        </w:rPr>
        <w:t xml:space="preserve">e registraron 32 votos a favor </w:t>
      </w:r>
      <w:r>
        <w:rPr>
          <w:rFonts w:ascii="Abadi" w:hAnsi="Abadi"/>
          <w:sz w:val="21"/>
          <w:szCs w:val="21"/>
        </w:rPr>
        <w:t>S</w:t>
      </w:r>
      <w:r w:rsidRPr="006813AA">
        <w:rPr>
          <w:rFonts w:ascii="Abadi" w:hAnsi="Abadi"/>
          <w:sz w:val="21"/>
          <w:szCs w:val="21"/>
        </w:rPr>
        <w:t>eñor Presidente</w:t>
      </w:r>
      <w:r>
        <w:rPr>
          <w:rFonts w:ascii="Abadi" w:hAnsi="Abadi"/>
          <w:sz w:val="21"/>
          <w:szCs w:val="21"/>
        </w:rPr>
        <w:t>.</w:t>
      </w:r>
    </w:p>
    <w:p w14:paraId="162A2AA8" w14:textId="77777777" w:rsidR="002D48E5" w:rsidRDefault="002D48E5" w:rsidP="002D48E5">
      <w:pPr>
        <w:ind w:firstLine="708"/>
        <w:jc w:val="both"/>
        <w:rPr>
          <w:rFonts w:ascii="Abadi" w:hAnsi="Abadi"/>
          <w:sz w:val="21"/>
          <w:szCs w:val="21"/>
        </w:rPr>
      </w:pPr>
    </w:p>
    <w:p w14:paraId="56680307" w14:textId="6AB326DA" w:rsidR="002D48E5" w:rsidRDefault="002D48E5" w:rsidP="002D48E5">
      <w:pPr>
        <w:ind w:firstLine="708"/>
        <w:jc w:val="both"/>
        <w:rPr>
          <w:rFonts w:ascii="Abadi" w:hAnsi="Abadi"/>
          <w:sz w:val="21"/>
          <w:szCs w:val="21"/>
        </w:rPr>
      </w:pPr>
      <w:r w:rsidRPr="00D41440">
        <w:rPr>
          <w:rFonts w:ascii="Abadi" w:hAnsi="Abadi"/>
          <w:b/>
          <w:bCs/>
          <w:sz w:val="21"/>
          <w:szCs w:val="21"/>
        </w:rPr>
        <w:t>- El Presidente.-</w:t>
      </w:r>
      <w:r>
        <w:rPr>
          <w:rFonts w:ascii="Abadi" w:hAnsi="Abadi"/>
          <w:sz w:val="21"/>
          <w:szCs w:val="21"/>
        </w:rPr>
        <w:t xml:space="preserve"> El </w:t>
      </w:r>
      <w:r w:rsidRPr="006813AA">
        <w:rPr>
          <w:rFonts w:ascii="Abadi" w:hAnsi="Abadi"/>
          <w:sz w:val="21"/>
          <w:szCs w:val="21"/>
        </w:rPr>
        <w:t>dictamen ha sido aprobado por unanimidad de votos</w:t>
      </w:r>
      <w:r>
        <w:rPr>
          <w:rFonts w:ascii="Abadi" w:hAnsi="Abadi"/>
          <w:sz w:val="21"/>
          <w:szCs w:val="21"/>
        </w:rPr>
        <w:t>.</w:t>
      </w:r>
    </w:p>
    <w:p w14:paraId="75E65F65" w14:textId="77777777" w:rsidR="002D48E5" w:rsidRDefault="002D48E5" w:rsidP="002D48E5">
      <w:pPr>
        <w:ind w:firstLine="708"/>
        <w:jc w:val="both"/>
        <w:rPr>
          <w:rFonts w:ascii="Abadi" w:hAnsi="Abadi"/>
          <w:sz w:val="21"/>
          <w:szCs w:val="21"/>
        </w:rPr>
      </w:pPr>
    </w:p>
    <w:p w14:paraId="6F49041F" w14:textId="77777777" w:rsidR="002D48E5" w:rsidRPr="000B339A" w:rsidRDefault="002D48E5" w:rsidP="002D48E5">
      <w:pPr>
        <w:ind w:left="426" w:right="616"/>
        <w:jc w:val="both"/>
        <w:rPr>
          <w:rFonts w:ascii="Abadi" w:hAnsi="Abadi"/>
          <w:b/>
          <w:bCs/>
          <w:i/>
          <w:iCs/>
          <w:sz w:val="21"/>
          <w:szCs w:val="21"/>
          <w:u w:val="single"/>
        </w:rPr>
      </w:pPr>
      <w:r w:rsidRPr="000B339A">
        <w:rPr>
          <w:rFonts w:ascii="Abadi" w:hAnsi="Abadi"/>
          <w:b/>
          <w:bCs/>
          <w:i/>
          <w:iCs/>
          <w:sz w:val="21"/>
          <w:szCs w:val="21"/>
          <w:u w:val="single"/>
        </w:rPr>
        <w:t>En consecuencia se instruye a la Secretaría General para que proceda al archivo definitivo de la propuesta de Punto de Acuerdo referida en el dictamen aprobado.</w:t>
      </w:r>
    </w:p>
    <w:p w14:paraId="3E86C1B1" w14:textId="77777777" w:rsidR="002D48E5" w:rsidRPr="00A432FE" w:rsidRDefault="002D48E5" w:rsidP="002D48E5">
      <w:pPr>
        <w:widowControl w:val="0"/>
        <w:jc w:val="center"/>
        <w:rPr>
          <w:rFonts w:ascii="Abadi" w:hAnsi="Abadi" w:cs="Arial"/>
          <w:b/>
          <w:bCs/>
          <w:sz w:val="21"/>
          <w:szCs w:val="21"/>
          <w:lang w:val="es-MX" w:eastAsia="en-US"/>
        </w:rPr>
      </w:pPr>
    </w:p>
    <w:p w14:paraId="02914E93" w14:textId="77777777" w:rsidR="00263103" w:rsidRPr="00263103" w:rsidRDefault="00263103" w:rsidP="00E462B6">
      <w:pPr>
        <w:autoSpaceDE w:val="0"/>
        <w:autoSpaceDN w:val="0"/>
        <w:adjustRightInd w:val="0"/>
        <w:jc w:val="both"/>
        <w:rPr>
          <w:rFonts w:ascii="Abadi" w:hAnsi="Abadi" w:cs="ArialMT"/>
          <w:sz w:val="20"/>
          <w:szCs w:val="21"/>
        </w:rPr>
      </w:pPr>
    </w:p>
    <w:p w14:paraId="17E75BB5" w14:textId="77777777" w:rsidR="00E462B6" w:rsidRPr="001B67B0" w:rsidRDefault="00E462B6" w:rsidP="00464BE2">
      <w:pPr>
        <w:pStyle w:val="Prrafodelista"/>
        <w:numPr>
          <w:ilvl w:val="0"/>
          <w:numId w:val="14"/>
        </w:numPr>
        <w:autoSpaceDE w:val="0"/>
        <w:autoSpaceDN w:val="0"/>
        <w:adjustRightInd w:val="0"/>
        <w:ind w:left="426"/>
        <w:contextualSpacing/>
        <w:jc w:val="both"/>
        <w:rPr>
          <w:rFonts w:ascii="Abadi" w:hAnsi="Abadi" w:cs="ArialMT"/>
          <w:b/>
          <w:bCs/>
          <w:sz w:val="20"/>
          <w:szCs w:val="21"/>
        </w:rPr>
      </w:pPr>
      <w:r w:rsidRPr="001B67B0">
        <w:rPr>
          <w:rFonts w:ascii="Abadi" w:hAnsi="Abadi" w:cs="ArialMT"/>
          <w:b/>
          <w:bCs/>
          <w:sz w:val="20"/>
          <w:szCs w:val="21"/>
        </w:rPr>
        <w:t>DISCUSIÓN Y, EN SU CASO, APROBACIÓN DEL DICTAMEN FORMULADO POR LA COMISIÓN DE DERECHOS HUMANOS Y ATENCIÓN A GRUPOS VULNERABLES RELATIVO A LA PROPUESTA DE PUNTO DE ACUERDO SUSCRITA POR EL DIPUTADO ERNESTO ALEJANDRO PRIETO GALLARDO INTEGRANTE DEL GRUPO PARLAMENTARIO DEL PARTIDO MORENA, EN LA SEXAGÉSIMA CUARTA LEGISLATURA, A EFECTO DE EXHORTAR AL GOBERNADOR CONSTITUCIONAL DEL ESTADO DE GUANAJUATO EL C. DIEGO SINHUE RODRÍGUEZ VALLEJO A FIN DE QUE, EN EL ÁMBITO DE SUS FACULTADES DÉ INSTRUCCIONES A LA PROCURADURÍA DE PROTECCIÓN DE NIÑAS, NIÑOS Y ADOLESCENTES DEL ESTADO DE GUANAJUATO A OBSERVAR EL INTERÉS SUPERIOR DE LA  NIÑEZ; AL PODER JUDICIAL DEL ESTADO DE GUANAJUATO A FIN DE QUE CUMPLA CON EL ARTÍCULO 102 FRACCIÓN VI DE LA LEY NACIONAL DEL SISTEMA INTEGRAL DE JUSTICIA PENAL PARA ADOLESCENTES; Y AL FISCAL GENERAL DEL ESTADO DE GUANAJUATO, CARLOS ZAMARRIPA AGUIRRE, PARA LA PRONTA PROCURACIÓN DE JUSTICIA. TODO LO ANTERIOR RESPECTO A LOS MENORES DE EDAD QUE SE ENCONTRABAN EN EL INSTITUTO TRANSFORMACIONAL PRINUVI EN IRAPUATO, GUANAJUATO Y QUE ILEGALMENTE SE LES REGRESÓ A SUS HOGARES, CON SUS PADRES, YENDO CONTRA LA SUSPENSIÓN CONDICIONAL DEL PROCESO.</w:t>
      </w:r>
    </w:p>
    <w:p w14:paraId="21B5DD23" w14:textId="3233DD71" w:rsidR="00E462B6" w:rsidRDefault="00E462B6" w:rsidP="00E462B6">
      <w:pPr>
        <w:autoSpaceDE w:val="0"/>
        <w:autoSpaceDN w:val="0"/>
        <w:adjustRightInd w:val="0"/>
        <w:jc w:val="both"/>
        <w:rPr>
          <w:rFonts w:ascii="Abadi" w:hAnsi="Abadi" w:cs="ArialMT"/>
          <w:sz w:val="20"/>
          <w:szCs w:val="21"/>
        </w:rPr>
      </w:pPr>
    </w:p>
    <w:p w14:paraId="32C33DA9" w14:textId="77777777" w:rsidR="00B872A2" w:rsidRPr="00B872A2" w:rsidRDefault="00B872A2" w:rsidP="00B872A2">
      <w:pPr>
        <w:widowControl w:val="0"/>
        <w:jc w:val="both"/>
        <w:rPr>
          <w:rFonts w:ascii="Abadi" w:hAnsi="Abadi"/>
          <w:b/>
          <w:bCs/>
          <w:sz w:val="21"/>
          <w:szCs w:val="21"/>
          <w:lang w:val="es-MX" w:eastAsia="en-US"/>
        </w:rPr>
      </w:pPr>
      <w:r w:rsidRPr="00B872A2">
        <w:rPr>
          <w:rFonts w:ascii="Abadi" w:hAnsi="Abadi"/>
          <w:b/>
          <w:bCs/>
          <w:sz w:val="21"/>
          <w:szCs w:val="21"/>
          <w:lang w:val="es-MX" w:eastAsia="en-US"/>
        </w:rPr>
        <w:t>DICTAMEN QUE LA COMISIÓN DE DERECHOS HUMANOS Y ATENCIÓN A GRUPOS VULNERABLES PRESENTA AL PLENO DEL CONGRESO, DE LA PROPUESTA DE PUNTO DE ACUERDO SUSCRITA POR EL DIPUTADO ERNESTO ALEJANDRO PRIETO GALLARDO INTEGRANTE DEL GRUPO PARLAMENTARIO DEL PARTIDO MORENA, EN LA SEXAGÉSIMA CUARTA LEGISLATURA, A EFECTO DE EXHORTAR AL GOBERNADOR CONSTITUCIONAL DEL ESTADO DE GUANAJUATO EL C. DIEGO SINHUE RODRÍGUEZ VALLEJO A FIN DE QUE, EN EL ÁMBITO DE SUS FACULTADES DÉ INSTRUCCIONES A LA PROCURADURÍA DE PROTECCIÓN DE NIÑAS, NIÑOS Y ADOLESCENTES DEL ESTADO DE GUANAJUATO A OBSERVAR EL INTERÉS SUPERIOR DE LA NIÑEZ; AL PODER JUDICIAL DEL ESTADO DE GUANAJUATO A FIN DE QUE CUMPLA CON EL ARTÍCULO 102 FRACCIÓN VI DE LA LEY NACIONAL DEL SISTEMA INTEGRAL DE JUSTICIA PENAL PARA ADOLESCENTES; Y AL FISCAL GENERAL DEL ESTADO DE GUANAJUATO, CARLOS ZAMARRIPA AGUIRRE, PARA LA PRONTA PROCURACIÓN DE JUSTICIA. TODO LO ANTERIOR RESPECTO A LOS MENORES DE EDAD QUE SE ENCONTRABAN EN EL INSTITUTO TRANSFORMACIONAL PRINUVI EN IRAPUATO, GUANAJUATO Y QUE ILEGALMENTE SE LES REGRESÓ A SUS HOGARES, CON SUS PADRES, YENDO CONTRA LA SUSPENSIÓN CONDICIONAL DEL PROCESO.</w:t>
      </w:r>
    </w:p>
    <w:p w14:paraId="072158EF" w14:textId="77777777" w:rsidR="00B872A2" w:rsidRPr="00B872A2" w:rsidRDefault="00B872A2" w:rsidP="00B872A2">
      <w:pPr>
        <w:widowControl w:val="0"/>
        <w:spacing w:line="360" w:lineRule="auto"/>
        <w:jc w:val="both"/>
        <w:rPr>
          <w:rFonts w:ascii="Abadi" w:hAnsi="Abadi" w:cs="Arial"/>
          <w:sz w:val="21"/>
          <w:szCs w:val="21"/>
          <w:lang w:val="es-MX"/>
        </w:rPr>
      </w:pPr>
    </w:p>
    <w:p w14:paraId="255D88D1" w14:textId="77777777" w:rsidR="00B872A2" w:rsidRPr="00B872A2" w:rsidRDefault="00B872A2" w:rsidP="00B872A2">
      <w:pPr>
        <w:widowControl w:val="0"/>
        <w:spacing w:line="360" w:lineRule="auto"/>
        <w:jc w:val="both"/>
        <w:rPr>
          <w:rFonts w:ascii="Abadi" w:hAnsi="Abadi" w:cs="Arial"/>
          <w:sz w:val="21"/>
          <w:szCs w:val="21"/>
          <w:lang w:val="es-MX"/>
        </w:rPr>
      </w:pPr>
    </w:p>
    <w:p w14:paraId="1056720D" w14:textId="77777777" w:rsidR="00B872A2" w:rsidRPr="00B872A2" w:rsidRDefault="00B872A2" w:rsidP="00875A14">
      <w:pPr>
        <w:widowControl w:val="0"/>
        <w:ind w:firstLine="851"/>
        <w:jc w:val="both"/>
        <w:rPr>
          <w:rFonts w:ascii="Abadi" w:hAnsi="Abadi" w:cs="Arial"/>
          <w:sz w:val="21"/>
          <w:szCs w:val="21"/>
          <w:lang w:val="es-MX"/>
        </w:rPr>
      </w:pPr>
      <w:r w:rsidRPr="00B872A2">
        <w:rPr>
          <w:rFonts w:ascii="Abadi" w:hAnsi="Abadi" w:cs="Arial"/>
          <w:sz w:val="21"/>
          <w:szCs w:val="21"/>
          <w:lang w:val="es-MX"/>
        </w:rPr>
        <w:t>A la Comisión de Derechos Humanos y Atención a Grupos Vulnerables le fue turnada para estudio y dictamen, la propuesta de punto de acuerdo suscrita por el diputado Ernesto Alejandro Prieto Gallardo integrante del Grupo Parlamentario del Partido Morena, en la Sexagésima Cuarta Legislatura, a efecto de exhortar al Gobernador Constitucional del Estado de Guanajuato el C. DIEGO SINHUE RODRÍGUEZ VALLEJO a fin de que, en el ámbito de sus facultades dé instrucciones a la Procuraduría de Protección de Niñas, Niños y Adolescentes del Estado de Guanajuato a observar el interés superior de la niñez; al PODER JUDICIAL DEL ESTADO DE GUANAJUATO a fin de que cumpla con el artículo 102 fracción VI de la Ley Nacional del Sistema Integral de Justicia Penal para Adolescentes; y al Fiscal General del Estado de Guanajuato, CARLOS ZAMARRIPA AGUIRRE, para la pronta procuración de justicia. Todo lo anterior respecto a los menores de edad que se encontraban en el Instituto Transformacional PRINUVI en Irapuato, Guanajuato y que ilegalmente se les regresó a sus hogares, con sus padres, yendo contra la suspensión condicional del proceso.</w:t>
      </w:r>
    </w:p>
    <w:p w14:paraId="5F621212" w14:textId="77777777" w:rsidR="00B872A2" w:rsidRPr="00B872A2" w:rsidRDefault="00B872A2" w:rsidP="00875A14">
      <w:pPr>
        <w:widowControl w:val="0"/>
        <w:jc w:val="both"/>
        <w:rPr>
          <w:rFonts w:ascii="Abadi" w:hAnsi="Abadi" w:cs="Arial"/>
          <w:sz w:val="21"/>
          <w:szCs w:val="21"/>
          <w:lang w:val="es-MX"/>
        </w:rPr>
      </w:pPr>
    </w:p>
    <w:p w14:paraId="505C22F7" w14:textId="77777777" w:rsidR="00B872A2" w:rsidRPr="00B872A2" w:rsidRDefault="00B872A2" w:rsidP="00875A14">
      <w:pPr>
        <w:widowControl w:val="0"/>
        <w:ind w:firstLine="851"/>
        <w:jc w:val="both"/>
        <w:rPr>
          <w:rFonts w:ascii="Abadi" w:hAnsi="Abadi" w:cs="Arial"/>
          <w:sz w:val="21"/>
          <w:szCs w:val="21"/>
          <w:lang w:val="es-MX"/>
        </w:rPr>
      </w:pPr>
      <w:r w:rsidRPr="00B872A2">
        <w:rPr>
          <w:rFonts w:ascii="Abadi" w:hAnsi="Abadi" w:cs="Arial"/>
          <w:sz w:val="21"/>
          <w:szCs w:val="21"/>
          <w:lang w:val="es-MX"/>
        </w:rPr>
        <w:t>Analizada la propuesta de referencia, esta Comisión de conformidad con lo dispuesto en los artículos 89 -fracción V- y 171 de la Ley Orgánica del Poder Legislativo del Estado de Guanajuato rinde el dictamen, con base en las siguientes:</w:t>
      </w:r>
    </w:p>
    <w:p w14:paraId="79B6432E" w14:textId="77777777" w:rsidR="00B872A2" w:rsidRPr="00B872A2" w:rsidRDefault="00B872A2" w:rsidP="00875A14">
      <w:pPr>
        <w:widowControl w:val="0"/>
        <w:jc w:val="both"/>
        <w:rPr>
          <w:rFonts w:ascii="Abadi" w:hAnsi="Abadi" w:cs="Arial"/>
          <w:sz w:val="21"/>
          <w:szCs w:val="21"/>
          <w:lang w:val="es-MX"/>
        </w:rPr>
      </w:pPr>
    </w:p>
    <w:p w14:paraId="603C39AA" w14:textId="77777777" w:rsidR="00B872A2" w:rsidRPr="00B872A2" w:rsidRDefault="00B872A2" w:rsidP="00875A14">
      <w:pPr>
        <w:widowControl w:val="0"/>
        <w:jc w:val="both"/>
        <w:rPr>
          <w:rFonts w:ascii="Abadi" w:hAnsi="Abadi" w:cs="Arial"/>
          <w:sz w:val="21"/>
          <w:szCs w:val="21"/>
          <w:lang w:val="es-MX"/>
        </w:rPr>
      </w:pPr>
    </w:p>
    <w:p w14:paraId="017D15A3" w14:textId="77777777" w:rsidR="00B872A2" w:rsidRPr="00B872A2" w:rsidRDefault="00B872A2" w:rsidP="00875A14">
      <w:pPr>
        <w:widowControl w:val="0"/>
        <w:jc w:val="center"/>
        <w:rPr>
          <w:rFonts w:ascii="Abadi" w:hAnsi="Abadi" w:cs="Arial"/>
          <w:b/>
          <w:sz w:val="21"/>
          <w:szCs w:val="21"/>
          <w:lang w:val="es-MX"/>
        </w:rPr>
      </w:pPr>
      <w:r w:rsidRPr="00B872A2">
        <w:rPr>
          <w:rFonts w:ascii="Abadi" w:hAnsi="Abadi" w:cs="Arial"/>
          <w:b/>
          <w:sz w:val="21"/>
          <w:szCs w:val="21"/>
          <w:lang w:val="es-MX"/>
        </w:rPr>
        <w:t>C O N S I D E R A C I O N E S</w:t>
      </w:r>
    </w:p>
    <w:p w14:paraId="36B3D0C1" w14:textId="77777777" w:rsidR="00B872A2" w:rsidRPr="00B872A2" w:rsidRDefault="00B872A2" w:rsidP="00875A14">
      <w:pPr>
        <w:widowControl w:val="0"/>
        <w:jc w:val="both"/>
        <w:rPr>
          <w:rFonts w:ascii="Abadi" w:hAnsi="Abadi" w:cs="Arial"/>
          <w:sz w:val="21"/>
          <w:szCs w:val="21"/>
          <w:lang w:val="es-MX"/>
        </w:rPr>
      </w:pPr>
    </w:p>
    <w:p w14:paraId="2B5C3AFB" w14:textId="77777777" w:rsidR="00B872A2" w:rsidRPr="00B872A2" w:rsidRDefault="00B872A2" w:rsidP="00875A14">
      <w:pPr>
        <w:widowControl w:val="0"/>
        <w:ind w:left="851"/>
        <w:jc w:val="both"/>
        <w:rPr>
          <w:rFonts w:ascii="Abadi" w:hAnsi="Abadi" w:cs="Arial"/>
          <w:b/>
          <w:sz w:val="21"/>
          <w:szCs w:val="21"/>
          <w:lang w:val="es-MX"/>
        </w:rPr>
      </w:pPr>
      <w:r w:rsidRPr="00B872A2">
        <w:rPr>
          <w:rFonts w:ascii="Abadi" w:hAnsi="Abadi" w:cs="Arial"/>
          <w:b/>
          <w:sz w:val="21"/>
          <w:szCs w:val="21"/>
          <w:lang w:val="es-MX"/>
        </w:rPr>
        <w:t>PROCESO LEGISLATIVO.</w:t>
      </w:r>
    </w:p>
    <w:p w14:paraId="0C4F7D56" w14:textId="77777777" w:rsidR="00B872A2" w:rsidRPr="00B872A2" w:rsidRDefault="00B872A2" w:rsidP="00875A14">
      <w:pPr>
        <w:widowControl w:val="0"/>
        <w:jc w:val="both"/>
        <w:rPr>
          <w:rFonts w:ascii="Abadi" w:hAnsi="Abadi" w:cs="Arial"/>
          <w:sz w:val="21"/>
          <w:szCs w:val="21"/>
          <w:lang w:val="es-MX"/>
        </w:rPr>
      </w:pPr>
    </w:p>
    <w:p w14:paraId="60881106" w14:textId="77777777" w:rsidR="00B872A2" w:rsidRPr="00B872A2" w:rsidRDefault="00B872A2" w:rsidP="00875A14">
      <w:pPr>
        <w:widowControl w:val="0"/>
        <w:ind w:firstLine="851"/>
        <w:jc w:val="both"/>
        <w:rPr>
          <w:rFonts w:ascii="Abadi" w:hAnsi="Abadi" w:cs="Arial"/>
          <w:sz w:val="21"/>
          <w:szCs w:val="21"/>
          <w:lang w:val="es-MX"/>
        </w:rPr>
      </w:pPr>
      <w:r w:rsidRPr="00B872A2">
        <w:rPr>
          <w:rFonts w:ascii="Abadi" w:hAnsi="Abadi" w:cs="Arial"/>
          <w:sz w:val="21"/>
          <w:szCs w:val="21"/>
          <w:lang w:val="es-MX"/>
        </w:rPr>
        <w:t>En sesión ordinaria del 26 de noviembre de 2020 ingresó la propuesta de punto de acuerdo. Misma que proponía la obvia resolución.</w:t>
      </w:r>
    </w:p>
    <w:p w14:paraId="5F0209A4" w14:textId="77777777" w:rsidR="00B872A2" w:rsidRPr="00B872A2" w:rsidRDefault="00B872A2" w:rsidP="00875A14">
      <w:pPr>
        <w:widowControl w:val="0"/>
        <w:jc w:val="both"/>
        <w:rPr>
          <w:rFonts w:ascii="Abadi" w:hAnsi="Abadi" w:cs="Arial"/>
          <w:sz w:val="21"/>
          <w:szCs w:val="21"/>
          <w:lang w:val="es-MX"/>
        </w:rPr>
      </w:pPr>
    </w:p>
    <w:p w14:paraId="6C38B915" w14:textId="77777777" w:rsidR="00B872A2" w:rsidRPr="00B872A2" w:rsidRDefault="00B872A2" w:rsidP="00875A14">
      <w:pPr>
        <w:widowControl w:val="0"/>
        <w:ind w:firstLine="851"/>
        <w:jc w:val="both"/>
        <w:rPr>
          <w:rFonts w:ascii="Abadi" w:hAnsi="Abadi" w:cs="Arial"/>
          <w:sz w:val="21"/>
          <w:szCs w:val="21"/>
          <w:lang w:val="es-MX"/>
        </w:rPr>
      </w:pPr>
      <w:r w:rsidRPr="00B872A2">
        <w:rPr>
          <w:rFonts w:ascii="Abadi" w:hAnsi="Abadi" w:cs="Arial"/>
          <w:sz w:val="21"/>
          <w:szCs w:val="21"/>
          <w:lang w:val="es-MX"/>
        </w:rPr>
        <w:t>Al no aprobarse la obvia resolución, la propuesta de punto de acuerdo se turnó por parte de la presidencia del Congreso a esta Comisión legislativa para su estudio y dictamen, con fundamento en el artículo 106 -fracción XI- de la Ley Orgánica del Poder Legislativo del Estado de Guanajuato.</w:t>
      </w:r>
    </w:p>
    <w:p w14:paraId="57215908" w14:textId="77777777" w:rsidR="00B872A2" w:rsidRPr="00B872A2" w:rsidRDefault="00B872A2" w:rsidP="00875A14">
      <w:pPr>
        <w:widowControl w:val="0"/>
        <w:jc w:val="both"/>
        <w:rPr>
          <w:rFonts w:ascii="Abadi" w:hAnsi="Abadi" w:cs="Arial"/>
          <w:sz w:val="21"/>
          <w:szCs w:val="21"/>
          <w:lang w:val="es-MX"/>
        </w:rPr>
      </w:pPr>
    </w:p>
    <w:p w14:paraId="3561723B" w14:textId="77777777" w:rsidR="00B872A2" w:rsidRPr="00B872A2" w:rsidRDefault="00B872A2" w:rsidP="00875A14">
      <w:pPr>
        <w:widowControl w:val="0"/>
        <w:ind w:firstLine="851"/>
        <w:jc w:val="both"/>
        <w:rPr>
          <w:rFonts w:ascii="Abadi" w:hAnsi="Abadi" w:cs="Arial"/>
          <w:sz w:val="21"/>
          <w:szCs w:val="21"/>
          <w:lang w:val="es-MX"/>
        </w:rPr>
      </w:pPr>
      <w:r w:rsidRPr="00B872A2">
        <w:rPr>
          <w:rFonts w:ascii="Abadi" w:hAnsi="Abadi" w:cs="Arial"/>
          <w:sz w:val="21"/>
          <w:szCs w:val="21"/>
          <w:lang w:val="es-MX"/>
        </w:rPr>
        <w:t>En reunión de la Comisión celebrada el 4 de diciembre de 2020, se dio cuenta con la propuesta de punto de acuerdo.</w:t>
      </w:r>
    </w:p>
    <w:p w14:paraId="7668119B" w14:textId="77777777" w:rsidR="00B872A2" w:rsidRPr="00B872A2" w:rsidRDefault="00B872A2" w:rsidP="00875A14">
      <w:pPr>
        <w:widowControl w:val="0"/>
        <w:jc w:val="both"/>
        <w:rPr>
          <w:rFonts w:ascii="Abadi" w:hAnsi="Abadi" w:cs="Arial"/>
          <w:sz w:val="21"/>
          <w:szCs w:val="21"/>
          <w:lang w:val="es-MX"/>
        </w:rPr>
      </w:pPr>
    </w:p>
    <w:p w14:paraId="11784ECA" w14:textId="77777777" w:rsidR="00B872A2" w:rsidRPr="00B872A2" w:rsidRDefault="00B872A2" w:rsidP="00875A14">
      <w:pPr>
        <w:widowControl w:val="0"/>
        <w:ind w:left="851"/>
        <w:jc w:val="both"/>
        <w:rPr>
          <w:rFonts w:ascii="Abadi" w:hAnsi="Abadi" w:cs="Arial"/>
          <w:b/>
          <w:sz w:val="21"/>
          <w:szCs w:val="21"/>
          <w:lang w:val="es-MX"/>
        </w:rPr>
      </w:pPr>
      <w:r w:rsidRPr="00B872A2">
        <w:rPr>
          <w:rFonts w:ascii="Abadi" w:hAnsi="Abadi" w:cs="Arial"/>
          <w:b/>
          <w:sz w:val="21"/>
          <w:szCs w:val="21"/>
          <w:lang w:val="es-MX"/>
        </w:rPr>
        <w:t>Propósito de la propuesta de punto de acuerdo.</w:t>
      </w:r>
    </w:p>
    <w:p w14:paraId="4F734903" w14:textId="77777777" w:rsidR="00B872A2" w:rsidRPr="00B872A2" w:rsidRDefault="00B872A2" w:rsidP="00875A14">
      <w:pPr>
        <w:widowControl w:val="0"/>
        <w:jc w:val="both"/>
        <w:rPr>
          <w:rFonts w:ascii="Abadi" w:hAnsi="Abadi"/>
          <w:sz w:val="21"/>
          <w:szCs w:val="21"/>
          <w:lang w:val="es-MX" w:eastAsia="en-US"/>
        </w:rPr>
      </w:pPr>
    </w:p>
    <w:p w14:paraId="14C4E9AF" w14:textId="77777777" w:rsidR="00B872A2" w:rsidRPr="00B872A2" w:rsidRDefault="00B872A2" w:rsidP="00875A14">
      <w:pPr>
        <w:widowControl w:val="0"/>
        <w:ind w:firstLine="851"/>
        <w:jc w:val="both"/>
        <w:rPr>
          <w:rFonts w:ascii="Abadi" w:hAnsi="Abadi"/>
          <w:sz w:val="21"/>
          <w:szCs w:val="21"/>
          <w:lang w:val="es-MX" w:eastAsia="en-US"/>
        </w:rPr>
      </w:pPr>
      <w:r w:rsidRPr="00B872A2">
        <w:rPr>
          <w:rFonts w:ascii="Abadi" w:hAnsi="Abadi"/>
          <w:sz w:val="21"/>
          <w:szCs w:val="21"/>
          <w:lang w:val="es-MX" w:eastAsia="en-US"/>
        </w:rPr>
        <w:t>En las consideraciones de la propuesta se puede leer que:</w:t>
      </w:r>
    </w:p>
    <w:p w14:paraId="6145A023" w14:textId="77777777" w:rsidR="00B872A2" w:rsidRPr="00B872A2" w:rsidRDefault="00B872A2" w:rsidP="00875A14">
      <w:pPr>
        <w:widowControl w:val="0"/>
        <w:jc w:val="both"/>
        <w:rPr>
          <w:rFonts w:ascii="Abadi" w:hAnsi="Abadi"/>
          <w:sz w:val="21"/>
          <w:szCs w:val="21"/>
          <w:lang w:val="es-MX" w:eastAsia="en-US"/>
        </w:rPr>
      </w:pPr>
    </w:p>
    <w:p w14:paraId="471D3615" w14:textId="77777777" w:rsidR="00B872A2" w:rsidRPr="00B872A2" w:rsidRDefault="00B872A2" w:rsidP="00875A14">
      <w:pPr>
        <w:widowControl w:val="0"/>
        <w:ind w:left="851" w:right="851"/>
        <w:jc w:val="center"/>
        <w:rPr>
          <w:rFonts w:ascii="Abadi" w:hAnsi="Abadi" w:cs="Arial"/>
          <w:b/>
          <w:bCs/>
          <w:i/>
          <w:sz w:val="21"/>
          <w:szCs w:val="21"/>
          <w:lang w:val="es-MX" w:eastAsia="en-US"/>
        </w:rPr>
      </w:pPr>
      <w:r w:rsidRPr="00B872A2">
        <w:rPr>
          <w:rFonts w:ascii="Abadi" w:hAnsi="Abadi" w:cs="Arial"/>
          <w:b/>
          <w:bCs/>
          <w:i/>
          <w:sz w:val="21"/>
          <w:szCs w:val="21"/>
          <w:lang w:val="es-MX" w:eastAsia="en-US"/>
        </w:rPr>
        <w:t>ANTECEDENTES</w:t>
      </w:r>
    </w:p>
    <w:p w14:paraId="46B09587" w14:textId="77777777" w:rsidR="00B872A2" w:rsidRPr="00B872A2" w:rsidRDefault="00B872A2" w:rsidP="00875A14">
      <w:pPr>
        <w:widowControl w:val="0"/>
        <w:ind w:left="851" w:right="851"/>
        <w:jc w:val="both"/>
        <w:rPr>
          <w:rFonts w:ascii="Abadi" w:hAnsi="Abadi" w:cs="Arial"/>
          <w:i/>
          <w:sz w:val="21"/>
          <w:szCs w:val="21"/>
          <w:lang w:val="es-MX" w:eastAsia="en-US"/>
        </w:rPr>
      </w:pPr>
    </w:p>
    <w:p w14:paraId="7F6523F8" w14:textId="77777777" w:rsidR="00B872A2" w:rsidRPr="00B872A2" w:rsidRDefault="00B872A2" w:rsidP="00875A14">
      <w:pPr>
        <w:widowControl w:val="0"/>
        <w:ind w:left="851" w:right="851"/>
        <w:jc w:val="both"/>
        <w:rPr>
          <w:rFonts w:ascii="Abadi" w:hAnsi="Abadi" w:cs="Arial"/>
          <w:i/>
          <w:sz w:val="21"/>
          <w:szCs w:val="21"/>
          <w:lang w:val="es-MX" w:eastAsia="en-US"/>
        </w:rPr>
      </w:pPr>
      <w:r w:rsidRPr="00B872A2">
        <w:rPr>
          <w:rFonts w:ascii="Abadi" w:hAnsi="Abadi" w:cs="Arial"/>
          <w:b/>
          <w:bCs/>
          <w:i/>
          <w:sz w:val="21"/>
          <w:szCs w:val="21"/>
          <w:lang w:val="es-MX" w:eastAsia="en-US"/>
        </w:rPr>
        <w:t>ÚNICO.-</w:t>
      </w:r>
      <w:r w:rsidRPr="00B872A2">
        <w:rPr>
          <w:rFonts w:ascii="Abadi" w:hAnsi="Abadi" w:cs="Arial"/>
          <w:i/>
          <w:sz w:val="21"/>
          <w:szCs w:val="21"/>
          <w:lang w:val="es-MX" w:eastAsia="en-US"/>
        </w:rPr>
        <w:t xml:space="preserve"> No es un caso aislado el terrible suceso del 21 de noviembre del presente año, donde un comando armado se llevó a cuatro hombres a la fuerza de las instalaciones del Centro de Rehabilitación PRINUVI en Irapuato, Guanajuato. Este es el séptimo ataque a centros de rehabilitación en el municipio donde se han registrado 37 muertos y 17 desaparecidos.</w:t>
      </w:r>
    </w:p>
    <w:p w14:paraId="6621EFAE" w14:textId="77777777" w:rsidR="00B872A2" w:rsidRPr="00B872A2" w:rsidRDefault="00B872A2" w:rsidP="00875A14">
      <w:pPr>
        <w:widowControl w:val="0"/>
        <w:ind w:left="851" w:right="851"/>
        <w:jc w:val="both"/>
        <w:rPr>
          <w:rFonts w:ascii="Abadi" w:hAnsi="Abadi" w:cs="Arial"/>
          <w:i/>
          <w:sz w:val="21"/>
          <w:szCs w:val="21"/>
          <w:lang w:val="es-MX" w:eastAsia="en-US"/>
        </w:rPr>
      </w:pPr>
    </w:p>
    <w:p w14:paraId="3EF4D987" w14:textId="77777777" w:rsidR="00B872A2" w:rsidRPr="00B872A2" w:rsidRDefault="00B872A2" w:rsidP="00875A14">
      <w:pPr>
        <w:widowControl w:val="0"/>
        <w:ind w:left="851" w:right="851"/>
        <w:jc w:val="center"/>
        <w:rPr>
          <w:rFonts w:ascii="Abadi" w:hAnsi="Abadi" w:cs="Arial"/>
          <w:b/>
          <w:i/>
          <w:sz w:val="21"/>
          <w:szCs w:val="21"/>
          <w:lang w:val="es-MX" w:eastAsia="en-US"/>
        </w:rPr>
      </w:pPr>
      <w:r w:rsidRPr="00B872A2">
        <w:rPr>
          <w:rFonts w:ascii="Abadi" w:hAnsi="Abadi" w:cs="Arial"/>
          <w:b/>
          <w:i/>
          <w:sz w:val="21"/>
          <w:szCs w:val="21"/>
          <w:lang w:val="es-MX" w:eastAsia="en-US"/>
        </w:rPr>
        <w:t>CONSIDERACIONES</w:t>
      </w:r>
    </w:p>
    <w:p w14:paraId="5249D86C" w14:textId="77777777" w:rsidR="00B872A2" w:rsidRPr="00B872A2" w:rsidRDefault="00B872A2" w:rsidP="00875A14">
      <w:pPr>
        <w:widowControl w:val="0"/>
        <w:ind w:left="851" w:right="851"/>
        <w:jc w:val="both"/>
        <w:rPr>
          <w:rFonts w:ascii="Abadi" w:hAnsi="Abadi" w:cs="Arial"/>
          <w:i/>
          <w:sz w:val="21"/>
          <w:szCs w:val="21"/>
          <w:lang w:val="es-MX" w:eastAsia="en-US"/>
        </w:rPr>
      </w:pPr>
    </w:p>
    <w:p w14:paraId="760092E7" w14:textId="77777777" w:rsidR="00B872A2" w:rsidRPr="00B872A2" w:rsidRDefault="00B872A2" w:rsidP="00875A14">
      <w:pPr>
        <w:widowControl w:val="0"/>
        <w:ind w:left="851" w:right="851"/>
        <w:jc w:val="both"/>
        <w:rPr>
          <w:rFonts w:ascii="Abadi" w:hAnsi="Abadi" w:cs="Arial"/>
          <w:i/>
          <w:sz w:val="21"/>
          <w:szCs w:val="21"/>
          <w:lang w:val="es-MX" w:eastAsia="en-US"/>
        </w:rPr>
      </w:pPr>
      <w:r w:rsidRPr="00B872A2">
        <w:rPr>
          <w:rFonts w:ascii="Abadi" w:hAnsi="Abadi" w:cs="Arial"/>
          <w:i/>
          <w:sz w:val="21"/>
          <w:szCs w:val="21"/>
          <w:lang w:val="es-MX" w:eastAsia="en-US"/>
        </w:rPr>
        <w:t>Ante el séptimo ataque en el municipio de Irapuato a centros de rehabilitación, los medios de comunicación se centraron en la desaparición de los 4 hombres que fueron extraídos del Centro de Rehabilitación PRINUVI, de los cuales, dos ya fueron localizados. Sin embargo, hubo un caso igualmente preocupante que la Fiscalía General del Estado, el Poder Judicial y la Procuraduría de Protección de Niñas, Niños y Adolescentes del Estado de Guanajuato decidieron callar: que ante un estado fallido donde no se ha garantizado la seguridad ni la justicia en Guanajuato, adolescentes que fueron ingresados al Centro de Rehabilitación PRINUVI, derivado del inicio de carpetas de investigación y otros jóvenes vinculados a causas penales, la autoridad los regresó con sus padres.</w:t>
      </w:r>
    </w:p>
    <w:p w14:paraId="0F10A8CC" w14:textId="77777777" w:rsidR="00B872A2" w:rsidRPr="00B872A2" w:rsidRDefault="00B872A2" w:rsidP="00875A14">
      <w:pPr>
        <w:widowControl w:val="0"/>
        <w:ind w:left="851" w:right="851"/>
        <w:jc w:val="both"/>
        <w:rPr>
          <w:rFonts w:ascii="Abadi" w:hAnsi="Abadi" w:cs="Arial"/>
          <w:i/>
          <w:sz w:val="21"/>
          <w:szCs w:val="21"/>
          <w:lang w:val="es-MX" w:eastAsia="en-US"/>
        </w:rPr>
      </w:pPr>
    </w:p>
    <w:p w14:paraId="0D285DC6" w14:textId="77777777" w:rsidR="00B872A2" w:rsidRPr="00B872A2" w:rsidRDefault="00B872A2" w:rsidP="00875A14">
      <w:pPr>
        <w:widowControl w:val="0"/>
        <w:ind w:left="851" w:right="851"/>
        <w:jc w:val="both"/>
        <w:rPr>
          <w:rFonts w:ascii="Abadi" w:hAnsi="Abadi" w:cs="Arial"/>
          <w:i/>
          <w:sz w:val="21"/>
          <w:szCs w:val="21"/>
          <w:lang w:val="es-MX" w:eastAsia="en-US"/>
        </w:rPr>
      </w:pPr>
      <w:r w:rsidRPr="00B872A2">
        <w:rPr>
          <w:rFonts w:ascii="Abadi" w:hAnsi="Abadi" w:cs="Arial"/>
          <w:i/>
          <w:sz w:val="21"/>
          <w:szCs w:val="21"/>
          <w:lang w:val="es-MX" w:eastAsia="en-US"/>
        </w:rPr>
        <w:t>En un primer momento, el Ministerio Público investigador determinó, al iniciar investigaciones, que los adolescentes debían estar bajo cuidado y vigilancia de la Procuraduría de Protección de Niñas, Niños y Adolescentes del Estado de Guanajuato, ingresándoseles en el PRINUVI, y, en otros casos, un juez especializado en justicia penal para adolescentes decretó en sus causas penales la suspensión condicional del proceso de los menores, con la condición de que éstos participasen en programas especiales a fin de combatir sus adicciones, lo anterior dentro de las instalaciones específicas del PRINUVI, con el objetivo principal de proporcionarles las herramientas necesarias para su reinserción social y con ello, procurar el resarcimiento del tejido social.</w:t>
      </w:r>
    </w:p>
    <w:p w14:paraId="60A2293A" w14:textId="77777777" w:rsidR="00B872A2" w:rsidRPr="00B872A2" w:rsidRDefault="00B872A2" w:rsidP="00875A14">
      <w:pPr>
        <w:widowControl w:val="0"/>
        <w:ind w:left="851" w:right="851"/>
        <w:jc w:val="both"/>
        <w:rPr>
          <w:rFonts w:ascii="Abadi" w:hAnsi="Abadi" w:cs="Arial"/>
          <w:i/>
          <w:sz w:val="21"/>
          <w:szCs w:val="21"/>
          <w:lang w:val="es-MX" w:eastAsia="en-US"/>
        </w:rPr>
      </w:pPr>
    </w:p>
    <w:p w14:paraId="48148E08" w14:textId="77777777" w:rsidR="00B872A2" w:rsidRPr="00B872A2" w:rsidRDefault="00B872A2" w:rsidP="00875A14">
      <w:pPr>
        <w:widowControl w:val="0"/>
        <w:ind w:left="851" w:right="851"/>
        <w:jc w:val="both"/>
        <w:rPr>
          <w:rFonts w:ascii="Abadi" w:hAnsi="Abadi" w:cs="Arial"/>
          <w:i/>
          <w:sz w:val="21"/>
          <w:szCs w:val="21"/>
          <w:lang w:val="es-MX" w:eastAsia="en-US"/>
        </w:rPr>
      </w:pPr>
      <w:r w:rsidRPr="00B872A2">
        <w:rPr>
          <w:rFonts w:ascii="Abadi" w:hAnsi="Abadi" w:cs="Arial"/>
          <w:i/>
          <w:sz w:val="21"/>
          <w:szCs w:val="21"/>
          <w:lang w:val="es-MX" w:eastAsia="en-US"/>
        </w:rPr>
        <w:t>Los menores de edad que se encontraban en el Centro de Rehabilitación PRINUVI estaban bajo la representación de la Procuraduría de Protección de Niñas, Niños y Adolescentes del Estado de Guanajuato, sin embargo, por órdenes de la Fiscalía General del Estado de Guanajuato, y bajo la obsecuencia del Poder Judicial del Estado, al ver la situación de los centros de rehabilitación en Irapuato, quisieron deslindarse de toda posible responsabilidad ante futuras agresiones a los adolescentes, pues el costo político sería alto en demasía al tratarse de menores de edad por lo que, acordaron que fueran retornados a sus casas con sus familias.</w:t>
      </w:r>
    </w:p>
    <w:p w14:paraId="57999B54" w14:textId="77777777" w:rsidR="00B872A2" w:rsidRPr="00B872A2" w:rsidRDefault="00B872A2" w:rsidP="00875A14">
      <w:pPr>
        <w:widowControl w:val="0"/>
        <w:ind w:left="851" w:right="851"/>
        <w:jc w:val="both"/>
        <w:rPr>
          <w:rFonts w:ascii="Abadi" w:hAnsi="Abadi" w:cs="Arial"/>
          <w:i/>
          <w:sz w:val="21"/>
          <w:szCs w:val="21"/>
          <w:lang w:val="es-MX" w:eastAsia="en-US"/>
        </w:rPr>
      </w:pPr>
    </w:p>
    <w:p w14:paraId="3AE8B7DD" w14:textId="77777777" w:rsidR="00B872A2" w:rsidRPr="00B872A2" w:rsidRDefault="00B872A2" w:rsidP="00875A14">
      <w:pPr>
        <w:widowControl w:val="0"/>
        <w:ind w:left="851" w:right="851"/>
        <w:jc w:val="both"/>
        <w:rPr>
          <w:rFonts w:ascii="Abadi" w:hAnsi="Abadi" w:cs="Arial"/>
          <w:i/>
          <w:sz w:val="21"/>
          <w:szCs w:val="21"/>
          <w:lang w:val="es-MX" w:eastAsia="en-US"/>
        </w:rPr>
      </w:pPr>
      <w:r w:rsidRPr="00B872A2">
        <w:rPr>
          <w:rFonts w:ascii="Abadi" w:hAnsi="Abadi" w:cs="Arial"/>
          <w:i/>
          <w:sz w:val="21"/>
          <w:szCs w:val="21"/>
          <w:lang w:val="es-MX" w:eastAsia="en-US"/>
        </w:rPr>
        <w:t>Lo anterior, forma parte de todo el enmarañado de ilegalidades, casos inconclusos y una procuración y administración de justicia deficiente en la entidad. Digo lo anterior pues existe una resolución judicial que no se está cumpliendo, la cual obliga al Gobierno del Estado a proporcionar rehabilitación a estos jóvenes, es decir, hay una suspensión condicional ordenada en un procedimiento judicial para que los adolescentes pudieran rehabilitarse y cumplir con eso los fines del sistema de justicia penal para adolescentes.</w:t>
      </w:r>
    </w:p>
    <w:p w14:paraId="0CE264AB" w14:textId="77777777" w:rsidR="00B872A2" w:rsidRPr="00B872A2" w:rsidRDefault="00B872A2" w:rsidP="00875A14">
      <w:pPr>
        <w:widowControl w:val="0"/>
        <w:ind w:left="851" w:right="851"/>
        <w:jc w:val="both"/>
        <w:rPr>
          <w:rFonts w:ascii="Abadi" w:hAnsi="Abadi" w:cs="Arial"/>
          <w:i/>
          <w:sz w:val="21"/>
          <w:szCs w:val="21"/>
          <w:lang w:val="es-MX" w:eastAsia="en-US"/>
        </w:rPr>
      </w:pPr>
    </w:p>
    <w:p w14:paraId="643C9D41" w14:textId="77777777" w:rsidR="00B872A2" w:rsidRPr="00B872A2" w:rsidRDefault="00B872A2" w:rsidP="00875A14">
      <w:pPr>
        <w:widowControl w:val="0"/>
        <w:ind w:left="851" w:right="851"/>
        <w:jc w:val="both"/>
        <w:rPr>
          <w:rFonts w:ascii="Abadi" w:hAnsi="Abadi" w:cs="Arial"/>
          <w:i/>
          <w:sz w:val="21"/>
          <w:szCs w:val="21"/>
          <w:lang w:val="es-MX" w:eastAsia="en-US"/>
        </w:rPr>
      </w:pPr>
      <w:r w:rsidRPr="00B872A2">
        <w:rPr>
          <w:rFonts w:ascii="Abadi" w:hAnsi="Abadi" w:cs="Arial"/>
          <w:i/>
          <w:sz w:val="21"/>
          <w:szCs w:val="21"/>
          <w:lang w:val="es-MX" w:eastAsia="en-US"/>
        </w:rPr>
        <w:t>Es una obviedad afirmar que es imperante seguir con los efectos de la resolución antes mencionada, por ello, pido en primer lugar al Poder Judicial del Estado de Guanajuato que haga cumplir sus determinaciones y se apegue a la fracción VI del artículo 102 de la Ley Nacional del Sistema Integral de Justicia Penal para Adolescentes que a la letra dice: “El Juez fijará el plazo de suspensión condicional del proceso, que no podrá ser inferior a tres meses ni superior a un año, y determinará una o varias de las condiciones que deberá cumplir la persona adolescente. Además de las condiciones que establece el Código Nacional se podrán imponer las siguientes: VI. Participar en programas especiales para la prevención y el tratamiento de adicciones”.</w:t>
      </w:r>
    </w:p>
    <w:p w14:paraId="0469BC1B" w14:textId="77777777" w:rsidR="00B872A2" w:rsidRPr="00B872A2" w:rsidRDefault="00B872A2" w:rsidP="00875A14">
      <w:pPr>
        <w:widowControl w:val="0"/>
        <w:ind w:left="851" w:right="851"/>
        <w:jc w:val="both"/>
        <w:rPr>
          <w:rFonts w:ascii="Abadi" w:hAnsi="Abadi" w:cs="Arial"/>
          <w:i/>
          <w:sz w:val="21"/>
          <w:szCs w:val="21"/>
          <w:lang w:val="es-MX" w:eastAsia="en-US"/>
        </w:rPr>
      </w:pPr>
    </w:p>
    <w:p w14:paraId="67620417" w14:textId="77777777" w:rsidR="00B872A2" w:rsidRPr="00B872A2" w:rsidRDefault="00B872A2" w:rsidP="00875A14">
      <w:pPr>
        <w:widowControl w:val="0"/>
        <w:ind w:left="851" w:right="851"/>
        <w:jc w:val="both"/>
        <w:rPr>
          <w:rFonts w:ascii="Abadi" w:hAnsi="Abadi" w:cs="Arial"/>
          <w:i/>
          <w:sz w:val="21"/>
          <w:szCs w:val="21"/>
          <w:lang w:val="es-MX" w:eastAsia="en-US"/>
        </w:rPr>
      </w:pPr>
      <w:r w:rsidRPr="00B872A2">
        <w:rPr>
          <w:rFonts w:ascii="Abadi" w:hAnsi="Abadi" w:cs="Arial"/>
          <w:i/>
          <w:sz w:val="21"/>
          <w:szCs w:val="21"/>
          <w:lang w:val="es-MX" w:eastAsia="en-US"/>
        </w:rPr>
        <w:t>Esto indica que en la ley existen alternativas en cuanto a los diversos supuestos mediante los que una persona puede cumplir con una suspensión condicional del proceso; esto es, si se consideraba que no era idóneo que los jóvenes se encontraran en un centro de rehabilitación, se les pudo haber impuesto una condición diversa como, por ejemplo, las mencionadas en el artículo 102 de la Ley Nacional del Sistema Integral de Justicia Penal para Adolescentes.</w:t>
      </w:r>
    </w:p>
    <w:p w14:paraId="3643CD9C" w14:textId="77777777" w:rsidR="00B872A2" w:rsidRPr="00B872A2" w:rsidRDefault="00B872A2" w:rsidP="00875A14">
      <w:pPr>
        <w:widowControl w:val="0"/>
        <w:ind w:left="851" w:right="851"/>
        <w:jc w:val="both"/>
        <w:rPr>
          <w:rFonts w:ascii="Abadi" w:hAnsi="Abadi" w:cs="Arial"/>
          <w:i/>
          <w:sz w:val="21"/>
          <w:szCs w:val="21"/>
          <w:lang w:val="es-MX" w:eastAsia="en-US"/>
        </w:rPr>
      </w:pPr>
    </w:p>
    <w:p w14:paraId="623398AF" w14:textId="77777777" w:rsidR="00B872A2" w:rsidRPr="00B872A2" w:rsidRDefault="00B872A2" w:rsidP="00875A14">
      <w:pPr>
        <w:widowControl w:val="0"/>
        <w:ind w:left="851" w:right="851"/>
        <w:jc w:val="both"/>
        <w:rPr>
          <w:rFonts w:ascii="Abadi" w:hAnsi="Abadi" w:cs="Arial"/>
          <w:i/>
          <w:sz w:val="21"/>
          <w:szCs w:val="21"/>
          <w:lang w:val="es-MX" w:eastAsia="en-US"/>
        </w:rPr>
      </w:pPr>
      <w:r w:rsidRPr="00B872A2">
        <w:rPr>
          <w:rFonts w:ascii="Abadi" w:hAnsi="Abadi" w:cs="Arial"/>
          <w:i/>
          <w:sz w:val="21"/>
          <w:szCs w:val="21"/>
          <w:lang w:val="es-MX" w:eastAsia="en-US"/>
        </w:rPr>
        <w:t>En segundo lugar, propongo se exhorte al titular de la Fiscalía General del Estado de Guanajuato para que realice una procuración de justicia efectiva, profesional, con respeto a los derechos humanos en específico de un grupo vulnerable “los adolescentes en conflicto con la ley”, que nos explique por qué en un primer momento la fiscalía no se avocó a localizar la red familiar de los adolescentes para en todo caso y tal y como lo obliga el artículo 1° de la Constitución política de los Estados Unidos Mexicanos garantizar como un derecho humano el retornarlos a su familia, siendo que con motivo de los sucesos acaecidos el 21 de noviembre en el PRINUVI y en menos de 24 horas ahora sí encontraron a la red familiar y deciden retornar a los adolescentes a su núcleo familiar, pero sólo por librarse de la responsabilidad de tenerlos en un lugar confinados y hacinados y con el riesgo de ser privados de su libertad o de su vida en este caso.</w:t>
      </w:r>
    </w:p>
    <w:p w14:paraId="7075688F" w14:textId="77777777" w:rsidR="00B872A2" w:rsidRPr="00B872A2" w:rsidRDefault="00B872A2" w:rsidP="00875A14">
      <w:pPr>
        <w:widowControl w:val="0"/>
        <w:ind w:left="851" w:right="851"/>
        <w:jc w:val="both"/>
        <w:rPr>
          <w:rFonts w:ascii="Abadi" w:hAnsi="Abadi" w:cs="Arial"/>
          <w:i/>
          <w:sz w:val="21"/>
          <w:szCs w:val="21"/>
          <w:lang w:val="es-MX" w:eastAsia="en-US"/>
        </w:rPr>
      </w:pPr>
    </w:p>
    <w:p w14:paraId="633920DF" w14:textId="77777777" w:rsidR="00B872A2" w:rsidRPr="00B872A2" w:rsidRDefault="00B872A2" w:rsidP="00875A14">
      <w:pPr>
        <w:widowControl w:val="0"/>
        <w:ind w:left="851" w:right="851"/>
        <w:jc w:val="both"/>
        <w:rPr>
          <w:rFonts w:ascii="Abadi" w:hAnsi="Abadi" w:cs="Arial"/>
          <w:i/>
          <w:sz w:val="21"/>
          <w:szCs w:val="21"/>
          <w:lang w:val="es-MX" w:eastAsia="en-US"/>
        </w:rPr>
      </w:pPr>
      <w:r w:rsidRPr="00B872A2">
        <w:rPr>
          <w:rFonts w:ascii="Abadi" w:hAnsi="Abadi" w:cs="Arial"/>
          <w:i/>
          <w:sz w:val="21"/>
          <w:szCs w:val="21"/>
          <w:lang w:val="es-MX" w:eastAsia="en-US"/>
        </w:rPr>
        <w:t>Por último, pero no menos importante pido se exhorte al titular del Poder Ejecutivo, el C. Diego Sinhue Rodríguez Vallejo para que mediante su conducto, instruya a la Procuraduría Estatal de Protección de Niñas, Niños y Adolescentes del Estado de Guanajuato a que tome responsabilidades en el caso de los adolescentes vinculados a procesos penales y cuyas causas han sido suspendidas condicionalmente, pues estos adolescentes se encuentran bajo su cuidado y vigilancia, pero para un fin específico: recibir un tratamiento contra adicciones en un lugar específico “PRINUVI” y sin duda alguna, se debe garantizar el interés superior de estos adolescentes, además de que se esclarezca quién pidió se vulnerara la condición impuesta por un juez al decretarse la suspensión condicional del proceso.</w:t>
      </w:r>
    </w:p>
    <w:p w14:paraId="21AEECA5" w14:textId="77777777" w:rsidR="00B872A2" w:rsidRPr="00B872A2" w:rsidRDefault="00B872A2" w:rsidP="00875A14">
      <w:pPr>
        <w:widowControl w:val="0"/>
        <w:ind w:left="851" w:right="851"/>
        <w:jc w:val="both"/>
        <w:rPr>
          <w:rFonts w:ascii="Abadi" w:hAnsi="Abadi" w:cs="Arial"/>
          <w:i/>
          <w:sz w:val="21"/>
          <w:szCs w:val="21"/>
          <w:lang w:val="es-MX" w:eastAsia="en-US"/>
        </w:rPr>
      </w:pPr>
    </w:p>
    <w:p w14:paraId="4EB9436B" w14:textId="77777777" w:rsidR="00B872A2" w:rsidRPr="00B872A2" w:rsidRDefault="00B872A2" w:rsidP="00875A14">
      <w:pPr>
        <w:widowControl w:val="0"/>
        <w:ind w:left="851" w:right="851"/>
        <w:jc w:val="both"/>
        <w:rPr>
          <w:rFonts w:ascii="Abadi" w:hAnsi="Abadi" w:cs="Arial"/>
          <w:i/>
          <w:sz w:val="21"/>
          <w:szCs w:val="21"/>
          <w:lang w:val="es-MX" w:eastAsia="en-US"/>
        </w:rPr>
      </w:pPr>
      <w:r w:rsidRPr="00B872A2">
        <w:rPr>
          <w:rFonts w:ascii="Abadi" w:hAnsi="Abadi" w:cs="Arial"/>
          <w:i/>
          <w:sz w:val="21"/>
          <w:szCs w:val="21"/>
          <w:lang w:val="es-MX" w:eastAsia="en-US"/>
        </w:rPr>
        <w:t>Así como se puntualice e informe quién dio la orden para que estos adolescentes fueran retornados a sus familias con desobediencia de una resolución judicial, con lo cual se expone tanto a estos adolescentes, que son un grupo vulnerable, como a sus familias, pues se suspenden abruptamente sus tratamientos contra las adicciones lo cual implica la alta posibilidad de que éstos recaigan en las mismas y los pone a merced ante posibles ataques de grupos delincuenciales, como ya ha sucedido en múltiples ocasiones en todo el Estado. Cuando lo mínimo que debe de hacer el Gobierno del Estado, que encabeza Diego Sinhué, es brindar una protección efectiva de los derechos humanos y garantizar la seguridad de los adolescentes que sí tuvieran que estar en esos centros, en vez de regresarlos a su núcleo familiar completamente desprotegidos y expuestos.</w:t>
      </w:r>
    </w:p>
    <w:p w14:paraId="345C32AB" w14:textId="77777777" w:rsidR="00B872A2" w:rsidRPr="00B872A2" w:rsidRDefault="00B872A2" w:rsidP="00875A14">
      <w:pPr>
        <w:widowControl w:val="0"/>
        <w:ind w:left="851" w:right="851"/>
        <w:jc w:val="both"/>
        <w:rPr>
          <w:rFonts w:ascii="Abadi" w:hAnsi="Abadi" w:cs="Arial"/>
          <w:i/>
          <w:sz w:val="21"/>
          <w:szCs w:val="21"/>
          <w:lang w:val="es-MX" w:eastAsia="en-US"/>
        </w:rPr>
      </w:pPr>
    </w:p>
    <w:p w14:paraId="501098F2" w14:textId="77777777" w:rsidR="00B872A2" w:rsidRPr="00B872A2" w:rsidRDefault="00B872A2" w:rsidP="00875A14">
      <w:pPr>
        <w:widowControl w:val="0"/>
        <w:ind w:left="851" w:right="851"/>
        <w:jc w:val="both"/>
        <w:rPr>
          <w:rFonts w:ascii="Abadi" w:hAnsi="Abadi" w:cs="Arial"/>
          <w:i/>
          <w:sz w:val="21"/>
          <w:szCs w:val="21"/>
          <w:lang w:val="es-MX" w:eastAsia="en-US"/>
        </w:rPr>
      </w:pPr>
      <w:r w:rsidRPr="00B872A2">
        <w:rPr>
          <w:rFonts w:ascii="Abadi" w:hAnsi="Abadi" w:cs="Arial"/>
          <w:i/>
          <w:sz w:val="21"/>
          <w:szCs w:val="21"/>
          <w:lang w:val="es-MX" w:eastAsia="en-US"/>
        </w:rPr>
        <w:t>Es una pena que se quiera mover el foco de atención y este tema haya pasado desapercibido, con ello nos demuestran muchas cuestiones: que hacen pactos por debajo de la mesa entre todos los poderes y niveles de gobierno; nos demuestran que los adolescentes no les interesan si existe una situación que manche sus instituciones ya de por si mermadas; nos demuestran que no les interesa el rescate de adolescentes que al estar en sus casas pueden volver a consumir drogas y con ello ser blanco fácil para que las bandas delictivas los capten. Por eso es que desde este espacio exijo que todos los jóvenes que fueron devueltos a sus casas sean regresados al Instituto Transformacional PRINUVI o de lo contrario que se reactive el proceso penal de los menores. Pues de lo contrario, se estará violando los artículos 13 fracción XVIII y 88 de la Ley General de los Derechos de Niñas, Niños y Adolescentes los cuales se refieren al derecho a la seguridad jurídica y al debido proceso.</w:t>
      </w:r>
    </w:p>
    <w:p w14:paraId="27C8590D" w14:textId="77777777" w:rsidR="00B872A2" w:rsidRPr="00B872A2" w:rsidRDefault="00B872A2" w:rsidP="00875A14">
      <w:pPr>
        <w:widowControl w:val="0"/>
        <w:ind w:left="851" w:right="851"/>
        <w:jc w:val="both"/>
        <w:rPr>
          <w:rFonts w:ascii="Abadi" w:hAnsi="Abadi" w:cs="Arial"/>
          <w:i/>
          <w:sz w:val="21"/>
          <w:szCs w:val="21"/>
          <w:lang w:val="es-MX" w:eastAsia="en-US"/>
        </w:rPr>
      </w:pPr>
    </w:p>
    <w:p w14:paraId="4C0D1918" w14:textId="77777777" w:rsidR="00B872A2" w:rsidRPr="00B872A2" w:rsidRDefault="00B872A2" w:rsidP="00875A14">
      <w:pPr>
        <w:widowControl w:val="0"/>
        <w:ind w:left="851" w:right="851"/>
        <w:jc w:val="both"/>
        <w:rPr>
          <w:rFonts w:ascii="Abadi" w:hAnsi="Abadi" w:cs="Arial"/>
          <w:i/>
          <w:sz w:val="21"/>
          <w:szCs w:val="21"/>
          <w:lang w:val="es-MX" w:eastAsia="en-US"/>
        </w:rPr>
      </w:pPr>
      <w:r w:rsidRPr="00B872A2">
        <w:rPr>
          <w:rFonts w:ascii="Abadi" w:hAnsi="Abadi" w:cs="Arial"/>
          <w:i/>
          <w:sz w:val="21"/>
          <w:szCs w:val="21"/>
          <w:lang w:val="es-MX" w:eastAsia="en-US"/>
        </w:rPr>
        <w:t>El Poder Legislativo tiene un compromiso con los niños, niñas y adolescentes y ésta es la oportunidad para ser una asamblea que realmente se ocupe de sus jóvenes, de lo contrario cada que se paren en tribuna para hablar de los derechos de las niñas, niños y adolescentes será una simulación más de este Gobierno del Estado roído por la corrupción y los intereses de grupo.</w:t>
      </w:r>
    </w:p>
    <w:p w14:paraId="2D88919A" w14:textId="77777777" w:rsidR="00B872A2" w:rsidRPr="00B872A2" w:rsidRDefault="00B872A2" w:rsidP="00875A14">
      <w:pPr>
        <w:widowControl w:val="0"/>
        <w:jc w:val="both"/>
        <w:rPr>
          <w:rFonts w:ascii="Abadi" w:hAnsi="Abadi" w:cs="Arial"/>
          <w:sz w:val="21"/>
          <w:szCs w:val="21"/>
          <w:lang w:val="es-MX"/>
        </w:rPr>
      </w:pPr>
    </w:p>
    <w:p w14:paraId="6B46794A" w14:textId="77777777" w:rsidR="00B872A2" w:rsidRPr="00B872A2" w:rsidRDefault="00B872A2" w:rsidP="00875A14">
      <w:pPr>
        <w:widowControl w:val="0"/>
        <w:ind w:left="851"/>
        <w:jc w:val="both"/>
        <w:rPr>
          <w:rFonts w:ascii="Abadi" w:hAnsi="Abadi"/>
          <w:b/>
          <w:sz w:val="21"/>
          <w:szCs w:val="21"/>
          <w:lang w:val="es-MX"/>
        </w:rPr>
      </w:pPr>
      <w:r w:rsidRPr="00B872A2">
        <w:rPr>
          <w:rFonts w:ascii="Abadi" w:hAnsi="Abadi" w:cs="Arial"/>
          <w:b/>
          <w:sz w:val="21"/>
          <w:szCs w:val="21"/>
          <w:lang w:val="es-MX"/>
        </w:rPr>
        <w:t>CONSIDERACIONES DE LA COMISIÓN</w:t>
      </w:r>
      <w:r w:rsidRPr="00B872A2">
        <w:rPr>
          <w:rFonts w:ascii="Abadi" w:hAnsi="Abadi"/>
          <w:b/>
          <w:sz w:val="21"/>
          <w:szCs w:val="21"/>
          <w:lang w:val="es-MX"/>
        </w:rPr>
        <w:t>.</w:t>
      </w:r>
    </w:p>
    <w:p w14:paraId="09A7FC81" w14:textId="77777777" w:rsidR="00B872A2" w:rsidRPr="00B872A2" w:rsidRDefault="00B872A2" w:rsidP="00875A14">
      <w:pPr>
        <w:widowControl w:val="0"/>
        <w:jc w:val="both"/>
        <w:rPr>
          <w:rFonts w:ascii="Abadi" w:hAnsi="Abadi"/>
          <w:sz w:val="21"/>
          <w:szCs w:val="21"/>
          <w:lang w:val="es-MX" w:eastAsia="en-US"/>
        </w:rPr>
      </w:pPr>
    </w:p>
    <w:p w14:paraId="0C8E94A4" w14:textId="77777777" w:rsidR="00B872A2" w:rsidRPr="00B872A2" w:rsidRDefault="00B872A2" w:rsidP="00875A14">
      <w:pPr>
        <w:widowControl w:val="0"/>
        <w:ind w:firstLine="851"/>
        <w:jc w:val="both"/>
        <w:rPr>
          <w:rFonts w:ascii="Abadi" w:hAnsi="Abadi" w:cs="Arial"/>
          <w:sz w:val="21"/>
          <w:szCs w:val="21"/>
          <w:lang w:val="es-MX"/>
        </w:rPr>
      </w:pPr>
      <w:r w:rsidRPr="00B872A2">
        <w:rPr>
          <w:rFonts w:ascii="Abadi" w:hAnsi="Abadi" w:cs="Arial"/>
          <w:sz w:val="21"/>
          <w:szCs w:val="21"/>
          <w:lang w:val="es-MX"/>
        </w:rPr>
        <w:t xml:space="preserve">Nuestra ley orgánica otorga a las comisiones legislativas -en el artículo 89, fracción V-, la atribución de </w:t>
      </w:r>
      <w:r w:rsidRPr="00B872A2">
        <w:rPr>
          <w:rFonts w:ascii="Abadi" w:hAnsi="Abadi" w:cs="Arial"/>
          <w:i/>
          <w:iCs/>
          <w:sz w:val="21"/>
          <w:szCs w:val="21"/>
          <w:lang w:val="es-MX"/>
        </w:rPr>
        <w:t>dictaminar, atender o resolver las iniciativas de Ley o decreto, acuerdos, proposiciones y asuntos que les hayan sido turnados</w:t>
      </w:r>
      <w:r w:rsidRPr="00B872A2">
        <w:rPr>
          <w:rFonts w:ascii="Abadi" w:hAnsi="Abadi" w:cs="Arial"/>
          <w:sz w:val="21"/>
          <w:szCs w:val="21"/>
          <w:lang w:val="es-MX"/>
        </w:rPr>
        <w:t>.</w:t>
      </w:r>
    </w:p>
    <w:p w14:paraId="54E91EC2" w14:textId="77777777" w:rsidR="00B872A2" w:rsidRPr="00B872A2" w:rsidRDefault="00B872A2" w:rsidP="00875A14">
      <w:pPr>
        <w:widowControl w:val="0"/>
        <w:jc w:val="both"/>
        <w:rPr>
          <w:rFonts w:ascii="Abadi" w:hAnsi="Abadi"/>
          <w:sz w:val="21"/>
          <w:szCs w:val="21"/>
          <w:lang w:val="es-MX" w:eastAsia="en-US"/>
        </w:rPr>
      </w:pPr>
    </w:p>
    <w:p w14:paraId="0E4DE7C0" w14:textId="77777777" w:rsidR="00B872A2" w:rsidRPr="00B872A2" w:rsidRDefault="00B872A2" w:rsidP="00875A14">
      <w:pPr>
        <w:widowControl w:val="0"/>
        <w:ind w:firstLine="851"/>
        <w:jc w:val="both"/>
        <w:rPr>
          <w:rFonts w:ascii="Abadi" w:hAnsi="Abadi" w:cs="Arial"/>
          <w:sz w:val="21"/>
          <w:szCs w:val="21"/>
          <w:lang w:val="es-MX"/>
        </w:rPr>
      </w:pPr>
      <w:r w:rsidRPr="00B872A2">
        <w:rPr>
          <w:rFonts w:ascii="Abadi" w:hAnsi="Abadi" w:cs="Arial"/>
          <w:sz w:val="21"/>
          <w:szCs w:val="21"/>
          <w:lang w:val="es-MX"/>
        </w:rPr>
        <w:t xml:space="preserve">Esta comisión legislativa tiene competencia para el conocimiento y dictamen de los asuntos que </w:t>
      </w:r>
      <w:r w:rsidRPr="00B872A2">
        <w:rPr>
          <w:rFonts w:ascii="Abadi" w:hAnsi="Abadi" w:cs="Arial"/>
          <w:i/>
          <w:iCs/>
          <w:sz w:val="21"/>
          <w:szCs w:val="21"/>
          <w:lang w:val="es-MX"/>
        </w:rPr>
        <w:t xml:space="preserve">se refieran a la protección de los derechos de niñas, niños y adolescentes </w:t>
      </w:r>
      <w:r w:rsidRPr="00B872A2">
        <w:rPr>
          <w:rFonts w:ascii="Abadi" w:hAnsi="Abadi" w:cs="Arial"/>
          <w:sz w:val="21"/>
          <w:szCs w:val="21"/>
          <w:lang w:val="es-MX"/>
        </w:rPr>
        <w:t>(artículo 106 -fracción XI- de la Ley Orgánica del Poder Legislativo del Estado de Guanajuato). Con este fundamento, para estudio y dictamen, se turnó la propuesta que nos ocupa.</w:t>
      </w:r>
    </w:p>
    <w:p w14:paraId="5DC05A1C" w14:textId="77777777" w:rsidR="00B872A2" w:rsidRPr="00B872A2" w:rsidRDefault="00B872A2" w:rsidP="00875A14">
      <w:pPr>
        <w:widowControl w:val="0"/>
        <w:jc w:val="both"/>
        <w:rPr>
          <w:rFonts w:ascii="Abadi" w:hAnsi="Abadi" w:cs="Arial"/>
          <w:sz w:val="21"/>
          <w:szCs w:val="21"/>
          <w:lang w:val="es-MX"/>
        </w:rPr>
      </w:pPr>
    </w:p>
    <w:p w14:paraId="374DC834" w14:textId="77777777" w:rsidR="00B872A2" w:rsidRPr="00B872A2" w:rsidRDefault="00B872A2" w:rsidP="00875A14">
      <w:pPr>
        <w:widowControl w:val="0"/>
        <w:jc w:val="both"/>
        <w:rPr>
          <w:rFonts w:ascii="Abadi" w:hAnsi="Abadi" w:cs="Arial"/>
          <w:sz w:val="21"/>
          <w:szCs w:val="21"/>
          <w:lang w:val="es-MX"/>
        </w:rPr>
      </w:pPr>
    </w:p>
    <w:p w14:paraId="3E06392C" w14:textId="77777777" w:rsidR="00B872A2" w:rsidRPr="00B872A2" w:rsidRDefault="00B872A2" w:rsidP="00875A14">
      <w:pPr>
        <w:widowControl w:val="0"/>
        <w:ind w:firstLine="851"/>
        <w:jc w:val="both"/>
        <w:rPr>
          <w:rFonts w:ascii="Abadi" w:hAnsi="Abadi" w:cs="Arial"/>
          <w:sz w:val="21"/>
          <w:szCs w:val="21"/>
          <w:lang w:val="es-MX"/>
        </w:rPr>
      </w:pPr>
      <w:r w:rsidRPr="00B872A2">
        <w:rPr>
          <w:rFonts w:ascii="Abadi" w:hAnsi="Abadi" w:cs="Arial"/>
          <w:sz w:val="21"/>
          <w:szCs w:val="21"/>
          <w:lang w:val="es-MX"/>
        </w:rPr>
        <w:t xml:space="preserve">Si bien nuestra ley orgánica no define las propuestas de punto de acuerdo, el </w:t>
      </w:r>
      <w:r w:rsidRPr="00B872A2">
        <w:rPr>
          <w:rFonts w:ascii="Abadi" w:hAnsi="Abadi" w:cs="Arial"/>
          <w:i/>
          <w:iCs/>
          <w:sz w:val="21"/>
          <w:szCs w:val="21"/>
          <w:lang w:val="es-MX"/>
        </w:rPr>
        <w:t>Prontuario de términos, prácticas y procedimientos más usados en el trabajo parlamentario</w:t>
      </w:r>
      <w:r w:rsidRPr="00B872A2">
        <w:rPr>
          <w:rFonts w:ascii="Abadi" w:hAnsi="Abadi" w:cs="Arial"/>
          <w:sz w:val="21"/>
          <w:szCs w:val="21"/>
          <w:lang w:val="es-MX"/>
        </w:rPr>
        <w:t>, expedido durante la Sexagésima Cuarta Legislatura de este Congreso, apunta lo que debemos entender por estas:</w:t>
      </w:r>
    </w:p>
    <w:p w14:paraId="0FCC355D" w14:textId="77777777" w:rsidR="00B872A2" w:rsidRPr="00B872A2" w:rsidRDefault="00B872A2" w:rsidP="00875A14">
      <w:pPr>
        <w:widowControl w:val="0"/>
        <w:jc w:val="both"/>
        <w:rPr>
          <w:rFonts w:ascii="Abadi" w:hAnsi="Abadi" w:cs="Arial"/>
          <w:sz w:val="21"/>
          <w:szCs w:val="21"/>
          <w:lang w:val="es-MX"/>
        </w:rPr>
      </w:pPr>
    </w:p>
    <w:p w14:paraId="2827E53D" w14:textId="77777777" w:rsidR="00B872A2" w:rsidRPr="00B872A2" w:rsidRDefault="00B872A2" w:rsidP="00875A14">
      <w:pPr>
        <w:widowControl w:val="0"/>
        <w:ind w:left="851" w:right="851"/>
        <w:jc w:val="both"/>
        <w:rPr>
          <w:rFonts w:ascii="Abadi" w:hAnsi="Abadi" w:cs="Arial"/>
          <w:i/>
          <w:sz w:val="21"/>
          <w:szCs w:val="21"/>
          <w:lang w:val="es-MX" w:eastAsia="en-US"/>
        </w:rPr>
      </w:pPr>
      <w:r w:rsidRPr="00B872A2">
        <w:rPr>
          <w:rFonts w:ascii="Abadi" w:hAnsi="Abadi" w:cs="Arial"/>
          <w:i/>
          <w:sz w:val="21"/>
          <w:szCs w:val="21"/>
          <w:lang w:val="es-MX" w:eastAsia="en-US"/>
        </w:rPr>
        <w:t>Resolución tomada por la mayoría de los legisladores, para establecer la postura política, económica, social o cultural del Congreso en asuntos de interés público que, por su naturaleza, no requieran sanción, promulgación ni publicación (Luna Kan, 2012, p. 3).</w:t>
      </w:r>
    </w:p>
    <w:p w14:paraId="1D920E55" w14:textId="77777777" w:rsidR="00B872A2" w:rsidRPr="00B872A2" w:rsidRDefault="00B872A2" w:rsidP="00875A14">
      <w:pPr>
        <w:widowControl w:val="0"/>
        <w:jc w:val="both"/>
        <w:rPr>
          <w:rFonts w:ascii="Abadi" w:hAnsi="Abadi" w:cs="Arial"/>
          <w:sz w:val="21"/>
          <w:szCs w:val="21"/>
          <w:lang w:val="es-MX"/>
        </w:rPr>
      </w:pPr>
    </w:p>
    <w:p w14:paraId="073C9D10" w14:textId="77777777" w:rsidR="00B872A2" w:rsidRPr="00B872A2" w:rsidRDefault="00B872A2" w:rsidP="00875A14">
      <w:pPr>
        <w:widowControl w:val="0"/>
        <w:ind w:firstLine="851"/>
        <w:jc w:val="both"/>
        <w:rPr>
          <w:rFonts w:ascii="Abadi" w:hAnsi="Abadi" w:cs="Arial"/>
          <w:sz w:val="21"/>
          <w:szCs w:val="21"/>
          <w:lang w:val="es-MX"/>
        </w:rPr>
      </w:pPr>
      <w:r w:rsidRPr="00B872A2">
        <w:rPr>
          <w:rFonts w:ascii="Abadi" w:hAnsi="Abadi" w:cs="Arial"/>
          <w:sz w:val="21"/>
          <w:szCs w:val="21"/>
          <w:lang w:val="es-MX"/>
        </w:rPr>
        <w:t>La propuesta que nos ocupa se centra en hechos ocurridos en noviembre del año 2020, y a través de la misma el iniciante pide lo siguiente:</w:t>
      </w:r>
    </w:p>
    <w:p w14:paraId="3B621B8C" w14:textId="77777777" w:rsidR="00B872A2" w:rsidRPr="00B872A2" w:rsidRDefault="00B872A2" w:rsidP="00875A14">
      <w:pPr>
        <w:widowControl w:val="0"/>
        <w:jc w:val="both"/>
        <w:rPr>
          <w:rFonts w:ascii="Abadi" w:hAnsi="Abadi" w:cs="Arial"/>
          <w:sz w:val="21"/>
          <w:szCs w:val="21"/>
          <w:lang w:val="es-MX"/>
        </w:rPr>
      </w:pPr>
    </w:p>
    <w:p w14:paraId="3DC78E32" w14:textId="77777777" w:rsidR="00B872A2" w:rsidRPr="00B872A2" w:rsidRDefault="00B872A2" w:rsidP="00875A14">
      <w:pPr>
        <w:widowControl w:val="0"/>
        <w:numPr>
          <w:ilvl w:val="0"/>
          <w:numId w:val="42"/>
        </w:numPr>
        <w:ind w:left="1134" w:hanging="283"/>
        <w:jc w:val="both"/>
        <w:rPr>
          <w:rFonts w:ascii="Abadi" w:hAnsi="Abadi" w:cs="Arial"/>
          <w:sz w:val="21"/>
          <w:szCs w:val="21"/>
          <w:lang w:val="es-MX"/>
        </w:rPr>
      </w:pPr>
      <w:r w:rsidRPr="00B872A2">
        <w:rPr>
          <w:rFonts w:ascii="Abadi" w:hAnsi="Abadi" w:cs="Arial"/>
          <w:sz w:val="21"/>
          <w:szCs w:val="21"/>
          <w:lang w:val="es-MX"/>
        </w:rPr>
        <w:t>Que el Poder Judicial del Estado de Guanajuato haga cumplir sus determinaciones y se apegue a la fracción VI del artículo 102 de la Ley Nacional del Sistema Integral de Justicia Penal para Adolescentes.</w:t>
      </w:r>
    </w:p>
    <w:p w14:paraId="2BA6E0D1" w14:textId="77777777" w:rsidR="00B872A2" w:rsidRPr="00B872A2" w:rsidRDefault="00B872A2" w:rsidP="00875A14">
      <w:pPr>
        <w:widowControl w:val="0"/>
        <w:jc w:val="both"/>
        <w:rPr>
          <w:rFonts w:ascii="Abadi" w:hAnsi="Abadi" w:cs="Arial"/>
          <w:sz w:val="21"/>
          <w:szCs w:val="21"/>
          <w:lang w:val="es-MX"/>
        </w:rPr>
      </w:pPr>
    </w:p>
    <w:p w14:paraId="3C0B84CC" w14:textId="77777777" w:rsidR="00B872A2" w:rsidRPr="00B872A2" w:rsidRDefault="00B872A2" w:rsidP="00875A14">
      <w:pPr>
        <w:widowControl w:val="0"/>
        <w:numPr>
          <w:ilvl w:val="0"/>
          <w:numId w:val="42"/>
        </w:numPr>
        <w:ind w:left="1134" w:hanging="283"/>
        <w:jc w:val="both"/>
        <w:rPr>
          <w:rFonts w:ascii="Abadi" w:hAnsi="Abadi" w:cs="Arial"/>
          <w:sz w:val="21"/>
          <w:szCs w:val="21"/>
          <w:lang w:val="es-MX"/>
        </w:rPr>
      </w:pPr>
      <w:r w:rsidRPr="00B872A2">
        <w:rPr>
          <w:rFonts w:ascii="Abadi" w:hAnsi="Abadi" w:cs="Arial"/>
          <w:sz w:val="21"/>
          <w:szCs w:val="21"/>
          <w:lang w:val="es-MX"/>
        </w:rPr>
        <w:t>Que la Fiscalía General del Estado de Guanajuato realice una procuración de justicia efectiva, profesional, con respeto a los derechos humanos -en específico de los adolescentes en conflicto con la ley-, y explique por qué en un primer momento no se avocó a localizar la red familiar de los adolescentes.</w:t>
      </w:r>
    </w:p>
    <w:p w14:paraId="20F25BE8" w14:textId="77777777" w:rsidR="00B872A2" w:rsidRPr="00B872A2" w:rsidRDefault="00B872A2" w:rsidP="00875A14">
      <w:pPr>
        <w:widowControl w:val="0"/>
        <w:jc w:val="both"/>
        <w:rPr>
          <w:rFonts w:ascii="Abadi" w:hAnsi="Abadi" w:cs="Arial"/>
          <w:sz w:val="21"/>
          <w:szCs w:val="21"/>
          <w:lang w:val="es-MX"/>
        </w:rPr>
      </w:pPr>
    </w:p>
    <w:p w14:paraId="0CBC85F0" w14:textId="77777777" w:rsidR="00B872A2" w:rsidRPr="00B872A2" w:rsidRDefault="00B872A2" w:rsidP="00875A14">
      <w:pPr>
        <w:widowControl w:val="0"/>
        <w:numPr>
          <w:ilvl w:val="0"/>
          <w:numId w:val="42"/>
        </w:numPr>
        <w:ind w:left="1134" w:hanging="283"/>
        <w:jc w:val="both"/>
        <w:rPr>
          <w:rFonts w:ascii="Abadi" w:hAnsi="Abadi" w:cs="Arial"/>
          <w:sz w:val="21"/>
          <w:szCs w:val="21"/>
          <w:lang w:val="es-MX"/>
        </w:rPr>
      </w:pPr>
      <w:r w:rsidRPr="00B872A2">
        <w:rPr>
          <w:rFonts w:ascii="Abadi" w:hAnsi="Abadi" w:cs="Arial"/>
          <w:sz w:val="21"/>
          <w:szCs w:val="21"/>
          <w:lang w:val="es-MX"/>
        </w:rPr>
        <w:t>Que el titular del Poder Ejecutivo instruya a la Procuraduría Estatal de Protección de Niñas, Niños y Adolescentes del Estado de Guanajuato a que tome responsabilidades en el caso de los adolescentes vinculados a procesos penales y cuyas causas han sido suspendidas condicionalmente; se esclarezca quién pidió se vulnerara la condición impuesta por un juez al decretarse la suspensión condicional del proceso; se puntualice e informe quién dio la orden para que estos adolescentes fueran retornados a sus familias con desobediencia de una resolución judicial; y se observe el interés superior de la niñez.</w:t>
      </w:r>
    </w:p>
    <w:p w14:paraId="376AF392" w14:textId="77777777" w:rsidR="00B872A2" w:rsidRPr="00B872A2" w:rsidRDefault="00B872A2" w:rsidP="00875A14">
      <w:pPr>
        <w:widowControl w:val="0"/>
        <w:jc w:val="both"/>
        <w:rPr>
          <w:rFonts w:ascii="Abadi" w:hAnsi="Abadi" w:cs="Arial"/>
          <w:sz w:val="21"/>
          <w:szCs w:val="21"/>
          <w:lang w:val="es-MX"/>
        </w:rPr>
      </w:pPr>
    </w:p>
    <w:p w14:paraId="1D0F0866" w14:textId="77777777" w:rsidR="00B872A2" w:rsidRPr="00B872A2" w:rsidRDefault="00B872A2" w:rsidP="00875A14">
      <w:pPr>
        <w:widowControl w:val="0"/>
        <w:ind w:firstLine="851"/>
        <w:jc w:val="both"/>
        <w:rPr>
          <w:rFonts w:ascii="Abadi" w:hAnsi="Abadi" w:cs="Arial"/>
          <w:sz w:val="21"/>
          <w:szCs w:val="21"/>
          <w:lang w:val="es-MX"/>
        </w:rPr>
      </w:pPr>
      <w:r w:rsidRPr="00B872A2">
        <w:rPr>
          <w:rFonts w:ascii="Abadi" w:hAnsi="Abadi" w:cs="Arial"/>
          <w:sz w:val="21"/>
          <w:szCs w:val="21"/>
          <w:lang w:val="es-MX"/>
        </w:rPr>
        <w:t>Como ya hemos anotado, el aprobar un punto de acuerdo implica que se asuma una postura institucional respecto de una determinada materia.</w:t>
      </w:r>
    </w:p>
    <w:p w14:paraId="64C1FB28" w14:textId="77777777" w:rsidR="00B872A2" w:rsidRPr="00B872A2" w:rsidRDefault="00B872A2" w:rsidP="00875A14">
      <w:pPr>
        <w:widowControl w:val="0"/>
        <w:jc w:val="both"/>
        <w:rPr>
          <w:rFonts w:ascii="Abadi" w:hAnsi="Abadi" w:cs="Arial"/>
          <w:sz w:val="21"/>
          <w:szCs w:val="21"/>
          <w:lang w:val="es-MX"/>
        </w:rPr>
      </w:pPr>
    </w:p>
    <w:p w14:paraId="00CD2007" w14:textId="77777777" w:rsidR="00B872A2" w:rsidRPr="00B872A2" w:rsidRDefault="00B872A2" w:rsidP="00875A14">
      <w:pPr>
        <w:widowControl w:val="0"/>
        <w:ind w:firstLine="851"/>
        <w:jc w:val="both"/>
        <w:rPr>
          <w:rFonts w:ascii="Abadi" w:hAnsi="Abadi" w:cs="Arial"/>
          <w:sz w:val="21"/>
          <w:szCs w:val="21"/>
          <w:lang w:val="es-MX"/>
        </w:rPr>
      </w:pPr>
      <w:r w:rsidRPr="00B872A2">
        <w:rPr>
          <w:rFonts w:ascii="Abadi" w:hAnsi="Abadi" w:cs="Arial"/>
          <w:sz w:val="21"/>
          <w:szCs w:val="21"/>
          <w:lang w:val="es-MX"/>
        </w:rPr>
        <w:t>En el caso de la propuesta que se dictamina, implicaría fijar postura respecto de hechos acontecidos en noviembre del año 2020; con lo que, a juicio de quienes integramos esta Comisión Legislativa, ya no se estaría atendiendo a un criterio de oportunidad, por el tiempo que ha transcurrido desde que se suscitaron los acontecimientos.</w:t>
      </w:r>
    </w:p>
    <w:p w14:paraId="58524EA2" w14:textId="77777777" w:rsidR="00B872A2" w:rsidRPr="00B872A2" w:rsidRDefault="00B872A2" w:rsidP="00875A14">
      <w:pPr>
        <w:widowControl w:val="0"/>
        <w:jc w:val="both"/>
        <w:rPr>
          <w:rFonts w:ascii="Abadi" w:hAnsi="Abadi" w:cs="Arial"/>
          <w:sz w:val="21"/>
          <w:szCs w:val="21"/>
          <w:lang w:val="es-MX"/>
        </w:rPr>
      </w:pPr>
    </w:p>
    <w:p w14:paraId="689F8F7E" w14:textId="77777777" w:rsidR="00B872A2" w:rsidRPr="00B872A2" w:rsidRDefault="00B872A2" w:rsidP="00875A14">
      <w:pPr>
        <w:widowControl w:val="0"/>
        <w:ind w:firstLine="851"/>
        <w:jc w:val="both"/>
        <w:rPr>
          <w:rFonts w:ascii="Abadi" w:hAnsi="Abadi" w:cs="Arial"/>
          <w:sz w:val="21"/>
          <w:szCs w:val="21"/>
          <w:lang w:val="es-MX"/>
        </w:rPr>
      </w:pPr>
      <w:r w:rsidRPr="00B872A2">
        <w:rPr>
          <w:rFonts w:ascii="Abadi" w:hAnsi="Abadi" w:cs="Arial"/>
          <w:sz w:val="21"/>
          <w:szCs w:val="21"/>
          <w:lang w:val="es-MX"/>
        </w:rPr>
        <w:t>En virtud de lo anterior, quienes integramos esta comisión legislativa acordamos en la reunión de comisión celebrada el 29 de junio, dictaminar en sentido negativo.</w:t>
      </w:r>
    </w:p>
    <w:p w14:paraId="4C50B6A1" w14:textId="77777777" w:rsidR="00B872A2" w:rsidRPr="00B872A2" w:rsidRDefault="00B872A2" w:rsidP="00875A14">
      <w:pPr>
        <w:widowControl w:val="0"/>
        <w:jc w:val="both"/>
        <w:rPr>
          <w:rFonts w:ascii="Abadi" w:hAnsi="Abadi" w:cs="Arial"/>
          <w:sz w:val="21"/>
          <w:szCs w:val="21"/>
          <w:lang w:val="es-MX"/>
        </w:rPr>
      </w:pPr>
    </w:p>
    <w:p w14:paraId="4F7B20DE" w14:textId="77777777" w:rsidR="00B872A2" w:rsidRPr="00B872A2" w:rsidRDefault="00B872A2" w:rsidP="00875A14">
      <w:pPr>
        <w:widowControl w:val="0"/>
        <w:ind w:firstLine="851"/>
        <w:jc w:val="both"/>
        <w:rPr>
          <w:rFonts w:ascii="Abadi" w:hAnsi="Abadi"/>
          <w:sz w:val="21"/>
          <w:szCs w:val="21"/>
          <w:lang w:val="es-MX"/>
        </w:rPr>
      </w:pPr>
      <w:r w:rsidRPr="00B872A2">
        <w:rPr>
          <w:rFonts w:ascii="Abadi" w:hAnsi="Abadi" w:cs="Arial"/>
          <w:sz w:val="21"/>
          <w:szCs w:val="21"/>
          <w:lang w:val="es-MX"/>
        </w:rPr>
        <w:t xml:space="preserve">En mérito de lo expuesto, sometemos a </w:t>
      </w:r>
      <w:r w:rsidRPr="00B872A2">
        <w:rPr>
          <w:rFonts w:ascii="Abadi" w:hAnsi="Abadi"/>
          <w:sz w:val="21"/>
          <w:szCs w:val="21"/>
          <w:lang w:val="es-MX"/>
        </w:rPr>
        <w:t>consideración de la Asamblea, la aprobación del siguiente:</w:t>
      </w:r>
    </w:p>
    <w:p w14:paraId="41A8D172" w14:textId="77777777" w:rsidR="00B872A2" w:rsidRPr="00B872A2" w:rsidRDefault="00B872A2" w:rsidP="00875A14">
      <w:pPr>
        <w:widowControl w:val="0"/>
        <w:ind w:firstLine="851"/>
        <w:jc w:val="both"/>
        <w:rPr>
          <w:rFonts w:ascii="Abadi" w:hAnsi="Abadi"/>
          <w:sz w:val="21"/>
          <w:szCs w:val="21"/>
          <w:lang w:val="es-MX"/>
        </w:rPr>
      </w:pPr>
    </w:p>
    <w:p w14:paraId="0477D25E" w14:textId="77777777" w:rsidR="00B872A2" w:rsidRPr="00B872A2" w:rsidRDefault="00B872A2" w:rsidP="00875A14">
      <w:pPr>
        <w:widowControl w:val="0"/>
        <w:jc w:val="center"/>
        <w:rPr>
          <w:rFonts w:ascii="Abadi" w:hAnsi="Abadi" w:cs="Arial"/>
          <w:b/>
          <w:sz w:val="21"/>
          <w:szCs w:val="21"/>
          <w:lang w:val="es-MX" w:eastAsia="en-US"/>
        </w:rPr>
      </w:pPr>
      <w:r w:rsidRPr="00B872A2">
        <w:rPr>
          <w:rFonts w:ascii="Abadi" w:hAnsi="Abadi" w:cs="Arial"/>
          <w:b/>
          <w:sz w:val="21"/>
          <w:szCs w:val="21"/>
          <w:lang w:val="es-MX" w:eastAsia="en-US"/>
        </w:rPr>
        <w:t>A C U E R D O</w:t>
      </w:r>
    </w:p>
    <w:p w14:paraId="03CE0C5C" w14:textId="77777777" w:rsidR="00B872A2" w:rsidRPr="00B872A2" w:rsidRDefault="00B872A2" w:rsidP="00875A14">
      <w:pPr>
        <w:widowControl w:val="0"/>
        <w:autoSpaceDE w:val="0"/>
        <w:autoSpaceDN w:val="0"/>
        <w:adjustRightInd w:val="0"/>
        <w:jc w:val="both"/>
        <w:rPr>
          <w:rFonts w:ascii="Abadi" w:hAnsi="Abadi" w:cs="Arial"/>
          <w:sz w:val="21"/>
          <w:szCs w:val="21"/>
          <w:lang w:val="es-MX" w:eastAsia="en-US"/>
        </w:rPr>
      </w:pPr>
    </w:p>
    <w:p w14:paraId="12BCDF58" w14:textId="77777777" w:rsidR="00B872A2" w:rsidRPr="00B872A2" w:rsidRDefault="00B872A2" w:rsidP="00875A14">
      <w:pPr>
        <w:widowControl w:val="0"/>
        <w:ind w:right="-1" w:firstLine="851"/>
        <w:jc w:val="both"/>
        <w:rPr>
          <w:rFonts w:ascii="Abadi" w:hAnsi="Abadi"/>
          <w:sz w:val="21"/>
          <w:szCs w:val="21"/>
          <w:lang w:val="es-MX" w:eastAsia="en-US"/>
        </w:rPr>
      </w:pPr>
      <w:r w:rsidRPr="00B872A2">
        <w:rPr>
          <w:rFonts w:ascii="Abadi" w:hAnsi="Abadi"/>
          <w:b/>
          <w:sz w:val="21"/>
          <w:szCs w:val="21"/>
          <w:lang w:val="es-MX" w:eastAsia="en-US"/>
        </w:rPr>
        <w:t>Único.</w:t>
      </w:r>
      <w:r w:rsidRPr="00B872A2">
        <w:rPr>
          <w:rFonts w:ascii="Abadi" w:hAnsi="Abadi"/>
          <w:sz w:val="21"/>
          <w:szCs w:val="21"/>
          <w:lang w:val="es-MX" w:eastAsia="en-US"/>
        </w:rPr>
        <w:t xml:space="preserve"> No resulta procedente la p</w:t>
      </w:r>
      <w:r w:rsidRPr="00B872A2">
        <w:rPr>
          <w:rFonts w:ascii="Abadi" w:hAnsi="Abadi" w:cs="Arial"/>
          <w:sz w:val="21"/>
          <w:szCs w:val="21"/>
          <w:lang w:val="es-MX" w:eastAsia="en-US"/>
        </w:rPr>
        <w:t>ropuesta de punto de acuerdo suscrita por el diputado Ernesto Alejandro Prieto Gallardo integrante del Grupo Parlamentario del Partido Morena, en la Sexagésima Cuarta Legislatura, a efecto de exhortar al Gobernador Constitucional del Estado de Guanajuato el C. DIEGO SINHUE RODRÍGUEZ VALLEJO a fin de que, en el ámbito de sus facultades dé instrucciones a la Procuraduría de Protección de Niñas, Niños y Adolescentes del Estado de Guanajuato a observar el interés superior de la niñez; al PODER JUDICIAL DEL ESTADO DE GUANAJUATO a fin de que cumpla con el artículo 102 fracción VI de la Ley Nacional del Sistema Integral de Justicia Penal para Adolescentes; y al Fiscal General del Estado de Guanajuato, CARLOS ZAMARRIPA AGUIRRE, para la pronta procuración de justicia. Todo lo anterior respecto a los menores de edad que se encontraban en el Instituto Transformacional PRINUVI en Irapuato, Guanajuato y que ilegalmente se les regresó a sus hogares, con sus padres, yendo contra la suspensión condicional del proceso</w:t>
      </w:r>
      <w:r w:rsidRPr="00B872A2">
        <w:rPr>
          <w:rFonts w:ascii="Abadi" w:hAnsi="Abadi"/>
          <w:sz w:val="21"/>
          <w:szCs w:val="21"/>
          <w:lang w:val="es-MX" w:eastAsia="en-US"/>
        </w:rPr>
        <w:t>.</w:t>
      </w:r>
    </w:p>
    <w:p w14:paraId="72D0F61A" w14:textId="77777777" w:rsidR="00B872A2" w:rsidRPr="00B872A2" w:rsidRDefault="00B872A2" w:rsidP="00875A14">
      <w:pPr>
        <w:widowControl w:val="0"/>
        <w:ind w:right="-1"/>
        <w:jc w:val="both"/>
        <w:rPr>
          <w:rFonts w:ascii="Abadi" w:hAnsi="Abadi"/>
          <w:sz w:val="21"/>
          <w:szCs w:val="21"/>
          <w:lang w:val="es-MX" w:eastAsia="en-US"/>
        </w:rPr>
      </w:pPr>
    </w:p>
    <w:p w14:paraId="557E3A0E" w14:textId="77777777" w:rsidR="00B872A2" w:rsidRPr="00B872A2" w:rsidRDefault="00B872A2" w:rsidP="00875A14">
      <w:pPr>
        <w:widowControl w:val="0"/>
        <w:ind w:right="-1" w:firstLine="851"/>
        <w:jc w:val="both"/>
        <w:rPr>
          <w:rFonts w:ascii="Abadi" w:hAnsi="Abadi"/>
          <w:sz w:val="21"/>
          <w:szCs w:val="21"/>
          <w:lang w:val="es-MX" w:eastAsia="en-US"/>
        </w:rPr>
      </w:pPr>
      <w:r w:rsidRPr="00B872A2">
        <w:rPr>
          <w:rFonts w:ascii="Abadi" w:hAnsi="Abadi"/>
          <w:sz w:val="21"/>
          <w:szCs w:val="21"/>
          <w:lang w:val="es-MX" w:eastAsia="en-US"/>
        </w:rPr>
        <w:t>En consecuencia, se ordena el archivo definitivo de la propuesta.</w:t>
      </w:r>
    </w:p>
    <w:p w14:paraId="6686199A" w14:textId="77777777" w:rsidR="00B872A2" w:rsidRPr="00B872A2" w:rsidRDefault="00B872A2" w:rsidP="00875A14">
      <w:pPr>
        <w:widowControl w:val="0"/>
        <w:ind w:right="-1"/>
        <w:jc w:val="both"/>
        <w:rPr>
          <w:rFonts w:ascii="Abadi" w:hAnsi="Abadi"/>
          <w:sz w:val="21"/>
          <w:szCs w:val="21"/>
          <w:lang w:val="es-MX" w:eastAsia="en-US"/>
        </w:rPr>
      </w:pPr>
    </w:p>
    <w:p w14:paraId="41912613" w14:textId="77777777" w:rsidR="00B872A2" w:rsidRPr="00B872A2" w:rsidRDefault="00B872A2" w:rsidP="00875A14">
      <w:pPr>
        <w:widowControl w:val="0"/>
        <w:jc w:val="center"/>
        <w:rPr>
          <w:rFonts w:ascii="Abadi" w:eastAsia="Arial Unicode MS" w:hAnsi="Abadi" w:cs="Arial"/>
          <w:b/>
          <w:iCs/>
          <w:sz w:val="21"/>
          <w:szCs w:val="21"/>
          <w:lang w:val="es-MX" w:eastAsia="en-US"/>
        </w:rPr>
      </w:pPr>
      <w:r w:rsidRPr="00B872A2">
        <w:rPr>
          <w:rFonts w:ascii="Abadi" w:eastAsia="Arial Unicode MS" w:hAnsi="Abadi" w:cs="Arial"/>
          <w:b/>
          <w:iCs/>
          <w:sz w:val="21"/>
          <w:szCs w:val="21"/>
          <w:lang w:val="es-MX" w:eastAsia="en-US"/>
        </w:rPr>
        <w:t>Guanajuato, Gto., 19 de julio de 2022</w:t>
      </w:r>
    </w:p>
    <w:p w14:paraId="786E8DC7" w14:textId="77777777" w:rsidR="00B872A2" w:rsidRPr="00B872A2" w:rsidRDefault="00B872A2" w:rsidP="00875A14">
      <w:pPr>
        <w:widowControl w:val="0"/>
        <w:jc w:val="center"/>
        <w:rPr>
          <w:rFonts w:ascii="Abadi" w:eastAsia="Calibri" w:hAnsi="Abadi"/>
          <w:b/>
          <w:sz w:val="21"/>
          <w:szCs w:val="21"/>
          <w:lang w:val="es-MX" w:eastAsia="en-US"/>
        </w:rPr>
      </w:pPr>
      <w:r w:rsidRPr="00B872A2">
        <w:rPr>
          <w:rFonts w:ascii="Abadi" w:eastAsia="Calibri" w:hAnsi="Abadi"/>
          <w:b/>
          <w:sz w:val="21"/>
          <w:szCs w:val="21"/>
          <w:lang w:val="es-MX" w:eastAsia="en-US"/>
        </w:rPr>
        <w:t>La Comisión de Derechos Humanos y Atención a Grupos Vulnerables</w:t>
      </w:r>
    </w:p>
    <w:p w14:paraId="4441F431" w14:textId="77777777" w:rsidR="00B872A2" w:rsidRPr="00B872A2" w:rsidRDefault="00B872A2" w:rsidP="00875A14">
      <w:pPr>
        <w:widowControl w:val="0"/>
        <w:jc w:val="center"/>
        <w:rPr>
          <w:rFonts w:ascii="Abadi" w:hAnsi="Abadi" w:cs="Arial"/>
          <w:b/>
          <w:bCs/>
          <w:sz w:val="21"/>
          <w:szCs w:val="21"/>
          <w:lang w:val="es-MX" w:eastAsia="en-US"/>
        </w:rPr>
      </w:pPr>
    </w:p>
    <w:p w14:paraId="306A3E06" w14:textId="77777777" w:rsidR="00B872A2" w:rsidRPr="00B872A2" w:rsidRDefault="00B872A2" w:rsidP="00875A14">
      <w:pPr>
        <w:widowControl w:val="0"/>
        <w:jc w:val="center"/>
        <w:rPr>
          <w:rFonts w:ascii="Abadi" w:hAnsi="Abadi" w:cs="Arial"/>
          <w:b/>
          <w:bCs/>
          <w:sz w:val="21"/>
          <w:szCs w:val="21"/>
          <w:lang w:val="es-MX" w:eastAsia="en-US"/>
        </w:rPr>
      </w:pPr>
      <w:r w:rsidRPr="00B872A2">
        <w:rPr>
          <w:rFonts w:ascii="Abadi" w:hAnsi="Abadi" w:cs="Arial"/>
          <w:b/>
          <w:bCs/>
          <w:sz w:val="21"/>
          <w:szCs w:val="21"/>
          <w:lang w:val="es-MX" w:eastAsia="en-US"/>
        </w:rPr>
        <w:t>Diputado David Martínez Mendizábal</w:t>
      </w:r>
    </w:p>
    <w:p w14:paraId="76DA269F" w14:textId="77777777" w:rsidR="00B872A2" w:rsidRPr="00B872A2" w:rsidRDefault="00B872A2" w:rsidP="00875A14">
      <w:pPr>
        <w:widowControl w:val="0"/>
        <w:jc w:val="center"/>
        <w:rPr>
          <w:rFonts w:ascii="Abadi" w:hAnsi="Abadi" w:cs="Arial"/>
          <w:b/>
          <w:bCs/>
          <w:sz w:val="21"/>
          <w:szCs w:val="21"/>
          <w:lang w:val="es-MX" w:eastAsia="en-US"/>
        </w:rPr>
      </w:pPr>
    </w:p>
    <w:p w14:paraId="2A0895AD" w14:textId="77777777" w:rsidR="00B872A2" w:rsidRPr="00B872A2" w:rsidRDefault="00B872A2" w:rsidP="00875A14">
      <w:pPr>
        <w:widowControl w:val="0"/>
        <w:jc w:val="center"/>
        <w:rPr>
          <w:rFonts w:ascii="Abadi" w:hAnsi="Abadi" w:cs="Arial"/>
          <w:b/>
          <w:bCs/>
          <w:sz w:val="21"/>
          <w:szCs w:val="21"/>
          <w:lang w:val="es-MX" w:eastAsia="en-US"/>
        </w:rPr>
      </w:pPr>
      <w:r w:rsidRPr="00B872A2">
        <w:rPr>
          <w:rFonts w:ascii="Abadi" w:hAnsi="Abadi" w:cs="Arial"/>
          <w:b/>
          <w:bCs/>
          <w:sz w:val="21"/>
          <w:szCs w:val="21"/>
          <w:lang w:val="es-MX" w:eastAsia="en-US"/>
        </w:rPr>
        <w:t>Diputada Janet Melanie Murillo Chávez</w:t>
      </w:r>
    </w:p>
    <w:p w14:paraId="2662E7B0" w14:textId="77777777" w:rsidR="00B872A2" w:rsidRPr="00B872A2" w:rsidRDefault="00B872A2" w:rsidP="00875A14">
      <w:pPr>
        <w:widowControl w:val="0"/>
        <w:jc w:val="center"/>
        <w:rPr>
          <w:rFonts w:ascii="Abadi" w:hAnsi="Abadi" w:cs="Arial"/>
          <w:b/>
          <w:bCs/>
          <w:sz w:val="21"/>
          <w:szCs w:val="21"/>
          <w:lang w:val="es-MX" w:eastAsia="en-US"/>
        </w:rPr>
      </w:pPr>
    </w:p>
    <w:p w14:paraId="3B5F1C9C" w14:textId="77777777" w:rsidR="00B872A2" w:rsidRPr="00B872A2" w:rsidRDefault="00B872A2" w:rsidP="00875A14">
      <w:pPr>
        <w:widowControl w:val="0"/>
        <w:jc w:val="center"/>
        <w:rPr>
          <w:rFonts w:ascii="Abadi" w:hAnsi="Abadi" w:cs="Arial"/>
          <w:b/>
          <w:bCs/>
          <w:sz w:val="21"/>
          <w:szCs w:val="21"/>
          <w:lang w:val="es-MX" w:eastAsia="en-US"/>
        </w:rPr>
      </w:pPr>
      <w:r w:rsidRPr="00B872A2">
        <w:rPr>
          <w:rFonts w:ascii="Abadi" w:hAnsi="Abadi" w:cs="Arial"/>
          <w:b/>
          <w:bCs/>
          <w:sz w:val="21"/>
          <w:szCs w:val="21"/>
          <w:lang w:val="es-MX" w:eastAsia="en-US"/>
        </w:rPr>
        <w:t>Diputado Gustavo Adolfo Alfaro Reyes</w:t>
      </w:r>
    </w:p>
    <w:p w14:paraId="4AD96610" w14:textId="77777777" w:rsidR="00B872A2" w:rsidRPr="00B872A2" w:rsidRDefault="00B872A2" w:rsidP="00875A14">
      <w:pPr>
        <w:widowControl w:val="0"/>
        <w:jc w:val="center"/>
        <w:rPr>
          <w:rFonts w:ascii="Abadi" w:hAnsi="Abadi" w:cs="Arial"/>
          <w:b/>
          <w:bCs/>
          <w:sz w:val="21"/>
          <w:szCs w:val="21"/>
          <w:lang w:val="es-MX" w:eastAsia="en-US"/>
        </w:rPr>
      </w:pPr>
    </w:p>
    <w:p w14:paraId="112D420A" w14:textId="77777777" w:rsidR="00B872A2" w:rsidRPr="00B872A2" w:rsidRDefault="00B872A2" w:rsidP="00875A14">
      <w:pPr>
        <w:widowControl w:val="0"/>
        <w:jc w:val="center"/>
        <w:rPr>
          <w:rFonts w:ascii="Abadi" w:hAnsi="Abadi" w:cs="Arial"/>
          <w:b/>
          <w:bCs/>
          <w:sz w:val="21"/>
          <w:szCs w:val="21"/>
          <w:lang w:val="es-MX" w:eastAsia="en-US"/>
        </w:rPr>
      </w:pPr>
      <w:r w:rsidRPr="00B872A2">
        <w:rPr>
          <w:rFonts w:ascii="Abadi" w:hAnsi="Abadi" w:cs="Arial"/>
          <w:b/>
          <w:bCs/>
          <w:sz w:val="21"/>
          <w:szCs w:val="21"/>
          <w:lang w:val="es-MX" w:eastAsia="en-US"/>
        </w:rPr>
        <w:t>Diputada Briseida Anabel Magdaleno González</w:t>
      </w:r>
    </w:p>
    <w:p w14:paraId="104B4563" w14:textId="77777777" w:rsidR="00B872A2" w:rsidRPr="00B872A2" w:rsidRDefault="00B872A2" w:rsidP="00875A14">
      <w:pPr>
        <w:widowControl w:val="0"/>
        <w:jc w:val="center"/>
        <w:rPr>
          <w:rFonts w:ascii="Abadi" w:hAnsi="Abadi" w:cs="Arial"/>
          <w:b/>
          <w:bCs/>
          <w:sz w:val="21"/>
          <w:szCs w:val="21"/>
          <w:lang w:val="es-MX" w:eastAsia="en-US"/>
        </w:rPr>
      </w:pPr>
    </w:p>
    <w:p w14:paraId="32B1B2F1" w14:textId="4C417FEE" w:rsidR="00B872A2" w:rsidRDefault="00B872A2" w:rsidP="00875A14">
      <w:pPr>
        <w:widowControl w:val="0"/>
        <w:jc w:val="center"/>
        <w:rPr>
          <w:rFonts w:ascii="Abadi" w:hAnsi="Abadi" w:cs="Arial"/>
          <w:b/>
          <w:bCs/>
          <w:sz w:val="21"/>
          <w:szCs w:val="21"/>
          <w:lang w:val="es-MX" w:eastAsia="en-US"/>
        </w:rPr>
      </w:pPr>
      <w:r w:rsidRPr="00B872A2">
        <w:rPr>
          <w:rFonts w:ascii="Abadi" w:hAnsi="Abadi" w:cs="Arial"/>
          <w:b/>
          <w:bCs/>
          <w:sz w:val="21"/>
          <w:szCs w:val="21"/>
          <w:lang w:val="es-MX" w:eastAsia="en-US"/>
        </w:rPr>
        <w:t>Diputada Katya Cristina Soto Escamilla</w:t>
      </w:r>
    </w:p>
    <w:p w14:paraId="07D5B3F7" w14:textId="2C65D0CA" w:rsidR="00984331" w:rsidRDefault="00984331" w:rsidP="00875A14">
      <w:pPr>
        <w:widowControl w:val="0"/>
        <w:jc w:val="center"/>
        <w:rPr>
          <w:rFonts w:ascii="Abadi" w:hAnsi="Abadi" w:cs="Arial"/>
          <w:b/>
          <w:bCs/>
          <w:sz w:val="21"/>
          <w:szCs w:val="21"/>
          <w:lang w:val="es-MX" w:eastAsia="en-US"/>
        </w:rPr>
      </w:pPr>
    </w:p>
    <w:p w14:paraId="58AD5094" w14:textId="20F5DF79" w:rsidR="003420E1" w:rsidRDefault="003420E1" w:rsidP="00875A14">
      <w:pPr>
        <w:widowControl w:val="0"/>
        <w:jc w:val="center"/>
        <w:rPr>
          <w:rFonts w:ascii="Abadi" w:hAnsi="Abadi" w:cs="Arial"/>
          <w:b/>
          <w:bCs/>
          <w:sz w:val="21"/>
          <w:szCs w:val="21"/>
          <w:lang w:val="es-MX" w:eastAsia="en-US"/>
        </w:rPr>
      </w:pPr>
    </w:p>
    <w:p w14:paraId="138ADE0E" w14:textId="5175824C" w:rsidR="00641A26" w:rsidRDefault="00641A26" w:rsidP="00875A14">
      <w:pPr>
        <w:widowControl w:val="0"/>
        <w:jc w:val="center"/>
        <w:rPr>
          <w:rFonts w:ascii="Abadi" w:hAnsi="Abadi" w:cs="Arial"/>
          <w:b/>
          <w:bCs/>
          <w:sz w:val="21"/>
          <w:szCs w:val="21"/>
          <w:lang w:val="es-MX" w:eastAsia="en-US"/>
        </w:rPr>
      </w:pPr>
    </w:p>
    <w:p w14:paraId="3FD2ACFA" w14:textId="66360BFB" w:rsidR="00641A26" w:rsidRDefault="00641A26" w:rsidP="00641A26">
      <w:pPr>
        <w:ind w:firstLine="708"/>
        <w:jc w:val="both"/>
        <w:rPr>
          <w:rFonts w:ascii="Abadi" w:hAnsi="Abadi"/>
          <w:sz w:val="21"/>
          <w:szCs w:val="21"/>
        </w:rPr>
      </w:pPr>
      <w:r w:rsidRPr="00D64372">
        <w:rPr>
          <w:rFonts w:ascii="Abadi" w:hAnsi="Abadi"/>
          <w:b/>
          <w:bCs/>
          <w:sz w:val="21"/>
          <w:szCs w:val="21"/>
        </w:rPr>
        <w:t>- El Presidente.-</w:t>
      </w:r>
      <w:r>
        <w:rPr>
          <w:rFonts w:ascii="Abadi" w:hAnsi="Abadi"/>
          <w:sz w:val="21"/>
          <w:szCs w:val="21"/>
        </w:rPr>
        <w:t xml:space="preserve"> S</w:t>
      </w:r>
      <w:r w:rsidRPr="006813AA">
        <w:rPr>
          <w:rFonts w:ascii="Abadi" w:hAnsi="Abadi"/>
          <w:sz w:val="21"/>
          <w:szCs w:val="21"/>
        </w:rPr>
        <w:t xml:space="preserve">e somete a discusión el dictamen formulado por la </w:t>
      </w:r>
      <w:r>
        <w:rPr>
          <w:rFonts w:ascii="Abadi" w:hAnsi="Abadi"/>
          <w:sz w:val="21"/>
          <w:szCs w:val="21"/>
        </w:rPr>
        <w:t>C</w:t>
      </w:r>
      <w:r w:rsidRPr="006813AA">
        <w:rPr>
          <w:rFonts w:ascii="Abadi" w:hAnsi="Abadi"/>
          <w:sz w:val="21"/>
          <w:szCs w:val="21"/>
        </w:rPr>
        <w:t xml:space="preserve">omisión de </w:t>
      </w:r>
      <w:r>
        <w:rPr>
          <w:rFonts w:ascii="Abadi" w:hAnsi="Abadi"/>
          <w:sz w:val="21"/>
          <w:szCs w:val="21"/>
        </w:rPr>
        <w:t>D</w:t>
      </w:r>
      <w:r w:rsidRPr="006813AA">
        <w:rPr>
          <w:rFonts w:ascii="Abadi" w:hAnsi="Abadi"/>
          <w:sz w:val="21"/>
          <w:szCs w:val="21"/>
        </w:rPr>
        <w:t xml:space="preserve">erechos </w:t>
      </w:r>
      <w:r>
        <w:rPr>
          <w:rFonts w:ascii="Abadi" w:hAnsi="Abadi"/>
          <w:sz w:val="21"/>
          <w:szCs w:val="21"/>
        </w:rPr>
        <w:t>H</w:t>
      </w:r>
      <w:r w:rsidRPr="006813AA">
        <w:rPr>
          <w:rFonts w:ascii="Abadi" w:hAnsi="Abadi"/>
          <w:sz w:val="21"/>
          <w:szCs w:val="21"/>
        </w:rPr>
        <w:t xml:space="preserve">umanos y </w:t>
      </w:r>
      <w:r>
        <w:rPr>
          <w:rFonts w:ascii="Abadi" w:hAnsi="Abadi"/>
          <w:sz w:val="21"/>
          <w:szCs w:val="21"/>
        </w:rPr>
        <w:t>A</w:t>
      </w:r>
      <w:r w:rsidRPr="006813AA">
        <w:rPr>
          <w:rFonts w:ascii="Abadi" w:hAnsi="Abadi"/>
          <w:sz w:val="21"/>
          <w:szCs w:val="21"/>
        </w:rPr>
        <w:t xml:space="preserve">tención a </w:t>
      </w:r>
      <w:r>
        <w:rPr>
          <w:rFonts w:ascii="Abadi" w:hAnsi="Abadi"/>
          <w:sz w:val="21"/>
          <w:szCs w:val="21"/>
        </w:rPr>
        <w:t>G</w:t>
      </w:r>
      <w:r w:rsidRPr="006813AA">
        <w:rPr>
          <w:rFonts w:ascii="Abadi" w:hAnsi="Abadi"/>
          <w:sz w:val="21"/>
          <w:szCs w:val="21"/>
        </w:rPr>
        <w:t xml:space="preserve">rupos </w:t>
      </w:r>
      <w:r>
        <w:rPr>
          <w:rFonts w:ascii="Abadi" w:hAnsi="Abadi"/>
          <w:sz w:val="21"/>
          <w:szCs w:val="21"/>
        </w:rPr>
        <w:t>V</w:t>
      </w:r>
      <w:r w:rsidRPr="006813AA">
        <w:rPr>
          <w:rFonts w:ascii="Abadi" w:hAnsi="Abadi"/>
          <w:sz w:val="21"/>
          <w:szCs w:val="21"/>
        </w:rPr>
        <w:t>ulnerables correspondiente al punto 22 de nuestra orden del día</w:t>
      </w:r>
      <w:r>
        <w:rPr>
          <w:rFonts w:ascii="Abadi" w:hAnsi="Abadi"/>
          <w:sz w:val="21"/>
          <w:szCs w:val="21"/>
        </w:rPr>
        <w:t>.</w:t>
      </w:r>
    </w:p>
    <w:p w14:paraId="427681F0" w14:textId="77777777" w:rsidR="00641A26" w:rsidRDefault="00641A26" w:rsidP="00641A26">
      <w:pPr>
        <w:ind w:firstLine="708"/>
        <w:jc w:val="both"/>
        <w:rPr>
          <w:rFonts w:ascii="Abadi" w:hAnsi="Abadi"/>
          <w:sz w:val="21"/>
          <w:szCs w:val="21"/>
        </w:rPr>
      </w:pPr>
    </w:p>
    <w:p w14:paraId="1042C2FF" w14:textId="5763A14A" w:rsidR="00641A26" w:rsidRDefault="00641A26" w:rsidP="00641A26">
      <w:pPr>
        <w:ind w:firstLine="708"/>
        <w:jc w:val="both"/>
        <w:rPr>
          <w:rFonts w:ascii="Abadi" w:hAnsi="Abadi"/>
          <w:sz w:val="21"/>
          <w:szCs w:val="21"/>
        </w:rPr>
      </w:pPr>
      <w:r>
        <w:rPr>
          <w:rFonts w:ascii="Abadi" w:hAnsi="Abadi"/>
          <w:sz w:val="21"/>
          <w:szCs w:val="21"/>
        </w:rPr>
        <w:t>- S</w:t>
      </w:r>
      <w:r w:rsidRPr="006813AA">
        <w:rPr>
          <w:rFonts w:ascii="Abadi" w:hAnsi="Abadi"/>
          <w:sz w:val="21"/>
          <w:szCs w:val="21"/>
        </w:rPr>
        <w:t xml:space="preserve">i alguna diputada o </w:t>
      </w:r>
      <w:r>
        <w:rPr>
          <w:rFonts w:ascii="Abadi" w:hAnsi="Abadi"/>
          <w:sz w:val="21"/>
          <w:szCs w:val="21"/>
        </w:rPr>
        <w:t xml:space="preserve">algún </w:t>
      </w:r>
      <w:r w:rsidRPr="006813AA">
        <w:rPr>
          <w:rFonts w:ascii="Abadi" w:hAnsi="Abadi"/>
          <w:sz w:val="21"/>
          <w:szCs w:val="21"/>
        </w:rPr>
        <w:t>diputado de</w:t>
      </w:r>
      <w:r>
        <w:rPr>
          <w:rFonts w:ascii="Abadi" w:hAnsi="Abadi"/>
          <w:sz w:val="21"/>
          <w:szCs w:val="21"/>
        </w:rPr>
        <w:t>sea hacer u</w:t>
      </w:r>
      <w:r w:rsidRPr="006813AA">
        <w:rPr>
          <w:rFonts w:ascii="Abadi" w:hAnsi="Abadi"/>
          <w:sz w:val="21"/>
          <w:szCs w:val="21"/>
        </w:rPr>
        <w:t>so de la palabra en pro o en contra manifiésten</w:t>
      </w:r>
      <w:r>
        <w:rPr>
          <w:rFonts w:ascii="Abadi" w:hAnsi="Abadi"/>
          <w:sz w:val="21"/>
          <w:szCs w:val="21"/>
        </w:rPr>
        <w:t xml:space="preserve">lo </w:t>
      </w:r>
      <w:r w:rsidRPr="006813AA">
        <w:rPr>
          <w:rFonts w:ascii="Abadi" w:hAnsi="Abadi"/>
          <w:sz w:val="21"/>
          <w:szCs w:val="21"/>
        </w:rPr>
        <w:t>indicando el sentido de su participación</w:t>
      </w:r>
      <w:r>
        <w:rPr>
          <w:rFonts w:ascii="Abadi" w:hAnsi="Abadi"/>
          <w:sz w:val="21"/>
          <w:szCs w:val="21"/>
        </w:rPr>
        <w:t>.</w:t>
      </w:r>
    </w:p>
    <w:p w14:paraId="242F6A34" w14:textId="77777777" w:rsidR="00641A26" w:rsidRDefault="00641A26" w:rsidP="00641A26">
      <w:pPr>
        <w:ind w:firstLine="708"/>
        <w:jc w:val="both"/>
        <w:rPr>
          <w:rFonts w:ascii="Abadi" w:hAnsi="Abadi"/>
          <w:sz w:val="21"/>
          <w:szCs w:val="21"/>
        </w:rPr>
      </w:pPr>
    </w:p>
    <w:p w14:paraId="6C3F71BF" w14:textId="4A0A09F5" w:rsidR="00641A26" w:rsidRDefault="00641A26" w:rsidP="00641A26">
      <w:pPr>
        <w:ind w:firstLine="708"/>
        <w:jc w:val="both"/>
        <w:rPr>
          <w:rFonts w:ascii="Abadi" w:hAnsi="Abadi"/>
          <w:sz w:val="21"/>
          <w:szCs w:val="21"/>
        </w:rPr>
      </w:pPr>
      <w:r>
        <w:rPr>
          <w:rFonts w:ascii="Abadi" w:hAnsi="Abadi"/>
          <w:sz w:val="21"/>
          <w:szCs w:val="21"/>
        </w:rPr>
        <w:t>- N</w:t>
      </w:r>
      <w:r w:rsidRPr="006813AA">
        <w:rPr>
          <w:rFonts w:ascii="Abadi" w:hAnsi="Abadi"/>
          <w:sz w:val="21"/>
          <w:szCs w:val="21"/>
        </w:rPr>
        <w:t xml:space="preserve">o habiendo participaciones y </w:t>
      </w:r>
      <w:r>
        <w:rPr>
          <w:rFonts w:ascii="Abadi" w:hAnsi="Abadi"/>
          <w:sz w:val="21"/>
          <w:szCs w:val="21"/>
        </w:rPr>
        <w:t xml:space="preserve">se pide a </w:t>
      </w:r>
      <w:r w:rsidRPr="006813AA">
        <w:rPr>
          <w:rFonts w:ascii="Abadi" w:hAnsi="Abadi"/>
          <w:sz w:val="21"/>
          <w:szCs w:val="21"/>
        </w:rPr>
        <w:t xml:space="preserve">la </w:t>
      </w:r>
      <w:r>
        <w:rPr>
          <w:rFonts w:ascii="Abadi" w:hAnsi="Abadi"/>
          <w:sz w:val="21"/>
          <w:szCs w:val="21"/>
        </w:rPr>
        <w:t>S</w:t>
      </w:r>
      <w:r w:rsidRPr="006813AA">
        <w:rPr>
          <w:rFonts w:ascii="Abadi" w:hAnsi="Abadi"/>
          <w:sz w:val="21"/>
          <w:szCs w:val="21"/>
        </w:rPr>
        <w:t xml:space="preserve">ecretaría que </w:t>
      </w:r>
      <w:r>
        <w:rPr>
          <w:rFonts w:ascii="Abadi" w:hAnsi="Abadi"/>
          <w:sz w:val="21"/>
          <w:szCs w:val="21"/>
        </w:rPr>
        <w:t>p</w:t>
      </w:r>
      <w:r w:rsidRPr="006813AA">
        <w:rPr>
          <w:rFonts w:ascii="Abadi" w:hAnsi="Abadi"/>
          <w:sz w:val="21"/>
          <w:szCs w:val="21"/>
        </w:rPr>
        <w:t xml:space="preserve">roceda a recabar votación nominal de la </w:t>
      </w:r>
      <w:r>
        <w:rPr>
          <w:rFonts w:ascii="Abadi" w:hAnsi="Abadi"/>
          <w:sz w:val="21"/>
          <w:szCs w:val="21"/>
        </w:rPr>
        <w:t>A</w:t>
      </w:r>
      <w:r w:rsidRPr="006813AA">
        <w:rPr>
          <w:rFonts w:ascii="Abadi" w:hAnsi="Abadi"/>
          <w:sz w:val="21"/>
          <w:szCs w:val="21"/>
        </w:rPr>
        <w:t>samblea a través de nuestro sistema electrónico a efecto de aprobar o no el dictamen puesto a su consideración</w:t>
      </w:r>
      <w:r>
        <w:rPr>
          <w:rFonts w:ascii="Abadi" w:hAnsi="Abadi"/>
          <w:sz w:val="21"/>
          <w:szCs w:val="21"/>
        </w:rPr>
        <w:t>.</w:t>
      </w:r>
    </w:p>
    <w:p w14:paraId="7E2CD743" w14:textId="77777777" w:rsidR="00641A26" w:rsidRDefault="00641A26" w:rsidP="00641A26">
      <w:pPr>
        <w:ind w:firstLine="708"/>
        <w:jc w:val="both"/>
        <w:rPr>
          <w:rFonts w:ascii="Abadi" w:hAnsi="Abadi"/>
          <w:sz w:val="21"/>
          <w:szCs w:val="21"/>
        </w:rPr>
      </w:pPr>
    </w:p>
    <w:p w14:paraId="58FBA6AB" w14:textId="194B2EB0" w:rsidR="00641A26" w:rsidRDefault="00641A26" w:rsidP="00641A26">
      <w:pPr>
        <w:jc w:val="both"/>
        <w:rPr>
          <w:rFonts w:ascii="Abadi" w:hAnsi="Abadi"/>
          <w:b/>
          <w:bCs/>
          <w:sz w:val="21"/>
          <w:szCs w:val="21"/>
        </w:rPr>
      </w:pPr>
      <w:r w:rsidRPr="000025C3">
        <w:rPr>
          <w:rFonts w:ascii="Abadi" w:hAnsi="Abadi"/>
          <w:b/>
          <w:bCs/>
          <w:sz w:val="21"/>
          <w:szCs w:val="21"/>
        </w:rPr>
        <w:t>(Abrimos nuestro sistema electrónico)</w:t>
      </w:r>
    </w:p>
    <w:p w14:paraId="744AC776" w14:textId="77777777" w:rsidR="00641A26" w:rsidRPr="000025C3" w:rsidRDefault="00641A26" w:rsidP="00641A26">
      <w:pPr>
        <w:jc w:val="both"/>
        <w:rPr>
          <w:rFonts w:ascii="Abadi" w:hAnsi="Abadi"/>
          <w:b/>
          <w:bCs/>
          <w:sz w:val="21"/>
          <w:szCs w:val="21"/>
        </w:rPr>
      </w:pPr>
    </w:p>
    <w:p w14:paraId="4935D8BE" w14:textId="73D2FC8A" w:rsidR="00641A26" w:rsidRDefault="00641A26" w:rsidP="00641A26">
      <w:pPr>
        <w:ind w:firstLine="708"/>
        <w:jc w:val="both"/>
        <w:rPr>
          <w:rFonts w:ascii="Abadi" w:hAnsi="Abadi"/>
          <w:sz w:val="21"/>
          <w:szCs w:val="21"/>
        </w:rPr>
      </w:pPr>
      <w:r w:rsidRPr="000025C3">
        <w:rPr>
          <w:rFonts w:ascii="Abadi" w:hAnsi="Abadi"/>
          <w:b/>
          <w:bCs/>
          <w:sz w:val="21"/>
          <w:szCs w:val="21"/>
        </w:rPr>
        <w:t>- El Secretario.-</w:t>
      </w:r>
      <w:r>
        <w:rPr>
          <w:rFonts w:ascii="Abadi" w:hAnsi="Abadi"/>
          <w:sz w:val="21"/>
          <w:szCs w:val="21"/>
        </w:rPr>
        <w:t xml:space="preserve"> E</w:t>
      </w:r>
      <w:r w:rsidRPr="000025C3">
        <w:rPr>
          <w:rFonts w:ascii="Abadi" w:hAnsi="Abadi"/>
          <w:sz w:val="21"/>
          <w:szCs w:val="21"/>
        </w:rPr>
        <w:t>n votación nominal por el sistema electrónico se pregunta a las diputadas y los diputados si se aprueba el dictamen puesto a su consideración. ¿Diputado Armando Rangel?</w:t>
      </w:r>
    </w:p>
    <w:p w14:paraId="002F31F3" w14:textId="77777777" w:rsidR="00641A26" w:rsidRPr="000025C3" w:rsidRDefault="00641A26" w:rsidP="00641A26">
      <w:pPr>
        <w:ind w:firstLine="708"/>
        <w:jc w:val="both"/>
        <w:rPr>
          <w:rFonts w:ascii="Abadi" w:hAnsi="Abadi"/>
          <w:sz w:val="21"/>
          <w:szCs w:val="21"/>
        </w:rPr>
      </w:pPr>
    </w:p>
    <w:p w14:paraId="31C8DD12" w14:textId="2D9BD57A" w:rsidR="00641A26" w:rsidRDefault="00641A26" w:rsidP="00641A26">
      <w:pPr>
        <w:jc w:val="both"/>
        <w:rPr>
          <w:rFonts w:ascii="Abadi" w:hAnsi="Abadi"/>
          <w:sz w:val="21"/>
          <w:szCs w:val="21"/>
        </w:rPr>
      </w:pPr>
      <w:r>
        <w:rPr>
          <w:rFonts w:ascii="Abadi" w:hAnsi="Abadi"/>
          <w:sz w:val="21"/>
          <w:szCs w:val="21"/>
        </w:rPr>
        <w:t>¿Fa</w:t>
      </w:r>
      <w:r w:rsidRPr="006813AA">
        <w:rPr>
          <w:rFonts w:ascii="Abadi" w:hAnsi="Abadi"/>
          <w:sz w:val="21"/>
          <w:szCs w:val="21"/>
        </w:rPr>
        <w:t>lta alguna diputada o algún diputado de emitir su voto</w:t>
      </w:r>
      <w:r>
        <w:rPr>
          <w:rFonts w:ascii="Abadi" w:hAnsi="Abadi"/>
          <w:sz w:val="21"/>
          <w:szCs w:val="21"/>
        </w:rPr>
        <w:t>?</w:t>
      </w:r>
    </w:p>
    <w:p w14:paraId="4E596484" w14:textId="77777777" w:rsidR="00641A26" w:rsidRDefault="00641A26" w:rsidP="00641A26">
      <w:pPr>
        <w:jc w:val="both"/>
        <w:rPr>
          <w:rFonts w:ascii="Abadi" w:hAnsi="Abadi"/>
          <w:sz w:val="21"/>
          <w:szCs w:val="21"/>
        </w:rPr>
      </w:pPr>
    </w:p>
    <w:p w14:paraId="01D5D289" w14:textId="77777777" w:rsidR="00641A26" w:rsidRDefault="00641A26" w:rsidP="00641A26">
      <w:pPr>
        <w:jc w:val="both"/>
        <w:rPr>
          <w:rFonts w:ascii="Abadi" w:hAnsi="Abadi"/>
          <w:b/>
          <w:bCs/>
          <w:sz w:val="21"/>
          <w:szCs w:val="21"/>
        </w:rPr>
      </w:pPr>
      <w:r w:rsidRPr="00C25467">
        <w:rPr>
          <w:rFonts w:ascii="Abadi" w:hAnsi="Abadi"/>
          <w:b/>
          <w:bCs/>
          <w:sz w:val="21"/>
          <w:szCs w:val="21"/>
        </w:rPr>
        <w:t>(Se cierra el sistema eléctrico)</w:t>
      </w:r>
    </w:p>
    <w:p w14:paraId="02FA80D4" w14:textId="77777777" w:rsidR="00641A26" w:rsidRDefault="00641A26" w:rsidP="00641A26">
      <w:pPr>
        <w:jc w:val="both"/>
        <w:rPr>
          <w:rFonts w:ascii="Abadi" w:hAnsi="Abadi"/>
          <w:b/>
          <w:bCs/>
          <w:sz w:val="21"/>
          <w:szCs w:val="21"/>
        </w:rPr>
      </w:pPr>
    </w:p>
    <w:p w14:paraId="5F2CFB31" w14:textId="77777777" w:rsidR="00641A26" w:rsidRPr="00C25467" w:rsidRDefault="00641A26" w:rsidP="00641A26">
      <w:pPr>
        <w:jc w:val="both"/>
        <w:rPr>
          <w:rFonts w:ascii="Abadi" w:hAnsi="Abadi"/>
          <w:b/>
          <w:bCs/>
          <w:sz w:val="21"/>
          <w:szCs w:val="21"/>
        </w:rPr>
      </w:pPr>
      <w:r>
        <w:rPr>
          <w:noProof/>
        </w:rPr>
        <w:drawing>
          <wp:inline distT="0" distB="0" distL="0" distR="0" wp14:anchorId="71065E3A" wp14:editId="1C59DC12">
            <wp:extent cx="1663775" cy="862885"/>
            <wp:effectExtent l="323850" t="323850" r="317500" b="318770"/>
            <wp:docPr id="51" name="Imagen 5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Interfaz de usuario gráfica, Sitio web&#10;&#10;Descripción generada automáticamente"/>
                    <pic:cNvPicPr/>
                  </pic:nvPicPr>
                  <pic:blipFill rotWithShape="1">
                    <a:blip r:embed="rId53"/>
                    <a:srcRect b="7755"/>
                    <a:stretch/>
                  </pic:blipFill>
                  <pic:spPr bwMode="auto">
                    <a:xfrm>
                      <a:off x="0" y="0"/>
                      <a:ext cx="1682942" cy="872825"/>
                    </a:xfrm>
                    <a:prstGeom prst="rect">
                      <a:avLst/>
                    </a:prstGeom>
                    <a:ln w="88900" cap="sq" cmpd="thickThin">
                      <a:solidFill>
                        <a:srgbClr val="000000"/>
                      </a:solidFill>
                      <a:prstDash val="solid"/>
                      <a:miter lim="800000"/>
                    </a:ln>
                    <a:effectLst>
                      <a:glow rad="228600">
                        <a:schemeClr val="accent3">
                          <a:satMod val="1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5BAD5DC9" w14:textId="5671F0D9" w:rsidR="00641A26" w:rsidRDefault="00641A26" w:rsidP="00641A26">
      <w:pPr>
        <w:ind w:firstLine="708"/>
        <w:jc w:val="both"/>
        <w:rPr>
          <w:rFonts w:ascii="Abadi" w:hAnsi="Abadi"/>
          <w:sz w:val="21"/>
          <w:szCs w:val="21"/>
        </w:rPr>
      </w:pPr>
      <w:r w:rsidRPr="00C25467">
        <w:rPr>
          <w:rFonts w:ascii="Abadi" w:hAnsi="Abadi"/>
          <w:b/>
          <w:bCs/>
          <w:sz w:val="21"/>
          <w:szCs w:val="21"/>
        </w:rPr>
        <w:t>- El Secretario.-</w:t>
      </w:r>
      <w:r>
        <w:rPr>
          <w:rFonts w:ascii="Abadi" w:hAnsi="Abadi"/>
          <w:sz w:val="21"/>
          <w:szCs w:val="21"/>
        </w:rPr>
        <w:t xml:space="preserve"> S</w:t>
      </w:r>
      <w:r w:rsidRPr="006813AA">
        <w:rPr>
          <w:rFonts w:ascii="Abadi" w:hAnsi="Abadi"/>
          <w:sz w:val="21"/>
          <w:szCs w:val="21"/>
        </w:rPr>
        <w:t>e registraron 32 votos a favor</w:t>
      </w:r>
      <w:r>
        <w:rPr>
          <w:rFonts w:ascii="Abadi" w:hAnsi="Abadi"/>
          <w:sz w:val="21"/>
          <w:szCs w:val="21"/>
        </w:rPr>
        <w:t>.</w:t>
      </w:r>
    </w:p>
    <w:p w14:paraId="6C3186F3" w14:textId="77777777" w:rsidR="00641A26" w:rsidRDefault="00641A26" w:rsidP="00641A26">
      <w:pPr>
        <w:ind w:firstLine="708"/>
        <w:jc w:val="both"/>
        <w:rPr>
          <w:rFonts w:ascii="Abadi" w:hAnsi="Abadi"/>
          <w:sz w:val="21"/>
          <w:szCs w:val="21"/>
        </w:rPr>
      </w:pPr>
    </w:p>
    <w:p w14:paraId="24F3DC29" w14:textId="43131B7A" w:rsidR="00641A26" w:rsidRDefault="00641A26" w:rsidP="00641A26">
      <w:pPr>
        <w:ind w:firstLine="708"/>
        <w:jc w:val="both"/>
        <w:rPr>
          <w:rFonts w:ascii="Abadi" w:hAnsi="Abadi"/>
          <w:sz w:val="21"/>
          <w:szCs w:val="21"/>
        </w:rPr>
      </w:pPr>
      <w:r w:rsidRPr="00C25467">
        <w:rPr>
          <w:rFonts w:ascii="Abadi" w:hAnsi="Abadi"/>
          <w:b/>
          <w:bCs/>
          <w:sz w:val="21"/>
          <w:szCs w:val="21"/>
        </w:rPr>
        <w:t>- El Presidente.-</w:t>
      </w:r>
      <w:r>
        <w:rPr>
          <w:rFonts w:ascii="Abadi" w:hAnsi="Abadi"/>
          <w:sz w:val="21"/>
          <w:szCs w:val="21"/>
        </w:rPr>
        <w:t xml:space="preserve"> E</w:t>
      </w:r>
      <w:r w:rsidRPr="006813AA">
        <w:rPr>
          <w:rFonts w:ascii="Abadi" w:hAnsi="Abadi"/>
          <w:sz w:val="21"/>
          <w:szCs w:val="21"/>
        </w:rPr>
        <w:t>l dictamen ha sido aprobado por unanimidad de votos</w:t>
      </w:r>
      <w:r>
        <w:rPr>
          <w:rFonts w:ascii="Abadi" w:hAnsi="Abadi"/>
          <w:sz w:val="21"/>
          <w:szCs w:val="21"/>
        </w:rPr>
        <w:t>.</w:t>
      </w:r>
    </w:p>
    <w:p w14:paraId="4F11F342" w14:textId="77777777" w:rsidR="00641A26" w:rsidRDefault="00641A26" w:rsidP="00641A26">
      <w:pPr>
        <w:ind w:firstLine="708"/>
        <w:jc w:val="both"/>
        <w:rPr>
          <w:rFonts w:ascii="Abadi" w:hAnsi="Abadi"/>
          <w:sz w:val="21"/>
          <w:szCs w:val="21"/>
        </w:rPr>
      </w:pPr>
    </w:p>
    <w:p w14:paraId="3A51D933" w14:textId="77777777" w:rsidR="00641A26" w:rsidRPr="00513084" w:rsidRDefault="00641A26" w:rsidP="00641A26">
      <w:pPr>
        <w:ind w:left="709" w:right="567"/>
        <w:jc w:val="both"/>
        <w:rPr>
          <w:rFonts w:ascii="Abadi" w:hAnsi="Abadi"/>
          <w:b/>
          <w:bCs/>
          <w:i/>
          <w:iCs/>
          <w:sz w:val="21"/>
          <w:szCs w:val="21"/>
          <w:u w:val="single"/>
        </w:rPr>
      </w:pPr>
      <w:r w:rsidRPr="00513084">
        <w:rPr>
          <w:rFonts w:ascii="Abadi" w:hAnsi="Abadi"/>
          <w:b/>
          <w:bCs/>
          <w:i/>
          <w:iCs/>
          <w:sz w:val="21"/>
          <w:szCs w:val="21"/>
          <w:u w:val="single"/>
        </w:rPr>
        <w:t>En consecuencia, se instruye a la Secretaría General para que proceda el archivo definitivo de la propuesta de punto de acuerdo referida en el dictamen aprobado.</w:t>
      </w:r>
    </w:p>
    <w:p w14:paraId="241474D4" w14:textId="77777777" w:rsidR="00641A26" w:rsidRDefault="00641A26" w:rsidP="00875A14">
      <w:pPr>
        <w:widowControl w:val="0"/>
        <w:jc w:val="center"/>
        <w:rPr>
          <w:rFonts w:ascii="Abadi" w:hAnsi="Abadi" w:cs="Arial"/>
          <w:b/>
          <w:bCs/>
          <w:sz w:val="21"/>
          <w:szCs w:val="21"/>
          <w:lang w:val="es-MX" w:eastAsia="en-US"/>
        </w:rPr>
      </w:pPr>
    </w:p>
    <w:p w14:paraId="694D4A02" w14:textId="77777777" w:rsidR="00A86BFE" w:rsidRPr="00A86BFE" w:rsidRDefault="00A86BFE" w:rsidP="00875A14">
      <w:pPr>
        <w:autoSpaceDE w:val="0"/>
        <w:autoSpaceDN w:val="0"/>
        <w:adjustRightInd w:val="0"/>
        <w:jc w:val="both"/>
        <w:rPr>
          <w:rFonts w:ascii="Abadi" w:hAnsi="Abadi" w:cs="ArialMT"/>
          <w:sz w:val="20"/>
          <w:szCs w:val="21"/>
        </w:rPr>
      </w:pPr>
    </w:p>
    <w:p w14:paraId="58F14BE6" w14:textId="77777777" w:rsidR="00E462B6" w:rsidRPr="0028553C" w:rsidRDefault="00E462B6" w:rsidP="001327D8">
      <w:pPr>
        <w:pStyle w:val="Prrafodelista"/>
        <w:numPr>
          <w:ilvl w:val="0"/>
          <w:numId w:val="14"/>
        </w:numPr>
        <w:autoSpaceDE w:val="0"/>
        <w:autoSpaceDN w:val="0"/>
        <w:adjustRightInd w:val="0"/>
        <w:ind w:left="567"/>
        <w:contextualSpacing/>
        <w:jc w:val="both"/>
        <w:rPr>
          <w:rFonts w:ascii="Abadi" w:hAnsi="Abadi" w:cs="ArialMT"/>
          <w:b/>
          <w:bCs/>
          <w:sz w:val="20"/>
          <w:szCs w:val="21"/>
        </w:rPr>
      </w:pPr>
      <w:r w:rsidRPr="0028553C">
        <w:rPr>
          <w:rFonts w:ascii="Abadi" w:hAnsi="Abadi" w:cs="ArialMT"/>
          <w:b/>
          <w:bCs/>
          <w:sz w:val="20"/>
          <w:szCs w:val="21"/>
        </w:rPr>
        <w:t>DISCUSIÓN Y, EN SU CASO, APROBACIÓN DEL DICTAMEN SUSCRITO POR LA COMISIÓN DE DERECHOS HUMANOS Y ATENCIÓN A GRUPOS VULNERABLES RELATIVO A LA PROPUESTA DE PUNTO DE ACUERDO SIGNADA POR LA DIPUTADA Y EL DIPUTADO INTEGRANTES DEL GRUPO PARLAMENTARIO DEL PARTIDO VERDE ECOLOGISTA DE MÉXICO ANTE LA SEXAGÉSIMA CUARTA LEGISLATURA, A EFECTO DE EXHORTAR AL TITULAR DEL PODER EJECUTIVO DEL ESTADO DE GUANAJUATO PARA QUE POR SU CONDUCTO SE DISEÑEN, IMPLEMENTEN, EJECUTEN Y EVALÚEN POLÍTICAS PÚBLICAS EFECTIVAS DE NO DISCRIMINACIÓN.</w:t>
      </w:r>
    </w:p>
    <w:p w14:paraId="3BF99BA2" w14:textId="4A7DBDCB" w:rsidR="00E462B6" w:rsidRDefault="00E462B6" w:rsidP="001327D8">
      <w:pPr>
        <w:autoSpaceDE w:val="0"/>
        <w:autoSpaceDN w:val="0"/>
        <w:adjustRightInd w:val="0"/>
        <w:ind w:left="567"/>
        <w:jc w:val="both"/>
        <w:rPr>
          <w:rFonts w:ascii="Abadi" w:hAnsi="Abadi" w:cs="ArialMT"/>
          <w:sz w:val="20"/>
          <w:szCs w:val="21"/>
        </w:rPr>
      </w:pPr>
    </w:p>
    <w:p w14:paraId="6FFB2013" w14:textId="77777777" w:rsidR="00FA302A" w:rsidRPr="00FA302A" w:rsidRDefault="00FA302A" w:rsidP="00875A14">
      <w:pPr>
        <w:widowControl w:val="0"/>
        <w:jc w:val="both"/>
        <w:rPr>
          <w:rFonts w:ascii="Abadi" w:hAnsi="Abadi"/>
          <w:b/>
          <w:bCs/>
          <w:sz w:val="21"/>
          <w:szCs w:val="21"/>
          <w:lang w:val="es-MX" w:eastAsia="en-US"/>
        </w:rPr>
      </w:pPr>
      <w:r w:rsidRPr="00FA302A">
        <w:rPr>
          <w:rFonts w:ascii="Abadi" w:hAnsi="Abadi"/>
          <w:b/>
          <w:bCs/>
          <w:sz w:val="21"/>
          <w:szCs w:val="21"/>
          <w:lang w:val="es-MX" w:eastAsia="en-US"/>
        </w:rPr>
        <w:t>DICTAMEN QUE LA COMISIÓN DE DERECHOS HUMANOS Y ATENCIÓN A GRUPOS VULNERABLES PRESENTA AL PLENO DEL CONGRESO, DE LA PROPUESTA DE PUNTO DE ACUERDO A EFECTO DE EXHORTAR AL TITULAR DEL PODER EJECUTIVO DEL ESTADO Y A LOS 46 AYUNTAMIENTOS DEL ESTADO DE GUANAJUATO PARA QUE DISEÑEN, IMPLEMENTEN, EJECUTEN Y EVALÚEN UN PROGRAMA DE CAPACITACIÓN CON PERSPECTIVA DE DIVERSIDAD SEXUAL A TODOS SUS SERVIDORES PÚBLICOS, ASÍ COMO A TODA LA POBLACIÓN DEL ESTADO, SUSCRITA POR LA DIPUTADA Y EL DIPUTADO INTEGRANTES DEL GRUPO PARLAMENTARIO DEL PARTIDO VERDE ECOLOGISTA DE MÉXICO ANTE LA SEXAGÉSIMA CUARTA LEGISLATURA.</w:t>
      </w:r>
    </w:p>
    <w:p w14:paraId="100A78BC" w14:textId="77777777" w:rsidR="00FA302A" w:rsidRPr="00FA302A" w:rsidRDefault="00FA302A" w:rsidP="00875A14">
      <w:pPr>
        <w:widowControl w:val="0"/>
        <w:jc w:val="both"/>
        <w:rPr>
          <w:rFonts w:ascii="Abadi" w:hAnsi="Abadi" w:cs="Arial"/>
          <w:sz w:val="21"/>
          <w:szCs w:val="21"/>
          <w:lang w:val="es-MX"/>
        </w:rPr>
      </w:pPr>
    </w:p>
    <w:p w14:paraId="7CC67346" w14:textId="77777777" w:rsidR="00FA302A" w:rsidRPr="00FA302A" w:rsidRDefault="00FA302A" w:rsidP="00875A14">
      <w:pPr>
        <w:widowControl w:val="0"/>
        <w:jc w:val="both"/>
        <w:rPr>
          <w:rFonts w:ascii="Abadi" w:hAnsi="Abadi" w:cs="Arial"/>
          <w:sz w:val="21"/>
          <w:szCs w:val="21"/>
          <w:lang w:val="es-MX"/>
        </w:rPr>
      </w:pPr>
    </w:p>
    <w:p w14:paraId="6441405C" w14:textId="77777777" w:rsidR="00FA302A" w:rsidRPr="00FA302A" w:rsidRDefault="00FA302A" w:rsidP="00875A14">
      <w:pPr>
        <w:widowControl w:val="0"/>
        <w:ind w:firstLine="851"/>
        <w:jc w:val="both"/>
        <w:rPr>
          <w:rFonts w:ascii="Abadi" w:hAnsi="Abadi" w:cs="Arial"/>
          <w:sz w:val="21"/>
          <w:szCs w:val="21"/>
          <w:lang w:val="es-MX"/>
        </w:rPr>
      </w:pPr>
      <w:r w:rsidRPr="00FA302A">
        <w:rPr>
          <w:rFonts w:ascii="Abadi" w:hAnsi="Abadi" w:cs="Arial"/>
          <w:sz w:val="21"/>
          <w:szCs w:val="21"/>
          <w:lang w:val="es-MX"/>
        </w:rPr>
        <w:t>A la Comisión de Derechos Humanos y Atención a Grupos Vulnerables le fue turnada para estudio y dictamen, la propuesta de punto de acuerdo a efecto de exhortar al titular del Poder Ejecutivo del Estado y a los 46 ayuntamientos del estado de Guanajuato para que diseñen, implementen, ejecuten y evalúen un programa de capacitación con perspectiva de diversidad sexual a todos sus servidores públicos, así como a toda la población del Estado, suscrita por la diputada y el diputado integrantes del Grupo Parlamentario del Partido Verde Ecologista de México ante la Sexagésima Cuarta Legislatura.</w:t>
      </w:r>
    </w:p>
    <w:p w14:paraId="364EF40C" w14:textId="77777777" w:rsidR="00FA302A" w:rsidRPr="00FA302A" w:rsidRDefault="00FA302A" w:rsidP="00875A14">
      <w:pPr>
        <w:widowControl w:val="0"/>
        <w:jc w:val="both"/>
        <w:rPr>
          <w:rFonts w:ascii="Abadi" w:hAnsi="Abadi" w:cs="Arial"/>
          <w:sz w:val="21"/>
          <w:szCs w:val="21"/>
          <w:lang w:val="es-MX"/>
        </w:rPr>
      </w:pPr>
    </w:p>
    <w:p w14:paraId="0DF5360C" w14:textId="77777777" w:rsidR="00FA302A" w:rsidRPr="00FA302A" w:rsidRDefault="00FA302A" w:rsidP="00875A14">
      <w:pPr>
        <w:widowControl w:val="0"/>
        <w:ind w:firstLine="851"/>
        <w:jc w:val="both"/>
        <w:rPr>
          <w:rFonts w:ascii="Abadi" w:hAnsi="Abadi" w:cs="Arial"/>
          <w:sz w:val="21"/>
          <w:szCs w:val="21"/>
          <w:lang w:val="es-MX"/>
        </w:rPr>
      </w:pPr>
      <w:r w:rsidRPr="00FA302A">
        <w:rPr>
          <w:rFonts w:ascii="Abadi" w:hAnsi="Abadi" w:cs="Arial"/>
          <w:sz w:val="21"/>
          <w:szCs w:val="21"/>
          <w:lang w:val="es-MX"/>
        </w:rPr>
        <w:t>Analizada la propuesta de referencia, esta Comisión de conformidad con lo dispuesto en los artículos 89 -fracción V- y 171 de la Ley Orgánica del Poder Legislativo del Estado de Guanajuato rinde el dictamen, con base en las siguientes:</w:t>
      </w:r>
    </w:p>
    <w:p w14:paraId="13271AFE" w14:textId="77777777" w:rsidR="00FA302A" w:rsidRPr="00FA302A" w:rsidRDefault="00FA302A" w:rsidP="00875A14">
      <w:pPr>
        <w:widowControl w:val="0"/>
        <w:jc w:val="both"/>
        <w:rPr>
          <w:rFonts w:ascii="Abadi" w:hAnsi="Abadi" w:cs="Arial"/>
          <w:sz w:val="21"/>
          <w:szCs w:val="21"/>
          <w:lang w:val="es-MX"/>
        </w:rPr>
      </w:pPr>
    </w:p>
    <w:p w14:paraId="5E433154" w14:textId="77777777" w:rsidR="00FA302A" w:rsidRPr="00FA302A" w:rsidRDefault="00FA302A" w:rsidP="00875A14">
      <w:pPr>
        <w:widowControl w:val="0"/>
        <w:jc w:val="center"/>
        <w:rPr>
          <w:rFonts w:ascii="Abadi" w:hAnsi="Abadi" w:cs="Arial"/>
          <w:b/>
          <w:sz w:val="21"/>
          <w:szCs w:val="21"/>
          <w:lang w:val="es-MX"/>
        </w:rPr>
      </w:pPr>
      <w:r w:rsidRPr="00FA302A">
        <w:rPr>
          <w:rFonts w:ascii="Abadi" w:hAnsi="Abadi" w:cs="Arial"/>
          <w:b/>
          <w:sz w:val="21"/>
          <w:szCs w:val="21"/>
          <w:lang w:val="es-MX"/>
        </w:rPr>
        <w:t>C O N S I D E R A C I O N E S</w:t>
      </w:r>
    </w:p>
    <w:p w14:paraId="52C8400D" w14:textId="77777777" w:rsidR="00FA302A" w:rsidRPr="00FA302A" w:rsidRDefault="00FA302A" w:rsidP="00875A14">
      <w:pPr>
        <w:widowControl w:val="0"/>
        <w:jc w:val="both"/>
        <w:rPr>
          <w:rFonts w:ascii="Abadi" w:hAnsi="Abadi" w:cs="Arial"/>
          <w:sz w:val="21"/>
          <w:szCs w:val="21"/>
          <w:lang w:val="es-MX"/>
        </w:rPr>
      </w:pPr>
    </w:p>
    <w:p w14:paraId="674E1913" w14:textId="77777777" w:rsidR="00FA302A" w:rsidRPr="00FA302A" w:rsidRDefault="00FA302A" w:rsidP="00875A14">
      <w:pPr>
        <w:widowControl w:val="0"/>
        <w:ind w:left="851"/>
        <w:jc w:val="both"/>
        <w:rPr>
          <w:rFonts w:ascii="Abadi" w:hAnsi="Abadi" w:cs="Arial"/>
          <w:b/>
          <w:sz w:val="21"/>
          <w:szCs w:val="21"/>
          <w:lang w:val="es-MX"/>
        </w:rPr>
      </w:pPr>
      <w:r w:rsidRPr="00FA302A">
        <w:rPr>
          <w:rFonts w:ascii="Abadi" w:hAnsi="Abadi" w:cs="Arial"/>
          <w:b/>
          <w:sz w:val="21"/>
          <w:szCs w:val="21"/>
          <w:lang w:val="es-MX"/>
        </w:rPr>
        <w:t>PROCESO LEGISLATIVO.</w:t>
      </w:r>
    </w:p>
    <w:p w14:paraId="3A24CC63" w14:textId="77777777" w:rsidR="00FA302A" w:rsidRPr="00FA302A" w:rsidRDefault="00FA302A" w:rsidP="00875A14">
      <w:pPr>
        <w:widowControl w:val="0"/>
        <w:ind w:left="851"/>
        <w:jc w:val="both"/>
        <w:rPr>
          <w:rFonts w:ascii="Abadi" w:hAnsi="Abadi" w:cs="Arial"/>
          <w:b/>
          <w:sz w:val="21"/>
          <w:szCs w:val="21"/>
          <w:lang w:val="es-MX"/>
        </w:rPr>
      </w:pPr>
    </w:p>
    <w:p w14:paraId="30C1CDAE" w14:textId="77777777" w:rsidR="00FA302A" w:rsidRPr="00FA302A" w:rsidRDefault="00FA302A" w:rsidP="00875A14">
      <w:pPr>
        <w:widowControl w:val="0"/>
        <w:ind w:firstLine="851"/>
        <w:jc w:val="both"/>
        <w:rPr>
          <w:rFonts w:ascii="Abadi" w:hAnsi="Abadi" w:cs="Arial"/>
          <w:sz w:val="21"/>
          <w:szCs w:val="21"/>
          <w:lang w:val="es-MX"/>
        </w:rPr>
      </w:pPr>
      <w:r w:rsidRPr="00FA302A">
        <w:rPr>
          <w:rFonts w:ascii="Abadi" w:hAnsi="Abadi" w:cs="Arial"/>
          <w:sz w:val="21"/>
          <w:szCs w:val="21"/>
          <w:lang w:val="es-MX"/>
        </w:rPr>
        <w:t>En sesión ordinaria del 2 de diciembre de 2021 la presidencia acordó, para su estudio y dictamen, el cambio de turno de la propuesta que nos ocupa a esta Comisión legislativa. Ello con fundamento en el artículo 59 -fracción X-, relacionado con el artículo 106 -fracción IX- de la Ley Orgánica del Poder Legislativo del Estado de Guanajuato.</w:t>
      </w:r>
    </w:p>
    <w:p w14:paraId="15FC4C47" w14:textId="77777777" w:rsidR="00FA302A" w:rsidRPr="00FA302A" w:rsidRDefault="00FA302A" w:rsidP="00875A14">
      <w:pPr>
        <w:widowControl w:val="0"/>
        <w:jc w:val="both"/>
        <w:rPr>
          <w:rFonts w:ascii="Abadi" w:hAnsi="Abadi" w:cs="Arial"/>
          <w:sz w:val="21"/>
          <w:szCs w:val="21"/>
          <w:lang w:val="es-MX"/>
        </w:rPr>
      </w:pPr>
    </w:p>
    <w:p w14:paraId="0B06FEE3" w14:textId="77777777" w:rsidR="00FA302A" w:rsidRPr="00FA302A" w:rsidRDefault="00FA302A" w:rsidP="00875A14">
      <w:pPr>
        <w:widowControl w:val="0"/>
        <w:ind w:firstLine="851"/>
        <w:jc w:val="both"/>
        <w:rPr>
          <w:rFonts w:ascii="Abadi" w:hAnsi="Abadi" w:cs="Arial"/>
          <w:sz w:val="21"/>
          <w:szCs w:val="21"/>
          <w:lang w:val="es-MX"/>
        </w:rPr>
      </w:pPr>
      <w:r w:rsidRPr="00FA302A">
        <w:rPr>
          <w:rFonts w:ascii="Abadi" w:hAnsi="Abadi" w:cs="Arial"/>
          <w:sz w:val="21"/>
          <w:szCs w:val="21"/>
          <w:lang w:val="es-MX"/>
        </w:rPr>
        <w:t>La presidencia de la Comisión de Derechos Humanos y Atención a Grupos Vulnerables, en reunión de fecha 12 de enero de 2022 dio cuenta con la propuesta de punto de acuerdo.</w:t>
      </w:r>
    </w:p>
    <w:p w14:paraId="266CFBB2" w14:textId="77777777" w:rsidR="00FA302A" w:rsidRPr="00FA302A" w:rsidRDefault="00FA302A" w:rsidP="00875A14">
      <w:pPr>
        <w:widowControl w:val="0"/>
        <w:jc w:val="both"/>
        <w:rPr>
          <w:rFonts w:ascii="Abadi" w:hAnsi="Abadi" w:cs="Arial"/>
          <w:sz w:val="21"/>
          <w:szCs w:val="21"/>
          <w:lang w:val="es-MX"/>
        </w:rPr>
      </w:pPr>
    </w:p>
    <w:p w14:paraId="3E009C1A" w14:textId="77777777" w:rsidR="00FA302A" w:rsidRPr="00FA302A" w:rsidRDefault="00FA302A" w:rsidP="00875A14">
      <w:pPr>
        <w:widowControl w:val="0"/>
        <w:ind w:left="851"/>
        <w:jc w:val="both"/>
        <w:rPr>
          <w:rFonts w:ascii="Abadi" w:hAnsi="Abadi" w:cs="Arial"/>
          <w:b/>
          <w:sz w:val="21"/>
          <w:szCs w:val="21"/>
          <w:lang w:val="es-MX"/>
        </w:rPr>
      </w:pPr>
      <w:r w:rsidRPr="00FA302A">
        <w:rPr>
          <w:rFonts w:ascii="Abadi" w:hAnsi="Abadi" w:cs="Arial"/>
          <w:b/>
          <w:sz w:val="21"/>
          <w:szCs w:val="21"/>
          <w:lang w:val="es-MX"/>
        </w:rPr>
        <w:t>Propósito de la propuesta de punto de acuerdo.</w:t>
      </w:r>
    </w:p>
    <w:p w14:paraId="38717361" w14:textId="77777777" w:rsidR="00FA302A" w:rsidRPr="00FA302A" w:rsidRDefault="00FA302A" w:rsidP="00875A14">
      <w:pPr>
        <w:widowControl w:val="0"/>
        <w:jc w:val="both"/>
        <w:rPr>
          <w:rFonts w:ascii="Abadi" w:hAnsi="Abadi"/>
          <w:sz w:val="21"/>
          <w:szCs w:val="21"/>
          <w:lang w:val="es-MX" w:eastAsia="en-US"/>
        </w:rPr>
      </w:pPr>
    </w:p>
    <w:p w14:paraId="73641339" w14:textId="77777777" w:rsidR="00FA302A" w:rsidRPr="00FA302A" w:rsidRDefault="00FA302A" w:rsidP="00875A14">
      <w:pPr>
        <w:widowControl w:val="0"/>
        <w:ind w:firstLine="851"/>
        <w:jc w:val="both"/>
        <w:rPr>
          <w:rFonts w:ascii="Abadi" w:hAnsi="Abadi"/>
          <w:sz w:val="21"/>
          <w:szCs w:val="21"/>
          <w:lang w:val="es-MX" w:eastAsia="en-US"/>
        </w:rPr>
      </w:pPr>
      <w:r w:rsidRPr="00FA302A">
        <w:rPr>
          <w:rFonts w:ascii="Abadi" w:hAnsi="Abadi"/>
          <w:sz w:val="21"/>
          <w:szCs w:val="21"/>
          <w:lang w:val="es-MX" w:eastAsia="en-US"/>
        </w:rPr>
        <w:t>En las consideraciones de la propuesta se puede leer que:</w:t>
      </w:r>
    </w:p>
    <w:p w14:paraId="61425A61" w14:textId="77777777" w:rsidR="00FA302A" w:rsidRPr="00FA302A" w:rsidRDefault="00FA302A" w:rsidP="00875A14">
      <w:pPr>
        <w:widowControl w:val="0"/>
        <w:ind w:firstLine="851"/>
        <w:jc w:val="both"/>
        <w:rPr>
          <w:rFonts w:ascii="Abadi" w:hAnsi="Abadi"/>
          <w:sz w:val="21"/>
          <w:szCs w:val="21"/>
          <w:lang w:val="es-MX" w:eastAsia="en-US"/>
        </w:rPr>
      </w:pPr>
    </w:p>
    <w:p w14:paraId="49923200" w14:textId="77777777" w:rsidR="00FA302A" w:rsidRPr="00FA302A" w:rsidRDefault="00FA302A" w:rsidP="00875A14">
      <w:pPr>
        <w:widowControl w:val="0"/>
        <w:ind w:left="851" w:right="851"/>
        <w:jc w:val="both"/>
        <w:rPr>
          <w:rFonts w:ascii="Abadi" w:hAnsi="Abadi" w:cs="Arial"/>
          <w:i/>
          <w:sz w:val="21"/>
          <w:szCs w:val="21"/>
          <w:lang w:val="es-MX" w:eastAsia="en-US"/>
        </w:rPr>
      </w:pPr>
      <w:r w:rsidRPr="00FA302A">
        <w:rPr>
          <w:rFonts w:ascii="Abadi" w:hAnsi="Abadi" w:cs="Arial"/>
          <w:i/>
          <w:sz w:val="21"/>
          <w:szCs w:val="21"/>
          <w:lang w:val="es-MX" w:eastAsia="en-US"/>
        </w:rPr>
        <w:t>Burlas, insultos, golpizas con palos y machetes, cortes en la cara, apuñalamiento múltiple, empalamiento, estrangulamiento, exhibición pública del cuerpo torturado, mutilación y desmembramiento de ciertas partes del cuerpo, entre otro tipo de actos de saña y crueldad en contra de las personas de diversidad sexual, es a lo que hemos llegado como sociedad.</w:t>
      </w:r>
    </w:p>
    <w:p w14:paraId="08950005" w14:textId="77777777" w:rsidR="00FA302A" w:rsidRPr="00FA302A" w:rsidRDefault="00FA302A" w:rsidP="00875A14">
      <w:pPr>
        <w:widowControl w:val="0"/>
        <w:ind w:left="851" w:right="851"/>
        <w:jc w:val="both"/>
        <w:rPr>
          <w:rFonts w:ascii="Abadi" w:hAnsi="Abadi" w:cs="Arial"/>
          <w:i/>
          <w:sz w:val="21"/>
          <w:szCs w:val="21"/>
          <w:lang w:val="es-MX" w:eastAsia="en-US"/>
        </w:rPr>
      </w:pPr>
    </w:p>
    <w:p w14:paraId="572E875F" w14:textId="77777777" w:rsidR="00FA302A" w:rsidRPr="00FA302A" w:rsidRDefault="00FA302A" w:rsidP="00875A14">
      <w:pPr>
        <w:widowControl w:val="0"/>
        <w:ind w:left="851" w:right="851"/>
        <w:jc w:val="both"/>
        <w:rPr>
          <w:rFonts w:ascii="Abadi" w:hAnsi="Abadi" w:cs="Arial"/>
          <w:i/>
          <w:sz w:val="21"/>
          <w:szCs w:val="21"/>
          <w:lang w:val="es-MX" w:eastAsia="en-US"/>
        </w:rPr>
      </w:pPr>
      <w:r w:rsidRPr="00FA302A">
        <w:rPr>
          <w:rFonts w:ascii="Abadi" w:hAnsi="Abadi" w:cs="Arial"/>
          <w:i/>
          <w:sz w:val="21"/>
          <w:szCs w:val="21"/>
          <w:lang w:val="es-MX" w:eastAsia="en-US"/>
        </w:rPr>
        <w:t>Este tipo de crueldad poco a poco la hemos ido fomentando y mantenido, por no poner un alto desde que se origina, porque no somos capaces de poner límites o simplemente por tolerar la discriminación.</w:t>
      </w:r>
    </w:p>
    <w:p w14:paraId="2F0C3343" w14:textId="77777777" w:rsidR="00FA302A" w:rsidRPr="00FA302A" w:rsidRDefault="00FA302A" w:rsidP="00875A14">
      <w:pPr>
        <w:widowControl w:val="0"/>
        <w:ind w:left="851" w:right="851"/>
        <w:jc w:val="both"/>
        <w:rPr>
          <w:rFonts w:ascii="Abadi" w:hAnsi="Abadi" w:cs="Arial"/>
          <w:i/>
          <w:sz w:val="21"/>
          <w:szCs w:val="21"/>
          <w:lang w:val="es-MX" w:eastAsia="en-US"/>
        </w:rPr>
      </w:pPr>
    </w:p>
    <w:p w14:paraId="02174C76" w14:textId="77777777" w:rsidR="00FA302A" w:rsidRPr="00FA302A" w:rsidRDefault="00FA302A" w:rsidP="00875A14">
      <w:pPr>
        <w:widowControl w:val="0"/>
        <w:ind w:left="851" w:right="851"/>
        <w:jc w:val="both"/>
        <w:rPr>
          <w:rFonts w:ascii="Abadi" w:hAnsi="Abadi" w:cs="Arial"/>
          <w:i/>
          <w:sz w:val="21"/>
          <w:szCs w:val="21"/>
          <w:lang w:val="es-MX" w:eastAsia="en-US"/>
        </w:rPr>
      </w:pPr>
      <w:r w:rsidRPr="00FA302A">
        <w:rPr>
          <w:rFonts w:ascii="Abadi" w:hAnsi="Abadi" w:cs="Arial"/>
          <w:i/>
          <w:sz w:val="21"/>
          <w:szCs w:val="21"/>
          <w:lang w:val="es-MX" w:eastAsia="en-US"/>
        </w:rPr>
        <w:t>Y vemos los resultados: personas acosadas, lesionadas, asesinadas con saña y crueldad en el estado de Guanajuato.</w:t>
      </w:r>
    </w:p>
    <w:p w14:paraId="52DD0A68" w14:textId="77777777" w:rsidR="00FA302A" w:rsidRPr="00FA302A" w:rsidRDefault="00FA302A" w:rsidP="00875A14">
      <w:pPr>
        <w:widowControl w:val="0"/>
        <w:ind w:left="851" w:right="851"/>
        <w:jc w:val="both"/>
        <w:rPr>
          <w:rFonts w:ascii="Abadi" w:hAnsi="Abadi" w:cs="Arial"/>
          <w:i/>
          <w:sz w:val="21"/>
          <w:szCs w:val="21"/>
          <w:lang w:val="es-MX" w:eastAsia="en-US"/>
        </w:rPr>
      </w:pPr>
    </w:p>
    <w:p w14:paraId="04E512D3" w14:textId="77777777" w:rsidR="00FA302A" w:rsidRPr="00FA302A" w:rsidRDefault="00FA302A" w:rsidP="00875A14">
      <w:pPr>
        <w:widowControl w:val="0"/>
        <w:ind w:left="851" w:right="851"/>
        <w:jc w:val="both"/>
        <w:rPr>
          <w:rFonts w:ascii="Abadi" w:hAnsi="Abadi" w:cs="Arial"/>
          <w:i/>
          <w:sz w:val="21"/>
          <w:szCs w:val="21"/>
          <w:lang w:val="es-MX" w:eastAsia="en-US"/>
        </w:rPr>
      </w:pPr>
      <w:r w:rsidRPr="00FA302A">
        <w:rPr>
          <w:rFonts w:ascii="Abadi" w:hAnsi="Abadi" w:cs="Arial"/>
          <w:i/>
          <w:sz w:val="21"/>
          <w:szCs w:val="21"/>
          <w:lang w:val="es-MX" w:eastAsia="en-US"/>
        </w:rPr>
        <w:t>Diversas organizaciones, como la Organización de las Naciones Unidas han realizado un llamado urgente a los Estados a que tomen medidas especificas para poner fin y castigar severamente cualquier acto que propicie la violencia y prejuicios discriminatorios en contra de las lesbianas, gays, bisexuales, transgénero, travestí, transexuales, lntersexual y queer, o aquellas personas percibidas como tales.</w:t>
      </w:r>
    </w:p>
    <w:p w14:paraId="630FE75E" w14:textId="77777777" w:rsidR="00FA302A" w:rsidRPr="00FA302A" w:rsidRDefault="00FA302A" w:rsidP="00875A14">
      <w:pPr>
        <w:widowControl w:val="0"/>
        <w:ind w:left="851" w:right="851"/>
        <w:jc w:val="both"/>
        <w:rPr>
          <w:rFonts w:ascii="Abadi" w:hAnsi="Abadi" w:cs="Arial"/>
          <w:i/>
          <w:sz w:val="21"/>
          <w:szCs w:val="21"/>
          <w:lang w:val="es-MX" w:eastAsia="en-US"/>
        </w:rPr>
      </w:pPr>
    </w:p>
    <w:p w14:paraId="742BDC42" w14:textId="77777777" w:rsidR="00FA302A" w:rsidRPr="00FA302A" w:rsidRDefault="00FA302A" w:rsidP="00875A14">
      <w:pPr>
        <w:widowControl w:val="0"/>
        <w:ind w:left="851" w:right="851"/>
        <w:jc w:val="both"/>
        <w:rPr>
          <w:rFonts w:ascii="Abadi" w:hAnsi="Abadi" w:cs="Arial"/>
          <w:i/>
          <w:sz w:val="21"/>
          <w:szCs w:val="21"/>
          <w:lang w:val="es-MX" w:eastAsia="en-US"/>
        </w:rPr>
      </w:pPr>
      <w:r w:rsidRPr="00FA302A">
        <w:rPr>
          <w:rFonts w:ascii="Abadi" w:hAnsi="Abadi" w:cs="Arial"/>
          <w:i/>
          <w:sz w:val="21"/>
          <w:szCs w:val="21"/>
          <w:lang w:val="es-MX" w:eastAsia="en-US"/>
        </w:rPr>
        <w:t>La Comisión Interamericana de Derechos Humanos ha recomendado a los países adoptar campañas de prevención y combate contra la homofobia, transfobia y discriminación basada en orientación sexual, garantizando la protección a los derechos de identidad de género.</w:t>
      </w:r>
    </w:p>
    <w:p w14:paraId="51ADCB62" w14:textId="77777777" w:rsidR="00FA302A" w:rsidRPr="00FA302A" w:rsidRDefault="00FA302A" w:rsidP="00875A14">
      <w:pPr>
        <w:widowControl w:val="0"/>
        <w:ind w:left="851" w:right="851"/>
        <w:jc w:val="both"/>
        <w:rPr>
          <w:rFonts w:ascii="Abadi" w:hAnsi="Abadi" w:cs="Arial"/>
          <w:i/>
          <w:sz w:val="21"/>
          <w:szCs w:val="21"/>
          <w:lang w:val="es-MX" w:eastAsia="en-US"/>
        </w:rPr>
      </w:pPr>
    </w:p>
    <w:p w14:paraId="13604EBD" w14:textId="77777777" w:rsidR="00FA302A" w:rsidRPr="00FA302A" w:rsidRDefault="00FA302A" w:rsidP="00875A14">
      <w:pPr>
        <w:widowControl w:val="0"/>
        <w:ind w:left="851" w:right="851"/>
        <w:jc w:val="both"/>
        <w:rPr>
          <w:rFonts w:ascii="Abadi" w:hAnsi="Abadi" w:cs="Arial"/>
          <w:i/>
          <w:sz w:val="21"/>
          <w:szCs w:val="21"/>
          <w:lang w:val="es-MX" w:eastAsia="en-US"/>
        </w:rPr>
      </w:pPr>
      <w:r w:rsidRPr="00FA302A">
        <w:rPr>
          <w:rFonts w:ascii="Abadi" w:hAnsi="Abadi" w:cs="Arial"/>
          <w:i/>
          <w:sz w:val="21"/>
          <w:szCs w:val="21"/>
          <w:lang w:val="es-MX" w:eastAsia="en-US"/>
        </w:rPr>
        <w:t>Tenemos la obligación de desterrar por completo estas aberraciones de odio y dejar de lado la demora para atender este problema de manera puntual con acciones concretas.</w:t>
      </w:r>
    </w:p>
    <w:p w14:paraId="70B95DDB" w14:textId="77777777" w:rsidR="00FA302A" w:rsidRPr="00FA302A" w:rsidRDefault="00FA302A" w:rsidP="00875A14">
      <w:pPr>
        <w:widowControl w:val="0"/>
        <w:ind w:left="851" w:right="851"/>
        <w:jc w:val="both"/>
        <w:rPr>
          <w:rFonts w:ascii="Abadi" w:hAnsi="Abadi" w:cs="Arial"/>
          <w:i/>
          <w:sz w:val="21"/>
          <w:szCs w:val="21"/>
          <w:lang w:val="es-MX" w:eastAsia="en-US"/>
        </w:rPr>
      </w:pPr>
    </w:p>
    <w:p w14:paraId="1252996A" w14:textId="77777777" w:rsidR="00FA302A" w:rsidRPr="00FA302A" w:rsidRDefault="00FA302A" w:rsidP="00875A14">
      <w:pPr>
        <w:widowControl w:val="0"/>
        <w:ind w:left="851" w:right="851"/>
        <w:jc w:val="both"/>
        <w:rPr>
          <w:rFonts w:ascii="Abadi" w:hAnsi="Abadi" w:cs="Arial"/>
          <w:i/>
          <w:sz w:val="21"/>
          <w:szCs w:val="21"/>
          <w:lang w:val="es-MX" w:eastAsia="en-US"/>
        </w:rPr>
      </w:pPr>
      <w:r w:rsidRPr="00FA302A">
        <w:rPr>
          <w:rFonts w:ascii="Abadi" w:hAnsi="Abadi" w:cs="Arial"/>
          <w:i/>
          <w:sz w:val="21"/>
          <w:szCs w:val="21"/>
          <w:lang w:val="es-MX" w:eastAsia="en-US"/>
        </w:rPr>
        <w:t>Muchas de las vidas y experiencias de las personas de la diversidad sexual están marcadas por la discriminación, la violencia y la exclusión, por la simple y sencilla razón de que el gobierno no hace nada, sigue indiferente, ausente, que ven a las lesbianas, gays, bisexuales, transgénero, travestí, transexuales, lntersexual y queer como un peligro a la ingeniería institucional, considerándolos en muchas ocasiones como personas de menor rango que el resto de la población.</w:t>
      </w:r>
    </w:p>
    <w:p w14:paraId="05D43EEB" w14:textId="77777777" w:rsidR="00FA302A" w:rsidRPr="00FA302A" w:rsidRDefault="00FA302A" w:rsidP="00875A14">
      <w:pPr>
        <w:widowControl w:val="0"/>
        <w:ind w:left="851" w:right="851"/>
        <w:jc w:val="both"/>
        <w:rPr>
          <w:rFonts w:ascii="Abadi" w:hAnsi="Abadi" w:cs="Arial"/>
          <w:i/>
          <w:sz w:val="21"/>
          <w:szCs w:val="21"/>
          <w:lang w:val="es-MX" w:eastAsia="en-US"/>
        </w:rPr>
      </w:pPr>
    </w:p>
    <w:p w14:paraId="3A7E74D2" w14:textId="77777777" w:rsidR="00FA302A" w:rsidRPr="00FA302A" w:rsidRDefault="00FA302A" w:rsidP="00875A14">
      <w:pPr>
        <w:widowControl w:val="0"/>
        <w:ind w:left="851" w:right="851"/>
        <w:jc w:val="both"/>
        <w:rPr>
          <w:rFonts w:ascii="Abadi" w:hAnsi="Abadi" w:cs="Arial"/>
          <w:i/>
          <w:sz w:val="21"/>
          <w:szCs w:val="21"/>
          <w:lang w:val="es-MX" w:eastAsia="en-US"/>
        </w:rPr>
      </w:pPr>
      <w:r w:rsidRPr="00FA302A">
        <w:rPr>
          <w:rFonts w:ascii="Abadi" w:hAnsi="Abadi" w:cs="Arial"/>
          <w:i/>
          <w:sz w:val="21"/>
          <w:szCs w:val="21"/>
          <w:lang w:val="es-MX" w:eastAsia="en-US"/>
        </w:rPr>
        <w:t>En el caso de los niños LGBT+, ellos tienen más riesgo de sufrir violencia interpersonal, incluyendo acoso y hostigamiento, sobre todo en el entorno escolar, en comparación con los niños heterosexuales de la misma edad.</w:t>
      </w:r>
    </w:p>
    <w:p w14:paraId="20545FA7" w14:textId="77777777" w:rsidR="00FA302A" w:rsidRPr="00FA302A" w:rsidRDefault="00FA302A" w:rsidP="00875A14">
      <w:pPr>
        <w:widowControl w:val="0"/>
        <w:ind w:left="851" w:right="851"/>
        <w:jc w:val="both"/>
        <w:rPr>
          <w:rFonts w:ascii="Abadi" w:hAnsi="Abadi" w:cs="Arial"/>
          <w:i/>
          <w:sz w:val="21"/>
          <w:szCs w:val="21"/>
          <w:lang w:val="es-MX" w:eastAsia="en-US"/>
        </w:rPr>
      </w:pPr>
    </w:p>
    <w:p w14:paraId="5FE64875" w14:textId="77777777" w:rsidR="00FA302A" w:rsidRPr="00FA302A" w:rsidRDefault="00FA302A" w:rsidP="00875A14">
      <w:pPr>
        <w:widowControl w:val="0"/>
        <w:ind w:left="851" w:right="851"/>
        <w:jc w:val="both"/>
        <w:rPr>
          <w:rFonts w:ascii="Abadi" w:hAnsi="Abadi" w:cs="Arial"/>
          <w:i/>
          <w:sz w:val="21"/>
          <w:szCs w:val="21"/>
          <w:lang w:val="es-MX" w:eastAsia="en-US"/>
        </w:rPr>
      </w:pPr>
      <w:r w:rsidRPr="00FA302A">
        <w:rPr>
          <w:rFonts w:ascii="Abadi" w:hAnsi="Abadi" w:cs="Arial"/>
          <w:i/>
          <w:sz w:val="21"/>
          <w:szCs w:val="21"/>
          <w:lang w:val="es-MX" w:eastAsia="en-US"/>
        </w:rPr>
        <w:t>Por ello, la diputada y su servidor integrantes del Grupo Parlamentario del Partido Verde Ecologista de México estamos convencidos que desde el Gobierno del Estado, así como desde el seno de los ayuntamientos del estado se debe crear un programa permanente de capacitación con perspectiva de diversidad sexual a todos sus servidores públicos, así como a toda la población del estado, con la finalidad de eliminar cualquier acto de violencia o prejuicio discriminatorio contra las lesbianas, gays, bisexuales, transgénero, travestí, transexuales, lntersexual y queer, o aquellas personas percibidas como tales.</w:t>
      </w:r>
    </w:p>
    <w:p w14:paraId="20769296" w14:textId="77777777" w:rsidR="00FA302A" w:rsidRPr="00FA302A" w:rsidRDefault="00FA302A" w:rsidP="00875A14">
      <w:pPr>
        <w:widowControl w:val="0"/>
        <w:ind w:left="851" w:right="851"/>
        <w:jc w:val="both"/>
        <w:rPr>
          <w:rFonts w:ascii="Abadi" w:hAnsi="Abadi" w:cs="Arial"/>
          <w:i/>
          <w:sz w:val="21"/>
          <w:szCs w:val="21"/>
          <w:lang w:val="es-MX" w:eastAsia="en-US"/>
        </w:rPr>
      </w:pPr>
    </w:p>
    <w:p w14:paraId="7FE25569" w14:textId="77777777" w:rsidR="00FA302A" w:rsidRPr="00FA302A" w:rsidRDefault="00FA302A" w:rsidP="00875A14">
      <w:pPr>
        <w:widowControl w:val="0"/>
        <w:ind w:left="851" w:right="851"/>
        <w:jc w:val="both"/>
        <w:rPr>
          <w:rFonts w:ascii="Abadi" w:hAnsi="Abadi" w:cs="Arial"/>
          <w:i/>
          <w:sz w:val="21"/>
          <w:szCs w:val="21"/>
          <w:lang w:val="es-MX" w:eastAsia="en-US"/>
        </w:rPr>
      </w:pPr>
      <w:r w:rsidRPr="00FA302A">
        <w:rPr>
          <w:rFonts w:ascii="Abadi" w:hAnsi="Abadi" w:cs="Arial"/>
          <w:i/>
          <w:sz w:val="21"/>
          <w:szCs w:val="21"/>
          <w:lang w:val="es-MX" w:eastAsia="en-US"/>
        </w:rPr>
        <w:t>Los servidores públicos desempeñan un papel muy importante en el desarrollo de las políticas públicas en favor de las personas en el estado de Guanajuato. Por lo cual, es necesario fomentar la sensibilidad con perspectiva de diversidad sexual en todas sus variantes, con el único fin de generar una cultura de respeto, tolerancia y no discriminación.</w:t>
      </w:r>
    </w:p>
    <w:p w14:paraId="28F3A3F1" w14:textId="77777777" w:rsidR="00FA302A" w:rsidRPr="00FA302A" w:rsidRDefault="00FA302A" w:rsidP="00875A14">
      <w:pPr>
        <w:widowControl w:val="0"/>
        <w:ind w:left="851" w:right="851"/>
        <w:jc w:val="both"/>
        <w:rPr>
          <w:rFonts w:ascii="Abadi" w:hAnsi="Abadi" w:cs="Arial"/>
          <w:i/>
          <w:sz w:val="21"/>
          <w:szCs w:val="21"/>
          <w:lang w:val="es-MX" w:eastAsia="en-US"/>
        </w:rPr>
      </w:pPr>
    </w:p>
    <w:p w14:paraId="25E525B3" w14:textId="77777777" w:rsidR="00FA302A" w:rsidRPr="00FA302A" w:rsidRDefault="00FA302A" w:rsidP="00875A14">
      <w:pPr>
        <w:widowControl w:val="0"/>
        <w:ind w:left="851" w:right="851"/>
        <w:jc w:val="both"/>
        <w:rPr>
          <w:rFonts w:ascii="Abadi" w:hAnsi="Abadi" w:cs="Arial"/>
          <w:i/>
          <w:sz w:val="21"/>
          <w:szCs w:val="21"/>
          <w:lang w:val="es-MX" w:eastAsia="en-US"/>
        </w:rPr>
      </w:pPr>
      <w:r w:rsidRPr="00FA302A">
        <w:rPr>
          <w:rFonts w:ascii="Abadi" w:hAnsi="Abadi" w:cs="Arial"/>
          <w:i/>
          <w:sz w:val="21"/>
          <w:szCs w:val="21"/>
          <w:lang w:val="es-MX" w:eastAsia="en-US"/>
        </w:rPr>
        <w:t>En este sentido es necesario comprender los siguientes aspectos:</w:t>
      </w:r>
    </w:p>
    <w:p w14:paraId="62E41300" w14:textId="77777777" w:rsidR="00FA302A" w:rsidRPr="00FA302A" w:rsidRDefault="00FA302A" w:rsidP="00875A14">
      <w:pPr>
        <w:widowControl w:val="0"/>
        <w:ind w:left="851" w:right="851"/>
        <w:jc w:val="both"/>
        <w:rPr>
          <w:rFonts w:ascii="Abadi" w:hAnsi="Abadi" w:cs="Arial"/>
          <w:i/>
          <w:sz w:val="21"/>
          <w:szCs w:val="21"/>
          <w:lang w:val="es-MX" w:eastAsia="en-US"/>
        </w:rPr>
      </w:pPr>
    </w:p>
    <w:p w14:paraId="62B9D212" w14:textId="77777777" w:rsidR="00FA302A" w:rsidRPr="00FA302A" w:rsidRDefault="00FA302A" w:rsidP="00875A14">
      <w:pPr>
        <w:widowControl w:val="0"/>
        <w:ind w:left="851" w:right="851"/>
        <w:jc w:val="both"/>
        <w:rPr>
          <w:rFonts w:ascii="Abadi" w:hAnsi="Abadi" w:cs="Arial"/>
          <w:i/>
          <w:sz w:val="21"/>
          <w:szCs w:val="21"/>
          <w:lang w:val="es-MX" w:eastAsia="en-US"/>
        </w:rPr>
      </w:pPr>
      <w:r w:rsidRPr="00FA302A">
        <w:rPr>
          <w:rFonts w:ascii="Abadi" w:hAnsi="Abadi" w:cs="Arial"/>
          <w:i/>
          <w:sz w:val="21"/>
          <w:szCs w:val="21"/>
          <w:lang w:val="es-MX" w:eastAsia="en-US"/>
        </w:rPr>
        <w:t>• “La diversidad sexual hace referencia a todas las posibilidades de asumir, expresar y vivir la sexualidad, así como de asumir identidades y preferencias sexuales (distintas en cada cultura y persona). Es el reconocimiento de que todos los cuerpos, todas las sensaciones y todos los deseos tienen derecho a existir y manifestarse sin más límites que el respeto a los derechos de las otras personas.”</w:t>
      </w:r>
      <w:r w:rsidRPr="00FA302A">
        <w:rPr>
          <w:rFonts w:ascii="Abadi" w:hAnsi="Abadi" w:cs="Arial"/>
          <w:i/>
          <w:sz w:val="21"/>
          <w:szCs w:val="21"/>
          <w:vertAlign w:val="superscript"/>
          <w:lang w:val="es-MX" w:eastAsia="en-US"/>
        </w:rPr>
        <w:footnoteReference w:id="76"/>
      </w:r>
    </w:p>
    <w:p w14:paraId="0DBCEC09" w14:textId="77777777" w:rsidR="00FA302A" w:rsidRPr="00FA302A" w:rsidRDefault="00FA302A" w:rsidP="00FA302A">
      <w:pPr>
        <w:widowControl w:val="0"/>
        <w:ind w:left="851" w:right="851"/>
        <w:jc w:val="both"/>
        <w:rPr>
          <w:rFonts w:ascii="Abadi" w:hAnsi="Abadi" w:cs="Arial"/>
          <w:i/>
          <w:sz w:val="21"/>
          <w:szCs w:val="21"/>
          <w:lang w:val="es-MX" w:eastAsia="en-US"/>
        </w:rPr>
      </w:pPr>
    </w:p>
    <w:p w14:paraId="23B7D389" w14:textId="77777777" w:rsidR="00FA302A" w:rsidRPr="00FA302A" w:rsidRDefault="00FA302A" w:rsidP="00FA302A">
      <w:pPr>
        <w:widowControl w:val="0"/>
        <w:ind w:left="851" w:right="851"/>
        <w:jc w:val="both"/>
        <w:rPr>
          <w:rFonts w:ascii="Abadi" w:hAnsi="Abadi" w:cs="Arial"/>
          <w:i/>
          <w:sz w:val="21"/>
          <w:szCs w:val="21"/>
          <w:lang w:val="es-MX" w:eastAsia="en-US"/>
        </w:rPr>
      </w:pPr>
      <w:r w:rsidRPr="00FA302A">
        <w:rPr>
          <w:rFonts w:ascii="Abadi" w:hAnsi="Abadi" w:cs="Arial"/>
          <w:i/>
          <w:sz w:val="21"/>
          <w:szCs w:val="21"/>
          <w:lang w:val="es-MX" w:eastAsia="en-US"/>
        </w:rPr>
        <w:t>• La sexualidad humana es “un aspecto central del ser humano presente a lo largo de su vida. Abarca al sexo, las identidades y los papeles de género, el erotismo, el placer, la intimidad, la reproducción y la orientación sexual. Se vive y se expresa a través de pensamientos, fantasías, deseos, creencias, actitudes, valores, conductas, prácticas, papeles y relaciones interpersonales”.</w:t>
      </w:r>
      <w:r w:rsidRPr="00FA302A">
        <w:rPr>
          <w:rFonts w:ascii="Abadi" w:hAnsi="Abadi" w:cs="Arial"/>
          <w:i/>
          <w:sz w:val="21"/>
          <w:szCs w:val="21"/>
          <w:vertAlign w:val="superscript"/>
          <w:lang w:val="es-MX" w:eastAsia="en-US"/>
        </w:rPr>
        <w:footnoteReference w:id="77"/>
      </w:r>
    </w:p>
    <w:p w14:paraId="5E3B066F" w14:textId="77777777" w:rsidR="00FA302A" w:rsidRPr="00FA302A" w:rsidRDefault="00FA302A" w:rsidP="00FA302A">
      <w:pPr>
        <w:widowControl w:val="0"/>
        <w:ind w:left="851" w:right="851"/>
        <w:jc w:val="both"/>
        <w:rPr>
          <w:rFonts w:ascii="Abadi" w:hAnsi="Abadi" w:cs="Arial"/>
          <w:i/>
          <w:sz w:val="21"/>
          <w:szCs w:val="21"/>
          <w:lang w:val="es-MX" w:eastAsia="en-US"/>
        </w:rPr>
      </w:pPr>
    </w:p>
    <w:p w14:paraId="1972BE19" w14:textId="77777777" w:rsidR="00FA302A" w:rsidRPr="00FA302A" w:rsidRDefault="00FA302A" w:rsidP="00FA302A">
      <w:pPr>
        <w:widowControl w:val="0"/>
        <w:ind w:left="851" w:right="851"/>
        <w:jc w:val="both"/>
        <w:rPr>
          <w:rFonts w:ascii="Abadi" w:hAnsi="Abadi" w:cs="Arial"/>
          <w:i/>
          <w:sz w:val="21"/>
          <w:szCs w:val="21"/>
          <w:lang w:val="es-MX" w:eastAsia="en-US"/>
        </w:rPr>
      </w:pPr>
      <w:r w:rsidRPr="00FA302A">
        <w:rPr>
          <w:rFonts w:ascii="Abadi" w:hAnsi="Abadi" w:cs="Arial"/>
          <w:i/>
          <w:sz w:val="21"/>
          <w:szCs w:val="21"/>
          <w:lang w:val="es-MX" w:eastAsia="en-US"/>
        </w:rPr>
        <w:t>• “La sexualidad puede incluir todos estos componentes, no obstante, no todos ellos se viven o se expresan siempre. La sexualidad está influida por la interacción de factores biológicos, psicológicos, sociales, económicos, políticos, culturales, éticos, legales, históricos, religiosos y espirituales.”</w:t>
      </w:r>
      <w:r w:rsidRPr="00FA302A">
        <w:rPr>
          <w:rFonts w:ascii="Abadi" w:hAnsi="Abadi" w:cs="Arial"/>
          <w:i/>
          <w:sz w:val="21"/>
          <w:szCs w:val="21"/>
          <w:vertAlign w:val="superscript"/>
          <w:lang w:val="es-MX" w:eastAsia="en-US"/>
        </w:rPr>
        <w:footnoteReference w:id="78"/>
      </w:r>
    </w:p>
    <w:p w14:paraId="61F37C87" w14:textId="77777777" w:rsidR="00FA302A" w:rsidRPr="00FA302A" w:rsidRDefault="00FA302A" w:rsidP="00FA302A">
      <w:pPr>
        <w:widowControl w:val="0"/>
        <w:ind w:left="851" w:right="851"/>
        <w:jc w:val="both"/>
        <w:rPr>
          <w:rFonts w:ascii="Abadi" w:hAnsi="Abadi" w:cs="Arial"/>
          <w:i/>
          <w:sz w:val="21"/>
          <w:szCs w:val="21"/>
          <w:lang w:val="es-MX" w:eastAsia="en-US"/>
        </w:rPr>
      </w:pPr>
    </w:p>
    <w:p w14:paraId="54FD30C4" w14:textId="77777777" w:rsidR="00FA302A" w:rsidRPr="00FA302A" w:rsidRDefault="00FA302A" w:rsidP="00FA302A">
      <w:pPr>
        <w:widowControl w:val="0"/>
        <w:ind w:left="851" w:right="851"/>
        <w:jc w:val="both"/>
        <w:rPr>
          <w:rFonts w:ascii="Abadi" w:hAnsi="Abadi" w:cs="Arial"/>
          <w:i/>
          <w:sz w:val="21"/>
          <w:szCs w:val="21"/>
          <w:lang w:val="es-MX" w:eastAsia="en-US"/>
        </w:rPr>
      </w:pPr>
      <w:r w:rsidRPr="00FA302A">
        <w:rPr>
          <w:rFonts w:ascii="Abadi" w:hAnsi="Abadi" w:cs="Arial"/>
          <w:i/>
          <w:sz w:val="21"/>
          <w:szCs w:val="21"/>
          <w:lang w:val="es-MX" w:eastAsia="en-US"/>
        </w:rPr>
        <w:t>• Ahora bien, los prejuicios sociales “están fundados en desinformación, en creencias culturales y estigmas que alimentan prácticas y actitudes discriminatorias en detrimento de la dignidad y derechos de las mujeres y la población LGBT+.”</w:t>
      </w:r>
      <w:r w:rsidRPr="00FA302A">
        <w:rPr>
          <w:rFonts w:ascii="Abadi" w:hAnsi="Abadi" w:cs="Arial"/>
          <w:i/>
          <w:sz w:val="21"/>
          <w:szCs w:val="21"/>
          <w:vertAlign w:val="superscript"/>
          <w:lang w:val="es-MX" w:eastAsia="en-US"/>
        </w:rPr>
        <w:footnoteReference w:id="79"/>
      </w:r>
    </w:p>
    <w:p w14:paraId="1044B45C" w14:textId="77777777" w:rsidR="00FA302A" w:rsidRPr="00FA302A" w:rsidRDefault="00FA302A" w:rsidP="00FA302A">
      <w:pPr>
        <w:widowControl w:val="0"/>
        <w:ind w:left="851" w:right="851"/>
        <w:jc w:val="both"/>
        <w:rPr>
          <w:rFonts w:ascii="Abadi" w:hAnsi="Abadi" w:cs="Arial"/>
          <w:i/>
          <w:sz w:val="21"/>
          <w:szCs w:val="21"/>
          <w:lang w:val="es-MX" w:eastAsia="en-US"/>
        </w:rPr>
      </w:pPr>
    </w:p>
    <w:p w14:paraId="36C7E924" w14:textId="77777777" w:rsidR="00FA302A" w:rsidRPr="00FA302A" w:rsidRDefault="00FA302A" w:rsidP="00FA302A">
      <w:pPr>
        <w:widowControl w:val="0"/>
        <w:ind w:left="851" w:right="851"/>
        <w:jc w:val="both"/>
        <w:rPr>
          <w:rFonts w:ascii="Abadi" w:hAnsi="Abadi" w:cs="Arial"/>
          <w:i/>
          <w:sz w:val="21"/>
          <w:szCs w:val="21"/>
          <w:lang w:val="es-MX" w:eastAsia="en-US"/>
        </w:rPr>
      </w:pPr>
      <w:r w:rsidRPr="00FA302A">
        <w:rPr>
          <w:rFonts w:ascii="Abadi" w:hAnsi="Abadi" w:cs="Arial"/>
          <w:i/>
          <w:sz w:val="21"/>
          <w:szCs w:val="21"/>
          <w:lang w:val="es-MX" w:eastAsia="en-US"/>
        </w:rPr>
        <w:t>• Ocasionando expresiones homofóbicas como:</w:t>
      </w:r>
    </w:p>
    <w:p w14:paraId="2E47DB01" w14:textId="77777777" w:rsidR="00FA302A" w:rsidRPr="00FA302A" w:rsidRDefault="00FA302A" w:rsidP="00FA302A">
      <w:pPr>
        <w:widowControl w:val="0"/>
        <w:ind w:left="851" w:right="851"/>
        <w:jc w:val="both"/>
        <w:rPr>
          <w:rFonts w:ascii="Abadi" w:hAnsi="Abadi" w:cs="Arial"/>
          <w:i/>
          <w:sz w:val="21"/>
          <w:szCs w:val="21"/>
          <w:lang w:val="es-MX" w:eastAsia="en-US"/>
        </w:rPr>
      </w:pPr>
    </w:p>
    <w:p w14:paraId="15A96F70" w14:textId="77777777" w:rsidR="00FA302A" w:rsidRPr="00FA302A" w:rsidRDefault="00FA302A" w:rsidP="00FA302A">
      <w:pPr>
        <w:widowControl w:val="0"/>
        <w:ind w:left="851" w:right="851"/>
        <w:jc w:val="both"/>
        <w:rPr>
          <w:rFonts w:ascii="Abadi" w:hAnsi="Abadi" w:cs="Arial"/>
          <w:i/>
          <w:sz w:val="21"/>
          <w:szCs w:val="21"/>
          <w:lang w:val="es-MX" w:eastAsia="en-US"/>
        </w:rPr>
      </w:pPr>
      <w:r w:rsidRPr="00FA302A">
        <w:rPr>
          <w:rFonts w:ascii="Segoe UI Symbol" w:hAnsi="Segoe UI Symbol" w:cs="Segoe UI Symbol"/>
          <w:i/>
          <w:sz w:val="21"/>
          <w:szCs w:val="21"/>
          <w:lang w:val="es-MX" w:eastAsia="en-US"/>
        </w:rPr>
        <w:t>➢</w:t>
      </w:r>
      <w:r w:rsidRPr="00FA302A">
        <w:rPr>
          <w:rFonts w:ascii="Abadi" w:hAnsi="Abadi" w:cs="Arial"/>
          <w:i/>
          <w:sz w:val="21"/>
          <w:szCs w:val="21"/>
          <w:lang w:val="es-MX" w:eastAsia="en-US"/>
        </w:rPr>
        <w:t xml:space="preserve"> “El homosexual no nace, se hace.</w:t>
      </w:r>
    </w:p>
    <w:p w14:paraId="2024C666" w14:textId="77777777" w:rsidR="00FA302A" w:rsidRPr="00FA302A" w:rsidRDefault="00FA302A" w:rsidP="00FA302A">
      <w:pPr>
        <w:widowControl w:val="0"/>
        <w:ind w:left="851" w:right="851"/>
        <w:jc w:val="both"/>
        <w:rPr>
          <w:rFonts w:ascii="Abadi" w:hAnsi="Abadi" w:cs="Arial"/>
          <w:i/>
          <w:sz w:val="21"/>
          <w:szCs w:val="21"/>
          <w:lang w:val="es-MX" w:eastAsia="en-US"/>
        </w:rPr>
      </w:pPr>
      <w:r w:rsidRPr="00FA302A">
        <w:rPr>
          <w:rFonts w:ascii="Segoe UI Symbol" w:hAnsi="Segoe UI Symbol" w:cs="Segoe UI Symbol"/>
          <w:i/>
          <w:sz w:val="21"/>
          <w:szCs w:val="21"/>
          <w:lang w:val="es-MX" w:eastAsia="en-US"/>
        </w:rPr>
        <w:t>➢</w:t>
      </w:r>
      <w:r w:rsidRPr="00FA302A">
        <w:rPr>
          <w:rFonts w:ascii="Abadi" w:hAnsi="Abadi" w:cs="Arial"/>
          <w:i/>
          <w:sz w:val="21"/>
          <w:szCs w:val="21"/>
          <w:lang w:val="es-MX" w:eastAsia="en-US"/>
        </w:rPr>
        <w:t xml:space="preserve"> Respeto a las lesbianas y a los homosexuales, porque saben lo que quieren, pero los bisexuales son perversos, no saben lo que quieren.</w:t>
      </w:r>
    </w:p>
    <w:p w14:paraId="3DDBFF10" w14:textId="77777777" w:rsidR="00FA302A" w:rsidRPr="00FA302A" w:rsidRDefault="00FA302A" w:rsidP="00FA302A">
      <w:pPr>
        <w:widowControl w:val="0"/>
        <w:ind w:left="851" w:right="851"/>
        <w:jc w:val="both"/>
        <w:rPr>
          <w:rFonts w:ascii="Abadi" w:hAnsi="Abadi" w:cs="Arial"/>
          <w:i/>
          <w:sz w:val="21"/>
          <w:szCs w:val="21"/>
          <w:lang w:val="es-MX" w:eastAsia="en-US"/>
        </w:rPr>
      </w:pPr>
      <w:r w:rsidRPr="00FA302A">
        <w:rPr>
          <w:rFonts w:ascii="Segoe UI Symbol" w:hAnsi="Segoe UI Symbol" w:cs="Segoe UI Symbol"/>
          <w:i/>
          <w:sz w:val="21"/>
          <w:szCs w:val="21"/>
          <w:lang w:val="es-MX" w:eastAsia="en-US"/>
        </w:rPr>
        <w:t>➢</w:t>
      </w:r>
      <w:r w:rsidRPr="00FA302A">
        <w:rPr>
          <w:rFonts w:ascii="Abadi" w:hAnsi="Abadi" w:cs="Arial"/>
          <w:i/>
          <w:sz w:val="21"/>
          <w:szCs w:val="21"/>
          <w:lang w:val="es-MX" w:eastAsia="en-US"/>
        </w:rPr>
        <w:t xml:space="preserve"> Los homosexuales, bisexuales o trans (travesti, transgénero, transexual) son producto de un desvío de la naturaleza que no debemos aceptar.</w:t>
      </w:r>
    </w:p>
    <w:p w14:paraId="3BD4D1A5" w14:textId="77777777" w:rsidR="00FA302A" w:rsidRPr="00FA302A" w:rsidRDefault="00FA302A" w:rsidP="00FA302A">
      <w:pPr>
        <w:widowControl w:val="0"/>
        <w:ind w:left="851" w:right="851"/>
        <w:jc w:val="both"/>
        <w:rPr>
          <w:rFonts w:ascii="Abadi" w:hAnsi="Abadi" w:cs="Arial"/>
          <w:i/>
          <w:sz w:val="21"/>
          <w:szCs w:val="21"/>
          <w:lang w:val="es-MX" w:eastAsia="en-US"/>
        </w:rPr>
      </w:pPr>
      <w:r w:rsidRPr="00FA302A">
        <w:rPr>
          <w:rFonts w:ascii="Segoe UI Symbol" w:hAnsi="Segoe UI Symbol" w:cs="Segoe UI Symbol"/>
          <w:i/>
          <w:sz w:val="21"/>
          <w:szCs w:val="21"/>
          <w:lang w:val="es-MX" w:eastAsia="en-US"/>
        </w:rPr>
        <w:t>➢</w:t>
      </w:r>
      <w:r w:rsidRPr="00FA302A">
        <w:rPr>
          <w:rFonts w:ascii="Abadi" w:hAnsi="Abadi" w:cs="Arial"/>
          <w:i/>
          <w:sz w:val="21"/>
          <w:szCs w:val="21"/>
          <w:lang w:val="es-MX" w:eastAsia="en-US"/>
        </w:rPr>
        <w:t xml:space="preserve"> Todas las personas trans se dedican al comercio sexual.</w:t>
      </w:r>
    </w:p>
    <w:p w14:paraId="6E7B6FB2" w14:textId="77777777" w:rsidR="00FA302A" w:rsidRPr="00FA302A" w:rsidRDefault="00FA302A" w:rsidP="00FA302A">
      <w:pPr>
        <w:widowControl w:val="0"/>
        <w:ind w:left="851" w:right="851"/>
        <w:jc w:val="both"/>
        <w:rPr>
          <w:rFonts w:ascii="Abadi" w:hAnsi="Abadi" w:cs="Arial"/>
          <w:i/>
          <w:sz w:val="21"/>
          <w:szCs w:val="21"/>
          <w:lang w:val="es-MX" w:eastAsia="en-US"/>
        </w:rPr>
      </w:pPr>
      <w:r w:rsidRPr="00FA302A">
        <w:rPr>
          <w:rFonts w:ascii="Segoe UI Symbol" w:hAnsi="Segoe UI Symbol" w:cs="Segoe UI Symbol"/>
          <w:i/>
          <w:sz w:val="21"/>
          <w:szCs w:val="21"/>
          <w:lang w:val="es-MX" w:eastAsia="en-US"/>
        </w:rPr>
        <w:t>➢</w:t>
      </w:r>
      <w:r w:rsidRPr="00FA302A">
        <w:rPr>
          <w:rFonts w:ascii="Abadi" w:hAnsi="Abadi" w:cs="Arial"/>
          <w:i/>
          <w:sz w:val="21"/>
          <w:szCs w:val="21"/>
          <w:lang w:val="es-MX" w:eastAsia="en-US"/>
        </w:rPr>
        <w:t xml:space="preserve"> Las y los gays, travestis, transexuales y transgénero son producto de algún abuso sexual. Las lesbianas, gays y transexuales acosan a las personas heterosexuales que les gustan.</w:t>
      </w:r>
    </w:p>
    <w:p w14:paraId="1078E7D1" w14:textId="77777777" w:rsidR="00FA302A" w:rsidRPr="00FA302A" w:rsidRDefault="00FA302A" w:rsidP="00FA302A">
      <w:pPr>
        <w:widowControl w:val="0"/>
        <w:ind w:left="851" w:right="851"/>
        <w:jc w:val="both"/>
        <w:rPr>
          <w:rFonts w:ascii="Abadi" w:hAnsi="Abadi" w:cs="Arial"/>
          <w:i/>
          <w:sz w:val="21"/>
          <w:szCs w:val="21"/>
          <w:lang w:val="es-MX" w:eastAsia="en-US"/>
        </w:rPr>
      </w:pPr>
      <w:r w:rsidRPr="00FA302A">
        <w:rPr>
          <w:rFonts w:ascii="Segoe UI Symbol" w:hAnsi="Segoe UI Symbol" w:cs="Segoe UI Symbol"/>
          <w:i/>
          <w:sz w:val="21"/>
          <w:szCs w:val="21"/>
          <w:lang w:val="es-MX" w:eastAsia="en-US"/>
        </w:rPr>
        <w:t>➢</w:t>
      </w:r>
      <w:r w:rsidRPr="00FA302A">
        <w:rPr>
          <w:rFonts w:ascii="Abadi" w:hAnsi="Abadi" w:cs="Arial"/>
          <w:i/>
          <w:sz w:val="21"/>
          <w:szCs w:val="21"/>
          <w:lang w:val="es-MX" w:eastAsia="en-US"/>
        </w:rPr>
        <w:t xml:space="preserve"> Las lesbianas y los gays son pederastas.</w:t>
      </w:r>
    </w:p>
    <w:p w14:paraId="096202FD" w14:textId="77777777" w:rsidR="00FA302A" w:rsidRPr="00FA302A" w:rsidRDefault="00FA302A" w:rsidP="00FA302A">
      <w:pPr>
        <w:widowControl w:val="0"/>
        <w:ind w:left="851" w:right="851"/>
        <w:jc w:val="both"/>
        <w:rPr>
          <w:rFonts w:ascii="Abadi" w:hAnsi="Abadi" w:cs="Arial"/>
          <w:i/>
          <w:sz w:val="21"/>
          <w:szCs w:val="21"/>
          <w:lang w:val="es-MX" w:eastAsia="en-US"/>
        </w:rPr>
      </w:pPr>
      <w:r w:rsidRPr="00FA302A">
        <w:rPr>
          <w:rFonts w:ascii="Segoe UI Symbol" w:hAnsi="Segoe UI Symbol" w:cs="Segoe UI Symbol"/>
          <w:i/>
          <w:sz w:val="21"/>
          <w:szCs w:val="21"/>
          <w:lang w:val="es-MX" w:eastAsia="en-US"/>
        </w:rPr>
        <w:t>➢</w:t>
      </w:r>
      <w:r w:rsidRPr="00FA302A">
        <w:rPr>
          <w:rFonts w:ascii="Abadi" w:hAnsi="Abadi" w:cs="Arial"/>
          <w:i/>
          <w:sz w:val="21"/>
          <w:szCs w:val="21"/>
          <w:lang w:val="es-MX" w:eastAsia="en-US"/>
        </w:rPr>
        <w:t xml:space="preserve"> Si son LGBT+ seguro tienen sida.</w:t>
      </w:r>
    </w:p>
    <w:p w14:paraId="10195105" w14:textId="77777777" w:rsidR="00FA302A" w:rsidRPr="00FA302A" w:rsidRDefault="00FA302A" w:rsidP="00FA302A">
      <w:pPr>
        <w:widowControl w:val="0"/>
        <w:ind w:left="851" w:right="851"/>
        <w:jc w:val="both"/>
        <w:rPr>
          <w:rFonts w:ascii="Abadi" w:hAnsi="Abadi" w:cs="Arial"/>
          <w:i/>
          <w:sz w:val="21"/>
          <w:szCs w:val="21"/>
          <w:lang w:val="es-MX" w:eastAsia="en-US"/>
        </w:rPr>
      </w:pPr>
      <w:r w:rsidRPr="00FA302A">
        <w:rPr>
          <w:rFonts w:ascii="Segoe UI Symbol" w:hAnsi="Segoe UI Symbol" w:cs="Segoe UI Symbol"/>
          <w:i/>
          <w:sz w:val="21"/>
          <w:szCs w:val="21"/>
          <w:lang w:val="es-MX" w:eastAsia="en-US"/>
        </w:rPr>
        <w:t>➢</w:t>
      </w:r>
      <w:r w:rsidRPr="00FA302A">
        <w:rPr>
          <w:rFonts w:ascii="Abadi" w:hAnsi="Abadi" w:cs="Arial"/>
          <w:i/>
          <w:sz w:val="21"/>
          <w:szCs w:val="21"/>
          <w:lang w:val="es-MX" w:eastAsia="en-US"/>
        </w:rPr>
        <w:t xml:space="preserve"> Las y los homosexuales y transexuales son más promiscuas(os) que las y los heterosexuales.”</w:t>
      </w:r>
      <w:r w:rsidRPr="00FA302A">
        <w:rPr>
          <w:rFonts w:ascii="Abadi" w:hAnsi="Abadi" w:cs="Arial"/>
          <w:i/>
          <w:sz w:val="21"/>
          <w:szCs w:val="21"/>
          <w:vertAlign w:val="superscript"/>
          <w:lang w:val="es-MX" w:eastAsia="en-US"/>
        </w:rPr>
        <w:footnoteReference w:id="80"/>
      </w:r>
    </w:p>
    <w:p w14:paraId="3645EDA1" w14:textId="77777777" w:rsidR="00FA302A" w:rsidRPr="00FA302A" w:rsidRDefault="00FA302A" w:rsidP="00FA302A">
      <w:pPr>
        <w:widowControl w:val="0"/>
        <w:ind w:left="851" w:right="851"/>
        <w:jc w:val="both"/>
        <w:rPr>
          <w:rFonts w:ascii="Abadi" w:hAnsi="Abadi" w:cs="Arial"/>
          <w:i/>
          <w:sz w:val="21"/>
          <w:szCs w:val="21"/>
          <w:lang w:val="es-MX" w:eastAsia="en-US"/>
        </w:rPr>
      </w:pPr>
    </w:p>
    <w:p w14:paraId="33BA17E6" w14:textId="77777777" w:rsidR="00FA302A" w:rsidRPr="00FA302A" w:rsidRDefault="00FA302A" w:rsidP="00FA302A">
      <w:pPr>
        <w:widowControl w:val="0"/>
        <w:ind w:left="851" w:right="851"/>
        <w:jc w:val="both"/>
        <w:rPr>
          <w:rFonts w:ascii="Abadi" w:hAnsi="Abadi" w:cs="Arial"/>
          <w:i/>
          <w:sz w:val="21"/>
          <w:szCs w:val="21"/>
          <w:lang w:val="es-MX" w:eastAsia="en-US"/>
        </w:rPr>
      </w:pPr>
      <w:r w:rsidRPr="00FA302A">
        <w:rPr>
          <w:rFonts w:ascii="Abadi" w:hAnsi="Abadi" w:cs="Arial"/>
          <w:i/>
          <w:sz w:val="21"/>
          <w:szCs w:val="21"/>
          <w:lang w:val="es-MX" w:eastAsia="en-US"/>
        </w:rPr>
        <w:t>Por ello la urgencia de desterrar estas expresiones homofóbicas, llenas de prejuicios que provocan más violencia. En este sentido, el programa de capacitación con perspectiva de diversidad sexual, contendrá las siguientes etapas:</w:t>
      </w:r>
    </w:p>
    <w:p w14:paraId="0533A74D" w14:textId="77777777" w:rsidR="00FA302A" w:rsidRPr="00FA302A" w:rsidRDefault="00FA302A" w:rsidP="00FA302A">
      <w:pPr>
        <w:widowControl w:val="0"/>
        <w:ind w:left="851" w:right="851"/>
        <w:jc w:val="both"/>
        <w:rPr>
          <w:rFonts w:ascii="Abadi" w:hAnsi="Abadi" w:cs="Arial"/>
          <w:i/>
          <w:sz w:val="21"/>
          <w:szCs w:val="21"/>
          <w:lang w:val="es-MX" w:eastAsia="en-US"/>
        </w:rPr>
      </w:pPr>
    </w:p>
    <w:p w14:paraId="29A5F929" w14:textId="77777777" w:rsidR="00FA302A" w:rsidRPr="00FA302A" w:rsidRDefault="00FA302A" w:rsidP="00FA302A">
      <w:pPr>
        <w:widowControl w:val="0"/>
        <w:ind w:left="851" w:right="851"/>
        <w:jc w:val="both"/>
        <w:rPr>
          <w:rFonts w:ascii="Abadi" w:hAnsi="Abadi" w:cs="Arial"/>
          <w:i/>
          <w:sz w:val="21"/>
          <w:szCs w:val="21"/>
          <w:lang w:val="es-MX" w:eastAsia="en-US"/>
        </w:rPr>
      </w:pPr>
      <w:r w:rsidRPr="00FA302A">
        <w:rPr>
          <w:rFonts w:ascii="Abadi" w:hAnsi="Abadi" w:cs="Arial"/>
          <w:i/>
          <w:sz w:val="21"/>
          <w:szCs w:val="21"/>
          <w:lang w:val="es-MX" w:eastAsia="en-US"/>
        </w:rPr>
        <w:t>• Planificación.</w:t>
      </w:r>
    </w:p>
    <w:p w14:paraId="5F54589C" w14:textId="77777777" w:rsidR="00FA302A" w:rsidRPr="00FA302A" w:rsidRDefault="00FA302A" w:rsidP="00FA302A">
      <w:pPr>
        <w:widowControl w:val="0"/>
        <w:ind w:left="851" w:right="851"/>
        <w:jc w:val="both"/>
        <w:rPr>
          <w:rFonts w:ascii="Abadi" w:hAnsi="Abadi" w:cs="Arial"/>
          <w:i/>
          <w:sz w:val="21"/>
          <w:szCs w:val="21"/>
          <w:lang w:val="es-MX" w:eastAsia="en-US"/>
        </w:rPr>
      </w:pPr>
      <w:r w:rsidRPr="00FA302A">
        <w:rPr>
          <w:rFonts w:ascii="Abadi" w:hAnsi="Abadi" w:cs="Arial"/>
          <w:i/>
          <w:sz w:val="21"/>
          <w:szCs w:val="21"/>
          <w:lang w:val="es-MX" w:eastAsia="en-US"/>
        </w:rPr>
        <w:t>• Programación.</w:t>
      </w:r>
    </w:p>
    <w:p w14:paraId="41D833C9" w14:textId="77777777" w:rsidR="00FA302A" w:rsidRPr="00FA302A" w:rsidRDefault="00FA302A" w:rsidP="00FA302A">
      <w:pPr>
        <w:widowControl w:val="0"/>
        <w:ind w:left="851" w:right="851"/>
        <w:jc w:val="both"/>
        <w:rPr>
          <w:rFonts w:ascii="Abadi" w:hAnsi="Abadi" w:cs="Arial"/>
          <w:i/>
          <w:sz w:val="21"/>
          <w:szCs w:val="21"/>
          <w:lang w:val="es-MX" w:eastAsia="en-US"/>
        </w:rPr>
      </w:pPr>
      <w:r w:rsidRPr="00FA302A">
        <w:rPr>
          <w:rFonts w:ascii="Abadi" w:hAnsi="Abadi" w:cs="Arial"/>
          <w:i/>
          <w:sz w:val="21"/>
          <w:szCs w:val="21"/>
          <w:lang w:val="es-MX" w:eastAsia="en-US"/>
        </w:rPr>
        <w:t>• Ejecución.</w:t>
      </w:r>
    </w:p>
    <w:p w14:paraId="1E477B11" w14:textId="77777777" w:rsidR="00FA302A" w:rsidRPr="00FA302A" w:rsidRDefault="00FA302A" w:rsidP="00FA302A">
      <w:pPr>
        <w:widowControl w:val="0"/>
        <w:ind w:left="851" w:right="851"/>
        <w:jc w:val="both"/>
        <w:rPr>
          <w:rFonts w:ascii="Abadi" w:hAnsi="Abadi" w:cs="Arial"/>
          <w:i/>
          <w:sz w:val="21"/>
          <w:szCs w:val="21"/>
          <w:lang w:val="es-MX" w:eastAsia="en-US"/>
        </w:rPr>
      </w:pPr>
      <w:r w:rsidRPr="00FA302A">
        <w:rPr>
          <w:rFonts w:ascii="Abadi" w:hAnsi="Abadi" w:cs="Arial"/>
          <w:i/>
          <w:sz w:val="21"/>
          <w:szCs w:val="21"/>
          <w:lang w:val="es-MX" w:eastAsia="en-US"/>
        </w:rPr>
        <w:t>• Supervisión y seguimiento.</w:t>
      </w:r>
    </w:p>
    <w:p w14:paraId="3748F4DF" w14:textId="77777777" w:rsidR="00FA302A" w:rsidRPr="00FA302A" w:rsidRDefault="00FA302A" w:rsidP="00FA302A">
      <w:pPr>
        <w:widowControl w:val="0"/>
        <w:ind w:left="851" w:right="851"/>
        <w:jc w:val="both"/>
        <w:rPr>
          <w:rFonts w:ascii="Abadi" w:hAnsi="Abadi" w:cs="Arial"/>
          <w:i/>
          <w:sz w:val="21"/>
          <w:szCs w:val="21"/>
          <w:lang w:val="es-MX" w:eastAsia="en-US"/>
        </w:rPr>
      </w:pPr>
    </w:p>
    <w:p w14:paraId="04E6E39C" w14:textId="77777777" w:rsidR="00FA302A" w:rsidRPr="00FA302A" w:rsidRDefault="00FA302A" w:rsidP="00FA302A">
      <w:pPr>
        <w:widowControl w:val="0"/>
        <w:ind w:left="851" w:right="851"/>
        <w:jc w:val="both"/>
        <w:rPr>
          <w:rFonts w:ascii="Abadi" w:hAnsi="Abadi" w:cs="Arial"/>
          <w:i/>
          <w:sz w:val="21"/>
          <w:szCs w:val="21"/>
          <w:lang w:val="es-MX" w:eastAsia="en-US"/>
        </w:rPr>
      </w:pPr>
      <w:r w:rsidRPr="00FA302A">
        <w:rPr>
          <w:rFonts w:ascii="Abadi" w:hAnsi="Abadi" w:cs="Arial"/>
          <w:i/>
          <w:sz w:val="21"/>
          <w:szCs w:val="21"/>
          <w:lang w:val="es-MX" w:eastAsia="en-US"/>
        </w:rPr>
        <w:t>Por lo que se refiere al contenido, el programa de capacitación debe incluir como mínimo los siguientes aspectos a desarrollar:</w:t>
      </w:r>
    </w:p>
    <w:p w14:paraId="28B68DEC" w14:textId="77777777" w:rsidR="00FA302A" w:rsidRPr="00FA302A" w:rsidRDefault="00FA302A" w:rsidP="00FA302A">
      <w:pPr>
        <w:widowControl w:val="0"/>
        <w:ind w:left="851" w:right="851"/>
        <w:jc w:val="both"/>
        <w:rPr>
          <w:rFonts w:ascii="Abadi" w:hAnsi="Abadi" w:cs="Arial"/>
          <w:i/>
          <w:sz w:val="21"/>
          <w:szCs w:val="21"/>
          <w:lang w:val="es-MX" w:eastAsia="en-US"/>
        </w:rPr>
      </w:pPr>
      <w:r w:rsidRPr="00FA302A">
        <w:rPr>
          <w:rFonts w:ascii="Abadi" w:hAnsi="Abadi" w:cs="Arial"/>
          <w:i/>
          <w:sz w:val="21"/>
          <w:szCs w:val="21"/>
          <w:lang w:val="es-MX" w:eastAsia="en-US"/>
        </w:rPr>
        <w:t>• Importancia de la diversidad sexual y la sexualidad.</w:t>
      </w:r>
    </w:p>
    <w:p w14:paraId="7E6F5DB0" w14:textId="77777777" w:rsidR="00FA302A" w:rsidRPr="00FA302A" w:rsidRDefault="00FA302A" w:rsidP="00FA302A">
      <w:pPr>
        <w:widowControl w:val="0"/>
        <w:ind w:left="851" w:right="851"/>
        <w:jc w:val="both"/>
        <w:rPr>
          <w:rFonts w:ascii="Abadi" w:hAnsi="Abadi" w:cs="Arial"/>
          <w:i/>
          <w:sz w:val="21"/>
          <w:szCs w:val="21"/>
          <w:lang w:val="es-MX" w:eastAsia="en-US"/>
        </w:rPr>
      </w:pPr>
      <w:r w:rsidRPr="00FA302A">
        <w:rPr>
          <w:rFonts w:ascii="Abadi" w:hAnsi="Abadi" w:cs="Arial"/>
          <w:i/>
          <w:sz w:val="21"/>
          <w:szCs w:val="21"/>
          <w:lang w:val="es-MX" w:eastAsia="en-US"/>
        </w:rPr>
        <w:t>• Autonomía, identidad y no discriminación.</w:t>
      </w:r>
    </w:p>
    <w:p w14:paraId="116A29AB" w14:textId="77777777" w:rsidR="00FA302A" w:rsidRPr="00FA302A" w:rsidRDefault="00FA302A" w:rsidP="00FA302A">
      <w:pPr>
        <w:widowControl w:val="0"/>
        <w:ind w:left="851" w:right="851"/>
        <w:jc w:val="both"/>
        <w:rPr>
          <w:rFonts w:ascii="Abadi" w:hAnsi="Abadi" w:cs="Arial"/>
          <w:i/>
          <w:sz w:val="21"/>
          <w:szCs w:val="21"/>
          <w:lang w:val="es-MX" w:eastAsia="en-US"/>
        </w:rPr>
      </w:pPr>
      <w:r w:rsidRPr="00FA302A">
        <w:rPr>
          <w:rFonts w:ascii="Abadi" w:hAnsi="Abadi" w:cs="Arial"/>
          <w:i/>
          <w:sz w:val="21"/>
          <w:szCs w:val="21"/>
          <w:lang w:val="es-MX" w:eastAsia="en-US"/>
        </w:rPr>
        <w:t>• Formas de expresión de la sexualidad.</w:t>
      </w:r>
    </w:p>
    <w:p w14:paraId="30CD3AFF" w14:textId="77777777" w:rsidR="00FA302A" w:rsidRPr="00FA302A" w:rsidRDefault="00FA302A" w:rsidP="00FA302A">
      <w:pPr>
        <w:widowControl w:val="0"/>
        <w:ind w:left="851" w:right="851"/>
        <w:jc w:val="both"/>
        <w:rPr>
          <w:rFonts w:ascii="Abadi" w:hAnsi="Abadi" w:cs="Arial"/>
          <w:i/>
          <w:sz w:val="21"/>
          <w:szCs w:val="21"/>
          <w:lang w:val="es-MX" w:eastAsia="en-US"/>
        </w:rPr>
      </w:pPr>
      <w:r w:rsidRPr="00FA302A">
        <w:rPr>
          <w:rFonts w:ascii="Abadi" w:hAnsi="Abadi" w:cs="Arial"/>
          <w:i/>
          <w:sz w:val="21"/>
          <w:szCs w:val="21"/>
          <w:lang w:val="es-MX" w:eastAsia="en-US"/>
        </w:rPr>
        <w:t>• Manifestaciones y consecuencias de la discriminación.</w:t>
      </w:r>
    </w:p>
    <w:p w14:paraId="4C5D131D" w14:textId="77777777" w:rsidR="00FA302A" w:rsidRPr="00FA302A" w:rsidRDefault="00FA302A" w:rsidP="00FA302A">
      <w:pPr>
        <w:widowControl w:val="0"/>
        <w:ind w:left="851" w:right="851"/>
        <w:jc w:val="both"/>
        <w:rPr>
          <w:rFonts w:ascii="Abadi" w:hAnsi="Abadi" w:cs="Arial"/>
          <w:i/>
          <w:sz w:val="21"/>
          <w:szCs w:val="21"/>
          <w:lang w:val="es-MX" w:eastAsia="en-US"/>
        </w:rPr>
      </w:pPr>
      <w:r w:rsidRPr="00FA302A">
        <w:rPr>
          <w:rFonts w:ascii="Abadi" w:hAnsi="Abadi" w:cs="Arial"/>
          <w:i/>
          <w:sz w:val="21"/>
          <w:szCs w:val="21"/>
          <w:lang w:val="es-MX" w:eastAsia="en-US"/>
        </w:rPr>
        <w:t>• Inclusión social.</w:t>
      </w:r>
    </w:p>
    <w:p w14:paraId="29B32E81" w14:textId="77777777" w:rsidR="00FA302A" w:rsidRPr="00FA302A" w:rsidRDefault="00FA302A" w:rsidP="00FA302A">
      <w:pPr>
        <w:widowControl w:val="0"/>
        <w:ind w:left="851" w:right="851"/>
        <w:jc w:val="both"/>
        <w:rPr>
          <w:rFonts w:ascii="Abadi" w:hAnsi="Abadi" w:cs="Arial"/>
          <w:i/>
          <w:sz w:val="21"/>
          <w:szCs w:val="21"/>
          <w:lang w:val="es-MX" w:eastAsia="en-US"/>
        </w:rPr>
      </w:pPr>
      <w:r w:rsidRPr="00FA302A">
        <w:rPr>
          <w:rFonts w:ascii="Abadi" w:hAnsi="Abadi" w:cs="Arial"/>
          <w:i/>
          <w:sz w:val="21"/>
          <w:szCs w:val="21"/>
          <w:lang w:val="es-MX" w:eastAsia="en-US"/>
        </w:rPr>
        <w:t>• Erradicación de actos violentos.</w:t>
      </w:r>
    </w:p>
    <w:p w14:paraId="5A0BE513" w14:textId="77777777" w:rsidR="00FA302A" w:rsidRPr="00FA302A" w:rsidRDefault="00FA302A" w:rsidP="00FA302A">
      <w:pPr>
        <w:widowControl w:val="0"/>
        <w:ind w:left="851" w:right="851"/>
        <w:jc w:val="both"/>
        <w:rPr>
          <w:rFonts w:ascii="Abadi" w:hAnsi="Abadi" w:cs="Arial"/>
          <w:i/>
          <w:sz w:val="21"/>
          <w:szCs w:val="21"/>
          <w:lang w:val="es-MX" w:eastAsia="en-US"/>
        </w:rPr>
      </w:pPr>
    </w:p>
    <w:p w14:paraId="155FFE6B" w14:textId="77777777" w:rsidR="00FA302A" w:rsidRPr="00FA302A" w:rsidRDefault="00FA302A" w:rsidP="00FA302A">
      <w:pPr>
        <w:widowControl w:val="0"/>
        <w:ind w:left="851" w:right="851"/>
        <w:jc w:val="both"/>
        <w:rPr>
          <w:rFonts w:ascii="Abadi" w:hAnsi="Abadi" w:cs="Arial"/>
          <w:i/>
          <w:sz w:val="21"/>
          <w:szCs w:val="21"/>
          <w:lang w:val="es-MX" w:eastAsia="en-US"/>
        </w:rPr>
      </w:pPr>
      <w:r w:rsidRPr="00FA302A">
        <w:rPr>
          <w:rFonts w:ascii="Abadi" w:hAnsi="Abadi" w:cs="Arial"/>
          <w:i/>
          <w:sz w:val="21"/>
          <w:szCs w:val="21"/>
          <w:lang w:val="es-MX" w:eastAsia="en-US"/>
        </w:rPr>
        <w:t>Este programa estará sujeto a una serie de indicadores que le permitan mediar anualmente al Gobierno del Estado y a los ayuntamientos el seguimiento y evaluación de cada de sus resultados, así como las áreas de oportunidad para mejorar.</w:t>
      </w:r>
    </w:p>
    <w:p w14:paraId="1EB013A8" w14:textId="77777777" w:rsidR="00FA302A" w:rsidRPr="00FA302A" w:rsidRDefault="00FA302A" w:rsidP="00FA302A">
      <w:pPr>
        <w:widowControl w:val="0"/>
        <w:ind w:left="851" w:right="851"/>
        <w:jc w:val="both"/>
        <w:rPr>
          <w:rFonts w:ascii="Abadi" w:hAnsi="Abadi" w:cs="Arial"/>
          <w:i/>
          <w:sz w:val="21"/>
          <w:szCs w:val="21"/>
          <w:lang w:val="es-MX" w:eastAsia="en-US"/>
        </w:rPr>
      </w:pPr>
    </w:p>
    <w:p w14:paraId="63EEE421" w14:textId="77777777" w:rsidR="00FA302A" w:rsidRPr="00FA302A" w:rsidRDefault="00FA302A" w:rsidP="00FA302A">
      <w:pPr>
        <w:widowControl w:val="0"/>
        <w:ind w:left="851" w:right="851"/>
        <w:jc w:val="both"/>
        <w:rPr>
          <w:rFonts w:ascii="Abadi" w:hAnsi="Abadi" w:cs="Arial"/>
          <w:i/>
          <w:sz w:val="21"/>
          <w:szCs w:val="21"/>
          <w:lang w:val="es-MX" w:eastAsia="en-US"/>
        </w:rPr>
      </w:pPr>
      <w:r w:rsidRPr="00FA302A">
        <w:rPr>
          <w:rFonts w:ascii="Abadi" w:hAnsi="Abadi" w:cs="Arial"/>
          <w:i/>
          <w:sz w:val="21"/>
          <w:szCs w:val="21"/>
          <w:lang w:val="es-MX" w:eastAsia="en-US"/>
        </w:rPr>
        <w:t>Este programa de capacitación provocará un cambio radical en la forma de interactuar con las personas de la diversidad sexual, los servidores públicos y las demás personas del estado. Se logrará una igualdad de todos, pero sobre todo se estará construyendo un lugar y una sociedad más tolerante y sin discriminación, donde las lesbianas, gays, bisexuales, transgénero, travestí, transexuales, lntersexual y queer, se sentirán parte de un estado seguro e incluyente.</w:t>
      </w:r>
    </w:p>
    <w:p w14:paraId="5EB2A67F" w14:textId="77777777" w:rsidR="00FA302A" w:rsidRPr="00FA302A" w:rsidRDefault="00FA302A" w:rsidP="00FA302A">
      <w:pPr>
        <w:widowControl w:val="0"/>
        <w:spacing w:line="360" w:lineRule="auto"/>
        <w:jc w:val="both"/>
        <w:rPr>
          <w:rFonts w:ascii="Abadi" w:hAnsi="Abadi" w:cs="Arial"/>
          <w:sz w:val="21"/>
          <w:szCs w:val="21"/>
          <w:lang w:val="es-MX"/>
        </w:rPr>
      </w:pPr>
    </w:p>
    <w:p w14:paraId="06AA2E2E" w14:textId="77777777" w:rsidR="00FA302A" w:rsidRPr="00FA302A" w:rsidRDefault="00FA302A" w:rsidP="00FA302A">
      <w:pPr>
        <w:widowControl w:val="0"/>
        <w:spacing w:line="360" w:lineRule="auto"/>
        <w:ind w:left="851"/>
        <w:jc w:val="both"/>
        <w:rPr>
          <w:rFonts w:ascii="Abadi" w:hAnsi="Abadi"/>
          <w:b/>
          <w:sz w:val="21"/>
          <w:szCs w:val="21"/>
          <w:lang w:val="es-MX"/>
        </w:rPr>
      </w:pPr>
      <w:r w:rsidRPr="00FA302A">
        <w:rPr>
          <w:rFonts w:ascii="Abadi" w:hAnsi="Abadi" w:cs="Arial"/>
          <w:b/>
          <w:sz w:val="21"/>
          <w:szCs w:val="21"/>
          <w:lang w:val="es-MX"/>
        </w:rPr>
        <w:t>CONSIDERACIONES DE LA COMISIÓN</w:t>
      </w:r>
      <w:r w:rsidRPr="00FA302A">
        <w:rPr>
          <w:rFonts w:ascii="Abadi" w:hAnsi="Abadi"/>
          <w:b/>
          <w:sz w:val="21"/>
          <w:szCs w:val="21"/>
          <w:lang w:val="es-MX"/>
        </w:rPr>
        <w:t>.</w:t>
      </w:r>
    </w:p>
    <w:p w14:paraId="49BA5E99" w14:textId="77777777" w:rsidR="00FA302A" w:rsidRPr="00FA302A" w:rsidRDefault="00FA302A" w:rsidP="008317A0">
      <w:pPr>
        <w:widowControl w:val="0"/>
        <w:jc w:val="both"/>
        <w:rPr>
          <w:rFonts w:ascii="Abadi" w:hAnsi="Abadi"/>
          <w:sz w:val="21"/>
          <w:szCs w:val="21"/>
          <w:lang w:val="es-MX" w:eastAsia="en-US"/>
        </w:rPr>
      </w:pPr>
    </w:p>
    <w:p w14:paraId="0DCBDCCA" w14:textId="77777777" w:rsidR="00FA302A" w:rsidRPr="00FA302A" w:rsidRDefault="00FA302A" w:rsidP="008317A0">
      <w:pPr>
        <w:widowControl w:val="0"/>
        <w:ind w:firstLine="851"/>
        <w:jc w:val="both"/>
        <w:rPr>
          <w:rFonts w:ascii="Abadi" w:hAnsi="Abadi" w:cs="Arial"/>
          <w:sz w:val="21"/>
          <w:szCs w:val="21"/>
          <w:lang w:val="es-MX"/>
        </w:rPr>
      </w:pPr>
      <w:r w:rsidRPr="00FA302A">
        <w:rPr>
          <w:rFonts w:ascii="Abadi" w:hAnsi="Abadi" w:cs="Arial"/>
          <w:sz w:val="21"/>
          <w:szCs w:val="21"/>
          <w:lang w:val="es-MX"/>
        </w:rPr>
        <w:t xml:space="preserve">Nuestra ley orgánica otorga a las comisiones legislativas -en el artículo 89, fracción V-, la atribución de </w:t>
      </w:r>
      <w:r w:rsidRPr="00FA302A">
        <w:rPr>
          <w:rFonts w:ascii="Abadi" w:hAnsi="Abadi" w:cs="Arial"/>
          <w:i/>
          <w:iCs/>
          <w:sz w:val="21"/>
          <w:szCs w:val="21"/>
          <w:lang w:val="es-MX"/>
        </w:rPr>
        <w:t>dictaminar, atender o resolver las iniciativas de Ley o decreto, acuerdos, proposiciones y asuntos que les hayan sido turnados</w:t>
      </w:r>
      <w:r w:rsidRPr="00FA302A">
        <w:rPr>
          <w:rFonts w:ascii="Abadi" w:hAnsi="Abadi" w:cs="Arial"/>
          <w:sz w:val="21"/>
          <w:szCs w:val="21"/>
          <w:lang w:val="es-MX"/>
        </w:rPr>
        <w:t>.</w:t>
      </w:r>
    </w:p>
    <w:p w14:paraId="60E1F69D" w14:textId="77777777" w:rsidR="00FA302A" w:rsidRPr="00FA302A" w:rsidRDefault="00FA302A" w:rsidP="008317A0">
      <w:pPr>
        <w:widowControl w:val="0"/>
        <w:jc w:val="both"/>
        <w:rPr>
          <w:rFonts w:ascii="Abadi" w:hAnsi="Abadi" w:cs="Arial"/>
          <w:sz w:val="21"/>
          <w:szCs w:val="21"/>
          <w:lang w:val="es-MX"/>
        </w:rPr>
      </w:pPr>
    </w:p>
    <w:p w14:paraId="57BEDEF1" w14:textId="77777777" w:rsidR="00FA302A" w:rsidRPr="00FA302A" w:rsidRDefault="00FA302A" w:rsidP="008317A0">
      <w:pPr>
        <w:widowControl w:val="0"/>
        <w:ind w:firstLine="851"/>
        <w:jc w:val="both"/>
        <w:rPr>
          <w:rFonts w:ascii="Abadi" w:hAnsi="Abadi" w:cs="Arial"/>
          <w:sz w:val="21"/>
          <w:szCs w:val="21"/>
          <w:lang w:val="es-MX"/>
        </w:rPr>
      </w:pPr>
      <w:r w:rsidRPr="00FA302A">
        <w:rPr>
          <w:rFonts w:ascii="Abadi" w:hAnsi="Abadi" w:cs="Arial"/>
          <w:sz w:val="21"/>
          <w:szCs w:val="21"/>
          <w:lang w:val="es-MX"/>
        </w:rPr>
        <w:t>Esta comisión legislativa tiene competencia para el conocimiento y dictamen de los asuntos que se</w:t>
      </w:r>
      <w:r w:rsidRPr="00FA302A">
        <w:rPr>
          <w:rFonts w:ascii="Abadi" w:hAnsi="Abadi" w:cs="Arial"/>
          <w:i/>
          <w:iCs/>
          <w:sz w:val="21"/>
          <w:szCs w:val="21"/>
          <w:lang w:val="es-MX"/>
        </w:rPr>
        <w:t xml:space="preserve"> relacionen con la protección de los derechos de las personas en riesgo de vulnerabilidad o grupos vulnerables</w:t>
      </w:r>
      <w:r w:rsidRPr="00FA302A">
        <w:rPr>
          <w:rFonts w:ascii="Abadi" w:hAnsi="Abadi" w:cs="Arial"/>
          <w:sz w:val="21"/>
          <w:szCs w:val="21"/>
          <w:lang w:val="es-MX"/>
        </w:rPr>
        <w:t xml:space="preserve"> (artículo 106 -fracción IX- de la Ley Orgánica del Poder Legislativo del Estado de Guanajuato). Con este fundamento, para estudio y dictamen, se turnó la propuesta que nos ocupa.</w:t>
      </w:r>
    </w:p>
    <w:p w14:paraId="507BB1B2" w14:textId="77777777" w:rsidR="00FA302A" w:rsidRPr="00FA302A" w:rsidRDefault="00FA302A" w:rsidP="008317A0">
      <w:pPr>
        <w:widowControl w:val="0"/>
        <w:jc w:val="both"/>
        <w:rPr>
          <w:rFonts w:ascii="Abadi" w:hAnsi="Abadi" w:cs="Arial"/>
          <w:sz w:val="21"/>
          <w:szCs w:val="21"/>
          <w:lang w:val="es-MX"/>
        </w:rPr>
      </w:pPr>
    </w:p>
    <w:p w14:paraId="345CD3F4" w14:textId="77777777" w:rsidR="00FA302A" w:rsidRPr="00FA302A" w:rsidRDefault="00FA302A" w:rsidP="008317A0">
      <w:pPr>
        <w:widowControl w:val="0"/>
        <w:ind w:firstLine="851"/>
        <w:jc w:val="both"/>
        <w:rPr>
          <w:rFonts w:ascii="Abadi" w:hAnsi="Abadi" w:cs="Arial"/>
          <w:sz w:val="21"/>
          <w:szCs w:val="21"/>
          <w:lang w:val="es-MX"/>
        </w:rPr>
      </w:pPr>
      <w:r w:rsidRPr="00FA302A">
        <w:rPr>
          <w:rFonts w:ascii="Abadi" w:hAnsi="Abadi" w:cs="Arial"/>
          <w:sz w:val="21"/>
          <w:szCs w:val="21"/>
          <w:lang w:val="es-MX"/>
        </w:rPr>
        <w:t xml:space="preserve">Si bien nuestra ley orgánica no define las propuestas de punto de acuerdo, el </w:t>
      </w:r>
      <w:r w:rsidRPr="00FA302A">
        <w:rPr>
          <w:rFonts w:ascii="Abadi" w:hAnsi="Abadi" w:cs="Arial"/>
          <w:i/>
          <w:iCs/>
          <w:sz w:val="21"/>
          <w:szCs w:val="21"/>
          <w:lang w:val="es-MX"/>
        </w:rPr>
        <w:t>Prontuario de términos, prácticas y procedimientos más usados en el trabajo parlamentario</w:t>
      </w:r>
      <w:r w:rsidRPr="00FA302A">
        <w:rPr>
          <w:rFonts w:ascii="Abadi" w:hAnsi="Abadi" w:cs="Arial"/>
          <w:sz w:val="21"/>
          <w:szCs w:val="21"/>
          <w:lang w:val="es-MX"/>
        </w:rPr>
        <w:t>, expedido durante la Sexagésima Cuarta Legislatura de este Congreso, apunta lo que debemos entender por estas:</w:t>
      </w:r>
    </w:p>
    <w:p w14:paraId="683C0CC2" w14:textId="77777777" w:rsidR="00FA302A" w:rsidRPr="00FA302A" w:rsidRDefault="00FA302A" w:rsidP="008317A0">
      <w:pPr>
        <w:widowControl w:val="0"/>
        <w:jc w:val="both"/>
        <w:rPr>
          <w:rFonts w:ascii="Abadi" w:hAnsi="Abadi" w:cs="Arial"/>
          <w:sz w:val="21"/>
          <w:szCs w:val="21"/>
          <w:lang w:val="es-MX"/>
        </w:rPr>
      </w:pPr>
    </w:p>
    <w:p w14:paraId="62C25580" w14:textId="77777777" w:rsidR="00FA302A" w:rsidRPr="00FA302A" w:rsidRDefault="00FA302A" w:rsidP="008317A0">
      <w:pPr>
        <w:widowControl w:val="0"/>
        <w:ind w:left="851" w:right="851"/>
        <w:jc w:val="both"/>
        <w:rPr>
          <w:rFonts w:ascii="Abadi" w:hAnsi="Abadi" w:cs="Arial"/>
          <w:i/>
          <w:sz w:val="21"/>
          <w:szCs w:val="21"/>
          <w:lang w:val="es-MX" w:eastAsia="en-US"/>
        </w:rPr>
      </w:pPr>
      <w:r w:rsidRPr="00FA302A">
        <w:rPr>
          <w:rFonts w:ascii="Abadi" w:hAnsi="Abadi" w:cs="Arial"/>
          <w:i/>
          <w:sz w:val="21"/>
          <w:szCs w:val="21"/>
          <w:lang w:val="es-MX" w:eastAsia="en-US"/>
        </w:rPr>
        <w:t>Resolución tomada por la mayoría de los legisladores, para establecer la postura política, económica, social o cultural del Congreso en asuntos de interés público que, por su naturaleza, no requieran sanción, promulgación ni publicación (Luna Kan, 2012, p. 3).</w:t>
      </w:r>
    </w:p>
    <w:p w14:paraId="54570656" w14:textId="77777777" w:rsidR="00FA302A" w:rsidRPr="00FA302A" w:rsidRDefault="00FA302A" w:rsidP="008317A0">
      <w:pPr>
        <w:widowControl w:val="0"/>
        <w:jc w:val="both"/>
        <w:rPr>
          <w:rFonts w:ascii="Abadi" w:hAnsi="Abadi" w:cs="Arial"/>
          <w:sz w:val="21"/>
          <w:szCs w:val="21"/>
          <w:lang w:val="es-MX"/>
        </w:rPr>
      </w:pPr>
    </w:p>
    <w:p w14:paraId="299AEE3B" w14:textId="77777777" w:rsidR="00FA302A" w:rsidRPr="00FA302A" w:rsidRDefault="00FA302A" w:rsidP="008317A0">
      <w:pPr>
        <w:widowControl w:val="0"/>
        <w:ind w:firstLine="851"/>
        <w:jc w:val="both"/>
        <w:rPr>
          <w:rFonts w:ascii="Abadi" w:hAnsi="Abadi" w:cs="Arial"/>
          <w:sz w:val="21"/>
          <w:szCs w:val="21"/>
          <w:lang w:val="es-MX"/>
        </w:rPr>
      </w:pPr>
      <w:r w:rsidRPr="00FA302A">
        <w:rPr>
          <w:rFonts w:ascii="Abadi" w:hAnsi="Abadi" w:cs="Arial"/>
          <w:sz w:val="21"/>
          <w:szCs w:val="21"/>
          <w:lang w:val="es-MX"/>
        </w:rPr>
        <w:t>Así, tenemos que el aprobar un punto de acuerdo implica que se asuma una postura institucional respecto de una determinada materia.</w:t>
      </w:r>
    </w:p>
    <w:p w14:paraId="37B210DF" w14:textId="77777777" w:rsidR="00FA302A" w:rsidRPr="00FA302A" w:rsidRDefault="00FA302A" w:rsidP="008317A0">
      <w:pPr>
        <w:widowControl w:val="0"/>
        <w:jc w:val="both"/>
        <w:rPr>
          <w:rFonts w:ascii="Abadi" w:hAnsi="Abadi" w:cs="Arial"/>
          <w:sz w:val="21"/>
          <w:szCs w:val="21"/>
          <w:lang w:val="es-MX"/>
        </w:rPr>
      </w:pPr>
    </w:p>
    <w:p w14:paraId="453E00C5" w14:textId="77777777" w:rsidR="00FA302A" w:rsidRPr="00FA302A" w:rsidRDefault="00FA302A" w:rsidP="008317A0">
      <w:pPr>
        <w:widowControl w:val="0"/>
        <w:ind w:firstLine="851"/>
        <w:jc w:val="both"/>
        <w:rPr>
          <w:rFonts w:ascii="Abadi" w:hAnsi="Abadi" w:cs="Arial"/>
          <w:sz w:val="21"/>
          <w:szCs w:val="21"/>
          <w:lang w:val="es-MX"/>
        </w:rPr>
      </w:pPr>
      <w:r w:rsidRPr="00FA302A">
        <w:rPr>
          <w:rFonts w:ascii="Abadi" w:hAnsi="Abadi" w:cs="Arial"/>
          <w:sz w:val="21"/>
          <w:szCs w:val="21"/>
          <w:lang w:val="es-MX"/>
        </w:rPr>
        <w:t>En el caso que nos ocupa, el elemento principal que tuvimos en cuenta para dictaminar fue el abordaje en la Junta de Gobierno y Coordinación Política, del rezago de los pendientes en comisiones.</w:t>
      </w:r>
    </w:p>
    <w:p w14:paraId="76B06386" w14:textId="77777777" w:rsidR="00FA302A" w:rsidRPr="00FA302A" w:rsidRDefault="00FA302A" w:rsidP="008317A0">
      <w:pPr>
        <w:widowControl w:val="0"/>
        <w:jc w:val="both"/>
        <w:rPr>
          <w:rFonts w:ascii="Abadi" w:hAnsi="Abadi" w:cs="Arial"/>
          <w:sz w:val="21"/>
          <w:szCs w:val="21"/>
          <w:lang w:val="es-MX"/>
        </w:rPr>
      </w:pPr>
    </w:p>
    <w:p w14:paraId="67E70357" w14:textId="77777777" w:rsidR="00FA302A" w:rsidRPr="00FA302A" w:rsidRDefault="00FA302A" w:rsidP="008317A0">
      <w:pPr>
        <w:widowControl w:val="0"/>
        <w:ind w:firstLine="851"/>
        <w:jc w:val="both"/>
        <w:rPr>
          <w:rFonts w:ascii="Abadi" w:hAnsi="Abadi" w:cs="Arial"/>
          <w:sz w:val="21"/>
          <w:szCs w:val="21"/>
          <w:lang w:val="es-MX"/>
        </w:rPr>
      </w:pPr>
      <w:r w:rsidRPr="00FA302A">
        <w:rPr>
          <w:rFonts w:ascii="Abadi" w:hAnsi="Abadi" w:cs="Arial"/>
          <w:sz w:val="21"/>
          <w:szCs w:val="21"/>
          <w:lang w:val="es-MX"/>
        </w:rPr>
        <w:t>Para atender este rezago se estableció, entre otras acciones, que los grupos y representaciones parlamentarios harían un análisis de los asuntos pendientes y manifestarían su interés o no respecto de los mismos. Asimismo, que aquellos asuntos respecto de los cuales no se manifestó interés, se dictaminarían a la brevedad.</w:t>
      </w:r>
    </w:p>
    <w:p w14:paraId="2477FD98" w14:textId="77777777" w:rsidR="00FA302A" w:rsidRPr="00FA302A" w:rsidRDefault="00FA302A" w:rsidP="008317A0">
      <w:pPr>
        <w:widowControl w:val="0"/>
        <w:jc w:val="both"/>
        <w:rPr>
          <w:rFonts w:ascii="Abadi" w:hAnsi="Abadi" w:cs="Arial"/>
          <w:sz w:val="21"/>
          <w:szCs w:val="21"/>
          <w:lang w:val="es-MX"/>
        </w:rPr>
      </w:pPr>
    </w:p>
    <w:p w14:paraId="2A4873A8" w14:textId="77777777" w:rsidR="00FA302A" w:rsidRPr="00FA302A" w:rsidRDefault="00FA302A" w:rsidP="008317A0">
      <w:pPr>
        <w:widowControl w:val="0"/>
        <w:ind w:firstLine="851"/>
        <w:jc w:val="both"/>
        <w:rPr>
          <w:rFonts w:ascii="Abadi" w:hAnsi="Abadi" w:cs="Arial"/>
          <w:sz w:val="21"/>
          <w:szCs w:val="21"/>
          <w:lang w:val="es-MX"/>
        </w:rPr>
      </w:pPr>
      <w:r w:rsidRPr="00FA302A">
        <w:rPr>
          <w:rFonts w:ascii="Abadi" w:hAnsi="Abadi" w:cs="Arial"/>
          <w:sz w:val="21"/>
          <w:szCs w:val="21"/>
          <w:lang w:val="es-MX"/>
        </w:rPr>
        <w:t>Esta propuesta de punto de acuerdo se encuentra dentro de los asuntos que la diputada y el diputado integrantes del Grupo Parlamentario del Partido Verde Ecologista de México de la Sexagésima Quinta Legislatura no desean impulsar, ello en el marco del acuerdo de la Junta de Gobierno y Coordinación Política para depurar los pendientes en comisiones.</w:t>
      </w:r>
    </w:p>
    <w:p w14:paraId="3889B9CA" w14:textId="77777777" w:rsidR="00FA302A" w:rsidRPr="00FA302A" w:rsidRDefault="00FA302A" w:rsidP="008317A0">
      <w:pPr>
        <w:widowControl w:val="0"/>
        <w:jc w:val="both"/>
        <w:rPr>
          <w:rFonts w:ascii="Abadi" w:hAnsi="Abadi" w:cs="Arial"/>
          <w:sz w:val="21"/>
          <w:szCs w:val="21"/>
          <w:lang w:val="es-MX"/>
        </w:rPr>
      </w:pPr>
    </w:p>
    <w:p w14:paraId="16A95859" w14:textId="77777777" w:rsidR="00FA302A" w:rsidRPr="00FA302A" w:rsidRDefault="00FA302A" w:rsidP="008317A0">
      <w:pPr>
        <w:widowControl w:val="0"/>
        <w:ind w:firstLine="851"/>
        <w:jc w:val="both"/>
        <w:rPr>
          <w:rFonts w:ascii="Abadi" w:hAnsi="Abadi" w:cs="Arial"/>
          <w:sz w:val="21"/>
          <w:szCs w:val="21"/>
          <w:lang w:val="es-MX"/>
        </w:rPr>
      </w:pPr>
      <w:r w:rsidRPr="00FA302A">
        <w:rPr>
          <w:rFonts w:ascii="Abadi" w:hAnsi="Abadi" w:cs="Arial"/>
          <w:sz w:val="21"/>
          <w:szCs w:val="21"/>
          <w:lang w:val="es-MX"/>
        </w:rPr>
        <w:t>En atención a las anteriores consideraciones, en reunión de la Comisión celebrada el 19 de julio de 2022 se acordó por unanimidad dictaminar en sentido negativo la propuesta de punto de acuerdo.</w:t>
      </w:r>
    </w:p>
    <w:p w14:paraId="79AEF943" w14:textId="77777777" w:rsidR="00FA302A" w:rsidRPr="00FA302A" w:rsidRDefault="00FA302A" w:rsidP="008317A0">
      <w:pPr>
        <w:widowControl w:val="0"/>
        <w:ind w:firstLine="851"/>
        <w:jc w:val="both"/>
        <w:rPr>
          <w:rFonts w:ascii="Abadi" w:hAnsi="Abadi" w:cs="Arial"/>
          <w:sz w:val="21"/>
          <w:szCs w:val="21"/>
          <w:lang w:val="es-MX"/>
        </w:rPr>
      </w:pPr>
    </w:p>
    <w:p w14:paraId="489D829D" w14:textId="77777777" w:rsidR="00FA302A" w:rsidRPr="00FA302A" w:rsidRDefault="00FA302A" w:rsidP="008317A0">
      <w:pPr>
        <w:widowControl w:val="0"/>
        <w:ind w:firstLine="851"/>
        <w:jc w:val="both"/>
        <w:rPr>
          <w:rFonts w:ascii="Abadi" w:hAnsi="Abadi"/>
          <w:sz w:val="21"/>
          <w:szCs w:val="21"/>
          <w:lang w:val="es-MX"/>
        </w:rPr>
      </w:pPr>
      <w:r w:rsidRPr="00FA302A">
        <w:rPr>
          <w:rFonts w:ascii="Abadi" w:hAnsi="Abadi" w:cs="Arial"/>
          <w:sz w:val="21"/>
          <w:szCs w:val="21"/>
          <w:lang w:val="es-MX"/>
        </w:rPr>
        <w:t xml:space="preserve">En mérito de lo expuesto, sometemos a </w:t>
      </w:r>
      <w:r w:rsidRPr="00FA302A">
        <w:rPr>
          <w:rFonts w:ascii="Abadi" w:hAnsi="Abadi"/>
          <w:sz w:val="21"/>
          <w:szCs w:val="21"/>
          <w:lang w:val="es-MX"/>
        </w:rPr>
        <w:t>consideración de la Asamblea, la aprobación del siguiente:</w:t>
      </w:r>
    </w:p>
    <w:p w14:paraId="5DA8A3DD" w14:textId="77777777" w:rsidR="00FA302A" w:rsidRPr="00FA302A" w:rsidRDefault="00FA302A" w:rsidP="008317A0">
      <w:pPr>
        <w:widowControl w:val="0"/>
        <w:jc w:val="both"/>
        <w:rPr>
          <w:rFonts w:ascii="Abadi" w:hAnsi="Abadi"/>
          <w:sz w:val="21"/>
          <w:szCs w:val="21"/>
          <w:lang w:val="es-MX"/>
        </w:rPr>
      </w:pPr>
    </w:p>
    <w:p w14:paraId="29A34588" w14:textId="77777777" w:rsidR="00FA302A" w:rsidRPr="00FA302A" w:rsidRDefault="00FA302A" w:rsidP="008317A0">
      <w:pPr>
        <w:widowControl w:val="0"/>
        <w:jc w:val="center"/>
        <w:rPr>
          <w:rFonts w:ascii="Abadi" w:hAnsi="Abadi" w:cs="Arial"/>
          <w:b/>
          <w:sz w:val="21"/>
          <w:szCs w:val="21"/>
          <w:lang w:val="es-MX" w:eastAsia="en-US"/>
        </w:rPr>
      </w:pPr>
      <w:r w:rsidRPr="00FA302A">
        <w:rPr>
          <w:rFonts w:ascii="Abadi" w:hAnsi="Abadi" w:cs="Arial"/>
          <w:b/>
          <w:sz w:val="21"/>
          <w:szCs w:val="21"/>
          <w:lang w:val="es-MX" w:eastAsia="en-US"/>
        </w:rPr>
        <w:t>A C U E R D O</w:t>
      </w:r>
    </w:p>
    <w:p w14:paraId="77AF29A0" w14:textId="77777777" w:rsidR="00FA302A" w:rsidRPr="00FA302A" w:rsidRDefault="00FA302A" w:rsidP="008317A0">
      <w:pPr>
        <w:widowControl w:val="0"/>
        <w:autoSpaceDE w:val="0"/>
        <w:autoSpaceDN w:val="0"/>
        <w:adjustRightInd w:val="0"/>
        <w:jc w:val="both"/>
        <w:rPr>
          <w:rFonts w:ascii="Abadi" w:hAnsi="Abadi" w:cs="Arial"/>
          <w:sz w:val="21"/>
          <w:szCs w:val="21"/>
          <w:lang w:val="es-MX" w:eastAsia="en-US"/>
        </w:rPr>
      </w:pPr>
    </w:p>
    <w:p w14:paraId="15DCDA4F" w14:textId="77777777" w:rsidR="00FA302A" w:rsidRPr="00FA302A" w:rsidRDefault="00FA302A" w:rsidP="008317A0">
      <w:pPr>
        <w:widowControl w:val="0"/>
        <w:ind w:right="-1" w:firstLine="851"/>
        <w:jc w:val="both"/>
        <w:rPr>
          <w:rFonts w:ascii="Abadi" w:hAnsi="Abadi"/>
          <w:sz w:val="21"/>
          <w:szCs w:val="21"/>
          <w:lang w:val="es-MX" w:eastAsia="en-US"/>
        </w:rPr>
      </w:pPr>
      <w:r w:rsidRPr="00FA302A">
        <w:rPr>
          <w:rFonts w:ascii="Abadi" w:hAnsi="Abadi"/>
          <w:b/>
          <w:bCs/>
          <w:sz w:val="21"/>
          <w:szCs w:val="21"/>
          <w:lang w:val="es-MX" w:eastAsia="en-US"/>
        </w:rPr>
        <w:t>Único.</w:t>
      </w:r>
      <w:r w:rsidRPr="00FA302A">
        <w:rPr>
          <w:rFonts w:ascii="Abadi" w:hAnsi="Abadi"/>
          <w:sz w:val="21"/>
          <w:szCs w:val="21"/>
          <w:lang w:val="es-MX" w:eastAsia="en-US"/>
        </w:rPr>
        <w:t xml:space="preserve"> </w:t>
      </w:r>
      <w:r w:rsidRPr="00FA302A">
        <w:rPr>
          <w:rFonts w:ascii="Abadi" w:hAnsi="Abadi" w:cs="Arial"/>
          <w:sz w:val="21"/>
          <w:szCs w:val="21"/>
          <w:lang w:val="es-MX" w:eastAsia="en-US"/>
        </w:rPr>
        <w:t xml:space="preserve">No resulta procedente la propuesta de punto de acuerdo signada por la diputada y el diputado integrantes del Grupo Parlamentario del Partido Verde Ecologista de México ante la Sexagésima Cuarta Legislatura, </w:t>
      </w:r>
      <w:r w:rsidRPr="00FA302A">
        <w:rPr>
          <w:rFonts w:ascii="Abadi" w:hAnsi="Abadi"/>
          <w:sz w:val="21"/>
          <w:szCs w:val="21"/>
          <w:lang w:val="es-MX" w:eastAsia="en-US"/>
        </w:rPr>
        <w:t>a efecto de exhortar al titular del Poder Ejecutivo del Estado y a los 46 ayuntamientos del estado de Guanajuato, para que, en el ámbito de sus respectivas atribuciones, diseñen, implementen, ejecuten y evalúen un programa de capacitación con perspectiva de diversidad sexual a todos sus servidores públicos, así como a toda la población del Estado.</w:t>
      </w:r>
    </w:p>
    <w:p w14:paraId="54AFD3DA" w14:textId="77777777" w:rsidR="00FA302A" w:rsidRPr="00FA302A" w:rsidRDefault="00FA302A" w:rsidP="008317A0">
      <w:pPr>
        <w:widowControl w:val="0"/>
        <w:ind w:right="-1"/>
        <w:jc w:val="both"/>
        <w:rPr>
          <w:rFonts w:ascii="Abadi" w:hAnsi="Abadi"/>
          <w:sz w:val="21"/>
          <w:szCs w:val="21"/>
          <w:lang w:val="es-MX" w:eastAsia="en-US"/>
        </w:rPr>
      </w:pPr>
    </w:p>
    <w:p w14:paraId="785F3326" w14:textId="77777777" w:rsidR="00FA302A" w:rsidRPr="00FA302A" w:rsidRDefault="00FA302A" w:rsidP="008317A0">
      <w:pPr>
        <w:widowControl w:val="0"/>
        <w:ind w:right="-1" w:firstLine="851"/>
        <w:jc w:val="both"/>
        <w:rPr>
          <w:rFonts w:ascii="Abadi" w:hAnsi="Abadi"/>
          <w:sz w:val="21"/>
          <w:szCs w:val="21"/>
          <w:lang w:val="es-MX" w:eastAsia="en-US"/>
        </w:rPr>
      </w:pPr>
      <w:r w:rsidRPr="00FA302A">
        <w:rPr>
          <w:rFonts w:ascii="Abadi" w:hAnsi="Abadi"/>
          <w:sz w:val="21"/>
          <w:szCs w:val="21"/>
          <w:lang w:val="es-MX" w:eastAsia="en-US"/>
        </w:rPr>
        <w:t>En consecuencia, se ordena el archivo definitivo de la propuesta.</w:t>
      </w:r>
    </w:p>
    <w:p w14:paraId="773A3AA7" w14:textId="77777777" w:rsidR="00FA302A" w:rsidRPr="00FA302A" w:rsidRDefault="00FA302A" w:rsidP="008317A0">
      <w:pPr>
        <w:widowControl w:val="0"/>
        <w:ind w:right="-1"/>
        <w:jc w:val="both"/>
        <w:rPr>
          <w:rFonts w:ascii="Abadi" w:hAnsi="Abadi"/>
          <w:sz w:val="21"/>
          <w:szCs w:val="21"/>
          <w:lang w:val="es-MX" w:eastAsia="en-US"/>
        </w:rPr>
      </w:pPr>
    </w:p>
    <w:p w14:paraId="0FE910A2" w14:textId="77777777" w:rsidR="00FA302A" w:rsidRPr="00FA302A" w:rsidRDefault="00FA302A" w:rsidP="008317A0">
      <w:pPr>
        <w:widowControl w:val="0"/>
        <w:jc w:val="center"/>
        <w:rPr>
          <w:rFonts w:ascii="Abadi" w:eastAsia="Arial Unicode MS" w:hAnsi="Abadi" w:cs="Arial"/>
          <w:b/>
          <w:iCs/>
          <w:sz w:val="21"/>
          <w:szCs w:val="21"/>
          <w:lang w:val="es-MX" w:eastAsia="en-US"/>
        </w:rPr>
      </w:pPr>
      <w:r w:rsidRPr="00FA302A">
        <w:rPr>
          <w:rFonts w:ascii="Abadi" w:eastAsia="Arial Unicode MS" w:hAnsi="Abadi" w:cs="Arial"/>
          <w:b/>
          <w:iCs/>
          <w:sz w:val="21"/>
          <w:szCs w:val="21"/>
          <w:lang w:val="es-MX" w:eastAsia="en-US"/>
        </w:rPr>
        <w:t>Guanajuato, Gto., 27 de julio de 2022</w:t>
      </w:r>
    </w:p>
    <w:p w14:paraId="7B2FC2FB" w14:textId="77777777" w:rsidR="00FA302A" w:rsidRPr="00FA302A" w:rsidRDefault="00FA302A" w:rsidP="008317A0">
      <w:pPr>
        <w:widowControl w:val="0"/>
        <w:jc w:val="center"/>
        <w:rPr>
          <w:rFonts w:ascii="Abadi" w:eastAsia="Calibri" w:hAnsi="Abadi"/>
          <w:b/>
          <w:sz w:val="21"/>
          <w:szCs w:val="21"/>
          <w:lang w:val="es-MX" w:eastAsia="en-US"/>
        </w:rPr>
      </w:pPr>
      <w:r w:rsidRPr="00FA302A">
        <w:rPr>
          <w:rFonts w:ascii="Abadi" w:eastAsia="Calibri" w:hAnsi="Abadi"/>
          <w:b/>
          <w:sz w:val="21"/>
          <w:szCs w:val="21"/>
          <w:lang w:val="es-MX" w:eastAsia="en-US"/>
        </w:rPr>
        <w:t>La Comisión de Derechos Humanos y Atención a Grupos Vulnerables</w:t>
      </w:r>
    </w:p>
    <w:p w14:paraId="725816DC" w14:textId="77777777" w:rsidR="00FA302A" w:rsidRPr="00FA302A" w:rsidRDefault="00FA302A" w:rsidP="008317A0">
      <w:pPr>
        <w:widowControl w:val="0"/>
        <w:jc w:val="center"/>
        <w:rPr>
          <w:rFonts w:ascii="Abadi" w:hAnsi="Abadi" w:cs="Arial"/>
          <w:b/>
          <w:bCs/>
          <w:sz w:val="21"/>
          <w:szCs w:val="21"/>
          <w:lang w:val="es-MX" w:eastAsia="en-US"/>
        </w:rPr>
      </w:pPr>
    </w:p>
    <w:p w14:paraId="3871E38B" w14:textId="77777777" w:rsidR="00FA302A" w:rsidRPr="00FA302A" w:rsidRDefault="00FA302A" w:rsidP="008317A0">
      <w:pPr>
        <w:widowControl w:val="0"/>
        <w:jc w:val="center"/>
        <w:rPr>
          <w:rFonts w:ascii="Abadi" w:hAnsi="Abadi" w:cs="Arial"/>
          <w:b/>
          <w:bCs/>
          <w:sz w:val="21"/>
          <w:szCs w:val="21"/>
          <w:lang w:val="es-MX" w:eastAsia="en-US"/>
        </w:rPr>
      </w:pPr>
    </w:p>
    <w:p w14:paraId="04331B73" w14:textId="77777777" w:rsidR="00FA302A" w:rsidRPr="00FA302A" w:rsidRDefault="00FA302A" w:rsidP="008317A0">
      <w:pPr>
        <w:widowControl w:val="0"/>
        <w:jc w:val="center"/>
        <w:rPr>
          <w:rFonts w:ascii="Abadi" w:hAnsi="Abadi" w:cs="Arial"/>
          <w:b/>
          <w:bCs/>
          <w:sz w:val="21"/>
          <w:szCs w:val="21"/>
          <w:lang w:val="es-MX" w:eastAsia="en-US"/>
        </w:rPr>
      </w:pPr>
      <w:r w:rsidRPr="00FA302A">
        <w:rPr>
          <w:rFonts w:ascii="Abadi" w:hAnsi="Abadi" w:cs="Arial"/>
          <w:b/>
          <w:bCs/>
          <w:sz w:val="21"/>
          <w:szCs w:val="21"/>
          <w:lang w:val="es-MX" w:eastAsia="en-US"/>
        </w:rPr>
        <w:t>Diputado David Martínez Mendizábal</w:t>
      </w:r>
    </w:p>
    <w:p w14:paraId="37B0B6FC" w14:textId="77777777" w:rsidR="00FA302A" w:rsidRPr="00FA302A" w:rsidRDefault="00FA302A" w:rsidP="008317A0">
      <w:pPr>
        <w:widowControl w:val="0"/>
        <w:jc w:val="center"/>
        <w:rPr>
          <w:rFonts w:ascii="Abadi" w:hAnsi="Abadi" w:cs="Arial"/>
          <w:b/>
          <w:bCs/>
          <w:sz w:val="21"/>
          <w:szCs w:val="21"/>
          <w:lang w:val="es-MX" w:eastAsia="en-US"/>
        </w:rPr>
      </w:pPr>
    </w:p>
    <w:p w14:paraId="1168C1D5" w14:textId="77777777" w:rsidR="00FA302A" w:rsidRPr="00FA302A" w:rsidRDefault="00FA302A" w:rsidP="008317A0">
      <w:pPr>
        <w:widowControl w:val="0"/>
        <w:jc w:val="center"/>
        <w:rPr>
          <w:rFonts w:ascii="Abadi" w:hAnsi="Abadi" w:cs="Arial"/>
          <w:b/>
          <w:bCs/>
          <w:sz w:val="21"/>
          <w:szCs w:val="21"/>
          <w:lang w:val="es-MX" w:eastAsia="en-US"/>
        </w:rPr>
      </w:pPr>
      <w:r w:rsidRPr="00FA302A">
        <w:rPr>
          <w:rFonts w:ascii="Abadi" w:hAnsi="Abadi" w:cs="Arial"/>
          <w:b/>
          <w:bCs/>
          <w:sz w:val="21"/>
          <w:szCs w:val="21"/>
          <w:lang w:val="es-MX" w:eastAsia="en-US"/>
        </w:rPr>
        <w:t>Diputada Janet Melanie Murillo Chávez</w:t>
      </w:r>
    </w:p>
    <w:p w14:paraId="7AE0CB83" w14:textId="77777777" w:rsidR="00FA302A" w:rsidRPr="00FA302A" w:rsidRDefault="00FA302A" w:rsidP="008317A0">
      <w:pPr>
        <w:widowControl w:val="0"/>
        <w:jc w:val="center"/>
        <w:rPr>
          <w:rFonts w:ascii="Abadi" w:hAnsi="Abadi" w:cs="Arial"/>
          <w:b/>
          <w:bCs/>
          <w:sz w:val="21"/>
          <w:szCs w:val="21"/>
          <w:lang w:val="es-MX" w:eastAsia="en-US"/>
        </w:rPr>
      </w:pPr>
    </w:p>
    <w:p w14:paraId="1CEC5734" w14:textId="77777777" w:rsidR="00FA302A" w:rsidRPr="00FA302A" w:rsidRDefault="00FA302A" w:rsidP="008317A0">
      <w:pPr>
        <w:widowControl w:val="0"/>
        <w:jc w:val="center"/>
        <w:rPr>
          <w:rFonts w:ascii="Abadi" w:hAnsi="Abadi" w:cs="Arial"/>
          <w:b/>
          <w:bCs/>
          <w:sz w:val="21"/>
          <w:szCs w:val="21"/>
          <w:lang w:val="es-MX" w:eastAsia="en-US"/>
        </w:rPr>
      </w:pPr>
      <w:r w:rsidRPr="00FA302A">
        <w:rPr>
          <w:rFonts w:ascii="Abadi" w:hAnsi="Abadi" w:cs="Arial"/>
          <w:b/>
          <w:bCs/>
          <w:sz w:val="21"/>
          <w:szCs w:val="21"/>
          <w:lang w:val="es-MX" w:eastAsia="en-US"/>
        </w:rPr>
        <w:t>Diputado Gustavo Adolfo Alfaro Reyes</w:t>
      </w:r>
    </w:p>
    <w:p w14:paraId="31DA2E0C" w14:textId="77777777" w:rsidR="00FA302A" w:rsidRPr="00FA302A" w:rsidRDefault="00FA302A" w:rsidP="008317A0">
      <w:pPr>
        <w:widowControl w:val="0"/>
        <w:jc w:val="center"/>
        <w:rPr>
          <w:rFonts w:ascii="Abadi" w:hAnsi="Abadi" w:cs="Arial"/>
          <w:b/>
          <w:bCs/>
          <w:sz w:val="21"/>
          <w:szCs w:val="21"/>
          <w:lang w:val="es-MX" w:eastAsia="en-US"/>
        </w:rPr>
      </w:pPr>
    </w:p>
    <w:p w14:paraId="1A255921" w14:textId="77777777" w:rsidR="00FA302A" w:rsidRPr="00FA302A" w:rsidRDefault="00FA302A" w:rsidP="008317A0">
      <w:pPr>
        <w:widowControl w:val="0"/>
        <w:jc w:val="center"/>
        <w:rPr>
          <w:rFonts w:ascii="Abadi" w:hAnsi="Abadi" w:cs="Arial"/>
          <w:b/>
          <w:bCs/>
          <w:sz w:val="21"/>
          <w:szCs w:val="21"/>
          <w:lang w:val="es-MX" w:eastAsia="en-US"/>
        </w:rPr>
      </w:pPr>
      <w:r w:rsidRPr="00FA302A">
        <w:rPr>
          <w:rFonts w:ascii="Abadi" w:hAnsi="Abadi" w:cs="Arial"/>
          <w:b/>
          <w:bCs/>
          <w:sz w:val="21"/>
          <w:szCs w:val="21"/>
          <w:lang w:val="es-MX" w:eastAsia="en-US"/>
        </w:rPr>
        <w:t>Diputada Briseida Anabel Magdaleno González</w:t>
      </w:r>
    </w:p>
    <w:p w14:paraId="25D90781" w14:textId="77777777" w:rsidR="00FA302A" w:rsidRPr="00FA302A" w:rsidRDefault="00FA302A" w:rsidP="008317A0">
      <w:pPr>
        <w:widowControl w:val="0"/>
        <w:jc w:val="center"/>
        <w:rPr>
          <w:rFonts w:ascii="Abadi" w:hAnsi="Abadi" w:cs="Arial"/>
          <w:b/>
          <w:bCs/>
          <w:sz w:val="21"/>
          <w:szCs w:val="21"/>
          <w:lang w:val="es-MX" w:eastAsia="en-US"/>
        </w:rPr>
      </w:pPr>
    </w:p>
    <w:p w14:paraId="1201A267" w14:textId="15C27C64" w:rsidR="00FA302A" w:rsidRDefault="00FA302A" w:rsidP="008317A0">
      <w:pPr>
        <w:widowControl w:val="0"/>
        <w:jc w:val="center"/>
        <w:rPr>
          <w:rFonts w:ascii="Abadi" w:hAnsi="Abadi" w:cs="Arial"/>
          <w:b/>
          <w:bCs/>
          <w:sz w:val="21"/>
          <w:szCs w:val="21"/>
          <w:lang w:val="es-MX" w:eastAsia="en-US"/>
        </w:rPr>
      </w:pPr>
      <w:r w:rsidRPr="00FA302A">
        <w:rPr>
          <w:rFonts w:ascii="Abadi" w:hAnsi="Abadi" w:cs="Arial"/>
          <w:b/>
          <w:bCs/>
          <w:sz w:val="21"/>
          <w:szCs w:val="21"/>
          <w:lang w:val="es-MX" w:eastAsia="en-US"/>
        </w:rPr>
        <w:t>Diputada Katya Cristina Soto Escamilla</w:t>
      </w:r>
    </w:p>
    <w:p w14:paraId="612AB3B6" w14:textId="3E3D2D7A" w:rsidR="008317A0" w:rsidRDefault="008317A0" w:rsidP="008317A0">
      <w:pPr>
        <w:widowControl w:val="0"/>
        <w:jc w:val="center"/>
        <w:rPr>
          <w:rFonts w:ascii="Abadi" w:hAnsi="Abadi" w:cs="Arial"/>
          <w:b/>
          <w:bCs/>
          <w:sz w:val="21"/>
          <w:szCs w:val="21"/>
          <w:lang w:val="es-MX" w:eastAsia="en-US"/>
        </w:rPr>
      </w:pPr>
    </w:p>
    <w:p w14:paraId="2D5400BA" w14:textId="4E0E0027" w:rsidR="008317A0" w:rsidRDefault="008317A0" w:rsidP="008317A0">
      <w:pPr>
        <w:ind w:firstLine="708"/>
        <w:jc w:val="both"/>
        <w:rPr>
          <w:rFonts w:ascii="Abadi" w:hAnsi="Abadi"/>
          <w:sz w:val="21"/>
          <w:szCs w:val="21"/>
        </w:rPr>
      </w:pPr>
      <w:r w:rsidRPr="0073535F">
        <w:rPr>
          <w:rFonts w:ascii="Abadi" w:hAnsi="Abadi"/>
          <w:b/>
          <w:bCs/>
          <w:sz w:val="21"/>
          <w:szCs w:val="21"/>
        </w:rPr>
        <w:t>- El Presidente.-</w:t>
      </w:r>
      <w:r>
        <w:rPr>
          <w:rFonts w:ascii="Abadi" w:hAnsi="Abadi"/>
          <w:sz w:val="21"/>
          <w:szCs w:val="21"/>
        </w:rPr>
        <w:t xml:space="preserve"> A</w:t>
      </w:r>
      <w:r w:rsidRPr="006813AA">
        <w:rPr>
          <w:rFonts w:ascii="Abadi" w:hAnsi="Abadi"/>
          <w:sz w:val="21"/>
          <w:szCs w:val="21"/>
        </w:rPr>
        <w:t xml:space="preserve"> continuación se somete a discusión el dictamen suscrito por la </w:t>
      </w:r>
      <w:r>
        <w:rPr>
          <w:rFonts w:ascii="Abadi" w:hAnsi="Abadi"/>
          <w:sz w:val="21"/>
          <w:szCs w:val="21"/>
        </w:rPr>
        <w:t>C</w:t>
      </w:r>
      <w:r w:rsidRPr="006813AA">
        <w:rPr>
          <w:rFonts w:ascii="Abadi" w:hAnsi="Abadi"/>
          <w:sz w:val="21"/>
          <w:szCs w:val="21"/>
        </w:rPr>
        <w:t xml:space="preserve">omisión de </w:t>
      </w:r>
      <w:r>
        <w:rPr>
          <w:rFonts w:ascii="Abadi" w:hAnsi="Abadi"/>
          <w:sz w:val="21"/>
          <w:szCs w:val="21"/>
        </w:rPr>
        <w:t>D</w:t>
      </w:r>
      <w:r w:rsidRPr="006813AA">
        <w:rPr>
          <w:rFonts w:ascii="Abadi" w:hAnsi="Abadi"/>
          <w:sz w:val="21"/>
          <w:szCs w:val="21"/>
        </w:rPr>
        <w:t xml:space="preserve">erechos </w:t>
      </w:r>
      <w:r>
        <w:rPr>
          <w:rFonts w:ascii="Abadi" w:hAnsi="Abadi"/>
          <w:sz w:val="21"/>
          <w:szCs w:val="21"/>
        </w:rPr>
        <w:t>H</w:t>
      </w:r>
      <w:r w:rsidRPr="006813AA">
        <w:rPr>
          <w:rFonts w:ascii="Abadi" w:hAnsi="Abadi"/>
          <w:sz w:val="21"/>
          <w:szCs w:val="21"/>
        </w:rPr>
        <w:t xml:space="preserve">umanos y </w:t>
      </w:r>
      <w:r>
        <w:rPr>
          <w:rFonts w:ascii="Abadi" w:hAnsi="Abadi"/>
          <w:sz w:val="21"/>
          <w:szCs w:val="21"/>
        </w:rPr>
        <w:t>A</w:t>
      </w:r>
      <w:r w:rsidRPr="006813AA">
        <w:rPr>
          <w:rFonts w:ascii="Abadi" w:hAnsi="Abadi"/>
          <w:sz w:val="21"/>
          <w:szCs w:val="21"/>
        </w:rPr>
        <w:t xml:space="preserve">tención a </w:t>
      </w:r>
      <w:r>
        <w:rPr>
          <w:rFonts w:ascii="Abadi" w:hAnsi="Abadi"/>
          <w:sz w:val="21"/>
          <w:szCs w:val="21"/>
        </w:rPr>
        <w:t>G</w:t>
      </w:r>
      <w:r w:rsidRPr="006813AA">
        <w:rPr>
          <w:rFonts w:ascii="Abadi" w:hAnsi="Abadi"/>
          <w:sz w:val="21"/>
          <w:szCs w:val="21"/>
        </w:rPr>
        <w:t xml:space="preserve">rupos </w:t>
      </w:r>
      <w:r>
        <w:rPr>
          <w:rFonts w:ascii="Abadi" w:hAnsi="Abadi"/>
          <w:sz w:val="21"/>
          <w:szCs w:val="21"/>
        </w:rPr>
        <w:t>V</w:t>
      </w:r>
      <w:r w:rsidRPr="006813AA">
        <w:rPr>
          <w:rFonts w:ascii="Abadi" w:hAnsi="Abadi"/>
          <w:sz w:val="21"/>
          <w:szCs w:val="21"/>
        </w:rPr>
        <w:t>ulnerables relativo al punto 23 del orden del día</w:t>
      </w:r>
      <w:r>
        <w:rPr>
          <w:rFonts w:ascii="Abadi" w:hAnsi="Abadi"/>
          <w:sz w:val="21"/>
          <w:szCs w:val="21"/>
        </w:rPr>
        <w:t>.</w:t>
      </w:r>
    </w:p>
    <w:p w14:paraId="0A28B0E3" w14:textId="77777777" w:rsidR="008317A0" w:rsidRDefault="008317A0" w:rsidP="008317A0">
      <w:pPr>
        <w:ind w:firstLine="708"/>
        <w:jc w:val="both"/>
        <w:rPr>
          <w:rFonts w:ascii="Abadi" w:hAnsi="Abadi"/>
          <w:sz w:val="21"/>
          <w:szCs w:val="21"/>
        </w:rPr>
      </w:pPr>
    </w:p>
    <w:p w14:paraId="0AACA808" w14:textId="5616AA56" w:rsidR="008317A0" w:rsidRDefault="008317A0" w:rsidP="008317A0">
      <w:pPr>
        <w:ind w:firstLine="708"/>
        <w:jc w:val="both"/>
        <w:rPr>
          <w:rFonts w:ascii="Abadi" w:hAnsi="Abadi"/>
          <w:sz w:val="21"/>
          <w:szCs w:val="21"/>
        </w:rPr>
      </w:pPr>
      <w:r>
        <w:rPr>
          <w:rFonts w:ascii="Abadi" w:hAnsi="Abadi"/>
          <w:sz w:val="21"/>
          <w:szCs w:val="21"/>
        </w:rPr>
        <w:t>- S</w:t>
      </w:r>
      <w:r w:rsidRPr="006813AA">
        <w:rPr>
          <w:rFonts w:ascii="Abadi" w:hAnsi="Abadi"/>
          <w:sz w:val="21"/>
          <w:szCs w:val="21"/>
        </w:rPr>
        <w:t xml:space="preserve">i alguna diputada o algún diputado desea hacer </w:t>
      </w:r>
      <w:r>
        <w:rPr>
          <w:rFonts w:ascii="Abadi" w:hAnsi="Abadi"/>
          <w:sz w:val="21"/>
          <w:szCs w:val="21"/>
        </w:rPr>
        <w:t>u</w:t>
      </w:r>
      <w:r w:rsidRPr="006813AA">
        <w:rPr>
          <w:rFonts w:ascii="Abadi" w:hAnsi="Abadi"/>
          <w:sz w:val="21"/>
          <w:szCs w:val="21"/>
        </w:rPr>
        <w:t>so de la palabra en pro y en contra manifiéstenlo indicando</w:t>
      </w:r>
      <w:r>
        <w:rPr>
          <w:rFonts w:ascii="Abadi" w:hAnsi="Abadi"/>
          <w:sz w:val="21"/>
          <w:szCs w:val="21"/>
        </w:rPr>
        <w:t xml:space="preserve"> </w:t>
      </w:r>
      <w:r w:rsidRPr="006813AA">
        <w:rPr>
          <w:rFonts w:ascii="Abadi" w:hAnsi="Abadi"/>
          <w:sz w:val="21"/>
          <w:szCs w:val="21"/>
        </w:rPr>
        <w:t>el sentido de su participación</w:t>
      </w:r>
      <w:r>
        <w:rPr>
          <w:rFonts w:ascii="Abadi" w:hAnsi="Abadi"/>
          <w:sz w:val="21"/>
          <w:szCs w:val="21"/>
        </w:rPr>
        <w:t>.</w:t>
      </w:r>
    </w:p>
    <w:p w14:paraId="3E919616" w14:textId="77777777" w:rsidR="008317A0" w:rsidRDefault="008317A0" w:rsidP="008317A0">
      <w:pPr>
        <w:ind w:firstLine="708"/>
        <w:jc w:val="both"/>
        <w:rPr>
          <w:rFonts w:ascii="Abadi" w:hAnsi="Abadi"/>
          <w:sz w:val="21"/>
          <w:szCs w:val="21"/>
        </w:rPr>
      </w:pPr>
    </w:p>
    <w:p w14:paraId="1CB6E0D3" w14:textId="72379298" w:rsidR="008317A0" w:rsidRDefault="008317A0" w:rsidP="008317A0">
      <w:pPr>
        <w:ind w:firstLine="708"/>
        <w:jc w:val="both"/>
        <w:rPr>
          <w:rFonts w:ascii="Abadi" w:hAnsi="Abadi"/>
          <w:sz w:val="21"/>
          <w:szCs w:val="21"/>
        </w:rPr>
      </w:pPr>
      <w:r>
        <w:rPr>
          <w:rFonts w:ascii="Abadi" w:hAnsi="Abadi"/>
          <w:sz w:val="21"/>
          <w:szCs w:val="21"/>
        </w:rPr>
        <w:t>- N</w:t>
      </w:r>
      <w:r w:rsidRPr="006813AA">
        <w:rPr>
          <w:rFonts w:ascii="Abadi" w:hAnsi="Abadi"/>
          <w:sz w:val="21"/>
          <w:szCs w:val="21"/>
        </w:rPr>
        <w:t xml:space="preserve">o habiendo participaciones </w:t>
      </w:r>
      <w:r>
        <w:rPr>
          <w:rFonts w:ascii="Abadi" w:hAnsi="Abadi"/>
          <w:sz w:val="21"/>
          <w:szCs w:val="21"/>
        </w:rPr>
        <w:t xml:space="preserve">se </w:t>
      </w:r>
      <w:r w:rsidRPr="006813AA">
        <w:rPr>
          <w:rFonts w:ascii="Abadi" w:hAnsi="Abadi"/>
          <w:sz w:val="21"/>
          <w:szCs w:val="21"/>
        </w:rPr>
        <w:t>pid</w:t>
      </w:r>
      <w:r>
        <w:rPr>
          <w:rFonts w:ascii="Abadi" w:hAnsi="Abadi"/>
          <w:sz w:val="21"/>
          <w:szCs w:val="21"/>
        </w:rPr>
        <w:t>e a la</w:t>
      </w:r>
      <w:r w:rsidRPr="006813AA">
        <w:rPr>
          <w:rFonts w:ascii="Abadi" w:hAnsi="Abadi"/>
          <w:sz w:val="21"/>
          <w:szCs w:val="21"/>
        </w:rPr>
        <w:t xml:space="preserve"> </w:t>
      </w:r>
      <w:r>
        <w:rPr>
          <w:rFonts w:ascii="Abadi" w:hAnsi="Abadi"/>
          <w:sz w:val="21"/>
          <w:szCs w:val="21"/>
        </w:rPr>
        <w:t>S</w:t>
      </w:r>
      <w:r w:rsidRPr="006813AA">
        <w:rPr>
          <w:rFonts w:ascii="Abadi" w:hAnsi="Abadi"/>
          <w:sz w:val="21"/>
          <w:szCs w:val="21"/>
        </w:rPr>
        <w:t>ecretaría que proceda a recabar votación nominal de la asamblea a través del sistema electrónico a efecto de aprobar o no el dictamen puesto</w:t>
      </w:r>
      <w:r>
        <w:rPr>
          <w:rFonts w:ascii="Abadi" w:hAnsi="Abadi"/>
          <w:sz w:val="21"/>
          <w:szCs w:val="21"/>
        </w:rPr>
        <w:t xml:space="preserve"> a</w:t>
      </w:r>
      <w:r w:rsidRPr="006813AA">
        <w:rPr>
          <w:rFonts w:ascii="Abadi" w:hAnsi="Abadi"/>
          <w:sz w:val="21"/>
          <w:szCs w:val="21"/>
        </w:rPr>
        <w:t xml:space="preserve"> su consideración</w:t>
      </w:r>
      <w:r>
        <w:rPr>
          <w:rFonts w:ascii="Abadi" w:hAnsi="Abadi"/>
          <w:sz w:val="21"/>
          <w:szCs w:val="21"/>
        </w:rPr>
        <w:t>.</w:t>
      </w:r>
    </w:p>
    <w:p w14:paraId="58FFD1CB" w14:textId="77777777" w:rsidR="008317A0" w:rsidRDefault="008317A0" w:rsidP="008317A0">
      <w:pPr>
        <w:ind w:firstLine="708"/>
        <w:jc w:val="both"/>
        <w:rPr>
          <w:rFonts w:ascii="Abadi" w:hAnsi="Abadi"/>
          <w:sz w:val="21"/>
          <w:szCs w:val="21"/>
        </w:rPr>
      </w:pPr>
    </w:p>
    <w:p w14:paraId="2EDBAEAF" w14:textId="4D637485" w:rsidR="008317A0" w:rsidRDefault="008317A0" w:rsidP="008317A0">
      <w:pPr>
        <w:ind w:firstLine="708"/>
        <w:jc w:val="both"/>
        <w:rPr>
          <w:rFonts w:ascii="Abadi" w:hAnsi="Abadi"/>
          <w:b/>
          <w:bCs/>
          <w:sz w:val="21"/>
          <w:szCs w:val="21"/>
        </w:rPr>
      </w:pPr>
      <w:r w:rsidRPr="0073535F">
        <w:rPr>
          <w:rFonts w:ascii="Abadi" w:hAnsi="Abadi"/>
          <w:b/>
          <w:bCs/>
          <w:sz w:val="21"/>
          <w:szCs w:val="21"/>
        </w:rPr>
        <w:t>(Abrimos nuestro sistema electrónico)</w:t>
      </w:r>
    </w:p>
    <w:p w14:paraId="7B79FC90" w14:textId="77777777" w:rsidR="008317A0" w:rsidRPr="0073535F" w:rsidRDefault="008317A0" w:rsidP="008317A0">
      <w:pPr>
        <w:ind w:firstLine="708"/>
        <w:jc w:val="both"/>
        <w:rPr>
          <w:rFonts w:ascii="Abadi" w:hAnsi="Abadi"/>
          <w:b/>
          <w:bCs/>
          <w:sz w:val="21"/>
          <w:szCs w:val="21"/>
        </w:rPr>
      </w:pPr>
    </w:p>
    <w:p w14:paraId="3CC9339C" w14:textId="69204D42" w:rsidR="008317A0" w:rsidRDefault="008317A0" w:rsidP="008317A0">
      <w:pPr>
        <w:ind w:firstLine="708"/>
        <w:jc w:val="both"/>
        <w:rPr>
          <w:rFonts w:ascii="Abadi" w:hAnsi="Abadi"/>
          <w:sz w:val="21"/>
          <w:szCs w:val="21"/>
        </w:rPr>
      </w:pPr>
      <w:r w:rsidRPr="003B5B4A">
        <w:rPr>
          <w:rFonts w:ascii="Abadi" w:hAnsi="Abadi"/>
          <w:b/>
          <w:bCs/>
          <w:sz w:val="21"/>
          <w:szCs w:val="21"/>
        </w:rPr>
        <w:t>- El Secretario.-</w:t>
      </w:r>
      <w:r>
        <w:rPr>
          <w:rFonts w:ascii="Abadi" w:hAnsi="Abadi"/>
          <w:sz w:val="21"/>
          <w:szCs w:val="21"/>
        </w:rPr>
        <w:t xml:space="preserve"> E</w:t>
      </w:r>
      <w:r w:rsidRPr="006813AA">
        <w:rPr>
          <w:rFonts w:ascii="Abadi" w:hAnsi="Abadi"/>
          <w:sz w:val="21"/>
          <w:szCs w:val="21"/>
        </w:rPr>
        <w:t>n votación nominal por el sistema electrónico</w:t>
      </w:r>
      <w:r>
        <w:rPr>
          <w:rFonts w:ascii="Abadi" w:hAnsi="Abadi"/>
          <w:sz w:val="21"/>
          <w:szCs w:val="21"/>
        </w:rPr>
        <w:t>,</w:t>
      </w:r>
      <w:r w:rsidRPr="006813AA">
        <w:rPr>
          <w:rFonts w:ascii="Abadi" w:hAnsi="Abadi"/>
          <w:sz w:val="21"/>
          <w:szCs w:val="21"/>
        </w:rPr>
        <w:t xml:space="preserve"> se preguntan </w:t>
      </w:r>
      <w:r>
        <w:rPr>
          <w:rFonts w:ascii="Abadi" w:hAnsi="Abadi"/>
          <w:sz w:val="21"/>
          <w:szCs w:val="21"/>
        </w:rPr>
        <w:t xml:space="preserve">a </w:t>
      </w:r>
      <w:r w:rsidRPr="006813AA">
        <w:rPr>
          <w:rFonts w:ascii="Abadi" w:hAnsi="Abadi"/>
          <w:sz w:val="21"/>
          <w:szCs w:val="21"/>
        </w:rPr>
        <w:t>las diputadas y a los diputados</w:t>
      </w:r>
      <w:r>
        <w:rPr>
          <w:rFonts w:ascii="Abadi" w:hAnsi="Abadi"/>
          <w:sz w:val="21"/>
          <w:szCs w:val="21"/>
        </w:rPr>
        <w:t xml:space="preserve">, si se </w:t>
      </w:r>
      <w:r w:rsidRPr="006813AA">
        <w:rPr>
          <w:rFonts w:ascii="Abadi" w:hAnsi="Abadi"/>
          <w:sz w:val="21"/>
          <w:szCs w:val="21"/>
        </w:rPr>
        <w:t>aprueba el dictamen puesto a su consideración</w:t>
      </w:r>
      <w:r>
        <w:rPr>
          <w:rFonts w:ascii="Abadi" w:hAnsi="Abadi"/>
          <w:sz w:val="21"/>
          <w:szCs w:val="21"/>
        </w:rPr>
        <w:t>. ¿Diputada Alma Edwviges?</w:t>
      </w:r>
    </w:p>
    <w:p w14:paraId="1740C820" w14:textId="77777777" w:rsidR="008317A0" w:rsidRPr="006813AA" w:rsidRDefault="008317A0" w:rsidP="008317A0">
      <w:pPr>
        <w:ind w:firstLine="708"/>
        <w:jc w:val="both"/>
        <w:rPr>
          <w:rFonts w:ascii="Abadi" w:hAnsi="Abadi"/>
          <w:sz w:val="21"/>
          <w:szCs w:val="21"/>
        </w:rPr>
      </w:pPr>
    </w:p>
    <w:p w14:paraId="0DCDBED1" w14:textId="3B606FBA" w:rsidR="008317A0" w:rsidRDefault="008317A0" w:rsidP="008317A0">
      <w:pPr>
        <w:jc w:val="both"/>
        <w:rPr>
          <w:rFonts w:ascii="Abadi" w:hAnsi="Abadi"/>
          <w:sz w:val="21"/>
          <w:szCs w:val="21"/>
        </w:rPr>
      </w:pPr>
      <w:r>
        <w:rPr>
          <w:noProof/>
        </w:rPr>
        <w:drawing>
          <wp:anchor distT="0" distB="0" distL="114300" distR="114300" simplePos="0" relativeHeight="251698176" behindDoc="1" locked="0" layoutInCell="1" allowOverlap="1" wp14:anchorId="53BB74D6" wp14:editId="5D93DC94">
            <wp:simplePos x="0" y="0"/>
            <wp:positionH relativeFrom="column">
              <wp:posOffset>408210</wp:posOffset>
            </wp:positionH>
            <wp:positionV relativeFrom="paragraph">
              <wp:posOffset>702813</wp:posOffset>
            </wp:positionV>
            <wp:extent cx="1729236" cy="865226"/>
            <wp:effectExtent l="323850" t="323850" r="328295" b="316230"/>
            <wp:wrapTight wrapText="bothSides">
              <wp:wrapPolygon edited="0">
                <wp:start x="-2380" y="-8088"/>
                <wp:lineTo x="-4046" y="-7137"/>
                <wp:lineTo x="-4046" y="23789"/>
                <wp:lineTo x="-2618" y="28070"/>
                <wp:lineTo x="-2380" y="29022"/>
                <wp:lineTo x="23797" y="29022"/>
                <wp:lineTo x="24035" y="28070"/>
                <wp:lineTo x="25463" y="23789"/>
                <wp:lineTo x="25463" y="476"/>
                <wp:lineTo x="23797" y="-6661"/>
                <wp:lineTo x="23797" y="-8088"/>
                <wp:lineTo x="-2380" y="-8088"/>
              </wp:wrapPolygon>
            </wp:wrapTight>
            <wp:docPr id="52" name="Imagen 52"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Interfaz de usuario gráfica, Sitio web&#10;&#10;Descripción generada automáticamente"/>
                    <pic:cNvPicPr/>
                  </pic:nvPicPr>
                  <pic:blipFill rotWithShape="1">
                    <a:blip r:embed="rId54" cstate="print">
                      <a:extLst>
                        <a:ext uri="{28A0092B-C50C-407E-A947-70E740481C1C}">
                          <a14:useLocalDpi xmlns:a14="http://schemas.microsoft.com/office/drawing/2010/main" val="0"/>
                        </a:ext>
                      </a:extLst>
                    </a:blip>
                    <a:srcRect b="8002"/>
                    <a:stretch/>
                  </pic:blipFill>
                  <pic:spPr bwMode="auto">
                    <a:xfrm>
                      <a:off x="0" y="0"/>
                      <a:ext cx="1729236" cy="865226"/>
                    </a:xfrm>
                    <a:prstGeom prst="rect">
                      <a:avLst/>
                    </a:prstGeom>
                    <a:ln w="88900" cap="sq" cmpd="thickThin">
                      <a:solidFill>
                        <a:srgbClr val="000000"/>
                      </a:solidFill>
                      <a:prstDash val="solid"/>
                      <a:miter lim="800000"/>
                    </a:ln>
                    <a:effectLst>
                      <a:glow rad="228600">
                        <a:schemeClr val="accent3">
                          <a:satMod val="17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r>
        <w:rPr>
          <w:rFonts w:ascii="Abadi" w:hAnsi="Abadi"/>
          <w:sz w:val="21"/>
          <w:szCs w:val="21"/>
        </w:rPr>
        <w:t>¿F</w:t>
      </w:r>
      <w:r w:rsidRPr="006813AA">
        <w:rPr>
          <w:rFonts w:ascii="Abadi" w:hAnsi="Abadi"/>
          <w:sz w:val="21"/>
          <w:szCs w:val="21"/>
        </w:rPr>
        <w:t>alta alguna diputada o algún diputado de emitir su voto</w:t>
      </w:r>
      <w:r>
        <w:rPr>
          <w:rFonts w:ascii="Abadi" w:hAnsi="Abadi"/>
          <w:sz w:val="21"/>
          <w:szCs w:val="21"/>
        </w:rPr>
        <w:t>?</w:t>
      </w:r>
    </w:p>
    <w:p w14:paraId="5B14F0B7" w14:textId="405F8990" w:rsidR="008317A0" w:rsidRDefault="008317A0" w:rsidP="008317A0">
      <w:pPr>
        <w:jc w:val="both"/>
        <w:rPr>
          <w:rFonts w:ascii="Abadi" w:hAnsi="Abadi"/>
          <w:sz w:val="21"/>
          <w:szCs w:val="21"/>
        </w:rPr>
      </w:pPr>
    </w:p>
    <w:p w14:paraId="291E14EB" w14:textId="08CC8B5B" w:rsidR="008317A0" w:rsidRDefault="008317A0" w:rsidP="008317A0">
      <w:pPr>
        <w:jc w:val="both"/>
        <w:rPr>
          <w:rFonts w:ascii="Abadi" w:hAnsi="Abadi"/>
          <w:b/>
          <w:bCs/>
          <w:sz w:val="21"/>
          <w:szCs w:val="21"/>
        </w:rPr>
      </w:pPr>
      <w:r w:rsidRPr="0073535F">
        <w:rPr>
          <w:rFonts w:ascii="Abadi" w:hAnsi="Abadi"/>
          <w:b/>
          <w:bCs/>
          <w:sz w:val="21"/>
          <w:szCs w:val="21"/>
        </w:rPr>
        <w:t xml:space="preserve"> (Cerramos nuestro sistema electronico)</w:t>
      </w:r>
    </w:p>
    <w:p w14:paraId="02154FAB" w14:textId="2D2D3BEB" w:rsidR="008317A0" w:rsidRPr="0073535F" w:rsidRDefault="008317A0" w:rsidP="008317A0">
      <w:pPr>
        <w:jc w:val="both"/>
        <w:rPr>
          <w:rFonts w:ascii="Abadi" w:hAnsi="Abadi"/>
          <w:b/>
          <w:bCs/>
          <w:sz w:val="21"/>
          <w:szCs w:val="21"/>
        </w:rPr>
      </w:pPr>
    </w:p>
    <w:p w14:paraId="069E13DD" w14:textId="158627AA" w:rsidR="008317A0" w:rsidRDefault="008317A0" w:rsidP="008317A0">
      <w:pPr>
        <w:jc w:val="both"/>
        <w:rPr>
          <w:rFonts w:ascii="Abadi" w:hAnsi="Abadi"/>
          <w:sz w:val="21"/>
          <w:szCs w:val="21"/>
        </w:rPr>
      </w:pPr>
      <w:r>
        <w:rPr>
          <w:rFonts w:ascii="Abadi" w:hAnsi="Abadi"/>
          <w:b/>
          <w:bCs/>
          <w:sz w:val="21"/>
          <w:szCs w:val="21"/>
        </w:rPr>
        <w:tab/>
      </w:r>
      <w:r w:rsidRPr="0073535F">
        <w:rPr>
          <w:rFonts w:ascii="Abadi" w:hAnsi="Abadi"/>
          <w:b/>
          <w:bCs/>
          <w:sz w:val="21"/>
          <w:szCs w:val="21"/>
        </w:rPr>
        <w:t>- El Secretario.-</w:t>
      </w:r>
      <w:r>
        <w:rPr>
          <w:rFonts w:ascii="Abadi" w:hAnsi="Abadi"/>
          <w:sz w:val="21"/>
          <w:szCs w:val="21"/>
        </w:rPr>
        <w:t xml:space="preserve"> </w:t>
      </w:r>
      <w:r w:rsidRPr="006813AA">
        <w:rPr>
          <w:rFonts w:ascii="Abadi" w:hAnsi="Abadi"/>
          <w:sz w:val="21"/>
          <w:szCs w:val="21"/>
        </w:rPr>
        <w:t xml:space="preserve"> </w:t>
      </w:r>
      <w:r>
        <w:rPr>
          <w:rFonts w:ascii="Abadi" w:hAnsi="Abadi"/>
          <w:sz w:val="21"/>
          <w:szCs w:val="21"/>
        </w:rPr>
        <w:t>S</w:t>
      </w:r>
      <w:r w:rsidRPr="006813AA">
        <w:rPr>
          <w:rFonts w:ascii="Abadi" w:hAnsi="Abadi"/>
          <w:sz w:val="21"/>
          <w:szCs w:val="21"/>
        </w:rPr>
        <w:t>eñor Presidente se registraron 31 votos a favor y 2 votos en contra</w:t>
      </w:r>
      <w:r>
        <w:rPr>
          <w:rFonts w:ascii="Abadi" w:hAnsi="Abadi"/>
          <w:sz w:val="21"/>
          <w:szCs w:val="21"/>
        </w:rPr>
        <w:t>.</w:t>
      </w:r>
    </w:p>
    <w:p w14:paraId="25081554" w14:textId="77777777" w:rsidR="008317A0" w:rsidRDefault="008317A0" w:rsidP="008317A0">
      <w:pPr>
        <w:jc w:val="both"/>
        <w:rPr>
          <w:rFonts w:ascii="Abadi" w:hAnsi="Abadi"/>
          <w:sz w:val="21"/>
          <w:szCs w:val="21"/>
        </w:rPr>
      </w:pPr>
    </w:p>
    <w:p w14:paraId="796CB65D" w14:textId="56AC56CF" w:rsidR="008317A0" w:rsidRDefault="008317A0" w:rsidP="008317A0">
      <w:pPr>
        <w:jc w:val="both"/>
        <w:rPr>
          <w:rFonts w:ascii="Abadi" w:hAnsi="Abadi"/>
          <w:sz w:val="21"/>
          <w:szCs w:val="21"/>
        </w:rPr>
      </w:pPr>
      <w:r>
        <w:rPr>
          <w:rFonts w:ascii="Abadi" w:hAnsi="Abadi"/>
          <w:b/>
          <w:bCs/>
          <w:sz w:val="21"/>
          <w:szCs w:val="21"/>
        </w:rPr>
        <w:tab/>
      </w:r>
      <w:r w:rsidRPr="0073535F">
        <w:rPr>
          <w:rFonts w:ascii="Abadi" w:hAnsi="Abadi"/>
          <w:b/>
          <w:bCs/>
          <w:sz w:val="21"/>
          <w:szCs w:val="21"/>
        </w:rPr>
        <w:t>- El Presidente.-</w:t>
      </w:r>
      <w:r>
        <w:rPr>
          <w:rFonts w:ascii="Abadi" w:hAnsi="Abadi"/>
          <w:sz w:val="21"/>
          <w:szCs w:val="21"/>
        </w:rPr>
        <w:t xml:space="preserve"> El dictamen ha sido </w:t>
      </w:r>
      <w:r w:rsidRPr="006813AA">
        <w:rPr>
          <w:rFonts w:ascii="Abadi" w:hAnsi="Abadi"/>
          <w:sz w:val="21"/>
          <w:szCs w:val="21"/>
        </w:rPr>
        <w:t>probado por mayoría de votos</w:t>
      </w:r>
      <w:r>
        <w:rPr>
          <w:rFonts w:ascii="Abadi" w:hAnsi="Abadi"/>
          <w:sz w:val="21"/>
          <w:szCs w:val="21"/>
        </w:rPr>
        <w:t>.</w:t>
      </w:r>
    </w:p>
    <w:p w14:paraId="469677FE" w14:textId="77777777" w:rsidR="008317A0" w:rsidRDefault="008317A0" w:rsidP="008317A0">
      <w:pPr>
        <w:jc w:val="both"/>
        <w:rPr>
          <w:rFonts w:ascii="Abadi" w:hAnsi="Abadi"/>
          <w:sz w:val="21"/>
          <w:szCs w:val="21"/>
        </w:rPr>
      </w:pPr>
    </w:p>
    <w:p w14:paraId="5A9CFDA4" w14:textId="77777777" w:rsidR="008317A0" w:rsidRPr="001D0DC2" w:rsidRDefault="008317A0" w:rsidP="008317A0">
      <w:pPr>
        <w:ind w:left="567" w:right="567"/>
        <w:jc w:val="both"/>
        <w:rPr>
          <w:rFonts w:ascii="Abadi" w:hAnsi="Abadi"/>
          <w:b/>
          <w:bCs/>
          <w:i/>
          <w:iCs/>
          <w:sz w:val="21"/>
          <w:szCs w:val="21"/>
          <w:u w:val="single"/>
        </w:rPr>
      </w:pPr>
      <w:r w:rsidRPr="001D0DC2">
        <w:rPr>
          <w:rFonts w:ascii="Abadi" w:hAnsi="Abadi"/>
          <w:b/>
          <w:bCs/>
          <w:i/>
          <w:iCs/>
          <w:sz w:val="21"/>
          <w:szCs w:val="21"/>
          <w:u w:val="single"/>
        </w:rPr>
        <w:t>En consecuencia se instruye a la Secretaría General para que proceda el archivo definitivo de la propuesta de punto de acuerdo referida en el dictamen aprobado.</w:t>
      </w:r>
    </w:p>
    <w:p w14:paraId="4C066B6D" w14:textId="77777777" w:rsidR="008317A0" w:rsidRPr="00FA302A" w:rsidRDefault="008317A0" w:rsidP="008317A0">
      <w:pPr>
        <w:widowControl w:val="0"/>
        <w:jc w:val="center"/>
        <w:rPr>
          <w:rFonts w:ascii="Abadi" w:hAnsi="Abadi" w:cs="Arial"/>
          <w:b/>
          <w:bCs/>
          <w:sz w:val="21"/>
          <w:szCs w:val="21"/>
          <w:lang w:val="es-MX" w:eastAsia="en-US"/>
        </w:rPr>
      </w:pPr>
    </w:p>
    <w:p w14:paraId="54E6FEEB" w14:textId="3CCE65F9" w:rsidR="00515C65" w:rsidRDefault="00515C65" w:rsidP="008317A0">
      <w:pPr>
        <w:autoSpaceDE w:val="0"/>
        <w:autoSpaceDN w:val="0"/>
        <w:adjustRightInd w:val="0"/>
        <w:jc w:val="both"/>
        <w:rPr>
          <w:rFonts w:ascii="Abadi" w:hAnsi="Abadi" w:cs="ArialMT"/>
          <w:sz w:val="20"/>
          <w:szCs w:val="21"/>
        </w:rPr>
      </w:pPr>
    </w:p>
    <w:p w14:paraId="552ACAD0" w14:textId="77777777" w:rsidR="00515C65" w:rsidRPr="00515C65" w:rsidRDefault="00515C65" w:rsidP="00E462B6">
      <w:pPr>
        <w:autoSpaceDE w:val="0"/>
        <w:autoSpaceDN w:val="0"/>
        <w:adjustRightInd w:val="0"/>
        <w:jc w:val="both"/>
        <w:rPr>
          <w:rFonts w:ascii="Abadi" w:hAnsi="Abadi" w:cs="ArialMT"/>
          <w:sz w:val="20"/>
          <w:szCs w:val="21"/>
        </w:rPr>
      </w:pPr>
    </w:p>
    <w:p w14:paraId="71D470F6" w14:textId="77777777" w:rsidR="00E462B6" w:rsidRPr="00526E0B" w:rsidRDefault="00E462B6">
      <w:pPr>
        <w:pStyle w:val="Prrafodelista"/>
        <w:numPr>
          <w:ilvl w:val="0"/>
          <w:numId w:val="14"/>
        </w:numPr>
        <w:autoSpaceDE w:val="0"/>
        <w:autoSpaceDN w:val="0"/>
        <w:adjustRightInd w:val="0"/>
        <w:contextualSpacing/>
        <w:jc w:val="both"/>
        <w:rPr>
          <w:rFonts w:ascii="Abadi" w:hAnsi="Abadi" w:cs="ArialMT"/>
          <w:b/>
          <w:bCs/>
          <w:sz w:val="20"/>
          <w:szCs w:val="21"/>
        </w:rPr>
      </w:pPr>
      <w:r w:rsidRPr="00526E0B">
        <w:rPr>
          <w:rFonts w:ascii="Abadi" w:hAnsi="Abadi" w:cs="ArialMT"/>
          <w:b/>
          <w:bCs/>
          <w:sz w:val="20"/>
          <w:szCs w:val="21"/>
        </w:rPr>
        <w:t>DISCUSIÓN Y, EN SU CASO, APROBACIÓN DEL DICTAMEN SIGNADO POR LA COMISIÓN DE DERECHOS HUMANOS Y ATENCIÓN A GRUPOS VULNERABLES RELATIVO A LA PROPUESTA DE PUNTO DE ACUERDO A EFECTO DE EXHORTAR AL TITULAR DEL PODER EJECUTIVO DEL ESTADO Y A LOS 46 AYUNTAMIENTOS DEL ESTADO DE GUANAJUATO PARA QUE DISEÑEN, IMPLEMENTEN, EJECUTEN Y EVALÚEN UN PROGRAMA DE CAPACITACIÓN CON PERSPECTIVA DE DIVERSIDAD SEXUAL A TODOS SUS SERVIDORES PÚBLICOS, ASÍ COMO A TODA LA POBLACIÓN DEL ESTADO, SUSCRITA POR LA DIPUTADA Y EL DIPUTADO INTEGRANTES DEL GRUPO PARLAMENTARIO DEL PARTIDO VERDE ECOLOGISTA DE MÉXICO ANTE LA SEXAGÉSIMA CUARTA LEGISLATURA.</w:t>
      </w:r>
    </w:p>
    <w:p w14:paraId="7DFE88C5" w14:textId="314510EB" w:rsidR="00E462B6" w:rsidRDefault="00E462B6" w:rsidP="00E462B6">
      <w:pPr>
        <w:autoSpaceDE w:val="0"/>
        <w:autoSpaceDN w:val="0"/>
        <w:adjustRightInd w:val="0"/>
        <w:jc w:val="both"/>
        <w:rPr>
          <w:rFonts w:ascii="Abadi" w:hAnsi="Abadi" w:cs="Arial-BoldMT"/>
          <w:sz w:val="20"/>
          <w:szCs w:val="21"/>
        </w:rPr>
      </w:pPr>
    </w:p>
    <w:p w14:paraId="2591BB47" w14:textId="77777777" w:rsidR="00693A4D" w:rsidRPr="00693A4D" w:rsidRDefault="00693A4D" w:rsidP="00693A4D">
      <w:pPr>
        <w:widowControl w:val="0"/>
        <w:jc w:val="both"/>
        <w:rPr>
          <w:rFonts w:ascii="Abadi" w:hAnsi="Abadi"/>
          <w:b/>
          <w:bCs/>
          <w:sz w:val="21"/>
          <w:szCs w:val="21"/>
          <w:lang w:val="es-MX" w:eastAsia="en-US"/>
        </w:rPr>
      </w:pPr>
      <w:r w:rsidRPr="00693A4D">
        <w:rPr>
          <w:rFonts w:ascii="Abadi" w:hAnsi="Abadi"/>
          <w:b/>
          <w:bCs/>
          <w:sz w:val="21"/>
          <w:szCs w:val="21"/>
          <w:lang w:val="es-MX" w:eastAsia="en-US"/>
        </w:rPr>
        <w:t>DICTAMEN QUE LA COMISIÓN DE DERECHOS HUMANOS Y ATENCIÓN A GRUPOS VULNERABLES PRESENTA AL PLENO DEL CONGRESO, DE LA PROPUESTA DE PUNTO DE ACUERDO SIGNADA POR LA DIPUTADA Y EL DIPUTADO INTEGRANTES DEL GRUPO PARLAMENTARIO DEL PARTIDO VERDE ECOLOGISTA DE MÉXICO ANTE LA SEXAGÉSIMA CUARTA LEGISLATURA, A EFECTO DE EXHORTAR AL TITULAR DEL PODER EJECUTIVO DEL ESTADO DE GUANAJUATO PARA QUE POR SU CONDUCTO SE DISEÑEN, IMPLEMENTEN, EJECUTEN Y EVALÚEN POLÍTICAS PÚBLICAS EFECTIVAS DE NO DISCRIMINACIÓN.</w:t>
      </w:r>
    </w:p>
    <w:p w14:paraId="62CA661D" w14:textId="77777777" w:rsidR="00693A4D" w:rsidRPr="00693A4D" w:rsidRDefault="00693A4D" w:rsidP="00693A4D">
      <w:pPr>
        <w:widowControl w:val="0"/>
        <w:spacing w:line="360" w:lineRule="auto"/>
        <w:jc w:val="both"/>
        <w:rPr>
          <w:rFonts w:ascii="Abadi" w:hAnsi="Abadi" w:cs="Arial"/>
          <w:sz w:val="21"/>
          <w:szCs w:val="21"/>
          <w:lang w:val="es-MX"/>
        </w:rPr>
      </w:pPr>
    </w:p>
    <w:p w14:paraId="09BC3FC7" w14:textId="77777777" w:rsidR="00693A4D" w:rsidRPr="00693A4D" w:rsidRDefault="00693A4D" w:rsidP="00693A4D">
      <w:pPr>
        <w:widowControl w:val="0"/>
        <w:spacing w:line="360" w:lineRule="auto"/>
        <w:jc w:val="both"/>
        <w:rPr>
          <w:rFonts w:ascii="Abadi" w:hAnsi="Abadi" w:cs="Arial"/>
          <w:sz w:val="21"/>
          <w:szCs w:val="21"/>
          <w:lang w:val="es-MX"/>
        </w:rPr>
      </w:pPr>
    </w:p>
    <w:p w14:paraId="15E77596" w14:textId="77777777" w:rsidR="00693A4D" w:rsidRPr="00693A4D" w:rsidRDefault="00693A4D" w:rsidP="00EF4D3B">
      <w:pPr>
        <w:widowControl w:val="0"/>
        <w:ind w:firstLine="851"/>
        <w:jc w:val="both"/>
        <w:rPr>
          <w:rFonts w:ascii="Abadi" w:hAnsi="Abadi" w:cs="Arial"/>
          <w:sz w:val="21"/>
          <w:szCs w:val="21"/>
          <w:lang w:val="es-MX"/>
        </w:rPr>
      </w:pPr>
      <w:r w:rsidRPr="00693A4D">
        <w:rPr>
          <w:rFonts w:ascii="Abadi" w:hAnsi="Abadi" w:cs="Arial"/>
          <w:sz w:val="21"/>
          <w:szCs w:val="21"/>
          <w:lang w:val="es-MX"/>
        </w:rPr>
        <w:t>A la Comisión de Derechos Humanos y Atención a Grupos Vulnerables le fue turnada para estudio y dictamen, la propuesta de punto de acuerdo signada por la diputada y el diputado integrantes del Grupo Parlamentario del Partido Verde Ecologista de México ante la Sexagésima Cuarta Legislatura, a efecto de exhortar al titular del Poder Ejecutivo del Estado de Guanajuato para que por su conducto se diseñen, implementen, ejecuten y evalúen políticas públicas efectivas de no discriminación.</w:t>
      </w:r>
    </w:p>
    <w:p w14:paraId="6B96A91F" w14:textId="77777777" w:rsidR="00693A4D" w:rsidRPr="00693A4D" w:rsidRDefault="00693A4D" w:rsidP="00EF4D3B">
      <w:pPr>
        <w:widowControl w:val="0"/>
        <w:jc w:val="both"/>
        <w:rPr>
          <w:rFonts w:ascii="Abadi" w:hAnsi="Abadi" w:cs="Arial"/>
          <w:sz w:val="21"/>
          <w:szCs w:val="21"/>
          <w:lang w:val="es-MX"/>
        </w:rPr>
      </w:pPr>
    </w:p>
    <w:p w14:paraId="0DE2FBDB" w14:textId="77777777" w:rsidR="00693A4D" w:rsidRPr="00693A4D" w:rsidRDefault="00693A4D" w:rsidP="00EF4D3B">
      <w:pPr>
        <w:widowControl w:val="0"/>
        <w:ind w:firstLine="851"/>
        <w:jc w:val="both"/>
        <w:rPr>
          <w:rFonts w:ascii="Abadi" w:hAnsi="Abadi" w:cs="Arial"/>
          <w:sz w:val="21"/>
          <w:szCs w:val="21"/>
          <w:lang w:val="es-MX"/>
        </w:rPr>
      </w:pPr>
      <w:r w:rsidRPr="00693A4D">
        <w:rPr>
          <w:rFonts w:ascii="Abadi" w:hAnsi="Abadi" w:cs="Arial"/>
          <w:sz w:val="21"/>
          <w:szCs w:val="21"/>
          <w:lang w:val="es-MX"/>
        </w:rPr>
        <w:t>Analizada la propuesta de referencia, esta Comisión de conformidad con lo dispuesto en los artículos 89 -fracción V- y 171 de la Ley Orgánica del Poder Legislativo del Estado de Guanajuato rinde el dictamen, con base en las siguientes:</w:t>
      </w:r>
    </w:p>
    <w:p w14:paraId="57E4C21F" w14:textId="77777777" w:rsidR="00693A4D" w:rsidRPr="00693A4D" w:rsidRDefault="00693A4D" w:rsidP="00EF4D3B">
      <w:pPr>
        <w:widowControl w:val="0"/>
        <w:jc w:val="both"/>
        <w:rPr>
          <w:rFonts w:ascii="Abadi" w:hAnsi="Abadi" w:cs="Arial"/>
          <w:sz w:val="21"/>
          <w:szCs w:val="21"/>
          <w:lang w:val="es-MX"/>
        </w:rPr>
      </w:pPr>
    </w:p>
    <w:p w14:paraId="7DF7F6A0" w14:textId="77777777" w:rsidR="00693A4D" w:rsidRPr="00693A4D" w:rsidRDefault="00693A4D" w:rsidP="00EF4D3B">
      <w:pPr>
        <w:widowControl w:val="0"/>
        <w:jc w:val="center"/>
        <w:rPr>
          <w:rFonts w:ascii="Abadi" w:hAnsi="Abadi" w:cs="Arial"/>
          <w:b/>
          <w:sz w:val="21"/>
          <w:szCs w:val="21"/>
          <w:lang w:val="es-MX"/>
        </w:rPr>
      </w:pPr>
      <w:r w:rsidRPr="00693A4D">
        <w:rPr>
          <w:rFonts w:ascii="Abadi" w:hAnsi="Abadi" w:cs="Arial"/>
          <w:b/>
          <w:sz w:val="21"/>
          <w:szCs w:val="21"/>
          <w:lang w:val="es-MX"/>
        </w:rPr>
        <w:t>C O N S I D E R A C I O N E S</w:t>
      </w:r>
    </w:p>
    <w:p w14:paraId="2CBD5063" w14:textId="77777777" w:rsidR="00693A4D" w:rsidRPr="00693A4D" w:rsidRDefault="00693A4D" w:rsidP="00EF4D3B">
      <w:pPr>
        <w:widowControl w:val="0"/>
        <w:jc w:val="both"/>
        <w:rPr>
          <w:rFonts w:ascii="Abadi" w:hAnsi="Abadi" w:cs="Arial"/>
          <w:sz w:val="21"/>
          <w:szCs w:val="21"/>
          <w:lang w:val="es-MX"/>
        </w:rPr>
      </w:pPr>
    </w:p>
    <w:p w14:paraId="75C1ADF8" w14:textId="77777777" w:rsidR="00693A4D" w:rsidRPr="00693A4D" w:rsidRDefault="00693A4D" w:rsidP="00EF4D3B">
      <w:pPr>
        <w:widowControl w:val="0"/>
        <w:ind w:left="851"/>
        <w:jc w:val="both"/>
        <w:rPr>
          <w:rFonts w:ascii="Abadi" w:hAnsi="Abadi" w:cs="Arial"/>
          <w:b/>
          <w:sz w:val="21"/>
          <w:szCs w:val="21"/>
          <w:lang w:val="es-MX"/>
        </w:rPr>
      </w:pPr>
      <w:r w:rsidRPr="00693A4D">
        <w:rPr>
          <w:rFonts w:ascii="Abadi" w:hAnsi="Abadi" w:cs="Arial"/>
          <w:b/>
          <w:sz w:val="21"/>
          <w:szCs w:val="21"/>
          <w:lang w:val="es-MX"/>
        </w:rPr>
        <w:t>PROCESO LEGISLATIVO.</w:t>
      </w:r>
    </w:p>
    <w:p w14:paraId="223BF24A" w14:textId="77777777" w:rsidR="00693A4D" w:rsidRPr="00693A4D" w:rsidRDefault="00693A4D" w:rsidP="00EF4D3B">
      <w:pPr>
        <w:widowControl w:val="0"/>
        <w:jc w:val="both"/>
        <w:rPr>
          <w:rFonts w:ascii="Abadi" w:hAnsi="Abadi" w:cs="Arial"/>
          <w:sz w:val="21"/>
          <w:szCs w:val="21"/>
          <w:lang w:val="es-MX"/>
        </w:rPr>
      </w:pPr>
    </w:p>
    <w:p w14:paraId="70CAC9A3" w14:textId="77777777" w:rsidR="00693A4D" w:rsidRPr="00693A4D" w:rsidRDefault="00693A4D" w:rsidP="00EF4D3B">
      <w:pPr>
        <w:widowControl w:val="0"/>
        <w:ind w:firstLine="851"/>
        <w:jc w:val="both"/>
        <w:rPr>
          <w:rFonts w:ascii="Abadi" w:hAnsi="Abadi" w:cs="Arial"/>
          <w:sz w:val="21"/>
          <w:szCs w:val="21"/>
          <w:lang w:val="es-MX"/>
        </w:rPr>
      </w:pPr>
      <w:r w:rsidRPr="00693A4D">
        <w:rPr>
          <w:rFonts w:ascii="Abadi" w:hAnsi="Abadi" w:cs="Arial"/>
          <w:sz w:val="21"/>
          <w:szCs w:val="21"/>
          <w:lang w:val="es-MX"/>
        </w:rPr>
        <w:t>En sesión ordinaria del 2 de diciembre de 2021 la presidencia acordó, para su estudio y dictamen, el cambio de turno de la propuesta que nos ocupa a esta Comisión legislativa. Ello con fundamento en el artículo 59 -fracción X-, relacionado con el artículo 106 -fracción IX- de la Ley Orgánica del Poder Legislativo del Estado de Guanajuato.</w:t>
      </w:r>
    </w:p>
    <w:p w14:paraId="2EA65A5E" w14:textId="77777777" w:rsidR="00693A4D" w:rsidRPr="00693A4D" w:rsidRDefault="00693A4D" w:rsidP="00EF4D3B">
      <w:pPr>
        <w:widowControl w:val="0"/>
        <w:jc w:val="both"/>
        <w:rPr>
          <w:rFonts w:ascii="Abadi" w:hAnsi="Abadi" w:cs="Arial"/>
          <w:sz w:val="21"/>
          <w:szCs w:val="21"/>
          <w:lang w:val="es-MX"/>
        </w:rPr>
      </w:pPr>
    </w:p>
    <w:p w14:paraId="3EE58E35" w14:textId="77777777" w:rsidR="00693A4D" w:rsidRPr="00693A4D" w:rsidRDefault="00693A4D" w:rsidP="00EF4D3B">
      <w:pPr>
        <w:widowControl w:val="0"/>
        <w:ind w:firstLine="851"/>
        <w:jc w:val="both"/>
        <w:rPr>
          <w:rFonts w:ascii="Abadi" w:hAnsi="Abadi" w:cs="Arial"/>
          <w:sz w:val="21"/>
          <w:szCs w:val="21"/>
          <w:lang w:val="es-MX"/>
        </w:rPr>
      </w:pPr>
      <w:r w:rsidRPr="00693A4D">
        <w:rPr>
          <w:rFonts w:ascii="Abadi" w:hAnsi="Abadi" w:cs="Arial"/>
          <w:sz w:val="21"/>
          <w:szCs w:val="21"/>
          <w:lang w:val="es-MX"/>
        </w:rPr>
        <w:t>La presidencia de la Comisión de Derechos Humanos y Atención a Grupos Vulnerables, en reunión de fecha 12 de enero de 2022 dio cuenta con la propuesta de punto de acuerdo.</w:t>
      </w:r>
    </w:p>
    <w:p w14:paraId="078D5ABA" w14:textId="77777777" w:rsidR="00693A4D" w:rsidRPr="00693A4D" w:rsidRDefault="00693A4D" w:rsidP="00EF4D3B">
      <w:pPr>
        <w:widowControl w:val="0"/>
        <w:jc w:val="both"/>
        <w:rPr>
          <w:rFonts w:ascii="Abadi" w:hAnsi="Abadi" w:cs="Arial"/>
          <w:sz w:val="21"/>
          <w:szCs w:val="21"/>
          <w:lang w:val="es-MX"/>
        </w:rPr>
      </w:pPr>
    </w:p>
    <w:p w14:paraId="54DE5262" w14:textId="77777777" w:rsidR="00693A4D" w:rsidRPr="00693A4D" w:rsidRDefault="00693A4D" w:rsidP="00EF4D3B">
      <w:pPr>
        <w:widowControl w:val="0"/>
        <w:ind w:left="851"/>
        <w:jc w:val="both"/>
        <w:rPr>
          <w:rFonts w:ascii="Abadi" w:hAnsi="Abadi" w:cs="Arial"/>
          <w:b/>
          <w:sz w:val="21"/>
          <w:szCs w:val="21"/>
          <w:lang w:val="es-MX"/>
        </w:rPr>
      </w:pPr>
      <w:r w:rsidRPr="00693A4D">
        <w:rPr>
          <w:rFonts w:ascii="Abadi" w:hAnsi="Abadi" w:cs="Arial"/>
          <w:b/>
          <w:sz w:val="21"/>
          <w:szCs w:val="21"/>
          <w:lang w:val="es-MX"/>
        </w:rPr>
        <w:t>Propósito de la propuesta de punto de acuerdo.</w:t>
      </w:r>
    </w:p>
    <w:p w14:paraId="700B5802" w14:textId="77777777" w:rsidR="00693A4D" w:rsidRPr="00693A4D" w:rsidRDefault="00693A4D" w:rsidP="00EF4D3B">
      <w:pPr>
        <w:widowControl w:val="0"/>
        <w:jc w:val="both"/>
        <w:rPr>
          <w:rFonts w:ascii="Abadi" w:hAnsi="Abadi"/>
          <w:sz w:val="21"/>
          <w:szCs w:val="21"/>
          <w:lang w:val="es-MX" w:eastAsia="en-US"/>
        </w:rPr>
      </w:pPr>
    </w:p>
    <w:p w14:paraId="7E3C3FD5" w14:textId="77777777" w:rsidR="00693A4D" w:rsidRPr="00693A4D" w:rsidRDefault="00693A4D" w:rsidP="00EF4D3B">
      <w:pPr>
        <w:widowControl w:val="0"/>
        <w:ind w:firstLine="851"/>
        <w:jc w:val="both"/>
        <w:rPr>
          <w:rFonts w:ascii="Abadi" w:hAnsi="Abadi"/>
          <w:sz w:val="21"/>
          <w:szCs w:val="21"/>
          <w:lang w:val="es-MX" w:eastAsia="en-US"/>
        </w:rPr>
      </w:pPr>
      <w:r w:rsidRPr="00693A4D">
        <w:rPr>
          <w:rFonts w:ascii="Abadi" w:hAnsi="Abadi"/>
          <w:sz w:val="21"/>
          <w:szCs w:val="21"/>
          <w:lang w:val="es-MX" w:eastAsia="en-US"/>
        </w:rPr>
        <w:t>En las consideraciones de la propuesta se puede leer que:</w:t>
      </w:r>
    </w:p>
    <w:p w14:paraId="6869B900" w14:textId="77777777" w:rsidR="00693A4D" w:rsidRPr="00693A4D" w:rsidRDefault="00693A4D" w:rsidP="00EF4D3B">
      <w:pPr>
        <w:widowControl w:val="0"/>
        <w:ind w:firstLine="851"/>
        <w:jc w:val="both"/>
        <w:rPr>
          <w:rFonts w:ascii="Abadi" w:hAnsi="Abadi"/>
          <w:sz w:val="21"/>
          <w:szCs w:val="21"/>
          <w:lang w:val="es-MX" w:eastAsia="en-US"/>
        </w:rPr>
      </w:pPr>
    </w:p>
    <w:p w14:paraId="3AEB211F" w14:textId="77777777" w:rsidR="00693A4D" w:rsidRPr="00693A4D" w:rsidRDefault="00693A4D" w:rsidP="00EF4D3B">
      <w:pPr>
        <w:widowControl w:val="0"/>
        <w:ind w:left="851" w:right="851"/>
        <w:jc w:val="both"/>
        <w:rPr>
          <w:rFonts w:ascii="Abadi" w:hAnsi="Abadi" w:cs="Arial"/>
          <w:i/>
          <w:sz w:val="21"/>
          <w:szCs w:val="21"/>
          <w:lang w:val="es-MX" w:eastAsia="en-US"/>
        </w:rPr>
      </w:pPr>
      <w:r w:rsidRPr="00693A4D">
        <w:rPr>
          <w:rFonts w:ascii="Abadi" w:hAnsi="Abadi" w:cs="Arial"/>
          <w:b/>
          <w:bCs/>
          <w:i/>
          <w:sz w:val="21"/>
          <w:szCs w:val="21"/>
          <w:lang w:val="es-MX" w:eastAsia="en-US"/>
        </w:rPr>
        <w:t xml:space="preserve">“Prefiero un hijo muerto que un hijo homosexual.” </w:t>
      </w:r>
      <w:r w:rsidRPr="00693A4D">
        <w:rPr>
          <w:rFonts w:ascii="Abadi" w:hAnsi="Abadi" w:cs="Arial"/>
          <w:i/>
          <w:sz w:val="21"/>
          <w:szCs w:val="21"/>
          <w:lang w:val="es-MX" w:eastAsia="en-US"/>
        </w:rPr>
        <w:t>Mamá de Alex un gran amigo.</w:t>
      </w:r>
    </w:p>
    <w:p w14:paraId="69628038" w14:textId="77777777" w:rsidR="00693A4D" w:rsidRPr="00693A4D" w:rsidRDefault="00693A4D" w:rsidP="00EF4D3B">
      <w:pPr>
        <w:widowControl w:val="0"/>
        <w:ind w:left="851" w:right="851"/>
        <w:jc w:val="both"/>
        <w:rPr>
          <w:rFonts w:ascii="Abadi" w:hAnsi="Abadi" w:cs="Arial"/>
          <w:i/>
          <w:sz w:val="21"/>
          <w:szCs w:val="21"/>
          <w:lang w:val="es-MX" w:eastAsia="en-US"/>
        </w:rPr>
      </w:pPr>
    </w:p>
    <w:p w14:paraId="02DDDC02" w14:textId="77777777" w:rsidR="00693A4D" w:rsidRPr="00693A4D" w:rsidRDefault="00693A4D" w:rsidP="00EF4D3B">
      <w:pPr>
        <w:widowControl w:val="0"/>
        <w:ind w:left="851" w:right="851"/>
        <w:jc w:val="both"/>
        <w:rPr>
          <w:rFonts w:ascii="Abadi" w:hAnsi="Abadi" w:cs="Arial"/>
          <w:i/>
          <w:sz w:val="21"/>
          <w:szCs w:val="21"/>
          <w:lang w:val="es-MX" w:eastAsia="en-US"/>
        </w:rPr>
      </w:pPr>
      <w:r w:rsidRPr="00693A4D">
        <w:rPr>
          <w:rFonts w:ascii="Abadi" w:hAnsi="Abadi" w:cs="Arial"/>
          <w:i/>
          <w:sz w:val="21"/>
          <w:szCs w:val="21"/>
          <w:lang w:val="es-MX" w:eastAsia="en-US"/>
        </w:rPr>
        <w:t>México se ha caracterizado por invisibilizar los problemas a los que se enfrentan diariamente las personas LGBTIQ+, y consecuencia lógica ha sido que se provoquen de manera sistemática violaciones de los derechos humanos a estas personas, como derechos a la vida, a la igualdad, a la libertad y a la dignidad. Y lo vemos todos los días, en la vida pública, en el trabajo, en el hogar.</w:t>
      </w:r>
    </w:p>
    <w:p w14:paraId="144DEF47" w14:textId="77777777" w:rsidR="00693A4D" w:rsidRPr="00693A4D" w:rsidRDefault="00693A4D" w:rsidP="00EF4D3B">
      <w:pPr>
        <w:widowControl w:val="0"/>
        <w:ind w:left="851" w:right="851"/>
        <w:jc w:val="both"/>
        <w:rPr>
          <w:rFonts w:ascii="Abadi" w:hAnsi="Abadi" w:cs="Arial"/>
          <w:i/>
          <w:sz w:val="21"/>
          <w:szCs w:val="21"/>
          <w:lang w:val="es-MX" w:eastAsia="en-US"/>
        </w:rPr>
      </w:pPr>
    </w:p>
    <w:p w14:paraId="0CE13344" w14:textId="77777777" w:rsidR="00693A4D" w:rsidRPr="00693A4D" w:rsidRDefault="00693A4D" w:rsidP="00EF4D3B">
      <w:pPr>
        <w:widowControl w:val="0"/>
        <w:ind w:left="851" w:right="851"/>
        <w:jc w:val="both"/>
        <w:rPr>
          <w:rFonts w:ascii="Abadi" w:hAnsi="Abadi" w:cs="Arial"/>
          <w:i/>
          <w:sz w:val="21"/>
          <w:szCs w:val="21"/>
          <w:lang w:val="es-MX" w:eastAsia="en-US"/>
        </w:rPr>
      </w:pPr>
      <w:r w:rsidRPr="00693A4D">
        <w:rPr>
          <w:rFonts w:ascii="Abadi" w:hAnsi="Abadi" w:cs="Arial"/>
          <w:i/>
          <w:sz w:val="21"/>
          <w:szCs w:val="21"/>
          <w:lang w:val="es-MX" w:eastAsia="en-US"/>
        </w:rPr>
        <w:t>Por ello, se han creado diversos mecanismos a nivel internacional para garantizar la protección y defensa de los derechos de las personas LGBTIQ+, tal es el caso, de la Relatoría sobre los Derechos de las Personas Lesbianas, Gays, Bisexuales, Transgénero, Travestí, Transexuales, lntersexual y Queer, creado por la Comisión Interamericana de Derechos Humanos (CIDH), en donde se han reflejado diagnósticos fríos y precisos de las constantes violaciones y en donde se han logrado cambios en diversos países que han manifestado públicamente el reconocimiento y garantía de sus derechos.</w:t>
      </w:r>
    </w:p>
    <w:p w14:paraId="36787239" w14:textId="77777777" w:rsidR="00693A4D" w:rsidRPr="00693A4D" w:rsidRDefault="00693A4D" w:rsidP="00EF4D3B">
      <w:pPr>
        <w:widowControl w:val="0"/>
        <w:ind w:left="851" w:right="851"/>
        <w:jc w:val="both"/>
        <w:rPr>
          <w:rFonts w:ascii="Abadi" w:hAnsi="Abadi" w:cs="Arial"/>
          <w:i/>
          <w:sz w:val="21"/>
          <w:szCs w:val="21"/>
          <w:lang w:val="es-MX" w:eastAsia="en-US"/>
        </w:rPr>
      </w:pPr>
    </w:p>
    <w:p w14:paraId="45C2C93A" w14:textId="77777777" w:rsidR="00693A4D" w:rsidRPr="00693A4D" w:rsidRDefault="00693A4D" w:rsidP="00EF4D3B">
      <w:pPr>
        <w:widowControl w:val="0"/>
        <w:ind w:left="851" w:right="851"/>
        <w:jc w:val="both"/>
        <w:rPr>
          <w:rFonts w:ascii="Abadi" w:hAnsi="Abadi" w:cs="Arial"/>
          <w:i/>
          <w:sz w:val="21"/>
          <w:szCs w:val="21"/>
          <w:lang w:val="es-MX" w:eastAsia="en-US"/>
        </w:rPr>
      </w:pPr>
      <w:r w:rsidRPr="00693A4D">
        <w:rPr>
          <w:rFonts w:ascii="Abadi" w:hAnsi="Abadi" w:cs="Arial"/>
          <w:i/>
          <w:sz w:val="21"/>
          <w:szCs w:val="21"/>
          <w:lang w:val="es-MX" w:eastAsia="en-US"/>
        </w:rPr>
        <w:t>Sin embargo, México, y en específico Guanajuato, no han permitido visibilizar los derechos de las personas LGBTIQ+, al contrario, ha propiciado que las grandes transformaciones legales, como el matrimonio igualitario, así como la creación de instituciones que vigilen y protejan los derechos de las personas de diversidad sexual, pasen a un segundo plano, o simplemente se mandan al archivo.</w:t>
      </w:r>
    </w:p>
    <w:p w14:paraId="5CAE8BB6" w14:textId="77777777" w:rsidR="00693A4D" w:rsidRPr="00693A4D" w:rsidRDefault="00693A4D" w:rsidP="00EF4D3B">
      <w:pPr>
        <w:widowControl w:val="0"/>
        <w:ind w:left="851" w:right="851"/>
        <w:jc w:val="both"/>
        <w:rPr>
          <w:rFonts w:ascii="Abadi" w:hAnsi="Abadi" w:cs="Arial"/>
          <w:i/>
          <w:sz w:val="21"/>
          <w:szCs w:val="21"/>
          <w:lang w:val="es-MX" w:eastAsia="en-US"/>
        </w:rPr>
      </w:pPr>
    </w:p>
    <w:p w14:paraId="2F32B68F" w14:textId="77777777" w:rsidR="00693A4D" w:rsidRPr="00693A4D" w:rsidRDefault="00693A4D" w:rsidP="00EF4D3B">
      <w:pPr>
        <w:widowControl w:val="0"/>
        <w:ind w:left="851" w:right="851"/>
        <w:jc w:val="both"/>
        <w:rPr>
          <w:rFonts w:ascii="Abadi" w:hAnsi="Abadi" w:cs="Arial"/>
          <w:i/>
          <w:sz w:val="21"/>
          <w:szCs w:val="21"/>
          <w:lang w:val="es-MX" w:eastAsia="en-US"/>
        </w:rPr>
      </w:pPr>
      <w:r w:rsidRPr="00693A4D">
        <w:rPr>
          <w:rFonts w:ascii="Abadi" w:hAnsi="Abadi" w:cs="Arial"/>
          <w:i/>
          <w:sz w:val="21"/>
          <w:szCs w:val="21"/>
          <w:lang w:val="es-MX" w:eastAsia="en-US"/>
        </w:rPr>
        <w:t>La omisión, también es discriminación y este tipo de acciones, mandan un mensaje directo a las personas LGBTIQ+: el cual es “no nos interesan, no son nuestra prioridad”.</w:t>
      </w:r>
    </w:p>
    <w:p w14:paraId="479265F0" w14:textId="77777777" w:rsidR="00693A4D" w:rsidRPr="00693A4D" w:rsidRDefault="00693A4D" w:rsidP="00EF4D3B">
      <w:pPr>
        <w:widowControl w:val="0"/>
        <w:ind w:left="851" w:right="851"/>
        <w:jc w:val="both"/>
        <w:rPr>
          <w:rFonts w:ascii="Abadi" w:hAnsi="Abadi" w:cs="Arial"/>
          <w:i/>
          <w:sz w:val="21"/>
          <w:szCs w:val="21"/>
          <w:lang w:val="es-MX" w:eastAsia="en-US"/>
        </w:rPr>
      </w:pPr>
    </w:p>
    <w:p w14:paraId="565D87CC" w14:textId="77777777" w:rsidR="00693A4D" w:rsidRPr="00693A4D" w:rsidRDefault="00693A4D" w:rsidP="00EF4D3B">
      <w:pPr>
        <w:widowControl w:val="0"/>
        <w:ind w:left="851" w:right="851"/>
        <w:jc w:val="both"/>
        <w:rPr>
          <w:rFonts w:ascii="Abadi" w:hAnsi="Abadi" w:cs="Arial"/>
          <w:i/>
          <w:sz w:val="21"/>
          <w:szCs w:val="21"/>
          <w:lang w:val="es-MX" w:eastAsia="en-US"/>
        </w:rPr>
      </w:pPr>
      <w:r w:rsidRPr="00693A4D">
        <w:rPr>
          <w:rFonts w:ascii="Abadi" w:hAnsi="Abadi" w:cs="Arial"/>
          <w:i/>
          <w:sz w:val="21"/>
          <w:szCs w:val="21"/>
          <w:lang w:val="es-MX" w:eastAsia="en-US"/>
        </w:rPr>
        <w:t>Si hemos visto algunas mesas de trabajo y reuniones del Gobierno del Estado, a través de los titulares con representantes de las personas LGBTIQ+, son solamente simulaciones para decirle a la sociedad que los toman en cuenta. Pero en los hechos, en las grandes transformaciones legales y, sobre todo, en las políticas públicas, son nulas las acciones.</w:t>
      </w:r>
    </w:p>
    <w:p w14:paraId="5D2F6E41" w14:textId="77777777" w:rsidR="00693A4D" w:rsidRPr="00693A4D" w:rsidRDefault="00693A4D" w:rsidP="00EF4D3B">
      <w:pPr>
        <w:widowControl w:val="0"/>
        <w:ind w:left="851" w:right="851"/>
        <w:jc w:val="both"/>
        <w:rPr>
          <w:rFonts w:ascii="Abadi" w:hAnsi="Abadi" w:cs="Arial"/>
          <w:i/>
          <w:sz w:val="21"/>
          <w:szCs w:val="21"/>
          <w:lang w:val="es-MX" w:eastAsia="en-US"/>
        </w:rPr>
      </w:pPr>
    </w:p>
    <w:p w14:paraId="7FA5A8F3" w14:textId="77777777" w:rsidR="00693A4D" w:rsidRPr="00693A4D" w:rsidRDefault="00693A4D" w:rsidP="00EF4D3B">
      <w:pPr>
        <w:widowControl w:val="0"/>
        <w:ind w:left="851" w:right="851"/>
        <w:jc w:val="both"/>
        <w:rPr>
          <w:rFonts w:ascii="Abadi" w:hAnsi="Abadi" w:cs="Arial"/>
          <w:i/>
          <w:sz w:val="21"/>
          <w:szCs w:val="21"/>
          <w:lang w:val="es-MX" w:eastAsia="en-US"/>
        </w:rPr>
      </w:pPr>
      <w:r w:rsidRPr="00693A4D">
        <w:rPr>
          <w:rFonts w:ascii="Abadi" w:hAnsi="Abadi" w:cs="Arial"/>
          <w:i/>
          <w:sz w:val="21"/>
          <w:szCs w:val="21"/>
          <w:lang w:val="es-MX" w:eastAsia="en-US"/>
        </w:rPr>
        <w:t>Ocasionando serios problemas de discriminación en los lugares en donde las personas LGBTIQ+ se hacen presentes y visibles para expresar sus ideas y sus actividades.</w:t>
      </w:r>
    </w:p>
    <w:p w14:paraId="114F5D5A" w14:textId="77777777" w:rsidR="00693A4D" w:rsidRPr="00693A4D" w:rsidRDefault="00693A4D" w:rsidP="00EF4D3B">
      <w:pPr>
        <w:widowControl w:val="0"/>
        <w:ind w:left="851" w:right="851"/>
        <w:jc w:val="both"/>
        <w:rPr>
          <w:rFonts w:ascii="Abadi" w:hAnsi="Abadi" w:cs="Arial"/>
          <w:i/>
          <w:sz w:val="21"/>
          <w:szCs w:val="21"/>
          <w:lang w:val="es-MX" w:eastAsia="en-US"/>
        </w:rPr>
      </w:pPr>
    </w:p>
    <w:p w14:paraId="2CBD0EE7" w14:textId="77777777" w:rsidR="00693A4D" w:rsidRPr="00693A4D" w:rsidRDefault="00693A4D" w:rsidP="00EF4D3B">
      <w:pPr>
        <w:widowControl w:val="0"/>
        <w:ind w:left="851" w:right="851"/>
        <w:jc w:val="both"/>
        <w:rPr>
          <w:rFonts w:ascii="Abadi" w:hAnsi="Abadi" w:cs="Arial"/>
          <w:i/>
          <w:sz w:val="21"/>
          <w:szCs w:val="21"/>
          <w:lang w:val="es-MX" w:eastAsia="en-US"/>
        </w:rPr>
      </w:pPr>
      <w:r w:rsidRPr="00693A4D">
        <w:rPr>
          <w:rFonts w:ascii="Abadi" w:hAnsi="Abadi" w:cs="Arial"/>
          <w:i/>
          <w:sz w:val="21"/>
          <w:szCs w:val="21"/>
          <w:lang w:val="es-MX" w:eastAsia="en-US"/>
        </w:rPr>
        <w:t>El Gobierno del Estado de Guanajuato deber reconocer abiertamente los derechos humanos de las personas LGBTIQ+, en dos sentidos:</w:t>
      </w:r>
    </w:p>
    <w:p w14:paraId="6BF17926" w14:textId="77777777" w:rsidR="00693A4D" w:rsidRPr="00693A4D" w:rsidRDefault="00693A4D" w:rsidP="00EF4D3B">
      <w:pPr>
        <w:widowControl w:val="0"/>
        <w:ind w:left="851" w:right="851"/>
        <w:jc w:val="both"/>
        <w:rPr>
          <w:rFonts w:ascii="Abadi" w:hAnsi="Abadi" w:cs="Arial"/>
          <w:i/>
          <w:sz w:val="21"/>
          <w:szCs w:val="21"/>
          <w:lang w:val="es-MX" w:eastAsia="en-US"/>
        </w:rPr>
      </w:pPr>
    </w:p>
    <w:p w14:paraId="29C1A0B7" w14:textId="77777777" w:rsidR="00693A4D" w:rsidRPr="00693A4D" w:rsidRDefault="00693A4D" w:rsidP="00EF4D3B">
      <w:pPr>
        <w:widowControl w:val="0"/>
        <w:ind w:left="851" w:right="851"/>
        <w:jc w:val="both"/>
        <w:rPr>
          <w:rFonts w:ascii="Abadi" w:hAnsi="Abadi" w:cs="Arial"/>
          <w:i/>
          <w:sz w:val="21"/>
          <w:szCs w:val="21"/>
          <w:lang w:val="es-MX" w:eastAsia="en-US"/>
        </w:rPr>
      </w:pPr>
      <w:r w:rsidRPr="00693A4D">
        <w:rPr>
          <w:rFonts w:ascii="Abadi" w:hAnsi="Abadi" w:cs="Arial"/>
          <w:i/>
          <w:sz w:val="21"/>
          <w:szCs w:val="21"/>
          <w:lang w:val="es-MX" w:eastAsia="en-US"/>
        </w:rPr>
        <w:t>1. Por un lado, promover diversas iniciativas de ley sobre la inclusión y reconocimiento de derechos humanos de las personas Lesbianas, Gays, Bisexuales, Transgénero, Travestí, Transexuales, lntersexual y Queer, así como el empoderamiento respecto de su identidad.</w:t>
      </w:r>
    </w:p>
    <w:p w14:paraId="043F5457" w14:textId="77777777" w:rsidR="00693A4D" w:rsidRPr="00693A4D" w:rsidRDefault="00693A4D" w:rsidP="00EF4D3B">
      <w:pPr>
        <w:widowControl w:val="0"/>
        <w:ind w:left="851" w:right="851"/>
        <w:jc w:val="both"/>
        <w:rPr>
          <w:rFonts w:ascii="Abadi" w:hAnsi="Abadi" w:cs="Arial"/>
          <w:i/>
          <w:sz w:val="21"/>
          <w:szCs w:val="21"/>
          <w:lang w:val="es-MX" w:eastAsia="en-US"/>
        </w:rPr>
      </w:pPr>
    </w:p>
    <w:p w14:paraId="0C934881" w14:textId="77777777" w:rsidR="00693A4D" w:rsidRPr="00693A4D" w:rsidRDefault="00693A4D" w:rsidP="00EF4D3B">
      <w:pPr>
        <w:widowControl w:val="0"/>
        <w:ind w:left="851" w:right="851"/>
        <w:jc w:val="both"/>
        <w:rPr>
          <w:rFonts w:ascii="Abadi" w:hAnsi="Abadi" w:cs="Arial"/>
          <w:i/>
          <w:sz w:val="21"/>
          <w:szCs w:val="21"/>
          <w:lang w:val="es-MX" w:eastAsia="en-US"/>
        </w:rPr>
      </w:pPr>
      <w:r w:rsidRPr="00693A4D">
        <w:rPr>
          <w:rFonts w:ascii="Abadi" w:hAnsi="Abadi" w:cs="Arial"/>
          <w:i/>
          <w:sz w:val="21"/>
          <w:szCs w:val="21"/>
          <w:lang w:val="es-MX" w:eastAsia="en-US"/>
        </w:rPr>
        <w:t>2. Diseñar, implementar, ejecutar y evaluar políticas públicas efectivas de no discriminación de las personas LGBTIQ+, donde el común denominador de todas ellas sea, la consolidación de una cultura de derechos por medio de la sensibilización y cambios culturales de la sociedad.</w:t>
      </w:r>
    </w:p>
    <w:p w14:paraId="09512780" w14:textId="77777777" w:rsidR="00693A4D" w:rsidRPr="00693A4D" w:rsidRDefault="00693A4D" w:rsidP="00EF4D3B">
      <w:pPr>
        <w:widowControl w:val="0"/>
        <w:ind w:left="851" w:right="851"/>
        <w:jc w:val="both"/>
        <w:rPr>
          <w:rFonts w:ascii="Abadi" w:hAnsi="Abadi" w:cs="Arial"/>
          <w:i/>
          <w:sz w:val="21"/>
          <w:szCs w:val="21"/>
          <w:lang w:val="es-MX" w:eastAsia="en-US"/>
        </w:rPr>
      </w:pPr>
    </w:p>
    <w:p w14:paraId="09651A8B" w14:textId="77777777" w:rsidR="00693A4D" w:rsidRPr="00693A4D" w:rsidRDefault="00693A4D" w:rsidP="00EF4D3B">
      <w:pPr>
        <w:widowControl w:val="0"/>
        <w:ind w:left="851" w:right="851"/>
        <w:jc w:val="both"/>
        <w:rPr>
          <w:rFonts w:ascii="Abadi" w:hAnsi="Abadi" w:cs="Arial"/>
          <w:i/>
          <w:sz w:val="21"/>
          <w:szCs w:val="21"/>
          <w:lang w:val="es-MX" w:eastAsia="en-US"/>
        </w:rPr>
      </w:pPr>
      <w:r w:rsidRPr="00693A4D">
        <w:rPr>
          <w:rFonts w:ascii="Abadi" w:hAnsi="Abadi" w:cs="Arial"/>
          <w:i/>
          <w:sz w:val="21"/>
          <w:szCs w:val="21"/>
          <w:lang w:val="es-MX" w:eastAsia="en-US"/>
        </w:rPr>
        <w:t>Implementando estas acciones en favor de las personas LGBTIQ+ se abren las puertas para el respeto de sus derechos a la participación democrática y política, a la educación, a la salud, seguridad personal, acceso a la justicia, y acceso y control de los recursos económicos.</w:t>
      </w:r>
    </w:p>
    <w:p w14:paraId="06B7ED17" w14:textId="77777777" w:rsidR="00693A4D" w:rsidRPr="00693A4D" w:rsidRDefault="00693A4D" w:rsidP="00EF4D3B">
      <w:pPr>
        <w:widowControl w:val="0"/>
        <w:ind w:left="851" w:right="851"/>
        <w:jc w:val="both"/>
        <w:rPr>
          <w:rFonts w:ascii="Abadi" w:hAnsi="Abadi" w:cs="Arial"/>
          <w:i/>
          <w:sz w:val="21"/>
          <w:szCs w:val="21"/>
          <w:lang w:val="es-MX" w:eastAsia="en-US"/>
        </w:rPr>
      </w:pPr>
    </w:p>
    <w:p w14:paraId="590F2D5F" w14:textId="77777777" w:rsidR="00693A4D" w:rsidRPr="00693A4D" w:rsidRDefault="00693A4D" w:rsidP="00EF4D3B">
      <w:pPr>
        <w:widowControl w:val="0"/>
        <w:ind w:left="851" w:right="851"/>
        <w:jc w:val="both"/>
        <w:rPr>
          <w:rFonts w:ascii="Abadi" w:hAnsi="Abadi" w:cs="Arial"/>
          <w:i/>
          <w:sz w:val="21"/>
          <w:szCs w:val="21"/>
          <w:lang w:val="es-MX" w:eastAsia="en-US"/>
        </w:rPr>
      </w:pPr>
      <w:r w:rsidRPr="00693A4D">
        <w:rPr>
          <w:rFonts w:ascii="Abadi" w:hAnsi="Abadi" w:cs="Arial"/>
          <w:i/>
          <w:sz w:val="21"/>
          <w:szCs w:val="21"/>
          <w:lang w:val="es-MX" w:eastAsia="en-US"/>
        </w:rPr>
        <w:t>Es necesario y urgente actuar ya, el tiempo que llevamos tratando de que el Gobierno del Estado de Guanajuato entienda la importancia de respetar y garantizar los derechos de las personas LGBTIQ+, ha llevado a las personas a las calles, para exigir sus derechos consagrados en la Constitución Federal.</w:t>
      </w:r>
    </w:p>
    <w:p w14:paraId="364C812F" w14:textId="77777777" w:rsidR="00693A4D" w:rsidRPr="00693A4D" w:rsidRDefault="00693A4D" w:rsidP="00EF4D3B">
      <w:pPr>
        <w:widowControl w:val="0"/>
        <w:ind w:left="851" w:right="851"/>
        <w:jc w:val="both"/>
        <w:rPr>
          <w:rFonts w:ascii="Abadi" w:hAnsi="Abadi" w:cs="Arial"/>
          <w:i/>
          <w:sz w:val="21"/>
          <w:szCs w:val="21"/>
          <w:lang w:val="es-MX" w:eastAsia="en-US"/>
        </w:rPr>
      </w:pPr>
    </w:p>
    <w:p w14:paraId="3004C297" w14:textId="77777777" w:rsidR="00693A4D" w:rsidRPr="00693A4D" w:rsidRDefault="00693A4D" w:rsidP="00EF4D3B">
      <w:pPr>
        <w:widowControl w:val="0"/>
        <w:ind w:left="851" w:right="851"/>
        <w:jc w:val="both"/>
        <w:rPr>
          <w:rFonts w:ascii="Abadi" w:hAnsi="Abadi" w:cs="Arial"/>
          <w:i/>
          <w:sz w:val="21"/>
          <w:szCs w:val="21"/>
          <w:lang w:val="es-MX" w:eastAsia="en-US"/>
        </w:rPr>
      </w:pPr>
      <w:r w:rsidRPr="00693A4D">
        <w:rPr>
          <w:rFonts w:ascii="Abadi" w:hAnsi="Abadi" w:cs="Arial"/>
          <w:i/>
          <w:sz w:val="21"/>
          <w:szCs w:val="21"/>
          <w:lang w:val="es-MX" w:eastAsia="en-US"/>
        </w:rPr>
        <w:t>Guanajuato tiene una deuda enorme con las personas Lesbianas, Gays, Bisexuales, Transgénero, Travestí, Transexuales, lntersexual y Queer, por tanto, tiempo que sigue pasando sin fomentar acciones concretas en favor de ellos. Podemos ver otros estados del país, que han implementado acciones legislativas concretas y por ende políticas públicas reales y visibles en favor de las estas personas, no nos debemos quedar atrás.</w:t>
      </w:r>
    </w:p>
    <w:p w14:paraId="41A9DE84" w14:textId="77777777" w:rsidR="00693A4D" w:rsidRPr="00693A4D" w:rsidRDefault="00693A4D" w:rsidP="00EF4D3B">
      <w:pPr>
        <w:widowControl w:val="0"/>
        <w:ind w:left="851" w:right="851"/>
        <w:jc w:val="both"/>
        <w:rPr>
          <w:rFonts w:ascii="Abadi" w:hAnsi="Abadi" w:cs="Arial"/>
          <w:i/>
          <w:sz w:val="21"/>
          <w:szCs w:val="21"/>
          <w:lang w:val="es-MX" w:eastAsia="en-US"/>
        </w:rPr>
      </w:pPr>
    </w:p>
    <w:p w14:paraId="2CCA489E" w14:textId="77777777" w:rsidR="00693A4D" w:rsidRPr="00693A4D" w:rsidRDefault="00693A4D" w:rsidP="00EF4D3B">
      <w:pPr>
        <w:widowControl w:val="0"/>
        <w:ind w:left="851" w:right="851"/>
        <w:jc w:val="both"/>
        <w:rPr>
          <w:rFonts w:ascii="Abadi" w:hAnsi="Abadi" w:cs="Arial"/>
          <w:i/>
          <w:sz w:val="21"/>
          <w:szCs w:val="21"/>
          <w:lang w:val="es-MX" w:eastAsia="en-US"/>
        </w:rPr>
      </w:pPr>
      <w:r w:rsidRPr="00693A4D">
        <w:rPr>
          <w:rFonts w:ascii="Abadi" w:hAnsi="Abadi" w:cs="Arial"/>
          <w:i/>
          <w:sz w:val="21"/>
          <w:szCs w:val="21"/>
          <w:lang w:val="es-MX" w:eastAsia="en-US"/>
        </w:rPr>
        <w:t>Nuestra misión es crear en Guanajuato un lugar seguro para cada una de las personas LGBTIQ+, donde no se sientan amenazadas, ni se vulneren sus derechos fundamentales, donde puedan caminar libremente por los diferentes lugares públicos sin que se sientan agredidas o discriminadas, donde puedan expresar sus ideas sin que puedan ser violentadas o excluidas de la sociedad.</w:t>
      </w:r>
    </w:p>
    <w:p w14:paraId="6750A6FE" w14:textId="77777777" w:rsidR="00693A4D" w:rsidRPr="00693A4D" w:rsidRDefault="00693A4D" w:rsidP="00EF4D3B">
      <w:pPr>
        <w:widowControl w:val="0"/>
        <w:ind w:left="851" w:right="851"/>
        <w:jc w:val="both"/>
        <w:rPr>
          <w:rFonts w:ascii="Abadi" w:hAnsi="Abadi" w:cs="Arial"/>
          <w:i/>
          <w:sz w:val="21"/>
          <w:szCs w:val="21"/>
          <w:lang w:val="es-MX" w:eastAsia="en-US"/>
        </w:rPr>
      </w:pPr>
    </w:p>
    <w:p w14:paraId="1C23570F" w14:textId="77777777" w:rsidR="00693A4D" w:rsidRPr="00693A4D" w:rsidRDefault="00693A4D" w:rsidP="00EF4D3B">
      <w:pPr>
        <w:widowControl w:val="0"/>
        <w:ind w:left="851" w:right="851"/>
        <w:jc w:val="both"/>
        <w:rPr>
          <w:rFonts w:ascii="Abadi" w:hAnsi="Abadi" w:cs="Arial"/>
          <w:i/>
          <w:sz w:val="21"/>
          <w:szCs w:val="21"/>
          <w:lang w:val="es-MX" w:eastAsia="en-US"/>
        </w:rPr>
      </w:pPr>
      <w:r w:rsidRPr="00693A4D">
        <w:rPr>
          <w:rFonts w:ascii="Abadi" w:hAnsi="Abadi" w:cs="Arial"/>
          <w:i/>
          <w:sz w:val="21"/>
          <w:szCs w:val="21"/>
          <w:lang w:val="es-MX" w:eastAsia="en-US"/>
        </w:rPr>
        <w:t>Por ello, la diputada y su servidor integrantes del Grupo Parlamentario del Partido Verde Ecologista de México estamos convencidos de que la única manera de cambiar la cultura discriminatoria hacia las personas LGBTIQ+ es con un cambio radical en la cultura de la sociedad, pero desde su base, desde la educación, desde la creación de políticas públicas efectivas, desde la inclusión, pero sobre todo desde el convencimiento de que todas las personas son parte importante de nuestra sociedad más allá de su orientación sexual o identidad de género.</w:t>
      </w:r>
    </w:p>
    <w:p w14:paraId="12CFACCC" w14:textId="77777777" w:rsidR="00693A4D" w:rsidRPr="00693A4D" w:rsidRDefault="00693A4D" w:rsidP="00EF4D3B">
      <w:pPr>
        <w:widowControl w:val="0"/>
        <w:jc w:val="both"/>
        <w:rPr>
          <w:rFonts w:ascii="Abadi" w:hAnsi="Abadi" w:cs="Arial"/>
          <w:sz w:val="21"/>
          <w:szCs w:val="21"/>
          <w:lang w:val="es-MX"/>
        </w:rPr>
      </w:pPr>
    </w:p>
    <w:p w14:paraId="4424D97D" w14:textId="77777777" w:rsidR="00693A4D" w:rsidRPr="00693A4D" w:rsidRDefault="00693A4D" w:rsidP="00EF4D3B">
      <w:pPr>
        <w:widowControl w:val="0"/>
        <w:ind w:left="851"/>
        <w:jc w:val="both"/>
        <w:rPr>
          <w:rFonts w:ascii="Abadi" w:hAnsi="Abadi"/>
          <w:b/>
          <w:sz w:val="21"/>
          <w:szCs w:val="21"/>
          <w:lang w:val="es-MX"/>
        </w:rPr>
      </w:pPr>
      <w:r w:rsidRPr="00693A4D">
        <w:rPr>
          <w:rFonts w:ascii="Abadi" w:hAnsi="Abadi" w:cs="Arial"/>
          <w:b/>
          <w:sz w:val="21"/>
          <w:szCs w:val="21"/>
          <w:lang w:val="es-MX"/>
        </w:rPr>
        <w:t>CONSIDERACIONES DE LA COMISIÓN</w:t>
      </w:r>
      <w:r w:rsidRPr="00693A4D">
        <w:rPr>
          <w:rFonts w:ascii="Abadi" w:hAnsi="Abadi"/>
          <w:b/>
          <w:sz w:val="21"/>
          <w:szCs w:val="21"/>
          <w:lang w:val="es-MX"/>
        </w:rPr>
        <w:t>.</w:t>
      </w:r>
    </w:p>
    <w:p w14:paraId="54B85FE8" w14:textId="77777777" w:rsidR="00693A4D" w:rsidRPr="00693A4D" w:rsidRDefault="00693A4D" w:rsidP="00EF4D3B">
      <w:pPr>
        <w:widowControl w:val="0"/>
        <w:jc w:val="both"/>
        <w:rPr>
          <w:rFonts w:ascii="Abadi" w:hAnsi="Abadi"/>
          <w:sz w:val="21"/>
          <w:szCs w:val="21"/>
          <w:lang w:val="es-MX" w:eastAsia="en-US"/>
        </w:rPr>
      </w:pPr>
    </w:p>
    <w:p w14:paraId="40443CC5" w14:textId="77777777" w:rsidR="00693A4D" w:rsidRPr="00693A4D" w:rsidRDefault="00693A4D" w:rsidP="00EF4D3B">
      <w:pPr>
        <w:widowControl w:val="0"/>
        <w:ind w:firstLine="851"/>
        <w:jc w:val="both"/>
        <w:rPr>
          <w:rFonts w:ascii="Abadi" w:hAnsi="Abadi" w:cs="Arial"/>
          <w:sz w:val="21"/>
          <w:szCs w:val="21"/>
          <w:lang w:val="es-MX"/>
        </w:rPr>
      </w:pPr>
      <w:r w:rsidRPr="00693A4D">
        <w:rPr>
          <w:rFonts w:ascii="Abadi" w:hAnsi="Abadi" w:cs="Arial"/>
          <w:sz w:val="21"/>
          <w:szCs w:val="21"/>
          <w:lang w:val="es-MX"/>
        </w:rPr>
        <w:t xml:space="preserve">Nuestra ley orgánica otorga a las comisiones legislativas -en el artículo 89, fracción V-, la atribución de </w:t>
      </w:r>
      <w:r w:rsidRPr="00693A4D">
        <w:rPr>
          <w:rFonts w:ascii="Abadi" w:hAnsi="Abadi" w:cs="Arial"/>
          <w:i/>
          <w:iCs/>
          <w:sz w:val="21"/>
          <w:szCs w:val="21"/>
          <w:lang w:val="es-MX"/>
        </w:rPr>
        <w:t>dictaminar, atender o resolver las iniciativas de Ley o decreto, acuerdos, proposiciones y asuntos que les hayan sido turnados</w:t>
      </w:r>
      <w:r w:rsidRPr="00693A4D">
        <w:rPr>
          <w:rFonts w:ascii="Abadi" w:hAnsi="Abadi" w:cs="Arial"/>
          <w:sz w:val="21"/>
          <w:szCs w:val="21"/>
          <w:lang w:val="es-MX"/>
        </w:rPr>
        <w:t>.</w:t>
      </w:r>
    </w:p>
    <w:p w14:paraId="14DC2437" w14:textId="77777777" w:rsidR="00693A4D" w:rsidRPr="00693A4D" w:rsidRDefault="00693A4D" w:rsidP="00EF4D3B">
      <w:pPr>
        <w:widowControl w:val="0"/>
        <w:jc w:val="both"/>
        <w:rPr>
          <w:rFonts w:ascii="Abadi" w:hAnsi="Abadi" w:cs="Arial"/>
          <w:sz w:val="21"/>
          <w:szCs w:val="21"/>
          <w:lang w:val="es-MX"/>
        </w:rPr>
      </w:pPr>
    </w:p>
    <w:p w14:paraId="5C6612DE" w14:textId="77777777" w:rsidR="00693A4D" w:rsidRPr="00693A4D" w:rsidRDefault="00693A4D" w:rsidP="00EF4D3B">
      <w:pPr>
        <w:widowControl w:val="0"/>
        <w:ind w:firstLine="851"/>
        <w:jc w:val="both"/>
        <w:rPr>
          <w:rFonts w:ascii="Abadi" w:hAnsi="Abadi" w:cs="Arial"/>
          <w:sz w:val="21"/>
          <w:szCs w:val="21"/>
          <w:lang w:val="es-MX"/>
        </w:rPr>
      </w:pPr>
      <w:r w:rsidRPr="00693A4D">
        <w:rPr>
          <w:rFonts w:ascii="Abadi" w:hAnsi="Abadi" w:cs="Arial"/>
          <w:sz w:val="21"/>
          <w:szCs w:val="21"/>
          <w:lang w:val="es-MX"/>
        </w:rPr>
        <w:t>Esta comisión legislativa tiene competencia para el conocimiento y dictamen de los asuntos que se</w:t>
      </w:r>
      <w:r w:rsidRPr="00693A4D">
        <w:rPr>
          <w:rFonts w:ascii="Abadi" w:hAnsi="Abadi" w:cs="Arial"/>
          <w:i/>
          <w:iCs/>
          <w:sz w:val="21"/>
          <w:szCs w:val="21"/>
          <w:lang w:val="es-MX"/>
        </w:rPr>
        <w:t xml:space="preserve"> relacionen con la protección de los derechos de las personas en riesgo de vulnerabilidad o grupos vulnerables</w:t>
      </w:r>
      <w:r w:rsidRPr="00693A4D">
        <w:rPr>
          <w:rFonts w:ascii="Abadi" w:hAnsi="Abadi" w:cs="Arial"/>
          <w:sz w:val="21"/>
          <w:szCs w:val="21"/>
          <w:lang w:val="es-MX"/>
        </w:rPr>
        <w:t xml:space="preserve"> (artículo 106 -fracción IX- de la Ley Orgánica del Poder Legislativo del Estado de Guanajuato). Con este fundamento, para estudio y dictamen, se turnó la propuesta que nos ocupa.</w:t>
      </w:r>
    </w:p>
    <w:p w14:paraId="52EEB407" w14:textId="77777777" w:rsidR="00693A4D" w:rsidRPr="00693A4D" w:rsidRDefault="00693A4D" w:rsidP="00EF4D3B">
      <w:pPr>
        <w:widowControl w:val="0"/>
        <w:jc w:val="both"/>
        <w:rPr>
          <w:rFonts w:ascii="Abadi" w:hAnsi="Abadi" w:cs="Arial"/>
          <w:sz w:val="21"/>
          <w:szCs w:val="21"/>
          <w:lang w:val="es-MX"/>
        </w:rPr>
      </w:pPr>
    </w:p>
    <w:p w14:paraId="2A7D412B" w14:textId="77777777" w:rsidR="00693A4D" w:rsidRPr="00693A4D" w:rsidRDefault="00693A4D" w:rsidP="00EF4D3B">
      <w:pPr>
        <w:widowControl w:val="0"/>
        <w:ind w:firstLine="851"/>
        <w:jc w:val="both"/>
        <w:rPr>
          <w:rFonts w:ascii="Abadi" w:hAnsi="Abadi" w:cs="Arial"/>
          <w:sz w:val="21"/>
          <w:szCs w:val="21"/>
          <w:lang w:val="es-MX"/>
        </w:rPr>
      </w:pPr>
      <w:r w:rsidRPr="00693A4D">
        <w:rPr>
          <w:rFonts w:ascii="Abadi" w:hAnsi="Abadi" w:cs="Arial"/>
          <w:sz w:val="21"/>
          <w:szCs w:val="21"/>
          <w:lang w:val="es-MX"/>
        </w:rPr>
        <w:t xml:space="preserve">Si bien nuestra ley orgánica no define las propuestas de punto de acuerdo, el </w:t>
      </w:r>
      <w:r w:rsidRPr="00693A4D">
        <w:rPr>
          <w:rFonts w:ascii="Abadi" w:hAnsi="Abadi" w:cs="Arial"/>
          <w:i/>
          <w:iCs/>
          <w:sz w:val="21"/>
          <w:szCs w:val="21"/>
          <w:lang w:val="es-MX"/>
        </w:rPr>
        <w:t>Prontuario de términos, prácticas y procedimientos más usados en el trabajo parlamentario</w:t>
      </w:r>
      <w:r w:rsidRPr="00693A4D">
        <w:rPr>
          <w:rFonts w:ascii="Abadi" w:hAnsi="Abadi" w:cs="Arial"/>
          <w:sz w:val="21"/>
          <w:szCs w:val="21"/>
          <w:lang w:val="es-MX"/>
        </w:rPr>
        <w:t>, expedido durante la Sexagésima Cuarta Legislatura de este Congreso, apunta lo que debemos entender por estas:</w:t>
      </w:r>
    </w:p>
    <w:p w14:paraId="2239D32F" w14:textId="77777777" w:rsidR="00693A4D" w:rsidRPr="00693A4D" w:rsidRDefault="00693A4D" w:rsidP="00EF4D3B">
      <w:pPr>
        <w:widowControl w:val="0"/>
        <w:jc w:val="both"/>
        <w:rPr>
          <w:rFonts w:ascii="Abadi" w:hAnsi="Abadi" w:cs="Arial"/>
          <w:sz w:val="21"/>
          <w:szCs w:val="21"/>
          <w:lang w:val="es-MX"/>
        </w:rPr>
      </w:pPr>
    </w:p>
    <w:p w14:paraId="1F676D45" w14:textId="77777777" w:rsidR="00693A4D" w:rsidRPr="00693A4D" w:rsidRDefault="00693A4D" w:rsidP="00EF4D3B">
      <w:pPr>
        <w:widowControl w:val="0"/>
        <w:jc w:val="both"/>
        <w:rPr>
          <w:rFonts w:ascii="Abadi" w:hAnsi="Abadi" w:cs="Arial"/>
          <w:sz w:val="21"/>
          <w:szCs w:val="21"/>
          <w:lang w:val="es-MX"/>
        </w:rPr>
      </w:pPr>
    </w:p>
    <w:p w14:paraId="5DD7B693" w14:textId="77777777" w:rsidR="00693A4D" w:rsidRPr="00693A4D" w:rsidRDefault="00693A4D" w:rsidP="00EF4D3B">
      <w:pPr>
        <w:widowControl w:val="0"/>
        <w:ind w:left="851" w:right="851"/>
        <w:jc w:val="both"/>
        <w:rPr>
          <w:rFonts w:ascii="Abadi" w:hAnsi="Abadi" w:cs="Arial"/>
          <w:i/>
          <w:sz w:val="21"/>
          <w:szCs w:val="21"/>
          <w:lang w:val="es-MX" w:eastAsia="en-US"/>
        </w:rPr>
      </w:pPr>
      <w:r w:rsidRPr="00693A4D">
        <w:rPr>
          <w:rFonts w:ascii="Abadi" w:hAnsi="Abadi" w:cs="Arial"/>
          <w:i/>
          <w:sz w:val="21"/>
          <w:szCs w:val="21"/>
          <w:lang w:val="es-MX" w:eastAsia="en-US"/>
        </w:rPr>
        <w:t>Resolución tomada por la mayoría de los legisladores, para establecer la postura política, económica, social o cultural del Congreso en asuntos de interés público que, por su naturaleza, no requieran sanción, promulgación ni publicación (Luna Kan, 2012, p. 3).</w:t>
      </w:r>
    </w:p>
    <w:p w14:paraId="3783FC52" w14:textId="77777777" w:rsidR="00693A4D" w:rsidRPr="00693A4D" w:rsidRDefault="00693A4D" w:rsidP="00EF4D3B">
      <w:pPr>
        <w:widowControl w:val="0"/>
        <w:jc w:val="both"/>
        <w:rPr>
          <w:rFonts w:ascii="Abadi" w:hAnsi="Abadi" w:cs="Arial"/>
          <w:sz w:val="21"/>
          <w:szCs w:val="21"/>
          <w:lang w:val="es-MX"/>
        </w:rPr>
      </w:pPr>
    </w:p>
    <w:p w14:paraId="5D73A43D" w14:textId="77777777" w:rsidR="00693A4D" w:rsidRPr="00693A4D" w:rsidRDefault="00693A4D" w:rsidP="00EF4D3B">
      <w:pPr>
        <w:widowControl w:val="0"/>
        <w:ind w:firstLine="851"/>
        <w:jc w:val="both"/>
        <w:rPr>
          <w:rFonts w:ascii="Abadi" w:hAnsi="Abadi" w:cs="Arial"/>
          <w:sz w:val="21"/>
          <w:szCs w:val="21"/>
          <w:lang w:val="es-MX"/>
        </w:rPr>
      </w:pPr>
      <w:r w:rsidRPr="00693A4D">
        <w:rPr>
          <w:rFonts w:ascii="Abadi" w:hAnsi="Abadi" w:cs="Arial"/>
          <w:sz w:val="21"/>
          <w:szCs w:val="21"/>
          <w:lang w:val="es-MX"/>
        </w:rPr>
        <w:t>Así, tenemos que el aprobar un punto de acuerdo implica que se asuma una postura institucional respecto de una determinada materia.</w:t>
      </w:r>
    </w:p>
    <w:p w14:paraId="387098D2" w14:textId="77777777" w:rsidR="00693A4D" w:rsidRPr="00693A4D" w:rsidRDefault="00693A4D" w:rsidP="00EF4D3B">
      <w:pPr>
        <w:widowControl w:val="0"/>
        <w:jc w:val="both"/>
        <w:rPr>
          <w:rFonts w:ascii="Abadi" w:hAnsi="Abadi" w:cs="Arial"/>
          <w:sz w:val="21"/>
          <w:szCs w:val="21"/>
          <w:lang w:val="es-MX"/>
        </w:rPr>
      </w:pPr>
    </w:p>
    <w:p w14:paraId="52A36FE7" w14:textId="77777777" w:rsidR="00693A4D" w:rsidRPr="00693A4D" w:rsidRDefault="00693A4D" w:rsidP="00EF4D3B">
      <w:pPr>
        <w:widowControl w:val="0"/>
        <w:ind w:firstLine="851"/>
        <w:jc w:val="both"/>
        <w:rPr>
          <w:rFonts w:ascii="Abadi" w:hAnsi="Abadi" w:cs="Arial"/>
          <w:sz w:val="21"/>
          <w:szCs w:val="21"/>
          <w:lang w:val="es-MX"/>
        </w:rPr>
      </w:pPr>
      <w:r w:rsidRPr="00693A4D">
        <w:rPr>
          <w:rFonts w:ascii="Abadi" w:hAnsi="Abadi" w:cs="Arial"/>
          <w:sz w:val="21"/>
          <w:szCs w:val="21"/>
          <w:lang w:val="es-MX"/>
        </w:rPr>
        <w:t>En el caso que nos ocupa, el elemento principal que tuvimos en cuenta para dictaminar fue el abordaje en la Junta de Gobierno y Coordinación Política, del rezago de los pendientes en comisiones.</w:t>
      </w:r>
    </w:p>
    <w:p w14:paraId="6308D2EC" w14:textId="77777777" w:rsidR="00693A4D" w:rsidRPr="00693A4D" w:rsidRDefault="00693A4D" w:rsidP="00EF4D3B">
      <w:pPr>
        <w:widowControl w:val="0"/>
        <w:jc w:val="both"/>
        <w:rPr>
          <w:rFonts w:ascii="Abadi" w:hAnsi="Abadi" w:cs="Arial"/>
          <w:sz w:val="21"/>
          <w:szCs w:val="21"/>
          <w:lang w:val="es-MX"/>
        </w:rPr>
      </w:pPr>
    </w:p>
    <w:p w14:paraId="6490980D" w14:textId="77777777" w:rsidR="00693A4D" w:rsidRPr="00693A4D" w:rsidRDefault="00693A4D" w:rsidP="00EF4D3B">
      <w:pPr>
        <w:widowControl w:val="0"/>
        <w:ind w:firstLine="851"/>
        <w:jc w:val="both"/>
        <w:rPr>
          <w:rFonts w:ascii="Abadi" w:hAnsi="Abadi" w:cs="Arial"/>
          <w:sz w:val="21"/>
          <w:szCs w:val="21"/>
          <w:lang w:val="es-MX"/>
        </w:rPr>
      </w:pPr>
      <w:r w:rsidRPr="00693A4D">
        <w:rPr>
          <w:rFonts w:ascii="Abadi" w:hAnsi="Abadi" w:cs="Arial"/>
          <w:sz w:val="21"/>
          <w:szCs w:val="21"/>
          <w:lang w:val="es-MX"/>
        </w:rPr>
        <w:t>Para atender este rezago se estableció, entre otras acciones, que los grupos y representaciones parlamentarios harían un análisis de los asuntos pendientes y manifestarían su interés o no respecto de los mismos. Asimismo, que aquellos asuntos respecto de los cuales no se manifestó interés, se dictaminarían a la brevedad.</w:t>
      </w:r>
    </w:p>
    <w:p w14:paraId="1A260F47" w14:textId="77777777" w:rsidR="00693A4D" w:rsidRPr="00693A4D" w:rsidRDefault="00693A4D" w:rsidP="00EF4D3B">
      <w:pPr>
        <w:widowControl w:val="0"/>
        <w:jc w:val="both"/>
        <w:rPr>
          <w:rFonts w:ascii="Abadi" w:hAnsi="Abadi" w:cs="Arial"/>
          <w:sz w:val="21"/>
          <w:szCs w:val="21"/>
          <w:lang w:val="es-MX"/>
        </w:rPr>
      </w:pPr>
    </w:p>
    <w:p w14:paraId="4124E77E" w14:textId="77777777" w:rsidR="00693A4D" w:rsidRPr="00693A4D" w:rsidRDefault="00693A4D" w:rsidP="00EF4D3B">
      <w:pPr>
        <w:widowControl w:val="0"/>
        <w:ind w:firstLine="851"/>
        <w:jc w:val="both"/>
        <w:rPr>
          <w:rFonts w:ascii="Abadi" w:hAnsi="Abadi" w:cs="Arial"/>
          <w:sz w:val="21"/>
          <w:szCs w:val="21"/>
          <w:lang w:val="es-MX"/>
        </w:rPr>
      </w:pPr>
      <w:r w:rsidRPr="00693A4D">
        <w:rPr>
          <w:rFonts w:ascii="Abadi" w:hAnsi="Abadi" w:cs="Arial"/>
          <w:sz w:val="21"/>
          <w:szCs w:val="21"/>
          <w:lang w:val="es-MX"/>
        </w:rPr>
        <w:t>Esta propuesta de punto de acuerdo se encuentra dentro de los asuntos que la diputada y el diputado integrantes del Grupo Parlamentario del Partido Verde Ecologista de México de la Sexagésima Quinta Legislatura no desean impulsar, ello en el marco del acuerdo de la Junta de Gobierno y Coordinación Política para depurar los pendientes en comisiones.</w:t>
      </w:r>
    </w:p>
    <w:p w14:paraId="3FD1984D" w14:textId="77777777" w:rsidR="00693A4D" w:rsidRPr="00693A4D" w:rsidRDefault="00693A4D" w:rsidP="00EF4D3B">
      <w:pPr>
        <w:widowControl w:val="0"/>
        <w:jc w:val="both"/>
        <w:rPr>
          <w:rFonts w:ascii="Abadi" w:hAnsi="Abadi" w:cs="Arial"/>
          <w:sz w:val="21"/>
          <w:szCs w:val="21"/>
          <w:lang w:val="es-MX"/>
        </w:rPr>
      </w:pPr>
    </w:p>
    <w:p w14:paraId="66CC9F68" w14:textId="77777777" w:rsidR="00693A4D" w:rsidRPr="00693A4D" w:rsidRDefault="00693A4D" w:rsidP="00EF4D3B">
      <w:pPr>
        <w:widowControl w:val="0"/>
        <w:ind w:firstLine="851"/>
        <w:jc w:val="both"/>
        <w:rPr>
          <w:rFonts w:ascii="Abadi" w:hAnsi="Abadi" w:cs="Arial"/>
          <w:sz w:val="21"/>
          <w:szCs w:val="21"/>
          <w:lang w:val="es-MX"/>
        </w:rPr>
      </w:pPr>
      <w:r w:rsidRPr="00693A4D">
        <w:rPr>
          <w:rFonts w:ascii="Abadi" w:hAnsi="Abadi" w:cs="Arial"/>
          <w:sz w:val="21"/>
          <w:szCs w:val="21"/>
          <w:lang w:val="es-MX"/>
        </w:rPr>
        <w:t>En atención a las anteriores consideraciones, en reunión de la Comisión celebrada el 19 de julio de 2022 se acordó por unanimidad dictaminar en sentido negativo la propuesta de punto de acuerdo.</w:t>
      </w:r>
    </w:p>
    <w:p w14:paraId="530C4607" w14:textId="77777777" w:rsidR="00693A4D" w:rsidRPr="00693A4D" w:rsidRDefault="00693A4D" w:rsidP="00EF4D3B">
      <w:pPr>
        <w:widowControl w:val="0"/>
        <w:jc w:val="both"/>
        <w:rPr>
          <w:rFonts w:ascii="Abadi" w:hAnsi="Abadi" w:cs="Arial"/>
          <w:sz w:val="21"/>
          <w:szCs w:val="21"/>
          <w:lang w:val="es-MX"/>
        </w:rPr>
      </w:pPr>
    </w:p>
    <w:p w14:paraId="18E74DF1" w14:textId="77777777" w:rsidR="00693A4D" w:rsidRPr="00693A4D" w:rsidRDefault="00693A4D" w:rsidP="00EF4D3B">
      <w:pPr>
        <w:widowControl w:val="0"/>
        <w:ind w:firstLine="851"/>
        <w:jc w:val="both"/>
        <w:rPr>
          <w:rFonts w:ascii="Abadi" w:hAnsi="Abadi"/>
          <w:sz w:val="21"/>
          <w:szCs w:val="21"/>
          <w:lang w:val="es-MX"/>
        </w:rPr>
      </w:pPr>
      <w:r w:rsidRPr="00693A4D">
        <w:rPr>
          <w:rFonts w:ascii="Abadi" w:hAnsi="Abadi" w:cs="Arial"/>
          <w:sz w:val="21"/>
          <w:szCs w:val="21"/>
          <w:lang w:val="es-MX"/>
        </w:rPr>
        <w:t xml:space="preserve">En mérito de lo expuesto, sometemos a </w:t>
      </w:r>
      <w:r w:rsidRPr="00693A4D">
        <w:rPr>
          <w:rFonts w:ascii="Abadi" w:hAnsi="Abadi"/>
          <w:sz w:val="21"/>
          <w:szCs w:val="21"/>
          <w:lang w:val="es-MX"/>
        </w:rPr>
        <w:t>consideración de la Asamblea, la aprobación del siguiente:</w:t>
      </w:r>
    </w:p>
    <w:p w14:paraId="7CA5D064" w14:textId="77777777" w:rsidR="00693A4D" w:rsidRPr="00693A4D" w:rsidRDefault="00693A4D" w:rsidP="00EF4D3B">
      <w:pPr>
        <w:widowControl w:val="0"/>
        <w:ind w:firstLine="851"/>
        <w:jc w:val="both"/>
        <w:rPr>
          <w:rFonts w:ascii="Abadi" w:hAnsi="Abadi"/>
          <w:sz w:val="21"/>
          <w:szCs w:val="21"/>
          <w:lang w:val="es-MX"/>
        </w:rPr>
      </w:pPr>
    </w:p>
    <w:p w14:paraId="0038953A" w14:textId="77777777" w:rsidR="00693A4D" w:rsidRPr="00693A4D" w:rsidRDefault="00693A4D" w:rsidP="00EF4D3B">
      <w:pPr>
        <w:widowControl w:val="0"/>
        <w:jc w:val="center"/>
        <w:rPr>
          <w:rFonts w:ascii="Abadi" w:hAnsi="Abadi" w:cs="Arial"/>
          <w:b/>
          <w:sz w:val="21"/>
          <w:szCs w:val="21"/>
          <w:lang w:val="es-MX" w:eastAsia="en-US"/>
        </w:rPr>
      </w:pPr>
      <w:r w:rsidRPr="00693A4D">
        <w:rPr>
          <w:rFonts w:ascii="Abadi" w:hAnsi="Abadi" w:cs="Arial"/>
          <w:b/>
          <w:sz w:val="21"/>
          <w:szCs w:val="21"/>
          <w:lang w:val="es-MX" w:eastAsia="en-US"/>
        </w:rPr>
        <w:t>A C U E R D O</w:t>
      </w:r>
    </w:p>
    <w:p w14:paraId="15C18027" w14:textId="77777777" w:rsidR="00693A4D" w:rsidRPr="00693A4D" w:rsidRDefault="00693A4D" w:rsidP="00EF4D3B">
      <w:pPr>
        <w:widowControl w:val="0"/>
        <w:autoSpaceDE w:val="0"/>
        <w:autoSpaceDN w:val="0"/>
        <w:adjustRightInd w:val="0"/>
        <w:jc w:val="both"/>
        <w:rPr>
          <w:rFonts w:ascii="Abadi" w:hAnsi="Abadi" w:cs="Arial"/>
          <w:sz w:val="21"/>
          <w:szCs w:val="21"/>
          <w:lang w:val="es-MX" w:eastAsia="en-US"/>
        </w:rPr>
      </w:pPr>
    </w:p>
    <w:p w14:paraId="3B5E26D8" w14:textId="77777777" w:rsidR="00693A4D" w:rsidRPr="00693A4D" w:rsidRDefault="00693A4D" w:rsidP="00EF4D3B">
      <w:pPr>
        <w:widowControl w:val="0"/>
        <w:ind w:firstLine="851"/>
        <w:jc w:val="both"/>
        <w:rPr>
          <w:rFonts w:ascii="Abadi" w:hAnsi="Abadi" w:cs="Arial"/>
          <w:sz w:val="21"/>
          <w:szCs w:val="21"/>
          <w:lang w:val="es-MX"/>
        </w:rPr>
      </w:pPr>
      <w:r w:rsidRPr="00693A4D">
        <w:rPr>
          <w:rFonts w:ascii="Abadi" w:hAnsi="Abadi" w:cs="Arial"/>
          <w:b/>
          <w:bCs/>
          <w:sz w:val="21"/>
          <w:szCs w:val="21"/>
          <w:lang w:val="es-MX"/>
        </w:rPr>
        <w:t>Único.</w:t>
      </w:r>
      <w:r w:rsidRPr="00693A4D">
        <w:rPr>
          <w:rFonts w:ascii="Abadi" w:hAnsi="Abadi" w:cs="Arial"/>
          <w:sz w:val="21"/>
          <w:szCs w:val="21"/>
          <w:lang w:val="es-MX"/>
        </w:rPr>
        <w:t xml:space="preserve"> No resulta procedente la propuesta de punto de acuerdo signada por la diputada y el diputado integrantes del Grupo Parlamentario del Partido Verde Ecologista de México ante la Sexagésima Cuarta Legislatura, a efecto de exhortar al titular del Poder Ejecutivo del Estado de Guanajuato, para que por su conducto se diseñen, implementen, ejecuten y evalúen políticas públicas efectivas de no discriminación de las personas Lesbianas, Gays, Bisexuales, Transgénero, Travestí, Transexuales, lntersexual y Queer en todo el territorio de Guanajuato.</w:t>
      </w:r>
    </w:p>
    <w:p w14:paraId="26050A0A" w14:textId="77777777" w:rsidR="00693A4D" w:rsidRPr="00693A4D" w:rsidRDefault="00693A4D" w:rsidP="00EF4D3B">
      <w:pPr>
        <w:widowControl w:val="0"/>
        <w:ind w:right="-1"/>
        <w:jc w:val="both"/>
        <w:rPr>
          <w:rFonts w:ascii="Abadi" w:hAnsi="Abadi"/>
          <w:sz w:val="21"/>
          <w:szCs w:val="21"/>
          <w:lang w:val="es-MX" w:eastAsia="en-US"/>
        </w:rPr>
      </w:pPr>
    </w:p>
    <w:p w14:paraId="2A5ED7F5" w14:textId="77777777" w:rsidR="00693A4D" w:rsidRPr="00693A4D" w:rsidRDefault="00693A4D" w:rsidP="00EF4D3B">
      <w:pPr>
        <w:widowControl w:val="0"/>
        <w:ind w:right="-1" w:firstLine="851"/>
        <w:jc w:val="both"/>
        <w:rPr>
          <w:rFonts w:ascii="Abadi" w:hAnsi="Abadi"/>
          <w:sz w:val="21"/>
          <w:szCs w:val="21"/>
          <w:lang w:val="es-MX" w:eastAsia="en-US"/>
        </w:rPr>
      </w:pPr>
      <w:r w:rsidRPr="00693A4D">
        <w:rPr>
          <w:rFonts w:ascii="Abadi" w:hAnsi="Abadi"/>
          <w:sz w:val="21"/>
          <w:szCs w:val="21"/>
          <w:lang w:val="es-MX" w:eastAsia="en-US"/>
        </w:rPr>
        <w:t>En consecuencia, se ordena el archivo definitivo de la propuesta.</w:t>
      </w:r>
    </w:p>
    <w:p w14:paraId="138F9FEF" w14:textId="77777777" w:rsidR="00693A4D" w:rsidRPr="00693A4D" w:rsidRDefault="00693A4D" w:rsidP="00EF4D3B">
      <w:pPr>
        <w:widowControl w:val="0"/>
        <w:ind w:right="-1"/>
        <w:jc w:val="both"/>
        <w:rPr>
          <w:rFonts w:ascii="Abadi" w:hAnsi="Abadi"/>
          <w:sz w:val="21"/>
          <w:szCs w:val="21"/>
          <w:lang w:val="es-MX" w:eastAsia="en-US"/>
        </w:rPr>
      </w:pPr>
    </w:p>
    <w:p w14:paraId="07F743B5" w14:textId="77777777" w:rsidR="00693A4D" w:rsidRPr="00693A4D" w:rsidRDefault="00693A4D" w:rsidP="00EF4D3B">
      <w:pPr>
        <w:widowControl w:val="0"/>
        <w:jc w:val="center"/>
        <w:rPr>
          <w:rFonts w:ascii="Abadi" w:eastAsia="Arial Unicode MS" w:hAnsi="Abadi" w:cs="Arial"/>
          <w:b/>
          <w:iCs/>
          <w:sz w:val="21"/>
          <w:szCs w:val="21"/>
          <w:lang w:val="es-MX" w:eastAsia="en-US"/>
        </w:rPr>
      </w:pPr>
      <w:r w:rsidRPr="00693A4D">
        <w:rPr>
          <w:rFonts w:ascii="Abadi" w:eastAsia="Arial Unicode MS" w:hAnsi="Abadi" w:cs="Arial"/>
          <w:b/>
          <w:iCs/>
          <w:sz w:val="21"/>
          <w:szCs w:val="21"/>
          <w:lang w:val="es-MX" w:eastAsia="en-US"/>
        </w:rPr>
        <w:t>Guanajuato, Gto., 27 de julio de 2022</w:t>
      </w:r>
    </w:p>
    <w:p w14:paraId="33ED2CDA" w14:textId="77777777" w:rsidR="00693A4D" w:rsidRPr="00693A4D" w:rsidRDefault="00693A4D" w:rsidP="00EF4D3B">
      <w:pPr>
        <w:widowControl w:val="0"/>
        <w:jc w:val="center"/>
        <w:rPr>
          <w:rFonts w:ascii="Abadi" w:eastAsia="Calibri" w:hAnsi="Abadi"/>
          <w:b/>
          <w:sz w:val="21"/>
          <w:szCs w:val="21"/>
          <w:lang w:val="es-MX" w:eastAsia="en-US"/>
        </w:rPr>
      </w:pPr>
      <w:r w:rsidRPr="00693A4D">
        <w:rPr>
          <w:rFonts w:ascii="Abadi" w:eastAsia="Calibri" w:hAnsi="Abadi"/>
          <w:b/>
          <w:sz w:val="21"/>
          <w:szCs w:val="21"/>
          <w:lang w:val="es-MX" w:eastAsia="en-US"/>
        </w:rPr>
        <w:t>La Comisión de Derechos Humanos y Atención a Grupos Vulnerables</w:t>
      </w:r>
    </w:p>
    <w:p w14:paraId="2CDE8695" w14:textId="77777777" w:rsidR="00693A4D" w:rsidRPr="00693A4D" w:rsidRDefault="00693A4D" w:rsidP="00EF4D3B">
      <w:pPr>
        <w:widowControl w:val="0"/>
        <w:jc w:val="center"/>
        <w:rPr>
          <w:rFonts w:ascii="Abadi" w:hAnsi="Abadi" w:cs="Arial"/>
          <w:b/>
          <w:bCs/>
          <w:sz w:val="21"/>
          <w:szCs w:val="21"/>
          <w:lang w:val="es-MX" w:eastAsia="en-US"/>
        </w:rPr>
      </w:pPr>
    </w:p>
    <w:p w14:paraId="6FDDBE5E" w14:textId="77777777" w:rsidR="00693A4D" w:rsidRPr="00693A4D" w:rsidRDefault="00693A4D" w:rsidP="00EF4D3B">
      <w:pPr>
        <w:widowControl w:val="0"/>
        <w:jc w:val="both"/>
        <w:rPr>
          <w:rFonts w:ascii="Abadi" w:hAnsi="Abadi" w:cs="Arial"/>
          <w:b/>
          <w:bCs/>
          <w:sz w:val="21"/>
          <w:szCs w:val="21"/>
          <w:lang w:val="es-MX" w:eastAsia="en-US"/>
        </w:rPr>
      </w:pPr>
    </w:p>
    <w:p w14:paraId="45CEF7DB" w14:textId="53FFEA49" w:rsidR="00693A4D" w:rsidRPr="00693A4D" w:rsidRDefault="00693A4D" w:rsidP="00EF4D3B">
      <w:pPr>
        <w:widowControl w:val="0"/>
        <w:jc w:val="both"/>
        <w:rPr>
          <w:rFonts w:ascii="Abadi" w:hAnsi="Abadi" w:cs="Arial"/>
          <w:b/>
          <w:bCs/>
          <w:sz w:val="21"/>
          <w:szCs w:val="21"/>
          <w:lang w:val="es-MX" w:eastAsia="en-US"/>
        </w:rPr>
      </w:pPr>
      <w:r w:rsidRPr="00693A4D">
        <w:rPr>
          <w:rFonts w:ascii="Abadi" w:hAnsi="Abadi" w:cs="Arial"/>
          <w:b/>
          <w:bCs/>
          <w:sz w:val="21"/>
          <w:szCs w:val="21"/>
          <w:lang w:val="es-MX" w:eastAsia="en-US"/>
        </w:rPr>
        <w:t>Diputado David Martínez Mendizábal</w:t>
      </w:r>
    </w:p>
    <w:p w14:paraId="270FC74E" w14:textId="471ED68E" w:rsidR="00693A4D" w:rsidRPr="00693A4D" w:rsidRDefault="00693A4D" w:rsidP="00EF4D3B">
      <w:pPr>
        <w:widowControl w:val="0"/>
        <w:jc w:val="both"/>
        <w:rPr>
          <w:rFonts w:ascii="Abadi" w:hAnsi="Abadi" w:cs="Arial"/>
          <w:b/>
          <w:bCs/>
          <w:sz w:val="21"/>
          <w:szCs w:val="21"/>
          <w:lang w:val="es-MX" w:eastAsia="en-US"/>
        </w:rPr>
      </w:pPr>
      <w:r w:rsidRPr="00693A4D">
        <w:rPr>
          <w:rFonts w:ascii="Abadi" w:hAnsi="Abadi" w:cs="Arial"/>
          <w:b/>
          <w:bCs/>
          <w:sz w:val="21"/>
          <w:szCs w:val="21"/>
          <w:lang w:val="es-MX" w:eastAsia="en-US"/>
        </w:rPr>
        <w:t>Diputada Janet Melanie Murillo Chávez</w:t>
      </w:r>
    </w:p>
    <w:p w14:paraId="60AB5DD2" w14:textId="2E71FDE7" w:rsidR="00693A4D" w:rsidRPr="00693A4D" w:rsidRDefault="00693A4D" w:rsidP="00EF4D3B">
      <w:pPr>
        <w:widowControl w:val="0"/>
        <w:jc w:val="both"/>
        <w:rPr>
          <w:rFonts w:ascii="Abadi" w:hAnsi="Abadi" w:cs="Arial"/>
          <w:b/>
          <w:bCs/>
          <w:sz w:val="21"/>
          <w:szCs w:val="21"/>
          <w:lang w:val="es-MX" w:eastAsia="en-US"/>
        </w:rPr>
      </w:pPr>
      <w:r w:rsidRPr="00693A4D">
        <w:rPr>
          <w:rFonts w:ascii="Abadi" w:hAnsi="Abadi" w:cs="Arial"/>
          <w:b/>
          <w:bCs/>
          <w:sz w:val="21"/>
          <w:szCs w:val="21"/>
          <w:lang w:val="es-MX" w:eastAsia="en-US"/>
        </w:rPr>
        <w:t>Diputado Gustavo Adolfo Alfaro Reyes</w:t>
      </w:r>
    </w:p>
    <w:p w14:paraId="5F218967" w14:textId="3961738C" w:rsidR="00693A4D" w:rsidRPr="00693A4D" w:rsidRDefault="00693A4D" w:rsidP="00EF4D3B">
      <w:pPr>
        <w:widowControl w:val="0"/>
        <w:jc w:val="both"/>
        <w:rPr>
          <w:rFonts w:ascii="Abadi" w:hAnsi="Abadi" w:cs="Arial"/>
          <w:b/>
          <w:bCs/>
          <w:sz w:val="21"/>
          <w:szCs w:val="21"/>
          <w:lang w:val="es-MX" w:eastAsia="en-US"/>
        </w:rPr>
      </w:pPr>
      <w:r w:rsidRPr="00693A4D">
        <w:rPr>
          <w:rFonts w:ascii="Abadi" w:hAnsi="Abadi" w:cs="Arial"/>
          <w:b/>
          <w:bCs/>
          <w:sz w:val="21"/>
          <w:szCs w:val="21"/>
          <w:lang w:val="es-MX" w:eastAsia="en-US"/>
        </w:rPr>
        <w:t>Diputada Briseida Anabel Magdaleno González</w:t>
      </w:r>
    </w:p>
    <w:p w14:paraId="24A129E8" w14:textId="18D25FF5" w:rsidR="00693A4D" w:rsidRDefault="00693A4D" w:rsidP="00EF4D3B">
      <w:pPr>
        <w:widowControl w:val="0"/>
        <w:jc w:val="both"/>
        <w:rPr>
          <w:rFonts w:ascii="Abadi" w:hAnsi="Abadi" w:cs="Arial"/>
          <w:b/>
          <w:bCs/>
          <w:sz w:val="21"/>
          <w:szCs w:val="21"/>
          <w:lang w:val="es-MX" w:eastAsia="en-US"/>
        </w:rPr>
      </w:pPr>
      <w:r w:rsidRPr="00693A4D">
        <w:rPr>
          <w:rFonts w:ascii="Abadi" w:hAnsi="Abadi" w:cs="Arial"/>
          <w:b/>
          <w:bCs/>
          <w:sz w:val="21"/>
          <w:szCs w:val="21"/>
          <w:lang w:val="es-MX" w:eastAsia="en-US"/>
        </w:rPr>
        <w:t>Diputada Katya Cristina Soto Escamilla</w:t>
      </w:r>
    </w:p>
    <w:p w14:paraId="59B80994" w14:textId="045448DD" w:rsidR="00EF4D3B" w:rsidRDefault="00EF4D3B" w:rsidP="00EF4D3B">
      <w:pPr>
        <w:widowControl w:val="0"/>
        <w:jc w:val="both"/>
        <w:rPr>
          <w:rFonts w:ascii="Abadi" w:hAnsi="Abadi" w:cs="Arial"/>
          <w:b/>
          <w:bCs/>
          <w:sz w:val="21"/>
          <w:szCs w:val="21"/>
          <w:lang w:val="es-MX" w:eastAsia="en-US"/>
        </w:rPr>
      </w:pPr>
    </w:p>
    <w:p w14:paraId="307BEE73" w14:textId="1D77730B" w:rsidR="00EF4D3B" w:rsidRDefault="00EF4D3B" w:rsidP="00EF4D3B">
      <w:pPr>
        <w:widowControl w:val="0"/>
        <w:jc w:val="both"/>
        <w:rPr>
          <w:rFonts w:ascii="Abadi" w:hAnsi="Abadi" w:cs="Arial"/>
          <w:b/>
          <w:bCs/>
          <w:sz w:val="21"/>
          <w:szCs w:val="21"/>
          <w:lang w:val="es-MX" w:eastAsia="en-US"/>
        </w:rPr>
      </w:pPr>
    </w:p>
    <w:p w14:paraId="316F25CB" w14:textId="1CFF7F84" w:rsidR="00EF4D3B" w:rsidRDefault="00EF4D3B" w:rsidP="00EF4D3B">
      <w:pPr>
        <w:ind w:firstLine="567"/>
        <w:jc w:val="both"/>
        <w:rPr>
          <w:rFonts w:ascii="Abadi" w:hAnsi="Abadi"/>
          <w:sz w:val="21"/>
          <w:szCs w:val="21"/>
        </w:rPr>
      </w:pPr>
      <w:r w:rsidRPr="00170037">
        <w:rPr>
          <w:rFonts w:ascii="Abadi" w:hAnsi="Abadi"/>
          <w:b/>
          <w:bCs/>
          <w:sz w:val="21"/>
          <w:szCs w:val="21"/>
        </w:rPr>
        <w:t>- El Presidente.-</w:t>
      </w:r>
      <w:r>
        <w:rPr>
          <w:rFonts w:ascii="Abadi" w:hAnsi="Abadi"/>
          <w:sz w:val="21"/>
          <w:szCs w:val="21"/>
        </w:rPr>
        <w:t xml:space="preserve"> </w:t>
      </w:r>
      <w:r w:rsidRPr="00D57804">
        <w:rPr>
          <w:rFonts w:ascii="Abadi" w:hAnsi="Abadi"/>
          <w:sz w:val="21"/>
          <w:szCs w:val="21"/>
        </w:rPr>
        <w:t>Se somete a discusión el dictamen signado por la Comisión de Derechos Humanos y Atención a Grupos Vulnerables correspondiente al punto 24 del orden del día.</w:t>
      </w:r>
    </w:p>
    <w:p w14:paraId="10CBA7F3" w14:textId="77777777" w:rsidR="00EF4D3B" w:rsidRPr="00D57804" w:rsidRDefault="00EF4D3B" w:rsidP="00EF4D3B">
      <w:pPr>
        <w:ind w:firstLine="567"/>
        <w:jc w:val="both"/>
        <w:rPr>
          <w:rFonts w:ascii="Abadi" w:hAnsi="Abadi"/>
          <w:sz w:val="21"/>
          <w:szCs w:val="21"/>
        </w:rPr>
      </w:pPr>
    </w:p>
    <w:p w14:paraId="1009A32F" w14:textId="6FF6C335" w:rsidR="00EF4D3B" w:rsidRDefault="00EF4D3B" w:rsidP="00EF4D3B">
      <w:pPr>
        <w:ind w:firstLine="567"/>
        <w:jc w:val="both"/>
        <w:rPr>
          <w:rFonts w:ascii="Abadi" w:hAnsi="Abadi"/>
          <w:sz w:val="21"/>
          <w:szCs w:val="21"/>
        </w:rPr>
      </w:pPr>
      <w:r>
        <w:rPr>
          <w:rFonts w:ascii="Abadi" w:hAnsi="Abadi"/>
          <w:sz w:val="21"/>
          <w:szCs w:val="21"/>
        </w:rPr>
        <w:t>- S</w:t>
      </w:r>
      <w:r w:rsidRPr="006813AA">
        <w:rPr>
          <w:rFonts w:ascii="Abadi" w:hAnsi="Abadi"/>
          <w:sz w:val="21"/>
          <w:szCs w:val="21"/>
        </w:rPr>
        <w:t xml:space="preserve">i alguna diputada o algún diputado </w:t>
      </w:r>
      <w:r>
        <w:rPr>
          <w:rFonts w:ascii="Abadi" w:hAnsi="Abadi"/>
          <w:sz w:val="21"/>
          <w:szCs w:val="21"/>
        </w:rPr>
        <w:t>desea hacer uso de la palabra m</w:t>
      </w:r>
      <w:r w:rsidRPr="006813AA">
        <w:rPr>
          <w:rFonts w:ascii="Abadi" w:hAnsi="Abadi"/>
          <w:sz w:val="21"/>
          <w:szCs w:val="21"/>
        </w:rPr>
        <w:t>anifiést</w:t>
      </w:r>
      <w:r>
        <w:rPr>
          <w:rFonts w:ascii="Abadi" w:hAnsi="Abadi"/>
          <w:sz w:val="21"/>
          <w:szCs w:val="21"/>
        </w:rPr>
        <w:t>enlo</w:t>
      </w:r>
      <w:r w:rsidRPr="006813AA">
        <w:rPr>
          <w:rFonts w:ascii="Abadi" w:hAnsi="Abadi"/>
          <w:sz w:val="21"/>
          <w:szCs w:val="21"/>
        </w:rPr>
        <w:t xml:space="preserve"> indicando el sentido de su participación</w:t>
      </w:r>
      <w:r>
        <w:rPr>
          <w:rFonts w:ascii="Abadi" w:hAnsi="Abadi"/>
          <w:sz w:val="21"/>
          <w:szCs w:val="21"/>
        </w:rPr>
        <w:t>.</w:t>
      </w:r>
    </w:p>
    <w:p w14:paraId="68ABAF5A" w14:textId="77777777" w:rsidR="00EF4D3B" w:rsidRPr="006813AA" w:rsidRDefault="00EF4D3B" w:rsidP="00EF4D3B">
      <w:pPr>
        <w:ind w:firstLine="567"/>
        <w:jc w:val="both"/>
        <w:rPr>
          <w:rFonts w:ascii="Abadi" w:hAnsi="Abadi"/>
          <w:sz w:val="21"/>
          <w:szCs w:val="21"/>
        </w:rPr>
      </w:pPr>
    </w:p>
    <w:p w14:paraId="5CC5EBA8" w14:textId="1D730D81" w:rsidR="00EF4D3B" w:rsidRDefault="00EF4D3B" w:rsidP="00EF4D3B">
      <w:pPr>
        <w:ind w:firstLine="567"/>
        <w:jc w:val="both"/>
        <w:rPr>
          <w:rFonts w:ascii="Abadi" w:hAnsi="Abadi"/>
          <w:sz w:val="21"/>
          <w:szCs w:val="21"/>
        </w:rPr>
      </w:pPr>
      <w:r>
        <w:rPr>
          <w:rFonts w:ascii="Abadi" w:hAnsi="Abadi"/>
          <w:sz w:val="21"/>
          <w:szCs w:val="21"/>
        </w:rPr>
        <w:t>- N</w:t>
      </w:r>
      <w:r w:rsidRPr="006813AA">
        <w:rPr>
          <w:rFonts w:ascii="Abadi" w:hAnsi="Abadi"/>
          <w:sz w:val="21"/>
          <w:szCs w:val="21"/>
        </w:rPr>
        <w:t xml:space="preserve">o habiendo intervenciones se pide a la </w:t>
      </w:r>
      <w:r>
        <w:rPr>
          <w:rFonts w:ascii="Abadi" w:hAnsi="Abadi"/>
          <w:sz w:val="21"/>
          <w:szCs w:val="21"/>
        </w:rPr>
        <w:t>S</w:t>
      </w:r>
      <w:r w:rsidRPr="006813AA">
        <w:rPr>
          <w:rFonts w:ascii="Abadi" w:hAnsi="Abadi"/>
          <w:sz w:val="21"/>
          <w:szCs w:val="21"/>
        </w:rPr>
        <w:t xml:space="preserve">ecretaría que proceda a recabar votación nominal de la </w:t>
      </w:r>
      <w:r>
        <w:rPr>
          <w:rFonts w:ascii="Abadi" w:hAnsi="Abadi"/>
          <w:sz w:val="21"/>
          <w:szCs w:val="21"/>
        </w:rPr>
        <w:t>A</w:t>
      </w:r>
      <w:r w:rsidRPr="006813AA">
        <w:rPr>
          <w:rFonts w:ascii="Abadi" w:hAnsi="Abadi"/>
          <w:sz w:val="21"/>
          <w:szCs w:val="21"/>
        </w:rPr>
        <w:t>samblea a través de nuestro sistema electrónico a efecto de aprobar o no el dictamen puesto a su consideración</w:t>
      </w:r>
      <w:r>
        <w:rPr>
          <w:rFonts w:ascii="Abadi" w:hAnsi="Abadi"/>
          <w:sz w:val="21"/>
          <w:szCs w:val="21"/>
        </w:rPr>
        <w:t>.</w:t>
      </w:r>
    </w:p>
    <w:p w14:paraId="61D9C05D" w14:textId="77777777" w:rsidR="00EF4D3B" w:rsidRDefault="00EF4D3B" w:rsidP="00EF4D3B">
      <w:pPr>
        <w:ind w:firstLine="567"/>
        <w:jc w:val="both"/>
        <w:rPr>
          <w:rFonts w:ascii="Abadi" w:hAnsi="Abadi"/>
          <w:sz w:val="21"/>
          <w:szCs w:val="21"/>
        </w:rPr>
      </w:pPr>
    </w:p>
    <w:p w14:paraId="2FEE84F8" w14:textId="79B599F5" w:rsidR="00EF4D3B" w:rsidRDefault="00EF4D3B" w:rsidP="00EF4D3B">
      <w:pPr>
        <w:ind w:firstLine="567"/>
        <w:jc w:val="both"/>
        <w:rPr>
          <w:rFonts w:ascii="Abadi" w:hAnsi="Abadi"/>
          <w:b/>
          <w:bCs/>
          <w:sz w:val="21"/>
          <w:szCs w:val="21"/>
        </w:rPr>
      </w:pPr>
      <w:r w:rsidRPr="00180C66">
        <w:rPr>
          <w:rFonts w:ascii="Abadi" w:hAnsi="Abadi"/>
          <w:b/>
          <w:bCs/>
          <w:sz w:val="21"/>
          <w:szCs w:val="21"/>
        </w:rPr>
        <w:t>(Abrimos nuestro sistema electrónico)</w:t>
      </w:r>
    </w:p>
    <w:p w14:paraId="46E0349B" w14:textId="77777777" w:rsidR="00EF4D3B" w:rsidRPr="00180C66" w:rsidRDefault="00EF4D3B" w:rsidP="00EF4D3B">
      <w:pPr>
        <w:ind w:firstLine="567"/>
        <w:jc w:val="both"/>
        <w:rPr>
          <w:rFonts w:ascii="Abadi" w:hAnsi="Abadi"/>
          <w:b/>
          <w:bCs/>
          <w:sz w:val="21"/>
          <w:szCs w:val="21"/>
        </w:rPr>
      </w:pPr>
    </w:p>
    <w:p w14:paraId="6C6FD803" w14:textId="77777777" w:rsidR="00EF4D3B" w:rsidRDefault="00EF4D3B" w:rsidP="00EF4D3B">
      <w:pPr>
        <w:ind w:firstLine="567"/>
        <w:jc w:val="both"/>
        <w:rPr>
          <w:rFonts w:ascii="Abadi" w:hAnsi="Abadi"/>
          <w:sz w:val="21"/>
          <w:szCs w:val="21"/>
        </w:rPr>
      </w:pPr>
      <w:r w:rsidRPr="00996DC3">
        <w:rPr>
          <w:rFonts w:ascii="Abadi" w:hAnsi="Abadi"/>
          <w:b/>
          <w:bCs/>
          <w:sz w:val="21"/>
          <w:szCs w:val="21"/>
        </w:rPr>
        <w:t>- El Secretario.-</w:t>
      </w:r>
      <w:r>
        <w:rPr>
          <w:rFonts w:ascii="Abadi" w:hAnsi="Abadi"/>
          <w:sz w:val="21"/>
          <w:szCs w:val="21"/>
        </w:rPr>
        <w:t xml:space="preserve"> E</w:t>
      </w:r>
      <w:r w:rsidRPr="006813AA">
        <w:rPr>
          <w:rFonts w:ascii="Abadi" w:hAnsi="Abadi"/>
          <w:sz w:val="21"/>
          <w:szCs w:val="21"/>
        </w:rPr>
        <w:t>n votación nominal por el sistema electrónico se pregunta a las diputadas y los diputados si se aprueba el dictamen puesto a su consideración</w:t>
      </w:r>
      <w:r>
        <w:rPr>
          <w:rFonts w:ascii="Abadi" w:hAnsi="Abadi"/>
          <w:sz w:val="21"/>
          <w:szCs w:val="21"/>
        </w:rPr>
        <w:t>. ¿Diputada Martha Lourdes Ortega? ¿Diputado Rolando Fortino?</w:t>
      </w:r>
    </w:p>
    <w:p w14:paraId="19BED497" w14:textId="224EE7AA" w:rsidR="00EF4D3B" w:rsidRDefault="00EF4D3B" w:rsidP="00EF4D3B">
      <w:pPr>
        <w:jc w:val="both"/>
        <w:rPr>
          <w:rFonts w:ascii="Abadi" w:hAnsi="Abadi"/>
          <w:sz w:val="21"/>
          <w:szCs w:val="21"/>
        </w:rPr>
      </w:pPr>
      <w:r>
        <w:rPr>
          <w:rFonts w:ascii="Abadi" w:hAnsi="Abadi"/>
          <w:sz w:val="21"/>
          <w:szCs w:val="21"/>
        </w:rPr>
        <w:t>¿F</w:t>
      </w:r>
      <w:r w:rsidRPr="006813AA">
        <w:rPr>
          <w:rFonts w:ascii="Abadi" w:hAnsi="Abadi"/>
          <w:sz w:val="21"/>
          <w:szCs w:val="21"/>
        </w:rPr>
        <w:t>alta alguna diputada o algún diputado de emitir su voto</w:t>
      </w:r>
      <w:r>
        <w:rPr>
          <w:rFonts w:ascii="Abadi" w:hAnsi="Abadi"/>
          <w:sz w:val="21"/>
          <w:szCs w:val="21"/>
        </w:rPr>
        <w:t>?</w:t>
      </w:r>
    </w:p>
    <w:p w14:paraId="481A37EE" w14:textId="77777777" w:rsidR="00EF4D3B" w:rsidRDefault="00EF4D3B" w:rsidP="00EF4D3B">
      <w:pPr>
        <w:jc w:val="both"/>
        <w:rPr>
          <w:rFonts w:ascii="Abadi" w:hAnsi="Abadi"/>
          <w:sz w:val="21"/>
          <w:szCs w:val="21"/>
        </w:rPr>
      </w:pPr>
    </w:p>
    <w:p w14:paraId="48EE751A" w14:textId="77777777" w:rsidR="00EF4D3B" w:rsidRDefault="00EF4D3B" w:rsidP="00EF4D3B">
      <w:pPr>
        <w:jc w:val="both"/>
        <w:rPr>
          <w:rFonts w:ascii="Abadi" w:hAnsi="Abadi"/>
          <w:b/>
          <w:bCs/>
          <w:sz w:val="21"/>
          <w:szCs w:val="21"/>
        </w:rPr>
      </w:pPr>
      <w:r w:rsidRPr="00DF1E33">
        <w:rPr>
          <w:rFonts w:ascii="Abadi" w:hAnsi="Abadi"/>
          <w:b/>
          <w:bCs/>
          <w:sz w:val="21"/>
          <w:szCs w:val="21"/>
        </w:rPr>
        <w:t>(Cerramos nuestro sistema eléctrico)</w:t>
      </w:r>
    </w:p>
    <w:p w14:paraId="7F0F54E3" w14:textId="77777777" w:rsidR="00EF4D3B" w:rsidRDefault="00EF4D3B" w:rsidP="00EF4D3B">
      <w:pPr>
        <w:jc w:val="both"/>
        <w:rPr>
          <w:rFonts w:ascii="Abadi" w:hAnsi="Abadi"/>
          <w:sz w:val="21"/>
          <w:szCs w:val="21"/>
        </w:rPr>
      </w:pPr>
    </w:p>
    <w:p w14:paraId="0A387EA1" w14:textId="77777777" w:rsidR="00EF4D3B" w:rsidRDefault="00EF4D3B" w:rsidP="00EF4D3B">
      <w:pPr>
        <w:jc w:val="both"/>
        <w:rPr>
          <w:rFonts w:ascii="Abadi" w:hAnsi="Abadi"/>
          <w:sz w:val="21"/>
          <w:szCs w:val="21"/>
        </w:rPr>
      </w:pPr>
      <w:r>
        <w:rPr>
          <w:noProof/>
        </w:rPr>
        <w:drawing>
          <wp:inline distT="0" distB="0" distL="0" distR="0" wp14:anchorId="4863E138" wp14:editId="78B4729F">
            <wp:extent cx="1677478" cy="856518"/>
            <wp:effectExtent l="323850" t="323850" r="323215" b="32512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b="9183"/>
                    <a:stretch/>
                  </pic:blipFill>
                  <pic:spPr bwMode="auto">
                    <a:xfrm>
                      <a:off x="0" y="0"/>
                      <a:ext cx="1692352" cy="864113"/>
                    </a:xfrm>
                    <a:prstGeom prst="rect">
                      <a:avLst/>
                    </a:prstGeom>
                    <a:ln w="88900" cap="sq" cmpd="thickThin">
                      <a:solidFill>
                        <a:srgbClr val="000000"/>
                      </a:solidFill>
                      <a:prstDash val="solid"/>
                      <a:miter lim="800000"/>
                    </a:ln>
                    <a:effectLst>
                      <a:glow rad="228600">
                        <a:schemeClr val="accent3">
                          <a:satMod val="1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345EAB33" w14:textId="77777777" w:rsidR="00EF4D3B" w:rsidRPr="009815C9" w:rsidRDefault="00EF4D3B" w:rsidP="00EF4D3B">
      <w:pPr>
        <w:jc w:val="both"/>
        <w:rPr>
          <w:rFonts w:ascii="Abadi" w:hAnsi="Abadi"/>
          <w:b/>
          <w:bCs/>
          <w:sz w:val="21"/>
          <w:szCs w:val="21"/>
        </w:rPr>
      </w:pPr>
      <w:r>
        <w:rPr>
          <w:rFonts w:ascii="Abadi" w:hAnsi="Abadi"/>
          <w:sz w:val="21"/>
          <w:szCs w:val="21"/>
        </w:rPr>
        <w:t xml:space="preserve">- </w:t>
      </w:r>
      <w:r w:rsidRPr="0028497B">
        <w:rPr>
          <w:rFonts w:ascii="Abadi" w:hAnsi="Abadi"/>
          <w:b/>
          <w:bCs/>
          <w:sz w:val="21"/>
          <w:szCs w:val="21"/>
        </w:rPr>
        <w:t>El Secretario.-</w:t>
      </w:r>
      <w:r>
        <w:rPr>
          <w:rFonts w:ascii="Abadi" w:hAnsi="Abadi"/>
          <w:sz w:val="21"/>
          <w:szCs w:val="21"/>
        </w:rPr>
        <w:t xml:space="preserve"> S</w:t>
      </w:r>
      <w:r w:rsidRPr="006813AA">
        <w:rPr>
          <w:rFonts w:ascii="Abadi" w:hAnsi="Abadi"/>
          <w:sz w:val="21"/>
          <w:szCs w:val="21"/>
        </w:rPr>
        <w:t>eñor Presidente se registraron 31 votos a favor y 2 votos en contra</w:t>
      </w:r>
      <w:r>
        <w:rPr>
          <w:rFonts w:ascii="Abadi" w:hAnsi="Abadi"/>
          <w:sz w:val="21"/>
          <w:szCs w:val="21"/>
        </w:rPr>
        <w:t>.</w:t>
      </w:r>
    </w:p>
    <w:p w14:paraId="2EDA8CA9" w14:textId="77777777" w:rsidR="00EF4D3B" w:rsidRDefault="00EF4D3B" w:rsidP="00EF4D3B">
      <w:pPr>
        <w:ind w:firstLine="708"/>
        <w:jc w:val="both"/>
        <w:rPr>
          <w:rFonts w:ascii="Abadi" w:hAnsi="Abadi"/>
          <w:b/>
          <w:bCs/>
          <w:sz w:val="21"/>
          <w:szCs w:val="21"/>
        </w:rPr>
      </w:pPr>
    </w:p>
    <w:p w14:paraId="1152EDAA" w14:textId="30E070C4" w:rsidR="00EF4D3B" w:rsidRDefault="00EF4D3B" w:rsidP="00EF4D3B">
      <w:pPr>
        <w:ind w:firstLine="708"/>
        <w:jc w:val="both"/>
        <w:rPr>
          <w:rFonts w:ascii="Abadi" w:hAnsi="Abadi"/>
          <w:sz w:val="21"/>
          <w:szCs w:val="21"/>
        </w:rPr>
      </w:pPr>
      <w:r w:rsidRPr="0028497B">
        <w:rPr>
          <w:rFonts w:ascii="Abadi" w:hAnsi="Abadi"/>
          <w:b/>
          <w:bCs/>
          <w:sz w:val="21"/>
          <w:szCs w:val="21"/>
        </w:rPr>
        <w:t>- El Presidente.-</w:t>
      </w:r>
      <w:r>
        <w:rPr>
          <w:rFonts w:ascii="Abadi" w:hAnsi="Abadi"/>
          <w:sz w:val="21"/>
          <w:szCs w:val="21"/>
        </w:rPr>
        <w:t xml:space="preserve"> E</w:t>
      </w:r>
      <w:r w:rsidRPr="006813AA">
        <w:rPr>
          <w:rFonts w:ascii="Abadi" w:hAnsi="Abadi"/>
          <w:sz w:val="21"/>
          <w:szCs w:val="21"/>
        </w:rPr>
        <w:t>l dictamen ha sido aprobado por mayoría de votos</w:t>
      </w:r>
      <w:r>
        <w:rPr>
          <w:rFonts w:ascii="Abadi" w:hAnsi="Abadi"/>
          <w:sz w:val="21"/>
          <w:szCs w:val="21"/>
        </w:rPr>
        <w:t>.</w:t>
      </w:r>
    </w:p>
    <w:p w14:paraId="2D52D7BC" w14:textId="77777777" w:rsidR="00EF4D3B" w:rsidRDefault="00EF4D3B" w:rsidP="00EF4D3B">
      <w:pPr>
        <w:ind w:firstLine="708"/>
        <w:jc w:val="both"/>
        <w:rPr>
          <w:rFonts w:ascii="Abadi" w:hAnsi="Abadi"/>
          <w:sz w:val="21"/>
          <w:szCs w:val="21"/>
        </w:rPr>
      </w:pPr>
    </w:p>
    <w:p w14:paraId="35744410" w14:textId="77777777" w:rsidR="00EF4D3B" w:rsidRPr="009815C9" w:rsidRDefault="00EF4D3B" w:rsidP="00EF4D3B">
      <w:pPr>
        <w:ind w:left="426" w:right="283"/>
        <w:jc w:val="both"/>
        <w:rPr>
          <w:rFonts w:ascii="Abadi" w:hAnsi="Abadi"/>
          <w:b/>
          <w:bCs/>
          <w:i/>
          <w:iCs/>
          <w:sz w:val="21"/>
          <w:szCs w:val="21"/>
          <w:u w:val="single"/>
        </w:rPr>
      </w:pPr>
      <w:r w:rsidRPr="009815C9">
        <w:rPr>
          <w:rFonts w:ascii="Abadi" w:hAnsi="Abadi"/>
          <w:b/>
          <w:bCs/>
          <w:i/>
          <w:iCs/>
          <w:sz w:val="21"/>
          <w:szCs w:val="21"/>
          <w:u w:val="single"/>
        </w:rPr>
        <w:t>En consecuencia se instruye a la Secretaría General para que proceda el archivo definitivo de la propuesta de punto de acuerdo referida en el dictamen aprobado.</w:t>
      </w:r>
    </w:p>
    <w:p w14:paraId="0A85287E" w14:textId="77777777" w:rsidR="00EF4D3B" w:rsidRPr="00693A4D" w:rsidRDefault="00EF4D3B" w:rsidP="00EF4D3B">
      <w:pPr>
        <w:widowControl w:val="0"/>
        <w:jc w:val="both"/>
        <w:rPr>
          <w:rFonts w:ascii="Abadi" w:hAnsi="Abadi" w:cs="Arial"/>
          <w:b/>
          <w:bCs/>
          <w:sz w:val="21"/>
          <w:szCs w:val="21"/>
          <w:lang w:val="es-MX" w:eastAsia="en-US"/>
        </w:rPr>
      </w:pPr>
    </w:p>
    <w:p w14:paraId="41A6E256" w14:textId="3A45C45A" w:rsidR="00FA302A" w:rsidRDefault="00FA302A" w:rsidP="00EF4D3B">
      <w:pPr>
        <w:autoSpaceDE w:val="0"/>
        <w:autoSpaceDN w:val="0"/>
        <w:adjustRightInd w:val="0"/>
        <w:jc w:val="both"/>
        <w:rPr>
          <w:rFonts w:ascii="Abadi" w:hAnsi="Abadi" w:cs="Arial-BoldMT"/>
          <w:sz w:val="20"/>
          <w:szCs w:val="21"/>
        </w:rPr>
      </w:pPr>
    </w:p>
    <w:p w14:paraId="218A72A2" w14:textId="77777777" w:rsidR="00FA302A" w:rsidRPr="00FA302A" w:rsidRDefault="00FA302A" w:rsidP="00E462B6">
      <w:pPr>
        <w:autoSpaceDE w:val="0"/>
        <w:autoSpaceDN w:val="0"/>
        <w:adjustRightInd w:val="0"/>
        <w:jc w:val="both"/>
        <w:rPr>
          <w:rFonts w:ascii="Abadi" w:hAnsi="Abadi" w:cs="Arial-BoldMT"/>
          <w:sz w:val="20"/>
          <w:szCs w:val="21"/>
        </w:rPr>
      </w:pPr>
    </w:p>
    <w:p w14:paraId="28D1F410" w14:textId="77777777" w:rsidR="00E462B6" w:rsidRPr="0028553C" w:rsidRDefault="00E462B6">
      <w:pPr>
        <w:pStyle w:val="Prrafodelista"/>
        <w:numPr>
          <w:ilvl w:val="0"/>
          <w:numId w:val="14"/>
        </w:numPr>
        <w:autoSpaceDE w:val="0"/>
        <w:autoSpaceDN w:val="0"/>
        <w:adjustRightInd w:val="0"/>
        <w:contextualSpacing/>
        <w:jc w:val="both"/>
        <w:rPr>
          <w:rFonts w:ascii="Abadi" w:hAnsi="Abadi" w:cs="ArialMT"/>
          <w:b/>
          <w:bCs/>
          <w:sz w:val="20"/>
          <w:szCs w:val="21"/>
        </w:rPr>
      </w:pPr>
      <w:r w:rsidRPr="0028553C">
        <w:rPr>
          <w:rFonts w:ascii="Abadi" w:hAnsi="Abadi" w:cs="ArialMT"/>
          <w:b/>
          <w:bCs/>
          <w:sz w:val="20"/>
          <w:szCs w:val="21"/>
        </w:rPr>
        <w:t>DISCUSIÓN Y, EN SU CASO, APROBACIÓN DEL DICTAMEN EMITIDO POR LA COMISIÓN DE DERECHOS HUMANOS Y ATENCIÓN A GRUPOS VULNERABLES RELATIVO A LA INICIATIVA DE REFORMAS Y ADICIONES A DIVERSAS LEYES ESTATALES PARA EL CUMPLIMIENTO Y SEGUIMIENTO DE LAS RECOMENDACIONES EN MATERIA DE DERECHOS HUMANOS, SUSCRITA POR LA DIPUTADA Y EL DIPUTADO INTEGRANTES DEL GRUPO PARLAMENTARIO DEL PARTIDO VERDE ECOLOGISTA DE MÉXICO ANTE LA SEXAGÉSIMA CUARTA LEGISLATURA.</w:t>
      </w:r>
    </w:p>
    <w:p w14:paraId="198CE574" w14:textId="0988C653" w:rsidR="00E462B6" w:rsidRDefault="00E462B6" w:rsidP="00E462B6">
      <w:pPr>
        <w:autoSpaceDE w:val="0"/>
        <w:autoSpaceDN w:val="0"/>
        <w:adjustRightInd w:val="0"/>
        <w:jc w:val="both"/>
        <w:rPr>
          <w:rFonts w:ascii="Abadi" w:hAnsi="Abadi" w:cs="ArialMT"/>
          <w:sz w:val="20"/>
          <w:szCs w:val="21"/>
        </w:rPr>
      </w:pPr>
    </w:p>
    <w:p w14:paraId="620C7C62" w14:textId="77777777" w:rsidR="0078535D" w:rsidRPr="0078535D" w:rsidRDefault="0078535D" w:rsidP="0078535D">
      <w:pPr>
        <w:widowControl w:val="0"/>
        <w:jc w:val="both"/>
        <w:rPr>
          <w:rFonts w:ascii="Abadi" w:hAnsi="Abadi"/>
          <w:b/>
          <w:bCs/>
          <w:sz w:val="21"/>
          <w:szCs w:val="21"/>
          <w:lang w:val="es-MX" w:eastAsia="en-US"/>
        </w:rPr>
      </w:pPr>
      <w:r w:rsidRPr="0078535D">
        <w:rPr>
          <w:rFonts w:ascii="Abadi" w:hAnsi="Abadi"/>
          <w:b/>
          <w:bCs/>
          <w:sz w:val="21"/>
          <w:szCs w:val="21"/>
          <w:lang w:val="es-MX" w:eastAsia="en-US"/>
        </w:rPr>
        <w:t xml:space="preserve">DICTAMEN QUE LA COMISIÓN DE DERECHOS HUMANOS Y ATENCIÓN A GRUPOS VULNERABLES PRESENTA AL PLENO DEL CONGRESO, DE LA </w:t>
      </w:r>
      <w:bookmarkStart w:id="10" w:name="_Hlk54176679"/>
      <w:r w:rsidRPr="0078535D">
        <w:rPr>
          <w:rFonts w:ascii="Abadi" w:hAnsi="Abadi"/>
          <w:b/>
          <w:bCs/>
          <w:sz w:val="21"/>
          <w:szCs w:val="21"/>
          <w:lang w:val="es-MX" w:eastAsia="en-US"/>
        </w:rPr>
        <w:t>INICIATIVA DE REFORMAS Y ADICIONES A DIVERSAS LEYES ESTATALES PARA EL CUMPLIMIENTO Y SEGUIMIENTO DE LAS RECOMENDACIONES EN MATERIA DE DERECHOS HUMANOS, SUSCRITA POR LA DIPUTADA Y EL DIPUTADO INTEGRANTES DEL GRUPO PARLAMENTARIO DEL PARTIDO VERDE ECOLOGISTA DE MÉXICO</w:t>
      </w:r>
      <w:bookmarkEnd w:id="10"/>
      <w:r w:rsidRPr="0078535D">
        <w:rPr>
          <w:rFonts w:ascii="Abadi" w:hAnsi="Abadi"/>
          <w:b/>
          <w:bCs/>
          <w:sz w:val="21"/>
          <w:szCs w:val="21"/>
          <w:lang w:val="es-MX" w:eastAsia="en-US"/>
        </w:rPr>
        <w:t xml:space="preserve"> ANTE LA SEXAGÉSIMA CUARTA LEGISLATURA.</w:t>
      </w:r>
    </w:p>
    <w:p w14:paraId="140CA567" w14:textId="77777777" w:rsidR="0078535D" w:rsidRPr="0078535D" w:rsidRDefault="0078535D" w:rsidP="0078535D">
      <w:pPr>
        <w:widowControl w:val="0"/>
        <w:spacing w:line="360" w:lineRule="auto"/>
        <w:jc w:val="both"/>
        <w:rPr>
          <w:rFonts w:ascii="Abadi" w:hAnsi="Abadi" w:cs="Arial"/>
          <w:sz w:val="21"/>
          <w:szCs w:val="21"/>
          <w:lang w:val="es-MX"/>
        </w:rPr>
      </w:pPr>
    </w:p>
    <w:p w14:paraId="52EF6A4F" w14:textId="77777777" w:rsidR="0078535D" w:rsidRPr="0078535D" w:rsidRDefault="0078535D" w:rsidP="00717237">
      <w:pPr>
        <w:widowControl w:val="0"/>
        <w:ind w:firstLine="851"/>
        <w:jc w:val="both"/>
        <w:rPr>
          <w:rFonts w:ascii="Abadi" w:hAnsi="Abadi" w:cs="Arial"/>
          <w:sz w:val="21"/>
          <w:szCs w:val="21"/>
          <w:lang w:val="es-MX"/>
        </w:rPr>
      </w:pPr>
      <w:r w:rsidRPr="0078535D">
        <w:rPr>
          <w:rFonts w:ascii="Abadi" w:hAnsi="Abadi" w:cs="Arial"/>
          <w:sz w:val="21"/>
          <w:szCs w:val="21"/>
          <w:lang w:val="es-MX"/>
        </w:rPr>
        <w:t>A la Comisión de Derechos Humanos y Atención a Grupos Vulnerables le fue turnada para estudio y dictamen, la iniciativa de reformas y adiciones a diversas leyes estatales para el cumplimiento y seguimiento de las recomendaciones en materia de derechos humanos, suscrita por la diputada y el diputado integrantes del Grupo Parlamentario del Partido Verde Ecologista de México ante la Sexagésima Cuarta Legislatura.</w:t>
      </w:r>
    </w:p>
    <w:p w14:paraId="45CE29FF" w14:textId="77777777" w:rsidR="0078535D" w:rsidRPr="0078535D" w:rsidRDefault="0078535D" w:rsidP="00717237">
      <w:pPr>
        <w:widowControl w:val="0"/>
        <w:jc w:val="both"/>
        <w:rPr>
          <w:rFonts w:ascii="Abadi" w:hAnsi="Abadi" w:cs="Arial"/>
          <w:sz w:val="21"/>
          <w:szCs w:val="21"/>
          <w:lang w:val="es-MX"/>
        </w:rPr>
      </w:pPr>
    </w:p>
    <w:p w14:paraId="112DF88D" w14:textId="77777777" w:rsidR="0078535D" w:rsidRPr="0078535D" w:rsidRDefault="0078535D" w:rsidP="00717237">
      <w:pPr>
        <w:widowControl w:val="0"/>
        <w:ind w:firstLine="851"/>
        <w:jc w:val="both"/>
        <w:rPr>
          <w:rFonts w:ascii="Abadi" w:hAnsi="Abadi" w:cs="Arial"/>
          <w:sz w:val="21"/>
          <w:szCs w:val="21"/>
          <w:lang w:val="es-MX"/>
        </w:rPr>
      </w:pPr>
      <w:r w:rsidRPr="0078535D">
        <w:rPr>
          <w:rFonts w:ascii="Abadi" w:hAnsi="Abadi" w:cs="Arial"/>
          <w:sz w:val="21"/>
          <w:szCs w:val="21"/>
          <w:lang w:val="es-MX"/>
        </w:rPr>
        <w:t>Analizada la iniciativa de referencia, esta Comisión de conformidad con lo dispuesto en los artículos 89 -fracción V- y 171 de la Ley Orgánica del Poder Legislativo del Estado de Guanajuato rinde el dictamen, con base en las siguientes:</w:t>
      </w:r>
    </w:p>
    <w:p w14:paraId="2BA4F5B1" w14:textId="77777777" w:rsidR="0078535D" w:rsidRPr="0078535D" w:rsidRDefault="0078535D" w:rsidP="00717237">
      <w:pPr>
        <w:widowControl w:val="0"/>
        <w:jc w:val="both"/>
        <w:rPr>
          <w:rFonts w:ascii="Abadi" w:hAnsi="Abadi" w:cs="Arial"/>
          <w:sz w:val="21"/>
          <w:szCs w:val="21"/>
          <w:lang w:val="es-MX"/>
        </w:rPr>
      </w:pPr>
    </w:p>
    <w:p w14:paraId="7272512D" w14:textId="77777777" w:rsidR="0078535D" w:rsidRPr="0078535D" w:rsidRDefault="0078535D" w:rsidP="00717237">
      <w:pPr>
        <w:widowControl w:val="0"/>
        <w:jc w:val="both"/>
        <w:rPr>
          <w:rFonts w:ascii="Abadi" w:hAnsi="Abadi" w:cs="Arial"/>
          <w:sz w:val="21"/>
          <w:szCs w:val="21"/>
          <w:lang w:val="es-MX"/>
        </w:rPr>
      </w:pPr>
    </w:p>
    <w:p w14:paraId="26A12F4C" w14:textId="77777777" w:rsidR="0078535D" w:rsidRPr="0078535D" w:rsidRDefault="0078535D" w:rsidP="00717237">
      <w:pPr>
        <w:widowControl w:val="0"/>
        <w:jc w:val="center"/>
        <w:rPr>
          <w:rFonts w:ascii="Abadi" w:hAnsi="Abadi" w:cs="Arial"/>
          <w:b/>
          <w:sz w:val="21"/>
          <w:szCs w:val="21"/>
          <w:lang w:val="es-MX"/>
        </w:rPr>
      </w:pPr>
      <w:r w:rsidRPr="0078535D">
        <w:rPr>
          <w:rFonts w:ascii="Abadi" w:hAnsi="Abadi" w:cs="Arial"/>
          <w:b/>
          <w:sz w:val="21"/>
          <w:szCs w:val="21"/>
          <w:lang w:val="es-MX"/>
        </w:rPr>
        <w:t>C O N S I D E R A C I O N E S</w:t>
      </w:r>
    </w:p>
    <w:p w14:paraId="10A04B82" w14:textId="77777777" w:rsidR="0078535D" w:rsidRPr="0078535D" w:rsidRDefault="0078535D" w:rsidP="00717237">
      <w:pPr>
        <w:widowControl w:val="0"/>
        <w:jc w:val="both"/>
        <w:rPr>
          <w:rFonts w:ascii="Abadi" w:hAnsi="Abadi" w:cs="Arial"/>
          <w:sz w:val="21"/>
          <w:szCs w:val="21"/>
          <w:lang w:val="es-MX"/>
        </w:rPr>
      </w:pPr>
    </w:p>
    <w:p w14:paraId="707D65FB" w14:textId="77777777" w:rsidR="0078535D" w:rsidRPr="0078535D" w:rsidRDefault="0078535D" w:rsidP="00717237">
      <w:pPr>
        <w:widowControl w:val="0"/>
        <w:ind w:left="851"/>
        <w:jc w:val="both"/>
        <w:rPr>
          <w:rFonts w:ascii="Abadi" w:hAnsi="Abadi" w:cs="Arial"/>
          <w:b/>
          <w:sz w:val="21"/>
          <w:szCs w:val="21"/>
          <w:lang w:val="es-MX"/>
        </w:rPr>
      </w:pPr>
      <w:r w:rsidRPr="0078535D">
        <w:rPr>
          <w:rFonts w:ascii="Abadi" w:hAnsi="Abadi" w:cs="Arial"/>
          <w:b/>
          <w:sz w:val="21"/>
          <w:szCs w:val="21"/>
          <w:lang w:val="es-MX"/>
        </w:rPr>
        <w:t>PROCESO LEGISLATIVO.</w:t>
      </w:r>
    </w:p>
    <w:p w14:paraId="15BE5163" w14:textId="77777777" w:rsidR="0078535D" w:rsidRPr="0078535D" w:rsidRDefault="0078535D" w:rsidP="00717237">
      <w:pPr>
        <w:widowControl w:val="0"/>
        <w:jc w:val="both"/>
        <w:rPr>
          <w:rFonts w:ascii="Abadi" w:hAnsi="Abadi" w:cs="Arial"/>
          <w:sz w:val="21"/>
          <w:szCs w:val="21"/>
          <w:lang w:val="es-MX"/>
        </w:rPr>
      </w:pPr>
    </w:p>
    <w:p w14:paraId="4144F88A" w14:textId="77777777" w:rsidR="0078535D" w:rsidRPr="0078535D" w:rsidRDefault="0078535D" w:rsidP="00717237">
      <w:pPr>
        <w:widowControl w:val="0"/>
        <w:ind w:firstLine="851"/>
        <w:jc w:val="both"/>
        <w:rPr>
          <w:rFonts w:ascii="Abadi" w:hAnsi="Abadi" w:cs="Arial"/>
          <w:sz w:val="21"/>
          <w:szCs w:val="21"/>
          <w:lang w:val="es-MX"/>
        </w:rPr>
      </w:pPr>
      <w:r w:rsidRPr="0078535D">
        <w:rPr>
          <w:rFonts w:ascii="Abadi" w:hAnsi="Abadi" w:cs="Arial"/>
          <w:sz w:val="21"/>
          <w:szCs w:val="21"/>
          <w:lang w:val="es-MX"/>
        </w:rPr>
        <w:t>En sesión ordinaria del 22 de octubre de 2020 ingresó la iniciativa; misma que, con fundamento en el artículo 106 -fracciones I y XII- de la Ley Orgánica del Poder Legislativo del Estado de Guanajuato, se turnó por parte de la presidencia del Congreso a esta Comisión legislativa para su estudio y dictamen.</w:t>
      </w:r>
    </w:p>
    <w:p w14:paraId="0DFF9B1B" w14:textId="77777777" w:rsidR="0078535D" w:rsidRPr="0078535D" w:rsidRDefault="0078535D" w:rsidP="00717237">
      <w:pPr>
        <w:widowControl w:val="0"/>
        <w:jc w:val="both"/>
        <w:rPr>
          <w:rFonts w:ascii="Abadi" w:hAnsi="Abadi" w:cs="Arial"/>
          <w:sz w:val="21"/>
          <w:szCs w:val="21"/>
          <w:lang w:val="es-MX"/>
        </w:rPr>
      </w:pPr>
    </w:p>
    <w:p w14:paraId="21EE0D8A" w14:textId="77777777" w:rsidR="0078535D" w:rsidRPr="0078535D" w:rsidRDefault="0078535D" w:rsidP="00717237">
      <w:pPr>
        <w:widowControl w:val="0"/>
        <w:ind w:firstLine="851"/>
        <w:jc w:val="both"/>
        <w:rPr>
          <w:rFonts w:ascii="Abadi" w:hAnsi="Abadi" w:cs="Arial"/>
          <w:sz w:val="21"/>
          <w:szCs w:val="21"/>
          <w:lang w:val="es-MX"/>
        </w:rPr>
      </w:pPr>
      <w:r w:rsidRPr="0078535D">
        <w:rPr>
          <w:rFonts w:ascii="Abadi" w:hAnsi="Abadi" w:cs="Arial"/>
          <w:sz w:val="21"/>
          <w:szCs w:val="21"/>
          <w:lang w:val="es-MX"/>
        </w:rPr>
        <w:t>En reunión de la Comisión del 9 de noviembre de 2020 se dio cuenta con la iniciativa.</w:t>
      </w:r>
    </w:p>
    <w:p w14:paraId="448A197C" w14:textId="77777777" w:rsidR="0078535D" w:rsidRPr="0078535D" w:rsidRDefault="0078535D" w:rsidP="00717237">
      <w:pPr>
        <w:widowControl w:val="0"/>
        <w:jc w:val="both"/>
        <w:rPr>
          <w:rFonts w:ascii="Abadi" w:hAnsi="Abadi" w:cs="Arial"/>
          <w:sz w:val="21"/>
          <w:szCs w:val="21"/>
          <w:lang w:val="es-MX"/>
        </w:rPr>
      </w:pPr>
    </w:p>
    <w:p w14:paraId="0100864A" w14:textId="77777777" w:rsidR="0078535D" w:rsidRPr="0078535D" w:rsidRDefault="0078535D" w:rsidP="00717237">
      <w:pPr>
        <w:widowControl w:val="0"/>
        <w:ind w:left="851"/>
        <w:jc w:val="both"/>
        <w:rPr>
          <w:rFonts w:ascii="Abadi" w:hAnsi="Abadi" w:cs="Arial"/>
          <w:b/>
          <w:sz w:val="21"/>
          <w:szCs w:val="21"/>
          <w:lang w:val="es-MX"/>
        </w:rPr>
      </w:pPr>
      <w:r w:rsidRPr="0078535D">
        <w:rPr>
          <w:rFonts w:ascii="Abadi" w:hAnsi="Abadi" w:cs="Arial"/>
          <w:b/>
          <w:sz w:val="21"/>
          <w:szCs w:val="21"/>
          <w:lang w:val="es-MX"/>
        </w:rPr>
        <w:t>Propósito de la iniciativa.</w:t>
      </w:r>
    </w:p>
    <w:p w14:paraId="0C2C6900" w14:textId="77777777" w:rsidR="0078535D" w:rsidRPr="0078535D" w:rsidRDefault="0078535D" w:rsidP="00717237">
      <w:pPr>
        <w:widowControl w:val="0"/>
        <w:jc w:val="both"/>
        <w:rPr>
          <w:rFonts w:ascii="Abadi" w:hAnsi="Abadi"/>
          <w:sz w:val="21"/>
          <w:szCs w:val="21"/>
          <w:lang w:val="es-MX" w:eastAsia="en-US"/>
        </w:rPr>
      </w:pPr>
    </w:p>
    <w:p w14:paraId="1EC4ED9C" w14:textId="77777777" w:rsidR="0078535D" w:rsidRPr="0078535D" w:rsidRDefault="0078535D" w:rsidP="00717237">
      <w:pPr>
        <w:widowControl w:val="0"/>
        <w:ind w:firstLine="851"/>
        <w:jc w:val="both"/>
        <w:rPr>
          <w:rFonts w:ascii="Abadi" w:hAnsi="Abadi"/>
          <w:sz w:val="21"/>
          <w:szCs w:val="21"/>
          <w:lang w:val="es-MX" w:eastAsia="en-US"/>
        </w:rPr>
      </w:pPr>
      <w:r w:rsidRPr="0078535D">
        <w:rPr>
          <w:rFonts w:ascii="Abadi" w:hAnsi="Abadi"/>
          <w:sz w:val="21"/>
          <w:szCs w:val="21"/>
          <w:lang w:val="es-MX" w:eastAsia="en-US"/>
        </w:rPr>
        <w:t>En la exposición de motivos de la iniciativa se puede leer que:</w:t>
      </w:r>
    </w:p>
    <w:p w14:paraId="03DC3907" w14:textId="77777777" w:rsidR="0078535D" w:rsidRPr="0078535D" w:rsidRDefault="0078535D" w:rsidP="00717237">
      <w:pPr>
        <w:widowControl w:val="0"/>
        <w:jc w:val="both"/>
        <w:rPr>
          <w:rFonts w:ascii="Abadi" w:hAnsi="Abadi"/>
          <w:sz w:val="21"/>
          <w:szCs w:val="21"/>
          <w:lang w:val="es-MX" w:eastAsia="en-US"/>
        </w:rPr>
      </w:pPr>
    </w:p>
    <w:p w14:paraId="328477FB" w14:textId="19C6E6BD" w:rsidR="0078535D" w:rsidRPr="0078535D" w:rsidRDefault="0078535D" w:rsidP="00717237">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Garantizar la protección y conservación de los derechos humanos ha sido una de las máximas en la gran mayoría de los países del mundo. México no ha sido la excepción, porque ha tomado la decisión de sumarse a los diversos tratados internacionales en esta materia, comprometiéndose a respetar</w:t>
      </w:r>
      <w:r w:rsidRPr="0078535D">
        <w:rPr>
          <w:rFonts w:ascii="Abadi" w:hAnsi="Abadi" w:cs="Arial"/>
          <w:i/>
          <w:sz w:val="21"/>
          <w:szCs w:val="21"/>
          <w:vertAlign w:val="superscript"/>
          <w:lang w:val="es-MX" w:eastAsia="en-US"/>
        </w:rPr>
        <w:footnoteReference w:id="81"/>
      </w:r>
      <w:r w:rsidRPr="0078535D">
        <w:rPr>
          <w:rFonts w:ascii="Abadi" w:hAnsi="Abadi" w:cs="Arial"/>
          <w:i/>
          <w:sz w:val="21"/>
          <w:szCs w:val="21"/>
          <w:lang w:val="es-MX" w:eastAsia="en-US"/>
        </w:rPr>
        <w:t xml:space="preserve"> y garantizar</w:t>
      </w:r>
      <w:r w:rsidRPr="0078535D">
        <w:rPr>
          <w:rFonts w:ascii="Abadi" w:hAnsi="Abadi" w:cs="Arial"/>
          <w:i/>
          <w:sz w:val="21"/>
          <w:szCs w:val="21"/>
          <w:vertAlign w:val="superscript"/>
          <w:lang w:val="es-MX" w:eastAsia="en-US"/>
        </w:rPr>
        <w:footnoteReference w:id="82"/>
      </w:r>
      <w:r w:rsidRPr="0078535D">
        <w:rPr>
          <w:rFonts w:ascii="Abadi" w:hAnsi="Abadi" w:cs="Arial"/>
          <w:i/>
          <w:sz w:val="21"/>
          <w:szCs w:val="21"/>
          <w:lang w:val="es-MX" w:eastAsia="en-US"/>
        </w:rPr>
        <w:t xml:space="preserve"> a toda costa los derechos humanos, independientemente que se encuentren contemplados en nuestra Constitución.</w:t>
      </w:r>
    </w:p>
    <w:p w14:paraId="1EFB9D62" w14:textId="77777777" w:rsidR="0078535D" w:rsidRPr="0078535D" w:rsidRDefault="0078535D" w:rsidP="00717237">
      <w:pPr>
        <w:widowControl w:val="0"/>
        <w:ind w:left="851" w:right="851"/>
        <w:jc w:val="both"/>
        <w:rPr>
          <w:rFonts w:ascii="Abadi" w:hAnsi="Abadi" w:cs="Arial"/>
          <w:i/>
          <w:sz w:val="21"/>
          <w:szCs w:val="21"/>
          <w:lang w:val="es-MX" w:eastAsia="en-US"/>
        </w:rPr>
      </w:pPr>
    </w:p>
    <w:p w14:paraId="35D1757B" w14:textId="77777777" w:rsidR="0078535D" w:rsidRPr="0078535D" w:rsidRDefault="0078535D" w:rsidP="00717237">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En este sentido la Constitución Política de los Estados Unidos Mexicanos</w:t>
      </w:r>
      <w:r w:rsidRPr="0078535D">
        <w:rPr>
          <w:rFonts w:ascii="Abadi" w:hAnsi="Abadi" w:cs="Arial"/>
          <w:i/>
          <w:sz w:val="21"/>
          <w:szCs w:val="21"/>
          <w:vertAlign w:val="superscript"/>
          <w:lang w:val="es-MX" w:eastAsia="en-US"/>
        </w:rPr>
        <w:footnoteReference w:id="83"/>
      </w:r>
      <w:r w:rsidRPr="0078535D">
        <w:rPr>
          <w:rFonts w:ascii="Abadi" w:hAnsi="Abadi" w:cs="Arial"/>
          <w:i/>
          <w:sz w:val="21"/>
          <w:szCs w:val="21"/>
          <w:lang w:val="es-MX" w:eastAsia="en-US"/>
        </w:rPr>
        <w:t xml:space="preserve"> prevé que el Congreso de la Unión y las legislaturas de las entidades federativas, en el ámbito de sus respectivas competencias, establezcan organismos de protección de los derechos humanos para que conozcan de quejas en contra de actos u omisiones de naturaleza administrativa provenientes de cualquier autoridad o servidor público, en el ejercicio de sus funciones, vulneran o permiten que sean vulnerados los derechos de las personas.</w:t>
      </w:r>
    </w:p>
    <w:p w14:paraId="3F94CCB5" w14:textId="77777777" w:rsidR="0078535D" w:rsidRPr="0078535D" w:rsidRDefault="0078535D" w:rsidP="00717237">
      <w:pPr>
        <w:widowControl w:val="0"/>
        <w:ind w:left="851" w:right="851"/>
        <w:jc w:val="both"/>
        <w:rPr>
          <w:rFonts w:ascii="Abadi" w:hAnsi="Abadi" w:cs="Arial"/>
          <w:i/>
          <w:sz w:val="21"/>
          <w:szCs w:val="21"/>
          <w:lang w:val="es-MX" w:eastAsia="en-US"/>
        </w:rPr>
      </w:pPr>
    </w:p>
    <w:p w14:paraId="4A7E15D1" w14:textId="2FDF2918" w:rsidR="0078535D" w:rsidRPr="0078535D" w:rsidRDefault="0078535D" w:rsidP="00717237">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 xml:space="preserve">Es decir, en este caso el agresor es un servidor público que abusa de su poder, en perjuicio de los derechos de las personas. </w:t>
      </w:r>
    </w:p>
    <w:p w14:paraId="6217D980" w14:textId="77777777" w:rsidR="0078535D" w:rsidRPr="0078535D" w:rsidRDefault="0078535D" w:rsidP="00717237">
      <w:pPr>
        <w:widowControl w:val="0"/>
        <w:ind w:left="851" w:right="851"/>
        <w:jc w:val="both"/>
        <w:rPr>
          <w:rFonts w:ascii="Abadi" w:hAnsi="Abadi" w:cs="Arial"/>
          <w:i/>
          <w:sz w:val="21"/>
          <w:szCs w:val="21"/>
          <w:lang w:val="es-MX" w:eastAsia="en-US"/>
        </w:rPr>
      </w:pPr>
    </w:p>
    <w:p w14:paraId="47FFF6E4" w14:textId="23708F73" w:rsidR="0078535D" w:rsidRPr="0078535D" w:rsidRDefault="0078535D" w:rsidP="00717237">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 xml:space="preserve">Con la creación de la Procuraduría de los Derechos Humanos en el Estado de Guanajuato en octubre de 1992, se cumplió con uno de los propósitos de los guanajuatenses: </w:t>
      </w:r>
      <w:r w:rsidRPr="0078535D">
        <w:rPr>
          <w:rFonts w:ascii="Abadi" w:hAnsi="Abadi" w:cs="Arial"/>
          <w:b/>
          <w:bCs/>
          <w:i/>
          <w:sz w:val="21"/>
          <w:szCs w:val="21"/>
          <w:lang w:val="es-MX" w:eastAsia="en-US"/>
        </w:rPr>
        <w:t>“promover y preservar el respeto a los derechos humanos y la protección de su ejercicio pleno, a través de un organismo que sea una instancia que canalice la participación activa de la sociedad en la identificación y denuncia de los actos de las autoridades que pudieran significar violación a los derechos humanos, y promover su efectiva defensa.”</w:t>
      </w:r>
      <w:r w:rsidRPr="0078535D">
        <w:rPr>
          <w:rFonts w:ascii="Abadi" w:hAnsi="Abadi" w:cs="Arial"/>
          <w:i/>
          <w:sz w:val="21"/>
          <w:szCs w:val="21"/>
          <w:vertAlign w:val="superscript"/>
          <w:lang w:val="es-MX" w:eastAsia="en-US"/>
        </w:rPr>
        <w:footnoteReference w:id="84"/>
      </w:r>
    </w:p>
    <w:p w14:paraId="41AF582D" w14:textId="2EFFEBB6" w:rsidR="0078535D" w:rsidRPr="0078535D" w:rsidRDefault="0078535D" w:rsidP="00717237">
      <w:pPr>
        <w:widowControl w:val="0"/>
        <w:ind w:left="851" w:right="851"/>
        <w:jc w:val="both"/>
        <w:rPr>
          <w:rFonts w:ascii="Abadi" w:hAnsi="Abadi" w:cs="Arial"/>
          <w:i/>
          <w:sz w:val="21"/>
          <w:szCs w:val="21"/>
          <w:lang w:val="es-MX" w:eastAsia="en-US"/>
        </w:rPr>
      </w:pPr>
    </w:p>
    <w:p w14:paraId="7ED69DE5" w14:textId="1C4428F4" w:rsidR="0078535D" w:rsidRPr="0078535D" w:rsidRDefault="0078535D" w:rsidP="00717237">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En este sentido, la transformación que ha tenido el estado en materia de derechos humanos, desde la creación de la Procuraduría de los Derechos Humanos hasta nuestros días, ha generado avances muy importantes en la protección de los derechos humanos, pero sobre todo avances significativos en la implementación de una cultura de respeto y promoción de los derechos fundamentales.</w:t>
      </w:r>
    </w:p>
    <w:p w14:paraId="0A745B72" w14:textId="7D33EBCA" w:rsidR="0078535D" w:rsidRPr="0078535D" w:rsidRDefault="0078535D" w:rsidP="00717237">
      <w:pPr>
        <w:widowControl w:val="0"/>
        <w:ind w:left="851" w:right="851"/>
        <w:jc w:val="both"/>
        <w:rPr>
          <w:rFonts w:ascii="Abadi" w:hAnsi="Abadi" w:cs="Arial"/>
          <w:i/>
          <w:sz w:val="21"/>
          <w:szCs w:val="21"/>
          <w:lang w:val="es-MX" w:eastAsia="en-US"/>
        </w:rPr>
      </w:pPr>
    </w:p>
    <w:p w14:paraId="2CE4E4A1" w14:textId="77777777" w:rsidR="0078535D" w:rsidRPr="0078535D" w:rsidRDefault="0078535D" w:rsidP="00717237">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Sin embargo, existen aspectos que se requieren fortalecer, como es el caso, del cumplimiento y seguimiento a las recomendaciones</w:t>
      </w:r>
      <w:r w:rsidRPr="0078535D">
        <w:rPr>
          <w:rFonts w:ascii="Abadi" w:hAnsi="Abadi" w:cs="Arial"/>
          <w:i/>
          <w:sz w:val="21"/>
          <w:szCs w:val="21"/>
          <w:vertAlign w:val="superscript"/>
          <w:lang w:val="es-MX" w:eastAsia="en-US"/>
        </w:rPr>
        <w:footnoteReference w:id="85"/>
      </w:r>
      <w:r w:rsidRPr="0078535D">
        <w:rPr>
          <w:rFonts w:ascii="Abadi" w:hAnsi="Abadi" w:cs="Arial"/>
          <w:i/>
          <w:sz w:val="21"/>
          <w:szCs w:val="21"/>
          <w:lang w:val="es-MX" w:eastAsia="en-US"/>
        </w:rPr>
        <w:t xml:space="preserve"> que emiten los organismos de derechos humanos y son aceptadas por las autoridades o servidores públicos que han violado algún derecho.</w:t>
      </w:r>
    </w:p>
    <w:p w14:paraId="6423C183" w14:textId="77777777" w:rsidR="0078535D" w:rsidRPr="0078535D" w:rsidRDefault="0078535D" w:rsidP="00717237">
      <w:pPr>
        <w:widowControl w:val="0"/>
        <w:ind w:left="851" w:right="851"/>
        <w:jc w:val="both"/>
        <w:rPr>
          <w:rFonts w:ascii="Abadi" w:hAnsi="Abadi" w:cs="Arial"/>
          <w:i/>
          <w:sz w:val="21"/>
          <w:szCs w:val="21"/>
          <w:lang w:val="es-MX" w:eastAsia="en-US"/>
        </w:rPr>
      </w:pPr>
    </w:p>
    <w:p w14:paraId="4AC3B44D" w14:textId="677EA55A" w:rsidR="0078535D" w:rsidRPr="0078535D" w:rsidRDefault="0078535D" w:rsidP="00717237">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Actualmente, la Procuraduría contempla en la Ley para la Protección de los Derechos Humanos en el Estado de Guanajuato un capítulo denominado “acuerdos y resoluciones”, para hacer referencia al cumplimiento y seguimiento a las recomendaciones que emita.</w:t>
      </w:r>
    </w:p>
    <w:p w14:paraId="50E8D586" w14:textId="729A36D2" w:rsidR="0078535D" w:rsidRPr="0078535D" w:rsidRDefault="0078535D" w:rsidP="00717237">
      <w:pPr>
        <w:widowControl w:val="0"/>
        <w:ind w:left="851" w:right="851"/>
        <w:jc w:val="both"/>
        <w:rPr>
          <w:rFonts w:ascii="Abadi" w:hAnsi="Abadi" w:cs="Arial"/>
          <w:i/>
          <w:sz w:val="21"/>
          <w:szCs w:val="21"/>
          <w:lang w:val="es-MX" w:eastAsia="en-US"/>
        </w:rPr>
      </w:pPr>
    </w:p>
    <w:p w14:paraId="0F545092" w14:textId="2535274E" w:rsidR="0078535D" w:rsidRPr="0078535D" w:rsidRDefault="0078535D" w:rsidP="00717237">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Pero la violación casi reiterada de ciertos derechos por parte de la autoridad ha provocado que dichas recomendaciones se conviertan en un trámite más que deban cumplir los agresores de derechos humanos, sin que se genere plenamente una cultura de respeto hacía los mismos.</w:t>
      </w:r>
    </w:p>
    <w:p w14:paraId="30A3B12E" w14:textId="6FB90683" w:rsidR="0078535D" w:rsidRPr="0078535D" w:rsidRDefault="0078535D" w:rsidP="00717237">
      <w:pPr>
        <w:widowControl w:val="0"/>
        <w:ind w:left="851" w:right="851"/>
        <w:jc w:val="both"/>
        <w:rPr>
          <w:rFonts w:ascii="Abadi" w:hAnsi="Abadi" w:cs="Arial"/>
          <w:i/>
          <w:sz w:val="21"/>
          <w:szCs w:val="21"/>
          <w:lang w:val="es-MX" w:eastAsia="en-US"/>
        </w:rPr>
      </w:pPr>
    </w:p>
    <w:p w14:paraId="12D0F7C6" w14:textId="329E1F6C" w:rsidR="0078535D" w:rsidRDefault="0078535D" w:rsidP="00717237">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A continuación, se muestra en la gráfica las recomendaciones emitidas por la Procuraduría de los Derechos Humanos desde el año 1994 hasta el año 2019, por actos violatorios de las autoridades estatales y municipales en el estado:</w:t>
      </w:r>
    </w:p>
    <w:p w14:paraId="548808E5" w14:textId="009A69EE" w:rsidR="001E0F55" w:rsidRDefault="001E0F55" w:rsidP="00717237">
      <w:pPr>
        <w:widowControl w:val="0"/>
        <w:ind w:left="851" w:right="851"/>
        <w:jc w:val="both"/>
        <w:rPr>
          <w:rFonts w:ascii="Abadi" w:hAnsi="Abadi" w:cs="Arial"/>
          <w:i/>
          <w:sz w:val="21"/>
          <w:szCs w:val="21"/>
          <w:lang w:val="es-MX" w:eastAsia="en-US"/>
        </w:rPr>
      </w:pPr>
      <w:r w:rsidRPr="0078535D">
        <w:rPr>
          <w:rFonts w:ascii="Abadi" w:hAnsi="Abadi" w:cs="Arial"/>
          <w:i/>
          <w:noProof/>
          <w:sz w:val="21"/>
          <w:szCs w:val="21"/>
          <w:lang w:val="es-MX" w:eastAsia="en-US"/>
        </w:rPr>
        <w:drawing>
          <wp:anchor distT="0" distB="0" distL="114300" distR="114300" simplePos="0" relativeHeight="251700224" behindDoc="1" locked="0" layoutInCell="1" allowOverlap="1" wp14:anchorId="6418FA11" wp14:editId="67E1851F">
            <wp:simplePos x="0" y="0"/>
            <wp:positionH relativeFrom="margin">
              <wp:align>right</wp:align>
            </wp:positionH>
            <wp:positionV relativeFrom="paragraph">
              <wp:posOffset>193040</wp:posOffset>
            </wp:positionV>
            <wp:extent cx="2673985" cy="1379855"/>
            <wp:effectExtent l="0" t="0" r="12065" b="10795"/>
            <wp:wrapTight wrapText="bothSides">
              <wp:wrapPolygon edited="0">
                <wp:start x="0" y="0"/>
                <wp:lineTo x="0" y="21471"/>
                <wp:lineTo x="21544" y="21471"/>
                <wp:lineTo x="21544" y="0"/>
                <wp:lineTo x="0" y="0"/>
              </wp:wrapPolygon>
            </wp:wrapTight>
            <wp:docPr id="4" name="Gráfico 4">
              <a:extLst xmlns:a="http://schemas.openxmlformats.org/drawingml/2006/main">
                <a:ext uri="{FF2B5EF4-FFF2-40B4-BE49-F238E27FC236}">
                  <a16:creationId xmlns:a16="http://schemas.microsoft.com/office/drawing/2014/main" id="{8BAA67FA-E682-4635-B32F-EF5A959ED9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14:sizeRelV relativeFrom="margin">
              <wp14:pctHeight>0</wp14:pctHeight>
            </wp14:sizeRelV>
          </wp:anchor>
        </w:drawing>
      </w:r>
    </w:p>
    <w:p w14:paraId="43EF218C" w14:textId="442AB7CE" w:rsidR="001E0F55" w:rsidRDefault="001E0F55" w:rsidP="00717237">
      <w:pPr>
        <w:widowControl w:val="0"/>
        <w:ind w:left="851" w:right="851"/>
        <w:jc w:val="both"/>
        <w:rPr>
          <w:rFonts w:ascii="Abadi" w:hAnsi="Abadi" w:cs="Arial"/>
          <w:i/>
          <w:sz w:val="21"/>
          <w:szCs w:val="21"/>
          <w:lang w:val="es-MX" w:eastAsia="en-US"/>
        </w:rPr>
      </w:pPr>
    </w:p>
    <w:p w14:paraId="7D77C3A8" w14:textId="7699F372" w:rsidR="001E0F55" w:rsidRDefault="001E0F55" w:rsidP="00717237">
      <w:pPr>
        <w:widowControl w:val="0"/>
        <w:ind w:left="851" w:right="851"/>
        <w:jc w:val="both"/>
        <w:rPr>
          <w:rFonts w:ascii="Abadi" w:hAnsi="Abadi" w:cs="Arial"/>
          <w:i/>
          <w:sz w:val="21"/>
          <w:szCs w:val="21"/>
          <w:lang w:val="es-MX" w:eastAsia="en-US"/>
        </w:rPr>
      </w:pPr>
    </w:p>
    <w:p w14:paraId="0B1D6084" w14:textId="03EB4131" w:rsidR="001E0F55" w:rsidRDefault="001E0F55" w:rsidP="00717237">
      <w:pPr>
        <w:widowControl w:val="0"/>
        <w:ind w:left="851" w:right="851"/>
        <w:jc w:val="both"/>
        <w:rPr>
          <w:rFonts w:ascii="Abadi" w:hAnsi="Abadi" w:cs="Arial"/>
          <w:i/>
          <w:sz w:val="21"/>
          <w:szCs w:val="21"/>
          <w:lang w:val="es-MX" w:eastAsia="en-US"/>
        </w:rPr>
      </w:pPr>
    </w:p>
    <w:p w14:paraId="53754D1D" w14:textId="561C2F1F" w:rsidR="001E0F55" w:rsidRDefault="001E0F55" w:rsidP="00717237">
      <w:pPr>
        <w:widowControl w:val="0"/>
        <w:ind w:left="851" w:right="851"/>
        <w:jc w:val="both"/>
        <w:rPr>
          <w:rFonts w:ascii="Abadi" w:hAnsi="Abadi" w:cs="Arial"/>
          <w:i/>
          <w:sz w:val="21"/>
          <w:szCs w:val="21"/>
          <w:lang w:val="es-MX" w:eastAsia="en-US"/>
        </w:rPr>
      </w:pPr>
    </w:p>
    <w:p w14:paraId="1248988C" w14:textId="0610F600" w:rsidR="001E0F55" w:rsidRDefault="001E0F55" w:rsidP="00717237">
      <w:pPr>
        <w:widowControl w:val="0"/>
        <w:ind w:left="851" w:right="851"/>
        <w:jc w:val="both"/>
        <w:rPr>
          <w:rFonts w:ascii="Abadi" w:hAnsi="Abadi" w:cs="Arial"/>
          <w:i/>
          <w:sz w:val="21"/>
          <w:szCs w:val="21"/>
          <w:lang w:val="es-MX" w:eastAsia="en-US"/>
        </w:rPr>
      </w:pPr>
    </w:p>
    <w:p w14:paraId="53BA07E2" w14:textId="22CD578C" w:rsidR="001E0F55" w:rsidRDefault="001E0F55" w:rsidP="00717237">
      <w:pPr>
        <w:widowControl w:val="0"/>
        <w:ind w:left="851" w:right="851"/>
        <w:jc w:val="both"/>
        <w:rPr>
          <w:rFonts w:ascii="Abadi" w:hAnsi="Abadi" w:cs="Arial"/>
          <w:i/>
          <w:sz w:val="21"/>
          <w:szCs w:val="21"/>
          <w:lang w:val="es-MX" w:eastAsia="en-US"/>
        </w:rPr>
      </w:pPr>
    </w:p>
    <w:p w14:paraId="3AA465A9" w14:textId="77777777" w:rsidR="001E0F55" w:rsidRPr="0078535D" w:rsidRDefault="001E0F55" w:rsidP="00717237">
      <w:pPr>
        <w:widowControl w:val="0"/>
        <w:ind w:left="851" w:right="851"/>
        <w:jc w:val="both"/>
        <w:rPr>
          <w:rFonts w:ascii="Abadi" w:hAnsi="Abadi" w:cs="Arial"/>
          <w:i/>
          <w:sz w:val="21"/>
          <w:szCs w:val="21"/>
          <w:lang w:val="es-MX" w:eastAsia="en-US"/>
        </w:rPr>
      </w:pPr>
    </w:p>
    <w:p w14:paraId="75BE1409" w14:textId="6DDC0D8C" w:rsidR="0078535D" w:rsidRPr="0078535D" w:rsidRDefault="0078535D" w:rsidP="0078535D">
      <w:pPr>
        <w:widowControl w:val="0"/>
        <w:ind w:left="851" w:right="851"/>
        <w:jc w:val="both"/>
        <w:rPr>
          <w:rFonts w:ascii="Abadi" w:hAnsi="Abadi" w:cs="Arial"/>
          <w:i/>
          <w:sz w:val="21"/>
          <w:szCs w:val="21"/>
          <w:lang w:val="es-MX" w:eastAsia="en-US"/>
        </w:rPr>
      </w:pPr>
    </w:p>
    <w:p w14:paraId="18138473" w14:textId="77777777" w:rsidR="0078535D" w:rsidRPr="0078535D" w:rsidRDefault="0078535D" w:rsidP="0078535D">
      <w:pPr>
        <w:widowControl w:val="0"/>
        <w:ind w:left="851" w:right="851"/>
        <w:jc w:val="both"/>
        <w:rPr>
          <w:rFonts w:ascii="Abadi" w:hAnsi="Abadi"/>
          <w:i/>
          <w:sz w:val="21"/>
          <w:szCs w:val="21"/>
          <w:lang w:val="es-MX" w:eastAsia="en-US"/>
        </w:rPr>
      </w:pPr>
      <w:r w:rsidRPr="0078535D">
        <w:rPr>
          <w:rFonts w:ascii="Abadi" w:hAnsi="Abadi" w:cs="Arial"/>
          <w:i/>
          <w:sz w:val="21"/>
          <w:szCs w:val="21"/>
          <w:lang w:val="es-MX" w:eastAsia="en-US"/>
        </w:rPr>
        <w:t xml:space="preserve">Gráfica Única. Fuente: </w:t>
      </w:r>
      <w:hyperlink r:id="rId57" w:history="1">
        <w:r w:rsidRPr="0078535D">
          <w:rPr>
            <w:rFonts w:ascii="Abadi" w:hAnsi="Abadi"/>
            <w:i/>
            <w:sz w:val="21"/>
            <w:szCs w:val="21"/>
            <w:lang w:val="es-MX" w:eastAsia="en-US"/>
          </w:rPr>
          <w:t>https://www.derechoshumanosgto.org.mx/informe-anual</w:t>
        </w:r>
      </w:hyperlink>
    </w:p>
    <w:p w14:paraId="3FCCE7E6" w14:textId="77777777" w:rsidR="0078535D" w:rsidRPr="0078535D" w:rsidRDefault="0078535D" w:rsidP="0078535D">
      <w:pPr>
        <w:widowControl w:val="0"/>
        <w:ind w:left="851" w:right="851"/>
        <w:jc w:val="both"/>
        <w:rPr>
          <w:rFonts w:ascii="Abadi" w:hAnsi="Abadi" w:cs="Arial"/>
          <w:i/>
          <w:sz w:val="21"/>
          <w:szCs w:val="21"/>
          <w:lang w:val="es-MX" w:eastAsia="en-US"/>
        </w:rPr>
      </w:pPr>
    </w:p>
    <w:p w14:paraId="32E93E45" w14:textId="77777777" w:rsidR="0078535D" w:rsidRPr="0078535D" w:rsidRDefault="0078535D" w:rsidP="0078535D">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La gráfica nos muestra los siguientes resultados:</w:t>
      </w:r>
    </w:p>
    <w:p w14:paraId="39069D21" w14:textId="77777777" w:rsidR="0078535D" w:rsidRPr="0078535D" w:rsidRDefault="0078535D" w:rsidP="0078535D">
      <w:pPr>
        <w:widowControl w:val="0"/>
        <w:ind w:left="851" w:right="851"/>
        <w:jc w:val="both"/>
        <w:rPr>
          <w:rFonts w:ascii="Abadi" w:hAnsi="Abadi" w:cs="Arial"/>
          <w:i/>
          <w:sz w:val="21"/>
          <w:szCs w:val="21"/>
          <w:lang w:val="es-MX" w:eastAsia="en-US"/>
        </w:rPr>
      </w:pPr>
    </w:p>
    <w:p w14:paraId="4DC6E071" w14:textId="77777777" w:rsidR="0078535D" w:rsidRPr="0078535D" w:rsidRDefault="0078535D" w:rsidP="0078535D">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1. En el periodo comprendido entre el año 1994 al año 2008 la labor de la Procuraduría de los Derechos Humanos no tenía el impacto constitucional requerido. Generando con ello, una afrenta entre las autoridades estatales y municipales contra la Procuraduría, ya que las recomendaciones emitidas, o no se aceptaban o quedaban pendientes por aceptar, mostrando un porcentaje muy elevado;</w:t>
      </w:r>
    </w:p>
    <w:p w14:paraId="619D26A4" w14:textId="77777777" w:rsidR="0078535D" w:rsidRPr="0078535D" w:rsidRDefault="0078535D" w:rsidP="0078535D">
      <w:pPr>
        <w:widowControl w:val="0"/>
        <w:ind w:left="851" w:right="851"/>
        <w:jc w:val="both"/>
        <w:rPr>
          <w:rFonts w:ascii="Abadi" w:hAnsi="Abadi" w:cs="Arial"/>
          <w:i/>
          <w:sz w:val="21"/>
          <w:szCs w:val="21"/>
          <w:lang w:val="es-MX" w:eastAsia="en-US"/>
        </w:rPr>
      </w:pPr>
    </w:p>
    <w:p w14:paraId="64E04861" w14:textId="77777777" w:rsidR="0078535D" w:rsidRPr="0078535D" w:rsidRDefault="0078535D" w:rsidP="0078535D">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2. En el periodo antes referido, las recomendaciones no aceptadas oscilaban en un rango muy elevado del 20 al 63%. Y las recomendaciones pendientes por aceptar, el rango oscilaba entre el 0% al 44%;</w:t>
      </w:r>
    </w:p>
    <w:p w14:paraId="0B45932C" w14:textId="77777777" w:rsidR="0078535D" w:rsidRPr="0078535D" w:rsidRDefault="0078535D" w:rsidP="0078535D">
      <w:pPr>
        <w:widowControl w:val="0"/>
        <w:ind w:left="851" w:right="851"/>
        <w:jc w:val="both"/>
        <w:rPr>
          <w:rFonts w:ascii="Abadi" w:hAnsi="Abadi" w:cs="Arial"/>
          <w:i/>
          <w:sz w:val="21"/>
          <w:szCs w:val="21"/>
          <w:lang w:val="es-MX" w:eastAsia="en-US"/>
        </w:rPr>
      </w:pPr>
    </w:p>
    <w:p w14:paraId="072BC1F9" w14:textId="77777777" w:rsidR="0078535D" w:rsidRPr="0078535D" w:rsidRDefault="0078535D" w:rsidP="0078535D">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3. A partir del periodo del año 2009 al año 2014, la Procuraduría de los Derechos Humanos empieza a tener una mayor credibilidad en el trabajo que representa, ya que las recomendaciones no aceptadas oscilan en un rango del 0% al 4%. Y las recomendaciones pendientes por aceptar, el rango oscila entre el 0% al 5%;</w:t>
      </w:r>
    </w:p>
    <w:p w14:paraId="34BD2FC5" w14:textId="77777777" w:rsidR="0078535D" w:rsidRPr="0078535D" w:rsidRDefault="0078535D" w:rsidP="0078535D">
      <w:pPr>
        <w:widowControl w:val="0"/>
        <w:ind w:left="851" w:right="851"/>
        <w:jc w:val="both"/>
        <w:rPr>
          <w:rFonts w:ascii="Abadi" w:hAnsi="Abadi" w:cs="Arial"/>
          <w:i/>
          <w:sz w:val="21"/>
          <w:szCs w:val="21"/>
          <w:lang w:val="es-MX" w:eastAsia="en-US"/>
        </w:rPr>
      </w:pPr>
    </w:p>
    <w:p w14:paraId="58DE68E3" w14:textId="77777777" w:rsidR="0078535D" w:rsidRPr="0078535D" w:rsidRDefault="0078535D" w:rsidP="0078535D">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4. Del periodo del año 2015 al año 2019, las recomendaciones no aceptadas oscilan en un rango del 0% al 1%. Y las recomendaciones pendientes por aceptar, el rango oscila entre el 0% al 1%. Resultando que casi todas las recomendaciones emitidas por la Procuraduría de los Derechos Humanos son aceptadas y de manera inmediata.</w:t>
      </w:r>
    </w:p>
    <w:p w14:paraId="676AC1E0" w14:textId="77777777" w:rsidR="0078535D" w:rsidRPr="0078535D" w:rsidRDefault="0078535D" w:rsidP="0078535D">
      <w:pPr>
        <w:widowControl w:val="0"/>
        <w:ind w:left="851" w:right="851"/>
        <w:jc w:val="both"/>
        <w:rPr>
          <w:rFonts w:ascii="Abadi" w:hAnsi="Abadi" w:cs="Arial"/>
          <w:i/>
          <w:sz w:val="21"/>
          <w:szCs w:val="21"/>
          <w:lang w:val="es-MX" w:eastAsia="en-US"/>
        </w:rPr>
      </w:pPr>
    </w:p>
    <w:p w14:paraId="059CA06B" w14:textId="77777777" w:rsidR="0078535D" w:rsidRPr="0078535D" w:rsidRDefault="0078535D" w:rsidP="0078535D">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 xml:space="preserve">Las principales violaciones que derivaron las recomendaciones antes señaladas fueron: a la integridad física, a la seguridad jurídica, a la libertad personal y a los derechos de las niñas, niños y adolescentes. </w:t>
      </w:r>
    </w:p>
    <w:p w14:paraId="64C2EDE1" w14:textId="77777777" w:rsidR="0078535D" w:rsidRPr="0078535D" w:rsidRDefault="0078535D" w:rsidP="0078535D">
      <w:pPr>
        <w:widowControl w:val="0"/>
        <w:ind w:left="851" w:right="851"/>
        <w:jc w:val="both"/>
        <w:rPr>
          <w:rFonts w:ascii="Abadi" w:hAnsi="Abadi" w:cs="Arial"/>
          <w:i/>
          <w:sz w:val="21"/>
          <w:szCs w:val="21"/>
          <w:lang w:val="es-MX" w:eastAsia="en-US"/>
        </w:rPr>
      </w:pPr>
    </w:p>
    <w:p w14:paraId="252CB5BE" w14:textId="77777777" w:rsidR="0078535D" w:rsidRPr="0078535D" w:rsidRDefault="0078535D" w:rsidP="0078535D">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Ahora bien, resulta de gran importancia el cumplimiento y seguimiento de las recomendaciones que fueron aceptadas por la autoridad estatal y municipal, a través de un compromiso real y especifico que permita garantizar que los servidores públicos que incurrieron en violaciones en materia de derechos humanos no vuelven a incurrir en dichas agresiones.</w:t>
      </w:r>
    </w:p>
    <w:p w14:paraId="3F450E2B" w14:textId="77777777" w:rsidR="0078535D" w:rsidRPr="0078535D" w:rsidRDefault="0078535D" w:rsidP="0078535D">
      <w:pPr>
        <w:widowControl w:val="0"/>
        <w:ind w:left="851" w:right="851"/>
        <w:jc w:val="both"/>
        <w:rPr>
          <w:rFonts w:ascii="Abadi" w:hAnsi="Abadi" w:cs="Arial"/>
          <w:i/>
          <w:sz w:val="21"/>
          <w:szCs w:val="21"/>
          <w:lang w:val="es-MX" w:eastAsia="en-US"/>
        </w:rPr>
      </w:pPr>
    </w:p>
    <w:p w14:paraId="573D60C9" w14:textId="77777777" w:rsidR="0078535D" w:rsidRPr="0078535D" w:rsidRDefault="0078535D" w:rsidP="0078535D">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Por ello, el Grupo Parlamentario del Partido Verde Ecologista de México propone establecer que el cumplimiento y seguimiento de las recomendaciones emitidas por organismos en materia de derechos humanos, llámese Comisión Nacional de los Derechos Humanos o de la Procuraduría de los Derechos Humanos del Estado de Guanajuato, se atiendan de conformidad con los ordenamientos que se emitan, para observar el cumplimiento y seguimiento de las recomendaciones emitidas a las dependencias y entidades de la administración pública estatal o municipal, con el objeto de cumplir las disposiciones administrativas necesarias que procuren el cumplimiento de la recomendación. Y, por ende, la disminución de estas.</w:t>
      </w:r>
    </w:p>
    <w:p w14:paraId="68B6DEB3" w14:textId="77777777" w:rsidR="0078535D" w:rsidRPr="0078535D" w:rsidRDefault="0078535D" w:rsidP="0078535D">
      <w:pPr>
        <w:widowControl w:val="0"/>
        <w:ind w:left="851" w:right="851"/>
        <w:jc w:val="both"/>
        <w:rPr>
          <w:rFonts w:ascii="Abadi" w:hAnsi="Abadi" w:cs="Arial"/>
          <w:i/>
          <w:sz w:val="21"/>
          <w:szCs w:val="21"/>
          <w:lang w:val="es-MX" w:eastAsia="en-US"/>
        </w:rPr>
      </w:pPr>
    </w:p>
    <w:p w14:paraId="4A8A7782" w14:textId="77777777" w:rsidR="0078535D" w:rsidRPr="0078535D" w:rsidRDefault="0078535D" w:rsidP="0078535D">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Actualmente la Procuraduría de los Derechos Humanos prevé en la Ley de la materia, que la recomendación señalará las medidas que procedan para la efectiva restitución de las personas quejosas o agraviadas en sus derechos fundamentales,</w:t>
      </w:r>
      <w:r w:rsidRPr="0078535D">
        <w:rPr>
          <w:rFonts w:ascii="Abadi" w:hAnsi="Abadi" w:cs="Arial"/>
          <w:i/>
          <w:sz w:val="21"/>
          <w:szCs w:val="21"/>
          <w:vertAlign w:val="superscript"/>
          <w:lang w:val="es-MX" w:eastAsia="en-US"/>
        </w:rPr>
        <w:footnoteReference w:id="86"/>
      </w:r>
      <w:r w:rsidRPr="0078535D">
        <w:rPr>
          <w:rFonts w:ascii="Abadi" w:hAnsi="Abadi" w:cs="Arial"/>
          <w:i/>
          <w:sz w:val="21"/>
          <w:szCs w:val="21"/>
          <w:lang w:val="es-MX" w:eastAsia="en-US"/>
        </w:rPr>
        <w:t xml:space="preserve"> así como su cumplimiento.</w:t>
      </w:r>
      <w:r w:rsidRPr="0078535D">
        <w:rPr>
          <w:rFonts w:ascii="Abadi" w:hAnsi="Abadi" w:cs="Arial"/>
          <w:i/>
          <w:sz w:val="21"/>
          <w:szCs w:val="21"/>
          <w:vertAlign w:val="superscript"/>
          <w:lang w:val="es-MX" w:eastAsia="en-US"/>
        </w:rPr>
        <w:footnoteReference w:id="87"/>
      </w:r>
    </w:p>
    <w:p w14:paraId="3D178115" w14:textId="77777777" w:rsidR="0078535D" w:rsidRPr="0078535D" w:rsidRDefault="0078535D" w:rsidP="0078535D">
      <w:pPr>
        <w:widowControl w:val="0"/>
        <w:ind w:left="851" w:right="851"/>
        <w:jc w:val="both"/>
        <w:rPr>
          <w:rFonts w:ascii="Abadi" w:hAnsi="Abadi" w:cs="Arial"/>
          <w:i/>
          <w:sz w:val="21"/>
          <w:szCs w:val="21"/>
          <w:lang w:val="es-MX" w:eastAsia="en-US"/>
        </w:rPr>
      </w:pPr>
    </w:p>
    <w:p w14:paraId="49BFC7B6" w14:textId="77777777" w:rsidR="0078535D" w:rsidRPr="0078535D" w:rsidRDefault="0078535D" w:rsidP="0078535D">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Sin embargo, dicha Ley no prevé o, mejor dicho, no ayuda a la autoridad o servidor público a tener un ordenamiento guía que le permita cumplir y darle seguimiento a la recomendación.</w:t>
      </w:r>
    </w:p>
    <w:p w14:paraId="5D5D7D16" w14:textId="77777777" w:rsidR="0078535D" w:rsidRPr="0078535D" w:rsidRDefault="0078535D" w:rsidP="0078535D">
      <w:pPr>
        <w:widowControl w:val="0"/>
        <w:ind w:left="851" w:right="851"/>
        <w:jc w:val="both"/>
        <w:rPr>
          <w:rFonts w:ascii="Abadi" w:hAnsi="Abadi" w:cs="Arial"/>
          <w:i/>
          <w:sz w:val="21"/>
          <w:szCs w:val="21"/>
          <w:lang w:val="es-MX" w:eastAsia="en-US"/>
        </w:rPr>
      </w:pPr>
    </w:p>
    <w:p w14:paraId="6694AB60" w14:textId="77777777" w:rsidR="0078535D" w:rsidRPr="0078535D" w:rsidRDefault="0078535D" w:rsidP="0078535D">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En este sentido, la presente propuesta contempla realizar diversas reformas y adiciones a tres ordenamientos:</w:t>
      </w:r>
    </w:p>
    <w:p w14:paraId="707F81C6" w14:textId="77777777" w:rsidR="0078535D" w:rsidRPr="0078535D" w:rsidRDefault="0078535D" w:rsidP="0078535D">
      <w:pPr>
        <w:widowControl w:val="0"/>
        <w:ind w:left="851" w:right="851"/>
        <w:jc w:val="both"/>
        <w:rPr>
          <w:rFonts w:ascii="Abadi" w:hAnsi="Abadi" w:cs="Arial"/>
          <w:i/>
          <w:sz w:val="21"/>
          <w:szCs w:val="21"/>
          <w:lang w:val="es-MX" w:eastAsia="en-US"/>
        </w:rPr>
      </w:pPr>
    </w:p>
    <w:p w14:paraId="66A28B74" w14:textId="77777777" w:rsidR="0078535D" w:rsidRPr="0078535D" w:rsidRDefault="0078535D" w:rsidP="0078535D">
      <w:pPr>
        <w:widowControl w:val="0"/>
        <w:ind w:left="851" w:right="851"/>
        <w:jc w:val="both"/>
        <w:rPr>
          <w:rFonts w:ascii="Abadi" w:hAnsi="Abadi" w:cs="Arial"/>
          <w:i/>
          <w:sz w:val="21"/>
          <w:szCs w:val="21"/>
          <w:lang w:val="es-MX" w:eastAsia="en-US"/>
        </w:rPr>
      </w:pPr>
      <w:r w:rsidRPr="0078535D">
        <w:rPr>
          <w:rFonts w:ascii="Abadi" w:hAnsi="Abadi" w:cs="Arial"/>
          <w:b/>
          <w:i/>
          <w:sz w:val="21"/>
          <w:szCs w:val="21"/>
          <w:u w:val="single"/>
          <w:lang w:val="es-MX" w:eastAsia="en-US"/>
        </w:rPr>
        <w:t>PRIMERO.</w:t>
      </w:r>
      <w:r w:rsidRPr="0078535D">
        <w:rPr>
          <w:rFonts w:ascii="Abadi" w:hAnsi="Abadi" w:cs="Arial"/>
          <w:i/>
          <w:sz w:val="21"/>
          <w:szCs w:val="21"/>
          <w:lang w:val="es-MX" w:eastAsia="en-US"/>
        </w:rPr>
        <w:t xml:space="preserve"> Se propone </w:t>
      </w:r>
      <w:r w:rsidRPr="0078535D">
        <w:rPr>
          <w:rFonts w:ascii="Abadi" w:hAnsi="Abadi" w:cs="Arial"/>
          <w:b/>
          <w:bCs/>
          <w:i/>
          <w:sz w:val="21"/>
          <w:szCs w:val="21"/>
          <w:lang w:val="es-MX" w:eastAsia="en-US"/>
        </w:rPr>
        <w:t>reformar la fracción X del artículo 8 de la Ley para la Protección de los Derechos Humanos en el Estado de Guanajuato,</w:t>
      </w:r>
      <w:r w:rsidRPr="0078535D">
        <w:rPr>
          <w:rFonts w:ascii="Abadi" w:hAnsi="Abadi" w:cs="Arial"/>
          <w:i/>
          <w:sz w:val="21"/>
          <w:szCs w:val="21"/>
          <w:lang w:val="es-MX" w:eastAsia="en-US"/>
        </w:rPr>
        <w:t xml:space="preserve"> con el objetivo de que la Procuraduría de los Derechos Humanos tenga la atribución de proponer a las autoridades estatales y municipales la creación de sus ordenamientos, que les permitan observar el procedimiento de cumplimiento y seguimiento de las recomendaciones emitidas a las dependencias y entidades de la administración pública.</w:t>
      </w:r>
    </w:p>
    <w:p w14:paraId="04CCCB2B" w14:textId="77777777" w:rsidR="0078535D" w:rsidRPr="0078535D" w:rsidRDefault="0078535D" w:rsidP="0078535D">
      <w:pPr>
        <w:widowControl w:val="0"/>
        <w:ind w:left="851" w:right="851"/>
        <w:jc w:val="both"/>
        <w:rPr>
          <w:rFonts w:ascii="Abadi" w:hAnsi="Abadi" w:cs="Arial"/>
          <w:i/>
          <w:sz w:val="21"/>
          <w:szCs w:val="21"/>
          <w:lang w:val="es-MX" w:eastAsia="en-US"/>
        </w:rPr>
      </w:pPr>
    </w:p>
    <w:p w14:paraId="3F9AE4EC" w14:textId="77777777" w:rsidR="0078535D" w:rsidRPr="0078535D" w:rsidRDefault="0078535D" w:rsidP="0078535D">
      <w:pPr>
        <w:widowControl w:val="0"/>
        <w:ind w:left="851" w:right="851"/>
        <w:jc w:val="both"/>
        <w:rPr>
          <w:rFonts w:ascii="Abadi" w:hAnsi="Abadi" w:cs="Arial"/>
          <w:b/>
          <w:bCs/>
          <w:i/>
          <w:sz w:val="21"/>
          <w:szCs w:val="21"/>
          <w:lang w:val="es-MX" w:eastAsia="en-US"/>
        </w:rPr>
      </w:pPr>
      <w:r w:rsidRPr="0078535D">
        <w:rPr>
          <w:rFonts w:ascii="Abadi" w:hAnsi="Abadi" w:cs="Arial"/>
          <w:i/>
          <w:sz w:val="21"/>
          <w:szCs w:val="21"/>
          <w:lang w:val="es-MX" w:eastAsia="en-US"/>
        </w:rPr>
        <w:t xml:space="preserve">¿Por qué este tipo de ordenamientos? Porque será una guía simple que les permita a las autoridades estatales y municipales observar un procedimiento predeterminado, con tiempos, con responsables para su cumplimiento. Además, </w:t>
      </w:r>
      <w:r w:rsidRPr="0078535D">
        <w:rPr>
          <w:rFonts w:ascii="Abadi" w:hAnsi="Abadi" w:cs="Arial"/>
          <w:b/>
          <w:bCs/>
          <w:i/>
          <w:sz w:val="21"/>
          <w:szCs w:val="21"/>
          <w:lang w:val="es-MX" w:eastAsia="en-US"/>
        </w:rPr>
        <w:t>podrán contar con criterios claros, uniformes y objetivos que le permitan a toda la administración pública, tanto estatal como municipal, coordinarse efectivamente, compartir información en tiempo real, resarcir el daño causado bajo bases que permitan una reparación integral como lo marca la Constitución Política de los Estados Unidos Mexicanos, los tratados internacionales y las leyes estatales, y llevar a cabo acciones conjuntas para disminuir el tiempo que se requiere para cumplir con las recomendaciones.</w:t>
      </w:r>
    </w:p>
    <w:p w14:paraId="344D0355" w14:textId="77777777" w:rsidR="0078535D" w:rsidRPr="0078535D" w:rsidRDefault="0078535D" w:rsidP="0078535D">
      <w:pPr>
        <w:widowControl w:val="0"/>
        <w:ind w:left="851" w:right="851"/>
        <w:jc w:val="both"/>
        <w:rPr>
          <w:rFonts w:ascii="Abadi" w:hAnsi="Abadi" w:cs="Arial"/>
          <w:i/>
          <w:sz w:val="21"/>
          <w:szCs w:val="21"/>
          <w:lang w:val="es-MX" w:eastAsia="en-US"/>
        </w:rPr>
      </w:pPr>
    </w:p>
    <w:p w14:paraId="0985A64E" w14:textId="77777777" w:rsidR="0078535D" w:rsidRPr="0078535D" w:rsidRDefault="0078535D" w:rsidP="0078535D">
      <w:pPr>
        <w:widowControl w:val="0"/>
        <w:ind w:left="851" w:right="851"/>
        <w:jc w:val="both"/>
        <w:rPr>
          <w:rFonts w:ascii="Abadi" w:hAnsi="Abadi" w:cs="Arial"/>
          <w:i/>
          <w:sz w:val="21"/>
          <w:szCs w:val="21"/>
          <w:lang w:val="es-MX" w:eastAsia="en-US"/>
        </w:rPr>
      </w:pPr>
    </w:p>
    <w:p w14:paraId="6749AA51" w14:textId="77777777" w:rsidR="0078535D" w:rsidRPr="0078535D" w:rsidRDefault="0078535D" w:rsidP="0078535D">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La creación de estos ordenamientos, pueden ser a través, de lineamientos, reglamentos, disposiciones, o cualquier otro instrumento normativo que permita observar el cumplimiento y seguimiento de las recomendaciones.</w:t>
      </w:r>
    </w:p>
    <w:p w14:paraId="1017D72C" w14:textId="77777777" w:rsidR="0078535D" w:rsidRPr="0078535D" w:rsidRDefault="0078535D" w:rsidP="0078535D">
      <w:pPr>
        <w:widowControl w:val="0"/>
        <w:ind w:left="851" w:right="851"/>
        <w:jc w:val="both"/>
        <w:rPr>
          <w:rFonts w:ascii="Abadi" w:hAnsi="Abadi" w:cs="Arial"/>
          <w:i/>
          <w:sz w:val="21"/>
          <w:szCs w:val="21"/>
          <w:lang w:val="es-MX" w:eastAsia="en-US"/>
        </w:rPr>
      </w:pPr>
    </w:p>
    <w:p w14:paraId="7DA65C1E" w14:textId="77777777" w:rsidR="0078535D" w:rsidRPr="0078535D" w:rsidRDefault="0078535D" w:rsidP="0078535D">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En este sentido, ¿qué elementos deben contemplar estos ordenamientos tanto del ámbito estatal como del ámbito municipal? Deben tomar en consideración los siguientes, los cuales no son limitativos:</w:t>
      </w:r>
    </w:p>
    <w:p w14:paraId="7228E062" w14:textId="77777777" w:rsidR="0078535D" w:rsidRPr="0078535D" w:rsidRDefault="0078535D" w:rsidP="0078535D">
      <w:pPr>
        <w:widowControl w:val="0"/>
        <w:ind w:left="851" w:right="851"/>
        <w:jc w:val="both"/>
        <w:rPr>
          <w:rFonts w:ascii="Abadi" w:hAnsi="Abadi" w:cs="Arial"/>
          <w:i/>
          <w:sz w:val="21"/>
          <w:szCs w:val="21"/>
          <w:lang w:val="es-MX" w:eastAsia="en-US"/>
        </w:rPr>
      </w:pPr>
    </w:p>
    <w:p w14:paraId="2535089D" w14:textId="77777777" w:rsidR="0078535D" w:rsidRPr="0078535D" w:rsidRDefault="0078535D" w:rsidP="0078535D">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 xml:space="preserve">a) Un apartado de </w:t>
      </w:r>
      <w:r w:rsidRPr="0078535D">
        <w:rPr>
          <w:rFonts w:ascii="Abadi" w:hAnsi="Abadi" w:cs="Arial"/>
          <w:b/>
          <w:bCs/>
          <w:i/>
          <w:sz w:val="21"/>
          <w:szCs w:val="21"/>
          <w:lang w:val="es-MX" w:eastAsia="en-US"/>
        </w:rPr>
        <w:t>disposiciones generales,</w:t>
      </w:r>
      <w:r w:rsidRPr="0078535D">
        <w:rPr>
          <w:rFonts w:ascii="Abadi" w:hAnsi="Abadi" w:cs="Arial"/>
          <w:i/>
          <w:sz w:val="21"/>
          <w:szCs w:val="21"/>
          <w:lang w:val="es-MX" w:eastAsia="en-US"/>
        </w:rPr>
        <w:t xml:space="preserve"> para establecer el objetivo y alcance del ordenamiento, un glosario, y la referencia a la aplicación de la normativa de la materia, así como en los estándares de reparación integral contenidos en las sentencias, opiniones y criterios derivados de la aplicación del Derecho Internacional de los Derechos Humanos;</w:t>
      </w:r>
    </w:p>
    <w:p w14:paraId="7E982FFF" w14:textId="77777777" w:rsidR="0078535D" w:rsidRPr="0078535D" w:rsidRDefault="0078535D" w:rsidP="0078535D">
      <w:pPr>
        <w:widowControl w:val="0"/>
        <w:ind w:left="851" w:right="851"/>
        <w:jc w:val="both"/>
        <w:rPr>
          <w:rFonts w:ascii="Abadi" w:hAnsi="Abadi" w:cs="Arial"/>
          <w:i/>
          <w:sz w:val="21"/>
          <w:szCs w:val="21"/>
          <w:lang w:val="es-MX" w:eastAsia="en-US"/>
        </w:rPr>
      </w:pPr>
    </w:p>
    <w:p w14:paraId="2F7635FC" w14:textId="77777777" w:rsidR="0078535D" w:rsidRPr="0078535D" w:rsidRDefault="0078535D" w:rsidP="0078535D">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 xml:space="preserve">b) Un apartado de la </w:t>
      </w:r>
      <w:r w:rsidRPr="0078535D">
        <w:rPr>
          <w:rFonts w:ascii="Abadi" w:hAnsi="Abadi" w:cs="Arial"/>
          <w:b/>
          <w:bCs/>
          <w:i/>
          <w:sz w:val="21"/>
          <w:szCs w:val="21"/>
          <w:lang w:val="es-MX" w:eastAsia="en-US"/>
        </w:rPr>
        <w:t>coordinación entre autoridades</w:t>
      </w:r>
      <w:r w:rsidRPr="0078535D">
        <w:rPr>
          <w:rFonts w:ascii="Abadi" w:hAnsi="Abadi" w:cs="Arial"/>
          <w:b/>
          <w:i/>
          <w:sz w:val="21"/>
          <w:szCs w:val="21"/>
          <w:lang w:val="es-MX" w:eastAsia="en-US"/>
        </w:rPr>
        <w:t>,</w:t>
      </w:r>
      <w:r w:rsidRPr="0078535D">
        <w:rPr>
          <w:rFonts w:ascii="Abadi" w:hAnsi="Abadi" w:cs="Arial"/>
          <w:i/>
          <w:sz w:val="21"/>
          <w:szCs w:val="21"/>
          <w:lang w:val="es-MX" w:eastAsia="en-US"/>
        </w:rPr>
        <w:t xml:space="preserve"> con la finalidad de facilitar el cumplimiento de las recomendaciones, tomando en consideración la opinión de las víctimas y sus representantes. Además, de prever los tiempos para realizar diferentes acciones de índole administrativa y estar en posibilidad de observar la recomendación;</w:t>
      </w:r>
    </w:p>
    <w:p w14:paraId="6501D132" w14:textId="77777777" w:rsidR="0078535D" w:rsidRPr="0078535D" w:rsidRDefault="0078535D" w:rsidP="0078535D">
      <w:pPr>
        <w:widowControl w:val="0"/>
        <w:ind w:left="851" w:right="851"/>
        <w:jc w:val="both"/>
        <w:rPr>
          <w:rFonts w:ascii="Abadi" w:hAnsi="Abadi" w:cs="Arial"/>
          <w:i/>
          <w:sz w:val="21"/>
          <w:szCs w:val="21"/>
          <w:lang w:val="es-MX" w:eastAsia="en-US"/>
        </w:rPr>
      </w:pPr>
    </w:p>
    <w:p w14:paraId="11C36467" w14:textId="77777777" w:rsidR="0078535D" w:rsidRPr="0078535D" w:rsidRDefault="0078535D" w:rsidP="0078535D">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 xml:space="preserve">c) Un apartado sobre el </w:t>
      </w:r>
      <w:r w:rsidRPr="0078535D">
        <w:rPr>
          <w:rFonts w:ascii="Abadi" w:hAnsi="Abadi" w:cs="Arial"/>
          <w:b/>
          <w:bCs/>
          <w:i/>
          <w:sz w:val="21"/>
          <w:szCs w:val="21"/>
          <w:lang w:val="es-MX" w:eastAsia="en-US"/>
        </w:rPr>
        <w:t>procedimiento en materia de información</w:t>
      </w:r>
      <w:r w:rsidRPr="0078535D">
        <w:rPr>
          <w:rFonts w:ascii="Abadi" w:hAnsi="Abadi" w:cs="Arial"/>
          <w:b/>
          <w:i/>
          <w:sz w:val="21"/>
          <w:szCs w:val="21"/>
          <w:lang w:val="es-MX" w:eastAsia="en-US"/>
        </w:rPr>
        <w:t>,</w:t>
      </w:r>
      <w:r w:rsidRPr="0078535D">
        <w:rPr>
          <w:rFonts w:ascii="Abadi" w:hAnsi="Abadi" w:cs="Arial"/>
          <w:i/>
          <w:sz w:val="21"/>
          <w:szCs w:val="21"/>
          <w:lang w:val="es-MX" w:eastAsia="en-US"/>
        </w:rPr>
        <w:t xml:space="preserve"> a través de herramientas tecnológicas que aporten información necesaria para mantener actualizada la base de datos. Permitiendo a las dependencias y entidades la obtención de reportes respecto de las recomendaciones que sean de su competencia a efecto de cumplir con las obligaciones contempladas en la Ley de Trasparencia y Acceso a la Información Pública para el Estado de Guanajuato, como es el caso de la transparencia focalizada en materia de derechos humanos;</w:t>
      </w:r>
    </w:p>
    <w:p w14:paraId="0FEF72DA" w14:textId="77777777" w:rsidR="0078535D" w:rsidRPr="0078535D" w:rsidRDefault="0078535D" w:rsidP="0078535D">
      <w:pPr>
        <w:widowControl w:val="0"/>
        <w:ind w:left="851" w:right="851"/>
        <w:jc w:val="both"/>
        <w:rPr>
          <w:rFonts w:ascii="Abadi" w:hAnsi="Abadi" w:cs="Arial"/>
          <w:i/>
          <w:sz w:val="21"/>
          <w:szCs w:val="21"/>
          <w:lang w:val="es-MX" w:eastAsia="en-US"/>
        </w:rPr>
      </w:pPr>
    </w:p>
    <w:p w14:paraId="7015C7D8" w14:textId="77777777" w:rsidR="0078535D" w:rsidRPr="0078535D" w:rsidRDefault="0078535D" w:rsidP="0078535D">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 xml:space="preserve">d) Un apartado de </w:t>
      </w:r>
      <w:r w:rsidRPr="0078535D">
        <w:rPr>
          <w:rFonts w:ascii="Abadi" w:hAnsi="Abadi" w:cs="Arial"/>
          <w:b/>
          <w:bCs/>
          <w:i/>
          <w:sz w:val="21"/>
          <w:szCs w:val="21"/>
          <w:lang w:val="es-MX" w:eastAsia="en-US"/>
        </w:rPr>
        <w:t>cooperación en materia de capacitación,</w:t>
      </w:r>
      <w:r w:rsidRPr="0078535D">
        <w:rPr>
          <w:rFonts w:ascii="Abadi" w:hAnsi="Abadi" w:cs="Arial"/>
          <w:i/>
          <w:sz w:val="21"/>
          <w:szCs w:val="21"/>
          <w:lang w:val="es-MX" w:eastAsia="en-US"/>
        </w:rPr>
        <w:t xml:space="preserve"> a través de las competencias de cada una de las dependencias y entidades para llevar a cabo la capacitación constante de los servidores públicos en materia de protección y respeto a los derechos humanos, conforme a los principios constitucionales en la materia. </w:t>
      </w:r>
    </w:p>
    <w:p w14:paraId="0EA0A195" w14:textId="77777777" w:rsidR="0078535D" w:rsidRPr="0078535D" w:rsidRDefault="0078535D" w:rsidP="0078535D">
      <w:pPr>
        <w:widowControl w:val="0"/>
        <w:ind w:left="851" w:right="851"/>
        <w:jc w:val="both"/>
        <w:rPr>
          <w:rFonts w:ascii="Abadi" w:hAnsi="Abadi" w:cs="Arial"/>
          <w:i/>
          <w:sz w:val="21"/>
          <w:szCs w:val="21"/>
          <w:lang w:val="es-MX" w:eastAsia="en-US"/>
        </w:rPr>
      </w:pPr>
    </w:p>
    <w:p w14:paraId="43638B33" w14:textId="77777777" w:rsidR="0078535D" w:rsidRPr="0078535D" w:rsidRDefault="0078535D" w:rsidP="0078535D">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La capacitación brindada en cumplimiento a una recomendación emitida por la Comisión Nacional de los Derechos Humanos o de la Procuraduría de los Derechos Humanos del Estado de Guanajuato, y aceptada por la autoridad responsable deberá incorporar un enfoque transversal de derechos humanos y género; y,</w:t>
      </w:r>
    </w:p>
    <w:p w14:paraId="5CDFF499" w14:textId="77777777" w:rsidR="0078535D" w:rsidRPr="0078535D" w:rsidRDefault="0078535D" w:rsidP="0078535D">
      <w:pPr>
        <w:widowControl w:val="0"/>
        <w:ind w:left="851" w:right="851"/>
        <w:jc w:val="both"/>
        <w:rPr>
          <w:rFonts w:ascii="Abadi" w:hAnsi="Abadi" w:cs="Arial"/>
          <w:i/>
          <w:sz w:val="21"/>
          <w:szCs w:val="21"/>
          <w:lang w:val="es-MX" w:eastAsia="en-US"/>
        </w:rPr>
      </w:pPr>
    </w:p>
    <w:p w14:paraId="16B77FF4" w14:textId="77777777" w:rsidR="0078535D" w:rsidRPr="0078535D" w:rsidRDefault="0078535D" w:rsidP="0078535D">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 xml:space="preserve">e) Un apartado de </w:t>
      </w:r>
      <w:r w:rsidRPr="0078535D">
        <w:rPr>
          <w:rFonts w:ascii="Abadi" w:hAnsi="Abadi" w:cs="Arial"/>
          <w:b/>
          <w:bCs/>
          <w:i/>
          <w:sz w:val="21"/>
          <w:szCs w:val="21"/>
          <w:lang w:val="es-MX" w:eastAsia="en-US"/>
        </w:rPr>
        <w:t>responsables de violación a los derechos humanos,</w:t>
      </w:r>
      <w:r w:rsidRPr="0078535D">
        <w:rPr>
          <w:rFonts w:ascii="Abadi" w:hAnsi="Abadi" w:cs="Arial"/>
          <w:i/>
          <w:sz w:val="21"/>
          <w:szCs w:val="21"/>
          <w:lang w:val="es-MX" w:eastAsia="en-US"/>
        </w:rPr>
        <w:t xml:space="preserve"> en donde las dependencias y entidades realizarán todas las acciones necesarias para investigar y sancionar, dentro del marco de sus respectivas competencias, a quien resulte responsable de las violaciones a derechos humanos que se haya determinado en una recomendación, así como para garantizar la eficiencia de los procedimientos iniciados como consecuencia de esta.</w:t>
      </w:r>
    </w:p>
    <w:p w14:paraId="18B47C79" w14:textId="77777777" w:rsidR="0078535D" w:rsidRPr="0078535D" w:rsidRDefault="0078535D" w:rsidP="0078535D">
      <w:pPr>
        <w:widowControl w:val="0"/>
        <w:ind w:left="851" w:right="851"/>
        <w:jc w:val="both"/>
        <w:rPr>
          <w:rFonts w:ascii="Abadi" w:hAnsi="Abadi" w:cs="Arial"/>
          <w:i/>
          <w:sz w:val="21"/>
          <w:szCs w:val="21"/>
          <w:lang w:val="es-MX" w:eastAsia="en-US"/>
        </w:rPr>
      </w:pPr>
    </w:p>
    <w:p w14:paraId="5F17F6B6" w14:textId="77777777" w:rsidR="0078535D" w:rsidRPr="0078535D" w:rsidRDefault="0078535D" w:rsidP="0078535D">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 xml:space="preserve">También, se propone </w:t>
      </w:r>
      <w:r w:rsidRPr="0078535D">
        <w:rPr>
          <w:rFonts w:ascii="Abadi" w:hAnsi="Abadi" w:cs="Arial"/>
          <w:b/>
          <w:bCs/>
          <w:i/>
          <w:sz w:val="21"/>
          <w:szCs w:val="21"/>
          <w:lang w:val="es-MX" w:eastAsia="en-US"/>
        </w:rPr>
        <w:t>adicionar un párrafo segundo al artículo 60 de la referida Ley</w:t>
      </w:r>
      <w:r w:rsidRPr="0078535D">
        <w:rPr>
          <w:rFonts w:ascii="Abadi" w:hAnsi="Abadi" w:cs="Arial"/>
          <w:i/>
          <w:sz w:val="21"/>
          <w:szCs w:val="21"/>
          <w:lang w:val="es-MX" w:eastAsia="en-US"/>
        </w:rPr>
        <w:t>, para redireccionar el cumplimiento de la recomendación en que la autoridad o servidor público deberá cumplir la recomendación apegado a los ordenamientos para el procedimiento de cumplimiento y seguimiento de las recomendaciones emitidas a las dependencias y entidades de la administración pública estatal o municipal, con el objeto de cumplir las disposiciones administrativas necesarias que procuren el cumplimiento de la recomendación.</w:t>
      </w:r>
    </w:p>
    <w:p w14:paraId="35608C45" w14:textId="77777777" w:rsidR="0078535D" w:rsidRPr="0078535D" w:rsidRDefault="0078535D" w:rsidP="0078535D">
      <w:pPr>
        <w:widowControl w:val="0"/>
        <w:ind w:left="851" w:right="851"/>
        <w:jc w:val="both"/>
        <w:rPr>
          <w:rFonts w:ascii="Abadi" w:hAnsi="Abadi" w:cs="Arial"/>
          <w:i/>
          <w:sz w:val="21"/>
          <w:szCs w:val="21"/>
          <w:lang w:val="es-MX" w:eastAsia="en-US"/>
        </w:rPr>
      </w:pPr>
    </w:p>
    <w:p w14:paraId="53F1F8F9" w14:textId="77777777" w:rsidR="0078535D" w:rsidRPr="0078535D" w:rsidRDefault="0078535D" w:rsidP="0078535D">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Logrando con ello, clarificar y precisar la implementación de medidas administrativas necesarias para que las dependencias y entidades de la administración pública procuren el cumplimiento de las recomendaciones y que han sido aceptadas por la autoridad responsable.</w:t>
      </w:r>
    </w:p>
    <w:p w14:paraId="04E9545C" w14:textId="77777777" w:rsidR="0078535D" w:rsidRPr="0078535D" w:rsidRDefault="0078535D" w:rsidP="0078535D">
      <w:pPr>
        <w:widowControl w:val="0"/>
        <w:ind w:left="851" w:right="851"/>
        <w:jc w:val="both"/>
        <w:rPr>
          <w:rFonts w:ascii="Abadi" w:hAnsi="Abadi" w:cs="Arial"/>
          <w:i/>
          <w:sz w:val="21"/>
          <w:szCs w:val="21"/>
          <w:lang w:val="es-MX" w:eastAsia="en-US"/>
        </w:rPr>
      </w:pPr>
    </w:p>
    <w:p w14:paraId="0655F01E" w14:textId="77777777" w:rsidR="0078535D" w:rsidRPr="0078535D" w:rsidRDefault="0078535D" w:rsidP="0078535D">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 xml:space="preserve">Asimismo, se propone </w:t>
      </w:r>
      <w:r w:rsidRPr="0078535D">
        <w:rPr>
          <w:rFonts w:ascii="Abadi" w:hAnsi="Abadi" w:cs="Arial"/>
          <w:b/>
          <w:bCs/>
          <w:i/>
          <w:sz w:val="21"/>
          <w:szCs w:val="21"/>
          <w:lang w:val="es-MX" w:eastAsia="en-US"/>
        </w:rPr>
        <w:t>adicionar la fracción IV-1 al artículo 64-A de la referida Ley</w:t>
      </w:r>
      <w:r w:rsidRPr="0078535D">
        <w:rPr>
          <w:rFonts w:ascii="Abadi" w:hAnsi="Abadi" w:cs="Arial"/>
          <w:i/>
          <w:sz w:val="21"/>
          <w:szCs w:val="21"/>
          <w:lang w:val="es-MX" w:eastAsia="en-US"/>
        </w:rPr>
        <w:t>, con la finalidad de integrar al informe que debe presentar anualmente el titular de la Procuraduría de los Derechos Humanos al Congreso del Estado de Guanajuato, el resultado de la implementación de ordenamientos creados por el Poder Ejecutivo y los ayuntamientos, para el procedimiento de cumplimiento y seguimiento de las recomendaciones emitidas a las dependencias y entidades de la administración pública estatal y municipal.</w:t>
      </w:r>
    </w:p>
    <w:p w14:paraId="29E96632" w14:textId="77777777" w:rsidR="0078535D" w:rsidRPr="0078535D" w:rsidRDefault="0078535D" w:rsidP="0078535D">
      <w:pPr>
        <w:widowControl w:val="0"/>
        <w:ind w:left="851" w:right="851"/>
        <w:jc w:val="both"/>
        <w:rPr>
          <w:rFonts w:ascii="Abadi" w:hAnsi="Abadi" w:cs="Arial"/>
          <w:i/>
          <w:sz w:val="21"/>
          <w:szCs w:val="21"/>
          <w:lang w:val="es-MX" w:eastAsia="en-US"/>
        </w:rPr>
      </w:pPr>
    </w:p>
    <w:p w14:paraId="7A0267F3" w14:textId="77777777" w:rsidR="0078535D" w:rsidRPr="0078535D" w:rsidRDefault="0078535D" w:rsidP="0078535D">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Esto resultará fundamental para la Procuraduría de los Derechos Humanos, al contar con nuevos indicadores estructurales, de proceso y de resultados,</w:t>
      </w:r>
      <w:r w:rsidRPr="0078535D">
        <w:rPr>
          <w:rFonts w:ascii="Abadi" w:hAnsi="Abadi" w:cs="Arial"/>
          <w:i/>
          <w:sz w:val="21"/>
          <w:szCs w:val="21"/>
          <w:vertAlign w:val="superscript"/>
          <w:lang w:val="es-MX" w:eastAsia="en-US"/>
        </w:rPr>
        <w:footnoteReference w:id="88"/>
      </w:r>
      <w:r w:rsidRPr="0078535D">
        <w:rPr>
          <w:rFonts w:ascii="Abadi" w:hAnsi="Abadi" w:cs="Arial"/>
          <w:i/>
          <w:sz w:val="21"/>
          <w:szCs w:val="21"/>
          <w:lang w:val="es-MX" w:eastAsia="en-US"/>
        </w:rPr>
        <w:t xml:space="preserve"> así como elementos que puedan medir el avance del cumplimiento y seguimiento de las recomendaciones emitidas, a través de los ordenamientos antes mencionados.</w:t>
      </w:r>
    </w:p>
    <w:p w14:paraId="495AC2AC" w14:textId="77777777" w:rsidR="0078535D" w:rsidRPr="0078535D" w:rsidRDefault="0078535D" w:rsidP="0078535D">
      <w:pPr>
        <w:widowControl w:val="0"/>
        <w:ind w:left="851" w:right="851"/>
        <w:jc w:val="both"/>
        <w:rPr>
          <w:rFonts w:ascii="Abadi" w:hAnsi="Abadi" w:cs="Arial"/>
          <w:i/>
          <w:sz w:val="21"/>
          <w:szCs w:val="21"/>
          <w:lang w:val="es-MX" w:eastAsia="en-US"/>
        </w:rPr>
      </w:pPr>
    </w:p>
    <w:p w14:paraId="39EB21D1" w14:textId="77777777" w:rsidR="0078535D" w:rsidRPr="0078535D" w:rsidRDefault="0078535D" w:rsidP="0078535D">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Aunado a lo anterior, se propone un artículo transitorio para que la Procuraduría de los Derechos Humanos del Estado de Guanajuato expida un proyecto de ordenamiento para el procedimiento de cumplimiento y seguimiento de las recomendaciones emitidas a las dependencias y entidades de la administración pública estatal o municipal, el cual deberá entregar como sugerencia al Gobernador del Estado y los ayuntamientos, en un término que no exceda de noventa días, contados a partir de la entrada en vigor del Decreto que nos ocupa.</w:t>
      </w:r>
    </w:p>
    <w:p w14:paraId="0C7D26E5" w14:textId="77777777" w:rsidR="0078535D" w:rsidRPr="0078535D" w:rsidRDefault="0078535D" w:rsidP="0078535D">
      <w:pPr>
        <w:widowControl w:val="0"/>
        <w:ind w:left="851" w:right="851"/>
        <w:jc w:val="both"/>
        <w:rPr>
          <w:rFonts w:ascii="Abadi" w:hAnsi="Abadi" w:cs="Arial"/>
          <w:i/>
          <w:sz w:val="21"/>
          <w:szCs w:val="21"/>
          <w:lang w:val="es-MX" w:eastAsia="en-US"/>
        </w:rPr>
      </w:pPr>
    </w:p>
    <w:p w14:paraId="3849DC1C" w14:textId="77777777" w:rsidR="0078535D" w:rsidRPr="0078535D" w:rsidRDefault="0078535D" w:rsidP="0078535D">
      <w:pPr>
        <w:widowControl w:val="0"/>
        <w:ind w:left="851" w:right="851"/>
        <w:jc w:val="both"/>
        <w:rPr>
          <w:rFonts w:ascii="Abadi" w:hAnsi="Abadi" w:cs="Arial"/>
          <w:i/>
          <w:sz w:val="21"/>
          <w:szCs w:val="21"/>
          <w:lang w:val="es-MX" w:eastAsia="en-US"/>
        </w:rPr>
      </w:pPr>
      <w:r w:rsidRPr="0078535D">
        <w:rPr>
          <w:rFonts w:ascii="Abadi" w:hAnsi="Abadi" w:cs="Arial"/>
          <w:b/>
          <w:i/>
          <w:sz w:val="21"/>
          <w:szCs w:val="21"/>
          <w:u w:val="single"/>
          <w:lang w:val="es-MX" w:eastAsia="en-US"/>
        </w:rPr>
        <w:t>SEGUNDO.</w:t>
      </w:r>
      <w:r w:rsidRPr="0078535D">
        <w:rPr>
          <w:rFonts w:ascii="Abadi" w:hAnsi="Abadi" w:cs="Arial"/>
          <w:i/>
          <w:sz w:val="21"/>
          <w:szCs w:val="21"/>
          <w:lang w:val="es-MX" w:eastAsia="en-US"/>
        </w:rPr>
        <w:t xml:space="preserve"> Se propone </w:t>
      </w:r>
      <w:r w:rsidRPr="0078535D">
        <w:rPr>
          <w:rFonts w:ascii="Abadi" w:hAnsi="Abadi" w:cs="Arial"/>
          <w:b/>
          <w:i/>
          <w:sz w:val="21"/>
          <w:szCs w:val="21"/>
          <w:lang w:val="es-MX" w:eastAsia="en-US"/>
        </w:rPr>
        <w:t>reformar el artículo 23, fracción I, inciso c) de la Ley Orgánica del Poder Ejecutivo para el Estado de Guanajuato,</w:t>
      </w:r>
      <w:r w:rsidRPr="0078535D">
        <w:rPr>
          <w:rFonts w:ascii="Abadi" w:hAnsi="Abadi" w:cs="Arial"/>
          <w:i/>
          <w:sz w:val="21"/>
          <w:szCs w:val="21"/>
          <w:lang w:val="es-MX" w:eastAsia="en-US"/>
        </w:rPr>
        <w:t xml:space="preserve"> con la finalidad de ampliar la atribución del titular de la Secretaría de Gobierno, para que no solamente vigile el cumplimiento de los preceptos constitucionales por parte de las entidades y dependencias del Poder Ejecutivo, en el respeto de los derechos humanos; sino que también de seguimiento a la atención de las recomendaciones que emitan los organismos competentes en dicha materia, así como dictar las medidas administrativas conducentes.</w:t>
      </w:r>
    </w:p>
    <w:p w14:paraId="048DEB80" w14:textId="77777777" w:rsidR="0078535D" w:rsidRPr="0078535D" w:rsidRDefault="0078535D" w:rsidP="0078535D">
      <w:pPr>
        <w:widowControl w:val="0"/>
        <w:ind w:left="851" w:right="851"/>
        <w:jc w:val="both"/>
        <w:rPr>
          <w:rFonts w:ascii="Abadi" w:hAnsi="Abadi" w:cs="Arial"/>
          <w:i/>
          <w:sz w:val="21"/>
          <w:szCs w:val="21"/>
          <w:lang w:val="es-MX" w:eastAsia="en-US"/>
        </w:rPr>
      </w:pPr>
    </w:p>
    <w:p w14:paraId="5390525C" w14:textId="77777777" w:rsidR="0078535D" w:rsidRPr="0078535D" w:rsidRDefault="0078535D" w:rsidP="0078535D">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 xml:space="preserve">Logrando con ello cumplir dos objetivos: </w:t>
      </w:r>
    </w:p>
    <w:p w14:paraId="62B46A7D" w14:textId="77777777" w:rsidR="0078535D" w:rsidRPr="0078535D" w:rsidRDefault="0078535D" w:rsidP="0078535D">
      <w:pPr>
        <w:widowControl w:val="0"/>
        <w:ind w:left="851" w:right="851"/>
        <w:jc w:val="both"/>
        <w:rPr>
          <w:rFonts w:ascii="Abadi" w:hAnsi="Abadi" w:cs="Arial"/>
          <w:i/>
          <w:sz w:val="21"/>
          <w:szCs w:val="21"/>
          <w:lang w:val="es-MX" w:eastAsia="en-US"/>
        </w:rPr>
      </w:pPr>
    </w:p>
    <w:p w14:paraId="3E6619CC" w14:textId="77777777" w:rsidR="0078535D" w:rsidRPr="0078535D" w:rsidRDefault="0078535D" w:rsidP="0078535D">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a) Complementar esta atribución que tiene el titular de la Secretaría de Gobierno, ya que en las actuales condiciones no le permite generar correctamente una verdadera vigilancia en la protección y garantía de los derechos humanos por parte de las dependencias y entidades del Poder Ejecutivo. Circunscribiéndose solamente a emitir un reporte mensual de los avances en materia de derechos humanos en el estado; y,</w:t>
      </w:r>
    </w:p>
    <w:p w14:paraId="6DF87F86" w14:textId="77777777" w:rsidR="0078535D" w:rsidRPr="0078535D" w:rsidRDefault="0078535D" w:rsidP="0078535D">
      <w:pPr>
        <w:widowControl w:val="0"/>
        <w:ind w:left="851" w:right="851"/>
        <w:jc w:val="both"/>
        <w:rPr>
          <w:rFonts w:ascii="Abadi" w:hAnsi="Abadi" w:cs="Arial"/>
          <w:i/>
          <w:sz w:val="21"/>
          <w:szCs w:val="21"/>
          <w:lang w:val="es-MX" w:eastAsia="en-US"/>
        </w:rPr>
      </w:pPr>
    </w:p>
    <w:p w14:paraId="71411E67" w14:textId="77777777" w:rsidR="0078535D" w:rsidRPr="0078535D" w:rsidRDefault="0078535D" w:rsidP="0078535D">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b) Lograr dar un seguimiento puntual de las recomendaciones que emitan los organismos en esta materia. Aprovechando al máximo la estructura de la Subsecretaría de Vinculación y Desarrollo Política de la Secretaría de Gobierno para la prevención, cumplimiento y capacitación de los servidores públicos del Poder Ejecutivo en la protección de los derechos humanos en el estado.</w:t>
      </w:r>
    </w:p>
    <w:p w14:paraId="6A3856D1" w14:textId="77777777" w:rsidR="0078535D" w:rsidRPr="0078535D" w:rsidRDefault="0078535D" w:rsidP="0078535D">
      <w:pPr>
        <w:widowControl w:val="0"/>
        <w:ind w:left="851" w:right="851"/>
        <w:jc w:val="both"/>
        <w:rPr>
          <w:rFonts w:ascii="Abadi" w:hAnsi="Abadi" w:cs="Arial"/>
          <w:i/>
          <w:sz w:val="21"/>
          <w:szCs w:val="21"/>
          <w:lang w:val="es-MX" w:eastAsia="en-US"/>
        </w:rPr>
      </w:pPr>
    </w:p>
    <w:p w14:paraId="0E678471" w14:textId="77777777" w:rsidR="0078535D" w:rsidRPr="0078535D" w:rsidRDefault="0078535D" w:rsidP="0078535D">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 xml:space="preserve">Asimismo, </w:t>
      </w:r>
      <w:r w:rsidRPr="0078535D">
        <w:rPr>
          <w:rFonts w:ascii="Abadi" w:hAnsi="Abadi" w:cs="Arial"/>
          <w:b/>
          <w:bCs/>
          <w:i/>
          <w:sz w:val="21"/>
          <w:szCs w:val="21"/>
          <w:lang w:val="es-MX" w:eastAsia="en-US"/>
        </w:rPr>
        <w:t>se adiciona el artículo 23, fracción I, inciso c), párrafo segundo, de la referida Ley,</w:t>
      </w:r>
      <w:r w:rsidRPr="0078535D">
        <w:rPr>
          <w:rFonts w:ascii="Abadi" w:hAnsi="Abadi" w:cs="Arial"/>
          <w:i/>
          <w:sz w:val="21"/>
          <w:szCs w:val="21"/>
          <w:lang w:val="es-MX" w:eastAsia="en-US"/>
        </w:rPr>
        <w:t xml:space="preserve"> para establecer de manera expresa que el cumplimiento y seguimiento a la atención de las recomendaciones se realizará de conformidad con los ordenamientos para el procedimiento de cumplimiento y seguimiento de las recomendaciones emitidas a las dependencias y entidades de la administración pública estatal.</w:t>
      </w:r>
    </w:p>
    <w:p w14:paraId="3450A7D6" w14:textId="77777777" w:rsidR="0078535D" w:rsidRPr="0078535D" w:rsidRDefault="0078535D" w:rsidP="0078535D">
      <w:pPr>
        <w:widowControl w:val="0"/>
        <w:ind w:left="851" w:right="851"/>
        <w:jc w:val="both"/>
        <w:rPr>
          <w:rFonts w:ascii="Abadi" w:hAnsi="Abadi" w:cs="Arial"/>
          <w:i/>
          <w:sz w:val="21"/>
          <w:szCs w:val="21"/>
          <w:lang w:val="es-MX" w:eastAsia="en-US"/>
        </w:rPr>
      </w:pPr>
    </w:p>
    <w:p w14:paraId="15438CD8" w14:textId="77777777" w:rsidR="0078535D" w:rsidRPr="0078535D" w:rsidRDefault="0078535D" w:rsidP="0078535D">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 xml:space="preserve">Para cumplir con el párrafo anterior, se contempla en el </w:t>
      </w:r>
      <w:r w:rsidRPr="0078535D">
        <w:rPr>
          <w:rFonts w:ascii="Abadi" w:hAnsi="Abadi" w:cs="Arial"/>
          <w:b/>
          <w:i/>
          <w:sz w:val="21"/>
          <w:szCs w:val="21"/>
          <w:lang w:val="es-MX" w:eastAsia="en-US"/>
        </w:rPr>
        <w:t>artículo transitorio</w:t>
      </w:r>
      <w:r w:rsidRPr="0078535D">
        <w:rPr>
          <w:rFonts w:ascii="Abadi" w:hAnsi="Abadi" w:cs="Arial"/>
          <w:i/>
          <w:sz w:val="21"/>
          <w:szCs w:val="21"/>
          <w:lang w:val="es-MX" w:eastAsia="en-US"/>
        </w:rPr>
        <w:t xml:space="preserve"> respectivo de la presente iniciativa, la obligación del Gobernador, para que en un tiempo determinado expida dichos ordenamientos en la materia, así como los ajustes reglamentarios necesarios.</w:t>
      </w:r>
    </w:p>
    <w:p w14:paraId="5B7EF49D" w14:textId="77777777" w:rsidR="0078535D" w:rsidRPr="0078535D" w:rsidRDefault="0078535D" w:rsidP="0078535D">
      <w:pPr>
        <w:widowControl w:val="0"/>
        <w:ind w:left="851" w:right="851"/>
        <w:jc w:val="both"/>
        <w:rPr>
          <w:rFonts w:ascii="Abadi" w:hAnsi="Abadi" w:cs="Arial"/>
          <w:i/>
          <w:sz w:val="21"/>
          <w:szCs w:val="21"/>
          <w:lang w:val="es-MX" w:eastAsia="en-US"/>
        </w:rPr>
      </w:pPr>
    </w:p>
    <w:p w14:paraId="307B0314" w14:textId="77777777" w:rsidR="0078535D" w:rsidRPr="0078535D" w:rsidRDefault="0078535D" w:rsidP="0078535D">
      <w:pPr>
        <w:widowControl w:val="0"/>
        <w:ind w:left="851" w:right="851"/>
        <w:jc w:val="both"/>
        <w:rPr>
          <w:rFonts w:ascii="Abadi" w:hAnsi="Abadi" w:cs="Arial"/>
          <w:i/>
          <w:sz w:val="21"/>
          <w:szCs w:val="21"/>
          <w:lang w:val="es-MX" w:eastAsia="en-US"/>
        </w:rPr>
      </w:pPr>
      <w:r w:rsidRPr="0078535D">
        <w:rPr>
          <w:rFonts w:ascii="Abadi" w:hAnsi="Abadi" w:cs="Arial"/>
          <w:b/>
          <w:i/>
          <w:sz w:val="21"/>
          <w:szCs w:val="21"/>
          <w:u w:val="single"/>
          <w:lang w:val="es-MX" w:eastAsia="en-US"/>
        </w:rPr>
        <w:t>TERCERO.</w:t>
      </w:r>
      <w:r w:rsidRPr="0078535D">
        <w:rPr>
          <w:rFonts w:ascii="Abadi" w:hAnsi="Abadi" w:cs="Arial"/>
          <w:i/>
          <w:sz w:val="21"/>
          <w:szCs w:val="21"/>
          <w:lang w:val="es-MX" w:eastAsia="en-US"/>
        </w:rPr>
        <w:t xml:space="preserve"> Por lo que se refiere al ámbito municipal, se propone </w:t>
      </w:r>
      <w:r w:rsidRPr="0078535D">
        <w:rPr>
          <w:rFonts w:ascii="Abadi" w:hAnsi="Abadi" w:cs="Arial"/>
          <w:b/>
          <w:bCs/>
          <w:i/>
          <w:sz w:val="21"/>
          <w:szCs w:val="21"/>
          <w:lang w:val="es-MX" w:eastAsia="en-US"/>
        </w:rPr>
        <w:t>reformar el artículo 3 en su segundo párrafo de la Ley Orgánica Municipal para el Estado de Guanajuato</w:t>
      </w:r>
      <w:r w:rsidRPr="0078535D">
        <w:rPr>
          <w:rFonts w:ascii="Abadi" w:hAnsi="Abadi" w:cs="Arial"/>
          <w:i/>
          <w:sz w:val="21"/>
          <w:szCs w:val="21"/>
          <w:lang w:val="es-MX" w:eastAsia="en-US"/>
        </w:rPr>
        <w:t>, con la finalidad de que toda autoridad municipal además de promover, respetar, proteger y garantizar los derechos humanos tenga la obligación de dar seguimiento a la atención de las recomendaciones emitidas por los organismos competentes en dicha materia.</w:t>
      </w:r>
    </w:p>
    <w:p w14:paraId="7A31DA26" w14:textId="77777777" w:rsidR="0078535D" w:rsidRPr="0078535D" w:rsidRDefault="0078535D" w:rsidP="0078535D">
      <w:pPr>
        <w:widowControl w:val="0"/>
        <w:ind w:left="851" w:right="851"/>
        <w:jc w:val="both"/>
        <w:rPr>
          <w:rFonts w:ascii="Abadi" w:hAnsi="Abadi" w:cs="Arial"/>
          <w:i/>
          <w:sz w:val="21"/>
          <w:szCs w:val="21"/>
          <w:lang w:val="es-MX" w:eastAsia="en-US"/>
        </w:rPr>
      </w:pPr>
    </w:p>
    <w:p w14:paraId="658AD35F" w14:textId="77777777" w:rsidR="0078535D" w:rsidRPr="0078535D" w:rsidRDefault="0078535D" w:rsidP="0078535D">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 xml:space="preserve">De igual forma, se proponer </w:t>
      </w:r>
      <w:r w:rsidRPr="0078535D">
        <w:rPr>
          <w:rFonts w:ascii="Abadi" w:hAnsi="Abadi" w:cs="Arial"/>
          <w:b/>
          <w:i/>
          <w:sz w:val="21"/>
          <w:szCs w:val="21"/>
          <w:lang w:val="es-MX" w:eastAsia="en-US"/>
        </w:rPr>
        <w:t>adicionar el artículo 76, fracción I, inciso v)</w:t>
      </w:r>
      <w:r w:rsidRPr="0078535D">
        <w:rPr>
          <w:rFonts w:ascii="Abadi" w:hAnsi="Abadi" w:cs="Arial"/>
          <w:i/>
          <w:sz w:val="21"/>
          <w:szCs w:val="21"/>
          <w:lang w:val="es-MX" w:eastAsia="en-US"/>
        </w:rPr>
        <w:t xml:space="preserve"> para incorporar en las atribuciones de los ayuntamientos, el aprobar el ordenamiento que establezca el procedimiento de cumplimiento y seguimiento de las recomendaciones emitidas por la Comisión Nacional de los Derechos Humanos o la Procuraduría de los Derechos Humanos del Estado de Guanajuato.</w:t>
      </w:r>
    </w:p>
    <w:p w14:paraId="19DBCF30" w14:textId="77777777" w:rsidR="0078535D" w:rsidRPr="0078535D" w:rsidRDefault="0078535D" w:rsidP="0078535D">
      <w:pPr>
        <w:widowControl w:val="0"/>
        <w:ind w:left="851" w:right="851"/>
        <w:jc w:val="both"/>
        <w:rPr>
          <w:rFonts w:ascii="Abadi" w:hAnsi="Abadi" w:cs="Arial"/>
          <w:i/>
          <w:sz w:val="21"/>
          <w:szCs w:val="21"/>
          <w:lang w:val="es-MX" w:eastAsia="en-US"/>
        </w:rPr>
      </w:pPr>
    </w:p>
    <w:p w14:paraId="20A81897" w14:textId="77777777" w:rsidR="0078535D" w:rsidRPr="0078535D" w:rsidRDefault="0078535D" w:rsidP="0078535D">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Generando con ello, un mayor compromiso por parte de los 46 ayuntamientos del estado para proteger y garantizar los derechos humanos, a través de dichos ordenamientos, que permiten tener un mayor control sobre el avance en el cumplimiento de las recomendaciones, así como las consideraciones preventivas.</w:t>
      </w:r>
    </w:p>
    <w:p w14:paraId="6BC41C83" w14:textId="77777777" w:rsidR="0078535D" w:rsidRPr="0078535D" w:rsidRDefault="0078535D" w:rsidP="0078535D">
      <w:pPr>
        <w:widowControl w:val="0"/>
        <w:ind w:left="851" w:right="851"/>
        <w:jc w:val="both"/>
        <w:rPr>
          <w:rFonts w:ascii="Abadi" w:hAnsi="Abadi" w:cs="Arial"/>
          <w:i/>
          <w:sz w:val="21"/>
          <w:szCs w:val="21"/>
          <w:lang w:val="es-MX" w:eastAsia="en-US"/>
        </w:rPr>
      </w:pPr>
    </w:p>
    <w:p w14:paraId="5D86CE9D" w14:textId="77777777" w:rsidR="0078535D" w:rsidRPr="0078535D" w:rsidRDefault="0078535D" w:rsidP="0078535D">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 xml:space="preserve">Aunado a lo anterior también se propone </w:t>
      </w:r>
      <w:r w:rsidRPr="0078535D">
        <w:rPr>
          <w:rFonts w:ascii="Abadi" w:hAnsi="Abadi" w:cs="Arial"/>
          <w:b/>
          <w:bCs/>
          <w:i/>
          <w:sz w:val="21"/>
          <w:szCs w:val="21"/>
          <w:lang w:val="es-MX" w:eastAsia="en-US"/>
        </w:rPr>
        <w:t>reformar la fracción VII del artículo 83-12 de la citada Ley</w:t>
      </w:r>
      <w:r w:rsidRPr="0078535D">
        <w:rPr>
          <w:rFonts w:ascii="Abadi" w:hAnsi="Abadi" w:cs="Arial"/>
          <w:i/>
          <w:sz w:val="21"/>
          <w:szCs w:val="21"/>
          <w:lang w:val="es-MX" w:eastAsia="en-US"/>
        </w:rPr>
        <w:t xml:space="preserve"> con el objetivo de que la Comisión de Derechos Humanos integrada por miembros del ayuntamiento, tenga la atribución de proponer al Ayuntamiento, el ordenamiento que establece el procedimiento de cumplimiento y seguimiento de las recomendaciones emitidas a las dependencias y entidades de la administración pública municipal.</w:t>
      </w:r>
    </w:p>
    <w:p w14:paraId="17B15526" w14:textId="77777777" w:rsidR="0078535D" w:rsidRPr="0078535D" w:rsidRDefault="0078535D" w:rsidP="0078535D">
      <w:pPr>
        <w:widowControl w:val="0"/>
        <w:ind w:left="851" w:right="851"/>
        <w:jc w:val="both"/>
        <w:rPr>
          <w:rFonts w:ascii="Abadi" w:hAnsi="Abadi" w:cs="Arial"/>
          <w:i/>
          <w:sz w:val="21"/>
          <w:szCs w:val="21"/>
          <w:lang w:val="es-MX" w:eastAsia="en-US"/>
        </w:rPr>
      </w:pPr>
    </w:p>
    <w:p w14:paraId="091C4CCE" w14:textId="77777777" w:rsidR="0078535D" w:rsidRPr="0078535D" w:rsidRDefault="0078535D" w:rsidP="0078535D">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 xml:space="preserve">También, se </w:t>
      </w:r>
      <w:r w:rsidRPr="0078535D">
        <w:rPr>
          <w:rFonts w:ascii="Abadi" w:hAnsi="Abadi" w:cs="Arial"/>
          <w:b/>
          <w:bCs/>
          <w:i/>
          <w:sz w:val="21"/>
          <w:szCs w:val="21"/>
          <w:lang w:val="es-MX" w:eastAsia="en-US"/>
        </w:rPr>
        <w:t>adiciona al artículo 139, la fracción XXIII-1 de la referida Ley,</w:t>
      </w:r>
      <w:r w:rsidRPr="0078535D">
        <w:rPr>
          <w:rFonts w:ascii="Abadi" w:hAnsi="Abadi" w:cs="Arial"/>
          <w:i/>
          <w:sz w:val="21"/>
          <w:szCs w:val="21"/>
          <w:lang w:val="es-MX" w:eastAsia="en-US"/>
        </w:rPr>
        <w:t xml:space="preserve"> para incorporar a las atribuciones del Contralor Municipal la vigilancia en el cumplimiento a la atención de las recomendaciones que emitan los organismos competentes en materia de derechos humanos, se realicen de conformidad con los ordenamientos previamente señalados.</w:t>
      </w:r>
    </w:p>
    <w:p w14:paraId="1DBB1E94" w14:textId="77777777" w:rsidR="0078535D" w:rsidRPr="0078535D" w:rsidRDefault="0078535D" w:rsidP="0078535D">
      <w:pPr>
        <w:widowControl w:val="0"/>
        <w:ind w:left="851" w:right="851"/>
        <w:jc w:val="both"/>
        <w:rPr>
          <w:rFonts w:ascii="Abadi" w:hAnsi="Abadi" w:cs="Arial"/>
          <w:i/>
          <w:sz w:val="21"/>
          <w:szCs w:val="21"/>
          <w:lang w:val="es-MX" w:eastAsia="en-US"/>
        </w:rPr>
      </w:pPr>
    </w:p>
    <w:p w14:paraId="2E90DFE5" w14:textId="77777777" w:rsidR="0078535D" w:rsidRPr="0078535D" w:rsidRDefault="0078535D" w:rsidP="0078535D">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 xml:space="preserve">Y de igual manera, para cumplir con el párrafo anterior, se contempla en el </w:t>
      </w:r>
      <w:r w:rsidRPr="0078535D">
        <w:rPr>
          <w:rFonts w:ascii="Abadi" w:hAnsi="Abadi" w:cs="Arial"/>
          <w:b/>
          <w:i/>
          <w:sz w:val="21"/>
          <w:szCs w:val="21"/>
          <w:lang w:val="es-MX" w:eastAsia="en-US"/>
        </w:rPr>
        <w:t>artículo transitorio</w:t>
      </w:r>
      <w:r w:rsidRPr="0078535D">
        <w:rPr>
          <w:rFonts w:ascii="Abadi" w:hAnsi="Abadi" w:cs="Arial"/>
          <w:i/>
          <w:sz w:val="21"/>
          <w:szCs w:val="21"/>
          <w:lang w:val="es-MX" w:eastAsia="en-US"/>
        </w:rPr>
        <w:t xml:space="preserve"> respectivo de la presente iniciativa, la obligación de los ayuntamientos, para que en un tiempo determinado expidan dichos ordenamientos en la materia, así como los ajustes reglamentarios necesarios.</w:t>
      </w:r>
    </w:p>
    <w:p w14:paraId="06EA1CA7" w14:textId="77777777" w:rsidR="0078535D" w:rsidRPr="0078535D" w:rsidRDefault="0078535D" w:rsidP="0078535D">
      <w:pPr>
        <w:widowControl w:val="0"/>
        <w:ind w:left="851" w:right="851"/>
        <w:jc w:val="both"/>
        <w:rPr>
          <w:rFonts w:ascii="Abadi" w:hAnsi="Abadi" w:cs="Arial"/>
          <w:i/>
          <w:sz w:val="21"/>
          <w:szCs w:val="21"/>
          <w:lang w:val="es-MX" w:eastAsia="en-US"/>
        </w:rPr>
      </w:pPr>
    </w:p>
    <w:p w14:paraId="5E59D895" w14:textId="77777777" w:rsidR="0078535D" w:rsidRPr="0078535D" w:rsidRDefault="0078535D" w:rsidP="0078535D">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En consecuencia, la presente propuesta permite reconocer la labor realizada por la Procuraduría de los Derechos Humanos en estas casi tres décadas de existencia en el estado, así como contar con criterios claros y objetivos en materia de seguimiento de las recomendaciones emitidas por los organismos en la materia de derechos humanos y aceptadas por las dependencias y entidades de la administración pública estatal y municipal.</w:t>
      </w:r>
    </w:p>
    <w:p w14:paraId="37D6A286" w14:textId="77777777" w:rsidR="0078535D" w:rsidRPr="0078535D" w:rsidRDefault="0078535D" w:rsidP="0078535D">
      <w:pPr>
        <w:widowControl w:val="0"/>
        <w:ind w:left="851" w:right="851"/>
        <w:jc w:val="both"/>
        <w:rPr>
          <w:rFonts w:ascii="Abadi" w:hAnsi="Abadi" w:cs="Arial"/>
          <w:i/>
          <w:sz w:val="21"/>
          <w:szCs w:val="21"/>
          <w:lang w:val="es-MX" w:eastAsia="en-US"/>
        </w:rPr>
      </w:pPr>
    </w:p>
    <w:p w14:paraId="4025B2B7" w14:textId="77777777" w:rsidR="0078535D" w:rsidRPr="0078535D" w:rsidRDefault="0078535D" w:rsidP="0078535D">
      <w:pPr>
        <w:widowControl w:val="0"/>
        <w:ind w:left="851" w:right="851"/>
        <w:jc w:val="both"/>
        <w:rPr>
          <w:rFonts w:ascii="Abadi" w:hAnsi="Abadi" w:cs="Arial"/>
          <w:i/>
          <w:sz w:val="21"/>
          <w:szCs w:val="21"/>
          <w:lang w:val="es-MX" w:eastAsia="en-US"/>
        </w:rPr>
      </w:pPr>
    </w:p>
    <w:p w14:paraId="0145EDA0" w14:textId="77777777" w:rsidR="0078535D" w:rsidRPr="0078535D" w:rsidRDefault="0078535D" w:rsidP="0078535D">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 xml:space="preserve">Con esta iniciativa, estaríamos contribuyendo al cumplimiento de la “Agenda 2030 para el Desarrollo Sostenible” de la Organización de las Naciones Unidas, buscando alcanzar el objetivo </w:t>
      </w:r>
      <w:r w:rsidRPr="0078535D">
        <w:rPr>
          <w:rFonts w:ascii="Abadi" w:hAnsi="Abadi" w:cs="Arial"/>
          <w:b/>
          <w:bCs/>
          <w:i/>
          <w:sz w:val="21"/>
          <w:szCs w:val="21"/>
          <w:lang w:val="es-MX" w:eastAsia="en-US"/>
        </w:rPr>
        <w:t>“Paz, Justicia e Instituciones Sólidas”</w:t>
      </w:r>
      <w:r w:rsidRPr="0078535D">
        <w:rPr>
          <w:rFonts w:ascii="Abadi" w:hAnsi="Abadi" w:cs="Arial"/>
          <w:i/>
          <w:sz w:val="21"/>
          <w:szCs w:val="21"/>
          <w:lang w:val="es-MX" w:eastAsia="en-US"/>
        </w:rPr>
        <w:t xml:space="preserve"> a través de su meta “Promover sociedades pacíficas e inclusivas para el desarrollo sostenible, facilitar el acceso a la justicia para todas las personas y construir a todos los niveles instituciones eficaces e inclusivas que rindan cuentas”</w:t>
      </w:r>
      <w:r w:rsidRPr="0078535D">
        <w:rPr>
          <w:rFonts w:ascii="Abadi" w:hAnsi="Abadi"/>
          <w:i/>
          <w:sz w:val="21"/>
          <w:szCs w:val="21"/>
          <w:vertAlign w:val="superscript"/>
          <w:lang w:val="es-MX" w:eastAsia="en-US"/>
        </w:rPr>
        <w:footnoteReference w:id="89"/>
      </w:r>
      <w:r w:rsidRPr="0078535D">
        <w:rPr>
          <w:rFonts w:ascii="Abadi" w:hAnsi="Abadi" w:cs="Arial"/>
          <w:i/>
          <w:sz w:val="21"/>
          <w:szCs w:val="21"/>
          <w:lang w:val="es-MX" w:eastAsia="en-US"/>
        </w:rPr>
        <w:t xml:space="preserve">. </w:t>
      </w:r>
    </w:p>
    <w:p w14:paraId="72B9D01D" w14:textId="77777777" w:rsidR="0078535D" w:rsidRPr="0078535D" w:rsidRDefault="0078535D" w:rsidP="0078535D">
      <w:pPr>
        <w:widowControl w:val="0"/>
        <w:ind w:left="851" w:right="851"/>
        <w:jc w:val="both"/>
        <w:rPr>
          <w:rFonts w:ascii="Abadi" w:hAnsi="Abadi" w:cs="Arial"/>
          <w:i/>
          <w:sz w:val="21"/>
          <w:szCs w:val="21"/>
          <w:lang w:val="es-MX" w:eastAsia="en-US"/>
        </w:rPr>
      </w:pPr>
    </w:p>
    <w:p w14:paraId="5D71E331" w14:textId="77777777" w:rsidR="0078535D" w:rsidRPr="0078535D" w:rsidRDefault="0078535D" w:rsidP="0078535D">
      <w:pPr>
        <w:widowControl w:val="0"/>
        <w:ind w:left="851" w:right="851"/>
        <w:jc w:val="both"/>
        <w:rPr>
          <w:rFonts w:ascii="Abadi" w:hAnsi="Abadi" w:cs="Arial"/>
          <w:i/>
          <w:sz w:val="21"/>
          <w:szCs w:val="21"/>
          <w:lang w:val="es-MX" w:eastAsia="en-US"/>
        </w:rPr>
      </w:pPr>
      <w:r w:rsidRPr="0078535D">
        <w:rPr>
          <w:rFonts w:ascii="Abadi" w:hAnsi="Abadi" w:cs="Arial"/>
          <w:i/>
          <w:sz w:val="21"/>
          <w:szCs w:val="21"/>
          <w:lang w:val="es-MX" w:eastAsia="en-US"/>
        </w:rPr>
        <w:t xml:space="preserve">Finalmente, a efecto de satisfacer lo establecido por el artículo 209 de la Ley Orgánica del Poder Legislativo, relativo a la evaluación del impacto jurídico, administrativo, presupuestario y social, se manifiesta que —como se ha expuesto hasta aquí en las consideraciones de la exposición de motivos—, por lo que hace al: </w:t>
      </w:r>
      <w:r w:rsidRPr="0078535D">
        <w:rPr>
          <w:rFonts w:ascii="Abadi" w:hAnsi="Abadi" w:cs="Arial"/>
          <w:b/>
          <w:bCs/>
          <w:i/>
          <w:sz w:val="21"/>
          <w:szCs w:val="21"/>
          <w:lang w:val="es-MX" w:eastAsia="en-US"/>
        </w:rPr>
        <w:t>a) impacto jurídico</w:t>
      </w:r>
      <w:r w:rsidRPr="0078535D">
        <w:rPr>
          <w:rFonts w:ascii="Abadi" w:hAnsi="Abadi" w:cs="Arial"/>
          <w:i/>
          <w:sz w:val="21"/>
          <w:szCs w:val="21"/>
          <w:lang w:val="es-MX" w:eastAsia="en-US"/>
        </w:rPr>
        <w:t xml:space="preserve">, este se traducirá en las reformas y adiciones de la Ley para la protección de los derechos humanos en el Estado de Guanajuato, de la Ley Orgánica del Poder Ejecutivo para el Estado de Guanajuato, y de la Ley Orgánica Municipal para el Estado de Guanajuato; </w:t>
      </w:r>
      <w:r w:rsidRPr="0078535D">
        <w:rPr>
          <w:rFonts w:ascii="Abadi" w:hAnsi="Abadi" w:cs="Arial"/>
          <w:b/>
          <w:bCs/>
          <w:i/>
          <w:sz w:val="21"/>
          <w:szCs w:val="21"/>
          <w:lang w:val="es-MX" w:eastAsia="en-US"/>
        </w:rPr>
        <w:t>b) impacto administrativo</w:t>
      </w:r>
      <w:r w:rsidRPr="0078535D">
        <w:rPr>
          <w:rFonts w:ascii="Abadi" w:hAnsi="Abadi" w:cs="Arial"/>
          <w:i/>
          <w:sz w:val="21"/>
          <w:szCs w:val="21"/>
          <w:lang w:val="es-MX" w:eastAsia="en-US"/>
        </w:rPr>
        <w:t xml:space="preserve">, no se crean áreas administrativas, ni en el Gobierno del Estado y ni en los ayuntamientos; </w:t>
      </w:r>
      <w:r w:rsidRPr="0078535D">
        <w:rPr>
          <w:rFonts w:ascii="Abadi" w:hAnsi="Abadi" w:cs="Arial"/>
          <w:b/>
          <w:bCs/>
          <w:i/>
          <w:sz w:val="21"/>
          <w:szCs w:val="21"/>
          <w:lang w:val="es-MX" w:eastAsia="en-US"/>
        </w:rPr>
        <w:t>c) impacto presupuestario</w:t>
      </w:r>
      <w:r w:rsidRPr="0078535D">
        <w:rPr>
          <w:rFonts w:ascii="Abadi" w:hAnsi="Abadi" w:cs="Arial"/>
          <w:i/>
          <w:sz w:val="21"/>
          <w:szCs w:val="21"/>
          <w:lang w:val="es-MX" w:eastAsia="en-US"/>
        </w:rPr>
        <w:t xml:space="preserve">, la presente propuesta no contempla ningún impacto presupuestal; y, </w:t>
      </w:r>
      <w:r w:rsidRPr="0078535D">
        <w:rPr>
          <w:rFonts w:ascii="Abadi" w:hAnsi="Abadi" w:cs="Arial"/>
          <w:b/>
          <w:bCs/>
          <w:i/>
          <w:sz w:val="21"/>
          <w:szCs w:val="21"/>
          <w:lang w:val="es-MX" w:eastAsia="en-US"/>
        </w:rPr>
        <w:t>d) social</w:t>
      </w:r>
      <w:r w:rsidRPr="0078535D">
        <w:rPr>
          <w:rFonts w:ascii="Abadi" w:hAnsi="Abadi" w:cs="Arial"/>
          <w:i/>
          <w:sz w:val="21"/>
          <w:szCs w:val="21"/>
          <w:lang w:val="es-MX" w:eastAsia="en-US"/>
        </w:rPr>
        <w:t>, se traducirá en un beneficio directo a la población guanajuatense al tener criterios uniformes en el cumplimiento y seguimiento de las recomendaciones por parte de las autoridades, así como un respeto integral de los derechos humanos en el estado.</w:t>
      </w:r>
    </w:p>
    <w:p w14:paraId="7525C183" w14:textId="77777777" w:rsidR="0078535D" w:rsidRPr="0078535D" w:rsidRDefault="0078535D" w:rsidP="0078535D">
      <w:pPr>
        <w:widowControl w:val="0"/>
        <w:spacing w:line="360" w:lineRule="auto"/>
        <w:jc w:val="both"/>
        <w:rPr>
          <w:rFonts w:ascii="Abadi" w:hAnsi="Abadi" w:cs="Arial"/>
          <w:sz w:val="21"/>
          <w:szCs w:val="21"/>
          <w:lang w:val="es-MX"/>
        </w:rPr>
      </w:pPr>
    </w:p>
    <w:p w14:paraId="447DC250" w14:textId="77777777" w:rsidR="0078535D" w:rsidRPr="0078535D" w:rsidRDefault="0078535D" w:rsidP="00E31ECD">
      <w:pPr>
        <w:widowControl w:val="0"/>
        <w:ind w:left="851"/>
        <w:jc w:val="both"/>
        <w:rPr>
          <w:rFonts w:ascii="Abadi" w:hAnsi="Abadi"/>
          <w:b/>
          <w:sz w:val="21"/>
          <w:szCs w:val="21"/>
          <w:lang w:val="es-MX"/>
        </w:rPr>
      </w:pPr>
      <w:r w:rsidRPr="0078535D">
        <w:rPr>
          <w:rFonts w:ascii="Abadi" w:hAnsi="Abadi" w:cs="Arial"/>
          <w:b/>
          <w:sz w:val="21"/>
          <w:szCs w:val="21"/>
          <w:lang w:val="es-MX"/>
        </w:rPr>
        <w:t>Metodología acordada para el estudio y dictamen de la iniciativa</w:t>
      </w:r>
      <w:r w:rsidRPr="0078535D">
        <w:rPr>
          <w:rFonts w:ascii="Abadi" w:hAnsi="Abadi"/>
          <w:b/>
          <w:sz w:val="21"/>
          <w:szCs w:val="21"/>
          <w:lang w:val="es-MX"/>
        </w:rPr>
        <w:t>.</w:t>
      </w:r>
    </w:p>
    <w:p w14:paraId="27945D7E" w14:textId="77777777" w:rsidR="0078535D" w:rsidRPr="0078535D" w:rsidRDefault="0078535D" w:rsidP="00E31ECD">
      <w:pPr>
        <w:widowControl w:val="0"/>
        <w:jc w:val="both"/>
        <w:rPr>
          <w:rFonts w:ascii="Abadi" w:hAnsi="Abadi"/>
          <w:sz w:val="21"/>
          <w:szCs w:val="21"/>
          <w:lang w:val="es-MX" w:eastAsia="en-US"/>
        </w:rPr>
      </w:pPr>
    </w:p>
    <w:p w14:paraId="01D369DE" w14:textId="77777777" w:rsidR="0078535D" w:rsidRPr="0078535D" w:rsidRDefault="0078535D" w:rsidP="00E31ECD">
      <w:pPr>
        <w:widowControl w:val="0"/>
        <w:ind w:firstLine="851"/>
        <w:jc w:val="both"/>
        <w:rPr>
          <w:rFonts w:ascii="Abadi" w:hAnsi="Abadi" w:cs="Arial"/>
          <w:sz w:val="21"/>
          <w:szCs w:val="21"/>
          <w:lang w:val="es-MX"/>
        </w:rPr>
      </w:pPr>
      <w:r w:rsidRPr="0078535D">
        <w:rPr>
          <w:rFonts w:ascii="Abadi" w:hAnsi="Abadi" w:cs="Arial"/>
          <w:sz w:val="21"/>
          <w:szCs w:val="21"/>
          <w:lang w:val="es-MX"/>
        </w:rPr>
        <w:t>El 22 de febrero de 2021 se acordó por unanimidad la siguiente metodología para el estudio y dictamen de la iniciativa:</w:t>
      </w:r>
    </w:p>
    <w:p w14:paraId="26911AE1" w14:textId="77777777" w:rsidR="0078535D" w:rsidRPr="0078535D" w:rsidRDefault="0078535D" w:rsidP="0078535D">
      <w:pPr>
        <w:widowControl w:val="0"/>
        <w:spacing w:line="360" w:lineRule="auto"/>
        <w:jc w:val="both"/>
        <w:rPr>
          <w:rFonts w:ascii="Abadi" w:hAnsi="Abadi"/>
          <w:sz w:val="21"/>
          <w:szCs w:val="21"/>
          <w:lang w:val="es-MX" w:eastAsia="en-US"/>
        </w:rPr>
      </w:pPr>
    </w:p>
    <w:p w14:paraId="27C0EA2E" w14:textId="77777777" w:rsidR="0078535D" w:rsidRPr="0078535D" w:rsidRDefault="0078535D" w:rsidP="0078535D">
      <w:pPr>
        <w:widowControl w:val="0"/>
        <w:ind w:left="1418" w:right="851" w:hanging="567"/>
        <w:jc w:val="both"/>
        <w:rPr>
          <w:rFonts w:ascii="Abadi" w:hAnsi="Abadi"/>
          <w:i/>
          <w:iCs/>
          <w:sz w:val="21"/>
          <w:szCs w:val="21"/>
          <w:lang w:val="es-MX" w:eastAsia="en-US"/>
        </w:rPr>
      </w:pPr>
      <w:r w:rsidRPr="0078535D">
        <w:rPr>
          <w:rFonts w:ascii="Abadi" w:hAnsi="Abadi"/>
          <w:b/>
          <w:i/>
          <w:iCs/>
          <w:sz w:val="21"/>
          <w:szCs w:val="21"/>
          <w:lang w:val="es-MX" w:eastAsia="en-US"/>
        </w:rPr>
        <w:t>a)</w:t>
      </w:r>
      <w:r w:rsidRPr="0078535D">
        <w:rPr>
          <w:rFonts w:ascii="Abadi" w:hAnsi="Abadi"/>
          <w:b/>
          <w:i/>
          <w:iCs/>
          <w:sz w:val="21"/>
          <w:szCs w:val="21"/>
          <w:lang w:val="es-MX" w:eastAsia="en-US"/>
        </w:rPr>
        <w:tab/>
      </w:r>
      <w:r w:rsidRPr="0078535D">
        <w:rPr>
          <w:rFonts w:ascii="Abadi" w:hAnsi="Abadi"/>
          <w:i/>
          <w:iCs/>
          <w:sz w:val="21"/>
          <w:szCs w:val="21"/>
          <w:lang w:val="es-MX" w:eastAsia="en-US"/>
        </w:rPr>
        <w:t>Remisión de la iniciativa a los ayuntamientos del Estado, en términos del último párrafo del artículo 56 de la Constitución Política para el Estado de Guanajuato. Señalando como plazo para la remisión de la opinión, 15 días hábiles.</w:t>
      </w:r>
    </w:p>
    <w:p w14:paraId="2EE4B949" w14:textId="77777777" w:rsidR="0078535D" w:rsidRPr="0078535D" w:rsidRDefault="0078535D" w:rsidP="0078535D">
      <w:pPr>
        <w:widowControl w:val="0"/>
        <w:ind w:left="851" w:right="851"/>
        <w:jc w:val="both"/>
        <w:rPr>
          <w:rFonts w:ascii="Abadi" w:hAnsi="Abadi"/>
          <w:i/>
          <w:iCs/>
          <w:sz w:val="21"/>
          <w:szCs w:val="21"/>
          <w:lang w:val="es-MX" w:eastAsia="en-US"/>
        </w:rPr>
      </w:pPr>
    </w:p>
    <w:p w14:paraId="17A4DF71" w14:textId="77777777" w:rsidR="0078535D" w:rsidRPr="0078535D" w:rsidRDefault="0078535D" w:rsidP="0078535D">
      <w:pPr>
        <w:widowControl w:val="0"/>
        <w:ind w:left="1418" w:right="851" w:hanging="567"/>
        <w:jc w:val="both"/>
        <w:rPr>
          <w:rFonts w:ascii="Abadi" w:hAnsi="Abadi"/>
          <w:i/>
          <w:iCs/>
          <w:sz w:val="21"/>
          <w:szCs w:val="21"/>
          <w:lang w:val="es-MX" w:eastAsia="en-US"/>
        </w:rPr>
      </w:pPr>
      <w:r w:rsidRPr="0078535D">
        <w:rPr>
          <w:rFonts w:ascii="Abadi" w:hAnsi="Abadi"/>
          <w:b/>
          <w:i/>
          <w:iCs/>
          <w:sz w:val="21"/>
          <w:szCs w:val="21"/>
          <w:lang w:val="es-MX" w:eastAsia="en-US"/>
        </w:rPr>
        <w:t>b)</w:t>
      </w:r>
      <w:r w:rsidRPr="0078535D">
        <w:rPr>
          <w:rFonts w:ascii="Abadi" w:hAnsi="Abadi"/>
          <w:b/>
          <w:i/>
          <w:iCs/>
          <w:sz w:val="21"/>
          <w:szCs w:val="21"/>
          <w:lang w:val="es-MX" w:eastAsia="en-US"/>
        </w:rPr>
        <w:tab/>
      </w:r>
      <w:r w:rsidRPr="0078535D">
        <w:rPr>
          <w:rFonts w:ascii="Abadi" w:hAnsi="Abadi"/>
          <w:i/>
          <w:iCs/>
          <w:sz w:val="21"/>
          <w:szCs w:val="21"/>
          <w:lang w:val="es-MX" w:eastAsia="en-US"/>
        </w:rPr>
        <w:t>Remisión de la iniciativa, para solicitar opinión a:</w:t>
      </w:r>
    </w:p>
    <w:p w14:paraId="2B1CB530" w14:textId="77777777" w:rsidR="0078535D" w:rsidRPr="0078535D" w:rsidRDefault="0078535D" w:rsidP="0078535D">
      <w:pPr>
        <w:widowControl w:val="0"/>
        <w:numPr>
          <w:ilvl w:val="0"/>
          <w:numId w:val="36"/>
        </w:numPr>
        <w:ind w:left="1702" w:right="851" w:hanging="284"/>
        <w:jc w:val="both"/>
        <w:rPr>
          <w:rFonts w:ascii="Abadi" w:eastAsiaTheme="minorHAnsi" w:hAnsi="Abadi" w:cstheme="minorBidi"/>
          <w:i/>
          <w:iCs/>
          <w:sz w:val="21"/>
          <w:szCs w:val="21"/>
          <w:lang w:val="es-MX" w:eastAsia="en-US"/>
        </w:rPr>
      </w:pPr>
      <w:r w:rsidRPr="0078535D">
        <w:rPr>
          <w:rFonts w:ascii="Abadi" w:eastAsiaTheme="minorHAnsi" w:hAnsi="Abadi" w:cstheme="minorBidi"/>
          <w:i/>
          <w:iCs/>
          <w:sz w:val="21"/>
          <w:szCs w:val="21"/>
          <w:lang w:val="es-MX" w:eastAsia="en-US"/>
        </w:rPr>
        <w:t>Las diputadas y los diputados de la LXIV Legislatura.</w:t>
      </w:r>
    </w:p>
    <w:p w14:paraId="075FC2B1" w14:textId="77777777" w:rsidR="0078535D" w:rsidRPr="0078535D" w:rsidRDefault="0078535D" w:rsidP="0078535D">
      <w:pPr>
        <w:widowControl w:val="0"/>
        <w:numPr>
          <w:ilvl w:val="0"/>
          <w:numId w:val="36"/>
        </w:numPr>
        <w:ind w:left="1702" w:right="851" w:hanging="284"/>
        <w:jc w:val="both"/>
        <w:rPr>
          <w:rFonts w:ascii="Abadi" w:eastAsiaTheme="minorHAnsi" w:hAnsi="Abadi" w:cstheme="minorBidi"/>
          <w:i/>
          <w:iCs/>
          <w:sz w:val="21"/>
          <w:szCs w:val="21"/>
          <w:lang w:val="es-MX" w:eastAsia="en-US"/>
        </w:rPr>
      </w:pPr>
      <w:r w:rsidRPr="0078535D">
        <w:rPr>
          <w:rFonts w:ascii="Abadi" w:eastAsiaTheme="minorHAnsi" w:hAnsi="Abadi" w:cstheme="minorBidi"/>
          <w:i/>
          <w:iCs/>
          <w:sz w:val="21"/>
          <w:szCs w:val="21"/>
          <w:lang w:val="es-MX" w:eastAsia="en-US"/>
        </w:rPr>
        <w:t>Procuraduría de los Derechos Humanos del Estado de Guanajuato.</w:t>
      </w:r>
    </w:p>
    <w:p w14:paraId="7FBCA204" w14:textId="77777777" w:rsidR="0078535D" w:rsidRPr="0078535D" w:rsidRDefault="0078535D" w:rsidP="0078535D">
      <w:pPr>
        <w:widowControl w:val="0"/>
        <w:numPr>
          <w:ilvl w:val="0"/>
          <w:numId w:val="36"/>
        </w:numPr>
        <w:ind w:left="1702" w:right="851" w:hanging="284"/>
        <w:jc w:val="both"/>
        <w:rPr>
          <w:rFonts w:ascii="Abadi" w:eastAsiaTheme="minorHAnsi" w:hAnsi="Abadi" w:cstheme="minorBidi"/>
          <w:i/>
          <w:iCs/>
          <w:sz w:val="21"/>
          <w:szCs w:val="21"/>
          <w:lang w:val="es-MX" w:eastAsia="en-US"/>
        </w:rPr>
      </w:pPr>
      <w:r w:rsidRPr="0078535D">
        <w:rPr>
          <w:rFonts w:ascii="Abadi" w:eastAsiaTheme="minorHAnsi" w:hAnsi="Abadi" w:cstheme="minorBidi"/>
          <w:i/>
          <w:iCs/>
          <w:sz w:val="21"/>
          <w:szCs w:val="21"/>
          <w:lang w:val="es-MX" w:eastAsia="en-US"/>
        </w:rPr>
        <w:t>Secretaría de Gobierno.</w:t>
      </w:r>
    </w:p>
    <w:p w14:paraId="02A0699E" w14:textId="77777777" w:rsidR="0078535D" w:rsidRPr="0078535D" w:rsidRDefault="0078535D" w:rsidP="0078535D">
      <w:pPr>
        <w:widowControl w:val="0"/>
        <w:numPr>
          <w:ilvl w:val="0"/>
          <w:numId w:val="36"/>
        </w:numPr>
        <w:ind w:left="1702" w:right="851" w:hanging="284"/>
        <w:jc w:val="both"/>
        <w:rPr>
          <w:rFonts w:ascii="Abadi" w:eastAsiaTheme="minorHAnsi" w:hAnsi="Abadi" w:cstheme="minorBidi"/>
          <w:i/>
          <w:iCs/>
          <w:sz w:val="21"/>
          <w:szCs w:val="21"/>
          <w:lang w:val="es-MX" w:eastAsia="en-US"/>
        </w:rPr>
      </w:pPr>
      <w:r w:rsidRPr="0078535D">
        <w:rPr>
          <w:rFonts w:ascii="Abadi" w:eastAsiaTheme="minorHAnsi" w:hAnsi="Abadi" w:cstheme="minorBidi"/>
          <w:i/>
          <w:iCs/>
          <w:sz w:val="21"/>
          <w:szCs w:val="21"/>
          <w:lang w:val="es-MX" w:eastAsia="en-US"/>
        </w:rPr>
        <w:t>Coordinación General Jurídica.</w:t>
      </w:r>
    </w:p>
    <w:p w14:paraId="5F00971B" w14:textId="77777777" w:rsidR="0078535D" w:rsidRPr="0078535D" w:rsidRDefault="0078535D" w:rsidP="0078535D">
      <w:pPr>
        <w:widowControl w:val="0"/>
        <w:numPr>
          <w:ilvl w:val="0"/>
          <w:numId w:val="36"/>
        </w:numPr>
        <w:ind w:left="1702" w:right="851" w:hanging="284"/>
        <w:jc w:val="both"/>
        <w:rPr>
          <w:rFonts w:ascii="Abadi" w:eastAsiaTheme="minorHAnsi" w:hAnsi="Abadi" w:cstheme="minorBidi"/>
          <w:i/>
          <w:iCs/>
          <w:sz w:val="21"/>
          <w:szCs w:val="21"/>
          <w:lang w:val="es-MX" w:eastAsia="en-US"/>
        </w:rPr>
      </w:pPr>
      <w:r w:rsidRPr="0078535D">
        <w:rPr>
          <w:rFonts w:ascii="Abadi" w:eastAsiaTheme="minorHAnsi" w:hAnsi="Abadi" w:cstheme="minorBidi"/>
          <w:i/>
          <w:iCs/>
          <w:sz w:val="21"/>
          <w:szCs w:val="21"/>
          <w:lang w:val="es-MX" w:eastAsia="en-US"/>
        </w:rPr>
        <w:t>Contralorías municipales.</w:t>
      </w:r>
    </w:p>
    <w:p w14:paraId="34B1D64E" w14:textId="77777777" w:rsidR="0078535D" w:rsidRPr="0078535D" w:rsidRDefault="0078535D" w:rsidP="0078535D">
      <w:pPr>
        <w:widowControl w:val="0"/>
        <w:ind w:left="851" w:right="851"/>
        <w:jc w:val="both"/>
        <w:rPr>
          <w:rFonts w:ascii="Abadi" w:hAnsi="Abadi"/>
          <w:i/>
          <w:iCs/>
          <w:sz w:val="21"/>
          <w:szCs w:val="21"/>
          <w:lang w:val="es-MX" w:eastAsia="en-US"/>
        </w:rPr>
      </w:pPr>
    </w:p>
    <w:p w14:paraId="2577439B" w14:textId="77777777" w:rsidR="0078535D" w:rsidRPr="0078535D" w:rsidRDefault="0078535D" w:rsidP="0078535D">
      <w:pPr>
        <w:widowControl w:val="0"/>
        <w:ind w:left="1418" w:right="851"/>
        <w:contextualSpacing/>
        <w:jc w:val="both"/>
        <w:rPr>
          <w:rFonts w:ascii="Abadi" w:eastAsiaTheme="minorHAnsi" w:hAnsi="Abadi" w:cstheme="minorBidi"/>
          <w:i/>
          <w:iCs/>
          <w:sz w:val="21"/>
          <w:szCs w:val="21"/>
          <w:lang w:val="es-MX" w:eastAsia="en-US"/>
        </w:rPr>
      </w:pPr>
      <w:r w:rsidRPr="0078535D">
        <w:rPr>
          <w:rFonts w:ascii="Abadi" w:eastAsiaTheme="minorHAnsi" w:hAnsi="Abadi" w:cstheme="minorBidi"/>
          <w:i/>
          <w:iCs/>
          <w:sz w:val="21"/>
          <w:szCs w:val="21"/>
          <w:lang w:val="es-MX" w:eastAsia="en-US"/>
        </w:rPr>
        <w:t>Señalando como plazo para la remisión de la opinión, 15 días hábiles.</w:t>
      </w:r>
    </w:p>
    <w:p w14:paraId="6B695FE8" w14:textId="77777777" w:rsidR="0078535D" w:rsidRPr="0078535D" w:rsidRDefault="0078535D" w:rsidP="0078535D">
      <w:pPr>
        <w:widowControl w:val="0"/>
        <w:ind w:left="851" w:right="851"/>
        <w:jc w:val="both"/>
        <w:rPr>
          <w:rFonts w:ascii="Abadi" w:hAnsi="Abadi"/>
          <w:i/>
          <w:iCs/>
          <w:sz w:val="21"/>
          <w:szCs w:val="21"/>
          <w:lang w:val="es-MX" w:eastAsia="en-US"/>
        </w:rPr>
      </w:pPr>
    </w:p>
    <w:p w14:paraId="449135E0" w14:textId="77777777" w:rsidR="0078535D" w:rsidRPr="0078535D" w:rsidRDefault="0078535D" w:rsidP="0078535D">
      <w:pPr>
        <w:widowControl w:val="0"/>
        <w:ind w:left="1418" w:right="851" w:hanging="567"/>
        <w:jc w:val="both"/>
        <w:rPr>
          <w:rFonts w:ascii="Abadi" w:hAnsi="Abadi"/>
          <w:i/>
          <w:iCs/>
          <w:sz w:val="21"/>
          <w:szCs w:val="21"/>
          <w:lang w:val="es-MX" w:eastAsia="en-US"/>
        </w:rPr>
      </w:pPr>
      <w:r w:rsidRPr="0078535D">
        <w:rPr>
          <w:rFonts w:ascii="Abadi" w:hAnsi="Abadi"/>
          <w:b/>
          <w:i/>
          <w:iCs/>
          <w:sz w:val="21"/>
          <w:szCs w:val="21"/>
          <w:lang w:val="es-MX" w:eastAsia="en-US"/>
        </w:rPr>
        <w:t>c)</w:t>
      </w:r>
      <w:r w:rsidRPr="0078535D">
        <w:rPr>
          <w:rFonts w:ascii="Abadi" w:hAnsi="Abadi"/>
          <w:b/>
          <w:i/>
          <w:iCs/>
          <w:sz w:val="21"/>
          <w:szCs w:val="21"/>
          <w:lang w:val="es-MX" w:eastAsia="en-US"/>
        </w:rPr>
        <w:tab/>
      </w:r>
      <w:r w:rsidRPr="0078535D">
        <w:rPr>
          <w:rFonts w:ascii="Abadi" w:hAnsi="Abadi"/>
          <w:i/>
          <w:iCs/>
          <w:sz w:val="21"/>
          <w:szCs w:val="21"/>
          <w:lang w:val="es-MX" w:eastAsia="en-US"/>
        </w:rPr>
        <w:t>Subir la iniciativa al portal del Congreso del Estado para consulta y participación ciudadana. La cual estará disponible por 15 días hábiles.</w:t>
      </w:r>
    </w:p>
    <w:p w14:paraId="11CCB01D" w14:textId="77777777" w:rsidR="0078535D" w:rsidRPr="0078535D" w:rsidRDefault="0078535D" w:rsidP="0078535D">
      <w:pPr>
        <w:widowControl w:val="0"/>
        <w:ind w:left="851" w:right="851"/>
        <w:jc w:val="both"/>
        <w:rPr>
          <w:rFonts w:ascii="Abadi" w:hAnsi="Abadi"/>
          <w:i/>
          <w:iCs/>
          <w:sz w:val="21"/>
          <w:szCs w:val="21"/>
          <w:lang w:val="es-MX" w:eastAsia="en-US"/>
        </w:rPr>
      </w:pPr>
    </w:p>
    <w:p w14:paraId="748D04ED" w14:textId="77777777" w:rsidR="0078535D" w:rsidRPr="0078535D" w:rsidRDefault="0078535D" w:rsidP="0078535D">
      <w:pPr>
        <w:widowControl w:val="0"/>
        <w:ind w:left="1418" w:right="851" w:hanging="567"/>
        <w:jc w:val="both"/>
        <w:rPr>
          <w:rFonts w:ascii="Abadi" w:hAnsi="Abadi"/>
          <w:i/>
          <w:iCs/>
          <w:sz w:val="21"/>
          <w:szCs w:val="21"/>
          <w:lang w:val="es-MX" w:eastAsia="en-US"/>
        </w:rPr>
      </w:pPr>
      <w:r w:rsidRPr="0078535D">
        <w:rPr>
          <w:rFonts w:ascii="Abadi" w:hAnsi="Abadi"/>
          <w:b/>
          <w:bCs/>
          <w:i/>
          <w:iCs/>
          <w:sz w:val="21"/>
          <w:szCs w:val="21"/>
          <w:lang w:val="es-MX" w:eastAsia="en-US"/>
        </w:rPr>
        <w:t>d)</w:t>
      </w:r>
      <w:r w:rsidRPr="0078535D">
        <w:rPr>
          <w:rFonts w:ascii="Abadi" w:hAnsi="Abadi"/>
          <w:b/>
          <w:bCs/>
          <w:i/>
          <w:iCs/>
          <w:sz w:val="21"/>
          <w:szCs w:val="21"/>
          <w:lang w:val="es-MX" w:eastAsia="en-US"/>
        </w:rPr>
        <w:tab/>
      </w:r>
      <w:r w:rsidRPr="0078535D">
        <w:rPr>
          <w:rFonts w:ascii="Abadi" w:hAnsi="Abadi"/>
          <w:i/>
          <w:iCs/>
          <w:sz w:val="21"/>
          <w:szCs w:val="21"/>
          <w:lang w:val="es-MX" w:eastAsia="en-US"/>
        </w:rPr>
        <w:t>Solicitar al Instituto de Investigaciones Legislativas su opinión de la iniciativa. Señalando como plazo para la remisión de la opinión, 15 días hábiles.</w:t>
      </w:r>
    </w:p>
    <w:p w14:paraId="6102E15F" w14:textId="77777777" w:rsidR="0078535D" w:rsidRPr="0078535D" w:rsidRDefault="0078535D" w:rsidP="0078535D">
      <w:pPr>
        <w:widowControl w:val="0"/>
        <w:ind w:left="851" w:right="851"/>
        <w:rPr>
          <w:rFonts w:ascii="Abadi" w:hAnsi="Abadi"/>
          <w:i/>
          <w:iCs/>
          <w:sz w:val="21"/>
          <w:szCs w:val="21"/>
          <w:lang w:val="es-MX" w:eastAsia="en-US"/>
        </w:rPr>
      </w:pPr>
    </w:p>
    <w:p w14:paraId="468CDB4B" w14:textId="77777777" w:rsidR="0078535D" w:rsidRPr="0078535D" w:rsidRDefault="0078535D" w:rsidP="0078535D">
      <w:pPr>
        <w:widowControl w:val="0"/>
        <w:ind w:left="1418" w:right="851" w:hanging="567"/>
        <w:jc w:val="both"/>
        <w:rPr>
          <w:rFonts w:ascii="Abadi" w:hAnsi="Abadi"/>
          <w:i/>
          <w:iCs/>
          <w:sz w:val="21"/>
          <w:szCs w:val="21"/>
          <w:lang w:val="es-MX" w:eastAsia="en-US"/>
        </w:rPr>
      </w:pPr>
      <w:r w:rsidRPr="0078535D">
        <w:rPr>
          <w:rFonts w:ascii="Abadi" w:hAnsi="Abadi"/>
          <w:b/>
          <w:bCs/>
          <w:i/>
          <w:iCs/>
          <w:sz w:val="21"/>
          <w:szCs w:val="21"/>
          <w:lang w:val="es-MX" w:eastAsia="en-US"/>
        </w:rPr>
        <w:t>e)</w:t>
      </w:r>
      <w:r w:rsidRPr="0078535D">
        <w:rPr>
          <w:rFonts w:ascii="Abadi" w:hAnsi="Abadi"/>
          <w:i/>
          <w:iCs/>
          <w:sz w:val="21"/>
          <w:szCs w:val="21"/>
          <w:lang w:val="es-MX" w:eastAsia="en-US"/>
        </w:rPr>
        <w:tab/>
      </w:r>
      <w:bookmarkStart w:id="11" w:name="_Hlk41984543"/>
      <w:r w:rsidRPr="0078535D">
        <w:rPr>
          <w:rFonts w:ascii="Abadi" w:hAnsi="Abadi"/>
          <w:i/>
          <w:iCs/>
          <w:sz w:val="21"/>
          <w:szCs w:val="21"/>
          <w:lang w:val="es-MX" w:eastAsia="en-US"/>
        </w:rPr>
        <w:t>Elaboración de un documento que concentre las observaciones que se hayan formulado a la iniciativa. Tarea que estará a cargo de la secretaría técnica.</w:t>
      </w:r>
    </w:p>
    <w:bookmarkEnd w:id="11"/>
    <w:p w14:paraId="24C5A7A9" w14:textId="77777777" w:rsidR="0078535D" w:rsidRPr="0078535D" w:rsidRDefault="0078535D" w:rsidP="0078535D">
      <w:pPr>
        <w:widowControl w:val="0"/>
        <w:ind w:left="851" w:right="851"/>
        <w:rPr>
          <w:rFonts w:ascii="Abadi" w:hAnsi="Abadi"/>
          <w:i/>
          <w:iCs/>
          <w:sz w:val="21"/>
          <w:szCs w:val="21"/>
          <w:lang w:val="es-MX" w:eastAsia="en-US"/>
        </w:rPr>
      </w:pPr>
    </w:p>
    <w:p w14:paraId="4DBDC8F3" w14:textId="77777777" w:rsidR="0078535D" w:rsidRPr="0078535D" w:rsidRDefault="0078535D" w:rsidP="0078535D">
      <w:pPr>
        <w:widowControl w:val="0"/>
        <w:ind w:left="1418" w:right="851" w:hanging="567"/>
        <w:jc w:val="both"/>
        <w:rPr>
          <w:rFonts w:ascii="Abadi" w:hAnsi="Abadi"/>
          <w:i/>
          <w:iCs/>
          <w:sz w:val="21"/>
          <w:szCs w:val="21"/>
          <w:lang w:val="es-MX" w:eastAsia="en-US"/>
        </w:rPr>
      </w:pPr>
      <w:r w:rsidRPr="0078535D">
        <w:rPr>
          <w:rFonts w:ascii="Abadi" w:hAnsi="Abadi"/>
          <w:b/>
          <w:i/>
          <w:iCs/>
          <w:sz w:val="21"/>
          <w:szCs w:val="21"/>
          <w:lang w:val="es-MX" w:eastAsia="en-US"/>
        </w:rPr>
        <w:t>f)</w:t>
      </w:r>
      <w:r w:rsidRPr="0078535D">
        <w:rPr>
          <w:rFonts w:ascii="Abadi" w:hAnsi="Abadi"/>
          <w:i/>
          <w:iCs/>
          <w:sz w:val="21"/>
          <w:szCs w:val="21"/>
          <w:lang w:val="es-MX" w:eastAsia="en-US"/>
        </w:rPr>
        <w:tab/>
        <w:t>Integrar un grupo de trabajo con:</w:t>
      </w:r>
    </w:p>
    <w:p w14:paraId="04D2E1DB" w14:textId="77777777" w:rsidR="0078535D" w:rsidRPr="0078535D" w:rsidRDefault="0078535D" w:rsidP="0078535D">
      <w:pPr>
        <w:widowControl w:val="0"/>
        <w:numPr>
          <w:ilvl w:val="0"/>
          <w:numId w:val="36"/>
        </w:numPr>
        <w:ind w:left="1702" w:right="851" w:hanging="284"/>
        <w:jc w:val="both"/>
        <w:rPr>
          <w:rFonts w:ascii="Abadi" w:eastAsiaTheme="minorHAnsi" w:hAnsi="Abadi" w:cstheme="minorBidi"/>
          <w:i/>
          <w:iCs/>
          <w:sz w:val="21"/>
          <w:szCs w:val="21"/>
          <w:lang w:val="es-MX" w:eastAsia="en-US"/>
        </w:rPr>
      </w:pPr>
      <w:r w:rsidRPr="0078535D">
        <w:rPr>
          <w:rFonts w:ascii="Abadi" w:eastAsiaTheme="minorHAnsi" w:hAnsi="Abadi" w:cstheme="minorBidi"/>
          <w:i/>
          <w:iCs/>
          <w:sz w:val="21"/>
          <w:szCs w:val="21"/>
          <w:lang w:val="es-MX" w:eastAsia="en-US"/>
        </w:rPr>
        <w:t>Diputadas y diputados que deseen sumarse.</w:t>
      </w:r>
    </w:p>
    <w:p w14:paraId="292F3E4A" w14:textId="77777777" w:rsidR="0078535D" w:rsidRPr="0078535D" w:rsidRDefault="0078535D" w:rsidP="0078535D">
      <w:pPr>
        <w:widowControl w:val="0"/>
        <w:numPr>
          <w:ilvl w:val="0"/>
          <w:numId w:val="36"/>
        </w:numPr>
        <w:ind w:left="1702" w:right="851" w:hanging="284"/>
        <w:jc w:val="both"/>
        <w:rPr>
          <w:rFonts w:ascii="Abadi" w:eastAsiaTheme="minorHAnsi" w:hAnsi="Abadi" w:cstheme="minorBidi"/>
          <w:i/>
          <w:iCs/>
          <w:sz w:val="21"/>
          <w:szCs w:val="21"/>
          <w:lang w:val="es-MX" w:eastAsia="en-US"/>
        </w:rPr>
      </w:pPr>
      <w:r w:rsidRPr="0078535D">
        <w:rPr>
          <w:rFonts w:ascii="Abadi" w:eastAsiaTheme="minorHAnsi" w:hAnsi="Abadi" w:cstheme="minorBidi"/>
          <w:i/>
          <w:iCs/>
          <w:sz w:val="21"/>
          <w:szCs w:val="21"/>
          <w:lang w:val="es-MX" w:eastAsia="en-US"/>
        </w:rPr>
        <w:t>Asesores y asesoras de la Comisión.</w:t>
      </w:r>
    </w:p>
    <w:p w14:paraId="14756B69" w14:textId="77777777" w:rsidR="0078535D" w:rsidRPr="0078535D" w:rsidRDefault="0078535D" w:rsidP="0078535D">
      <w:pPr>
        <w:widowControl w:val="0"/>
        <w:numPr>
          <w:ilvl w:val="0"/>
          <w:numId w:val="36"/>
        </w:numPr>
        <w:ind w:left="1702" w:right="851" w:hanging="284"/>
        <w:jc w:val="both"/>
        <w:rPr>
          <w:rFonts w:ascii="Abadi" w:eastAsiaTheme="minorHAnsi" w:hAnsi="Abadi" w:cstheme="minorBidi"/>
          <w:i/>
          <w:iCs/>
          <w:sz w:val="21"/>
          <w:szCs w:val="21"/>
          <w:lang w:val="es-MX" w:eastAsia="en-US"/>
        </w:rPr>
      </w:pPr>
      <w:r w:rsidRPr="0078535D">
        <w:rPr>
          <w:rFonts w:ascii="Abadi" w:eastAsiaTheme="minorHAnsi" w:hAnsi="Abadi" w:cstheme="minorBidi"/>
          <w:i/>
          <w:iCs/>
          <w:sz w:val="21"/>
          <w:szCs w:val="21"/>
          <w:lang w:val="es-MX" w:eastAsia="en-US"/>
        </w:rPr>
        <w:t>Secretaría técnica.</w:t>
      </w:r>
    </w:p>
    <w:p w14:paraId="77A65C67" w14:textId="77777777" w:rsidR="0078535D" w:rsidRPr="0078535D" w:rsidRDefault="0078535D" w:rsidP="0078535D">
      <w:pPr>
        <w:widowControl w:val="0"/>
        <w:ind w:left="851" w:right="851"/>
        <w:jc w:val="both"/>
        <w:rPr>
          <w:rFonts w:ascii="Abadi" w:hAnsi="Abadi"/>
          <w:i/>
          <w:iCs/>
          <w:sz w:val="21"/>
          <w:szCs w:val="21"/>
          <w:lang w:val="es-MX" w:eastAsia="en-US"/>
        </w:rPr>
      </w:pPr>
    </w:p>
    <w:p w14:paraId="4433E3A3" w14:textId="77777777" w:rsidR="0078535D" w:rsidRPr="0078535D" w:rsidRDefault="0078535D" w:rsidP="0078535D">
      <w:pPr>
        <w:widowControl w:val="0"/>
        <w:ind w:left="1418" w:right="851" w:hanging="567"/>
        <w:jc w:val="both"/>
        <w:rPr>
          <w:rFonts w:ascii="Abadi" w:hAnsi="Abadi"/>
          <w:i/>
          <w:iCs/>
          <w:sz w:val="21"/>
          <w:szCs w:val="21"/>
          <w:lang w:val="es-MX" w:eastAsia="en-US"/>
        </w:rPr>
      </w:pPr>
      <w:r w:rsidRPr="0078535D">
        <w:rPr>
          <w:rFonts w:ascii="Abadi" w:hAnsi="Abadi"/>
          <w:b/>
          <w:i/>
          <w:iCs/>
          <w:sz w:val="21"/>
          <w:szCs w:val="21"/>
          <w:lang w:val="es-MX" w:eastAsia="en-US"/>
        </w:rPr>
        <w:t>g)</w:t>
      </w:r>
      <w:r w:rsidRPr="0078535D">
        <w:rPr>
          <w:rFonts w:ascii="Abadi" w:hAnsi="Abadi"/>
          <w:i/>
          <w:iCs/>
          <w:sz w:val="21"/>
          <w:szCs w:val="21"/>
          <w:lang w:val="es-MX" w:eastAsia="en-US"/>
        </w:rPr>
        <w:tab/>
        <w:t>Reunión o reuniones del grupo de trabajo que sean necesarias.</w:t>
      </w:r>
    </w:p>
    <w:p w14:paraId="15B0C6C0" w14:textId="77777777" w:rsidR="0078535D" w:rsidRPr="0078535D" w:rsidRDefault="0078535D" w:rsidP="0078535D">
      <w:pPr>
        <w:widowControl w:val="0"/>
        <w:ind w:left="851" w:right="851"/>
        <w:jc w:val="both"/>
        <w:rPr>
          <w:rFonts w:ascii="Abadi" w:hAnsi="Abadi"/>
          <w:i/>
          <w:iCs/>
          <w:sz w:val="21"/>
          <w:szCs w:val="21"/>
          <w:lang w:val="es-MX" w:eastAsia="en-US"/>
        </w:rPr>
      </w:pPr>
    </w:p>
    <w:p w14:paraId="39C561C2" w14:textId="77777777" w:rsidR="0078535D" w:rsidRPr="0078535D" w:rsidRDefault="0078535D" w:rsidP="0078535D">
      <w:pPr>
        <w:widowControl w:val="0"/>
        <w:ind w:left="1418" w:right="851" w:hanging="567"/>
        <w:jc w:val="both"/>
        <w:rPr>
          <w:rFonts w:ascii="Abadi" w:hAnsi="Abadi"/>
          <w:i/>
          <w:iCs/>
          <w:sz w:val="21"/>
          <w:szCs w:val="21"/>
          <w:lang w:val="es-MX" w:eastAsia="en-US"/>
        </w:rPr>
      </w:pPr>
      <w:r w:rsidRPr="0078535D">
        <w:rPr>
          <w:rFonts w:ascii="Abadi" w:hAnsi="Abadi"/>
          <w:b/>
          <w:i/>
          <w:iCs/>
          <w:sz w:val="21"/>
          <w:szCs w:val="21"/>
          <w:lang w:val="es-MX" w:eastAsia="en-US"/>
        </w:rPr>
        <w:t>h)</w:t>
      </w:r>
      <w:r w:rsidRPr="0078535D">
        <w:rPr>
          <w:rFonts w:ascii="Abadi" w:hAnsi="Abadi"/>
          <w:b/>
          <w:i/>
          <w:iCs/>
          <w:sz w:val="21"/>
          <w:szCs w:val="21"/>
          <w:lang w:val="es-MX" w:eastAsia="en-US"/>
        </w:rPr>
        <w:tab/>
      </w:r>
      <w:r w:rsidRPr="0078535D">
        <w:rPr>
          <w:rFonts w:ascii="Abadi" w:hAnsi="Abadi"/>
          <w:i/>
          <w:iCs/>
          <w:sz w:val="21"/>
          <w:szCs w:val="21"/>
          <w:lang w:val="es-MX" w:eastAsia="en-US"/>
        </w:rPr>
        <w:t>Reunión de la Comisión para análisis y acuerdos para la elaboración del dictamen.</w:t>
      </w:r>
    </w:p>
    <w:p w14:paraId="6444172E" w14:textId="77777777" w:rsidR="0078535D" w:rsidRPr="0078535D" w:rsidRDefault="0078535D" w:rsidP="0078535D">
      <w:pPr>
        <w:widowControl w:val="0"/>
        <w:ind w:left="851" w:right="851"/>
        <w:jc w:val="both"/>
        <w:rPr>
          <w:rFonts w:ascii="Abadi" w:hAnsi="Abadi"/>
          <w:i/>
          <w:iCs/>
          <w:sz w:val="21"/>
          <w:szCs w:val="21"/>
          <w:lang w:val="es-MX" w:eastAsia="en-US"/>
        </w:rPr>
      </w:pPr>
    </w:p>
    <w:p w14:paraId="233A3966" w14:textId="77777777" w:rsidR="0078535D" w:rsidRPr="0078535D" w:rsidRDefault="0078535D" w:rsidP="0078535D">
      <w:pPr>
        <w:widowControl w:val="0"/>
        <w:ind w:left="1418" w:right="851" w:hanging="567"/>
        <w:jc w:val="both"/>
        <w:rPr>
          <w:rFonts w:ascii="Abadi" w:hAnsi="Abadi"/>
          <w:i/>
          <w:iCs/>
          <w:sz w:val="21"/>
          <w:szCs w:val="21"/>
          <w:lang w:val="es-MX" w:eastAsia="en-US"/>
        </w:rPr>
      </w:pPr>
      <w:r w:rsidRPr="0078535D">
        <w:rPr>
          <w:rFonts w:ascii="Abadi" w:hAnsi="Abadi"/>
          <w:b/>
          <w:i/>
          <w:iCs/>
          <w:sz w:val="21"/>
          <w:szCs w:val="21"/>
          <w:lang w:val="es-MX" w:eastAsia="en-US"/>
        </w:rPr>
        <w:t>i)</w:t>
      </w:r>
      <w:r w:rsidRPr="0078535D">
        <w:rPr>
          <w:rFonts w:ascii="Abadi" w:hAnsi="Abadi"/>
          <w:i/>
          <w:iCs/>
          <w:sz w:val="21"/>
          <w:szCs w:val="21"/>
          <w:lang w:val="es-MX" w:eastAsia="en-US"/>
        </w:rPr>
        <w:tab/>
        <w:t>Reunión de la Comisión para la discusión y, en su caso, aprobación del dictamen.</w:t>
      </w:r>
    </w:p>
    <w:p w14:paraId="0BB8B0EF" w14:textId="77777777" w:rsidR="0078535D" w:rsidRPr="0078535D" w:rsidRDefault="0078535D" w:rsidP="0078535D">
      <w:pPr>
        <w:widowControl w:val="0"/>
        <w:spacing w:line="360" w:lineRule="auto"/>
        <w:jc w:val="both"/>
        <w:rPr>
          <w:rFonts w:ascii="Abadi" w:hAnsi="Abadi" w:cs="Arial"/>
          <w:sz w:val="21"/>
          <w:szCs w:val="21"/>
          <w:lang w:val="es-MX" w:eastAsia="en-US"/>
        </w:rPr>
      </w:pPr>
    </w:p>
    <w:p w14:paraId="4768811D" w14:textId="77777777" w:rsidR="0078535D" w:rsidRPr="0078535D" w:rsidRDefault="0078535D" w:rsidP="00E31ECD">
      <w:pPr>
        <w:widowControl w:val="0"/>
        <w:ind w:left="851"/>
        <w:jc w:val="both"/>
        <w:rPr>
          <w:rFonts w:ascii="Abadi" w:hAnsi="Abadi"/>
          <w:b/>
          <w:sz w:val="21"/>
          <w:szCs w:val="21"/>
          <w:lang w:val="es-MX"/>
        </w:rPr>
      </w:pPr>
      <w:r w:rsidRPr="0078535D">
        <w:rPr>
          <w:rFonts w:ascii="Abadi" w:hAnsi="Abadi" w:cs="Arial"/>
          <w:b/>
          <w:sz w:val="21"/>
          <w:szCs w:val="21"/>
          <w:lang w:val="es-MX"/>
        </w:rPr>
        <w:t>Cumplimiento de las acciones acordadas para el estudio y dictamen de la iniciativa</w:t>
      </w:r>
      <w:r w:rsidRPr="0078535D">
        <w:rPr>
          <w:rFonts w:ascii="Abadi" w:hAnsi="Abadi"/>
          <w:b/>
          <w:sz w:val="21"/>
          <w:szCs w:val="21"/>
          <w:lang w:val="es-MX"/>
        </w:rPr>
        <w:t>.</w:t>
      </w:r>
    </w:p>
    <w:p w14:paraId="0F2E0988" w14:textId="77777777" w:rsidR="0078535D" w:rsidRPr="0078535D" w:rsidRDefault="0078535D" w:rsidP="00E31ECD">
      <w:pPr>
        <w:widowControl w:val="0"/>
        <w:jc w:val="both"/>
        <w:rPr>
          <w:rFonts w:ascii="Abadi" w:hAnsi="Abadi" w:cs="Arial"/>
          <w:sz w:val="21"/>
          <w:szCs w:val="21"/>
          <w:lang w:val="es-MX" w:eastAsia="en-US"/>
        </w:rPr>
      </w:pPr>
    </w:p>
    <w:p w14:paraId="743071A2" w14:textId="77777777" w:rsidR="0078535D" w:rsidRPr="0078535D" w:rsidRDefault="0078535D" w:rsidP="00E31ECD">
      <w:pPr>
        <w:widowControl w:val="0"/>
        <w:ind w:firstLine="851"/>
        <w:jc w:val="both"/>
        <w:rPr>
          <w:rFonts w:ascii="Abadi" w:hAnsi="Abadi" w:cs="Arial"/>
          <w:sz w:val="21"/>
          <w:szCs w:val="21"/>
          <w:lang w:val="es-MX" w:eastAsia="en-US"/>
        </w:rPr>
      </w:pPr>
      <w:r w:rsidRPr="0078535D">
        <w:rPr>
          <w:rFonts w:ascii="Abadi" w:hAnsi="Abadi" w:cs="Arial"/>
          <w:sz w:val="21"/>
          <w:szCs w:val="21"/>
          <w:lang w:val="es-MX" w:eastAsia="en-US"/>
        </w:rPr>
        <w:t>Dada la incidencia en la competencia municipal, en cumplimiento al artículo 56 de la Constitución Política para el Estado de Guanajuato, la iniciativa se remitió a los ayuntamientos.</w:t>
      </w:r>
    </w:p>
    <w:p w14:paraId="01843BC8" w14:textId="77777777" w:rsidR="0078535D" w:rsidRPr="0078535D" w:rsidRDefault="0078535D" w:rsidP="00E31ECD">
      <w:pPr>
        <w:widowControl w:val="0"/>
        <w:ind w:firstLine="851"/>
        <w:jc w:val="both"/>
        <w:rPr>
          <w:rFonts w:ascii="Abadi" w:hAnsi="Abadi" w:cs="Arial"/>
          <w:sz w:val="21"/>
          <w:szCs w:val="21"/>
          <w:lang w:val="es-MX" w:eastAsia="en-US"/>
        </w:rPr>
      </w:pPr>
    </w:p>
    <w:p w14:paraId="48F618BC" w14:textId="77777777" w:rsidR="0078535D" w:rsidRPr="0078535D" w:rsidRDefault="0078535D" w:rsidP="00E31ECD">
      <w:pPr>
        <w:widowControl w:val="0"/>
        <w:ind w:firstLine="851"/>
        <w:jc w:val="both"/>
        <w:rPr>
          <w:rFonts w:ascii="Abadi" w:hAnsi="Abadi" w:cs="Arial"/>
          <w:sz w:val="21"/>
          <w:szCs w:val="21"/>
          <w:lang w:val="es-MX" w:eastAsia="en-US"/>
        </w:rPr>
      </w:pPr>
      <w:r w:rsidRPr="0078535D">
        <w:rPr>
          <w:rFonts w:ascii="Abadi" w:hAnsi="Abadi" w:cs="Arial"/>
          <w:sz w:val="21"/>
          <w:szCs w:val="21"/>
          <w:lang w:val="es-MX" w:eastAsia="en-US"/>
        </w:rPr>
        <w:t>Dieron respuesta los ayuntamientos de: Celaya, para informar que no se emiten observaciones; Coroneo, a fin de comunicar el acuerdo de enterados del oficio circular 294 y que no se tienen observaciones a la iniciativa; Doctor Mora, informando la determinación unánime de que no existe comentario o sugerencia que emitir sobre el contenido de la iniciativa; Irapuato, comunicando que no se tienen observaciones, comentarios o propuestas; Jerécuaro, para expresar que el Ayuntamiento no consuma observaciones a las referidas leyes; León, para remitir comentarios; Moroleón, comunicando el acuerdo de enterados; Purísima del Rincón, a fin de notificar que el Ayuntamiento no realizó ninguna observación ni comentario, y manifestando darse por enterados de la iniciativa; Romita, para comunicar el acuerdo de enterados y no contar con opinión; San Francisco del Rincón, para informar que se tiene por recibida, el acuerdo de enterados, y se ordena dejar a disposición de los integrantes del Ayuntamiento para su estudio correspondiente. San Luis de la Paz, para compartir sus comentarios; Tarimoro, para hacer de conocimiento que no hubo comentarios por parte de los miembros del Ayuntamiento; y Victoria, para enviar comentarios.</w:t>
      </w:r>
    </w:p>
    <w:p w14:paraId="241FBD2A" w14:textId="77777777" w:rsidR="0078535D" w:rsidRPr="0078535D" w:rsidRDefault="0078535D" w:rsidP="00E31ECD">
      <w:pPr>
        <w:widowControl w:val="0"/>
        <w:ind w:firstLine="851"/>
        <w:jc w:val="both"/>
        <w:rPr>
          <w:rFonts w:ascii="Abadi" w:hAnsi="Abadi" w:cs="Arial"/>
          <w:sz w:val="21"/>
          <w:szCs w:val="21"/>
          <w:lang w:val="es-MX" w:eastAsia="en-US"/>
        </w:rPr>
      </w:pPr>
    </w:p>
    <w:p w14:paraId="70A8C388" w14:textId="77777777" w:rsidR="0078535D" w:rsidRPr="0078535D" w:rsidRDefault="0078535D" w:rsidP="00E31ECD">
      <w:pPr>
        <w:widowControl w:val="0"/>
        <w:ind w:firstLine="851"/>
        <w:jc w:val="both"/>
        <w:rPr>
          <w:rFonts w:ascii="Abadi" w:hAnsi="Abadi"/>
          <w:sz w:val="21"/>
          <w:szCs w:val="21"/>
          <w:lang w:val="es-MX" w:eastAsia="en-US"/>
        </w:rPr>
      </w:pPr>
      <w:r w:rsidRPr="0078535D">
        <w:rPr>
          <w:rFonts w:ascii="Abadi" w:hAnsi="Abadi"/>
          <w:sz w:val="21"/>
          <w:szCs w:val="21"/>
          <w:lang w:val="es-MX" w:eastAsia="en-US"/>
        </w:rPr>
        <w:t>La iniciativa se compartió a las diputadas y a los diputados de la Sexagésima Cuarta Legislatura; a la Secretaría de Gobierno, y a las contralorías municipales; no se recibieron comentarios. Igualmente se remitió a la Procuraduría de los Derechos Humanos del Estado de Guanajuato y a la Coordinación General Jurídica, quienes nos compartieron sus aportaciones.</w:t>
      </w:r>
    </w:p>
    <w:p w14:paraId="156218FE" w14:textId="77777777" w:rsidR="0078535D" w:rsidRPr="0078535D" w:rsidRDefault="0078535D" w:rsidP="00E31ECD">
      <w:pPr>
        <w:widowControl w:val="0"/>
        <w:jc w:val="both"/>
        <w:rPr>
          <w:rFonts w:ascii="Abadi" w:hAnsi="Abadi"/>
          <w:sz w:val="21"/>
          <w:szCs w:val="21"/>
          <w:lang w:val="es-MX" w:eastAsia="en-US"/>
        </w:rPr>
      </w:pPr>
    </w:p>
    <w:p w14:paraId="6F6580FE" w14:textId="77777777" w:rsidR="0078535D" w:rsidRPr="0078535D" w:rsidRDefault="0078535D" w:rsidP="00E31ECD">
      <w:pPr>
        <w:widowControl w:val="0"/>
        <w:ind w:firstLine="851"/>
        <w:jc w:val="both"/>
        <w:rPr>
          <w:rFonts w:ascii="Abadi" w:hAnsi="Abadi" w:cs="Arial"/>
          <w:sz w:val="21"/>
          <w:szCs w:val="21"/>
          <w:lang w:val="es-MX" w:eastAsia="en-US"/>
        </w:rPr>
      </w:pPr>
      <w:r w:rsidRPr="0078535D">
        <w:rPr>
          <w:rFonts w:ascii="Abadi" w:hAnsi="Abadi" w:cs="Arial"/>
          <w:sz w:val="21"/>
          <w:szCs w:val="21"/>
          <w:lang w:val="es-MX" w:eastAsia="en-US"/>
        </w:rPr>
        <w:t>En el marco de la promoción de la participación e inclusión ciudadana en el proceso legislativo se creó un micro sitio en la página del Congreso, invitando a enviar comentarios a la iniciativa. No se recibieron.</w:t>
      </w:r>
    </w:p>
    <w:p w14:paraId="24127D5F" w14:textId="77777777" w:rsidR="0078535D" w:rsidRPr="0078535D" w:rsidRDefault="0078535D" w:rsidP="00E31ECD">
      <w:pPr>
        <w:widowControl w:val="0"/>
        <w:jc w:val="both"/>
        <w:rPr>
          <w:rFonts w:ascii="Abadi" w:hAnsi="Abadi" w:cs="Arial"/>
          <w:sz w:val="21"/>
          <w:szCs w:val="21"/>
          <w:lang w:val="es-MX" w:eastAsia="en-US"/>
        </w:rPr>
      </w:pPr>
    </w:p>
    <w:p w14:paraId="74606AF8" w14:textId="77777777" w:rsidR="0078535D" w:rsidRPr="0078535D" w:rsidRDefault="0078535D" w:rsidP="00E31ECD">
      <w:pPr>
        <w:widowControl w:val="0"/>
        <w:ind w:firstLine="851"/>
        <w:jc w:val="both"/>
        <w:rPr>
          <w:rFonts w:ascii="Abadi" w:hAnsi="Abadi" w:cs="Arial"/>
          <w:sz w:val="21"/>
          <w:szCs w:val="21"/>
          <w:lang w:val="es-MX" w:eastAsia="en-US"/>
        </w:rPr>
      </w:pPr>
      <w:r w:rsidRPr="0078535D">
        <w:rPr>
          <w:rFonts w:ascii="Abadi" w:hAnsi="Abadi"/>
          <w:sz w:val="21"/>
          <w:szCs w:val="21"/>
          <w:lang w:val="es-MX" w:eastAsia="en-US"/>
        </w:rPr>
        <w:t xml:space="preserve">En atención a la petición de la </w:t>
      </w:r>
      <w:r w:rsidRPr="0078535D">
        <w:rPr>
          <w:rFonts w:ascii="Abadi" w:hAnsi="Abadi" w:cs="Arial"/>
          <w:sz w:val="21"/>
          <w:szCs w:val="21"/>
          <w:lang w:val="es-MX" w:eastAsia="en-US"/>
        </w:rPr>
        <w:t>Comisión</w:t>
      </w:r>
      <w:r w:rsidRPr="0078535D">
        <w:rPr>
          <w:rFonts w:ascii="Abadi" w:hAnsi="Abadi"/>
          <w:sz w:val="21"/>
          <w:szCs w:val="21"/>
          <w:lang w:val="es-MX" w:eastAsia="en-US"/>
        </w:rPr>
        <w:t>, el Instituto de Investigaciones Legislativas remitió opinión de la iniciativa.</w:t>
      </w:r>
    </w:p>
    <w:p w14:paraId="31F4948C" w14:textId="77777777" w:rsidR="0078535D" w:rsidRPr="0078535D" w:rsidRDefault="0078535D" w:rsidP="00E31ECD">
      <w:pPr>
        <w:widowControl w:val="0"/>
        <w:jc w:val="both"/>
        <w:rPr>
          <w:rFonts w:ascii="Abadi" w:hAnsi="Abadi" w:cs="Arial"/>
          <w:sz w:val="21"/>
          <w:szCs w:val="21"/>
          <w:lang w:val="es-MX" w:eastAsia="en-US"/>
        </w:rPr>
      </w:pPr>
    </w:p>
    <w:p w14:paraId="0EF37A6E" w14:textId="77777777" w:rsidR="0078535D" w:rsidRPr="0078535D" w:rsidRDefault="0078535D" w:rsidP="00E31ECD">
      <w:pPr>
        <w:widowControl w:val="0"/>
        <w:ind w:firstLine="851"/>
        <w:jc w:val="both"/>
        <w:rPr>
          <w:rFonts w:ascii="Abadi" w:hAnsi="Abadi" w:cs="Arial"/>
          <w:sz w:val="21"/>
          <w:szCs w:val="21"/>
          <w:lang w:val="es-MX" w:eastAsia="en-US"/>
        </w:rPr>
      </w:pPr>
      <w:r w:rsidRPr="0078535D">
        <w:rPr>
          <w:rFonts w:ascii="Abadi" w:hAnsi="Abadi" w:cs="Arial"/>
          <w:sz w:val="21"/>
          <w:szCs w:val="21"/>
          <w:lang w:val="es-MX" w:eastAsia="en-US"/>
        </w:rPr>
        <w:t>El 8 de agosto de 2022, la secretaría técnica entregó el comparativo que concentró las observaciones formuladas a la iniciativa.</w:t>
      </w:r>
    </w:p>
    <w:p w14:paraId="2DAC90F3" w14:textId="77777777" w:rsidR="0078535D" w:rsidRPr="0078535D" w:rsidRDefault="0078535D" w:rsidP="00E31ECD">
      <w:pPr>
        <w:widowControl w:val="0"/>
        <w:jc w:val="both"/>
        <w:rPr>
          <w:rFonts w:ascii="Abadi" w:hAnsi="Abadi" w:cs="Arial"/>
          <w:sz w:val="21"/>
          <w:szCs w:val="21"/>
          <w:lang w:val="es-MX" w:eastAsia="en-US"/>
        </w:rPr>
      </w:pPr>
    </w:p>
    <w:p w14:paraId="50417C97" w14:textId="77777777" w:rsidR="0078535D" w:rsidRPr="0078535D" w:rsidRDefault="0078535D" w:rsidP="00E31ECD">
      <w:pPr>
        <w:widowControl w:val="0"/>
        <w:ind w:left="851"/>
        <w:jc w:val="both"/>
        <w:rPr>
          <w:rFonts w:ascii="Abadi" w:hAnsi="Abadi" w:cs="Arial"/>
          <w:b/>
          <w:sz w:val="21"/>
          <w:szCs w:val="21"/>
          <w:lang w:val="es-MX"/>
        </w:rPr>
      </w:pPr>
      <w:r w:rsidRPr="0078535D">
        <w:rPr>
          <w:rFonts w:ascii="Abadi" w:hAnsi="Abadi" w:cs="Arial"/>
          <w:b/>
          <w:sz w:val="21"/>
          <w:szCs w:val="21"/>
          <w:lang w:val="es-MX"/>
        </w:rPr>
        <w:t>Opiniones compartidas en el proceso de consulta.</w:t>
      </w:r>
    </w:p>
    <w:p w14:paraId="7B557D2D" w14:textId="77777777" w:rsidR="0078535D" w:rsidRPr="0078535D" w:rsidRDefault="0078535D" w:rsidP="00E31ECD">
      <w:pPr>
        <w:widowControl w:val="0"/>
        <w:ind w:left="851"/>
        <w:jc w:val="both"/>
        <w:rPr>
          <w:rFonts w:ascii="Abadi" w:hAnsi="Abadi"/>
          <w:b/>
          <w:sz w:val="21"/>
          <w:szCs w:val="21"/>
          <w:lang w:val="es-MX"/>
        </w:rPr>
      </w:pPr>
    </w:p>
    <w:p w14:paraId="19B01CC3" w14:textId="77777777" w:rsidR="0078535D" w:rsidRPr="0078535D" w:rsidRDefault="0078535D" w:rsidP="00E31ECD">
      <w:pPr>
        <w:widowControl w:val="0"/>
        <w:ind w:firstLine="851"/>
        <w:jc w:val="both"/>
        <w:rPr>
          <w:rFonts w:ascii="Abadi" w:hAnsi="Abadi"/>
          <w:sz w:val="21"/>
          <w:szCs w:val="21"/>
          <w:lang w:val="es-MX" w:eastAsia="en-US"/>
        </w:rPr>
      </w:pPr>
      <w:r w:rsidRPr="0078535D">
        <w:rPr>
          <w:rFonts w:ascii="Abadi" w:hAnsi="Abadi"/>
          <w:sz w:val="21"/>
          <w:szCs w:val="21"/>
          <w:lang w:val="es-MX" w:eastAsia="en-US"/>
        </w:rPr>
        <w:t>A continuación, transcribimos las propuestas y comentarios que se recibieron en el proceso de consulta.</w:t>
      </w:r>
    </w:p>
    <w:p w14:paraId="144C3098" w14:textId="77777777" w:rsidR="0078535D" w:rsidRPr="0078535D" w:rsidRDefault="0078535D" w:rsidP="00E31ECD">
      <w:pPr>
        <w:widowControl w:val="0"/>
        <w:ind w:firstLine="851"/>
        <w:jc w:val="both"/>
        <w:rPr>
          <w:rFonts w:ascii="Abadi" w:hAnsi="Abadi"/>
          <w:sz w:val="21"/>
          <w:szCs w:val="21"/>
          <w:lang w:val="es-MX" w:eastAsia="en-US"/>
        </w:rPr>
      </w:pPr>
    </w:p>
    <w:p w14:paraId="49F10332" w14:textId="77777777" w:rsidR="0078535D" w:rsidRPr="0078535D" w:rsidRDefault="0078535D" w:rsidP="00E31ECD">
      <w:pPr>
        <w:widowControl w:val="0"/>
        <w:ind w:firstLine="851"/>
        <w:jc w:val="both"/>
        <w:rPr>
          <w:rFonts w:ascii="Abadi" w:eastAsia="Calibri" w:hAnsi="Abadi"/>
          <w:sz w:val="21"/>
          <w:szCs w:val="21"/>
          <w:lang w:val="es-MX" w:eastAsia="en-US"/>
        </w:rPr>
      </w:pPr>
      <w:r w:rsidRPr="0078535D">
        <w:rPr>
          <w:rFonts w:ascii="Abadi" w:eastAsia="Calibri" w:hAnsi="Abadi"/>
          <w:sz w:val="21"/>
          <w:szCs w:val="21"/>
          <w:lang w:val="es-MX" w:eastAsia="en-US"/>
        </w:rPr>
        <w:t>De la opinión enviada por el Ayuntamiento de León retomamos lo siguiente:</w:t>
      </w:r>
    </w:p>
    <w:p w14:paraId="3E14760C" w14:textId="77777777" w:rsidR="0078535D" w:rsidRPr="0078535D" w:rsidRDefault="0078535D" w:rsidP="00E31ECD">
      <w:pPr>
        <w:widowControl w:val="0"/>
        <w:ind w:firstLine="851"/>
        <w:jc w:val="both"/>
        <w:rPr>
          <w:rFonts w:ascii="Abadi" w:eastAsia="Calibri" w:hAnsi="Abadi"/>
          <w:sz w:val="21"/>
          <w:szCs w:val="21"/>
          <w:lang w:val="es-MX" w:eastAsia="en-US"/>
        </w:rPr>
      </w:pPr>
    </w:p>
    <w:p w14:paraId="32017EE1" w14:textId="77777777" w:rsidR="0078535D" w:rsidRPr="0078535D" w:rsidRDefault="0078535D" w:rsidP="00E31EC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Este Ayuntamiento no coincide con los términos planteados por los iniciantes de conformidad a lo establecido en las siguientes observaciones:</w:t>
      </w:r>
    </w:p>
    <w:p w14:paraId="7E6D5361" w14:textId="77777777" w:rsidR="0078535D" w:rsidRPr="0078535D" w:rsidRDefault="0078535D" w:rsidP="00E31ECD">
      <w:pPr>
        <w:widowControl w:val="0"/>
        <w:ind w:left="851" w:right="851"/>
        <w:jc w:val="both"/>
        <w:rPr>
          <w:rFonts w:ascii="Abadi" w:eastAsia="Calibri" w:hAnsi="Abadi"/>
          <w:i/>
          <w:iCs/>
          <w:sz w:val="21"/>
          <w:szCs w:val="21"/>
          <w:lang w:val="es-MX" w:eastAsia="en-US"/>
        </w:rPr>
      </w:pPr>
    </w:p>
    <w:p w14:paraId="4324A1AE" w14:textId="77777777" w:rsidR="0078535D" w:rsidRPr="0078535D" w:rsidRDefault="0078535D" w:rsidP="00E31ECD">
      <w:pPr>
        <w:widowControl w:val="0"/>
        <w:ind w:left="851" w:right="851"/>
        <w:jc w:val="both"/>
        <w:rPr>
          <w:rFonts w:ascii="Abadi" w:eastAsia="Calibri" w:hAnsi="Abadi"/>
          <w:i/>
          <w:iCs/>
          <w:sz w:val="21"/>
          <w:szCs w:val="21"/>
          <w:lang w:val="es-MX" w:eastAsia="en-US"/>
        </w:rPr>
      </w:pPr>
      <w:r w:rsidRPr="0078535D">
        <w:rPr>
          <w:rFonts w:ascii="Abadi" w:eastAsia="Calibri" w:hAnsi="Abadi"/>
          <w:b/>
          <w:bCs/>
          <w:i/>
          <w:iCs/>
          <w:sz w:val="21"/>
          <w:szCs w:val="21"/>
          <w:u w:val="single"/>
          <w:lang w:val="es-MX" w:eastAsia="en-US"/>
        </w:rPr>
        <w:t>Sobre la naturaleza de las recomendaciones a las autoridades</w:t>
      </w:r>
      <w:r w:rsidRPr="0078535D">
        <w:rPr>
          <w:rFonts w:ascii="Abadi" w:eastAsia="Calibri" w:hAnsi="Abadi"/>
          <w:b/>
          <w:bCs/>
          <w:i/>
          <w:iCs/>
          <w:sz w:val="21"/>
          <w:szCs w:val="21"/>
          <w:lang w:val="es-MX" w:eastAsia="en-US"/>
        </w:rPr>
        <w:t>:</w:t>
      </w:r>
      <w:r w:rsidRPr="0078535D">
        <w:rPr>
          <w:rFonts w:ascii="Abadi" w:eastAsia="Calibri" w:hAnsi="Abadi"/>
          <w:i/>
          <w:iCs/>
          <w:sz w:val="21"/>
          <w:szCs w:val="21"/>
          <w:lang w:val="es-MX" w:eastAsia="en-US"/>
        </w:rPr>
        <w:t xml:space="preserve"> No se consideran viables las propuestas para modificar la naturaleza de las recomendaciones que emiten la Comisión Nacional de los Derechos Humanos (CNDH) y la Procuraduría de Derechos Humanos del Estado de Guanajuato (PDHEG), ya que estas constituyen una </w:t>
      </w:r>
      <w:r w:rsidRPr="0078535D">
        <w:rPr>
          <w:rFonts w:ascii="Abadi" w:eastAsia="Calibri" w:hAnsi="Abadi"/>
          <w:b/>
          <w:bCs/>
          <w:i/>
          <w:iCs/>
          <w:sz w:val="21"/>
          <w:szCs w:val="21"/>
          <w:lang w:val="es-MX" w:eastAsia="en-US"/>
        </w:rPr>
        <w:t>enérgica solicitud</w:t>
      </w:r>
      <w:r w:rsidRPr="0078535D">
        <w:rPr>
          <w:rFonts w:ascii="Abadi" w:eastAsia="Calibri" w:hAnsi="Abadi"/>
          <w:i/>
          <w:iCs/>
          <w:sz w:val="21"/>
          <w:szCs w:val="21"/>
          <w:lang w:val="es-MX" w:eastAsia="en-US"/>
        </w:rPr>
        <w:t xml:space="preserve"> a las autoridades para brindar una adecuada atención a la víctima, de tal forma que sea posible restituir una situación al estado en el que se encontraba antes de sufrir el daño, sin embargo una de las principales características de las recomendaciones es que son </w:t>
      </w:r>
      <w:r w:rsidRPr="0078535D">
        <w:rPr>
          <w:rFonts w:ascii="Abadi" w:eastAsia="Calibri" w:hAnsi="Abadi"/>
          <w:b/>
          <w:bCs/>
          <w:i/>
          <w:iCs/>
          <w:sz w:val="21"/>
          <w:szCs w:val="21"/>
          <w:lang w:val="es-MX" w:eastAsia="en-US"/>
        </w:rPr>
        <w:t>no vinculatorias</w:t>
      </w:r>
      <w:r w:rsidRPr="0078535D">
        <w:rPr>
          <w:rFonts w:ascii="Abadi" w:eastAsia="Calibri" w:hAnsi="Abadi"/>
          <w:i/>
          <w:iCs/>
          <w:sz w:val="21"/>
          <w:szCs w:val="21"/>
          <w:lang w:val="es-MX" w:eastAsia="en-US"/>
        </w:rPr>
        <w:t xml:space="preserve"> para la autoridad o servidor público a quien se dirigen, toda vez que los organismos protectores de derechos humanos no son un órgano jurisdiccional, por lo tanto sus recomendaciones </w:t>
      </w:r>
      <w:r w:rsidRPr="0078535D">
        <w:rPr>
          <w:rFonts w:ascii="Abadi" w:eastAsia="Calibri" w:hAnsi="Abadi"/>
          <w:b/>
          <w:bCs/>
          <w:i/>
          <w:iCs/>
          <w:sz w:val="21"/>
          <w:szCs w:val="21"/>
          <w:lang w:val="es-MX" w:eastAsia="en-US"/>
        </w:rPr>
        <w:t>no son obligatorias</w:t>
      </w:r>
      <w:r w:rsidRPr="0078535D">
        <w:rPr>
          <w:rFonts w:ascii="Abadi" w:eastAsia="Calibri" w:hAnsi="Abadi"/>
          <w:i/>
          <w:iCs/>
          <w:sz w:val="21"/>
          <w:szCs w:val="21"/>
          <w:lang w:val="es-MX" w:eastAsia="en-US"/>
        </w:rPr>
        <w:t>.</w:t>
      </w:r>
    </w:p>
    <w:p w14:paraId="6F5B6A59" w14:textId="77777777" w:rsidR="0078535D" w:rsidRPr="0078535D" w:rsidRDefault="0078535D" w:rsidP="00E31ECD">
      <w:pPr>
        <w:widowControl w:val="0"/>
        <w:ind w:left="851" w:right="851"/>
        <w:jc w:val="both"/>
        <w:rPr>
          <w:rFonts w:ascii="Abadi" w:eastAsia="Calibri" w:hAnsi="Abadi"/>
          <w:i/>
          <w:iCs/>
          <w:sz w:val="21"/>
          <w:szCs w:val="21"/>
          <w:lang w:val="es-MX" w:eastAsia="en-US"/>
        </w:rPr>
      </w:pPr>
    </w:p>
    <w:p w14:paraId="210BC5E1" w14:textId="77777777" w:rsidR="0078535D" w:rsidRPr="0078535D" w:rsidRDefault="0078535D" w:rsidP="00E31EC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 xml:space="preserve">Aunado a lo anterior, la Corte lnteramericana de Derechos Humanos ha establecido que la interpretación que los Estados deben dar al término "recomendación" debe de ser teleológica, a manera de una </w:t>
      </w:r>
      <w:r w:rsidRPr="0078535D">
        <w:rPr>
          <w:rFonts w:ascii="Abadi" w:eastAsia="Calibri" w:hAnsi="Abadi"/>
          <w:b/>
          <w:bCs/>
          <w:i/>
          <w:iCs/>
          <w:sz w:val="21"/>
          <w:szCs w:val="21"/>
          <w:lang w:val="es-MX" w:eastAsia="en-US"/>
        </w:rPr>
        <w:t>observación</w:t>
      </w:r>
      <w:r w:rsidRPr="0078535D">
        <w:rPr>
          <w:rFonts w:ascii="Abadi" w:eastAsia="Calibri" w:hAnsi="Abadi"/>
          <w:i/>
          <w:iCs/>
          <w:sz w:val="21"/>
          <w:szCs w:val="21"/>
          <w:lang w:val="es-MX" w:eastAsia="en-US"/>
        </w:rPr>
        <w:t xml:space="preserve"> a los gobiernos de los Estados para que adopten medidas progresivas en favor de los derechos humanos dentro del marco de sus leyes internas y sus preceptos constitucionales, al igual que disposiciones apropiadas para fomentar el debido respeto y garantía de los derechos y libertades reconocidos en la Convención Americana sobre Derechos Humanos.</w:t>
      </w:r>
    </w:p>
    <w:p w14:paraId="5BB311CB" w14:textId="77777777" w:rsidR="0078535D" w:rsidRPr="0078535D" w:rsidRDefault="0078535D" w:rsidP="00E31ECD">
      <w:pPr>
        <w:widowControl w:val="0"/>
        <w:ind w:left="851" w:right="851"/>
        <w:jc w:val="both"/>
        <w:rPr>
          <w:rFonts w:ascii="Abadi" w:eastAsia="Calibri" w:hAnsi="Abadi"/>
          <w:i/>
          <w:iCs/>
          <w:sz w:val="21"/>
          <w:szCs w:val="21"/>
          <w:lang w:val="es-MX" w:eastAsia="en-US"/>
        </w:rPr>
      </w:pPr>
    </w:p>
    <w:p w14:paraId="7FBE7667" w14:textId="77777777" w:rsidR="0078535D" w:rsidRPr="0078535D" w:rsidRDefault="0078535D" w:rsidP="00E31EC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Ahora bien, aunque las recomendaciones son instrumentos fundamentales de la CNDH y de la PDHEG en la protección y defensa de derechos humanos, no resultaría suficiente realizar modificaciones normativas en este sentido pues las recomendaciones de este tipo de organismos no son el único medio de actuación, existe un amplio marco jurídico que considera otros como la conciliación, propuestas preventivas, la solución de quejas y las acciones de inconstitucionalidad, además de las acciones de promoción, observancia, estudio, divulgación y de desarrollo institucional.</w:t>
      </w:r>
    </w:p>
    <w:p w14:paraId="48D14F91" w14:textId="77777777" w:rsidR="0078535D" w:rsidRPr="0078535D" w:rsidRDefault="0078535D" w:rsidP="00E31ECD">
      <w:pPr>
        <w:widowControl w:val="0"/>
        <w:ind w:left="851" w:right="851"/>
        <w:jc w:val="both"/>
        <w:rPr>
          <w:rFonts w:ascii="Abadi" w:eastAsia="Calibri" w:hAnsi="Abadi"/>
          <w:i/>
          <w:iCs/>
          <w:sz w:val="21"/>
          <w:szCs w:val="21"/>
          <w:lang w:val="es-MX" w:eastAsia="en-US"/>
        </w:rPr>
      </w:pPr>
    </w:p>
    <w:p w14:paraId="20E65B26" w14:textId="77777777" w:rsidR="0078535D" w:rsidRPr="0078535D" w:rsidRDefault="0078535D" w:rsidP="00E31ECD">
      <w:pPr>
        <w:widowControl w:val="0"/>
        <w:ind w:left="851" w:right="851"/>
        <w:jc w:val="both"/>
        <w:rPr>
          <w:rFonts w:ascii="Abadi" w:eastAsia="Calibri" w:hAnsi="Abadi"/>
          <w:i/>
          <w:iCs/>
          <w:sz w:val="21"/>
          <w:szCs w:val="21"/>
          <w:lang w:val="es-MX" w:eastAsia="en-US"/>
        </w:rPr>
      </w:pPr>
      <w:r w:rsidRPr="0078535D">
        <w:rPr>
          <w:rFonts w:ascii="Abadi" w:eastAsia="Calibri" w:hAnsi="Abadi"/>
          <w:b/>
          <w:bCs/>
          <w:i/>
          <w:iCs/>
          <w:sz w:val="21"/>
          <w:szCs w:val="21"/>
          <w:u w:val="single"/>
          <w:lang w:val="es-MX" w:eastAsia="en-US"/>
        </w:rPr>
        <w:t>Respecto de los mecanismos para potencializar el cumplimiento de recomendaciones: No obstante que las recomendaciones</w:t>
      </w:r>
      <w:r w:rsidRPr="0078535D">
        <w:rPr>
          <w:rFonts w:ascii="Abadi" w:eastAsia="Calibri" w:hAnsi="Abadi"/>
          <w:i/>
          <w:iCs/>
          <w:sz w:val="21"/>
          <w:szCs w:val="21"/>
          <w:lang w:val="es-MX" w:eastAsia="en-US"/>
        </w:rPr>
        <w:t xml:space="preserve"> no son vinculatorias, se debe tomar en consideración que a partir de la reforma constitucional del 10 de junio del 2011 se determinaron mecanismos para potencializar el cumplimiento de las </w:t>
      </w:r>
      <w:r w:rsidRPr="0078535D">
        <w:rPr>
          <w:rFonts w:ascii="Abadi" w:eastAsia="Calibri" w:hAnsi="Abadi"/>
          <w:b/>
          <w:bCs/>
          <w:i/>
          <w:iCs/>
          <w:sz w:val="21"/>
          <w:szCs w:val="21"/>
          <w:lang w:val="es-MX" w:eastAsia="en-US"/>
        </w:rPr>
        <w:t>recomendaciones</w:t>
      </w:r>
      <w:r w:rsidRPr="0078535D">
        <w:rPr>
          <w:rFonts w:ascii="Abadi" w:eastAsia="Calibri" w:hAnsi="Abadi"/>
          <w:i/>
          <w:iCs/>
          <w:sz w:val="21"/>
          <w:szCs w:val="21"/>
          <w:lang w:val="es-MX" w:eastAsia="en-US"/>
        </w:rPr>
        <w:t xml:space="preserve"> de organismos para la protección de los derechos humanos, tal como se lee en el artículo 102, apartado B, párrafo segundo de la Constitución Federal:</w:t>
      </w:r>
    </w:p>
    <w:p w14:paraId="404382BE" w14:textId="77777777" w:rsidR="0078535D" w:rsidRPr="0078535D" w:rsidRDefault="0078535D" w:rsidP="00E31ECD">
      <w:pPr>
        <w:widowControl w:val="0"/>
        <w:ind w:left="851" w:right="851"/>
        <w:jc w:val="both"/>
        <w:rPr>
          <w:rFonts w:ascii="Abadi" w:eastAsia="Calibri" w:hAnsi="Abadi"/>
          <w:i/>
          <w:iCs/>
          <w:sz w:val="21"/>
          <w:szCs w:val="21"/>
          <w:lang w:val="es-MX" w:eastAsia="en-US"/>
        </w:rPr>
      </w:pPr>
    </w:p>
    <w:p w14:paraId="78FB86DD" w14:textId="77777777" w:rsidR="0078535D" w:rsidRPr="0078535D" w:rsidRDefault="0078535D" w:rsidP="00E31EC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"Los organismos a que se refiere el párrafo anterior (organismos de protección de los derechos humanos que ampara el orden jurídico mexicano), formularán recomendaciones públicas, no vinculatorias, denuncias y quejas ante las autoridades respectivas. Todo servidor público está obligado a responder las recomendaciones que les presenten estos organismos. Cuando las recomendaciones emitidas no sean aceptadas o cumplidas por las autoridades o servidores públicos, éstos deberán fundar, motivar y hacer pública su negativa; además, la Cámara de Senadores o en sus recesos la Comisión Permanente, o las legislaturas de las entidades federativas, según corresponda,</w:t>
      </w:r>
      <w:r w:rsidRPr="0078535D">
        <w:rPr>
          <w:rFonts w:ascii="Abadi" w:eastAsia="Calibri" w:hAnsi="Abadi"/>
          <w:b/>
          <w:bCs/>
          <w:i/>
          <w:iCs/>
          <w:sz w:val="21"/>
          <w:szCs w:val="21"/>
          <w:lang w:val="es-MX" w:eastAsia="en-US"/>
        </w:rPr>
        <w:t xml:space="preserve"> podrán llamar, a solicitud de estos organismos, a las autoridades o servidores públicos responsables para que comparezcan ante dichos órganos legislativos, a efecto de que expliquen el motivo de su negativa.</w:t>
      </w:r>
      <w:r w:rsidRPr="0078535D">
        <w:rPr>
          <w:rFonts w:ascii="Abadi" w:eastAsia="Calibri" w:hAnsi="Abadi"/>
          <w:i/>
          <w:iCs/>
          <w:sz w:val="21"/>
          <w:szCs w:val="21"/>
          <w:lang w:val="es-MX" w:eastAsia="en-US"/>
        </w:rPr>
        <w:t>"</w:t>
      </w:r>
    </w:p>
    <w:p w14:paraId="6471D64D" w14:textId="77777777" w:rsidR="0078535D" w:rsidRPr="0078535D" w:rsidRDefault="0078535D" w:rsidP="00E31ECD">
      <w:pPr>
        <w:widowControl w:val="0"/>
        <w:ind w:left="851" w:right="851"/>
        <w:jc w:val="both"/>
        <w:rPr>
          <w:rFonts w:ascii="Abadi" w:eastAsia="Calibri" w:hAnsi="Abadi"/>
          <w:i/>
          <w:iCs/>
          <w:sz w:val="21"/>
          <w:szCs w:val="21"/>
          <w:lang w:val="es-MX" w:eastAsia="en-US"/>
        </w:rPr>
      </w:pPr>
    </w:p>
    <w:p w14:paraId="7E373849" w14:textId="77777777" w:rsidR="0078535D" w:rsidRPr="0078535D" w:rsidRDefault="0078535D" w:rsidP="00E31ECD">
      <w:pPr>
        <w:widowControl w:val="0"/>
        <w:ind w:left="851" w:right="851"/>
        <w:jc w:val="both"/>
        <w:rPr>
          <w:rFonts w:ascii="Abadi" w:eastAsia="Calibri" w:hAnsi="Abadi"/>
          <w:b/>
          <w:bCs/>
          <w:i/>
          <w:iCs/>
          <w:sz w:val="21"/>
          <w:szCs w:val="21"/>
          <w:lang w:val="es-MX" w:eastAsia="en-US"/>
        </w:rPr>
      </w:pPr>
      <w:r w:rsidRPr="0078535D">
        <w:rPr>
          <w:rFonts w:ascii="Abadi" w:eastAsia="Calibri" w:hAnsi="Abadi"/>
          <w:i/>
          <w:iCs/>
          <w:sz w:val="21"/>
          <w:szCs w:val="21"/>
          <w:lang w:val="es-MX" w:eastAsia="en-US"/>
        </w:rPr>
        <w:t xml:space="preserve">Aunado a lo anterior, en el orden estatal se identifica otro procedimiento que prevé el seguimiento de recomendaciones emitidas por parte de la persona titular de la Secretaría General de la Procuraduría de los Derechos Humanos del Estado de Guanajuato, atribución que se encuentra plasmada en el artículo 25 fracción X de la Ley para la Protección de los Derechos Humanos en el Estado de Guanajuato. Asimismo, en el artículo 36 fracción X del Reglamento Interno de la Procuraduría de los Derechos Humanos, se establece como facultad para la misma Secretaría General: "Lllevar un control fiel y exacto de todas las quejas presentadas o radicadas en las diferentes Subprocuradurías, su desarrollo procedimental y, en su caso, el </w:t>
      </w:r>
      <w:r w:rsidRPr="0078535D">
        <w:rPr>
          <w:rFonts w:ascii="Abadi" w:eastAsia="Calibri" w:hAnsi="Abadi"/>
          <w:b/>
          <w:bCs/>
          <w:i/>
          <w:iCs/>
          <w:sz w:val="21"/>
          <w:szCs w:val="21"/>
          <w:lang w:val="es-MX" w:eastAsia="en-US"/>
        </w:rPr>
        <w:t>seguimiento del cumplimiento de las Recomendaciones, Propuestas Preventivas y Acuerdos Emitidos".</w:t>
      </w:r>
    </w:p>
    <w:p w14:paraId="27775370" w14:textId="77777777" w:rsidR="0078535D" w:rsidRPr="0078535D" w:rsidRDefault="0078535D" w:rsidP="00E31ECD">
      <w:pPr>
        <w:widowControl w:val="0"/>
        <w:ind w:left="851" w:right="851"/>
        <w:jc w:val="both"/>
        <w:rPr>
          <w:rFonts w:ascii="Abadi" w:eastAsia="Calibri" w:hAnsi="Abadi"/>
          <w:i/>
          <w:iCs/>
          <w:sz w:val="21"/>
          <w:szCs w:val="21"/>
          <w:lang w:val="es-MX" w:eastAsia="en-US"/>
        </w:rPr>
      </w:pPr>
    </w:p>
    <w:p w14:paraId="27C8C089" w14:textId="77777777" w:rsidR="0078535D" w:rsidRPr="0078535D" w:rsidRDefault="0078535D" w:rsidP="00E31EC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Ahora bien, los supuestos jurídicos relativos al cumplimiento de recomendaciones también se contemplan para la autoridad o servidor público involucrado, pues en el artículo 63 de la Ley referida en el párrafo anterior, se establece un procedimiento para que el Congreso del Estado pueda citar a comparecer ante su comisión legislativa correspondiente, a todo servidor público, estatal o municipal, para que informe las razones de su actuación cuando no acepte u omita una recomendación, o en su caso no cumpla total o parcialmente una recomendación previamente aceptada.</w:t>
      </w:r>
    </w:p>
    <w:p w14:paraId="5B8F213C" w14:textId="77777777" w:rsidR="0078535D" w:rsidRPr="0078535D" w:rsidRDefault="0078535D" w:rsidP="00E31ECD">
      <w:pPr>
        <w:widowControl w:val="0"/>
        <w:ind w:left="851" w:right="851"/>
        <w:jc w:val="both"/>
        <w:rPr>
          <w:rFonts w:ascii="Abadi" w:eastAsia="Calibri" w:hAnsi="Abadi"/>
          <w:i/>
          <w:iCs/>
          <w:sz w:val="21"/>
          <w:szCs w:val="21"/>
          <w:lang w:val="es-MX" w:eastAsia="en-US"/>
        </w:rPr>
      </w:pPr>
    </w:p>
    <w:p w14:paraId="1CFACFFE" w14:textId="77777777" w:rsidR="0078535D" w:rsidRPr="0078535D" w:rsidRDefault="0078535D" w:rsidP="00E31EC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Por todo lo anterior, se identifica que los términos planteados en la iniciativa son procedimientos y mecanismos jurídicos que actualmente se prevén en la legislación federal y estatal, para la CNDH y la PDHEG respectivamente, como observaciones técnicas no vinculatorias, por lo tanto resultaría innecesario establecer una duplicidad de supuestos jurídicos en las leyes que los iniciantes pretenden modificar, además de desvirtuar la naturaleza de los propios organismos de protección de los derechos humanos."</w:t>
      </w:r>
    </w:p>
    <w:p w14:paraId="5D0A0AE7" w14:textId="77777777" w:rsidR="0078535D" w:rsidRPr="0078535D" w:rsidRDefault="0078535D" w:rsidP="00E31ECD">
      <w:pPr>
        <w:widowControl w:val="0"/>
        <w:jc w:val="both"/>
        <w:rPr>
          <w:rFonts w:ascii="Abadi" w:hAnsi="Abadi"/>
          <w:sz w:val="21"/>
          <w:szCs w:val="21"/>
          <w:lang w:val="es-MX" w:eastAsia="en-US"/>
        </w:rPr>
      </w:pPr>
    </w:p>
    <w:p w14:paraId="655132A2" w14:textId="77777777" w:rsidR="0078535D" w:rsidRPr="0078535D" w:rsidRDefault="0078535D" w:rsidP="00E31ECD">
      <w:pPr>
        <w:widowControl w:val="0"/>
        <w:ind w:firstLine="851"/>
        <w:jc w:val="both"/>
        <w:rPr>
          <w:rFonts w:ascii="Abadi" w:eastAsia="Calibri" w:hAnsi="Abadi"/>
          <w:sz w:val="21"/>
          <w:szCs w:val="21"/>
          <w:lang w:val="es-MX" w:eastAsia="en-US"/>
        </w:rPr>
      </w:pPr>
      <w:r w:rsidRPr="0078535D">
        <w:rPr>
          <w:rFonts w:ascii="Abadi" w:eastAsia="Calibri" w:hAnsi="Abadi"/>
          <w:sz w:val="21"/>
          <w:szCs w:val="21"/>
          <w:lang w:val="es-MX" w:eastAsia="en-US"/>
        </w:rPr>
        <w:t>El encargado del Departamento Jurídico de San Luis de la Paz apuntó que:</w:t>
      </w:r>
    </w:p>
    <w:p w14:paraId="77104E36" w14:textId="77777777" w:rsidR="0078535D" w:rsidRPr="0078535D" w:rsidRDefault="0078535D" w:rsidP="0078535D">
      <w:pPr>
        <w:widowControl w:val="0"/>
        <w:spacing w:line="360" w:lineRule="auto"/>
        <w:jc w:val="both"/>
        <w:rPr>
          <w:rFonts w:ascii="Abadi" w:eastAsia="Calibri" w:hAnsi="Abadi"/>
          <w:sz w:val="21"/>
          <w:szCs w:val="21"/>
          <w:lang w:val="es-MX" w:eastAsia="en-US"/>
        </w:rPr>
      </w:pPr>
    </w:p>
    <w:p w14:paraId="479553E5"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 Todas las anteriores encaminadas a fortalecer en Materia de Derechos Humanos, la integridad física, la seguridad jurídica, la libertad personal, y los derechos de niñas, niños y adolescentes del Estado de Guanajuato, y por tanto, las reformas señaladas puntualizan establecer que el cumplimiento y seguimiento de las recomendaciones emitidas por la CNDH o la Procuraduría de los Derechos Humanos del Estado de Guanajuato, sean atendidas con celeridad, eliminando mecanismos que puedan frenar o estorbar el cumplimiento de las recomendaciones antes señaladas y establecer de manera general y particular un procedimiento único, determinado y señalado para la atención oportuna de las recomendaciones realizadas por los organismos en materia de Derechos Humanos.</w:t>
      </w:r>
    </w:p>
    <w:p w14:paraId="46C04FC8"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5AC19275"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Por lo anterior este Departamento Jurídico da su visto bueno para la aprobación de dichas reformas y adiciones a las diferentes leyes del Estado, ya que, con ellas, de aprobarse se tendría un avance en Materia de Derechos Humanos al crear y facultar a las entidades públicas señaladas un procedimiento único, para atender de manera general y particular las recomendaciones emitidas por la Procuraduría de los Derechos Humanos.</w:t>
      </w:r>
    </w:p>
    <w:p w14:paraId="4F1C746F" w14:textId="77777777" w:rsidR="0078535D" w:rsidRPr="0078535D" w:rsidRDefault="0078535D" w:rsidP="0078535D">
      <w:pPr>
        <w:widowControl w:val="0"/>
        <w:spacing w:line="360" w:lineRule="auto"/>
        <w:jc w:val="both"/>
        <w:rPr>
          <w:rFonts w:ascii="Abadi" w:eastAsia="Calibri" w:hAnsi="Abadi"/>
          <w:sz w:val="21"/>
          <w:szCs w:val="21"/>
          <w:lang w:val="es-MX" w:eastAsia="en-US"/>
        </w:rPr>
      </w:pPr>
    </w:p>
    <w:p w14:paraId="11ABAFAD" w14:textId="77777777" w:rsidR="0078535D" w:rsidRPr="0078535D" w:rsidRDefault="0078535D" w:rsidP="0078535D">
      <w:pPr>
        <w:widowControl w:val="0"/>
        <w:spacing w:line="360" w:lineRule="auto"/>
        <w:ind w:firstLine="851"/>
        <w:jc w:val="both"/>
        <w:rPr>
          <w:rFonts w:ascii="Abadi" w:eastAsia="Calibri" w:hAnsi="Abadi"/>
          <w:sz w:val="21"/>
          <w:szCs w:val="21"/>
          <w:lang w:val="es-MX" w:eastAsia="en-US"/>
        </w:rPr>
      </w:pPr>
      <w:r w:rsidRPr="0078535D">
        <w:rPr>
          <w:rFonts w:ascii="Abadi" w:eastAsia="Calibri" w:hAnsi="Abadi"/>
          <w:sz w:val="21"/>
          <w:szCs w:val="21"/>
          <w:lang w:val="es-MX" w:eastAsia="en-US"/>
        </w:rPr>
        <w:t>La Comisión de Derechos Humanos de Victoria refirió que:</w:t>
      </w:r>
    </w:p>
    <w:p w14:paraId="027F422A" w14:textId="77777777" w:rsidR="0078535D" w:rsidRPr="0078535D" w:rsidRDefault="0078535D" w:rsidP="0078535D">
      <w:pPr>
        <w:widowControl w:val="0"/>
        <w:spacing w:line="360" w:lineRule="auto"/>
        <w:ind w:firstLine="851"/>
        <w:jc w:val="both"/>
        <w:rPr>
          <w:rFonts w:ascii="Abadi" w:eastAsia="Calibri" w:hAnsi="Abadi"/>
          <w:sz w:val="21"/>
          <w:szCs w:val="21"/>
          <w:lang w:val="es-MX" w:eastAsia="en-US"/>
        </w:rPr>
      </w:pPr>
    </w:p>
    <w:p w14:paraId="6719EF37"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Para el estado de Guanajuato se cumplió uno de los propósitos para promover y hacer valer de manera efectiva dando seguimiento a los derechos humanos, desde su creación en el año 1992, en este caso cuando los agresores son los servidores públicos perjudicando los derechos del ciudadano.</w:t>
      </w:r>
    </w:p>
    <w:p w14:paraId="68FB0665"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01313360"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Es muy importante que los servidores públicos atiendan las recomendaciones que hacen llegar los organismos de derechos humanos para llegar a acuerdos y soluciones si se llegase a tener un caso que alguna situación en donde el servidor público daña física o moralmente al ciudadano.</w:t>
      </w:r>
    </w:p>
    <w:p w14:paraId="578CA5D1"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49C228C1"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Las recomendaciones emitidas por la Procuraduría de los Derechos Humanos desde el año 1994 hasta el año 2019 se atienden a los siguientes aspectos:</w:t>
      </w:r>
    </w:p>
    <w:p w14:paraId="38A253A6"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466FD17C"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En el periodo de 1994 al 2008 no se atendían las indicaciones por parte de la procuraduría generando un porcentaje muy elevado a los incumplimientos.</w:t>
      </w:r>
    </w:p>
    <w:p w14:paraId="4AC45524"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690330C6"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En el periodo 2009-2014 la procuraduría de derechos humanos empieza a tener mayor credibilidad dónde los demás órganos atendían a los propósitos del mismo.</w:t>
      </w:r>
    </w:p>
    <w:p w14:paraId="3A730EF2"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6B112CC8"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Del año 2025 al 2019 las indicaciones eran en su mayoría atendidas, es decir la procuraduría tuvo mayor credibilidad ante organizaciones y personas.</w:t>
      </w:r>
    </w:p>
    <w:p w14:paraId="0CEFF0D1"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6BF634A6"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La principal violencia que presenta en el estado es la integridad física, la seguridad jurídica, la libertad personal y la falta de respeto de los derechos de las niñas, niños y adolescentes.</w:t>
      </w:r>
    </w:p>
    <w:p w14:paraId="5F4EC362"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6BAA62D6"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El grupo parlamentario del Partido Verde Ecologista de México propone establecer que el cumplimiento y seguimiento de las recomendaciones emitidas por organismos en materia de derechos humanos, por lo que esta comisión hace dar su visto bueno ante estas, para que en el municipio se lleven a cabo las mismas.</w:t>
      </w:r>
    </w:p>
    <w:p w14:paraId="029E9C97"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19E9EF40"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La creación de ordenamientos que se proponen es aceptada por esta comisión ya que si bien cuenta con los elementos para poder llevar a cabo esta acción, teniendo dentro de los mismos un apartado de disposiciones generales mismo que permitirá la creación de un objetivo el cual es salvaguardar los derechos, la coordinación con las autoridad también es un aspecto importante puesto que debe existir comunicación entre ambas partes para un mejor trabajo y poder cumplir el objetivo, es importante también contar dentro de estos ordenamientos el procedimiento en materia de información pues tanto organismo como municipio tiene que existir constante comunicación.</w:t>
      </w:r>
    </w:p>
    <w:p w14:paraId="3E8C2C0A"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2282588C"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Dado a que todo lo anterior es para el bien común y salvaguardar los derechos humanos esta comisión se encuentra en común acuerdo lo antes expuesto.</w:t>
      </w:r>
    </w:p>
    <w:p w14:paraId="7D8BAF53"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72D1F364"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Como integrantes de esta comisión nos parece muy importante que en México se garantice la protección y conservación de los derechos humanos y que en cada una de las instituciones gubernamentales se encuentre una comisión para atender y salvaguardarlos, defendemos el hecho de que exista para que quien requiera de apoyo y/o información de esta se le ofrezca sin ningún problema.</w:t>
      </w:r>
    </w:p>
    <w:p w14:paraId="7B73476C"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1088036E"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El servidor público tiene la obligación de brindar atención al ciudadano, siempre con buena actitud y con todo el respeto que se merecen, es decir, siempre trabajar para el bien común de la sociedad sin que exista el abuso de autoridad, coincidimos con las instancias de derechos humanos han ayudado a que estos sean de conocimiento al ciudadano haciéndoles mención del proceso para el cumplimiento de alguna situación en este aspecto.</w:t>
      </w:r>
    </w:p>
    <w:p w14:paraId="4CF85CEA"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6F11618F"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Nos damos cuenta como a lo largo de los años la atención de derechos humanos crece y prevalece en las instancias y damos cuenta sin duda que las principales violaciones son la integridad física, la libertad personal y los derechos de las niñas, niños y adolescentes, pues en nuestro municipio en algunas personas aún incurren a dichas situaciones.</w:t>
      </w:r>
    </w:p>
    <w:p w14:paraId="08D8A204"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79CC18B0"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Respecto a lo que propone el asistir al servicio de Derechos Humanos y trabajar con lo que se solicita, pues todo es un proceso el cual hay que trabajar para llevar a un buen resultado.</w:t>
      </w:r>
    </w:p>
    <w:p w14:paraId="25DC22B5"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092C3C85"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La creación de ordenamientos es sin duda una buena opción para el proceso, pues bien, a través de lineamientos, reglamentos, disposiciones o cualquier instrumento es bueno para poder tener un buen proceso y resolución de problemas.</w:t>
      </w:r>
    </w:p>
    <w:p w14:paraId="011A67BA"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6D0A00E4"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Coincidimos en la importancia de los apartados de los ordenamientos, pues bien es importante contar con un objetivo, la coordinación entre las dependencias y autoridades, el procedimiento para una buena información, la capacitación para la actualización o conocimiento en la materia y el apartado de responsables de violación a los derechos humanos es importante pues aquí es la parte de la investigación para la solución del problema o situación presentada.</w:t>
      </w:r>
    </w:p>
    <w:p w14:paraId="33D11F1E"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78A3A3AD"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Como comisión nos parece muy importante que se trabaje municipio y estado en el cual se tengan que enviar informes de avances, situaciones o soluciones, esto con la finalidad de que el municipio cuente con él para cualquier duda se le pueda orientar.</w:t>
      </w:r>
    </w:p>
    <w:p w14:paraId="38CB25A0"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646F35AD"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Respecto a lo de adicionar el artículo 76, fracción 1, inciso V, de incorporar atribuciones a los ayuntamientos es muy bueno pues de esta manera si se generará un mayor compromiso.</w:t>
      </w:r>
    </w:p>
    <w:p w14:paraId="196B23CA"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3E48AC1D"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Es importante que el contralor se haga participe en este aspecto para que igual que a otros aspectos en este también se esté observando que el trabajo se esté cumpliendo o en lo contrario tomar las medidas pertinentes.</w:t>
      </w:r>
    </w:p>
    <w:p w14:paraId="04FFA310"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5E1F5E13"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Aunado a lo anterior damos como visto lo bueno los procedimientos, acciones y toma de decisiones que sean en favor de llevar a cabo los derechos humanos.</w:t>
      </w:r>
    </w:p>
    <w:p w14:paraId="7468E0C1" w14:textId="77777777" w:rsidR="0078535D" w:rsidRPr="0078535D" w:rsidRDefault="0078535D" w:rsidP="0078535D">
      <w:pPr>
        <w:widowControl w:val="0"/>
        <w:spacing w:line="360" w:lineRule="auto"/>
        <w:jc w:val="both"/>
        <w:rPr>
          <w:rFonts w:ascii="Abadi" w:hAnsi="Abadi"/>
          <w:sz w:val="21"/>
          <w:szCs w:val="21"/>
          <w:lang w:val="es-MX" w:eastAsia="en-US"/>
        </w:rPr>
      </w:pPr>
    </w:p>
    <w:p w14:paraId="768354DB" w14:textId="77777777" w:rsidR="0078535D" w:rsidRPr="0078535D" w:rsidRDefault="0078535D" w:rsidP="00E31ECD">
      <w:pPr>
        <w:widowControl w:val="0"/>
        <w:ind w:firstLine="851"/>
        <w:jc w:val="both"/>
        <w:rPr>
          <w:rFonts w:ascii="Abadi" w:eastAsia="Calibri" w:hAnsi="Abadi"/>
          <w:sz w:val="21"/>
          <w:szCs w:val="21"/>
          <w:lang w:val="es-MX" w:eastAsia="en-US"/>
        </w:rPr>
      </w:pPr>
      <w:r w:rsidRPr="0078535D">
        <w:rPr>
          <w:rFonts w:ascii="Abadi" w:eastAsia="Calibri" w:hAnsi="Abadi"/>
          <w:sz w:val="21"/>
          <w:szCs w:val="21"/>
          <w:lang w:val="es-MX" w:eastAsia="en-US"/>
        </w:rPr>
        <w:t>La Procuraduría de los Derechos Humanos del Estado de Guanajuato compartió lo siguiente:</w:t>
      </w:r>
    </w:p>
    <w:p w14:paraId="275B426E"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En primer término, la iniciativa reconoce en la exposición de motivos, los avances logrados en materia de derechos humanos a partir del funcionamiento de la Procuraduría estatal, y busca brindarle mejores elementos para el desarrollo de su trabajo; en este caso en particular, a partir de la atribución para que se pueda proponer a autoridades estatales y municipales, la creación de ordenamientos que les permitan observar un mejor cumplimiento, y seguimiento a las recomendaciones realizadas por esta Institución.</w:t>
      </w:r>
    </w:p>
    <w:p w14:paraId="73104CF3"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5365020F"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Ahora bien, conviene hacer alusión que mediante la reforma constitucional del 10 junio de 2011, se produjo un rediseño constitucional sobre el sistema no jurisdiccional de derechos humanos, al modificarse el párrafo segundo del apartado B) del artículo 102 de la Constitución Política de los Estados Unidos Mexicanos, que en forma textual señala:</w:t>
      </w:r>
    </w:p>
    <w:p w14:paraId="650CD5FC"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387A0AE6"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 xml:space="preserve">“Los organismos a que se refiere el párrafo anterior, </w:t>
      </w:r>
      <w:r w:rsidRPr="0078535D">
        <w:rPr>
          <w:rFonts w:ascii="Abadi" w:eastAsia="Calibri" w:hAnsi="Abadi"/>
          <w:b/>
          <w:bCs/>
          <w:i/>
          <w:iCs/>
          <w:sz w:val="21"/>
          <w:szCs w:val="21"/>
          <w:lang w:val="es-MX" w:eastAsia="en-US"/>
        </w:rPr>
        <w:t>formularán recomendaciones públicas, no vinculatorias,</w:t>
      </w:r>
      <w:r w:rsidRPr="0078535D">
        <w:rPr>
          <w:rFonts w:ascii="Abadi" w:eastAsia="Calibri" w:hAnsi="Abadi"/>
          <w:i/>
          <w:iCs/>
          <w:sz w:val="21"/>
          <w:szCs w:val="21"/>
          <w:lang w:val="es-MX" w:eastAsia="en-US"/>
        </w:rPr>
        <w:t xml:space="preserve"> denuncias y quejas ante las autoridades respectivas. </w:t>
      </w:r>
      <w:r w:rsidRPr="0078535D">
        <w:rPr>
          <w:rFonts w:ascii="Abadi" w:eastAsia="Calibri" w:hAnsi="Abadi"/>
          <w:b/>
          <w:bCs/>
          <w:i/>
          <w:iCs/>
          <w:sz w:val="21"/>
          <w:szCs w:val="21"/>
          <w:u w:val="single"/>
          <w:lang w:val="es-MX" w:eastAsia="en-US"/>
        </w:rPr>
        <w:t>Todo servidor público está obligado a responder las recomendaciones que les presenten estos organismos</w:t>
      </w:r>
      <w:r w:rsidRPr="0078535D">
        <w:rPr>
          <w:rFonts w:ascii="Abadi" w:eastAsia="Calibri" w:hAnsi="Abadi"/>
          <w:b/>
          <w:bCs/>
          <w:i/>
          <w:iCs/>
          <w:sz w:val="21"/>
          <w:szCs w:val="21"/>
          <w:lang w:val="es-MX" w:eastAsia="en-US"/>
        </w:rPr>
        <w:t xml:space="preserve">. Cuando las recomendaciones emitidas </w:t>
      </w:r>
      <w:r w:rsidRPr="0078535D">
        <w:rPr>
          <w:rFonts w:ascii="Abadi" w:eastAsia="Calibri" w:hAnsi="Abadi"/>
          <w:b/>
          <w:bCs/>
          <w:i/>
          <w:iCs/>
          <w:sz w:val="21"/>
          <w:szCs w:val="21"/>
          <w:u w:val="single"/>
          <w:lang w:val="es-MX" w:eastAsia="en-US"/>
        </w:rPr>
        <w:t>no sean aceptadas o cumplidas</w:t>
      </w:r>
      <w:r w:rsidRPr="0078535D">
        <w:rPr>
          <w:rFonts w:ascii="Abadi" w:eastAsia="Calibri" w:hAnsi="Abadi"/>
          <w:b/>
          <w:bCs/>
          <w:i/>
          <w:iCs/>
          <w:sz w:val="21"/>
          <w:szCs w:val="21"/>
          <w:lang w:val="es-MX" w:eastAsia="en-US"/>
        </w:rPr>
        <w:t xml:space="preserve"> por las autoridades o servidores públicos, éstos </w:t>
      </w:r>
      <w:r w:rsidRPr="0078535D">
        <w:rPr>
          <w:rFonts w:ascii="Abadi" w:eastAsia="Calibri" w:hAnsi="Abadi"/>
          <w:b/>
          <w:bCs/>
          <w:i/>
          <w:iCs/>
          <w:sz w:val="21"/>
          <w:szCs w:val="21"/>
          <w:u w:val="single"/>
          <w:lang w:val="es-MX" w:eastAsia="en-US"/>
        </w:rPr>
        <w:t>deberán fundar, motivar y hacer pública su negativa</w:t>
      </w:r>
      <w:r w:rsidRPr="0078535D">
        <w:rPr>
          <w:rFonts w:ascii="Abadi" w:eastAsia="Calibri" w:hAnsi="Abadi"/>
          <w:i/>
          <w:iCs/>
          <w:sz w:val="21"/>
          <w:szCs w:val="21"/>
          <w:lang w:val="es-MX" w:eastAsia="en-US"/>
        </w:rPr>
        <w:t xml:space="preserve">; además, la Cámara de Senadores o en sus recesos la Comisión Permanente, o </w:t>
      </w:r>
      <w:r w:rsidRPr="0078535D">
        <w:rPr>
          <w:rFonts w:ascii="Abadi" w:eastAsia="Calibri" w:hAnsi="Abadi"/>
          <w:b/>
          <w:bCs/>
          <w:i/>
          <w:iCs/>
          <w:sz w:val="21"/>
          <w:szCs w:val="21"/>
          <w:lang w:val="es-MX" w:eastAsia="en-US"/>
        </w:rPr>
        <w:t>las legislaturas de las entidades federativas</w:t>
      </w:r>
      <w:r w:rsidRPr="0078535D">
        <w:rPr>
          <w:rFonts w:ascii="Abadi" w:eastAsia="Calibri" w:hAnsi="Abadi"/>
          <w:i/>
          <w:iCs/>
          <w:sz w:val="21"/>
          <w:szCs w:val="21"/>
          <w:lang w:val="es-MX" w:eastAsia="en-US"/>
        </w:rPr>
        <w:t xml:space="preserve">, según corresponda, </w:t>
      </w:r>
      <w:r w:rsidRPr="0078535D">
        <w:rPr>
          <w:rFonts w:ascii="Abadi" w:eastAsia="Calibri" w:hAnsi="Abadi"/>
          <w:b/>
          <w:bCs/>
          <w:i/>
          <w:iCs/>
          <w:sz w:val="21"/>
          <w:szCs w:val="21"/>
          <w:lang w:val="es-MX" w:eastAsia="en-US"/>
        </w:rPr>
        <w:t>podrán llamar, a solicitud de estos organismos, a las autoridades o servidores públicos responsables para que comparezcan ante dichos órganos legislativos, a efecto de que expliquen el motivo de su negativa.</w:t>
      </w:r>
      <w:r w:rsidRPr="0078535D">
        <w:rPr>
          <w:rFonts w:ascii="Abadi" w:eastAsia="Calibri" w:hAnsi="Abadi"/>
          <w:i/>
          <w:iCs/>
          <w:sz w:val="21"/>
          <w:szCs w:val="21"/>
          <w:lang w:val="es-MX" w:eastAsia="en-US"/>
        </w:rPr>
        <w:t>”</w:t>
      </w:r>
    </w:p>
    <w:p w14:paraId="3D00F80A"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69387358"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Del párrafo antes transcrito derivan, los siguientes aspectos torales:</w:t>
      </w:r>
    </w:p>
    <w:p w14:paraId="35ADDD66"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6A135124"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Que el sistema constitucional de emisión de recomendaciones que los organismos protectores de los derechos humanos emiten, no es vinculatorio para las autoridades responsables; es decir, queda a potestad, y no como una obligación constitucional, el que una autoridad acepte o cumpla con una recomendacion emitida.</w:t>
      </w:r>
    </w:p>
    <w:p w14:paraId="021CD009"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2665A9B6"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Ahora bien, centrándonos en la materia base de la iniciativa, y considerando que al quedar como una facultad potestiva para la autoridad, el no cumplimiento de una recomendación, incluso que hubiese sido aceptada de manera previa; no es factible establecer un procedimiento de cumplimiento forzoso de las recomendaciones, a efecto de no contravenir lo establecido en este segundo párrafo de la disposición constitucional.</w:t>
      </w:r>
    </w:p>
    <w:p w14:paraId="252C66B1"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336C47ED"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Es decir, existe una restricción constitucional para forzar a las autoridades responsables de la violación de derechos humanos a la aceptación, pero también al cumplimiento de las recomendaciones, toda vez que no se está en presencia de un sistema vinculatorio, propio de sistemas jurisdiccionales, verbigracia: el juico de amparo.</w:t>
      </w:r>
    </w:p>
    <w:p w14:paraId="5C102EB4"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73DCA6E6"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Por ello, cualquier disposición normativa secundaria que disponga obligaciones sobre el cumplimiento de las recomendaciones emitidas por los organismos protectores de derechos humanos, tendrá visos de inconstitucionalidad; ya que la única obligación constitucional establecida para las autoridades responsables de la violación a derechos humanos, en el caso que se haya emitido una recomendación en su contra, es la de responder, tal como se cita en el párrafo analizado, que señala:</w:t>
      </w:r>
    </w:p>
    <w:p w14:paraId="72FBBAE4"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3E3DA80D"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"Todo servidor público está obligado a responder las recomendaciones..."</w:t>
      </w:r>
    </w:p>
    <w:p w14:paraId="5E64D1DD"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5CD3EEA3"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Así, existe en primer lugar una obligación de responder si se aceptan o no las recomendaciones; sin embargo, haciendo uso de su facultad potestativa constitucional, la autoridad responsable podrá no aceptar o no cumplir la recomendación, resultando aplicable en caso de que así suceda, la otra obligación constitucional de fundar, motivar y hacer pública su negativa; esto es, explicar públicamente sus razones jurídicas sobre la no aceptación o no cumplimiento de la recomendación.</w:t>
      </w:r>
    </w:p>
    <w:p w14:paraId="4976DDDF"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702A9B1C"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Por otro lado, en el supuesto de que la autoridad no funde, no motive o no haga pública su negativa, los organismos protectores de derechos humanos tienen la facultad de solicitar al órgano legislativo federal o estatal, según sea el caso, que se realice el llamado de las autoridades responsables a que:</w:t>
      </w:r>
    </w:p>
    <w:p w14:paraId="2D8D7EFA"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284D15C3"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"…comparezcan ante dichos órganos legislativos, a efecto de que expliquen el motivo de su negativa".</w:t>
      </w:r>
    </w:p>
    <w:p w14:paraId="3048A49F"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6DE025E0"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Debido a ello, aunque se respeta la potestad de la autoridad de no aceptar o no cumplir una recomendación, se propicia una especie de "exposición pública y política", a efecto de que la autoridad responsable transparente las razones de su negativa ante el órgano legislativo correspondiente; pero ello sólo ocurrirá, siempre y cuando lo solicite el organismo de protección de derechos humanos emisor de la recomendación.</w:t>
      </w:r>
    </w:p>
    <w:p w14:paraId="4B19F278"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3D77B53E"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En síntesis, se considera que los órganos legislativos de las entidades federativas no pueden trastocar el diseño constitucional relativo a la aceptación y cumplimiento en materia de recomendaciones, emitidas por los organismos constitucionales protectores de derechos humanos.</w:t>
      </w:r>
    </w:p>
    <w:p w14:paraId="3470E896"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6A978CE5"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A mayor abundamiento, debe resaltarse que la Constitución Política para el Estado de Guanajuato, replica en forma textual en su artículo 4, párrafos cuarto y quinto, el contenido de los párrafos primero y segundo del artículo 102, apartado B), de la Constitución Política de los Estados Unidos Mexicanos y; en tal virtud, el Proyecto de "Iniciativa de reformas y adiciones a diversas leyes estatales para el Cumplimiento y Seguimiento de las Recomendaciones en Materia de Derechos Humanos", a través de la cual se pretenden reformar disposiciones de la Ley para la Protección de los Derechos Humanos en el Estado de Guanajuato, la Ley Orgánica del Poder Ejecutivo y la Ley Orgánica Municipal, a juicio de esta Institución, cuando menos prima facie, se aprecia tiene la finalidad de otorgar al cumplimiento de las recomendaciones que emita el organismo protector de los derechos humanos en el Estado, un carácter obligatorio.</w:t>
      </w:r>
    </w:p>
    <w:p w14:paraId="53051531"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050AD724"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Con lo anterior, se pretenden establecer reformas a normas que obliguen al cumplimiento de las recomedaciones a autoridades estatales y municipales que resulten responsables por violaciones a derechos humanos, lo que como ya se señaló líneas arriba, no es lo más adecuado, de conformidad con el Principio de Supremacía Constitucional, debido a que las reglas sobre este tema, están perfectamente diseñadas en el artículo 102 apartado B de la Constitución Política de los Estados Unidos Mexicanos.</w:t>
      </w:r>
    </w:p>
    <w:p w14:paraId="0BEC277E"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7DB3D513"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Se afirma lo anterior, en razón de que en la propia exposición de motivos de la iniativa presentada, se puede leer de forma textual lo siguiente:</w:t>
      </w:r>
    </w:p>
    <w:p w14:paraId="770244F7"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2D1CBCBB"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w:t>
      </w:r>
      <w:r w:rsidRPr="0078535D">
        <w:rPr>
          <w:rFonts w:ascii="Abadi" w:eastAsia="Calibri" w:hAnsi="Abadi"/>
          <w:i/>
          <w:iCs/>
          <w:sz w:val="21"/>
          <w:szCs w:val="21"/>
          <w:u w:val="single"/>
          <w:lang w:val="es-MX" w:eastAsia="en-US"/>
        </w:rPr>
        <w:t>propone establecer que el cumplimiento y seguimiento de las recomendaciones emitidas por organismos en materia de derechos humanos</w:t>
      </w:r>
      <w:r w:rsidRPr="0078535D">
        <w:rPr>
          <w:rFonts w:ascii="Abadi" w:eastAsia="Calibri" w:hAnsi="Abadi"/>
          <w:i/>
          <w:iCs/>
          <w:sz w:val="21"/>
          <w:szCs w:val="21"/>
          <w:lang w:val="es-MX" w:eastAsia="en-US"/>
        </w:rPr>
        <w:t>, llámese Comisión Nacional de los Derechos Humanos o de la Procuraduría de los Derechos Humanos para el estado de Guanajuato, se atiendan de conformidad con los ordenamientos que se emitan</w:t>
      </w:r>
      <w:r w:rsidRPr="0078535D">
        <w:rPr>
          <w:rFonts w:ascii="Abadi" w:eastAsia="Calibri" w:hAnsi="Abadi"/>
          <w:i/>
          <w:iCs/>
          <w:sz w:val="21"/>
          <w:szCs w:val="21"/>
          <w:u w:val="single"/>
          <w:lang w:val="es-MX" w:eastAsia="en-US"/>
        </w:rPr>
        <w:t>, para observar el cumplimiento y seguimiento de las recomendaciones emitidas a las dependencias y entidades de la administración pública estatal o municipal, con el objeto de cumplir las disposiciones administrativas</w:t>
      </w:r>
      <w:r w:rsidRPr="0078535D">
        <w:rPr>
          <w:rFonts w:ascii="Abadi" w:eastAsia="Calibri" w:hAnsi="Abadi"/>
          <w:i/>
          <w:iCs/>
          <w:sz w:val="21"/>
          <w:szCs w:val="21"/>
          <w:lang w:val="es-MX" w:eastAsia="en-US"/>
        </w:rPr>
        <w:t xml:space="preserve"> necesarias que procuren el cumplimiento de la recomendación. y, por ende, la disminución de estas."</w:t>
      </w:r>
      <w:r w:rsidRPr="0078535D">
        <w:rPr>
          <w:rFonts w:ascii="Abadi" w:hAnsi="Abadi"/>
          <w:i/>
          <w:iCs/>
          <w:sz w:val="21"/>
          <w:szCs w:val="21"/>
          <w:vertAlign w:val="superscript"/>
          <w:lang w:val="es-MX" w:eastAsia="en-US"/>
        </w:rPr>
        <w:footnoteReference w:id="90"/>
      </w:r>
    </w:p>
    <w:p w14:paraId="4281154B"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6D1AC366"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 xml:space="preserve">"..PRIMERO. Se propone reformar la fracción X del artículo 8 de la Ley para la Protección de los Derechos Humanos en el Estado de Guanajuato, </w:t>
      </w:r>
      <w:r w:rsidRPr="0078535D">
        <w:rPr>
          <w:rFonts w:ascii="Abadi" w:eastAsia="Calibri" w:hAnsi="Abadi"/>
          <w:i/>
          <w:iCs/>
          <w:sz w:val="21"/>
          <w:szCs w:val="21"/>
          <w:u w:val="single"/>
          <w:lang w:val="es-MX" w:eastAsia="en-US"/>
        </w:rPr>
        <w:t>con el objetivo de que la Procuraduría de los Derechos Humanos tenga la atribución de proponer a las autoridades estatales y municipales la creación de sus ordenamientos, que les permitan observar el procedimiento de cumplimiento y seguimiento de las recomendaciones</w:t>
      </w:r>
      <w:r w:rsidRPr="0078535D">
        <w:rPr>
          <w:rFonts w:ascii="Abadi" w:eastAsia="Calibri" w:hAnsi="Abadi"/>
          <w:i/>
          <w:iCs/>
          <w:sz w:val="21"/>
          <w:szCs w:val="21"/>
          <w:lang w:val="es-MX" w:eastAsia="en-US"/>
        </w:rPr>
        <w:t xml:space="preserve"> emitidas a las dependencias y entidades de la administración pública..”</w:t>
      </w:r>
      <w:r w:rsidRPr="0078535D">
        <w:rPr>
          <w:rFonts w:ascii="Abadi" w:hAnsi="Abadi"/>
          <w:i/>
          <w:iCs/>
          <w:sz w:val="21"/>
          <w:szCs w:val="21"/>
          <w:vertAlign w:val="superscript"/>
          <w:lang w:val="es-MX" w:eastAsia="en-US"/>
        </w:rPr>
        <w:footnoteReference w:id="91"/>
      </w:r>
    </w:p>
    <w:p w14:paraId="36C70223"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0BA9C9B7"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Para clarificar este punto, se recurre al marco jurídico de un Organismo homónimo, en particular al artículo 6 de la Ley de la Comisión Nacional de los Derechos Humanos, que señala lo siguiente:</w:t>
      </w:r>
    </w:p>
    <w:p w14:paraId="0BAC3286"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681AE544"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Artículo 6o.- La Comisión Nacional tendrá las siguientes atribuciones:</w:t>
      </w:r>
    </w:p>
    <w:p w14:paraId="6ADA5072"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544D1116"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VIII.- Proponer a las diversas autoridades del país, que en el exclusivo ámbito de su competencia, promuevan los cambios y modificaciones de disposiciones legislativas y reglamentarias, así como de prácticas administrativas, que a juicio de la Comisión Nacional redunden en una mejor protección de los derechos humanos;</w:t>
      </w:r>
    </w:p>
    <w:p w14:paraId="2B955395"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1AB445C3"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De lo anterior, se desprende que la Comisión Nacional de los Derechos Humanos cuenta con facultades para proponer a diversas autoridades, que en el ámbito de sus competencias, promuevan cambios y modificaciones a disposiciones legislativas y reglamentarias, en cuyo caso podríamos señalar que cuenta con facultades suficientes para proponer la creación de los ordenamientos para el procedimiento de cumplimiento y seguimiento de las recomendaciones emitidas a las dependencias y entidades de la administración pública.</w:t>
      </w:r>
    </w:p>
    <w:p w14:paraId="10E4FA06"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3B5863CA"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Por otro lado, en el Estado de Guanajuato, el artículo 8</w:t>
      </w:r>
      <w:r w:rsidRPr="0078535D">
        <w:rPr>
          <w:rFonts w:ascii="Abadi" w:eastAsia="Calibri" w:hAnsi="Abadi"/>
          <w:i/>
          <w:iCs/>
          <w:sz w:val="21"/>
          <w:szCs w:val="21"/>
          <w:vertAlign w:val="superscript"/>
          <w:lang w:val="es-MX" w:eastAsia="en-US"/>
        </w:rPr>
        <w:t>o</w:t>
      </w:r>
      <w:r w:rsidRPr="0078535D">
        <w:rPr>
          <w:rFonts w:ascii="Abadi" w:eastAsia="Calibri" w:hAnsi="Abadi"/>
          <w:i/>
          <w:iCs/>
          <w:sz w:val="21"/>
          <w:szCs w:val="21"/>
          <w:lang w:val="es-MX" w:eastAsia="en-US"/>
        </w:rPr>
        <w:t xml:space="preserve"> fracción X de la Ley para la Protección de e la PDHEG, a la letra dice:</w:t>
      </w:r>
    </w:p>
    <w:p w14:paraId="48F90B48"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1532AD43"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"…X. Proponer a las diversas autoridades del Estado y de los municipios que en el ámbito de sus competencias promuevan cambios y modificaciones de disposiciones legislativas y reglamentarias, así como de prácticas administrativas que, a juicoo de la Procuraduría, redunden en una mejor protección de los derechos humanos".</w:t>
      </w:r>
    </w:p>
    <w:p w14:paraId="542DB097"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77DC751B"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De la anterior disposición legal, se colige que a la fecha, no resulta necesario que se formule una nueva propuesta para que la Procuraduría, como se señala en la exposición de motivos en forma textual:</w:t>
      </w:r>
    </w:p>
    <w:p w14:paraId="5F858E5C"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21B33B83"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"…tenga la atribución de proponer a las autoridades estatales y municipales la creación de sus ordenamientos, que les permitan observar el procedimiento de cumplimiento y seguimiento de las recomendaciones emitidas a las dependencias y entidades de la administración pública…”</w:t>
      </w:r>
      <w:r w:rsidRPr="0078535D">
        <w:rPr>
          <w:rFonts w:ascii="Abadi" w:hAnsi="Abadi"/>
          <w:i/>
          <w:iCs/>
          <w:sz w:val="21"/>
          <w:szCs w:val="21"/>
          <w:vertAlign w:val="superscript"/>
          <w:lang w:val="es-MX" w:eastAsia="en-US"/>
        </w:rPr>
        <w:footnoteReference w:id="92"/>
      </w:r>
    </w:p>
    <w:p w14:paraId="73FECD21"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11106234"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Lo anterior resulta así, debido a que el procedimiento de seguimiento y cumplimiento de las recomendaciones, que en forma potestativa las autoridades acepten, implica en sí mismo, la posibilidad de promoción de cambios o modificaciones legislativas, reglamentarias y administrativas, que redundan en una mejor protección de los derechos humanos.</w:t>
      </w:r>
    </w:p>
    <w:p w14:paraId="3C941811"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186C2057"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En síntesis, dicha facultad que se propone, se considera que a la fecha se encuentra vigente en el precepto antes señalado.</w:t>
      </w:r>
    </w:p>
    <w:p w14:paraId="07216D1F"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2863E4A0"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No es óbice a lo anterior, señalar que actualmente el Seguimiento a Recomendaciones emitidas por este Organismo, se fundamenta en la fracción X del artículo 25 de la Ley para la Protección de los Derechos Humanos en el Estado de Guanajuato, que delega como facultad a la Secretaría General de este organismo, dar seguimiento a las recomendaciones emitidas.</w:t>
      </w:r>
    </w:p>
    <w:p w14:paraId="1B46A7F7"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00A68068"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Más aún, es importante precisar que de conformidad con los artículos 61, 62 Y63 de la Ley de la Comisión Nacional de los Derechos Humanos, las personas que figuran como quejosas ante la Procuraduría (o ante cualquier organismo público de protección de derechos humanos de las entidades federativas), tienen acceso a un recurso de impugnación, mismo que puede interponerse en contra de una Recomendación emitida por esta Institución, o cuando la parte quejosa considere que hay insuficiencia en el cumplimiento de la misma por la autoridad, aun cuando la misma Procuraduría considere que la recomendación ha sido debidamente cumplida.</w:t>
      </w:r>
    </w:p>
    <w:p w14:paraId="0E98C8D0"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165C7B6E"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En este sentido, se precisa que el sistema constitucional no jurisdiccional de protección de los derechos humanos, cuenta con una previsión frente al posible incumplimiento de una recomendación emitida por un organismo local, incluso cuando para él mismo la recomendación se encuentre cumplida.</w:t>
      </w:r>
    </w:p>
    <w:p w14:paraId="74F7DBD9"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63BA14D2"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En efecto, cabe señalar que para la resolución de estos recursos, la Comisión Nacional de los Derechos Humanos, solicita informes tanto a la Procuraduría de los Derechos Humanos del Estado de Guanajuato para que justifique su decisión, así como a la autoridad local recomendada; es decir, de conformidad con el artículo 66 de la Ley de la Comisión Nacional de los Derechos Humanos, una vez agotada la tramitación, la Comisión Nacional deberá resolver el recurso de impugnación en un plazo no mayor de sesenta días hábiles, en el cual deberá pronunciarse por:</w:t>
      </w:r>
    </w:p>
    <w:p w14:paraId="74BD9D9E"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2954B4BB"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c) La declaración de suficiencia en el cumplimiento de la Recomendación formulada por el organismo estatal respectivo.</w:t>
      </w:r>
    </w:p>
    <w:p w14:paraId="31A62700"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4E330643"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d) La declaración de insuficiencia en el cumplimiento de la Recomendación del organismo estatal por parte de la autoridad local a la cual se dirigió, supuesto en el que la Comisión Nacional, formulará una Recomendación dirigida a dicha autoridad, la que deberá informar sobre su aceptación y cumplimiento.</w:t>
      </w:r>
    </w:p>
    <w:p w14:paraId="16841B53"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6518F09A"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Por ello, este Organismo considera que si bien, la iniciativa tiene una noble intención de atender un ámbito de mejora en la protección de derechos humanos, se precisa que esta Institución no considera viable la propuesta analizada, atendiendo a los razonamientos expuestos, por lo que se sugiere debe ser, en su caso, replanteada, a efecto de no vulnerar la Supremacía Constitucional y de no sobreregular facultades que actualmente tiene la Procuraduría porque están contenidas en la Ley para la Protección de los Derechos Humanos en el Estado de Guanajuato.</w:t>
      </w:r>
    </w:p>
    <w:p w14:paraId="08D33FA8" w14:textId="77777777" w:rsidR="0078535D" w:rsidRPr="0078535D" w:rsidRDefault="0078535D" w:rsidP="0078535D">
      <w:pPr>
        <w:widowControl w:val="0"/>
        <w:spacing w:line="360" w:lineRule="auto"/>
        <w:jc w:val="both"/>
        <w:rPr>
          <w:rFonts w:ascii="Abadi" w:eastAsia="Calibri" w:hAnsi="Abadi"/>
          <w:sz w:val="21"/>
          <w:szCs w:val="21"/>
          <w:lang w:val="es-MX" w:eastAsia="en-US"/>
        </w:rPr>
      </w:pPr>
    </w:p>
    <w:p w14:paraId="2B3DBF3D" w14:textId="77777777" w:rsidR="0078535D" w:rsidRPr="0078535D" w:rsidRDefault="0078535D" w:rsidP="0078535D">
      <w:pPr>
        <w:widowControl w:val="0"/>
        <w:spacing w:line="360" w:lineRule="auto"/>
        <w:ind w:firstLine="851"/>
        <w:jc w:val="both"/>
        <w:rPr>
          <w:rFonts w:ascii="Abadi" w:eastAsia="Calibri" w:hAnsi="Abadi"/>
          <w:sz w:val="21"/>
          <w:szCs w:val="21"/>
          <w:lang w:val="es-MX" w:eastAsia="en-US"/>
        </w:rPr>
      </w:pPr>
      <w:r w:rsidRPr="0078535D">
        <w:rPr>
          <w:rFonts w:ascii="Abadi" w:eastAsia="Calibri" w:hAnsi="Abadi"/>
          <w:sz w:val="21"/>
          <w:szCs w:val="21"/>
          <w:lang w:val="es-MX" w:eastAsia="en-US"/>
        </w:rPr>
        <w:t>La Coordinación General Jurídica apuntó que:</w:t>
      </w:r>
    </w:p>
    <w:p w14:paraId="7ADE4B44" w14:textId="77777777" w:rsidR="0078535D" w:rsidRPr="0078535D" w:rsidRDefault="0078535D" w:rsidP="0078535D">
      <w:pPr>
        <w:widowControl w:val="0"/>
        <w:spacing w:line="360" w:lineRule="auto"/>
        <w:ind w:firstLine="851"/>
        <w:jc w:val="both"/>
        <w:rPr>
          <w:rFonts w:ascii="Abadi" w:eastAsia="Calibri" w:hAnsi="Abadi"/>
          <w:sz w:val="21"/>
          <w:szCs w:val="21"/>
          <w:lang w:val="es-MX" w:eastAsia="en-US"/>
        </w:rPr>
      </w:pPr>
    </w:p>
    <w:p w14:paraId="3CFA742D"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r w:rsidRPr="0078535D">
        <w:rPr>
          <w:rFonts w:ascii="Abadi" w:eastAsia="Calibri" w:hAnsi="Abadi" w:cs="Calibri"/>
          <w:bCs/>
          <w:i/>
          <w:iCs/>
          <w:sz w:val="21"/>
          <w:szCs w:val="21"/>
          <w:lang w:val="es-MX" w:eastAsia="en-US"/>
        </w:rPr>
        <w:t>La Constitución Política de los Estados Unidos Mexicanos, en su artículo 102 Apartado B, prevé que el Congreso de la Unión y las legislaturas de las entidades federativas, en el ámbito de sus respectivas competencias, establecerán organismos de protección de los derechos humanos que ampara el orden jurídico mexicano, los que conocerán de quejas en contra de actos u omisiones de naturaleza administrativa provenientes de cualquier autoridad o servidor público, con excepción de los del Poder Judicial de la Federación, que violen estos derechos.</w:t>
      </w:r>
    </w:p>
    <w:p w14:paraId="6F47C194"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p>
    <w:p w14:paraId="2EDA45CD"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r w:rsidRPr="0078535D">
        <w:rPr>
          <w:rFonts w:ascii="Abadi" w:eastAsia="Calibri" w:hAnsi="Abadi" w:cs="Calibri"/>
          <w:bCs/>
          <w:i/>
          <w:iCs/>
          <w:sz w:val="21"/>
          <w:szCs w:val="21"/>
          <w:lang w:val="es-MX" w:eastAsia="en-US"/>
        </w:rPr>
        <w:t>Asimismo, establece que los organismos a que se refiere el párrafo anterior, formularán recomendaciones públicas, no vinculatorias, denuncias y quejas ante las autoridades respectivas. Todo servidor público está obligado a responder las recomendaciones que les presenten estos organismos. Cuando las recomendaciones emitidas no sean aceptadas o cumplidas por las autoridades o servidores públicos, éstos deberán fundar, motivar y hacer pública su negativa; además, la Cámara de Senadores o en sus recesos la Comisión Permanente, o las legislaturas de las entidades federativas, según corresponda, podrán llamar, a solicitud de estos organismos, a las autoridades o servidores públicos responsables para que comparezcan ante dichos órganos legislativos, a efecto de que expliquen el motivo de su negativa.</w:t>
      </w:r>
    </w:p>
    <w:p w14:paraId="06B486D8"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p>
    <w:p w14:paraId="56A5B6E1"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r w:rsidRPr="0078535D">
        <w:rPr>
          <w:rFonts w:ascii="Abadi" w:eastAsia="Calibri" w:hAnsi="Abadi" w:cs="Calibri"/>
          <w:bCs/>
          <w:i/>
          <w:iCs/>
          <w:sz w:val="21"/>
          <w:szCs w:val="21"/>
          <w:lang w:val="es-MX" w:eastAsia="en-US"/>
        </w:rPr>
        <w:t>Este artículo prevé que las Constituciones de las entidades federativas establecerán y garantizarán la autonomía de los organismos de protección de los derechos humanos.</w:t>
      </w:r>
    </w:p>
    <w:p w14:paraId="2E65A83C"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p>
    <w:p w14:paraId="0CF3DF1D"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r w:rsidRPr="0078535D">
        <w:rPr>
          <w:rFonts w:ascii="Abadi" w:eastAsia="Calibri" w:hAnsi="Abadi" w:cs="Calibri"/>
          <w:bCs/>
          <w:i/>
          <w:iCs/>
          <w:sz w:val="21"/>
          <w:szCs w:val="21"/>
          <w:lang w:val="es-MX" w:eastAsia="en-US"/>
        </w:rPr>
        <w:t>Es por ello que la Constitución Política para el Estado de Guanajuato en su artículo 4, segundo párrafo establece que la ley determinará la organización, funcionamiento, competencia y procedimientos de un organismo estatal de protección de los derechos humanos, dotado de plena autonomía, que conocerá de quejas en contra de actos u omisiones de naturaleza administrativa provenientes de cualquier autoridad o servidor público de carácter estatal o municipal que violen estos derechos, formulará acuerdos o recomendaciones públicas, no vinculatorias, denuncias y quejas ante las autoridades respectivas.</w:t>
      </w:r>
    </w:p>
    <w:p w14:paraId="02C322CC"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p>
    <w:p w14:paraId="131A959F"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r w:rsidRPr="0078535D">
        <w:rPr>
          <w:rFonts w:ascii="Abadi" w:eastAsia="Calibri" w:hAnsi="Abadi" w:cs="Calibri"/>
          <w:bCs/>
          <w:i/>
          <w:iCs/>
          <w:sz w:val="21"/>
          <w:szCs w:val="21"/>
          <w:lang w:val="es-MX" w:eastAsia="en-US"/>
        </w:rPr>
        <w:t>La Ley para la protección de los derechos humanos en el Estado de Guanajuato es de orden público y tiene por objeto determinar la organización, funcionamiento, competencia y procedimientos del organismo protector de los derechos humanos en el Estado de Guanajuato.</w:t>
      </w:r>
      <w:r w:rsidRPr="0078535D">
        <w:rPr>
          <w:rFonts w:ascii="Abadi" w:eastAsia="Calibri" w:hAnsi="Abadi" w:cs="Calibri"/>
          <w:bCs/>
          <w:i/>
          <w:iCs/>
          <w:sz w:val="21"/>
          <w:szCs w:val="21"/>
          <w:vertAlign w:val="superscript"/>
          <w:lang w:val="es-MX" w:eastAsia="en-US"/>
        </w:rPr>
        <w:footnoteReference w:id="93"/>
      </w:r>
    </w:p>
    <w:p w14:paraId="7DEAC05D"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p>
    <w:p w14:paraId="31E2AB31"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r w:rsidRPr="0078535D">
        <w:rPr>
          <w:rFonts w:ascii="Abadi" w:eastAsia="Calibri" w:hAnsi="Abadi" w:cs="Calibri"/>
          <w:bCs/>
          <w:i/>
          <w:iCs/>
          <w:sz w:val="21"/>
          <w:szCs w:val="21"/>
          <w:lang w:val="es-MX" w:eastAsia="en-US"/>
        </w:rPr>
        <w:t>El artículo 2 de la Ley prevé que ese organismo se denominará Procuraduría de los Derechos Humanos del Estado de Guanajuato y estará dotado de plena autonomía, personalidad jurídica y patrimonio propios.</w:t>
      </w:r>
    </w:p>
    <w:p w14:paraId="5FCE56EF"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p>
    <w:p w14:paraId="09E9EA64" w14:textId="77777777" w:rsidR="0078535D" w:rsidRPr="0078535D" w:rsidRDefault="0078535D" w:rsidP="0078535D">
      <w:pPr>
        <w:widowControl w:val="0"/>
        <w:ind w:left="851" w:right="851"/>
        <w:jc w:val="both"/>
        <w:rPr>
          <w:rFonts w:ascii="Abadi" w:eastAsia="Calibri" w:hAnsi="Abadi" w:cs="Calibri"/>
          <w:bCs/>
          <w:i/>
          <w:iCs/>
          <w:sz w:val="21"/>
          <w:szCs w:val="21"/>
          <w:highlight w:val="yellow"/>
          <w:lang w:val="es-MX" w:eastAsia="en-US"/>
        </w:rPr>
      </w:pPr>
      <w:r w:rsidRPr="0078535D">
        <w:rPr>
          <w:rFonts w:ascii="Abadi" w:eastAsia="Calibri" w:hAnsi="Abadi" w:cs="Calibri"/>
          <w:bCs/>
          <w:i/>
          <w:iCs/>
          <w:sz w:val="21"/>
          <w:szCs w:val="21"/>
          <w:lang w:val="es-MX" w:eastAsia="en-US"/>
        </w:rPr>
        <w:t>La Procuraduría de los Derechos Humanos del Estado de Guanajuato, como se destacó anteriormente, se constituye en un órgano constitucionalmente autónomo, en ese sentido, se estima oportuno valorar si tal como está redactada la fracción X que se busca reformar aporta un valor novedoso a la legislación vigente, toda vez que la Procuraduría cuanta ya con la facultad de llevara a cabo propuestas para que en el ámbito administrativo se provea al cumplimiento de las recomendaciones que hayan sido aceptadas por las autoridades a quien se dirijan.</w:t>
      </w:r>
    </w:p>
    <w:p w14:paraId="6DD1B074"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p>
    <w:p w14:paraId="206B3FD7"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r w:rsidRPr="0078535D">
        <w:rPr>
          <w:rFonts w:ascii="Abadi" w:eastAsia="Calibri" w:hAnsi="Abadi" w:cs="Calibri"/>
          <w:bCs/>
          <w:i/>
          <w:iCs/>
          <w:sz w:val="21"/>
          <w:szCs w:val="21"/>
          <w:lang w:val="es-MX" w:eastAsia="en-US"/>
        </w:rPr>
        <w:t>Cabe señalar que el Reglamento Interno de la Procuraduría de los Derechos Humanos del Estado de Guanajuato es el ordenamiento que reglamenta la operación y funcionamiento de la Procuraduría de los Derechos Humanos para el Estado de Guanajuato, regula su estructura, las facultades y funcionamiento de sus órganos internos como organismo autónomo, con personalidad jurídica y patrimonio propios, cuyo objeto esencial es la protección, defensa, promoción, estudio y divulgación de los Derechos Humanos, así como generar una cultura de respeto a los mismos, en los términos de la Ley para la protección de los Derechos Humanos en el Estado de Guanajuato.</w:t>
      </w:r>
    </w:p>
    <w:p w14:paraId="4D7CCB95"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p>
    <w:p w14:paraId="479B00F9"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r w:rsidRPr="0078535D">
        <w:rPr>
          <w:rFonts w:ascii="Abadi" w:eastAsia="Calibri" w:hAnsi="Abadi" w:cs="Calibri"/>
          <w:bCs/>
          <w:i/>
          <w:iCs/>
          <w:sz w:val="21"/>
          <w:szCs w:val="21"/>
          <w:lang w:val="es-MX" w:eastAsia="en-US"/>
        </w:rPr>
        <w:t>Asimismo, ese Reglamento prevé en su artículo 36, fracción X, que la Secretaría General de la Procuraduría tiene la facultad de llevar un control fiel y exacto de todas las quejas presentadas o radicadas en las diferentes Subprocuradurías, su desarrollo procedimental y, en su caso, el seguimiento del cumplimiento de las Recomendaciones, Propuestas Preventivas, y Acuerdos emitidos.</w:t>
      </w:r>
    </w:p>
    <w:p w14:paraId="2081353D"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p>
    <w:p w14:paraId="17E42467"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r w:rsidRPr="0078535D">
        <w:rPr>
          <w:rFonts w:ascii="Abadi" w:eastAsia="Calibri" w:hAnsi="Abadi" w:cs="Calibri"/>
          <w:bCs/>
          <w:i/>
          <w:iCs/>
          <w:sz w:val="21"/>
          <w:szCs w:val="21"/>
          <w:lang w:val="es-MX" w:eastAsia="en-US"/>
        </w:rPr>
        <w:t>Del mismo modo, el artículo 114 de Reglamento prevé que la Secretaría General hará el seguimiento de Recomendaciones, al realizar esta función reportará el estado de las mismas de acuerdo con las siguientes hipótesis: l.- Recomendaciones aceptadas y cumplidas; II. Recomendaciones aceptadas y cumplidas parcialmente; III. Recomendaciones aceptadas y cumplidas insatisfactoriamente; IV.- Recomendaciones aceptadas y no cumplidas justificadamente; V.- Recomendaciones aceptadas y no cumplidas; VI.- Recomendaciones pendientes de contestación; VII.- Recomendaciones No aceptadas expresamente; VIII.- Recomendaciones No aceptadas por la falta de contestación.</w:t>
      </w:r>
    </w:p>
    <w:p w14:paraId="26554296"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p>
    <w:p w14:paraId="2FE82CB1"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r w:rsidRPr="0078535D">
        <w:rPr>
          <w:rFonts w:ascii="Abadi" w:eastAsia="Calibri" w:hAnsi="Abadi" w:cs="Calibri"/>
          <w:bCs/>
          <w:i/>
          <w:iCs/>
          <w:sz w:val="21"/>
          <w:szCs w:val="21"/>
          <w:lang w:val="es-MX" w:eastAsia="en-US"/>
        </w:rPr>
        <w:t>Aunado a lo anterior, es importante considerar que en los artículos transitorios solo se establece que la Procuraduría de los Derechos Humanos expedirá un proyecto, el cual entregará como sugerencia a los Poderes ejecutivos estatal y municipal, sin mencionar con qué propósito.</w:t>
      </w:r>
    </w:p>
    <w:p w14:paraId="79073E9D"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p>
    <w:p w14:paraId="25FA15B5"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cs="Calibri"/>
          <w:bCs/>
          <w:i/>
          <w:iCs/>
          <w:sz w:val="21"/>
          <w:szCs w:val="21"/>
          <w:lang w:val="es-MX" w:eastAsia="en-US"/>
        </w:rPr>
        <w:t xml:space="preserve">Si bien en los artículos transitorios de los Artículos Segundo y Tercero del Proyecto de Decreto contenido en la iniciativa, se prevé que tanto el Gobernador del Estado y los ayuntamientos </w:t>
      </w:r>
      <w:r w:rsidRPr="0078535D">
        <w:rPr>
          <w:rFonts w:ascii="Abadi" w:eastAsia="Calibri" w:hAnsi="Abadi"/>
          <w:i/>
          <w:iCs/>
          <w:sz w:val="21"/>
          <w:szCs w:val="21"/>
          <w:lang w:val="es-MX" w:eastAsia="en-US"/>
        </w:rPr>
        <w:t>expedirán el ordenamiento para el procedimiento de cumplimiento y seguimiento de las recomendaciones emitidas a las dependencias y entidades de la administración pública; se estima que la reforma propuesta a la Ley para la Protección de los Derechos Humanos en el Estado de Guanajuato carece de eficacia.</w:t>
      </w:r>
    </w:p>
    <w:p w14:paraId="061F8039"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0186B86B"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r w:rsidRPr="0078535D">
        <w:rPr>
          <w:rFonts w:ascii="Abadi" w:eastAsia="Calibri" w:hAnsi="Abadi"/>
          <w:i/>
          <w:iCs/>
          <w:sz w:val="21"/>
          <w:szCs w:val="21"/>
          <w:lang w:val="es-MX" w:eastAsia="en-US"/>
        </w:rPr>
        <w:t>En dicho sentido, también es de observar que no se hace una previsión similar para el Poder Legislativo, quien también es sujeto de poder ser recomendado por la violación a derechos humanos.</w:t>
      </w:r>
    </w:p>
    <w:p w14:paraId="285D8CB5"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p>
    <w:p w14:paraId="27EBB933" w14:textId="77777777" w:rsidR="0078535D" w:rsidRPr="0078535D" w:rsidRDefault="0078535D" w:rsidP="0078535D">
      <w:pPr>
        <w:widowControl w:val="0"/>
        <w:ind w:left="851" w:right="851"/>
        <w:jc w:val="both"/>
        <w:rPr>
          <w:rFonts w:ascii="Abadi" w:eastAsia="Calibri" w:hAnsi="Abadi"/>
          <w:bCs/>
          <w:i/>
          <w:iCs/>
          <w:sz w:val="21"/>
          <w:szCs w:val="21"/>
          <w:lang w:val="es-MX" w:eastAsia="en-US"/>
        </w:rPr>
      </w:pPr>
      <w:r w:rsidRPr="0078535D">
        <w:rPr>
          <w:rFonts w:ascii="Abadi" w:eastAsia="Calibri" w:hAnsi="Abadi" w:cs="Calibri"/>
          <w:bCs/>
          <w:i/>
          <w:iCs/>
          <w:sz w:val="21"/>
          <w:szCs w:val="21"/>
          <w:lang w:val="es-MX" w:eastAsia="en-US"/>
        </w:rPr>
        <w:t xml:space="preserve">Tampoco escapa a este estudio que los apartados propuestos, en el artículo Segundo Transitorio, que deberá contener el proyecto de ordenamiento </w:t>
      </w:r>
      <w:r w:rsidRPr="0078535D">
        <w:rPr>
          <w:rFonts w:ascii="Abadi" w:eastAsia="Calibri" w:hAnsi="Abadi"/>
          <w:i/>
          <w:iCs/>
          <w:sz w:val="21"/>
          <w:szCs w:val="21"/>
          <w:lang w:val="es-MX" w:eastAsia="en-US"/>
        </w:rPr>
        <w:t xml:space="preserve">para el procedimiento de cumplimiento y seguimiento de las recomendaciones emitidas a las dependencias y entidades de la administración pública estatal o municipal, que emitirá la Procuraduría, son similares a los que se establecen en los </w:t>
      </w:r>
      <w:r w:rsidRPr="0078535D">
        <w:rPr>
          <w:rFonts w:ascii="Abadi" w:eastAsia="Calibri" w:hAnsi="Abadi"/>
          <w:bCs/>
          <w:i/>
          <w:iCs/>
          <w:sz w:val="21"/>
          <w:szCs w:val="21"/>
          <w:lang w:val="es-MX" w:eastAsia="en-US"/>
        </w:rPr>
        <w:t>Lineamientos para el procedimiento de cumplimiento y seguimiento de las recomendaciones emitidas a las dependencias y entidades de la Administración Pública Federal, por la Comisión Nacional de los Derechos Humanos, emitidos por la Subsecretaria de Derechos Humanos de la Secretaría de Gobernación, y publicados en el Diario Oficial de la Federación el 19 de agosto de 2014.</w:t>
      </w:r>
      <w:r w:rsidRPr="0078535D">
        <w:rPr>
          <w:rFonts w:ascii="Abadi" w:eastAsia="Calibri" w:hAnsi="Abadi"/>
          <w:bCs/>
          <w:i/>
          <w:iCs/>
          <w:sz w:val="21"/>
          <w:szCs w:val="21"/>
          <w:vertAlign w:val="superscript"/>
          <w:lang w:val="es-MX" w:eastAsia="en-US"/>
        </w:rPr>
        <w:footnoteReference w:id="94"/>
      </w:r>
    </w:p>
    <w:p w14:paraId="192C9669" w14:textId="77777777" w:rsidR="0078535D" w:rsidRPr="0078535D" w:rsidRDefault="0078535D" w:rsidP="0078535D">
      <w:pPr>
        <w:widowControl w:val="0"/>
        <w:ind w:left="851" w:right="851"/>
        <w:jc w:val="both"/>
        <w:rPr>
          <w:rFonts w:ascii="Abadi" w:eastAsia="Calibri" w:hAnsi="Abadi"/>
          <w:bCs/>
          <w:i/>
          <w:iCs/>
          <w:sz w:val="21"/>
          <w:szCs w:val="21"/>
          <w:lang w:val="es-MX" w:eastAsia="en-US"/>
        </w:rPr>
      </w:pPr>
    </w:p>
    <w:p w14:paraId="5E92F0CE" w14:textId="77777777" w:rsidR="0078535D" w:rsidRPr="0078535D" w:rsidRDefault="0078535D" w:rsidP="0078535D">
      <w:pPr>
        <w:widowControl w:val="0"/>
        <w:ind w:left="851" w:right="851"/>
        <w:jc w:val="both"/>
        <w:rPr>
          <w:rFonts w:ascii="Abadi" w:eastAsia="Calibri" w:hAnsi="Abadi"/>
          <w:bCs/>
          <w:i/>
          <w:iCs/>
          <w:sz w:val="21"/>
          <w:szCs w:val="21"/>
          <w:lang w:val="es-MX" w:eastAsia="en-US"/>
        </w:rPr>
      </w:pPr>
      <w:r w:rsidRPr="0078535D">
        <w:rPr>
          <w:rFonts w:ascii="Abadi" w:eastAsia="Calibri" w:hAnsi="Abadi"/>
          <w:bCs/>
          <w:i/>
          <w:iCs/>
          <w:sz w:val="21"/>
          <w:szCs w:val="21"/>
          <w:lang w:val="es-MX" w:eastAsia="en-US"/>
        </w:rPr>
        <w:t>En las consideraciones señaladas por dicha Subsecretaría para la emisión de dichos lineamientos se señala:</w:t>
      </w:r>
    </w:p>
    <w:p w14:paraId="462CE8F0" w14:textId="77777777" w:rsidR="0078535D" w:rsidRPr="0078535D" w:rsidRDefault="0078535D" w:rsidP="0078535D">
      <w:pPr>
        <w:widowControl w:val="0"/>
        <w:ind w:left="851" w:right="851"/>
        <w:jc w:val="both"/>
        <w:rPr>
          <w:rFonts w:ascii="Abadi" w:eastAsia="Calibri" w:hAnsi="Abadi"/>
          <w:bCs/>
          <w:i/>
          <w:iCs/>
          <w:sz w:val="21"/>
          <w:szCs w:val="21"/>
          <w:lang w:val="es-MX" w:eastAsia="en-US"/>
        </w:rPr>
      </w:pPr>
    </w:p>
    <w:p w14:paraId="43F1161B" w14:textId="77777777" w:rsidR="0078535D" w:rsidRPr="0078535D" w:rsidRDefault="0078535D" w:rsidP="0078535D">
      <w:pPr>
        <w:widowControl w:val="0"/>
        <w:ind w:left="1134" w:right="1134"/>
        <w:jc w:val="both"/>
        <w:rPr>
          <w:rFonts w:ascii="Abadi" w:eastAsia="Calibri" w:hAnsi="Abadi"/>
          <w:bCs/>
          <w:i/>
          <w:iCs/>
          <w:sz w:val="21"/>
          <w:szCs w:val="21"/>
          <w:lang w:val="es-MX" w:eastAsia="en-US"/>
        </w:rPr>
      </w:pPr>
      <w:r w:rsidRPr="0078535D">
        <w:rPr>
          <w:rFonts w:ascii="Abadi" w:eastAsia="Calibri" w:hAnsi="Abadi"/>
          <w:bCs/>
          <w:i/>
          <w:iCs/>
          <w:sz w:val="21"/>
          <w:szCs w:val="21"/>
          <w:lang w:val="es-MX" w:eastAsia="en-US"/>
        </w:rPr>
        <w:t>[…[</w:t>
      </w:r>
    </w:p>
    <w:p w14:paraId="12E9D843" w14:textId="77777777" w:rsidR="0078535D" w:rsidRPr="0078535D" w:rsidRDefault="0078535D" w:rsidP="0078535D">
      <w:pPr>
        <w:widowControl w:val="0"/>
        <w:ind w:left="1134" w:right="1134"/>
        <w:jc w:val="both"/>
        <w:rPr>
          <w:rFonts w:ascii="Abadi" w:eastAsia="Calibri" w:hAnsi="Abadi"/>
          <w:bCs/>
          <w:i/>
          <w:iCs/>
          <w:sz w:val="21"/>
          <w:szCs w:val="21"/>
          <w:lang w:val="es-MX" w:eastAsia="en-US"/>
        </w:rPr>
      </w:pPr>
    </w:p>
    <w:p w14:paraId="301A3CA3" w14:textId="77777777" w:rsidR="0078535D" w:rsidRPr="0078535D" w:rsidRDefault="0078535D" w:rsidP="0078535D">
      <w:pPr>
        <w:widowControl w:val="0"/>
        <w:ind w:left="1134" w:right="1134"/>
        <w:jc w:val="both"/>
        <w:rPr>
          <w:rFonts w:ascii="Abadi" w:eastAsia="Calibri" w:hAnsi="Abadi"/>
          <w:bCs/>
          <w:i/>
          <w:iCs/>
          <w:sz w:val="21"/>
          <w:szCs w:val="21"/>
          <w:lang w:val="es-MX" w:eastAsia="en-US"/>
        </w:rPr>
      </w:pPr>
      <w:r w:rsidRPr="0078535D">
        <w:rPr>
          <w:rFonts w:ascii="Abadi" w:eastAsia="Calibri" w:hAnsi="Abadi"/>
          <w:bCs/>
          <w:i/>
          <w:iCs/>
          <w:sz w:val="21"/>
          <w:szCs w:val="21"/>
          <w:lang w:val="es-MX" w:eastAsia="en-US"/>
        </w:rPr>
        <w:t>[…] a la fecha, la Administración Pública Federal cuenta con un número considerable de recomendaciones aceptadas que se encuentran en proceso de cumplimiento, por lo que es necesario intensificar los esfuerzos para garantizar su efectividad;</w:t>
      </w:r>
    </w:p>
    <w:p w14:paraId="7994F8D3"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p>
    <w:p w14:paraId="631ABF05"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r w:rsidRPr="0078535D">
        <w:rPr>
          <w:rFonts w:ascii="Abadi" w:eastAsia="Calibri" w:hAnsi="Abadi" w:cs="Calibri"/>
          <w:bCs/>
          <w:i/>
          <w:iCs/>
          <w:sz w:val="21"/>
          <w:szCs w:val="21"/>
          <w:lang w:val="es-MX" w:eastAsia="en-US"/>
        </w:rPr>
        <w:t>De igual manera, los iniciantes en su exposición de motivos refieren que:</w:t>
      </w:r>
    </w:p>
    <w:p w14:paraId="141F1323"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p>
    <w:p w14:paraId="072DE3E9" w14:textId="77777777" w:rsidR="0078535D" w:rsidRPr="0078535D" w:rsidRDefault="0078535D" w:rsidP="0078535D">
      <w:pPr>
        <w:widowControl w:val="0"/>
        <w:ind w:left="1134" w:right="1134"/>
        <w:jc w:val="both"/>
        <w:rPr>
          <w:rFonts w:ascii="Abadi" w:eastAsia="Calibri" w:hAnsi="Abadi"/>
          <w:bCs/>
          <w:i/>
          <w:iCs/>
          <w:sz w:val="21"/>
          <w:szCs w:val="21"/>
          <w:lang w:val="es-MX" w:eastAsia="en-US"/>
        </w:rPr>
      </w:pPr>
      <w:r w:rsidRPr="0078535D">
        <w:rPr>
          <w:rFonts w:ascii="Abadi" w:eastAsia="Calibri" w:hAnsi="Abadi"/>
          <w:bCs/>
          <w:i/>
          <w:iCs/>
          <w:sz w:val="21"/>
          <w:szCs w:val="21"/>
          <w:lang w:val="es-MX" w:eastAsia="en-US"/>
        </w:rPr>
        <w:t>[…]</w:t>
      </w:r>
    </w:p>
    <w:p w14:paraId="068D0BFC" w14:textId="77777777" w:rsidR="0078535D" w:rsidRPr="0078535D" w:rsidRDefault="0078535D" w:rsidP="0078535D">
      <w:pPr>
        <w:widowControl w:val="0"/>
        <w:ind w:left="1134" w:right="1134"/>
        <w:jc w:val="both"/>
        <w:rPr>
          <w:rFonts w:ascii="Abadi" w:eastAsia="Calibri" w:hAnsi="Abadi"/>
          <w:bCs/>
          <w:i/>
          <w:iCs/>
          <w:sz w:val="21"/>
          <w:szCs w:val="21"/>
          <w:lang w:val="es-MX" w:eastAsia="en-US"/>
        </w:rPr>
      </w:pPr>
    </w:p>
    <w:p w14:paraId="6C1167B5" w14:textId="77777777" w:rsidR="0078535D" w:rsidRPr="0078535D" w:rsidRDefault="0078535D" w:rsidP="0078535D">
      <w:pPr>
        <w:widowControl w:val="0"/>
        <w:ind w:left="1134" w:right="1134"/>
        <w:jc w:val="both"/>
        <w:rPr>
          <w:rFonts w:ascii="Abadi" w:eastAsia="Calibri" w:hAnsi="Abadi"/>
          <w:i/>
          <w:iCs/>
          <w:sz w:val="21"/>
          <w:szCs w:val="21"/>
          <w:lang w:val="es-MX" w:eastAsia="en-US"/>
        </w:rPr>
      </w:pPr>
      <w:r w:rsidRPr="0078535D">
        <w:rPr>
          <w:rFonts w:ascii="Abadi" w:eastAsia="Calibri" w:hAnsi="Abadi"/>
          <w:bCs/>
          <w:i/>
          <w:iCs/>
          <w:sz w:val="21"/>
          <w:szCs w:val="21"/>
          <w:lang w:val="es-MX" w:eastAsia="en-US"/>
        </w:rPr>
        <w:t>Del periodo del año 2015 al año 2019, las recomendaciones no aceptadas oscilan en un rango del 0% al 1%. Y las recomendaciones pendientes por aceptar, el rango oscila entre el 0% al 1%. Resultando que casi todas las recomendaciones emitidas por la Procuraduría de los Derechos Humanos</w:t>
      </w:r>
      <w:r w:rsidRPr="0078535D">
        <w:rPr>
          <w:rFonts w:ascii="Abadi" w:eastAsia="Calibri" w:hAnsi="Abadi"/>
          <w:i/>
          <w:iCs/>
          <w:sz w:val="21"/>
          <w:szCs w:val="21"/>
          <w:lang w:val="es-MX" w:eastAsia="en-US"/>
        </w:rPr>
        <w:t xml:space="preserve"> son aceptadas y de manera inmediata.</w:t>
      </w:r>
    </w:p>
    <w:p w14:paraId="72C48E8D"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p>
    <w:p w14:paraId="799DA48A"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r w:rsidRPr="0078535D">
        <w:rPr>
          <w:rFonts w:ascii="Abadi" w:eastAsia="Calibri" w:hAnsi="Abadi" w:cs="Calibri"/>
          <w:bCs/>
          <w:i/>
          <w:iCs/>
          <w:sz w:val="21"/>
          <w:szCs w:val="21"/>
          <w:lang w:val="es-MX" w:eastAsia="en-US"/>
        </w:rPr>
        <w:t>De ahí que, se puede afirmar, como lo señala la propia iniciativa, que en nuestro estado las recomendaciones en su gran mayoría son aceptadas de manera inmediata, por lo que no se visualiza una situación como la que la administración federal afirma contar.</w:t>
      </w:r>
    </w:p>
    <w:p w14:paraId="2FBE42F0"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p>
    <w:p w14:paraId="311AADF5"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r w:rsidRPr="0078535D">
        <w:rPr>
          <w:rFonts w:ascii="Abadi" w:eastAsia="Calibri" w:hAnsi="Abadi" w:cs="Calibri"/>
          <w:bCs/>
          <w:i/>
          <w:iCs/>
          <w:sz w:val="21"/>
          <w:szCs w:val="21"/>
          <w:lang w:val="es-MX" w:eastAsia="en-US"/>
        </w:rPr>
        <w:t>Los citados lineamientos se componen de VI Capítulos:</w:t>
      </w:r>
    </w:p>
    <w:p w14:paraId="67904F64"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p>
    <w:p w14:paraId="2642A2CB"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r w:rsidRPr="0078535D">
        <w:rPr>
          <w:rFonts w:ascii="Abadi" w:eastAsia="Calibri" w:hAnsi="Abadi" w:cs="Calibri"/>
          <w:bCs/>
          <w:i/>
          <w:iCs/>
          <w:sz w:val="21"/>
          <w:szCs w:val="21"/>
          <w:lang w:val="es-MX" w:eastAsia="en-US"/>
        </w:rPr>
        <w:t>Capítulo I, Disposiciones Generales.</w:t>
      </w:r>
    </w:p>
    <w:p w14:paraId="656C1C10"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r w:rsidRPr="0078535D">
        <w:rPr>
          <w:rFonts w:ascii="Abadi" w:eastAsia="Calibri" w:hAnsi="Abadi" w:cs="Calibri"/>
          <w:bCs/>
          <w:i/>
          <w:iCs/>
          <w:sz w:val="21"/>
          <w:szCs w:val="21"/>
          <w:lang w:val="es-MX" w:eastAsia="en-US"/>
        </w:rPr>
        <w:t>Capítulo II, De la Coordinación entre Autoridades.</w:t>
      </w:r>
    </w:p>
    <w:p w14:paraId="7F7D753D"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r w:rsidRPr="0078535D">
        <w:rPr>
          <w:rFonts w:ascii="Abadi" w:eastAsia="Calibri" w:hAnsi="Abadi" w:cs="Calibri"/>
          <w:bCs/>
          <w:i/>
          <w:iCs/>
          <w:sz w:val="21"/>
          <w:szCs w:val="21"/>
          <w:lang w:val="es-MX" w:eastAsia="en-US"/>
        </w:rPr>
        <w:t>Capítulo III, Del Procedimiento en Materia de Información,</w:t>
      </w:r>
    </w:p>
    <w:p w14:paraId="0B07A6CA"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r w:rsidRPr="0078535D">
        <w:rPr>
          <w:rFonts w:ascii="Abadi" w:eastAsia="Calibri" w:hAnsi="Abadi" w:cs="Calibri"/>
          <w:bCs/>
          <w:i/>
          <w:iCs/>
          <w:sz w:val="21"/>
          <w:szCs w:val="21"/>
          <w:lang w:val="es-MX" w:eastAsia="en-US"/>
        </w:rPr>
        <w:t>Capítulo IV, De la Cooperación en Materia de Capacitación.</w:t>
      </w:r>
    </w:p>
    <w:p w14:paraId="3F965026"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r w:rsidRPr="0078535D">
        <w:rPr>
          <w:rFonts w:ascii="Abadi" w:eastAsia="Calibri" w:hAnsi="Abadi" w:cs="Calibri"/>
          <w:bCs/>
          <w:i/>
          <w:iCs/>
          <w:sz w:val="21"/>
          <w:szCs w:val="21"/>
          <w:lang w:val="es-MX" w:eastAsia="en-US"/>
        </w:rPr>
        <w:t>Capítulo V, De los Responsables de Violaciones a los Derechos Humanos:</w:t>
      </w:r>
    </w:p>
    <w:p w14:paraId="048DA790"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r w:rsidRPr="0078535D">
        <w:rPr>
          <w:rFonts w:ascii="Abadi" w:eastAsia="Calibri" w:hAnsi="Abadi" w:cs="Calibri"/>
          <w:bCs/>
          <w:i/>
          <w:iCs/>
          <w:sz w:val="21"/>
          <w:szCs w:val="21"/>
          <w:lang w:val="es-MX" w:eastAsia="en-US"/>
        </w:rPr>
        <w:t>Capítulo VI, Interpretación.</w:t>
      </w:r>
    </w:p>
    <w:p w14:paraId="4961E60D"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p>
    <w:p w14:paraId="4BC3570A"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r w:rsidRPr="0078535D">
        <w:rPr>
          <w:rFonts w:ascii="Abadi" w:eastAsia="Calibri" w:hAnsi="Abadi" w:cs="Calibri"/>
          <w:bCs/>
          <w:i/>
          <w:iCs/>
          <w:sz w:val="21"/>
          <w:szCs w:val="21"/>
          <w:lang w:val="es-MX" w:eastAsia="en-US"/>
        </w:rPr>
        <w:t>Por lo que con excepción del Capítulo VI, los apartados contemplados en la iniciativa son similares a los del documento federal.</w:t>
      </w:r>
    </w:p>
    <w:p w14:paraId="1FEEFE11"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p>
    <w:p w14:paraId="2E958714"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r w:rsidRPr="0078535D">
        <w:rPr>
          <w:rFonts w:ascii="Abadi" w:eastAsia="Calibri" w:hAnsi="Abadi" w:cs="Calibri"/>
          <w:bCs/>
          <w:i/>
          <w:iCs/>
          <w:sz w:val="21"/>
          <w:szCs w:val="21"/>
          <w:lang w:val="es-MX" w:eastAsia="en-US"/>
        </w:rPr>
        <w:t>Dicho documento se emitió al haberse detectado, entre otras, una situación específica: un número considerable de recomendaciones aceptadas que se encuentran en proceso de cumplimiento; y el mismo, no obedeció a alguna obligación derivada de disposición normativa.</w:t>
      </w:r>
    </w:p>
    <w:p w14:paraId="396BC6E2"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p>
    <w:p w14:paraId="76B9A3EA"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hAnsi="Abadi" w:cs="Calibri"/>
          <w:bCs/>
          <w:i/>
          <w:iCs/>
          <w:sz w:val="21"/>
          <w:szCs w:val="21"/>
          <w:lang w:val="es-MX" w:eastAsia="en-US"/>
        </w:rPr>
        <w:t>En este contexto, se estima importante tener en consideración que no todos los problemas sociales son susceptibles de solucionarse mediante la activación del proceso legislativo para cada conflicto. Ante esta realidad, todo proyecto de iniciativa debe —en la etapa pre legislativa— contar con estudios que permitan conocer la realidad social en la que se busca incidir; los objetivos que se pretende alcanzar; así como los medios con los cuales se cuenta, se hace la reflexión, toda vez que el problema que se busca resolver puede derivarse de cuestiones técnicas que podrían tener solución incluso sin la necesidad de legislar en la materia.</w:t>
      </w:r>
    </w:p>
    <w:p w14:paraId="4AD243B7"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7F7C991F"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r w:rsidRPr="0078535D">
        <w:rPr>
          <w:rFonts w:ascii="Abadi" w:eastAsia="Calibri" w:hAnsi="Abadi" w:cs="Calibri"/>
          <w:bCs/>
          <w:i/>
          <w:iCs/>
          <w:sz w:val="21"/>
          <w:szCs w:val="21"/>
          <w:lang w:val="es-MX" w:eastAsia="en-US"/>
        </w:rPr>
        <w:t>De conformidad con el artículo 8 de la Ley para la protección de los derechos humanos en el Estado de Guanajuato, fracciones VI y VIII, la Procuraduría tiene las atribuciones de formular recomendaciones públicas, no vinculatorias, previo el trámite que establece la presente Ley por violaciones a los derechos humanos y dar seguimiento a las quejas o denuncias de presuntas violaciones de derechos humanos que se cometan en el territorio del Estado respectivamente.</w:t>
      </w:r>
    </w:p>
    <w:p w14:paraId="6A0B2BB3"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p>
    <w:p w14:paraId="49987287"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r w:rsidRPr="0078535D">
        <w:rPr>
          <w:rFonts w:ascii="Abadi" w:eastAsia="Calibri" w:hAnsi="Abadi" w:cs="Calibri"/>
          <w:bCs/>
          <w:i/>
          <w:iCs/>
          <w:sz w:val="21"/>
          <w:szCs w:val="21"/>
          <w:lang w:val="es-MX" w:eastAsia="en-US"/>
        </w:rPr>
        <w:t>Asimismo, el Reglamento Interno de la Procuraduría de los Derechos Humanos del Estado de Guanajuato prevé en su artículo 36, fracción X, que la Secretaría General de la Procuraduría tiene la facultad de llevar un control fiel y exacto de todas las quejas presentadas o radicadas en las diferentes Subprocuradurías, su desarrollo procedimental y, en su caso, el seguimiento del cumplimiento de las Recomendaciones, Propuestas Preventivas, y Acuerdos emitidos.</w:t>
      </w:r>
    </w:p>
    <w:p w14:paraId="786E9296"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p>
    <w:p w14:paraId="44FA73C3"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r w:rsidRPr="0078535D">
        <w:rPr>
          <w:rFonts w:ascii="Abadi" w:eastAsia="Calibri" w:hAnsi="Abadi" w:cs="Calibri"/>
          <w:bCs/>
          <w:i/>
          <w:iCs/>
          <w:sz w:val="21"/>
          <w:szCs w:val="21"/>
          <w:lang w:val="es-MX" w:eastAsia="en-US"/>
        </w:rPr>
        <w:t>Del mismo modo, el artículo 114 de Reglamento prevé que la Secretaría General hará el seguimiento de Recomendaciones, al realizar esta función reportará el estado de las mismas de acuerdo con las siguientes hipótesis: l.- Recomendaciones aceptadas y cumplidas; II. Recomendaciones aceptadas y cumplidas parcialmente; III. Recomendaciones aceptadas y cumplidas insatisfactoriamente; IV.- Recomendaciones aceptadas y no cumplidas justificadamente; V.- Recomendaciones aceptadas y no cumplidas; VI.- Recomendaciones pendientes de contestación; VII.- Recomendaciones No aceptadas expresamente; VIII.- Recomendaciones No aceptadas por la falta de contestación.</w:t>
      </w:r>
    </w:p>
    <w:p w14:paraId="5737CFA3"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p>
    <w:p w14:paraId="13258B37"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r w:rsidRPr="0078535D">
        <w:rPr>
          <w:rFonts w:ascii="Abadi" w:eastAsia="Calibri" w:hAnsi="Abadi" w:cs="Calibri"/>
          <w:bCs/>
          <w:i/>
          <w:iCs/>
          <w:sz w:val="21"/>
          <w:szCs w:val="21"/>
          <w:lang w:val="es-MX" w:eastAsia="en-US"/>
        </w:rPr>
        <w:t xml:space="preserve">Además de lo anterior, es necesario considerar que derivado de la atribución establecida en el artículo 23 fracción I inciso c), el Reglamento Interior de la Secretaría de Gobierno, ya contempla en su artículo 6 fracción XXI como una atribución no delegable de la persona titular: </w:t>
      </w:r>
      <w:r w:rsidRPr="0078535D">
        <w:rPr>
          <w:rFonts w:ascii="Abadi" w:eastAsia="Calibri" w:hAnsi="Abadi"/>
          <w:i/>
          <w:iCs/>
          <w:sz w:val="21"/>
          <w:szCs w:val="21"/>
          <w:lang w:val="es-MX" w:eastAsia="en-US"/>
        </w:rPr>
        <w:t>Coordinar el cumplimiento de las recomendaciones y peticiones de información derivadas de las quejas e investigaciones que emitan los Organismos Públicos defensores de los derechos humanos, federales y locales que involucren a diversas entidades o dependencias del Poder Ejecutivo.</w:t>
      </w:r>
    </w:p>
    <w:p w14:paraId="225A7F25"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p>
    <w:p w14:paraId="04CC70D5"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cs="Calibri"/>
          <w:bCs/>
          <w:i/>
          <w:iCs/>
          <w:sz w:val="21"/>
          <w:szCs w:val="21"/>
          <w:lang w:val="es-MX" w:eastAsia="en-US"/>
        </w:rPr>
        <w:t xml:space="preserve">De igual manera, se cuenta con una Dirección General de Derechos Humanos adscrita a la </w:t>
      </w:r>
      <w:r w:rsidRPr="0078535D">
        <w:rPr>
          <w:rFonts w:ascii="Abadi" w:eastAsia="Calibri" w:hAnsi="Abadi"/>
          <w:i/>
          <w:iCs/>
          <w:sz w:val="21"/>
          <w:szCs w:val="21"/>
          <w:lang w:val="es-MX" w:eastAsia="en-US"/>
        </w:rPr>
        <w:t>Subsecretaría de Vinculación y Desarrollo Político de la Secretaría de Gobierno; la cual, entre otras, tiene la facultad de: Implementar un registro de quejas, recomendaciones y cualquier procedimiento o acto relacionado con las dependencias y entidades del Poder Ejecutivo ante los organismos públicos defensores de los derechos humanos, federales y locales y ante la Comisión Interamericana de Derechos Humanos, para verificar su oportuno seguimiento;</w:t>
      </w:r>
    </w:p>
    <w:p w14:paraId="32114C4F"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5CA93DA0"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hAnsi="Abadi"/>
          <w:i/>
          <w:iCs/>
          <w:sz w:val="21"/>
          <w:szCs w:val="21"/>
          <w:lang w:val="es-MX" w:eastAsia="en-US"/>
        </w:rPr>
        <w:t>Por lo que se invita a ponderar la necesidad de modificar la Ley Orgánica del Poder Ejecutivo para el Estado de Guanajuato.</w:t>
      </w:r>
    </w:p>
    <w:p w14:paraId="63AE158A"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287D36FC"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r w:rsidRPr="0078535D">
        <w:rPr>
          <w:rFonts w:ascii="Abadi" w:eastAsia="Calibri" w:hAnsi="Abadi" w:cs="Calibri"/>
          <w:bCs/>
          <w:i/>
          <w:iCs/>
          <w:sz w:val="21"/>
          <w:szCs w:val="21"/>
          <w:lang w:val="es-MX" w:eastAsia="en-US"/>
        </w:rPr>
        <w:t>En relación a establecer que el municipio dé seguimiento a la atención de las Recomendaciones no se tiene objeción alguna, sin embargo sin necesidad de la adición, los municipios pueden dar dicho seguimiento por ser una obligación constitucional responder a las Recomendaciones.</w:t>
      </w:r>
    </w:p>
    <w:p w14:paraId="66B331F1"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p>
    <w:p w14:paraId="038FE6F0"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r w:rsidRPr="0078535D">
        <w:rPr>
          <w:rFonts w:ascii="Abadi" w:eastAsia="Calibri" w:hAnsi="Abadi" w:cs="Calibri"/>
          <w:bCs/>
          <w:i/>
          <w:iCs/>
          <w:sz w:val="21"/>
          <w:szCs w:val="21"/>
          <w:lang w:val="es-MX" w:eastAsia="en-US"/>
        </w:rPr>
        <w:t>En cuanto a los ordenamientos que establezcan el procedimiento de cumplimiento y seguimiento de las recomendaciones emitidas por la Comisión Nacional de los Derechos Humanos o la Procuraduría de los Derechos Humanos del Estado de Guanajuato, se recomienda valorar el texto propuesto.</w:t>
      </w:r>
    </w:p>
    <w:p w14:paraId="429B2662" w14:textId="77777777" w:rsidR="0078535D" w:rsidRPr="0078535D" w:rsidRDefault="0078535D" w:rsidP="0078535D">
      <w:pPr>
        <w:widowControl w:val="0"/>
        <w:ind w:left="851" w:right="851"/>
        <w:jc w:val="both"/>
        <w:rPr>
          <w:rFonts w:ascii="Abadi" w:eastAsia="Calibri" w:hAnsi="Abadi" w:cs="Calibri"/>
          <w:bCs/>
          <w:i/>
          <w:iCs/>
          <w:sz w:val="21"/>
          <w:szCs w:val="21"/>
          <w:lang w:val="es-MX" w:eastAsia="en-US"/>
        </w:rPr>
      </w:pPr>
    </w:p>
    <w:p w14:paraId="551C42FC"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hAnsi="Abadi" w:cs="Calibri"/>
          <w:bCs/>
          <w:i/>
          <w:iCs/>
          <w:sz w:val="21"/>
          <w:szCs w:val="21"/>
          <w:lang w:val="es-MX" w:eastAsia="en-US"/>
        </w:rPr>
        <w:t>Al considerar que, el Reglamento Interno de la Procuraduría de los Derechos Humanos del Estado de Guanajuato es el ordenamiento que reglamenta la operación y funcionamiento de la Procuraduría de los Derechos Humanos para el Estado de Guanajuato, regula su estructura, las facultades y funcionamiento de sus órganos internos como organismo autónomo, con personalidad jurídica y patrimonio propios, cuyo objeto esencial es la protección, defensa, promoción, estudio y divulgación de los Derechos Humanos, así como generar una cultura de respeto a los mismos, en los términos de la Ley para la protección de los Derechos Humanos en el Estado de Guanajuato.</w:t>
      </w:r>
    </w:p>
    <w:p w14:paraId="38429F08" w14:textId="77777777" w:rsidR="0078535D" w:rsidRPr="0078535D" w:rsidRDefault="0078535D" w:rsidP="0078535D">
      <w:pPr>
        <w:widowControl w:val="0"/>
        <w:spacing w:line="360" w:lineRule="auto"/>
        <w:jc w:val="both"/>
        <w:rPr>
          <w:rFonts w:ascii="Abadi" w:eastAsia="Calibri" w:hAnsi="Abadi"/>
          <w:sz w:val="21"/>
          <w:szCs w:val="21"/>
          <w:lang w:val="es-MX" w:eastAsia="en-US"/>
        </w:rPr>
      </w:pPr>
    </w:p>
    <w:p w14:paraId="6EDBB571" w14:textId="77777777" w:rsidR="0078535D" w:rsidRPr="0078535D" w:rsidRDefault="0078535D" w:rsidP="00E31ECD">
      <w:pPr>
        <w:widowControl w:val="0"/>
        <w:ind w:firstLine="851"/>
        <w:jc w:val="both"/>
        <w:rPr>
          <w:rFonts w:ascii="Abadi" w:eastAsia="Calibri" w:hAnsi="Abadi"/>
          <w:sz w:val="21"/>
          <w:szCs w:val="21"/>
          <w:lang w:val="es-MX" w:eastAsia="en-US"/>
        </w:rPr>
      </w:pPr>
      <w:r w:rsidRPr="0078535D">
        <w:rPr>
          <w:rFonts w:ascii="Abadi" w:eastAsia="Calibri" w:hAnsi="Abadi"/>
          <w:sz w:val="21"/>
          <w:szCs w:val="21"/>
          <w:lang w:val="es-MX" w:eastAsia="en-US"/>
        </w:rPr>
        <w:t>Finalmente, el Instituto de Investigaciones Legislativas opinó que:</w:t>
      </w:r>
    </w:p>
    <w:p w14:paraId="7DCCB173" w14:textId="77777777" w:rsidR="0078535D" w:rsidRPr="0078535D" w:rsidRDefault="0078535D" w:rsidP="0078535D">
      <w:pPr>
        <w:widowControl w:val="0"/>
        <w:spacing w:line="360" w:lineRule="auto"/>
        <w:jc w:val="both"/>
        <w:rPr>
          <w:rFonts w:ascii="Abadi" w:eastAsia="Calibri" w:hAnsi="Abadi"/>
          <w:sz w:val="21"/>
          <w:szCs w:val="21"/>
          <w:lang w:val="es-MX" w:eastAsia="en-US"/>
        </w:rPr>
      </w:pPr>
      <w:bookmarkStart w:id="12" w:name="_Toc66115800"/>
    </w:p>
    <w:p w14:paraId="30C07D4B"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e) Conclusiones</w:t>
      </w:r>
      <w:bookmarkEnd w:id="12"/>
    </w:p>
    <w:p w14:paraId="63936B1A"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2980C1E1"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Por lo descrito y expuesto, advertimos, desde luego, el meritorio esfuerzo y voluntad política, manifiesta en el interés de la diputada y diputado integrantes del grupo parlamentario del partido Verde Ecologista de México, al procurar se legisle un ordenamiento de procedimiento, no solo para el seguimiento, sino sobre todo para que las disposiciones administrativas encaucen el cumplimiento de las recomendaciones en materia de los Derechos Humanos, sin embargo, valoramos innecesarias las reformas y adiciones que se pretenden, como se ha venido reseñando en esta opinión, sin la pretensión de extendernos, consideramos:</w:t>
      </w:r>
    </w:p>
    <w:p w14:paraId="4B9A8AC3"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02CA3342"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Primero: una repetición redundante con el enunciado normativo,</w:t>
      </w:r>
    </w:p>
    <w:p w14:paraId="221D2B58"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54148392"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Segundo: la proclividad a una sobre regulación que acrecentaría las disposiciones normativas innecesariamente,</w:t>
      </w:r>
    </w:p>
    <w:p w14:paraId="32085626"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04DDCF0B" w14:textId="77777777" w:rsidR="0078535D" w:rsidRPr="0078535D" w:rsidRDefault="0078535D" w:rsidP="0078535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Tercero: Indefinición del tipo de ordenamiento, que denominan guía, bien de naturaleza reglamentaria, manual, lineamientos, disposiciones técnicas, particularmente tratándose de normas procedimentales, que sustentan el modo de ejecutar algunas cosas que piden un tracto sucesivo, en especial discurrir su carácter No Vinculatorio, independientemente de la armonización que este debiera tener con el que se emplea en la CNDH, que propician que los contenidos normativos se lleven a la práctica.</w:t>
      </w:r>
    </w:p>
    <w:p w14:paraId="4C5C874D" w14:textId="77777777" w:rsidR="0078535D" w:rsidRPr="0078535D" w:rsidRDefault="0078535D" w:rsidP="0078535D">
      <w:pPr>
        <w:widowControl w:val="0"/>
        <w:ind w:left="851" w:right="851"/>
        <w:jc w:val="both"/>
        <w:rPr>
          <w:rFonts w:ascii="Abadi" w:eastAsia="Calibri" w:hAnsi="Abadi"/>
          <w:i/>
          <w:iCs/>
          <w:sz w:val="21"/>
          <w:szCs w:val="21"/>
          <w:lang w:val="es-MX" w:eastAsia="en-US"/>
        </w:rPr>
      </w:pPr>
    </w:p>
    <w:p w14:paraId="14BF788E" w14:textId="77777777" w:rsidR="0078535D" w:rsidRPr="0078535D" w:rsidRDefault="0078535D" w:rsidP="00E31EC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Cuarto: Previo a provenir a su legislación, estimamos conveniente evaluar la opinión de los Ayuntamientos, de la propuesta que se plantea en la iniciativa, y</w:t>
      </w:r>
    </w:p>
    <w:p w14:paraId="1080A26D" w14:textId="77777777" w:rsidR="0078535D" w:rsidRPr="0078535D" w:rsidRDefault="0078535D" w:rsidP="00E31ECD">
      <w:pPr>
        <w:widowControl w:val="0"/>
        <w:ind w:left="851" w:right="851"/>
        <w:jc w:val="both"/>
        <w:rPr>
          <w:rFonts w:ascii="Abadi" w:eastAsia="Calibri" w:hAnsi="Abadi"/>
          <w:i/>
          <w:iCs/>
          <w:sz w:val="21"/>
          <w:szCs w:val="21"/>
          <w:lang w:val="es-MX" w:eastAsia="en-US"/>
        </w:rPr>
      </w:pPr>
    </w:p>
    <w:p w14:paraId="31E3E3F9" w14:textId="77777777" w:rsidR="0078535D" w:rsidRPr="0078535D" w:rsidRDefault="0078535D" w:rsidP="00E31ECD">
      <w:pPr>
        <w:widowControl w:val="0"/>
        <w:ind w:left="851" w:right="851"/>
        <w:jc w:val="both"/>
        <w:rPr>
          <w:rFonts w:ascii="Abadi" w:eastAsia="Calibri" w:hAnsi="Abadi"/>
          <w:i/>
          <w:iCs/>
          <w:sz w:val="21"/>
          <w:szCs w:val="21"/>
          <w:lang w:val="es-MX" w:eastAsia="en-US"/>
        </w:rPr>
      </w:pPr>
      <w:r w:rsidRPr="0078535D">
        <w:rPr>
          <w:rFonts w:ascii="Abadi" w:eastAsia="Calibri" w:hAnsi="Abadi"/>
          <w:i/>
          <w:iCs/>
          <w:sz w:val="21"/>
          <w:szCs w:val="21"/>
          <w:lang w:val="es-MX" w:eastAsia="en-US"/>
        </w:rPr>
        <w:t>Quinto: Formular una Propuesta de esta índole, no requeriría legislarse para su observancia, en el supuesto que nos ocupa, justipreciamos que la propia Ley y las Prácticas Parlamentarias, disponen la pertinencia de utilizar distintos mecanismos, entre otros, el Convenio, o el Punto de Acuerdo, para los fines que exponen los iniciantes.</w:t>
      </w:r>
    </w:p>
    <w:p w14:paraId="0EADA007" w14:textId="77777777" w:rsidR="0078535D" w:rsidRPr="0078535D" w:rsidRDefault="0078535D" w:rsidP="00E31ECD">
      <w:pPr>
        <w:widowControl w:val="0"/>
        <w:ind w:left="851" w:right="851"/>
        <w:jc w:val="both"/>
        <w:rPr>
          <w:rFonts w:ascii="Abadi" w:eastAsia="Calibri" w:hAnsi="Abadi"/>
          <w:i/>
          <w:iCs/>
          <w:sz w:val="21"/>
          <w:szCs w:val="21"/>
          <w:lang w:val="es-MX" w:eastAsia="en-US"/>
        </w:rPr>
      </w:pPr>
    </w:p>
    <w:p w14:paraId="35E0D47B" w14:textId="77777777" w:rsidR="0078535D" w:rsidRPr="0078535D" w:rsidRDefault="0078535D" w:rsidP="00E31ECD">
      <w:pPr>
        <w:widowControl w:val="0"/>
        <w:ind w:left="851" w:right="851"/>
        <w:jc w:val="both"/>
        <w:rPr>
          <w:rFonts w:ascii="Abadi" w:hAnsi="Abadi"/>
          <w:i/>
          <w:iCs/>
          <w:sz w:val="21"/>
          <w:szCs w:val="21"/>
          <w:lang w:val="es-MX" w:eastAsia="en-US"/>
        </w:rPr>
      </w:pPr>
      <w:r w:rsidRPr="0078535D">
        <w:rPr>
          <w:rFonts w:ascii="Abadi" w:eastAsia="Calibri" w:hAnsi="Abadi"/>
          <w:i/>
          <w:iCs/>
          <w:sz w:val="21"/>
          <w:szCs w:val="21"/>
          <w:lang w:val="es-MX" w:eastAsia="en-US"/>
        </w:rPr>
        <w:t>Finalmente aspiramos que esta modesta opinión, pueda contribuir a la deliberación parlamentaria y a la correspondiente decisión legislativa.</w:t>
      </w:r>
    </w:p>
    <w:p w14:paraId="0D444568" w14:textId="77777777" w:rsidR="0078535D" w:rsidRPr="0078535D" w:rsidRDefault="0078535D" w:rsidP="00E31ECD">
      <w:pPr>
        <w:widowControl w:val="0"/>
        <w:jc w:val="both"/>
        <w:rPr>
          <w:rFonts w:ascii="Abadi" w:hAnsi="Abadi"/>
          <w:sz w:val="21"/>
          <w:szCs w:val="21"/>
          <w:lang w:val="es-MX" w:eastAsia="en-US"/>
        </w:rPr>
      </w:pPr>
    </w:p>
    <w:p w14:paraId="0F276EA4" w14:textId="77777777" w:rsidR="0078535D" w:rsidRPr="0078535D" w:rsidRDefault="0078535D" w:rsidP="00E31ECD">
      <w:pPr>
        <w:widowControl w:val="0"/>
        <w:ind w:left="851"/>
        <w:jc w:val="both"/>
        <w:rPr>
          <w:rFonts w:ascii="Abadi" w:hAnsi="Abadi"/>
          <w:b/>
          <w:sz w:val="21"/>
          <w:szCs w:val="21"/>
          <w:lang w:val="es-MX"/>
        </w:rPr>
      </w:pPr>
      <w:r w:rsidRPr="0078535D">
        <w:rPr>
          <w:rFonts w:ascii="Abadi" w:hAnsi="Abadi" w:cs="Arial"/>
          <w:b/>
          <w:sz w:val="21"/>
          <w:szCs w:val="21"/>
          <w:lang w:val="es-MX"/>
        </w:rPr>
        <w:t>CONSIDERACIONES DE LA COMISIÓN</w:t>
      </w:r>
      <w:r w:rsidRPr="0078535D">
        <w:rPr>
          <w:rFonts w:ascii="Abadi" w:hAnsi="Abadi"/>
          <w:b/>
          <w:sz w:val="21"/>
          <w:szCs w:val="21"/>
          <w:lang w:val="es-MX"/>
        </w:rPr>
        <w:t>.</w:t>
      </w:r>
    </w:p>
    <w:p w14:paraId="76CC4478" w14:textId="77777777" w:rsidR="0078535D" w:rsidRPr="0078535D" w:rsidRDefault="0078535D" w:rsidP="00E31ECD">
      <w:pPr>
        <w:widowControl w:val="0"/>
        <w:jc w:val="both"/>
        <w:rPr>
          <w:rFonts w:ascii="Abadi" w:hAnsi="Abadi"/>
          <w:sz w:val="21"/>
          <w:szCs w:val="21"/>
          <w:lang w:val="es-MX" w:eastAsia="en-US"/>
        </w:rPr>
      </w:pPr>
    </w:p>
    <w:p w14:paraId="156BA6F5" w14:textId="77777777" w:rsidR="0078535D" w:rsidRPr="0078535D" w:rsidRDefault="0078535D" w:rsidP="00E31ECD">
      <w:pPr>
        <w:widowControl w:val="0"/>
        <w:ind w:firstLine="851"/>
        <w:jc w:val="both"/>
        <w:rPr>
          <w:rFonts w:ascii="Abadi" w:hAnsi="Abadi" w:cs="Arial"/>
          <w:sz w:val="21"/>
          <w:szCs w:val="21"/>
          <w:lang w:val="es-MX"/>
        </w:rPr>
      </w:pPr>
      <w:r w:rsidRPr="0078535D">
        <w:rPr>
          <w:rFonts w:ascii="Abadi" w:hAnsi="Abadi" w:cs="Arial"/>
          <w:sz w:val="21"/>
          <w:szCs w:val="21"/>
          <w:lang w:val="es-MX"/>
        </w:rPr>
        <w:t xml:space="preserve">Nuestra ley orgánica otorga a las comisiones legislativas -en el artículo 89, fracción V-, la atribución de </w:t>
      </w:r>
      <w:r w:rsidRPr="0078535D">
        <w:rPr>
          <w:rFonts w:ascii="Abadi" w:hAnsi="Abadi" w:cs="Arial"/>
          <w:i/>
          <w:iCs/>
          <w:sz w:val="21"/>
          <w:szCs w:val="21"/>
          <w:lang w:val="es-MX"/>
        </w:rPr>
        <w:t>dictaminar, atender o resolver las iniciativas de Ley o decreto, acuerdos, proposiciones y asuntos que les hayan sido turnados</w:t>
      </w:r>
      <w:r w:rsidRPr="0078535D">
        <w:rPr>
          <w:rFonts w:ascii="Abadi" w:hAnsi="Abadi" w:cs="Arial"/>
          <w:sz w:val="21"/>
          <w:szCs w:val="21"/>
          <w:lang w:val="es-MX"/>
        </w:rPr>
        <w:t>.</w:t>
      </w:r>
    </w:p>
    <w:p w14:paraId="5DF0C61D" w14:textId="77777777" w:rsidR="0078535D" w:rsidRPr="0078535D" w:rsidRDefault="0078535D" w:rsidP="00E31ECD">
      <w:pPr>
        <w:widowControl w:val="0"/>
        <w:jc w:val="both"/>
        <w:rPr>
          <w:rFonts w:ascii="Abadi" w:hAnsi="Abadi" w:cs="Arial"/>
          <w:sz w:val="21"/>
          <w:szCs w:val="21"/>
          <w:lang w:val="es-MX"/>
        </w:rPr>
      </w:pPr>
    </w:p>
    <w:p w14:paraId="78ED40D1" w14:textId="77777777" w:rsidR="0078535D" w:rsidRPr="0078535D" w:rsidRDefault="0078535D" w:rsidP="00E31ECD">
      <w:pPr>
        <w:widowControl w:val="0"/>
        <w:ind w:firstLine="851"/>
        <w:jc w:val="both"/>
        <w:rPr>
          <w:rFonts w:ascii="Abadi" w:hAnsi="Abadi" w:cs="Arial"/>
          <w:sz w:val="21"/>
          <w:szCs w:val="21"/>
          <w:lang w:val="es-MX"/>
        </w:rPr>
      </w:pPr>
      <w:r w:rsidRPr="0078535D">
        <w:rPr>
          <w:rFonts w:ascii="Abadi" w:hAnsi="Abadi" w:cs="Arial"/>
          <w:sz w:val="21"/>
          <w:szCs w:val="21"/>
          <w:lang w:val="es-MX"/>
        </w:rPr>
        <w:t xml:space="preserve">Esta comisión legislativa tiene competencia para el conocimiento y dictamen de los asuntos que </w:t>
      </w:r>
      <w:r w:rsidRPr="0078535D">
        <w:rPr>
          <w:rFonts w:ascii="Abadi" w:hAnsi="Abadi" w:cs="Arial"/>
          <w:i/>
          <w:iCs/>
          <w:sz w:val="21"/>
          <w:szCs w:val="21"/>
          <w:lang w:val="es-MX"/>
        </w:rPr>
        <w:t>se refieran a las iniciativas de ley o modificaciones, relacionadas con legislación en materia de derechos humanos y atención a grupos vulnerables</w:t>
      </w:r>
      <w:r w:rsidRPr="0078535D">
        <w:rPr>
          <w:rFonts w:ascii="Abadi" w:hAnsi="Abadi" w:cs="Arial"/>
          <w:sz w:val="21"/>
          <w:szCs w:val="21"/>
          <w:lang w:val="es-MX"/>
        </w:rPr>
        <w:t xml:space="preserve"> y de aquellos </w:t>
      </w:r>
      <w:r w:rsidRPr="0078535D">
        <w:rPr>
          <w:rFonts w:ascii="Abadi" w:hAnsi="Abadi" w:cs="Arial"/>
          <w:i/>
          <w:iCs/>
          <w:sz w:val="21"/>
          <w:szCs w:val="21"/>
          <w:lang w:val="es-MX"/>
        </w:rPr>
        <w:t>análogos, que a juicio de la Presidencia del Congreso del Estado, sean materia de tratamiento por esta Comisión</w:t>
      </w:r>
      <w:r w:rsidRPr="0078535D">
        <w:rPr>
          <w:rFonts w:ascii="Abadi" w:hAnsi="Abadi" w:cs="Arial"/>
          <w:sz w:val="21"/>
          <w:szCs w:val="21"/>
          <w:lang w:val="es-MX"/>
        </w:rPr>
        <w:t xml:space="preserve"> (artículos 106 -fracciones I y XII- de la Ley Orgánica del Poder Legislativo del Estado de Guanajuato). Con este fundamento, para estudio y dictamen, se turnó la iniciativa que nos ocupa.</w:t>
      </w:r>
    </w:p>
    <w:p w14:paraId="40DC7C8D" w14:textId="77777777" w:rsidR="0078535D" w:rsidRPr="0078535D" w:rsidRDefault="0078535D" w:rsidP="00E31ECD">
      <w:pPr>
        <w:widowControl w:val="0"/>
        <w:jc w:val="both"/>
        <w:rPr>
          <w:rFonts w:ascii="Abadi" w:hAnsi="Abadi" w:cs="Arial"/>
          <w:sz w:val="21"/>
          <w:szCs w:val="21"/>
          <w:lang w:val="es-MX"/>
        </w:rPr>
      </w:pPr>
    </w:p>
    <w:p w14:paraId="65A2F2FB" w14:textId="77777777" w:rsidR="0078535D" w:rsidRPr="0078535D" w:rsidRDefault="0078535D" w:rsidP="00E31ECD">
      <w:pPr>
        <w:widowControl w:val="0"/>
        <w:ind w:firstLine="851"/>
        <w:jc w:val="both"/>
        <w:rPr>
          <w:rFonts w:ascii="Abadi" w:hAnsi="Abadi" w:cs="Arial"/>
          <w:sz w:val="21"/>
          <w:szCs w:val="21"/>
          <w:lang w:val="es-MX"/>
        </w:rPr>
      </w:pPr>
      <w:r w:rsidRPr="0078535D">
        <w:rPr>
          <w:rFonts w:ascii="Abadi" w:hAnsi="Abadi" w:cs="Arial"/>
          <w:sz w:val="21"/>
          <w:szCs w:val="21"/>
          <w:lang w:val="es-MX"/>
        </w:rPr>
        <w:t>El elemento que tuvimos en cuenta para dictaminar fue el abordaje en la Junta de Gobierno y Coordinación Política, del rezago de los pendientes en comisiones.</w:t>
      </w:r>
    </w:p>
    <w:p w14:paraId="37506525" w14:textId="77777777" w:rsidR="0078535D" w:rsidRPr="0078535D" w:rsidRDefault="0078535D" w:rsidP="00E31ECD">
      <w:pPr>
        <w:widowControl w:val="0"/>
        <w:jc w:val="both"/>
        <w:rPr>
          <w:rFonts w:ascii="Abadi" w:hAnsi="Abadi" w:cs="Arial"/>
          <w:sz w:val="21"/>
          <w:szCs w:val="21"/>
          <w:lang w:val="es-MX"/>
        </w:rPr>
      </w:pPr>
    </w:p>
    <w:p w14:paraId="22450DBE" w14:textId="77777777" w:rsidR="0078535D" w:rsidRPr="0078535D" w:rsidRDefault="0078535D" w:rsidP="00E31ECD">
      <w:pPr>
        <w:widowControl w:val="0"/>
        <w:ind w:firstLine="851"/>
        <w:jc w:val="both"/>
        <w:rPr>
          <w:rFonts w:ascii="Abadi" w:hAnsi="Abadi" w:cs="Arial"/>
          <w:sz w:val="21"/>
          <w:szCs w:val="21"/>
          <w:lang w:val="es-MX"/>
        </w:rPr>
      </w:pPr>
      <w:r w:rsidRPr="0078535D">
        <w:rPr>
          <w:rFonts w:ascii="Abadi" w:hAnsi="Abadi" w:cs="Arial"/>
          <w:sz w:val="21"/>
          <w:szCs w:val="21"/>
          <w:lang w:val="es-MX"/>
        </w:rPr>
        <w:t>Para atender este rezago se estableció, entre otras acciones, que los grupos y representaciones parlamentarios harían un análisis de los asuntos pendientes y manifestarían su interés o no respecto de los mismos. Asimismo, que aquellos asuntos respecto de los cuales no se manifestó interés, se dictaminarían a la brevedad.</w:t>
      </w:r>
    </w:p>
    <w:p w14:paraId="4E2CE892" w14:textId="77777777" w:rsidR="0078535D" w:rsidRPr="0078535D" w:rsidRDefault="0078535D" w:rsidP="00E31ECD">
      <w:pPr>
        <w:widowControl w:val="0"/>
        <w:jc w:val="both"/>
        <w:rPr>
          <w:rFonts w:ascii="Abadi" w:hAnsi="Abadi" w:cs="Arial"/>
          <w:sz w:val="21"/>
          <w:szCs w:val="21"/>
          <w:lang w:val="es-MX"/>
        </w:rPr>
      </w:pPr>
    </w:p>
    <w:p w14:paraId="2BE30BDF" w14:textId="77777777" w:rsidR="0078535D" w:rsidRPr="0078535D" w:rsidRDefault="0078535D" w:rsidP="00E31ECD">
      <w:pPr>
        <w:widowControl w:val="0"/>
        <w:ind w:firstLine="851"/>
        <w:jc w:val="both"/>
        <w:rPr>
          <w:rFonts w:ascii="Abadi" w:hAnsi="Abadi" w:cs="Arial"/>
          <w:sz w:val="21"/>
          <w:szCs w:val="21"/>
          <w:lang w:val="es-MX"/>
        </w:rPr>
      </w:pPr>
      <w:r w:rsidRPr="0078535D">
        <w:rPr>
          <w:rFonts w:ascii="Abadi" w:hAnsi="Abadi" w:cs="Arial"/>
          <w:sz w:val="21"/>
          <w:szCs w:val="21"/>
          <w:lang w:val="es-MX"/>
        </w:rPr>
        <w:t>Esta iniciativa se encuentra dentro de los asuntos que la diputada y el diputado integrantes del Grupo Parlamentario del Partido Verde Ecologista de México de la Sexagésima Quinta Legislatura no desean impulsar, ello en el marco del acuerdo de la Junta de Gobierno y Coordinación Política para depurar los pendientes en comisiones.</w:t>
      </w:r>
    </w:p>
    <w:p w14:paraId="404B33E4" w14:textId="77777777" w:rsidR="0078535D" w:rsidRPr="0078535D" w:rsidRDefault="0078535D" w:rsidP="00E31ECD">
      <w:pPr>
        <w:widowControl w:val="0"/>
        <w:jc w:val="both"/>
        <w:rPr>
          <w:rFonts w:ascii="Abadi" w:hAnsi="Abadi" w:cs="Arial"/>
          <w:sz w:val="21"/>
          <w:szCs w:val="21"/>
          <w:lang w:val="es-MX"/>
        </w:rPr>
      </w:pPr>
    </w:p>
    <w:p w14:paraId="20128F6A" w14:textId="77777777" w:rsidR="0078535D" w:rsidRPr="0078535D" w:rsidRDefault="0078535D" w:rsidP="00E31ECD">
      <w:pPr>
        <w:widowControl w:val="0"/>
        <w:ind w:firstLine="851"/>
        <w:jc w:val="both"/>
        <w:rPr>
          <w:rFonts w:ascii="Abadi" w:hAnsi="Abadi" w:cs="Arial"/>
          <w:sz w:val="21"/>
          <w:szCs w:val="21"/>
          <w:lang w:val="es-MX"/>
        </w:rPr>
      </w:pPr>
      <w:r w:rsidRPr="0078535D">
        <w:rPr>
          <w:rFonts w:ascii="Abadi" w:hAnsi="Abadi" w:cs="Arial"/>
          <w:sz w:val="21"/>
          <w:szCs w:val="21"/>
          <w:lang w:val="es-MX"/>
        </w:rPr>
        <w:t>En atención a las anteriores consideraciones, en reunión de la Comisión celebrada el 10 de agosto de 2022 se acordó por unanimidad dictaminar en sentido negativo la iniciativa.</w:t>
      </w:r>
    </w:p>
    <w:p w14:paraId="0314AA55" w14:textId="77777777" w:rsidR="0078535D" w:rsidRPr="0078535D" w:rsidRDefault="0078535D" w:rsidP="00E31ECD">
      <w:pPr>
        <w:widowControl w:val="0"/>
        <w:jc w:val="both"/>
        <w:rPr>
          <w:rFonts w:ascii="Abadi" w:hAnsi="Abadi" w:cs="Arial"/>
          <w:sz w:val="21"/>
          <w:szCs w:val="21"/>
          <w:lang w:val="es-MX"/>
        </w:rPr>
      </w:pPr>
    </w:p>
    <w:p w14:paraId="4AD723AB" w14:textId="77777777" w:rsidR="0078535D" w:rsidRPr="0078535D" w:rsidRDefault="0078535D" w:rsidP="00E31ECD">
      <w:pPr>
        <w:widowControl w:val="0"/>
        <w:ind w:firstLine="851"/>
        <w:jc w:val="both"/>
        <w:rPr>
          <w:rFonts w:ascii="Abadi" w:hAnsi="Abadi"/>
          <w:sz w:val="21"/>
          <w:szCs w:val="21"/>
          <w:lang w:val="es-MX"/>
        </w:rPr>
      </w:pPr>
      <w:r w:rsidRPr="0078535D">
        <w:rPr>
          <w:rFonts w:ascii="Abadi" w:hAnsi="Abadi" w:cs="Arial"/>
          <w:sz w:val="21"/>
          <w:szCs w:val="21"/>
          <w:lang w:val="es-MX"/>
        </w:rPr>
        <w:t xml:space="preserve">En mérito de lo expuesto, sometemos a </w:t>
      </w:r>
      <w:r w:rsidRPr="0078535D">
        <w:rPr>
          <w:rFonts w:ascii="Abadi" w:hAnsi="Abadi"/>
          <w:sz w:val="21"/>
          <w:szCs w:val="21"/>
          <w:lang w:val="es-MX"/>
        </w:rPr>
        <w:t>consideración de la Asamblea, la aprobación del siguiente:</w:t>
      </w:r>
    </w:p>
    <w:p w14:paraId="3A803815" w14:textId="77777777" w:rsidR="0078535D" w:rsidRPr="0078535D" w:rsidRDefault="0078535D" w:rsidP="00E31ECD">
      <w:pPr>
        <w:widowControl w:val="0"/>
        <w:jc w:val="both"/>
        <w:rPr>
          <w:rFonts w:ascii="Abadi" w:hAnsi="Abadi"/>
          <w:sz w:val="21"/>
          <w:szCs w:val="21"/>
          <w:lang w:val="es-MX"/>
        </w:rPr>
      </w:pPr>
    </w:p>
    <w:p w14:paraId="63F449C1" w14:textId="77777777" w:rsidR="0078535D" w:rsidRPr="0078535D" w:rsidRDefault="0078535D" w:rsidP="00E31ECD">
      <w:pPr>
        <w:widowControl w:val="0"/>
        <w:jc w:val="center"/>
        <w:rPr>
          <w:rFonts w:ascii="Abadi" w:hAnsi="Abadi" w:cs="Arial"/>
          <w:b/>
          <w:sz w:val="21"/>
          <w:szCs w:val="21"/>
          <w:lang w:val="es-MX" w:eastAsia="en-US"/>
        </w:rPr>
      </w:pPr>
      <w:r w:rsidRPr="0078535D">
        <w:rPr>
          <w:rFonts w:ascii="Abadi" w:hAnsi="Abadi" w:cs="Arial"/>
          <w:b/>
          <w:sz w:val="21"/>
          <w:szCs w:val="21"/>
          <w:lang w:val="es-MX" w:eastAsia="en-US"/>
        </w:rPr>
        <w:t>A C U E R D O</w:t>
      </w:r>
    </w:p>
    <w:p w14:paraId="2DBE5FEF" w14:textId="77777777" w:rsidR="0078535D" w:rsidRPr="0078535D" w:rsidRDefault="0078535D" w:rsidP="00E31ECD">
      <w:pPr>
        <w:widowControl w:val="0"/>
        <w:autoSpaceDE w:val="0"/>
        <w:autoSpaceDN w:val="0"/>
        <w:adjustRightInd w:val="0"/>
        <w:jc w:val="both"/>
        <w:rPr>
          <w:rFonts w:ascii="Abadi" w:hAnsi="Abadi" w:cs="Arial"/>
          <w:sz w:val="21"/>
          <w:szCs w:val="21"/>
          <w:lang w:val="es-MX" w:eastAsia="en-US"/>
        </w:rPr>
      </w:pPr>
    </w:p>
    <w:p w14:paraId="7B732019" w14:textId="2B4498C2" w:rsidR="0078535D" w:rsidRPr="0078535D" w:rsidRDefault="0078535D" w:rsidP="00E31ECD">
      <w:pPr>
        <w:widowControl w:val="0"/>
        <w:ind w:right="-1" w:firstLine="851"/>
        <w:jc w:val="both"/>
        <w:rPr>
          <w:rFonts w:ascii="Abadi" w:hAnsi="Abadi"/>
          <w:sz w:val="21"/>
          <w:szCs w:val="21"/>
          <w:lang w:val="es-MX" w:eastAsia="en-US"/>
        </w:rPr>
      </w:pPr>
      <w:r w:rsidRPr="0078535D">
        <w:rPr>
          <w:rFonts w:ascii="Abadi" w:hAnsi="Abadi"/>
          <w:b/>
          <w:bCs/>
          <w:sz w:val="21"/>
          <w:szCs w:val="21"/>
          <w:lang w:val="es-MX" w:eastAsia="en-US"/>
        </w:rPr>
        <w:t>Único.</w:t>
      </w:r>
      <w:r w:rsidRPr="0078535D">
        <w:rPr>
          <w:rFonts w:ascii="Abadi" w:hAnsi="Abadi"/>
          <w:sz w:val="21"/>
          <w:szCs w:val="21"/>
          <w:lang w:val="es-MX" w:eastAsia="en-US"/>
        </w:rPr>
        <w:t xml:space="preserve"> </w:t>
      </w:r>
      <w:r w:rsidRPr="0078535D">
        <w:rPr>
          <w:rFonts w:ascii="Abadi" w:hAnsi="Abadi" w:cs="Arial"/>
          <w:sz w:val="21"/>
          <w:szCs w:val="21"/>
          <w:lang w:val="es-MX" w:eastAsia="en-US"/>
        </w:rPr>
        <w:t xml:space="preserve">No resulta procedente la iniciativa de reformas y adiciones a diversas leyes estatales para el cumplimiento y seguimiento de las recomendaciones en materia de derechos humanos, suscrita por la diputada y el diputado integrantes del Grupo Parlamentario del Partido Verde Ecologista de </w:t>
      </w:r>
      <w:r w:rsidR="00D44763">
        <w:rPr>
          <w:noProof/>
        </w:rPr>
        <w:drawing>
          <wp:anchor distT="0" distB="0" distL="114300" distR="114300" simplePos="0" relativeHeight="251701248" behindDoc="1" locked="0" layoutInCell="1" allowOverlap="1" wp14:anchorId="5136E3EA" wp14:editId="01A5152F">
            <wp:simplePos x="0" y="0"/>
            <wp:positionH relativeFrom="margin">
              <wp:align>right</wp:align>
            </wp:positionH>
            <wp:positionV relativeFrom="paragraph">
              <wp:posOffset>341103</wp:posOffset>
            </wp:positionV>
            <wp:extent cx="1604762" cy="902248"/>
            <wp:effectExtent l="323850" t="323850" r="319405" b="317500"/>
            <wp:wrapTight wrapText="bothSides">
              <wp:wrapPolygon edited="0">
                <wp:start x="-2564" y="-7758"/>
                <wp:lineTo x="-4359" y="-6845"/>
                <wp:lineTo x="-4359" y="22817"/>
                <wp:lineTo x="-2821" y="27837"/>
                <wp:lineTo x="-2564" y="28749"/>
                <wp:lineTo x="23848" y="28749"/>
                <wp:lineTo x="24104" y="27837"/>
                <wp:lineTo x="25643" y="22817"/>
                <wp:lineTo x="25643" y="456"/>
                <wp:lineTo x="23848" y="-6389"/>
                <wp:lineTo x="23848" y="-7758"/>
                <wp:lineTo x="-2564" y="-7758"/>
              </wp:wrapPolygon>
            </wp:wrapTight>
            <wp:docPr id="54" name="Imagen 54" descr="Interfaz de usuario gráfica, Texto, Correo electrónic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Interfaz de usuario gráfica, Texto, Correo electrónico, Sitio web&#10;&#10;Descripción generada automáticament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604762" cy="902248"/>
                    </a:xfrm>
                    <a:prstGeom prst="rect">
                      <a:avLst/>
                    </a:prstGeom>
                    <a:ln w="88900" cap="sq" cmpd="thickThin">
                      <a:solidFill>
                        <a:srgbClr val="000000"/>
                      </a:solidFill>
                      <a:prstDash val="solid"/>
                      <a:miter lim="800000"/>
                    </a:ln>
                    <a:effectLst>
                      <a:glow rad="228600">
                        <a:schemeClr val="accent3">
                          <a:satMod val="175000"/>
                          <a:alpha val="40000"/>
                        </a:schemeClr>
                      </a:glow>
                      <a:innerShdw blurRad="76200">
                        <a:srgbClr val="000000"/>
                      </a:innerShdw>
                    </a:effectLst>
                  </pic:spPr>
                </pic:pic>
              </a:graphicData>
            </a:graphic>
          </wp:anchor>
        </w:drawing>
      </w:r>
      <w:r w:rsidRPr="0078535D">
        <w:rPr>
          <w:rFonts w:ascii="Abadi" w:hAnsi="Abadi" w:cs="Arial"/>
          <w:sz w:val="21"/>
          <w:szCs w:val="21"/>
          <w:lang w:val="es-MX" w:eastAsia="en-US"/>
        </w:rPr>
        <w:t>México ante la Sexagésima Cuarta Legislatura</w:t>
      </w:r>
      <w:r w:rsidRPr="0078535D">
        <w:rPr>
          <w:rFonts w:ascii="Abadi" w:hAnsi="Abadi"/>
          <w:sz w:val="21"/>
          <w:szCs w:val="21"/>
          <w:lang w:val="es-MX" w:eastAsia="en-US"/>
        </w:rPr>
        <w:t>.</w:t>
      </w:r>
    </w:p>
    <w:p w14:paraId="0AA35BD7" w14:textId="77777777" w:rsidR="0078535D" w:rsidRPr="0078535D" w:rsidRDefault="0078535D" w:rsidP="00E31ECD">
      <w:pPr>
        <w:widowControl w:val="0"/>
        <w:ind w:right="-1"/>
        <w:jc w:val="both"/>
        <w:rPr>
          <w:rFonts w:ascii="Abadi" w:hAnsi="Abadi"/>
          <w:sz w:val="21"/>
          <w:szCs w:val="21"/>
          <w:lang w:val="es-MX" w:eastAsia="en-US"/>
        </w:rPr>
      </w:pPr>
    </w:p>
    <w:p w14:paraId="38070B37" w14:textId="77777777" w:rsidR="0078535D" w:rsidRPr="0078535D" w:rsidRDefault="0078535D" w:rsidP="00E31ECD">
      <w:pPr>
        <w:widowControl w:val="0"/>
        <w:ind w:right="-1" w:firstLine="851"/>
        <w:jc w:val="both"/>
        <w:rPr>
          <w:rFonts w:ascii="Abadi" w:hAnsi="Abadi"/>
          <w:sz w:val="21"/>
          <w:szCs w:val="21"/>
          <w:lang w:val="es-MX" w:eastAsia="en-US"/>
        </w:rPr>
      </w:pPr>
      <w:r w:rsidRPr="0078535D">
        <w:rPr>
          <w:rFonts w:ascii="Abadi" w:hAnsi="Abadi"/>
          <w:sz w:val="21"/>
          <w:szCs w:val="21"/>
          <w:lang w:val="es-MX" w:eastAsia="en-US"/>
        </w:rPr>
        <w:t>En consecuencia, se ordena el archivo definitivo de la iniciativa.</w:t>
      </w:r>
    </w:p>
    <w:p w14:paraId="01461B18" w14:textId="77777777" w:rsidR="0078535D" w:rsidRPr="0078535D" w:rsidRDefault="0078535D" w:rsidP="0078535D">
      <w:pPr>
        <w:widowControl w:val="0"/>
        <w:spacing w:line="360" w:lineRule="auto"/>
        <w:ind w:right="-1"/>
        <w:jc w:val="both"/>
        <w:rPr>
          <w:rFonts w:ascii="Abadi" w:hAnsi="Abadi"/>
          <w:sz w:val="21"/>
          <w:szCs w:val="21"/>
          <w:lang w:val="es-MX" w:eastAsia="en-US"/>
        </w:rPr>
      </w:pPr>
    </w:p>
    <w:p w14:paraId="798A2096" w14:textId="77777777" w:rsidR="0078535D" w:rsidRPr="0078535D" w:rsidRDefault="0078535D" w:rsidP="0078535D">
      <w:pPr>
        <w:widowControl w:val="0"/>
        <w:jc w:val="center"/>
        <w:rPr>
          <w:rFonts w:ascii="Abadi" w:eastAsia="Arial Unicode MS" w:hAnsi="Abadi" w:cs="Arial"/>
          <w:b/>
          <w:iCs/>
          <w:sz w:val="21"/>
          <w:szCs w:val="21"/>
          <w:lang w:val="es-MX" w:eastAsia="en-US"/>
        </w:rPr>
      </w:pPr>
      <w:r w:rsidRPr="0078535D">
        <w:rPr>
          <w:rFonts w:ascii="Abadi" w:eastAsia="Arial Unicode MS" w:hAnsi="Abadi" w:cs="Arial"/>
          <w:b/>
          <w:iCs/>
          <w:sz w:val="21"/>
          <w:szCs w:val="21"/>
          <w:lang w:val="es-MX" w:eastAsia="en-US"/>
        </w:rPr>
        <w:t>Guanajuato, Gto., 17 de agosto de 2022</w:t>
      </w:r>
    </w:p>
    <w:p w14:paraId="43111587" w14:textId="77777777" w:rsidR="0078535D" w:rsidRPr="0078535D" w:rsidRDefault="0078535D" w:rsidP="0078535D">
      <w:pPr>
        <w:widowControl w:val="0"/>
        <w:jc w:val="center"/>
        <w:rPr>
          <w:rFonts w:ascii="Abadi" w:eastAsia="Calibri" w:hAnsi="Abadi"/>
          <w:b/>
          <w:sz w:val="21"/>
          <w:szCs w:val="21"/>
          <w:lang w:val="es-MX" w:eastAsia="en-US"/>
        </w:rPr>
      </w:pPr>
      <w:r w:rsidRPr="0078535D">
        <w:rPr>
          <w:rFonts w:ascii="Abadi" w:eastAsia="Calibri" w:hAnsi="Abadi"/>
          <w:b/>
          <w:sz w:val="21"/>
          <w:szCs w:val="21"/>
          <w:lang w:val="es-MX" w:eastAsia="en-US"/>
        </w:rPr>
        <w:t>La Comisión de Derechos Humanos y Atención a Grupos Vulnerables</w:t>
      </w:r>
    </w:p>
    <w:p w14:paraId="4DDDE640" w14:textId="22760CF8" w:rsidR="0078535D" w:rsidRDefault="0078535D" w:rsidP="0078535D">
      <w:pPr>
        <w:widowControl w:val="0"/>
        <w:jc w:val="center"/>
        <w:rPr>
          <w:rFonts w:ascii="Abadi" w:hAnsi="Abadi" w:cs="Arial"/>
          <w:b/>
          <w:bCs/>
          <w:sz w:val="21"/>
          <w:szCs w:val="21"/>
          <w:lang w:val="es-MX" w:eastAsia="en-US"/>
        </w:rPr>
      </w:pPr>
    </w:p>
    <w:p w14:paraId="25DC5538" w14:textId="77777777" w:rsidR="0078535D" w:rsidRPr="0078535D" w:rsidRDefault="0078535D" w:rsidP="0078535D">
      <w:pPr>
        <w:widowControl w:val="0"/>
        <w:jc w:val="center"/>
        <w:rPr>
          <w:rFonts w:ascii="Abadi" w:hAnsi="Abadi" w:cs="Arial"/>
          <w:b/>
          <w:bCs/>
          <w:sz w:val="21"/>
          <w:szCs w:val="21"/>
          <w:lang w:val="es-MX" w:eastAsia="en-US"/>
        </w:rPr>
      </w:pPr>
    </w:p>
    <w:p w14:paraId="54D6F63F" w14:textId="77777777" w:rsidR="0078535D" w:rsidRPr="0078535D" w:rsidRDefault="0078535D" w:rsidP="0078535D">
      <w:pPr>
        <w:widowControl w:val="0"/>
        <w:jc w:val="both"/>
        <w:rPr>
          <w:rFonts w:ascii="Abadi" w:hAnsi="Abadi" w:cs="Arial"/>
          <w:b/>
          <w:bCs/>
          <w:sz w:val="21"/>
          <w:szCs w:val="21"/>
          <w:lang w:val="es-MX" w:eastAsia="en-US"/>
        </w:rPr>
      </w:pPr>
      <w:r w:rsidRPr="0078535D">
        <w:rPr>
          <w:rFonts w:ascii="Abadi" w:hAnsi="Abadi" w:cs="Arial"/>
          <w:b/>
          <w:bCs/>
          <w:sz w:val="21"/>
          <w:szCs w:val="21"/>
          <w:lang w:val="es-MX" w:eastAsia="en-US"/>
        </w:rPr>
        <w:t>Diputado David Martínez Mendizábal</w:t>
      </w:r>
    </w:p>
    <w:p w14:paraId="1DAB01D6" w14:textId="77777777" w:rsidR="0078535D" w:rsidRPr="0078535D" w:rsidRDefault="0078535D" w:rsidP="0078535D">
      <w:pPr>
        <w:widowControl w:val="0"/>
        <w:jc w:val="both"/>
        <w:rPr>
          <w:rFonts w:ascii="Abadi" w:hAnsi="Abadi" w:cs="Arial"/>
          <w:b/>
          <w:bCs/>
          <w:sz w:val="21"/>
          <w:szCs w:val="21"/>
          <w:lang w:val="es-MX" w:eastAsia="en-US"/>
        </w:rPr>
      </w:pPr>
      <w:r w:rsidRPr="0078535D">
        <w:rPr>
          <w:rFonts w:ascii="Abadi" w:hAnsi="Abadi" w:cs="Arial"/>
          <w:b/>
          <w:bCs/>
          <w:sz w:val="21"/>
          <w:szCs w:val="21"/>
          <w:lang w:val="es-MX" w:eastAsia="en-US"/>
        </w:rPr>
        <w:t>Diputada Janet Melanie Murillo Chávez</w:t>
      </w:r>
    </w:p>
    <w:p w14:paraId="6CB98BEE" w14:textId="77777777" w:rsidR="0078535D" w:rsidRPr="0078535D" w:rsidRDefault="0078535D" w:rsidP="0078535D">
      <w:pPr>
        <w:widowControl w:val="0"/>
        <w:jc w:val="both"/>
        <w:rPr>
          <w:rFonts w:ascii="Abadi" w:hAnsi="Abadi" w:cs="Arial"/>
          <w:b/>
          <w:bCs/>
          <w:sz w:val="21"/>
          <w:szCs w:val="21"/>
          <w:lang w:val="es-MX" w:eastAsia="en-US"/>
        </w:rPr>
      </w:pPr>
      <w:r w:rsidRPr="0078535D">
        <w:rPr>
          <w:rFonts w:ascii="Abadi" w:hAnsi="Abadi" w:cs="Arial"/>
          <w:b/>
          <w:bCs/>
          <w:sz w:val="21"/>
          <w:szCs w:val="21"/>
          <w:lang w:val="es-MX" w:eastAsia="en-US"/>
        </w:rPr>
        <w:t>Diputado Gustavo Adolfo Alfaro Reyes</w:t>
      </w:r>
    </w:p>
    <w:p w14:paraId="43770F44" w14:textId="77777777" w:rsidR="0078535D" w:rsidRPr="0078535D" w:rsidRDefault="0078535D" w:rsidP="0078535D">
      <w:pPr>
        <w:widowControl w:val="0"/>
        <w:jc w:val="both"/>
        <w:rPr>
          <w:rFonts w:ascii="Abadi" w:hAnsi="Abadi" w:cs="Arial"/>
          <w:b/>
          <w:bCs/>
          <w:sz w:val="21"/>
          <w:szCs w:val="21"/>
          <w:lang w:val="es-MX" w:eastAsia="en-US"/>
        </w:rPr>
      </w:pPr>
      <w:r w:rsidRPr="0078535D">
        <w:rPr>
          <w:rFonts w:ascii="Abadi" w:hAnsi="Abadi" w:cs="Arial"/>
          <w:b/>
          <w:bCs/>
          <w:sz w:val="21"/>
          <w:szCs w:val="21"/>
          <w:lang w:val="es-MX" w:eastAsia="en-US"/>
        </w:rPr>
        <w:t>Diputada Briseida Anabel Magdaleno González</w:t>
      </w:r>
    </w:p>
    <w:p w14:paraId="6DA9ADBE" w14:textId="77777777" w:rsidR="0078535D" w:rsidRPr="0078535D" w:rsidRDefault="0078535D" w:rsidP="0078535D">
      <w:pPr>
        <w:widowControl w:val="0"/>
        <w:jc w:val="both"/>
        <w:rPr>
          <w:rFonts w:ascii="Abadi" w:hAnsi="Abadi" w:cs="Arial"/>
          <w:b/>
          <w:bCs/>
          <w:sz w:val="21"/>
          <w:szCs w:val="21"/>
          <w:lang w:val="es-MX" w:eastAsia="en-US"/>
        </w:rPr>
      </w:pPr>
      <w:r w:rsidRPr="0078535D">
        <w:rPr>
          <w:rFonts w:ascii="Abadi" w:hAnsi="Abadi" w:cs="Arial"/>
          <w:b/>
          <w:bCs/>
          <w:sz w:val="21"/>
          <w:szCs w:val="21"/>
          <w:lang w:val="es-MX" w:eastAsia="en-US"/>
        </w:rPr>
        <w:t>Diputada Katya Cristina Soto Escamilla</w:t>
      </w:r>
    </w:p>
    <w:p w14:paraId="5F2D1479" w14:textId="10BE17FE" w:rsidR="00617EC4" w:rsidRDefault="00617EC4" w:rsidP="00E462B6">
      <w:pPr>
        <w:autoSpaceDE w:val="0"/>
        <w:autoSpaceDN w:val="0"/>
        <w:adjustRightInd w:val="0"/>
        <w:jc w:val="both"/>
        <w:rPr>
          <w:rFonts w:ascii="Abadi" w:hAnsi="Abadi" w:cs="ArialMT"/>
          <w:sz w:val="20"/>
          <w:szCs w:val="21"/>
        </w:rPr>
      </w:pPr>
    </w:p>
    <w:p w14:paraId="67AB2C29" w14:textId="116A3B01" w:rsidR="0078535D" w:rsidRDefault="0078535D" w:rsidP="00E462B6">
      <w:pPr>
        <w:autoSpaceDE w:val="0"/>
        <w:autoSpaceDN w:val="0"/>
        <w:adjustRightInd w:val="0"/>
        <w:jc w:val="both"/>
        <w:rPr>
          <w:rFonts w:ascii="Abadi" w:hAnsi="Abadi" w:cs="ArialMT"/>
          <w:sz w:val="20"/>
          <w:szCs w:val="21"/>
        </w:rPr>
      </w:pPr>
    </w:p>
    <w:p w14:paraId="791BAE36" w14:textId="763DDBD7" w:rsidR="00BC5330" w:rsidRDefault="00BC5330" w:rsidP="00BC5330">
      <w:pPr>
        <w:ind w:firstLine="708"/>
        <w:jc w:val="both"/>
        <w:rPr>
          <w:rFonts w:ascii="Abadi" w:hAnsi="Abadi"/>
          <w:sz w:val="21"/>
          <w:szCs w:val="21"/>
        </w:rPr>
      </w:pPr>
      <w:r w:rsidRPr="00E4078E">
        <w:rPr>
          <w:rFonts w:ascii="Abadi" w:hAnsi="Abadi"/>
          <w:b/>
          <w:bCs/>
          <w:sz w:val="21"/>
          <w:szCs w:val="21"/>
        </w:rPr>
        <w:t>- El Presidente.-</w:t>
      </w:r>
      <w:r>
        <w:rPr>
          <w:rFonts w:ascii="Abadi" w:hAnsi="Abadi"/>
          <w:sz w:val="21"/>
          <w:szCs w:val="21"/>
        </w:rPr>
        <w:t xml:space="preserve"> S</w:t>
      </w:r>
      <w:r w:rsidRPr="006813AA">
        <w:rPr>
          <w:rFonts w:ascii="Abadi" w:hAnsi="Abadi"/>
          <w:sz w:val="21"/>
          <w:szCs w:val="21"/>
        </w:rPr>
        <w:t xml:space="preserve">e procede someter a discusión el dictamen emitido por la </w:t>
      </w:r>
      <w:r>
        <w:rPr>
          <w:rFonts w:ascii="Abadi" w:hAnsi="Abadi"/>
          <w:sz w:val="21"/>
          <w:szCs w:val="21"/>
        </w:rPr>
        <w:t>C</w:t>
      </w:r>
      <w:r w:rsidRPr="006813AA">
        <w:rPr>
          <w:rFonts w:ascii="Abadi" w:hAnsi="Abadi"/>
          <w:sz w:val="21"/>
          <w:szCs w:val="21"/>
        </w:rPr>
        <w:t xml:space="preserve">omisión de </w:t>
      </w:r>
      <w:r>
        <w:rPr>
          <w:rFonts w:ascii="Abadi" w:hAnsi="Abadi"/>
          <w:sz w:val="21"/>
          <w:szCs w:val="21"/>
        </w:rPr>
        <w:t>D</w:t>
      </w:r>
      <w:r w:rsidRPr="006813AA">
        <w:rPr>
          <w:rFonts w:ascii="Abadi" w:hAnsi="Abadi"/>
          <w:sz w:val="21"/>
          <w:szCs w:val="21"/>
        </w:rPr>
        <w:t xml:space="preserve">erechos </w:t>
      </w:r>
      <w:r>
        <w:rPr>
          <w:rFonts w:ascii="Abadi" w:hAnsi="Abadi"/>
          <w:sz w:val="21"/>
          <w:szCs w:val="21"/>
        </w:rPr>
        <w:t>H</w:t>
      </w:r>
      <w:r w:rsidRPr="006813AA">
        <w:rPr>
          <w:rFonts w:ascii="Abadi" w:hAnsi="Abadi"/>
          <w:sz w:val="21"/>
          <w:szCs w:val="21"/>
        </w:rPr>
        <w:t xml:space="preserve">umanos y </w:t>
      </w:r>
      <w:r>
        <w:rPr>
          <w:rFonts w:ascii="Abadi" w:hAnsi="Abadi"/>
          <w:sz w:val="21"/>
          <w:szCs w:val="21"/>
        </w:rPr>
        <w:t>A</w:t>
      </w:r>
      <w:r w:rsidRPr="006813AA">
        <w:rPr>
          <w:rFonts w:ascii="Abadi" w:hAnsi="Abadi"/>
          <w:sz w:val="21"/>
          <w:szCs w:val="21"/>
        </w:rPr>
        <w:t xml:space="preserve">tención a </w:t>
      </w:r>
      <w:r>
        <w:rPr>
          <w:rFonts w:ascii="Abadi" w:hAnsi="Abadi"/>
          <w:sz w:val="21"/>
          <w:szCs w:val="21"/>
        </w:rPr>
        <w:t>G</w:t>
      </w:r>
      <w:r w:rsidRPr="006813AA">
        <w:rPr>
          <w:rFonts w:ascii="Abadi" w:hAnsi="Abadi"/>
          <w:sz w:val="21"/>
          <w:szCs w:val="21"/>
        </w:rPr>
        <w:t xml:space="preserve">rupos </w:t>
      </w:r>
      <w:r>
        <w:rPr>
          <w:rFonts w:ascii="Abadi" w:hAnsi="Abadi"/>
          <w:sz w:val="21"/>
          <w:szCs w:val="21"/>
        </w:rPr>
        <w:t>V</w:t>
      </w:r>
      <w:r w:rsidRPr="006813AA">
        <w:rPr>
          <w:rFonts w:ascii="Abadi" w:hAnsi="Abadi"/>
          <w:sz w:val="21"/>
          <w:szCs w:val="21"/>
        </w:rPr>
        <w:t>ulnerables relativo al punto 25 de nuestra orden del día</w:t>
      </w:r>
      <w:r>
        <w:rPr>
          <w:rFonts w:ascii="Abadi" w:hAnsi="Abadi"/>
          <w:sz w:val="21"/>
          <w:szCs w:val="21"/>
        </w:rPr>
        <w:t>.</w:t>
      </w:r>
    </w:p>
    <w:p w14:paraId="3E27CA01" w14:textId="77777777" w:rsidR="00BC5330" w:rsidRDefault="00BC5330" w:rsidP="00BC5330">
      <w:pPr>
        <w:ind w:firstLine="708"/>
        <w:jc w:val="both"/>
        <w:rPr>
          <w:rFonts w:ascii="Abadi" w:hAnsi="Abadi"/>
          <w:sz w:val="21"/>
          <w:szCs w:val="21"/>
        </w:rPr>
      </w:pPr>
    </w:p>
    <w:p w14:paraId="35F7389E" w14:textId="177D6ECB" w:rsidR="00BC5330" w:rsidRDefault="00BC5330" w:rsidP="00BC5330">
      <w:pPr>
        <w:ind w:firstLine="708"/>
        <w:jc w:val="both"/>
        <w:rPr>
          <w:rFonts w:ascii="Abadi" w:hAnsi="Abadi"/>
          <w:sz w:val="21"/>
          <w:szCs w:val="21"/>
        </w:rPr>
      </w:pPr>
      <w:r>
        <w:rPr>
          <w:rFonts w:ascii="Abadi" w:hAnsi="Abadi"/>
          <w:sz w:val="21"/>
          <w:szCs w:val="21"/>
        </w:rPr>
        <w:t xml:space="preserve">- </w:t>
      </w:r>
      <w:r w:rsidRPr="006813AA">
        <w:rPr>
          <w:rFonts w:ascii="Abadi" w:hAnsi="Abadi"/>
          <w:sz w:val="21"/>
          <w:szCs w:val="21"/>
        </w:rPr>
        <w:t xml:space="preserve"> </w:t>
      </w:r>
      <w:r>
        <w:rPr>
          <w:rFonts w:ascii="Abadi" w:hAnsi="Abadi"/>
          <w:sz w:val="21"/>
          <w:szCs w:val="21"/>
        </w:rPr>
        <w:t>Sí</w:t>
      </w:r>
      <w:r w:rsidRPr="006813AA">
        <w:rPr>
          <w:rFonts w:ascii="Abadi" w:hAnsi="Abadi"/>
          <w:sz w:val="21"/>
          <w:szCs w:val="21"/>
        </w:rPr>
        <w:t xml:space="preserve"> alguna diputada o algún diputado desea hacer </w:t>
      </w:r>
      <w:r>
        <w:rPr>
          <w:rFonts w:ascii="Abadi" w:hAnsi="Abadi"/>
          <w:sz w:val="21"/>
          <w:szCs w:val="21"/>
        </w:rPr>
        <w:t>u</w:t>
      </w:r>
      <w:r w:rsidRPr="006813AA">
        <w:rPr>
          <w:rFonts w:ascii="Abadi" w:hAnsi="Abadi"/>
          <w:sz w:val="21"/>
          <w:szCs w:val="21"/>
        </w:rPr>
        <w:t>so de la palabra en pro o en contra manifiéstenlo indicando el sentido de su participación</w:t>
      </w:r>
      <w:r>
        <w:rPr>
          <w:rFonts w:ascii="Abadi" w:hAnsi="Abadi"/>
          <w:sz w:val="21"/>
          <w:szCs w:val="21"/>
        </w:rPr>
        <w:t>.</w:t>
      </w:r>
    </w:p>
    <w:p w14:paraId="421020D6" w14:textId="77777777" w:rsidR="00BC5330" w:rsidRPr="006813AA" w:rsidRDefault="00BC5330" w:rsidP="00BC5330">
      <w:pPr>
        <w:ind w:firstLine="708"/>
        <w:jc w:val="both"/>
        <w:rPr>
          <w:rFonts w:ascii="Abadi" w:hAnsi="Abadi"/>
          <w:sz w:val="21"/>
          <w:szCs w:val="21"/>
        </w:rPr>
      </w:pPr>
    </w:p>
    <w:p w14:paraId="6843C78F" w14:textId="7FC88954" w:rsidR="00BC5330" w:rsidRDefault="00BC5330" w:rsidP="00BC5330">
      <w:pPr>
        <w:ind w:firstLine="708"/>
        <w:jc w:val="both"/>
        <w:rPr>
          <w:rFonts w:ascii="Abadi" w:hAnsi="Abadi"/>
          <w:sz w:val="21"/>
          <w:szCs w:val="21"/>
        </w:rPr>
      </w:pPr>
      <w:r>
        <w:rPr>
          <w:rFonts w:ascii="Abadi" w:hAnsi="Abadi"/>
          <w:sz w:val="21"/>
          <w:szCs w:val="21"/>
        </w:rPr>
        <w:t>- N</w:t>
      </w:r>
      <w:r w:rsidRPr="006813AA">
        <w:rPr>
          <w:rFonts w:ascii="Abadi" w:hAnsi="Abadi"/>
          <w:sz w:val="21"/>
          <w:szCs w:val="21"/>
        </w:rPr>
        <w:t xml:space="preserve">o habiendo intervenciones se pide a la </w:t>
      </w:r>
      <w:r>
        <w:rPr>
          <w:rFonts w:ascii="Abadi" w:hAnsi="Abadi"/>
          <w:sz w:val="21"/>
          <w:szCs w:val="21"/>
        </w:rPr>
        <w:t>S</w:t>
      </w:r>
      <w:r w:rsidRPr="006813AA">
        <w:rPr>
          <w:rFonts w:ascii="Abadi" w:hAnsi="Abadi"/>
          <w:sz w:val="21"/>
          <w:szCs w:val="21"/>
        </w:rPr>
        <w:t xml:space="preserve">ecretaría que proceda a recabar votación nominal de la </w:t>
      </w:r>
      <w:r>
        <w:rPr>
          <w:rFonts w:ascii="Abadi" w:hAnsi="Abadi"/>
          <w:sz w:val="21"/>
          <w:szCs w:val="21"/>
        </w:rPr>
        <w:t>A</w:t>
      </w:r>
      <w:r w:rsidRPr="006813AA">
        <w:rPr>
          <w:rFonts w:ascii="Abadi" w:hAnsi="Abadi"/>
          <w:sz w:val="21"/>
          <w:szCs w:val="21"/>
        </w:rPr>
        <w:t>samblea a través del sistema electrónico a efecto de aprobar o no el dictamen puesto a su consideración</w:t>
      </w:r>
      <w:r>
        <w:rPr>
          <w:rFonts w:ascii="Abadi" w:hAnsi="Abadi"/>
          <w:sz w:val="21"/>
          <w:szCs w:val="21"/>
        </w:rPr>
        <w:t>.</w:t>
      </w:r>
    </w:p>
    <w:p w14:paraId="4B4968AE" w14:textId="77777777" w:rsidR="00BC5330" w:rsidRDefault="00BC5330" w:rsidP="00BC5330">
      <w:pPr>
        <w:ind w:firstLine="708"/>
        <w:jc w:val="both"/>
        <w:rPr>
          <w:rFonts w:ascii="Abadi" w:hAnsi="Abadi"/>
          <w:sz w:val="21"/>
          <w:szCs w:val="21"/>
        </w:rPr>
      </w:pPr>
    </w:p>
    <w:p w14:paraId="0B4BA1B4" w14:textId="5A41BD24" w:rsidR="00BC5330" w:rsidRDefault="00BC5330" w:rsidP="00BC5330">
      <w:pPr>
        <w:jc w:val="both"/>
        <w:rPr>
          <w:rFonts w:ascii="Abadi" w:hAnsi="Abadi"/>
          <w:b/>
          <w:bCs/>
          <w:sz w:val="21"/>
          <w:szCs w:val="21"/>
        </w:rPr>
      </w:pPr>
      <w:r w:rsidRPr="005309E5">
        <w:rPr>
          <w:rFonts w:ascii="Abadi" w:hAnsi="Abadi"/>
          <w:b/>
          <w:bCs/>
          <w:sz w:val="21"/>
          <w:szCs w:val="21"/>
        </w:rPr>
        <w:t xml:space="preserve">(Abrimos nuestro sistema electrónico) </w:t>
      </w:r>
    </w:p>
    <w:p w14:paraId="2701F76E" w14:textId="77777777" w:rsidR="00BC5330" w:rsidRPr="005309E5" w:rsidRDefault="00BC5330" w:rsidP="00BC5330">
      <w:pPr>
        <w:jc w:val="both"/>
        <w:rPr>
          <w:rFonts w:ascii="Abadi" w:hAnsi="Abadi"/>
          <w:b/>
          <w:bCs/>
          <w:sz w:val="21"/>
          <w:szCs w:val="21"/>
        </w:rPr>
      </w:pPr>
    </w:p>
    <w:p w14:paraId="6F872751" w14:textId="22151F92" w:rsidR="00BC5330" w:rsidRDefault="00BC5330" w:rsidP="00BC5330">
      <w:pPr>
        <w:jc w:val="both"/>
        <w:rPr>
          <w:rFonts w:ascii="Abadi" w:hAnsi="Abadi"/>
          <w:sz w:val="21"/>
          <w:szCs w:val="21"/>
        </w:rPr>
      </w:pPr>
      <w:r>
        <w:rPr>
          <w:rFonts w:ascii="Abadi" w:hAnsi="Abadi"/>
          <w:b/>
          <w:bCs/>
          <w:sz w:val="21"/>
          <w:szCs w:val="21"/>
        </w:rPr>
        <w:tab/>
      </w:r>
      <w:r w:rsidRPr="00E4078E">
        <w:rPr>
          <w:rFonts w:ascii="Abadi" w:hAnsi="Abadi"/>
          <w:b/>
          <w:bCs/>
          <w:sz w:val="21"/>
          <w:szCs w:val="21"/>
        </w:rPr>
        <w:t>- El Secretario.-</w:t>
      </w:r>
      <w:r>
        <w:rPr>
          <w:rFonts w:ascii="Abadi" w:hAnsi="Abadi"/>
          <w:sz w:val="21"/>
          <w:szCs w:val="21"/>
        </w:rPr>
        <w:t xml:space="preserve"> E</w:t>
      </w:r>
      <w:r w:rsidRPr="006813AA">
        <w:rPr>
          <w:rFonts w:ascii="Abadi" w:hAnsi="Abadi"/>
          <w:sz w:val="21"/>
          <w:szCs w:val="21"/>
        </w:rPr>
        <w:t>n votación nominal por el sistema electrónico se pregunta a las diputadas y los diputados si se aprueba el dictamen puesto a su consideración</w:t>
      </w:r>
      <w:r>
        <w:rPr>
          <w:rFonts w:ascii="Abadi" w:hAnsi="Abadi"/>
          <w:sz w:val="21"/>
          <w:szCs w:val="21"/>
        </w:rPr>
        <w:t>. ¿D</w:t>
      </w:r>
      <w:r w:rsidRPr="006813AA">
        <w:rPr>
          <w:rFonts w:ascii="Abadi" w:hAnsi="Abadi"/>
          <w:sz w:val="21"/>
          <w:szCs w:val="21"/>
        </w:rPr>
        <w:t xml:space="preserve">iputada </w:t>
      </w:r>
      <w:r>
        <w:rPr>
          <w:rFonts w:ascii="Abadi" w:hAnsi="Abadi"/>
          <w:sz w:val="21"/>
          <w:szCs w:val="21"/>
        </w:rPr>
        <w:t>Y</w:t>
      </w:r>
      <w:r w:rsidRPr="006813AA">
        <w:rPr>
          <w:rFonts w:ascii="Abadi" w:hAnsi="Abadi"/>
          <w:sz w:val="21"/>
          <w:szCs w:val="21"/>
        </w:rPr>
        <w:t xml:space="preserve">ulma </w:t>
      </w:r>
      <w:r>
        <w:rPr>
          <w:rFonts w:ascii="Abadi" w:hAnsi="Abadi"/>
          <w:sz w:val="21"/>
          <w:szCs w:val="21"/>
        </w:rPr>
        <w:t>R</w:t>
      </w:r>
      <w:r w:rsidRPr="006813AA">
        <w:rPr>
          <w:rFonts w:ascii="Abadi" w:hAnsi="Abadi"/>
          <w:sz w:val="21"/>
          <w:szCs w:val="21"/>
        </w:rPr>
        <w:t>ocha</w:t>
      </w:r>
      <w:r>
        <w:rPr>
          <w:rFonts w:ascii="Abadi" w:hAnsi="Abadi"/>
          <w:sz w:val="21"/>
          <w:szCs w:val="21"/>
        </w:rPr>
        <w:t>?</w:t>
      </w:r>
    </w:p>
    <w:p w14:paraId="28D0C2C1" w14:textId="77777777" w:rsidR="00BC5330" w:rsidRDefault="00BC5330" w:rsidP="00BC5330">
      <w:pPr>
        <w:ind w:left="284"/>
        <w:jc w:val="both"/>
        <w:rPr>
          <w:rFonts w:ascii="Abadi" w:hAnsi="Abadi"/>
          <w:sz w:val="21"/>
          <w:szCs w:val="21"/>
        </w:rPr>
      </w:pPr>
    </w:p>
    <w:p w14:paraId="2EFC3FB8" w14:textId="1F68F94F" w:rsidR="00BC5330" w:rsidRDefault="00BC5330" w:rsidP="00BC5330">
      <w:pPr>
        <w:jc w:val="both"/>
        <w:rPr>
          <w:rFonts w:ascii="Abadi" w:hAnsi="Abadi"/>
          <w:sz w:val="21"/>
          <w:szCs w:val="21"/>
        </w:rPr>
      </w:pPr>
      <w:r>
        <w:rPr>
          <w:rFonts w:ascii="Abadi" w:hAnsi="Abadi"/>
          <w:sz w:val="21"/>
          <w:szCs w:val="21"/>
        </w:rPr>
        <w:t>¿F</w:t>
      </w:r>
      <w:r w:rsidRPr="006813AA">
        <w:rPr>
          <w:rFonts w:ascii="Abadi" w:hAnsi="Abadi"/>
          <w:sz w:val="21"/>
          <w:szCs w:val="21"/>
        </w:rPr>
        <w:t>alta alguna diputada o algún diputado de emitir su voto</w:t>
      </w:r>
      <w:r>
        <w:rPr>
          <w:rFonts w:ascii="Abadi" w:hAnsi="Abadi"/>
          <w:sz w:val="21"/>
          <w:szCs w:val="21"/>
        </w:rPr>
        <w:t>?</w:t>
      </w:r>
    </w:p>
    <w:p w14:paraId="19311A4D" w14:textId="77777777" w:rsidR="00BC5330" w:rsidRDefault="00BC5330" w:rsidP="00BC5330">
      <w:pPr>
        <w:jc w:val="both"/>
        <w:rPr>
          <w:rFonts w:ascii="Abadi" w:hAnsi="Abadi"/>
          <w:sz w:val="21"/>
          <w:szCs w:val="21"/>
        </w:rPr>
      </w:pPr>
    </w:p>
    <w:p w14:paraId="1E2541E6" w14:textId="77777777" w:rsidR="00BC5330" w:rsidRDefault="00BC5330" w:rsidP="00BC5330">
      <w:pPr>
        <w:jc w:val="both"/>
        <w:rPr>
          <w:rFonts w:ascii="Abadi" w:hAnsi="Abadi"/>
          <w:b/>
          <w:bCs/>
          <w:sz w:val="21"/>
          <w:szCs w:val="21"/>
        </w:rPr>
      </w:pPr>
      <w:r w:rsidRPr="00512174">
        <w:rPr>
          <w:rFonts w:ascii="Abadi" w:hAnsi="Abadi"/>
          <w:b/>
          <w:bCs/>
          <w:sz w:val="21"/>
          <w:szCs w:val="21"/>
        </w:rPr>
        <w:t xml:space="preserve">(Cerramos nuestro sistema electrónico) </w:t>
      </w:r>
    </w:p>
    <w:p w14:paraId="165DD60B" w14:textId="77777777" w:rsidR="00BC5330" w:rsidRDefault="00BC5330" w:rsidP="00BC5330">
      <w:pPr>
        <w:jc w:val="both"/>
        <w:rPr>
          <w:rFonts w:ascii="Abadi" w:hAnsi="Abadi"/>
          <w:b/>
          <w:bCs/>
          <w:sz w:val="21"/>
          <w:szCs w:val="21"/>
        </w:rPr>
      </w:pPr>
    </w:p>
    <w:p w14:paraId="28E93465" w14:textId="5C790F16" w:rsidR="00BC5330" w:rsidRPr="00512174" w:rsidRDefault="00BC5330" w:rsidP="00BC5330">
      <w:pPr>
        <w:jc w:val="both"/>
        <w:rPr>
          <w:rFonts w:ascii="Abadi" w:hAnsi="Abadi"/>
          <w:b/>
          <w:bCs/>
          <w:sz w:val="21"/>
          <w:szCs w:val="21"/>
        </w:rPr>
      </w:pPr>
    </w:p>
    <w:p w14:paraId="158BDCB6" w14:textId="4C12BBE1" w:rsidR="00BC5330" w:rsidRDefault="00BC5330" w:rsidP="00BC5330">
      <w:pPr>
        <w:ind w:firstLine="708"/>
        <w:jc w:val="both"/>
        <w:rPr>
          <w:rFonts w:ascii="Abadi" w:hAnsi="Abadi"/>
          <w:sz w:val="21"/>
          <w:szCs w:val="21"/>
        </w:rPr>
      </w:pPr>
      <w:r w:rsidRPr="0004040C">
        <w:rPr>
          <w:rFonts w:ascii="Abadi" w:hAnsi="Abadi"/>
          <w:b/>
          <w:bCs/>
          <w:sz w:val="21"/>
          <w:szCs w:val="21"/>
        </w:rPr>
        <w:t>- El Secretario.-</w:t>
      </w:r>
      <w:r>
        <w:rPr>
          <w:rFonts w:ascii="Abadi" w:hAnsi="Abadi"/>
          <w:sz w:val="21"/>
          <w:szCs w:val="21"/>
        </w:rPr>
        <w:t xml:space="preserve"> S</w:t>
      </w:r>
      <w:r w:rsidRPr="006813AA">
        <w:rPr>
          <w:rFonts w:ascii="Abadi" w:hAnsi="Abadi"/>
          <w:sz w:val="21"/>
          <w:szCs w:val="21"/>
        </w:rPr>
        <w:t>e registraron 31 votos a favor y 2 votos en contra</w:t>
      </w:r>
      <w:r>
        <w:rPr>
          <w:rFonts w:ascii="Abadi" w:hAnsi="Abadi"/>
          <w:sz w:val="21"/>
          <w:szCs w:val="21"/>
        </w:rPr>
        <w:t>.</w:t>
      </w:r>
    </w:p>
    <w:p w14:paraId="05BE85C0" w14:textId="77777777" w:rsidR="00082113" w:rsidRDefault="00082113" w:rsidP="00BC5330">
      <w:pPr>
        <w:ind w:firstLine="708"/>
        <w:jc w:val="both"/>
        <w:rPr>
          <w:rFonts w:ascii="Abadi" w:hAnsi="Abadi"/>
          <w:sz w:val="21"/>
          <w:szCs w:val="21"/>
        </w:rPr>
      </w:pPr>
    </w:p>
    <w:p w14:paraId="319EF9AD" w14:textId="1AEEEAEE" w:rsidR="00BC5330" w:rsidRDefault="00BC5330" w:rsidP="00BC5330">
      <w:pPr>
        <w:ind w:firstLine="708"/>
        <w:jc w:val="both"/>
        <w:rPr>
          <w:rFonts w:ascii="Abadi" w:hAnsi="Abadi"/>
          <w:sz w:val="21"/>
          <w:szCs w:val="21"/>
        </w:rPr>
      </w:pPr>
      <w:r w:rsidRPr="00CD6ADB">
        <w:rPr>
          <w:rFonts w:ascii="Abadi" w:hAnsi="Abadi"/>
          <w:b/>
          <w:bCs/>
          <w:sz w:val="21"/>
          <w:szCs w:val="21"/>
        </w:rPr>
        <w:t>- El Presidente.-</w:t>
      </w:r>
      <w:r>
        <w:rPr>
          <w:rFonts w:ascii="Abadi" w:hAnsi="Abadi"/>
          <w:sz w:val="21"/>
          <w:szCs w:val="21"/>
        </w:rPr>
        <w:t xml:space="preserve"> P</w:t>
      </w:r>
      <w:r w:rsidRPr="006813AA">
        <w:rPr>
          <w:rFonts w:ascii="Abadi" w:hAnsi="Abadi"/>
          <w:sz w:val="21"/>
          <w:szCs w:val="21"/>
        </w:rPr>
        <w:t>or mayoría de votos mayoría de votos el dictamen ha sido aprobado</w:t>
      </w:r>
      <w:r>
        <w:rPr>
          <w:rFonts w:ascii="Abadi" w:hAnsi="Abadi"/>
          <w:sz w:val="21"/>
          <w:szCs w:val="21"/>
        </w:rPr>
        <w:t>.</w:t>
      </w:r>
    </w:p>
    <w:p w14:paraId="5AB77BBC" w14:textId="77777777" w:rsidR="00082113" w:rsidRDefault="00082113" w:rsidP="00BC5330">
      <w:pPr>
        <w:ind w:firstLine="708"/>
        <w:jc w:val="both"/>
        <w:rPr>
          <w:rFonts w:ascii="Abadi" w:hAnsi="Abadi"/>
          <w:sz w:val="21"/>
          <w:szCs w:val="21"/>
        </w:rPr>
      </w:pPr>
    </w:p>
    <w:p w14:paraId="3ADD273B" w14:textId="77777777" w:rsidR="00BC5330" w:rsidRPr="00C87980" w:rsidRDefault="00BC5330" w:rsidP="00D44763">
      <w:pPr>
        <w:ind w:left="567" w:right="425"/>
        <w:jc w:val="both"/>
        <w:rPr>
          <w:rFonts w:ascii="Abadi" w:hAnsi="Abadi"/>
          <w:b/>
          <w:bCs/>
          <w:i/>
          <w:iCs/>
          <w:sz w:val="21"/>
          <w:szCs w:val="21"/>
          <w:u w:val="single"/>
        </w:rPr>
      </w:pPr>
      <w:r w:rsidRPr="00C87980">
        <w:rPr>
          <w:rFonts w:ascii="Abadi" w:hAnsi="Abadi"/>
          <w:b/>
          <w:bCs/>
          <w:i/>
          <w:iCs/>
          <w:sz w:val="21"/>
          <w:szCs w:val="21"/>
          <w:u w:val="single"/>
        </w:rPr>
        <w:t>En consecuencia se instruye a la Secretaría General para que proceda al archivo definitivo de la iniciativa referida en el dictamen aprobado.</w:t>
      </w:r>
    </w:p>
    <w:p w14:paraId="33665D72" w14:textId="77777777" w:rsidR="00BC5330" w:rsidRDefault="00BC5330" w:rsidP="00E462B6">
      <w:pPr>
        <w:autoSpaceDE w:val="0"/>
        <w:autoSpaceDN w:val="0"/>
        <w:adjustRightInd w:val="0"/>
        <w:jc w:val="both"/>
        <w:rPr>
          <w:rFonts w:ascii="Abadi" w:hAnsi="Abadi" w:cs="ArialMT"/>
          <w:sz w:val="20"/>
          <w:szCs w:val="21"/>
        </w:rPr>
      </w:pPr>
    </w:p>
    <w:p w14:paraId="00CDF922" w14:textId="77777777" w:rsidR="00617EC4" w:rsidRPr="00617EC4" w:rsidRDefault="00617EC4" w:rsidP="00E462B6">
      <w:pPr>
        <w:autoSpaceDE w:val="0"/>
        <w:autoSpaceDN w:val="0"/>
        <w:adjustRightInd w:val="0"/>
        <w:jc w:val="both"/>
        <w:rPr>
          <w:rFonts w:ascii="Abadi" w:hAnsi="Abadi" w:cs="ArialMT"/>
          <w:sz w:val="20"/>
          <w:szCs w:val="21"/>
        </w:rPr>
      </w:pPr>
    </w:p>
    <w:p w14:paraId="4D4B4C3C" w14:textId="77777777" w:rsidR="00E462B6" w:rsidRPr="0028553C" w:rsidRDefault="00E462B6" w:rsidP="00A625F7">
      <w:pPr>
        <w:pStyle w:val="Prrafodelista"/>
        <w:numPr>
          <w:ilvl w:val="0"/>
          <w:numId w:val="14"/>
        </w:numPr>
        <w:autoSpaceDE w:val="0"/>
        <w:autoSpaceDN w:val="0"/>
        <w:adjustRightInd w:val="0"/>
        <w:ind w:left="426"/>
        <w:contextualSpacing/>
        <w:jc w:val="both"/>
        <w:rPr>
          <w:rFonts w:ascii="Abadi" w:hAnsi="Abadi" w:cs="ArialMT"/>
          <w:b/>
          <w:bCs/>
          <w:sz w:val="20"/>
          <w:szCs w:val="21"/>
        </w:rPr>
      </w:pPr>
      <w:r w:rsidRPr="0028553C">
        <w:rPr>
          <w:rFonts w:ascii="Abadi" w:hAnsi="Abadi" w:cs="ArialMT"/>
          <w:b/>
          <w:bCs/>
          <w:sz w:val="20"/>
          <w:szCs w:val="21"/>
        </w:rPr>
        <w:t>DISCUSIÓN Y, EN SU CASO, APROBACIÓN DEL DICTAMEN SUSCRITO POR LA COMISIÓN DE DERECHOS HUMANOS Y ATENCIÓN A GRUPOS VULNERABLES RELATIVO A LA INICIATIVA DE REFORMAS Y ADICIONES A DIVERSAS DISPOSICIONES DE LA LEY PARA PREVENIR, ATENDER Y ERRADICAR LA DISCRIMINACIÓN EN EL ESTADO DE GUANAJUATO, DE LA LEY DE INCLUSIÓN PARA LAS PERSONAS CON DISCAPACIDAD EN EL ESTADO DE GUANAJUATO Y DE LA LEY DE PROTECCIÓN CIVIL PARA EL ESTADO DE GUANAJUATO, SUSCRITA POR LA DIPUTADA Y EL DIPUTADO INTEGRANTES DEL GRUPO PARLAMENTARIO DEL PARTIDO VERDE ECOLOGISTA DE MÉXICO ANTE LA SEXAGÉSIMA CUARTA LEGISLATURA.</w:t>
      </w:r>
    </w:p>
    <w:p w14:paraId="5CB8835F" w14:textId="2CCA0646" w:rsidR="00E462B6" w:rsidRDefault="00E462B6" w:rsidP="00E462B6">
      <w:pPr>
        <w:autoSpaceDE w:val="0"/>
        <w:autoSpaceDN w:val="0"/>
        <w:adjustRightInd w:val="0"/>
        <w:jc w:val="both"/>
        <w:rPr>
          <w:rFonts w:ascii="Abadi" w:hAnsi="Abadi" w:cs="ArialMT"/>
          <w:sz w:val="20"/>
          <w:szCs w:val="21"/>
        </w:rPr>
      </w:pPr>
    </w:p>
    <w:p w14:paraId="0BB750D9" w14:textId="77777777" w:rsidR="00D16086" w:rsidRPr="00D16086" w:rsidRDefault="00D16086" w:rsidP="00D16086">
      <w:pPr>
        <w:widowControl w:val="0"/>
        <w:jc w:val="both"/>
        <w:rPr>
          <w:rFonts w:ascii="Abadi" w:hAnsi="Abadi"/>
          <w:b/>
          <w:bCs/>
          <w:sz w:val="21"/>
          <w:szCs w:val="21"/>
          <w:lang w:val="es-MX" w:eastAsia="en-US"/>
        </w:rPr>
      </w:pPr>
      <w:r w:rsidRPr="00D16086">
        <w:rPr>
          <w:rFonts w:ascii="Abadi" w:hAnsi="Abadi"/>
          <w:b/>
          <w:bCs/>
          <w:sz w:val="21"/>
          <w:szCs w:val="21"/>
          <w:lang w:val="es-MX" w:eastAsia="en-US"/>
        </w:rPr>
        <w:t>DICTAMEN QUE LA COMISIÓN DE DERECHOS HUMANOS Y ATENCIÓN A GRUPOS VULNERABLES PRESENTA AL PLENO DEL CONGRESO, DE LA INICIATIVA</w:t>
      </w:r>
      <w:bookmarkStart w:id="13" w:name="_Hlk71718244"/>
      <w:r w:rsidRPr="00D16086">
        <w:rPr>
          <w:rFonts w:ascii="Abadi" w:hAnsi="Abadi"/>
          <w:b/>
          <w:bCs/>
          <w:sz w:val="21"/>
          <w:szCs w:val="21"/>
          <w:lang w:val="es-MX" w:eastAsia="en-US"/>
        </w:rPr>
        <w:t xml:space="preserve"> DE REFORMAS Y ADICIONES A DIVERSAS DISPOSICIONES DE LA LEY PARA PREVENIR, ATENDER Y ERRADICAR LA DISCRIMINACIÓN EN EL ESTADO DE GUANAJUATO, DE LA LEY DE INCLUSIÓN PARA LAS PERSONAS CON DISCAPACIDAD EN EL ESTADO DE GUANAJUATO Y DE LA LEY DE PROTECCIÓN CIVIL PARA EL ESTADO DE GUANAJUATO, SUSCRITA POR LA DIPUTADA Y EL DIPUTADO INTEGRANTES DEL GRUPO PARLAMENTARIO DEL PARTIDO VERDE ECOLOGISTA DE MÉXICO</w:t>
      </w:r>
      <w:bookmarkEnd w:id="13"/>
      <w:r w:rsidRPr="00D16086">
        <w:rPr>
          <w:rFonts w:ascii="Abadi" w:hAnsi="Abadi"/>
          <w:b/>
          <w:bCs/>
          <w:sz w:val="21"/>
          <w:szCs w:val="21"/>
          <w:lang w:val="es-MX" w:eastAsia="en-US"/>
        </w:rPr>
        <w:t xml:space="preserve"> ANTE LA SEXAGÉSIMA CUARTA LEGISLATURA.</w:t>
      </w:r>
    </w:p>
    <w:p w14:paraId="12A54E4E" w14:textId="77777777" w:rsidR="00D16086" w:rsidRPr="00D16086" w:rsidRDefault="00D16086" w:rsidP="00D16086">
      <w:pPr>
        <w:widowControl w:val="0"/>
        <w:spacing w:line="360" w:lineRule="auto"/>
        <w:jc w:val="both"/>
        <w:rPr>
          <w:rFonts w:ascii="Abadi" w:hAnsi="Abadi" w:cs="Arial"/>
          <w:sz w:val="21"/>
          <w:szCs w:val="21"/>
          <w:lang w:val="es-MX"/>
        </w:rPr>
      </w:pPr>
    </w:p>
    <w:p w14:paraId="6AB9C606" w14:textId="77777777" w:rsidR="00D16086" w:rsidRPr="00D16086" w:rsidRDefault="00D16086" w:rsidP="00D16086">
      <w:pPr>
        <w:widowControl w:val="0"/>
        <w:spacing w:line="360" w:lineRule="auto"/>
        <w:jc w:val="both"/>
        <w:rPr>
          <w:rFonts w:ascii="Abadi" w:hAnsi="Abadi" w:cs="Arial"/>
          <w:sz w:val="21"/>
          <w:szCs w:val="21"/>
          <w:lang w:val="es-MX"/>
        </w:rPr>
      </w:pPr>
    </w:p>
    <w:p w14:paraId="73EEBD27" w14:textId="77777777" w:rsidR="00D16086" w:rsidRPr="00D16086" w:rsidRDefault="00D16086" w:rsidP="00662FB4">
      <w:pPr>
        <w:widowControl w:val="0"/>
        <w:ind w:firstLine="851"/>
        <w:jc w:val="both"/>
        <w:rPr>
          <w:rFonts w:ascii="Abadi" w:hAnsi="Abadi" w:cs="Arial"/>
          <w:sz w:val="21"/>
          <w:szCs w:val="21"/>
          <w:lang w:val="es-MX"/>
        </w:rPr>
      </w:pPr>
      <w:r w:rsidRPr="00D16086">
        <w:rPr>
          <w:rFonts w:ascii="Abadi" w:hAnsi="Abadi" w:cs="Arial"/>
          <w:sz w:val="21"/>
          <w:szCs w:val="21"/>
          <w:lang w:val="es-MX"/>
        </w:rPr>
        <w:t xml:space="preserve">A la Comisión de Derechos Humanos y Atención a Grupos Vulnerables le fue turnada para estudio y dictamen, la </w:t>
      </w:r>
      <w:r w:rsidRPr="00D16086">
        <w:rPr>
          <w:rFonts w:ascii="Abadi" w:hAnsi="Abadi"/>
          <w:bCs/>
          <w:iCs/>
          <w:sz w:val="21"/>
          <w:szCs w:val="21"/>
          <w:lang w:val="es-MX"/>
        </w:rPr>
        <w:t>i</w:t>
      </w:r>
      <w:r w:rsidRPr="00D16086">
        <w:rPr>
          <w:rFonts w:ascii="Abadi" w:hAnsi="Abadi"/>
          <w:sz w:val="21"/>
          <w:szCs w:val="21"/>
          <w:lang w:val="es-MX"/>
        </w:rPr>
        <w:t xml:space="preserve">niciativa de reformas y adiciones a diversas disposiciones de la Ley para Prevenir, Atender y Erradicar la Discriminación en el Estado de Guanajuato, de la Ley de Inclusión para las Personas con Discapacidad en el Estado de Guanajuato y de la Ley de Protección Civil para el Estado de Guanajuato, suscrita por la diputada y el diputado integrantes del Grupo Parlamentario del Partido Verde Ecologista de México </w:t>
      </w:r>
      <w:r w:rsidRPr="00D16086">
        <w:rPr>
          <w:rFonts w:ascii="Abadi" w:hAnsi="Abadi" w:cs="Arial"/>
          <w:sz w:val="21"/>
          <w:szCs w:val="21"/>
          <w:lang w:val="es-MX"/>
        </w:rPr>
        <w:t>ante la Sexagésima Cuarta Legislatura.</w:t>
      </w:r>
    </w:p>
    <w:p w14:paraId="28DB6D5E" w14:textId="77777777" w:rsidR="00D16086" w:rsidRPr="00D16086" w:rsidRDefault="00D16086" w:rsidP="00662FB4">
      <w:pPr>
        <w:widowControl w:val="0"/>
        <w:jc w:val="both"/>
        <w:rPr>
          <w:rFonts w:ascii="Abadi" w:hAnsi="Abadi" w:cs="Arial"/>
          <w:sz w:val="21"/>
          <w:szCs w:val="21"/>
          <w:lang w:val="es-MX"/>
        </w:rPr>
      </w:pPr>
    </w:p>
    <w:p w14:paraId="04FF6DB8" w14:textId="77777777" w:rsidR="00D16086" w:rsidRPr="00D16086" w:rsidRDefault="00D16086" w:rsidP="00662FB4">
      <w:pPr>
        <w:widowControl w:val="0"/>
        <w:ind w:firstLine="851"/>
        <w:jc w:val="both"/>
        <w:rPr>
          <w:rFonts w:ascii="Abadi" w:hAnsi="Abadi" w:cs="Arial"/>
          <w:sz w:val="21"/>
          <w:szCs w:val="21"/>
          <w:lang w:val="es-MX"/>
        </w:rPr>
      </w:pPr>
      <w:r w:rsidRPr="00D16086">
        <w:rPr>
          <w:rFonts w:ascii="Abadi" w:hAnsi="Abadi" w:cs="Arial"/>
          <w:sz w:val="21"/>
          <w:szCs w:val="21"/>
          <w:lang w:val="es-MX"/>
        </w:rPr>
        <w:t>Analizada la iniciativa de referencia, esta Comisión de conformidad con lo dispuesto en los artículos 89 -fracción V- y 171 de la Ley Orgánica del Poder Legislativo del Estado de Guanajuato rinde el dictamen, con base en las siguientes:</w:t>
      </w:r>
    </w:p>
    <w:p w14:paraId="5620D2A8" w14:textId="77777777" w:rsidR="00D16086" w:rsidRPr="00D16086" w:rsidRDefault="00D16086" w:rsidP="00662FB4">
      <w:pPr>
        <w:widowControl w:val="0"/>
        <w:jc w:val="both"/>
        <w:rPr>
          <w:rFonts w:ascii="Abadi" w:hAnsi="Abadi" w:cs="Arial"/>
          <w:sz w:val="21"/>
          <w:szCs w:val="21"/>
          <w:lang w:val="es-MX"/>
        </w:rPr>
      </w:pPr>
    </w:p>
    <w:p w14:paraId="443E5451" w14:textId="77777777" w:rsidR="00D16086" w:rsidRPr="00D16086" w:rsidRDefault="00D16086" w:rsidP="00662FB4">
      <w:pPr>
        <w:widowControl w:val="0"/>
        <w:jc w:val="both"/>
        <w:rPr>
          <w:rFonts w:ascii="Abadi" w:hAnsi="Abadi" w:cs="Arial"/>
          <w:sz w:val="21"/>
          <w:szCs w:val="21"/>
          <w:lang w:val="es-MX"/>
        </w:rPr>
      </w:pPr>
    </w:p>
    <w:p w14:paraId="263586BD" w14:textId="77777777" w:rsidR="00D16086" w:rsidRPr="00D16086" w:rsidRDefault="00D16086" w:rsidP="00662FB4">
      <w:pPr>
        <w:widowControl w:val="0"/>
        <w:jc w:val="center"/>
        <w:rPr>
          <w:rFonts w:ascii="Abadi" w:hAnsi="Abadi" w:cs="Arial"/>
          <w:b/>
          <w:sz w:val="21"/>
          <w:szCs w:val="21"/>
          <w:lang w:val="es-MX"/>
        </w:rPr>
      </w:pPr>
      <w:r w:rsidRPr="00D16086">
        <w:rPr>
          <w:rFonts w:ascii="Abadi" w:hAnsi="Abadi" w:cs="Arial"/>
          <w:b/>
          <w:sz w:val="21"/>
          <w:szCs w:val="21"/>
          <w:lang w:val="es-MX"/>
        </w:rPr>
        <w:t>C O N S I D E R A C I O N E S</w:t>
      </w:r>
    </w:p>
    <w:p w14:paraId="6E7EB5EF" w14:textId="77777777" w:rsidR="00D16086" w:rsidRPr="00D16086" w:rsidRDefault="00D16086" w:rsidP="00662FB4">
      <w:pPr>
        <w:widowControl w:val="0"/>
        <w:jc w:val="both"/>
        <w:rPr>
          <w:rFonts w:ascii="Abadi" w:hAnsi="Abadi" w:cs="Arial"/>
          <w:sz w:val="21"/>
          <w:szCs w:val="21"/>
          <w:lang w:val="es-MX"/>
        </w:rPr>
      </w:pPr>
    </w:p>
    <w:p w14:paraId="0E167149" w14:textId="77777777" w:rsidR="00D16086" w:rsidRPr="00D16086" w:rsidRDefault="00D16086" w:rsidP="00662FB4">
      <w:pPr>
        <w:widowControl w:val="0"/>
        <w:ind w:left="851"/>
        <w:jc w:val="both"/>
        <w:rPr>
          <w:rFonts w:ascii="Abadi" w:hAnsi="Abadi" w:cs="Arial"/>
          <w:b/>
          <w:sz w:val="21"/>
          <w:szCs w:val="21"/>
          <w:lang w:val="es-MX"/>
        </w:rPr>
      </w:pPr>
      <w:r w:rsidRPr="00D16086">
        <w:rPr>
          <w:rFonts w:ascii="Abadi" w:hAnsi="Abadi" w:cs="Arial"/>
          <w:b/>
          <w:sz w:val="21"/>
          <w:szCs w:val="21"/>
          <w:lang w:val="es-MX"/>
        </w:rPr>
        <w:t>PROCESO LEGISLATIVO.</w:t>
      </w:r>
    </w:p>
    <w:p w14:paraId="0E04C0E2" w14:textId="77777777" w:rsidR="00D16086" w:rsidRPr="00D16086" w:rsidRDefault="00D16086" w:rsidP="00662FB4">
      <w:pPr>
        <w:widowControl w:val="0"/>
        <w:jc w:val="both"/>
        <w:rPr>
          <w:rFonts w:ascii="Abadi" w:hAnsi="Abadi" w:cs="Arial"/>
          <w:sz w:val="21"/>
          <w:szCs w:val="21"/>
          <w:lang w:val="es-MX"/>
        </w:rPr>
      </w:pPr>
    </w:p>
    <w:p w14:paraId="67685CE4" w14:textId="77777777" w:rsidR="00D16086" w:rsidRPr="00D16086" w:rsidRDefault="00D16086" w:rsidP="00662FB4">
      <w:pPr>
        <w:widowControl w:val="0"/>
        <w:ind w:firstLine="851"/>
        <w:jc w:val="both"/>
        <w:rPr>
          <w:rFonts w:ascii="Abadi" w:hAnsi="Abadi" w:cs="Arial"/>
          <w:sz w:val="21"/>
          <w:szCs w:val="21"/>
          <w:lang w:val="es-MX"/>
        </w:rPr>
      </w:pPr>
      <w:r w:rsidRPr="00D16086">
        <w:rPr>
          <w:rFonts w:ascii="Abadi" w:hAnsi="Abadi" w:cs="Arial"/>
          <w:sz w:val="21"/>
          <w:szCs w:val="21"/>
          <w:lang w:val="es-MX"/>
        </w:rPr>
        <w:t>En sesión ordinaria del 13 de mayo de 2021 ingresó la iniciativa; misma que, con fundamento en el artículo 106 -fracciones I y XII- de la Ley Orgánica del Poder Legislativo del Estado de Guanajuato, se turnó por parte de la presidencia del Congreso a esta Comisión legislativa para su estudio y dictamen.</w:t>
      </w:r>
    </w:p>
    <w:p w14:paraId="29C078E9" w14:textId="77777777" w:rsidR="00D16086" w:rsidRPr="00D16086" w:rsidRDefault="00D16086" w:rsidP="00662FB4">
      <w:pPr>
        <w:widowControl w:val="0"/>
        <w:jc w:val="both"/>
        <w:rPr>
          <w:rFonts w:ascii="Abadi" w:hAnsi="Abadi" w:cs="Arial"/>
          <w:sz w:val="21"/>
          <w:szCs w:val="21"/>
          <w:lang w:val="es-MX"/>
        </w:rPr>
      </w:pPr>
    </w:p>
    <w:p w14:paraId="57EB5391" w14:textId="77777777" w:rsidR="00D16086" w:rsidRPr="00D16086" w:rsidRDefault="00D16086" w:rsidP="00662FB4">
      <w:pPr>
        <w:widowControl w:val="0"/>
        <w:ind w:firstLine="851"/>
        <w:jc w:val="both"/>
        <w:rPr>
          <w:rFonts w:ascii="Abadi" w:hAnsi="Abadi" w:cs="Arial"/>
          <w:sz w:val="21"/>
          <w:szCs w:val="21"/>
          <w:lang w:val="es-MX"/>
        </w:rPr>
      </w:pPr>
      <w:r w:rsidRPr="00D16086">
        <w:rPr>
          <w:rFonts w:ascii="Abadi" w:hAnsi="Abadi" w:cs="Arial"/>
          <w:sz w:val="21"/>
          <w:szCs w:val="21"/>
          <w:lang w:val="es-MX"/>
        </w:rPr>
        <w:t>En reunión de la Comisión del 20 de mayo de 2021 se dio cuenta con la iniciativa.</w:t>
      </w:r>
    </w:p>
    <w:p w14:paraId="79F1C21B" w14:textId="77777777" w:rsidR="00D16086" w:rsidRPr="00D16086" w:rsidRDefault="00D16086" w:rsidP="00662FB4">
      <w:pPr>
        <w:widowControl w:val="0"/>
        <w:jc w:val="both"/>
        <w:rPr>
          <w:rFonts w:ascii="Abadi" w:hAnsi="Abadi" w:cs="Arial"/>
          <w:sz w:val="21"/>
          <w:szCs w:val="21"/>
          <w:lang w:val="es-MX"/>
        </w:rPr>
      </w:pPr>
    </w:p>
    <w:p w14:paraId="4AB07D3E" w14:textId="77777777" w:rsidR="00D16086" w:rsidRPr="00D16086" w:rsidRDefault="00D16086" w:rsidP="00662FB4">
      <w:pPr>
        <w:widowControl w:val="0"/>
        <w:ind w:left="851"/>
        <w:jc w:val="both"/>
        <w:rPr>
          <w:rFonts w:ascii="Abadi" w:hAnsi="Abadi" w:cs="Arial"/>
          <w:b/>
          <w:sz w:val="21"/>
          <w:szCs w:val="21"/>
          <w:lang w:val="es-MX"/>
        </w:rPr>
      </w:pPr>
      <w:r w:rsidRPr="00D16086">
        <w:rPr>
          <w:rFonts w:ascii="Abadi" w:hAnsi="Abadi" w:cs="Arial"/>
          <w:b/>
          <w:sz w:val="21"/>
          <w:szCs w:val="21"/>
          <w:lang w:val="es-MX"/>
        </w:rPr>
        <w:t>Propósito de la iniciativa.</w:t>
      </w:r>
    </w:p>
    <w:p w14:paraId="6FC1A20A" w14:textId="77777777" w:rsidR="00D16086" w:rsidRPr="00D16086" w:rsidRDefault="00D16086" w:rsidP="00662FB4">
      <w:pPr>
        <w:widowControl w:val="0"/>
        <w:jc w:val="both"/>
        <w:rPr>
          <w:rFonts w:ascii="Abadi" w:hAnsi="Abadi"/>
          <w:sz w:val="21"/>
          <w:szCs w:val="21"/>
          <w:lang w:val="es-MX" w:eastAsia="en-US"/>
        </w:rPr>
      </w:pPr>
    </w:p>
    <w:p w14:paraId="727256C3" w14:textId="77777777" w:rsidR="00D16086" w:rsidRPr="00D16086" w:rsidRDefault="00D16086" w:rsidP="00662FB4">
      <w:pPr>
        <w:widowControl w:val="0"/>
        <w:ind w:firstLine="851"/>
        <w:jc w:val="both"/>
        <w:rPr>
          <w:rFonts w:ascii="Abadi" w:hAnsi="Abadi"/>
          <w:sz w:val="21"/>
          <w:szCs w:val="21"/>
          <w:lang w:val="es-MX" w:eastAsia="en-US"/>
        </w:rPr>
      </w:pPr>
      <w:r w:rsidRPr="00D16086">
        <w:rPr>
          <w:rFonts w:ascii="Abadi" w:hAnsi="Abadi"/>
          <w:sz w:val="21"/>
          <w:szCs w:val="21"/>
          <w:lang w:val="es-MX" w:eastAsia="en-US"/>
        </w:rPr>
        <w:t>En la exposición de motivos de la iniciativa se puede leer que:</w:t>
      </w:r>
    </w:p>
    <w:p w14:paraId="27775DDE" w14:textId="77777777" w:rsidR="00D16086" w:rsidRPr="00D16086" w:rsidRDefault="00D16086" w:rsidP="00662FB4">
      <w:pPr>
        <w:widowControl w:val="0"/>
        <w:ind w:left="851" w:right="851"/>
        <w:jc w:val="both"/>
        <w:rPr>
          <w:rFonts w:ascii="Abadi" w:hAnsi="Abadi" w:cs="Arial"/>
          <w:i/>
          <w:sz w:val="21"/>
          <w:szCs w:val="21"/>
          <w:lang w:val="es-MX" w:eastAsia="en-US"/>
        </w:rPr>
      </w:pPr>
      <w:r w:rsidRPr="00D16086">
        <w:rPr>
          <w:rFonts w:ascii="Abadi" w:hAnsi="Abadi" w:cs="Arial"/>
          <w:i/>
          <w:sz w:val="21"/>
          <w:szCs w:val="21"/>
          <w:lang w:val="es-MX" w:eastAsia="en-US"/>
        </w:rPr>
        <w:t>Vivir en nuestro país siempre ha representado muchos retos para todas las personas, como el acceso a la salud, el acceso a una buena educación, a la vivienda, a un buen trabajo, a la seguridad, entre otros.</w:t>
      </w:r>
    </w:p>
    <w:p w14:paraId="2958DE33" w14:textId="77777777" w:rsidR="00D16086" w:rsidRPr="00D16086" w:rsidRDefault="00D16086" w:rsidP="00662FB4">
      <w:pPr>
        <w:widowControl w:val="0"/>
        <w:ind w:left="851" w:right="851"/>
        <w:jc w:val="both"/>
        <w:rPr>
          <w:rFonts w:ascii="Abadi" w:hAnsi="Abadi" w:cs="Arial"/>
          <w:i/>
          <w:sz w:val="21"/>
          <w:szCs w:val="21"/>
          <w:lang w:val="es-MX" w:eastAsia="en-US"/>
        </w:rPr>
      </w:pPr>
    </w:p>
    <w:p w14:paraId="5151081E" w14:textId="77777777" w:rsidR="00D16086" w:rsidRPr="00D16086" w:rsidRDefault="00D16086" w:rsidP="00662FB4">
      <w:pPr>
        <w:widowControl w:val="0"/>
        <w:ind w:left="851" w:right="851"/>
        <w:jc w:val="both"/>
        <w:rPr>
          <w:rFonts w:ascii="Abadi" w:hAnsi="Abadi" w:cs="Arial"/>
          <w:i/>
          <w:sz w:val="21"/>
          <w:szCs w:val="21"/>
          <w:lang w:val="es-MX" w:eastAsia="en-US"/>
        </w:rPr>
      </w:pPr>
      <w:r w:rsidRPr="00D16086">
        <w:rPr>
          <w:rFonts w:ascii="Abadi" w:hAnsi="Abadi" w:cs="Arial"/>
          <w:i/>
          <w:sz w:val="21"/>
          <w:szCs w:val="21"/>
          <w:lang w:val="es-MX" w:eastAsia="en-US"/>
        </w:rPr>
        <w:t>Con todos estos problemas, las personas de nuestro país han podido salir adelante; pero, si vivir en México muchas veces se torna complicado, ahora vivir teniendo una discapacidad o limitación se vuelve imposible.</w:t>
      </w:r>
    </w:p>
    <w:p w14:paraId="2CB14C94" w14:textId="77777777" w:rsidR="00D16086" w:rsidRPr="00D16086" w:rsidRDefault="00D16086" w:rsidP="00662FB4">
      <w:pPr>
        <w:widowControl w:val="0"/>
        <w:ind w:left="851" w:right="851"/>
        <w:jc w:val="both"/>
        <w:rPr>
          <w:rFonts w:ascii="Abadi" w:hAnsi="Abadi" w:cs="Arial"/>
          <w:i/>
          <w:sz w:val="21"/>
          <w:szCs w:val="21"/>
          <w:lang w:val="es-MX" w:eastAsia="en-US"/>
        </w:rPr>
      </w:pPr>
    </w:p>
    <w:p w14:paraId="28D38FE6" w14:textId="77777777" w:rsidR="00D16086" w:rsidRPr="00D16086" w:rsidRDefault="00D16086" w:rsidP="00662FB4">
      <w:pPr>
        <w:widowControl w:val="0"/>
        <w:ind w:left="851" w:right="851"/>
        <w:jc w:val="both"/>
        <w:rPr>
          <w:rFonts w:ascii="Abadi" w:hAnsi="Abadi" w:cs="Arial"/>
          <w:i/>
          <w:sz w:val="21"/>
          <w:szCs w:val="21"/>
          <w:lang w:val="es-MX" w:eastAsia="en-US"/>
        </w:rPr>
      </w:pPr>
      <w:r w:rsidRPr="00D16086">
        <w:rPr>
          <w:rFonts w:ascii="Abadi" w:hAnsi="Abadi" w:cs="Arial"/>
          <w:i/>
          <w:sz w:val="21"/>
          <w:szCs w:val="21"/>
          <w:lang w:val="es-MX" w:eastAsia="en-US"/>
        </w:rPr>
        <w:t>En muchas ciudades y comunidades de nuestro país y de Guanajuato se presentan los mínimos requisitos para que las personas puedan tener acceso a sus derechos básicos, y se ha dejado de lado el buscar que las personas con algún tipo de discapacidad puedan tener el acceso a estos mismos que por ley y por responsabilidad social deberían de tener.</w:t>
      </w:r>
    </w:p>
    <w:p w14:paraId="574444FE" w14:textId="77777777" w:rsidR="00D16086" w:rsidRPr="00D16086" w:rsidRDefault="00D16086" w:rsidP="00662FB4">
      <w:pPr>
        <w:widowControl w:val="0"/>
        <w:ind w:left="851" w:right="851"/>
        <w:jc w:val="both"/>
        <w:rPr>
          <w:rFonts w:ascii="Abadi" w:hAnsi="Abadi" w:cs="Arial"/>
          <w:i/>
          <w:sz w:val="21"/>
          <w:szCs w:val="21"/>
          <w:lang w:val="es-MX" w:eastAsia="en-US"/>
        </w:rPr>
      </w:pPr>
    </w:p>
    <w:p w14:paraId="7117A753" w14:textId="77777777" w:rsidR="00D16086" w:rsidRPr="00D16086" w:rsidRDefault="00D16086" w:rsidP="00662FB4">
      <w:pPr>
        <w:widowControl w:val="0"/>
        <w:ind w:left="851" w:right="851"/>
        <w:jc w:val="both"/>
        <w:rPr>
          <w:rFonts w:ascii="Abadi" w:hAnsi="Abadi" w:cs="Arial"/>
          <w:i/>
          <w:sz w:val="21"/>
          <w:szCs w:val="21"/>
          <w:lang w:val="es-MX" w:eastAsia="en-US"/>
        </w:rPr>
      </w:pPr>
      <w:r w:rsidRPr="00D16086">
        <w:rPr>
          <w:rFonts w:ascii="Abadi" w:hAnsi="Abadi" w:cs="Arial"/>
          <w:i/>
          <w:sz w:val="21"/>
          <w:szCs w:val="21"/>
          <w:lang w:val="es-MX" w:eastAsia="en-US"/>
        </w:rPr>
        <w:t>En México viven más de 20 millones de mexicanos con alguna limitación o discapacidad de los cuales más de 9 millones son hombres y más de 11 millones son mujeres</w:t>
      </w:r>
      <w:r w:rsidRPr="00D16086">
        <w:rPr>
          <w:rFonts w:ascii="Abadi" w:hAnsi="Abadi" w:cs="Arial"/>
          <w:i/>
          <w:sz w:val="21"/>
          <w:szCs w:val="21"/>
          <w:vertAlign w:val="superscript"/>
          <w:lang w:val="es-MX" w:eastAsia="en-US"/>
        </w:rPr>
        <w:footnoteReference w:id="95"/>
      </w:r>
      <w:r w:rsidRPr="00D16086">
        <w:rPr>
          <w:rFonts w:ascii="Abadi" w:hAnsi="Abadi" w:cs="Arial"/>
          <w:i/>
          <w:sz w:val="21"/>
          <w:szCs w:val="21"/>
          <w:lang w:val="es-MX" w:eastAsia="en-US"/>
        </w:rPr>
        <w:t>, que sufren diariamente un sinnúmero de adversidades.</w:t>
      </w:r>
    </w:p>
    <w:p w14:paraId="337B204D" w14:textId="77777777" w:rsidR="00D16086" w:rsidRPr="00D16086" w:rsidRDefault="00D16086" w:rsidP="00662FB4">
      <w:pPr>
        <w:widowControl w:val="0"/>
        <w:ind w:left="851" w:right="851"/>
        <w:jc w:val="both"/>
        <w:rPr>
          <w:rFonts w:ascii="Abadi" w:hAnsi="Abadi" w:cs="Arial"/>
          <w:i/>
          <w:sz w:val="21"/>
          <w:szCs w:val="21"/>
          <w:lang w:val="es-MX" w:eastAsia="en-US"/>
        </w:rPr>
      </w:pPr>
    </w:p>
    <w:p w14:paraId="1592FB46" w14:textId="77777777" w:rsidR="00D16086" w:rsidRPr="00D16086" w:rsidRDefault="00D16086" w:rsidP="00662FB4">
      <w:pPr>
        <w:widowControl w:val="0"/>
        <w:ind w:left="851" w:right="851"/>
        <w:jc w:val="both"/>
        <w:rPr>
          <w:rFonts w:ascii="Abadi" w:hAnsi="Abadi" w:cs="Arial"/>
          <w:i/>
          <w:sz w:val="21"/>
          <w:szCs w:val="21"/>
          <w:lang w:val="es-MX" w:eastAsia="en-US"/>
        </w:rPr>
      </w:pPr>
      <w:r w:rsidRPr="00D16086">
        <w:rPr>
          <w:rFonts w:ascii="Abadi" w:hAnsi="Abadi" w:cs="Arial"/>
          <w:i/>
          <w:sz w:val="21"/>
          <w:szCs w:val="21"/>
          <w:lang w:val="es-MX" w:eastAsia="en-US"/>
        </w:rPr>
        <w:t>Guanajuato es el sexto estado de la república en donde viven más personas con algún tipo de discapacidad o limitación con casi 1 millón de personas que diariamente tienen que vivir con algún impedimento y limitante, ya que los municipios de nuestro estado no tienen las instalaciones, infraestructura u oportunidades que ellos necesitan para unas condiciones más parejas de vida.</w:t>
      </w:r>
    </w:p>
    <w:p w14:paraId="42BE62FA" w14:textId="77777777" w:rsidR="00D16086" w:rsidRPr="00D16086" w:rsidRDefault="00D16086" w:rsidP="00662FB4">
      <w:pPr>
        <w:widowControl w:val="0"/>
        <w:ind w:left="851" w:right="851"/>
        <w:jc w:val="both"/>
        <w:rPr>
          <w:rFonts w:ascii="Abadi" w:hAnsi="Abadi" w:cs="Arial"/>
          <w:i/>
          <w:sz w:val="21"/>
          <w:szCs w:val="21"/>
          <w:lang w:val="es-MX" w:eastAsia="en-US"/>
        </w:rPr>
      </w:pPr>
    </w:p>
    <w:p w14:paraId="1CE7F3A7" w14:textId="77777777" w:rsidR="00D16086" w:rsidRPr="00D16086" w:rsidRDefault="00D16086" w:rsidP="00662FB4">
      <w:pPr>
        <w:widowControl w:val="0"/>
        <w:ind w:left="851" w:right="851"/>
        <w:jc w:val="both"/>
        <w:rPr>
          <w:rFonts w:ascii="Abadi" w:hAnsi="Abadi" w:cs="Arial"/>
          <w:i/>
          <w:sz w:val="21"/>
          <w:szCs w:val="21"/>
          <w:lang w:val="es-MX" w:eastAsia="en-US"/>
        </w:rPr>
      </w:pPr>
      <w:r w:rsidRPr="00D16086">
        <w:rPr>
          <w:rFonts w:ascii="Abadi" w:hAnsi="Abadi" w:cs="Arial"/>
          <w:i/>
          <w:sz w:val="21"/>
          <w:szCs w:val="21"/>
          <w:lang w:val="es-MX" w:eastAsia="en-US"/>
        </w:rPr>
        <w:t>En nuestro estado existen diferentes tipos de discapacidades como la discapacidad motriz, auditiva, visual, intelectual, de lenguaje, psicosocial, entre otras. Cada una de ellas representan dificultades y adversidades en las vidas de los guanajuatenses. Necesitamos urgentemente cambios en nuestros sistemas de salud, educación, trabajo, y deporte, cambios reales de los accesos y las instalaciones de cada uno de estos lugares, para ofrecerles las mismas oportunidades que al resto de la población.</w:t>
      </w:r>
    </w:p>
    <w:p w14:paraId="097B178D" w14:textId="77777777" w:rsidR="00D16086" w:rsidRPr="00D16086" w:rsidRDefault="00D16086" w:rsidP="00662FB4">
      <w:pPr>
        <w:widowControl w:val="0"/>
        <w:ind w:left="851" w:right="851"/>
        <w:jc w:val="both"/>
        <w:rPr>
          <w:rFonts w:ascii="Abadi" w:hAnsi="Abadi" w:cs="Arial"/>
          <w:i/>
          <w:sz w:val="21"/>
          <w:szCs w:val="21"/>
          <w:lang w:val="es-MX" w:eastAsia="en-US"/>
        </w:rPr>
      </w:pPr>
    </w:p>
    <w:p w14:paraId="52433372" w14:textId="77777777" w:rsidR="00D16086" w:rsidRPr="00D16086" w:rsidRDefault="00D16086" w:rsidP="00662FB4">
      <w:pPr>
        <w:widowControl w:val="0"/>
        <w:ind w:left="851" w:right="851"/>
        <w:jc w:val="both"/>
        <w:rPr>
          <w:rFonts w:ascii="Abadi" w:hAnsi="Abadi" w:cs="Arial"/>
          <w:i/>
          <w:sz w:val="21"/>
          <w:szCs w:val="21"/>
          <w:lang w:val="es-MX" w:eastAsia="en-US"/>
        </w:rPr>
      </w:pPr>
      <w:r w:rsidRPr="00D16086">
        <w:rPr>
          <w:rFonts w:ascii="Abadi" w:hAnsi="Abadi" w:cs="Arial"/>
          <w:i/>
          <w:sz w:val="21"/>
          <w:szCs w:val="21"/>
          <w:lang w:val="es-MX" w:eastAsia="en-US"/>
        </w:rPr>
        <w:t>Necesitamos urgentemente quitarnos la venda de los ojos, para dejar de pensar en que nuestra realidad es la única que existe, y mirar los diferentes rostros que requieren y exigen tener las mismas oportunidades que el resto de la población, empezando desde una adecuada movilidad en los diferentes centros públicos o privados, sin importar la discapacidad que presenten. Es imperativo ofrecerles condiciones más justas, desde rampas, escritura en braille, sensores, traductores, o hasta guías para no dejar atrás a nadie en este reto que se llama vivir en México.</w:t>
      </w:r>
    </w:p>
    <w:p w14:paraId="7719713B" w14:textId="77777777" w:rsidR="00D16086" w:rsidRPr="00D16086" w:rsidRDefault="00D16086" w:rsidP="00662FB4">
      <w:pPr>
        <w:widowControl w:val="0"/>
        <w:ind w:left="851" w:right="851"/>
        <w:jc w:val="both"/>
        <w:rPr>
          <w:rFonts w:ascii="Abadi" w:hAnsi="Abadi" w:cs="Arial"/>
          <w:i/>
          <w:sz w:val="21"/>
          <w:szCs w:val="21"/>
          <w:lang w:val="es-MX" w:eastAsia="en-US"/>
        </w:rPr>
      </w:pPr>
    </w:p>
    <w:p w14:paraId="2619D5F4" w14:textId="77777777" w:rsidR="00D16086" w:rsidRPr="00D16086" w:rsidRDefault="00D16086" w:rsidP="00662FB4">
      <w:pPr>
        <w:widowControl w:val="0"/>
        <w:ind w:left="851" w:right="851"/>
        <w:jc w:val="both"/>
        <w:rPr>
          <w:rFonts w:ascii="Abadi" w:hAnsi="Abadi" w:cs="Arial"/>
          <w:i/>
          <w:sz w:val="21"/>
          <w:szCs w:val="21"/>
          <w:lang w:val="es-MX" w:eastAsia="en-US"/>
        </w:rPr>
      </w:pPr>
      <w:r w:rsidRPr="00D16086">
        <w:rPr>
          <w:rFonts w:ascii="Abadi" w:hAnsi="Abadi" w:cs="Arial"/>
          <w:i/>
          <w:sz w:val="21"/>
          <w:szCs w:val="21"/>
          <w:lang w:val="es-MX" w:eastAsia="en-US"/>
        </w:rPr>
        <w:t>Por ello, el diputado y su servidora integrantes del Grupo Parlamentario del Partido Verde Ecologista de México presentamos una iniciativa que busca implementar la accesibilidad universal para las personas con discapacidad motriz, auditiva, visual, intelectual, de lenguaje, psicosocial y todas las demás que se desprendan de estás, que afecten la realización de las principales actividades del ser humano en un ámbito normal, en atención a tres aspectos:</w:t>
      </w:r>
    </w:p>
    <w:p w14:paraId="4831AC4F" w14:textId="77777777" w:rsidR="00D16086" w:rsidRPr="00D16086" w:rsidRDefault="00D16086" w:rsidP="00662FB4">
      <w:pPr>
        <w:widowControl w:val="0"/>
        <w:ind w:left="851" w:right="851"/>
        <w:jc w:val="both"/>
        <w:rPr>
          <w:rFonts w:ascii="Abadi" w:hAnsi="Abadi" w:cs="Arial"/>
          <w:i/>
          <w:sz w:val="21"/>
          <w:szCs w:val="21"/>
          <w:lang w:val="es-MX" w:eastAsia="en-US"/>
        </w:rPr>
      </w:pPr>
    </w:p>
    <w:p w14:paraId="34AC3528" w14:textId="77777777" w:rsidR="00D16086" w:rsidRPr="00D16086" w:rsidRDefault="00D16086" w:rsidP="00662FB4">
      <w:pPr>
        <w:widowControl w:val="0"/>
        <w:ind w:left="851" w:right="851"/>
        <w:jc w:val="both"/>
        <w:rPr>
          <w:rFonts w:ascii="Abadi" w:hAnsi="Abadi" w:cs="Arial"/>
          <w:i/>
          <w:sz w:val="21"/>
          <w:szCs w:val="21"/>
          <w:lang w:val="es-MX" w:eastAsia="en-US"/>
        </w:rPr>
      </w:pPr>
      <w:r w:rsidRPr="00D16086">
        <w:rPr>
          <w:rFonts w:ascii="Abadi" w:hAnsi="Abadi" w:cs="Arial"/>
          <w:b/>
          <w:bCs/>
          <w:i/>
          <w:sz w:val="21"/>
          <w:szCs w:val="21"/>
          <w:lang w:val="es-MX" w:eastAsia="en-US"/>
        </w:rPr>
        <w:t>PRIMERO.</w:t>
      </w:r>
      <w:r w:rsidRPr="00D16086">
        <w:rPr>
          <w:rFonts w:ascii="Abadi" w:hAnsi="Abadi" w:cs="Arial"/>
          <w:i/>
          <w:sz w:val="21"/>
          <w:szCs w:val="21"/>
          <w:lang w:val="es-MX" w:eastAsia="en-US"/>
        </w:rPr>
        <w:t xml:space="preserve"> Se reforma la Ley para Prevenir, Atender y Erradicar la Discriminación en el Estado de Guanajuato para establecer de manera específica que existe el supuesto de discriminación cuando se limita o se impide el acceso a los diferentes establecimientos públicos o privados a las personas con algún tipo de discapacidad.</w:t>
      </w:r>
    </w:p>
    <w:p w14:paraId="4D800CEF" w14:textId="77777777" w:rsidR="00D16086" w:rsidRPr="00D16086" w:rsidRDefault="00D16086" w:rsidP="00662FB4">
      <w:pPr>
        <w:widowControl w:val="0"/>
        <w:ind w:left="851" w:right="851"/>
        <w:jc w:val="both"/>
        <w:rPr>
          <w:rFonts w:ascii="Abadi" w:hAnsi="Abadi" w:cs="Arial"/>
          <w:i/>
          <w:sz w:val="21"/>
          <w:szCs w:val="21"/>
          <w:lang w:val="es-MX" w:eastAsia="en-US"/>
        </w:rPr>
      </w:pPr>
    </w:p>
    <w:p w14:paraId="447CF8A7" w14:textId="77777777" w:rsidR="00D16086" w:rsidRPr="00D16086" w:rsidRDefault="00D16086" w:rsidP="00662FB4">
      <w:pPr>
        <w:widowControl w:val="0"/>
        <w:ind w:left="851" w:right="851"/>
        <w:jc w:val="both"/>
        <w:rPr>
          <w:rFonts w:ascii="Abadi" w:hAnsi="Abadi" w:cs="Arial"/>
          <w:i/>
          <w:sz w:val="21"/>
          <w:szCs w:val="21"/>
          <w:lang w:val="es-MX" w:eastAsia="en-US"/>
        </w:rPr>
      </w:pPr>
    </w:p>
    <w:p w14:paraId="095BF19E" w14:textId="77777777" w:rsidR="00D16086" w:rsidRPr="00D16086" w:rsidRDefault="00D16086" w:rsidP="00662FB4">
      <w:pPr>
        <w:widowControl w:val="0"/>
        <w:ind w:left="851" w:right="851"/>
        <w:jc w:val="both"/>
        <w:rPr>
          <w:rFonts w:ascii="Abadi" w:hAnsi="Abadi" w:cs="Arial"/>
          <w:i/>
          <w:sz w:val="21"/>
          <w:szCs w:val="21"/>
          <w:lang w:val="es-MX" w:eastAsia="en-US"/>
        </w:rPr>
      </w:pPr>
      <w:r w:rsidRPr="00D16086">
        <w:rPr>
          <w:rFonts w:ascii="Abadi" w:hAnsi="Abadi" w:cs="Arial"/>
          <w:i/>
          <w:sz w:val="21"/>
          <w:szCs w:val="21"/>
          <w:lang w:val="es-MX" w:eastAsia="en-US"/>
        </w:rPr>
        <w:t>Ya que, una de las obligaciones de las autoridades tanto del ámbito estatal como del ámbito municipal es generar en todos los aspectos igualdad de condiciones para todas las personas que habitan y se desplazan en los diferentes lugares del Estado.</w:t>
      </w:r>
    </w:p>
    <w:p w14:paraId="2750F0CC" w14:textId="77777777" w:rsidR="00D16086" w:rsidRPr="00D16086" w:rsidRDefault="00D16086" w:rsidP="00662FB4">
      <w:pPr>
        <w:widowControl w:val="0"/>
        <w:ind w:left="851" w:right="851"/>
        <w:jc w:val="both"/>
        <w:rPr>
          <w:rFonts w:ascii="Abadi" w:hAnsi="Abadi" w:cs="Arial"/>
          <w:i/>
          <w:sz w:val="21"/>
          <w:szCs w:val="21"/>
          <w:lang w:val="es-MX" w:eastAsia="en-US"/>
        </w:rPr>
      </w:pPr>
    </w:p>
    <w:p w14:paraId="67329700" w14:textId="77777777" w:rsidR="00D16086" w:rsidRPr="00D16086" w:rsidRDefault="00D16086" w:rsidP="00662FB4">
      <w:pPr>
        <w:widowControl w:val="0"/>
        <w:ind w:left="851" w:right="851"/>
        <w:jc w:val="both"/>
        <w:rPr>
          <w:rFonts w:ascii="Abadi" w:hAnsi="Abadi" w:cs="Arial"/>
          <w:i/>
          <w:sz w:val="21"/>
          <w:szCs w:val="21"/>
          <w:lang w:val="es-MX" w:eastAsia="en-US"/>
        </w:rPr>
      </w:pPr>
      <w:r w:rsidRPr="00D16086">
        <w:rPr>
          <w:rFonts w:ascii="Abadi" w:hAnsi="Abadi" w:cs="Arial"/>
          <w:i/>
          <w:sz w:val="21"/>
          <w:szCs w:val="21"/>
          <w:lang w:val="es-MX" w:eastAsia="en-US"/>
        </w:rPr>
        <w:t>En este sentido, se propone que la Procuraduría de los Derechos Humanos del Estado, diseñe indicadores para la evaluación de las políticas públicas con perspectiva de no discriminación, así como aquellas enfocadas a la accesibilidad y movilidad de las personas que cuenten con alguna discapacidad.</w:t>
      </w:r>
    </w:p>
    <w:p w14:paraId="1AD7D37D" w14:textId="77777777" w:rsidR="00D16086" w:rsidRPr="00D16086" w:rsidRDefault="00D16086" w:rsidP="00662FB4">
      <w:pPr>
        <w:widowControl w:val="0"/>
        <w:ind w:left="851" w:right="851"/>
        <w:jc w:val="both"/>
        <w:rPr>
          <w:rFonts w:ascii="Abadi" w:hAnsi="Abadi" w:cs="Arial"/>
          <w:i/>
          <w:sz w:val="21"/>
          <w:szCs w:val="21"/>
          <w:lang w:val="es-MX" w:eastAsia="en-US"/>
        </w:rPr>
      </w:pPr>
    </w:p>
    <w:p w14:paraId="64D918E2" w14:textId="77777777" w:rsidR="00D16086" w:rsidRPr="00D16086" w:rsidRDefault="00D16086" w:rsidP="00662FB4">
      <w:pPr>
        <w:widowControl w:val="0"/>
        <w:ind w:left="851" w:right="851"/>
        <w:jc w:val="both"/>
        <w:rPr>
          <w:rFonts w:ascii="Abadi" w:hAnsi="Abadi" w:cs="Arial"/>
          <w:i/>
          <w:sz w:val="21"/>
          <w:szCs w:val="21"/>
          <w:lang w:val="es-MX" w:eastAsia="en-US"/>
        </w:rPr>
      </w:pPr>
      <w:r w:rsidRPr="00D16086">
        <w:rPr>
          <w:rFonts w:ascii="Abadi" w:hAnsi="Abadi" w:cs="Arial"/>
          <w:i/>
          <w:sz w:val="21"/>
          <w:szCs w:val="21"/>
          <w:lang w:val="es-MX" w:eastAsia="en-US"/>
        </w:rPr>
        <w:t>Esto es fundamental, ya que una de las atribuciones con las que cuenta la Procuraduría de los Derechos Humanos es vigilar y hacer valer los derechos fundamentales consagrados en la constitución tanto federal como local. Y en la gran mayoría, las personas con alguna discapacidad son los que se ven más vulneradas en sus garantías. Por ello, la importancia de que la Procuraduría diseñe este tipo de indicadores para poder medir y mejorar la accesibilidad universal para las personas con discapacidad.</w:t>
      </w:r>
    </w:p>
    <w:p w14:paraId="779C71F6" w14:textId="77777777" w:rsidR="00D16086" w:rsidRPr="00D16086" w:rsidRDefault="00D16086" w:rsidP="00662FB4">
      <w:pPr>
        <w:widowControl w:val="0"/>
        <w:ind w:left="851" w:right="851"/>
        <w:jc w:val="both"/>
        <w:rPr>
          <w:rFonts w:ascii="Abadi" w:hAnsi="Abadi" w:cs="Arial"/>
          <w:i/>
          <w:sz w:val="21"/>
          <w:szCs w:val="21"/>
          <w:lang w:val="es-MX" w:eastAsia="en-US"/>
        </w:rPr>
      </w:pPr>
    </w:p>
    <w:p w14:paraId="47CCDEBB" w14:textId="77777777" w:rsidR="00D16086" w:rsidRPr="00D16086" w:rsidRDefault="00D16086" w:rsidP="00662FB4">
      <w:pPr>
        <w:widowControl w:val="0"/>
        <w:ind w:left="851" w:right="851"/>
        <w:jc w:val="both"/>
        <w:rPr>
          <w:rFonts w:ascii="Abadi" w:hAnsi="Abadi" w:cs="Arial"/>
          <w:i/>
          <w:sz w:val="21"/>
          <w:szCs w:val="21"/>
          <w:lang w:val="es-MX" w:eastAsia="en-US"/>
        </w:rPr>
      </w:pPr>
      <w:r w:rsidRPr="00D16086">
        <w:rPr>
          <w:rFonts w:ascii="Abadi" w:hAnsi="Abadi" w:cs="Arial"/>
          <w:b/>
          <w:bCs/>
          <w:i/>
          <w:sz w:val="21"/>
          <w:szCs w:val="21"/>
          <w:lang w:val="es-MX" w:eastAsia="en-US"/>
        </w:rPr>
        <w:t>SEGUNDO.</w:t>
      </w:r>
      <w:r w:rsidRPr="00D16086">
        <w:rPr>
          <w:rFonts w:ascii="Abadi" w:hAnsi="Abadi" w:cs="Arial"/>
          <w:i/>
          <w:sz w:val="21"/>
          <w:szCs w:val="21"/>
          <w:lang w:val="es-MX" w:eastAsia="en-US"/>
        </w:rPr>
        <w:t xml:space="preserve"> Se reforma la Ley de Inclusión para las Personas con Discapacidad en el Estado de Guanajuato para incluir como un derecho de las personas con discapacidad, el contar con accesibilidad adecuada para las personas con discapacidad motriz, auditiva, visual, intelectual, de lenguaje, psicosocial y todas las demás que se desprendan de estás, que afecten la realización de las principales actividades del ser humano en un ámbito normal, y no ser discriminadas por motivos de su discapacidad.</w:t>
      </w:r>
    </w:p>
    <w:p w14:paraId="19898939" w14:textId="77777777" w:rsidR="00D16086" w:rsidRPr="00D16086" w:rsidRDefault="00D16086" w:rsidP="00662FB4">
      <w:pPr>
        <w:widowControl w:val="0"/>
        <w:ind w:left="851" w:right="851"/>
        <w:jc w:val="both"/>
        <w:rPr>
          <w:rFonts w:ascii="Abadi" w:hAnsi="Abadi" w:cs="Arial"/>
          <w:i/>
          <w:sz w:val="21"/>
          <w:szCs w:val="21"/>
          <w:lang w:val="es-MX" w:eastAsia="en-US"/>
        </w:rPr>
      </w:pPr>
    </w:p>
    <w:p w14:paraId="4C6208A7" w14:textId="77777777" w:rsidR="00D16086" w:rsidRPr="00D16086" w:rsidRDefault="00D16086" w:rsidP="00662FB4">
      <w:pPr>
        <w:widowControl w:val="0"/>
        <w:ind w:left="851" w:right="851"/>
        <w:jc w:val="both"/>
        <w:rPr>
          <w:rFonts w:ascii="Abadi" w:hAnsi="Abadi" w:cs="Arial"/>
          <w:i/>
          <w:sz w:val="21"/>
          <w:szCs w:val="21"/>
          <w:lang w:val="es-MX" w:eastAsia="en-US"/>
        </w:rPr>
      </w:pPr>
      <w:r w:rsidRPr="00D16086">
        <w:rPr>
          <w:rFonts w:ascii="Abadi" w:hAnsi="Abadi" w:cs="Arial"/>
          <w:i/>
          <w:sz w:val="21"/>
          <w:szCs w:val="21"/>
          <w:lang w:val="es-MX" w:eastAsia="en-US"/>
        </w:rPr>
        <w:t>Asimismo, se propone que las dependencias y entidades de la administración pública estatal y municipal en el ejercicio de cada una de sus atribuciones, deberán implementar el símbolo de accesibilidad universal para las personas con discapacidad motriz, auditiva, visual, intelectual, de lenguaje, psicosocial y todas las demás que se desprendan de estás, que afecten la realización de las principales actividades del ser humano en un ámbito normal.</w:t>
      </w:r>
    </w:p>
    <w:p w14:paraId="67F2CA4E" w14:textId="77777777" w:rsidR="00D16086" w:rsidRPr="00D16086" w:rsidRDefault="00D16086" w:rsidP="00662FB4">
      <w:pPr>
        <w:widowControl w:val="0"/>
        <w:ind w:left="851" w:right="851"/>
        <w:jc w:val="both"/>
        <w:rPr>
          <w:rFonts w:ascii="Abadi" w:hAnsi="Abadi" w:cs="Arial"/>
          <w:i/>
          <w:sz w:val="21"/>
          <w:szCs w:val="21"/>
          <w:lang w:val="es-MX" w:eastAsia="en-US"/>
        </w:rPr>
      </w:pPr>
    </w:p>
    <w:p w14:paraId="6847F1CB" w14:textId="77777777" w:rsidR="00D16086" w:rsidRPr="00D16086" w:rsidRDefault="00D16086" w:rsidP="00662FB4">
      <w:pPr>
        <w:widowControl w:val="0"/>
        <w:ind w:left="851" w:right="851"/>
        <w:jc w:val="both"/>
        <w:rPr>
          <w:rFonts w:ascii="Abadi" w:hAnsi="Abadi" w:cs="Arial"/>
          <w:i/>
          <w:sz w:val="21"/>
          <w:szCs w:val="21"/>
          <w:lang w:val="es-MX" w:eastAsia="en-US"/>
        </w:rPr>
      </w:pPr>
      <w:r w:rsidRPr="00D16086">
        <w:rPr>
          <w:rFonts w:ascii="Abadi" w:hAnsi="Abadi" w:cs="Arial"/>
          <w:i/>
          <w:sz w:val="21"/>
          <w:szCs w:val="21"/>
          <w:lang w:val="es-MX" w:eastAsia="en-US"/>
        </w:rPr>
        <w:t>Este símbolo de accesibilidad universal está destinado a identificar zonas adaptadas para personas que cuentan con alguna discapacidad, y representa la inclusión para todas las personas, desde el sector salud, educación, capacitación y empleo, hasta comunicaciones y transporte, deporte, recreación y cultura.</w:t>
      </w:r>
    </w:p>
    <w:p w14:paraId="2B13E252" w14:textId="77777777" w:rsidR="00D16086" w:rsidRPr="00D16086" w:rsidRDefault="00D16086" w:rsidP="00662FB4">
      <w:pPr>
        <w:widowControl w:val="0"/>
        <w:ind w:left="851" w:right="851"/>
        <w:jc w:val="both"/>
        <w:rPr>
          <w:rFonts w:ascii="Abadi" w:hAnsi="Abadi" w:cs="Arial"/>
          <w:i/>
          <w:sz w:val="21"/>
          <w:szCs w:val="21"/>
          <w:lang w:val="es-MX" w:eastAsia="en-US"/>
        </w:rPr>
      </w:pPr>
    </w:p>
    <w:p w14:paraId="34DE3B02" w14:textId="77777777" w:rsidR="00D16086" w:rsidRPr="00D16086" w:rsidRDefault="00D16086" w:rsidP="00662FB4">
      <w:pPr>
        <w:widowControl w:val="0"/>
        <w:ind w:left="851" w:right="851"/>
        <w:jc w:val="both"/>
        <w:rPr>
          <w:rFonts w:ascii="Abadi" w:hAnsi="Abadi" w:cs="Arial"/>
          <w:i/>
          <w:sz w:val="21"/>
          <w:szCs w:val="21"/>
          <w:lang w:val="es-MX" w:eastAsia="en-US"/>
        </w:rPr>
      </w:pPr>
      <w:r w:rsidRPr="00D16086">
        <w:rPr>
          <w:rFonts w:ascii="Abadi" w:hAnsi="Abadi" w:cs="Arial"/>
          <w:i/>
          <w:sz w:val="21"/>
          <w:szCs w:val="21"/>
          <w:lang w:val="es-MX" w:eastAsia="en-US"/>
        </w:rPr>
        <w:t>El nuevo símbolo de accesibilidad universal fue diseñado por la Unidad de Diseño Gráfico del Departamento de Información Pública de la ONU en Nueva York. El alcance global de este logotipo se transmite por un círculo, con una figura simétrica conectada para representar la armonía entre los seres humanos en la sociedad. Esta figura humana universal con los brazos abiertos simboliza la inclusión para las personas en situación de discapacidad, en todas partes. El logo simboliza la esperanza y el acceso igual para todos. El logotipo de accesibilidad se creó para aumentar la conciencia sobre temas relacionados con la discapacidad y puede ser utilizado para simbolizar productos, lugares y cualquier cosa que sea accesible para personas en situación de discapacidad o accesible.</w:t>
      </w:r>
    </w:p>
    <w:p w14:paraId="4C8A7FB0" w14:textId="77777777" w:rsidR="00D16086" w:rsidRPr="00D16086" w:rsidRDefault="00D16086" w:rsidP="00662FB4">
      <w:pPr>
        <w:widowControl w:val="0"/>
        <w:ind w:left="851" w:right="851"/>
        <w:jc w:val="both"/>
        <w:rPr>
          <w:rFonts w:ascii="Abadi" w:hAnsi="Abadi" w:cs="Arial"/>
          <w:i/>
          <w:sz w:val="21"/>
          <w:szCs w:val="21"/>
          <w:lang w:val="es-MX" w:eastAsia="en-US"/>
        </w:rPr>
      </w:pPr>
    </w:p>
    <w:p w14:paraId="7851531C" w14:textId="77777777" w:rsidR="00D16086" w:rsidRPr="00D16086" w:rsidRDefault="00D16086" w:rsidP="00662FB4">
      <w:pPr>
        <w:widowControl w:val="0"/>
        <w:ind w:left="851" w:right="851"/>
        <w:jc w:val="both"/>
        <w:rPr>
          <w:rFonts w:ascii="Abadi" w:hAnsi="Abadi" w:cs="Arial"/>
          <w:i/>
          <w:sz w:val="21"/>
          <w:szCs w:val="21"/>
          <w:lang w:val="es-MX" w:eastAsia="en-US"/>
        </w:rPr>
      </w:pPr>
      <w:r w:rsidRPr="00D16086">
        <w:rPr>
          <w:rFonts w:ascii="Abadi" w:hAnsi="Abadi" w:cs="Arial"/>
          <w:i/>
          <w:noProof/>
          <w:sz w:val="21"/>
          <w:szCs w:val="21"/>
          <w:lang w:val="es-MX" w:eastAsia="en-US"/>
        </w:rPr>
        <w:drawing>
          <wp:inline distT="0" distB="0" distL="0" distR="0" wp14:anchorId="451BB285" wp14:editId="529C6797">
            <wp:extent cx="921716" cy="796290"/>
            <wp:effectExtent l="0" t="0" r="0" b="381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21716" cy="796290"/>
                    </a:xfrm>
                    <a:prstGeom prst="rect">
                      <a:avLst/>
                    </a:prstGeom>
                    <a:noFill/>
                    <a:ln>
                      <a:noFill/>
                    </a:ln>
                  </pic:spPr>
                </pic:pic>
              </a:graphicData>
            </a:graphic>
          </wp:inline>
        </w:drawing>
      </w:r>
    </w:p>
    <w:p w14:paraId="62EE40A5" w14:textId="77777777" w:rsidR="00D16086" w:rsidRPr="00D16086" w:rsidRDefault="00D16086" w:rsidP="00662FB4">
      <w:pPr>
        <w:widowControl w:val="0"/>
        <w:ind w:left="851" w:right="851"/>
        <w:jc w:val="both"/>
        <w:rPr>
          <w:rFonts w:ascii="Abadi" w:hAnsi="Abadi" w:cs="Arial"/>
          <w:i/>
          <w:sz w:val="21"/>
          <w:szCs w:val="21"/>
          <w:lang w:val="es-MX" w:eastAsia="en-US"/>
        </w:rPr>
      </w:pPr>
      <w:r w:rsidRPr="00D16086">
        <w:rPr>
          <w:rFonts w:ascii="Abadi" w:hAnsi="Abadi" w:cs="Arial"/>
          <w:i/>
          <w:sz w:val="21"/>
          <w:szCs w:val="21"/>
          <w:lang w:val="es-MX" w:eastAsia="en-US"/>
        </w:rPr>
        <w:t>Símbolo de accesibilidad universal</w:t>
      </w:r>
    </w:p>
    <w:p w14:paraId="6932F44C" w14:textId="77777777" w:rsidR="00D16086" w:rsidRPr="00D16086" w:rsidRDefault="00D16086" w:rsidP="00662FB4">
      <w:pPr>
        <w:widowControl w:val="0"/>
        <w:ind w:left="851" w:right="851"/>
        <w:jc w:val="both"/>
        <w:rPr>
          <w:rFonts w:ascii="Abadi" w:hAnsi="Abadi" w:cs="Arial"/>
          <w:i/>
          <w:sz w:val="21"/>
          <w:szCs w:val="21"/>
          <w:lang w:val="es-MX" w:eastAsia="en-US"/>
        </w:rPr>
      </w:pPr>
    </w:p>
    <w:p w14:paraId="62D2F933" w14:textId="77777777" w:rsidR="00D16086" w:rsidRPr="00D16086" w:rsidRDefault="00D16086" w:rsidP="00662FB4">
      <w:pPr>
        <w:widowControl w:val="0"/>
        <w:ind w:left="851" w:right="851"/>
        <w:jc w:val="both"/>
        <w:rPr>
          <w:rFonts w:ascii="Abadi" w:hAnsi="Abadi" w:cs="Arial"/>
          <w:i/>
          <w:sz w:val="21"/>
          <w:szCs w:val="21"/>
          <w:lang w:val="es-MX" w:eastAsia="en-US"/>
        </w:rPr>
      </w:pPr>
      <w:r w:rsidRPr="00D16086">
        <w:rPr>
          <w:rFonts w:ascii="Abadi" w:hAnsi="Abadi" w:cs="Arial"/>
          <w:b/>
          <w:bCs/>
          <w:i/>
          <w:sz w:val="21"/>
          <w:szCs w:val="21"/>
          <w:lang w:val="es-MX" w:eastAsia="en-US"/>
        </w:rPr>
        <w:t>TERCERO.</w:t>
      </w:r>
      <w:r w:rsidRPr="00D16086">
        <w:rPr>
          <w:rFonts w:ascii="Abadi" w:hAnsi="Abadi" w:cs="Arial"/>
          <w:i/>
          <w:sz w:val="21"/>
          <w:szCs w:val="21"/>
          <w:lang w:val="es-MX" w:eastAsia="en-US"/>
        </w:rPr>
        <w:t xml:space="preserve"> Se reforma la Ley de Protección Civil para el Estado de Guanajuato para establecer como una atribución de la Coordinación Estatal de Protección Civil, el de asesorar y apoyar en la elaboración de sus programas internos a las dependencias y entidades de la administración pública estatal y municipal, en el ámbito de sus respectivas atribuciones, para que incorporen e implementen el símbolo de accesibilidad universal de las personas con discapacidad motriz, auditiva, visual, intelectual, de lenguaje, psicosocial y todas las demás que se desprendan de estás, que afecten la realización de las principales actividades del ser humano en un ámbito normal.</w:t>
      </w:r>
    </w:p>
    <w:p w14:paraId="52AF0174" w14:textId="77777777" w:rsidR="00D16086" w:rsidRPr="00D16086" w:rsidRDefault="00D16086" w:rsidP="00662FB4">
      <w:pPr>
        <w:widowControl w:val="0"/>
        <w:ind w:left="851" w:right="851"/>
        <w:jc w:val="both"/>
        <w:rPr>
          <w:rFonts w:ascii="Abadi" w:hAnsi="Abadi" w:cs="Arial"/>
          <w:i/>
          <w:sz w:val="21"/>
          <w:szCs w:val="21"/>
          <w:lang w:val="es-MX" w:eastAsia="en-US"/>
        </w:rPr>
      </w:pPr>
    </w:p>
    <w:p w14:paraId="1ED79682" w14:textId="77777777" w:rsidR="00D16086" w:rsidRPr="00D16086" w:rsidRDefault="00D16086" w:rsidP="00662FB4">
      <w:pPr>
        <w:widowControl w:val="0"/>
        <w:ind w:left="851" w:right="851"/>
        <w:jc w:val="both"/>
        <w:rPr>
          <w:rFonts w:ascii="Abadi" w:hAnsi="Abadi" w:cs="Arial"/>
          <w:i/>
          <w:sz w:val="21"/>
          <w:szCs w:val="21"/>
          <w:lang w:val="es-MX" w:eastAsia="en-US"/>
        </w:rPr>
      </w:pPr>
      <w:r w:rsidRPr="00D16086">
        <w:rPr>
          <w:rFonts w:ascii="Abadi" w:hAnsi="Abadi" w:cs="Arial"/>
          <w:i/>
          <w:sz w:val="21"/>
          <w:szCs w:val="21"/>
          <w:lang w:val="es-MX" w:eastAsia="en-US"/>
        </w:rPr>
        <w:t xml:space="preserve">Respecto al Plan de Acción establecido por los países miembros de la Organización de las Naciones Unidas consistente en los objetivos de la agenda 2030, la presente iniciativa pretende fortalecer el eje 10 referente a la </w:t>
      </w:r>
      <w:r w:rsidRPr="00D16086">
        <w:rPr>
          <w:rFonts w:ascii="Abadi" w:hAnsi="Abadi" w:cs="Arial"/>
          <w:b/>
          <w:bCs/>
          <w:i/>
          <w:sz w:val="21"/>
          <w:szCs w:val="21"/>
          <w:lang w:val="es-MX" w:eastAsia="en-US"/>
        </w:rPr>
        <w:t>“Reducción de las Desigualdades”</w:t>
      </w:r>
      <w:r w:rsidRPr="00D16086">
        <w:rPr>
          <w:rFonts w:ascii="Abadi" w:hAnsi="Abadi" w:cs="Arial"/>
          <w:i/>
          <w:sz w:val="21"/>
          <w:szCs w:val="21"/>
          <w:lang w:val="es-MX" w:eastAsia="en-US"/>
        </w:rPr>
        <w:t>, sin dejar de reconocer que la protección social se ha extendido significativamente en todo el mundo. Sin embargo, las persona con discapacidad tienen hasta cinco veces más probabilidades de enfrentarse a gastos de salud calificados de catastróficos</w:t>
      </w:r>
      <w:r w:rsidRPr="00D16086">
        <w:rPr>
          <w:rFonts w:ascii="Abadi" w:hAnsi="Abadi" w:cs="Arial"/>
          <w:i/>
          <w:sz w:val="21"/>
          <w:szCs w:val="21"/>
          <w:vertAlign w:val="superscript"/>
          <w:lang w:val="es-MX" w:eastAsia="en-US"/>
        </w:rPr>
        <w:footnoteReference w:id="96"/>
      </w:r>
      <w:r w:rsidRPr="00D16086">
        <w:rPr>
          <w:rFonts w:ascii="Abadi" w:hAnsi="Abadi" w:cs="Arial"/>
          <w:i/>
          <w:sz w:val="21"/>
          <w:szCs w:val="21"/>
          <w:lang w:val="es-MX" w:eastAsia="en-US"/>
        </w:rPr>
        <w:t>. En consecuencia, la presente iniciativa pretende retribuir y visibilizar los derechos que también tienen las personas con alguna discapacidad, poniendo en el mismo nivel a todas las personas en igualdad de condiciones, y en específico a una accesibilidad universal.</w:t>
      </w:r>
    </w:p>
    <w:p w14:paraId="4FB5CB1F" w14:textId="77777777" w:rsidR="00D16086" w:rsidRPr="00D16086" w:rsidRDefault="00D16086" w:rsidP="00662FB4">
      <w:pPr>
        <w:widowControl w:val="0"/>
        <w:ind w:left="851" w:right="851"/>
        <w:jc w:val="both"/>
        <w:rPr>
          <w:rFonts w:ascii="Abadi" w:hAnsi="Abadi" w:cs="Arial"/>
          <w:i/>
          <w:sz w:val="21"/>
          <w:szCs w:val="21"/>
          <w:lang w:val="es-MX" w:eastAsia="en-US"/>
        </w:rPr>
      </w:pPr>
    </w:p>
    <w:p w14:paraId="0C3E528F" w14:textId="77777777" w:rsidR="00D16086" w:rsidRPr="00D16086" w:rsidRDefault="00D16086" w:rsidP="00662FB4">
      <w:pPr>
        <w:widowControl w:val="0"/>
        <w:ind w:left="851" w:right="851"/>
        <w:jc w:val="both"/>
        <w:rPr>
          <w:rFonts w:ascii="Abadi" w:hAnsi="Abadi" w:cs="Arial"/>
          <w:i/>
          <w:sz w:val="21"/>
          <w:szCs w:val="21"/>
          <w:lang w:val="es-MX" w:eastAsia="en-US"/>
        </w:rPr>
      </w:pPr>
      <w:r w:rsidRPr="00D16086">
        <w:rPr>
          <w:rFonts w:ascii="Abadi" w:hAnsi="Abadi" w:cs="Arial"/>
          <w:i/>
          <w:sz w:val="21"/>
          <w:szCs w:val="21"/>
          <w:lang w:val="es-MX" w:eastAsia="en-US"/>
        </w:rPr>
        <w:t xml:space="preserve">Finalmente, a efecto de satisfacer lo establecido por el artículo 209 de la Ley Orgánica del Poder Legislativo, relativo a la evaluación del impacto jurídico, administrativo, presupuestario y social, se manifiesta que —como se ha expuesto hasta aquí en las consideraciones de la exposición de motivos—, por lo que hace al: </w:t>
      </w:r>
      <w:r w:rsidRPr="00D16086">
        <w:rPr>
          <w:rFonts w:ascii="Abadi" w:hAnsi="Abadi" w:cs="Arial"/>
          <w:b/>
          <w:bCs/>
          <w:i/>
          <w:sz w:val="21"/>
          <w:szCs w:val="21"/>
          <w:lang w:val="es-MX" w:eastAsia="en-US"/>
        </w:rPr>
        <w:t>a) impacto jurídico</w:t>
      </w:r>
      <w:r w:rsidRPr="00D16086">
        <w:rPr>
          <w:rFonts w:ascii="Abadi" w:hAnsi="Abadi" w:cs="Arial"/>
          <w:i/>
          <w:sz w:val="21"/>
          <w:szCs w:val="21"/>
          <w:lang w:val="es-MX" w:eastAsia="en-US"/>
        </w:rPr>
        <w:t xml:space="preserve">, consistente en la reforma a la Ley para Prevenir, Atender y Erradicar la Discriminación en el Estado de Guanajuato, la Ley de Inclusión para las Personas con Discapacidad en el Estado de Guanajuato, y la Ley de Protección Civil para el Estado de Guanajuato; </w:t>
      </w:r>
      <w:r w:rsidRPr="00D16086">
        <w:rPr>
          <w:rFonts w:ascii="Abadi" w:hAnsi="Abadi" w:cs="Arial"/>
          <w:b/>
          <w:bCs/>
          <w:i/>
          <w:sz w:val="21"/>
          <w:szCs w:val="21"/>
          <w:lang w:val="es-MX" w:eastAsia="en-US"/>
        </w:rPr>
        <w:t>b) impacto administrativo</w:t>
      </w:r>
      <w:r w:rsidRPr="00D16086">
        <w:rPr>
          <w:rFonts w:ascii="Abadi" w:hAnsi="Abadi" w:cs="Arial"/>
          <w:i/>
          <w:sz w:val="21"/>
          <w:szCs w:val="21"/>
          <w:lang w:val="es-MX" w:eastAsia="en-US"/>
        </w:rPr>
        <w:t xml:space="preserve">, no se genera la creación de ninguna área administrativa; </w:t>
      </w:r>
      <w:r w:rsidRPr="00D16086">
        <w:rPr>
          <w:rFonts w:ascii="Abadi" w:hAnsi="Abadi" w:cs="Arial"/>
          <w:b/>
          <w:bCs/>
          <w:i/>
          <w:sz w:val="21"/>
          <w:szCs w:val="21"/>
          <w:lang w:val="es-MX" w:eastAsia="en-US"/>
        </w:rPr>
        <w:t>c) impacto presupuestario</w:t>
      </w:r>
      <w:r w:rsidRPr="00D16086">
        <w:rPr>
          <w:rFonts w:ascii="Abadi" w:hAnsi="Abadi" w:cs="Arial"/>
          <w:i/>
          <w:sz w:val="21"/>
          <w:szCs w:val="21"/>
          <w:lang w:val="es-MX" w:eastAsia="en-US"/>
        </w:rPr>
        <w:t xml:space="preserve">, la presente propuesta contempla la implementación del símbolo de accesibilidad universal, es que se solicita que en el análisis de la presente iniciativa sea solicitado a la Unidad de Estudios de las Finanzas Públicas del Congreso del Estado el impacto presupuestal correspondiente; y, </w:t>
      </w:r>
      <w:r w:rsidRPr="00D16086">
        <w:rPr>
          <w:rFonts w:ascii="Abadi" w:hAnsi="Abadi" w:cs="Arial"/>
          <w:b/>
          <w:bCs/>
          <w:i/>
          <w:sz w:val="21"/>
          <w:szCs w:val="21"/>
          <w:lang w:val="es-MX" w:eastAsia="en-US"/>
        </w:rPr>
        <w:t>d) impacto social</w:t>
      </w:r>
      <w:r w:rsidRPr="00D16086">
        <w:rPr>
          <w:rFonts w:ascii="Abadi" w:hAnsi="Abadi" w:cs="Arial"/>
          <w:i/>
          <w:sz w:val="21"/>
          <w:szCs w:val="21"/>
          <w:lang w:val="es-MX" w:eastAsia="en-US"/>
        </w:rPr>
        <w:t>, se traducirá en una accesibilidad adecuada para cada una de las personas que tienen una discapacidad sin importar cual sea, dándole las mismas oportunidades a cada persona de accesibilidad a sus derechos básicos.</w:t>
      </w:r>
    </w:p>
    <w:p w14:paraId="4DF1F9D0" w14:textId="77777777" w:rsidR="00D16086" w:rsidRPr="00D16086" w:rsidRDefault="00D16086" w:rsidP="00662FB4">
      <w:pPr>
        <w:widowControl w:val="0"/>
        <w:jc w:val="both"/>
        <w:rPr>
          <w:rFonts w:ascii="Abadi" w:hAnsi="Abadi" w:cs="Arial"/>
          <w:sz w:val="21"/>
          <w:szCs w:val="21"/>
          <w:lang w:val="es-MX"/>
        </w:rPr>
      </w:pPr>
    </w:p>
    <w:p w14:paraId="57096D70" w14:textId="77777777" w:rsidR="00D16086" w:rsidRPr="00D16086" w:rsidRDefault="00D16086" w:rsidP="00662FB4">
      <w:pPr>
        <w:widowControl w:val="0"/>
        <w:ind w:left="851"/>
        <w:jc w:val="both"/>
        <w:rPr>
          <w:rFonts w:ascii="Abadi" w:hAnsi="Abadi"/>
          <w:b/>
          <w:sz w:val="21"/>
          <w:szCs w:val="21"/>
          <w:lang w:val="es-MX"/>
        </w:rPr>
      </w:pPr>
      <w:r w:rsidRPr="00D16086">
        <w:rPr>
          <w:rFonts w:ascii="Abadi" w:hAnsi="Abadi" w:cs="Arial"/>
          <w:b/>
          <w:sz w:val="21"/>
          <w:szCs w:val="21"/>
          <w:lang w:val="es-MX"/>
        </w:rPr>
        <w:t>Metodología acordada para el estudio y dictamen de la iniciativa</w:t>
      </w:r>
      <w:r w:rsidRPr="00D16086">
        <w:rPr>
          <w:rFonts w:ascii="Abadi" w:hAnsi="Abadi"/>
          <w:b/>
          <w:sz w:val="21"/>
          <w:szCs w:val="21"/>
          <w:lang w:val="es-MX"/>
        </w:rPr>
        <w:t>.</w:t>
      </w:r>
    </w:p>
    <w:p w14:paraId="1FB84977" w14:textId="77777777" w:rsidR="00D16086" w:rsidRPr="00D16086" w:rsidRDefault="00D16086" w:rsidP="00662FB4">
      <w:pPr>
        <w:widowControl w:val="0"/>
        <w:jc w:val="both"/>
        <w:rPr>
          <w:rFonts w:ascii="Abadi" w:hAnsi="Abadi"/>
          <w:sz w:val="21"/>
          <w:szCs w:val="21"/>
          <w:lang w:val="es-MX" w:eastAsia="en-US"/>
        </w:rPr>
      </w:pPr>
    </w:p>
    <w:p w14:paraId="7BE723A8" w14:textId="77777777" w:rsidR="00D16086" w:rsidRPr="00D16086" w:rsidRDefault="00D16086" w:rsidP="00662FB4">
      <w:pPr>
        <w:widowControl w:val="0"/>
        <w:ind w:firstLine="851"/>
        <w:jc w:val="both"/>
        <w:rPr>
          <w:rFonts w:ascii="Abadi" w:hAnsi="Abadi" w:cs="Arial"/>
          <w:sz w:val="21"/>
          <w:szCs w:val="21"/>
          <w:lang w:val="es-MX"/>
        </w:rPr>
      </w:pPr>
      <w:r w:rsidRPr="00D16086">
        <w:rPr>
          <w:rFonts w:ascii="Abadi" w:hAnsi="Abadi" w:cs="Arial"/>
          <w:sz w:val="21"/>
          <w:szCs w:val="21"/>
          <w:lang w:val="es-MX"/>
        </w:rPr>
        <w:t>El 27 de mayo de 2021 se acordó por unanimidad la siguiente metodología para el estudio y dictamen de la iniciativa:</w:t>
      </w:r>
    </w:p>
    <w:p w14:paraId="6D4FE488" w14:textId="77777777" w:rsidR="00D16086" w:rsidRPr="00D16086" w:rsidRDefault="00D16086" w:rsidP="00662FB4">
      <w:pPr>
        <w:widowControl w:val="0"/>
        <w:jc w:val="both"/>
        <w:rPr>
          <w:rFonts w:ascii="Abadi" w:hAnsi="Abadi"/>
          <w:sz w:val="21"/>
          <w:szCs w:val="21"/>
          <w:lang w:val="es-MX" w:eastAsia="en-US"/>
        </w:rPr>
      </w:pPr>
    </w:p>
    <w:p w14:paraId="2CFF2307" w14:textId="77777777" w:rsidR="00D16086" w:rsidRPr="00D16086" w:rsidRDefault="00D16086" w:rsidP="00662FB4">
      <w:pPr>
        <w:widowControl w:val="0"/>
        <w:ind w:left="1418" w:right="851" w:hanging="567"/>
        <w:jc w:val="both"/>
        <w:rPr>
          <w:rFonts w:ascii="Abadi" w:hAnsi="Abadi"/>
          <w:i/>
          <w:iCs/>
          <w:sz w:val="21"/>
          <w:szCs w:val="21"/>
          <w:lang w:val="es-MX" w:eastAsia="en-US"/>
        </w:rPr>
      </w:pPr>
      <w:r w:rsidRPr="00D16086">
        <w:rPr>
          <w:rFonts w:ascii="Abadi" w:hAnsi="Abadi"/>
          <w:b/>
          <w:i/>
          <w:iCs/>
          <w:sz w:val="21"/>
          <w:szCs w:val="21"/>
          <w:lang w:val="es-MX" w:eastAsia="en-US"/>
        </w:rPr>
        <w:t>a)</w:t>
      </w:r>
      <w:r w:rsidRPr="00D16086">
        <w:rPr>
          <w:rFonts w:ascii="Abadi" w:hAnsi="Abadi"/>
          <w:b/>
          <w:i/>
          <w:iCs/>
          <w:sz w:val="21"/>
          <w:szCs w:val="21"/>
          <w:lang w:val="es-MX" w:eastAsia="en-US"/>
        </w:rPr>
        <w:tab/>
      </w:r>
      <w:r w:rsidRPr="00D16086">
        <w:rPr>
          <w:rFonts w:ascii="Abadi" w:hAnsi="Abadi"/>
          <w:i/>
          <w:iCs/>
          <w:sz w:val="21"/>
          <w:szCs w:val="21"/>
          <w:lang w:val="es-MX" w:eastAsia="en-US"/>
        </w:rPr>
        <w:t>Remisión de la iniciativa a los ayuntamientos del Estado, en términos del último párrafo del artículo 56 de la Constitución Política para el Estado de Guanajuato. Señalando como plazo para la remisión de la opinión, 20 días hábiles.</w:t>
      </w:r>
    </w:p>
    <w:p w14:paraId="52EF937E" w14:textId="77777777" w:rsidR="00D16086" w:rsidRPr="00D16086" w:rsidRDefault="00D16086" w:rsidP="00662FB4">
      <w:pPr>
        <w:widowControl w:val="0"/>
        <w:ind w:left="851" w:right="851"/>
        <w:jc w:val="both"/>
        <w:rPr>
          <w:rFonts w:ascii="Abadi" w:hAnsi="Abadi"/>
          <w:i/>
          <w:iCs/>
          <w:sz w:val="21"/>
          <w:szCs w:val="21"/>
          <w:lang w:val="es-MX" w:eastAsia="en-US"/>
        </w:rPr>
      </w:pPr>
    </w:p>
    <w:p w14:paraId="4BFA1B58" w14:textId="77777777" w:rsidR="00D16086" w:rsidRPr="00D16086" w:rsidRDefault="00D16086" w:rsidP="00662FB4">
      <w:pPr>
        <w:widowControl w:val="0"/>
        <w:ind w:left="1418" w:right="851" w:hanging="567"/>
        <w:jc w:val="both"/>
        <w:rPr>
          <w:rFonts w:ascii="Abadi" w:hAnsi="Abadi"/>
          <w:i/>
          <w:iCs/>
          <w:sz w:val="21"/>
          <w:szCs w:val="21"/>
          <w:lang w:val="es-MX" w:eastAsia="en-US"/>
        </w:rPr>
      </w:pPr>
      <w:r w:rsidRPr="00D16086">
        <w:rPr>
          <w:rFonts w:ascii="Abadi" w:hAnsi="Abadi"/>
          <w:b/>
          <w:i/>
          <w:iCs/>
          <w:sz w:val="21"/>
          <w:szCs w:val="21"/>
          <w:lang w:val="es-MX" w:eastAsia="en-US"/>
        </w:rPr>
        <w:t>b)</w:t>
      </w:r>
      <w:r w:rsidRPr="00D16086">
        <w:rPr>
          <w:rFonts w:ascii="Abadi" w:hAnsi="Abadi"/>
          <w:b/>
          <w:i/>
          <w:iCs/>
          <w:sz w:val="21"/>
          <w:szCs w:val="21"/>
          <w:lang w:val="es-MX" w:eastAsia="en-US"/>
        </w:rPr>
        <w:tab/>
      </w:r>
      <w:r w:rsidRPr="00D16086">
        <w:rPr>
          <w:rFonts w:ascii="Abadi" w:hAnsi="Abadi"/>
          <w:i/>
          <w:iCs/>
          <w:sz w:val="21"/>
          <w:szCs w:val="21"/>
          <w:lang w:val="es-MX" w:eastAsia="en-US"/>
        </w:rPr>
        <w:t>Remisión de la iniciativa, para solicitar opinión a:</w:t>
      </w:r>
    </w:p>
    <w:p w14:paraId="54F7DF40" w14:textId="77777777" w:rsidR="00D16086" w:rsidRPr="00D16086" w:rsidRDefault="00D16086" w:rsidP="00662FB4">
      <w:pPr>
        <w:widowControl w:val="0"/>
        <w:numPr>
          <w:ilvl w:val="0"/>
          <w:numId w:val="36"/>
        </w:numPr>
        <w:ind w:left="1701" w:right="851" w:hanging="283"/>
        <w:contextualSpacing/>
        <w:jc w:val="both"/>
        <w:rPr>
          <w:rFonts w:ascii="Abadi" w:eastAsiaTheme="minorHAnsi" w:hAnsi="Abadi" w:cstheme="minorBidi"/>
          <w:i/>
          <w:iCs/>
          <w:sz w:val="21"/>
          <w:szCs w:val="21"/>
          <w:lang w:val="es-MX" w:eastAsia="en-US"/>
        </w:rPr>
      </w:pPr>
      <w:r w:rsidRPr="00D16086">
        <w:rPr>
          <w:rFonts w:ascii="Abadi" w:eastAsiaTheme="minorHAnsi" w:hAnsi="Abadi" w:cstheme="minorBidi"/>
          <w:i/>
          <w:iCs/>
          <w:sz w:val="21"/>
          <w:szCs w:val="21"/>
          <w:lang w:val="es-MX" w:eastAsia="en-US"/>
        </w:rPr>
        <w:t>Las diputadas y los diputados de la LXIV Legislatura.</w:t>
      </w:r>
    </w:p>
    <w:p w14:paraId="443C83C0" w14:textId="77777777" w:rsidR="00D16086" w:rsidRPr="00D16086" w:rsidRDefault="00D16086" w:rsidP="00662FB4">
      <w:pPr>
        <w:widowControl w:val="0"/>
        <w:numPr>
          <w:ilvl w:val="0"/>
          <w:numId w:val="36"/>
        </w:numPr>
        <w:ind w:left="1701" w:right="851" w:hanging="283"/>
        <w:contextualSpacing/>
        <w:jc w:val="both"/>
        <w:rPr>
          <w:rFonts w:ascii="Abadi" w:eastAsiaTheme="minorHAnsi" w:hAnsi="Abadi" w:cstheme="minorBidi"/>
          <w:i/>
          <w:iCs/>
          <w:sz w:val="21"/>
          <w:szCs w:val="21"/>
          <w:lang w:val="es-MX" w:eastAsia="en-US"/>
        </w:rPr>
      </w:pPr>
      <w:r w:rsidRPr="00D16086">
        <w:rPr>
          <w:rFonts w:ascii="Abadi" w:eastAsiaTheme="minorHAnsi" w:hAnsi="Abadi" w:cstheme="minorBidi"/>
          <w:i/>
          <w:iCs/>
          <w:sz w:val="21"/>
          <w:szCs w:val="21"/>
          <w:lang w:val="es-MX" w:eastAsia="en-US"/>
        </w:rPr>
        <w:t>Consejo para Prevenir, Atender y Erradicar la Discriminación en el Estado de Guanajuato.</w:t>
      </w:r>
    </w:p>
    <w:p w14:paraId="60972CFF" w14:textId="77777777" w:rsidR="00D16086" w:rsidRPr="00D16086" w:rsidRDefault="00D16086" w:rsidP="00662FB4">
      <w:pPr>
        <w:widowControl w:val="0"/>
        <w:numPr>
          <w:ilvl w:val="0"/>
          <w:numId w:val="36"/>
        </w:numPr>
        <w:ind w:left="1701" w:right="851" w:hanging="283"/>
        <w:contextualSpacing/>
        <w:jc w:val="both"/>
        <w:rPr>
          <w:rFonts w:ascii="Abadi" w:eastAsiaTheme="minorHAnsi" w:hAnsi="Abadi" w:cstheme="minorBidi"/>
          <w:i/>
          <w:iCs/>
          <w:sz w:val="21"/>
          <w:szCs w:val="21"/>
          <w:lang w:val="es-MX" w:eastAsia="en-US"/>
        </w:rPr>
      </w:pPr>
      <w:r w:rsidRPr="00D16086">
        <w:rPr>
          <w:rFonts w:ascii="Abadi" w:eastAsiaTheme="minorHAnsi" w:hAnsi="Abadi" w:cstheme="minorBidi"/>
          <w:i/>
          <w:iCs/>
          <w:sz w:val="21"/>
          <w:szCs w:val="21"/>
          <w:lang w:val="es-MX" w:eastAsia="en-US"/>
        </w:rPr>
        <w:t>Consejo Consultivo para la Atención de las Personas con Discapacidad del Estado de Guanajuato.</w:t>
      </w:r>
    </w:p>
    <w:p w14:paraId="22A62115" w14:textId="77777777" w:rsidR="00D16086" w:rsidRPr="00D16086" w:rsidRDefault="00D16086" w:rsidP="00662FB4">
      <w:pPr>
        <w:widowControl w:val="0"/>
        <w:numPr>
          <w:ilvl w:val="0"/>
          <w:numId w:val="36"/>
        </w:numPr>
        <w:ind w:left="1701" w:right="851" w:hanging="283"/>
        <w:contextualSpacing/>
        <w:jc w:val="both"/>
        <w:rPr>
          <w:rFonts w:ascii="Abadi" w:eastAsiaTheme="minorHAnsi" w:hAnsi="Abadi" w:cstheme="minorBidi"/>
          <w:i/>
          <w:iCs/>
          <w:sz w:val="21"/>
          <w:szCs w:val="21"/>
          <w:lang w:val="es-MX" w:eastAsia="en-US"/>
        </w:rPr>
      </w:pPr>
      <w:r w:rsidRPr="00D16086">
        <w:rPr>
          <w:rFonts w:ascii="Abadi" w:eastAsiaTheme="minorHAnsi" w:hAnsi="Abadi" w:cstheme="minorBidi"/>
          <w:i/>
          <w:iCs/>
          <w:sz w:val="21"/>
          <w:szCs w:val="21"/>
          <w:lang w:val="es-MX" w:eastAsia="en-US"/>
        </w:rPr>
        <w:t>Consejo Estatal de Protección Civil.</w:t>
      </w:r>
    </w:p>
    <w:p w14:paraId="5A4FF26D" w14:textId="77777777" w:rsidR="00D16086" w:rsidRPr="00D16086" w:rsidRDefault="00D16086" w:rsidP="00662FB4">
      <w:pPr>
        <w:widowControl w:val="0"/>
        <w:numPr>
          <w:ilvl w:val="0"/>
          <w:numId w:val="36"/>
        </w:numPr>
        <w:ind w:left="1701" w:right="851" w:hanging="283"/>
        <w:contextualSpacing/>
        <w:jc w:val="both"/>
        <w:rPr>
          <w:rFonts w:ascii="Abadi" w:eastAsiaTheme="minorHAnsi" w:hAnsi="Abadi" w:cstheme="minorBidi"/>
          <w:i/>
          <w:iCs/>
          <w:sz w:val="21"/>
          <w:szCs w:val="21"/>
          <w:lang w:val="es-MX" w:eastAsia="en-US"/>
        </w:rPr>
      </w:pPr>
      <w:r w:rsidRPr="00D16086">
        <w:rPr>
          <w:rFonts w:ascii="Abadi" w:eastAsiaTheme="minorHAnsi" w:hAnsi="Abadi" w:cstheme="minorBidi"/>
          <w:i/>
          <w:iCs/>
          <w:sz w:val="21"/>
          <w:szCs w:val="21"/>
          <w:lang w:val="es-MX" w:eastAsia="en-US"/>
        </w:rPr>
        <w:t>Procuraduría de los Derechos Humanos del Estado de Guanajuato.</w:t>
      </w:r>
    </w:p>
    <w:p w14:paraId="48142A98" w14:textId="77777777" w:rsidR="00D16086" w:rsidRPr="00D16086" w:rsidRDefault="00D16086" w:rsidP="00662FB4">
      <w:pPr>
        <w:widowControl w:val="0"/>
        <w:numPr>
          <w:ilvl w:val="0"/>
          <w:numId w:val="36"/>
        </w:numPr>
        <w:ind w:left="1701" w:right="851" w:hanging="283"/>
        <w:contextualSpacing/>
        <w:jc w:val="both"/>
        <w:rPr>
          <w:rFonts w:ascii="Abadi" w:eastAsiaTheme="minorHAnsi" w:hAnsi="Abadi" w:cstheme="minorBidi"/>
          <w:i/>
          <w:iCs/>
          <w:sz w:val="21"/>
          <w:szCs w:val="21"/>
          <w:lang w:val="es-MX" w:eastAsia="en-US"/>
        </w:rPr>
      </w:pPr>
      <w:r w:rsidRPr="00D16086">
        <w:rPr>
          <w:rFonts w:ascii="Abadi" w:eastAsiaTheme="minorHAnsi" w:hAnsi="Abadi" w:cstheme="minorBidi"/>
          <w:i/>
          <w:iCs/>
          <w:sz w:val="21"/>
          <w:szCs w:val="21"/>
          <w:lang w:val="es-MX" w:eastAsia="en-US"/>
        </w:rPr>
        <w:t>Instituto Guanajuatense para las Personas con Discapacidad.</w:t>
      </w:r>
    </w:p>
    <w:p w14:paraId="48B2F1BE" w14:textId="77777777" w:rsidR="00D16086" w:rsidRPr="00D16086" w:rsidRDefault="00D16086" w:rsidP="00662FB4">
      <w:pPr>
        <w:widowControl w:val="0"/>
        <w:numPr>
          <w:ilvl w:val="0"/>
          <w:numId w:val="36"/>
        </w:numPr>
        <w:ind w:left="1701" w:right="851" w:hanging="283"/>
        <w:contextualSpacing/>
        <w:jc w:val="both"/>
        <w:rPr>
          <w:rFonts w:ascii="Abadi" w:eastAsiaTheme="minorHAnsi" w:hAnsi="Abadi" w:cstheme="minorBidi"/>
          <w:i/>
          <w:iCs/>
          <w:sz w:val="21"/>
          <w:szCs w:val="21"/>
          <w:lang w:val="es-MX" w:eastAsia="en-US"/>
        </w:rPr>
      </w:pPr>
      <w:r w:rsidRPr="00D16086">
        <w:rPr>
          <w:rFonts w:ascii="Abadi" w:eastAsiaTheme="minorHAnsi" w:hAnsi="Abadi" w:cstheme="minorBidi"/>
          <w:i/>
          <w:iCs/>
          <w:sz w:val="21"/>
          <w:szCs w:val="21"/>
          <w:lang w:val="es-MX" w:eastAsia="en-US"/>
        </w:rPr>
        <w:t>Coordinación Estatal de Protección Civil.</w:t>
      </w:r>
    </w:p>
    <w:p w14:paraId="13F0EEC7" w14:textId="77777777" w:rsidR="00D16086" w:rsidRPr="00D16086" w:rsidRDefault="00D16086" w:rsidP="00662FB4">
      <w:pPr>
        <w:widowControl w:val="0"/>
        <w:numPr>
          <w:ilvl w:val="0"/>
          <w:numId w:val="36"/>
        </w:numPr>
        <w:ind w:left="1701" w:right="851" w:hanging="283"/>
        <w:contextualSpacing/>
        <w:jc w:val="both"/>
        <w:rPr>
          <w:rFonts w:ascii="Abadi" w:eastAsiaTheme="minorHAnsi" w:hAnsi="Abadi" w:cstheme="minorBidi"/>
          <w:i/>
          <w:iCs/>
          <w:sz w:val="21"/>
          <w:szCs w:val="21"/>
          <w:lang w:val="es-MX" w:eastAsia="en-US"/>
        </w:rPr>
      </w:pPr>
      <w:r w:rsidRPr="00D16086">
        <w:rPr>
          <w:rFonts w:ascii="Abadi" w:eastAsiaTheme="minorHAnsi" w:hAnsi="Abadi" w:cstheme="minorBidi"/>
          <w:i/>
          <w:iCs/>
          <w:sz w:val="21"/>
          <w:szCs w:val="21"/>
          <w:lang w:val="es-MX" w:eastAsia="en-US"/>
        </w:rPr>
        <w:t>Coordinación General Jurídica.</w:t>
      </w:r>
    </w:p>
    <w:p w14:paraId="1D04F939" w14:textId="77777777" w:rsidR="00D16086" w:rsidRPr="00D16086" w:rsidRDefault="00D16086" w:rsidP="00662FB4">
      <w:pPr>
        <w:widowControl w:val="0"/>
        <w:ind w:left="851" w:right="851"/>
        <w:jc w:val="both"/>
        <w:rPr>
          <w:rFonts w:ascii="Abadi" w:hAnsi="Abadi"/>
          <w:i/>
          <w:iCs/>
          <w:sz w:val="21"/>
          <w:szCs w:val="21"/>
          <w:lang w:val="es-MX" w:eastAsia="en-US"/>
        </w:rPr>
      </w:pPr>
    </w:p>
    <w:p w14:paraId="62D9CAA2" w14:textId="77777777" w:rsidR="00D16086" w:rsidRPr="00D16086" w:rsidRDefault="00D16086" w:rsidP="00662FB4">
      <w:pPr>
        <w:widowControl w:val="0"/>
        <w:spacing w:after="160"/>
        <w:ind w:left="1418" w:right="851"/>
        <w:contextualSpacing/>
        <w:jc w:val="both"/>
        <w:rPr>
          <w:rFonts w:ascii="Abadi" w:eastAsiaTheme="minorHAnsi" w:hAnsi="Abadi" w:cstheme="minorBidi"/>
          <w:i/>
          <w:iCs/>
          <w:sz w:val="21"/>
          <w:szCs w:val="21"/>
          <w:lang w:val="es-MX" w:eastAsia="en-US"/>
        </w:rPr>
      </w:pPr>
      <w:r w:rsidRPr="00D16086">
        <w:rPr>
          <w:rFonts w:ascii="Abadi" w:eastAsiaTheme="minorHAnsi" w:hAnsi="Abadi" w:cstheme="minorBidi"/>
          <w:i/>
          <w:iCs/>
          <w:sz w:val="21"/>
          <w:szCs w:val="21"/>
          <w:lang w:val="es-MX" w:eastAsia="en-US"/>
        </w:rPr>
        <w:t>Señalando como plazo para la remisión de la opinión, 20 días hábiles.</w:t>
      </w:r>
    </w:p>
    <w:p w14:paraId="583F9B44" w14:textId="77777777" w:rsidR="00D16086" w:rsidRPr="00D16086" w:rsidRDefault="00D16086" w:rsidP="00662FB4">
      <w:pPr>
        <w:widowControl w:val="0"/>
        <w:ind w:left="851" w:right="851"/>
        <w:jc w:val="both"/>
        <w:rPr>
          <w:rFonts w:ascii="Abadi" w:hAnsi="Abadi"/>
          <w:i/>
          <w:iCs/>
          <w:sz w:val="21"/>
          <w:szCs w:val="21"/>
          <w:lang w:val="es-MX" w:eastAsia="en-US"/>
        </w:rPr>
      </w:pPr>
    </w:p>
    <w:p w14:paraId="1B34678E" w14:textId="77777777" w:rsidR="00D16086" w:rsidRPr="00D16086" w:rsidRDefault="00D16086" w:rsidP="00662FB4">
      <w:pPr>
        <w:widowControl w:val="0"/>
        <w:ind w:left="1418" w:right="851" w:hanging="567"/>
        <w:jc w:val="both"/>
        <w:rPr>
          <w:rFonts w:ascii="Abadi" w:hAnsi="Abadi"/>
          <w:i/>
          <w:iCs/>
          <w:sz w:val="21"/>
          <w:szCs w:val="21"/>
          <w:lang w:val="es-MX" w:eastAsia="en-US"/>
        </w:rPr>
      </w:pPr>
      <w:r w:rsidRPr="00D16086">
        <w:rPr>
          <w:rFonts w:ascii="Abadi" w:hAnsi="Abadi"/>
          <w:b/>
          <w:i/>
          <w:iCs/>
          <w:sz w:val="21"/>
          <w:szCs w:val="21"/>
          <w:lang w:val="es-MX" w:eastAsia="en-US"/>
        </w:rPr>
        <w:t>c)</w:t>
      </w:r>
      <w:r w:rsidRPr="00D16086">
        <w:rPr>
          <w:rFonts w:ascii="Abadi" w:hAnsi="Abadi"/>
          <w:b/>
          <w:i/>
          <w:iCs/>
          <w:sz w:val="21"/>
          <w:szCs w:val="21"/>
          <w:lang w:val="es-MX" w:eastAsia="en-US"/>
        </w:rPr>
        <w:tab/>
      </w:r>
      <w:r w:rsidRPr="00D16086">
        <w:rPr>
          <w:rFonts w:ascii="Abadi" w:hAnsi="Abadi"/>
          <w:i/>
          <w:iCs/>
          <w:sz w:val="21"/>
          <w:szCs w:val="21"/>
          <w:lang w:val="es-MX" w:eastAsia="en-US"/>
        </w:rPr>
        <w:t>Subir la iniciativa al portal del Congreso del Estado para consulta y participación ciudadana. La cual estará disponible por 20 días hábiles.</w:t>
      </w:r>
    </w:p>
    <w:p w14:paraId="447582FC" w14:textId="77777777" w:rsidR="00D16086" w:rsidRPr="00D16086" w:rsidRDefault="00D16086" w:rsidP="00662FB4">
      <w:pPr>
        <w:widowControl w:val="0"/>
        <w:ind w:left="851" w:right="851"/>
        <w:jc w:val="both"/>
        <w:rPr>
          <w:rFonts w:ascii="Abadi" w:hAnsi="Abadi"/>
          <w:i/>
          <w:iCs/>
          <w:sz w:val="21"/>
          <w:szCs w:val="21"/>
          <w:lang w:val="es-MX" w:eastAsia="en-US"/>
        </w:rPr>
      </w:pPr>
    </w:p>
    <w:p w14:paraId="6B2ED390" w14:textId="77777777" w:rsidR="00D16086" w:rsidRPr="00D16086" w:rsidRDefault="00D16086" w:rsidP="00662FB4">
      <w:pPr>
        <w:widowControl w:val="0"/>
        <w:ind w:left="1418" w:right="851" w:hanging="567"/>
        <w:jc w:val="both"/>
        <w:rPr>
          <w:rFonts w:ascii="Abadi" w:hAnsi="Abadi"/>
          <w:i/>
          <w:iCs/>
          <w:sz w:val="21"/>
          <w:szCs w:val="21"/>
          <w:lang w:val="es-MX" w:eastAsia="en-US"/>
        </w:rPr>
      </w:pPr>
      <w:r w:rsidRPr="00D16086">
        <w:rPr>
          <w:rFonts w:ascii="Abadi" w:hAnsi="Abadi"/>
          <w:b/>
          <w:bCs/>
          <w:i/>
          <w:iCs/>
          <w:sz w:val="21"/>
          <w:szCs w:val="21"/>
          <w:lang w:val="es-MX" w:eastAsia="en-US"/>
        </w:rPr>
        <w:t>d)</w:t>
      </w:r>
      <w:r w:rsidRPr="00D16086">
        <w:rPr>
          <w:rFonts w:ascii="Abadi" w:hAnsi="Abadi"/>
          <w:b/>
          <w:bCs/>
          <w:i/>
          <w:iCs/>
          <w:sz w:val="21"/>
          <w:szCs w:val="21"/>
          <w:lang w:val="es-MX" w:eastAsia="en-US"/>
        </w:rPr>
        <w:tab/>
      </w:r>
      <w:r w:rsidRPr="00D16086">
        <w:rPr>
          <w:rFonts w:ascii="Abadi" w:hAnsi="Abadi"/>
          <w:i/>
          <w:iCs/>
          <w:sz w:val="21"/>
          <w:szCs w:val="21"/>
          <w:lang w:val="es-MX" w:eastAsia="en-US"/>
        </w:rPr>
        <w:t>Solicitar al Instituto de Investigaciones Legislativas su opinión de la iniciativa; y a la Unidad de Estudios de las Finanzas Públicas la elaboración de un estudio sobre la implicación financiera de la propuesta. Señalando como plazo para la remisión de la opinión y del estudio, 20 días hábiles.</w:t>
      </w:r>
    </w:p>
    <w:p w14:paraId="7E77293B" w14:textId="77777777" w:rsidR="00D16086" w:rsidRPr="00D16086" w:rsidRDefault="00D16086" w:rsidP="00662FB4">
      <w:pPr>
        <w:widowControl w:val="0"/>
        <w:ind w:left="851" w:right="851"/>
        <w:jc w:val="both"/>
        <w:rPr>
          <w:rFonts w:ascii="Abadi" w:hAnsi="Abadi"/>
          <w:i/>
          <w:iCs/>
          <w:sz w:val="21"/>
          <w:szCs w:val="21"/>
          <w:lang w:val="es-MX" w:eastAsia="en-US"/>
        </w:rPr>
      </w:pPr>
    </w:p>
    <w:p w14:paraId="3C75A842" w14:textId="77777777" w:rsidR="00D16086" w:rsidRPr="00D16086" w:rsidRDefault="00D16086" w:rsidP="00662FB4">
      <w:pPr>
        <w:widowControl w:val="0"/>
        <w:ind w:left="1418" w:right="851" w:hanging="567"/>
        <w:jc w:val="both"/>
        <w:rPr>
          <w:rFonts w:ascii="Abadi" w:hAnsi="Abadi"/>
          <w:i/>
          <w:iCs/>
          <w:sz w:val="21"/>
          <w:szCs w:val="21"/>
          <w:lang w:val="es-MX" w:eastAsia="en-US"/>
        </w:rPr>
      </w:pPr>
      <w:r w:rsidRPr="00D16086">
        <w:rPr>
          <w:rFonts w:ascii="Abadi" w:hAnsi="Abadi"/>
          <w:b/>
          <w:bCs/>
          <w:i/>
          <w:iCs/>
          <w:sz w:val="21"/>
          <w:szCs w:val="21"/>
          <w:lang w:val="es-MX" w:eastAsia="en-US"/>
        </w:rPr>
        <w:t>e)</w:t>
      </w:r>
      <w:r w:rsidRPr="00D16086">
        <w:rPr>
          <w:rFonts w:ascii="Abadi" w:hAnsi="Abadi"/>
          <w:i/>
          <w:iCs/>
          <w:sz w:val="21"/>
          <w:szCs w:val="21"/>
          <w:lang w:val="es-MX" w:eastAsia="en-US"/>
        </w:rPr>
        <w:tab/>
        <w:t>Elaboración de un documento que concentre las observaciones que se hayan formulado a la iniciativa. Tarea que estará a cargo de la secretaría técnica.</w:t>
      </w:r>
    </w:p>
    <w:p w14:paraId="08C4AE24" w14:textId="77777777" w:rsidR="00D16086" w:rsidRPr="00D16086" w:rsidRDefault="00D16086" w:rsidP="00662FB4">
      <w:pPr>
        <w:widowControl w:val="0"/>
        <w:ind w:left="851" w:right="851"/>
        <w:rPr>
          <w:rFonts w:ascii="Abadi" w:hAnsi="Abadi"/>
          <w:i/>
          <w:iCs/>
          <w:sz w:val="21"/>
          <w:szCs w:val="21"/>
          <w:lang w:val="es-MX" w:eastAsia="en-US"/>
        </w:rPr>
      </w:pPr>
    </w:p>
    <w:p w14:paraId="7C595D76" w14:textId="77777777" w:rsidR="00D16086" w:rsidRPr="00D16086" w:rsidRDefault="00D16086" w:rsidP="00662FB4">
      <w:pPr>
        <w:widowControl w:val="0"/>
        <w:ind w:left="1418" w:right="851" w:hanging="567"/>
        <w:jc w:val="both"/>
        <w:rPr>
          <w:rFonts w:ascii="Abadi" w:hAnsi="Abadi"/>
          <w:i/>
          <w:iCs/>
          <w:sz w:val="21"/>
          <w:szCs w:val="21"/>
          <w:lang w:val="es-MX" w:eastAsia="en-US"/>
        </w:rPr>
      </w:pPr>
      <w:r w:rsidRPr="00D16086">
        <w:rPr>
          <w:rFonts w:ascii="Abadi" w:hAnsi="Abadi"/>
          <w:b/>
          <w:i/>
          <w:iCs/>
          <w:sz w:val="21"/>
          <w:szCs w:val="21"/>
          <w:lang w:val="es-MX" w:eastAsia="en-US"/>
        </w:rPr>
        <w:t>f)</w:t>
      </w:r>
      <w:r w:rsidRPr="00D16086">
        <w:rPr>
          <w:rFonts w:ascii="Abadi" w:hAnsi="Abadi"/>
          <w:i/>
          <w:iCs/>
          <w:sz w:val="21"/>
          <w:szCs w:val="21"/>
          <w:lang w:val="es-MX" w:eastAsia="en-US"/>
        </w:rPr>
        <w:tab/>
        <w:t>Integrar un grupo de trabajo con:</w:t>
      </w:r>
    </w:p>
    <w:p w14:paraId="0B637587" w14:textId="77777777" w:rsidR="00D16086" w:rsidRPr="00D16086" w:rsidRDefault="00D16086" w:rsidP="00662FB4">
      <w:pPr>
        <w:widowControl w:val="0"/>
        <w:numPr>
          <w:ilvl w:val="0"/>
          <w:numId w:val="36"/>
        </w:numPr>
        <w:ind w:left="1701" w:right="851" w:hanging="283"/>
        <w:contextualSpacing/>
        <w:jc w:val="both"/>
        <w:rPr>
          <w:rFonts w:ascii="Abadi" w:eastAsiaTheme="minorHAnsi" w:hAnsi="Abadi" w:cstheme="minorBidi"/>
          <w:i/>
          <w:iCs/>
          <w:sz w:val="21"/>
          <w:szCs w:val="21"/>
          <w:lang w:val="es-MX" w:eastAsia="en-US"/>
        </w:rPr>
      </w:pPr>
      <w:r w:rsidRPr="00D16086">
        <w:rPr>
          <w:rFonts w:ascii="Abadi" w:eastAsiaTheme="minorHAnsi" w:hAnsi="Abadi" w:cstheme="minorBidi"/>
          <w:i/>
          <w:iCs/>
          <w:sz w:val="21"/>
          <w:szCs w:val="21"/>
          <w:lang w:val="es-MX" w:eastAsia="en-US"/>
        </w:rPr>
        <w:t>Diputadas y diputados que deseen sumarse.</w:t>
      </w:r>
    </w:p>
    <w:p w14:paraId="01A060B0" w14:textId="77777777" w:rsidR="00D16086" w:rsidRPr="00D16086" w:rsidRDefault="00D16086" w:rsidP="00662FB4">
      <w:pPr>
        <w:widowControl w:val="0"/>
        <w:numPr>
          <w:ilvl w:val="0"/>
          <w:numId w:val="36"/>
        </w:numPr>
        <w:ind w:left="1701" w:right="851" w:hanging="283"/>
        <w:contextualSpacing/>
        <w:jc w:val="both"/>
        <w:rPr>
          <w:rFonts w:ascii="Abadi" w:eastAsiaTheme="minorHAnsi" w:hAnsi="Abadi" w:cstheme="minorBidi"/>
          <w:i/>
          <w:iCs/>
          <w:sz w:val="21"/>
          <w:szCs w:val="21"/>
          <w:lang w:val="es-MX" w:eastAsia="en-US"/>
        </w:rPr>
      </w:pPr>
      <w:r w:rsidRPr="00D16086">
        <w:rPr>
          <w:rFonts w:ascii="Abadi" w:eastAsiaTheme="minorHAnsi" w:hAnsi="Abadi" w:cstheme="minorBidi"/>
          <w:i/>
          <w:iCs/>
          <w:sz w:val="21"/>
          <w:szCs w:val="21"/>
          <w:lang w:val="es-MX" w:eastAsia="en-US"/>
        </w:rPr>
        <w:t>Un representante de la Procuraduría de los Derechos Humanos del Estado de Guanajuato.</w:t>
      </w:r>
    </w:p>
    <w:p w14:paraId="00A9EC99" w14:textId="77777777" w:rsidR="00D16086" w:rsidRPr="00D16086" w:rsidRDefault="00D16086" w:rsidP="00662FB4">
      <w:pPr>
        <w:widowControl w:val="0"/>
        <w:numPr>
          <w:ilvl w:val="0"/>
          <w:numId w:val="36"/>
        </w:numPr>
        <w:ind w:left="1701" w:right="851" w:hanging="283"/>
        <w:contextualSpacing/>
        <w:jc w:val="both"/>
        <w:rPr>
          <w:rFonts w:ascii="Abadi" w:eastAsiaTheme="minorHAnsi" w:hAnsi="Abadi" w:cstheme="minorBidi"/>
          <w:i/>
          <w:iCs/>
          <w:sz w:val="21"/>
          <w:szCs w:val="21"/>
          <w:lang w:val="es-MX" w:eastAsia="en-US"/>
        </w:rPr>
      </w:pPr>
      <w:r w:rsidRPr="00D16086">
        <w:rPr>
          <w:rFonts w:ascii="Abadi" w:eastAsiaTheme="minorHAnsi" w:hAnsi="Abadi" w:cstheme="minorBidi"/>
          <w:i/>
          <w:iCs/>
          <w:sz w:val="21"/>
          <w:szCs w:val="21"/>
          <w:lang w:val="es-MX" w:eastAsia="en-US"/>
        </w:rPr>
        <w:t>Un representante de la Coordinación General Jurídica.</w:t>
      </w:r>
    </w:p>
    <w:p w14:paraId="11E666F4" w14:textId="77777777" w:rsidR="00D16086" w:rsidRPr="00D16086" w:rsidRDefault="00D16086" w:rsidP="00662FB4">
      <w:pPr>
        <w:widowControl w:val="0"/>
        <w:numPr>
          <w:ilvl w:val="0"/>
          <w:numId w:val="36"/>
        </w:numPr>
        <w:ind w:left="1701" w:right="851" w:hanging="283"/>
        <w:contextualSpacing/>
        <w:jc w:val="both"/>
        <w:rPr>
          <w:rFonts w:ascii="Abadi" w:eastAsiaTheme="minorHAnsi" w:hAnsi="Abadi" w:cstheme="minorBidi"/>
          <w:i/>
          <w:iCs/>
          <w:sz w:val="21"/>
          <w:szCs w:val="21"/>
          <w:lang w:val="es-MX" w:eastAsia="en-US"/>
        </w:rPr>
      </w:pPr>
      <w:r w:rsidRPr="00D16086">
        <w:rPr>
          <w:rFonts w:ascii="Abadi" w:eastAsiaTheme="minorHAnsi" w:hAnsi="Abadi" w:cstheme="minorBidi"/>
          <w:i/>
          <w:iCs/>
          <w:sz w:val="21"/>
          <w:szCs w:val="21"/>
          <w:lang w:val="es-MX" w:eastAsia="en-US"/>
        </w:rPr>
        <w:t>Un representante del Instituto de Investigaciones Legislativas.</w:t>
      </w:r>
    </w:p>
    <w:p w14:paraId="4F08548C" w14:textId="77777777" w:rsidR="00D16086" w:rsidRPr="00D16086" w:rsidRDefault="00D16086" w:rsidP="00662FB4">
      <w:pPr>
        <w:widowControl w:val="0"/>
        <w:numPr>
          <w:ilvl w:val="0"/>
          <w:numId w:val="36"/>
        </w:numPr>
        <w:ind w:left="1701" w:right="851" w:hanging="283"/>
        <w:contextualSpacing/>
        <w:jc w:val="both"/>
        <w:rPr>
          <w:rFonts w:ascii="Abadi" w:eastAsiaTheme="minorHAnsi" w:hAnsi="Abadi" w:cstheme="minorBidi"/>
          <w:i/>
          <w:iCs/>
          <w:sz w:val="21"/>
          <w:szCs w:val="21"/>
          <w:lang w:val="es-MX" w:eastAsia="en-US"/>
        </w:rPr>
      </w:pPr>
      <w:r w:rsidRPr="00D16086">
        <w:rPr>
          <w:rFonts w:ascii="Abadi" w:eastAsiaTheme="minorHAnsi" w:hAnsi="Abadi" w:cstheme="minorBidi"/>
          <w:i/>
          <w:iCs/>
          <w:sz w:val="21"/>
          <w:szCs w:val="21"/>
          <w:lang w:val="es-MX" w:eastAsia="en-US"/>
        </w:rPr>
        <w:t>Un representante de la Unidad de Estudios de las Finanzas Públicas.</w:t>
      </w:r>
    </w:p>
    <w:p w14:paraId="0DA06F5E" w14:textId="77777777" w:rsidR="00D16086" w:rsidRPr="00D16086" w:rsidRDefault="00D16086" w:rsidP="00662FB4">
      <w:pPr>
        <w:widowControl w:val="0"/>
        <w:numPr>
          <w:ilvl w:val="0"/>
          <w:numId w:val="36"/>
        </w:numPr>
        <w:ind w:left="1701" w:right="851" w:hanging="283"/>
        <w:contextualSpacing/>
        <w:jc w:val="both"/>
        <w:rPr>
          <w:rFonts w:ascii="Abadi" w:eastAsiaTheme="minorHAnsi" w:hAnsi="Abadi" w:cstheme="minorBidi"/>
          <w:i/>
          <w:iCs/>
          <w:sz w:val="21"/>
          <w:szCs w:val="21"/>
          <w:lang w:val="es-MX" w:eastAsia="en-US"/>
        </w:rPr>
      </w:pPr>
      <w:r w:rsidRPr="00D16086">
        <w:rPr>
          <w:rFonts w:ascii="Abadi" w:eastAsiaTheme="minorHAnsi" w:hAnsi="Abadi" w:cstheme="minorBidi"/>
          <w:i/>
          <w:iCs/>
          <w:sz w:val="21"/>
          <w:szCs w:val="21"/>
          <w:lang w:val="es-MX" w:eastAsia="en-US"/>
        </w:rPr>
        <w:t>Asesores y asesoras de la Comisión.</w:t>
      </w:r>
    </w:p>
    <w:p w14:paraId="5EDD258A" w14:textId="77777777" w:rsidR="00D16086" w:rsidRPr="00D16086" w:rsidRDefault="00D16086" w:rsidP="00662FB4">
      <w:pPr>
        <w:widowControl w:val="0"/>
        <w:numPr>
          <w:ilvl w:val="0"/>
          <w:numId w:val="36"/>
        </w:numPr>
        <w:ind w:left="1701" w:right="851" w:hanging="283"/>
        <w:contextualSpacing/>
        <w:jc w:val="both"/>
        <w:rPr>
          <w:rFonts w:ascii="Abadi" w:eastAsiaTheme="minorHAnsi" w:hAnsi="Abadi" w:cstheme="minorBidi"/>
          <w:i/>
          <w:iCs/>
          <w:sz w:val="21"/>
          <w:szCs w:val="21"/>
          <w:lang w:val="es-MX" w:eastAsia="en-US"/>
        </w:rPr>
      </w:pPr>
      <w:r w:rsidRPr="00D16086">
        <w:rPr>
          <w:rFonts w:ascii="Abadi" w:eastAsiaTheme="minorHAnsi" w:hAnsi="Abadi" w:cstheme="minorBidi"/>
          <w:i/>
          <w:iCs/>
          <w:sz w:val="21"/>
          <w:szCs w:val="21"/>
          <w:lang w:val="es-MX" w:eastAsia="en-US"/>
        </w:rPr>
        <w:t>Secretaría técnica.</w:t>
      </w:r>
    </w:p>
    <w:p w14:paraId="64F60868" w14:textId="77777777" w:rsidR="00D16086" w:rsidRPr="00D16086" w:rsidRDefault="00D16086" w:rsidP="00662FB4">
      <w:pPr>
        <w:widowControl w:val="0"/>
        <w:ind w:left="851" w:right="851"/>
        <w:jc w:val="both"/>
        <w:rPr>
          <w:rFonts w:ascii="Abadi" w:hAnsi="Abadi"/>
          <w:i/>
          <w:iCs/>
          <w:sz w:val="21"/>
          <w:szCs w:val="21"/>
          <w:lang w:val="es-MX" w:eastAsia="en-US"/>
        </w:rPr>
      </w:pPr>
    </w:p>
    <w:p w14:paraId="4DAD5F7D" w14:textId="77777777" w:rsidR="00D16086" w:rsidRPr="00D16086" w:rsidRDefault="00D16086" w:rsidP="00662FB4">
      <w:pPr>
        <w:widowControl w:val="0"/>
        <w:ind w:left="1418" w:right="851" w:hanging="567"/>
        <w:jc w:val="both"/>
        <w:rPr>
          <w:rFonts w:ascii="Abadi" w:hAnsi="Abadi"/>
          <w:i/>
          <w:iCs/>
          <w:sz w:val="21"/>
          <w:szCs w:val="21"/>
          <w:lang w:val="es-MX" w:eastAsia="en-US"/>
        </w:rPr>
      </w:pPr>
      <w:r w:rsidRPr="00D16086">
        <w:rPr>
          <w:rFonts w:ascii="Abadi" w:hAnsi="Abadi"/>
          <w:b/>
          <w:i/>
          <w:iCs/>
          <w:sz w:val="21"/>
          <w:szCs w:val="21"/>
          <w:lang w:val="es-MX" w:eastAsia="en-US"/>
        </w:rPr>
        <w:t>g)</w:t>
      </w:r>
      <w:r w:rsidRPr="00D16086">
        <w:rPr>
          <w:rFonts w:ascii="Abadi" w:hAnsi="Abadi"/>
          <w:i/>
          <w:iCs/>
          <w:sz w:val="21"/>
          <w:szCs w:val="21"/>
          <w:lang w:val="es-MX" w:eastAsia="en-US"/>
        </w:rPr>
        <w:tab/>
        <w:t>Reunión o reuniones del grupo de trabajo que sean necesarias.</w:t>
      </w:r>
    </w:p>
    <w:p w14:paraId="0F3512DC" w14:textId="77777777" w:rsidR="00D16086" w:rsidRPr="00D16086" w:rsidRDefault="00D16086" w:rsidP="00662FB4">
      <w:pPr>
        <w:widowControl w:val="0"/>
        <w:ind w:left="851" w:right="851"/>
        <w:jc w:val="both"/>
        <w:rPr>
          <w:rFonts w:ascii="Abadi" w:hAnsi="Abadi"/>
          <w:i/>
          <w:iCs/>
          <w:sz w:val="21"/>
          <w:szCs w:val="21"/>
          <w:lang w:val="es-MX" w:eastAsia="en-US"/>
        </w:rPr>
      </w:pPr>
    </w:p>
    <w:p w14:paraId="02212A3D" w14:textId="77777777" w:rsidR="00D16086" w:rsidRPr="00D16086" w:rsidRDefault="00D16086" w:rsidP="00662FB4">
      <w:pPr>
        <w:widowControl w:val="0"/>
        <w:ind w:left="1418" w:right="851" w:hanging="567"/>
        <w:jc w:val="both"/>
        <w:rPr>
          <w:rFonts w:ascii="Abadi" w:hAnsi="Abadi"/>
          <w:i/>
          <w:iCs/>
          <w:sz w:val="21"/>
          <w:szCs w:val="21"/>
          <w:lang w:val="es-MX" w:eastAsia="en-US"/>
        </w:rPr>
      </w:pPr>
      <w:r w:rsidRPr="00D16086">
        <w:rPr>
          <w:rFonts w:ascii="Abadi" w:hAnsi="Abadi"/>
          <w:b/>
          <w:i/>
          <w:iCs/>
          <w:sz w:val="21"/>
          <w:szCs w:val="21"/>
          <w:lang w:val="es-MX" w:eastAsia="en-US"/>
        </w:rPr>
        <w:t>h)</w:t>
      </w:r>
      <w:r w:rsidRPr="00D16086">
        <w:rPr>
          <w:rFonts w:ascii="Abadi" w:hAnsi="Abadi"/>
          <w:b/>
          <w:i/>
          <w:iCs/>
          <w:sz w:val="21"/>
          <w:szCs w:val="21"/>
          <w:lang w:val="es-MX" w:eastAsia="en-US"/>
        </w:rPr>
        <w:tab/>
      </w:r>
      <w:r w:rsidRPr="00D16086">
        <w:rPr>
          <w:rFonts w:ascii="Abadi" w:hAnsi="Abadi"/>
          <w:i/>
          <w:iCs/>
          <w:sz w:val="21"/>
          <w:szCs w:val="21"/>
          <w:lang w:val="es-MX" w:eastAsia="en-US"/>
        </w:rPr>
        <w:t>Reunión de la Comisión para análisis y acuerdos para la elaboración del dictamen.</w:t>
      </w:r>
    </w:p>
    <w:p w14:paraId="4D5E0EFF" w14:textId="77777777" w:rsidR="00D16086" w:rsidRPr="00D16086" w:rsidRDefault="00D16086" w:rsidP="00662FB4">
      <w:pPr>
        <w:widowControl w:val="0"/>
        <w:ind w:left="851" w:right="851"/>
        <w:jc w:val="both"/>
        <w:rPr>
          <w:rFonts w:ascii="Abadi" w:hAnsi="Abadi"/>
          <w:i/>
          <w:iCs/>
          <w:sz w:val="21"/>
          <w:szCs w:val="21"/>
          <w:lang w:val="es-MX" w:eastAsia="en-US"/>
        </w:rPr>
      </w:pPr>
    </w:p>
    <w:p w14:paraId="2C722641" w14:textId="77777777" w:rsidR="00D16086" w:rsidRPr="00D16086" w:rsidRDefault="00D16086" w:rsidP="00662FB4">
      <w:pPr>
        <w:widowControl w:val="0"/>
        <w:ind w:left="1418" w:right="851" w:hanging="567"/>
        <w:jc w:val="both"/>
        <w:rPr>
          <w:rFonts w:ascii="Abadi" w:hAnsi="Abadi"/>
          <w:i/>
          <w:iCs/>
          <w:sz w:val="21"/>
          <w:szCs w:val="21"/>
          <w:lang w:val="es-MX" w:eastAsia="en-US"/>
        </w:rPr>
      </w:pPr>
      <w:r w:rsidRPr="00D16086">
        <w:rPr>
          <w:rFonts w:ascii="Abadi" w:hAnsi="Abadi"/>
          <w:b/>
          <w:i/>
          <w:iCs/>
          <w:sz w:val="21"/>
          <w:szCs w:val="21"/>
          <w:lang w:val="es-MX" w:eastAsia="en-US"/>
        </w:rPr>
        <w:t>i)</w:t>
      </w:r>
      <w:r w:rsidRPr="00D16086">
        <w:rPr>
          <w:rFonts w:ascii="Abadi" w:hAnsi="Abadi"/>
          <w:i/>
          <w:iCs/>
          <w:sz w:val="21"/>
          <w:szCs w:val="21"/>
          <w:lang w:val="es-MX" w:eastAsia="en-US"/>
        </w:rPr>
        <w:tab/>
        <w:t>Reunión de la Comisión para la discusión y, en su caso, aprobación del dictamen.</w:t>
      </w:r>
    </w:p>
    <w:p w14:paraId="32325F62" w14:textId="77777777" w:rsidR="00D16086" w:rsidRPr="00D16086" w:rsidRDefault="00D16086" w:rsidP="00662FB4">
      <w:pPr>
        <w:widowControl w:val="0"/>
        <w:jc w:val="both"/>
        <w:rPr>
          <w:rFonts w:ascii="Abadi" w:hAnsi="Abadi" w:cs="Arial"/>
          <w:sz w:val="21"/>
          <w:szCs w:val="21"/>
          <w:lang w:val="es-MX" w:eastAsia="en-US"/>
        </w:rPr>
      </w:pPr>
    </w:p>
    <w:p w14:paraId="51820F4A" w14:textId="77777777" w:rsidR="00D16086" w:rsidRPr="00D16086" w:rsidRDefault="00D16086" w:rsidP="00662FB4">
      <w:pPr>
        <w:widowControl w:val="0"/>
        <w:ind w:left="851"/>
        <w:jc w:val="both"/>
        <w:rPr>
          <w:rFonts w:ascii="Abadi" w:hAnsi="Abadi"/>
          <w:b/>
          <w:sz w:val="21"/>
          <w:szCs w:val="21"/>
          <w:lang w:val="es-MX"/>
        </w:rPr>
      </w:pPr>
      <w:r w:rsidRPr="00D16086">
        <w:rPr>
          <w:rFonts w:ascii="Abadi" w:hAnsi="Abadi" w:cs="Arial"/>
          <w:b/>
          <w:sz w:val="21"/>
          <w:szCs w:val="21"/>
          <w:lang w:val="es-MX"/>
        </w:rPr>
        <w:t>Cumplimiento de las acciones acordadas para el estudio y dictamen de la iniciativa</w:t>
      </w:r>
      <w:r w:rsidRPr="00D16086">
        <w:rPr>
          <w:rFonts w:ascii="Abadi" w:hAnsi="Abadi"/>
          <w:b/>
          <w:sz w:val="21"/>
          <w:szCs w:val="21"/>
          <w:lang w:val="es-MX"/>
        </w:rPr>
        <w:t>.</w:t>
      </w:r>
    </w:p>
    <w:p w14:paraId="059157D0" w14:textId="77777777" w:rsidR="00D16086" w:rsidRPr="00D16086" w:rsidRDefault="00D16086" w:rsidP="00662FB4">
      <w:pPr>
        <w:widowControl w:val="0"/>
        <w:jc w:val="both"/>
        <w:rPr>
          <w:rFonts w:ascii="Abadi" w:hAnsi="Abadi" w:cs="Arial"/>
          <w:sz w:val="21"/>
          <w:szCs w:val="21"/>
          <w:lang w:val="es-MX" w:eastAsia="en-US"/>
        </w:rPr>
      </w:pPr>
    </w:p>
    <w:p w14:paraId="33E27671" w14:textId="77777777" w:rsidR="00D16086" w:rsidRPr="00D16086" w:rsidRDefault="00D16086" w:rsidP="00662FB4">
      <w:pPr>
        <w:widowControl w:val="0"/>
        <w:ind w:firstLine="851"/>
        <w:jc w:val="both"/>
        <w:rPr>
          <w:rFonts w:ascii="Abadi" w:hAnsi="Abadi" w:cs="Arial"/>
          <w:sz w:val="21"/>
          <w:szCs w:val="21"/>
          <w:lang w:val="es-MX" w:eastAsia="en-US"/>
        </w:rPr>
      </w:pPr>
      <w:r w:rsidRPr="00D16086">
        <w:rPr>
          <w:rFonts w:ascii="Abadi" w:hAnsi="Abadi" w:cs="Arial"/>
          <w:sz w:val="21"/>
          <w:szCs w:val="21"/>
          <w:lang w:val="es-MX" w:eastAsia="en-US"/>
        </w:rPr>
        <w:t>Dada la incidencia en la competencia municipal, en cumplimiento al artículo 56 de la Constitución Política para el Estado de Guanajuato, la iniciativa se remitió a los ayuntamientos.</w:t>
      </w:r>
    </w:p>
    <w:p w14:paraId="11E6A984" w14:textId="77777777" w:rsidR="00D16086" w:rsidRPr="00D16086" w:rsidRDefault="00D16086" w:rsidP="00662FB4">
      <w:pPr>
        <w:widowControl w:val="0"/>
        <w:jc w:val="both"/>
        <w:rPr>
          <w:rFonts w:ascii="Abadi" w:hAnsi="Abadi" w:cs="Arial"/>
          <w:sz w:val="21"/>
          <w:szCs w:val="21"/>
          <w:lang w:val="es-MX" w:eastAsia="en-US"/>
        </w:rPr>
      </w:pPr>
    </w:p>
    <w:p w14:paraId="5901E5F9" w14:textId="77777777" w:rsidR="00D16086" w:rsidRPr="00D16086" w:rsidRDefault="00D16086" w:rsidP="00662FB4">
      <w:pPr>
        <w:widowControl w:val="0"/>
        <w:ind w:firstLine="851"/>
        <w:jc w:val="both"/>
        <w:rPr>
          <w:rFonts w:ascii="Abadi" w:hAnsi="Abadi" w:cs="Arial"/>
          <w:sz w:val="21"/>
          <w:szCs w:val="21"/>
          <w:lang w:val="es-MX" w:eastAsia="en-US"/>
        </w:rPr>
      </w:pPr>
      <w:r w:rsidRPr="00D16086">
        <w:rPr>
          <w:rFonts w:ascii="Abadi" w:hAnsi="Abadi" w:cs="Arial"/>
          <w:sz w:val="21"/>
          <w:szCs w:val="21"/>
          <w:lang w:val="es-MX" w:eastAsia="en-US"/>
        </w:rPr>
        <w:t>Dieron respuesta los ayuntamientos de: Abasolo, comunicando la aprobación unánime del dictamen de la Comisión de Salud Pública y Asistencia Social, a través del cual se pronuncian a favor de la iniciativa sin tener ninguna observación; Celaya, compartiendo sus comentarios;  Coroneo, a fin de comunicar el acuerdo unánime de enterados; Cortazar, para remitir su opinión; Doctor Mora, informando la determinación unánime de que no existe comentario o sugerencia que emitir sobre el contenido de la iniciativa; Jaral del Progreso, comunicando que, por unanimidad, el órgano colegiado está de acuerdo con la iniciativa; Jerécuaro, a fin de notificar el acuerdo de no emitir comentarios; León, remitiendo comentarios; San Francisco del Rincón, para informar que se tiene por recibida la circular, el acuerdo de enterados del contenido de la iniciativa y que se ordena dejar a disposición de los integrantes del Ayuntamiento para su estudio correspondiente; San José Iturbide, a fin de comunicar la aprobación unánime del dictamen de la Comisión Reglamentaria, a través del cual se sugiere al órgano colegiado la aprobación de la iniciativa; y San Luis de la Paz, para emitir respuesta en sentido positivo y compartir comentarios del departamento jurídico.</w:t>
      </w:r>
    </w:p>
    <w:p w14:paraId="38E06410" w14:textId="77777777" w:rsidR="00D16086" w:rsidRPr="00D16086" w:rsidRDefault="00D16086" w:rsidP="00662FB4">
      <w:pPr>
        <w:widowControl w:val="0"/>
        <w:jc w:val="both"/>
        <w:rPr>
          <w:rFonts w:ascii="Abadi" w:hAnsi="Abadi" w:cs="Arial"/>
          <w:sz w:val="21"/>
          <w:szCs w:val="21"/>
          <w:lang w:val="es-MX" w:eastAsia="en-US"/>
        </w:rPr>
      </w:pPr>
    </w:p>
    <w:p w14:paraId="136B9527" w14:textId="77777777" w:rsidR="00D16086" w:rsidRPr="00D16086" w:rsidRDefault="00D16086" w:rsidP="00662FB4">
      <w:pPr>
        <w:widowControl w:val="0"/>
        <w:ind w:firstLine="851"/>
        <w:jc w:val="both"/>
        <w:rPr>
          <w:rFonts w:ascii="Abadi" w:hAnsi="Abadi" w:cs="Arial"/>
          <w:sz w:val="21"/>
          <w:szCs w:val="21"/>
          <w:lang w:val="es-MX" w:eastAsia="en-US"/>
        </w:rPr>
      </w:pPr>
      <w:r w:rsidRPr="00D16086">
        <w:rPr>
          <w:rFonts w:ascii="Abadi" w:hAnsi="Abadi" w:cs="Arial"/>
          <w:sz w:val="21"/>
          <w:szCs w:val="21"/>
          <w:lang w:val="es-MX" w:eastAsia="en-US"/>
        </w:rPr>
        <w:t>El director de asuntos jurídicos de Irapuato remitió también comentarios a la iniciativa.</w:t>
      </w:r>
    </w:p>
    <w:p w14:paraId="2145BCC1" w14:textId="77777777" w:rsidR="00D16086" w:rsidRPr="00D16086" w:rsidRDefault="00D16086" w:rsidP="00662FB4">
      <w:pPr>
        <w:widowControl w:val="0"/>
        <w:jc w:val="both"/>
        <w:rPr>
          <w:rFonts w:ascii="Abadi" w:hAnsi="Abadi" w:cs="Arial"/>
          <w:sz w:val="21"/>
          <w:szCs w:val="21"/>
          <w:lang w:val="es-MX" w:eastAsia="en-US"/>
        </w:rPr>
      </w:pPr>
    </w:p>
    <w:p w14:paraId="0B670BD0" w14:textId="77777777" w:rsidR="00D16086" w:rsidRPr="00D16086" w:rsidRDefault="00D16086" w:rsidP="00662FB4">
      <w:pPr>
        <w:widowControl w:val="0"/>
        <w:ind w:firstLine="851"/>
        <w:jc w:val="both"/>
        <w:rPr>
          <w:rFonts w:ascii="Abadi" w:hAnsi="Abadi" w:cs="Arial"/>
          <w:sz w:val="21"/>
          <w:szCs w:val="21"/>
          <w:lang w:val="es-MX" w:eastAsia="en-US"/>
        </w:rPr>
      </w:pPr>
      <w:r w:rsidRPr="00D16086">
        <w:rPr>
          <w:rFonts w:ascii="Abadi" w:hAnsi="Abadi" w:cs="Arial"/>
          <w:sz w:val="21"/>
          <w:szCs w:val="21"/>
          <w:lang w:val="es-MX" w:eastAsia="en-US"/>
        </w:rPr>
        <w:t>La iniciativa se compartió a las diputadas y a los diputados de la Legislatura; al Consejo para Prevenir, Atender y Erradicar la Discriminación en el Estado de Guanajuato; al Consejo Consultivo para la Atención de las Personas con Discapacidad del Estado de Guanajuato; al Consejo Estatal de Protección Civil; al Instituto Guanajuatense para las Personas con Discapacidad; y a la Coordinación General Jurídica. No se recibieron comentarios.</w:t>
      </w:r>
    </w:p>
    <w:p w14:paraId="0B3CD9EC" w14:textId="77777777" w:rsidR="00D16086" w:rsidRPr="00D16086" w:rsidRDefault="00D16086" w:rsidP="00662FB4">
      <w:pPr>
        <w:widowControl w:val="0"/>
        <w:jc w:val="both"/>
        <w:rPr>
          <w:rFonts w:ascii="Abadi" w:hAnsi="Abadi" w:cs="Arial"/>
          <w:sz w:val="21"/>
          <w:szCs w:val="21"/>
          <w:lang w:val="es-MX" w:eastAsia="en-US"/>
        </w:rPr>
      </w:pPr>
    </w:p>
    <w:p w14:paraId="3880DE6B" w14:textId="77777777" w:rsidR="00D16086" w:rsidRPr="00D16086" w:rsidRDefault="00D16086" w:rsidP="00662FB4">
      <w:pPr>
        <w:widowControl w:val="0"/>
        <w:ind w:firstLine="851"/>
        <w:jc w:val="both"/>
        <w:rPr>
          <w:rFonts w:ascii="Abadi" w:hAnsi="Abadi" w:cs="Arial"/>
          <w:sz w:val="21"/>
          <w:szCs w:val="21"/>
          <w:lang w:val="es-MX" w:eastAsia="en-US"/>
        </w:rPr>
      </w:pPr>
      <w:r w:rsidRPr="00D16086">
        <w:rPr>
          <w:rFonts w:ascii="Abadi" w:hAnsi="Abadi" w:cs="Arial"/>
          <w:sz w:val="21"/>
          <w:szCs w:val="21"/>
          <w:lang w:val="es-MX" w:eastAsia="en-US"/>
        </w:rPr>
        <w:t>Igualmente se remitió la iniciativa a la Procuraduría de los Derechos Humanos del Estado de Guanajuato y a la Coordinación Estatal de Protección Civil, quienes nos compartieron sus aportaciones.</w:t>
      </w:r>
    </w:p>
    <w:p w14:paraId="42E184BD" w14:textId="77777777" w:rsidR="00D16086" w:rsidRPr="00D16086" w:rsidRDefault="00D16086" w:rsidP="00662FB4">
      <w:pPr>
        <w:widowControl w:val="0"/>
        <w:jc w:val="both"/>
        <w:rPr>
          <w:rFonts w:ascii="Abadi" w:hAnsi="Abadi"/>
          <w:sz w:val="21"/>
          <w:szCs w:val="21"/>
          <w:lang w:val="es-MX" w:eastAsia="en-US"/>
        </w:rPr>
      </w:pPr>
    </w:p>
    <w:p w14:paraId="60AE26A4" w14:textId="77777777" w:rsidR="00D16086" w:rsidRPr="00D16086" w:rsidRDefault="00D16086" w:rsidP="00662FB4">
      <w:pPr>
        <w:widowControl w:val="0"/>
        <w:ind w:firstLine="851"/>
        <w:jc w:val="both"/>
        <w:rPr>
          <w:rFonts w:ascii="Abadi" w:hAnsi="Abadi" w:cs="Arial"/>
          <w:sz w:val="21"/>
          <w:szCs w:val="21"/>
          <w:lang w:val="es-MX" w:eastAsia="en-US"/>
        </w:rPr>
      </w:pPr>
      <w:r w:rsidRPr="00D16086">
        <w:rPr>
          <w:rFonts w:ascii="Abadi" w:hAnsi="Abadi" w:cs="Arial"/>
          <w:sz w:val="21"/>
          <w:szCs w:val="21"/>
          <w:lang w:val="es-MX" w:eastAsia="en-US"/>
        </w:rPr>
        <w:t>En el marco de la promoción de la participación e inclusión ciudadana en el proceso legislativo se creó un micro sitio en la página del Congreso, invitando a enviar comentarios a la iniciativa. No se recibieron comentarios.</w:t>
      </w:r>
    </w:p>
    <w:p w14:paraId="140D5592" w14:textId="77777777" w:rsidR="00D16086" w:rsidRPr="00D16086" w:rsidRDefault="00D16086" w:rsidP="00662FB4">
      <w:pPr>
        <w:widowControl w:val="0"/>
        <w:jc w:val="both"/>
        <w:rPr>
          <w:rFonts w:ascii="Abadi" w:hAnsi="Abadi" w:cs="Arial"/>
          <w:sz w:val="21"/>
          <w:szCs w:val="21"/>
          <w:lang w:val="es-MX" w:eastAsia="en-US"/>
        </w:rPr>
      </w:pPr>
    </w:p>
    <w:p w14:paraId="5E987C68" w14:textId="77777777" w:rsidR="00D16086" w:rsidRPr="00D16086" w:rsidRDefault="00D16086" w:rsidP="00662FB4">
      <w:pPr>
        <w:widowControl w:val="0"/>
        <w:ind w:firstLine="851"/>
        <w:jc w:val="both"/>
        <w:rPr>
          <w:rFonts w:ascii="Abadi" w:hAnsi="Abadi" w:cs="Arial"/>
          <w:sz w:val="21"/>
          <w:szCs w:val="21"/>
          <w:lang w:val="es-MX" w:eastAsia="en-US"/>
        </w:rPr>
      </w:pPr>
      <w:r w:rsidRPr="00D16086">
        <w:rPr>
          <w:rFonts w:ascii="Abadi" w:hAnsi="Abadi"/>
          <w:sz w:val="21"/>
          <w:szCs w:val="21"/>
          <w:lang w:val="es-MX" w:eastAsia="en-US"/>
        </w:rPr>
        <w:t xml:space="preserve">En atención a la petición de la </w:t>
      </w:r>
      <w:r w:rsidRPr="00D16086">
        <w:rPr>
          <w:rFonts w:ascii="Abadi" w:hAnsi="Abadi" w:cs="Arial"/>
          <w:sz w:val="21"/>
          <w:szCs w:val="21"/>
          <w:lang w:val="es-MX" w:eastAsia="en-US"/>
        </w:rPr>
        <w:t>Comisión</w:t>
      </w:r>
      <w:r w:rsidRPr="00D16086">
        <w:rPr>
          <w:rFonts w:ascii="Abadi" w:hAnsi="Abadi"/>
          <w:sz w:val="21"/>
          <w:szCs w:val="21"/>
          <w:lang w:val="es-MX" w:eastAsia="en-US"/>
        </w:rPr>
        <w:t>, el Instituto de Investigaciones Legislativas remitió opinión de la iniciativa. Y la Unidad de Estudios de las Finanzas Públicas el estudio sobre la implicación financiera de la propuesta.</w:t>
      </w:r>
    </w:p>
    <w:p w14:paraId="1AE98EBB" w14:textId="77777777" w:rsidR="00D16086" w:rsidRPr="00D16086" w:rsidRDefault="00D16086" w:rsidP="00662FB4">
      <w:pPr>
        <w:widowControl w:val="0"/>
        <w:jc w:val="both"/>
        <w:rPr>
          <w:rFonts w:ascii="Abadi" w:hAnsi="Abadi" w:cs="Arial"/>
          <w:sz w:val="21"/>
          <w:szCs w:val="21"/>
          <w:lang w:val="es-MX" w:eastAsia="en-US"/>
        </w:rPr>
      </w:pPr>
    </w:p>
    <w:p w14:paraId="0D155375" w14:textId="77777777" w:rsidR="00D16086" w:rsidRPr="00D16086" w:rsidRDefault="00D16086" w:rsidP="00662FB4">
      <w:pPr>
        <w:widowControl w:val="0"/>
        <w:ind w:firstLine="851"/>
        <w:jc w:val="both"/>
        <w:rPr>
          <w:rFonts w:ascii="Abadi" w:hAnsi="Abadi" w:cs="Arial"/>
          <w:sz w:val="21"/>
          <w:szCs w:val="21"/>
          <w:lang w:val="es-MX" w:eastAsia="en-US"/>
        </w:rPr>
      </w:pPr>
      <w:r w:rsidRPr="00D16086">
        <w:rPr>
          <w:rFonts w:ascii="Abadi" w:hAnsi="Abadi" w:cs="Arial"/>
          <w:sz w:val="21"/>
          <w:szCs w:val="21"/>
          <w:lang w:val="es-MX" w:eastAsia="en-US"/>
        </w:rPr>
        <w:t>El 8 de agosto de 2022, la secretaría técnica entregó el comparativo que concentró las observaciones formuladas a la iniciativa.</w:t>
      </w:r>
    </w:p>
    <w:p w14:paraId="062F79D6" w14:textId="77777777" w:rsidR="00D16086" w:rsidRPr="00D16086" w:rsidRDefault="00D16086" w:rsidP="00662FB4">
      <w:pPr>
        <w:widowControl w:val="0"/>
        <w:ind w:firstLine="851"/>
        <w:jc w:val="both"/>
        <w:rPr>
          <w:rFonts w:ascii="Abadi" w:hAnsi="Abadi" w:cs="Arial"/>
          <w:sz w:val="21"/>
          <w:szCs w:val="21"/>
          <w:lang w:val="es-MX" w:eastAsia="en-US"/>
        </w:rPr>
      </w:pPr>
    </w:p>
    <w:p w14:paraId="6661C169" w14:textId="77777777" w:rsidR="00D16086" w:rsidRPr="00D16086" w:rsidRDefault="00D16086" w:rsidP="00662FB4">
      <w:pPr>
        <w:widowControl w:val="0"/>
        <w:ind w:left="851"/>
        <w:jc w:val="both"/>
        <w:rPr>
          <w:rFonts w:ascii="Abadi" w:hAnsi="Abadi"/>
          <w:b/>
          <w:sz w:val="21"/>
          <w:szCs w:val="21"/>
          <w:lang w:val="es-MX"/>
        </w:rPr>
      </w:pPr>
      <w:r w:rsidRPr="00D16086">
        <w:rPr>
          <w:rFonts w:ascii="Abadi" w:hAnsi="Abadi" w:cs="Arial"/>
          <w:b/>
          <w:sz w:val="21"/>
          <w:szCs w:val="21"/>
          <w:lang w:val="es-MX"/>
        </w:rPr>
        <w:t>Opiniones compartidas en el proceso de consulta.</w:t>
      </w:r>
    </w:p>
    <w:p w14:paraId="4F45BB9A" w14:textId="77777777" w:rsidR="00D16086" w:rsidRPr="00D16086" w:rsidRDefault="00D16086" w:rsidP="00662FB4">
      <w:pPr>
        <w:widowControl w:val="0"/>
        <w:jc w:val="both"/>
        <w:rPr>
          <w:rFonts w:ascii="Abadi" w:hAnsi="Abadi"/>
          <w:sz w:val="21"/>
          <w:szCs w:val="21"/>
          <w:lang w:val="es-MX" w:eastAsia="en-US"/>
        </w:rPr>
      </w:pPr>
    </w:p>
    <w:p w14:paraId="413AD059" w14:textId="77777777" w:rsidR="00D16086" w:rsidRPr="00D16086" w:rsidRDefault="00D16086" w:rsidP="00662FB4">
      <w:pPr>
        <w:widowControl w:val="0"/>
        <w:ind w:firstLine="851"/>
        <w:jc w:val="both"/>
        <w:rPr>
          <w:rFonts w:ascii="Abadi" w:hAnsi="Abadi"/>
          <w:sz w:val="21"/>
          <w:szCs w:val="21"/>
          <w:lang w:val="es-MX" w:eastAsia="en-US"/>
        </w:rPr>
      </w:pPr>
      <w:r w:rsidRPr="00D16086">
        <w:rPr>
          <w:rFonts w:ascii="Abadi" w:hAnsi="Abadi"/>
          <w:sz w:val="21"/>
          <w:szCs w:val="21"/>
          <w:lang w:val="es-MX" w:eastAsia="en-US"/>
        </w:rPr>
        <w:t>A continuación, transcribimos las propuestas y comentarios que se recibieron en el proceso de consulta.</w:t>
      </w:r>
    </w:p>
    <w:p w14:paraId="0857B22A" w14:textId="77777777" w:rsidR="00D16086" w:rsidRPr="00D16086" w:rsidRDefault="00D16086" w:rsidP="00662FB4">
      <w:pPr>
        <w:widowControl w:val="0"/>
        <w:jc w:val="both"/>
        <w:rPr>
          <w:rFonts w:ascii="Abadi" w:hAnsi="Abadi"/>
          <w:sz w:val="21"/>
          <w:szCs w:val="21"/>
          <w:lang w:val="es-MX" w:eastAsia="en-US"/>
        </w:rPr>
      </w:pPr>
    </w:p>
    <w:p w14:paraId="275AA1D8" w14:textId="77777777" w:rsidR="00D16086" w:rsidRPr="00D16086" w:rsidRDefault="00D16086" w:rsidP="00662FB4">
      <w:pPr>
        <w:widowControl w:val="0"/>
        <w:ind w:firstLine="851"/>
        <w:jc w:val="both"/>
        <w:rPr>
          <w:rFonts w:ascii="Abadi" w:eastAsia="Calibri" w:hAnsi="Abadi"/>
          <w:sz w:val="21"/>
          <w:szCs w:val="21"/>
          <w:lang w:val="es-MX" w:eastAsia="en-US"/>
        </w:rPr>
      </w:pPr>
      <w:r w:rsidRPr="00D16086">
        <w:rPr>
          <w:rFonts w:ascii="Abadi" w:eastAsia="Calibri" w:hAnsi="Abadi"/>
          <w:sz w:val="21"/>
          <w:szCs w:val="21"/>
          <w:lang w:val="es-MX" w:eastAsia="en-US"/>
        </w:rPr>
        <w:t>El Ayuntamiento de Celaya aportó la siguiente opinión:</w:t>
      </w:r>
    </w:p>
    <w:p w14:paraId="5AFF91DE" w14:textId="77777777" w:rsidR="00D16086" w:rsidRPr="00D16086" w:rsidRDefault="00D16086" w:rsidP="00662FB4">
      <w:pPr>
        <w:widowControl w:val="0"/>
        <w:jc w:val="both"/>
        <w:rPr>
          <w:rFonts w:ascii="Abadi" w:eastAsia="Calibri" w:hAnsi="Abadi"/>
          <w:sz w:val="21"/>
          <w:szCs w:val="21"/>
          <w:lang w:val="es-MX" w:eastAsia="en-US"/>
        </w:rPr>
      </w:pPr>
    </w:p>
    <w:p w14:paraId="198BC68B" w14:textId="77777777" w:rsidR="00D16086" w:rsidRPr="00D16086" w:rsidRDefault="00D16086" w:rsidP="00662FB4">
      <w:pPr>
        <w:widowControl w:val="0"/>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 Se manifiesta estar de acuerdo con la presente iniciativa, pero se sugiere establecer algún plazo prudente para que los propietarios de los edificios públicos y privados hagan las adecuaciones en las construcciones para dar cumplimiento en materia de accesibilidad universal.</w:t>
      </w:r>
    </w:p>
    <w:p w14:paraId="224C949F" w14:textId="77777777" w:rsidR="00D16086" w:rsidRPr="00D16086" w:rsidRDefault="00D16086" w:rsidP="00662FB4">
      <w:pPr>
        <w:widowControl w:val="0"/>
        <w:ind w:left="851" w:right="851"/>
        <w:jc w:val="both"/>
        <w:rPr>
          <w:rFonts w:ascii="Abadi" w:eastAsia="Calibri" w:hAnsi="Abadi"/>
          <w:i/>
          <w:iCs/>
          <w:sz w:val="21"/>
          <w:szCs w:val="21"/>
          <w:lang w:val="es-MX" w:eastAsia="en-US"/>
        </w:rPr>
      </w:pPr>
    </w:p>
    <w:p w14:paraId="6EEE4E3B" w14:textId="77777777" w:rsidR="00D16086" w:rsidRPr="00D16086" w:rsidRDefault="00D16086" w:rsidP="00662FB4">
      <w:pPr>
        <w:widowControl w:val="0"/>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 Así mismo que consideraciones se aplicarán en caso de incumplimiento a la misma.</w:t>
      </w:r>
    </w:p>
    <w:p w14:paraId="473C2FA9" w14:textId="77777777" w:rsidR="00D16086" w:rsidRPr="00D16086" w:rsidRDefault="00D16086" w:rsidP="00662FB4">
      <w:pPr>
        <w:widowControl w:val="0"/>
        <w:jc w:val="both"/>
        <w:rPr>
          <w:rFonts w:ascii="Abadi" w:hAnsi="Abadi"/>
          <w:sz w:val="21"/>
          <w:szCs w:val="21"/>
          <w:lang w:val="es-MX" w:eastAsia="en-US"/>
        </w:rPr>
      </w:pPr>
    </w:p>
    <w:p w14:paraId="6AFD348B" w14:textId="77777777" w:rsidR="00D16086" w:rsidRPr="00D16086" w:rsidRDefault="00D16086" w:rsidP="00662FB4">
      <w:pPr>
        <w:ind w:firstLine="851"/>
        <w:jc w:val="both"/>
        <w:rPr>
          <w:rFonts w:ascii="Abadi" w:eastAsia="Calibri" w:hAnsi="Abadi"/>
          <w:sz w:val="21"/>
          <w:szCs w:val="21"/>
          <w:lang w:val="es-MX" w:eastAsia="en-US"/>
        </w:rPr>
      </w:pPr>
      <w:r w:rsidRPr="00D16086">
        <w:rPr>
          <w:rFonts w:ascii="Abadi" w:eastAsia="Calibri" w:hAnsi="Abadi"/>
          <w:sz w:val="21"/>
          <w:szCs w:val="21"/>
          <w:lang w:val="es-MX" w:eastAsia="en-US"/>
        </w:rPr>
        <w:t>El Ayuntamiento de Cortazar expresó lo siguiente:</w:t>
      </w:r>
    </w:p>
    <w:p w14:paraId="0ED5A3A6" w14:textId="77777777" w:rsidR="00D16086" w:rsidRPr="00D16086" w:rsidRDefault="00D16086" w:rsidP="00662FB4">
      <w:pPr>
        <w:jc w:val="both"/>
        <w:rPr>
          <w:rFonts w:ascii="Abadi" w:eastAsia="Calibri" w:hAnsi="Abadi"/>
          <w:sz w:val="21"/>
          <w:szCs w:val="21"/>
          <w:lang w:val="es-MX" w:eastAsia="en-US"/>
        </w:rPr>
      </w:pPr>
    </w:p>
    <w:p w14:paraId="34F3C131" w14:textId="77777777" w:rsidR="00D16086" w:rsidRPr="00D16086" w:rsidRDefault="00D16086" w:rsidP="00662FB4">
      <w:pPr>
        <w:tabs>
          <w:tab w:val="left" w:pos="1384"/>
          <w:tab w:val="center" w:pos="4419"/>
        </w:tabs>
        <w:ind w:left="851" w:right="851"/>
        <w:jc w:val="center"/>
        <w:rPr>
          <w:rFonts w:ascii="Abadi" w:eastAsia="Calibri" w:hAnsi="Abadi"/>
          <w:b/>
          <w:bCs/>
          <w:i/>
          <w:iCs/>
          <w:sz w:val="21"/>
          <w:szCs w:val="21"/>
          <w:lang w:val="es-MX" w:eastAsia="en-US"/>
        </w:rPr>
      </w:pPr>
      <w:r w:rsidRPr="00D16086">
        <w:rPr>
          <w:rFonts w:ascii="Abadi" w:eastAsia="Calibri" w:hAnsi="Abadi"/>
          <w:b/>
          <w:bCs/>
          <w:i/>
          <w:iCs/>
          <w:sz w:val="21"/>
          <w:szCs w:val="21"/>
          <w:lang w:val="es-MX" w:eastAsia="en-US"/>
        </w:rPr>
        <w:t>CONSIDERACIONES</w:t>
      </w:r>
    </w:p>
    <w:p w14:paraId="06473CE3" w14:textId="77777777" w:rsidR="00D16086" w:rsidRPr="00D16086" w:rsidRDefault="00D16086" w:rsidP="00662FB4">
      <w:pPr>
        <w:ind w:left="851" w:right="851"/>
        <w:jc w:val="both"/>
        <w:rPr>
          <w:rFonts w:ascii="Abadi" w:eastAsia="Calibri" w:hAnsi="Abadi"/>
          <w:i/>
          <w:iCs/>
          <w:sz w:val="21"/>
          <w:szCs w:val="21"/>
          <w:lang w:val="es-MX" w:eastAsia="en-US"/>
        </w:rPr>
      </w:pPr>
    </w:p>
    <w:p w14:paraId="75F779E6" w14:textId="77777777" w:rsidR="00D16086" w:rsidRPr="00D16086" w:rsidRDefault="00D16086" w:rsidP="00662FB4">
      <w:pPr>
        <w:ind w:left="851" w:right="851"/>
        <w:jc w:val="both"/>
        <w:rPr>
          <w:rFonts w:ascii="Abadi" w:eastAsia="Calibri" w:hAnsi="Abadi"/>
          <w:i/>
          <w:iCs/>
          <w:sz w:val="21"/>
          <w:szCs w:val="21"/>
          <w:lang w:val="es-MX" w:eastAsia="en-US"/>
        </w:rPr>
      </w:pPr>
      <w:r w:rsidRPr="00D16086">
        <w:rPr>
          <w:rFonts w:ascii="Abadi" w:eastAsia="Calibri" w:hAnsi="Abadi"/>
          <w:b/>
          <w:bCs/>
          <w:i/>
          <w:iCs/>
          <w:sz w:val="21"/>
          <w:szCs w:val="21"/>
          <w:lang w:val="es-MX" w:eastAsia="en-US"/>
        </w:rPr>
        <w:t>PRIMERA.</w:t>
      </w:r>
      <w:r w:rsidRPr="00D16086">
        <w:rPr>
          <w:rFonts w:ascii="Abadi" w:eastAsia="Calibri" w:hAnsi="Abadi"/>
          <w:i/>
          <w:iCs/>
          <w:sz w:val="21"/>
          <w:szCs w:val="21"/>
          <w:lang w:val="es-MX" w:eastAsia="en-US"/>
        </w:rPr>
        <w:t xml:space="preserve"> La iniciativa pretende garantizar que los municipios de Guanajuato cuenten con la infraestructura e instalaciones adecuadas para las personas que viven con algún tipo de discapacidad puedan realizar trámites o cualquier otra actividad de una manera digna, rápida y segura. También buscan que se implemente, en los lugares que ya ofrecen instalaciones adecuadas, el </w:t>
      </w:r>
      <w:r w:rsidRPr="00D16086">
        <w:rPr>
          <w:rFonts w:ascii="Abadi" w:eastAsia="Calibri" w:hAnsi="Abadi"/>
          <w:b/>
          <w:bCs/>
          <w:i/>
          <w:iCs/>
          <w:sz w:val="21"/>
          <w:szCs w:val="21"/>
          <w:lang w:val="es-MX" w:eastAsia="en-US"/>
        </w:rPr>
        <w:t>símbolo de accesibilidad universal</w:t>
      </w:r>
      <w:r w:rsidRPr="00D16086">
        <w:rPr>
          <w:rFonts w:ascii="Abadi" w:eastAsia="Calibri" w:hAnsi="Abadi"/>
          <w:i/>
          <w:iCs/>
          <w:sz w:val="21"/>
          <w:szCs w:val="21"/>
          <w:lang w:val="es-MX" w:eastAsia="en-US"/>
        </w:rPr>
        <w:t xml:space="preserve"> diseñado por personal de la Organización de las Naciones Unidas, con el que se quiere concientizar a la población en general para que se ponga en el lugar de esas personas que sienten que no son tomadas en cuenta las dificultades que tienen que pasar para realizar cualquier tarea del día a día que para los demás es algo que se hace hasta mecánicamente por lo sencillas que resultan.</w:t>
      </w:r>
    </w:p>
    <w:p w14:paraId="320C578E" w14:textId="77777777" w:rsidR="00D16086" w:rsidRPr="00D16086" w:rsidRDefault="00D16086" w:rsidP="00D16086">
      <w:pPr>
        <w:ind w:left="851" w:right="851"/>
        <w:jc w:val="both"/>
        <w:rPr>
          <w:rFonts w:ascii="Abadi" w:eastAsia="Calibri" w:hAnsi="Abadi"/>
          <w:i/>
          <w:iCs/>
          <w:sz w:val="21"/>
          <w:szCs w:val="21"/>
          <w:lang w:val="es-MX" w:eastAsia="en-US"/>
        </w:rPr>
      </w:pPr>
    </w:p>
    <w:p w14:paraId="1E87A4C0" w14:textId="77777777" w:rsidR="00D16086" w:rsidRPr="00D16086" w:rsidRDefault="00D16086" w:rsidP="00D16086">
      <w:pPr>
        <w:ind w:left="851" w:right="851"/>
        <w:jc w:val="center"/>
        <w:rPr>
          <w:rFonts w:ascii="Abadi" w:eastAsia="Calibri" w:hAnsi="Abadi"/>
          <w:i/>
          <w:iCs/>
          <w:sz w:val="21"/>
          <w:szCs w:val="21"/>
          <w:lang w:val="es-MX" w:eastAsia="en-US"/>
        </w:rPr>
      </w:pPr>
      <w:r w:rsidRPr="00D16086">
        <w:rPr>
          <w:rFonts w:ascii="Abadi" w:hAnsi="Abadi"/>
          <w:i/>
          <w:iCs/>
          <w:noProof/>
          <w:sz w:val="21"/>
          <w:szCs w:val="21"/>
          <w:lang w:val="es-MX" w:eastAsia="en-US"/>
        </w:rPr>
        <w:drawing>
          <wp:inline distT="0" distB="0" distL="0" distR="0" wp14:anchorId="553EEC70" wp14:editId="6A0163B2">
            <wp:extent cx="833322" cy="665480"/>
            <wp:effectExtent l="0" t="0" r="5080" b="127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839652" cy="670535"/>
                    </a:xfrm>
                    <a:prstGeom prst="rect">
                      <a:avLst/>
                    </a:prstGeom>
                    <a:noFill/>
                    <a:ln>
                      <a:noFill/>
                    </a:ln>
                  </pic:spPr>
                </pic:pic>
              </a:graphicData>
            </a:graphic>
          </wp:inline>
        </w:drawing>
      </w:r>
    </w:p>
    <w:p w14:paraId="54C81C23" w14:textId="77777777" w:rsidR="00D16086" w:rsidRPr="00D16086" w:rsidRDefault="00D16086" w:rsidP="00D16086">
      <w:pPr>
        <w:ind w:left="851" w:right="851"/>
        <w:jc w:val="center"/>
        <w:rPr>
          <w:rFonts w:ascii="Abadi" w:eastAsia="Calibri" w:hAnsi="Abadi"/>
          <w:b/>
          <w:bCs/>
          <w:i/>
          <w:iCs/>
          <w:sz w:val="21"/>
          <w:szCs w:val="21"/>
          <w:lang w:val="es-MX" w:eastAsia="en-US"/>
        </w:rPr>
      </w:pPr>
      <w:r w:rsidRPr="00D16086">
        <w:rPr>
          <w:rFonts w:ascii="Abadi" w:eastAsia="Calibri" w:hAnsi="Abadi"/>
          <w:b/>
          <w:bCs/>
          <w:i/>
          <w:iCs/>
          <w:sz w:val="21"/>
          <w:szCs w:val="21"/>
          <w:lang w:val="es-MX" w:eastAsia="en-US"/>
        </w:rPr>
        <w:t>Símbolo de Accesibilidad Universal</w:t>
      </w:r>
    </w:p>
    <w:p w14:paraId="1BEC4202" w14:textId="77777777" w:rsidR="00D16086" w:rsidRPr="00D16086" w:rsidRDefault="00D16086" w:rsidP="00D16086">
      <w:pPr>
        <w:ind w:left="851" w:right="851"/>
        <w:jc w:val="both"/>
        <w:rPr>
          <w:rFonts w:ascii="Abadi" w:eastAsia="Calibri" w:hAnsi="Abadi"/>
          <w:i/>
          <w:iCs/>
          <w:sz w:val="21"/>
          <w:szCs w:val="21"/>
          <w:lang w:val="es-MX" w:eastAsia="en-US"/>
        </w:rPr>
      </w:pPr>
    </w:p>
    <w:p w14:paraId="51AD11A7" w14:textId="77777777" w:rsidR="00D16086" w:rsidRPr="00D16086" w:rsidRDefault="00D16086" w:rsidP="00D16086">
      <w:pPr>
        <w:ind w:left="851" w:right="851"/>
        <w:jc w:val="both"/>
        <w:rPr>
          <w:rFonts w:ascii="Abadi" w:eastAsia="Calibri" w:hAnsi="Abadi"/>
          <w:i/>
          <w:iCs/>
          <w:sz w:val="21"/>
          <w:szCs w:val="21"/>
          <w:lang w:val="es-MX" w:eastAsia="en-US"/>
        </w:rPr>
      </w:pPr>
      <w:r w:rsidRPr="00D16086">
        <w:rPr>
          <w:rFonts w:ascii="Abadi" w:eastAsia="Calibri" w:hAnsi="Abadi"/>
          <w:b/>
          <w:i/>
          <w:iCs/>
          <w:sz w:val="21"/>
          <w:szCs w:val="21"/>
          <w:lang w:val="es-MX" w:eastAsia="en-US"/>
        </w:rPr>
        <w:t>SEGUNDA.</w:t>
      </w:r>
      <w:r w:rsidRPr="00D16086">
        <w:rPr>
          <w:rFonts w:ascii="Abadi" w:eastAsia="Calibri" w:hAnsi="Abadi"/>
          <w:i/>
          <w:iCs/>
          <w:sz w:val="21"/>
          <w:szCs w:val="21"/>
          <w:lang w:val="es-MX" w:eastAsia="en-US"/>
        </w:rPr>
        <w:t xml:space="preserve"> Los iniciantes quieren establecer de manera específica que existe el supuesto de discriminación al limitar o impedir el acceso a instalaciones públicas o privadas a las personas con discapacidad para realizar cualquier actividad que necesiten. Consideramos que nuestra legislación ha ido avanzando en el aspecto de la accesibilidad para las personas que tienen problemas motrices y se han colocado rampas en muchas oficinas de gobierno para quienes se desplazan en silla de ruedas.</w:t>
      </w:r>
    </w:p>
    <w:p w14:paraId="778B2615" w14:textId="77777777" w:rsidR="00D16086" w:rsidRPr="00D16086" w:rsidRDefault="00D16086" w:rsidP="00D16086">
      <w:pPr>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Sabemos que falta mucho por hacer, pero también debemos mencionar que la falta de estas adecuaciones no necesariamente es una cuestión discriminatoria, sino que puede deberse a que los recursos presupuestales no son suficientes para adaptar instalaciones que se construyeron cuando no había esta conciencia incluyente. En donde existe una notoria omisión, que sí pudiera llamarse discriminación, es con aquellas personas con alguna discapacidad auditiva, visual o de lenguaje. Para ellas es necesario contar con personal que maneje el lenguaje de señas, tener papelería y señalización en sistema Braille o guías capacitados para auxiliarlos debidamente. Esto implica gastos que no todos los municipios pueden hacer, lo que llevaría a abrir más la brecha operacional que hay entre los municipios con mayor presupuesto y los que apenas pueden cumplir con lo básico.</w:t>
      </w:r>
    </w:p>
    <w:p w14:paraId="3040DB7B" w14:textId="77777777" w:rsidR="00D16086" w:rsidRPr="00D16086" w:rsidRDefault="00D16086" w:rsidP="00D16086">
      <w:pPr>
        <w:ind w:left="851" w:right="851"/>
        <w:jc w:val="both"/>
        <w:rPr>
          <w:rFonts w:ascii="Abadi" w:eastAsia="Calibri" w:hAnsi="Abadi"/>
          <w:i/>
          <w:iCs/>
          <w:sz w:val="21"/>
          <w:szCs w:val="21"/>
          <w:lang w:val="es-MX" w:eastAsia="en-US"/>
        </w:rPr>
      </w:pPr>
    </w:p>
    <w:p w14:paraId="4330CE3B" w14:textId="77777777" w:rsidR="00D16086" w:rsidRPr="00D16086" w:rsidRDefault="00D16086" w:rsidP="00D16086">
      <w:pPr>
        <w:ind w:left="851" w:right="851"/>
        <w:jc w:val="both"/>
        <w:rPr>
          <w:rFonts w:ascii="Abadi" w:eastAsia="Calibri" w:hAnsi="Abadi"/>
          <w:i/>
          <w:iCs/>
          <w:sz w:val="21"/>
          <w:szCs w:val="21"/>
          <w:lang w:val="es-MX" w:eastAsia="en-US"/>
        </w:rPr>
      </w:pPr>
      <w:r w:rsidRPr="00D16086">
        <w:rPr>
          <w:rFonts w:ascii="Abadi" w:eastAsia="Calibri" w:hAnsi="Abadi"/>
          <w:b/>
          <w:bCs/>
          <w:i/>
          <w:iCs/>
          <w:sz w:val="21"/>
          <w:szCs w:val="21"/>
          <w:lang w:val="es-MX" w:eastAsia="en-US"/>
        </w:rPr>
        <w:t>TERCERA.</w:t>
      </w:r>
      <w:r w:rsidRPr="00D16086">
        <w:rPr>
          <w:rFonts w:ascii="Abadi" w:eastAsia="Calibri" w:hAnsi="Abadi"/>
          <w:i/>
          <w:iCs/>
          <w:sz w:val="21"/>
          <w:szCs w:val="21"/>
          <w:lang w:val="es-MX" w:eastAsia="en-US"/>
        </w:rPr>
        <w:t xml:space="preserve"> Haciendo la revisión del texto del Decreto, observamos que hay un error de redacción que se repite en varios artículos. Este se encuentra en la frase:</w:t>
      </w:r>
    </w:p>
    <w:p w14:paraId="42649163" w14:textId="77777777" w:rsidR="00D16086" w:rsidRPr="00D16086" w:rsidRDefault="00D16086" w:rsidP="00D16086">
      <w:pPr>
        <w:ind w:left="851" w:right="851"/>
        <w:jc w:val="both"/>
        <w:rPr>
          <w:rFonts w:ascii="Abadi" w:eastAsia="Calibri" w:hAnsi="Abadi"/>
          <w:i/>
          <w:iCs/>
          <w:sz w:val="21"/>
          <w:szCs w:val="21"/>
          <w:lang w:val="es-MX" w:eastAsia="en-US"/>
        </w:rPr>
      </w:pPr>
    </w:p>
    <w:p w14:paraId="272A68A5" w14:textId="77777777" w:rsidR="00D16086" w:rsidRPr="00D16086" w:rsidRDefault="00D16086" w:rsidP="00D16086">
      <w:pPr>
        <w:ind w:left="851" w:right="851"/>
        <w:jc w:val="center"/>
        <w:rPr>
          <w:rFonts w:ascii="Abadi" w:eastAsia="Calibri" w:hAnsi="Abadi"/>
          <w:i/>
          <w:iCs/>
          <w:sz w:val="21"/>
          <w:szCs w:val="21"/>
          <w:lang w:val="es-MX" w:eastAsia="en-US"/>
        </w:rPr>
      </w:pPr>
      <w:r w:rsidRPr="00D16086">
        <w:rPr>
          <w:rFonts w:ascii="Abadi" w:eastAsia="Calibri" w:hAnsi="Abadi"/>
          <w:i/>
          <w:iCs/>
          <w:sz w:val="21"/>
          <w:szCs w:val="21"/>
          <w:lang w:val="es-MX" w:eastAsia="en-US"/>
        </w:rPr>
        <w:t xml:space="preserve">“y todas las demás que se desprendan de </w:t>
      </w:r>
      <w:r w:rsidRPr="00D16086">
        <w:rPr>
          <w:rFonts w:ascii="Abadi" w:eastAsia="Calibri" w:hAnsi="Abadi"/>
          <w:b/>
          <w:bCs/>
          <w:i/>
          <w:iCs/>
          <w:sz w:val="21"/>
          <w:szCs w:val="21"/>
          <w:lang w:val="es-MX" w:eastAsia="en-US"/>
        </w:rPr>
        <w:t>estás</w:t>
      </w:r>
      <w:r w:rsidRPr="00D16086">
        <w:rPr>
          <w:rFonts w:ascii="Abadi" w:eastAsia="Calibri" w:hAnsi="Abadi"/>
          <w:i/>
          <w:iCs/>
          <w:sz w:val="21"/>
          <w:szCs w:val="21"/>
          <w:lang w:val="es-MX" w:eastAsia="en-US"/>
        </w:rPr>
        <w:t>,”</w:t>
      </w:r>
    </w:p>
    <w:p w14:paraId="20FD4814" w14:textId="77777777" w:rsidR="00D16086" w:rsidRPr="00D16086" w:rsidRDefault="00D16086" w:rsidP="00D16086">
      <w:pPr>
        <w:ind w:left="851" w:right="851"/>
        <w:jc w:val="both"/>
        <w:rPr>
          <w:rFonts w:ascii="Abadi" w:eastAsia="Calibri" w:hAnsi="Abadi"/>
          <w:i/>
          <w:iCs/>
          <w:sz w:val="21"/>
          <w:szCs w:val="21"/>
          <w:lang w:val="es-MX" w:eastAsia="en-US"/>
        </w:rPr>
      </w:pPr>
    </w:p>
    <w:p w14:paraId="2FC2DB58" w14:textId="77777777" w:rsidR="00D16086" w:rsidRPr="00D16086" w:rsidRDefault="00D16086" w:rsidP="00D16086">
      <w:pPr>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 xml:space="preserve">donde la palabra </w:t>
      </w:r>
      <w:r w:rsidRPr="00D16086">
        <w:rPr>
          <w:rFonts w:ascii="Abadi" w:eastAsia="Calibri" w:hAnsi="Abadi"/>
          <w:b/>
          <w:bCs/>
          <w:i/>
          <w:iCs/>
          <w:sz w:val="21"/>
          <w:szCs w:val="21"/>
          <w:lang w:val="es-MX" w:eastAsia="en-US"/>
        </w:rPr>
        <w:t>estás</w:t>
      </w:r>
      <w:r w:rsidRPr="00D16086">
        <w:rPr>
          <w:rFonts w:ascii="Abadi" w:eastAsia="Calibri" w:hAnsi="Abadi"/>
          <w:i/>
          <w:iCs/>
          <w:sz w:val="21"/>
          <w:szCs w:val="21"/>
          <w:lang w:val="es-MX" w:eastAsia="en-US"/>
        </w:rPr>
        <w:t xml:space="preserve"> no debe llevar tilde, ya que es un pronombre demostrativo femenino que no debe llevar ese signo ortográfico. En el decreto aparece escrito como si se estuviera utilizando una forma conjugada del verbo estar.</w:t>
      </w:r>
    </w:p>
    <w:p w14:paraId="61657BA9" w14:textId="77777777" w:rsidR="00D16086" w:rsidRPr="00D16086" w:rsidRDefault="00D16086" w:rsidP="00D16086">
      <w:pPr>
        <w:ind w:left="851" w:right="851"/>
        <w:jc w:val="both"/>
        <w:rPr>
          <w:rFonts w:ascii="Abadi" w:eastAsia="Calibri" w:hAnsi="Abadi"/>
          <w:i/>
          <w:iCs/>
          <w:sz w:val="21"/>
          <w:szCs w:val="21"/>
          <w:lang w:val="es-MX" w:eastAsia="en-US"/>
        </w:rPr>
      </w:pPr>
    </w:p>
    <w:p w14:paraId="0D45E12F" w14:textId="77777777" w:rsidR="00D16086" w:rsidRPr="00D16086" w:rsidRDefault="00D16086" w:rsidP="00D16086">
      <w:pPr>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Este error se repite en los siguientes artículos:</w:t>
      </w:r>
    </w:p>
    <w:p w14:paraId="4CDC72EF" w14:textId="77777777" w:rsidR="00D16086" w:rsidRPr="00D16086" w:rsidRDefault="00D16086" w:rsidP="00D16086">
      <w:pPr>
        <w:ind w:left="851" w:right="851"/>
        <w:jc w:val="both"/>
        <w:rPr>
          <w:rFonts w:ascii="Abadi" w:eastAsia="Calibri" w:hAnsi="Abadi"/>
          <w:i/>
          <w:iCs/>
          <w:sz w:val="21"/>
          <w:szCs w:val="21"/>
          <w:lang w:val="es-MX" w:eastAsia="en-US"/>
        </w:rPr>
      </w:pPr>
    </w:p>
    <w:p w14:paraId="403210C4" w14:textId="77777777" w:rsidR="00D16086" w:rsidRPr="00D16086" w:rsidRDefault="00D16086" w:rsidP="00D16086">
      <w:pPr>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En el ARTÍCULO PRIMERO:</w:t>
      </w:r>
    </w:p>
    <w:p w14:paraId="5BBA1627" w14:textId="77777777" w:rsidR="00D16086" w:rsidRPr="00D16086" w:rsidRDefault="00D16086" w:rsidP="00D16086">
      <w:pPr>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 Fracción XXXIII del artículo 8.</w:t>
      </w:r>
    </w:p>
    <w:p w14:paraId="0CF0C60A" w14:textId="77777777" w:rsidR="00D16086" w:rsidRPr="00D16086" w:rsidRDefault="00D16086" w:rsidP="00D16086">
      <w:pPr>
        <w:ind w:left="851" w:right="851"/>
        <w:jc w:val="both"/>
        <w:rPr>
          <w:rFonts w:ascii="Abadi" w:eastAsia="Calibri" w:hAnsi="Abadi"/>
          <w:i/>
          <w:iCs/>
          <w:sz w:val="21"/>
          <w:szCs w:val="21"/>
          <w:lang w:val="es-MX" w:eastAsia="en-US"/>
        </w:rPr>
      </w:pPr>
    </w:p>
    <w:p w14:paraId="0BEA2861" w14:textId="77777777" w:rsidR="00D16086" w:rsidRPr="00D16086" w:rsidRDefault="00D16086" w:rsidP="00D16086">
      <w:pPr>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En el ARTÍCULO SEGUNDO:</w:t>
      </w:r>
    </w:p>
    <w:p w14:paraId="311BD44D" w14:textId="77777777" w:rsidR="00D16086" w:rsidRPr="00D16086" w:rsidRDefault="00D16086" w:rsidP="00D16086">
      <w:pPr>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 Fracción XVI del artículo 4;</w:t>
      </w:r>
    </w:p>
    <w:p w14:paraId="13AC5741" w14:textId="77777777" w:rsidR="00D16086" w:rsidRPr="00D16086" w:rsidRDefault="00D16086" w:rsidP="00D16086">
      <w:pPr>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 Párrafo adicionado al artículo 7;</w:t>
      </w:r>
    </w:p>
    <w:p w14:paraId="559C24D0" w14:textId="77777777" w:rsidR="00D16086" w:rsidRPr="00D16086" w:rsidRDefault="00D16086" w:rsidP="00D16086">
      <w:pPr>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 Fracción II bis del artículo 27;</w:t>
      </w:r>
    </w:p>
    <w:p w14:paraId="623D3559" w14:textId="77777777" w:rsidR="00D16086" w:rsidRPr="00D16086" w:rsidRDefault="00D16086" w:rsidP="00D16086">
      <w:pPr>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 Fracción II bis del artículo 28;</w:t>
      </w:r>
    </w:p>
    <w:p w14:paraId="613485D9" w14:textId="77777777" w:rsidR="00D16086" w:rsidRPr="00D16086" w:rsidRDefault="00D16086" w:rsidP="00D16086">
      <w:pPr>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 Fracción II bis del artículo 30;</w:t>
      </w:r>
    </w:p>
    <w:p w14:paraId="36FFD2F7" w14:textId="77777777" w:rsidR="00D16086" w:rsidRPr="00D16086" w:rsidRDefault="00D16086" w:rsidP="00D16086">
      <w:pPr>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 Fracción II bis del artículo 32, y</w:t>
      </w:r>
    </w:p>
    <w:p w14:paraId="0F4D0E3F" w14:textId="77777777" w:rsidR="00D16086" w:rsidRPr="00D16086" w:rsidRDefault="00D16086" w:rsidP="00D16086">
      <w:pPr>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 Fracción I bis del artículo 33.</w:t>
      </w:r>
    </w:p>
    <w:p w14:paraId="1A28496D" w14:textId="77777777" w:rsidR="00D16086" w:rsidRPr="00D16086" w:rsidRDefault="00D16086" w:rsidP="00D16086">
      <w:pPr>
        <w:ind w:left="851" w:right="851"/>
        <w:jc w:val="both"/>
        <w:rPr>
          <w:rFonts w:ascii="Abadi" w:eastAsia="Calibri" w:hAnsi="Abadi"/>
          <w:i/>
          <w:iCs/>
          <w:sz w:val="21"/>
          <w:szCs w:val="21"/>
          <w:lang w:val="es-MX" w:eastAsia="en-US"/>
        </w:rPr>
      </w:pPr>
    </w:p>
    <w:p w14:paraId="16959977" w14:textId="77777777" w:rsidR="00D16086" w:rsidRPr="00D16086" w:rsidRDefault="00D16086" w:rsidP="00D16086">
      <w:pPr>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En el ARTÍCULO TERCERO:</w:t>
      </w:r>
    </w:p>
    <w:p w14:paraId="042D2CEC" w14:textId="77777777" w:rsidR="00D16086" w:rsidRPr="00D16086" w:rsidRDefault="00D16086" w:rsidP="00D16086">
      <w:pPr>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 Fracción XX bis del artículo 24;</w:t>
      </w:r>
    </w:p>
    <w:p w14:paraId="5421002C" w14:textId="77777777" w:rsidR="00D16086" w:rsidRPr="00D16086" w:rsidRDefault="00D16086" w:rsidP="00D16086">
      <w:pPr>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 Párrafo adicionado del artículo 45, y</w:t>
      </w:r>
    </w:p>
    <w:p w14:paraId="111078CB" w14:textId="77777777" w:rsidR="00D16086" w:rsidRPr="00D16086" w:rsidRDefault="00D16086" w:rsidP="00D16086">
      <w:pPr>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 Párrafo adicionado del artículo 46.</w:t>
      </w:r>
    </w:p>
    <w:p w14:paraId="3FF6D14C" w14:textId="77777777" w:rsidR="00D16086" w:rsidRPr="00D16086" w:rsidRDefault="00D16086" w:rsidP="00D16086">
      <w:pPr>
        <w:ind w:left="851" w:right="851"/>
        <w:jc w:val="both"/>
        <w:rPr>
          <w:rFonts w:ascii="Abadi" w:eastAsia="Calibri" w:hAnsi="Abadi"/>
          <w:i/>
          <w:iCs/>
          <w:sz w:val="21"/>
          <w:szCs w:val="21"/>
          <w:lang w:val="es-MX" w:eastAsia="en-US"/>
        </w:rPr>
      </w:pPr>
    </w:p>
    <w:p w14:paraId="7AC82A5F" w14:textId="77777777" w:rsidR="00D16086" w:rsidRPr="00D16086" w:rsidRDefault="00D16086" w:rsidP="00D16086">
      <w:pPr>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Terminada la revisión del documento, se llegaron a las siguientes:</w:t>
      </w:r>
    </w:p>
    <w:p w14:paraId="6C0E6F93" w14:textId="77777777" w:rsidR="00D16086" w:rsidRPr="00D16086" w:rsidRDefault="00D16086" w:rsidP="00D16086">
      <w:pPr>
        <w:ind w:left="851" w:right="851"/>
        <w:jc w:val="both"/>
        <w:rPr>
          <w:rFonts w:ascii="Abadi" w:eastAsia="Calibri" w:hAnsi="Abadi"/>
          <w:i/>
          <w:iCs/>
          <w:sz w:val="21"/>
          <w:szCs w:val="21"/>
          <w:lang w:val="es-MX" w:eastAsia="en-US"/>
        </w:rPr>
      </w:pPr>
    </w:p>
    <w:p w14:paraId="00DB5E5B" w14:textId="77777777" w:rsidR="00D16086" w:rsidRPr="00D16086" w:rsidRDefault="00D16086" w:rsidP="00D16086">
      <w:pPr>
        <w:ind w:left="851" w:right="851"/>
        <w:jc w:val="center"/>
        <w:rPr>
          <w:rFonts w:ascii="Abadi" w:eastAsia="Calibri" w:hAnsi="Abadi"/>
          <w:b/>
          <w:bCs/>
          <w:i/>
          <w:iCs/>
          <w:sz w:val="21"/>
          <w:szCs w:val="21"/>
          <w:lang w:val="es-MX" w:eastAsia="en-US"/>
        </w:rPr>
      </w:pPr>
      <w:r w:rsidRPr="00D16086">
        <w:rPr>
          <w:rFonts w:ascii="Abadi" w:eastAsia="Calibri" w:hAnsi="Abadi"/>
          <w:b/>
          <w:bCs/>
          <w:i/>
          <w:iCs/>
          <w:sz w:val="21"/>
          <w:szCs w:val="21"/>
          <w:lang w:val="es-MX" w:eastAsia="en-US"/>
        </w:rPr>
        <w:t>CONCLUSIONES</w:t>
      </w:r>
    </w:p>
    <w:p w14:paraId="7ABF7796" w14:textId="77777777" w:rsidR="00D16086" w:rsidRPr="00D16086" w:rsidRDefault="00D16086" w:rsidP="00D16086">
      <w:pPr>
        <w:ind w:left="851" w:right="851"/>
        <w:jc w:val="both"/>
        <w:rPr>
          <w:rFonts w:ascii="Abadi" w:eastAsia="Calibri" w:hAnsi="Abadi"/>
          <w:i/>
          <w:iCs/>
          <w:sz w:val="21"/>
          <w:szCs w:val="21"/>
          <w:lang w:val="es-MX" w:eastAsia="en-US"/>
        </w:rPr>
      </w:pPr>
    </w:p>
    <w:p w14:paraId="1E5BADFB" w14:textId="77777777" w:rsidR="00D16086" w:rsidRPr="00D16086" w:rsidRDefault="00D16086" w:rsidP="00D16086">
      <w:pPr>
        <w:ind w:left="851" w:right="851"/>
        <w:jc w:val="both"/>
        <w:rPr>
          <w:rFonts w:ascii="Abadi" w:eastAsia="Calibri" w:hAnsi="Abadi"/>
          <w:i/>
          <w:iCs/>
          <w:sz w:val="21"/>
          <w:szCs w:val="21"/>
          <w:lang w:val="es-MX" w:eastAsia="en-US"/>
        </w:rPr>
      </w:pPr>
      <w:r w:rsidRPr="00D16086">
        <w:rPr>
          <w:rFonts w:ascii="Abadi" w:eastAsia="Calibri" w:hAnsi="Abadi"/>
          <w:b/>
          <w:bCs/>
          <w:i/>
          <w:iCs/>
          <w:sz w:val="21"/>
          <w:szCs w:val="21"/>
          <w:lang w:val="es-MX" w:eastAsia="en-US"/>
        </w:rPr>
        <w:t>ÚNICA.</w:t>
      </w:r>
      <w:r w:rsidRPr="00D16086">
        <w:rPr>
          <w:rFonts w:ascii="Abadi" w:eastAsia="Calibri" w:hAnsi="Abadi"/>
          <w:i/>
          <w:iCs/>
          <w:sz w:val="21"/>
          <w:szCs w:val="21"/>
          <w:lang w:val="es-MX" w:eastAsia="en-US"/>
        </w:rPr>
        <w:t xml:space="preserve"> Dar accesibilidad y facilidades especiales a las personas con alguna de las diferentes discapacidades físicas y mentales debe ser una política pública que no puede estar en discusión. Las personas con esa condición deben poder desenvolverse socialmente en un ambiente igualitario que no los estigmatice, menoscabe su dignidad y mucho menos sus derechos.</w:t>
      </w:r>
    </w:p>
    <w:p w14:paraId="3E2E3832" w14:textId="77777777" w:rsidR="00D16086" w:rsidRPr="00D16086" w:rsidRDefault="00D16086" w:rsidP="00D16086">
      <w:pPr>
        <w:ind w:left="851" w:right="851"/>
        <w:jc w:val="both"/>
        <w:rPr>
          <w:rFonts w:ascii="Abadi" w:eastAsia="Calibri" w:hAnsi="Abadi"/>
          <w:i/>
          <w:iCs/>
          <w:sz w:val="21"/>
          <w:szCs w:val="21"/>
          <w:lang w:val="es-MX" w:eastAsia="en-US"/>
        </w:rPr>
      </w:pPr>
    </w:p>
    <w:p w14:paraId="0E2EB0FB" w14:textId="77777777" w:rsidR="00D16086" w:rsidRPr="00D16086" w:rsidRDefault="00D16086" w:rsidP="00D16086">
      <w:pPr>
        <w:widowControl w:val="0"/>
        <w:ind w:left="851" w:right="851"/>
        <w:jc w:val="both"/>
        <w:rPr>
          <w:rFonts w:ascii="Abadi" w:hAnsi="Abadi"/>
          <w:i/>
          <w:iCs/>
          <w:sz w:val="21"/>
          <w:szCs w:val="21"/>
          <w:lang w:val="es-MX" w:eastAsia="en-US"/>
        </w:rPr>
      </w:pPr>
      <w:r w:rsidRPr="00D16086">
        <w:rPr>
          <w:rFonts w:ascii="Abadi" w:eastAsia="Calibri" w:hAnsi="Abadi"/>
          <w:i/>
          <w:iCs/>
          <w:sz w:val="21"/>
          <w:szCs w:val="21"/>
          <w:lang w:val="es-MX" w:eastAsia="en-US"/>
        </w:rPr>
        <w:t>Sin embargo, resulta necesario enfatizar el tema que ya hemos mencionado en otros dictámenes acerca de la falta de presupuesto que presentan la mayoría de las administraciones municipales en nuestro estado para poder implementar estas medidas y mejorar su infraestructura para dar un servicio adecuado y homologado en todas sus instalaciones; poniendo un ejemplo muy claro, es difícil que en las instalaciones ya existentes se realicen remodelaciones para construir al menos un sanitario especial para personas en silla de ruedas. Es por esto que estimamos conveniente que sea una tarea que se coordine y garantice presupuestalmente a nivel estatal, ya que solo así no quedaría solamente en buenas intenciones legislativas.</w:t>
      </w:r>
    </w:p>
    <w:p w14:paraId="3048465B" w14:textId="77777777" w:rsidR="00D16086" w:rsidRPr="00D16086" w:rsidRDefault="00D16086" w:rsidP="00D16086">
      <w:pPr>
        <w:widowControl w:val="0"/>
        <w:spacing w:line="360" w:lineRule="auto"/>
        <w:jc w:val="both"/>
        <w:rPr>
          <w:rFonts w:ascii="Abadi" w:hAnsi="Abadi"/>
          <w:sz w:val="21"/>
          <w:szCs w:val="21"/>
          <w:lang w:val="es-MX" w:eastAsia="en-US"/>
        </w:rPr>
      </w:pPr>
    </w:p>
    <w:p w14:paraId="5FBFDB3C" w14:textId="77777777" w:rsidR="00D16086" w:rsidRPr="00D16086" w:rsidRDefault="00D16086" w:rsidP="00D16086">
      <w:pPr>
        <w:widowControl w:val="0"/>
        <w:spacing w:line="360" w:lineRule="auto"/>
        <w:ind w:firstLine="851"/>
        <w:jc w:val="both"/>
        <w:rPr>
          <w:rFonts w:ascii="Abadi" w:eastAsia="Calibri" w:hAnsi="Abadi"/>
          <w:sz w:val="21"/>
          <w:szCs w:val="21"/>
          <w:lang w:val="es-MX" w:eastAsia="en-US"/>
        </w:rPr>
      </w:pPr>
      <w:bookmarkStart w:id="14" w:name="_Hlk76123881"/>
      <w:bookmarkStart w:id="15" w:name="_Hlk76031356"/>
      <w:r w:rsidRPr="00D16086">
        <w:rPr>
          <w:rFonts w:ascii="Abadi" w:eastAsia="Calibri" w:hAnsi="Abadi"/>
          <w:sz w:val="21"/>
          <w:szCs w:val="21"/>
          <w:lang w:val="es-MX" w:eastAsia="en-US"/>
        </w:rPr>
        <w:t>El Ayuntamiento de León envió los siguientes comentarios:</w:t>
      </w:r>
    </w:p>
    <w:p w14:paraId="5E4A8641" w14:textId="77777777" w:rsidR="00D16086" w:rsidRPr="00D16086" w:rsidRDefault="00D16086" w:rsidP="00D16086">
      <w:pPr>
        <w:widowControl w:val="0"/>
        <w:spacing w:line="360" w:lineRule="auto"/>
        <w:ind w:firstLine="851"/>
        <w:jc w:val="both"/>
        <w:rPr>
          <w:rFonts w:ascii="Abadi" w:eastAsia="Calibri" w:hAnsi="Abadi"/>
          <w:sz w:val="21"/>
          <w:szCs w:val="21"/>
          <w:lang w:val="es-MX" w:eastAsia="en-US"/>
        </w:rPr>
      </w:pPr>
    </w:p>
    <w:bookmarkEnd w:id="14"/>
    <w:p w14:paraId="6C0D564F"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 xml:space="preserve">Este Ayuntamiento identifica a las personas con cualquier tipo de discapacidad como un grupo históricamente vulnerado, por lo que se procura brindar una especial atención en la prevención y erradicación de todas las formas de discriminación, a través del </w:t>
      </w:r>
      <w:bookmarkEnd w:id="15"/>
      <w:r w:rsidRPr="00D16086">
        <w:rPr>
          <w:rFonts w:ascii="Abadi" w:eastAsia="Calibri" w:hAnsi="Abadi"/>
          <w:i/>
          <w:iCs/>
          <w:sz w:val="21"/>
          <w:szCs w:val="21"/>
          <w:lang w:val="es-MX" w:eastAsia="en-US"/>
        </w:rPr>
        <w:t>establecimiento de políticas públicas y programas que tengan el objetivo de reconocer, respetar, promover y garantizar el goce y ejercicio de sus derechos humanos en los términos del artículo 1º de la Constitución Política de los Estados Unidos Mexicanos.</w:t>
      </w:r>
    </w:p>
    <w:p w14:paraId="56B507B7"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79F5CA6C"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Sin embargo, no se coincide con los términos de la iniciativa planteada en razón de las siguientes observaciones:</w:t>
      </w:r>
    </w:p>
    <w:p w14:paraId="6563945B"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383F6277"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b/>
          <w:bCs/>
          <w:i/>
          <w:iCs/>
          <w:sz w:val="21"/>
          <w:szCs w:val="21"/>
          <w:lang w:val="es-MX" w:eastAsia="en-US"/>
        </w:rPr>
        <w:t>Respecto del uso indiscriminado del Símbolo de Accesibilidad Universal:</w:t>
      </w:r>
      <w:r w:rsidRPr="00D16086">
        <w:rPr>
          <w:rFonts w:ascii="Abadi" w:eastAsia="Calibri" w:hAnsi="Abadi"/>
          <w:i/>
          <w:iCs/>
          <w:sz w:val="21"/>
          <w:szCs w:val="21"/>
          <w:lang w:val="es-MX" w:eastAsia="en-US"/>
        </w:rPr>
        <w:t xml:space="preserve"> Se considera innecesaria la propuesta para que la señalética de accesibilidad universal se implemente indiscriminadamente en las dependencias y entidades de la administración pública, aun cuando estos inmuebles no cumplan con los accesos o las facilidades apropiados para el libre desplazamiento de personas con discapacidad.</w:t>
      </w:r>
    </w:p>
    <w:p w14:paraId="72B14F49"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173B9E7B"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 xml:space="preserve">En consecuencia, este Ayuntamiento sugiere un replanteamiento de la iniciativa para que lejos de implementar una simbología, se propicie un enfoque inclusivo de </w:t>
      </w:r>
      <w:r w:rsidRPr="00D16086">
        <w:rPr>
          <w:rFonts w:ascii="Abadi" w:eastAsia="Calibri" w:hAnsi="Abadi"/>
          <w:b/>
          <w:bCs/>
          <w:i/>
          <w:iCs/>
          <w:sz w:val="21"/>
          <w:szCs w:val="21"/>
          <w:lang w:val="es-MX" w:eastAsia="en-US"/>
        </w:rPr>
        <w:t>diseño universal</w:t>
      </w:r>
      <w:r w:rsidRPr="00D16086">
        <w:rPr>
          <w:rFonts w:ascii="Abadi" w:eastAsia="Calibri" w:hAnsi="Abadi"/>
          <w:i/>
          <w:iCs/>
          <w:sz w:val="21"/>
          <w:szCs w:val="21"/>
          <w:lang w:val="es-MX" w:eastAsia="en-US"/>
        </w:rPr>
        <w:t xml:space="preserve"> con el objetivo de garantizar la accesibilidad y libre desplazamiento en instalaciones públicas o privadas mediante condiciones dignas, seguras y con el equipo necesario (instalaciones, productos, entornos, programas y servicios) para el libre desplazamiento de personas con algún tipo de discapacidad, tomando en consideración la disponibilidad de recursos humanos, financieros y de infraestructura de cada entidad o dependencia estatal y municipal.</w:t>
      </w:r>
    </w:p>
    <w:p w14:paraId="653B8B01"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385099A7"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 xml:space="preserve">La anterior propuesta tiene como fundamento lo establecido en la Ley General para Inclusión de las Personas con Discapacidad, donde se estatuyen los conceptos de adaptación, desplazamiento y </w:t>
      </w:r>
      <w:r w:rsidRPr="00D16086">
        <w:rPr>
          <w:rFonts w:ascii="Abadi" w:eastAsia="Calibri" w:hAnsi="Abadi"/>
          <w:b/>
          <w:bCs/>
          <w:i/>
          <w:iCs/>
          <w:sz w:val="21"/>
          <w:szCs w:val="21"/>
          <w:lang w:val="es-MX" w:eastAsia="en-US"/>
        </w:rPr>
        <w:t>accesibilidad universal</w:t>
      </w:r>
      <w:r w:rsidRPr="00D16086">
        <w:rPr>
          <w:rFonts w:ascii="Abadi" w:eastAsia="Calibri" w:hAnsi="Abadi"/>
          <w:i/>
          <w:iCs/>
          <w:sz w:val="21"/>
          <w:szCs w:val="21"/>
          <w:lang w:val="es-MX" w:eastAsia="en-US"/>
        </w:rPr>
        <w:t>, mismos supuestos que ya son contemplados en la Ley Estatal dentro del glosario, los principios rectores, los derechos de personas con discapacidad, así como las atribuciones del Estado y los Municipios.</w:t>
      </w:r>
    </w:p>
    <w:p w14:paraId="072371EA"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75D5D41A"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b/>
          <w:i/>
          <w:iCs/>
          <w:sz w:val="21"/>
          <w:szCs w:val="21"/>
          <w:lang w:val="es-MX" w:eastAsia="en-US"/>
        </w:rPr>
        <w:t>Sobre el lenguaje y terminología discriminatoria:</w:t>
      </w:r>
      <w:r w:rsidRPr="00D16086">
        <w:rPr>
          <w:rFonts w:ascii="Abadi" w:eastAsia="Calibri" w:hAnsi="Abadi"/>
          <w:i/>
          <w:iCs/>
          <w:sz w:val="21"/>
          <w:szCs w:val="21"/>
          <w:lang w:val="es-MX" w:eastAsia="en-US"/>
        </w:rPr>
        <w:t xml:space="preserve"> Se identifica que la terminología descrita por los iniciantes no es empática y refleja un uso de lenguaje inapropiado al citar en diversos artículos de la propuesta el concepto de "ser humano en el ámbito normal". Este Ayuntamiento considera necesario prescindir del término "normal" en cualquier instrumento, política o estrategia de carácter público, además de sugerir a los iniciantes el replanteamiento de su iniciativa utilizando un lenguaje inclusivo y adecuado para personas con discapacidad, favoreciendo de esta forma la participación social y propiciando la eliminación de barreras de comunicación inadecuadas.</w:t>
      </w:r>
    </w:p>
    <w:p w14:paraId="2736EF32"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01830D7C"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b/>
          <w:bCs/>
          <w:i/>
          <w:iCs/>
          <w:sz w:val="21"/>
          <w:szCs w:val="21"/>
          <w:lang w:val="es-MX" w:eastAsia="en-US"/>
        </w:rPr>
        <w:t>Respecto de las acciones implementadas en el municipio de León:</w:t>
      </w:r>
      <w:r w:rsidRPr="00D16086">
        <w:rPr>
          <w:rFonts w:ascii="Abadi" w:eastAsia="Calibri" w:hAnsi="Abadi"/>
          <w:i/>
          <w:iCs/>
          <w:sz w:val="21"/>
          <w:szCs w:val="21"/>
          <w:lang w:val="es-MX" w:eastAsia="en-US"/>
        </w:rPr>
        <w:t xml:space="preserve"> Finalmente, cabe destacar que nuestra administración pública municipal cuenta con un Programa de Atención a Grupos Vulnerables contemplado en el Programa de Gobierno Municipal 2018 - 2021, mismo que apoya a las personas con cualquier tipo de discapacidad. Entre las acciones más notorias que contribuyen al ejercicio del derecho a la movilidad, se resalta la implementación de rampas, accesos y aditamentos sobre piso que sirven de guía para las personas con discapacidad visual, en el Sistema Integral de Transporte (SIT).</w:t>
      </w:r>
    </w:p>
    <w:p w14:paraId="1BA909FE"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3EF114BD"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Asimismo, las unidades troncales cuentan con una altura adecuada que permite acceder a las personas con limitaciones de desplazamiento, sin que implique un esfuerzo extraordinario para el abordaje. Aunado a lo anterior se cuenta con el transporte denominado Transporte Urbano Incluyente (TÜI) el cual presta el servicio en zonas estratégicas y se encuentra destinado a las personas que cuentan con alguna discapacidad motriz.</w:t>
      </w:r>
    </w:p>
    <w:p w14:paraId="41B5763B" w14:textId="77777777" w:rsidR="00D16086" w:rsidRPr="00D16086" w:rsidRDefault="00D16086" w:rsidP="00D16086">
      <w:pPr>
        <w:widowControl w:val="0"/>
        <w:spacing w:line="360" w:lineRule="auto"/>
        <w:jc w:val="both"/>
        <w:rPr>
          <w:rFonts w:ascii="Abadi" w:hAnsi="Abadi"/>
          <w:sz w:val="21"/>
          <w:szCs w:val="21"/>
          <w:lang w:val="es-MX" w:eastAsia="en-US"/>
        </w:rPr>
      </w:pPr>
    </w:p>
    <w:p w14:paraId="6985963D" w14:textId="77777777" w:rsidR="00D16086" w:rsidRPr="00D16086" w:rsidRDefault="00D16086" w:rsidP="00D16086">
      <w:pPr>
        <w:widowControl w:val="0"/>
        <w:spacing w:line="360" w:lineRule="auto"/>
        <w:ind w:firstLine="851"/>
        <w:jc w:val="both"/>
        <w:rPr>
          <w:rFonts w:ascii="Abadi" w:hAnsi="Abadi"/>
          <w:sz w:val="21"/>
          <w:szCs w:val="21"/>
          <w:lang w:val="es-MX" w:eastAsia="en-US"/>
        </w:rPr>
      </w:pPr>
      <w:r w:rsidRPr="00D16086">
        <w:rPr>
          <w:rFonts w:ascii="Abadi" w:hAnsi="Abadi"/>
          <w:sz w:val="21"/>
          <w:szCs w:val="21"/>
          <w:lang w:val="es-MX" w:eastAsia="en-US"/>
        </w:rPr>
        <w:t>El Departamento Jurídico del Municipio de San Luis de la Paz concluyó que:</w:t>
      </w:r>
    </w:p>
    <w:p w14:paraId="44E19613" w14:textId="77777777" w:rsidR="00D16086" w:rsidRPr="00D16086" w:rsidRDefault="00D16086" w:rsidP="00D16086">
      <w:pPr>
        <w:widowControl w:val="0"/>
        <w:spacing w:line="360" w:lineRule="auto"/>
        <w:jc w:val="both"/>
        <w:rPr>
          <w:rFonts w:ascii="Abadi" w:hAnsi="Abadi"/>
          <w:sz w:val="21"/>
          <w:szCs w:val="21"/>
          <w:lang w:val="es-MX" w:eastAsia="en-US"/>
        </w:rPr>
      </w:pPr>
    </w:p>
    <w:p w14:paraId="1D4730AB"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Reformas y Adiciones que en lo sustancial y como se observa en la circular anteriormente mencionada va encaminada a la reducción de las desigualdades sin dejar de reconocer que la protección social se ha extendido significativamente en todo el mundo, por lo que la reforma y adiciones a las leyes antes mencionadas pretende retribuir y visibilizar los derechos que también tienen las personas con discapacidad, poniendo en el mismo nivel a todas las personas en igualdad de condiciones, y en específico a una accesibilidad universal; de igual manera la intención de la reforma aludida es implementar un símbolo de accesibilidad universal y que este sea visible en todos los establecimientos públicos y privados a efecto de enviar el mensaje de que dicho recinto no es discrimina a las personas con discapacidad motriz, auditiva, visual, intelectual, de lenguaje, psicológica, y todas las demás que se desprendan de estas, que afecten la realización de las principales actividades del ser humano en un ámbito normal.</w:t>
      </w:r>
    </w:p>
    <w:p w14:paraId="4F22DAD3"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0731AE2B"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Por lo que este Departamento Jurídico da su visto bueno a la continuidad de la reforma y adición referidas en la circular que se atiende, en virtud que la discriminación a las personas con discapacidad es una violación a derechos humanos que debe ser erradicada del Estado de Guanajuato.</w:t>
      </w:r>
    </w:p>
    <w:p w14:paraId="17F34F1C"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6C2EB472" w14:textId="77777777" w:rsidR="00D16086" w:rsidRPr="00D16086" w:rsidRDefault="00D16086" w:rsidP="00D16086">
      <w:pPr>
        <w:spacing w:line="360" w:lineRule="auto"/>
        <w:ind w:firstLine="851"/>
        <w:jc w:val="both"/>
        <w:rPr>
          <w:rFonts w:ascii="Abadi" w:eastAsia="Calibri" w:hAnsi="Abadi"/>
          <w:sz w:val="21"/>
          <w:szCs w:val="21"/>
          <w:lang w:val="es-MX" w:eastAsia="en-US"/>
        </w:rPr>
      </w:pPr>
      <w:r w:rsidRPr="00D16086">
        <w:rPr>
          <w:rFonts w:ascii="Abadi" w:eastAsia="Calibri" w:hAnsi="Abadi"/>
          <w:sz w:val="21"/>
          <w:szCs w:val="21"/>
          <w:lang w:val="es-MX" w:eastAsia="en-US"/>
        </w:rPr>
        <w:t>El director general de Asuntos Jurídicos de Irapuato envió la siguiente opinión:</w:t>
      </w:r>
    </w:p>
    <w:p w14:paraId="56CD59FF" w14:textId="77777777" w:rsidR="00D16086" w:rsidRPr="00D16086" w:rsidRDefault="00D16086" w:rsidP="00D16086">
      <w:pPr>
        <w:spacing w:line="360" w:lineRule="auto"/>
        <w:jc w:val="both"/>
        <w:rPr>
          <w:rFonts w:ascii="Abadi" w:eastAsia="Calibri" w:hAnsi="Abadi"/>
          <w:sz w:val="21"/>
          <w:szCs w:val="21"/>
          <w:lang w:val="es-MX" w:eastAsia="en-US"/>
        </w:rPr>
      </w:pPr>
    </w:p>
    <w:p w14:paraId="1F026AB9" w14:textId="77777777" w:rsidR="00D16086" w:rsidRPr="00D16086" w:rsidRDefault="00D16086" w:rsidP="00D16086">
      <w:pPr>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Derivado del análisis y revisión a la iniciativa que nos fue remitida, en la cual se reforma y adicionan diversas disposiciones de leyes Estatales, se observa que en el desglose del ARTÍCULO PRIMERO del Proyecto de Decreto mediante el cual se pretende reformar y adicionar la ley para Prevenir, Atender y Erradicar la Discriminación en el Estado de Guanajuato, señala la reforma de la fracción IV del artículo 24, misma que refiere lo siguiente:</w:t>
      </w:r>
    </w:p>
    <w:p w14:paraId="3AC501F1" w14:textId="77777777" w:rsidR="00D16086" w:rsidRPr="00D16086" w:rsidRDefault="00D16086" w:rsidP="00D16086">
      <w:pPr>
        <w:ind w:left="851" w:right="851"/>
        <w:jc w:val="both"/>
        <w:rPr>
          <w:rFonts w:ascii="Abadi" w:eastAsia="Calibri" w:hAnsi="Abadi"/>
          <w:i/>
          <w:iCs/>
          <w:sz w:val="21"/>
          <w:szCs w:val="21"/>
          <w:lang w:val="es-MX" w:eastAsia="en-US"/>
        </w:rPr>
      </w:pPr>
    </w:p>
    <w:p w14:paraId="32E84003" w14:textId="77777777" w:rsidR="00D16086" w:rsidRPr="00D16086" w:rsidRDefault="00D16086" w:rsidP="00D16086">
      <w:pPr>
        <w:ind w:left="851" w:right="851"/>
        <w:jc w:val="right"/>
        <w:rPr>
          <w:rFonts w:ascii="Abadi" w:eastAsia="Calibri" w:hAnsi="Abadi"/>
          <w:b/>
          <w:bCs/>
          <w:i/>
          <w:iCs/>
          <w:sz w:val="21"/>
          <w:szCs w:val="21"/>
          <w:lang w:val="es-MX" w:eastAsia="en-US"/>
        </w:rPr>
      </w:pPr>
      <w:r w:rsidRPr="00D16086">
        <w:rPr>
          <w:rFonts w:ascii="Abadi" w:eastAsia="Calibri" w:hAnsi="Abadi"/>
          <w:b/>
          <w:bCs/>
          <w:i/>
          <w:iCs/>
          <w:sz w:val="21"/>
          <w:szCs w:val="21"/>
          <w:lang w:val="es-MX" w:eastAsia="en-US"/>
        </w:rPr>
        <w:t>“Atribuciones de la Procuraduría de los Derechos Humanos del Estado de Guanajuato</w:t>
      </w:r>
    </w:p>
    <w:p w14:paraId="12EC752E" w14:textId="77777777" w:rsidR="00D16086" w:rsidRPr="00D16086" w:rsidRDefault="00D16086" w:rsidP="00D16086">
      <w:pPr>
        <w:ind w:left="851" w:right="851"/>
        <w:jc w:val="both"/>
        <w:rPr>
          <w:rFonts w:ascii="Abadi" w:eastAsia="Calibri" w:hAnsi="Abadi"/>
          <w:i/>
          <w:iCs/>
          <w:sz w:val="21"/>
          <w:szCs w:val="21"/>
          <w:lang w:val="es-MX" w:eastAsia="en-US"/>
        </w:rPr>
      </w:pPr>
      <w:r w:rsidRPr="00D16086">
        <w:rPr>
          <w:rFonts w:ascii="Abadi" w:eastAsia="Calibri" w:hAnsi="Abadi"/>
          <w:b/>
          <w:bCs/>
          <w:i/>
          <w:iCs/>
          <w:sz w:val="21"/>
          <w:szCs w:val="21"/>
          <w:lang w:val="es-MX" w:eastAsia="en-US"/>
        </w:rPr>
        <w:t>Artículo 24.</w:t>
      </w:r>
      <w:r w:rsidRPr="00D16086">
        <w:rPr>
          <w:rFonts w:ascii="Abadi" w:eastAsia="Calibri" w:hAnsi="Abadi"/>
          <w:i/>
          <w:iCs/>
          <w:sz w:val="21"/>
          <w:szCs w:val="21"/>
          <w:lang w:val="es-MX" w:eastAsia="en-US"/>
        </w:rPr>
        <w:t xml:space="preserve"> Para los efectos....</w:t>
      </w:r>
    </w:p>
    <w:p w14:paraId="14582122" w14:textId="77777777" w:rsidR="00D16086" w:rsidRPr="00D16086" w:rsidRDefault="00D16086" w:rsidP="00D16086">
      <w:pPr>
        <w:ind w:left="851" w:right="851"/>
        <w:jc w:val="both"/>
        <w:rPr>
          <w:rFonts w:ascii="Abadi" w:eastAsia="Calibri" w:hAnsi="Abadi"/>
          <w:i/>
          <w:iCs/>
          <w:sz w:val="21"/>
          <w:szCs w:val="21"/>
          <w:lang w:val="es-MX" w:eastAsia="en-US"/>
        </w:rPr>
      </w:pPr>
    </w:p>
    <w:p w14:paraId="13FBCA67" w14:textId="77777777" w:rsidR="00D16086" w:rsidRPr="00D16086" w:rsidRDefault="00D16086" w:rsidP="00D16086">
      <w:pPr>
        <w:ind w:left="851" w:right="851"/>
        <w:jc w:val="both"/>
        <w:rPr>
          <w:rFonts w:ascii="Abadi" w:eastAsia="Calibri" w:hAnsi="Abadi"/>
          <w:i/>
          <w:iCs/>
          <w:sz w:val="21"/>
          <w:szCs w:val="21"/>
          <w:lang w:val="es-MX" w:eastAsia="en-US"/>
        </w:rPr>
      </w:pPr>
      <w:r w:rsidRPr="00D16086">
        <w:rPr>
          <w:rFonts w:ascii="Abadi" w:eastAsia="Calibri" w:hAnsi="Abadi"/>
          <w:b/>
          <w:bCs/>
          <w:i/>
          <w:iCs/>
          <w:sz w:val="21"/>
          <w:szCs w:val="21"/>
          <w:lang w:val="es-MX" w:eastAsia="en-US"/>
        </w:rPr>
        <w:t>I.</w:t>
      </w:r>
      <w:r w:rsidRPr="00D16086">
        <w:rPr>
          <w:rFonts w:ascii="Abadi" w:eastAsia="Calibri" w:hAnsi="Abadi"/>
          <w:i/>
          <w:iCs/>
          <w:sz w:val="21"/>
          <w:szCs w:val="21"/>
          <w:lang w:val="es-MX" w:eastAsia="en-US"/>
        </w:rPr>
        <w:t xml:space="preserve"> a </w:t>
      </w:r>
      <w:r w:rsidRPr="00D16086">
        <w:rPr>
          <w:rFonts w:ascii="Abadi" w:eastAsia="Calibri" w:hAnsi="Abadi"/>
          <w:b/>
          <w:bCs/>
          <w:i/>
          <w:iCs/>
          <w:sz w:val="21"/>
          <w:szCs w:val="21"/>
          <w:lang w:val="es-MX" w:eastAsia="en-US"/>
        </w:rPr>
        <w:t>III.</w:t>
      </w:r>
      <w:r w:rsidRPr="00D16086">
        <w:rPr>
          <w:rFonts w:ascii="Abadi" w:eastAsia="Calibri" w:hAnsi="Abadi"/>
          <w:i/>
          <w:iCs/>
          <w:sz w:val="21"/>
          <w:szCs w:val="21"/>
          <w:lang w:val="es-MX" w:eastAsia="en-US"/>
        </w:rPr>
        <w:t xml:space="preserve"> …</w:t>
      </w:r>
    </w:p>
    <w:p w14:paraId="3D909BF9" w14:textId="77777777" w:rsidR="00D16086" w:rsidRPr="00D16086" w:rsidRDefault="00D16086" w:rsidP="00D16086">
      <w:pPr>
        <w:ind w:left="851" w:right="851"/>
        <w:jc w:val="both"/>
        <w:rPr>
          <w:rFonts w:ascii="Abadi" w:eastAsia="Calibri" w:hAnsi="Abadi"/>
          <w:i/>
          <w:iCs/>
          <w:sz w:val="21"/>
          <w:szCs w:val="21"/>
          <w:lang w:val="es-MX" w:eastAsia="en-US"/>
        </w:rPr>
      </w:pPr>
    </w:p>
    <w:p w14:paraId="6FBC6F07" w14:textId="77777777" w:rsidR="00D16086" w:rsidRPr="00D16086" w:rsidRDefault="00D16086" w:rsidP="00D16086">
      <w:pPr>
        <w:ind w:left="851" w:right="851"/>
        <w:jc w:val="both"/>
        <w:rPr>
          <w:rFonts w:ascii="Abadi" w:eastAsia="Calibri" w:hAnsi="Abadi"/>
          <w:i/>
          <w:iCs/>
          <w:sz w:val="21"/>
          <w:szCs w:val="21"/>
          <w:lang w:val="es-MX" w:eastAsia="en-US"/>
        </w:rPr>
      </w:pPr>
      <w:r w:rsidRPr="00D16086">
        <w:rPr>
          <w:rFonts w:ascii="Abadi" w:eastAsia="Calibri" w:hAnsi="Abadi"/>
          <w:b/>
          <w:bCs/>
          <w:i/>
          <w:iCs/>
          <w:sz w:val="21"/>
          <w:szCs w:val="21"/>
          <w:lang w:val="es-MX" w:eastAsia="en-US"/>
        </w:rPr>
        <w:t>IV.</w:t>
      </w:r>
      <w:r w:rsidRPr="00D16086">
        <w:rPr>
          <w:rFonts w:ascii="Abadi" w:eastAsia="Calibri" w:hAnsi="Abadi"/>
          <w:i/>
          <w:iCs/>
          <w:sz w:val="21"/>
          <w:szCs w:val="21"/>
          <w:lang w:val="es-MX" w:eastAsia="en-US"/>
        </w:rPr>
        <w:t xml:space="preserve"> Diseñar indicadores para la evaluación de las políticas públicas con perspectiva de no discriminación, </w:t>
      </w:r>
      <w:r w:rsidRPr="00D16086">
        <w:rPr>
          <w:rFonts w:ascii="Abadi" w:eastAsia="Calibri" w:hAnsi="Abadi"/>
          <w:b/>
          <w:bCs/>
          <w:i/>
          <w:iCs/>
          <w:sz w:val="21"/>
          <w:szCs w:val="21"/>
          <w:lang w:val="es-MX" w:eastAsia="en-US"/>
        </w:rPr>
        <w:t xml:space="preserve">así como aquellas enfocadas a la accesibilidad y movilidad de las personas que cuenten con alguna discapacidad, </w:t>
      </w:r>
      <w:r w:rsidRPr="00D16086">
        <w:rPr>
          <w:rFonts w:ascii="Abadi" w:eastAsia="Calibri" w:hAnsi="Abadi"/>
          <w:b/>
          <w:bCs/>
          <w:i/>
          <w:iCs/>
          <w:sz w:val="21"/>
          <w:szCs w:val="21"/>
          <w:u w:val="single"/>
          <w:lang w:val="es-MX" w:eastAsia="en-US"/>
        </w:rPr>
        <w:t>contemplada en la fracción XXIII</w:t>
      </w:r>
      <w:r w:rsidRPr="00D16086">
        <w:rPr>
          <w:rFonts w:ascii="Abadi" w:eastAsia="Calibri" w:hAnsi="Abadi"/>
          <w:b/>
          <w:bCs/>
          <w:i/>
          <w:iCs/>
          <w:sz w:val="21"/>
          <w:szCs w:val="21"/>
          <w:lang w:val="es-MX" w:eastAsia="en-US"/>
        </w:rPr>
        <w:t>, del artículo 8 de la presente ley.”</w:t>
      </w:r>
    </w:p>
    <w:p w14:paraId="2AFC5C00" w14:textId="77777777" w:rsidR="00D16086" w:rsidRPr="00D16086" w:rsidRDefault="00D16086" w:rsidP="00D16086">
      <w:pPr>
        <w:ind w:left="851" w:right="851"/>
        <w:jc w:val="both"/>
        <w:rPr>
          <w:rFonts w:ascii="Abadi" w:eastAsia="Calibri" w:hAnsi="Abadi"/>
          <w:i/>
          <w:iCs/>
          <w:sz w:val="21"/>
          <w:szCs w:val="21"/>
          <w:lang w:val="es-MX" w:eastAsia="en-US"/>
        </w:rPr>
      </w:pPr>
    </w:p>
    <w:p w14:paraId="2E623A9A" w14:textId="77777777" w:rsidR="00D16086" w:rsidRPr="00D16086" w:rsidRDefault="00D16086" w:rsidP="00D16086">
      <w:pPr>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En dicho numeral, se hace una remisión a la fracción XXIII del artículo 8 de la citada ley, sin embargo de la lectura de dicha fracción, se desprende que la misma no guarda relación alguna con el contenido del artículo citado, por lo que se sugiere analizar y verificar esta situación.</w:t>
      </w:r>
    </w:p>
    <w:p w14:paraId="096EEE2E" w14:textId="77777777" w:rsidR="00D16086" w:rsidRPr="00D16086" w:rsidRDefault="00D16086" w:rsidP="00D16086">
      <w:pPr>
        <w:ind w:left="851" w:right="851"/>
        <w:jc w:val="both"/>
        <w:rPr>
          <w:rFonts w:ascii="Abadi" w:eastAsia="Calibri" w:hAnsi="Abadi"/>
          <w:i/>
          <w:iCs/>
          <w:sz w:val="21"/>
          <w:szCs w:val="21"/>
          <w:lang w:val="es-MX" w:eastAsia="en-US"/>
        </w:rPr>
      </w:pPr>
    </w:p>
    <w:p w14:paraId="7FB41214" w14:textId="77777777" w:rsidR="00D16086" w:rsidRPr="00D16086" w:rsidRDefault="00D16086" w:rsidP="00D16086">
      <w:pPr>
        <w:widowControl w:val="0"/>
        <w:ind w:left="851" w:right="851"/>
        <w:jc w:val="both"/>
        <w:rPr>
          <w:rFonts w:ascii="Abadi" w:hAnsi="Abadi"/>
          <w:i/>
          <w:iCs/>
          <w:sz w:val="21"/>
          <w:szCs w:val="21"/>
          <w:lang w:val="es-MX" w:eastAsia="en-US"/>
        </w:rPr>
      </w:pPr>
      <w:r w:rsidRPr="00D16086">
        <w:rPr>
          <w:rFonts w:ascii="Abadi" w:eastAsia="Calibri" w:hAnsi="Abadi"/>
          <w:i/>
          <w:iCs/>
          <w:sz w:val="21"/>
          <w:szCs w:val="21"/>
          <w:lang w:val="es-MX" w:eastAsia="en-US"/>
        </w:rPr>
        <w:t>Ahora bien, respecto de las reformas y adiciones planteadas a la ley de Inclusión para las Personas con Discapacidad en el Estado de Guanajuato; y a la ley de Protección Civil para el Estado de Guanajuato, le informo no se tienen observaciones y/o comentarios al contenido de las mismas, lo anterior, en virtud de que las reformas y adiciones que se pretenden realizar, surgen a consecuencia de las reformas y adiciones propuesta a ley para Prevenir, Atender y Erradicar la Discriminación en el Estado de Guanajuato, generando que el marco legal con el que cuenta el Estado de Guanajuato sea congruente, además las mismas se encuentran apegadas a derecho.</w:t>
      </w:r>
    </w:p>
    <w:p w14:paraId="3A269263" w14:textId="77777777" w:rsidR="00D16086" w:rsidRPr="00D16086" w:rsidRDefault="00D16086" w:rsidP="00D16086">
      <w:pPr>
        <w:widowControl w:val="0"/>
        <w:spacing w:line="360" w:lineRule="auto"/>
        <w:jc w:val="both"/>
        <w:rPr>
          <w:rFonts w:ascii="Abadi" w:hAnsi="Abadi"/>
          <w:sz w:val="21"/>
          <w:szCs w:val="21"/>
          <w:lang w:val="es-MX" w:eastAsia="en-US"/>
        </w:rPr>
      </w:pPr>
    </w:p>
    <w:p w14:paraId="74CAA306" w14:textId="77777777" w:rsidR="00D16086" w:rsidRPr="00D16086" w:rsidRDefault="00D16086" w:rsidP="00D16086">
      <w:pPr>
        <w:widowControl w:val="0"/>
        <w:spacing w:line="360" w:lineRule="auto"/>
        <w:ind w:firstLine="851"/>
        <w:jc w:val="both"/>
        <w:rPr>
          <w:rFonts w:ascii="Abadi" w:hAnsi="Abadi"/>
          <w:sz w:val="21"/>
          <w:szCs w:val="21"/>
          <w:lang w:val="es-MX" w:eastAsia="en-US"/>
        </w:rPr>
      </w:pPr>
      <w:r w:rsidRPr="00D16086">
        <w:rPr>
          <w:rFonts w:ascii="Abadi" w:hAnsi="Abadi"/>
          <w:sz w:val="21"/>
          <w:szCs w:val="21"/>
          <w:lang w:val="es-MX" w:eastAsia="en-US"/>
        </w:rPr>
        <w:t>El Coordinador Estatal de Protección Civil refirió lo siguiente:</w:t>
      </w:r>
    </w:p>
    <w:p w14:paraId="1CDD0CD3" w14:textId="77777777" w:rsidR="00D16086" w:rsidRPr="00D16086" w:rsidRDefault="00D16086" w:rsidP="00D16086">
      <w:pPr>
        <w:widowControl w:val="0"/>
        <w:spacing w:line="360" w:lineRule="auto"/>
        <w:ind w:firstLine="851"/>
        <w:jc w:val="both"/>
        <w:rPr>
          <w:rFonts w:ascii="Abadi" w:hAnsi="Abadi"/>
          <w:sz w:val="21"/>
          <w:szCs w:val="21"/>
          <w:lang w:val="es-MX" w:eastAsia="en-US"/>
        </w:rPr>
      </w:pPr>
    </w:p>
    <w:p w14:paraId="6741C701"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Por lo que respecta a la iniciativa de reforma de la Ley de Protección Civil para el Estado de Guanajuato, misma que prevé la modificación del artículo 46 y la adición los artículos 24, fracción XX bis; y 45, de la cual su principal objetivo es que a través de la Coordinación Estatal de Protección Civil se implemente el símbolo de accesibilidad universal para las personas con discapacidad motriz, auditiva, visual, intelectual, de lenguaje, psicosocial y todas las demás que se desprendan de estás, que afecten la realización de las principales actividades del ser humano en un ámbito normal, por lo anterior se considera lo siguiente:</w:t>
      </w:r>
    </w:p>
    <w:p w14:paraId="617C4EB9"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78E4F57B"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En el artículo 24 se pretende adicionar una fracción para establecer como competencia a la Coordinación Estatal de Protección Civil, para que asesore y apoye en la elaboración de los Programas Internos de Protección Civil incorporando el símbolo de accesibilidad universal para las personas con discapacidad motriz, auditiva, visual, intelectual, de lenguaje, psicosocial y todas las demás que se desprendan de estás, que afecten la realización de las principales actividades del ser humano en un ámbito normal, por lo que consideramos que esta fracción esta fuera de la competencia de esta Coordinación ya que quien debe de validar y por ende asesorar en la elaboración del Programa Interno de Protección Civil son las Unidades Municipales de Protección Civil de donde se ubique el establecimiento o Dependencia, esto de conformidad con el artículo 53 del Reglamento de la Ley de Protección Civil para el Estado de Guanajuato que a la letra señala;</w:t>
      </w:r>
    </w:p>
    <w:p w14:paraId="02AA6D91"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5F3A0D25" w14:textId="77777777" w:rsidR="00D16086" w:rsidRPr="00D16086" w:rsidRDefault="00D16086" w:rsidP="00D16086">
      <w:pPr>
        <w:widowControl w:val="0"/>
        <w:ind w:left="1134" w:right="1134"/>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w:t>
      </w:r>
      <w:r w:rsidRPr="00D16086">
        <w:rPr>
          <w:rFonts w:ascii="Abadi" w:eastAsia="Calibri" w:hAnsi="Abadi"/>
          <w:b/>
          <w:bCs/>
          <w:i/>
          <w:iCs/>
          <w:sz w:val="21"/>
          <w:szCs w:val="21"/>
          <w:lang w:val="es-MX" w:eastAsia="en-US"/>
        </w:rPr>
        <w:t>Artículo 53.-</w:t>
      </w:r>
      <w:r w:rsidRPr="00D16086">
        <w:rPr>
          <w:rFonts w:ascii="Abadi" w:eastAsia="Calibri" w:hAnsi="Abadi"/>
          <w:i/>
          <w:iCs/>
          <w:sz w:val="21"/>
          <w:szCs w:val="21"/>
          <w:lang w:val="es-MX" w:eastAsia="en-US"/>
        </w:rPr>
        <w:t xml:space="preserve"> El programa interno de Protección Civil deberá presentarse ante la Unidad municipal de Protección Civil en donde se ubique el establecimiento o siesta no estuviera conformada ante la Unidad Estatal.”</w:t>
      </w:r>
    </w:p>
    <w:p w14:paraId="51172A7F"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00C623C1"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Por lo anterior es que se considera que esta iniciativa no debe de incluirse en este artículo como reforma de la Ley de Protección Civil para el Estado de Guanajuato, en vista que no esta dentro de la competencia de actuación ni operativa ni administrativa.</w:t>
      </w:r>
    </w:p>
    <w:p w14:paraId="4C565FE1"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28A9207E"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Aunado a lo anterior y por referirse a las otras iniciativas de adición de los artículos 45 y 46 de la Ley de Protección Civil para el Estado de Guanajuato se omite en la redacción las acciones por medio de las cuales se debe de difundir el símbolo de accesibilidad universal para las personas con discapacidad motriz, auditiva, visual, intelectual, de lenguaje, psicosocial y todas las demás que se desprendan de estás, que afecten la realización de las principales actividades del ser humano en un ámbito normal, en los programas internos es decir se necesitaría definir los medios, las acciones y alcances para implementar esta acción, aunado que se considera que para ello debe atenderse desde los instrumentos normativos federales como lo son las Normas Oficiales Mexicanas, por si dicha reforma se refiere a que se deben implementar o colocar el símbolo de accesibilidad universal para las personas con discapacidad motriz, auditiva, visual, intelectual, de lenguaje, psicosocial y todas las demás que se desprendan de estás, que afecten la realización de las principales actividades del ser humano en un ámbito normal, en los edificios de las Dependencias y entidades de la Administración pública estatal y municipal, esto tampoco corresponde a esta Coordinación Estatal de Protección Civil ya que la Coordinación no asesora ni emite el visto bueno del Programa Interno de Protección Civil no obstante lo anterior sí cuenta con la atribución de practicar Inspección y/o Verificación a inmuebles a fin de vigilar el cumplimiento de la normatividad y es por ello que se funda, entre otras, para el presente tema en la NORMA Oficial Mexicana NOM-003-SEGOB-2011, Señales y avisos para protección civil.- Colores, formas y símbolos a utilizar, lo anterior, y al considerar que a Protección Civil le corresponde asesorar a los propietarios y/o responsables de los inmuebles, sobre la colocación de la señalización para protección civil, las cuales se clasifican de acuerdo al tipo de mensaje que proporcionan, en informativas, informativas de emergencia, informativas para emergencias o desastres, de precaución, prohibitivas o restrictivas y de obligación; con el objetivo de advertir a la población sobre la existencia y naturaleza de un riesgo.</w:t>
      </w:r>
    </w:p>
    <w:p w14:paraId="7B505A56"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54A689E8"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Por lo que respecta en materia de personas con discapacidad la Coordinación Estatal se funda en la NORMA Oficial Mexicana NOM-008-SEGOB-2015, Personas con discapacidad.- Acciones de prevención y condiciones de seguridad en materia de protección civil en situación de emergencia o desastre, la que de manera obligatoria en su numeral 5 “</w:t>
      </w:r>
      <w:r w:rsidRPr="00D16086">
        <w:rPr>
          <w:rFonts w:ascii="Abadi" w:eastAsia="Calibri" w:hAnsi="Abadi"/>
          <w:b/>
          <w:bCs/>
          <w:i/>
          <w:iCs/>
          <w:sz w:val="21"/>
          <w:szCs w:val="21"/>
          <w:lang w:val="es-MX" w:eastAsia="en-US"/>
        </w:rPr>
        <w:t>obligaciones del propietario, responsable administrador de los inmuebles, establecimientos y espacios de los sectores público, privado y social</w:t>
      </w:r>
      <w:r w:rsidRPr="00D16086">
        <w:rPr>
          <w:rFonts w:ascii="Abadi" w:eastAsia="Calibri" w:hAnsi="Abadi"/>
          <w:i/>
          <w:iCs/>
          <w:sz w:val="21"/>
          <w:szCs w:val="21"/>
          <w:lang w:val="es-MX" w:eastAsia="en-US"/>
        </w:rPr>
        <w:t>”, a la que establece que los propietarios deberán incluir el Programa Internos de Protección Civil un procedimiento de emergencia respecto a personas con discapacidad.</w:t>
      </w:r>
    </w:p>
    <w:p w14:paraId="14055C14"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2CAA3A17"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b/>
          <w:bCs/>
          <w:i/>
          <w:iCs/>
          <w:sz w:val="21"/>
          <w:szCs w:val="21"/>
          <w:lang w:val="es-MX" w:eastAsia="en-US"/>
        </w:rPr>
        <w:t>PROPUESTA:</w:t>
      </w:r>
      <w:r w:rsidRPr="00D16086">
        <w:rPr>
          <w:rFonts w:ascii="Abadi" w:eastAsia="Calibri" w:hAnsi="Abadi"/>
          <w:i/>
          <w:iCs/>
          <w:sz w:val="21"/>
          <w:szCs w:val="21"/>
          <w:lang w:val="es-MX" w:eastAsia="en-US"/>
        </w:rPr>
        <w:t xml:space="preserve"> Por lo que respecta a la materia de Protección Civil se considera que previo a reformar la Legislación Estatal, se debe de considerar, prever o bien proponer las reformas a nivel Federal de Conformidad con lo que establece la Ley de Infraestructura de la Calidad para modificar la NORMA Oficial Mexicana NOM-003-SEGOB-2011. Señales y avisos para protección civil.- Colores, formas y símbolos a utilizar y la NORMA Oficial Mexicana NOM-008-SEGOB-2015, Personas con discapacidad.- Acciones de prevención y condiciones de seguridad en materia de protección civil en situación de emergencia o desastre, con el propósito que se incluya el símbolo de accesibilidad universal para las personas con discapacidad motriz, auditiva, visual, intelectual, de lenguaje, psicosocial y todas las demás que se desprendan de estás, que afecten la realización de las principales actividades del ser humano en un ámbito normal.</w:t>
      </w:r>
    </w:p>
    <w:p w14:paraId="1983617E"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603FF025" w14:textId="77777777" w:rsidR="00D16086" w:rsidRPr="00D16086" w:rsidRDefault="00D16086" w:rsidP="00D16086">
      <w:pPr>
        <w:widowControl w:val="0"/>
        <w:ind w:left="851" w:right="851"/>
        <w:jc w:val="both"/>
        <w:rPr>
          <w:rFonts w:ascii="Abadi" w:hAnsi="Abadi"/>
          <w:i/>
          <w:iCs/>
          <w:sz w:val="21"/>
          <w:szCs w:val="21"/>
          <w:lang w:val="es-MX" w:eastAsia="en-US"/>
        </w:rPr>
      </w:pPr>
      <w:r w:rsidRPr="00D16086">
        <w:rPr>
          <w:rFonts w:ascii="Abadi" w:eastAsia="Calibri" w:hAnsi="Abadi"/>
          <w:i/>
          <w:iCs/>
          <w:sz w:val="21"/>
          <w:szCs w:val="21"/>
          <w:lang w:val="es-MX" w:eastAsia="en-US"/>
        </w:rPr>
        <w:t>Así mismo en la Ley de Inclusión para las Personas con Discapacidad en el Estado de Guanajuato, en su artículo 13 habla del Consejo Directivo, donde incluye una nueva fracción la que señala que la persona titular de la Coordinación Estatal de Protección Civil sea parte integrante de dicho Consejo, se considera viable siempre y cuando se cumpla con el objeto para un trabajo transversal a favor de la seguridad de las personas con Discapacidad, así como también deben de establecer que los alcances y atribuciones sean en materia de Protección Civil y de conformidad con la Ley de Protección Civil y su Reglamento así como toda aquella normatividad aplicable vigente en la materia.</w:t>
      </w:r>
    </w:p>
    <w:p w14:paraId="0FEC9F53" w14:textId="77777777" w:rsidR="00D16086" w:rsidRPr="00D16086" w:rsidRDefault="00D16086" w:rsidP="00D16086">
      <w:pPr>
        <w:widowControl w:val="0"/>
        <w:spacing w:line="360" w:lineRule="auto"/>
        <w:jc w:val="both"/>
        <w:rPr>
          <w:rFonts w:ascii="Abadi" w:hAnsi="Abadi"/>
          <w:sz w:val="21"/>
          <w:szCs w:val="21"/>
          <w:lang w:val="es-MX" w:eastAsia="en-US"/>
        </w:rPr>
      </w:pPr>
    </w:p>
    <w:p w14:paraId="03A8EB81" w14:textId="77777777" w:rsidR="00D16086" w:rsidRPr="00D16086" w:rsidRDefault="00D16086" w:rsidP="00E429A0">
      <w:pPr>
        <w:widowControl w:val="0"/>
        <w:ind w:firstLine="851"/>
        <w:jc w:val="both"/>
        <w:rPr>
          <w:rFonts w:ascii="Abadi" w:hAnsi="Abadi"/>
          <w:sz w:val="21"/>
          <w:szCs w:val="21"/>
          <w:lang w:val="es-MX" w:eastAsia="en-US"/>
        </w:rPr>
      </w:pPr>
      <w:r w:rsidRPr="00D16086">
        <w:rPr>
          <w:rFonts w:ascii="Abadi" w:hAnsi="Abadi"/>
          <w:sz w:val="21"/>
          <w:szCs w:val="21"/>
          <w:lang w:val="es-MX" w:eastAsia="en-US"/>
        </w:rPr>
        <w:t>La Procuraduría de los Derechos Humanos del Estado de Guanajuato, en la respuesta enviada señaló:</w:t>
      </w:r>
    </w:p>
    <w:p w14:paraId="025F57C2" w14:textId="77777777" w:rsidR="00D16086" w:rsidRPr="00D16086" w:rsidRDefault="00D16086" w:rsidP="00D16086">
      <w:pPr>
        <w:widowControl w:val="0"/>
        <w:spacing w:line="360" w:lineRule="auto"/>
        <w:jc w:val="both"/>
        <w:rPr>
          <w:rFonts w:ascii="Abadi" w:hAnsi="Abadi"/>
          <w:sz w:val="21"/>
          <w:szCs w:val="21"/>
          <w:lang w:val="es-MX" w:eastAsia="en-US"/>
        </w:rPr>
      </w:pPr>
    </w:p>
    <w:p w14:paraId="1EB6612E" w14:textId="77777777" w:rsidR="00D16086" w:rsidRPr="00D16086" w:rsidRDefault="00D16086" w:rsidP="00D16086">
      <w:pPr>
        <w:widowControl w:val="0"/>
        <w:ind w:left="851" w:right="851"/>
        <w:jc w:val="both"/>
        <w:rPr>
          <w:rFonts w:ascii="Abadi" w:eastAsia="Calibri" w:hAnsi="Abadi"/>
          <w:b/>
          <w:bCs/>
          <w:i/>
          <w:iCs/>
          <w:sz w:val="21"/>
          <w:szCs w:val="21"/>
          <w:lang w:val="es-MX" w:eastAsia="en-US"/>
        </w:rPr>
      </w:pPr>
      <w:r w:rsidRPr="00D16086">
        <w:rPr>
          <w:rFonts w:ascii="Abadi" w:eastAsia="Calibri" w:hAnsi="Abadi"/>
          <w:b/>
          <w:bCs/>
          <w:i/>
          <w:iCs/>
          <w:sz w:val="21"/>
          <w:szCs w:val="21"/>
          <w:lang w:val="es-MX" w:eastAsia="en-US"/>
        </w:rPr>
        <w:t>Observación 1. Contenido y alcance de la accesibilidad.</w:t>
      </w:r>
    </w:p>
    <w:p w14:paraId="55BAE1ED"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7D7A2520"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En la fracción XVI del artículo 4 de la Ley de Inclusión para las Personas con Discapacidad en el Estado de Guanajuato, se propone la inclusión del derecho a la accesibilidad para personas con discapacidad ello en los siguientes términos:</w:t>
      </w:r>
    </w:p>
    <w:p w14:paraId="51EF2945"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5F0F2497" w14:textId="77777777" w:rsidR="00D16086" w:rsidRPr="00D16086" w:rsidRDefault="00D16086" w:rsidP="00D16086">
      <w:pPr>
        <w:widowControl w:val="0"/>
        <w:ind w:left="1134" w:right="1134"/>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Contar con accesibilidad adecuada las personas con discapacidad motriz, auditiva, visual, intelectual, de lenguaje, psicosocial y todas las demás que se desprendan de estás (sic), que afecten la realización de las principales actividades del ser humano en un ámbito normal, y no ser discriminadas por motivos de su discapacidad;</w:t>
      </w:r>
    </w:p>
    <w:p w14:paraId="62FB9D9A"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69DA1A99"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Bajo este contexto, para determinar cuál es el contenido y alcance de este derecho humano, se considera necesario partir del análisis del artículo 9 de la Convención sobre Derechos de Personas con Discapacidad, que establece que la accesibilidad tiene la finalidad de que las personas con discapacidad puedan vivir en forma independiente y participar plenamente en todos los aspectos de la vida en igualdad de condiciones con las demás.</w:t>
      </w:r>
    </w:p>
    <w:p w14:paraId="6F3B50DF"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519A6D6D"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Al respecto, la Relatora Especial del Consejo de Derechos Humanos sobre los Derechos de las Personas con Discapacidad, ha señalado que:</w:t>
      </w:r>
    </w:p>
    <w:p w14:paraId="2C64D686" w14:textId="77777777" w:rsidR="00D16086" w:rsidRPr="00D16086" w:rsidRDefault="00D16086" w:rsidP="00D16086">
      <w:pPr>
        <w:widowControl w:val="0"/>
        <w:ind w:left="1134" w:right="1134"/>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La accesibilidad es un requisito para construir sociedades inclusivas y sin barreras donde las personas puedan vivir de forma independiente y participar plenamente en todos los aspectos de la vida y en sus comunidades.</w:t>
      </w:r>
      <w:r w:rsidRPr="00D16086">
        <w:rPr>
          <w:rFonts w:ascii="Abadi" w:eastAsia="Calibri" w:hAnsi="Abadi"/>
          <w:i/>
          <w:iCs/>
          <w:sz w:val="21"/>
          <w:szCs w:val="21"/>
          <w:vertAlign w:val="superscript"/>
          <w:lang w:val="es-MX" w:eastAsia="en-US"/>
        </w:rPr>
        <w:footnoteReference w:id="97"/>
      </w:r>
    </w:p>
    <w:p w14:paraId="3386AA0C"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50366041"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Adicionalmente, encontramos que la accesibilidad, según el citado artículo 9 de la Convención, contempla lo relativo a la identificación y eliminación de obstáculos y barreras de acceso en 4 entornos, a saber:</w:t>
      </w:r>
    </w:p>
    <w:p w14:paraId="51178BE8"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0F5F2B83"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Entorno físico;</w:t>
      </w:r>
    </w:p>
    <w:p w14:paraId="5114E71A"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El transporte;</w:t>
      </w:r>
    </w:p>
    <w:p w14:paraId="29F2B839"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La información y;</w:t>
      </w:r>
    </w:p>
    <w:p w14:paraId="5F922C23"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Las comunicaciones</w:t>
      </w:r>
    </w:p>
    <w:p w14:paraId="05B414DC"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6890DCBD"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 xml:space="preserve">Ahora bien, respecto de la iniciativa planteada se advierte que la conceptualización de accesibilidad no cumple con los estándares de la Convención sobre Derechos de Personas con Discapacidad, ya que de su redacción se advierte que esta se limita a establecer una accesibilidad que permita a las personas con discapacidad </w:t>
      </w:r>
      <w:r w:rsidRPr="00D16086">
        <w:rPr>
          <w:rFonts w:ascii="Abadi" w:eastAsia="Calibri" w:hAnsi="Abadi"/>
          <w:b/>
          <w:bCs/>
          <w:i/>
          <w:iCs/>
          <w:sz w:val="21"/>
          <w:szCs w:val="21"/>
          <w:lang w:val="es-MX" w:eastAsia="en-US"/>
        </w:rPr>
        <w:t>la realización de las principales actividades del ser humano</w:t>
      </w:r>
      <w:r w:rsidRPr="00D16086">
        <w:rPr>
          <w:rFonts w:ascii="Abadi" w:eastAsia="Calibri" w:hAnsi="Abadi"/>
          <w:i/>
          <w:iCs/>
          <w:sz w:val="21"/>
          <w:szCs w:val="21"/>
          <w:lang w:val="es-MX" w:eastAsia="en-US"/>
        </w:rPr>
        <w:t xml:space="preserve">, lo cual resulta una visión restringida de la accesibilidad, puesto que de conformidad con la Convención antes citada, ésta debe tener como fin que las personas con discapacidad puedan vivir en forma independiente </w:t>
      </w:r>
      <w:r w:rsidRPr="00D16086">
        <w:rPr>
          <w:rFonts w:ascii="Abadi" w:eastAsia="Calibri" w:hAnsi="Abadi"/>
          <w:b/>
          <w:bCs/>
          <w:i/>
          <w:iCs/>
          <w:sz w:val="21"/>
          <w:szCs w:val="21"/>
          <w:lang w:val="es-MX" w:eastAsia="en-US"/>
        </w:rPr>
        <w:t>y participar plenamente en todos los aspectos de la vida</w:t>
      </w:r>
      <w:r w:rsidRPr="00D16086">
        <w:rPr>
          <w:rFonts w:ascii="Abadi" w:eastAsia="Calibri" w:hAnsi="Abadi"/>
          <w:i/>
          <w:iCs/>
          <w:sz w:val="21"/>
          <w:szCs w:val="21"/>
          <w:lang w:val="es-MX" w:eastAsia="en-US"/>
        </w:rPr>
        <w:t xml:space="preserve">, </w:t>
      </w:r>
      <w:r w:rsidRPr="00D16086">
        <w:rPr>
          <w:rFonts w:ascii="Abadi" w:eastAsia="Calibri" w:hAnsi="Abadi"/>
          <w:i/>
          <w:iCs/>
          <w:sz w:val="21"/>
          <w:szCs w:val="21"/>
          <w:u w:val="single"/>
          <w:lang w:val="es-MX" w:eastAsia="en-US"/>
        </w:rPr>
        <w:t>y no solo en las principales actividades</w:t>
      </w:r>
      <w:r w:rsidRPr="00D16086">
        <w:rPr>
          <w:rFonts w:ascii="Abadi" w:eastAsia="Calibri" w:hAnsi="Abadi"/>
          <w:i/>
          <w:iCs/>
          <w:sz w:val="21"/>
          <w:szCs w:val="21"/>
          <w:lang w:val="es-MX" w:eastAsia="en-US"/>
        </w:rPr>
        <w:t>, por lo que se sugiere armonizar de acuerdo con el estándar internacional antes citado.</w:t>
      </w:r>
    </w:p>
    <w:p w14:paraId="18712DEE"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48FBD32F" w14:textId="77777777" w:rsidR="00D16086" w:rsidRPr="00D16086" w:rsidRDefault="00D16086" w:rsidP="00D16086">
      <w:pPr>
        <w:widowControl w:val="0"/>
        <w:ind w:left="851" w:right="851"/>
        <w:jc w:val="both"/>
        <w:rPr>
          <w:rFonts w:ascii="Abadi" w:eastAsia="Calibri" w:hAnsi="Abadi"/>
          <w:b/>
          <w:bCs/>
          <w:i/>
          <w:iCs/>
          <w:sz w:val="21"/>
          <w:szCs w:val="21"/>
          <w:lang w:val="es-MX" w:eastAsia="en-US"/>
        </w:rPr>
      </w:pPr>
      <w:r w:rsidRPr="00D16086">
        <w:rPr>
          <w:rFonts w:ascii="Abadi" w:eastAsia="Calibri" w:hAnsi="Abadi"/>
          <w:b/>
          <w:bCs/>
          <w:i/>
          <w:iCs/>
          <w:sz w:val="21"/>
          <w:szCs w:val="21"/>
          <w:lang w:val="es-MX" w:eastAsia="en-US"/>
        </w:rPr>
        <w:t>Observación 2.- Lenguaje inadecuado.</w:t>
      </w:r>
    </w:p>
    <w:p w14:paraId="7FE1961A"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0C485018"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 xml:space="preserve">En la antes citada definición del derecho a la accesibilidad, propuesta en la fracción XVI del artículo 4 de la Ley de Inclusión para las Personas con Discapacidad en el Estado de Guanajuato, encontramos lenguaje que podría resultar inadecuado, ello toda vez que se hace referencia a accesibilidad que permita la realización de las principales actividades del ser humano </w:t>
      </w:r>
      <w:r w:rsidRPr="00D16086">
        <w:rPr>
          <w:rFonts w:ascii="Abadi" w:eastAsia="Calibri" w:hAnsi="Abadi"/>
          <w:b/>
          <w:bCs/>
          <w:i/>
          <w:iCs/>
          <w:sz w:val="21"/>
          <w:szCs w:val="21"/>
          <w:lang w:val="es-MX" w:eastAsia="en-US"/>
        </w:rPr>
        <w:t>en un</w:t>
      </w:r>
      <w:r w:rsidRPr="00D16086">
        <w:rPr>
          <w:rFonts w:ascii="Abadi" w:eastAsia="Calibri" w:hAnsi="Abadi"/>
          <w:i/>
          <w:iCs/>
          <w:sz w:val="21"/>
          <w:szCs w:val="21"/>
          <w:lang w:val="es-MX" w:eastAsia="en-US"/>
        </w:rPr>
        <w:t xml:space="preserve"> </w:t>
      </w:r>
      <w:r w:rsidRPr="00D16086">
        <w:rPr>
          <w:rFonts w:ascii="Abadi" w:eastAsia="Calibri" w:hAnsi="Abadi"/>
          <w:b/>
          <w:bCs/>
          <w:i/>
          <w:iCs/>
          <w:sz w:val="21"/>
          <w:szCs w:val="21"/>
          <w:lang w:val="es-MX" w:eastAsia="en-US"/>
        </w:rPr>
        <w:t>ámbito normal</w:t>
      </w:r>
      <w:r w:rsidRPr="00D16086">
        <w:rPr>
          <w:rFonts w:ascii="Abadi" w:eastAsia="Calibri" w:hAnsi="Abadi"/>
          <w:i/>
          <w:iCs/>
          <w:sz w:val="21"/>
          <w:szCs w:val="21"/>
          <w:lang w:val="es-MX" w:eastAsia="en-US"/>
        </w:rPr>
        <w:t>.</w:t>
      </w:r>
    </w:p>
    <w:p w14:paraId="4D356AE1"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1552227E"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Al respecto, se considera que el término “normal” pudiera equivocadamente vincularse con la presunta normalización bajo estándares de la ciencia médica en cuanto a las personas con discapacidad; derivado de lo cual se ha considerado que: “Las personas con discapacidad no son normales porque no son sanos: son enfermos.</w:t>
      </w:r>
      <w:r w:rsidRPr="00D16086">
        <w:rPr>
          <w:rFonts w:ascii="Abadi" w:eastAsia="Calibri" w:hAnsi="Abadi"/>
          <w:i/>
          <w:iCs/>
          <w:sz w:val="21"/>
          <w:szCs w:val="21"/>
          <w:vertAlign w:val="superscript"/>
          <w:lang w:val="es-MX" w:eastAsia="en-US"/>
        </w:rPr>
        <w:footnoteReference w:id="98"/>
      </w:r>
    </w:p>
    <w:p w14:paraId="0B01ECB5"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63E28051"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Por ello, se considera que dejar la redacción en los términos propuestos, podría perpetuar modelos de vida impuestos a personas con discapacidad, quienes en un plano de normalidad- anormalidad, siempre han quedado relegados de su calidad de personas titulares de derechos.</w:t>
      </w:r>
    </w:p>
    <w:p w14:paraId="036195D8"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51BE40F5"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Por ello, se considera que se debería prescindir de dicha terminología y acogerse a la definición y elementos de la Accesibilidad descritos por la Convención sobre Derechos de Personas con Discapacidad.</w:t>
      </w:r>
    </w:p>
    <w:p w14:paraId="0ACEC768"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39C49070" w14:textId="77777777" w:rsidR="00D16086" w:rsidRPr="00D16086" w:rsidRDefault="00D16086" w:rsidP="00D16086">
      <w:pPr>
        <w:widowControl w:val="0"/>
        <w:ind w:left="851" w:right="851"/>
        <w:jc w:val="both"/>
        <w:rPr>
          <w:rFonts w:ascii="Abadi" w:eastAsia="Calibri" w:hAnsi="Abadi"/>
          <w:b/>
          <w:bCs/>
          <w:i/>
          <w:iCs/>
          <w:sz w:val="21"/>
          <w:szCs w:val="21"/>
          <w:lang w:val="es-MX" w:eastAsia="en-US"/>
        </w:rPr>
      </w:pPr>
      <w:r w:rsidRPr="00D16086">
        <w:rPr>
          <w:rFonts w:ascii="Abadi" w:eastAsia="Calibri" w:hAnsi="Abadi"/>
          <w:b/>
          <w:bCs/>
          <w:i/>
          <w:iCs/>
          <w:sz w:val="21"/>
          <w:szCs w:val="21"/>
          <w:lang w:val="es-MX" w:eastAsia="en-US"/>
        </w:rPr>
        <w:t>Observación 3. Implementación del símbolo de accesibilidad universal.</w:t>
      </w:r>
    </w:p>
    <w:p w14:paraId="44E5E03E"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41D89645"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En relación a las modificaciones propuestas al artículo 7 de la Ley de Inclusión para las Personas con Discapacidad en el Estado de Guanajuato, en relación a la adopción del símbolo de accesibilidad universal sugerido por la Organización de las Naciones Unidas. Dicho numeral se contempla de la siguiente manera:</w:t>
      </w:r>
    </w:p>
    <w:p w14:paraId="2D09B68D"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68ACFEC2" w14:textId="77777777" w:rsidR="00D16086" w:rsidRPr="00D16086" w:rsidRDefault="00D16086" w:rsidP="00D16086">
      <w:pPr>
        <w:widowControl w:val="0"/>
        <w:ind w:left="1134" w:right="1134"/>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Atribuciones de las autoridades estatales y municipales</w:t>
      </w:r>
    </w:p>
    <w:p w14:paraId="4FB659E1" w14:textId="77777777" w:rsidR="00D16086" w:rsidRPr="00D16086" w:rsidRDefault="00D16086" w:rsidP="00D16086">
      <w:pPr>
        <w:widowControl w:val="0"/>
        <w:ind w:left="1134" w:right="1134"/>
        <w:jc w:val="both"/>
        <w:rPr>
          <w:rFonts w:ascii="Abadi" w:eastAsia="Calibri" w:hAnsi="Abadi"/>
          <w:i/>
          <w:iCs/>
          <w:sz w:val="21"/>
          <w:szCs w:val="21"/>
          <w:lang w:val="es-MX" w:eastAsia="en-US"/>
        </w:rPr>
      </w:pPr>
    </w:p>
    <w:p w14:paraId="21A2DAD1" w14:textId="77777777" w:rsidR="00D16086" w:rsidRPr="00D16086" w:rsidRDefault="00D16086" w:rsidP="00D16086">
      <w:pPr>
        <w:widowControl w:val="0"/>
        <w:ind w:left="1134" w:right="1134"/>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Artículo 7. Las dependencias y …</w:t>
      </w:r>
    </w:p>
    <w:p w14:paraId="7FB141BD" w14:textId="77777777" w:rsidR="00D16086" w:rsidRPr="00D16086" w:rsidRDefault="00D16086" w:rsidP="00D16086">
      <w:pPr>
        <w:widowControl w:val="0"/>
        <w:ind w:left="1134" w:right="1134"/>
        <w:jc w:val="both"/>
        <w:rPr>
          <w:rFonts w:ascii="Abadi" w:eastAsia="Calibri" w:hAnsi="Abadi"/>
          <w:i/>
          <w:iCs/>
          <w:sz w:val="21"/>
          <w:szCs w:val="21"/>
          <w:lang w:val="es-MX" w:eastAsia="en-US"/>
        </w:rPr>
      </w:pPr>
    </w:p>
    <w:p w14:paraId="4E33EA3E" w14:textId="77777777" w:rsidR="00D16086" w:rsidRPr="00D16086" w:rsidRDefault="00D16086" w:rsidP="00D16086">
      <w:pPr>
        <w:widowControl w:val="0"/>
        <w:ind w:left="1134" w:right="1134"/>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Las dependencias y entidades de la administración pública estatal y municipal en el ejercicio de cada una de sus atribuciones, deberán implementar el símbolo de accesibilidad universal sugerido por la Organización de las Naciones Unidas para las personas con discapacidad motriz, auditiva, visual, intelectual, de lenguaje, psicosocial y todas las demás que se desprendan de estás, que afecten la realización de las principales actividades del ser humano en un ámbito normal.</w:t>
      </w:r>
    </w:p>
    <w:p w14:paraId="38AE2CA8" w14:textId="77777777" w:rsidR="00D16086" w:rsidRPr="00D16086" w:rsidRDefault="00D16086" w:rsidP="00D16086">
      <w:pPr>
        <w:widowControl w:val="0"/>
        <w:ind w:left="1134" w:right="1134"/>
        <w:jc w:val="both"/>
        <w:rPr>
          <w:rFonts w:ascii="Abadi" w:eastAsia="Calibri" w:hAnsi="Abadi"/>
          <w:i/>
          <w:iCs/>
          <w:sz w:val="21"/>
          <w:szCs w:val="21"/>
          <w:lang w:val="es-MX" w:eastAsia="en-US"/>
        </w:rPr>
      </w:pPr>
    </w:p>
    <w:p w14:paraId="0CF40499" w14:textId="77777777" w:rsidR="00D16086" w:rsidRPr="00D16086" w:rsidRDefault="00D16086" w:rsidP="00D16086">
      <w:pPr>
        <w:widowControl w:val="0"/>
        <w:ind w:left="1134" w:right="1134"/>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El símbolo de accesibilidad universal está destinado a identificar zonas adaptadas para personas que cuentan con alguna discapacidad, y representa la inclusión para todas las personas.</w:t>
      </w:r>
    </w:p>
    <w:p w14:paraId="086113B6"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0F3DF474"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En este orden de ideas, se considera que el enfoque que se pretende adoptar en la iniciativa, no debe agotarse únicamente con la identificación de espacios accesibles, ya que solo serviría para diferenciarlos frente a entornos excluyentes en lo físico, el transporte, la información y las comunicaciones.</w:t>
      </w:r>
    </w:p>
    <w:p w14:paraId="56D7B69E"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2C85B93F"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Al respecto, debe considerarse que la principal obligación es la generación de sociedades incluyentes, lo que implica avanzar en la construcción de espacios y entornos accesibles; sobre ello, la Relatora Especial del Consejo de Derechos Humanos sobre los derechos de las personas con discapacidad, precisó lo siguiente:</w:t>
      </w:r>
    </w:p>
    <w:p w14:paraId="2120644E"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72B4C393" w14:textId="77777777" w:rsidR="00D16086" w:rsidRPr="00D16086" w:rsidRDefault="00D16086" w:rsidP="00D16086">
      <w:pPr>
        <w:widowControl w:val="0"/>
        <w:ind w:left="1134" w:right="1134"/>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El principio del diseño universal es fundamental para lograr la plena accesibilidad. El diseño universal significa que los productos y entornos están diseñados para que puedan ser utilizados por todas las personas, en la mayor medida posible, sin necesidad de adaptación ni diseño especializado.</w:t>
      </w:r>
    </w:p>
    <w:p w14:paraId="1BBFC3EF" w14:textId="77777777" w:rsidR="00D16086" w:rsidRPr="00D16086" w:rsidRDefault="00D16086" w:rsidP="00D16086">
      <w:pPr>
        <w:widowControl w:val="0"/>
        <w:ind w:left="1134" w:right="1134"/>
        <w:jc w:val="both"/>
        <w:rPr>
          <w:rFonts w:ascii="Abadi" w:eastAsia="Calibri" w:hAnsi="Abadi"/>
          <w:i/>
          <w:iCs/>
          <w:sz w:val="21"/>
          <w:szCs w:val="21"/>
          <w:lang w:val="es-MX" w:eastAsia="en-US"/>
        </w:rPr>
      </w:pPr>
    </w:p>
    <w:p w14:paraId="26CC6019" w14:textId="77777777" w:rsidR="00D16086" w:rsidRPr="00D16086" w:rsidRDefault="00D16086" w:rsidP="00D16086">
      <w:pPr>
        <w:widowControl w:val="0"/>
        <w:ind w:left="1134" w:right="1134"/>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A fin de asegurar la coherencia y avanzar de manera efectiva hacia la plena accesibilidad, los Estados deberían establecer normas y reglamentos nacionales sobre accesibilidad y diseño universal, en particular sobre acceso a las tecnologías de la información y las comunicaciones, a fin de proporcionar orientaciones claras a los encargados de formular y aplicar las políticas y programas.</w:t>
      </w:r>
    </w:p>
    <w:p w14:paraId="098F625F" w14:textId="77777777" w:rsidR="00D16086" w:rsidRPr="00D16086" w:rsidRDefault="00D16086" w:rsidP="00D16086">
      <w:pPr>
        <w:widowControl w:val="0"/>
        <w:ind w:left="1134" w:right="1134"/>
        <w:jc w:val="both"/>
        <w:rPr>
          <w:rFonts w:ascii="Abadi" w:eastAsia="Calibri" w:hAnsi="Abadi"/>
          <w:i/>
          <w:iCs/>
          <w:sz w:val="21"/>
          <w:szCs w:val="21"/>
          <w:lang w:val="es-MX" w:eastAsia="en-US"/>
        </w:rPr>
      </w:pPr>
    </w:p>
    <w:p w14:paraId="5CBD8E55" w14:textId="77777777" w:rsidR="00D16086" w:rsidRPr="00D16086" w:rsidRDefault="00D16086" w:rsidP="00D16086">
      <w:pPr>
        <w:widowControl w:val="0"/>
        <w:ind w:left="1134" w:right="1134"/>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w:t>
      </w:r>
    </w:p>
    <w:p w14:paraId="6F0A3914" w14:textId="77777777" w:rsidR="00D16086" w:rsidRPr="00D16086" w:rsidRDefault="00D16086" w:rsidP="00D16086">
      <w:pPr>
        <w:widowControl w:val="0"/>
        <w:ind w:left="1134" w:right="1134"/>
        <w:jc w:val="both"/>
        <w:rPr>
          <w:rFonts w:ascii="Abadi" w:eastAsia="Calibri" w:hAnsi="Abadi"/>
          <w:i/>
          <w:iCs/>
          <w:sz w:val="21"/>
          <w:szCs w:val="21"/>
          <w:lang w:val="es-MX" w:eastAsia="en-US"/>
        </w:rPr>
      </w:pPr>
    </w:p>
    <w:p w14:paraId="763CAB2D" w14:textId="77777777" w:rsidR="00D16086" w:rsidRPr="00D16086" w:rsidRDefault="00D16086" w:rsidP="00D16086">
      <w:pPr>
        <w:widowControl w:val="0"/>
        <w:ind w:left="1134" w:right="1134"/>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Para remediar la falta generalizada de aplicación (de accesibilidad), deberían establecerse requisitos de accesibilidad en la normativa general sobre edificios, transporte y web, así como en otros reglamentos técnicos. Del mismo modo, las autorizaciones y licencias para construir o modificar las estructuras y los servicios existentes deberían exigir la aplicación de las normas sobre accesibilidad. Los Estados también deben incorporar requisitos sobre accesibilidad en sus políticas y procedimientos de adquisiciones públicas.</w:t>
      </w:r>
      <w:r w:rsidRPr="00D16086">
        <w:rPr>
          <w:rFonts w:ascii="Abadi" w:eastAsia="Calibri" w:hAnsi="Abadi"/>
          <w:i/>
          <w:iCs/>
          <w:sz w:val="21"/>
          <w:szCs w:val="21"/>
          <w:vertAlign w:val="superscript"/>
          <w:lang w:val="es-MX" w:eastAsia="en-US"/>
        </w:rPr>
        <w:footnoteReference w:id="99"/>
      </w:r>
    </w:p>
    <w:p w14:paraId="107FC161"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102A6C99"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Con lo anterior, se considera que la iniciativa planteada podría ampliarse a la construcción de espacios incluyentes, y no sólo a la adopción del símbolo, y estar encaminada a transformar los entornos sociales.</w:t>
      </w:r>
    </w:p>
    <w:p w14:paraId="4694F290"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5B2A5501"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En el mismo tenor, se advierte que en los artículos 27 fracción II bis., 28 fracción II bis., 30 fracción II bis., 32 fracción II bis. y 33 fracción I bis. de la Ley de Inclusión para las personas con Discapacidad en el Estado de Guanajuato, se busca establecer estrategias en materia de política pública para avanzar en materia de accesibilidad en el sector de la salud, la educación, capacitación y empleo, comunicaciones y transporte, así como en el deporte, recreación y cultura.</w:t>
      </w:r>
    </w:p>
    <w:p w14:paraId="020BE747"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1DB42F17"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Sin embargo, se estima que las medidas adoptadas se limitan al diseño e implementación de insumos y señalización necesarios para el acceso de personas con discapacidad, lo cual se considera es restrictivo frente al cúmulo de obligaciones sobre accesibilidad establecidas por el artículo 9 de la Convención sobre Derechos de Personas con Discapacidad y desarrollados de forma clara en la Observación general número 2 del Comité sobre los Derechos de las Personas con Discapacidad</w:t>
      </w:r>
      <w:r w:rsidRPr="00D16086">
        <w:rPr>
          <w:rFonts w:ascii="Abadi" w:eastAsia="Calibri" w:hAnsi="Abadi"/>
          <w:i/>
          <w:iCs/>
          <w:sz w:val="21"/>
          <w:szCs w:val="21"/>
          <w:vertAlign w:val="superscript"/>
          <w:lang w:val="es-MX" w:eastAsia="en-US"/>
        </w:rPr>
        <w:footnoteReference w:id="100"/>
      </w:r>
      <w:r w:rsidRPr="00D16086">
        <w:rPr>
          <w:rFonts w:ascii="Abadi" w:eastAsia="Calibri" w:hAnsi="Abadi"/>
          <w:i/>
          <w:iCs/>
          <w:sz w:val="21"/>
          <w:szCs w:val="21"/>
          <w:lang w:val="es-MX" w:eastAsia="en-US"/>
        </w:rPr>
        <w:t>, por lo que se sugiere analizar la iniciativa completa a la luz de dichos estándares internacionales.</w:t>
      </w:r>
    </w:p>
    <w:p w14:paraId="247F43DA"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415AB90B" w14:textId="77777777" w:rsidR="00D16086" w:rsidRPr="00D16086" w:rsidRDefault="00D16086" w:rsidP="00D16086">
      <w:pPr>
        <w:widowControl w:val="0"/>
        <w:ind w:left="851" w:right="851"/>
        <w:jc w:val="both"/>
        <w:rPr>
          <w:rFonts w:ascii="Abadi" w:eastAsia="Calibri" w:hAnsi="Abadi"/>
          <w:b/>
          <w:bCs/>
          <w:i/>
          <w:iCs/>
          <w:sz w:val="21"/>
          <w:szCs w:val="21"/>
          <w:lang w:val="es-MX" w:eastAsia="en-US"/>
        </w:rPr>
      </w:pPr>
      <w:r w:rsidRPr="00D16086">
        <w:rPr>
          <w:rFonts w:ascii="Abadi" w:eastAsia="Calibri" w:hAnsi="Abadi"/>
          <w:b/>
          <w:bCs/>
          <w:i/>
          <w:iCs/>
          <w:sz w:val="21"/>
          <w:szCs w:val="21"/>
          <w:lang w:val="es-MX" w:eastAsia="en-US"/>
        </w:rPr>
        <w:t>Observación 4. Consulta con personas con discapacidad.</w:t>
      </w:r>
    </w:p>
    <w:p w14:paraId="5079B356"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67E1CA00"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Finalmente, la Convención sobre los Derechos de las Personas con Discapacidad establece que en la elaboración y aplicación de legislación y políticas para hacer efectiva dicha convención, así como en otros procesos de adopción de decisiones sobre cuestiones relacionadas con las personas con discapacidad, los Estados Partes celebrarán consultas estrechas y colaborarán activamente con las personas con discapacidad, incluidos los niños y las niñas con discapacidad, a través de las organizaciones que las representan.</w:t>
      </w:r>
    </w:p>
    <w:p w14:paraId="5C0F4115"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5040AFB9"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 xml:space="preserve">Así, al tratarse la presente iniciativa sobre derechos de personas con discapacidad, </w:t>
      </w:r>
      <w:r w:rsidRPr="00D16086">
        <w:rPr>
          <w:rFonts w:ascii="Abadi" w:eastAsia="Calibri" w:hAnsi="Abadi"/>
          <w:b/>
          <w:bCs/>
          <w:i/>
          <w:iCs/>
          <w:sz w:val="21"/>
          <w:szCs w:val="21"/>
          <w:lang w:val="es-MX" w:eastAsia="en-US"/>
        </w:rPr>
        <w:t>se considera necesaria la realización de una consulta previa en términos de lo previsto por la Convención sobre los Derechos de las Personas con Discapacidad</w:t>
      </w:r>
      <w:r w:rsidRPr="00D16086">
        <w:rPr>
          <w:rFonts w:ascii="Abadi" w:eastAsia="Calibri" w:hAnsi="Abadi"/>
          <w:i/>
          <w:iCs/>
          <w:sz w:val="21"/>
          <w:szCs w:val="21"/>
          <w:lang w:val="es-MX" w:eastAsia="en-US"/>
        </w:rPr>
        <w:t>, puesto que es un requisito ineludible para asegurar la pertinencia y calidad de todas las acciones encaminadas a asegurar el pleno goce de los derechos de las personas con discapacidad.</w:t>
      </w:r>
    </w:p>
    <w:p w14:paraId="5CA23807"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564C4CFE"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 xml:space="preserve">Lo anterior, de conformidad con los lineamientos esgrimidos por la Suprema Corte de Justicia de la Nación en la sentencia relativa a la acción de inconstitucionalidad 68/2018, así como al artículo 4.3 de la Convención antes citada y a la Observación General 7 (2018) de su Comité intitulada: </w:t>
      </w:r>
      <w:r w:rsidRPr="00D16086">
        <w:rPr>
          <w:rFonts w:ascii="Abadi" w:eastAsia="Calibri" w:hAnsi="Abadi"/>
          <w:b/>
          <w:bCs/>
          <w:i/>
          <w:iCs/>
          <w:sz w:val="21"/>
          <w:szCs w:val="21"/>
          <w:lang w:val="es-MX" w:eastAsia="en-US"/>
        </w:rPr>
        <w:t>Sobre la participación de las personas con discapacidad, incluidos los niños y las niñas con discapacidad, a través de las organizaciones que las representan, en la aplicación y el seguimiento de la Convención</w:t>
      </w:r>
      <w:r w:rsidRPr="00D16086">
        <w:rPr>
          <w:rFonts w:ascii="Abadi" w:eastAsia="Calibri" w:hAnsi="Abadi"/>
          <w:i/>
          <w:iCs/>
          <w:sz w:val="21"/>
          <w:szCs w:val="21"/>
          <w:lang w:val="es-MX" w:eastAsia="en-US"/>
        </w:rPr>
        <w:t>, además de los criterios emanados del Manual para Parlamentarios de la Convención y su Protocolo Facultativo, concretamente en su capítulo 5 denominado: "La Legislación Nacional y la Convención".</w:t>
      </w:r>
    </w:p>
    <w:p w14:paraId="48328E0E"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56808A7F" w14:textId="77777777" w:rsidR="00D16086" w:rsidRPr="00D16086" w:rsidRDefault="00D16086" w:rsidP="00D16086">
      <w:pPr>
        <w:widowControl w:val="0"/>
        <w:ind w:left="1134" w:right="1134"/>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Inducir a personas con discapacidad a participar en el proceso legislativo</w:t>
      </w:r>
    </w:p>
    <w:p w14:paraId="1C4E1B0E" w14:textId="77777777" w:rsidR="00D16086" w:rsidRPr="00D16086" w:rsidRDefault="00D16086" w:rsidP="00D16086">
      <w:pPr>
        <w:widowControl w:val="0"/>
        <w:ind w:left="1134" w:right="1134"/>
        <w:jc w:val="both"/>
        <w:rPr>
          <w:rFonts w:ascii="Abadi" w:eastAsia="Calibri" w:hAnsi="Abadi"/>
          <w:i/>
          <w:iCs/>
          <w:sz w:val="21"/>
          <w:szCs w:val="21"/>
          <w:lang w:val="es-MX" w:eastAsia="en-US"/>
        </w:rPr>
      </w:pPr>
    </w:p>
    <w:p w14:paraId="7B70B7A8" w14:textId="77777777" w:rsidR="00D16086" w:rsidRPr="00D16086" w:rsidRDefault="00D16086" w:rsidP="00D16086">
      <w:pPr>
        <w:widowControl w:val="0"/>
        <w:ind w:left="1134" w:right="1134"/>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Las personas con discapacidad deben participar activamente en la redacción de legislación y otros procesos decisorios que les afecten, del mismo modo que participaron activamente en la redacción de la propia Convención.</w:t>
      </w:r>
    </w:p>
    <w:p w14:paraId="2E42A47D" w14:textId="77777777" w:rsidR="00D16086" w:rsidRPr="00D16086" w:rsidRDefault="00D16086" w:rsidP="00D16086">
      <w:pPr>
        <w:widowControl w:val="0"/>
        <w:ind w:left="1134" w:right="1134"/>
        <w:jc w:val="both"/>
        <w:rPr>
          <w:rFonts w:ascii="Abadi" w:eastAsia="Calibri" w:hAnsi="Abadi"/>
          <w:i/>
          <w:iCs/>
          <w:sz w:val="21"/>
          <w:szCs w:val="21"/>
          <w:lang w:val="es-MX" w:eastAsia="en-US"/>
        </w:rPr>
      </w:pPr>
    </w:p>
    <w:p w14:paraId="4DAD1E02" w14:textId="77777777" w:rsidR="00D16086" w:rsidRPr="00D16086" w:rsidRDefault="00D16086" w:rsidP="00D16086">
      <w:pPr>
        <w:widowControl w:val="0"/>
        <w:ind w:left="1134" w:right="1134"/>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También se les debe alentar a que presenten observaciones y ofrezcan asesoramiento cuando se apliquen las leyes. Hay diversas maneras de considerar todas las opiniones entre otras mediante audiencias públicas (con preaviso y publicidad suficientes,) solicitando presentaciones por escrito ante las comisiones parlamentarias pertinentes y distribuyendo todos los comentarios recibidos entre un público más amplio, a través de sitios web parlamentarios y por otros medios.</w:t>
      </w:r>
    </w:p>
    <w:p w14:paraId="05652153" w14:textId="77777777" w:rsidR="00D16086" w:rsidRPr="00D16086" w:rsidRDefault="00D16086" w:rsidP="00D16086">
      <w:pPr>
        <w:widowControl w:val="0"/>
        <w:ind w:left="1134" w:right="1134"/>
        <w:jc w:val="both"/>
        <w:rPr>
          <w:rFonts w:ascii="Abadi" w:eastAsia="Calibri" w:hAnsi="Abadi"/>
          <w:i/>
          <w:iCs/>
          <w:sz w:val="21"/>
          <w:szCs w:val="21"/>
          <w:lang w:val="es-MX" w:eastAsia="en-US"/>
        </w:rPr>
      </w:pPr>
    </w:p>
    <w:p w14:paraId="13BC2487" w14:textId="77777777" w:rsidR="00D16086" w:rsidRPr="00D16086" w:rsidRDefault="00D16086" w:rsidP="00D16086">
      <w:pPr>
        <w:widowControl w:val="0"/>
        <w:ind w:left="1134" w:right="1134"/>
        <w:jc w:val="both"/>
        <w:rPr>
          <w:rFonts w:ascii="Abadi" w:hAnsi="Abadi"/>
          <w:i/>
          <w:iCs/>
          <w:sz w:val="21"/>
          <w:szCs w:val="21"/>
          <w:lang w:val="es-MX" w:eastAsia="en-US"/>
        </w:rPr>
      </w:pPr>
      <w:r w:rsidRPr="00D16086">
        <w:rPr>
          <w:rFonts w:ascii="Abadi" w:eastAsia="Calibri" w:hAnsi="Abadi"/>
          <w:i/>
          <w:iCs/>
          <w:sz w:val="21"/>
          <w:szCs w:val="21"/>
          <w:lang w:val="es-MX" w:eastAsia="en-US"/>
        </w:rPr>
        <w:t>Los parlamentos deben velar por que sus leyes, procedimientos y documentación estén en formatos accesibles como macro tipos, Braille y lenguaje sencillo, con el fin de que las personas con discapacidad puedan participar plenamente en la elaboración de legislación en general y, específicamente, en relación con las cuestiones de discapacidad. El edificio del parlamento y otros lugares donde éste celebre audiencias deberán ser también accesibles a las personas con discapacidad.</w:t>
      </w:r>
    </w:p>
    <w:p w14:paraId="33D20B70" w14:textId="77777777" w:rsidR="00D16086" w:rsidRPr="00D16086" w:rsidRDefault="00D16086" w:rsidP="00D16086">
      <w:pPr>
        <w:widowControl w:val="0"/>
        <w:spacing w:line="360" w:lineRule="auto"/>
        <w:jc w:val="both"/>
        <w:rPr>
          <w:rFonts w:ascii="Abadi" w:hAnsi="Abadi"/>
          <w:sz w:val="21"/>
          <w:szCs w:val="21"/>
          <w:lang w:val="es-MX" w:eastAsia="en-US"/>
        </w:rPr>
      </w:pPr>
    </w:p>
    <w:p w14:paraId="1C0D8A9A" w14:textId="77777777" w:rsidR="00D16086" w:rsidRPr="00D16086" w:rsidRDefault="00D16086" w:rsidP="000417A9">
      <w:pPr>
        <w:widowControl w:val="0"/>
        <w:ind w:firstLine="851"/>
        <w:jc w:val="both"/>
        <w:rPr>
          <w:rFonts w:ascii="Abadi" w:eastAsia="Calibri" w:hAnsi="Abadi"/>
          <w:sz w:val="21"/>
          <w:szCs w:val="21"/>
          <w:lang w:val="es-MX" w:eastAsia="en-US"/>
        </w:rPr>
      </w:pPr>
      <w:r w:rsidRPr="00D16086">
        <w:rPr>
          <w:rFonts w:ascii="Abadi" w:eastAsia="Calibri" w:hAnsi="Abadi"/>
          <w:sz w:val="21"/>
          <w:szCs w:val="21"/>
          <w:lang w:val="es-MX" w:eastAsia="en-US"/>
        </w:rPr>
        <w:t>El Instituto de Investigaciones Legislativas en el estudio entregado concluyó que:</w:t>
      </w:r>
    </w:p>
    <w:p w14:paraId="4E8AF14A" w14:textId="77777777" w:rsidR="00D16086" w:rsidRPr="00D16086" w:rsidRDefault="00D16086" w:rsidP="00D16086">
      <w:pPr>
        <w:widowControl w:val="0"/>
        <w:spacing w:line="360" w:lineRule="auto"/>
        <w:ind w:firstLine="851"/>
        <w:jc w:val="both"/>
        <w:rPr>
          <w:rFonts w:ascii="Abadi" w:eastAsia="Calibri" w:hAnsi="Abadi"/>
          <w:sz w:val="21"/>
          <w:szCs w:val="21"/>
          <w:lang w:val="es-MX" w:eastAsia="en-US"/>
        </w:rPr>
      </w:pPr>
    </w:p>
    <w:p w14:paraId="43577854" w14:textId="77777777" w:rsidR="00D16086" w:rsidRPr="00D16086" w:rsidRDefault="00D16086" w:rsidP="00D16086">
      <w:pPr>
        <w:widowControl w:val="0"/>
        <w:ind w:left="851" w:right="851"/>
        <w:jc w:val="both"/>
        <w:rPr>
          <w:rFonts w:ascii="Abadi" w:eastAsia="Calibri" w:hAnsi="Abadi"/>
          <w:b/>
          <w:bCs/>
          <w:i/>
          <w:iCs/>
          <w:sz w:val="21"/>
          <w:szCs w:val="21"/>
          <w:lang w:val="es-MX" w:eastAsia="en-US"/>
        </w:rPr>
      </w:pPr>
      <w:bookmarkStart w:id="16" w:name="_Toc75174273"/>
      <w:r w:rsidRPr="00D16086">
        <w:rPr>
          <w:rFonts w:ascii="Abadi" w:eastAsia="Calibri" w:hAnsi="Abadi"/>
          <w:b/>
          <w:bCs/>
          <w:i/>
          <w:iCs/>
          <w:sz w:val="21"/>
          <w:szCs w:val="21"/>
          <w:lang w:val="es-MX" w:eastAsia="en-US"/>
        </w:rPr>
        <w:t>e) Conclusiones</w:t>
      </w:r>
      <w:bookmarkEnd w:id="16"/>
    </w:p>
    <w:p w14:paraId="0DAFFD32"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33911000"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La democracia tiene como fundamento la igualdad. La igualdad es un derecho humano que se encuentra establecido en convenciones internacionales y en nuestra Carta Magna, particularmente, en los artículos 1º y 4º constitucional. La igualdad en el goce de los derechos humanos de las personas discapacitadas, no son la excepción.</w:t>
      </w:r>
    </w:p>
    <w:p w14:paraId="5F1FA99D"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5CBACF2A"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En atención a la solicitud de la Comisión de Derechos Humanos y Atención a Grupos Vulnerables sobre la iniciativa que reforma y adiciona diversos ordenamientos estatales; el Instituto de Investigaciones Legislativas, emite la siguiente opinión:</w:t>
      </w:r>
    </w:p>
    <w:p w14:paraId="05AA6404"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74CB9430" w14:textId="77777777" w:rsidR="00D16086" w:rsidRPr="00D16086" w:rsidRDefault="00D16086" w:rsidP="00D16086">
      <w:pPr>
        <w:widowControl w:val="0"/>
        <w:ind w:left="851" w:right="851"/>
        <w:jc w:val="both"/>
        <w:rPr>
          <w:rFonts w:ascii="Abadi" w:eastAsia="Calibri" w:hAnsi="Abadi"/>
          <w:b/>
          <w:bCs/>
          <w:i/>
          <w:iCs/>
          <w:sz w:val="21"/>
          <w:szCs w:val="21"/>
          <w:lang w:val="es-MX" w:eastAsia="en-US"/>
        </w:rPr>
      </w:pPr>
      <w:r w:rsidRPr="00D16086">
        <w:rPr>
          <w:rFonts w:ascii="Abadi" w:eastAsia="Calibri" w:hAnsi="Abadi"/>
          <w:b/>
          <w:bCs/>
          <w:i/>
          <w:iCs/>
          <w:sz w:val="21"/>
          <w:szCs w:val="21"/>
          <w:lang w:val="es-MX" w:eastAsia="en-US"/>
        </w:rPr>
        <w:t>1. Ley para Prevenir, Atender y Erradicar la Discriminación en el Estado de Guanajuato</w:t>
      </w:r>
    </w:p>
    <w:p w14:paraId="4100F21E"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5C554C54"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b/>
          <w:i/>
          <w:iCs/>
          <w:sz w:val="21"/>
          <w:szCs w:val="21"/>
          <w:lang w:val="es-MX" w:eastAsia="en-US"/>
        </w:rPr>
        <w:t>1.1</w:t>
      </w:r>
      <w:r w:rsidRPr="00D16086">
        <w:rPr>
          <w:rFonts w:ascii="Abadi" w:eastAsia="Calibri" w:hAnsi="Abadi"/>
          <w:i/>
          <w:iCs/>
          <w:sz w:val="21"/>
          <w:szCs w:val="21"/>
          <w:lang w:val="es-MX" w:eastAsia="en-US"/>
        </w:rPr>
        <w:t xml:space="preserve"> La adición de una fracción XXXIII al artículo 8 de la </w:t>
      </w:r>
      <w:r w:rsidRPr="00D16086">
        <w:rPr>
          <w:rFonts w:ascii="Abadi" w:eastAsia="Calibri" w:hAnsi="Abadi"/>
          <w:b/>
          <w:bCs/>
          <w:i/>
          <w:iCs/>
          <w:sz w:val="21"/>
          <w:szCs w:val="21"/>
          <w:lang w:val="es-MX" w:eastAsia="en-US"/>
        </w:rPr>
        <w:t>Ley para Prevenir, Atender y Erradicar la Discriminación en el Estado de Guanajuato</w:t>
      </w:r>
      <w:r w:rsidRPr="00D16086">
        <w:rPr>
          <w:rFonts w:ascii="Abadi" w:eastAsia="Calibri" w:hAnsi="Abadi"/>
          <w:i/>
          <w:iCs/>
          <w:sz w:val="21"/>
          <w:szCs w:val="21"/>
          <w:lang w:val="es-MX" w:eastAsia="en-US"/>
        </w:rPr>
        <w:t xml:space="preserve">, puede generar una </w:t>
      </w:r>
      <w:r w:rsidRPr="00D16086">
        <w:rPr>
          <w:rFonts w:ascii="Abadi" w:eastAsia="Calibri" w:hAnsi="Abadi"/>
          <w:b/>
          <w:i/>
          <w:iCs/>
          <w:sz w:val="21"/>
          <w:szCs w:val="21"/>
          <w:lang w:val="es-MX" w:eastAsia="en-US"/>
        </w:rPr>
        <w:t>indeterminación semántica</w:t>
      </w:r>
      <w:r w:rsidRPr="00D16086">
        <w:rPr>
          <w:rFonts w:ascii="Abadi" w:eastAsia="Calibri" w:hAnsi="Abadi"/>
          <w:i/>
          <w:iCs/>
          <w:sz w:val="21"/>
          <w:szCs w:val="21"/>
          <w:lang w:val="es-MX" w:eastAsia="en-US"/>
        </w:rPr>
        <w:t xml:space="preserve"> al no precisarse si los “establecimientos privados” son abiertos al público o de uso público. Consecuentemente, existe una </w:t>
      </w:r>
      <w:r w:rsidRPr="00D16086">
        <w:rPr>
          <w:rFonts w:ascii="Abadi" w:eastAsia="Calibri" w:hAnsi="Abadi"/>
          <w:b/>
          <w:bCs/>
          <w:i/>
          <w:iCs/>
          <w:sz w:val="21"/>
          <w:szCs w:val="21"/>
          <w:lang w:val="es-MX" w:eastAsia="en-US"/>
        </w:rPr>
        <w:t>falta de racionalidad lingüística</w:t>
      </w:r>
      <w:r w:rsidRPr="00D16086">
        <w:rPr>
          <w:rFonts w:ascii="Abadi" w:eastAsia="Calibri" w:hAnsi="Abadi"/>
          <w:i/>
          <w:iCs/>
          <w:sz w:val="21"/>
          <w:szCs w:val="21"/>
          <w:lang w:val="es-MX" w:eastAsia="en-US"/>
        </w:rPr>
        <w:t>; y,</w:t>
      </w:r>
    </w:p>
    <w:p w14:paraId="4F5E0DC7"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66436E45"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b/>
          <w:bCs/>
          <w:i/>
          <w:iCs/>
          <w:sz w:val="21"/>
          <w:szCs w:val="21"/>
          <w:lang w:val="es-MX" w:eastAsia="en-US"/>
        </w:rPr>
        <w:t>1.2</w:t>
      </w:r>
      <w:r w:rsidRPr="00D16086">
        <w:rPr>
          <w:rFonts w:ascii="Abadi" w:eastAsia="Calibri" w:hAnsi="Abadi"/>
          <w:i/>
          <w:iCs/>
          <w:sz w:val="21"/>
          <w:szCs w:val="21"/>
          <w:lang w:val="es-MX" w:eastAsia="en-US"/>
        </w:rPr>
        <w:t xml:space="preserve"> Respecto a la reforma de la fracción IV del artículo 24 de la </w:t>
      </w:r>
      <w:r w:rsidRPr="00D16086">
        <w:rPr>
          <w:rFonts w:ascii="Abadi" w:eastAsia="Calibri" w:hAnsi="Abadi"/>
          <w:b/>
          <w:bCs/>
          <w:i/>
          <w:iCs/>
          <w:sz w:val="21"/>
          <w:szCs w:val="21"/>
          <w:lang w:val="es-MX" w:eastAsia="en-US"/>
        </w:rPr>
        <w:t>Ley para Prevenir, Atender y Erradicar la Discriminación en el Estado de Guanajuato,</w:t>
      </w:r>
      <w:r w:rsidRPr="00D16086">
        <w:rPr>
          <w:rFonts w:ascii="Abadi" w:eastAsia="Calibri" w:hAnsi="Abadi"/>
          <w:i/>
          <w:iCs/>
          <w:sz w:val="21"/>
          <w:szCs w:val="21"/>
          <w:lang w:val="es-MX" w:eastAsia="en-US"/>
        </w:rPr>
        <w:t xml:space="preserve"> se observa que la discapacidad es una modalidad o motivo de discriminación, que está implícita el texto vigente que, alude a la </w:t>
      </w:r>
      <w:r w:rsidRPr="00D16086">
        <w:rPr>
          <w:rFonts w:ascii="Abadi" w:eastAsia="Calibri" w:hAnsi="Abadi"/>
          <w:b/>
          <w:i/>
          <w:iCs/>
          <w:sz w:val="21"/>
          <w:szCs w:val="21"/>
          <w:lang w:val="es-MX" w:eastAsia="en-US"/>
        </w:rPr>
        <w:t>“no discriminación”</w:t>
      </w:r>
      <w:r w:rsidRPr="00D16086">
        <w:rPr>
          <w:rFonts w:ascii="Abadi" w:eastAsia="Calibri" w:hAnsi="Abadi"/>
          <w:i/>
          <w:iCs/>
          <w:sz w:val="21"/>
          <w:szCs w:val="21"/>
          <w:lang w:val="es-MX" w:eastAsia="en-US"/>
        </w:rPr>
        <w:t xml:space="preserve"> resultando la discriminación el género y la discapacidad la especie. Consecuentemente, la propuesta de reforma resulta redundante y </w:t>
      </w:r>
      <w:r w:rsidRPr="00D16086">
        <w:rPr>
          <w:rFonts w:ascii="Abadi" w:eastAsia="Calibri" w:hAnsi="Abadi"/>
          <w:b/>
          <w:bCs/>
          <w:i/>
          <w:iCs/>
          <w:sz w:val="21"/>
          <w:szCs w:val="21"/>
          <w:lang w:val="es-MX" w:eastAsia="en-US"/>
        </w:rPr>
        <w:t>vulnera la armonía del texto jurídico y, por ende, la racionalidad lógico formal,</w:t>
      </w:r>
      <w:r w:rsidRPr="00D16086">
        <w:rPr>
          <w:rFonts w:ascii="Abadi" w:eastAsia="Calibri" w:hAnsi="Abadi"/>
          <w:i/>
          <w:iCs/>
          <w:sz w:val="21"/>
          <w:szCs w:val="21"/>
          <w:lang w:val="es-MX" w:eastAsia="en-US"/>
        </w:rPr>
        <w:t xml:space="preserve"> además una </w:t>
      </w:r>
      <w:r w:rsidRPr="00D16086">
        <w:rPr>
          <w:rFonts w:ascii="Abadi" w:eastAsia="Calibri" w:hAnsi="Abadi"/>
          <w:b/>
          <w:bCs/>
          <w:i/>
          <w:iCs/>
          <w:sz w:val="21"/>
          <w:szCs w:val="21"/>
          <w:lang w:val="es-MX" w:eastAsia="en-US"/>
        </w:rPr>
        <w:t>característica esencial de la ley</w:t>
      </w:r>
      <w:r w:rsidRPr="00D16086">
        <w:rPr>
          <w:rFonts w:ascii="Abadi" w:eastAsia="Calibri" w:hAnsi="Abadi"/>
          <w:i/>
          <w:iCs/>
          <w:sz w:val="21"/>
          <w:szCs w:val="21"/>
          <w:lang w:val="es-MX" w:eastAsia="en-US"/>
        </w:rPr>
        <w:t xml:space="preserve"> es la </w:t>
      </w:r>
      <w:r w:rsidRPr="00D16086">
        <w:rPr>
          <w:rFonts w:ascii="Abadi" w:eastAsia="Calibri" w:hAnsi="Abadi"/>
          <w:b/>
          <w:bCs/>
          <w:i/>
          <w:iCs/>
          <w:sz w:val="21"/>
          <w:szCs w:val="21"/>
          <w:lang w:val="es-MX" w:eastAsia="en-US"/>
        </w:rPr>
        <w:t>generalidad</w:t>
      </w:r>
      <w:r w:rsidRPr="00D16086">
        <w:rPr>
          <w:rFonts w:ascii="Abadi" w:eastAsia="Calibri" w:hAnsi="Abadi"/>
          <w:i/>
          <w:iCs/>
          <w:sz w:val="21"/>
          <w:szCs w:val="21"/>
          <w:lang w:val="es-MX" w:eastAsia="en-US"/>
        </w:rPr>
        <w:t>.</w:t>
      </w:r>
    </w:p>
    <w:p w14:paraId="43EA4B3F"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0E55853C" w14:textId="77777777" w:rsidR="00D16086" w:rsidRPr="00D16086" w:rsidRDefault="00D16086" w:rsidP="00D16086">
      <w:pPr>
        <w:widowControl w:val="0"/>
        <w:ind w:left="851" w:right="851"/>
        <w:jc w:val="both"/>
        <w:rPr>
          <w:rFonts w:ascii="Abadi" w:eastAsia="Calibri" w:hAnsi="Abadi"/>
          <w:b/>
          <w:bCs/>
          <w:i/>
          <w:iCs/>
          <w:sz w:val="21"/>
          <w:szCs w:val="21"/>
          <w:lang w:val="es-MX" w:eastAsia="en-US"/>
        </w:rPr>
      </w:pPr>
      <w:r w:rsidRPr="00D16086">
        <w:rPr>
          <w:rFonts w:ascii="Abadi" w:eastAsia="Calibri" w:hAnsi="Abadi"/>
          <w:b/>
          <w:bCs/>
          <w:i/>
          <w:iCs/>
          <w:sz w:val="21"/>
          <w:szCs w:val="21"/>
          <w:lang w:val="es-MX" w:eastAsia="en-US"/>
        </w:rPr>
        <w:t>2. Ley de Inclusión para las Personas con Discapacidad en el Estado de Guanajuato</w:t>
      </w:r>
    </w:p>
    <w:p w14:paraId="01E4FE01"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48F13079" w14:textId="77777777" w:rsidR="00D16086" w:rsidRPr="00D16086" w:rsidRDefault="00D16086" w:rsidP="00D16086">
      <w:pPr>
        <w:widowControl w:val="0"/>
        <w:ind w:left="851" w:right="851"/>
        <w:jc w:val="both"/>
        <w:rPr>
          <w:rFonts w:ascii="Abadi" w:eastAsia="Calibri" w:hAnsi="Abadi"/>
          <w:b/>
          <w:i/>
          <w:iCs/>
          <w:sz w:val="21"/>
          <w:szCs w:val="21"/>
          <w:lang w:val="es-MX" w:eastAsia="en-US"/>
        </w:rPr>
      </w:pPr>
      <w:r w:rsidRPr="00D16086">
        <w:rPr>
          <w:rFonts w:ascii="Abadi" w:eastAsia="Calibri" w:hAnsi="Abadi"/>
          <w:b/>
          <w:i/>
          <w:iCs/>
          <w:sz w:val="21"/>
          <w:szCs w:val="21"/>
          <w:lang w:val="es-MX" w:eastAsia="en-US"/>
        </w:rPr>
        <w:t>2.1</w:t>
      </w:r>
      <w:r w:rsidRPr="00D16086">
        <w:rPr>
          <w:rFonts w:ascii="Abadi" w:eastAsia="Calibri" w:hAnsi="Abadi"/>
          <w:i/>
          <w:iCs/>
          <w:sz w:val="21"/>
          <w:szCs w:val="21"/>
          <w:lang w:val="es-MX" w:eastAsia="en-US"/>
        </w:rPr>
        <w:t xml:space="preserve"> Respecto a la reforma de la fracción XVI del artículo 4 de la Ley de Inclusión para las Personas con Discapacidad en el Estado de Guanajuato, se observa que </w:t>
      </w:r>
      <w:r w:rsidRPr="00D16086">
        <w:rPr>
          <w:rFonts w:ascii="Abadi" w:eastAsia="Calibri" w:hAnsi="Abadi"/>
          <w:b/>
          <w:bCs/>
          <w:i/>
          <w:iCs/>
          <w:sz w:val="21"/>
          <w:szCs w:val="21"/>
          <w:lang w:val="es-MX" w:eastAsia="en-US"/>
        </w:rPr>
        <w:t>la propuesta de reforma se armoniza con el artículo 3 de la Ley General en comento y, consecuentemente, preserva la unidad y sistematicidad jurídica, lo cual denota la racionalidad lógico formal</w:t>
      </w:r>
      <w:r w:rsidRPr="00D16086">
        <w:rPr>
          <w:rFonts w:ascii="Abadi" w:eastAsia="Calibri" w:hAnsi="Abadi"/>
          <w:i/>
          <w:iCs/>
          <w:sz w:val="21"/>
          <w:szCs w:val="21"/>
          <w:lang w:val="es-MX" w:eastAsia="en-US"/>
        </w:rPr>
        <w:t xml:space="preserve">. Solo se hace hincapié -como ya se apuntó- que los </w:t>
      </w:r>
      <w:r w:rsidRPr="00D16086">
        <w:rPr>
          <w:rFonts w:ascii="Abadi" w:eastAsia="Calibri" w:hAnsi="Abadi"/>
          <w:b/>
          <w:i/>
          <w:iCs/>
          <w:sz w:val="21"/>
          <w:szCs w:val="21"/>
          <w:lang w:val="es-MX" w:eastAsia="en-US"/>
        </w:rPr>
        <w:t>tipos de discapacidad (auditiva, visual, intelectual de lenguaje psico social)</w:t>
      </w:r>
      <w:r w:rsidRPr="00D16086">
        <w:rPr>
          <w:rFonts w:ascii="Abadi" w:eastAsia="Calibri" w:hAnsi="Abadi"/>
          <w:i/>
          <w:iCs/>
          <w:sz w:val="21"/>
          <w:szCs w:val="21"/>
          <w:lang w:val="es-MX" w:eastAsia="en-US"/>
        </w:rPr>
        <w:t xml:space="preserve">, que se plantean en la iniciativa están implícitos en las definiciones de </w:t>
      </w:r>
      <w:r w:rsidRPr="00D16086">
        <w:rPr>
          <w:rFonts w:ascii="Abadi" w:eastAsia="Calibri" w:hAnsi="Abadi"/>
          <w:b/>
          <w:i/>
          <w:iCs/>
          <w:sz w:val="21"/>
          <w:szCs w:val="21"/>
          <w:lang w:val="es-MX" w:eastAsia="en-US"/>
        </w:rPr>
        <w:t>discapacidades física, mental, intelectual y sensorial establecidas en el artículo 2 de la Ley General para la Inclusión de las Personas con Discapacidad.</w:t>
      </w:r>
    </w:p>
    <w:p w14:paraId="67DD7011" w14:textId="77777777" w:rsidR="00D16086" w:rsidRPr="00D16086" w:rsidRDefault="00D16086" w:rsidP="00D16086">
      <w:pPr>
        <w:widowControl w:val="0"/>
        <w:ind w:left="851" w:right="851"/>
        <w:jc w:val="both"/>
        <w:rPr>
          <w:rFonts w:ascii="Abadi" w:eastAsia="Calibri" w:hAnsi="Abadi"/>
          <w:bCs/>
          <w:i/>
          <w:iCs/>
          <w:sz w:val="21"/>
          <w:szCs w:val="21"/>
          <w:lang w:val="es-MX" w:eastAsia="en-US"/>
        </w:rPr>
      </w:pPr>
    </w:p>
    <w:p w14:paraId="3521326A"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b/>
          <w:bCs/>
          <w:i/>
          <w:iCs/>
          <w:sz w:val="21"/>
          <w:szCs w:val="21"/>
          <w:lang w:val="es-MX" w:eastAsia="en-US"/>
        </w:rPr>
        <w:t>2.2</w:t>
      </w:r>
      <w:r w:rsidRPr="00D16086">
        <w:rPr>
          <w:rFonts w:ascii="Abadi" w:eastAsia="Calibri" w:hAnsi="Abadi"/>
          <w:i/>
          <w:iCs/>
          <w:sz w:val="21"/>
          <w:szCs w:val="21"/>
          <w:lang w:val="es-MX" w:eastAsia="en-US"/>
        </w:rPr>
        <w:t xml:space="preserve"> En relación con las adiciones de los párrafos segundo y tercero del artículo 7 de la Ley de Inclusión para las Personas con Discapacidad en el Estado de Guanajuato, se observa que </w:t>
      </w:r>
      <w:r w:rsidRPr="00D16086">
        <w:rPr>
          <w:rFonts w:ascii="Abadi" w:eastAsia="Calibri" w:hAnsi="Abadi"/>
          <w:b/>
          <w:bCs/>
          <w:i/>
          <w:iCs/>
          <w:sz w:val="21"/>
          <w:szCs w:val="21"/>
          <w:lang w:val="es-MX" w:eastAsia="en-US"/>
        </w:rPr>
        <w:t>el uso del símbolo de accesibilidad universal no tiene efectos jurídicos ni es vinculatorio</w:t>
      </w:r>
      <w:r w:rsidRPr="00D16086">
        <w:rPr>
          <w:rFonts w:ascii="Abadi" w:eastAsia="Calibri" w:hAnsi="Abadi"/>
          <w:i/>
          <w:iCs/>
          <w:sz w:val="21"/>
          <w:szCs w:val="21"/>
          <w:lang w:val="es-MX" w:eastAsia="en-US"/>
        </w:rPr>
        <w:t xml:space="preserve">. En perspectiva comparada, se observa que el artículo 2, fracción VI, de la Ley para la Inclusión de las Personas con Discapacidad del Estado de Chiapas, alude al </w:t>
      </w:r>
      <w:r w:rsidRPr="00D16086">
        <w:rPr>
          <w:rFonts w:ascii="Abadi" w:eastAsia="Calibri" w:hAnsi="Abadi"/>
          <w:b/>
          <w:bCs/>
          <w:i/>
          <w:iCs/>
          <w:sz w:val="21"/>
          <w:szCs w:val="21"/>
          <w:lang w:val="es-MX" w:eastAsia="en-US"/>
        </w:rPr>
        <w:t>“logotipo internacional de la discapacidad”, sin particularizar</w:t>
      </w:r>
      <w:r w:rsidRPr="00D16086">
        <w:rPr>
          <w:rFonts w:ascii="Abadi" w:eastAsia="Calibri" w:hAnsi="Abadi"/>
          <w:i/>
          <w:iCs/>
          <w:sz w:val="21"/>
          <w:szCs w:val="21"/>
          <w:lang w:val="es-MX" w:eastAsia="en-US"/>
        </w:rPr>
        <w:t>.</w:t>
      </w:r>
    </w:p>
    <w:p w14:paraId="5597D81C"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3D4A8E94"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b/>
          <w:bCs/>
          <w:i/>
          <w:iCs/>
          <w:sz w:val="21"/>
          <w:szCs w:val="21"/>
          <w:lang w:val="es-MX" w:eastAsia="en-US"/>
        </w:rPr>
        <w:t>2.3</w:t>
      </w:r>
      <w:r w:rsidRPr="00D16086">
        <w:rPr>
          <w:rFonts w:ascii="Abadi" w:eastAsia="Calibri" w:hAnsi="Abadi"/>
          <w:i/>
          <w:iCs/>
          <w:sz w:val="21"/>
          <w:szCs w:val="21"/>
          <w:lang w:val="es-MX" w:eastAsia="en-US"/>
        </w:rPr>
        <w:t xml:space="preserve"> Referente a la adición de la fracción II quáter del artículo 13 de la Ley de Inclusión para las Personas con Discapacidad en el Estado de Guanajuato, se observa que </w:t>
      </w:r>
      <w:r w:rsidRPr="00D16086">
        <w:rPr>
          <w:rFonts w:ascii="Abadi" w:eastAsia="Calibri" w:hAnsi="Abadi"/>
          <w:b/>
          <w:bCs/>
          <w:i/>
          <w:iCs/>
          <w:sz w:val="21"/>
          <w:szCs w:val="21"/>
          <w:lang w:val="es-MX" w:eastAsia="en-US"/>
        </w:rPr>
        <w:t>resulta compatible</w:t>
      </w:r>
      <w:r w:rsidRPr="00D16086">
        <w:rPr>
          <w:rFonts w:ascii="Abadi" w:eastAsia="Calibri" w:hAnsi="Abadi"/>
          <w:i/>
          <w:iCs/>
          <w:sz w:val="21"/>
          <w:szCs w:val="21"/>
          <w:lang w:val="es-MX" w:eastAsia="en-US"/>
        </w:rPr>
        <w:t xml:space="preserve"> integrar al </w:t>
      </w:r>
      <w:r w:rsidRPr="00D16086">
        <w:rPr>
          <w:rFonts w:ascii="Abadi" w:eastAsia="Calibri" w:hAnsi="Abadi"/>
          <w:b/>
          <w:i/>
          <w:iCs/>
          <w:sz w:val="21"/>
          <w:szCs w:val="21"/>
          <w:lang w:val="es-MX" w:eastAsia="en-US"/>
        </w:rPr>
        <w:t xml:space="preserve">titular de la Coordinación Estatal de Protección Civil </w:t>
      </w:r>
      <w:r w:rsidRPr="00D16086">
        <w:rPr>
          <w:rFonts w:ascii="Abadi" w:eastAsia="Calibri" w:hAnsi="Abadi"/>
          <w:i/>
          <w:iCs/>
          <w:sz w:val="21"/>
          <w:szCs w:val="21"/>
          <w:lang w:val="es-MX" w:eastAsia="en-US"/>
        </w:rPr>
        <w:t>al Consejo Directivo del Instituto Guanajuatense para las Personas con Discapacidad, debido a su cargo y funciones.</w:t>
      </w:r>
    </w:p>
    <w:p w14:paraId="704C8686"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42D1BCD0"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b/>
          <w:i/>
          <w:iCs/>
          <w:sz w:val="21"/>
          <w:szCs w:val="21"/>
          <w:lang w:val="es-MX" w:eastAsia="en-US"/>
        </w:rPr>
        <w:t>2.4</w:t>
      </w:r>
      <w:r w:rsidRPr="00D16086">
        <w:rPr>
          <w:rFonts w:ascii="Abadi" w:eastAsia="Calibri" w:hAnsi="Abadi"/>
          <w:i/>
          <w:iCs/>
          <w:sz w:val="21"/>
          <w:szCs w:val="21"/>
          <w:lang w:val="es-MX" w:eastAsia="en-US"/>
        </w:rPr>
        <w:t xml:space="preserve"> Las adiciones que se proponen en los artículos 27, fracción II bis – en materia de salud– ; 28, fracción II bis –en materia de educación –; 30, fracción II bis –en materia de trabajo–; 32, fracción II bis –en materia de transporte–; 33, fracción I bis –en materia deportiva–; y 35, párrafo tercero, se observa que las propuestas de adición </w:t>
      </w:r>
      <w:r w:rsidRPr="00D16086">
        <w:rPr>
          <w:rFonts w:ascii="Abadi" w:eastAsia="Calibri" w:hAnsi="Abadi"/>
          <w:b/>
          <w:bCs/>
          <w:i/>
          <w:iCs/>
          <w:sz w:val="21"/>
          <w:szCs w:val="21"/>
          <w:lang w:val="es-MX" w:eastAsia="en-US"/>
        </w:rPr>
        <w:t>adolecen de viabilidad financiera</w:t>
      </w:r>
      <w:r w:rsidRPr="00D16086">
        <w:rPr>
          <w:rFonts w:ascii="Abadi" w:eastAsia="Calibri" w:hAnsi="Abadi"/>
          <w:i/>
          <w:iCs/>
          <w:sz w:val="21"/>
          <w:szCs w:val="21"/>
          <w:lang w:val="es-MX" w:eastAsia="en-US"/>
        </w:rPr>
        <w:t xml:space="preserve">, fundamentalmente, porque la acción de implementar las políticas públicas se atribuye solo al Poder Ejecutivo del Estado y no al Poder Legislativo del Estado, a pesar de ser una acción compartida. Además, para que la ley sea efectivamente cumplida por sus destinatarios, el monto de los recursos asignados en el presupuesto de egresos para ejercicio fiscal del año 2022 debe considerarse para que haya una racionalidad económica </w:t>
      </w:r>
      <w:sdt>
        <w:sdtPr>
          <w:rPr>
            <w:rFonts w:ascii="Abadi" w:eastAsia="Calibri" w:hAnsi="Abadi"/>
            <w:i/>
            <w:iCs/>
            <w:sz w:val="21"/>
            <w:szCs w:val="21"/>
            <w:lang w:val="es-MX" w:eastAsia="en-US"/>
          </w:rPr>
          <w:id w:val="-915858366"/>
          <w:citation/>
        </w:sdtPr>
        <w:sdtEndPr/>
        <w:sdtContent>
          <w:r w:rsidRPr="00D16086">
            <w:rPr>
              <w:rFonts w:ascii="Abadi" w:eastAsia="Calibri" w:hAnsi="Abadi"/>
              <w:i/>
              <w:iCs/>
              <w:sz w:val="21"/>
              <w:szCs w:val="21"/>
              <w:lang w:val="es-MX" w:eastAsia="en-US"/>
            </w:rPr>
            <w:fldChar w:fldCharType="begin"/>
          </w:r>
          <w:r w:rsidRPr="00D16086">
            <w:rPr>
              <w:rFonts w:ascii="Abadi" w:eastAsia="Calibri" w:hAnsi="Abadi"/>
              <w:i/>
              <w:iCs/>
              <w:sz w:val="21"/>
              <w:szCs w:val="21"/>
              <w:lang w:val="es-MX" w:eastAsia="en-US"/>
            </w:rPr>
            <w:instrText xml:space="preserve">CITATION MarcadorDePosición4 \l 2058 </w:instrText>
          </w:r>
          <w:r w:rsidRPr="00D16086">
            <w:rPr>
              <w:rFonts w:ascii="Abadi" w:eastAsia="Calibri" w:hAnsi="Abadi"/>
              <w:i/>
              <w:iCs/>
              <w:sz w:val="21"/>
              <w:szCs w:val="21"/>
              <w:lang w:val="es-MX" w:eastAsia="en-US"/>
            </w:rPr>
            <w:fldChar w:fldCharType="separate"/>
          </w:r>
          <w:r w:rsidRPr="00D16086">
            <w:rPr>
              <w:rFonts w:ascii="Abadi" w:eastAsia="Calibri" w:hAnsi="Abadi"/>
              <w:i/>
              <w:iCs/>
              <w:sz w:val="21"/>
              <w:szCs w:val="21"/>
              <w:lang w:val="es-MX" w:eastAsia="en-US"/>
            </w:rPr>
            <w:t>(Atienza, 2000)</w:t>
          </w:r>
          <w:r w:rsidRPr="00D16086">
            <w:rPr>
              <w:rFonts w:ascii="Abadi" w:eastAsia="Calibri" w:hAnsi="Abadi"/>
              <w:i/>
              <w:iCs/>
              <w:sz w:val="21"/>
              <w:szCs w:val="21"/>
              <w:lang w:val="es-MX" w:eastAsia="en-US"/>
            </w:rPr>
            <w:fldChar w:fldCharType="end"/>
          </w:r>
        </w:sdtContent>
      </w:sdt>
      <w:r w:rsidRPr="00D16086">
        <w:rPr>
          <w:rFonts w:ascii="Abadi" w:eastAsia="Calibri" w:hAnsi="Abadi"/>
          <w:i/>
          <w:iCs/>
          <w:sz w:val="21"/>
          <w:szCs w:val="21"/>
          <w:lang w:val="es-MX" w:eastAsia="en-US"/>
        </w:rPr>
        <w:t>. De lo contrario, la ley sería letra “muerta”.</w:t>
      </w:r>
    </w:p>
    <w:p w14:paraId="03455467"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15C3A8EB"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 xml:space="preserve">En cuanto a la adición de un tercer párrafo al artículo 35 de la Ley de Inclusión para las Personas con Discapacidad en el Estado de Guanajuato, como ya se comentó, </w:t>
      </w:r>
      <w:r w:rsidRPr="00D16086">
        <w:rPr>
          <w:rFonts w:ascii="Abadi" w:eastAsia="Calibri" w:hAnsi="Abadi"/>
          <w:b/>
          <w:bCs/>
          <w:i/>
          <w:iCs/>
          <w:sz w:val="21"/>
          <w:szCs w:val="21"/>
          <w:lang w:val="es-MX" w:eastAsia="en-US"/>
        </w:rPr>
        <w:t>el uso del símbolo de accesibilidad universal no tiene efectos jurídicos ni es vinculatorio</w:t>
      </w:r>
      <w:r w:rsidRPr="00D16086">
        <w:rPr>
          <w:rFonts w:ascii="Abadi" w:eastAsia="Calibri" w:hAnsi="Abadi"/>
          <w:i/>
          <w:iCs/>
          <w:sz w:val="21"/>
          <w:szCs w:val="21"/>
          <w:lang w:val="es-MX" w:eastAsia="en-US"/>
        </w:rPr>
        <w:t>.</w:t>
      </w:r>
    </w:p>
    <w:p w14:paraId="0E340D61"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7DF1E9B9" w14:textId="77777777" w:rsidR="00D16086" w:rsidRPr="00D16086" w:rsidRDefault="00D16086" w:rsidP="00D16086">
      <w:pPr>
        <w:widowControl w:val="0"/>
        <w:ind w:left="851" w:right="851"/>
        <w:jc w:val="both"/>
        <w:rPr>
          <w:rFonts w:ascii="Abadi" w:eastAsia="Calibri" w:hAnsi="Abadi"/>
          <w:b/>
          <w:bCs/>
          <w:i/>
          <w:iCs/>
          <w:sz w:val="21"/>
          <w:szCs w:val="21"/>
          <w:lang w:val="es-MX" w:eastAsia="en-US"/>
        </w:rPr>
      </w:pPr>
      <w:r w:rsidRPr="00D16086">
        <w:rPr>
          <w:rFonts w:ascii="Abadi" w:eastAsia="Calibri" w:hAnsi="Abadi"/>
          <w:b/>
          <w:bCs/>
          <w:i/>
          <w:iCs/>
          <w:sz w:val="21"/>
          <w:szCs w:val="21"/>
          <w:lang w:val="es-MX" w:eastAsia="en-US"/>
        </w:rPr>
        <w:t>3. Ley de Protección Civil para el Estado de Guanajuato</w:t>
      </w:r>
    </w:p>
    <w:p w14:paraId="44A053D8"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55BD6633"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 xml:space="preserve">La reforma al artículo 46; y, adiciones de los artículos 24, fracción XX bis; y 45, párrafo tercero de la Ley de Protección Civil para el Estado de Guanajuato, se observa -como ya se comentó- </w:t>
      </w:r>
      <w:r w:rsidRPr="00D16086">
        <w:rPr>
          <w:rFonts w:ascii="Abadi" w:eastAsia="Calibri" w:hAnsi="Abadi"/>
          <w:b/>
          <w:bCs/>
          <w:i/>
          <w:iCs/>
          <w:sz w:val="21"/>
          <w:szCs w:val="21"/>
          <w:lang w:val="es-MX" w:eastAsia="en-US"/>
        </w:rPr>
        <w:t>que el uso del símbolo de accesibilidad universal no tiene efectos jurídicos ni es vinculatorio</w:t>
      </w:r>
      <w:r w:rsidRPr="00D16086">
        <w:rPr>
          <w:rFonts w:ascii="Abadi" w:eastAsia="Calibri" w:hAnsi="Abadi"/>
          <w:i/>
          <w:iCs/>
          <w:sz w:val="21"/>
          <w:szCs w:val="21"/>
          <w:lang w:val="es-MX" w:eastAsia="en-US"/>
        </w:rPr>
        <w:t>.</w:t>
      </w:r>
    </w:p>
    <w:p w14:paraId="66DFA2CC" w14:textId="77777777" w:rsidR="00D16086" w:rsidRPr="00D16086" w:rsidRDefault="00D16086" w:rsidP="00D16086">
      <w:pPr>
        <w:widowControl w:val="0"/>
        <w:spacing w:line="360" w:lineRule="auto"/>
        <w:jc w:val="both"/>
        <w:rPr>
          <w:rFonts w:ascii="Abadi" w:hAnsi="Abadi"/>
          <w:sz w:val="21"/>
          <w:szCs w:val="21"/>
          <w:lang w:val="es-MX" w:eastAsia="en-US"/>
        </w:rPr>
      </w:pPr>
    </w:p>
    <w:p w14:paraId="2C754D25" w14:textId="77777777" w:rsidR="00D16086" w:rsidRPr="00D16086" w:rsidRDefault="00D16086" w:rsidP="00D16086">
      <w:pPr>
        <w:widowControl w:val="0"/>
        <w:spacing w:line="360" w:lineRule="auto"/>
        <w:ind w:firstLine="851"/>
        <w:jc w:val="both"/>
        <w:rPr>
          <w:rFonts w:ascii="Abadi" w:eastAsia="Calibri" w:hAnsi="Abadi"/>
          <w:sz w:val="21"/>
          <w:szCs w:val="21"/>
          <w:lang w:val="es-MX" w:eastAsia="en-US"/>
        </w:rPr>
      </w:pPr>
      <w:r w:rsidRPr="00D16086">
        <w:rPr>
          <w:rFonts w:ascii="Abadi" w:eastAsia="Calibri" w:hAnsi="Abadi"/>
          <w:sz w:val="21"/>
          <w:szCs w:val="21"/>
          <w:lang w:val="es-MX" w:eastAsia="en-US"/>
        </w:rPr>
        <w:t>Finalmente, la Unidad de Estudios de las Finanzas Públicas concluyó que:</w:t>
      </w:r>
    </w:p>
    <w:p w14:paraId="2B1D4089" w14:textId="77777777" w:rsidR="00D16086" w:rsidRPr="00D16086" w:rsidRDefault="00D16086" w:rsidP="00D16086">
      <w:pPr>
        <w:widowControl w:val="0"/>
        <w:spacing w:line="360" w:lineRule="auto"/>
        <w:jc w:val="both"/>
        <w:rPr>
          <w:rFonts w:ascii="Abadi" w:eastAsia="Calibri" w:hAnsi="Abadi"/>
          <w:sz w:val="21"/>
          <w:szCs w:val="21"/>
          <w:lang w:val="es-MX" w:eastAsia="en-US"/>
        </w:rPr>
      </w:pPr>
    </w:p>
    <w:p w14:paraId="1C41952C" w14:textId="77777777" w:rsidR="00D16086" w:rsidRPr="00D16086" w:rsidRDefault="00D16086" w:rsidP="00D16086">
      <w:pPr>
        <w:widowControl w:val="0"/>
        <w:ind w:left="851" w:right="851"/>
        <w:jc w:val="both"/>
        <w:rPr>
          <w:rFonts w:ascii="Abadi" w:eastAsia="Calibri" w:hAnsi="Abadi"/>
          <w:b/>
          <w:bCs/>
          <w:i/>
          <w:iCs/>
          <w:sz w:val="21"/>
          <w:szCs w:val="21"/>
          <w:lang w:val="es-MX" w:eastAsia="en-US"/>
        </w:rPr>
      </w:pPr>
      <w:r w:rsidRPr="00D16086">
        <w:rPr>
          <w:rFonts w:ascii="Abadi" w:eastAsia="Calibri" w:hAnsi="Abadi"/>
          <w:b/>
          <w:bCs/>
          <w:i/>
          <w:iCs/>
          <w:sz w:val="21"/>
          <w:szCs w:val="21"/>
          <w:lang w:val="es-MX" w:eastAsia="en-US"/>
        </w:rPr>
        <w:t>IV. Conclusiones del Estudio:</w:t>
      </w:r>
    </w:p>
    <w:p w14:paraId="1B0484D0" w14:textId="77777777" w:rsidR="00D16086" w:rsidRPr="00D16086" w:rsidRDefault="00D16086" w:rsidP="00D16086">
      <w:pPr>
        <w:widowControl w:val="0"/>
        <w:ind w:left="851" w:right="851"/>
        <w:jc w:val="both"/>
        <w:rPr>
          <w:rFonts w:ascii="Abadi" w:eastAsia="Calibri" w:hAnsi="Abadi"/>
          <w:i/>
          <w:iCs/>
          <w:sz w:val="21"/>
          <w:szCs w:val="21"/>
          <w:lang w:val="es-MX" w:eastAsia="en-US"/>
        </w:rPr>
      </w:pPr>
    </w:p>
    <w:p w14:paraId="1767F283" w14:textId="77777777" w:rsidR="00D16086" w:rsidRPr="00D16086" w:rsidRDefault="00D16086" w:rsidP="00D16086">
      <w:pPr>
        <w:widowControl w:val="0"/>
        <w:ind w:left="851" w:right="851"/>
        <w:jc w:val="both"/>
        <w:rPr>
          <w:rFonts w:ascii="Abadi" w:eastAsia="Calibri" w:hAnsi="Abadi"/>
          <w:i/>
          <w:iCs/>
          <w:sz w:val="21"/>
          <w:szCs w:val="21"/>
          <w:lang w:val="es-MX" w:eastAsia="en-US"/>
        </w:rPr>
      </w:pPr>
      <w:r w:rsidRPr="00D16086">
        <w:rPr>
          <w:rFonts w:ascii="Abadi" w:eastAsia="Calibri" w:hAnsi="Abadi"/>
          <w:i/>
          <w:iCs/>
          <w:sz w:val="21"/>
          <w:szCs w:val="21"/>
          <w:lang w:val="es-MX" w:eastAsia="en-US"/>
        </w:rPr>
        <w:t>Del análisis de la iniciativa y sus alcances, se considera que la adecuación normativa que se propone atiende el objeto de las Leyes materia de este estudio, por lo que sus alcances van de la mano con las políticas públicas que se han venido aplicando en el Estado y los 46 Municipios; por otra parte, la implementación del nuevo símbolo de accesibilidad universal, sustituyendo al actual de la silla de ruedas, facilitará la identificación de zonas adaptadas para personas con cualquier tipo de discapacidad, fomentando en todo momento su inclusión, sin embargo este cambio debe ser gradual dado que las Normas Oficiales Mexicanas (NOM) que lo regulan no lo han sustituido, acompañado de una campaña de sensibilización sobre su significado y alcances; asimismo, la obligación que se tendrá para diseñar e implementar los insumos y señalización necesaria para el acceso de personas con algún tipo de discapacidad en espacios públicos, como son centros de salud, hospitales y consultorios a cargo del Estado y los Municipios; centros educativos a cargo del Estado; centros de trabajo a cargo del Estado y los Municipios; transporte a cargo del Estado y los Municipios; así como centros deportivos a cargo del Estado y los Municipios; logrará garantizar el acceso y la inclusión de estas personas, considerando que las entidades deberán prever recursos para adaptar espacios que cumplan con estas características y actualizar la señalización al respecto. Se considera que aproximadamente el costo unitario por ejemplo, en la colocación de una rampa de acceso es de $ 12,271.71, y el costo unitario de un señalamiento con el nuevo símbolo de accesibilidad universal, es de $ 700.86; ambos montos se consideran como base para establecer como estimación sí se trata de incorporar, por lo menos una rampa y un señalamiento en espacios públicos como escuelas, unidades médicas, centros de salud, hospitales, bienes inmuebles de las instituciones de la administración pública estatal y bienes inmuebles de las instituciones de la administración pública municipal tomando en consideración un total de 15,254 espacios públicos; el costo representaría 197.88 millones de pesos. Es conveniente indicar, que el costo total sólo puede ser obtenido posterior a que se haga un diagnostico por cada ente y municipio, ya que depende de la cantidad de insumos y señalamientos que identifiquen como necesarios para atender la presente iniciativa, lo que impactará presupuestalmente en sus alcances. De igual forma, respecto al sector privado, acorde a las medidas que identifiquen podrán determinar la inversión que harán para implementar el nuevo símbolo de accesibilidad universal y las adecuaciones a su infraestructura para garantizar el acceso.</w:t>
      </w:r>
    </w:p>
    <w:p w14:paraId="09CF41FE" w14:textId="77777777" w:rsidR="00D16086" w:rsidRPr="00D16086" w:rsidRDefault="00D16086" w:rsidP="00D16086">
      <w:pPr>
        <w:widowControl w:val="0"/>
        <w:spacing w:line="360" w:lineRule="auto"/>
        <w:jc w:val="both"/>
        <w:rPr>
          <w:rFonts w:ascii="Abadi" w:hAnsi="Abadi"/>
          <w:sz w:val="21"/>
          <w:szCs w:val="21"/>
          <w:lang w:val="es-MX" w:eastAsia="en-US"/>
        </w:rPr>
      </w:pPr>
    </w:p>
    <w:p w14:paraId="6F235BCD" w14:textId="77777777" w:rsidR="00D16086" w:rsidRPr="00D16086" w:rsidRDefault="00D16086" w:rsidP="000417A9">
      <w:pPr>
        <w:widowControl w:val="0"/>
        <w:ind w:left="851"/>
        <w:jc w:val="both"/>
        <w:rPr>
          <w:rFonts w:ascii="Abadi" w:hAnsi="Abadi"/>
          <w:b/>
          <w:sz w:val="21"/>
          <w:szCs w:val="21"/>
          <w:lang w:val="es-MX"/>
        </w:rPr>
      </w:pPr>
      <w:r w:rsidRPr="00D16086">
        <w:rPr>
          <w:rFonts w:ascii="Abadi" w:hAnsi="Abadi" w:cs="Arial"/>
          <w:b/>
          <w:sz w:val="21"/>
          <w:szCs w:val="21"/>
          <w:lang w:val="es-MX"/>
        </w:rPr>
        <w:t>CONSIDERACIONES DE LA COMISIÓN</w:t>
      </w:r>
      <w:r w:rsidRPr="00D16086">
        <w:rPr>
          <w:rFonts w:ascii="Abadi" w:hAnsi="Abadi"/>
          <w:b/>
          <w:sz w:val="21"/>
          <w:szCs w:val="21"/>
          <w:lang w:val="es-MX"/>
        </w:rPr>
        <w:t>.</w:t>
      </w:r>
    </w:p>
    <w:p w14:paraId="3A85BFF5" w14:textId="77777777" w:rsidR="00D16086" w:rsidRPr="00D16086" w:rsidRDefault="00D16086" w:rsidP="000417A9">
      <w:pPr>
        <w:widowControl w:val="0"/>
        <w:jc w:val="both"/>
        <w:rPr>
          <w:rFonts w:ascii="Abadi" w:hAnsi="Abadi"/>
          <w:sz w:val="21"/>
          <w:szCs w:val="21"/>
          <w:lang w:val="es-MX" w:eastAsia="en-US"/>
        </w:rPr>
      </w:pPr>
    </w:p>
    <w:p w14:paraId="3821F6D7" w14:textId="77777777" w:rsidR="00D16086" w:rsidRPr="00D16086" w:rsidRDefault="00D16086" w:rsidP="000417A9">
      <w:pPr>
        <w:widowControl w:val="0"/>
        <w:ind w:firstLine="851"/>
        <w:jc w:val="both"/>
        <w:rPr>
          <w:rFonts w:ascii="Abadi" w:hAnsi="Abadi" w:cs="Arial"/>
          <w:sz w:val="21"/>
          <w:szCs w:val="21"/>
          <w:lang w:val="es-MX"/>
        </w:rPr>
      </w:pPr>
      <w:r w:rsidRPr="00D16086">
        <w:rPr>
          <w:rFonts w:ascii="Abadi" w:hAnsi="Abadi" w:cs="Arial"/>
          <w:sz w:val="21"/>
          <w:szCs w:val="21"/>
          <w:lang w:val="es-MX"/>
        </w:rPr>
        <w:t xml:space="preserve">Nuestra ley orgánica otorga a las comisiones legislativas -en el artículo 89, fracción V-, la atribución de </w:t>
      </w:r>
      <w:r w:rsidRPr="00D16086">
        <w:rPr>
          <w:rFonts w:ascii="Abadi" w:hAnsi="Abadi" w:cs="Arial"/>
          <w:i/>
          <w:iCs/>
          <w:sz w:val="21"/>
          <w:szCs w:val="21"/>
          <w:lang w:val="es-MX"/>
        </w:rPr>
        <w:t>dictaminar, atender o resolver las iniciativas de Ley o decreto, acuerdos, proposiciones y asuntos que les hayan sido turnados</w:t>
      </w:r>
      <w:r w:rsidRPr="00D16086">
        <w:rPr>
          <w:rFonts w:ascii="Abadi" w:hAnsi="Abadi" w:cs="Arial"/>
          <w:sz w:val="21"/>
          <w:szCs w:val="21"/>
          <w:lang w:val="es-MX"/>
        </w:rPr>
        <w:t>.</w:t>
      </w:r>
    </w:p>
    <w:p w14:paraId="0A0771F9" w14:textId="77777777" w:rsidR="00D16086" w:rsidRPr="00D16086" w:rsidRDefault="00D16086" w:rsidP="000417A9">
      <w:pPr>
        <w:widowControl w:val="0"/>
        <w:ind w:firstLine="851"/>
        <w:jc w:val="both"/>
        <w:rPr>
          <w:rFonts w:ascii="Abadi" w:hAnsi="Abadi" w:cs="Arial"/>
          <w:sz w:val="21"/>
          <w:szCs w:val="21"/>
          <w:lang w:val="es-MX"/>
        </w:rPr>
      </w:pPr>
    </w:p>
    <w:p w14:paraId="5AAC0518" w14:textId="77777777" w:rsidR="00D16086" w:rsidRPr="00D16086" w:rsidRDefault="00D16086" w:rsidP="000417A9">
      <w:pPr>
        <w:widowControl w:val="0"/>
        <w:ind w:firstLine="851"/>
        <w:jc w:val="both"/>
        <w:rPr>
          <w:rFonts w:ascii="Abadi" w:hAnsi="Abadi" w:cs="Arial"/>
          <w:sz w:val="21"/>
          <w:szCs w:val="21"/>
          <w:lang w:val="es-MX"/>
        </w:rPr>
      </w:pPr>
      <w:r w:rsidRPr="00D16086">
        <w:rPr>
          <w:rFonts w:ascii="Abadi" w:hAnsi="Abadi" w:cs="Arial"/>
          <w:sz w:val="21"/>
          <w:szCs w:val="21"/>
          <w:lang w:val="es-MX"/>
        </w:rPr>
        <w:t xml:space="preserve">Esta comisión legislativa tiene competencia para el conocimiento y dictamen de los asuntos que </w:t>
      </w:r>
      <w:r w:rsidRPr="00D16086">
        <w:rPr>
          <w:rFonts w:ascii="Abadi" w:hAnsi="Abadi" w:cs="Arial"/>
          <w:i/>
          <w:iCs/>
          <w:sz w:val="21"/>
          <w:szCs w:val="21"/>
          <w:lang w:val="es-MX"/>
        </w:rPr>
        <w:t>se refieran a las iniciativas de ley o modificaciones, relacionadas con legislación en materia de derechos humanos y atención a grupos vulnerables</w:t>
      </w:r>
      <w:r w:rsidRPr="00D16086">
        <w:rPr>
          <w:rFonts w:ascii="Abadi" w:hAnsi="Abadi" w:cs="Arial"/>
          <w:sz w:val="21"/>
          <w:szCs w:val="21"/>
          <w:lang w:val="es-MX"/>
        </w:rPr>
        <w:t xml:space="preserve"> y de aquellos </w:t>
      </w:r>
      <w:r w:rsidRPr="00D16086">
        <w:rPr>
          <w:rFonts w:ascii="Abadi" w:hAnsi="Abadi" w:cs="Arial"/>
          <w:i/>
          <w:iCs/>
          <w:sz w:val="21"/>
          <w:szCs w:val="21"/>
          <w:lang w:val="es-MX"/>
        </w:rPr>
        <w:t>análogos, que a juicio de la Presidencia del Congreso del Estado, sean materia de tratamiento por esta Comisión</w:t>
      </w:r>
      <w:r w:rsidRPr="00D16086">
        <w:rPr>
          <w:rFonts w:ascii="Abadi" w:hAnsi="Abadi" w:cs="Arial"/>
          <w:sz w:val="21"/>
          <w:szCs w:val="21"/>
          <w:lang w:val="es-MX"/>
        </w:rPr>
        <w:t xml:space="preserve"> (artículos 106 -fracciones I y XII- de la Ley Orgánica del Poder Legislativo del Estado de Guanajuato). Con este fundamento, para estudio y dictamen, se turnó la iniciativa que nos ocupa.</w:t>
      </w:r>
    </w:p>
    <w:p w14:paraId="144C46EF" w14:textId="77777777" w:rsidR="00D16086" w:rsidRPr="00D16086" w:rsidRDefault="00D16086" w:rsidP="000417A9">
      <w:pPr>
        <w:widowControl w:val="0"/>
        <w:jc w:val="both"/>
        <w:rPr>
          <w:rFonts w:ascii="Abadi" w:hAnsi="Abadi" w:cs="Arial"/>
          <w:sz w:val="21"/>
          <w:szCs w:val="21"/>
          <w:lang w:val="es-MX"/>
        </w:rPr>
      </w:pPr>
    </w:p>
    <w:p w14:paraId="4D49F0CD" w14:textId="77777777" w:rsidR="00D16086" w:rsidRPr="00D16086" w:rsidRDefault="00D16086" w:rsidP="000417A9">
      <w:pPr>
        <w:widowControl w:val="0"/>
        <w:ind w:firstLine="851"/>
        <w:jc w:val="both"/>
        <w:rPr>
          <w:rFonts w:ascii="Abadi" w:hAnsi="Abadi" w:cs="Arial"/>
          <w:sz w:val="21"/>
          <w:szCs w:val="21"/>
          <w:lang w:val="es-MX"/>
        </w:rPr>
      </w:pPr>
      <w:r w:rsidRPr="00D16086">
        <w:rPr>
          <w:rFonts w:ascii="Abadi" w:hAnsi="Abadi" w:cs="Arial"/>
          <w:sz w:val="21"/>
          <w:szCs w:val="21"/>
          <w:lang w:val="es-MX"/>
        </w:rPr>
        <w:t>El elemento que tuvimos en cuenta para dictaminar fue el abordaje en la Junta de Gobierno y Coordinación Política, del rezago de los pendientes en comisiones.</w:t>
      </w:r>
    </w:p>
    <w:p w14:paraId="28A7C83C" w14:textId="77777777" w:rsidR="00D16086" w:rsidRPr="00D16086" w:rsidRDefault="00D16086" w:rsidP="000417A9">
      <w:pPr>
        <w:widowControl w:val="0"/>
        <w:jc w:val="both"/>
        <w:rPr>
          <w:rFonts w:ascii="Abadi" w:hAnsi="Abadi" w:cs="Arial"/>
          <w:sz w:val="21"/>
          <w:szCs w:val="21"/>
          <w:lang w:val="es-MX"/>
        </w:rPr>
      </w:pPr>
    </w:p>
    <w:p w14:paraId="47B95E84" w14:textId="77777777" w:rsidR="00D16086" w:rsidRPr="00D16086" w:rsidRDefault="00D16086" w:rsidP="000417A9">
      <w:pPr>
        <w:widowControl w:val="0"/>
        <w:ind w:firstLine="851"/>
        <w:jc w:val="both"/>
        <w:rPr>
          <w:rFonts w:ascii="Abadi" w:hAnsi="Abadi" w:cs="Arial"/>
          <w:sz w:val="21"/>
          <w:szCs w:val="21"/>
          <w:lang w:val="es-MX"/>
        </w:rPr>
      </w:pPr>
      <w:r w:rsidRPr="00D16086">
        <w:rPr>
          <w:rFonts w:ascii="Abadi" w:hAnsi="Abadi" w:cs="Arial"/>
          <w:sz w:val="21"/>
          <w:szCs w:val="21"/>
          <w:lang w:val="es-MX"/>
        </w:rPr>
        <w:t>Para atender este rezago se estableció, entre otras acciones, que los grupos y representaciones parlamentarios harían un análisis de los asuntos pendientes y manifestarían su interés o no respecto de los mismos. Asimismo, que aquellos asuntos respecto de los cuales no se manifestó interés, se dictaminarían a la brevedad.</w:t>
      </w:r>
    </w:p>
    <w:p w14:paraId="2D6BDB0D" w14:textId="77777777" w:rsidR="00D16086" w:rsidRPr="00D16086" w:rsidRDefault="00D16086" w:rsidP="000417A9">
      <w:pPr>
        <w:widowControl w:val="0"/>
        <w:jc w:val="both"/>
        <w:rPr>
          <w:rFonts w:ascii="Abadi" w:hAnsi="Abadi" w:cs="Arial"/>
          <w:sz w:val="21"/>
          <w:szCs w:val="21"/>
          <w:lang w:val="es-MX"/>
        </w:rPr>
      </w:pPr>
    </w:p>
    <w:p w14:paraId="1DBF472F" w14:textId="77777777" w:rsidR="00D16086" w:rsidRPr="00D16086" w:rsidRDefault="00D16086" w:rsidP="000417A9">
      <w:pPr>
        <w:widowControl w:val="0"/>
        <w:ind w:firstLine="851"/>
        <w:jc w:val="both"/>
        <w:rPr>
          <w:rFonts w:ascii="Abadi" w:hAnsi="Abadi" w:cs="Arial"/>
          <w:sz w:val="21"/>
          <w:szCs w:val="21"/>
          <w:lang w:val="es-MX"/>
        </w:rPr>
      </w:pPr>
      <w:r w:rsidRPr="00D16086">
        <w:rPr>
          <w:rFonts w:ascii="Abadi" w:hAnsi="Abadi" w:cs="Arial"/>
          <w:sz w:val="21"/>
          <w:szCs w:val="21"/>
          <w:lang w:val="es-MX"/>
        </w:rPr>
        <w:t>Esta iniciativa se encuentra dentro de los asuntos que la diputada y el diputado integrantes del Grupo Parlamentario del Partido Verde Ecologista de México de la Sexagésima Quinta Legislatura no desean impulsar, ello en el marco del acuerdo de la Junta de Gobierno y Coordinación Política para depurar los pendientes en comisiones.</w:t>
      </w:r>
    </w:p>
    <w:p w14:paraId="4E1A9829" w14:textId="77777777" w:rsidR="00D16086" w:rsidRPr="00D16086" w:rsidRDefault="00D16086" w:rsidP="000417A9">
      <w:pPr>
        <w:widowControl w:val="0"/>
        <w:jc w:val="both"/>
        <w:rPr>
          <w:rFonts w:ascii="Abadi" w:hAnsi="Abadi" w:cs="Arial"/>
          <w:sz w:val="21"/>
          <w:szCs w:val="21"/>
          <w:lang w:val="es-MX"/>
        </w:rPr>
      </w:pPr>
    </w:p>
    <w:p w14:paraId="6D4C3EAC" w14:textId="77777777" w:rsidR="00D16086" w:rsidRPr="00D16086" w:rsidRDefault="00D16086" w:rsidP="000417A9">
      <w:pPr>
        <w:widowControl w:val="0"/>
        <w:ind w:firstLine="851"/>
        <w:jc w:val="both"/>
        <w:rPr>
          <w:rFonts w:ascii="Abadi" w:hAnsi="Abadi" w:cs="Arial"/>
          <w:sz w:val="21"/>
          <w:szCs w:val="21"/>
          <w:lang w:val="es-MX"/>
        </w:rPr>
      </w:pPr>
      <w:r w:rsidRPr="00D16086">
        <w:rPr>
          <w:rFonts w:ascii="Abadi" w:hAnsi="Abadi" w:cs="Arial"/>
          <w:sz w:val="21"/>
          <w:szCs w:val="21"/>
          <w:lang w:val="es-MX"/>
        </w:rPr>
        <w:t>En atención a las anteriores consideraciones, en reunión de la Comisión celebrada el 10 de agosto de 2022 se acordó por unanimidad dictaminar en sentido negativo la iniciativa.</w:t>
      </w:r>
    </w:p>
    <w:p w14:paraId="210D4E43" w14:textId="77777777" w:rsidR="00D16086" w:rsidRPr="00D16086" w:rsidRDefault="00D16086" w:rsidP="000417A9">
      <w:pPr>
        <w:widowControl w:val="0"/>
        <w:jc w:val="both"/>
        <w:rPr>
          <w:rFonts w:ascii="Abadi" w:hAnsi="Abadi" w:cs="Arial"/>
          <w:sz w:val="21"/>
          <w:szCs w:val="21"/>
          <w:lang w:val="es-MX"/>
        </w:rPr>
      </w:pPr>
    </w:p>
    <w:p w14:paraId="16802AE5" w14:textId="77777777" w:rsidR="00D16086" w:rsidRPr="00D16086" w:rsidRDefault="00D16086" w:rsidP="000417A9">
      <w:pPr>
        <w:widowControl w:val="0"/>
        <w:ind w:firstLine="851"/>
        <w:jc w:val="both"/>
        <w:rPr>
          <w:rFonts w:ascii="Abadi" w:hAnsi="Abadi"/>
          <w:sz w:val="21"/>
          <w:szCs w:val="21"/>
          <w:lang w:val="es-MX"/>
        </w:rPr>
      </w:pPr>
      <w:r w:rsidRPr="00D16086">
        <w:rPr>
          <w:rFonts w:ascii="Abadi" w:hAnsi="Abadi" w:cs="Arial"/>
          <w:sz w:val="21"/>
          <w:szCs w:val="21"/>
          <w:lang w:val="es-MX"/>
        </w:rPr>
        <w:t xml:space="preserve">En mérito de lo expuesto, sometemos a </w:t>
      </w:r>
      <w:r w:rsidRPr="00D16086">
        <w:rPr>
          <w:rFonts w:ascii="Abadi" w:hAnsi="Abadi"/>
          <w:sz w:val="21"/>
          <w:szCs w:val="21"/>
          <w:lang w:val="es-MX"/>
        </w:rPr>
        <w:t>consideración de la Asamblea, la aprobación del siguiente:</w:t>
      </w:r>
    </w:p>
    <w:p w14:paraId="4DFA62C4" w14:textId="77777777" w:rsidR="00D16086" w:rsidRPr="00D16086" w:rsidRDefault="00D16086" w:rsidP="000417A9">
      <w:pPr>
        <w:widowControl w:val="0"/>
        <w:jc w:val="both"/>
        <w:rPr>
          <w:rFonts w:ascii="Abadi" w:hAnsi="Abadi"/>
          <w:sz w:val="21"/>
          <w:szCs w:val="21"/>
          <w:lang w:val="es-MX"/>
        </w:rPr>
      </w:pPr>
    </w:p>
    <w:p w14:paraId="19ABCF4C" w14:textId="77777777" w:rsidR="00D16086" w:rsidRPr="00D16086" w:rsidRDefault="00D16086" w:rsidP="000417A9">
      <w:pPr>
        <w:widowControl w:val="0"/>
        <w:jc w:val="center"/>
        <w:rPr>
          <w:rFonts w:ascii="Abadi" w:hAnsi="Abadi" w:cs="Arial"/>
          <w:b/>
          <w:sz w:val="21"/>
          <w:szCs w:val="21"/>
          <w:lang w:val="es-MX" w:eastAsia="en-US"/>
        </w:rPr>
      </w:pPr>
      <w:r w:rsidRPr="00D16086">
        <w:rPr>
          <w:rFonts w:ascii="Abadi" w:hAnsi="Abadi" w:cs="Arial"/>
          <w:b/>
          <w:sz w:val="21"/>
          <w:szCs w:val="21"/>
          <w:lang w:val="es-MX" w:eastAsia="en-US"/>
        </w:rPr>
        <w:t>A C U E R D O</w:t>
      </w:r>
    </w:p>
    <w:p w14:paraId="6F3C6522" w14:textId="77777777" w:rsidR="00D16086" w:rsidRPr="00D16086" w:rsidRDefault="00D16086" w:rsidP="000417A9">
      <w:pPr>
        <w:widowControl w:val="0"/>
        <w:autoSpaceDE w:val="0"/>
        <w:autoSpaceDN w:val="0"/>
        <w:adjustRightInd w:val="0"/>
        <w:jc w:val="both"/>
        <w:rPr>
          <w:rFonts w:ascii="Abadi" w:hAnsi="Abadi" w:cs="Arial"/>
          <w:sz w:val="21"/>
          <w:szCs w:val="21"/>
          <w:lang w:val="es-MX" w:eastAsia="en-US"/>
        </w:rPr>
      </w:pPr>
    </w:p>
    <w:p w14:paraId="7B00B0F9" w14:textId="77777777" w:rsidR="00D16086" w:rsidRPr="00D16086" w:rsidRDefault="00D16086" w:rsidP="000417A9">
      <w:pPr>
        <w:widowControl w:val="0"/>
        <w:ind w:right="-1" w:firstLine="851"/>
        <w:jc w:val="both"/>
        <w:rPr>
          <w:rFonts w:ascii="Abadi" w:hAnsi="Abadi"/>
          <w:sz w:val="21"/>
          <w:szCs w:val="21"/>
          <w:lang w:val="es-MX" w:eastAsia="en-US"/>
        </w:rPr>
      </w:pPr>
      <w:r w:rsidRPr="00D16086">
        <w:rPr>
          <w:rFonts w:ascii="Abadi" w:hAnsi="Abadi"/>
          <w:b/>
          <w:bCs/>
          <w:sz w:val="21"/>
          <w:szCs w:val="21"/>
          <w:lang w:val="es-MX" w:eastAsia="en-US"/>
        </w:rPr>
        <w:t>Único.</w:t>
      </w:r>
      <w:r w:rsidRPr="00D16086">
        <w:rPr>
          <w:rFonts w:ascii="Abadi" w:hAnsi="Abadi"/>
          <w:sz w:val="21"/>
          <w:szCs w:val="21"/>
          <w:lang w:val="es-MX" w:eastAsia="en-US"/>
        </w:rPr>
        <w:t xml:space="preserve"> </w:t>
      </w:r>
      <w:r w:rsidRPr="00D16086">
        <w:rPr>
          <w:rFonts w:ascii="Abadi" w:hAnsi="Abadi" w:cs="Arial"/>
          <w:sz w:val="21"/>
          <w:szCs w:val="21"/>
          <w:lang w:val="es-MX" w:eastAsia="en-US"/>
        </w:rPr>
        <w:t xml:space="preserve">No resulta procedente la </w:t>
      </w:r>
      <w:r w:rsidRPr="00D16086">
        <w:rPr>
          <w:rFonts w:ascii="Abadi" w:hAnsi="Abadi"/>
          <w:bCs/>
          <w:iCs/>
          <w:sz w:val="21"/>
          <w:szCs w:val="21"/>
          <w:lang w:val="es-MX" w:eastAsia="en-US"/>
        </w:rPr>
        <w:t>i</w:t>
      </w:r>
      <w:r w:rsidRPr="00D16086">
        <w:rPr>
          <w:rFonts w:ascii="Abadi" w:hAnsi="Abadi"/>
          <w:sz w:val="21"/>
          <w:szCs w:val="21"/>
          <w:lang w:val="es-MX" w:eastAsia="en-US"/>
        </w:rPr>
        <w:t xml:space="preserve">niciativa de reformas y adiciones a diversas disposiciones de la Ley para Prevenir, Atender y Erradicar la Discriminación en el Estado de Guanajuato, de la Ley de Inclusión para las Personas con Discapacidad en el Estado de Guanajuato y de la Ley de Protección Civil para el Estado de Guanajuato, suscrita por la diputada y el diputado integrantes del Grupo Parlamentario del Partido Verde Ecologista de México </w:t>
      </w:r>
      <w:r w:rsidRPr="00D16086">
        <w:rPr>
          <w:rFonts w:ascii="Abadi" w:hAnsi="Abadi" w:cs="Arial"/>
          <w:sz w:val="21"/>
          <w:szCs w:val="21"/>
          <w:lang w:val="es-MX" w:eastAsia="en-US"/>
        </w:rPr>
        <w:t>ante la Sexagésima Cuarta Legislatura</w:t>
      </w:r>
      <w:r w:rsidRPr="00D16086">
        <w:rPr>
          <w:rFonts w:ascii="Abadi" w:hAnsi="Abadi"/>
          <w:sz w:val="21"/>
          <w:szCs w:val="21"/>
          <w:lang w:val="es-MX" w:eastAsia="en-US"/>
        </w:rPr>
        <w:t>.</w:t>
      </w:r>
    </w:p>
    <w:p w14:paraId="649248C0" w14:textId="77777777" w:rsidR="00D16086" w:rsidRPr="00D16086" w:rsidRDefault="00D16086" w:rsidP="000417A9">
      <w:pPr>
        <w:widowControl w:val="0"/>
        <w:ind w:right="-1"/>
        <w:jc w:val="both"/>
        <w:rPr>
          <w:rFonts w:ascii="Abadi" w:hAnsi="Abadi"/>
          <w:sz w:val="21"/>
          <w:szCs w:val="21"/>
          <w:lang w:val="es-MX" w:eastAsia="en-US"/>
        </w:rPr>
      </w:pPr>
    </w:p>
    <w:p w14:paraId="5AFDD72C" w14:textId="77777777" w:rsidR="00D16086" w:rsidRPr="00D16086" w:rsidRDefault="00D16086" w:rsidP="000417A9">
      <w:pPr>
        <w:widowControl w:val="0"/>
        <w:ind w:right="-1" w:firstLine="851"/>
        <w:jc w:val="both"/>
        <w:rPr>
          <w:rFonts w:ascii="Abadi" w:hAnsi="Abadi"/>
          <w:sz w:val="21"/>
          <w:szCs w:val="21"/>
          <w:lang w:val="es-MX" w:eastAsia="en-US"/>
        </w:rPr>
      </w:pPr>
      <w:r w:rsidRPr="00D16086">
        <w:rPr>
          <w:rFonts w:ascii="Abadi" w:hAnsi="Abadi"/>
          <w:sz w:val="21"/>
          <w:szCs w:val="21"/>
          <w:lang w:val="es-MX" w:eastAsia="en-US"/>
        </w:rPr>
        <w:t>En consecuencia, se ordena el archivo definitivo de la iniciativa.</w:t>
      </w:r>
    </w:p>
    <w:p w14:paraId="5734A2A0" w14:textId="77777777" w:rsidR="00D16086" w:rsidRPr="00D16086" w:rsidRDefault="00D16086" w:rsidP="000417A9">
      <w:pPr>
        <w:widowControl w:val="0"/>
        <w:ind w:right="-1"/>
        <w:jc w:val="both"/>
        <w:rPr>
          <w:rFonts w:ascii="Abadi" w:hAnsi="Abadi"/>
          <w:sz w:val="21"/>
          <w:szCs w:val="21"/>
          <w:lang w:val="es-MX" w:eastAsia="en-US"/>
        </w:rPr>
      </w:pPr>
    </w:p>
    <w:p w14:paraId="194FC6B1" w14:textId="77777777" w:rsidR="00D16086" w:rsidRPr="00D16086" w:rsidRDefault="00D16086" w:rsidP="000417A9">
      <w:pPr>
        <w:widowControl w:val="0"/>
        <w:jc w:val="center"/>
        <w:rPr>
          <w:rFonts w:ascii="Abadi" w:eastAsia="Arial Unicode MS" w:hAnsi="Abadi" w:cs="Arial"/>
          <w:b/>
          <w:iCs/>
          <w:sz w:val="21"/>
          <w:szCs w:val="21"/>
          <w:lang w:val="es-MX" w:eastAsia="en-US"/>
        </w:rPr>
      </w:pPr>
      <w:r w:rsidRPr="00D16086">
        <w:rPr>
          <w:rFonts w:ascii="Abadi" w:eastAsia="Arial Unicode MS" w:hAnsi="Abadi" w:cs="Arial"/>
          <w:b/>
          <w:iCs/>
          <w:sz w:val="21"/>
          <w:szCs w:val="21"/>
          <w:lang w:val="es-MX" w:eastAsia="en-US"/>
        </w:rPr>
        <w:t>Guanajuato, Gto., 17 de agosto de 2022</w:t>
      </w:r>
    </w:p>
    <w:p w14:paraId="248643BA" w14:textId="77777777" w:rsidR="00D16086" w:rsidRPr="00D16086" w:rsidRDefault="00D16086" w:rsidP="000417A9">
      <w:pPr>
        <w:widowControl w:val="0"/>
        <w:jc w:val="center"/>
        <w:rPr>
          <w:rFonts w:ascii="Abadi" w:eastAsia="Calibri" w:hAnsi="Abadi"/>
          <w:b/>
          <w:sz w:val="21"/>
          <w:szCs w:val="21"/>
          <w:lang w:val="es-MX" w:eastAsia="en-US"/>
        </w:rPr>
      </w:pPr>
      <w:r w:rsidRPr="00D16086">
        <w:rPr>
          <w:rFonts w:ascii="Abadi" w:eastAsia="Calibri" w:hAnsi="Abadi"/>
          <w:b/>
          <w:sz w:val="21"/>
          <w:szCs w:val="21"/>
          <w:lang w:val="es-MX" w:eastAsia="en-US"/>
        </w:rPr>
        <w:t>La Comisión de Derechos Humanos y Atención a Grupos Vulnerables</w:t>
      </w:r>
    </w:p>
    <w:p w14:paraId="4715561E" w14:textId="6B57E632" w:rsidR="00D16086" w:rsidRDefault="00D16086" w:rsidP="000417A9">
      <w:pPr>
        <w:widowControl w:val="0"/>
        <w:jc w:val="center"/>
        <w:rPr>
          <w:rFonts w:ascii="Abadi" w:hAnsi="Abadi" w:cs="Arial"/>
          <w:b/>
          <w:bCs/>
          <w:sz w:val="21"/>
          <w:szCs w:val="21"/>
          <w:lang w:val="es-MX" w:eastAsia="en-US"/>
        </w:rPr>
      </w:pPr>
    </w:p>
    <w:p w14:paraId="26270F37" w14:textId="77777777" w:rsidR="00D16086" w:rsidRPr="00D16086" w:rsidRDefault="00D16086" w:rsidP="000417A9">
      <w:pPr>
        <w:widowControl w:val="0"/>
        <w:jc w:val="center"/>
        <w:rPr>
          <w:rFonts w:ascii="Abadi" w:hAnsi="Abadi" w:cs="Arial"/>
          <w:b/>
          <w:bCs/>
          <w:sz w:val="21"/>
          <w:szCs w:val="21"/>
          <w:lang w:val="es-MX" w:eastAsia="en-US"/>
        </w:rPr>
      </w:pPr>
    </w:p>
    <w:p w14:paraId="40066856" w14:textId="29E671AF" w:rsidR="00D16086" w:rsidRPr="00D16086" w:rsidRDefault="00D16086" w:rsidP="000417A9">
      <w:pPr>
        <w:widowControl w:val="0"/>
        <w:jc w:val="both"/>
        <w:rPr>
          <w:rFonts w:ascii="Abadi" w:hAnsi="Abadi" w:cs="Arial"/>
          <w:b/>
          <w:bCs/>
          <w:sz w:val="21"/>
          <w:szCs w:val="21"/>
          <w:lang w:val="es-MX" w:eastAsia="en-US"/>
        </w:rPr>
      </w:pPr>
      <w:r w:rsidRPr="00D16086">
        <w:rPr>
          <w:rFonts w:ascii="Abadi" w:hAnsi="Abadi" w:cs="Arial"/>
          <w:b/>
          <w:bCs/>
          <w:sz w:val="21"/>
          <w:szCs w:val="21"/>
          <w:lang w:val="es-MX" w:eastAsia="en-US"/>
        </w:rPr>
        <w:t>Diputado David Martínez Mendizábal</w:t>
      </w:r>
    </w:p>
    <w:p w14:paraId="5F8ECE0C" w14:textId="056C436F" w:rsidR="00D16086" w:rsidRPr="00D16086" w:rsidRDefault="00D16086" w:rsidP="000417A9">
      <w:pPr>
        <w:widowControl w:val="0"/>
        <w:jc w:val="both"/>
        <w:rPr>
          <w:rFonts w:ascii="Abadi" w:hAnsi="Abadi" w:cs="Arial"/>
          <w:b/>
          <w:bCs/>
          <w:sz w:val="21"/>
          <w:szCs w:val="21"/>
          <w:lang w:val="es-MX" w:eastAsia="en-US"/>
        </w:rPr>
      </w:pPr>
      <w:r w:rsidRPr="00D16086">
        <w:rPr>
          <w:rFonts w:ascii="Abadi" w:hAnsi="Abadi" w:cs="Arial"/>
          <w:b/>
          <w:bCs/>
          <w:sz w:val="21"/>
          <w:szCs w:val="21"/>
          <w:lang w:val="es-MX" w:eastAsia="en-US"/>
        </w:rPr>
        <w:t>Diputada Janet Melanie Murillo Chávez</w:t>
      </w:r>
    </w:p>
    <w:p w14:paraId="444BD62C" w14:textId="43A3B43E" w:rsidR="00D16086" w:rsidRPr="00D16086" w:rsidRDefault="00D16086" w:rsidP="000417A9">
      <w:pPr>
        <w:widowControl w:val="0"/>
        <w:jc w:val="both"/>
        <w:rPr>
          <w:rFonts w:ascii="Abadi" w:hAnsi="Abadi" w:cs="Arial"/>
          <w:b/>
          <w:bCs/>
          <w:sz w:val="21"/>
          <w:szCs w:val="21"/>
          <w:lang w:val="es-MX" w:eastAsia="en-US"/>
        </w:rPr>
      </w:pPr>
      <w:r w:rsidRPr="00D16086">
        <w:rPr>
          <w:rFonts w:ascii="Abadi" w:hAnsi="Abadi" w:cs="Arial"/>
          <w:b/>
          <w:bCs/>
          <w:sz w:val="21"/>
          <w:szCs w:val="21"/>
          <w:lang w:val="es-MX" w:eastAsia="en-US"/>
        </w:rPr>
        <w:t>Diputado Gustavo Adolfo Alfaro Reyes</w:t>
      </w:r>
    </w:p>
    <w:p w14:paraId="1A88A375" w14:textId="7E9584B1" w:rsidR="00D16086" w:rsidRPr="00D16086" w:rsidRDefault="00D16086" w:rsidP="000417A9">
      <w:pPr>
        <w:widowControl w:val="0"/>
        <w:jc w:val="both"/>
        <w:rPr>
          <w:rFonts w:ascii="Abadi" w:hAnsi="Abadi" w:cs="Arial"/>
          <w:b/>
          <w:bCs/>
          <w:sz w:val="21"/>
          <w:szCs w:val="21"/>
          <w:lang w:val="es-MX" w:eastAsia="en-US"/>
        </w:rPr>
      </w:pPr>
      <w:r w:rsidRPr="00D16086">
        <w:rPr>
          <w:rFonts w:ascii="Abadi" w:hAnsi="Abadi" w:cs="Arial"/>
          <w:b/>
          <w:bCs/>
          <w:sz w:val="21"/>
          <w:szCs w:val="21"/>
          <w:lang w:val="es-MX" w:eastAsia="en-US"/>
        </w:rPr>
        <w:t>Diputada Briseida Anabel Magdaleno González</w:t>
      </w:r>
    </w:p>
    <w:p w14:paraId="507EB960" w14:textId="315E03D1" w:rsidR="00D16086" w:rsidRDefault="00D16086" w:rsidP="000417A9">
      <w:pPr>
        <w:widowControl w:val="0"/>
        <w:jc w:val="both"/>
        <w:rPr>
          <w:rFonts w:ascii="Abadi" w:hAnsi="Abadi" w:cs="Arial"/>
          <w:b/>
          <w:bCs/>
          <w:sz w:val="21"/>
          <w:szCs w:val="21"/>
          <w:lang w:val="es-MX" w:eastAsia="en-US"/>
        </w:rPr>
      </w:pPr>
      <w:r w:rsidRPr="00D16086">
        <w:rPr>
          <w:rFonts w:ascii="Abadi" w:hAnsi="Abadi" w:cs="Arial"/>
          <w:b/>
          <w:bCs/>
          <w:sz w:val="21"/>
          <w:szCs w:val="21"/>
          <w:lang w:val="es-MX" w:eastAsia="en-US"/>
        </w:rPr>
        <w:t>Diputada Katya Cristina Soto Escamilla</w:t>
      </w:r>
    </w:p>
    <w:p w14:paraId="7EC53FFD" w14:textId="7034CFA8" w:rsidR="008E302F" w:rsidRDefault="008E302F" w:rsidP="000417A9">
      <w:pPr>
        <w:widowControl w:val="0"/>
        <w:jc w:val="both"/>
        <w:rPr>
          <w:rFonts w:ascii="Abadi" w:hAnsi="Abadi" w:cs="Arial"/>
          <w:b/>
          <w:bCs/>
          <w:sz w:val="21"/>
          <w:szCs w:val="21"/>
          <w:lang w:val="es-MX" w:eastAsia="en-US"/>
        </w:rPr>
      </w:pPr>
    </w:p>
    <w:p w14:paraId="29B7F1E0" w14:textId="555E7118" w:rsidR="008E302F" w:rsidRDefault="008E302F" w:rsidP="008E302F">
      <w:pPr>
        <w:ind w:firstLine="567"/>
        <w:jc w:val="both"/>
        <w:rPr>
          <w:rFonts w:ascii="Abadi" w:hAnsi="Abadi"/>
          <w:sz w:val="21"/>
          <w:szCs w:val="21"/>
        </w:rPr>
      </w:pPr>
      <w:r w:rsidRPr="00673357">
        <w:rPr>
          <w:rFonts w:ascii="Abadi" w:hAnsi="Abadi"/>
          <w:b/>
          <w:bCs/>
          <w:sz w:val="21"/>
          <w:szCs w:val="21"/>
        </w:rPr>
        <w:t>- El Presidente.-</w:t>
      </w:r>
      <w:r>
        <w:rPr>
          <w:rFonts w:ascii="Abadi" w:hAnsi="Abadi"/>
          <w:sz w:val="21"/>
          <w:szCs w:val="21"/>
        </w:rPr>
        <w:t xml:space="preserve"> A</w:t>
      </w:r>
      <w:r w:rsidRPr="006813AA">
        <w:rPr>
          <w:rFonts w:ascii="Abadi" w:hAnsi="Abadi"/>
          <w:sz w:val="21"/>
          <w:szCs w:val="21"/>
        </w:rPr>
        <w:t xml:space="preserve"> continuación se somete a discusión el dictamen suscrito por la </w:t>
      </w:r>
      <w:r>
        <w:rPr>
          <w:rFonts w:ascii="Abadi" w:hAnsi="Abadi"/>
          <w:sz w:val="21"/>
          <w:szCs w:val="21"/>
        </w:rPr>
        <w:t>C</w:t>
      </w:r>
      <w:r w:rsidRPr="006813AA">
        <w:rPr>
          <w:rFonts w:ascii="Abadi" w:hAnsi="Abadi"/>
          <w:sz w:val="21"/>
          <w:szCs w:val="21"/>
        </w:rPr>
        <w:t xml:space="preserve">omisión de </w:t>
      </w:r>
      <w:r>
        <w:rPr>
          <w:rFonts w:ascii="Abadi" w:hAnsi="Abadi"/>
          <w:sz w:val="21"/>
          <w:szCs w:val="21"/>
        </w:rPr>
        <w:t>D</w:t>
      </w:r>
      <w:r w:rsidRPr="006813AA">
        <w:rPr>
          <w:rFonts w:ascii="Abadi" w:hAnsi="Abadi"/>
          <w:sz w:val="21"/>
          <w:szCs w:val="21"/>
        </w:rPr>
        <w:t xml:space="preserve">erechos </w:t>
      </w:r>
      <w:r>
        <w:rPr>
          <w:rFonts w:ascii="Abadi" w:hAnsi="Abadi"/>
          <w:sz w:val="21"/>
          <w:szCs w:val="21"/>
        </w:rPr>
        <w:t>H</w:t>
      </w:r>
      <w:r w:rsidRPr="006813AA">
        <w:rPr>
          <w:rFonts w:ascii="Abadi" w:hAnsi="Abadi"/>
          <w:sz w:val="21"/>
          <w:szCs w:val="21"/>
        </w:rPr>
        <w:t xml:space="preserve">umanos y </w:t>
      </w:r>
      <w:r>
        <w:rPr>
          <w:rFonts w:ascii="Abadi" w:hAnsi="Abadi"/>
          <w:sz w:val="21"/>
          <w:szCs w:val="21"/>
        </w:rPr>
        <w:t>A</w:t>
      </w:r>
      <w:r w:rsidRPr="006813AA">
        <w:rPr>
          <w:rFonts w:ascii="Abadi" w:hAnsi="Abadi"/>
          <w:sz w:val="21"/>
          <w:szCs w:val="21"/>
        </w:rPr>
        <w:t xml:space="preserve">tención a </w:t>
      </w:r>
      <w:r>
        <w:rPr>
          <w:rFonts w:ascii="Abadi" w:hAnsi="Abadi"/>
          <w:sz w:val="21"/>
          <w:szCs w:val="21"/>
        </w:rPr>
        <w:t>G</w:t>
      </w:r>
      <w:r w:rsidRPr="006813AA">
        <w:rPr>
          <w:rFonts w:ascii="Abadi" w:hAnsi="Abadi"/>
          <w:sz w:val="21"/>
          <w:szCs w:val="21"/>
        </w:rPr>
        <w:t xml:space="preserve">rupos </w:t>
      </w:r>
      <w:r>
        <w:rPr>
          <w:rFonts w:ascii="Abadi" w:hAnsi="Abadi"/>
          <w:sz w:val="21"/>
          <w:szCs w:val="21"/>
        </w:rPr>
        <w:t>V</w:t>
      </w:r>
      <w:r w:rsidRPr="006813AA">
        <w:rPr>
          <w:rFonts w:ascii="Abadi" w:hAnsi="Abadi"/>
          <w:sz w:val="21"/>
          <w:szCs w:val="21"/>
        </w:rPr>
        <w:t>ulnerables correspondiente al punto 26 de nuestra orden del día</w:t>
      </w:r>
      <w:r>
        <w:rPr>
          <w:rFonts w:ascii="Abadi" w:hAnsi="Abadi"/>
          <w:sz w:val="21"/>
          <w:szCs w:val="21"/>
        </w:rPr>
        <w:t>.</w:t>
      </w:r>
    </w:p>
    <w:p w14:paraId="23258435" w14:textId="77777777" w:rsidR="008E302F" w:rsidRDefault="008E302F" w:rsidP="008E302F">
      <w:pPr>
        <w:ind w:firstLine="567"/>
        <w:jc w:val="both"/>
        <w:rPr>
          <w:rFonts w:ascii="Abadi" w:hAnsi="Abadi"/>
          <w:sz w:val="21"/>
          <w:szCs w:val="21"/>
        </w:rPr>
      </w:pPr>
    </w:p>
    <w:p w14:paraId="10C6D5D3" w14:textId="714D9A9A" w:rsidR="008E302F" w:rsidRDefault="008E302F" w:rsidP="008E302F">
      <w:pPr>
        <w:ind w:firstLine="567"/>
        <w:jc w:val="both"/>
        <w:rPr>
          <w:rFonts w:ascii="Abadi" w:hAnsi="Abadi"/>
          <w:sz w:val="21"/>
          <w:szCs w:val="21"/>
        </w:rPr>
      </w:pPr>
      <w:r>
        <w:rPr>
          <w:rFonts w:ascii="Abadi" w:hAnsi="Abadi"/>
          <w:sz w:val="21"/>
          <w:szCs w:val="21"/>
        </w:rPr>
        <w:t>- S</w:t>
      </w:r>
      <w:r w:rsidRPr="006813AA">
        <w:rPr>
          <w:rFonts w:ascii="Abadi" w:hAnsi="Abadi"/>
          <w:sz w:val="21"/>
          <w:szCs w:val="21"/>
        </w:rPr>
        <w:t xml:space="preserve">i alguna diputada o algún diputado desea hacer </w:t>
      </w:r>
      <w:r>
        <w:rPr>
          <w:rFonts w:ascii="Abadi" w:hAnsi="Abadi"/>
          <w:sz w:val="21"/>
          <w:szCs w:val="21"/>
        </w:rPr>
        <w:t>u</w:t>
      </w:r>
      <w:r w:rsidRPr="006813AA">
        <w:rPr>
          <w:rFonts w:ascii="Abadi" w:hAnsi="Abadi"/>
          <w:sz w:val="21"/>
          <w:szCs w:val="21"/>
        </w:rPr>
        <w:t>so de la palabra en pro o en contra manifiéstenlo indicando el sentido de su participación</w:t>
      </w:r>
      <w:r>
        <w:rPr>
          <w:rFonts w:ascii="Abadi" w:hAnsi="Abadi"/>
          <w:sz w:val="21"/>
          <w:szCs w:val="21"/>
        </w:rPr>
        <w:t>.</w:t>
      </w:r>
    </w:p>
    <w:p w14:paraId="4930EC5F" w14:textId="77777777" w:rsidR="008E302F" w:rsidRDefault="008E302F" w:rsidP="008E302F">
      <w:pPr>
        <w:ind w:firstLine="567"/>
        <w:jc w:val="both"/>
        <w:rPr>
          <w:rFonts w:ascii="Abadi" w:hAnsi="Abadi"/>
          <w:sz w:val="21"/>
          <w:szCs w:val="21"/>
        </w:rPr>
      </w:pPr>
    </w:p>
    <w:p w14:paraId="3705C304" w14:textId="74E8DE09" w:rsidR="008E302F" w:rsidRDefault="008E302F" w:rsidP="008E302F">
      <w:pPr>
        <w:ind w:firstLine="567"/>
        <w:jc w:val="both"/>
        <w:rPr>
          <w:rFonts w:ascii="Abadi" w:hAnsi="Abadi"/>
          <w:sz w:val="21"/>
          <w:szCs w:val="21"/>
        </w:rPr>
      </w:pPr>
      <w:r>
        <w:rPr>
          <w:rFonts w:ascii="Abadi" w:hAnsi="Abadi"/>
          <w:sz w:val="21"/>
          <w:szCs w:val="21"/>
        </w:rPr>
        <w:t>- N</w:t>
      </w:r>
      <w:r w:rsidRPr="006813AA">
        <w:rPr>
          <w:rFonts w:ascii="Abadi" w:hAnsi="Abadi"/>
          <w:sz w:val="21"/>
          <w:szCs w:val="21"/>
        </w:rPr>
        <w:t xml:space="preserve">o habiendo </w:t>
      </w:r>
      <w:r>
        <w:rPr>
          <w:rFonts w:ascii="Abadi" w:hAnsi="Abadi"/>
          <w:sz w:val="21"/>
          <w:szCs w:val="21"/>
        </w:rPr>
        <w:t>participaciones</w:t>
      </w:r>
      <w:r w:rsidRPr="006813AA">
        <w:rPr>
          <w:rFonts w:ascii="Abadi" w:hAnsi="Abadi"/>
          <w:sz w:val="21"/>
          <w:szCs w:val="21"/>
        </w:rPr>
        <w:t xml:space="preserve"> se pide</w:t>
      </w:r>
      <w:r>
        <w:rPr>
          <w:rFonts w:ascii="Abadi" w:hAnsi="Abadi"/>
          <w:sz w:val="21"/>
          <w:szCs w:val="21"/>
        </w:rPr>
        <w:t xml:space="preserve"> a</w:t>
      </w:r>
      <w:r w:rsidRPr="006813AA">
        <w:rPr>
          <w:rFonts w:ascii="Abadi" w:hAnsi="Abadi"/>
          <w:sz w:val="21"/>
          <w:szCs w:val="21"/>
        </w:rPr>
        <w:t xml:space="preserve"> la </w:t>
      </w:r>
      <w:r>
        <w:rPr>
          <w:rFonts w:ascii="Abadi" w:hAnsi="Abadi"/>
          <w:sz w:val="21"/>
          <w:szCs w:val="21"/>
        </w:rPr>
        <w:t>S</w:t>
      </w:r>
      <w:r w:rsidRPr="006813AA">
        <w:rPr>
          <w:rFonts w:ascii="Abadi" w:hAnsi="Abadi"/>
          <w:sz w:val="21"/>
          <w:szCs w:val="21"/>
        </w:rPr>
        <w:t xml:space="preserve">ecretaría que proceda a recabar votación nominal de la </w:t>
      </w:r>
      <w:r>
        <w:rPr>
          <w:rFonts w:ascii="Abadi" w:hAnsi="Abadi"/>
          <w:sz w:val="21"/>
          <w:szCs w:val="21"/>
        </w:rPr>
        <w:t>A</w:t>
      </w:r>
      <w:r w:rsidRPr="006813AA">
        <w:rPr>
          <w:rFonts w:ascii="Abadi" w:hAnsi="Abadi"/>
          <w:sz w:val="21"/>
          <w:szCs w:val="21"/>
        </w:rPr>
        <w:t>samblea a través del sistema electrónico a efecto de aprobar o no el dictamen puesto su consideración</w:t>
      </w:r>
      <w:r>
        <w:rPr>
          <w:rFonts w:ascii="Abadi" w:hAnsi="Abadi"/>
          <w:sz w:val="21"/>
          <w:szCs w:val="21"/>
        </w:rPr>
        <w:t>.</w:t>
      </w:r>
    </w:p>
    <w:p w14:paraId="249B0432" w14:textId="77777777" w:rsidR="008E302F" w:rsidRDefault="008E302F" w:rsidP="008E302F">
      <w:pPr>
        <w:ind w:firstLine="567"/>
        <w:jc w:val="both"/>
        <w:rPr>
          <w:rFonts w:ascii="Abadi" w:hAnsi="Abadi"/>
          <w:sz w:val="21"/>
          <w:szCs w:val="21"/>
        </w:rPr>
      </w:pPr>
    </w:p>
    <w:p w14:paraId="73172F3E" w14:textId="69FCAEA1" w:rsidR="008E302F" w:rsidRDefault="008E302F" w:rsidP="008E302F">
      <w:pPr>
        <w:ind w:firstLine="567"/>
        <w:jc w:val="both"/>
        <w:rPr>
          <w:rFonts w:ascii="Abadi" w:hAnsi="Abadi"/>
          <w:b/>
          <w:bCs/>
          <w:sz w:val="21"/>
          <w:szCs w:val="21"/>
        </w:rPr>
      </w:pPr>
      <w:r w:rsidRPr="00162888">
        <w:rPr>
          <w:rFonts w:ascii="Abadi" w:hAnsi="Abadi"/>
          <w:b/>
          <w:bCs/>
          <w:sz w:val="21"/>
          <w:szCs w:val="21"/>
        </w:rPr>
        <w:t>(Abrimos nuestro sistema electrónico)</w:t>
      </w:r>
    </w:p>
    <w:p w14:paraId="1DC446BC" w14:textId="77777777" w:rsidR="008E302F" w:rsidRPr="00162888" w:rsidRDefault="008E302F" w:rsidP="008E302F">
      <w:pPr>
        <w:ind w:firstLine="567"/>
        <w:jc w:val="both"/>
        <w:rPr>
          <w:rFonts w:ascii="Abadi" w:hAnsi="Abadi"/>
          <w:b/>
          <w:bCs/>
          <w:sz w:val="21"/>
          <w:szCs w:val="21"/>
        </w:rPr>
      </w:pPr>
    </w:p>
    <w:p w14:paraId="5B7C3F9A" w14:textId="0DDA5186" w:rsidR="008E302F" w:rsidRDefault="008E302F" w:rsidP="008E302F">
      <w:pPr>
        <w:ind w:firstLine="567"/>
        <w:jc w:val="both"/>
        <w:rPr>
          <w:rFonts w:ascii="Abadi" w:hAnsi="Abadi"/>
          <w:sz w:val="21"/>
          <w:szCs w:val="21"/>
        </w:rPr>
      </w:pPr>
      <w:r w:rsidRPr="006F38AD">
        <w:rPr>
          <w:rFonts w:ascii="Abadi" w:hAnsi="Abadi"/>
          <w:b/>
          <w:bCs/>
          <w:sz w:val="21"/>
          <w:szCs w:val="21"/>
        </w:rPr>
        <w:t>- El Secretario.-</w:t>
      </w:r>
      <w:r>
        <w:rPr>
          <w:rFonts w:ascii="Abadi" w:hAnsi="Abadi"/>
          <w:sz w:val="21"/>
          <w:szCs w:val="21"/>
        </w:rPr>
        <w:t xml:space="preserve"> E</w:t>
      </w:r>
      <w:r w:rsidRPr="006813AA">
        <w:rPr>
          <w:rFonts w:ascii="Abadi" w:hAnsi="Abadi"/>
          <w:sz w:val="21"/>
          <w:szCs w:val="21"/>
        </w:rPr>
        <w:t>n votación nominal por el sistema electrónico se pregunta a las diputadas y a los diputados si se aprueba el dictamen puesto a su consideración</w:t>
      </w:r>
      <w:r>
        <w:rPr>
          <w:rFonts w:ascii="Abadi" w:hAnsi="Abadi"/>
          <w:sz w:val="21"/>
          <w:szCs w:val="21"/>
        </w:rPr>
        <w:t>. ¿D</w:t>
      </w:r>
      <w:r w:rsidRPr="006813AA">
        <w:rPr>
          <w:rFonts w:ascii="Abadi" w:hAnsi="Abadi"/>
          <w:sz w:val="21"/>
          <w:szCs w:val="21"/>
        </w:rPr>
        <w:t xml:space="preserve">iputada </w:t>
      </w:r>
      <w:r>
        <w:rPr>
          <w:rFonts w:ascii="Abadi" w:hAnsi="Abadi"/>
          <w:sz w:val="21"/>
          <w:szCs w:val="21"/>
        </w:rPr>
        <w:t>R</w:t>
      </w:r>
      <w:r w:rsidRPr="006813AA">
        <w:rPr>
          <w:rFonts w:ascii="Abadi" w:hAnsi="Abadi"/>
          <w:sz w:val="21"/>
          <w:szCs w:val="21"/>
        </w:rPr>
        <w:t xml:space="preserve">uth </w:t>
      </w:r>
      <w:r>
        <w:rPr>
          <w:rFonts w:ascii="Abadi" w:hAnsi="Abadi"/>
          <w:sz w:val="21"/>
          <w:szCs w:val="21"/>
        </w:rPr>
        <w:t>N</w:t>
      </w:r>
      <w:r w:rsidRPr="006813AA">
        <w:rPr>
          <w:rFonts w:ascii="Abadi" w:hAnsi="Abadi"/>
          <w:sz w:val="21"/>
          <w:szCs w:val="21"/>
        </w:rPr>
        <w:t>oemí</w:t>
      </w:r>
      <w:r>
        <w:rPr>
          <w:rFonts w:ascii="Abadi" w:hAnsi="Abadi"/>
          <w:sz w:val="21"/>
          <w:szCs w:val="21"/>
        </w:rPr>
        <w:t>?</w:t>
      </w:r>
    </w:p>
    <w:p w14:paraId="0B763024" w14:textId="77777777" w:rsidR="008E302F" w:rsidRDefault="008E302F" w:rsidP="008E302F">
      <w:pPr>
        <w:ind w:firstLine="567"/>
        <w:jc w:val="both"/>
        <w:rPr>
          <w:rFonts w:ascii="Abadi" w:hAnsi="Abadi"/>
          <w:sz w:val="21"/>
          <w:szCs w:val="21"/>
        </w:rPr>
      </w:pPr>
    </w:p>
    <w:p w14:paraId="48A0EE4E" w14:textId="250A3DEA" w:rsidR="008E302F" w:rsidRDefault="008E302F" w:rsidP="008E302F">
      <w:pPr>
        <w:ind w:firstLine="567"/>
        <w:jc w:val="both"/>
        <w:rPr>
          <w:rFonts w:ascii="Abadi" w:hAnsi="Abadi"/>
          <w:sz w:val="21"/>
          <w:szCs w:val="21"/>
        </w:rPr>
      </w:pPr>
      <w:r>
        <w:rPr>
          <w:noProof/>
        </w:rPr>
        <w:drawing>
          <wp:anchor distT="0" distB="0" distL="114300" distR="114300" simplePos="0" relativeHeight="251702272" behindDoc="0" locked="0" layoutInCell="1" allowOverlap="1" wp14:anchorId="3666E69C" wp14:editId="14F61067">
            <wp:simplePos x="0" y="0"/>
            <wp:positionH relativeFrom="margin">
              <wp:align>right</wp:align>
            </wp:positionH>
            <wp:positionV relativeFrom="paragraph">
              <wp:posOffset>665133</wp:posOffset>
            </wp:positionV>
            <wp:extent cx="1932089" cy="1021993"/>
            <wp:effectExtent l="323850" t="323850" r="316230" b="330835"/>
            <wp:wrapSquare wrapText="bothSides"/>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b="5918"/>
                    <a:stretch/>
                  </pic:blipFill>
                  <pic:spPr bwMode="auto">
                    <a:xfrm>
                      <a:off x="0" y="0"/>
                      <a:ext cx="1932089" cy="1021993"/>
                    </a:xfrm>
                    <a:prstGeom prst="rect">
                      <a:avLst/>
                    </a:prstGeom>
                    <a:ln w="88900" cap="sq" cmpd="thickThin">
                      <a:solidFill>
                        <a:srgbClr val="000000"/>
                      </a:solidFill>
                      <a:prstDash val="solid"/>
                      <a:miter lim="800000"/>
                    </a:ln>
                    <a:effectLst>
                      <a:glow rad="228600">
                        <a:schemeClr val="accent3">
                          <a:satMod val="17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r>
        <w:rPr>
          <w:rFonts w:ascii="Abadi" w:hAnsi="Abadi"/>
          <w:sz w:val="21"/>
          <w:szCs w:val="21"/>
        </w:rPr>
        <w:t>¿F</w:t>
      </w:r>
      <w:r w:rsidRPr="006813AA">
        <w:rPr>
          <w:rFonts w:ascii="Abadi" w:hAnsi="Abadi"/>
          <w:sz w:val="21"/>
          <w:szCs w:val="21"/>
        </w:rPr>
        <w:t>alta alguna diputada o algún diputado de emitir su voto</w:t>
      </w:r>
      <w:r>
        <w:rPr>
          <w:rFonts w:ascii="Abadi" w:hAnsi="Abadi"/>
          <w:sz w:val="21"/>
          <w:szCs w:val="21"/>
        </w:rPr>
        <w:t>?</w:t>
      </w:r>
    </w:p>
    <w:p w14:paraId="2F4D1A9B" w14:textId="26FB82FC" w:rsidR="008E302F" w:rsidRDefault="008E302F" w:rsidP="008E302F">
      <w:pPr>
        <w:ind w:firstLine="567"/>
        <w:jc w:val="both"/>
        <w:rPr>
          <w:rFonts w:ascii="Abadi" w:hAnsi="Abadi"/>
          <w:sz w:val="21"/>
          <w:szCs w:val="21"/>
        </w:rPr>
      </w:pPr>
    </w:p>
    <w:p w14:paraId="60E30DBC" w14:textId="77777777" w:rsidR="008E302F" w:rsidRDefault="008E302F" w:rsidP="008E302F">
      <w:pPr>
        <w:ind w:firstLine="567"/>
        <w:jc w:val="both"/>
        <w:rPr>
          <w:rFonts w:ascii="Abadi" w:hAnsi="Abadi"/>
          <w:b/>
          <w:bCs/>
          <w:sz w:val="21"/>
          <w:szCs w:val="21"/>
        </w:rPr>
      </w:pPr>
      <w:r w:rsidRPr="004C0FBB">
        <w:rPr>
          <w:rFonts w:ascii="Abadi" w:hAnsi="Abadi"/>
          <w:b/>
          <w:bCs/>
          <w:sz w:val="21"/>
          <w:szCs w:val="21"/>
        </w:rPr>
        <w:t xml:space="preserve"> (Cerramos nuestro sistema electrónico)</w:t>
      </w:r>
    </w:p>
    <w:p w14:paraId="0192D89E" w14:textId="13EA77FF" w:rsidR="008E302F" w:rsidRDefault="008E302F" w:rsidP="008E302F">
      <w:pPr>
        <w:ind w:firstLine="567"/>
        <w:jc w:val="both"/>
        <w:rPr>
          <w:rFonts w:ascii="Abadi" w:hAnsi="Abadi"/>
          <w:b/>
          <w:bCs/>
          <w:sz w:val="21"/>
          <w:szCs w:val="21"/>
        </w:rPr>
      </w:pPr>
    </w:p>
    <w:p w14:paraId="798CC76A" w14:textId="77777777" w:rsidR="008E302F" w:rsidRPr="004C0FBB" w:rsidRDefault="008E302F" w:rsidP="008E302F">
      <w:pPr>
        <w:ind w:firstLine="567"/>
        <w:jc w:val="both"/>
        <w:rPr>
          <w:rFonts w:ascii="Abadi" w:hAnsi="Abadi"/>
          <w:b/>
          <w:bCs/>
          <w:sz w:val="21"/>
          <w:szCs w:val="21"/>
        </w:rPr>
      </w:pPr>
    </w:p>
    <w:p w14:paraId="28CB192F" w14:textId="77777777" w:rsidR="008E302F" w:rsidRDefault="008E302F" w:rsidP="008E302F">
      <w:pPr>
        <w:pStyle w:val="Prrafodelista"/>
        <w:numPr>
          <w:ilvl w:val="0"/>
          <w:numId w:val="76"/>
        </w:numPr>
        <w:spacing w:after="160" w:line="259" w:lineRule="auto"/>
        <w:ind w:left="0" w:firstLine="0"/>
        <w:contextualSpacing/>
        <w:jc w:val="both"/>
        <w:rPr>
          <w:rFonts w:ascii="Abadi" w:hAnsi="Abadi"/>
          <w:sz w:val="21"/>
          <w:szCs w:val="21"/>
        </w:rPr>
      </w:pPr>
      <w:r w:rsidRPr="004C0FBB">
        <w:rPr>
          <w:rFonts w:ascii="Abadi" w:hAnsi="Abadi"/>
          <w:b/>
          <w:bCs/>
          <w:sz w:val="21"/>
          <w:szCs w:val="21"/>
        </w:rPr>
        <w:t>El Secretario.-</w:t>
      </w:r>
      <w:r>
        <w:rPr>
          <w:rFonts w:ascii="Abadi" w:hAnsi="Abadi"/>
          <w:sz w:val="21"/>
          <w:szCs w:val="21"/>
        </w:rPr>
        <w:t xml:space="preserve"> </w:t>
      </w:r>
      <w:r w:rsidRPr="004C0FBB">
        <w:rPr>
          <w:rFonts w:ascii="Abadi" w:hAnsi="Abadi"/>
          <w:sz w:val="21"/>
          <w:szCs w:val="21"/>
        </w:rPr>
        <w:t>Se registraron 31 votos a favor y 2 votos en contra</w:t>
      </w:r>
      <w:r>
        <w:rPr>
          <w:rFonts w:ascii="Abadi" w:hAnsi="Abadi"/>
          <w:sz w:val="21"/>
          <w:szCs w:val="21"/>
        </w:rPr>
        <w:t xml:space="preserve"> Señor Presidente. </w:t>
      </w:r>
    </w:p>
    <w:p w14:paraId="1291DFD7" w14:textId="77777777" w:rsidR="008E302F" w:rsidRPr="004C0FBB" w:rsidRDefault="008E302F" w:rsidP="008E302F">
      <w:pPr>
        <w:pStyle w:val="Prrafodelista"/>
        <w:ind w:left="0"/>
        <w:jc w:val="both"/>
        <w:rPr>
          <w:rFonts w:ascii="Abadi" w:hAnsi="Abadi"/>
          <w:sz w:val="21"/>
          <w:szCs w:val="21"/>
        </w:rPr>
      </w:pPr>
    </w:p>
    <w:p w14:paraId="014504B0" w14:textId="77777777" w:rsidR="008E302F" w:rsidRPr="001241FF" w:rsidRDefault="008E302F" w:rsidP="008E302F">
      <w:pPr>
        <w:pStyle w:val="Prrafodelista"/>
        <w:numPr>
          <w:ilvl w:val="0"/>
          <w:numId w:val="76"/>
        </w:numPr>
        <w:spacing w:after="160" w:line="259" w:lineRule="auto"/>
        <w:ind w:left="0" w:firstLine="0"/>
        <w:contextualSpacing/>
        <w:jc w:val="both"/>
        <w:rPr>
          <w:rFonts w:ascii="Abadi" w:hAnsi="Abadi"/>
          <w:sz w:val="21"/>
          <w:szCs w:val="21"/>
        </w:rPr>
      </w:pPr>
      <w:r>
        <w:rPr>
          <w:rFonts w:ascii="Abadi" w:hAnsi="Abadi"/>
          <w:b/>
          <w:bCs/>
          <w:sz w:val="21"/>
          <w:szCs w:val="21"/>
        </w:rPr>
        <w:t>El Presidente.</w:t>
      </w:r>
      <w:r>
        <w:rPr>
          <w:rFonts w:ascii="Abadi" w:hAnsi="Abadi"/>
          <w:sz w:val="21"/>
          <w:szCs w:val="21"/>
        </w:rPr>
        <w:t xml:space="preserve">- </w:t>
      </w:r>
      <w:r w:rsidRPr="001241FF">
        <w:rPr>
          <w:rFonts w:ascii="Abadi" w:hAnsi="Abadi"/>
          <w:sz w:val="21"/>
          <w:szCs w:val="21"/>
        </w:rPr>
        <w:t xml:space="preserve"> Por mayoría de votos este dictamen ha sido aprobado.</w:t>
      </w:r>
    </w:p>
    <w:p w14:paraId="4FD195A6" w14:textId="77777777" w:rsidR="008E302F" w:rsidRPr="001241FF" w:rsidRDefault="008E302F" w:rsidP="008E302F">
      <w:pPr>
        <w:ind w:left="567" w:right="567"/>
        <w:jc w:val="both"/>
        <w:rPr>
          <w:rFonts w:ascii="Abadi" w:hAnsi="Abadi"/>
          <w:b/>
          <w:bCs/>
          <w:i/>
          <w:iCs/>
          <w:sz w:val="21"/>
          <w:szCs w:val="21"/>
          <w:u w:val="single"/>
        </w:rPr>
      </w:pPr>
      <w:r w:rsidRPr="001241FF">
        <w:rPr>
          <w:rFonts w:ascii="Abadi" w:hAnsi="Abadi"/>
          <w:b/>
          <w:bCs/>
          <w:i/>
          <w:iCs/>
          <w:sz w:val="21"/>
          <w:szCs w:val="21"/>
          <w:u w:val="single"/>
        </w:rPr>
        <w:t>En consecuencia se instruye a la Secretaría General para que proceda al archivo definitivo de la iniciativa referida en el dictamen aprobado.</w:t>
      </w:r>
    </w:p>
    <w:p w14:paraId="350F5EE3" w14:textId="77777777" w:rsidR="008E302F" w:rsidRDefault="008E302F" w:rsidP="008E302F">
      <w:pPr>
        <w:widowControl w:val="0"/>
        <w:ind w:right="567"/>
        <w:jc w:val="both"/>
        <w:rPr>
          <w:rFonts w:ascii="Abadi" w:hAnsi="Abadi" w:cs="Arial"/>
          <w:b/>
          <w:bCs/>
          <w:sz w:val="21"/>
          <w:szCs w:val="21"/>
          <w:lang w:val="es-MX" w:eastAsia="en-US"/>
        </w:rPr>
      </w:pPr>
    </w:p>
    <w:p w14:paraId="3D5741CB" w14:textId="5783D612" w:rsidR="000417A9" w:rsidRDefault="000417A9" w:rsidP="000417A9">
      <w:pPr>
        <w:widowControl w:val="0"/>
        <w:jc w:val="both"/>
        <w:rPr>
          <w:rFonts w:ascii="Abadi" w:hAnsi="Abadi" w:cs="Arial"/>
          <w:b/>
          <w:bCs/>
          <w:sz w:val="21"/>
          <w:szCs w:val="21"/>
          <w:lang w:val="es-MX" w:eastAsia="en-US"/>
        </w:rPr>
      </w:pPr>
    </w:p>
    <w:p w14:paraId="77B85BC2" w14:textId="76A51EE7" w:rsidR="000417A9" w:rsidRDefault="000417A9" w:rsidP="000417A9">
      <w:pPr>
        <w:widowControl w:val="0"/>
        <w:jc w:val="both"/>
        <w:rPr>
          <w:rFonts w:ascii="Abadi" w:hAnsi="Abadi" w:cs="Arial"/>
          <w:b/>
          <w:bCs/>
          <w:sz w:val="21"/>
          <w:szCs w:val="21"/>
          <w:lang w:val="es-MX" w:eastAsia="en-US"/>
        </w:rPr>
      </w:pPr>
    </w:p>
    <w:p w14:paraId="379F86D2" w14:textId="77777777" w:rsidR="000417A9" w:rsidRPr="0035609C" w:rsidRDefault="000417A9" w:rsidP="000417A9">
      <w:pPr>
        <w:widowControl w:val="0"/>
        <w:jc w:val="both"/>
        <w:rPr>
          <w:rFonts w:ascii="Abadi" w:hAnsi="Abadi" w:cs="Arial"/>
          <w:b/>
          <w:bCs/>
          <w:sz w:val="21"/>
          <w:szCs w:val="21"/>
          <w:lang w:val="es-MX" w:eastAsia="en-US"/>
        </w:rPr>
      </w:pPr>
    </w:p>
    <w:p w14:paraId="25BF7252" w14:textId="3C916CE3" w:rsidR="00D16086" w:rsidRPr="00D16086" w:rsidRDefault="00D16086" w:rsidP="00D16086">
      <w:pPr>
        <w:autoSpaceDE w:val="0"/>
        <w:autoSpaceDN w:val="0"/>
        <w:adjustRightInd w:val="0"/>
        <w:contextualSpacing/>
        <w:jc w:val="both"/>
        <w:rPr>
          <w:rFonts w:ascii="Abadi" w:hAnsi="Abadi" w:cs="ArialMT"/>
          <w:sz w:val="20"/>
          <w:szCs w:val="21"/>
        </w:rPr>
      </w:pPr>
    </w:p>
    <w:p w14:paraId="1BCC0B05" w14:textId="77777777" w:rsidR="00CA5394" w:rsidRDefault="00CA5394" w:rsidP="00CA5394">
      <w:pPr>
        <w:pStyle w:val="Prrafodelista"/>
        <w:autoSpaceDE w:val="0"/>
        <w:autoSpaceDN w:val="0"/>
        <w:adjustRightInd w:val="0"/>
        <w:ind w:left="720"/>
        <w:contextualSpacing/>
        <w:jc w:val="both"/>
        <w:rPr>
          <w:rFonts w:ascii="Abadi" w:hAnsi="Abadi" w:cs="ArialMT"/>
          <w:b/>
          <w:bCs/>
          <w:sz w:val="20"/>
          <w:szCs w:val="21"/>
        </w:rPr>
      </w:pPr>
    </w:p>
    <w:p w14:paraId="3B668BE5" w14:textId="6A9A380B" w:rsidR="00E462B6" w:rsidRPr="0028553C" w:rsidRDefault="00CA5394">
      <w:pPr>
        <w:pStyle w:val="Prrafodelista"/>
        <w:numPr>
          <w:ilvl w:val="0"/>
          <w:numId w:val="14"/>
        </w:numPr>
        <w:autoSpaceDE w:val="0"/>
        <w:autoSpaceDN w:val="0"/>
        <w:adjustRightInd w:val="0"/>
        <w:contextualSpacing/>
        <w:jc w:val="both"/>
        <w:rPr>
          <w:rFonts w:ascii="Abadi" w:hAnsi="Abadi" w:cs="ArialMT"/>
          <w:b/>
          <w:bCs/>
          <w:sz w:val="20"/>
          <w:szCs w:val="21"/>
        </w:rPr>
      </w:pPr>
      <w:r w:rsidRPr="00CA5394">
        <w:rPr>
          <w:rFonts w:ascii="Abadi" w:hAnsi="Abadi" w:cs="ArialMT"/>
          <w:b/>
          <w:bCs/>
          <w:sz w:val="20"/>
          <w:szCs w:val="21"/>
        </w:rPr>
        <w:t>DISCUSIÓN Y, EN SU CASO, APROBACIÓN DEL DICTAMEN EMITIDO POR LA COMISIÓN DE SEGURIDAD PÚBLICA Y COMUNICACIONES RELATIVO A LA INICIATIVA QUE REFORMA EL ARTÍCULO 36-6 DE LA LEY DEL SISTEMA ESTATAL DE SEGURIDAD PÚBLICA DEL ESTADO DE GUANAJUATO FORMULADA ANTE LA SEXAGÉSIMA CUARTA LEGISLATURA, </w:t>
      </w:r>
      <w:r w:rsidRPr="0028553C">
        <w:rPr>
          <w:rFonts w:ascii="Abadi" w:hAnsi="Abadi" w:cs="ArialMT"/>
          <w:b/>
          <w:bCs/>
          <w:sz w:val="20"/>
          <w:szCs w:val="21"/>
        </w:rPr>
        <w:t>POR DIPUTADAS Y DIPUTADOS INTEGRANTES DEL GRUPO PARLAMENTARIO DEL PARTIDO ACCIÓN NACIONAL.</w:t>
      </w:r>
    </w:p>
    <w:p w14:paraId="6811A05D" w14:textId="48BAEBFE" w:rsidR="00E462B6" w:rsidRDefault="00E462B6" w:rsidP="00E462B6">
      <w:pPr>
        <w:autoSpaceDE w:val="0"/>
        <w:autoSpaceDN w:val="0"/>
        <w:adjustRightInd w:val="0"/>
        <w:jc w:val="both"/>
        <w:rPr>
          <w:rFonts w:ascii="Abadi" w:hAnsi="Abadi" w:cs="ArialMT"/>
          <w:b/>
          <w:bCs/>
          <w:sz w:val="20"/>
          <w:szCs w:val="21"/>
        </w:rPr>
      </w:pPr>
    </w:p>
    <w:p w14:paraId="5C8D7188" w14:textId="77777777" w:rsidR="008325FB" w:rsidRPr="008325FB" w:rsidRDefault="008325FB" w:rsidP="0062363E">
      <w:pPr>
        <w:rPr>
          <w:rFonts w:ascii="Abadi" w:eastAsiaTheme="minorHAnsi" w:hAnsi="Abadi" w:cs="Arial"/>
          <w:b/>
          <w:sz w:val="21"/>
          <w:szCs w:val="21"/>
          <w:lang w:val="es-MX" w:eastAsia="en-US"/>
        </w:rPr>
      </w:pPr>
      <w:r w:rsidRPr="008325FB">
        <w:rPr>
          <w:rFonts w:ascii="Abadi" w:eastAsiaTheme="minorHAnsi" w:hAnsi="Abadi" w:cs="Arial"/>
          <w:b/>
          <w:sz w:val="21"/>
          <w:szCs w:val="21"/>
          <w:lang w:val="es-MX" w:eastAsia="en-US"/>
        </w:rPr>
        <w:t>Presidencia de la Mesa Directiva</w:t>
      </w:r>
    </w:p>
    <w:p w14:paraId="39496731" w14:textId="77777777" w:rsidR="008325FB" w:rsidRPr="008325FB" w:rsidRDefault="008325FB" w:rsidP="0062363E">
      <w:pPr>
        <w:rPr>
          <w:rFonts w:ascii="Abadi" w:eastAsiaTheme="minorHAnsi" w:hAnsi="Abadi" w:cs="Arial"/>
          <w:b/>
          <w:sz w:val="21"/>
          <w:szCs w:val="21"/>
          <w:lang w:val="es-MX" w:eastAsia="en-US"/>
        </w:rPr>
      </w:pPr>
      <w:r w:rsidRPr="008325FB">
        <w:rPr>
          <w:rFonts w:ascii="Abadi" w:eastAsiaTheme="minorHAnsi" w:hAnsi="Abadi" w:cs="Arial"/>
          <w:b/>
          <w:sz w:val="21"/>
          <w:szCs w:val="21"/>
          <w:lang w:val="es-MX" w:eastAsia="en-US"/>
        </w:rPr>
        <w:t>Congreso del Estado</w:t>
      </w:r>
    </w:p>
    <w:p w14:paraId="50089525" w14:textId="77777777" w:rsidR="008325FB" w:rsidRPr="008325FB" w:rsidRDefault="008325FB" w:rsidP="0062363E">
      <w:pPr>
        <w:rPr>
          <w:rFonts w:ascii="Abadi" w:eastAsiaTheme="minorHAnsi" w:hAnsi="Abadi" w:cs="Arial"/>
          <w:b/>
          <w:sz w:val="21"/>
          <w:szCs w:val="21"/>
          <w:lang w:val="es-MX" w:eastAsia="en-US"/>
        </w:rPr>
      </w:pPr>
      <w:r w:rsidRPr="008325FB">
        <w:rPr>
          <w:rFonts w:ascii="Abadi" w:eastAsiaTheme="minorHAnsi" w:hAnsi="Abadi" w:cs="Arial"/>
          <w:b/>
          <w:sz w:val="21"/>
          <w:szCs w:val="21"/>
          <w:lang w:val="es-MX" w:eastAsia="en-US"/>
        </w:rPr>
        <w:t>Presente</w:t>
      </w:r>
    </w:p>
    <w:p w14:paraId="744E9E2E" w14:textId="77777777" w:rsidR="008325FB" w:rsidRPr="008325FB" w:rsidRDefault="008325FB" w:rsidP="0062363E">
      <w:pPr>
        <w:rPr>
          <w:rFonts w:ascii="Abadi" w:eastAsiaTheme="minorHAnsi" w:hAnsi="Abadi" w:cs="Arial"/>
          <w:b/>
          <w:sz w:val="21"/>
          <w:szCs w:val="21"/>
          <w:lang w:val="es-MX" w:eastAsia="en-US"/>
        </w:rPr>
      </w:pPr>
    </w:p>
    <w:p w14:paraId="07174094" w14:textId="77777777" w:rsidR="008325FB" w:rsidRPr="008325FB" w:rsidRDefault="008325FB" w:rsidP="0062363E">
      <w:pPr>
        <w:jc w:val="both"/>
        <w:textAlignment w:val="baseline"/>
        <w:rPr>
          <w:rFonts w:ascii="Abadi" w:hAnsi="Abadi" w:cs="Arial"/>
          <w:sz w:val="21"/>
          <w:szCs w:val="21"/>
          <w:lang w:val="es-MX" w:eastAsia="es-MX"/>
        </w:rPr>
      </w:pPr>
      <w:r w:rsidRPr="008325FB">
        <w:rPr>
          <w:rFonts w:ascii="Abadi" w:hAnsi="Abadi" w:cs="Arial"/>
          <w:sz w:val="21"/>
          <w:szCs w:val="21"/>
          <w:lang w:val="es-MX" w:eastAsia="es-MX"/>
        </w:rPr>
        <w:t>Correspondió a esta Comisión de Seguridad Pública y Comunicaciones conocer y dictaminar la iniciativa que reforma el artículo 36-6 de la Ley del Sistema Estatal de Seguridad Pública del Estado de Guanajuato formulada, en la LXIV Legislatura, por las diputadas y diputados del Grupo Parlamentario del Partido Acción Nacional. </w:t>
      </w:r>
    </w:p>
    <w:p w14:paraId="2215169B" w14:textId="77777777" w:rsidR="008325FB" w:rsidRPr="008325FB" w:rsidRDefault="008325FB" w:rsidP="0062363E">
      <w:pPr>
        <w:jc w:val="both"/>
        <w:textAlignment w:val="baseline"/>
        <w:rPr>
          <w:rFonts w:ascii="Abadi" w:hAnsi="Abadi" w:cs="Arial"/>
          <w:sz w:val="21"/>
          <w:szCs w:val="21"/>
          <w:lang w:val="es-MX" w:eastAsia="es-MX"/>
        </w:rPr>
      </w:pPr>
    </w:p>
    <w:p w14:paraId="1E10EB90" w14:textId="77777777" w:rsidR="008325FB" w:rsidRPr="008325FB" w:rsidRDefault="008325FB" w:rsidP="0062363E">
      <w:pPr>
        <w:jc w:val="both"/>
        <w:textAlignment w:val="baseline"/>
        <w:rPr>
          <w:rFonts w:ascii="Abadi" w:hAnsi="Abadi" w:cs="Arial"/>
          <w:sz w:val="21"/>
          <w:szCs w:val="21"/>
          <w:lang w:val="es-MX" w:eastAsia="es-MX"/>
        </w:rPr>
      </w:pPr>
      <w:r w:rsidRPr="008325FB">
        <w:rPr>
          <w:rFonts w:ascii="Abadi" w:hAnsi="Abadi" w:cs="Arial"/>
          <w:sz w:val="21"/>
          <w:szCs w:val="21"/>
          <w:lang w:val="es-MX" w:eastAsia="es-MX"/>
        </w:rPr>
        <w:t xml:space="preserve">Con fundamento en el artículo 119 fracción I y 180 de la Ley Orgánica del Poder Legislativo del Estado de Guanajuato, concluida su discusión, se realiza el siguiente: </w:t>
      </w:r>
    </w:p>
    <w:p w14:paraId="0A29B015" w14:textId="77777777" w:rsidR="008325FB" w:rsidRPr="008325FB" w:rsidRDefault="008325FB" w:rsidP="0062363E">
      <w:pPr>
        <w:jc w:val="both"/>
        <w:textAlignment w:val="baseline"/>
        <w:rPr>
          <w:rFonts w:ascii="Abadi" w:hAnsi="Abadi" w:cs="Arial"/>
          <w:sz w:val="21"/>
          <w:szCs w:val="21"/>
          <w:lang w:val="es-MX" w:eastAsia="es-MX"/>
        </w:rPr>
      </w:pPr>
    </w:p>
    <w:p w14:paraId="7C54D504" w14:textId="77777777" w:rsidR="008325FB" w:rsidRPr="008325FB" w:rsidRDefault="008325FB" w:rsidP="0062363E">
      <w:pPr>
        <w:jc w:val="center"/>
        <w:textAlignment w:val="baseline"/>
        <w:rPr>
          <w:rFonts w:ascii="Abadi" w:hAnsi="Abadi" w:cs="Arial"/>
          <w:b/>
          <w:sz w:val="21"/>
          <w:szCs w:val="21"/>
          <w:lang w:val="es-MX" w:eastAsia="es-MX"/>
        </w:rPr>
      </w:pPr>
      <w:r w:rsidRPr="008325FB">
        <w:rPr>
          <w:rFonts w:ascii="Abadi" w:hAnsi="Abadi" w:cs="Arial"/>
          <w:b/>
          <w:sz w:val="21"/>
          <w:szCs w:val="21"/>
          <w:lang w:val="es-MX" w:eastAsia="es-MX"/>
        </w:rPr>
        <w:t>D i c t a m e n</w:t>
      </w:r>
    </w:p>
    <w:p w14:paraId="5D7CEDEB" w14:textId="77777777" w:rsidR="008325FB" w:rsidRPr="008325FB" w:rsidRDefault="008325FB" w:rsidP="0062363E">
      <w:pPr>
        <w:jc w:val="center"/>
        <w:textAlignment w:val="baseline"/>
        <w:rPr>
          <w:rFonts w:ascii="Abadi" w:hAnsi="Abadi" w:cs="Arial"/>
          <w:b/>
          <w:sz w:val="21"/>
          <w:szCs w:val="21"/>
          <w:lang w:val="es-MX" w:eastAsia="es-MX"/>
        </w:rPr>
      </w:pPr>
    </w:p>
    <w:p w14:paraId="1CC026C4" w14:textId="77777777" w:rsidR="008325FB" w:rsidRPr="008325FB" w:rsidRDefault="008325FB" w:rsidP="0062363E">
      <w:pPr>
        <w:spacing w:after="160"/>
        <w:rPr>
          <w:rFonts w:ascii="Abadi" w:eastAsia="Batang" w:hAnsi="Abadi" w:cs="Arial"/>
          <w:b/>
          <w:bCs/>
          <w:sz w:val="21"/>
          <w:szCs w:val="21"/>
          <w:lang w:val="es-MX" w:eastAsia="en-US"/>
        </w:rPr>
      </w:pPr>
      <w:r w:rsidRPr="008325FB">
        <w:rPr>
          <w:rFonts w:ascii="Abadi" w:eastAsia="Batang" w:hAnsi="Abadi" w:cs="Arial"/>
          <w:b/>
          <w:smallCaps/>
          <w:sz w:val="21"/>
          <w:szCs w:val="21"/>
          <w:lang w:val="es-MX" w:eastAsia="en-US"/>
        </w:rPr>
        <w:t>I.</w:t>
      </w:r>
      <w:r w:rsidRPr="008325FB">
        <w:rPr>
          <w:rFonts w:ascii="Abadi" w:eastAsia="Batang" w:hAnsi="Abadi" w:cs="Arial"/>
          <w:b/>
          <w:smallCaps/>
          <w:sz w:val="21"/>
          <w:szCs w:val="21"/>
          <w:lang w:val="es-MX" w:eastAsia="en-US"/>
        </w:rPr>
        <w:tab/>
      </w:r>
      <w:r w:rsidRPr="008325FB">
        <w:rPr>
          <w:rFonts w:ascii="Abadi" w:eastAsia="Batang" w:hAnsi="Abadi" w:cs="Arial"/>
          <w:b/>
          <w:bCs/>
          <w:sz w:val="21"/>
          <w:szCs w:val="21"/>
          <w:lang w:val="es-MX" w:eastAsia="en-US"/>
        </w:rPr>
        <w:t>Del Proceso Legislativo.</w:t>
      </w:r>
    </w:p>
    <w:p w14:paraId="129BF13E" w14:textId="77777777" w:rsidR="008325FB" w:rsidRPr="008325FB" w:rsidRDefault="008325FB" w:rsidP="0062363E">
      <w:pPr>
        <w:spacing w:after="160"/>
        <w:rPr>
          <w:rFonts w:ascii="Abadi" w:eastAsia="Batang" w:hAnsi="Abadi" w:cs="Arial"/>
          <w:b/>
          <w:bCs/>
          <w:sz w:val="21"/>
          <w:szCs w:val="21"/>
          <w:lang w:val="es-MX" w:eastAsia="en-US"/>
        </w:rPr>
      </w:pPr>
    </w:p>
    <w:p w14:paraId="0382884E" w14:textId="77777777" w:rsidR="008325FB" w:rsidRPr="008325FB" w:rsidRDefault="008325FB" w:rsidP="0062363E">
      <w:pPr>
        <w:spacing w:after="160"/>
        <w:jc w:val="both"/>
        <w:rPr>
          <w:rFonts w:ascii="Abadi" w:eastAsia="Batang" w:hAnsi="Abadi" w:cs="Arial"/>
          <w:sz w:val="21"/>
          <w:szCs w:val="21"/>
          <w:lang w:val="es-MX" w:eastAsia="en-US"/>
        </w:rPr>
      </w:pPr>
      <w:r w:rsidRPr="008325FB">
        <w:rPr>
          <w:rFonts w:ascii="Abadi" w:eastAsia="Batang" w:hAnsi="Abadi" w:cs="Arial"/>
          <w:b/>
          <w:bCs/>
          <w:sz w:val="21"/>
          <w:szCs w:val="21"/>
          <w:lang w:val="es-MX" w:eastAsia="en-US"/>
        </w:rPr>
        <w:t>I.1.</w:t>
      </w:r>
      <w:r w:rsidRPr="008325FB">
        <w:rPr>
          <w:rFonts w:ascii="Abadi" w:eastAsia="Batang" w:hAnsi="Abadi" w:cs="Arial"/>
          <w:b/>
          <w:bCs/>
          <w:sz w:val="21"/>
          <w:szCs w:val="21"/>
          <w:lang w:val="es-MX" w:eastAsia="en-US"/>
        </w:rPr>
        <w:tab/>
      </w:r>
      <w:r w:rsidRPr="008325FB">
        <w:rPr>
          <w:rFonts w:ascii="Abadi" w:eastAsia="Batang" w:hAnsi="Abadi" w:cs="Arial"/>
          <w:sz w:val="21"/>
          <w:szCs w:val="21"/>
          <w:lang w:val="es-MX" w:eastAsia="en-US"/>
        </w:rPr>
        <w:t xml:space="preserve">En sesión del 17 de octubre de 2019 se dio cuenta de la iniciativa referida, turnándose por la presidencia del Congreso a la </w:t>
      </w:r>
      <w:r w:rsidRPr="008325FB">
        <w:rPr>
          <w:rFonts w:ascii="Abadi" w:eastAsiaTheme="minorHAnsi" w:hAnsi="Abadi" w:cs="Arial"/>
          <w:sz w:val="21"/>
          <w:szCs w:val="21"/>
          <w:lang w:val="es-MX" w:eastAsia="en-US"/>
        </w:rPr>
        <w:t>Comisión de Seguridad Pública y Comunicaciones</w:t>
      </w:r>
      <w:r w:rsidRPr="008325FB">
        <w:rPr>
          <w:rFonts w:ascii="Abadi" w:eastAsia="Batang" w:hAnsi="Abadi" w:cs="Arial"/>
          <w:sz w:val="21"/>
          <w:szCs w:val="21"/>
          <w:lang w:val="es-MX" w:eastAsia="en-US"/>
        </w:rPr>
        <w:t xml:space="preserve">, para su estudio y dictamen. </w:t>
      </w:r>
    </w:p>
    <w:p w14:paraId="41B3D554" w14:textId="77777777" w:rsidR="008325FB" w:rsidRPr="008325FB" w:rsidRDefault="008325FB" w:rsidP="0062363E">
      <w:pPr>
        <w:spacing w:after="160"/>
        <w:jc w:val="both"/>
        <w:rPr>
          <w:rFonts w:ascii="Abadi" w:eastAsia="Batang" w:hAnsi="Abadi" w:cs="Arial"/>
          <w:sz w:val="21"/>
          <w:szCs w:val="21"/>
          <w:lang w:val="es-MX" w:eastAsia="en-US"/>
        </w:rPr>
      </w:pPr>
      <w:r w:rsidRPr="008325FB">
        <w:rPr>
          <w:rFonts w:ascii="Abadi" w:eastAsia="Batang" w:hAnsi="Abadi" w:cs="Arial"/>
          <w:b/>
          <w:sz w:val="21"/>
          <w:szCs w:val="21"/>
          <w:lang w:val="es-MX" w:eastAsia="en-US"/>
        </w:rPr>
        <w:t xml:space="preserve">I.2. </w:t>
      </w:r>
      <w:r w:rsidRPr="008325FB">
        <w:rPr>
          <w:rFonts w:ascii="Abadi" w:eastAsia="Batang" w:hAnsi="Abadi" w:cs="Arial"/>
          <w:sz w:val="21"/>
          <w:szCs w:val="21"/>
          <w:lang w:val="es-MX" w:eastAsia="en-US"/>
        </w:rPr>
        <w:t xml:space="preserve">En reunión de la </w:t>
      </w:r>
      <w:r w:rsidRPr="008325FB">
        <w:rPr>
          <w:rFonts w:ascii="Abadi" w:eastAsiaTheme="minorHAnsi" w:hAnsi="Abadi" w:cs="Arial"/>
          <w:sz w:val="21"/>
          <w:szCs w:val="21"/>
          <w:lang w:val="es-MX" w:eastAsia="en-US"/>
        </w:rPr>
        <w:t>Comisión de Seguridad Pública y Comunicaciones</w:t>
      </w:r>
      <w:r w:rsidRPr="008325FB">
        <w:rPr>
          <w:rFonts w:ascii="Abadi" w:eastAsia="Batang" w:hAnsi="Abadi" w:cs="Arial"/>
          <w:sz w:val="21"/>
          <w:szCs w:val="21"/>
          <w:lang w:val="es-MX" w:eastAsia="en-US"/>
        </w:rPr>
        <w:t xml:space="preserve">, del 30 de octubre de 2019, fue radicada y aprobada la metodología de trabajo para su análisis y dictaminación, en los siguientes términos: </w:t>
      </w:r>
    </w:p>
    <w:p w14:paraId="2B0BCBD0" w14:textId="77777777" w:rsidR="008325FB" w:rsidRPr="008325FB" w:rsidRDefault="008325FB" w:rsidP="0062363E">
      <w:pPr>
        <w:spacing w:after="160"/>
        <w:jc w:val="both"/>
        <w:rPr>
          <w:rFonts w:ascii="Abadi" w:eastAsia="Batang" w:hAnsi="Abadi" w:cs="Arial"/>
          <w:sz w:val="21"/>
          <w:szCs w:val="21"/>
          <w:lang w:val="es-MX" w:eastAsia="en-US"/>
        </w:rPr>
      </w:pPr>
    </w:p>
    <w:p w14:paraId="7E96AB4C" w14:textId="77777777" w:rsidR="008325FB" w:rsidRPr="008325FB" w:rsidRDefault="008325FB" w:rsidP="0062363E">
      <w:pPr>
        <w:spacing w:after="160"/>
        <w:jc w:val="both"/>
        <w:rPr>
          <w:rFonts w:ascii="Abadi" w:eastAsiaTheme="minorHAnsi" w:hAnsi="Abadi" w:cs="Arial"/>
          <w:i/>
          <w:iCs/>
          <w:sz w:val="21"/>
          <w:szCs w:val="21"/>
          <w:lang w:val="es-MX" w:eastAsia="en-US"/>
        </w:rPr>
      </w:pPr>
      <w:r w:rsidRPr="008325FB">
        <w:rPr>
          <w:rFonts w:ascii="Abadi" w:eastAsiaTheme="minorHAnsi" w:hAnsi="Abadi" w:cs="Arial"/>
          <w:i/>
          <w:iCs/>
          <w:sz w:val="21"/>
          <w:szCs w:val="21"/>
          <w:lang w:val="es-MX" w:eastAsia="en-US"/>
        </w:rPr>
        <w:t xml:space="preserve">1. Remisión de la iniciativa para solicitar opinión: a) Por medio de oficio a: Coordinación General Jurídica; y a la Secretaría de Seguridad Pública del Estado de Guanajuato; b) Por medio de correo electrónico a: Diputadas y diputados integrantes de la Sexagésima Cuarta Legislatura; señalando como plazo para la remisión de las opiniones diez días hábiles contados a partir del siguiente al de la recepción de la solicitud. </w:t>
      </w:r>
    </w:p>
    <w:p w14:paraId="75368069" w14:textId="77777777" w:rsidR="008325FB" w:rsidRPr="008325FB" w:rsidRDefault="008325FB" w:rsidP="0062363E">
      <w:pPr>
        <w:spacing w:after="160"/>
        <w:jc w:val="both"/>
        <w:rPr>
          <w:rFonts w:ascii="Abadi" w:eastAsiaTheme="minorHAnsi" w:hAnsi="Abadi" w:cs="Arial"/>
          <w:i/>
          <w:iCs/>
          <w:sz w:val="21"/>
          <w:szCs w:val="21"/>
          <w:lang w:val="es-MX" w:eastAsia="en-US"/>
        </w:rPr>
      </w:pPr>
      <w:r w:rsidRPr="008325FB">
        <w:rPr>
          <w:rFonts w:ascii="Abadi" w:eastAsiaTheme="minorHAnsi" w:hAnsi="Abadi" w:cs="Arial"/>
          <w:i/>
          <w:iCs/>
          <w:sz w:val="21"/>
          <w:szCs w:val="21"/>
          <w:lang w:val="es-MX" w:eastAsia="en-US"/>
        </w:rPr>
        <w:t xml:space="preserve">2. Subir la iniciativa al portal del Congreso para consulta y participación ciudadana, por el término de diez días hábiles. </w:t>
      </w:r>
    </w:p>
    <w:p w14:paraId="46E93B73" w14:textId="77777777" w:rsidR="008325FB" w:rsidRPr="008325FB" w:rsidRDefault="008325FB" w:rsidP="0062363E">
      <w:pPr>
        <w:spacing w:after="160"/>
        <w:jc w:val="both"/>
        <w:rPr>
          <w:rFonts w:ascii="Abadi" w:eastAsiaTheme="minorHAnsi" w:hAnsi="Abadi" w:cs="Arial"/>
          <w:i/>
          <w:iCs/>
          <w:sz w:val="21"/>
          <w:szCs w:val="21"/>
          <w:lang w:val="es-MX" w:eastAsia="en-US"/>
        </w:rPr>
      </w:pPr>
      <w:r w:rsidRPr="008325FB">
        <w:rPr>
          <w:rFonts w:ascii="Abadi" w:eastAsiaTheme="minorHAnsi" w:hAnsi="Abadi" w:cs="Arial"/>
          <w:i/>
          <w:iCs/>
          <w:sz w:val="21"/>
          <w:szCs w:val="21"/>
          <w:lang w:val="es-MX" w:eastAsia="en-US"/>
        </w:rPr>
        <w:t xml:space="preserve">3. Elaboración, por parte de la secretaría técnica, de una tarjeta informativa sobre la iniciativa. </w:t>
      </w:r>
    </w:p>
    <w:p w14:paraId="7C9A75A1" w14:textId="77777777" w:rsidR="008325FB" w:rsidRPr="008325FB" w:rsidRDefault="008325FB" w:rsidP="0062363E">
      <w:pPr>
        <w:spacing w:after="160"/>
        <w:jc w:val="both"/>
        <w:rPr>
          <w:rFonts w:ascii="Abadi" w:eastAsiaTheme="minorHAnsi" w:hAnsi="Abadi" w:cs="Arial"/>
          <w:i/>
          <w:iCs/>
          <w:sz w:val="21"/>
          <w:szCs w:val="21"/>
          <w:lang w:val="es-MX" w:eastAsia="en-US"/>
        </w:rPr>
      </w:pPr>
      <w:r w:rsidRPr="008325FB">
        <w:rPr>
          <w:rFonts w:ascii="Abadi" w:eastAsiaTheme="minorHAnsi" w:hAnsi="Abadi" w:cs="Arial"/>
          <w:i/>
          <w:iCs/>
          <w:sz w:val="21"/>
          <w:szCs w:val="21"/>
          <w:lang w:val="es-MX" w:eastAsia="en-US"/>
        </w:rPr>
        <w:t xml:space="preserve">4. Elaboración, por parte de la secretaría técnica, de un comparativo y concentrado de observaciones que se formulen a la iniciativa. </w:t>
      </w:r>
    </w:p>
    <w:p w14:paraId="4C9F8CEF" w14:textId="77777777" w:rsidR="008325FB" w:rsidRPr="008325FB" w:rsidRDefault="008325FB" w:rsidP="0062363E">
      <w:pPr>
        <w:spacing w:after="160"/>
        <w:jc w:val="both"/>
        <w:rPr>
          <w:rFonts w:ascii="Abadi" w:eastAsiaTheme="minorHAnsi" w:hAnsi="Abadi" w:cs="Arial"/>
          <w:i/>
          <w:iCs/>
          <w:sz w:val="21"/>
          <w:szCs w:val="21"/>
          <w:lang w:val="es-MX" w:eastAsia="en-US"/>
        </w:rPr>
      </w:pPr>
      <w:r w:rsidRPr="008325FB">
        <w:rPr>
          <w:rFonts w:ascii="Abadi" w:eastAsiaTheme="minorHAnsi" w:hAnsi="Abadi" w:cs="Arial"/>
          <w:i/>
          <w:iCs/>
          <w:sz w:val="21"/>
          <w:szCs w:val="21"/>
          <w:lang w:val="es-MX" w:eastAsia="en-US"/>
        </w:rPr>
        <w:t xml:space="preserve">5. Mesa de trabajo permanente de la Comisión de Seguridad Pública y Comunicaciones. y </w:t>
      </w:r>
    </w:p>
    <w:p w14:paraId="1FEE98F3" w14:textId="77777777" w:rsidR="008325FB" w:rsidRPr="008325FB" w:rsidRDefault="008325FB" w:rsidP="0062363E">
      <w:pPr>
        <w:spacing w:after="160"/>
        <w:jc w:val="both"/>
        <w:rPr>
          <w:rFonts w:ascii="Abadi" w:eastAsiaTheme="minorHAnsi" w:hAnsi="Abadi" w:cs="Arial"/>
          <w:i/>
          <w:iCs/>
          <w:sz w:val="21"/>
          <w:szCs w:val="21"/>
          <w:lang w:val="es-MX" w:eastAsia="en-US"/>
        </w:rPr>
      </w:pPr>
      <w:r w:rsidRPr="008325FB">
        <w:rPr>
          <w:rFonts w:ascii="Abadi" w:eastAsiaTheme="minorHAnsi" w:hAnsi="Abadi" w:cs="Arial"/>
          <w:i/>
          <w:iCs/>
          <w:sz w:val="21"/>
          <w:szCs w:val="21"/>
          <w:lang w:val="es-MX" w:eastAsia="en-US"/>
        </w:rPr>
        <w:t>6. Reunión de la Comisión de Seguridad Pública y Comunicaciones para seguimiento de la metodología y, en su caso, acuerdos sobre el dictamen.</w:t>
      </w:r>
    </w:p>
    <w:p w14:paraId="1F6E59E0" w14:textId="77777777" w:rsidR="008325FB" w:rsidRPr="008325FB" w:rsidRDefault="008325FB" w:rsidP="0062363E">
      <w:pPr>
        <w:spacing w:after="160"/>
        <w:jc w:val="both"/>
        <w:rPr>
          <w:rFonts w:ascii="Abadi" w:eastAsiaTheme="minorHAnsi" w:hAnsi="Abadi" w:cs="Arial"/>
          <w:sz w:val="21"/>
          <w:szCs w:val="21"/>
          <w:lang w:val="es-MX" w:eastAsia="en-US"/>
        </w:rPr>
      </w:pPr>
    </w:p>
    <w:p w14:paraId="677AB7AC" w14:textId="77777777" w:rsidR="008325FB" w:rsidRPr="008325FB" w:rsidRDefault="008325FB" w:rsidP="0062363E">
      <w:pPr>
        <w:spacing w:after="160"/>
        <w:jc w:val="both"/>
        <w:rPr>
          <w:rFonts w:ascii="Abadi" w:eastAsiaTheme="minorHAnsi" w:hAnsi="Abadi" w:cs="Arial"/>
          <w:sz w:val="21"/>
          <w:szCs w:val="21"/>
          <w:lang w:val="es-MX" w:eastAsia="en-US"/>
        </w:rPr>
      </w:pPr>
      <w:r w:rsidRPr="008325FB">
        <w:rPr>
          <w:rFonts w:ascii="Abadi" w:eastAsia="Batang" w:hAnsi="Abadi" w:cs="Arial"/>
          <w:b/>
          <w:sz w:val="21"/>
          <w:szCs w:val="21"/>
          <w:lang w:val="es-MX" w:eastAsia="en-US"/>
        </w:rPr>
        <w:t>I.3.</w:t>
      </w:r>
      <w:r w:rsidRPr="008325FB">
        <w:rPr>
          <w:rFonts w:ascii="Abadi" w:eastAsiaTheme="minorHAnsi" w:hAnsi="Abadi" w:cs="Arial"/>
          <w:sz w:val="21"/>
          <w:szCs w:val="21"/>
          <w:lang w:val="es-MX" w:eastAsia="en-US"/>
        </w:rPr>
        <w:t xml:space="preserve">  En fecha 14 de septiembre de 2021, los diputados integrantes de la Comisión de Seguridad Pública y Comunicaciones de la Sexagésima Cuarta Legislatura, determinaron señalar la iniciativa de mérito como pendiente legislativo dentro del Informe de Actividades Legislativas, para que correspondiera a la siguiente pronunciarse al respecto.  </w:t>
      </w:r>
    </w:p>
    <w:p w14:paraId="69E51E65" w14:textId="77777777" w:rsidR="008325FB" w:rsidRPr="008325FB" w:rsidRDefault="008325FB" w:rsidP="0062363E">
      <w:pPr>
        <w:jc w:val="both"/>
        <w:textAlignment w:val="baseline"/>
        <w:rPr>
          <w:rFonts w:ascii="Abadi" w:eastAsiaTheme="minorHAnsi" w:hAnsi="Abadi" w:cs="Arial"/>
          <w:sz w:val="21"/>
          <w:szCs w:val="21"/>
          <w:lang w:val="es-MX" w:eastAsia="en-US"/>
        </w:rPr>
      </w:pPr>
      <w:r w:rsidRPr="008325FB">
        <w:rPr>
          <w:rFonts w:ascii="Abadi" w:hAnsi="Abadi" w:cs="Arial"/>
          <w:b/>
          <w:sz w:val="21"/>
          <w:szCs w:val="21"/>
          <w:lang w:val="es-MX" w:eastAsia="es-MX"/>
        </w:rPr>
        <w:t xml:space="preserve">I.4. </w:t>
      </w:r>
      <w:r w:rsidRPr="008325FB">
        <w:rPr>
          <w:rFonts w:ascii="Abadi" w:eastAsiaTheme="minorHAnsi" w:hAnsi="Abadi" w:cs="Arial"/>
          <w:sz w:val="21"/>
          <w:szCs w:val="21"/>
          <w:lang w:val="es-MX" w:eastAsia="en-US"/>
        </w:rPr>
        <w:t>Habiéndose instalado la Comisión de Seguridad Pública y Comunicaciones de la Sexagésima Quinta Legislatura, en fecha 12 de octubre de 2022, nos impusimos del contenido de los pendientes legislativos, encontrándose entre ellos la iniciativa que se dictamina.</w:t>
      </w:r>
    </w:p>
    <w:p w14:paraId="15CBEB86" w14:textId="77777777" w:rsidR="008325FB" w:rsidRPr="008325FB" w:rsidRDefault="008325FB" w:rsidP="0062363E">
      <w:pPr>
        <w:jc w:val="both"/>
        <w:textAlignment w:val="baseline"/>
        <w:rPr>
          <w:rFonts w:ascii="Abadi" w:eastAsiaTheme="minorHAnsi" w:hAnsi="Abadi" w:cs="Arial"/>
          <w:sz w:val="21"/>
          <w:szCs w:val="21"/>
          <w:lang w:val="es-MX" w:eastAsia="en-US"/>
        </w:rPr>
      </w:pPr>
    </w:p>
    <w:p w14:paraId="4B173D8F" w14:textId="77777777" w:rsidR="008325FB" w:rsidRPr="008325FB" w:rsidRDefault="008325FB" w:rsidP="0062363E">
      <w:pPr>
        <w:widowControl w:val="0"/>
        <w:autoSpaceDE w:val="0"/>
        <w:autoSpaceDN w:val="0"/>
        <w:jc w:val="both"/>
        <w:rPr>
          <w:rFonts w:ascii="Abadi" w:eastAsia="Batang" w:hAnsi="Abadi" w:cs="Arial"/>
          <w:sz w:val="21"/>
          <w:szCs w:val="21"/>
          <w:lang w:val="es-MX" w:eastAsia="en-US"/>
        </w:rPr>
      </w:pPr>
      <w:r w:rsidRPr="008325FB">
        <w:rPr>
          <w:rFonts w:ascii="Abadi" w:eastAsia="Batang" w:hAnsi="Abadi" w:cs="Arial"/>
          <w:b/>
          <w:bCs/>
          <w:sz w:val="21"/>
          <w:szCs w:val="21"/>
          <w:lang w:val="es-MX" w:eastAsia="en-US"/>
        </w:rPr>
        <w:t>I.5.</w:t>
      </w:r>
      <w:r w:rsidRPr="008325FB">
        <w:rPr>
          <w:rFonts w:ascii="Abadi" w:eastAsia="Batang" w:hAnsi="Abadi" w:cs="Arial"/>
          <w:sz w:val="21"/>
          <w:szCs w:val="21"/>
          <w:lang w:val="es-MX" w:eastAsia="en-US"/>
        </w:rPr>
        <w:t xml:space="preserve"> La presidencia de la </w:t>
      </w:r>
      <w:r w:rsidRPr="008325FB">
        <w:rPr>
          <w:rFonts w:ascii="Abadi" w:eastAsiaTheme="minorHAnsi" w:hAnsi="Abadi" w:cs="Arial"/>
          <w:sz w:val="21"/>
          <w:szCs w:val="21"/>
          <w:lang w:val="es-MX" w:eastAsia="en-US"/>
        </w:rPr>
        <w:t>Comisión</w:t>
      </w:r>
      <w:r w:rsidRPr="008325FB">
        <w:rPr>
          <w:rFonts w:ascii="Abadi" w:eastAsiaTheme="minorHAnsi" w:hAnsi="Abadi" w:cs="Arial"/>
          <w:sz w:val="21"/>
          <w:szCs w:val="21"/>
          <w:lang w:val="en-US" w:eastAsia="en-US"/>
        </w:rPr>
        <w:t xml:space="preserve"> de Seguridad Pública y Comunicaciones </w:t>
      </w:r>
      <w:r w:rsidRPr="008325FB">
        <w:rPr>
          <w:rFonts w:ascii="Abadi" w:eastAsia="Batang" w:hAnsi="Abadi" w:cs="Arial"/>
          <w:sz w:val="21"/>
          <w:szCs w:val="21"/>
          <w:lang w:val="es-MX" w:eastAsia="en-US"/>
        </w:rPr>
        <w:t>instruyó a la Secretaría Técnica para que elaborara el proyecto de dictamen en los términos del artículo 169 y conforme a lo dispuesto en los artículos 94, fracción VII y 272 fracción VIII inciso e) de nuestra Ley Orgánica, mismo que fue materia de revisión por la diputada y los diputados integrantes de esta Comisión Dictaminadora.</w:t>
      </w:r>
    </w:p>
    <w:p w14:paraId="55A17489" w14:textId="77777777" w:rsidR="008325FB" w:rsidRPr="008325FB" w:rsidRDefault="008325FB" w:rsidP="0062363E">
      <w:pPr>
        <w:spacing w:after="160"/>
        <w:jc w:val="both"/>
        <w:rPr>
          <w:rFonts w:ascii="Abadi" w:eastAsia="Batang" w:hAnsi="Abadi" w:cs="Arial"/>
          <w:b/>
          <w:sz w:val="21"/>
          <w:szCs w:val="21"/>
          <w:lang w:val="es-MX" w:eastAsia="en-US"/>
        </w:rPr>
      </w:pPr>
    </w:p>
    <w:p w14:paraId="2E008097" w14:textId="77777777" w:rsidR="008325FB" w:rsidRPr="008325FB" w:rsidRDefault="008325FB" w:rsidP="0062363E">
      <w:pPr>
        <w:spacing w:after="160"/>
        <w:jc w:val="both"/>
        <w:rPr>
          <w:rFonts w:ascii="Abadi" w:eastAsia="Batang" w:hAnsi="Abadi" w:cs="Arial"/>
          <w:b/>
          <w:sz w:val="21"/>
          <w:szCs w:val="21"/>
          <w:lang w:val="es-MX" w:eastAsia="en-US"/>
        </w:rPr>
      </w:pPr>
      <w:r w:rsidRPr="008325FB">
        <w:rPr>
          <w:rFonts w:ascii="Abadi" w:eastAsia="Batang" w:hAnsi="Abadi" w:cs="Arial"/>
          <w:b/>
          <w:sz w:val="21"/>
          <w:szCs w:val="21"/>
          <w:lang w:val="es-MX" w:eastAsia="en-US"/>
        </w:rPr>
        <w:t>II. Contenido de la iniciativa.</w:t>
      </w:r>
    </w:p>
    <w:p w14:paraId="6451EC02" w14:textId="77777777" w:rsidR="008325FB" w:rsidRPr="008325FB" w:rsidRDefault="008325FB" w:rsidP="0062363E">
      <w:pPr>
        <w:spacing w:after="160"/>
        <w:ind w:firstLine="708"/>
        <w:jc w:val="both"/>
        <w:rPr>
          <w:rFonts w:ascii="Abadi" w:eastAsiaTheme="minorHAnsi" w:hAnsi="Abadi" w:cs="Arial"/>
          <w:sz w:val="21"/>
          <w:szCs w:val="21"/>
          <w:lang w:val="es-MX" w:eastAsia="en-US"/>
        </w:rPr>
      </w:pPr>
      <w:r w:rsidRPr="008325FB">
        <w:rPr>
          <w:rFonts w:ascii="Abadi" w:eastAsiaTheme="minorHAnsi" w:hAnsi="Abadi" w:cs="Arial"/>
          <w:sz w:val="21"/>
          <w:szCs w:val="21"/>
          <w:lang w:val="es-MX" w:eastAsia="en-US"/>
        </w:rPr>
        <w:t>Los objetivos sobre los cuales versa el sustento de la iniciativa</w:t>
      </w:r>
      <w:r w:rsidRPr="008325FB">
        <w:rPr>
          <w:rFonts w:ascii="Abadi" w:eastAsia="Batang" w:hAnsi="Abadi" w:cs="Arial"/>
          <w:sz w:val="21"/>
          <w:szCs w:val="21"/>
          <w:lang w:val="es-MX" w:eastAsia="en-US"/>
        </w:rPr>
        <w:t xml:space="preserve">, </w:t>
      </w:r>
      <w:r w:rsidRPr="008325FB">
        <w:rPr>
          <w:rFonts w:ascii="Abadi" w:eastAsiaTheme="minorHAnsi" w:hAnsi="Abadi" w:cs="Arial"/>
          <w:sz w:val="21"/>
          <w:szCs w:val="21"/>
          <w:lang w:val="es-MX" w:eastAsia="en-US"/>
        </w:rPr>
        <w:t>se conocen a través de lo manifestado por las y los iniciantes en la exposición de motivos:</w:t>
      </w:r>
    </w:p>
    <w:p w14:paraId="35D7E9AF" w14:textId="77777777" w:rsidR="008325FB" w:rsidRPr="008325FB" w:rsidRDefault="008325FB" w:rsidP="0062363E">
      <w:pPr>
        <w:ind w:right="616"/>
        <w:jc w:val="both"/>
        <w:rPr>
          <w:rFonts w:ascii="Abadi" w:eastAsiaTheme="minorHAnsi" w:hAnsi="Abadi" w:cs="Arial"/>
          <w:i/>
          <w:iCs/>
          <w:sz w:val="21"/>
          <w:szCs w:val="21"/>
          <w:lang w:val="es-MX" w:eastAsia="en-US"/>
        </w:rPr>
      </w:pPr>
    </w:p>
    <w:p w14:paraId="372CBA10" w14:textId="77777777" w:rsidR="008325FB" w:rsidRPr="008325FB" w:rsidRDefault="008325FB" w:rsidP="0062363E">
      <w:pPr>
        <w:ind w:left="567" w:right="616" w:firstLine="708"/>
        <w:jc w:val="both"/>
        <w:rPr>
          <w:rFonts w:ascii="Abadi" w:eastAsiaTheme="minorHAnsi" w:hAnsi="Abadi" w:cs="Arial"/>
          <w:i/>
          <w:iCs/>
          <w:sz w:val="21"/>
          <w:szCs w:val="21"/>
          <w:lang w:val="es-MX" w:eastAsia="en-US"/>
        </w:rPr>
      </w:pPr>
      <w:r w:rsidRPr="008325FB">
        <w:rPr>
          <w:rFonts w:ascii="Abadi" w:eastAsiaTheme="minorHAnsi" w:hAnsi="Abadi" w:cs="Arial"/>
          <w:i/>
          <w:iCs/>
          <w:sz w:val="21"/>
          <w:szCs w:val="21"/>
          <w:lang w:val="es-MX" w:eastAsia="en-US"/>
        </w:rPr>
        <w:t>(..) estamos convencidos de que es necesario redoblar esfuerzos a nivel municipal, para fortalecer la capacitación que reciben los policías, y en especial para que la administración haga todo el esfuerzo posible para brindarles un salario digno y acorde a las funciones que desempeñan, conscientes de que las instituciones de seguridad pública deben velar por la protección de los ciudadanos y asumir la defensa de su integridad y bienestar general, lo cual implica proporcionarles una seguridad integral que les garantice la libertad y tranquilidad en la convivencia cotidiana.</w:t>
      </w:r>
    </w:p>
    <w:p w14:paraId="49EAC956" w14:textId="77777777" w:rsidR="008325FB" w:rsidRPr="008325FB" w:rsidRDefault="008325FB" w:rsidP="0062363E">
      <w:pPr>
        <w:ind w:left="567" w:right="616" w:firstLine="708"/>
        <w:jc w:val="both"/>
        <w:rPr>
          <w:rFonts w:ascii="Abadi" w:eastAsiaTheme="minorHAnsi" w:hAnsi="Abadi" w:cs="Arial"/>
          <w:i/>
          <w:iCs/>
          <w:sz w:val="21"/>
          <w:szCs w:val="21"/>
          <w:lang w:val="es-MX" w:eastAsia="en-US"/>
        </w:rPr>
      </w:pPr>
    </w:p>
    <w:p w14:paraId="4F3AB3B2" w14:textId="77777777" w:rsidR="008325FB" w:rsidRPr="008325FB" w:rsidRDefault="008325FB" w:rsidP="0062363E">
      <w:pPr>
        <w:ind w:left="567" w:right="616" w:firstLine="708"/>
        <w:jc w:val="both"/>
        <w:rPr>
          <w:rFonts w:ascii="Abadi" w:eastAsiaTheme="minorHAnsi" w:hAnsi="Abadi" w:cs="Arial"/>
          <w:i/>
          <w:iCs/>
          <w:sz w:val="21"/>
          <w:szCs w:val="21"/>
          <w:lang w:val="es-MX" w:eastAsia="en-US"/>
        </w:rPr>
      </w:pPr>
      <w:r w:rsidRPr="008325FB">
        <w:rPr>
          <w:rFonts w:ascii="Abadi" w:eastAsiaTheme="minorHAnsi" w:hAnsi="Abadi" w:cs="Arial"/>
          <w:i/>
          <w:iCs/>
          <w:sz w:val="21"/>
          <w:szCs w:val="21"/>
          <w:lang w:val="es-MX" w:eastAsia="en-US"/>
        </w:rPr>
        <w:t>(…) estamos convencidos de que, para tener éxito en la protección de la tranquilidad ciudadana, necesitamos contar con instituciones de seguridad pública fuertes, lo cual sólo será posible cuando los funcionarios públicos que las integran cuenten con sueldos adecuados, de forma que el sueldo y las necesidades que se cubren con el mismo no sean un factor de preocupación para el policía, sino que, por el contrario, la remuneración económica a cambio de su trabajo honesto sea un respaldo y orgullo para las mujeres y hombres que forman parte de las corporaciones.</w:t>
      </w:r>
    </w:p>
    <w:p w14:paraId="1A0C8A22" w14:textId="77777777" w:rsidR="008325FB" w:rsidRPr="008325FB" w:rsidRDefault="008325FB" w:rsidP="0062363E">
      <w:pPr>
        <w:ind w:left="567" w:right="616" w:firstLine="708"/>
        <w:jc w:val="both"/>
        <w:rPr>
          <w:rFonts w:ascii="Abadi" w:eastAsiaTheme="minorHAnsi" w:hAnsi="Abadi" w:cs="Arial"/>
          <w:i/>
          <w:iCs/>
          <w:sz w:val="21"/>
          <w:szCs w:val="21"/>
          <w:lang w:val="es-MX" w:eastAsia="en-US"/>
        </w:rPr>
      </w:pPr>
    </w:p>
    <w:p w14:paraId="6E1C055A" w14:textId="77777777" w:rsidR="008325FB" w:rsidRPr="008325FB" w:rsidRDefault="008325FB" w:rsidP="0062363E">
      <w:pPr>
        <w:ind w:left="567" w:right="616" w:firstLine="708"/>
        <w:jc w:val="both"/>
        <w:rPr>
          <w:rFonts w:ascii="Abadi" w:eastAsiaTheme="minorHAnsi" w:hAnsi="Abadi" w:cs="Arial"/>
          <w:i/>
          <w:iCs/>
          <w:sz w:val="21"/>
          <w:szCs w:val="21"/>
          <w:lang w:val="es-MX" w:eastAsia="en-US"/>
        </w:rPr>
      </w:pPr>
      <w:r w:rsidRPr="008325FB">
        <w:rPr>
          <w:rFonts w:ascii="Abadi" w:eastAsiaTheme="minorHAnsi" w:hAnsi="Abadi" w:cs="Arial"/>
          <w:i/>
          <w:iCs/>
          <w:sz w:val="21"/>
          <w:szCs w:val="21"/>
          <w:lang w:val="es-MX" w:eastAsia="en-US"/>
        </w:rPr>
        <w:t>(…) el aspecto salarial sigue siendo un tema pendiente. De los 46 municipios del estado, apenas 19 cumplen o superan con el salario mínimo recomendado para policías, que es de 12 mil 793.33 pesos mensuales. Peor aún, solo 14 ayuntamientos han incrementado el salario de sus policías en un porcentaje mayor al requerido en los "Compromisos Municipales en Materia de Seguridad Pública".</w:t>
      </w:r>
    </w:p>
    <w:p w14:paraId="44064714" w14:textId="77777777" w:rsidR="008325FB" w:rsidRPr="008325FB" w:rsidRDefault="008325FB" w:rsidP="0062363E">
      <w:pPr>
        <w:ind w:left="567" w:right="616" w:firstLine="708"/>
        <w:jc w:val="both"/>
        <w:rPr>
          <w:rFonts w:ascii="Abadi" w:eastAsiaTheme="minorHAnsi" w:hAnsi="Abadi" w:cs="Arial"/>
          <w:i/>
          <w:iCs/>
          <w:sz w:val="21"/>
          <w:szCs w:val="21"/>
          <w:lang w:val="es-MX" w:eastAsia="en-US"/>
        </w:rPr>
      </w:pPr>
    </w:p>
    <w:p w14:paraId="3FE1ADFF" w14:textId="77777777" w:rsidR="008325FB" w:rsidRPr="008325FB" w:rsidRDefault="008325FB" w:rsidP="0062363E">
      <w:pPr>
        <w:ind w:left="567" w:right="616" w:firstLine="708"/>
        <w:jc w:val="both"/>
        <w:rPr>
          <w:rFonts w:ascii="Abadi" w:eastAsiaTheme="minorHAnsi" w:hAnsi="Abadi" w:cs="Arial"/>
          <w:i/>
          <w:iCs/>
          <w:sz w:val="21"/>
          <w:szCs w:val="21"/>
          <w:lang w:val="es-MX" w:eastAsia="en-US"/>
        </w:rPr>
      </w:pPr>
      <w:r w:rsidRPr="008325FB">
        <w:rPr>
          <w:rFonts w:ascii="Abadi" w:eastAsiaTheme="minorHAnsi" w:hAnsi="Abadi" w:cs="Arial"/>
          <w:i/>
          <w:iCs/>
          <w:sz w:val="21"/>
          <w:szCs w:val="21"/>
          <w:lang w:val="es-MX" w:eastAsia="en-US"/>
        </w:rPr>
        <w:t>(…) es necesario generar desde la ley mecanismos que reduzcan esta brecha e impulsen a los ayuntamientos a darle al ámbito de la seguridad pública la prioridad que merece, ya que esencialmente las funciones policiales son las mismas en todos los municipios, los riesgos son similares y el respaldo también debe serlo.</w:t>
      </w:r>
    </w:p>
    <w:p w14:paraId="4FDCE069" w14:textId="77777777" w:rsidR="008325FB" w:rsidRPr="008325FB" w:rsidRDefault="008325FB" w:rsidP="0062363E">
      <w:pPr>
        <w:ind w:left="567" w:right="616" w:firstLine="708"/>
        <w:jc w:val="both"/>
        <w:rPr>
          <w:rFonts w:ascii="Abadi" w:eastAsiaTheme="minorHAnsi" w:hAnsi="Abadi" w:cs="Arial"/>
          <w:i/>
          <w:iCs/>
          <w:sz w:val="21"/>
          <w:szCs w:val="21"/>
          <w:lang w:val="es-MX" w:eastAsia="en-US"/>
        </w:rPr>
      </w:pPr>
    </w:p>
    <w:p w14:paraId="6799EEA3" w14:textId="77777777" w:rsidR="008325FB" w:rsidRPr="008325FB" w:rsidRDefault="008325FB" w:rsidP="0062363E">
      <w:pPr>
        <w:ind w:left="567" w:right="616" w:firstLine="708"/>
        <w:jc w:val="both"/>
        <w:rPr>
          <w:rFonts w:ascii="Abadi" w:eastAsiaTheme="minorHAnsi" w:hAnsi="Abadi" w:cs="Arial"/>
          <w:i/>
          <w:iCs/>
          <w:sz w:val="21"/>
          <w:szCs w:val="21"/>
          <w:lang w:val="es-MX" w:eastAsia="en-US"/>
        </w:rPr>
      </w:pPr>
      <w:r w:rsidRPr="008325FB">
        <w:rPr>
          <w:rFonts w:ascii="Abadi" w:eastAsiaTheme="minorHAnsi" w:hAnsi="Abadi" w:cs="Arial"/>
          <w:i/>
          <w:iCs/>
          <w:sz w:val="21"/>
          <w:szCs w:val="21"/>
          <w:lang w:val="es-MX" w:eastAsia="en-US"/>
        </w:rPr>
        <w:t>(…) proponemos reformar el artículo 36-6 de la Ley del Sistema de Seguridad Pública del Estado de Guanajuato, para establecer un apartado donde se señale que, para acceder a los recursos del Fondo Estatal para el Fortalecimiento de la Seguridad Pública Municipal, los ayuntamientos deben aplicar por lo menos 5% de ingresos de libre disposición a la mejora u homologación de salarios de los sueldos de los policías.</w:t>
      </w:r>
    </w:p>
    <w:p w14:paraId="1764E2E5" w14:textId="77777777" w:rsidR="008325FB" w:rsidRPr="008325FB" w:rsidRDefault="008325FB" w:rsidP="0062363E">
      <w:pPr>
        <w:ind w:left="567" w:right="616" w:firstLine="708"/>
        <w:jc w:val="both"/>
        <w:rPr>
          <w:rFonts w:ascii="Abadi" w:eastAsiaTheme="minorHAnsi" w:hAnsi="Abadi" w:cs="Arial"/>
          <w:i/>
          <w:iCs/>
          <w:sz w:val="21"/>
          <w:szCs w:val="21"/>
          <w:lang w:val="es-MX" w:eastAsia="en-US"/>
        </w:rPr>
      </w:pPr>
    </w:p>
    <w:p w14:paraId="14613274" w14:textId="77777777" w:rsidR="008325FB" w:rsidRPr="008325FB" w:rsidRDefault="008325FB" w:rsidP="0062363E">
      <w:pPr>
        <w:ind w:left="567" w:right="616" w:firstLine="708"/>
        <w:jc w:val="both"/>
        <w:rPr>
          <w:rFonts w:ascii="Abadi" w:eastAsiaTheme="minorHAnsi" w:hAnsi="Abadi" w:cs="Arial"/>
          <w:i/>
          <w:iCs/>
          <w:sz w:val="21"/>
          <w:szCs w:val="21"/>
          <w:lang w:val="es-MX" w:eastAsia="en-US"/>
        </w:rPr>
      </w:pPr>
      <w:r w:rsidRPr="008325FB">
        <w:rPr>
          <w:rFonts w:ascii="Abadi" w:eastAsiaTheme="minorHAnsi" w:hAnsi="Abadi" w:cs="Arial"/>
          <w:i/>
          <w:iCs/>
          <w:sz w:val="21"/>
          <w:szCs w:val="21"/>
          <w:lang w:val="es-MX" w:eastAsia="en-US"/>
        </w:rPr>
        <w:t>Con esta iniciativa pretendemos que los municipios asuman un papel más protagónico en las condiciones laborales de sus policías, con el objetivo de mejorar los niveles de seguridad en nuestros municipios, que empieza con la profesionalización y el respaldo de quienes arriesgan su vida para proteger nuestra tranquilidad.</w:t>
      </w:r>
    </w:p>
    <w:p w14:paraId="6FD935A6" w14:textId="77777777" w:rsidR="008325FB" w:rsidRPr="008325FB" w:rsidRDefault="008325FB" w:rsidP="0062363E">
      <w:pPr>
        <w:ind w:left="567" w:right="616" w:firstLine="708"/>
        <w:jc w:val="both"/>
        <w:rPr>
          <w:rFonts w:ascii="Abadi" w:eastAsiaTheme="minorHAnsi" w:hAnsi="Abadi" w:cs="Arial"/>
          <w:i/>
          <w:iCs/>
          <w:sz w:val="21"/>
          <w:szCs w:val="21"/>
          <w:lang w:val="es-MX" w:eastAsia="en-US"/>
        </w:rPr>
      </w:pPr>
    </w:p>
    <w:p w14:paraId="7AEC1344" w14:textId="77777777" w:rsidR="008325FB" w:rsidRPr="008325FB" w:rsidRDefault="008325FB" w:rsidP="0062363E">
      <w:pPr>
        <w:spacing w:after="160"/>
        <w:jc w:val="both"/>
        <w:rPr>
          <w:rFonts w:ascii="Abadi" w:eastAsia="Batang" w:hAnsi="Abadi" w:cs="Arial"/>
          <w:b/>
          <w:sz w:val="21"/>
          <w:szCs w:val="21"/>
          <w:lang w:val="es-MX" w:eastAsia="en-US"/>
        </w:rPr>
      </w:pPr>
      <w:r w:rsidRPr="008325FB">
        <w:rPr>
          <w:rFonts w:ascii="Abadi" w:eastAsia="Batang" w:hAnsi="Abadi" w:cs="Arial"/>
          <w:b/>
          <w:sz w:val="21"/>
          <w:szCs w:val="21"/>
          <w:lang w:val="es-MX" w:eastAsia="en-US"/>
        </w:rPr>
        <w:t>III. Valoración de la iniciativa y consideraciones.</w:t>
      </w:r>
    </w:p>
    <w:p w14:paraId="4DAC228B" w14:textId="77777777" w:rsidR="008325FB" w:rsidRPr="008325FB" w:rsidRDefault="008325FB" w:rsidP="0062363E">
      <w:pPr>
        <w:ind w:left="567" w:right="616" w:firstLine="708"/>
        <w:jc w:val="both"/>
        <w:rPr>
          <w:rFonts w:ascii="Abadi" w:eastAsiaTheme="minorHAnsi" w:hAnsi="Abadi" w:cs="Arial"/>
          <w:i/>
          <w:iCs/>
          <w:sz w:val="21"/>
          <w:szCs w:val="21"/>
          <w:lang w:val="es-MX" w:eastAsia="en-US"/>
        </w:rPr>
      </w:pPr>
    </w:p>
    <w:p w14:paraId="5FB61EAA" w14:textId="77777777" w:rsidR="008325FB" w:rsidRPr="008325FB" w:rsidRDefault="008325FB" w:rsidP="0062363E">
      <w:pPr>
        <w:widowControl w:val="0"/>
        <w:tabs>
          <w:tab w:val="left" w:pos="663"/>
        </w:tabs>
        <w:spacing w:before="57"/>
        <w:jc w:val="both"/>
        <w:rPr>
          <w:rFonts w:ascii="Abadi" w:eastAsia="Batang" w:hAnsi="Abadi" w:cs="Arial"/>
          <w:sz w:val="21"/>
          <w:szCs w:val="21"/>
          <w:lang w:val="es-MX" w:eastAsia="en-US"/>
        </w:rPr>
      </w:pPr>
      <w:r w:rsidRPr="008325FB">
        <w:rPr>
          <w:rFonts w:ascii="Abadi" w:eastAsia="Batang" w:hAnsi="Abadi" w:cs="Arial"/>
          <w:sz w:val="21"/>
          <w:szCs w:val="21"/>
          <w:lang w:val="es-MX" w:eastAsia="en-US"/>
        </w:rPr>
        <w:tab/>
        <w:t>El Estado tiene entre sus principales fines la seguridad pública, la cual a su vez constituye un derecho humano que tenemos todas y todos los mexicanos, tendiente a salvaguardar la integridad física, las prerrogativas y los bienes; preservar las libertades y el orden público, así como mantener la paz y la tranquilidad de la convivencia social. Fundamentalmente, la seguridad pública es una función a cargo del Estado mexicano, que corresponde tanto a la federación como a los estados y municipios como facultad concurrente.</w:t>
      </w:r>
    </w:p>
    <w:p w14:paraId="68C3365F" w14:textId="77777777" w:rsidR="008325FB" w:rsidRPr="008325FB" w:rsidRDefault="008325FB" w:rsidP="0062363E">
      <w:pPr>
        <w:widowControl w:val="0"/>
        <w:tabs>
          <w:tab w:val="left" w:pos="663"/>
        </w:tabs>
        <w:spacing w:before="57"/>
        <w:jc w:val="both"/>
        <w:rPr>
          <w:rFonts w:ascii="Abadi" w:eastAsia="Batang" w:hAnsi="Abadi" w:cs="Arial"/>
          <w:sz w:val="21"/>
          <w:szCs w:val="21"/>
          <w:lang w:val="es-MX" w:eastAsia="en-US"/>
        </w:rPr>
      </w:pPr>
    </w:p>
    <w:p w14:paraId="2409D9D1" w14:textId="77777777" w:rsidR="008325FB" w:rsidRPr="008325FB" w:rsidRDefault="008325FB" w:rsidP="0062363E">
      <w:pPr>
        <w:widowControl w:val="0"/>
        <w:tabs>
          <w:tab w:val="left" w:pos="663"/>
        </w:tabs>
        <w:spacing w:before="57"/>
        <w:jc w:val="both"/>
        <w:rPr>
          <w:rFonts w:ascii="Abadi" w:eastAsia="Batang" w:hAnsi="Abadi" w:cs="Arial"/>
          <w:sz w:val="21"/>
          <w:szCs w:val="21"/>
          <w:lang w:val="es-MX" w:eastAsia="en-US"/>
        </w:rPr>
      </w:pPr>
      <w:r w:rsidRPr="008325FB">
        <w:rPr>
          <w:rFonts w:ascii="Abadi" w:eastAsia="Batang" w:hAnsi="Abadi" w:cs="Arial"/>
          <w:sz w:val="21"/>
          <w:szCs w:val="21"/>
          <w:lang w:val="es-MX" w:eastAsia="en-US"/>
        </w:rPr>
        <w:tab/>
        <w:t xml:space="preserve">La potestad reglamentaria, libertad hacendaria y autonomía presupuestaria, y la seguridad pública de los municipios del estado de Guanajuato está reconocida y establecida a rango de las constituciones federal y estatal y, de la Ley Orgánica Municipal para el Estado de Guanajuato: </w:t>
      </w:r>
    </w:p>
    <w:p w14:paraId="28F5F1B5" w14:textId="77777777" w:rsidR="008325FB" w:rsidRPr="008325FB" w:rsidRDefault="008325FB" w:rsidP="0062363E">
      <w:pPr>
        <w:widowControl w:val="0"/>
        <w:tabs>
          <w:tab w:val="left" w:pos="663"/>
        </w:tabs>
        <w:spacing w:before="57"/>
        <w:jc w:val="both"/>
        <w:rPr>
          <w:rFonts w:ascii="Abadi" w:eastAsia="Batang" w:hAnsi="Abadi" w:cs="Arial"/>
          <w:sz w:val="21"/>
          <w:szCs w:val="21"/>
          <w:lang w:val="es-MX" w:eastAsia="en-US"/>
        </w:rPr>
      </w:pPr>
    </w:p>
    <w:p w14:paraId="7E466ADE" w14:textId="77777777" w:rsidR="008325FB" w:rsidRPr="008325FB" w:rsidRDefault="008325FB" w:rsidP="0062363E">
      <w:pPr>
        <w:widowControl w:val="0"/>
        <w:tabs>
          <w:tab w:val="left" w:pos="663"/>
        </w:tabs>
        <w:spacing w:before="57"/>
        <w:ind w:left="720"/>
        <w:contextualSpacing/>
        <w:jc w:val="both"/>
        <w:rPr>
          <w:rFonts w:ascii="Abadi" w:eastAsia="Batang" w:hAnsi="Abadi" w:cs="Arial"/>
          <w:sz w:val="21"/>
          <w:szCs w:val="21"/>
          <w:lang w:val="es-MX" w:eastAsia="en-US"/>
        </w:rPr>
      </w:pPr>
      <w:r w:rsidRPr="008325FB">
        <w:rPr>
          <w:rFonts w:ascii="Abadi" w:eastAsia="Batang" w:hAnsi="Abadi" w:cs="Arial"/>
          <w:sz w:val="21"/>
          <w:szCs w:val="21"/>
          <w:lang w:val="es-MX" w:eastAsia="en-US"/>
        </w:rPr>
        <w:t>a)</w:t>
      </w:r>
      <w:r w:rsidRPr="008325FB">
        <w:rPr>
          <w:rFonts w:ascii="Abadi" w:eastAsia="Batang" w:hAnsi="Abadi" w:cs="Arial"/>
          <w:sz w:val="21"/>
          <w:szCs w:val="21"/>
          <w:lang w:val="es-MX" w:eastAsia="en-US"/>
        </w:rPr>
        <w:tab/>
        <w:t>Los municipios tienen potestad reglamentaria sobre las disposiciones administrativas y para regular las materias, procedimientos, funciones y servicios públicos de su competencia; así lo denotan las fracciones II, párrafo segundo, del artículo 115 de la Constitución Política de los Estado Unidos Mexicanos; I del artículo 117 de la Constitución Política para el Estado de Guanajuato; I, inciso b del artículo 76; y, 236 de la Ley Orgánica Municipal para el Estado de Guanajuato;</w:t>
      </w:r>
    </w:p>
    <w:p w14:paraId="6E7EB6BD" w14:textId="77777777" w:rsidR="008325FB" w:rsidRPr="008325FB" w:rsidRDefault="008325FB" w:rsidP="0062363E">
      <w:pPr>
        <w:widowControl w:val="0"/>
        <w:tabs>
          <w:tab w:val="left" w:pos="663"/>
        </w:tabs>
        <w:spacing w:before="57"/>
        <w:ind w:left="720"/>
        <w:contextualSpacing/>
        <w:jc w:val="both"/>
        <w:rPr>
          <w:rFonts w:ascii="Abadi" w:eastAsia="Batang" w:hAnsi="Abadi" w:cs="Arial"/>
          <w:sz w:val="21"/>
          <w:szCs w:val="21"/>
          <w:lang w:val="es-MX" w:eastAsia="en-US"/>
        </w:rPr>
      </w:pPr>
      <w:r w:rsidRPr="008325FB">
        <w:rPr>
          <w:rFonts w:ascii="Abadi" w:eastAsia="Batang" w:hAnsi="Abadi" w:cs="Arial"/>
          <w:sz w:val="21"/>
          <w:szCs w:val="21"/>
          <w:lang w:val="es-MX" w:eastAsia="en-US"/>
        </w:rPr>
        <w:t xml:space="preserve"> </w:t>
      </w:r>
    </w:p>
    <w:p w14:paraId="0E3566AD" w14:textId="77777777" w:rsidR="008325FB" w:rsidRPr="008325FB" w:rsidRDefault="008325FB" w:rsidP="0062363E">
      <w:pPr>
        <w:widowControl w:val="0"/>
        <w:tabs>
          <w:tab w:val="left" w:pos="663"/>
        </w:tabs>
        <w:spacing w:before="57"/>
        <w:ind w:left="720"/>
        <w:contextualSpacing/>
        <w:jc w:val="both"/>
        <w:rPr>
          <w:rFonts w:ascii="Abadi" w:eastAsia="Batang" w:hAnsi="Abadi" w:cs="Arial"/>
          <w:sz w:val="21"/>
          <w:szCs w:val="21"/>
          <w:lang w:val="es-MX" w:eastAsia="en-US"/>
        </w:rPr>
      </w:pPr>
      <w:r w:rsidRPr="008325FB">
        <w:rPr>
          <w:rFonts w:ascii="Abadi" w:eastAsia="Batang" w:hAnsi="Abadi" w:cs="Arial"/>
          <w:sz w:val="21"/>
          <w:szCs w:val="21"/>
          <w:lang w:val="es-MX" w:eastAsia="en-US"/>
        </w:rPr>
        <w:t>b)</w:t>
      </w:r>
      <w:r w:rsidRPr="008325FB">
        <w:rPr>
          <w:rFonts w:ascii="Abadi" w:eastAsia="Batang" w:hAnsi="Abadi" w:cs="Arial"/>
          <w:sz w:val="21"/>
          <w:szCs w:val="21"/>
          <w:lang w:val="es-MX" w:eastAsia="en-US"/>
        </w:rPr>
        <w:tab/>
        <w:t>Los municipios tienen libertad hacendaria y autonomía presupuestaria de acuerdo con el artículo 115, párrafo cuarto, fracción IV de nuestra Carta Magna; los artículos 117, fracción VII, párrafos primero y cinco; 121, párrafos primero y tercero; y, 106 de la Constitución Política para el estado de Guanajuato, que expresa la libertad del municipio, autonomía en su gobierno interior y la libertad en la administración de su hacienda.</w:t>
      </w:r>
    </w:p>
    <w:p w14:paraId="31B0B19F" w14:textId="77777777" w:rsidR="008325FB" w:rsidRPr="008325FB" w:rsidRDefault="008325FB" w:rsidP="0062363E">
      <w:pPr>
        <w:widowControl w:val="0"/>
        <w:tabs>
          <w:tab w:val="left" w:pos="663"/>
        </w:tabs>
        <w:spacing w:before="57"/>
        <w:ind w:left="720"/>
        <w:contextualSpacing/>
        <w:jc w:val="both"/>
        <w:rPr>
          <w:rFonts w:ascii="Abadi" w:eastAsia="Batang" w:hAnsi="Abadi" w:cs="Arial"/>
          <w:sz w:val="21"/>
          <w:szCs w:val="21"/>
          <w:lang w:val="es-MX" w:eastAsia="en-US"/>
        </w:rPr>
      </w:pPr>
      <w:r w:rsidRPr="008325FB">
        <w:rPr>
          <w:rFonts w:ascii="Abadi" w:eastAsia="Batang" w:hAnsi="Abadi" w:cs="Arial"/>
          <w:sz w:val="21"/>
          <w:szCs w:val="21"/>
          <w:lang w:val="es-MX" w:eastAsia="en-US"/>
        </w:rPr>
        <w:t xml:space="preserve"> </w:t>
      </w:r>
    </w:p>
    <w:p w14:paraId="629AF222" w14:textId="77777777" w:rsidR="008325FB" w:rsidRPr="008325FB" w:rsidRDefault="008325FB" w:rsidP="0062363E">
      <w:pPr>
        <w:widowControl w:val="0"/>
        <w:tabs>
          <w:tab w:val="left" w:pos="663"/>
        </w:tabs>
        <w:spacing w:before="57"/>
        <w:ind w:left="720"/>
        <w:contextualSpacing/>
        <w:jc w:val="both"/>
        <w:rPr>
          <w:rFonts w:ascii="Abadi" w:eastAsia="Batang" w:hAnsi="Abadi" w:cs="Arial"/>
          <w:sz w:val="21"/>
          <w:szCs w:val="21"/>
          <w:lang w:val="es-MX" w:eastAsia="en-US"/>
        </w:rPr>
      </w:pPr>
      <w:r w:rsidRPr="008325FB">
        <w:rPr>
          <w:rFonts w:ascii="Abadi" w:eastAsia="Batang" w:hAnsi="Abadi" w:cs="Arial"/>
          <w:sz w:val="21"/>
          <w:szCs w:val="21"/>
          <w:lang w:val="es-MX" w:eastAsia="en-US"/>
        </w:rPr>
        <w:t>Cabe destacar, que en el texto original del artículo 115 de nuestra Carta Magna, el Poder Constituyente concibió al municipio como libre, sin ninguna autoridad intermedia entre este y el gobierno; y, con una administración libremente de su hacienda; y,</w:t>
      </w:r>
    </w:p>
    <w:p w14:paraId="6D47E63B" w14:textId="77777777" w:rsidR="008325FB" w:rsidRPr="008325FB" w:rsidRDefault="008325FB" w:rsidP="0062363E">
      <w:pPr>
        <w:widowControl w:val="0"/>
        <w:tabs>
          <w:tab w:val="left" w:pos="663"/>
        </w:tabs>
        <w:spacing w:before="57"/>
        <w:ind w:left="720"/>
        <w:contextualSpacing/>
        <w:jc w:val="both"/>
        <w:rPr>
          <w:rFonts w:ascii="Abadi" w:eastAsia="Batang" w:hAnsi="Abadi" w:cs="Arial"/>
          <w:sz w:val="21"/>
          <w:szCs w:val="21"/>
          <w:lang w:val="es-MX" w:eastAsia="en-US"/>
        </w:rPr>
      </w:pPr>
    </w:p>
    <w:p w14:paraId="7A584424" w14:textId="77777777" w:rsidR="008325FB" w:rsidRPr="008325FB" w:rsidRDefault="008325FB" w:rsidP="0062363E">
      <w:pPr>
        <w:widowControl w:val="0"/>
        <w:tabs>
          <w:tab w:val="left" w:pos="663"/>
        </w:tabs>
        <w:spacing w:before="57"/>
        <w:ind w:left="720"/>
        <w:contextualSpacing/>
        <w:jc w:val="both"/>
        <w:rPr>
          <w:rFonts w:ascii="Abadi" w:eastAsia="Batang" w:hAnsi="Abadi" w:cs="Arial"/>
          <w:sz w:val="21"/>
          <w:szCs w:val="21"/>
          <w:lang w:val="es-MX" w:eastAsia="en-US"/>
        </w:rPr>
      </w:pPr>
      <w:r w:rsidRPr="008325FB">
        <w:rPr>
          <w:rFonts w:ascii="Abadi" w:eastAsia="Batang" w:hAnsi="Abadi" w:cs="Arial"/>
          <w:sz w:val="21"/>
          <w:szCs w:val="21"/>
          <w:lang w:val="es-MX" w:eastAsia="en-US"/>
        </w:rPr>
        <w:t>c)</w:t>
      </w:r>
      <w:r w:rsidRPr="008325FB">
        <w:rPr>
          <w:rFonts w:ascii="Abadi" w:eastAsia="Batang" w:hAnsi="Abadi" w:cs="Arial"/>
          <w:sz w:val="21"/>
          <w:szCs w:val="21"/>
          <w:lang w:val="es-MX" w:eastAsia="en-US"/>
        </w:rPr>
        <w:tab/>
        <w:t>La seguridad pública esta asignada al municipio -no solo a la federación y las entidades federativas- como función a su cargo y el servicio público, respectivamente, por los artículos 21 y 115, fracción III, inciso h, de la Constitución federal.</w:t>
      </w:r>
    </w:p>
    <w:p w14:paraId="273B09B2" w14:textId="77777777" w:rsidR="008325FB" w:rsidRPr="008325FB" w:rsidRDefault="008325FB" w:rsidP="00492D31">
      <w:pPr>
        <w:widowControl w:val="0"/>
        <w:tabs>
          <w:tab w:val="left" w:pos="663"/>
        </w:tabs>
        <w:spacing w:before="57"/>
        <w:ind w:left="720"/>
        <w:contextualSpacing/>
        <w:jc w:val="both"/>
        <w:rPr>
          <w:rFonts w:ascii="Abadi" w:eastAsia="Batang" w:hAnsi="Abadi" w:cs="Arial"/>
          <w:sz w:val="21"/>
          <w:szCs w:val="21"/>
          <w:lang w:val="es-MX" w:eastAsia="en-US"/>
        </w:rPr>
      </w:pPr>
    </w:p>
    <w:p w14:paraId="1EEFCBCE" w14:textId="77777777" w:rsidR="008325FB" w:rsidRPr="008325FB" w:rsidRDefault="008325FB" w:rsidP="00492D31">
      <w:pPr>
        <w:widowControl w:val="0"/>
        <w:tabs>
          <w:tab w:val="left" w:pos="663"/>
        </w:tabs>
        <w:spacing w:before="57"/>
        <w:ind w:left="720"/>
        <w:contextualSpacing/>
        <w:jc w:val="both"/>
        <w:rPr>
          <w:rFonts w:ascii="Abadi" w:eastAsia="Batang" w:hAnsi="Abadi" w:cs="Arial"/>
          <w:sz w:val="21"/>
          <w:szCs w:val="21"/>
          <w:lang w:val="es-MX" w:eastAsia="en-US"/>
        </w:rPr>
      </w:pPr>
      <w:r w:rsidRPr="008325FB">
        <w:rPr>
          <w:rFonts w:ascii="Abadi" w:eastAsia="Batang" w:hAnsi="Abadi" w:cs="Arial"/>
          <w:sz w:val="21"/>
          <w:szCs w:val="21"/>
          <w:lang w:val="es-MX" w:eastAsia="en-US"/>
        </w:rPr>
        <w:t>d)</w:t>
      </w:r>
      <w:r w:rsidRPr="008325FB">
        <w:rPr>
          <w:rFonts w:ascii="Abadi" w:eastAsia="Batang" w:hAnsi="Abadi" w:cs="Arial"/>
          <w:sz w:val="21"/>
          <w:szCs w:val="21"/>
          <w:lang w:val="es-MX" w:eastAsia="en-US"/>
        </w:rPr>
        <w:tab/>
        <w:t>Cabe destacar, que el “Poder Constituido” con la reforma del artículo 115 constitucional, publicada en el Diario Oficial de la Federación el 3 de febrero de 1983, estableció que los municipios, con el concurso de los estados -si fuese necesario y lo determinen las leyes-, tuvieran a su cargo, entre otros servicios públicos: la seguridad pública.</w:t>
      </w:r>
    </w:p>
    <w:p w14:paraId="706A6504" w14:textId="77777777" w:rsidR="008325FB" w:rsidRPr="008325FB" w:rsidRDefault="008325FB" w:rsidP="00492D31">
      <w:pPr>
        <w:widowControl w:val="0"/>
        <w:tabs>
          <w:tab w:val="left" w:pos="663"/>
        </w:tabs>
        <w:spacing w:before="57"/>
        <w:jc w:val="both"/>
        <w:rPr>
          <w:rFonts w:ascii="Abadi" w:eastAsia="Batang" w:hAnsi="Abadi" w:cs="Arial"/>
          <w:sz w:val="21"/>
          <w:szCs w:val="21"/>
          <w:lang w:val="es-MX" w:eastAsia="en-US"/>
        </w:rPr>
      </w:pPr>
    </w:p>
    <w:p w14:paraId="3CB239B9" w14:textId="77777777" w:rsidR="008325FB" w:rsidRPr="008325FB" w:rsidRDefault="008325FB" w:rsidP="00492D31">
      <w:pPr>
        <w:widowControl w:val="0"/>
        <w:tabs>
          <w:tab w:val="left" w:pos="663"/>
        </w:tabs>
        <w:spacing w:before="57"/>
        <w:jc w:val="both"/>
        <w:rPr>
          <w:rFonts w:ascii="Abadi" w:eastAsia="Batang" w:hAnsi="Abadi" w:cs="Arial"/>
          <w:sz w:val="21"/>
          <w:szCs w:val="21"/>
          <w:lang w:val="es-MX" w:eastAsia="en-US"/>
        </w:rPr>
      </w:pPr>
      <w:r w:rsidRPr="008325FB">
        <w:rPr>
          <w:rFonts w:ascii="Abadi" w:eastAsia="Batang" w:hAnsi="Abadi" w:cs="Arial"/>
          <w:sz w:val="21"/>
          <w:szCs w:val="21"/>
          <w:lang w:val="es-MX" w:eastAsia="en-US"/>
        </w:rPr>
        <w:t>En este orden consideramos que:</w:t>
      </w:r>
    </w:p>
    <w:p w14:paraId="1C5D3E02" w14:textId="77777777" w:rsidR="008325FB" w:rsidRPr="008325FB" w:rsidRDefault="008325FB" w:rsidP="00492D31">
      <w:pPr>
        <w:widowControl w:val="0"/>
        <w:tabs>
          <w:tab w:val="left" w:pos="663"/>
        </w:tabs>
        <w:spacing w:before="57"/>
        <w:ind w:left="720"/>
        <w:contextualSpacing/>
        <w:jc w:val="both"/>
        <w:rPr>
          <w:rFonts w:ascii="Abadi" w:eastAsia="Batang" w:hAnsi="Abadi" w:cs="Arial"/>
          <w:sz w:val="21"/>
          <w:szCs w:val="21"/>
          <w:lang w:val="es-MX" w:eastAsia="en-US"/>
        </w:rPr>
      </w:pPr>
    </w:p>
    <w:p w14:paraId="4020975C" w14:textId="77777777" w:rsidR="008325FB" w:rsidRPr="008325FB" w:rsidRDefault="008325FB" w:rsidP="00492D31">
      <w:pPr>
        <w:widowControl w:val="0"/>
        <w:tabs>
          <w:tab w:val="left" w:pos="663"/>
        </w:tabs>
        <w:spacing w:before="57"/>
        <w:jc w:val="both"/>
        <w:rPr>
          <w:rFonts w:ascii="Abadi" w:eastAsia="Batang" w:hAnsi="Abadi" w:cs="Arial"/>
          <w:sz w:val="21"/>
          <w:szCs w:val="21"/>
          <w:lang w:val="es-MX" w:eastAsia="en-US"/>
        </w:rPr>
      </w:pPr>
      <w:r w:rsidRPr="008325FB">
        <w:rPr>
          <w:rFonts w:ascii="Abadi" w:eastAsia="Batang" w:hAnsi="Abadi" w:cs="Arial"/>
          <w:sz w:val="21"/>
          <w:szCs w:val="21"/>
          <w:lang w:val="es-MX" w:eastAsia="en-US"/>
        </w:rPr>
        <w:tab/>
        <w:t>La supremacía de la Constitución está por encima de todas las leyes y de todas las autoridades; presupone dos condiciones: el poder constituyente y los poderes constituidos.</w:t>
      </w:r>
    </w:p>
    <w:p w14:paraId="3D5B8CF3" w14:textId="77777777" w:rsidR="008325FB" w:rsidRPr="008325FB" w:rsidRDefault="008325FB" w:rsidP="00492D31">
      <w:pPr>
        <w:widowControl w:val="0"/>
        <w:tabs>
          <w:tab w:val="left" w:pos="663"/>
        </w:tabs>
        <w:spacing w:before="57"/>
        <w:jc w:val="both"/>
        <w:rPr>
          <w:rFonts w:ascii="Abadi" w:eastAsia="Batang" w:hAnsi="Abadi" w:cs="Arial"/>
          <w:sz w:val="21"/>
          <w:szCs w:val="21"/>
          <w:lang w:val="es-MX" w:eastAsia="en-US"/>
        </w:rPr>
      </w:pPr>
    </w:p>
    <w:p w14:paraId="7C3B08A9" w14:textId="77777777" w:rsidR="008325FB" w:rsidRPr="008325FB" w:rsidRDefault="008325FB" w:rsidP="00492D31">
      <w:pPr>
        <w:widowControl w:val="0"/>
        <w:tabs>
          <w:tab w:val="left" w:pos="663"/>
        </w:tabs>
        <w:spacing w:before="57"/>
        <w:jc w:val="both"/>
        <w:rPr>
          <w:rFonts w:ascii="Abadi" w:eastAsia="Batang" w:hAnsi="Abadi" w:cs="Arial"/>
          <w:sz w:val="21"/>
          <w:szCs w:val="21"/>
          <w:lang w:val="es-MX" w:eastAsia="en-US"/>
        </w:rPr>
      </w:pPr>
      <w:r w:rsidRPr="008325FB">
        <w:rPr>
          <w:rFonts w:ascii="Abadi" w:eastAsia="Batang" w:hAnsi="Abadi" w:cs="Arial"/>
          <w:sz w:val="21"/>
          <w:szCs w:val="21"/>
          <w:lang w:val="es-MX" w:eastAsia="en-US"/>
        </w:rPr>
        <w:tab/>
        <w:t>Para impedir que se trasgreda el principio de supremacía constitucional resultan imprescindibles los instrumentos de control constitucional, cuya función es la de expulsar del ordenamiento cualquier ley que contradiga el sentido de la Constitución.</w:t>
      </w:r>
    </w:p>
    <w:p w14:paraId="7FC8390C" w14:textId="77777777" w:rsidR="008325FB" w:rsidRPr="008325FB" w:rsidRDefault="008325FB" w:rsidP="00492D31">
      <w:pPr>
        <w:widowControl w:val="0"/>
        <w:tabs>
          <w:tab w:val="left" w:pos="663"/>
        </w:tabs>
        <w:spacing w:before="57"/>
        <w:jc w:val="both"/>
        <w:rPr>
          <w:rFonts w:ascii="Abadi" w:eastAsia="Batang" w:hAnsi="Abadi" w:cs="Arial"/>
          <w:sz w:val="21"/>
          <w:szCs w:val="21"/>
          <w:lang w:val="es-MX" w:eastAsia="en-US"/>
        </w:rPr>
      </w:pPr>
    </w:p>
    <w:p w14:paraId="3F4172BA" w14:textId="77777777" w:rsidR="008325FB" w:rsidRPr="008325FB" w:rsidRDefault="008325FB" w:rsidP="00492D31">
      <w:pPr>
        <w:widowControl w:val="0"/>
        <w:tabs>
          <w:tab w:val="left" w:pos="663"/>
        </w:tabs>
        <w:spacing w:before="57"/>
        <w:jc w:val="both"/>
        <w:rPr>
          <w:rFonts w:ascii="Abadi" w:eastAsia="Batang" w:hAnsi="Abadi" w:cs="Arial"/>
          <w:sz w:val="21"/>
          <w:szCs w:val="21"/>
          <w:lang w:val="es-MX" w:eastAsia="en-US"/>
        </w:rPr>
      </w:pPr>
      <w:r w:rsidRPr="008325FB">
        <w:rPr>
          <w:rFonts w:ascii="Abadi" w:eastAsia="Batang" w:hAnsi="Abadi" w:cs="Arial"/>
          <w:sz w:val="21"/>
          <w:szCs w:val="21"/>
          <w:lang w:val="es-MX" w:eastAsia="en-US"/>
        </w:rPr>
        <w:tab/>
        <w:t xml:space="preserve">Todo proceso de producción de leyes debe contemplar la racionalidad jurídico formal -entre otras racionalidades- en virtud de que las modificaciones de la legislación deben insertarse armónicamente en el sistema jurídico, donde el sistema jurídico del estado de Guanajuato no es la excepción. </w:t>
      </w:r>
    </w:p>
    <w:p w14:paraId="4CDB1CAA" w14:textId="77777777" w:rsidR="008325FB" w:rsidRPr="008325FB" w:rsidRDefault="008325FB" w:rsidP="00492D31">
      <w:pPr>
        <w:widowControl w:val="0"/>
        <w:tabs>
          <w:tab w:val="left" w:pos="663"/>
        </w:tabs>
        <w:spacing w:before="57"/>
        <w:ind w:left="720"/>
        <w:contextualSpacing/>
        <w:jc w:val="both"/>
        <w:rPr>
          <w:rFonts w:ascii="Abadi" w:eastAsia="Batang" w:hAnsi="Abadi" w:cs="Arial"/>
          <w:sz w:val="21"/>
          <w:szCs w:val="21"/>
          <w:lang w:val="es-MX" w:eastAsia="en-US"/>
        </w:rPr>
      </w:pPr>
    </w:p>
    <w:p w14:paraId="0CE79076" w14:textId="77777777" w:rsidR="008325FB" w:rsidRPr="008325FB" w:rsidRDefault="008325FB" w:rsidP="00492D31">
      <w:pPr>
        <w:widowControl w:val="0"/>
        <w:tabs>
          <w:tab w:val="left" w:pos="663"/>
        </w:tabs>
        <w:spacing w:before="57"/>
        <w:jc w:val="both"/>
        <w:rPr>
          <w:rFonts w:ascii="Abadi" w:eastAsia="Batang" w:hAnsi="Abadi" w:cs="Arial"/>
          <w:sz w:val="21"/>
          <w:szCs w:val="21"/>
          <w:lang w:val="es-MX" w:eastAsia="en-US"/>
        </w:rPr>
      </w:pPr>
      <w:r w:rsidRPr="008325FB">
        <w:rPr>
          <w:rFonts w:ascii="Abadi" w:eastAsia="Batang" w:hAnsi="Abadi" w:cs="Arial"/>
          <w:sz w:val="21"/>
          <w:szCs w:val="21"/>
          <w:lang w:val="es-MX" w:eastAsia="en-US"/>
        </w:rPr>
        <w:tab/>
        <w:t>Tomando como base el marco jurídico constitucional y legal de los municipios prescrito, se observa que, la iniciativa de reforma de adición de una fracción VI a el artículo 36 de la Ley del Sistema de Seguridad Pública el Estado de Guanajuato, se vincula e invade las competencias de la potestad reglamentaria de los ayuntamientos y los ámbitos de su competencia en las materias de seguridad pública, la libertad hacendaria y la autonomía presupuestaria. Fundamentalmente, porque la Constitución federal reconoce y establece que los municipios administrarán libremente su hacienda y los recursos que integran la hacienda municipal serán ejercidos en forma directa por los ayuntamientos, o bien, por quien ellos autoricen, conforme a la ley.</w:t>
      </w:r>
    </w:p>
    <w:p w14:paraId="2A9DA528" w14:textId="77777777" w:rsidR="008325FB" w:rsidRPr="008325FB" w:rsidRDefault="008325FB" w:rsidP="00492D31">
      <w:pPr>
        <w:widowControl w:val="0"/>
        <w:tabs>
          <w:tab w:val="left" w:pos="663"/>
        </w:tabs>
        <w:spacing w:before="57"/>
        <w:contextualSpacing/>
        <w:jc w:val="both"/>
        <w:rPr>
          <w:rFonts w:ascii="Abadi" w:eastAsia="Batang" w:hAnsi="Abadi" w:cs="Arial"/>
          <w:sz w:val="21"/>
          <w:szCs w:val="21"/>
          <w:lang w:val="es-MX" w:eastAsia="en-US"/>
        </w:rPr>
      </w:pPr>
    </w:p>
    <w:p w14:paraId="7CD5C266" w14:textId="77777777" w:rsidR="008325FB" w:rsidRPr="008325FB" w:rsidRDefault="008325FB" w:rsidP="00492D31">
      <w:pPr>
        <w:spacing w:after="160"/>
        <w:ind w:firstLine="708"/>
        <w:jc w:val="both"/>
        <w:rPr>
          <w:rFonts w:ascii="Abadi" w:eastAsia="Batang" w:hAnsi="Abadi" w:cs="Arial"/>
          <w:sz w:val="21"/>
          <w:szCs w:val="21"/>
          <w:lang w:val="es-MX" w:eastAsia="en-US"/>
        </w:rPr>
      </w:pPr>
      <w:r w:rsidRPr="008325FB">
        <w:rPr>
          <w:rFonts w:ascii="Abadi" w:eastAsia="Batang" w:hAnsi="Abadi" w:cs="Arial"/>
          <w:sz w:val="21"/>
          <w:szCs w:val="21"/>
          <w:lang w:val="es-MX" w:eastAsia="en-US"/>
        </w:rPr>
        <w:t xml:space="preserve">Con fundamento en lo dispuesto por los artículos 169 y 171 de la Ley Orgánica del Poder Legislativo del Estado de Guanajuato, nos permitimos someter a la aprobación de la Asamblea, el siguiente: </w:t>
      </w:r>
    </w:p>
    <w:p w14:paraId="2F8FBF36" w14:textId="77777777" w:rsidR="008325FB" w:rsidRPr="008325FB" w:rsidRDefault="008325FB" w:rsidP="00492D31">
      <w:pPr>
        <w:spacing w:after="160"/>
        <w:jc w:val="center"/>
        <w:rPr>
          <w:rFonts w:ascii="Abadi" w:eastAsiaTheme="minorHAnsi" w:hAnsi="Abadi" w:cs="Arial"/>
          <w:b/>
          <w:sz w:val="21"/>
          <w:szCs w:val="21"/>
          <w:lang w:val="es-MX" w:eastAsia="en-US"/>
        </w:rPr>
      </w:pPr>
      <w:r w:rsidRPr="008325FB">
        <w:rPr>
          <w:rFonts w:ascii="Abadi" w:eastAsiaTheme="minorHAnsi" w:hAnsi="Abadi" w:cs="Arial"/>
          <w:b/>
          <w:sz w:val="21"/>
          <w:szCs w:val="21"/>
          <w:lang w:val="es-MX" w:eastAsia="en-US"/>
        </w:rPr>
        <w:t>ACUERDO</w:t>
      </w:r>
    </w:p>
    <w:p w14:paraId="38A753B5" w14:textId="77777777" w:rsidR="008325FB" w:rsidRPr="008325FB" w:rsidRDefault="008325FB" w:rsidP="00492D31">
      <w:pPr>
        <w:widowControl w:val="0"/>
        <w:tabs>
          <w:tab w:val="left" w:pos="663"/>
        </w:tabs>
        <w:spacing w:before="57"/>
        <w:contextualSpacing/>
        <w:jc w:val="both"/>
        <w:rPr>
          <w:rFonts w:ascii="Abadi" w:eastAsia="Batang" w:hAnsi="Abadi" w:cs="Arial"/>
          <w:sz w:val="21"/>
          <w:szCs w:val="21"/>
          <w:lang w:val="es-MX" w:eastAsia="en-US"/>
        </w:rPr>
      </w:pPr>
      <w:r w:rsidRPr="008325FB">
        <w:rPr>
          <w:rFonts w:ascii="Abadi" w:eastAsiaTheme="minorHAnsi" w:hAnsi="Abadi" w:cs="Arial"/>
          <w:b/>
          <w:bCs/>
          <w:sz w:val="21"/>
          <w:szCs w:val="21"/>
          <w:lang w:eastAsia="en-US"/>
        </w:rPr>
        <w:tab/>
        <w:t xml:space="preserve">Único. </w:t>
      </w:r>
      <w:r w:rsidRPr="008325FB">
        <w:rPr>
          <w:rFonts w:ascii="Abadi" w:eastAsia="Batang" w:hAnsi="Abadi" w:cs="Arial"/>
          <w:sz w:val="21"/>
          <w:szCs w:val="21"/>
          <w:lang w:val="es-MX" w:eastAsia="en-US"/>
        </w:rPr>
        <w:t xml:space="preserve">Se ordena el archivo definitivo de </w:t>
      </w:r>
      <w:r w:rsidRPr="008325FB">
        <w:rPr>
          <w:rFonts w:ascii="Abadi" w:eastAsiaTheme="minorHAnsi" w:hAnsi="Abadi" w:cs="Arial"/>
          <w:sz w:val="21"/>
          <w:szCs w:val="21"/>
          <w:lang w:val="es-MX" w:eastAsia="en-US"/>
        </w:rPr>
        <w:t xml:space="preserve">la </w:t>
      </w:r>
      <w:bookmarkStart w:id="17" w:name="_Hlk107916421"/>
      <w:r w:rsidRPr="008325FB">
        <w:rPr>
          <w:rFonts w:ascii="Abadi" w:eastAsiaTheme="minorHAnsi" w:hAnsi="Abadi" w:cs="Arial"/>
          <w:sz w:val="21"/>
          <w:szCs w:val="21"/>
          <w:lang w:val="es-MX" w:eastAsia="en-US"/>
        </w:rPr>
        <w:t>iniciativa que reforma el artículo 36-6 de la Ley del Sistema Estatal de Seguridad Pública del Estado de Guanajuato formulada, en la LXIV Legislatura, por las diputadas y diputados del Grupo Parlamentario del Partido Acción Nacional</w:t>
      </w:r>
      <w:bookmarkEnd w:id="17"/>
      <w:r w:rsidRPr="008325FB">
        <w:rPr>
          <w:rFonts w:ascii="Abadi" w:eastAsia="Batang" w:hAnsi="Abadi" w:cs="Arial"/>
          <w:sz w:val="21"/>
          <w:szCs w:val="21"/>
          <w:lang w:val="es-MX" w:eastAsia="en-US"/>
        </w:rPr>
        <w:t>.</w:t>
      </w:r>
    </w:p>
    <w:p w14:paraId="06431F79" w14:textId="77777777" w:rsidR="008325FB" w:rsidRPr="008325FB" w:rsidRDefault="008325FB" w:rsidP="00492D31">
      <w:pPr>
        <w:widowControl w:val="0"/>
        <w:tabs>
          <w:tab w:val="left" w:pos="663"/>
        </w:tabs>
        <w:spacing w:before="57"/>
        <w:contextualSpacing/>
        <w:jc w:val="both"/>
        <w:rPr>
          <w:rFonts w:ascii="Abadi" w:eastAsia="Batang" w:hAnsi="Abadi" w:cs="Arial"/>
          <w:sz w:val="21"/>
          <w:szCs w:val="21"/>
          <w:lang w:val="es-MX" w:eastAsia="en-US"/>
        </w:rPr>
      </w:pPr>
    </w:p>
    <w:p w14:paraId="581B1AD4" w14:textId="77777777" w:rsidR="008325FB" w:rsidRPr="008325FB" w:rsidRDefault="008325FB" w:rsidP="00492D31">
      <w:pPr>
        <w:widowControl w:val="0"/>
        <w:tabs>
          <w:tab w:val="left" w:pos="663"/>
        </w:tabs>
        <w:spacing w:before="57"/>
        <w:contextualSpacing/>
        <w:jc w:val="both"/>
        <w:rPr>
          <w:rFonts w:ascii="Abadi" w:eastAsia="Batang" w:hAnsi="Abadi" w:cs="Arial"/>
          <w:sz w:val="21"/>
          <w:szCs w:val="21"/>
          <w:lang w:val="es-MX" w:eastAsia="en-US"/>
        </w:rPr>
      </w:pPr>
      <w:r w:rsidRPr="008325FB">
        <w:rPr>
          <w:rFonts w:ascii="Abadi" w:eastAsia="Batang" w:hAnsi="Abadi" w:cs="Arial"/>
          <w:sz w:val="21"/>
          <w:szCs w:val="21"/>
          <w:lang w:val="es-MX" w:eastAsia="en-US"/>
        </w:rPr>
        <w:tab/>
        <w:t>Se instruye al Secretario General del Congreso archive de manera definitiva la iniciativa de referencia.</w:t>
      </w:r>
    </w:p>
    <w:p w14:paraId="22E127DC" w14:textId="77777777" w:rsidR="008325FB" w:rsidRPr="008325FB" w:rsidRDefault="008325FB" w:rsidP="00492D31">
      <w:pPr>
        <w:widowControl w:val="0"/>
        <w:tabs>
          <w:tab w:val="left" w:pos="663"/>
        </w:tabs>
        <w:spacing w:before="57"/>
        <w:contextualSpacing/>
        <w:jc w:val="both"/>
        <w:rPr>
          <w:rFonts w:ascii="Abadi" w:eastAsia="Batang" w:hAnsi="Abadi" w:cs="Arial"/>
          <w:sz w:val="21"/>
          <w:szCs w:val="21"/>
          <w:lang w:val="es-MX" w:eastAsia="en-US"/>
        </w:rPr>
      </w:pPr>
    </w:p>
    <w:p w14:paraId="32C2EB87" w14:textId="77777777" w:rsidR="008325FB" w:rsidRPr="008325FB" w:rsidRDefault="008325FB" w:rsidP="00492D31">
      <w:pPr>
        <w:widowControl w:val="0"/>
        <w:tabs>
          <w:tab w:val="left" w:pos="663"/>
        </w:tabs>
        <w:spacing w:before="57"/>
        <w:contextualSpacing/>
        <w:jc w:val="center"/>
        <w:rPr>
          <w:rFonts w:ascii="Abadi" w:hAnsi="Abadi" w:cs="Arial"/>
          <w:b/>
          <w:bCs/>
          <w:sz w:val="21"/>
          <w:szCs w:val="21"/>
          <w:lang w:val="es-MX" w:eastAsia="es-MX"/>
        </w:rPr>
      </w:pPr>
      <w:r w:rsidRPr="008325FB">
        <w:rPr>
          <w:rFonts w:ascii="Abadi" w:hAnsi="Abadi" w:cs="Arial"/>
          <w:b/>
          <w:bCs/>
          <w:sz w:val="21"/>
          <w:szCs w:val="21"/>
          <w:lang w:val="es-MX" w:eastAsia="es-MX"/>
        </w:rPr>
        <w:t>Guanajuato, Gto., a 7 de julio de 2022</w:t>
      </w:r>
    </w:p>
    <w:p w14:paraId="7AD27441" w14:textId="77777777" w:rsidR="008325FB" w:rsidRPr="008325FB" w:rsidRDefault="008325FB" w:rsidP="00492D31">
      <w:pPr>
        <w:widowControl w:val="0"/>
        <w:tabs>
          <w:tab w:val="left" w:pos="663"/>
        </w:tabs>
        <w:spacing w:before="57"/>
        <w:contextualSpacing/>
        <w:jc w:val="center"/>
        <w:rPr>
          <w:rFonts w:ascii="Abadi" w:eastAsia="Batang" w:hAnsi="Abadi" w:cs="Arial"/>
          <w:sz w:val="21"/>
          <w:szCs w:val="21"/>
          <w:lang w:val="es-MX" w:eastAsia="en-US"/>
        </w:rPr>
      </w:pPr>
      <w:r w:rsidRPr="008325FB">
        <w:rPr>
          <w:rFonts w:ascii="Abadi" w:hAnsi="Abadi" w:cs="Arial"/>
          <w:b/>
          <w:bCs/>
          <w:sz w:val="21"/>
          <w:szCs w:val="21"/>
          <w:lang w:val="es-MX" w:eastAsia="es-MX"/>
        </w:rPr>
        <w:t>La Comisión de Seguridad Pública y Comunicaciones</w:t>
      </w:r>
    </w:p>
    <w:p w14:paraId="76C2D620" w14:textId="77777777" w:rsidR="008325FB" w:rsidRPr="008325FB" w:rsidRDefault="008325FB" w:rsidP="00492D31">
      <w:pPr>
        <w:jc w:val="center"/>
        <w:textAlignment w:val="baseline"/>
        <w:rPr>
          <w:rFonts w:ascii="Abadi" w:hAnsi="Abadi" w:cs="Arial"/>
          <w:sz w:val="21"/>
          <w:szCs w:val="21"/>
          <w:lang w:val="es-MX" w:eastAsia="es-MX"/>
        </w:rPr>
      </w:pPr>
    </w:p>
    <w:p w14:paraId="2B9D74D9" w14:textId="77777777" w:rsidR="008325FB" w:rsidRPr="008325FB" w:rsidRDefault="008325FB" w:rsidP="00492D31">
      <w:pPr>
        <w:jc w:val="both"/>
        <w:textAlignment w:val="baseline"/>
        <w:rPr>
          <w:rFonts w:ascii="Abadi" w:hAnsi="Abadi" w:cs="Arial"/>
          <w:b/>
          <w:bCs/>
          <w:sz w:val="21"/>
          <w:szCs w:val="21"/>
          <w:lang w:val="es-MX" w:eastAsia="es-MX"/>
        </w:rPr>
      </w:pPr>
      <w:r w:rsidRPr="008325FB">
        <w:rPr>
          <w:rFonts w:ascii="Abadi" w:hAnsi="Abadi" w:cs="Arial"/>
          <w:b/>
          <w:bCs/>
          <w:sz w:val="21"/>
          <w:szCs w:val="21"/>
          <w:lang w:val="es-MX" w:eastAsia="es-MX"/>
        </w:rPr>
        <w:t>Dip. Martín López Camacho</w:t>
      </w:r>
    </w:p>
    <w:p w14:paraId="3F7256D0" w14:textId="77777777" w:rsidR="008325FB" w:rsidRPr="008325FB" w:rsidRDefault="008325FB" w:rsidP="00492D31">
      <w:pPr>
        <w:jc w:val="both"/>
        <w:textAlignment w:val="baseline"/>
        <w:rPr>
          <w:rFonts w:ascii="Abadi" w:hAnsi="Abadi" w:cs="Arial"/>
          <w:b/>
          <w:bCs/>
          <w:sz w:val="21"/>
          <w:szCs w:val="21"/>
          <w:lang w:val="es-MX" w:eastAsia="es-MX"/>
        </w:rPr>
      </w:pPr>
      <w:r w:rsidRPr="008325FB">
        <w:rPr>
          <w:rFonts w:ascii="Abadi" w:hAnsi="Abadi" w:cs="Arial"/>
          <w:b/>
          <w:bCs/>
          <w:sz w:val="21"/>
          <w:szCs w:val="21"/>
          <w:lang w:val="es-MX" w:eastAsia="es-MX"/>
        </w:rPr>
        <w:t>Dip. Alma Edwviges Alcaraz Hernández</w:t>
      </w:r>
    </w:p>
    <w:p w14:paraId="6646E1A8" w14:textId="77777777" w:rsidR="008325FB" w:rsidRPr="008325FB" w:rsidRDefault="008325FB" w:rsidP="00492D31">
      <w:pPr>
        <w:jc w:val="both"/>
        <w:textAlignment w:val="baseline"/>
        <w:rPr>
          <w:rFonts w:ascii="Abadi" w:hAnsi="Abadi" w:cs="Arial"/>
          <w:sz w:val="21"/>
          <w:szCs w:val="21"/>
          <w:lang w:val="es-MX" w:eastAsia="es-MX"/>
        </w:rPr>
      </w:pPr>
      <w:r w:rsidRPr="008325FB">
        <w:rPr>
          <w:rFonts w:ascii="Abadi" w:hAnsi="Abadi" w:cs="Arial"/>
          <w:b/>
          <w:bCs/>
          <w:sz w:val="21"/>
          <w:szCs w:val="21"/>
          <w:lang w:val="es-MX" w:eastAsia="es-MX"/>
        </w:rPr>
        <w:t>Dip. Rolando Fortino Alcántar Rojas</w:t>
      </w:r>
    </w:p>
    <w:p w14:paraId="2309D59C" w14:textId="77777777" w:rsidR="008325FB" w:rsidRPr="008325FB" w:rsidRDefault="008325FB" w:rsidP="00492D31">
      <w:pPr>
        <w:jc w:val="both"/>
        <w:textAlignment w:val="baseline"/>
        <w:rPr>
          <w:rFonts w:ascii="Abadi" w:hAnsi="Abadi" w:cs="Arial"/>
          <w:sz w:val="21"/>
          <w:szCs w:val="21"/>
          <w:lang w:val="es-MX" w:eastAsia="es-MX"/>
        </w:rPr>
      </w:pPr>
      <w:r w:rsidRPr="008325FB">
        <w:rPr>
          <w:rFonts w:ascii="Abadi" w:hAnsi="Abadi" w:cs="Arial"/>
          <w:b/>
          <w:bCs/>
          <w:sz w:val="21"/>
          <w:szCs w:val="21"/>
          <w:lang w:val="es-MX" w:eastAsia="es-MX"/>
        </w:rPr>
        <w:t>Dip. Bricio Balderas Álvarez</w:t>
      </w:r>
      <w:r w:rsidRPr="008325FB">
        <w:rPr>
          <w:rFonts w:ascii="Abadi" w:hAnsi="Abadi" w:cs="Arial"/>
          <w:sz w:val="21"/>
          <w:szCs w:val="21"/>
          <w:lang w:val="es-MX" w:eastAsia="es-MX"/>
        </w:rPr>
        <w:t> </w:t>
      </w:r>
    </w:p>
    <w:p w14:paraId="45FC50D4" w14:textId="20D2E090" w:rsidR="0035609C" w:rsidRDefault="008325FB" w:rsidP="00492D31">
      <w:pPr>
        <w:spacing w:after="160"/>
        <w:jc w:val="both"/>
        <w:textAlignment w:val="baseline"/>
        <w:rPr>
          <w:rFonts w:ascii="Abadi" w:hAnsi="Abadi" w:cs="Arial"/>
          <w:b/>
          <w:sz w:val="21"/>
          <w:szCs w:val="21"/>
          <w:lang w:val="es-MX" w:eastAsia="es-MX"/>
        </w:rPr>
      </w:pPr>
      <w:r w:rsidRPr="008325FB">
        <w:rPr>
          <w:rFonts w:ascii="Abadi" w:hAnsi="Abadi" w:cs="Arial"/>
          <w:b/>
          <w:sz w:val="21"/>
          <w:szCs w:val="21"/>
          <w:lang w:val="es-MX" w:eastAsia="es-MX"/>
        </w:rPr>
        <w:t>Dip. Ge</w:t>
      </w:r>
      <w:r>
        <w:rPr>
          <w:rFonts w:ascii="Abadi" w:hAnsi="Abadi" w:cs="Arial"/>
          <w:b/>
          <w:sz w:val="21"/>
          <w:szCs w:val="21"/>
          <w:lang w:val="es-MX" w:eastAsia="es-MX"/>
        </w:rPr>
        <w:t>r</w:t>
      </w:r>
      <w:r w:rsidRPr="008325FB">
        <w:rPr>
          <w:rFonts w:ascii="Abadi" w:hAnsi="Abadi" w:cs="Arial"/>
          <w:b/>
          <w:sz w:val="21"/>
          <w:szCs w:val="21"/>
          <w:lang w:val="es-MX" w:eastAsia="es-MX"/>
        </w:rPr>
        <w:t>ardo Fernández González</w:t>
      </w:r>
    </w:p>
    <w:p w14:paraId="4A27A36E" w14:textId="7E864C9F" w:rsidR="005C03CC" w:rsidRDefault="005C03CC" w:rsidP="005C03CC">
      <w:pPr>
        <w:ind w:firstLine="567"/>
        <w:jc w:val="both"/>
        <w:rPr>
          <w:rFonts w:ascii="Abadi" w:hAnsi="Abadi"/>
          <w:sz w:val="21"/>
          <w:szCs w:val="21"/>
        </w:rPr>
      </w:pPr>
      <w:r w:rsidRPr="002E3E61">
        <w:rPr>
          <w:rFonts w:ascii="Abadi" w:hAnsi="Abadi"/>
          <w:b/>
          <w:bCs/>
          <w:sz w:val="21"/>
          <w:szCs w:val="21"/>
        </w:rPr>
        <w:t>-  El Presidente.-</w:t>
      </w:r>
      <w:r>
        <w:rPr>
          <w:rFonts w:ascii="Abadi" w:hAnsi="Abadi"/>
          <w:sz w:val="21"/>
          <w:szCs w:val="21"/>
        </w:rPr>
        <w:t xml:space="preserve"> Se somete a D</w:t>
      </w:r>
      <w:r w:rsidRPr="006813AA">
        <w:rPr>
          <w:rFonts w:ascii="Abadi" w:hAnsi="Abadi"/>
          <w:sz w:val="21"/>
          <w:szCs w:val="21"/>
        </w:rPr>
        <w:t xml:space="preserve">iscusión el dictamen emitido por la </w:t>
      </w:r>
      <w:r>
        <w:rPr>
          <w:rFonts w:ascii="Abadi" w:hAnsi="Abadi"/>
          <w:sz w:val="21"/>
          <w:szCs w:val="21"/>
        </w:rPr>
        <w:t>C</w:t>
      </w:r>
      <w:r w:rsidRPr="006813AA">
        <w:rPr>
          <w:rFonts w:ascii="Abadi" w:hAnsi="Abadi"/>
          <w:sz w:val="21"/>
          <w:szCs w:val="21"/>
        </w:rPr>
        <w:t xml:space="preserve">omisión de </w:t>
      </w:r>
      <w:r>
        <w:rPr>
          <w:rFonts w:ascii="Abadi" w:hAnsi="Abadi"/>
          <w:sz w:val="21"/>
          <w:szCs w:val="21"/>
        </w:rPr>
        <w:t>S</w:t>
      </w:r>
      <w:r w:rsidRPr="006813AA">
        <w:rPr>
          <w:rFonts w:ascii="Abadi" w:hAnsi="Abadi"/>
          <w:sz w:val="21"/>
          <w:szCs w:val="21"/>
        </w:rPr>
        <w:t xml:space="preserve">eguridad </w:t>
      </w:r>
      <w:r>
        <w:rPr>
          <w:rFonts w:ascii="Abadi" w:hAnsi="Abadi"/>
          <w:sz w:val="21"/>
          <w:szCs w:val="21"/>
        </w:rPr>
        <w:t>P</w:t>
      </w:r>
      <w:r w:rsidRPr="006813AA">
        <w:rPr>
          <w:rFonts w:ascii="Abadi" w:hAnsi="Abadi"/>
          <w:sz w:val="21"/>
          <w:szCs w:val="21"/>
        </w:rPr>
        <w:t xml:space="preserve">ública y </w:t>
      </w:r>
      <w:r>
        <w:rPr>
          <w:rFonts w:ascii="Abadi" w:hAnsi="Abadi"/>
          <w:sz w:val="21"/>
          <w:szCs w:val="21"/>
        </w:rPr>
        <w:t>C</w:t>
      </w:r>
      <w:r w:rsidRPr="006813AA">
        <w:rPr>
          <w:rFonts w:ascii="Abadi" w:hAnsi="Abadi"/>
          <w:sz w:val="21"/>
          <w:szCs w:val="21"/>
        </w:rPr>
        <w:t>omunicaciones correspondiente al punto 27 de nuestra orden del día</w:t>
      </w:r>
      <w:r>
        <w:rPr>
          <w:rFonts w:ascii="Abadi" w:hAnsi="Abadi"/>
          <w:sz w:val="21"/>
          <w:szCs w:val="21"/>
        </w:rPr>
        <w:t>.</w:t>
      </w:r>
    </w:p>
    <w:p w14:paraId="01365A77" w14:textId="77777777" w:rsidR="005C03CC" w:rsidRDefault="005C03CC" w:rsidP="005C03CC">
      <w:pPr>
        <w:ind w:firstLine="567"/>
        <w:jc w:val="both"/>
        <w:rPr>
          <w:rFonts w:ascii="Abadi" w:hAnsi="Abadi"/>
          <w:sz w:val="21"/>
          <w:szCs w:val="21"/>
        </w:rPr>
      </w:pPr>
    </w:p>
    <w:p w14:paraId="6DB58CCC" w14:textId="1D392D85" w:rsidR="005C03CC" w:rsidRDefault="005C03CC" w:rsidP="005C03CC">
      <w:pPr>
        <w:ind w:firstLine="567"/>
        <w:jc w:val="both"/>
        <w:rPr>
          <w:rFonts w:ascii="Abadi" w:hAnsi="Abadi"/>
          <w:sz w:val="21"/>
          <w:szCs w:val="21"/>
        </w:rPr>
      </w:pPr>
      <w:r>
        <w:rPr>
          <w:rFonts w:ascii="Abadi" w:hAnsi="Abadi"/>
          <w:sz w:val="21"/>
          <w:szCs w:val="21"/>
        </w:rPr>
        <w:t>- S</w:t>
      </w:r>
      <w:r w:rsidRPr="006813AA">
        <w:rPr>
          <w:rFonts w:ascii="Abadi" w:hAnsi="Abadi"/>
          <w:sz w:val="21"/>
          <w:szCs w:val="21"/>
        </w:rPr>
        <w:t xml:space="preserve">i alguna diputada algún diputado desea hacer </w:t>
      </w:r>
      <w:r>
        <w:rPr>
          <w:rFonts w:ascii="Abadi" w:hAnsi="Abadi"/>
          <w:sz w:val="21"/>
          <w:szCs w:val="21"/>
        </w:rPr>
        <w:t>u</w:t>
      </w:r>
      <w:r w:rsidRPr="006813AA">
        <w:rPr>
          <w:rFonts w:ascii="Abadi" w:hAnsi="Abadi"/>
          <w:sz w:val="21"/>
          <w:szCs w:val="21"/>
        </w:rPr>
        <w:t xml:space="preserve">so de la palabra </w:t>
      </w:r>
      <w:r>
        <w:rPr>
          <w:rFonts w:ascii="Abadi" w:hAnsi="Abadi"/>
          <w:sz w:val="21"/>
          <w:szCs w:val="21"/>
        </w:rPr>
        <w:t xml:space="preserve">en pro o en contra </w:t>
      </w:r>
      <w:r w:rsidRPr="006813AA">
        <w:rPr>
          <w:rFonts w:ascii="Abadi" w:hAnsi="Abadi"/>
          <w:sz w:val="21"/>
          <w:szCs w:val="21"/>
        </w:rPr>
        <w:t>manifiéstenlo indicando el sentido de su participación</w:t>
      </w:r>
      <w:r>
        <w:rPr>
          <w:rFonts w:ascii="Abadi" w:hAnsi="Abadi"/>
          <w:sz w:val="21"/>
          <w:szCs w:val="21"/>
        </w:rPr>
        <w:t>.</w:t>
      </w:r>
    </w:p>
    <w:p w14:paraId="35941A30" w14:textId="77777777" w:rsidR="005C03CC" w:rsidRDefault="005C03CC" w:rsidP="005C03CC">
      <w:pPr>
        <w:ind w:firstLine="567"/>
        <w:jc w:val="both"/>
        <w:rPr>
          <w:rFonts w:ascii="Abadi" w:hAnsi="Abadi"/>
          <w:sz w:val="21"/>
          <w:szCs w:val="21"/>
        </w:rPr>
      </w:pPr>
    </w:p>
    <w:p w14:paraId="68E76624" w14:textId="0DBD84BC" w:rsidR="005C03CC" w:rsidRDefault="005C03CC" w:rsidP="005C03CC">
      <w:pPr>
        <w:ind w:firstLine="567"/>
        <w:jc w:val="both"/>
        <w:rPr>
          <w:rFonts w:ascii="Abadi" w:hAnsi="Abadi"/>
          <w:sz w:val="21"/>
          <w:szCs w:val="21"/>
        </w:rPr>
      </w:pPr>
      <w:r>
        <w:rPr>
          <w:rFonts w:ascii="Abadi" w:hAnsi="Abadi"/>
          <w:sz w:val="21"/>
          <w:szCs w:val="21"/>
        </w:rPr>
        <w:t>- N</w:t>
      </w:r>
      <w:r w:rsidRPr="006813AA">
        <w:rPr>
          <w:rFonts w:ascii="Abadi" w:hAnsi="Abadi"/>
          <w:sz w:val="21"/>
          <w:szCs w:val="21"/>
        </w:rPr>
        <w:t>o habiendo participaciones se pid</w:t>
      </w:r>
      <w:r>
        <w:rPr>
          <w:rFonts w:ascii="Abadi" w:hAnsi="Abadi"/>
          <w:sz w:val="21"/>
          <w:szCs w:val="21"/>
        </w:rPr>
        <w:t>e</w:t>
      </w:r>
      <w:r w:rsidRPr="006813AA">
        <w:rPr>
          <w:rFonts w:ascii="Abadi" w:hAnsi="Abadi"/>
          <w:sz w:val="21"/>
          <w:szCs w:val="21"/>
        </w:rPr>
        <w:t xml:space="preserve"> la </w:t>
      </w:r>
      <w:r>
        <w:rPr>
          <w:rFonts w:ascii="Abadi" w:hAnsi="Abadi"/>
          <w:sz w:val="21"/>
          <w:szCs w:val="21"/>
        </w:rPr>
        <w:t>S</w:t>
      </w:r>
      <w:r w:rsidRPr="006813AA">
        <w:rPr>
          <w:rFonts w:ascii="Abadi" w:hAnsi="Abadi"/>
          <w:sz w:val="21"/>
          <w:szCs w:val="21"/>
        </w:rPr>
        <w:t xml:space="preserve">ecretaría que proceda a recabar votación nominal de la </w:t>
      </w:r>
      <w:r>
        <w:rPr>
          <w:rFonts w:ascii="Abadi" w:hAnsi="Abadi"/>
          <w:sz w:val="21"/>
          <w:szCs w:val="21"/>
        </w:rPr>
        <w:t>A</w:t>
      </w:r>
      <w:r w:rsidRPr="006813AA">
        <w:rPr>
          <w:rFonts w:ascii="Abadi" w:hAnsi="Abadi"/>
          <w:sz w:val="21"/>
          <w:szCs w:val="21"/>
        </w:rPr>
        <w:t>samblea a través del sistema electrónico a efecto de aprobar o no el dictamen puesto a su consideración</w:t>
      </w:r>
      <w:r>
        <w:rPr>
          <w:rFonts w:ascii="Abadi" w:hAnsi="Abadi"/>
          <w:sz w:val="21"/>
          <w:szCs w:val="21"/>
        </w:rPr>
        <w:t>.</w:t>
      </w:r>
    </w:p>
    <w:p w14:paraId="3A99E1A3" w14:textId="77777777" w:rsidR="005C03CC" w:rsidRDefault="005C03CC" w:rsidP="005C03CC">
      <w:pPr>
        <w:ind w:firstLine="567"/>
        <w:jc w:val="both"/>
        <w:rPr>
          <w:rFonts w:ascii="Abadi" w:hAnsi="Abadi"/>
          <w:sz w:val="21"/>
          <w:szCs w:val="21"/>
        </w:rPr>
      </w:pPr>
    </w:p>
    <w:p w14:paraId="104672FC" w14:textId="5EF903FA" w:rsidR="005C03CC" w:rsidRDefault="005C03CC" w:rsidP="005C03CC">
      <w:pPr>
        <w:ind w:firstLine="567"/>
        <w:jc w:val="both"/>
        <w:rPr>
          <w:rFonts w:ascii="Abadi" w:hAnsi="Abadi"/>
          <w:b/>
          <w:bCs/>
          <w:sz w:val="21"/>
          <w:szCs w:val="21"/>
        </w:rPr>
      </w:pPr>
      <w:r w:rsidRPr="002E3E61">
        <w:rPr>
          <w:rFonts w:ascii="Abadi" w:hAnsi="Abadi"/>
          <w:b/>
          <w:bCs/>
          <w:sz w:val="21"/>
          <w:szCs w:val="21"/>
        </w:rPr>
        <w:t>(Abrimos nuestro sistema electrónico)</w:t>
      </w:r>
    </w:p>
    <w:p w14:paraId="121A80B0" w14:textId="77777777" w:rsidR="005C03CC" w:rsidRPr="002E3E61" w:rsidRDefault="005C03CC" w:rsidP="005C03CC">
      <w:pPr>
        <w:ind w:firstLine="567"/>
        <w:jc w:val="both"/>
        <w:rPr>
          <w:rFonts w:ascii="Abadi" w:hAnsi="Abadi"/>
          <w:b/>
          <w:bCs/>
          <w:sz w:val="21"/>
          <w:szCs w:val="21"/>
        </w:rPr>
      </w:pPr>
    </w:p>
    <w:p w14:paraId="79B5E358" w14:textId="3C71ECAD" w:rsidR="005C03CC" w:rsidRDefault="005C03CC" w:rsidP="005C03CC">
      <w:pPr>
        <w:ind w:firstLine="567"/>
        <w:jc w:val="both"/>
        <w:rPr>
          <w:rFonts w:ascii="Abadi" w:hAnsi="Abadi"/>
          <w:sz w:val="21"/>
          <w:szCs w:val="21"/>
        </w:rPr>
      </w:pPr>
      <w:r w:rsidRPr="00161200">
        <w:rPr>
          <w:rFonts w:ascii="Abadi" w:hAnsi="Abadi"/>
          <w:b/>
          <w:bCs/>
          <w:sz w:val="21"/>
          <w:szCs w:val="21"/>
        </w:rPr>
        <w:t>- El Secretario.-</w:t>
      </w:r>
      <w:r>
        <w:rPr>
          <w:rFonts w:ascii="Abadi" w:hAnsi="Abadi"/>
          <w:sz w:val="21"/>
          <w:szCs w:val="21"/>
        </w:rPr>
        <w:t xml:space="preserve"> </w:t>
      </w:r>
      <w:r w:rsidRPr="006813AA">
        <w:rPr>
          <w:rFonts w:ascii="Abadi" w:hAnsi="Abadi"/>
          <w:sz w:val="21"/>
          <w:szCs w:val="21"/>
        </w:rPr>
        <w:t xml:space="preserve"> </w:t>
      </w:r>
      <w:r>
        <w:rPr>
          <w:rFonts w:ascii="Abadi" w:hAnsi="Abadi"/>
          <w:sz w:val="21"/>
          <w:szCs w:val="21"/>
        </w:rPr>
        <w:t>E</w:t>
      </w:r>
      <w:r w:rsidRPr="006813AA">
        <w:rPr>
          <w:rFonts w:ascii="Abadi" w:hAnsi="Abadi"/>
          <w:sz w:val="21"/>
          <w:szCs w:val="21"/>
        </w:rPr>
        <w:t>n votación nominal por el sistema electrónico se pregunta a las diputadas y los diputados si se aprueba el dictamen puesto a su consideración</w:t>
      </w:r>
      <w:r>
        <w:rPr>
          <w:rFonts w:ascii="Abadi" w:hAnsi="Abadi"/>
          <w:sz w:val="21"/>
          <w:szCs w:val="21"/>
        </w:rPr>
        <w:t>. ¿Diputada Angelica Casillas? ¿Diputado Rolando Fortino?</w:t>
      </w:r>
    </w:p>
    <w:p w14:paraId="7991871B" w14:textId="77777777" w:rsidR="005C03CC" w:rsidRPr="006813AA" w:rsidRDefault="005C03CC" w:rsidP="005C03CC">
      <w:pPr>
        <w:ind w:firstLine="567"/>
        <w:jc w:val="both"/>
        <w:rPr>
          <w:rFonts w:ascii="Abadi" w:hAnsi="Abadi"/>
          <w:sz w:val="21"/>
          <w:szCs w:val="21"/>
        </w:rPr>
      </w:pPr>
    </w:p>
    <w:p w14:paraId="51DF90D7" w14:textId="1DC7A4E0" w:rsidR="005C03CC" w:rsidRDefault="005C03CC" w:rsidP="005C03CC">
      <w:pPr>
        <w:jc w:val="both"/>
        <w:rPr>
          <w:rFonts w:ascii="Abadi" w:hAnsi="Abadi"/>
          <w:sz w:val="21"/>
          <w:szCs w:val="21"/>
        </w:rPr>
      </w:pPr>
      <w:r>
        <w:rPr>
          <w:rFonts w:ascii="Abadi" w:hAnsi="Abadi"/>
          <w:sz w:val="21"/>
          <w:szCs w:val="21"/>
        </w:rPr>
        <w:t>¿F</w:t>
      </w:r>
      <w:r w:rsidRPr="006813AA">
        <w:rPr>
          <w:rFonts w:ascii="Abadi" w:hAnsi="Abadi"/>
          <w:sz w:val="21"/>
          <w:szCs w:val="21"/>
        </w:rPr>
        <w:t xml:space="preserve">alta alguna diputada o algún diputado </w:t>
      </w:r>
      <w:r>
        <w:rPr>
          <w:rFonts w:ascii="Abadi" w:hAnsi="Abadi"/>
          <w:sz w:val="21"/>
          <w:szCs w:val="21"/>
        </w:rPr>
        <w:t xml:space="preserve">de emitir </w:t>
      </w:r>
      <w:r w:rsidRPr="006813AA">
        <w:rPr>
          <w:rFonts w:ascii="Abadi" w:hAnsi="Abadi"/>
          <w:sz w:val="21"/>
          <w:szCs w:val="21"/>
        </w:rPr>
        <w:t>su voto</w:t>
      </w:r>
      <w:r>
        <w:rPr>
          <w:rFonts w:ascii="Abadi" w:hAnsi="Abadi"/>
          <w:sz w:val="21"/>
          <w:szCs w:val="21"/>
        </w:rPr>
        <w:t>?</w:t>
      </w:r>
    </w:p>
    <w:p w14:paraId="0F0CDD0D" w14:textId="77777777" w:rsidR="005C03CC" w:rsidRDefault="005C03CC" w:rsidP="005C03CC">
      <w:pPr>
        <w:jc w:val="both"/>
        <w:rPr>
          <w:rFonts w:ascii="Abadi" w:hAnsi="Abadi"/>
          <w:sz w:val="21"/>
          <w:szCs w:val="21"/>
        </w:rPr>
      </w:pPr>
    </w:p>
    <w:p w14:paraId="08C47B46" w14:textId="77777777" w:rsidR="005C03CC" w:rsidRDefault="005C03CC" w:rsidP="005C03CC">
      <w:pPr>
        <w:jc w:val="both"/>
        <w:rPr>
          <w:rFonts w:ascii="Abadi" w:hAnsi="Abadi"/>
          <w:b/>
          <w:bCs/>
          <w:sz w:val="21"/>
          <w:szCs w:val="21"/>
        </w:rPr>
      </w:pPr>
      <w:r w:rsidRPr="00F718D0">
        <w:rPr>
          <w:rFonts w:ascii="Abadi" w:hAnsi="Abadi"/>
          <w:b/>
          <w:bCs/>
          <w:sz w:val="21"/>
          <w:szCs w:val="21"/>
        </w:rPr>
        <w:t>(Se cierra nuestro sistema electronico)</w:t>
      </w:r>
    </w:p>
    <w:p w14:paraId="74B9E6DF" w14:textId="77777777" w:rsidR="005C03CC" w:rsidRPr="00F718D0" w:rsidRDefault="005C03CC" w:rsidP="005C03CC">
      <w:pPr>
        <w:jc w:val="both"/>
        <w:rPr>
          <w:rFonts w:ascii="Abadi" w:hAnsi="Abadi"/>
          <w:b/>
          <w:bCs/>
          <w:sz w:val="21"/>
          <w:szCs w:val="21"/>
        </w:rPr>
      </w:pPr>
      <w:r>
        <w:rPr>
          <w:noProof/>
        </w:rPr>
        <w:drawing>
          <wp:inline distT="0" distB="0" distL="0" distR="0" wp14:anchorId="3CDF1A50" wp14:editId="56013D5D">
            <wp:extent cx="1817263" cy="952915"/>
            <wp:effectExtent l="323850" t="323850" r="316865" b="32385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b="6734"/>
                    <a:stretch/>
                  </pic:blipFill>
                  <pic:spPr bwMode="auto">
                    <a:xfrm>
                      <a:off x="0" y="0"/>
                      <a:ext cx="1830397" cy="959802"/>
                    </a:xfrm>
                    <a:prstGeom prst="rect">
                      <a:avLst/>
                    </a:prstGeom>
                    <a:ln w="88900" cap="sq" cmpd="thickThin">
                      <a:solidFill>
                        <a:srgbClr val="000000"/>
                      </a:solidFill>
                      <a:prstDash val="solid"/>
                      <a:miter lim="800000"/>
                    </a:ln>
                    <a:effectLst>
                      <a:glow rad="228600">
                        <a:schemeClr val="accent3">
                          <a:satMod val="1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1ADAECEE" w14:textId="05461DC9" w:rsidR="005C03CC" w:rsidRDefault="00420105" w:rsidP="005C03CC">
      <w:pPr>
        <w:jc w:val="both"/>
        <w:rPr>
          <w:rFonts w:ascii="Abadi" w:hAnsi="Abadi"/>
          <w:sz w:val="21"/>
          <w:szCs w:val="21"/>
        </w:rPr>
      </w:pPr>
      <w:r>
        <w:rPr>
          <w:rFonts w:ascii="Abadi" w:hAnsi="Abadi"/>
          <w:b/>
          <w:bCs/>
          <w:sz w:val="21"/>
          <w:szCs w:val="21"/>
        </w:rPr>
        <w:tab/>
      </w:r>
      <w:r w:rsidR="005C03CC" w:rsidRPr="000E76C6">
        <w:rPr>
          <w:rFonts w:ascii="Abadi" w:hAnsi="Abadi"/>
          <w:b/>
          <w:bCs/>
          <w:sz w:val="21"/>
          <w:szCs w:val="21"/>
        </w:rPr>
        <w:t>- El Secretario.-</w:t>
      </w:r>
      <w:r w:rsidR="005C03CC">
        <w:rPr>
          <w:rFonts w:ascii="Abadi" w:hAnsi="Abadi"/>
          <w:sz w:val="21"/>
          <w:szCs w:val="21"/>
        </w:rPr>
        <w:t xml:space="preserve"> S</w:t>
      </w:r>
      <w:r w:rsidR="005C03CC" w:rsidRPr="006813AA">
        <w:rPr>
          <w:rFonts w:ascii="Abadi" w:hAnsi="Abadi"/>
          <w:sz w:val="21"/>
          <w:szCs w:val="21"/>
        </w:rPr>
        <w:t>e registraron 33 votos a favor</w:t>
      </w:r>
      <w:r w:rsidR="005C03CC">
        <w:rPr>
          <w:rFonts w:ascii="Abadi" w:hAnsi="Abadi"/>
          <w:sz w:val="21"/>
          <w:szCs w:val="21"/>
        </w:rPr>
        <w:t>.</w:t>
      </w:r>
    </w:p>
    <w:p w14:paraId="1147A9B4" w14:textId="77777777" w:rsidR="00420105" w:rsidRDefault="00420105" w:rsidP="005C03CC">
      <w:pPr>
        <w:jc w:val="both"/>
        <w:rPr>
          <w:rFonts w:ascii="Abadi" w:hAnsi="Abadi"/>
          <w:sz w:val="21"/>
          <w:szCs w:val="21"/>
        </w:rPr>
      </w:pPr>
    </w:p>
    <w:p w14:paraId="5BC019EF" w14:textId="774E70FE" w:rsidR="005C03CC" w:rsidRDefault="00420105" w:rsidP="005C03CC">
      <w:pPr>
        <w:jc w:val="both"/>
        <w:rPr>
          <w:rFonts w:ascii="Abadi" w:hAnsi="Abadi"/>
          <w:sz w:val="21"/>
          <w:szCs w:val="21"/>
        </w:rPr>
      </w:pPr>
      <w:r>
        <w:rPr>
          <w:rFonts w:ascii="Abadi" w:hAnsi="Abadi"/>
          <w:b/>
          <w:bCs/>
          <w:sz w:val="21"/>
          <w:szCs w:val="21"/>
        </w:rPr>
        <w:tab/>
      </w:r>
      <w:r w:rsidR="005C03CC" w:rsidRPr="000E76C6">
        <w:rPr>
          <w:rFonts w:ascii="Abadi" w:hAnsi="Abadi"/>
          <w:b/>
          <w:bCs/>
          <w:sz w:val="21"/>
          <w:szCs w:val="21"/>
        </w:rPr>
        <w:t>- El Presidente.-</w:t>
      </w:r>
      <w:r w:rsidR="005C03CC">
        <w:rPr>
          <w:rFonts w:ascii="Abadi" w:hAnsi="Abadi"/>
          <w:sz w:val="21"/>
          <w:szCs w:val="21"/>
        </w:rPr>
        <w:t xml:space="preserve"> El D</w:t>
      </w:r>
      <w:r w:rsidR="005C03CC" w:rsidRPr="006813AA">
        <w:rPr>
          <w:rFonts w:ascii="Abadi" w:hAnsi="Abadi"/>
          <w:sz w:val="21"/>
          <w:szCs w:val="21"/>
        </w:rPr>
        <w:t>ictamen ha sido aprobado por unanimidad</w:t>
      </w:r>
      <w:r w:rsidR="005C03CC">
        <w:rPr>
          <w:rFonts w:ascii="Abadi" w:hAnsi="Abadi"/>
          <w:sz w:val="21"/>
          <w:szCs w:val="21"/>
        </w:rPr>
        <w:t>.</w:t>
      </w:r>
    </w:p>
    <w:p w14:paraId="1751BDB5" w14:textId="77777777" w:rsidR="00F22036" w:rsidRDefault="00F22036" w:rsidP="005C03CC">
      <w:pPr>
        <w:jc w:val="both"/>
        <w:rPr>
          <w:rFonts w:ascii="Abadi" w:hAnsi="Abadi"/>
          <w:sz w:val="21"/>
          <w:szCs w:val="21"/>
        </w:rPr>
      </w:pPr>
    </w:p>
    <w:p w14:paraId="73AFDDDB" w14:textId="77777777" w:rsidR="005C03CC" w:rsidRPr="00C1170C" w:rsidRDefault="005C03CC" w:rsidP="00F22036">
      <w:pPr>
        <w:ind w:left="567" w:right="567"/>
        <w:jc w:val="both"/>
        <w:rPr>
          <w:rFonts w:ascii="Abadi" w:hAnsi="Abadi"/>
          <w:b/>
          <w:bCs/>
          <w:i/>
          <w:iCs/>
          <w:sz w:val="21"/>
          <w:szCs w:val="21"/>
          <w:u w:val="single"/>
        </w:rPr>
      </w:pPr>
      <w:r w:rsidRPr="00C1170C">
        <w:rPr>
          <w:rFonts w:ascii="Abadi" w:hAnsi="Abadi"/>
          <w:b/>
          <w:bCs/>
          <w:i/>
          <w:iCs/>
          <w:sz w:val="21"/>
          <w:szCs w:val="21"/>
          <w:u w:val="single"/>
        </w:rPr>
        <w:t>En consecuencia se instruye a la Secretaría General para que proceda al archivo definitivo de la iniciativa referida en el dictamen aprobado.</w:t>
      </w:r>
    </w:p>
    <w:p w14:paraId="06DBF863" w14:textId="586152CD" w:rsidR="0035609C" w:rsidRDefault="0035609C" w:rsidP="00E462B6">
      <w:pPr>
        <w:autoSpaceDE w:val="0"/>
        <w:autoSpaceDN w:val="0"/>
        <w:adjustRightInd w:val="0"/>
        <w:jc w:val="both"/>
        <w:rPr>
          <w:rFonts w:ascii="Abadi" w:hAnsi="Abadi" w:cs="ArialMT"/>
          <w:b/>
          <w:bCs/>
          <w:sz w:val="20"/>
          <w:szCs w:val="21"/>
        </w:rPr>
      </w:pPr>
    </w:p>
    <w:p w14:paraId="28B2635B" w14:textId="77777777" w:rsidR="00F22036" w:rsidRPr="0028553C" w:rsidRDefault="00F22036" w:rsidP="00E462B6">
      <w:pPr>
        <w:autoSpaceDE w:val="0"/>
        <w:autoSpaceDN w:val="0"/>
        <w:adjustRightInd w:val="0"/>
        <w:jc w:val="both"/>
        <w:rPr>
          <w:rFonts w:ascii="Abadi" w:hAnsi="Abadi" w:cs="ArialMT"/>
          <w:b/>
          <w:bCs/>
          <w:sz w:val="20"/>
          <w:szCs w:val="21"/>
        </w:rPr>
      </w:pPr>
    </w:p>
    <w:p w14:paraId="0741F744" w14:textId="307CF8AF" w:rsidR="00E462B6" w:rsidRDefault="00E462B6" w:rsidP="00E96070">
      <w:pPr>
        <w:pStyle w:val="Prrafodelista"/>
        <w:numPr>
          <w:ilvl w:val="0"/>
          <w:numId w:val="14"/>
        </w:numPr>
        <w:autoSpaceDE w:val="0"/>
        <w:autoSpaceDN w:val="0"/>
        <w:adjustRightInd w:val="0"/>
        <w:ind w:left="426"/>
        <w:contextualSpacing/>
        <w:jc w:val="both"/>
        <w:rPr>
          <w:rFonts w:ascii="Abadi" w:hAnsi="Abadi" w:cs="ArialMT"/>
          <w:b/>
          <w:bCs/>
          <w:sz w:val="20"/>
          <w:szCs w:val="21"/>
        </w:rPr>
      </w:pPr>
      <w:r w:rsidRPr="0028553C">
        <w:rPr>
          <w:rFonts w:ascii="Abadi" w:hAnsi="Abadi" w:cs="ArialMT"/>
          <w:b/>
          <w:bCs/>
          <w:sz w:val="20"/>
          <w:szCs w:val="21"/>
        </w:rPr>
        <w:t>DISCUSIÓN Y, EN SU CASO, APROBACIÓN DEL DICTAMEN SIGNADO POR LA COMISIÓN DE SEGURIDAD PÚBLICA Y COMUNICACIONES RELATIVO A LA INICIATIVA QUE REFORMA Y ADICIONA DIVERSOS ARTÍCULOS DE LA LEY DE MOVILIDAD DEL ESTADO DE GUANAJUATO Y SUS MUNICIPIOS FORMULADA ANTE LA SEXAGÉSIMA CUARTA LEGISLATURA, POR LA DIPUTADA Y EL DIPUTADO INTEGRANTES DEL GRUPO PARLAMENTARIO DEL PARTIDO VERDE ECOLOGISTA DE MÉXICO.</w:t>
      </w:r>
    </w:p>
    <w:p w14:paraId="455D195B" w14:textId="4CBB805F" w:rsidR="001B5125" w:rsidRDefault="001B5125" w:rsidP="001B5125">
      <w:pPr>
        <w:autoSpaceDE w:val="0"/>
        <w:autoSpaceDN w:val="0"/>
        <w:adjustRightInd w:val="0"/>
        <w:contextualSpacing/>
        <w:jc w:val="both"/>
        <w:rPr>
          <w:rFonts w:ascii="Abadi" w:hAnsi="Abadi" w:cs="ArialMT"/>
          <w:b/>
          <w:bCs/>
          <w:sz w:val="20"/>
          <w:szCs w:val="21"/>
        </w:rPr>
      </w:pPr>
    </w:p>
    <w:p w14:paraId="5038A8A2" w14:textId="77777777" w:rsidR="001B5125" w:rsidRPr="001B5125" w:rsidRDefault="001B5125" w:rsidP="001B5125">
      <w:pPr>
        <w:autoSpaceDE w:val="0"/>
        <w:autoSpaceDN w:val="0"/>
        <w:adjustRightInd w:val="0"/>
        <w:contextualSpacing/>
        <w:jc w:val="both"/>
        <w:rPr>
          <w:rFonts w:ascii="Abadi" w:hAnsi="Abadi" w:cs="ArialMT"/>
          <w:b/>
          <w:bCs/>
          <w:sz w:val="20"/>
          <w:szCs w:val="21"/>
        </w:rPr>
      </w:pPr>
    </w:p>
    <w:p w14:paraId="08B79943" w14:textId="22F383D6" w:rsidR="00E462B6" w:rsidRDefault="00E462B6" w:rsidP="00E462B6">
      <w:pPr>
        <w:autoSpaceDE w:val="0"/>
        <w:autoSpaceDN w:val="0"/>
        <w:adjustRightInd w:val="0"/>
        <w:jc w:val="both"/>
        <w:rPr>
          <w:rFonts w:ascii="Abadi" w:hAnsi="Abadi" w:cs="ArialMT"/>
          <w:b/>
          <w:bCs/>
          <w:sz w:val="20"/>
          <w:szCs w:val="21"/>
        </w:rPr>
      </w:pPr>
    </w:p>
    <w:p w14:paraId="56FA6E78" w14:textId="77777777" w:rsidR="00942867" w:rsidRPr="00942867" w:rsidRDefault="00942867" w:rsidP="00942867">
      <w:pPr>
        <w:spacing w:line="276" w:lineRule="auto"/>
        <w:rPr>
          <w:rFonts w:ascii="Abadi" w:eastAsiaTheme="minorHAnsi" w:hAnsi="Abadi" w:cs="Arial"/>
          <w:b/>
          <w:sz w:val="21"/>
          <w:szCs w:val="21"/>
          <w:lang w:val="es-MX" w:eastAsia="en-US"/>
        </w:rPr>
      </w:pPr>
      <w:r w:rsidRPr="00942867">
        <w:rPr>
          <w:rFonts w:ascii="Abadi" w:eastAsiaTheme="minorHAnsi" w:hAnsi="Abadi" w:cs="Arial"/>
          <w:b/>
          <w:sz w:val="21"/>
          <w:szCs w:val="21"/>
          <w:lang w:val="es-MX" w:eastAsia="en-US"/>
        </w:rPr>
        <w:t>Presidencia de la Mesa Directiva</w:t>
      </w:r>
    </w:p>
    <w:p w14:paraId="606CCBA8" w14:textId="77777777" w:rsidR="00942867" w:rsidRPr="00942867" w:rsidRDefault="00942867" w:rsidP="00942867">
      <w:pPr>
        <w:spacing w:line="276" w:lineRule="auto"/>
        <w:rPr>
          <w:rFonts w:ascii="Abadi" w:eastAsiaTheme="minorHAnsi" w:hAnsi="Abadi" w:cs="Arial"/>
          <w:b/>
          <w:sz w:val="21"/>
          <w:szCs w:val="21"/>
          <w:lang w:val="es-MX" w:eastAsia="en-US"/>
        </w:rPr>
      </w:pPr>
      <w:r w:rsidRPr="00942867">
        <w:rPr>
          <w:rFonts w:ascii="Abadi" w:eastAsiaTheme="minorHAnsi" w:hAnsi="Abadi" w:cs="Arial"/>
          <w:b/>
          <w:sz w:val="21"/>
          <w:szCs w:val="21"/>
          <w:lang w:val="es-MX" w:eastAsia="en-US"/>
        </w:rPr>
        <w:t>Congreso del Estado</w:t>
      </w:r>
    </w:p>
    <w:p w14:paraId="48CDD29C" w14:textId="77777777" w:rsidR="00942867" w:rsidRPr="00942867" w:rsidRDefault="00942867" w:rsidP="00942867">
      <w:pPr>
        <w:spacing w:line="276" w:lineRule="auto"/>
        <w:rPr>
          <w:rFonts w:ascii="Abadi" w:eastAsiaTheme="minorHAnsi" w:hAnsi="Abadi" w:cs="Arial"/>
          <w:b/>
          <w:sz w:val="21"/>
          <w:szCs w:val="21"/>
          <w:lang w:val="es-MX" w:eastAsia="en-US"/>
        </w:rPr>
      </w:pPr>
      <w:r w:rsidRPr="00942867">
        <w:rPr>
          <w:rFonts w:ascii="Abadi" w:eastAsiaTheme="minorHAnsi" w:hAnsi="Abadi" w:cs="Arial"/>
          <w:b/>
          <w:sz w:val="21"/>
          <w:szCs w:val="21"/>
          <w:lang w:val="es-MX" w:eastAsia="en-US"/>
        </w:rPr>
        <w:t>Presente</w:t>
      </w:r>
    </w:p>
    <w:p w14:paraId="1B1577B3" w14:textId="77777777" w:rsidR="00942867" w:rsidRPr="00942867" w:rsidRDefault="00942867" w:rsidP="00942867">
      <w:pPr>
        <w:spacing w:line="276" w:lineRule="auto"/>
        <w:rPr>
          <w:rFonts w:ascii="Abadi" w:eastAsiaTheme="minorHAnsi" w:hAnsi="Abadi" w:cs="Arial"/>
          <w:b/>
          <w:sz w:val="21"/>
          <w:szCs w:val="21"/>
          <w:lang w:val="es-MX" w:eastAsia="en-US"/>
        </w:rPr>
      </w:pPr>
    </w:p>
    <w:p w14:paraId="219DDD61" w14:textId="77777777" w:rsidR="00942867" w:rsidRPr="00942867" w:rsidRDefault="00942867" w:rsidP="002A06CB">
      <w:pPr>
        <w:jc w:val="both"/>
        <w:textAlignment w:val="baseline"/>
        <w:rPr>
          <w:rFonts w:ascii="Abadi" w:hAnsi="Abadi" w:cs="Arial"/>
          <w:sz w:val="21"/>
          <w:szCs w:val="21"/>
          <w:lang w:val="es-MX" w:eastAsia="es-MX"/>
        </w:rPr>
      </w:pPr>
      <w:r w:rsidRPr="00942867">
        <w:rPr>
          <w:rFonts w:ascii="Abadi" w:hAnsi="Abadi" w:cs="Arial"/>
          <w:sz w:val="21"/>
          <w:szCs w:val="21"/>
          <w:lang w:val="es-MX" w:eastAsia="es-MX"/>
        </w:rPr>
        <w:t>Correspondió a esta Comisión de Seguridad Pública y Comunicaciones conocer y dictaminar la iniciativa que reforma y adiciona diversos artículos a la Ley de Movilidad del Estado de Guanajuato y sus Municipios formulada, en la LXIV Legislatura, por la Diputada y el Diputado integrantes del Grupo Parlamentario del Partido Verde Ecologista de México. </w:t>
      </w:r>
    </w:p>
    <w:p w14:paraId="4042936D" w14:textId="77777777" w:rsidR="00942867" w:rsidRPr="00942867" w:rsidRDefault="00942867" w:rsidP="002A06CB">
      <w:pPr>
        <w:jc w:val="both"/>
        <w:textAlignment w:val="baseline"/>
        <w:rPr>
          <w:rFonts w:ascii="Abadi" w:hAnsi="Abadi" w:cs="Arial"/>
          <w:sz w:val="21"/>
          <w:szCs w:val="21"/>
          <w:lang w:val="es-MX" w:eastAsia="es-MX"/>
        </w:rPr>
      </w:pPr>
    </w:p>
    <w:p w14:paraId="551E977C" w14:textId="77777777" w:rsidR="00942867" w:rsidRPr="00942867" w:rsidRDefault="00942867" w:rsidP="002A06CB">
      <w:pPr>
        <w:jc w:val="both"/>
        <w:textAlignment w:val="baseline"/>
        <w:rPr>
          <w:rFonts w:ascii="Abadi" w:hAnsi="Abadi" w:cs="Arial"/>
          <w:sz w:val="21"/>
          <w:szCs w:val="21"/>
          <w:lang w:val="es-MX" w:eastAsia="es-MX"/>
        </w:rPr>
      </w:pPr>
      <w:r w:rsidRPr="00942867">
        <w:rPr>
          <w:rFonts w:ascii="Abadi" w:hAnsi="Abadi" w:cs="Arial"/>
          <w:sz w:val="21"/>
          <w:szCs w:val="21"/>
          <w:lang w:val="es-MX" w:eastAsia="es-MX"/>
        </w:rPr>
        <w:t xml:space="preserve">Con fundamento en el artículo 119 fracción III y 180 de la Ley Orgánica del Poder Legislativo del Estado de Guanajuato, concluida su discusión, se realiza el siguiente: </w:t>
      </w:r>
    </w:p>
    <w:p w14:paraId="11A6568D" w14:textId="77777777" w:rsidR="00942867" w:rsidRPr="00942867" w:rsidRDefault="00942867" w:rsidP="002A06CB">
      <w:pPr>
        <w:jc w:val="both"/>
        <w:textAlignment w:val="baseline"/>
        <w:rPr>
          <w:rFonts w:ascii="Abadi" w:hAnsi="Abadi" w:cs="Arial"/>
          <w:sz w:val="21"/>
          <w:szCs w:val="21"/>
          <w:lang w:val="es-MX" w:eastAsia="es-MX"/>
        </w:rPr>
      </w:pPr>
    </w:p>
    <w:p w14:paraId="35532548" w14:textId="77777777" w:rsidR="00942867" w:rsidRPr="00942867" w:rsidRDefault="00942867" w:rsidP="002A06CB">
      <w:pPr>
        <w:jc w:val="center"/>
        <w:textAlignment w:val="baseline"/>
        <w:rPr>
          <w:rFonts w:ascii="Abadi" w:hAnsi="Abadi" w:cs="Arial"/>
          <w:sz w:val="21"/>
          <w:szCs w:val="21"/>
          <w:lang w:val="es-MX" w:eastAsia="es-MX"/>
        </w:rPr>
      </w:pPr>
      <w:r w:rsidRPr="00942867">
        <w:rPr>
          <w:rFonts w:ascii="Abadi" w:hAnsi="Abadi" w:cs="Arial"/>
          <w:b/>
          <w:sz w:val="21"/>
          <w:szCs w:val="21"/>
          <w:lang w:val="es-MX" w:eastAsia="es-MX"/>
        </w:rPr>
        <w:t>D i c t a m e n</w:t>
      </w:r>
    </w:p>
    <w:p w14:paraId="51CA0EA0" w14:textId="77777777" w:rsidR="00942867" w:rsidRPr="00942867" w:rsidRDefault="00942867" w:rsidP="002A06CB">
      <w:pPr>
        <w:spacing w:after="160"/>
        <w:ind w:firstLine="840"/>
        <w:jc w:val="center"/>
        <w:rPr>
          <w:rFonts w:ascii="Abadi" w:eastAsiaTheme="minorHAnsi" w:hAnsi="Abadi" w:cs="Arial"/>
          <w:b/>
          <w:sz w:val="21"/>
          <w:szCs w:val="21"/>
          <w:lang w:val="es-MX" w:eastAsia="en-US"/>
        </w:rPr>
      </w:pPr>
    </w:p>
    <w:p w14:paraId="4F9FF74D" w14:textId="77777777" w:rsidR="00942867" w:rsidRPr="00942867" w:rsidRDefault="00942867" w:rsidP="002A06CB">
      <w:pPr>
        <w:spacing w:after="160"/>
        <w:rPr>
          <w:rFonts w:ascii="Abadi" w:eastAsia="Batang" w:hAnsi="Abadi" w:cs="Arial"/>
          <w:b/>
          <w:bCs/>
          <w:sz w:val="21"/>
          <w:szCs w:val="21"/>
          <w:lang w:val="es-MX" w:eastAsia="en-US"/>
        </w:rPr>
      </w:pPr>
      <w:r w:rsidRPr="00942867">
        <w:rPr>
          <w:rFonts w:ascii="Abadi" w:eastAsia="Batang" w:hAnsi="Abadi" w:cs="Arial"/>
          <w:b/>
          <w:smallCaps/>
          <w:sz w:val="21"/>
          <w:szCs w:val="21"/>
          <w:lang w:val="es-MX" w:eastAsia="en-US"/>
        </w:rPr>
        <w:t>I.</w:t>
      </w:r>
      <w:r w:rsidRPr="00942867">
        <w:rPr>
          <w:rFonts w:ascii="Abadi" w:eastAsia="Batang" w:hAnsi="Abadi" w:cs="Arial"/>
          <w:b/>
          <w:smallCaps/>
          <w:sz w:val="21"/>
          <w:szCs w:val="21"/>
          <w:lang w:val="es-MX" w:eastAsia="en-US"/>
        </w:rPr>
        <w:tab/>
      </w:r>
      <w:r w:rsidRPr="00942867">
        <w:rPr>
          <w:rFonts w:ascii="Abadi" w:eastAsia="Batang" w:hAnsi="Abadi" w:cs="Arial"/>
          <w:b/>
          <w:bCs/>
          <w:sz w:val="21"/>
          <w:szCs w:val="21"/>
          <w:lang w:val="es-MX" w:eastAsia="en-US"/>
        </w:rPr>
        <w:t>Del Proceso Legislativo.</w:t>
      </w:r>
    </w:p>
    <w:p w14:paraId="46DF2362" w14:textId="77777777" w:rsidR="00942867" w:rsidRPr="00942867" w:rsidRDefault="00942867" w:rsidP="002A06CB">
      <w:pPr>
        <w:spacing w:after="160"/>
        <w:rPr>
          <w:rFonts w:ascii="Abadi" w:eastAsia="Batang" w:hAnsi="Abadi" w:cs="Arial"/>
          <w:b/>
          <w:bCs/>
          <w:sz w:val="21"/>
          <w:szCs w:val="21"/>
          <w:lang w:val="es-MX" w:eastAsia="en-US"/>
        </w:rPr>
      </w:pPr>
    </w:p>
    <w:p w14:paraId="795D3B58" w14:textId="77777777" w:rsidR="00942867" w:rsidRPr="00942867" w:rsidRDefault="00942867" w:rsidP="002A06CB">
      <w:pPr>
        <w:spacing w:after="160"/>
        <w:jc w:val="both"/>
        <w:rPr>
          <w:rFonts w:ascii="Abadi" w:eastAsia="Batang" w:hAnsi="Abadi" w:cs="Arial"/>
          <w:sz w:val="21"/>
          <w:szCs w:val="21"/>
          <w:lang w:val="es-MX" w:eastAsia="en-US"/>
        </w:rPr>
      </w:pPr>
      <w:r w:rsidRPr="00942867">
        <w:rPr>
          <w:rFonts w:ascii="Abadi" w:eastAsia="Batang" w:hAnsi="Abadi" w:cs="Arial"/>
          <w:b/>
          <w:bCs/>
          <w:sz w:val="21"/>
          <w:szCs w:val="21"/>
          <w:lang w:val="es-MX" w:eastAsia="en-US"/>
        </w:rPr>
        <w:t>I.1.</w:t>
      </w:r>
      <w:r w:rsidRPr="00942867">
        <w:rPr>
          <w:rFonts w:ascii="Abadi" w:eastAsia="Batang" w:hAnsi="Abadi" w:cs="Arial"/>
          <w:b/>
          <w:bCs/>
          <w:sz w:val="21"/>
          <w:szCs w:val="21"/>
          <w:lang w:val="es-MX" w:eastAsia="en-US"/>
        </w:rPr>
        <w:tab/>
      </w:r>
      <w:r w:rsidRPr="00942867">
        <w:rPr>
          <w:rFonts w:ascii="Abadi" w:eastAsia="Batang" w:hAnsi="Abadi" w:cs="Arial"/>
          <w:sz w:val="21"/>
          <w:szCs w:val="21"/>
          <w:lang w:val="es-MX" w:eastAsia="en-US"/>
        </w:rPr>
        <w:t xml:space="preserve">En sesión del 16 de junio de 2020 se dio cuenta de la iniciativa referida, turnándose por la presidencia de la diputación permanente a la </w:t>
      </w:r>
      <w:r w:rsidRPr="00942867">
        <w:rPr>
          <w:rFonts w:ascii="Abadi" w:eastAsiaTheme="minorHAnsi" w:hAnsi="Abadi" w:cs="Arial"/>
          <w:sz w:val="21"/>
          <w:szCs w:val="21"/>
          <w:lang w:val="es-MX" w:eastAsia="en-US"/>
        </w:rPr>
        <w:t>Comisión de Seguridad Pública y Comunicaciones</w:t>
      </w:r>
      <w:r w:rsidRPr="00942867">
        <w:rPr>
          <w:rFonts w:ascii="Abadi" w:eastAsia="Batang" w:hAnsi="Abadi" w:cs="Arial"/>
          <w:sz w:val="21"/>
          <w:szCs w:val="21"/>
          <w:lang w:val="es-MX" w:eastAsia="en-US"/>
        </w:rPr>
        <w:t xml:space="preserve">, para su estudio y dictamen. Radicándose en fecha 22 de junio de 2020. </w:t>
      </w:r>
    </w:p>
    <w:p w14:paraId="08BA8985" w14:textId="77777777" w:rsidR="00942867" w:rsidRPr="00942867" w:rsidRDefault="00942867" w:rsidP="002A06CB">
      <w:pPr>
        <w:spacing w:after="160"/>
        <w:jc w:val="both"/>
        <w:rPr>
          <w:rFonts w:ascii="Abadi" w:eastAsia="Batang" w:hAnsi="Abadi" w:cs="Arial"/>
          <w:sz w:val="21"/>
          <w:szCs w:val="21"/>
          <w:lang w:val="es-MX" w:eastAsia="en-US"/>
        </w:rPr>
      </w:pPr>
      <w:r w:rsidRPr="00942867">
        <w:rPr>
          <w:rFonts w:ascii="Abadi" w:eastAsia="Batang" w:hAnsi="Abadi" w:cs="Arial"/>
          <w:b/>
          <w:sz w:val="21"/>
          <w:szCs w:val="21"/>
          <w:lang w:val="es-MX" w:eastAsia="en-US"/>
        </w:rPr>
        <w:t xml:space="preserve">I.2. </w:t>
      </w:r>
      <w:r w:rsidRPr="00942867">
        <w:rPr>
          <w:rFonts w:ascii="Abadi" w:eastAsia="Batang" w:hAnsi="Abadi" w:cs="Arial"/>
          <w:sz w:val="21"/>
          <w:szCs w:val="21"/>
          <w:lang w:val="es-MX" w:eastAsia="en-US"/>
        </w:rPr>
        <w:t xml:space="preserve">En reunión de la </w:t>
      </w:r>
      <w:r w:rsidRPr="00942867">
        <w:rPr>
          <w:rFonts w:ascii="Abadi" w:eastAsiaTheme="minorHAnsi" w:hAnsi="Abadi" w:cs="Arial"/>
          <w:sz w:val="21"/>
          <w:szCs w:val="21"/>
          <w:lang w:val="es-MX" w:eastAsia="en-US"/>
        </w:rPr>
        <w:t>Comisión de Seguridad Pública y Comunicaciones</w:t>
      </w:r>
      <w:r w:rsidRPr="00942867">
        <w:rPr>
          <w:rFonts w:ascii="Abadi" w:eastAsia="Batang" w:hAnsi="Abadi" w:cs="Arial"/>
          <w:sz w:val="21"/>
          <w:szCs w:val="21"/>
          <w:lang w:val="es-MX" w:eastAsia="en-US"/>
        </w:rPr>
        <w:t xml:space="preserve">, del 9 de septiembre de 2020, fue aprobada la metodología de trabajo para su análisis y dictaminación, en los siguientes términos: </w:t>
      </w:r>
    </w:p>
    <w:p w14:paraId="773A722E" w14:textId="77777777" w:rsidR="00942867" w:rsidRPr="00942867" w:rsidRDefault="00942867" w:rsidP="002A06CB">
      <w:pPr>
        <w:numPr>
          <w:ilvl w:val="0"/>
          <w:numId w:val="43"/>
        </w:numPr>
        <w:spacing w:after="160"/>
        <w:contextualSpacing/>
        <w:jc w:val="both"/>
        <w:rPr>
          <w:rFonts w:ascii="Abadi" w:eastAsiaTheme="minorHAnsi" w:hAnsi="Abadi" w:cs="Arial"/>
          <w:sz w:val="21"/>
          <w:szCs w:val="21"/>
          <w:lang w:val="es-MX" w:eastAsia="en-US"/>
        </w:rPr>
      </w:pPr>
      <w:r w:rsidRPr="00942867">
        <w:rPr>
          <w:rFonts w:ascii="Abadi" w:eastAsiaTheme="minorHAnsi" w:hAnsi="Abadi" w:cs="Arial"/>
          <w:sz w:val="21"/>
          <w:szCs w:val="21"/>
          <w:lang w:val="es-MX" w:eastAsia="en-US"/>
        </w:rPr>
        <w:t xml:space="preserve">Remisión por medio de oficio a la Coordinación General Jurídica del Gobierno del Estado; a la Secretaría de Gobierno con atención a la Unidad Administrativa de Movilidad y a los cuarenta y seis ayuntamientos del Estado. </w:t>
      </w:r>
    </w:p>
    <w:p w14:paraId="183B37C3" w14:textId="77777777" w:rsidR="00942867" w:rsidRPr="00942867" w:rsidRDefault="00942867" w:rsidP="002A06CB">
      <w:pPr>
        <w:numPr>
          <w:ilvl w:val="0"/>
          <w:numId w:val="43"/>
        </w:numPr>
        <w:spacing w:after="160"/>
        <w:contextualSpacing/>
        <w:jc w:val="both"/>
        <w:rPr>
          <w:rFonts w:ascii="Abadi" w:eastAsiaTheme="minorHAnsi" w:hAnsi="Abadi" w:cs="Arial"/>
          <w:sz w:val="21"/>
          <w:szCs w:val="21"/>
          <w:lang w:val="es-MX" w:eastAsia="en-US"/>
        </w:rPr>
      </w:pPr>
      <w:r w:rsidRPr="00942867">
        <w:rPr>
          <w:rFonts w:ascii="Abadi" w:eastAsiaTheme="minorHAnsi" w:hAnsi="Abadi" w:cs="Arial"/>
          <w:sz w:val="21"/>
          <w:szCs w:val="21"/>
          <w:lang w:val="es-MX" w:eastAsia="en-US"/>
        </w:rPr>
        <w:t xml:space="preserve">Por medio de correo electrónico: Diputadas y diputados integrantes de esta Sexagésima Cuarta Legislatura. </w:t>
      </w:r>
    </w:p>
    <w:p w14:paraId="32D700CB" w14:textId="77777777" w:rsidR="00942867" w:rsidRPr="00942867" w:rsidRDefault="00942867" w:rsidP="002A06CB">
      <w:pPr>
        <w:numPr>
          <w:ilvl w:val="0"/>
          <w:numId w:val="43"/>
        </w:numPr>
        <w:spacing w:after="160"/>
        <w:contextualSpacing/>
        <w:jc w:val="both"/>
        <w:rPr>
          <w:rFonts w:ascii="Abadi" w:eastAsiaTheme="minorHAnsi" w:hAnsi="Abadi" w:cs="Arial"/>
          <w:sz w:val="21"/>
          <w:szCs w:val="21"/>
          <w:lang w:val="es-MX" w:eastAsia="en-US"/>
        </w:rPr>
      </w:pPr>
      <w:r w:rsidRPr="00942867">
        <w:rPr>
          <w:rFonts w:ascii="Abadi" w:eastAsiaTheme="minorHAnsi" w:hAnsi="Abadi" w:cs="Arial"/>
          <w:sz w:val="21"/>
          <w:szCs w:val="21"/>
          <w:lang w:val="es-MX" w:eastAsia="en-US"/>
        </w:rPr>
        <w:t xml:space="preserve">Subir la iniciativa al portal del Congreso para consulta y participación ciudadana, por el término de quince días hábiles. </w:t>
      </w:r>
    </w:p>
    <w:p w14:paraId="7D463420" w14:textId="77777777" w:rsidR="00942867" w:rsidRPr="00942867" w:rsidRDefault="00942867" w:rsidP="002A06CB">
      <w:pPr>
        <w:numPr>
          <w:ilvl w:val="0"/>
          <w:numId w:val="43"/>
        </w:numPr>
        <w:spacing w:after="160"/>
        <w:contextualSpacing/>
        <w:jc w:val="both"/>
        <w:rPr>
          <w:rFonts w:ascii="Abadi" w:eastAsiaTheme="minorHAnsi" w:hAnsi="Abadi" w:cs="Arial"/>
          <w:sz w:val="21"/>
          <w:szCs w:val="21"/>
          <w:lang w:val="es-MX" w:eastAsia="en-US"/>
        </w:rPr>
      </w:pPr>
      <w:r w:rsidRPr="00942867">
        <w:rPr>
          <w:rFonts w:ascii="Abadi" w:eastAsiaTheme="minorHAnsi" w:hAnsi="Abadi" w:cs="Arial"/>
          <w:sz w:val="21"/>
          <w:szCs w:val="21"/>
          <w:lang w:val="es-MX" w:eastAsia="en-US"/>
        </w:rPr>
        <w:t xml:space="preserve">Elaboración, por parte de la secretaría técnica, de un comparativo y concentrado de observaciones que se formulen a la iniciativa. </w:t>
      </w:r>
    </w:p>
    <w:p w14:paraId="094A9B4D" w14:textId="77777777" w:rsidR="00942867" w:rsidRPr="00942867" w:rsidRDefault="00942867" w:rsidP="002A06CB">
      <w:pPr>
        <w:numPr>
          <w:ilvl w:val="0"/>
          <w:numId w:val="43"/>
        </w:numPr>
        <w:spacing w:after="160"/>
        <w:contextualSpacing/>
        <w:jc w:val="both"/>
        <w:rPr>
          <w:rFonts w:ascii="Abadi" w:eastAsiaTheme="minorHAnsi" w:hAnsi="Abadi" w:cs="Arial"/>
          <w:sz w:val="21"/>
          <w:szCs w:val="21"/>
          <w:lang w:val="es-MX" w:eastAsia="en-US"/>
        </w:rPr>
      </w:pPr>
      <w:r w:rsidRPr="00942867">
        <w:rPr>
          <w:rFonts w:ascii="Abadi" w:eastAsiaTheme="minorHAnsi" w:hAnsi="Abadi" w:cs="Arial"/>
          <w:sz w:val="21"/>
          <w:szCs w:val="21"/>
          <w:lang w:val="es-MX" w:eastAsia="en-US"/>
        </w:rPr>
        <w:t>Llevar a cabo una mesa o mesas de trabajo y reunión de la Comisión para seguimiento de la metodología y, en su caso, acuerdos.</w:t>
      </w:r>
    </w:p>
    <w:p w14:paraId="0E348D33" w14:textId="77777777" w:rsidR="00942867" w:rsidRPr="00942867" w:rsidRDefault="00942867" w:rsidP="002A06CB">
      <w:pPr>
        <w:spacing w:after="160"/>
        <w:jc w:val="both"/>
        <w:rPr>
          <w:rFonts w:ascii="Abadi" w:eastAsiaTheme="minorHAnsi" w:hAnsi="Abadi" w:cs="Arial"/>
          <w:sz w:val="21"/>
          <w:szCs w:val="21"/>
          <w:lang w:val="es-MX" w:eastAsia="en-US"/>
        </w:rPr>
      </w:pPr>
    </w:p>
    <w:p w14:paraId="1119A829" w14:textId="77777777" w:rsidR="00942867" w:rsidRPr="00942867" w:rsidRDefault="00942867" w:rsidP="002A06CB">
      <w:pPr>
        <w:spacing w:after="160"/>
        <w:jc w:val="both"/>
        <w:rPr>
          <w:rFonts w:ascii="Abadi" w:eastAsiaTheme="minorHAnsi" w:hAnsi="Abadi" w:cs="Arial"/>
          <w:sz w:val="21"/>
          <w:szCs w:val="21"/>
          <w:lang w:val="es-MX" w:eastAsia="en-US"/>
        </w:rPr>
      </w:pPr>
      <w:r w:rsidRPr="00942867">
        <w:rPr>
          <w:rFonts w:ascii="Abadi" w:eastAsia="Batang" w:hAnsi="Abadi" w:cs="Arial"/>
          <w:b/>
          <w:sz w:val="21"/>
          <w:szCs w:val="21"/>
          <w:lang w:val="es-MX" w:eastAsia="en-US"/>
        </w:rPr>
        <w:t>I.3.</w:t>
      </w:r>
      <w:r w:rsidRPr="00942867">
        <w:rPr>
          <w:rFonts w:ascii="Abadi" w:eastAsiaTheme="minorHAnsi" w:hAnsi="Abadi" w:cs="Arial"/>
          <w:sz w:val="21"/>
          <w:szCs w:val="21"/>
          <w:lang w:val="es-MX" w:eastAsia="en-US"/>
        </w:rPr>
        <w:t xml:space="preserve">  No habiéndose determinado acción posterior, en fecha 14 de septiembre de 2021, los diputados integrantes de la Comisión de Seguridad Pública y Comunicaciones de la Sexagésima Cuarta Legislatura, señalaron la referida propuesta de acuerdo como pendiente legislativo dentro del Informe de Actividades Legislativas, para que fuera la siguiente Legislatura quien se pronunciara al respecto.  </w:t>
      </w:r>
    </w:p>
    <w:p w14:paraId="2054DD13" w14:textId="77777777" w:rsidR="00942867" w:rsidRPr="00942867" w:rsidRDefault="00942867" w:rsidP="002A06CB">
      <w:pPr>
        <w:spacing w:after="160"/>
        <w:jc w:val="both"/>
        <w:rPr>
          <w:rFonts w:ascii="Abadi" w:eastAsiaTheme="minorHAnsi" w:hAnsi="Abadi" w:cs="Arial"/>
          <w:sz w:val="21"/>
          <w:szCs w:val="21"/>
          <w:lang w:val="es-MX" w:eastAsia="en-US"/>
        </w:rPr>
      </w:pPr>
    </w:p>
    <w:p w14:paraId="72B1F3DF" w14:textId="77777777" w:rsidR="00942867" w:rsidRPr="00942867" w:rsidRDefault="00942867" w:rsidP="002A06CB">
      <w:pPr>
        <w:jc w:val="both"/>
        <w:textAlignment w:val="baseline"/>
        <w:rPr>
          <w:rFonts w:ascii="Abadi" w:eastAsiaTheme="minorHAnsi" w:hAnsi="Abadi" w:cs="Arial"/>
          <w:sz w:val="21"/>
          <w:szCs w:val="21"/>
          <w:lang w:val="es-MX" w:eastAsia="en-US"/>
        </w:rPr>
      </w:pPr>
      <w:r w:rsidRPr="00942867">
        <w:rPr>
          <w:rFonts w:ascii="Abadi" w:hAnsi="Abadi" w:cs="Arial"/>
          <w:b/>
          <w:sz w:val="21"/>
          <w:szCs w:val="21"/>
          <w:lang w:val="es-MX" w:eastAsia="es-MX"/>
        </w:rPr>
        <w:t xml:space="preserve">I.4. </w:t>
      </w:r>
      <w:r w:rsidRPr="00942867">
        <w:rPr>
          <w:rFonts w:ascii="Abadi" w:eastAsiaTheme="minorHAnsi" w:hAnsi="Abadi" w:cs="Arial"/>
          <w:sz w:val="21"/>
          <w:szCs w:val="21"/>
          <w:lang w:val="es-MX" w:eastAsia="en-US"/>
        </w:rPr>
        <w:t>Habiéndose instalado la Comisión de Seguridad Pública y Comunicaciones de la Sexagésima Quinta Legislatura, en fecha 12 de octubre de 2022, nos impusimos del contenido de los pendientes legislativos, encontrándose entre ellos la iniciativa que se dictamina.</w:t>
      </w:r>
    </w:p>
    <w:p w14:paraId="2FE5A747" w14:textId="77777777" w:rsidR="00942867" w:rsidRPr="00942867" w:rsidRDefault="00942867" w:rsidP="002A06CB">
      <w:pPr>
        <w:spacing w:after="160"/>
        <w:jc w:val="both"/>
        <w:rPr>
          <w:rFonts w:ascii="Abadi" w:eastAsiaTheme="minorHAnsi" w:hAnsi="Abadi" w:cs="Arial"/>
          <w:sz w:val="21"/>
          <w:szCs w:val="21"/>
          <w:lang w:val="es-MX" w:eastAsia="en-US"/>
        </w:rPr>
      </w:pPr>
    </w:p>
    <w:p w14:paraId="184F0C9D" w14:textId="77777777" w:rsidR="00942867" w:rsidRPr="00942867" w:rsidRDefault="00942867" w:rsidP="002A06CB">
      <w:pPr>
        <w:widowControl w:val="0"/>
        <w:autoSpaceDE w:val="0"/>
        <w:autoSpaceDN w:val="0"/>
        <w:jc w:val="both"/>
        <w:rPr>
          <w:rFonts w:ascii="Abadi" w:eastAsia="Batang" w:hAnsi="Abadi" w:cs="Arial"/>
          <w:sz w:val="21"/>
          <w:szCs w:val="21"/>
          <w:lang w:val="es-MX" w:eastAsia="en-US"/>
        </w:rPr>
      </w:pPr>
      <w:r w:rsidRPr="00942867">
        <w:rPr>
          <w:rFonts w:ascii="Abadi" w:eastAsia="Batang" w:hAnsi="Abadi" w:cs="Arial"/>
          <w:b/>
          <w:bCs/>
          <w:sz w:val="21"/>
          <w:szCs w:val="21"/>
          <w:lang w:val="es-MX" w:eastAsia="en-US"/>
        </w:rPr>
        <w:t>I.5.</w:t>
      </w:r>
      <w:r w:rsidRPr="00942867">
        <w:rPr>
          <w:rFonts w:ascii="Abadi" w:eastAsia="Batang" w:hAnsi="Abadi" w:cs="Arial"/>
          <w:sz w:val="21"/>
          <w:szCs w:val="21"/>
          <w:lang w:val="es-MX" w:eastAsia="en-US"/>
        </w:rPr>
        <w:t xml:space="preserve"> La presidencia de la </w:t>
      </w:r>
      <w:r w:rsidRPr="00942867">
        <w:rPr>
          <w:rFonts w:ascii="Abadi" w:eastAsiaTheme="minorHAnsi" w:hAnsi="Abadi" w:cs="Arial"/>
          <w:sz w:val="21"/>
          <w:szCs w:val="21"/>
          <w:lang w:val="es-MX" w:eastAsia="en-US"/>
        </w:rPr>
        <w:t>Comisión</w:t>
      </w:r>
      <w:r w:rsidRPr="00942867">
        <w:rPr>
          <w:rFonts w:ascii="Abadi" w:eastAsiaTheme="minorHAnsi" w:hAnsi="Abadi" w:cs="Arial"/>
          <w:sz w:val="21"/>
          <w:szCs w:val="21"/>
          <w:lang w:val="en-US" w:eastAsia="en-US"/>
        </w:rPr>
        <w:t xml:space="preserve"> de Seguridad Pública y Comunicaciones </w:t>
      </w:r>
      <w:r w:rsidRPr="00942867">
        <w:rPr>
          <w:rFonts w:ascii="Abadi" w:eastAsia="Batang" w:hAnsi="Abadi" w:cs="Arial"/>
          <w:sz w:val="21"/>
          <w:szCs w:val="21"/>
          <w:lang w:val="es-MX" w:eastAsia="en-US"/>
        </w:rPr>
        <w:t>instruyó a la Secretaría Técnica para que elaborara el proyecto de dictamen en los términos del artículo 169 y conforme a lo dispuesto en los artículos 94, fracción VII y 272 fracción VIII inciso e) de nuestra Ley Orgánica, mismo que fue materia de revisión por la diputada y los diputados integrantes de esta Comisión Dictaminadora.</w:t>
      </w:r>
    </w:p>
    <w:p w14:paraId="2BA390E5" w14:textId="77777777" w:rsidR="00942867" w:rsidRPr="00942867" w:rsidRDefault="00942867" w:rsidP="002A06CB">
      <w:pPr>
        <w:spacing w:after="160"/>
        <w:jc w:val="both"/>
        <w:rPr>
          <w:rFonts w:ascii="Abadi" w:eastAsia="Batang" w:hAnsi="Abadi" w:cs="Arial"/>
          <w:b/>
          <w:sz w:val="21"/>
          <w:szCs w:val="21"/>
          <w:lang w:val="es-MX" w:eastAsia="en-US"/>
        </w:rPr>
      </w:pPr>
    </w:p>
    <w:p w14:paraId="3CFA5AF6" w14:textId="77777777" w:rsidR="00942867" w:rsidRPr="00942867" w:rsidRDefault="00942867" w:rsidP="002A06CB">
      <w:pPr>
        <w:spacing w:after="160"/>
        <w:jc w:val="both"/>
        <w:rPr>
          <w:rFonts w:ascii="Abadi" w:eastAsia="Batang" w:hAnsi="Abadi" w:cs="Arial"/>
          <w:b/>
          <w:sz w:val="21"/>
          <w:szCs w:val="21"/>
          <w:lang w:val="es-MX" w:eastAsia="en-US"/>
        </w:rPr>
      </w:pPr>
      <w:r w:rsidRPr="00942867">
        <w:rPr>
          <w:rFonts w:ascii="Abadi" w:eastAsia="Batang" w:hAnsi="Abadi" w:cs="Arial"/>
          <w:b/>
          <w:sz w:val="21"/>
          <w:szCs w:val="21"/>
          <w:lang w:val="es-MX" w:eastAsia="en-US"/>
        </w:rPr>
        <w:t>II. Contenido de la iniciativa.</w:t>
      </w:r>
    </w:p>
    <w:p w14:paraId="6B806AED" w14:textId="77777777" w:rsidR="00942867" w:rsidRPr="00942867" w:rsidRDefault="00942867" w:rsidP="002A06CB">
      <w:pPr>
        <w:spacing w:after="160"/>
        <w:ind w:firstLine="708"/>
        <w:jc w:val="both"/>
        <w:rPr>
          <w:rFonts w:ascii="Abadi" w:eastAsiaTheme="minorHAnsi" w:hAnsi="Abadi" w:cs="Arial"/>
          <w:sz w:val="21"/>
          <w:szCs w:val="21"/>
          <w:lang w:val="es-MX" w:eastAsia="en-US"/>
        </w:rPr>
      </w:pPr>
      <w:r w:rsidRPr="00942867">
        <w:rPr>
          <w:rFonts w:ascii="Abadi" w:eastAsiaTheme="minorHAnsi" w:hAnsi="Abadi" w:cs="Arial"/>
          <w:sz w:val="21"/>
          <w:szCs w:val="21"/>
          <w:lang w:val="es-MX" w:eastAsia="en-US"/>
        </w:rPr>
        <w:t>Los objetivos sobre los cuales versa el sustento de la iniciativa</w:t>
      </w:r>
      <w:r w:rsidRPr="00942867">
        <w:rPr>
          <w:rFonts w:ascii="Abadi" w:eastAsia="Batang" w:hAnsi="Abadi" w:cs="Arial"/>
          <w:sz w:val="21"/>
          <w:szCs w:val="21"/>
          <w:lang w:val="es-MX" w:eastAsia="en-US"/>
        </w:rPr>
        <w:t xml:space="preserve"> </w:t>
      </w:r>
      <w:r w:rsidRPr="00942867">
        <w:rPr>
          <w:rFonts w:ascii="Abadi" w:eastAsiaTheme="minorHAnsi" w:hAnsi="Abadi" w:cs="Arial"/>
          <w:sz w:val="21"/>
          <w:szCs w:val="21"/>
          <w:lang w:val="es-MX" w:eastAsia="en-US"/>
        </w:rPr>
        <w:t>se conocen a través de lo manifestado por la y el iniciante en la exposición de motivos:</w:t>
      </w:r>
    </w:p>
    <w:p w14:paraId="389304F4" w14:textId="77777777" w:rsidR="00942867" w:rsidRPr="00942867" w:rsidRDefault="00942867" w:rsidP="002A06CB">
      <w:pPr>
        <w:ind w:right="616"/>
        <w:jc w:val="both"/>
        <w:rPr>
          <w:rFonts w:ascii="Abadi" w:eastAsiaTheme="minorHAnsi" w:hAnsi="Abadi" w:cs="Arial"/>
          <w:i/>
          <w:iCs/>
          <w:sz w:val="21"/>
          <w:szCs w:val="21"/>
          <w:lang w:val="es-MX" w:eastAsia="en-US"/>
        </w:rPr>
      </w:pPr>
    </w:p>
    <w:p w14:paraId="7B31CC0B" w14:textId="77777777" w:rsidR="00942867" w:rsidRPr="00942867" w:rsidRDefault="00942867" w:rsidP="002A06CB">
      <w:pPr>
        <w:ind w:left="567" w:right="616" w:firstLine="708"/>
        <w:jc w:val="both"/>
        <w:rPr>
          <w:rFonts w:ascii="Abadi" w:eastAsiaTheme="minorHAnsi" w:hAnsi="Abadi" w:cs="Arial"/>
          <w:i/>
          <w:iCs/>
          <w:sz w:val="21"/>
          <w:szCs w:val="21"/>
          <w:lang w:val="es-MX" w:eastAsia="en-US"/>
        </w:rPr>
      </w:pPr>
      <w:r w:rsidRPr="00942867">
        <w:rPr>
          <w:rFonts w:ascii="Abadi" w:eastAsiaTheme="minorHAnsi" w:hAnsi="Abadi" w:cs="Arial"/>
          <w:i/>
          <w:iCs/>
          <w:sz w:val="21"/>
          <w:szCs w:val="21"/>
          <w:lang w:val="es-MX" w:eastAsia="en-US"/>
        </w:rPr>
        <w:t>(…) de acuerdo con el análisis del Instituto de Políticas para el Transporte y el Desarrollo, los ordenamientos actuales en este rubro parten de la premisa</w:t>
      </w:r>
      <w:r w:rsidRPr="00942867">
        <w:rPr>
          <w:rFonts w:ascii="Abadi" w:eastAsiaTheme="minorHAnsi" w:hAnsi="Abadi" w:cstheme="minorBidi"/>
          <w:sz w:val="21"/>
          <w:szCs w:val="21"/>
          <w:lang w:val="es-MX" w:eastAsia="en-US"/>
        </w:rPr>
        <w:t xml:space="preserve"> </w:t>
      </w:r>
      <w:r w:rsidRPr="00942867">
        <w:rPr>
          <w:rFonts w:ascii="Abadi" w:eastAsiaTheme="minorHAnsi" w:hAnsi="Abadi" w:cs="Arial"/>
          <w:i/>
          <w:iCs/>
          <w:sz w:val="21"/>
          <w:szCs w:val="21"/>
          <w:lang w:val="es-MX" w:eastAsia="en-US"/>
        </w:rPr>
        <w:t>errónea de que un mayor espacio para estacionamiento ayuda a mitigar la congestión vial. En la práctica, esto representa un subsidio al automóvil ya que al asegurar el estacionamiento en el origen y destino de un viaje se incentiva su uso, La garantía de estacionamiento abundante y accesible se traduce en más congestión vehicular y mayores emisiones de contaminantes, lo que repercute negativamente en la salud y productividad de las personas.</w:t>
      </w:r>
    </w:p>
    <w:p w14:paraId="406DC62B" w14:textId="77777777" w:rsidR="00942867" w:rsidRPr="00942867" w:rsidRDefault="00942867" w:rsidP="002A06CB">
      <w:pPr>
        <w:ind w:left="567" w:right="616" w:firstLine="708"/>
        <w:jc w:val="both"/>
        <w:rPr>
          <w:rFonts w:ascii="Abadi" w:eastAsiaTheme="minorHAnsi" w:hAnsi="Abadi" w:cs="Arial"/>
          <w:i/>
          <w:iCs/>
          <w:sz w:val="21"/>
          <w:szCs w:val="21"/>
          <w:lang w:val="es-MX" w:eastAsia="en-US"/>
        </w:rPr>
      </w:pPr>
    </w:p>
    <w:p w14:paraId="4E584958" w14:textId="77777777" w:rsidR="00942867" w:rsidRPr="00942867" w:rsidRDefault="00942867" w:rsidP="002A06CB">
      <w:pPr>
        <w:ind w:left="567" w:right="616" w:firstLine="708"/>
        <w:jc w:val="both"/>
        <w:rPr>
          <w:rFonts w:ascii="Abadi" w:eastAsiaTheme="minorHAnsi" w:hAnsi="Abadi" w:cs="Arial"/>
          <w:i/>
          <w:iCs/>
          <w:sz w:val="21"/>
          <w:szCs w:val="21"/>
          <w:lang w:val="es-MX" w:eastAsia="en-US"/>
        </w:rPr>
      </w:pPr>
      <w:r w:rsidRPr="00942867">
        <w:rPr>
          <w:rFonts w:ascii="Abadi" w:eastAsiaTheme="minorHAnsi" w:hAnsi="Abadi" w:cs="Arial"/>
          <w:i/>
          <w:iCs/>
          <w:sz w:val="21"/>
          <w:szCs w:val="21"/>
          <w:lang w:val="es-MX" w:eastAsia="en-US"/>
        </w:rPr>
        <w:t>Sin embargo, uno de los problemas que se ha vislumbrado en los últimos años en el estado de Guanajuato, es la proliferación y construcción de estacionamientos sin contar con una planeación estratégica en la ubicación de cada uno de ellos. Es decir, no existe una provisión, planeación y funcionamiento correcta de los estacionamientos en cada uno de los 46 municipios del estado, ya que cada autoridad los regula de diferente manera, por la ambigüedad de los conceptos y de los propios instrumentos jurídicos.</w:t>
      </w:r>
    </w:p>
    <w:p w14:paraId="2C029A20" w14:textId="77777777" w:rsidR="00942867" w:rsidRPr="00942867" w:rsidRDefault="00942867" w:rsidP="002A06CB">
      <w:pPr>
        <w:ind w:left="567" w:right="616" w:firstLine="708"/>
        <w:jc w:val="both"/>
        <w:rPr>
          <w:rFonts w:ascii="Abadi" w:eastAsiaTheme="minorHAnsi" w:hAnsi="Abadi" w:cs="Arial"/>
          <w:i/>
          <w:iCs/>
          <w:sz w:val="21"/>
          <w:szCs w:val="21"/>
          <w:lang w:val="es-MX" w:eastAsia="en-US"/>
        </w:rPr>
      </w:pPr>
    </w:p>
    <w:p w14:paraId="7ADF7957" w14:textId="77777777" w:rsidR="00942867" w:rsidRPr="00942867" w:rsidRDefault="00942867" w:rsidP="002A06CB">
      <w:pPr>
        <w:ind w:left="567" w:right="616" w:firstLine="708"/>
        <w:jc w:val="both"/>
        <w:rPr>
          <w:rFonts w:ascii="Abadi" w:eastAsiaTheme="minorHAnsi" w:hAnsi="Abadi" w:cs="Arial"/>
          <w:i/>
          <w:iCs/>
          <w:sz w:val="21"/>
          <w:szCs w:val="21"/>
          <w:lang w:val="es-MX" w:eastAsia="en-US"/>
        </w:rPr>
      </w:pPr>
      <w:r w:rsidRPr="00942867">
        <w:rPr>
          <w:rFonts w:ascii="Abadi" w:eastAsiaTheme="minorHAnsi" w:hAnsi="Abadi" w:cs="Arial"/>
          <w:i/>
          <w:iCs/>
          <w:sz w:val="21"/>
          <w:szCs w:val="21"/>
          <w:lang w:val="es-MX" w:eastAsia="en-US"/>
        </w:rPr>
        <w:t>Esto es de suma importancia, porque, para que las presentes propuestas de reforma a las políticas del servicio de estacionamientos funcionen, es necesario lograr la participación de las autoridades estatales y municipales. No solamente en la regulación normativa de establecer límites y obligaciones a los prestadores de dicho servicio. Si no, impulsar a dichos prestadores para que generen y crean una estrategia integral de la prestación del servicio de estacionamientos públicos, con acciones concretas para una solución global.</w:t>
      </w:r>
    </w:p>
    <w:p w14:paraId="6A3EF5E4" w14:textId="77777777" w:rsidR="00942867" w:rsidRPr="00942867" w:rsidRDefault="00942867" w:rsidP="002A06CB">
      <w:pPr>
        <w:ind w:left="567" w:right="616" w:firstLine="708"/>
        <w:jc w:val="both"/>
        <w:rPr>
          <w:rFonts w:ascii="Abadi" w:eastAsiaTheme="minorHAnsi" w:hAnsi="Abadi" w:cs="Arial"/>
          <w:i/>
          <w:iCs/>
          <w:sz w:val="21"/>
          <w:szCs w:val="21"/>
          <w:lang w:val="es-MX" w:eastAsia="en-US"/>
        </w:rPr>
      </w:pPr>
    </w:p>
    <w:p w14:paraId="0C6C0C44" w14:textId="77777777" w:rsidR="00942867" w:rsidRPr="00942867" w:rsidRDefault="00942867" w:rsidP="002A06CB">
      <w:pPr>
        <w:ind w:left="567" w:right="616" w:firstLine="708"/>
        <w:jc w:val="both"/>
        <w:rPr>
          <w:rFonts w:ascii="Abadi" w:eastAsiaTheme="minorHAnsi" w:hAnsi="Abadi" w:cs="Arial"/>
          <w:i/>
          <w:iCs/>
          <w:sz w:val="21"/>
          <w:szCs w:val="21"/>
          <w:lang w:val="es-MX" w:eastAsia="en-US"/>
        </w:rPr>
      </w:pPr>
      <w:r w:rsidRPr="00942867">
        <w:rPr>
          <w:rFonts w:ascii="Abadi" w:eastAsiaTheme="minorHAnsi" w:hAnsi="Abadi" w:cs="Arial"/>
          <w:i/>
          <w:iCs/>
          <w:sz w:val="21"/>
          <w:szCs w:val="21"/>
          <w:lang w:val="es-MX" w:eastAsia="en-US"/>
        </w:rPr>
        <w:t>Esto permitirá resolver uno de los problemas más demandantes de las zonas urbanas en el estado de Guanajuato. Logrando con ello, crear un andamiaje normativo en la prestación del servicio de estacionamiento público y dar paso una verdadera política de movilidad en el estado.</w:t>
      </w:r>
    </w:p>
    <w:p w14:paraId="281F376A" w14:textId="77777777" w:rsidR="00942867" w:rsidRPr="00942867" w:rsidRDefault="00942867" w:rsidP="002A06CB">
      <w:pPr>
        <w:ind w:left="567" w:right="616" w:firstLine="708"/>
        <w:jc w:val="both"/>
        <w:rPr>
          <w:rFonts w:ascii="Abadi" w:eastAsiaTheme="minorHAnsi" w:hAnsi="Abadi" w:cs="Arial"/>
          <w:i/>
          <w:iCs/>
          <w:sz w:val="21"/>
          <w:szCs w:val="21"/>
          <w:lang w:val="es-MX" w:eastAsia="en-US"/>
        </w:rPr>
      </w:pPr>
    </w:p>
    <w:p w14:paraId="509DA583" w14:textId="77777777" w:rsidR="00942867" w:rsidRPr="00942867" w:rsidRDefault="00942867" w:rsidP="002A06CB">
      <w:pPr>
        <w:ind w:left="567" w:right="616" w:firstLine="708"/>
        <w:jc w:val="both"/>
        <w:rPr>
          <w:rFonts w:ascii="Abadi" w:eastAsiaTheme="minorHAnsi" w:hAnsi="Abadi" w:cs="Arial"/>
          <w:i/>
          <w:iCs/>
          <w:sz w:val="21"/>
          <w:szCs w:val="21"/>
          <w:lang w:val="es-MX" w:eastAsia="en-US"/>
        </w:rPr>
      </w:pPr>
      <w:r w:rsidRPr="00942867">
        <w:rPr>
          <w:rFonts w:ascii="Abadi" w:eastAsiaTheme="minorHAnsi" w:hAnsi="Abadi" w:cs="Arial"/>
          <w:i/>
          <w:iCs/>
          <w:sz w:val="21"/>
          <w:szCs w:val="21"/>
          <w:lang w:val="es-MX" w:eastAsia="en-US"/>
        </w:rPr>
        <w:t>Con esta iniciativa, estaríamos contribuyendo al cumplimiento de la "Agenda 2030 para el Desarrollo Sostenible" de la Organización de las Naciones Unidas, buscando alcanzar las metas del objetivo "Salud y Bienestar" para garantizar una vida sana y promover el bienestar de todas las personas de todas las edades6; así como el objetivo "Acción por el Clima" incorporando medidas relativas al cambio climático en las políticas y planes nacionales.</w:t>
      </w:r>
    </w:p>
    <w:p w14:paraId="4AE381C8" w14:textId="77777777" w:rsidR="00942867" w:rsidRPr="00942867" w:rsidRDefault="00942867" w:rsidP="002A06CB">
      <w:pPr>
        <w:ind w:left="567" w:right="616" w:firstLine="708"/>
        <w:jc w:val="both"/>
        <w:rPr>
          <w:rFonts w:ascii="Abadi" w:eastAsiaTheme="minorHAnsi" w:hAnsi="Abadi" w:cs="Arial"/>
          <w:i/>
          <w:iCs/>
          <w:sz w:val="21"/>
          <w:szCs w:val="21"/>
          <w:lang w:val="es-MX" w:eastAsia="en-US"/>
        </w:rPr>
      </w:pPr>
    </w:p>
    <w:p w14:paraId="14F6C4C7" w14:textId="77777777" w:rsidR="00942867" w:rsidRPr="00942867" w:rsidRDefault="00942867" w:rsidP="002A06CB">
      <w:pPr>
        <w:spacing w:after="160"/>
        <w:jc w:val="both"/>
        <w:rPr>
          <w:rFonts w:ascii="Abadi" w:eastAsiaTheme="minorHAnsi" w:hAnsi="Abadi" w:cs="Arial"/>
          <w:sz w:val="21"/>
          <w:szCs w:val="21"/>
          <w:lang w:val="es-MX" w:eastAsia="en-US"/>
        </w:rPr>
      </w:pPr>
      <w:r w:rsidRPr="00942867">
        <w:rPr>
          <w:rFonts w:ascii="Abadi" w:eastAsiaTheme="minorHAnsi" w:hAnsi="Abadi" w:cs="Arial"/>
          <w:sz w:val="21"/>
          <w:szCs w:val="21"/>
          <w:lang w:val="es-MX" w:eastAsia="en-US"/>
        </w:rPr>
        <w:t>Por cuanto al contenido normativo se propone, en lo medular, lo siguiente:</w:t>
      </w:r>
    </w:p>
    <w:p w14:paraId="59E7C814" w14:textId="77777777" w:rsidR="00942867" w:rsidRPr="00942867" w:rsidRDefault="00942867" w:rsidP="002A06CB">
      <w:pPr>
        <w:ind w:left="567" w:right="616" w:firstLine="708"/>
        <w:jc w:val="both"/>
        <w:rPr>
          <w:rFonts w:ascii="Abadi" w:eastAsiaTheme="minorHAnsi" w:hAnsi="Abadi" w:cs="Arial"/>
          <w:i/>
          <w:iCs/>
          <w:sz w:val="21"/>
          <w:szCs w:val="21"/>
          <w:lang w:val="es-MX" w:eastAsia="en-US"/>
        </w:rPr>
      </w:pPr>
    </w:p>
    <w:p w14:paraId="2BF3938A" w14:textId="77777777" w:rsidR="00942867" w:rsidRPr="00942867" w:rsidRDefault="00942867" w:rsidP="002A06CB">
      <w:pPr>
        <w:ind w:left="567" w:right="616" w:firstLine="708"/>
        <w:jc w:val="both"/>
        <w:rPr>
          <w:rFonts w:ascii="Abadi" w:eastAsiaTheme="minorHAnsi" w:hAnsi="Abadi" w:cs="Arial"/>
          <w:i/>
          <w:iCs/>
          <w:sz w:val="21"/>
          <w:szCs w:val="21"/>
          <w:lang w:val="es-MX" w:eastAsia="en-US"/>
        </w:rPr>
      </w:pPr>
      <w:r w:rsidRPr="00942867">
        <w:rPr>
          <w:rFonts w:ascii="Abadi" w:eastAsiaTheme="minorHAnsi" w:hAnsi="Abadi" w:cs="Arial"/>
          <w:i/>
          <w:iCs/>
          <w:sz w:val="21"/>
          <w:szCs w:val="21"/>
          <w:lang w:val="es-MX" w:eastAsia="en-US"/>
        </w:rPr>
        <w:t>Adicionar un segundo párrafo al inciso e) de la fracción I del artículo 5 de la referida Ley, relativo a la base de movilidad sustentable, con la finalidad de establecer modalidades y restricciones a la propiedad pública y privada con el objeto de que el uso del suelo con destino a estacionamiento público o particular con servicio al público, para que se ubique en los lugares estratégicos con el objeto de lograr una movilidad integrada.</w:t>
      </w:r>
    </w:p>
    <w:p w14:paraId="3A6FDAAB" w14:textId="77777777" w:rsidR="00942867" w:rsidRPr="00942867" w:rsidRDefault="00942867" w:rsidP="002A06CB">
      <w:pPr>
        <w:ind w:left="567" w:right="616" w:firstLine="708"/>
        <w:jc w:val="both"/>
        <w:rPr>
          <w:rFonts w:ascii="Abadi" w:eastAsiaTheme="minorHAnsi" w:hAnsi="Abadi" w:cs="Arial"/>
          <w:i/>
          <w:iCs/>
          <w:sz w:val="21"/>
          <w:szCs w:val="21"/>
          <w:lang w:val="es-MX" w:eastAsia="en-US"/>
        </w:rPr>
      </w:pPr>
    </w:p>
    <w:p w14:paraId="70249B2C" w14:textId="77777777" w:rsidR="00942867" w:rsidRPr="00942867" w:rsidRDefault="00942867" w:rsidP="002A06CB">
      <w:pPr>
        <w:ind w:left="567" w:right="616" w:firstLine="708"/>
        <w:jc w:val="both"/>
        <w:rPr>
          <w:rFonts w:ascii="Abadi" w:eastAsiaTheme="minorHAnsi" w:hAnsi="Abadi" w:cs="Arial"/>
          <w:i/>
          <w:iCs/>
          <w:sz w:val="21"/>
          <w:szCs w:val="21"/>
          <w:lang w:val="es-MX" w:eastAsia="en-US"/>
        </w:rPr>
      </w:pPr>
      <w:r w:rsidRPr="00942867">
        <w:rPr>
          <w:rFonts w:ascii="Abadi" w:eastAsiaTheme="minorHAnsi" w:hAnsi="Abadi" w:cs="Arial"/>
          <w:i/>
          <w:iCs/>
          <w:sz w:val="21"/>
          <w:szCs w:val="21"/>
          <w:lang w:val="es-MX" w:eastAsia="en-US"/>
        </w:rPr>
        <w:t>Clarificar con mayor precisión los conceptos de servicio de estacionamiento público y servicio de estacionamiento particular con servicio al público y obligaciones de los prestadores del servicio. Por lo cual, se reforma el Capítulo III denominado “Estacionamientos públicos” para incorporar el término de estacionamientos particulares con servicio al público de la referida Ley de Movilidad del Estado de Guanajuato y sus Municipios, para quedar la denominación de “Estacionamientos Públicos y Particulares con Servicio al Público”.</w:t>
      </w:r>
    </w:p>
    <w:p w14:paraId="4761EB02" w14:textId="77777777" w:rsidR="00942867" w:rsidRPr="00942867" w:rsidRDefault="00942867" w:rsidP="002A06CB">
      <w:pPr>
        <w:ind w:left="567" w:right="616" w:firstLine="708"/>
        <w:jc w:val="both"/>
        <w:rPr>
          <w:rFonts w:ascii="Abadi" w:eastAsiaTheme="minorHAnsi" w:hAnsi="Abadi" w:cs="Arial"/>
          <w:i/>
          <w:iCs/>
          <w:sz w:val="21"/>
          <w:szCs w:val="21"/>
          <w:lang w:val="es-MX" w:eastAsia="en-US"/>
        </w:rPr>
      </w:pPr>
    </w:p>
    <w:p w14:paraId="128187AB" w14:textId="77777777" w:rsidR="00942867" w:rsidRPr="00942867" w:rsidRDefault="00942867" w:rsidP="002A06CB">
      <w:pPr>
        <w:ind w:left="567" w:right="616" w:firstLine="708"/>
        <w:jc w:val="both"/>
        <w:rPr>
          <w:rFonts w:ascii="Abadi" w:eastAsiaTheme="minorHAnsi" w:hAnsi="Abadi" w:cs="Arial"/>
          <w:i/>
          <w:iCs/>
          <w:sz w:val="21"/>
          <w:szCs w:val="21"/>
          <w:lang w:val="es-MX" w:eastAsia="en-US"/>
        </w:rPr>
      </w:pPr>
      <w:r w:rsidRPr="00942867">
        <w:rPr>
          <w:rFonts w:ascii="Abadi" w:eastAsiaTheme="minorHAnsi" w:hAnsi="Abadi" w:cs="Arial"/>
          <w:i/>
          <w:iCs/>
          <w:sz w:val="21"/>
          <w:szCs w:val="21"/>
          <w:lang w:val="es-MX" w:eastAsia="en-US"/>
        </w:rPr>
        <w:t>Adicionar el artículo 93 quáter, para condicionar las características de la infraestructura que deben contemplar dichos estacionamientos, con la finalidad de que la movilidad integrada al usuario y este debe hacer uso de ellos de tal forma que permita su desplazamiento con seguridad, debiendo tener el cuidado necesario para la conservación de sus instalaciones.</w:t>
      </w:r>
    </w:p>
    <w:p w14:paraId="0E3E59BB" w14:textId="77777777" w:rsidR="00942867" w:rsidRPr="00942867" w:rsidRDefault="00942867" w:rsidP="002A06CB">
      <w:pPr>
        <w:ind w:left="567" w:right="616" w:firstLine="708"/>
        <w:jc w:val="both"/>
        <w:rPr>
          <w:rFonts w:ascii="Abadi" w:eastAsiaTheme="minorHAnsi" w:hAnsi="Abadi" w:cs="Arial"/>
          <w:i/>
          <w:iCs/>
          <w:sz w:val="21"/>
          <w:szCs w:val="21"/>
          <w:lang w:val="es-MX" w:eastAsia="en-US"/>
        </w:rPr>
      </w:pPr>
    </w:p>
    <w:p w14:paraId="09050DAA" w14:textId="77777777" w:rsidR="00942867" w:rsidRPr="00942867" w:rsidRDefault="00942867" w:rsidP="002A06CB">
      <w:pPr>
        <w:ind w:left="567" w:right="616" w:firstLine="708"/>
        <w:jc w:val="both"/>
        <w:rPr>
          <w:rFonts w:ascii="Abadi" w:eastAsiaTheme="minorHAnsi" w:hAnsi="Abadi" w:cs="Arial"/>
          <w:i/>
          <w:iCs/>
          <w:sz w:val="21"/>
          <w:szCs w:val="21"/>
          <w:lang w:val="es-MX" w:eastAsia="en-US"/>
        </w:rPr>
      </w:pPr>
      <w:r w:rsidRPr="00942867">
        <w:rPr>
          <w:rFonts w:ascii="Abadi" w:eastAsiaTheme="minorHAnsi" w:hAnsi="Abadi" w:cs="Arial"/>
          <w:i/>
          <w:iCs/>
          <w:sz w:val="21"/>
          <w:szCs w:val="21"/>
          <w:lang w:val="es-MX" w:eastAsia="en-US"/>
        </w:rPr>
        <w:t>También adicionar el artículo 93 quinquies de la referida Ley, para incorporar una serie de obligaciones de los prestadores del servicio, las cuales van desde la obtención de los permisos para la construcción, uso y ocupación del inmueble, hasta la operación del propio estacionamiento.</w:t>
      </w:r>
    </w:p>
    <w:p w14:paraId="21E9E51D" w14:textId="77777777" w:rsidR="00942867" w:rsidRPr="00942867" w:rsidRDefault="00942867" w:rsidP="002A06CB">
      <w:pPr>
        <w:ind w:left="567" w:right="616" w:firstLine="708"/>
        <w:jc w:val="both"/>
        <w:rPr>
          <w:rFonts w:ascii="Abadi" w:eastAsiaTheme="minorHAnsi" w:hAnsi="Abadi" w:cs="Arial"/>
          <w:i/>
          <w:iCs/>
          <w:sz w:val="21"/>
          <w:szCs w:val="21"/>
          <w:lang w:val="es-MX" w:eastAsia="en-US"/>
        </w:rPr>
      </w:pPr>
    </w:p>
    <w:p w14:paraId="25073F69" w14:textId="77777777" w:rsidR="00942867" w:rsidRPr="00942867" w:rsidRDefault="00942867" w:rsidP="002A06CB">
      <w:pPr>
        <w:ind w:left="567" w:right="616" w:firstLine="708"/>
        <w:jc w:val="both"/>
        <w:rPr>
          <w:rFonts w:ascii="Abadi" w:eastAsiaTheme="minorHAnsi" w:hAnsi="Abadi" w:cs="Arial"/>
          <w:i/>
          <w:iCs/>
          <w:sz w:val="21"/>
          <w:szCs w:val="21"/>
          <w:lang w:val="es-MX" w:eastAsia="en-US"/>
        </w:rPr>
      </w:pPr>
      <w:r w:rsidRPr="00942867">
        <w:rPr>
          <w:rFonts w:ascii="Abadi" w:eastAsiaTheme="minorHAnsi" w:hAnsi="Abadi" w:cs="Arial"/>
          <w:i/>
          <w:iCs/>
          <w:sz w:val="21"/>
          <w:szCs w:val="21"/>
          <w:lang w:val="es-MX" w:eastAsia="en-US"/>
        </w:rPr>
        <w:t>Establecer que las autoridades estatales y municipales en el ámbito de sus competencias, fomentarán e impulsarán que se implemente en los estacionamientos públicos y particular con servicio al público, campañas y programas para incentivar al usuario a que contribuya con la protección al medio ambiente, otorgándole una tarifa preferencial y una ubicación predilecta de cajones de estacionamientos para vehículos que cuenten con la verificación vehicular vigente, con la adición del artículo 93 sexies de la referida Ley.</w:t>
      </w:r>
    </w:p>
    <w:p w14:paraId="221869A0" w14:textId="77777777" w:rsidR="00942867" w:rsidRPr="00942867" w:rsidRDefault="00942867" w:rsidP="002A06CB">
      <w:pPr>
        <w:ind w:left="567" w:right="616" w:firstLine="708"/>
        <w:jc w:val="both"/>
        <w:rPr>
          <w:rFonts w:ascii="Abadi" w:eastAsiaTheme="minorHAnsi" w:hAnsi="Abadi" w:cs="Arial"/>
          <w:i/>
          <w:iCs/>
          <w:sz w:val="21"/>
          <w:szCs w:val="21"/>
          <w:lang w:val="es-MX" w:eastAsia="en-US"/>
        </w:rPr>
      </w:pPr>
    </w:p>
    <w:p w14:paraId="1D98E7BC" w14:textId="77777777" w:rsidR="00942867" w:rsidRPr="00942867" w:rsidRDefault="00942867" w:rsidP="002A06CB">
      <w:pPr>
        <w:spacing w:after="160"/>
        <w:jc w:val="both"/>
        <w:rPr>
          <w:rFonts w:ascii="Abadi" w:eastAsia="Batang" w:hAnsi="Abadi" w:cs="Arial"/>
          <w:b/>
          <w:sz w:val="21"/>
          <w:szCs w:val="21"/>
          <w:lang w:val="es-MX" w:eastAsia="en-US"/>
        </w:rPr>
      </w:pPr>
      <w:r w:rsidRPr="00942867">
        <w:rPr>
          <w:rFonts w:ascii="Abadi" w:eastAsia="Batang" w:hAnsi="Abadi" w:cs="Arial"/>
          <w:b/>
          <w:sz w:val="21"/>
          <w:szCs w:val="21"/>
          <w:lang w:val="es-MX" w:eastAsia="en-US"/>
        </w:rPr>
        <w:t>III. Valoración de la iniciativa y consideraciones.</w:t>
      </w:r>
    </w:p>
    <w:p w14:paraId="0DFECB27" w14:textId="77777777" w:rsidR="00942867" w:rsidRPr="00942867" w:rsidRDefault="00942867" w:rsidP="002A06CB">
      <w:pPr>
        <w:ind w:left="567" w:right="616" w:firstLine="708"/>
        <w:jc w:val="both"/>
        <w:rPr>
          <w:rFonts w:ascii="Abadi" w:eastAsiaTheme="minorHAnsi" w:hAnsi="Abadi" w:cs="Arial"/>
          <w:i/>
          <w:iCs/>
          <w:sz w:val="21"/>
          <w:szCs w:val="21"/>
          <w:lang w:val="es-MX" w:eastAsia="en-US"/>
        </w:rPr>
      </w:pPr>
    </w:p>
    <w:p w14:paraId="02C43EF5" w14:textId="77777777" w:rsidR="00942867" w:rsidRPr="00942867" w:rsidRDefault="00942867" w:rsidP="002A06CB">
      <w:pPr>
        <w:widowControl w:val="0"/>
        <w:tabs>
          <w:tab w:val="left" w:pos="663"/>
        </w:tabs>
        <w:spacing w:before="57"/>
        <w:jc w:val="both"/>
        <w:rPr>
          <w:rFonts w:ascii="Abadi" w:eastAsia="Batang" w:hAnsi="Abadi" w:cs="Arial"/>
          <w:sz w:val="21"/>
          <w:szCs w:val="21"/>
          <w:lang w:val="es-MX" w:eastAsia="en-US"/>
        </w:rPr>
      </w:pPr>
      <w:r w:rsidRPr="00942867">
        <w:rPr>
          <w:rFonts w:ascii="Abadi" w:eastAsia="Batang" w:hAnsi="Abadi" w:cs="Arial"/>
          <w:sz w:val="21"/>
          <w:szCs w:val="21"/>
          <w:lang w:val="es-MX" w:eastAsia="en-US"/>
        </w:rPr>
        <w:tab/>
        <w:t>La movilidad es un término establecido en la Ley General de Asentamientos Humanos, Ordenamiento Territorial y Desarrollo Urbano y la define como la capacidad, facilidad y eficiencia de tránsito o desplazamiento de las personas y bienes en el territorio, priorizando la accesibilidad universalidad, así como la sustentabilidad de esta.</w:t>
      </w:r>
    </w:p>
    <w:p w14:paraId="3DB001CA" w14:textId="77777777" w:rsidR="00942867" w:rsidRPr="00942867" w:rsidRDefault="00942867" w:rsidP="002A06CB">
      <w:pPr>
        <w:widowControl w:val="0"/>
        <w:tabs>
          <w:tab w:val="left" w:pos="663"/>
        </w:tabs>
        <w:spacing w:before="57"/>
        <w:jc w:val="both"/>
        <w:rPr>
          <w:rFonts w:ascii="Abadi" w:eastAsia="Batang" w:hAnsi="Abadi" w:cs="Arial"/>
          <w:sz w:val="21"/>
          <w:szCs w:val="21"/>
          <w:lang w:val="es-MX" w:eastAsia="en-US"/>
        </w:rPr>
      </w:pPr>
    </w:p>
    <w:p w14:paraId="2441727C" w14:textId="77777777" w:rsidR="00942867" w:rsidRPr="00942867" w:rsidRDefault="00942867" w:rsidP="002A06CB">
      <w:pPr>
        <w:widowControl w:val="0"/>
        <w:tabs>
          <w:tab w:val="left" w:pos="663"/>
        </w:tabs>
        <w:spacing w:before="57"/>
        <w:jc w:val="both"/>
        <w:rPr>
          <w:rFonts w:ascii="Abadi" w:eastAsia="Batang" w:hAnsi="Abadi" w:cs="Arial"/>
          <w:sz w:val="21"/>
          <w:szCs w:val="21"/>
          <w:lang w:val="es-MX" w:eastAsia="en-US"/>
        </w:rPr>
      </w:pPr>
      <w:r w:rsidRPr="00942867">
        <w:rPr>
          <w:rFonts w:ascii="Abadi" w:eastAsia="Batang" w:hAnsi="Abadi" w:cs="Arial"/>
          <w:sz w:val="21"/>
          <w:szCs w:val="21"/>
          <w:lang w:val="es-MX" w:eastAsia="en-US"/>
        </w:rPr>
        <w:tab/>
        <w:t>Dicha Ley señala que las políticas y programas para la movilidad serán parte del proceso de planeación de los asentamientos humanos, entre ellos, accesibilidad universal de las personas, distribución equitativa del espacio público de vialidades y promoción de los usos de suelos mixtos; en cuanto a la regulación del espacio público, señala que se deberán definir las características de éste y el trazo de la red vial, de manera que se garantice la conectividad adecuada para la movilidad.</w:t>
      </w:r>
    </w:p>
    <w:p w14:paraId="7DD1D031" w14:textId="77777777" w:rsidR="00942867" w:rsidRPr="00942867" w:rsidRDefault="00942867" w:rsidP="002A06CB">
      <w:pPr>
        <w:widowControl w:val="0"/>
        <w:tabs>
          <w:tab w:val="left" w:pos="663"/>
        </w:tabs>
        <w:spacing w:before="57"/>
        <w:jc w:val="both"/>
        <w:rPr>
          <w:rFonts w:ascii="Abadi" w:eastAsia="Batang" w:hAnsi="Abadi" w:cs="Arial"/>
          <w:sz w:val="21"/>
          <w:szCs w:val="21"/>
          <w:lang w:val="es-MX" w:eastAsia="en-US"/>
        </w:rPr>
      </w:pPr>
    </w:p>
    <w:p w14:paraId="752CDD23" w14:textId="77777777" w:rsidR="00942867" w:rsidRPr="00942867" w:rsidRDefault="00942867" w:rsidP="002A06CB">
      <w:pPr>
        <w:widowControl w:val="0"/>
        <w:tabs>
          <w:tab w:val="left" w:pos="663"/>
        </w:tabs>
        <w:spacing w:before="57"/>
        <w:jc w:val="both"/>
        <w:rPr>
          <w:rFonts w:ascii="Abadi" w:eastAsia="Batang" w:hAnsi="Abadi" w:cs="Arial"/>
          <w:sz w:val="21"/>
          <w:szCs w:val="21"/>
          <w:lang w:val="es-MX" w:eastAsia="en-US"/>
        </w:rPr>
      </w:pPr>
      <w:r w:rsidRPr="00942867">
        <w:rPr>
          <w:rFonts w:ascii="Abadi" w:eastAsia="Batang" w:hAnsi="Abadi" w:cs="Arial"/>
          <w:sz w:val="21"/>
          <w:szCs w:val="21"/>
          <w:lang w:val="es-MX" w:eastAsia="en-US"/>
        </w:rPr>
        <w:tab/>
        <w:t>De lo anterior, se puede establecer que la movilidad también es materia afecta de planificación y autorización en el desarrollo poblacional, atendiendo a sus principios rectores, por lo tanto, las actividades o condicionantes que son parte sustancial de la iniciativa en análisis, se considera deben ser regulados conforme las autorizaciones que expida la unidad administrativa encargada del Desarrollo Urbano y Ordenamiento Territorial, pues forma parte del equipamiento de la movilidad integral de los centros de población.</w:t>
      </w:r>
    </w:p>
    <w:p w14:paraId="552C72F0" w14:textId="77777777" w:rsidR="00942867" w:rsidRPr="00942867" w:rsidRDefault="00942867" w:rsidP="002A06CB">
      <w:pPr>
        <w:widowControl w:val="0"/>
        <w:tabs>
          <w:tab w:val="left" w:pos="663"/>
        </w:tabs>
        <w:spacing w:before="57"/>
        <w:jc w:val="both"/>
        <w:rPr>
          <w:rFonts w:ascii="Abadi" w:eastAsia="Batang" w:hAnsi="Abadi" w:cs="Arial"/>
          <w:sz w:val="21"/>
          <w:szCs w:val="21"/>
          <w:lang w:val="es-MX" w:eastAsia="en-US"/>
        </w:rPr>
      </w:pPr>
    </w:p>
    <w:p w14:paraId="25423855" w14:textId="77777777" w:rsidR="00942867" w:rsidRPr="00942867" w:rsidRDefault="00942867" w:rsidP="002A06CB">
      <w:pPr>
        <w:widowControl w:val="0"/>
        <w:tabs>
          <w:tab w:val="left" w:pos="663"/>
        </w:tabs>
        <w:spacing w:before="57"/>
        <w:jc w:val="both"/>
        <w:rPr>
          <w:rFonts w:ascii="Abadi" w:eastAsia="Batang" w:hAnsi="Abadi" w:cs="Arial"/>
          <w:sz w:val="21"/>
          <w:szCs w:val="21"/>
          <w:lang w:val="es-MX" w:eastAsia="en-US"/>
        </w:rPr>
      </w:pPr>
      <w:r w:rsidRPr="00942867">
        <w:rPr>
          <w:rFonts w:ascii="Abadi" w:eastAsia="Batang" w:hAnsi="Abadi" w:cs="Arial"/>
          <w:sz w:val="21"/>
          <w:szCs w:val="21"/>
          <w:lang w:val="es-MX" w:eastAsia="en-US"/>
        </w:rPr>
        <w:tab/>
        <w:t>Desde la perspectiva del estudio de la movilidad, la reducción de los espacios para estacionamiento es considerada como una de la políticas más eficaces para disminuir el uso del automóvil particular en la ciudad, ya que al restringir de forma legal, física o económica el estacionamiento, el conductor busca alternar o sustituir su uso por otras formas de transporte público y movilidad no motorizada; sin embargo, esto debe ser un proceso gradual y con múltiples perspectivas de beneficio ambiental.</w:t>
      </w:r>
    </w:p>
    <w:p w14:paraId="7877D1DE" w14:textId="77777777" w:rsidR="00942867" w:rsidRPr="00942867" w:rsidRDefault="00942867" w:rsidP="002A06CB">
      <w:pPr>
        <w:widowControl w:val="0"/>
        <w:tabs>
          <w:tab w:val="left" w:pos="663"/>
        </w:tabs>
        <w:spacing w:before="57"/>
        <w:jc w:val="both"/>
        <w:rPr>
          <w:rFonts w:ascii="Abadi" w:eastAsia="Batang" w:hAnsi="Abadi" w:cs="Arial"/>
          <w:sz w:val="21"/>
          <w:szCs w:val="21"/>
          <w:lang w:val="es-MX" w:eastAsia="en-US"/>
        </w:rPr>
      </w:pPr>
    </w:p>
    <w:p w14:paraId="27BB2C4F" w14:textId="77777777" w:rsidR="00942867" w:rsidRPr="00942867" w:rsidRDefault="00942867" w:rsidP="002A06CB">
      <w:pPr>
        <w:widowControl w:val="0"/>
        <w:tabs>
          <w:tab w:val="left" w:pos="663"/>
        </w:tabs>
        <w:spacing w:before="57"/>
        <w:jc w:val="both"/>
        <w:rPr>
          <w:rFonts w:ascii="Abadi" w:eastAsia="Batang" w:hAnsi="Abadi" w:cs="Arial"/>
          <w:sz w:val="21"/>
          <w:szCs w:val="21"/>
          <w:lang w:val="es-MX" w:eastAsia="en-US"/>
        </w:rPr>
      </w:pPr>
      <w:r w:rsidRPr="00942867">
        <w:rPr>
          <w:rFonts w:ascii="Abadi" w:eastAsia="Batang" w:hAnsi="Abadi" w:cs="Arial"/>
          <w:sz w:val="21"/>
          <w:szCs w:val="21"/>
          <w:lang w:val="es-MX" w:eastAsia="en-US"/>
        </w:rPr>
        <w:tab/>
        <w:t>Si bien la finalidad del iniciante de regular el servicio de estacionamientos es encomiable, se debe tener en cuenta que el Código Territorial para el Estado y los Municipios de Guanajuato es el instrumento jurídico que establece las normas, principios y bases para el ordenamiento y administración sustentable del territorio del estado de Guanajuato.</w:t>
      </w:r>
    </w:p>
    <w:p w14:paraId="529F9383" w14:textId="77777777" w:rsidR="00942867" w:rsidRPr="00942867" w:rsidRDefault="00942867" w:rsidP="002A06CB">
      <w:pPr>
        <w:widowControl w:val="0"/>
        <w:tabs>
          <w:tab w:val="left" w:pos="663"/>
        </w:tabs>
        <w:spacing w:before="57"/>
        <w:ind w:left="720"/>
        <w:contextualSpacing/>
        <w:jc w:val="both"/>
        <w:rPr>
          <w:rFonts w:ascii="Abadi" w:eastAsia="Batang" w:hAnsi="Abadi" w:cs="Arial"/>
          <w:sz w:val="21"/>
          <w:szCs w:val="21"/>
          <w:lang w:val="es-MX" w:eastAsia="en-US"/>
        </w:rPr>
      </w:pPr>
    </w:p>
    <w:p w14:paraId="4EEAE700" w14:textId="77777777" w:rsidR="00942867" w:rsidRPr="00942867" w:rsidRDefault="00942867" w:rsidP="002A06CB">
      <w:pPr>
        <w:widowControl w:val="0"/>
        <w:tabs>
          <w:tab w:val="left" w:pos="663"/>
        </w:tabs>
        <w:spacing w:before="57"/>
        <w:jc w:val="both"/>
        <w:rPr>
          <w:rFonts w:ascii="Abadi" w:eastAsia="Batang" w:hAnsi="Abadi" w:cs="Arial"/>
          <w:sz w:val="21"/>
          <w:szCs w:val="21"/>
          <w:lang w:val="es-MX" w:eastAsia="en-US"/>
        </w:rPr>
      </w:pPr>
      <w:r w:rsidRPr="00942867">
        <w:rPr>
          <w:rFonts w:ascii="Abadi" w:eastAsia="Batang" w:hAnsi="Abadi" w:cs="Arial"/>
          <w:sz w:val="21"/>
          <w:szCs w:val="21"/>
          <w:lang w:val="es-MX" w:eastAsia="en-US"/>
        </w:rPr>
        <w:tab/>
        <w:t>En tales condiciones, se considera que la Ley de Movilidad para el Estado de Guanajuato y sus Municipios no es el documento idóneo para las pretensiones de los iniciantes, sino el Código Territorial para el Estado y los Municipios de Guanajuato, ya que dentro de sus objetivos se encuentra el establecer la regulación, autorización, control y vigilancia de la utilización del suelo, las construcciones y la urbanización de áreas e inmuebles de propiedad pública, privada o social. Ante tales consideraciones, este Ayuntamiento no coincide con la iniciativa que se plantea.</w:t>
      </w:r>
    </w:p>
    <w:p w14:paraId="24ACBFBF" w14:textId="77777777" w:rsidR="00942867" w:rsidRPr="00942867" w:rsidRDefault="00942867" w:rsidP="002A06CB">
      <w:pPr>
        <w:widowControl w:val="0"/>
        <w:tabs>
          <w:tab w:val="left" w:pos="663"/>
        </w:tabs>
        <w:spacing w:before="57"/>
        <w:jc w:val="both"/>
        <w:rPr>
          <w:rFonts w:ascii="Abadi" w:eastAsia="Batang" w:hAnsi="Abadi" w:cs="Arial"/>
          <w:sz w:val="21"/>
          <w:szCs w:val="21"/>
          <w:lang w:val="es-MX" w:eastAsia="en-US"/>
        </w:rPr>
      </w:pPr>
    </w:p>
    <w:p w14:paraId="1244C693" w14:textId="77777777" w:rsidR="00942867" w:rsidRPr="00942867" w:rsidRDefault="00942867" w:rsidP="002A06CB">
      <w:pPr>
        <w:widowControl w:val="0"/>
        <w:tabs>
          <w:tab w:val="left" w:pos="663"/>
        </w:tabs>
        <w:spacing w:before="57"/>
        <w:jc w:val="both"/>
        <w:rPr>
          <w:rFonts w:ascii="Abadi" w:eastAsia="Batang" w:hAnsi="Abadi" w:cs="Arial"/>
          <w:sz w:val="21"/>
          <w:szCs w:val="21"/>
          <w:lang w:val="es-MX" w:eastAsia="en-US"/>
        </w:rPr>
      </w:pPr>
      <w:r w:rsidRPr="00942867">
        <w:rPr>
          <w:rFonts w:ascii="Abadi" w:eastAsia="Batang" w:hAnsi="Abadi" w:cs="Arial"/>
          <w:sz w:val="21"/>
          <w:szCs w:val="21"/>
          <w:lang w:val="es-MX" w:eastAsia="en-US"/>
        </w:rPr>
        <w:tab/>
        <w:t>Lo anterior es así, pues es el instrumento jurídico que establece las normas, principios y bases para el ordenamiento y administración sustentable del territorio del estado de Guanajuato; determinar las provisiones, reservas, usos y destinos de áreas y predios que regulan la propiedad en los centros de población; la construcción, mantenimiento y conservación de la infraestructura pública y del equipamiento urbano; la regulación, autorización, control y vigilancia de la utilización del suelo, las construcciones y la urbanización de áreas e inmuebles de propiedad pública, privada o social; la regulación, autorización, control y vigilancia de la división de bienes inmuebles, así como de los fraccionamientos y desarrollos en condominio; entre otros.</w:t>
      </w:r>
    </w:p>
    <w:p w14:paraId="7382B41D" w14:textId="77777777" w:rsidR="00942867" w:rsidRPr="00942867" w:rsidRDefault="00942867" w:rsidP="002A06CB">
      <w:pPr>
        <w:widowControl w:val="0"/>
        <w:tabs>
          <w:tab w:val="left" w:pos="663"/>
        </w:tabs>
        <w:spacing w:before="57"/>
        <w:jc w:val="both"/>
        <w:rPr>
          <w:rFonts w:ascii="Abadi" w:eastAsia="Batang" w:hAnsi="Abadi" w:cs="Arial"/>
          <w:sz w:val="21"/>
          <w:szCs w:val="21"/>
          <w:lang w:val="es-MX" w:eastAsia="en-US"/>
        </w:rPr>
      </w:pPr>
    </w:p>
    <w:p w14:paraId="7844BE02" w14:textId="77777777" w:rsidR="00942867" w:rsidRPr="00942867" w:rsidRDefault="00942867" w:rsidP="002A06CB">
      <w:pPr>
        <w:widowControl w:val="0"/>
        <w:tabs>
          <w:tab w:val="left" w:pos="663"/>
        </w:tabs>
        <w:spacing w:before="57"/>
        <w:jc w:val="both"/>
        <w:rPr>
          <w:rFonts w:ascii="Abadi" w:eastAsia="Batang" w:hAnsi="Abadi" w:cs="Arial"/>
          <w:sz w:val="21"/>
          <w:szCs w:val="21"/>
          <w:lang w:val="es-MX" w:eastAsia="en-US"/>
        </w:rPr>
      </w:pPr>
      <w:r w:rsidRPr="00942867">
        <w:rPr>
          <w:rFonts w:ascii="Abadi" w:eastAsia="Batang" w:hAnsi="Abadi" w:cs="Arial"/>
          <w:sz w:val="21"/>
          <w:szCs w:val="21"/>
          <w:lang w:val="es-MX" w:eastAsia="en-US"/>
        </w:rPr>
        <w:tab/>
        <w:t xml:space="preserve">Consideramos, además, corresponde a los municipios determinar los usos y destinos del suelo en el territorio municipal y establecer las restricciones y modalidades correspondientes; otorgar los permisos de uso de suelo; emitir los permisos de construcción; así como verificar que las acciones, obras, proyectos, inversiones y servicios que se presten o ejecuten en el territorio municipal, ajustándose a las disposiciones de dicho Código, supuestos en los que se reflexiona además se encuentran incluidas la claridad de los conceptos que proponen, así como los referente a la infraestructura de los estacionamientos y las obligaciones de quienes presten este servicio. </w:t>
      </w:r>
    </w:p>
    <w:p w14:paraId="003A4E23" w14:textId="77777777" w:rsidR="00942867" w:rsidRPr="00942867" w:rsidRDefault="00942867" w:rsidP="002A06CB">
      <w:pPr>
        <w:widowControl w:val="0"/>
        <w:tabs>
          <w:tab w:val="left" w:pos="663"/>
        </w:tabs>
        <w:spacing w:before="57"/>
        <w:jc w:val="both"/>
        <w:rPr>
          <w:rFonts w:ascii="Abadi" w:eastAsia="Batang" w:hAnsi="Abadi" w:cs="Arial"/>
          <w:sz w:val="21"/>
          <w:szCs w:val="21"/>
          <w:lang w:val="es-MX" w:eastAsia="en-US"/>
        </w:rPr>
      </w:pPr>
    </w:p>
    <w:p w14:paraId="57D44E7C" w14:textId="77777777" w:rsidR="00942867" w:rsidRPr="00942867" w:rsidRDefault="00942867" w:rsidP="002A06CB">
      <w:pPr>
        <w:widowControl w:val="0"/>
        <w:tabs>
          <w:tab w:val="left" w:pos="663"/>
        </w:tabs>
        <w:spacing w:before="57"/>
        <w:contextualSpacing/>
        <w:jc w:val="both"/>
        <w:rPr>
          <w:rFonts w:ascii="Abadi" w:eastAsia="Batang" w:hAnsi="Abadi" w:cs="Arial"/>
          <w:sz w:val="21"/>
          <w:szCs w:val="21"/>
          <w:lang w:val="es-MX" w:eastAsia="en-US"/>
        </w:rPr>
      </w:pPr>
      <w:r w:rsidRPr="00942867">
        <w:rPr>
          <w:rFonts w:ascii="Abadi" w:eastAsia="Batang" w:hAnsi="Abadi" w:cs="Arial"/>
          <w:sz w:val="21"/>
          <w:szCs w:val="21"/>
          <w:lang w:val="es-MX" w:eastAsia="en-US"/>
        </w:rPr>
        <w:tab/>
        <w:t>En virtud de las razones expuestas se estima que no corresponde a la Ley de Movilidad del Estado de Guanajuato y sus Municipios establecer dichas cuestiones en materia de usos de suelo.</w:t>
      </w:r>
    </w:p>
    <w:p w14:paraId="06D3C69D" w14:textId="77777777" w:rsidR="00942867" w:rsidRPr="00942867" w:rsidRDefault="00942867" w:rsidP="002A06CB">
      <w:pPr>
        <w:widowControl w:val="0"/>
        <w:tabs>
          <w:tab w:val="left" w:pos="663"/>
        </w:tabs>
        <w:spacing w:before="57"/>
        <w:contextualSpacing/>
        <w:jc w:val="both"/>
        <w:rPr>
          <w:rFonts w:ascii="Abadi" w:eastAsia="Batang" w:hAnsi="Abadi" w:cs="Arial"/>
          <w:sz w:val="21"/>
          <w:szCs w:val="21"/>
          <w:lang w:val="es-MX" w:eastAsia="en-US"/>
        </w:rPr>
      </w:pPr>
    </w:p>
    <w:p w14:paraId="0577358D" w14:textId="77777777" w:rsidR="00942867" w:rsidRPr="00942867" w:rsidRDefault="00942867" w:rsidP="002A06CB">
      <w:pPr>
        <w:spacing w:after="160"/>
        <w:ind w:firstLine="708"/>
        <w:jc w:val="both"/>
        <w:rPr>
          <w:rFonts w:ascii="Abadi" w:eastAsia="Batang" w:hAnsi="Abadi" w:cs="Arial"/>
          <w:sz w:val="21"/>
          <w:szCs w:val="21"/>
          <w:lang w:val="es-MX" w:eastAsia="en-US"/>
        </w:rPr>
      </w:pPr>
      <w:r w:rsidRPr="00942867">
        <w:rPr>
          <w:rFonts w:ascii="Abadi" w:eastAsia="Batang" w:hAnsi="Abadi" w:cs="Arial"/>
          <w:sz w:val="21"/>
          <w:szCs w:val="21"/>
          <w:lang w:val="es-MX" w:eastAsia="en-US"/>
        </w:rPr>
        <w:t xml:space="preserve">Con fundamento en lo dispuesto por los artículos 169 y 171 de la Ley Orgánica del Poder Legislativo del Estado de Guanajuato, nos permitimos someter a la aprobación de la Asamblea, el siguiente: </w:t>
      </w:r>
    </w:p>
    <w:p w14:paraId="494E24C2" w14:textId="77777777" w:rsidR="00942867" w:rsidRPr="00942867" w:rsidRDefault="00942867" w:rsidP="002A06CB">
      <w:pPr>
        <w:spacing w:after="160"/>
        <w:jc w:val="center"/>
        <w:rPr>
          <w:rFonts w:ascii="Abadi" w:eastAsiaTheme="minorHAnsi" w:hAnsi="Abadi" w:cs="Arial"/>
          <w:b/>
          <w:sz w:val="21"/>
          <w:szCs w:val="21"/>
          <w:lang w:val="es-MX" w:eastAsia="en-US"/>
        </w:rPr>
      </w:pPr>
      <w:r w:rsidRPr="00942867">
        <w:rPr>
          <w:rFonts w:ascii="Abadi" w:eastAsiaTheme="minorHAnsi" w:hAnsi="Abadi" w:cs="Arial"/>
          <w:b/>
          <w:sz w:val="21"/>
          <w:szCs w:val="21"/>
          <w:lang w:val="es-MX" w:eastAsia="en-US"/>
        </w:rPr>
        <w:t>ACUERDO</w:t>
      </w:r>
    </w:p>
    <w:p w14:paraId="55E50BB4" w14:textId="77777777" w:rsidR="00942867" w:rsidRPr="00942867" w:rsidRDefault="00942867" w:rsidP="002A06CB">
      <w:pPr>
        <w:widowControl w:val="0"/>
        <w:tabs>
          <w:tab w:val="left" w:pos="663"/>
        </w:tabs>
        <w:spacing w:before="57"/>
        <w:contextualSpacing/>
        <w:jc w:val="both"/>
        <w:rPr>
          <w:rFonts w:ascii="Abadi" w:eastAsia="Batang" w:hAnsi="Abadi" w:cs="Arial"/>
          <w:sz w:val="21"/>
          <w:szCs w:val="21"/>
          <w:lang w:val="es-MX" w:eastAsia="en-US"/>
        </w:rPr>
      </w:pPr>
      <w:r w:rsidRPr="00942867">
        <w:rPr>
          <w:rFonts w:ascii="Abadi" w:eastAsiaTheme="minorHAnsi" w:hAnsi="Abadi" w:cs="Arial"/>
          <w:b/>
          <w:bCs/>
          <w:sz w:val="21"/>
          <w:szCs w:val="21"/>
          <w:lang w:eastAsia="en-US"/>
        </w:rPr>
        <w:tab/>
        <w:t xml:space="preserve">Único. </w:t>
      </w:r>
      <w:r w:rsidRPr="00942867">
        <w:rPr>
          <w:rFonts w:ascii="Abadi" w:eastAsia="Batang" w:hAnsi="Abadi" w:cs="Arial"/>
          <w:sz w:val="21"/>
          <w:szCs w:val="21"/>
          <w:lang w:val="es-MX" w:eastAsia="en-US"/>
        </w:rPr>
        <w:t xml:space="preserve">Se ordena el archivo definitivo de </w:t>
      </w:r>
      <w:r w:rsidRPr="00942867">
        <w:rPr>
          <w:rFonts w:ascii="Abadi" w:eastAsiaTheme="minorHAnsi" w:hAnsi="Abadi" w:cs="Arial"/>
          <w:sz w:val="21"/>
          <w:szCs w:val="21"/>
          <w:lang w:val="es-MX" w:eastAsia="en-US"/>
        </w:rPr>
        <w:t>la iniciativa que reforma y adiciona diversos artículos a la Ley de Movilidad del Estado de Guanajuato y sus Municipios formulada, en la LXIV Legislatura, por la Diputada y el Diputado integrantes del Grupo Parlamentario del Partido Verde Ecologista de México</w:t>
      </w:r>
      <w:r w:rsidRPr="00942867">
        <w:rPr>
          <w:rFonts w:ascii="Abadi" w:eastAsia="Batang" w:hAnsi="Abadi" w:cs="Arial"/>
          <w:sz w:val="21"/>
          <w:szCs w:val="21"/>
          <w:lang w:val="es-MX" w:eastAsia="en-US"/>
        </w:rPr>
        <w:t>.</w:t>
      </w:r>
    </w:p>
    <w:p w14:paraId="4EFEE171" w14:textId="77777777" w:rsidR="00942867" w:rsidRPr="00942867" w:rsidRDefault="00942867" w:rsidP="00942867">
      <w:pPr>
        <w:widowControl w:val="0"/>
        <w:tabs>
          <w:tab w:val="left" w:pos="663"/>
        </w:tabs>
        <w:spacing w:before="57" w:line="276" w:lineRule="auto"/>
        <w:contextualSpacing/>
        <w:jc w:val="both"/>
        <w:rPr>
          <w:rFonts w:ascii="Abadi" w:eastAsia="Batang" w:hAnsi="Abadi" w:cs="Arial"/>
          <w:sz w:val="21"/>
          <w:szCs w:val="21"/>
          <w:lang w:val="es-MX" w:eastAsia="en-US"/>
        </w:rPr>
      </w:pPr>
    </w:p>
    <w:p w14:paraId="231B78DB" w14:textId="77777777" w:rsidR="00942867" w:rsidRPr="00942867" w:rsidRDefault="00942867" w:rsidP="00942867">
      <w:pPr>
        <w:widowControl w:val="0"/>
        <w:tabs>
          <w:tab w:val="left" w:pos="663"/>
        </w:tabs>
        <w:spacing w:before="57" w:line="276" w:lineRule="auto"/>
        <w:contextualSpacing/>
        <w:jc w:val="both"/>
        <w:rPr>
          <w:rFonts w:ascii="Abadi" w:eastAsia="Batang" w:hAnsi="Abadi" w:cs="Arial"/>
          <w:sz w:val="21"/>
          <w:szCs w:val="21"/>
          <w:lang w:val="es-MX" w:eastAsia="en-US"/>
        </w:rPr>
      </w:pPr>
      <w:r w:rsidRPr="00942867">
        <w:rPr>
          <w:rFonts w:ascii="Abadi" w:eastAsia="Batang" w:hAnsi="Abadi" w:cs="Arial"/>
          <w:sz w:val="21"/>
          <w:szCs w:val="21"/>
          <w:lang w:val="es-MX" w:eastAsia="en-US"/>
        </w:rPr>
        <w:tab/>
        <w:t>Se instruye al Secretario General del Congreso archive de manera definitiva la iniciativa de referencia.</w:t>
      </w:r>
    </w:p>
    <w:p w14:paraId="6FF82400" w14:textId="77777777" w:rsidR="00942867" w:rsidRPr="00942867" w:rsidRDefault="00942867" w:rsidP="00942867">
      <w:pPr>
        <w:widowControl w:val="0"/>
        <w:tabs>
          <w:tab w:val="left" w:pos="663"/>
        </w:tabs>
        <w:spacing w:before="57" w:line="276" w:lineRule="auto"/>
        <w:contextualSpacing/>
        <w:jc w:val="both"/>
        <w:rPr>
          <w:rFonts w:ascii="Abadi" w:eastAsia="Batang" w:hAnsi="Abadi" w:cs="Arial"/>
          <w:sz w:val="21"/>
          <w:szCs w:val="21"/>
          <w:lang w:val="es-MX" w:eastAsia="en-US"/>
        </w:rPr>
      </w:pPr>
    </w:p>
    <w:p w14:paraId="1D8A07EB" w14:textId="77777777" w:rsidR="00942867" w:rsidRPr="00942867" w:rsidRDefault="00942867" w:rsidP="00942867">
      <w:pPr>
        <w:widowControl w:val="0"/>
        <w:tabs>
          <w:tab w:val="left" w:pos="663"/>
        </w:tabs>
        <w:spacing w:before="57" w:line="276" w:lineRule="auto"/>
        <w:contextualSpacing/>
        <w:jc w:val="center"/>
        <w:rPr>
          <w:rFonts w:ascii="Abadi" w:eastAsia="Batang" w:hAnsi="Abadi" w:cs="Arial"/>
          <w:sz w:val="21"/>
          <w:szCs w:val="21"/>
          <w:lang w:val="es-MX" w:eastAsia="en-US"/>
        </w:rPr>
      </w:pPr>
      <w:r w:rsidRPr="00942867">
        <w:rPr>
          <w:rFonts w:ascii="Abadi" w:hAnsi="Abadi" w:cs="Arial"/>
          <w:b/>
          <w:bCs/>
          <w:sz w:val="21"/>
          <w:szCs w:val="21"/>
          <w:lang w:val="es-MX" w:eastAsia="es-MX"/>
        </w:rPr>
        <w:t>Guanajuato, Gto., a 7 de julio de 2022</w:t>
      </w:r>
    </w:p>
    <w:p w14:paraId="535E75D9" w14:textId="77777777" w:rsidR="00942867" w:rsidRPr="00942867" w:rsidRDefault="00942867" w:rsidP="00942867">
      <w:pPr>
        <w:spacing w:line="276" w:lineRule="auto"/>
        <w:jc w:val="center"/>
        <w:textAlignment w:val="baseline"/>
        <w:rPr>
          <w:rFonts w:ascii="Abadi" w:hAnsi="Abadi" w:cs="Arial"/>
          <w:sz w:val="21"/>
          <w:szCs w:val="21"/>
          <w:lang w:val="es-MX" w:eastAsia="es-MX"/>
        </w:rPr>
      </w:pPr>
      <w:r w:rsidRPr="00942867">
        <w:rPr>
          <w:rFonts w:ascii="Abadi" w:hAnsi="Abadi" w:cs="Arial"/>
          <w:b/>
          <w:bCs/>
          <w:sz w:val="21"/>
          <w:szCs w:val="21"/>
          <w:lang w:val="es-MX" w:eastAsia="es-MX"/>
        </w:rPr>
        <w:t>La Comisión de Seguridad Pública y Comunicaciones</w:t>
      </w:r>
      <w:r w:rsidRPr="00942867">
        <w:rPr>
          <w:rFonts w:ascii="Abadi" w:hAnsi="Abadi" w:cs="Arial"/>
          <w:sz w:val="21"/>
          <w:szCs w:val="21"/>
          <w:lang w:val="es-MX" w:eastAsia="es-MX"/>
        </w:rPr>
        <w:t> </w:t>
      </w:r>
    </w:p>
    <w:p w14:paraId="69DBD780" w14:textId="77777777" w:rsidR="00942867" w:rsidRPr="00942867" w:rsidRDefault="00942867" w:rsidP="00942867">
      <w:pPr>
        <w:spacing w:line="276" w:lineRule="auto"/>
        <w:jc w:val="center"/>
        <w:textAlignment w:val="baseline"/>
        <w:rPr>
          <w:rFonts w:ascii="Abadi" w:hAnsi="Abadi" w:cs="Arial"/>
          <w:sz w:val="21"/>
          <w:szCs w:val="21"/>
          <w:lang w:val="es-MX" w:eastAsia="es-MX"/>
        </w:rPr>
      </w:pPr>
    </w:p>
    <w:p w14:paraId="10F210D7" w14:textId="77777777" w:rsidR="00942867" w:rsidRPr="00942867" w:rsidRDefault="00942867" w:rsidP="00942867">
      <w:pPr>
        <w:spacing w:line="276" w:lineRule="auto"/>
        <w:jc w:val="both"/>
        <w:textAlignment w:val="baseline"/>
        <w:rPr>
          <w:rFonts w:ascii="Abadi" w:hAnsi="Abadi" w:cs="Arial"/>
          <w:b/>
          <w:bCs/>
          <w:sz w:val="21"/>
          <w:szCs w:val="21"/>
          <w:lang w:val="es-MX" w:eastAsia="es-MX"/>
        </w:rPr>
      </w:pPr>
      <w:r w:rsidRPr="00942867">
        <w:rPr>
          <w:rFonts w:ascii="Abadi" w:hAnsi="Abadi" w:cs="Arial"/>
          <w:b/>
          <w:bCs/>
          <w:sz w:val="21"/>
          <w:szCs w:val="21"/>
          <w:lang w:val="es-MX" w:eastAsia="es-MX"/>
        </w:rPr>
        <w:t>Dip. Martín López Camacho</w:t>
      </w:r>
    </w:p>
    <w:p w14:paraId="09DA8F2D" w14:textId="77777777" w:rsidR="00942867" w:rsidRDefault="00942867" w:rsidP="00942867">
      <w:pPr>
        <w:spacing w:after="160" w:line="276" w:lineRule="auto"/>
        <w:jc w:val="both"/>
        <w:textAlignment w:val="baseline"/>
        <w:rPr>
          <w:rFonts w:ascii="Abadi" w:hAnsi="Abadi" w:cs="Arial"/>
          <w:b/>
          <w:bCs/>
          <w:sz w:val="21"/>
          <w:szCs w:val="21"/>
          <w:lang w:val="es-MX" w:eastAsia="es-MX"/>
        </w:rPr>
      </w:pPr>
      <w:r w:rsidRPr="00942867">
        <w:rPr>
          <w:rFonts w:ascii="Abadi" w:hAnsi="Abadi" w:cs="Arial"/>
          <w:b/>
          <w:bCs/>
          <w:sz w:val="21"/>
          <w:szCs w:val="21"/>
          <w:lang w:val="es-MX" w:eastAsia="es-MX"/>
        </w:rPr>
        <w:t>Dip. Alma Edwviges Alcaraz Hernández</w:t>
      </w:r>
    </w:p>
    <w:p w14:paraId="3589DA70" w14:textId="135DA047" w:rsidR="00942867" w:rsidRPr="00942867" w:rsidRDefault="00942867" w:rsidP="00942867">
      <w:pPr>
        <w:spacing w:after="160" w:line="276" w:lineRule="auto"/>
        <w:jc w:val="both"/>
        <w:textAlignment w:val="baseline"/>
        <w:rPr>
          <w:rFonts w:ascii="Abadi" w:hAnsi="Abadi" w:cs="Arial"/>
          <w:b/>
          <w:bCs/>
          <w:sz w:val="21"/>
          <w:szCs w:val="21"/>
          <w:lang w:val="es-MX" w:eastAsia="es-MX"/>
        </w:rPr>
      </w:pPr>
      <w:r w:rsidRPr="00942867">
        <w:rPr>
          <w:rFonts w:ascii="Abadi" w:hAnsi="Abadi" w:cs="Arial"/>
          <w:b/>
          <w:bCs/>
          <w:sz w:val="21"/>
          <w:szCs w:val="21"/>
          <w:lang w:val="es-MX" w:eastAsia="es-MX"/>
        </w:rPr>
        <w:t>Dip. Rolando Fortino Alcántar Rojas</w:t>
      </w:r>
    </w:p>
    <w:p w14:paraId="4F52F9E5" w14:textId="77777777" w:rsidR="00942867" w:rsidRPr="00942867" w:rsidRDefault="00942867" w:rsidP="00942867">
      <w:pPr>
        <w:spacing w:line="276" w:lineRule="auto"/>
        <w:jc w:val="both"/>
        <w:textAlignment w:val="baseline"/>
        <w:rPr>
          <w:rFonts w:ascii="Abadi" w:hAnsi="Abadi" w:cs="Arial"/>
          <w:b/>
          <w:bCs/>
          <w:sz w:val="21"/>
          <w:szCs w:val="21"/>
          <w:lang w:val="es-MX" w:eastAsia="es-MX"/>
        </w:rPr>
      </w:pPr>
      <w:r w:rsidRPr="00942867">
        <w:rPr>
          <w:rFonts w:ascii="Abadi" w:hAnsi="Abadi" w:cs="Arial"/>
          <w:b/>
          <w:bCs/>
          <w:sz w:val="21"/>
          <w:szCs w:val="21"/>
          <w:lang w:val="es-MX" w:eastAsia="es-MX"/>
        </w:rPr>
        <w:t>Dip. Bricio Balderas Álvarez</w:t>
      </w:r>
      <w:r w:rsidRPr="00942867">
        <w:rPr>
          <w:rFonts w:ascii="Abadi" w:hAnsi="Abadi" w:cs="Arial"/>
          <w:sz w:val="21"/>
          <w:szCs w:val="21"/>
          <w:lang w:val="es-MX" w:eastAsia="es-MX"/>
        </w:rPr>
        <w:t> </w:t>
      </w:r>
    </w:p>
    <w:p w14:paraId="50169BD7" w14:textId="46AC4BD0" w:rsidR="00942867" w:rsidRDefault="00942867" w:rsidP="00942867">
      <w:pPr>
        <w:spacing w:after="160" w:line="276" w:lineRule="auto"/>
        <w:jc w:val="both"/>
        <w:textAlignment w:val="baseline"/>
        <w:rPr>
          <w:rFonts w:ascii="Abadi" w:hAnsi="Abadi" w:cs="Arial"/>
          <w:b/>
          <w:sz w:val="21"/>
          <w:szCs w:val="21"/>
          <w:lang w:val="es-MX" w:eastAsia="es-MX"/>
        </w:rPr>
      </w:pPr>
      <w:r w:rsidRPr="00942867">
        <w:rPr>
          <w:rFonts w:ascii="Abadi" w:hAnsi="Abadi" w:cs="Arial"/>
          <w:b/>
          <w:sz w:val="21"/>
          <w:szCs w:val="21"/>
          <w:lang w:val="es-MX" w:eastAsia="es-MX"/>
        </w:rPr>
        <w:t>Dip. Gerardo Fernández González</w:t>
      </w:r>
    </w:p>
    <w:p w14:paraId="49DF912A" w14:textId="36ABEF13" w:rsidR="00FE0DE4" w:rsidRDefault="00FE0DE4" w:rsidP="00FE0DE4">
      <w:pPr>
        <w:ind w:firstLine="567"/>
        <w:jc w:val="both"/>
        <w:rPr>
          <w:rFonts w:ascii="Abadi" w:hAnsi="Abadi"/>
          <w:sz w:val="21"/>
          <w:szCs w:val="21"/>
        </w:rPr>
      </w:pPr>
      <w:r w:rsidRPr="002E3E61">
        <w:rPr>
          <w:rFonts w:ascii="Abadi" w:hAnsi="Abadi"/>
          <w:b/>
          <w:bCs/>
          <w:sz w:val="21"/>
          <w:szCs w:val="21"/>
        </w:rPr>
        <w:t>-  El Presidente.-</w:t>
      </w:r>
      <w:r>
        <w:rPr>
          <w:rFonts w:ascii="Abadi" w:hAnsi="Abadi"/>
          <w:sz w:val="21"/>
          <w:szCs w:val="21"/>
        </w:rPr>
        <w:t xml:space="preserve"> Se somete a D</w:t>
      </w:r>
      <w:r w:rsidRPr="006813AA">
        <w:rPr>
          <w:rFonts w:ascii="Abadi" w:hAnsi="Abadi"/>
          <w:sz w:val="21"/>
          <w:szCs w:val="21"/>
        </w:rPr>
        <w:t xml:space="preserve">iscusión el dictamen </w:t>
      </w:r>
      <w:r>
        <w:rPr>
          <w:rFonts w:ascii="Abadi" w:hAnsi="Abadi"/>
          <w:sz w:val="21"/>
          <w:szCs w:val="21"/>
        </w:rPr>
        <w:t>signado</w:t>
      </w:r>
      <w:r w:rsidRPr="006813AA">
        <w:rPr>
          <w:rFonts w:ascii="Abadi" w:hAnsi="Abadi"/>
          <w:sz w:val="21"/>
          <w:szCs w:val="21"/>
        </w:rPr>
        <w:t xml:space="preserve"> por la </w:t>
      </w:r>
      <w:r>
        <w:rPr>
          <w:rFonts w:ascii="Abadi" w:hAnsi="Abadi"/>
          <w:sz w:val="21"/>
          <w:szCs w:val="21"/>
        </w:rPr>
        <w:t>C</w:t>
      </w:r>
      <w:r w:rsidRPr="006813AA">
        <w:rPr>
          <w:rFonts w:ascii="Abadi" w:hAnsi="Abadi"/>
          <w:sz w:val="21"/>
          <w:szCs w:val="21"/>
        </w:rPr>
        <w:t xml:space="preserve">omisión de </w:t>
      </w:r>
      <w:r>
        <w:rPr>
          <w:rFonts w:ascii="Abadi" w:hAnsi="Abadi"/>
          <w:sz w:val="21"/>
          <w:szCs w:val="21"/>
        </w:rPr>
        <w:t>S</w:t>
      </w:r>
      <w:r w:rsidRPr="006813AA">
        <w:rPr>
          <w:rFonts w:ascii="Abadi" w:hAnsi="Abadi"/>
          <w:sz w:val="21"/>
          <w:szCs w:val="21"/>
        </w:rPr>
        <w:t xml:space="preserve">eguridad </w:t>
      </w:r>
      <w:r>
        <w:rPr>
          <w:rFonts w:ascii="Abadi" w:hAnsi="Abadi"/>
          <w:sz w:val="21"/>
          <w:szCs w:val="21"/>
        </w:rPr>
        <w:t>P</w:t>
      </w:r>
      <w:r w:rsidRPr="006813AA">
        <w:rPr>
          <w:rFonts w:ascii="Abadi" w:hAnsi="Abadi"/>
          <w:sz w:val="21"/>
          <w:szCs w:val="21"/>
        </w:rPr>
        <w:t xml:space="preserve">ública y </w:t>
      </w:r>
      <w:r>
        <w:rPr>
          <w:rFonts w:ascii="Abadi" w:hAnsi="Abadi"/>
          <w:sz w:val="21"/>
          <w:szCs w:val="21"/>
        </w:rPr>
        <w:t>C</w:t>
      </w:r>
      <w:r w:rsidRPr="006813AA">
        <w:rPr>
          <w:rFonts w:ascii="Abadi" w:hAnsi="Abadi"/>
          <w:sz w:val="21"/>
          <w:szCs w:val="21"/>
        </w:rPr>
        <w:t>omunicaciones correspondiente al punto 2</w:t>
      </w:r>
      <w:r>
        <w:rPr>
          <w:rFonts w:ascii="Abadi" w:hAnsi="Abadi"/>
          <w:sz w:val="21"/>
          <w:szCs w:val="21"/>
        </w:rPr>
        <w:t>8</w:t>
      </w:r>
      <w:r w:rsidRPr="006813AA">
        <w:rPr>
          <w:rFonts w:ascii="Abadi" w:hAnsi="Abadi"/>
          <w:sz w:val="21"/>
          <w:szCs w:val="21"/>
        </w:rPr>
        <w:t xml:space="preserve"> de nuestra orden del día</w:t>
      </w:r>
      <w:r>
        <w:rPr>
          <w:rFonts w:ascii="Abadi" w:hAnsi="Abadi"/>
          <w:sz w:val="21"/>
          <w:szCs w:val="21"/>
        </w:rPr>
        <w:t>.</w:t>
      </w:r>
    </w:p>
    <w:p w14:paraId="7CFF8BF5" w14:textId="77777777" w:rsidR="00FE0DE4" w:rsidRDefault="00FE0DE4" w:rsidP="00FE0DE4">
      <w:pPr>
        <w:ind w:firstLine="567"/>
        <w:jc w:val="both"/>
        <w:rPr>
          <w:rFonts w:ascii="Abadi" w:hAnsi="Abadi"/>
          <w:sz w:val="21"/>
          <w:szCs w:val="21"/>
        </w:rPr>
      </w:pPr>
    </w:p>
    <w:p w14:paraId="20D0D9E5" w14:textId="72A930F5" w:rsidR="00FE0DE4" w:rsidRDefault="00FE0DE4" w:rsidP="00FE0DE4">
      <w:pPr>
        <w:ind w:firstLine="567"/>
        <w:jc w:val="both"/>
        <w:rPr>
          <w:rFonts w:ascii="Abadi" w:hAnsi="Abadi"/>
          <w:sz w:val="21"/>
          <w:szCs w:val="21"/>
        </w:rPr>
      </w:pPr>
      <w:r>
        <w:rPr>
          <w:rFonts w:ascii="Abadi" w:hAnsi="Abadi"/>
          <w:sz w:val="21"/>
          <w:szCs w:val="21"/>
        </w:rPr>
        <w:t>- S</w:t>
      </w:r>
      <w:r w:rsidRPr="006813AA">
        <w:rPr>
          <w:rFonts w:ascii="Abadi" w:hAnsi="Abadi"/>
          <w:sz w:val="21"/>
          <w:szCs w:val="21"/>
        </w:rPr>
        <w:t xml:space="preserve">i alguna diputada algún diputado desea hacer </w:t>
      </w:r>
      <w:r>
        <w:rPr>
          <w:rFonts w:ascii="Abadi" w:hAnsi="Abadi"/>
          <w:sz w:val="21"/>
          <w:szCs w:val="21"/>
        </w:rPr>
        <w:t>u</w:t>
      </w:r>
      <w:r w:rsidRPr="006813AA">
        <w:rPr>
          <w:rFonts w:ascii="Abadi" w:hAnsi="Abadi"/>
          <w:sz w:val="21"/>
          <w:szCs w:val="21"/>
        </w:rPr>
        <w:t xml:space="preserve">so de la palabra </w:t>
      </w:r>
      <w:r>
        <w:rPr>
          <w:rFonts w:ascii="Abadi" w:hAnsi="Abadi"/>
          <w:sz w:val="21"/>
          <w:szCs w:val="21"/>
        </w:rPr>
        <w:t xml:space="preserve">en pro o en contra </w:t>
      </w:r>
      <w:r w:rsidRPr="006813AA">
        <w:rPr>
          <w:rFonts w:ascii="Abadi" w:hAnsi="Abadi"/>
          <w:sz w:val="21"/>
          <w:szCs w:val="21"/>
        </w:rPr>
        <w:t>manifiéstenlo indicando el sentido de su participación</w:t>
      </w:r>
      <w:r>
        <w:rPr>
          <w:rFonts w:ascii="Abadi" w:hAnsi="Abadi"/>
          <w:sz w:val="21"/>
          <w:szCs w:val="21"/>
        </w:rPr>
        <w:t>.</w:t>
      </w:r>
    </w:p>
    <w:p w14:paraId="5FC82A0D" w14:textId="77777777" w:rsidR="00FE0DE4" w:rsidRDefault="00FE0DE4" w:rsidP="00FE0DE4">
      <w:pPr>
        <w:ind w:firstLine="567"/>
        <w:jc w:val="both"/>
        <w:rPr>
          <w:rFonts w:ascii="Abadi" w:hAnsi="Abadi"/>
          <w:sz w:val="21"/>
          <w:szCs w:val="21"/>
        </w:rPr>
      </w:pPr>
    </w:p>
    <w:p w14:paraId="0743E450" w14:textId="7E52D144" w:rsidR="00FE0DE4" w:rsidRDefault="00FE0DE4" w:rsidP="00FE0DE4">
      <w:pPr>
        <w:ind w:firstLine="567"/>
        <w:jc w:val="both"/>
        <w:rPr>
          <w:rFonts w:ascii="Abadi" w:hAnsi="Abadi"/>
          <w:sz w:val="21"/>
          <w:szCs w:val="21"/>
        </w:rPr>
      </w:pPr>
      <w:r>
        <w:rPr>
          <w:rFonts w:ascii="Abadi" w:hAnsi="Abadi"/>
          <w:sz w:val="21"/>
          <w:szCs w:val="21"/>
        </w:rPr>
        <w:t>- N</w:t>
      </w:r>
      <w:r w:rsidRPr="006813AA">
        <w:rPr>
          <w:rFonts w:ascii="Abadi" w:hAnsi="Abadi"/>
          <w:sz w:val="21"/>
          <w:szCs w:val="21"/>
        </w:rPr>
        <w:t>o habiendo participaciones se pid</w:t>
      </w:r>
      <w:r>
        <w:rPr>
          <w:rFonts w:ascii="Abadi" w:hAnsi="Abadi"/>
          <w:sz w:val="21"/>
          <w:szCs w:val="21"/>
        </w:rPr>
        <w:t>e</w:t>
      </w:r>
      <w:r w:rsidRPr="006813AA">
        <w:rPr>
          <w:rFonts w:ascii="Abadi" w:hAnsi="Abadi"/>
          <w:sz w:val="21"/>
          <w:szCs w:val="21"/>
        </w:rPr>
        <w:t xml:space="preserve"> la </w:t>
      </w:r>
      <w:r>
        <w:rPr>
          <w:rFonts w:ascii="Abadi" w:hAnsi="Abadi"/>
          <w:sz w:val="21"/>
          <w:szCs w:val="21"/>
        </w:rPr>
        <w:t>S</w:t>
      </w:r>
      <w:r w:rsidRPr="006813AA">
        <w:rPr>
          <w:rFonts w:ascii="Abadi" w:hAnsi="Abadi"/>
          <w:sz w:val="21"/>
          <w:szCs w:val="21"/>
        </w:rPr>
        <w:t xml:space="preserve">ecretaría que proceda a recabar votación nominal de la </w:t>
      </w:r>
      <w:r>
        <w:rPr>
          <w:rFonts w:ascii="Abadi" w:hAnsi="Abadi"/>
          <w:sz w:val="21"/>
          <w:szCs w:val="21"/>
        </w:rPr>
        <w:t>A</w:t>
      </w:r>
      <w:r w:rsidRPr="006813AA">
        <w:rPr>
          <w:rFonts w:ascii="Abadi" w:hAnsi="Abadi"/>
          <w:sz w:val="21"/>
          <w:szCs w:val="21"/>
        </w:rPr>
        <w:t>samblea a través del sistema electrónico a efecto de aprobar o no el dictamen puesto a su consideración</w:t>
      </w:r>
      <w:r>
        <w:rPr>
          <w:rFonts w:ascii="Abadi" w:hAnsi="Abadi"/>
          <w:sz w:val="21"/>
          <w:szCs w:val="21"/>
        </w:rPr>
        <w:t>.</w:t>
      </w:r>
    </w:p>
    <w:p w14:paraId="4A33215A" w14:textId="77777777" w:rsidR="00F0751D" w:rsidRDefault="00F0751D" w:rsidP="00FE0DE4">
      <w:pPr>
        <w:ind w:firstLine="567"/>
        <w:jc w:val="both"/>
        <w:rPr>
          <w:rFonts w:ascii="Abadi" w:hAnsi="Abadi"/>
          <w:sz w:val="21"/>
          <w:szCs w:val="21"/>
        </w:rPr>
      </w:pPr>
    </w:p>
    <w:p w14:paraId="529A746E" w14:textId="4C00B93B" w:rsidR="00FE0DE4" w:rsidRDefault="00FE0DE4" w:rsidP="00F0751D">
      <w:pPr>
        <w:jc w:val="both"/>
        <w:rPr>
          <w:rFonts w:ascii="Abadi" w:hAnsi="Abadi"/>
          <w:b/>
          <w:bCs/>
          <w:sz w:val="21"/>
          <w:szCs w:val="21"/>
        </w:rPr>
      </w:pPr>
      <w:r w:rsidRPr="002E3E61">
        <w:rPr>
          <w:rFonts w:ascii="Abadi" w:hAnsi="Abadi"/>
          <w:b/>
          <w:bCs/>
          <w:sz w:val="21"/>
          <w:szCs w:val="21"/>
        </w:rPr>
        <w:t>(Abrimos nuestro sistema electrónico)</w:t>
      </w:r>
    </w:p>
    <w:p w14:paraId="52CEEC44" w14:textId="77777777" w:rsidR="00FE0DE4" w:rsidRPr="002E3E61" w:rsidRDefault="00FE0DE4" w:rsidP="00FE0DE4">
      <w:pPr>
        <w:ind w:firstLine="567"/>
        <w:jc w:val="both"/>
        <w:rPr>
          <w:rFonts w:ascii="Abadi" w:hAnsi="Abadi"/>
          <w:b/>
          <w:bCs/>
          <w:sz w:val="21"/>
          <w:szCs w:val="21"/>
        </w:rPr>
      </w:pPr>
    </w:p>
    <w:p w14:paraId="0A716F9D" w14:textId="674AD2C1" w:rsidR="00FE0DE4" w:rsidRDefault="00FE0DE4" w:rsidP="00FE0DE4">
      <w:pPr>
        <w:ind w:firstLine="567"/>
        <w:jc w:val="both"/>
        <w:rPr>
          <w:rFonts w:ascii="Abadi" w:hAnsi="Abadi"/>
          <w:sz w:val="21"/>
          <w:szCs w:val="21"/>
        </w:rPr>
      </w:pPr>
      <w:r w:rsidRPr="00161200">
        <w:rPr>
          <w:rFonts w:ascii="Abadi" w:hAnsi="Abadi"/>
          <w:b/>
          <w:bCs/>
          <w:sz w:val="21"/>
          <w:szCs w:val="21"/>
        </w:rPr>
        <w:t>- El Secretario.-</w:t>
      </w:r>
      <w:r>
        <w:rPr>
          <w:rFonts w:ascii="Abadi" w:hAnsi="Abadi"/>
          <w:sz w:val="21"/>
          <w:szCs w:val="21"/>
        </w:rPr>
        <w:t xml:space="preserve"> </w:t>
      </w:r>
      <w:r w:rsidRPr="006813AA">
        <w:rPr>
          <w:rFonts w:ascii="Abadi" w:hAnsi="Abadi"/>
          <w:sz w:val="21"/>
          <w:szCs w:val="21"/>
        </w:rPr>
        <w:t xml:space="preserve"> </w:t>
      </w:r>
      <w:r>
        <w:rPr>
          <w:rFonts w:ascii="Abadi" w:hAnsi="Abadi"/>
          <w:sz w:val="21"/>
          <w:szCs w:val="21"/>
        </w:rPr>
        <w:t>E</w:t>
      </w:r>
      <w:r w:rsidRPr="006813AA">
        <w:rPr>
          <w:rFonts w:ascii="Abadi" w:hAnsi="Abadi"/>
          <w:sz w:val="21"/>
          <w:szCs w:val="21"/>
        </w:rPr>
        <w:t>n votación nominal por el sistema electrónico se pregunta a las diputadas y los diputados si se aprueba el dictamen puesto a su consideración</w:t>
      </w:r>
      <w:r>
        <w:rPr>
          <w:rFonts w:ascii="Abadi" w:hAnsi="Abadi"/>
          <w:sz w:val="21"/>
          <w:szCs w:val="21"/>
        </w:rPr>
        <w:t xml:space="preserve">. ¿Diputada Briseida Anabel? </w:t>
      </w:r>
    </w:p>
    <w:p w14:paraId="3C841F17" w14:textId="77777777" w:rsidR="00FE0DE4" w:rsidRPr="006813AA" w:rsidRDefault="00FE0DE4" w:rsidP="00FE0DE4">
      <w:pPr>
        <w:ind w:firstLine="567"/>
        <w:jc w:val="both"/>
        <w:rPr>
          <w:rFonts w:ascii="Abadi" w:hAnsi="Abadi"/>
          <w:sz w:val="21"/>
          <w:szCs w:val="21"/>
        </w:rPr>
      </w:pPr>
    </w:p>
    <w:p w14:paraId="3CD390BC" w14:textId="33A97B31" w:rsidR="00FE0DE4" w:rsidRDefault="00FE0DE4" w:rsidP="00FE0DE4">
      <w:pPr>
        <w:jc w:val="both"/>
        <w:rPr>
          <w:rFonts w:ascii="Abadi" w:hAnsi="Abadi"/>
          <w:sz w:val="21"/>
          <w:szCs w:val="21"/>
        </w:rPr>
      </w:pPr>
      <w:r>
        <w:rPr>
          <w:rFonts w:ascii="Abadi" w:hAnsi="Abadi"/>
          <w:sz w:val="21"/>
          <w:szCs w:val="21"/>
        </w:rPr>
        <w:t>¿F</w:t>
      </w:r>
      <w:r w:rsidRPr="006813AA">
        <w:rPr>
          <w:rFonts w:ascii="Abadi" w:hAnsi="Abadi"/>
          <w:sz w:val="21"/>
          <w:szCs w:val="21"/>
        </w:rPr>
        <w:t xml:space="preserve">alta alguna diputada o algún diputado </w:t>
      </w:r>
      <w:r>
        <w:rPr>
          <w:rFonts w:ascii="Abadi" w:hAnsi="Abadi"/>
          <w:sz w:val="21"/>
          <w:szCs w:val="21"/>
        </w:rPr>
        <w:t xml:space="preserve">de emitir </w:t>
      </w:r>
      <w:r w:rsidRPr="006813AA">
        <w:rPr>
          <w:rFonts w:ascii="Abadi" w:hAnsi="Abadi"/>
          <w:sz w:val="21"/>
          <w:szCs w:val="21"/>
        </w:rPr>
        <w:t>su voto</w:t>
      </w:r>
      <w:r>
        <w:rPr>
          <w:rFonts w:ascii="Abadi" w:hAnsi="Abadi"/>
          <w:sz w:val="21"/>
          <w:szCs w:val="21"/>
        </w:rPr>
        <w:t>?</w:t>
      </w:r>
    </w:p>
    <w:p w14:paraId="07E7C55F" w14:textId="77777777" w:rsidR="00FE0DE4" w:rsidRDefault="00FE0DE4" w:rsidP="00FE0DE4">
      <w:pPr>
        <w:jc w:val="both"/>
        <w:rPr>
          <w:rFonts w:ascii="Abadi" w:hAnsi="Abadi"/>
          <w:sz w:val="21"/>
          <w:szCs w:val="21"/>
        </w:rPr>
      </w:pPr>
    </w:p>
    <w:p w14:paraId="1B6446B4" w14:textId="77777777" w:rsidR="00FE0DE4" w:rsidRDefault="00FE0DE4" w:rsidP="00FE0DE4">
      <w:pPr>
        <w:jc w:val="both"/>
        <w:rPr>
          <w:rFonts w:ascii="Abadi" w:hAnsi="Abadi"/>
          <w:b/>
          <w:bCs/>
          <w:sz w:val="21"/>
          <w:szCs w:val="21"/>
        </w:rPr>
      </w:pPr>
      <w:r w:rsidRPr="00351E97">
        <w:rPr>
          <w:rFonts w:ascii="Abadi" w:hAnsi="Abadi"/>
          <w:b/>
          <w:bCs/>
          <w:sz w:val="21"/>
          <w:szCs w:val="21"/>
        </w:rPr>
        <w:t>(Cerramos nuestro sistema eléctrico)</w:t>
      </w:r>
    </w:p>
    <w:p w14:paraId="70F92906" w14:textId="77777777" w:rsidR="00FE0DE4" w:rsidRPr="00351E97" w:rsidRDefault="00FE0DE4" w:rsidP="00FE0DE4">
      <w:pPr>
        <w:tabs>
          <w:tab w:val="left" w:pos="2495"/>
        </w:tabs>
        <w:jc w:val="both"/>
        <w:rPr>
          <w:rFonts w:ascii="Abadi" w:hAnsi="Abadi"/>
          <w:b/>
          <w:bCs/>
          <w:sz w:val="21"/>
          <w:szCs w:val="21"/>
        </w:rPr>
      </w:pPr>
      <w:r>
        <w:rPr>
          <w:rFonts w:ascii="Abadi" w:hAnsi="Abadi"/>
          <w:b/>
          <w:bCs/>
          <w:sz w:val="21"/>
          <w:szCs w:val="21"/>
        </w:rPr>
        <w:tab/>
      </w:r>
      <w:r>
        <w:rPr>
          <w:noProof/>
        </w:rPr>
        <w:drawing>
          <wp:inline distT="0" distB="0" distL="0" distR="0" wp14:anchorId="0347FA93" wp14:editId="7B64920B">
            <wp:extent cx="1727111" cy="893752"/>
            <wp:effectExtent l="323850" t="323850" r="330835" b="32575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b="7959"/>
                    <a:stretch/>
                  </pic:blipFill>
                  <pic:spPr bwMode="auto">
                    <a:xfrm>
                      <a:off x="0" y="0"/>
                      <a:ext cx="1747959" cy="904541"/>
                    </a:xfrm>
                    <a:prstGeom prst="rect">
                      <a:avLst/>
                    </a:prstGeom>
                    <a:ln w="88900" cap="sq" cmpd="thickThin">
                      <a:solidFill>
                        <a:srgbClr val="000000"/>
                      </a:solidFill>
                      <a:prstDash val="solid"/>
                      <a:miter lim="800000"/>
                    </a:ln>
                    <a:effectLst>
                      <a:glow rad="228600">
                        <a:schemeClr val="accent3">
                          <a:satMod val="1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21A7CFE1" w14:textId="4BDEB4FF" w:rsidR="00FE0DE4" w:rsidRDefault="00FE0DE4" w:rsidP="00FE0DE4">
      <w:pPr>
        <w:jc w:val="both"/>
        <w:rPr>
          <w:rFonts w:ascii="Abadi" w:hAnsi="Abadi"/>
          <w:sz w:val="21"/>
          <w:szCs w:val="21"/>
        </w:rPr>
      </w:pPr>
      <w:r>
        <w:rPr>
          <w:rFonts w:ascii="Abadi" w:hAnsi="Abadi"/>
          <w:b/>
          <w:bCs/>
          <w:sz w:val="21"/>
          <w:szCs w:val="21"/>
        </w:rPr>
        <w:tab/>
      </w:r>
      <w:r w:rsidRPr="007F230A">
        <w:rPr>
          <w:rFonts w:ascii="Abadi" w:hAnsi="Abadi"/>
          <w:b/>
          <w:bCs/>
          <w:sz w:val="21"/>
          <w:szCs w:val="21"/>
        </w:rPr>
        <w:t>- El Secretario.-</w:t>
      </w:r>
      <w:r>
        <w:rPr>
          <w:rFonts w:ascii="Abadi" w:hAnsi="Abadi"/>
          <w:sz w:val="21"/>
          <w:szCs w:val="21"/>
        </w:rPr>
        <w:t xml:space="preserve"> </w:t>
      </w:r>
      <w:r w:rsidRPr="006813AA">
        <w:rPr>
          <w:rFonts w:ascii="Abadi" w:hAnsi="Abadi"/>
          <w:sz w:val="21"/>
          <w:szCs w:val="21"/>
        </w:rPr>
        <w:t xml:space="preserve"> </w:t>
      </w:r>
      <w:r w:rsidRPr="007F230A">
        <w:rPr>
          <w:rFonts w:ascii="Abadi" w:hAnsi="Abadi"/>
          <w:sz w:val="21"/>
          <w:szCs w:val="21"/>
        </w:rPr>
        <w:t>Señor P</w:t>
      </w:r>
      <w:r w:rsidRPr="006813AA">
        <w:rPr>
          <w:rFonts w:ascii="Abadi" w:hAnsi="Abadi"/>
          <w:sz w:val="21"/>
          <w:szCs w:val="21"/>
        </w:rPr>
        <w:t>residente se registraron 26 votos a favor y 7 votos en contra</w:t>
      </w:r>
      <w:r>
        <w:rPr>
          <w:rFonts w:ascii="Abadi" w:hAnsi="Abadi"/>
          <w:sz w:val="21"/>
          <w:szCs w:val="21"/>
        </w:rPr>
        <w:t>.</w:t>
      </w:r>
    </w:p>
    <w:p w14:paraId="3DFA7170" w14:textId="77777777" w:rsidR="00FE0DE4" w:rsidRDefault="00FE0DE4" w:rsidP="00FE0DE4">
      <w:pPr>
        <w:jc w:val="both"/>
        <w:rPr>
          <w:rFonts w:ascii="Abadi" w:hAnsi="Abadi"/>
          <w:sz w:val="21"/>
          <w:szCs w:val="21"/>
        </w:rPr>
      </w:pPr>
    </w:p>
    <w:p w14:paraId="3DDEB897" w14:textId="39D27646" w:rsidR="00FE0DE4" w:rsidRDefault="00FE0DE4" w:rsidP="00FE0DE4">
      <w:pPr>
        <w:ind w:firstLine="708"/>
        <w:jc w:val="both"/>
        <w:rPr>
          <w:rFonts w:ascii="Abadi" w:hAnsi="Abadi"/>
          <w:sz w:val="21"/>
          <w:szCs w:val="21"/>
        </w:rPr>
      </w:pPr>
      <w:r w:rsidRPr="006019B8">
        <w:rPr>
          <w:rFonts w:ascii="Abadi" w:hAnsi="Abadi"/>
          <w:b/>
          <w:bCs/>
          <w:sz w:val="21"/>
          <w:szCs w:val="21"/>
        </w:rPr>
        <w:t>- El Presidente.-</w:t>
      </w:r>
      <w:r>
        <w:rPr>
          <w:rFonts w:ascii="Abadi" w:hAnsi="Abadi"/>
          <w:sz w:val="21"/>
          <w:szCs w:val="21"/>
        </w:rPr>
        <w:t xml:space="preserve"> </w:t>
      </w:r>
      <w:r w:rsidRPr="006813AA">
        <w:rPr>
          <w:rFonts w:ascii="Abadi" w:hAnsi="Abadi"/>
          <w:sz w:val="21"/>
          <w:szCs w:val="21"/>
        </w:rPr>
        <w:t xml:space="preserve"> </w:t>
      </w:r>
      <w:r>
        <w:rPr>
          <w:rFonts w:ascii="Abadi" w:hAnsi="Abadi"/>
          <w:sz w:val="21"/>
          <w:szCs w:val="21"/>
        </w:rPr>
        <w:t>P</w:t>
      </w:r>
      <w:r w:rsidRPr="006813AA">
        <w:rPr>
          <w:rFonts w:ascii="Abadi" w:hAnsi="Abadi"/>
          <w:sz w:val="21"/>
          <w:szCs w:val="21"/>
        </w:rPr>
        <w:t>or mayoría de votos el dictamen ha sido aproba</w:t>
      </w:r>
      <w:r>
        <w:rPr>
          <w:rFonts w:ascii="Abadi" w:hAnsi="Abadi"/>
          <w:sz w:val="21"/>
          <w:szCs w:val="21"/>
        </w:rPr>
        <w:t>do.</w:t>
      </w:r>
    </w:p>
    <w:p w14:paraId="5A103AE3" w14:textId="77777777" w:rsidR="00FE0DE4" w:rsidRDefault="00FE0DE4" w:rsidP="00FE0DE4">
      <w:pPr>
        <w:ind w:firstLine="708"/>
        <w:jc w:val="both"/>
        <w:rPr>
          <w:rFonts w:ascii="Abadi" w:hAnsi="Abadi"/>
          <w:sz w:val="21"/>
          <w:szCs w:val="21"/>
        </w:rPr>
      </w:pPr>
    </w:p>
    <w:p w14:paraId="245C4822" w14:textId="77777777" w:rsidR="00FE0DE4" w:rsidRDefault="00FE0DE4" w:rsidP="00FE0DE4">
      <w:pPr>
        <w:ind w:left="567" w:right="425"/>
        <w:jc w:val="both"/>
        <w:rPr>
          <w:rFonts w:ascii="Abadi" w:hAnsi="Abadi"/>
          <w:sz w:val="21"/>
          <w:szCs w:val="21"/>
        </w:rPr>
      </w:pPr>
      <w:r w:rsidRPr="009936EB">
        <w:rPr>
          <w:rFonts w:ascii="Abadi" w:hAnsi="Abadi"/>
          <w:b/>
          <w:bCs/>
          <w:i/>
          <w:iCs/>
          <w:sz w:val="21"/>
          <w:szCs w:val="21"/>
          <w:u w:val="single"/>
        </w:rPr>
        <w:t>En consecuencia se instruye a la Secretaría General para que proceda el archivo definitivo de la iniciativa referida en el dictamen aprobado</w:t>
      </w:r>
      <w:r>
        <w:rPr>
          <w:rFonts w:ascii="Abadi" w:hAnsi="Abadi"/>
          <w:sz w:val="21"/>
          <w:szCs w:val="21"/>
        </w:rPr>
        <w:t>.</w:t>
      </w:r>
    </w:p>
    <w:p w14:paraId="7315620F" w14:textId="165FD7EE" w:rsidR="003B7F37" w:rsidRPr="003B7F37" w:rsidRDefault="003B7F37" w:rsidP="00E462B6">
      <w:pPr>
        <w:autoSpaceDE w:val="0"/>
        <w:autoSpaceDN w:val="0"/>
        <w:adjustRightInd w:val="0"/>
        <w:jc w:val="both"/>
        <w:rPr>
          <w:rFonts w:ascii="Abadi" w:hAnsi="Abadi" w:cs="ArialMT"/>
          <w:sz w:val="20"/>
          <w:szCs w:val="21"/>
        </w:rPr>
      </w:pPr>
    </w:p>
    <w:p w14:paraId="75EB9050" w14:textId="77777777" w:rsidR="003B7F37" w:rsidRPr="0028553C" w:rsidRDefault="003B7F37" w:rsidP="00E462B6">
      <w:pPr>
        <w:autoSpaceDE w:val="0"/>
        <w:autoSpaceDN w:val="0"/>
        <w:adjustRightInd w:val="0"/>
        <w:jc w:val="both"/>
        <w:rPr>
          <w:rFonts w:ascii="Abadi" w:hAnsi="Abadi" w:cs="ArialMT"/>
          <w:b/>
          <w:bCs/>
          <w:sz w:val="20"/>
          <w:szCs w:val="21"/>
        </w:rPr>
      </w:pPr>
    </w:p>
    <w:p w14:paraId="067F639A" w14:textId="77777777" w:rsidR="00E462B6" w:rsidRPr="0028553C" w:rsidRDefault="00E462B6">
      <w:pPr>
        <w:pStyle w:val="Prrafodelista"/>
        <w:numPr>
          <w:ilvl w:val="0"/>
          <w:numId w:val="14"/>
        </w:numPr>
        <w:autoSpaceDE w:val="0"/>
        <w:autoSpaceDN w:val="0"/>
        <w:adjustRightInd w:val="0"/>
        <w:contextualSpacing/>
        <w:jc w:val="both"/>
        <w:rPr>
          <w:rFonts w:ascii="Abadi" w:hAnsi="Abadi" w:cs="ArialMT"/>
          <w:b/>
          <w:bCs/>
          <w:sz w:val="20"/>
          <w:szCs w:val="21"/>
        </w:rPr>
      </w:pPr>
      <w:r w:rsidRPr="0028553C">
        <w:rPr>
          <w:rFonts w:ascii="Abadi" w:hAnsi="Abadi" w:cs="ArialMT"/>
          <w:b/>
          <w:bCs/>
          <w:sz w:val="20"/>
          <w:szCs w:val="21"/>
        </w:rPr>
        <w:t>DISCUSIÓN Y, EN SU CASO, APROBACIÓN DEL DICTAMEN EMITIDO POR LA COMISIÓN DE SEGURIDAD PÚBLICA Y COMUNICACIONES RELATIVO A LA PROPUESTA DE PUNTO DE ACUERDO FORMULADA, ANTE LA SEXAGÉSIMA CUARTA LEGISLATURA, POR LA DIPUTADA Y EL DIPUTADO INTEGRANTES DEL GRUPO PARLAMENTARIO DEL PARTIDO VERDE</w:t>
      </w:r>
    </w:p>
    <w:p w14:paraId="601CD0A1" w14:textId="77777777" w:rsidR="00E462B6" w:rsidRPr="0028553C" w:rsidRDefault="00E462B6" w:rsidP="0073094E">
      <w:pPr>
        <w:pStyle w:val="Prrafodelista"/>
        <w:autoSpaceDE w:val="0"/>
        <w:autoSpaceDN w:val="0"/>
        <w:adjustRightInd w:val="0"/>
        <w:ind w:left="720"/>
        <w:contextualSpacing/>
        <w:jc w:val="both"/>
        <w:rPr>
          <w:rFonts w:ascii="Abadi" w:hAnsi="Abadi" w:cs="ArialMT"/>
          <w:b/>
          <w:bCs/>
          <w:sz w:val="20"/>
          <w:szCs w:val="21"/>
        </w:rPr>
      </w:pPr>
      <w:r w:rsidRPr="0028553C">
        <w:rPr>
          <w:rFonts w:ascii="Abadi" w:hAnsi="Abadi" w:cs="ArialMT"/>
          <w:b/>
          <w:bCs/>
          <w:sz w:val="20"/>
          <w:szCs w:val="21"/>
        </w:rPr>
        <w:t xml:space="preserve">ECOLOGISTA DE MÉXICO PARA EXHORTAR AL TITULAR DEL PODER EJECUTIVO DEL ESTADO DE GUANAJUATO, POR CONDUCTO DE LAS DEPENDENCIAS CORRESPONDIENTES PARA QUE DE FORMA URGENTE REMITA A ESTA ASAMBLEA EL DIAGNÓSTICO INTEGRAL DEL CONTRATO RELACIONADO CON EL LLAMADO </w:t>
      </w:r>
      <w:r w:rsidRPr="0028553C">
        <w:rPr>
          <w:rFonts w:ascii="Abadi" w:hAnsi="Abadi" w:cs="Arial-ItalicMT"/>
          <w:b/>
          <w:bCs/>
          <w:i/>
          <w:iCs/>
          <w:sz w:val="20"/>
          <w:szCs w:val="21"/>
        </w:rPr>
        <w:t>PROGRAMA ESCUDO</w:t>
      </w:r>
      <w:r w:rsidRPr="0028553C">
        <w:rPr>
          <w:rFonts w:ascii="Abadi" w:hAnsi="Abadi" w:cs="ArialMT"/>
          <w:b/>
          <w:bCs/>
          <w:sz w:val="20"/>
          <w:szCs w:val="21"/>
        </w:rPr>
        <w:t>, E INFORME EL ESTADO QUE GUARDA EL EQUIPAMIENTO RELACIONADO CON EL MISMO, ASÍ TAMBIÉN INFORME SOBRE LA ESTRATEGIA EN MATERIA DE SEGURIDAD PARA INHIBIR LA DELINCUENCIA Y LA PERTINENCIA DE LA CONTINUIDAD DE DICHA ESTRATEGIA.</w:t>
      </w:r>
    </w:p>
    <w:p w14:paraId="4C7C877B" w14:textId="39866B0A" w:rsidR="00E462B6" w:rsidRDefault="00E462B6" w:rsidP="00E462B6">
      <w:pPr>
        <w:autoSpaceDE w:val="0"/>
        <w:autoSpaceDN w:val="0"/>
        <w:adjustRightInd w:val="0"/>
        <w:jc w:val="both"/>
        <w:rPr>
          <w:rFonts w:ascii="Abadi" w:hAnsi="Abadi" w:cs="Arial-BoldMT"/>
          <w:b/>
          <w:bCs/>
          <w:sz w:val="20"/>
          <w:szCs w:val="21"/>
        </w:rPr>
      </w:pPr>
    </w:p>
    <w:p w14:paraId="60605800" w14:textId="77777777" w:rsidR="00D54943" w:rsidRPr="00D54943" w:rsidRDefault="00D54943" w:rsidP="0073094E">
      <w:pPr>
        <w:rPr>
          <w:rFonts w:ascii="Abadi" w:eastAsiaTheme="minorHAnsi" w:hAnsi="Abadi" w:cs="Arial"/>
          <w:b/>
          <w:sz w:val="21"/>
          <w:szCs w:val="21"/>
          <w:lang w:val="es-MX" w:eastAsia="en-US"/>
        </w:rPr>
      </w:pPr>
      <w:r w:rsidRPr="00D54943">
        <w:rPr>
          <w:rFonts w:ascii="Abadi" w:eastAsiaTheme="minorHAnsi" w:hAnsi="Abadi" w:cs="Arial"/>
          <w:b/>
          <w:sz w:val="21"/>
          <w:szCs w:val="21"/>
          <w:lang w:val="es-MX" w:eastAsia="en-US"/>
        </w:rPr>
        <w:t>Presidencia de la Mesa Directiva</w:t>
      </w:r>
    </w:p>
    <w:p w14:paraId="6B1CD582" w14:textId="77777777" w:rsidR="00D54943" w:rsidRPr="00D54943" w:rsidRDefault="00D54943" w:rsidP="0073094E">
      <w:pPr>
        <w:rPr>
          <w:rFonts w:ascii="Abadi" w:eastAsiaTheme="minorHAnsi" w:hAnsi="Abadi" w:cs="Arial"/>
          <w:b/>
          <w:sz w:val="21"/>
          <w:szCs w:val="21"/>
          <w:lang w:val="es-MX" w:eastAsia="en-US"/>
        </w:rPr>
      </w:pPr>
      <w:r w:rsidRPr="00D54943">
        <w:rPr>
          <w:rFonts w:ascii="Abadi" w:eastAsiaTheme="minorHAnsi" w:hAnsi="Abadi" w:cs="Arial"/>
          <w:b/>
          <w:sz w:val="21"/>
          <w:szCs w:val="21"/>
          <w:lang w:val="es-MX" w:eastAsia="en-US"/>
        </w:rPr>
        <w:t>Congreso del Estado</w:t>
      </w:r>
    </w:p>
    <w:p w14:paraId="4C37D071" w14:textId="77777777" w:rsidR="00D54943" w:rsidRPr="00D54943" w:rsidRDefault="00D54943" w:rsidP="0073094E">
      <w:pPr>
        <w:rPr>
          <w:rFonts w:ascii="Abadi" w:eastAsiaTheme="minorHAnsi" w:hAnsi="Abadi" w:cs="Arial"/>
          <w:b/>
          <w:sz w:val="21"/>
          <w:szCs w:val="21"/>
          <w:lang w:val="es-MX" w:eastAsia="en-US"/>
        </w:rPr>
      </w:pPr>
      <w:r w:rsidRPr="00D54943">
        <w:rPr>
          <w:rFonts w:ascii="Abadi" w:eastAsiaTheme="minorHAnsi" w:hAnsi="Abadi" w:cs="Arial"/>
          <w:b/>
          <w:sz w:val="21"/>
          <w:szCs w:val="21"/>
          <w:lang w:val="es-MX" w:eastAsia="en-US"/>
        </w:rPr>
        <w:t>Presente</w:t>
      </w:r>
    </w:p>
    <w:p w14:paraId="14444E67" w14:textId="77777777" w:rsidR="00D54943" w:rsidRPr="00D54943" w:rsidRDefault="00D54943" w:rsidP="0073094E">
      <w:pPr>
        <w:spacing w:before="100" w:beforeAutospacing="1" w:afterAutospacing="1"/>
        <w:jc w:val="both"/>
        <w:textAlignment w:val="baseline"/>
        <w:rPr>
          <w:rFonts w:ascii="Abadi" w:hAnsi="Abadi" w:cs="Arial"/>
          <w:sz w:val="21"/>
          <w:szCs w:val="21"/>
          <w:lang w:val="es-MX" w:eastAsia="es-MX"/>
        </w:rPr>
      </w:pPr>
      <w:r w:rsidRPr="00D54943">
        <w:rPr>
          <w:rFonts w:ascii="Abadi" w:hAnsi="Abadi" w:cs="Arial"/>
          <w:sz w:val="21"/>
          <w:szCs w:val="21"/>
          <w:lang w:val="es-MX" w:eastAsia="es-MX"/>
        </w:rPr>
        <w:t>Correspondió a esta Comisión de Seguridad Pública y Comunicaciones analizar y dictaminar la propuesta de punto de acuerdo formulado, en la LXIV Legislatura, por la Diputada y el Diputado integrantes del Grupo Parlamentario del Partido Verde Ecologista de México para exhortar al titular del Poder Ejecutivo del Estado de Guanajuato, por conducto de las dependencias correspondientes para que de forma urgente remita a esta Asamblea el diagnóstico  integral  del  contrato  relacionado  con  el  llamado  “programa ESCUDO", e informe el estado que guarda el equipamiento relacionado con el mismo, así también informe sobre la estrategia en materia de Seguridad para inhibir la delincuencia y la pertinencia de la continuidad de dicha estrategia. </w:t>
      </w:r>
    </w:p>
    <w:p w14:paraId="1B80869C" w14:textId="77777777" w:rsidR="00D54943" w:rsidRPr="00D54943" w:rsidRDefault="00D54943" w:rsidP="0073094E">
      <w:pPr>
        <w:jc w:val="both"/>
        <w:textAlignment w:val="baseline"/>
        <w:rPr>
          <w:rFonts w:ascii="Abadi" w:hAnsi="Abadi" w:cs="Arial"/>
          <w:sz w:val="21"/>
          <w:szCs w:val="21"/>
          <w:lang w:val="es-MX" w:eastAsia="es-MX"/>
        </w:rPr>
      </w:pPr>
      <w:r w:rsidRPr="00D54943">
        <w:rPr>
          <w:rFonts w:ascii="Abadi" w:hAnsi="Abadi" w:cs="Arial"/>
          <w:sz w:val="21"/>
          <w:szCs w:val="21"/>
          <w:lang w:val="es-MX" w:eastAsia="es-MX"/>
        </w:rPr>
        <w:t xml:space="preserve">Con fundamento en el artículo 119 fracción II y 180 de la Ley Orgánica del Poder Legislativo del Estado de Guanajuato, se procede a realizar el siguiente: </w:t>
      </w:r>
    </w:p>
    <w:p w14:paraId="2CB8C333" w14:textId="77777777" w:rsidR="00D54943" w:rsidRPr="00D54943" w:rsidRDefault="00D54943" w:rsidP="0073094E">
      <w:pPr>
        <w:jc w:val="both"/>
        <w:textAlignment w:val="baseline"/>
        <w:rPr>
          <w:rFonts w:ascii="Abadi" w:hAnsi="Abadi" w:cs="Arial"/>
          <w:sz w:val="21"/>
          <w:szCs w:val="21"/>
          <w:lang w:val="es-MX" w:eastAsia="es-MX"/>
        </w:rPr>
      </w:pPr>
    </w:p>
    <w:p w14:paraId="47253BAA" w14:textId="1D3E0413" w:rsidR="00D54943" w:rsidRDefault="00D54943" w:rsidP="0073094E">
      <w:pPr>
        <w:jc w:val="center"/>
        <w:textAlignment w:val="baseline"/>
        <w:rPr>
          <w:rFonts w:ascii="Abadi" w:hAnsi="Abadi" w:cs="Arial"/>
          <w:b/>
          <w:sz w:val="21"/>
          <w:szCs w:val="21"/>
          <w:lang w:val="es-MX" w:eastAsia="es-MX"/>
        </w:rPr>
      </w:pPr>
      <w:r w:rsidRPr="00D54943">
        <w:rPr>
          <w:rFonts w:ascii="Abadi" w:hAnsi="Abadi" w:cs="Arial"/>
          <w:b/>
          <w:sz w:val="21"/>
          <w:szCs w:val="21"/>
          <w:lang w:val="es-MX" w:eastAsia="es-MX"/>
        </w:rPr>
        <w:t>D i c t a m e n</w:t>
      </w:r>
    </w:p>
    <w:p w14:paraId="6F2F1FD8" w14:textId="77777777" w:rsidR="00697307" w:rsidRPr="00D54943" w:rsidRDefault="00697307" w:rsidP="0073094E">
      <w:pPr>
        <w:jc w:val="center"/>
        <w:textAlignment w:val="baseline"/>
        <w:rPr>
          <w:rFonts w:ascii="Abadi" w:hAnsi="Abadi" w:cs="Arial"/>
          <w:b/>
          <w:sz w:val="21"/>
          <w:szCs w:val="21"/>
          <w:lang w:val="es-MX" w:eastAsia="es-MX"/>
        </w:rPr>
      </w:pPr>
    </w:p>
    <w:p w14:paraId="7A6ED52D" w14:textId="77777777" w:rsidR="00D54943" w:rsidRPr="00D54943" w:rsidRDefault="00D54943" w:rsidP="0073094E">
      <w:pPr>
        <w:numPr>
          <w:ilvl w:val="0"/>
          <w:numId w:val="44"/>
        </w:numPr>
        <w:textAlignment w:val="baseline"/>
        <w:rPr>
          <w:rFonts w:ascii="Abadi" w:hAnsi="Abadi" w:cs="Arial"/>
          <w:b/>
          <w:sz w:val="21"/>
          <w:szCs w:val="21"/>
          <w:lang w:val="es-MX" w:eastAsia="es-MX"/>
        </w:rPr>
      </w:pPr>
      <w:r w:rsidRPr="00D54943">
        <w:rPr>
          <w:rFonts w:ascii="Abadi" w:hAnsi="Abadi" w:cs="Arial"/>
          <w:b/>
          <w:sz w:val="21"/>
          <w:szCs w:val="21"/>
          <w:lang w:val="es-MX" w:eastAsia="es-MX"/>
        </w:rPr>
        <w:t>Antecedentes.</w:t>
      </w:r>
    </w:p>
    <w:p w14:paraId="08F5192F" w14:textId="77777777" w:rsidR="00D54943" w:rsidRPr="00D54943" w:rsidRDefault="00D54943" w:rsidP="0073094E">
      <w:pPr>
        <w:textAlignment w:val="baseline"/>
        <w:rPr>
          <w:rFonts w:ascii="Abadi" w:hAnsi="Abadi" w:cs="Arial"/>
          <w:sz w:val="21"/>
          <w:szCs w:val="21"/>
          <w:lang w:val="es-MX" w:eastAsia="es-MX"/>
        </w:rPr>
      </w:pPr>
    </w:p>
    <w:p w14:paraId="3DD3E10A" w14:textId="77777777" w:rsidR="00D54943" w:rsidRPr="00D54943" w:rsidRDefault="00D54943" w:rsidP="0073094E">
      <w:pPr>
        <w:jc w:val="both"/>
        <w:textAlignment w:val="baseline"/>
        <w:rPr>
          <w:rFonts w:ascii="Abadi" w:hAnsi="Abadi" w:cs="Arial"/>
          <w:sz w:val="21"/>
          <w:szCs w:val="21"/>
          <w:lang w:val="es-MX" w:eastAsia="es-MX"/>
        </w:rPr>
      </w:pPr>
      <w:r w:rsidRPr="00D54943">
        <w:rPr>
          <w:rFonts w:ascii="Abadi" w:hAnsi="Abadi" w:cs="Arial"/>
          <w:sz w:val="21"/>
          <w:szCs w:val="21"/>
          <w:lang w:val="es-MX" w:eastAsia="es-MX"/>
        </w:rPr>
        <w:t xml:space="preserve">La propuesta de acuerdo fue presentada en la sesión ordinaria celebrada en fecha 25 de octubre de 2018 y su radicación se realizó en reunión del día 5 de noviembre del mismo año.  </w:t>
      </w:r>
    </w:p>
    <w:p w14:paraId="046D029F" w14:textId="77777777" w:rsidR="00D54943" w:rsidRPr="00D54943" w:rsidRDefault="00D54943" w:rsidP="0073094E">
      <w:pPr>
        <w:jc w:val="both"/>
        <w:textAlignment w:val="baseline"/>
        <w:rPr>
          <w:rFonts w:ascii="Abadi" w:hAnsi="Abadi" w:cs="Arial"/>
          <w:sz w:val="21"/>
          <w:szCs w:val="21"/>
          <w:lang w:val="es-MX" w:eastAsia="es-MX"/>
        </w:rPr>
      </w:pPr>
    </w:p>
    <w:p w14:paraId="650A33E6" w14:textId="77777777" w:rsidR="00D54943" w:rsidRPr="00D54943" w:rsidRDefault="00D54943" w:rsidP="0073094E">
      <w:pPr>
        <w:jc w:val="both"/>
        <w:textAlignment w:val="baseline"/>
        <w:rPr>
          <w:rFonts w:ascii="Abadi" w:hAnsi="Abadi" w:cs="Arial"/>
          <w:sz w:val="21"/>
          <w:szCs w:val="21"/>
          <w:lang w:val="es-MX" w:eastAsia="es-MX"/>
        </w:rPr>
      </w:pPr>
      <w:r w:rsidRPr="00D54943">
        <w:rPr>
          <w:rFonts w:ascii="Abadi" w:hAnsi="Abadi" w:cs="Arial"/>
          <w:sz w:val="21"/>
          <w:szCs w:val="21"/>
          <w:lang w:val="es-MX" w:eastAsia="es-MX"/>
        </w:rPr>
        <w:t xml:space="preserve">No habiéndose determinado acción posterior, </w:t>
      </w:r>
      <w:r w:rsidRPr="00D54943">
        <w:rPr>
          <w:rFonts w:ascii="Abadi" w:hAnsi="Abadi"/>
          <w:sz w:val="21"/>
          <w:szCs w:val="21"/>
          <w:lang w:val="es-MX" w:eastAsia="es-MX"/>
        </w:rPr>
        <w:t xml:space="preserve">en fecha 14 de septiembre de 2021, los diputados integrantes de la Comisión de Seguridad Pública y Comunicaciones de la Sexagésima Cuarta Legislatura, determinaron señalar la referida propuesta de acuerdo como pendiente legislativo </w:t>
      </w:r>
      <w:r w:rsidRPr="00D54943">
        <w:rPr>
          <w:rFonts w:ascii="Abadi" w:hAnsi="Abadi" w:cs="Arial"/>
          <w:sz w:val="21"/>
          <w:szCs w:val="21"/>
          <w:lang w:val="es-MX" w:eastAsia="es-MX"/>
        </w:rPr>
        <w:t>dentro del Informe de Actividades Legislativas</w:t>
      </w:r>
      <w:r w:rsidRPr="00D54943">
        <w:rPr>
          <w:rFonts w:ascii="Abadi" w:hAnsi="Abadi"/>
          <w:sz w:val="21"/>
          <w:szCs w:val="21"/>
          <w:lang w:val="es-MX" w:eastAsia="es-MX"/>
        </w:rPr>
        <w:t>, para que fuera la siguiente Legislatura quien se pronunciara al respecto</w:t>
      </w:r>
      <w:r w:rsidRPr="00D54943">
        <w:rPr>
          <w:rFonts w:ascii="Abadi" w:hAnsi="Abadi" w:cs="Arial"/>
          <w:sz w:val="21"/>
          <w:szCs w:val="21"/>
          <w:lang w:val="es-MX" w:eastAsia="es-MX"/>
        </w:rPr>
        <w:t xml:space="preserve">.  </w:t>
      </w:r>
    </w:p>
    <w:p w14:paraId="5375E9DA" w14:textId="77777777" w:rsidR="00D54943" w:rsidRPr="00D54943" w:rsidRDefault="00D54943" w:rsidP="0073094E">
      <w:pPr>
        <w:jc w:val="both"/>
        <w:textAlignment w:val="baseline"/>
        <w:rPr>
          <w:rFonts w:ascii="Abadi" w:hAnsi="Abadi" w:cs="Arial"/>
          <w:sz w:val="21"/>
          <w:szCs w:val="21"/>
          <w:lang w:val="es-MX" w:eastAsia="es-MX"/>
        </w:rPr>
      </w:pPr>
    </w:p>
    <w:p w14:paraId="6D992E3A" w14:textId="77777777" w:rsidR="00D54943" w:rsidRPr="00D54943" w:rsidRDefault="00D54943" w:rsidP="0073094E">
      <w:pPr>
        <w:jc w:val="both"/>
        <w:textAlignment w:val="baseline"/>
        <w:rPr>
          <w:rFonts w:ascii="Abadi" w:hAnsi="Abadi"/>
          <w:sz w:val="21"/>
          <w:szCs w:val="21"/>
          <w:lang w:val="es-MX" w:eastAsia="es-MX"/>
        </w:rPr>
      </w:pPr>
      <w:r w:rsidRPr="00D54943">
        <w:rPr>
          <w:rFonts w:ascii="Abadi" w:hAnsi="Abadi"/>
          <w:sz w:val="21"/>
          <w:szCs w:val="21"/>
          <w:lang w:val="es-MX" w:eastAsia="es-MX"/>
        </w:rPr>
        <w:t>Habiéndose instalado la Comisión de Seguridad Pública y Comunicaciones de la Sexagésima Quinta Legislatura, en fecha 12 de octubre de 2022, nos impusimos del contenido de los pendientes legislativos, encontrándose entre ellos la referida propuesta de acuerdo que se dictamina.</w:t>
      </w:r>
    </w:p>
    <w:p w14:paraId="288F65B3" w14:textId="77777777" w:rsidR="00D54943" w:rsidRPr="00D54943" w:rsidRDefault="00D54943" w:rsidP="0073094E">
      <w:pPr>
        <w:jc w:val="both"/>
        <w:textAlignment w:val="baseline"/>
        <w:rPr>
          <w:rFonts w:ascii="Abadi" w:hAnsi="Abadi"/>
          <w:sz w:val="21"/>
          <w:szCs w:val="21"/>
          <w:lang w:val="es-MX" w:eastAsia="es-MX"/>
        </w:rPr>
      </w:pPr>
    </w:p>
    <w:p w14:paraId="203D5CF8" w14:textId="77777777" w:rsidR="00D54943" w:rsidRPr="00D54943" w:rsidRDefault="00D54943" w:rsidP="0073094E">
      <w:pPr>
        <w:jc w:val="both"/>
        <w:textAlignment w:val="baseline"/>
        <w:rPr>
          <w:rFonts w:ascii="Abadi" w:hAnsi="Abadi"/>
          <w:sz w:val="21"/>
          <w:szCs w:val="21"/>
          <w:lang w:val="es-MX" w:eastAsia="es-MX"/>
        </w:rPr>
      </w:pPr>
      <w:r w:rsidRPr="00D54943">
        <w:rPr>
          <w:rFonts w:ascii="Abadi" w:hAnsi="Abadi"/>
          <w:sz w:val="21"/>
          <w:szCs w:val="21"/>
          <w:lang w:val="es-MX" w:eastAsia="es-MX"/>
        </w:rPr>
        <w:t>Conforme a lo referido en el presente documento, la Presidencia de esta Comisión de Seguridad Pública y Comunicaciones instruyó a la Secretaría Técnica para que elaborara el proyecto de dictamen en sentido negativo, conforme a lo dispuesto en los artículos 94, fracción VII y 272 fracción VIII inciso e) de nuestra Ley Orgánica, para su discusión y votación por la diputada y diputados integrantes.</w:t>
      </w:r>
    </w:p>
    <w:p w14:paraId="6D2460DF" w14:textId="77777777" w:rsidR="00D54943" w:rsidRPr="00D54943" w:rsidRDefault="00D54943" w:rsidP="0073094E">
      <w:pPr>
        <w:spacing w:after="160"/>
        <w:jc w:val="both"/>
        <w:rPr>
          <w:rFonts w:ascii="Abadi" w:eastAsia="Batang" w:hAnsi="Abadi" w:cs="Arial"/>
          <w:b/>
          <w:sz w:val="21"/>
          <w:szCs w:val="21"/>
          <w:lang w:val="es-MX" w:eastAsia="en-US"/>
        </w:rPr>
      </w:pPr>
    </w:p>
    <w:p w14:paraId="27A52F7E" w14:textId="77777777" w:rsidR="00D54943" w:rsidRPr="00D54943" w:rsidRDefault="00D54943" w:rsidP="0073094E">
      <w:pPr>
        <w:numPr>
          <w:ilvl w:val="0"/>
          <w:numId w:val="44"/>
        </w:numPr>
        <w:jc w:val="both"/>
        <w:textAlignment w:val="baseline"/>
        <w:rPr>
          <w:rFonts w:ascii="Abadi" w:hAnsi="Abadi" w:cs="Arial"/>
          <w:b/>
          <w:sz w:val="21"/>
          <w:szCs w:val="21"/>
          <w:lang w:val="es-MX" w:eastAsia="es-MX"/>
        </w:rPr>
      </w:pPr>
      <w:r w:rsidRPr="00D54943">
        <w:rPr>
          <w:rFonts w:ascii="Abadi" w:hAnsi="Abadi" w:cs="Arial"/>
          <w:b/>
          <w:sz w:val="21"/>
          <w:szCs w:val="21"/>
          <w:lang w:val="es-MX" w:eastAsia="es-MX"/>
        </w:rPr>
        <w:t>Consideraciones de quien propone (en lo medular).</w:t>
      </w:r>
    </w:p>
    <w:p w14:paraId="071BBE95" w14:textId="77777777" w:rsidR="00D54943" w:rsidRPr="00D54943" w:rsidRDefault="00D54943" w:rsidP="0073094E">
      <w:pPr>
        <w:autoSpaceDE w:val="0"/>
        <w:autoSpaceDN w:val="0"/>
        <w:adjustRightInd w:val="0"/>
        <w:ind w:left="720"/>
        <w:contextualSpacing/>
        <w:jc w:val="both"/>
        <w:rPr>
          <w:rFonts w:ascii="Abadi" w:eastAsiaTheme="minorHAnsi" w:hAnsi="Abadi" w:cs="ArialNarrow"/>
          <w:color w:val="000000"/>
          <w:sz w:val="21"/>
          <w:szCs w:val="21"/>
          <w:lang w:val="es-MX" w:eastAsia="en-US"/>
        </w:rPr>
      </w:pPr>
    </w:p>
    <w:p w14:paraId="4E6B0A62" w14:textId="77777777" w:rsidR="00D54943" w:rsidRPr="00D54943" w:rsidRDefault="00D54943" w:rsidP="0073094E">
      <w:pPr>
        <w:jc w:val="both"/>
        <w:textAlignment w:val="baseline"/>
        <w:rPr>
          <w:rFonts w:ascii="Abadi" w:hAnsi="Abadi" w:cs="Arial"/>
          <w:sz w:val="21"/>
          <w:szCs w:val="21"/>
          <w:lang w:val="es-MX" w:eastAsia="es-MX"/>
        </w:rPr>
      </w:pPr>
      <w:r w:rsidRPr="00D54943">
        <w:rPr>
          <w:rFonts w:ascii="Abadi" w:hAnsi="Abadi" w:cs="Arial"/>
          <w:sz w:val="21"/>
          <w:szCs w:val="21"/>
          <w:lang w:val="es-MX" w:eastAsia="es-MX"/>
        </w:rPr>
        <w:t>En el estado de Guanajuato la violencia es el pan nuestro de cada día, incontables son los ejemplos palpables de dicha situación; tan así que a principios de septiembre el Secretariado Ejecutivo del Sistema Nacional de Seguridad Pública posicionaba a nuestro Estado como el líder en homicidios dolosos, y dentro de los primeros 10 estados en robos, y eso considerando que, en el caso de robos los indicadores se basan en los casos en los que la víctima presento denuncia.</w:t>
      </w:r>
    </w:p>
    <w:p w14:paraId="7B7A2A8A" w14:textId="77777777" w:rsidR="00D54943" w:rsidRPr="00D54943" w:rsidRDefault="00D54943" w:rsidP="0073094E">
      <w:pPr>
        <w:jc w:val="both"/>
        <w:textAlignment w:val="baseline"/>
        <w:rPr>
          <w:rFonts w:ascii="Abadi" w:hAnsi="Abadi" w:cs="Arial"/>
          <w:sz w:val="21"/>
          <w:szCs w:val="21"/>
          <w:lang w:val="es-MX" w:eastAsia="es-MX"/>
        </w:rPr>
      </w:pPr>
    </w:p>
    <w:p w14:paraId="18BEE147" w14:textId="77777777" w:rsidR="00D54943" w:rsidRPr="00D54943" w:rsidRDefault="00D54943" w:rsidP="0073094E">
      <w:pPr>
        <w:jc w:val="both"/>
        <w:textAlignment w:val="baseline"/>
        <w:rPr>
          <w:rFonts w:ascii="Abadi" w:hAnsi="Abadi" w:cs="Arial"/>
          <w:sz w:val="21"/>
          <w:szCs w:val="21"/>
          <w:lang w:val="es-MX" w:eastAsia="es-MX"/>
        </w:rPr>
      </w:pPr>
      <w:r w:rsidRPr="00D54943">
        <w:rPr>
          <w:rFonts w:ascii="Abadi" w:hAnsi="Abadi" w:cs="Arial"/>
          <w:sz w:val="21"/>
          <w:szCs w:val="21"/>
          <w:lang w:val="es-MX" w:eastAsia="es-MX"/>
        </w:rPr>
        <w:t>Hace 6 años y ante el incremento de delitos que se venía presentando en Guanajuato, con bombo y platillo se anunció la celebración de un contrato de prestación de servicios, para crear el Sistema Integral de Enlace y Monitoreo en materia de Seguridad Pública para el Estado de Guanajuato con el objetivo principal de crear un sistema de seguridad integral, que coordinara tanto al Estado como a los municipios en acciones de prevención, capacitación, información y asesoría en materia de seguridad pública. A pesar de que el contrato abarcaba un período de 6 años, en su momento, y bajo el argumento de que se trataba de un contrato de prestación de servicios se obvió la aprobación de dicho contrato por parte del Congreso del Estado de Guanajuato.</w:t>
      </w:r>
    </w:p>
    <w:p w14:paraId="6DD51F0E" w14:textId="77777777" w:rsidR="00D54943" w:rsidRPr="00D54943" w:rsidRDefault="00D54943" w:rsidP="0073094E">
      <w:pPr>
        <w:jc w:val="both"/>
        <w:textAlignment w:val="baseline"/>
        <w:rPr>
          <w:rFonts w:ascii="Abadi" w:hAnsi="Abadi" w:cs="Arial"/>
          <w:sz w:val="21"/>
          <w:szCs w:val="21"/>
          <w:lang w:val="es-MX" w:eastAsia="es-MX"/>
        </w:rPr>
      </w:pPr>
    </w:p>
    <w:p w14:paraId="24155A1E" w14:textId="77777777" w:rsidR="00D54943" w:rsidRPr="00D54943" w:rsidRDefault="00D54943" w:rsidP="0073094E">
      <w:pPr>
        <w:jc w:val="both"/>
        <w:textAlignment w:val="baseline"/>
        <w:rPr>
          <w:rFonts w:ascii="Abadi" w:hAnsi="Abadi" w:cs="Arial"/>
          <w:sz w:val="21"/>
          <w:szCs w:val="21"/>
          <w:lang w:val="es-MX" w:eastAsia="es-MX"/>
        </w:rPr>
      </w:pPr>
      <w:r w:rsidRPr="00D54943">
        <w:rPr>
          <w:rFonts w:ascii="Abadi" w:hAnsi="Abadi" w:cs="Arial"/>
          <w:sz w:val="21"/>
          <w:szCs w:val="21"/>
          <w:lang w:val="es-MX" w:eastAsia="es-MX"/>
        </w:rPr>
        <w:t>El contrato en mención, que establece obligaciones continuas por el plazo de seis años, según se determina en los dictámenes de los años 2012 a 2018, aprobados por el pleno de la Sexagésima Segunda y Sexagésima Tercera Legislaturas, se determinó que se trata de una estrategia e instrumento de seguridad pública y que no era una adquisición de equipo por parte del Estado de Guanajuato, sino que era un contrato de prestación de servicios.</w:t>
      </w:r>
    </w:p>
    <w:p w14:paraId="622EF874" w14:textId="77777777" w:rsidR="00D54943" w:rsidRPr="00D54943" w:rsidRDefault="00D54943" w:rsidP="0073094E">
      <w:pPr>
        <w:jc w:val="both"/>
        <w:textAlignment w:val="baseline"/>
        <w:rPr>
          <w:rFonts w:ascii="Abadi" w:hAnsi="Abadi" w:cs="Arial"/>
          <w:sz w:val="21"/>
          <w:szCs w:val="21"/>
          <w:lang w:val="es-MX" w:eastAsia="es-MX"/>
        </w:rPr>
      </w:pPr>
    </w:p>
    <w:p w14:paraId="3EFE65E3" w14:textId="77777777" w:rsidR="00D54943" w:rsidRPr="00D54943" w:rsidRDefault="00D54943" w:rsidP="0073094E">
      <w:pPr>
        <w:jc w:val="both"/>
        <w:textAlignment w:val="baseline"/>
        <w:rPr>
          <w:rFonts w:ascii="Abadi" w:hAnsi="Abadi" w:cs="Arial"/>
          <w:sz w:val="21"/>
          <w:szCs w:val="21"/>
          <w:lang w:val="es-MX" w:eastAsia="es-MX"/>
        </w:rPr>
      </w:pPr>
      <w:r w:rsidRPr="00D54943">
        <w:rPr>
          <w:rFonts w:ascii="Abadi" w:hAnsi="Abadi" w:cs="Arial"/>
          <w:sz w:val="21"/>
          <w:szCs w:val="21"/>
          <w:lang w:val="es-MX" w:eastAsia="es-MX"/>
        </w:rPr>
        <w:t>Considerando que el 24 de octubre de este año concluye el plazo inicial del contrato y en estos momentos no sabemos con exactitud el diagnostico que guarda el Programa, y ante la incertidumbre del futuro del programa ESCUDO y de la estrategia y "golpe de timón" anunciados, es que consideramos oportuno solicitar al Gobernador del Estado, que por conducto de las dependencias correspondientes proporcione la información relevante para que la ciudadanía conozca con exactitud cuál será el destino del programa mencionado para que en este sexenio realmente se inhiban los actos de delincuencia en nuestro Estado, y es además pertinente conocer con exactitud qué estado se encuentran los arcos carreteros, la tecnología contratada y por supuesto quien o quienes le darán mantenimiento para que este gasto realmente sea aprovechado.</w:t>
      </w:r>
    </w:p>
    <w:p w14:paraId="409796F2" w14:textId="77777777" w:rsidR="00D54943" w:rsidRPr="00D54943" w:rsidRDefault="00D54943" w:rsidP="0073094E">
      <w:pPr>
        <w:jc w:val="both"/>
        <w:textAlignment w:val="baseline"/>
        <w:rPr>
          <w:rFonts w:ascii="Abadi" w:hAnsi="Abadi" w:cs="Arial"/>
          <w:sz w:val="21"/>
          <w:szCs w:val="21"/>
          <w:lang w:val="es-MX" w:eastAsia="es-MX"/>
        </w:rPr>
      </w:pPr>
    </w:p>
    <w:p w14:paraId="1286A7D2" w14:textId="77777777" w:rsidR="00D54943" w:rsidRPr="00D54943" w:rsidRDefault="00D54943" w:rsidP="0073094E">
      <w:pPr>
        <w:jc w:val="both"/>
        <w:textAlignment w:val="baseline"/>
        <w:rPr>
          <w:rFonts w:ascii="Abadi" w:hAnsi="Abadi" w:cs="Arial"/>
          <w:sz w:val="21"/>
          <w:szCs w:val="21"/>
          <w:lang w:val="es-MX" w:eastAsia="es-MX"/>
        </w:rPr>
      </w:pPr>
      <w:r w:rsidRPr="00D54943">
        <w:rPr>
          <w:rFonts w:ascii="Abadi" w:hAnsi="Abadi" w:cs="Arial"/>
          <w:sz w:val="21"/>
          <w:szCs w:val="21"/>
          <w:lang w:val="es-MX" w:eastAsia="es-MX"/>
        </w:rPr>
        <w:t>De igual forma es importante conocer si renovará el contrato con la empresa Seguritech, si se celebrará un contrato con empresa distinta, y los compromisos económicos que esto generaría, y si la instrumentación se queda en poder del Estado y cómo es que se aprovecharía lo adquirido.</w:t>
      </w:r>
    </w:p>
    <w:p w14:paraId="52E0D7F6" w14:textId="77777777" w:rsidR="00D54943" w:rsidRPr="00D54943" w:rsidRDefault="00D54943" w:rsidP="0073094E">
      <w:pPr>
        <w:jc w:val="both"/>
        <w:textAlignment w:val="baseline"/>
        <w:rPr>
          <w:rFonts w:ascii="Abadi" w:hAnsi="Abadi" w:cs="Arial"/>
          <w:sz w:val="21"/>
          <w:szCs w:val="21"/>
          <w:lang w:val="es-MX" w:eastAsia="es-MX"/>
        </w:rPr>
      </w:pPr>
    </w:p>
    <w:p w14:paraId="16C9ECCF" w14:textId="77777777" w:rsidR="00D54943" w:rsidRPr="00D54943" w:rsidRDefault="00D54943" w:rsidP="0073094E">
      <w:pPr>
        <w:jc w:val="both"/>
        <w:textAlignment w:val="baseline"/>
        <w:rPr>
          <w:rFonts w:ascii="Abadi" w:hAnsi="Abadi" w:cs="Arial"/>
          <w:sz w:val="21"/>
          <w:szCs w:val="21"/>
          <w:lang w:val="es-MX" w:eastAsia="es-MX"/>
        </w:rPr>
      </w:pPr>
      <w:r w:rsidRPr="00D54943">
        <w:rPr>
          <w:rFonts w:ascii="Abadi" w:hAnsi="Abadi" w:cs="Arial"/>
          <w:sz w:val="21"/>
          <w:szCs w:val="21"/>
          <w:lang w:val="es-MX" w:eastAsia="es-MX"/>
        </w:rPr>
        <w:t>Han sido muchas las voces que han manifestado que ESCUDO no fue más que una compra de herramentales y nueva tecnología y se ha dicho públicamente que "Escudo no es un programa de Seguridad, es una compra de herramentales como cámaras, arcos de seguridad y tecnología, sería un error dejar perder esa infraestructura" más no fue así como se anunció y como se informó a la ciudadanía que funcionaría.</w:t>
      </w:r>
    </w:p>
    <w:p w14:paraId="5B8E7F04" w14:textId="77777777" w:rsidR="00D54943" w:rsidRPr="00D54943" w:rsidRDefault="00D54943" w:rsidP="0073094E">
      <w:pPr>
        <w:jc w:val="both"/>
        <w:textAlignment w:val="baseline"/>
        <w:rPr>
          <w:rFonts w:ascii="Abadi" w:hAnsi="Abadi" w:cs="Arial"/>
          <w:sz w:val="21"/>
          <w:szCs w:val="21"/>
          <w:lang w:val="es-MX" w:eastAsia="es-MX"/>
        </w:rPr>
      </w:pPr>
    </w:p>
    <w:p w14:paraId="04AB90AD" w14:textId="77777777" w:rsidR="00D54943" w:rsidRPr="00D54943" w:rsidRDefault="00D54943" w:rsidP="0073094E">
      <w:pPr>
        <w:jc w:val="both"/>
        <w:textAlignment w:val="baseline"/>
        <w:rPr>
          <w:rFonts w:ascii="Abadi" w:hAnsi="Abadi" w:cs="Arial"/>
          <w:sz w:val="21"/>
          <w:szCs w:val="21"/>
          <w:lang w:val="es-MX" w:eastAsia="es-MX"/>
        </w:rPr>
      </w:pPr>
      <w:r w:rsidRPr="00D54943">
        <w:rPr>
          <w:rFonts w:ascii="Abadi" w:hAnsi="Abadi" w:cs="Arial"/>
          <w:sz w:val="21"/>
          <w:szCs w:val="21"/>
          <w:lang w:val="es-MX" w:eastAsia="es-MX"/>
        </w:rPr>
        <w:t>Hay que tener muy claro que se invirtieron más de 2 mil 700 millones de pesos de los guanajuatenses para esta estrategia, los resultados no han sido los esperados, el robo a transeúntes, en casa habitación y los homicidios dolosos han ido en aumento, seamos honestos no ha funcionado este programa para inhibir la delincuencia, ya que se cuenta con el equipo y debe ser aprovechado, es por ello que solicitamos de la manera más respetuosa se informe a esta soberanía ¿cuál será la estrategia en materia de Seguridad?, ¿cómo será aprovechada la tecnología obtenida del programa Escudo? y por supuesto es necesario saber el diagnóstico del equipamiento adquirido del programa Escudo.</w:t>
      </w:r>
    </w:p>
    <w:p w14:paraId="44D9F69E" w14:textId="77777777" w:rsidR="00D54943" w:rsidRPr="00D54943" w:rsidRDefault="00D54943" w:rsidP="0073094E">
      <w:pPr>
        <w:jc w:val="both"/>
        <w:textAlignment w:val="baseline"/>
        <w:rPr>
          <w:rFonts w:ascii="Abadi" w:hAnsi="Abadi" w:cs="Arial"/>
          <w:b/>
          <w:strike/>
          <w:sz w:val="21"/>
          <w:szCs w:val="21"/>
          <w:lang w:val="es-MX" w:eastAsia="es-MX"/>
        </w:rPr>
      </w:pPr>
    </w:p>
    <w:p w14:paraId="78D6E6F5" w14:textId="77777777" w:rsidR="00D54943" w:rsidRPr="00D54943" w:rsidRDefault="00D54943" w:rsidP="0073094E">
      <w:pPr>
        <w:widowControl w:val="0"/>
        <w:autoSpaceDE w:val="0"/>
        <w:autoSpaceDN w:val="0"/>
        <w:ind w:right="113"/>
        <w:jc w:val="both"/>
        <w:rPr>
          <w:rFonts w:ascii="Abadi" w:hAnsi="Abadi" w:cs="Arial"/>
          <w:sz w:val="21"/>
          <w:szCs w:val="21"/>
          <w:lang w:val="es-MX" w:eastAsia="es-MX"/>
        </w:rPr>
      </w:pPr>
      <w:r w:rsidRPr="00D54943">
        <w:rPr>
          <w:rFonts w:ascii="Abadi" w:eastAsia="Arial" w:hAnsi="Abadi" w:cs="Arial"/>
          <w:b/>
          <w:sz w:val="21"/>
          <w:szCs w:val="21"/>
          <w:lang w:val="es-MX" w:eastAsia="en-US"/>
        </w:rPr>
        <w:t xml:space="preserve">III. </w:t>
      </w:r>
      <w:r w:rsidRPr="00D54943">
        <w:rPr>
          <w:rFonts w:ascii="Abadi" w:eastAsia="Arial" w:hAnsi="Abadi" w:cs="Arial"/>
          <w:b/>
          <w:sz w:val="21"/>
          <w:szCs w:val="21"/>
          <w:lang w:val="es-MX" w:eastAsia="en-US"/>
        </w:rPr>
        <w:tab/>
        <w:t>Consideraciones de quienes integran la comisión</w:t>
      </w:r>
      <w:r w:rsidRPr="00D54943">
        <w:rPr>
          <w:rFonts w:ascii="Abadi" w:hAnsi="Abadi" w:cs="Arial"/>
          <w:sz w:val="21"/>
          <w:szCs w:val="21"/>
          <w:lang w:val="es-MX" w:eastAsia="es-MX"/>
        </w:rPr>
        <w:t xml:space="preserve">. </w:t>
      </w:r>
    </w:p>
    <w:p w14:paraId="676743DB" w14:textId="77777777" w:rsidR="00D54943" w:rsidRPr="00D54943" w:rsidRDefault="00D54943" w:rsidP="0073094E">
      <w:pPr>
        <w:widowControl w:val="0"/>
        <w:autoSpaceDE w:val="0"/>
        <w:autoSpaceDN w:val="0"/>
        <w:ind w:right="113"/>
        <w:jc w:val="both"/>
        <w:rPr>
          <w:rFonts w:ascii="Abadi" w:eastAsia="Arial" w:hAnsi="Abadi" w:cs="Arial"/>
          <w:b/>
          <w:sz w:val="21"/>
          <w:szCs w:val="21"/>
          <w:lang w:val="es-MX" w:eastAsia="en-US"/>
        </w:rPr>
      </w:pPr>
    </w:p>
    <w:p w14:paraId="7FA31653" w14:textId="77777777" w:rsidR="00D54943" w:rsidRPr="00D54943" w:rsidRDefault="00D54943" w:rsidP="0073094E">
      <w:pPr>
        <w:spacing w:after="160"/>
        <w:jc w:val="both"/>
        <w:rPr>
          <w:rFonts w:ascii="Abadi" w:hAnsi="Abadi" w:cs="Arial"/>
          <w:sz w:val="21"/>
          <w:szCs w:val="21"/>
          <w:lang w:val="es-MX" w:eastAsia="es-MX"/>
        </w:rPr>
      </w:pPr>
      <w:r w:rsidRPr="00D54943">
        <w:rPr>
          <w:rFonts w:ascii="Abadi" w:hAnsi="Abadi" w:cs="Arial"/>
          <w:sz w:val="21"/>
          <w:szCs w:val="21"/>
          <w:lang w:val="es-MX" w:eastAsia="es-MX"/>
        </w:rPr>
        <w:t>La Junta de Gobierno y Coordinación Política es el órgano de gobierno encargado de la dirección de los asuntos relativos al régimen Interno del Poder Legislativo con el fin de optimizar sus funciones legislativas, políticas y administrativas, conforme a lo dispuesto en su ley orgánica.</w:t>
      </w:r>
    </w:p>
    <w:p w14:paraId="2E9C7254" w14:textId="77777777" w:rsidR="00D54943" w:rsidRPr="00D54943" w:rsidRDefault="00D54943" w:rsidP="0073094E">
      <w:pPr>
        <w:spacing w:after="160"/>
        <w:jc w:val="both"/>
        <w:rPr>
          <w:rFonts w:ascii="Abadi" w:hAnsi="Abadi" w:cs="Arial"/>
          <w:sz w:val="21"/>
          <w:szCs w:val="21"/>
          <w:lang w:val="es-MX" w:eastAsia="es-MX"/>
        </w:rPr>
      </w:pPr>
    </w:p>
    <w:p w14:paraId="42DAC3E0" w14:textId="77777777" w:rsidR="00D54943" w:rsidRPr="00D54943" w:rsidRDefault="00D54943" w:rsidP="0073094E">
      <w:pPr>
        <w:spacing w:after="160"/>
        <w:jc w:val="both"/>
        <w:rPr>
          <w:rFonts w:ascii="Abadi" w:hAnsi="Abadi" w:cs="Arial"/>
          <w:sz w:val="21"/>
          <w:szCs w:val="21"/>
          <w:lang w:val="es-MX" w:eastAsia="es-MX"/>
        </w:rPr>
      </w:pPr>
      <w:r w:rsidRPr="00D54943">
        <w:rPr>
          <w:rFonts w:ascii="Abadi" w:hAnsi="Abadi" w:cs="Arial"/>
          <w:sz w:val="21"/>
          <w:szCs w:val="21"/>
          <w:lang w:val="es-MX" w:eastAsia="es-MX"/>
        </w:rPr>
        <w:t xml:space="preserve">Dicho órgano de gobierno expresa la pluralidad del Congreso del Estado y funciona como enlace entre los grupos y representaciones parlamentarias legalmente constituidos en el seno de la Legislatura y, en su caso, diputados independientes, con objeto de impulsar entendimientos y convergencias políticas con las instancias y órganos que resulten necesarios, a fin de alcanzar acuerdos que permitan al Congreso del Estado, a la diputación permanente y a las comisiones legislativas, adoptar las decisiones que constitucional y legalmente les corresponden, siendo una de sus principales atribuciones establecer la agenda legislativa común. </w:t>
      </w:r>
    </w:p>
    <w:p w14:paraId="5D994D87" w14:textId="77777777" w:rsidR="00D54943" w:rsidRPr="00D54943" w:rsidRDefault="00D54943" w:rsidP="0073094E">
      <w:pPr>
        <w:spacing w:after="160"/>
        <w:jc w:val="both"/>
        <w:rPr>
          <w:rFonts w:ascii="Abadi" w:hAnsi="Abadi" w:cs="Arial"/>
          <w:sz w:val="21"/>
          <w:szCs w:val="21"/>
          <w:lang w:val="es-MX" w:eastAsia="es-MX"/>
        </w:rPr>
      </w:pPr>
    </w:p>
    <w:p w14:paraId="5D40161F" w14:textId="77777777" w:rsidR="00D54943" w:rsidRPr="00D54943" w:rsidRDefault="00D54943" w:rsidP="0073094E">
      <w:pPr>
        <w:spacing w:after="160"/>
        <w:jc w:val="both"/>
        <w:rPr>
          <w:rFonts w:ascii="Abadi" w:hAnsi="Abadi" w:cs="Arial"/>
          <w:sz w:val="21"/>
          <w:szCs w:val="21"/>
          <w:lang w:val="es-MX" w:eastAsia="es-MX"/>
        </w:rPr>
      </w:pPr>
      <w:r w:rsidRPr="00D54943">
        <w:rPr>
          <w:rFonts w:ascii="Abadi" w:hAnsi="Abadi" w:cs="Arial"/>
          <w:sz w:val="21"/>
          <w:szCs w:val="21"/>
          <w:lang w:val="es-MX" w:eastAsia="es-MX"/>
        </w:rPr>
        <w:t xml:space="preserve">Conforme lo anterior, en reunión de fecha 16 de marzo de 2022, la Junta de Gobierno y Coordinación Política, a efecto de lograr una mayor eficiencia legislativa y agilizar los pendientes dónde se incluyen los trabajos presentados en legislaturas anteriores o que jurídicamente no son viables atendiendo a diversas reformas que reservan competencias legislativas al congreso de la unión, se aprobó una metodología propuesta por la secretaría general. </w:t>
      </w:r>
    </w:p>
    <w:p w14:paraId="7E9D9A8B" w14:textId="77777777" w:rsidR="00D54943" w:rsidRPr="00D54943" w:rsidRDefault="00D54943" w:rsidP="0073094E">
      <w:pPr>
        <w:spacing w:after="160"/>
        <w:jc w:val="both"/>
        <w:rPr>
          <w:rFonts w:ascii="Abadi" w:hAnsi="Abadi" w:cs="Arial"/>
          <w:sz w:val="21"/>
          <w:szCs w:val="21"/>
          <w:lang w:val="es-MX" w:eastAsia="es-MX"/>
        </w:rPr>
      </w:pPr>
    </w:p>
    <w:p w14:paraId="7F3ECD4A" w14:textId="77777777" w:rsidR="00D54943" w:rsidRPr="00D54943" w:rsidRDefault="00D54943" w:rsidP="0073094E">
      <w:pPr>
        <w:spacing w:after="160"/>
        <w:jc w:val="both"/>
        <w:rPr>
          <w:rFonts w:ascii="Abadi" w:hAnsi="Abadi" w:cs="Arial"/>
          <w:sz w:val="21"/>
          <w:szCs w:val="21"/>
          <w:lang w:val="es-MX" w:eastAsia="es-MX"/>
        </w:rPr>
      </w:pPr>
      <w:r w:rsidRPr="00D54943">
        <w:rPr>
          <w:rFonts w:ascii="Abadi" w:hAnsi="Abadi" w:cs="Arial"/>
          <w:sz w:val="21"/>
          <w:szCs w:val="21"/>
          <w:lang w:val="es-MX" w:eastAsia="es-MX"/>
        </w:rPr>
        <w:t xml:space="preserve">En términos de dicha propuesta correspondería a las secretarías técnicas de cada comisión: </w:t>
      </w:r>
    </w:p>
    <w:p w14:paraId="27568765" w14:textId="77777777" w:rsidR="00D54943" w:rsidRPr="00D54943" w:rsidRDefault="00D54943" w:rsidP="0073094E">
      <w:pPr>
        <w:spacing w:after="160"/>
        <w:jc w:val="both"/>
        <w:rPr>
          <w:rFonts w:ascii="Abadi" w:hAnsi="Abadi" w:cs="Arial"/>
          <w:sz w:val="21"/>
          <w:szCs w:val="21"/>
          <w:lang w:val="es-MX" w:eastAsia="es-MX"/>
        </w:rPr>
      </w:pPr>
      <w:r w:rsidRPr="00D54943">
        <w:rPr>
          <w:rFonts w:ascii="Abadi" w:hAnsi="Abadi" w:cs="Arial"/>
          <w:sz w:val="21"/>
          <w:szCs w:val="21"/>
          <w:lang w:val="es-MX" w:eastAsia="es-MX"/>
        </w:rPr>
        <w:t>•</w:t>
      </w:r>
      <w:r w:rsidRPr="00D54943">
        <w:rPr>
          <w:rFonts w:ascii="Abadi" w:hAnsi="Abadi" w:cs="Arial"/>
          <w:sz w:val="21"/>
          <w:szCs w:val="21"/>
          <w:lang w:val="es-MX" w:eastAsia="es-MX"/>
        </w:rPr>
        <w:tab/>
        <w:t>Hacer un concentrado de los pendientes legislativos por cada comisión;</w:t>
      </w:r>
    </w:p>
    <w:p w14:paraId="3D94FCBE" w14:textId="77777777" w:rsidR="00D54943" w:rsidRPr="00D54943" w:rsidRDefault="00D54943" w:rsidP="0073094E">
      <w:pPr>
        <w:spacing w:after="160"/>
        <w:jc w:val="both"/>
        <w:rPr>
          <w:rFonts w:ascii="Abadi" w:hAnsi="Abadi" w:cs="Arial"/>
          <w:sz w:val="21"/>
          <w:szCs w:val="21"/>
          <w:lang w:val="es-MX" w:eastAsia="es-MX"/>
        </w:rPr>
      </w:pPr>
      <w:r w:rsidRPr="00D54943">
        <w:rPr>
          <w:rFonts w:ascii="Abadi" w:hAnsi="Abadi" w:cs="Arial"/>
          <w:sz w:val="21"/>
          <w:szCs w:val="21"/>
          <w:lang w:val="es-MX" w:eastAsia="es-MX"/>
        </w:rPr>
        <w:t>•</w:t>
      </w:r>
      <w:r w:rsidRPr="00D54943">
        <w:rPr>
          <w:rFonts w:ascii="Abadi" w:hAnsi="Abadi" w:cs="Arial"/>
          <w:sz w:val="21"/>
          <w:szCs w:val="21"/>
          <w:lang w:val="es-MX" w:eastAsia="es-MX"/>
        </w:rPr>
        <w:tab/>
        <w:t>Realizar un análisis técnico jurídico de cada uno de los pendientes legislativos y modificaciones, en su caso, de las metodologías;</w:t>
      </w:r>
    </w:p>
    <w:p w14:paraId="17B0D0B4" w14:textId="77777777" w:rsidR="00D54943" w:rsidRPr="00D54943" w:rsidRDefault="00D54943" w:rsidP="0073094E">
      <w:pPr>
        <w:spacing w:after="160"/>
        <w:jc w:val="both"/>
        <w:rPr>
          <w:rFonts w:ascii="Abadi" w:hAnsi="Abadi" w:cs="Arial"/>
          <w:sz w:val="21"/>
          <w:szCs w:val="21"/>
          <w:lang w:val="es-MX" w:eastAsia="es-MX"/>
        </w:rPr>
      </w:pPr>
      <w:r w:rsidRPr="00D54943">
        <w:rPr>
          <w:rFonts w:ascii="Abadi" w:hAnsi="Abadi" w:cs="Arial"/>
          <w:sz w:val="21"/>
          <w:szCs w:val="21"/>
          <w:lang w:val="es-MX" w:eastAsia="es-MX"/>
        </w:rPr>
        <w:t>•</w:t>
      </w:r>
      <w:r w:rsidRPr="00D54943">
        <w:rPr>
          <w:rFonts w:ascii="Abadi" w:hAnsi="Abadi" w:cs="Arial"/>
          <w:sz w:val="21"/>
          <w:szCs w:val="21"/>
          <w:lang w:val="es-MX" w:eastAsia="es-MX"/>
        </w:rPr>
        <w:tab/>
        <w:t>Identificación de los pendientes legislativos que jurídicamente sean inviables y procedan en consecuencia a su dictaminación en sentido negativo, así como aquellas iniciativas o proposiciones de acuerdos que se presentaron en la LXII legislatura, y en su caso anteriores a esta, y que no fueron dictaminados en la inmediata anterior, las cuales serán también objeto de archivo definitivo;</w:t>
      </w:r>
    </w:p>
    <w:p w14:paraId="75434E66" w14:textId="77777777" w:rsidR="00D54943" w:rsidRPr="00D54943" w:rsidRDefault="00D54943" w:rsidP="0073094E">
      <w:pPr>
        <w:spacing w:after="160"/>
        <w:jc w:val="both"/>
        <w:rPr>
          <w:rFonts w:ascii="Abadi" w:hAnsi="Abadi" w:cs="Arial"/>
          <w:sz w:val="21"/>
          <w:szCs w:val="21"/>
          <w:lang w:val="es-MX" w:eastAsia="es-MX"/>
        </w:rPr>
      </w:pPr>
      <w:r w:rsidRPr="00D54943">
        <w:rPr>
          <w:rFonts w:ascii="Abadi" w:hAnsi="Abadi" w:cs="Arial"/>
          <w:sz w:val="21"/>
          <w:szCs w:val="21"/>
          <w:lang w:val="es-MX" w:eastAsia="es-MX"/>
        </w:rPr>
        <w:t>•</w:t>
      </w:r>
      <w:r w:rsidRPr="00D54943">
        <w:rPr>
          <w:rFonts w:ascii="Abadi" w:hAnsi="Abadi" w:cs="Arial"/>
          <w:sz w:val="21"/>
          <w:szCs w:val="21"/>
          <w:lang w:val="es-MX" w:eastAsia="es-MX"/>
        </w:rPr>
        <w:tab/>
        <w:t>En su caso, mesa de trabajo de la comisión para dar cuenta con el listado de los pendientes legislativos para su revisión y sentar bases de proyectos de dictamen;</w:t>
      </w:r>
    </w:p>
    <w:p w14:paraId="3223840F" w14:textId="77777777" w:rsidR="00D54943" w:rsidRPr="00D54943" w:rsidRDefault="00D54943" w:rsidP="0073094E">
      <w:pPr>
        <w:spacing w:after="160"/>
        <w:jc w:val="both"/>
        <w:rPr>
          <w:rFonts w:ascii="Abadi" w:hAnsi="Abadi" w:cs="Arial"/>
          <w:sz w:val="21"/>
          <w:szCs w:val="21"/>
          <w:lang w:val="es-MX" w:eastAsia="es-MX"/>
        </w:rPr>
      </w:pPr>
      <w:r w:rsidRPr="00D54943">
        <w:rPr>
          <w:rFonts w:ascii="Abadi" w:hAnsi="Abadi" w:cs="Arial"/>
          <w:sz w:val="21"/>
          <w:szCs w:val="21"/>
          <w:lang w:val="es-MX" w:eastAsia="es-MX"/>
        </w:rPr>
        <w:t>•</w:t>
      </w:r>
      <w:r w:rsidRPr="00D54943">
        <w:rPr>
          <w:rFonts w:ascii="Abadi" w:hAnsi="Abadi" w:cs="Arial"/>
          <w:sz w:val="21"/>
          <w:szCs w:val="21"/>
          <w:lang w:val="es-MX" w:eastAsia="es-MX"/>
        </w:rPr>
        <w:tab/>
        <w:t xml:space="preserve">Convocar a sesión de comisión para aprobar dictámenes de archivo y remisión al pleno para su aprobación. </w:t>
      </w:r>
    </w:p>
    <w:p w14:paraId="178E0799" w14:textId="77777777" w:rsidR="00D54943" w:rsidRPr="00D54943" w:rsidRDefault="00D54943" w:rsidP="0073094E">
      <w:pPr>
        <w:spacing w:after="160"/>
        <w:jc w:val="both"/>
        <w:rPr>
          <w:rFonts w:ascii="Abadi" w:hAnsi="Abadi" w:cs="Arial"/>
          <w:sz w:val="21"/>
          <w:szCs w:val="21"/>
          <w:lang w:val="es-MX" w:eastAsia="es-MX"/>
        </w:rPr>
      </w:pPr>
      <w:r w:rsidRPr="00D54943">
        <w:rPr>
          <w:rFonts w:ascii="Abadi" w:hAnsi="Abadi" w:cs="Arial"/>
          <w:sz w:val="21"/>
          <w:szCs w:val="21"/>
          <w:lang w:val="es-MX" w:eastAsia="es-MX"/>
        </w:rPr>
        <w:t xml:space="preserve">Paralelo a lo anterior se determinó que los grupos parlamentarios harían revisión de iniciativas y puntos de acuerdo que fueron presentados en las legislaturas anteriores y con ello identificar así como analizar individualmente cuales ya no tienen materia, fueron solventadas conforme a lo propuesto o que por el trascurso del tiempo resulta improcedente pronunciarse positivamente al respecto tomando en consideración se carezca de vigencia conforme a los hechos respecto a los cuales se sustentó cada uno de los temas. </w:t>
      </w:r>
    </w:p>
    <w:p w14:paraId="3EC62B62" w14:textId="77777777" w:rsidR="00D54943" w:rsidRPr="00D54943" w:rsidRDefault="00D54943" w:rsidP="0073094E">
      <w:pPr>
        <w:spacing w:after="160"/>
        <w:jc w:val="both"/>
        <w:rPr>
          <w:rFonts w:ascii="Abadi" w:hAnsi="Abadi" w:cs="Arial"/>
          <w:sz w:val="21"/>
          <w:szCs w:val="21"/>
          <w:lang w:val="es-MX" w:eastAsia="es-MX"/>
        </w:rPr>
      </w:pPr>
      <w:r w:rsidRPr="00D54943">
        <w:rPr>
          <w:rFonts w:ascii="Abadi" w:hAnsi="Abadi" w:cs="Arial"/>
          <w:sz w:val="21"/>
          <w:szCs w:val="21"/>
          <w:lang w:val="es-MX" w:eastAsia="es-MX"/>
        </w:rPr>
        <w:t>Agotadas las revisiones y análisis a las que se han hecho referencia en párrafos anteriores, esta comisión determinó clasificar y otorgar el tratamiento a la propuesta objeto del presente dictamen como de aquellos pronunciamientos sobre asuntos políticos, culturales, económicos o sociales que si bien se denota la afectación a una comunidad o grupo particular, y que por consecuencia es necesario se aborde como un tema de interés público para que el congreso del estado asuma una postura institucional al respecto, también debe precisarse que al día de hoy ya no se consideraría pertinente y oportuna la adopción del mismo.</w:t>
      </w:r>
    </w:p>
    <w:p w14:paraId="537B2E49" w14:textId="77777777" w:rsidR="00D54943" w:rsidRPr="00D54943" w:rsidRDefault="00D54943" w:rsidP="0073094E">
      <w:pPr>
        <w:spacing w:after="160"/>
        <w:jc w:val="both"/>
        <w:rPr>
          <w:rFonts w:ascii="Abadi" w:hAnsi="Abadi" w:cs="Arial"/>
          <w:sz w:val="21"/>
          <w:szCs w:val="21"/>
          <w:lang w:val="es-MX" w:eastAsia="es-MX"/>
        </w:rPr>
      </w:pPr>
      <w:r w:rsidRPr="00D54943">
        <w:rPr>
          <w:rFonts w:ascii="Abadi" w:hAnsi="Abadi" w:cs="Arial"/>
          <w:sz w:val="21"/>
          <w:szCs w:val="21"/>
          <w:lang w:val="es-MX" w:eastAsia="es-MX"/>
        </w:rPr>
        <w:t>Por lo anterior, y no obstante que se subraya que en la propuesta existe un contenido vasto y justificado que denotan la trascendencia para su estudio, se ha determinado no es procedente entrar al fondo de este por carecer de oportunidad ante la extemporaneidad de atención en relación con las circunstancias de tiempo, modo y lugar a las que se hace referencia en la misma.</w:t>
      </w:r>
    </w:p>
    <w:p w14:paraId="4925FE11" w14:textId="77777777" w:rsidR="00D54943" w:rsidRPr="00D54943" w:rsidRDefault="00D54943" w:rsidP="0073094E">
      <w:pPr>
        <w:spacing w:after="160"/>
        <w:jc w:val="both"/>
        <w:rPr>
          <w:rFonts w:ascii="Abadi" w:hAnsi="Abadi" w:cs="Arial"/>
          <w:sz w:val="21"/>
          <w:szCs w:val="21"/>
          <w:lang w:val="es-MX" w:eastAsia="es-MX"/>
        </w:rPr>
      </w:pPr>
      <w:r w:rsidRPr="00D54943">
        <w:rPr>
          <w:rFonts w:ascii="Abadi" w:hAnsi="Abadi" w:cs="Arial"/>
          <w:sz w:val="21"/>
          <w:szCs w:val="21"/>
          <w:lang w:val="es-MX" w:eastAsia="es-MX"/>
        </w:rPr>
        <w:t>Por lo expuesto y con fundamento en el artículo 204 de la Ley Orgánica del Poder Ejecutivo del Estado, sometemos a consideración de esta Asamblea, la aprobación del siguiente:</w:t>
      </w:r>
    </w:p>
    <w:p w14:paraId="5190BD9F" w14:textId="77777777" w:rsidR="00D54943" w:rsidRPr="00D54943" w:rsidRDefault="00D54943" w:rsidP="0073094E">
      <w:pPr>
        <w:spacing w:after="160"/>
        <w:jc w:val="center"/>
        <w:rPr>
          <w:rFonts w:ascii="Abadi" w:eastAsiaTheme="minorHAnsi" w:hAnsi="Abadi" w:cs="Arial"/>
          <w:b/>
          <w:sz w:val="21"/>
          <w:szCs w:val="21"/>
          <w:lang w:val="es-MX" w:eastAsia="en-US"/>
        </w:rPr>
      </w:pPr>
      <w:r w:rsidRPr="00D54943">
        <w:rPr>
          <w:rFonts w:ascii="Abadi" w:eastAsiaTheme="minorHAnsi" w:hAnsi="Abadi" w:cs="Arial"/>
          <w:b/>
          <w:sz w:val="21"/>
          <w:szCs w:val="21"/>
          <w:lang w:val="es-MX" w:eastAsia="en-US"/>
        </w:rPr>
        <w:t>A c u e r d o</w:t>
      </w:r>
    </w:p>
    <w:p w14:paraId="38C768BC" w14:textId="77777777" w:rsidR="00D54943" w:rsidRPr="00D54943" w:rsidRDefault="00D54943" w:rsidP="0073094E">
      <w:pPr>
        <w:jc w:val="both"/>
        <w:textAlignment w:val="baseline"/>
        <w:rPr>
          <w:rFonts w:ascii="Abadi" w:hAnsi="Abadi" w:cs="Arial"/>
          <w:sz w:val="21"/>
          <w:szCs w:val="21"/>
          <w:lang w:val="es-MX" w:eastAsia="es-MX"/>
        </w:rPr>
      </w:pPr>
      <w:r w:rsidRPr="00D54943">
        <w:rPr>
          <w:rFonts w:ascii="Abadi" w:hAnsi="Abadi" w:cs="Arial"/>
          <w:b/>
          <w:sz w:val="21"/>
          <w:szCs w:val="21"/>
          <w:lang w:val="es-MX" w:eastAsia="es-MX"/>
        </w:rPr>
        <w:t xml:space="preserve">Único.- Se determina improcedente </w:t>
      </w:r>
      <w:r w:rsidRPr="00D54943">
        <w:rPr>
          <w:rFonts w:ascii="Abadi" w:hAnsi="Abadi" w:cs="Arial"/>
          <w:sz w:val="21"/>
          <w:szCs w:val="21"/>
          <w:lang w:val="es-MX" w:eastAsia="es-MX"/>
        </w:rPr>
        <w:t xml:space="preserve">la </w:t>
      </w:r>
      <w:bookmarkStart w:id="18" w:name="_Hlk107916910"/>
      <w:r w:rsidRPr="00D54943">
        <w:rPr>
          <w:rFonts w:ascii="Abadi" w:hAnsi="Abadi" w:cs="Arial"/>
          <w:sz w:val="21"/>
          <w:szCs w:val="21"/>
          <w:lang w:val="es-MX" w:eastAsia="es-MX"/>
        </w:rPr>
        <w:t>propuesta de punto de acuerdo formulado, en la LXIV Legislatura, por la Diputada y el Diputado integrantes del Grupo Parlamentario del Partido Verde Ecologista de México para exhortar al titular del Poder Ejecutivo del Estado de Guanajuato, por conducto de las dependencias correspondientes para que de forma urgente remita a esta Asamblea el diagnóstico  integral  del  contrato  relacionado  con  el  llamado  “programa ESCUDO", e informe el estado que guarda el equipamiento relacionado con el mismo, así también informe sobre la estrategia en materia de Seguridad para inhibir la delincuencia y la pertinencia de la continuidad de dicha estrategia; ello, en virtud de las consideraciones que fueron expuestas.</w:t>
      </w:r>
      <w:bookmarkEnd w:id="18"/>
      <w:r w:rsidRPr="00D54943">
        <w:rPr>
          <w:rFonts w:ascii="Abadi" w:hAnsi="Abadi" w:cs="Arial"/>
          <w:sz w:val="21"/>
          <w:szCs w:val="21"/>
          <w:lang w:val="es-MX" w:eastAsia="es-MX"/>
        </w:rPr>
        <w:t xml:space="preserve"> Por lo tanto, se ordena su archivo definitivo.</w:t>
      </w:r>
    </w:p>
    <w:p w14:paraId="5509C452" w14:textId="77777777" w:rsidR="00D54943" w:rsidRPr="00D54943" w:rsidRDefault="00D54943" w:rsidP="0073094E">
      <w:pPr>
        <w:jc w:val="both"/>
        <w:textAlignment w:val="baseline"/>
        <w:rPr>
          <w:rFonts w:ascii="Abadi" w:hAnsi="Abadi" w:cs="Arial"/>
          <w:sz w:val="21"/>
          <w:szCs w:val="21"/>
          <w:lang w:val="es-MX" w:eastAsia="es-MX"/>
        </w:rPr>
      </w:pPr>
    </w:p>
    <w:p w14:paraId="2810AC83" w14:textId="2BF26D28" w:rsidR="00D54943" w:rsidRDefault="00D54943" w:rsidP="0073094E">
      <w:pPr>
        <w:spacing w:after="160"/>
        <w:jc w:val="both"/>
        <w:rPr>
          <w:rFonts w:ascii="Abadi" w:eastAsiaTheme="minorHAnsi" w:hAnsi="Abadi" w:cs="Arial"/>
          <w:sz w:val="21"/>
          <w:szCs w:val="21"/>
          <w:lang w:val="es-MX" w:eastAsia="en-US"/>
        </w:rPr>
      </w:pPr>
      <w:r w:rsidRPr="00D54943">
        <w:rPr>
          <w:rFonts w:ascii="Abadi" w:eastAsiaTheme="minorHAnsi" w:hAnsi="Abadi" w:cs="Arial"/>
          <w:sz w:val="21"/>
          <w:szCs w:val="21"/>
          <w:lang w:val="es-MX" w:eastAsia="en-US"/>
        </w:rPr>
        <w:t>Comuníquese el presente acuerdo con su dictamen al Secretario General del Congreso del estado, para los efectos conducentes.</w:t>
      </w:r>
    </w:p>
    <w:p w14:paraId="51C72565" w14:textId="77777777" w:rsidR="00D54943" w:rsidRDefault="00D54943" w:rsidP="0073094E">
      <w:pPr>
        <w:spacing w:after="160"/>
        <w:jc w:val="center"/>
        <w:rPr>
          <w:rFonts w:ascii="Abadi" w:eastAsiaTheme="minorHAnsi" w:hAnsi="Abadi" w:cs="Arial"/>
          <w:sz w:val="21"/>
          <w:szCs w:val="21"/>
          <w:lang w:val="es-MX" w:eastAsia="en-US"/>
        </w:rPr>
      </w:pPr>
      <w:r w:rsidRPr="00D54943">
        <w:rPr>
          <w:rFonts w:ascii="Abadi" w:hAnsi="Abadi" w:cs="Segoe UI"/>
          <w:b/>
          <w:bCs/>
          <w:sz w:val="21"/>
          <w:szCs w:val="21"/>
          <w:lang w:val="es-MX" w:eastAsia="es-MX"/>
        </w:rPr>
        <w:t>Guanajuato, Gto., a 7 de julio de 2022</w:t>
      </w:r>
    </w:p>
    <w:p w14:paraId="19D41673" w14:textId="5FF27E76" w:rsidR="00D54943" w:rsidRPr="00D54943" w:rsidRDefault="00D54943" w:rsidP="0073094E">
      <w:pPr>
        <w:spacing w:after="160"/>
        <w:jc w:val="center"/>
        <w:rPr>
          <w:rFonts w:ascii="Abadi" w:eastAsiaTheme="minorHAnsi" w:hAnsi="Abadi" w:cs="Arial"/>
          <w:sz w:val="21"/>
          <w:szCs w:val="21"/>
          <w:lang w:val="es-MX" w:eastAsia="en-US"/>
        </w:rPr>
      </w:pPr>
      <w:r w:rsidRPr="00D54943">
        <w:rPr>
          <w:rFonts w:ascii="Abadi" w:hAnsi="Abadi" w:cs="Segoe UI"/>
          <w:b/>
          <w:bCs/>
          <w:sz w:val="21"/>
          <w:szCs w:val="21"/>
          <w:lang w:val="es-MX" w:eastAsia="es-MX"/>
        </w:rPr>
        <w:t>La Comisión de Seguridad Pública y Comunicaciones</w:t>
      </w:r>
    </w:p>
    <w:p w14:paraId="786DFCD6" w14:textId="77777777" w:rsidR="00D54943" w:rsidRPr="00D54943" w:rsidRDefault="00D54943" w:rsidP="0073094E">
      <w:pPr>
        <w:jc w:val="center"/>
        <w:textAlignment w:val="baseline"/>
        <w:rPr>
          <w:rFonts w:ascii="Abadi" w:hAnsi="Abadi" w:cs="Segoe UI"/>
          <w:sz w:val="21"/>
          <w:szCs w:val="21"/>
          <w:lang w:val="es-MX" w:eastAsia="es-MX"/>
        </w:rPr>
      </w:pPr>
    </w:p>
    <w:p w14:paraId="2E898D63" w14:textId="77777777" w:rsidR="00D54943" w:rsidRPr="00D54943" w:rsidRDefault="00D54943" w:rsidP="0073094E">
      <w:pPr>
        <w:jc w:val="both"/>
        <w:textAlignment w:val="baseline"/>
        <w:rPr>
          <w:rFonts w:ascii="Abadi" w:hAnsi="Abadi" w:cs="Segoe UI"/>
          <w:sz w:val="21"/>
          <w:szCs w:val="21"/>
          <w:lang w:val="es-MX" w:eastAsia="es-MX"/>
        </w:rPr>
      </w:pPr>
      <w:r w:rsidRPr="00D54943">
        <w:rPr>
          <w:rFonts w:ascii="Abadi" w:hAnsi="Abadi" w:cs="Segoe UI"/>
          <w:b/>
          <w:bCs/>
          <w:sz w:val="21"/>
          <w:szCs w:val="21"/>
          <w:lang w:val="es-MX" w:eastAsia="es-MX"/>
        </w:rPr>
        <w:t>Dip. Martín López Camacho</w:t>
      </w:r>
    </w:p>
    <w:p w14:paraId="6E01DB50" w14:textId="77777777" w:rsidR="00D54943" w:rsidRPr="00D54943" w:rsidRDefault="00D54943" w:rsidP="0073094E">
      <w:pPr>
        <w:jc w:val="both"/>
        <w:textAlignment w:val="baseline"/>
        <w:rPr>
          <w:rFonts w:ascii="Abadi" w:hAnsi="Abadi" w:cs="Segoe UI"/>
          <w:b/>
          <w:bCs/>
          <w:sz w:val="21"/>
          <w:szCs w:val="21"/>
          <w:lang w:val="es-MX" w:eastAsia="es-MX"/>
        </w:rPr>
      </w:pPr>
      <w:r w:rsidRPr="00D54943">
        <w:rPr>
          <w:rFonts w:ascii="Abadi" w:hAnsi="Abadi" w:cs="Segoe UI"/>
          <w:b/>
          <w:bCs/>
          <w:sz w:val="21"/>
          <w:szCs w:val="21"/>
          <w:lang w:val="es-MX" w:eastAsia="es-MX"/>
        </w:rPr>
        <w:t>Dip. Alma Edwviges Alcaraz Hernández</w:t>
      </w:r>
    </w:p>
    <w:p w14:paraId="58478FC9" w14:textId="77777777" w:rsidR="00D54943" w:rsidRPr="00D54943" w:rsidRDefault="00D54943" w:rsidP="0073094E">
      <w:pPr>
        <w:jc w:val="both"/>
        <w:textAlignment w:val="baseline"/>
        <w:rPr>
          <w:rFonts w:ascii="Abadi" w:hAnsi="Abadi"/>
          <w:b/>
          <w:bCs/>
          <w:sz w:val="21"/>
          <w:szCs w:val="21"/>
          <w:lang w:val="es-MX" w:eastAsia="es-MX"/>
        </w:rPr>
      </w:pPr>
      <w:r w:rsidRPr="00D54943">
        <w:rPr>
          <w:rFonts w:ascii="Abadi" w:hAnsi="Abadi"/>
          <w:b/>
          <w:bCs/>
          <w:sz w:val="21"/>
          <w:szCs w:val="21"/>
          <w:lang w:val="es-MX" w:eastAsia="es-MX"/>
        </w:rPr>
        <w:t>Dip. Rolando Fortino Alcántar Rojas</w:t>
      </w:r>
    </w:p>
    <w:p w14:paraId="4C63F872" w14:textId="77777777" w:rsidR="00D54943" w:rsidRPr="00D54943" w:rsidRDefault="00D54943" w:rsidP="0073094E">
      <w:pPr>
        <w:jc w:val="both"/>
        <w:textAlignment w:val="baseline"/>
        <w:rPr>
          <w:rFonts w:ascii="Abadi" w:hAnsi="Abadi"/>
          <w:sz w:val="21"/>
          <w:szCs w:val="21"/>
          <w:lang w:val="es-MX" w:eastAsia="es-MX"/>
        </w:rPr>
      </w:pPr>
      <w:r w:rsidRPr="00D54943">
        <w:rPr>
          <w:rFonts w:ascii="Abadi" w:hAnsi="Abadi"/>
          <w:b/>
          <w:bCs/>
          <w:sz w:val="21"/>
          <w:szCs w:val="21"/>
          <w:lang w:val="es-MX" w:eastAsia="es-MX"/>
        </w:rPr>
        <w:t>Dip. Bricio Balderas Álvarez</w:t>
      </w:r>
    </w:p>
    <w:p w14:paraId="323F12DE" w14:textId="7FB4385C" w:rsidR="00D54943" w:rsidRDefault="00D54943" w:rsidP="0073094E">
      <w:pPr>
        <w:jc w:val="both"/>
        <w:textAlignment w:val="baseline"/>
        <w:rPr>
          <w:rFonts w:ascii="Abadi" w:hAnsi="Abadi" w:cs="Segoe UI"/>
          <w:b/>
          <w:sz w:val="21"/>
          <w:szCs w:val="21"/>
          <w:lang w:val="es-MX" w:eastAsia="es-MX"/>
        </w:rPr>
      </w:pPr>
      <w:r w:rsidRPr="00D54943">
        <w:rPr>
          <w:rFonts w:ascii="Abadi" w:hAnsi="Abadi" w:cs="Segoe UI"/>
          <w:b/>
          <w:sz w:val="21"/>
          <w:szCs w:val="21"/>
          <w:lang w:val="es-MX" w:eastAsia="es-MX"/>
        </w:rPr>
        <w:t>Dip. Gerardo Fernández González</w:t>
      </w:r>
    </w:p>
    <w:p w14:paraId="3FE3157C" w14:textId="05BC1DD4" w:rsidR="00AD1E7A" w:rsidRDefault="00AD1E7A" w:rsidP="0073094E">
      <w:pPr>
        <w:jc w:val="both"/>
        <w:textAlignment w:val="baseline"/>
        <w:rPr>
          <w:rFonts w:ascii="Abadi" w:hAnsi="Abadi" w:cs="Segoe UI"/>
          <w:b/>
          <w:sz w:val="21"/>
          <w:szCs w:val="21"/>
          <w:lang w:val="es-MX" w:eastAsia="es-MX"/>
        </w:rPr>
      </w:pPr>
    </w:p>
    <w:p w14:paraId="16BD8CC5" w14:textId="05B4059A" w:rsidR="00AD1E7A" w:rsidRDefault="00AD1E7A" w:rsidP="00AD1E7A">
      <w:pPr>
        <w:ind w:firstLine="708"/>
        <w:jc w:val="both"/>
        <w:rPr>
          <w:rFonts w:ascii="Abadi" w:hAnsi="Abadi"/>
          <w:sz w:val="21"/>
          <w:szCs w:val="21"/>
        </w:rPr>
      </w:pPr>
      <w:r w:rsidRPr="009936EB">
        <w:rPr>
          <w:rFonts w:ascii="Abadi" w:hAnsi="Abadi"/>
          <w:b/>
          <w:bCs/>
          <w:sz w:val="21"/>
          <w:szCs w:val="21"/>
        </w:rPr>
        <w:t>- El Presidente.-</w:t>
      </w:r>
      <w:r>
        <w:rPr>
          <w:rFonts w:ascii="Abadi" w:hAnsi="Abadi"/>
          <w:sz w:val="21"/>
          <w:szCs w:val="21"/>
        </w:rPr>
        <w:t xml:space="preserve"> A</w:t>
      </w:r>
      <w:r w:rsidRPr="006813AA">
        <w:rPr>
          <w:rFonts w:ascii="Abadi" w:hAnsi="Abadi"/>
          <w:sz w:val="21"/>
          <w:szCs w:val="21"/>
        </w:rPr>
        <w:t xml:space="preserve"> continuación se somete a discusión el dictamen emitido por la </w:t>
      </w:r>
      <w:r>
        <w:rPr>
          <w:rFonts w:ascii="Abadi" w:hAnsi="Abadi"/>
          <w:sz w:val="21"/>
          <w:szCs w:val="21"/>
        </w:rPr>
        <w:t>C</w:t>
      </w:r>
      <w:r w:rsidRPr="006813AA">
        <w:rPr>
          <w:rFonts w:ascii="Abadi" w:hAnsi="Abadi"/>
          <w:sz w:val="21"/>
          <w:szCs w:val="21"/>
        </w:rPr>
        <w:t xml:space="preserve">omisión de </w:t>
      </w:r>
      <w:r>
        <w:rPr>
          <w:rFonts w:ascii="Abadi" w:hAnsi="Abadi"/>
          <w:sz w:val="21"/>
          <w:szCs w:val="21"/>
        </w:rPr>
        <w:t>S</w:t>
      </w:r>
      <w:r w:rsidRPr="006813AA">
        <w:rPr>
          <w:rFonts w:ascii="Abadi" w:hAnsi="Abadi"/>
          <w:sz w:val="21"/>
          <w:szCs w:val="21"/>
        </w:rPr>
        <w:t xml:space="preserve">eguridad </w:t>
      </w:r>
      <w:r>
        <w:rPr>
          <w:rFonts w:ascii="Abadi" w:hAnsi="Abadi"/>
          <w:sz w:val="21"/>
          <w:szCs w:val="21"/>
        </w:rPr>
        <w:t>P</w:t>
      </w:r>
      <w:r w:rsidRPr="006813AA">
        <w:rPr>
          <w:rFonts w:ascii="Abadi" w:hAnsi="Abadi"/>
          <w:sz w:val="21"/>
          <w:szCs w:val="21"/>
        </w:rPr>
        <w:t xml:space="preserve">ública y </w:t>
      </w:r>
      <w:r>
        <w:rPr>
          <w:rFonts w:ascii="Abadi" w:hAnsi="Abadi"/>
          <w:sz w:val="21"/>
          <w:szCs w:val="21"/>
        </w:rPr>
        <w:t>C</w:t>
      </w:r>
      <w:r w:rsidRPr="006813AA">
        <w:rPr>
          <w:rFonts w:ascii="Abadi" w:hAnsi="Abadi"/>
          <w:sz w:val="21"/>
          <w:szCs w:val="21"/>
        </w:rPr>
        <w:t>omunicaciones</w:t>
      </w:r>
      <w:r>
        <w:rPr>
          <w:rFonts w:ascii="Abadi" w:hAnsi="Abadi"/>
          <w:sz w:val="21"/>
          <w:szCs w:val="21"/>
        </w:rPr>
        <w:t xml:space="preserve">, </w:t>
      </w:r>
      <w:r w:rsidRPr="006813AA">
        <w:rPr>
          <w:rFonts w:ascii="Abadi" w:hAnsi="Abadi"/>
          <w:sz w:val="21"/>
          <w:szCs w:val="21"/>
        </w:rPr>
        <w:t xml:space="preserve"> se refiere el punto 29 de nuestra orden del día</w:t>
      </w:r>
      <w:r>
        <w:rPr>
          <w:rFonts w:ascii="Abadi" w:hAnsi="Abadi"/>
          <w:sz w:val="21"/>
          <w:szCs w:val="21"/>
        </w:rPr>
        <w:t>.</w:t>
      </w:r>
    </w:p>
    <w:p w14:paraId="66479858" w14:textId="77777777" w:rsidR="00AD1E7A" w:rsidRDefault="00AD1E7A" w:rsidP="00AD1E7A">
      <w:pPr>
        <w:ind w:firstLine="708"/>
        <w:jc w:val="both"/>
        <w:rPr>
          <w:rFonts w:ascii="Abadi" w:hAnsi="Abadi"/>
          <w:sz w:val="21"/>
          <w:szCs w:val="21"/>
        </w:rPr>
      </w:pPr>
    </w:p>
    <w:p w14:paraId="00CE28C1" w14:textId="63AC5909" w:rsidR="00AD1E7A" w:rsidRDefault="00AD1E7A" w:rsidP="00AD1E7A">
      <w:pPr>
        <w:ind w:firstLine="708"/>
        <w:jc w:val="both"/>
        <w:rPr>
          <w:rFonts w:ascii="Abadi" w:hAnsi="Abadi"/>
          <w:sz w:val="21"/>
          <w:szCs w:val="21"/>
        </w:rPr>
      </w:pPr>
      <w:r>
        <w:rPr>
          <w:rFonts w:ascii="Abadi" w:hAnsi="Abadi"/>
          <w:sz w:val="21"/>
          <w:szCs w:val="21"/>
        </w:rPr>
        <w:t>- S</w:t>
      </w:r>
      <w:r w:rsidRPr="006813AA">
        <w:rPr>
          <w:rFonts w:ascii="Abadi" w:hAnsi="Abadi"/>
          <w:sz w:val="21"/>
          <w:szCs w:val="21"/>
        </w:rPr>
        <w:t xml:space="preserve">i alguna diputada o algún diputado desea hacer </w:t>
      </w:r>
      <w:r>
        <w:rPr>
          <w:rFonts w:ascii="Abadi" w:hAnsi="Abadi"/>
          <w:sz w:val="21"/>
          <w:szCs w:val="21"/>
        </w:rPr>
        <w:t>u</w:t>
      </w:r>
      <w:r w:rsidRPr="006813AA">
        <w:rPr>
          <w:rFonts w:ascii="Abadi" w:hAnsi="Abadi"/>
          <w:sz w:val="21"/>
          <w:szCs w:val="21"/>
        </w:rPr>
        <w:t>so de la palabra en pro o en contra manifiésten</w:t>
      </w:r>
      <w:r>
        <w:rPr>
          <w:rFonts w:ascii="Abadi" w:hAnsi="Abadi"/>
          <w:sz w:val="21"/>
          <w:szCs w:val="21"/>
        </w:rPr>
        <w:t>lo</w:t>
      </w:r>
      <w:r w:rsidRPr="006813AA">
        <w:rPr>
          <w:rFonts w:ascii="Abadi" w:hAnsi="Abadi"/>
          <w:sz w:val="21"/>
          <w:szCs w:val="21"/>
        </w:rPr>
        <w:t xml:space="preserve"> indicando el sentido de su participación</w:t>
      </w:r>
      <w:r>
        <w:rPr>
          <w:rFonts w:ascii="Abadi" w:hAnsi="Abadi"/>
          <w:sz w:val="21"/>
          <w:szCs w:val="21"/>
        </w:rPr>
        <w:t>.</w:t>
      </w:r>
    </w:p>
    <w:p w14:paraId="65E08BC7" w14:textId="77777777" w:rsidR="00AD1E7A" w:rsidRDefault="00AD1E7A" w:rsidP="00AD1E7A">
      <w:pPr>
        <w:ind w:firstLine="708"/>
        <w:jc w:val="both"/>
        <w:rPr>
          <w:rFonts w:ascii="Abadi" w:hAnsi="Abadi"/>
          <w:sz w:val="21"/>
          <w:szCs w:val="21"/>
        </w:rPr>
      </w:pPr>
    </w:p>
    <w:p w14:paraId="7FFE16A7" w14:textId="725F4581" w:rsidR="00AD1E7A" w:rsidRDefault="00AD1E7A" w:rsidP="00AD1E7A">
      <w:pPr>
        <w:ind w:firstLine="708"/>
        <w:jc w:val="both"/>
        <w:rPr>
          <w:rFonts w:ascii="Abadi" w:hAnsi="Abadi"/>
          <w:sz w:val="21"/>
          <w:szCs w:val="21"/>
        </w:rPr>
      </w:pPr>
      <w:r>
        <w:rPr>
          <w:rFonts w:ascii="Abadi" w:hAnsi="Abadi"/>
          <w:sz w:val="21"/>
          <w:szCs w:val="21"/>
        </w:rPr>
        <w:t>- N</w:t>
      </w:r>
      <w:r w:rsidRPr="006813AA">
        <w:rPr>
          <w:rFonts w:ascii="Abadi" w:hAnsi="Abadi"/>
          <w:sz w:val="21"/>
          <w:szCs w:val="21"/>
        </w:rPr>
        <w:t xml:space="preserve">o </w:t>
      </w:r>
      <w:r>
        <w:rPr>
          <w:rFonts w:ascii="Abadi" w:hAnsi="Abadi"/>
          <w:sz w:val="21"/>
          <w:szCs w:val="21"/>
        </w:rPr>
        <w:t xml:space="preserve">habiendo </w:t>
      </w:r>
      <w:r w:rsidRPr="006813AA">
        <w:rPr>
          <w:rFonts w:ascii="Abadi" w:hAnsi="Abadi"/>
          <w:sz w:val="21"/>
          <w:szCs w:val="21"/>
        </w:rPr>
        <w:t>participaciones</w:t>
      </w:r>
      <w:r>
        <w:rPr>
          <w:rFonts w:ascii="Abadi" w:hAnsi="Abadi"/>
          <w:sz w:val="21"/>
          <w:szCs w:val="21"/>
        </w:rPr>
        <w:t>, s</w:t>
      </w:r>
      <w:r w:rsidRPr="006813AA">
        <w:rPr>
          <w:rFonts w:ascii="Abadi" w:hAnsi="Abadi"/>
          <w:sz w:val="21"/>
          <w:szCs w:val="21"/>
        </w:rPr>
        <w:t>e pid</w:t>
      </w:r>
      <w:r>
        <w:rPr>
          <w:rFonts w:ascii="Abadi" w:hAnsi="Abadi"/>
          <w:sz w:val="21"/>
          <w:szCs w:val="21"/>
        </w:rPr>
        <w:t>e a</w:t>
      </w:r>
      <w:r w:rsidRPr="006813AA">
        <w:rPr>
          <w:rFonts w:ascii="Abadi" w:hAnsi="Abadi"/>
          <w:sz w:val="21"/>
          <w:szCs w:val="21"/>
        </w:rPr>
        <w:t xml:space="preserve"> la </w:t>
      </w:r>
      <w:r>
        <w:rPr>
          <w:rFonts w:ascii="Abadi" w:hAnsi="Abadi"/>
          <w:sz w:val="21"/>
          <w:szCs w:val="21"/>
        </w:rPr>
        <w:t>S</w:t>
      </w:r>
      <w:r w:rsidRPr="006813AA">
        <w:rPr>
          <w:rFonts w:ascii="Abadi" w:hAnsi="Abadi"/>
          <w:sz w:val="21"/>
          <w:szCs w:val="21"/>
        </w:rPr>
        <w:t xml:space="preserve">ecretaría que pudiera recabar votación nominal </w:t>
      </w:r>
      <w:r>
        <w:rPr>
          <w:rFonts w:ascii="Abadi" w:hAnsi="Abadi"/>
          <w:sz w:val="21"/>
          <w:szCs w:val="21"/>
        </w:rPr>
        <w:t xml:space="preserve">de la Asamblea, </w:t>
      </w:r>
      <w:r w:rsidRPr="006813AA">
        <w:rPr>
          <w:rFonts w:ascii="Abadi" w:hAnsi="Abadi"/>
          <w:sz w:val="21"/>
          <w:szCs w:val="21"/>
        </w:rPr>
        <w:t>a través de nuestro sistema electrónico efecto de aprobar o no el dictamen puesto a su consideración</w:t>
      </w:r>
      <w:r>
        <w:rPr>
          <w:rFonts w:ascii="Abadi" w:hAnsi="Abadi"/>
          <w:sz w:val="21"/>
          <w:szCs w:val="21"/>
        </w:rPr>
        <w:t>.</w:t>
      </w:r>
    </w:p>
    <w:p w14:paraId="4BFA5B80" w14:textId="77777777" w:rsidR="00AD1E7A" w:rsidRDefault="00AD1E7A" w:rsidP="00AD1E7A">
      <w:pPr>
        <w:ind w:firstLine="708"/>
        <w:jc w:val="both"/>
        <w:rPr>
          <w:rFonts w:ascii="Abadi" w:hAnsi="Abadi"/>
          <w:sz w:val="21"/>
          <w:szCs w:val="21"/>
        </w:rPr>
      </w:pPr>
    </w:p>
    <w:p w14:paraId="51B7FAC1" w14:textId="5E951E3B" w:rsidR="00AD1E7A" w:rsidRDefault="00AD1E7A" w:rsidP="00AD1E7A">
      <w:pPr>
        <w:ind w:firstLine="708"/>
        <w:jc w:val="both"/>
        <w:rPr>
          <w:rFonts w:ascii="Abadi" w:hAnsi="Abadi"/>
          <w:b/>
          <w:bCs/>
          <w:sz w:val="21"/>
          <w:szCs w:val="21"/>
        </w:rPr>
      </w:pPr>
      <w:r w:rsidRPr="00985EC8">
        <w:rPr>
          <w:rFonts w:ascii="Abadi" w:hAnsi="Abadi"/>
          <w:b/>
          <w:bCs/>
          <w:sz w:val="21"/>
          <w:szCs w:val="21"/>
        </w:rPr>
        <w:t>(Abrimos nuestro sistema electrónico)</w:t>
      </w:r>
    </w:p>
    <w:p w14:paraId="19B5AA62" w14:textId="77777777" w:rsidR="00AD1E7A" w:rsidRPr="00985EC8" w:rsidRDefault="00AD1E7A" w:rsidP="00AD1E7A">
      <w:pPr>
        <w:ind w:firstLine="708"/>
        <w:jc w:val="both"/>
        <w:rPr>
          <w:rFonts w:ascii="Abadi" w:hAnsi="Abadi"/>
          <w:b/>
          <w:bCs/>
          <w:sz w:val="21"/>
          <w:szCs w:val="21"/>
        </w:rPr>
      </w:pPr>
    </w:p>
    <w:p w14:paraId="1A1BADAF" w14:textId="6956291F" w:rsidR="00AD1E7A" w:rsidRDefault="00AD1E7A" w:rsidP="00AD1E7A">
      <w:pPr>
        <w:ind w:firstLine="708"/>
        <w:jc w:val="both"/>
        <w:rPr>
          <w:rFonts w:ascii="Abadi" w:hAnsi="Abadi"/>
          <w:sz w:val="21"/>
          <w:szCs w:val="21"/>
        </w:rPr>
      </w:pPr>
      <w:r w:rsidRPr="00985EC8">
        <w:rPr>
          <w:rFonts w:ascii="Abadi" w:hAnsi="Abadi"/>
          <w:b/>
          <w:bCs/>
          <w:sz w:val="21"/>
          <w:szCs w:val="21"/>
        </w:rPr>
        <w:t>- El Secretario.-</w:t>
      </w:r>
      <w:r>
        <w:rPr>
          <w:rFonts w:ascii="Abadi" w:hAnsi="Abadi"/>
          <w:sz w:val="21"/>
          <w:szCs w:val="21"/>
        </w:rPr>
        <w:t xml:space="preserve"> E</w:t>
      </w:r>
      <w:r w:rsidRPr="006813AA">
        <w:rPr>
          <w:rFonts w:ascii="Abadi" w:hAnsi="Abadi"/>
          <w:sz w:val="21"/>
          <w:szCs w:val="21"/>
        </w:rPr>
        <w:t>n votación nominal por el sistema electrónico se pregunta a las diputadas y los diputados y se aprueba el dictamen puesto a su consideración</w:t>
      </w:r>
      <w:r>
        <w:rPr>
          <w:rFonts w:ascii="Abadi" w:hAnsi="Abadi"/>
          <w:sz w:val="21"/>
          <w:szCs w:val="21"/>
        </w:rPr>
        <w:t>. ¿Diputado Alejandro Arias Ávila?</w:t>
      </w:r>
    </w:p>
    <w:p w14:paraId="29747AF5" w14:textId="77777777" w:rsidR="00AD1E7A" w:rsidRPr="006813AA" w:rsidRDefault="00AD1E7A" w:rsidP="00AD1E7A">
      <w:pPr>
        <w:ind w:firstLine="708"/>
        <w:jc w:val="both"/>
        <w:rPr>
          <w:rFonts w:ascii="Abadi" w:hAnsi="Abadi"/>
          <w:sz w:val="21"/>
          <w:szCs w:val="21"/>
        </w:rPr>
      </w:pPr>
    </w:p>
    <w:p w14:paraId="32E2D7CF" w14:textId="749DC3AB" w:rsidR="00AD1E7A" w:rsidRDefault="00AD1E7A" w:rsidP="00AD1E7A">
      <w:pPr>
        <w:jc w:val="both"/>
        <w:rPr>
          <w:rFonts w:ascii="Abadi" w:hAnsi="Abadi"/>
          <w:sz w:val="21"/>
          <w:szCs w:val="21"/>
        </w:rPr>
      </w:pPr>
      <w:r>
        <w:rPr>
          <w:rFonts w:ascii="Abadi" w:hAnsi="Abadi"/>
          <w:sz w:val="21"/>
          <w:szCs w:val="21"/>
        </w:rPr>
        <w:t>¿F</w:t>
      </w:r>
      <w:r w:rsidRPr="006813AA">
        <w:rPr>
          <w:rFonts w:ascii="Abadi" w:hAnsi="Abadi"/>
          <w:sz w:val="21"/>
          <w:szCs w:val="21"/>
        </w:rPr>
        <w:t>alta alguna diputada o algún diputado de emitir su voto</w:t>
      </w:r>
      <w:r>
        <w:rPr>
          <w:rFonts w:ascii="Abadi" w:hAnsi="Abadi"/>
          <w:sz w:val="21"/>
          <w:szCs w:val="21"/>
        </w:rPr>
        <w:t>?</w:t>
      </w:r>
    </w:p>
    <w:p w14:paraId="63687FF0" w14:textId="77777777" w:rsidR="00AD1E7A" w:rsidRDefault="00AD1E7A" w:rsidP="00AD1E7A">
      <w:pPr>
        <w:jc w:val="both"/>
        <w:rPr>
          <w:rFonts w:ascii="Abadi" w:hAnsi="Abadi"/>
          <w:sz w:val="21"/>
          <w:szCs w:val="21"/>
        </w:rPr>
      </w:pPr>
    </w:p>
    <w:p w14:paraId="437DF3BF" w14:textId="77777777" w:rsidR="00AD1E7A" w:rsidRDefault="00AD1E7A" w:rsidP="00AD1E7A">
      <w:pPr>
        <w:jc w:val="both"/>
        <w:rPr>
          <w:rFonts w:ascii="Abadi" w:hAnsi="Abadi"/>
          <w:b/>
          <w:bCs/>
          <w:sz w:val="21"/>
          <w:szCs w:val="21"/>
        </w:rPr>
      </w:pPr>
      <w:r w:rsidRPr="00F14CEA">
        <w:rPr>
          <w:rFonts w:ascii="Abadi" w:hAnsi="Abadi"/>
          <w:b/>
          <w:bCs/>
          <w:sz w:val="21"/>
          <w:szCs w:val="21"/>
        </w:rPr>
        <w:t>(Cerramos el sistema electrónico)</w:t>
      </w:r>
    </w:p>
    <w:p w14:paraId="51FCAE2B" w14:textId="77777777" w:rsidR="00AD1E7A" w:rsidRPr="00F14CEA" w:rsidRDefault="00AD1E7A" w:rsidP="00AD1E7A">
      <w:pPr>
        <w:jc w:val="both"/>
        <w:rPr>
          <w:rFonts w:ascii="Abadi" w:hAnsi="Abadi"/>
          <w:b/>
          <w:bCs/>
          <w:sz w:val="21"/>
          <w:szCs w:val="21"/>
        </w:rPr>
      </w:pPr>
      <w:r>
        <w:rPr>
          <w:noProof/>
        </w:rPr>
        <w:drawing>
          <wp:inline distT="0" distB="0" distL="0" distR="0" wp14:anchorId="414FC86D" wp14:editId="4D29732C">
            <wp:extent cx="1901765" cy="957947"/>
            <wp:effectExtent l="323850" t="323850" r="327660" b="318770"/>
            <wp:docPr id="57" name="Imagen 57"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Interfaz de usuario gráfica, Texto, Sitio web&#10;&#10;Descripción generada automáticamente"/>
                    <pic:cNvPicPr/>
                  </pic:nvPicPr>
                  <pic:blipFill rotWithShape="1">
                    <a:blip r:embed="rId63"/>
                    <a:srcRect b="10407"/>
                    <a:stretch/>
                  </pic:blipFill>
                  <pic:spPr bwMode="auto">
                    <a:xfrm>
                      <a:off x="0" y="0"/>
                      <a:ext cx="1932510" cy="973434"/>
                    </a:xfrm>
                    <a:prstGeom prst="rect">
                      <a:avLst/>
                    </a:prstGeom>
                    <a:ln w="88900" cap="sq" cmpd="thickThin">
                      <a:solidFill>
                        <a:srgbClr val="000000"/>
                      </a:solidFill>
                      <a:prstDash val="solid"/>
                      <a:miter lim="800000"/>
                    </a:ln>
                    <a:effectLst>
                      <a:glow rad="228600">
                        <a:schemeClr val="accent3">
                          <a:satMod val="1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65B281E8" w14:textId="622A7AD3" w:rsidR="00AD1E7A" w:rsidRDefault="00AD1E7A" w:rsidP="00AD1E7A">
      <w:pPr>
        <w:jc w:val="both"/>
        <w:rPr>
          <w:rFonts w:ascii="Abadi" w:hAnsi="Abadi"/>
          <w:sz w:val="21"/>
          <w:szCs w:val="21"/>
        </w:rPr>
      </w:pPr>
      <w:r>
        <w:rPr>
          <w:rFonts w:ascii="Abadi" w:hAnsi="Abadi"/>
          <w:b/>
          <w:bCs/>
          <w:sz w:val="21"/>
          <w:szCs w:val="21"/>
        </w:rPr>
        <w:tab/>
      </w:r>
      <w:r w:rsidRPr="00F14CEA">
        <w:rPr>
          <w:rFonts w:ascii="Abadi" w:hAnsi="Abadi"/>
          <w:b/>
          <w:bCs/>
          <w:sz w:val="21"/>
          <w:szCs w:val="21"/>
        </w:rPr>
        <w:t>- El Secretario.-</w:t>
      </w:r>
      <w:r>
        <w:rPr>
          <w:rFonts w:ascii="Abadi" w:hAnsi="Abadi"/>
          <w:sz w:val="21"/>
          <w:szCs w:val="21"/>
        </w:rPr>
        <w:t xml:space="preserve"> S</w:t>
      </w:r>
      <w:r w:rsidRPr="006813AA">
        <w:rPr>
          <w:rFonts w:ascii="Abadi" w:hAnsi="Abadi"/>
          <w:sz w:val="21"/>
          <w:szCs w:val="21"/>
        </w:rPr>
        <w:t>e registraron 25 votos a favor y 8 votos en contra</w:t>
      </w:r>
      <w:r>
        <w:rPr>
          <w:rFonts w:ascii="Abadi" w:hAnsi="Abadi"/>
          <w:sz w:val="21"/>
          <w:szCs w:val="21"/>
        </w:rPr>
        <w:t xml:space="preserve"> Señor Presidente.</w:t>
      </w:r>
    </w:p>
    <w:p w14:paraId="518E7BA6" w14:textId="77777777" w:rsidR="00AD1E7A" w:rsidRDefault="00AD1E7A" w:rsidP="00AD1E7A">
      <w:pPr>
        <w:jc w:val="both"/>
        <w:rPr>
          <w:rFonts w:ascii="Abadi" w:hAnsi="Abadi"/>
          <w:sz w:val="21"/>
          <w:szCs w:val="21"/>
        </w:rPr>
      </w:pPr>
    </w:p>
    <w:p w14:paraId="0C2E9CC4" w14:textId="12B6E398" w:rsidR="00AD1E7A" w:rsidRDefault="00AD1E7A" w:rsidP="00AD1E7A">
      <w:pPr>
        <w:jc w:val="both"/>
        <w:rPr>
          <w:rFonts w:ascii="Abadi" w:hAnsi="Abadi"/>
          <w:sz w:val="21"/>
          <w:szCs w:val="21"/>
        </w:rPr>
      </w:pPr>
      <w:r>
        <w:rPr>
          <w:rFonts w:ascii="Abadi" w:hAnsi="Abadi"/>
          <w:sz w:val="21"/>
          <w:szCs w:val="21"/>
        </w:rPr>
        <w:tab/>
      </w:r>
      <w:r w:rsidRPr="006813AA">
        <w:rPr>
          <w:rFonts w:ascii="Abadi" w:hAnsi="Abadi"/>
          <w:sz w:val="21"/>
          <w:szCs w:val="21"/>
        </w:rPr>
        <w:t xml:space="preserve"> </w:t>
      </w:r>
      <w:r>
        <w:rPr>
          <w:rFonts w:ascii="Abadi" w:hAnsi="Abadi"/>
          <w:sz w:val="21"/>
          <w:szCs w:val="21"/>
        </w:rPr>
        <w:t xml:space="preserve">- </w:t>
      </w:r>
      <w:r w:rsidRPr="00F14CEA">
        <w:rPr>
          <w:rFonts w:ascii="Abadi" w:hAnsi="Abadi"/>
          <w:b/>
          <w:bCs/>
          <w:sz w:val="21"/>
          <w:szCs w:val="21"/>
        </w:rPr>
        <w:t>El Presidente.-</w:t>
      </w:r>
      <w:r>
        <w:rPr>
          <w:rFonts w:ascii="Abadi" w:hAnsi="Abadi"/>
          <w:sz w:val="21"/>
          <w:szCs w:val="21"/>
        </w:rPr>
        <w:t xml:space="preserve"> Por </w:t>
      </w:r>
      <w:r w:rsidRPr="006813AA">
        <w:rPr>
          <w:rFonts w:ascii="Abadi" w:hAnsi="Abadi"/>
          <w:sz w:val="21"/>
          <w:szCs w:val="21"/>
        </w:rPr>
        <w:t>mayoría de votos</w:t>
      </w:r>
      <w:r>
        <w:rPr>
          <w:rFonts w:ascii="Abadi" w:hAnsi="Abadi"/>
          <w:sz w:val="21"/>
          <w:szCs w:val="21"/>
        </w:rPr>
        <w:t xml:space="preserve"> se aprueba este dictamen.</w:t>
      </w:r>
    </w:p>
    <w:p w14:paraId="17D9D420" w14:textId="77777777" w:rsidR="00AD1E7A" w:rsidRDefault="00AD1E7A" w:rsidP="00AD1E7A">
      <w:pPr>
        <w:jc w:val="both"/>
        <w:rPr>
          <w:rFonts w:ascii="Abadi" w:hAnsi="Abadi"/>
          <w:sz w:val="21"/>
          <w:szCs w:val="21"/>
        </w:rPr>
      </w:pPr>
    </w:p>
    <w:p w14:paraId="1CD0F116" w14:textId="1AAB8666" w:rsidR="00AD1E7A" w:rsidRPr="00D54943" w:rsidRDefault="00AD1E7A" w:rsidP="00AD1E7A">
      <w:pPr>
        <w:ind w:left="426" w:right="567"/>
        <w:jc w:val="both"/>
        <w:textAlignment w:val="baseline"/>
        <w:rPr>
          <w:rFonts w:ascii="Abadi" w:hAnsi="Abadi" w:cs="Segoe UI"/>
          <w:b/>
          <w:bCs/>
          <w:sz w:val="21"/>
          <w:szCs w:val="21"/>
          <w:lang w:val="es-MX" w:eastAsia="es-MX"/>
        </w:rPr>
      </w:pPr>
      <w:r w:rsidRPr="009936EB">
        <w:rPr>
          <w:rFonts w:ascii="Abadi" w:hAnsi="Abadi"/>
          <w:b/>
          <w:bCs/>
          <w:i/>
          <w:iCs/>
          <w:sz w:val="21"/>
          <w:szCs w:val="21"/>
          <w:u w:val="single"/>
        </w:rPr>
        <w:t>En consecuencia se instruye a la Secretaría General para que proceda el archivo definitivo de la iniciativa referida en el dictamen aprobado</w:t>
      </w:r>
      <w:r>
        <w:rPr>
          <w:rFonts w:ascii="Abadi" w:hAnsi="Abadi"/>
          <w:sz w:val="21"/>
          <w:szCs w:val="21"/>
        </w:rPr>
        <w:t>.</w:t>
      </w:r>
    </w:p>
    <w:p w14:paraId="74C52F41" w14:textId="4BB2BB89" w:rsidR="00942867" w:rsidRPr="00942867" w:rsidRDefault="00942867" w:rsidP="00E462B6">
      <w:pPr>
        <w:autoSpaceDE w:val="0"/>
        <w:autoSpaceDN w:val="0"/>
        <w:adjustRightInd w:val="0"/>
        <w:jc w:val="both"/>
        <w:rPr>
          <w:rFonts w:ascii="Abadi" w:hAnsi="Abadi" w:cs="Arial-BoldMT"/>
          <w:sz w:val="20"/>
          <w:szCs w:val="21"/>
        </w:rPr>
      </w:pPr>
    </w:p>
    <w:p w14:paraId="22D15867" w14:textId="77777777" w:rsidR="00942867" w:rsidRPr="0028553C" w:rsidRDefault="00942867" w:rsidP="00E462B6">
      <w:pPr>
        <w:autoSpaceDE w:val="0"/>
        <w:autoSpaceDN w:val="0"/>
        <w:adjustRightInd w:val="0"/>
        <w:jc w:val="both"/>
        <w:rPr>
          <w:rFonts w:ascii="Abadi" w:hAnsi="Abadi" w:cs="Arial-BoldMT"/>
          <w:b/>
          <w:bCs/>
          <w:sz w:val="20"/>
          <w:szCs w:val="21"/>
        </w:rPr>
      </w:pPr>
    </w:p>
    <w:p w14:paraId="60664F1A" w14:textId="77777777" w:rsidR="00E462B6" w:rsidRPr="00526E0B" w:rsidRDefault="00E462B6">
      <w:pPr>
        <w:pStyle w:val="Prrafodelista"/>
        <w:numPr>
          <w:ilvl w:val="0"/>
          <w:numId w:val="14"/>
        </w:numPr>
        <w:autoSpaceDE w:val="0"/>
        <w:autoSpaceDN w:val="0"/>
        <w:adjustRightInd w:val="0"/>
        <w:contextualSpacing/>
        <w:jc w:val="both"/>
        <w:rPr>
          <w:rFonts w:ascii="Abadi" w:hAnsi="Abadi" w:cs="ArialMT"/>
          <w:b/>
          <w:bCs/>
          <w:sz w:val="20"/>
          <w:szCs w:val="21"/>
        </w:rPr>
      </w:pPr>
      <w:r w:rsidRPr="00526E0B">
        <w:rPr>
          <w:rFonts w:ascii="Abadi" w:hAnsi="Abadi" w:cs="ArialMT"/>
          <w:b/>
          <w:bCs/>
          <w:sz w:val="20"/>
          <w:szCs w:val="21"/>
        </w:rPr>
        <w:t>DISCUSIÓN Y, EN SU CASO, APROBACIÓN DEL DICTAMEN SUSCRITO POR LA COMISIÓN DE SEGURIDAD PÚBLICA Y COMUNICACIONES RELATIVO A LA PROPUESTA DE PUNTO DE ACUERDO FORMULADA ANTE LA SEXAGÉSIMA CUARTA LEGISLATURA, POR LA DIPUTADA MARÍA MAGDALENA ROSALES CRUZ, INTEGRANTE DEL GRUPO PARLAMENTARIO DEL PARTIDO MORENA PARA EXHORTAR AL GOBERNADOR DEL ESTADO DE GUANAJUATO, AL CIUDADANO DIEGO SINHUE RODRÍGUEZ VALLEJO, Y A LA PRESIDENTA MUNICIPAL DE CELAYA, GUANAJUATO, LA C. ELVIRA PANIAGUA RODRÍGUEZ, PARA QUE INFORMEN A ESTE CONGRESO EL DIAGNÓSTICO Y EL PROGRAMA QUE ESTÁN REALIZANDO PARA EL FORTALECIMIENTO DEL ESTADO DE FUERZA Y LAS CAPACIDADES INSTITUCIONALES DE SUS RESPECTIVOS CUERPOS POLICIALES ESTATALES Y MUNICIPALES.</w:t>
      </w:r>
    </w:p>
    <w:p w14:paraId="4FF574FB" w14:textId="69BBDF46" w:rsidR="00E462B6" w:rsidRDefault="00E462B6" w:rsidP="00E462B6">
      <w:pPr>
        <w:autoSpaceDE w:val="0"/>
        <w:autoSpaceDN w:val="0"/>
        <w:adjustRightInd w:val="0"/>
        <w:jc w:val="both"/>
        <w:rPr>
          <w:rFonts w:ascii="Abadi" w:hAnsi="Abadi" w:cs="ArialMT"/>
          <w:b/>
          <w:bCs/>
          <w:sz w:val="20"/>
          <w:szCs w:val="21"/>
        </w:rPr>
      </w:pPr>
    </w:p>
    <w:p w14:paraId="570D3A78" w14:textId="77777777" w:rsidR="00512EB4" w:rsidRPr="00512EB4" w:rsidRDefault="00512EB4" w:rsidP="00FE053F">
      <w:pPr>
        <w:rPr>
          <w:rFonts w:ascii="Abadi" w:eastAsiaTheme="minorHAnsi" w:hAnsi="Abadi" w:cs="Arial"/>
          <w:b/>
          <w:sz w:val="21"/>
          <w:szCs w:val="21"/>
          <w:lang w:val="es-MX" w:eastAsia="en-US"/>
        </w:rPr>
      </w:pPr>
      <w:r w:rsidRPr="00512EB4">
        <w:rPr>
          <w:rFonts w:ascii="Abadi" w:eastAsiaTheme="minorHAnsi" w:hAnsi="Abadi" w:cs="Arial"/>
          <w:b/>
          <w:sz w:val="21"/>
          <w:szCs w:val="21"/>
          <w:lang w:val="es-MX" w:eastAsia="en-US"/>
        </w:rPr>
        <w:t>Presidencia de la Mesa Directiva</w:t>
      </w:r>
    </w:p>
    <w:p w14:paraId="3188E9E8" w14:textId="77777777" w:rsidR="00512EB4" w:rsidRPr="00512EB4" w:rsidRDefault="00512EB4" w:rsidP="00FE053F">
      <w:pPr>
        <w:rPr>
          <w:rFonts w:ascii="Abadi" w:eastAsiaTheme="minorHAnsi" w:hAnsi="Abadi" w:cs="Arial"/>
          <w:b/>
          <w:sz w:val="21"/>
          <w:szCs w:val="21"/>
          <w:lang w:val="es-MX" w:eastAsia="en-US"/>
        </w:rPr>
      </w:pPr>
      <w:r w:rsidRPr="00512EB4">
        <w:rPr>
          <w:rFonts w:ascii="Abadi" w:eastAsiaTheme="minorHAnsi" w:hAnsi="Abadi" w:cs="Arial"/>
          <w:b/>
          <w:sz w:val="21"/>
          <w:szCs w:val="21"/>
          <w:lang w:val="es-MX" w:eastAsia="en-US"/>
        </w:rPr>
        <w:t>Congreso del Estado</w:t>
      </w:r>
    </w:p>
    <w:p w14:paraId="6C823ABA" w14:textId="77777777" w:rsidR="00512EB4" w:rsidRPr="00512EB4" w:rsidRDefault="00512EB4" w:rsidP="00FE053F">
      <w:pPr>
        <w:rPr>
          <w:rFonts w:ascii="Abadi" w:eastAsiaTheme="minorHAnsi" w:hAnsi="Abadi" w:cs="Arial"/>
          <w:b/>
          <w:sz w:val="21"/>
          <w:szCs w:val="21"/>
          <w:lang w:val="es-MX" w:eastAsia="en-US"/>
        </w:rPr>
      </w:pPr>
      <w:r w:rsidRPr="00512EB4">
        <w:rPr>
          <w:rFonts w:ascii="Abadi" w:eastAsiaTheme="minorHAnsi" w:hAnsi="Abadi" w:cs="Arial"/>
          <w:b/>
          <w:sz w:val="21"/>
          <w:szCs w:val="21"/>
          <w:lang w:val="es-MX" w:eastAsia="en-US"/>
        </w:rPr>
        <w:t>Presente</w:t>
      </w:r>
    </w:p>
    <w:p w14:paraId="5B13DC6B" w14:textId="77777777" w:rsidR="00512EB4" w:rsidRPr="00512EB4" w:rsidRDefault="00512EB4" w:rsidP="00FE053F">
      <w:pPr>
        <w:spacing w:before="100" w:beforeAutospacing="1" w:afterAutospacing="1"/>
        <w:jc w:val="both"/>
        <w:textAlignment w:val="baseline"/>
        <w:rPr>
          <w:rFonts w:ascii="Abadi" w:hAnsi="Abadi" w:cs="Arial"/>
          <w:sz w:val="21"/>
          <w:szCs w:val="21"/>
          <w:lang w:val="es-MX" w:eastAsia="es-MX"/>
        </w:rPr>
      </w:pPr>
      <w:r w:rsidRPr="00512EB4">
        <w:rPr>
          <w:rFonts w:ascii="Abadi" w:hAnsi="Abadi" w:cs="Arial"/>
          <w:sz w:val="21"/>
          <w:szCs w:val="21"/>
          <w:lang w:val="es-MX" w:eastAsia="es-MX"/>
        </w:rPr>
        <w:t>Correspondió a esta Comisión de Seguridad Pública y Comunicaciones analizar y dictaminar la propuesta de punto de acuerdo formulado, en la LXIV Legislatura, por la Diputada María Magdalena Rosales Cruz, integrante del Grupo Parlamentario de MORENA para exhortar al Gobernador del Estado de Guanajuato, al Ciudadano Diego Sinhue Rodríguez Vallejo, y a la Presidenta Municipal de Celaya, Guanajuato, la C. Elvira Paniagua Rodríguez, para que informen a este Congreso el diagnóstico y el programa que están realizando para el fortalecimiento del estado de fuerza y las capacidades institucionales de sus respectivos cuerpos policiales estatales y municipales.</w:t>
      </w:r>
    </w:p>
    <w:p w14:paraId="23FBCF9C" w14:textId="77777777" w:rsidR="00512EB4" w:rsidRPr="00512EB4" w:rsidRDefault="00512EB4" w:rsidP="00FE053F">
      <w:pPr>
        <w:jc w:val="both"/>
        <w:textAlignment w:val="baseline"/>
        <w:rPr>
          <w:rFonts w:ascii="Abadi" w:hAnsi="Abadi" w:cs="Arial"/>
          <w:sz w:val="21"/>
          <w:szCs w:val="21"/>
          <w:lang w:val="es-MX" w:eastAsia="es-MX"/>
        </w:rPr>
      </w:pPr>
      <w:r w:rsidRPr="00512EB4">
        <w:rPr>
          <w:rFonts w:ascii="Abadi" w:hAnsi="Abadi" w:cs="Arial"/>
          <w:sz w:val="21"/>
          <w:szCs w:val="21"/>
          <w:lang w:val="es-MX" w:eastAsia="es-MX"/>
        </w:rPr>
        <w:t xml:space="preserve">Con fundamento en el artículo 119 fracción II y 180 de la Ley Orgánica del Poder Legislativo del Estado de Guanajuato, se procede a realizar el siguiente: </w:t>
      </w:r>
    </w:p>
    <w:p w14:paraId="0E586C3E" w14:textId="77777777" w:rsidR="00512EB4" w:rsidRPr="00512EB4" w:rsidRDefault="00512EB4" w:rsidP="00FE053F">
      <w:pPr>
        <w:jc w:val="both"/>
        <w:textAlignment w:val="baseline"/>
        <w:rPr>
          <w:rFonts w:ascii="Abadi" w:hAnsi="Abadi" w:cs="Arial"/>
          <w:sz w:val="21"/>
          <w:szCs w:val="21"/>
          <w:lang w:val="es-MX" w:eastAsia="es-MX"/>
        </w:rPr>
      </w:pPr>
    </w:p>
    <w:p w14:paraId="713D2E75" w14:textId="77777777" w:rsidR="00512EB4" w:rsidRPr="00512EB4" w:rsidRDefault="00512EB4" w:rsidP="00FE053F">
      <w:pPr>
        <w:jc w:val="center"/>
        <w:textAlignment w:val="baseline"/>
        <w:rPr>
          <w:rFonts w:ascii="Abadi" w:hAnsi="Abadi" w:cs="Arial"/>
          <w:b/>
          <w:sz w:val="21"/>
          <w:szCs w:val="21"/>
          <w:lang w:val="es-MX" w:eastAsia="es-MX"/>
        </w:rPr>
      </w:pPr>
      <w:r w:rsidRPr="00512EB4">
        <w:rPr>
          <w:rFonts w:ascii="Abadi" w:hAnsi="Abadi" w:cs="Arial"/>
          <w:b/>
          <w:sz w:val="21"/>
          <w:szCs w:val="21"/>
          <w:lang w:val="es-MX" w:eastAsia="es-MX"/>
        </w:rPr>
        <w:t>D i c t a m e n</w:t>
      </w:r>
    </w:p>
    <w:p w14:paraId="532C3796" w14:textId="77777777" w:rsidR="00512EB4" w:rsidRPr="00512EB4" w:rsidRDefault="00512EB4" w:rsidP="00FE053F">
      <w:pPr>
        <w:numPr>
          <w:ilvl w:val="0"/>
          <w:numId w:val="44"/>
        </w:numPr>
        <w:textAlignment w:val="baseline"/>
        <w:rPr>
          <w:rFonts w:ascii="Abadi" w:hAnsi="Abadi" w:cs="Arial"/>
          <w:b/>
          <w:sz w:val="21"/>
          <w:szCs w:val="21"/>
          <w:lang w:val="es-MX" w:eastAsia="es-MX"/>
        </w:rPr>
      </w:pPr>
      <w:r w:rsidRPr="00512EB4">
        <w:rPr>
          <w:rFonts w:ascii="Abadi" w:hAnsi="Abadi" w:cs="Arial"/>
          <w:b/>
          <w:sz w:val="21"/>
          <w:szCs w:val="21"/>
          <w:lang w:val="es-MX" w:eastAsia="es-MX"/>
        </w:rPr>
        <w:t>Antecedentes.</w:t>
      </w:r>
    </w:p>
    <w:p w14:paraId="625D63B6" w14:textId="77777777" w:rsidR="00512EB4" w:rsidRPr="00512EB4" w:rsidRDefault="00512EB4" w:rsidP="00FE053F">
      <w:pPr>
        <w:textAlignment w:val="baseline"/>
        <w:rPr>
          <w:rFonts w:ascii="Abadi" w:hAnsi="Abadi" w:cs="Arial"/>
          <w:sz w:val="21"/>
          <w:szCs w:val="21"/>
          <w:lang w:val="es-MX" w:eastAsia="es-MX"/>
        </w:rPr>
      </w:pPr>
    </w:p>
    <w:p w14:paraId="33C71E60" w14:textId="77777777" w:rsidR="00512EB4" w:rsidRPr="00512EB4" w:rsidRDefault="00512EB4" w:rsidP="00FE053F">
      <w:pPr>
        <w:jc w:val="both"/>
        <w:textAlignment w:val="baseline"/>
        <w:rPr>
          <w:rFonts w:ascii="Abadi" w:hAnsi="Abadi" w:cs="Arial"/>
          <w:sz w:val="21"/>
          <w:szCs w:val="21"/>
          <w:lang w:val="es-MX" w:eastAsia="es-MX"/>
        </w:rPr>
      </w:pPr>
      <w:r w:rsidRPr="00512EB4">
        <w:rPr>
          <w:rFonts w:ascii="Abadi" w:hAnsi="Abadi" w:cs="Arial"/>
          <w:sz w:val="21"/>
          <w:szCs w:val="21"/>
          <w:lang w:val="es-MX" w:eastAsia="es-MX"/>
        </w:rPr>
        <w:t xml:space="preserve">La propuesta de acuerdo fue presentada en la sesión ordinaria celebrada en fecha 25 de septiembre de 2019 y su radicación se realizó en reunión del día 2 de octubre del mismo año.  </w:t>
      </w:r>
    </w:p>
    <w:p w14:paraId="78E519DF" w14:textId="77777777" w:rsidR="00512EB4" w:rsidRPr="00512EB4" w:rsidRDefault="00512EB4" w:rsidP="00FE053F">
      <w:pPr>
        <w:jc w:val="both"/>
        <w:textAlignment w:val="baseline"/>
        <w:rPr>
          <w:rFonts w:ascii="Abadi" w:hAnsi="Abadi" w:cs="Arial"/>
          <w:sz w:val="21"/>
          <w:szCs w:val="21"/>
          <w:lang w:val="es-MX" w:eastAsia="es-MX"/>
        </w:rPr>
      </w:pPr>
    </w:p>
    <w:p w14:paraId="081E676B" w14:textId="77777777" w:rsidR="00512EB4" w:rsidRPr="00512EB4" w:rsidRDefault="00512EB4" w:rsidP="00FE053F">
      <w:pPr>
        <w:jc w:val="both"/>
        <w:textAlignment w:val="baseline"/>
        <w:rPr>
          <w:rFonts w:ascii="Abadi" w:hAnsi="Abadi" w:cs="Arial"/>
          <w:sz w:val="21"/>
          <w:szCs w:val="21"/>
          <w:lang w:val="es-MX" w:eastAsia="es-MX"/>
        </w:rPr>
      </w:pPr>
      <w:r w:rsidRPr="00512EB4">
        <w:rPr>
          <w:rFonts w:ascii="Abadi" w:hAnsi="Abadi" w:cs="Arial"/>
          <w:sz w:val="21"/>
          <w:szCs w:val="21"/>
          <w:lang w:val="es-MX" w:eastAsia="es-MX"/>
        </w:rPr>
        <w:t xml:space="preserve">No habiéndose determinado acción posterior, </w:t>
      </w:r>
      <w:r w:rsidRPr="00512EB4">
        <w:rPr>
          <w:rFonts w:ascii="Abadi" w:hAnsi="Abadi"/>
          <w:sz w:val="21"/>
          <w:szCs w:val="21"/>
          <w:lang w:val="es-MX" w:eastAsia="es-MX"/>
        </w:rPr>
        <w:t xml:space="preserve">en fecha 14 de septiembre de 2021, los diputados integrantes de la Comisión de Seguridad Pública y Comunicaciones de la Sexagésima Cuarta Legislatura, determinaron señalar la referida propuesta de acuerdo como pendiente legislativo </w:t>
      </w:r>
      <w:r w:rsidRPr="00512EB4">
        <w:rPr>
          <w:rFonts w:ascii="Abadi" w:hAnsi="Abadi" w:cs="Arial"/>
          <w:sz w:val="21"/>
          <w:szCs w:val="21"/>
          <w:lang w:val="es-MX" w:eastAsia="es-MX"/>
        </w:rPr>
        <w:t>dentro del Informe de Actividades Legislativas</w:t>
      </w:r>
      <w:r w:rsidRPr="00512EB4">
        <w:rPr>
          <w:rFonts w:ascii="Abadi" w:hAnsi="Abadi"/>
          <w:sz w:val="21"/>
          <w:szCs w:val="21"/>
          <w:lang w:val="es-MX" w:eastAsia="es-MX"/>
        </w:rPr>
        <w:t>, para que fuera la siguiente Legislatura quien se pronunciara al respecto</w:t>
      </w:r>
      <w:r w:rsidRPr="00512EB4">
        <w:rPr>
          <w:rFonts w:ascii="Abadi" w:hAnsi="Abadi" w:cs="Arial"/>
          <w:sz w:val="21"/>
          <w:szCs w:val="21"/>
          <w:lang w:val="es-MX" w:eastAsia="es-MX"/>
        </w:rPr>
        <w:t xml:space="preserve">.  </w:t>
      </w:r>
    </w:p>
    <w:p w14:paraId="11721A76" w14:textId="77777777" w:rsidR="00512EB4" w:rsidRPr="00512EB4" w:rsidRDefault="00512EB4" w:rsidP="00FE053F">
      <w:pPr>
        <w:jc w:val="both"/>
        <w:textAlignment w:val="baseline"/>
        <w:rPr>
          <w:rFonts w:ascii="Abadi" w:hAnsi="Abadi" w:cs="Arial"/>
          <w:sz w:val="21"/>
          <w:szCs w:val="21"/>
          <w:lang w:val="es-MX" w:eastAsia="es-MX"/>
        </w:rPr>
      </w:pPr>
    </w:p>
    <w:p w14:paraId="616DE93F" w14:textId="77777777" w:rsidR="00512EB4" w:rsidRPr="00512EB4" w:rsidRDefault="00512EB4" w:rsidP="00FE053F">
      <w:pPr>
        <w:jc w:val="both"/>
        <w:textAlignment w:val="baseline"/>
        <w:rPr>
          <w:rFonts w:ascii="Abadi" w:hAnsi="Abadi"/>
          <w:sz w:val="21"/>
          <w:szCs w:val="21"/>
          <w:lang w:val="es-MX" w:eastAsia="es-MX"/>
        </w:rPr>
      </w:pPr>
      <w:r w:rsidRPr="00512EB4">
        <w:rPr>
          <w:rFonts w:ascii="Abadi" w:hAnsi="Abadi"/>
          <w:sz w:val="21"/>
          <w:szCs w:val="21"/>
          <w:lang w:val="es-MX" w:eastAsia="es-MX"/>
        </w:rPr>
        <w:t>Instalada la Comisión de Seguridad Pública y Comunicaciones de la Sexagésima Quinta Legislatura, en fecha 12 de octubre de 2022, nos impusimos del contenido de los pendientes legislativos, encontrándose entre ellos la referida propuesta de acuerdo que se dictamina.</w:t>
      </w:r>
    </w:p>
    <w:p w14:paraId="509A018F" w14:textId="77777777" w:rsidR="00512EB4" w:rsidRPr="00512EB4" w:rsidRDefault="00512EB4" w:rsidP="00FE053F">
      <w:pPr>
        <w:jc w:val="both"/>
        <w:textAlignment w:val="baseline"/>
        <w:rPr>
          <w:rFonts w:ascii="Abadi" w:hAnsi="Abadi"/>
          <w:sz w:val="21"/>
          <w:szCs w:val="21"/>
          <w:lang w:val="es-MX" w:eastAsia="es-MX"/>
        </w:rPr>
      </w:pPr>
    </w:p>
    <w:p w14:paraId="3F3AA577" w14:textId="77777777" w:rsidR="00512EB4" w:rsidRPr="00512EB4" w:rsidRDefault="00512EB4" w:rsidP="00FE053F">
      <w:pPr>
        <w:jc w:val="both"/>
        <w:textAlignment w:val="baseline"/>
        <w:rPr>
          <w:rFonts w:ascii="Abadi" w:hAnsi="Abadi"/>
          <w:sz w:val="21"/>
          <w:szCs w:val="21"/>
          <w:lang w:val="es-MX" w:eastAsia="es-MX"/>
        </w:rPr>
      </w:pPr>
      <w:r w:rsidRPr="00512EB4">
        <w:rPr>
          <w:rFonts w:ascii="Abadi" w:hAnsi="Abadi"/>
          <w:sz w:val="21"/>
          <w:szCs w:val="21"/>
          <w:lang w:val="es-MX" w:eastAsia="es-MX"/>
        </w:rPr>
        <w:t>Conforme a lo referido en el presente documento, la Presidencia de esta Comisión de Seguridad Pública y Comunicaciones instruyó a la Secretaría Técnica para que elaborara el proyecto de dictamen en sentido negativo, conforme a lo dispuesto en los artículos 94, fracción VII y 272 fracción VIII inciso e) de nuestra Ley Orgánica, para su discusión y votación por la diputada y diputados integrantes.</w:t>
      </w:r>
    </w:p>
    <w:p w14:paraId="47EA89E4" w14:textId="77777777" w:rsidR="00512EB4" w:rsidRPr="00512EB4" w:rsidRDefault="00512EB4" w:rsidP="00FE053F">
      <w:pPr>
        <w:spacing w:after="160"/>
        <w:jc w:val="both"/>
        <w:rPr>
          <w:rFonts w:ascii="Abadi" w:eastAsia="Batang" w:hAnsi="Abadi" w:cs="Arial"/>
          <w:b/>
          <w:sz w:val="21"/>
          <w:szCs w:val="21"/>
          <w:lang w:val="es-MX" w:eastAsia="en-US"/>
        </w:rPr>
      </w:pPr>
    </w:p>
    <w:p w14:paraId="0BB8CA7F" w14:textId="77777777" w:rsidR="00512EB4" w:rsidRPr="00512EB4" w:rsidRDefault="00512EB4" w:rsidP="00FE053F">
      <w:pPr>
        <w:numPr>
          <w:ilvl w:val="0"/>
          <w:numId w:val="44"/>
        </w:numPr>
        <w:jc w:val="both"/>
        <w:textAlignment w:val="baseline"/>
        <w:rPr>
          <w:rFonts w:ascii="Abadi" w:hAnsi="Abadi" w:cs="Arial"/>
          <w:b/>
          <w:sz w:val="21"/>
          <w:szCs w:val="21"/>
          <w:lang w:val="es-MX" w:eastAsia="es-MX"/>
        </w:rPr>
      </w:pPr>
      <w:r w:rsidRPr="00512EB4">
        <w:rPr>
          <w:rFonts w:ascii="Abadi" w:hAnsi="Abadi" w:cs="Arial"/>
          <w:b/>
          <w:sz w:val="21"/>
          <w:szCs w:val="21"/>
          <w:lang w:val="es-MX" w:eastAsia="es-MX"/>
        </w:rPr>
        <w:t>Consideraciones de quien propone (en lo medular).</w:t>
      </w:r>
    </w:p>
    <w:p w14:paraId="4B3D155F" w14:textId="77777777" w:rsidR="00512EB4" w:rsidRPr="00512EB4" w:rsidRDefault="00512EB4" w:rsidP="00FE053F">
      <w:pPr>
        <w:autoSpaceDE w:val="0"/>
        <w:autoSpaceDN w:val="0"/>
        <w:adjustRightInd w:val="0"/>
        <w:ind w:left="720"/>
        <w:contextualSpacing/>
        <w:jc w:val="both"/>
        <w:rPr>
          <w:rFonts w:ascii="Abadi" w:eastAsiaTheme="minorHAnsi" w:hAnsi="Abadi" w:cs="ArialNarrow"/>
          <w:color w:val="000000"/>
          <w:sz w:val="21"/>
          <w:szCs w:val="21"/>
          <w:lang w:val="es-MX" w:eastAsia="en-US"/>
        </w:rPr>
      </w:pPr>
    </w:p>
    <w:p w14:paraId="0169AFF0" w14:textId="77777777" w:rsidR="00512EB4" w:rsidRPr="00512EB4" w:rsidRDefault="00512EB4" w:rsidP="00FE053F">
      <w:pPr>
        <w:jc w:val="both"/>
        <w:textAlignment w:val="baseline"/>
        <w:rPr>
          <w:rFonts w:ascii="Abadi" w:hAnsi="Abadi" w:cs="Arial"/>
          <w:sz w:val="21"/>
          <w:szCs w:val="21"/>
          <w:lang w:val="es-MX" w:eastAsia="es-MX"/>
        </w:rPr>
      </w:pPr>
      <w:r w:rsidRPr="00512EB4">
        <w:rPr>
          <w:rFonts w:ascii="Abadi" w:hAnsi="Abadi" w:cs="Arial"/>
          <w:sz w:val="21"/>
          <w:szCs w:val="21"/>
          <w:lang w:val="es-MX" w:eastAsia="es-MX"/>
        </w:rPr>
        <w:t>La Seguridad Pública es una materia que le compete a las instituciones públicas de los tres órdenes de gobierno, toda vez que la finalidad primera de la organización Estatal lo constituye justamente salvaguardar la vida, las libertades, la integridad y el patrimonio de todas las personas. La seguridad y justicia para las personas le da sentido a la organización social y política de los ciudadanos.</w:t>
      </w:r>
    </w:p>
    <w:p w14:paraId="4E8F362B" w14:textId="77777777" w:rsidR="00512EB4" w:rsidRPr="00512EB4" w:rsidRDefault="00512EB4" w:rsidP="00FE053F">
      <w:pPr>
        <w:jc w:val="both"/>
        <w:textAlignment w:val="baseline"/>
        <w:rPr>
          <w:rFonts w:ascii="Abadi" w:hAnsi="Abadi" w:cs="Arial"/>
          <w:sz w:val="21"/>
          <w:szCs w:val="21"/>
          <w:lang w:val="es-MX" w:eastAsia="es-MX"/>
        </w:rPr>
      </w:pPr>
    </w:p>
    <w:p w14:paraId="671E015D" w14:textId="77777777" w:rsidR="00512EB4" w:rsidRPr="00512EB4" w:rsidRDefault="00512EB4" w:rsidP="00FE053F">
      <w:pPr>
        <w:jc w:val="both"/>
        <w:textAlignment w:val="baseline"/>
        <w:rPr>
          <w:rFonts w:ascii="Abadi" w:hAnsi="Abadi" w:cs="Arial"/>
          <w:sz w:val="21"/>
          <w:szCs w:val="21"/>
          <w:lang w:val="es-MX" w:eastAsia="es-MX"/>
        </w:rPr>
      </w:pPr>
      <w:r w:rsidRPr="00512EB4">
        <w:rPr>
          <w:rFonts w:ascii="Abadi" w:hAnsi="Abadi" w:cs="Arial"/>
          <w:sz w:val="21"/>
          <w:szCs w:val="21"/>
          <w:lang w:val="es-MX" w:eastAsia="es-MX"/>
        </w:rPr>
        <w:t>Sin embargo, la situación en nuestro estado y particularmente en el Municipio de Celaya, parecen ir en contra de cualquier lógica, los crímenes son parte del día a día, y el abandono en el que las autoridades tienen a la sociedad, es evidente.</w:t>
      </w:r>
    </w:p>
    <w:p w14:paraId="052727C1" w14:textId="77777777" w:rsidR="00512EB4" w:rsidRPr="00512EB4" w:rsidRDefault="00512EB4" w:rsidP="00FE053F">
      <w:pPr>
        <w:jc w:val="both"/>
        <w:textAlignment w:val="baseline"/>
        <w:rPr>
          <w:rFonts w:ascii="Abadi" w:hAnsi="Abadi" w:cs="Arial"/>
          <w:sz w:val="21"/>
          <w:szCs w:val="21"/>
          <w:lang w:val="es-MX" w:eastAsia="es-MX"/>
        </w:rPr>
      </w:pPr>
      <w:r w:rsidRPr="00512EB4">
        <w:rPr>
          <w:rFonts w:ascii="Abadi" w:hAnsi="Abadi" w:cs="Arial"/>
          <w:sz w:val="21"/>
          <w:szCs w:val="21"/>
          <w:lang w:val="es-MX" w:eastAsia="es-MX"/>
        </w:rPr>
        <w:t>En el ámbito federal, el presidente de la República Andrés Manuel López Obrador presentó la nueva estrategia de seguridad, en donde se le da mucha más importancia el atacar las causas de los delitos, atender a los jóvenes a través de becas para el estudio o lugares para emplearse.</w:t>
      </w:r>
    </w:p>
    <w:p w14:paraId="4A2CB7DB" w14:textId="77777777" w:rsidR="00512EB4" w:rsidRPr="00512EB4" w:rsidRDefault="00512EB4" w:rsidP="00FE053F">
      <w:pPr>
        <w:jc w:val="both"/>
        <w:textAlignment w:val="baseline"/>
        <w:rPr>
          <w:rFonts w:ascii="Abadi" w:hAnsi="Abadi" w:cs="Arial"/>
          <w:sz w:val="21"/>
          <w:szCs w:val="21"/>
          <w:lang w:val="es-MX" w:eastAsia="es-MX"/>
        </w:rPr>
      </w:pPr>
    </w:p>
    <w:p w14:paraId="309634DC" w14:textId="77777777" w:rsidR="00512EB4" w:rsidRPr="00512EB4" w:rsidRDefault="00512EB4" w:rsidP="00FE053F">
      <w:pPr>
        <w:jc w:val="both"/>
        <w:textAlignment w:val="baseline"/>
        <w:rPr>
          <w:rFonts w:ascii="Abadi" w:hAnsi="Abadi" w:cs="Arial"/>
          <w:sz w:val="21"/>
          <w:szCs w:val="21"/>
          <w:lang w:val="es-MX" w:eastAsia="es-MX"/>
        </w:rPr>
      </w:pPr>
      <w:r w:rsidRPr="00512EB4">
        <w:rPr>
          <w:rFonts w:ascii="Abadi" w:hAnsi="Abadi" w:cs="Arial"/>
          <w:sz w:val="21"/>
          <w:szCs w:val="21"/>
          <w:lang w:val="es-MX" w:eastAsia="es-MX"/>
        </w:rPr>
        <w:t>Además, ante una Policía Federal mermada en el número de elementos, toda vez que dicha corporación únicamente contaba con diez mil efectivos, se tomó la determinación de crear la Guardia Nacional, institución de carácter civil que tiene por objetivo contribuir a la generación y preservación del orden público y la paz social, y constituye un instrumento primordial del Ejecutivo Federal en la prevención del delito, la preservación de la seguridad pública, la recuperación de la paz y el combate a la delincuencia en todo el país.</w:t>
      </w:r>
    </w:p>
    <w:p w14:paraId="0D76AFC5" w14:textId="77777777" w:rsidR="00512EB4" w:rsidRPr="00512EB4" w:rsidRDefault="00512EB4" w:rsidP="00FE053F">
      <w:pPr>
        <w:jc w:val="both"/>
        <w:textAlignment w:val="baseline"/>
        <w:rPr>
          <w:rFonts w:ascii="Abadi" w:hAnsi="Abadi" w:cs="Arial"/>
          <w:sz w:val="21"/>
          <w:szCs w:val="21"/>
          <w:lang w:val="es-MX" w:eastAsia="es-MX"/>
        </w:rPr>
      </w:pPr>
    </w:p>
    <w:p w14:paraId="1D41D5DC" w14:textId="77777777" w:rsidR="00512EB4" w:rsidRPr="00512EB4" w:rsidRDefault="00512EB4" w:rsidP="00FE053F">
      <w:pPr>
        <w:jc w:val="both"/>
        <w:textAlignment w:val="baseline"/>
        <w:rPr>
          <w:rFonts w:ascii="Abadi" w:hAnsi="Abadi" w:cs="Arial"/>
          <w:sz w:val="21"/>
          <w:szCs w:val="21"/>
          <w:lang w:val="es-MX" w:eastAsia="es-MX"/>
        </w:rPr>
      </w:pPr>
      <w:r w:rsidRPr="00512EB4">
        <w:rPr>
          <w:rFonts w:ascii="Abadi" w:hAnsi="Abadi" w:cs="Arial"/>
          <w:sz w:val="21"/>
          <w:szCs w:val="21"/>
          <w:lang w:val="es-MX" w:eastAsia="es-MX"/>
        </w:rPr>
        <w:t>En ese sentido, el pasado 13 de agosto de 2019, el Presidente de México informó sobre los avances en la conformación de la Guardia Nacional, precisando que en esa fecha había desplegados en territorio nacional 58, 602 elementos; por lo que hace al estado de Guanajuato, se informó que hay 2,11O elementos de la Guardia Nacional. Asimismo, en el Municipio de Celaya, Guanajuato, hay desplegados 400 elementos de la citada corporación.</w:t>
      </w:r>
    </w:p>
    <w:p w14:paraId="01B622BB" w14:textId="77777777" w:rsidR="00512EB4" w:rsidRPr="00512EB4" w:rsidRDefault="00512EB4" w:rsidP="00FE053F">
      <w:pPr>
        <w:jc w:val="both"/>
        <w:textAlignment w:val="baseline"/>
        <w:rPr>
          <w:rFonts w:ascii="Abadi" w:hAnsi="Abadi" w:cs="Arial"/>
          <w:sz w:val="21"/>
          <w:szCs w:val="21"/>
          <w:lang w:val="es-MX" w:eastAsia="es-MX"/>
        </w:rPr>
      </w:pPr>
    </w:p>
    <w:p w14:paraId="435F1030" w14:textId="77777777" w:rsidR="00512EB4" w:rsidRPr="00512EB4" w:rsidRDefault="00512EB4" w:rsidP="00FE053F">
      <w:pPr>
        <w:jc w:val="both"/>
        <w:textAlignment w:val="baseline"/>
        <w:rPr>
          <w:rFonts w:ascii="Abadi" w:hAnsi="Abadi" w:cs="Arial"/>
          <w:sz w:val="21"/>
          <w:szCs w:val="21"/>
          <w:lang w:val="es-MX" w:eastAsia="es-MX"/>
        </w:rPr>
      </w:pPr>
      <w:r w:rsidRPr="00512EB4">
        <w:rPr>
          <w:rFonts w:ascii="Abadi" w:hAnsi="Abadi" w:cs="Arial"/>
          <w:sz w:val="21"/>
          <w:szCs w:val="21"/>
          <w:lang w:val="es-MX" w:eastAsia="es-MX"/>
        </w:rPr>
        <w:t>Sin embargo, en dicho informe también se señaló que existe un déficit de las Policías Estatales y Municipales en prácticamente todo el país, incluyendo a nuestro Estado, el cual se encuentra entre los Estado con mayor déficit, pues a la fecha hace falta casi la mitad de las policías estatales. Ese hecho es inconcebible dada la situación de violencia e inseguridad que se padece en nuestra entidad.</w:t>
      </w:r>
    </w:p>
    <w:p w14:paraId="30FCDA62" w14:textId="77777777" w:rsidR="00512EB4" w:rsidRPr="00512EB4" w:rsidRDefault="00512EB4" w:rsidP="00FE053F">
      <w:pPr>
        <w:jc w:val="both"/>
        <w:textAlignment w:val="baseline"/>
        <w:rPr>
          <w:rFonts w:ascii="Abadi" w:hAnsi="Abadi" w:cs="Arial"/>
          <w:sz w:val="21"/>
          <w:szCs w:val="21"/>
          <w:lang w:val="es-MX" w:eastAsia="es-MX"/>
        </w:rPr>
      </w:pPr>
    </w:p>
    <w:p w14:paraId="6F529D04" w14:textId="77777777" w:rsidR="00512EB4" w:rsidRPr="00512EB4" w:rsidRDefault="00512EB4" w:rsidP="00FE053F">
      <w:pPr>
        <w:jc w:val="both"/>
        <w:textAlignment w:val="baseline"/>
        <w:rPr>
          <w:rFonts w:ascii="Abadi" w:hAnsi="Abadi" w:cs="Arial"/>
          <w:sz w:val="21"/>
          <w:szCs w:val="21"/>
          <w:lang w:val="es-MX" w:eastAsia="es-MX"/>
        </w:rPr>
      </w:pPr>
      <w:r w:rsidRPr="00512EB4">
        <w:rPr>
          <w:rFonts w:ascii="Abadi" w:hAnsi="Abadi" w:cs="Arial"/>
          <w:sz w:val="21"/>
          <w:szCs w:val="21"/>
          <w:lang w:val="es-MX" w:eastAsia="es-MX"/>
        </w:rPr>
        <w:t>Sabemos que el esfuerzo que se está realizando por parte del Gobierno de México puede tener resultados todavía intangibles para la población, sin embargo hay un compromiso claro por atender la situación de crisis que se vive en la entidad.</w:t>
      </w:r>
    </w:p>
    <w:p w14:paraId="4F5EA43A" w14:textId="77777777" w:rsidR="00512EB4" w:rsidRPr="00512EB4" w:rsidRDefault="00512EB4" w:rsidP="00FE053F">
      <w:pPr>
        <w:jc w:val="both"/>
        <w:textAlignment w:val="baseline"/>
        <w:rPr>
          <w:rFonts w:ascii="Abadi" w:hAnsi="Abadi" w:cs="Arial"/>
          <w:sz w:val="21"/>
          <w:szCs w:val="21"/>
          <w:lang w:val="es-MX" w:eastAsia="es-MX"/>
        </w:rPr>
      </w:pPr>
    </w:p>
    <w:p w14:paraId="7CCF35FC" w14:textId="77777777" w:rsidR="00512EB4" w:rsidRPr="00512EB4" w:rsidRDefault="00512EB4" w:rsidP="00FE053F">
      <w:pPr>
        <w:jc w:val="both"/>
        <w:textAlignment w:val="baseline"/>
        <w:rPr>
          <w:rFonts w:ascii="Abadi" w:hAnsi="Abadi" w:cs="Arial"/>
          <w:sz w:val="21"/>
          <w:szCs w:val="21"/>
          <w:lang w:val="es-MX" w:eastAsia="es-MX"/>
        </w:rPr>
      </w:pPr>
      <w:r w:rsidRPr="00512EB4">
        <w:rPr>
          <w:rFonts w:ascii="Abadi" w:hAnsi="Abadi" w:cs="Arial"/>
          <w:sz w:val="21"/>
          <w:szCs w:val="21"/>
          <w:lang w:val="es-MX" w:eastAsia="es-MX"/>
        </w:rPr>
        <w:t>No obstante, como se ha dicho, en el Estado y el Municipio de Celaya carecemos de los elementos de seguridad pública suficientes para para proteger a las personas, para prevenir la violencia, para pacificar la ciudad.</w:t>
      </w:r>
    </w:p>
    <w:p w14:paraId="3456FA7C" w14:textId="77777777" w:rsidR="00512EB4" w:rsidRPr="00512EB4" w:rsidRDefault="00512EB4" w:rsidP="00FE053F">
      <w:pPr>
        <w:jc w:val="both"/>
        <w:textAlignment w:val="baseline"/>
        <w:rPr>
          <w:rFonts w:ascii="Abadi" w:hAnsi="Abadi" w:cs="Arial"/>
          <w:sz w:val="21"/>
          <w:szCs w:val="21"/>
          <w:lang w:val="es-MX" w:eastAsia="es-MX"/>
        </w:rPr>
      </w:pPr>
    </w:p>
    <w:p w14:paraId="07D43D4B" w14:textId="77777777" w:rsidR="00512EB4" w:rsidRPr="00512EB4" w:rsidRDefault="00512EB4" w:rsidP="00FE053F">
      <w:pPr>
        <w:jc w:val="both"/>
        <w:textAlignment w:val="baseline"/>
        <w:rPr>
          <w:rFonts w:ascii="Abadi" w:hAnsi="Abadi" w:cs="Arial"/>
          <w:sz w:val="21"/>
          <w:szCs w:val="21"/>
          <w:lang w:val="es-MX" w:eastAsia="es-MX"/>
        </w:rPr>
      </w:pPr>
      <w:r w:rsidRPr="00512EB4">
        <w:rPr>
          <w:rFonts w:ascii="Abadi" w:hAnsi="Abadi" w:cs="Arial"/>
          <w:sz w:val="21"/>
          <w:szCs w:val="21"/>
          <w:lang w:val="es-MX" w:eastAsia="es-MX"/>
        </w:rPr>
        <w:t>La sociedad celayense vive en un constante estado de miedo y desesperación, aunque por parte de las autoridades estatales se dan declaraciones sensacionalistas en las que "presumen" haber detenido al principal grupo de extorsionadores que operaba en el Municipio, el sentir de la gente es el mismo, las extorsiones siguen, tristemente van en aumento y lo más grave es que no se ven acciones claras por parte de las autoridades estatales ni municipales para buscar revertir la situación.</w:t>
      </w:r>
    </w:p>
    <w:p w14:paraId="74401C57" w14:textId="77777777" w:rsidR="00512EB4" w:rsidRPr="00512EB4" w:rsidRDefault="00512EB4" w:rsidP="00FE053F">
      <w:pPr>
        <w:jc w:val="both"/>
        <w:textAlignment w:val="baseline"/>
        <w:rPr>
          <w:rFonts w:ascii="Abadi" w:hAnsi="Abadi" w:cs="Arial"/>
          <w:sz w:val="21"/>
          <w:szCs w:val="21"/>
          <w:lang w:val="es-MX" w:eastAsia="es-MX"/>
        </w:rPr>
      </w:pPr>
    </w:p>
    <w:p w14:paraId="5A8C3B5A" w14:textId="77777777" w:rsidR="00512EB4" w:rsidRPr="00512EB4" w:rsidRDefault="00512EB4" w:rsidP="00FE053F">
      <w:pPr>
        <w:jc w:val="both"/>
        <w:textAlignment w:val="baseline"/>
        <w:rPr>
          <w:rFonts w:ascii="Abadi" w:hAnsi="Abadi" w:cs="Arial"/>
          <w:sz w:val="21"/>
          <w:szCs w:val="21"/>
          <w:lang w:val="es-MX" w:eastAsia="es-MX"/>
        </w:rPr>
      </w:pPr>
      <w:r w:rsidRPr="00512EB4">
        <w:rPr>
          <w:rFonts w:ascii="Abadi" w:hAnsi="Abadi" w:cs="Arial"/>
          <w:sz w:val="21"/>
          <w:szCs w:val="21"/>
          <w:lang w:val="es-MX" w:eastAsia="es-MX"/>
        </w:rPr>
        <w:t>Celaya es hoy una de las ciudades más violentas del mundo y no podemos olvidar que en medio de la crisis de extorsiones más fuerte que ha vivido la ciudad, la alcaldesa negó en repetidas ocasiones la situación.</w:t>
      </w:r>
    </w:p>
    <w:p w14:paraId="50CDCE60" w14:textId="77777777" w:rsidR="00512EB4" w:rsidRPr="00512EB4" w:rsidRDefault="00512EB4" w:rsidP="00FE053F">
      <w:pPr>
        <w:jc w:val="both"/>
        <w:textAlignment w:val="baseline"/>
        <w:rPr>
          <w:rFonts w:ascii="Abadi" w:hAnsi="Abadi" w:cs="Arial"/>
          <w:sz w:val="21"/>
          <w:szCs w:val="21"/>
          <w:lang w:val="es-MX" w:eastAsia="es-MX"/>
        </w:rPr>
      </w:pPr>
    </w:p>
    <w:p w14:paraId="02731B2F" w14:textId="77777777" w:rsidR="00512EB4" w:rsidRPr="00512EB4" w:rsidRDefault="00512EB4" w:rsidP="00FE053F">
      <w:pPr>
        <w:jc w:val="both"/>
        <w:textAlignment w:val="baseline"/>
        <w:rPr>
          <w:rFonts w:ascii="Abadi" w:hAnsi="Abadi" w:cs="Arial"/>
          <w:sz w:val="21"/>
          <w:szCs w:val="21"/>
          <w:lang w:val="es-MX" w:eastAsia="es-MX"/>
        </w:rPr>
      </w:pPr>
      <w:r w:rsidRPr="00512EB4">
        <w:rPr>
          <w:rFonts w:ascii="Abadi" w:hAnsi="Abadi" w:cs="Arial"/>
          <w:sz w:val="21"/>
          <w:szCs w:val="21"/>
          <w:lang w:val="es-MX" w:eastAsia="es-MX"/>
        </w:rPr>
        <w:t>Debido a que la inseguridad y la violencia no se han reducido, al contrario, tal como se ha señalado y hemos vivido las últimas semanas, estos hechos tienen incluso manifestaciones más extremas, resulta apremiante que se realicen todas las actividades conducentes al fortalecimiento del estado de fuerza y las capacidades institucionales de sus respectivos cuerpos policiales estatales y municipales, además de que es deber de este órgano legislativo velar por el buen funcionamiento de los cuerpos de seguridad pública, sobre todo ante la necedad del Gobernador del Estado de mantener al frente de la Seguridad Pública a quien ha estado al frente en los últimos años, con los pésimos resultados hasta ahora vistos y conocidos.</w:t>
      </w:r>
    </w:p>
    <w:p w14:paraId="14E6998B" w14:textId="77777777" w:rsidR="00512EB4" w:rsidRPr="00512EB4" w:rsidRDefault="00512EB4" w:rsidP="00FE053F">
      <w:pPr>
        <w:jc w:val="both"/>
        <w:textAlignment w:val="baseline"/>
        <w:rPr>
          <w:rFonts w:ascii="Abadi" w:hAnsi="Abadi" w:cs="Arial"/>
          <w:b/>
          <w:strike/>
          <w:sz w:val="21"/>
          <w:szCs w:val="21"/>
          <w:lang w:val="es-MX" w:eastAsia="es-MX"/>
        </w:rPr>
      </w:pPr>
    </w:p>
    <w:p w14:paraId="6D9D1734" w14:textId="77777777" w:rsidR="00512EB4" w:rsidRPr="00512EB4" w:rsidRDefault="00512EB4" w:rsidP="00FE053F">
      <w:pPr>
        <w:widowControl w:val="0"/>
        <w:autoSpaceDE w:val="0"/>
        <w:autoSpaceDN w:val="0"/>
        <w:ind w:right="113"/>
        <w:jc w:val="both"/>
        <w:rPr>
          <w:rFonts w:ascii="Abadi" w:hAnsi="Abadi" w:cs="Arial"/>
          <w:sz w:val="21"/>
          <w:szCs w:val="21"/>
          <w:lang w:val="es-MX" w:eastAsia="es-MX"/>
        </w:rPr>
      </w:pPr>
      <w:r w:rsidRPr="00512EB4">
        <w:rPr>
          <w:rFonts w:ascii="Abadi" w:eastAsia="Arial" w:hAnsi="Abadi" w:cs="Arial"/>
          <w:b/>
          <w:sz w:val="21"/>
          <w:szCs w:val="21"/>
          <w:lang w:val="es-MX" w:eastAsia="en-US"/>
        </w:rPr>
        <w:t xml:space="preserve">III. </w:t>
      </w:r>
      <w:r w:rsidRPr="00512EB4">
        <w:rPr>
          <w:rFonts w:ascii="Abadi" w:eastAsia="Arial" w:hAnsi="Abadi" w:cs="Arial"/>
          <w:b/>
          <w:sz w:val="21"/>
          <w:szCs w:val="21"/>
          <w:lang w:val="es-MX" w:eastAsia="en-US"/>
        </w:rPr>
        <w:tab/>
        <w:t>Consideraciones de quienes integran la comisión</w:t>
      </w:r>
      <w:r w:rsidRPr="00512EB4">
        <w:rPr>
          <w:rFonts w:ascii="Abadi" w:hAnsi="Abadi" w:cs="Arial"/>
          <w:sz w:val="21"/>
          <w:szCs w:val="21"/>
          <w:lang w:val="es-MX" w:eastAsia="es-MX"/>
        </w:rPr>
        <w:t xml:space="preserve">. </w:t>
      </w:r>
    </w:p>
    <w:p w14:paraId="3E900F17" w14:textId="77777777" w:rsidR="00512EB4" w:rsidRPr="00512EB4" w:rsidRDefault="00512EB4" w:rsidP="00FE053F">
      <w:pPr>
        <w:widowControl w:val="0"/>
        <w:autoSpaceDE w:val="0"/>
        <w:autoSpaceDN w:val="0"/>
        <w:ind w:right="113"/>
        <w:jc w:val="both"/>
        <w:rPr>
          <w:rFonts w:ascii="Abadi" w:hAnsi="Abadi" w:cs="Arial"/>
          <w:sz w:val="21"/>
          <w:szCs w:val="21"/>
          <w:lang w:val="es-MX" w:eastAsia="es-MX"/>
        </w:rPr>
      </w:pPr>
    </w:p>
    <w:p w14:paraId="379FC018" w14:textId="77777777" w:rsidR="00512EB4" w:rsidRPr="00512EB4" w:rsidRDefault="00512EB4" w:rsidP="00FE053F">
      <w:pPr>
        <w:spacing w:after="160"/>
        <w:jc w:val="both"/>
        <w:rPr>
          <w:rFonts w:ascii="Abadi" w:eastAsiaTheme="minorHAnsi" w:hAnsi="Abadi" w:cs="Arial"/>
          <w:sz w:val="21"/>
          <w:szCs w:val="21"/>
          <w:lang w:val="es-MX" w:eastAsia="en-US"/>
        </w:rPr>
      </w:pPr>
      <w:r w:rsidRPr="00512EB4">
        <w:rPr>
          <w:rFonts w:ascii="Abadi" w:eastAsiaTheme="minorHAnsi" w:hAnsi="Abadi" w:cs="Arial"/>
          <w:sz w:val="21"/>
          <w:szCs w:val="21"/>
          <w:lang w:val="es-MX" w:eastAsia="en-US"/>
        </w:rPr>
        <w:t xml:space="preserve"> La Junta de Gobierno y Coordinación Política es el órgano de gobierno encargado de la dirección de los asuntos relativos al régimen Interno del Poder Legislativo con el fin de optimizar sus funciones legislativas, políticas y administrativas, conforme a lo dispuesto en su ley orgánica.</w:t>
      </w:r>
    </w:p>
    <w:p w14:paraId="0699314A" w14:textId="77777777" w:rsidR="00512EB4" w:rsidRPr="00512EB4" w:rsidRDefault="00512EB4" w:rsidP="00FE053F">
      <w:pPr>
        <w:spacing w:after="160"/>
        <w:jc w:val="both"/>
        <w:rPr>
          <w:rFonts w:ascii="Abadi" w:eastAsiaTheme="minorHAnsi" w:hAnsi="Abadi" w:cs="Arial"/>
          <w:sz w:val="21"/>
          <w:szCs w:val="21"/>
          <w:lang w:val="es-MX" w:eastAsia="en-US"/>
        </w:rPr>
      </w:pPr>
      <w:r w:rsidRPr="00512EB4">
        <w:rPr>
          <w:rFonts w:ascii="Abadi" w:eastAsiaTheme="minorHAnsi" w:hAnsi="Abadi" w:cs="Arial"/>
          <w:sz w:val="21"/>
          <w:szCs w:val="21"/>
          <w:lang w:val="es-MX" w:eastAsia="en-US"/>
        </w:rPr>
        <w:t xml:space="preserve">Dicho órgano de gobierno expresa la pluralidad del Congreso del Estado y funciona como enlace entre los grupos y representaciones parlamentarias legalmente constituidos en el seno de la Legislatura y, en su caso, diputados independientes, con objeto de impulsar entendimientos y convergencias políticas con las instancias y órganos que resulten necesarios, a fin de alcanzar acuerdos que permitan al Congreso del Estado, a la diputación permanente y a las comisiones legislativas, adoptar las decisiones que constitucional y legalmente les corresponden, siendo una de sus principales atribuciones establecer la agenda legislativa común. </w:t>
      </w:r>
    </w:p>
    <w:p w14:paraId="3E048BD2" w14:textId="77777777" w:rsidR="00512EB4" w:rsidRPr="00512EB4" w:rsidRDefault="00512EB4" w:rsidP="00FE053F">
      <w:pPr>
        <w:spacing w:after="160"/>
        <w:jc w:val="both"/>
        <w:rPr>
          <w:rFonts w:ascii="Abadi" w:eastAsiaTheme="minorHAnsi" w:hAnsi="Abadi" w:cs="Arial"/>
          <w:sz w:val="21"/>
          <w:szCs w:val="21"/>
          <w:lang w:val="es-MX" w:eastAsia="en-US"/>
        </w:rPr>
      </w:pPr>
      <w:r w:rsidRPr="00512EB4">
        <w:rPr>
          <w:rFonts w:ascii="Abadi" w:eastAsiaTheme="minorHAnsi" w:hAnsi="Abadi" w:cs="Arial"/>
          <w:sz w:val="21"/>
          <w:szCs w:val="21"/>
          <w:lang w:val="es-MX" w:eastAsia="en-US"/>
        </w:rPr>
        <w:t xml:space="preserve">Conforme lo anterior, en reunión de fecha 16 de marzo de 2022, la Junta de Gobierno y Coordinación Política, a efecto de lograr una mayor eficiencia legislativa y agilizar los pendientes dónde se incluyen los trabajos presentados en legislaturas anteriores o que jurídicamente no son viables atendiendo a diversas reformas que reservan competencias legislativas al congreso de la unión, se aprobó una metodología propuesta por la secretaría general. </w:t>
      </w:r>
    </w:p>
    <w:p w14:paraId="4F74CA02" w14:textId="77777777" w:rsidR="00512EB4" w:rsidRPr="00512EB4" w:rsidRDefault="00512EB4" w:rsidP="00FE053F">
      <w:pPr>
        <w:spacing w:after="160"/>
        <w:jc w:val="both"/>
        <w:rPr>
          <w:rFonts w:ascii="Abadi" w:eastAsiaTheme="minorHAnsi" w:hAnsi="Abadi" w:cs="Arial"/>
          <w:sz w:val="21"/>
          <w:szCs w:val="21"/>
          <w:lang w:val="es-MX" w:eastAsia="en-US"/>
        </w:rPr>
      </w:pPr>
      <w:r w:rsidRPr="00512EB4">
        <w:rPr>
          <w:rFonts w:ascii="Abadi" w:eastAsiaTheme="minorHAnsi" w:hAnsi="Abadi" w:cs="Arial"/>
          <w:sz w:val="21"/>
          <w:szCs w:val="21"/>
          <w:lang w:val="es-MX" w:eastAsia="en-US"/>
        </w:rPr>
        <w:t xml:space="preserve">En términos de dicha propuesta correspondería a las secretarías técnicas de cada comisión: </w:t>
      </w:r>
    </w:p>
    <w:p w14:paraId="4E769CF2" w14:textId="77777777" w:rsidR="00512EB4" w:rsidRPr="00512EB4" w:rsidRDefault="00512EB4" w:rsidP="00FE053F">
      <w:pPr>
        <w:numPr>
          <w:ilvl w:val="0"/>
          <w:numId w:val="45"/>
        </w:numPr>
        <w:spacing w:after="160"/>
        <w:contextualSpacing/>
        <w:jc w:val="both"/>
        <w:rPr>
          <w:rFonts w:ascii="Abadi" w:eastAsiaTheme="minorHAnsi" w:hAnsi="Abadi" w:cs="Arial"/>
          <w:sz w:val="21"/>
          <w:szCs w:val="21"/>
          <w:lang w:val="es-MX" w:eastAsia="en-US"/>
        </w:rPr>
      </w:pPr>
      <w:r w:rsidRPr="00512EB4">
        <w:rPr>
          <w:rFonts w:ascii="Abadi" w:eastAsiaTheme="minorHAnsi" w:hAnsi="Abadi" w:cs="Arial"/>
          <w:sz w:val="21"/>
          <w:szCs w:val="21"/>
          <w:lang w:val="es-MX" w:eastAsia="en-US"/>
        </w:rPr>
        <w:t>Hacer un concentrado de los pendientes legislativos por cada comisión;</w:t>
      </w:r>
    </w:p>
    <w:p w14:paraId="376FD12C" w14:textId="77777777" w:rsidR="00512EB4" w:rsidRPr="00512EB4" w:rsidRDefault="00512EB4" w:rsidP="00FE053F">
      <w:pPr>
        <w:numPr>
          <w:ilvl w:val="0"/>
          <w:numId w:val="45"/>
        </w:numPr>
        <w:spacing w:after="160"/>
        <w:contextualSpacing/>
        <w:jc w:val="both"/>
        <w:rPr>
          <w:rFonts w:ascii="Abadi" w:eastAsiaTheme="minorHAnsi" w:hAnsi="Abadi" w:cs="Arial"/>
          <w:sz w:val="21"/>
          <w:szCs w:val="21"/>
          <w:lang w:val="es-MX" w:eastAsia="en-US"/>
        </w:rPr>
      </w:pPr>
      <w:r w:rsidRPr="00512EB4">
        <w:rPr>
          <w:rFonts w:ascii="Abadi" w:eastAsiaTheme="minorHAnsi" w:hAnsi="Abadi" w:cs="Arial"/>
          <w:sz w:val="21"/>
          <w:szCs w:val="21"/>
          <w:lang w:val="es-MX" w:eastAsia="en-US"/>
        </w:rPr>
        <w:t>Realizar un análisis técnico jurídico de cada uno de los pendientes legislativos y modificaciones, en su caso, de las metodologías;</w:t>
      </w:r>
    </w:p>
    <w:p w14:paraId="57B855FB" w14:textId="77777777" w:rsidR="00512EB4" w:rsidRPr="00512EB4" w:rsidRDefault="00512EB4" w:rsidP="00FE053F">
      <w:pPr>
        <w:numPr>
          <w:ilvl w:val="0"/>
          <w:numId w:val="45"/>
        </w:numPr>
        <w:spacing w:after="160"/>
        <w:contextualSpacing/>
        <w:jc w:val="both"/>
        <w:rPr>
          <w:rFonts w:ascii="Abadi" w:eastAsiaTheme="minorHAnsi" w:hAnsi="Abadi" w:cs="Arial"/>
          <w:sz w:val="21"/>
          <w:szCs w:val="21"/>
          <w:lang w:val="es-MX" w:eastAsia="en-US"/>
        </w:rPr>
      </w:pPr>
      <w:r w:rsidRPr="00512EB4">
        <w:rPr>
          <w:rFonts w:ascii="Abadi" w:eastAsiaTheme="minorHAnsi" w:hAnsi="Abadi" w:cs="Arial"/>
          <w:sz w:val="21"/>
          <w:szCs w:val="21"/>
          <w:lang w:val="es-MX" w:eastAsia="en-US"/>
        </w:rPr>
        <w:t>Identificación de los pendientes legislativos que jurídicamente sean inviables y procedan en consecuencia a su dictaminación en sentido negativo, así como aquellas iniciativas o proposiciones de acuerdos que se presentaron en la LXII legislatura, y en su caso anteriores a esta, y que no fueron dictaminados en la inmediata anterior, las cuales serán también objeto de archivo definitivo;</w:t>
      </w:r>
    </w:p>
    <w:p w14:paraId="55C76595" w14:textId="77777777" w:rsidR="00512EB4" w:rsidRPr="00512EB4" w:rsidRDefault="00512EB4" w:rsidP="00FE053F">
      <w:pPr>
        <w:numPr>
          <w:ilvl w:val="0"/>
          <w:numId w:val="45"/>
        </w:numPr>
        <w:spacing w:after="160"/>
        <w:contextualSpacing/>
        <w:jc w:val="both"/>
        <w:rPr>
          <w:rFonts w:ascii="Abadi" w:eastAsiaTheme="minorHAnsi" w:hAnsi="Abadi" w:cs="Arial"/>
          <w:sz w:val="21"/>
          <w:szCs w:val="21"/>
          <w:lang w:val="es-MX" w:eastAsia="en-US"/>
        </w:rPr>
      </w:pPr>
      <w:r w:rsidRPr="00512EB4">
        <w:rPr>
          <w:rFonts w:ascii="Abadi" w:eastAsiaTheme="minorHAnsi" w:hAnsi="Abadi" w:cs="Arial"/>
          <w:sz w:val="21"/>
          <w:szCs w:val="21"/>
          <w:lang w:val="es-MX" w:eastAsia="en-US"/>
        </w:rPr>
        <w:t>En su caso, mesa de trabajo de la comisión para dar cuenta con el listado de los pendientes legislativos para su revisión y sentar bases de proyectos de dictamen;</w:t>
      </w:r>
    </w:p>
    <w:p w14:paraId="5D90F871" w14:textId="77777777" w:rsidR="00512EB4" w:rsidRPr="00512EB4" w:rsidRDefault="00512EB4" w:rsidP="00FE053F">
      <w:pPr>
        <w:numPr>
          <w:ilvl w:val="0"/>
          <w:numId w:val="45"/>
        </w:numPr>
        <w:spacing w:after="160"/>
        <w:contextualSpacing/>
        <w:jc w:val="both"/>
        <w:rPr>
          <w:rFonts w:ascii="Abadi" w:eastAsiaTheme="minorHAnsi" w:hAnsi="Abadi" w:cs="Arial"/>
          <w:sz w:val="21"/>
          <w:szCs w:val="21"/>
          <w:lang w:val="es-MX" w:eastAsia="en-US"/>
        </w:rPr>
      </w:pPr>
      <w:r w:rsidRPr="00512EB4">
        <w:rPr>
          <w:rFonts w:ascii="Abadi" w:eastAsiaTheme="minorHAnsi" w:hAnsi="Abadi" w:cs="Arial"/>
          <w:sz w:val="21"/>
          <w:szCs w:val="21"/>
          <w:lang w:val="es-MX" w:eastAsia="en-US"/>
        </w:rPr>
        <w:t xml:space="preserve">Convocar a sesión de comisión para aprobar dictámenes de archivo y remisión al pleno para su aprobación. </w:t>
      </w:r>
    </w:p>
    <w:p w14:paraId="1D97F5CC" w14:textId="77777777" w:rsidR="00512EB4" w:rsidRPr="00512EB4" w:rsidRDefault="00512EB4" w:rsidP="00FE053F">
      <w:pPr>
        <w:spacing w:after="160"/>
        <w:jc w:val="both"/>
        <w:rPr>
          <w:rFonts w:ascii="Abadi" w:eastAsiaTheme="minorHAnsi" w:hAnsi="Abadi" w:cs="Arial"/>
          <w:sz w:val="21"/>
          <w:szCs w:val="21"/>
          <w:lang w:val="es-MX" w:eastAsia="en-US"/>
        </w:rPr>
      </w:pPr>
      <w:r w:rsidRPr="00512EB4">
        <w:rPr>
          <w:rFonts w:ascii="Abadi" w:eastAsiaTheme="minorHAnsi" w:hAnsi="Abadi" w:cs="Arial"/>
          <w:sz w:val="21"/>
          <w:szCs w:val="21"/>
          <w:lang w:val="es-MX" w:eastAsia="en-US"/>
        </w:rPr>
        <w:t xml:space="preserve">Paralelo a lo anterior se determinó que los grupos parlamentarios harían revisión de iniciativas y puntos de acuerdo que fueron presentados en las legislaturas anteriores y con ello identificar así como analizar individualmente cuales ya no tienen materia, fueron solventadas conforme a lo propuesto o que por el trascurso del tiempo resulta improcedente pronunciarse positivamente al respecto tomando en consideración se carezca de vigencia conforme a los hechos respecto a los cuales se sustentó cada uno de los temas. </w:t>
      </w:r>
      <w:r w:rsidRPr="00512EB4">
        <w:rPr>
          <w:rFonts w:ascii="Abadi" w:eastAsiaTheme="minorHAnsi" w:hAnsi="Abadi" w:cs="Arial"/>
          <w:sz w:val="21"/>
          <w:szCs w:val="21"/>
          <w:lang w:val="es-MX" w:eastAsia="en-US"/>
        </w:rPr>
        <w:tab/>
      </w:r>
    </w:p>
    <w:p w14:paraId="69BD586A" w14:textId="77777777" w:rsidR="00512EB4" w:rsidRPr="00512EB4" w:rsidRDefault="00512EB4" w:rsidP="00FE053F">
      <w:pPr>
        <w:spacing w:after="160"/>
        <w:jc w:val="both"/>
        <w:rPr>
          <w:rFonts w:ascii="Abadi" w:eastAsiaTheme="minorHAnsi" w:hAnsi="Abadi" w:cs="Arial"/>
          <w:sz w:val="21"/>
          <w:szCs w:val="21"/>
          <w:lang w:val="es-MX" w:eastAsia="en-US"/>
        </w:rPr>
      </w:pPr>
      <w:r w:rsidRPr="00512EB4">
        <w:rPr>
          <w:rFonts w:ascii="Abadi" w:eastAsiaTheme="minorHAnsi" w:hAnsi="Abadi" w:cs="Arial"/>
          <w:sz w:val="21"/>
          <w:szCs w:val="21"/>
          <w:lang w:val="es-MX" w:eastAsia="en-US"/>
        </w:rPr>
        <w:t>Agotadas las revisiones y análisis a las que se han hecho referencia en párrafos anteriores, esta comisión determinó clasificar y otorgar el tratamiento a la propuesta objeto del presente dictamen como de aquellos pronunciamientos sobre asuntos políticos, culturales, económicos o sociales que si bien se denota la afectación a una comunidad o grupo particular, y que por consecuencia es necesario se aborde como un tema de interés público para que el congreso del estado asuma una postura institucional al respecto, también debe precisarse que al día de hoy ya no se consideraría pertinente y oportuna la adopción del mismo.</w:t>
      </w:r>
    </w:p>
    <w:p w14:paraId="1FF5DB63" w14:textId="77777777" w:rsidR="00512EB4" w:rsidRPr="00512EB4" w:rsidRDefault="00512EB4" w:rsidP="00FE053F">
      <w:pPr>
        <w:jc w:val="both"/>
        <w:textAlignment w:val="baseline"/>
        <w:rPr>
          <w:rFonts w:ascii="Abadi" w:eastAsiaTheme="minorHAnsi" w:hAnsi="Abadi" w:cs="Arial"/>
          <w:sz w:val="21"/>
          <w:szCs w:val="21"/>
          <w:lang w:val="es-MX" w:eastAsia="en-US"/>
        </w:rPr>
      </w:pPr>
      <w:r w:rsidRPr="00512EB4">
        <w:rPr>
          <w:rFonts w:ascii="Abadi" w:eastAsiaTheme="minorHAnsi" w:hAnsi="Abadi" w:cs="Arial"/>
          <w:sz w:val="21"/>
          <w:szCs w:val="21"/>
          <w:lang w:val="es-MX" w:eastAsia="en-US"/>
        </w:rPr>
        <w:t>Por lo anterior, y no obstante que se subraya que en la propuesta existe un contenido vasto y justificado que denotan la trascendencia para su estudio, se ha determinado no es procedente entrar al fondo de este por carecer de oportunidad ante la extemporaneidad de atención en relación con las circunstancias de tiempo, modo y lugar a las que se hace referencia en la misma.</w:t>
      </w:r>
    </w:p>
    <w:p w14:paraId="35EE28A0" w14:textId="77777777" w:rsidR="00512EB4" w:rsidRPr="00512EB4" w:rsidRDefault="00512EB4" w:rsidP="00FE053F">
      <w:pPr>
        <w:jc w:val="both"/>
        <w:textAlignment w:val="baseline"/>
        <w:rPr>
          <w:rFonts w:ascii="Abadi" w:eastAsiaTheme="minorHAnsi" w:hAnsi="Abadi" w:cs="Arial"/>
          <w:sz w:val="21"/>
          <w:szCs w:val="21"/>
          <w:lang w:val="es-MX" w:eastAsia="en-US"/>
        </w:rPr>
      </w:pPr>
    </w:p>
    <w:p w14:paraId="728982FA" w14:textId="3C575C7F" w:rsidR="00512EB4" w:rsidRPr="00512EB4" w:rsidRDefault="00512EB4" w:rsidP="00FE053F">
      <w:pPr>
        <w:spacing w:after="160"/>
        <w:jc w:val="both"/>
        <w:rPr>
          <w:rFonts w:ascii="Abadi" w:eastAsiaTheme="minorHAnsi" w:hAnsi="Abadi" w:cs="Arial"/>
          <w:sz w:val="21"/>
          <w:szCs w:val="21"/>
          <w:lang w:val="es-MX" w:eastAsia="en-US"/>
        </w:rPr>
      </w:pPr>
      <w:r w:rsidRPr="00512EB4">
        <w:rPr>
          <w:rFonts w:ascii="Abadi" w:eastAsiaTheme="minorHAnsi" w:hAnsi="Abadi" w:cs="Arial"/>
          <w:sz w:val="21"/>
          <w:szCs w:val="21"/>
          <w:lang w:val="es-MX" w:eastAsia="en-US"/>
        </w:rPr>
        <w:t>Por lo expuesto y con fundamento en el artículo 204 de la Ley Orgánica del Poder Ejecutivo del Estado, sometemos a consideración de esta Asamblea, la aprobación del siguiente:</w:t>
      </w:r>
    </w:p>
    <w:p w14:paraId="2072A99B" w14:textId="77777777" w:rsidR="00512EB4" w:rsidRPr="00512EB4" w:rsidRDefault="00512EB4" w:rsidP="00FE053F">
      <w:pPr>
        <w:widowControl w:val="0"/>
        <w:autoSpaceDE w:val="0"/>
        <w:autoSpaceDN w:val="0"/>
        <w:ind w:right="113"/>
        <w:jc w:val="center"/>
        <w:rPr>
          <w:rFonts w:ascii="Abadi" w:eastAsia="Arial" w:hAnsi="Abadi" w:cs="Arial"/>
          <w:b/>
          <w:sz w:val="21"/>
          <w:szCs w:val="21"/>
          <w:lang w:val="en-US" w:eastAsia="en-US"/>
        </w:rPr>
      </w:pPr>
      <w:r w:rsidRPr="00512EB4">
        <w:rPr>
          <w:rFonts w:ascii="Abadi" w:eastAsia="Arial" w:hAnsi="Abadi" w:cs="Arial"/>
          <w:b/>
          <w:sz w:val="21"/>
          <w:szCs w:val="21"/>
          <w:lang w:val="en-US" w:eastAsia="en-US"/>
        </w:rPr>
        <w:t>A c u e r d o</w:t>
      </w:r>
    </w:p>
    <w:p w14:paraId="69E171A7" w14:textId="77777777" w:rsidR="00512EB4" w:rsidRPr="00512EB4" w:rsidRDefault="00512EB4" w:rsidP="00FE053F">
      <w:pPr>
        <w:widowControl w:val="0"/>
        <w:autoSpaceDE w:val="0"/>
        <w:autoSpaceDN w:val="0"/>
        <w:ind w:right="113"/>
        <w:jc w:val="center"/>
        <w:rPr>
          <w:rFonts w:ascii="Abadi" w:eastAsia="Arial" w:hAnsi="Abadi" w:cs="Arial"/>
          <w:b/>
          <w:sz w:val="21"/>
          <w:szCs w:val="21"/>
          <w:lang w:val="en-US" w:eastAsia="en-US"/>
        </w:rPr>
      </w:pPr>
    </w:p>
    <w:p w14:paraId="08D2056A" w14:textId="77777777" w:rsidR="00512EB4" w:rsidRPr="00512EB4" w:rsidRDefault="00512EB4" w:rsidP="00FE053F">
      <w:pPr>
        <w:jc w:val="both"/>
        <w:textAlignment w:val="baseline"/>
        <w:rPr>
          <w:rFonts w:ascii="Abadi" w:hAnsi="Abadi" w:cs="Arial"/>
          <w:sz w:val="21"/>
          <w:szCs w:val="21"/>
          <w:lang w:val="es-MX" w:eastAsia="es-MX"/>
        </w:rPr>
      </w:pPr>
      <w:r w:rsidRPr="00512EB4">
        <w:rPr>
          <w:rFonts w:ascii="Abadi" w:hAnsi="Abadi" w:cs="Arial"/>
          <w:b/>
          <w:sz w:val="21"/>
          <w:szCs w:val="21"/>
          <w:lang w:val="es-MX" w:eastAsia="es-MX"/>
        </w:rPr>
        <w:t xml:space="preserve">Único.- Se determina improcedente </w:t>
      </w:r>
      <w:r w:rsidRPr="00512EB4">
        <w:rPr>
          <w:rFonts w:ascii="Abadi" w:hAnsi="Abadi" w:cs="Arial"/>
          <w:sz w:val="21"/>
          <w:szCs w:val="21"/>
          <w:lang w:val="es-MX" w:eastAsia="es-MX"/>
        </w:rPr>
        <w:t xml:space="preserve">la </w:t>
      </w:r>
      <w:bookmarkStart w:id="19" w:name="_Hlk107933941"/>
      <w:r w:rsidRPr="00512EB4">
        <w:rPr>
          <w:rFonts w:ascii="Abadi" w:hAnsi="Abadi" w:cs="Arial"/>
          <w:sz w:val="21"/>
          <w:szCs w:val="21"/>
          <w:lang w:val="es-MX" w:eastAsia="es-MX"/>
        </w:rPr>
        <w:t>propuesta de punto de acuerdo formulado, en la LXIV Legislatura, por la Diputada María Magdalena Rosales Cruz, integrante del Grupo Parlamentario de MORENA para exhortar al Gobernador del Estado de Guanajuato, al Ciudadano Diego Sinhue Rodríguez Vallejo, y a la Presidenta Municipal de Celaya, Guanajuato, la C. Elvira Paniagua Rodríguez, para que informen a este Congreso el diagnóstico y el programa que están realizando para el fortalecimiento del estado de fuerza y las capacidades institucionales de sus respectivos cuerpos policiales estatales y municipales</w:t>
      </w:r>
      <w:bookmarkEnd w:id="19"/>
      <w:r w:rsidRPr="00512EB4">
        <w:rPr>
          <w:rFonts w:ascii="Abadi" w:hAnsi="Abadi" w:cs="Arial"/>
          <w:sz w:val="21"/>
          <w:szCs w:val="21"/>
          <w:lang w:val="es-MX" w:eastAsia="es-MX"/>
        </w:rPr>
        <w:t xml:space="preserve">; </w:t>
      </w:r>
      <w:bookmarkStart w:id="20" w:name="_Hlk107917709"/>
      <w:r w:rsidRPr="00512EB4">
        <w:rPr>
          <w:rFonts w:ascii="Abadi" w:hAnsi="Abadi" w:cs="Arial"/>
          <w:sz w:val="21"/>
          <w:szCs w:val="21"/>
          <w:lang w:val="es-MX" w:eastAsia="es-MX"/>
        </w:rPr>
        <w:t>ello, en virtud de las consideraciones que fueron expuestas. Por lo tanto, se ordena su archivo definitivo.</w:t>
      </w:r>
      <w:bookmarkEnd w:id="20"/>
    </w:p>
    <w:p w14:paraId="7C265CA4" w14:textId="77777777" w:rsidR="00512EB4" w:rsidRPr="00512EB4" w:rsidRDefault="00512EB4" w:rsidP="00FE053F">
      <w:pPr>
        <w:jc w:val="both"/>
        <w:textAlignment w:val="baseline"/>
        <w:rPr>
          <w:rFonts w:ascii="Abadi" w:hAnsi="Abadi" w:cs="Arial"/>
          <w:sz w:val="21"/>
          <w:szCs w:val="21"/>
          <w:lang w:val="es-MX" w:eastAsia="es-MX"/>
        </w:rPr>
      </w:pPr>
    </w:p>
    <w:p w14:paraId="66BCF510" w14:textId="77777777" w:rsidR="00512EB4" w:rsidRPr="00512EB4" w:rsidRDefault="00512EB4" w:rsidP="00FE053F">
      <w:pPr>
        <w:spacing w:after="160"/>
        <w:jc w:val="both"/>
        <w:rPr>
          <w:rFonts w:ascii="Abadi" w:eastAsiaTheme="minorHAnsi" w:hAnsi="Abadi" w:cs="Arial"/>
          <w:sz w:val="21"/>
          <w:szCs w:val="21"/>
          <w:lang w:val="es-MX" w:eastAsia="en-US"/>
        </w:rPr>
      </w:pPr>
      <w:r w:rsidRPr="00512EB4">
        <w:rPr>
          <w:rFonts w:ascii="Abadi" w:eastAsiaTheme="minorHAnsi" w:hAnsi="Abadi" w:cs="Arial"/>
          <w:sz w:val="21"/>
          <w:szCs w:val="21"/>
          <w:lang w:val="es-MX" w:eastAsia="en-US"/>
        </w:rPr>
        <w:t>Comuníquese el presente acuerdo con su dictamen al Secretario General del Congreso del estado, para los efectos conducentes.</w:t>
      </w:r>
    </w:p>
    <w:p w14:paraId="7A125FD2" w14:textId="77777777" w:rsidR="00512EB4" w:rsidRPr="00512EB4" w:rsidRDefault="00512EB4" w:rsidP="00FE053F">
      <w:pPr>
        <w:spacing w:after="160"/>
        <w:jc w:val="both"/>
        <w:rPr>
          <w:rFonts w:ascii="Abadi" w:eastAsiaTheme="minorHAnsi" w:hAnsi="Abadi" w:cs="Arial"/>
          <w:sz w:val="21"/>
          <w:szCs w:val="21"/>
          <w:lang w:val="es-MX" w:eastAsia="en-US"/>
        </w:rPr>
      </w:pPr>
    </w:p>
    <w:p w14:paraId="2DF2E28B" w14:textId="77777777" w:rsidR="00512EB4" w:rsidRPr="00512EB4" w:rsidRDefault="00512EB4" w:rsidP="00FE053F">
      <w:pPr>
        <w:spacing w:after="160"/>
        <w:jc w:val="center"/>
        <w:rPr>
          <w:rFonts w:ascii="Abadi" w:eastAsiaTheme="minorHAnsi" w:hAnsi="Abadi" w:cs="Arial"/>
          <w:sz w:val="21"/>
          <w:szCs w:val="21"/>
          <w:lang w:val="es-MX" w:eastAsia="en-US"/>
        </w:rPr>
      </w:pPr>
      <w:r w:rsidRPr="00512EB4">
        <w:rPr>
          <w:rFonts w:ascii="Abadi" w:hAnsi="Abadi" w:cs="Segoe UI"/>
          <w:b/>
          <w:bCs/>
          <w:sz w:val="21"/>
          <w:szCs w:val="21"/>
          <w:lang w:val="es-MX" w:eastAsia="es-MX"/>
        </w:rPr>
        <w:t>Guanajuato, Gto., a 7 de julio de 2022</w:t>
      </w:r>
    </w:p>
    <w:p w14:paraId="59E9ADA9" w14:textId="77777777" w:rsidR="00512EB4" w:rsidRPr="00512EB4" w:rsidRDefault="00512EB4" w:rsidP="00FE053F">
      <w:pPr>
        <w:spacing w:after="160"/>
        <w:jc w:val="center"/>
        <w:rPr>
          <w:rFonts w:ascii="Abadi" w:eastAsiaTheme="minorHAnsi" w:hAnsi="Abadi" w:cs="Arial"/>
          <w:sz w:val="21"/>
          <w:szCs w:val="21"/>
          <w:lang w:val="es-MX" w:eastAsia="en-US"/>
        </w:rPr>
      </w:pPr>
      <w:r w:rsidRPr="00512EB4">
        <w:rPr>
          <w:rFonts w:ascii="Abadi" w:hAnsi="Abadi" w:cs="Segoe UI"/>
          <w:b/>
          <w:bCs/>
          <w:sz w:val="21"/>
          <w:szCs w:val="21"/>
          <w:lang w:val="es-MX" w:eastAsia="es-MX"/>
        </w:rPr>
        <w:t>La Comisión de Seguridad Pública y Comunicaciones</w:t>
      </w:r>
      <w:r w:rsidRPr="00512EB4">
        <w:rPr>
          <w:rFonts w:ascii="Abadi" w:hAnsi="Abadi" w:cs="Segoe UI"/>
          <w:sz w:val="21"/>
          <w:szCs w:val="21"/>
          <w:lang w:val="es-MX" w:eastAsia="es-MX"/>
        </w:rPr>
        <w:t> </w:t>
      </w:r>
    </w:p>
    <w:p w14:paraId="74B80AF3" w14:textId="77777777" w:rsidR="00512EB4" w:rsidRPr="00512EB4" w:rsidRDefault="00512EB4" w:rsidP="00FE053F">
      <w:pPr>
        <w:jc w:val="center"/>
        <w:textAlignment w:val="baseline"/>
        <w:rPr>
          <w:rFonts w:ascii="Abadi" w:hAnsi="Abadi" w:cs="Segoe UI"/>
          <w:sz w:val="21"/>
          <w:szCs w:val="21"/>
          <w:lang w:val="es-MX" w:eastAsia="es-MX"/>
        </w:rPr>
      </w:pPr>
    </w:p>
    <w:p w14:paraId="53891552" w14:textId="77777777" w:rsidR="00512EB4" w:rsidRPr="00512EB4" w:rsidRDefault="00512EB4" w:rsidP="00FE053F">
      <w:pPr>
        <w:jc w:val="both"/>
        <w:textAlignment w:val="baseline"/>
        <w:rPr>
          <w:rFonts w:ascii="Abadi" w:hAnsi="Abadi" w:cs="Segoe UI"/>
          <w:sz w:val="21"/>
          <w:szCs w:val="21"/>
          <w:lang w:val="es-MX" w:eastAsia="es-MX"/>
        </w:rPr>
      </w:pPr>
      <w:r w:rsidRPr="00512EB4">
        <w:rPr>
          <w:rFonts w:ascii="Abadi" w:hAnsi="Abadi" w:cs="Segoe UI"/>
          <w:b/>
          <w:bCs/>
          <w:sz w:val="21"/>
          <w:szCs w:val="21"/>
          <w:lang w:val="es-MX" w:eastAsia="es-MX"/>
        </w:rPr>
        <w:t>Dip. Martín López Camacho</w:t>
      </w:r>
    </w:p>
    <w:p w14:paraId="4D03CD2B" w14:textId="77777777" w:rsidR="00512EB4" w:rsidRPr="00512EB4" w:rsidRDefault="00512EB4" w:rsidP="00FE053F">
      <w:pPr>
        <w:jc w:val="both"/>
        <w:textAlignment w:val="baseline"/>
        <w:rPr>
          <w:rFonts w:ascii="Abadi" w:hAnsi="Abadi" w:cs="Segoe UI"/>
          <w:sz w:val="21"/>
          <w:szCs w:val="21"/>
          <w:lang w:val="es-MX" w:eastAsia="es-MX"/>
        </w:rPr>
      </w:pPr>
      <w:r w:rsidRPr="00512EB4">
        <w:rPr>
          <w:rFonts w:ascii="Abadi" w:hAnsi="Abadi" w:cs="Segoe UI"/>
          <w:b/>
          <w:bCs/>
          <w:sz w:val="21"/>
          <w:szCs w:val="21"/>
          <w:lang w:val="es-MX" w:eastAsia="es-MX"/>
        </w:rPr>
        <w:t>Dip. Alma Edwviges Alcaraz Hernández</w:t>
      </w:r>
    </w:p>
    <w:p w14:paraId="25E2D76B" w14:textId="77777777" w:rsidR="00512EB4" w:rsidRPr="00512EB4" w:rsidRDefault="00512EB4" w:rsidP="00FE053F">
      <w:pPr>
        <w:jc w:val="both"/>
        <w:textAlignment w:val="baseline"/>
        <w:rPr>
          <w:rFonts w:ascii="Abadi" w:hAnsi="Abadi"/>
          <w:b/>
          <w:bCs/>
          <w:sz w:val="21"/>
          <w:szCs w:val="21"/>
          <w:lang w:val="es-MX" w:eastAsia="es-MX"/>
        </w:rPr>
      </w:pPr>
      <w:r w:rsidRPr="00512EB4">
        <w:rPr>
          <w:rFonts w:ascii="Abadi" w:hAnsi="Abadi"/>
          <w:b/>
          <w:bCs/>
          <w:sz w:val="21"/>
          <w:szCs w:val="21"/>
          <w:lang w:val="es-MX" w:eastAsia="es-MX"/>
        </w:rPr>
        <w:t>Dip. Rolando Fortino Alcántar Rojas</w:t>
      </w:r>
    </w:p>
    <w:p w14:paraId="0A6EF3D3" w14:textId="77777777" w:rsidR="00512EB4" w:rsidRPr="00512EB4" w:rsidRDefault="00512EB4" w:rsidP="00FE053F">
      <w:pPr>
        <w:jc w:val="both"/>
        <w:textAlignment w:val="baseline"/>
        <w:rPr>
          <w:rFonts w:ascii="Abadi" w:hAnsi="Abadi"/>
          <w:sz w:val="21"/>
          <w:szCs w:val="21"/>
          <w:lang w:val="es-MX" w:eastAsia="es-MX"/>
        </w:rPr>
      </w:pPr>
      <w:r w:rsidRPr="00512EB4">
        <w:rPr>
          <w:rFonts w:ascii="Abadi" w:hAnsi="Abadi"/>
          <w:b/>
          <w:bCs/>
          <w:sz w:val="21"/>
          <w:szCs w:val="21"/>
          <w:lang w:val="es-MX" w:eastAsia="es-MX"/>
        </w:rPr>
        <w:t>Dip. Bricio Balderas Álvarez</w:t>
      </w:r>
    </w:p>
    <w:p w14:paraId="5D8C91DC" w14:textId="2E7685C8" w:rsidR="00512EB4" w:rsidRDefault="00512EB4" w:rsidP="00FE053F">
      <w:pPr>
        <w:jc w:val="both"/>
        <w:textAlignment w:val="baseline"/>
        <w:rPr>
          <w:rFonts w:ascii="Abadi" w:hAnsi="Abadi" w:cs="Segoe UI"/>
          <w:b/>
          <w:sz w:val="21"/>
          <w:szCs w:val="21"/>
          <w:lang w:val="es-MX" w:eastAsia="es-MX"/>
        </w:rPr>
      </w:pPr>
      <w:r w:rsidRPr="00512EB4">
        <w:rPr>
          <w:rFonts w:ascii="Abadi" w:hAnsi="Abadi" w:cs="Segoe UI"/>
          <w:b/>
          <w:sz w:val="21"/>
          <w:szCs w:val="21"/>
          <w:lang w:val="es-MX" w:eastAsia="es-MX"/>
        </w:rPr>
        <w:t>Dip. Gerardo Fernández González</w:t>
      </w:r>
    </w:p>
    <w:p w14:paraId="13F71364" w14:textId="08AF9A71" w:rsidR="003F0003" w:rsidRDefault="003F0003" w:rsidP="00FE053F">
      <w:pPr>
        <w:jc w:val="both"/>
        <w:textAlignment w:val="baseline"/>
        <w:rPr>
          <w:rFonts w:ascii="Abadi" w:hAnsi="Abadi" w:cs="Segoe UI"/>
          <w:b/>
          <w:sz w:val="21"/>
          <w:szCs w:val="21"/>
          <w:lang w:val="es-MX" w:eastAsia="es-MX"/>
        </w:rPr>
      </w:pPr>
    </w:p>
    <w:p w14:paraId="53C4983C" w14:textId="657B76E8" w:rsidR="003F0003" w:rsidRDefault="003F0003" w:rsidP="00FE053F">
      <w:pPr>
        <w:jc w:val="both"/>
        <w:textAlignment w:val="baseline"/>
        <w:rPr>
          <w:rFonts w:ascii="Abadi" w:hAnsi="Abadi" w:cs="Segoe UI"/>
          <w:b/>
          <w:sz w:val="21"/>
          <w:szCs w:val="21"/>
          <w:lang w:val="es-MX" w:eastAsia="es-MX"/>
        </w:rPr>
      </w:pPr>
    </w:p>
    <w:p w14:paraId="2AF20CEF" w14:textId="75337E65" w:rsidR="00B74A59" w:rsidRDefault="00B74A59" w:rsidP="00B74A59">
      <w:pPr>
        <w:ind w:firstLine="708"/>
        <w:jc w:val="both"/>
        <w:rPr>
          <w:rFonts w:ascii="Abadi" w:hAnsi="Abadi"/>
          <w:sz w:val="21"/>
          <w:szCs w:val="21"/>
        </w:rPr>
      </w:pPr>
      <w:r w:rsidRPr="009936EB">
        <w:rPr>
          <w:rFonts w:ascii="Abadi" w:hAnsi="Abadi"/>
          <w:b/>
          <w:bCs/>
          <w:sz w:val="21"/>
          <w:szCs w:val="21"/>
        </w:rPr>
        <w:t>- El Presidente.-</w:t>
      </w:r>
      <w:r>
        <w:rPr>
          <w:rFonts w:ascii="Abadi" w:hAnsi="Abadi"/>
          <w:sz w:val="21"/>
          <w:szCs w:val="21"/>
        </w:rPr>
        <w:t xml:space="preserve"> S</w:t>
      </w:r>
      <w:r w:rsidRPr="006813AA">
        <w:rPr>
          <w:rFonts w:ascii="Abadi" w:hAnsi="Abadi"/>
          <w:sz w:val="21"/>
          <w:szCs w:val="21"/>
        </w:rPr>
        <w:t xml:space="preserve">e somete a discusión el dictamen emitido por la </w:t>
      </w:r>
      <w:r>
        <w:rPr>
          <w:rFonts w:ascii="Abadi" w:hAnsi="Abadi"/>
          <w:sz w:val="21"/>
          <w:szCs w:val="21"/>
        </w:rPr>
        <w:t>C</w:t>
      </w:r>
      <w:r w:rsidRPr="006813AA">
        <w:rPr>
          <w:rFonts w:ascii="Abadi" w:hAnsi="Abadi"/>
          <w:sz w:val="21"/>
          <w:szCs w:val="21"/>
        </w:rPr>
        <w:t xml:space="preserve">omisión de </w:t>
      </w:r>
      <w:r>
        <w:rPr>
          <w:rFonts w:ascii="Abadi" w:hAnsi="Abadi"/>
          <w:sz w:val="21"/>
          <w:szCs w:val="21"/>
        </w:rPr>
        <w:t>S</w:t>
      </w:r>
      <w:r w:rsidRPr="006813AA">
        <w:rPr>
          <w:rFonts w:ascii="Abadi" w:hAnsi="Abadi"/>
          <w:sz w:val="21"/>
          <w:szCs w:val="21"/>
        </w:rPr>
        <w:t xml:space="preserve">eguridad </w:t>
      </w:r>
      <w:r>
        <w:rPr>
          <w:rFonts w:ascii="Abadi" w:hAnsi="Abadi"/>
          <w:sz w:val="21"/>
          <w:szCs w:val="21"/>
        </w:rPr>
        <w:t>P</w:t>
      </w:r>
      <w:r w:rsidRPr="006813AA">
        <w:rPr>
          <w:rFonts w:ascii="Abadi" w:hAnsi="Abadi"/>
          <w:sz w:val="21"/>
          <w:szCs w:val="21"/>
        </w:rPr>
        <w:t xml:space="preserve">ública y </w:t>
      </w:r>
      <w:r>
        <w:rPr>
          <w:rFonts w:ascii="Abadi" w:hAnsi="Abadi"/>
          <w:sz w:val="21"/>
          <w:szCs w:val="21"/>
        </w:rPr>
        <w:t>C</w:t>
      </w:r>
      <w:r w:rsidRPr="006813AA">
        <w:rPr>
          <w:rFonts w:ascii="Abadi" w:hAnsi="Abadi"/>
          <w:sz w:val="21"/>
          <w:szCs w:val="21"/>
        </w:rPr>
        <w:t>omunicaciones</w:t>
      </w:r>
      <w:r>
        <w:rPr>
          <w:rFonts w:ascii="Abadi" w:hAnsi="Abadi"/>
          <w:sz w:val="21"/>
          <w:szCs w:val="21"/>
        </w:rPr>
        <w:t xml:space="preserve">, </w:t>
      </w:r>
      <w:r w:rsidRPr="006813AA">
        <w:rPr>
          <w:rFonts w:ascii="Abadi" w:hAnsi="Abadi"/>
          <w:sz w:val="21"/>
          <w:szCs w:val="21"/>
        </w:rPr>
        <w:t xml:space="preserve"> se refiere el punto </w:t>
      </w:r>
      <w:r>
        <w:rPr>
          <w:rFonts w:ascii="Abadi" w:hAnsi="Abadi"/>
          <w:sz w:val="21"/>
          <w:szCs w:val="21"/>
        </w:rPr>
        <w:t>30</w:t>
      </w:r>
      <w:r w:rsidRPr="006813AA">
        <w:rPr>
          <w:rFonts w:ascii="Abadi" w:hAnsi="Abadi"/>
          <w:sz w:val="21"/>
          <w:szCs w:val="21"/>
        </w:rPr>
        <w:t xml:space="preserve"> de nuestra orden del día</w:t>
      </w:r>
      <w:r>
        <w:rPr>
          <w:rFonts w:ascii="Abadi" w:hAnsi="Abadi"/>
          <w:sz w:val="21"/>
          <w:szCs w:val="21"/>
        </w:rPr>
        <w:t>.</w:t>
      </w:r>
    </w:p>
    <w:p w14:paraId="5384EAD7" w14:textId="77777777" w:rsidR="00B74A59" w:rsidRDefault="00B74A59" w:rsidP="00B74A59">
      <w:pPr>
        <w:ind w:firstLine="708"/>
        <w:jc w:val="both"/>
        <w:rPr>
          <w:rFonts w:ascii="Abadi" w:hAnsi="Abadi"/>
          <w:sz w:val="21"/>
          <w:szCs w:val="21"/>
        </w:rPr>
      </w:pPr>
    </w:p>
    <w:p w14:paraId="22E702C5" w14:textId="2D322794" w:rsidR="00B74A59" w:rsidRDefault="00B74A59" w:rsidP="00B74A59">
      <w:pPr>
        <w:ind w:firstLine="708"/>
        <w:jc w:val="both"/>
        <w:rPr>
          <w:rFonts w:ascii="Abadi" w:hAnsi="Abadi"/>
          <w:sz w:val="21"/>
          <w:szCs w:val="21"/>
        </w:rPr>
      </w:pPr>
      <w:r>
        <w:rPr>
          <w:rFonts w:ascii="Abadi" w:hAnsi="Abadi"/>
          <w:sz w:val="21"/>
          <w:szCs w:val="21"/>
        </w:rPr>
        <w:t>- S</w:t>
      </w:r>
      <w:r w:rsidRPr="006813AA">
        <w:rPr>
          <w:rFonts w:ascii="Abadi" w:hAnsi="Abadi"/>
          <w:sz w:val="21"/>
          <w:szCs w:val="21"/>
        </w:rPr>
        <w:t xml:space="preserve">i alguna diputada o algún diputado desea hacer </w:t>
      </w:r>
      <w:r>
        <w:rPr>
          <w:rFonts w:ascii="Abadi" w:hAnsi="Abadi"/>
          <w:sz w:val="21"/>
          <w:szCs w:val="21"/>
        </w:rPr>
        <w:t>u</w:t>
      </w:r>
      <w:r w:rsidRPr="006813AA">
        <w:rPr>
          <w:rFonts w:ascii="Abadi" w:hAnsi="Abadi"/>
          <w:sz w:val="21"/>
          <w:szCs w:val="21"/>
        </w:rPr>
        <w:t>so de la palabra en pro o en contra manifiésten</w:t>
      </w:r>
      <w:r>
        <w:rPr>
          <w:rFonts w:ascii="Abadi" w:hAnsi="Abadi"/>
          <w:sz w:val="21"/>
          <w:szCs w:val="21"/>
        </w:rPr>
        <w:t>lo</w:t>
      </w:r>
      <w:r w:rsidRPr="006813AA">
        <w:rPr>
          <w:rFonts w:ascii="Abadi" w:hAnsi="Abadi"/>
          <w:sz w:val="21"/>
          <w:szCs w:val="21"/>
        </w:rPr>
        <w:t xml:space="preserve"> indicando el sentido de su participación</w:t>
      </w:r>
      <w:r>
        <w:rPr>
          <w:rFonts w:ascii="Abadi" w:hAnsi="Abadi"/>
          <w:sz w:val="21"/>
          <w:szCs w:val="21"/>
        </w:rPr>
        <w:t>.</w:t>
      </w:r>
    </w:p>
    <w:p w14:paraId="78251AB3" w14:textId="77777777" w:rsidR="00B74A59" w:rsidRDefault="00B74A59" w:rsidP="00B74A59">
      <w:pPr>
        <w:ind w:firstLine="708"/>
        <w:jc w:val="both"/>
        <w:rPr>
          <w:rFonts w:ascii="Abadi" w:hAnsi="Abadi"/>
          <w:sz w:val="21"/>
          <w:szCs w:val="21"/>
        </w:rPr>
      </w:pPr>
    </w:p>
    <w:p w14:paraId="13620028" w14:textId="427E3F3C" w:rsidR="00B74A59" w:rsidRDefault="00B74A59" w:rsidP="00B74A59">
      <w:pPr>
        <w:ind w:firstLine="708"/>
        <w:jc w:val="both"/>
        <w:rPr>
          <w:rFonts w:ascii="Abadi" w:hAnsi="Abadi"/>
          <w:sz w:val="21"/>
          <w:szCs w:val="21"/>
        </w:rPr>
      </w:pPr>
      <w:r>
        <w:rPr>
          <w:rFonts w:ascii="Abadi" w:hAnsi="Abadi"/>
          <w:sz w:val="21"/>
          <w:szCs w:val="21"/>
        </w:rPr>
        <w:t>- N</w:t>
      </w:r>
      <w:r w:rsidRPr="006813AA">
        <w:rPr>
          <w:rFonts w:ascii="Abadi" w:hAnsi="Abadi"/>
          <w:sz w:val="21"/>
          <w:szCs w:val="21"/>
        </w:rPr>
        <w:t xml:space="preserve">o </w:t>
      </w:r>
      <w:r>
        <w:rPr>
          <w:rFonts w:ascii="Abadi" w:hAnsi="Abadi"/>
          <w:sz w:val="21"/>
          <w:szCs w:val="21"/>
        </w:rPr>
        <w:t>habiendo intervenciones, s</w:t>
      </w:r>
      <w:r w:rsidRPr="006813AA">
        <w:rPr>
          <w:rFonts w:ascii="Abadi" w:hAnsi="Abadi"/>
          <w:sz w:val="21"/>
          <w:szCs w:val="21"/>
        </w:rPr>
        <w:t>e pid</w:t>
      </w:r>
      <w:r>
        <w:rPr>
          <w:rFonts w:ascii="Abadi" w:hAnsi="Abadi"/>
          <w:sz w:val="21"/>
          <w:szCs w:val="21"/>
        </w:rPr>
        <w:t>e a</w:t>
      </w:r>
      <w:r w:rsidRPr="006813AA">
        <w:rPr>
          <w:rFonts w:ascii="Abadi" w:hAnsi="Abadi"/>
          <w:sz w:val="21"/>
          <w:szCs w:val="21"/>
        </w:rPr>
        <w:t xml:space="preserve"> la </w:t>
      </w:r>
      <w:r>
        <w:rPr>
          <w:rFonts w:ascii="Abadi" w:hAnsi="Abadi"/>
          <w:sz w:val="21"/>
          <w:szCs w:val="21"/>
        </w:rPr>
        <w:t>S</w:t>
      </w:r>
      <w:r w:rsidRPr="006813AA">
        <w:rPr>
          <w:rFonts w:ascii="Abadi" w:hAnsi="Abadi"/>
          <w:sz w:val="21"/>
          <w:szCs w:val="21"/>
        </w:rPr>
        <w:t xml:space="preserve">ecretaría que </w:t>
      </w:r>
      <w:r>
        <w:rPr>
          <w:rFonts w:ascii="Abadi" w:hAnsi="Abadi"/>
          <w:sz w:val="21"/>
          <w:szCs w:val="21"/>
        </w:rPr>
        <w:t xml:space="preserve">proceda a </w:t>
      </w:r>
      <w:r w:rsidRPr="006813AA">
        <w:rPr>
          <w:rFonts w:ascii="Abadi" w:hAnsi="Abadi"/>
          <w:sz w:val="21"/>
          <w:szCs w:val="21"/>
        </w:rPr>
        <w:t xml:space="preserve">recabar votación nominal </w:t>
      </w:r>
      <w:r>
        <w:rPr>
          <w:rFonts w:ascii="Abadi" w:hAnsi="Abadi"/>
          <w:sz w:val="21"/>
          <w:szCs w:val="21"/>
        </w:rPr>
        <w:t xml:space="preserve">de la </w:t>
      </w:r>
      <w:r w:rsidRPr="006813AA">
        <w:rPr>
          <w:rFonts w:ascii="Abadi" w:hAnsi="Abadi"/>
          <w:sz w:val="21"/>
          <w:szCs w:val="21"/>
        </w:rPr>
        <w:t xml:space="preserve"> </w:t>
      </w:r>
      <w:r>
        <w:rPr>
          <w:rFonts w:ascii="Abadi" w:hAnsi="Abadi"/>
          <w:sz w:val="21"/>
          <w:szCs w:val="21"/>
        </w:rPr>
        <w:t xml:space="preserve">Asamblea, </w:t>
      </w:r>
      <w:r w:rsidRPr="006813AA">
        <w:rPr>
          <w:rFonts w:ascii="Abadi" w:hAnsi="Abadi"/>
          <w:sz w:val="21"/>
          <w:szCs w:val="21"/>
        </w:rPr>
        <w:t>a través de nuestro sistema electrónico efecto de aprobar o no el dictamen puesto a su consideración</w:t>
      </w:r>
      <w:r>
        <w:rPr>
          <w:rFonts w:ascii="Abadi" w:hAnsi="Abadi"/>
          <w:sz w:val="21"/>
          <w:szCs w:val="21"/>
        </w:rPr>
        <w:t>.</w:t>
      </w:r>
    </w:p>
    <w:p w14:paraId="004CC488" w14:textId="77777777" w:rsidR="00B74A59" w:rsidRDefault="00B74A59" w:rsidP="00B74A59">
      <w:pPr>
        <w:ind w:firstLine="708"/>
        <w:jc w:val="both"/>
        <w:rPr>
          <w:rFonts w:ascii="Abadi" w:hAnsi="Abadi"/>
          <w:sz w:val="21"/>
          <w:szCs w:val="21"/>
        </w:rPr>
      </w:pPr>
    </w:p>
    <w:p w14:paraId="31ACC809" w14:textId="1C1C3FD1" w:rsidR="00B74A59" w:rsidRDefault="00B74A59" w:rsidP="00B74A59">
      <w:pPr>
        <w:ind w:firstLine="708"/>
        <w:jc w:val="both"/>
        <w:rPr>
          <w:rFonts w:ascii="Abadi" w:hAnsi="Abadi"/>
          <w:b/>
          <w:bCs/>
          <w:sz w:val="21"/>
          <w:szCs w:val="21"/>
        </w:rPr>
      </w:pPr>
      <w:r w:rsidRPr="00985EC8">
        <w:rPr>
          <w:rFonts w:ascii="Abadi" w:hAnsi="Abadi"/>
          <w:b/>
          <w:bCs/>
          <w:sz w:val="21"/>
          <w:szCs w:val="21"/>
        </w:rPr>
        <w:t>(Abrimos nuestro sistema electrónico)</w:t>
      </w:r>
    </w:p>
    <w:p w14:paraId="02C9076D" w14:textId="77777777" w:rsidR="00B74A59" w:rsidRPr="00985EC8" w:rsidRDefault="00B74A59" w:rsidP="00B74A59">
      <w:pPr>
        <w:ind w:firstLine="708"/>
        <w:jc w:val="both"/>
        <w:rPr>
          <w:rFonts w:ascii="Abadi" w:hAnsi="Abadi"/>
          <w:b/>
          <w:bCs/>
          <w:sz w:val="21"/>
          <w:szCs w:val="21"/>
        </w:rPr>
      </w:pPr>
    </w:p>
    <w:p w14:paraId="4C82E260" w14:textId="752EA1EF" w:rsidR="00B74A59" w:rsidRDefault="00B74A59" w:rsidP="00B74A59">
      <w:pPr>
        <w:ind w:firstLine="708"/>
        <w:jc w:val="both"/>
        <w:rPr>
          <w:rFonts w:ascii="Abadi" w:hAnsi="Abadi"/>
          <w:sz w:val="21"/>
          <w:szCs w:val="21"/>
        </w:rPr>
      </w:pPr>
      <w:r w:rsidRPr="00985EC8">
        <w:rPr>
          <w:rFonts w:ascii="Abadi" w:hAnsi="Abadi"/>
          <w:b/>
          <w:bCs/>
          <w:sz w:val="21"/>
          <w:szCs w:val="21"/>
        </w:rPr>
        <w:t>- El Secretario.-</w:t>
      </w:r>
      <w:r>
        <w:rPr>
          <w:rFonts w:ascii="Abadi" w:hAnsi="Abadi"/>
          <w:sz w:val="21"/>
          <w:szCs w:val="21"/>
        </w:rPr>
        <w:t xml:space="preserve"> E</w:t>
      </w:r>
      <w:r w:rsidRPr="006813AA">
        <w:rPr>
          <w:rFonts w:ascii="Abadi" w:hAnsi="Abadi"/>
          <w:sz w:val="21"/>
          <w:szCs w:val="21"/>
        </w:rPr>
        <w:t>n votación nominal por el sistema electrónico se pregunta a las diputadas y los diputados y se aprueba el dictamen puesto a su consideración</w:t>
      </w:r>
      <w:r>
        <w:rPr>
          <w:rFonts w:ascii="Abadi" w:hAnsi="Abadi"/>
          <w:sz w:val="21"/>
          <w:szCs w:val="21"/>
        </w:rPr>
        <w:t xml:space="preserve">. </w:t>
      </w:r>
    </w:p>
    <w:p w14:paraId="190736A7" w14:textId="77777777" w:rsidR="00B74A59" w:rsidRPr="006813AA" w:rsidRDefault="00B74A59" w:rsidP="00B74A59">
      <w:pPr>
        <w:ind w:firstLine="708"/>
        <w:jc w:val="both"/>
        <w:rPr>
          <w:rFonts w:ascii="Abadi" w:hAnsi="Abadi"/>
          <w:sz w:val="21"/>
          <w:szCs w:val="21"/>
        </w:rPr>
      </w:pPr>
    </w:p>
    <w:p w14:paraId="5433664C" w14:textId="44C87391" w:rsidR="00B74A59" w:rsidRDefault="00B74A59" w:rsidP="00B74A59">
      <w:pPr>
        <w:jc w:val="both"/>
        <w:rPr>
          <w:rFonts w:ascii="Abadi" w:hAnsi="Abadi"/>
          <w:sz w:val="21"/>
          <w:szCs w:val="21"/>
        </w:rPr>
      </w:pPr>
      <w:r>
        <w:rPr>
          <w:rFonts w:ascii="Abadi" w:hAnsi="Abadi"/>
          <w:sz w:val="21"/>
          <w:szCs w:val="21"/>
        </w:rPr>
        <w:t>¿F</w:t>
      </w:r>
      <w:r w:rsidRPr="006813AA">
        <w:rPr>
          <w:rFonts w:ascii="Abadi" w:hAnsi="Abadi"/>
          <w:sz w:val="21"/>
          <w:szCs w:val="21"/>
        </w:rPr>
        <w:t>alta alguna diputada o algún diputado de emitir su voto</w:t>
      </w:r>
      <w:r>
        <w:rPr>
          <w:rFonts w:ascii="Abadi" w:hAnsi="Abadi"/>
          <w:sz w:val="21"/>
          <w:szCs w:val="21"/>
        </w:rPr>
        <w:t>?</w:t>
      </w:r>
    </w:p>
    <w:p w14:paraId="590665C7" w14:textId="77777777" w:rsidR="00B74A59" w:rsidRDefault="00B74A59" w:rsidP="00B74A59">
      <w:pPr>
        <w:jc w:val="both"/>
        <w:rPr>
          <w:rFonts w:ascii="Abadi" w:hAnsi="Abadi"/>
          <w:sz w:val="21"/>
          <w:szCs w:val="21"/>
        </w:rPr>
      </w:pPr>
    </w:p>
    <w:p w14:paraId="52E86140" w14:textId="77777777" w:rsidR="00B74A59" w:rsidRDefault="00B74A59" w:rsidP="00B74A59">
      <w:pPr>
        <w:jc w:val="both"/>
        <w:rPr>
          <w:rFonts w:ascii="Abadi" w:hAnsi="Abadi"/>
          <w:b/>
          <w:bCs/>
          <w:sz w:val="21"/>
          <w:szCs w:val="21"/>
        </w:rPr>
      </w:pPr>
      <w:r w:rsidRPr="00F14CEA">
        <w:rPr>
          <w:rFonts w:ascii="Abadi" w:hAnsi="Abadi"/>
          <w:b/>
          <w:bCs/>
          <w:sz w:val="21"/>
          <w:szCs w:val="21"/>
        </w:rPr>
        <w:t>(Cerramos el sistema electrónico)</w:t>
      </w:r>
    </w:p>
    <w:p w14:paraId="37E7C6D1" w14:textId="77777777" w:rsidR="00B74A59" w:rsidRDefault="00B74A59" w:rsidP="00B74A59">
      <w:pPr>
        <w:jc w:val="both"/>
        <w:rPr>
          <w:rFonts w:ascii="Abadi" w:hAnsi="Abadi"/>
          <w:b/>
          <w:bCs/>
          <w:sz w:val="21"/>
          <w:szCs w:val="21"/>
        </w:rPr>
      </w:pPr>
    </w:p>
    <w:p w14:paraId="51C30F59" w14:textId="77777777" w:rsidR="00B74A59" w:rsidRDefault="00B74A59" w:rsidP="00B74A59">
      <w:pPr>
        <w:jc w:val="both"/>
        <w:rPr>
          <w:rFonts w:ascii="Abadi" w:hAnsi="Abadi"/>
          <w:b/>
          <w:bCs/>
          <w:sz w:val="21"/>
          <w:szCs w:val="21"/>
        </w:rPr>
      </w:pPr>
      <w:r>
        <w:rPr>
          <w:noProof/>
        </w:rPr>
        <w:drawing>
          <wp:inline distT="0" distB="0" distL="0" distR="0" wp14:anchorId="4D986B76" wp14:editId="6B5F76EA">
            <wp:extent cx="1658745" cy="854567"/>
            <wp:effectExtent l="323850" t="323850" r="322580" b="327025"/>
            <wp:docPr id="58" name="Imagen 58"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descr="Interfaz de usuario gráfica, Texto, Sitio web&#10;&#10;Descripción generada automáticamente"/>
                    <pic:cNvPicPr/>
                  </pic:nvPicPr>
                  <pic:blipFill rotWithShape="1">
                    <a:blip r:embed="rId64"/>
                    <a:srcRect b="8367"/>
                    <a:stretch/>
                  </pic:blipFill>
                  <pic:spPr bwMode="auto">
                    <a:xfrm>
                      <a:off x="0" y="0"/>
                      <a:ext cx="1667865" cy="859266"/>
                    </a:xfrm>
                    <a:prstGeom prst="rect">
                      <a:avLst/>
                    </a:prstGeom>
                    <a:ln w="88900" cap="sq" cmpd="thickThin">
                      <a:solidFill>
                        <a:srgbClr val="000000"/>
                      </a:solidFill>
                      <a:prstDash val="solid"/>
                      <a:miter lim="800000"/>
                    </a:ln>
                    <a:effectLst>
                      <a:glow rad="228600">
                        <a:schemeClr val="accent3">
                          <a:satMod val="1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4330B7DA" w14:textId="77777777" w:rsidR="00B74A59" w:rsidRPr="00F14CEA" w:rsidRDefault="00B74A59" w:rsidP="00B74A59">
      <w:pPr>
        <w:jc w:val="both"/>
        <w:rPr>
          <w:rFonts w:ascii="Abadi" w:hAnsi="Abadi"/>
          <w:b/>
          <w:bCs/>
          <w:sz w:val="21"/>
          <w:szCs w:val="21"/>
        </w:rPr>
      </w:pPr>
    </w:p>
    <w:p w14:paraId="3F09FCF6" w14:textId="16282177" w:rsidR="00B74A59" w:rsidRDefault="00B74A59" w:rsidP="00B74A59">
      <w:pPr>
        <w:jc w:val="both"/>
        <w:rPr>
          <w:rFonts w:ascii="Abadi" w:hAnsi="Abadi"/>
          <w:sz w:val="21"/>
          <w:szCs w:val="21"/>
        </w:rPr>
      </w:pPr>
      <w:r>
        <w:rPr>
          <w:rFonts w:ascii="Abadi" w:hAnsi="Abadi"/>
          <w:b/>
          <w:bCs/>
          <w:sz w:val="21"/>
          <w:szCs w:val="21"/>
        </w:rPr>
        <w:tab/>
      </w:r>
      <w:r w:rsidRPr="00F14CEA">
        <w:rPr>
          <w:rFonts w:ascii="Abadi" w:hAnsi="Abadi"/>
          <w:b/>
          <w:bCs/>
          <w:sz w:val="21"/>
          <w:szCs w:val="21"/>
        </w:rPr>
        <w:t>- El Secretario.-</w:t>
      </w:r>
      <w:r>
        <w:rPr>
          <w:rFonts w:ascii="Abadi" w:hAnsi="Abadi"/>
          <w:sz w:val="21"/>
          <w:szCs w:val="21"/>
        </w:rPr>
        <w:t xml:space="preserve"> S</w:t>
      </w:r>
      <w:r w:rsidRPr="006813AA">
        <w:rPr>
          <w:rFonts w:ascii="Abadi" w:hAnsi="Abadi"/>
          <w:sz w:val="21"/>
          <w:szCs w:val="21"/>
        </w:rPr>
        <w:t>e registraron 2</w:t>
      </w:r>
      <w:r>
        <w:rPr>
          <w:rFonts w:ascii="Abadi" w:hAnsi="Abadi"/>
          <w:sz w:val="21"/>
          <w:szCs w:val="21"/>
        </w:rPr>
        <w:t>8</w:t>
      </w:r>
      <w:r w:rsidRPr="006813AA">
        <w:rPr>
          <w:rFonts w:ascii="Abadi" w:hAnsi="Abadi"/>
          <w:sz w:val="21"/>
          <w:szCs w:val="21"/>
        </w:rPr>
        <w:t xml:space="preserve"> votos a favor y </w:t>
      </w:r>
      <w:r>
        <w:rPr>
          <w:rFonts w:ascii="Abadi" w:hAnsi="Abadi"/>
          <w:sz w:val="21"/>
          <w:szCs w:val="21"/>
        </w:rPr>
        <w:t>5</w:t>
      </w:r>
      <w:r w:rsidRPr="006813AA">
        <w:rPr>
          <w:rFonts w:ascii="Abadi" w:hAnsi="Abadi"/>
          <w:sz w:val="21"/>
          <w:szCs w:val="21"/>
        </w:rPr>
        <w:t xml:space="preserve"> votos en contra</w:t>
      </w:r>
      <w:r>
        <w:rPr>
          <w:rFonts w:ascii="Abadi" w:hAnsi="Abadi"/>
          <w:sz w:val="21"/>
          <w:szCs w:val="21"/>
        </w:rPr>
        <w:t>.</w:t>
      </w:r>
    </w:p>
    <w:p w14:paraId="0D2316A3" w14:textId="77777777" w:rsidR="00B74A59" w:rsidRDefault="00B74A59" w:rsidP="00B74A59">
      <w:pPr>
        <w:jc w:val="both"/>
        <w:rPr>
          <w:rFonts w:ascii="Abadi" w:hAnsi="Abadi"/>
          <w:sz w:val="21"/>
          <w:szCs w:val="21"/>
        </w:rPr>
      </w:pPr>
    </w:p>
    <w:p w14:paraId="7D3A503E" w14:textId="2EDAB490" w:rsidR="00B74A59" w:rsidRDefault="00B74A59" w:rsidP="00B74A59">
      <w:pPr>
        <w:jc w:val="both"/>
        <w:rPr>
          <w:rFonts w:ascii="Abadi" w:hAnsi="Abadi"/>
          <w:sz w:val="21"/>
          <w:szCs w:val="21"/>
        </w:rPr>
      </w:pPr>
      <w:r>
        <w:rPr>
          <w:rFonts w:ascii="Abadi" w:hAnsi="Abadi"/>
          <w:sz w:val="21"/>
          <w:szCs w:val="21"/>
        </w:rPr>
        <w:tab/>
      </w:r>
      <w:r w:rsidRPr="006813AA">
        <w:rPr>
          <w:rFonts w:ascii="Abadi" w:hAnsi="Abadi"/>
          <w:sz w:val="21"/>
          <w:szCs w:val="21"/>
        </w:rPr>
        <w:t xml:space="preserve"> </w:t>
      </w:r>
      <w:r>
        <w:rPr>
          <w:rFonts w:ascii="Abadi" w:hAnsi="Abadi"/>
          <w:sz w:val="21"/>
          <w:szCs w:val="21"/>
        </w:rPr>
        <w:t xml:space="preserve">- </w:t>
      </w:r>
      <w:r w:rsidRPr="00F14CEA">
        <w:rPr>
          <w:rFonts w:ascii="Abadi" w:hAnsi="Abadi"/>
          <w:b/>
          <w:bCs/>
          <w:sz w:val="21"/>
          <w:szCs w:val="21"/>
        </w:rPr>
        <w:t>El Presidente.-</w:t>
      </w:r>
      <w:r>
        <w:rPr>
          <w:rFonts w:ascii="Abadi" w:hAnsi="Abadi"/>
          <w:sz w:val="21"/>
          <w:szCs w:val="21"/>
        </w:rPr>
        <w:t xml:space="preserve"> Por </w:t>
      </w:r>
      <w:r w:rsidRPr="006813AA">
        <w:rPr>
          <w:rFonts w:ascii="Abadi" w:hAnsi="Abadi"/>
          <w:sz w:val="21"/>
          <w:szCs w:val="21"/>
        </w:rPr>
        <w:t>mayoría de votos</w:t>
      </w:r>
      <w:r>
        <w:rPr>
          <w:rFonts w:ascii="Abadi" w:hAnsi="Abadi"/>
          <w:sz w:val="21"/>
          <w:szCs w:val="21"/>
        </w:rPr>
        <w:t xml:space="preserve"> se aprueba este dictamen.</w:t>
      </w:r>
    </w:p>
    <w:p w14:paraId="2539A0CE" w14:textId="77777777" w:rsidR="00B74A59" w:rsidRDefault="00B74A59" w:rsidP="00B74A59">
      <w:pPr>
        <w:jc w:val="both"/>
        <w:rPr>
          <w:rFonts w:ascii="Abadi" w:hAnsi="Abadi"/>
          <w:sz w:val="21"/>
          <w:szCs w:val="21"/>
        </w:rPr>
      </w:pPr>
    </w:p>
    <w:p w14:paraId="4125436C" w14:textId="77777777" w:rsidR="00B74A59" w:rsidRDefault="00B74A59" w:rsidP="00B74A59">
      <w:pPr>
        <w:ind w:left="567" w:right="567"/>
        <w:jc w:val="both"/>
        <w:rPr>
          <w:rFonts w:ascii="Abadi" w:hAnsi="Abadi"/>
          <w:sz w:val="21"/>
          <w:szCs w:val="21"/>
        </w:rPr>
      </w:pPr>
      <w:r w:rsidRPr="009936EB">
        <w:rPr>
          <w:rFonts w:ascii="Abadi" w:hAnsi="Abadi"/>
          <w:b/>
          <w:bCs/>
          <w:i/>
          <w:iCs/>
          <w:sz w:val="21"/>
          <w:szCs w:val="21"/>
          <w:u w:val="single"/>
        </w:rPr>
        <w:t xml:space="preserve">En consecuencia se instruye a la Secretaría General para que proceda el archivo definitivo de la </w:t>
      </w:r>
      <w:r>
        <w:rPr>
          <w:rFonts w:ascii="Abadi" w:hAnsi="Abadi"/>
          <w:b/>
          <w:bCs/>
          <w:i/>
          <w:iCs/>
          <w:sz w:val="21"/>
          <w:szCs w:val="21"/>
          <w:u w:val="single"/>
        </w:rPr>
        <w:t>propuesta del punto de acuerdo referida en el dictamen recién a</w:t>
      </w:r>
      <w:r w:rsidRPr="009936EB">
        <w:rPr>
          <w:rFonts w:ascii="Abadi" w:hAnsi="Abadi"/>
          <w:b/>
          <w:bCs/>
          <w:i/>
          <w:iCs/>
          <w:sz w:val="21"/>
          <w:szCs w:val="21"/>
          <w:u w:val="single"/>
        </w:rPr>
        <w:t>probado</w:t>
      </w:r>
      <w:r>
        <w:rPr>
          <w:rFonts w:ascii="Abadi" w:hAnsi="Abadi"/>
          <w:sz w:val="21"/>
          <w:szCs w:val="21"/>
        </w:rPr>
        <w:t>.</w:t>
      </w:r>
    </w:p>
    <w:p w14:paraId="28EA51BD" w14:textId="77777777" w:rsidR="003F0003" w:rsidRPr="00512EB4" w:rsidRDefault="003F0003" w:rsidP="00FE053F">
      <w:pPr>
        <w:jc w:val="both"/>
        <w:textAlignment w:val="baseline"/>
        <w:rPr>
          <w:rFonts w:ascii="Abadi" w:hAnsi="Abadi" w:cs="Segoe UI"/>
          <w:sz w:val="21"/>
          <w:szCs w:val="21"/>
          <w:lang w:val="es-MX" w:eastAsia="es-MX"/>
        </w:rPr>
      </w:pPr>
    </w:p>
    <w:p w14:paraId="67717338" w14:textId="065E0FAD" w:rsidR="00512EB4" w:rsidRPr="00512EB4" w:rsidRDefault="00512EB4" w:rsidP="00FE053F">
      <w:pPr>
        <w:autoSpaceDE w:val="0"/>
        <w:autoSpaceDN w:val="0"/>
        <w:adjustRightInd w:val="0"/>
        <w:jc w:val="both"/>
        <w:rPr>
          <w:rFonts w:ascii="Abadi" w:hAnsi="Abadi" w:cs="ArialMT"/>
          <w:sz w:val="20"/>
          <w:szCs w:val="21"/>
        </w:rPr>
      </w:pPr>
    </w:p>
    <w:p w14:paraId="618C1BA4" w14:textId="77777777" w:rsidR="00512EB4" w:rsidRPr="0028553C" w:rsidRDefault="00512EB4" w:rsidP="00FE053F">
      <w:pPr>
        <w:autoSpaceDE w:val="0"/>
        <w:autoSpaceDN w:val="0"/>
        <w:adjustRightInd w:val="0"/>
        <w:jc w:val="both"/>
        <w:rPr>
          <w:rFonts w:ascii="Abadi" w:hAnsi="Abadi" w:cs="ArialMT"/>
          <w:b/>
          <w:bCs/>
          <w:sz w:val="20"/>
          <w:szCs w:val="21"/>
        </w:rPr>
      </w:pPr>
    </w:p>
    <w:p w14:paraId="1695A78A" w14:textId="77777777" w:rsidR="00E462B6" w:rsidRPr="0028553C" w:rsidRDefault="00E462B6" w:rsidP="00FE053F">
      <w:pPr>
        <w:pStyle w:val="Prrafodelista"/>
        <w:numPr>
          <w:ilvl w:val="0"/>
          <w:numId w:val="14"/>
        </w:numPr>
        <w:autoSpaceDE w:val="0"/>
        <w:autoSpaceDN w:val="0"/>
        <w:adjustRightInd w:val="0"/>
        <w:contextualSpacing/>
        <w:jc w:val="both"/>
        <w:rPr>
          <w:rFonts w:ascii="Abadi" w:hAnsi="Abadi" w:cs="ArialMT"/>
          <w:b/>
          <w:bCs/>
          <w:sz w:val="20"/>
          <w:szCs w:val="21"/>
        </w:rPr>
      </w:pPr>
      <w:r w:rsidRPr="0028553C">
        <w:rPr>
          <w:rFonts w:ascii="Abadi" w:hAnsi="Abadi" w:cs="ArialMT"/>
          <w:b/>
          <w:bCs/>
          <w:sz w:val="20"/>
          <w:szCs w:val="21"/>
        </w:rPr>
        <w:t>DISCUSIÓN Y, EN SU CASO, APROBACIÓN DEL DICTAMEN SIGNADO POR LA COMISIÓN DE SEGURIDAD PÚBLICA Y COMUNICACIONES RELATIVO A LA PROPUESTA DE PUNTO DE ACUERDO FORMULADA ANTE LA SEXAGÉSIMA CUARTA LEGISLATURA, POR EL DIPUTADO ERNESTO ALEJANDRO PRIETO GALLARDO, INTEGRANTE DEL GRUPO PARLAMENTARIO DEL PARTIDO MORENA, PARA EXHORTAR AL GOBERNADOR DEL ESTADO DE GUANAJUATO EL C. DIEGO SINHUE RODRÍGUEZ VALLEJO A FIN DE QUE, EN EL ÁMBITO DE SUS FACULTADES, REMUEVA AL ACTUAL TITULAR DE LA SECRETARÍA DE SEGURIDAD PÚBLICA DEL ESTADO DE GUANAJUATO EL C. ALVAR CABEZA DE VACA APPENDINI, DEBIDO A SUS NULOS RESULTADOS EN LA PREVENCIÓN SOCIAL DE LA VIOLENCIA Y LA DELINCUENCIA, SEGURIDAD, REINSERCIÓN SOCIAL Y PROTECCIÓN CIUDADANA, Y COMO CONSECUENCIA DE LO ANTERIOR, EN EJERCICIO DE SUS FACULTADES, DESIGNE A UN NUEVO SECRETARIO DE SEGURIDAD PÚBLICA DEL ESTADO DE GUANAJUATO.</w:t>
      </w:r>
    </w:p>
    <w:p w14:paraId="06491142" w14:textId="149AC6C0" w:rsidR="00E462B6" w:rsidRDefault="00E462B6" w:rsidP="00FE053F">
      <w:pPr>
        <w:autoSpaceDE w:val="0"/>
        <w:autoSpaceDN w:val="0"/>
        <w:adjustRightInd w:val="0"/>
        <w:jc w:val="both"/>
        <w:rPr>
          <w:rFonts w:ascii="Abadi" w:hAnsi="Abadi" w:cs="ArialMT"/>
          <w:sz w:val="20"/>
          <w:szCs w:val="21"/>
        </w:rPr>
      </w:pPr>
    </w:p>
    <w:p w14:paraId="20018AE5" w14:textId="77777777" w:rsidR="00B31D26" w:rsidRPr="00B31D26" w:rsidRDefault="00B31D26" w:rsidP="00FE053F">
      <w:pPr>
        <w:rPr>
          <w:rFonts w:ascii="Abadi" w:eastAsiaTheme="minorHAnsi" w:hAnsi="Abadi" w:cs="Arial"/>
          <w:b/>
          <w:sz w:val="21"/>
          <w:szCs w:val="21"/>
          <w:lang w:val="es-MX" w:eastAsia="en-US"/>
        </w:rPr>
      </w:pPr>
      <w:r w:rsidRPr="00B31D26">
        <w:rPr>
          <w:rFonts w:ascii="Abadi" w:eastAsiaTheme="minorHAnsi" w:hAnsi="Abadi" w:cs="Arial"/>
          <w:b/>
          <w:sz w:val="21"/>
          <w:szCs w:val="21"/>
          <w:lang w:val="es-MX" w:eastAsia="en-US"/>
        </w:rPr>
        <w:t>Presidencia de la Mesa Directiva</w:t>
      </w:r>
    </w:p>
    <w:p w14:paraId="763A4562" w14:textId="77777777" w:rsidR="00B31D26" w:rsidRPr="00B31D26" w:rsidRDefault="00B31D26" w:rsidP="00FE053F">
      <w:pPr>
        <w:rPr>
          <w:rFonts w:ascii="Abadi" w:eastAsiaTheme="minorHAnsi" w:hAnsi="Abadi" w:cs="Arial"/>
          <w:b/>
          <w:sz w:val="21"/>
          <w:szCs w:val="21"/>
          <w:lang w:val="es-MX" w:eastAsia="en-US"/>
        </w:rPr>
      </w:pPr>
      <w:r w:rsidRPr="00B31D26">
        <w:rPr>
          <w:rFonts w:ascii="Abadi" w:eastAsiaTheme="minorHAnsi" w:hAnsi="Abadi" w:cs="Arial"/>
          <w:b/>
          <w:sz w:val="21"/>
          <w:szCs w:val="21"/>
          <w:lang w:val="es-MX" w:eastAsia="en-US"/>
        </w:rPr>
        <w:t>Congreso del Estado</w:t>
      </w:r>
    </w:p>
    <w:p w14:paraId="3484CAC5" w14:textId="77777777" w:rsidR="00B31D26" w:rsidRPr="00B31D26" w:rsidRDefault="00B31D26" w:rsidP="00FE053F">
      <w:pPr>
        <w:rPr>
          <w:rFonts w:ascii="Abadi" w:eastAsiaTheme="minorHAnsi" w:hAnsi="Abadi" w:cs="Arial"/>
          <w:b/>
          <w:sz w:val="21"/>
          <w:szCs w:val="21"/>
          <w:lang w:val="es-MX" w:eastAsia="en-US"/>
        </w:rPr>
      </w:pPr>
      <w:r w:rsidRPr="00B31D26">
        <w:rPr>
          <w:rFonts w:ascii="Abadi" w:eastAsiaTheme="minorHAnsi" w:hAnsi="Abadi" w:cs="Arial"/>
          <w:b/>
          <w:sz w:val="21"/>
          <w:szCs w:val="21"/>
          <w:lang w:val="es-MX" w:eastAsia="en-US"/>
        </w:rPr>
        <w:t>Presente</w:t>
      </w:r>
    </w:p>
    <w:p w14:paraId="6563BF4E" w14:textId="77777777" w:rsidR="00B31D26" w:rsidRPr="00B31D26" w:rsidRDefault="00B31D26" w:rsidP="00FE053F">
      <w:pPr>
        <w:spacing w:before="100" w:beforeAutospacing="1" w:afterAutospacing="1"/>
        <w:jc w:val="both"/>
        <w:textAlignment w:val="baseline"/>
        <w:rPr>
          <w:rFonts w:ascii="Abadi" w:hAnsi="Abadi" w:cs="Arial"/>
          <w:sz w:val="21"/>
          <w:szCs w:val="21"/>
          <w:lang w:val="es-MX" w:eastAsia="es-MX"/>
        </w:rPr>
      </w:pPr>
      <w:r w:rsidRPr="00B31D26">
        <w:rPr>
          <w:rFonts w:ascii="Abadi" w:hAnsi="Abadi" w:cs="Arial"/>
          <w:sz w:val="21"/>
          <w:szCs w:val="21"/>
          <w:lang w:val="es-MX" w:eastAsia="es-MX"/>
        </w:rPr>
        <w:t>Correspondió a esta Comisión de Seguridad Pública y Comunicaciones analizar y dictaminar la propuesta de punto de acuerdo formulado, en la LXIV Legislatura, por el Diputado Ernesto Alejandro Prieto Gallardo, integrante del Grupo Parlamentario de MORENA, para exhortar al Gobernador del Estado de Guanajuato el C. Diego Sinhue Rodríguez Vallejo a fin de que, en el ámbito de sus facultades, remueva al actual titular de la Secretaría de Seguridad Pública del Estado de Guanajuato el C. Alvar Cabeza De Vaca Appendini, debido a sus nulos resultados en la prevención social de la violencia y la delincuencia, seguridad, reinserción social y protección ciudadana, y como consecuencia de lo anterior, en ejercicio de sus facultades, designe a un nuevo Secretario de Seguridad Pública del Estado de Guanajuato.</w:t>
      </w:r>
    </w:p>
    <w:p w14:paraId="3EAF0813" w14:textId="77777777" w:rsidR="00B31D26" w:rsidRPr="00B31D26" w:rsidRDefault="00B31D26" w:rsidP="00FE053F">
      <w:pPr>
        <w:jc w:val="both"/>
        <w:textAlignment w:val="baseline"/>
        <w:rPr>
          <w:rFonts w:ascii="Abadi" w:hAnsi="Abadi" w:cs="Arial"/>
          <w:sz w:val="21"/>
          <w:szCs w:val="21"/>
          <w:lang w:val="es-MX" w:eastAsia="es-MX"/>
        </w:rPr>
      </w:pPr>
      <w:r w:rsidRPr="00B31D26">
        <w:rPr>
          <w:rFonts w:ascii="Abadi" w:hAnsi="Abadi" w:cs="Arial"/>
          <w:sz w:val="21"/>
          <w:szCs w:val="21"/>
          <w:lang w:val="es-MX" w:eastAsia="es-MX"/>
        </w:rPr>
        <w:t xml:space="preserve">Con fundamento en el artículo 119 fracción II y 180 de la Ley Orgánica del Poder Legislativo del Estado de Guanajuato, se procede a realizar el siguiente: </w:t>
      </w:r>
    </w:p>
    <w:p w14:paraId="5BD59A97" w14:textId="77777777" w:rsidR="00B31D26" w:rsidRPr="00B31D26" w:rsidRDefault="00B31D26" w:rsidP="00FE053F">
      <w:pPr>
        <w:jc w:val="both"/>
        <w:textAlignment w:val="baseline"/>
        <w:rPr>
          <w:rFonts w:ascii="Abadi" w:hAnsi="Abadi" w:cs="Arial"/>
          <w:sz w:val="21"/>
          <w:szCs w:val="21"/>
          <w:lang w:val="es-MX" w:eastAsia="es-MX"/>
        </w:rPr>
      </w:pPr>
    </w:p>
    <w:p w14:paraId="2C987CF5" w14:textId="77777777" w:rsidR="00B31D26" w:rsidRPr="00B31D26" w:rsidRDefault="00B31D26" w:rsidP="00FE053F">
      <w:pPr>
        <w:jc w:val="center"/>
        <w:textAlignment w:val="baseline"/>
        <w:rPr>
          <w:rFonts w:ascii="Abadi" w:hAnsi="Abadi" w:cs="Arial"/>
          <w:b/>
          <w:sz w:val="21"/>
          <w:szCs w:val="21"/>
          <w:lang w:val="es-MX" w:eastAsia="es-MX"/>
        </w:rPr>
      </w:pPr>
      <w:r w:rsidRPr="00B31D26">
        <w:rPr>
          <w:rFonts w:ascii="Abadi" w:hAnsi="Abadi" w:cs="Arial"/>
          <w:b/>
          <w:sz w:val="21"/>
          <w:szCs w:val="21"/>
          <w:lang w:val="es-MX" w:eastAsia="es-MX"/>
        </w:rPr>
        <w:t>D i c t a m e n</w:t>
      </w:r>
    </w:p>
    <w:p w14:paraId="70FE7E45" w14:textId="77777777" w:rsidR="00B31D26" w:rsidRPr="00B31D26" w:rsidRDefault="00B31D26" w:rsidP="00FE053F">
      <w:pPr>
        <w:numPr>
          <w:ilvl w:val="0"/>
          <w:numId w:val="44"/>
        </w:numPr>
        <w:textAlignment w:val="baseline"/>
        <w:rPr>
          <w:rFonts w:ascii="Abadi" w:hAnsi="Abadi" w:cs="Arial"/>
          <w:b/>
          <w:sz w:val="21"/>
          <w:szCs w:val="21"/>
          <w:lang w:val="es-MX" w:eastAsia="es-MX"/>
        </w:rPr>
      </w:pPr>
      <w:r w:rsidRPr="00B31D26">
        <w:rPr>
          <w:rFonts w:ascii="Abadi" w:hAnsi="Abadi" w:cs="Arial"/>
          <w:b/>
          <w:sz w:val="21"/>
          <w:szCs w:val="21"/>
          <w:lang w:val="es-MX" w:eastAsia="es-MX"/>
        </w:rPr>
        <w:t>Antecedentes.</w:t>
      </w:r>
    </w:p>
    <w:p w14:paraId="6E3F10E7" w14:textId="77777777" w:rsidR="00B31D26" w:rsidRPr="00B31D26" w:rsidRDefault="00B31D26" w:rsidP="00FE053F">
      <w:pPr>
        <w:textAlignment w:val="baseline"/>
        <w:rPr>
          <w:rFonts w:ascii="Abadi" w:hAnsi="Abadi" w:cs="Arial"/>
          <w:sz w:val="21"/>
          <w:szCs w:val="21"/>
          <w:lang w:val="es-MX" w:eastAsia="es-MX"/>
        </w:rPr>
      </w:pPr>
    </w:p>
    <w:p w14:paraId="0478673B" w14:textId="77777777" w:rsidR="00B31D26" w:rsidRPr="00B31D26" w:rsidRDefault="00B31D26" w:rsidP="00FE053F">
      <w:pPr>
        <w:jc w:val="both"/>
        <w:textAlignment w:val="baseline"/>
        <w:rPr>
          <w:rFonts w:ascii="Abadi" w:hAnsi="Abadi" w:cs="Arial"/>
          <w:sz w:val="21"/>
          <w:szCs w:val="21"/>
          <w:lang w:val="es-MX" w:eastAsia="es-MX"/>
        </w:rPr>
      </w:pPr>
      <w:r w:rsidRPr="00B31D26">
        <w:rPr>
          <w:rFonts w:ascii="Abadi" w:hAnsi="Abadi" w:cs="Arial"/>
          <w:sz w:val="21"/>
          <w:szCs w:val="21"/>
          <w:lang w:val="es-MX" w:eastAsia="es-MX"/>
        </w:rPr>
        <w:t xml:space="preserve">La propuesta de acuerdo fue presentada en la sesión ordinaria celebrada en fecha 9 de junio de 2020 y su radicación se realizó en reunión del día 22 de junio del mismo año.  </w:t>
      </w:r>
    </w:p>
    <w:p w14:paraId="1A1CF8E9" w14:textId="77777777" w:rsidR="00B31D26" w:rsidRPr="00B31D26" w:rsidRDefault="00B31D26" w:rsidP="00FE053F">
      <w:pPr>
        <w:jc w:val="both"/>
        <w:textAlignment w:val="baseline"/>
        <w:rPr>
          <w:rFonts w:ascii="Abadi" w:hAnsi="Abadi" w:cs="Arial"/>
          <w:sz w:val="21"/>
          <w:szCs w:val="21"/>
          <w:lang w:val="es-MX" w:eastAsia="es-MX"/>
        </w:rPr>
      </w:pPr>
    </w:p>
    <w:p w14:paraId="6485B824" w14:textId="77777777" w:rsidR="00B31D26" w:rsidRPr="00B31D26" w:rsidRDefault="00B31D26" w:rsidP="00FE053F">
      <w:pPr>
        <w:jc w:val="both"/>
        <w:textAlignment w:val="baseline"/>
        <w:rPr>
          <w:rFonts w:ascii="Abadi" w:hAnsi="Abadi" w:cs="Arial"/>
          <w:sz w:val="21"/>
          <w:szCs w:val="21"/>
          <w:lang w:val="es-MX" w:eastAsia="es-MX"/>
        </w:rPr>
      </w:pPr>
      <w:r w:rsidRPr="00B31D26">
        <w:rPr>
          <w:rFonts w:ascii="Abadi" w:hAnsi="Abadi" w:cs="Arial"/>
          <w:sz w:val="21"/>
          <w:szCs w:val="21"/>
          <w:lang w:val="es-MX" w:eastAsia="es-MX"/>
        </w:rPr>
        <w:t xml:space="preserve">No habiéndose determinado acción posterior, </w:t>
      </w:r>
      <w:r w:rsidRPr="00B31D26">
        <w:rPr>
          <w:rFonts w:ascii="Abadi" w:hAnsi="Abadi"/>
          <w:sz w:val="21"/>
          <w:szCs w:val="21"/>
          <w:lang w:val="es-MX" w:eastAsia="es-MX"/>
        </w:rPr>
        <w:t xml:space="preserve">en fecha 14 de septiembre de 2021, los diputados integrantes de la Comisión de Seguridad Pública y Comunicaciones de la Sexagésima Cuarta Legislatura, determinaron señalar la referida propuesta de acuerdo como pendiente legislativo </w:t>
      </w:r>
      <w:r w:rsidRPr="00B31D26">
        <w:rPr>
          <w:rFonts w:ascii="Abadi" w:hAnsi="Abadi" w:cs="Arial"/>
          <w:sz w:val="21"/>
          <w:szCs w:val="21"/>
          <w:lang w:val="es-MX" w:eastAsia="es-MX"/>
        </w:rPr>
        <w:t>dentro del Informe de Actividades Legislativas</w:t>
      </w:r>
      <w:r w:rsidRPr="00B31D26">
        <w:rPr>
          <w:rFonts w:ascii="Abadi" w:hAnsi="Abadi"/>
          <w:sz w:val="21"/>
          <w:szCs w:val="21"/>
          <w:lang w:val="es-MX" w:eastAsia="es-MX"/>
        </w:rPr>
        <w:t>, para que fuera la siguiente Legislatura quien se pronunciara al respecto</w:t>
      </w:r>
      <w:r w:rsidRPr="00B31D26">
        <w:rPr>
          <w:rFonts w:ascii="Abadi" w:hAnsi="Abadi" w:cs="Arial"/>
          <w:sz w:val="21"/>
          <w:szCs w:val="21"/>
          <w:lang w:val="es-MX" w:eastAsia="es-MX"/>
        </w:rPr>
        <w:t xml:space="preserve">.  </w:t>
      </w:r>
    </w:p>
    <w:p w14:paraId="78F63170" w14:textId="77777777" w:rsidR="00B31D26" w:rsidRPr="00B31D26" w:rsidRDefault="00B31D26" w:rsidP="00FE053F">
      <w:pPr>
        <w:jc w:val="both"/>
        <w:textAlignment w:val="baseline"/>
        <w:rPr>
          <w:rFonts w:ascii="Abadi" w:hAnsi="Abadi" w:cs="Arial"/>
          <w:sz w:val="21"/>
          <w:szCs w:val="21"/>
          <w:lang w:val="es-MX" w:eastAsia="es-MX"/>
        </w:rPr>
      </w:pPr>
    </w:p>
    <w:p w14:paraId="17D39944" w14:textId="77777777" w:rsidR="00B31D26" w:rsidRPr="00B31D26" w:rsidRDefault="00B31D26" w:rsidP="00FE053F">
      <w:pPr>
        <w:jc w:val="both"/>
        <w:textAlignment w:val="baseline"/>
        <w:rPr>
          <w:rFonts w:ascii="Abadi" w:hAnsi="Abadi"/>
          <w:sz w:val="21"/>
          <w:szCs w:val="21"/>
          <w:lang w:val="es-MX" w:eastAsia="es-MX"/>
        </w:rPr>
      </w:pPr>
      <w:r w:rsidRPr="00B31D26">
        <w:rPr>
          <w:rFonts w:ascii="Abadi" w:hAnsi="Abadi"/>
          <w:sz w:val="21"/>
          <w:szCs w:val="21"/>
          <w:lang w:val="es-MX" w:eastAsia="es-MX"/>
        </w:rPr>
        <w:t>Instalada la Comisión de Seguridad Pública y Comunicaciones de la Sexagésima Quinta Legislatura, en fecha 12 de octubre de 2022, nos impusimos del contenido de los pendientes legislativos, encontrándose entre ellos la referida propuesta de acuerdo que se dictamina.</w:t>
      </w:r>
    </w:p>
    <w:p w14:paraId="2BAB77AF" w14:textId="77777777" w:rsidR="00B31D26" w:rsidRPr="00B31D26" w:rsidRDefault="00B31D26" w:rsidP="00FE053F">
      <w:pPr>
        <w:jc w:val="both"/>
        <w:textAlignment w:val="baseline"/>
        <w:rPr>
          <w:rFonts w:ascii="Abadi" w:hAnsi="Abadi"/>
          <w:sz w:val="21"/>
          <w:szCs w:val="21"/>
          <w:lang w:val="es-MX" w:eastAsia="es-MX"/>
        </w:rPr>
      </w:pPr>
    </w:p>
    <w:p w14:paraId="6C1B2DF8" w14:textId="77777777" w:rsidR="00B31D26" w:rsidRPr="00B31D26" w:rsidRDefault="00B31D26" w:rsidP="00FE053F">
      <w:pPr>
        <w:jc w:val="both"/>
        <w:textAlignment w:val="baseline"/>
        <w:rPr>
          <w:rFonts w:ascii="Abadi" w:hAnsi="Abadi"/>
          <w:sz w:val="21"/>
          <w:szCs w:val="21"/>
          <w:lang w:val="es-MX" w:eastAsia="es-MX"/>
        </w:rPr>
      </w:pPr>
      <w:r w:rsidRPr="00B31D26">
        <w:rPr>
          <w:rFonts w:ascii="Abadi" w:hAnsi="Abadi"/>
          <w:sz w:val="21"/>
          <w:szCs w:val="21"/>
          <w:lang w:val="es-MX" w:eastAsia="es-MX"/>
        </w:rPr>
        <w:t>Conforme a lo referido en el presente documento, la Presidencia de esta Comisión de Seguridad Pública y Comunicaciones instruyó a la Secretaría Técnica para que elaborara el proyecto de dictamen en sentido negativo, conforme a lo dispuesto en los artículos 94, fracción VII y 272 fracción VIII inciso e) de nuestra Ley Orgánica, para su discusión y votación por la diputada y diputados integrantes.</w:t>
      </w:r>
    </w:p>
    <w:p w14:paraId="69BF622D" w14:textId="77777777" w:rsidR="00B31D26" w:rsidRPr="00B31D26" w:rsidRDefault="00B31D26" w:rsidP="00FE053F">
      <w:pPr>
        <w:spacing w:after="160"/>
        <w:jc w:val="both"/>
        <w:rPr>
          <w:rFonts w:ascii="Abadi" w:eastAsia="Batang" w:hAnsi="Abadi" w:cs="Arial"/>
          <w:b/>
          <w:sz w:val="21"/>
          <w:szCs w:val="21"/>
          <w:lang w:val="es-MX" w:eastAsia="en-US"/>
        </w:rPr>
      </w:pPr>
    </w:p>
    <w:p w14:paraId="6E264584" w14:textId="77777777" w:rsidR="00B31D26" w:rsidRPr="00B31D26" w:rsidRDefault="00B31D26" w:rsidP="00FE053F">
      <w:pPr>
        <w:numPr>
          <w:ilvl w:val="0"/>
          <w:numId w:val="44"/>
        </w:numPr>
        <w:jc w:val="both"/>
        <w:textAlignment w:val="baseline"/>
        <w:rPr>
          <w:rFonts w:ascii="Abadi" w:hAnsi="Abadi" w:cs="Arial"/>
          <w:b/>
          <w:sz w:val="21"/>
          <w:szCs w:val="21"/>
          <w:lang w:val="es-MX" w:eastAsia="es-MX"/>
        </w:rPr>
      </w:pPr>
      <w:r w:rsidRPr="00B31D26">
        <w:rPr>
          <w:rFonts w:ascii="Abadi" w:hAnsi="Abadi" w:cs="Arial"/>
          <w:b/>
          <w:sz w:val="21"/>
          <w:szCs w:val="21"/>
          <w:lang w:val="es-MX" w:eastAsia="es-MX"/>
        </w:rPr>
        <w:t>Consideraciones de quien propone (en lo medular).</w:t>
      </w:r>
    </w:p>
    <w:p w14:paraId="4D45CBBE" w14:textId="77777777" w:rsidR="00B31D26" w:rsidRPr="00B31D26" w:rsidRDefault="00B31D26" w:rsidP="00FE053F">
      <w:pPr>
        <w:autoSpaceDE w:val="0"/>
        <w:autoSpaceDN w:val="0"/>
        <w:adjustRightInd w:val="0"/>
        <w:ind w:left="720"/>
        <w:contextualSpacing/>
        <w:jc w:val="both"/>
        <w:rPr>
          <w:rFonts w:ascii="Abadi" w:eastAsiaTheme="minorHAnsi" w:hAnsi="Abadi" w:cs="ArialNarrow"/>
          <w:color w:val="000000"/>
          <w:sz w:val="21"/>
          <w:szCs w:val="21"/>
          <w:lang w:val="es-MX" w:eastAsia="en-US"/>
        </w:rPr>
      </w:pPr>
    </w:p>
    <w:p w14:paraId="09A61C5B" w14:textId="77777777" w:rsidR="00B31D26" w:rsidRPr="00B31D26" w:rsidRDefault="00B31D26" w:rsidP="00FE053F">
      <w:pPr>
        <w:jc w:val="both"/>
        <w:textAlignment w:val="baseline"/>
        <w:rPr>
          <w:rFonts w:ascii="Abadi" w:hAnsi="Abadi" w:cs="Arial"/>
          <w:sz w:val="21"/>
          <w:szCs w:val="21"/>
          <w:lang w:val="es-MX" w:eastAsia="es-MX"/>
        </w:rPr>
      </w:pPr>
      <w:r w:rsidRPr="00B31D26">
        <w:rPr>
          <w:rFonts w:ascii="Abadi" w:hAnsi="Abadi" w:cs="Arial"/>
          <w:sz w:val="21"/>
          <w:szCs w:val="21"/>
          <w:lang w:val="es-MX" w:eastAsia="es-MX"/>
        </w:rPr>
        <w:t>La inseguridad que se vive en el Estado de Guanajuato ya es insostenible, somos una entidad que pasó rápidamente a ser considerada como una de las más violentas en el páis por un factor fundamental: la corrupción y despilfarro de recursos económicos en la seguridad pública del Estado que arrojan nulos resultados y que nos tienen a toda la población como víctimas potenciales de la delincuencia. El titular de la Secretaría de Seguridad Pública del Estado ha fallado y nos ha demostrado que a lo largo de los más de 7 años que tiene en su encargo lo único que ha hecho muy bien es hundir en la inseguridad a Guanajuato, ha demostrado con creces que no tiene la capacidad de estar al frente de tan importante área. El estado atraviesa la mayor crisis de violencia de la que haya registro en medio de la guerra entre grupos del crimen organizado. Ya suman 40 policías caídos en lo que va del año, mientras que los homicidios se han disparado 448% en cinco años. Y hablemos las cosas como son, los datos son del Secretariado Ejecutivo de Seguridad Pública, los cuales solamente son respecto a delitos del fuero común, sí, esos que se supone debe prevenir y combatir el Gobierno del Estado de Guanajuato y este solamente esquiva o evade su responsabilidad tratando de echarle la culpa a la Federación desde que Peña era Presidente, pero la verdad está ahí y lo saben, es, en buena medida, culpa de los gobiernos estatales, en particular del Gobernador en turno y de los longevos titulares de la actual Fiscalía General del Estado y su compadre, el protagonista de este exhorto, el actual Secretario de Seguridad Pública Estatal, Álvar Cabeza de Vaca Appendini.</w:t>
      </w:r>
    </w:p>
    <w:p w14:paraId="449A8ADA" w14:textId="77777777" w:rsidR="00B31D26" w:rsidRPr="00B31D26" w:rsidRDefault="00B31D26" w:rsidP="00FE053F">
      <w:pPr>
        <w:jc w:val="both"/>
        <w:textAlignment w:val="baseline"/>
        <w:rPr>
          <w:rFonts w:ascii="Abadi" w:hAnsi="Abadi" w:cs="Arial"/>
          <w:sz w:val="21"/>
          <w:szCs w:val="21"/>
          <w:lang w:val="es-MX" w:eastAsia="es-MX"/>
        </w:rPr>
      </w:pPr>
    </w:p>
    <w:p w14:paraId="77CDA515" w14:textId="77777777" w:rsidR="00B31D26" w:rsidRPr="00B31D26" w:rsidRDefault="00B31D26" w:rsidP="00FE053F">
      <w:pPr>
        <w:jc w:val="both"/>
        <w:textAlignment w:val="baseline"/>
        <w:rPr>
          <w:rFonts w:ascii="Abadi" w:hAnsi="Abadi" w:cs="Arial"/>
          <w:sz w:val="21"/>
          <w:szCs w:val="21"/>
          <w:lang w:val="es-MX" w:eastAsia="es-MX"/>
        </w:rPr>
      </w:pPr>
      <w:r w:rsidRPr="00B31D26">
        <w:rPr>
          <w:rFonts w:ascii="Abadi" w:hAnsi="Abadi" w:cs="Arial"/>
          <w:sz w:val="21"/>
          <w:szCs w:val="21"/>
          <w:lang w:val="es-MX" w:eastAsia="es-MX"/>
        </w:rPr>
        <w:t xml:space="preserve">Las cifras dadas por la Secretaría de Seguridad y Protección Ciudadana del Gobierno de México confirman lo que la sociedad guanajuatense padece desde hace años, un Guanajuato siendo la entidad con mayor número de homicidios dolosos en lo que va del año, en particular de enero a abril, con una cifra de 1 mil 534 decesos, seguido, lejanamente, por el Estado de México con 982 muertes. Asimismo, la tasa de homicidios por cada 100 mil habitantes en el mismo periodo muestra que Guanajuato es el 2° estado a nivel nacional, con una tasa de 24.63 homicidios, cuando la media nacional es de 9. </w:t>
      </w:r>
    </w:p>
    <w:p w14:paraId="2743194E" w14:textId="77777777" w:rsidR="00B31D26" w:rsidRPr="00B31D26" w:rsidRDefault="00B31D26" w:rsidP="00FE053F">
      <w:pPr>
        <w:jc w:val="both"/>
        <w:textAlignment w:val="baseline"/>
        <w:rPr>
          <w:rFonts w:ascii="Abadi" w:hAnsi="Abadi" w:cs="Arial"/>
          <w:sz w:val="21"/>
          <w:szCs w:val="21"/>
          <w:lang w:val="es-MX" w:eastAsia="es-MX"/>
        </w:rPr>
      </w:pPr>
    </w:p>
    <w:p w14:paraId="542E96C8" w14:textId="77777777" w:rsidR="00B31D26" w:rsidRPr="00B31D26" w:rsidRDefault="00B31D26" w:rsidP="00FE053F">
      <w:pPr>
        <w:jc w:val="both"/>
        <w:textAlignment w:val="baseline"/>
        <w:rPr>
          <w:rFonts w:ascii="Abadi" w:hAnsi="Abadi" w:cs="Arial"/>
          <w:sz w:val="21"/>
          <w:szCs w:val="21"/>
          <w:lang w:val="es-MX" w:eastAsia="es-MX"/>
        </w:rPr>
      </w:pPr>
      <w:r w:rsidRPr="00B31D26">
        <w:rPr>
          <w:rFonts w:ascii="Abadi" w:hAnsi="Abadi" w:cs="Arial"/>
          <w:sz w:val="21"/>
          <w:szCs w:val="21"/>
          <w:lang w:val="es-MX" w:eastAsia="es-MX"/>
        </w:rPr>
        <w:t>El Secretariado Ejecutivo del Sistema Nacional de Seguridad Pública, mostró en sus informes cifras alarmantes. La incidencia delictiva en el periodo de enero a abril de 2020 mostró que hubo 613 mil 651 presuntos delitos a nivel nacional, de los cuales, 42 mil 527 se encuentran registrados en Guanajuato, siendo la cuarta entidad con mayor incidencia.2 Recordando enfáticamente que estas son las cifras que el Estado de Guanajuato entrega al Secretariado Ejecutivo del Sistema Nacional de Seguridad Pública. En la escala de los 100 primeros municipios de México con delitos de feminicidio, Guanajuato se encuentra en 8 ocasiones, siendo Celaya el municipio número 26, seguido de Apaseo el Alto, León, Ocampo, San Miguel de Allende, Santiago Maravatío y Valle de Santiago con las posiciones 86, 87, 88, 89, 90 y 91, respectivamente.</w:t>
      </w:r>
    </w:p>
    <w:p w14:paraId="1A5B6182" w14:textId="77777777" w:rsidR="00B31D26" w:rsidRPr="00B31D26" w:rsidRDefault="00B31D26" w:rsidP="00FE053F">
      <w:pPr>
        <w:jc w:val="both"/>
        <w:textAlignment w:val="baseline"/>
        <w:rPr>
          <w:rFonts w:ascii="Abadi" w:hAnsi="Abadi" w:cs="Arial"/>
          <w:sz w:val="21"/>
          <w:szCs w:val="21"/>
          <w:lang w:val="es-MX" w:eastAsia="es-MX"/>
        </w:rPr>
      </w:pPr>
    </w:p>
    <w:p w14:paraId="3EB86C74" w14:textId="77777777" w:rsidR="00B31D26" w:rsidRPr="00B31D26" w:rsidRDefault="00B31D26" w:rsidP="00FE053F">
      <w:pPr>
        <w:jc w:val="both"/>
        <w:textAlignment w:val="baseline"/>
        <w:rPr>
          <w:rFonts w:ascii="Abadi" w:hAnsi="Abadi" w:cs="Arial"/>
          <w:sz w:val="21"/>
          <w:szCs w:val="21"/>
          <w:lang w:val="es-MX" w:eastAsia="es-MX"/>
        </w:rPr>
      </w:pPr>
      <w:r w:rsidRPr="00B31D26">
        <w:rPr>
          <w:rFonts w:ascii="Abadi" w:hAnsi="Abadi" w:cs="Arial"/>
          <w:sz w:val="21"/>
          <w:szCs w:val="21"/>
          <w:lang w:val="es-MX" w:eastAsia="es-MX"/>
        </w:rPr>
        <w:t>En el primer bimestre de 2020 Guanajuato fue la segunda entidad más violenta con una tasa de 9.07 casos por cada cien mil personas. Cuestión que no ha disminuido en los meses siguientes. Prueba de lo anterior es la matanza ocurrida el sábado 6 de junio en el centro de rehabilitación “Empezando nueva vida” ubicado en uno de los municipios más peligrosos del país; Irapuato. Ahí perdieron la vida 10 hombres que se encontraban rehabilitándose de adicciones, además, éste no es un caso aislado, pues en menos de seis meses es el tercer caso de masacres en centros de rehabilitación.</w:t>
      </w:r>
    </w:p>
    <w:p w14:paraId="442568C5" w14:textId="77777777" w:rsidR="00B31D26" w:rsidRPr="00B31D26" w:rsidRDefault="00B31D26" w:rsidP="00FE053F">
      <w:pPr>
        <w:jc w:val="both"/>
        <w:textAlignment w:val="baseline"/>
        <w:rPr>
          <w:rFonts w:ascii="Abadi" w:hAnsi="Abadi" w:cs="Arial"/>
          <w:sz w:val="21"/>
          <w:szCs w:val="21"/>
          <w:lang w:val="es-MX" w:eastAsia="es-MX"/>
        </w:rPr>
      </w:pPr>
    </w:p>
    <w:p w14:paraId="6A31241B" w14:textId="77777777" w:rsidR="00B31D26" w:rsidRPr="00B31D26" w:rsidRDefault="00B31D26" w:rsidP="00FE053F">
      <w:pPr>
        <w:jc w:val="both"/>
        <w:textAlignment w:val="baseline"/>
        <w:rPr>
          <w:rFonts w:ascii="Abadi" w:hAnsi="Abadi" w:cs="Arial"/>
          <w:sz w:val="21"/>
          <w:szCs w:val="21"/>
          <w:lang w:val="es-MX" w:eastAsia="es-MX"/>
        </w:rPr>
      </w:pPr>
      <w:r w:rsidRPr="00B31D26">
        <w:rPr>
          <w:rFonts w:ascii="Abadi" w:hAnsi="Abadi" w:cs="Arial"/>
          <w:sz w:val="21"/>
          <w:szCs w:val="21"/>
          <w:lang w:val="es-MX" w:eastAsia="es-MX"/>
        </w:rPr>
        <w:t>Apenas unas pocas horas antes de lo ocurrido en Irapuato, en un taller mecánico de Celaya, otro grupo armado asesinó a cinco personas, varios de ellos trabajadores que estaban en el local, ubicado en la colonia Las Fuentes. En total, 18 personas fueron asesinadas este sábado sólo en Irapuato y Celaya, mientras la Secretaría de Seguridad Pública del Estado se jacta de realizar a cabalidad su trabajo.</w:t>
      </w:r>
    </w:p>
    <w:p w14:paraId="7A431824" w14:textId="77777777" w:rsidR="00B31D26" w:rsidRPr="00B31D26" w:rsidRDefault="00B31D26" w:rsidP="00FE053F">
      <w:pPr>
        <w:spacing w:before="100" w:beforeAutospacing="1" w:afterAutospacing="1"/>
        <w:jc w:val="both"/>
        <w:textAlignment w:val="baseline"/>
        <w:rPr>
          <w:rFonts w:ascii="Abadi" w:hAnsi="Abadi" w:cs="Arial"/>
          <w:sz w:val="21"/>
          <w:szCs w:val="21"/>
          <w:lang w:val="es-MX" w:eastAsia="es-MX"/>
        </w:rPr>
      </w:pPr>
      <w:r w:rsidRPr="00B31D26">
        <w:rPr>
          <w:rFonts w:ascii="Abadi" w:hAnsi="Abadi" w:cs="Arial"/>
          <w:sz w:val="21"/>
          <w:szCs w:val="21"/>
          <w:lang w:val="es-MX" w:eastAsia="es-MX"/>
        </w:rPr>
        <w:t>La seguridad pública estatal es un tema de suma relevancia que lleva consigo problemáticas estructurales en demasía complicadas, es cierto que el punto donde nos encontramos es difícil de revertir lo que ya se les ha salido de las manos, sin embargo, el actual titular de la citada Secretaría Estatal de Seguridad Pública no ha demostrado en los muchos años al frente de su cargo, ni capacidad ni voluntad para prevenir y aminorar la delincuencia.</w:t>
      </w:r>
    </w:p>
    <w:p w14:paraId="7B021256" w14:textId="77777777" w:rsidR="00B31D26" w:rsidRPr="00B31D26" w:rsidRDefault="00B31D26" w:rsidP="00FE053F">
      <w:pPr>
        <w:spacing w:before="100" w:beforeAutospacing="1" w:afterAutospacing="1"/>
        <w:jc w:val="both"/>
        <w:textAlignment w:val="baseline"/>
        <w:rPr>
          <w:rFonts w:ascii="Abadi" w:hAnsi="Abadi" w:cs="Arial"/>
          <w:sz w:val="21"/>
          <w:szCs w:val="21"/>
          <w:lang w:val="es-MX" w:eastAsia="es-MX"/>
        </w:rPr>
      </w:pPr>
      <w:r w:rsidRPr="00B31D26">
        <w:rPr>
          <w:rFonts w:ascii="Abadi" w:hAnsi="Abadi" w:cs="Arial"/>
          <w:sz w:val="21"/>
          <w:szCs w:val="21"/>
          <w:lang w:val="es-MX" w:eastAsia="es-MX"/>
        </w:rPr>
        <w:t>Las instituciones deben oxigenarse en un ejercicio en el que se le dé cabida a nuevos perfiles e ideas, pues no habrá resultados distintos si los mismos actores siguen realizando las mismas acciones de siempre. Por ello, es sano no solo para la administración pública sino para la ciudadanía guanajuatense contar con perfiles nuevos que realicen estrategias realmente funcionales y eficientes para prevenir la delincuencia.</w:t>
      </w:r>
    </w:p>
    <w:p w14:paraId="198677CA" w14:textId="77777777" w:rsidR="00B31D26" w:rsidRPr="00B31D26" w:rsidRDefault="00B31D26" w:rsidP="00FE053F">
      <w:pPr>
        <w:jc w:val="both"/>
        <w:textAlignment w:val="baseline"/>
        <w:rPr>
          <w:rFonts w:ascii="Abadi" w:hAnsi="Abadi" w:cs="Arial"/>
          <w:sz w:val="21"/>
          <w:szCs w:val="21"/>
          <w:lang w:val="es-MX" w:eastAsia="es-MX"/>
        </w:rPr>
      </w:pPr>
      <w:r w:rsidRPr="00B31D26">
        <w:rPr>
          <w:rFonts w:ascii="Abadi" w:hAnsi="Abadi" w:cs="Arial"/>
          <w:sz w:val="21"/>
          <w:szCs w:val="21"/>
          <w:lang w:val="es-MX" w:eastAsia="es-MX"/>
        </w:rPr>
        <w:t>No cerremos los ojos ante la cruda realidad guanajuatense, el Secretario de Seguridad Pública Estatal no ha sabido hacerle frente a la delincuencia, por lo tanto, el que no da resultados después de años, debe de ser removido, en un acto de protección a la ciudadanía guanajuatense y por el cese al derramamiento de sangre en la entidad.</w:t>
      </w:r>
    </w:p>
    <w:p w14:paraId="56AE2E50" w14:textId="77777777" w:rsidR="00B31D26" w:rsidRPr="00B31D26" w:rsidRDefault="00B31D26" w:rsidP="00FE053F">
      <w:pPr>
        <w:jc w:val="both"/>
        <w:textAlignment w:val="baseline"/>
        <w:rPr>
          <w:rFonts w:ascii="Abadi" w:hAnsi="Abadi" w:cs="Arial"/>
          <w:sz w:val="21"/>
          <w:szCs w:val="21"/>
          <w:lang w:val="es-MX" w:eastAsia="es-MX"/>
        </w:rPr>
      </w:pPr>
    </w:p>
    <w:p w14:paraId="73339A29" w14:textId="77777777" w:rsidR="00B31D26" w:rsidRPr="00B31D26" w:rsidRDefault="00B31D26" w:rsidP="00FE053F">
      <w:pPr>
        <w:jc w:val="both"/>
        <w:textAlignment w:val="baseline"/>
        <w:rPr>
          <w:rFonts w:ascii="Abadi" w:hAnsi="Abadi" w:cs="Arial"/>
          <w:b/>
          <w:strike/>
          <w:sz w:val="21"/>
          <w:szCs w:val="21"/>
          <w:lang w:val="es-MX" w:eastAsia="es-MX"/>
        </w:rPr>
      </w:pPr>
    </w:p>
    <w:p w14:paraId="1DAE14B4" w14:textId="77777777" w:rsidR="00B31D26" w:rsidRPr="00B31D26" w:rsidRDefault="00B31D26" w:rsidP="00FE053F">
      <w:pPr>
        <w:widowControl w:val="0"/>
        <w:autoSpaceDE w:val="0"/>
        <w:autoSpaceDN w:val="0"/>
        <w:ind w:right="113"/>
        <w:jc w:val="both"/>
        <w:rPr>
          <w:rFonts w:ascii="Abadi" w:hAnsi="Abadi" w:cs="Arial"/>
          <w:sz w:val="21"/>
          <w:szCs w:val="21"/>
          <w:lang w:val="es-MX" w:eastAsia="es-MX"/>
        </w:rPr>
      </w:pPr>
      <w:r w:rsidRPr="00B31D26">
        <w:rPr>
          <w:rFonts w:ascii="Abadi" w:eastAsia="Arial" w:hAnsi="Abadi" w:cs="Arial"/>
          <w:b/>
          <w:sz w:val="21"/>
          <w:szCs w:val="21"/>
          <w:lang w:val="es-MX" w:eastAsia="en-US"/>
        </w:rPr>
        <w:t xml:space="preserve">III. </w:t>
      </w:r>
      <w:r w:rsidRPr="00B31D26">
        <w:rPr>
          <w:rFonts w:ascii="Abadi" w:eastAsia="Arial" w:hAnsi="Abadi" w:cs="Arial"/>
          <w:b/>
          <w:sz w:val="21"/>
          <w:szCs w:val="21"/>
          <w:lang w:val="es-MX" w:eastAsia="en-US"/>
        </w:rPr>
        <w:tab/>
        <w:t>Consideraciones de quienes integran la comisión</w:t>
      </w:r>
      <w:r w:rsidRPr="00B31D26">
        <w:rPr>
          <w:rFonts w:ascii="Abadi" w:hAnsi="Abadi" w:cs="Arial"/>
          <w:sz w:val="21"/>
          <w:szCs w:val="21"/>
          <w:lang w:val="es-MX" w:eastAsia="es-MX"/>
        </w:rPr>
        <w:t xml:space="preserve">. </w:t>
      </w:r>
    </w:p>
    <w:p w14:paraId="3A5CEFF8" w14:textId="77777777" w:rsidR="00B31D26" w:rsidRPr="00B31D26" w:rsidRDefault="00B31D26" w:rsidP="00FE053F">
      <w:pPr>
        <w:spacing w:after="160"/>
        <w:jc w:val="both"/>
        <w:rPr>
          <w:rFonts w:ascii="Abadi" w:eastAsiaTheme="minorHAnsi" w:hAnsi="Abadi" w:cs="Arial"/>
          <w:sz w:val="21"/>
          <w:szCs w:val="21"/>
          <w:lang w:val="es-MX" w:eastAsia="en-US"/>
        </w:rPr>
      </w:pPr>
    </w:p>
    <w:p w14:paraId="1A6EC7E0" w14:textId="77777777" w:rsidR="00B31D26" w:rsidRPr="00B31D26" w:rsidRDefault="00B31D26" w:rsidP="00FE053F">
      <w:pPr>
        <w:spacing w:after="160"/>
        <w:jc w:val="both"/>
        <w:rPr>
          <w:rFonts w:ascii="Abadi" w:eastAsiaTheme="minorHAnsi" w:hAnsi="Abadi" w:cs="Arial"/>
          <w:sz w:val="21"/>
          <w:szCs w:val="21"/>
          <w:lang w:val="es-MX" w:eastAsia="en-US"/>
        </w:rPr>
      </w:pPr>
      <w:r w:rsidRPr="00B31D26">
        <w:rPr>
          <w:rFonts w:ascii="Abadi" w:eastAsiaTheme="minorHAnsi" w:hAnsi="Abadi" w:cs="Arial"/>
          <w:sz w:val="21"/>
          <w:szCs w:val="21"/>
          <w:lang w:val="es-MX" w:eastAsia="en-US"/>
        </w:rPr>
        <w:t>La Junta de Gobierno y Coordinación Política es el órgano de gobierno encargado de la dirección de los asuntos relativos al régimen Interno del Poder Legislativo con el fin de optimizar sus funciones legislativas, políticas y administrativas, conforme a lo dispuesto en su ley orgánica.</w:t>
      </w:r>
    </w:p>
    <w:p w14:paraId="26F69A7E" w14:textId="77777777" w:rsidR="00B31D26" w:rsidRPr="00B31D26" w:rsidRDefault="00B31D26" w:rsidP="00FE053F">
      <w:pPr>
        <w:spacing w:after="160"/>
        <w:jc w:val="both"/>
        <w:rPr>
          <w:rFonts w:ascii="Abadi" w:eastAsiaTheme="minorHAnsi" w:hAnsi="Abadi" w:cs="Arial"/>
          <w:sz w:val="21"/>
          <w:szCs w:val="21"/>
          <w:lang w:val="es-MX" w:eastAsia="en-US"/>
        </w:rPr>
      </w:pPr>
      <w:r w:rsidRPr="00B31D26">
        <w:rPr>
          <w:rFonts w:ascii="Abadi" w:eastAsiaTheme="minorHAnsi" w:hAnsi="Abadi" w:cs="Arial"/>
          <w:sz w:val="21"/>
          <w:szCs w:val="21"/>
          <w:lang w:val="es-MX" w:eastAsia="en-US"/>
        </w:rPr>
        <w:t xml:space="preserve">Dicho órgano de gobierno expresa la pluralidad del Congreso del Estado y funciona como enlace entre los grupos y representaciones parlamentarias legalmente constituidos en el seno de la Legislatura y, en su caso, diputados independientes, con objeto de impulsar entendimientos y convergencias políticas con las instancias y órganos que resulten necesarios, a fin de alcanzar acuerdos que permitan al Congreso del Estado, a la diputación permanente y a las comisiones legislativas, adoptar las decisiones que constitucional y legalmente les corresponden, siendo una de sus principales atribuciones establecer la agenda legislativa común. </w:t>
      </w:r>
    </w:p>
    <w:p w14:paraId="5D919D80" w14:textId="77777777" w:rsidR="00B31D26" w:rsidRPr="00B31D26" w:rsidRDefault="00B31D26" w:rsidP="00FE053F">
      <w:pPr>
        <w:spacing w:after="160"/>
        <w:jc w:val="both"/>
        <w:rPr>
          <w:rFonts w:ascii="Abadi" w:eastAsiaTheme="minorHAnsi" w:hAnsi="Abadi" w:cs="Arial"/>
          <w:sz w:val="21"/>
          <w:szCs w:val="21"/>
          <w:lang w:val="es-MX" w:eastAsia="en-US"/>
        </w:rPr>
      </w:pPr>
      <w:r w:rsidRPr="00B31D26">
        <w:rPr>
          <w:rFonts w:ascii="Abadi" w:eastAsiaTheme="minorHAnsi" w:hAnsi="Abadi" w:cs="Arial"/>
          <w:sz w:val="21"/>
          <w:szCs w:val="21"/>
          <w:lang w:val="es-MX" w:eastAsia="en-US"/>
        </w:rPr>
        <w:t xml:space="preserve">Conforme lo anterior, en reunión de fecha 16 de marzo de 2022, la Junta de Gobierno y Coordinación Política, a efecto de lograr una mayor eficiencia legislativa y agilizar los pendientes dónde se incluyen los trabajos presentados en legislaturas anteriores o que jurídicamente no son viables atendiendo a diversas reformas que reservan competencias legislativas al congreso de la unión, se aprobó una metodología propuesta por la secretaría general. </w:t>
      </w:r>
    </w:p>
    <w:p w14:paraId="36542D83" w14:textId="77777777" w:rsidR="00B31D26" w:rsidRPr="00B31D26" w:rsidRDefault="00B31D26" w:rsidP="00FE053F">
      <w:pPr>
        <w:spacing w:after="160"/>
        <w:jc w:val="both"/>
        <w:rPr>
          <w:rFonts w:ascii="Abadi" w:eastAsiaTheme="minorHAnsi" w:hAnsi="Abadi" w:cs="Arial"/>
          <w:sz w:val="21"/>
          <w:szCs w:val="21"/>
          <w:lang w:val="es-MX" w:eastAsia="en-US"/>
        </w:rPr>
      </w:pPr>
      <w:r w:rsidRPr="00B31D26">
        <w:rPr>
          <w:rFonts w:ascii="Abadi" w:eastAsiaTheme="minorHAnsi" w:hAnsi="Abadi" w:cs="Arial"/>
          <w:sz w:val="21"/>
          <w:szCs w:val="21"/>
          <w:lang w:val="es-MX" w:eastAsia="en-US"/>
        </w:rPr>
        <w:t xml:space="preserve">En términos de dicha propuesta correspondería a las secretarías técnicas de cada comisión: </w:t>
      </w:r>
    </w:p>
    <w:p w14:paraId="5662D7A6" w14:textId="77777777" w:rsidR="00B31D26" w:rsidRPr="00B31D26" w:rsidRDefault="00B31D26" w:rsidP="00FE053F">
      <w:pPr>
        <w:numPr>
          <w:ilvl w:val="0"/>
          <w:numId w:val="45"/>
        </w:numPr>
        <w:spacing w:after="160"/>
        <w:contextualSpacing/>
        <w:jc w:val="both"/>
        <w:rPr>
          <w:rFonts w:ascii="Abadi" w:eastAsiaTheme="minorHAnsi" w:hAnsi="Abadi" w:cs="Arial"/>
          <w:sz w:val="21"/>
          <w:szCs w:val="21"/>
          <w:lang w:val="es-MX" w:eastAsia="en-US"/>
        </w:rPr>
      </w:pPr>
      <w:r w:rsidRPr="00B31D26">
        <w:rPr>
          <w:rFonts w:ascii="Abadi" w:eastAsiaTheme="minorHAnsi" w:hAnsi="Abadi" w:cs="Arial"/>
          <w:sz w:val="21"/>
          <w:szCs w:val="21"/>
          <w:lang w:val="es-MX" w:eastAsia="en-US"/>
        </w:rPr>
        <w:t>Hacer un concentrado de los pendientes legislativos por cada comisión;</w:t>
      </w:r>
    </w:p>
    <w:p w14:paraId="28F7EC13" w14:textId="77777777" w:rsidR="00B31D26" w:rsidRPr="00B31D26" w:rsidRDefault="00B31D26" w:rsidP="00FE053F">
      <w:pPr>
        <w:numPr>
          <w:ilvl w:val="0"/>
          <w:numId w:val="45"/>
        </w:numPr>
        <w:spacing w:after="160"/>
        <w:contextualSpacing/>
        <w:jc w:val="both"/>
        <w:rPr>
          <w:rFonts w:ascii="Abadi" w:eastAsiaTheme="minorHAnsi" w:hAnsi="Abadi" w:cs="Arial"/>
          <w:sz w:val="21"/>
          <w:szCs w:val="21"/>
          <w:lang w:val="es-MX" w:eastAsia="en-US"/>
        </w:rPr>
      </w:pPr>
      <w:r w:rsidRPr="00B31D26">
        <w:rPr>
          <w:rFonts w:ascii="Abadi" w:eastAsiaTheme="minorHAnsi" w:hAnsi="Abadi" w:cs="Arial"/>
          <w:sz w:val="21"/>
          <w:szCs w:val="21"/>
          <w:lang w:val="es-MX" w:eastAsia="en-US"/>
        </w:rPr>
        <w:t>Realizar un análisis técnico jurídico de cada uno de los pendientes legislativos y modificaciones, en su caso, de las metodologías;</w:t>
      </w:r>
    </w:p>
    <w:p w14:paraId="4A28568A" w14:textId="77777777" w:rsidR="00B31D26" w:rsidRPr="00B31D26" w:rsidRDefault="00B31D26" w:rsidP="00FE053F">
      <w:pPr>
        <w:numPr>
          <w:ilvl w:val="0"/>
          <w:numId w:val="45"/>
        </w:numPr>
        <w:spacing w:after="160"/>
        <w:contextualSpacing/>
        <w:jc w:val="both"/>
        <w:rPr>
          <w:rFonts w:ascii="Abadi" w:eastAsiaTheme="minorHAnsi" w:hAnsi="Abadi" w:cs="Arial"/>
          <w:sz w:val="21"/>
          <w:szCs w:val="21"/>
          <w:lang w:val="es-MX" w:eastAsia="en-US"/>
        </w:rPr>
      </w:pPr>
      <w:r w:rsidRPr="00B31D26">
        <w:rPr>
          <w:rFonts w:ascii="Abadi" w:eastAsiaTheme="minorHAnsi" w:hAnsi="Abadi" w:cs="Arial"/>
          <w:sz w:val="21"/>
          <w:szCs w:val="21"/>
          <w:lang w:val="es-MX" w:eastAsia="en-US"/>
        </w:rPr>
        <w:t>Identificación de los pendientes legislativos que jurídicamente sean inviables y procedan en consecuencia a su dictaminación en sentido negativo, así como aquellas iniciativas o proposiciones de acuerdos que se presentaron en la LXII legislatura, y en su caso anteriores a esta, y que no fueron dictaminados en la inmediata anterior, las cuales serán también objeto de archivo definitivo;</w:t>
      </w:r>
    </w:p>
    <w:p w14:paraId="088CCA79" w14:textId="77777777" w:rsidR="00B31D26" w:rsidRPr="00B31D26" w:rsidRDefault="00B31D26" w:rsidP="00FE053F">
      <w:pPr>
        <w:numPr>
          <w:ilvl w:val="0"/>
          <w:numId w:val="45"/>
        </w:numPr>
        <w:spacing w:after="160"/>
        <w:contextualSpacing/>
        <w:jc w:val="both"/>
        <w:rPr>
          <w:rFonts w:ascii="Abadi" w:eastAsiaTheme="minorHAnsi" w:hAnsi="Abadi" w:cs="Arial"/>
          <w:sz w:val="21"/>
          <w:szCs w:val="21"/>
          <w:lang w:val="es-MX" w:eastAsia="en-US"/>
        </w:rPr>
      </w:pPr>
      <w:r w:rsidRPr="00B31D26">
        <w:rPr>
          <w:rFonts w:ascii="Abadi" w:eastAsiaTheme="minorHAnsi" w:hAnsi="Abadi" w:cs="Arial"/>
          <w:sz w:val="21"/>
          <w:szCs w:val="21"/>
          <w:lang w:val="es-MX" w:eastAsia="en-US"/>
        </w:rPr>
        <w:t>En su caso, mesa de trabajo de la comisión para dar cuenta con el listado de los pendientes legislativos para su revisión y sentar bases de proyectos de dictamen;</w:t>
      </w:r>
    </w:p>
    <w:p w14:paraId="1C402B5F" w14:textId="77777777" w:rsidR="00B31D26" w:rsidRPr="00B31D26" w:rsidRDefault="00B31D26" w:rsidP="00FE053F">
      <w:pPr>
        <w:numPr>
          <w:ilvl w:val="0"/>
          <w:numId w:val="45"/>
        </w:numPr>
        <w:spacing w:after="160"/>
        <w:contextualSpacing/>
        <w:jc w:val="both"/>
        <w:rPr>
          <w:rFonts w:ascii="Abadi" w:eastAsiaTheme="minorHAnsi" w:hAnsi="Abadi" w:cs="Arial"/>
          <w:sz w:val="21"/>
          <w:szCs w:val="21"/>
          <w:lang w:val="es-MX" w:eastAsia="en-US"/>
        </w:rPr>
      </w:pPr>
      <w:r w:rsidRPr="00B31D26">
        <w:rPr>
          <w:rFonts w:ascii="Abadi" w:eastAsiaTheme="minorHAnsi" w:hAnsi="Abadi" w:cs="Arial"/>
          <w:sz w:val="21"/>
          <w:szCs w:val="21"/>
          <w:lang w:val="es-MX" w:eastAsia="en-US"/>
        </w:rPr>
        <w:t xml:space="preserve">Convocar a sesión de comisión para aprobar dictámenes de archivo y remisión al pleno para su aprobación. </w:t>
      </w:r>
    </w:p>
    <w:p w14:paraId="64CCA3D1" w14:textId="77777777" w:rsidR="00B31D26" w:rsidRPr="00B31D26" w:rsidRDefault="00B31D26" w:rsidP="00FE053F">
      <w:pPr>
        <w:spacing w:after="160"/>
        <w:jc w:val="both"/>
        <w:rPr>
          <w:rFonts w:ascii="Abadi" w:eastAsiaTheme="minorHAnsi" w:hAnsi="Abadi" w:cs="Arial"/>
          <w:sz w:val="21"/>
          <w:szCs w:val="21"/>
          <w:lang w:val="es-MX" w:eastAsia="en-US"/>
        </w:rPr>
      </w:pPr>
      <w:r w:rsidRPr="00B31D26">
        <w:rPr>
          <w:rFonts w:ascii="Abadi" w:eastAsiaTheme="minorHAnsi" w:hAnsi="Abadi" w:cs="Arial"/>
          <w:sz w:val="21"/>
          <w:szCs w:val="21"/>
          <w:lang w:val="es-MX" w:eastAsia="en-US"/>
        </w:rPr>
        <w:t xml:space="preserve">Paralelo a lo anterior se determinó que los grupos parlamentarios harían revisión de iniciativas y puntos de acuerdo que fueron presentados en las legislaturas anteriores y con ello identificar así como analizar individualmente cuales ya no tienen materia, fueron solventadas conforme a lo propuesto o que por el trascurso del tiempo resulta improcedente pronunciarse positivamente al respecto tomando en consideración se carezca de vigencia conforme a los hechos respecto a los cuales se sustentó cada uno de los temas. </w:t>
      </w:r>
    </w:p>
    <w:p w14:paraId="19B56DA2" w14:textId="77777777" w:rsidR="00B31D26" w:rsidRPr="00B31D26" w:rsidRDefault="00B31D26" w:rsidP="00FE053F">
      <w:pPr>
        <w:spacing w:after="160"/>
        <w:jc w:val="both"/>
        <w:rPr>
          <w:rFonts w:ascii="Abadi" w:eastAsiaTheme="minorHAnsi" w:hAnsi="Abadi" w:cs="Arial"/>
          <w:sz w:val="21"/>
          <w:szCs w:val="21"/>
          <w:lang w:val="es-MX" w:eastAsia="en-US"/>
        </w:rPr>
      </w:pPr>
      <w:r w:rsidRPr="00B31D26">
        <w:rPr>
          <w:rFonts w:ascii="Abadi" w:eastAsiaTheme="minorHAnsi" w:hAnsi="Abadi" w:cs="Arial"/>
          <w:sz w:val="21"/>
          <w:szCs w:val="21"/>
          <w:lang w:val="es-MX" w:eastAsia="en-US"/>
        </w:rPr>
        <w:t>Agotadas las revisiones y análisis a las que se han hecho referencia en párrafos anteriores, esta comisión determinó clasificar y otorgar el tratamiento a la propuesta objeto del presente dictamen como de aquellos pronunciamientos sobre asuntos políticos, culturales, económicos o sociales que si bien se denota la afectación a una comunidad o grupo particular, y que por consecuencia es necesario se aborde como un tema de interés público para que el congreso del estado asuma una postura institucional al respecto, también debe precisarse que al día de hoy ya no se consideraría pertinente y oportuna la adopción del mismo.</w:t>
      </w:r>
    </w:p>
    <w:p w14:paraId="603B981F" w14:textId="77777777" w:rsidR="00B31D26" w:rsidRPr="00B31D26" w:rsidRDefault="00B31D26" w:rsidP="00FE053F">
      <w:pPr>
        <w:jc w:val="both"/>
        <w:textAlignment w:val="baseline"/>
        <w:rPr>
          <w:rFonts w:ascii="Abadi" w:eastAsiaTheme="minorHAnsi" w:hAnsi="Abadi" w:cs="Arial"/>
          <w:sz w:val="21"/>
          <w:szCs w:val="21"/>
          <w:lang w:val="es-MX" w:eastAsia="en-US"/>
        </w:rPr>
      </w:pPr>
      <w:r w:rsidRPr="00B31D26">
        <w:rPr>
          <w:rFonts w:ascii="Abadi" w:eastAsiaTheme="minorHAnsi" w:hAnsi="Abadi" w:cs="Arial"/>
          <w:sz w:val="21"/>
          <w:szCs w:val="21"/>
          <w:lang w:val="es-MX" w:eastAsia="en-US"/>
        </w:rPr>
        <w:t>Por lo anterior, y no obstante que se subraya que en la propuesta existe un contenido vasto y justificado que denotan la trascendencia para su estudio, se ha determinado no es procedente entrar al fondo de este por carecer de oportunidad ante la extemporaneidad de atención en relación con las circunstancias de tiempo, modo y lugar a las que se hace referencia en la misma.</w:t>
      </w:r>
    </w:p>
    <w:p w14:paraId="6947C6E9" w14:textId="77777777" w:rsidR="00B31D26" w:rsidRPr="00B31D26" w:rsidRDefault="00B31D26" w:rsidP="00FE053F">
      <w:pPr>
        <w:jc w:val="both"/>
        <w:textAlignment w:val="baseline"/>
        <w:rPr>
          <w:rFonts w:ascii="Abadi" w:hAnsi="Abadi" w:cs="Arial"/>
          <w:sz w:val="21"/>
          <w:szCs w:val="21"/>
          <w:lang w:val="es-MX" w:eastAsia="es-MX"/>
        </w:rPr>
      </w:pPr>
    </w:p>
    <w:p w14:paraId="73C0C937" w14:textId="0C5C57B9" w:rsidR="00B31D26" w:rsidRPr="00B31D26" w:rsidRDefault="00B31D26" w:rsidP="00FE053F">
      <w:pPr>
        <w:spacing w:after="160"/>
        <w:jc w:val="both"/>
        <w:rPr>
          <w:rFonts w:ascii="Abadi" w:eastAsiaTheme="minorHAnsi" w:hAnsi="Abadi" w:cs="Arial"/>
          <w:sz w:val="21"/>
          <w:szCs w:val="21"/>
          <w:lang w:val="es-MX" w:eastAsia="en-US"/>
        </w:rPr>
      </w:pPr>
      <w:r w:rsidRPr="00B31D26">
        <w:rPr>
          <w:rFonts w:ascii="Abadi" w:eastAsiaTheme="minorHAnsi" w:hAnsi="Abadi" w:cs="Arial"/>
          <w:sz w:val="21"/>
          <w:szCs w:val="21"/>
          <w:lang w:val="es-MX" w:eastAsia="en-US"/>
        </w:rPr>
        <w:t>Por lo expuesto y con fundamento en el artículo 204 de la Ley Orgánica del Poder Ejecutivo del Estado, sometemos a consideración de esta Asamblea, la aprobación del siguiente:</w:t>
      </w:r>
    </w:p>
    <w:p w14:paraId="45F439E5" w14:textId="77777777" w:rsidR="00B31D26" w:rsidRPr="00B31D26" w:rsidRDefault="00B31D26" w:rsidP="00FE053F">
      <w:pPr>
        <w:spacing w:after="160"/>
        <w:jc w:val="center"/>
        <w:rPr>
          <w:rFonts w:ascii="Abadi" w:eastAsiaTheme="minorHAnsi" w:hAnsi="Abadi" w:cs="Arial"/>
          <w:b/>
          <w:sz w:val="21"/>
          <w:szCs w:val="21"/>
          <w:lang w:val="es-MX" w:eastAsia="en-US"/>
        </w:rPr>
      </w:pPr>
      <w:r w:rsidRPr="00B31D26">
        <w:rPr>
          <w:rFonts w:ascii="Abadi" w:eastAsiaTheme="minorHAnsi" w:hAnsi="Abadi" w:cs="Arial"/>
          <w:b/>
          <w:sz w:val="21"/>
          <w:szCs w:val="21"/>
          <w:lang w:val="es-MX" w:eastAsia="en-US"/>
        </w:rPr>
        <w:t>A c u e r d o</w:t>
      </w:r>
    </w:p>
    <w:p w14:paraId="47D7876D" w14:textId="28811B22" w:rsidR="00B31D26" w:rsidRDefault="00B31D26" w:rsidP="00FE053F">
      <w:pPr>
        <w:jc w:val="both"/>
        <w:textAlignment w:val="baseline"/>
        <w:rPr>
          <w:rFonts w:ascii="Abadi" w:hAnsi="Abadi" w:cs="Arial"/>
          <w:sz w:val="21"/>
          <w:szCs w:val="21"/>
          <w:lang w:val="es-MX" w:eastAsia="es-MX"/>
        </w:rPr>
      </w:pPr>
      <w:r w:rsidRPr="00B31D26">
        <w:rPr>
          <w:rFonts w:ascii="Abadi" w:hAnsi="Abadi" w:cs="Arial"/>
          <w:b/>
          <w:sz w:val="21"/>
          <w:szCs w:val="21"/>
          <w:lang w:val="es-MX" w:eastAsia="es-MX"/>
        </w:rPr>
        <w:t xml:space="preserve">Único.- Se determina improcedente </w:t>
      </w:r>
      <w:r w:rsidRPr="00B31D26">
        <w:rPr>
          <w:rFonts w:ascii="Abadi" w:hAnsi="Abadi" w:cs="Arial"/>
          <w:sz w:val="21"/>
          <w:szCs w:val="21"/>
          <w:lang w:val="es-MX" w:eastAsia="es-MX"/>
        </w:rPr>
        <w:t>la propuesta de punto de acuerdo formulado, en la LXIV Legislatura, por el Diputado Ernesto Alejandro Prieto Gallardo, integrante del Grupo Parlamentario de MORENA, para exhortar al Gobernador del Estado de Guanajuato el C. Diego Sinhue Rodríguez Vallejo a fin de que, en el ámbito de sus facultades, remueva al actual titular de la Secretaría de Seguridad Pública del Estado de Guanajuato el C. Alvar Cabeza De Vaca Appendini, debido a sus nulos resultados en la prevención social de la violencia y la delincuencia, seguridad, reinserción social y protección ciudadana, y como consecuencia de lo anterior, en ejercicio de sus facultades, designe a un nuevo Secretario de Seguridad Pública del Estado de Guanajuato; ello, en virtud de las consideraciones que fueron expuestas. Por lo tanto, se ordena su archivo definitivo.</w:t>
      </w:r>
    </w:p>
    <w:p w14:paraId="7BFAA16B" w14:textId="77777777" w:rsidR="00B31D26" w:rsidRPr="00B31D26" w:rsidRDefault="00B31D26" w:rsidP="00FE053F">
      <w:pPr>
        <w:jc w:val="both"/>
        <w:textAlignment w:val="baseline"/>
        <w:rPr>
          <w:rFonts w:ascii="Abadi" w:hAnsi="Abadi" w:cs="Arial"/>
          <w:sz w:val="21"/>
          <w:szCs w:val="21"/>
          <w:lang w:val="es-MX" w:eastAsia="es-MX"/>
        </w:rPr>
      </w:pPr>
    </w:p>
    <w:p w14:paraId="32734EBE" w14:textId="77777777" w:rsidR="00B31D26" w:rsidRPr="00B31D26" w:rsidRDefault="00B31D26" w:rsidP="00FE053F">
      <w:pPr>
        <w:spacing w:after="160"/>
        <w:jc w:val="both"/>
        <w:rPr>
          <w:rFonts w:ascii="Abadi" w:eastAsiaTheme="minorHAnsi" w:hAnsi="Abadi" w:cs="Arial"/>
          <w:sz w:val="21"/>
          <w:szCs w:val="21"/>
          <w:lang w:val="es-MX" w:eastAsia="en-US"/>
        </w:rPr>
      </w:pPr>
      <w:r w:rsidRPr="00B31D26">
        <w:rPr>
          <w:rFonts w:ascii="Abadi" w:eastAsiaTheme="minorHAnsi" w:hAnsi="Abadi" w:cs="Arial"/>
          <w:sz w:val="21"/>
          <w:szCs w:val="21"/>
          <w:lang w:val="es-MX" w:eastAsia="en-US"/>
        </w:rPr>
        <w:t>Comuníquese el presente acuerdo con su dictamen al Secretario General del Congreso del estado, para los efectos conducentes.</w:t>
      </w:r>
    </w:p>
    <w:p w14:paraId="0CA0A951" w14:textId="77777777" w:rsidR="00B31D26" w:rsidRPr="00B31D26" w:rsidRDefault="00B31D26" w:rsidP="00FE053F">
      <w:pPr>
        <w:spacing w:after="160"/>
        <w:jc w:val="both"/>
        <w:rPr>
          <w:rFonts w:ascii="Abadi" w:eastAsiaTheme="minorHAnsi" w:hAnsi="Abadi" w:cs="Arial"/>
          <w:sz w:val="21"/>
          <w:szCs w:val="21"/>
          <w:lang w:val="es-MX" w:eastAsia="en-US"/>
        </w:rPr>
      </w:pPr>
    </w:p>
    <w:p w14:paraId="0A8C372F" w14:textId="77777777" w:rsidR="00B31D26" w:rsidRPr="00B31D26" w:rsidRDefault="00B31D26" w:rsidP="00FE053F">
      <w:pPr>
        <w:spacing w:after="160"/>
        <w:jc w:val="center"/>
        <w:rPr>
          <w:rFonts w:ascii="Abadi" w:eastAsiaTheme="minorHAnsi" w:hAnsi="Abadi" w:cs="Arial"/>
          <w:sz w:val="21"/>
          <w:szCs w:val="21"/>
          <w:lang w:val="es-MX" w:eastAsia="en-US"/>
        </w:rPr>
      </w:pPr>
      <w:r w:rsidRPr="00B31D26">
        <w:rPr>
          <w:rFonts w:ascii="Abadi" w:hAnsi="Abadi" w:cs="Segoe UI"/>
          <w:b/>
          <w:bCs/>
          <w:sz w:val="21"/>
          <w:szCs w:val="21"/>
          <w:lang w:val="es-MX" w:eastAsia="es-MX"/>
        </w:rPr>
        <w:t>Guanajuato, Gto., a 7 de julio de 2022</w:t>
      </w:r>
    </w:p>
    <w:p w14:paraId="402DC6BD" w14:textId="77777777" w:rsidR="00B31D26" w:rsidRPr="00B31D26" w:rsidRDefault="00B31D26" w:rsidP="00FE053F">
      <w:pPr>
        <w:jc w:val="center"/>
        <w:textAlignment w:val="baseline"/>
        <w:rPr>
          <w:rFonts w:ascii="Abadi" w:hAnsi="Abadi" w:cs="Segoe UI"/>
          <w:sz w:val="21"/>
          <w:szCs w:val="21"/>
          <w:lang w:val="es-MX" w:eastAsia="es-MX"/>
        </w:rPr>
      </w:pPr>
      <w:r w:rsidRPr="00B31D26">
        <w:rPr>
          <w:rFonts w:ascii="Abadi" w:hAnsi="Abadi" w:cs="Segoe UI"/>
          <w:b/>
          <w:bCs/>
          <w:sz w:val="21"/>
          <w:szCs w:val="21"/>
          <w:lang w:val="es-MX" w:eastAsia="es-MX"/>
        </w:rPr>
        <w:t>La Comisión de Seguridad Pública y Comunicaciones</w:t>
      </w:r>
      <w:r w:rsidRPr="00B31D26">
        <w:rPr>
          <w:rFonts w:ascii="Abadi" w:hAnsi="Abadi" w:cs="Segoe UI"/>
          <w:sz w:val="21"/>
          <w:szCs w:val="21"/>
          <w:lang w:val="es-MX" w:eastAsia="es-MX"/>
        </w:rPr>
        <w:t> </w:t>
      </w:r>
    </w:p>
    <w:p w14:paraId="372E1122" w14:textId="77777777" w:rsidR="00B31D26" w:rsidRPr="00B31D26" w:rsidRDefault="00B31D26" w:rsidP="00FE053F">
      <w:pPr>
        <w:jc w:val="center"/>
        <w:textAlignment w:val="baseline"/>
        <w:rPr>
          <w:rFonts w:ascii="Abadi" w:hAnsi="Abadi" w:cs="Segoe UI"/>
          <w:sz w:val="21"/>
          <w:szCs w:val="21"/>
          <w:lang w:val="es-MX" w:eastAsia="es-MX"/>
        </w:rPr>
      </w:pPr>
    </w:p>
    <w:p w14:paraId="7D542256" w14:textId="77777777" w:rsidR="00B31D26" w:rsidRPr="00B31D26" w:rsidRDefault="00B31D26" w:rsidP="00FE053F">
      <w:pPr>
        <w:jc w:val="both"/>
        <w:textAlignment w:val="baseline"/>
        <w:rPr>
          <w:rFonts w:ascii="Abadi" w:hAnsi="Abadi" w:cs="Segoe UI"/>
          <w:b/>
          <w:bCs/>
          <w:sz w:val="21"/>
          <w:szCs w:val="21"/>
          <w:lang w:val="es-MX" w:eastAsia="es-MX"/>
        </w:rPr>
      </w:pPr>
      <w:r w:rsidRPr="00B31D26">
        <w:rPr>
          <w:rFonts w:ascii="Abadi" w:hAnsi="Abadi" w:cs="Segoe UI"/>
          <w:b/>
          <w:bCs/>
          <w:sz w:val="21"/>
          <w:szCs w:val="21"/>
          <w:lang w:val="es-MX" w:eastAsia="es-MX"/>
        </w:rPr>
        <w:t>Dip. Martín López Camacho</w:t>
      </w:r>
    </w:p>
    <w:p w14:paraId="2A0496C2" w14:textId="77777777" w:rsidR="00B31D26" w:rsidRPr="00B31D26" w:rsidRDefault="00B31D26" w:rsidP="00FE053F">
      <w:pPr>
        <w:jc w:val="both"/>
        <w:textAlignment w:val="baseline"/>
        <w:rPr>
          <w:rFonts w:ascii="Abadi" w:hAnsi="Abadi" w:cs="Segoe UI"/>
          <w:b/>
          <w:bCs/>
          <w:sz w:val="21"/>
          <w:szCs w:val="21"/>
          <w:lang w:val="es-MX" w:eastAsia="es-MX"/>
        </w:rPr>
      </w:pPr>
      <w:r w:rsidRPr="00B31D26">
        <w:rPr>
          <w:rFonts w:ascii="Abadi" w:hAnsi="Abadi" w:cs="Segoe UI"/>
          <w:b/>
          <w:bCs/>
          <w:sz w:val="21"/>
          <w:szCs w:val="21"/>
          <w:lang w:val="es-MX" w:eastAsia="es-MX"/>
        </w:rPr>
        <w:t>Dip. Alma Edwviges Alcaraz Hernández</w:t>
      </w:r>
    </w:p>
    <w:p w14:paraId="7791D232" w14:textId="77777777" w:rsidR="00B31D26" w:rsidRPr="00B31D26" w:rsidRDefault="00B31D26" w:rsidP="00FE053F">
      <w:pPr>
        <w:jc w:val="both"/>
        <w:textAlignment w:val="baseline"/>
        <w:rPr>
          <w:rFonts w:ascii="Abadi" w:hAnsi="Abadi" w:cs="Segoe UI"/>
          <w:b/>
          <w:bCs/>
          <w:sz w:val="21"/>
          <w:szCs w:val="21"/>
          <w:lang w:val="es-MX" w:eastAsia="es-MX"/>
        </w:rPr>
      </w:pPr>
      <w:r w:rsidRPr="00B31D26">
        <w:rPr>
          <w:rFonts w:ascii="Abadi" w:hAnsi="Abadi"/>
          <w:b/>
          <w:bCs/>
          <w:sz w:val="21"/>
          <w:szCs w:val="21"/>
          <w:lang w:val="es-MX" w:eastAsia="es-MX"/>
        </w:rPr>
        <w:t>Dip. Rolando Fortino Alcántar Rojas</w:t>
      </w:r>
    </w:p>
    <w:p w14:paraId="343E6A85" w14:textId="77777777" w:rsidR="00B31D26" w:rsidRPr="00B31D26" w:rsidRDefault="00B31D26" w:rsidP="00FE053F">
      <w:pPr>
        <w:jc w:val="both"/>
        <w:textAlignment w:val="baseline"/>
        <w:rPr>
          <w:rFonts w:ascii="Abadi" w:hAnsi="Abadi"/>
          <w:sz w:val="21"/>
          <w:szCs w:val="21"/>
          <w:lang w:val="es-MX" w:eastAsia="es-MX"/>
        </w:rPr>
      </w:pPr>
      <w:r w:rsidRPr="00B31D26">
        <w:rPr>
          <w:rFonts w:ascii="Abadi" w:hAnsi="Abadi"/>
          <w:b/>
          <w:bCs/>
          <w:sz w:val="21"/>
          <w:szCs w:val="21"/>
          <w:lang w:val="es-MX" w:eastAsia="es-MX"/>
        </w:rPr>
        <w:t>Dip. Bricio Balderas Álvarez</w:t>
      </w:r>
      <w:r w:rsidRPr="00B31D26">
        <w:rPr>
          <w:rFonts w:ascii="Abadi" w:hAnsi="Abadi"/>
          <w:sz w:val="21"/>
          <w:szCs w:val="21"/>
          <w:lang w:val="es-MX" w:eastAsia="es-MX"/>
        </w:rPr>
        <w:t> </w:t>
      </w:r>
    </w:p>
    <w:p w14:paraId="008A6DC1" w14:textId="278635EB" w:rsidR="00B31D26" w:rsidRDefault="00B31D26" w:rsidP="00FE053F">
      <w:pPr>
        <w:jc w:val="both"/>
        <w:textAlignment w:val="baseline"/>
        <w:rPr>
          <w:rFonts w:ascii="Abadi" w:hAnsi="Abadi" w:cs="Segoe UI"/>
          <w:b/>
          <w:sz w:val="21"/>
          <w:szCs w:val="21"/>
          <w:lang w:val="es-MX" w:eastAsia="es-MX"/>
        </w:rPr>
      </w:pPr>
      <w:r w:rsidRPr="00B31D26">
        <w:rPr>
          <w:rFonts w:ascii="Abadi" w:hAnsi="Abadi" w:cs="Segoe UI"/>
          <w:b/>
          <w:sz w:val="21"/>
          <w:szCs w:val="21"/>
          <w:lang w:val="es-MX" w:eastAsia="es-MX"/>
        </w:rPr>
        <w:t>Dip. Gerardo Fernández González</w:t>
      </w:r>
    </w:p>
    <w:p w14:paraId="62CF33B6" w14:textId="41FFC7ED" w:rsidR="00C22F63" w:rsidRDefault="00C22F63" w:rsidP="00FE053F">
      <w:pPr>
        <w:jc w:val="both"/>
        <w:textAlignment w:val="baseline"/>
        <w:rPr>
          <w:rFonts w:ascii="Abadi" w:hAnsi="Abadi" w:cs="Segoe UI"/>
          <w:b/>
          <w:sz w:val="21"/>
          <w:szCs w:val="21"/>
          <w:lang w:val="es-MX" w:eastAsia="es-MX"/>
        </w:rPr>
      </w:pPr>
    </w:p>
    <w:p w14:paraId="1765F218" w14:textId="76C57B4F" w:rsidR="0019066A" w:rsidRDefault="0019066A" w:rsidP="0019066A">
      <w:pPr>
        <w:ind w:firstLine="708"/>
        <w:jc w:val="both"/>
        <w:rPr>
          <w:rFonts w:ascii="Abadi" w:hAnsi="Abadi"/>
          <w:sz w:val="21"/>
          <w:szCs w:val="21"/>
        </w:rPr>
      </w:pPr>
      <w:r w:rsidRPr="009936EB">
        <w:rPr>
          <w:rFonts w:ascii="Abadi" w:hAnsi="Abadi"/>
          <w:b/>
          <w:bCs/>
          <w:sz w:val="21"/>
          <w:szCs w:val="21"/>
        </w:rPr>
        <w:t>- El Presidente.-</w:t>
      </w:r>
      <w:r>
        <w:rPr>
          <w:rFonts w:ascii="Abadi" w:hAnsi="Abadi"/>
          <w:sz w:val="21"/>
          <w:szCs w:val="21"/>
        </w:rPr>
        <w:t xml:space="preserve"> S</w:t>
      </w:r>
      <w:r w:rsidRPr="006813AA">
        <w:rPr>
          <w:rFonts w:ascii="Abadi" w:hAnsi="Abadi"/>
          <w:sz w:val="21"/>
          <w:szCs w:val="21"/>
        </w:rPr>
        <w:t xml:space="preserve">e somete a discusión el dictamen emitido por la </w:t>
      </w:r>
      <w:r>
        <w:rPr>
          <w:rFonts w:ascii="Abadi" w:hAnsi="Abadi"/>
          <w:sz w:val="21"/>
          <w:szCs w:val="21"/>
        </w:rPr>
        <w:t>C</w:t>
      </w:r>
      <w:r w:rsidRPr="006813AA">
        <w:rPr>
          <w:rFonts w:ascii="Abadi" w:hAnsi="Abadi"/>
          <w:sz w:val="21"/>
          <w:szCs w:val="21"/>
        </w:rPr>
        <w:t xml:space="preserve">omisión de </w:t>
      </w:r>
      <w:r>
        <w:rPr>
          <w:rFonts w:ascii="Abadi" w:hAnsi="Abadi"/>
          <w:sz w:val="21"/>
          <w:szCs w:val="21"/>
        </w:rPr>
        <w:t>S</w:t>
      </w:r>
      <w:r w:rsidRPr="006813AA">
        <w:rPr>
          <w:rFonts w:ascii="Abadi" w:hAnsi="Abadi"/>
          <w:sz w:val="21"/>
          <w:szCs w:val="21"/>
        </w:rPr>
        <w:t xml:space="preserve">eguridad </w:t>
      </w:r>
      <w:r>
        <w:rPr>
          <w:rFonts w:ascii="Abadi" w:hAnsi="Abadi"/>
          <w:sz w:val="21"/>
          <w:szCs w:val="21"/>
        </w:rPr>
        <w:t>P</w:t>
      </w:r>
      <w:r w:rsidRPr="006813AA">
        <w:rPr>
          <w:rFonts w:ascii="Abadi" w:hAnsi="Abadi"/>
          <w:sz w:val="21"/>
          <w:szCs w:val="21"/>
        </w:rPr>
        <w:t xml:space="preserve">ública y </w:t>
      </w:r>
      <w:r>
        <w:rPr>
          <w:rFonts w:ascii="Abadi" w:hAnsi="Abadi"/>
          <w:sz w:val="21"/>
          <w:szCs w:val="21"/>
        </w:rPr>
        <w:t>C</w:t>
      </w:r>
      <w:r w:rsidRPr="006813AA">
        <w:rPr>
          <w:rFonts w:ascii="Abadi" w:hAnsi="Abadi"/>
          <w:sz w:val="21"/>
          <w:szCs w:val="21"/>
        </w:rPr>
        <w:t>omunicaciones</w:t>
      </w:r>
      <w:r>
        <w:rPr>
          <w:rFonts w:ascii="Abadi" w:hAnsi="Abadi"/>
          <w:sz w:val="21"/>
          <w:szCs w:val="21"/>
        </w:rPr>
        <w:t xml:space="preserve">, </w:t>
      </w:r>
      <w:r w:rsidRPr="006813AA">
        <w:rPr>
          <w:rFonts w:ascii="Abadi" w:hAnsi="Abadi"/>
          <w:sz w:val="21"/>
          <w:szCs w:val="21"/>
        </w:rPr>
        <w:t xml:space="preserve"> </w:t>
      </w:r>
      <w:r>
        <w:rPr>
          <w:rFonts w:ascii="Abadi" w:hAnsi="Abadi"/>
          <w:sz w:val="21"/>
          <w:szCs w:val="21"/>
        </w:rPr>
        <w:t xml:space="preserve">que </w:t>
      </w:r>
      <w:r w:rsidRPr="006813AA">
        <w:rPr>
          <w:rFonts w:ascii="Abadi" w:hAnsi="Abadi"/>
          <w:sz w:val="21"/>
          <w:szCs w:val="21"/>
        </w:rPr>
        <w:t xml:space="preserve">se refiere el punto </w:t>
      </w:r>
      <w:r>
        <w:rPr>
          <w:rFonts w:ascii="Abadi" w:hAnsi="Abadi"/>
          <w:sz w:val="21"/>
          <w:szCs w:val="21"/>
        </w:rPr>
        <w:t>31</w:t>
      </w:r>
      <w:r w:rsidRPr="006813AA">
        <w:rPr>
          <w:rFonts w:ascii="Abadi" w:hAnsi="Abadi"/>
          <w:sz w:val="21"/>
          <w:szCs w:val="21"/>
        </w:rPr>
        <w:t xml:space="preserve"> de nuestra orden del día</w:t>
      </w:r>
      <w:r>
        <w:rPr>
          <w:rFonts w:ascii="Abadi" w:hAnsi="Abadi"/>
          <w:sz w:val="21"/>
          <w:szCs w:val="21"/>
        </w:rPr>
        <w:t>.</w:t>
      </w:r>
    </w:p>
    <w:p w14:paraId="11187BCA" w14:textId="77777777" w:rsidR="0019066A" w:rsidRDefault="0019066A" w:rsidP="0019066A">
      <w:pPr>
        <w:ind w:firstLine="708"/>
        <w:jc w:val="both"/>
        <w:rPr>
          <w:rFonts w:ascii="Abadi" w:hAnsi="Abadi"/>
          <w:sz w:val="21"/>
          <w:szCs w:val="21"/>
        </w:rPr>
      </w:pPr>
    </w:p>
    <w:p w14:paraId="3D053346" w14:textId="7351B20C" w:rsidR="0019066A" w:rsidRDefault="0019066A" w:rsidP="0019066A">
      <w:pPr>
        <w:ind w:firstLine="708"/>
        <w:jc w:val="both"/>
        <w:rPr>
          <w:rFonts w:ascii="Abadi" w:hAnsi="Abadi"/>
          <w:sz w:val="21"/>
          <w:szCs w:val="21"/>
        </w:rPr>
      </w:pPr>
      <w:r>
        <w:rPr>
          <w:rFonts w:ascii="Abadi" w:hAnsi="Abadi"/>
          <w:sz w:val="21"/>
          <w:szCs w:val="21"/>
        </w:rPr>
        <w:t>- S</w:t>
      </w:r>
      <w:r w:rsidRPr="006813AA">
        <w:rPr>
          <w:rFonts w:ascii="Abadi" w:hAnsi="Abadi"/>
          <w:sz w:val="21"/>
          <w:szCs w:val="21"/>
        </w:rPr>
        <w:t xml:space="preserve">i alguna diputada o algún diputado desea hacer </w:t>
      </w:r>
      <w:r>
        <w:rPr>
          <w:rFonts w:ascii="Abadi" w:hAnsi="Abadi"/>
          <w:sz w:val="21"/>
          <w:szCs w:val="21"/>
        </w:rPr>
        <w:t>u</w:t>
      </w:r>
      <w:r w:rsidRPr="006813AA">
        <w:rPr>
          <w:rFonts w:ascii="Abadi" w:hAnsi="Abadi"/>
          <w:sz w:val="21"/>
          <w:szCs w:val="21"/>
        </w:rPr>
        <w:t>so de la palabra en pro o en contra manifiésten</w:t>
      </w:r>
      <w:r>
        <w:rPr>
          <w:rFonts w:ascii="Abadi" w:hAnsi="Abadi"/>
          <w:sz w:val="21"/>
          <w:szCs w:val="21"/>
        </w:rPr>
        <w:t>lo</w:t>
      </w:r>
      <w:r w:rsidRPr="006813AA">
        <w:rPr>
          <w:rFonts w:ascii="Abadi" w:hAnsi="Abadi"/>
          <w:sz w:val="21"/>
          <w:szCs w:val="21"/>
        </w:rPr>
        <w:t xml:space="preserve"> indicando el sentido de su participación</w:t>
      </w:r>
      <w:r>
        <w:rPr>
          <w:rFonts w:ascii="Abadi" w:hAnsi="Abadi"/>
          <w:sz w:val="21"/>
          <w:szCs w:val="21"/>
        </w:rPr>
        <w:t>.</w:t>
      </w:r>
    </w:p>
    <w:p w14:paraId="20286302" w14:textId="77777777" w:rsidR="0019066A" w:rsidRDefault="0019066A" w:rsidP="0019066A">
      <w:pPr>
        <w:ind w:firstLine="708"/>
        <w:jc w:val="both"/>
        <w:rPr>
          <w:rFonts w:ascii="Abadi" w:hAnsi="Abadi"/>
          <w:sz w:val="21"/>
          <w:szCs w:val="21"/>
        </w:rPr>
      </w:pPr>
    </w:p>
    <w:p w14:paraId="5EE3DF3D" w14:textId="5645C77D" w:rsidR="002E6BAD" w:rsidRDefault="0019066A" w:rsidP="0019066A">
      <w:pPr>
        <w:ind w:firstLine="708"/>
        <w:jc w:val="both"/>
        <w:rPr>
          <w:rFonts w:ascii="Abadi" w:hAnsi="Abadi"/>
          <w:sz w:val="21"/>
          <w:szCs w:val="21"/>
        </w:rPr>
      </w:pPr>
      <w:r>
        <w:rPr>
          <w:rFonts w:ascii="Abadi" w:hAnsi="Abadi"/>
          <w:sz w:val="21"/>
          <w:szCs w:val="21"/>
        </w:rPr>
        <w:t>- N</w:t>
      </w:r>
      <w:r w:rsidRPr="006813AA">
        <w:rPr>
          <w:rFonts w:ascii="Abadi" w:hAnsi="Abadi"/>
          <w:sz w:val="21"/>
          <w:szCs w:val="21"/>
        </w:rPr>
        <w:t xml:space="preserve">o </w:t>
      </w:r>
      <w:r>
        <w:rPr>
          <w:rFonts w:ascii="Abadi" w:hAnsi="Abadi"/>
          <w:sz w:val="21"/>
          <w:szCs w:val="21"/>
        </w:rPr>
        <w:t>habiendo participaciones, s</w:t>
      </w:r>
      <w:r w:rsidRPr="006813AA">
        <w:rPr>
          <w:rFonts w:ascii="Abadi" w:hAnsi="Abadi"/>
          <w:sz w:val="21"/>
          <w:szCs w:val="21"/>
        </w:rPr>
        <w:t>e pid</w:t>
      </w:r>
      <w:r>
        <w:rPr>
          <w:rFonts w:ascii="Abadi" w:hAnsi="Abadi"/>
          <w:sz w:val="21"/>
          <w:szCs w:val="21"/>
        </w:rPr>
        <w:t>e a</w:t>
      </w:r>
      <w:r w:rsidRPr="006813AA">
        <w:rPr>
          <w:rFonts w:ascii="Abadi" w:hAnsi="Abadi"/>
          <w:sz w:val="21"/>
          <w:szCs w:val="21"/>
        </w:rPr>
        <w:t xml:space="preserve"> la </w:t>
      </w:r>
      <w:r>
        <w:rPr>
          <w:rFonts w:ascii="Abadi" w:hAnsi="Abadi"/>
          <w:sz w:val="21"/>
          <w:szCs w:val="21"/>
        </w:rPr>
        <w:t>S</w:t>
      </w:r>
      <w:r w:rsidRPr="006813AA">
        <w:rPr>
          <w:rFonts w:ascii="Abadi" w:hAnsi="Abadi"/>
          <w:sz w:val="21"/>
          <w:szCs w:val="21"/>
        </w:rPr>
        <w:t xml:space="preserve">ecretaría que </w:t>
      </w:r>
      <w:r>
        <w:rPr>
          <w:rFonts w:ascii="Abadi" w:hAnsi="Abadi"/>
          <w:sz w:val="21"/>
          <w:szCs w:val="21"/>
        </w:rPr>
        <w:t xml:space="preserve">proceda a </w:t>
      </w:r>
      <w:r w:rsidRPr="006813AA">
        <w:rPr>
          <w:rFonts w:ascii="Abadi" w:hAnsi="Abadi"/>
          <w:sz w:val="21"/>
          <w:szCs w:val="21"/>
        </w:rPr>
        <w:t xml:space="preserve">recabar votación nominal </w:t>
      </w:r>
      <w:r>
        <w:rPr>
          <w:rFonts w:ascii="Abadi" w:hAnsi="Abadi"/>
          <w:sz w:val="21"/>
          <w:szCs w:val="21"/>
        </w:rPr>
        <w:t xml:space="preserve">de </w:t>
      </w:r>
      <w:r w:rsidR="002E6BAD">
        <w:rPr>
          <w:rFonts w:ascii="Abadi" w:hAnsi="Abadi"/>
          <w:sz w:val="21"/>
          <w:szCs w:val="21"/>
        </w:rPr>
        <w:t xml:space="preserve">la </w:t>
      </w:r>
      <w:r w:rsidR="002E6BAD" w:rsidRPr="006813AA">
        <w:rPr>
          <w:rFonts w:ascii="Abadi" w:hAnsi="Abadi"/>
          <w:sz w:val="21"/>
          <w:szCs w:val="21"/>
        </w:rPr>
        <w:t>Asamblea</w:t>
      </w:r>
      <w:r>
        <w:rPr>
          <w:rFonts w:ascii="Abadi" w:hAnsi="Abadi"/>
          <w:sz w:val="21"/>
          <w:szCs w:val="21"/>
        </w:rPr>
        <w:t xml:space="preserve">, </w:t>
      </w:r>
      <w:r w:rsidRPr="006813AA">
        <w:rPr>
          <w:rFonts w:ascii="Abadi" w:hAnsi="Abadi"/>
          <w:sz w:val="21"/>
          <w:szCs w:val="21"/>
        </w:rPr>
        <w:t>a través de nuestro sistema electrónico efecto de aprobar o no el dictamen puesto a su consideración</w:t>
      </w:r>
      <w:r>
        <w:rPr>
          <w:rFonts w:ascii="Abadi" w:hAnsi="Abadi"/>
          <w:sz w:val="21"/>
          <w:szCs w:val="21"/>
        </w:rPr>
        <w:t>.</w:t>
      </w:r>
    </w:p>
    <w:p w14:paraId="52C134E1" w14:textId="77777777" w:rsidR="002E6BAD" w:rsidRDefault="002E6BAD" w:rsidP="0019066A">
      <w:pPr>
        <w:ind w:firstLine="708"/>
        <w:jc w:val="both"/>
        <w:rPr>
          <w:rFonts w:ascii="Abadi" w:hAnsi="Abadi"/>
          <w:sz w:val="21"/>
          <w:szCs w:val="21"/>
        </w:rPr>
      </w:pPr>
    </w:p>
    <w:p w14:paraId="3482E266" w14:textId="66F7FD67" w:rsidR="0019066A" w:rsidRPr="002E6BAD" w:rsidRDefault="0019066A" w:rsidP="002E6BAD">
      <w:pPr>
        <w:jc w:val="both"/>
        <w:rPr>
          <w:rFonts w:ascii="Abadi" w:hAnsi="Abadi"/>
          <w:sz w:val="21"/>
          <w:szCs w:val="21"/>
        </w:rPr>
      </w:pPr>
      <w:r w:rsidRPr="00985EC8">
        <w:rPr>
          <w:rFonts w:ascii="Abadi" w:hAnsi="Abadi"/>
          <w:b/>
          <w:bCs/>
          <w:sz w:val="21"/>
          <w:szCs w:val="21"/>
        </w:rPr>
        <w:t>(Abrimos nuestro sistema electrónico)</w:t>
      </w:r>
    </w:p>
    <w:p w14:paraId="5D53CB7D" w14:textId="77777777" w:rsidR="003A2CE5" w:rsidRPr="00985EC8" w:rsidRDefault="003A2CE5" w:rsidP="0019066A">
      <w:pPr>
        <w:ind w:firstLine="708"/>
        <w:jc w:val="both"/>
        <w:rPr>
          <w:rFonts w:ascii="Abadi" w:hAnsi="Abadi"/>
          <w:b/>
          <w:bCs/>
          <w:sz w:val="21"/>
          <w:szCs w:val="21"/>
        </w:rPr>
      </w:pPr>
    </w:p>
    <w:p w14:paraId="1C3422AC" w14:textId="72B25D63" w:rsidR="0019066A" w:rsidRDefault="0019066A" w:rsidP="0019066A">
      <w:pPr>
        <w:ind w:firstLine="708"/>
        <w:jc w:val="both"/>
        <w:rPr>
          <w:rFonts w:ascii="Abadi" w:hAnsi="Abadi"/>
          <w:sz w:val="21"/>
          <w:szCs w:val="21"/>
        </w:rPr>
      </w:pPr>
      <w:r w:rsidRPr="00985EC8">
        <w:rPr>
          <w:rFonts w:ascii="Abadi" w:hAnsi="Abadi"/>
          <w:b/>
          <w:bCs/>
          <w:sz w:val="21"/>
          <w:szCs w:val="21"/>
        </w:rPr>
        <w:t>- El Secretario.-</w:t>
      </w:r>
      <w:r>
        <w:rPr>
          <w:rFonts w:ascii="Abadi" w:hAnsi="Abadi"/>
          <w:sz w:val="21"/>
          <w:szCs w:val="21"/>
        </w:rPr>
        <w:t xml:space="preserve"> E</w:t>
      </w:r>
      <w:r w:rsidRPr="006813AA">
        <w:rPr>
          <w:rFonts w:ascii="Abadi" w:hAnsi="Abadi"/>
          <w:sz w:val="21"/>
          <w:szCs w:val="21"/>
        </w:rPr>
        <w:t>n votación nominal por el sistema electrónico se pregunta a las diputadas y los diputados y se aprueba el dictamen puesto a su consideración</w:t>
      </w:r>
      <w:r>
        <w:rPr>
          <w:rFonts w:ascii="Abadi" w:hAnsi="Abadi"/>
          <w:sz w:val="21"/>
          <w:szCs w:val="21"/>
        </w:rPr>
        <w:t>. ¿Diputada Alma Edwviges?</w:t>
      </w:r>
    </w:p>
    <w:p w14:paraId="3FB59D25" w14:textId="77777777" w:rsidR="003A2CE5" w:rsidRPr="006813AA" w:rsidRDefault="003A2CE5" w:rsidP="0019066A">
      <w:pPr>
        <w:ind w:firstLine="708"/>
        <w:jc w:val="both"/>
        <w:rPr>
          <w:rFonts w:ascii="Abadi" w:hAnsi="Abadi"/>
          <w:sz w:val="21"/>
          <w:szCs w:val="21"/>
        </w:rPr>
      </w:pPr>
    </w:p>
    <w:p w14:paraId="1722DC21" w14:textId="355A69C9" w:rsidR="0019066A" w:rsidRDefault="0019066A" w:rsidP="0019066A">
      <w:pPr>
        <w:jc w:val="both"/>
        <w:rPr>
          <w:rFonts w:ascii="Abadi" w:hAnsi="Abadi"/>
          <w:sz w:val="21"/>
          <w:szCs w:val="21"/>
        </w:rPr>
      </w:pPr>
      <w:r>
        <w:rPr>
          <w:rFonts w:ascii="Abadi" w:hAnsi="Abadi"/>
          <w:sz w:val="21"/>
          <w:szCs w:val="21"/>
        </w:rPr>
        <w:t>¿F</w:t>
      </w:r>
      <w:r w:rsidRPr="006813AA">
        <w:rPr>
          <w:rFonts w:ascii="Abadi" w:hAnsi="Abadi"/>
          <w:sz w:val="21"/>
          <w:szCs w:val="21"/>
        </w:rPr>
        <w:t>alta alguna diputada o algún diputado de emitir su voto</w:t>
      </w:r>
      <w:r>
        <w:rPr>
          <w:rFonts w:ascii="Abadi" w:hAnsi="Abadi"/>
          <w:sz w:val="21"/>
          <w:szCs w:val="21"/>
        </w:rPr>
        <w:t>?</w:t>
      </w:r>
    </w:p>
    <w:p w14:paraId="68991996" w14:textId="77777777" w:rsidR="003A2CE5" w:rsidRDefault="003A2CE5" w:rsidP="0019066A">
      <w:pPr>
        <w:jc w:val="both"/>
        <w:rPr>
          <w:rFonts w:ascii="Abadi" w:hAnsi="Abadi"/>
          <w:sz w:val="21"/>
          <w:szCs w:val="21"/>
        </w:rPr>
      </w:pPr>
    </w:p>
    <w:p w14:paraId="2F63A7F2" w14:textId="77777777" w:rsidR="0019066A" w:rsidRDefault="0019066A" w:rsidP="0019066A">
      <w:pPr>
        <w:jc w:val="both"/>
        <w:rPr>
          <w:rFonts w:ascii="Abadi" w:hAnsi="Abadi"/>
          <w:b/>
          <w:bCs/>
          <w:sz w:val="21"/>
          <w:szCs w:val="21"/>
        </w:rPr>
      </w:pPr>
      <w:r w:rsidRPr="00F14CEA">
        <w:rPr>
          <w:rFonts w:ascii="Abadi" w:hAnsi="Abadi"/>
          <w:b/>
          <w:bCs/>
          <w:sz w:val="21"/>
          <w:szCs w:val="21"/>
        </w:rPr>
        <w:t>(Cerramos el sistema electrónico)</w:t>
      </w:r>
    </w:p>
    <w:p w14:paraId="1D2EAD1B" w14:textId="77777777" w:rsidR="0019066A" w:rsidRDefault="0019066A" w:rsidP="0019066A">
      <w:pPr>
        <w:jc w:val="both"/>
        <w:rPr>
          <w:rFonts w:ascii="Abadi" w:hAnsi="Abadi"/>
          <w:b/>
          <w:bCs/>
          <w:sz w:val="21"/>
          <w:szCs w:val="21"/>
        </w:rPr>
      </w:pPr>
    </w:p>
    <w:p w14:paraId="22B3B582" w14:textId="77777777" w:rsidR="0019066A" w:rsidRDefault="0019066A" w:rsidP="0019066A">
      <w:pPr>
        <w:jc w:val="both"/>
        <w:rPr>
          <w:rFonts w:ascii="Abadi" w:hAnsi="Abadi"/>
          <w:b/>
          <w:bCs/>
          <w:sz w:val="21"/>
          <w:szCs w:val="21"/>
        </w:rPr>
      </w:pPr>
      <w:r>
        <w:rPr>
          <w:noProof/>
        </w:rPr>
        <w:drawing>
          <wp:inline distT="0" distB="0" distL="0" distR="0" wp14:anchorId="37DD7A19" wp14:editId="46A1F39D">
            <wp:extent cx="1752869" cy="909122"/>
            <wp:effectExtent l="323850" t="323850" r="323850" b="32956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r="1538" b="9170"/>
                    <a:stretch/>
                  </pic:blipFill>
                  <pic:spPr bwMode="auto">
                    <a:xfrm>
                      <a:off x="0" y="0"/>
                      <a:ext cx="1759219" cy="912416"/>
                    </a:xfrm>
                    <a:prstGeom prst="rect">
                      <a:avLst/>
                    </a:prstGeom>
                    <a:ln w="88900" cap="sq" cmpd="thickThin">
                      <a:solidFill>
                        <a:srgbClr val="000000"/>
                      </a:solidFill>
                      <a:prstDash val="solid"/>
                      <a:miter lim="800000"/>
                    </a:ln>
                    <a:effectLst>
                      <a:glow rad="228600">
                        <a:schemeClr val="accent3">
                          <a:satMod val="1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634707C1" w14:textId="77777777" w:rsidR="0019066A" w:rsidRPr="00F14CEA" w:rsidRDefault="0019066A" w:rsidP="0019066A">
      <w:pPr>
        <w:jc w:val="both"/>
        <w:rPr>
          <w:rFonts w:ascii="Abadi" w:hAnsi="Abadi"/>
          <w:b/>
          <w:bCs/>
          <w:sz w:val="21"/>
          <w:szCs w:val="21"/>
        </w:rPr>
      </w:pPr>
    </w:p>
    <w:p w14:paraId="3701548D" w14:textId="0E42B2AF" w:rsidR="0019066A" w:rsidRDefault="00B21FE7" w:rsidP="0019066A">
      <w:pPr>
        <w:jc w:val="both"/>
        <w:rPr>
          <w:rFonts w:ascii="Abadi" w:hAnsi="Abadi"/>
          <w:sz w:val="21"/>
          <w:szCs w:val="21"/>
        </w:rPr>
      </w:pPr>
      <w:r>
        <w:rPr>
          <w:rFonts w:ascii="Abadi" w:hAnsi="Abadi"/>
          <w:b/>
          <w:bCs/>
          <w:sz w:val="21"/>
          <w:szCs w:val="21"/>
        </w:rPr>
        <w:tab/>
      </w:r>
      <w:r w:rsidR="0019066A" w:rsidRPr="00F14CEA">
        <w:rPr>
          <w:rFonts w:ascii="Abadi" w:hAnsi="Abadi"/>
          <w:b/>
          <w:bCs/>
          <w:sz w:val="21"/>
          <w:szCs w:val="21"/>
        </w:rPr>
        <w:t>- El Secretario.-</w:t>
      </w:r>
      <w:r w:rsidR="0019066A">
        <w:rPr>
          <w:rFonts w:ascii="Abadi" w:hAnsi="Abadi"/>
          <w:sz w:val="21"/>
          <w:szCs w:val="21"/>
        </w:rPr>
        <w:t xml:space="preserve"> S</w:t>
      </w:r>
      <w:r w:rsidR="0019066A" w:rsidRPr="006813AA">
        <w:rPr>
          <w:rFonts w:ascii="Abadi" w:hAnsi="Abadi"/>
          <w:sz w:val="21"/>
          <w:szCs w:val="21"/>
        </w:rPr>
        <w:t>e registraron 2</w:t>
      </w:r>
      <w:r w:rsidR="0019066A">
        <w:rPr>
          <w:rFonts w:ascii="Abadi" w:hAnsi="Abadi"/>
          <w:sz w:val="21"/>
          <w:szCs w:val="21"/>
        </w:rPr>
        <w:t>8</w:t>
      </w:r>
      <w:r w:rsidR="0019066A" w:rsidRPr="006813AA">
        <w:rPr>
          <w:rFonts w:ascii="Abadi" w:hAnsi="Abadi"/>
          <w:sz w:val="21"/>
          <w:szCs w:val="21"/>
        </w:rPr>
        <w:t xml:space="preserve"> votos a favor y </w:t>
      </w:r>
      <w:r w:rsidR="0019066A">
        <w:rPr>
          <w:rFonts w:ascii="Abadi" w:hAnsi="Abadi"/>
          <w:sz w:val="21"/>
          <w:szCs w:val="21"/>
        </w:rPr>
        <w:t>6</w:t>
      </w:r>
      <w:r w:rsidR="0019066A" w:rsidRPr="006813AA">
        <w:rPr>
          <w:rFonts w:ascii="Abadi" w:hAnsi="Abadi"/>
          <w:sz w:val="21"/>
          <w:szCs w:val="21"/>
        </w:rPr>
        <w:t xml:space="preserve"> votos en contra</w:t>
      </w:r>
      <w:r w:rsidR="0019066A">
        <w:rPr>
          <w:rFonts w:ascii="Abadi" w:hAnsi="Abadi"/>
          <w:sz w:val="21"/>
          <w:szCs w:val="21"/>
        </w:rPr>
        <w:t>.</w:t>
      </w:r>
    </w:p>
    <w:p w14:paraId="12DC6859" w14:textId="77777777" w:rsidR="00B21FE7" w:rsidRDefault="00B21FE7" w:rsidP="0019066A">
      <w:pPr>
        <w:jc w:val="both"/>
        <w:rPr>
          <w:rFonts w:ascii="Abadi" w:hAnsi="Abadi"/>
          <w:sz w:val="21"/>
          <w:szCs w:val="21"/>
        </w:rPr>
      </w:pPr>
    </w:p>
    <w:p w14:paraId="49156C1B" w14:textId="2FCDA6A3" w:rsidR="0019066A" w:rsidRDefault="00B21FE7" w:rsidP="0019066A">
      <w:pPr>
        <w:jc w:val="both"/>
        <w:rPr>
          <w:rFonts w:ascii="Abadi" w:hAnsi="Abadi"/>
          <w:sz w:val="21"/>
          <w:szCs w:val="21"/>
        </w:rPr>
      </w:pPr>
      <w:r>
        <w:rPr>
          <w:rFonts w:ascii="Abadi" w:hAnsi="Abadi"/>
          <w:sz w:val="21"/>
          <w:szCs w:val="21"/>
        </w:rPr>
        <w:tab/>
      </w:r>
      <w:r w:rsidR="0019066A" w:rsidRPr="006813AA">
        <w:rPr>
          <w:rFonts w:ascii="Abadi" w:hAnsi="Abadi"/>
          <w:sz w:val="21"/>
          <w:szCs w:val="21"/>
        </w:rPr>
        <w:t xml:space="preserve"> </w:t>
      </w:r>
      <w:r w:rsidR="0019066A">
        <w:rPr>
          <w:rFonts w:ascii="Abadi" w:hAnsi="Abadi"/>
          <w:sz w:val="21"/>
          <w:szCs w:val="21"/>
        </w:rPr>
        <w:t xml:space="preserve">- </w:t>
      </w:r>
      <w:r w:rsidR="0019066A" w:rsidRPr="00F14CEA">
        <w:rPr>
          <w:rFonts w:ascii="Abadi" w:hAnsi="Abadi"/>
          <w:b/>
          <w:bCs/>
          <w:sz w:val="21"/>
          <w:szCs w:val="21"/>
        </w:rPr>
        <w:t>El Presidente.-</w:t>
      </w:r>
      <w:r w:rsidR="0019066A">
        <w:rPr>
          <w:rFonts w:ascii="Abadi" w:hAnsi="Abadi"/>
          <w:sz w:val="21"/>
          <w:szCs w:val="21"/>
        </w:rPr>
        <w:t xml:space="preserve"> Por </w:t>
      </w:r>
      <w:r w:rsidR="0019066A" w:rsidRPr="006813AA">
        <w:rPr>
          <w:rFonts w:ascii="Abadi" w:hAnsi="Abadi"/>
          <w:sz w:val="21"/>
          <w:szCs w:val="21"/>
        </w:rPr>
        <w:t>mayoría de votos</w:t>
      </w:r>
      <w:r w:rsidR="0019066A">
        <w:rPr>
          <w:rFonts w:ascii="Abadi" w:hAnsi="Abadi"/>
          <w:sz w:val="21"/>
          <w:szCs w:val="21"/>
        </w:rPr>
        <w:t xml:space="preserve"> ha sido a probado este dictamen. </w:t>
      </w:r>
    </w:p>
    <w:p w14:paraId="707687C0" w14:textId="77777777" w:rsidR="00B21FE7" w:rsidRDefault="00B21FE7" w:rsidP="0019066A">
      <w:pPr>
        <w:jc w:val="both"/>
        <w:rPr>
          <w:rFonts w:ascii="Abadi" w:hAnsi="Abadi"/>
          <w:sz w:val="21"/>
          <w:szCs w:val="21"/>
        </w:rPr>
      </w:pPr>
    </w:p>
    <w:p w14:paraId="55E11B34" w14:textId="77777777" w:rsidR="0019066A" w:rsidRDefault="0019066A" w:rsidP="00200420">
      <w:pPr>
        <w:ind w:left="284" w:right="425"/>
        <w:jc w:val="both"/>
        <w:rPr>
          <w:rFonts w:ascii="Abadi" w:hAnsi="Abadi"/>
          <w:sz w:val="21"/>
          <w:szCs w:val="21"/>
        </w:rPr>
      </w:pPr>
      <w:r w:rsidRPr="009936EB">
        <w:rPr>
          <w:rFonts w:ascii="Abadi" w:hAnsi="Abadi"/>
          <w:b/>
          <w:bCs/>
          <w:i/>
          <w:iCs/>
          <w:sz w:val="21"/>
          <w:szCs w:val="21"/>
          <w:u w:val="single"/>
        </w:rPr>
        <w:t xml:space="preserve">En consecuencia se instruye a la Secretaría General para que proceda el archivo definitivo de la </w:t>
      </w:r>
      <w:r>
        <w:rPr>
          <w:rFonts w:ascii="Abadi" w:hAnsi="Abadi"/>
          <w:b/>
          <w:bCs/>
          <w:i/>
          <w:iCs/>
          <w:sz w:val="21"/>
          <w:szCs w:val="21"/>
          <w:u w:val="single"/>
        </w:rPr>
        <w:t xml:space="preserve"> propuesta de punto de acuerdo referida en el dictamen.</w:t>
      </w:r>
    </w:p>
    <w:p w14:paraId="0CA59DC7" w14:textId="77777777" w:rsidR="00C22F63" w:rsidRPr="00B31D26" w:rsidRDefault="00C22F63" w:rsidP="00FE053F">
      <w:pPr>
        <w:jc w:val="both"/>
        <w:textAlignment w:val="baseline"/>
        <w:rPr>
          <w:rFonts w:ascii="Abadi" w:hAnsi="Abadi" w:cs="Segoe UI"/>
          <w:sz w:val="21"/>
          <w:szCs w:val="21"/>
          <w:lang w:val="es-MX" w:eastAsia="es-MX"/>
        </w:rPr>
      </w:pPr>
    </w:p>
    <w:p w14:paraId="10C77FBB" w14:textId="507BE374" w:rsidR="00F62DAD" w:rsidRDefault="00F62DAD" w:rsidP="00FE053F">
      <w:pPr>
        <w:autoSpaceDE w:val="0"/>
        <w:autoSpaceDN w:val="0"/>
        <w:adjustRightInd w:val="0"/>
        <w:jc w:val="both"/>
        <w:rPr>
          <w:rFonts w:ascii="Abadi" w:hAnsi="Abadi" w:cs="ArialMT"/>
          <w:sz w:val="20"/>
          <w:szCs w:val="21"/>
        </w:rPr>
      </w:pPr>
    </w:p>
    <w:p w14:paraId="3C27C653" w14:textId="77777777" w:rsidR="00E462B6" w:rsidRPr="0028553C" w:rsidRDefault="00E462B6" w:rsidP="00200420">
      <w:pPr>
        <w:pStyle w:val="Prrafodelista"/>
        <w:numPr>
          <w:ilvl w:val="0"/>
          <w:numId w:val="14"/>
        </w:numPr>
        <w:autoSpaceDE w:val="0"/>
        <w:autoSpaceDN w:val="0"/>
        <w:adjustRightInd w:val="0"/>
        <w:ind w:left="426"/>
        <w:contextualSpacing/>
        <w:jc w:val="both"/>
        <w:rPr>
          <w:rFonts w:ascii="Abadi" w:hAnsi="Abadi" w:cs="ArialMT"/>
          <w:b/>
          <w:bCs/>
          <w:sz w:val="20"/>
          <w:szCs w:val="21"/>
        </w:rPr>
      </w:pPr>
      <w:r w:rsidRPr="0028553C">
        <w:rPr>
          <w:rFonts w:ascii="Abadi" w:hAnsi="Abadi" w:cs="ArialMT"/>
          <w:b/>
          <w:bCs/>
          <w:sz w:val="20"/>
          <w:szCs w:val="21"/>
        </w:rPr>
        <w:t>DISCUSIÓN Y, EN SU CASO, APROBACIÓN DEL DICTAMEN PRESENTADO POR LA COMISIÓN DE SEGURIDAD PÚBLICA Y COMUNICACIONES RELATIVO A LA PROPUESTA DE PUNTO DE ACUERDO FORMULADA ANTE LA SEXAGÉSIMA CUARTA LEGISLATURA, POR EL DIPUTADO ERNESTO ALEJANDRO PRIETO GALLARDO, INTEGRANTE DEL GRUPO PARLAMENTARIO DEL PARTIDO MORENA, PARA EXHORTAR AL C. PRESIDENTE MUNICIPAL HÉCTOR LÓPEZ SANTILLANA DEL MUNICIPIO DE LEÓN A FIN DE QUE SE LES EXIJA A LOS CONCESIONARIOS DEL SISTEMA INTEGRADO DE TRANSPORTE (SIT) A NO REDUCIR LA MOVILIDAD DE LAS UNIDADES, ESTO CON LA FINALIDAD DE QUE LOS USUARIOS A PESAR DE ESTA CONTINGENCIA PUEDAN SEGUIR TENIENDO UN TRANSPORTE DE CALIDAD MANTENIENDO LA SANA DISTANCIA DE UN METRO Y MEDIO NECESARIA PARA EVITAR CONTAGIOS DE COVID-19.</w:t>
      </w:r>
    </w:p>
    <w:p w14:paraId="5CF04494" w14:textId="490285E5" w:rsidR="00E462B6" w:rsidRDefault="00E462B6" w:rsidP="00FE053F">
      <w:pPr>
        <w:autoSpaceDE w:val="0"/>
        <w:autoSpaceDN w:val="0"/>
        <w:adjustRightInd w:val="0"/>
        <w:jc w:val="both"/>
        <w:rPr>
          <w:rFonts w:ascii="Abadi" w:hAnsi="Abadi" w:cs="Arial-BoldMT"/>
          <w:b/>
          <w:bCs/>
          <w:sz w:val="20"/>
          <w:szCs w:val="21"/>
        </w:rPr>
      </w:pPr>
    </w:p>
    <w:p w14:paraId="55B6F83B" w14:textId="77777777" w:rsidR="00043B5B" w:rsidRPr="00043B5B" w:rsidRDefault="00043B5B" w:rsidP="00FE053F">
      <w:pPr>
        <w:rPr>
          <w:rFonts w:ascii="Abadi" w:eastAsiaTheme="minorHAnsi" w:hAnsi="Abadi" w:cs="Arial"/>
          <w:b/>
          <w:sz w:val="21"/>
          <w:szCs w:val="21"/>
          <w:lang w:val="es-MX" w:eastAsia="en-US"/>
        </w:rPr>
      </w:pPr>
      <w:r w:rsidRPr="00043B5B">
        <w:rPr>
          <w:rFonts w:ascii="Abadi" w:eastAsiaTheme="minorHAnsi" w:hAnsi="Abadi" w:cs="Arial"/>
          <w:b/>
          <w:sz w:val="21"/>
          <w:szCs w:val="21"/>
          <w:lang w:val="es-MX" w:eastAsia="en-US"/>
        </w:rPr>
        <w:t>Presidencia de la Mesa Directiva</w:t>
      </w:r>
    </w:p>
    <w:p w14:paraId="675DD3E9" w14:textId="77777777" w:rsidR="00043B5B" w:rsidRPr="00043B5B" w:rsidRDefault="00043B5B" w:rsidP="00FE053F">
      <w:pPr>
        <w:rPr>
          <w:rFonts w:ascii="Abadi" w:eastAsiaTheme="minorHAnsi" w:hAnsi="Abadi" w:cs="Arial"/>
          <w:b/>
          <w:sz w:val="21"/>
          <w:szCs w:val="21"/>
          <w:lang w:val="es-MX" w:eastAsia="en-US"/>
        </w:rPr>
      </w:pPr>
      <w:r w:rsidRPr="00043B5B">
        <w:rPr>
          <w:rFonts w:ascii="Abadi" w:eastAsiaTheme="minorHAnsi" w:hAnsi="Abadi" w:cs="Arial"/>
          <w:b/>
          <w:sz w:val="21"/>
          <w:szCs w:val="21"/>
          <w:lang w:val="es-MX" w:eastAsia="en-US"/>
        </w:rPr>
        <w:t>Congreso del Estado</w:t>
      </w:r>
    </w:p>
    <w:p w14:paraId="159781BD" w14:textId="77777777" w:rsidR="00043B5B" w:rsidRPr="00043B5B" w:rsidRDefault="00043B5B" w:rsidP="00FE053F">
      <w:pPr>
        <w:rPr>
          <w:rFonts w:ascii="Abadi" w:eastAsiaTheme="minorHAnsi" w:hAnsi="Abadi" w:cs="Arial"/>
          <w:b/>
          <w:sz w:val="21"/>
          <w:szCs w:val="21"/>
          <w:lang w:val="es-MX" w:eastAsia="en-US"/>
        </w:rPr>
      </w:pPr>
      <w:r w:rsidRPr="00043B5B">
        <w:rPr>
          <w:rFonts w:ascii="Abadi" w:eastAsiaTheme="minorHAnsi" w:hAnsi="Abadi" w:cs="Arial"/>
          <w:b/>
          <w:sz w:val="21"/>
          <w:szCs w:val="21"/>
          <w:lang w:val="es-MX" w:eastAsia="en-US"/>
        </w:rPr>
        <w:t>Presente</w:t>
      </w:r>
    </w:p>
    <w:p w14:paraId="7058FF4E" w14:textId="77777777" w:rsidR="00043B5B" w:rsidRPr="00043B5B" w:rsidRDefault="00043B5B" w:rsidP="00FE053F">
      <w:pPr>
        <w:spacing w:before="100" w:beforeAutospacing="1" w:afterAutospacing="1"/>
        <w:jc w:val="both"/>
        <w:textAlignment w:val="baseline"/>
        <w:rPr>
          <w:rFonts w:ascii="Abadi" w:hAnsi="Abadi" w:cs="Arial"/>
          <w:sz w:val="21"/>
          <w:szCs w:val="21"/>
          <w:lang w:val="es-MX" w:eastAsia="es-MX"/>
        </w:rPr>
      </w:pPr>
      <w:r w:rsidRPr="00043B5B">
        <w:rPr>
          <w:rFonts w:ascii="Abadi" w:hAnsi="Abadi" w:cs="Arial"/>
          <w:sz w:val="21"/>
          <w:szCs w:val="21"/>
          <w:lang w:val="es-MX" w:eastAsia="es-MX"/>
        </w:rPr>
        <w:t>Correspondió a esta Comisión de Seguridad Pública y Comunicaciones analizar y dictaminar la propuesta de punto de acuerdo formulado, en la LXIV Legislatura, por el Diputado Ernesto Alejandro Prieto Gallardo, integrante del Grupo Parlamentario de MORENA, para exhortar al C. Presidente Municipal Héctor López Santillana del municipio de León a fin de que se les exija a los concesionarios del Sistema Integrado de Transporte (SIT) a no reducir la movilidad de las unidades, esto con la finalidad de que los usuarios a pesar de esta contingencia puedan seguir teniendo un transporte de calidad manteniendo la sana distancia de un metro y medio necesaria para evitar contagios de Covid-19.</w:t>
      </w:r>
    </w:p>
    <w:p w14:paraId="214756C3" w14:textId="77777777" w:rsidR="00043B5B" w:rsidRPr="00043B5B" w:rsidRDefault="00043B5B" w:rsidP="00FE053F">
      <w:pPr>
        <w:jc w:val="both"/>
        <w:textAlignment w:val="baseline"/>
        <w:rPr>
          <w:rFonts w:ascii="Abadi" w:hAnsi="Abadi" w:cs="Arial"/>
          <w:sz w:val="21"/>
          <w:szCs w:val="21"/>
          <w:lang w:val="es-MX" w:eastAsia="es-MX"/>
        </w:rPr>
      </w:pPr>
      <w:r w:rsidRPr="00043B5B">
        <w:rPr>
          <w:rFonts w:ascii="Abadi" w:hAnsi="Abadi" w:cs="Arial"/>
          <w:sz w:val="21"/>
          <w:szCs w:val="21"/>
          <w:lang w:val="es-MX" w:eastAsia="es-MX"/>
        </w:rPr>
        <w:t xml:space="preserve">Con fundamento en el artículo 119 fracción II y 180 de la Ley Orgánica del Poder Legislativo del Estado de Guanajuato, se procede a realizar el siguiente: </w:t>
      </w:r>
    </w:p>
    <w:p w14:paraId="48D84165" w14:textId="77777777" w:rsidR="00043B5B" w:rsidRPr="00043B5B" w:rsidRDefault="00043B5B" w:rsidP="00FE053F">
      <w:pPr>
        <w:jc w:val="both"/>
        <w:textAlignment w:val="baseline"/>
        <w:rPr>
          <w:rFonts w:ascii="Abadi" w:hAnsi="Abadi" w:cs="Arial"/>
          <w:sz w:val="21"/>
          <w:szCs w:val="21"/>
          <w:lang w:val="es-MX" w:eastAsia="es-MX"/>
        </w:rPr>
      </w:pPr>
    </w:p>
    <w:p w14:paraId="2B518F44" w14:textId="1FF5F979" w:rsidR="00043B5B" w:rsidRDefault="00043B5B" w:rsidP="00FE053F">
      <w:pPr>
        <w:jc w:val="center"/>
        <w:textAlignment w:val="baseline"/>
        <w:rPr>
          <w:rFonts w:ascii="Abadi" w:hAnsi="Abadi" w:cs="Arial"/>
          <w:b/>
          <w:sz w:val="21"/>
          <w:szCs w:val="21"/>
          <w:lang w:val="es-MX" w:eastAsia="es-MX"/>
        </w:rPr>
      </w:pPr>
      <w:r w:rsidRPr="00043B5B">
        <w:rPr>
          <w:rFonts w:ascii="Abadi" w:hAnsi="Abadi" w:cs="Arial"/>
          <w:b/>
          <w:sz w:val="21"/>
          <w:szCs w:val="21"/>
          <w:lang w:val="es-MX" w:eastAsia="es-MX"/>
        </w:rPr>
        <w:t>D i c t a m e n</w:t>
      </w:r>
    </w:p>
    <w:p w14:paraId="3A70579F" w14:textId="77777777" w:rsidR="0010189B" w:rsidRPr="00043B5B" w:rsidRDefault="0010189B" w:rsidP="00FE053F">
      <w:pPr>
        <w:jc w:val="center"/>
        <w:textAlignment w:val="baseline"/>
        <w:rPr>
          <w:rFonts w:ascii="Abadi" w:hAnsi="Abadi" w:cs="Arial"/>
          <w:b/>
          <w:sz w:val="21"/>
          <w:szCs w:val="21"/>
          <w:lang w:val="es-MX" w:eastAsia="es-MX"/>
        </w:rPr>
      </w:pPr>
    </w:p>
    <w:p w14:paraId="72F1F9CB" w14:textId="77777777" w:rsidR="00043B5B" w:rsidRPr="00043B5B" w:rsidRDefault="00043B5B" w:rsidP="00FE053F">
      <w:pPr>
        <w:numPr>
          <w:ilvl w:val="0"/>
          <w:numId w:val="44"/>
        </w:numPr>
        <w:textAlignment w:val="baseline"/>
        <w:rPr>
          <w:rFonts w:ascii="Abadi" w:hAnsi="Abadi" w:cs="Arial"/>
          <w:b/>
          <w:sz w:val="21"/>
          <w:szCs w:val="21"/>
          <w:lang w:val="es-MX" w:eastAsia="es-MX"/>
        </w:rPr>
      </w:pPr>
      <w:r w:rsidRPr="00043B5B">
        <w:rPr>
          <w:rFonts w:ascii="Abadi" w:hAnsi="Abadi" w:cs="Arial"/>
          <w:b/>
          <w:sz w:val="21"/>
          <w:szCs w:val="21"/>
          <w:lang w:val="es-MX" w:eastAsia="es-MX"/>
        </w:rPr>
        <w:t>Antecedentes.</w:t>
      </w:r>
    </w:p>
    <w:p w14:paraId="4808D5A2" w14:textId="77777777" w:rsidR="00043B5B" w:rsidRPr="00043B5B" w:rsidRDefault="00043B5B" w:rsidP="00FE053F">
      <w:pPr>
        <w:textAlignment w:val="baseline"/>
        <w:rPr>
          <w:rFonts w:ascii="Abadi" w:hAnsi="Abadi" w:cs="Arial"/>
          <w:sz w:val="21"/>
          <w:szCs w:val="21"/>
          <w:lang w:val="es-MX" w:eastAsia="es-MX"/>
        </w:rPr>
      </w:pPr>
    </w:p>
    <w:p w14:paraId="15F88F7B" w14:textId="77777777" w:rsidR="00043B5B" w:rsidRPr="00043B5B" w:rsidRDefault="00043B5B" w:rsidP="00FE053F">
      <w:pPr>
        <w:jc w:val="both"/>
        <w:textAlignment w:val="baseline"/>
        <w:rPr>
          <w:rFonts w:ascii="Abadi" w:hAnsi="Abadi" w:cs="Arial"/>
          <w:sz w:val="21"/>
          <w:szCs w:val="21"/>
          <w:lang w:val="es-MX" w:eastAsia="es-MX"/>
        </w:rPr>
      </w:pPr>
      <w:r w:rsidRPr="00043B5B">
        <w:rPr>
          <w:rFonts w:ascii="Abadi" w:hAnsi="Abadi" w:cs="Arial"/>
          <w:sz w:val="21"/>
          <w:szCs w:val="21"/>
          <w:lang w:val="es-MX" w:eastAsia="es-MX"/>
        </w:rPr>
        <w:t xml:space="preserve">La propuesta de acuerdo fue presentada en la sesión ordinaria celebrada en fecha 16 de junio de 2020 y su radicación se realizó en reunión del día 22 de junio del mismo año. </w:t>
      </w:r>
    </w:p>
    <w:p w14:paraId="7BA51D2C" w14:textId="77777777" w:rsidR="00043B5B" w:rsidRPr="00043B5B" w:rsidRDefault="00043B5B" w:rsidP="00FE053F">
      <w:pPr>
        <w:jc w:val="both"/>
        <w:textAlignment w:val="baseline"/>
        <w:rPr>
          <w:rFonts w:ascii="Abadi" w:hAnsi="Abadi" w:cs="Arial"/>
          <w:sz w:val="21"/>
          <w:szCs w:val="21"/>
          <w:lang w:val="es-MX" w:eastAsia="es-MX"/>
        </w:rPr>
      </w:pPr>
    </w:p>
    <w:p w14:paraId="085D29BB" w14:textId="77777777" w:rsidR="00043B5B" w:rsidRPr="00043B5B" w:rsidRDefault="00043B5B" w:rsidP="00FE053F">
      <w:pPr>
        <w:jc w:val="both"/>
        <w:textAlignment w:val="baseline"/>
        <w:rPr>
          <w:rFonts w:ascii="Abadi" w:hAnsi="Abadi" w:cs="Arial"/>
          <w:sz w:val="21"/>
          <w:szCs w:val="21"/>
          <w:lang w:val="es-MX" w:eastAsia="es-MX"/>
        </w:rPr>
      </w:pPr>
      <w:r w:rsidRPr="00043B5B">
        <w:rPr>
          <w:rFonts w:ascii="Abadi" w:hAnsi="Abadi" w:cs="Arial"/>
          <w:sz w:val="21"/>
          <w:szCs w:val="21"/>
          <w:lang w:val="es-MX" w:eastAsia="es-MX"/>
        </w:rPr>
        <w:t>El día 22 de febrero de 2022, en reunión de la comisión se determinó como acuerdo para proceder a su análisis se solicitara información a la Dirección General de Movilidad del Municipio de León, a efecto de que se sirviera comunicar a esta comisión el estado actual de las condiciones conforme a las cuales se mantiene la prestación del servicio público de transporte. Esto como oportunidad de obtener datos que nos permitan analizar la atención pertinente al tema objeto de estudio. Consulta sobre la cual no hubo respuesta.</w:t>
      </w:r>
    </w:p>
    <w:p w14:paraId="7916B170" w14:textId="77777777" w:rsidR="00043B5B" w:rsidRPr="00043B5B" w:rsidRDefault="00043B5B" w:rsidP="00FE053F">
      <w:pPr>
        <w:jc w:val="both"/>
        <w:textAlignment w:val="baseline"/>
        <w:rPr>
          <w:rFonts w:ascii="Abadi" w:hAnsi="Abadi" w:cs="Arial"/>
          <w:sz w:val="21"/>
          <w:szCs w:val="21"/>
          <w:lang w:val="es-MX" w:eastAsia="es-MX"/>
        </w:rPr>
      </w:pPr>
    </w:p>
    <w:p w14:paraId="76A212F7" w14:textId="77777777" w:rsidR="00043B5B" w:rsidRPr="00043B5B" w:rsidRDefault="00043B5B" w:rsidP="00FE053F">
      <w:pPr>
        <w:jc w:val="both"/>
        <w:textAlignment w:val="baseline"/>
        <w:rPr>
          <w:rFonts w:ascii="Abadi" w:hAnsi="Abadi" w:cs="Arial"/>
          <w:sz w:val="21"/>
          <w:szCs w:val="21"/>
          <w:lang w:val="es-MX" w:eastAsia="es-MX"/>
        </w:rPr>
      </w:pPr>
      <w:r w:rsidRPr="00043B5B">
        <w:rPr>
          <w:rFonts w:ascii="Abadi" w:hAnsi="Abadi" w:cs="Arial"/>
          <w:sz w:val="21"/>
          <w:szCs w:val="21"/>
          <w:lang w:val="es-MX" w:eastAsia="es-MX"/>
        </w:rPr>
        <w:t xml:space="preserve">No habiéndose determinado acción posterior, </w:t>
      </w:r>
      <w:r w:rsidRPr="00043B5B">
        <w:rPr>
          <w:rFonts w:ascii="Abadi" w:hAnsi="Abadi"/>
          <w:sz w:val="21"/>
          <w:szCs w:val="21"/>
          <w:lang w:val="es-MX" w:eastAsia="es-MX"/>
        </w:rPr>
        <w:t xml:space="preserve">en fecha 14 de septiembre de 2021, los diputados integrantes de la Comisión de Seguridad Pública y Comunicaciones de la Sexagésima Cuarta Legislatura, determinaron señalar la referida propuesta de acuerdo como pendiente legislativo </w:t>
      </w:r>
      <w:r w:rsidRPr="00043B5B">
        <w:rPr>
          <w:rFonts w:ascii="Abadi" w:hAnsi="Abadi" w:cs="Arial"/>
          <w:sz w:val="21"/>
          <w:szCs w:val="21"/>
          <w:lang w:val="es-MX" w:eastAsia="es-MX"/>
        </w:rPr>
        <w:t>dentro del Informe de Actividades Legislativas</w:t>
      </w:r>
      <w:r w:rsidRPr="00043B5B">
        <w:rPr>
          <w:rFonts w:ascii="Abadi" w:hAnsi="Abadi"/>
          <w:sz w:val="21"/>
          <w:szCs w:val="21"/>
          <w:lang w:val="es-MX" w:eastAsia="es-MX"/>
        </w:rPr>
        <w:t>, para que fuera la siguiente Legislatura quien se pronunciara al respecto</w:t>
      </w:r>
      <w:r w:rsidRPr="00043B5B">
        <w:rPr>
          <w:rFonts w:ascii="Abadi" w:hAnsi="Abadi" w:cs="Arial"/>
          <w:sz w:val="21"/>
          <w:szCs w:val="21"/>
          <w:lang w:val="es-MX" w:eastAsia="es-MX"/>
        </w:rPr>
        <w:t xml:space="preserve">.  </w:t>
      </w:r>
    </w:p>
    <w:p w14:paraId="42BE828B" w14:textId="77777777" w:rsidR="00043B5B" w:rsidRPr="00043B5B" w:rsidRDefault="00043B5B" w:rsidP="00FE053F">
      <w:pPr>
        <w:jc w:val="both"/>
        <w:textAlignment w:val="baseline"/>
        <w:rPr>
          <w:rFonts w:ascii="Abadi" w:hAnsi="Abadi" w:cs="Arial"/>
          <w:sz w:val="21"/>
          <w:szCs w:val="21"/>
          <w:lang w:val="es-MX" w:eastAsia="es-MX"/>
        </w:rPr>
      </w:pPr>
    </w:p>
    <w:p w14:paraId="21A2EF3B" w14:textId="77777777" w:rsidR="00043B5B" w:rsidRPr="00043B5B" w:rsidRDefault="00043B5B" w:rsidP="00FE053F">
      <w:pPr>
        <w:jc w:val="both"/>
        <w:textAlignment w:val="baseline"/>
        <w:rPr>
          <w:rFonts w:ascii="Abadi" w:hAnsi="Abadi"/>
          <w:sz w:val="21"/>
          <w:szCs w:val="21"/>
          <w:lang w:val="es-MX" w:eastAsia="es-MX"/>
        </w:rPr>
      </w:pPr>
      <w:r w:rsidRPr="00043B5B">
        <w:rPr>
          <w:rFonts w:ascii="Abadi" w:hAnsi="Abadi"/>
          <w:sz w:val="21"/>
          <w:szCs w:val="21"/>
          <w:lang w:val="es-MX" w:eastAsia="es-MX"/>
        </w:rPr>
        <w:t>Instalada la Comisión de Seguridad Pública y Comunicaciones de la Sexagésima Quinta Legislatura, en fecha 12 de octubre de 2022, nos impusimos del contenido de los pendientes legislativos, encontrándose entre ellos la referida propuesta de acuerdo que se dictamina.</w:t>
      </w:r>
    </w:p>
    <w:p w14:paraId="02C07105" w14:textId="77777777" w:rsidR="00043B5B" w:rsidRPr="00043B5B" w:rsidRDefault="00043B5B" w:rsidP="00FE053F">
      <w:pPr>
        <w:jc w:val="both"/>
        <w:textAlignment w:val="baseline"/>
        <w:rPr>
          <w:rFonts w:ascii="Abadi" w:hAnsi="Abadi"/>
          <w:sz w:val="21"/>
          <w:szCs w:val="21"/>
          <w:lang w:val="es-MX" w:eastAsia="es-MX"/>
        </w:rPr>
      </w:pPr>
    </w:p>
    <w:p w14:paraId="2BBC8457" w14:textId="77777777" w:rsidR="00043B5B" w:rsidRPr="00043B5B" w:rsidRDefault="00043B5B" w:rsidP="00FE053F">
      <w:pPr>
        <w:jc w:val="both"/>
        <w:textAlignment w:val="baseline"/>
        <w:rPr>
          <w:rFonts w:ascii="Abadi" w:hAnsi="Abadi"/>
          <w:sz w:val="21"/>
          <w:szCs w:val="21"/>
          <w:lang w:val="es-MX" w:eastAsia="es-MX"/>
        </w:rPr>
      </w:pPr>
      <w:r w:rsidRPr="00043B5B">
        <w:rPr>
          <w:rFonts w:ascii="Abadi" w:hAnsi="Abadi"/>
          <w:sz w:val="21"/>
          <w:szCs w:val="21"/>
          <w:lang w:val="es-MX" w:eastAsia="es-MX"/>
        </w:rPr>
        <w:t>Conforme a lo referido en el presente documento, la Presidencia de esta Comisión de Seguridad Pública y Comunicaciones instruyó a la Secretaría Técnica para que elaborara el proyecto de dictamen en sentido negativo, conforme a lo dispuesto en los artículos 94, fracción VII y 272 fracción VIII inciso e) de nuestra Ley Orgánica, para su discusión y votación por la diputada y diputados integrantes.</w:t>
      </w:r>
    </w:p>
    <w:p w14:paraId="7A2DC7EF" w14:textId="77777777" w:rsidR="00043B5B" w:rsidRPr="00043B5B" w:rsidRDefault="00043B5B" w:rsidP="00FE053F">
      <w:pPr>
        <w:spacing w:after="160"/>
        <w:jc w:val="both"/>
        <w:rPr>
          <w:rFonts w:ascii="Abadi" w:eastAsia="Batang" w:hAnsi="Abadi" w:cs="Arial"/>
          <w:b/>
          <w:sz w:val="21"/>
          <w:szCs w:val="21"/>
          <w:lang w:val="es-MX" w:eastAsia="en-US"/>
        </w:rPr>
      </w:pPr>
    </w:p>
    <w:p w14:paraId="495C13DC" w14:textId="77777777" w:rsidR="00043B5B" w:rsidRPr="00043B5B" w:rsidRDefault="00043B5B" w:rsidP="00FE053F">
      <w:pPr>
        <w:numPr>
          <w:ilvl w:val="0"/>
          <w:numId w:val="44"/>
        </w:numPr>
        <w:jc w:val="both"/>
        <w:textAlignment w:val="baseline"/>
        <w:rPr>
          <w:rFonts w:ascii="Abadi" w:hAnsi="Abadi" w:cs="Arial"/>
          <w:b/>
          <w:sz w:val="21"/>
          <w:szCs w:val="21"/>
          <w:lang w:val="es-MX" w:eastAsia="es-MX"/>
        </w:rPr>
      </w:pPr>
      <w:r w:rsidRPr="00043B5B">
        <w:rPr>
          <w:rFonts w:ascii="Abadi" w:hAnsi="Abadi" w:cs="Arial"/>
          <w:b/>
          <w:sz w:val="21"/>
          <w:szCs w:val="21"/>
          <w:lang w:val="es-MX" w:eastAsia="es-MX"/>
        </w:rPr>
        <w:t>Consideraciones de quien propone (en lo medular).</w:t>
      </w:r>
    </w:p>
    <w:p w14:paraId="6C72B875" w14:textId="77777777" w:rsidR="00043B5B" w:rsidRPr="00043B5B" w:rsidRDefault="00043B5B" w:rsidP="00FE053F">
      <w:pPr>
        <w:autoSpaceDE w:val="0"/>
        <w:autoSpaceDN w:val="0"/>
        <w:adjustRightInd w:val="0"/>
        <w:ind w:left="720"/>
        <w:contextualSpacing/>
        <w:jc w:val="both"/>
        <w:rPr>
          <w:rFonts w:ascii="Abadi" w:eastAsiaTheme="minorHAnsi" w:hAnsi="Abadi" w:cs="ArialNarrow"/>
          <w:color w:val="000000"/>
          <w:sz w:val="21"/>
          <w:szCs w:val="21"/>
          <w:lang w:val="es-MX" w:eastAsia="en-US"/>
        </w:rPr>
      </w:pPr>
    </w:p>
    <w:p w14:paraId="081B6308" w14:textId="77777777" w:rsidR="00043B5B" w:rsidRPr="00043B5B" w:rsidRDefault="00043B5B" w:rsidP="00FE053F">
      <w:pPr>
        <w:spacing w:before="100" w:beforeAutospacing="1" w:afterAutospacing="1"/>
        <w:ind w:firstLine="360"/>
        <w:jc w:val="both"/>
        <w:textAlignment w:val="baseline"/>
        <w:rPr>
          <w:rFonts w:ascii="Abadi" w:hAnsi="Abadi" w:cs="Arial"/>
          <w:sz w:val="21"/>
          <w:szCs w:val="21"/>
          <w:lang w:val="es-MX" w:eastAsia="es-MX"/>
        </w:rPr>
      </w:pPr>
      <w:r w:rsidRPr="00043B5B">
        <w:rPr>
          <w:rFonts w:ascii="Abadi" w:hAnsi="Abadi" w:cs="Arial"/>
          <w:sz w:val="21"/>
          <w:szCs w:val="21"/>
          <w:lang w:val="es-MX" w:eastAsia="es-MX"/>
        </w:rPr>
        <w:t>Cuando comenzaban los primeros casos de Covid-19 en nuestra entidad, la mayoría de los municipios fueron acatando las medidas sanitarias que Gobierno de México a través del Subsecretario de Salud Hugo López Gatell, nos hacía llegar con precisión. Una de las medidas más conocidas era y sigue siendo el quedarse en casa.</w:t>
      </w:r>
    </w:p>
    <w:p w14:paraId="1DB2ED92" w14:textId="77777777" w:rsidR="00043B5B" w:rsidRPr="00043B5B" w:rsidRDefault="00043B5B" w:rsidP="00FE053F">
      <w:pPr>
        <w:spacing w:before="100" w:beforeAutospacing="1" w:afterAutospacing="1"/>
        <w:ind w:firstLine="708"/>
        <w:jc w:val="both"/>
        <w:textAlignment w:val="baseline"/>
        <w:rPr>
          <w:rFonts w:ascii="Abadi" w:hAnsi="Abadi" w:cs="Arial"/>
          <w:sz w:val="21"/>
          <w:szCs w:val="21"/>
          <w:lang w:val="es-MX" w:eastAsia="es-MX"/>
        </w:rPr>
      </w:pPr>
      <w:r w:rsidRPr="00043B5B">
        <w:rPr>
          <w:rFonts w:ascii="Abadi" w:hAnsi="Abadi" w:cs="Arial"/>
          <w:sz w:val="21"/>
          <w:szCs w:val="21"/>
          <w:lang w:val="es-MX" w:eastAsia="es-MX"/>
        </w:rPr>
        <w:t>Debido a la brecha de desigualdad tan amplia que se vive en México entre estratos sociales, millones de mexicanos no pueden quedarse en casa a sobrellevar la cuarentena, pues son el motor de subsistencia familiar. Por ello, otra de las medidas imprescindibles fue la de tomar una sana distancia de al menos un metro y medio entre las personas. Sin embargo, a pesar de la insistencia por parte del suscrito, en el transporte público de León en especial el Sistema Integrado de Transporte, no ha acatado las medidas de salubridad sobre a la sana distancia se refiere, pues las unidades se encuentran atiborradas lo que lleva a los usuarios a arriesgarse diariamente.</w:t>
      </w:r>
    </w:p>
    <w:p w14:paraId="7450AE56" w14:textId="77777777" w:rsidR="00043B5B" w:rsidRPr="00043B5B" w:rsidRDefault="00043B5B" w:rsidP="00FE053F">
      <w:pPr>
        <w:spacing w:before="100" w:beforeAutospacing="1" w:afterAutospacing="1"/>
        <w:ind w:firstLine="708"/>
        <w:jc w:val="both"/>
        <w:textAlignment w:val="baseline"/>
        <w:rPr>
          <w:rFonts w:ascii="Abadi" w:hAnsi="Abadi" w:cs="Arial"/>
          <w:sz w:val="21"/>
          <w:szCs w:val="21"/>
          <w:lang w:val="es-MX" w:eastAsia="es-MX"/>
        </w:rPr>
      </w:pPr>
      <w:r w:rsidRPr="00043B5B">
        <w:rPr>
          <w:rFonts w:ascii="Abadi" w:hAnsi="Abadi" w:cs="Arial"/>
          <w:sz w:val="21"/>
          <w:szCs w:val="21"/>
          <w:lang w:val="es-MX" w:eastAsia="es-MX"/>
        </w:rPr>
        <w:t>En recientes días, expuse ante todos ustedes mi preocupación acerca de la manera en que los usuarios del transporte público leonés se encuentren vulnerables ante la falta de compromiso por parte de los concesionarios transportistas de evitar contagios dentro de sus unidades. Pues, es un hecho que los concesionarios han buscado su mayor beneficio al recortar unidades ante la contingencia, lo que ha provocado que miles de ciudadanos leoneses aparte de salir de sus casas para ir a laborar, se expongan diariamente al ingresas al transporte público que se encuentra saturado por el recorte. Parece que es necesario decir que León al ser la urbe con mayor población de la entidad, cuenta con la cifra más alta de casos confirmados de contagios por Covid-19, con una cantidad de 1,723 personas y 95 lamentables defunciones.</w:t>
      </w:r>
    </w:p>
    <w:p w14:paraId="563D1134" w14:textId="77777777" w:rsidR="00043B5B" w:rsidRPr="00043B5B" w:rsidRDefault="00043B5B" w:rsidP="00FE053F">
      <w:pPr>
        <w:spacing w:before="100" w:beforeAutospacing="1" w:afterAutospacing="1"/>
        <w:ind w:firstLine="708"/>
        <w:jc w:val="both"/>
        <w:textAlignment w:val="baseline"/>
        <w:rPr>
          <w:rFonts w:ascii="Abadi" w:hAnsi="Abadi" w:cs="Arial"/>
          <w:sz w:val="21"/>
          <w:szCs w:val="21"/>
          <w:lang w:val="es-MX" w:eastAsia="es-MX"/>
        </w:rPr>
      </w:pPr>
      <w:r w:rsidRPr="00043B5B">
        <w:rPr>
          <w:rFonts w:ascii="Abadi" w:hAnsi="Abadi" w:cs="Arial"/>
          <w:sz w:val="21"/>
          <w:szCs w:val="21"/>
          <w:lang w:val="es-MX" w:eastAsia="es-MX"/>
        </w:rPr>
        <w:t>Entendemos las necesidades que se encuentran atravesando no solo los concesionarios, sino micro y pequeños empresarios, trabajadores y comerciantes que salen día a día a las calles con la finalidad de aminorar las necesidades de comida y sustento. Sin embargo, reprocho rotundamente que se busque un beneficio personal, pues a lo largo de la pandemia nos hemos podido dar cuenta que los esfuerzos conjuntos crean mejoramientos sustanciales en la vida de la ciudadanía.</w:t>
      </w:r>
    </w:p>
    <w:p w14:paraId="7FC9CA62" w14:textId="77777777" w:rsidR="00043B5B" w:rsidRPr="00043B5B" w:rsidRDefault="00043B5B" w:rsidP="00FE053F">
      <w:pPr>
        <w:ind w:firstLine="708"/>
        <w:jc w:val="both"/>
        <w:textAlignment w:val="baseline"/>
        <w:rPr>
          <w:rFonts w:ascii="Abadi" w:hAnsi="Abadi" w:cs="Arial"/>
          <w:sz w:val="21"/>
          <w:szCs w:val="21"/>
          <w:lang w:val="es-MX" w:eastAsia="es-MX"/>
        </w:rPr>
      </w:pPr>
      <w:r w:rsidRPr="00043B5B">
        <w:rPr>
          <w:rFonts w:ascii="Abadi" w:hAnsi="Abadi" w:cs="Arial"/>
          <w:sz w:val="21"/>
          <w:szCs w:val="21"/>
          <w:lang w:val="es-MX" w:eastAsia="es-MX"/>
        </w:rPr>
        <w:t>Por ello, es que lo expreso ahora, ese compromiso no se ha visto por parte de los concesionarios, que si bien, algunos compañeros legisladores han venido a refutar mi postura con anterioridad diciendo que ese tema ya lo habían resuelto posteriormente, pues hoy les digo: o sus demandas no fueron escuchadas o no fueron sinceros ante la ciudadanía, las unidades del Sistema Integrado de Transporte sigue haciéndose de oídos sordos ante la preocupación de la ciudadanía trabajadora y vulnerable que puede terminar en contagios múltiples.</w:t>
      </w:r>
    </w:p>
    <w:p w14:paraId="7B661147" w14:textId="77777777" w:rsidR="00043B5B" w:rsidRPr="00043B5B" w:rsidRDefault="00043B5B" w:rsidP="00FE053F">
      <w:pPr>
        <w:jc w:val="both"/>
        <w:textAlignment w:val="baseline"/>
        <w:rPr>
          <w:rFonts w:ascii="Abadi" w:hAnsi="Abadi" w:cs="Arial"/>
          <w:b/>
          <w:strike/>
          <w:sz w:val="21"/>
          <w:szCs w:val="21"/>
          <w:lang w:val="es-MX" w:eastAsia="es-MX"/>
        </w:rPr>
      </w:pPr>
    </w:p>
    <w:p w14:paraId="15B1BE6A" w14:textId="77777777" w:rsidR="00043B5B" w:rsidRPr="00043B5B" w:rsidRDefault="00043B5B" w:rsidP="00FE053F">
      <w:pPr>
        <w:widowControl w:val="0"/>
        <w:autoSpaceDE w:val="0"/>
        <w:autoSpaceDN w:val="0"/>
        <w:ind w:right="113"/>
        <w:jc w:val="both"/>
        <w:rPr>
          <w:rFonts w:ascii="Abadi" w:hAnsi="Abadi" w:cs="Arial"/>
          <w:sz w:val="21"/>
          <w:szCs w:val="21"/>
          <w:lang w:val="es-MX" w:eastAsia="es-MX"/>
        </w:rPr>
      </w:pPr>
      <w:r w:rsidRPr="00043B5B">
        <w:rPr>
          <w:rFonts w:ascii="Abadi" w:eastAsia="Arial" w:hAnsi="Abadi" w:cs="Arial"/>
          <w:b/>
          <w:sz w:val="21"/>
          <w:szCs w:val="21"/>
          <w:lang w:val="es-MX" w:eastAsia="en-US"/>
        </w:rPr>
        <w:t xml:space="preserve">III. </w:t>
      </w:r>
      <w:r w:rsidRPr="00043B5B">
        <w:rPr>
          <w:rFonts w:ascii="Abadi" w:eastAsia="Arial" w:hAnsi="Abadi" w:cs="Arial"/>
          <w:b/>
          <w:sz w:val="21"/>
          <w:szCs w:val="21"/>
          <w:lang w:val="es-MX" w:eastAsia="en-US"/>
        </w:rPr>
        <w:tab/>
        <w:t>Consideraciones de quienes integran la comisión</w:t>
      </w:r>
      <w:r w:rsidRPr="00043B5B">
        <w:rPr>
          <w:rFonts w:ascii="Abadi" w:hAnsi="Abadi" w:cs="Arial"/>
          <w:sz w:val="21"/>
          <w:szCs w:val="21"/>
          <w:lang w:val="es-MX" w:eastAsia="es-MX"/>
        </w:rPr>
        <w:t xml:space="preserve">. </w:t>
      </w:r>
    </w:p>
    <w:p w14:paraId="5EE2B874" w14:textId="77777777" w:rsidR="00043B5B" w:rsidRPr="00043B5B" w:rsidRDefault="00043B5B" w:rsidP="00FE053F">
      <w:pPr>
        <w:spacing w:after="160"/>
        <w:jc w:val="both"/>
        <w:rPr>
          <w:rFonts w:ascii="Abadi" w:eastAsiaTheme="minorHAnsi" w:hAnsi="Abadi" w:cs="Arial"/>
          <w:sz w:val="21"/>
          <w:szCs w:val="21"/>
          <w:lang w:val="es-MX" w:eastAsia="en-US"/>
        </w:rPr>
      </w:pPr>
    </w:p>
    <w:p w14:paraId="3ACB3313" w14:textId="77777777" w:rsidR="00043B5B" w:rsidRPr="00043B5B" w:rsidRDefault="00043B5B" w:rsidP="00FE053F">
      <w:pPr>
        <w:spacing w:after="160"/>
        <w:jc w:val="both"/>
        <w:rPr>
          <w:rFonts w:ascii="Abadi" w:eastAsiaTheme="minorHAnsi" w:hAnsi="Abadi" w:cs="Arial"/>
          <w:sz w:val="21"/>
          <w:szCs w:val="21"/>
          <w:lang w:val="es-MX" w:eastAsia="en-US"/>
        </w:rPr>
      </w:pPr>
      <w:r w:rsidRPr="00043B5B">
        <w:rPr>
          <w:rFonts w:ascii="Abadi" w:eastAsiaTheme="minorHAnsi" w:hAnsi="Abadi" w:cs="Arial"/>
          <w:sz w:val="21"/>
          <w:szCs w:val="21"/>
          <w:lang w:val="es-MX" w:eastAsia="en-US"/>
        </w:rPr>
        <w:t>La Junta de Gobierno y Coordinación Política es el órgano de gobierno encargado de la dirección de los asuntos relativos al régimen Interno del Poder Legislativo con el fin de optimizar sus funciones legislativas, políticas y administrativas, conforme a lo dispuesto en su ley orgánica.</w:t>
      </w:r>
    </w:p>
    <w:p w14:paraId="20734030" w14:textId="77777777" w:rsidR="00043B5B" w:rsidRPr="00043B5B" w:rsidRDefault="00043B5B" w:rsidP="00FE053F">
      <w:pPr>
        <w:spacing w:after="160"/>
        <w:jc w:val="both"/>
        <w:rPr>
          <w:rFonts w:ascii="Abadi" w:eastAsiaTheme="minorHAnsi" w:hAnsi="Abadi" w:cs="Arial"/>
          <w:sz w:val="21"/>
          <w:szCs w:val="21"/>
          <w:lang w:val="es-MX" w:eastAsia="en-US"/>
        </w:rPr>
      </w:pPr>
      <w:r w:rsidRPr="00043B5B">
        <w:rPr>
          <w:rFonts w:ascii="Abadi" w:eastAsiaTheme="minorHAnsi" w:hAnsi="Abadi" w:cs="Arial"/>
          <w:sz w:val="21"/>
          <w:szCs w:val="21"/>
          <w:lang w:val="es-MX" w:eastAsia="en-US"/>
        </w:rPr>
        <w:t xml:space="preserve">Dicho órgano de gobierno expresa la pluralidad del Congreso del Estado y funciona como enlace entre los grupos y representaciones parlamentarias legalmente constituidos en el seno de la Legislatura y, en su caso, diputados independientes, con objeto de impulsar entendimientos y convergencias políticas con las instancias y órganos que resulten necesarios, a fin de alcanzar acuerdos que permitan al Congreso del Estado, a la diputación permanente y a las comisiones legislativas, adoptar las decisiones que constitucional y legalmente les corresponden, siendo una de sus principales atribuciones establecer la agenda legislativa común. </w:t>
      </w:r>
    </w:p>
    <w:p w14:paraId="00723494" w14:textId="77777777" w:rsidR="00043B5B" w:rsidRPr="00043B5B" w:rsidRDefault="00043B5B" w:rsidP="00FE053F">
      <w:pPr>
        <w:spacing w:after="160"/>
        <w:jc w:val="both"/>
        <w:rPr>
          <w:rFonts w:ascii="Abadi" w:eastAsiaTheme="minorHAnsi" w:hAnsi="Abadi" w:cs="Arial"/>
          <w:sz w:val="21"/>
          <w:szCs w:val="21"/>
          <w:lang w:val="es-MX" w:eastAsia="en-US"/>
        </w:rPr>
      </w:pPr>
      <w:r w:rsidRPr="00043B5B">
        <w:rPr>
          <w:rFonts w:ascii="Abadi" w:eastAsiaTheme="minorHAnsi" w:hAnsi="Abadi" w:cs="Arial"/>
          <w:sz w:val="21"/>
          <w:szCs w:val="21"/>
          <w:lang w:val="es-MX" w:eastAsia="en-US"/>
        </w:rPr>
        <w:t xml:space="preserve">Conforme lo anterior, en reunión de fecha 16 de marzo de 2022, la Junta de Gobierno y Coordinación Política, a efecto de lograr una mayor eficiencia legislativa y agilizar los pendientes dónde se incluyen los trabajos presentados en legislaturas anteriores o que jurídicamente no son viables atendiendo a diversas reformas que reservan competencias legislativas al congreso de la unión, se aprobó una metodología propuesta por la secretaría general. </w:t>
      </w:r>
    </w:p>
    <w:p w14:paraId="3857BBA7" w14:textId="77777777" w:rsidR="00043B5B" w:rsidRPr="00043B5B" w:rsidRDefault="00043B5B" w:rsidP="00FE053F">
      <w:pPr>
        <w:spacing w:after="160"/>
        <w:jc w:val="both"/>
        <w:rPr>
          <w:rFonts w:ascii="Abadi" w:eastAsiaTheme="minorHAnsi" w:hAnsi="Abadi" w:cs="Arial"/>
          <w:sz w:val="21"/>
          <w:szCs w:val="21"/>
          <w:lang w:val="es-MX" w:eastAsia="en-US"/>
        </w:rPr>
      </w:pPr>
      <w:r w:rsidRPr="00043B5B">
        <w:rPr>
          <w:rFonts w:ascii="Abadi" w:eastAsiaTheme="minorHAnsi" w:hAnsi="Abadi" w:cs="Arial"/>
          <w:sz w:val="21"/>
          <w:szCs w:val="21"/>
          <w:lang w:val="es-MX" w:eastAsia="en-US"/>
        </w:rPr>
        <w:t xml:space="preserve">En términos de dicha propuesta correspondería a las secretarías técnicas de cada comisión: </w:t>
      </w:r>
    </w:p>
    <w:p w14:paraId="18C6BDC1" w14:textId="77777777" w:rsidR="00043B5B" w:rsidRPr="00043B5B" w:rsidRDefault="00043B5B" w:rsidP="00FE053F">
      <w:pPr>
        <w:numPr>
          <w:ilvl w:val="0"/>
          <w:numId w:val="45"/>
        </w:numPr>
        <w:spacing w:after="160"/>
        <w:contextualSpacing/>
        <w:jc w:val="both"/>
        <w:rPr>
          <w:rFonts w:ascii="Abadi" w:eastAsiaTheme="minorHAnsi" w:hAnsi="Abadi" w:cs="Arial"/>
          <w:sz w:val="21"/>
          <w:szCs w:val="21"/>
          <w:lang w:val="es-MX" w:eastAsia="en-US"/>
        </w:rPr>
      </w:pPr>
      <w:r w:rsidRPr="00043B5B">
        <w:rPr>
          <w:rFonts w:ascii="Abadi" w:eastAsiaTheme="minorHAnsi" w:hAnsi="Abadi" w:cs="Arial"/>
          <w:sz w:val="21"/>
          <w:szCs w:val="21"/>
          <w:lang w:val="es-MX" w:eastAsia="en-US"/>
        </w:rPr>
        <w:t>Hacer un concentrado de los pendientes legislativos por cada comisión;</w:t>
      </w:r>
    </w:p>
    <w:p w14:paraId="1B6A4A04" w14:textId="77777777" w:rsidR="00043B5B" w:rsidRPr="00043B5B" w:rsidRDefault="00043B5B" w:rsidP="00FE053F">
      <w:pPr>
        <w:numPr>
          <w:ilvl w:val="0"/>
          <w:numId w:val="45"/>
        </w:numPr>
        <w:spacing w:after="160"/>
        <w:contextualSpacing/>
        <w:jc w:val="both"/>
        <w:rPr>
          <w:rFonts w:ascii="Abadi" w:eastAsiaTheme="minorHAnsi" w:hAnsi="Abadi" w:cs="Arial"/>
          <w:sz w:val="21"/>
          <w:szCs w:val="21"/>
          <w:lang w:val="es-MX" w:eastAsia="en-US"/>
        </w:rPr>
      </w:pPr>
      <w:r w:rsidRPr="00043B5B">
        <w:rPr>
          <w:rFonts w:ascii="Abadi" w:eastAsiaTheme="minorHAnsi" w:hAnsi="Abadi" w:cs="Arial"/>
          <w:sz w:val="21"/>
          <w:szCs w:val="21"/>
          <w:lang w:val="es-MX" w:eastAsia="en-US"/>
        </w:rPr>
        <w:t>Realizar un análisis técnico jurídico de cada uno de los pendientes legislativos y modificaciones, en su caso, de las metodologías;</w:t>
      </w:r>
    </w:p>
    <w:p w14:paraId="57A63812" w14:textId="77777777" w:rsidR="00043B5B" w:rsidRPr="00043B5B" w:rsidRDefault="00043B5B" w:rsidP="00FE053F">
      <w:pPr>
        <w:numPr>
          <w:ilvl w:val="0"/>
          <w:numId w:val="45"/>
        </w:numPr>
        <w:spacing w:after="160"/>
        <w:contextualSpacing/>
        <w:jc w:val="both"/>
        <w:rPr>
          <w:rFonts w:ascii="Abadi" w:eastAsiaTheme="minorHAnsi" w:hAnsi="Abadi" w:cs="Arial"/>
          <w:sz w:val="21"/>
          <w:szCs w:val="21"/>
          <w:lang w:val="es-MX" w:eastAsia="en-US"/>
        </w:rPr>
      </w:pPr>
      <w:r w:rsidRPr="00043B5B">
        <w:rPr>
          <w:rFonts w:ascii="Abadi" w:eastAsiaTheme="minorHAnsi" w:hAnsi="Abadi" w:cs="Arial"/>
          <w:sz w:val="21"/>
          <w:szCs w:val="21"/>
          <w:lang w:val="es-MX" w:eastAsia="en-US"/>
        </w:rPr>
        <w:t>Identificación de los pendientes legislativos que jurídicamente sean inviables y procedan en consecuencia a su dictaminación en sentido negativo, así como aquellas iniciativas o proposiciones de acuerdos que se presentaron en la LXII legislatura, y en su caso anteriores a esta, y que no fueron dictaminados en la inmediata anterior, las cuales serán también objeto de archivo definitivo;</w:t>
      </w:r>
    </w:p>
    <w:p w14:paraId="1EC1E25B" w14:textId="77777777" w:rsidR="00043B5B" w:rsidRPr="00043B5B" w:rsidRDefault="00043B5B" w:rsidP="00FE053F">
      <w:pPr>
        <w:numPr>
          <w:ilvl w:val="0"/>
          <w:numId w:val="45"/>
        </w:numPr>
        <w:spacing w:after="160"/>
        <w:contextualSpacing/>
        <w:jc w:val="both"/>
        <w:rPr>
          <w:rFonts w:ascii="Abadi" w:eastAsiaTheme="minorHAnsi" w:hAnsi="Abadi" w:cs="Arial"/>
          <w:sz w:val="21"/>
          <w:szCs w:val="21"/>
          <w:lang w:val="es-MX" w:eastAsia="en-US"/>
        </w:rPr>
      </w:pPr>
      <w:r w:rsidRPr="00043B5B">
        <w:rPr>
          <w:rFonts w:ascii="Abadi" w:eastAsiaTheme="minorHAnsi" w:hAnsi="Abadi" w:cs="Arial"/>
          <w:sz w:val="21"/>
          <w:szCs w:val="21"/>
          <w:lang w:val="es-MX" w:eastAsia="en-US"/>
        </w:rPr>
        <w:t>En su caso, mesa de trabajo de la comisión para dar cuenta con el listado de los pendientes legislativos para su revisión y sentar bases de proyectos de dictamen;</w:t>
      </w:r>
    </w:p>
    <w:p w14:paraId="0F159268" w14:textId="77777777" w:rsidR="00043B5B" w:rsidRPr="00043B5B" w:rsidRDefault="00043B5B" w:rsidP="00FE053F">
      <w:pPr>
        <w:numPr>
          <w:ilvl w:val="0"/>
          <w:numId w:val="45"/>
        </w:numPr>
        <w:spacing w:after="160"/>
        <w:contextualSpacing/>
        <w:jc w:val="both"/>
        <w:rPr>
          <w:rFonts w:ascii="Abadi" w:eastAsiaTheme="minorHAnsi" w:hAnsi="Abadi" w:cs="Arial"/>
          <w:sz w:val="21"/>
          <w:szCs w:val="21"/>
          <w:lang w:val="es-MX" w:eastAsia="en-US"/>
        </w:rPr>
      </w:pPr>
      <w:r w:rsidRPr="00043B5B">
        <w:rPr>
          <w:rFonts w:ascii="Abadi" w:eastAsiaTheme="minorHAnsi" w:hAnsi="Abadi" w:cs="Arial"/>
          <w:sz w:val="21"/>
          <w:szCs w:val="21"/>
          <w:lang w:val="es-MX" w:eastAsia="en-US"/>
        </w:rPr>
        <w:t xml:space="preserve">Convocar a sesión de comisión para aprobar dictámenes de archivo y remisión al pleno para su aprobación. </w:t>
      </w:r>
    </w:p>
    <w:p w14:paraId="499E4EFC" w14:textId="77777777" w:rsidR="00043B5B" w:rsidRPr="00043B5B" w:rsidRDefault="00043B5B" w:rsidP="00FE053F">
      <w:pPr>
        <w:spacing w:after="160"/>
        <w:jc w:val="both"/>
        <w:rPr>
          <w:rFonts w:ascii="Abadi" w:eastAsiaTheme="minorHAnsi" w:hAnsi="Abadi" w:cs="Arial"/>
          <w:sz w:val="21"/>
          <w:szCs w:val="21"/>
          <w:lang w:val="es-MX" w:eastAsia="en-US"/>
        </w:rPr>
      </w:pPr>
      <w:r w:rsidRPr="00043B5B">
        <w:rPr>
          <w:rFonts w:ascii="Abadi" w:eastAsiaTheme="minorHAnsi" w:hAnsi="Abadi" w:cs="Arial"/>
          <w:sz w:val="21"/>
          <w:szCs w:val="21"/>
          <w:lang w:val="es-MX" w:eastAsia="en-US"/>
        </w:rPr>
        <w:t xml:space="preserve">Paralelo a lo anterior se determinó que los grupos parlamentarios harían revisión de iniciativas y puntos de acuerdo que fueron presentados en las legislaturas anteriores y con ello identificar así como analizar individualmente cuales ya no tienen materia, fueron solventadas conforme a lo propuesto o que por el trascurso del tiempo resulta improcedente pronunciarse positivamente al respecto tomando en consideración se carezca de vigencia conforme a los hechos respecto a los cuales se sustentó cada uno de los temas. </w:t>
      </w:r>
    </w:p>
    <w:p w14:paraId="59490405" w14:textId="77777777" w:rsidR="00043B5B" w:rsidRPr="00043B5B" w:rsidRDefault="00043B5B" w:rsidP="00FE053F">
      <w:pPr>
        <w:spacing w:after="160"/>
        <w:jc w:val="both"/>
        <w:rPr>
          <w:rFonts w:ascii="Abadi" w:eastAsiaTheme="minorHAnsi" w:hAnsi="Abadi" w:cs="Arial"/>
          <w:sz w:val="21"/>
          <w:szCs w:val="21"/>
          <w:lang w:val="es-MX" w:eastAsia="en-US"/>
        </w:rPr>
      </w:pPr>
      <w:r w:rsidRPr="00043B5B">
        <w:rPr>
          <w:rFonts w:ascii="Abadi" w:eastAsiaTheme="minorHAnsi" w:hAnsi="Abadi" w:cs="Arial"/>
          <w:sz w:val="21"/>
          <w:szCs w:val="21"/>
          <w:lang w:val="es-MX" w:eastAsia="en-US"/>
        </w:rPr>
        <w:t>Agotadas las revisiones y análisis a las que se han hecho referencia en párrafos anteriores, esta comisión determinó clasificar y otorgar el tratamiento a la propuesta objeto del presente dictamen como de aquellos pronunciamientos sobre asuntos políticos, culturales, económicos o sociales que si bien se denota la afectación a una comunidad o grupo particular, y que por consecuencia es necesario se aborde como un tema de interés público para que el congreso del estado asuma una postura institucional al respecto, también debe precisarse que al día de hoy ya no se consideraría pertinente y oportuna la adopción del mismo.</w:t>
      </w:r>
    </w:p>
    <w:p w14:paraId="612C11ED" w14:textId="77777777" w:rsidR="00043B5B" w:rsidRPr="00043B5B" w:rsidRDefault="00043B5B" w:rsidP="00FE053F">
      <w:pPr>
        <w:spacing w:after="160"/>
        <w:jc w:val="both"/>
        <w:rPr>
          <w:rFonts w:ascii="Abadi" w:eastAsiaTheme="minorHAnsi" w:hAnsi="Abadi" w:cs="Arial"/>
          <w:sz w:val="21"/>
          <w:szCs w:val="21"/>
          <w:lang w:val="es-MX" w:eastAsia="en-US"/>
        </w:rPr>
      </w:pPr>
      <w:r w:rsidRPr="00043B5B">
        <w:rPr>
          <w:rFonts w:ascii="Abadi" w:eastAsiaTheme="minorHAnsi" w:hAnsi="Abadi" w:cs="Arial"/>
          <w:sz w:val="21"/>
          <w:szCs w:val="21"/>
          <w:lang w:val="es-MX" w:eastAsia="en-US"/>
        </w:rPr>
        <w:t xml:space="preserve">Por lo anterior, y no obstante que se subraya que en la propuesta existe un contenido vasto y justificado que denotan la trascendencia para su estudio, se ha determinado no es procedente entrar al fondo de este por carecer de oportunidad ante la extemporaneidad de atención tomando en consideración las circunstancias de tiempo, modo y lugar referenciadas en la misma. </w:t>
      </w:r>
    </w:p>
    <w:p w14:paraId="72B89054" w14:textId="77777777" w:rsidR="00043B5B" w:rsidRPr="00043B5B" w:rsidRDefault="00043B5B" w:rsidP="00FE053F">
      <w:pPr>
        <w:spacing w:after="160"/>
        <w:jc w:val="both"/>
        <w:rPr>
          <w:rFonts w:ascii="Abadi" w:eastAsiaTheme="minorHAnsi" w:hAnsi="Abadi" w:cs="Arial"/>
          <w:sz w:val="21"/>
          <w:szCs w:val="21"/>
          <w:lang w:val="es-MX" w:eastAsia="en-US"/>
        </w:rPr>
      </w:pPr>
      <w:r w:rsidRPr="00043B5B">
        <w:rPr>
          <w:rFonts w:ascii="Abadi" w:eastAsiaTheme="minorHAnsi" w:hAnsi="Abadi" w:cs="Arial"/>
          <w:sz w:val="21"/>
          <w:szCs w:val="21"/>
          <w:lang w:val="es-MX" w:eastAsia="en-US"/>
        </w:rPr>
        <w:t>Por lo expuesto y con fundamento en el artículo 204 de la Ley Orgánica del Poder Ejecutivo del Estado, sometemos a consideración de esta Asamblea, la aprobación del siguiente:</w:t>
      </w:r>
    </w:p>
    <w:p w14:paraId="042A9B98" w14:textId="77777777" w:rsidR="00043B5B" w:rsidRPr="00043B5B" w:rsidRDefault="00043B5B" w:rsidP="00FE053F">
      <w:pPr>
        <w:spacing w:after="160"/>
        <w:jc w:val="center"/>
        <w:rPr>
          <w:rFonts w:ascii="Abadi" w:eastAsiaTheme="minorHAnsi" w:hAnsi="Abadi" w:cs="Arial"/>
          <w:b/>
          <w:sz w:val="21"/>
          <w:szCs w:val="21"/>
          <w:lang w:val="es-MX" w:eastAsia="en-US"/>
        </w:rPr>
      </w:pPr>
      <w:r w:rsidRPr="00043B5B">
        <w:rPr>
          <w:rFonts w:ascii="Abadi" w:eastAsiaTheme="minorHAnsi" w:hAnsi="Abadi" w:cs="Arial"/>
          <w:b/>
          <w:sz w:val="21"/>
          <w:szCs w:val="21"/>
          <w:lang w:val="es-MX" w:eastAsia="en-US"/>
        </w:rPr>
        <w:t>A c u e r d o</w:t>
      </w:r>
    </w:p>
    <w:p w14:paraId="18ADB2FD" w14:textId="77777777" w:rsidR="00043B5B" w:rsidRPr="00043B5B" w:rsidRDefault="00043B5B" w:rsidP="00FE053F">
      <w:pPr>
        <w:jc w:val="both"/>
        <w:textAlignment w:val="baseline"/>
        <w:rPr>
          <w:rFonts w:ascii="Abadi" w:hAnsi="Abadi" w:cs="Arial"/>
          <w:sz w:val="21"/>
          <w:szCs w:val="21"/>
          <w:lang w:val="es-MX" w:eastAsia="es-MX"/>
        </w:rPr>
      </w:pPr>
      <w:r w:rsidRPr="00043B5B">
        <w:rPr>
          <w:rFonts w:ascii="Abadi" w:hAnsi="Abadi" w:cs="Arial"/>
          <w:b/>
          <w:sz w:val="21"/>
          <w:szCs w:val="21"/>
          <w:lang w:val="es-MX" w:eastAsia="es-MX"/>
        </w:rPr>
        <w:t xml:space="preserve">Único.- Se determina improcedente </w:t>
      </w:r>
      <w:r w:rsidRPr="00043B5B">
        <w:rPr>
          <w:rFonts w:ascii="Abadi" w:hAnsi="Abadi" w:cs="Arial"/>
          <w:sz w:val="21"/>
          <w:szCs w:val="21"/>
          <w:lang w:val="es-MX" w:eastAsia="es-MX"/>
        </w:rPr>
        <w:t>la propuesta de punto de acuerdo formulado, en la LXIV Legislatura, por el Diputado Ernesto Alejandro Prieto Gallardo, integrante del Grupo Parlamentario de MORENA, para exhortar al C. Presidente Municipal Héctor López Santillana del municipio de León a fin de que se les exija a los concesionarios del Sistema Integrado de Transporte (SIT) a no reducir la movilidad de las unidades, esto con la finalidad de que los usuarios a pesar de esta contingencia puedan seguir teniendo un transporte de calidad manteniendo la sana distancia de un metro y medio necesaria para evitar contagios de Covid-19; ello, en virtud de las consideraciones que fueron expuestas. Por lo tanto, se ordena su archivo definitivo.</w:t>
      </w:r>
    </w:p>
    <w:p w14:paraId="5AB846EF" w14:textId="77777777" w:rsidR="00043B5B" w:rsidRPr="00043B5B" w:rsidRDefault="00043B5B" w:rsidP="00FE053F">
      <w:pPr>
        <w:jc w:val="both"/>
        <w:textAlignment w:val="baseline"/>
        <w:rPr>
          <w:rFonts w:ascii="Abadi" w:hAnsi="Abadi" w:cs="Arial"/>
          <w:sz w:val="21"/>
          <w:szCs w:val="21"/>
          <w:lang w:val="es-MX" w:eastAsia="es-MX"/>
        </w:rPr>
      </w:pPr>
    </w:p>
    <w:p w14:paraId="06D64B0C" w14:textId="77777777" w:rsidR="00043B5B" w:rsidRDefault="00043B5B" w:rsidP="00FE053F">
      <w:pPr>
        <w:spacing w:after="160"/>
        <w:jc w:val="both"/>
        <w:rPr>
          <w:rFonts w:ascii="Abadi" w:eastAsiaTheme="minorHAnsi" w:hAnsi="Abadi" w:cs="Arial"/>
          <w:sz w:val="21"/>
          <w:szCs w:val="21"/>
          <w:lang w:val="es-MX" w:eastAsia="en-US"/>
        </w:rPr>
      </w:pPr>
      <w:r w:rsidRPr="00043B5B">
        <w:rPr>
          <w:rFonts w:ascii="Abadi" w:eastAsiaTheme="minorHAnsi" w:hAnsi="Abadi" w:cs="Arial"/>
          <w:sz w:val="21"/>
          <w:szCs w:val="21"/>
          <w:lang w:val="es-MX" w:eastAsia="en-US"/>
        </w:rPr>
        <w:t>Comuníquese el presente acuerdo con su dictamen al Secretario General del Congreso del estado, para los efectos conducentes.</w:t>
      </w:r>
    </w:p>
    <w:p w14:paraId="204999A3" w14:textId="77777777" w:rsidR="00043B5B" w:rsidRDefault="00043B5B" w:rsidP="00FE053F">
      <w:pPr>
        <w:spacing w:after="160"/>
        <w:jc w:val="both"/>
        <w:rPr>
          <w:rFonts w:ascii="Abadi" w:eastAsiaTheme="minorHAnsi" w:hAnsi="Abadi" w:cs="Arial"/>
          <w:sz w:val="21"/>
          <w:szCs w:val="21"/>
          <w:lang w:val="es-MX" w:eastAsia="en-US"/>
        </w:rPr>
      </w:pPr>
    </w:p>
    <w:p w14:paraId="7A5B1750" w14:textId="6609C7F9" w:rsidR="00043B5B" w:rsidRPr="00043B5B" w:rsidRDefault="00043B5B" w:rsidP="00FE053F">
      <w:pPr>
        <w:spacing w:after="160"/>
        <w:jc w:val="center"/>
        <w:rPr>
          <w:rFonts w:ascii="Abadi" w:eastAsiaTheme="minorHAnsi" w:hAnsi="Abadi" w:cs="Arial"/>
          <w:sz w:val="21"/>
          <w:szCs w:val="21"/>
          <w:lang w:val="es-MX" w:eastAsia="en-US"/>
        </w:rPr>
      </w:pPr>
      <w:r w:rsidRPr="00043B5B">
        <w:rPr>
          <w:rFonts w:ascii="Abadi" w:hAnsi="Abadi" w:cs="Segoe UI"/>
          <w:b/>
          <w:bCs/>
          <w:sz w:val="21"/>
          <w:szCs w:val="21"/>
          <w:lang w:val="es-MX" w:eastAsia="es-MX"/>
        </w:rPr>
        <w:t>Guanajuato, Gto., a 7 de Julio de 2022</w:t>
      </w:r>
    </w:p>
    <w:p w14:paraId="139A5F50" w14:textId="4297D78F" w:rsidR="00043B5B" w:rsidRPr="00043B5B" w:rsidRDefault="00043B5B" w:rsidP="00FE053F">
      <w:pPr>
        <w:jc w:val="center"/>
        <w:textAlignment w:val="baseline"/>
        <w:rPr>
          <w:rFonts w:ascii="Abadi" w:hAnsi="Abadi" w:cs="Segoe UI"/>
          <w:b/>
          <w:bCs/>
          <w:sz w:val="21"/>
          <w:szCs w:val="21"/>
          <w:lang w:val="es-MX" w:eastAsia="es-MX"/>
        </w:rPr>
      </w:pPr>
      <w:r w:rsidRPr="00043B5B">
        <w:rPr>
          <w:rFonts w:ascii="Abadi" w:hAnsi="Abadi" w:cs="Segoe UI"/>
          <w:b/>
          <w:bCs/>
          <w:sz w:val="21"/>
          <w:szCs w:val="21"/>
          <w:lang w:val="es-MX" w:eastAsia="es-MX"/>
        </w:rPr>
        <w:t>La Comisión de Seguridad Pública y Comunicaciones</w:t>
      </w:r>
    </w:p>
    <w:p w14:paraId="24472E4C" w14:textId="77777777" w:rsidR="00043B5B" w:rsidRPr="00043B5B" w:rsidRDefault="00043B5B" w:rsidP="00FE053F">
      <w:pPr>
        <w:jc w:val="center"/>
        <w:textAlignment w:val="baseline"/>
        <w:rPr>
          <w:rFonts w:ascii="Abadi" w:hAnsi="Abadi" w:cs="Segoe UI"/>
          <w:b/>
          <w:bCs/>
          <w:sz w:val="21"/>
          <w:szCs w:val="21"/>
          <w:lang w:val="es-MX" w:eastAsia="es-MX"/>
        </w:rPr>
      </w:pPr>
    </w:p>
    <w:p w14:paraId="59C7CFDB" w14:textId="77777777" w:rsidR="00043B5B" w:rsidRPr="00043B5B" w:rsidRDefault="00043B5B" w:rsidP="00FE053F">
      <w:pPr>
        <w:jc w:val="both"/>
        <w:textAlignment w:val="baseline"/>
        <w:rPr>
          <w:rFonts w:ascii="Abadi" w:hAnsi="Abadi" w:cs="Segoe UI"/>
          <w:b/>
          <w:bCs/>
          <w:sz w:val="21"/>
          <w:szCs w:val="21"/>
          <w:lang w:val="es-MX" w:eastAsia="es-MX"/>
        </w:rPr>
      </w:pPr>
      <w:r w:rsidRPr="00043B5B">
        <w:rPr>
          <w:rFonts w:ascii="Abadi" w:hAnsi="Abadi" w:cs="Segoe UI"/>
          <w:b/>
          <w:bCs/>
          <w:sz w:val="21"/>
          <w:szCs w:val="21"/>
          <w:lang w:val="es-MX" w:eastAsia="es-MX"/>
        </w:rPr>
        <w:t>Dip. Martín López Camacho</w:t>
      </w:r>
    </w:p>
    <w:p w14:paraId="617DF1E1" w14:textId="77777777" w:rsidR="00043B5B" w:rsidRPr="00043B5B" w:rsidRDefault="00043B5B" w:rsidP="00FE053F">
      <w:pPr>
        <w:jc w:val="both"/>
        <w:textAlignment w:val="baseline"/>
        <w:rPr>
          <w:rFonts w:ascii="Abadi" w:hAnsi="Abadi" w:cs="Segoe UI"/>
          <w:b/>
          <w:bCs/>
          <w:sz w:val="21"/>
          <w:szCs w:val="21"/>
          <w:lang w:val="es-MX" w:eastAsia="es-MX"/>
        </w:rPr>
      </w:pPr>
      <w:r w:rsidRPr="00043B5B">
        <w:rPr>
          <w:rFonts w:ascii="Abadi" w:hAnsi="Abadi" w:cs="Segoe UI"/>
          <w:b/>
          <w:bCs/>
          <w:sz w:val="21"/>
          <w:szCs w:val="21"/>
          <w:lang w:val="es-MX" w:eastAsia="es-MX"/>
        </w:rPr>
        <w:t>Dip. Alma Edwviges Alcaraz Hernández</w:t>
      </w:r>
    </w:p>
    <w:p w14:paraId="37B51F1A" w14:textId="77777777" w:rsidR="00043B5B" w:rsidRPr="00043B5B" w:rsidRDefault="00043B5B" w:rsidP="00FE053F">
      <w:pPr>
        <w:jc w:val="both"/>
        <w:textAlignment w:val="baseline"/>
        <w:rPr>
          <w:rFonts w:ascii="Abadi" w:hAnsi="Abadi"/>
          <w:b/>
          <w:bCs/>
          <w:sz w:val="21"/>
          <w:szCs w:val="21"/>
          <w:lang w:val="es-MX" w:eastAsia="es-MX"/>
        </w:rPr>
      </w:pPr>
      <w:r w:rsidRPr="00043B5B">
        <w:rPr>
          <w:rFonts w:ascii="Abadi" w:hAnsi="Abadi"/>
          <w:b/>
          <w:bCs/>
          <w:sz w:val="21"/>
          <w:szCs w:val="21"/>
          <w:lang w:val="es-MX" w:eastAsia="es-MX"/>
        </w:rPr>
        <w:t>Dip. Rolando Fortino Alcántar Rojas</w:t>
      </w:r>
    </w:p>
    <w:p w14:paraId="3A770488" w14:textId="77777777" w:rsidR="00043B5B" w:rsidRPr="00043B5B" w:rsidRDefault="00043B5B" w:rsidP="00FE053F">
      <w:pPr>
        <w:jc w:val="both"/>
        <w:textAlignment w:val="baseline"/>
        <w:rPr>
          <w:rFonts w:ascii="Abadi" w:hAnsi="Abadi"/>
          <w:b/>
          <w:bCs/>
          <w:sz w:val="21"/>
          <w:szCs w:val="21"/>
          <w:lang w:val="es-MX" w:eastAsia="es-MX"/>
        </w:rPr>
      </w:pPr>
      <w:r w:rsidRPr="00043B5B">
        <w:rPr>
          <w:rFonts w:ascii="Abadi" w:hAnsi="Abadi"/>
          <w:b/>
          <w:bCs/>
          <w:sz w:val="21"/>
          <w:szCs w:val="21"/>
          <w:lang w:val="es-MX" w:eastAsia="es-MX"/>
        </w:rPr>
        <w:t>Dip. Bricio Balderas Álvarez</w:t>
      </w:r>
    </w:p>
    <w:p w14:paraId="02F5B851" w14:textId="64044036" w:rsidR="00043B5B" w:rsidRDefault="00043B5B" w:rsidP="00FE053F">
      <w:pPr>
        <w:jc w:val="both"/>
        <w:textAlignment w:val="baseline"/>
        <w:rPr>
          <w:rFonts w:ascii="Abadi" w:hAnsi="Abadi" w:cs="Segoe UI"/>
          <w:b/>
          <w:sz w:val="21"/>
          <w:szCs w:val="21"/>
          <w:lang w:val="es-MX" w:eastAsia="es-MX"/>
        </w:rPr>
      </w:pPr>
      <w:r w:rsidRPr="00043B5B">
        <w:rPr>
          <w:rFonts w:ascii="Abadi" w:hAnsi="Abadi" w:cs="Segoe UI"/>
          <w:b/>
          <w:sz w:val="21"/>
          <w:szCs w:val="21"/>
          <w:lang w:val="es-MX" w:eastAsia="es-MX"/>
        </w:rPr>
        <w:t>Dip. Gerardo Fernández González</w:t>
      </w:r>
    </w:p>
    <w:p w14:paraId="1220453E" w14:textId="7B0D0508" w:rsidR="008B6ABF" w:rsidRDefault="008B6ABF" w:rsidP="00FE053F">
      <w:pPr>
        <w:jc w:val="both"/>
        <w:textAlignment w:val="baseline"/>
        <w:rPr>
          <w:rFonts w:ascii="Abadi" w:hAnsi="Abadi" w:cs="Segoe UI"/>
          <w:b/>
          <w:sz w:val="21"/>
          <w:szCs w:val="21"/>
          <w:lang w:val="es-MX" w:eastAsia="es-MX"/>
        </w:rPr>
      </w:pPr>
    </w:p>
    <w:p w14:paraId="4EC06203" w14:textId="7021F17A" w:rsidR="009A5771" w:rsidRDefault="009A5771" w:rsidP="009A5771">
      <w:pPr>
        <w:ind w:firstLine="708"/>
        <w:jc w:val="both"/>
        <w:rPr>
          <w:rFonts w:ascii="Abadi" w:hAnsi="Abadi"/>
          <w:sz w:val="21"/>
          <w:szCs w:val="21"/>
        </w:rPr>
      </w:pPr>
      <w:r w:rsidRPr="009936EB">
        <w:rPr>
          <w:rFonts w:ascii="Abadi" w:hAnsi="Abadi"/>
          <w:b/>
          <w:bCs/>
          <w:sz w:val="21"/>
          <w:szCs w:val="21"/>
        </w:rPr>
        <w:t>- El Presidente.-</w:t>
      </w:r>
      <w:r>
        <w:rPr>
          <w:rFonts w:ascii="Abadi" w:hAnsi="Abadi"/>
          <w:sz w:val="21"/>
          <w:szCs w:val="21"/>
        </w:rPr>
        <w:t xml:space="preserve"> A continuación se somete </w:t>
      </w:r>
      <w:r w:rsidRPr="006813AA">
        <w:rPr>
          <w:rFonts w:ascii="Abadi" w:hAnsi="Abadi"/>
          <w:sz w:val="21"/>
          <w:szCs w:val="21"/>
        </w:rPr>
        <w:t xml:space="preserve">a discusión el dictamen emitido por la </w:t>
      </w:r>
      <w:r>
        <w:rPr>
          <w:rFonts w:ascii="Abadi" w:hAnsi="Abadi"/>
          <w:sz w:val="21"/>
          <w:szCs w:val="21"/>
        </w:rPr>
        <w:t>C</w:t>
      </w:r>
      <w:r w:rsidRPr="006813AA">
        <w:rPr>
          <w:rFonts w:ascii="Abadi" w:hAnsi="Abadi"/>
          <w:sz w:val="21"/>
          <w:szCs w:val="21"/>
        </w:rPr>
        <w:t xml:space="preserve">omisión de </w:t>
      </w:r>
      <w:r>
        <w:rPr>
          <w:rFonts w:ascii="Abadi" w:hAnsi="Abadi"/>
          <w:sz w:val="21"/>
          <w:szCs w:val="21"/>
        </w:rPr>
        <w:t>S</w:t>
      </w:r>
      <w:r w:rsidRPr="006813AA">
        <w:rPr>
          <w:rFonts w:ascii="Abadi" w:hAnsi="Abadi"/>
          <w:sz w:val="21"/>
          <w:szCs w:val="21"/>
        </w:rPr>
        <w:t xml:space="preserve">eguridad </w:t>
      </w:r>
      <w:r>
        <w:rPr>
          <w:rFonts w:ascii="Abadi" w:hAnsi="Abadi"/>
          <w:sz w:val="21"/>
          <w:szCs w:val="21"/>
        </w:rPr>
        <w:t>P</w:t>
      </w:r>
      <w:r w:rsidRPr="006813AA">
        <w:rPr>
          <w:rFonts w:ascii="Abadi" w:hAnsi="Abadi"/>
          <w:sz w:val="21"/>
          <w:szCs w:val="21"/>
        </w:rPr>
        <w:t xml:space="preserve">ública y </w:t>
      </w:r>
      <w:r>
        <w:rPr>
          <w:rFonts w:ascii="Abadi" w:hAnsi="Abadi"/>
          <w:sz w:val="21"/>
          <w:szCs w:val="21"/>
        </w:rPr>
        <w:t>C</w:t>
      </w:r>
      <w:r w:rsidRPr="006813AA">
        <w:rPr>
          <w:rFonts w:ascii="Abadi" w:hAnsi="Abadi"/>
          <w:sz w:val="21"/>
          <w:szCs w:val="21"/>
        </w:rPr>
        <w:t>omunicaciones</w:t>
      </w:r>
      <w:r>
        <w:rPr>
          <w:rFonts w:ascii="Abadi" w:hAnsi="Abadi"/>
          <w:sz w:val="21"/>
          <w:szCs w:val="21"/>
        </w:rPr>
        <w:t xml:space="preserve"> correspondiente al punto 32 d</w:t>
      </w:r>
      <w:r w:rsidRPr="006813AA">
        <w:rPr>
          <w:rFonts w:ascii="Abadi" w:hAnsi="Abadi"/>
          <w:sz w:val="21"/>
          <w:szCs w:val="21"/>
        </w:rPr>
        <w:t>e nuestra orden del día</w:t>
      </w:r>
      <w:r>
        <w:rPr>
          <w:rFonts w:ascii="Abadi" w:hAnsi="Abadi"/>
          <w:sz w:val="21"/>
          <w:szCs w:val="21"/>
        </w:rPr>
        <w:t>.</w:t>
      </w:r>
    </w:p>
    <w:p w14:paraId="6139CC4E" w14:textId="77777777" w:rsidR="009A5771" w:rsidRDefault="009A5771" w:rsidP="009A5771">
      <w:pPr>
        <w:ind w:firstLine="708"/>
        <w:jc w:val="both"/>
        <w:rPr>
          <w:rFonts w:ascii="Abadi" w:hAnsi="Abadi"/>
          <w:sz w:val="21"/>
          <w:szCs w:val="21"/>
        </w:rPr>
      </w:pPr>
    </w:p>
    <w:p w14:paraId="457CEBA6" w14:textId="015FB743" w:rsidR="009A5771" w:rsidRDefault="009A5771" w:rsidP="009A5771">
      <w:pPr>
        <w:ind w:firstLine="708"/>
        <w:jc w:val="both"/>
        <w:rPr>
          <w:rFonts w:ascii="Abadi" w:hAnsi="Abadi"/>
          <w:sz w:val="21"/>
          <w:szCs w:val="21"/>
        </w:rPr>
      </w:pPr>
      <w:r>
        <w:rPr>
          <w:rFonts w:ascii="Abadi" w:hAnsi="Abadi"/>
          <w:sz w:val="21"/>
          <w:szCs w:val="21"/>
        </w:rPr>
        <w:t>- S</w:t>
      </w:r>
      <w:r w:rsidRPr="006813AA">
        <w:rPr>
          <w:rFonts w:ascii="Abadi" w:hAnsi="Abadi"/>
          <w:sz w:val="21"/>
          <w:szCs w:val="21"/>
        </w:rPr>
        <w:t xml:space="preserve">i alguna diputada o algún diputado desea hacer </w:t>
      </w:r>
      <w:r>
        <w:rPr>
          <w:rFonts w:ascii="Abadi" w:hAnsi="Abadi"/>
          <w:sz w:val="21"/>
          <w:szCs w:val="21"/>
        </w:rPr>
        <w:t>u</w:t>
      </w:r>
      <w:r w:rsidRPr="006813AA">
        <w:rPr>
          <w:rFonts w:ascii="Abadi" w:hAnsi="Abadi"/>
          <w:sz w:val="21"/>
          <w:szCs w:val="21"/>
        </w:rPr>
        <w:t>so de la palabra en pro o en contra manifiésten</w:t>
      </w:r>
      <w:r>
        <w:rPr>
          <w:rFonts w:ascii="Abadi" w:hAnsi="Abadi"/>
          <w:sz w:val="21"/>
          <w:szCs w:val="21"/>
        </w:rPr>
        <w:t>lo</w:t>
      </w:r>
      <w:r w:rsidRPr="006813AA">
        <w:rPr>
          <w:rFonts w:ascii="Abadi" w:hAnsi="Abadi"/>
          <w:sz w:val="21"/>
          <w:szCs w:val="21"/>
        </w:rPr>
        <w:t xml:space="preserve"> </w:t>
      </w:r>
      <w:r>
        <w:rPr>
          <w:rFonts w:ascii="Abadi" w:hAnsi="Abadi"/>
          <w:sz w:val="21"/>
          <w:szCs w:val="21"/>
        </w:rPr>
        <w:t xml:space="preserve">a esta presidencia </w:t>
      </w:r>
      <w:r w:rsidRPr="006813AA">
        <w:rPr>
          <w:rFonts w:ascii="Abadi" w:hAnsi="Abadi"/>
          <w:sz w:val="21"/>
          <w:szCs w:val="21"/>
        </w:rPr>
        <w:t>indicando el sentido de su participación</w:t>
      </w:r>
      <w:r>
        <w:rPr>
          <w:rFonts w:ascii="Abadi" w:hAnsi="Abadi"/>
          <w:sz w:val="21"/>
          <w:szCs w:val="21"/>
        </w:rPr>
        <w:t>.</w:t>
      </w:r>
    </w:p>
    <w:p w14:paraId="50064088" w14:textId="77777777" w:rsidR="009A5771" w:rsidRDefault="009A5771" w:rsidP="009A5771">
      <w:pPr>
        <w:ind w:firstLine="708"/>
        <w:jc w:val="both"/>
        <w:rPr>
          <w:rFonts w:ascii="Abadi" w:hAnsi="Abadi"/>
          <w:sz w:val="21"/>
          <w:szCs w:val="21"/>
        </w:rPr>
      </w:pPr>
    </w:p>
    <w:p w14:paraId="646921FC" w14:textId="1AE68E48" w:rsidR="009A5771" w:rsidRDefault="009A5771" w:rsidP="009A5771">
      <w:pPr>
        <w:ind w:firstLine="708"/>
        <w:jc w:val="both"/>
        <w:rPr>
          <w:rFonts w:ascii="Abadi" w:hAnsi="Abadi"/>
          <w:sz w:val="21"/>
          <w:szCs w:val="21"/>
        </w:rPr>
      </w:pPr>
      <w:r>
        <w:rPr>
          <w:rFonts w:ascii="Abadi" w:hAnsi="Abadi"/>
          <w:sz w:val="21"/>
          <w:szCs w:val="21"/>
        </w:rPr>
        <w:t>- N</w:t>
      </w:r>
      <w:r w:rsidRPr="006813AA">
        <w:rPr>
          <w:rFonts w:ascii="Abadi" w:hAnsi="Abadi"/>
          <w:sz w:val="21"/>
          <w:szCs w:val="21"/>
        </w:rPr>
        <w:t xml:space="preserve">o </w:t>
      </w:r>
      <w:r>
        <w:rPr>
          <w:rFonts w:ascii="Abadi" w:hAnsi="Abadi"/>
          <w:sz w:val="21"/>
          <w:szCs w:val="21"/>
        </w:rPr>
        <w:t>habiendo participaciones, s</w:t>
      </w:r>
      <w:r w:rsidRPr="006813AA">
        <w:rPr>
          <w:rFonts w:ascii="Abadi" w:hAnsi="Abadi"/>
          <w:sz w:val="21"/>
          <w:szCs w:val="21"/>
        </w:rPr>
        <w:t>e pid</w:t>
      </w:r>
      <w:r>
        <w:rPr>
          <w:rFonts w:ascii="Abadi" w:hAnsi="Abadi"/>
          <w:sz w:val="21"/>
          <w:szCs w:val="21"/>
        </w:rPr>
        <w:t>e a</w:t>
      </w:r>
      <w:r w:rsidRPr="006813AA">
        <w:rPr>
          <w:rFonts w:ascii="Abadi" w:hAnsi="Abadi"/>
          <w:sz w:val="21"/>
          <w:szCs w:val="21"/>
        </w:rPr>
        <w:t xml:space="preserve"> la </w:t>
      </w:r>
      <w:r>
        <w:rPr>
          <w:rFonts w:ascii="Abadi" w:hAnsi="Abadi"/>
          <w:sz w:val="21"/>
          <w:szCs w:val="21"/>
        </w:rPr>
        <w:t>S</w:t>
      </w:r>
      <w:r w:rsidRPr="006813AA">
        <w:rPr>
          <w:rFonts w:ascii="Abadi" w:hAnsi="Abadi"/>
          <w:sz w:val="21"/>
          <w:szCs w:val="21"/>
        </w:rPr>
        <w:t xml:space="preserve">ecretaría que </w:t>
      </w:r>
      <w:r>
        <w:rPr>
          <w:rFonts w:ascii="Abadi" w:hAnsi="Abadi"/>
          <w:sz w:val="21"/>
          <w:szCs w:val="21"/>
        </w:rPr>
        <w:t xml:space="preserve">proceda a </w:t>
      </w:r>
      <w:r w:rsidRPr="006813AA">
        <w:rPr>
          <w:rFonts w:ascii="Abadi" w:hAnsi="Abadi"/>
          <w:sz w:val="21"/>
          <w:szCs w:val="21"/>
        </w:rPr>
        <w:t xml:space="preserve">recabar votación nominal </w:t>
      </w:r>
      <w:r>
        <w:rPr>
          <w:rFonts w:ascii="Abadi" w:hAnsi="Abadi"/>
          <w:sz w:val="21"/>
          <w:szCs w:val="21"/>
        </w:rPr>
        <w:t xml:space="preserve">de la Asamblea, </w:t>
      </w:r>
      <w:r w:rsidRPr="006813AA">
        <w:rPr>
          <w:rFonts w:ascii="Abadi" w:hAnsi="Abadi"/>
          <w:sz w:val="21"/>
          <w:szCs w:val="21"/>
        </w:rPr>
        <w:t>a través de nuestro sistema electrónico efecto de aprobar o no el dictamen puesto a su consideración</w:t>
      </w:r>
      <w:r>
        <w:rPr>
          <w:rFonts w:ascii="Abadi" w:hAnsi="Abadi"/>
          <w:sz w:val="21"/>
          <w:szCs w:val="21"/>
        </w:rPr>
        <w:t>.</w:t>
      </w:r>
    </w:p>
    <w:p w14:paraId="19ED1C2D" w14:textId="77777777" w:rsidR="009A5771" w:rsidRDefault="009A5771" w:rsidP="009A5771">
      <w:pPr>
        <w:ind w:firstLine="708"/>
        <w:jc w:val="both"/>
        <w:rPr>
          <w:rFonts w:ascii="Abadi" w:hAnsi="Abadi"/>
          <w:sz w:val="21"/>
          <w:szCs w:val="21"/>
        </w:rPr>
      </w:pPr>
    </w:p>
    <w:p w14:paraId="3049A2DB" w14:textId="385EB0C8" w:rsidR="009A5771" w:rsidRDefault="009A5771" w:rsidP="009A5771">
      <w:pPr>
        <w:ind w:firstLine="708"/>
        <w:jc w:val="both"/>
        <w:rPr>
          <w:rFonts w:ascii="Abadi" w:hAnsi="Abadi"/>
          <w:b/>
          <w:bCs/>
          <w:sz w:val="21"/>
          <w:szCs w:val="21"/>
        </w:rPr>
      </w:pPr>
      <w:r w:rsidRPr="00985EC8">
        <w:rPr>
          <w:rFonts w:ascii="Abadi" w:hAnsi="Abadi"/>
          <w:b/>
          <w:bCs/>
          <w:sz w:val="21"/>
          <w:szCs w:val="21"/>
        </w:rPr>
        <w:t>(Abrimos nuestro sistema electrónico)</w:t>
      </w:r>
    </w:p>
    <w:p w14:paraId="23B0B89B" w14:textId="77777777" w:rsidR="009A5771" w:rsidRPr="00985EC8" w:rsidRDefault="009A5771" w:rsidP="009A5771">
      <w:pPr>
        <w:ind w:firstLine="708"/>
        <w:jc w:val="both"/>
        <w:rPr>
          <w:rFonts w:ascii="Abadi" w:hAnsi="Abadi"/>
          <w:b/>
          <w:bCs/>
          <w:sz w:val="21"/>
          <w:szCs w:val="21"/>
        </w:rPr>
      </w:pPr>
    </w:p>
    <w:p w14:paraId="13F96B07" w14:textId="77777777" w:rsidR="009A5771" w:rsidRPr="006813AA" w:rsidRDefault="009A5771" w:rsidP="009A5771">
      <w:pPr>
        <w:ind w:firstLine="708"/>
        <w:jc w:val="both"/>
        <w:rPr>
          <w:rFonts w:ascii="Abadi" w:hAnsi="Abadi"/>
          <w:sz w:val="21"/>
          <w:szCs w:val="21"/>
        </w:rPr>
      </w:pPr>
      <w:r w:rsidRPr="00985EC8">
        <w:rPr>
          <w:rFonts w:ascii="Abadi" w:hAnsi="Abadi"/>
          <w:b/>
          <w:bCs/>
          <w:sz w:val="21"/>
          <w:szCs w:val="21"/>
        </w:rPr>
        <w:t>- El Secretario.-</w:t>
      </w:r>
      <w:r>
        <w:rPr>
          <w:rFonts w:ascii="Abadi" w:hAnsi="Abadi"/>
          <w:sz w:val="21"/>
          <w:szCs w:val="21"/>
        </w:rPr>
        <w:t xml:space="preserve"> E</w:t>
      </w:r>
      <w:r w:rsidRPr="006813AA">
        <w:rPr>
          <w:rFonts w:ascii="Abadi" w:hAnsi="Abadi"/>
          <w:sz w:val="21"/>
          <w:szCs w:val="21"/>
        </w:rPr>
        <w:t xml:space="preserve">n votación nominal por el sistema electrónico se pregunta a las diputadas y los diputados </w:t>
      </w:r>
      <w:r>
        <w:rPr>
          <w:rFonts w:ascii="Abadi" w:hAnsi="Abadi"/>
          <w:sz w:val="21"/>
          <w:szCs w:val="21"/>
        </w:rPr>
        <w:t xml:space="preserve">si </w:t>
      </w:r>
      <w:r w:rsidRPr="006813AA">
        <w:rPr>
          <w:rFonts w:ascii="Abadi" w:hAnsi="Abadi"/>
          <w:sz w:val="21"/>
          <w:szCs w:val="21"/>
        </w:rPr>
        <w:t>se aprueba el dictamen puesto a su consideración</w:t>
      </w:r>
      <w:r>
        <w:rPr>
          <w:rFonts w:ascii="Abadi" w:hAnsi="Abadi"/>
          <w:sz w:val="21"/>
          <w:szCs w:val="21"/>
        </w:rPr>
        <w:t xml:space="preserve">. </w:t>
      </w:r>
    </w:p>
    <w:p w14:paraId="628B993F" w14:textId="4DA6E4E1" w:rsidR="009A5771" w:rsidRDefault="009A5771" w:rsidP="009A5771">
      <w:pPr>
        <w:jc w:val="both"/>
        <w:rPr>
          <w:rFonts w:ascii="Abadi" w:hAnsi="Abadi"/>
          <w:sz w:val="21"/>
          <w:szCs w:val="21"/>
        </w:rPr>
      </w:pPr>
      <w:r>
        <w:rPr>
          <w:rFonts w:ascii="Abadi" w:hAnsi="Abadi"/>
          <w:sz w:val="21"/>
          <w:szCs w:val="21"/>
        </w:rPr>
        <w:t>¿F</w:t>
      </w:r>
      <w:r w:rsidRPr="006813AA">
        <w:rPr>
          <w:rFonts w:ascii="Abadi" w:hAnsi="Abadi"/>
          <w:sz w:val="21"/>
          <w:szCs w:val="21"/>
        </w:rPr>
        <w:t>alta alguna diputada o algún diputado de emitir su voto</w:t>
      </w:r>
      <w:r>
        <w:rPr>
          <w:rFonts w:ascii="Abadi" w:hAnsi="Abadi"/>
          <w:sz w:val="21"/>
          <w:szCs w:val="21"/>
        </w:rPr>
        <w:t>?</w:t>
      </w:r>
    </w:p>
    <w:p w14:paraId="16A76C06" w14:textId="77777777" w:rsidR="009A5771" w:rsidRDefault="009A5771" w:rsidP="009A5771">
      <w:pPr>
        <w:jc w:val="both"/>
        <w:rPr>
          <w:rFonts w:ascii="Abadi" w:hAnsi="Abadi"/>
          <w:sz w:val="21"/>
          <w:szCs w:val="21"/>
        </w:rPr>
      </w:pPr>
    </w:p>
    <w:p w14:paraId="2082FE73" w14:textId="77777777" w:rsidR="009A5771" w:rsidRDefault="009A5771" w:rsidP="009A5771">
      <w:pPr>
        <w:jc w:val="both"/>
        <w:rPr>
          <w:rFonts w:ascii="Abadi" w:hAnsi="Abadi"/>
          <w:b/>
          <w:bCs/>
          <w:sz w:val="21"/>
          <w:szCs w:val="21"/>
        </w:rPr>
      </w:pPr>
      <w:r w:rsidRPr="00F14CEA">
        <w:rPr>
          <w:rFonts w:ascii="Abadi" w:hAnsi="Abadi"/>
          <w:b/>
          <w:bCs/>
          <w:sz w:val="21"/>
          <w:szCs w:val="21"/>
        </w:rPr>
        <w:t>(Cerramos el sistema electrónico)</w:t>
      </w:r>
    </w:p>
    <w:p w14:paraId="5C683F38" w14:textId="77777777" w:rsidR="009A5771" w:rsidRDefault="009A5771" w:rsidP="009A5771">
      <w:pPr>
        <w:jc w:val="both"/>
        <w:rPr>
          <w:rFonts w:ascii="Abadi" w:hAnsi="Abadi"/>
          <w:b/>
          <w:bCs/>
          <w:sz w:val="21"/>
          <w:szCs w:val="21"/>
        </w:rPr>
      </w:pPr>
    </w:p>
    <w:p w14:paraId="1E0B5D5F" w14:textId="77777777" w:rsidR="009A5771" w:rsidRPr="00F14CEA" w:rsidRDefault="009A5771" w:rsidP="009A5771">
      <w:pPr>
        <w:jc w:val="both"/>
        <w:rPr>
          <w:rFonts w:ascii="Abadi" w:hAnsi="Abadi"/>
          <w:b/>
          <w:bCs/>
          <w:sz w:val="21"/>
          <w:szCs w:val="21"/>
        </w:rPr>
      </w:pPr>
      <w:r>
        <w:rPr>
          <w:noProof/>
        </w:rPr>
        <w:drawing>
          <wp:inline distT="0" distB="0" distL="0" distR="0" wp14:anchorId="45D1E023" wp14:editId="6DF10594">
            <wp:extent cx="1772368" cy="913104"/>
            <wp:effectExtent l="323850" t="323850" r="323215" b="325755"/>
            <wp:docPr id="60" name="Imagen 60"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descr="Interfaz de usuario gráfica, Texto, Sitio web&#10;&#10;Descripción generada automáticamente"/>
                    <pic:cNvPicPr/>
                  </pic:nvPicPr>
                  <pic:blipFill rotWithShape="1">
                    <a:blip r:embed="rId66"/>
                    <a:srcRect b="8367"/>
                    <a:stretch/>
                  </pic:blipFill>
                  <pic:spPr bwMode="auto">
                    <a:xfrm>
                      <a:off x="0" y="0"/>
                      <a:ext cx="1805112" cy="929973"/>
                    </a:xfrm>
                    <a:prstGeom prst="rect">
                      <a:avLst/>
                    </a:prstGeom>
                    <a:ln w="88900" cap="sq" cmpd="thickThin">
                      <a:solidFill>
                        <a:srgbClr val="000000"/>
                      </a:solidFill>
                      <a:prstDash val="solid"/>
                      <a:miter lim="800000"/>
                    </a:ln>
                    <a:effectLst>
                      <a:glow rad="228600">
                        <a:schemeClr val="accent3">
                          <a:satMod val="1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3509B8D7" w14:textId="19E0E657" w:rsidR="009A5771" w:rsidRDefault="009A5771" w:rsidP="009A5771">
      <w:pPr>
        <w:jc w:val="both"/>
        <w:rPr>
          <w:rFonts w:ascii="Abadi" w:hAnsi="Abadi"/>
          <w:sz w:val="21"/>
          <w:szCs w:val="21"/>
        </w:rPr>
      </w:pPr>
      <w:r>
        <w:rPr>
          <w:rFonts w:ascii="Abadi" w:hAnsi="Abadi"/>
          <w:b/>
          <w:bCs/>
          <w:sz w:val="21"/>
          <w:szCs w:val="21"/>
        </w:rPr>
        <w:tab/>
      </w:r>
      <w:r w:rsidRPr="00F14CEA">
        <w:rPr>
          <w:rFonts w:ascii="Abadi" w:hAnsi="Abadi"/>
          <w:b/>
          <w:bCs/>
          <w:sz w:val="21"/>
          <w:szCs w:val="21"/>
        </w:rPr>
        <w:t>- El Secretario.-</w:t>
      </w:r>
      <w:r>
        <w:rPr>
          <w:rFonts w:ascii="Abadi" w:hAnsi="Abadi"/>
          <w:sz w:val="21"/>
          <w:szCs w:val="21"/>
        </w:rPr>
        <w:t xml:space="preserve"> S</w:t>
      </w:r>
      <w:r w:rsidRPr="006813AA">
        <w:rPr>
          <w:rFonts w:ascii="Abadi" w:hAnsi="Abadi"/>
          <w:sz w:val="21"/>
          <w:szCs w:val="21"/>
        </w:rPr>
        <w:t>e registraron 2</w:t>
      </w:r>
      <w:r>
        <w:rPr>
          <w:rFonts w:ascii="Abadi" w:hAnsi="Abadi"/>
          <w:sz w:val="21"/>
          <w:szCs w:val="21"/>
        </w:rPr>
        <w:t>7</w:t>
      </w:r>
      <w:r w:rsidRPr="006813AA">
        <w:rPr>
          <w:rFonts w:ascii="Abadi" w:hAnsi="Abadi"/>
          <w:sz w:val="21"/>
          <w:szCs w:val="21"/>
        </w:rPr>
        <w:t xml:space="preserve"> votos a favor y </w:t>
      </w:r>
      <w:r>
        <w:rPr>
          <w:rFonts w:ascii="Abadi" w:hAnsi="Abadi"/>
          <w:sz w:val="21"/>
          <w:szCs w:val="21"/>
        </w:rPr>
        <w:t>6</w:t>
      </w:r>
      <w:r w:rsidRPr="006813AA">
        <w:rPr>
          <w:rFonts w:ascii="Abadi" w:hAnsi="Abadi"/>
          <w:sz w:val="21"/>
          <w:szCs w:val="21"/>
        </w:rPr>
        <w:t xml:space="preserve"> votos en contra</w:t>
      </w:r>
      <w:r>
        <w:rPr>
          <w:rFonts w:ascii="Abadi" w:hAnsi="Abadi"/>
          <w:sz w:val="21"/>
          <w:szCs w:val="21"/>
        </w:rPr>
        <w:t xml:space="preserve"> Señor Presidente.</w:t>
      </w:r>
    </w:p>
    <w:p w14:paraId="0F65226A" w14:textId="77777777" w:rsidR="009A5771" w:rsidRDefault="009A5771" w:rsidP="009A5771">
      <w:pPr>
        <w:jc w:val="both"/>
        <w:rPr>
          <w:rFonts w:ascii="Abadi" w:hAnsi="Abadi"/>
          <w:sz w:val="21"/>
          <w:szCs w:val="21"/>
        </w:rPr>
      </w:pPr>
    </w:p>
    <w:p w14:paraId="5104D3D7" w14:textId="63F167DA" w:rsidR="009A5771" w:rsidRDefault="009A5771" w:rsidP="009A5771">
      <w:pPr>
        <w:jc w:val="both"/>
        <w:rPr>
          <w:rFonts w:ascii="Abadi" w:hAnsi="Abadi"/>
          <w:sz w:val="21"/>
          <w:szCs w:val="21"/>
        </w:rPr>
      </w:pPr>
      <w:r>
        <w:rPr>
          <w:rFonts w:ascii="Abadi" w:hAnsi="Abadi"/>
          <w:sz w:val="21"/>
          <w:szCs w:val="21"/>
        </w:rPr>
        <w:tab/>
      </w:r>
      <w:r w:rsidRPr="006813AA">
        <w:rPr>
          <w:rFonts w:ascii="Abadi" w:hAnsi="Abadi"/>
          <w:sz w:val="21"/>
          <w:szCs w:val="21"/>
        </w:rPr>
        <w:t xml:space="preserve"> </w:t>
      </w:r>
      <w:r>
        <w:rPr>
          <w:rFonts w:ascii="Abadi" w:hAnsi="Abadi"/>
          <w:sz w:val="21"/>
          <w:szCs w:val="21"/>
        </w:rPr>
        <w:t xml:space="preserve">- </w:t>
      </w:r>
      <w:r w:rsidRPr="00F14CEA">
        <w:rPr>
          <w:rFonts w:ascii="Abadi" w:hAnsi="Abadi"/>
          <w:b/>
          <w:bCs/>
          <w:sz w:val="21"/>
          <w:szCs w:val="21"/>
        </w:rPr>
        <w:t>El Presidente.-</w:t>
      </w:r>
      <w:r>
        <w:rPr>
          <w:rFonts w:ascii="Abadi" w:hAnsi="Abadi"/>
          <w:sz w:val="21"/>
          <w:szCs w:val="21"/>
        </w:rPr>
        <w:t xml:space="preserve"> Por </w:t>
      </w:r>
      <w:r w:rsidRPr="006813AA">
        <w:rPr>
          <w:rFonts w:ascii="Abadi" w:hAnsi="Abadi"/>
          <w:sz w:val="21"/>
          <w:szCs w:val="21"/>
        </w:rPr>
        <w:t>mayoría de votos</w:t>
      </w:r>
      <w:r>
        <w:rPr>
          <w:rFonts w:ascii="Abadi" w:hAnsi="Abadi"/>
          <w:sz w:val="21"/>
          <w:szCs w:val="21"/>
        </w:rPr>
        <w:t xml:space="preserve"> ha sido a probado este dictamen. </w:t>
      </w:r>
    </w:p>
    <w:p w14:paraId="501D94C3" w14:textId="77777777" w:rsidR="009A5771" w:rsidRDefault="009A5771" w:rsidP="009A5771">
      <w:pPr>
        <w:jc w:val="both"/>
        <w:rPr>
          <w:rFonts w:ascii="Abadi" w:hAnsi="Abadi"/>
          <w:sz w:val="21"/>
          <w:szCs w:val="21"/>
        </w:rPr>
      </w:pPr>
    </w:p>
    <w:p w14:paraId="413FC0BD" w14:textId="77777777" w:rsidR="009A5771" w:rsidRDefault="009A5771" w:rsidP="009A5771">
      <w:pPr>
        <w:ind w:left="284" w:right="425"/>
        <w:jc w:val="both"/>
        <w:rPr>
          <w:rFonts w:ascii="Abadi" w:hAnsi="Abadi"/>
          <w:sz w:val="21"/>
          <w:szCs w:val="21"/>
        </w:rPr>
      </w:pPr>
      <w:r w:rsidRPr="009936EB">
        <w:rPr>
          <w:rFonts w:ascii="Abadi" w:hAnsi="Abadi"/>
          <w:b/>
          <w:bCs/>
          <w:i/>
          <w:iCs/>
          <w:sz w:val="21"/>
          <w:szCs w:val="21"/>
          <w:u w:val="single"/>
        </w:rPr>
        <w:t>En consecuencia se instruye a la Secretaría General para que proceda el archivo definitivo de la</w:t>
      </w:r>
      <w:r>
        <w:rPr>
          <w:rFonts w:ascii="Abadi" w:hAnsi="Abadi"/>
          <w:b/>
          <w:bCs/>
          <w:i/>
          <w:iCs/>
          <w:sz w:val="21"/>
          <w:szCs w:val="21"/>
          <w:u w:val="single"/>
        </w:rPr>
        <w:t xml:space="preserve"> propuesta de punto de acuerdo referida en el dictamen aprobado.</w:t>
      </w:r>
    </w:p>
    <w:p w14:paraId="3D86F5DF" w14:textId="77777777" w:rsidR="008B6ABF" w:rsidRPr="00043B5B" w:rsidRDefault="008B6ABF" w:rsidP="00FE053F">
      <w:pPr>
        <w:jc w:val="both"/>
        <w:textAlignment w:val="baseline"/>
        <w:rPr>
          <w:rFonts w:ascii="Abadi" w:hAnsi="Abadi" w:cs="Segoe UI"/>
          <w:b/>
          <w:bCs/>
          <w:sz w:val="21"/>
          <w:szCs w:val="21"/>
          <w:lang w:val="es-MX" w:eastAsia="es-MX"/>
        </w:rPr>
      </w:pPr>
    </w:p>
    <w:p w14:paraId="2F850352" w14:textId="77777777" w:rsidR="00DA3E86" w:rsidRPr="0028553C" w:rsidRDefault="00DA3E86" w:rsidP="00FE053F">
      <w:pPr>
        <w:autoSpaceDE w:val="0"/>
        <w:autoSpaceDN w:val="0"/>
        <w:adjustRightInd w:val="0"/>
        <w:jc w:val="both"/>
        <w:rPr>
          <w:rFonts w:ascii="Abadi" w:hAnsi="Abadi" w:cs="Arial-BoldMT"/>
          <w:b/>
          <w:bCs/>
          <w:sz w:val="20"/>
          <w:szCs w:val="21"/>
        </w:rPr>
      </w:pPr>
    </w:p>
    <w:p w14:paraId="427E86EF" w14:textId="16157D79" w:rsidR="00E462B6" w:rsidRPr="00A33AA1" w:rsidRDefault="00E462B6" w:rsidP="00FE053F">
      <w:pPr>
        <w:pStyle w:val="Prrafodelista"/>
        <w:numPr>
          <w:ilvl w:val="0"/>
          <w:numId w:val="14"/>
        </w:numPr>
        <w:autoSpaceDE w:val="0"/>
        <w:autoSpaceDN w:val="0"/>
        <w:adjustRightInd w:val="0"/>
        <w:contextualSpacing/>
        <w:jc w:val="both"/>
        <w:rPr>
          <w:rFonts w:ascii="Abadi" w:hAnsi="Abadi" w:cs="ArialMT"/>
          <w:b/>
          <w:bCs/>
          <w:sz w:val="20"/>
          <w:szCs w:val="21"/>
        </w:rPr>
      </w:pPr>
      <w:r w:rsidRPr="0028553C">
        <w:rPr>
          <w:rFonts w:ascii="Abadi" w:hAnsi="Abadi" w:cs="ArialMT"/>
          <w:b/>
          <w:bCs/>
          <w:sz w:val="20"/>
          <w:szCs w:val="21"/>
        </w:rPr>
        <w:t>DISCUSIÓN Y, EN SU CASO, APROBACIÓN DEL DICTAMEN SUSCRITO POR LA COMISIÓN DE SEGURIDAD PÚBLICA Y COMUNICACIONES RELATIVO A LA PROPUESTA DE PUNTO DE ACUERDO FORMULADA ANTE LA SEXAGÉSIMA CUARTA LEGISLATURA, POR EL DIPUTADO ERNESTO ALEJANDRO PRIETO GALLARDO, INTEGRANTE DEL GRUPO PARLAMENTARIO DEL PARTIDO MORENA, PARA EXHORTAR AL GOBERNADOR DEL ESTADO DE GUANAJUATO EL C. DIEGO SINHUE RODRÍGUEZ VALLEJO A FIN DE QUE ACUDA A TODAS Y CADA UNA DE MESAS DE SEGURIDAD QUE SE REALIZAN EN CONJUNTO CON LA SECRETARÍA DE SEGURIDAD Y PROTECCIÓN CIUDADANA DEL GOBIERNO DE MÉXICO, ASIMISMO, PARA QUE IMPLEMENTE UNA ESTRATEGIA EFECTIVA PARA COMBATIR LA INCIDENCIA DELICTIVA CUMPLIENDO CON SU OBLIGACIÓN CONSTITUCIONAL DE BRINDAR SEGURIDAD A LOS GUANAJUATENSES Y DENTRO DE DICHA ESTRATEGIA SE CONTEMPLE, CON BASE EN LAS ESTADÍSTICAS REALES SOBRE LOS RESULTADOS EN MATERIA DE SEGURIDAD, LA</w:t>
      </w:r>
      <w:r w:rsidR="00A33AA1">
        <w:rPr>
          <w:rFonts w:ascii="Abadi" w:hAnsi="Abadi" w:cs="ArialMT"/>
          <w:b/>
          <w:bCs/>
          <w:sz w:val="20"/>
          <w:szCs w:val="21"/>
        </w:rPr>
        <w:t xml:space="preserve"> </w:t>
      </w:r>
      <w:r w:rsidRPr="00A33AA1">
        <w:rPr>
          <w:rFonts w:ascii="Abadi" w:hAnsi="Abadi" w:cs="ArialMT"/>
          <w:b/>
          <w:bCs/>
          <w:sz w:val="20"/>
          <w:szCs w:val="21"/>
        </w:rPr>
        <w:t>PERMANENCIA O REMOCIÓN DEL TITULAR DE LA SECRETARÍA DE SEGURIDAD PÚBLICA DEL ESTADO, EL C. ALVAR CABEZA DE VACA APPENDINI Y, A SU VEZ, EJECUTE LOS TRÁMITES PERTINENTES PARA REMOVER AL FISCAL GENERAL DEL ESTADO DE GUANAJUATO, EL C. CARLOS ZAMARRIPA AGUIRRE, DE ACUERDO CON LA FACULTAD CONFERIDA EN EL ARTÍCULO 77 FRACCIÓN XI DE LA CONSTITUCIÓN LOCAL QUE POSEE EL PODER EJECUTIVO DEL ESTADO.</w:t>
      </w:r>
    </w:p>
    <w:p w14:paraId="0B0B65A1" w14:textId="517B4E3E" w:rsidR="00E462B6" w:rsidRDefault="00E462B6" w:rsidP="00FE053F">
      <w:pPr>
        <w:autoSpaceDE w:val="0"/>
        <w:autoSpaceDN w:val="0"/>
        <w:adjustRightInd w:val="0"/>
        <w:jc w:val="both"/>
        <w:rPr>
          <w:rFonts w:ascii="Abadi" w:hAnsi="Abadi" w:cs="ArialMT"/>
          <w:b/>
          <w:bCs/>
          <w:sz w:val="20"/>
          <w:szCs w:val="21"/>
        </w:rPr>
      </w:pPr>
    </w:p>
    <w:p w14:paraId="212B8445" w14:textId="77777777" w:rsidR="009572A9" w:rsidRPr="009572A9" w:rsidRDefault="009572A9" w:rsidP="00FE053F">
      <w:pPr>
        <w:rPr>
          <w:rFonts w:ascii="Abadi" w:eastAsiaTheme="minorHAnsi" w:hAnsi="Abadi" w:cs="Arial"/>
          <w:b/>
          <w:sz w:val="21"/>
          <w:szCs w:val="21"/>
          <w:lang w:val="es-MX" w:eastAsia="en-US"/>
        </w:rPr>
      </w:pPr>
      <w:r w:rsidRPr="009572A9">
        <w:rPr>
          <w:rFonts w:ascii="Abadi" w:eastAsiaTheme="minorHAnsi" w:hAnsi="Abadi" w:cs="Arial"/>
          <w:b/>
          <w:sz w:val="21"/>
          <w:szCs w:val="21"/>
          <w:lang w:val="es-MX" w:eastAsia="en-US"/>
        </w:rPr>
        <w:t>Presidencia de la Mesa Directiva</w:t>
      </w:r>
    </w:p>
    <w:p w14:paraId="1D7E1C37" w14:textId="77777777" w:rsidR="009572A9" w:rsidRPr="009572A9" w:rsidRDefault="009572A9" w:rsidP="00FE053F">
      <w:pPr>
        <w:rPr>
          <w:rFonts w:ascii="Abadi" w:eastAsiaTheme="minorHAnsi" w:hAnsi="Abadi" w:cs="Arial"/>
          <w:b/>
          <w:sz w:val="21"/>
          <w:szCs w:val="21"/>
          <w:lang w:val="es-MX" w:eastAsia="en-US"/>
        </w:rPr>
      </w:pPr>
      <w:r w:rsidRPr="009572A9">
        <w:rPr>
          <w:rFonts w:ascii="Abadi" w:eastAsiaTheme="minorHAnsi" w:hAnsi="Abadi" w:cs="Arial"/>
          <w:b/>
          <w:sz w:val="21"/>
          <w:szCs w:val="21"/>
          <w:lang w:val="es-MX" w:eastAsia="en-US"/>
        </w:rPr>
        <w:t>Congreso del Estado</w:t>
      </w:r>
    </w:p>
    <w:p w14:paraId="0A0D38F5" w14:textId="77777777" w:rsidR="009572A9" w:rsidRPr="009572A9" w:rsidRDefault="009572A9" w:rsidP="00FE053F">
      <w:pPr>
        <w:rPr>
          <w:rFonts w:ascii="Abadi" w:eastAsiaTheme="minorHAnsi" w:hAnsi="Abadi" w:cs="Arial"/>
          <w:b/>
          <w:sz w:val="21"/>
          <w:szCs w:val="21"/>
          <w:lang w:val="es-MX" w:eastAsia="en-US"/>
        </w:rPr>
      </w:pPr>
      <w:r w:rsidRPr="009572A9">
        <w:rPr>
          <w:rFonts w:ascii="Abadi" w:eastAsiaTheme="minorHAnsi" w:hAnsi="Abadi" w:cs="Arial"/>
          <w:b/>
          <w:sz w:val="21"/>
          <w:szCs w:val="21"/>
          <w:lang w:val="es-MX" w:eastAsia="en-US"/>
        </w:rPr>
        <w:t>Presente</w:t>
      </w:r>
    </w:p>
    <w:p w14:paraId="384ED3B7" w14:textId="77777777" w:rsidR="009572A9" w:rsidRPr="009572A9" w:rsidRDefault="009572A9" w:rsidP="00FE053F">
      <w:pPr>
        <w:spacing w:before="100" w:beforeAutospacing="1" w:afterAutospacing="1"/>
        <w:jc w:val="both"/>
        <w:textAlignment w:val="baseline"/>
        <w:rPr>
          <w:rFonts w:ascii="Abadi" w:hAnsi="Abadi" w:cs="Arial"/>
          <w:sz w:val="21"/>
          <w:szCs w:val="21"/>
          <w:lang w:val="es-MX" w:eastAsia="es-MX"/>
        </w:rPr>
      </w:pPr>
      <w:r w:rsidRPr="009572A9">
        <w:rPr>
          <w:rFonts w:ascii="Abadi" w:hAnsi="Abadi" w:cs="Arial"/>
          <w:sz w:val="21"/>
          <w:szCs w:val="21"/>
          <w:lang w:val="es-MX" w:eastAsia="es-MX"/>
        </w:rPr>
        <w:t>Correspondió a esta Comisión de Seguridad Pública y Comunicaciones analizar y dictaminar la propuesta de punto de acuerdo formulado, en la LXIV Legislatura, por el Diputado Ernesto Alejandro Prieto Gallardo, integrante del Grupo Parlamentario de MORENA, para exhortar al Gobernador del Estado de Guanajuato el C. Diego Sinhue Rodríguez Vallejo a fin que acuda a todas y cada una de mesas de seguridad que se realizan en conjunto con la Secretaría de Seguridad y Protección Ciudadana del Gobierno de México, asimismo, para que implemente una estrategia efectiva para combatir la incidencia delictiva cumpliendo con su obligación constitucional de brindar seguridad a los guanajuatenses y dentro de dicha estrategia se contemple, con base en las estadísticas reales sobre los resultados en materia de seguridad, la permanencia o remoción del Titular de la Secretaría de Seguridad Pública del Estado, el C. Alvar Cabeza De Vaca Appendini y, a su vez, ejecute los trámites pertinentes para remover al Fiscal General del Estado de Guanajuato, el C. Carlos Zamarripa Aguirre, de acuerdo con la facultad conferida en el artículo 77 fracción XI de la Constitución Local que posee el Poder Ejecutivo del Estado.</w:t>
      </w:r>
    </w:p>
    <w:p w14:paraId="431CDC9C" w14:textId="77777777" w:rsidR="009572A9" w:rsidRPr="009572A9" w:rsidRDefault="009572A9" w:rsidP="00FE053F">
      <w:pPr>
        <w:jc w:val="both"/>
        <w:textAlignment w:val="baseline"/>
        <w:rPr>
          <w:rFonts w:ascii="Abadi" w:hAnsi="Abadi" w:cs="Arial"/>
          <w:sz w:val="21"/>
          <w:szCs w:val="21"/>
          <w:lang w:val="es-MX" w:eastAsia="es-MX"/>
        </w:rPr>
      </w:pPr>
      <w:r w:rsidRPr="009572A9">
        <w:rPr>
          <w:rFonts w:ascii="Abadi" w:hAnsi="Abadi" w:cs="Arial"/>
          <w:sz w:val="21"/>
          <w:szCs w:val="21"/>
          <w:lang w:val="es-MX" w:eastAsia="es-MX"/>
        </w:rPr>
        <w:t xml:space="preserve">Con fundamento en el artículo 119 fracción II y 180 de la Ley Orgánica del Poder Legislativo del Estado de Guanajuato, se procede a realizar el siguiente: </w:t>
      </w:r>
    </w:p>
    <w:p w14:paraId="4548314D" w14:textId="77777777" w:rsidR="009572A9" w:rsidRPr="009572A9" w:rsidRDefault="009572A9" w:rsidP="00FE053F">
      <w:pPr>
        <w:jc w:val="both"/>
        <w:textAlignment w:val="baseline"/>
        <w:rPr>
          <w:rFonts w:ascii="Abadi" w:hAnsi="Abadi" w:cs="Arial"/>
          <w:sz w:val="21"/>
          <w:szCs w:val="21"/>
          <w:lang w:val="es-MX" w:eastAsia="es-MX"/>
        </w:rPr>
      </w:pPr>
    </w:p>
    <w:p w14:paraId="7D982EA3" w14:textId="77777777" w:rsidR="009572A9" w:rsidRPr="009572A9" w:rsidRDefault="009572A9" w:rsidP="00FE053F">
      <w:pPr>
        <w:jc w:val="center"/>
        <w:textAlignment w:val="baseline"/>
        <w:rPr>
          <w:rFonts w:ascii="Abadi" w:hAnsi="Abadi" w:cs="Arial"/>
          <w:b/>
          <w:sz w:val="21"/>
          <w:szCs w:val="21"/>
          <w:lang w:val="es-MX" w:eastAsia="es-MX"/>
        </w:rPr>
      </w:pPr>
      <w:r w:rsidRPr="009572A9">
        <w:rPr>
          <w:rFonts w:ascii="Abadi" w:hAnsi="Abadi" w:cs="Arial"/>
          <w:b/>
          <w:sz w:val="21"/>
          <w:szCs w:val="21"/>
          <w:lang w:val="es-MX" w:eastAsia="es-MX"/>
        </w:rPr>
        <w:t>D i c t a m e n</w:t>
      </w:r>
    </w:p>
    <w:p w14:paraId="524210FC" w14:textId="77777777" w:rsidR="009572A9" w:rsidRPr="009572A9" w:rsidRDefault="009572A9" w:rsidP="00FE053F">
      <w:pPr>
        <w:jc w:val="center"/>
        <w:textAlignment w:val="baseline"/>
        <w:rPr>
          <w:rFonts w:ascii="Abadi" w:hAnsi="Abadi" w:cs="Arial"/>
          <w:b/>
          <w:sz w:val="21"/>
          <w:szCs w:val="21"/>
          <w:lang w:val="es-MX" w:eastAsia="es-MX"/>
        </w:rPr>
      </w:pPr>
    </w:p>
    <w:p w14:paraId="4B92716F" w14:textId="77777777" w:rsidR="009572A9" w:rsidRPr="009572A9" w:rsidRDefault="009572A9" w:rsidP="00FE053F">
      <w:pPr>
        <w:numPr>
          <w:ilvl w:val="0"/>
          <w:numId w:val="44"/>
        </w:numPr>
        <w:textAlignment w:val="baseline"/>
        <w:rPr>
          <w:rFonts w:ascii="Abadi" w:hAnsi="Abadi" w:cs="Arial"/>
          <w:b/>
          <w:sz w:val="21"/>
          <w:szCs w:val="21"/>
          <w:lang w:val="es-MX" w:eastAsia="es-MX"/>
        </w:rPr>
      </w:pPr>
      <w:r w:rsidRPr="009572A9">
        <w:rPr>
          <w:rFonts w:ascii="Abadi" w:hAnsi="Abadi" w:cs="Arial"/>
          <w:b/>
          <w:sz w:val="21"/>
          <w:szCs w:val="21"/>
          <w:lang w:val="es-MX" w:eastAsia="es-MX"/>
        </w:rPr>
        <w:t>Antecedentes.</w:t>
      </w:r>
    </w:p>
    <w:p w14:paraId="4C1679A7" w14:textId="77777777" w:rsidR="009572A9" w:rsidRPr="009572A9" w:rsidRDefault="009572A9" w:rsidP="00FE053F">
      <w:pPr>
        <w:textAlignment w:val="baseline"/>
        <w:rPr>
          <w:rFonts w:ascii="Abadi" w:hAnsi="Abadi" w:cs="Arial"/>
          <w:sz w:val="21"/>
          <w:szCs w:val="21"/>
          <w:lang w:val="es-MX" w:eastAsia="es-MX"/>
        </w:rPr>
      </w:pPr>
    </w:p>
    <w:p w14:paraId="1545DCB4" w14:textId="77777777" w:rsidR="009572A9" w:rsidRPr="009572A9" w:rsidRDefault="009572A9" w:rsidP="00FE053F">
      <w:pPr>
        <w:jc w:val="both"/>
        <w:textAlignment w:val="baseline"/>
        <w:rPr>
          <w:rFonts w:ascii="Abadi" w:hAnsi="Abadi" w:cs="Arial"/>
          <w:sz w:val="21"/>
          <w:szCs w:val="21"/>
          <w:lang w:val="es-MX" w:eastAsia="es-MX"/>
        </w:rPr>
      </w:pPr>
      <w:r w:rsidRPr="009572A9">
        <w:rPr>
          <w:rFonts w:ascii="Abadi" w:hAnsi="Abadi" w:cs="Arial"/>
          <w:sz w:val="21"/>
          <w:szCs w:val="21"/>
          <w:lang w:val="es-MX" w:eastAsia="es-MX"/>
        </w:rPr>
        <w:t xml:space="preserve">La propuesta de acuerdo fue presentada en la sesión ordinaria celebrada en fecha 23 de junio de 2020 y su radicación se realizó en reunión del día 20 de julio del mismo año.  </w:t>
      </w:r>
    </w:p>
    <w:p w14:paraId="3430A17C" w14:textId="77777777" w:rsidR="009572A9" w:rsidRPr="009572A9" w:rsidRDefault="009572A9" w:rsidP="00FE053F">
      <w:pPr>
        <w:jc w:val="both"/>
        <w:textAlignment w:val="baseline"/>
        <w:rPr>
          <w:rFonts w:ascii="Abadi" w:hAnsi="Abadi" w:cs="Arial"/>
          <w:sz w:val="21"/>
          <w:szCs w:val="21"/>
          <w:lang w:val="es-MX" w:eastAsia="es-MX"/>
        </w:rPr>
      </w:pPr>
    </w:p>
    <w:p w14:paraId="48AFDF73" w14:textId="77777777" w:rsidR="009572A9" w:rsidRPr="009572A9" w:rsidRDefault="009572A9" w:rsidP="00FE053F">
      <w:pPr>
        <w:jc w:val="both"/>
        <w:textAlignment w:val="baseline"/>
        <w:rPr>
          <w:rFonts w:ascii="Abadi" w:hAnsi="Abadi" w:cs="Arial"/>
          <w:sz w:val="21"/>
          <w:szCs w:val="21"/>
          <w:lang w:val="es-MX" w:eastAsia="es-MX"/>
        </w:rPr>
      </w:pPr>
      <w:r w:rsidRPr="009572A9">
        <w:rPr>
          <w:rFonts w:ascii="Abadi" w:hAnsi="Abadi" w:cs="Arial"/>
          <w:sz w:val="21"/>
          <w:szCs w:val="21"/>
          <w:lang w:val="es-MX" w:eastAsia="es-MX"/>
        </w:rPr>
        <w:t xml:space="preserve">No habiéndose determinado acción posterior, </w:t>
      </w:r>
      <w:r w:rsidRPr="009572A9">
        <w:rPr>
          <w:rFonts w:ascii="Abadi" w:hAnsi="Abadi"/>
          <w:sz w:val="21"/>
          <w:szCs w:val="21"/>
          <w:lang w:val="es-MX" w:eastAsia="es-MX"/>
        </w:rPr>
        <w:t xml:space="preserve">en fecha 14 de septiembre de 2021, los diputados integrantes de la Comisión de Seguridad Pública y Comunicaciones de la Sexagésima Cuarta Legislatura, determinaron señalar la referida propuesta de acuerdo como pendiente legislativo </w:t>
      </w:r>
      <w:r w:rsidRPr="009572A9">
        <w:rPr>
          <w:rFonts w:ascii="Abadi" w:hAnsi="Abadi" w:cs="Arial"/>
          <w:sz w:val="21"/>
          <w:szCs w:val="21"/>
          <w:lang w:val="es-MX" w:eastAsia="es-MX"/>
        </w:rPr>
        <w:t>dentro del Informe de Actividades Legislativas</w:t>
      </w:r>
      <w:r w:rsidRPr="009572A9">
        <w:rPr>
          <w:rFonts w:ascii="Abadi" w:hAnsi="Abadi"/>
          <w:sz w:val="21"/>
          <w:szCs w:val="21"/>
          <w:lang w:val="es-MX" w:eastAsia="es-MX"/>
        </w:rPr>
        <w:t>, para que fuera la siguiente Legislatura quien se pronunciara al respecto</w:t>
      </w:r>
      <w:r w:rsidRPr="009572A9">
        <w:rPr>
          <w:rFonts w:ascii="Abadi" w:hAnsi="Abadi" w:cs="Arial"/>
          <w:sz w:val="21"/>
          <w:szCs w:val="21"/>
          <w:lang w:val="es-MX" w:eastAsia="es-MX"/>
        </w:rPr>
        <w:t xml:space="preserve">.  </w:t>
      </w:r>
    </w:p>
    <w:p w14:paraId="1E1C0A9B" w14:textId="77777777" w:rsidR="009572A9" w:rsidRPr="009572A9" w:rsidRDefault="009572A9" w:rsidP="00FE053F">
      <w:pPr>
        <w:jc w:val="both"/>
        <w:textAlignment w:val="baseline"/>
        <w:rPr>
          <w:rFonts w:ascii="Abadi" w:hAnsi="Abadi" w:cs="Arial"/>
          <w:sz w:val="21"/>
          <w:szCs w:val="21"/>
          <w:lang w:val="es-MX" w:eastAsia="es-MX"/>
        </w:rPr>
      </w:pPr>
    </w:p>
    <w:p w14:paraId="34CFAF41" w14:textId="77777777" w:rsidR="009572A9" w:rsidRPr="009572A9" w:rsidRDefault="009572A9" w:rsidP="00FE053F">
      <w:pPr>
        <w:jc w:val="both"/>
        <w:textAlignment w:val="baseline"/>
        <w:rPr>
          <w:rFonts w:ascii="Abadi" w:hAnsi="Abadi"/>
          <w:sz w:val="21"/>
          <w:szCs w:val="21"/>
          <w:lang w:val="es-MX" w:eastAsia="es-MX"/>
        </w:rPr>
      </w:pPr>
      <w:r w:rsidRPr="009572A9">
        <w:rPr>
          <w:rFonts w:ascii="Abadi" w:hAnsi="Abadi"/>
          <w:sz w:val="21"/>
          <w:szCs w:val="21"/>
          <w:lang w:val="es-MX" w:eastAsia="es-MX"/>
        </w:rPr>
        <w:t>Instalada la Comisión de Seguridad Pública y Comunicaciones de la Sexagésima Quinta Legislatura, en fecha 12 de octubre de 2022, nos impusimos del contenido de los pendientes legislativos, encontrándose entre ellos la referida propuesta de acuerdo que se dictamina.</w:t>
      </w:r>
    </w:p>
    <w:p w14:paraId="1E832D60" w14:textId="77777777" w:rsidR="009572A9" w:rsidRPr="009572A9" w:rsidRDefault="009572A9" w:rsidP="00FE053F">
      <w:pPr>
        <w:jc w:val="both"/>
        <w:textAlignment w:val="baseline"/>
        <w:rPr>
          <w:rFonts w:ascii="Abadi" w:hAnsi="Abadi"/>
          <w:sz w:val="21"/>
          <w:szCs w:val="21"/>
          <w:lang w:val="es-MX" w:eastAsia="es-MX"/>
        </w:rPr>
      </w:pPr>
    </w:p>
    <w:p w14:paraId="297090C5" w14:textId="77777777" w:rsidR="009572A9" w:rsidRPr="009572A9" w:rsidRDefault="009572A9" w:rsidP="00FE053F">
      <w:pPr>
        <w:jc w:val="both"/>
        <w:textAlignment w:val="baseline"/>
        <w:rPr>
          <w:rFonts w:ascii="Abadi" w:hAnsi="Abadi"/>
          <w:sz w:val="21"/>
          <w:szCs w:val="21"/>
          <w:lang w:val="es-MX" w:eastAsia="es-MX"/>
        </w:rPr>
      </w:pPr>
      <w:r w:rsidRPr="009572A9">
        <w:rPr>
          <w:rFonts w:ascii="Abadi" w:hAnsi="Abadi"/>
          <w:sz w:val="21"/>
          <w:szCs w:val="21"/>
          <w:lang w:val="es-MX" w:eastAsia="es-MX"/>
        </w:rPr>
        <w:t>Conforme a lo referido en el presente documento, la Presidencia de esta Comisión de Seguridad Pública y Comunicaciones instruyó a la Secretaría Técnica para que elaborara el proyecto de dictamen en sentido negativo, conforme a lo dispuesto en los artículos 94, fracción VII y 272 fracción VIII inciso e) de nuestra Ley Orgánica, para su discusión y votación por la diputada y diputados integrantes.</w:t>
      </w:r>
    </w:p>
    <w:p w14:paraId="5E6EA7B0" w14:textId="77777777" w:rsidR="009572A9" w:rsidRPr="009572A9" w:rsidRDefault="009572A9" w:rsidP="00FE053F">
      <w:pPr>
        <w:ind w:left="720"/>
        <w:jc w:val="both"/>
        <w:textAlignment w:val="baseline"/>
        <w:rPr>
          <w:rFonts w:ascii="Abadi" w:hAnsi="Abadi" w:cs="Arial"/>
          <w:b/>
          <w:sz w:val="21"/>
          <w:szCs w:val="21"/>
          <w:lang w:val="es-MX" w:eastAsia="es-MX"/>
        </w:rPr>
      </w:pPr>
    </w:p>
    <w:p w14:paraId="5623E7C6" w14:textId="77777777" w:rsidR="009572A9" w:rsidRPr="009572A9" w:rsidRDefault="009572A9" w:rsidP="00FE053F">
      <w:pPr>
        <w:numPr>
          <w:ilvl w:val="0"/>
          <w:numId w:val="44"/>
        </w:numPr>
        <w:jc w:val="both"/>
        <w:textAlignment w:val="baseline"/>
        <w:rPr>
          <w:rFonts w:ascii="Abadi" w:hAnsi="Abadi" w:cs="Arial"/>
          <w:b/>
          <w:sz w:val="21"/>
          <w:szCs w:val="21"/>
          <w:lang w:val="es-MX" w:eastAsia="es-MX"/>
        </w:rPr>
      </w:pPr>
      <w:r w:rsidRPr="009572A9">
        <w:rPr>
          <w:rFonts w:ascii="Abadi" w:hAnsi="Abadi" w:cs="Arial"/>
          <w:b/>
          <w:sz w:val="21"/>
          <w:szCs w:val="21"/>
          <w:lang w:val="es-MX" w:eastAsia="es-MX"/>
        </w:rPr>
        <w:t>Consideraciones de quien propone (en lo medular).</w:t>
      </w:r>
    </w:p>
    <w:p w14:paraId="3A7F72CB" w14:textId="77777777" w:rsidR="009572A9" w:rsidRPr="009572A9" w:rsidRDefault="009572A9" w:rsidP="00FE053F">
      <w:pPr>
        <w:autoSpaceDE w:val="0"/>
        <w:autoSpaceDN w:val="0"/>
        <w:adjustRightInd w:val="0"/>
        <w:ind w:left="720"/>
        <w:contextualSpacing/>
        <w:jc w:val="both"/>
        <w:rPr>
          <w:rFonts w:ascii="Abadi" w:eastAsiaTheme="minorHAnsi" w:hAnsi="Abadi" w:cs="ArialNarrow"/>
          <w:color w:val="000000"/>
          <w:sz w:val="21"/>
          <w:szCs w:val="21"/>
          <w:lang w:val="es-MX" w:eastAsia="en-US"/>
        </w:rPr>
      </w:pPr>
    </w:p>
    <w:p w14:paraId="4663A3BF" w14:textId="77777777" w:rsidR="009572A9" w:rsidRPr="009572A9" w:rsidRDefault="009572A9" w:rsidP="00FE053F">
      <w:pPr>
        <w:ind w:firstLine="360"/>
        <w:jc w:val="both"/>
        <w:textAlignment w:val="baseline"/>
        <w:rPr>
          <w:rFonts w:ascii="Abadi" w:hAnsi="Abadi" w:cs="Arial"/>
          <w:sz w:val="21"/>
          <w:szCs w:val="21"/>
          <w:lang w:val="es-MX" w:eastAsia="es-MX"/>
        </w:rPr>
      </w:pPr>
      <w:r w:rsidRPr="009572A9">
        <w:rPr>
          <w:rFonts w:ascii="Abadi" w:hAnsi="Abadi" w:cs="Arial"/>
          <w:sz w:val="21"/>
          <w:szCs w:val="21"/>
          <w:lang w:val="es-MX" w:eastAsia="es-MX"/>
        </w:rPr>
        <w:t>(…) cada sesión de Pleno son constantes los señalamientos que varios de ustedes compañeras y compañeros pretenden hacer de forma por demás infundada, y con meros fines políticos, al Gobierno de México. Además, pretenden culpar de todo lo que pasa en la entidad al Presidente de México, el Licenciado Andrés Manuel López Obrador, todo ello con la única esperanza de tratar de esconder lo que en realidad pasa, que el Gobernador DIEGO SINHUE RODRÍGUEZ VALLEJO no sabe gobernar, y para ello pretende, y pretenden algunos de ustedes, culpar a los demás de sus errores, los cuales desgraciadamente no sólo cuestan dinero, sino que se transforman en pérdidas humanas, las cuales son irremplazables y que a su vez han teñido de rojo nuestro estado convirtiendo a Guanajuato en el estado más violento del país desde hace, desafortunadamente, ya hace varios años.</w:t>
      </w:r>
    </w:p>
    <w:p w14:paraId="778DB398" w14:textId="77777777" w:rsidR="009572A9" w:rsidRPr="009572A9" w:rsidRDefault="009572A9" w:rsidP="00FE053F">
      <w:pPr>
        <w:ind w:firstLine="360"/>
        <w:jc w:val="both"/>
        <w:textAlignment w:val="baseline"/>
        <w:rPr>
          <w:rFonts w:ascii="Abadi" w:hAnsi="Abadi" w:cs="Arial"/>
          <w:sz w:val="21"/>
          <w:szCs w:val="21"/>
          <w:lang w:val="es-MX" w:eastAsia="es-MX"/>
        </w:rPr>
      </w:pPr>
    </w:p>
    <w:p w14:paraId="122FCCED" w14:textId="77777777" w:rsidR="009572A9" w:rsidRPr="009572A9" w:rsidRDefault="009572A9" w:rsidP="00FE053F">
      <w:pPr>
        <w:ind w:firstLine="360"/>
        <w:jc w:val="both"/>
        <w:textAlignment w:val="baseline"/>
        <w:rPr>
          <w:rFonts w:ascii="Abadi" w:hAnsi="Abadi" w:cs="Arial"/>
          <w:sz w:val="21"/>
          <w:szCs w:val="21"/>
          <w:lang w:val="es-MX" w:eastAsia="es-MX"/>
        </w:rPr>
      </w:pPr>
      <w:r w:rsidRPr="009572A9">
        <w:rPr>
          <w:rFonts w:ascii="Abadi" w:hAnsi="Abadi" w:cs="Arial"/>
          <w:sz w:val="21"/>
          <w:szCs w:val="21"/>
          <w:lang w:val="es-MX" w:eastAsia="es-MX"/>
        </w:rPr>
        <w:t>Los hechos violentos que tienen a Guanajuato hundido en la peor crisis de inseguridad se comparan ya con aquellos acontecidos en la Guerra Cristera, los homicidios han alcanzado un máximo histórico y no se ve una estrategia seria a nivel local que pueda devolver esa tranquilidad a la ciudadanía. Y es aquí cuando digo que las cosas se deben hablar de forma real, ya que por más que quieran culpar a la Federación de su mala estrategia de seguridad, lo cierto es que los delitos reportados son del fuero común, es decir, corresponden y le competen únicamente al Gobierno Estatal.</w:t>
      </w:r>
    </w:p>
    <w:p w14:paraId="4ED55991" w14:textId="77777777" w:rsidR="009572A9" w:rsidRPr="009572A9" w:rsidRDefault="009572A9" w:rsidP="00FE053F">
      <w:pPr>
        <w:ind w:firstLine="360"/>
        <w:jc w:val="both"/>
        <w:textAlignment w:val="baseline"/>
        <w:rPr>
          <w:rFonts w:ascii="Abadi" w:hAnsi="Abadi" w:cs="Arial"/>
          <w:sz w:val="21"/>
          <w:szCs w:val="21"/>
          <w:lang w:val="es-MX" w:eastAsia="es-MX"/>
        </w:rPr>
      </w:pPr>
    </w:p>
    <w:p w14:paraId="69D9F5BA" w14:textId="77777777" w:rsidR="009572A9" w:rsidRPr="009572A9" w:rsidRDefault="009572A9" w:rsidP="00FE053F">
      <w:pPr>
        <w:ind w:firstLine="360"/>
        <w:jc w:val="both"/>
        <w:textAlignment w:val="baseline"/>
        <w:rPr>
          <w:rFonts w:ascii="Abadi" w:hAnsi="Abadi" w:cs="Arial"/>
          <w:sz w:val="21"/>
          <w:szCs w:val="21"/>
          <w:lang w:val="es-MX" w:eastAsia="es-MX"/>
        </w:rPr>
      </w:pPr>
      <w:r w:rsidRPr="009572A9">
        <w:rPr>
          <w:rFonts w:ascii="Abadi" w:hAnsi="Abadi" w:cs="Arial"/>
          <w:sz w:val="21"/>
          <w:szCs w:val="21"/>
          <w:lang w:val="es-MX" w:eastAsia="es-MX"/>
        </w:rPr>
        <w:t>Ahora bien, el Gobierno de México, ha tendido la mano para combatir frontalmente este problema, es decir, ha buscado coordinarse con las autoridades estatales en materia de seguridad, pero, ¿Qué fue lo que pasó? Que el Gobernador del Estado, DIEGO SINHUE RODRÍGUEZ VALLEJO, simplemente no quiso la ayuda, no pretende coordinarse ya que se ha dado el lujo de no asistir a las mesas de seguridad que se realizan en conjunto con la Secretaría de Seguridad y Protección Ciudadana del Gobierno de México, y lo peor, a pesar de esta actitud, sigue empeñado en decir que la culpa la tiene la Federación que no le brinda ayuda. Ahí es donde está la doble moral, ya que por un lado se les brinda ayuda y no la quieren, pero cuando se demuestra su incapacidad solamente esquivan la responsabilidad y pretenden culpar a otros de sus fracasos.</w:t>
      </w:r>
    </w:p>
    <w:p w14:paraId="69B4C98B" w14:textId="77777777" w:rsidR="009572A9" w:rsidRPr="009572A9" w:rsidRDefault="009572A9" w:rsidP="00FE053F">
      <w:pPr>
        <w:ind w:firstLine="360"/>
        <w:jc w:val="both"/>
        <w:textAlignment w:val="baseline"/>
        <w:rPr>
          <w:rFonts w:ascii="Abadi" w:hAnsi="Abadi" w:cs="Arial"/>
          <w:sz w:val="21"/>
          <w:szCs w:val="21"/>
          <w:lang w:val="es-MX" w:eastAsia="es-MX"/>
        </w:rPr>
      </w:pPr>
    </w:p>
    <w:p w14:paraId="57A4C5B1" w14:textId="77777777" w:rsidR="009572A9" w:rsidRPr="009572A9" w:rsidRDefault="009572A9" w:rsidP="00FE053F">
      <w:pPr>
        <w:ind w:firstLine="360"/>
        <w:jc w:val="both"/>
        <w:textAlignment w:val="baseline"/>
        <w:rPr>
          <w:rFonts w:ascii="Abadi" w:hAnsi="Abadi" w:cs="Arial"/>
          <w:sz w:val="21"/>
          <w:szCs w:val="21"/>
          <w:lang w:val="es-MX" w:eastAsia="es-MX"/>
        </w:rPr>
      </w:pPr>
      <w:r w:rsidRPr="009572A9">
        <w:rPr>
          <w:rFonts w:ascii="Abadi" w:hAnsi="Abadi" w:cs="Arial"/>
          <w:sz w:val="21"/>
          <w:szCs w:val="21"/>
          <w:lang w:val="es-MX" w:eastAsia="es-MX"/>
        </w:rPr>
        <w:t>Los números rojos en los que se encuentra Guanajuato son alarmantes, hemos estado en las portadas de todos los periódicos, así como en las tendencias nacionales y no precisamente por ser “Grandeza de México”, sino por las imágenes y videos que muestran no sólo la violencia, sino la desesperación de la gente quien al final es la que padece las secuelas de estos hechos. Tristemente estos testimonios gráficos muestran que aquí no hay un estado de derecho, que se puede hacer lo que se quiera con Guanajuato, que se puede aterrorizar a la ciudadanía sin consecuencias, porque no hay un mando real por parte del Poder Ejecutivo del Estado ni una coordinación contundente entre la Secretaría de Seguridad Pública del Estado y la Fiscalía General de la entidad, esto a pesar de que la Federación ha buscado coordinarse, pero, reitero, es imposible si una de las partes no quiere, en este caso, son las autoridades estatales, quienes a pesar de tener la ayuda, no la quieren.</w:t>
      </w:r>
    </w:p>
    <w:p w14:paraId="6740FC3A" w14:textId="77777777" w:rsidR="009572A9" w:rsidRPr="009572A9" w:rsidRDefault="009572A9" w:rsidP="00FE053F">
      <w:pPr>
        <w:ind w:firstLine="360"/>
        <w:jc w:val="both"/>
        <w:textAlignment w:val="baseline"/>
        <w:rPr>
          <w:rFonts w:ascii="Abadi" w:hAnsi="Abadi" w:cs="Arial"/>
          <w:sz w:val="21"/>
          <w:szCs w:val="21"/>
          <w:lang w:val="es-MX" w:eastAsia="es-MX"/>
        </w:rPr>
      </w:pPr>
    </w:p>
    <w:p w14:paraId="4319309C" w14:textId="77777777" w:rsidR="009572A9" w:rsidRPr="009572A9" w:rsidRDefault="009572A9" w:rsidP="00FE053F">
      <w:pPr>
        <w:ind w:firstLine="360"/>
        <w:jc w:val="both"/>
        <w:textAlignment w:val="baseline"/>
        <w:rPr>
          <w:rFonts w:ascii="Abadi" w:hAnsi="Abadi" w:cs="Arial"/>
          <w:sz w:val="21"/>
          <w:szCs w:val="21"/>
          <w:lang w:val="es-MX" w:eastAsia="es-MX"/>
        </w:rPr>
      </w:pPr>
      <w:r w:rsidRPr="009572A9">
        <w:rPr>
          <w:rFonts w:ascii="Abadi" w:hAnsi="Abadi" w:cs="Arial"/>
          <w:sz w:val="21"/>
          <w:szCs w:val="21"/>
          <w:lang w:val="es-MX" w:eastAsia="es-MX"/>
        </w:rPr>
        <w:t>(…) Las secuelas que las nulas acciones tanto de Alvar Cabeza de Vaca como de Carlos Zamarripa han dejado, son irreparables, las familias a las que presumen proteger y se rasgan las vestiduras defendiendo en los discursos y tribunas, hoy viven con miedo y desesperación.</w:t>
      </w:r>
    </w:p>
    <w:p w14:paraId="386AADF5" w14:textId="77777777" w:rsidR="009572A9" w:rsidRPr="009572A9" w:rsidRDefault="009572A9" w:rsidP="00FE053F">
      <w:pPr>
        <w:jc w:val="both"/>
        <w:textAlignment w:val="baseline"/>
        <w:rPr>
          <w:rFonts w:ascii="Abadi" w:hAnsi="Abadi" w:cs="Arial"/>
          <w:b/>
          <w:strike/>
          <w:sz w:val="21"/>
          <w:szCs w:val="21"/>
          <w:lang w:val="es-MX" w:eastAsia="es-MX"/>
        </w:rPr>
      </w:pPr>
    </w:p>
    <w:p w14:paraId="6FA06F4F" w14:textId="77777777" w:rsidR="009572A9" w:rsidRPr="009572A9" w:rsidRDefault="009572A9" w:rsidP="00FE053F">
      <w:pPr>
        <w:ind w:firstLine="360"/>
        <w:jc w:val="both"/>
        <w:textAlignment w:val="baseline"/>
        <w:rPr>
          <w:rFonts w:ascii="Abadi" w:hAnsi="Abadi" w:cs="Arial"/>
          <w:sz w:val="21"/>
          <w:szCs w:val="21"/>
          <w:lang w:val="es-MX" w:eastAsia="es-MX"/>
        </w:rPr>
      </w:pPr>
      <w:r w:rsidRPr="009572A9">
        <w:rPr>
          <w:rFonts w:ascii="Abadi" w:hAnsi="Abadi" w:cs="Arial"/>
          <w:sz w:val="21"/>
          <w:szCs w:val="21"/>
          <w:lang w:val="es-MX" w:eastAsia="es-MX"/>
        </w:rPr>
        <w:t>(…) Tal parece que DIEGO SINHUE RODRÍGUEZ VALLEJO gobierna en un lugar muy apartado de lo que realmente es Guanajuato. Señor Gobernador, si realmente existe ese compromiso con la ciudadanía, se le pide congruencia entre sus discursos y su actuar, el costo político y social de tener a figuras como ALVAR CABEZA DE VACA y CARLOS ZAMARRIPA encabezando la seguridad pública y procuración de justicia es demasiado alto, y es a la ciudadanía a la que se le está cobrando la factura de la incapacidad de los antes mencionados.</w:t>
      </w:r>
    </w:p>
    <w:p w14:paraId="78DB2BB2" w14:textId="77777777" w:rsidR="009572A9" w:rsidRPr="009572A9" w:rsidRDefault="009572A9" w:rsidP="00FE053F">
      <w:pPr>
        <w:ind w:firstLine="360"/>
        <w:jc w:val="both"/>
        <w:textAlignment w:val="baseline"/>
        <w:rPr>
          <w:rFonts w:ascii="Abadi" w:hAnsi="Abadi" w:cs="Arial"/>
          <w:sz w:val="21"/>
          <w:szCs w:val="21"/>
          <w:lang w:val="es-MX" w:eastAsia="es-MX"/>
        </w:rPr>
      </w:pPr>
    </w:p>
    <w:p w14:paraId="0B285191" w14:textId="77777777" w:rsidR="009572A9" w:rsidRPr="009572A9" w:rsidRDefault="009572A9" w:rsidP="00FE053F">
      <w:pPr>
        <w:ind w:firstLine="360"/>
        <w:jc w:val="both"/>
        <w:textAlignment w:val="baseline"/>
        <w:rPr>
          <w:rFonts w:ascii="Abadi" w:hAnsi="Abadi" w:cs="Arial"/>
          <w:sz w:val="21"/>
          <w:szCs w:val="21"/>
          <w:lang w:val="es-MX" w:eastAsia="es-MX"/>
        </w:rPr>
      </w:pPr>
      <w:r w:rsidRPr="009572A9">
        <w:rPr>
          <w:rFonts w:ascii="Abadi" w:hAnsi="Abadi" w:cs="Arial"/>
          <w:sz w:val="21"/>
          <w:szCs w:val="21"/>
          <w:lang w:val="es-MX" w:eastAsia="es-MX"/>
        </w:rPr>
        <w:t>El Gobernador del Estado viene cargando viejas prácticas, actores políticos sin resultados, que van lacerando a la sociedad guanajuatense, es su momento de redimirse con la ciudadanía, realizar acciones concretas y efectivas, y porque no comenzar con la humildad de aceptar que los titulares de la Secretaría de Seguridad Pública y la Fiscalía General deben dejar sus cargos.</w:t>
      </w:r>
    </w:p>
    <w:p w14:paraId="24CDCB92" w14:textId="77777777" w:rsidR="009572A9" w:rsidRPr="009572A9" w:rsidRDefault="009572A9" w:rsidP="00FE053F">
      <w:pPr>
        <w:jc w:val="both"/>
        <w:textAlignment w:val="baseline"/>
        <w:rPr>
          <w:rFonts w:ascii="Abadi" w:hAnsi="Abadi" w:cs="Arial"/>
          <w:b/>
          <w:strike/>
          <w:sz w:val="21"/>
          <w:szCs w:val="21"/>
          <w:lang w:val="es-MX" w:eastAsia="es-MX"/>
        </w:rPr>
      </w:pPr>
    </w:p>
    <w:p w14:paraId="060753BE" w14:textId="77777777" w:rsidR="009572A9" w:rsidRPr="009572A9" w:rsidRDefault="009572A9" w:rsidP="00FE053F">
      <w:pPr>
        <w:widowControl w:val="0"/>
        <w:autoSpaceDE w:val="0"/>
        <w:autoSpaceDN w:val="0"/>
        <w:ind w:right="113"/>
        <w:jc w:val="both"/>
        <w:rPr>
          <w:rFonts w:ascii="Abadi" w:hAnsi="Abadi" w:cs="Arial"/>
          <w:sz w:val="21"/>
          <w:szCs w:val="21"/>
          <w:lang w:val="es-MX" w:eastAsia="es-MX"/>
        </w:rPr>
      </w:pPr>
      <w:r w:rsidRPr="009572A9">
        <w:rPr>
          <w:rFonts w:ascii="Abadi" w:eastAsia="Arial" w:hAnsi="Abadi" w:cs="Arial"/>
          <w:b/>
          <w:sz w:val="21"/>
          <w:szCs w:val="21"/>
          <w:lang w:val="es-MX" w:eastAsia="en-US"/>
        </w:rPr>
        <w:t xml:space="preserve">III. </w:t>
      </w:r>
      <w:r w:rsidRPr="009572A9">
        <w:rPr>
          <w:rFonts w:ascii="Abadi" w:eastAsia="Arial" w:hAnsi="Abadi" w:cs="Arial"/>
          <w:b/>
          <w:sz w:val="21"/>
          <w:szCs w:val="21"/>
          <w:lang w:val="es-MX" w:eastAsia="en-US"/>
        </w:rPr>
        <w:tab/>
        <w:t>Consideraciones de quienes integran la comisión</w:t>
      </w:r>
      <w:r w:rsidRPr="009572A9">
        <w:rPr>
          <w:rFonts w:ascii="Abadi" w:hAnsi="Abadi" w:cs="Arial"/>
          <w:sz w:val="21"/>
          <w:szCs w:val="21"/>
          <w:lang w:val="es-MX" w:eastAsia="es-MX"/>
        </w:rPr>
        <w:t xml:space="preserve">. </w:t>
      </w:r>
    </w:p>
    <w:p w14:paraId="6224603C" w14:textId="77777777" w:rsidR="009572A9" w:rsidRPr="009572A9" w:rsidRDefault="009572A9" w:rsidP="00FE053F">
      <w:pPr>
        <w:spacing w:after="160"/>
        <w:jc w:val="both"/>
        <w:rPr>
          <w:rFonts w:ascii="Abadi" w:eastAsiaTheme="minorHAnsi" w:hAnsi="Abadi" w:cs="Arial"/>
          <w:sz w:val="21"/>
          <w:szCs w:val="21"/>
          <w:lang w:val="es-MX" w:eastAsia="en-US"/>
        </w:rPr>
      </w:pPr>
    </w:p>
    <w:p w14:paraId="288CD130" w14:textId="77777777" w:rsidR="009572A9" w:rsidRPr="009572A9" w:rsidRDefault="009572A9" w:rsidP="00FE053F">
      <w:pPr>
        <w:spacing w:after="160"/>
        <w:jc w:val="both"/>
        <w:rPr>
          <w:rFonts w:ascii="Abadi" w:eastAsiaTheme="minorHAnsi" w:hAnsi="Abadi" w:cs="Arial"/>
          <w:sz w:val="21"/>
          <w:szCs w:val="21"/>
          <w:lang w:val="es-MX" w:eastAsia="en-US"/>
        </w:rPr>
      </w:pPr>
      <w:r w:rsidRPr="009572A9">
        <w:rPr>
          <w:rFonts w:ascii="Abadi" w:eastAsiaTheme="minorHAnsi" w:hAnsi="Abadi" w:cs="Arial"/>
          <w:sz w:val="21"/>
          <w:szCs w:val="21"/>
          <w:lang w:val="es-MX" w:eastAsia="en-US"/>
        </w:rPr>
        <w:t>La Junta de Gobierno y Coordinación Política es el órgano de gobierno encargado de la dirección de los asuntos relativos al régimen Interno del Poder Legislativo con el fin de optimizar sus funciones legislativas, políticas y administrativas, conforme a lo dispuesto en su ley orgánica.</w:t>
      </w:r>
    </w:p>
    <w:p w14:paraId="3D41EDC9" w14:textId="77777777" w:rsidR="009572A9" w:rsidRPr="009572A9" w:rsidRDefault="009572A9" w:rsidP="00FE053F">
      <w:pPr>
        <w:spacing w:after="160"/>
        <w:jc w:val="both"/>
        <w:rPr>
          <w:rFonts w:ascii="Abadi" w:eastAsiaTheme="minorHAnsi" w:hAnsi="Abadi" w:cs="Arial"/>
          <w:sz w:val="21"/>
          <w:szCs w:val="21"/>
          <w:lang w:val="es-MX" w:eastAsia="en-US"/>
        </w:rPr>
      </w:pPr>
      <w:r w:rsidRPr="009572A9">
        <w:rPr>
          <w:rFonts w:ascii="Abadi" w:eastAsiaTheme="minorHAnsi" w:hAnsi="Abadi" w:cs="Arial"/>
          <w:sz w:val="21"/>
          <w:szCs w:val="21"/>
          <w:lang w:val="es-MX" w:eastAsia="en-US"/>
        </w:rPr>
        <w:t xml:space="preserve">Dicho órgano de gobierno expresa la pluralidad del Congreso del Estado y funciona como enlace entre los grupos y representaciones parlamentarias legalmente constituidos en el seno de la Legislatura y, en su caso, diputados independientes, con objeto de impulsar entendimientos y convergencias políticas con las instancias y órganos que resulten necesarios, a fin de alcanzar acuerdos que permitan al Congreso del Estado, a la diputación permanente y a las comisiones legislativas, adoptar las decisiones que constitucional y legalmente les corresponden, siendo una de sus principales atribuciones establecer la agenda legislativa común. </w:t>
      </w:r>
    </w:p>
    <w:p w14:paraId="254C1F93" w14:textId="77777777" w:rsidR="009572A9" w:rsidRPr="009572A9" w:rsidRDefault="009572A9" w:rsidP="00FE053F">
      <w:pPr>
        <w:spacing w:after="160"/>
        <w:jc w:val="both"/>
        <w:rPr>
          <w:rFonts w:ascii="Abadi" w:eastAsiaTheme="minorHAnsi" w:hAnsi="Abadi" w:cs="Arial"/>
          <w:sz w:val="21"/>
          <w:szCs w:val="21"/>
          <w:lang w:val="es-MX" w:eastAsia="en-US"/>
        </w:rPr>
      </w:pPr>
    </w:p>
    <w:p w14:paraId="7463FEED" w14:textId="77777777" w:rsidR="009572A9" w:rsidRPr="009572A9" w:rsidRDefault="009572A9" w:rsidP="00FE053F">
      <w:pPr>
        <w:spacing w:after="160"/>
        <w:jc w:val="both"/>
        <w:rPr>
          <w:rFonts w:ascii="Abadi" w:eastAsiaTheme="minorHAnsi" w:hAnsi="Abadi" w:cs="Arial"/>
          <w:sz w:val="21"/>
          <w:szCs w:val="21"/>
          <w:lang w:val="es-MX" w:eastAsia="en-US"/>
        </w:rPr>
      </w:pPr>
      <w:r w:rsidRPr="009572A9">
        <w:rPr>
          <w:rFonts w:ascii="Abadi" w:eastAsiaTheme="minorHAnsi" w:hAnsi="Abadi" w:cs="Arial"/>
          <w:sz w:val="21"/>
          <w:szCs w:val="21"/>
          <w:lang w:val="es-MX" w:eastAsia="en-US"/>
        </w:rPr>
        <w:t xml:space="preserve">Conforme lo anterior, en reunión de fecha 16 de marzo de 2022, la Junta de Gobierno y Coordinación Política, a efecto de lograr una mayor eficiencia legislativa y agilizar los pendientes dónde se incluyen los trabajos presentados en legislaturas anteriores o que jurídicamente no son viables atendiendo a diversas reformas que reservan competencias legislativas al congreso de la unión, se aprobó una metodología propuesta por la secretaría general. </w:t>
      </w:r>
    </w:p>
    <w:p w14:paraId="3B37B09A" w14:textId="77777777" w:rsidR="009572A9" w:rsidRPr="009572A9" w:rsidRDefault="009572A9" w:rsidP="00FE053F">
      <w:pPr>
        <w:spacing w:after="160"/>
        <w:jc w:val="both"/>
        <w:rPr>
          <w:rFonts w:ascii="Abadi" w:eastAsiaTheme="minorHAnsi" w:hAnsi="Abadi" w:cs="Arial"/>
          <w:sz w:val="21"/>
          <w:szCs w:val="21"/>
          <w:lang w:val="es-MX" w:eastAsia="en-US"/>
        </w:rPr>
      </w:pPr>
      <w:r w:rsidRPr="009572A9">
        <w:rPr>
          <w:rFonts w:ascii="Abadi" w:eastAsiaTheme="minorHAnsi" w:hAnsi="Abadi" w:cs="Arial"/>
          <w:sz w:val="21"/>
          <w:szCs w:val="21"/>
          <w:lang w:val="es-MX" w:eastAsia="en-US"/>
        </w:rPr>
        <w:t xml:space="preserve">En términos de dicha propuesta correspondería a las secretarías técnicas de cada comisión: </w:t>
      </w:r>
    </w:p>
    <w:p w14:paraId="627ECA00" w14:textId="77777777" w:rsidR="009572A9" w:rsidRPr="009572A9" w:rsidRDefault="009572A9" w:rsidP="00FE053F">
      <w:pPr>
        <w:numPr>
          <w:ilvl w:val="0"/>
          <w:numId w:val="45"/>
        </w:numPr>
        <w:spacing w:after="160"/>
        <w:contextualSpacing/>
        <w:jc w:val="both"/>
        <w:rPr>
          <w:rFonts w:ascii="Abadi" w:eastAsiaTheme="minorHAnsi" w:hAnsi="Abadi" w:cs="Arial"/>
          <w:sz w:val="21"/>
          <w:szCs w:val="21"/>
          <w:lang w:val="es-MX" w:eastAsia="en-US"/>
        </w:rPr>
      </w:pPr>
      <w:r w:rsidRPr="009572A9">
        <w:rPr>
          <w:rFonts w:ascii="Abadi" w:eastAsiaTheme="minorHAnsi" w:hAnsi="Abadi" w:cs="Arial"/>
          <w:sz w:val="21"/>
          <w:szCs w:val="21"/>
          <w:lang w:val="es-MX" w:eastAsia="en-US"/>
        </w:rPr>
        <w:t>Hacer un concentrado de los pendientes legislativos por cada comisión;</w:t>
      </w:r>
    </w:p>
    <w:p w14:paraId="35185BD6" w14:textId="77777777" w:rsidR="009572A9" w:rsidRPr="009572A9" w:rsidRDefault="009572A9" w:rsidP="00FE053F">
      <w:pPr>
        <w:numPr>
          <w:ilvl w:val="0"/>
          <w:numId w:val="45"/>
        </w:numPr>
        <w:spacing w:after="160"/>
        <w:contextualSpacing/>
        <w:jc w:val="both"/>
        <w:rPr>
          <w:rFonts w:ascii="Abadi" w:eastAsiaTheme="minorHAnsi" w:hAnsi="Abadi" w:cs="Arial"/>
          <w:sz w:val="21"/>
          <w:szCs w:val="21"/>
          <w:lang w:val="es-MX" w:eastAsia="en-US"/>
        </w:rPr>
      </w:pPr>
      <w:r w:rsidRPr="009572A9">
        <w:rPr>
          <w:rFonts w:ascii="Abadi" w:eastAsiaTheme="minorHAnsi" w:hAnsi="Abadi" w:cs="Arial"/>
          <w:sz w:val="21"/>
          <w:szCs w:val="21"/>
          <w:lang w:val="es-MX" w:eastAsia="en-US"/>
        </w:rPr>
        <w:t>Realizar un análisis técnico jurídico de cada uno de los pendientes legislativos y modificaciones, en su caso, de las metodologías;</w:t>
      </w:r>
    </w:p>
    <w:p w14:paraId="0287E18F" w14:textId="77777777" w:rsidR="009572A9" w:rsidRPr="009572A9" w:rsidRDefault="009572A9" w:rsidP="00FE053F">
      <w:pPr>
        <w:numPr>
          <w:ilvl w:val="0"/>
          <w:numId w:val="45"/>
        </w:numPr>
        <w:spacing w:after="160"/>
        <w:contextualSpacing/>
        <w:jc w:val="both"/>
        <w:rPr>
          <w:rFonts w:ascii="Abadi" w:eastAsiaTheme="minorHAnsi" w:hAnsi="Abadi" w:cs="Arial"/>
          <w:sz w:val="21"/>
          <w:szCs w:val="21"/>
          <w:lang w:val="es-MX" w:eastAsia="en-US"/>
        </w:rPr>
      </w:pPr>
      <w:r w:rsidRPr="009572A9">
        <w:rPr>
          <w:rFonts w:ascii="Abadi" w:eastAsiaTheme="minorHAnsi" w:hAnsi="Abadi" w:cs="Arial"/>
          <w:sz w:val="21"/>
          <w:szCs w:val="21"/>
          <w:lang w:val="es-MX" w:eastAsia="en-US"/>
        </w:rPr>
        <w:t>Identificación de los pendientes legislativos que jurídicamente sean inviables y procedan en consecuencia a su dictaminación en sentido negativo, así como aquellas iniciativas o proposiciones de acuerdos que se presentaron en la LXII legislatura, y en su caso anteriores a esta, y que no fueron dictaminados en la inmediata anterior, las cuales serán también objeto de archivo definitivo;</w:t>
      </w:r>
    </w:p>
    <w:p w14:paraId="31E4E2FF" w14:textId="77777777" w:rsidR="009572A9" w:rsidRPr="009572A9" w:rsidRDefault="009572A9" w:rsidP="00FE053F">
      <w:pPr>
        <w:numPr>
          <w:ilvl w:val="0"/>
          <w:numId w:val="45"/>
        </w:numPr>
        <w:spacing w:after="160"/>
        <w:contextualSpacing/>
        <w:jc w:val="both"/>
        <w:rPr>
          <w:rFonts w:ascii="Abadi" w:eastAsiaTheme="minorHAnsi" w:hAnsi="Abadi" w:cs="Arial"/>
          <w:sz w:val="21"/>
          <w:szCs w:val="21"/>
          <w:lang w:val="es-MX" w:eastAsia="en-US"/>
        </w:rPr>
      </w:pPr>
      <w:r w:rsidRPr="009572A9">
        <w:rPr>
          <w:rFonts w:ascii="Abadi" w:eastAsiaTheme="minorHAnsi" w:hAnsi="Abadi" w:cs="Arial"/>
          <w:sz w:val="21"/>
          <w:szCs w:val="21"/>
          <w:lang w:val="es-MX" w:eastAsia="en-US"/>
        </w:rPr>
        <w:t>En su caso, mesa de trabajo de la comisión para dar cuenta con el listado de los pendientes legislativos para su revisión y sentar bases de proyectos de dictamen;</w:t>
      </w:r>
    </w:p>
    <w:p w14:paraId="34E52562" w14:textId="77777777" w:rsidR="009572A9" w:rsidRPr="009572A9" w:rsidRDefault="009572A9" w:rsidP="00FE053F">
      <w:pPr>
        <w:numPr>
          <w:ilvl w:val="0"/>
          <w:numId w:val="45"/>
        </w:numPr>
        <w:spacing w:after="160"/>
        <w:contextualSpacing/>
        <w:jc w:val="both"/>
        <w:rPr>
          <w:rFonts w:ascii="Abadi" w:eastAsiaTheme="minorHAnsi" w:hAnsi="Abadi" w:cs="Arial"/>
          <w:sz w:val="21"/>
          <w:szCs w:val="21"/>
          <w:lang w:val="es-MX" w:eastAsia="en-US"/>
        </w:rPr>
      </w:pPr>
      <w:r w:rsidRPr="009572A9">
        <w:rPr>
          <w:rFonts w:ascii="Abadi" w:eastAsiaTheme="minorHAnsi" w:hAnsi="Abadi" w:cs="Arial"/>
          <w:sz w:val="21"/>
          <w:szCs w:val="21"/>
          <w:lang w:val="es-MX" w:eastAsia="en-US"/>
        </w:rPr>
        <w:t xml:space="preserve">Convocar a sesión de comisión para aprobar dictámenes de archivo y remisión al pleno para su aprobación. </w:t>
      </w:r>
    </w:p>
    <w:p w14:paraId="55D7FBCA" w14:textId="77777777" w:rsidR="009572A9" w:rsidRPr="009572A9" w:rsidRDefault="009572A9" w:rsidP="00FE053F">
      <w:pPr>
        <w:spacing w:after="160"/>
        <w:jc w:val="both"/>
        <w:rPr>
          <w:rFonts w:ascii="Abadi" w:eastAsiaTheme="minorHAnsi" w:hAnsi="Abadi" w:cs="Arial"/>
          <w:sz w:val="21"/>
          <w:szCs w:val="21"/>
          <w:lang w:val="es-MX" w:eastAsia="en-US"/>
        </w:rPr>
      </w:pPr>
      <w:r w:rsidRPr="009572A9">
        <w:rPr>
          <w:rFonts w:ascii="Abadi" w:eastAsiaTheme="minorHAnsi" w:hAnsi="Abadi" w:cs="Arial"/>
          <w:sz w:val="21"/>
          <w:szCs w:val="21"/>
          <w:lang w:val="es-MX" w:eastAsia="en-US"/>
        </w:rPr>
        <w:t xml:space="preserve">Paralelo a lo anterior se determinó que los grupos parlamentarios harían revisión de iniciativas y puntos de acuerdo que fueron presentados en las legislaturas anteriores y con ello identificar así como analizar individualmente cuales ya no tienen materia, fueron solventadas conforme a lo propuesto o que por el trascurso del tiempo resulta improcedente pronunciarse positivamente al respecto tomando en consideración se carezca de vigencia conforme a los hechos respecto a los cuales se sustentó cada uno de los temas. </w:t>
      </w:r>
    </w:p>
    <w:p w14:paraId="59E35065" w14:textId="77777777" w:rsidR="009572A9" w:rsidRPr="009572A9" w:rsidRDefault="009572A9" w:rsidP="00FE053F">
      <w:pPr>
        <w:spacing w:after="160"/>
        <w:jc w:val="both"/>
        <w:rPr>
          <w:rFonts w:ascii="Abadi" w:eastAsiaTheme="minorHAnsi" w:hAnsi="Abadi" w:cs="Arial"/>
          <w:sz w:val="21"/>
          <w:szCs w:val="21"/>
          <w:lang w:val="es-MX" w:eastAsia="en-US"/>
        </w:rPr>
      </w:pPr>
      <w:r w:rsidRPr="009572A9">
        <w:rPr>
          <w:rFonts w:ascii="Abadi" w:eastAsiaTheme="minorHAnsi" w:hAnsi="Abadi" w:cs="Arial"/>
          <w:sz w:val="21"/>
          <w:szCs w:val="21"/>
          <w:lang w:val="es-MX" w:eastAsia="en-US"/>
        </w:rPr>
        <w:t>Agotadas las revisiones y análisis a las que se han hecho referencia en párrafos anteriores, esta comisión determinó clasificar y otorgar el tratamiento a la propuesta objeto del presente dictamen como de aquellos pronunciamientos sobre asuntos políticos, culturales, económicos o sociales que si bien se denota la afectación a una comunidad o grupo particular, y que por consecuencia es necesario se aborde como un tema de interés público para que el congreso del estado asuma una postura institucional al respecto, también debe precisarse que al día de hoy ya no se consideraría pertinente y oportuna la adopción del mismo.</w:t>
      </w:r>
    </w:p>
    <w:p w14:paraId="00900EA2" w14:textId="77777777" w:rsidR="009572A9" w:rsidRPr="009572A9" w:rsidRDefault="009572A9" w:rsidP="00FE053F">
      <w:pPr>
        <w:spacing w:after="160"/>
        <w:jc w:val="both"/>
        <w:rPr>
          <w:rFonts w:ascii="Abadi" w:eastAsiaTheme="minorHAnsi" w:hAnsi="Abadi" w:cs="Arial"/>
          <w:sz w:val="21"/>
          <w:szCs w:val="21"/>
          <w:lang w:val="es-MX" w:eastAsia="en-US"/>
        </w:rPr>
      </w:pPr>
      <w:r w:rsidRPr="009572A9">
        <w:rPr>
          <w:rFonts w:ascii="Abadi" w:eastAsiaTheme="minorHAnsi" w:hAnsi="Abadi" w:cs="Arial"/>
          <w:sz w:val="21"/>
          <w:szCs w:val="21"/>
          <w:lang w:val="es-MX" w:eastAsia="en-US"/>
        </w:rPr>
        <w:t xml:space="preserve">Por lo anterior, y no obstante que se subraya que en la propuesta existe un contenido vasto y justificado que denotan la trascendencia para su estudio, se ha determinado no es procedente entrar al fondo de este por carecer de oportunidad ante la extemporaneidad de atención en relación con las circunstancias de tiempo, modo y lugar a las que se hace referencia en la misma. </w:t>
      </w:r>
    </w:p>
    <w:p w14:paraId="318E0B75" w14:textId="77777777" w:rsidR="009572A9" w:rsidRPr="009572A9" w:rsidRDefault="009572A9" w:rsidP="00FE053F">
      <w:pPr>
        <w:spacing w:after="160"/>
        <w:jc w:val="both"/>
        <w:rPr>
          <w:rFonts w:ascii="Abadi" w:eastAsiaTheme="minorHAnsi" w:hAnsi="Abadi" w:cs="Arial"/>
          <w:sz w:val="21"/>
          <w:szCs w:val="21"/>
          <w:lang w:val="es-MX" w:eastAsia="en-US"/>
        </w:rPr>
      </w:pPr>
      <w:r w:rsidRPr="009572A9">
        <w:rPr>
          <w:rFonts w:ascii="Abadi" w:eastAsiaTheme="minorHAnsi" w:hAnsi="Abadi" w:cs="Arial"/>
          <w:sz w:val="21"/>
          <w:szCs w:val="21"/>
          <w:lang w:val="es-MX" w:eastAsia="en-US"/>
        </w:rPr>
        <w:t>Por lo expuesto y con fundamento en el artículo 204 de la Ley Orgánica del Poder Ejecutivo del Estado, sometemos a consideración de esta Asamblea, la aprobación del siguiente:</w:t>
      </w:r>
    </w:p>
    <w:p w14:paraId="315A6099" w14:textId="77777777" w:rsidR="009572A9" w:rsidRPr="009572A9" w:rsidRDefault="009572A9" w:rsidP="00FE053F">
      <w:pPr>
        <w:spacing w:after="160"/>
        <w:jc w:val="both"/>
        <w:rPr>
          <w:rFonts w:ascii="Abadi" w:eastAsiaTheme="minorHAnsi" w:hAnsi="Abadi" w:cs="Arial"/>
          <w:sz w:val="21"/>
          <w:szCs w:val="21"/>
          <w:lang w:val="es-MX" w:eastAsia="en-US"/>
        </w:rPr>
      </w:pPr>
    </w:p>
    <w:p w14:paraId="73388B6F" w14:textId="77777777" w:rsidR="009572A9" w:rsidRPr="009572A9" w:rsidRDefault="009572A9" w:rsidP="00FE053F">
      <w:pPr>
        <w:spacing w:after="160"/>
        <w:jc w:val="center"/>
        <w:rPr>
          <w:rFonts w:ascii="Abadi" w:eastAsiaTheme="minorHAnsi" w:hAnsi="Abadi" w:cs="Arial"/>
          <w:b/>
          <w:sz w:val="21"/>
          <w:szCs w:val="21"/>
          <w:lang w:val="es-MX" w:eastAsia="en-US"/>
        </w:rPr>
      </w:pPr>
      <w:r w:rsidRPr="009572A9">
        <w:rPr>
          <w:rFonts w:ascii="Abadi" w:eastAsiaTheme="minorHAnsi" w:hAnsi="Abadi" w:cs="Arial"/>
          <w:b/>
          <w:sz w:val="21"/>
          <w:szCs w:val="21"/>
          <w:lang w:val="es-MX" w:eastAsia="en-US"/>
        </w:rPr>
        <w:t>A c u e r d o</w:t>
      </w:r>
    </w:p>
    <w:p w14:paraId="5B4A0C35" w14:textId="77777777" w:rsidR="009572A9" w:rsidRPr="009572A9" w:rsidRDefault="009572A9" w:rsidP="00FE053F">
      <w:pPr>
        <w:jc w:val="both"/>
        <w:textAlignment w:val="baseline"/>
        <w:rPr>
          <w:rFonts w:ascii="Abadi" w:hAnsi="Abadi" w:cs="Arial"/>
          <w:sz w:val="21"/>
          <w:szCs w:val="21"/>
          <w:lang w:val="es-MX" w:eastAsia="es-MX"/>
        </w:rPr>
      </w:pPr>
      <w:r w:rsidRPr="009572A9">
        <w:rPr>
          <w:rFonts w:ascii="Abadi" w:hAnsi="Abadi" w:cs="Arial"/>
          <w:b/>
          <w:sz w:val="21"/>
          <w:szCs w:val="21"/>
          <w:lang w:val="es-MX" w:eastAsia="es-MX"/>
        </w:rPr>
        <w:t xml:space="preserve">Único.- Se determina improcedente </w:t>
      </w:r>
      <w:r w:rsidRPr="009572A9">
        <w:rPr>
          <w:rFonts w:ascii="Abadi" w:hAnsi="Abadi" w:cs="Arial"/>
          <w:sz w:val="21"/>
          <w:szCs w:val="21"/>
          <w:lang w:val="es-MX" w:eastAsia="es-MX"/>
        </w:rPr>
        <w:t>la propuesta de punto de acuerdo formulado, en la LXIV Legislatura, por el Diputado Ernesto Alejandro Prieto Gallardo, integrante del Grupo Parlamentario de MORENA, para exhortar al Gobernador del Estado de Guanajuato el C. Diego Sinhue Rodríguez Vallejo a fin que acuda a todas y cada una de mesas de seguridad que se realizan en conjunto con la Secretaría de Seguridad y Protección Ciudadana del Gobierno de México, asimismo, para que implemente una estrategia efectiva para combatir la incidencia delictiva cumpliendo con su obligación constitucional de brindar seguridad a los guanajuatenses y dentro de dicha estrategia se contemple, con base en las estadísticas reales sobre los resultados en materia de seguridad, la permanencia o remoción del Titular de la Secretaría de Seguridad Pública del Estado, el C. Alvar Cabeza De Vaca Appendini y, a su vez, ejecute los trámites pertinentes para remover al Fiscal General del Estado de Guanajuato, el C. Carlos Zamarripa Aguirre, de acuerdo con la facultad conferida en el artículo 77 fracción XI de la Constitución Local que posee el Poder Ejecutivo del Estado; ello, en virtud de las consideraciones que fueron expuestas. Por lo tanto, se ordena su archivo definitivo.</w:t>
      </w:r>
    </w:p>
    <w:p w14:paraId="42C33E9F" w14:textId="77777777" w:rsidR="009572A9" w:rsidRPr="009572A9" w:rsidRDefault="009572A9" w:rsidP="00FE053F">
      <w:pPr>
        <w:jc w:val="both"/>
        <w:textAlignment w:val="baseline"/>
        <w:rPr>
          <w:rFonts w:ascii="Abadi" w:hAnsi="Abadi" w:cs="Arial"/>
          <w:sz w:val="21"/>
          <w:szCs w:val="21"/>
          <w:lang w:val="es-MX" w:eastAsia="es-MX"/>
        </w:rPr>
      </w:pPr>
    </w:p>
    <w:p w14:paraId="4DDEA8EE" w14:textId="6E617672" w:rsidR="009572A9" w:rsidRDefault="009572A9" w:rsidP="00FE053F">
      <w:pPr>
        <w:spacing w:after="160"/>
        <w:jc w:val="both"/>
        <w:rPr>
          <w:rFonts w:ascii="Abadi" w:eastAsiaTheme="minorHAnsi" w:hAnsi="Abadi" w:cs="Arial"/>
          <w:sz w:val="21"/>
          <w:szCs w:val="21"/>
          <w:lang w:val="es-MX" w:eastAsia="en-US"/>
        </w:rPr>
      </w:pPr>
      <w:r w:rsidRPr="009572A9">
        <w:rPr>
          <w:rFonts w:ascii="Abadi" w:eastAsiaTheme="minorHAnsi" w:hAnsi="Abadi" w:cs="Arial"/>
          <w:sz w:val="21"/>
          <w:szCs w:val="21"/>
          <w:lang w:val="es-MX" w:eastAsia="en-US"/>
        </w:rPr>
        <w:t>Comuníquese el presente acuerdo con su dictamen al Secretario General del Congreso del estado, para los efectos conducentes.</w:t>
      </w:r>
    </w:p>
    <w:p w14:paraId="7EEA1EBC" w14:textId="69110AF8" w:rsidR="009572A9" w:rsidRPr="009572A9" w:rsidRDefault="009572A9" w:rsidP="00FE053F">
      <w:pPr>
        <w:spacing w:after="160"/>
        <w:jc w:val="center"/>
        <w:rPr>
          <w:rFonts w:ascii="Abadi" w:eastAsiaTheme="minorHAnsi" w:hAnsi="Abadi" w:cs="Arial"/>
          <w:sz w:val="21"/>
          <w:szCs w:val="21"/>
          <w:lang w:val="es-MX" w:eastAsia="en-US"/>
        </w:rPr>
      </w:pPr>
      <w:r w:rsidRPr="009572A9">
        <w:rPr>
          <w:rFonts w:ascii="Abadi" w:hAnsi="Abadi" w:cs="Segoe UI"/>
          <w:b/>
          <w:bCs/>
          <w:sz w:val="21"/>
          <w:szCs w:val="21"/>
          <w:lang w:val="es-MX" w:eastAsia="es-MX"/>
        </w:rPr>
        <w:t>Guanajuato, Gto., a 7 de julio de 2022</w:t>
      </w:r>
    </w:p>
    <w:p w14:paraId="76AA0B27" w14:textId="72038E52" w:rsidR="009572A9" w:rsidRPr="009572A9" w:rsidRDefault="009572A9" w:rsidP="00FE053F">
      <w:pPr>
        <w:jc w:val="center"/>
        <w:textAlignment w:val="baseline"/>
        <w:rPr>
          <w:rFonts w:ascii="Abadi" w:hAnsi="Abadi" w:cs="Segoe UI"/>
          <w:sz w:val="21"/>
          <w:szCs w:val="21"/>
          <w:lang w:val="es-MX" w:eastAsia="es-MX"/>
        </w:rPr>
      </w:pPr>
      <w:r w:rsidRPr="009572A9">
        <w:rPr>
          <w:rFonts w:ascii="Abadi" w:hAnsi="Abadi" w:cs="Segoe UI"/>
          <w:b/>
          <w:bCs/>
          <w:sz w:val="21"/>
          <w:szCs w:val="21"/>
          <w:lang w:val="es-MX" w:eastAsia="es-MX"/>
        </w:rPr>
        <w:t>La Comisión de Seguridad Pública y Comunicaciones</w:t>
      </w:r>
    </w:p>
    <w:p w14:paraId="747AD6EB" w14:textId="77777777" w:rsidR="009572A9" w:rsidRPr="009572A9" w:rsidRDefault="009572A9" w:rsidP="00FE053F">
      <w:pPr>
        <w:jc w:val="center"/>
        <w:textAlignment w:val="baseline"/>
        <w:rPr>
          <w:rFonts w:ascii="Abadi" w:hAnsi="Abadi" w:cs="Segoe UI"/>
          <w:b/>
          <w:bCs/>
          <w:sz w:val="21"/>
          <w:szCs w:val="21"/>
          <w:lang w:val="es-MX" w:eastAsia="es-MX"/>
        </w:rPr>
      </w:pPr>
    </w:p>
    <w:p w14:paraId="2793EA09" w14:textId="77777777" w:rsidR="009572A9" w:rsidRPr="009572A9" w:rsidRDefault="009572A9" w:rsidP="00FE053F">
      <w:pPr>
        <w:jc w:val="center"/>
        <w:textAlignment w:val="baseline"/>
        <w:rPr>
          <w:rFonts w:ascii="Abadi" w:hAnsi="Abadi" w:cs="Segoe UI"/>
          <w:b/>
          <w:bCs/>
          <w:sz w:val="21"/>
          <w:szCs w:val="21"/>
          <w:lang w:val="es-MX" w:eastAsia="es-MX"/>
        </w:rPr>
      </w:pPr>
    </w:p>
    <w:p w14:paraId="70862E10" w14:textId="77777777" w:rsidR="009572A9" w:rsidRPr="009572A9" w:rsidRDefault="009572A9" w:rsidP="00FE053F">
      <w:pPr>
        <w:jc w:val="both"/>
        <w:textAlignment w:val="baseline"/>
        <w:rPr>
          <w:rFonts w:ascii="Abadi" w:hAnsi="Abadi" w:cs="Segoe UI"/>
          <w:b/>
          <w:bCs/>
          <w:sz w:val="21"/>
          <w:szCs w:val="21"/>
          <w:lang w:val="es-MX" w:eastAsia="es-MX"/>
        </w:rPr>
      </w:pPr>
      <w:r w:rsidRPr="009572A9">
        <w:rPr>
          <w:rFonts w:ascii="Abadi" w:hAnsi="Abadi" w:cs="Segoe UI"/>
          <w:b/>
          <w:bCs/>
          <w:sz w:val="21"/>
          <w:szCs w:val="21"/>
          <w:lang w:val="es-MX" w:eastAsia="es-MX"/>
        </w:rPr>
        <w:t>Dip. Martín López Camacho</w:t>
      </w:r>
    </w:p>
    <w:p w14:paraId="66A21100" w14:textId="77777777" w:rsidR="009572A9" w:rsidRPr="009572A9" w:rsidRDefault="009572A9" w:rsidP="00FE053F">
      <w:pPr>
        <w:jc w:val="both"/>
        <w:textAlignment w:val="baseline"/>
        <w:rPr>
          <w:rFonts w:ascii="Abadi" w:hAnsi="Abadi" w:cs="Segoe UI"/>
          <w:b/>
          <w:bCs/>
          <w:sz w:val="21"/>
          <w:szCs w:val="21"/>
          <w:lang w:val="es-MX" w:eastAsia="es-MX"/>
        </w:rPr>
      </w:pPr>
      <w:r w:rsidRPr="009572A9">
        <w:rPr>
          <w:rFonts w:ascii="Abadi" w:hAnsi="Abadi" w:cs="Segoe UI"/>
          <w:b/>
          <w:bCs/>
          <w:sz w:val="21"/>
          <w:szCs w:val="21"/>
          <w:lang w:val="es-MX" w:eastAsia="es-MX"/>
        </w:rPr>
        <w:t>Dip. Alma Edwviges Alcaraz Hernández</w:t>
      </w:r>
    </w:p>
    <w:p w14:paraId="72730A22" w14:textId="77777777" w:rsidR="009572A9" w:rsidRPr="009572A9" w:rsidRDefault="009572A9" w:rsidP="00FE053F">
      <w:pPr>
        <w:jc w:val="both"/>
        <w:textAlignment w:val="baseline"/>
        <w:rPr>
          <w:rFonts w:ascii="Abadi" w:hAnsi="Abadi"/>
          <w:b/>
          <w:bCs/>
          <w:sz w:val="21"/>
          <w:szCs w:val="21"/>
          <w:lang w:val="es-MX" w:eastAsia="es-MX"/>
        </w:rPr>
      </w:pPr>
      <w:r w:rsidRPr="009572A9">
        <w:rPr>
          <w:rFonts w:ascii="Abadi" w:hAnsi="Abadi"/>
          <w:b/>
          <w:bCs/>
          <w:sz w:val="21"/>
          <w:szCs w:val="21"/>
          <w:lang w:val="es-MX" w:eastAsia="es-MX"/>
        </w:rPr>
        <w:t>Dip. Rolando Fortino Alcántar Rojas</w:t>
      </w:r>
    </w:p>
    <w:p w14:paraId="4258B216" w14:textId="77777777" w:rsidR="009572A9" w:rsidRPr="009572A9" w:rsidRDefault="009572A9" w:rsidP="00FE053F">
      <w:pPr>
        <w:jc w:val="both"/>
        <w:textAlignment w:val="baseline"/>
        <w:rPr>
          <w:rFonts w:ascii="Abadi" w:hAnsi="Abadi" w:cs="Segoe UI"/>
          <w:sz w:val="21"/>
          <w:szCs w:val="21"/>
          <w:lang w:val="es-MX" w:eastAsia="es-MX"/>
        </w:rPr>
      </w:pPr>
      <w:r w:rsidRPr="009572A9">
        <w:rPr>
          <w:rFonts w:ascii="Abadi" w:hAnsi="Abadi"/>
          <w:b/>
          <w:bCs/>
          <w:sz w:val="21"/>
          <w:szCs w:val="21"/>
          <w:lang w:val="es-MX" w:eastAsia="es-MX"/>
        </w:rPr>
        <w:t>Dip. Bricio Balderas Álvarez</w:t>
      </w:r>
    </w:p>
    <w:p w14:paraId="5FB4DA05" w14:textId="6D58079E" w:rsidR="009572A9" w:rsidRDefault="009572A9" w:rsidP="00FE053F">
      <w:pPr>
        <w:jc w:val="both"/>
        <w:textAlignment w:val="baseline"/>
        <w:rPr>
          <w:rFonts w:ascii="Abadi" w:hAnsi="Abadi" w:cs="Segoe UI"/>
          <w:b/>
          <w:sz w:val="21"/>
          <w:szCs w:val="21"/>
          <w:lang w:val="es-MX" w:eastAsia="es-MX"/>
        </w:rPr>
      </w:pPr>
      <w:r w:rsidRPr="009572A9">
        <w:rPr>
          <w:rFonts w:ascii="Abadi" w:hAnsi="Abadi" w:cs="Segoe UI"/>
          <w:b/>
          <w:sz w:val="21"/>
          <w:szCs w:val="21"/>
          <w:lang w:val="es-MX" w:eastAsia="es-MX"/>
        </w:rPr>
        <w:t>Dip. Gerardo Fernández González</w:t>
      </w:r>
    </w:p>
    <w:p w14:paraId="65293095" w14:textId="7839AB74" w:rsidR="006E72BB" w:rsidRDefault="006E72BB" w:rsidP="00FE053F">
      <w:pPr>
        <w:jc w:val="both"/>
        <w:textAlignment w:val="baseline"/>
        <w:rPr>
          <w:rFonts w:ascii="Abadi" w:hAnsi="Abadi" w:cs="Segoe UI"/>
          <w:b/>
          <w:sz w:val="21"/>
          <w:szCs w:val="21"/>
          <w:lang w:val="es-MX" w:eastAsia="es-MX"/>
        </w:rPr>
      </w:pPr>
    </w:p>
    <w:p w14:paraId="023C2111" w14:textId="6C6DE623" w:rsidR="006E72BB" w:rsidRDefault="006E72BB" w:rsidP="006E72BB">
      <w:pPr>
        <w:ind w:firstLine="708"/>
        <w:jc w:val="both"/>
        <w:rPr>
          <w:rFonts w:ascii="Abadi" w:hAnsi="Abadi"/>
          <w:sz w:val="21"/>
          <w:szCs w:val="21"/>
        </w:rPr>
      </w:pPr>
      <w:r w:rsidRPr="00870675">
        <w:rPr>
          <w:rFonts w:ascii="Abadi" w:hAnsi="Abadi"/>
          <w:b/>
          <w:bCs/>
          <w:sz w:val="21"/>
          <w:szCs w:val="21"/>
        </w:rPr>
        <w:t xml:space="preserve">- El Presidente.- </w:t>
      </w:r>
      <w:r>
        <w:rPr>
          <w:rFonts w:ascii="Abadi" w:hAnsi="Abadi"/>
          <w:sz w:val="21"/>
          <w:szCs w:val="21"/>
        </w:rPr>
        <w:t>S</w:t>
      </w:r>
      <w:r w:rsidRPr="00652142">
        <w:rPr>
          <w:rFonts w:ascii="Abadi" w:hAnsi="Abadi"/>
          <w:sz w:val="21"/>
          <w:szCs w:val="21"/>
        </w:rPr>
        <w:t xml:space="preserve">e somete a discusión el dictamen suscrito por la </w:t>
      </w:r>
      <w:r>
        <w:rPr>
          <w:rFonts w:ascii="Abadi" w:hAnsi="Abadi"/>
          <w:sz w:val="21"/>
          <w:szCs w:val="21"/>
        </w:rPr>
        <w:t>C</w:t>
      </w:r>
      <w:r w:rsidRPr="00652142">
        <w:rPr>
          <w:rFonts w:ascii="Abadi" w:hAnsi="Abadi"/>
          <w:sz w:val="21"/>
          <w:szCs w:val="21"/>
        </w:rPr>
        <w:t xml:space="preserve">omisión de </w:t>
      </w:r>
      <w:r>
        <w:rPr>
          <w:rFonts w:ascii="Abadi" w:hAnsi="Abadi"/>
          <w:sz w:val="21"/>
          <w:szCs w:val="21"/>
        </w:rPr>
        <w:t>S</w:t>
      </w:r>
      <w:r w:rsidRPr="00652142">
        <w:rPr>
          <w:rFonts w:ascii="Abadi" w:hAnsi="Abadi"/>
          <w:sz w:val="21"/>
          <w:szCs w:val="21"/>
        </w:rPr>
        <w:t xml:space="preserve">eguridad </w:t>
      </w:r>
      <w:r>
        <w:rPr>
          <w:rFonts w:ascii="Abadi" w:hAnsi="Abadi"/>
          <w:sz w:val="21"/>
          <w:szCs w:val="21"/>
        </w:rPr>
        <w:t>P</w:t>
      </w:r>
      <w:r w:rsidRPr="00652142">
        <w:rPr>
          <w:rFonts w:ascii="Abadi" w:hAnsi="Abadi"/>
          <w:sz w:val="21"/>
          <w:szCs w:val="21"/>
        </w:rPr>
        <w:t xml:space="preserve">ública y </w:t>
      </w:r>
      <w:r>
        <w:rPr>
          <w:rFonts w:ascii="Abadi" w:hAnsi="Abadi"/>
          <w:sz w:val="21"/>
          <w:szCs w:val="21"/>
        </w:rPr>
        <w:t>C</w:t>
      </w:r>
      <w:r w:rsidRPr="00652142">
        <w:rPr>
          <w:rFonts w:ascii="Abadi" w:hAnsi="Abadi"/>
          <w:sz w:val="21"/>
          <w:szCs w:val="21"/>
        </w:rPr>
        <w:t>omunicaciones referida en el punto 33 de nuestra orden del día</w:t>
      </w:r>
      <w:r>
        <w:rPr>
          <w:rFonts w:ascii="Abadi" w:hAnsi="Abadi"/>
          <w:sz w:val="21"/>
          <w:szCs w:val="21"/>
        </w:rPr>
        <w:t>.</w:t>
      </w:r>
    </w:p>
    <w:p w14:paraId="4F22BBD5" w14:textId="77777777" w:rsidR="006E72BB" w:rsidRDefault="006E72BB" w:rsidP="006E72BB">
      <w:pPr>
        <w:ind w:firstLine="708"/>
        <w:jc w:val="both"/>
        <w:rPr>
          <w:rFonts w:ascii="Abadi" w:hAnsi="Abadi"/>
          <w:sz w:val="21"/>
          <w:szCs w:val="21"/>
        </w:rPr>
      </w:pPr>
    </w:p>
    <w:p w14:paraId="57CD35AF" w14:textId="7E2CD998" w:rsidR="006E72BB" w:rsidRDefault="006E72BB" w:rsidP="006E72BB">
      <w:pPr>
        <w:jc w:val="both"/>
        <w:rPr>
          <w:rFonts w:ascii="Abadi" w:hAnsi="Abadi"/>
          <w:sz w:val="21"/>
          <w:szCs w:val="21"/>
        </w:rPr>
      </w:pPr>
      <w:r>
        <w:rPr>
          <w:rFonts w:ascii="Abadi" w:hAnsi="Abadi"/>
          <w:sz w:val="21"/>
          <w:szCs w:val="21"/>
        </w:rPr>
        <w:tab/>
        <w:t>- S</w:t>
      </w:r>
      <w:r w:rsidRPr="00652142">
        <w:rPr>
          <w:rFonts w:ascii="Abadi" w:hAnsi="Abadi"/>
          <w:sz w:val="21"/>
          <w:szCs w:val="21"/>
        </w:rPr>
        <w:t xml:space="preserve">i alguna diputada </w:t>
      </w:r>
      <w:r>
        <w:rPr>
          <w:rFonts w:ascii="Abadi" w:hAnsi="Abadi"/>
          <w:sz w:val="21"/>
          <w:szCs w:val="21"/>
        </w:rPr>
        <w:t xml:space="preserve">o </w:t>
      </w:r>
      <w:r w:rsidRPr="00652142">
        <w:rPr>
          <w:rFonts w:ascii="Abadi" w:hAnsi="Abadi"/>
          <w:sz w:val="21"/>
          <w:szCs w:val="21"/>
        </w:rPr>
        <w:t xml:space="preserve">algún diputado desea hacer </w:t>
      </w:r>
      <w:r>
        <w:rPr>
          <w:rFonts w:ascii="Abadi" w:hAnsi="Abadi"/>
          <w:sz w:val="21"/>
          <w:szCs w:val="21"/>
        </w:rPr>
        <w:t>u</w:t>
      </w:r>
      <w:r w:rsidRPr="00652142">
        <w:rPr>
          <w:rFonts w:ascii="Abadi" w:hAnsi="Abadi"/>
          <w:sz w:val="21"/>
          <w:szCs w:val="21"/>
        </w:rPr>
        <w:t xml:space="preserve">so de la palabra en pro y en contra </w:t>
      </w:r>
      <w:r>
        <w:rPr>
          <w:rFonts w:ascii="Abadi" w:hAnsi="Abadi"/>
          <w:sz w:val="21"/>
          <w:szCs w:val="21"/>
        </w:rPr>
        <w:t>manifiéstenlo a esta Presidencia</w:t>
      </w:r>
      <w:r w:rsidRPr="00652142">
        <w:rPr>
          <w:rFonts w:ascii="Abadi" w:hAnsi="Abadi"/>
          <w:sz w:val="21"/>
          <w:szCs w:val="21"/>
        </w:rPr>
        <w:t xml:space="preserve"> indicando el sentido de su participación</w:t>
      </w:r>
      <w:r>
        <w:rPr>
          <w:rFonts w:ascii="Abadi" w:hAnsi="Abadi"/>
          <w:sz w:val="21"/>
          <w:szCs w:val="21"/>
        </w:rPr>
        <w:t>.</w:t>
      </w:r>
    </w:p>
    <w:p w14:paraId="19A494C8" w14:textId="77777777" w:rsidR="0010189B" w:rsidRDefault="0010189B" w:rsidP="006E72BB">
      <w:pPr>
        <w:jc w:val="both"/>
        <w:rPr>
          <w:rFonts w:ascii="Abadi" w:hAnsi="Abadi"/>
          <w:sz w:val="21"/>
          <w:szCs w:val="21"/>
        </w:rPr>
      </w:pPr>
    </w:p>
    <w:p w14:paraId="7691505E" w14:textId="731CBEA0" w:rsidR="006E72BB" w:rsidRDefault="006E72BB" w:rsidP="006E72BB">
      <w:pPr>
        <w:jc w:val="both"/>
        <w:rPr>
          <w:rFonts w:ascii="Abadi" w:hAnsi="Abadi"/>
          <w:sz w:val="21"/>
          <w:szCs w:val="21"/>
        </w:rPr>
      </w:pPr>
      <w:r>
        <w:rPr>
          <w:rFonts w:ascii="Abadi" w:hAnsi="Abadi"/>
          <w:sz w:val="21"/>
          <w:szCs w:val="21"/>
        </w:rPr>
        <w:tab/>
        <w:t xml:space="preserve">- No </w:t>
      </w:r>
      <w:r w:rsidRPr="00652142">
        <w:rPr>
          <w:rFonts w:ascii="Abadi" w:hAnsi="Abadi"/>
          <w:sz w:val="21"/>
          <w:szCs w:val="21"/>
        </w:rPr>
        <w:t xml:space="preserve">habiendo participaciones se pide a la </w:t>
      </w:r>
      <w:r>
        <w:rPr>
          <w:rFonts w:ascii="Abadi" w:hAnsi="Abadi"/>
          <w:sz w:val="21"/>
          <w:szCs w:val="21"/>
        </w:rPr>
        <w:t>S</w:t>
      </w:r>
      <w:r w:rsidRPr="00652142">
        <w:rPr>
          <w:rFonts w:ascii="Abadi" w:hAnsi="Abadi"/>
          <w:sz w:val="21"/>
          <w:szCs w:val="21"/>
        </w:rPr>
        <w:t xml:space="preserve">ecretaría que proceda a recabar votación nominal de la </w:t>
      </w:r>
      <w:r>
        <w:rPr>
          <w:rFonts w:ascii="Abadi" w:hAnsi="Abadi"/>
          <w:sz w:val="21"/>
          <w:szCs w:val="21"/>
        </w:rPr>
        <w:t>A</w:t>
      </w:r>
      <w:r w:rsidRPr="00652142">
        <w:rPr>
          <w:rFonts w:ascii="Abadi" w:hAnsi="Abadi"/>
          <w:sz w:val="21"/>
          <w:szCs w:val="21"/>
        </w:rPr>
        <w:t>samblea a través de nuestro sistema electrónico a efecto de aprobar o no el dictamen puesto su consideración</w:t>
      </w:r>
      <w:r>
        <w:rPr>
          <w:rFonts w:ascii="Abadi" w:hAnsi="Abadi"/>
          <w:sz w:val="21"/>
          <w:szCs w:val="21"/>
        </w:rPr>
        <w:t>.</w:t>
      </w:r>
    </w:p>
    <w:p w14:paraId="79F2CFD9" w14:textId="77777777" w:rsidR="006E72BB" w:rsidRDefault="006E72BB" w:rsidP="006E72BB">
      <w:pPr>
        <w:jc w:val="both"/>
        <w:rPr>
          <w:rFonts w:ascii="Abadi" w:hAnsi="Abadi"/>
          <w:sz w:val="21"/>
          <w:szCs w:val="21"/>
        </w:rPr>
      </w:pPr>
    </w:p>
    <w:p w14:paraId="3FC5162B" w14:textId="30C9F7A3" w:rsidR="006E72BB" w:rsidRDefault="006E72BB" w:rsidP="006E72BB">
      <w:pPr>
        <w:jc w:val="both"/>
        <w:rPr>
          <w:rFonts w:ascii="Abadi" w:hAnsi="Abadi"/>
          <w:b/>
          <w:bCs/>
          <w:sz w:val="21"/>
          <w:szCs w:val="21"/>
        </w:rPr>
      </w:pPr>
      <w:r w:rsidRPr="00834712">
        <w:rPr>
          <w:rFonts w:ascii="Abadi" w:hAnsi="Abadi"/>
          <w:b/>
          <w:bCs/>
          <w:sz w:val="21"/>
          <w:szCs w:val="21"/>
        </w:rPr>
        <w:t>(Abrimos nuestro sistema electrónico)</w:t>
      </w:r>
    </w:p>
    <w:p w14:paraId="4F2DF743" w14:textId="77777777" w:rsidR="006E72BB" w:rsidRPr="00834712" w:rsidRDefault="006E72BB" w:rsidP="006E72BB">
      <w:pPr>
        <w:jc w:val="both"/>
        <w:rPr>
          <w:rFonts w:ascii="Abadi" w:hAnsi="Abadi"/>
          <w:b/>
          <w:bCs/>
          <w:sz w:val="21"/>
          <w:szCs w:val="21"/>
        </w:rPr>
      </w:pPr>
    </w:p>
    <w:p w14:paraId="06F03861" w14:textId="3173B762" w:rsidR="006E72BB" w:rsidRDefault="006E72BB" w:rsidP="006E72BB">
      <w:pPr>
        <w:ind w:firstLine="708"/>
        <w:jc w:val="both"/>
        <w:rPr>
          <w:rFonts w:ascii="Abadi" w:hAnsi="Abadi"/>
          <w:sz w:val="21"/>
          <w:szCs w:val="21"/>
        </w:rPr>
      </w:pPr>
      <w:r w:rsidRPr="00834712">
        <w:rPr>
          <w:rFonts w:ascii="Abadi" w:hAnsi="Abadi"/>
          <w:b/>
          <w:bCs/>
          <w:sz w:val="21"/>
          <w:szCs w:val="21"/>
        </w:rPr>
        <w:t>- El Secretario.-</w:t>
      </w:r>
      <w:r>
        <w:rPr>
          <w:rFonts w:ascii="Abadi" w:hAnsi="Abadi"/>
          <w:sz w:val="21"/>
          <w:szCs w:val="21"/>
        </w:rPr>
        <w:t xml:space="preserve"> E</w:t>
      </w:r>
      <w:r w:rsidRPr="00652142">
        <w:rPr>
          <w:rFonts w:ascii="Abadi" w:hAnsi="Abadi"/>
          <w:sz w:val="21"/>
          <w:szCs w:val="21"/>
        </w:rPr>
        <w:t xml:space="preserve">n votación nominal por el sistema electrónico se pregunta a las diputadas y a los diputados </w:t>
      </w:r>
      <w:r>
        <w:rPr>
          <w:rFonts w:ascii="Abadi" w:hAnsi="Abadi"/>
          <w:sz w:val="21"/>
          <w:szCs w:val="21"/>
        </w:rPr>
        <w:t xml:space="preserve">si </w:t>
      </w:r>
      <w:r w:rsidRPr="00652142">
        <w:rPr>
          <w:rFonts w:ascii="Abadi" w:hAnsi="Abadi"/>
          <w:sz w:val="21"/>
          <w:szCs w:val="21"/>
        </w:rPr>
        <w:t>se aprueba el dictamen puesto a su consideración</w:t>
      </w:r>
      <w:r>
        <w:rPr>
          <w:rFonts w:ascii="Abadi" w:hAnsi="Abadi"/>
          <w:sz w:val="21"/>
          <w:szCs w:val="21"/>
        </w:rPr>
        <w:t>. ¿D</w:t>
      </w:r>
      <w:r w:rsidRPr="006813AA">
        <w:rPr>
          <w:rFonts w:ascii="Abadi" w:hAnsi="Abadi"/>
          <w:sz w:val="21"/>
          <w:szCs w:val="21"/>
        </w:rPr>
        <w:t xml:space="preserve">iputado Alejandro </w:t>
      </w:r>
      <w:r>
        <w:rPr>
          <w:rFonts w:ascii="Abadi" w:hAnsi="Abadi"/>
          <w:sz w:val="21"/>
          <w:szCs w:val="21"/>
        </w:rPr>
        <w:t>A</w:t>
      </w:r>
      <w:r w:rsidRPr="006813AA">
        <w:rPr>
          <w:rFonts w:ascii="Abadi" w:hAnsi="Abadi"/>
          <w:sz w:val="21"/>
          <w:szCs w:val="21"/>
        </w:rPr>
        <w:t>rias</w:t>
      </w:r>
      <w:r>
        <w:rPr>
          <w:rFonts w:ascii="Abadi" w:hAnsi="Abadi"/>
          <w:sz w:val="21"/>
          <w:szCs w:val="21"/>
        </w:rPr>
        <w:t>?</w:t>
      </w:r>
      <w:r w:rsidRPr="006813AA">
        <w:rPr>
          <w:rFonts w:ascii="Abadi" w:hAnsi="Abadi"/>
          <w:sz w:val="21"/>
          <w:szCs w:val="21"/>
        </w:rPr>
        <w:t xml:space="preserve"> </w:t>
      </w:r>
      <w:r>
        <w:rPr>
          <w:rFonts w:ascii="Abadi" w:hAnsi="Abadi"/>
          <w:sz w:val="21"/>
          <w:szCs w:val="21"/>
        </w:rPr>
        <w:t>¿Diputada Katya Cristina Soto?</w:t>
      </w:r>
    </w:p>
    <w:p w14:paraId="3F4EEF9C" w14:textId="77777777" w:rsidR="006E72BB" w:rsidRPr="006813AA" w:rsidRDefault="006E72BB" w:rsidP="006E72BB">
      <w:pPr>
        <w:ind w:firstLine="708"/>
        <w:jc w:val="both"/>
        <w:rPr>
          <w:rFonts w:ascii="Abadi" w:hAnsi="Abadi"/>
          <w:sz w:val="21"/>
          <w:szCs w:val="21"/>
        </w:rPr>
      </w:pPr>
    </w:p>
    <w:p w14:paraId="48AFA306" w14:textId="524B18AD" w:rsidR="006E72BB" w:rsidRDefault="006E72BB" w:rsidP="006E72BB">
      <w:pPr>
        <w:jc w:val="both"/>
        <w:rPr>
          <w:rFonts w:ascii="Abadi" w:hAnsi="Abadi"/>
          <w:sz w:val="21"/>
          <w:szCs w:val="21"/>
        </w:rPr>
      </w:pPr>
      <w:r>
        <w:rPr>
          <w:rFonts w:ascii="Abadi" w:hAnsi="Abadi"/>
          <w:sz w:val="21"/>
          <w:szCs w:val="21"/>
        </w:rPr>
        <w:t>¿F</w:t>
      </w:r>
      <w:r w:rsidRPr="006813AA">
        <w:rPr>
          <w:rFonts w:ascii="Abadi" w:hAnsi="Abadi"/>
          <w:sz w:val="21"/>
          <w:szCs w:val="21"/>
        </w:rPr>
        <w:t>alta alguna diputada o algún diputado de emitir su voto</w:t>
      </w:r>
      <w:r>
        <w:rPr>
          <w:rFonts w:ascii="Abadi" w:hAnsi="Abadi"/>
          <w:sz w:val="21"/>
          <w:szCs w:val="21"/>
        </w:rPr>
        <w:t>?</w:t>
      </w:r>
    </w:p>
    <w:p w14:paraId="25FE78FE" w14:textId="77777777" w:rsidR="006E72BB" w:rsidRDefault="006E72BB" w:rsidP="006E72BB">
      <w:pPr>
        <w:jc w:val="both"/>
        <w:rPr>
          <w:rFonts w:ascii="Abadi" w:hAnsi="Abadi"/>
          <w:sz w:val="21"/>
          <w:szCs w:val="21"/>
        </w:rPr>
      </w:pPr>
    </w:p>
    <w:p w14:paraId="150E0974" w14:textId="77777777" w:rsidR="006E72BB" w:rsidRDefault="006E72BB" w:rsidP="006E72BB">
      <w:pPr>
        <w:jc w:val="both"/>
        <w:rPr>
          <w:rFonts w:ascii="Abadi" w:hAnsi="Abadi"/>
          <w:b/>
          <w:bCs/>
          <w:sz w:val="21"/>
          <w:szCs w:val="21"/>
        </w:rPr>
      </w:pPr>
      <w:r w:rsidRPr="0000380E">
        <w:rPr>
          <w:rFonts w:ascii="Abadi" w:hAnsi="Abadi"/>
          <w:b/>
          <w:bCs/>
          <w:sz w:val="21"/>
          <w:szCs w:val="21"/>
        </w:rPr>
        <w:t>(Cerramos sistema electrónico)</w:t>
      </w:r>
    </w:p>
    <w:p w14:paraId="568D6CAC" w14:textId="77777777" w:rsidR="006E72BB" w:rsidRPr="0000380E" w:rsidRDefault="006E72BB" w:rsidP="006E72BB">
      <w:pPr>
        <w:tabs>
          <w:tab w:val="left" w:pos="2373"/>
        </w:tabs>
        <w:jc w:val="both"/>
        <w:rPr>
          <w:rFonts w:ascii="Abadi" w:hAnsi="Abadi"/>
          <w:b/>
          <w:bCs/>
          <w:sz w:val="21"/>
          <w:szCs w:val="21"/>
        </w:rPr>
      </w:pPr>
      <w:r>
        <w:rPr>
          <w:rFonts w:ascii="Abadi" w:hAnsi="Abadi"/>
          <w:b/>
          <w:bCs/>
          <w:sz w:val="21"/>
          <w:szCs w:val="21"/>
        </w:rPr>
        <w:tab/>
      </w:r>
      <w:r>
        <w:rPr>
          <w:noProof/>
        </w:rPr>
        <w:drawing>
          <wp:inline distT="0" distB="0" distL="0" distR="0" wp14:anchorId="595B9B9E" wp14:editId="2A6DDDBB">
            <wp:extent cx="1901952" cy="971816"/>
            <wp:effectExtent l="323850" t="323850" r="327025" b="323850"/>
            <wp:docPr id="61" name="Imagen 61"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Interfaz de usuario gráfica, Texto, Sitio web&#10;&#10;Descripción generada automáticamente"/>
                    <pic:cNvPicPr/>
                  </pic:nvPicPr>
                  <pic:blipFill rotWithShape="1">
                    <a:blip r:embed="rId67"/>
                    <a:srcRect b="9119"/>
                    <a:stretch/>
                  </pic:blipFill>
                  <pic:spPr bwMode="auto">
                    <a:xfrm>
                      <a:off x="0" y="0"/>
                      <a:ext cx="1916928" cy="979468"/>
                    </a:xfrm>
                    <a:prstGeom prst="rect">
                      <a:avLst/>
                    </a:prstGeom>
                    <a:ln w="88900" cap="sq" cmpd="thickThin">
                      <a:solidFill>
                        <a:srgbClr val="000000"/>
                      </a:solidFill>
                      <a:prstDash val="solid"/>
                      <a:miter lim="800000"/>
                    </a:ln>
                    <a:effectLst>
                      <a:glow rad="228600">
                        <a:schemeClr val="accent3">
                          <a:satMod val="1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0A8EF1E8" w14:textId="40504E9A" w:rsidR="006E72BB" w:rsidRDefault="006E72BB" w:rsidP="006E72BB">
      <w:pPr>
        <w:ind w:firstLine="708"/>
        <w:jc w:val="both"/>
        <w:rPr>
          <w:rFonts w:ascii="Abadi" w:hAnsi="Abadi"/>
          <w:sz w:val="21"/>
          <w:szCs w:val="21"/>
        </w:rPr>
      </w:pPr>
      <w:r w:rsidRPr="0000380E">
        <w:rPr>
          <w:rFonts w:ascii="Abadi" w:hAnsi="Abadi"/>
          <w:b/>
          <w:bCs/>
          <w:sz w:val="21"/>
          <w:szCs w:val="21"/>
        </w:rPr>
        <w:t xml:space="preserve">- El Secretario.- </w:t>
      </w:r>
      <w:r>
        <w:rPr>
          <w:rFonts w:ascii="Abadi" w:hAnsi="Abadi"/>
          <w:sz w:val="21"/>
          <w:szCs w:val="21"/>
        </w:rPr>
        <w:t>S</w:t>
      </w:r>
      <w:r w:rsidRPr="006813AA">
        <w:rPr>
          <w:rFonts w:ascii="Abadi" w:hAnsi="Abadi"/>
          <w:sz w:val="21"/>
          <w:szCs w:val="21"/>
        </w:rPr>
        <w:t>e registraron 27 votos a favor y 6 votos en contra</w:t>
      </w:r>
      <w:r>
        <w:rPr>
          <w:rFonts w:ascii="Abadi" w:hAnsi="Abadi"/>
          <w:sz w:val="21"/>
          <w:szCs w:val="21"/>
        </w:rPr>
        <w:t>.</w:t>
      </w:r>
    </w:p>
    <w:p w14:paraId="63E43ED6" w14:textId="77777777" w:rsidR="009525C9" w:rsidRDefault="009525C9" w:rsidP="006E72BB">
      <w:pPr>
        <w:ind w:firstLine="708"/>
        <w:jc w:val="both"/>
        <w:rPr>
          <w:rFonts w:ascii="Abadi" w:hAnsi="Abadi"/>
          <w:sz w:val="21"/>
          <w:szCs w:val="21"/>
        </w:rPr>
      </w:pPr>
    </w:p>
    <w:p w14:paraId="28E30894" w14:textId="464B903A" w:rsidR="006E72BB" w:rsidRDefault="006E72BB" w:rsidP="006E72BB">
      <w:pPr>
        <w:ind w:firstLine="708"/>
        <w:jc w:val="both"/>
        <w:rPr>
          <w:rFonts w:ascii="Abadi" w:hAnsi="Abadi"/>
          <w:sz w:val="21"/>
          <w:szCs w:val="21"/>
        </w:rPr>
      </w:pPr>
      <w:r w:rsidRPr="001F5B36">
        <w:rPr>
          <w:rFonts w:ascii="Abadi" w:hAnsi="Abadi"/>
          <w:b/>
          <w:bCs/>
          <w:sz w:val="21"/>
          <w:szCs w:val="21"/>
        </w:rPr>
        <w:t>- El Presidente.-</w:t>
      </w:r>
      <w:r>
        <w:rPr>
          <w:rFonts w:ascii="Abadi" w:hAnsi="Abadi"/>
          <w:sz w:val="21"/>
          <w:szCs w:val="21"/>
        </w:rPr>
        <w:t xml:space="preserve"> Por </w:t>
      </w:r>
      <w:r w:rsidRPr="006813AA">
        <w:rPr>
          <w:rFonts w:ascii="Abadi" w:hAnsi="Abadi"/>
          <w:sz w:val="21"/>
          <w:szCs w:val="21"/>
        </w:rPr>
        <w:t>mayoría de votos ha sido aprobado este dictamen</w:t>
      </w:r>
      <w:r>
        <w:rPr>
          <w:rFonts w:ascii="Abadi" w:hAnsi="Abadi"/>
          <w:sz w:val="21"/>
          <w:szCs w:val="21"/>
        </w:rPr>
        <w:t>.</w:t>
      </w:r>
    </w:p>
    <w:p w14:paraId="5BE8DDE8" w14:textId="77777777" w:rsidR="009525C9" w:rsidRDefault="009525C9" w:rsidP="006E72BB">
      <w:pPr>
        <w:ind w:firstLine="708"/>
        <w:jc w:val="both"/>
        <w:rPr>
          <w:rFonts w:ascii="Abadi" w:hAnsi="Abadi"/>
          <w:sz w:val="21"/>
          <w:szCs w:val="21"/>
        </w:rPr>
      </w:pPr>
    </w:p>
    <w:p w14:paraId="28CCF18E" w14:textId="77777777" w:rsidR="006E72BB" w:rsidRPr="001F5B36" w:rsidRDefault="006E72BB" w:rsidP="00167C9A">
      <w:pPr>
        <w:ind w:left="709" w:right="474"/>
        <w:jc w:val="both"/>
        <w:rPr>
          <w:rFonts w:ascii="Abadi" w:hAnsi="Abadi"/>
          <w:b/>
          <w:bCs/>
          <w:i/>
          <w:iCs/>
          <w:sz w:val="21"/>
          <w:szCs w:val="21"/>
          <w:u w:val="single"/>
        </w:rPr>
      </w:pPr>
      <w:r w:rsidRPr="001F5B36">
        <w:rPr>
          <w:rFonts w:ascii="Abadi" w:hAnsi="Abadi"/>
          <w:b/>
          <w:bCs/>
          <w:i/>
          <w:iCs/>
          <w:sz w:val="21"/>
          <w:szCs w:val="21"/>
          <w:u w:val="single"/>
        </w:rPr>
        <w:t>En consecuencia se instruye a la Secretaría General para que proceda al archivo definitivo de la propuesta de punto de acuerdo referida en el dictamen aprobado.</w:t>
      </w:r>
    </w:p>
    <w:p w14:paraId="02757EB6" w14:textId="708ACBF4" w:rsidR="00A33AA1" w:rsidRPr="00A33AA1" w:rsidRDefault="00A33AA1" w:rsidP="00FE053F">
      <w:pPr>
        <w:autoSpaceDE w:val="0"/>
        <w:autoSpaceDN w:val="0"/>
        <w:adjustRightInd w:val="0"/>
        <w:jc w:val="both"/>
        <w:rPr>
          <w:rFonts w:ascii="Abadi" w:hAnsi="Abadi" w:cs="ArialMT"/>
          <w:sz w:val="20"/>
          <w:szCs w:val="21"/>
        </w:rPr>
      </w:pPr>
    </w:p>
    <w:p w14:paraId="17BF468F" w14:textId="77777777" w:rsidR="00A33AA1" w:rsidRPr="0028553C" w:rsidRDefault="00A33AA1" w:rsidP="00FE053F">
      <w:pPr>
        <w:autoSpaceDE w:val="0"/>
        <w:autoSpaceDN w:val="0"/>
        <w:adjustRightInd w:val="0"/>
        <w:jc w:val="both"/>
        <w:rPr>
          <w:rFonts w:ascii="Abadi" w:hAnsi="Abadi" w:cs="ArialMT"/>
          <w:b/>
          <w:bCs/>
          <w:sz w:val="20"/>
          <w:szCs w:val="21"/>
        </w:rPr>
      </w:pPr>
    </w:p>
    <w:p w14:paraId="4F468D0E" w14:textId="77777777" w:rsidR="00E462B6" w:rsidRPr="0028553C" w:rsidRDefault="00E462B6" w:rsidP="00167C9A">
      <w:pPr>
        <w:pStyle w:val="Prrafodelista"/>
        <w:numPr>
          <w:ilvl w:val="0"/>
          <w:numId w:val="14"/>
        </w:numPr>
        <w:autoSpaceDE w:val="0"/>
        <w:autoSpaceDN w:val="0"/>
        <w:adjustRightInd w:val="0"/>
        <w:ind w:left="426"/>
        <w:contextualSpacing/>
        <w:jc w:val="both"/>
        <w:rPr>
          <w:rFonts w:ascii="Abadi" w:hAnsi="Abadi" w:cs="ArialMT"/>
          <w:b/>
          <w:bCs/>
          <w:sz w:val="20"/>
          <w:szCs w:val="21"/>
        </w:rPr>
      </w:pPr>
      <w:r w:rsidRPr="0028553C">
        <w:rPr>
          <w:rFonts w:ascii="Abadi" w:hAnsi="Abadi" w:cs="ArialMT"/>
          <w:b/>
          <w:bCs/>
          <w:sz w:val="20"/>
          <w:szCs w:val="21"/>
        </w:rPr>
        <w:t>DISCUSIÓN Y, EN SU CASO, APROBACIÓN DEL DICTAMEN EMITIDO POR LA COMISIÓN DE SEGURIDAD PÚBLICA Y COMUNICACIONES RELATIVO A LA PROPUESTA DE PUNTO DE ACUERDO FORMULADA EN LA SEXAGÉSIMA CUARTA LEGISLATURA, POR EL DIPUTADO ERNESTO ALEJANDRO PRIETO GALLARDO, INTEGRANTE DEL GRUPO PARLAMENTARIO DEL PARTIDO MORENA, PARA EXHORTAR AL GOBERNADOR DEL ESTADO DE GUANAJUATO EL C. DIEGO SINHUE RODRÍGUEZ VALLEJO A FIN DE QUE, EN EL ÁMBITO DE SUS FACULTADES, REMUEVA AL ACTUAL TITULAR DE LA SECRETARÍA DE SEGURIDAD PÚBLICA DEL ESTADO DE GUANAJUATO EL C. ALVAR CABEZA DE VACA APPENDINI, ASÍ COMO DAR INICIO AL PROCESO DE REMOCIÓN AL TITULAR DE LA FISCALÍA GENERAL DEL ESTADO DE GUANAJUATO CARLOS ZAMARRIPA AGUIRRE DEBIDO A SUS NULOS RESULTADOS EN LA PREVENCIÓN SOCIAL DE LA VIOLENCIA Y LA DELINCUENCIA, SEGURIDAD, REINSERCIÓN SOCIAL Y PROTECCIÓN CIUDADANA, ASÍ COMO DE LA PROCURACIÓN DE JUSTICIA EN EL ESTADO.</w:t>
      </w:r>
    </w:p>
    <w:p w14:paraId="609E3B6F" w14:textId="2C09F56B" w:rsidR="00E462B6" w:rsidRDefault="00E462B6" w:rsidP="00FE053F">
      <w:pPr>
        <w:autoSpaceDE w:val="0"/>
        <w:autoSpaceDN w:val="0"/>
        <w:adjustRightInd w:val="0"/>
        <w:jc w:val="both"/>
        <w:rPr>
          <w:rFonts w:ascii="Abadi" w:hAnsi="Abadi" w:cs="ArialMT"/>
          <w:b/>
          <w:bCs/>
          <w:sz w:val="20"/>
          <w:szCs w:val="21"/>
        </w:rPr>
      </w:pPr>
    </w:p>
    <w:p w14:paraId="1F4AD3BC" w14:textId="77777777" w:rsidR="00286202" w:rsidRPr="00286202" w:rsidRDefault="00286202" w:rsidP="00FE053F">
      <w:pPr>
        <w:rPr>
          <w:rFonts w:ascii="Abadi" w:eastAsiaTheme="minorHAnsi" w:hAnsi="Abadi" w:cs="Arial"/>
          <w:b/>
          <w:sz w:val="21"/>
          <w:szCs w:val="21"/>
          <w:lang w:val="es-MX" w:eastAsia="en-US"/>
        </w:rPr>
      </w:pPr>
      <w:r w:rsidRPr="00286202">
        <w:rPr>
          <w:rFonts w:ascii="Abadi" w:eastAsiaTheme="minorHAnsi" w:hAnsi="Abadi" w:cs="Arial"/>
          <w:b/>
          <w:sz w:val="21"/>
          <w:szCs w:val="21"/>
          <w:lang w:val="es-MX" w:eastAsia="en-US"/>
        </w:rPr>
        <w:t>Presidencia de la Mesa Directiva</w:t>
      </w:r>
    </w:p>
    <w:p w14:paraId="14A9A1C0" w14:textId="77777777" w:rsidR="00286202" w:rsidRPr="00286202" w:rsidRDefault="00286202" w:rsidP="00FE053F">
      <w:pPr>
        <w:rPr>
          <w:rFonts w:ascii="Abadi" w:eastAsiaTheme="minorHAnsi" w:hAnsi="Abadi" w:cs="Arial"/>
          <w:b/>
          <w:sz w:val="21"/>
          <w:szCs w:val="21"/>
          <w:lang w:val="es-MX" w:eastAsia="en-US"/>
        </w:rPr>
      </w:pPr>
      <w:r w:rsidRPr="00286202">
        <w:rPr>
          <w:rFonts w:ascii="Abadi" w:eastAsiaTheme="minorHAnsi" w:hAnsi="Abadi" w:cs="Arial"/>
          <w:b/>
          <w:sz w:val="21"/>
          <w:szCs w:val="21"/>
          <w:lang w:val="es-MX" w:eastAsia="en-US"/>
        </w:rPr>
        <w:t>Congreso del Estado</w:t>
      </w:r>
    </w:p>
    <w:p w14:paraId="4AAEFD0B" w14:textId="77777777" w:rsidR="00286202" w:rsidRPr="00286202" w:rsidRDefault="00286202" w:rsidP="00FE053F">
      <w:pPr>
        <w:rPr>
          <w:rFonts w:ascii="Abadi" w:eastAsiaTheme="minorHAnsi" w:hAnsi="Abadi" w:cs="Arial"/>
          <w:b/>
          <w:sz w:val="21"/>
          <w:szCs w:val="21"/>
          <w:lang w:val="es-MX" w:eastAsia="en-US"/>
        </w:rPr>
      </w:pPr>
      <w:r w:rsidRPr="00286202">
        <w:rPr>
          <w:rFonts w:ascii="Abadi" w:eastAsiaTheme="minorHAnsi" w:hAnsi="Abadi" w:cs="Arial"/>
          <w:b/>
          <w:sz w:val="21"/>
          <w:szCs w:val="21"/>
          <w:lang w:val="es-MX" w:eastAsia="en-US"/>
        </w:rPr>
        <w:t>Presente</w:t>
      </w:r>
    </w:p>
    <w:p w14:paraId="362E74F9" w14:textId="77777777" w:rsidR="00286202" w:rsidRPr="00286202" w:rsidRDefault="00286202" w:rsidP="00FE053F">
      <w:pPr>
        <w:spacing w:before="100" w:beforeAutospacing="1" w:afterAutospacing="1"/>
        <w:jc w:val="both"/>
        <w:textAlignment w:val="baseline"/>
        <w:rPr>
          <w:rFonts w:ascii="Abadi" w:hAnsi="Abadi" w:cs="Arial"/>
          <w:sz w:val="21"/>
          <w:szCs w:val="21"/>
          <w:lang w:val="es-MX" w:eastAsia="es-MX"/>
        </w:rPr>
      </w:pPr>
      <w:r w:rsidRPr="00286202">
        <w:rPr>
          <w:rFonts w:ascii="Abadi" w:hAnsi="Abadi" w:cs="Arial"/>
          <w:sz w:val="21"/>
          <w:szCs w:val="21"/>
          <w:lang w:val="es-MX" w:eastAsia="es-MX"/>
        </w:rPr>
        <w:t>Correspondió a esta Comisión de Seguridad Pública y Comunicaciones analizar y dictaminar la propuesta de punto de acuerdo formulado, en la LXIV Legislatura, por el Diputado Ernesto Alejandro Prieto Gallardo, integrante del Grupo Parlamentario de MORENA, para exhortar al Gobernador del Estado de Guanajuato el C. DIEGO SINHUE RODRÍGUEZ VALLEJO a fin de que, en el ámbito de sus facultades, remueva al actual titular de la Secretaría de Seguridad Pública del Estado de Guanajuato el C. ALVAR CABEZA DE VACA APPENDINI, así como dar inicio al proceso de remoción al titular de la Fiscalía General del Estado de Guanajuato CARLOS ZAMARRIPA AGUIRRE debido a sus nulos resultados en la prevención social de la violencia y la delincuencia, seguridad, reinserción social y protección ciudadana, así como de la procuración de justicia en el estado.</w:t>
      </w:r>
    </w:p>
    <w:p w14:paraId="2F4A5677" w14:textId="77777777" w:rsidR="00286202" w:rsidRPr="00286202" w:rsidRDefault="00286202" w:rsidP="00FE053F">
      <w:pPr>
        <w:jc w:val="both"/>
        <w:textAlignment w:val="baseline"/>
        <w:rPr>
          <w:rFonts w:ascii="Abadi" w:hAnsi="Abadi" w:cs="Arial"/>
          <w:sz w:val="21"/>
          <w:szCs w:val="21"/>
          <w:lang w:val="es-MX" w:eastAsia="es-MX"/>
        </w:rPr>
      </w:pPr>
      <w:r w:rsidRPr="00286202">
        <w:rPr>
          <w:rFonts w:ascii="Abadi" w:hAnsi="Abadi" w:cs="Arial"/>
          <w:sz w:val="21"/>
          <w:szCs w:val="21"/>
          <w:lang w:val="es-MX" w:eastAsia="es-MX"/>
        </w:rPr>
        <w:t xml:space="preserve">Con fundamento en el artículo 119 fracción II y 180 de la Ley Orgánica del Poder Legislativo del Estado de Guanajuato, se procede a realizar el siguiente: </w:t>
      </w:r>
    </w:p>
    <w:p w14:paraId="51E3DD2F" w14:textId="77777777" w:rsidR="00286202" w:rsidRPr="00286202" w:rsidRDefault="00286202" w:rsidP="00FE053F">
      <w:pPr>
        <w:jc w:val="both"/>
        <w:textAlignment w:val="baseline"/>
        <w:rPr>
          <w:rFonts w:ascii="Abadi" w:hAnsi="Abadi" w:cs="Arial"/>
          <w:sz w:val="21"/>
          <w:szCs w:val="21"/>
          <w:lang w:val="es-MX" w:eastAsia="es-MX"/>
        </w:rPr>
      </w:pPr>
    </w:p>
    <w:p w14:paraId="2DA938A1" w14:textId="77777777" w:rsidR="00286202" w:rsidRPr="00286202" w:rsidRDefault="00286202" w:rsidP="00FE053F">
      <w:pPr>
        <w:jc w:val="center"/>
        <w:textAlignment w:val="baseline"/>
        <w:rPr>
          <w:rFonts w:ascii="Abadi" w:hAnsi="Abadi" w:cs="Arial"/>
          <w:b/>
          <w:sz w:val="21"/>
          <w:szCs w:val="21"/>
          <w:lang w:val="es-MX" w:eastAsia="es-MX"/>
        </w:rPr>
      </w:pPr>
      <w:r w:rsidRPr="00286202">
        <w:rPr>
          <w:rFonts w:ascii="Abadi" w:hAnsi="Abadi" w:cs="Arial"/>
          <w:b/>
          <w:sz w:val="21"/>
          <w:szCs w:val="21"/>
          <w:lang w:val="es-MX" w:eastAsia="es-MX"/>
        </w:rPr>
        <w:t>D i c t a m e n</w:t>
      </w:r>
    </w:p>
    <w:p w14:paraId="18D2B9A6" w14:textId="77777777" w:rsidR="00E840BE" w:rsidRDefault="00E840BE" w:rsidP="00E840BE">
      <w:pPr>
        <w:ind w:left="720"/>
        <w:textAlignment w:val="baseline"/>
        <w:rPr>
          <w:rFonts w:ascii="Abadi" w:hAnsi="Abadi" w:cs="Arial"/>
          <w:b/>
          <w:sz w:val="21"/>
          <w:szCs w:val="21"/>
          <w:lang w:val="es-MX" w:eastAsia="es-MX"/>
        </w:rPr>
      </w:pPr>
    </w:p>
    <w:p w14:paraId="4FEE492F" w14:textId="6AA6B74B" w:rsidR="00286202" w:rsidRPr="00286202" w:rsidRDefault="00286202" w:rsidP="00FE053F">
      <w:pPr>
        <w:numPr>
          <w:ilvl w:val="0"/>
          <w:numId w:val="44"/>
        </w:numPr>
        <w:textAlignment w:val="baseline"/>
        <w:rPr>
          <w:rFonts w:ascii="Abadi" w:hAnsi="Abadi" w:cs="Arial"/>
          <w:b/>
          <w:sz w:val="21"/>
          <w:szCs w:val="21"/>
          <w:lang w:val="es-MX" w:eastAsia="es-MX"/>
        </w:rPr>
      </w:pPr>
      <w:r w:rsidRPr="00286202">
        <w:rPr>
          <w:rFonts w:ascii="Abadi" w:hAnsi="Abadi" w:cs="Arial"/>
          <w:b/>
          <w:sz w:val="21"/>
          <w:szCs w:val="21"/>
          <w:lang w:val="es-MX" w:eastAsia="es-MX"/>
        </w:rPr>
        <w:t>Antecedentes.</w:t>
      </w:r>
    </w:p>
    <w:p w14:paraId="037A81F8" w14:textId="77777777" w:rsidR="00286202" w:rsidRPr="00286202" w:rsidRDefault="00286202" w:rsidP="00FE053F">
      <w:pPr>
        <w:textAlignment w:val="baseline"/>
        <w:rPr>
          <w:rFonts w:ascii="Abadi" w:hAnsi="Abadi" w:cs="Arial"/>
          <w:sz w:val="21"/>
          <w:szCs w:val="21"/>
          <w:lang w:val="es-MX" w:eastAsia="es-MX"/>
        </w:rPr>
      </w:pPr>
    </w:p>
    <w:p w14:paraId="0DD8BE2B" w14:textId="77777777" w:rsidR="00286202" w:rsidRPr="00286202" w:rsidRDefault="00286202" w:rsidP="00FE053F">
      <w:pPr>
        <w:jc w:val="both"/>
        <w:textAlignment w:val="baseline"/>
        <w:rPr>
          <w:rFonts w:ascii="Abadi" w:hAnsi="Abadi" w:cs="Arial"/>
          <w:sz w:val="21"/>
          <w:szCs w:val="21"/>
          <w:lang w:val="es-MX" w:eastAsia="es-MX"/>
        </w:rPr>
      </w:pPr>
      <w:r w:rsidRPr="00286202">
        <w:rPr>
          <w:rFonts w:ascii="Abadi" w:hAnsi="Abadi" w:cs="Arial"/>
          <w:sz w:val="21"/>
          <w:szCs w:val="21"/>
          <w:lang w:val="es-MX" w:eastAsia="es-MX"/>
        </w:rPr>
        <w:t xml:space="preserve">La propuesta de acuerdo fue presentada en la sesión ordinaria celebrada en fecha 1 de octubre de 2020 y su radicación se realizó en reunión del día 26 de octubre del mismo año.  </w:t>
      </w:r>
    </w:p>
    <w:p w14:paraId="4F043E81" w14:textId="77777777" w:rsidR="00286202" w:rsidRPr="00286202" w:rsidRDefault="00286202" w:rsidP="00FE053F">
      <w:pPr>
        <w:jc w:val="both"/>
        <w:textAlignment w:val="baseline"/>
        <w:rPr>
          <w:rFonts w:ascii="Abadi" w:hAnsi="Abadi" w:cs="Arial"/>
          <w:sz w:val="21"/>
          <w:szCs w:val="21"/>
          <w:lang w:val="es-MX" w:eastAsia="es-MX"/>
        </w:rPr>
      </w:pPr>
    </w:p>
    <w:p w14:paraId="70DEAE41" w14:textId="77777777" w:rsidR="00286202" w:rsidRPr="00286202" w:rsidRDefault="00286202" w:rsidP="00FE053F">
      <w:pPr>
        <w:jc w:val="both"/>
        <w:textAlignment w:val="baseline"/>
        <w:rPr>
          <w:rFonts w:ascii="Abadi" w:hAnsi="Abadi" w:cs="Arial"/>
          <w:sz w:val="21"/>
          <w:szCs w:val="21"/>
          <w:lang w:val="es-MX" w:eastAsia="es-MX"/>
        </w:rPr>
      </w:pPr>
      <w:r w:rsidRPr="00286202">
        <w:rPr>
          <w:rFonts w:ascii="Abadi" w:hAnsi="Abadi" w:cs="Arial"/>
          <w:sz w:val="21"/>
          <w:szCs w:val="21"/>
          <w:lang w:val="es-MX" w:eastAsia="es-MX"/>
        </w:rPr>
        <w:t xml:space="preserve">No habiéndose determinado acción posterior, </w:t>
      </w:r>
      <w:r w:rsidRPr="00286202">
        <w:rPr>
          <w:rFonts w:ascii="Abadi" w:hAnsi="Abadi"/>
          <w:sz w:val="21"/>
          <w:szCs w:val="21"/>
          <w:lang w:val="es-MX" w:eastAsia="es-MX"/>
        </w:rPr>
        <w:t xml:space="preserve">en fecha 14 de septiembre de 2021, los diputados integrantes de la Comisión de Seguridad Pública y Comunicaciones de la Sexagésima Cuarta Legislatura, determinaron señalar la referida propuesta de acuerdo como pendiente legislativo </w:t>
      </w:r>
      <w:r w:rsidRPr="00286202">
        <w:rPr>
          <w:rFonts w:ascii="Abadi" w:hAnsi="Abadi" w:cs="Arial"/>
          <w:sz w:val="21"/>
          <w:szCs w:val="21"/>
          <w:lang w:val="es-MX" w:eastAsia="es-MX"/>
        </w:rPr>
        <w:t>dentro del Informe de Actividades Legislativas</w:t>
      </w:r>
      <w:r w:rsidRPr="00286202">
        <w:rPr>
          <w:rFonts w:ascii="Abadi" w:hAnsi="Abadi"/>
          <w:sz w:val="21"/>
          <w:szCs w:val="21"/>
          <w:lang w:val="es-MX" w:eastAsia="es-MX"/>
        </w:rPr>
        <w:t>, para que fuera la siguiente Legislatura quien se pronunciara al respecto</w:t>
      </w:r>
      <w:r w:rsidRPr="00286202">
        <w:rPr>
          <w:rFonts w:ascii="Abadi" w:hAnsi="Abadi" w:cs="Arial"/>
          <w:sz w:val="21"/>
          <w:szCs w:val="21"/>
          <w:lang w:val="es-MX" w:eastAsia="es-MX"/>
        </w:rPr>
        <w:t xml:space="preserve">.  </w:t>
      </w:r>
    </w:p>
    <w:p w14:paraId="29CFFA30" w14:textId="77777777" w:rsidR="00286202" w:rsidRPr="00286202" w:rsidRDefault="00286202" w:rsidP="00FE053F">
      <w:pPr>
        <w:jc w:val="both"/>
        <w:textAlignment w:val="baseline"/>
        <w:rPr>
          <w:rFonts w:ascii="Abadi" w:hAnsi="Abadi" w:cs="Arial"/>
          <w:sz w:val="21"/>
          <w:szCs w:val="21"/>
          <w:lang w:val="es-MX" w:eastAsia="es-MX"/>
        </w:rPr>
      </w:pPr>
    </w:p>
    <w:p w14:paraId="2ABDBF9B" w14:textId="77777777" w:rsidR="00286202" w:rsidRPr="00286202" w:rsidRDefault="00286202" w:rsidP="00FE053F">
      <w:pPr>
        <w:jc w:val="both"/>
        <w:textAlignment w:val="baseline"/>
        <w:rPr>
          <w:rFonts w:ascii="Abadi" w:hAnsi="Abadi"/>
          <w:sz w:val="21"/>
          <w:szCs w:val="21"/>
          <w:lang w:val="es-MX" w:eastAsia="es-MX"/>
        </w:rPr>
      </w:pPr>
      <w:r w:rsidRPr="00286202">
        <w:rPr>
          <w:rFonts w:ascii="Abadi" w:hAnsi="Abadi"/>
          <w:sz w:val="21"/>
          <w:szCs w:val="21"/>
          <w:lang w:val="es-MX" w:eastAsia="es-MX"/>
        </w:rPr>
        <w:t>Instalada la Comisión de Seguridad Pública y Comunicaciones de la Sexagésima Quinta Legislatura, en fecha 12 de octubre de 2022, nos impusimos del contenido de los pendientes legislativos, encontrándose entre ellos la referida propuesta de acuerdo que se dictamina.</w:t>
      </w:r>
    </w:p>
    <w:p w14:paraId="4C6C71AD" w14:textId="77777777" w:rsidR="00286202" w:rsidRPr="00286202" w:rsidRDefault="00286202" w:rsidP="00FE053F">
      <w:pPr>
        <w:jc w:val="both"/>
        <w:textAlignment w:val="baseline"/>
        <w:rPr>
          <w:rFonts w:ascii="Abadi" w:hAnsi="Abadi"/>
          <w:sz w:val="21"/>
          <w:szCs w:val="21"/>
          <w:lang w:val="es-MX" w:eastAsia="es-MX"/>
        </w:rPr>
      </w:pPr>
    </w:p>
    <w:p w14:paraId="7751E7EA" w14:textId="77777777" w:rsidR="00286202" w:rsidRPr="00286202" w:rsidRDefault="00286202" w:rsidP="00FE053F">
      <w:pPr>
        <w:jc w:val="both"/>
        <w:textAlignment w:val="baseline"/>
        <w:rPr>
          <w:rFonts w:ascii="Abadi" w:hAnsi="Abadi"/>
          <w:sz w:val="21"/>
          <w:szCs w:val="21"/>
          <w:lang w:val="es-MX" w:eastAsia="es-MX"/>
        </w:rPr>
      </w:pPr>
      <w:r w:rsidRPr="00286202">
        <w:rPr>
          <w:rFonts w:ascii="Abadi" w:hAnsi="Abadi"/>
          <w:sz w:val="21"/>
          <w:szCs w:val="21"/>
          <w:lang w:val="es-MX" w:eastAsia="es-MX"/>
        </w:rPr>
        <w:t>Conforme a lo referido en el presente documento, la Presidencia de esta Comisión de Seguridad Pública y Comunicaciones instruyó a la Secretaría Técnica para que elaborara el proyecto de dictamen en sentido negativo, conforme a lo dispuesto en los artículos 94, fracción VII y 272 fracción VIII inciso e) de nuestra Ley Orgánica, para su discusión y votación por la diputada y diputados integrantes.</w:t>
      </w:r>
    </w:p>
    <w:p w14:paraId="1C3AF5B2" w14:textId="77777777" w:rsidR="00286202" w:rsidRPr="00286202" w:rsidRDefault="00286202" w:rsidP="00FE053F">
      <w:pPr>
        <w:spacing w:after="160"/>
        <w:jc w:val="both"/>
        <w:rPr>
          <w:rFonts w:ascii="Abadi" w:eastAsia="Batang" w:hAnsi="Abadi" w:cs="Arial"/>
          <w:b/>
          <w:sz w:val="21"/>
          <w:szCs w:val="21"/>
          <w:lang w:val="es-MX" w:eastAsia="en-US"/>
        </w:rPr>
      </w:pPr>
    </w:p>
    <w:p w14:paraId="1CF0608B" w14:textId="77777777" w:rsidR="00286202" w:rsidRPr="00286202" w:rsidRDefault="00286202" w:rsidP="00FE053F">
      <w:pPr>
        <w:numPr>
          <w:ilvl w:val="0"/>
          <w:numId w:val="44"/>
        </w:numPr>
        <w:jc w:val="both"/>
        <w:textAlignment w:val="baseline"/>
        <w:rPr>
          <w:rFonts w:ascii="Abadi" w:hAnsi="Abadi" w:cs="Arial"/>
          <w:b/>
          <w:sz w:val="21"/>
          <w:szCs w:val="21"/>
          <w:lang w:val="es-MX" w:eastAsia="es-MX"/>
        </w:rPr>
      </w:pPr>
      <w:r w:rsidRPr="00286202">
        <w:rPr>
          <w:rFonts w:ascii="Abadi" w:hAnsi="Abadi" w:cs="Arial"/>
          <w:b/>
          <w:sz w:val="21"/>
          <w:szCs w:val="21"/>
          <w:lang w:val="es-MX" w:eastAsia="es-MX"/>
        </w:rPr>
        <w:t>Consideraciones de quien propone (en lo medular).</w:t>
      </w:r>
    </w:p>
    <w:p w14:paraId="4CB474C9" w14:textId="77777777" w:rsidR="00286202" w:rsidRPr="00286202" w:rsidRDefault="00286202" w:rsidP="00FE053F">
      <w:pPr>
        <w:autoSpaceDE w:val="0"/>
        <w:autoSpaceDN w:val="0"/>
        <w:adjustRightInd w:val="0"/>
        <w:ind w:left="720"/>
        <w:contextualSpacing/>
        <w:jc w:val="both"/>
        <w:rPr>
          <w:rFonts w:ascii="Abadi" w:eastAsiaTheme="minorHAnsi" w:hAnsi="Abadi" w:cs="ArialNarrow"/>
          <w:color w:val="000000"/>
          <w:sz w:val="21"/>
          <w:szCs w:val="21"/>
          <w:lang w:val="es-MX" w:eastAsia="en-US"/>
        </w:rPr>
      </w:pPr>
    </w:p>
    <w:p w14:paraId="41F11704" w14:textId="77777777" w:rsidR="00286202" w:rsidRPr="00286202" w:rsidRDefault="00286202" w:rsidP="00FE053F">
      <w:pPr>
        <w:spacing w:before="100" w:beforeAutospacing="1" w:afterAutospacing="1"/>
        <w:ind w:firstLine="360"/>
        <w:jc w:val="both"/>
        <w:textAlignment w:val="baseline"/>
        <w:rPr>
          <w:rFonts w:ascii="Abadi" w:hAnsi="Abadi" w:cs="Arial"/>
          <w:sz w:val="21"/>
          <w:szCs w:val="21"/>
          <w:lang w:val="es-MX" w:eastAsia="es-MX"/>
        </w:rPr>
      </w:pPr>
      <w:r w:rsidRPr="00286202">
        <w:rPr>
          <w:rFonts w:ascii="Abadi" w:hAnsi="Abadi" w:cs="Arial"/>
          <w:sz w:val="21"/>
          <w:szCs w:val="21"/>
          <w:lang w:val="es-MX" w:eastAsia="es-MX"/>
        </w:rPr>
        <w:t>Pese a la publicidad excesiva de Gobierno del Estado, donde busca maquillar los datos, las cifras adversas y la realidad no se hacen esperar. Las últimas semanas del pasado mes de septiembre fueron de horror para la ciudadanía guanajuatense. Ejemplo de lo anterior fue en Jaral del Progreso donde un grupo armado irrumpió en el centro nocturno “Cabaña del Toro”. El saldo hasta ahora es de 11 defunciones y una mujer lesionada.</w:t>
      </w:r>
    </w:p>
    <w:p w14:paraId="590CBFAE" w14:textId="77777777" w:rsidR="00286202" w:rsidRPr="00286202" w:rsidRDefault="00286202" w:rsidP="00FE053F">
      <w:pPr>
        <w:spacing w:before="100" w:beforeAutospacing="1" w:afterAutospacing="1"/>
        <w:ind w:firstLine="360"/>
        <w:jc w:val="both"/>
        <w:textAlignment w:val="baseline"/>
        <w:rPr>
          <w:rFonts w:ascii="Abadi" w:hAnsi="Abadi" w:cs="Arial"/>
          <w:sz w:val="21"/>
          <w:szCs w:val="21"/>
          <w:lang w:val="es-MX" w:eastAsia="es-MX"/>
        </w:rPr>
      </w:pPr>
      <w:r w:rsidRPr="00286202">
        <w:rPr>
          <w:rFonts w:ascii="Abadi" w:hAnsi="Abadi" w:cs="Arial"/>
          <w:sz w:val="21"/>
          <w:szCs w:val="21"/>
          <w:lang w:val="es-MX" w:eastAsia="es-MX"/>
        </w:rPr>
        <w:t>El Ejército Mexicano resguardó la zona hasta la llegada de la Agencia de Investigación Criminal, así como del Servicio Médico Forense. Desde hace meses los habitantes de Jaral del Progreso han pedido de manera desesperada ayuda a las autoridades estatales, sin embargo, la impunidad y la falta de respuesta de las autoridades estatales de seguridad y procuración de justicia sigue siendo la realidad no solo de los jaralenses sino de toda la ciudadanía guanajuatense.</w:t>
      </w:r>
    </w:p>
    <w:p w14:paraId="59225E23" w14:textId="77777777" w:rsidR="00286202" w:rsidRPr="00286202" w:rsidRDefault="00286202" w:rsidP="00FE053F">
      <w:pPr>
        <w:spacing w:before="100" w:beforeAutospacing="1" w:afterAutospacing="1"/>
        <w:ind w:firstLine="360"/>
        <w:jc w:val="both"/>
        <w:textAlignment w:val="baseline"/>
        <w:rPr>
          <w:rFonts w:ascii="Abadi" w:hAnsi="Abadi" w:cs="Arial"/>
          <w:sz w:val="21"/>
          <w:szCs w:val="21"/>
          <w:lang w:val="es-MX" w:eastAsia="es-MX"/>
        </w:rPr>
      </w:pPr>
      <w:r w:rsidRPr="00286202">
        <w:rPr>
          <w:rFonts w:ascii="Abadi" w:hAnsi="Abadi" w:cs="Arial"/>
          <w:sz w:val="21"/>
          <w:szCs w:val="21"/>
          <w:lang w:val="es-MX" w:eastAsia="es-MX"/>
        </w:rPr>
        <w:t>Las denuncias por parte de la ciudadanía se realizan diariamente en este municipio y en mucho otros, sin embargo, no ha habido respuesta adecuada, repito, por parte de las autoridades estatales. Por ello, es que han dejado de ser suficientes las declaraciones por parte de la Fiscalía del Estado, donde se menciona que se esclarecerá dicho crimen y se detendrán a los responsables. Es insuficiente porque toda la noche del sábado, día en que ocurrió lo acontecido, las autoridades policiales municipales solicitaron apoyo de las Fuerzas del Estado, las cuales, llegaron de forma tardía.</w:t>
      </w:r>
    </w:p>
    <w:p w14:paraId="16823C16" w14:textId="77777777" w:rsidR="00286202" w:rsidRPr="00286202" w:rsidRDefault="00286202" w:rsidP="00FE053F">
      <w:pPr>
        <w:ind w:firstLine="360"/>
        <w:jc w:val="both"/>
        <w:textAlignment w:val="baseline"/>
        <w:rPr>
          <w:rFonts w:ascii="Abadi" w:hAnsi="Abadi" w:cs="Arial"/>
          <w:sz w:val="21"/>
          <w:szCs w:val="21"/>
          <w:lang w:val="es-MX" w:eastAsia="es-MX"/>
        </w:rPr>
      </w:pPr>
      <w:r w:rsidRPr="00286202">
        <w:rPr>
          <w:rFonts w:ascii="Abadi" w:hAnsi="Abadi" w:cs="Arial"/>
          <w:sz w:val="21"/>
          <w:szCs w:val="21"/>
          <w:lang w:val="es-MX" w:eastAsia="es-MX"/>
        </w:rPr>
        <w:t>Tan solo del 21 al 27 de septiembre fueron asesinadas 114 personas en Guanajuato, es decir, un promedio de 16.2 personas por día. Este año ya suman 36 masacres donde se han perdido la vida de 222 personas, es decir, el caso de Jaral no es un caso aislado, va acorde a un sistema político y policial que no sirve y que en consecuencia está acabando con la vida de las y los guanajuatenses.</w:t>
      </w:r>
    </w:p>
    <w:p w14:paraId="1D47C387" w14:textId="77777777" w:rsidR="00286202" w:rsidRPr="00286202" w:rsidRDefault="00286202" w:rsidP="00FE053F">
      <w:pPr>
        <w:jc w:val="both"/>
        <w:textAlignment w:val="baseline"/>
        <w:rPr>
          <w:rFonts w:ascii="Abadi" w:hAnsi="Abadi" w:cs="Arial"/>
          <w:b/>
          <w:strike/>
          <w:sz w:val="21"/>
          <w:szCs w:val="21"/>
          <w:lang w:val="es-MX" w:eastAsia="es-MX"/>
        </w:rPr>
      </w:pPr>
    </w:p>
    <w:p w14:paraId="6524D9F9" w14:textId="77777777" w:rsidR="00286202" w:rsidRPr="00286202" w:rsidRDefault="00286202" w:rsidP="00FE053F">
      <w:pPr>
        <w:ind w:firstLine="360"/>
        <w:jc w:val="both"/>
        <w:textAlignment w:val="baseline"/>
        <w:rPr>
          <w:rFonts w:ascii="Abadi" w:hAnsi="Abadi" w:cs="Arial"/>
          <w:sz w:val="21"/>
          <w:szCs w:val="21"/>
          <w:lang w:val="es-MX" w:eastAsia="es-MX"/>
        </w:rPr>
      </w:pPr>
      <w:r w:rsidRPr="00286202">
        <w:rPr>
          <w:rFonts w:ascii="Abadi" w:hAnsi="Abadi" w:cs="Arial"/>
          <w:sz w:val="21"/>
          <w:szCs w:val="21"/>
          <w:lang w:val="es-MX" w:eastAsia="es-MX"/>
        </w:rPr>
        <w:t>En la comunidad “El Conejo” en el municipio de Irapuato fueron encontradas 8 fosas donde se localizaron al menos 13 cuerpos. Del 23 al 24 de septiembre la ciudad Patrimonio Cultural de la Humanidad y capital del estado fue escenario de 6 hombres asesinados, lo que suma 26 asesinatos en el segundo semestre del año en la ciudad de Guanajuato. De enero a junio el conteo fue de 20 víctimas, lo que deriva de una cuestión alarmante, puesto que en todo el año de 2019 fueron 38 asesinatos en el municipio. Estos datos demuestran que tanto Alvar Cabeza de Vaca como Carlos Zamarripa Aguirre, mienten al decir que los homicidios van a la baja. El 30 de septiembre habitantes de la comunidad de “Santa Anita” en el municipio de Celaya, encontraron bolsas negras con restos humanos, donde los primeros en arribar fueron elementos de la Guardia Nacional. Y así podríamos seguir con cada uno de los municipios en el estado donde cada uno tiene su historia de terror, donde la realidad supera a la ficción, municipios inhabitables mientras se presume que en Guanajuato “Unidos somos Grandeza”. Pues desde este espacio le digo a usted señor Gobernador, no podemos presumir de unidad y grandeza cuando el estado se ha convertido en un río de sangre, donde cada vez, su curso desemboca en más y más familias llorándoles a sus desaparecidos y abatidos.</w:t>
      </w:r>
    </w:p>
    <w:p w14:paraId="51CB0DAE" w14:textId="77777777" w:rsidR="00286202" w:rsidRPr="00286202" w:rsidRDefault="00286202" w:rsidP="00FE053F">
      <w:pPr>
        <w:jc w:val="both"/>
        <w:textAlignment w:val="baseline"/>
        <w:rPr>
          <w:rFonts w:ascii="Abadi" w:hAnsi="Abadi" w:cs="Arial"/>
          <w:sz w:val="21"/>
          <w:szCs w:val="21"/>
          <w:lang w:val="es-MX" w:eastAsia="es-MX"/>
        </w:rPr>
      </w:pPr>
    </w:p>
    <w:p w14:paraId="75D8BF73" w14:textId="77777777" w:rsidR="00286202" w:rsidRPr="00286202" w:rsidRDefault="00286202" w:rsidP="00FE053F">
      <w:pPr>
        <w:ind w:firstLine="360"/>
        <w:jc w:val="both"/>
        <w:textAlignment w:val="baseline"/>
        <w:rPr>
          <w:rFonts w:ascii="Abadi" w:hAnsi="Abadi" w:cs="Arial"/>
          <w:sz w:val="21"/>
          <w:szCs w:val="21"/>
          <w:lang w:val="es-MX" w:eastAsia="es-MX"/>
        </w:rPr>
      </w:pPr>
      <w:r w:rsidRPr="00286202">
        <w:rPr>
          <w:rFonts w:ascii="Abadi" w:hAnsi="Abadi" w:cs="Arial"/>
          <w:sz w:val="21"/>
          <w:szCs w:val="21"/>
          <w:lang w:val="es-MX" w:eastAsia="es-MX"/>
        </w:rPr>
        <w:t>La ciudadanía se encuentra realizando el trabajo que, tanto a la Secretaría de Seguridad Pública del Estado como a la Fiscalía General del Estado, han dejado de realizar pues el puesto les ha quedado grande. Prueba de lo anterior es que colectivos como “A tu encuentro” y “Sembrando comunidad” invitaron a los familiares de personas desaparecidas a acudir a las instalaciones de la Agencia Especializada en homicidios de la Fiscalía, pues podría existir la posibilidad que en las fosas halladas estuvieran sus familiares.</w:t>
      </w:r>
    </w:p>
    <w:p w14:paraId="1735868E" w14:textId="77777777" w:rsidR="00286202" w:rsidRPr="00286202" w:rsidRDefault="00286202" w:rsidP="00FE053F">
      <w:pPr>
        <w:ind w:firstLine="360"/>
        <w:jc w:val="both"/>
        <w:textAlignment w:val="baseline"/>
        <w:rPr>
          <w:rFonts w:ascii="Abadi" w:hAnsi="Abadi" w:cs="Arial"/>
          <w:sz w:val="21"/>
          <w:szCs w:val="21"/>
          <w:lang w:val="es-MX" w:eastAsia="es-MX"/>
        </w:rPr>
      </w:pPr>
    </w:p>
    <w:p w14:paraId="7B77BF16" w14:textId="77777777" w:rsidR="00286202" w:rsidRPr="00286202" w:rsidRDefault="00286202" w:rsidP="00FE053F">
      <w:pPr>
        <w:ind w:firstLine="360"/>
        <w:jc w:val="both"/>
        <w:textAlignment w:val="baseline"/>
        <w:rPr>
          <w:rFonts w:ascii="Abadi" w:hAnsi="Abadi" w:cs="Arial"/>
          <w:sz w:val="21"/>
          <w:szCs w:val="21"/>
          <w:lang w:val="es-MX" w:eastAsia="es-MX"/>
        </w:rPr>
      </w:pPr>
      <w:r w:rsidRPr="00286202">
        <w:rPr>
          <w:rFonts w:ascii="Abadi" w:hAnsi="Abadi" w:cs="Arial"/>
          <w:sz w:val="21"/>
          <w:szCs w:val="21"/>
          <w:lang w:val="es-MX" w:eastAsia="es-MX"/>
        </w:rPr>
        <w:t>Los colectivos han pedido encarecidamente a las autoridades estatales realizar mesas de trabajo con la finalidad de dar con el paradero de todas las personas desaparecidas en el estado, sin embargo, no se les ha dado esa oportunidad de diálogo. Todo lo contrario, pues han sido víctimas de la violencia y represión policial.</w:t>
      </w:r>
    </w:p>
    <w:p w14:paraId="3BEAB677" w14:textId="77777777" w:rsidR="00286202" w:rsidRPr="00286202" w:rsidRDefault="00286202" w:rsidP="00FE053F">
      <w:pPr>
        <w:spacing w:before="100" w:beforeAutospacing="1" w:afterAutospacing="1"/>
        <w:ind w:firstLine="360"/>
        <w:jc w:val="both"/>
        <w:textAlignment w:val="baseline"/>
        <w:rPr>
          <w:rFonts w:ascii="Abadi" w:hAnsi="Abadi" w:cs="Arial"/>
          <w:sz w:val="21"/>
          <w:szCs w:val="21"/>
          <w:lang w:val="es-MX" w:eastAsia="es-MX"/>
        </w:rPr>
      </w:pPr>
      <w:r w:rsidRPr="00286202">
        <w:rPr>
          <w:rFonts w:ascii="Abadi" w:hAnsi="Abadi" w:cs="Arial"/>
          <w:sz w:val="21"/>
          <w:szCs w:val="21"/>
          <w:lang w:val="es-MX" w:eastAsia="es-MX"/>
        </w:rPr>
        <w:t>En Guanajuato se miente; se miente cuando la Fiscalía afirma que, gracias a sus protocolos de búsqueda, la ubicación de las personas se da en un lapso no mayor a las 72 horas posteriores a la recepción de la denuncia. Si esta aseveración tuviera algo de cierta, no existirían colectivos que durante años han buscado a sus familiares sin respuestas por parte del estado.</w:t>
      </w:r>
    </w:p>
    <w:p w14:paraId="3666B64B" w14:textId="77777777" w:rsidR="00286202" w:rsidRPr="00286202" w:rsidRDefault="00286202" w:rsidP="00FE053F">
      <w:pPr>
        <w:spacing w:before="100" w:beforeAutospacing="1" w:afterAutospacing="1"/>
        <w:ind w:firstLine="360"/>
        <w:jc w:val="both"/>
        <w:textAlignment w:val="baseline"/>
        <w:rPr>
          <w:rFonts w:ascii="Abadi" w:hAnsi="Abadi" w:cs="Arial"/>
          <w:sz w:val="21"/>
          <w:szCs w:val="21"/>
          <w:lang w:val="es-MX" w:eastAsia="es-MX"/>
        </w:rPr>
      </w:pPr>
      <w:r w:rsidRPr="00286202">
        <w:rPr>
          <w:rFonts w:ascii="Abadi" w:hAnsi="Abadi" w:cs="Arial"/>
          <w:sz w:val="21"/>
          <w:szCs w:val="21"/>
          <w:lang w:val="es-MX" w:eastAsia="es-MX"/>
        </w:rPr>
        <w:t>La realidad del estado de Guanajuato ha sobrepasado a las autoridades estatales, donde es imposible contrarrestarla con simple publicidad de que aquí “sí hay Grandeza”. Esta publicidad llena de mentiras y evasiones a los cuestionamientos críticos no nos regresan a miles de guanajuatenses que han perdido la vida por la incompetencia tanto del Secretario de Seguridad Pública del Estado como del Fiscal General del Estado.</w:t>
      </w:r>
    </w:p>
    <w:p w14:paraId="1D6C2487" w14:textId="77777777" w:rsidR="00286202" w:rsidRPr="00286202" w:rsidRDefault="00286202" w:rsidP="00FE053F">
      <w:pPr>
        <w:ind w:firstLine="360"/>
        <w:jc w:val="both"/>
        <w:textAlignment w:val="baseline"/>
        <w:rPr>
          <w:rFonts w:ascii="Abadi" w:hAnsi="Abadi" w:cs="Arial"/>
          <w:sz w:val="21"/>
          <w:szCs w:val="21"/>
          <w:lang w:val="es-MX" w:eastAsia="es-MX"/>
        </w:rPr>
      </w:pPr>
      <w:r w:rsidRPr="00286202">
        <w:rPr>
          <w:rFonts w:ascii="Abadi" w:hAnsi="Abadi" w:cs="Arial"/>
          <w:sz w:val="21"/>
          <w:szCs w:val="21"/>
          <w:lang w:val="es-MX" w:eastAsia="es-MX"/>
        </w:rPr>
        <w:t>Como funcionarios públicos tenemos la obligación intrínseca de dar resultados, por ello, es que los perfiles que no han abonado a mejorar la situación de inseguridad, que, por el contrario, han exacerbado, deben dar paso a nuevos perfiles que realmente tengan un proyecto con rumbo que nos haga salir de esta fosa clandestina llamada Guanajuato.</w:t>
      </w:r>
    </w:p>
    <w:p w14:paraId="58C21B3E" w14:textId="77777777" w:rsidR="00286202" w:rsidRPr="00286202" w:rsidRDefault="00286202" w:rsidP="00FE053F">
      <w:pPr>
        <w:jc w:val="both"/>
        <w:textAlignment w:val="baseline"/>
        <w:rPr>
          <w:rFonts w:ascii="Abadi" w:hAnsi="Abadi" w:cs="Arial"/>
          <w:b/>
          <w:strike/>
          <w:sz w:val="21"/>
          <w:szCs w:val="21"/>
          <w:lang w:val="es-MX" w:eastAsia="es-MX"/>
        </w:rPr>
      </w:pPr>
    </w:p>
    <w:p w14:paraId="299C0F50" w14:textId="77777777" w:rsidR="00286202" w:rsidRPr="00286202" w:rsidRDefault="00286202" w:rsidP="00FE053F">
      <w:pPr>
        <w:widowControl w:val="0"/>
        <w:autoSpaceDE w:val="0"/>
        <w:autoSpaceDN w:val="0"/>
        <w:ind w:right="113"/>
        <w:jc w:val="both"/>
        <w:rPr>
          <w:rFonts w:ascii="Abadi" w:hAnsi="Abadi" w:cs="Arial"/>
          <w:sz w:val="21"/>
          <w:szCs w:val="21"/>
          <w:lang w:val="es-MX" w:eastAsia="es-MX"/>
        </w:rPr>
      </w:pPr>
      <w:r w:rsidRPr="00286202">
        <w:rPr>
          <w:rFonts w:ascii="Abadi" w:eastAsia="Arial" w:hAnsi="Abadi" w:cs="Arial"/>
          <w:b/>
          <w:sz w:val="21"/>
          <w:szCs w:val="21"/>
          <w:lang w:val="es-MX" w:eastAsia="en-US"/>
        </w:rPr>
        <w:t xml:space="preserve">III. </w:t>
      </w:r>
      <w:r w:rsidRPr="00286202">
        <w:rPr>
          <w:rFonts w:ascii="Abadi" w:eastAsia="Arial" w:hAnsi="Abadi" w:cs="Arial"/>
          <w:b/>
          <w:sz w:val="21"/>
          <w:szCs w:val="21"/>
          <w:lang w:val="es-MX" w:eastAsia="en-US"/>
        </w:rPr>
        <w:tab/>
        <w:t>Consideraciones de quienes integran la comisión</w:t>
      </w:r>
      <w:r w:rsidRPr="00286202">
        <w:rPr>
          <w:rFonts w:ascii="Abadi" w:hAnsi="Abadi" w:cs="Arial"/>
          <w:sz w:val="21"/>
          <w:szCs w:val="21"/>
          <w:lang w:val="es-MX" w:eastAsia="es-MX"/>
        </w:rPr>
        <w:t xml:space="preserve">. </w:t>
      </w:r>
    </w:p>
    <w:p w14:paraId="63043837" w14:textId="77777777" w:rsidR="00286202" w:rsidRPr="00286202" w:rsidRDefault="00286202" w:rsidP="00FE053F">
      <w:pPr>
        <w:widowControl w:val="0"/>
        <w:autoSpaceDE w:val="0"/>
        <w:autoSpaceDN w:val="0"/>
        <w:ind w:right="113"/>
        <w:jc w:val="both"/>
        <w:rPr>
          <w:rFonts w:ascii="Abadi" w:eastAsia="Arial" w:hAnsi="Abadi" w:cs="Arial"/>
          <w:b/>
          <w:sz w:val="21"/>
          <w:szCs w:val="21"/>
          <w:lang w:val="es-MX" w:eastAsia="en-US"/>
        </w:rPr>
      </w:pPr>
    </w:p>
    <w:p w14:paraId="33ED931D" w14:textId="77777777" w:rsidR="00286202" w:rsidRPr="00286202" w:rsidRDefault="00286202" w:rsidP="00FE053F">
      <w:pPr>
        <w:spacing w:after="160"/>
        <w:jc w:val="both"/>
        <w:rPr>
          <w:rFonts w:ascii="Abadi" w:eastAsiaTheme="minorHAnsi" w:hAnsi="Abadi" w:cs="Arial"/>
          <w:sz w:val="21"/>
          <w:szCs w:val="21"/>
          <w:lang w:val="es-MX" w:eastAsia="en-US"/>
        </w:rPr>
      </w:pPr>
      <w:r w:rsidRPr="00286202">
        <w:rPr>
          <w:rFonts w:ascii="Abadi" w:eastAsiaTheme="minorHAnsi" w:hAnsi="Abadi" w:cs="Arial"/>
          <w:sz w:val="21"/>
          <w:szCs w:val="21"/>
          <w:lang w:val="es-MX" w:eastAsia="en-US"/>
        </w:rPr>
        <w:t>La Junta de Gobierno y Coordinación Política es el órgano de gobierno encargado de la dirección de los asuntos relativos al régimen Interno del Poder Legislativo con el fin de optimizar sus funciones legislativas, políticas y administrativas, conforme a lo dispuesto en su ley orgánica.</w:t>
      </w:r>
    </w:p>
    <w:p w14:paraId="3C31800D" w14:textId="77777777" w:rsidR="00286202" w:rsidRPr="00286202" w:rsidRDefault="00286202" w:rsidP="00FE053F">
      <w:pPr>
        <w:spacing w:after="160"/>
        <w:jc w:val="both"/>
        <w:rPr>
          <w:rFonts w:ascii="Abadi" w:eastAsiaTheme="minorHAnsi" w:hAnsi="Abadi" w:cs="Arial"/>
          <w:sz w:val="21"/>
          <w:szCs w:val="21"/>
          <w:lang w:val="es-MX" w:eastAsia="en-US"/>
        </w:rPr>
      </w:pPr>
      <w:r w:rsidRPr="00286202">
        <w:rPr>
          <w:rFonts w:ascii="Abadi" w:eastAsiaTheme="minorHAnsi" w:hAnsi="Abadi" w:cs="Arial"/>
          <w:sz w:val="21"/>
          <w:szCs w:val="21"/>
          <w:lang w:val="es-MX" w:eastAsia="en-US"/>
        </w:rPr>
        <w:t xml:space="preserve">Dicho órgano de gobierno expresa la pluralidad del Congreso del Estado y funciona como enlace entre los grupos y representaciones parlamentarias legalmente constituidos en el seno de la Legislatura y, en su caso, diputados independientes, con objeto de impulsar entendimientos y convergencias políticas con las instancias y órganos que resulten necesarios, a fin de alcanzar acuerdos que permitan al Congreso del Estado, a la diputación permanente y a las comisiones legislativas, adoptar las decisiones que constitucional y legalmente les corresponden, siendo una de sus principales atribuciones establecer la agenda legislativa común. </w:t>
      </w:r>
    </w:p>
    <w:p w14:paraId="520A3542" w14:textId="77777777" w:rsidR="00286202" w:rsidRPr="00286202" w:rsidRDefault="00286202" w:rsidP="00FE053F">
      <w:pPr>
        <w:spacing w:after="160"/>
        <w:jc w:val="both"/>
        <w:rPr>
          <w:rFonts w:ascii="Abadi" w:eastAsiaTheme="minorHAnsi" w:hAnsi="Abadi" w:cs="Arial"/>
          <w:sz w:val="21"/>
          <w:szCs w:val="21"/>
          <w:lang w:val="es-MX" w:eastAsia="en-US"/>
        </w:rPr>
      </w:pPr>
    </w:p>
    <w:p w14:paraId="6CAA0A34" w14:textId="77777777" w:rsidR="00286202" w:rsidRPr="00286202" w:rsidRDefault="00286202" w:rsidP="00FE053F">
      <w:pPr>
        <w:spacing w:after="160"/>
        <w:jc w:val="both"/>
        <w:rPr>
          <w:rFonts w:ascii="Abadi" w:eastAsiaTheme="minorHAnsi" w:hAnsi="Abadi" w:cs="Arial"/>
          <w:sz w:val="21"/>
          <w:szCs w:val="21"/>
          <w:lang w:val="es-MX" w:eastAsia="en-US"/>
        </w:rPr>
      </w:pPr>
      <w:r w:rsidRPr="00286202">
        <w:rPr>
          <w:rFonts w:ascii="Abadi" w:eastAsiaTheme="minorHAnsi" w:hAnsi="Abadi" w:cs="Arial"/>
          <w:sz w:val="21"/>
          <w:szCs w:val="21"/>
          <w:lang w:val="es-MX" w:eastAsia="en-US"/>
        </w:rPr>
        <w:t xml:space="preserve">Conforme lo anterior, en reunión de fecha 16 de marzo de 2022, la Junta de Gobierno y Coordinación Política, a efecto de lograr una mayor eficiencia legislativa y agilizar los pendientes dónde se incluyen los trabajos presentados en legislaturas anteriores o que jurídicamente no son viables atendiendo a diversas reformas que reservan competencias legislativas al congreso de la unión, se aprobó una metodología propuesta por la secretaría general. </w:t>
      </w:r>
    </w:p>
    <w:p w14:paraId="525655F0" w14:textId="77777777" w:rsidR="00286202" w:rsidRPr="00286202" w:rsidRDefault="00286202" w:rsidP="00FE053F">
      <w:pPr>
        <w:spacing w:after="160"/>
        <w:jc w:val="both"/>
        <w:rPr>
          <w:rFonts w:ascii="Abadi" w:eastAsiaTheme="minorHAnsi" w:hAnsi="Abadi" w:cs="Arial"/>
          <w:sz w:val="21"/>
          <w:szCs w:val="21"/>
          <w:lang w:val="es-MX" w:eastAsia="en-US"/>
        </w:rPr>
      </w:pPr>
      <w:r w:rsidRPr="00286202">
        <w:rPr>
          <w:rFonts w:ascii="Abadi" w:eastAsiaTheme="minorHAnsi" w:hAnsi="Abadi" w:cs="Arial"/>
          <w:sz w:val="21"/>
          <w:szCs w:val="21"/>
          <w:lang w:val="es-MX" w:eastAsia="en-US"/>
        </w:rPr>
        <w:t xml:space="preserve">En términos de dicha propuesta correspondería a las secretarías técnicas de cada comisión: </w:t>
      </w:r>
    </w:p>
    <w:p w14:paraId="552BCB80" w14:textId="77777777" w:rsidR="00286202" w:rsidRPr="00286202" w:rsidRDefault="00286202" w:rsidP="00FE053F">
      <w:pPr>
        <w:numPr>
          <w:ilvl w:val="0"/>
          <w:numId w:val="45"/>
        </w:numPr>
        <w:spacing w:after="160"/>
        <w:contextualSpacing/>
        <w:jc w:val="both"/>
        <w:rPr>
          <w:rFonts w:ascii="Abadi" w:eastAsiaTheme="minorHAnsi" w:hAnsi="Abadi" w:cs="Arial"/>
          <w:sz w:val="21"/>
          <w:szCs w:val="21"/>
          <w:lang w:val="es-MX" w:eastAsia="en-US"/>
        </w:rPr>
      </w:pPr>
      <w:r w:rsidRPr="00286202">
        <w:rPr>
          <w:rFonts w:ascii="Abadi" w:eastAsiaTheme="minorHAnsi" w:hAnsi="Abadi" w:cs="Arial"/>
          <w:sz w:val="21"/>
          <w:szCs w:val="21"/>
          <w:lang w:val="es-MX" w:eastAsia="en-US"/>
        </w:rPr>
        <w:t>Hacer un concentrado de los pendientes legislativos por cada comisión;</w:t>
      </w:r>
    </w:p>
    <w:p w14:paraId="0C2ADC3F" w14:textId="77777777" w:rsidR="00286202" w:rsidRPr="00286202" w:rsidRDefault="00286202" w:rsidP="00FE053F">
      <w:pPr>
        <w:numPr>
          <w:ilvl w:val="0"/>
          <w:numId w:val="45"/>
        </w:numPr>
        <w:spacing w:after="160"/>
        <w:contextualSpacing/>
        <w:jc w:val="both"/>
        <w:rPr>
          <w:rFonts w:ascii="Abadi" w:eastAsiaTheme="minorHAnsi" w:hAnsi="Abadi" w:cs="Arial"/>
          <w:sz w:val="21"/>
          <w:szCs w:val="21"/>
          <w:lang w:val="es-MX" w:eastAsia="en-US"/>
        </w:rPr>
      </w:pPr>
      <w:r w:rsidRPr="00286202">
        <w:rPr>
          <w:rFonts w:ascii="Abadi" w:eastAsiaTheme="minorHAnsi" w:hAnsi="Abadi" w:cs="Arial"/>
          <w:sz w:val="21"/>
          <w:szCs w:val="21"/>
          <w:lang w:val="es-MX" w:eastAsia="en-US"/>
        </w:rPr>
        <w:t>Realizar un análisis técnico jurídico de cada uno de los pendientes legislativos y modificaciones, en su caso, de las metodologías;</w:t>
      </w:r>
    </w:p>
    <w:p w14:paraId="63502232" w14:textId="77777777" w:rsidR="00286202" w:rsidRPr="00286202" w:rsidRDefault="00286202" w:rsidP="00FE053F">
      <w:pPr>
        <w:numPr>
          <w:ilvl w:val="0"/>
          <w:numId w:val="45"/>
        </w:numPr>
        <w:spacing w:after="160"/>
        <w:contextualSpacing/>
        <w:jc w:val="both"/>
        <w:rPr>
          <w:rFonts w:ascii="Abadi" w:eastAsiaTheme="minorHAnsi" w:hAnsi="Abadi" w:cs="Arial"/>
          <w:sz w:val="21"/>
          <w:szCs w:val="21"/>
          <w:lang w:val="es-MX" w:eastAsia="en-US"/>
        </w:rPr>
      </w:pPr>
      <w:r w:rsidRPr="00286202">
        <w:rPr>
          <w:rFonts w:ascii="Abadi" w:eastAsiaTheme="minorHAnsi" w:hAnsi="Abadi" w:cs="Arial"/>
          <w:sz w:val="21"/>
          <w:szCs w:val="21"/>
          <w:lang w:val="es-MX" w:eastAsia="en-US"/>
        </w:rPr>
        <w:t>Identificación de los pendientes legislativos que jurídicamente sean inviables y procedan en consecuencia a su dictaminación en sentido negativo, así como aquellas iniciativas o proposiciones de acuerdos que se presentaron en la LXII legislatura, y en su caso anteriores a esta, y que no fueron dictaminados en la inmediata anterior, las cuales serán también objeto de archivo definitivo;</w:t>
      </w:r>
    </w:p>
    <w:p w14:paraId="143CB2AE" w14:textId="77777777" w:rsidR="00286202" w:rsidRPr="00286202" w:rsidRDefault="00286202" w:rsidP="00FE053F">
      <w:pPr>
        <w:numPr>
          <w:ilvl w:val="0"/>
          <w:numId w:val="45"/>
        </w:numPr>
        <w:spacing w:after="160"/>
        <w:contextualSpacing/>
        <w:jc w:val="both"/>
        <w:rPr>
          <w:rFonts w:ascii="Abadi" w:eastAsiaTheme="minorHAnsi" w:hAnsi="Abadi" w:cs="Arial"/>
          <w:sz w:val="21"/>
          <w:szCs w:val="21"/>
          <w:lang w:val="es-MX" w:eastAsia="en-US"/>
        </w:rPr>
      </w:pPr>
      <w:r w:rsidRPr="00286202">
        <w:rPr>
          <w:rFonts w:ascii="Abadi" w:eastAsiaTheme="minorHAnsi" w:hAnsi="Abadi" w:cs="Arial"/>
          <w:sz w:val="21"/>
          <w:szCs w:val="21"/>
          <w:lang w:val="es-MX" w:eastAsia="en-US"/>
        </w:rPr>
        <w:t>En su caso, mesa de trabajo de la comisión para dar cuenta con el listado de los pendientes legislativos para su revisión y sentar bases de proyectos de dictamen;</w:t>
      </w:r>
    </w:p>
    <w:p w14:paraId="779F80DE" w14:textId="77777777" w:rsidR="00286202" w:rsidRPr="00286202" w:rsidRDefault="00286202" w:rsidP="00FE053F">
      <w:pPr>
        <w:numPr>
          <w:ilvl w:val="0"/>
          <w:numId w:val="45"/>
        </w:numPr>
        <w:spacing w:after="160"/>
        <w:contextualSpacing/>
        <w:jc w:val="both"/>
        <w:rPr>
          <w:rFonts w:ascii="Abadi" w:eastAsiaTheme="minorHAnsi" w:hAnsi="Abadi" w:cs="Arial"/>
          <w:sz w:val="21"/>
          <w:szCs w:val="21"/>
          <w:lang w:val="es-MX" w:eastAsia="en-US"/>
        </w:rPr>
      </w:pPr>
      <w:r w:rsidRPr="00286202">
        <w:rPr>
          <w:rFonts w:ascii="Abadi" w:eastAsiaTheme="minorHAnsi" w:hAnsi="Abadi" w:cs="Arial"/>
          <w:sz w:val="21"/>
          <w:szCs w:val="21"/>
          <w:lang w:val="es-MX" w:eastAsia="en-US"/>
        </w:rPr>
        <w:t xml:space="preserve">Convocar a sesión de comisión para aprobar dictámenes de archivo y remisión al pleno para su aprobación. </w:t>
      </w:r>
    </w:p>
    <w:p w14:paraId="3D1FC5AD" w14:textId="77777777" w:rsidR="00286202" w:rsidRPr="00286202" w:rsidRDefault="00286202" w:rsidP="00FE053F">
      <w:pPr>
        <w:spacing w:after="160"/>
        <w:jc w:val="both"/>
        <w:rPr>
          <w:rFonts w:ascii="Abadi" w:eastAsiaTheme="minorHAnsi" w:hAnsi="Abadi" w:cs="Arial"/>
          <w:sz w:val="21"/>
          <w:szCs w:val="21"/>
          <w:lang w:val="es-MX" w:eastAsia="en-US"/>
        </w:rPr>
      </w:pPr>
      <w:r w:rsidRPr="00286202">
        <w:rPr>
          <w:rFonts w:ascii="Abadi" w:eastAsiaTheme="minorHAnsi" w:hAnsi="Abadi" w:cs="Arial"/>
          <w:sz w:val="21"/>
          <w:szCs w:val="21"/>
          <w:lang w:val="es-MX" w:eastAsia="en-US"/>
        </w:rPr>
        <w:t xml:space="preserve">Paralelo a lo anterior se determinó que los grupos parlamentarios harían revisión de iniciativas y puntos de acuerdo que fueron presentados en las legislaturas anteriores y con ello identificar así como analizar individualmente cuales ya no tienen materia, fueron solventadas conforme a lo propuesto o que por el trascurso del tiempo resulta improcedente pronunciarse positivamente al respecto tomando en consideración se carezca de vigencia conforme a los hechos respecto a los cuales se sustentó cada uno de los temas. </w:t>
      </w:r>
    </w:p>
    <w:p w14:paraId="06EF4F99" w14:textId="77777777" w:rsidR="00286202" w:rsidRPr="00286202" w:rsidRDefault="00286202" w:rsidP="00FE053F">
      <w:pPr>
        <w:spacing w:after="160"/>
        <w:jc w:val="both"/>
        <w:rPr>
          <w:rFonts w:ascii="Abadi" w:eastAsiaTheme="minorHAnsi" w:hAnsi="Abadi" w:cs="Arial"/>
          <w:sz w:val="21"/>
          <w:szCs w:val="21"/>
          <w:lang w:val="es-MX" w:eastAsia="en-US"/>
        </w:rPr>
      </w:pPr>
      <w:r w:rsidRPr="00286202">
        <w:rPr>
          <w:rFonts w:ascii="Abadi" w:eastAsiaTheme="minorHAnsi" w:hAnsi="Abadi" w:cs="Arial"/>
          <w:sz w:val="21"/>
          <w:szCs w:val="21"/>
          <w:lang w:val="es-MX" w:eastAsia="en-US"/>
        </w:rPr>
        <w:t>Agotadas las revisiones y análisis a las que se han hecho referencia en párrafos anteriores, esta comisión determinó clasificar y otorgar el tratamiento a la propuesta objeto del presente dictamen como de aquellos pronunciamientos sobre asuntos políticos, culturales, económicos o sociales que si bien se denota la afectación a una comunidad o grupo particular, y que por consecuencia es necesario se aborde como un tema de interés público para que el congreso del estado asuma una postura institucional al respecto, también debe precisarse que al día de hoy ya no se consideraría pertinente y oportuna la adopción del mismo.</w:t>
      </w:r>
    </w:p>
    <w:p w14:paraId="25CD5A94" w14:textId="77777777" w:rsidR="00286202" w:rsidRPr="00286202" w:rsidRDefault="00286202" w:rsidP="00FE053F">
      <w:pPr>
        <w:spacing w:after="160"/>
        <w:jc w:val="both"/>
        <w:rPr>
          <w:rFonts w:ascii="Abadi" w:eastAsiaTheme="minorHAnsi" w:hAnsi="Abadi" w:cs="Arial"/>
          <w:sz w:val="21"/>
          <w:szCs w:val="21"/>
          <w:lang w:val="es-MX" w:eastAsia="en-US"/>
        </w:rPr>
      </w:pPr>
      <w:r w:rsidRPr="00286202">
        <w:rPr>
          <w:rFonts w:ascii="Abadi" w:eastAsiaTheme="minorHAnsi" w:hAnsi="Abadi" w:cs="Arial"/>
          <w:sz w:val="21"/>
          <w:szCs w:val="21"/>
          <w:lang w:val="es-MX" w:eastAsia="en-US"/>
        </w:rPr>
        <w:t xml:space="preserve">Por lo anterior, y no obstante que se subraya que en la propuesta existe un contenido vasto y justificado que denotan la trascendencia para su estudio, se ha determinado no es procedente entrar al fondo de este por carecer de oportunidad ante la extemporaneidad de atención en relación con las circunstancias de tiempo, modo y lugar a las que se hace referencia en la misma. </w:t>
      </w:r>
    </w:p>
    <w:p w14:paraId="5218A9DE" w14:textId="77777777" w:rsidR="00286202" w:rsidRPr="00286202" w:rsidRDefault="00286202" w:rsidP="00FE053F">
      <w:pPr>
        <w:spacing w:after="160"/>
        <w:jc w:val="both"/>
        <w:rPr>
          <w:rFonts w:ascii="Abadi" w:eastAsiaTheme="minorHAnsi" w:hAnsi="Abadi" w:cs="Arial"/>
          <w:sz w:val="21"/>
          <w:szCs w:val="21"/>
          <w:lang w:val="es-MX" w:eastAsia="en-US"/>
        </w:rPr>
      </w:pPr>
      <w:r w:rsidRPr="00286202">
        <w:rPr>
          <w:rFonts w:ascii="Abadi" w:eastAsiaTheme="minorHAnsi" w:hAnsi="Abadi" w:cs="Arial"/>
          <w:sz w:val="21"/>
          <w:szCs w:val="21"/>
          <w:lang w:val="es-MX" w:eastAsia="en-US"/>
        </w:rPr>
        <w:t>Por lo expuesto y con fundamento en el artículo 204 de la Ley Orgánica del Poder Ejecutivo del Estado, sometemos a consideración de esta Asamblea, la aprobación del siguiente:</w:t>
      </w:r>
    </w:p>
    <w:p w14:paraId="17399C24" w14:textId="77777777" w:rsidR="00286202" w:rsidRPr="00286202" w:rsidRDefault="00286202" w:rsidP="00FE053F">
      <w:pPr>
        <w:spacing w:after="160"/>
        <w:jc w:val="center"/>
        <w:rPr>
          <w:rFonts w:ascii="Abadi" w:eastAsiaTheme="minorHAnsi" w:hAnsi="Abadi" w:cs="Arial"/>
          <w:b/>
          <w:sz w:val="21"/>
          <w:szCs w:val="21"/>
          <w:lang w:val="es-MX" w:eastAsia="en-US"/>
        </w:rPr>
      </w:pPr>
    </w:p>
    <w:p w14:paraId="1827D989" w14:textId="77777777" w:rsidR="00286202" w:rsidRPr="00286202" w:rsidRDefault="00286202" w:rsidP="00FE053F">
      <w:pPr>
        <w:spacing w:after="160"/>
        <w:jc w:val="center"/>
        <w:rPr>
          <w:rFonts w:ascii="Abadi" w:eastAsiaTheme="minorHAnsi" w:hAnsi="Abadi" w:cs="Arial"/>
          <w:b/>
          <w:sz w:val="21"/>
          <w:szCs w:val="21"/>
          <w:lang w:val="es-MX" w:eastAsia="en-US"/>
        </w:rPr>
      </w:pPr>
      <w:r w:rsidRPr="00286202">
        <w:rPr>
          <w:rFonts w:ascii="Abadi" w:eastAsiaTheme="minorHAnsi" w:hAnsi="Abadi" w:cs="Arial"/>
          <w:b/>
          <w:sz w:val="21"/>
          <w:szCs w:val="21"/>
          <w:lang w:val="es-MX" w:eastAsia="en-US"/>
        </w:rPr>
        <w:t>A c u e r d o</w:t>
      </w:r>
    </w:p>
    <w:p w14:paraId="4BD1290C" w14:textId="77777777" w:rsidR="00286202" w:rsidRPr="00286202" w:rsidRDefault="00286202" w:rsidP="00FE053F">
      <w:pPr>
        <w:jc w:val="both"/>
        <w:textAlignment w:val="baseline"/>
        <w:rPr>
          <w:rFonts w:ascii="Abadi" w:hAnsi="Abadi" w:cs="Arial"/>
          <w:sz w:val="21"/>
          <w:szCs w:val="21"/>
          <w:lang w:val="es-MX" w:eastAsia="es-MX"/>
        </w:rPr>
      </w:pPr>
      <w:r w:rsidRPr="00286202">
        <w:rPr>
          <w:rFonts w:ascii="Abadi" w:hAnsi="Abadi" w:cs="Arial"/>
          <w:b/>
          <w:sz w:val="21"/>
          <w:szCs w:val="21"/>
          <w:lang w:val="es-MX" w:eastAsia="es-MX"/>
        </w:rPr>
        <w:t xml:space="preserve">Único.- Se determina improcedente </w:t>
      </w:r>
      <w:r w:rsidRPr="00286202">
        <w:rPr>
          <w:rFonts w:ascii="Abadi" w:hAnsi="Abadi" w:cs="Arial"/>
          <w:sz w:val="21"/>
          <w:szCs w:val="21"/>
          <w:lang w:val="es-MX" w:eastAsia="es-MX"/>
        </w:rPr>
        <w:t>la propuesta de punto de acuerdo formulado, en la LXIV Legislatura, por el Diputado Ernesto Alejandro Prieto Gallardo, integrante del Grupo Parlamentario de MORENA, para exhortar al Gobernador del Estado de Guanajuato el C. Diego Sinhue Rodríguez Vallejo a fin de que, en el ámbito de sus facultades, remueva al actual titular de la Secretaría de Seguridad Pública del Estado de Guanajuato el C. Alvar Cabeza De Vaca Appendini, así como dar inicio al proceso de remoción al titular de la Fiscalía General del Estado de Guanajuato Carlos Zamarripa Aguirre debido a sus nulos resultados en la prevención social de la violencia y la delincuencia, seguridad, reinserción social y protección ciudadana, así como de la procuración de justicia en el estado; ello, en virtud de las consideraciones que fueron expuestas. Por lo tanto, se ordena su archivo definitivo.</w:t>
      </w:r>
    </w:p>
    <w:p w14:paraId="322087C1" w14:textId="77777777" w:rsidR="00286202" w:rsidRPr="00286202" w:rsidRDefault="00286202" w:rsidP="00FE053F">
      <w:pPr>
        <w:jc w:val="both"/>
        <w:textAlignment w:val="baseline"/>
        <w:rPr>
          <w:rFonts w:ascii="Abadi" w:hAnsi="Abadi" w:cs="Arial"/>
          <w:sz w:val="21"/>
          <w:szCs w:val="21"/>
          <w:lang w:val="es-MX" w:eastAsia="es-MX"/>
        </w:rPr>
      </w:pPr>
    </w:p>
    <w:p w14:paraId="418C77F2" w14:textId="63AFBE4D" w:rsidR="00286202" w:rsidRPr="00286202" w:rsidRDefault="00286202" w:rsidP="00FE053F">
      <w:pPr>
        <w:spacing w:after="160"/>
        <w:jc w:val="both"/>
        <w:rPr>
          <w:rFonts w:ascii="Abadi" w:eastAsiaTheme="minorHAnsi" w:hAnsi="Abadi" w:cs="Arial"/>
          <w:sz w:val="21"/>
          <w:szCs w:val="21"/>
          <w:lang w:val="es-MX" w:eastAsia="en-US"/>
        </w:rPr>
      </w:pPr>
      <w:r w:rsidRPr="00286202">
        <w:rPr>
          <w:rFonts w:ascii="Abadi" w:eastAsiaTheme="minorHAnsi" w:hAnsi="Abadi" w:cs="Arial"/>
          <w:sz w:val="21"/>
          <w:szCs w:val="21"/>
          <w:lang w:val="es-MX" w:eastAsia="en-US"/>
        </w:rPr>
        <w:t>Comuníquese el presente acuerdo con su dictamen al Secretario General del Congreso del estado, para los efectos conducentes.</w:t>
      </w:r>
    </w:p>
    <w:p w14:paraId="44E26245" w14:textId="77777777" w:rsidR="00286202" w:rsidRPr="00286202" w:rsidRDefault="00286202" w:rsidP="00FE053F">
      <w:pPr>
        <w:spacing w:after="160"/>
        <w:jc w:val="center"/>
        <w:rPr>
          <w:rFonts w:ascii="Abadi" w:eastAsiaTheme="minorHAnsi" w:hAnsi="Abadi" w:cs="Arial"/>
          <w:sz w:val="21"/>
          <w:szCs w:val="21"/>
          <w:lang w:val="es-MX" w:eastAsia="en-US"/>
        </w:rPr>
      </w:pPr>
      <w:r w:rsidRPr="00286202">
        <w:rPr>
          <w:rFonts w:ascii="Abadi" w:hAnsi="Abadi" w:cs="Segoe UI"/>
          <w:b/>
          <w:bCs/>
          <w:sz w:val="21"/>
          <w:szCs w:val="21"/>
          <w:lang w:val="es-MX" w:eastAsia="es-MX"/>
        </w:rPr>
        <w:t>Guanajuato, Gto., a 7 de julio de 2022</w:t>
      </w:r>
    </w:p>
    <w:p w14:paraId="3BE0C55C" w14:textId="77777777" w:rsidR="00286202" w:rsidRPr="00286202" w:rsidRDefault="00286202" w:rsidP="00FE053F">
      <w:pPr>
        <w:jc w:val="center"/>
        <w:textAlignment w:val="baseline"/>
        <w:rPr>
          <w:rFonts w:ascii="Abadi" w:hAnsi="Abadi" w:cs="Segoe UI"/>
          <w:b/>
          <w:bCs/>
          <w:sz w:val="21"/>
          <w:szCs w:val="21"/>
          <w:lang w:val="es-MX" w:eastAsia="es-MX"/>
        </w:rPr>
      </w:pPr>
      <w:r w:rsidRPr="00286202">
        <w:rPr>
          <w:rFonts w:ascii="Abadi" w:hAnsi="Abadi" w:cs="Segoe UI"/>
          <w:b/>
          <w:bCs/>
          <w:sz w:val="21"/>
          <w:szCs w:val="21"/>
          <w:lang w:val="es-MX" w:eastAsia="es-MX"/>
        </w:rPr>
        <w:t>La Comisión de Seguridad Pública y Comunicaciones</w:t>
      </w:r>
      <w:r w:rsidRPr="00286202">
        <w:rPr>
          <w:rFonts w:ascii="Abadi" w:hAnsi="Abadi" w:cs="Segoe UI"/>
          <w:sz w:val="21"/>
          <w:szCs w:val="21"/>
          <w:lang w:val="es-MX" w:eastAsia="es-MX"/>
        </w:rPr>
        <w:t> </w:t>
      </w:r>
    </w:p>
    <w:p w14:paraId="39004186" w14:textId="77777777" w:rsidR="00286202" w:rsidRPr="00286202" w:rsidRDefault="00286202" w:rsidP="00FE053F">
      <w:pPr>
        <w:jc w:val="center"/>
        <w:textAlignment w:val="baseline"/>
        <w:rPr>
          <w:rFonts w:ascii="Abadi" w:hAnsi="Abadi" w:cs="Segoe UI"/>
          <w:b/>
          <w:bCs/>
          <w:sz w:val="21"/>
          <w:szCs w:val="21"/>
          <w:lang w:val="es-MX" w:eastAsia="es-MX"/>
        </w:rPr>
      </w:pPr>
    </w:p>
    <w:p w14:paraId="59DE891F" w14:textId="77777777" w:rsidR="00286202" w:rsidRPr="00286202" w:rsidRDefault="00286202" w:rsidP="00FE053F">
      <w:pPr>
        <w:jc w:val="both"/>
        <w:textAlignment w:val="baseline"/>
        <w:rPr>
          <w:rFonts w:ascii="Abadi" w:hAnsi="Abadi" w:cs="Segoe UI"/>
          <w:b/>
          <w:bCs/>
          <w:sz w:val="21"/>
          <w:szCs w:val="21"/>
          <w:lang w:val="es-MX" w:eastAsia="es-MX"/>
        </w:rPr>
      </w:pPr>
      <w:r w:rsidRPr="00286202">
        <w:rPr>
          <w:rFonts w:ascii="Abadi" w:hAnsi="Abadi" w:cs="Segoe UI"/>
          <w:b/>
          <w:bCs/>
          <w:sz w:val="21"/>
          <w:szCs w:val="21"/>
          <w:lang w:val="es-MX" w:eastAsia="es-MX"/>
        </w:rPr>
        <w:t>Dip. Martín López Camacho</w:t>
      </w:r>
    </w:p>
    <w:p w14:paraId="493F4320" w14:textId="77777777" w:rsidR="00286202" w:rsidRPr="00286202" w:rsidRDefault="00286202" w:rsidP="00FE053F">
      <w:pPr>
        <w:jc w:val="both"/>
        <w:textAlignment w:val="baseline"/>
        <w:rPr>
          <w:rFonts w:ascii="Abadi" w:hAnsi="Abadi" w:cs="Segoe UI"/>
          <w:b/>
          <w:bCs/>
          <w:sz w:val="21"/>
          <w:szCs w:val="21"/>
          <w:lang w:val="es-MX" w:eastAsia="es-MX"/>
        </w:rPr>
      </w:pPr>
      <w:r w:rsidRPr="00286202">
        <w:rPr>
          <w:rFonts w:ascii="Abadi" w:hAnsi="Abadi" w:cs="Segoe UI"/>
          <w:b/>
          <w:bCs/>
          <w:sz w:val="21"/>
          <w:szCs w:val="21"/>
          <w:lang w:val="es-MX" w:eastAsia="es-MX"/>
        </w:rPr>
        <w:t>Dip. Alma Edwviges Alcaraz Hernández</w:t>
      </w:r>
    </w:p>
    <w:p w14:paraId="1AFF0CCD" w14:textId="77777777" w:rsidR="00286202" w:rsidRPr="00286202" w:rsidRDefault="00286202" w:rsidP="00FE053F">
      <w:pPr>
        <w:jc w:val="both"/>
        <w:textAlignment w:val="baseline"/>
        <w:rPr>
          <w:rFonts w:ascii="Abadi" w:hAnsi="Abadi"/>
          <w:b/>
          <w:bCs/>
          <w:sz w:val="21"/>
          <w:szCs w:val="21"/>
          <w:lang w:val="es-MX" w:eastAsia="es-MX"/>
        </w:rPr>
      </w:pPr>
      <w:r w:rsidRPr="00286202">
        <w:rPr>
          <w:rFonts w:ascii="Abadi" w:hAnsi="Abadi"/>
          <w:b/>
          <w:bCs/>
          <w:sz w:val="21"/>
          <w:szCs w:val="21"/>
          <w:lang w:val="es-MX" w:eastAsia="es-MX"/>
        </w:rPr>
        <w:t>Dip. Rolando Fortino Alcántar Rojas</w:t>
      </w:r>
    </w:p>
    <w:p w14:paraId="459AD6B6" w14:textId="77777777" w:rsidR="00286202" w:rsidRPr="00286202" w:rsidRDefault="00286202" w:rsidP="00FE053F">
      <w:pPr>
        <w:jc w:val="both"/>
        <w:textAlignment w:val="baseline"/>
        <w:rPr>
          <w:rFonts w:ascii="Abadi" w:hAnsi="Abadi"/>
          <w:sz w:val="21"/>
          <w:szCs w:val="21"/>
          <w:lang w:val="es-MX" w:eastAsia="es-MX"/>
        </w:rPr>
      </w:pPr>
      <w:r w:rsidRPr="00286202">
        <w:rPr>
          <w:rFonts w:ascii="Abadi" w:hAnsi="Abadi"/>
          <w:b/>
          <w:bCs/>
          <w:sz w:val="21"/>
          <w:szCs w:val="21"/>
          <w:lang w:val="es-MX" w:eastAsia="es-MX"/>
        </w:rPr>
        <w:t>Dip. Bricio Balderas Álvarez</w:t>
      </w:r>
    </w:p>
    <w:p w14:paraId="602BCD78" w14:textId="5CE4DE22" w:rsidR="00286202" w:rsidRDefault="00286202" w:rsidP="00FE053F">
      <w:pPr>
        <w:jc w:val="both"/>
        <w:textAlignment w:val="baseline"/>
        <w:rPr>
          <w:rFonts w:ascii="Abadi" w:hAnsi="Abadi" w:cs="Segoe UI"/>
          <w:sz w:val="21"/>
          <w:szCs w:val="21"/>
          <w:lang w:val="es-MX" w:eastAsia="es-MX"/>
        </w:rPr>
      </w:pPr>
      <w:r w:rsidRPr="00286202">
        <w:rPr>
          <w:rFonts w:ascii="Abadi" w:hAnsi="Abadi" w:cs="Segoe UI"/>
          <w:sz w:val="21"/>
          <w:szCs w:val="21"/>
          <w:lang w:val="es-MX" w:eastAsia="es-MX"/>
        </w:rPr>
        <w:t> </w:t>
      </w:r>
      <w:r w:rsidRPr="00286202">
        <w:rPr>
          <w:rFonts w:ascii="Abadi" w:hAnsi="Abadi" w:cs="Segoe UI"/>
          <w:b/>
          <w:sz w:val="21"/>
          <w:szCs w:val="21"/>
          <w:lang w:val="es-MX" w:eastAsia="es-MX"/>
        </w:rPr>
        <w:t>Dip. Gerardo Fernández González</w:t>
      </w:r>
      <w:r w:rsidRPr="00286202">
        <w:rPr>
          <w:rFonts w:ascii="Abadi" w:hAnsi="Abadi" w:cs="Segoe UI"/>
          <w:sz w:val="21"/>
          <w:szCs w:val="21"/>
          <w:lang w:val="es-MX" w:eastAsia="es-MX"/>
        </w:rPr>
        <w:t> </w:t>
      </w:r>
    </w:p>
    <w:p w14:paraId="532A9831" w14:textId="241D617A" w:rsidR="00F24332" w:rsidRDefault="00F24332" w:rsidP="00FE053F">
      <w:pPr>
        <w:jc w:val="both"/>
        <w:textAlignment w:val="baseline"/>
        <w:rPr>
          <w:rFonts w:ascii="Abadi" w:hAnsi="Abadi" w:cs="Segoe UI"/>
          <w:sz w:val="21"/>
          <w:szCs w:val="21"/>
          <w:lang w:val="es-MX" w:eastAsia="es-MX"/>
        </w:rPr>
      </w:pPr>
    </w:p>
    <w:p w14:paraId="794B7C8E" w14:textId="35192219" w:rsidR="00F24332" w:rsidRDefault="00F24332" w:rsidP="00F24332">
      <w:pPr>
        <w:ind w:firstLine="426"/>
        <w:jc w:val="both"/>
        <w:rPr>
          <w:rFonts w:ascii="Abadi" w:hAnsi="Abadi"/>
          <w:sz w:val="21"/>
          <w:szCs w:val="21"/>
        </w:rPr>
      </w:pPr>
      <w:r w:rsidRPr="001F5B36">
        <w:rPr>
          <w:rFonts w:ascii="Abadi" w:hAnsi="Abadi"/>
          <w:b/>
          <w:bCs/>
          <w:sz w:val="21"/>
          <w:szCs w:val="21"/>
        </w:rPr>
        <w:t>- El Presidente.-</w:t>
      </w:r>
      <w:r>
        <w:rPr>
          <w:rFonts w:ascii="Abadi" w:hAnsi="Abadi"/>
          <w:sz w:val="21"/>
          <w:szCs w:val="21"/>
        </w:rPr>
        <w:t xml:space="preserve"> A</w:t>
      </w:r>
      <w:r w:rsidRPr="001F5B36">
        <w:rPr>
          <w:rFonts w:ascii="Abadi" w:hAnsi="Abadi"/>
          <w:sz w:val="21"/>
          <w:szCs w:val="21"/>
        </w:rPr>
        <w:t xml:space="preserve">hora sometemos a discusión el dictamen emitido por la </w:t>
      </w:r>
      <w:r>
        <w:rPr>
          <w:rFonts w:ascii="Abadi" w:hAnsi="Abadi"/>
          <w:sz w:val="21"/>
          <w:szCs w:val="21"/>
        </w:rPr>
        <w:t>C</w:t>
      </w:r>
      <w:r w:rsidRPr="001F5B36">
        <w:rPr>
          <w:rFonts w:ascii="Abadi" w:hAnsi="Abadi"/>
          <w:sz w:val="21"/>
          <w:szCs w:val="21"/>
        </w:rPr>
        <w:t xml:space="preserve">omisión de </w:t>
      </w:r>
      <w:r>
        <w:rPr>
          <w:rFonts w:ascii="Abadi" w:hAnsi="Abadi"/>
          <w:sz w:val="21"/>
          <w:szCs w:val="21"/>
        </w:rPr>
        <w:t>Seguridad Pública y C</w:t>
      </w:r>
      <w:r w:rsidRPr="001F5B36">
        <w:rPr>
          <w:rFonts w:ascii="Abadi" w:hAnsi="Abadi"/>
          <w:sz w:val="21"/>
          <w:szCs w:val="21"/>
        </w:rPr>
        <w:t>omunicacione</w:t>
      </w:r>
      <w:r>
        <w:rPr>
          <w:rFonts w:ascii="Abadi" w:hAnsi="Abadi"/>
          <w:sz w:val="21"/>
          <w:szCs w:val="21"/>
        </w:rPr>
        <w:t xml:space="preserve">s </w:t>
      </w:r>
      <w:r w:rsidRPr="001F5B36">
        <w:rPr>
          <w:rFonts w:ascii="Abadi" w:hAnsi="Abadi"/>
          <w:sz w:val="21"/>
          <w:szCs w:val="21"/>
        </w:rPr>
        <w:t>a que se refiere</w:t>
      </w:r>
      <w:r>
        <w:rPr>
          <w:rFonts w:ascii="Abadi" w:hAnsi="Abadi"/>
          <w:sz w:val="21"/>
          <w:szCs w:val="21"/>
        </w:rPr>
        <w:t xml:space="preserve"> en</w:t>
      </w:r>
      <w:r w:rsidRPr="001F5B36">
        <w:rPr>
          <w:rFonts w:ascii="Abadi" w:hAnsi="Abadi"/>
          <w:sz w:val="21"/>
          <w:szCs w:val="21"/>
        </w:rPr>
        <w:t xml:space="preserve"> el punto 34 de nuestra orden del día</w:t>
      </w:r>
      <w:r>
        <w:rPr>
          <w:rFonts w:ascii="Abadi" w:hAnsi="Abadi"/>
          <w:sz w:val="21"/>
          <w:szCs w:val="21"/>
        </w:rPr>
        <w:t>.</w:t>
      </w:r>
    </w:p>
    <w:p w14:paraId="203DD673" w14:textId="77777777" w:rsidR="00F24332" w:rsidRDefault="00F24332" w:rsidP="00F24332">
      <w:pPr>
        <w:ind w:firstLine="426"/>
        <w:jc w:val="both"/>
        <w:rPr>
          <w:rFonts w:ascii="Abadi" w:hAnsi="Abadi"/>
          <w:sz w:val="21"/>
          <w:szCs w:val="21"/>
        </w:rPr>
      </w:pPr>
    </w:p>
    <w:p w14:paraId="5FF645B3" w14:textId="09820127" w:rsidR="00F24332" w:rsidRDefault="00F24332" w:rsidP="00F24332">
      <w:pPr>
        <w:ind w:firstLine="426"/>
        <w:jc w:val="both"/>
        <w:rPr>
          <w:rFonts w:ascii="Abadi" w:hAnsi="Abadi"/>
          <w:sz w:val="21"/>
          <w:szCs w:val="21"/>
        </w:rPr>
      </w:pPr>
      <w:r>
        <w:rPr>
          <w:rFonts w:ascii="Abadi" w:hAnsi="Abadi"/>
          <w:sz w:val="21"/>
          <w:szCs w:val="21"/>
        </w:rPr>
        <w:t>-</w:t>
      </w:r>
      <w:r w:rsidRPr="001F5B36">
        <w:rPr>
          <w:rFonts w:ascii="Abadi" w:hAnsi="Abadi"/>
          <w:sz w:val="21"/>
          <w:szCs w:val="21"/>
        </w:rPr>
        <w:t xml:space="preserve"> </w:t>
      </w:r>
      <w:r>
        <w:rPr>
          <w:rFonts w:ascii="Abadi" w:hAnsi="Abadi"/>
          <w:sz w:val="21"/>
          <w:szCs w:val="21"/>
        </w:rPr>
        <w:t>S</w:t>
      </w:r>
      <w:r w:rsidRPr="001F5B36">
        <w:rPr>
          <w:rFonts w:ascii="Abadi" w:hAnsi="Abadi"/>
          <w:sz w:val="21"/>
          <w:szCs w:val="21"/>
        </w:rPr>
        <w:t xml:space="preserve">i alguna diputada o algún diputado desea hacer </w:t>
      </w:r>
      <w:r>
        <w:rPr>
          <w:rFonts w:ascii="Abadi" w:hAnsi="Abadi"/>
          <w:sz w:val="21"/>
          <w:szCs w:val="21"/>
        </w:rPr>
        <w:t>u</w:t>
      </w:r>
      <w:r w:rsidRPr="001F5B36">
        <w:rPr>
          <w:rFonts w:ascii="Abadi" w:hAnsi="Abadi"/>
          <w:sz w:val="21"/>
          <w:szCs w:val="21"/>
        </w:rPr>
        <w:t>so de la palabra en pro o en contra manifiésten</w:t>
      </w:r>
      <w:r>
        <w:rPr>
          <w:rFonts w:ascii="Abadi" w:hAnsi="Abadi"/>
          <w:sz w:val="21"/>
          <w:szCs w:val="21"/>
        </w:rPr>
        <w:t>lo</w:t>
      </w:r>
      <w:r w:rsidRPr="001F5B36">
        <w:rPr>
          <w:rFonts w:ascii="Abadi" w:hAnsi="Abadi"/>
          <w:sz w:val="21"/>
          <w:szCs w:val="21"/>
        </w:rPr>
        <w:t xml:space="preserve"> a esta </w:t>
      </w:r>
      <w:r>
        <w:rPr>
          <w:rFonts w:ascii="Abadi" w:hAnsi="Abadi"/>
          <w:sz w:val="21"/>
          <w:szCs w:val="21"/>
        </w:rPr>
        <w:t>P</w:t>
      </w:r>
      <w:r w:rsidRPr="001F5B36">
        <w:rPr>
          <w:rFonts w:ascii="Abadi" w:hAnsi="Abadi"/>
          <w:sz w:val="21"/>
          <w:szCs w:val="21"/>
        </w:rPr>
        <w:t>residencia indicando el sentido de su participación</w:t>
      </w:r>
      <w:r>
        <w:rPr>
          <w:rFonts w:ascii="Abadi" w:hAnsi="Abadi"/>
          <w:sz w:val="21"/>
          <w:szCs w:val="21"/>
        </w:rPr>
        <w:t>.</w:t>
      </w:r>
    </w:p>
    <w:p w14:paraId="5B72F23C" w14:textId="77777777" w:rsidR="00F24332" w:rsidRPr="001F5B36" w:rsidRDefault="00F24332" w:rsidP="00F24332">
      <w:pPr>
        <w:ind w:firstLine="426"/>
        <w:jc w:val="both"/>
        <w:rPr>
          <w:rFonts w:ascii="Abadi" w:hAnsi="Abadi"/>
          <w:sz w:val="21"/>
          <w:szCs w:val="21"/>
        </w:rPr>
      </w:pPr>
    </w:p>
    <w:p w14:paraId="05DCD672" w14:textId="63C3C30F" w:rsidR="00F24332" w:rsidRDefault="00F24332" w:rsidP="00F24332">
      <w:pPr>
        <w:jc w:val="both"/>
        <w:rPr>
          <w:rFonts w:ascii="Abadi" w:hAnsi="Abadi"/>
          <w:sz w:val="21"/>
          <w:szCs w:val="21"/>
        </w:rPr>
      </w:pPr>
      <w:r>
        <w:rPr>
          <w:rFonts w:ascii="Abadi" w:hAnsi="Abadi"/>
          <w:sz w:val="21"/>
          <w:szCs w:val="21"/>
        </w:rPr>
        <w:tab/>
        <w:t>- N</w:t>
      </w:r>
      <w:r w:rsidRPr="006813AA">
        <w:rPr>
          <w:rFonts w:ascii="Abadi" w:hAnsi="Abadi"/>
          <w:sz w:val="21"/>
          <w:szCs w:val="21"/>
        </w:rPr>
        <w:t xml:space="preserve">o </w:t>
      </w:r>
      <w:r>
        <w:rPr>
          <w:rFonts w:ascii="Abadi" w:hAnsi="Abadi"/>
          <w:sz w:val="21"/>
          <w:szCs w:val="21"/>
        </w:rPr>
        <w:t>habiendo participaciones se pide a la S</w:t>
      </w:r>
      <w:r w:rsidRPr="006813AA">
        <w:rPr>
          <w:rFonts w:ascii="Abadi" w:hAnsi="Abadi"/>
          <w:sz w:val="21"/>
          <w:szCs w:val="21"/>
        </w:rPr>
        <w:t xml:space="preserve">ecretaría que proceda a recabar votación nominal de la </w:t>
      </w:r>
      <w:r>
        <w:rPr>
          <w:rFonts w:ascii="Abadi" w:hAnsi="Abadi"/>
          <w:sz w:val="21"/>
          <w:szCs w:val="21"/>
        </w:rPr>
        <w:t>A</w:t>
      </w:r>
      <w:r w:rsidRPr="006813AA">
        <w:rPr>
          <w:rFonts w:ascii="Abadi" w:hAnsi="Abadi"/>
          <w:sz w:val="21"/>
          <w:szCs w:val="21"/>
        </w:rPr>
        <w:t xml:space="preserve">samblea a través de nuestro sistema electrónico </w:t>
      </w:r>
      <w:r>
        <w:rPr>
          <w:rFonts w:ascii="Abadi" w:hAnsi="Abadi"/>
          <w:sz w:val="21"/>
          <w:szCs w:val="21"/>
        </w:rPr>
        <w:t xml:space="preserve">a </w:t>
      </w:r>
      <w:r w:rsidRPr="006813AA">
        <w:rPr>
          <w:rFonts w:ascii="Abadi" w:hAnsi="Abadi"/>
          <w:sz w:val="21"/>
          <w:szCs w:val="21"/>
        </w:rPr>
        <w:t xml:space="preserve">efecto de aprobar o no el dictamen puesto a </w:t>
      </w:r>
      <w:r w:rsidRPr="00FA0174">
        <w:rPr>
          <w:rFonts w:ascii="Abadi" w:hAnsi="Abadi"/>
          <w:sz w:val="21"/>
          <w:szCs w:val="21"/>
        </w:rPr>
        <w:t>su consideración.</w:t>
      </w:r>
    </w:p>
    <w:p w14:paraId="681EF96D" w14:textId="77777777" w:rsidR="00F24332" w:rsidRDefault="00F24332" w:rsidP="00F24332">
      <w:pPr>
        <w:jc w:val="both"/>
        <w:rPr>
          <w:rFonts w:ascii="Abadi" w:hAnsi="Abadi"/>
          <w:sz w:val="21"/>
          <w:szCs w:val="21"/>
        </w:rPr>
      </w:pPr>
    </w:p>
    <w:p w14:paraId="041B94E8" w14:textId="0753C8C8" w:rsidR="00F24332" w:rsidRDefault="00F24332" w:rsidP="00F24332">
      <w:pPr>
        <w:jc w:val="both"/>
        <w:rPr>
          <w:rFonts w:ascii="Abadi" w:hAnsi="Abadi"/>
          <w:b/>
          <w:bCs/>
          <w:sz w:val="21"/>
          <w:szCs w:val="21"/>
        </w:rPr>
      </w:pPr>
      <w:r w:rsidRPr="004D1FAF">
        <w:rPr>
          <w:rFonts w:ascii="Abadi" w:hAnsi="Abadi"/>
          <w:b/>
          <w:bCs/>
          <w:sz w:val="21"/>
          <w:szCs w:val="21"/>
        </w:rPr>
        <w:t>(Abrimos el sistema electrónico)</w:t>
      </w:r>
    </w:p>
    <w:p w14:paraId="344A4FA3" w14:textId="77777777" w:rsidR="00F24332" w:rsidRPr="004D1FAF" w:rsidRDefault="00F24332" w:rsidP="00F24332">
      <w:pPr>
        <w:jc w:val="both"/>
        <w:rPr>
          <w:rFonts w:ascii="Abadi" w:hAnsi="Abadi"/>
          <w:b/>
          <w:bCs/>
          <w:sz w:val="21"/>
          <w:szCs w:val="21"/>
        </w:rPr>
      </w:pPr>
    </w:p>
    <w:p w14:paraId="312C3251" w14:textId="21DDF5C9" w:rsidR="00F24332" w:rsidRDefault="00F24332" w:rsidP="00F24332">
      <w:pPr>
        <w:ind w:firstLine="708"/>
        <w:jc w:val="both"/>
        <w:rPr>
          <w:rFonts w:ascii="Abadi" w:hAnsi="Abadi"/>
          <w:sz w:val="21"/>
          <w:szCs w:val="21"/>
        </w:rPr>
      </w:pPr>
      <w:r w:rsidRPr="006813AA">
        <w:rPr>
          <w:rFonts w:ascii="Abadi" w:hAnsi="Abadi"/>
          <w:sz w:val="21"/>
          <w:szCs w:val="21"/>
        </w:rPr>
        <w:t xml:space="preserve"> </w:t>
      </w:r>
      <w:r w:rsidRPr="00FA0174">
        <w:rPr>
          <w:rFonts w:ascii="Abadi" w:hAnsi="Abadi"/>
          <w:b/>
          <w:bCs/>
          <w:sz w:val="21"/>
          <w:szCs w:val="21"/>
        </w:rPr>
        <w:t>- El Secretario.-</w:t>
      </w:r>
      <w:r>
        <w:rPr>
          <w:rFonts w:ascii="Abadi" w:hAnsi="Abadi"/>
          <w:sz w:val="21"/>
          <w:szCs w:val="21"/>
        </w:rPr>
        <w:t xml:space="preserve"> E</w:t>
      </w:r>
      <w:r w:rsidRPr="006813AA">
        <w:rPr>
          <w:rFonts w:ascii="Abadi" w:hAnsi="Abadi"/>
          <w:sz w:val="21"/>
          <w:szCs w:val="21"/>
        </w:rPr>
        <w:t>n votación nominal por el sistema electrónico se pregunta a las diputadas y los diputados si se aprueba el dictamen puesto a su consideración</w:t>
      </w:r>
      <w:r>
        <w:rPr>
          <w:rFonts w:ascii="Abadi" w:hAnsi="Abadi"/>
          <w:sz w:val="21"/>
          <w:szCs w:val="21"/>
        </w:rPr>
        <w:t>. ¿D</w:t>
      </w:r>
      <w:r w:rsidRPr="006813AA">
        <w:rPr>
          <w:rFonts w:ascii="Abadi" w:hAnsi="Abadi"/>
          <w:sz w:val="21"/>
          <w:szCs w:val="21"/>
        </w:rPr>
        <w:t xml:space="preserve">iputada Irma </w:t>
      </w:r>
      <w:r>
        <w:rPr>
          <w:rFonts w:ascii="Abadi" w:hAnsi="Abadi"/>
          <w:sz w:val="21"/>
          <w:szCs w:val="21"/>
        </w:rPr>
        <w:t>L</w:t>
      </w:r>
      <w:r w:rsidRPr="006813AA">
        <w:rPr>
          <w:rFonts w:ascii="Abadi" w:hAnsi="Abadi"/>
          <w:sz w:val="21"/>
          <w:szCs w:val="21"/>
        </w:rPr>
        <w:t>eticia</w:t>
      </w:r>
      <w:r>
        <w:rPr>
          <w:rFonts w:ascii="Abadi" w:hAnsi="Abadi"/>
          <w:sz w:val="21"/>
          <w:szCs w:val="21"/>
        </w:rPr>
        <w:t>? ¿Diputada M</w:t>
      </w:r>
      <w:r w:rsidRPr="006813AA">
        <w:rPr>
          <w:rFonts w:ascii="Abadi" w:hAnsi="Abadi"/>
          <w:sz w:val="21"/>
          <w:szCs w:val="21"/>
        </w:rPr>
        <w:t xml:space="preserve">artha </w:t>
      </w:r>
      <w:r>
        <w:rPr>
          <w:rFonts w:ascii="Abadi" w:hAnsi="Abadi"/>
          <w:sz w:val="21"/>
          <w:szCs w:val="21"/>
        </w:rPr>
        <w:t>L</w:t>
      </w:r>
      <w:r w:rsidRPr="006813AA">
        <w:rPr>
          <w:rFonts w:ascii="Abadi" w:hAnsi="Abadi"/>
          <w:sz w:val="21"/>
          <w:szCs w:val="21"/>
        </w:rPr>
        <w:t xml:space="preserve">ourdes </w:t>
      </w:r>
      <w:r>
        <w:rPr>
          <w:rFonts w:ascii="Abadi" w:hAnsi="Abadi"/>
          <w:sz w:val="21"/>
          <w:szCs w:val="21"/>
        </w:rPr>
        <w:t>O</w:t>
      </w:r>
      <w:r w:rsidRPr="006813AA">
        <w:rPr>
          <w:rFonts w:ascii="Abadi" w:hAnsi="Abadi"/>
          <w:sz w:val="21"/>
          <w:szCs w:val="21"/>
        </w:rPr>
        <w:t>rtega</w:t>
      </w:r>
      <w:r>
        <w:rPr>
          <w:rFonts w:ascii="Abadi" w:hAnsi="Abadi"/>
          <w:sz w:val="21"/>
          <w:szCs w:val="21"/>
        </w:rPr>
        <w:t>?</w:t>
      </w:r>
      <w:r w:rsidRPr="006813AA">
        <w:rPr>
          <w:rFonts w:ascii="Abadi" w:hAnsi="Abadi"/>
          <w:sz w:val="21"/>
          <w:szCs w:val="21"/>
        </w:rPr>
        <w:t xml:space="preserve"> </w:t>
      </w:r>
    </w:p>
    <w:p w14:paraId="5B2AE421" w14:textId="77777777" w:rsidR="00F24332" w:rsidRDefault="00F24332" w:rsidP="00F24332">
      <w:pPr>
        <w:ind w:firstLine="708"/>
        <w:jc w:val="both"/>
        <w:rPr>
          <w:rFonts w:ascii="Abadi" w:hAnsi="Abadi"/>
          <w:sz w:val="21"/>
          <w:szCs w:val="21"/>
        </w:rPr>
      </w:pPr>
    </w:p>
    <w:p w14:paraId="07932372" w14:textId="177EA41A" w:rsidR="00F24332" w:rsidRDefault="00F24332" w:rsidP="00F24332">
      <w:pPr>
        <w:jc w:val="both"/>
        <w:rPr>
          <w:rFonts w:ascii="Abadi" w:hAnsi="Abadi"/>
          <w:sz w:val="21"/>
          <w:szCs w:val="21"/>
        </w:rPr>
      </w:pPr>
      <w:r>
        <w:rPr>
          <w:rFonts w:ascii="Abadi" w:hAnsi="Abadi"/>
          <w:sz w:val="21"/>
          <w:szCs w:val="21"/>
        </w:rPr>
        <w:t>¿F</w:t>
      </w:r>
      <w:r w:rsidRPr="006813AA">
        <w:rPr>
          <w:rFonts w:ascii="Abadi" w:hAnsi="Abadi"/>
          <w:sz w:val="21"/>
          <w:szCs w:val="21"/>
        </w:rPr>
        <w:t>alta alguna diputada o algún diputado de emitir su voto</w:t>
      </w:r>
      <w:r>
        <w:rPr>
          <w:rFonts w:ascii="Abadi" w:hAnsi="Abadi"/>
          <w:sz w:val="21"/>
          <w:szCs w:val="21"/>
        </w:rPr>
        <w:t>?</w:t>
      </w:r>
    </w:p>
    <w:p w14:paraId="706A3250" w14:textId="77777777" w:rsidR="00F24332" w:rsidRDefault="00F24332" w:rsidP="00F24332">
      <w:pPr>
        <w:jc w:val="both"/>
        <w:rPr>
          <w:rFonts w:ascii="Abadi" w:hAnsi="Abadi"/>
          <w:sz w:val="21"/>
          <w:szCs w:val="21"/>
        </w:rPr>
      </w:pPr>
    </w:p>
    <w:p w14:paraId="32C393F9" w14:textId="77777777" w:rsidR="00F24332" w:rsidRDefault="00F24332" w:rsidP="00F24332">
      <w:pPr>
        <w:jc w:val="both"/>
        <w:rPr>
          <w:rFonts w:ascii="Abadi" w:hAnsi="Abadi"/>
          <w:b/>
          <w:bCs/>
          <w:sz w:val="21"/>
          <w:szCs w:val="21"/>
        </w:rPr>
      </w:pPr>
      <w:r w:rsidRPr="003E35B3">
        <w:rPr>
          <w:rFonts w:ascii="Abadi" w:hAnsi="Abadi"/>
          <w:b/>
          <w:bCs/>
          <w:sz w:val="21"/>
          <w:szCs w:val="21"/>
        </w:rPr>
        <w:t>(Se cierra el sistema electrónico)</w:t>
      </w:r>
    </w:p>
    <w:p w14:paraId="14107CD8" w14:textId="77777777" w:rsidR="00F24332" w:rsidRDefault="00F24332" w:rsidP="00F24332">
      <w:pPr>
        <w:jc w:val="both"/>
        <w:rPr>
          <w:rFonts w:ascii="Abadi" w:hAnsi="Abadi"/>
          <w:b/>
          <w:bCs/>
          <w:sz w:val="21"/>
          <w:szCs w:val="21"/>
        </w:rPr>
      </w:pPr>
    </w:p>
    <w:p w14:paraId="57922596" w14:textId="77777777" w:rsidR="00F24332" w:rsidRPr="003E35B3" w:rsidRDefault="00F24332" w:rsidP="00F24332">
      <w:pPr>
        <w:jc w:val="both"/>
        <w:rPr>
          <w:rFonts w:ascii="Abadi" w:hAnsi="Abadi"/>
          <w:b/>
          <w:bCs/>
          <w:sz w:val="21"/>
          <w:szCs w:val="21"/>
        </w:rPr>
      </w:pPr>
      <w:r>
        <w:rPr>
          <w:noProof/>
        </w:rPr>
        <w:drawing>
          <wp:inline distT="0" distB="0" distL="0" distR="0" wp14:anchorId="7400EF0D" wp14:editId="62DFCE3D">
            <wp:extent cx="1814017" cy="950545"/>
            <wp:effectExtent l="323850" t="323850" r="320040" b="326390"/>
            <wp:docPr id="62" name="Imagen 62"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descr="Interfaz de usuario gráfica, Texto, Sitio web&#10;&#10;Descripción generada automáticamente"/>
                    <pic:cNvPicPr/>
                  </pic:nvPicPr>
                  <pic:blipFill rotWithShape="1">
                    <a:blip r:embed="rId68"/>
                    <a:srcRect r="2239" b="8886"/>
                    <a:stretch/>
                  </pic:blipFill>
                  <pic:spPr bwMode="auto">
                    <a:xfrm>
                      <a:off x="0" y="0"/>
                      <a:ext cx="1825450" cy="956536"/>
                    </a:xfrm>
                    <a:prstGeom prst="rect">
                      <a:avLst/>
                    </a:prstGeom>
                    <a:ln w="88900" cap="sq" cmpd="thickThin">
                      <a:solidFill>
                        <a:srgbClr val="000000"/>
                      </a:solidFill>
                      <a:prstDash val="solid"/>
                      <a:miter lim="800000"/>
                    </a:ln>
                    <a:effectLst>
                      <a:glow rad="228600">
                        <a:schemeClr val="accent3">
                          <a:satMod val="1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1CB8D166" w14:textId="43A3D70C" w:rsidR="00F24332" w:rsidRDefault="00F24332" w:rsidP="00F24332">
      <w:pPr>
        <w:ind w:firstLine="708"/>
        <w:jc w:val="both"/>
        <w:rPr>
          <w:rFonts w:ascii="Abadi" w:hAnsi="Abadi"/>
          <w:sz w:val="21"/>
          <w:szCs w:val="21"/>
        </w:rPr>
      </w:pPr>
      <w:r w:rsidRPr="003E35B3">
        <w:rPr>
          <w:rFonts w:ascii="Abadi" w:hAnsi="Abadi"/>
          <w:b/>
          <w:bCs/>
          <w:sz w:val="21"/>
          <w:szCs w:val="21"/>
        </w:rPr>
        <w:t xml:space="preserve">- El Secretario.- </w:t>
      </w:r>
      <w:r>
        <w:rPr>
          <w:rFonts w:ascii="Abadi" w:hAnsi="Abadi"/>
          <w:sz w:val="21"/>
          <w:szCs w:val="21"/>
        </w:rPr>
        <w:t>S</w:t>
      </w:r>
      <w:r w:rsidRPr="006813AA">
        <w:rPr>
          <w:rFonts w:ascii="Abadi" w:hAnsi="Abadi"/>
          <w:sz w:val="21"/>
          <w:szCs w:val="21"/>
        </w:rPr>
        <w:t>e registraron 27 votos a favor y 6 votos en contra</w:t>
      </w:r>
      <w:r>
        <w:rPr>
          <w:rFonts w:ascii="Abadi" w:hAnsi="Abadi"/>
          <w:sz w:val="21"/>
          <w:szCs w:val="21"/>
        </w:rPr>
        <w:t>.</w:t>
      </w:r>
    </w:p>
    <w:p w14:paraId="7F7DD055" w14:textId="77777777" w:rsidR="00A6239F" w:rsidRDefault="00A6239F" w:rsidP="00F24332">
      <w:pPr>
        <w:ind w:firstLine="708"/>
        <w:jc w:val="both"/>
        <w:rPr>
          <w:rFonts w:ascii="Abadi" w:hAnsi="Abadi"/>
          <w:sz w:val="21"/>
          <w:szCs w:val="21"/>
        </w:rPr>
      </w:pPr>
    </w:p>
    <w:p w14:paraId="7945EABA" w14:textId="18AE3914" w:rsidR="00F24332" w:rsidRDefault="00F24332" w:rsidP="00F24332">
      <w:pPr>
        <w:ind w:firstLine="708"/>
        <w:jc w:val="both"/>
        <w:rPr>
          <w:rFonts w:ascii="Abadi" w:hAnsi="Abadi"/>
          <w:sz w:val="21"/>
          <w:szCs w:val="21"/>
        </w:rPr>
      </w:pPr>
      <w:r w:rsidRPr="00427751">
        <w:rPr>
          <w:rFonts w:ascii="Abadi" w:hAnsi="Abadi"/>
          <w:b/>
          <w:bCs/>
          <w:sz w:val="21"/>
          <w:szCs w:val="21"/>
        </w:rPr>
        <w:t>- El Presidente.-</w:t>
      </w:r>
      <w:r>
        <w:rPr>
          <w:rFonts w:ascii="Abadi" w:hAnsi="Abadi"/>
          <w:sz w:val="21"/>
          <w:szCs w:val="21"/>
        </w:rPr>
        <w:t xml:space="preserve"> </w:t>
      </w:r>
      <w:r w:rsidRPr="006813AA">
        <w:rPr>
          <w:rFonts w:ascii="Abadi" w:hAnsi="Abadi"/>
          <w:sz w:val="21"/>
          <w:szCs w:val="21"/>
        </w:rPr>
        <w:t xml:space="preserve"> </w:t>
      </w:r>
      <w:r>
        <w:rPr>
          <w:rFonts w:ascii="Abadi" w:hAnsi="Abadi"/>
          <w:sz w:val="21"/>
          <w:szCs w:val="21"/>
        </w:rPr>
        <w:t>P</w:t>
      </w:r>
      <w:r w:rsidRPr="006813AA">
        <w:rPr>
          <w:rFonts w:ascii="Abadi" w:hAnsi="Abadi"/>
          <w:sz w:val="21"/>
          <w:szCs w:val="21"/>
        </w:rPr>
        <w:t>or mayoría de votos ha sido aprobado este dictamen</w:t>
      </w:r>
      <w:r>
        <w:rPr>
          <w:rFonts w:ascii="Abadi" w:hAnsi="Abadi"/>
          <w:sz w:val="21"/>
          <w:szCs w:val="21"/>
        </w:rPr>
        <w:t>.</w:t>
      </w:r>
    </w:p>
    <w:p w14:paraId="6ED072D4" w14:textId="77777777" w:rsidR="00A6239F" w:rsidRDefault="00A6239F" w:rsidP="00F24332">
      <w:pPr>
        <w:ind w:firstLine="708"/>
        <w:jc w:val="both"/>
        <w:rPr>
          <w:rFonts w:ascii="Abadi" w:hAnsi="Abadi"/>
          <w:sz w:val="21"/>
          <w:szCs w:val="21"/>
        </w:rPr>
      </w:pPr>
    </w:p>
    <w:p w14:paraId="0A4AD603" w14:textId="77777777" w:rsidR="00F24332" w:rsidRPr="00951532" w:rsidRDefault="00F24332" w:rsidP="00B55043">
      <w:pPr>
        <w:ind w:left="426" w:right="709"/>
        <w:jc w:val="both"/>
        <w:rPr>
          <w:rFonts w:ascii="Abadi" w:hAnsi="Abadi"/>
          <w:b/>
          <w:bCs/>
          <w:i/>
          <w:iCs/>
          <w:sz w:val="21"/>
          <w:szCs w:val="21"/>
          <w:u w:val="single"/>
        </w:rPr>
      </w:pPr>
      <w:r w:rsidRPr="00951532">
        <w:rPr>
          <w:rFonts w:ascii="Abadi" w:hAnsi="Abadi"/>
          <w:b/>
          <w:bCs/>
          <w:i/>
          <w:iCs/>
          <w:sz w:val="21"/>
          <w:szCs w:val="21"/>
          <w:u w:val="single"/>
        </w:rPr>
        <w:t>En consecuencia se instruye a la Secretaría General para que proceda el archivo definitivo de la propuesta de punto de acuerdo referida en el dictamen aprobado.</w:t>
      </w:r>
    </w:p>
    <w:p w14:paraId="1518C30B" w14:textId="4A9945D3" w:rsidR="009572A9" w:rsidRPr="009572A9" w:rsidRDefault="009572A9" w:rsidP="00FE053F">
      <w:pPr>
        <w:autoSpaceDE w:val="0"/>
        <w:autoSpaceDN w:val="0"/>
        <w:adjustRightInd w:val="0"/>
        <w:jc w:val="both"/>
        <w:rPr>
          <w:rFonts w:ascii="Abadi" w:hAnsi="Abadi" w:cs="ArialMT"/>
          <w:sz w:val="20"/>
          <w:szCs w:val="21"/>
        </w:rPr>
      </w:pPr>
    </w:p>
    <w:p w14:paraId="75188345" w14:textId="77777777" w:rsidR="009572A9" w:rsidRPr="0028553C" w:rsidRDefault="009572A9" w:rsidP="00FE053F">
      <w:pPr>
        <w:autoSpaceDE w:val="0"/>
        <w:autoSpaceDN w:val="0"/>
        <w:adjustRightInd w:val="0"/>
        <w:jc w:val="both"/>
        <w:rPr>
          <w:rFonts w:ascii="Abadi" w:hAnsi="Abadi" w:cs="ArialMT"/>
          <w:b/>
          <w:bCs/>
          <w:sz w:val="20"/>
          <w:szCs w:val="21"/>
        </w:rPr>
      </w:pPr>
    </w:p>
    <w:p w14:paraId="315AFA00" w14:textId="77777777" w:rsidR="00E462B6" w:rsidRPr="00526E0B" w:rsidRDefault="00E462B6" w:rsidP="00FE053F">
      <w:pPr>
        <w:pStyle w:val="Prrafodelista"/>
        <w:numPr>
          <w:ilvl w:val="0"/>
          <w:numId w:val="14"/>
        </w:numPr>
        <w:autoSpaceDE w:val="0"/>
        <w:autoSpaceDN w:val="0"/>
        <w:adjustRightInd w:val="0"/>
        <w:contextualSpacing/>
        <w:jc w:val="both"/>
        <w:rPr>
          <w:rFonts w:ascii="Abadi" w:hAnsi="Abadi" w:cs="ArialMT"/>
          <w:b/>
          <w:bCs/>
          <w:sz w:val="20"/>
          <w:szCs w:val="21"/>
        </w:rPr>
      </w:pPr>
      <w:r w:rsidRPr="00526E0B">
        <w:rPr>
          <w:rFonts w:ascii="Abadi" w:hAnsi="Abadi" w:cs="ArialMT"/>
          <w:b/>
          <w:bCs/>
          <w:sz w:val="20"/>
          <w:szCs w:val="21"/>
        </w:rPr>
        <w:t>DISCUSIÓN Y, EN SU CASO, APROBACIÓN DEL DICTAMEN PRESENTADO POR LA COMISIÓN DE SEGURIDAD PÚBLICA Y COMUNICACIONES RELATIVO A LA PROPUESTA DE PUNTO DE ACUERDO FORMULADA ANTE LA SEXAGÉSIMA CUARTA LEGISLATURA, POR LA DIPUTADA MARÍA MAGDALENA ROSALES CRUZ, INTEGRANTE DEL GRUPO PARLAMENTARIO DEL PARTIDO MORENA, PARA EXHORTAR AL PRESIDENTE MUNICIPAL DE LA CIUDAD DE GUANAJUATO, C. MARIO ALEJANDRO NAVARRO SALDAÑA, PARA QUE SE INVESTIGUEN LAS DENUNCIAS CIUDADANAS Y RESUELVAN LAS FALTAS GRAVES EN QUE INCURRAN LOS ELEMENTOS DE LA POLICÍA MUNICIPAL EN CONTRA LOS PRINCIPIOS DE ACTUACIÓN PREVISTOS EN EL REGLAMENTO DE POLICÍA PREVENTIVA DEL MUNICIPIO DE GUANAJUATO Y NORMAS DISCIPLINAS DEL CUERPO POLICIAL; ASÍ MISMO PARA QUE ESTABLEZCA MECANISMOS DE VIGILANCIA QUE GARANTICEN QUE EL CORRECTO ACTUAR DE LOS ELEMENTOS DE LA POLICÍA MUNICIPAL.</w:t>
      </w:r>
    </w:p>
    <w:p w14:paraId="0A35A254" w14:textId="525F8D7E" w:rsidR="00E462B6" w:rsidRDefault="00E462B6" w:rsidP="00FE053F">
      <w:pPr>
        <w:autoSpaceDE w:val="0"/>
        <w:autoSpaceDN w:val="0"/>
        <w:adjustRightInd w:val="0"/>
        <w:jc w:val="both"/>
        <w:rPr>
          <w:rFonts w:ascii="Abadi" w:hAnsi="Abadi" w:cs="ArialMT"/>
          <w:sz w:val="20"/>
          <w:szCs w:val="21"/>
        </w:rPr>
      </w:pPr>
    </w:p>
    <w:p w14:paraId="45AA36C9" w14:textId="77777777" w:rsidR="00C3760A" w:rsidRPr="00C3760A" w:rsidRDefault="00C3760A" w:rsidP="00FE053F">
      <w:pPr>
        <w:rPr>
          <w:rFonts w:ascii="Abadi" w:eastAsiaTheme="minorHAnsi" w:hAnsi="Abadi" w:cs="Arial"/>
          <w:b/>
          <w:sz w:val="21"/>
          <w:szCs w:val="21"/>
          <w:lang w:val="es-MX" w:eastAsia="en-US"/>
        </w:rPr>
      </w:pPr>
      <w:r w:rsidRPr="00C3760A">
        <w:rPr>
          <w:rFonts w:ascii="Abadi" w:eastAsiaTheme="minorHAnsi" w:hAnsi="Abadi" w:cs="Arial"/>
          <w:b/>
          <w:sz w:val="21"/>
          <w:szCs w:val="21"/>
          <w:lang w:val="es-MX" w:eastAsia="en-US"/>
        </w:rPr>
        <w:t>Presidencia de la Mesa Directiva</w:t>
      </w:r>
    </w:p>
    <w:p w14:paraId="2E04991C" w14:textId="77777777" w:rsidR="00C3760A" w:rsidRPr="00C3760A" w:rsidRDefault="00C3760A" w:rsidP="00FE053F">
      <w:pPr>
        <w:rPr>
          <w:rFonts w:ascii="Abadi" w:eastAsiaTheme="minorHAnsi" w:hAnsi="Abadi" w:cs="Arial"/>
          <w:b/>
          <w:sz w:val="21"/>
          <w:szCs w:val="21"/>
          <w:lang w:val="es-MX" w:eastAsia="en-US"/>
        </w:rPr>
      </w:pPr>
      <w:r w:rsidRPr="00C3760A">
        <w:rPr>
          <w:rFonts w:ascii="Abadi" w:eastAsiaTheme="minorHAnsi" w:hAnsi="Abadi" w:cs="Arial"/>
          <w:b/>
          <w:sz w:val="21"/>
          <w:szCs w:val="21"/>
          <w:lang w:val="es-MX" w:eastAsia="en-US"/>
        </w:rPr>
        <w:t>Congreso del Estado</w:t>
      </w:r>
    </w:p>
    <w:p w14:paraId="017283B8" w14:textId="77777777" w:rsidR="00C3760A" w:rsidRPr="00C3760A" w:rsidRDefault="00C3760A" w:rsidP="00FE053F">
      <w:pPr>
        <w:rPr>
          <w:rFonts w:ascii="Abadi" w:eastAsiaTheme="minorHAnsi" w:hAnsi="Abadi" w:cs="Arial"/>
          <w:b/>
          <w:sz w:val="21"/>
          <w:szCs w:val="21"/>
          <w:lang w:val="es-MX" w:eastAsia="en-US"/>
        </w:rPr>
      </w:pPr>
      <w:r w:rsidRPr="00C3760A">
        <w:rPr>
          <w:rFonts w:ascii="Abadi" w:eastAsiaTheme="minorHAnsi" w:hAnsi="Abadi" w:cs="Arial"/>
          <w:b/>
          <w:sz w:val="21"/>
          <w:szCs w:val="21"/>
          <w:lang w:val="es-MX" w:eastAsia="en-US"/>
        </w:rPr>
        <w:t>Presente</w:t>
      </w:r>
    </w:p>
    <w:p w14:paraId="2133D455" w14:textId="77777777" w:rsidR="00C3760A" w:rsidRPr="00C3760A" w:rsidRDefault="00C3760A" w:rsidP="00FE053F">
      <w:pPr>
        <w:spacing w:before="100" w:beforeAutospacing="1" w:afterAutospacing="1"/>
        <w:jc w:val="both"/>
        <w:textAlignment w:val="baseline"/>
        <w:rPr>
          <w:rFonts w:ascii="Abadi" w:hAnsi="Abadi" w:cs="Arial"/>
          <w:sz w:val="21"/>
          <w:szCs w:val="21"/>
          <w:lang w:val="es-MX" w:eastAsia="es-MX"/>
        </w:rPr>
      </w:pPr>
      <w:r w:rsidRPr="00C3760A">
        <w:rPr>
          <w:rFonts w:ascii="Abadi" w:hAnsi="Abadi" w:cs="Arial"/>
          <w:sz w:val="21"/>
          <w:szCs w:val="21"/>
          <w:lang w:val="es-MX" w:eastAsia="es-MX"/>
        </w:rPr>
        <w:t>Correspondió a esta Comisión de Seguridad Pública y Comunicaciones analizar y dictaminar la propuesta de punto de acuerdo formulado, en la LXIV Legislatura, por la Diputada María Magdalena Rosales Cruz, integrante del Grupo Parlamentario de MORENA, para exhortar al Presidente Municipal de la Ciudad de Guanajuato, C. Mario Alejandro Navarro Saldaña para que se investiguen las denuncias ciudadanas y resuelvan las faltas graves en que incurran los elementos de la Policía Municipal en contra los principios de actuación previstos en el Reglamento de Policía Preventiva del Municipio de Guanajuato y normas disciplinas del cuerpo policial; así mismo para que establezca mecanismos de vigilancia que garanticen que el correcto actuar de los elementos de la Policía Municipal.</w:t>
      </w:r>
    </w:p>
    <w:p w14:paraId="5C6573FB" w14:textId="77777777" w:rsidR="00C3760A" w:rsidRPr="00C3760A" w:rsidRDefault="00C3760A" w:rsidP="00FE053F">
      <w:pPr>
        <w:jc w:val="both"/>
        <w:textAlignment w:val="baseline"/>
        <w:rPr>
          <w:rFonts w:ascii="Abadi" w:hAnsi="Abadi" w:cs="Arial"/>
          <w:sz w:val="21"/>
          <w:szCs w:val="21"/>
          <w:lang w:val="es-MX" w:eastAsia="es-MX"/>
        </w:rPr>
      </w:pPr>
    </w:p>
    <w:p w14:paraId="3B1F44E1" w14:textId="77777777" w:rsidR="00C3760A" w:rsidRPr="00C3760A" w:rsidRDefault="00C3760A" w:rsidP="00FE053F">
      <w:pPr>
        <w:jc w:val="both"/>
        <w:textAlignment w:val="baseline"/>
        <w:rPr>
          <w:rFonts w:ascii="Abadi" w:hAnsi="Abadi" w:cs="Arial"/>
          <w:sz w:val="21"/>
          <w:szCs w:val="21"/>
          <w:lang w:val="es-MX" w:eastAsia="es-MX"/>
        </w:rPr>
      </w:pPr>
      <w:r w:rsidRPr="00C3760A">
        <w:rPr>
          <w:rFonts w:ascii="Abadi" w:hAnsi="Abadi" w:cs="Arial"/>
          <w:sz w:val="21"/>
          <w:szCs w:val="21"/>
          <w:lang w:val="es-MX" w:eastAsia="es-MX"/>
        </w:rPr>
        <w:t xml:space="preserve">Con fundamento en el artículo 119 fracción II y 180 de la Ley Orgánica del Poder Legislativo del Estado de Guanajuato, se procede a realizar el siguiente: </w:t>
      </w:r>
    </w:p>
    <w:p w14:paraId="39A2420E" w14:textId="77777777" w:rsidR="00C3760A" w:rsidRPr="00C3760A" w:rsidRDefault="00C3760A" w:rsidP="00FE053F">
      <w:pPr>
        <w:jc w:val="both"/>
        <w:textAlignment w:val="baseline"/>
        <w:rPr>
          <w:rFonts w:ascii="Abadi" w:hAnsi="Abadi" w:cs="Arial"/>
          <w:sz w:val="21"/>
          <w:szCs w:val="21"/>
          <w:lang w:val="es-MX" w:eastAsia="es-MX"/>
        </w:rPr>
      </w:pPr>
    </w:p>
    <w:p w14:paraId="20CCF685" w14:textId="77777777" w:rsidR="00C3760A" w:rsidRPr="00C3760A" w:rsidRDefault="00C3760A" w:rsidP="00FE053F">
      <w:pPr>
        <w:jc w:val="center"/>
        <w:textAlignment w:val="baseline"/>
        <w:rPr>
          <w:rFonts w:ascii="Abadi" w:hAnsi="Abadi" w:cs="Arial"/>
          <w:b/>
          <w:sz w:val="21"/>
          <w:szCs w:val="21"/>
          <w:lang w:val="es-MX" w:eastAsia="es-MX"/>
        </w:rPr>
      </w:pPr>
      <w:r w:rsidRPr="00C3760A">
        <w:rPr>
          <w:rFonts w:ascii="Abadi" w:hAnsi="Abadi" w:cs="Arial"/>
          <w:b/>
          <w:sz w:val="21"/>
          <w:szCs w:val="21"/>
          <w:lang w:val="es-MX" w:eastAsia="es-MX"/>
        </w:rPr>
        <w:t>D i c t a m e n</w:t>
      </w:r>
    </w:p>
    <w:p w14:paraId="578BDAA6" w14:textId="77777777" w:rsidR="00453C02" w:rsidRDefault="00453C02" w:rsidP="00453C02">
      <w:pPr>
        <w:ind w:left="720"/>
        <w:textAlignment w:val="baseline"/>
        <w:rPr>
          <w:rFonts w:ascii="Abadi" w:hAnsi="Abadi" w:cs="Arial"/>
          <w:b/>
          <w:sz w:val="21"/>
          <w:szCs w:val="21"/>
          <w:lang w:val="es-MX" w:eastAsia="es-MX"/>
        </w:rPr>
      </w:pPr>
    </w:p>
    <w:p w14:paraId="721A0137" w14:textId="591A0DAF" w:rsidR="00C3760A" w:rsidRPr="00C3760A" w:rsidRDefault="00C3760A" w:rsidP="00FE053F">
      <w:pPr>
        <w:numPr>
          <w:ilvl w:val="0"/>
          <w:numId w:val="46"/>
        </w:numPr>
        <w:textAlignment w:val="baseline"/>
        <w:rPr>
          <w:rFonts w:ascii="Abadi" w:hAnsi="Abadi" w:cs="Arial"/>
          <w:b/>
          <w:sz w:val="21"/>
          <w:szCs w:val="21"/>
          <w:lang w:val="es-MX" w:eastAsia="es-MX"/>
        </w:rPr>
      </w:pPr>
      <w:r w:rsidRPr="00C3760A">
        <w:rPr>
          <w:rFonts w:ascii="Abadi" w:hAnsi="Abadi" w:cs="Arial"/>
          <w:b/>
          <w:sz w:val="21"/>
          <w:szCs w:val="21"/>
          <w:lang w:val="es-MX" w:eastAsia="es-MX"/>
        </w:rPr>
        <w:t>Antecedentes.</w:t>
      </w:r>
    </w:p>
    <w:p w14:paraId="6AAD7DF5" w14:textId="77777777" w:rsidR="00C3760A" w:rsidRPr="00C3760A" w:rsidRDefault="00C3760A" w:rsidP="00FE053F">
      <w:pPr>
        <w:textAlignment w:val="baseline"/>
        <w:rPr>
          <w:rFonts w:ascii="Abadi" w:hAnsi="Abadi" w:cs="Arial"/>
          <w:sz w:val="21"/>
          <w:szCs w:val="21"/>
          <w:lang w:val="es-MX" w:eastAsia="es-MX"/>
        </w:rPr>
      </w:pPr>
    </w:p>
    <w:p w14:paraId="1CC61E43" w14:textId="77777777" w:rsidR="00C3760A" w:rsidRPr="00C3760A" w:rsidRDefault="00C3760A" w:rsidP="00FE053F">
      <w:pPr>
        <w:jc w:val="both"/>
        <w:textAlignment w:val="baseline"/>
        <w:rPr>
          <w:rFonts w:ascii="Abadi" w:hAnsi="Abadi" w:cs="Arial"/>
          <w:sz w:val="21"/>
          <w:szCs w:val="21"/>
          <w:highlight w:val="yellow"/>
          <w:lang w:val="es-MX" w:eastAsia="es-MX"/>
        </w:rPr>
      </w:pPr>
      <w:r w:rsidRPr="00C3760A">
        <w:rPr>
          <w:rFonts w:ascii="Abadi" w:hAnsi="Abadi" w:cs="Arial"/>
          <w:sz w:val="21"/>
          <w:szCs w:val="21"/>
          <w:lang w:val="es-MX" w:eastAsia="es-MX"/>
        </w:rPr>
        <w:t>La propuesta de acuerdo fue presentada en sesión de la Diputación Permanente celebrada en fecha 2 de septiembre de 2021</w:t>
      </w:r>
      <w:bookmarkStart w:id="21" w:name="_Hlk107829739"/>
      <w:r w:rsidRPr="00C3760A">
        <w:rPr>
          <w:rFonts w:ascii="Abadi" w:hAnsi="Abadi" w:cs="Arial"/>
          <w:sz w:val="21"/>
          <w:szCs w:val="21"/>
          <w:lang w:val="es-MX" w:eastAsia="es-MX"/>
        </w:rPr>
        <w:t>.</w:t>
      </w:r>
      <w:r w:rsidRPr="00C3760A">
        <w:rPr>
          <w:rFonts w:ascii="Abadi" w:hAnsi="Abadi" w:cs="Arial"/>
          <w:sz w:val="21"/>
          <w:szCs w:val="21"/>
          <w:highlight w:val="yellow"/>
          <w:lang w:val="es-MX" w:eastAsia="es-MX"/>
        </w:rPr>
        <w:t xml:space="preserve"> </w:t>
      </w:r>
    </w:p>
    <w:p w14:paraId="7783A649" w14:textId="77777777" w:rsidR="00C3760A" w:rsidRPr="00C3760A" w:rsidRDefault="00C3760A" w:rsidP="00FE053F">
      <w:pPr>
        <w:jc w:val="both"/>
        <w:textAlignment w:val="baseline"/>
        <w:rPr>
          <w:rFonts w:ascii="Abadi" w:hAnsi="Abadi" w:cs="Arial"/>
          <w:sz w:val="21"/>
          <w:szCs w:val="21"/>
          <w:highlight w:val="yellow"/>
          <w:lang w:val="es-MX" w:eastAsia="es-MX"/>
        </w:rPr>
      </w:pPr>
    </w:p>
    <w:p w14:paraId="108F3655" w14:textId="77777777" w:rsidR="00C3760A" w:rsidRPr="00C3760A" w:rsidRDefault="00C3760A" w:rsidP="00FE053F">
      <w:pPr>
        <w:jc w:val="both"/>
        <w:textAlignment w:val="baseline"/>
        <w:rPr>
          <w:rFonts w:ascii="Abadi" w:hAnsi="Abadi" w:cs="Arial"/>
          <w:sz w:val="21"/>
          <w:szCs w:val="21"/>
          <w:lang w:val="es-MX" w:eastAsia="es-MX"/>
        </w:rPr>
      </w:pPr>
      <w:r w:rsidRPr="00C3760A">
        <w:rPr>
          <w:rFonts w:ascii="Abadi" w:hAnsi="Abadi" w:cs="Arial"/>
          <w:sz w:val="21"/>
          <w:szCs w:val="21"/>
          <w:lang w:val="es-MX" w:eastAsia="es-MX"/>
        </w:rPr>
        <w:t xml:space="preserve">Su radicación se realizó en reunión del día 22 de febrero de 2022, </w:t>
      </w:r>
      <w:bookmarkEnd w:id="21"/>
      <w:r w:rsidRPr="00C3760A">
        <w:rPr>
          <w:rFonts w:ascii="Abadi" w:hAnsi="Abadi" w:cs="Arial"/>
          <w:sz w:val="21"/>
          <w:szCs w:val="21"/>
          <w:lang w:val="es-MX" w:eastAsia="es-MX"/>
        </w:rPr>
        <w:t>fecha en la cual se determinó como acuerdo para proceder a su análisis se solicitara información al titular de la presidencia municipal de Guanajuato para que pueda informar sobre las acciones realizadas para atender las denuncias ciudadanas de mérito y en su caso los mecanismos de vigilancia implementados para garantizar el correcto actuar de los elementos de la policía municipal.; consulta sobre la cual no hubo respuesta.</w:t>
      </w:r>
    </w:p>
    <w:p w14:paraId="61241F70" w14:textId="77777777" w:rsidR="00C3760A" w:rsidRPr="00C3760A" w:rsidRDefault="00C3760A" w:rsidP="00FE053F">
      <w:pPr>
        <w:jc w:val="both"/>
        <w:textAlignment w:val="baseline"/>
        <w:rPr>
          <w:rFonts w:ascii="Abadi" w:hAnsi="Abadi" w:cs="Arial"/>
          <w:sz w:val="21"/>
          <w:szCs w:val="21"/>
          <w:lang w:val="es-MX" w:eastAsia="es-MX"/>
        </w:rPr>
      </w:pPr>
    </w:p>
    <w:p w14:paraId="41D6ED3F" w14:textId="77777777" w:rsidR="00C3760A" w:rsidRPr="00C3760A" w:rsidRDefault="00C3760A" w:rsidP="00FE053F">
      <w:pPr>
        <w:jc w:val="both"/>
        <w:textAlignment w:val="baseline"/>
        <w:rPr>
          <w:rFonts w:ascii="Abadi" w:hAnsi="Abadi" w:cs="Arial"/>
          <w:sz w:val="21"/>
          <w:szCs w:val="21"/>
          <w:lang w:val="es-MX" w:eastAsia="es-MX"/>
        </w:rPr>
      </w:pPr>
      <w:r w:rsidRPr="00C3760A">
        <w:rPr>
          <w:rFonts w:ascii="Abadi" w:hAnsi="Abadi" w:cs="Arial"/>
          <w:sz w:val="21"/>
          <w:szCs w:val="21"/>
          <w:lang w:val="es-MX" w:eastAsia="es-MX"/>
        </w:rPr>
        <w:t xml:space="preserve">No habiéndose determinado acción posterior, </w:t>
      </w:r>
      <w:r w:rsidRPr="00C3760A">
        <w:rPr>
          <w:rFonts w:ascii="Abadi" w:hAnsi="Abadi"/>
          <w:sz w:val="21"/>
          <w:szCs w:val="21"/>
          <w:lang w:val="es-MX" w:eastAsia="es-MX"/>
        </w:rPr>
        <w:t xml:space="preserve">en fecha 14 de septiembre de 2021, los diputados integrantes de la Comisión de Seguridad Pública y Comunicaciones de la Sexagésima Cuarta Legislatura, señalaron la referida propuesta de acuerdo como pendiente legislativo </w:t>
      </w:r>
      <w:r w:rsidRPr="00C3760A">
        <w:rPr>
          <w:rFonts w:ascii="Abadi" w:hAnsi="Abadi" w:cs="Arial"/>
          <w:sz w:val="21"/>
          <w:szCs w:val="21"/>
          <w:lang w:val="es-MX" w:eastAsia="es-MX"/>
        </w:rPr>
        <w:t>dentro del Informe de Actividades Legislativas</w:t>
      </w:r>
      <w:r w:rsidRPr="00C3760A">
        <w:rPr>
          <w:rFonts w:ascii="Abadi" w:hAnsi="Abadi"/>
          <w:sz w:val="21"/>
          <w:szCs w:val="21"/>
          <w:lang w:val="es-MX" w:eastAsia="es-MX"/>
        </w:rPr>
        <w:t>, para que fuera la siguiente Legislatura quien se pronunciara al respecto</w:t>
      </w:r>
      <w:r w:rsidRPr="00C3760A">
        <w:rPr>
          <w:rFonts w:ascii="Abadi" w:hAnsi="Abadi" w:cs="Arial"/>
          <w:sz w:val="21"/>
          <w:szCs w:val="21"/>
          <w:lang w:val="es-MX" w:eastAsia="es-MX"/>
        </w:rPr>
        <w:t xml:space="preserve">.  </w:t>
      </w:r>
    </w:p>
    <w:p w14:paraId="6D585064" w14:textId="77777777" w:rsidR="00C3760A" w:rsidRPr="00C3760A" w:rsidRDefault="00C3760A" w:rsidP="00FE053F">
      <w:pPr>
        <w:jc w:val="both"/>
        <w:textAlignment w:val="baseline"/>
        <w:rPr>
          <w:rFonts w:ascii="Abadi" w:hAnsi="Abadi" w:cs="Arial"/>
          <w:sz w:val="21"/>
          <w:szCs w:val="21"/>
          <w:lang w:val="es-MX" w:eastAsia="es-MX"/>
        </w:rPr>
      </w:pPr>
    </w:p>
    <w:p w14:paraId="7011099B" w14:textId="77777777" w:rsidR="00C3760A" w:rsidRPr="00C3760A" w:rsidRDefault="00C3760A" w:rsidP="00FE053F">
      <w:pPr>
        <w:jc w:val="both"/>
        <w:textAlignment w:val="baseline"/>
        <w:rPr>
          <w:rFonts w:ascii="Abadi" w:hAnsi="Abadi"/>
          <w:sz w:val="21"/>
          <w:szCs w:val="21"/>
          <w:lang w:val="es-MX" w:eastAsia="es-MX"/>
        </w:rPr>
      </w:pPr>
      <w:r w:rsidRPr="00C3760A">
        <w:rPr>
          <w:rFonts w:ascii="Abadi" w:hAnsi="Abadi"/>
          <w:sz w:val="21"/>
          <w:szCs w:val="21"/>
          <w:lang w:val="es-MX" w:eastAsia="es-MX"/>
        </w:rPr>
        <w:t>Instalada la Comisión de Seguridad Pública y Comunicaciones de la Sexagésima Quinta Legislatura, en fecha 12 de octubre de 2022, nos impusimos del contenido de los pendientes legislativos, encontrándose entre ellos la referida propuesta de acuerdo que se dictamina.</w:t>
      </w:r>
    </w:p>
    <w:p w14:paraId="58AA741F" w14:textId="77777777" w:rsidR="00C3760A" w:rsidRPr="00C3760A" w:rsidRDefault="00C3760A" w:rsidP="00FE053F">
      <w:pPr>
        <w:jc w:val="both"/>
        <w:textAlignment w:val="baseline"/>
        <w:rPr>
          <w:rFonts w:ascii="Abadi" w:hAnsi="Abadi"/>
          <w:sz w:val="21"/>
          <w:szCs w:val="21"/>
          <w:lang w:val="es-MX" w:eastAsia="es-MX"/>
        </w:rPr>
      </w:pPr>
    </w:p>
    <w:p w14:paraId="1E35A9FF" w14:textId="77777777" w:rsidR="00C3760A" w:rsidRPr="00C3760A" w:rsidRDefault="00C3760A" w:rsidP="00FE053F">
      <w:pPr>
        <w:jc w:val="both"/>
        <w:textAlignment w:val="baseline"/>
        <w:rPr>
          <w:rFonts w:ascii="Abadi" w:hAnsi="Abadi"/>
          <w:sz w:val="21"/>
          <w:szCs w:val="21"/>
          <w:lang w:val="es-MX" w:eastAsia="es-MX"/>
        </w:rPr>
      </w:pPr>
      <w:r w:rsidRPr="00C3760A">
        <w:rPr>
          <w:rFonts w:ascii="Abadi" w:hAnsi="Abadi"/>
          <w:sz w:val="21"/>
          <w:szCs w:val="21"/>
          <w:lang w:val="es-MX" w:eastAsia="es-MX"/>
        </w:rPr>
        <w:t>Conforme a lo referido en el presente documento, la Presidencia de esta Comisión de Seguridad Pública y Comunicaciones instruyó a la Secretaría Técnica para que elaborara el proyecto de dictamen en sentido negativo, conforme a lo dispuesto en los artículos 94, fracción VII y 272 fracción VIII inciso e) de nuestra Ley Orgánica, para su discusión y votación por la diputada y diputados integrantes.</w:t>
      </w:r>
    </w:p>
    <w:p w14:paraId="0BC76239" w14:textId="77777777" w:rsidR="00C3760A" w:rsidRPr="00C3760A" w:rsidRDefault="00C3760A" w:rsidP="00FE053F">
      <w:pPr>
        <w:spacing w:after="160"/>
        <w:jc w:val="both"/>
        <w:rPr>
          <w:rFonts w:ascii="Abadi" w:eastAsia="Batang" w:hAnsi="Abadi" w:cs="Arial"/>
          <w:b/>
          <w:sz w:val="21"/>
          <w:szCs w:val="21"/>
          <w:lang w:val="es-MX" w:eastAsia="en-US"/>
        </w:rPr>
      </w:pPr>
    </w:p>
    <w:p w14:paraId="7B0FDC3A" w14:textId="77777777" w:rsidR="00C3760A" w:rsidRPr="00C3760A" w:rsidRDefault="00C3760A" w:rsidP="00FE053F">
      <w:pPr>
        <w:numPr>
          <w:ilvl w:val="0"/>
          <w:numId w:val="46"/>
        </w:numPr>
        <w:jc w:val="both"/>
        <w:textAlignment w:val="baseline"/>
        <w:rPr>
          <w:rFonts w:ascii="Abadi" w:hAnsi="Abadi" w:cs="Arial"/>
          <w:b/>
          <w:sz w:val="21"/>
          <w:szCs w:val="21"/>
          <w:lang w:val="es-MX" w:eastAsia="es-MX"/>
        </w:rPr>
      </w:pPr>
      <w:r w:rsidRPr="00C3760A">
        <w:rPr>
          <w:rFonts w:ascii="Abadi" w:hAnsi="Abadi" w:cs="Arial"/>
          <w:b/>
          <w:sz w:val="21"/>
          <w:szCs w:val="21"/>
          <w:lang w:val="es-MX" w:eastAsia="es-MX"/>
        </w:rPr>
        <w:t>Consideraciones de quien propone (en lo medular).</w:t>
      </w:r>
    </w:p>
    <w:p w14:paraId="2A808DC4" w14:textId="77777777" w:rsidR="00C3760A" w:rsidRPr="00C3760A" w:rsidRDefault="00C3760A" w:rsidP="00FE053F">
      <w:pPr>
        <w:autoSpaceDE w:val="0"/>
        <w:autoSpaceDN w:val="0"/>
        <w:adjustRightInd w:val="0"/>
        <w:ind w:left="720"/>
        <w:contextualSpacing/>
        <w:jc w:val="both"/>
        <w:rPr>
          <w:rFonts w:ascii="Abadi" w:eastAsiaTheme="minorHAnsi" w:hAnsi="Abadi" w:cs="ArialNarrow"/>
          <w:color w:val="000000"/>
          <w:sz w:val="21"/>
          <w:szCs w:val="21"/>
          <w:lang w:val="es-MX" w:eastAsia="en-US"/>
        </w:rPr>
      </w:pPr>
    </w:p>
    <w:p w14:paraId="20CB52E0" w14:textId="77777777" w:rsidR="00C3760A" w:rsidRPr="00C3760A" w:rsidRDefault="00C3760A" w:rsidP="00FE053F">
      <w:pPr>
        <w:spacing w:before="100" w:beforeAutospacing="1" w:afterAutospacing="1"/>
        <w:jc w:val="both"/>
        <w:textAlignment w:val="baseline"/>
        <w:rPr>
          <w:rFonts w:ascii="Abadi" w:hAnsi="Abadi" w:cs="Arial"/>
          <w:sz w:val="21"/>
          <w:szCs w:val="21"/>
          <w:lang w:val="es-MX" w:eastAsia="es-MX"/>
        </w:rPr>
      </w:pPr>
      <w:r w:rsidRPr="00C3760A">
        <w:rPr>
          <w:rFonts w:ascii="Abadi" w:hAnsi="Abadi" w:cs="Arial"/>
          <w:sz w:val="21"/>
          <w:szCs w:val="21"/>
          <w:lang w:val="es-MX" w:eastAsia="es-MX"/>
        </w:rPr>
        <w:t>Como es bien sabido, nuestro estado vive una situación de crisis de inseguridad, de la que no es ajeno el Municipio de Guanajuato, por lo que es competencia de los tres niveles de gobierno salvaguardar la vida, las libertades, la integridad y el patrimonio de todas los capitalinos.</w:t>
      </w:r>
    </w:p>
    <w:p w14:paraId="33371778" w14:textId="77777777" w:rsidR="00C3760A" w:rsidRPr="00C3760A" w:rsidRDefault="00C3760A" w:rsidP="00FE053F">
      <w:pPr>
        <w:jc w:val="both"/>
        <w:textAlignment w:val="baseline"/>
        <w:rPr>
          <w:rFonts w:ascii="Abadi" w:hAnsi="Abadi" w:cs="Arial"/>
          <w:sz w:val="21"/>
          <w:szCs w:val="21"/>
          <w:lang w:val="es-MX" w:eastAsia="es-MX"/>
        </w:rPr>
      </w:pPr>
      <w:r w:rsidRPr="00C3760A">
        <w:rPr>
          <w:rFonts w:ascii="Abadi" w:hAnsi="Abadi" w:cs="Arial"/>
          <w:sz w:val="21"/>
          <w:szCs w:val="21"/>
          <w:lang w:val="es-MX" w:eastAsia="es-MX"/>
        </w:rPr>
        <w:t xml:space="preserve">En este sentido, la policía municipal, que depende orgánica y administrativamente de la Presidencia Municipal, tiene como funciones primordiales la de garantizar y mantener la seguridad, el orden público y la vialidad, así como brindar protección a la población y prevenir delitos. </w:t>
      </w:r>
    </w:p>
    <w:p w14:paraId="638C23FE" w14:textId="77777777" w:rsidR="00C3760A" w:rsidRPr="00C3760A" w:rsidRDefault="00C3760A" w:rsidP="00FE053F">
      <w:pPr>
        <w:jc w:val="both"/>
        <w:textAlignment w:val="baseline"/>
        <w:rPr>
          <w:rFonts w:ascii="Abadi" w:hAnsi="Abadi" w:cs="Arial"/>
          <w:sz w:val="21"/>
          <w:szCs w:val="21"/>
          <w:lang w:val="es-MX" w:eastAsia="es-MX"/>
        </w:rPr>
      </w:pPr>
    </w:p>
    <w:p w14:paraId="124DB978" w14:textId="77777777" w:rsidR="00C3760A" w:rsidRPr="00C3760A" w:rsidRDefault="00C3760A" w:rsidP="00FE053F">
      <w:pPr>
        <w:jc w:val="both"/>
        <w:textAlignment w:val="baseline"/>
        <w:rPr>
          <w:rFonts w:ascii="Abadi" w:hAnsi="Abadi" w:cs="Arial"/>
          <w:sz w:val="21"/>
          <w:szCs w:val="21"/>
          <w:lang w:val="es-MX" w:eastAsia="es-MX"/>
        </w:rPr>
      </w:pPr>
      <w:r w:rsidRPr="00C3760A">
        <w:rPr>
          <w:rFonts w:ascii="Abadi" w:hAnsi="Abadi" w:cs="Arial"/>
          <w:sz w:val="21"/>
          <w:szCs w:val="21"/>
          <w:lang w:val="es-MX" w:eastAsia="es-MX"/>
        </w:rPr>
        <w:t>Sin embargo, de acuerdo con un sinfín de denuncias ciudadanas, en el municipio de Guanajuato ha sido una constante que los órganos que conforman la Policía Municipal violen diversos derechos humanos de la población guanajuatense, y se aprovechen de alguna situación para obtener un bono extra de manera ilegal; así de ilógico, la instancia encargada de brindar seguridad a la ciudadanía es la misma que comete los delitos en contra de las y los ciudadanos.</w:t>
      </w:r>
    </w:p>
    <w:p w14:paraId="4AD0DD2D" w14:textId="77777777" w:rsidR="00C3760A" w:rsidRPr="00C3760A" w:rsidRDefault="00C3760A" w:rsidP="00FE053F">
      <w:pPr>
        <w:jc w:val="both"/>
        <w:textAlignment w:val="baseline"/>
        <w:rPr>
          <w:rFonts w:ascii="Abadi" w:hAnsi="Abadi" w:cs="Arial"/>
          <w:sz w:val="21"/>
          <w:szCs w:val="21"/>
          <w:lang w:val="es-MX" w:eastAsia="es-MX"/>
        </w:rPr>
      </w:pPr>
    </w:p>
    <w:p w14:paraId="49C1E41C" w14:textId="77777777" w:rsidR="00C3760A" w:rsidRPr="00C3760A" w:rsidRDefault="00C3760A" w:rsidP="00FE053F">
      <w:pPr>
        <w:jc w:val="both"/>
        <w:textAlignment w:val="baseline"/>
        <w:rPr>
          <w:rFonts w:ascii="Abadi" w:hAnsi="Abadi" w:cs="Arial"/>
          <w:sz w:val="21"/>
          <w:szCs w:val="21"/>
          <w:lang w:val="es-MX" w:eastAsia="es-MX"/>
        </w:rPr>
      </w:pPr>
      <w:r w:rsidRPr="00C3760A">
        <w:rPr>
          <w:rFonts w:ascii="Abadi" w:hAnsi="Abadi" w:cs="Arial"/>
          <w:sz w:val="21"/>
          <w:szCs w:val="21"/>
          <w:lang w:val="es-MX" w:eastAsia="es-MX"/>
        </w:rPr>
        <w:t>Esto no es ningún invento nuestro, pues a nivel estatal el 81.9% de la ciudadanía guanajuatense percibe corrupción en el sector policial, mientras que una reciente investigación periodística mostró que, con 71 quejas presentadas a la Procuraduría de los Derechos Humanos del Estado de Guanajuato, el municipio de Guanajuato ocupa el quinto lugar a nivel estatal en denuncias por violación a derechos humanos por parte de elementos de seguridad municipal.</w:t>
      </w:r>
    </w:p>
    <w:p w14:paraId="2E58DB11" w14:textId="77777777" w:rsidR="00C3760A" w:rsidRPr="00C3760A" w:rsidRDefault="00C3760A" w:rsidP="00FE053F">
      <w:pPr>
        <w:jc w:val="both"/>
        <w:textAlignment w:val="baseline"/>
        <w:rPr>
          <w:rFonts w:ascii="Abadi" w:hAnsi="Abadi" w:cs="Arial"/>
          <w:sz w:val="21"/>
          <w:szCs w:val="21"/>
          <w:lang w:val="es-MX" w:eastAsia="es-MX"/>
        </w:rPr>
      </w:pPr>
    </w:p>
    <w:p w14:paraId="21D8ED4D" w14:textId="77777777" w:rsidR="00C3760A" w:rsidRPr="00C3760A" w:rsidRDefault="00C3760A" w:rsidP="00FE053F">
      <w:pPr>
        <w:jc w:val="both"/>
        <w:textAlignment w:val="baseline"/>
        <w:rPr>
          <w:rFonts w:ascii="Abadi" w:hAnsi="Abadi" w:cs="Arial"/>
          <w:sz w:val="21"/>
          <w:szCs w:val="21"/>
          <w:lang w:val="es-MX" w:eastAsia="es-MX"/>
        </w:rPr>
      </w:pPr>
      <w:r w:rsidRPr="00C3760A">
        <w:rPr>
          <w:rFonts w:ascii="Abadi" w:hAnsi="Abadi" w:cs="Arial"/>
          <w:sz w:val="21"/>
          <w:szCs w:val="21"/>
          <w:lang w:val="es-MX" w:eastAsia="es-MX"/>
        </w:rPr>
        <w:t>Las administraciones municipales de la capital del estado han permitido, tolerado y encubierto, por varios años, las irregularidades en el comportamiento de los agentes de la Policía Municipal. Las violaciones a derechos humanos y las típicas “mordidas” por parte del personal de tránsito y de seguridad ciudadana ya son una normalidad tanto para los capitalinos, como para el turismo y la población flotante de la ciudad.</w:t>
      </w:r>
    </w:p>
    <w:p w14:paraId="1A145973" w14:textId="77777777" w:rsidR="00C3760A" w:rsidRPr="00C3760A" w:rsidRDefault="00C3760A" w:rsidP="00FE053F">
      <w:pPr>
        <w:jc w:val="both"/>
        <w:textAlignment w:val="baseline"/>
        <w:rPr>
          <w:rFonts w:ascii="Abadi" w:hAnsi="Abadi" w:cs="Arial"/>
          <w:sz w:val="21"/>
          <w:szCs w:val="21"/>
          <w:lang w:val="es-MX" w:eastAsia="es-MX"/>
        </w:rPr>
      </w:pPr>
    </w:p>
    <w:p w14:paraId="19B84647" w14:textId="77777777" w:rsidR="00C3760A" w:rsidRPr="00C3760A" w:rsidRDefault="00C3760A" w:rsidP="00FE053F">
      <w:pPr>
        <w:jc w:val="both"/>
        <w:textAlignment w:val="baseline"/>
        <w:rPr>
          <w:rFonts w:ascii="Abadi" w:hAnsi="Abadi" w:cs="Arial"/>
          <w:sz w:val="21"/>
          <w:szCs w:val="21"/>
          <w:lang w:val="es-MX" w:eastAsia="es-MX"/>
        </w:rPr>
      </w:pPr>
      <w:r w:rsidRPr="00C3760A">
        <w:rPr>
          <w:rFonts w:ascii="Abadi" w:hAnsi="Abadi" w:cs="Arial"/>
          <w:sz w:val="21"/>
          <w:szCs w:val="21"/>
          <w:lang w:val="es-MX" w:eastAsia="es-MX"/>
        </w:rPr>
        <w:t>El abuso policial ha llegado a tal grado de que, en algunas comunidades del municipio, las personas víctimas de las famosas “mordidas” se ven obligadas a dar lo que se ganan en un día para evitar una infracción por parte de los agentes de la policía municipal, pues pareciera que éstos se encuentran en cacería de las personas más vulnerables, dejando a varias familias todavía en mayor vulnerabilidad económica de la que ya se encuentran. Lo anterior es lamentable, pues aun sabiendo que algunas comunidades se encuentran muy afectadas por la crisis económica, la policía municipal no duda en abusar de su poder para aprovecharse de sus habitantes.</w:t>
      </w:r>
    </w:p>
    <w:p w14:paraId="4D6CDFCB" w14:textId="77777777" w:rsidR="00C3760A" w:rsidRPr="00C3760A" w:rsidRDefault="00C3760A" w:rsidP="00FE053F">
      <w:pPr>
        <w:spacing w:before="100" w:beforeAutospacing="1" w:afterAutospacing="1"/>
        <w:jc w:val="both"/>
        <w:textAlignment w:val="baseline"/>
        <w:rPr>
          <w:rFonts w:ascii="Abadi" w:hAnsi="Abadi" w:cs="Arial"/>
          <w:sz w:val="21"/>
          <w:szCs w:val="21"/>
          <w:lang w:val="es-MX" w:eastAsia="es-MX"/>
        </w:rPr>
      </w:pPr>
      <w:r w:rsidRPr="00C3760A">
        <w:rPr>
          <w:rFonts w:ascii="Abadi" w:hAnsi="Abadi" w:cs="Arial"/>
          <w:sz w:val="21"/>
          <w:szCs w:val="21"/>
          <w:lang w:val="es-MX" w:eastAsia="es-MX"/>
        </w:rPr>
        <w:t>Desde el Grupo Parlamentario de Morena nos manifestamos en contra de que la administración del municipio de Guanajuato siga permitiendo estos abusos de autoridad, y exigimos que la policía municipal se encargue de hacer su trabajo, pues no brindan orden, seguridad o tranquilidad, sino todo lo contrario. La gente vive con temor cuando regresa a casa después de un día largo de trabajo, pues corren el riesgo de ser estafados por la misma policía municipal.</w:t>
      </w:r>
    </w:p>
    <w:p w14:paraId="64D24BF4" w14:textId="77777777" w:rsidR="00C3760A" w:rsidRPr="00C3760A" w:rsidRDefault="00C3760A" w:rsidP="00FE053F">
      <w:pPr>
        <w:jc w:val="both"/>
        <w:textAlignment w:val="baseline"/>
        <w:rPr>
          <w:rFonts w:ascii="Abadi" w:hAnsi="Abadi" w:cs="Arial"/>
          <w:sz w:val="21"/>
          <w:szCs w:val="21"/>
          <w:lang w:val="es-MX" w:eastAsia="es-MX"/>
        </w:rPr>
      </w:pPr>
      <w:r w:rsidRPr="00C3760A">
        <w:rPr>
          <w:rFonts w:ascii="Abadi" w:hAnsi="Abadi" w:cs="Arial"/>
          <w:sz w:val="21"/>
          <w:szCs w:val="21"/>
          <w:lang w:val="es-MX" w:eastAsia="es-MX"/>
        </w:rPr>
        <w:t>Pareciera que los famosos operativos del Presidente Municipal, Alejandro Navarro, son simplemente un circo, pues la realidad es muy diferente, las y los guanajuatenses en lugar de sentirse seguros con la presencia de la policía, temen quedarse con los bolsillos vacíos o temen ser agredidos verbal o físicamente.</w:t>
      </w:r>
    </w:p>
    <w:p w14:paraId="72B8CE57" w14:textId="77777777" w:rsidR="00C3760A" w:rsidRPr="00C3760A" w:rsidRDefault="00C3760A" w:rsidP="00FE053F">
      <w:pPr>
        <w:jc w:val="both"/>
        <w:textAlignment w:val="baseline"/>
        <w:rPr>
          <w:rFonts w:ascii="Abadi" w:hAnsi="Abadi" w:cs="Arial"/>
          <w:b/>
          <w:strike/>
          <w:sz w:val="21"/>
          <w:szCs w:val="21"/>
          <w:lang w:val="es-MX" w:eastAsia="es-MX"/>
        </w:rPr>
      </w:pPr>
    </w:p>
    <w:p w14:paraId="36D0E5BA" w14:textId="77777777" w:rsidR="00C3760A" w:rsidRPr="00C3760A" w:rsidRDefault="00C3760A" w:rsidP="00FE053F">
      <w:pPr>
        <w:widowControl w:val="0"/>
        <w:autoSpaceDE w:val="0"/>
        <w:autoSpaceDN w:val="0"/>
        <w:ind w:right="113"/>
        <w:jc w:val="both"/>
        <w:rPr>
          <w:rFonts w:ascii="Abadi" w:eastAsia="Arial" w:hAnsi="Abadi" w:cs="Arial"/>
          <w:b/>
          <w:sz w:val="21"/>
          <w:szCs w:val="21"/>
          <w:lang w:val="es-MX" w:eastAsia="en-US"/>
        </w:rPr>
      </w:pPr>
    </w:p>
    <w:p w14:paraId="0709EFCF" w14:textId="77777777" w:rsidR="00C3760A" w:rsidRPr="00C3760A" w:rsidRDefault="00C3760A" w:rsidP="00FE053F">
      <w:pPr>
        <w:widowControl w:val="0"/>
        <w:autoSpaceDE w:val="0"/>
        <w:autoSpaceDN w:val="0"/>
        <w:ind w:right="113"/>
        <w:jc w:val="both"/>
        <w:rPr>
          <w:rFonts w:ascii="Abadi" w:hAnsi="Abadi" w:cs="Arial"/>
          <w:sz w:val="21"/>
          <w:szCs w:val="21"/>
          <w:lang w:val="es-MX" w:eastAsia="es-MX"/>
        </w:rPr>
      </w:pPr>
      <w:r w:rsidRPr="00C3760A">
        <w:rPr>
          <w:rFonts w:ascii="Abadi" w:eastAsia="Arial" w:hAnsi="Abadi" w:cs="Arial"/>
          <w:b/>
          <w:sz w:val="21"/>
          <w:szCs w:val="21"/>
          <w:lang w:val="es-MX" w:eastAsia="en-US"/>
        </w:rPr>
        <w:t xml:space="preserve">III. </w:t>
      </w:r>
      <w:r w:rsidRPr="00C3760A">
        <w:rPr>
          <w:rFonts w:ascii="Abadi" w:eastAsia="Arial" w:hAnsi="Abadi" w:cs="Arial"/>
          <w:b/>
          <w:sz w:val="21"/>
          <w:szCs w:val="21"/>
          <w:lang w:val="es-MX" w:eastAsia="en-US"/>
        </w:rPr>
        <w:tab/>
        <w:t>Consideraciones de quienes integran la comisión</w:t>
      </w:r>
      <w:r w:rsidRPr="00C3760A">
        <w:rPr>
          <w:rFonts w:ascii="Abadi" w:hAnsi="Abadi" w:cs="Arial"/>
          <w:sz w:val="21"/>
          <w:szCs w:val="21"/>
          <w:lang w:val="es-MX" w:eastAsia="es-MX"/>
        </w:rPr>
        <w:t xml:space="preserve">. </w:t>
      </w:r>
    </w:p>
    <w:p w14:paraId="23418682" w14:textId="77777777" w:rsidR="00C3760A" w:rsidRPr="00C3760A" w:rsidRDefault="00C3760A" w:rsidP="00FE053F">
      <w:pPr>
        <w:widowControl w:val="0"/>
        <w:autoSpaceDE w:val="0"/>
        <w:autoSpaceDN w:val="0"/>
        <w:ind w:right="113"/>
        <w:jc w:val="both"/>
        <w:rPr>
          <w:rFonts w:ascii="Abadi" w:eastAsia="Arial" w:hAnsi="Abadi" w:cs="Arial"/>
          <w:b/>
          <w:sz w:val="21"/>
          <w:szCs w:val="21"/>
          <w:lang w:val="es-MX" w:eastAsia="en-US"/>
        </w:rPr>
      </w:pPr>
    </w:p>
    <w:p w14:paraId="23D1E672" w14:textId="77777777" w:rsidR="00C3760A" w:rsidRPr="00C3760A" w:rsidRDefault="00C3760A" w:rsidP="00FE053F">
      <w:pPr>
        <w:widowControl w:val="0"/>
        <w:autoSpaceDE w:val="0"/>
        <w:autoSpaceDN w:val="0"/>
        <w:ind w:right="113"/>
        <w:jc w:val="both"/>
        <w:rPr>
          <w:rFonts w:ascii="Abadi" w:eastAsia="Arial" w:hAnsi="Abadi" w:cs="Arial"/>
          <w:bCs/>
          <w:sz w:val="21"/>
          <w:szCs w:val="21"/>
          <w:lang w:val="es-MX" w:eastAsia="en-US"/>
        </w:rPr>
      </w:pPr>
      <w:r w:rsidRPr="00C3760A">
        <w:rPr>
          <w:rFonts w:ascii="Abadi" w:eastAsia="Arial" w:hAnsi="Abadi" w:cs="Arial"/>
          <w:bCs/>
          <w:sz w:val="21"/>
          <w:szCs w:val="21"/>
          <w:lang w:val="es-MX" w:eastAsia="en-US"/>
        </w:rPr>
        <w:t xml:space="preserve"> La Junta de Gobierno y Coordinación Política es el órgano de gobierno encargado de la dirección de los asuntos relativos al régimen Interno del Poder Legislativo con el fin de optimizar sus funciones legislativas, políticas y administrativas, conforme a lo dispuesto en su ley orgánica.</w:t>
      </w:r>
    </w:p>
    <w:p w14:paraId="46826640" w14:textId="77777777" w:rsidR="00C3760A" w:rsidRPr="00C3760A" w:rsidRDefault="00C3760A" w:rsidP="00FE053F">
      <w:pPr>
        <w:widowControl w:val="0"/>
        <w:autoSpaceDE w:val="0"/>
        <w:autoSpaceDN w:val="0"/>
        <w:ind w:right="113"/>
        <w:jc w:val="both"/>
        <w:rPr>
          <w:rFonts w:ascii="Abadi" w:eastAsia="Arial" w:hAnsi="Abadi" w:cs="Arial"/>
          <w:bCs/>
          <w:sz w:val="21"/>
          <w:szCs w:val="21"/>
          <w:lang w:val="es-MX" w:eastAsia="en-US"/>
        </w:rPr>
      </w:pPr>
    </w:p>
    <w:p w14:paraId="13997FFE" w14:textId="77777777" w:rsidR="00C3760A" w:rsidRPr="00C3760A" w:rsidRDefault="00C3760A" w:rsidP="00FE053F">
      <w:pPr>
        <w:widowControl w:val="0"/>
        <w:autoSpaceDE w:val="0"/>
        <w:autoSpaceDN w:val="0"/>
        <w:ind w:right="113"/>
        <w:jc w:val="both"/>
        <w:rPr>
          <w:rFonts w:ascii="Abadi" w:eastAsia="Arial" w:hAnsi="Abadi" w:cs="Arial"/>
          <w:bCs/>
          <w:sz w:val="21"/>
          <w:szCs w:val="21"/>
          <w:lang w:val="es-MX" w:eastAsia="en-US"/>
        </w:rPr>
      </w:pPr>
      <w:r w:rsidRPr="00C3760A">
        <w:rPr>
          <w:rFonts w:ascii="Abadi" w:eastAsia="Arial" w:hAnsi="Abadi" w:cs="Arial"/>
          <w:bCs/>
          <w:sz w:val="21"/>
          <w:szCs w:val="21"/>
          <w:lang w:val="es-MX" w:eastAsia="en-US"/>
        </w:rPr>
        <w:t xml:space="preserve">Dicho órgano de gobierno expresa la pluralidad del Congreso del Estado y funciona como enlace entre los grupos y representaciones parlamentarias legalmente constituidos en el seno de la Legislatura y, en su caso, diputados independientes, con objeto de impulsar entendimientos y convergencias políticas con las instancias y órganos que resulten necesarios, a fin de alcanzar acuerdos que permitan al Congreso del Estado, a la diputación permanente y a las comisiones legislativas, adoptar las decisiones que constitucional y legalmente les corresponden, siendo una de sus principales atribuciones establecer la agenda legislativa común. </w:t>
      </w:r>
    </w:p>
    <w:p w14:paraId="02CFE57B" w14:textId="77777777" w:rsidR="00C3760A" w:rsidRPr="00C3760A" w:rsidRDefault="00C3760A" w:rsidP="00FE053F">
      <w:pPr>
        <w:widowControl w:val="0"/>
        <w:autoSpaceDE w:val="0"/>
        <w:autoSpaceDN w:val="0"/>
        <w:ind w:right="113"/>
        <w:jc w:val="both"/>
        <w:rPr>
          <w:rFonts w:ascii="Abadi" w:eastAsia="Arial" w:hAnsi="Abadi" w:cs="Arial"/>
          <w:bCs/>
          <w:sz w:val="21"/>
          <w:szCs w:val="21"/>
          <w:lang w:val="es-MX" w:eastAsia="en-US"/>
        </w:rPr>
      </w:pPr>
    </w:p>
    <w:p w14:paraId="7CA3479E" w14:textId="77777777" w:rsidR="00C3760A" w:rsidRPr="00C3760A" w:rsidRDefault="00C3760A" w:rsidP="00FE053F">
      <w:pPr>
        <w:widowControl w:val="0"/>
        <w:autoSpaceDE w:val="0"/>
        <w:autoSpaceDN w:val="0"/>
        <w:ind w:right="113"/>
        <w:jc w:val="both"/>
        <w:rPr>
          <w:rFonts w:ascii="Abadi" w:eastAsia="Arial" w:hAnsi="Abadi" w:cs="Arial"/>
          <w:bCs/>
          <w:sz w:val="21"/>
          <w:szCs w:val="21"/>
          <w:lang w:val="es-MX" w:eastAsia="en-US"/>
        </w:rPr>
      </w:pPr>
      <w:r w:rsidRPr="00C3760A">
        <w:rPr>
          <w:rFonts w:ascii="Abadi" w:eastAsia="Arial" w:hAnsi="Abadi" w:cs="Arial"/>
          <w:bCs/>
          <w:sz w:val="21"/>
          <w:szCs w:val="21"/>
          <w:lang w:val="es-MX" w:eastAsia="en-US"/>
        </w:rPr>
        <w:t xml:space="preserve">Conforme lo anterior, en reunión de fecha 16 de marzo de 2022, la Junta de Gobierno y Coordinación Política, a efecto de lograr una mayor eficiencia legislativa y agilizar los pendientes dónde se incluyen los trabajos presentados en legislaturas anteriores o que jurídicamente no son viables atendiendo a diversas reformas que reservan competencias legislativas al congreso de la unión, se aprobó una metodología propuesta por la secretaría general. </w:t>
      </w:r>
    </w:p>
    <w:p w14:paraId="1EFF717D" w14:textId="77777777" w:rsidR="00C3760A" w:rsidRPr="00C3760A" w:rsidRDefault="00C3760A" w:rsidP="00FE053F">
      <w:pPr>
        <w:widowControl w:val="0"/>
        <w:autoSpaceDE w:val="0"/>
        <w:autoSpaceDN w:val="0"/>
        <w:ind w:right="113"/>
        <w:jc w:val="both"/>
        <w:rPr>
          <w:rFonts w:ascii="Abadi" w:eastAsia="Arial" w:hAnsi="Abadi" w:cs="Arial"/>
          <w:bCs/>
          <w:sz w:val="21"/>
          <w:szCs w:val="21"/>
          <w:lang w:val="es-MX" w:eastAsia="en-US"/>
        </w:rPr>
      </w:pPr>
    </w:p>
    <w:p w14:paraId="48B180FB" w14:textId="77777777" w:rsidR="00C3760A" w:rsidRPr="00C3760A" w:rsidRDefault="00C3760A" w:rsidP="00FE053F">
      <w:pPr>
        <w:widowControl w:val="0"/>
        <w:autoSpaceDE w:val="0"/>
        <w:autoSpaceDN w:val="0"/>
        <w:ind w:right="113"/>
        <w:jc w:val="both"/>
        <w:rPr>
          <w:rFonts w:ascii="Abadi" w:eastAsia="Arial" w:hAnsi="Abadi" w:cs="Arial"/>
          <w:bCs/>
          <w:sz w:val="21"/>
          <w:szCs w:val="21"/>
          <w:lang w:val="es-MX" w:eastAsia="en-US"/>
        </w:rPr>
      </w:pPr>
      <w:r w:rsidRPr="00C3760A">
        <w:rPr>
          <w:rFonts w:ascii="Abadi" w:eastAsia="Arial" w:hAnsi="Abadi" w:cs="Arial"/>
          <w:bCs/>
          <w:sz w:val="21"/>
          <w:szCs w:val="21"/>
          <w:lang w:val="es-MX" w:eastAsia="en-US"/>
        </w:rPr>
        <w:t xml:space="preserve">En términos de dicha propuesta correspondería a las secretarías técnicas de cada comisión: </w:t>
      </w:r>
    </w:p>
    <w:p w14:paraId="5CADFC57" w14:textId="77777777" w:rsidR="00C3760A" w:rsidRPr="00C3760A" w:rsidRDefault="00C3760A" w:rsidP="00FE053F">
      <w:pPr>
        <w:widowControl w:val="0"/>
        <w:autoSpaceDE w:val="0"/>
        <w:autoSpaceDN w:val="0"/>
        <w:ind w:right="113"/>
        <w:jc w:val="both"/>
        <w:rPr>
          <w:rFonts w:ascii="Abadi" w:eastAsia="Arial" w:hAnsi="Abadi" w:cs="Arial"/>
          <w:bCs/>
          <w:sz w:val="21"/>
          <w:szCs w:val="21"/>
          <w:lang w:val="es-MX" w:eastAsia="en-US"/>
        </w:rPr>
      </w:pPr>
      <w:r w:rsidRPr="00C3760A">
        <w:rPr>
          <w:rFonts w:ascii="Abadi" w:eastAsia="Arial" w:hAnsi="Abadi" w:cs="Arial"/>
          <w:bCs/>
          <w:sz w:val="21"/>
          <w:szCs w:val="21"/>
          <w:lang w:val="es-MX" w:eastAsia="en-US"/>
        </w:rPr>
        <w:t>•</w:t>
      </w:r>
      <w:r w:rsidRPr="00C3760A">
        <w:rPr>
          <w:rFonts w:ascii="Abadi" w:eastAsia="Arial" w:hAnsi="Abadi" w:cs="Arial"/>
          <w:bCs/>
          <w:sz w:val="21"/>
          <w:szCs w:val="21"/>
          <w:lang w:val="es-MX" w:eastAsia="en-US"/>
        </w:rPr>
        <w:tab/>
        <w:t>Hacer un concentrado de los pendientes legislativos por cada comisión;</w:t>
      </w:r>
    </w:p>
    <w:p w14:paraId="19B689AC" w14:textId="77777777" w:rsidR="00C3760A" w:rsidRPr="00C3760A" w:rsidRDefault="00C3760A" w:rsidP="00FE053F">
      <w:pPr>
        <w:widowControl w:val="0"/>
        <w:autoSpaceDE w:val="0"/>
        <w:autoSpaceDN w:val="0"/>
        <w:ind w:right="113"/>
        <w:jc w:val="both"/>
        <w:rPr>
          <w:rFonts w:ascii="Abadi" w:eastAsia="Arial" w:hAnsi="Abadi" w:cs="Arial"/>
          <w:bCs/>
          <w:sz w:val="21"/>
          <w:szCs w:val="21"/>
          <w:lang w:val="es-MX" w:eastAsia="en-US"/>
        </w:rPr>
      </w:pPr>
      <w:r w:rsidRPr="00C3760A">
        <w:rPr>
          <w:rFonts w:ascii="Abadi" w:eastAsia="Arial" w:hAnsi="Abadi" w:cs="Arial"/>
          <w:bCs/>
          <w:sz w:val="21"/>
          <w:szCs w:val="21"/>
          <w:lang w:val="es-MX" w:eastAsia="en-US"/>
        </w:rPr>
        <w:t>•</w:t>
      </w:r>
      <w:r w:rsidRPr="00C3760A">
        <w:rPr>
          <w:rFonts w:ascii="Abadi" w:eastAsia="Arial" w:hAnsi="Abadi" w:cs="Arial"/>
          <w:bCs/>
          <w:sz w:val="21"/>
          <w:szCs w:val="21"/>
          <w:lang w:val="es-MX" w:eastAsia="en-US"/>
        </w:rPr>
        <w:tab/>
        <w:t>Realizar un análisis técnico jurídico de cada uno de los pendientes legislativos y modificaciones, en su caso, de las metodologías;</w:t>
      </w:r>
    </w:p>
    <w:p w14:paraId="0ACC4CD3" w14:textId="77777777" w:rsidR="00C3760A" w:rsidRPr="00C3760A" w:rsidRDefault="00C3760A" w:rsidP="00FE053F">
      <w:pPr>
        <w:widowControl w:val="0"/>
        <w:autoSpaceDE w:val="0"/>
        <w:autoSpaceDN w:val="0"/>
        <w:ind w:right="113"/>
        <w:jc w:val="both"/>
        <w:rPr>
          <w:rFonts w:ascii="Abadi" w:eastAsia="Arial" w:hAnsi="Abadi" w:cs="Arial"/>
          <w:bCs/>
          <w:sz w:val="21"/>
          <w:szCs w:val="21"/>
          <w:lang w:val="es-MX" w:eastAsia="en-US"/>
        </w:rPr>
      </w:pPr>
      <w:r w:rsidRPr="00C3760A">
        <w:rPr>
          <w:rFonts w:ascii="Abadi" w:eastAsia="Arial" w:hAnsi="Abadi" w:cs="Arial"/>
          <w:bCs/>
          <w:sz w:val="21"/>
          <w:szCs w:val="21"/>
          <w:lang w:val="es-MX" w:eastAsia="en-US"/>
        </w:rPr>
        <w:t>•</w:t>
      </w:r>
      <w:r w:rsidRPr="00C3760A">
        <w:rPr>
          <w:rFonts w:ascii="Abadi" w:eastAsia="Arial" w:hAnsi="Abadi" w:cs="Arial"/>
          <w:bCs/>
          <w:sz w:val="21"/>
          <w:szCs w:val="21"/>
          <w:lang w:val="es-MX" w:eastAsia="en-US"/>
        </w:rPr>
        <w:tab/>
        <w:t>Identificación de los pendientes legislativos que jurídicamente sean inviables y procedan en consecuencia a su dictaminación en sentido negativo, así como aquellas iniciativas o proposiciones de acuerdos que se presentaron en la LXII legislatura, y en su caso anteriores a esta, y que no fueron dictaminados en la inmediata anterior, las cuales serán también objeto de archivo definitivo;</w:t>
      </w:r>
    </w:p>
    <w:p w14:paraId="5AABFD1D" w14:textId="77777777" w:rsidR="00C3760A" w:rsidRPr="00C3760A" w:rsidRDefault="00C3760A" w:rsidP="00FE053F">
      <w:pPr>
        <w:widowControl w:val="0"/>
        <w:autoSpaceDE w:val="0"/>
        <w:autoSpaceDN w:val="0"/>
        <w:ind w:right="113"/>
        <w:jc w:val="both"/>
        <w:rPr>
          <w:rFonts w:ascii="Abadi" w:eastAsia="Arial" w:hAnsi="Abadi" w:cs="Arial"/>
          <w:bCs/>
          <w:sz w:val="21"/>
          <w:szCs w:val="21"/>
          <w:lang w:val="es-MX" w:eastAsia="en-US"/>
        </w:rPr>
      </w:pPr>
      <w:r w:rsidRPr="00C3760A">
        <w:rPr>
          <w:rFonts w:ascii="Abadi" w:eastAsia="Arial" w:hAnsi="Abadi" w:cs="Arial"/>
          <w:bCs/>
          <w:sz w:val="21"/>
          <w:szCs w:val="21"/>
          <w:lang w:val="es-MX" w:eastAsia="en-US"/>
        </w:rPr>
        <w:t>•</w:t>
      </w:r>
      <w:r w:rsidRPr="00C3760A">
        <w:rPr>
          <w:rFonts w:ascii="Abadi" w:eastAsia="Arial" w:hAnsi="Abadi" w:cs="Arial"/>
          <w:bCs/>
          <w:sz w:val="21"/>
          <w:szCs w:val="21"/>
          <w:lang w:val="es-MX" w:eastAsia="en-US"/>
        </w:rPr>
        <w:tab/>
        <w:t>En su caso, mesa de trabajo de la comisión para dar cuenta con el listado de los pendientes legislativos para su revisión y sentar bases de proyectos de dictamen;</w:t>
      </w:r>
    </w:p>
    <w:p w14:paraId="131A1FCC" w14:textId="77777777" w:rsidR="00C3760A" w:rsidRPr="00C3760A" w:rsidRDefault="00C3760A" w:rsidP="00FE053F">
      <w:pPr>
        <w:widowControl w:val="0"/>
        <w:autoSpaceDE w:val="0"/>
        <w:autoSpaceDN w:val="0"/>
        <w:ind w:right="113"/>
        <w:jc w:val="both"/>
        <w:rPr>
          <w:rFonts w:ascii="Abadi" w:eastAsia="Arial" w:hAnsi="Abadi" w:cs="Arial"/>
          <w:bCs/>
          <w:sz w:val="21"/>
          <w:szCs w:val="21"/>
          <w:lang w:val="es-MX" w:eastAsia="en-US"/>
        </w:rPr>
      </w:pPr>
      <w:r w:rsidRPr="00C3760A">
        <w:rPr>
          <w:rFonts w:ascii="Abadi" w:eastAsia="Arial" w:hAnsi="Abadi" w:cs="Arial"/>
          <w:bCs/>
          <w:sz w:val="21"/>
          <w:szCs w:val="21"/>
          <w:lang w:val="es-MX" w:eastAsia="en-US"/>
        </w:rPr>
        <w:t>•</w:t>
      </w:r>
      <w:r w:rsidRPr="00C3760A">
        <w:rPr>
          <w:rFonts w:ascii="Abadi" w:eastAsia="Arial" w:hAnsi="Abadi" w:cs="Arial"/>
          <w:bCs/>
          <w:sz w:val="21"/>
          <w:szCs w:val="21"/>
          <w:lang w:val="es-MX" w:eastAsia="en-US"/>
        </w:rPr>
        <w:tab/>
        <w:t xml:space="preserve">Convocar a sesión de comisión para aprobar dictámenes de archivo y remisión al pleno para su aprobación. </w:t>
      </w:r>
    </w:p>
    <w:p w14:paraId="6C429BEA" w14:textId="77777777" w:rsidR="00C3760A" w:rsidRPr="00C3760A" w:rsidRDefault="00C3760A" w:rsidP="00FE053F">
      <w:pPr>
        <w:widowControl w:val="0"/>
        <w:autoSpaceDE w:val="0"/>
        <w:autoSpaceDN w:val="0"/>
        <w:ind w:right="113"/>
        <w:jc w:val="both"/>
        <w:rPr>
          <w:rFonts w:ascii="Abadi" w:eastAsia="Arial" w:hAnsi="Abadi" w:cs="Arial"/>
          <w:bCs/>
          <w:sz w:val="21"/>
          <w:szCs w:val="21"/>
          <w:lang w:val="es-MX" w:eastAsia="en-US"/>
        </w:rPr>
      </w:pPr>
    </w:p>
    <w:p w14:paraId="526452CC" w14:textId="77777777" w:rsidR="00C3760A" w:rsidRPr="00C3760A" w:rsidRDefault="00C3760A" w:rsidP="00FE053F">
      <w:pPr>
        <w:widowControl w:val="0"/>
        <w:autoSpaceDE w:val="0"/>
        <w:autoSpaceDN w:val="0"/>
        <w:ind w:right="113"/>
        <w:jc w:val="both"/>
        <w:rPr>
          <w:rFonts w:ascii="Abadi" w:eastAsia="Arial" w:hAnsi="Abadi" w:cs="Arial"/>
          <w:bCs/>
          <w:sz w:val="21"/>
          <w:szCs w:val="21"/>
          <w:lang w:val="es-MX" w:eastAsia="en-US"/>
        </w:rPr>
      </w:pPr>
      <w:r w:rsidRPr="00C3760A">
        <w:rPr>
          <w:rFonts w:ascii="Abadi" w:eastAsia="Arial" w:hAnsi="Abadi" w:cs="Arial"/>
          <w:bCs/>
          <w:sz w:val="21"/>
          <w:szCs w:val="21"/>
          <w:lang w:val="es-MX" w:eastAsia="en-US"/>
        </w:rPr>
        <w:t xml:space="preserve">Paralelo a lo anterior se determinó que los grupos parlamentarios harían revisión de iniciativas y puntos de acuerdo que fueron presentados en las legislaturas anteriores y con ello identificar así como analizar individualmente cuales ya no tienen materia, fueron solventadas conforme a lo propuesto o que por el trascurso del tiempo resulta improcedente pronunciarse positivamente al respecto tomando en consideración se carezca de vigencia conforme a los hechos respecto a los cuales se sustentó cada uno de los temas. </w:t>
      </w:r>
    </w:p>
    <w:p w14:paraId="6DC94070" w14:textId="77777777" w:rsidR="00C3760A" w:rsidRPr="00C3760A" w:rsidRDefault="00C3760A" w:rsidP="00FE053F">
      <w:pPr>
        <w:widowControl w:val="0"/>
        <w:autoSpaceDE w:val="0"/>
        <w:autoSpaceDN w:val="0"/>
        <w:ind w:right="113"/>
        <w:jc w:val="both"/>
        <w:rPr>
          <w:rFonts w:ascii="Abadi" w:eastAsia="Arial" w:hAnsi="Abadi" w:cs="Arial"/>
          <w:bCs/>
          <w:sz w:val="21"/>
          <w:szCs w:val="21"/>
          <w:lang w:val="es-MX" w:eastAsia="en-US"/>
        </w:rPr>
      </w:pPr>
    </w:p>
    <w:p w14:paraId="5CB9EAD8" w14:textId="77777777" w:rsidR="00C3760A" w:rsidRPr="00C3760A" w:rsidRDefault="00C3760A" w:rsidP="00FE053F">
      <w:pPr>
        <w:widowControl w:val="0"/>
        <w:autoSpaceDE w:val="0"/>
        <w:autoSpaceDN w:val="0"/>
        <w:ind w:right="113"/>
        <w:jc w:val="both"/>
        <w:rPr>
          <w:rFonts w:ascii="Abadi" w:eastAsia="Arial" w:hAnsi="Abadi" w:cs="Arial"/>
          <w:bCs/>
          <w:sz w:val="21"/>
          <w:szCs w:val="21"/>
          <w:lang w:val="es-MX" w:eastAsia="en-US"/>
        </w:rPr>
      </w:pPr>
      <w:r w:rsidRPr="00C3760A">
        <w:rPr>
          <w:rFonts w:ascii="Abadi" w:eastAsia="Arial" w:hAnsi="Abadi" w:cs="Arial"/>
          <w:bCs/>
          <w:sz w:val="21"/>
          <w:szCs w:val="21"/>
          <w:lang w:val="es-MX" w:eastAsia="en-US"/>
        </w:rPr>
        <w:t>Agotadas las revisiones y análisis a las que se han hecho referencia en párrafos anteriores, esta comisión determinó clasificar y otorgar el tratamiento a la propuesta objeto del presente dictamen como de aquellos pronunciamientos sobre asuntos políticos, culturales, económicos o sociales que si bien se denota la afectación a una comunidad o grupo particular, y que por consecuencia es necesario se aborde como un tema de interés público para que el congreso del estado asuma una postura institucional al respecto, también debe precisarse que al día de hoy ya no se consideraría pertinente y oportuna la adopción del mismo.</w:t>
      </w:r>
    </w:p>
    <w:p w14:paraId="63733882" w14:textId="77777777" w:rsidR="00C3760A" w:rsidRPr="00C3760A" w:rsidRDefault="00C3760A" w:rsidP="00FE053F">
      <w:pPr>
        <w:widowControl w:val="0"/>
        <w:autoSpaceDE w:val="0"/>
        <w:autoSpaceDN w:val="0"/>
        <w:ind w:right="113"/>
        <w:jc w:val="both"/>
        <w:rPr>
          <w:rFonts w:ascii="Abadi" w:eastAsia="Arial" w:hAnsi="Abadi" w:cs="Arial"/>
          <w:bCs/>
          <w:sz w:val="21"/>
          <w:szCs w:val="21"/>
          <w:lang w:val="es-MX" w:eastAsia="en-US"/>
        </w:rPr>
      </w:pPr>
    </w:p>
    <w:p w14:paraId="564BBD79" w14:textId="77777777" w:rsidR="00C3760A" w:rsidRPr="00C3760A" w:rsidRDefault="00C3760A" w:rsidP="00FE053F">
      <w:pPr>
        <w:widowControl w:val="0"/>
        <w:autoSpaceDE w:val="0"/>
        <w:autoSpaceDN w:val="0"/>
        <w:ind w:right="113"/>
        <w:jc w:val="both"/>
        <w:rPr>
          <w:rFonts w:ascii="Abadi" w:eastAsia="Arial" w:hAnsi="Abadi" w:cs="Arial"/>
          <w:bCs/>
          <w:sz w:val="21"/>
          <w:szCs w:val="21"/>
          <w:lang w:val="es-MX" w:eastAsia="en-US"/>
        </w:rPr>
      </w:pPr>
      <w:r w:rsidRPr="00C3760A">
        <w:rPr>
          <w:rFonts w:ascii="Abadi" w:eastAsia="Arial" w:hAnsi="Abadi" w:cs="Arial"/>
          <w:bCs/>
          <w:sz w:val="21"/>
          <w:szCs w:val="21"/>
          <w:lang w:val="es-MX" w:eastAsia="en-US"/>
        </w:rPr>
        <w:t xml:space="preserve">Por lo anterior, y no obstante que se subraya que en la propuesta existe un contenido vasto y justificado que denotan la trascendencia para su estudio, se ha determinado no es procedente entrar al fondo de este por carecer de oportunidad ante la extemporaneidad de atención en relación con las circunstancias de tiempo, modo y lugar a las que se hace referencia en la misma. </w:t>
      </w:r>
    </w:p>
    <w:p w14:paraId="32B0BA87" w14:textId="77777777" w:rsidR="00C3760A" w:rsidRPr="00C3760A" w:rsidRDefault="00C3760A" w:rsidP="00FE053F">
      <w:pPr>
        <w:widowControl w:val="0"/>
        <w:autoSpaceDE w:val="0"/>
        <w:autoSpaceDN w:val="0"/>
        <w:ind w:right="113"/>
        <w:jc w:val="both"/>
        <w:rPr>
          <w:rFonts w:ascii="Abadi" w:eastAsia="Arial" w:hAnsi="Abadi" w:cs="Arial"/>
          <w:bCs/>
          <w:sz w:val="21"/>
          <w:szCs w:val="21"/>
          <w:lang w:val="es-MX" w:eastAsia="en-US"/>
        </w:rPr>
      </w:pPr>
    </w:p>
    <w:p w14:paraId="40F09247" w14:textId="77777777" w:rsidR="00C3760A" w:rsidRPr="00C3760A" w:rsidRDefault="00C3760A" w:rsidP="00FE053F">
      <w:pPr>
        <w:widowControl w:val="0"/>
        <w:autoSpaceDE w:val="0"/>
        <w:autoSpaceDN w:val="0"/>
        <w:ind w:right="113"/>
        <w:jc w:val="both"/>
        <w:rPr>
          <w:rFonts w:ascii="Abadi" w:eastAsia="Arial" w:hAnsi="Abadi" w:cs="Arial"/>
          <w:bCs/>
          <w:sz w:val="21"/>
          <w:szCs w:val="21"/>
          <w:lang w:val="es-MX" w:eastAsia="en-US"/>
        </w:rPr>
      </w:pPr>
      <w:r w:rsidRPr="00C3760A">
        <w:rPr>
          <w:rFonts w:ascii="Abadi" w:eastAsia="Arial" w:hAnsi="Abadi" w:cs="Arial"/>
          <w:bCs/>
          <w:sz w:val="21"/>
          <w:szCs w:val="21"/>
          <w:lang w:val="es-MX" w:eastAsia="en-US"/>
        </w:rPr>
        <w:t>Por lo expuesto y con fundamento en el artículo 204 de la Ley Orgánica del Poder Ejecutivo del Estado, sometemos a consideración de esta Asamblea, la aprobación del siguiente:</w:t>
      </w:r>
    </w:p>
    <w:p w14:paraId="68288156" w14:textId="77777777" w:rsidR="00C3760A" w:rsidRPr="00C3760A" w:rsidRDefault="00C3760A" w:rsidP="00FE053F">
      <w:pPr>
        <w:widowControl w:val="0"/>
        <w:autoSpaceDE w:val="0"/>
        <w:autoSpaceDN w:val="0"/>
        <w:ind w:right="113"/>
        <w:jc w:val="both"/>
        <w:rPr>
          <w:rFonts w:ascii="Abadi" w:eastAsia="Arial" w:hAnsi="Abadi" w:cs="Arial"/>
          <w:sz w:val="21"/>
          <w:szCs w:val="21"/>
          <w:lang w:val="en-US" w:eastAsia="en-US"/>
        </w:rPr>
      </w:pPr>
    </w:p>
    <w:p w14:paraId="368CE641" w14:textId="6DC8F39D" w:rsidR="00C3760A" w:rsidRPr="00C3760A" w:rsidRDefault="00C3760A" w:rsidP="00FE053F">
      <w:pPr>
        <w:spacing w:after="160"/>
        <w:jc w:val="center"/>
        <w:rPr>
          <w:rFonts w:ascii="Abadi" w:eastAsiaTheme="minorHAnsi" w:hAnsi="Abadi" w:cs="Arial"/>
          <w:b/>
          <w:sz w:val="21"/>
          <w:szCs w:val="21"/>
          <w:lang w:val="es-MX" w:eastAsia="en-US"/>
        </w:rPr>
      </w:pPr>
      <w:r w:rsidRPr="00C3760A">
        <w:rPr>
          <w:rFonts w:ascii="Abadi" w:eastAsiaTheme="minorHAnsi" w:hAnsi="Abadi" w:cs="Arial"/>
          <w:b/>
          <w:sz w:val="21"/>
          <w:szCs w:val="21"/>
          <w:lang w:val="es-MX" w:eastAsia="en-US"/>
        </w:rPr>
        <w:t>A c u e r d o</w:t>
      </w:r>
    </w:p>
    <w:p w14:paraId="566A20CE" w14:textId="77777777" w:rsidR="00C3760A" w:rsidRPr="00C3760A" w:rsidRDefault="00C3760A" w:rsidP="00FE053F">
      <w:pPr>
        <w:jc w:val="both"/>
        <w:textAlignment w:val="baseline"/>
        <w:rPr>
          <w:rFonts w:ascii="Abadi" w:hAnsi="Abadi" w:cs="Arial"/>
          <w:sz w:val="21"/>
          <w:szCs w:val="21"/>
          <w:lang w:val="es-MX" w:eastAsia="es-MX"/>
        </w:rPr>
      </w:pPr>
      <w:r w:rsidRPr="00C3760A">
        <w:rPr>
          <w:rFonts w:ascii="Abadi" w:hAnsi="Abadi" w:cs="Arial"/>
          <w:b/>
          <w:sz w:val="21"/>
          <w:szCs w:val="21"/>
          <w:lang w:val="es-MX" w:eastAsia="es-MX"/>
        </w:rPr>
        <w:t xml:space="preserve">Único.- Se determina improcedente </w:t>
      </w:r>
      <w:r w:rsidRPr="00C3760A">
        <w:rPr>
          <w:rFonts w:ascii="Abadi" w:hAnsi="Abadi" w:cs="Arial"/>
          <w:sz w:val="21"/>
          <w:szCs w:val="21"/>
          <w:lang w:val="es-MX" w:eastAsia="es-MX"/>
        </w:rPr>
        <w:t>la propuesta de punto de acuerdo formulado, en la LXIV Legislatura, por la Diputada María Magdalena Rosales Cruz, integrante del Grupo Parlamentario de MORENA, para exhortar al Presidente Municipal de la Ciudad de Guanajuato C. Mario Alejandro Navarro Saldaña, para que se investiguen las denuncias ciudadanas y resuelvan las faltas graves en que incurran los elementos de la Policía Municipal en contra los principios de actuación previstos en el Reglamento de Policía Preventiva del Municipio de Guanajuato y normas disciplinas del cuerpo policial; así mismo para que establezca mecanismos de vigilancia que garanticen que el correcto actuar de los elementos de la Policía Municipal; ello, en virtud de las consideraciones que fueron expuestas. Por lo tanto, se ordena su archivo definitivo.</w:t>
      </w:r>
    </w:p>
    <w:p w14:paraId="40796CD5" w14:textId="77777777" w:rsidR="00C3760A" w:rsidRPr="00C3760A" w:rsidRDefault="00C3760A" w:rsidP="00FE053F">
      <w:pPr>
        <w:jc w:val="both"/>
        <w:textAlignment w:val="baseline"/>
        <w:rPr>
          <w:rFonts w:ascii="Abadi" w:hAnsi="Abadi" w:cs="Arial"/>
          <w:sz w:val="21"/>
          <w:szCs w:val="21"/>
          <w:lang w:val="es-MX" w:eastAsia="es-MX"/>
        </w:rPr>
      </w:pPr>
    </w:p>
    <w:p w14:paraId="75A32A4B" w14:textId="77777777" w:rsidR="00C3760A" w:rsidRPr="00C3760A" w:rsidRDefault="00C3760A" w:rsidP="00FE053F">
      <w:pPr>
        <w:spacing w:after="160"/>
        <w:jc w:val="both"/>
        <w:rPr>
          <w:rFonts w:ascii="Abadi" w:eastAsiaTheme="minorHAnsi" w:hAnsi="Abadi" w:cs="Arial"/>
          <w:sz w:val="21"/>
          <w:szCs w:val="21"/>
          <w:lang w:val="es-MX" w:eastAsia="en-US"/>
        </w:rPr>
      </w:pPr>
      <w:r w:rsidRPr="00C3760A">
        <w:rPr>
          <w:rFonts w:ascii="Abadi" w:eastAsiaTheme="minorHAnsi" w:hAnsi="Abadi" w:cs="Arial"/>
          <w:sz w:val="21"/>
          <w:szCs w:val="21"/>
          <w:lang w:val="es-MX" w:eastAsia="en-US"/>
        </w:rPr>
        <w:t>Comuníquese el presente acuerdo con su dictamen al Secretario General del Congreso del estado, para los efectos conducentes.</w:t>
      </w:r>
    </w:p>
    <w:p w14:paraId="0F9A6587" w14:textId="77777777" w:rsidR="00C3760A" w:rsidRPr="00C3760A" w:rsidRDefault="00C3760A" w:rsidP="00FE053F">
      <w:pPr>
        <w:spacing w:after="160"/>
        <w:jc w:val="center"/>
        <w:rPr>
          <w:rFonts w:ascii="Abadi" w:eastAsiaTheme="minorHAnsi" w:hAnsi="Abadi" w:cs="Arial"/>
          <w:sz w:val="21"/>
          <w:szCs w:val="21"/>
          <w:lang w:val="es-MX" w:eastAsia="en-US"/>
        </w:rPr>
      </w:pPr>
      <w:r w:rsidRPr="00C3760A">
        <w:rPr>
          <w:rFonts w:ascii="Abadi" w:hAnsi="Abadi" w:cs="Segoe UI"/>
          <w:b/>
          <w:bCs/>
          <w:sz w:val="21"/>
          <w:szCs w:val="21"/>
          <w:lang w:val="es-MX" w:eastAsia="es-MX"/>
        </w:rPr>
        <w:t>Guanajuato, Gto., a 7 de julio de 2022</w:t>
      </w:r>
    </w:p>
    <w:p w14:paraId="31359D46" w14:textId="77777777" w:rsidR="00C3760A" w:rsidRPr="00C3760A" w:rsidRDefault="00C3760A" w:rsidP="00FE053F">
      <w:pPr>
        <w:jc w:val="center"/>
        <w:textAlignment w:val="baseline"/>
        <w:rPr>
          <w:rFonts w:ascii="Abadi" w:hAnsi="Abadi" w:cs="Segoe UI"/>
          <w:sz w:val="21"/>
          <w:szCs w:val="21"/>
          <w:lang w:val="es-MX" w:eastAsia="es-MX"/>
        </w:rPr>
      </w:pPr>
      <w:r w:rsidRPr="00C3760A">
        <w:rPr>
          <w:rFonts w:ascii="Abadi" w:hAnsi="Abadi" w:cs="Segoe UI"/>
          <w:b/>
          <w:bCs/>
          <w:sz w:val="21"/>
          <w:szCs w:val="21"/>
          <w:lang w:val="es-MX" w:eastAsia="es-MX"/>
        </w:rPr>
        <w:t>La Comisión de Seguridad Pública y Comunicaciones</w:t>
      </w:r>
      <w:r w:rsidRPr="00C3760A">
        <w:rPr>
          <w:rFonts w:ascii="Abadi" w:hAnsi="Abadi" w:cs="Segoe UI"/>
          <w:sz w:val="21"/>
          <w:szCs w:val="21"/>
          <w:lang w:val="es-MX" w:eastAsia="es-MX"/>
        </w:rPr>
        <w:t> </w:t>
      </w:r>
    </w:p>
    <w:p w14:paraId="70DF46DE" w14:textId="77777777" w:rsidR="00C3760A" w:rsidRPr="00C3760A" w:rsidRDefault="00C3760A" w:rsidP="00FE053F">
      <w:pPr>
        <w:jc w:val="center"/>
        <w:textAlignment w:val="baseline"/>
        <w:rPr>
          <w:rFonts w:ascii="Abadi" w:hAnsi="Abadi" w:cs="Segoe UI"/>
          <w:sz w:val="21"/>
          <w:szCs w:val="21"/>
          <w:lang w:val="es-MX" w:eastAsia="es-MX"/>
        </w:rPr>
      </w:pPr>
    </w:p>
    <w:p w14:paraId="40AE9494" w14:textId="77777777" w:rsidR="00C3760A" w:rsidRPr="00C3760A" w:rsidRDefault="00C3760A" w:rsidP="00FE053F">
      <w:pPr>
        <w:jc w:val="both"/>
        <w:textAlignment w:val="baseline"/>
        <w:rPr>
          <w:rFonts w:ascii="Abadi" w:hAnsi="Abadi" w:cs="Segoe UI"/>
          <w:sz w:val="21"/>
          <w:szCs w:val="21"/>
          <w:lang w:val="es-MX" w:eastAsia="es-MX"/>
        </w:rPr>
      </w:pPr>
      <w:r w:rsidRPr="00C3760A">
        <w:rPr>
          <w:rFonts w:ascii="Abadi" w:hAnsi="Abadi" w:cs="Segoe UI"/>
          <w:b/>
          <w:bCs/>
          <w:sz w:val="21"/>
          <w:szCs w:val="21"/>
          <w:lang w:val="es-MX" w:eastAsia="es-MX"/>
        </w:rPr>
        <w:t>Dip. Martín López Camacho</w:t>
      </w:r>
    </w:p>
    <w:p w14:paraId="0486DB32" w14:textId="77777777" w:rsidR="00C3760A" w:rsidRPr="00C3760A" w:rsidRDefault="00C3760A" w:rsidP="00FE053F">
      <w:pPr>
        <w:jc w:val="both"/>
        <w:textAlignment w:val="baseline"/>
        <w:rPr>
          <w:rFonts w:ascii="Abadi" w:hAnsi="Abadi" w:cs="Segoe UI"/>
          <w:b/>
          <w:bCs/>
          <w:sz w:val="21"/>
          <w:szCs w:val="21"/>
          <w:lang w:val="es-MX" w:eastAsia="es-MX"/>
        </w:rPr>
      </w:pPr>
      <w:r w:rsidRPr="00C3760A">
        <w:rPr>
          <w:rFonts w:ascii="Abadi" w:hAnsi="Abadi" w:cs="Segoe UI"/>
          <w:b/>
          <w:bCs/>
          <w:sz w:val="21"/>
          <w:szCs w:val="21"/>
          <w:lang w:val="es-MX" w:eastAsia="es-MX"/>
        </w:rPr>
        <w:t>Dip. Alma Edwviges Alcaraz Hernández</w:t>
      </w:r>
    </w:p>
    <w:p w14:paraId="4493B015" w14:textId="77777777" w:rsidR="00C3760A" w:rsidRPr="00C3760A" w:rsidRDefault="00C3760A" w:rsidP="00FE053F">
      <w:pPr>
        <w:jc w:val="both"/>
        <w:textAlignment w:val="baseline"/>
        <w:rPr>
          <w:rFonts w:ascii="Abadi" w:hAnsi="Abadi"/>
          <w:b/>
          <w:bCs/>
          <w:sz w:val="21"/>
          <w:szCs w:val="21"/>
          <w:lang w:val="es-MX" w:eastAsia="es-MX"/>
        </w:rPr>
      </w:pPr>
      <w:r w:rsidRPr="00C3760A">
        <w:rPr>
          <w:rFonts w:ascii="Abadi" w:hAnsi="Abadi"/>
          <w:b/>
          <w:bCs/>
          <w:sz w:val="21"/>
          <w:szCs w:val="21"/>
          <w:lang w:val="es-MX" w:eastAsia="es-MX"/>
        </w:rPr>
        <w:t>Dip. Rolando Fortino Alcántar Rojas</w:t>
      </w:r>
    </w:p>
    <w:p w14:paraId="70D6E1D4" w14:textId="77777777" w:rsidR="00C3760A" w:rsidRPr="00C3760A" w:rsidRDefault="00C3760A" w:rsidP="00FE053F">
      <w:pPr>
        <w:jc w:val="both"/>
        <w:textAlignment w:val="baseline"/>
        <w:rPr>
          <w:rFonts w:ascii="Abadi" w:hAnsi="Abadi"/>
          <w:b/>
          <w:bCs/>
          <w:sz w:val="21"/>
          <w:szCs w:val="21"/>
          <w:lang w:val="es-MX" w:eastAsia="es-MX"/>
        </w:rPr>
      </w:pPr>
      <w:r w:rsidRPr="00C3760A">
        <w:rPr>
          <w:rFonts w:ascii="Abadi" w:hAnsi="Abadi"/>
          <w:b/>
          <w:bCs/>
          <w:sz w:val="21"/>
          <w:szCs w:val="21"/>
          <w:lang w:val="es-MX" w:eastAsia="es-MX"/>
        </w:rPr>
        <w:t>Dip. Bricio Balderas Álvarez</w:t>
      </w:r>
    </w:p>
    <w:p w14:paraId="7EA277CD" w14:textId="4E7D1666" w:rsidR="00C3760A" w:rsidRPr="00C3760A" w:rsidRDefault="00C3760A" w:rsidP="00FE053F">
      <w:pPr>
        <w:jc w:val="both"/>
        <w:textAlignment w:val="baseline"/>
        <w:rPr>
          <w:rFonts w:ascii="Abadi" w:eastAsiaTheme="minorHAnsi" w:hAnsi="Abadi" w:cstheme="minorBidi"/>
          <w:sz w:val="21"/>
          <w:szCs w:val="21"/>
          <w:lang w:val="es-MX" w:eastAsia="en-US"/>
        </w:rPr>
      </w:pPr>
      <w:r w:rsidRPr="00C3760A">
        <w:rPr>
          <w:rFonts w:ascii="Abadi" w:hAnsi="Abadi" w:cs="Segoe UI"/>
          <w:b/>
          <w:sz w:val="21"/>
          <w:szCs w:val="21"/>
          <w:lang w:val="es-MX" w:eastAsia="es-MX"/>
        </w:rPr>
        <w:t>Dip. Gerardo Fernández González</w:t>
      </w:r>
    </w:p>
    <w:p w14:paraId="36C3F4FD" w14:textId="2FD13606" w:rsidR="00890AB1" w:rsidRDefault="00890AB1" w:rsidP="00FE053F">
      <w:pPr>
        <w:autoSpaceDE w:val="0"/>
        <w:autoSpaceDN w:val="0"/>
        <w:adjustRightInd w:val="0"/>
        <w:jc w:val="both"/>
        <w:rPr>
          <w:rFonts w:ascii="Abadi" w:hAnsi="Abadi" w:cs="ArialMT"/>
          <w:sz w:val="20"/>
          <w:szCs w:val="21"/>
        </w:rPr>
      </w:pPr>
    </w:p>
    <w:p w14:paraId="51690A1B" w14:textId="4AF874D1" w:rsidR="002C731C" w:rsidRDefault="002C731C" w:rsidP="002C731C">
      <w:pPr>
        <w:ind w:firstLine="426"/>
        <w:jc w:val="both"/>
        <w:rPr>
          <w:rFonts w:ascii="Abadi" w:hAnsi="Abadi"/>
          <w:sz w:val="21"/>
          <w:szCs w:val="21"/>
        </w:rPr>
      </w:pPr>
      <w:r w:rsidRPr="00892BE9">
        <w:rPr>
          <w:rFonts w:ascii="Abadi" w:hAnsi="Abadi"/>
          <w:b/>
          <w:bCs/>
          <w:sz w:val="21"/>
          <w:szCs w:val="21"/>
        </w:rPr>
        <w:t>- El Presidente.-</w:t>
      </w:r>
      <w:r>
        <w:rPr>
          <w:rFonts w:ascii="Abadi" w:hAnsi="Abadi"/>
          <w:sz w:val="21"/>
          <w:szCs w:val="21"/>
        </w:rPr>
        <w:t xml:space="preserve"> S</w:t>
      </w:r>
      <w:r w:rsidRPr="006813AA">
        <w:rPr>
          <w:rFonts w:ascii="Abadi" w:hAnsi="Abadi"/>
          <w:sz w:val="21"/>
          <w:szCs w:val="21"/>
        </w:rPr>
        <w:t xml:space="preserve">ometemos a </w:t>
      </w:r>
      <w:r>
        <w:rPr>
          <w:rFonts w:ascii="Abadi" w:hAnsi="Abadi"/>
          <w:sz w:val="21"/>
          <w:szCs w:val="21"/>
        </w:rPr>
        <w:t xml:space="preserve">discusión </w:t>
      </w:r>
      <w:r w:rsidRPr="006813AA">
        <w:rPr>
          <w:rFonts w:ascii="Abadi" w:hAnsi="Abadi"/>
          <w:sz w:val="21"/>
          <w:szCs w:val="21"/>
        </w:rPr>
        <w:t xml:space="preserve">el dictamen presentado por la </w:t>
      </w:r>
      <w:r>
        <w:rPr>
          <w:rFonts w:ascii="Abadi" w:hAnsi="Abadi"/>
          <w:sz w:val="21"/>
          <w:szCs w:val="21"/>
        </w:rPr>
        <w:t>C</w:t>
      </w:r>
      <w:r w:rsidRPr="006813AA">
        <w:rPr>
          <w:rFonts w:ascii="Abadi" w:hAnsi="Abadi"/>
          <w:sz w:val="21"/>
          <w:szCs w:val="21"/>
        </w:rPr>
        <w:t xml:space="preserve">omisión de </w:t>
      </w:r>
      <w:r>
        <w:rPr>
          <w:rFonts w:ascii="Abadi" w:hAnsi="Abadi"/>
          <w:sz w:val="21"/>
          <w:szCs w:val="21"/>
        </w:rPr>
        <w:t>S</w:t>
      </w:r>
      <w:r w:rsidRPr="006813AA">
        <w:rPr>
          <w:rFonts w:ascii="Abadi" w:hAnsi="Abadi"/>
          <w:sz w:val="21"/>
          <w:szCs w:val="21"/>
        </w:rPr>
        <w:t xml:space="preserve">eguridad </w:t>
      </w:r>
      <w:r>
        <w:rPr>
          <w:rFonts w:ascii="Abadi" w:hAnsi="Abadi"/>
          <w:sz w:val="21"/>
          <w:szCs w:val="21"/>
        </w:rPr>
        <w:t>P</w:t>
      </w:r>
      <w:r w:rsidRPr="006813AA">
        <w:rPr>
          <w:rFonts w:ascii="Abadi" w:hAnsi="Abadi"/>
          <w:sz w:val="21"/>
          <w:szCs w:val="21"/>
        </w:rPr>
        <w:t xml:space="preserve">ública y </w:t>
      </w:r>
      <w:r>
        <w:rPr>
          <w:rFonts w:ascii="Abadi" w:hAnsi="Abadi"/>
          <w:sz w:val="21"/>
          <w:szCs w:val="21"/>
        </w:rPr>
        <w:t>C</w:t>
      </w:r>
      <w:r w:rsidRPr="006813AA">
        <w:rPr>
          <w:rFonts w:ascii="Abadi" w:hAnsi="Abadi"/>
          <w:sz w:val="21"/>
          <w:szCs w:val="21"/>
        </w:rPr>
        <w:t>omunicaciones relativo al punto 35 de nuestra orden del día</w:t>
      </w:r>
      <w:r>
        <w:rPr>
          <w:rFonts w:ascii="Abadi" w:hAnsi="Abadi"/>
          <w:sz w:val="21"/>
          <w:szCs w:val="21"/>
        </w:rPr>
        <w:t>.</w:t>
      </w:r>
    </w:p>
    <w:p w14:paraId="38A659A8" w14:textId="77777777" w:rsidR="002C731C" w:rsidRDefault="002C731C" w:rsidP="002C731C">
      <w:pPr>
        <w:ind w:firstLine="426"/>
        <w:jc w:val="both"/>
        <w:rPr>
          <w:rFonts w:ascii="Abadi" w:hAnsi="Abadi"/>
          <w:sz w:val="21"/>
          <w:szCs w:val="21"/>
        </w:rPr>
      </w:pPr>
    </w:p>
    <w:p w14:paraId="45B58DF1" w14:textId="60CA52CD" w:rsidR="002C731C" w:rsidRDefault="002C731C" w:rsidP="002C731C">
      <w:pPr>
        <w:ind w:firstLine="708"/>
        <w:jc w:val="both"/>
        <w:rPr>
          <w:rFonts w:ascii="Abadi" w:hAnsi="Abadi"/>
          <w:sz w:val="21"/>
          <w:szCs w:val="21"/>
        </w:rPr>
      </w:pPr>
      <w:r>
        <w:rPr>
          <w:rFonts w:ascii="Abadi" w:hAnsi="Abadi"/>
          <w:sz w:val="21"/>
          <w:szCs w:val="21"/>
        </w:rPr>
        <w:t>- S</w:t>
      </w:r>
      <w:r w:rsidRPr="006813AA">
        <w:rPr>
          <w:rFonts w:ascii="Abadi" w:hAnsi="Abadi"/>
          <w:sz w:val="21"/>
          <w:szCs w:val="21"/>
        </w:rPr>
        <w:t xml:space="preserve">i alguna diputada algún diputado desea hacer </w:t>
      </w:r>
      <w:r>
        <w:rPr>
          <w:rFonts w:ascii="Abadi" w:hAnsi="Abadi"/>
          <w:sz w:val="21"/>
          <w:szCs w:val="21"/>
        </w:rPr>
        <w:t>u</w:t>
      </w:r>
      <w:r w:rsidRPr="006813AA">
        <w:rPr>
          <w:rFonts w:ascii="Abadi" w:hAnsi="Abadi"/>
          <w:sz w:val="21"/>
          <w:szCs w:val="21"/>
        </w:rPr>
        <w:t>so de la palabra en pro o en contra manifiésten</w:t>
      </w:r>
      <w:r>
        <w:rPr>
          <w:rFonts w:ascii="Abadi" w:hAnsi="Abadi"/>
          <w:sz w:val="21"/>
          <w:szCs w:val="21"/>
        </w:rPr>
        <w:t xml:space="preserve">lo </w:t>
      </w:r>
      <w:r w:rsidRPr="006813AA">
        <w:rPr>
          <w:rFonts w:ascii="Abadi" w:hAnsi="Abadi"/>
          <w:sz w:val="21"/>
          <w:szCs w:val="21"/>
        </w:rPr>
        <w:t>esta presidencia indicando el sentido de su participación</w:t>
      </w:r>
      <w:r>
        <w:rPr>
          <w:rFonts w:ascii="Abadi" w:hAnsi="Abadi"/>
          <w:sz w:val="21"/>
          <w:szCs w:val="21"/>
        </w:rPr>
        <w:t>.</w:t>
      </w:r>
    </w:p>
    <w:p w14:paraId="4CD77B55" w14:textId="77777777" w:rsidR="002C731C" w:rsidRDefault="002C731C" w:rsidP="002C731C">
      <w:pPr>
        <w:ind w:firstLine="708"/>
        <w:jc w:val="both"/>
        <w:rPr>
          <w:rFonts w:ascii="Abadi" w:hAnsi="Abadi"/>
          <w:sz w:val="21"/>
          <w:szCs w:val="21"/>
        </w:rPr>
      </w:pPr>
    </w:p>
    <w:p w14:paraId="6A2A721D" w14:textId="77777777" w:rsidR="002C731C" w:rsidRDefault="002C731C" w:rsidP="002C731C">
      <w:pPr>
        <w:ind w:firstLine="708"/>
        <w:jc w:val="both"/>
        <w:rPr>
          <w:rFonts w:ascii="Abadi" w:hAnsi="Abadi"/>
          <w:sz w:val="21"/>
          <w:szCs w:val="21"/>
        </w:rPr>
      </w:pPr>
      <w:r>
        <w:rPr>
          <w:rFonts w:ascii="Abadi" w:hAnsi="Abadi"/>
          <w:sz w:val="21"/>
          <w:szCs w:val="21"/>
        </w:rPr>
        <w:t>- N</w:t>
      </w:r>
      <w:r w:rsidRPr="006813AA">
        <w:rPr>
          <w:rFonts w:ascii="Abadi" w:hAnsi="Abadi"/>
          <w:sz w:val="21"/>
          <w:szCs w:val="21"/>
        </w:rPr>
        <w:t xml:space="preserve">o </w:t>
      </w:r>
      <w:r>
        <w:rPr>
          <w:rFonts w:ascii="Abadi" w:hAnsi="Abadi"/>
          <w:sz w:val="21"/>
          <w:szCs w:val="21"/>
        </w:rPr>
        <w:t>habiendo</w:t>
      </w:r>
      <w:r w:rsidRPr="006813AA">
        <w:rPr>
          <w:rFonts w:ascii="Abadi" w:hAnsi="Abadi"/>
          <w:sz w:val="21"/>
          <w:szCs w:val="21"/>
        </w:rPr>
        <w:t xml:space="preserve"> participaciones se pide a la </w:t>
      </w:r>
      <w:r>
        <w:rPr>
          <w:rFonts w:ascii="Abadi" w:hAnsi="Abadi"/>
          <w:sz w:val="21"/>
          <w:szCs w:val="21"/>
        </w:rPr>
        <w:t>S</w:t>
      </w:r>
      <w:r w:rsidRPr="006813AA">
        <w:rPr>
          <w:rFonts w:ascii="Abadi" w:hAnsi="Abadi"/>
          <w:sz w:val="21"/>
          <w:szCs w:val="21"/>
        </w:rPr>
        <w:t xml:space="preserve">ecretaría que proceda a recabar votación nominal de la </w:t>
      </w:r>
      <w:r>
        <w:rPr>
          <w:rFonts w:ascii="Abadi" w:hAnsi="Abadi"/>
          <w:sz w:val="21"/>
          <w:szCs w:val="21"/>
        </w:rPr>
        <w:t>A</w:t>
      </w:r>
      <w:r w:rsidRPr="006813AA">
        <w:rPr>
          <w:rFonts w:ascii="Abadi" w:hAnsi="Abadi"/>
          <w:sz w:val="21"/>
          <w:szCs w:val="21"/>
        </w:rPr>
        <w:t>samblea a través del sistema electrónico a efecto de aprobar o no el dictamen puesto a su consideración</w:t>
      </w:r>
      <w:r>
        <w:rPr>
          <w:rFonts w:ascii="Abadi" w:hAnsi="Abadi"/>
          <w:sz w:val="21"/>
          <w:szCs w:val="21"/>
        </w:rPr>
        <w:t>.</w:t>
      </w:r>
    </w:p>
    <w:p w14:paraId="40CA77F0" w14:textId="77777777" w:rsidR="002C731C" w:rsidRDefault="002C731C" w:rsidP="002C731C">
      <w:pPr>
        <w:ind w:firstLine="708"/>
        <w:jc w:val="both"/>
        <w:rPr>
          <w:rFonts w:ascii="Abadi" w:hAnsi="Abadi"/>
          <w:sz w:val="21"/>
          <w:szCs w:val="21"/>
        </w:rPr>
      </w:pPr>
    </w:p>
    <w:p w14:paraId="38765B07" w14:textId="7968B3E6" w:rsidR="002C731C" w:rsidRPr="002C731C" w:rsidRDefault="002C731C" w:rsidP="002C731C">
      <w:pPr>
        <w:jc w:val="both"/>
        <w:rPr>
          <w:rFonts w:ascii="Abadi" w:hAnsi="Abadi"/>
          <w:sz w:val="21"/>
          <w:szCs w:val="21"/>
        </w:rPr>
      </w:pPr>
      <w:r w:rsidRPr="002F5370">
        <w:rPr>
          <w:rFonts w:ascii="Abadi" w:hAnsi="Abadi"/>
          <w:b/>
          <w:bCs/>
          <w:sz w:val="21"/>
          <w:szCs w:val="21"/>
        </w:rPr>
        <w:t>(Abrimos nuestro sistema electronico)</w:t>
      </w:r>
    </w:p>
    <w:p w14:paraId="7EB955A4" w14:textId="77777777" w:rsidR="002C731C" w:rsidRPr="002F5370" w:rsidRDefault="002C731C" w:rsidP="002C731C">
      <w:pPr>
        <w:ind w:firstLine="708"/>
        <w:jc w:val="both"/>
        <w:rPr>
          <w:rFonts w:ascii="Abadi" w:hAnsi="Abadi"/>
          <w:b/>
          <w:bCs/>
          <w:sz w:val="21"/>
          <w:szCs w:val="21"/>
        </w:rPr>
      </w:pPr>
    </w:p>
    <w:p w14:paraId="2F8EE2E0" w14:textId="41DA3D1C" w:rsidR="002C731C" w:rsidRDefault="002C731C" w:rsidP="002C731C">
      <w:pPr>
        <w:jc w:val="both"/>
        <w:rPr>
          <w:rFonts w:ascii="Abadi" w:hAnsi="Abadi"/>
          <w:sz w:val="21"/>
          <w:szCs w:val="21"/>
        </w:rPr>
      </w:pPr>
      <w:r>
        <w:rPr>
          <w:rFonts w:ascii="Abadi" w:hAnsi="Abadi"/>
          <w:sz w:val="21"/>
          <w:szCs w:val="21"/>
        </w:rPr>
        <w:t>- E</w:t>
      </w:r>
      <w:r w:rsidRPr="006813AA">
        <w:rPr>
          <w:rFonts w:ascii="Abadi" w:hAnsi="Abadi"/>
          <w:sz w:val="21"/>
          <w:szCs w:val="21"/>
        </w:rPr>
        <w:t>n votación nominal por el sistema electrónico se pregunta a las diputadas y a los diputados</w:t>
      </w:r>
      <w:r>
        <w:rPr>
          <w:rFonts w:ascii="Abadi" w:hAnsi="Abadi"/>
          <w:sz w:val="21"/>
          <w:szCs w:val="21"/>
        </w:rPr>
        <w:t>, si se a</w:t>
      </w:r>
      <w:r w:rsidRPr="006813AA">
        <w:rPr>
          <w:rFonts w:ascii="Abadi" w:hAnsi="Abadi"/>
          <w:sz w:val="21"/>
          <w:szCs w:val="21"/>
        </w:rPr>
        <w:t>prueba el dictamen puesto a su consideración</w:t>
      </w:r>
      <w:r>
        <w:rPr>
          <w:rFonts w:ascii="Abadi" w:hAnsi="Abadi"/>
          <w:sz w:val="21"/>
          <w:szCs w:val="21"/>
        </w:rPr>
        <w:t>. ¿Diputada Dessire?</w:t>
      </w:r>
    </w:p>
    <w:p w14:paraId="6C673250" w14:textId="77777777" w:rsidR="002C731C" w:rsidRPr="006813AA" w:rsidRDefault="002C731C" w:rsidP="002C731C">
      <w:pPr>
        <w:jc w:val="both"/>
        <w:rPr>
          <w:rFonts w:ascii="Abadi" w:hAnsi="Abadi"/>
          <w:sz w:val="21"/>
          <w:szCs w:val="21"/>
        </w:rPr>
      </w:pPr>
    </w:p>
    <w:p w14:paraId="17A28238" w14:textId="1EADACB3" w:rsidR="002C731C" w:rsidRDefault="002C731C" w:rsidP="002C731C">
      <w:pPr>
        <w:jc w:val="both"/>
        <w:rPr>
          <w:rFonts w:ascii="Abadi" w:hAnsi="Abadi"/>
          <w:sz w:val="21"/>
          <w:szCs w:val="21"/>
        </w:rPr>
      </w:pPr>
      <w:r>
        <w:rPr>
          <w:rFonts w:ascii="Abadi" w:hAnsi="Abadi"/>
          <w:sz w:val="21"/>
          <w:szCs w:val="21"/>
        </w:rPr>
        <w:t>¿Fa</w:t>
      </w:r>
      <w:r w:rsidRPr="006813AA">
        <w:rPr>
          <w:rFonts w:ascii="Abadi" w:hAnsi="Abadi"/>
          <w:sz w:val="21"/>
          <w:szCs w:val="21"/>
        </w:rPr>
        <w:t>lta alguna diputada o algún diputado de emitir su voto</w:t>
      </w:r>
      <w:r>
        <w:rPr>
          <w:rFonts w:ascii="Abadi" w:hAnsi="Abadi"/>
          <w:sz w:val="21"/>
          <w:szCs w:val="21"/>
        </w:rPr>
        <w:t>?</w:t>
      </w:r>
    </w:p>
    <w:p w14:paraId="07C70FD8" w14:textId="77777777" w:rsidR="0060105A" w:rsidRDefault="0060105A" w:rsidP="002C731C">
      <w:pPr>
        <w:jc w:val="both"/>
        <w:rPr>
          <w:rFonts w:ascii="Abadi" w:hAnsi="Abadi"/>
          <w:sz w:val="21"/>
          <w:szCs w:val="21"/>
        </w:rPr>
      </w:pPr>
    </w:p>
    <w:p w14:paraId="0E70F683" w14:textId="77777777" w:rsidR="0060105A" w:rsidRDefault="0060105A" w:rsidP="0060105A">
      <w:pPr>
        <w:jc w:val="both"/>
        <w:rPr>
          <w:rFonts w:ascii="Abadi" w:hAnsi="Abadi"/>
          <w:b/>
          <w:bCs/>
          <w:sz w:val="21"/>
          <w:szCs w:val="21"/>
        </w:rPr>
      </w:pPr>
      <w:r w:rsidRPr="008228BD">
        <w:rPr>
          <w:rFonts w:ascii="Abadi" w:hAnsi="Abadi"/>
          <w:b/>
          <w:bCs/>
          <w:sz w:val="21"/>
          <w:szCs w:val="21"/>
        </w:rPr>
        <w:t xml:space="preserve">(Se </w:t>
      </w:r>
      <w:r>
        <w:rPr>
          <w:rFonts w:ascii="Abadi" w:hAnsi="Abadi"/>
          <w:b/>
          <w:bCs/>
          <w:sz w:val="21"/>
          <w:szCs w:val="21"/>
        </w:rPr>
        <w:t>c</w:t>
      </w:r>
      <w:r w:rsidRPr="008228BD">
        <w:rPr>
          <w:rFonts w:ascii="Abadi" w:hAnsi="Abadi"/>
          <w:b/>
          <w:bCs/>
          <w:sz w:val="21"/>
          <w:szCs w:val="21"/>
        </w:rPr>
        <w:t>ierra el sistema electronico)</w:t>
      </w:r>
    </w:p>
    <w:p w14:paraId="4AC8A50E" w14:textId="77777777" w:rsidR="0060105A" w:rsidRDefault="0060105A" w:rsidP="002C731C">
      <w:pPr>
        <w:jc w:val="both"/>
        <w:rPr>
          <w:rFonts w:ascii="Abadi" w:hAnsi="Abadi"/>
          <w:sz w:val="21"/>
          <w:szCs w:val="21"/>
        </w:rPr>
      </w:pPr>
    </w:p>
    <w:p w14:paraId="20D54591" w14:textId="09DD9C44" w:rsidR="002C731C" w:rsidRPr="008228BD" w:rsidRDefault="0060105A" w:rsidP="002C731C">
      <w:pPr>
        <w:jc w:val="both"/>
        <w:rPr>
          <w:rFonts w:ascii="Abadi" w:hAnsi="Abadi"/>
          <w:b/>
          <w:bCs/>
          <w:sz w:val="21"/>
          <w:szCs w:val="21"/>
        </w:rPr>
      </w:pPr>
      <w:r>
        <w:rPr>
          <w:noProof/>
        </w:rPr>
        <w:drawing>
          <wp:anchor distT="0" distB="0" distL="114300" distR="114300" simplePos="0" relativeHeight="251703296" behindDoc="1" locked="0" layoutInCell="1" allowOverlap="1" wp14:anchorId="216E0EFF" wp14:editId="38F4BD95">
            <wp:simplePos x="0" y="0"/>
            <wp:positionH relativeFrom="column">
              <wp:posOffset>524785</wp:posOffset>
            </wp:positionH>
            <wp:positionV relativeFrom="paragraph">
              <wp:posOffset>324018</wp:posOffset>
            </wp:positionV>
            <wp:extent cx="1550670" cy="828675"/>
            <wp:effectExtent l="323850" t="323850" r="316230" b="333375"/>
            <wp:wrapTight wrapText="bothSides">
              <wp:wrapPolygon edited="0">
                <wp:start x="-2654" y="-8441"/>
                <wp:lineTo x="-4511" y="-7448"/>
                <wp:lineTo x="-4511" y="24828"/>
                <wp:lineTo x="-2919" y="28800"/>
                <wp:lineTo x="-2654" y="29793"/>
                <wp:lineTo x="23882" y="29793"/>
                <wp:lineTo x="24147" y="28800"/>
                <wp:lineTo x="25740" y="24828"/>
                <wp:lineTo x="25740" y="497"/>
                <wp:lineTo x="23882" y="-6952"/>
                <wp:lineTo x="23882" y="-8441"/>
                <wp:lineTo x="-2654" y="-8441"/>
              </wp:wrapPolygon>
            </wp:wrapTight>
            <wp:docPr id="63" name="Imagen 63"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descr="Interfaz de usuario gráfica, Texto, Sitio web&#10;&#10;Descripción generada automáticamente"/>
                    <pic:cNvPicPr/>
                  </pic:nvPicPr>
                  <pic:blipFill rotWithShape="1">
                    <a:blip r:embed="rId69" cstate="print">
                      <a:extLst>
                        <a:ext uri="{28A0092B-C50C-407E-A947-70E740481C1C}">
                          <a14:useLocalDpi xmlns:a14="http://schemas.microsoft.com/office/drawing/2010/main" val="0"/>
                        </a:ext>
                      </a:extLst>
                    </a:blip>
                    <a:srcRect b="4947"/>
                    <a:stretch/>
                  </pic:blipFill>
                  <pic:spPr bwMode="auto">
                    <a:xfrm>
                      <a:off x="0" y="0"/>
                      <a:ext cx="1550670" cy="828675"/>
                    </a:xfrm>
                    <a:prstGeom prst="rect">
                      <a:avLst/>
                    </a:prstGeom>
                    <a:ln w="88900" cap="sq" cmpd="thickThin">
                      <a:solidFill>
                        <a:srgbClr val="000000"/>
                      </a:solidFill>
                      <a:prstDash val="solid"/>
                      <a:miter lim="800000"/>
                    </a:ln>
                    <a:effectLst>
                      <a:glow rad="228600">
                        <a:schemeClr val="accent3">
                          <a:satMod val="17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30DA8AD7" w14:textId="14A895BE" w:rsidR="002C731C" w:rsidRDefault="002C731C" w:rsidP="002C731C">
      <w:pPr>
        <w:ind w:firstLine="708"/>
        <w:jc w:val="both"/>
        <w:rPr>
          <w:rFonts w:ascii="Abadi" w:hAnsi="Abadi"/>
          <w:sz w:val="21"/>
          <w:szCs w:val="21"/>
        </w:rPr>
      </w:pPr>
      <w:r w:rsidRPr="00BD6841">
        <w:rPr>
          <w:rFonts w:ascii="Abadi" w:hAnsi="Abadi"/>
          <w:b/>
          <w:bCs/>
          <w:sz w:val="21"/>
          <w:szCs w:val="21"/>
        </w:rPr>
        <w:t>- El Secretario.-</w:t>
      </w:r>
      <w:r>
        <w:rPr>
          <w:rFonts w:ascii="Abadi" w:hAnsi="Abadi"/>
          <w:sz w:val="21"/>
          <w:szCs w:val="21"/>
        </w:rPr>
        <w:t xml:space="preserve"> </w:t>
      </w:r>
      <w:r w:rsidRPr="006813AA">
        <w:rPr>
          <w:rFonts w:ascii="Abadi" w:hAnsi="Abadi"/>
          <w:sz w:val="21"/>
          <w:szCs w:val="21"/>
        </w:rPr>
        <w:t>Presidente se registraron 27 votos a favor y 6 votos en contra</w:t>
      </w:r>
      <w:r>
        <w:rPr>
          <w:rFonts w:ascii="Abadi" w:hAnsi="Abadi"/>
          <w:sz w:val="21"/>
          <w:szCs w:val="21"/>
        </w:rPr>
        <w:t>.</w:t>
      </w:r>
    </w:p>
    <w:p w14:paraId="4DB9ABF1" w14:textId="77777777" w:rsidR="0060105A" w:rsidRDefault="0060105A" w:rsidP="002C731C">
      <w:pPr>
        <w:ind w:firstLine="708"/>
        <w:jc w:val="both"/>
        <w:rPr>
          <w:rFonts w:ascii="Abadi" w:hAnsi="Abadi"/>
          <w:sz w:val="21"/>
          <w:szCs w:val="21"/>
        </w:rPr>
      </w:pPr>
    </w:p>
    <w:p w14:paraId="4B0D38AA" w14:textId="098AABF0" w:rsidR="002C731C" w:rsidRDefault="002C731C" w:rsidP="002C731C">
      <w:pPr>
        <w:ind w:firstLine="708"/>
        <w:jc w:val="both"/>
        <w:rPr>
          <w:rFonts w:ascii="Abadi" w:hAnsi="Abadi"/>
          <w:sz w:val="21"/>
          <w:szCs w:val="21"/>
        </w:rPr>
      </w:pPr>
      <w:r w:rsidRPr="007679AC">
        <w:rPr>
          <w:rFonts w:ascii="Abadi" w:hAnsi="Abadi"/>
          <w:b/>
          <w:bCs/>
          <w:sz w:val="21"/>
          <w:szCs w:val="21"/>
        </w:rPr>
        <w:t xml:space="preserve">- El Presidente.- </w:t>
      </w:r>
      <w:r>
        <w:rPr>
          <w:rFonts w:ascii="Abadi" w:hAnsi="Abadi"/>
          <w:sz w:val="21"/>
          <w:szCs w:val="21"/>
        </w:rPr>
        <w:t>P</w:t>
      </w:r>
      <w:r w:rsidRPr="006813AA">
        <w:rPr>
          <w:rFonts w:ascii="Abadi" w:hAnsi="Abadi"/>
          <w:sz w:val="21"/>
          <w:szCs w:val="21"/>
        </w:rPr>
        <w:t>or mayoría de votos ha sido aprobado este dictamen</w:t>
      </w:r>
      <w:r>
        <w:rPr>
          <w:rFonts w:ascii="Abadi" w:hAnsi="Abadi"/>
          <w:sz w:val="21"/>
          <w:szCs w:val="21"/>
        </w:rPr>
        <w:t>.</w:t>
      </w:r>
    </w:p>
    <w:p w14:paraId="6FFD4757" w14:textId="79225DDA" w:rsidR="0060105A" w:rsidRDefault="0060105A" w:rsidP="002C731C">
      <w:pPr>
        <w:ind w:firstLine="708"/>
        <w:jc w:val="both"/>
        <w:rPr>
          <w:rFonts w:ascii="Abadi" w:hAnsi="Abadi"/>
          <w:sz w:val="21"/>
          <w:szCs w:val="21"/>
        </w:rPr>
      </w:pPr>
    </w:p>
    <w:p w14:paraId="5543B470" w14:textId="77777777" w:rsidR="002C731C" w:rsidRPr="000864CC" w:rsidRDefault="002C731C" w:rsidP="00453C02">
      <w:pPr>
        <w:ind w:left="993" w:right="709"/>
        <w:jc w:val="both"/>
        <w:rPr>
          <w:rFonts w:ascii="Abadi" w:hAnsi="Abadi"/>
          <w:b/>
          <w:bCs/>
          <w:i/>
          <w:iCs/>
          <w:sz w:val="21"/>
          <w:szCs w:val="21"/>
          <w:u w:val="single"/>
        </w:rPr>
      </w:pPr>
      <w:r w:rsidRPr="000864CC">
        <w:rPr>
          <w:rFonts w:ascii="Abadi" w:hAnsi="Abadi"/>
          <w:b/>
          <w:bCs/>
          <w:i/>
          <w:iCs/>
          <w:sz w:val="21"/>
          <w:szCs w:val="21"/>
          <w:u w:val="single"/>
        </w:rPr>
        <w:t>En consecuencia se instruye a la Secretaría General para que proceda al archivo definitivo de la propuesta de punto de acuerdo referida en el dictamen aprobado.</w:t>
      </w:r>
    </w:p>
    <w:p w14:paraId="21C52141" w14:textId="77777777" w:rsidR="00FC6A6E" w:rsidRDefault="00FC6A6E" w:rsidP="00FE053F">
      <w:pPr>
        <w:autoSpaceDE w:val="0"/>
        <w:autoSpaceDN w:val="0"/>
        <w:adjustRightInd w:val="0"/>
        <w:jc w:val="both"/>
        <w:rPr>
          <w:rFonts w:ascii="Abadi" w:hAnsi="Abadi" w:cs="ArialMT"/>
          <w:sz w:val="20"/>
          <w:szCs w:val="21"/>
        </w:rPr>
      </w:pPr>
    </w:p>
    <w:p w14:paraId="3ACA9699" w14:textId="77777777" w:rsidR="00890AB1" w:rsidRPr="00890AB1" w:rsidRDefault="00890AB1" w:rsidP="00FE053F">
      <w:pPr>
        <w:autoSpaceDE w:val="0"/>
        <w:autoSpaceDN w:val="0"/>
        <w:adjustRightInd w:val="0"/>
        <w:jc w:val="both"/>
        <w:rPr>
          <w:rFonts w:ascii="Abadi" w:hAnsi="Abadi" w:cs="ArialMT"/>
          <w:sz w:val="20"/>
          <w:szCs w:val="21"/>
        </w:rPr>
      </w:pPr>
    </w:p>
    <w:p w14:paraId="46A11934" w14:textId="77777777" w:rsidR="00E462B6" w:rsidRPr="0028553C" w:rsidRDefault="00E462B6" w:rsidP="00FE053F">
      <w:pPr>
        <w:pStyle w:val="Prrafodelista"/>
        <w:numPr>
          <w:ilvl w:val="0"/>
          <w:numId w:val="14"/>
        </w:numPr>
        <w:autoSpaceDE w:val="0"/>
        <w:autoSpaceDN w:val="0"/>
        <w:adjustRightInd w:val="0"/>
        <w:contextualSpacing/>
        <w:jc w:val="both"/>
        <w:rPr>
          <w:rFonts w:ascii="Abadi" w:hAnsi="Abadi" w:cs="ArialMT"/>
          <w:b/>
          <w:bCs/>
          <w:sz w:val="20"/>
          <w:szCs w:val="21"/>
        </w:rPr>
      </w:pPr>
      <w:r w:rsidRPr="0028553C">
        <w:rPr>
          <w:rFonts w:ascii="Abadi" w:hAnsi="Abadi" w:cs="ArialMT"/>
          <w:b/>
          <w:bCs/>
          <w:sz w:val="20"/>
          <w:szCs w:val="21"/>
        </w:rPr>
        <w:t>DISCUSIÓN Y, EN SU CASO, APROBACIÓN DEL DICTAMEN SUSCRITO POR LA COMISIÓN DE GOBERNACIÓN Y PUNTOS CONSTITUCIONALES RELATIVO A LA INICIATIVA FORMULADA POR EL DIPUTADO ERNESTO ALEJANDRO PRIETO GALLARDO INTEGRANTE DEL GRUPO PARLAMENTARIO DEL PARTIDO MORENA, A FIN DE REFORMAR LOS ARTÍCULOS 20 Y 21 DE LA CONSTITUCIÓN POLÍTICA PARA EL ESTADO DE GUANAJUATO, ANTE LA SEXAGÉSIMA CUARTA LEGISLATURA.</w:t>
      </w:r>
    </w:p>
    <w:p w14:paraId="2D50AB92" w14:textId="5136C625" w:rsidR="00E462B6" w:rsidRDefault="00E462B6" w:rsidP="00FE053F">
      <w:pPr>
        <w:autoSpaceDE w:val="0"/>
        <w:autoSpaceDN w:val="0"/>
        <w:adjustRightInd w:val="0"/>
        <w:jc w:val="both"/>
        <w:rPr>
          <w:rFonts w:ascii="Abadi" w:hAnsi="Abadi" w:cs="ArialMT"/>
          <w:sz w:val="20"/>
          <w:szCs w:val="21"/>
        </w:rPr>
      </w:pPr>
    </w:p>
    <w:p w14:paraId="6B07DA20" w14:textId="77777777" w:rsidR="004C763C" w:rsidRPr="004C763C" w:rsidRDefault="004C763C" w:rsidP="00FF1A2F">
      <w:pPr>
        <w:jc w:val="both"/>
        <w:rPr>
          <w:rFonts w:ascii="Abadi" w:eastAsia="Arial Unicode MS" w:hAnsi="Abadi" w:cs="Arial Unicode MS"/>
          <w:b/>
          <w:sz w:val="21"/>
          <w:szCs w:val="21"/>
          <w:lang w:val="es-MX"/>
        </w:rPr>
      </w:pPr>
      <w:r w:rsidRPr="004C763C">
        <w:rPr>
          <w:rFonts w:ascii="Abadi" w:eastAsia="Arial Unicode MS" w:hAnsi="Abadi" w:cs="Arial Unicode MS"/>
          <w:b/>
          <w:sz w:val="21"/>
          <w:szCs w:val="21"/>
          <w:lang w:val="es-MX"/>
        </w:rPr>
        <w:t>DIPUTADO PRESIDENTE DEL CONGRESO DEL ESTADO</w:t>
      </w:r>
    </w:p>
    <w:p w14:paraId="2747F06B" w14:textId="77777777" w:rsidR="004C763C" w:rsidRPr="004C763C" w:rsidRDefault="004C763C" w:rsidP="00FF1A2F">
      <w:pPr>
        <w:jc w:val="both"/>
        <w:rPr>
          <w:rFonts w:ascii="Abadi" w:eastAsia="Arial Unicode MS" w:hAnsi="Abadi" w:cs="Arial Unicode MS"/>
          <w:b/>
          <w:sz w:val="21"/>
          <w:szCs w:val="21"/>
          <w:lang w:val="es-MX"/>
        </w:rPr>
      </w:pPr>
      <w:r w:rsidRPr="004C763C">
        <w:rPr>
          <w:rFonts w:ascii="Abadi" w:eastAsia="Arial Unicode MS" w:hAnsi="Abadi" w:cs="Arial Unicode MS"/>
          <w:b/>
          <w:sz w:val="21"/>
          <w:szCs w:val="21"/>
          <w:lang w:val="es-MX"/>
        </w:rPr>
        <w:t>P R E S E N T E.</w:t>
      </w:r>
    </w:p>
    <w:p w14:paraId="0DDEF6D7" w14:textId="77777777" w:rsidR="004C763C" w:rsidRPr="004C763C" w:rsidRDefault="004C763C" w:rsidP="00FF1A2F">
      <w:pPr>
        <w:ind w:firstLine="708"/>
        <w:jc w:val="both"/>
        <w:rPr>
          <w:rFonts w:ascii="Abadi" w:eastAsia="Arial Unicode MS" w:hAnsi="Abadi" w:cs="Arial Unicode MS"/>
          <w:sz w:val="21"/>
          <w:szCs w:val="21"/>
          <w:lang w:val="es-MX"/>
        </w:rPr>
      </w:pPr>
    </w:p>
    <w:p w14:paraId="3DB051E6" w14:textId="77777777" w:rsidR="004C763C" w:rsidRPr="004C763C" w:rsidRDefault="004C763C" w:rsidP="00FF1A2F">
      <w:pPr>
        <w:ind w:firstLine="708"/>
        <w:jc w:val="both"/>
        <w:rPr>
          <w:rFonts w:ascii="Abadi" w:eastAsia="Arial Unicode MS" w:hAnsi="Abadi" w:cs="Arial Unicode MS"/>
          <w:sz w:val="21"/>
          <w:szCs w:val="21"/>
          <w:lang w:val="es-MX"/>
        </w:rPr>
      </w:pPr>
    </w:p>
    <w:p w14:paraId="3042BC72" w14:textId="77777777" w:rsidR="004C763C" w:rsidRPr="004C763C" w:rsidRDefault="004C763C" w:rsidP="00FF1A2F">
      <w:pPr>
        <w:ind w:firstLine="708"/>
        <w:jc w:val="both"/>
        <w:rPr>
          <w:rFonts w:ascii="Abadi" w:eastAsia="Arial Unicode MS" w:hAnsi="Abadi" w:cs="Arial Unicode MS"/>
          <w:sz w:val="21"/>
          <w:szCs w:val="21"/>
          <w:lang w:val="es-MX"/>
        </w:rPr>
      </w:pPr>
      <w:r w:rsidRPr="004C763C">
        <w:rPr>
          <w:rFonts w:ascii="Abadi" w:eastAsia="Arial Unicode MS" w:hAnsi="Abadi" w:cs="Arial Unicode MS"/>
          <w:sz w:val="21"/>
          <w:szCs w:val="21"/>
          <w:lang w:val="es-MX"/>
        </w:rPr>
        <w:t xml:space="preserve">La Comisión de Gobernación y Puntos Constitucionales recibimos como pendiente legislativo para efectos de estudio y dictamen la iniciativa formulada por el diputado Ernesto Alejandro Prieto Gallardo integrante del Grupo Parlamentario del Partido Morena, a fin de reformar los artículos 20 y 21 de la Constitución Política para el Estado de Guanajuato, ante la Sexagésima Cuarta Legislatura. </w:t>
      </w:r>
    </w:p>
    <w:p w14:paraId="0B443DBB" w14:textId="0B0C99A3" w:rsidR="004C763C" w:rsidRPr="004C763C" w:rsidRDefault="004C763C" w:rsidP="00FF1A2F">
      <w:pPr>
        <w:ind w:firstLine="708"/>
        <w:jc w:val="both"/>
        <w:rPr>
          <w:rFonts w:ascii="Abadi" w:eastAsia="Arial Unicode MS" w:hAnsi="Abadi" w:cs="Arial Unicode MS"/>
          <w:sz w:val="21"/>
          <w:szCs w:val="21"/>
          <w:lang w:val="es-MX"/>
        </w:rPr>
      </w:pPr>
    </w:p>
    <w:p w14:paraId="5400DA04" w14:textId="77777777" w:rsidR="004C763C" w:rsidRPr="004C763C" w:rsidRDefault="004C763C" w:rsidP="00FF1A2F">
      <w:pPr>
        <w:ind w:firstLine="708"/>
        <w:jc w:val="both"/>
        <w:rPr>
          <w:rFonts w:ascii="Abadi" w:eastAsia="Arial Unicode MS" w:hAnsi="Abadi" w:cs="Arial Unicode MS"/>
          <w:sz w:val="21"/>
          <w:szCs w:val="21"/>
          <w:lang w:val="es-MX"/>
        </w:rPr>
      </w:pPr>
      <w:r w:rsidRPr="004C763C">
        <w:rPr>
          <w:rFonts w:ascii="Abadi" w:eastAsia="Arial Unicode MS" w:hAnsi="Abadi" w:cs="Arial Unicode MS"/>
          <w:sz w:val="21"/>
          <w:szCs w:val="21"/>
          <w:lang w:val="es-MX"/>
        </w:rPr>
        <w:t xml:space="preserve">Analizada la iniciativa, esta Comisión Legislativa de conformidad con las atribuciones que le confieren los artículos 111 fracción I y 171 de </w:t>
      </w:r>
      <w:smartTag w:uri="urn:schemas-microsoft-com:office:smarttags" w:element="PersonName">
        <w:smartTagPr>
          <w:attr w:name="ProductID" w:val="la Ley Org￡nica"/>
        </w:smartTagPr>
        <w:r w:rsidRPr="004C763C">
          <w:rPr>
            <w:rFonts w:ascii="Abadi" w:eastAsia="Arial Unicode MS" w:hAnsi="Abadi" w:cs="Arial Unicode MS"/>
            <w:sz w:val="21"/>
            <w:szCs w:val="21"/>
            <w:lang w:val="es-MX"/>
          </w:rPr>
          <w:t>la Ley Orgánica</w:t>
        </w:r>
      </w:smartTag>
      <w:r w:rsidRPr="004C763C">
        <w:rPr>
          <w:rFonts w:ascii="Abadi" w:eastAsia="Arial Unicode MS" w:hAnsi="Abadi" w:cs="Arial Unicode MS"/>
          <w:sz w:val="21"/>
          <w:szCs w:val="21"/>
          <w:lang w:val="es-MX"/>
        </w:rPr>
        <w:t xml:space="preserve"> del Poder Legislativo del Estado de Guanajuato, formula a </w:t>
      </w:r>
      <w:smartTag w:uri="urn:schemas-microsoft-com:office:smarttags" w:element="PersonName">
        <w:smartTagPr>
          <w:attr w:name="ProductID" w:val="la Asamblea"/>
        </w:smartTagPr>
        <w:r w:rsidRPr="004C763C">
          <w:rPr>
            <w:rFonts w:ascii="Abadi" w:eastAsia="Arial Unicode MS" w:hAnsi="Abadi" w:cs="Arial Unicode MS"/>
            <w:sz w:val="21"/>
            <w:szCs w:val="21"/>
            <w:lang w:val="es-MX"/>
          </w:rPr>
          <w:t>la Asamblea</w:t>
        </w:r>
      </w:smartTag>
      <w:r w:rsidRPr="004C763C">
        <w:rPr>
          <w:rFonts w:ascii="Abadi" w:eastAsia="Arial Unicode MS" w:hAnsi="Abadi" w:cs="Arial Unicode MS"/>
          <w:sz w:val="21"/>
          <w:szCs w:val="21"/>
          <w:lang w:val="es-MX"/>
        </w:rPr>
        <w:t xml:space="preserve"> el siguiente:</w:t>
      </w:r>
    </w:p>
    <w:p w14:paraId="3FB8B64D" w14:textId="77777777" w:rsidR="004C763C" w:rsidRPr="004C763C" w:rsidRDefault="004C763C" w:rsidP="00FF1A2F">
      <w:pPr>
        <w:ind w:firstLine="708"/>
        <w:jc w:val="both"/>
        <w:rPr>
          <w:rFonts w:ascii="Abadi" w:eastAsia="Arial Unicode MS" w:hAnsi="Abadi" w:cs="Arial Unicode MS"/>
          <w:sz w:val="21"/>
          <w:szCs w:val="21"/>
          <w:lang w:val="es-MX"/>
        </w:rPr>
      </w:pPr>
    </w:p>
    <w:p w14:paraId="2C368290" w14:textId="77777777" w:rsidR="004C763C" w:rsidRPr="004C763C" w:rsidRDefault="004C763C" w:rsidP="00FF1A2F">
      <w:pPr>
        <w:jc w:val="center"/>
        <w:rPr>
          <w:rFonts w:ascii="Abadi" w:eastAsia="Arial Unicode MS" w:hAnsi="Abadi" w:cs="Arial Unicode MS"/>
          <w:b/>
          <w:sz w:val="21"/>
          <w:szCs w:val="21"/>
          <w:lang w:val="es-MX"/>
        </w:rPr>
      </w:pPr>
    </w:p>
    <w:p w14:paraId="423B98F1" w14:textId="77777777" w:rsidR="004C763C" w:rsidRPr="004C763C" w:rsidRDefault="004C763C" w:rsidP="00FF1A2F">
      <w:pPr>
        <w:jc w:val="center"/>
        <w:rPr>
          <w:rFonts w:ascii="Abadi" w:eastAsia="Arial Unicode MS" w:hAnsi="Abadi" w:cs="Arial Unicode MS"/>
          <w:b/>
          <w:sz w:val="21"/>
          <w:szCs w:val="21"/>
          <w:lang w:val="es-MX"/>
        </w:rPr>
      </w:pPr>
      <w:r w:rsidRPr="004C763C">
        <w:rPr>
          <w:rFonts w:ascii="Abadi" w:eastAsia="Arial Unicode MS" w:hAnsi="Abadi" w:cs="Arial Unicode MS"/>
          <w:b/>
          <w:sz w:val="21"/>
          <w:szCs w:val="21"/>
          <w:lang w:val="es-MX"/>
        </w:rPr>
        <w:t>D I C T A M E N</w:t>
      </w:r>
    </w:p>
    <w:p w14:paraId="03672C19" w14:textId="77777777" w:rsidR="004C763C" w:rsidRPr="004C763C" w:rsidRDefault="004C763C" w:rsidP="00FF1A2F">
      <w:pPr>
        <w:ind w:firstLine="708"/>
        <w:jc w:val="both"/>
        <w:rPr>
          <w:rFonts w:ascii="Abadi" w:eastAsia="Arial Unicode MS" w:hAnsi="Abadi" w:cs="Arial Unicode MS"/>
          <w:sz w:val="21"/>
          <w:szCs w:val="21"/>
          <w:lang w:val="es-MX"/>
        </w:rPr>
      </w:pPr>
    </w:p>
    <w:p w14:paraId="281366B1" w14:textId="77777777" w:rsidR="004C763C" w:rsidRPr="004C763C" w:rsidRDefault="004C763C" w:rsidP="00FF1A2F">
      <w:pPr>
        <w:jc w:val="center"/>
        <w:rPr>
          <w:rFonts w:ascii="Abadi" w:eastAsia="Arial Unicode MS" w:hAnsi="Abadi" w:cs="Arial Unicode MS"/>
          <w:b/>
          <w:bCs/>
          <w:sz w:val="21"/>
          <w:szCs w:val="21"/>
          <w:lang w:val="es-MX"/>
        </w:rPr>
      </w:pPr>
    </w:p>
    <w:p w14:paraId="0B576334" w14:textId="77777777" w:rsidR="004C763C" w:rsidRPr="004C763C" w:rsidRDefault="004C763C" w:rsidP="00FF1A2F">
      <w:pPr>
        <w:rPr>
          <w:rFonts w:ascii="Abadi" w:eastAsia="Batang" w:hAnsi="Abadi" w:cs="Arial"/>
          <w:b/>
          <w:bCs/>
          <w:sz w:val="21"/>
          <w:szCs w:val="21"/>
          <w:lang w:val="es-MX" w:eastAsia="en-US"/>
        </w:rPr>
      </w:pPr>
      <w:r w:rsidRPr="004C763C">
        <w:rPr>
          <w:rFonts w:ascii="Abadi" w:eastAsia="Batang" w:hAnsi="Abadi" w:cs="Arial"/>
          <w:b/>
          <w:smallCaps/>
          <w:sz w:val="21"/>
          <w:szCs w:val="21"/>
          <w:lang w:val="es-MX" w:eastAsia="en-US"/>
        </w:rPr>
        <w:t>I.</w:t>
      </w:r>
      <w:r w:rsidRPr="004C763C">
        <w:rPr>
          <w:rFonts w:ascii="Abadi" w:eastAsia="Batang" w:hAnsi="Abadi" w:cs="Arial"/>
          <w:b/>
          <w:smallCaps/>
          <w:sz w:val="21"/>
          <w:szCs w:val="21"/>
          <w:lang w:val="es-MX" w:eastAsia="en-US"/>
        </w:rPr>
        <w:tab/>
      </w:r>
      <w:r w:rsidRPr="004C763C">
        <w:rPr>
          <w:rFonts w:ascii="Abadi" w:eastAsia="Batang" w:hAnsi="Abadi" w:cs="Arial"/>
          <w:b/>
          <w:bCs/>
          <w:sz w:val="21"/>
          <w:szCs w:val="21"/>
          <w:lang w:val="es-MX" w:eastAsia="en-US"/>
        </w:rPr>
        <w:t>Del Proceso Legislativo</w:t>
      </w:r>
    </w:p>
    <w:p w14:paraId="32857FA2" w14:textId="77777777" w:rsidR="004C763C" w:rsidRPr="004C763C" w:rsidRDefault="004C763C" w:rsidP="00FF1A2F">
      <w:pPr>
        <w:rPr>
          <w:rFonts w:ascii="Abadi" w:eastAsia="Batang" w:hAnsi="Abadi" w:cs="Arial"/>
          <w:b/>
          <w:bCs/>
          <w:sz w:val="21"/>
          <w:szCs w:val="21"/>
          <w:lang w:val="es-MX" w:eastAsia="en-US"/>
        </w:rPr>
      </w:pPr>
    </w:p>
    <w:p w14:paraId="467E371A" w14:textId="77777777" w:rsidR="004C763C" w:rsidRPr="004C763C" w:rsidRDefault="004C763C" w:rsidP="00FF1A2F">
      <w:pPr>
        <w:widowControl w:val="0"/>
        <w:tabs>
          <w:tab w:val="center" w:pos="4419"/>
          <w:tab w:val="right" w:pos="8838"/>
        </w:tabs>
        <w:contextualSpacing/>
        <w:jc w:val="both"/>
        <w:rPr>
          <w:rFonts w:ascii="Abadi" w:eastAsia="Arial Unicode MS" w:hAnsi="Abadi"/>
          <w:sz w:val="21"/>
          <w:szCs w:val="21"/>
          <w:lang w:val="es-MX"/>
        </w:rPr>
      </w:pPr>
      <w:r w:rsidRPr="004C763C">
        <w:rPr>
          <w:rFonts w:ascii="Abadi" w:eastAsia="Batang" w:hAnsi="Abadi" w:cs="Arial"/>
          <w:b/>
          <w:bCs/>
          <w:sz w:val="21"/>
          <w:szCs w:val="21"/>
          <w:lang w:val="es-MX" w:eastAsia="en-US"/>
        </w:rPr>
        <w:t xml:space="preserve">I.1. </w:t>
      </w:r>
      <w:r w:rsidRPr="004C763C">
        <w:rPr>
          <w:rFonts w:ascii="Abadi" w:eastAsia="Batang" w:hAnsi="Abadi" w:cs="Arial"/>
          <w:b/>
          <w:bCs/>
          <w:sz w:val="21"/>
          <w:szCs w:val="21"/>
          <w:lang w:val="es-MX" w:eastAsia="en-US"/>
        </w:rPr>
        <w:tab/>
      </w:r>
      <w:r w:rsidRPr="004C763C">
        <w:rPr>
          <w:rFonts w:ascii="Abadi" w:eastAsia="Arial Unicode MS" w:hAnsi="Abadi" w:cs="Arial Unicode MS"/>
          <w:sz w:val="21"/>
          <w:szCs w:val="21"/>
          <w:lang w:val="es-MX"/>
        </w:rPr>
        <w:t>En sesión del 18 de febrero de 2020 ingresó la iniciativa</w:t>
      </w:r>
      <w:r w:rsidRPr="004C763C">
        <w:rPr>
          <w:rFonts w:ascii="Abadi" w:eastAsia="Arial Unicode MS" w:hAnsi="Abadi"/>
          <w:sz w:val="21"/>
          <w:szCs w:val="21"/>
          <w:lang w:val="es-MX" w:eastAsia="en-US"/>
        </w:rPr>
        <w:t xml:space="preserve"> formulada por el diputado Ernesto Alejandro Prieto Gallardo integrante del Grupo Parlamentario del Partido Morena, a fin de reformar los artículos 20 y 21 de la Constitución Política para el Estado de Guanajuato, ante la Sexagésima Cuarta Legislatura, con el expediente </w:t>
      </w:r>
      <w:r w:rsidRPr="004C763C">
        <w:rPr>
          <w:rFonts w:ascii="Abadi" w:eastAsia="Arial Unicode MS" w:hAnsi="Abadi" w:cs="Arial Unicode MS"/>
          <w:sz w:val="21"/>
          <w:szCs w:val="21"/>
          <w:lang w:val="es-MX"/>
        </w:rPr>
        <w:t xml:space="preserve">64378, </w:t>
      </w:r>
      <w:r w:rsidRPr="004C763C">
        <w:rPr>
          <w:rFonts w:ascii="Abadi" w:eastAsia="Arial Unicode MS" w:hAnsi="Abadi"/>
          <w:sz w:val="21"/>
          <w:szCs w:val="21"/>
          <w:lang w:val="es-MX"/>
        </w:rPr>
        <w:t>turnándose en su momento por la presidencia del Congreso a la Comisión de Gobernación y Puntos Constitucionales, con fundamento en lo dispuesto por el artículo 111, fracción I de la Ley Orgánica del Poder Legislativo del Estado de Guanajuato, para su estudio y dictamen.</w:t>
      </w:r>
    </w:p>
    <w:p w14:paraId="7314C4B2" w14:textId="77777777" w:rsidR="004C763C" w:rsidRPr="004C763C" w:rsidRDefault="004C763C" w:rsidP="00FF1A2F">
      <w:pPr>
        <w:jc w:val="both"/>
        <w:rPr>
          <w:rFonts w:ascii="Abadi" w:eastAsia="Batang" w:hAnsi="Abadi" w:cs="Arial"/>
          <w:sz w:val="21"/>
          <w:szCs w:val="21"/>
          <w:highlight w:val="yellow"/>
          <w:lang w:val="es-MX" w:eastAsia="en-US"/>
        </w:rPr>
      </w:pPr>
    </w:p>
    <w:p w14:paraId="7ECAE236" w14:textId="77777777" w:rsidR="004C763C" w:rsidRPr="004C763C" w:rsidRDefault="004C763C" w:rsidP="00FF1A2F">
      <w:pPr>
        <w:jc w:val="both"/>
        <w:rPr>
          <w:rFonts w:ascii="Abadi" w:eastAsia="Batang" w:hAnsi="Abadi" w:cs="Arial"/>
          <w:sz w:val="21"/>
          <w:szCs w:val="21"/>
          <w:lang w:val="es-MX" w:eastAsia="en-US"/>
        </w:rPr>
      </w:pPr>
      <w:r w:rsidRPr="004C763C">
        <w:rPr>
          <w:rFonts w:ascii="Abadi" w:eastAsia="Batang" w:hAnsi="Abadi" w:cs="Arial"/>
          <w:b/>
          <w:sz w:val="21"/>
          <w:szCs w:val="21"/>
          <w:lang w:val="es-MX" w:eastAsia="en-US"/>
        </w:rPr>
        <w:t xml:space="preserve">I.2. </w:t>
      </w:r>
      <w:r w:rsidRPr="004C763C">
        <w:rPr>
          <w:rFonts w:ascii="Abadi" w:eastAsia="Batang" w:hAnsi="Abadi" w:cs="Arial"/>
          <w:sz w:val="21"/>
          <w:szCs w:val="21"/>
          <w:lang w:val="es-MX" w:eastAsia="en-US"/>
        </w:rPr>
        <w:t xml:space="preserve">En reunión de la Comisión de Gobernación y Puntos Constitucionales del 26 de febrero de 2020 se radicó la iniciativa y fue aprobada la metodología de estudio y dictamen en los siguientes términos: </w:t>
      </w:r>
    </w:p>
    <w:p w14:paraId="48553411" w14:textId="77777777" w:rsidR="004C763C" w:rsidRPr="004C763C" w:rsidRDefault="004C763C" w:rsidP="00FF1A2F">
      <w:pPr>
        <w:jc w:val="both"/>
        <w:rPr>
          <w:rFonts w:ascii="Abadi" w:eastAsia="Batang" w:hAnsi="Abadi" w:cs="Arial"/>
          <w:sz w:val="21"/>
          <w:szCs w:val="21"/>
          <w:lang w:val="es-MX" w:eastAsia="en-US"/>
        </w:rPr>
      </w:pPr>
    </w:p>
    <w:p w14:paraId="07BB5329" w14:textId="77777777" w:rsidR="004C763C" w:rsidRPr="004C763C" w:rsidRDefault="004C763C" w:rsidP="00FF1A2F">
      <w:pPr>
        <w:numPr>
          <w:ilvl w:val="0"/>
          <w:numId w:val="48"/>
        </w:numPr>
        <w:ind w:left="714" w:hanging="357"/>
        <w:jc w:val="both"/>
        <w:rPr>
          <w:rFonts w:ascii="Abadi" w:hAnsi="Abadi" w:cs="Calibri"/>
          <w:i/>
          <w:iCs/>
          <w:sz w:val="21"/>
          <w:szCs w:val="21"/>
          <w:lang w:val="es-MX" w:eastAsia="en-US"/>
        </w:rPr>
      </w:pPr>
      <w:r w:rsidRPr="004C763C">
        <w:rPr>
          <w:rFonts w:ascii="Abadi" w:hAnsi="Abadi" w:cs="Calibri"/>
          <w:i/>
          <w:iCs/>
          <w:sz w:val="21"/>
          <w:szCs w:val="21"/>
          <w:lang w:val="es-MX" w:eastAsia="en-US"/>
        </w:rPr>
        <w:t xml:space="preserve">Se </w:t>
      </w:r>
      <w:r w:rsidRPr="004C763C">
        <w:rPr>
          <w:rFonts w:ascii="Abadi" w:hAnsi="Abadi" w:cs="Calibri"/>
          <w:bCs/>
          <w:i/>
          <w:iCs/>
          <w:sz w:val="21"/>
          <w:szCs w:val="21"/>
          <w:lang w:val="es-MX" w:eastAsia="en-US"/>
        </w:rPr>
        <w:t>remitirá la iniciativa vía electrónica a las diputadas y los diputados integrantes de la Sexagésima Cuarta Legislatura, al Supremo Tribunal de Justicia del Estado, a la Coordinación General Jurídica de Gobierno del Estado, a los 46 ayuntamientos, al Instituto Electoral del Estado de Guanajuato, al Tribunal Estatal Electoral, a los colegios de profesionistas e instituciones de nivel superior en el estado q</w:t>
      </w:r>
      <w:r w:rsidRPr="004C763C">
        <w:rPr>
          <w:rFonts w:ascii="Abadi" w:hAnsi="Abadi" w:cs="Calibri"/>
          <w:i/>
          <w:iCs/>
          <w:sz w:val="21"/>
          <w:szCs w:val="21"/>
          <w:lang w:val="es-MX" w:eastAsia="en-US"/>
        </w:rPr>
        <w:t xml:space="preserve">uienes contarán con un término de 20 días hábiles para remitir los comentarios y observaciones que estimen pertinentes, a través de la misma vía de comunicación. </w:t>
      </w:r>
    </w:p>
    <w:p w14:paraId="3871FD59" w14:textId="77777777" w:rsidR="004C763C" w:rsidRPr="004C763C" w:rsidRDefault="004C763C" w:rsidP="00FF1A2F">
      <w:pPr>
        <w:ind w:left="714"/>
        <w:jc w:val="both"/>
        <w:rPr>
          <w:rFonts w:ascii="Abadi" w:hAnsi="Abadi" w:cs="Calibri"/>
          <w:i/>
          <w:iCs/>
          <w:sz w:val="21"/>
          <w:szCs w:val="21"/>
          <w:lang w:val="es-MX" w:eastAsia="en-US"/>
        </w:rPr>
      </w:pPr>
    </w:p>
    <w:p w14:paraId="081114AE" w14:textId="77777777" w:rsidR="004C763C" w:rsidRPr="004C763C" w:rsidRDefault="004C763C" w:rsidP="00FF1A2F">
      <w:pPr>
        <w:numPr>
          <w:ilvl w:val="0"/>
          <w:numId w:val="48"/>
        </w:numPr>
        <w:ind w:left="714" w:hanging="357"/>
        <w:jc w:val="both"/>
        <w:rPr>
          <w:rFonts w:ascii="Abadi" w:hAnsi="Abadi" w:cs="Calibri"/>
          <w:i/>
          <w:iCs/>
          <w:sz w:val="21"/>
          <w:szCs w:val="21"/>
          <w:lang w:val="es-MX" w:eastAsia="en-US"/>
        </w:rPr>
      </w:pPr>
      <w:r w:rsidRPr="004C763C">
        <w:rPr>
          <w:rFonts w:ascii="Abadi" w:hAnsi="Abadi" w:cs="Calibri"/>
          <w:i/>
          <w:iCs/>
          <w:sz w:val="21"/>
          <w:szCs w:val="21"/>
          <w:lang w:val="es-MX" w:eastAsia="en-US"/>
        </w:rPr>
        <w:t>Se creará un link a la página web del Congreso del Estado, para que la iniciativa pueda ser consultada y se puedan emitir observaciones.</w:t>
      </w:r>
    </w:p>
    <w:p w14:paraId="1253066B" w14:textId="77777777" w:rsidR="004C763C" w:rsidRPr="004C763C" w:rsidRDefault="004C763C" w:rsidP="00FF1A2F">
      <w:pPr>
        <w:ind w:left="720"/>
        <w:jc w:val="both"/>
        <w:rPr>
          <w:rFonts w:ascii="Abadi" w:hAnsi="Abadi" w:cs="Calibri"/>
          <w:i/>
          <w:iCs/>
          <w:sz w:val="21"/>
          <w:szCs w:val="21"/>
          <w:lang w:val="es-MX" w:eastAsia="en-US"/>
        </w:rPr>
      </w:pPr>
    </w:p>
    <w:p w14:paraId="1629FAFC" w14:textId="77777777" w:rsidR="004C763C" w:rsidRPr="004C763C" w:rsidRDefault="004C763C" w:rsidP="00FF1A2F">
      <w:pPr>
        <w:numPr>
          <w:ilvl w:val="0"/>
          <w:numId w:val="48"/>
        </w:numPr>
        <w:jc w:val="both"/>
        <w:rPr>
          <w:rFonts w:ascii="Abadi" w:hAnsi="Abadi" w:cs="Calibri"/>
          <w:i/>
          <w:iCs/>
          <w:sz w:val="21"/>
          <w:szCs w:val="21"/>
          <w:lang w:val="es-MX" w:eastAsia="en-US"/>
        </w:rPr>
      </w:pPr>
      <w:r w:rsidRPr="004C763C">
        <w:rPr>
          <w:rFonts w:ascii="Abadi" w:hAnsi="Abadi" w:cs="Calibri"/>
          <w:i/>
          <w:iCs/>
          <w:sz w:val="21"/>
          <w:szCs w:val="21"/>
          <w:lang w:val="es-MX" w:eastAsia="en-US"/>
        </w:rPr>
        <w:t xml:space="preserve">Las observaciones remitidas a la secretaría técnica serán compiladas y además se elaborará un documento con formato de comparativo que se circulará a </w:t>
      </w:r>
      <w:r w:rsidRPr="004C763C">
        <w:rPr>
          <w:rFonts w:ascii="Abadi" w:hAnsi="Abadi" w:cs="Calibri"/>
          <w:bCs/>
          <w:i/>
          <w:iCs/>
          <w:sz w:val="21"/>
          <w:szCs w:val="21"/>
          <w:lang w:val="es-MX" w:eastAsia="en-US"/>
        </w:rPr>
        <w:t>la Comisión</w:t>
      </w:r>
      <w:r w:rsidRPr="004C763C">
        <w:rPr>
          <w:rFonts w:ascii="Abadi" w:hAnsi="Abadi" w:cs="Calibri"/>
          <w:i/>
          <w:iCs/>
          <w:sz w:val="21"/>
          <w:szCs w:val="21"/>
          <w:lang w:val="es-MX" w:eastAsia="en-US"/>
        </w:rPr>
        <w:t>.</w:t>
      </w:r>
    </w:p>
    <w:p w14:paraId="638E4D4B" w14:textId="77777777" w:rsidR="004C763C" w:rsidRPr="004C763C" w:rsidRDefault="004C763C" w:rsidP="00FF1A2F">
      <w:pPr>
        <w:ind w:left="714"/>
        <w:jc w:val="both"/>
        <w:rPr>
          <w:rFonts w:ascii="Abadi" w:hAnsi="Abadi" w:cs="Calibri"/>
          <w:i/>
          <w:iCs/>
          <w:sz w:val="21"/>
          <w:szCs w:val="21"/>
          <w:lang w:val="es-MX" w:eastAsia="en-US"/>
        </w:rPr>
      </w:pPr>
    </w:p>
    <w:p w14:paraId="6538157A" w14:textId="77777777" w:rsidR="004C763C" w:rsidRPr="004C763C" w:rsidRDefault="004C763C" w:rsidP="00FF1A2F">
      <w:pPr>
        <w:numPr>
          <w:ilvl w:val="0"/>
          <w:numId w:val="48"/>
        </w:numPr>
        <w:ind w:left="714" w:hanging="357"/>
        <w:jc w:val="both"/>
        <w:rPr>
          <w:rFonts w:ascii="Abadi" w:hAnsi="Abadi" w:cs="Calibri"/>
          <w:i/>
          <w:iCs/>
          <w:sz w:val="21"/>
          <w:szCs w:val="21"/>
          <w:lang w:val="es-MX" w:eastAsia="en-US"/>
        </w:rPr>
      </w:pPr>
      <w:r w:rsidRPr="004C763C">
        <w:rPr>
          <w:rFonts w:ascii="Abadi" w:hAnsi="Abadi" w:cs="Calibri"/>
          <w:i/>
          <w:iCs/>
          <w:sz w:val="21"/>
          <w:szCs w:val="21"/>
          <w:lang w:val="es-MX" w:eastAsia="en-US"/>
        </w:rPr>
        <w:t>Se establecerá una mesa de trabajo conformada por las y los integrantes de la Comisión de Gobernación y Puntos Constitucionales, asesores que conforman la misma, en su caso un representante de las autoridades consultadas y, de los diputados y diputadas de esta Legislatura que deseen asistir, para discutir y analizar las observaciones remitidas. De igual forma, si durante el desahogo de la mesa de trabajo llegaran observaciones, estas serán tomadas en cuenta.</w:t>
      </w:r>
    </w:p>
    <w:p w14:paraId="339CE45B" w14:textId="77777777" w:rsidR="004C763C" w:rsidRPr="004C763C" w:rsidRDefault="004C763C" w:rsidP="00FF1A2F">
      <w:pPr>
        <w:jc w:val="both"/>
        <w:rPr>
          <w:rFonts w:ascii="Abadi" w:eastAsia="Batang" w:hAnsi="Abadi" w:cs="Arial"/>
          <w:b/>
          <w:sz w:val="21"/>
          <w:szCs w:val="21"/>
          <w:lang w:val="es-MX" w:eastAsia="en-US"/>
        </w:rPr>
      </w:pPr>
    </w:p>
    <w:p w14:paraId="24F13447" w14:textId="77777777" w:rsidR="004C763C" w:rsidRPr="004C763C" w:rsidRDefault="004C763C" w:rsidP="00FF1A2F">
      <w:pPr>
        <w:jc w:val="both"/>
        <w:rPr>
          <w:rFonts w:ascii="Abadi" w:hAnsi="Abadi" w:cs="Arial"/>
          <w:sz w:val="21"/>
          <w:szCs w:val="21"/>
          <w:lang w:val="es-MX" w:eastAsia="en-US"/>
        </w:rPr>
      </w:pPr>
      <w:r w:rsidRPr="004C763C">
        <w:rPr>
          <w:rFonts w:ascii="Abadi" w:eastAsia="Batang" w:hAnsi="Abadi" w:cs="Arial"/>
          <w:b/>
          <w:sz w:val="21"/>
          <w:szCs w:val="21"/>
          <w:lang w:val="es-MX" w:eastAsia="en-US"/>
        </w:rPr>
        <w:t>II.1.</w:t>
      </w:r>
      <w:r w:rsidRPr="004C763C">
        <w:rPr>
          <w:rFonts w:ascii="Abadi" w:hAnsi="Abadi" w:cs="Arial"/>
          <w:sz w:val="21"/>
          <w:szCs w:val="21"/>
          <w:lang w:val="es-MX" w:eastAsia="en-US"/>
        </w:rPr>
        <w:t xml:space="preserve">  Derivado de ese ejercicio de consulta al Supremo Tribunal de Justicia del Estado, a la Coordinación General Jurídica de Gobierno del Estado, a los 46 ayuntamientos, al Instituto Electoral del Estado de Guanajuato, al Tribunal Estatal Electoral, a los colegios de profesionistas e instituciones de nivel superior en el estado, bajo el principio de parlamento abierto respondieron, el Poder Judicial del Estado, el Instituto Electoral del Estado de Guanajuato, la Universidad La Salle y la Universidad de Guanajuato; así como los ayuntamientos de León, Irapuato y Villagrán.</w:t>
      </w:r>
    </w:p>
    <w:p w14:paraId="546F4AA1" w14:textId="77777777" w:rsidR="004C763C" w:rsidRPr="004C763C" w:rsidRDefault="004C763C" w:rsidP="00FF1A2F">
      <w:pPr>
        <w:jc w:val="both"/>
        <w:rPr>
          <w:rFonts w:ascii="Abadi" w:hAnsi="Abadi" w:cs="Arial"/>
          <w:sz w:val="21"/>
          <w:szCs w:val="21"/>
          <w:lang w:val="es-MX" w:eastAsia="en-US"/>
        </w:rPr>
      </w:pPr>
    </w:p>
    <w:p w14:paraId="4C8EDD3A" w14:textId="77777777" w:rsidR="004C763C" w:rsidRPr="004C763C" w:rsidRDefault="004C763C" w:rsidP="00FF1A2F">
      <w:pPr>
        <w:ind w:firstLine="708"/>
        <w:jc w:val="both"/>
        <w:rPr>
          <w:rFonts w:ascii="Abadi" w:hAnsi="Abadi" w:cs="Arial"/>
          <w:sz w:val="21"/>
          <w:szCs w:val="21"/>
          <w:lang w:val="es-MX" w:eastAsia="en-US"/>
        </w:rPr>
      </w:pPr>
      <w:r w:rsidRPr="004C763C">
        <w:rPr>
          <w:rFonts w:ascii="Abadi" w:hAnsi="Abadi" w:cs="Arial"/>
          <w:sz w:val="21"/>
          <w:szCs w:val="21"/>
          <w:lang w:val="es-MX" w:eastAsia="en-US"/>
        </w:rPr>
        <w:t>Se manifestaron los ayuntamientos de Purísima del Rincón, San Francisco del Rincón, Abasolo y Celaya.</w:t>
      </w:r>
    </w:p>
    <w:p w14:paraId="1FC9D2A3" w14:textId="77777777" w:rsidR="004C763C" w:rsidRPr="004C763C" w:rsidRDefault="004C763C" w:rsidP="00FF1A2F">
      <w:pPr>
        <w:jc w:val="both"/>
        <w:rPr>
          <w:rFonts w:ascii="Abadi" w:hAnsi="Abadi" w:cs="Arial"/>
          <w:sz w:val="21"/>
          <w:szCs w:val="21"/>
          <w:lang w:val="es-MX" w:eastAsia="en-US"/>
        </w:rPr>
      </w:pPr>
    </w:p>
    <w:p w14:paraId="1CA28584" w14:textId="77777777" w:rsidR="004C763C" w:rsidRPr="004C763C" w:rsidRDefault="004C763C" w:rsidP="00FF1A2F">
      <w:pPr>
        <w:widowControl w:val="0"/>
        <w:autoSpaceDE w:val="0"/>
        <w:autoSpaceDN w:val="0"/>
        <w:ind w:right="41" w:firstLine="708"/>
        <w:jc w:val="both"/>
        <w:rPr>
          <w:rFonts w:ascii="Abadi" w:hAnsi="Abadi" w:cs="Arial"/>
          <w:sz w:val="21"/>
          <w:szCs w:val="21"/>
          <w:lang w:val="es-MX" w:eastAsia="en-US"/>
        </w:rPr>
      </w:pPr>
      <w:r w:rsidRPr="004C763C">
        <w:rPr>
          <w:rFonts w:ascii="Abadi" w:hAnsi="Abadi" w:cs="Arial"/>
          <w:sz w:val="21"/>
          <w:szCs w:val="21"/>
          <w:lang w:val="es-MX" w:eastAsia="en-US"/>
        </w:rPr>
        <w:t xml:space="preserve">El Instituto Electoral del Estado de Guanajuato manifestó que: </w:t>
      </w:r>
    </w:p>
    <w:p w14:paraId="21E8EBAD" w14:textId="77777777" w:rsidR="004C763C" w:rsidRPr="004C763C" w:rsidRDefault="004C763C" w:rsidP="00FF1A2F">
      <w:pPr>
        <w:widowControl w:val="0"/>
        <w:autoSpaceDE w:val="0"/>
        <w:autoSpaceDN w:val="0"/>
        <w:ind w:right="41"/>
        <w:jc w:val="both"/>
        <w:rPr>
          <w:rFonts w:ascii="Abadi" w:hAnsi="Abadi" w:cs="Arial"/>
          <w:sz w:val="21"/>
          <w:szCs w:val="21"/>
          <w:lang w:val="es-MX" w:eastAsia="en-US"/>
        </w:rPr>
      </w:pPr>
    </w:p>
    <w:p w14:paraId="7FA613B3" w14:textId="77777777" w:rsidR="004C763C" w:rsidRPr="004C763C" w:rsidRDefault="004C763C" w:rsidP="00FF1A2F">
      <w:pPr>
        <w:ind w:left="1134" w:right="1065"/>
        <w:jc w:val="both"/>
        <w:rPr>
          <w:rFonts w:ascii="Abadi" w:hAnsi="Abadi" w:cs="Arial"/>
          <w:i/>
          <w:iCs/>
          <w:sz w:val="21"/>
          <w:szCs w:val="21"/>
          <w:lang w:val="es-MX" w:eastAsia="en-US"/>
        </w:rPr>
      </w:pPr>
      <w:r w:rsidRPr="004C763C">
        <w:rPr>
          <w:rFonts w:ascii="Abadi" w:hAnsi="Abadi" w:cs="Arial"/>
          <w:i/>
          <w:iCs/>
          <w:sz w:val="21"/>
          <w:szCs w:val="21"/>
          <w:lang w:val="es-MX" w:eastAsia="en-US"/>
        </w:rPr>
        <w:t>(…) los artículos 45 y 110 de la Constitución Política para el Estado de Guanajuato establecen como requisitos de elegibilidad para ser diputada o diputado del Congreso del estado y para integrar un ayuntamiento, ser guanajuatense en pleno ejercicio de sus derechos y tener una residencia previa de por lo menos dos años en el estado en tratándose de diputaciones- o en el municipio de que se trate en el caso de ayuntamientos. Por otra parte, respecto a la gubernatura del estado, el artículo 68 del mismo cuerpo normativo en su fracción I, establece el requisito de elegibilidad consistente en ser guanajuatense por nacimiento o tener residencia efectiva no menor de cinco años inmediatamente anteriores al día de la elección.</w:t>
      </w:r>
    </w:p>
    <w:p w14:paraId="214EC1A6" w14:textId="77777777" w:rsidR="004C763C" w:rsidRPr="004C763C" w:rsidRDefault="004C763C" w:rsidP="00FF1A2F">
      <w:pPr>
        <w:ind w:left="1134" w:right="1065"/>
        <w:jc w:val="both"/>
        <w:rPr>
          <w:rFonts w:ascii="Abadi" w:hAnsi="Abadi" w:cs="Arial"/>
          <w:i/>
          <w:iCs/>
          <w:sz w:val="21"/>
          <w:szCs w:val="21"/>
          <w:lang w:val="es-MX" w:eastAsia="en-US"/>
        </w:rPr>
      </w:pPr>
    </w:p>
    <w:p w14:paraId="6567CE73" w14:textId="77777777" w:rsidR="004C763C" w:rsidRPr="004C763C" w:rsidRDefault="004C763C" w:rsidP="00FF1A2F">
      <w:pPr>
        <w:ind w:left="1134" w:right="1065"/>
        <w:jc w:val="both"/>
        <w:rPr>
          <w:rFonts w:ascii="Abadi" w:hAnsi="Abadi" w:cs="Arial"/>
          <w:i/>
          <w:iCs/>
          <w:sz w:val="21"/>
          <w:szCs w:val="21"/>
          <w:lang w:val="es-MX" w:eastAsia="en-US"/>
        </w:rPr>
      </w:pPr>
      <w:r w:rsidRPr="004C763C">
        <w:rPr>
          <w:rFonts w:ascii="Abadi" w:hAnsi="Abadi" w:cs="Arial"/>
          <w:i/>
          <w:iCs/>
          <w:sz w:val="21"/>
          <w:szCs w:val="21"/>
          <w:lang w:val="es-MX" w:eastAsia="en-US"/>
        </w:rPr>
        <w:t>En este orden de ideas, conforme a la iniciativa que nos ocupa, personas que no hayan nacido en el estado ni sean guanajuatenses por vecindad, pero sean hijas o hijos de padre o madre guanajuatense, podrían aspirar a cargos de elección popular, en razón de que el artículo 23 fracción III de la Constitución Política para el Estado de Guanajuato establece que las ciudadanas y ciudadanos guanajuatenses tienen derecho a ser votadas y votados para dichos cargos teniendo las calidades que establezca la ley, sin distinguir dicha disposición jurídica entre guanajuatenses por nacimiento o por vecindad.</w:t>
      </w:r>
    </w:p>
    <w:p w14:paraId="5A68071D" w14:textId="77777777" w:rsidR="004C763C" w:rsidRPr="004C763C" w:rsidRDefault="004C763C" w:rsidP="00FF1A2F">
      <w:pPr>
        <w:ind w:firstLine="708"/>
        <w:jc w:val="both"/>
        <w:rPr>
          <w:rFonts w:ascii="Abadi" w:hAnsi="Abadi" w:cs="Arial"/>
          <w:sz w:val="21"/>
          <w:szCs w:val="21"/>
          <w:highlight w:val="yellow"/>
          <w:lang w:val="es-MX" w:eastAsia="en-US"/>
        </w:rPr>
      </w:pPr>
    </w:p>
    <w:p w14:paraId="63E5CE9B" w14:textId="77777777" w:rsidR="004C763C" w:rsidRPr="004C763C" w:rsidRDefault="004C763C" w:rsidP="00FF1A2F">
      <w:pPr>
        <w:ind w:left="1134" w:right="1065"/>
        <w:jc w:val="both"/>
        <w:rPr>
          <w:rFonts w:ascii="Abadi" w:hAnsi="Abadi" w:cs="Arial"/>
          <w:i/>
          <w:iCs/>
          <w:sz w:val="21"/>
          <w:szCs w:val="21"/>
          <w:lang w:val="es-MX" w:eastAsia="en-US"/>
        </w:rPr>
      </w:pPr>
    </w:p>
    <w:p w14:paraId="0233FFCE" w14:textId="77777777" w:rsidR="004C763C" w:rsidRPr="004C763C" w:rsidRDefault="004C763C" w:rsidP="00FF1A2F">
      <w:pPr>
        <w:ind w:firstLine="708"/>
        <w:contextualSpacing/>
        <w:jc w:val="both"/>
        <w:rPr>
          <w:rFonts w:ascii="Abadi" w:hAnsi="Abadi" w:cs="Arial"/>
          <w:sz w:val="21"/>
          <w:szCs w:val="21"/>
          <w:lang w:val="es-MX" w:eastAsia="en-US"/>
        </w:rPr>
      </w:pPr>
      <w:r w:rsidRPr="004C763C">
        <w:rPr>
          <w:rFonts w:ascii="Abadi" w:hAnsi="Abadi" w:cs="Arial"/>
          <w:sz w:val="21"/>
          <w:szCs w:val="21"/>
          <w:lang w:val="es-MX" w:eastAsia="en-US"/>
        </w:rPr>
        <w:t xml:space="preserve">La Universidad De La Salle Bajío manifestó que: </w:t>
      </w:r>
    </w:p>
    <w:p w14:paraId="1FE9401B" w14:textId="77777777" w:rsidR="004C763C" w:rsidRPr="004C763C" w:rsidRDefault="004C763C" w:rsidP="00FF1A2F">
      <w:pPr>
        <w:ind w:left="1134" w:right="1065"/>
        <w:jc w:val="both"/>
        <w:rPr>
          <w:rFonts w:ascii="Abadi" w:hAnsi="Abadi" w:cs="Arial"/>
          <w:i/>
          <w:iCs/>
          <w:sz w:val="21"/>
          <w:szCs w:val="21"/>
          <w:lang w:val="es-MX" w:eastAsia="en-US"/>
        </w:rPr>
      </w:pPr>
      <w:r w:rsidRPr="004C763C">
        <w:rPr>
          <w:rFonts w:ascii="Abadi" w:hAnsi="Abadi" w:cs="Arial"/>
          <w:i/>
          <w:iCs/>
          <w:sz w:val="21"/>
          <w:szCs w:val="21"/>
          <w:lang w:val="es-MX" w:eastAsia="en-US"/>
        </w:rPr>
        <w:t>(…) conforme a la exposición de motivos fundamentada en esta iniciativa, se considera que la misma en un inicio parece proteger de primera mano Derechos Humanos Fundamentales, tales como el Arraigo cultural, y el derecho de Identidad, sin embargo se discurre que la misma carece de criterios que expongan la necesidad de ser reconocidas en dicho ordenamiento legal dichas prerrogativas, por lo siguiente.</w:t>
      </w:r>
    </w:p>
    <w:p w14:paraId="524CFD1D" w14:textId="77777777" w:rsidR="004C763C" w:rsidRPr="004C763C" w:rsidRDefault="004C763C" w:rsidP="00FF1A2F">
      <w:pPr>
        <w:ind w:left="1134" w:right="1065"/>
        <w:jc w:val="both"/>
        <w:rPr>
          <w:rFonts w:ascii="Abadi" w:hAnsi="Abadi" w:cs="Arial"/>
          <w:i/>
          <w:iCs/>
          <w:sz w:val="21"/>
          <w:szCs w:val="21"/>
          <w:lang w:val="es-MX" w:eastAsia="en-US"/>
        </w:rPr>
      </w:pPr>
    </w:p>
    <w:p w14:paraId="6E971FF1" w14:textId="77777777" w:rsidR="004C763C" w:rsidRPr="004C763C" w:rsidRDefault="004C763C" w:rsidP="00FF1A2F">
      <w:pPr>
        <w:ind w:left="1134" w:right="1065"/>
        <w:jc w:val="both"/>
        <w:rPr>
          <w:rFonts w:ascii="Abadi" w:hAnsi="Abadi" w:cs="Arial"/>
          <w:i/>
          <w:iCs/>
          <w:sz w:val="21"/>
          <w:szCs w:val="21"/>
          <w:lang w:val="es-MX" w:eastAsia="en-US"/>
        </w:rPr>
      </w:pPr>
      <w:r w:rsidRPr="004C763C">
        <w:rPr>
          <w:rFonts w:ascii="Abadi" w:hAnsi="Abadi" w:cs="Arial"/>
          <w:i/>
          <w:iCs/>
          <w:sz w:val="21"/>
          <w:szCs w:val="21"/>
          <w:lang w:val="es-MX" w:eastAsia="en-US"/>
        </w:rPr>
        <w:t>El arraigo y el reconocimiento de los derechos político-electorales que se describen no son las únicas atribuciones, que, de llevarse a cabo la adición a dichos artículos, puedan desempeñar o ampliar los derechos de quienes, por la calidad de ciudadanos en nuestro estado, alcancen la garantía de los derechos reconocidos en la Constitución Local.</w:t>
      </w:r>
    </w:p>
    <w:p w14:paraId="36B15BA9" w14:textId="77777777" w:rsidR="004C763C" w:rsidRPr="004C763C" w:rsidRDefault="004C763C" w:rsidP="00FF1A2F">
      <w:pPr>
        <w:ind w:left="1134" w:right="1065"/>
        <w:jc w:val="both"/>
        <w:rPr>
          <w:rFonts w:ascii="Abadi" w:hAnsi="Abadi" w:cs="Arial"/>
          <w:i/>
          <w:iCs/>
          <w:sz w:val="21"/>
          <w:szCs w:val="21"/>
          <w:lang w:val="es-MX" w:eastAsia="en-US"/>
        </w:rPr>
      </w:pPr>
    </w:p>
    <w:p w14:paraId="4D1626A7" w14:textId="77777777" w:rsidR="004C763C" w:rsidRPr="004C763C" w:rsidRDefault="004C763C" w:rsidP="00FF1A2F">
      <w:pPr>
        <w:ind w:left="1134" w:right="1065"/>
        <w:jc w:val="both"/>
        <w:rPr>
          <w:rFonts w:ascii="Abadi" w:hAnsi="Abadi" w:cs="Arial"/>
          <w:i/>
          <w:iCs/>
          <w:sz w:val="21"/>
          <w:szCs w:val="21"/>
          <w:lang w:val="es-MX" w:eastAsia="en-US"/>
        </w:rPr>
      </w:pPr>
      <w:r w:rsidRPr="004C763C">
        <w:rPr>
          <w:rFonts w:ascii="Abadi" w:hAnsi="Abadi" w:cs="Arial"/>
          <w:i/>
          <w:iCs/>
          <w:sz w:val="21"/>
          <w:szCs w:val="21"/>
          <w:lang w:val="es-MX" w:eastAsia="en-US"/>
        </w:rPr>
        <w:t>En la segunda adición al Artículo 20 descrita con antelación, se sugiere el reconocimiento de la ciudadanía guanajuatense a los nacidos fuera del territorio nacional. Entonces, de este hecho se aprecia que, una vez reconocida la calidad de Guanajuatenses a los sujetos que actualicen el supuesto propuesto, se les confieren a los mismos, los derechos que puede ejercer cualquier ciudadano de nuestra entidad federativa, sin embargo de no ser así, la presente iniciativa debe precisar los alcances concretos, de los derechos sociales, culturales, económicos, políticos y electorales a los cuales se puede tener alcance.</w:t>
      </w:r>
    </w:p>
    <w:p w14:paraId="65D5C0B6" w14:textId="77777777" w:rsidR="004C763C" w:rsidRPr="004C763C" w:rsidRDefault="004C763C" w:rsidP="00FF1A2F">
      <w:pPr>
        <w:ind w:right="41"/>
        <w:jc w:val="both"/>
        <w:rPr>
          <w:rFonts w:ascii="Abadi" w:hAnsi="Abadi" w:cs="Arial Unicode MS"/>
          <w:sz w:val="21"/>
          <w:szCs w:val="21"/>
        </w:rPr>
      </w:pPr>
    </w:p>
    <w:p w14:paraId="544F0379" w14:textId="77777777" w:rsidR="004C763C" w:rsidRPr="004C763C" w:rsidRDefault="004C763C" w:rsidP="00FF1A2F">
      <w:pPr>
        <w:ind w:left="1134" w:right="1065"/>
        <w:jc w:val="both"/>
        <w:rPr>
          <w:rFonts w:ascii="Abadi" w:hAnsi="Abadi" w:cs="Arial"/>
          <w:i/>
          <w:iCs/>
          <w:sz w:val="21"/>
          <w:szCs w:val="21"/>
          <w:lang w:val="es-MX" w:eastAsia="en-US"/>
        </w:rPr>
      </w:pPr>
    </w:p>
    <w:p w14:paraId="76450E5F" w14:textId="77777777" w:rsidR="004C763C" w:rsidRPr="004C763C" w:rsidRDefault="004C763C" w:rsidP="00FF1A2F">
      <w:pPr>
        <w:ind w:firstLine="708"/>
        <w:jc w:val="both"/>
        <w:rPr>
          <w:rFonts w:ascii="Abadi" w:hAnsi="Abadi" w:cs="Arial"/>
          <w:sz w:val="21"/>
          <w:szCs w:val="21"/>
          <w:lang w:val="es-MX" w:eastAsia="en-US"/>
        </w:rPr>
      </w:pPr>
      <w:r w:rsidRPr="004C763C">
        <w:rPr>
          <w:rFonts w:ascii="Abadi" w:hAnsi="Abadi" w:cs="Arial"/>
          <w:sz w:val="21"/>
          <w:szCs w:val="21"/>
          <w:lang w:val="es-MX" w:eastAsia="en-US"/>
        </w:rPr>
        <w:t xml:space="preserve">El ayuntamiento de León manifestó que: </w:t>
      </w:r>
    </w:p>
    <w:p w14:paraId="52455569" w14:textId="77777777" w:rsidR="004C763C" w:rsidRPr="004C763C" w:rsidRDefault="004C763C" w:rsidP="00FF1A2F">
      <w:pPr>
        <w:jc w:val="both"/>
        <w:rPr>
          <w:rFonts w:ascii="Abadi" w:hAnsi="Abadi" w:cs="Arial"/>
          <w:sz w:val="21"/>
          <w:szCs w:val="21"/>
          <w:lang w:val="es-MX" w:eastAsia="en-US"/>
        </w:rPr>
      </w:pPr>
    </w:p>
    <w:p w14:paraId="48EA8392" w14:textId="77777777" w:rsidR="004C763C" w:rsidRPr="004C763C" w:rsidRDefault="004C763C" w:rsidP="00FF1A2F">
      <w:pPr>
        <w:ind w:left="1134" w:right="1065"/>
        <w:jc w:val="both"/>
        <w:rPr>
          <w:rFonts w:ascii="Abadi" w:hAnsi="Abadi" w:cs="Arial"/>
          <w:i/>
          <w:iCs/>
          <w:sz w:val="21"/>
          <w:szCs w:val="21"/>
          <w:lang w:val="es-MX" w:eastAsia="en-US"/>
        </w:rPr>
      </w:pPr>
      <w:r w:rsidRPr="004C763C">
        <w:rPr>
          <w:rFonts w:ascii="Abadi" w:hAnsi="Abadi" w:cs="Arial"/>
          <w:i/>
          <w:iCs/>
          <w:sz w:val="21"/>
          <w:szCs w:val="21"/>
          <w:lang w:val="es-MX" w:eastAsia="en-US"/>
        </w:rPr>
        <w:t>(…) coincide con el objetivo general del iniciante para preservar la identidad y relaciones familiares de los hijos de padres guanajuatenses. Sin embargo, de conformidad a la exposición de motivos de la iniciativa se hacen las siguientes observaciones en lo particular:</w:t>
      </w:r>
    </w:p>
    <w:p w14:paraId="67C65D7D" w14:textId="77777777" w:rsidR="004C763C" w:rsidRPr="004C763C" w:rsidRDefault="004C763C" w:rsidP="00FF1A2F">
      <w:pPr>
        <w:ind w:left="1134" w:right="1065"/>
        <w:jc w:val="both"/>
        <w:rPr>
          <w:rFonts w:ascii="Abadi" w:hAnsi="Abadi" w:cs="Arial"/>
          <w:i/>
          <w:iCs/>
          <w:sz w:val="21"/>
          <w:szCs w:val="21"/>
          <w:lang w:val="es-MX" w:eastAsia="en-US"/>
        </w:rPr>
      </w:pPr>
    </w:p>
    <w:p w14:paraId="3FFD825D" w14:textId="77777777" w:rsidR="004C763C" w:rsidRPr="004C763C" w:rsidRDefault="004C763C" w:rsidP="00FF1A2F">
      <w:pPr>
        <w:ind w:left="1134" w:right="1065"/>
        <w:jc w:val="both"/>
        <w:rPr>
          <w:rFonts w:ascii="Abadi" w:hAnsi="Abadi" w:cs="Arial"/>
          <w:i/>
          <w:iCs/>
          <w:sz w:val="21"/>
          <w:szCs w:val="21"/>
          <w:lang w:val="es-MX" w:eastAsia="en-US"/>
        </w:rPr>
      </w:pPr>
      <w:r w:rsidRPr="004C763C">
        <w:rPr>
          <w:rFonts w:ascii="Abadi" w:hAnsi="Abadi" w:cs="Arial"/>
          <w:i/>
          <w:iCs/>
          <w:sz w:val="21"/>
          <w:szCs w:val="21"/>
          <w:lang w:val="es-MX" w:eastAsia="en-US"/>
        </w:rPr>
        <w:t>Sobre el vínculo ius sanguinis: La Contradicción de Tesis 430/2013 establece que un vínculo biológico no se refleja en el plano jurídico, sino que debe reconocerse el derecho de la persona (sea mayor o menor de edad) a lograr el estado de familia que corresponde con su relación de sangre y, para ello, deberá contar con las acciones pertinentes, tanto para destruir un emplazamiento que no coincida con dicho vínculo como para obtener el que logre la debida concordancia.</w:t>
      </w:r>
    </w:p>
    <w:p w14:paraId="7B7F1095" w14:textId="77777777" w:rsidR="004C763C" w:rsidRPr="004C763C" w:rsidRDefault="004C763C" w:rsidP="00FF1A2F">
      <w:pPr>
        <w:ind w:left="1134" w:right="1065"/>
        <w:jc w:val="both"/>
        <w:rPr>
          <w:rFonts w:ascii="Abadi" w:hAnsi="Abadi" w:cs="Arial"/>
          <w:i/>
          <w:iCs/>
          <w:sz w:val="21"/>
          <w:szCs w:val="21"/>
          <w:lang w:val="es-MX" w:eastAsia="en-US"/>
        </w:rPr>
      </w:pPr>
    </w:p>
    <w:p w14:paraId="54AC2C6C" w14:textId="77777777" w:rsidR="004C763C" w:rsidRPr="004C763C" w:rsidRDefault="004C763C" w:rsidP="00FF1A2F">
      <w:pPr>
        <w:ind w:left="1134" w:right="1065"/>
        <w:jc w:val="both"/>
        <w:rPr>
          <w:rFonts w:ascii="Abadi" w:hAnsi="Abadi" w:cs="Arial"/>
          <w:i/>
          <w:iCs/>
          <w:sz w:val="21"/>
          <w:szCs w:val="21"/>
          <w:lang w:val="es-MX" w:eastAsia="en-US"/>
        </w:rPr>
      </w:pPr>
      <w:r w:rsidRPr="004C763C">
        <w:rPr>
          <w:rFonts w:ascii="Abadi" w:hAnsi="Abadi" w:cs="Arial"/>
          <w:i/>
          <w:iCs/>
          <w:sz w:val="21"/>
          <w:szCs w:val="21"/>
          <w:lang w:val="es-MX" w:eastAsia="en-US"/>
        </w:rPr>
        <w:t>En razón de este punto, cabe destacar que nuestra Constitución Estatal reconoce un derecho de suelo, lo que implica que la identidad viene determinada por el preciso lugar en el que se encuentran los progenitores de la persona en el momento de su nacimiento independientemente del origen de los mismos; en contraposición el ius sanguinis es preferido por otros Estados bajo el argumento de la búsqueda de la cohesión étnica y social, es de considerar que al respecto de la propuesta de reforma se deberán revisar los aspectos de movimiento poblacionales en nuestro Estado y necesidad real de la modificación.</w:t>
      </w:r>
    </w:p>
    <w:p w14:paraId="6C3114A8" w14:textId="77777777" w:rsidR="004C763C" w:rsidRPr="004C763C" w:rsidRDefault="004C763C" w:rsidP="00FF1A2F">
      <w:pPr>
        <w:ind w:left="1134" w:right="1065"/>
        <w:jc w:val="both"/>
        <w:rPr>
          <w:rFonts w:ascii="Abadi" w:hAnsi="Abadi" w:cs="Arial"/>
          <w:i/>
          <w:iCs/>
          <w:sz w:val="21"/>
          <w:szCs w:val="21"/>
          <w:lang w:val="es-MX" w:eastAsia="en-US"/>
        </w:rPr>
      </w:pPr>
      <w:r w:rsidRPr="004C763C">
        <w:rPr>
          <w:rFonts w:ascii="Abadi" w:hAnsi="Abadi" w:cs="Arial"/>
          <w:i/>
          <w:iCs/>
          <w:sz w:val="21"/>
          <w:szCs w:val="21"/>
          <w:lang w:val="es-MX" w:eastAsia="en-US"/>
        </w:rPr>
        <w:t xml:space="preserve"> </w:t>
      </w:r>
    </w:p>
    <w:p w14:paraId="31F260AD" w14:textId="77777777" w:rsidR="004C763C" w:rsidRPr="004C763C" w:rsidRDefault="004C763C" w:rsidP="00FF1A2F">
      <w:pPr>
        <w:ind w:firstLine="708"/>
        <w:jc w:val="both"/>
        <w:rPr>
          <w:rFonts w:ascii="Abadi" w:hAnsi="Abadi" w:cs="Arial"/>
          <w:sz w:val="21"/>
          <w:szCs w:val="21"/>
          <w:lang w:val="es-MX" w:eastAsia="en-US"/>
        </w:rPr>
      </w:pPr>
    </w:p>
    <w:p w14:paraId="3A739933" w14:textId="77777777" w:rsidR="004C763C" w:rsidRPr="004C763C" w:rsidRDefault="004C763C" w:rsidP="00FF1A2F">
      <w:pPr>
        <w:ind w:firstLine="708"/>
        <w:jc w:val="both"/>
        <w:rPr>
          <w:rFonts w:ascii="Abadi" w:hAnsi="Abadi" w:cs="Arial"/>
          <w:i/>
          <w:sz w:val="21"/>
          <w:szCs w:val="21"/>
          <w:lang w:val="es-ES_tradnl"/>
        </w:rPr>
      </w:pPr>
      <w:r w:rsidRPr="004C763C">
        <w:rPr>
          <w:rFonts w:ascii="Abadi" w:hAnsi="Abadi" w:cs="Arial"/>
          <w:sz w:val="21"/>
          <w:szCs w:val="21"/>
          <w:lang w:val="es-MX" w:eastAsia="en-US"/>
        </w:rPr>
        <w:t>El ayuntamiento de Irapuato manifestó que:</w:t>
      </w:r>
      <w:r w:rsidRPr="004C763C">
        <w:rPr>
          <w:rFonts w:ascii="Abadi" w:hAnsi="Abadi" w:cs="Arial"/>
          <w:i/>
          <w:sz w:val="21"/>
          <w:szCs w:val="21"/>
          <w:lang w:val="es-ES_tradnl"/>
        </w:rPr>
        <w:t xml:space="preserve"> </w:t>
      </w:r>
    </w:p>
    <w:p w14:paraId="7FC916E2" w14:textId="77777777" w:rsidR="004C763C" w:rsidRPr="004C763C" w:rsidRDefault="004C763C" w:rsidP="00FF1A2F">
      <w:pPr>
        <w:jc w:val="both"/>
        <w:rPr>
          <w:rFonts w:ascii="Abadi" w:hAnsi="Abadi" w:cs="Arial"/>
          <w:i/>
          <w:sz w:val="21"/>
          <w:szCs w:val="21"/>
          <w:lang w:val="es-ES_tradnl"/>
        </w:rPr>
      </w:pPr>
    </w:p>
    <w:p w14:paraId="607FE8BE" w14:textId="77777777" w:rsidR="004C763C" w:rsidRPr="004C763C" w:rsidRDefault="004C763C" w:rsidP="00FF1A2F">
      <w:pPr>
        <w:ind w:left="1134" w:right="1065"/>
        <w:jc w:val="both"/>
        <w:rPr>
          <w:rFonts w:ascii="Abadi" w:hAnsi="Abadi" w:cs="Arial"/>
          <w:i/>
          <w:iCs/>
          <w:sz w:val="21"/>
          <w:szCs w:val="21"/>
          <w:lang w:val="es-MX" w:eastAsia="en-US"/>
        </w:rPr>
      </w:pPr>
      <w:r w:rsidRPr="004C763C">
        <w:rPr>
          <w:rFonts w:ascii="Abadi" w:hAnsi="Abadi" w:cs="Arial"/>
          <w:i/>
          <w:iCs/>
          <w:sz w:val="21"/>
          <w:szCs w:val="21"/>
          <w:lang w:val="es-MX" w:eastAsia="en-US"/>
        </w:rPr>
        <w:t>(…) la lectura al documento que se nos remite, se advierte que las denominaciones de los cuerpos normativos que se citan sean los correctos, dado que se hace referencia a Constitución Política del Estado de Guanajuato, siendo el nombre correcto Constitución Política para el Estado de Guanajuato.</w:t>
      </w:r>
    </w:p>
    <w:p w14:paraId="2610989E" w14:textId="77777777" w:rsidR="004C763C" w:rsidRPr="004C763C" w:rsidRDefault="004C763C" w:rsidP="00FF1A2F">
      <w:pPr>
        <w:ind w:left="1134" w:right="1065"/>
        <w:jc w:val="both"/>
        <w:rPr>
          <w:rFonts w:ascii="Abadi" w:hAnsi="Abadi" w:cs="Arial"/>
          <w:i/>
          <w:iCs/>
          <w:sz w:val="21"/>
          <w:szCs w:val="21"/>
          <w:lang w:val="es-MX" w:eastAsia="en-US"/>
        </w:rPr>
      </w:pPr>
    </w:p>
    <w:p w14:paraId="65BBA5D6" w14:textId="77777777" w:rsidR="004C763C" w:rsidRPr="004C763C" w:rsidRDefault="004C763C" w:rsidP="00FF1A2F">
      <w:pPr>
        <w:ind w:left="1134" w:right="1065"/>
        <w:jc w:val="both"/>
        <w:rPr>
          <w:rFonts w:ascii="Abadi" w:hAnsi="Abadi" w:cs="Arial"/>
          <w:i/>
          <w:iCs/>
          <w:sz w:val="21"/>
          <w:szCs w:val="21"/>
          <w:lang w:val="es-MX" w:eastAsia="en-US"/>
        </w:rPr>
      </w:pPr>
    </w:p>
    <w:p w14:paraId="6AD5E4AC" w14:textId="77777777" w:rsidR="004C763C" w:rsidRPr="004C763C" w:rsidRDefault="004C763C" w:rsidP="00FF1A2F">
      <w:pPr>
        <w:jc w:val="both"/>
        <w:rPr>
          <w:rFonts w:ascii="Abadi" w:hAnsi="Abadi" w:cs="Arial"/>
          <w:sz w:val="21"/>
          <w:szCs w:val="21"/>
          <w:lang w:val="es-MX" w:eastAsia="en-US"/>
        </w:rPr>
      </w:pPr>
      <w:r w:rsidRPr="004C763C">
        <w:rPr>
          <w:rFonts w:ascii="Abadi" w:hAnsi="Abadi" w:cs="Arial"/>
          <w:sz w:val="21"/>
          <w:szCs w:val="21"/>
          <w:lang w:val="es-MX" w:eastAsia="en-US"/>
        </w:rPr>
        <w:tab/>
        <w:t xml:space="preserve">El Poder Judicial del Estado manifestó que: </w:t>
      </w:r>
    </w:p>
    <w:p w14:paraId="2AB283D6" w14:textId="77777777" w:rsidR="004C763C" w:rsidRPr="004C763C" w:rsidRDefault="004C763C" w:rsidP="00FF1A2F">
      <w:pPr>
        <w:tabs>
          <w:tab w:val="left" w:pos="5415"/>
        </w:tabs>
        <w:jc w:val="both"/>
        <w:rPr>
          <w:rFonts w:ascii="Abadi" w:hAnsi="Abadi" w:cs="Arial"/>
          <w:sz w:val="21"/>
          <w:szCs w:val="21"/>
          <w:lang w:val="es-MX" w:eastAsia="en-US"/>
        </w:rPr>
      </w:pPr>
    </w:p>
    <w:p w14:paraId="1D786B35" w14:textId="77777777" w:rsidR="004C763C" w:rsidRPr="004C763C" w:rsidRDefault="004C763C" w:rsidP="00FF1A2F">
      <w:pPr>
        <w:ind w:left="1134" w:right="1065"/>
        <w:jc w:val="both"/>
        <w:rPr>
          <w:rFonts w:ascii="Abadi" w:hAnsi="Abadi" w:cs="Arial"/>
          <w:i/>
          <w:iCs/>
          <w:sz w:val="21"/>
          <w:szCs w:val="21"/>
          <w:lang w:val="es-MX" w:eastAsia="en-US"/>
        </w:rPr>
      </w:pPr>
      <w:r w:rsidRPr="004C763C">
        <w:rPr>
          <w:rFonts w:ascii="Abadi" w:hAnsi="Abadi" w:cs="Arial"/>
          <w:i/>
          <w:iCs/>
          <w:sz w:val="21"/>
          <w:szCs w:val="21"/>
          <w:lang w:val="es-MX" w:eastAsia="en-US"/>
        </w:rPr>
        <w:t>(…) la exposición de motivos señala en resumen, la importancia de reconocer la calidad de Guanajuatense a quiénes sean hijas o hijos de padre o madre guanajuatense, pero nacidos fuera del territorio del Estado, para no restringir derechos de personas que tienen un vínculo ius sanguini con el Estado de Guanajuato y así, tener la calidad de guanajuatense y estar en sintonía con la maximización de derechos que tienen los ciudadanos en materia político-electoral regulados en el artículo 35 de la Constitución Federal.</w:t>
      </w:r>
    </w:p>
    <w:p w14:paraId="2FB58827" w14:textId="77777777" w:rsidR="004C763C" w:rsidRPr="004C763C" w:rsidRDefault="004C763C" w:rsidP="00FF1A2F">
      <w:pPr>
        <w:ind w:right="1065"/>
        <w:jc w:val="both"/>
        <w:rPr>
          <w:rFonts w:ascii="Abadi" w:hAnsi="Abadi" w:cs="Arial"/>
          <w:i/>
          <w:iCs/>
          <w:sz w:val="21"/>
          <w:szCs w:val="21"/>
          <w:lang w:val="es-MX" w:eastAsia="en-US"/>
        </w:rPr>
      </w:pPr>
    </w:p>
    <w:p w14:paraId="623506F9" w14:textId="77777777" w:rsidR="004C763C" w:rsidRPr="004C763C" w:rsidRDefault="004C763C" w:rsidP="00FF1A2F">
      <w:pPr>
        <w:ind w:right="1065"/>
        <w:jc w:val="both"/>
        <w:rPr>
          <w:rFonts w:ascii="Abadi" w:hAnsi="Abadi" w:cs="Arial"/>
          <w:i/>
          <w:iCs/>
          <w:sz w:val="21"/>
          <w:szCs w:val="21"/>
          <w:lang w:val="es-MX" w:eastAsia="en-US"/>
        </w:rPr>
      </w:pPr>
    </w:p>
    <w:p w14:paraId="27597140" w14:textId="77777777" w:rsidR="004C763C" w:rsidRPr="004C763C" w:rsidRDefault="004C763C" w:rsidP="00FF1A2F">
      <w:pPr>
        <w:ind w:right="1065" w:firstLine="708"/>
        <w:jc w:val="both"/>
        <w:rPr>
          <w:rFonts w:ascii="Abadi" w:hAnsi="Abadi" w:cs="Arial Unicode MS"/>
          <w:sz w:val="21"/>
          <w:szCs w:val="21"/>
          <w:lang w:val="es-MX" w:eastAsia="en-US"/>
        </w:rPr>
      </w:pPr>
      <w:r w:rsidRPr="004C763C">
        <w:rPr>
          <w:rFonts w:ascii="Abadi" w:hAnsi="Abadi" w:cs="Arial"/>
          <w:sz w:val="21"/>
          <w:szCs w:val="21"/>
          <w:lang w:val="es-MX" w:eastAsia="en-US"/>
        </w:rPr>
        <w:t>El ayuntamiento de Villagrán manifestó que:</w:t>
      </w:r>
      <w:r w:rsidRPr="004C763C">
        <w:rPr>
          <w:rFonts w:ascii="Abadi" w:hAnsi="Abadi" w:cs="Arial Unicode MS"/>
          <w:sz w:val="21"/>
          <w:szCs w:val="21"/>
          <w:lang w:val="es-MX" w:eastAsia="en-US"/>
        </w:rPr>
        <w:t xml:space="preserve"> </w:t>
      </w:r>
    </w:p>
    <w:p w14:paraId="2D5A6238" w14:textId="77777777" w:rsidR="004C763C" w:rsidRPr="004C763C" w:rsidRDefault="004C763C" w:rsidP="00FF1A2F">
      <w:pPr>
        <w:ind w:left="1134" w:right="1065"/>
        <w:jc w:val="both"/>
        <w:rPr>
          <w:rFonts w:ascii="Abadi" w:hAnsi="Abadi" w:cs="Arial Unicode MS"/>
          <w:sz w:val="21"/>
          <w:szCs w:val="21"/>
          <w:lang w:val="es-MX" w:eastAsia="en-US"/>
        </w:rPr>
      </w:pPr>
    </w:p>
    <w:p w14:paraId="7F76BA22" w14:textId="77777777" w:rsidR="004C763C" w:rsidRPr="004C763C" w:rsidRDefault="004C763C" w:rsidP="00FF1A2F">
      <w:pPr>
        <w:ind w:left="1134" w:right="1065"/>
        <w:jc w:val="both"/>
        <w:rPr>
          <w:rFonts w:ascii="Abadi" w:hAnsi="Abadi" w:cs="Arial"/>
          <w:i/>
          <w:iCs/>
          <w:sz w:val="21"/>
          <w:szCs w:val="21"/>
          <w:lang w:val="es-MX" w:eastAsia="en-US"/>
        </w:rPr>
      </w:pPr>
      <w:r w:rsidRPr="004C763C">
        <w:rPr>
          <w:rFonts w:ascii="Abadi" w:hAnsi="Abadi" w:cs="Arial"/>
          <w:i/>
          <w:iCs/>
          <w:sz w:val="21"/>
          <w:szCs w:val="21"/>
          <w:lang w:val="es-MX" w:eastAsia="en-US"/>
        </w:rPr>
        <w:t>(…) emanada también por el grupo parlamentario de morena, la exposición de motivos incluir el supuesto que reconoce la calidad de guanajuatense a quienes sean hijos o hijas de padres o madres guanajuatenses nacidos fuera del territorio o del estado, tal como otras entidades federativas lo han estipulado en sus constituciones para no restringir el derecho de las personas que tiene un vínculo o sanguíneo con el estado de Guanajuato la calidad de guanajuatense ese es el principal motivo, en el impacto jurídico es reformar los artículos 20 y 21, en impacto administrativo fundada la naturaleza no presenta ningún impacto administrativo, impacto presupuestal tampoco se libera, impacto social si es importante tanto que el arraigo tanto nacional como local se vea protegida, por eso la iniciativa funda las bases para establecer el orgullo guanajuatense donde hijos de padres guanajuatenses puedan llamarse así mismo sin importar donde residan guanajuatenses, finalmente es un vínculo de permanencia a niños y adultos, eso es por parte de las iniciativas.</w:t>
      </w:r>
    </w:p>
    <w:p w14:paraId="08CFA89C" w14:textId="77777777" w:rsidR="004C763C" w:rsidRPr="004C763C" w:rsidRDefault="004C763C" w:rsidP="00FF1A2F">
      <w:pPr>
        <w:ind w:left="1134" w:right="1065"/>
        <w:jc w:val="both"/>
        <w:rPr>
          <w:rFonts w:ascii="Abadi" w:hAnsi="Abadi" w:cs="Arial"/>
          <w:i/>
          <w:iCs/>
          <w:sz w:val="21"/>
          <w:szCs w:val="21"/>
          <w:lang w:val="es-MX" w:eastAsia="en-US"/>
        </w:rPr>
      </w:pPr>
    </w:p>
    <w:p w14:paraId="21841EB3" w14:textId="77777777" w:rsidR="004C763C" w:rsidRPr="004C763C" w:rsidRDefault="004C763C" w:rsidP="00FF1A2F">
      <w:pPr>
        <w:spacing w:before="44"/>
        <w:ind w:right="41" w:firstLine="708"/>
        <w:jc w:val="both"/>
        <w:rPr>
          <w:rFonts w:ascii="Abadi" w:hAnsi="Abadi" w:cs="Arial"/>
          <w:sz w:val="21"/>
          <w:szCs w:val="21"/>
          <w:lang w:val="es-MX" w:eastAsia="en-US"/>
        </w:rPr>
      </w:pPr>
    </w:p>
    <w:p w14:paraId="649A6B14" w14:textId="77777777" w:rsidR="004C763C" w:rsidRPr="004C763C" w:rsidRDefault="004C763C" w:rsidP="00FF1A2F">
      <w:pPr>
        <w:spacing w:before="44"/>
        <w:ind w:right="41" w:firstLine="708"/>
        <w:jc w:val="both"/>
        <w:rPr>
          <w:rFonts w:ascii="Abadi" w:hAnsi="Abadi" w:cs="Arial"/>
          <w:sz w:val="21"/>
          <w:szCs w:val="21"/>
          <w:lang w:val="es-MX" w:eastAsia="en-US"/>
        </w:rPr>
      </w:pPr>
      <w:r w:rsidRPr="004C763C">
        <w:rPr>
          <w:rFonts w:ascii="Abadi" w:hAnsi="Abadi" w:cs="Arial"/>
          <w:sz w:val="21"/>
          <w:szCs w:val="21"/>
          <w:lang w:val="es-MX" w:eastAsia="en-US"/>
        </w:rPr>
        <w:t xml:space="preserve">La Universidad de Guanajuato manifestó que: </w:t>
      </w:r>
    </w:p>
    <w:p w14:paraId="130AC4FF" w14:textId="77777777" w:rsidR="004C763C" w:rsidRPr="004C763C" w:rsidRDefault="004C763C" w:rsidP="00FF1A2F">
      <w:pPr>
        <w:spacing w:before="44"/>
        <w:ind w:right="41"/>
        <w:jc w:val="both"/>
        <w:rPr>
          <w:rFonts w:ascii="Abadi" w:hAnsi="Abadi" w:cs="Arial"/>
          <w:sz w:val="21"/>
          <w:szCs w:val="21"/>
          <w:lang w:val="es-MX" w:eastAsia="en-US"/>
        </w:rPr>
      </w:pPr>
    </w:p>
    <w:p w14:paraId="1F341F3D" w14:textId="77777777" w:rsidR="004C763C" w:rsidRPr="004C763C" w:rsidRDefault="004C763C" w:rsidP="00FF1A2F">
      <w:pPr>
        <w:ind w:left="1134" w:right="1065"/>
        <w:jc w:val="both"/>
        <w:rPr>
          <w:rFonts w:ascii="Abadi" w:hAnsi="Abadi" w:cs="Arial"/>
          <w:i/>
          <w:iCs/>
          <w:sz w:val="21"/>
          <w:szCs w:val="21"/>
          <w:lang w:val="es-MX" w:eastAsia="en-US"/>
        </w:rPr>
      </w:pPr>
      <w:r w:rsidRPr="004C763C">
        <w:rPr>
          <w:rFonts w:ascii="Abadi" w:hAnsi="Abadi" w:cs="Arial"/>
          <w:i/>
          <w:iCs/>
          <w:sz w:val="21"/>
          <w:szCs w:val="21"/>
          <w:lang w:val="es-MX" w:eastAsia="en-US"/>
        </w:rPr>
        <w:t>(…) Con respecto al artículo 20, se sugiere dejar la redacción del artículo como se encuentra actualmente en la Constitución. La vecindad no se pierde por ausencia en el desempeño de un cargo público de elección popular, o de comisión pública encomendada por el Estado de Guanajuato.</w:t>
      </w:r>
    </w:p>
    <w:p w14:paraId="2D9F2E45" w14:textId="77777777" w:rsidR="004C763C" w:rsidRPr="004C763C" w:rsidRDefault="004C763C" w:rsidP="00FF1A2F">
      <w:pPr>
        <w:ind w:left="1134" w:right="1065"/>
        <w:jc w:val="both"/>
        <w:rPr>
          <w:rFonts w:ascii="Abadi" w:hAnsi="Abadi" w:cs="Arial"/>
          <w:i/>
          <w:iCs/>
          <w:sz w:val="21"/>
          <w:szCs w:val="21"/>
          <w:lang w:val="es-MX" w:eastAsia="en-US"/>
        </w:rPr>
      </w:pPr>
    </w:p>
    <w:p w14:paraId="4EBECF01" w14:textId="77777777" w:rsidR="004C763C" w:rsidRPr="004C763C" w:rsidRDefault="004C763C" w:rsidP="00FF1A2F">
      <w:pPr>
        <w:ind w:left="1134" w:right="1065"/>
        <w:jc w:val="both"/>
        <w:rPr>
          <w:rFonts w:ascii="Abadi" w:hAnsi="Abadi" w:cs="Arial"/>
          <w:i/>
          <w:iCs/>
          <w:sz w:val="21"/>
          <w:szCs w:val="21"/>
          <w:lang w:val="es-MX" w:eastAsia="en-US"/>
        </w:rPr>
      </w:pPr>
    </w:p>
    <w:p w14:paraId="09182D36" w14:textId="77777777" w:rsidR="004C763C" w:rsidRPr="004C763C" w:rsidRDefault="004C763C" w:rsidP="00FF1A2F">
      <w:pPr>
        <w:jc w:val="both"/>
        <w:rPr>
          <w:rFonts w:ascii="Abadi" w:eastAsia="Batang" w:hAnsi="Abadi" w:cs="Arial"/>
          <w:bCs/>
          <w:sz w:val="21"/>
          <w:szCs w:val="21"/>
        </w:rPr>
      </w:pPr>
      <w:r w:rsidRPr="004C763C">
        <w:rPr>
          <w:rFonts w:ascii="Abadi" w:eastAsia="Batang" w:hAnsi="Abadi" w:cs="Arial"/>
          <w:b/>
          <w:sz w:val="21"/>
          <w:szCs w:val="21"/>
        </w:rPr>
        <w:t xml:space="preserve">II.2. </w:t>
      </w:r>
      <w:r w:rsidRPr="004C763C">
        <w:rPr>
          <w:rFonts w:ascii="Abadi" w:eastAsia="Batang" w:hAnsi="Abadi" w:cs="Arial"/>
          <w:bCs/>
          <w:sz w:val="21"/>
          <w:szCs w:val="21"/>
        </w:rPr>
        <w:t xml:space="preserve">Se celebró una mesa de trabajo el día 1 de julio de 2020, estando presentes las diputadas y diputados integrantes de la Comisión de Gobernación y Puntos Constitucionales de la Sexagésima Cuarta Legislatura, así como servidores públicos del </w:t>
      </w:r>
      <w:r w:rsidRPr="004C763C">
        <w:rPr>
          <w:rFonts w:ascii="Abadi" w:hAnsi="Abadi" w:cs="Arial"/>
          <w:sz w:val="21"/>
          <w:szCs w:val="21"/>
        </w:rPr>
        <w:t>Supremo Tribunal de Justicia del Estado, de la Coordinación General Jurídica de Gobierno del Estado, y del Instituto Electoral del Estado de Guanajuato,</w:t>
      </w:r>
      <w:r w:rsidRPr="004C763C">
        <w:rPr>
          <w:rFonts w:ascii="Abadi" w:eastAsia="Batang" w:hAnsi="Abadi" w:cs="Arial"/>
          <w:bCs/>
          <w:sz w:val="21"/>
          <w:szCs w:val="21"/>
        </w:rPr>
        <w:t xml:space="preserve"> así como asesores de los grupos parlamentarios de los partidos Acción Nacional, Revolucionario Institucional, Morena y Verde Ecologista de México, y la secretaria técnica de la comisión legislativa.</w:t>
      </w:r>
    </w:p>
    <w:p w14:paraId="7F8B2DE8" w14:textId="77777777" w:rsidR="004C763C" w:rsidRPr="004C763C" w:rsidRDefault="004C763C" w:rsidP="00FF1A2F">
      <w:pPr>
        <w:jc w:val="both"/>
        <w:rPr>
          <w:rFonts w:ascii="Abadi" w:eastAsia="Batang" w:hAnsi="Abadi" w:cs="Arial"/>
          <w:bCs/>
          <w:sz w:val="21"/>
          <w:szCs w:val="21"/>
        </w:rPr>
      </w:pPr>
    </w:p>
    <w:p w14:paraId="196D0D74" w14:textId="77777777" w:rsidR="004C763C" w:rsidRPr="004C763C" w:rsidRDefault="004C763C" w:rsidP="00FF1A2F">
      <w:pPr>
        <w:jc w:val="both"/>
        <w:rPr>
          <w:rFonts w:ascii="Abadi" w:hAnsi="Abadi" w:cs="Arial"/>
          <w:sz w:val="21"/>
          <w:szCs w:val="21"/>
          <w:lang w:val="es-MX" w:eastAsia="en-US"/>
        </w:rPr>
      </w:pPr>
      <w:r w:rsidRPr="004C763C">
        <w:rPr>
          <w:rFonts w:ascii="Abadi" w:eastAsia="Batang" w:hAnsi="Abadi" w:cs="Arial"/>
          <w:b/>
          <w:sz w:val="21"/>
          <w:szCs w:val="21"/>
          <w:lang w:val="es-MX" w:eastAsia="en-US"/>
        </w:rPr>
        <w:t xml:space="preserve">II.3. </w:t>
      </w:r>
      <w:r w:rsidRPr="004C763C">
        <w:rPr>
          <w:rFonts w:ascii="Abadi" w:hAnsi="Abadi" w:cs="Arial"/>
          <w:sz w:val="21"/>
          <w:szCs w:val="21"/>
          <w:lang w:val="es-MX" w:eastAsia="en-US"/>
        </w:rPr>
        <w:t>En fecha 14 de septiembre de 2021, las diputadas y los diputados integrantes de la Comisión de Gobernación y Puntos Constitucionales de la Sexagésima Cuarta Legislatura, determinaron dejar esta iniciativa como un pendiente legislativo para que fuera la siguiente Legislatura quien se pronunciara al respecto.</w:t>
      </w:r>
    </w:p>
    <w:p w14:paraId="07A9CB79" w14:textId="77777777" w:rsidR="004C763C" w:rsidRPr="004C763C" w:rsidRDefault="004C763C" w:rsidP="00FF1A2F">
      <w:pPr>
        <w:jc w:val="both"/>
        <w:rPr>
          <w:rFonts w:ascii="Abadi" w:hAnsi="Abadi" w:cs="Arial"/>
          <w:sz w:val="21"/>
          <w:szCs w:val="21"/>
          <w:lang w:val="es-MX" w:eastAsia="en-US"/>
        </w:rPr>
      </w:pPr>
    </w:p>
    <w:p w14:paraId="17EF9A81" w14:textId="77777777" w:rsidR="004C763C" w:rsidRPr="004C763C" w:rsidRDefault="004C763C" w:rsidP="00FF1A2F">
      <w:pPr>
        <w:jc w:val="both"/>
        <w:rPr>
          <w:rFonts w:ascii="Abadi" w:hAnsi="Abadi" w:cs="Arial"/>
          <w:sz w:val="21"/>
          <w:szCs w:val="21"/>
          <w:lang w:val="es-MX" w:eastAsia="en-US"/>
        </w:rPr>
      </w:pPr>
      <w:r w:rsidRPr="004C763C">
        <w:rPr>
          <w:rFonts w:ascii="Abadi" w:hAnsi="Abadi" w:cs="Arial"/>
          <w:b/>
          <w:sz w:val="21"/>
          <w:szCs w:val="21"/>
          <w:lang w:val="es-MX" w:eastAsia="en-US"/>
        </w:rPr>
        <w:t xml:space="preserve">II.4. </w:t>
      </w:r>
      <w:r w:rsidRPr="004C763C">
        <w:rPr>
          <w:rFonts w:ascii="Abadi" w:hAnsi="Abadi" w:cs="Arial"/>
          <w:sz w:val="21"/>
          <w:szCs w:val="21"/>
          <w:lang w:val="es-MX" w:eastAsia="en-US"/>
        </w:rPr>
        <w:t>En fecha 11 de octubre de 2021, se instaló la Comisión de Gobernación y Puntos Constitucionales de la Sexagésima Quinta Legislatura, donde se impusieron del contenido de los pendientes legislativos, y entre ellos se encuentra la iniciativa que se dictamina.</w:t>
      </w:r>
    </w:p>
    <w:p w14:paraId="5E070D85" w14:textId="77777777" w:rsidR="004C763C" w:rsidRPr="004C763C" w:rsidRDefault="004C763C" w:rsidP="00FF1A2F">
      <w:pPr>
        <w:jc w:val="both"/>
        <w:rPr>
          <w:rFonts w:ascii="Abadi" w:hAnsi="Abadi" w:cs="Arial"/>
          <w:sz w:val="21"/>
          <w:szCs w:val="21"/>
          <w:lang w:val="es-MX" w:eastAsia="en-US"/>
        </w:rPr>
      </w:pPr>
    </w:p>
    <w:p w14:paraId="4F9E8C2B" w14:textId="77777777" w:rsidR="004C763C" w:rsidRPr="004C763C" w:rsidRDefault="004C763C" w:rsidP="00FF1A2F">
      <w:pPr>
        <w:jc w:val="both"/>
        <w:rPr>
          <w:rFonts w:ascii="Abadi" w:hAnsi="Abadi" w:cs="Arial"/>
          <w:sz w:val="21"/>
          <w:szCs w:val="21"/>
          <w:lang w:val="es-MX" w:eastAsia="en-US"/>
        </w:rPr>
      </w:pPr>
      <w:r w:rsidRPr="004C763C">
        <w:rPr>
          <w:rFonts w:ascii="Abadi" w:hAnsi="Abadi" w:cs="Arial"/>
          <w:sz w:val="21"/>
          <w:szCs w:val="21"/>
          <w:lang w:val="es-MX" w:eastAsia="en-US"/>
        </w:rPr>
        <w:t>En reunión de la comisión legislativa del 6 de julio de 2022, se determinó a efecto de dar continuidad y seguimiento puntual a la metodología de análisis y estudio aprobada por unanimidad en su momento por la homóloga de la Sexagésima Cuarta Legislatura, la fecha para la celebración de la mesa de trabajo interna.</w:t>
      </w:r>
    </w:p>
    <w:p w14:paraId="10743A32" w14:textId="77777777" w:rsidR="004C763C" w:rsidRPr="004C763C" w:rsidRDefault="004C763C" w:rsidP="00FF1A2F">
      <w:pPr>
        <w:jc w:val="both"/>
        <w:rPr>
          <w:rFonts w:ascii="Abadi" w:hAnsi="Abadi" w:cs="Arial"/>
          <w:sz w:val="21"/>
          <w:szCs w:val="21"/>
          <w:lang w:val="es-MX" w:eastAsia="en-US"/>
        </w:rPr>
      </w:pPr>
    </w:p>
    <w:p w14:paraId="55E94B35" w14:textId="77777777" w:rsidR="004C763C" w:rsidRPr="004C763C" w:rsidRDefault="004C763C" w:rsidP="00FF1A2F">
      <w:pPr>
        <w:jc w:val="both"/>
        <w:rPr>
          <w:rFonts w:ascii="Abadi" w:eastAsia="Batang" w:hAnsi="Abadi" w:cs="Arial"/>
          <w:bCs/>
          <w:sz w:val="21"/>
          <w:szCs w:val="21"/>
          <w:lang w:val="es-MX"/>
        </w:rPr>
      </w:pPr>
      <w:r w:rsidRPr="004C763C">
        <w:rPr>
          <w:rFonts w:ascii="Abadi" w:eastAsia="Batang" w:hAnsi="Abadi" w:cs="Arial"/>
          <w:b/>
          <w:sz w:val="21"/>
          <w:szCs w:val="21"/>
          <w:lang w:val="es-MX"/>
        </w:rPr>
        <w:t xml:space="preserve">II.5. </w:t>
      </w:r>
      <w:r w:rsidRPr="004C763C">
        <w:rPr>
          <w:rFonts w:ascii="Abadi" w:eastAsia="Batang" w:hAnsi="Abadi" w:cs="Arial"/>
          <w:bCs/>
          <w:sz w:val="21"/>
          <w:szCs w:val="21"/>
          <w:lang w:val="es-MX"/>
        </w:rPr>
        <w:t>Se celebró una mesa de trabajo interna en modalidad híbrida el 11 de julio de 2022 para desahogar los comentarios y observaciones a la iniciativa, estando presentes las diputadas Susana Bermúdez Cano, Briseida Anabel Magdaleno González, Yulma Rocha Aguilar, Laura Cristina Márquez Alcalá y el diputado Gerardo Fernández González integrantes de la Comisión de Gobernación y Puntos Constitucionales, así como, las y los asesores de los grupos parlamentarios de los partidos Acción Nacional, Revolucionario Institucional y Verde Ecologista de México y la Dirección General de Servicios y Apoyo Técnico Parlamentario a través de la secretaria técnica de la comisión.</w:t>
      </w:r>
    </w:p>
    <w:p w14:paraId="71F70F2F" w14:textId="77777777" w:rsidR="004C763C" w:rsidRPr="004C763C" w:rsidRDefault="004C763C" w:rsidP="00FF1A2F">
      <w:pPr>
        <w:jc w:val="both"/>
        <w:rPr>
          <w:rFonts w:ascii="Abadi" w:eastAsia="Batang" w:hAnsi="Abadi" w:cs="Arial"/>
          <w:bCs/>
          <w:sz w:val="21"/>
          <w:szCs w:val="21"/>
          <w:lang w:val="es-MX"/>
        </w:rPr>
      </w:pPr>
    </w:p>
    <w:p w14:paraId="2E0E8399" w14:textId="77777777" w:rsidR="004C763C" w:rsidRPr="004C763C" w:rsidRDefault="004C763C" w:rsidP="00FF1A2F">
      <w:pPr>
        <w:jc w:val="both"/>
        <w:rPr>
          <w:rFonts w:ascii="Abadi" w:eastAsia="Batang" w:hAnsi="Abadi" w:cs="Arial"/>
          <w:bCs/>
          <w:sz w:val="21"/>
          <w:szCs w:val="21"/>
          <w:lang w:val="es-MX"/>
        </w:rPr>
      </w:pPr>
      <w:r w:rsidRPr="004C763C">
        <w:rPr>
          <w:rFonts w:ascii="Abadi" w:eastAsia="Batang" w:hAnsi="Abadi" w:cs="Arial"/>
          <w:b/>
          <w:sz w:val="21"/>
          <w:szCs w:val="21"/>
        </w:rPr>
        <w:t>II.6.</w:t>
      </w:r>
      <w:r w:rsidRPr="004C763C">
        <w:rPr>
          <w:rFonts w:ascii="Abadi" w:hAnsi="Abadi" w:cs="Arial"/>
          <w:sz w:val="21"/>
          <w:szCs w:val="21"/>
        </w:rPr>
        <w:t xml:space="preserve"> </w:t>
      </w:r>
      <w:r w:rsidRPr="004C763C">
        <w:rPr>
          <w:rFonts w:ascii="Abadi" w:eastAsia="Batang" w:hAnsi="Abadi" w:cs="Arial"/>
          <w:b/>
          <w:sz w:val="21"/>
          <w:szCs w:val="21"/>
        </w:rPr>
        <w:t xml:space="preserve"> </w:t>
      </w:r>
      <w:r w:rsidRPr="004C763C">
        <w:rPr>
          <w:rFonts w:ascii="Abadi" w:hAnsi="Abadi" w:cs="Arial"/>
          <w:sz w:val="21"/>
          <w:szCs w:val="21"/>
        </w:rPr>
        <w:t>L</w:t>
      </w:r>
      <w:r w:rsidRPr="004C763C">
        <w:rPr>
          <w:rFonts w:ascii="Abadi" w:eastAsia="Batang" w:hAnsi="Abadi" w:cs="Arial"/>
          <w:sz w:val="21"/>
          <w:szCs w:val="21"/>
        </w:rPr>
        <w:t>a presidencia de la Comisión de Gobernación y Puntos Constitucionales instruyó a la Secretaría Técnica para que elaborara el proyecto de dictamen en sentido negativo, conforme a lo dispuesto en los artículos 94, fracción VII y 272, fracción VIII inciso e de la Ley Orgánica del Poder Legislativo del Estado, mismo que fue materia de revisión por los diputados y las diputadas integrantes de esta comisión dictaminadora.</w:t>
      </w:r>
    </w:p>
    <w:p w14:paraId="7DDB526E" w14:textId="77777777" w:rsidR="004C763C" w:rsidRPr="004C763C" w:rsidRDefault="004C763C" w:rsidP="00FF1A2F">
      <w:pPr>
        <w:jc w:val="both"/>
        <w:rPr>
          <w:rFonts w:ascii="Abadi" w:eastAsia="Batang" w:hAnsi="Abadi" w:cs="Arial"/>
          <w:b/>
          <w:i/>
          <w:iCs/>
          <w:sz w:val="21"/>
          <w:szCs w:val="21"/>
          <w:lang w:val="es-MX" w:eastAsia="en-US"/>
        </w:rPr>
      </w:pPr>
      <w:r w:rsidRPr="004C763C">
        <w:rPr>
          <w:rFonts w:ascii="Abadi" w:eastAsia="Batang" w:hAnsi="Abadi" w:cs="Arial"/>
          <w:b/>
          <w:sz w:val="21"/>
          <w:szCs w:val="21"/>
          <w:lang w:val="es-MX" w:eastAsia="en-US"/>
        </w:rPr>
        <w:t xml:space="preserve">III. Contenido de la iniciativa y consideraciones generales de las y los dictaminadores sobre los objetivos perseguidos con la propuesta de reforma a los artículos 20 y 21 de la Constitución Política para el Estado de Guanajuato </w:t>
      </w:r>
      <w:r w:rsidRPr="004C763C">
        <w:rPr>
          <w:rFonts w:ascii="Abadi" w:eastAsia="Batang" w:hAnsi="Abadi" w:cs="Arial"/>
          <w:b/>
          <w:i/>
          <w:iCs/>
          <w:sz w:val="21"/>
          <w:szCs w:val="21"/>
          <w:lang w:val="es-MX" w:eastAsia="en-US"/>
        </w:rPr>
        <w:t>sobre el ius sanguinis</w:t>
      </w:r>
    </w:p>
    <w:p w14:paraId="61F63B99" w14:textId="77777777" w:rsidR="004C763C" w:rsidRPr="004C763C" w:rsidRDefault="004C763C" w:rsidP="00FF1A2F">
      <w:pPr>
        <w:jc w:val="both"/>
        <w:rPr>
          <w:rFonts w:ascii="Abadi" w:eastAsia="Batang" w:hAnsi="Abadi" w:cs="Arial"/>
          <w:b/>
          <w:sz w:val="21"/>
          <w:szCs w:val="21"/>
          <w:lang w:val="es-MX" w:eastAsia="en-US"/>
        </w:rPr>
      </w:pPr>
      <w:r w:rsidRPr="004C763C">
        <w:rPr>
          <w:rFonts w:ascii="Abadi" w:eastAsia="Batang" w:hAnsi="Abadi" w:cs="Arial"/>
          <w:b/>
          <w:sz w:val="21"/>
          <w:szCs w:val="21"/>
          <w:lang w:val="es-MX" w:eastAsia="en-US"/>
        </w:rPr>
        <w:t xml:space="preserve"> </w:t>
      </w:r>
    </w:p>
    <w:p w14:paraId="3E593D51" w14:textId="77777777" w:rsidR="004C763C" w:rsidRPr="004C763C" w:rsidRDefault="004C763C" w:rsidP="00FF1A2F">
      <w:pPr>
        <w:autoSpaceDE w:val="0"/>
        <w:autoSpaceDN w:val="0"/>
        <w:adjustRightInd w:val="0"/>
        <w:ind w:firstLine="708"/>
        <w:jc w:val="both"/>
        <w:rPr>
          <w:rFonts w:ascii="Abadi" w:eastAsia="Batang" w:hAnsi="Abadi" w:cs="Arial"/>
          <w:sz w:val="21"/>
          <w:szCs w:val="21"/>
          <w:lang w:val="es-MX" w:eastAsia="en-US"/>
        </w:rPr>
      </w:pPr>
      <w:r w:rsidRPr="004C763C">
        <w:rPr>
          <w:rFonts w:ascii="Abadi" w:eastAsia="Batang" w:hAnsi="Abadi" w:cs="Arial"/>
          <w:sz w:val="21"/>
          <w:szCs w:val="21"/>
          <w:lang w:val="es-MX" w:eastAsia="en-US"/>
        </w:rPr>
        <w:t>El objeto de la iniciativa radica en reformar los artículos 20 y 21 de la Constitución Política para el Estado de Guanajuato a fin de adquirir la calidad de guanajuatense.</w:t>
      </w:r>
    </w:p>
    <w:p w14:paraId="00921303" w14:textId="77777777" w:rsidR="004C763C" w:rsidRPr="004C763C" w:rsidRDefault="004C763C" w:rsidP="00FF1A2F">
      <w:pPr>
        <w:ind w:firstLine="708"/>
        <w:jc w:val="both"/>
        <w:rPr>
          <w:rFonts w:ascii="Abadi" w:hAnsi="Abadi" w:cs="Arial Unicode MS"/>
          <w:sz w:val="21"/>
          <w:szCs w:val="21"/>
          <w:lang w:val="es-MX" w:eastAsia="en-US"/>
        </w:rPr>
      </w:pPr>
    </w:p>
    <w:p w14:paraId="7EF0119C" w14:textId="77777777" w:rsidR="004C763C" w:rsidRPr="004C763C" w:rsidRDefault="004C763C" w:rsidP="00FF1A2F">
      <w:pPr>
        <w:ind w:firstLine="708"/>
        <w:jc w:val="both"/>
        <w:rPr>
          <w:rFonts w:ascii="Abadi" w:hAnsi="Abadi" w:cs="Arial Unicode MS"/>
          <w:sz w:val="21"/>
          <w:szCs w:val="21"/>
          <w:lang w:val="es-MX" w:eastAsia="en-US"/>
        </w:rPr>
      </w:pPr>
      <w:r w:rsidRPr="004C763C">
        <w:rPr>
          <w:rFonts w:ascii="Abadi" w:hAnsi="Abadi" w:cs="Arial Unicode MS"/>
          <w:sz w:val="21"/>
          <w:szCs w:val="21"/>
          <w:lang w:val="es-MX" w:eastAsia="en-US"/>
        </w:rPr>
        <w:t>El iniciante expresó en su exposición de motivos lo siguiente:</w:t>
      </w:r>
    </w:p>
    <w:p w14:paraId="5AE07E5D" w14:textId="77777777" w:rsidR="004C763C" w:rsidRPr="004C763C" w:rsidRDefault="004C763C" w:rsidP="00FF1A2F">
      <w:pPr>
        <w:rPr>
          <w:rFonts w:ascii="Abadi" w:hAnsi="Abadi" w:cs="Arial"/>
          <w:i/>
          <w:color w:val="242424"/>
          <w:sz w:val="21"/>
          <w:szCs w:val="21"/>
          <w:highlight w:val="yellow"/>
          <w:lang w:val="es-MX" w:eastAsia="es-MX"/>
        </w:rPr>
      </w:pPr>
    </w:p>
    <w:p w14:paraId="715CA25B" w14:textId="77777777" w:rsidR="004C763C" w:rsidRPr="004C763C" w:rsidRDefault="004C763C" w:rsidP="00FF1A2F">
      <w:pPr>
        <w:ind w:left="1134" w:right="1038"/>
        <w:jc w:val="both"/>
        <w:textAlignment w:val="baseline"/>
        <w:rPr>
          <w:rFonts w:ascii="Abadi" w:hAnsi="Abadi" w:cs="Calibri"/>
          <w:bCs/>
          <w:i/>
          <w:sz w:val="21"/>
          <w:szCs w:val="21"/>
          <w:lang w:val="es-MX" w:eastAsia="es-MX"/>
        </w:rPr>
      </w:pPr>
      <w:r w:rsidRPr="004C763C">
        <w:rPr>
          <w:rFonts w:ascii="Abadi" w:hAnsi="Abadi" w:cs="Calibri"/>
          <w:bCs/>
          <w:i/>
          <w:sz w:val="21"/>
          <w:szCs w:val="21"/>
          <w:lang w:val="es-MX" w:eastAsia="en-US"/>
        </w:rPr>
        <w:t>«[...]</w:t>
      </w:r>
      <w:r w:rsidRPr="004C763C">
        <w:rPr>
          <w:rFonts w:ascii="Abadi" w:hAnsi="Abadi"/>
          <w:sz w:val="21"/>
          <w:szCs w:val="21"/>
          <w:lang w:val="es-MX" w:eastAsia="es-MX"/>
        </w:rPr>
        <w:t xml:space="preserve"> </w:t>
      </w:r>
      <w:r w:rsidRPr="004C763C">
        <w:rPr>
          <w:rFonts w:ascii="Abadi" w:hAnsi="Abadi" w:cs="Calibri"/>
          <w:bCs/>
          <w:i/>
          <w:sz w:val="21"/>
          <w:szCs w:val="21"/>
          <w:lang w:val="es-MX" w:eastAsia="es-MX"/>
        </w:rPr>
        <w:t>El objetivo central de la presente iniciativa de reforma a la Constitución Política Local, es incluir el supuesto que reconoce la calidad de guanajuatense a quienes sean hijas o hijos de padre o madre guanajuatenses, nacidos fuera del territorio del Estado, tal y como otras entidades federativas lo han estipulado en sus constituciones, para no restringir el derecho de las personas que tienen un vínculo ius sanguini con el Estado de Guanajuato a tener la calidad de Guanajuatense.</w:t>
      </w:r>
    </w:p>
    <w:p w14:paraId="09CD5E78" w14:textId="77777777" w:rsidR="004C763C" w:rsidRPr="004C763C" w:rsidRDefault="004C763C" w:rsidP="00FF1A2F">
      <w:pPr>
        <w:ind w:left="1134" w:right="1038"/>
        <w:jc w:val="both"/>
        <w:textAlignment w:val="baseline"/>
        <w:rPr>
          <w:rFonts w:ascii="Abadi" w:hAnsi="Abadi" w:cs="Calibri"/>
          <w:bCs/>
          <w:i/>
          <w:sz w:val="21"/>
          <w:szCs w:val="21"/>
          <w:lang w:val="es-MX" w:eastAsia="es-MX"/>
        </w:rPr>
      </w:pPr>
    </w:p>
    <w:p w14:paraId="26ADDA2B" w14:textId="77777777" w:rsidR="004C763C" w:rsidRPr="004C763C" w:rsidRDefault="004C763C" w:rsidP="00FF1A2F">
      <w:pPr>
        <w:ind w:left="1134" w:right="1038"/>
        <w:jc w:val="both"/>
        <w:textAlignment w:val="baseline"/>
        <w:rPr>
          <w:rFonts w:ascii="Abadi" w:hAnsi="Abadi" w:cs="Calibri"/>
          <w:bCs/>
          <w:i/>
          <w:sz w:val="21"/>
          <w:szCs w:val="21"/>
          <w:lang w:val="es-MX" w:eastAsia="es-MX"/>
        </w:rPr>
      </w:pPr>
      <w:r w:rsidRPr="004C763C">
        <w:rPr>
          <w:rFonts w:ascii="Abadi" w:hAnsi="Abadi" w:cs="Calibri"/>
          <w:bCs/>
          <w:i/>
          <w:sz w:val="21"/>
          <w:szCs w:val="21"/>
          <w:lang w:val="es-MX" w:eastAsia="es-MX"/>
        </w:rPr>
        <w:t xml:space="preserve">Este derecho ya es reconocido en los Estados de Baja California Sur, Campeche, Chihuahua, Chiapas, Coahuila, Colima, Ciudad de México, Durango, Guerrero, Estado de México, Michoacán, Morelos, Nuevo León, Oaxaca, Puebla, Quintana Roo, San Luis Potosí, Sonora, Tabasco, Tamaulipas, Tlaxcala Veracruz, Yucatán y Zacatecas, en donde se contempla que los hijos de padres de este estado se consideran originarios del mismo. Es por ello, que debe reconocerse ese derecho a los guanajuatenses en sintonía con la maximización de derechos que tienen los ciudadanos en materia político-electoral, regulados en el artículo 35 de la Constitución Federal, pues el ser considerados guanajuatenses, por el denominado ius sanguini, les corresponde innegablemente a los hijos de padres guanajuatenses. </w:t>
      </w:r>
    </w:p>
    <w:p w14:paraId="76975C6A" w14:textId="77777777" w:rsidR="004C763C" w:rsidRPr="004C763C" w:rsidRDefault="004C763C" w:rsidP="00FF1A2F">
      <w:pPr>
        <w:ind w:left="1134" w:right="1038"/>
        <w:jc w:val="both"/>
        <w:textAlignment w:val="baseline"/>
        <w:rPr>
          <w:rFonts w:ascii="Abadi" w:hAnsi="Abadi" w:cs="Calibri"/>
          <w:bCs/>
          <w:i/>
          <w:sz w:val="21"/>
          <w:szCs w:val="21"/>
          <w:lang w:val="es-MX" w:eastAsia="es-MX"/>
        </w:rPr>
      </w:pPr>
    </w:p>
    <w:p w14:paraId="27C14293" w14:textId="77777777" w:rsidR="004C763C" w:rsidRPr="004C763C" w:rsidRDefault="004C763C" w:rsidP="00FF1A2F">
      <w:pPr>
        <w:ind w:left="1134" w:right="1038"/>
        <w:jc w:val="both"/>
        <w:textAlignment w:val="baseline"/>
        <w:rPr>
          <w:rFonts w:ascii="Abadi" w:hAnsi="Abadi" w:cs="Calibri"/>
          <w:bCs/>
          <w:i/>
          <w:sz w:val="21"/>
          <w:szCs w:val="21"/>
          <w:lang w:val="es-MX" w:eastAsia="es-MX"/>
        </w:rPr>
      </w:pPr>
      <w:r w:rsidRPr="004C763C">
        <w:rPr>
          <w:rFonts w:ascii="Abadi" w:hAnsi="Abadi" w:cs="Calibri"/>
          <w:bCs/>
          <w:i/>
          <w:sz w:val="21"/>
          <w:szCs w:val="21"/>
          <w:lang w:val="es-MX" w:eastAsia="es-MX"/>
        </w:rPr>
        <w:t>Además, la Constitución del Estado de Guanajuato establece en su artículo 24 y 25 las obligaciones y prerrogativas de los ciudadanos guanajuatenses. En este contexto resulta indispensable precisar de manera adecuada lo que debemos entender por ciudadano guanajuatense. La ciudadanía no es una condición ontológica ni estática, más bien se construye a través de un proceso de inclusión progresiva y de "adquisición de poder" por la sociedad, lo cual se relaciona con la existencia de luchas y movimientos sociales que demandan al Estado el mantenimiento y posible ampliación de los derechos ciudadanos"1, y que por pertenecer a esa comunidad tiene el atributo de ejercer los derechos fundamentales de votar y ser votado, sin restricción alguna, a partir de que se adquiere la mayoría de edad.</w:t>
      </w:r>
    </w:p>
    <w:p w14:paraId="3C23C2D1" w14:textId="77777777" w:rsidR="004C763C" w:rsidRPr="004C763C" w:rsidRDefault="004C763C" w:rsidP="00FF1A2F">
      <w:pPr>
        <w:spacing w:before="100" w:beforeAutospacing="1" w:after="100" w:afterAutospacing="1"/>
        <w:ind w:left="1134" w:right="1038"/>
        <w:jc w:val="both"/>
        <w:textAlignment w:val="baseline"/>
        <w:rPr>
          <w:rFonts w:ascii="Abadi" w:hAnsi="Abadi" w:cs="Calibri"/>
          <w:bCs/>
          <w:i/>
          <w:sz w:val="21"/>
          <w:szCs w:val="21"/>
          <w:lang w:val="es-MX" w:eastAsia="es-MX"/>
        </w:rPr>
      </w:pPr>
      <w:r w:rsidRPr="004C763C">
        <w:rPr>
          <w:rFonts w:ascii="Abadi" w:hAnsi="Abadi" w:cs="Calibri"/>
          <w:bCs/>
          <w:i/>
          <w:sz w:val="21"/>
          <w:szCs w:val="21"/>
          <w:lang w:val="es-MX" w:eastAsia="es-MX"/>
        </w:rPr>
        <w:t xml:space="preserve">De modo que la Constitución Política del Estado de Guanajuato en su artículo 20 establece que la calidad de guanajuatense se adquiere por nacimiento o por vecindad. Asimismo, el artículo 21 describe esta clasificación definiendo que por nacimiento se incluye a quienes hayan nacido dentro del territorio del Estado, y por vecindad aquellos que residan en su territorio durante un periodo no menor de dos años. </w:t>
      </w:r>
    </w:p>
    <w:p w14:paraId="42F5955B" w14:textId="77777777" w:rsidR="004C763C" w:rsidRPr="004C763C" w:rsidRDefault="004C763C" w:rsidP="00FF1A2F">
      <w:pPr>
        <w:ind w:left="1134" w:right="1038"/>
        <w:jc w:val="both"/>
        <w:textAlignment w:val="baseline"/>
        <w:rPr>
          <w:rFonts w:ascii="Abadi" w:hAnsi="Abadi" w:cs="Calibri"/>
          <w:bCs/>
          <w:i/>
          <w:sz w:val="21"/>
          <w:szCs w:val="21"/>
          <w:lang w:val="es-MX" w:eastAsia="es-MX"/>
        </w:rPr>
      </w:pPr>
      <w:r w:rsidRPr="004C763C">
        <w:rPr>
          <w:rFonts w:ascii="Abadi" w:hAnsi="Abadi" w:cs="Calibri"/>
          <w:bCs/>
          <w:i/>
          <w:sz w:val="21"/>
          <w:szCs w:val="21"/>
          <w:lang w:val="es-MX" w:eastAsia="es-MX"/>
        </w:rPr>
        <w:t xml:space="preserve">Sin embargo, se dejan de considerar para adquirir la calidad de ciudadano a todas aquellas personas que sean descendientes de guanajuatenses, lo que nos parece injustificado, pues el vínculo del padre o la madre guanajuatense genera un arraigo en el Estado que no puede perderse de vista, ni tampoco debe dar lugar a restringir la posibilidad de obtener dicha calidad. En ese sentido, los hijos de padres guanajuatenses se encuentran fuertemente influenciados por los continuos vínculos con el Estado del que son originarios sus padres, tales como la forma de expresarse y vestirse, además de todo el bagaje cultural que incluye aspectos políticos, históricos, simbólicos y gastronómicos y del lugar que son originarios los padres. </w:t>
      </w:r>
    </w:p>
    <w:p w14:paraId="626F9E32" w14:textId="77777777" w:rsidR="004C763C" w:rsidRPr="004C763C" w:rsidRDefault="004C763C" w:rsidP="00FF1A2F">
      <w:pPr>
        <w:spacing w:before="100" w:beforeAutospacing="1" w:after="100" w:afterAutospacing="1"/>
        <w:ind w:left="1134" w:right="1038"/>
        <w:jc w:val="both"/>
        <w:textAlignment w:val="baseline"/>
        <w:rPr>
          <w:rFonts w:ascii="Abadi" w:hAnsi="Abadi" w:cs="Calibri"/>
          <w:bCs/>
          <w:i/>
          <w:sz w:val="21"/>
          <w:szCs w:val="21"/>
          <w:lang w:val="es-MX" w:eastAsia="es-MX"/>
        </w:rPr>
      </w:pPr>
      <w:r w:rsidRPr="004C763C">
        <w:rPr>
          <w:rFonts w:ascii="Abadi" w:hAnsi="Abadi" w:cs="Calibri"/>
          <w:bCs/>
          <w:i/>
          <w:sz w:val="21"/>
          <w:szCs w:val="21"/>
          <w:lang w:val="es-MX" w:eastAsia="es-MX"/>
        </w:rPr>
        <w:t>Así, las diversas condiciones que hayan obligado a los padres de quien tenga la aspiración de ser guanajuatense al salir del estado, no puede considerarse una condición que rompa o concluya esa relación con el Estado, en donde comúnmente se conservan fuertes relaciones familiares. Por lo anterior, se considera que no deben restringirse los derechos político-electorales de quienes tienen arraigo y apego con el Estado de manera directa, a través de los vínculos familiares.</w:t>
      </w:r>
    </w:p>
    <w:p w14:paraId="6F14D1B5" w14:textId="77777777" w:rsidR="004C763C" w:rsidRPr="004C763C" w:rsidRDefault="004C763C" w:rsidP="00FF1A2F">
      <w:pPr>
        <w:spacing w:before="100" w:beforeAutospacing="1" w:after="100" w:afterAutospacing="1"/>
        <w:ind w:left="1134" w:right="1038"/>
        <w:jc w:val="both"/>
        <w:textAlignment w:val="baseline"/>
        <w:rPr>
          <w:rFonts w:ascii="Abadi" w:hAnsi="Abadi" w:cs="Calibri"/>
          <w:bCs/>
          <w:i/>
          <w:sz w:val="21"/>
          <w:szCs w:val="21"/>
          <w:lang w:val="es-MX" w:eastAsia="es-MX"/>
        </w:rPr>
      </w:pPr>
      <w:r w:rsidRPr="004C763C">
        <w:rPr>
          <w:rFonts w:ascii="Abadi" w:hAnsi="Abadi" w:cs="Calibri"/>
          <w:bCs/>
          <w:i/>
          <w:sz w:val="21"/>
          <w:szCs w:val="21"/>
          <w:lang w:val="es-MX" w:eastAsia="es-MX"/>
        </w:rPr>
        <w:t xml:space="preserve">En este sentido, se debe seguir con la misma línea progresista por la que han transitado las veinticuatro de las treinta y dos entidades federativas, en el sentido de considerar a los hijos de ciudadanos de dichos estados como guanajuatenses sin importar su lugar de nacimiento dentro del territorio nacional. En atención a lo anteriormente expuesto es que me permito poner a consideración la presente iniciativa de reforma a la Constitución Política del Estado de Guanajuato referente a la adquisición de la calidad de guanajuatense. </w:t>
      </w:r>
    </w:p>
    <w:p w14:paraId="0CBDFC07" w14:textId="77777777" w:rsidR="004C763C" w:rsidRPr="004C763C" w:rsidRDefault="004C763C" w:rsidP="00FF1A2F">
      <w:pPr>
        <w:ind w:left="1134" w:right="1038"/>
        <w:jc w:val="both"/>
        <w:textAlignment w:val="baseline"/>
        <w:rPr>
          <w:rFonts w:ascii="Abadi" w:hAnsi="Abadi" w:cs="Calibri"/>
          <w:bCs/>
          <w:i/>
          <w:sz w:val="21"/>
          <w:szCs w:val="21"/>
          <w:lang w:val="es-MX" w:eastAsia="es-MX"/>
        </w:rPr>
      </w:pPr>
      <w:r w:rsidRPr="004C763C">
        <w:rPr>
          <w:rFonts w:ascii="Abadi" w:hAnsi="Abadi" w:cs="Calibri"/>
          <w:bCs/>
          <w:i/>
          <w:sz w:val="21"/>
          <w:szCs w:val="21"/>
          <w:lang w:val="es-MX" w:eastAsia="es-MX"/>
        </w:rPr>
        <w:t xml:space="preserve">Finalmente, a efecto de satisfacer lo establecido en el artículo 209 de la Ley Orgánica del Poder Legislativo del Estado de Guanajuato, por lo que hace a los: </w:t>
      </w:r>
    </w:p>
    <w:p w14:paraId="6F7A41FA" w14:textId="77777777" w:rsidR="004C763C" w:rsidRPr="004C763C" w:rsidRDefault="004C763C" w:rsidP="00FF1A2F">
      <w:pPr>
        <w:ind w:left="1134" w:right="1038"/>
        <w:jc w:val="both"/>
        <w:textAlignment w:val="baseline"/>
        <w:rPr>
          <w:rFonts w:ascii="Abadi" w:hAnsi="Abadi" w:cs="Calibri"/>
          <w:bCs/>
          <w:i/>
          <w:sz w:val="21"/>
          <w:szCs w:val="21"/>
          <w:lang w:val="es-MX" w:eastAsia="es-MX"/>
        </w:rPr>
      </w:pPr>
      <w:r w:rsidRPr="004C763C">
        <w:rPr>
          <w:rFonts w:ascii="Abadi" w:hAnsi="Abadi" w:cs="Calibri"/>
          <w:bCs/>
          <w:i/>
          <w:sz w:val="21"/>
          <w:szCs w:val="21"/>
          <w:lang w:val="es-MX" w:eastAsia="es-MX"/>
        </w:rPr>
        <w:t xml:space="preserve">IMPACTO JURÍDICO: Se reforman los artículos 20 y 21 de la Constitución Política del Estado de Guanajuato referente a cómo se obtiene la calidad de guanajuatense. </w:t>
      </w:r>
    </w:p>
    <w:p w14:paraId="4041FED1" w14:textId="77777777" w:rsidR="004C763C" w:rsidRPr="004C763C" w:rsidRDefault="004C763C" w:rsidP="00FF1A2F">
      <w:pPr>
        <w:ind w:left="1134" w:right="1038"/>
        <w:jc w:val="both"/>
        <w:textAlignment w:val="baseline"/>
        <w:rPr>
          <w:rFonts w:ascii="Abadi" w:hAnsi="Abadi" w:cs="Calibri"/>
          <w:bCs/>
          <w:i/>
          <w:sz w:val="21"/>
          <w:szCs w:val="21"/>
          <w:lang w:val="es-MX" w:eastAsia="es-MX"/>
        </w:rPr>
      </w:pPr>
      <w:r w:rsidRPr="004C763C">
        <w:rPr>
          <w:rFonts w:ascii="Abadi" w:hAnsi="Abadi" w:cs="Calibri"/>
          <w:bCs/>
          <w:i/>
          <w:sz w:val="21"/>
          <w:szCs w:val="21"/>
          <w:lang w:val="es-MX" w:eastAsia="es-MX"/>
        </w:rPr>
        <w:t xml:space="preserve">IMPACTO ADMINISTRATIVO: Dada la naturaleza de la iniciativa en cuestión, no se presentan impactos administrativos. </w:t>
      </w:r>
    </w:p>
    <w:p w14:paraId="3ED98073" w14:textId="77777777" w:rsidR="004C763C" w:rsidRPr="004C763C" w:rsidRDefault="004C763C" w:rsidP="00FF1A2F">
      <w:pPr>
        <w:ind w:left="1134" w:right="1038"/>
        <w:jc w:val="both"/>
        <w:textAlignment w:val="baseline"/>
        <w:rPr>
          <w:rFonts w:ascii="Abadi" w:hAnsi="Abadi" w:cs="Calibri"/>
          <w:bCs/>
          <w:i/>
          <w:sz w:val="21"/>
          <w:szCs w:val="21"/>
          <w:lang w:val="es-MX" w:eastAsia="es-MX"/>
        </w:rPr>
      </w:pPr>
      <w:r w:rsidRPr="004C763C">
        <w:rPr>
          <w:rFonts w:ascii="Abadi" w:hAnsi="Abadi" w:cs="Calibri"/>
          <w:bCs/>
          <w:i/>
          <w:sz w:val="21"/>
          <w:szCs w:val="21"/>
          <w:lang w:val="es-MX" w:eastAsia="es-MX"/>
        </w:rPr>
        <w:t>IMPACTO PRESUPUESTARIO: Dada la naturaleza de la iniciativa en cuestión, no se presentan impactos presupuestarios.</w:t>
      </w:r>
    </w:p>
    <w:p w14:paraId="3921A487" w14:textId="77777777" w:rsidR="004C763C" w:rsidRPr="004C763C" w:rsidRDefault="004C763C" w:rsidP="00FF1A2F">
      <w:pPr>
        <w:ind w:left="1134" w:right="1038"/>
        <w:jc w:val="both"/>
        <w:textAlignment w:val="baseline"/>
        <w:rPr>
          <w:rFonts w:ascii="Abadi" w:hAnsi="Abadi" w:cs="Calibri"/>
          <w:bCs/>
          <w:i/>
          <w:sz w:val="21"/>
          <w:szCs w:val="21"/>
          <w:lang w:val="es-MX" w:eastAsia="es-MX"/>
        </w:rPr>
      </w:pPr>
      <w:r w:rsidRPr="004C763C">
        <w:rPr>
          <w:rFonts w:ascii="Abadi" w:hAnsi="Abadi" w:cs="Calibri"/>
          <w:bCs/>
          <w:i/>
          <w:sz w:val="21"/>
          <w:szCs w:val="21"/>
          <w:lang w:val="es-MX" w:eastAsia="es-MX"/>
        </w:rPr>
        <w:t>IMPACTO SOCIAL: Es importante el arraigo tanto nacional como local, por ello, la iniciativa sienta las bases para establecer el orgullo guanajuatense, donde hijos de padres guanajuatenses puedan llamarse a sí mismo sin importar donde residan, "guanajuatenses". Finalmente crearles un vínculo de pertenencia a los niños y jóvenes que, por cuestiones adversas a ellos, sus padres tuvieron.»</w:t>
      </w:r>
    </w:p>
    <w:p w14:paraId="5AB1A655" w14:textId="77777777" w:rsidR="004C763C" w:rsidRPr="004C763C" w:rsidRDefault="004C763C" w:rsidP="00FF1A2F">
      <w:pPr>
        <w:autoSpaceDE w:val="0"/>
        <w:autoSpaceDN w:val="0"/>
        <w:adjustRightInd w:val="0"/>
        <w:ind w:firstLine="708"/>
        <w:rPr>
          <w:rFonts w:ascii="Abadi" w:eastAsia="Batang" w:hAnsi="Abadi" w:cs="Arial"/>
          <w:sz w:val="21"/>
          <w:szCs w:val="21"/>
          <w:lang w:val="es-MX" w:eastAsia="en-US"/>
        </w:rPr>
      </w:pPr>
    </w:p>
    <w:p w14:paraId="6C46FC2B" w14:textId="77777777" w:rsidR="004C763C" w:rsidRPr="004C763C" w:rsidRDefault="004C763C" w:rsidP="00FF1A2F">
      <w:pPr>
        <w:autoSpaceDE w:val="0"/>
        <w:autoSpaceDN w:val="0"/>
        <w:adjustRightInd w:val="0"/>
        <w:ind w:firstLine="708"/>
        <w:jc w:val="both"/>
        <w:rPr>
          <w:rFonts w:ascii="Abadi" w:eastAsia="Batang" w:hAnsi="Abadi" w:cs="Arial"/>
          <w:sz w:val="21"/>
          <w:szCs w:val="21"/>
          <w:highlight w:val="yellow"/>
          <w:lang w:val="es-MX" w:eastAsia="en-US"/>
        </w:rPr>
      </w:pPr>
    </w:p>
    <w:p w14:paraId="7A44F009" w14:textId="77777777" w:rsidR="004C763C" w:rsidRPr="004C763C" w:rsidRDefault="004C763C" w:rsidP="00FF1A2F">
      <w:pPr>
        <w:autoSpaceDE w:val="0"/>
        <w:autoSpaceDN w:val="0"/>
        <w:adjustRightInd w:val="0"/>
        <w:ind w:firstLine="708"/>
        <w:jc w:val="both"/>
        <w:rPr>
          <w:rFonts w:ascii="Abadi" w:eastAsia="Batang" w:hAnsi="Abadi" w:cs="Arial"/>
          <w:i/>
          <w:iCs/>
          <w:sz w:val="21"/>
          <w:szCs w:val="21"/>
          <w:lang w:val="es-MX" w:eastAsia="en-US"/>
        </w:rPr>
      </w:pPr>
      <w:r w:rsidRPr="004C763C">
        <w:rPr>
          <w:rFonts w:ascii="Abadi" w:eastAsia="Batang" w:hAnsi="Abadi" w:cs="Arial"/>
          <w:sz w:val="21"/>
          <w:szCs w:val="21"/>
          <w:lang w:val="es-MX" w:eastAsia="en-US"/>
        </w:rPr>
        <w:t xml:space="preserve">Quienes integramos la Comisión de Gobernación y Puntos Constitucionales de esta Sexagésima Quinta Legislatura, consideramos necesario referir en un análisis general de la iniciativa los argumentos de carácter técnico jurídicos con respecto al tema que se pretende reformar con modificación a los artículos 20 y 21 de la Constitución Política Local, </w:t>
      </w:r>
      <w:r w:rsidRPr="004C763C">
        <w:rPr>
          <w:rFonts w:ascii="Abadi" w:eastAsia="Batang" w:hAnsi="Abadi" w:cs="Arial"/>
          <w:i/>
          <w:iCs/>
          <w:sz w:val="21"/>
          <w:szCs w:val="21"/>
          <w:lang w:val="es-MX" w:eastAsia="en-US"/>
        </w:rPr>
        <w:t>siendo el de incluir el supuesto que reconoce la calidad de guanajuatense a quienes sean hijas o hijos de padre o madre guanajuatenses, nacidos fuera del territorio del Estado.</w:t>
      </w:r>
    </w:p>
    <w:p w14:paraId="41B97132" w14:textId="77777777" w:rsidR="004C763C" w:rsidRPr="004C763C" w:rsidRDefault="004C763C" w:rsidP="00FF1A2F">
      <w:pPr>
        <w:autoSpaceDE w:val="0"/>
        <w:autoSpaceDN w:val="0"/>
        <w:adjustRightInd w:val="0"/>
        <w:ind w:firstLine="708"/>
        <w:jc w:val="both"/>
        <w:rPr>
          <w:rFonts w:ascii="Abadi" w:eastAsia="Batang" w:hAnsi="Abadi" w:cs="Arial"/>
          <w:i/>
          <w:iCs/>
          <w:sz w:val="21"/>
          <w:szCs w:val="21"/>
          <w:highlight w:val="yellow"/>
          <w:lang w:val="es-MX" w:eastAsia="en-US"/>
        </w:rPr>
      </w:pPr>
    </w:p>
    <w:p w14:paraId="0238629C" w14:textId="77777777" w:rsidR="004C763C" w:rsidRPr="004C763C" w:rsidRDefault="004C763C" w:rsidP="00FF1A2F">
      <w:pPr>
        <w:autoSpaceDE w:val="0"/>
        <w:autoSpaceDN w:val="0"/>
        <w:adjustRightInd w:val="0"/>
        <w:jc w:val="both"/>
        <w:rPr>
          <w:rFonts w:ascii="Abadi" w:eastAsia="Batang" w:hAnsi="Abadi" w:cs="Arial"/>
          <w:b/>
          <w:bCs/>
          <w:i/>
          <w:iCs/>
          <w:sz w:val="21"/>
          <w:szCs w:val="21"/>
          <w:lang w:val="es-MX" w:eastAsia="en-US"/>
        </w:rPr>
      </w:pPr>
      <w:r w:rsidRPr="004C763C">
        <w:rPr>
          <w:rFonts w:ascii="Abadi" w:eastAsia="Batang" w:hAnsi="Abadi" w:cs="Arial"/>
          <w:b/>
          <w:bCs/>
          <w:sz w:val="21"/>
          <w:szCs w:val="21"/>
          <w:lang w:val="es-MX" w:eastAsia="en-US"/>
        </w:rPr>
        <w:t xml:space="preserve">III.1. Análisis de la propuesta de reforma a los artículos 20 y 21 constitucionales </w:t>
      </w:r>
      <w:r w:rsidRPr="004C763C">
        <w:rPr>
          <w:rFonts w:ascii="Abadi" w:eastAsia="Batang" w:hAnsi="Abadi" w:cs="Arial"/>
          <w:b/>
          <w:bCs/>
          <w:i/>
          <w:iCs/>
          <w:sz w:val="21"/>
          <w:szCs w:val="21"/>
          <w:lang w:val="es-MX" w:eastAsia="en-US"/>
        </w:rPr>
        <w:t>para incluir la calidad de guanajuatense a quienes sean hijos de padre o madre guanajuatense (ius sanguini)</w:t>
      </w:r>
    </w:p>
    <w:p w14:paraId="482BAD2C" w14:textId="77777777" w:rsidR="004C763C" w:rsidRPr="004C763C" w:rsidRDefault="004C763C" w:rsidP="00FF1A2F">
      <w:pPr>
        <w:autoSpaceDE w:val="0"/>
        <w:autoSpaceDN w:val="0"/>
        <w:adjustRightInd w:val="0"/>
        <w:jc w:val="both"/>
        <w:rPr>
          <w:rFonts w:ascii="Abadi" w:eastAsia="Batang" w:hAnsi="Abadi" w:cs="Arial"/>
          <w:b/>
          <w:bCs/>
          <w:i/>
          <w:iCs/>
          <w:sz w:val="21"/>
          <w:szCs w:val="21"/>
          <w:lang w:val="es-MX" w:eastAsia="en-US"/>
        </w:rPr>
      </w:pPr>
    </w:p>
    <w:p w14:paraId="4E9F5B29" w14:textId="77777777" w:rsidR="004C763C" w:rsidRPr="004C763C" w:rsidRDefault="004C763C" w:rsidP="00FF1A2F">
      <w:pPr>
        <w:autoSpaceDE w:val="0"/>
        <w:autoSpaceDN w:val="0"/>
        <w:adjustRightInd w:val="0"/>
        <w:jc w:val="both"/>
        <w:rPr>
          <w:rFonts w:ascii="Abadi" w:eastAsia="Batang" w:hAnsi="Abadi" w:cs="Arial"/>
          <w:sz w:val="21"/>
          <w:szCs w:val="21"/>
          <w:lang w:val="es-MX" w:eastAsia="en-US"/>
        </w:rPr>
      </w:pPr>
      <w:r w:rsidRPr="004C763C">
        <w:rPr>
          <w:rFonts w:ascii="Abadi" w:eastAsia="Batang" w:hAnsi="Abadi" w:cs="Arial"/>
          <w:sz w:val="21"/>
          <w:szCs w:val="21"/>
          <w:lang w:val="es-MX" w:eastAsia="en-US"/>
        </w:rPr>
        <w:tab/>
        <w:t>Como dictaminadores queremos en un primer plano delimitar los conceptos y categorías que se utilizan en esta iniciativa y que son de vital importancia para la posterior argumentación de esta Comisión, en primer lugar, el tema de origen de esta propuesta se refiere a la institución de la ciudadanía que se define como la membresía pasiva y activa de los individuos del Estado-Nación con ciertos derechos universales y obligaciones en un dado nivel de igualdad</w:t>
      </w:r>
      <w:r w:rsidRPr="004C763C">
        <w:rPr>
          <w:rFonts w:ascii="Abadi" w:eastAsia="Batang" w:hAnsi="Abadi" w:cs="Arial"/>
          <w:sz w:val="21"/>
          <w:szCs w:val="21"/>
          <w:vertAlign w:val="superscript"/>
          <w:lang w:val="es-MX" w:eastAsia="en-US"/>
        </w:rPr>
        <w:footnoteReference w:id="101"/>
      </w:r>
      <w:r w:rsidRPr="004C763C">
        <w:rPr>
          <w:rFonts w:ascii="Abadi" w:eastAsia="Batang" w:hAnsi="Abadi" w:cs="Arial"/>
          <w:sz w:val="21"/>
          <w:szCs w:val="21"/>
          <w:lang w:val="es-MX" w:eastAsia="en-US"/>
        </w:rPr>
        <w:t xml:space="preserve">. </w:t>
      </w:r>
    </w:p>
    <w:p w14:paraId="52790D22" w14:textId="77777777" w:rsidR="004C763C" w:rsidRPr="004C763C" w:rsidRDefault="004C763C" w:rsidP="00FF1A2F">
      <w:pPr>
        <w:autoSpaceDE w:val="0"/>
        <w:autoSpaceDN w:val="0"/>
        <w:adjustRightInd w:val="0"/>
        <w:jc w:val="both"/>
        <w:rPr>
          <w:rFonts w:ascii="Abadi" w:eastAsia="Batang" w:hAnsi="Abadi" w:cs="Arial"/>
          <w:sz w:val="21"/>
          <w:szCs w:val="21"/>
          <w:highlight w:val="yellow"/>
          <w:lang w:val="es-MX" w:eastAsia="en-US"/>
        </w:rPr>
      </w:pPr>
    </w:p>
    <w:p w14:paraId="08F9B802" w14:textId="77777777" w:rsidR="004C763C" w:rsidRPr="004C763C" w:rsidRDefault="004C763C" w:rsidP="00FF1A2F">
      <w:pPr>
        <w:autoSpaceDE w:val="0"/>
        <w:autoSpaceDN w:val="0"/>
        <w:adjustRightInd w:val="0"/>
        <w:ind w:firstLine="708"/>
        <w:jc w:val="both"/>
        <w:rPr>
          <w:rFonts w:ascii="Abadi" w:eastAsia="Batang" w:hAnsi="Abadi" w:cs="Arial"/>
          <w:sz w:val="21"/>
          <w:szCs w:val="21"/>
          <w:lang w:val="es-MX" w:eastAsia="en-US"/>
        </w:rPr>
      </w:pPr>
      <w:r w:rsidRPr="004C763C">
        <w:rPr>
          <w:rFonts w:ascii="Abadi" w:eastAsia="Batang" w:hAnsi="Abadi" w:cs="Arial"/>
          <w:sz w:val="21"/>
          <w:szCs w:val="21"/>
          <w:lang w:val="es-MX" w:eastAsia="en-US"/>
        </w:rPr>
        <w:t xml:space="preserve">Dicha institución está antecedida por el concepto de nacionalidad implícito al Estado-Nación, que se entiende como la calidad de miembro de las personas naturales de un Estado en la cual media una relación de derechos y obligaciones entre las partes. </w:t>
      </w:r>
    </w:p>
    <w:p w14:paraId="6F14D25B" w14:textId="77777777" w:rsidR="004C763C" w:rsidRPr="004C763C" w:rsidRDefault="004C763C" w:rsidP="00FF1A2F">
      <w:pPr>
        <w:autoSpaceDE w:val="0"/>
        <w:autoSpaceDN w:val="0"/>
        <w:adjustRightInd w:val="0"/>
        <w:ind w:firstLine="708"/>
        <w:jc w:val="both"/>
        <w:rPr>
          <w:rFonts w:ascii="Abadi" w:eastAsia="Batang" w:hAnsi="Abadi" w:cs="Arial"/>
          <w:sz w:val="21"/>
          <w:szCs w:val="21"/>
          <w:lang w:val="es-MX" w:eastAsia="en-US"/>
        </w:rPr>
      </w:pPr>
    </w:p>
    <w:p w14:paraId="0CD6DEA7" w14:textId="77777777" w:rsidR="004C763C" w:rsidRPr="004C763C" w:rsidRDefault="004C763C" w:rsidP="00FF1A2F">
      <w:pPr>
        <w:autoSpaceDE w:val="0"/>
        <w:autoSpaceDN w:val="0"/>
        <w:adjustRightInd w:val="0"/>
        <w:ind w:firstLine="708"/>
        <w:jc w:val="both"/>
        <w:rPr>
          <w:rFonts w:ascii="Abadi" w:eastAsia="Batang" w:hAnsi="Abadi" w:cs="Arial"/>
          <w:sz w:val="21"/>
          <w:szCs w:val="21"/>
          <w:lang w:val="es-MX" w:eastAsia="en-US"/>
        </w:rPr>
      </w:pPr>
      <w:r w:rsidRPr="004C763C">
        <w:rPr>
          <w:rFonts w:ascii="Abadi" w:eastAsia="Batang" w:hAnsi="Abadi" w:cs="Arial"/>
          <w:sz w:val="21"/>
          <w:szCs w:val="21"/>
          <w:lang w:val="es-MX" w:eastAsia="en-US"/>
        </w:rPr>
        <w:t>En ese sentido, los Estados establecen en sus respectivas legislaciones dos principios para determinar la nacionalidad de las personas físicas, los cuales son el nacimiento y la naturalización, en cuanto al primero que es motivo de nuestro interés, se subdivide a su vez en los criterios de</w:t>
      </w:r>
      <w:r w:rsidRPr="004C763C">
        <w:rPr>
          <w:rFonts w:ascii="Abadi" w:eastAsia="Batang" w:hAnsi="Abadi" w:cs="Arial"/>
          <w:i/>
          <w:iCs/>
          <w:sz w:val="21"/>
          <w:szCs w:val="21"/>
          <w:lang w:val="es-MX" w:eastAsia="en-US"/>
        </w:rPr>
        <w:t xml:space="preserve"> ius soli</w:t>
      </w:r>
      <w:r w:rsidRPr="004C763C">
        <w:rPr>
          <w:rFonts w:ascii="Abadi" w:eastAsia="Batang" w:hAnsi="Abadi" w:cs="Arial"/>
          <w:sz w:val="21"/>
          <w:szCs w:val="21"/>
          <w:lang w:val="es-MX" w:eastAsia="en-US"/>
        </w:rPr>
        <w:t xml:space="preserve"> y </w:t>
      </w:r>
      <w:r w:rsidRPr="004C763C">
        <w:rPr>
          <w:rFonts w:ascii="Abadi" w:eastAsia="Batang" w:hAnsi="Abadi" w:cs="Arial"/>
          <w:i/>
          <w:iCs/>
          <w:sz w:val="21"/>
          <w:szCs w:val="21"/>
          <w:lang w:val="es-MX" w:eastAsia="en-US"/>
        </w:rPr>
        <w:t xml:space="preserve">ius sanguinis, </w:t>
      </w:r>
      <w:r w:rsidRPr="004C763C">
        <w:rPr>
          <w:rFonts w:ascii="Abadi" w:eastAsia="Batang" w:hAnsi="Abadi" w:cs="Arial"/>
          <w:sz w:val="21"/>
          <w:szCs w:val="21"/>
          <w:lang w:val="es-MX" w:eastAsia="en-US"/>
        </w:rPr>
        <w:t xml:space="preserve">de acuerdo al primero, la nacionalidad de una persona se determina por el lugar en el cual haya nacido, en tanto que para este último la nacionalidad por nacimiento de una persona se determina por la nacionalidad de sus padres. </w:t>
      </w:r>
    </w:p>
    <w:p w14:paraId="2A286E3B" w14:textId="77777777" w:rsidR="004C763C" w:rsidRPr="004C763C" w:rsidRDefault="004C763C" w:rsidP="00FF1A2F">
      <w:pPr>
        <w:autoSpaceDE w:val="0"/>
        <w:autoSpaceDN w:val="0"/>
        <w:adjustRightInd w:val="0"/>
        <w:ind w:firstLine="708"/>
        <w:jc w:val="both"/>
        <w:rPr>
          <w:rFonts w:ascii="Abadi" w:eastAsia="Batang" w:hAnsi="Abadi" w:cs="Arial"/>
          <w:sz w:val="21"/>
          <w:szCs w:val="21"/>
          <w:lang w:val="es-MX" w:eastAsia="en-US"/>
        </w:rPr>
      </w:pPr>
    </w:p>
    <w:p w14:paraId="6C19A4CC" w14:textId="77777777" w:rsidR="004C763C" w:rsidRPr="004C763C" w:rsidRDefault="004C763C" w:rsidP="00FF1A2F">
      <w:pPr>
        <w:autoSpaceDE w:val="0"/>
        <w:autoSpaceDN w:val="0"/>
        <w:adjustRightInd w:val="0"/>
        <w:ind w:firstLine="708"/>
        <w:jc w:val="both"/>
        <w:rPr>
          <w:rFonts w:ascii="Abadi" w:eastAsia="Batang" w:hAnsi="Abadi" w:cs="Arial"/>
          <w:sz w:val="21"/>
          <w:szCs w:val="21"/>
          <w:lang w:val="es-MX" w:eastAsia="en-US"/>
        </w:rPr>
      </w:pPr>
      <w:r w:rsidRPr="004C763C">
        <w:rPr>
          <w:rFonts w:ascii="Abadi" w:eastAsia="Batang" w:hAnsi="Abadi" w:cs="Arial"/>
          <w:sz w:val="21"/>
          <w:szCs w:val="21"/>
          <w:lang w:val="es-MX" w:eastAsia="en-US"/>
        </w:rPr>
        <w:t xml:space="preserve">En nuestro país, dichos principios están recogidos en la Constitución Política de los Estados Unidos Mexicanos, en las fracciones I y II del inciso A) del artículo 30 constitucional, que establece que son mexicanos por nacimiento los que nazcan en territorio de la República, sea cual fuere la nacionalidad de sus padres y los que nazcan en el extranjero, hijos de padres mexicanos, de madre mexicana o de padre mexicano, mientras que de forma correlativa al sistema federal mexicano, la vinculación a la relación entre derechos y obligaciones entre la persona física y la entidad federativa, en nuestro caso el Estado de Guanajuato, está establecido en los artículos 20 y 21 de nuestra Constitución, objeto principal de la iniciativa en estudio. </w:t>
      </w:r>
    </w:p>
    <w:p w14:paraId="2ED41E5F" w14:textId="77777777" w:rsidR="004C763C" w:rsidRPr="004C763C" w:rsidRDefault="004C763C" w:rsidP="00FF1A2F">
      <w:pPr>
        <w:autoSpaceDE w:val="0"/>
        <w:autoSpaceDN w:val="0"/>
        <w:adjustRightInd w:val="0"/>
        <w:ind w:firstLine="708"/>
        <w:jc w:val="both"/>
        <w:rPr>
          <w:rFonts w:ascii="Abadi" w:eastAsia="Batang" w:hAnsi="Abadi" w:cs="Arial"/>
          <w:sz w:val="21"/>
          <w:szCs w:val="21"/>
          <w:lang w:val="es-MX" w:eastAsia="en-US"/>
        </w:rPr>
      </w:pPr>
    </w:p>
    <w:p w14:paraId="1A9DEA85" w14:textId="77777777" w:rsidR="004C763C" w:rsidRPr="004C763C" w:rsidRDefault="004C763C" w:rsidP="00FF1A2F">
      <w:pPr>
        <w:autoSpaceDE w:val="0"/>
        <w:autoSpaceDN w:val="0"/>
        <w:adjustRightInd w:val="0"/>
        <w:ind w:firstLine="708"/>
        <w:jc w:val="both"/>
        <w:rPr>
          <w:rFonts w:ascii="Abadi" w:eastAsia="Batang" w:hAnsi="Abadi" w:cs="Arial"/>
          <w:sz w:val="21"/>
          <w:szCs w:val="21"/>
          <w:lang w:val="es-MX" w:eastAsia="en-US"/>
        </w:rPr>
      </w:pPr>
      <w:r w:rsidRPr="004C763C">
        <w:rPr>
          <w:rFonts w:ascii="Abadi" w:eastAsia="Batang" w:hAnsi="Abadi" w:cs="Arial"/>
          <w:sz w:val="21"/>
          <w:szCs w:val="21"/>
          <w:lang w:val="es-MX" w:eastAsia="en-US"/>
        </w:rPr>
        <w:t xml:space="preserve">En ese sentido, los derechos de los ciudadanos se desarrollan en tres planos sucesivos: civil, político y social; los derechos civiles protegen la seguridad del ciudadano y garantizan la libertad y autonomía de este frente al Estado; los derechos políticos se refieren a la capacidad de los sujetos para decidir a quienes han de gobernarlos y los derechos sociales garantizan las condiciones mínimas de supervivencia de la comunidad. </w:t>
      </w:r>
      <w:r w:rsidRPr="004C763C">
        <w:rPr>
          <w:rFonts w:ascii="Abadi" w:eastAsia="Batang" w:hAnsi="Abadi" w:cs="Arial"/>
          <w:sz w:val="21"/>
          <w:szCs w:val="21"/>
          <w:vertAlign w:val="superscript"/>
          <w:lang w:val="es-MX" w:eastAsia="en-US"/>
        </w:rPr>
        <w:footnoteReference w:id="102"/>
      </w:r>
    </w:p>
    <w:p w14:paraId="373AB926" w14:textId="77777777" w:rsidR="004C763C" w:rsidRPr="004C763C" w:rsidRDefault="004C763C" w:rsidP="00FF1A2F">
      <w:pPr>
        <w:autoSpaceDE w:val="0"/>
        <w:autoSpaceDN w:val="0"/>
        <w:adjustRightInd w:val="0"/>
        <w:ind w:firstLine="708"/>
        <w:jc w:val="both"/>
        <w:rPr>
          <w:rFonts w:ascii="Abadi" w:eastAsia="Batang" w:hAnsi="Abadi" w:cs="Arial"/>
          <w:sz w:val="21"/>
          <w:szCs w:val="21"/>
          <w:lang w:val="es-MX" w:eastAsia="en-US"/>
        </w:rPr>
      </w:pPr>
    </w:p>
    <w:p w14:paraId="62DDAF8F" w14:textId="77777777" w:rsidR="004C763C" w:rsidRPr="004C763C" w:rsidRDefault="004C763C" w:rsidP="00FF1A2F">
      <w:pPr>
        <w:ind w:firstLine="708"/>
        <w:jc w:val="both"/>
        <w:rPr>
          <w:rFonts w:ascii="Abadi" w:eastAsia="Batang" w:hAnsi="Abadi" w:cs="Arial"/>
          <w:sz w:val="21"/>
          <w:szCs w:val="21"/>
          <w:lang w:val="es-MX" w:eastAsia="en-US"/>
        </w:rPr>
      </w:pPr>
      <w:r w:rsidRPr="004C763C">
        <w:rPr>
          <w:rFonts w:ascii="Abadi" w:eastAsia="Batang" w:hAnsi="Abadi" w:cs="Arial"/>
          <w:sz w:val="21"/>
          <w:szCs w:val="21"/>
          <w:lang w:val="es-MX" w:eastAsia="en-US"/>
        </w:rPr>
        <w:t xml:space="preserve">Quienes dictaminamos </w:t>
      </w:r>
      <w:r w:rsidRPr="004C763C">
        <w:rPr>
          <w:rFonts w:ascii="Abadi" w:eastAsia="Batang" w:hAnsi="Abadi" w:cs="Arial"/>
          <w:i/>
          <w:iCs/>
          <w:sz w:val="21"/>
          <w:szCs w:val="21"/>
          <w:lang w:val="es-MX" w:eastAsia="en-US"/>
        </w:rPr>
        <w:t xml:space="preserve">por otro lado </w:t>
      </w:r>
      <w:r w:rsidRPr="004C763C">
        <w:rPr>
          <w:rFonts w:ascii="Abadi" w:eastAsia="Batang" w:hAnsi="Abadi" w:cs="Arial"/>
          <w:sz w:val="21"/>
          <w:szCs w:val="21"/>
          <w:lang w:val="es-MX" w:eastAsia="en-US"/>
        </w:rPr>
        <w:t>manifestamos que el sistema jurídico de todo estado democrático debe velar por el respeto, protección y salvaguarda de los derechos fundamentales, siempre con éste, crear y lograr el correcto funcionamiento y desarrollo de las instituciones que para tales fines han sido creadas para así mejorar en el ámbito que corresponde la calidad de vida de los guanajuatenses. Es por ello que se debe analizar también en el contexto integral del ordenamiento jurídico a implementar para deducir si el tratamiento que se sugiere en dicha iniciativa es consistente con el marco legal en que se inscribe la institución jurídica que se anhela transformar, a través de la misma iniciativa.</w:t>
      </w:r>
    </w:p>
    <w:p w14:paraId="6DA4E919" w14:textId="77777777" w:rsidR="004C763C" w:rsidRPr="004C763C" w:rsidRDefault="004C763C" w:rsidP="00FF1A2F">
      <w:pPr>
        <w:ind w:firstLine="708"/>
        <w:jc w:val="both"/>
        <w:rPr>
          <w:rFonts w:ascii="Abadi" w:eastAsia="Batang" w:hAnsi="Abadi" w:cs="Arial"/>
          <w:sz w:val="21"/>
          <w:szCs w:val="21"/>
          <w:lang w:val="es-MX" w:eastAsia="en-US"/>
        </w:rPr>
      </w:pPr>
    </w:p>
    <w:p w14:paraId="6A8F505A" w14:textId="77777777" w:rsidR="004C763C" w:rsidRPr="004C763C" w:rsidRDefault="004C763C" w:rsidP="00FF1A2F">
      <w:pPr>
        <w:ind w:firstLine="708"/>
        <w:jc w:val="both"/>
        <w:rPr>
          <w:rFonts w:ascii="Abadi" w:eastAsia="Batang" w:hAnsi="Abadi" w:cs="Arial"/>
          <w:sz w:val="21"/>
          <w:szCs w:val="21"/>
          <w:lang w:val="es-MX" w:eastAsia="en-US"/>
        </w:rPr>
      </w:pPr>
      <w:r w:rsidRPr="004C763C">
        <w:rPr>
          <w:rFonts w:ascii="Abadi" w:eastAsia="Batang" w:hAnsi="Abadi" w:cs="Arial"/>
          <w:sz w:val="21"/>
          <w:szCs w:val="21"/>
          <w:lang w:val="es-MX" w:eastAsia="en-US"/>
        </w:rPr>
        <w:t>Esta premisa, por otra parte, adquiere mayor relevancia cuando dicha iniciativa ha sido turnada a la comisión legislativa competente según la materia en que incida tal iniciativa. Por ello, a quienes por disposición de nuestra Ley Orgánica y por razón del turno dictado por la Presidencia del Congreso, nos corresponde ahora analizar la procedencia o no de tales proposiciones normativas, debemos tomar en cuenta no sólo las motivaciones que inspiraron al autor de la iniciativa objeto del presente dictamen, pues tales argumentos, que se encuentran vertidos en la respectiva exposición de motivos, debe analizarse y contrastarse con el estado de cosas legislativo vigente, de tal manera que se dilucide si la propuesta normativa que se formula en tal iniciativa no se encuentra satisfecha o recogida en nuestro orden jurídico vigente.</w:t>
      </w:r>
    </w:p>
    <w:p w14:paraId="170A78AB" w14:textId="77777777" w:rsidR="004C763C" w:rsidRPr="004C763C" w:rsidRDefault="004C763C" w:rsidP="00FF1A2F">
      <w:pPr>
        <w:ind w:firstLine="708"/>
        <w:jc w:val="both"/>
        <w:rPr>
          <w:rFonts w:ascii="Abadi" w:eastAsia="Batang" w:hAnsi="Abadi" w:cs="Arial"/>
          <w:sz w:val="21"/>
          <w:szCs w:val="21"/>
          <w:lang w:val="es-MX" w:eastAsia="en-US"/>
        </w:rPr>
      </w:pPr>
    </w:p>
    <w:p w14:paraId="07C40826" w14:textId="77777777" w:rsidR="004C763C" w:rsidRPr="004C763C" w:rsidRDefault="004C763C" w:rsidP="00FF1A2F">
      <w:pPr>
        <w:ind w:firstLine="708"/>
        <w:jc w:val="both"/>
        <w:rPr>
          <w:rFonts w:ascii="Abadi" w:eastAsia="Batang" w:hAnsi="Abadi" w:cs="Arial"/>
          <w:sz w:val="21"/>
          <w:szCs w:val="21"/>
          <w:lang w:val="es-MX" w:eastAsia="en-US"/>
        </w:rPr>
      </w:pPr>
      <w:r w:rsidRPr="004C763C">
        <w:rPr>
          <w:rFonts w:ascii="Abadi" w:eastAsia="Batang" w:hAnsi="Abadi" w:cs="Arial"/>
          <w:sz w:val="21"/>
          <w:szCs w:val="21"/>
          <w:lang w:val="es-MX" w:eastAsia="en-US"/>
        </w:rPr>
        <w:t>En este sentido, la exposición de motivos nos ofrece un primer atisbo a la finalidad que el autor de la iniciativa persigue con la misma; por lo que el estudio integral que debe practicarse a la misma debe orientarnos a la constatación de que dicha propuesta tenga cabida armónica y coherente con la ley sobre la que fija su objeto. Y, luego de este estudio, debemos cerciorarnos si tal proposición puede tener una recepción coherente y congruente con el resto del ordenamiento jurídico de nuestro estado. Y para cerciorarnos de que ello sea posible, es menester entonces que nos extendamos al análisis del resto del conjunto legislativo vigente en el Estado, de manera que al dictaminar la procedencia o improcedencia de la proposición legislativa contenida en la iniciativa, tengamos la certeza de que la finalidad perseguida por el autor de la iniciativa se ajuste al marco legar en vigor.</w:t>
      </w:r>
    </w:p>
    <w:p w14:paraId="06794CFC" w14:textId="77777777" w:rsidR="004C763C" w:rsidRPr="004C763C" w:rsidRDefault="004C763C" w:rsidP="00FF1A2F">
      <w:pPr>
        <w:ind w:firstLine="708"/>
        <w:jc w:val="both"/>
        <w:rPr>
          <w:rFonts w:ascii="Abadi" w:eastAsia="Batang" w:hAnsi="Abadi" w:cs="Arial"/>
          <w:sz w:val="21"/>
          <w:szCs w:val="21"/>
          <w:lang w:val="es-MX" w:eastAsia="en-US"/>
        </w:rPr>
      </w:pPr>
    </w:p>
    <w:p w14:paraId="768B1558" w14:textId="77777777" w:rsidR="004C763C" w:rsidRPr="004C763C" w:rsidRDefault="004C763C" w:rsidP="00FF1A2F">
      <w:pPr>
        <w:ind w:firstLine="708"/>
        <w:jc w:val="both"/>
        <w:rPr>
          <w:rFonts w:ascii="Abadi" w:eastAsia="Batang" w:hAnsi="Abadi" w:cs="Arial"/>
          <w:sz w:val="21"/>
          <w:szCs w:val="21"/>
          <w:lang w:val="es-MX" w:eastAsia="en-US"/>
        </w:rPr>
      </w:pPr>
      <w:r w:rsidRPr="004C763C">
        <w:rPr>
          <w:rFonts w:ascii="Abadi" w:eastAsia="Batang" w:hAnsi="Abadi" w:cs="Arial"/>
          <w:sz w:val="21"/>
          <w:szCs w:val="21"/>
          <w:lang w:val="es-MX" w:eastAsia="en-US"/>
        </w:rPr>
        <w:t>Es decir, como legisladores sabemos que la exposición de motivos de toda iniciativa tiene un papel fundamental pues ahí se recogen las decisiones políticas más importantes contenidas en el texto dispositivo de la norma en forma de principios o reglas en la que prima el criterio interpretativo de </w:t>
      </w:r>
      <w:r w:rsidRPr="004C763C">
        <w:rPr>
          <w:rFonts w:ascii="Abadi" w:eastAsia="Batang" w:hAnsi="Abadi" w:cs="Arial"/>
          <w:i/>
          <w:iCs/>
          <w:sz w:val="21"/>
          <w:szCs w:val="21"/>
          <w:lang w:val="es-MX" w:eastAsia="en-US"/>
        </w:rPr>
        <w:t>dar unidad y coherencia al articulado</w:t>
      </w:r>
      <w:r w:rsidRPr="004C763C">
        <w:rPr>
          <w:rFonts w:ascii="Abadi" w:eastAsia="Batang" w:hAnsi="Abadi" w:cs="Arial"/>
          <w:sz w:val="21"/>
          <w:szCs w:val="21"/>
          <w:lang w:val="es-MX" w:eastAsia="en-US"/>
        </w:rPr>
        <w:t> que recoge la norma aprobada, es decir, nos ayuda a entender el ánimo del legislador y cómo debemos aplicar lo regulado en la norma, esto es, sirven para efectuar una interpretación finalista.</w:t>
      </w:r>
    </w:p>
    <w:p w14:paraId="50BEBAD7" w14:textId="77777777" w:rsidR="004C763C" w:rsidRPr="004C763C" w:rsidRDefault="004C763C" w:rsidP="00FF1A2F">
      <w:pPr>
        <w:ind w:firstLine="708"/>
        <w:jc w:val="both"/>
        <w:rPr>
          <w:rFonts w:ascii="Abadi" w:eastAsia="Batang" w:hAnsi="Abadi" w:cs="Arial"/>
          <w:sz w:val="21"/>
          <w:szCs w:val="21"/>
          <w:lang w:val="es-MX" w:eastAsia="en-US"/>
        </w:rPr>
      </w:pPr>
    </w:p>
    <w:p w14:paraId="4012BD45" w14:textId="77777777" w:rsidR="004C763C" w:rsidRPr="004C763C" w:rsidRDefault="004C763C" w:rsidP="00FF1A2F">
      <w:pPr>
        <w:ind w:firstLine="708"/>
        <w:jc w:val="both"/>
        <w:rPr>
          <w:rFonts w:ascii="Abadi" w:eastAsia="Batang" w:hAnsi="Abadi" w:cs="Arial"/>
          <w:sz w:val="21"/>
          <w:szCs w:val="21"/>
          <w:lang w:val="es-MX" w:eastAsia="en-US"/>
        </w:rPr>
      </w:pPr>
      <w:r w:rsidRPr="004C763C">
        <w:rPr>
          <w:rFonts w:ascii="Abadi" w:eastAsia="Batang" w:hAnsi="Abadi" w:cs="Arial"/>
          <w:sz w:val="21"/>
          <w:szCs w:val="21"/>
          <w:lang w:val="es-MX" w:eastAsia="en-US"/>
        </w:rPr>
        <w:t>En ese sentido, la exposición de motivos muestra un planteamiento general y objetivo del problema o asunto presentado, explicando las soluciones propuestas a través de la creación de nuevos dispositivos o la introducción de cambios necesarios para reformar, adicionar o suprimir determinados textos legales, considerando elementos técnicos -objetivos y de fondo que soporten dicha propuesta.</w:t>
      </w:r>
    </w:p>
    <w:p w14:paraId="29F3E0E0" w14:textId="77777777" w:rsidR="004C763C" w:rsidRPr="004C763C" w:rsidRDefault="004C763C" w:rsidP="00FF1A2F">
      <w:pPr>
        <w:ind w:firstLine="708"/>
        <w:jc w:val="both"/>
        <w:rPr>
          <w:rFonts w:ascii="Abadi" w:eastAsia="Batang" w:hAnsi="Abadi" w:cs="Arial"/>
          <w:sz w:val="21"/>
          <w:szCs w:val="21"/>
          <w:lang w:val="es-MX" w:eastAsia="en-US"/>
        </w:rPr>
      </w:pPr>
    </w:p>
    <w:p w14:paraId="0C06BEEE" w14:textId="77777777" w:rsidR="004C763C" w:rsidRPr="004C763C" w:rsidRDefault="004C763C" w:rsidP="00FF1A2F">
      <w:pPr>
        <w:ind w:firstLine="708"/>
        <w:jc w:val="both"/>
        <w:rPr>
          <w:rFonts w:ascii="Abadi" w:eastAsia="Batang" w:hAnsi="Abadi" w:cs="Arial"/>
          <w:sz w:val="21"/>
          <w:szCs w:val="21"/>
          <w:lang w:val="es-MX" w:eastAsia="en-US"/>
        </w:rPr>
      </w:pPr>
      <w:r w:rsidRPr="004C763C">
        <w:rPr>
          <w:rFonts w:ascii="Abadi" w:eastAsia="Batang" w:hAnsi="Abadi" w:cs="Arial"/>
          <w:sz w:val="21"/>
          <w:szCs w:val="21"/>
          <w:lang w:val="es-MX" w:eastAsia="en-US"/>
        </w:rPr>
        <w:t xml:space="preserve">De igual forma, consideramos que la implementación de esta propuesta con base en las legislaciones de otros Estados de la República es insuficiente, toda vez que en los que son citados como base del objetivo perseguido en la exposición de motivos se reconoce el vínculo </w:t>
      </w:r>
      <w:r w:rsidRPr="004C763C">
        <w:rPr>
          <w:rFonts w:ascii="Abadi" w:eastAsia="Batang" w:hAnsi="Abadi" w:cs="Arial"/>
          <w:i/>
          <w:iCs/>
          <w:sz w:val="21"/>
          <w:szCs w:val="21"/>
          <w:lang w:val="es-MX" w:eastAsia="en-US"/>
        </w:rPr>
        <w:t>ius sanguinis</w:t>
      </w:r>
      <w:r w:rsidRPr="004C763C">
        <w:rPr>
          <w:rFonts w:ascii="Abadi" w:eastAsia="Batang" w:hAnsi="Abadi" w:cs="Arial"/>
          <w:sz w:val="21"/>
          <w:szCs w:val="21"/>
          <w:lang w:val="es-MX" w:eastAsia="en-US"/>
        </w:rPr>
        <w:t xml:space="preserve"> para los hijos de los nacidos en el Estado, y se hace una distinción entre la calidad que se otorga estas personas, y la calidad otorgada a los ciudadanos con sus respectivos derechos y obligaciones relacionadas con los derechos político-electorales motivo de esta iniciativa, a los cuales también se establecen una serie de limitantes, tomando como ejemplo el caso del estado de Colima, en el que se establece en el artículo 17 de la Constitución Política Local, que son colimenses por nacimiento los varones y las mujeres nacidos en territorio del Estado, sea cual fuere la nacionalidad de sus padres; y los varones y las mujeres nacidos fuera del territorio del Estado, de padre o madre colimense por nacimiento, por mencionar un ejemplo. </w:t>
      </w:r>
    </w:p>
    <w:p w14:paraId="79D763DC" w14:textId="77777777" w:rsidR="004C763C" w:rsidRPr="004C763C" w:rsidRDefault="004C763C" w:rsidP="00FF1A2F">
      <w:pPr>
        <w:ind w:firstLine="708"/>
        <w:jc w:val="both"/>
        <w:rPr>
          <w:rFonts w:ascii="Abadi" w:eastAsia="Batang" w:hAnsi="Abadi" w:cs="Arial"/>
          <w:sz w:val="21"/>
          <w:szCs w:val="21"/>
          <w:lang w:val="es-MX" w:eastAsia="en-US"/>
        </w:rPr>
      </w:pPr>
    </w:p>
    <w:p w14:paraId="571EDFFD" w14:textId="77777777" w:rsidR="004C763C" w:rsidRPr="004C763C" w:rsidRDefault="004C763C" w:rsidP="00FF1A2F">
      <w:pPr>
        <w:ind w:firstLine="708"/>
        <w:jc w:val="both"/>
        <w:rPr>
          <w:rFonts w:ascii="Abadi" w:eastAsia="Batang" w:hAnsi="Abadi" w:cs="Arial"/>
          <w:sz w:val="21"/>
          <w:szCs w:val="21"/>
          <w:lang w:val="es-MX" w:eastAsia="en-US"/>
        </w:rPr>
      </w:pPr>
      <w:r w:rsidRPr="004C763C">
        <w:rPr>
          <w:rFonts w:ascii="Abadi" w:eastAsia="Batang" w:hAnsi="Abadi" w:cs="Arial"/>
          <w:sz w:val="21"/>
          <w:szCs w:val="21"/>
          <w:lang w:val="es-MX" w:eastAsia="en-US"/>
        </w:rPr>
        <w:t xml:space="preserve">Mientras que la calidad de ciudadano se otorga a los varones y las mujeres mexicanos que hayan cumplido dieciocho años de edad, tengan un modo honesto de vivir y establezcan su domicilio en su territorio, según se dispone en el artículo 18 de este ordenamiento, en el cual se puede apreciar que para acceder a los derechos y prerrogativas de la ciudadanía no solamente es necesario la calidad de colimense, sino que se necesita estar domiciliado en el Estado. </w:t>
      </w:r>
    </w:p>
    <w:p w14:paraId="5683CA7F" w14:textId="77777777" w:rsidR="004C763C" w:rsidRPr="004C763C" w:rsidRDefault="004C763C" w:rsidP="00FF1A2F">
      <w:pPr>
        <w:ind w:firstLine="708"/>
        <w:jc w:val="both"/>
        <w:rPr>
          <w:rFonts w:ascii="Abadi" w:eastAsia="Batang" w:hAnsi="Abadi" w:cs="Arial"/>
          <w:sz w:val="21"/>
          <w:szCs w:val="21"/>
          <w:lang w:val="es-MX" w:eastAsia="en-US"/>
        </w:rPr>
      </w:pPr>
    </w:p>
    <w:p w14:paraId="18FC3EF5" w14:textId="77777777" w:rsidR="004C763C" w:rsidRPr="004C763C" w:rsidRDefault="004C763C" w:rsidP="00FF1A2F">
      <w:pPr>
        <w:ind w:firstLine="708"/>
        <w:jc w:val="both"/>
        <w:rPr>
          <w:rFonts w:ascii="Abadi" w:eastAsia="Batang" w:hAnsi="Abadi" w:cs="Arial"/>
          <w:sz w:val="21"/>
          <w:szCs w:val="21"/>
          <w:lang w:val="es-MX" w:eastAsia="en-US"/>
        </w:rPr>
      </w:pPr>
      <w:r w:rsidRPr="004C763C">
        <w:rPr>
          <w:rFonts w:ascii="Abadi" w:eastAsia="Batang" w:hAnsi="Abadi" w:cs="Arial"/>
          <w:sz w:val="21"/>
          <w:szCs w:val="21"/>
          <w:lang w:val="es-MX" w:eastAsia="en-US"/>
        </w:rPr>
        <w:t>Por ello, en el contexto del análisis de esta iniciativa partimos del supuesto de incluir el reconocimiento de la calidad de guanajuatense a quiénes sean hijas o hijos de padre o madre guanajuatenses, nacidos fuera del territorio del Estado, es por ello que debe reconocerse ese derecho a los guanajuatenses en sintonía con la maximización de derechos que tienen los ciudadanos en materia político-electoral regulado en el artículo 35 de la Constitución Política de los Estados Unidos Mexicanos, pues el ser considerados guanajuatenses, por el denominado</w:t>
      </w:r>
      <w:r w:rsidRPr="004C763C">
        <w:rPr>
          <w:rFonts w:ascii="Abadi" w:eastAsia="Batang" w:hAnsi="Abadi" w:cs="Arial"/>
          <w:i/>
          <w:iCs/>
          <w:sz w:val="21"/>
          <w:szCs w:val="21"/>
          <w:lang w:val="es-MX" w:eastAsia="en-US"/>
        </w:rPr>
        <w:t xml:space="preserve"> ius sanguini, </w:t>
      </w:r>
      <w:r w:rsidRPr="004C763C">
        <w:rPr>
          <w:rFonts w:ascii="Abadi" w:eastAsia="Batang" w:hAnsi="Abadi" w:cs="Arial"/>
          <w:sz w:val="21"/>
          <w:szCs w:val="21"/>
          <w:lang w:val="es-MX" w:eastAsia="en-US"/>
        </w:rPr>
        <w:t xml:space="preserve">el cual les corresponde innegablemente a las y los hijos de padres guanajuatenses.  </w:t>
      </w:r>
    </w:p>
    <w:p w14:paraId="20080829" w14:textId="77777777" w:rsidR="004C763C" w:rsidRPr="004C763C" w:rsidRDefault="004C763C" w:rsidP="00FF1A2F">
      <w:pPr>
        <w:widowControl w:val="0"/>
        <w:autoSpaceDE w:val="0"/>
        <w:autoSpaceDN w:val="0"/>
        <w:adjustRightInd w:val="0"/>
        <w:rPr>
          <w:rFonts w:ascii="Abadi" w:hAnsi="Abadi"/>
          <w:sz w:val="21"/>
          <w:szCs w:val="21"/>
          <w:lang w:val="en-US" w:eastAsia="es-MX"/>
        </w:rPr>
      </w:pPr>
    </w:p>
    <w:p w14:paraId="6F2DC77C" w14:textId="77777777" w:rsidR="004C763C" w:rsidRPr="004C763C" w:rsidRDefault="004C763C" w:rsidP="00FF1A2F">
      <w:pPr>
        <w:ind w:firstLine="708"/>
        <w:jc w:val="both"/>
        <w:rPr>
          <w:rFonts w:ascii="Abadi" w:eastAsia="Batang" w:hAnsi="Abadi" w:cs="Arial"/>
          <w:sz w:val="21"/>
          <w:szCs w:val="21"/>
          <w:lang w:val="es-MX" w:eastAsia="en-US"/>
        </w:rPr>
      </w:pPr>
      <w:r w:rsidRPr="004C763C">
        <w:rPr>
          <w:rFonts w:ascii="Abadi" w:eastAsia="Batang" w:hAnsi="Abadi" w:cs="Arial"/>
          <w:sz w:val="21"/>
          <w:szCs w:val="21"/>
          <w:lang w:val="es-MX" w:eastAsia="en-US"/>
        </w:rPr>
        <w:t xml:space="preserve">De modo que, el artículo 20 de la Constitución Política para el Estado de Guanajuato, establece que la calidad de guanajuatense se adquiere por nacimiento o por vecindad. Puesto que el artículo 21 describe esta clasificación definiendo que por nacimiento se incluyen a quiénes hayan nacido dentro del territorio del Estado, y por vecindad aquellos que residan en su territorio durante un periodo no menor de dos años. </w:t>
      </w:r>
    </w:p>
    <w:p w14:paraId="4A4AE1E6" w14:textId="77777777" w:rsidR="004C763C" w:rsidRPr="004C763C" w:rsidRDefault="004C763C" w:rsidP="00FF1A2F">
      <w:pPr>
        <w:ind w:firstLine="708"/>
        <w:jc w:val="both"/>
        <w:rPr>
          <w:rFonts w:ascii="Abadi" w:eastAsia="Batang" w:hAnsi="Abadi" w:cs="Arial"/>
          <w:sz w:val="21"/>
          <w:szCs w:val="21"/>
          <w:lang w:val="es-MX" w:eastAsia="en-US"/>
        </w:rPr>
      </w:pPr>
    </w:p>
    <w:p w14:paraId="35C90627" w14:textId="77777777" w:rsidR="004C763C" w:rsidRPr="004C763C" w:rsidRDefault="004C763C" w:rsidP="00FF1A2F">
      <w:pPr>
        <w:ind w:firstLine="708"/>
        <w:jc w:val="both"/>
        <w:rPr>
          <w:rFonts w:ascii="Abadi" w:eastAsia="Batang" w:hAnsi="Abadi" w:cs="Arial"/>
          <w:sz w:val="21"/>
          <w:szCs w:val="21"/>
          <w:lang w:val="es-MX" w:eastAsia="en-US"/>
        </w:rPr>
      </w:pPr>
      <w:r w:rsidRPr="004C763C">
        <w:rPr>
          <w:rFonts w:ascii="Abadi" w:eastAsia="Batang" w:hAnsi="Abadi" w:cs="Arial"/>
          <w:sz w:val="21"/>
          <w:szCs w:val="21"/>
          <w:lang w:val="es-MX" w:eastAsia="en-US"/>
        </w:rPr>
        <w:t xml:space="preserve">Dentro del análisis se atendió a la </w:t>
      </w:r>
      <w:r w:rsidRPr="004C763C">
        <w:rPr>
          <w:rFonts w:ascii="Abadi" w:eastAsia="Batang" w:hAnsi="Abadi" w:cs="Arial"/>
          <w:i/>
          <w:iCs/>
          <w:sz w:val="21"/>
          <w:szCs w:val="21"/>
          <w:lang w:val="es-MX" w:eastAsia="en-US"/>
        </w:rPr>
        <w:t>ratio legis</w:t>
      </w:r>
      <w:r w:rsidRPr="004C763C">
        <w:rPr>
          <w:rFonts w:ascii="Abadi" w:eastAsia="Batang" w:hAnsi="Abadi" w:cs="Arial"/>
          <w:sz w:val="21"/>
          <w:szCs w:val="21"/>
          <w:lang w:val="es-MX" w:eastAsia="en-US"/>
        </w:rPr>
        <w:t xml:space="preserve"> en sentido amplio, contrastando las razones o fundamentos que legitiman y justifican la construcción de los textos normativos.</w:t>
      </w:r>
    </w:p>
    <w:p w14:paraId="7BFDD896" w14:textId="77777777" w:rsidR="004C763C" w:rsidRPr="004C763C" w:rsidRDefault="004C763C" w:rsidP="00FF1A2F">
      <w:pPr>
        <w:ind w:firstLine="708"/>
        <w:jc w:val="both"/>
        <w:rPr>
          <w:rFonts w:ascii="Abadi" w:eastAsia="Batang" w:hAnsi="Abadi" w:cs="Arial"/>
          <w:sz w:val="21"/>
          <w:szCs w:val="21"/>
          <w:lang w:val="es-MX" w:eastAsia="en-US"/>
        </w:rPr>
      </w:pPr>
    </w:p>
    <w:p w14:paraId="546AEB33" w14:textId="77777777" w:rsidR="004C763C" w:rsidRPr="004C763C" w:rsidRDefault="004C763C" w:rsidP="00FF1A2F">
      <w:pPr>
        <w:ind w:firstLine="708"/>
        <w:jc w:val="both"/>
        <w:rPr>
          <w:rFonts w:ascii="Abadi" w:eastAsia="Batang" w:hAnsi="Abadi" w:cs="Arial"/>
          <w:sz w:val="21"/>
          <w:szCs w:val="21"/>
          <w:lang w:val="es-MX" w:eastAsia="en-US"/>
        </w:rPr>
      </w:pPr>
      <w:r w:rsidRPr="004C763C">
        <w:rPr>
          <w:rFonts w:ascii="Abadi" w:eastAsia="Batang" w:hAnsi="Abadi" w:cs="Arial"/>
          <w:sz w:val="21"/>
          <w:szCs w:val="21"/>
          <w:lang w:val="es-MX" w:eastAsia="en-US"/>
        </w:rPr>
        <w:t>Bajo ese argumento de la evaluación ex ante de la iniciativa, no se logra desprender de la exposición de motivos, los razonamientos o razones que permitan dilucidar, si la reforma propuesta es producto de dos necesidades, una de naturaleza práctica y otra de origen política. Donde, la primera consiste en una situación social que requiere atención, la segunda se ramifica en la oportunidad de hacerlo y en la pertinencia de que sea mediante un acto legislativo. Cuando se conjuntan ambas necesidades el Poder Legislativo, a través de su Asamblea, ejerce su competencia legislativa como parte del poder reformador.</w:t>
      </w:r>
    </w:p>
    <w:p w14:paraId="24CDF558" w14:textId="77777777" w:rsidR="004C763C" w:rsidRPr="004C763C" w:rsidRDefault="004C763C" w:rsidP="00FF1A2F">
      <w:pPr>
        <w:widowControl w:val="0"/>
        <w:autoSpaceDE w:val="0"/>
        <w:autoSpaceDN w:val="0"/>
        <w:adjustRightInd w:val="0"/>
        <w:rPr>
          <w:rFonts w:ascii="Abadi" w:hAnsi="Abadi"/>
          <w:sz w:val="21"/>
          <w:szCs w:val="21"/>
          <w:highlight w:val="yellow"/>
          <w:lang w:val="en-US" w:eastAsia="es-MX"/>
        </w:rPr>
      </w:pPr>
    </w:p>
    <w:p w14:paraId="0C4A0771" w14:textId="77777777" w:rsidR="004C763C" w:rsidRPr="004C763C" w:rsidRDefault="004C763C" w:rsidP="00FF1A2F">
      <w:pPr>
        <w:ind w:firstLine="708"/>
        <w:jc w:val="both"/>
        <w:rPr>
          <w:rFonts w:ascii="Abadi" w:eastAsia="Batang" w:hAnsi="Abadi" w:cs="Arial"/>
          <w:sz w:val="21"/>
          <w:szCs w:val="21"/>
          <w:lang w:val="es-MX" w:eastAsia="en-US"/>
        </w:rPr>
      </w:pPr>
      <w:r w:rsidRPr="004C763C">
        <w:rPr>
          <w:rFonts w:ascii="Abadi" w:eastAsia="Batang" w:hAnsi="Abadi" w:cs="Arial"/>
          <w:sz w:val="21"/>
          <w:szCs w:val="21"/>
          <w:lang w:val="es-MX" w:eastAsia="en-US"/>
        </w:rPr>
        <w:t xml:space="preserve">De origen esta propuesta trastoca la esencia de nuestro régimen constitucional local, al establecer la institución de </w:t>
      </w:r>
      <w:r w:rsidRPr="004C763C">
        <w:rPr>
          <w:rFonts w:ascii="Abadi" w:eastAsia="Batang" w:hAnsi="Abadi" w:cs="Arial"/>
          <w:i/>
          <w:iCs/>
          <w:sz w:val="21"/>
          <w:szCs w:val="21"/>
          <w:lang w:val="es-MX" w:eastAsia="en-US"/>
        </w:rPr>
        <w:t>quien tiene la calidad de Guanajuatense</w:t>
      </w:r>
      <w:r w:rsidRPr="004C763C">
        <w:rPr>
          <w:rFonts w:ascii="Abadi" w:eastAsia="Batang" w:hAnsi="Abadi" w:cs="Arial"/>
          <w:sz w:val="21"/>
          <w:szCs w:val="21"/>
          <w:lang w:val="es-MX" w:eastAsia="en-US"/>
        </w:rPr>
        <w:t xml:space="preserve">, y se debe evidenciar de forma robusta las dos necesidades que la originan; si bien el iniciante refiere a una supuesta necesidad de </w:t>
      </w:r>
      <w:r w:rsidRPr="004C763C">
        <w:rPr>
          <w:rFonts w:ascii="Abadi" w:eastAsia="Batang" w:hAnsi="Abadi" w:cs="Arial"/>
          <w:i/>
          <w:iCs/>
          <w:sz w:val="21"/>
          <w:szCs w:val="21"/>
          <w:lang w:val="es-MX" w:eastAsia="en-US"/>
        </w:rPr>
        <w:t xml:space="preserve">identidad </w:t>
      </w:r>
      <w:r w:rsidRPr="004C763C">
        <w:rPr>
          <w:rFonts w:ascii="Abadi" w:eastAsia="Batang" w:hAnsi="Abadi" w:cs="Arial"/>
          <w:sz w:val="21"/>
          <w:szCs w:val="21"/>
          <w:lang w:val="es-MX" w:eastAsia="en-US"/>
        </w:rPr>
        <w:t xml:space="preserve">que a su juicio se reconocería, no debe pretender sustituir a las reales necesidades de la población pues, sin duda la iniciativa en estudio conlleva una reforma de naturaleza política, es ese su alcance. </w:t>
      </w:r>
    </w:p>
    <w:p w14:paraId="0F0C1EB2" w14:textId="77777777" w:rsidR="004C763C" w:rsidRPr="004C763C" w:rsidRDefault="004C763C" w:rsidP="00FF1A2F">
      <w:pPr>
        <w:ind w:firstLine="708"/>
        <w:jc w:val="both"/>
        <w:rPr>
          <w:rFonts w:ascii="Abadi" w:eastAsia="Batang" w:hAnsi="Abadi" w:cs="Arial"/>
          <w:sz w:val="21"/>
          <w:szCs w:val="21"/>
          <w:lang w:val="es-MX" w:eastAsia="en-US"/>
        </w:rPr>
      </w:pPr>
    </w:p>
    <w:p w14:paraId="5F023F52" w14:textId="77777777" w:rsidR="004C763C" w:rsidRPr="004C763C" w:rsidRDefault="004C763C" w:rsidP="00FF1A2F">
      <w:pPr>
        <w:ind w:firstLine="708"/>
        <w:jc w:val="both"/>
        <w:rPr>
          <w:rFonts w:ascii="Abadi" w:eastAsia="Batang" w:hAnsi="Abadi" w:cs="Arial"/>
          <w:sz w:val="21"/>
          <w:szCs w:val="21"/>
          <w:lang w:val="es-MX" w:eastAsia="en-US"/>
        </w:rPr>
      </w:pPr>
      <w:r w:rsidRPr="004C763C">
        <w:rPr>
          <w:rFonts w:ascii="Abadi" w:eastAsia="Batang" w:hAnsi="Abadi" w:cs="Arial"/>
          <w:sz w:val="21"/>
          <w:szCs w:val="21"/>
          <w:lang w:val="es-MX" w:eastAsia="en-US"/>
        </w:rPr>
        <w:t xml:space="preserve">En ese contexto y dados los fines de esta propuesta, esta comisión dictaminadora no puede suplir las omisiones del iniciante, cómo lo es la necesidad social y la política que coinciden en un tema fundamental en nuestro estado. </w:t>
      </w:r>
    </w:p>
    <w:p w14:paraId="74441084" w14:textId="77777777" w:rsidR="004C763C" w:rsidRPr="004C763C" w:rsidRDefault="004C763C" w:rsidP="00FF1A2F">
      <w:pPr>
        <w:ind w:firstLine="708"/>
        <w:jc w:val="both"/>
        <w:rPr>
          <w:rFonts w:ascii="Abadi" w:eastAsia="Batang" w:hAnsi="Abadi" w:cs="Arial"/>
          <w:sz w:val="21"/>
          <w:szCs w:val="21"/>
          <w:lang w:val="es-MX" w:eastAsia="en-US"/>
        </w:rPr>
      </w:pPr>
    </w:p>
    <w:p w14:paraId="723A8F16" w14:textId="77777777" w:rsidR="004C763C" w:rsidRPr="004C763C" w:rsidRDefault="004C763C" w:rsidP="00FF1A2F">
      <w:pPr>
        <w:ind w:firstLine="708"/>
        <w:jc w:val="both"/>
        <w:rPr>
          <w:rFonts w:ascii="Abadi" w:eastAsia="Batang" w:hAnsi="Abadi" w:cs="Arial"/>
          <w:sz w:val="21"/>
          <w:szCs w:val="21"/>
          <w:lang w:val="es-MX" w:eastAsia="en-US"/>
        </w:rPr>
      </w:pPr>
      <w:r w:rsidRPr="004C763C">
        <w:rPr>
          <w:rFonts w:ascii="Abadi" w:eastAsia="Batang" w:hAnsi="Abadi" w:cs="Arial"/>
          <w:sz w:val="21"/>
          <w:szCs w:val="21"/>
          <w:lang w:val="es-MX" w:eastAsia="en-US"/>
        </w:rPr>
        <w:t>Partimos entonces de que toda reforma es relevante, pero en materia constitucional se debe obrar con especial cuidado hacia la población al permitirle conocer la razón de la reforma propuesta.</w:t>
      </w:r>
    </w:p>
    <w:p w14:paraId="4B903800" w14:textId="77777777" w:rsidR="004C763C" w:rsidRPr="004C763C" w:rsidRDefault="004C763C" w:rsidP="00FF1A2F">
      <w:pPr>
        <w:widowControl w:val="0"/>
        <w:autoSpaceDE w:val="0"/>
        <w:autoSpaceDN w:val="0"/>
        <w:adjustRightInd w:val="0"/>
        <w:rPr>
          <w:rFonts w:ascii="Abadi" w:hAnsi="Abadi"/>
          <w:sz w:val="21"/>
          <w:szCs w:val="21"/>
          <w:highlight w:val="yellow"/>
          <w:lang w:val="en-US" w:eastAsia="es-MX"/>
        </w:rPr>
      </w:pPr>
    </w:p>
    <w:p w14:paraId="76C13F53" w14:textId="77777777" w:rsidR="004C763C" w:rsidRPr="004C763C" w:rsidRDefault="004C763C" w:rsidP="00FF1A2F">
      <w:pPr>
        <w:ind w:firstLine="708"/>
        <w:jc w:val="both"/>
        <w:rPr>
          <w:rFonts w:ascii="Abadi" w:eastAsia="Batang" w:hAnsi="Abadi" w:cs="Arial"/>
          <w:sz w:val="21"/>
          <w:szCs w:val="21"/>
          <w:lang w:val="es-MX" w:eastAsia="en-US"/>
        </w:rPr>
      </w:pPr>
      <w:r w:rsidRPr="004C763C">
        <w:rPr>
          <w:rFonts w:ascii="Abadi" w:eastAsia="Batang" w:hAnsi="Abadi" w:cs="Arial"/>
          <w:sz w:val="21"/>
          <w:szCs w:val="21"/>
          <w:lang w:val="es-MX" w:eastAsia="en-US"/>
        </w:rPr>
        <w:t xml:space="preserve">Esa conducta también facilitará la aplicación del texto por la autoridad competente, que encontraría de manera natural la llamada </w:t>
      </w:r>
      <w:r w:rsidRPr="004C763C">
        <w:rPr>
          <w:rFonts w:ascii="Abadi" w:eastAsia="Batang" w:hAnsi="Abadi" w:cs="Arial"/>
          <w:i/>
          <w:iCs/>
          <w:sz w:val="21"/>
          <w:szCs w:val="21"/>
          <w:lang w:val="es-MX" w:eastAsia="en-US"/>
        </w:rPr>
        <w:t>razón de la ley</w:t>
      </w:r>
      <w:r w:rsidRPr="004C763C">
        <w:rPr>
          <w:rFonts w:ascii="Abadi" w:eastAsia="Batang" w:hAnsi="Abadi" w:cs="Arial"/>
          <w:sz w:val="21"/>
          <w:szCs w:val="21"/>
          <w:lang w:val="es-MX" w:eastAsia="en-US"/>
        </w:rPr>
        <w:t>, toda vez que impactaría por principio en otros ordenamientos que refieran o regulen los derechos político- electorales que, el iniciante nunca contempló.</w:t>
      </w:r>
    </w:p>
    <w:p w14:paraId="6EA73F7F" w14:textId="77777777" w:rsidR="004C763C" w:rsidRPr="004C763C" w:rsidRDefault="004C763C" w:rsidP="00FF1A2F">
      <w:pPr>
        <w:widowControl w:val="0"/>
        <w:autoSpaceDE w:val="0"/>
        <w:autoSpaceDN w:val="0"/>
        <w:adjustRightInd w:val="0"/>
        <w:jc w:val="both"/>
        <w:rPr>
          <w:rFonts w:ascii="Abadi" w:hAnsi="Abadi" w:cs="Arial"/>
          <w:sz w:val="21"/>
          <w:szCs w:val="21"/>
          <w:highlight w:val="yellow"/>
          <w:lang w:val="en-US" w:eastAsia="es-MX"/>
        </w:rPr>
      </w:pPr>
    </w:p>
    <w:p w14:paraId="213BDE27" w14:textId="77777777" w:rsidR="004C763C" w:rsidRPr="004C763C" w:rsidRDefault="004C763C" w:rsidP="00FF1A2F">
      <w:pPr>
        <w:ind w:firstLine="708"/>
        <w:jc w:val="both"/>
        <w:rPr>
          <w:rFonts w:ascii="Abadi" w:eastAsia="Batang" w:hAnsi="Abadi" w:cs="Arial"/>
          <w:sz w:val="21"/>
          <w:szCs w:val="21"/>
          <w:lang w:val="es-MX" w:eastAsia="en-US"/>
        </w:rPr>
      </w:pPr>
      <w:r w:rsidRPr="004C763C">
        <w:rPr>
          <w:rFonts w:ascii="Abadi" w:eastAsia="Batang" w:hAnsi="Abadi" w:cs="Arial"/>
          <w:sz w:val="21"/>
          <w:szCs w:val="21"/>
          <w:lang w:val="es-MX" w:eastAsia="en-US"/>
        </w:rPr>
        <w:t xml:space="preserve">Por otro lado, y no menor es el hecho que al ser un tema de gran trascendencia para quienes se reputan guanajuatenses, se debe tener un amplio consenso sobre éstos, situación que no se contempló bajo ningún elemento. Por lo que respecta a la regulación del derecho, es evidente que el iniciante no argumenta los principios de necesidad y eficiencia de la norma. </w:t>
      </w:r>
    </w:p>
    <w:p w14:paraId="10C6511E" w14:textId="77777777" w:rsidR="004C763C" w:rsidRPr="004C763C" w:rsidRDefault="004C763C" w:rsidP="00FF1A2F">
      <w:pPr>
        <w:widowControl w:val="0"/>
        <w:autoSpaceDE w:val="0"/>
        <w:autoSpaceDN w:val="0"/>
        <w:adjustRightInd w:val="0"/>
        <w:rPr>
          <w:rFonts w:ascii="Abadi" w:hAnsi="Abadi"/>
          <w:sz w:val="21"/>
          <w:szCs w:val="21"/>
          <w:highlight w:val="yellow"/>
          <w:lang w:val="en-US" w:eastAsia="es-MX"/>
        </w:rPr>
      </w:pPr>
    </w:p>
    <w:p w14:paraId="2322A24C" w14:textId="77777777" w:rsidR="004C763C" w:rsidRPr="004C763C" w:rsidRDefault="004C763C" w:rsidP="00FF1A2F">
      <w:pPr>
        <w:ind w:firstLine="708"/>
        <w:jc w:val="both"/>
        <w:rPr>
          <w:rFonts w:ascii="Abadi" w:eastAsia="Batang" w:hAnsi="Abadi" w:cs="Arial"/>
          <w:sz w:val="21"/>
          <w:szCs w:val="21"/>
          <w:lang w:val="es-MX" w:eastAsia="en-US"/>
        </w:rPr>
      </w:pPr>
      <w:r w:rsidRPr="004C763C">
        <w:rPr>
          <w:rFonts w:ascii="Abadi" w:eastAsia="Batang" w:hAnsi="Abadi" w:cs="Arial"/>
          <w:sz w:val="21"/>
          <w:szCs w:val="21"/>
          <w:lang w:val="es-MX" w:eastAsia="en-US"/>
        </w:rPr>
        <w:t xml:space="preserve">Es decir, el legislador local en su momento al incorporar esta institución dio origen al texto vigente, y destaca que en el estado el estatus de guanajuatense se puede adquirir por: nacimiento, de acuerdo con el </w:t>
      </w:r>
      <w:r w:rsidRPr="004C763C">
        <w:rPr>
          <w:rFonts w:ascii="Abadi" w:eastAsia="Batang" w:hAnsi="Abadi" w:cs="Arial"/>
          <w:i/>
          <w:iCs/>
          <w:sz w:val="21"/>
          <w:szCs w:val="21"/>
          <w:lang w:val="es-MX" w:eastAsia="en-US"/>
        </w:rPr>
        <w:t>jus soli</w:t>
      </w:r>
      <w:r w:rsidRPr="004C763C">
        <w:rPr>
          <w:rFonts w:ascii="Abadi" w:eastAsia="Batang" w:hAnsi="Abadi" w:cs="Arial"/>
          <w:sz w:val="21"/>
          <w:szCs w:val="21"/>
          <w:lang w:val="es-MX" w:eastAsia="en-US"/>
        </w:rPr>
        <w:t>, y por un acto voluntario, referente a los casos de adquisición por temporalidad de residencia.</w:t>
      </w:r>
    </w:p>
    <w:p w14:paraId="02B91282" w14:textId="77777777" w:rsidR="004C763C" w:rsidRPr="004C763C" w:rsidRDefault="004C763C" w:rsidP="00FF1A2F">
      <w:pPr>
        <w:widowControl w:val="0"/>
        <w:autoSpaceDE w:val="0"/>
        <w:autoSpaceDN w:val="0"/>
        <w:adjustRightInd w:val="0"/>
        <w:rPr>
          <w:rFonts w:ascii="Abadi" w:hAnsi="Abadi"/>
          <w:sz w:val="21"/>
          <w:szCs w:val="21"/>
          <w:highlight w:val="yellow"/>
          <w:lang w:val="en-US" w:eastAsia="es-MX"/>
        </w:rPr>
      </w:pPr>
    </w:p>
    <w:p w14:paraId="1107B0FD" w14:textId="77777777" w:rsidR="004C763C" w:rsidRPr="004C763C" w:rsidRDefault="004C763C" w:rsidP="00FF1A2F">
      <w:pPr>
        <w:ind w:firstLine="708"/>
        <w:jc w:val="both"/>
        <w:rPr>
          <w:rFonts w:ascii="Abadi" w:eastAsia="Batang" w:hAnsi="Abadi" w:cs="Arial"/>
          <w:i/>
          <w:iCs/>
          <w:sz w:val="21"/>
          <w:szCs w:val="21"/>
          <w:lang w:val="es-MX" w:eastAsia="en-US"/>
        </w:rPr>
      </w:pPr>
      <w:r w:rsidRPr="004C763C">
        <w:rPr>
          <w:rFonts w:ascii="Abadi" w:eastAsia="Batang" w:hAnsi="Abadi" w:cs="Arial"/>
          <w:sz w:val="21"/>
          <w:szCs w:val="21"/>
          <w:lang w:val="es-MX" w:eastAsia="en-US"/>
        </w:rPr>
        <w:t>Como lo hemos analizado, el iniciante considera la inclusión mediante esta propuesta para que se pueda tener la filiación por nacimiento atendiendo al</w:t>
      </w:r>
      <w:r w:rsidRPr="004C763C">
        <w:rPr>
          <w:rFonts w:ascii="Abadi" w:eastAsia="Batang" w:hAnsi="Abadi" w:cs="Arial"/>
          <w:i/>
          <w:iCs/>
          <w:sz w:val="21"/>
          <w:szCs w:val="21"/>
          <w:lang w:val="es-MX" w:eastAsia="en-US"/>
        </w:rPr>
        <w:t xml:space="preserve"> jus sanguinis.</w:t>
      </w:r>
    </w:p>
    <w:p w14:paraId="6F1D9062" w14:textId="77777777" w:rsidR="004C763C" w:rsidRPr="004C763C" w:rsidRDefault="004C763C" w:rsidP="00FF1A2F">
      <w:pPr>
        <w:ind w:firstLine="708"/>
        <w:jc w:val="both"/>
        <w:rPr>
          <w:rFonts w:ascii="Abadi" w:eastAsia="Batang" w:hAnsi="Abadi" w:cs="Arial"/>
          <w:i/>
          <w:iCs/>
          <w:sz w:val="21"/>
          <w:szCs w:val="21"/>
          <w:lang w:val="es-MX" w:eastAsia="en-US"/>
        </w:rPr>
      </w:pPr>
    </w:p>
    <w:p w14:paraId="5C38F277" w14:textId="77777777" w:rsidR="004C763C" w:rsidRPr="004C763C" w:rsidRDefault="004C763C" w:rsidP="00FF1A2F">
      <w:pPr>
        <w:ind w:firstLine="708"/>
        <w:jc w:val="both"/>
        <w:rPr>
          <w:rFonts w:ascii="Abadi" w:eastAsia="Batang" w:hAnsi="Abadi" w:cs="Arial"/>
          <w:sz w:val="21"/>
          <w:szCs w:val="21"/>
          <w:lang w:val="es-MX" w:eastAsia="en-US"/>
        </w:rPr>
      </w:pPr>
      <w:r w:rsidRPr="004C763C">
        <w:rPr>
          <w:rFonts w:ascii="Abadi" w:eastAsia="Batang" w:hAnsi="Abadi" w:cs="Arial"/>
          <w:sz w:val="21"/>
          <w:szCs w:val="21"/>
          <w:lang w:val="es-MX" w:eastAsia="en-US"/>
        </w:rPr>
        <w:t xml:space="preserve">El legislador en su momento determinó y precisó que el principio de filiación se tomó como base para tener la calidad de guanajuatense por nacimiento, el </w:t>
      </w:r>
      <w:r w:rsidRPr="004C763C">
        <w:rPr>
          <w:rFonts w:ascii="Abadi" w:eastAsia="Batang" w:hAnsi="Abadi" w:cs="Arial"/>
          <w:i/>
          <w:iCs/>
          <w:sz w:val="21"/>
          <w:szCs w:val="21"/>
          <w:lang w:val="es-MX" w:eastAsia="en-US"/>
        </w:rPr>
        <w:t>jus soli</w:t>
      </w:r>
      <w:r w:rsidRPr="004C763C">
        <w:rPr>
          <w:rFonts w:ascii="Abadi" w:eastAsia="Batang" w:hAnsi="Abadi" w:cs="Arial"/>
          <w:sz w:val="21"/>
          <w:szCs w:val="21"/>
          <w:lang w:val="es-MX" w:eastAsia="en-US"/>
        </w:rPr>
        <w:t xml:space="preserve">, es decir, se es guanajuatense por el origen territorial del nacimiento, y por excepción, se tiene la filiación por ser residente, considerando que es el territorio quien define el estatus de guanajuatense. </w:t>
      </w:r>
    </w:p>
    <w:p w14:paraId="0FBAAA9B" w14:textId="77777777" w:rsidR="004C763C" w:rsidRPr="004C763C" w:rsidRDefault="004C763C" w:rsidP="00FF1A2F">
      <w:pPr>
        <w:ind w:firstLine="708"/>
        <w:jc w:val="both"/>
        <w:rPr>
          <w:rFonts w:ascii="Abadi" w:eastAsia="Batang" w:hAnsi="Abadi" w:cs="Arial"/>
          <w:sz w:val="21"/>
          <w:szCs w:val="21"/>
          <w:lang w:val="es-MX" w:eastAsia="en-US"/>
        </w:rPr>
      </w:pPr>
    </w:p>
    <w:p w14:paraId="072FBAF4" w14:textId="77777777" w:rsidR="004C763C" w:rsidRPr="004C763C" w:rsidRDefault="004C763C" w:rsidP="00FF1A2F">
      <w:pPr>
        <w:ind w:firstLine="708"/>
        <w:jc w:val="both"/>
        <w:rPr>
          <w:rFonts w:ascii="Abadi" w:eastAsia="Batang" w:hAnsi="Abadi" w:cs="Arial"/>
          <w:i/>
          <w:iCs/>
          <w:sz w:val="21"/>
          <w:szCs w:val="21"/>
          <w:lang w:val="es-MX" w:eastAsia="en-US"/>
        </w:rPr>
      </w:pPr>
      <w:r w:rsidRPr="004C763C">
        <w:rPr>
          <w:rFonts w:ascii="Abadi" w:eastAsia="Batang" w:hAnsi="Abadi" w:cs="Arial"/>
          <w:sz w:val="21"/>
          <w:szCs w:val="21"/>
          <w:lang w:val="es-MX" w:eastAsia="en-US"/>
        </w:rPr>
        <w:t xml:space="preserve">La propuesta está en razón del </w:t>
      </w:r>
      <w:r w:rsidRPr="004C763C">
        <w:rPr>
          <w:rFonts w:ascii="Abadi" w:eastAsia="Batang" w:hAnsi="Abadi" w:cs="Arial"/>
          <w:i/>
          <w:iCs/>
          <w:sz w:val="21"/>
          <w:szCs w:val="21"/>
          <w:lang w:val="es-MX" w:eastAsia="en-US"/>
        </w:rPr>
        <w:t>jus sanguinis</w:t>
      </w:r>
      <w:r w:rsidRPr="004C763C">
        <w:rPr>
          <w:rFonts w:ascii="Abadi" w:eastAsia="Batang" w:hAnsi="Abadi" w:cs="Arial"/>
          <w:sz w:val="21"/>
          <w:szCs w:val="21"/>
          <w:lang w:val="es-MX" w:eastAsia="en-US"/>
        </w:rPr>
        <w:t xml:space="preserve">, es decir establecer la calidad de guanajuatense para los hijos e hijas de padres guanajuatense, pero de estos nacidos fuera del estado, considerando un supuesto vínculo que se tiene con esta entidad federativa por la calidad de sus padres de su </w:t>
      </w:r>
      <w:r w:rsidRPr="004C763C">
        <w:rPr>
          <w:rFonts w:ascii="Abadi" w:eastAsia="Batang" w:hAnsi="Abadi" w:cs="Arial"/>
          <w:i/>
          <w:iCs/>
          <w:sz w:val="21"/>
          <w:szCs w:val="21"/>
          <w:lang w:val="es-MX" w:eastAsia="en-US"/>
        </w:rPr>
        <w:t>ius sanguini.</w:t>
      </w:r>
    </w:p>
    <w:p w14:paraId="4D23D06C" w14:textId="77777777" w:rsidR="004C763C" w:rsidRPr="004C763C" w:rsidRDefault="004C763C" w:rsidP="00FF1A2F">
      <w:pPr>
        <w:widowControl w:val="0"/>
        <w:autoSpaceDE w:val="0"/>
        <w:autoSpaceDN w:val="0"/>
        <w:adjustRightInd w:val="0"/>
        <w:rPr>
          <w:rFonts w:ascii="Abadi" w:hAnsi="Abadi"/>
          <w:sz w:val="21"/>
          <w:szCs w:val="21"/>
          <w:highlight w:val="yellow"/>
          <w:lang w:val="en-US" w:eastAsia="es-MX"/>
        </w:rPr>
      </w:pPr>
    </w:p>
    <w:p w14:paraId="71FF9865" w14:textId="77777777" w:rsidR="004C763C" w:rsidRPr="004C763C" w:rsidRDefault="004C763C" w:rsidP="00FF1A2F">
      <w:pPr>
        <w:ind w:firstLine="708"/>
        <w:jc w:val="both"/>
        <w:rPr>
          <w:rFonts w:ascii="Abadi" w:eastAsia="Batang" w:hAnsi="Abadi" w:cs="Arial"/>
          <w:sz w:val="21"/>
          <w:szCs w:val="21"/>
          <w:lang w:val="es-MX" w:eastAsia="en-US"/>
        </w:rPr>
      </w:pPr>
      <w:r w:rsidRPr="004C763C">
        <w:rPr>
          <w:rFonts w:ascii="Abadi" w:eastAsia="Batang" w:hAnsi="Abadi" w:cs="Arial"/>
          <w:sz w:val="21"/>
          <w:szCs w:val="21"/>
          <w:lang w:val="es-MX" w:eastAsia="en-US"/>
        </w:rPr>
        <w:t>En ese sentido, es fundamental para nosotros como dictaminadores al hacer hincapié en nuestra principal función, considerar lo siguiente: cuántas personas potencialmente estarían incorporándose a esta relación jurídica, generada por ese vínculo jurídico de asimilar que se es guanajuatense, derivado por el influjo de la sangre, por el hecho de la oriundes que sus progenitores. De acuerdo con la propuesta se es guanajuatenses por nacimiento, tanto el que es nacido en el territorio como el hijo o hija de estos que nacieron fuera del territorio; lo que produce dos especies de vínculos que podrían llamarse oriundes originaria y oriundes derivada.</w:t>
      </w:r>
    </w:p>
    <w:p w14:paraId="3F3A0ADA" w14:textId="77777777" w:rsidR="004C763C" w:rsidRPr="004C763C" w:rsidRDefault="004C763C" w:rsidP="00FF1A2F">
      <w:pPr>
        <w:ind w:firstLine="708"/>
        <w:jc w:val="both"/>
        <w:rPr>
          <w:rFonts w:ascii="Abadi" w:eastAsia="Batang" w:hAnsi="Abadi" w:cs="Arial"/>
          <w:sz w:val="21"/>
          <w:szCs w:val="21"/>
          <w:lang w:val="es-MX" w:eastAsia="en-US"/>
        </w:rPr>
      </w:pPr>
      <w:r w:rsidRPr="004C763C">
        <w:rPr>
          <w:rFonts w:ascii="Abadi" w:eastAsia="Batang" w:hAnsi="Abadi" w:cs="Arial"/>
          <w:sz w:val="21"/>
          <w:szCs w:val="21"/>
          <w:lang w:val="es-MX" w:eastAsia="en-US"/>
        </w:rPr>
        <w:t xml:space="preserve">Es necesario entonces que este Poder Legislativo a través de su Asamblea, como parte del constituyente permanente, revise de manera objetiva y con certeza la adquisición de la oriundes guanajuatense por nacimiento por </w:t>
      </w:r>
      <w:r w:rsidRPr="004C763C">
        <w:rPr>
          <w:rFonts w:ascii="Abadi" w:eastAsia="Batang" w:hAnsi="Abadi" w:cs="Arial"/>
          <w:i/>
          <w:iCs/>
          <w:sz w:val="21"/>
          <w:szCs w:val="21"/>
          <w:lang w:val="es-MX" w:eastAsia="en-US"/>
        </w:rPr>
        <w:t>jus sanguinis</w:t>
      </w:r>
      <w:r w:rsidRPr="004C763C">
        <w:rPr>
          <w:rFonts w:ascii="Abadi" w:eastAsia="Batang" w:hAnsi="Abadi" w:cs="Arial"/>
          <w:sz w:val="21"/>
          <w:szCs w:val="21"/>
          <w:lang w:val="es-MX" w:eastAsia="en-US"/>
        </w:rPr>
        <w:t xml:space="preserve">, pues, como ya lo hemos manifestado en la exposición de motivos, no se desprenden ni existen datos que permitan saber a punto fijo, qué individuos constituyen su elemento personal o material, base toral de esta propuesta de reforma constitucional. </w:t>
      </w:r>
    </w:p>
    <w:p w14:paraId="30BF1F18" w14:textId="77777777" w:rsidR="004C763C" w:rsidRPr="004C763C" w:rsidRDefault="004C763C" w:rsidP="00FF1A2F">
      <w:pPr>
        <w:ind w:firstLine="708"/>
        <w:jc w:val="both"/>
        <w:rPr>
          <w:rFonts w:ascii="Abadi" w:eastAsia="Batang" w:hAnsi="Abadi" w:cs="Arial"/>
          <w:sz w:val="21"/>
          <w:szCs w:val="21"/>
          <w:lang w:val="es-MX" w:eastAsia="en-US"/>
        </w:rPr>
      </w:pPr>
    </w:p>
    <w:p w14:paraId="2F18A3A7" w14:textId="77777777" w:rsidR="004C763C" w:rsidRPr="004C763C" w:rsidRDefault="004C763C" w:rsidP="00FF1A2F">
      <w:pPr>
        <w:ind w:firstLine="708"/>
        <w:jc w:val="both"/>
        <w:rPr>
          <w:rFonts w:ascii="Abadi" w:eastAsia="Batang" w:hAnsi="Abadi" w:cs="Arial"/>
          <w:sz w:val="21"/>
          <w:szCs w:val="21"/>
          <w:lang w:val="es-MX" w:eastAsia="en-US"/>
        </w:rPr>
      </w:pPr>
      <w:r w:rsidRPr="004C763C">
        <w:rPr>
          <w:rFonts w:ascii="Abadi" w:eastAsia="Batang" w:hAnsi="Abadi" w:cs="Arial"/>
          <w:sz w:val="21"/>
          <w:szCs w:val="21"/>
          <w:lang w:val="es-MX" w:eastAsia="en-US"/>
        </w:rPr>
        <w:t xml:space="preserve">Es decir, la Constitución Política para el Estado de Guanajuato confirma y ratifica su decisión de regirse por el </w:t>
      </w:r>
      <w:r w:rsidRPr="004C763C">
        <w:rPr>
          <w:rFonts w:ascii="Abadi" w:eastAsia="Batang" w:hAnsi="Abadi" w:cs="Arial"/>
          <w:i/>
          <w:iCs/>
          <w:sz w:val="21"/>
          <w:szCs w:val="21"/>
          <w:lang w:val="es-MX" w:eastAsia="en-US"/>
        </w:rPr>
        <w:t>jus soli</w:t>
      </w:r>
      <w:r w:rsidRPr="004C763C">
        <w:rPr>
          <w:rFonts w:ascii="Abadi" w:eastAsia="Batang" w:hAnsi="Abadi" w:cs="Arial"/>
          <w:sz w:val="21"/>
          <w:szCs w:val="21"/>
          <w:lang w:val="es-MX" w:eastAsia="en-US"/>
        </w:rPr>
        <w:t>, y acepta como regla universal esa materia</w:t>
      </w:r>
      <w:r w:rsidRPr="004C763C">
        <w:rPr>
          <w:rFonts w:ascii="Abadi" w:eastAsia="Batang" w:hAnsi="Abadi" w:cs="Arial"/>
          <w:i/>
          <w:iCs/>
          <w:sz w:val="21"/>
          <w:szCs w:val="21"/>
          <w:lang w:val="es-MX" w:eastAsia="en-US"/>
        </w:rPr>
        <w:t xml:space="preserve">, </w:t>
      </w:r>
      <w:r w:rsidRPr="004C763C">
        <w:rPr>
          <w:rFonts w:ascii="Abadi" w:eastAsia="Batang" w:hAnsi="Abadi" w:cs="Arial"/>
          <w:sz w:val="21"/>
          <w:szCs w:val="21"/>
          <w:lang w:val="es-MX" w:eastAsia="en-US"/>
        </w:rPr>
        <w:t>contrario a la reforma propuesta.</w:t>
      </w:r>
    </w:p>
    <w:p w14:paraId="5F4AFF87" w14:textId="77777777" w:rsidR="004C763C" w:rsidRPr="004C763C" w:rsidRDefault="004C763C" w:rsidP="00FF1A2F">
      <w:pPr>
        <w:ind w:firstLine="708"/>
        <w:jc w:val="both"/>
        <w:rPr>
          <w:rFonts w:ascii="Abadi" w:eastAsia="Arial" w:hAnsi="Abadi" w:cs="Arial"/>
          <w:iCs/>
          <w:sz w:val="21"/>
          <w:szCs w:val="21"/>
          <w:lang w:val="es-MX" w:eastAsia="en-US"/>
        </w:rPr>
      </w:pPr>
    </w:p>
    <w:p w14:paraId="5B39D148" w14:textId="77777777" w:rsidR="004C763C" w:rsidRPr="004C763C" w:rsidRDefault="004C763C" w:rsidP="00FF1A2F">
      <w:pPr>
        <w:ind w:firstLine="708"/>
        <w:jc w:val="both"/>
        <w:rPr>
          <w:rFonts w:ascii="Abadi" w:eastAsia="Batang" w:hAnsi="Abadi" w:cs="Arial"/>
          <w:sz w:val="21"/>
          <w:szCs w:val="21"/>
          <w:lang w:val="es-MX" w:eastAsia="en-US"/>
        </w:rPr>
      </w:pPr>
      <w:r w:rsidRPr="004C763C">
        <w:rPr>
          <w:rFonts w:ascii="Abadi" w:eastAsia="Batang" w:hAnsi="Abadi" w:cs="Arial"/>
          <w:sz w:val="21"/>
          <w:szCs w:val="21"/>
          <w:lang w:val="es-MX" w:eastAsia="en-US"/>
        </w:rPr>
        <w:t xml:space="preserve">De tal suerte, la inviabilidad de la iniciativa radica, por una parte, en la imposibilidad de analizar su pertinencia, pues, no se proporcionan datos objetivos que nos permitan saber: cual es la problemática que se pretende atender, quiénes están demandando esa problemática y por ende la reforma, entre otros cuestionamientos importantes y que vienen a respaldar las razones de porque debe reformarse nuestro Código Político Local en la materia, para que las y los legisladores a través del proceso legislativo consideremos esos elementos finales o de interés que den sentido y que sirvan de base en la implementación constitucional. </w:t>
      </w:r>
    </w:p>
    <w:p w14:paraId="541E9EEE" w14:textId="77777777" w:rsidR="004C763C" w:rsidRPr="004C763C" w:rsidRDefault="004C763C" w:rsidP="00FF1A2F">
      <w:pPr>
        <w:jc w:val="both"/>
        <w:rPr>
          <w:rFonts w:ascii="Abadi" w:eastAsia="Batang" w:hAnsi="Abadi" w:cs="Arial"/>
          <w:sz w:val="21"/>
          <w:szCs w:val="21"/>
          <w:lang w:val="es-MX" w:eastAsia="en-US"/>
        </w:rPr>
      </w:pPr>
    </w:p>
    <w:p w14:paraId="35C40041" w14:textId="77777777" w:rsidR="004C763C" w:rsidRPr="004C763C" w:rsidRDefault="004C763C" w:rsidP="00FF1A2F">
      <w:pPr>
        <w:ind w:firstLine="426"/>
        <w:jc w:val="both"/>
        <w:rPr>
          <w:rFonts w:ascii="Abadi" w:eastAsia="Batang" w:hAnsi="Abadi" w:cs="Arial"/>
          <w:sz w:val="21"/>
          <w:szCs w:val="21"/>
          <w:lang w:val="es-MX" w:eastAsia="en-US"/>
        </w:rPr>
      </w:pPr>
      <w:r w:rsidRPr="004C763C">
        <w:rPr>
          <w:rFonts w:ascii="Abadi" w:eastAsia="Batang" w:hAnsi="Abadi" w:cs="Arial"/>
          <w:sz w:val="21"/>
          <w:szCs w:val="21"/>
          <w:lang w:val="es-MX" w:eastAsia="en-US"/>
        </w:rPr>
        <w:tab/>
        <w:t>Por ello, estimamos pertinente el archivo de la iniciativa de referencia, como ya lo expresamos en el presente dictamen.</w:t>
      </w:r>
    </w:p>
    <w:p w14:paraId="3B4A97C1" w14:textId="77777777" w:rsidR="004C763C" w:rsidRPr="004C763C" w:rsidRDefault="004C763C" w:rsidP="00FF1A2F">
      <w:pPr>
        <w:widowControl w:val="0"/>
        <w:tabs>
          <w:tab w:val="left" w:pos="0"/>
        </w:tabs>
        <w:spacing w:before="53"/>
        <w:ind w:right="69"/>
        <w:contextualSpacing/>
        <w:jc w:val="both"/>
        <w:rPr>
          <w:rFonts w:ascii="Abadi" w:eastAsia="Batang" w:hAnsi="Abadi" w:cs="Arial"/>
          <w:sz w:val="21"/>
          <w:szCs w:val="21"/>
          <w:lang w:val="es-MX" w:eastAsia="en-US"/>
        </w:rPr>
      </w:pPr>
      <w:r w:rsidRPr="004C763C">
        <w:rPr>
          <w:rFonts w:ascii="Abadi" w:eastAsia="Batang" w:hAnsi="Abadi" w:cs="Arial"/>
          <w:sz w:val="21"/>
          <w:szCs w:val="21"/>
          <w:lang w:val="es-MX" w:eastAsia="en-US"/>
        </w:rPr>
        <w:tab/>
      </w:r>
    </w:p>
    <w:p w14:paraId="37AC8E4C" w14:textId="77777777" w:rsidR="004C763C" w:rsidRPr="004C763C" w:rsidRDefault="004C763C" w:rsidP="00FF1A2F">
      <w:pPr>
        <w:widowControl w:val="0"/>
        <w:tabs>
          <w:tab w:val="left" w:pos="0"/>
        </w:tabs>
        <w:spacing w:before="53"/>
        <w:ind w:right="69"/>
        <w:contextualSpacing/>
        <w:jc w:val="both"/>
        <w:rPr>
          <w:rFonts w:ascii="Abadi" w:eastAsia="Batang" w:hAnsi="Abadi" w:cs="Arial"/>
          <w:sz w:val="21"/>
          <w:szCs w:val="21"/>
          <w:lang w:val="es-MX" w:eastAsia="en-US"/>
        </w:rPr>
      </w:pPr>
      <w:r w:rsidRPr="004C763C">
        <w:rPr>
          <w:rFonts w:ascii="Abadi" w:eastAsia="Batang" w:hAnsi="Abadi" w:cs="Arial"/>
          <w:sz w:val="21"/>
          <w:szCs w:val="21"/>
          <w:lang w:val="es-MX" w:eastAsia="en-US"/>
        </w:rPr>
        <w:tab/>
        <w:t xml:space="preserve">En razón de lo antes expuesto y con fundamento en los artículos 171 y 204 de </w:t>
      </w:r>
      <w:smartTag w:uri="urn:schemas-microsoft-com:office:smarttags" w:element="PersonName">
        <w:smartTagPr>
          <w:attr w:name="ProductID" w:val="la Ley Org￡nica"/>
        </w:smartTagPr>
        <w:r w:rsidRPr="004C763C">
          <w:rPr>
            <w:rFonts w:ascii="Abadi" w:eastAsia="Batang" w:hAnsi="Abadi" w:cs="Arial"/>
            <w:sz w:val="21"/>
            <w:szCs w:val="21"/>
            <w:lang w:val="es-MX" w:eastAsia="en-US"/>
          </w:rPr>
          <w:t>la Ley Orgánica</w:t>
        </w:r>
      </w:smartTag>
      <w:r w:rsidRPr="004C763C">
        <w:rPr>
          <w:rFonts w:ascii="Abadi" w:eastAsia="Batang" w:hAnsi="Abadi" w:cs="Arial"/>
          <w:sz w:val="21"/>
          <w:szCs w:val="21"/>
          <w:lang w:val="es-MX" w:eastAsia="en-US"/>
        </w:rPr>
        <w:t xml:space="preserve"> del Poder Legislativo del Estado de Guanajuato, nos permitimos someter a la aprobación de </w:t>
      </w:r>
      <w:smartTag w:uri="urn:schemas-microsoft-com:office:smarttags" w:element="PersonName">
        <w:smartTagPr>
          <w:attr w:name="ProductID" w:val="la Asamblea"/>
        </w:smartTagPr>
        <w:r w:rsidRPr="004C763C">
          <w:rPr>
            <w:rFonts w:ascii="Abadi" w:eastAsia="Batang" w:hAnsi="Abadi" w:cs="Arial"/>
            <w:sz w:val="21"/>
            <w:szCs w:val="21"/>
            <w:lang w:val="es-MX" w:eastAsia="en-US"/>
          </w:rPr>
          <w:t>la Asamblea</w:t>
        </w:r>
      </w:smartTag>
      <w:r w:rsidRPr="004C763C">
        <w:rPr>
          <w:rFonts w:ascii="Abadi" w:eastAsia="Batang" w:hAnsi="Abadi" w:cs="Arial"/>
          <w:sz w:val="21"/>
          <w:szCs w:val="21"/>
          <w:lang w:val="es-MX" w:eastAsia="en-US"/>
        </w:rPr>
        <w:t xml:space="preserve">, el siguiente: </w:t>
      </w:r>
    </w:p>
    <w:p w14:paraId="71DBC283" w14:textId="77777777" w:rsidR="004C763C" w:rsidRPr="004C763C" w:rsidRDefault="004C763C" w:rsidP="00FF1A2F">
      <w:pPr>
        <w:jc w:val="center"/>
        <w:rPr>
          <w:rFonts w:ascii="Abadi" w:hAnsi="Abadi" w:cs="Arial"/>
          <w:b/>
          <w:sz w:val="21"/>
          <w:szCs w:val="21"/>
          <w:lang w:val="es-MX" w:eastAsia="en-US"/>
        </w:rPr>
      </w:pPr>
    </w:p>
    <w:p w14:paraId="16C211AE" w14:textId="77777777" w:rsidR="004C763C" w:rsidRPr="004C763C" w:rsidRDefault="004C763C" w:rsidP="00FF1A2F">
      <w:pPr>
        <w:jc w:val="center"/>
        <w:rPr>
          <w:rFonts w:ascii="Abadi" w:hAnsi="Abadi" w:cs="Arial"/>
          <w:b/>
          <w:sz w:val="21"/>
          <w:szCs w:val="21"/>
          <w:lang w:val="es-MX" w:eastAsia="en-US"/>
        </w:rPr>
      </w:pPr>
      <w:r w:rsidRPr="004C763C">
        <w:rPr>
          <w:rFonts w:ascii="Abadi" w:hAnsi="Abadi" w:cs="Arial"/>
          <w:b/>
          <w:sz w:val="21"/>
          <w:szCs w:val="21"/>
          <w:lang w:val="es-MX" w:eastAsia="en-US"/>
        </w:rPr>
        <w:t>ACUERDO</w:t>
      </w:r>
    </w:p>
    <w:p w14:paraId="2E2CFDE1" w14:textId="77777777" w:rsidR="004C763C" w:rsidRPr="004C763C" w:rsidRDefault="004C763C" w:rsidP="00FF1A2F">
      <w:pPr>
        <w:jc w:val="center"/>
        <w:rPr>
          <w:rFonts w:ascii="Abadi" w:hAnsi="Abadi" w:cs="Arial"/>
          <w:b/>
          <w:sz w:val="21"/>
          <w:szCs w:val="21"/>
          <w:lang w:val="es-MX" w:eastAsia="en-US"/>
        </w:rPr>
      </w:pPr>
    </w:p>
    <w:p w14:paraId="0F146706" w14:textId="77777777" w:rsidR="004C763C" w:rsidRPr="004C763C" w:rsidRDefault="004C763C" w:rsidP="00FF1A2F">
      <w:pPr>
        <w:widowControl w:val="0"/>
        <w:tabs>
          <w:tab w:val="left" w:pos="663"/>
        </w:tabs>
        <w:spacing w:before="57"/>
        <w:contextualSpacing/>
        <w:jc w:val="both"/>
        <w:rPr>
          <w:rFonts w:ascii="Abadi" w:eastAsia="Arial Unicode MS" w:hAnsi="Abadi"/>
          <w:sz w:val="21"/>
          <w:szCs w:val="21"/>
          <w:lang w:val="es-MX" w:eastAsia="en-US"/>
        </w:rPr>
      </w:pPr>
      <w:r w:rsidRPr="004C763C">
        <w:rPr>
          <w:rFonts w:ascii="Abadi" w:eastAsia="Calibri" w:hAnsi="Abadi"/>
          <w:b/>
          <w:bCs/>
          <w:sz w:val="21"/>
          <w:szCs w:val="21"/>
          <w:lang w:eastAsia="en-US"/>
        </w:rPr>
        <w:tab/>
        <w:t xml:space="preserve">Único. </w:t>
      </w:r>
      <w:r w:rsidRPr="004C763C">
        <w:rPr>
          <w:rFonts w:ascii="Abadi" w:eastAsia="Batang" w:hAnsi="Abadi" w:cs="Arial"/>
          <w:sz w:val="21"/>
          <w:szCs w:val="21"/>
          <w:lang w:val="es-MX" w:eastAsia="en-US"/>
        </w:rPr>
        <w:t xml:space="preserve">Se ordena el archivo definitivo de la </w:t>
      </w:r>
      <w:r w:rsidRPr="004C763C">
        <w:rPr>
          <w:rFonts w:ascii="Abadi" w:eastAsia="Arial Unicode MS" w:hAnsi="Abadi"/>
          <w:sz w:val="21"/>
          <w:szCs w:val="21"/>
          <w:lang w:val="es-MX" w:eastAsia="en-US"/>
        </w:rPr>
        <w:t>iniciativa formulada por el diputado Ernesto Alejandro Prieto Gallardo integrante del Grupo Parlamentario del Partido Morena, a fin de reformar los artículos 20 y 21 de la Constitución Política para el Estado de Guanajuato, ante la Sexagésima Cuarta Legislatura.</w:t>
      </w:r>
    </w:p>
    <w:p w14:paraId="1CC11332" w14:textId="77777777" w:rsidR="004C763C" w:rsidRPr="004C763C" w:rsidRDefault="004C763C" w:rsidP="00FF1A2F">
      <w:pPr>
        <w:widowControl w:val="0"/>
        <w:tabs>
          <w:tab w:val="left" w:pos="663"/>
        </w:tabs>
        <w:spacing w:before="57"/>
        <w:contextualSpacing/>
        <w:jc w:val="both"/>
        <w:rPr>
          <w:rFonts w:ascii="Abadi" w:eastAsia="Batang" w:hAnsi="Abadi" w:cs="Arial"/>
          <w:sz w:val="21"/>
          <w:szCs w:val="21"/>
          <w:lang w:val="es-MX" w:eastAsia="en-US"/>
        </w:rPr>
      </w:pPr>
    </w:p>
    <w:p w14:paraId="360A199D" w14:textId="77777777" w:rsidR="004C763C" w:rsidRPr="004C763C" w:rsidRDefault="004C763C" w:rsidP="00FF1A2F">
      <w:pPr>
        <w:widowControl w:val="0"/>
        <w:tabs>
          <w:tab w:val="left" w:pos="663"/>
        </w:tabs>
        <w:spacing w:before="57"/>
        <w:contextualSpacing/>
        <w:jc w:val="both"/>
        <w:rPr>
          <w:rFonts w:ascii="Abadi" w:eastAsia="Batang" w:hAnsi="Abadi" w:cs="Arial"/>
          <w:sz w:val="21"/>
          <w:szCs w:val="21"/>
          <w:lang w:val="es-MX" w:eastAsia="en-US"/>
        </w:rPr>
      </w:pPr>
      <w:r w:rsidRPr="004C763C">
        <w:rPr>
          <w:rFonts w:ascii="Abadi" w:eastAsia="Batang" w:hAnsi="Abadi" w:cs="Arial"/>
          <w:sz w:val="21"/>
          <w:szCs w:val="21"/>
          <w:lang w:val="es-MX" w:eastAsia="en-US"/>
        </w:rPr>
        <w:tab/>
      </w:r>
      <w:r w:rsidRPr="004C763C">
        <w:rPr>
          <w:rFonts w:ascii="Abadi" w:eastAsia="Batang" w:hAnsi="Abadi" w:cs="Arial"/>
          <w:sz w:val="21"/>
          <w:szCs w:val="21"/>
          <w:lang w:val="es-MX" w:eastAsia="en-US"/>
        </w:rPr>
        <w:tab/>
        <w:t>Se instruye al Secretario General del Congreso archive de manera definitiva la iniciativa de referencia.</w:t>
      </w:r>
    </w:p>
    <w:p w14:paraId="3C857B92" w14:textId="77777777" w:rsidR="004C763C" w:rsidRPr="004C763C" w:rsidRDefault="004C763C" w:rsidP="00FF1A2F">
      <w:pPr>
        <w:ind w:firstLine="708"/>
        <w:jc w:val="both"/>
        <w:rPr>
          <w:rFonts w:ascii="Abadi" w:hAnsi="Abadi" w:cs="Arial"/>
          <w:sz w:val="21"/>
          <w:szCs w:val="21"/>
        </w:rPr>
      </w:pPr>
    </w:p>
    <w:p w14:paraId="67E25A37" w14:textId="77777777" w:rsidR="004C763C" w:rsidRPr="004C763C" w:rsidRDefault="004C763C" w:rsidP="00FF1A2F">
      <w:pPr>
        <w:jc w:val="center"/>
        <w:rPr>
          <w:rFonts w:ascii="Abadi" w:eastAsia="Arial Unicode MS" w:hAnsi="Abadi" w:cs="Arial Unicode MS"/>
          <w:b/>
          <w:bCs/>
          <w:sz w:val="21"/>
          <w:szCs w:val="21"/>
          <w:lang w:val="es-MX" w:eastAsia="en-US"/>
        </w:rPr>
      </w:pPr>
      <w:r w:rsidRPr="004C763C">
        <w:rPr>
          <w:rFonts w:ascii="Abadi" w:eastAsia="Arial Unicode MS" w:hAnsi="Abadi" w:cs="Arial Unicode MS"/>
          <w:b/>
          <w:bCs/>
          <w:sz w:val="21"/>
          <w:szCs w:val="21"/>
          <w:lang w:val="es-MX" w:eastAsia="en-US"/>
        </w:rPr>
        <w:t>GUANAJUATO, GTO., A 19 DE SEPTIEMBRE DE 2022</w:t>
      </w:r>
    </w:p>
    <w:p w14:paraId="71ABE970" w14:textId="77777777" w:rsidR="004C763C" w:rsidRPr="004C763C" w:rsidRDefault="004C763C" w:rsidP="00FF1A2F">
      <w:pPr>
        <w:jc w:val="center"/>
        <w:rPr>
          <w:rFonts w:ascii="Abadi" w:eastAsia="Arial Unicode MS" w:hAnsi="Abadi" w:cs="Arial Unicode MS"/>
          <w:b/>
          <w:bCs/>
          <w:sz w:val="21"/>
          <w:szCs w:val="21"/>
          <w:lang w:val="es-MX" w:eastAsia="en-US"/>
        </w:rPr>
      </w:pPr>
      <w:r w:rsidRPr="004C763C">
        <w:rPr>
          <w:rFonts w:ascii="Abadi" w:eastAsia="Arial Unicode MS" w:hAnsi="Abadi" w:cs="Arial Unicode MS"/>
          <w:b/>
          <w:bCs/>
          <w:sz w:val="21"/>
          <w:szCs w:val="21"/>
          <w:lang w:val="es-MX" w:eastAsia="en-US"/>
        </w:rPr>
        <w:t>COMISIÓN DE GOBERNACIÓN Y PUNTOS CONSTITUCIONALES</w:t>
      </w:r>
    </w:p>
    <w:p w14:paraId="6B275862" w14:textId="77777777" w:rsidR="004C763C" w:rsidRPr="004C763C" w:rsidRDefault="004C763C" w:rsidP="00FF1A2F">
      <w:pPr>
        <w:jc w:val="center"/>
        <w:rPr>
          <w:rFonts w:ascii="Abadi" w:eastAsia="Arial Unicode MS" w:hAnsi="Abadi" w:cs="Arial Unicode MS"/>
          <w:b/>
          <w:bCs/>
          <w:sz w:val="21"/>
          <w:szCs w:val="21"/>
          <w:lang w:val="es-MX" w:eastAsia="en-US"/>
        </w:rPr>
      </w:pPr>
    </w:p>
    <w:p w14:paraId="1B05DC9A" w14:textId="77777777" w:rsidR="004C763C" w:rsidRDefault="004C763C" w:rsidP="00FF1A2F">
      <w:pPr>
        <w:jc w:val="both"/>
        <w:rPr>
          <w:rFonts w:ascii="Abadi" w:hAnsi="Abadi" w:cs="Arial"/>
          <w:b/>
          <w:bCs/>
          <w:sz w:val="21"/>
          <w:szCs w:val="21"/>
          <w:lang w:val="es-MX" w:eastAsia="en-US"/>
        </w:rPr>
      </w:pPr>
      <w:r w:rsidRPr="004C763C">
        <w:rPr>
          <w:rFonts w:ascii="Abadi" w:hAnsi="Abadi" w:cs="Arial"/>
          <w:b/>
          <w:bCs/>
          <w:sz w:val="21"/>
          <w:szCs w:val="21"/>
          <w:lang w:val="es-MX" w:eastAsia="en-US"/>
        </w:rPr>
        <w:t>Dip. Susana Bermúdez Cano</w:t>
      </w:r>
    </w:p>
    <w:p w14:paraId="64167258" w14:textId="2261BFC0" w:rsidR="004C763C" w:rsidRPr="004C763C" w:rsidRDefault="004C763C" w:rsidP="00FF1A2F">
      <w:pPr>
        <w:jc w:val="both"/>
        <w:rPr>
          <w:rFonts w:ascii="Abadi" w:hAnsi="Abadi" w:cs="Arial"/>
          <w:b/>
          <w:bCs/>
          <w:sz w:val="21"/>
          <w:szCs w:val="21"/>
          <w:lang w:val="es-MX" w:eastAsia="en-US"/>
        </w:rPr>
      </w:pPr>
      <w:r w:rsidRPr="004C763C">
        <w:rPr>
          <w:rFonts w:ascii="Abadi" w:hAnsi="Abadi" w:cs="Arial"/>
          <w:b/>
          <w:bCs/>
          <w:sz w:val="21"/>
          <w:szCs w:val="21"/>
          <w:lang w:val="es-MX" w:eastAsia="en-US"/>
        </w:rPr>
        <w:t xml:space="preserve">Dip. Laura Cristina Márquez Alcalá </w:t>
      </w:r>
    </w:p>
    <w:p w14:paraId="4C2D76BB" w14:textId="77777777" w:rsidR="004C763C" w:rsidRPr="004C763C" w:rsidRDefault="004C763C" w:rsidP="00FF1A2F">
      <w:pPr>
        <w:jc w:val="both"/>
        <w:rPr>
          <w:rFonts w:ascii="Abadi" w:hAnsi="Abadi" w:cs="Arial"/>
          <w:b/>
          <w:bCs/>
          <w:sz w:val="21"/>
          <w:szCs w:val="21"/>
          <w:lang w:val="es-MX" w:eastAsia="en-US"/>
        </w:rPr>
      </w:pPr>
      <w:r w:rsidRPr="004C763C">
        <w:rPr>
          <w:rFonts w:ascii="Abadi" w:hAnsi="Abadi" w:cs="Arial"/>
          <w:b/>
          <w:bCs/>
          <w:sz w:val="21"/>
          <w:szCs w:val="21"/>
          <w:lang w:val="es-MX" w:eastAsia="en-US"/>
        </w:rPr>
        <w:t xml:space="preserve">Dip. Briseida Anabel Magdaleno González </w:t>
      </w:r>
    </w:p>
    <w:p w14:paraId="0730B8D5" w14:textId="77777777" w:rsidR="004C763C" w:rsidRPr="004C763C" w:rsidRDefault="004C763C" w:rsidP="00FF1A2F">
      <w:pPr>
        <w:jc w:val="both"/>
        <w:rPr>
          <w:rFonts w:ascii="Abadi" w:hAnsi="Abadi" w:cs="Arial"/>
          <w:b/>
          <w:bCs/>
          <w:sz w:val="21"/>
          <w:szCs w:val="21"/>
          <w:lang w:val="es-MX" w:eastAsia="en-US"/>
        </w:rPr>
      </w:pPr>
      <w:r w:rsidRPr="004C763C">
        <w:rPr>
          <w:rFonts w:ascii="Abadi" w:hAnsi="Abadi" w:cs="Arial"/>
          <w:b/>
          <w:bCs/>
          <w:sz w:val="21"/>
          <w:szCs w:val="21"/>
          <w:lang w:val="es-MX" w:eastAsia="en-US"/>
        </w:rPr>
        <w:t xml:space="preserve">Dip. Alma Edwviges Alcaraz Hernández </w:t>
      </w:r>
    </w:p>
    <w:p w14:paraId="732F6F22" w14:textId="77777777" w:rsidR="004C763C" w:rsidRPr="004C763C" w:rsidRDefault="004C763C" w:rsidP="00FF1A2F">
      <w:pPr>
        <w:jc w:val="both"/>
        <w:rPr>
          <w:rFonts w:ascii="Abadi" w:hAnsi="Abadi" w:cs="Arial"/>
          <w:b/>
          <w:bCs/>
          <w:sz w:val="21"/>
          <w:szCs w:val="21"/>
          <w:lang w:val="es-MX" w:eastAsia="en-US"/>
        </w:rPr>
      </w:pPr>
      <w:r w:rsidRPr="004C763C">
        <w:rPr>
          <w:rFonts w:ascii="Abadi" w:hAnsi="Abadi" w:cs="Arial"/>
          <w:b/>
          <w:bCs/>
          <w:sz w:val="21"/>
          <w:szCs w:val="21"/>
          <w:lang w:val="es-MX" w:eastAsia="en-US"/>
        </w:rPr>
        <w:t>Dip. Rolando Fortino Alcántar Rojas</w:t>
      </w:r>
    </w:p>
    <w:p w14:paraId="7DC76E8C" w14:textId="77777777" w:rsidR="004C763C" w:rsidRPr="004C763C" w:rsidRDefault="004C763C" w:rsidP="00FF1A2F">
      <w:pPr>
        <w:jc w:val="both"/>
        <w:rPr>
          <w:rFonts w:ascii="Abadi" w:hAnsi="Abadi" w:cs="Arial"/>
          <w:b/>
          <w:bCs/>
          <w:sz w:val="21"/>
          <w:szCs w:val="21"/>
          <w:lang w:val="es-MX" w:eastAsia="en-US"/>
        </w:rPr>
      </w:pPr>
      <w:r w:rsidRPr="004C763C">
        <w:rPr>
          <w:rFonts w:ascii="Abadi" w:hAnsi="Abadi" w:cs="Arial"/>
          <w:b/>
          <w:bCs/>
          <w:sz w:val="21"/>
          <w:szCs w:val="21"/>
          <w:lang w:val="es-MX" w:eastAsia="en-US"/>
        </w:rPr>
        <w:t>Dip. Yulma Rocha Aguilar</w:t>
      </w:r>
    </w:p>
    <w:p w14:paraId="66E8F328" w14:textId="7FE67142" w:rsidR="004C763C" w:rsidRDefault="004C763C" w:rsidP="00FF1A2F">
      <w:pPr>
        <w:jc w:val="both"/>
        <w:rPr>
          <w:rFonts w:ascii="Abadi" w:hAnsi="Abadi" w:cs="Arial"/>
          <w:b/>
          <w:bCs/>
          <w:sz w:val="21"/>
          <w:szCs w:val="21"/>
          <w:lang w:val="es-MX" w:eastAsia="en-US"/>
        </w:rPr>
      </w:pPr>
      <w:r w:rsidRPr="004C763C">
        <w:rPr>
          <w:rFonts w:ascii="Abadi" w:hAnsi="Abadi" w:cs="Arial"/>
          <w:b/>
          <w:bCs/>
          <w:sz w:val="21"/>
          <w:szCs w:val="21"/>
          <w:lang w:val="es-MX" w:eastAsia="en-US"/>
        </w:rPr>
        <w:t>Dip. Gerardo Fernández González</w:t>
      </w:r>
    </w:p>
    <w:p w14:paraId="4693FCCB" w14:textId="3655CF7D" w:rsidR="00FF1A2F" w:rsidRDefault="00FF1A2F" w:rsidP="00FF1A2F">
      <w:pPr>
        <w:jc w:val="both"/>
        <w:rPr>
          <w:rFonts w:ascii="Abadi" w:hAnsi="Abadi" w:cs="Arial"/>
          <w:b/>
          <w:bCs/>
          <w:sz w:val="21"/>
          <w:szCs w:val="21"/>
          <w:lang w:val="es-MX" w:eastAsia="en-US"/>
        </w:rPr>
      </w:pPr>
    </w:p>
    <w:p w14:paraId="182844B6" w14:textId="7153EE73" w:rsidR="00FF1A2F" w:rsidRDefault="00FF1A2F" w:rsidP="00FF1A2F">
      <w:pPr>
        <w:ind w:firstLine="708"/>
        <w:jc w:val="both"/>
        <w:rPr>
          <w:rFonts w:ascii="Abadi" w:hAnsi="Abadi"/>
          <w:sz w:val="21"/>
          <w:szCs w:val="21"/>
        </w:rPr>
      </w:pPr>
      <w:r w:rsidRPr="00B81882">
        <w:rPr>
          <w:rFonts w:ascii="Abadi" w:hAnsi="Abadi"/>
          <w:b/>
          <w:bCs/>
          <w:sz w:val="21"/>
          <w:szCs w:val="21"/>
        </w:rPr>
        <w:t>- El Presidente.-</w:t>
      </w:r>
      <w:r>
        <w:rPr>
          <w:rFonts w:ascii="Abadi" w:hAnsi="Abadi"/>
          <w:sz w:val="21"/>
          <w:szCs w:val="21"/>
        </w:rPr>
        <w:t xml:space="preserve"> S</w:t>
      </w:r>
      <w:r w:rsidRPr="006813AA">
        <w:rPr>
          <w:rFonts w:ascii="Abadi" w:hAnsi="Abadi"/>
          <w:sz w:val="21"/>
          <w:szCs w:val="21"/>
        </w:rPr>
        <w:t xml:space="preserve">e somete a discusión el dictamen suscrito por la </w:t>
      </w:r>
      <w:r>
        <w:rPr>
          <w:rFonts w:ascii="Abadi" w:hAnsi="Abadi"/>
          <w:sz w:val="21"/>
          <w:szCs w:val="21"/>
        </w:rPr>
        <w:t>C</w:t>
      </w:r>
      <w:r w:rsidRPr="006813AA">
        <w:rPr>
          <w:rFonts w:ascii="Abadi" w:hAnsi="Abadi"/>
          <w:sz w:val="21"/>
          <w:szCs w:val="21"/>
        </w:rPr>
        <w:t xml:space="preserve">omisión de </w:t>
      </w:r>
      <w:r>
        <w:rPr>
          <w:rFonts w:ascii="Abadi" w:hAnsi="Abadi"/>
          <w:sz w:val="21"/>
          <w:szCs w:val="21"/>
        </w:rPr>
        <w:t>G</w:t>
      </w:r>
      <w:r w:rsidRPr="006813AA">
        <w:rPr>
          <w:rFonts w:ascii="Abadi" w:hAnsi="Abadi"/>
          <w:sz w:val="21"/>
          <w:szCs w:val="21"/>
        </w:rPr>
        <w:t xml:space="preserve">obernación y </w:t>
      </w:r>
      <w:r>
        <w:rPr>
          <w:rFonts w:ascii="Abadi" w:hAnsi="Abadi"/>
          <w:sz w:val="21"/>
          <w:szCs w:val="21"/>
        </w:rPr>
        <w:t>P</w:t>
      </w:r>
      <w:r w:rsidRPr="006813AA">
        <w:rPr>
          <w:rFonts w:ascii="Abadi" w:hAnsi="Abadi"/>
          <w:sz w:val="21"/>
          <w:szCs w:val="21"/>
        </w:rPr>
        <w:t xml:space="preserve">untos </w:t>
      </w:r>
      <w:r>
        <w:rPr>
          <w:rFonts w:ascii="Abadi" w:hAnsi="Abadi"/>
          <w:sz w:val="21"/>
          <w:szCs w:val="21"/>
        </w:rPr>
        <w:t>C</w:t>
      </w:r>
      <w:r w:rsidRPr="006813AA">
        <w:rPr>
          <w:rFonts w:ascii="Abadi" w:hAnsi="Abadi"/>
          <w:sz w:val="21"/>
          <w:szCs w:val="21"/>
        </w:rPr>
        <w:t>onstitucionales que se refiere el punto 36 de nuestra orden del día</w:t>
      </w:r>
      <w:r>
        <w:rPr>
          <w:rFonts w:ascii="Abadi" w:hAnsi="Abadi"/>
          <w:sz w:val="21"/>
          <w:szCs w:val="21"/>
        </w:rPr>
        <w:t>.</w:t>
      </w:r>
    </w:p>
    <w:p w14:paraId="3BEF9AE7" w14:textId="77777777" w:rsidR="00FF1A2F" w:rsidRDefault="00FF1A2F" w:rsidP="00FF1A2F">
      <w:pPr>
        <w:ind w:firstLine="708"/>
        <w:jc w:val="both"/>
        <w:rPr>
          <w:rFonts w:ascii="Abadi" w:hAnsi="Abadi"/>
          <w:sz w:val="21"/>
          <w:szCs w:val="21"/>
        </w:rPr>
      </w:pPr>
    </w:p>
    <w:p w14:paraId="5BE0BDDA" w14:textId="721663C3" w:rsidR="00FF1A2F" w:rsidRDefault="00FF1A2F" w:rsidP="00FF1A2F">
      <w:pPr>
        <w:ind w:firstLine="708"/>
        <w:jc w:val="both"/>
        <w:rPr>
          <w:rFonts w:ascii="Abadi" w:hAnsi="Abadi"/>
          <w:sz w:val="21"/>
          <w:szCs w:val="21"/>
        </w:rPr>
      </w:pPr>
      <w:r>
        <w:rPr>
          <w:rFonts w:ascii="Abadi" w:hAnsi="Abadi"/>
          <w:sz w:val="21"/>
          <w:szCs w:val="21"/>
        </w:rPr>
        <w:t>- S</w:t>
      </w:r>
      <w:r w:rsidRPr="006813AA">
        <w:rPr>
          <w:rFonts w:ascii="Abadi" w:hAnsi="Abadi"/>
          <w:sz w:val="21"/>
          <w:szCs w:val="21"/>
        </w:rPr>
        <w:t xml:space="preserve">i alguna diputada algún diputado desea hacer </w:t>
      </w:r>
      <w:r>
        <w:rPr>
          <w:rFonts w:ascii="Abadi" w:hAnsi="Abadi"/>
          <w:sz w:val="21"/>
          <w:szCs w:val="21"/>
        </w:rPr>
        <w:t>u</w:t>
      </w:r>
      <w:r w:rsidRPr="006813AA">
        <w:rPr>
          <w:rFonts w:ascii="Abadi" w:hAnsi="Abadi"/>
          <w:sz w:val="21"/>
          <w:szCs w:val="21"/>
        </w:rPr>
        <w:t>so de la palabra en</w:t>
      </w:r>
      <w:r>
        <w:rPr>
          <w:rFonts w:ascii="Abadi" w:hAnsi="Abadi"/>
          <w:sz w:val="21"/>
          <w:szCs w:val="21"/>
        </w:rPr>
        <w:t xml:space="preserve"> pro o en contra, manifiéstenlo </w:t>
      </w:r>
      <w:r w:rsidRPr="006813AA">
        <w:rPr>
          <w:rFonts w:ascii="Abadi" w:hAnsi="Abadi"/>
          <w:sz w:val="21"/>
          <w:szCs w:val="21"/>
        </w:rPr>
        <w:t>esta presidencia indicando el sentido de su participación</w:t>
      </w:r>
      <w:r>
        <w:rPr>
          <w:rFonts w:ascii="Abadi" w:hAnsi="Abadi"/>
          <w:sz w:val="21"/>
          <w:szCs w:val="21"/>
        </w:rPr>
        <w:t>.</w:t>
      </w:r>
    </w:p>
    <w:p w14:paraId="5FFE137E" w14:textId="77777777" w:rsidR="00FF1A2F" w:rsidRDefault="00FF1A2F" w:rsidP="00FF1A2F">
      <w:pPr>
        <w:ind w:firstLine="708"/>
        <w:jc w:val="both"/>
        <w:rPr>
          <w:rFonts w:ascii="Abadi" w:hAnsi="Abadi"/>
          <w:sz w:val="21"/>
          <w:szCs w:val="21"/>
        </w:rPr>
      </w:pPr>
    </w:p>
    <w:p w14:paraId="57E035D3" w14:textId="313EB918" w:rsidR="00FF1A2F" w:rsidRDefault="00FF1A2F" w:rsidP="00FF1A2F">
      <w:pPr>
        <w:ind w:firstLine="708"/>
        <w:jc w:val="both"/>
        <w:rPr>
          <w:rFonts w:ascii="Abadi" w:hAnsi="Abadi"/>
          <w:sz w:val="21"/>
          <w:szCs w:val="21"/>
        </w:rPr>
      </w:pPr>
      <w:r>
        <w:rPr>
          <w:rFonts w:ascii="Abadi" w:hAnsi="Abadi"/>
          <w:sz w:val="21"/>
          <w:szCs w:val="21"/>
        </w:rPr>
        <w:t>- No</w:t>
      </w:r>
      <w:r w:rsidRPr="006813AA">
        <w:rPr>
          <w:rFonts w:ascii="Abadi" w:hAnsi="Abadi"/>
          <w:sz w:val="21"/>
          <w:szCs w:val="21"/>
        </w:rPr>
        <w:t xml:space="preserve"> habiendo participación se pierda la </w:t>
      </w:r>
      <w:r>
        <w:rPr>
          <w:rFonts w:ascii="Abadi" w:hAnsi="Abadi"/>
          <w:sz w:val="21"/>
          <w:szCs w:val="21"/>
        </w:rPr>
        <w:t>S</w:t>
      </w:r>
      <w:r w:rsidRPr="006813AA">
        <w:rPr>
          <w:rFonts w:ascii="Abadi" w:hAnsi="Abadi"/>
          <w:sz w:val="21"/>
          <w:szCs w:val="21"/>
        </w:rPr>
        <w:t xml:space="preserve">ecretaría que proceda a recabar votación nominal de la </w:t>
      </w:r>
      <w:r>
        <w:rPr>
          <w:rFonts w:ascii="Abadi" w:hAnsi="Abadi"/>
          <w:sz w:val="21"/>
          <w:szCs w:val="21"/>
        </w:rPr>
        <w:t>A</w:t>
      </w:r>
      <w:r w:rsidRPr="006813AA">
        <w:rPr>
          <w:rFonts w:ascii="Abadi" w:hAnsi="Abadi"/>
          <w:sz w:val="21"/>
          <w:szCs w:val="21"/>
        </w:rPr>
        <w:t>samblea a través de nuestro sistema electrónico a efectos de aprobar o no el dictamen puesto a su consideración</w:t>
      </w:r>
      <w:r>
        <w:rPr>
          <w:rFonts w:ascii="Abadi" w:hAnsi="Abadi"/>
          <w:sz w:val="21"/>
          <w:szCs w:val="21"/>
        </w:rPr>
        <w:t>.</w:t>
      </w:r>
    </w:p>
    <w:p w14:paraId="4E4F8BE9" w14:textId="77777777" w:rsidR="00FF1A2F" w:rsidRDefault="00FF1A2F" w:rsidP="00FF1A2F">
      <w:pPr>
        <w:ind w:firstLine="708"/>
        <w:jc w:val="both"/>
        <w:rPr>
          <w:rFonts w:ascii="Abadi" w:hAnsi="Abadi"/>
          <w:sz w:val="21"/>
          <w:szCs w:val="21"/>
        </w:rPr>
      </w:pPr>
    </w:p>
    <w:p w14:paraId="4F7DD37E" w14:textId="5CB73A57" w:rsidR="00FF1A2F" w:rsidRDefault="00FF1A2F" w:rsidP="00FF1A2F">
      <w:pPr>
        <w:ind w:firstLine="708"/>
        <w:jc w:val="both"/>
        <w:rPr>
          <w:rFonts w:ascii="Abadi" w:hAnsi="Abadi"/>
          <w:b/>
          <w:bCs/>
          <w:sz w:val="21"/>
          <w:szCs w:val="21"/>
        </w:rPr>
      </w:pPr>
      <w:r w:rsidRPr="00645B0D">
        <w:rPr>
          <w:rFonts w:ascii="Abadi" w:hAnsi="Abadi"/>
          <w:b/>
          <w:bCs/>
          <w:sz w:val="21"/>
          <w:szCs w:val="21"/>
        </w:rPr>
        <w:t>(Abrimos nuestro sistema electrónico)</w:t>
      </w:r>
    </w:p>
    <w:p w14:paraId="7C460D7E" w14:textId="77777777" w:rsidR="00FF1A2F" w:rsidRPr="00645B0D" w:rsidRDefault="00FF1A2F" w:rsidP="00FF1A2F">
      <w:pPr>
        <w:ind w:firstLine="708"/>
        <w:jc w:val="both"/>
        <w:rPr>
          <w:rFonts w:ascii="Abadi" w:hAnsi="Abadi"/>
          <w:b/>
          <w:bCs/>
          <w:sz w:val="21"/>
          <w:szCs w:val="21"/>
        </w:rPr>
      </w:pPr>
    </w:p>
    <w:p w14:paraId="29275B92" w14:textId="26809E93" w:rsidR="00FF1A2F" w:rsidRDefault="00FF1A2F" w:rsidP="00FF1A2F">
      <w:pPr>
        <w:ind w:firstLine="708"/>
        <w:jc w:val="both"/>
        <w:rPr>
          <w:rFonts w:ascii="Abadi" w:hAnsi="Abadi"/>
          <w:sz w:val="21"/>
          <w:szCs w:val="21"/>
        </w:rPr>
      </w:pPr>
      <w:r w:rsidRPr="00830D57">
        <w:rPr>
          <w:rFonts w:ascii="Abadi" w:hAnsi="Abadi"/>
          <w:b/>
          <w:bCs/>
          <w:sz w:val="21"/>
          <w:szCs w:val="21"/>
        </w:rPr>
        <w:t>- El Secretario.-</w:t>
      </w:r>
      <w:r>
        <w:rPr>
          <w:rFonts w:ascii="Abadi" w:hAnsi="Abadi"/>
          <w:sz w:val="21"/>
          <w:szCs w:val="21"/>
        </w:rPr>
        <w:t xml:space="preserve"> E</w:t>
      </w:r>
      <w:r w:rsidRPr="006813AA">
        <w:rPr>
          <w:rFonts w:ascii="Abadi" w:hAnsi="Abadi"/>
          <w:sz w:val="21"/>
          <w:szCs w:val="21"/>
        </w:rPr>
        <w:t>n votación nominal por el sistema electrónico se pregunta a las diputadas y los diputados si se aprueba el dictamen puesto a su consideración</w:t>
      </w:r>
      <w:r>
        <w:rPr>
          <w:rFonts w:ascii="Abadi" w:hAnsi="Abadi"/>
          <w:sz w:val="21"/>
          <w:szCs w:val="21"/>
        </w:rPr>
        <w:t>. ¿Diputada Noemí Márquez?</w:t>
      </w:r>
    </w:p>
    <w:p w14:paraId="2F50345C" w14:textId="77777777" w:rsidR="00FF1A2F" w:rsidRDefault="00FF1A2F" w:rsidP="00FF1A2F">
      <w:pPr>
        <w:ind w:firstLine="708"/>
        <w:jc w:val="both"/>
        <w:rPr>
          <w:rFonts w:ascii="Abadi" w:hAnsi="Abadi"/>
          <w:sz w:val="21"/>
          <w:szCs w:val="21"/>
        </w:rPr>
      </w:pPr>
    </w:p>
    <w:p w14:paraId="65F0BEDD" w14:textId="32F587C9" w:rsidR="00FF1A2F" w:rsidRDefault="00FF1A2F" w:rsidP="00FF1A2F">
      <w:pPr>
        <w:ind w:firstLine="708"/>
        <w:jc w:val="both"/>
        <w:rPr>
          <w:rFonts w:ascii="Abadi" w:hAnsi="Abadi"/>
          <w:sz w:val="21"/>
          <w:szCs w:val="21"/>
        </w:rPr>
      </w:pPr>
      <w:r>
        <w:rPr>
          <w:rFonts w:ascii="Abadi" w:hAnsi="Abadi"/>
          <w:sz w:val="21"/>
          <w:szCs w:val="21"/>
        </w:rPr>
        <w:t>¿Falta alguna diputada o algún diputado de emitir du voto?</w:t>
      </w:r>
    </w:p>
    <w:p w14:paraId="1067061C" w14:textId="77777777" w:rsidR="00FF1A2F" w:rsidRPr="006813AA" w:rsidRDefault="00FF1A2F" w:rsidP="00FF1A2F">
      <w:pPr>
        <w:ind w:firstLine="708"/>
        <w:jc w:val="both"/>
        <w:rPr>
          <w:rFonts w:ascii="Abadi" w:hAnsi="Abadi"/>
          <w:sz w:val="21"/>
          <w:szCs w:val="21"/>
        </w:rPr>
      </w:pPr>
    </w:p>
    <w:p w14:paraId="5FD7016B" w14:textId="77777777" w:rsidR="00FF1A2F" w:rsidRDefault="00FF1A2F" w:rsidP="00FF1A2F">
      <w:pPr>
        <w:jc w:val="both"/>
        <w:rPr>
          <w:rFonts w:ascii="Abadi" w:hAnsi="Abadi"/>
          <w:b/>
          <w:bCs/>
          <w:sz w:val="21"/>
          <w:szCs w:val="21"/>
        </w:rPr>
      </w:pPr>
      <w:r w:rsidRPr="00315DF0">
        <w:rPr>
          <w:rFonts w:ascii="Abadi" w:hAnsi="Abadi"/>
          <w:b/>
          <w:bCs/>
          <w:sz w:val="21"/>
          <w:szCs w:val="21"/>
        </w:rPr>
        <w:t>(Se cierra nuestro sistema electrónico)</w:t>
      </w:r>
    </w:p>
    <w:p w14:paraId="565E5D9B" w14:textId="77777777" w:rsidR="00FF1A2F" w:rsidRDefault="00FF1A2F" w:rsidP="00FF1A2F">
      <w:pPr>
        <w:jc w:val="both"/>
        <w:rPr>
          <w:rFonts w:ascii="Abadi" w:hAnsi="Abadi"/>
          <w:b/>
          <w:bCs/>
          <w:sz w:val="21"/>
          <w:szCs w:val="21"/>
        </w:rPr>
      </w:pPr>
    </w:p>
    <w:p w14:paraId="7D39E72F" w14:textId="77777777" w:rsidR="00FF1A2F" w:rsidRDefault="00FF1A2F" w:rsidP="00FF1A2F">
      <w:pPr>
        <w:jc w:val="both"/>
        <w:rPr>
          <w:rFonts w:ascii="Abadi" w:hAnsi="Abadi"/>
          <w:b/>
          <w:bCs/>
          <w:sz w:val="21"/>
          <w:szCs w:val="21"/>
        </w:rPr>
      </w:pPr>
      <w:r>
        <w:rPr>
          <w:noProof/>
        </w:rPr>
        <w:drawing>
          <wp:inline distT="0" distB="0" distL="0" distR="0" wp14:anchorId="03C315A8" wp14:editId="6E228F37">
            <wp:extent cx="1645767" cy="840916"/>
            <wp:effectExtent l="323850" t="323850" r="316865" b="32131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b="9119"/>
                    <a:stretch/>
                  </pic:blipFill>
                  <pic:spPr bwMode="auto">
                    <a:xfrm>
                      <a:off x="0" y="0"/>
                      <a:ext cx="1657354" cy="846837"/>
                    </a:xfrm>
                    <a:prstGeom prst="rect">
                      <a:avLst/>
                    </a:prstGeom>
                    <a:ln w="88900" cap="sq" cmpd="thickThin">
                      <a:solidFill>
                        <a:srgbClr val="000000"/>
                      </a:solidFill>
                      <a:prstDash val="solid"/>
                      <a:miter lim="800000"/>
                    </a:ln>
                    <a:effectLst>
                      <a:glow rad="228600">
                        <a:schemeClr val="accent3">
                          <a:satMod val="1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56BDAB0F" w14:textId="77777777" w:rsidR="00FF1A2F" w:rsidRPr="00315DF0" w:rsidRDefault="00FF1A2F" w:rsidP="00FF1A2F">
      <w:pPr>
        <w:jc w:val="both"/>
        <w:rPr>
          <w:rFonts w:ascii="Abadi" w:hAnsi="Abadi"/>
          <w:b/>
          <w:bCs/>
          <w:sz w:val="21"/>
          <w:szCs w:val="21"/>
        </w:rPr>
      </w:pPr>
    </w:p>
    <w:p w14:paraId="45583883" w14:textId="047994FC" w:rsidR="00FF1A2F" w:rsidRDefault="00FF1A2F" w:rsidP="00FF1A2F">
      <w:pPr>
        <w:ind w:firstLine="708"/>
        <w:jc w:val="both"/>
        <w:rPr>
          <w:rFonts w:ascii="Abadi" w:hAnsi="Abadi"/>
          <w:sz w:val="21"/>
          <w:szCs w:val="21"/>
        </w:rPr>
      </w:pPr>
      <w:r w:rsidRPr="00FE428A">
        <w:rPr>
          <w:rFonts w:ascii="Abadi" w:hAnsi="Abadi"/>
          <w:b/>
          <w:bCs/>
          <w:sz w:val="21"/>
          <w:szCs w:val="21"/>
        </w:rPr>
        <w:t>- El Secretario.-</w:t>
      </w:r>
      <w:r>
        <w:rPr>
          <w:rFonts w:ascii="Abadi" w:hAnsi="Abadi"/>
          <w:sz w:val="21"/>
          <w:szCs w:val="21"/>
        </w:rPr>
        <w:t xml:space="preserve"> </w:t>
      </w:r>
      <w:r w:rsidRPr="006813AA">
        <w:rPr>
          <w:rFonts w:ascii="Abadi" w:hAnsi="Abadi"/>
          <w:sz w:val="21"/>
          <w:szCs w:val="21"/>
        </w:rPr>
        <w:t xml:space="preserve"> </w:t>
      </w:r>
      <w:r>
        <w:rPr>
          <w:rFonts w:ascii="Abadi" w:hAnsi="Abadi"/>
          <w:sz w:val="21"/>
          <w:szCs w:val="21"/>
        </w:rPr>
        <w:t>S</w:t>
      </w:r>
      <w:r w:rsidRPr="006813AA">
        <w:rPr>
          <w:rFonts w:ascii="Abadi" w:hAnsi="Abadi"/>
          <w:sz w:val="21"/>
          <w:szCs w:val="21"/>
        </w:rPr>
        <w:t>e registraron 28 votos a favor y 5 votos en contra</w:t>
      </w:r>
      <w:r>
        <w:rPr>
          <w:rFonts w:ascii="Abadi" w:hAnsi="Abadi"/>
          <w:sz w:val="21"/>
          <w:szCs w:val="21"/>
        </w:rPr>
        <w:t>.</w:t>
      </w:r>
    </w:p>
    <w:p w14:paraId="47553660" w14:textId="77777777" w:rsidR="00FF1A2F" w:rsidRDefault="00FF1A2F" w:rsidP="00FF1A2F">
      <w:pPr>
        <w:ind w:firstLine="708"/>
        <w:jc w:val="both"/>
        <w:rPr>
          <w:rFonts w:ascii="Abadi" w:hAnsi="Abadi"/>
          <w:sz w:val="21"/>
          <w:szCs w:val="21"/>
        </w:rPr>
      </w:pPr>
    </w:p>
    <w:p w14:paraId="647CE02A" w14:textId="2B13EEDF" w:rsidR="00FF1A2F" w:rsidRDefault="00FF1A2F" w:rsidP="00FF1A2F">
      <w:pPr>
        <w:ind w:firstLine="708"/>
        <w:jc w:val="both"/>
        <w:rPr>
          <w:rFonts w:ascii="Abadi" w:hAnsi="Abadi"/>
          <w:sz w:val="21"/>
          <w:szCs w:val="21"/>
        </w:rPr>
      </w:pPr>
      <w:r>
        <w:rPr>
          <w:rFonts w:ascii="Abadi" w:hAnsi="Abadi"/>
          <w:sz w:val="21"/>
          <w:szCs w:val="21"/>
        </w:rPr>
        <w:t>- P</w:t>
      </w:r>
      <w:r w:rsidRPr="006813AA">
        <w:rPr>
          <w:rFonts w:ascii="Abadi" w:hAnsi="Abadi"/>
          <w:sz w:val="21"/>
          <w:szCs w:val="21"/>
        </w:rPr>
        <w:t>or mayoría de votos el dictamen ha sido aprobado</w:t>
      </w:r>
      <w:r>
        <w:rPr>
          <w:rFonts w:ascii="Abadi" w:hAnsi="Abadi"/>
          <w:sz w:val="21"/>
          <w:szCs w:val="21"/>
        </w:rPr>
        <w:t>.</w:t>
      </w:r>
    </w:p>
    <w:p w14:paraId="36BFAD5D" w14:textId="77777777" w:rsidR="00FF1A2F" w:rsidRDefault="00FF1A2F" w:rsidP="00FF1A2F">
      <w:pPr>
        <w:ind w:firstLine="708"/>
        <w:jc w:val="both"/>
        <w:rPr>
          <w:rFonts w:ascii="Abadi" w:hAnsi="Abadi"/>
          <w:sz w:val="21"/>
          <w:szCs w:val="21"/>
        </w:rPr>
      </w:pPr>
    </w:p>
    <w:p w14:paraId="25B09EA6" w14:textId="77777777" w:rsidR="00FF1A2F" w:rsidRPr="00A5537C" w:rsidRDefault="00FF1A2F" w:rsidP="006C459D">
      <w:pPr>
        <w:ind w:left="709" w:right="709"/>
        <w:jc w:val="both"/>
        <w:rPr>
          <w:rFonts w:ascii="Abadi" w:hAnsi="Abadi"/>
          <w:b/>
          <w:bCs/>
          <w:i/>
          <w:iCs/>
          <w:sz w:val="21"/>
          <w:szCs w:val="21"/>
          <w:u w:val="single"/>
        </w:rPr>
      </w:pPr>
      <w:r w:rsidRPr="00A5537C">
        <w:rPr>
          <w:rFonts w:ascii="Abadi" w:hAnsi="Abadi"/>
          <w:b/>
          <w:bCs/>
          <w:i/>
          <w:iCs/>
          <w:sz w:val="21"/>
          <w:szCs w:val="21"/>
          <w:u w:val="single"/>
        </w:rPr>
        <w:t>En consecuencia se instruye a la Secretaría General para que proceda al archivo definitivo de la iniciativa referida en el dictamen aprobado.</w:t>
      </w:r>
    </w:p>
    <w:p w14:paraId="1505BCCA" w14:textId="77777777" w:rsidR="00FF1A2F" w:rsidRPr="004C763C" w:rsidRDefault="00FF1A2F" w:rsidP="00FF1A2F">
      <w:pPr>
        <w:jc w:val="both"/>
        <w:rPr>
          <w:rFonts w:ascii="Abadi" w:hAnsi="Abadi" w:cs="Arial"/>
          <w:b/>
          <w:bCs/>
          <w:sz w:val="21"/>
          <w:szCs w:val="21"/>
          <w:lang w:val="es-MX" w:eastAsia="en-US"/>
        </w:rPr>
      </w:pPr>
    </w:p>
    <w:p w14:paraId="3D5C59E0" w14:textId="1AF0B773" w:rsidR="00C3760A" w:rsidRDefault="00C3760A" w:rsidP="00FF1A2F">
      <w:pPr>
        <w:autoSpaceDE w:val="0"/>
        <w:autoSpaceDN w:val="0"/>
        <w:adjustRightInd w:val="0"/>
        <w:jc w:val="both"/>
        <w:rPr>
          <w:rFonts w:ascii="Abadi" w:hAnsi="Abadi" w:cs="ArialMT"/>
          <w:sz w:val="20"/>
          <w:szCs w:val="21"/>
        </w:rPr>
      </w:pPr>
    </w:p>
    <w:p w14:paraId="1FBA7EC9" w14:textId="77777777" w:rsidR="00C3760A" w:rsidRPr="00C3760A" w:rsidRDefault="00C3760A" w:rsidP="00E462B6">
      <w:pPr>
        <w:autoSpaceDE w:val="0"/>
        <w:autoSpaceDN w:val="0"/>
        <w:adjustRightInd w:val="0"/>
        <w:jc w:val="both"/>
        <w:rPr>
          <w:rFonts w:ascii="Abadi" w:hAnsi="Abadi" w:cs="ArialMT"/>
          <w:sz w:val="20"/>
          <w:szCs w:val="21"/>
        </w:rPr>
      </w:pPr>
    </w:p>
    <w:p w14:paraId="52DE425D" w14:textId="65DEAA90" w:rsidR="00E462B6" w:rsidRDefault="00E462B6" w:rsidP="00E462B6">
      <w:pPr>
        <w:pStyle w:val="Prrafodelista"/>
        <w:numPr>
          <w:ilvl w:val="0"/>
          <w:numId w:val="14"/>
        </w:numPr>
        <w:autoSpaceDE w:val="0"/>
        <w:autoSpaceDN w:val="0"/>
        <w:adjustRightInd w:val="0"/>
        <w:contextualSpacing/>
        <w:jc w:val="both"/>
        <w:rPr>
          <w:rFonts w:ascii="Abadi" w:hAnsi="Abadi" w:cs="Arial-ItalicMT"/>
          <w:b/>
          <w:bCs/>
          <w:i/>
          <w:iCs/>
          <w:sz w:val="20"/>
          <w:szCs w:val="21"/>
        </w:rPr>
      </w:pPr>
      <w:r w:rsidRPr="0028553C">
        <w:rPr>
          <w:rFonts w:ascii="Abadi" w:hAnsi="Abadi" w:cs="ArialMT"/>
          <w:b/>
          <w:bCs/>
          <w:sz w:val="20"/>
          <w:szCs w:val="21"/>
        </w:rPr>
        <w:t xml:space="preserve">DISCUSIÓN Y, EN SU CASO, APROBACIÓN DEL DICTAMEN SUSCRITO POR LA COMISIÓN DE GOBERNACIÓN Y PUNTOS CONSTITUCIONALES RELATIVO A LAS INICIATIVAS, LA PRIMERA SUSCRITA POR DIPUTADAS Y DIPUTADOS INTEGRANTES DEL GRUPO PARLAMENTARIO DEL PARTIDO ACCIÓN NACIONAL, A EFECTO DE REFORMAR EL ARTÍCULO 24 BIS Y ADICIONAR UNA FRACCIÓN VI AL ARTÍCULO 4, RECORRIÉNDOSE LAS SUBSECUENTES DE LA LEY DE PLANEACIÓN PARA EL ESTADO DE GUANAJUATO; ASÍ COMO REFORMAR LOS ARTÍCULOS 5 Y 48; ADICIONAR EL ARTÍCULO 45 BIS Y MODIFICAR LA NOMENCLATURA DEL CAPÍTULO IV, PARA QUE SE DENOMINE “DE LA PERSPECTIVA DE FAMILIA Y EL FORTALECIMIENTO FAMILIAR” DE LA LEY SOBRE EL SISTEMA ESTATAL DE ASISTENCIA SOCIAL </w:t>
      </w:r>
      <w:r w:rsidRPr="0028553C">
        <w:rPr>
          <w:rFonts w:ascii="Abadi" w:hAnsi="Abadi" w:cs="Arial-ItalicMT"/>
          <w:b/>
          <w:bCs/>
          <w:i/>
          <w:iCs/>
          <w:sz w:val="20"/>
          <w:szCs w:val="21"/>
        </w:rPr>
        <w:t xml:space="preserve">EN LO QUE CORRESPONDE AL PRIMERO DE LOS ORDENAMIENTOS, </w:t>
      </w:r>
      <w:r w:rsidRPr="0028553C">
        <w:rPr>
          <w:rFonts w:ascii="Abadi" w:hAnsi="Abadi" w:cs="ArialMT"/>
          <w:b/>
          <w:bCs/>
          <w:sz w:val="20"/>
          <w:szCs w:val="21"/>
        </w:rPr>
        <w:t xml:space="preserve">ANTE LA SEXAGÉSIMA CUARTA LEGISLATURA Y, LA SEGUNDA FORMULADA POR LAS DIPUTADAS Y LOS DIPUTADOS INTEGRANTES DEL GRUPO PARLAMENTARIO DEL PARTIDO ACCIÓN NACIONAL A EFECTO DE REFORMAR EL ARTÍCULO 24 BIS DE LA LEY DE PLANEACIÓN PARA EL ESTADO DE GUANAJUATO Y EL ARTÍCULO 38 DE LA LEY PARA LA IGUALDAD ENTRE HOMBRES Y MUJERES DEL ESTADO DE GUANAJUATO, </w:t>
      </w:r>
      <w:r w:rsidRPr="0028553C">
        <w:rPr>
          <w:rFonts w:ascii="Abadi" w:hAnsi="Abadi" w:cs="Arial-ItalicMT"/>
          <w:b/>
          <w:bCs/>
          <w:i/>
          <w:iCs/>
          <w:sz w:val="20"/>
          <w:szCs w:val="21"/>
        </w:rPr>
        <w:t>EN LA PARTE CORRESPONDIENTE AL PRIMERO DE LOS ORDENAMIENTOS.</w:t>
      </w:r>
    </w:p>
    <w:p w14:paraId="2A424522" w14:textId="4A61772C" w:rsidR="004C763C" w:rsidRDefault="004C763C" w:rsidP="004C763C">
      <w:pPr>
        <w:autoSpaceDE w:val="0"/>
        <w:autoSpaceDN w:val="0"/>
        <w:adjustRightInd w:val="0"/>
        <w:contextualSpacing/>
        <w:jc w:val="both"/>
        <w:rPr>
          <w:rFonts w:ascii="Abadi" w:hAnsi="Abadi" w:cs="Arial-ItalicMT"/>
          <w:b/>
          <w:bCs/>
          <w:i/>
          <w:iCs/>
          <w:sz w:val="20"/>
          <w:szCs w:val="21"/>
        </w:rPr>
      </w:pPr>
    </w:p>
    <w:p w14:paraId="2EAD23CC" w14:textId="77777777" w:rsidR="00F81845" w:rsidRPr="00F81845" w:rsidRDefault="00F81845" w:rsidP="00EA2D06">
      <w:pPr>
        <w:widowControl w:val="0"/>
        <w:jc w:val="both"/>
        <w:rPr>
          <w:rFonts w:ascii="Abadi" w:hAnsi="Abadi" w:cs="Arial"/>
          <w:b/>
          <w:sz w:val="21"/>
          <w:szCs w:val="21"/>
        </w:rPr>
      </w:pPr>
      <w:r w:rsidRPr="00F81845">
        <w:rPr>
          <w:rFonts w:ascii="Abadi" w:hAnsi="Abadi" w:cs="Arial"/>
          <w:b/>
          <w:sz w:val="21"/>
          <w:szCs w:val="21"/>
        </w:rPr>
        <w:t>C. DIPUTADO PRESIDENTE DEL CONGRESO DEL ESTADO</w:t>
      </w:r>
    </w:p>
    <w:p w14:paraId="434308A6" w14:textId="77777777" w:rsidR="00F81845" w:rsidRPr="00F81845" w:rsidRDefault="00F81845" w:rsidP="00EA2D06">
      <w:pPr>
        <w:widowControl w:val="0"/>
        <w:jc w:val="both"/>
        <w:rPr>
          <w:rFonts w:ascii="Abadi" w:hAnsi="Abadi" w:cs="Arial"/>
          <w:b/>
          <w:sz w:val="21"/>
          <w:szCs w:val="21"/>
        </w:rPr>
      </w:pPr>
      <w:r w:rsidRPr="00F81845">
        <w:rPr>
          <w:rFonts w:ascii="Abadi" w:hAnsi="Abadi" w:cs="Arial"/>
          <w:b/>
          <w:sz w:val="21"/>
          <w:szCs w:val="21"/>
        </w:rPr>
        <w:t>P R E S E N T E</w:t>
      </w:r>
    </w:p>
    <w:p w14:paraId="7DAFA357" w14:textId="77777777" w:rsidR="00F81845" w:rsidRPr="00F81845" w:rsidRDefault="00F81845" w:rsidP="00EA2D06">
      <w:pPr>
        <w:widowControl w:val="0"/>
        <w:jc w:val="both"/>
        <w:rPr>
          <w:rFonts w:ascii="Abadi" w:hAnsi="Abadi" w:cs="Arial"/>
          <w:b/>
          <w:sz w:val="21"/>
          <w:szCs w:val="21"/>
        </w:rPr>
      </w:pPr>
    </w:p>
    <w:p w14:paraId="561A350B" w14:textId="77777777" w:rsidR="00F81845" w:rsidRPr="00F81845" w:rsidRDefault="00F81845" w:rsidP="00EA2D06">
      <w:pPr>
        <w:widowControl w:val="0"/>
        <w:ind w:firstLine="709"/>
        <w:jc w:val="both"/>
        <w:rPr>
          <w:rFonts w:ascii="Abadi" w:hAnsi="Abadi" w:cs="Arial"/>
          <w:sz w:val="21"/>
          <w:szCs w:val="21"/>
        </w:rPr>
      </w:pPr>
      <w:r w:rsidRPr="00F81845">
        <w:rPr>
          <w:rFonts w:ascii="Abadi" w:hAnsi="Abadi" w:cs="Arial"/>
          <w:sz w:val="21"/>
          <w:szCs w:val="21"/>
        </w:rPr>
        <w:t xml:space="preserve">Las diputadas y los diputados que integramos la Comisión de Gobernación y Puntos Constitucionales de la Sexagésima Quinta Legislatura, recibimos como pendiente legislativo y para efecto de estudio y dictamen las iniciativas suscritas por diputadas y diputados integrantes del Grupo Parlamentario del Partido Acción Nacional, la primera, </w:t>
      </w:r>
      <w:bookmarkStart w:id="22" w:name="_Hlk34293847"/>
      <w:bookmarkStart w:id="23" w:name="_Hlk34288443"/>
      <w:bookmarkStart w:id="24" w:name="_Hlk43305659"/>
      <w:bookmarkStart w:id="25" w:name="_Hlk24617467"/>
      <w:r w:rsidRPr="00F81845">
        <w:rPr>
          <w:rFonts w:ascii="Abadi" w:hAnsi="Abadi" w:cs="Arial"/>
          <w:sz w:val="21"/>
          <w:szCs w:val="21"/>
        </w:rPr>
        <w:t>a</w:t>
      </w:r>
      <w:r w:rsidRPr="00F81845">
        <w:rPr>
          <w:rFonts w:ascii="Abadi" w:hAnsi="Abadi"/>
          <w:b/>
          <w:sz w:val="21"/>
          <w:szCs w:val="21"/>
        </w:rPr>
        <w:t xml:space="preserve"> </w:t>
      </w:r>
      <w:r w:rsidRPr="00F81845">
        <w:rPr>
          <w:rFonts w:ascii="Abadi" w:hAnsi="Abadi" w:cs="Arial"/>
          <w:sz w:val="21"/>
          <w:szCs w:val="21"/>
        </w:rPr>
        <w:t>efecto de reformar el artículo 24 bis y adicionar una fracción VI al artículo 4, recorriéndose las subsecuentes de la Ley de Planeación para el Estado de Guanajuato; así como reformar los artículos 5 y 48; adicionar el artículo 45 bis y modificar la nomenclatura del Capítulo IV, para que se denomine “De la Perspectiva de Familia y el Fortalecimiento Familiar” de la Ley Sobre el Sistema Estatal de Asistencia Social</w:t>
      </w:r>
      <w:bookmarkEnd w:id="22"/>
      <w:bookmarkEnd w:id="23"/>
      <w:r w:rsidRPr="00F81845">
        <w:rPr>
          <w:rFonts w:ascii="Abadi" w:hAnsi="Abadi" w:cs="Arial"/>
          <w:sz w:val="21"/>
          <w:szCs w:val="21"/>
        </w:rPr>
        <w:t xml:space="preserve">, </w:t>
      </w:r>
      <w:r w:rsidRPr="00F81845">
        <w:rPr>
          <w:rFonts w:ascii="Abadi" w:hAnsi="Abadi" w:cs="Arial"/>
          <w:i/>
          <w:iCs/>
          <w:sz w:val="21"/>
          <w:szCs w:val="21"/>
        </w:rPr>
        <w:t xml:space="preserve">en la parte </w:t>
      </w:r>
      <w:bookmarkEnd w:id="24"/>
      <w:r w:rsidRPr="00F81845">
        <w:rPr>
          <w:rFonts w:ascii="Abadi" w:hAnsi="Abadi" w:cs="Arial"/>
          <w:i/>
          <w:iCs/>
          <w:sz w:val="21"/>
          <w:szCs w:val="21"/>
        </w:rPr>
        <w:t>que corresponde al primero de los ordenamientos</w:t>
      </w:r>
      <w:r w:rsidRPr="00F81845">
        <w:rPr>
          <w:rFonts w:ascii="Abadi" w:hAnsi="Abadi" w:cs="Arial"/>
          <w:sz w:val="21"/>
          <w:szCs w:val="21"/>
        </w:rPr>
        <w:t xml:space="preserve"> y, la segunda </w:t>
      </w:r>
      <w:bookmarkStart w:id="26" w:name="_Hlk107568069"/>
      <w:bookmarkEnd w:id="25"/>
      <w:r w:rsidRPr="00F81845">
        <w:rPr>
          <w:rFonts w:ascii="Abadi" w:hAnsi="Abadi" w:cs="Arial"/>
          <w:sz w:val="21"/>
          <w:szCs w:val="21"/>
        </w:rPr>
        <w:t xml:space="preserve">a efecto de reformar el artículo 24 bis de la Ley de Planeación para el Estado de Guanajuato y el artículo 38 de la Ley para la Igualdad entre Hombres y Mujeres del Estado de Guanajuato, </w:t>
      </w:r>
      <w:r w:rsidRPr="00F81845">
        <w:rPr>
          <w:rFonts w:ascii="Abadi" w:hAnsi="Abadi" w:cs="Arial"/>
          <w:i/>
          <w:iCs/>
          <w:sz w:val="21"/>
          <w:szCs w:val="21"/>
        </w:rPr>
        <w:t>en la parte correspondiente al primero de los ordenamientos</w:t>
      </w:r>
      <w:bookmarkEnd w:id="26"/>
      <w:r w:rsidRPr="00F81845">
        <w:rPr>
          <w:rFonts w:ascii="Abadi" w:hAnsi="Abadi" w:cs="Arial"/>
          <w:i/>
          <w:iCs/>
          <w:sz w:val="21"/>
          <w:szCs w:val="21"/>
        </w:rPr>
        <w:t>,</w:t>
      </w:r>
      <w:r w:rsidRPr="00F81845">
        <w:rPr>
          <w:rFonts w:ascii="Abadi" w:hAnsi="Abadi" w:cs="Arial"/>
          <w:sz w:val="21"/>
          <w:szCs w:val="21"/>
        </w:rPr>
        <w:t xml:space="preserve"> ante la Sexagésima Cuarta Legislatura y esta Legislatura, respectivamente.</w:t>
      </w:r>
    </w:p>
    <w:p w14:paraId="4671CB53" w14:textId="77777777" w:rsidR="00F81845" w:rsidRPr="00F81845" w:rsidRDefault="00F81845" w:rsidP="00EA2D06">
      <w:pPr>
        <w:widowControl w:val="0"/>
        <w:jc w:val="both"/>
        <w:rPr>
          <w:rFonts w:ascii="Abadi" w:hAnsi="Abadi" w:cs="Arial"/>
          <w:sz w:val="21"/>
          <w:szCs w:val="21"/>
        </w:rPr>
      </w:pPr>
    </w:p>
    <w:p w14:paraId="16921150" w14:textId="77777777" w:rsidR="00F81845" w:rsidRPr="00F81845" w:rsidRDefault="00F81845" w:rsidP="00EA2D06">
      <w:pPr>
        <w:widowControl w:val="0"/>
        <w:ind w:firstLine="709"/>
        <w:jc w:val="both"/>
        <w:rPr>
          <w:rFonts w:ascii="Abadi" w:hAnsi="Abadi" w:cs="Arial"/>
          <w:sz w:val="21"/>
          <w:szCs w:val="21"/>
        </w:rPr>
      </w:pPr>
      <w:r w:rsidRPr="00F81845">
        <w:rPr>
          <w:rFonts w:ascii="Abadi" w:hAnsi="Abadi" w:cs="Arial"/>
          <w:sz w:val="21"/>
          <w:szCs w:val="21"/>
        </w:rPr>
        <w:t>Con fundamento en los artículos 111, fracción II y 171 de la Ley Orgánica del Poder Legislativo, formulamos a la Asamblea el siguiente:</w:t>
      </w:r>
    </w:p>
    <w:p w14:paraId="7CAEDB96" w14:textId="77777777" w:rsidR="00F81845" w:rsidRPr="00F81845" w:rsidRDefault="00F81845" w:rsidP="00EA2D06">
      <w:pPr>
        <w:widowControl w:val="0"/>
        <w:jc w:val="both"/>
        <w:rPr>
          <w:rFonts w:ascii="Abadi" w:eastAsia="Batang" w:hAnsi="Abadi" w:cs="Arial"/>
          <w:sz w:val="21"/>
          <w:szCs w:val="21"/>
        </w:rPr>
      </w:pPr>
    </w:p>
    <w:p w14:paraId="5B2B0C2A" w14:textId="77777777" w:rsidR="00F81845" w:rsidRPr="00F81845" w:rsidRDefault="00F81845" w:rsidP="00EA2D06">
      <w:pPr>
        <w:widowControl w:val="0"/>
        <w:jc w:val="center"/>
        <w:rPr>
          <w:rFonts w:ascii="Abadi" w:eastAsia="Batang" w:hAnsi="Abadi" w:cs="Arial"/>
          <w:b/>
          <w:bCs/>
          <w:sz w:val="21"/>
          <w:szCs w:val="21"/>
        </w:rPr>
      </w:pPr>
      <w:r w:rsidRPr="00F81845">
        <w:rPr>
          <w:rFonts w:ascii="Abadi" w:eastAsia="Batang" w:hAnsi="Abadi" w:cs="Arial"/>
          <w:b/>
          <w:bCs/>
          <w:sz w:val="21"/>
          <w:szCs w:val="21"/>
        </w:rPr>
        <w:t>D I C T A M E N</w:t>
      </w:r>
    </w:p>
    <w:p w14:paraId="1D7E9F12" w14:textId="77777777" w:rsidR="00F81845" w:rsidRPr="00F81845" w:rsidRDefault="00F81845" w:rsidP="00EA2D06">
      <w:pPr>
        <w:widowControl w:val="0"/>
        <w:jc w:val="both"/>
        <w:rPr>
          <w:rFonts w:ascii="Abadi" w:eastAsia="Batang" w:hAnsi="Abadi" w:cs="Arial"/>
          <w:sz w:val="21"/>
          <w:szCs w:val="21"/>
        </w:rPr>
      </w:pPr>
    </w:p>
    <w:p w14:paraId="1DA93A07" w14:textId="77777777" w:rsidR="00F81845" w:rsidRPr="00F81845" w:rsidRDefault="00F81845" w:rsidP="00EA2D06">
      <w:pPr>
        <w:widowControl w:val="0"/>
        <w:jc w:val="both"/>
        <w:rPr>
          <w:rFonts w:ascii="Abadi" w:eastAsia="Batang" w:hAnsi="Abadi" w:cs="Arial"/>
          <w:b/>
          <w:bCs/>
          <w:sz w:val="21"/>
          <w:szCs w:val="21"/>
        </w:rPr>
      </w:pPr>
      <w:r w:rsidRPr="00F81845">
        <w:rPr>
          <w:rFonts w:ascii="Abadi" w:eastAsia="Batang" w:hAnsi="Abadi" w:cs="Arial"/>
          <w:b/>
          <w:smallCaps/>
          <w:sz w:val="21"/>
          <w:szCs w:val="21"/>
        </w:rPr>
        <w:t>I.</w:t>
      </w:r>
      <w:r w:rsidRPr="00F81845">
        <w:rPr>
          <w:rFonts w:ascii="Abadi" w:eastAsia="Batang" w:hAnsi="Abadi" w:cs="Arial"/>
          <w:b/>
          <w:smallCaps/>
          <w:sz w:val="21"/>
          <w:szCs w:val="21"/>
        </w:rPr>
        <w:tab/>
      </w:r>
      <w:r w:rsidRPr="00F81845">
        <w:rPr>
          <w:rFonts w:ascii="Abadi" w:eastAsia="Batang" w:hAnsi="Abadi" w:cs="Arial"/>
          <w:b/>
          <w:bCs/>
          <w:sz w:val="21"/>
          <w:szCs w:val="21"/>
        </w:rPr>
        <w:t>Del Proceso Legislativo</w:t>
      </w:r>
    </w:p>
    <w:p w14:paraId="0023D2C6" w14:textId="77777777" w:rsidR="00F81845" w:rsidRPr="00F81845" w:rsidRDefault="00F81845" w:rsidP="00EA2D06">
      <w:pPr>
        <w:widowControl w:val="0"/>
        <w:jc w:val="both"/>
        <w:rPr>
          <w:rFonts w:ascii="Abadi" w:eastAsia="Batang" w:hAnsi="Abadi" w:cs="Arial"/>
          <w:sz w:val="21"/>
          <w:szCs w:val="21"/>
        </w:rPr>
      </w:pPr>
    </w:p>
    <w:p w14:paraId="79599A31" w14:textId="77777777" w:rsidR="00F81845" w:rsidRPr="00F81845" w:rsidRDefault="00F81845" w:rsidP="00EA2D06">
      <w:pPr>
        <w:widowControl w:val="0"/>
        <w:jc w:val="both"/>
        <w:rPr>
          <w:rFonts w:ascii="Abadi" w:hAnsi="Abadi" w:cs="Arial"/>
          <w:sz w:val="21"/>
          <w:szCs w:val="21"/>
        </w:rPr>
      </w:pPr>
      <w:r w:rsidRPr="00F81845">
        <w:rPr>
          <w:rFonts w:ascii="Abadi" w:eastAsia="Batang" w:hAnsi="Abadi" w:cs="Arial"/>
          <w:b/>
          <w:bCs/>
          <w:sz w:val="21"/>
          <w:szCs w:val="21"/>
        </w:rPr>
        <w:t xml:space="preserve">I.1. </w:t>
      </w:r>
      <w:r w:rsidRPr="00F81845">
        <w:rPr>
          <w:rFonts w:ascii="Abadi" w:eastAsia="Batang" w:hAnsi="Abadi" w:cs="Arial"/>
          <w:sz w:val="21"/>
          <w:szCs w:val="21"/>
        </w:rPr>
        <w:t xml:space="preserve">En sesión a distancia del 5 de marzo de 2020 </w:t>
      </w:r>
      <w:r w:rsidRPr="00F81845">
        <w:rPr>
          <w:rFonts w:ascii="Abadi" w:eastAsia="Batang" w:hAnsi="Abadi" w:cs="Arial"/>
          <w:bCs/>
          <w:sz w:val="21"/>
          <w:szCs w:val="21"/>
        </w:rPr>
        <w:t xml:space="preserve">ingresó </w:t>
      </w:r>
      <w:r w:rsidRPr="00F81845">
        <w:rPr>
          <w:rFonts w:ascii="Abadi" w:hAnsi="Abadi" w:cs="Arial"/>
          <w:sz w:val="21"/>
          <w:szCs w:val="21"/>
        </w:rPr>
        <w:t>la iniciativa suscrita por diputadas y diputados integrantes del Grupo Parlamentario del Partido Acción Nacional, a</w:t>
      </w:r>
      <w:r w:rsidRPr="00F81845">
        <w:rPr>
          <w:rFonts w:ascii="Abadi" w:hAnsi="Abadi"/>
          <w:b/>
          <w:sz w:val="21"/>
          <w:szCs w:val="21"/>
        </w:rPr>
        <w:t xml:space="preserve"> </w:t>
      </w:r>
      <w:r w:rsidRPr="00F81845">
        <w:rPr>
          <w:rFonts w:ascii="Abadi" w:hAnsi="Abadi" w:cs="Arial"/>
          <w:sz w:val="21"/>
          <w:szCs w:val="21"/>
        </w:rPr>
        <w:t xml:space="preserve">efecto de reformar el artículo 24 bis y adicionar una fracción VI al artículo 4, recorriéndose las subsecuentes de la Ley de Planeación para el Estado de Guanajuato; así como reformar los artículos 5 y 48; adicionar el artículo 45 bis y modificar la nomenclatura del Capítulo IV, para que se denomine “De la Perspectiva de Familia y el Fortalecimiento Familiar” de la Ley Sobre el Sistema Estatal de Asistencia Social, </w:t>
      </w:r>
      <w:r w:rsidRPr="00F81845">
        <w:rPr>
          <w:rFonts w:ascii="Abadi" w:hAnsi="Abadi" w:cs="Arial"/>
          <w:i/>
          <w:iCs/>
          <w:sz w:val="21"/>
          <w:szCs w:val="21"/>
        </w:rPr>
        <w:t>en la parte que corresponde al primero de los ordenamientos</w:t>
      </w:r>
      <w:r w:rsidRPr="00F81845">
        <w:rPr>
          <w:rFonts w:ascii="Abadi" w:hAnsi="Abadi" w:cs="Arial"/>
          <w:sz w:val="21"/>
          <w:szCs w:val="21"/>
        </w:rPr>
        <w:t>, ante la Sexagésima Cuarta Legislatura, con el expediente 64631 turnándose en su momento por la presidencia del Congreso a la Comisión de Gobernación y Puntos Constitucionales, con fundamento en lo dispuesto por el artículo 111, fracción II de la Ley Orgánica del Poder Legislativo del Estado de Guanajuato.</w:t>
      </w:r>
    </w:p>
    <w:p w14:paraId="7D7D46B4" w14:textId="77777777" w:rsidR="00F81845" w:rsidRPr="00F81845" w:rsidRDefault="00F81845" w:rsidP="00EA2D06">
      <w:pPr>
        <w:widowControl w:val="0"/>
        <w:jc w:val="both"/>
        <w:rPr>
          <w:rFonts w:ascii="Abadi" w:eastAsia="Batang" w:hAnsi="Abadi" w:cs="Arial"/>
          <w:b/>
          <w:sz w:val="21"/>
          <w:szCs w:val="21"/>
        </w:rPr>
      </w:pPr>
    </w:p>
    <w:p w14:paraId="4A0E6E30" w14:textId="77777777" w:rsidR="00F81845" w:rsidRPr="00F81845" w:rsidRDefault="00F81845" w:rsidP="00EA2D06">
      <w:pPr>
        <w:widowControl w:val="0"/>
        <w:jc w:val="both"/>
        <w:rPr>
          <w:rFonts w:ascii="Abadi" w:eastAsia="Batang" w:hAnsi="Abadi" w:cs="Arial"/>
          <w:sz w:val="21"/>
          <w:szCs w:val="21"/>
        </w:rPr>
      </w:pPr>
      <w:r w:rsidRPr="00F81845">
        <w:rPr>
          <w:rFonts w:ascii="Abadi" w:eastAsia="Batang" w:hAnsi="Abadi" w:cs="Arial"/>
          <w:b/>
          <w:sz w:val="21"/>
          <w:szCs w:val="21"/>
        </w:rPr>
        <w:t xml:space="preserve">I.2. </w:t>
      </w:r>
      <w:r w:rsidRPr="00F81845">
        <w:rPr>
          <w:rFonts w:ascii="Abadi" w:eastAsia="Batang" w:hAnsi="Abadi" w:cs="Arial"/>
          <w:sz w:val="21"/>
          <w:szCs w:val="21"/>
        </w:rPr>
        <w:t>En reunión de la Comisión de Gobernación y Puntos Constitucionales, de fecha 11 de marzo de 2020 se radicó la iniciativa. Se acordó como metodología de estudio y dictamen lo siguiente:</w:t>
      </w:r>
    </w:p>
    <w:p w14:paraId="26A5F896" w14:textId="77777777" w:rsidR="00F81845" w:rsidRPr="00F81845" w:rsidRDefault="00F81845" w:rsidP="00EA2D06">
      <w:pPr>
        <w:widowControl w:val="0"/>
        <w:ind w:left="714"/>
        <w:jc w:val="both"/>
        <w:rPr>
          <w:rFonts w:ascii="Abadi" w:hAnsi="Abadi" w:cs="Calibri"/>
          <w:i/>
          <w:iCs/>
          <w:sz w:val="21"/>
          <w:szCs w:val="21"/>
        </w:rPr>
      </w:pPr>
    </w:p>
    <w:p w14:paraId="483E6177" w14:textId="77777777" w:rsidR="00F81845" w:rsidRPr="00F81845" w:rsidRDefault="00F81845" w:rsidP="00EA2D06">
      <w:pPr>
        <w:widowControl w:val="0"/>
        <w:numPr>
          <w:ilvl w:val="0"/>
          <w:numId w:val="48"/>
        </w:numPr>
        <w:ind w:left="714" w:hanging="357"/>
        <w:jc w:val="both"/>
        <w:rPr>
          <w:rFonts w:ascii="Abadi" w:hAnsi="Abadi" w:cs="Calibri"/>
          <w:i/>
          <w:iCs/>
          <w:sz w:val="21"/>
          <w:szCs w:val="21"/>
        </w:rPr>
      </w:pPr>
      <w:r w:rsidRPr="00F81845">
        <w:rPr>
          <w:rFonts w:ascii="Abadi" w:hAnsi="Abadi" w:cs="Calibri"/>
          <w:i/>
          <w:iCs/>
          <w:sz w:val="21"/>
          <w:szCs w:val="21"/>
        </w:rPr>
        <w:t xml:space="preserve">Se </w:t>
      </w:r>
      <w:r w:rsidRPr="00F81845">
        <w:rPr>
          <w:rFonts w:ascii="Abadi" w:hAnsi="Abadi" w:cs="Calibri"/>
          <w:bCs/>
          <w:i/>
          <w:iCs/>
          <w:sz w:val="21"/>
          <w:szCs w:val="21"/>
        </w:rPr>
        <w:t>remitirá la iniciativa vía electrónica a las diputadas y los diputados integrantes de la Sexagésima Cuarta Legislatura, a la Coordinación General Jurídica de Gobierno del Estado y al Instituto de Planeación, Estadística y Geografía del Estado de Guanajuato, a los 46 ayuntamientos, a los colegios de profesionistas e instituciones de nivel superior en el estado, quienes</w:t>
      </w:r>
      <w:r w:rsidRPr="00F81845">
        <w:rPr>
          <w:rFonts w:ascii="Abadi" w:hAnsi="Abadi" w:cs="Calibri"/>
          <w:i/>
          <w:iCs/>
          <w:sz w:val="21"/>
          <w:szCs w:val="21"/>
        </w:rPr>
        <w:t xml:space="preserve"> contarán con un término de 20 días hábiles para remitir los comentarios y observaciones que estimen pertinentes, a través de la misma vía de comunicación. </w:t>
      </w:r>
    </w:p>
    <w:p w14:paraId="1C2DFD4E" w14:textId="77777777" w:rsidR="00F81845" w:rsidRPr="00F81845" w:rsidRDefault="00F81845" w:rsidP="00EA2D06">
      <w:pPr>
        <w:ind w:left="714"/>
        <w:jc w:val="both"/>
        <w:rPr>
          <w:rFonts w:ascii="Abadi" w:hAnsi="Abadi" w:cs="Calibri"/>
          <w:i/>
          <w:iCs/>
          <w:sz w:val="21"/>
          <w:szCs w:val="21"/>
        </w:rPr>
      </w:pPr>
    </w:p>
    <w:p w14:paraId="2B5B6278" w14:textId="77777777" w:rsidR="00F81845" w:rsidRPr="00F81845" w:rsidRDefault="00F81845" w:rsidP="00EA2D06">
      <w:pPr>
        <w:numPr>
          <w:ilvl w:val="0"/>
          <w:numId w:val="48"/>
        </w:numPr>
        <w:ind w:left="714" w:hanging="357"/>
        <w:jc w:val="both"/>
        <w:rPr>
          <w:rFonts w:ascii="Abadi" w:hAnsi="Abadi" w:cs="Calibri"/>
          <w:i/>
          <w:iCs/>
          <w:sz w:val="21"/>
          <w:szCs w:val="21"/>
        </w:rPr>
      </w:pPr>
      <w:bookmarkStart w:id="27" w:name="_Hlk24102464"/>
      <w:r w:rsidRPr="00F81845">
        <w:rPr>
          <w:rFonts w:ascii="Abadi" w:hAnsi="Abadi" w:cs="Calibri"/>
          <w:i/>
          <w:iCs/>
          <w:sz w:val="21"/>
          <w:szCs w:val="21"/>
        </w:rPr>
        <w:t>Se remitirá el Instituto de Investigaciones Legislativas del Congreso a efecto de que realice un estudio – opinión sobre los alcances de la iniciativa.</w:t>
      </w:r>
    </w:p>
    <w:bookmarkEnd w:id="27"/>
    <w:p w14:paraId="6BDD53DB" w14:textId="77777777" w:rsidR="00F81845" w:rsidRPr="00F81845" w:rsidRDefault="00F81845" w:rsidP="00EA2D06">
      <w:pPr>
        <w:ind w:left="714"/>
        <w:jc w:val="both"/>
        <w:rPr>
          <w:rFonts w:ascii="Abadi" w:hAnsi="Abadi" w:cs="Calibri"/>
          <w:i/>
          <w:iCs/>
          <w:sz w:val="21"/>
          <w:szCs w:val="21"/>
        </w:rPr>
      </w:pPr>
    </w:p>
    <w:p w14:paraId="24E6F697" w14:textId="77777777" w:rsidR="00F81845" w:rsidRPr="00F81845" w:rsidRDefault="00F81845" w:rsidP="00EA2D06">
      <w:pPr>
        <w:numPr>
          <w:ilvl w:val="0"/>
          <w:numId w:val="48"/>
        </w:numPr>
        <w:ind w:left="714" w:hanging="357"/>
        <w:jc w:val="both"/>
        <w:rPr>
          <w:rFonts w:ascii="Abadi" w:hAnsi="Abadi" w:cs="Calibri"/>
          <w:i/>
          <w:iCs/>
          <w:sz w:val="21"/>
          <w:szCs w:val="21"/>
        </w:rPr>
      </w:pPr>
      <w:r w:rsidRPr="00F81845">
        <w:rPr>
          <w:rFonts w:ascii="Abadi" w:hAnsi="Abadi" w:cs="Calibri"/>
          <w:i/>
          <w:iCs/>
          <w:sz w:val="21"/>
          <w:szCs w:val="21"/>
        </w:rPr>
        <w:t>Se creará un link a la página web del Congreso del Estado, para que la iniciativa pueda ser consultada y se puedan emitir observaciones.</w:t>
      </w:r>
    </w:p>
    <w:p w14:paraId="4B8EC669" w14:textId="77777777" w:rsidR="00F81845" w:rsidRPr="00F81845" w:rsidRDefault="00F81845" w:rsidP="00EA2D06">
      <w:pPr>
        <w:ind w:left="720"/>
        <w:jc w:val="both"/>
        <w:rPr>
          <w:rFonts w:ascii="Abadi" w:hAnsi="Abadi" w:cs="Calibri"/>
          <w:i/>
          <w:iCs/>
          <w:sz w:val="21"/>
          <w:szCs w:val="21"/>
        </w:rPr>
      </w:pPr>
    </w:p>
    <w:p w14:paraId="3F5E95E4" w14:textId="77777777" w:rsidR="00F81845" w:rsidRPr="00F81845" w:rsidRDefault="00F81845" w:rsidP="00EA2D06">
      <w:pPr>
        <w:numPr>
          <w:ilvl w:val="0"/>
          <w:numId w:val="48"/>
        </w:numPr>
        <w:jc w:val="both"/>
        <w:rPr>
          <w:rFonts w:ascii="Abadi" w:hAnsi="Abadi" w:cs="Calibri"/>
          <w:i/>
          <w:iCs/>
          <w:sz w:val="21"/>
          <w:szCs w:val="21"/>
        </w:rPr>
      </w:pPr>
      <w:r w:rsidRPr="00F81845">
        <w:rPr>
          <w:rFonts w:ascii="Abadi" w:hAnsi="Abadi" w:cs="Calibri"/>
          <w:i/>
          <w:iCs/>
          <w:sz w:val="21"/>
          <w:szCs w:val="21"/>
        </w:rPr>
        <w:t xml:space="preserve">Las observaciones remitidas a la secretaría técnica serán compiladas y además se elaborará un documento con formato de comparativo que se circulará a </w:t>
      </w:r>
      <w:r w:rsidRPr="00F81845">
        <w:rPr>
          <w:rFonts w:ascii="Abadi" w:hAnsi="Abadi" w:cs="Calibri"/>
          <w:bCs/>
          <w:i/>
          <w:iCs/>
          <w:sz w:val="21"/>
          <w:szCs w:val="21"/>
        </w:rPr>
        <w:t>la Comisión</w:t>
      </w:r>
      <w:r w:rsidRPr="00F81845">
        <w:rPr>
          <w:rFonts w:ascii="Abadi" w:hAnsi="Abadi" w:cs="Calibri"/>
          <w:i/>
          <w:iCs/>
          <w:sz w:val="21"/>
          <w:szCs w:val="21"/>
        </w:rPr>
        <w:t>.</w:t>
      </w:r>
    </w:p>
    <w:p w14:paraId="2AA92D50" w14:textId="77777777" w:rsidR="00F81845" w:rsidRPr="00F81845" w:rsidRDefault="00F81845" w:rsidP="00EA2D06">
      <w:pPr>
        <w:ind w:left="714"/>
        <w:jc w:val="both"/>
        <w:rPr>
          <w:rFonts w:ascii="Abadi" w:hAnsi="Abadi" w:cs="Calibri"/>
          <w:i/>
          <w:iCs/>
          <w:sz w:val="21"/>
          <w:szCs w:val="21"/>
        </w:rPr>
      </w:pPr>
    </w:p>
    <w:p w14:paraId="373C159A" w14:textId="77777777" w:rsidR="00F81845" w:rsidRPr="00F81845" w:rsidRDefault="00F81845" w:rsidP="00EA2D06">
      <w:pPr>
        <w:numPr>
          <w:ilvl w:val="0"/>
          <w:numId w:val="48"/>
        </w:numPr>
        <w:ind w:left="714" w:hanging="357"/>
        <w:jc w:val="both"/>
        <w:rPr>
          <w:rFonts w:ascii="Abadi" w:hAnsi="Abadi" w:cs="Calibri"/>
          <w:i/>
          <w:iCs/>
          <w:sz w:val="21"/>
          <w:szCs w:val="21"/>
        </w:rPr>
      </w:pPr>
      <w:r w:rsidRPr="00F81845">
        <w:rPr>
          <w:rFonts w:ascii="Abadi" w:hAnsi="Abadi" w:cs="Calibri"/>
          <w:i/>
          <w:iCs/>
          <w:sz w:val="21"/>
          <w:szCs w:val="21"/>
        </w:rPr>
        <w:t>Se establecerá una mesa de trabajo conformada por las y los integrantes de la Comisión de Gobernación y Puntos Constitucionales, asesores que conforman la misma, en su caso un representante de las autoridades consultadas y, de los diputados y diputadas de esta Legislatura que deseen asistir, para discutir y analizar las observaciones remitidas. De igual forma, si durante el desahogo de la mesa de trabajo llegaran observaciones, estas serán tomadas en cuenta.</w:t>
      </w:r>
    </w:p>
    <w:p w14:paraId="17158FFC" w14:textId="77777777" w:rsidR="00F81845" w:rsidRPr="00F81845" w:rsidRDefault="00F81845" w:rsidP="00EA2D06">
      <w:pPr>
        <w:widowControl w:val="0"/>
        <w:ind w:left="714"/>
        <w:jc w:val="both"/>
        <w:rPr>
          <w:rFonts w:ascii="Abadi" w:hAnsi="Abadi" w:cs="Calibri"/>
          <w:i/>
          <w:iCs/>
          <w:sz w:val="21"/>
          <w:szCs w:val="21"/>
        </w:rPr>
      </w:pPr>
    </w:p>
    <w:p w14:paraId="314184A0" w14:textId="77777777" w:rsidR="00F81845" w:rsidRPr="00F81845" w:rsidRDefault="00F81845" w:rsidP="00EA2D06">
      <w:pPr>
        <w:widowControl w:val="0"/>
        <w:jc w:val="both"/>
        <w:rPr>
          <w:rFonts w:ascii="Abadi" w:hAnsi="Abadi" w:cs="Arial"/>
          <w:sz w:val="21"/>
          <w:szCs w:val="21"/>
        </w:rPr>
      </w:pPr>
    </w:p>
    <w:p w14:paraId="3989ABF1" w14:textId="77777777" w:rsidR="00F81845" w:rsidRPr="00F81845" w:rsidRDefault="00F81845" w:rsidP="00EA2D06">
      <w:pPr>
        <w:widowControl w:val="0"/>
        <w:jc w:val="both"/>
        <w:rPr>
          <w:rFonts w:ascii="Abadi" w:hAnsi="Abadi" w:cs="Arial"/>
          <w:sz w:val="21"/>
          <w:szCs w:val="21"/>
        </w:rPr>
      </w:pPr>
      <w:r w:rsidRPr="00F81845">
        <w:rPr>
          <w:rFonts w:ascii="Abadi" w:hAnsi="Abadi" w:cs="Arial"/>
          <w:sz w:val="21"/>
          <w:szCs w:val="21"/>
        </w:rPr>
        <w:t>En correspondencia a la primera consulta, remitieron comentarios el Instituto de Investigaciones Legislativas del Congreso del Estado y los ayuntamientos de León y Silao de la Victoria. Se manifestaron los ayuntamientos de Doctor Mora, Valle de Santiago, San Francisco del Rincón y Abasolo.</w:t>
      </w:r>
    </w:p>
    <w:p w14:paraId="719610C4" w14:textId="77777777" w:rsidR="00F81845" w:rsidRPr="00F81845" w:rsidRDefault="00F81845" w:rsidP="00EA2D06">
      <w:pPr>
        <w:widowControl w:val="0"/>
        <w:jc w:val="both"/>
        <w:rPr>
          <w:rFonts w:ascii="Abadi" w:hAnsi="Abadi" w:cs="Arial"/>
          <w:sz w:val="21"/>
          <w:szCs w:val="21"/>
        </w:rPr>
      </w:pPr>
    </w:p>
    <w:p w14:paraId="250E35B4" w14:textId="77777777" w:rsidR="00F81845" w:rsidRPr="00F81845" w:rsidRDefault="00F81845" w:rsidP="00EA2D06">
      <w:pPr>
        <w:widowControl w:val="0"/>
        <w:jc w:val="both"/>
        <w:rPr>
          <w:rFonts w:ascii="Abadi" w:hAnsi="Abadi" w:cs="Arial"/>
          <w:sz w:val="21"/>
          <w:szCs w:val="21"/>
        </w:rPr>
      </w:pPr>
      <w:r w:rsidRPr="00F81845">
        <w:rPr>
          <w:rFonts w:ascii="Abadi" w:hAnsi="Abadi" w:cs="Arial"/>
          <w:sz w:val="21"/>
          <w:szCs w:val="21"/>
        </w:rPr>
        <w:t>Posteriormente remitió sus comentarios consolidados el Instituto de Planeación, Estadística y Geografía del Estado de Guanajuato con la Coordinación General Jurídica de Gobierno del Estado.</w:t>
      </w:r>
    </w:p>
    <w:p w14:paraId="2D2EEFAB" w14:textId="77777777" w:rsidR="00F81845" w:rsidRPr="00F81845" w:rsidRDefault="00F81845" w:rsidP="00EA2D06">
      <w:pPr>
        <w:widowControl w:val="0"/>
        <w:jc w:val="both"/>
        <w:rPr>
          <w:rFonts w:ascii="Abadi" w:hAnsi="Abadi" w:cs="Arial"/>
          <w:sz w:val="21"/>
          <w:szCs w:val="21"/>
        </w:rPr>
      </w:pPr>
    </w:p>
    <w:p w14:paraId="7CAD2C37" w14:textId="77777777" w:rsidR="00F81845" w:rsidRPr="00F81845" w:rsidRDefault="00F81845" w:rsidP="00EA2D06">
      <w:pPr>
        <w:widowControl w:val="0"/>
        <w:jc w:val="both"/>
        <w:rPr>
          <w:rFonts w:ascii="Abadi" w:hAnsi="Abadi" w:cs="Arial"/>
          <w:sz w:val="21"/>
          <w:szCs w:val="21"/>
        </w:rPr>
      </w:pPr>
      <w:r w:rsidRPr="00F81845">
        <w:rPr>
          <w:rFonts w:ascii="Abadi" w:hAnsi="Abadi" w:cs="Arial"/>
          <w:b/>
          <w:bCs/>
          <w:sz w:val="21"/>
          <w:szCs w:val="21"/>
        </w:rPr>
        <w:t xml:space="preserve">1.3. </w:t>
      </w:r>
      <w:r w:rsidRPr="00F81845">
        <w:rPr>
          <w:rFonts w:ascii="Abadi" w:hAnsi="Abadi" w:cs="Arial"/>
          <w:sz w:val="21"/>
          <w:szCs w:val="21"/>
        </w:rPr>
        <w:t xml:space="preserve">A efecto de dar continuidad a la metodología aprobada por unanimidad por las diputadas y los diputados integrantes de la Comisión de Gobernación y Puntos Constitucionales de la Sexagésima Cuarta Legislatura, determinaron celebrar una mesa de trabajo el 1 de julio de 2020, estando presentes integrantes de la comisión legislativa, servidores públicos de la Coordinación General Jurídica, asesores de los grupos parlamentarios de los partidos Acción Nacional, Revolucionario Institucional, Morena y Verde Ecologista de México y la secretaría técnica de la comisión. </w:t>
      </w:r>
    </w:p>
    <w:p w14:paraId="1A86238F" w14:textId="77777777" w:rsidR="00F81845" w:rsidRPr="00F81845" w:rsidRDefault="00F81845" w:rsidP="00EA2D06">
      <w:pPr>
        <w:widowControl w:val="0"/>
        <w:autoSpaceDE w:val="0"/>
        <w:autoSpaceDN w:val="0"/>
        <w:adjustRightInd w:val="0"/>
        <w:ind w:firstLine="708"/>
        <w:jc w:val="both"/>
        <w:rPr>
          <w:rFonts w:ascii="Abadi" w:eastAsia="Batang" w:hAnsi="Abadi" w:cs="Arial"/>
          <w:bCs/>
          <w:color w:val="000000"/>
          <w:sz w:val="21"/>
          <w:szCs w:val="21"/>
          <w:lang w:val="es-MX" w:eastAsia="es-MX"/>
        </w:rPr>
      </w:pPr>
    </w:p>
    <w:p w14:paraId="270ED5E1" w14:textId="77777777" w:rsidR="00F81845" w:rsidRPr="00F81845" w:rsidRDefault="00F81845" w:rsidP="00EA2D06">
      <w:pPr>
        <w:widowControl w:val="0"/>
        <w:jc w:val="both"/>
        <w:rPr>
          <w:rFonts w:ascii="Abadi" w:hAnsi="Abadi" w:cs="Arial"/>
          <w:sz w:val="21"/>
          <w:szCs w:val="21"/>
        </w:rPr>
      </w:pPr>
      <w:r w:rsidRPr="00F81845">
        <w:rPr>
          <w:rFonts w:ascii="Abadi" w:eastAsia="Batang" w:hAnsi="Abadi" w:cs="Arial"/>
          <w:b/>
          <w:sz w:val="21"/>
          <w:szCs w:val="21"/>
        </w:rPr>
        <w:t>I.4.</w:t>
      </w:r>
      <w:r w:rsidRPr="00F81845">
        <w:rPr>
          <w:rFonts w:ascii="Abadi" w:eastAsia="Batang" w:hAnsi="Abadi" w:cs="Arial"/>
          <w:bCs/>
          <w:sz w:val="21"/>
          <w:szCs w:val="21"/>
        </w:rPr>
        <w:t xml:space="preserve"> </w:t>
      </w:r>
      <w:r w:rsidRPr="00F81845">
        <w:rPr>
          <w:rFonts w:ascii="Abadi" w:hAnsi="Abadi" w:cs="Arial"/>
          <w:sz w:val="21"/>
          <w:szCs w:val="21"/>
        </w:rPr>
        <w:t>En fecha 14 de septiembre de 2021, las diputadas y los diputados integrantes de la Comisión de Gobernación y Puntos Constitucionales de la Sexagésima Cuarta Legislatura, determinaron dejar esta iniciativa como pendiente legislativo para que fuera la siguiente Legislatura quien se pronunciara al respecto.</w:t>
      </w:r>
    </w:p>
    <w:p w14:paraId="7F2FE3AA" w14:textId="77777777" w:rsidR="00F81845" w:rsidRPr="00F81845" w:rsidRDefault="00F81845" w:rsidP="00EA2D06">
      <w:pPr>
        <w:widowControl w:val="0"/>
        <w:jc w:val="both"/>
        <w:rPr>
          <w:rFonts w:ascii="Abadi" w:hAnsi="Abadi" w:cs="Arial"/>
          <w:sz w:val="21"/>
          <w:szCs w:val="21"/>
        </w:rPr>
      </w:pPr>
    </w:p>
    <w:p w14:paraId="6B3DE32C" w14:textId="77777777" w:rsidR="00F81845" w:rsidRPr="00F81845" w:rsidRDefault="00F81845" w:rsidP="00EA2D06">
      <w:pPr>
        <w:widowControl w:val="0"/>
        <w:jc w:val="both"/>
        <w:rPr>
          <w:rFonts w:ascii="Abadi" w:hAnsi="Abadi" w:cs="Arial"/>
          <w:sz w:val="21"/>
          <w:szCs w:val="21"/>
        </w:rPr>
      </w:pPr>
      <w:r w:rsidRPr="00F81845">
        <w:rPr>
          <w:rFonts w:ascii="Abadi" w:hAnsi="Abadi" w:cs="Arial"/>
          <w:b/>
          <w:sz w:val="21"/>
          <w:szCs w:val="21"/>
        </w:rPr>
        <w:t xml:space="preserve">1.5. </w:t>
      </w:r>
      <w:r w:rsidRPr="00F81845">
        <w:rPr>
          <w:rFonts w:ascii="Abadi" w:hAnsi="Abadi" w:cs="Arial"/>
          <w:sz w:val="21"/>
          <w:szCs w:val="21"/>
        </w:rPr>
        <w:t>En fecha 11 de octubre de 2021, se instaló la Comisión de Gobernación y Puntos Constitucionales de la Sexagésima Quinta Legislatura, donde nos impusimos del contenido de los pendientes legislativos, y entre ellos se encuentra una de las iniciativas que se dictamina.</w:t>
      </w:r>
    </w:p>
    <w:p w14:paraId="4040F6E9" w14:textId="77777777" w:rsidR="00F81845" w:rsidRPr="00F81845" w:rsidRDefault="00F81845" w:rsidP="00EA2D06">
      <w:pPr>
        <w:widowControl w:val="0"/>
        <w:ind w:right="1246"/>
        <w:jc w:val="both"/>
        <w:rPr>
          <w:rFonts w:ascii="Abadi" w:hAnsi="Abadi" w:cs="Calibri"/>
          <w:sz w:val="21"/>
          <w:szCs w:val="21"/>
        </w:rPr>
      </w:pPr>
    </w:p>
    <w:p w14:paraId="174D2017" w14:textId="77777777" w:rsidR="00F81845" w:rsidRPr="00F81845" w:rsidRDefault="00F81845" w:rsidP="00EA2D06">
      <w:pPr>
        <w:widowControl w:val="0"/>
        <w:jc w:val="both"/>
        <w:rPr>
          <w:rFonts w:ascii="Abadi" w:hAnsi="Abadi" w:cs="Arial"/>
          <w:sz w:val="21"/>
          <w:szCs w:val="21"/>
        </w:rPr>
      </w:pPr>
      <w:r w:rsidRPr="00F81845">
        <w:rPr>
          <w:rFonts w:ascii="Abadi" w:eastAsia="Batang" w:hAnsi="Abadi" w:cs="Arial"/>
          <w:b/>
          <w:sz w:val="21"/>
          <w:szCs w:val="21"/>
        </w:rPr>
        <w:t>I.6.</w:t>
      </w:r>
      <w:r w:rsidRPr="00F81845">
        <w:rPr>
          <w:rFonts w:ascii="Abadi" w:hAnsi="Abadi" w:cs="Arial"/>
          <w:sz w:val="21"/>
          <w:szCs w:val="21"/>
        </w:rPr>
        <w:t xml:space="preserve"> Posteriormente en sesión ordinaria de fecha 17 de febrero de 2022 ingresó la iniciativa </w:t>
      </w:r>
      <w:bookmarkStart w:id="28" w:name="_Hlk107568059"/>
      <w:r w:rsidRPr="00F81845">
        <w:rPr>
          <w:rFonts w:ascii="Abadi" w:hAnsi="Abadi" w:cs="Arial"/>
          <w:sz w:val="21"/>
          <w:szCs w:val="21"/>
        </w:rPr>
        <w:t>formulada por las diputadas y los diputados integrantes del Grupo Parlamentario del Partido Acción Nacional</w:t>
      </w:r>
      <w:bookmarkEnd w:id="28"/>
      <w:r w:rsidRPr="00F81845">
        <w:rPr>
          <w:rFonts w:ascii="Abadi" w:hAnsi="Abadi" w:cs="Arial"/>
          <w:sz w:val="21"/>
          <w:szCs w:val="21"/>
        </w:rPr>
        <w:t xml:space="preserve"> a</w:t>
      </w:r>
      <w:r w:rsidRPr="00F81845">
        <w:rPr>
          <w:rFonts w:ascii="Abadi" w:hAnsi="Abadi"/>
          <w:b/>
          <w:bCs/>
          <w:sz w:val="21"/>
          <w:szCs w:val="21"/>
        </w:rPr>
        <w:t xml:space="preserve"> </w:t>
      </w:r>
      <w:r w:rsidRPr="00F81845">
        <w:rPr>
          <w:rFonts w:ascii="Abadi" w:hAnsi="Abadi" w:cs="Arial"/>
          <w:sz w:val="21"/>
          <w:szCs w:val="21"/>
        </w:rPr>
        <w:t xml:space="preserve">efecto de reformar el artículo 24 bis de la Ley de Planeación para el Estado de Guanajuato y el artículo 38 de la Ley para la Igualdad entre Hombres y Mujeres del Estado de Guanajuato, </w:t>
      </w:r>
      <w:r w:rsidRPr="00F81845">
        <w:rPr>
          <w:rFonts w:ascii="Abadi" w:hAnsi="Abadi" w:cs="Arial"/>
          <w:i/>
          <w:iCs/>
          <w:sz w:val="21"/>
          <w:szCs w:val="21"/>
        </w:rPr>
        <w:t>en la parte correspondiente al primero de los ordenamientos.</w:t>
      </w:r>
      <w:r w:rsidRPr="00F81845">
        <w:rPr>
          <w:rFonts w:ascii="Abadi" w:hAnsi="Abadi" w:cs="Arial"/>
          <w:sz w:val="21"/>
          <w:szCs w:val="21"/>
        </w:rPr>
        <w:t xml:space="preserve"> Con el Expediente 147A/LXV-I, turnándose por la presidencia del Congreso a la Comisión de Gobernación y Puntos Constitucionales, con fundamento en lo dispuesto por el artículo 111, fracción II de la Ley Orgánica del Poder Legislativo del Estado de Guanajuato.</w:t>
      </w:r>
    </w:p>
    <w:p w14:paraId="04D4C4DC" w14:textId="77777777" w:rsidR="00F81845" w:rsidRPr="00F81845" w:rsidRDefault="00F81845" w:rsidP="00EA2D06">
      <w:pPr>
        <w:widowControl w:val="0"/>
        <w:jc w:val="both"/>
        <w:rPr>
          <w:rFonts w:ascii="Abadi" w:hAnsi="Abadi" w:cs="Arial"/>
          <w:sz w:val="21"/>
          <w:szCs w:val="21"/>
        </w:rPr>
      </w:pPr>
    </w:p>
    <w:p w14:paraId="7190EFBB" w14:textId="77777777" w:rsidR="00F81845" w:rsidRPr="00F81845" w:rsidRDefault="00F81845" w:rsidP="00EA2D06">
      <w:pPr>
        <w:widowControl w:val="0"/>
        <w:jc w:val="both"/>
        <w:rPr>
          <w:rFonts w:ascii="Abadi" w:hAnsi="Abadi" w:cs="Arial"/>
          <w:sz w:val="21"/>
          <w:szCs w:val="21"/>
        </w:rPr>
      </w:pPr>
      <w:r w:rsidRPr="00F81845">
        <w:rPr>
          <w:rFonts w:ascii="Abadi" w:hAnsi="Abadi" w:cs="Arial"/>
          <w:sz w:val="21"/>
          <w:szCs w:val="21"/>
        </w:rPr>
        <w:t>En reunión de la Comisión de fecha 21 de febrero de 2022, se radicó la iniciativa y se aprobó la metodología de estudio y dictamen en los siguientes términos:</w:t>
      </w:r>
    </w:p>
    <w:p w14:paraId="6049C188" w14:textId="77777777" w:rsidR="00F81845" w:rsidRPr="00F81845" w:rsidRDefault="00F81845" w:rsidP="00EA2D06">
      <w:pPr>
        <w:widowControl w:val="0"/>
        <w:jc w:val="both"/>
        <w:rPr>
          <w:rFonts w:ascii="Abadi" w:hAnsi="Abadi" w:cs="Arial"/>
          <w:sz w:val="21"/>
          <w:szCs w:val="21"/>
        </w:rPr>
      </w:pPr>
    </w:p>
    <w:p w14:paraId="08926E21" w14:textId="77777777" w:rsidR="00F81845" w:rsidRPr="00F81845" w:rsidRDefault="00F81845" w:rsidP="00EA2D06">
      <w:pPr>
        <w:numPr>
          <w:ilvl w:val="0"/>
          <w:numId w:val="47"/>
        </w:numPr>
        <w:spacing w:after="200"/>
        <w:ind w:left="709" w:hanging="425"/>
        <w:jc w:val="both"/>
        <w:rPr>
          <w:rFonts w:ascii="Abadi" w:hAnsi="Abadi" w:cs="Arial"/>
          <w:i/>
          <w:iCs/>
          <w:sz w:val="21"/>
          <w:szCs w:val="21"/>
          <w:lang w:val="es-MX"/>
        </w:rPr>
      </w:pPr>
      <w:r w:rsidRPr="00F81845">
        <w:rPr>
          <w:rFonts w:ascii="Abadi" w:hAnsi="Abadi" w:cs="Arial"/>
          <w:i/>
          <w:iCs/>
          <w:sz w:val="21"/>
          <w:szCs w:val="21"/>
          <w:lang w:val="es-MX"/>
        </w:rPr>
        <w:t>Remitir vía electrónica para opinión a los 36 diputados y diputadas que integran la Sexagésima Quinta Legislatura, a la Coordinación General Jurídica, al Instituto de Planeación, Estadística y Geografía del Estado de Guanajuato y los 46 ayuntamientos quienes contarán con un término de 20 días hábiles, para remitir los comentarios y observaciones que estimen pertinentes.</w:t>
      </w:r>
    </w:p>
    <w:p w14:paraId="749794CB" w14:textId="77777777" w:rsidR="00F81845" w:rsidRPr="00F81845" w:rsidRDefault="00F81845" w:rsidP="00EA2D06">
      <w:pPr>
        <w:numPr>
          <w:ilvl w:val="0"/>
          <w:numId w:val="47"/>
        </w:numPr>
        <w:spacing w:after="200"/>
        <w:ind w:hanging="436"/>
        <w:jc w:val="both"/>
        <w:rPr>
          <w:rFonts w:ascii="Abadi" w:hAnsi="Abadi" w:cs="Arial"/>
          <w:i/>
          <w:iCs/>
          <w:sz w:val="21"/>
          <w:szCs w:val="21"/>
          <w:lang w:val="es-MX"/>
        </w:rPr>
      </w:pPr>
      <w:r w:rsidRPr="00F81845">
        <w:rPr>
          <w:rFonts w:ascii="Abadi" w:hAnsi="Abadi" w:cs="Arial"/>
          <w:i/>
          <w:iCs/>
          <w:sz w:val="21"/>
          <w:szCs w:val="21"/>
          <w:lang w:val="es-MX"/>
        </w:rPr>
        <w:t>Se habilitará un vínculo (link) en la página web del Congreso del Estado, a efecto de que se consulte la iniciativa y se puedan recibir observaciones a la misma.</w:t>
      </w:r>
    </w:p>
    <w:p w14:paraId="76342169" w14:textId="77777777" w:rsidR="00F81845" w:rsidRPr="00F81845" w:rsidRDefault="00F81845" w:rsidP="00EA2D06">
      <w:pPr>
        <w:numPr>
          <w:ilvl w:val="0"/>
          <w:numId w:val="47"/>
        </w:numPr>
        <w:spacing w:after="200"/>
        <w:ind w:hanging="436"/>
        <w:contextualSpacing/>
        <w:jc w:val="both"/>
        <w:rPr>
          <w:rFonts w:ascii="Abadi" w:eastAsia="Calibri" w:hAnsi="Abadi" w:cs="Arial"/>
          <w:i/>
          <w:iCs/>
          <w:sz w:val="21"/>
          <w:szCs w:val="21"/>
          <w:lang w:val="es-MX" w:eastAsia="en-US"/>
        </w:rPr>
      </w:pPr>
      <w:r w:rsidRPr="00F81845">
        <w:rPr>
          <w:rFonts w:ascii="Abadi" w:eastAsia="Calibri" w:hAnsi="Abadi" w:cs="Arial"/>
          <w:i/>
          <w:iCs/>
          <w:sz w:val="21"/>
          <w:szCs w:val="21"/>
          <w:lang w:val="es-MX" w:eastAsia="en-US"/>
        </w:rPr>
        <w:t>Se integrará un documento que consolidará todas las propuestas emitidas en las consultas por escrito o vía electrónica que se hayan remitido previamente a la Comisión para el análisis de la iniciativa. Dicho documento será con formato de comparativo.</w:t>
      </w:r>
    </w:p>
    <w:p w14:paraId="48F2A81D" w14:textId="77777777" w:rsidR="00F81845" w:rsidRPr="00F81845" w:rsidRDefault="00F81845" w:rsidP="00EA2D06">
      <w:pPr>
        <w:spacing w:after="200"/>
        <w:ind w:left="720" w:hanging="436"/>
        <w:contextualSpacing/>
        <w:jc w:val="both"/>
        <w:rPr>
          <w:rFonts w:ascii="Abadi" w:eastAsia="Calibri" w:hAnsi="Abadi" w:cs="Arial"/>
          <w:i/>
          <w:iCs/>
          <w:sz w:val="21"/>
          <w:szCs w:val="21"/>
          <w:lang w:val="es-MX" w:eastAsia="en-US"/>
        </w:rPr>
      </w:pPr>
    </w:p>
    <w:p w14:paraId="20283AD3" w14:textId="77777777" w:rsidR="00F81845" w:rsidRPr="00F81845" w:rsidRDefault="00F81845" w:rsidP="00EA2D06">
      <w:pPr>
        <w:numPr>
          <w:ilvl w:val="0"/>
          <w:numId w:val="47"/>
        </w:numPr>
        <w:spacing w:after="200"/>
        <w:ind w:hanging="436"/>
        <w:contextualSpacing/>
        <w:jc w:val="both"/>
        <w:rPr>
          <w:rFonts w:ascii="Abadi" w:eastAsia="Calibri" w:hAnsi="Abadi" w:cs="Arial"/>
          <w:i/>
          <w:iCs/>
          <w:sz w:val="21"/>
          <w:szCs w:val="21"/>
          <w:lang w:val="es-MX" w:eastAsia="en-US"/>
        </w:rPr>
      </w:pPr>
      <w:r w:rsidRPr="00F81845">
        <w:rPr>
          <w:rFonts w:ascii="Abadi" w:eastAsia="Calibri" w:hAnsi="Abadi" w:cs="Arial"/>
          <w:i/>
          <w:iCs/>
          <w:sz w:val="21"/>
          <w:szCs w:val="21"/>
          <w:lang w:val="es-MX" w:eastAsia="en-US"/>
        </w:rPr>
        <w:t>Se celebrará una mesa de trabajo para analizar las observaciones remitidas, a través del documento comparativo.</w:t>
      </w:r>
    </w:p>
    <w:p w14:paraId="426585C5" w14:textId="77777777" w:rsidR="00F81845" w:rsidRPr="00F81845" w:rsidRDefault="00F81845" w:rsidP="00EA2D06">
      <w:pPr>
        <w:spacing w:after="200"/>
        <w:ind w:left="720" w:hanging="436"/>
        <w:contextualSpacing/>
        <w:rPr>
          <w:rFonts w:ascii="Abadi" w:eastAsia="Calibri" w:hAnsi="Abadi" w:cs="Arial"/>
          <w:i/>
          <w:iCs/>
          <w:sz w:val="21"/>
          <w:szCs w:val="21"/>
          <w:lang w:val="es-MX" w:eastAsia="en-US"/>
        </w:rPr>
      </w:pPr>
    </w:p>
    <w:p w14:paraId="4BC9BD98" w14:textId="77777777" w:rsidR="00F81845" w:rsidRPr="00F81845" w:rsidRDefault="00F81845" w:rsidP="00EA2D06">
      <w:pPr>
        <w:numPr>
          <w:ilvl w:val="0"/>
          <w:numId w:val="47"/>
        </w:numPr>
        <w:spacing w:after="200"/>
        <w:ind w:hanging="436"/>
        <w:contextualSpacing/>
        <w:jc w:val="both"/>
        <w:rPr>
          <w:rFonts w:ascii="Abadi" w:eastAsia="Calibri" w:hAnsi="Abadi" w:cs="Arial"/>
          <w:i/>
          <w:iCs/>
          <w:sz w:val="21"/>
          <w:szCs w:val="21"/>
          <w:lang w:val="es-MX" w:eastAsia="en-US"/>
        </w:rPr>
      </w:pPr>
      <w:r w:rsidRPr="00F81845">
        <w:rPr>
          <w:rFonts w:ascii="Abadi" w:eastAsia="Calibri" w:hAnsi="Abadi" w:cs="Arial"/>
          <w:i/>
          <w:iCs/>
          <w:sz w:val="21"/>
          <w:szCs w:val="21"/>
          <w:lang w:val="es-MX" w:eastAsia="en-US"/>
        </w:rPr>
        <w:t>Una vez lo cual, se presentará un proyecto de dictamen para que sea analizado en reunión de la Comisión.</w:t>
      </w:r>
    </w:p>
    <w:p w14:paraId="157B40B2" w14:textId="77777777" w:rsidR="00F81845" w:rsidRPr="00F81845" w:rsidRDefault="00F81845" w:rsidP="00EA2D06">
      <w:pPr>
        <w:widowControl w:val="0"/>
        <w:jc w:val="both"/>
        <w:rPr>
          <w:rFonts w:ascii="Abadi" w:hAnsi="Abadi" w:cs="Arial"/>
          <w:sz w:val="21"/>
          <w:szCs w:val="21"/>
        </w:rPr>
      </w:pPr>
      <w:r w:rsidRPr="00F81845">
        <w:rPr>
          <w:rFonts w:ascii="Abadi" w:hAnsi="Abadi" w:cs="Arial"/>
          <w:sz w:val="21"/>
          <w:szCs w:val="21"/>
        </w:rPr>
        <w:t>Remitieron comentarios los ayuntamientos de Celaya, Coroneo, Doctor Mora, y León.</w:t>
      </w:r>
    </w:p>
    <w:p w14:paraId="346DA34A" w14:textId="77777777" w:rsidR="00F81845" w:rsidRPr="00F81845" w:rsidRDefault="00F81845" w:rsidP="00EA2D06">
      <w:pPr>
        <w:widowControl w:val="0"/>
        <w:jc w:val="both"/>
        <w:rPr>
          <w:rFonts w:ascii="Abadi" w:hAnsi="Abadi" w:cs="Arial"/>
          <w:sz w:val="21"/>
          <w:szCs w:val="21"/>
        </w:rPr>
      </w:pPr>
    </w:p>
    <w:p w14:paraId="6D1E1151" w14:textId="77777777" w:rsidR="00F81845" w:rsidRPr="00F81845" w:rsidRDefault="00F81845" w:rsidP="00EA2D06">
      <w:pPr>
        <w:widowControl w:val="0"/>
        <w:jc w:val="both"/>
        <w:rPr>
          <w:rFonts w:ascii="Abadi" w:hAnsi="Abadi" w:cs="Arial"/>
          <w:sz w:val="21"/>
          <w:szCs w:val="21"/>
        </w:rPr>
      </w:pPr>
      <w:r w:rsidRPr="00F81845">
        <w:rPr>
          <w:rFonts w:ascii="Abadi" w:hAnsi="Abadi" w:cs="Arial"/>
          <w:sz w:val="21"/>
          <w:szCs w:val="21"/>
        </w:rPr>
        <w:t>Posterior a ello, remitió sus comentarios consolidados la Coordinación General Jurídica de Gobierno del Estado con el Instituto de Planeación, Estadística y Geografía del Estado de Guanajuato.</w:t>
      </w:r>
    </w:p>
    <w:p w14:paraId="358B3C8C" w14:textId="77777777" w:rsidR="00F81845" w:rsidRPr="00F81845" w:rsidRDefault="00F81845" w:rsidP="00EA2D06">
      <w:pPr>
        <w:widowControl w:val="0"/>
        <w:jc w:val="both"/>
        <w:rPr>
          <w:rFonts w:ascii="Abadi" w:hAnsi="Abadi" w:cs="Arial"/>
          <w:sz w:val="21"/>
          <w:szCs w:val="21"/>
        </w:rPr>
      </w:pPr>
      <w:r w:rsidRPr="00F81845">
        <w:rPr>
          <w:rFonts w:ascii="Abadi" w:hAnsi="Abadi" w:cs="Arial"/>
          <w:sz w:val="21"/>
          <w:szCs w:val="21"/>
        </w:rPr>
        <w:t xml:space="preserve"> </w:t>
      </w:r>
    </w:p>
    <w:p w14:paraId="399EA4E5" w14:textId="77777777" w:rsidR="00F81845" w:rsidRPr="00F81845" w:rsidRDefault="00F81845" w:rsidP="00EA2D06">
      <w:pPr>
        <w:widowControl w:val="0"/>
        <w:jc w:val="both"/>
        <w:rPr>
          <w:rFonts w:ascii="Abadi" w:hAnsi="Abadi" w:cs="Arial"/>
          <w:sz w:val="21"/>
          <w:szCs w:val="21"/>
        </w:rPr>
      </w:pPr>
      <w:r w:rsidRPr="00F81845">
        <w:rPr>
          <w:rFonts w:ascii="Abadi" w:hAnsi="Abadi" w:cs="Arial"/>
          <w:b/>
          <w:bCs/>
          <w:sz w:val="21"/>
          <w:szCs w:val="21"/>
        </w:rPr>
        <w:t xml:space="preserve">I.7. </w:t>
      </w:r>
      <w:r w:rsidRPr="00F81845">
        <w:rPr>
          <w:rFonts w:ascii="Abadi" w:hAnsi="Abadi" w:cs="Arial"/>
          <w:sz w:val="21"/>
          <w:szCs w:val="21"/>
        </w:rPr>
        <w:t>Se celebró una mesa de trabajo en modalidad híbrida con respecto a los alcances de la segunda iniciativa en fecha 31 de agosto 2022, estando presentes las diputadas Susana Bermúdez Cano, Yulma Rocha Aguilar y los diputados Rolando Fortino Alcántar Rojas y Gerardo Fernández González integrantes de la Comisión de Gobernación y Puntos Constitucionales, así como servidores públicos de la Coordinación General Jurídica de Gobierno del Estado y del Instituto de Planeación, Estadística y Geografía del Estado de Guanajuato; las y los asesores de los grupos parlamentario de los partidos Acción Nacional, MORENA, Revolucionario Institucional y Verde Ecologista de México, así como la secretaría técnica de la comisión legislativa.</w:t>
      </w:r>
    </w:p>
    <w:p w14:paraId="1628BD76" w14:textId="77777777" w:rsidR="00F81845" w:rsidRPr="00F81845" w:rsidRDefault="00F81845" w:rsidP="00EA2D06">
      <w:pPr>
        <w:widowControl w:val="0"/>
        <w:jc w:val="both"/>
        <w:rPr>
          <w:rFonts w:ascii="Abadi" w:eastAsia="Batang" w:hAnsi="Abadi" w:cs="Arial"/>
          <w:b/>
          <w:bCs/>
          <w:sz w:val="21"/>
          <w:szCs w:val="21"/>
          <w:lang w:val="es-MX"/>
        </w:rPr>
      </w:pPr>
    </w:p>
    <w:p w14:paraId="33F90A4C" w14:textId="77777777" w:rsidR="00F81845" w:rsidRPr="00F81845" w:rsidRDefault="00F81845" w:rsidP="00EA2D06">
      <w:pPr>
        <w:widowControl w:val="0"/>
        <w:jc w:val="both"/>
        <w:rPr>
          <w:rFonts w:ascii="Abadi" w:eastAsia="Batang" w:hAnsi="Abadi" w:cs="Arial"/>
          <w:sz w:val="21"/>
          <w:szCs w:val="21"/>
          <w:lang w:val="es-MX"/>
        </w:rPr>
      </w:pPr>
      <w:r w:rsidRPr="00F81845">
        <w:rPr>
          <w:rFonts w:ascii="Abadi" w:eastAsia="Batang" w:hAnsi="Abadi" w:cs="Arial"/>
          <w:b/>
          <w:bCs/>
          <w:sz w:val="21"/>
          <w:szCs w:val="21"/>
          <w:lang w:val="es-MX"/>
        </w:rPr>
        <w:t>I.8.</w:t>
      </w:r>
      <w:r w:rsidRPr="00F81845">
        <w:rPr>
          <w:rFonts w:ascii="Abadi" w:eastAsia="Batang" w:hAnsi="Abadi" w:cs="Arial"/>
          <w:sz w:val="21"/>
          <w:szCs w:val="21"/>
          <w:lang w:val="es-MX"/>
        </w:rPr>
        <w:t xml:space="preserve"> Finalmente, la presidencia de la Comisión de Gobernación y Puntos Constitucionales instruyó a la secretaría técnica para que elaborara el proyecto de dictamen en sentido positivo de ambas iniciativas atendiendo a lo vertido en las respectivas mesas de trabajo y con fundamento en lo dispuesto en los artículos 94, fracción VII y 272, fracción VIII inciso e de la Ley Orgánica del Poder Legislativo del Estado de Guanajuato, mismo que fue materia de revisión por las diputadas y los diputados integrantes de esta comisión dictaminadora.</w:t>
      </w:r>
    </w:p>
    <w:p w14:paraId="740CC273" w14:textId="77777777" w:rsidR="00F81845" w:rsidRPr="00F81845" w:rsidRDefault="00F81845" w:rsidP="00EA2D06">
      <w:pPr>
        <w:widowControl w:val="0"/>
        <w:jc w:val="both"/>
        <w:rPr>
          <w:rFonts w:ascii="Abadi" w:eastAsia="Batang" w:hAnsi="Abadi" w:cs="Arial"/>
          <w:b/>
          <w:sz w:val="21"/>
          <w:szCs w:val="21"/>
        </w:rPr>
      </w:pPr>
    </w:p>
    <w:p w14:paraId="288CA280" w14:textId="77777777" w:rsidR="00F81845" w:rsidRPr="00F81845" w:rsidRDefault="00F81845" w:rsidP="00EA2D06">
      <w:pPr>
        <w:widowControl w:val="0"/>
        <w:jc w:val="both"/>
        <w:rPr>
          <w:rFonts w:ascii="Abadi" w:eastAsia="Batang" w:hAnsi="Abadi" w:cs="Arial"/>
          <w:b/>
          <w:sz w:val="21"/>
          <w:szCs w:val="21"/>
        </w:rPr>
      </w:pPr>
    </w:p>
    <w:p w14:paraId="3642D18E" w14:textId="77777777" w:rsidR="00F81845" w:rsidRPr="00F81845" w:rsidRDefault="00F81845" w:rsidP="00EA2D06">
      <w:pPr>
        <w:widowControl w:val="0"/>
        <w:jc w:val="both"/>
        <w:rPr>
          <w:rFonts w:ascii="Abadi" w:eastAsia="Batang" w:hAnsi="Abadi" w:cs="Arial"/>
          <w:b/>
          <w:sz w:val="21"/>
          <w:szCs w:val="21"/>
        </w:rPr>
      </w:pPr>
      <w:r w:rsidRPr="00F81845">
        <w:rPr>
          <w:rFonts w:ascii="Abadi" w:eastAsia="Batang" w:hAnsi="Abadi" w:cs="Arial"/>
          <w:b/>
          <w:sz w:val="21"/>
          <w:szCs w:val="21"/>
        </w:rPr>
        <w:t>II.</w:t>
      </w:r>
      <w:r w:rsidRPr="00F81845">
        <w:rPr>
          <w:rFonts w:ascii="Abadi" w:eastAsia="Batang" w:hAnsi="Abadi" w:cs="Arial"/>
          <w:b/>
          <w:sz w:val="21"/>
          <w:szCs w:val="21"/>
        </w:rPr>
        <w:tab/>
        <w:t>Valoración de las iniciativas y consideraciones de la Comisión de Gobernación y Puntos Constitucionales.</w:t>
      </w:r>
    </w:p>
    <w:p w14:paraId="3C6E123F" w14:textId="77777777" w:rsidR="00F81845" w:rsidRPr="00F81845" w:rsidRDefault="00F81845" w:rsidP="00EA2D06">
      <w:pPr>
        <w:widowControl w:val="0"/>
        <w:jc w:val="both"/>
        <w:rPr>
          <w:rFonts w:ascii="Abadi" w:eastAsia="Batang" w:hAnsi="Abadi" w:cs="Arial"/>
          <w:b/>
          <w:sz w:val="21"/>
          <w:szCs w:val="21"/>
        </w:rPr>
      </w:pPr>
    </w:p>
    <w:p w14:paraId="65BED6AC" w14:textId="77777777" w:rsidR="00F81845" w:rsidRPr="00F81845" w:rsidRDefault="00F81845" w:rsidP="00EA2D06">
      <w:pPr>
        <w:widowControl w:val="0"/>
        <w:ind w:firstLine="708"/>
        <w:jc w:val="both"/>
        <w:rPr>
          <w:rFonts w:ascii="Abadi" w:eastAsia="Batang" w:hAnsi="Abadi" w:cs="Arial"/>
          <w:sz w:val="21"/>
          <w:szCs w:val="21"/>
          <w:lang w:val="es-MX"/>
        </w:rPr>
      </w:pPr>
      <w:r w:rsidRPr="00F81845">
        <w:rPr>
          <w:rFonts w:ascii="Abadi" w:eastAsia="Batang" w:hAnsi="Abadi" w:cs="Arial"/>
          <w:sz w:val="21"/>
          <w:szCs w:val="21"/>
          <w:lang w:val="es-MX"/>
        </w:rPr>
        <w:t>Las diputadas y los diputados que integramos la comisión dictaminadora, consideramos importante referenciar los puntos sobre los cuales versa el sustento de estas propuestas que tienen como finalidad entre otras, la inclusión de la perspectiva de familia y de género en la Ley de Planeación para el Estado de Guanajuato.</w:t>
      </w:r>
    </w:p>
    <w:p w14:paraId="653E71E1" w14:textId="77777777" w:rsidR="00F81845" w:rsidRPr="00F81845" w:rsidRDefault="00F81845" w:rsidP="00EA2D06">
      <w:pPr>
        <w:widowControl w:val="0"/>
        <w:jc w:val="both"/>
        <w:rPr>
          <w:rFonts w:ascii="Abadi" w:eastAsia="Batang" w:hAnsi="Abadi" w:cs="Arial"/>
          <w:sz w:val="21"/>
          <w:szCs w:val="21"/>
          <w:lang w:val="es-MX"/>
        </w:rPr>
      </w:pPr>
    </w:p>
    <w:p w14:paraId="27A3A612" w14:textId="77777777" w:rsidR="00F81845" w:rsidRPr="00F81845" w:rsidRDefault="00F81845" w:rsidP="00EA2D06">
      <w:pPr>
        <w:widowControl w:val="0"/>
        <w:ind w:firstLine="708"/>
        <w:jc w:val="both"/>
        <w:rPr>
          <w:rFonts w:ascii="Abadi" w:eastAsia="Batang" w:hAnsi="Abadi" w:cs="Arial"/>
          <w:sz w:val="21"/>
          <w:szCs w:val="21"/>
          <w:lang w:val="es-MX"/>
        </w:rPr>
      </w:pPr>
      <w:r w:rsidRPr="00F81845">
        <w:rPr>
          <w:rFonts w:ascii="Abadi" w:eastAsia="Batang" w:hAnsi="Abadi" w:cs="Arial"/>
          <w:sz w:val="21"/>
          <w:szCs w:val="21"/>
          <w:lang w:val="es-MX"/>
        </w:rPr>
        <w:t xml:space="preserve">Las y los iniciantes </w:t>
      </w:r>
      <w:r w:rsidRPr="00F81845">
        <w:rPr>
          <w:rFonts w:ascii="Abadi" w:eastAsia="Batang" w:hAnsi="Abadi" w:cs="Arial"/>
          <w:i/>
          <w:iCs/>
          <w:sz w:val="21"/>
          <w:szCs w:val="21"/>
          <w:lang w:val="es-MX"/>
        </w:rPr>
        <w:t xml:space="preserve">de la primera propuesta </w:t>
      </w:r>
      <w:r w:rsidRPr="00F81845">
        <w:rPr>
          <w:rFonts w:ascii="Abadi" w:eastAsia="Batang" w:hAnsi="Abadi" w:cs="Arial"/>
          <w:sz w:val="21"/>
          <w:szCs w:val="21"/>
          <w:lang w:val="es-MX"/>
        </w:rPr>
        <w:t>plasmaron en su exposición de motivos lo siguiente:</w:t>
      </w:r>
    </w:p>
    <w:p w14:paraId="4C26D881" w14:textId="77777777" w:rsidR="00F81845" w:rsidRPr="00F81845" w:rsidRDefault="00F81845" w:rsidP="00EA2D06">
      <w:pPr>
        <w:widowControl w:val="0"/>
        <w:jc w:val="both"/>
        <w:rPr>
          <w:rFonts w:ascii="Abadi" w:eastAsia="Batang" w:hAnsi="Abadi" w:cs="Arial"/>
          <w:sz w:val="21"/>
          <w:szCs w:val="21"/>
          <w:lang w:val="es-MX"/>
        </w:rPr>
      </w:pPr>
    </w:p>
    <w:p w14:paraId="094CB026" w14:textId="77777777" w:rsidR="00F81845" w:rsidRPr="00F81845" w:rsidRDefault="00F81845" w:rsidP="00EA2D06">
      <w:pPr>
        <w:widowControl w:val="0"/>
        <w:ind w:left="709" w:right="1246"/>
        <w:jc w:val="both"/>
        <w:rPr>
          <w:rFonts w:ascii="Abadi" w:hAnsi="Abadi"/>
          <w:i/>
          <w:sz w:val="21"/>
          <w:szCs w:val="21"/>
        </w:rPr>
      </w:pPr>
      <w:r w:rsidRPr="00F81845">
        <w:rPr>
          <w:rFonts w:ascii="Abadi" w:hAnsi="Abadi"/>
          <w:i/>
          <w:sz w:val="21"/>
          <w:szCs w:val="21"/>
        </w:rPr>
        <w:t>«(…) La familia como espacio primordial de la convivencia humana y elemento básico de la sociedad, es una realidad que compartimos todas las personas, ya que de una u otra forma, estamos vinculados a un entorno de familia, cuya realidad, problemas, desafíos y fortalezas tienen un impacto muy significativo en los del resto de las instituciones sociales. En México y en todo el mundo, el marco jurídico ha reflejado la importancia de la familia, reconociéndole sus funciones y los derechos que los miembros de las familias ejercen con base en su rol dentro de ellas, a los que se suma la ayuda solidaria y subsidiaria de parte de la sociedad y el Estado, para garantizar el ejercicio de los derechos a la vida, integridad, salud, alimentación, vivienda, educación y, en general, del bienestar de los integrantes de cada familia.</w:t>
      </w:r>
    </w:p>
    <w:p w14:paraId="5E0E48C4" w14:textId="77777777" w:rsidR="00F81845" w:rsidRPr="00F81845" w:rsidRDefault="00F81845" w:rsidP="00EA2D06">
      <w:pPr>
        <w:widowControl w:val="0"/>
        <w:ind w:left="709" w:right="1246"/>
        <w:jc w:val="both"/>
        <w:rPr>
          <w:rFonts w:ascii="Abadi" w:hAnsi="Abadi"/>
          <w:i/>
          <w:sz w:val="21"/>
          <w:szCs w:val="21"/>
          <w:highlight w:val="yellow"/>
        </w:rPr>
      </w:pPr>
    </w:p>
    <w:p w14:paraId="650A726C" w14:textId="77777777" w:rsidR="00F81845" w:rsidRPr="00F81845" w:rsidRDefault="00F81845" w:rsidP="00EA2D06">
      <w:pPr>
        <w:widowControl w:val="0"/>
        <w:ind w:left="709" w:right="1246"/>
        <w:jc w:val="both"/>
        <w:rPr>
          <w:rFonts w:ascii="Abadi" w:hAnsi="Abadi"/>
          <w:i/>
          <w:sz w:val="21"/>
          <w:szCs w:val="21"/>
        </w:rPr>
      </w:pPr>
      <w:r w:rsidRPr="00F81845">
        <w:rPr>
          <w:rFonts w:ascii="Abadi" w:hAnsi="Abadi"/>
          <w:i/>
          <w:sz w:val="21"/>
          <w:szCs w:val="21"/>
        </w:rPr>
        <w:t>Dicho planteamiento aparece reconocido en el artículo 16 de la Declaración Universal de los Derechos Humanos, que establece a la familia como el elemento natural y fundamental de la sociedad, con derecho a la protección de la sociedad y del Estado. Además, esta misma declaración, en sus artículos 25 y 26 reafirma el derecho de las personas y sus familias a la salud y el bienestar, así como el derecho preferente de los padres a escoger el tipo de educación que habrá de darse a sus hijos.  Este compromiso de los estados modernos se refrenda con diversos matices en la Convención Americana de Derechos Humanos, el Pacto Internacional de Derechos Civiles y Políticos y el Pacto Internacional de Derechos Económicos Sociales y Culturales, así como el Preámbulo de la Convención Internacional sobre los Derechos del Niño. Del mismo modo, los artículos tercero, cuarto y vigésimo noveno de Constitución Política de los Estados Unidos Mexicanos se refieren de manera directa al papel de que debe jugar la ley y la acción del Estado para proteger la integridad, la organización y el desarrollo de la familia, un compromiso que los guanajuatenses reafirmamos en el párrafo décimo del primer artículo de nuestra Constitución Política para el Estado de Guanajuato, donde se establece que la ley protegerá la organización y desarrollo de la familia, dentro de la cual tendrá preferencia la atención del menor y del anciano.</w:t>
      </w:r>
    </w:p>
    <w:p w14:paraId="5CD496AA" w14:textId="77777777" w:rsidR="00F81845" w:rsidRPr="00F81845" w:rsidRDefault="00F81845" w:rsidP="00EA2D06">
      <w:pPr>
        <w:widowControl w:val="0"/>
        <w:ind w:left="709" w:right="1246"/>
        <w:jc w:val="both"/>
        <w:rPr>
          <w:rFonts w:ascii="Abadi" w:hAnsi="Abadi"/>
          <w:i/>
          <w:sz w:val="21"/>
          <w:szCs w:val="21"/>
        </w:rPr>
      </w:pPr>
    </w:p>
    <w:p w14:paraId="62A4D425" w14:textId="77777777" w:rsidR="00F81845" w:rsidRPr="00F81845" w:rsidRDefault="00F81845" w:rsidP="00EA2D06">
      <w:pPr>
        <w:widowControl w:val="0"/>
        <w:ind w:left="709" w:right="1246"/>
        <w:jc w:val="both"/>
        <w:rPr>
          <w:rFonts w:ascii="Abadi" w:hAnsi="Abadi"/>
          <w:i/>
          <w:sz w:val="21"/>
          <w:szCs w:val="21"/>
        </w:rPr>
      </w:pPr>
      <w:r w:rsidRPr="00F81845">
        <w:rPr>
          <w:rFonts w:ascii="Abadi" w:hAnsi="Abadi"/>
          <w:i/>
          <w:sz w:val="21"/>
          <w:szCs w:val="21"/>
        </w:rPr>
        <w:t xml:space="preserve">Para quienes integramos el grupo parlamentario del Partido Acción Nacional, la protección de las familias y el ejercicio de sus derechos es una prioridad en la que perseveramos desde el momento de la fundación misma de nuestro partido, que en 1939 incluyó dentro de sus principios de doctrina la convicción de que "la nación no está formada por individuos abstractos ni por masas indiferenciadas, sino por personas humanas reales, agrupadas en comunidades naturales, como la familia ... ".  Por supuesto, la realidad familiar no es estática, pero incluso aunque la realidad de las familias guanajuatenses haya evolucionado ampliamente en los últimos años, estas siguen siendo un elemento indispensable para entender los valores, las acciones, las prioridades y los problemas que enfrentamos como estado, y ello exige de las autoridades el compromiso no sólo de protegerlas, sino de incluirlas en un espacio prioritario dentro de las variables que se toman en cuenta a la hora de diseñar políticas públicas, empezando por el propio plan de gobierno. </w:t>
      </w:r>
    </w:p>
    <w:p w14:paraId="686B67DB" w14:textId="77777777" w:rsidR="00F81845" w:rsidRPr="00F81845" w:rsidRDefault="00F81845" w:rsidP="00EA2D06">
      <w:pPr>
        <w:widowControl w:val="0"/>
        <w:ind w:left="709" w:right="1246"/>
        <w:jc w:val="both"/>
        <w:rPr>
          <w:rFonts w:ascii="Abadi" w:hAnsi="Abadi"/>
          <w:i/>
          <w:sz w:val="21"/>
          <w:szCs w:val="21"/>
        </w:rPr>
      </w:pPr>
    </w:p>
    <w:p w14:paraId="7B7C2348" w14:textId="77777777" w:rsidR="00F81845" w:rsidRPr="00F81845" w:rsidRDefault="00F81845" w:rsidP="00EA2D06">
      <w:pPr>
        <w:widowControl w:val="0"/>
        <w:ind w:left="709" w:right="1246"/>
        <w:jc w:val="both"/>
        <w:rPr>
          <w:rFonts w:ascii="Abadi" w:hAnsi="Abadi"/>
          <w:i/>
          <w:sz w:val="21"/>
          <w:szCs w:val="21"/>
        </w:rPr>
      </w:pPr>
      <w:r w:rsidRPr="00F81845">
        <w:rPr>
          <w:rFonts w:ascii="Abadi" w:hAnsi="Abadi"/>
          <w:i/>
          <w:sz w:val="21"/>
          <w:szCs w:val="21"/>
        </w:rPr>
        <w:t xml:space="preserve">Esa perspectiva familiar transversal implica una relación solidaria y subsidiaria del gobierno con las familias a partir de criterios entre los que destacan el entender las circunstancias, funciones, influencias y valores de las familias, además de incluir en la evaluación de las políticas públicas el impacto que estas generan en la realidad de los entornos familiares de aquellos sectores a los que van dirigidas. Con esta certeza, proponemos una reforma a la Ley de Planeación para el Estado de Guanajuato y a la Ley Sobre el Sistema Estatal de Asistencia Social, para que la perspectiva de familia sea uno de los principios que deban tomarse en cuanta al momento de elaborar los planes y programas establecidos en dicha Ley. De este modo, podremos fortalecer de manera transversal el trabajo que se realiza desde la administración pública para proteger los derechos de los guanajuatenses, potenciar las fortalezas de los municipios y responder de manera efectiva a los problemas que demandan la atención de la sociedad y del gobierno. Así, con perspectiva de familia, profundizaremos los esfuerzos para reducir la pobreza familiar, construir equilibrios entre familia/trabajo y mantener la solidaridad intergeneracional que es una de las fortalezas indispensables para el éxito presente y la sustentabilidad futura del Guanajuato que compartimos. </w:t>
      </w:r>
    </w:p>
    <w:p w14:paraId="6462827B" w14:textId="77777777" w:rsidR="00F81845" w:rsidRPr="00F81845" w:rsidRDefault="00F81845" w:rsidP="00EA2D06">
      <w:pPr>
        <w:widowControl w:val="0"/>
        <w:ind w:left="709" w:right="1246"/>
        <w:jc w:val="both"/>
        <w:rPr>
          <w:rFonts w:ascii="Abadi" w:hAnsi="Abadi"/>
          <w:i/>
          <w:sz w:val="21"/>
          <w:szCs w:val="21"/>
        </w:rPr>
      </w:pPr>
    </w:p>
    <w:p w14:paraId="3234964E" w14:textId="77777777" w:rsidR="00F81845" w:rsidRPr="00F81845" w:rsidRDefault="00F81845" w:rsidP="00EA2D06">
      <w:pPr>
        <w:widowControl w:val="0"/>
        <w:ind w:left="709" w:right="1246"/>
        <w:jc w:val="both"/>
        <w:rPr>
          <w:rFonts w:ascii="Abadi" w:hAnsi="Abadi"/>
          <w:i/>
          <w:sz w:val="21"/>
          <w:szCs w:val="21"/>
        </w:rPr>
      </w:pPr>
      <w:r w:rsidRPr="00F81845">
        <w:rPr>
          <w:rFonts w:ascii="Abadi" w:hAnsi="Abadi"/>
          <w:i/>
          <w:sz w:val="21"/>
          <w:szCs w:val="21"/>
        </w:rPr>
        <w:t>Porque los seres humanos no actuamos en el vacío, sino en el entorno que compartimos y en las lealtades que nos unen a nuestras familias, que nos acercan a nuestra sociedad y que nos proyectan como guanajuatenses ante México y ante el mundo. De acuerdo con el artículo 209 de la Ley Orgánica del Poder Legislativo del Estado de Guanajuato, manifestamos que la iniciativa que aquí presentamos tendrá, de ser aprobada, el siguiente:</w:t>
      </w:r>
    </w:p>
    <w:p w14:paraId="2676FE36" w14:textId="77777777" w:rsidR="00F81845" w:rsidRPr="00F81845" w:rsidRDefault="00F81845" w:rsidP="00EA2D06">
      <w:pPr>
        <w:widowControl w:val="0"/>
        <w:ind w:left="709" w:right="1246"/>
        <w:jc w:val="both"/>
        <w:rPr>
          <w:rFonts w:ascii="Abadi" w:hAnsi="Abadi"/>
          <w:i/>
          <w:sz w:val="21"/>
          <w:szCs w:val="21"/>
        </w:rPr>
      </w:pPr>
    </w:p>
    <w:p w14:paraId="3E032938" w14:textId="77777777" w:rsidR="00F81845" w:rsidRPr="00F81845" w:rsidRDefault="00F81845" w:rsidP="00EA2D06">
      <w:pPr>
        <w:widowControl w:val="0"/>
        <w:ind w:left="709" w:right="1246"/>
        <w:jc w:val="both"/>
        <w:rPr>
          <w:rFonts w:ascii="Abadi" w:hAnsi="Abadi"/>
          <w:i/>
          <w:sz w:val="21"/>
          <w:szCs w:val="21"/>
        </w:rPr>
      </w:pPr>
      <w:r w:rsidRPr="00F81845">
        <w:rPr>
          <w:rFonts w:ascii="Abadi" w:hAnsi="Abadi"/>
          <w:i/>
          <w:sz w:val="21"/>
          <w:szCs w:val="21"/>
        </w:rPr>
        <w:t>Impacto jurídico: El artículo 40 de la Constitución Política de los Estados Unidos Mexicanos establece que es voluntad del pueblo mexicano constituirse en una República representativa, democrática, laica, federal, compuesta de Estados libres y soberanos en todo lo concerniente a su régimen interior. A su vez, la Constitución Política para el Estado de Guanajuato, en sus artículo (sic) 37 y 56, fracción 11 establece la facultad del Congreso del Estado como poder legislativo con el derecho de proponer iniciativas de leyes y decretos que permitan crear o reformar el marco jurídico de nuestro estado. En este caso, se reforma el artículo 24 bis y se adiciona una fracción VI al artículo 4, recorriéndose las subsecuentes, ambos de la Ley de Planeación para el Estado de Guanajuato, además de reformar los artículos 5 y 48; adicionar el artículo 45 bis y modificar la nomenclatura del Capítulo IV, para que se llame "De la perspectiva de familia y el fortalecimiento familiar", dentro de la Ley Sobre el Sistema Estatal de Asistencia Social.</w:t>
      </w:r>
    </w:p>
    <w:p w14:paraId="1A512DC0" w14:textId="77777777" w:rsidR="00F81845" w:rsidRPr="00F81845" w:rsidRDefault="00F81845" w:rsidP="00F81845">
      <w:pPr>
        <w:widowControl w:val="0"/>
        <w:ind w:left="709" w:right="1246"/>
        <w:jc w:val="both"/>
        <w:rPr>
          <w:rFonts w:ascii="Abadi" w:hAnsi="Abadi"/>
          <w:i/>
          <w:sz w:val="21"/>
          <w:szCs w:val="21"/>
        </w:rPr>
      </w:pPr>
      <w:r w:rsidRPr="00F81845">
        <w:rPr>
          <w:rFonts w:ascii="Abadi" w:hAnsi="Abadi"/>
          <w:i/>
          <w:sz w:val="21"/>
          <w:szCs w:val="21"/>
        </w:rPr>
        <w:t>Impacto administrativo: Implicará que, al elaborarse los planes y programas</w:t>
      </w:r>
      <w:r w:rsidRPr="00F81845">
        <w:rPr>
          <w:rFonts w:ascii="Abadi" w:hAnsi="Abadi"/>
          <w:sz w:val="21"/>
          <w:szCs w:val="21"/>
        </w:rPr>
        <w:t xml:space="preserve"> </w:t>
      </w:r>
      <w:r w:rsidRPr="00F81845">
        <w:rPr>
          <w:rFonts w:ascii="Abadi" w:hAnsi="Abadi"/>
          <w:i/>
          <w:sz w:val="21"/>
          <w:szCs w:val="21"/>
        </w:rPr>
        <w:t>establecidos en la Ley de Planeación para el Estado de Guanajuato, al igual que en los programas de fortalecimiento familiar, contenidos en la Ley Sobre el Sistema Estatal de Asistencia Social, se tome en cuenta el principios (sic) de la perspectiva de familia.</w:t>
      </w:r>
    </w:p>
    <w:p w14:paraId="3754E183" w14:textId="77777777" w:rsidR="00F81845" w:rsidRPr="00F81845" w:rsidRDefault="00F81845" w:rsidP="00F81845">
      <w:pPr>
        <w:widowControl w:val="0"/>
        <w:ind w:left="709" w:right="1246"/>
        <w:jc w:val="both"/>
        <w:rPr>
          <w:rFonts w:ascii="Abadi" w:hAnsi="Abadi"/>
          <w:i/>
          <w:sz w:val="21"/>
          <w:szCs w:val="21"/>
        </w:rPr>
      </w:pPr>
      <w:r w:rsidRPr="00F81845">
        <w:rPr>
          <w:rFonts w:ascii="Abadi" w:hAnsi="Abadi"/>
          <w:i/>
          <w:sz w:val="21"/>
          <w:szCs w:val="21"/>
        </w:rPr>
        <w:t>Impacto presupuestario: De la presente propuesta no se advierte un impacto presupuestal, ya que su implementación no se traduce necesariamente en la generación de nuevas plazas o estructuras administrativas.</w:t>
      </w:r>
    </w:p>
    <w:p w14:paraId="4E5C325C" w14:textId="77777777" w:rsidR="00F81845" w:rsidRPr="00F81845" w:rsidRDefault="00F81845" w:rsidP="00F81845">
      <w:pPr>
        <w:widowControl w:val="0"/>
        <w:ind w:left="709" w:right="1246"/>
        <w:jc w:val="both"/>
        <w:rPr>
          <w:rFonts w:ascii="Abadi" w:hAnsi="Abadi"/>
          <w:i/>
          <w:sz w:val="21"/>
          <w:szCs w:val="21"/>
        </w:rPr>
      </w:pPr>
      <w:r w:rsidRPr="00F81845">
        <w:rPr>
          <w:rFonts w:ascii="Abadi" w:hAnsi="Abadi"/>
          <w:i/>
          <w:sz w:val="21"/>
          <w:szCs w:val="21"/>
        </w:rPr>
        <w:t>Impacto social: Esta reforma permitirá avanzar en la promoción, respeto, protección</w:t>
      </w:r>
      <w:r w:rsidRPr="00F81845">
        <w:rPr>
          <w:rFonts w:ascii="Abadi" w:hAnsi="Abadi"/>
          <w:sz w:val="21"/>
          <w:szCs w:val="21"/>
        </w:rPr>
        <w:t xml:space="preserve"> </w:t>
      </w:r>
      <w:r w:rsidRPr="00F81845">
        <w:rPr>
          <w:rFonts w:ascii="Abadi" w:hAnsi="Abadi"/>
          <w:i/>
          <w:sz w:val="21"/>
          <w:szCs w:val="21"/>
        </w:rPr>
        <w:t>y garantía del derecho a la familia. A partir de su aprobación, las políticas, planes y programas de la administración pública tomarán en cuenta las estructuras, dinámicas y realidades de las familias guanajuatenses, tanto en el diseño e implementación como en la evaluación de sus resultados.»</w:t>
      </w:r>
    </w:p>
    <w:p w14:paraId="4204D01C" w14:textId="77777777" w:rsidR="00F81845" w:rsidRPr="00F81845" w:rsidRDefault="00F81845" w:rsidP="00F81845">
      <w:pPr>
        <w:widowControl w:val="0"/>
        <w:spacing w:line="324" w:lineRule="auto"/>
        <w:ind w:right="1246"/>
        <w:jc w:val="both"/>
        <w:rPr>
          <w:rFonts w:ascii="Abadi" w:hAnsi="Abadi"/>
          <w:iCs/>
          <w:sz w:val="21"/>
          <w:szCs w:val="21"/>
        </w:rPr>
      </w:pPr>
    </w:p>
    <w:p w14:paraId="4DB09019" w14:textId="77777777" w:rsidR="00F81845" w:rsidRPr="00F81845" w:rsidRDefault="00F81845" w:rsidP="00EA2D06">
      <w:pPr>
        <w:widowControl w:val="0"/>
        <w:ind w:firstLine="708"/>
        <w:jc w:val="both"/>
        <w:rPr>
          <w:rFonts w:ascii="Abadi" w:eastAsia="Batang" w:hAnsi="Abadi" w:cs="Arial"/>
          <w:sz w:val="21"/>
          <w:szCs w:val="21"/>
          <w:lang w:val="es-MX"/>
        </w:rPr>
      </w:pPr>
      <w:r w:rsidRPr="00F81845">
        <w:rPr>
          <w:rFonts w:ascii="Abadi" w:eastAsia="Batang" w:hAnsi="Abadi" w:cs="Arial"/>
          <w:sz w:val="21"/>
          <w:szCs w:val="21"/>
          <w:lang w:val="es-MX"/>
        </w:rPr>
        <w:t>Las diputadas y diputados iniciantes en la segunda propuesta manifestaron en su exposición de motivos lo siguiente:</w:t>
      </w:r>
    </w:p>
    <w:p w14:paraId="0994E554" w14:textId="77777777" w:rsidR="00F81845" w:rsidRPr="00F81845" w:rsidRDefault="00F81845" w:rsidP="00F81845">
      <w:pPr>
        <w:widowControl w:val="0"/>
        <w:autoSpaceDE w:val="0"/>
        <w:autoSpaceDN w:val="0"/>
        <w:adjustRightInd w:val="0"/>
        <w:ind w:firstLine="708"/>
        <w:jc w:val="both"/>
        <w:rPr>
          <w:rFonts w:ascii="Abadi" w:eastAsia="Calibri" w:hAnsi="Abadi"/>
          <w:sz w:val="21"/>
          <w:szCs w:val="21"/>
          <w:lang w:val="es-MX" w:eastAsia="en-US"/>
        </w:rPr>
      </w:pPr>
    </w:p>
    <w:p w14:paraId="302E7D9D" w14:textId="77777777" w:rsidR="00F81845" w:rsidRPr="00F81845" w:rsidRDefault="00F81845" w:rsidP="00F81845">
      <w:pPr>
        <w:widowControl w:val="0"/>
        <w:ind w:left="709" w:right="1246"/>
        <w:jc w:val="both"/>
        <w:rPr>
          <w:rFonts w:ascii="Abadi" w:hAnsi="Abadi"/>
          <w:i/>
          <w:sz w:val="21"/>
          <w:szCs w:val="21"/>
        </w:rPr>
      </w:pPr>
      <w:r w:rsidRPr="00F81845">
        <w:rPr>
          <w:rFonts w:ascii="Abadi" w:hAnsi="Abadi"/>
          <w:i/>
          <w:sz w:val="21"/>
          <w:szCs w:val="21"/>
        </w:rPr>
        <w:t>«(…) Cada vez son más los cambios legislativos que están orientadas a garantizar la igualdad entre hombres y mujeres en México y en el Estado de Guanajuato. Pese a estos esfuerzos los avances siguen siendo insuficientes, pues subsisten las brechas de desigualdad. Uno de los aspectos en los que se ha avanzado con mayor fuerza en México ha sido el relativo a la participación de la mujer en asuntos públicos. Con las reformas en materia de igualdad, el establecimiento de cuotas para cargos electorales y la reciente reforma en materia de paridad, esta participación ha ido en aumento; sin embargo, como señala la OCDE, "Las mujeres siguen sin tener la misma facilidad de acceso que los hombres a cargos de responsabilidad o puestos directivos, Pese a que las iniciativas sociales incorporan elementos que promueven la igualdad de género, en otros sectores como el sector transportes, el de obras, de infraestructura urbana o el energético apenas las contemplan."</w:t>
      </w:r>
    </w:p>
    <w:p w14:paraId="0295CF6C" w14:textId="77777777" w:rsidR="00F81845" w:rsidRPr="00F81845" w:rsidRDefault="00F81845" w:rsidP="00F81845">
      <w:pPr>
        <w:widowControl w:val="0"/>
        <w:ind w:left="709" w:right="1246"/>
        <w:jc w:val="both"/>
        <w:rPr>
          <w:rFonts w:ascii="Abadi" w:hAnsi="Abadi"/>
          <w:i/>
          <w:sz w:val="21"/>
          <w:szCs w:val="21"/>
        </w:rPr>
      </w:pPr>
    </w:p>
    <w:p w14:paraId="48431E7A" w14:textId="77777777" w:rsidR="00F81845" w:rsidRPr="00F81845" w:rsidRDefault="00F81845" w:rsidP="00F81845">
      <w:pPr>
        <w:widowControl w:val="0"/>
        <w:ind w:left="709" w:right="1246"/>
        <w:jc w:val="both"/>
        <w:rPr>
          <w:rFonts w:ascii="Abadi" w:hAnsi="Abadi"/>
          <w:i/>
          <w:sz w:val="21"/>
          <w:szCs w:val="21"/>
        </w:rPr>
      </w:pPr>
      <w:r w:rsidRPr="00F81845">
        <w:rPr>
          <w:rFonts w:ascii="Abadi" w:hAnsi="Abadi"/>
          <w:i/>
          <w:sz w:val="21"/>
          <w:szCs w:val="21"/>
        </w:rPr>
        <w:t>Es por ello que la participación de la mujer en la planeación del desarrollo resulta fundamental, ya que una política de planeación que no atiende a las necesidades específicas de la población, ignorando que hay demandas que sólo afectan a mujeres en aspectos como ordenamiento territorial, desarrollo urbano, campo, medio ambiente, etc., provoca que se mantengan las brechas de género y consecuentemente los problemas que derivan de ellas y que tanto se ha buscado erradicar. "Una planificación que se formula sin incorporar la perspectiva de género conduce a invisibilizar las relaciones desiguales de poder, sin cuestionar tal desigualdad. Además, no considera ni crea espacios para las necesidades y potencialidades de las mujeres en el desarrollo. El error más frecuente al respecto es la omisión de los aspectos derivados de la división sexual del trabajo, que establecen la forma en que los roles se distribuyen en la sociedad: las mujeres estarían a cargo de la reproducción social y los hombres, de las tareas productivas."</w:t>
      </w:r>
    </w:p>
    <w:p w14:paraId="51F509A9" w14:textId="77777777" w:rsidR="00F81845" w:rsidRPr="00F81845" w:rsidRDefault="00F81845" w:rsidP="00F81845">
      <w:pPr>
        <w:widowControl w:val="0"/>
        <w:ind w:left="709" w:right="1246"/>
        <w:jc w:val="both"/>
        <w:rPr>
          <w:rFonts w:ascii="Abadi" w:hAnsi="Abadi"/>
          <w:i/>
          <w:sz w:val="21"/>
          <w:szCs w:val="21"/>
        </w:rPr>
      </w:pPr>
    </w:p>
    <w:p w14:paraId="408072FC" w14:textId="77777777" w:rsidR="00F81845" w:rsidRPr="00F81845" w:rsidRDefault="00F81845" w:rsidP="00F81845">
      <w:pPr>
        <w:widowControl w:val="0"/>
        <w:ind w:left="709" w:right="1246"/>
        <w:jc w:val="both"/>
        <w:rPr>
          <w:rFonts w:ascii="Abadi" w:hAnsi="Abadi"/>
          <w:i/>
          <w:sz w:val="21"/>
          <w:szCs w:val="21"/>
        </w:rPr>
      </w:pPr>
      <w:r w:rsidRPr="00F81845">
        <w:rPr>
          <w:rFonts w:ascii="Abadi" w:hAnsi="Abadi"/>
          <w:i/>
          <w:sz w:val="21"/>
          <w:szCs w:val="21"/>
        </w:rPr>
        <w:t>La reforma constitucional en materia de Derechos Humanos de 2011, estableció en el artículo 1° que todas las personas gozan de los Derechos Humanos que reconoce la Constitución, así como los tratados internacionales suscritos por nuestro país. En este sentido, son varios instrumentos internacionales que destacan obligaciones para los Estados Parte de incorporar a las mujeres en igualdad de circunstancias en la formulación de planes y políticas públicas. La Convención sobre la Eliminación de todas las formas de discriminación contra la Mujer (CEDAW por sus siglas en inglés) establece como algunas de las obligaciones para los Estados parte las siguientes:</w:t>
      </w:r>
    </w:p>
    <w:p w14:paraId="1AC7F82E" w14:textId="77777777" w:rsidR="00F81845" w:rsidRPr="00F81845" w:rsidRDefault="00F81845" w:rsidP="00F81845">
      <w:pPr>
        <w:widowControl w:val="0"/>
        <w:ind w:left="709" w:right="1246"/>
        <w:jc w:val="both"/>
        <w:rPr>
          <w:rFonts w:ascii="Abadi" w:hAnsi="Abadi"/>
          <w:i/>
          <w:sz w:val="21"/>
          <w:szCs w:val="21"/>
        </w:rPr>
      </w:pPr>
    </w:p>
    <w:p w14:paraId="0488ACE5" w14:textId="77777777" w:rsidR="00F81845" w:rsidRPr="00F81845" w:rsidRDefault="00F81845" w:rsidP="00F81845">
      <w:pPr>
        <w:widowControl w:val="0"/>
        <w:ind w:left="709" w:right="1246"/>
        <w:jc w:val="both"/>
        <w:rPr>
          <w:rFonts w:ascii="Abadi" w:hAnsi="Abadi"/>
          <w:i/>
          <w:sz w:val="21"/>
          <w:szCs w:val="21"/>
        </w:rPr>
      </w:pPr>
      <w:r w:rsidRPr="00F81845">
        <w:rPr>
          <w:rFonts w:ascii="Abadi" w:hAnsi="Abadi"/>
          <w:i/>
          <w:sz w:val="21"/>
          <w:szCs w:val="21"/>
        </w:rPr>
        <w:t>a)</w:t>
      </w:r>
      <w:r w:rsidRPr="00F81845">
        <w:rPr>
          <w:rFonts w:ascii="Abadi" w:hAnsi="Abadi"/>
          <w:i/>
          <w:sz w:val="21"/>
          <w:szCs w:val="21"/>
        </w:rPr>
        <w:tab/>
        <w:t>A condenar "la discriminación contra la mujer en todas sus formas, convienen en seguir, por todos los medios apropiados y sin dilaciones, una política encaminada a eliminar la discriminación contra la mujer ... "</w:t>
      </w:r>
    </w:p>
    <w:p w14:paraId="0A5D78CE" w14:textId="77777777" w:rsidR="00F81845" w:rsidRPr="00F81845" w:rsidRDefault="00F81845" w:rsidP="00F81845">
      <w:pPr>
        <w:widowControl w:val="0"/>
        <w:ind w:left="709" w:right="1246"/>
        <w:jc w:val="both"/>
        <w:rPr>
          <w:rFonts w:ascii="Abadi" w:hAnsi="Abadi"/>
          <w:i/>
          <w:sz w:val="21"/>
          <w:szCs w:val="21"/>
        </w:rPr>
      </w:pPr>
      <w:r w:rsidRPr="00F81845">
        <w:rPr>
          <w:rFonts w:ascii="Abadi" w:hAnsi="Abadi"/>
          <w:i/>
          <w:sz w:val="21"/>
          <w:szCs w:val="21"/>
        </w:rPr>
        <w:t>b)</w:t>
      </w:r>
      <w:r w:rsidRPr="00F81845">
        <w:rPr>
          <w:rFonts w:ascii="Abadi" w:hAnsi="Abadi"/>
          <w:i/>
          <w:sz w:val="21"/>
          <w:szCs w:val="21"/>
        </w:rPr>
        <w:tab/>
        <w:t>Tomar "todas las medidas apropiadas, incluso de carácter legislativo, para asegurar el pleno desarrollo y adelanto de la mujer, con el objeto de garantizarle el ejercicio y el goce de los derechos humanos y las libertades fundamentales en igualdad de condiciones con el hombre".</w:t>
      </w:r>
    </w:p>
    <w:p w14:paraId="3EF01F5F" w14:textId="77777777" w:rsidR="00F81845" w:rsidRPr="00F81845" w:rsidRDefault="00F81845" w:rsidP="00F81845">
      <w:pPr>
        <w:widowControl w:val="0"/>
        <w:ind w:left="709" w:right="1246"/>
        <w:jc w:val="both"/>
        <w:rPr>
          <w:rFonts w:ascii="Abadi" w:hAnsi="Abadi"/>
          <w:i/>
          <w:sz w:val="21"/>
          <w:szCs w:val="21"/>
        </w:rPr>
      </w:pPr>
      <w:r w:rsidRPr="00F81845">
        <w:rPr>
          <w:rFonts w:ascii="Abadi" w:hAnsi="Abadi"/>
          <w:i/>
          <w:sz w:val="21"/>
          <w:szCs w:val="21"/>
        </w:rPr>
        <w:t>c)</w:t>
      </w:r>
      <w:r w:rsidRPr="00F81845">
        <w:rPr>
          <w:rFonts w:ascii="Abadi" w:hAnsi="Abadi"/>
          <w:i/>
          <w:sz w:val="21"/>
          <w:szCs w:val="21"/>
        </w:rPr>
        <w:tab/>
        <w:t>Garantizar a las mujeres en igualdad de condiciones con los hombres, el derecho a "participar en la formulación de las políticas gubernamentales y en la ejecución de éstas, y ocupar cargos públicos y ejercer todas las funciones públicas en todos los planos gubernamentales."</w:t>
      </w:r>
    </w:p>
    <w:p w14:paraId="1CF0639E" w14:textId="77777777" w:rsidR="00F81845" w:rsidRPr="00F81845" w:rsidRDefault="00F81845" w:rsidP="00F81845">
      <w:pPr>
        <w:widowControl w:val="0"/>
        <w:ind w:left="709" w:right="1246"/>
        <w:jc w:val="both"/>
        <w:rPr>
          <w:rFonts w:ascii="Abadi" w:hAnsi="Abadi"/>
          <w:i/>
          <w:sz w:val="21"/>
          <w:szCs w:val="21"/>
        </w:rPr>
      </w:pPr>
    </w:p>
    <w:p w14:paraId="4D2A71A6" w14:textId="77777777" w:rsidR="00F81845" w:rsidRPr="00F81845" w:rsidRDefault="00F81845" w:rsidP="00F81845">
      <w:pPr>
        <w:widowControl w:val="0"/>
        <w:ind w:left="709" w:right="1246"/>
        <w:jc w:val="both"/>
        <w:rPr>
          <w:rFonts w:ascii="Abadi" w:hAnsi="Abadi"/>
          <w:i/>
          <w:sz w:val="21"/>
          <w:szCs w:val="21"/>
        </w:rPr>
      </w:pPr>
      <w:r w:rsidRPr="00F81845">
        <w:rPr>
          <w:rFonts w:ascii="Abadi" w:hAnsi="Abadi"/>
          <w:i/>
          <w:sz w:val="21"/>
          <w:szCs w:val="21"/>
        </w:rPr>
        <w:t>Por otro lado, en el documento "Examen y evaluación Beijing+5", derivado de la Asamblea General XXIII período extraordinario, los Estados Parte asumieron entre otros, los siguientes compromisos: " ... Formular y aplicar políticas que promuevan y protejan el disfrute de todos los derechos humanos y libertades fundamentales de la mujer y creen un entorno donde no se toleren las violaciones de los derechos de las mujeres y las niñas ... Incorporar una perspectiva de género en la elaboración, el desarrollo, la aprobación y la ejecución de todos los procesos presupuestarios, cuando proceda, a fin de promover una asignación de recursos equitativa, eficaz y adecuada y asignar en los presupuestos recursos suficientes para apoyar programas sobre igualdad entre los géneros y desarrollo que promuevan la potenciación del papel de la mujer, y crear los instrumentos y mecanismos analíticos y metodológicos necesarios para la supervisión y la evaluación ... " Por su parte, la Organización para la Cooperación y el Desarrollo Económicos, (OCDE) emitió la Recomendación de 2015 del Consejo de la OCDE sobre igualdad de Género en la vida pública. En este instrumento se señala que "los gobiernos siguen enfrentándose a diversos retos en lo concerniente, por un lado, a la formulación de políticas públicas integradoras que atiendan a las cuestiones de género y, por otro, a garantizar la efectiva puesta en práctica de medidas y otras iniciativas en materia de igualdad de género. Las lagunas o brechas de género existentes no sólo socavan el bienestar de las sociedades, sino que también representan las oportunidades desaprovechadas para conseguir un crecimiento económico que beneficie a todos. Para alcanzar estos objetivos, los gobiernos necesitan mecanismos de gestión eficaces y que las instituciones estén dotadas de competencias y capacidades sólidas que permitan la aplicación efectiva de iniciativas impulsoras de la igualdad de género."</w:t>
      </w:r>
    </w:p>
    <w:p w14:paraId="7056D18E" w14:textId="77777777" w:rsidR="00F81845" w:rsidRPr="00F81845" w:rsidRDefault="00F81845" w:rsidP="00F81845">
      <w:pPr>
        <w:widowControl w:val="0"/>
        <w:ind w:left="709" w:right="1246"/>
        <w:jc w:val="both"/>
        <w:rPr>
          <w:rFonts w:ascii="Abadi" w:hAnsi="Abadi"/>
          <w:i/>
          <w:sz w:val="21"/>
          <w:szCs w:val="21"/>
        </w:rPr>
      </w:pPr>
    </w:p>
    <w:p w14:paraId="4DB23623" w14:textId="77777777" w:rsidR="00F81845" w:rsidRPr="00F81845" w:rsidRDefault="00F81845" w:rsidP="00F81845">
      <w:pPr>
        <w:widowControl w:val="0"/>
        <w:ind w:left="709" w:right="1246"/>
        <w:jc w:val="both"/>
        <w:rPr>
          <w:rFonts w:ascii="Abadi" w:hAnsi="Abadi"/>
          <w:i/>
          <w:sz w:val="21"/>
          <w:szCs w:val="21"/>
        </w:rPr>
      </w:pPr>
      <w:r w:rsidRPr="00F81845">
        <w:rPr>
          <w:rFonts w:ascii="Abadi" w:hAnsi="Abadi"/>
          <w:i/>
          <w:sz w:val="21"/>
          <w:szCs w:val="21"/>
        </w:rPr>
        <w:t>Entre las recomendaciones formuladas en el anterior instrumento por parte de la OCDE a los países miembros está la siguiente: "l. RECOMIENDA que tanto los miembros como los no miembros que hayan ratificado las disposiciones de la Recomendación (en adelante, los «Adherentes») tengan en cuenta e integren la perspectiva de igualdad de género en la formulación, desarrollo, implementación y evaluación de las políticas públicas y los presupuestos pertinentes. A tal fin, los Adherentes deberán: 1. Ejercer su autoridad y comprometerse, al más alto nivel político y en el escalafón administrativo competente, a desarrollar e implementar una estrategia interministerial coordinada que favorezca una auténtica igualdad entre sexos y la efectiva integración de la perspectiva de género, lo que permitirá:[ ... ] ii) involucrar a partes interesadas y otros agentes relevantes, ya sean de carácter gubernamental o no gubernamental, con miras a garantizar una cobertura completa y exhaustiva de las cuestiones relativas a la igualdad de género; y, iii) adoptar un doble enfoque que permita reducir las brechas de género, que consista a la vez en tener en cuenta de una manera sistemática la perspectiva de igualdad de género, y en tomar medidas específicas dirigidas a promover la igualdad entre hombres y mujeres."</w:t>
      </w:r>
    </w:p>
    <w:p w14:paraId="48D3B8CD" w14:textId="77777777" w:rsidR="00F81845" w:rsidRPr="00F81845" w:rsidRDefault="00F81845" w:rsidP="00F81845">
      <w:pPr>
        <w:widowControl w:val="0"/>
        <w:ind w:left="709" w:right="1246"/>
        <w:jc w:val="both"/>
        <w:rPr>
          <w:rFonts w:ascii="Abadi" w:hAnsi="Abadi"/>
          <w:i/>
          <w:sz w:val="21"/>
          <w:szCs w:val="21"/>
        </w:rPr>
      </w:pPr>
    </w:p>
    <w:p w14:paraId="7D657360" w14:textId="77777777" w:rsidR="00F81845" w:rsidRPr="00F81845" w:rsidRDefault="00F81845" w:rsidP="00F81845">
      <w:pPr>
        <w:widowControl w:val="0"/>
        <w:ind w:left="709" w:right="1246"/>
        <w:jc w:val="both"/>
        <w:rPr>
          <w:rFonts w:ascii="Abadi" w:hAnsi="Abadi"/>
          <w:i/>
          <w:sz w:val="21"/>
          <w:szCs w:val="21"/>
        </w:rPr>
      </w:pPr>
      <w:r w:rsidRPr="00F81845">
        <w:rPr>
          <w:rFonts w:ascii="Abadi" w:hAnsi="Abadi"/>
          <w:i/>
          <w:sz w:val="21"/>
          <w:szCs w:val="21"/>
        </w:rPr>
        <w:t>Es importante señalar que en la Ley de Planeación para el Estado de Guanajuato, actualmente se contempla como uno de los principios para la planeación del desarrollo el de "la perspectiva de género e interculturalidad; así como la promoción, el respeto y la protección de los derechos humanos reconocidos en la Constitución y en los tratados internacionales de los que el Estado Mexicano sea parte."</w:t>
      </w:r>
    </w:p>
    <w:p w14:paraId="38082116" w14:textId="77777777" w:rsidR="00F81845" w:rsidRPr="00F81845" w:rsidRDefault="00F81845" w:rsidP="00F81845">
      <w:pPr>
        <w:widowControl w:val="0"/>
        <w:ind w:left="709" w:right="1246"/>
        <w:jc w:val="both"/>
        <w:rPr>
          <w:rFonts w:ascii="Abadi" w:hAnsi="Abadi"/>
          <w:i/>
          <w:sz w:val="21"/>
          <w:szCs w:val="21"/>
        </w:rPr>
      </w:pPr>
    </w:p>
    <w:p w14:paraId="2AEA2288" w14:textId="77777777" w:rsidR="00F81845" w:rsidRPr="00F81845" w:rsidRDefault="00F81845" w:rsidP="00F81845">
      <w:pPr>
        <w:widowControl w:val="0"/>
        <w:ind w:left="709" w:right="1246"/>
        <w:jc w:val="both"/>
        <w:rPr>
          <w:rFonts w:ascii="Abadi" w:hAnsi="Abadi"/>
          <w:i/>
          <w:sz w:val="21"/>
          <w:szCs w:val="21"/>
        </w:rPr>
      </w:pPr>
      <w:r w:rsidRPr="00F81845">
        <w:rPr>
          <w:rFonts w:ascii="Abadi" w:hAnsi="Abadi"/>
          <w:i/>
          <w:sz w:val="21"/>
          <w:szCs w:val="21"/>
        </w:rPr>
        <w:t>(…)</w:t>
      </w:r>
    </w:p>
    <w:p w14:paraId="733B9791" w14:textId="77777777" w:rsidR="00F81845" w:rsidRPr="00F81845" w:rsidRDefault="00F81845" w:rsidP="00F81845">
      <w:pPr>
        <w:widowControl w:val="0"/>
        <w:ind w:left="709" w:right="1246"/>
        <w:jc w:val="both"/>
        <w:rPr>
          <w:rFonts w:ascii="Abadi" w:hAnsi="Abadi"/>
          <w:i/>
          <w:sz w:val="21"/>
          <w:szCs w:val="21"/>
        </w:rPr>
      </w:pPr>
    </w:p>
    <w:p w14:paraId="50327F8C" w14:textId="77777777" w:rsidR="00F81845" w:rsidRPr="00F81845" w:rsidRDefault="00F81845" w:rsidP="00F81845">
      <w:pPr>
        <w:widowControl w:val="0"/>
        <w:ind w:left="709" w:right="1246"/>
        <w:jc w:val="both"/>
        <w:rPr>
          <w:rFonts w:ascii="Abadi" w:hAnsi="Abadi"/>
          <w:i/>
          <w:sz w:val="21"/>
          <w:szCs w:val="21"/>
        </w:rPr>
      </w:pPr>
      <w:r w:rsidRPr="00F81845">
        <w:rPr>
          <w:rFonts w:ascii="Abadi" w:hAnsi="Abadi"/>
          <w:i/>
          <w:sz w:val="21"/>
          <w:szCs w:val="21"/>
        </w:rPr>
        <w:t xml:space="preserve">Si bien es cierto que el marco jurídico estatal ya incorpora la perspectiva de género como principio de la planeación del desarrollo y la Ley para la Igualdad establece la obligación de que las políticas, planes, estrategias y acciones incluyan los principios de igualdad sustantiva, es importante que la legislación también establezca con claridad la forma en que los instrumentos de planeación incorporarán estos principios a fin de que los mismos se traduzcan en acciones concretas. La Ley de Planeación para el Estado de Guanajuato establece como instrumentos: el Plan Estatal de Desarrollo, el Programa de Gobierno del Estado y los Planes municipales de desarrollo. Estos instrumentos contienen los objetivos, estrategias y metas para el desarrollo del Estado en un mediano plazo tratándose del plan estatal, y por el período de gestión gubernamental, por lo que toca al programa estatal. </w:t>
      </w:r>
    </w:p>
    <w:p w14:paraId="3C541106" w14:textId="77777777" w:rsidR="00F81845" w:rsidRPr="00F81845" w:rsidRDefault="00F81845" w:rsidP="00F81845">
      <w:pPr>
        <w:widowControl w:val="0"/>
        <w:ind w:left="709" w:right="1246"/>
        <w:jc w:val="both"/>
        <w:rPr>
          <w:rFonts w:ascii="Abadi" w:hAnsi="Abadi"/>
          <w:i/>
          <w:sz w:val="21"/>
          <w:szCs w:val="21"/>
        </w:rPr>
      </w:pPr>
    </w:p>
    <w:p w14:paraId="001DF3FE" w14:textId="77777777" w:rsidR="00F81845" w:rsidRPr="00F81845" w:rsidRDefault="00F81845" w:rsidP="00F81845">
      <w:pPr>
        <w:widowControl w:val="0"/>
        <w:ind w:left="709" w:right="1246"/>
        <w:jc w:val="both"/>
        <w:rPr>
          <w:rFonts w:ascii="Abadi" w:hAnsi="Abadi"/>
          <w:i/>
          <w:sz w:val="21"/>
          <w:szCs w:val="21"/>
        </w:rPr>
      </w:pPr>
      <w:r w:rsidRPr="00F81845">
        <w:rPr>
          <w:rFonts w:ascii="Abadi" w:hAnsi="Abadi"/>
          <w:i/>
          <w:sz w:val="21"/>
          <w:szCs w:val="21"/>
        </w:rPr>
        <w:t>Por eso resulta de fundamental importancia que en la formulación de estos instrumentos de planeación se atienda al principio de perspectiva de género. Como lo señala CEPAL, "en el ámbito del espacio local, un proceso de desarrollo territorial se caracteriza por la preeminencia de las decisiones de las y los actores locales. En ese sentido, es el lugar más próximo en que se expresan las necesidades de los ciudadanos, y donde se hace posible valorizar las potencialidades e identidades territoriales. Su definición como ámbito preferente de la planificación territorial puede ser, entonces, una estrategia eficaz de gestión para abordar y dar respuesta a las demandas asociadas a diferencias y desigualdades entre mujeres y hombres, entre las mismas mujeres, y entre diversos grupos." Por otra parte, la inclusión de la perspectiva de género en la planeación del desarrollo debe ser orientada por la instancia responsable de coordinar las acciones del Sistema para la Igualdad, por ello será necesario incorporar como una de los objetivos del Sistema el proponer los mecanismos para incorporar de forma transversal, la perspectiva de género.</w:t>
      </w:r>
    </w:p>
    <w:p w14:paraId="1825FE77" w14:textId="77777777" w:rsidR="00F81845" w:rsidRPr="00F81845" w:rsidRDefault="00F81845" w:rsidP="00F81845">
      <w:pPr>
        <w:widowControl w:val="0"/>
        <w:ind w:left="709" w:right="1246"/>
        <w:jc w:val="both"/>
        <w:rPr>
          <w:rFonts w:ascii="Abadi" w:hAnsi="Abadi"/>
          <w:i/>
          <w:sz w:val="21"/>
          <w:szCs w:val="21"/>
        </w:rPr>
      </w:pPr>
    </w:p>
    <w:p w14:paraId="049FCEA3" w14:textId="77777777" w:rsidR="00F81845" w:rsidRPr="00F81845" w:rsidRDefault="00F81845" w:rsidP="00F81845">
      <w:pPr>
        <w:widowControl w:val="0"/>
        <w:ind w:left="709" w:right="1246"/>
        <w:jc w:val="both"/>
        <w:rPr>
          <w:rFonts w:ascii="Abadi" w:hAnsi="Abadi"/>
          <w:i/>
          <w:sz w:val="21"/>
          <w:szCs w:val="21"/>
        </w:rPr>
      </w:pPr>
      <w:r w:rsidRPr="00F81845">
        <w:rPr>
          <w:rFonts w:ascii="Abadi" w:hAnsi="Abadi"/>
          <w:i/>
          <w:sz w:val="21"/>
          <w:szCs w:val="21"/>
        </w:rPr>
        <w:t>Es por lo anterior, que en el Grupo Parlamentario del PAN, atendiendo a las prioridades de nuestra Agenda Legislativa, establecimos como una prioridad central, el establecer acciones legislativas para fortalecer los derechos de las mujeres y lograr su empoderamiento político, económico y social. De esta forma presentamos esta propuesta de modificación legislativa a efecto de que la planeación del desarrollo en el Estado de Guanajuato contenga mecanismos para transversalizar la perspectiva de género, a partir de las propuestas que formule el Instituto para las Mujeres Guanajuatenses. Finalmente, de conformidad con lo dispuesto por el artículo 209 de la Ley Orgánica del Poder Legislativo para el Estado de Guanajuato, manifestamos que de ser aprobada la presente iniciativa de reformas la Ley Orgánica Municipal para el Estado de Guanajuato, se tendrían los siguientes impactos:</w:t>
      </w:r>
    </w:p>
    <w:p w14:paraId="01C6F5ED" w14:textId="77777777" w:rsidR="00F81845" w:rsidRPr="00F81845" w:rsidRDefault="00F81845" w:rsidP="00F81845">
      <w:pPr>
        <w:widowControl w:val="0"/>
        <w:ind w:left="709" w:right="1246"/>
        <w:jc w:val="both"/>
        <w:rPr>
          <w:rFonts w:ascii="Abadi" w:hAnsi="Abadi"/>
          <w:i/>
          <w:sz w:val="21"/>
          <w:szCs w:val="21"/>
        </w:rPr>
      </w:pPr>
    </w:p>
    <w:p w14:paraId="48D53F4C" w14:textId="77777777" w:rsidR="00F81845" w:rsidRPr="00F81845" w:rsidRDefault="00F81845" w:rsidP="00F81845">
      <w:pPr>
        <w:widowControl w:val="0"/>
        <w:ind w:left="709" w:right="1246"/>
        <w:jc w:val="both"/>
        <w:rPr>
          <w:rFonts w:ascii="Abadi" w:hAnsi="Abadi"/>
          <w:i/>
          <w:sz w:val="21"/>
          <w:szCs w:val="21"/>
        </w:rPr>
      </w:pPr>
      <w:r w:rsidRPr="00F81845">
        <w:rPr>
          <w:rFonts w:ascii="Abadi" w:hAnsi="Abadi"/>
          <w:i/>
          <w:sz w:val="21"/>
          <w:szCs w:val="21"/>
        </w:rPr>
        <w:t>Impacto jurídico. Se modifican diversas disposiciones de la Ley de Planeación para el Estado de Guanajuato, así como de la Ley Para la Igualdad entre Mujeres y Hombres del Estado de Guanajuato a fin de asegurar que se incorpore de forma transversal en los instrumentos de planeación de desarrollo del Estado, la perspectiva de género.</w:t>
      </w:r>
    </w:p>
    <w:p w14:paraId="37EA2D78" w14:textId="77777777" w:rsidR="00F81845" w:rsidRPr="00F81845" w:rsidRDefault="00F81845" w:rsidP="00F81845">
      <w:pPr>
        <w:widowControl w:val="0"/>
        <w:ind w:left="709" w:right="1246"/>
        <w:jc w:val="both"/>
        <w:rPr>
          <w:rFonts w:ascii="Abadi" w:hAnsi="Abadi"/>
          <w:i/>
          <w:sz w:val="21"/>
          <w:szCs w:val="21"/>
        </w:rPr>
      </w:pPr>
      <w:r w:rsidRPr="00F81845">
        <w:rPr>
          <w:rFonts w:ascii="Abadi" w:hAnsi="Abadi"/>
          <w:i/>
          <w:sz w:val="21"/>
          <w:szCs w:val="21"/>
        </w:rPr>
        <w:t>Impacto administrativo. La iniciativa que se plantea, fortalece las disposiciones que establecen como principio de planeación la incorporación de la perspectiva de género a fin de que esta se traduzca en acciones concretas que impacten en la vida de las mujeres guanajuatense, por lo que se incorporan nuevas obligaciones para la administración pública estatal y municipal. Impacto presupuestal. La presente iniciativa no tiene impacto presupuestal al no traer consigo la generación de nuevas plazas o cambios en la estructura administrativa. Impacto social. La presente propuesta de reforma fortalecerá los derechos de las mujeres guanajuatenses y su acceso al desarrollo en iguales condiciones que los hombres al ser visibilizadas sus necesidades específicas en los instrumentos de planeación del desarrollo estatal.»</w:t>
      </w:r>
    </w:p>
    <w:p w14:paraId="2DDF3601" w14:textId="77777777" w:rsidR="00F81845" w:rsidRPr="00F81845" w:rsidRDefault="00F81845" w:rsidP="00F81845">
      <w:pPr>
        <w:widowControl w:val="0"/>
        <w:autoSpaceDE w:val="0"/>
        <w:autoSpaceDN w:val="0"/>
        <w:adjustRightInd w:val="0"/>
        <w:spacing w:line="360" w:lineRule="auto"/>
        <w:ind w:firstLine="708"/>
        <w:jc w:val="both"/>
        <w:rPr>
          <w:rFonts w:ascii="Abadi" w:eastAsia="Calibri" w:hAnsi="Abadi"/>
          <w:sz w:val="21"/>
          <w:szCs w:val="21"/>
          <w:lang w:val="es-MX" w:eastAsia="en-US"/>
        </w:rPr>
      </w:pPr>
    </w:p>
    <w:p w14:paraId="67277CEF" w14:textId="77777777" w:rsidR="00F81845" w:rsidRPr="00F81845" w:rsidRDefault="00F81845" w:rsidP="00EA2D06">
      <w:pPr>
        <w:widowControl w:val="0"/>
        <w:autoSpaceDE w:val="0"/>
        <w:autoSpaceDN w:val="0"/>
        <w:adjustRightInd w:val="0"/>
        <w:ind w:firstLine="708"/>
        <w:jc w:val="both"/>
        <w:rPr>
          <w:rFonts w:ascii="Abadi" w:eastAsia="Calibri" w:hAnsi="Abadi"/>
          <w:sz w:val="21"/>
          <w:szCs w:val="21"/>
          <w:lang w:val="es-MX" w:eastAsia="en-US"/>
        </w:rPr>
      </w:pPr>
      <w:r w:rsidRPr="00F81845">
        <w:rPr>
          <w:rFonts w:ascii="Abadi" w:eastAsia="Calibri" w:hAnsi="Abadi"/>
          <w:sz w:val="21"/>
          <w:szCs w:val="21"/>
          <w:lang w:val="es-MX" w:eastAsia="en-US"/>
        </w:rPr>
        <w:t xml:space="preserve">Quienes integramos la comisión que dictamina consideramos que del análisis de las iniciativas sus objetivos son incluir los conceptos de perspectiva de familia y de género en la Ley de Planeación para el Estado de Guanajuato, buscando generar una política pública enfocada a impulsar esos principios en beneficio de las y los guanajuatenses. </w:t>
      </w:r>
    </w:p>
    <w:p w14:paraId="70F0BBFB" w14:textId="77777777" w:rsidR="00F81845" w:rsidRPr="00F81845" w:rsidRDefault="00F81845" w:rsidP="00EA2D06">
      <w:pPr>
        <w:widowControl w:val="0"/>
        <w:autoSpaceDE w:val="0"/>
        <w:autoSpaceDN w:val="0"/>
        <w:adjustRightInd w:val="0"/>
        <w:ind w:firstLine="708"/>
        <w:jc w:val="both"/>
        <w:rPr>
          <w:rFonts w:ascii="Abadi" w:eastAsia="Calibri" w:hAnsi="Abadi"/>
          <w:sz w:val="21"/>
          <w:szCs w:val="21"/>
          <w:lang w:val="es-MX" w:eastAsia="en-US"/>
        </w:rPr>
      </w:pPr>
    </w:p>
    <w:p w14:paraId="5E68803F" w14:textId="77777777" w:rsidR="00F81845" w:rsidRPr="00F81845" w:rsidRDefault="00F81845" w:rsidP="00EA2D06">
      <w:pPr>
        <w:widowControl w:val="0"/>
        <w:autoSpaceDE w:val="0"/>
        <w:autoSpaceDN w:val="0"/>
        <w:adjustRightInd w:val="0"/>
        <w:ind w:firstLine="708"/>
        <w:jc w:val="both"/>
        <w:rPr>
          <w:rFonts w:ascii="Abadi" w:hAnsi="Abadi" w:cs="Arial"/>
          <w:sz w:val="21"/>
          <w:szCs w:val="21"/>
        </w:rPr>
      </w:pPr>
      <w:r w:rsidRPr="00F81845">
        <w:rPr>
          <w:rFonts w:ascii="Abadi" w:eastAsia="Calibri" w:hAnsi="Abadi"/>
          <w:sz w:val="21"/>
          <w:szCs w:val="21"/>
          <w:lang w:val="es-MX" w:eastAsia="en-US"/>
        </w:rPr>
        <w:t>Bajo ese alcance es menester iniciar nuestro análisis refiriendo que las familias son organizaciones dinámicas que se adaptan a los cambios demográficos, sociales, económicos y culturales que continuamente se presentan en la sociedad. A lo largo de la historia, sus integrantes se han agrupado para formar estructuras capaces de enfrentar los desafíos propios de cada época y comunidad en que han vivido, con el objetivo de asegurar su subsistencia y seguridad</w:t>
      </w:r>
      <w:r w:rsidRPr="00F81845">
        <w:rPr>
          <w:rFonts w:ascii="Abadi" w:hAnsi="Abadi" w:cs="Arial"/>
          <w:sz w:val="21"/>
          <w:szCs w:val="21"/>
          <w:vertAlign w:val="superscript"/>
        </w:rPr>
        <w:footnoteReference w:id="103"/>
      </w:r>
      <w:r w:rsidRPr="00F81845">
        <w:rPr>
          <w:rFonts w:ascii="Abadi" w:hAnsi="Abadi" w:cs="Arial"/>
          <w:sz w:val="21"/>
          <w:szCs w:val="21"/>
        </w:rPr>
        <w:t>.</w:t>
      </w:r>
    </w:p>
    <w:p w14:paraId="6A0CD8A9" w14:textId="77777777" w:rsidR="00F81845" w:rsidRPr="00F81845" w:rsidRDefault="00F81845" w:rsidP="00F81845">
      <w:pPr>
        <w:jc w:val="both"/>
        <w:rPr>
          <w:rFonts w:ascii="Abadi" w:hAnsi="Abadi" w:cs="Arial"/>
          <w:sz w:val="21"/>
          <w:szCs w:val="21"/>
        </w:rPr>
      </w:pPr>
    </w:p>
    <w:p w14:paraId="09E0BB31" w14:textId="77777777" w:rsidR="00F81845" w:rsidRPr="00F81845" w:rsidRDefault="00F81845" w:rsidP="00EA2D06">
      <w:pPr>
        <w:ind w:firstLine="708"/>
        <w:jc w:val="both"/>
        <w:rPr>
          <w:rFonts w:ascii="Abadi" w:eastAsia="Calibri" w:hAnsi="Abadi"/>
          <w:sz w:val="21"/>
          <w:szCs w:val="21"/>
          <w:lang w:val="es-MX" w:eastAsia="en-US"/>
        </w:rPr>
      </w:pPr>
      <w:r w:rsidRPr="00F81845">
        <w:rPr>
          <w:rFonts w:ascii="Abadi" w:eastAsia="Calibri" w:hAnsi="Abadi"/>
          <w:sz w:val="21"/>
          <w:szCs w:val="21"/>
          <w:lang w:val="es-MX" w:eastAsia="en-US"/>
        </w:rPr>
        <w:t>Éstos cambios han repercutido en las propias formas de organización e integración de las familias, con el objetivo de reconocer la existencia de una gran diversidad de formas en que se organizan y conviven los seres humanos</w:t>
      </w:r>
      <w:r w:rsidRPr="00F81845">
        <w:rPr>
          <w:rFonts w:ascii="Abadi" w:hAnsi="Abadi" w:cs="Arial"/>
          <w:sz w:val="21"/>
          <w:szCs w:val="21"/>
        </w:rPr>
        <w:t>,</w:t>
      </w:r>
      <w:r w:rsidRPr="00F81845">
        <w:rPr>
          <w:rFonts w:ascii="Abadi" w:hAnsi="Abadi" w:cs="Arial"/>
          <w:sz w:val="21"/>
          <w:szCs w:val="21"/>
          <w:vertAlign w:val="superscript"/>
        </w:rPr>
        <w:footnoteReference w:id="104"/>
      </w:r>
      <w:r w:rsidRPr="00F81845">
        <w:rPr>
          <w:rFonts w:ascii="Abadi" w:hAnsi="Abadi" w:cs="Arial"/>
          <w:sz w:val="21"/>
          <w:szCs w:val="21"/>
        </w:rPr>
        <w:t xml:space="preserve"> </w:t>
      </w:r>
      <w:r w:rsidRPr="00F81845">
        <w:rPr>
          <w:rFonts w:ascii="Abadi" w:eastAsia="Calibri" w:hAnsi="Abadi"/>
          <w:sz w:val="21"/>
          <w:szCs w:val="21"/>
          <w:lang w:val="es-MX" w:eastAsia="en-US"/>
        </w:rPr>
        <w:t>por ejemplo: familias nucleares sin hijos; familias nucleares monoparentales o biparentales, es decir, con un solo hijo, o dos o más, respectivamente; familias ampliadas o extensas integradas por progenitores con o sin hijos y otros parientes como abuelos (as), tíos (as), primos (as), etc.; familias ensambladas, compuestas por una persona con hijos (as), que vive con otra persona con o sin hijos (as); familias sin núcleo compuestas por personas sin vínculo filial pero sí de parentesco, como dos o más hermanos (as), abuelos (as) y sus nietos (as), tíos (as) y sobrinos (as), etc.; familias de acogida, de acogimiento pre adoptivo, entre otras. Relevancia adquiere la integración familiar en la región latinoamericana, en donde solo una de cada 5 familias corresponde al modelo de familia nuclear tradicional (padre proveedor económico, madre ama de casa con hijos e hijas propios). En la región, una proporción importante de familias son monoparentales (sobre todo con jefatura femenina), y biparentales (pareja con o sin hijos (as), donde ambos cónyuges obtienen ingresos.</w:t>
      </w:r>
    </w:p>
    <w:p w14:paraId="0D79FA94" w14:textId="77777777" w:rsidR="00F81845" w:rsidRPr="00F81845" w:rsidRDefault="00F81845" w:rsidP="00F81845">
      <w:pPr>
        <w:spacing w:line="360" w:lineRule="auto"/>
        <w:ind w:firstLine="708"/>
        <w:jc w:val="both"/>
        <w:rPr>
          <w:rFonts w:ascii="Abadi" w:eastAsia="Calibri" w:hAnsi="Abadi"/>
          <w:sz w:val="21"/>
          <w:szCs w:val="21"/>
          <w:lang w:val="es-MX" w:eastAsia="en-US"/>
        </w:rPr>
      </w:pPr>
    </w:p>
    <w:p w14:paraId="1B8EC6F3" w14:textId="77777777" w:rsidR="00F81845" w:rsidRPr="00F81845" w:rsidRDefault="00F81845" w:rsidP="00EA2D06">
      <w:pPr>
        <w:ind w:firstLine="708"/>
        <w:jc w:val="both"/>
        <w:rPr>
          <w:rFonts w:ascii="Abadi" w:hAnsi="Abadi" w:cs="Arial"/>
          <w:b/>
          <w:bCs/>
          <w:sz w:val="21"/>
          <w:szCs w:val="21"/>
        </w:rPr>
      </w:pPr>
      <w:r w:rsidRPr="00F81845">
        <w:rPr>
          <w:rFonts w:ascii="Abadi" w:eastAsia="Calibri" w:hAnsi="Abadi"/>
          <w:sz w:val="21"/>
          <w:szCs w:val="21"/>
          <w:lang w:val="es-MX" w:eastAsia="en-US"/>
        </w:rPr>
        <w:t xml:space="preserve">Por otro lado, en el derecho internacional de los derechos humanos, la familia es reconocida como </w:t>
      </w:r>
      <w:r w:rsidRPr="00F81845">
        <w:rPr>
          <w:rFonts w:ascii="Abadi" w:eastAsia="Calibri" w:hAnsi="Abadi"/>
          <w:i/>
          <w:iCs/>
          <w:sz w:val="21"/>
          <w:szCs w:val="21"/>
          <w:lang w:val="es-MX" w:eastAsia="en-US"/>
        </w:rPr>
        <w:t xml:space="preserve">«el elemento natural y fundamental de la sociedad», </w:t>
      </w:r>
      <w:r w:rsidRPr="00F81845">
        <w:rPr>
          <w:rFonts w:ascii="Abadi" w:eastAsia="Calibri" w:hAnsi="Abadi"/>
          <w:sz w:val="21"/>
          <w:szCs w:val="21"/>
          <w:lang w:val="es-MX" w:eastAsia="en-US"/>
        </w:rPr>
        <w:t>que debe ser protegida tanto por el Estado como por la sociedad</w:t>
      </w:r>
      <w:r w:rsidRPr="00F81845">
        <w:rPr>
          <w:rFonts w:ascii="Abadi" w:hAnsi="Abadi" w:cs="Arial"/>
          <w:sz w:val="21"/>
          <w:szCs w:val="21"/>
          <w:vertAlign w:val="superscript"/>
        </w:rPr>
        <w:footnoteReference w:id="105"/>
      </w:r>
      <w:r w:rsidRPr="00F81845">
        <w:rPr>
          <w:rFonts w:ascii="Abadi" w:hAnsi="Abadi" w:cs="Arial"/>
          <w:sz w:val="21"/>
          <w:szCs w:val="21"/>
        </w:rPr>
        <w:t>.</w:t>
      </w:r>
      <w:r w:rsidRPr="00F81845">
        <w:rPr>
          <w:rFonts w:ascii="Abadi" w:hAnsi="Abadi" w:cs="Arial"/>
          <w:b/>
          <w:bCs/>
          <w:sz w:val="21"/>
          <w:szCs w:val="21"/>
        </w:rPr>
        <w:t xml:space="preserve"> </w:t>
      </w:r>
    </w:p>
    <w:p w14:paraId="4F73212F" w14:textId="77777777" w:rsidR="00F81845" w:rsidRPr="00F81845" w:rsidRDefault="00F81845" w:rsidP="00EA2D06">
      <w:pPr>
        <w:ind w:firstLine="708"/>
        <w:jc w:val="both"/>
        <w:rPr>
          <w:rFonts w:ascii="Abadi" w:hAnsi="Abadi" w:cs="Arial"/>
          <w:b/>
          <w:bCs/>
          <w:sz w:val="21"/>
          <w:szCs w:val="21"/>
        </w:rPr>
      </w:pPr>
    </w:p>
    <w:p w14:paraId="0ECCD7CD" w14:textId="77777777" w:rsidR="00F81845" w:rsidRPr="00F81845" w:rsidRDefault="00F81845" w:rsidP="00EA2D06">
      <w:pPr>
        <w:ind w:firstLine="708"/>
        <w:jc w:val="both"/>
        <w:rPr>
          <w:rFonts w:ascii="Abadi" w:eastAsia="Calibri" w:hAnsi="Abadi"/>
          <w:sz w:val="21"/>
          <w:szCs w:val="21"/>
          <w:lang w:val="es-MX" w:eastAsia="en-US"/>
        </w:rPr>
      </w:pPr>
      <w:r w:rsidRPr="00F81845">
        <w:rPr>
          <w:rFonts w:ascii="Abadi" w:eastAsia="Calibri" w:hAnsi="Abadi"/>
          <w:sz w:val="21"/>
          <w:szCs w:val="21"/>
          <w:lang w:val="es-MX" w:eastAsia="en-US"/>
        </w:rPr>
        <w:t xml:space="preserve">En ese sentido, el artículo 4 constitucional establece: </w:t>
      </w:r>
    </w:p>
    <w:p w14:paraId="637F9123" w14:textId="77777777" w:rsidR="00F81845" w:rsidRPr="00F81845" w:rsidRDefault="00F81845" w:rsidP="00EA2D06">
      <w:pPr>
        <w:ind w:left="1701"/>
        <w:jc w:val="both"/>
        <w:rPr>
          <w:rFonts w:ascii="Abadi" w:hAnsi="Abadi"/>
          <w:b/>
          <w:bCs/>
          <w:color w:val="000000"/>
          <w:sz w:val="21"/>
          <w:szCs w:val="21"/>
          <w:shd w:val="clear" w:color="auto" w:fill="FFFFFF"/>
        </w:rPr>
      </w:pPr>
    </w:p>
    <w:p w14:paraId="2FEFD85D" w14:textId="77777777" w:rsidR="00F81845" w:rsidRPr="00F81845" w:rsidRDefault="00F81845" w:rsidP="00EA2D06">
      <w:pPr>
        <w:ind w:left="1701"/>
        <w:jc w:val="both"/>
        <w:rPr>
          <w:rFonts w:ascii="Abadi" w:hAnsi="Abadi" w:cstheme="minorHAnsi"/>
          <w:color w:val="000000"/>
          <w:sz w:val="21"/>
          <w:szCs w:val="21"/>
          <w:shd w:val="clear" w:color="auto" w:fill="FFFFFF"/>
        </w:rPr>
      </w:pPr>
      <w:r w:rsidRPr="00F81845">
        <w:rPr>
          <w:rFonts w:ascii="Abadi" w:hAnsi="Abadi" w:cstheme="minorHAnsi"/>
          <w:b/>
          <w:bCs/>
          <w:color w:val="000000"/>
          <w:sz w:val="21"/>
          <w:szCs w:val="21"/>
          <w:shd w:val="clear" w:color="auto" w:fill="FFFFFF"/>
        </w:rPr>
        <w:t>Artículo 4o.-</w:t>
      </w:r>
      <w:r w:rsidRPr="00F81845">
        <w:rPr>
          <w:rFonts w:ascii="Abadi" w:hAnsi="Abadi" w:cstheme="minorHAnsi"/>
          <w:color w:val="000000"/>
          <w:sz w:val="21"/>
          <w:szCs w:val="21"/>
          <w:shd w:val="clear" w:color="auto" w:fill="FFFFFF"/>
        </w:rPr>
        <w:t xml:space="preserve"> La mujer y el hombre son iguales ante la ley</w:t>
      </w:r>
      <w:r w:rsidRPr="00F81845">
        <w:rPr>
          <w:rFonts w:ascii="Abadi" w:hAnsi="Abadi" w:cstheme="minorHAnsi"/>
          <w:color w:val="000000"/>
          <w:sz w:val="21"/>
          <w:szCs w:val="21"/>
          <w:u w:val="single"/>
          <w:shd w:val="clear" w:color="auto" w:fill="FFFFFF"/>
        </w:rPr>
        <w:t>. Ésta protegerá la organización y el desarrollo de la familia</w:t>
      </w:r>
      <w:r w:rsidRPr="00F81845">
        <w:rPr>
          <w:rFonts w:ascii="Abadi" w:hAnsi="Abadi" w:cstheme="minorHAnsi"/>
          <w:color w:val="000000"/>
          <w:sz w:val="21"/>
          <w:szCs w:val="21"/>
          <w:shd w:val="clear" w:color="auto" w:fill="FFFFFF"/>
        </w:rPr>
        <w:t>.</w:t>
      </w:r>
    </w:p>
    <w:p w14:paraId="1F4C29CD" w14:textId="77777777" w:rsidR="00F81845" w:rsidRPr="00F81845" w:rsidRDefault="00F81845" w:rsidP="00EA2D06">
      <w:pPr>
        <w:jc w:val="both"/>
        <w:rPr>
          <w:rFonts w:ascii="Abadi" w:hAnsi="Abadi" w:cs="Arial"/>
          <w:sz w:val="21"/>
          <w:szCs w:val="21"/>
        </w:rPr>
      </w:pPr>
    </w:p>
    <w:p w14:paraId="47EC51EC" w14:textId="77777777" w:rsidR="00F81845" w:rsidRPr="00F81845" w:rsidRDefault="00F81845" w:rsidP="00EA2D06">
      <w:pPr>
        <w:ind w:firstLine="708"/>
        <w:jc w:val="both"/>
        <w:rPr>
          <w:rFonts w:ascii="Abadi" w:eastAsia="Calibri" w:hAnsi="Abadi"/>
          <w:sz w:val="21"/>
          <w:szCs w:val="21"/>
          <w:lang w:val="es-MX" w:eastAsia="en-US"/>
        </w:rPr>
      </w:pPr>
      <w:r w:rsidRPr="00F81845">
        <w:rPr>
          <w:rFonts w:ascii="Abadi" w:eastAsia="Calibri" w:hAnsi="Abadi"/>
          <w:sz w:val="21"/>
          <w:szCs w:val="21"/>
          <w:lang w:val="es-MX" w:eastAsia="en-US"/>
        </w:rPr>
        <w:t xml:space="preserve">En el sistema interamericano tanto la </w:t>
      </w:r>
      <w:r w:rsidRPr="00F81845">
        <w:rPr>
          <w:rFonts w:ascii="Abadi" w:eastAsia="Calibri" w:hAnsi="Abadi"/>
          <w:i/>
          <w:iCs/>
          <w:sz w:val="21"/>
          <w:szCs w:val="21"/>
          <w:lang w:val="es-MX" w:eastAsia="en-US"/>
        </w:rPr>
        <w:t>Convención Americana sobre Derechos Humanos,</w:t>
      </w:r>
      <w:r w:rsidRPr="00F81845">
        <w:rPr>
          <w:rFonts w:ascii="Abadi" w:eastAsia="Calibri" w:hAnsi="Abadi"/>
          <w:sz w:val="21"/>
          <w:szCs w:val="21"/>
          <w:lang w:val="es-MX" w:eastAsia="en-US"/>
        </w:rPr>
        <w:t xml:space="preserve"> como la </w:t>
      </w:r>
      <w:r w:rsidRPr="00F81845">
        <w:rPr>
          <w:rFonts w:ascii="Abadi" w:eastAsia="Calibri" w:hAnsi="Abadi"/>
          <w:i/>
          <w:iCs/>
          <w:sz w:val="21"/>
          <w:szCs w:val="21"/>
          <w:lang w:val="es-MX" w:eastAsia="en-US"/>
        </w:rPr>
        <w:t>Convención Belem Do Para</w:t>
      </w:r>
      <w:r w:rsidRPr="00F81845">
        <w:rPr>
          <w:rFonts w:ascii="Abadi" w:eastAsia="Calibri" w:hAnsi="Abadi"/>
          <w:sz w:val="21"/>
          <w:szCs w:val="21"/>
          <w:lang w:val="es-MX" w:eastAsia="en-US"/>
        </w:rPr>
        <w:t>, consignan referencias a la familia, es decir, por principio la: Convención Americana sobre derechos humanos, en su artículo 17.1 establece:</w:t>
      </w:r>
    </w:p>
    <w:p w14:paraId="500FAA44" w14:textId="77777777" w:rsidR="00F81845" w:rsidRPr="00F81845" w:rsidRDefault="00F81845" w:rsidP="00EA2D06">
      <w:pPr>
        <w:jc w:val="both"/>
        <w:rPr>
          <w:rFonts w:ascii="Abadi" w:hAnsi="Abadi" w:cs="Arial"/>
          <w:sz w:val="21"/>
          <w:szCs w:val="21"/>
        </w:rPr>
      </w:pPr>
    </w:p>
    <w:p w14:paraId="0403E340" w14:textId="77777777" w:rsidR="00F81845" w:rsidRPr="00F81845" w:rsidRDefault="00F81845" w:rsidP="00EA2D06">
      <w:pPr>
        <w:ind w:left="1701"/>
        <w:jc w:val="both"/>
        <w:rPr>
          <w:rFonts w:ascii="Abadi" w:hAnsi="Abadi" w:cstheme="minorHAnsi"/>
          <w:color w:val="000000"/>
          <w:sz w:val="21"/>
          <w:szCs w:val="21"/>
          <w:shd w:val="clear" w:color="auto" w:fill="FFFFFF"/>
        </w:rPr>
      </w:pPr>
      <w:r w:rsidRPr="00F81845">
        <w:rPr>
          <w:rFonts w:ascii="Abadi" w:hAnsi="Abadi" w:cstheme="minorHAnsi"/>
          <w:color w:val="000000"/>
          <w:sz w:val="21"/>
          <w:szCs w:val="21"/>
          <w:shd w:val="clear" w:color="auto" w:fill="FFFFFF"/>
        </w:rPr>
        <w:t>1. La familia es el elemento natural y fundamental de la sociedad y debe ser protegida por la sociedad y el Estado.</w:t>
      </w:r>
    </w:p>
    <w:p w14:paraId="2431BAFC" w14:textId="77777777" w:rsidR="00F81845" w:rsidRPr="00F81845" w:rsidRDefault="00F81845" w:rsidP="00EA2D06">
      <w:pPr>
        <w:ind w:firstLine="708"/>
        <w:jc w:val="both"/>
        <w:rPr>
          <w:rFonts w:ascii="Abadi" w:eastAsia="Calibri" w:hAnsi="Abadi"/>
          <w:sz w:val="21"/>
          <w:szCs w:val="21"/>
          <w:lang w:val="es-MX" w:eastAsia="en-US"/>
        </w:rPr>
      </w:pPr>
      <w:r w:rsidRPr="00F81845">
        <w:rPr>
          <w:rFonts w:ascii="Abadi" w:eastAsia="Calibri" w:hAnsi="Abadi"/>
          <w:sz w:val="21"/>
          <w:szCs w:val="21"/>
          <w:lang w:val="es-MX" w:eastAsia="en-US"/>
        </w:rPr>
        <w:t>El artículo 4, inciso e)</w:t>
      </w:r>
      <w:r w:rsidRPr="00F81845">
        <w:rPr>
          <w:rFonts w:ascii="Abadi" w:hAnsi="Abadi" w:cs="Arial"/>
          <w:sz w:val="21"/>
          <w:szCs w:val="21"/>
          <w:vertAlign w:val="superscript"/>
        </w:rPr>
        <w:footnoteReference w:id="106"/>
      </w:r>
      <w:r w:rsidRPr="00F81845">
        <w:rPr>
          <w:rFonts w:ascii="Abadi" w:hAnsi="Abadi" w:cs="Arial"/>
          <w:sz w:val="21"/>
          <w:szCs w:val="21"/>
        </w:rPr>
        <w:t xml:space="preserve"> </w:t>
      </w:r>
      <w:r w:rsidRPr="00F81845">
        <w:rPr>
          <w:rFonts w:ascii="Abadi" w:eastAsia="Calibri" w:hAnsi="Abadi"/>
          <w:sz w:val="21"/>
          <w:szCs w:val="21"/>
          <w:lang w:val="es-MX" w:eastAsia="en-US"/>
        </w:rPr>
        <w:t xml:space="preserve">de La Convención Interamericana para prevenir, sancionar y erradicar la violencia contra la mujer, también conocida como convención Belem do para, reconoce el derecho de las mujeres a que se proteja su familia. En los instrumentos internacionales, tanto los Pactos sobre derechos económicos sociales y culturales, y sobre derechos civiles y políticos, así como la convención sobre derechos del Niño, refieren a la familia. </w:t>
      </w:r>
    </w:p>
    <w:p w14:paraId="22DF19E2" w14:textId="77777777" w:rsidR="00F81845" w:rsidRPr="00F81845" w:rsidRDefault="00F81845" w:rsidP="00EA2D06">
      <w:pPr>
        <w:ind w:firstLine="708"/>
        <w:jc w:val="both"/>
        <w:rPr>
          <w:rFonts w:ascii="Abadi" w:hAnsi="Abadi" w:cs="Arial"/>
          <w:b/>
          <w:bCs/>
          <w:sz w:val="21"/>
          <w:szCs w:val="21"/>
        </w:rPr>
      </w:pPr>
    </w:p>
    <w:p w14:paraId="63F0BFC0" w14:textId="77777777" w:rsidR="00F81845" w:rsidRPr="00F81845" w:rsidRDefault="00F81845" w:rsidP="00EA2D06">
      <w:pPr>
        <w:ind w:firstLine="708"/>
        <w:jc w:val="both"/>
        <w:rPr>
          <w:rFonts w:ascii="Abadi" w:eastAsia="Calibri" w:hAnsi="Abadi"/>
          <w:sz w:val="21"/>
          <w:szCs w:val="21"/>
          <w:lang w:val="es-MX" w:eastAsia="en-US"/>
        </w:rPr>
      </w:pPr>
      <w:r w:rsidRPr="00F81845">
        <w:rPr>
          <w:rFonts w:ascii="Abadi" w:eastAsia="Calibri" w:hAnsi="Abadi"/>
          <w:sz w:val="21"/>
          <w:szCs w:val="21"/>
          <w:lang w:val="es-MX" w:eastAsia="en-US"/>
        </w:rPr>
        <w:t>El Pacto internacional de derechos económicos, sociales y culturales, en su artículo 10, consigna:</w:t>
      </w:r>
    </w:p>
    <w:p w14:paraId="25F921FC" w14:textId="77777777" w:rsidR="00F81845" w:rsidRPr="00F81845" w:rsidRDefault="00F81845" w:rsidP="00EA2D06">
      <w:pPr>
        <w:jc w:val="both"/>
        <w:rPr>
          <w:rFonts w:ascii="Abadi" w:hAnsi="Abadi" w:cs="Arial"/>
          <w:b/>
          <w:bCs/>
          <w:sz w:val="21"/>
          <w:szCs w:val="21"/>
        </w:rPr>
      </w:pPr>
    </w:p>
    <w:p w14:paraId="61999657" w14:textId="77777777" w:rsidR="00F81845" w:rsidRPr="00F81845" w:rsidRDefault="00F81845" w:rsidP="00EA2D06">
      <w:pPr>
        <w:ind w:left="1701"/>
        <w:jc w:val="both"/>
        <w:rPr>
          <w:rFonts w:ascii="Abadi" w:hAnsi="Abadi" w:cstheme="minorHAnsi"/>
          <w:color w:val="000000"/>
          <w:sz w:val="21"/>
          <w:szCs w:val="21"/>
          <w:shd w:val="clear" w:color="auto" w:fill="FFFFFF"/>
        </w:rPr>
      </w:pPr>
      <w:r w:rsidRPr="00F81845">
        <w:rPr>
          <w:rFonts w:ascii="Abadi" w:hAnsi="Abadi" w:cstheme="minorHAnsi"/>
          <w:color w:val="000000"/>
          <w:sz w:val="21"/>
          <w:szCs w:val="21"/>
          <w:shd w:val="clear" w:color="auto" w:fill="FFFFFF"/>
        </w:rPr>
        <w:t>Los Estados Partes en el presente Pacto reconocen que:</w:t>
      </w:r>
    </w:p>
    <w:p w14:paraId="5C29609E" w14:textId="77777777" w:rsidR="00F81845" w:rsidRPr="00F81845" w:rsidRDefault="00F81845" w:rsidP="00EA2D06">
      <w:pPr>
        <w:ind w:left="1701"/>
        <w:jc w:val="both"/>
        <w:rPr>
          <w:rFonts w:ascii="Abadi" w:hAnsi="Abadi" w:cstheme="minorHAnsi"/>
          <w:color w:val="000000"/>
          <w:sz w:val="21"/>
          <w:szCs w:val="21"/>
          <w:shd w:val="clear" w:color="auto" w:fill="FFFFFF"/>
        </w:rPr>
      </w:pPr>
    </w:p>
    <w:p w14:paraId="3A6C8582" w14:textId="77777777" w:rsidR="00F81845" w:rsidRPr="00F81845" w:rsidRDefault="00F81845" w:rsidP="00EA2D06">
      <w:pPr>
        <w:ind w:left="1701"/>
        <w:jc w:val="both"/>
        <w:rPr>
          <w:rFonts w:ascii="Abadi" w:hAnsi="Abadi" w:cstheme="minorHAnsi"/>
          <w:color w:val="000000"/>
          <w:sz w:val="21"/>
          <w:szCs w:val="21"/>
          <w:shd w:val="clear" w:color="auto" w:fill="FFFFFF"/>
        </w:rPr>
      </w:pPr>
      <w:r w:rsidRPr="00F81845">
        <w:rPr>
          <w:rFonts w:ascii="Abadi" w:hAnsi="Abadi" w:cstheme="minorHAnsi"/>
          <w:color w:val="000000"/>
          <w:sz w:val="21"/>
          <w:szCs w:val="21"/>
          <w:shd w:val="clear" w:color="auto" w:fill="FFFFFF"/>
        </w:rPr>
        <w:t>1. Se debe conceder a la familia, que es el elemento natural y fundamental de la sociedad, la más amplia protección y asistencia posibles, especialmente para su constitución y mientras sea responsable del cuidado y la educación de los hijos a su cargo.</w:t>
      </w:r>
    </w:p>
    <w:p w14:paraId="704AAC95" w14:textId="77777777" w:rsidR="00F81845" w:rsidRPr="00F81845" w:rsidRDefault="00F81845" w:rsidP="00EA2D06">
      <w:pPr>
        <w:jc w:val="both"/>
        <w:rPr>
          <w:rFonts w:ascii="Abadi" w:hAnsi="Abadi" w:cs="Arial"/>
          <w:b/>
          <w:bCs/>
          <w:sz w:val="21"/>
          <w:szCs w:val="21"/>
        </w:rPr>
      </w:pPr>
    </w:p>
    <w:p w14:paraId="7BCBC098" w14:textId="77777777" w:rsidR="00F81845" w:rsidRPr="00F81845" w:rsidRDefault="00F81845" w:rsidP="00EA2D06">
      <w:pPr>
        <w:ind w:firstLine="708"/>
        <w:jc w:val="both"/>
        <w:rPr>
          <w:rFonts w:ascii="Abadi" w:eastAsia="Calibri" w:hAnsi="Abadi"/>
          <w:sz w:val="21"/>
          <w:szCs w:val="21"/>
          <w:lang w:val="es-MX" w:eastAsia="en-US"/>
        </w:rPr>
      </w:pPr>
      <w:r w:rsidRPr="00F81845">
        <w:rPr>
          <w:rFonts w:ascii="Abadi" w:eastAsia="Calibri" w:hAnsi="Abadi"/>
          <w:sz w:val="21"/>
          <w:szCs w:val="21"/>
          <w:lang w:val="es-MX" w:eastAsia="en-US"/>
        </w:rPr>
        <w:t xml:space="preserve">El Pacto internacional de derechos civiles y políticos, en su artículo 23, establece: </w:t>
      </w:r>
    </w:p>
    <w:p w14:paraId="52A879C9" w14:textId="77777777" w:rsidR="00F81845" w:rsidRPr="00F81845" w:rsidRDefault="00F81845" w:rsidP="00EA2D06">
      <w:pPr>
        <w:jc w:val="both"/>
        <w:rPr>
          <w:rFonts w:ascii="Abadi" w:hAnsi="Abadi" w:cs="Arial"/>
          <w:b/>
          <w:bCs/>
          <w:sz w:val="21"/>
          <w:szCs w:val="21"/>
        </w:rPr>
      </w:pPr>
    </w:p>
    <w:p w14:paraId="2454E385" w14:textId="77777777" w:rsidR="00F81845" w:rsidRPr="00F81845" w:rsidRDefault="00F81845" w:rsidP="00EA2D06">
      <w:pPr>
        <w:ind w:left="1701"/>
        <w:jc w:val="both"/>
        <w:rPr>
          <w:rFonts w:ascii="Abadi" w:hAnsi="Abadi" w:cstheme="minorHAnsi"/>
          <w:color w:val="000000"/>
          <w:sz w:val="21"/>
          <w:szCs w:val="21"/>
          <w:u w:val="single"/>
          <w:shd w:val="clear" w:color="auto" w:fill="FFFFFF"/>
        </w:rPr>
      </w:pPr>
      <w:r w:rsidRPr="00F81845">
        <w:rPr>
          <w:rFonts w:ascii="Abadi" w:hAnsi="Abadi" w:cstheme="minorHAnsi"/>
          <w:color w:val="000000"/>
          <w:sz w:val="21"/>
          <w:szCs w:val="21"/>
          <w:shd w:val="clear" w:color="auto" w:fill="FFFFFF"/>
        </w:rPr>
        <w:t xml:space="preserve">1. </w:t>
      </w:r>
      <w:r w:rsidRPr="00F81845">
        <w:rPr>
          <w:rFonts w:ascii="Abadi" w:hAnsi="Abadi" w:cstheme="minorHAnsi"/>
          <w:color w:val="000000"/>
          <w:sz w:val="21"/>
          <w:szCs w:val="21"/>
          <w:u w:val="single"/>
          <w:shd w:val="clear" w:color="auto" w:fill="FFFFFF"/>
        </w:rPr>
        <w:t>La familia es el elemento natural y fundamental de la sociedad y tiene derecho a la protección de la sociedad y del Estado.</w:t>
      </w:r>
    </w:p>
    <w:p w14:paraId="67A93470" w14:textId="77777777" w:rsidR="00F81845" w:rsidRPr="00F81845" w:rsidRDefault="00F81845" w:rsidP="00EA2D06">
      <w:pPr>
        <w:ind w:firstLine="708"/>
        <w:jc w:val="both"/>
        <w:rPr>
          <w:rFonts w:ascii="Abadi" w:hAnsi="Abadi" w:cs="Arial"/>
          <w:b/>
          <w:bCs/>
          <w:sz w:val="21"/>
          <w:szCs w:val="21"/>
        </w:rPr>
      </w:pPr>
    </w:p>
    <w:p w14:paraId="614DA5B2" w14:textId="77777777" w:rsidR="00F81845" w:rsidRPr="00F81845" w:rsidRDefault="00F81845" w:rsidP="00EA2D06">
      <w:pPr>
        <w:ind w:firstLine="708"/>
        <w:jc w:val="both"/>
        <w:rPr>
          <w:rFonts w:ascii="Abadi" w:eastAsia="Calibri" w:hAnsi="Abadi"/>
          <w:sz w:val="21"/>
          <w:szCs w:val="21"/>
          <w:lang w:val="es-MX" w:eastAsia="en-US"/>
        </w:rPr>
      </w:pPr>
      <w:r w:rsidRPr="00F81845">
        <w:rPr>
          <w:rFonts w:ascii="Abadi" w:eastAsia="Calibri" w:hAnsi="Abadi"/>
          <w:sz w:val="21"/>
          <w:szCs w:val="21"/>
          <w:lang w:val="es-MX" w:eastAsia="en-US"/>
        </w:rPr>
        <w:t>Por su parte, el comité de derechos humanos de la Organización de Naciones Unidas insta a los Estados miembros a crear un entorno propicio para fortalecer y apoyar a todas las familias, reconociendo que la igualdad entre mujeres y hombres y el respeto de todos los derechos humanos y las libertades fundamentales de todos los miembros de la familia son esenciales para el bienestar de la familia y para la sociedad en general, señalando la importancia de la conciliación de la vida laboral y familiar y reconociendo el principio de la responsabilidad compartida de los padres para la crianza y el desarrollo del niño.</w:t>
      </w:r>
      <w:r w:rsidRPr="00F81845">
        <w:rPr>
          <w:rFonts w:ascii="Abadi" w:hAnsi="Abadi" w:cs="Arial"/>
          <w:sz w:val="21"/>
          <w:szCs w:val="21"/>
          <w:vertAlign w:val="superscript"/>
        </w:rPr>
        <w:footnoteReference w:id="107"/>
      </w:r>
    </w:p>
    <w:p w14:paraId="7ADA84E9" w14:textId="77777777" w:rsidR="00F81845" w:rsidRPr="00F81845" w:rsidRDefault="00F81845" w:rsidP="00EA2D06">
      <w:pPr>
        <w:ind w:firstLine="708"/>
        <w:jc w:val="both"/>
        <w:rPr>
          <w:rFonts w:ascii="Abadi" w:eastAsia="Calibri" w:hAnsi="Abadi"/>
          <w:sz w:val="21"/>
          <w:szCs w:val="21"/>
          <w:lang w:val="es-MX" w:eastAsia="en-US"/>
        </w:rPr>
      </w:pPr>
    </w:p>
    <w:p w14:paraId="2C29EA63" w14:textId="77777777" w:rsidR="00F81845" w:rsidRPr="00F81845" w:rsidRDefault="00F81845" w:rsidP="00EA2D06">
      <w:pPr>
        <w:jc w:val="both"/>
        <w:rPr>
          <w:rFonts w:ascii="Abadi" w:hAnsi="Abadi" w:cs="Arial"/>
          <w:sz w:val="21"/>
          <w:szCs w:val="21"/>
        </w:rPr>
      </w:pPr>
      <w:r w:rsidRPr="00F81845">
        <w:rPr>
          <w:rFonts w:ascii="Abadi" w:hAnsi="Abadi" w:cs="Arial"/>
          <w:b/>
          <w:bCs/>
          <w:sz w:val="21"/>
          <w:szCs w:val="21"/>
        </w:rPr>
        <w:t>II.1. La regulación de la familia en la legislación estatal.</w:t>
      </w:r>
      <w:r w:rsidRPr="00F81845">
        <w:rPr>
          <w:rFonts w:ascii="Abadi" w:hAnsi="Abadi" w:cs="Arial"/>
          <w:sz w:val="21"/>
          <w:szCs w:val="21"/>
        </w:rPr>
        <w:t xml:space="preserve"> </w:t>
      </w:r>
    </w:p>
    <w:p w14:paraId="5F11A8A9" w14:textId="77777777" w:rsidR="00F81845" w:rsidRPr="00F81845" w:rsidRDefault="00F81845" w:rsidP="00EA2D06">
      <w:pPr>
        <w:ind w:firstLine="708"/>
        <w:jc w:val="both"/>
        <w:rPr>
          <w:rFonts w:ascii="Abadi" w:eastAsia="Calibri" w:hAnsi="Abadi"/>
          <w:sz w:val="21"/>
          <w:szCs w:val="21"/>
          <w:lang w:val="es-MX" w:eastAsia="en-US"/>
        </w:rPr>
      </w:pPr>
      <w:r w:rsidRPr="00F81845">
        <w:rPr>
          <w:rFonts w:ascii="Abadi" w:eastAsia="Calibri" w:hAnsi="Abadi"/>
          <w:sz w:val="21"/>
          <w:szCs w:val="21"/>
          <w:lang w:val="es-MX" w:eastAsia="en-US"/>
        </w:rPr>
        <w:t>Sabemos quiénes dictaminamos que existe una multiplicidad de leyes secundarias que, fundamentadas en la declaración y protección de la familia como núcleo fundamental de la sociedad, así como en el deber general del Estado de protegerla, regulan las relaciones jurídicas familiares, con el objetivo de establecer derechos y obligaciones de los miembros que las integran, por mencionar algunas: Código Civil para el Estado de Guanajuato y Penal del Estado de Guanajuato: Sus disposiciones contemplan mecanismos que permiten exigir la satisfacción de los derechos de sus integrantes ante cualquier incumplimiento, y regulan las consecuencias jurídicas que de este deriven;</w:t>
      </w:r>
      <w:r w:rsidRPr="00F81845">
        <w:rPr>
          <w:rFonts w:ascii="Abadi" w:hAnsi="Abadi" w:cs="Arial"/>
          <w:sz w:val="21"/>
          <w:szCs w:val="21"/>
          <w:vertAlign w:val="superscript"/>
        </w:rPr>
        <w:footnoteReference w:id="108"/>
      </w:r>
      <w:r w:rsidRPr="00F81845">
        <w:rPr>
          <w:rFonts w:ascii="Abadi" w:eastAsia="Calibri" w:hAnsi="Abadi"/>
          <w:sz w:val="21"/>
          <w:szCs w:val="21"/>
          <w:lang w:val="es-MX" w:eastAsia="en-US"/>
        </w:rPr>
        <w:t xml:space="preserve"> la Ley de Derechos de Niñas, Niños y Adolescentes para el Estado de Guanajuato, cuyas disposiciones establecen como principio rector de su contenido el reconocimiento de la familia como espacio primordial de desarrollo. </w:t>
      </w:r>
    </w:p>
    <w:p w14:paraId="43804D49" w14:textId="77777777" w:rsidR="00F81845" w:rsidRPr="00F81845" w:rsidRDefault="00F81845" w:rsidP="00EA2D06">
      <w:pPr>
        <w:ind w:firstLine="708"/>
        <w:jc w:val="both"/>
        <w:rPr>
          <w:rFonts w:ascii="Abadi" w:eastAsia="Calibri" w:hAnsi="Abadi"/>
          <w:sz w:val="21"/>
          <w:szCs w:val="21"/>
          <w:lang w:val="es-MX" w:eastAsia="en-US"/>
        </w:rPr>
      </w:pPr>
    </w:p>
    <w:p w14:paraId="2C21C6F5" w14:textId="77777777" w:rsidR="00F81845" w:rsidRPr="00F81845" w:rsidRDefault="00F81845" w:rsidP="00EA2D06">
      <w:pPr>
        <w:ind w:firstLine="708"/>
        <w:jc w:val="both"/>
        <w:rPr>
          <w:rFonts w:ascii="Abadi" w:eastAsia="Calibri" w:hAnsi="Abadi"/>
          <w:sz w:val="21"/>
          <w:szCs w:val="21"/>
          <w:lang w:val="es-MX" w:eastAsia="en-US"/>
        </w:rPr>
      </w:pPr>
      <w:r w:rsidRPr="00F81845">
        <w:rPr>
          <w:rFonts w:ascii="Abadi" w:eastAsia="Calibri" w:hAnsi="Abadi"/>
          <w:sz w:val="21"/>
          <w:szCs w:val="21"/>
          <w:lang w:val="es-MX" w:eastAsia="en-US"/>
        </w:rPr>
        <w:t>La Ley de los Derechos de las Personas Adultas Mayores para el Estado de Guanajuato, su alcance reconoce a la familia como la institución fundamental en la que debe tener lugar la protección y desarrollo de la persona adulta mayor. Por otro lado, la Ley de Acceso a las Mujeres a una Vida Libre de Violencia para el Estado de Guanajuato, que reconoce que la familia es un ámbito en donde se presenta violencia contra las mujeres, y establece acciones y mecanismos tendientes a su protección, y la Ley sobre el Sistema Estatal de Asistencia Social que regula la proporción de servicios de asistencia social encaminados al desarrollo integral de la familia, a la que reconoce como la célula de la sociedad que provee a sus miembros de los elementos que requieren en las diversas circunstancias de su desarrollo.</w:t>
      </w:r>
    </w:p>
    <w:p w14:paraId="26DA6BE3" w14:textId="77777777" w:rsidR="00F81845" w:rsidRPr="00F81845" w:rsidRDefault="00F81845" w:rsidP="00EA2D06">
      <w:pPr>
        <w:jc w:val="both"/>
        <w:rPr>
          <w:rFonts w:ascii="Abadi" w:hAnsi="Abadi" w:cs="Arial"/>
          <w:sz w:val="21"/>
          <w:szCs w:val="21"/>
        </w:rPr>
      </w:pPr>
    </w:p>
    <w:p w14:paraId="2469B6DD" w14:textId="77777777" w:rsidR="00F81845" w:rsidRPr="00F81845" w:rsidRDefault="00F81845" w:rsidP="00EA2D06">
      <w:pPr>
        <w:ind w:firstLine="708"/>
        <w:jc w:val="both"/>
        <w:rPr>
          <w:rFonts w:ascii="Abadi" w:eastAsia="Calibri" w:hAnsi="Abadi"/>
          <w:sz w:val="21"/>
          <w:szCs w:val="21"/>
          <w:lang w:val="es-MX" w:eastAsia="en-US"/>
        </w:rPr>
      </w:pPr>
      <w:r w:rsidRPr="00F81845">
        <w:rPr>
          <w:rFonts w:ascii="Abadi" w:eastAsia="Calibri" w:hAnsi="Abadi"/>
          <w:sz w:val="21"/>
          <w:szCs w:val="21"/>
          <w:lang w:val="es-MX" w:eastAsia="en-US"/>
        </w:rPr>
        <w:t>En ese sentido podemos manifestar que nuestra normatividad vigente no contempla una definición o concepto de la familia que el Estado debe fortalecer y proteger. Sin embargo, las modificaciones legales del derecho de familia de los últimos años, y en especial sus fundamentos, dan cuenta de la tendencia del legislador a recoger un concepto amplio de familia o grupo familiar</w:t>
      </w:r>
      <w:r w:rsidRPr="00F81845">
        <w:rPr>
          <w:rFonts w:ascii="Abadi" w:hAnsi="Abadi" w:cs="Arial"/>
          <w:sz w:val="21"/>
          <w:szCs w:val="21"/>
          <w:vertAlign w:val="superscript"/>
        </w:rPr>
        <w:footnoteReference w:id="109"/>
      </w:r>
      <w:r w:rsidRPr="00F81845">
        <w:rPr>
          <w:rFonts w:ascii="Abadi" w:hAnsi="Abadi" w:cs="Arial"/>
          <w:sz w:val="21"/>
          <w:szCs w:val="21"/>
        </w:rPr>
        <w:t xml:space="preserve">, </w:t>
      </w:r>
      <w:r w:rsidRPr="00F81845">
        <w:rPr>
          <w:rFonts w:ascii="Abadi" w:eastAsia="Calibri" w:hAnsi="Abadi"/>
          <w:sz w:val="21"/>
          <w:szCs w:val="21"/>
          <w:lang w:val="es-MX" w:eastAsia="en-US"/>
        </w:rPr>
        <w:t xml:space="preserve">con el objetivo de garantizar la protección de todos sus integrantes, a quienes les reconoce derechos y obligaciones, y en función de quienes se han creado diversas instituciones con la finalidad de garantizar la prestación de servicios especializados. </w:t>
      </w:r>
    </w:p>
    <w:p w14:paraId="0698F622" w14:textId="77777777" w:rsidR="00F81845" w:rsidRPr="00F81845" w:rsidRDefault="00F81845" w:rsidP="00EA2D06">
      <w:pPr>
        <w:ind w:firstLine="708"/>
        <w:jc w:val="both"/>
        <w:rPr>
          <w:rFonts w:ascii="Abadi" w:eastAsia="Calibri" w:hAnsi="Abadi"/>
          <w:sz w:val="21"/>
          <w:szCs w:val="21"/>
          <w:lang w:val="es-MX" w:eastAsia="en-US"/>
        </w:rPr>
      </w:pPr>
    </w:p>
    <w:p w14:paraId="35273285" w14:textId="77777777" w:rsidR="00F81845" w:rsidRPr="00F81845" w:rsidRDefault="00F81845" w:rsidP="00EA2D06">
      <w:pPr>
        <w:ind w:firstLine="708"/>
        <w:jc w:val="both"/>
        <w:rPr>
          <w:rFonts w:ascii="Abadi" w:eastAsia="Calibri" w:hAnsi="Abadi"/>
          <w:sz w:val="21"/>
          <w:szCs w:val="21"/>
          <w:lang w:val="es-MX" w:eastAsia="en-US"/>
        </w:rPr>
      </w:pPr>
      <w:r w:rsidRPr="00F81845">
        <w:rPr>
          <w:rFonts w:ascii="Abadi" w:eastAsia="Calibri" w:hAnsi="Abadi"/>
          <w:sz w:val="21"/>
          <w:szCs w:val="21"/>
          <w:lang w:val="es-MX" w:eastAsia="en-US"/>
        </w:rPr>
        <w:t>Como sabemos, la propuesta consiste en la adición de una fracción VI al artículo 4, en los siguientes términos:</w:t>
      </w:r>
    </w:p>
    <w:p w14:paraId="3BC9ECB0" w14:textId="77777777" w:rsidR="00F81845" w:rsidRPr="00F81845" w:rsidRDefault="00F81845" w:rsidP="00EA2D06">
      <w:pPr>
        <w:ind w:left="1701"/>
        <w:jc w:val="both"/>
        <w:rPr>
          <w:rFonts w:ascii="Abadi" w:hAnsi="Abadi" w:cstheme="minorHAnsi"/>
          <w:b/>
          <w:bCs/>
          <w:color w:val="000000"/>
          <w:sz w:val="21"/>
          <w:szCs w:val="21"/>
          <w:shd w:val="clear" w:color="auto" w:fill="FFFFFF"/>
        </w:rPr>
      </w:pPr>
    </w:p>
    <w:p w14:paraId="4C89E3A5" w14:textId="77777777" w:rsidR="00F81845" w:rsidRPr="00F81845" w:rsidRDefault="00F81845" w:rsidP="00EA2D06">
      <w:pPr>
        <w:ind w:left="1701"/>
        <w:jc w:val="both"/>
        <w:rPr>
          <w:rFonts w:ascii="Abadi" w:hAnsi="Abadi" w:cstheme="minorHAnsi"/>
          <w:color w:val="000000"/>
          <w:sz w:val="21"/>
          <w:szCs w:val="21"/>
          <w:shd w:val="clear" w:color="auto" w:fill="FFFFFF"/>
        </w:rPr>
      </w:pPr>
      <w:r w:rsidRPr="00F81845">
        <w:rPr>
          <w:rFonts w:ascii="Abadi" w:hAnsi="Abadi" w:cstheme="minorHAnsi"/>
          <w:b/>
          <w:bCs/>
          <w:color w:val="000000"/>
          <w:sz w:val="21"/>
          <w:szCs w:val="21"/>
          <w:shd w:val="clear" w:color="auto" w:fill="FFFFFF"/>
        </w:rPr>
        <w:t xml:space="preserve">Artículo 4. </w:t>
      </w:r>
      <w:r w:rsidRPr="00F81845">
        <w:rPr>
          <w:rFonts w:ascii="Abadi" w:hAnsi="Abadi" w:cstheme="minorHAnsi"/>
          <w:color w:val="000000"/>
          <w:sz w:val="21"/>
          <w:szCs w:val="21"/>
          <w:shd w:val="clear" w:color="auto" w:fill="FFFFFF"/>
        </w:rPr>
        <w:t>La planeación del desarrollo se instrumentará a través de los planes y programas establecidos en esta Ley, los cuales fijarán los objetivos, estrategias, metas, acciones e indicadores para el desarrollo del Estado, que responderá a los siguientes principios:</w:t>
      </w:r>
    </w:p>
    <w:p w14:paraId="60EF0443" w14:textId="77777777" w:rsidR="00F81845" w:rsidRPr="00F81845" w:rsidRDefault="00F81845" w:rsidP="00EA2D06">
      <w:pPr>
        <w:ind w:left="1701"/>
        <w:jc w:val="both"/>
        <w:rPr>
          <w:rFonts w:ascii="Abadi" w:hAnsi="Abadi" w:cstheme="minorHAnsi"/>
          <w:color w:val="000000"/>
          <w:sz w:val="21"/>
          <w:szCs w:val="21"/>
          <w:shd w:val="clear" w:color="auto" w:fill="FFFFFF"/>
        </w:rPr>
      </w:pPr>
      <w:r w:rsidRPr="00F81845">
        <w:rPr>
          <w:rFonts w:ascii="Abadi" w:hAnsi="Abadi" w:cstheme="minorHAnsi"/>
          <w:color w:val="000000"/>
          <w:sz w:val="21"/>
          <w:szCs w:val="21"/>
          <w:shd w:val="clear" w:color="auto" w:fill="FFFFFF"/>
        </w:rPr>
        <w:t>I al V. …</w:t>
      </w:r>
    </w:p>
    <w:p w14:paraId="4C835794" w14:textId="77777777" w:rsidR="00F81845" w:rsidRPr="00F81845" w:rsidRDefault="00F81845" w:rsidP="00EA2D06">
      <w:pPr>
        <w:ind w:left="1701"/>
        <w:jc w:val="both"/>
        <w:rPr>
          <w:rFonts w:ascii="Abadi" w:hAnsi="Abadi" w:cstheme="minorHAnsi"/>
          <w:b/>
          <w:bCs/>
          <w:color w:val="000000"/>
          <w:sz w:val="21"/>
          <w:szCs w:val="21"/>
          <w:shd w:val="clear" w:color="auto" w:fill="FFFFFF"/>
        </w:rPr>
      </w:pPr>
      <w:r w:rsidRPr="00F81845">
        <w:rPr>
          <w:rFonts w:ascii="Abadi" w:hAnsi="Abadi" w:cstheme="minorHAnsi"/>
          <w:b/>
          <w:bCs/>
          <w:color w:val="000000"/>
          <w:sz w:val="21"/>
          <w:szCs w:val="21"/>
          <w:shd w:val="clear" w:color="auto" w:fill="FFFFFF"/>
        </w:rPr>
        <w:t>VI. La perspectiva de familia, a efecto de promover, respetar y proteger los derechos de los seres humanos, reconociendo su realidad como integrantes de un ámbito familiar, que es necesario para su pleno desarrollo;</w:t>
      </w:r>
    </w:p>
    <w:p w14:paraId="65C3AF6A" w14:textId="77777777" w:rsidR="00F81845" w:rsidRPr="00F81845" w:rsidRDefault="00F81845" w:rsidP="00EA2D06">
      <w:pPr>
        <w:ind w:firstLine="708"/>
        <w:jc w:val="both"/>
        <w:rPr>
          <w:rFonts w:ascii="Abadi" w:eastAsia="Calibri" w:hAnsi="Abadi"/>
          <w:sz w:val="21"/>
          <w:szCs w:val="21"/>
          <w:lang w:val="es-MX" w:eastAsia="en-US"/>
        </w:rPr>
      </w:pPr>
    </w:p>
    <w:p w14:paraId="1F2D6FDE" w14:textId="77777777" w:rsidR="00F81845" w:rsidRPr="00F81845" w:rsidRDefault="00F81845" w:rsidP="00EA2D06">
      <w:pPr>
        <w:ind w:firstLine="708"/>
        <w:jc w:val="both"/>
        <w:rPr>
          <w:rFonts w:ascii="Abadi" w:eastAsia="Calibri" w:hAnsi="Abadi"/>
          <w:sz w:val="21"/>
          <w:szCs w:val="21"/>
          <w:lang w:val="es-MX" w:eastAsia="en-US"/>
        </w:rPr>
      </w:pPr>
    </w:p>
    <w:p w14:paraId="2D2962E1" w14:textId="77777777" w:rsidR="00F81845" w:rsidRPr="00F81845" w:rsidRDefault="00F81845" w:rsidP="00EA2D06">
      <w:pPr>
        <w:ind w:firstLine="708"/>
        <w:jc w:val="both"/>
        <w:rPr>
          <w:rFonts w:ascii="Abadi" w:eastAsia="Calibri" w:hAnsi="Abadi"/>
          <w:sz w:val="21"/>
          <w:szCs w:val="21"/>
          <w:lang w:val="es-MX" w:eastAsia="en-US"/>
        </w:rPr>
      </w:pPr>
      <w:r w:rsidRPr="00F81845">
        <w:rPr>
          <w:rFonts w:ascii="Abadi" w:eastAsia="Calibri" w:hAnsi="Abadi"/>
          <w:sz w:val="21"/>
          <w:szCs w:val="21"/>
          <w:lang w:val="es-MX" w:eastAsia="en-US"/>
        </w:rPr>
        <w:t xml:space="preserve">Bajo esa tesitura y de conformidad con lo dispuesto por el artículo 24 de dicha ley, los instrumentos con los que cuenta el Sistema de Planeación y que se alinean son: el Plan Estatal de Desarrollo, así como del </w:t>
      </w:r>
      <w:r w:rsidRPr="00F81845">
        <w:rPr>
          <w:rFonts w:ascii="Abadi" w:eastAsia="Calibri" w:hAnsi="Abadi"/>
          <w:i/>
          <w:iCs/>
          <w:sz w:val="21"/>
          <w:szCs w:val="21"/>
          <w:lang w:val="es-MX" w:eastAsia="en-US"/>
        </w:rPr>
        <w:t xml:space="preserve">Programa estatal de desarrollo urbano y de ordenamiento ecológico territorial, </w:t>
      </w:r>
      <w:r w:rsidRPr="00F81845">
        <w:rPr>
          <w:rFonts w:ascii="Abadi" w:eastAsia="Calibri" w:hAnsi="Abadi"/>
          <w:sz w:val="21"/>
          <w:szCs w:val="21"/>
          <w:lang w:val="es-MX" w:eastAsia="en-US"/>
        </w:rPr>
        <w:t xml:space="preserve">así también los programas regionales para cada región a que se refiere el reglamento de la Ley de Planeación para el Estado de Guanajuato, los programas metropolitanos y los programas parciales; del </w:t>
      </w:r>
      <w:r w:rsidRPr="00F81845">
        <w:rPr>
          <w:rFonts w:ascii="Abadi" w:eastAsia="Calibri" w:hAnsi="Abadi"/>
          <w:i/>
          <w:iCs/>
          <w:sz w:val="21"/>
          <w:szCs w:val="21"/>
          <w:lang w:val="es-MX" w:eastAsia="en-US"/>
        </w:rPr>
        <w:t>Programa de Gobierno del Estado</w:t>
      </w:r>
      <w:r w:rsidRPr="00F81845">
        <w:rPr>
          <w:rFonts w:ascii="Abadi" w:eastAsia="Calibri" w:hAnsi="Abadi"/>
          <w:sz w:val="21"/>
          <w:szCs w:val="21"/>
          <w:lang w:val="es-MX" w:eastAsia="en-US"/>
        </w:rPr>
        <w:t xml:space="preserve">, que se encuentra conformado por programas sectoriales, especiales, regionales, institucionales y operativos anuales, y, los </w:t>
      </w:r>
      <w:r w:rsidRPr="00F81845">
        <w:rPr>
          <w:rFonts w:ascii="Abadi" w:eastAsia="Calibri" w:hAnsi="Abadi"/>
          <w:i/>
          <w:iCs/>
          <w:sz w:val="21"/>
          <w:szCs w:val="21"/>
          <w:lang w:val="es-MX" w:eastAsia="en-US"/>
        </w:rPr>
        <w:t>Planes municipales de desarrollo,</w:t>
      </w:r>
      <w:r w:rsidRPr="00F81845">
        <w:rPr>
          <w:rFonts w:ascii="Abadi" w:eastAsia="Calibri" w:hAnsi="Abadi"/>
          <w:sz w:val="21"/>
          <w:szCs w:val="21"/>
          <w:lang w:val="es-MX" w:eastAsia="en-US"/>
        </w:rPr>
        <w:t xml:space="preserve"> los programas de gobierno municipal, el programa municipal de desarrollo urbano y de ordenamiento ecológico territorial; y los programas parciales.</w:t>
      </w:r>
    </w:p>
    <w:p w14:paraId="27C3134D" w14:textId="77777777" w:rsidR="00F81845" w:rsidRPr="00F81845" w:rsidRDefault="00F81845" w:rsidP="00EA2D06">
      <w:pPr>
        <w:jc w:val="both"/>
        <w:rPr>
          <w:rFonts w:ascii="Abadi" w:hAnsi="Abadi" w:cs="Arial"/>
          <w:sz w:val="21"/>
          <w:szCs w:val="21"/>
        </w:rPr>
      </w:pPr>
    </w:p>
    <w:p w14:paraId="01C84858" w14:textId="77777777" w:rsidR="00F81845" w:rsidRPr="00F81845" w:rsidRDefault="00F81845" w:rsidP="00EA2D06">
      <w:pPr>
        <w:ind w:firstLine="708"/>
        <w:jc w:val="both"/>
        <w:rPr>
          <w:rFonts w:ascii="Abadi" w:eastAsia="Calibri" w:hAnsi="Abadi"/>
          <w:sz w:val="21"/>
          <w:szCs w:val="21"/>
          <w:lang w:val="es-MX" w:eastAsia="en-US"/>
        </w:rPr>
      </w:pPr>
      <w:r w:rsidRPr="00F81845">
        <w:rPr>
          <w:rFonts w:ascii="Abadi" w:eastAsia="Calibri" w:hAnsi="Abadi"/>
          <w:sz w:val="21"/>
          <w:szCs w:val="21"/>
          <w:lang w:val="es-MX" w:eastAsia="en-US"/>
        </w:rPr>
        <w:t xml:space="preserve">Es importante mencionar que los instrumentos de planeación contienen los objetivos, estrategias (políticas públicas), metas, acciones e indicadores para el desarrollo del Estado. Mientras que en materia de monitoreo y evaluación de los instrumentos de planeación se considera que las mediciones realizadas de manera oficial no hablan de familia, sino de hogares, y el cual se define como: conjunto de personas que pueden ser o no familiares, que comparten la misma vivienda y se sostienen de un gasto común </w:t>
      </w:r>
      <w:r w:rsidRPr="00F81845">
        <w:rPr>
          <w:rFonts w:ascii="Abadi" w:eastAsia="Calibri" w:hAnsi="Abadi"/>
          <w:i/>
          <w:iCs/>
          <w:sz w:val="21"/>
          <w:szCs w:val="21"/>
          <w:lang w:val="es-MX" w:eastAsia="en-US"/>
        </w:rPr>
        <w:t>INEGI</w:t>
      </w:r>
      <w:r w:rsidRPr="00F81845">
        <w:rPr>
          <w:rFonts w:ascii="Abadi" w:eastAsia="Calibri" w:hAnsi="Abadi"/>
          <w:sz w:val="21"/>
          <w:szCs w:val="21"/>
          <w:lang w:val="es-MX" w:eastAsia="en-US"/>
        </w:rPr>
        <w:t>. Esta definición permite determinar de mejor manera las dinámicas, así como características y necesidades que presenta un grupo de personas que cohabitan.</w:t>
      </w:r>
    </w:p>
    <w:p w14:paraId="7B8C0380" w14:textId="77777777" w:rsidR="00F81845" w:rsidRPr="00F81845" w:rsidRDefault="00F81845" w:rsidP="00EA2D06">
      <w:pPr>
        <w:ind w:firstLine="708"/>
        <w:jc w:val="both"/>
        <w:rPr>
          <w:rFonts w:ascii="Abadi" w:eastAsia="Calibri" w:hAnsi="Abadi"/>
          <w:sz w:val="21"/>
          <w:szCs w:val="21"/>
          <w:lang w:val="es-MX" w:eastAsia="en-US"/>
        </w:rPr>
      </w:pPr>
    </w:p>
    <w:p w14:paraId="456F33CC" w14:textId="77777777" w:rsidR="00F81845" w:rsidRPr="00F81845" w:rsidRDefault="00F81845" w:rsidP="00EA2D06">
      <w:pPr>
        <w:jc w:val="both"/>
        <w:rPr>
          <w:rFonts w:ascii="Abadi" w:hAnsi="Abadi" w:cs="Arial"/>
          <w:sz w:val="21"/>
          <w:szCs w:val="21"/>
        </w:rPr>
      </w:pPr>
      <w:r w:rsidRPr="00F81845">
        <w:rPr>
          <w:rFonts w:ascii="Abadi" w:hAnsi="Abadi" w:cs="Arial"/>
          <w:b/>
          <w:bCs/>
          <w:sz w:val="21"/>
          <w:szCs w:val="21"/>
        </w:rPr>
        <w:t>II.2. La perspectiva de género en la legislación estatal.</w:t>
      </w:r>
      <w:r w:rsidRPr="00F81845">
        <w:rPr>
          <w:rFonts w:ascii="Abadi" w:hAnsi="Abadi" w:cs="Arial"/>
          <w:sz w:val="21"/>
          <w:szCs w:val="21"/>
        </w:rPr>
        <w:t xml:space="preserve"> </w:t>
      </w:r>
    </w:p>
    <w:p w14:paraId="5622F20C" w14:textId="77777777" w:rsidR="00F81845" w:rsidRPr="00F81845" w:rsidRDefault="00F81845" w:rsidP="00EA2D06">
      <w:pPr>
        <w:ind w:firstLine="708"/>
        <w:jc w:val="both"/>
        <w:rPr>
          <w:rFonts w:ascii="Abadi" w:eastAsia="Calibri" w:hAnsi="Abadi"/>
          <w:sz w:val="21"/>
          <w:szCs w:val="21"/>
          <w:lang w:val="es-MX" w:eastAsia="en-US"/>
        </w:rPr>
      </w:pPr>
    </w:p>
    <w:p w14:paraId="15ACA781" w14:textId="77777777" w:rsidR="00F81845" w:rsidRPr="00F81845" w:rsidRDefault="00F81845" w:rsidP="00EA2D06">
      <w:pPr>
        <w:ind w:firstLine="708"/>
        <w:jc w:val="both"/>
        <w:rPr>
          <w:rFonts w:ascii="Abadi" w:eastAsia="Calibri" w:hAnsi="Abadi"/>
          <w:sz w:val="21"/>
          <w:szCs w:val="21"/>
          <w:lang w:val="es-MX" w:eastAsia="en-US"/>
        </w:rPr>
      </w:pPr>
      <w:r w:rsidRPr="00F81845">
        <w:rPr>
          <w:rFonts w:ascii="Abadi" w:eastAsia="Calibri" w:hAnsi="Abadi"/>
          <w:sz w:val="21"/>
          <w:szCs w:val="21"/>
          <w:lang w:val="es-MX" w:eastAsia="en-US"/>
        </w:rPr>
        <w:t>Por otro lado, en la propuesta que corresponde a la perspectiva de género y que sea incluida en la Ley de Planeación para el Estado de Guanajuato, es importante manifestar que las transformaciones culturales además de repercutir en la organización e integración de la familia han dado pie a cuestionar las relaciones dentro de ellas, las cuales históricamente se han articulado a partir de relaciones de poder asimétricas y desiguales tanto de género como generacionales.</w:t>
      </w:r>
      <w:r w:rsidRPr="00F81845">
        <w:rPr>
          <w:rFonts w:ascii="Abadi" w:hAnsi="Abadi" w:cs="Arial"/>
          <w:sz w:val="21"/>
          <w:szCs w:val="21"/>
          <w:vertAlign w:val="superscript"/>
        </w:rPr>
        <w:footnoteReference w:id="110"/>
      </w:r>
    </w:p>
    <w:p w14:paraId="1BA2BDFB" w14:textId="77777777" w:rsidR="00F81845" w:rsidRPr="00F81845" w:rsidRDefault="00F81845" w:rsidP="00EA2D06">
      <w:pPr>
        <w:ind w:firstLine="708"/>
        <w:jc w:val="both"/>
        <w:rPr>
          <w:rFonts w:ascii="Abadi" w:eastAsia="Calibri" w:hAnsi="Abadi"/>
          <w:sz w:val="21"/>
          <w:szCs w:val="21"/>
          <w:lang w:val="es-MX" w:eastAsia="en-US"/>
        </w:rPr>
      </w:pPr>
    </w:p>
    <w:p w14:paraId="4D5F0FEA" w14:textId="77777777" w:rsidR="00F81845" w:rsidRPr="00F81845" w:rsidRDefault="00F81845" w:rsidP="00EA2D06">
      <w:pPr>
        <w:ind w:firstLine="708"/>
        <w:jc w:val="both"/>
        <w:rPr>
          <w:rFonts w:ascii="Abadi" w:eastAsia="Calibri" w:hAnsi="Abadi"/>
          <w:sz w:val="21"/>
          <w:szCs w:val="21"/>
          <w:lang w:val="es-MX" w:eastAsia="en-US"/>
        </w:rPr>
      </w:pPr>
      <w:r w:rsidRPr="00F81845">
        <w:rPr>
          <w:rFonts w:ascii="Abadi" w:eastAsia="Calibri" w:hAnsi="Abadi"/>
          <w:sz w:val="21"/>
          <w:szCs w:val="21"/>
          <w:lang w:val="es-MX" w:eastAsia="en-US"/>
        </w:rPr>
        <w:t>Coincidimos con quienes expusieron en la mesa de trabajo, manifestando que en el ámbito familiar existen estereotipos que adscriben a las personas un conjunto de expectativas que se asumen deben cumplir, mismos que afectan de manera desproporcional al género femenino. Dichos estereotipos a los que la Suprema Corte de Justicia de la Nación ha catalogado en prescriptivos u hostiles</w:t>
      </w:r>
      <w:r w:rsidRPr="00F81845">
        <w:rPr>
          <w:rFonts w:ascii="Abadi" w:hAnsi="Abadi" w:cs="Arial"/>
          <w:i/>
          <w:iCs/>
          <w:sz w:val="21"/>
          <w:szCs w:val="21"/>
          <w:vertAlign w:val="superscript"/>
        </w:rPr>
        <w:footnoteReference w:id="111"/>
      </w:r>
      <w:r w:rsidRPr="00F81845">
        <w:rPr>
          <w:rFonts w:ascii="Abadi" w:hAnsi="Abadi" w:cs="Arial"/>
          <w:i/>
          <w:iCs/>
          <w:sz w:val="21"/>
          <w:szCs w:val="21"/>
        </w:rPr>
        <w:t xml:space="preserve">, </w:t>
      </w:r>
      <w:r w:rsidRPr="00F81845">
        <w:rPr>
          <w:rFonts w:ascii="Abadi" w:eastAsia="Calibri" w:hAnsi="Abadi"/>
          <w:sz w:val="21"/>
          <w:szCs w:val="21"/>
          <w:lang w:val="es-MX" w:eastAsia="en-US"/>
        </w:rPr>
        <w:t xml:space="preserve">vulneran la dignidad, la autonomía e individualidad y obstaculizan a las personas en la realización de otros caracteres o roles. Por ello, en el ámbito familiar existe una disparidad de género histórica que se finca en la estereotipación del sexo, y asigna a las mujeres roles de cuidadoras, criadoras, amas de casa y madres, traduciéndose real o perceptivamente en una sobrecarga y uso del tiempo que ha impedido o dificultado su desarrollo en otros ámbitos de la vida, por ejemplo, el educativo, laboral, económico y profesional. </w:t>
      </w:r>
    </w:p>
    <w:p w14:paraId="52F253A8" w14:textId="77777777" w:rsidR="00F81845" w:rsidRPr="00F81845" w:rsidRDefault="00F81845" w:rsidP="00EA2D06">
      <w:pPr>
        <w:jc w:val="both"/>
        <w:rPr>
          <w:rFonts w:ascii="Abadi" w:eastAsia="Calibri" w:hAnsi="Abadi"/>
          <w:sz w:val="21"/>
          <w:szCs w:val="21"/>
          <w:lang w:val="es-MX" w:eastAsia="en-US"/>
        </w:rPr>
      </w:pPr>
    </w:p>
    <w:p w14:paraId="35803118" w14:textId="77777777" w:rsidR="00F81845" w:rsidRPr="00F81845" w:rsidRDefault="00F81845" w:rsidP="00EA2D06">
      <w:pPr>
        <w:ind w:firstLine="708"/>
        <w:jc w:val="both"/>
        <w:rPr>
          <w:rFonts w:ascii="Abadi" w:eastAsia="Calibri" w:hAnsi="Abadi"/>
          <w:sz w:val="21"/>
          <w:szCs w:val="21"/>
          <w:lang w:val="es-MX" w:eastAsia="en-US"/>
        </w:rPr>
      </w:pPr>
      <w:r w:rsidRPr="00F81845">
        <w:rPr>
          <w:rFonts w:ascii="Abadi" w:eastAsia="Calibri" w:hAnsi="Abadi"/>
          <w:sz w:val="21"/>
          <w:szCs w:val="21"/>
          <w:lang w:val="es-MX" w:eastAsia="en-US"/>
        </w:rPr>
        <w:t xml:space="preserve">Por su parte el artículo 5 de la Convención sobre la eliminación de todas las formas de discriminación contra la mujer, refiere que compete al Estado adoptar todas las medidas apropiadas para: </w:t>
      </w:r>
    </w:p>
    <w:p w14:paraId="11E83020" w14:textId="77777777" w:rsidR="00F81845" w:rsidRPr="00F81845" w:rsidRDefault="00F81845" w:rsidP="00EA2D06">
      <w:pPr>
        <w:jc w:val="both"/>
        <w:rPr>
          <w:rFonts w:ascii="Abadi" w:hAnsi="Abadi" w:cs="Arial"/>
          <w:sz w:val="21"/>
          <w:szCs w:val="21"/>
        </w:rPr>
      </w:pPr>
    </w:p>
    <w:p w14:paraId="138AFD44" w14:textId="77777777" w:rsidR="00F81845" w:rsidRPr="00F81845" w:rsidRDefault="00F81845" w:rsidP="00EA2D06">
      <w:pPr>
        <w:ind w:left="1701"/>
        <w:jc w:val="both"/>
        <w:rPr>
          <w:rFonts w:ascii="Abadi" w:hAnsi="Abadi" w:cstheme="minorHAnsi"/>
          <w:i/>
          <w:iCs/>
          <w:color w:val="000000"/>
          <w:sz w:val="21"/>
          <w:szCs w:val="21"/>
          <w:shd w:val="clear" w:color="auto" w:fill="FFFFFF"/>
        </w:rPr>
      </w:pPr>
      <w:r w:rsidRPr="00F81845">
        <w:rPr>
          <w:rFonts w:ascii="Abadi" w:hAnsi="Abadi" w:cstheme="minorHAnsi"/>
          <w:i/>
          <w:iCs/>
          <w:color w:val="000000"/>
          <w:sz w:val="21"/>
          <w:szCs w:val="21"/>
          <w:shd w:val="clear" w:color="auto" w:fill="FFFFFF"/>
        </w:rPr>
        <w:t>a) Modificar los patrones socioculturales de conducta de hombres y mujeres, con miras a alcanzar la eliminación de los prejuicios y las prácticas consuetudinarias y de cualquier otra índole que estén basados en la idea de la inferioridad o superioridad de cualquiera de los sexos o en funciones estereotipadas de hombres y mujeres;</w:t>
      </w:r>
    </w:p>
    <w:p w14:paraId="5622D1AC" w14:textId="77777777" w:rsidR="00F81845" w:rsidRPr="00F81845" w:rsidRDefault="00F81845" w:rsidP="00EA2D06">
      <w:pPr>
        <w:ind w:left="1701"/>
        <w:jc w:val="both"/>
        <w:rPr>
          <w:rFonts w:ascii="Abadi" w:hAnsi="Abadi" w:cstheme="minorHAnsi"/>
          <w:i/>
          <w:iCs/>
          <w:color w:val="000000"/>
          <w:sz w:val="21"/>
          <w:szCs w:val="21"/>
          <w:shd w:val="clear" w:color="auto" w:fill="FFFFFF"/>
        </w:rPr>
      </w:pPr>
    </w:p>
    <w:p w14:paraId="10D2A7A0" w14:textId="77777777" w:rsidR="00F81845" w:rsidRPr="00F81845" w:rsidRDefault="00F81845" w:rsidP="00EA2D06">
      <w:pPr>
        <w:ind w:left="1701"/>
        <w:jc w:val="both"/>
        <w:rPr>
          <w:rFonts w:ascii="Abadi" w:hAnsi="Abadi" w:cstheme="minorHAnsi"/>
          <w:i/>
          <w:iCs/>
          <w:color w:val="000000"/>
          <w:sz w:val="21"/>
          <w:szCs w:val="21"/>
          <w:shd w:val="clear" w:color="auto" w:fill="FFFFFF"/>
        </w:rPr>
      </w:pPr>
      <w:r w:rsidRPr="00F81845">
        <w:rPr>
          <w:rFonts w:ascii="Abadi" w:hAnsi="Abadi" w:cstheme="minorHAnsi"/>
          <w:i/>
          <w:iCs/>
          <w:color w:val="000000"/>
          <w:sz w:val="21"/>
          <w:szCs w:val="21"/>
          <w:shd w:val="clear" w:color="auto" w:fill="FFFFFF"/>
        </w:rPr>
        <w:t>b) Garantizar que la educación familiar incluya una comprensión adecuada de la maternidad como función social y el reconocimiento de la responsabilidad común de hombres y mujeres en cuanto a la educación y al desarrollo de sus hijos, en la inteligencia de que el interés de los hijos constituirá la consideración primordial en todos los casos.</w:t>
      </w:r>
    </w:p>
    <w:p w14:paraId="7C756D6D" w14:textId="77777777" w:rsidR="00F81845" w:rsidRPr="00F81845" w:rsidRDefault="00F81845" w:rsidP="00EA2D06">
      <w:pPr>
        <w:jc w:val="both"/>
        <w:rPr>
          <w:rFonts w:ascii="Abadi" w:hAnsi="Abadi" w:cs="Arial"/>
          <w:sz w:val="21"/>
          <w:szCs w:val="21"/>
        </w:rPr>
      </w:pPr>
    </w:p>
    <w:p w14:paraId="3FF3F9AA" w14:textId="77777777" w:rsidR="00F81845" w:rsidRPr="00F81845" w:rsidRDefault="00F81845" w:rsidP="00EA2D06">
      <w:pPr>
        <w:autoSpaceDE w:val="0"/>
        <w:autoSpaceDN w:val="0"/>
        <w:adjustRightInd w:val="0"/>
        <w:rPr>
          <w:rFonts w:ascii="Abadi" w:eastAsiaTheme="minorHAnsi" w:hAnsi="Abadi" w:cs="Century Gothic"/>
          <w:color w:val="000000"/>
          <w:sz w:val="21"/>
          <w:szCs w:val="21"/>
          <w:lang w:val="es-MX" w:eastAsia="en-US"/>
        </w:rPr>
      </w:pPr>
    </w:p>
    <w:p w14:paraId="0DBDCD65" w14:textId="77777777" w:rsidR="00F81845" w:rsidRPr="00F81845" w:rsidRDefault="00F81845" w:rsidP="00EA2D06">
      <w:pPr>
        <w:widowControl w:val="0"/>
        <w:ind w:firstLine="708"/>
        <w:jc w:val="both"/>
        <w:rPr>
          <w:rFonts w:ascii="Abadi" w:eastAsia="Calibri" w:hAnsi="Abadi"/>
          <w:sz w:val="21"/>
          <w:szCs w:val="21"/>
          <w:lang w:val="es-MX" w:eastAsia="en-US"/>
        </w:rPr>
      </w:pPr>
      <w:r w:rsidRPr="00F81845">
        <w:rPr>
          <w:rFonts w:ascii="Abadi" w:eastAsiaTheme="minorHAnsi" w:hAnsi="Abadi" w:cs="Century Gothic"/>
          <w:color w:val="000000"/>
          <w:sz w:val="21"/>
          <w:szCs w:val="21"/>
          <w:lang w:val="es-MX" w:eastAsia="en-US"/>
        </w:rPr>
        <w:t>Con ese alcance podemos decir que l</w:t>
      </w:r>
      <w:r w:rsidRPr="00F81845">
        <w:rPr>
          <w:rFonts w:ascii="Abadi" w:eastAsia="Calibri" w:hAnsi="Abadi"/>
          <w:sz w:val="21"/>
          <w:szCs w:val="21"/>
          <w:lang w:val="es-MX" w:eastAsia="en-US"/>
        </w:rPr>
        <w:t>a perspectiva de género se constituye como una herramienta para la transformación y deconstrucción, a partir de la cual se desmontan contenidos y se les vuelve a dotar de significado, colocándolos en un orden distinto al tradicionalmente existente. Su aportación más relevante consiste en develar por lo menos la otra mitad de la realidad y, con ello, modificar la ya conocida, permitiendo que nuestra mirada sobre un fenómeno logre: (i) «visibilizar a las mujeres, sus actividades, sus vidas, sus necesidades específicas y la forma en que contribuyen a la creación de la realidad social; y (ii) mostrar cómo y por qué cada fenómeno concreto está atravesado por las relaciones de poder y desigualdad entre los géneros, características de los sistemas patriarcales y androcráticos».</w:t>
      </w:r>
      <w:r w:rsidRPr="00F81845">
        <w:rPr>
          <w:rFonts w:ascii="Abadi" w:eastAsia="Calibri" w:hAnsi="Abadi"/>
          <w:sz w:val="21"/>
          <w:szCs w:val="21"/>
          <w:vertAlign w:val="superscript"/>
          <w:lang w:val="es-MX" w:eastAsia="en-US"/>
        </w:rPr>
        <w:footnoteReference w:id="112"/>
      </w:r>
    </w:p>
    <w:p w14:paraId="457D5EFA" w14:textId="77777777" w:rsidR="00F81845" w:rsidRPr="00F81845" w:rsidRDefault="00F81845" w:rsidP="00EA2D06">
      <w:pPr>
        <w:widowControl w:val="0"/>
        <w:ind w:firstLine="708"/>
        <w:jc w:val="both"/>
        <w:rPr>
          <w:rFonts w:ascii="Abadi" w:eastAsia="Calibri" w:hAnsi="Abadi"/>
          <w:sz w:val="21"/>
          <w:szCs w:val="21"/>
          <w:lang w:val="es-MX" w:eastAsia="en-US"/>
        </w:rPr>
      </w:pPr>
    </w:p>
    <w:p w14:paraId="75B17B01" w14:textId="77777777" w:rsidR="00F81845" w:rsidRPr="00F81845" w:rsidRDefault="00F81845" w:rsidP="00EA2D06">
      <w:pPr>
        <w:widowControl w:val="0"/>
        <w:ind w:firstLine="708"/>
        <w:jc w:val="both"/>
        <w:rPr>
          <w:rFonts w:ascii="Abadi" w:eastAsia="Calibri" w:hAnsi="Abadi"/>
          <w:sz w:val="21"/>
          <w:szCs w:val="21"/>
          <w:lang w:val="es-MX" w:eastAsia="en-US"/>
        </w:rPr>
      </w:pPr>
      <w:r w:rsidRPr="00F81845">
        <w:rPr>
          <w:rFonts w:ascii="Abadi" w:eastAsia="Calibri" w:hAnsi="Abadi"/>
          <w:sz w:val="21"/>
          <w:szCs w:val="21"/>
          <w:lang w:val="es-MX" w:eastAsia="en-US"/>
        </w:rPr>
        <w:t xml:space="preserve">La obligación de asumir la perspectiva de género por parte de los Poderes Públicos se encuentra estipulada en el artículo 3o de la Constitución Política de los Estados Unidos Mexicanos que refiere que </w:t>
      </w:r>
      <w:r w:rsidRPr="00F81845">
        <w:rPr>
          <w:rFonts w:ascii="Abadi" w:eastAsia="Calibri" w:hAnsi="Abadi"/>
          <w:i/>
          <w:iCs/>
          <w:sz w:val="21"/>
          <w:szCs w:val="21"/>
          <w:lang w:val="es-MX" w:eastAsia="en-US"/>
        </w:rPr>
        <w:t>los planes y programas de estudio tendrán perspectiva de género y una orientación integral,</w:t>
      </w:r>
      <w:r w:rsidRPr="00F81845">
        <w:rPr>
          <w:rFonts w:ascii="Abadi" w:eastAsia="Calibri" w:hAnsi="Abadi"/>
          <w:b/>
          <w:bCs/>
          <w:i/>
          <w:iCs/>
          <w:sz w:val="21"/>
          <w:szCs w:val="21"/>
          <w:lang w:val="es-MX" w:eastAsia="en-US"/>
        </w:rPr>
        <w:t xml:space="preserve"> </w:t>
      </w:r>
      <w:r w:rsidRPr="00F81845">
        <w:rPr>
          <w:rFonts w:ascii="Abadi" w:eastAsia="Calibri" w:hAnsi="Abadi"/>
          <w:sz w:val="21"/>
          <w:szCs w:val="21"/>
          <w:lang w:val="es-MX" w:eastAsia="en-US"/>
        </w:rPr>
        <w:t>por lo que se incluirá el conocimiento de las ciencias y humanidades: la enseñanza de las matemáticas, la lectoescritura, la literacidad, la historia, la geografía, el civismo, la filosofía, la tecnología, la innovación, las lenguas indígenas de nuestro país, las lenguas extranjeras, la educación física, el deporte, las artes, en especial la música, la promoción de estilos de vida saludables, la educación sexual y reproductiva y el cuidado al medio ambiente, entre otras.</w:t>
      </w:r>
    </w:p>
    <w:p w14:paraId="34C8BB91" w14:textId="77777777" w:rsidR="00F81845" w:rsidRPr="00F81845" w:rsidRDefault="00F81845" w:rsidP="00EA2D06">
      <w:pPr>
        <w:widowControl w:val="0"/>
        <w:ind w:firstLine="708"/>
        <w:jc w:val="both"/>
        <w:rPr>
          <w:rFonts w:ascii="Abadi" w:eastAsia="Calibri" w:hAnsi="Abadi"/>
          <w:sz w:val="21"/>
          <w:szCs w:val="21"/>
          <w:lang w:val="es-MX" w:eastAsia="en-US"/>
        </w:rPr>
      </w:pPr>
    </w:p>
    <w:p w14:paraId="13D07A3A" w14:textId="77777777" w:rsidR="00F81845" w:rsidRPr="00F81845" w:rsidRDefault="00F81845" w:rsidP="00EA2D06">
      <w:pPr>
        <w:widowControl w:val="0"/>
        <w:ind w:firstLine="708"/>
        <w:jc w:val="both"/>
        <w:rPr>
          <w:rFonts w:ascii="Abadi" w:eastAsia="Calibri" w:hAnsi="Abadi"/>
          <w:sz w:val="21"/>
          <w:szCs w:val="21"/>
          <w:lang w:val="es-MX" w:eastAsia="en-US"/>
        </w:rPr>
      </w:pPr>
      <w:r w:rsidRPr="00F81845">
        <w:rPr>
          <w:rFonts w:ascii="Abadi" w:eastAsia="Calibri" w:hAnsi="Abadi"/>
          <w:sz w:val="21"/>
          <w:szCs w:val="21"/>
          <w:lang w:val="es-MX" w:eastAsia="en-US"/>
        </w:rPr>
        <w:t xml:space="preserve">Por su parte la Ley General para la Igualdad entre Mujeres y Hombres, en sus artículos 9 y 33 referencian el establecimiento de mecanismos de coordinación para lograr la transversalidad de la perspectiva de género en la función pública nacional y, en la Política Nacional el fortalecimiento de la igualdad en materia de desarrollo de acciones para fomentar la integración de políticas públicas </w:t>
      </w:r>
      <w:r w:rsidRPr="00F81845">
        <w:rPr>
          <w:rFonts w:ascii="Abadi" w:eastAsia="Calibri" w:hAnsi="Abadi"/>
          <w:i/>
          <w:iCs/>
          <w:sz w:val="21"/>
          <w:szCs w:val="21"/>
          <w:lang w:val="es-MX" w:eastAsia="en-US"/>
        </w:rPr>
        <w:t>con perspectiva de género</w:t>
      </w:r>
      <w:r w:rsidRPr="00F81845">
        <w:rPr>
          <w:rFonts w:ascii="Abadi" w:eastAsia="Calibri" w:hAnsi="Abadi"/>
          <w:b/>
          <w:bCs/>
          <w:i/>
          <w:iCs/>
          <w:sz w:val="21"/>
          <w:szCs w:val="21"/>
          <w:lang w:val="es-MX" w:eastAsia="en-US"/>
        </w:rPr>
        <w:t xml:space="preserve"> </w:t>
      </w:r>
      <w:r w:rsidRPr="00F81845">
        <w:rPr>
          <w:rFonts w:ascii="Abadi" w:eastAsia="Calibri" w:hAnsi="Abadi"/>
          <w:sz w:val="21"/>
          <w:szCs w:val="21"/>
          <w:lang w:val="es-MX" w:eastAsia="en-US"/>
        </w:rPr>
        <w:t>en materia económica. De igual forma, la Ley de Acceso de las Mujeres a una Vida Libre de Violencia para el Estado de Guanajuato, en su dispositivo 16, fracción II manifiesta que corresponde al Estado y los municipios, en el ámbito de sus respectivas competencias, formular, instrumentar y conducir las políticas integrales desde la perspectiva de género para prevenir, atender, sancionar y erradicar la violencia contra las mujeres.</w:t>
      </w:r>
    </w:p>
    <w:p w14:paraId="3FEDC0A9" w14:textId="77777777" w:rsidR="00F81845" w:rsidRPr="00F81845" w:rsidRDefault="00F81845" w:rsidP="00EA2D06">
      <w:pPr>
        <w:widowControl w:val="0"/>
        <w:ind w:firstLine="708"/>
        <w:jc w:val="both"/>
        <w:rPr>
          <w:rFonts w:ascii="Abadi" w:eastAsia="Calibri" w:hAnsi="Abadi"/>
          <w:sz w:val="21"/>
          <w:szCs w:val="21"/>
          <w:lang w:val="es-MX" w:eastAsia="en-US"/>
        </w:rPr>
      </w:pPr>
    </w:p>
    <w:p w14:paraId="1F04F913" w14:textId="77777777" w:rsidR="00F81845" w:rsidRPr="00F81845" w:rsidRDefault="00F81845" w:rsidP="00EA2D06">
      <w:pPr>
        <w:widowControl w:val="0"/>
        <w:ind w:firstLine="708"/>
        <w:jc w:val="both"/>
        <w:rPr>
          <w:rFonts w:ascii="Abadi" w:eastAsia="Calibri" w:hAnsi="Abadi"/>
          <w:sz w:val="21"/>
          <w:szCs w:val="21"/>
          <w:lang w:val="es-MX" w:eastAsia="en-US"/>
        </w:rPr>
      </w:pPr>
      <w:r w:rsidRPr="00F81845">
        <w:rPr>
          <w:rFonts w:ascii="Abadi" w:eastAsia="Calibri" w:hAnsi="Abadi"/>
          <w:sz w:val="21"/>
          <w:szCs w:val="21"/>
          <w:lang w:val="es-MX" w:eastAsia="en-US"/>
        </w:rPr>
        <w:t>En esa tesitura la Ley de Planeación para el Estado de Guanajuato, en su artículo 4, que alude a los principios de la siguiente manera:</w:t>
      </w:r>
    </w:p>
    <w:p w14:paraId="1CD4140A" w14:textId="77777777" w:rsidR="00F81845" w:rsidRPr="00F81845" w:rsidRDefault="00F81845" w:rsidP="00EA2D06">
      <w:pPr>
        <w:ind w:left="1701"/>
        <w:jc w:val="both"/>
        <w:rPr>
          <w:rFonts w:ascii="Abadi" w:hAnsi="Abadi" w:cstheme="minorHAnsi"/>
          <w:i/>
          <w:iCs/>
          <w:color w:val="000000"/>
          <w:sz w:val="21"/>
          <w:szCs w:val="21"/>
          <w:shd w:val="clear" w:color="auto" w:fill="FFFFFF"/>
        </w:rPr>
      </w:pPr>
    </w:p>
    <w:p w14:paraId="0F1177B6" w14:textId="77777777" w:rsidR="00F81845" w:rsidRPr="00F81845" w:rsidRDefault="00F81845" w:rsidP="00EA2D06">
      <w:pPr>
        <w:ind w:left="1701"/>
        <w:jc w:val="both"/>
        <w:rPr>
          <w:rFonts w:ascii="Abadi" w:hAnsi="Abadi" w:cstheme="minorHAnsi"/>
          <w:i/>
          <w:iCs/>
          <w:color w:val="000000"/>
          <w:sz w:val="21"/>
          <w:szCs w:val="21"/>
          <w:shd w:val="clear" w:color="auto" w:fill="FFFFFF"/>
        </w:rPr>
      </w:pPr>
      <w:r w:rsidRPr="00F81845">
        <w:rPr>
          <w:rFonts w:ascii="Abadi" w:hAnsi="Abadi" w:cstheme="minorHAnsi"/>
          <w:i/>
          <w:iCs/>
          <w:color w:val="000000"/>
          <w:sz w:val="21"/>
          <w:szCs w:val="21"/>
          <w:shd w:val="clear" w:color="auto" w:fill="FFFFFF"/>
        </w:rPr>
        <w:t>La planeación del desarrollo se instrumentará a través de los planes y programas establecidos en esta Ley, los cuales fijarán los objetivos, estrategias, metas, acciones e indicadores para el desarrollo del Estado, que responderá a los siguientes principios:</w:t>
      </w:r>
    </w:p>
    <w:p w14:paraId="2C2A3DD0" w14:textId="77777777" w:rsidR="00F81845" w:rsidRPr="00F81845" w:rsidRDefault="00F81845" w:rsidP="00EA2D06">
      <w:pPr>
        <w:ind w:left="1701"/>
        <w:jc w:val="both"/>
        <w:rPr>
          <w:rFonts w:ascii="Abadi" w:hAnsi="Abadi" w:cstheme="minorHAnsi"/>
          <w:i/>
          <w:iCs/>
          <w:color w:val="000000"/>
          <w:sz w:val="21"/>
          <w:szCs w:val="21"/>
          <w:shd w:val="clear" w:color="auto" w:fill="FFFFFF"/>
        </w:rPr>
      </w:pPr>
      <w:r w:rsidRPr="00F81845">
        <w:rPr>
          <w:rFonts w:ascii="Abadi" w:hAnsi="Abadi" w:cstheme="minorHAnsi"/>
          <w:i/>
          <w:iCs/>
          <w:color w:val="000000"/>
          <w:sz w:val="21"/>
          <w:szCs w:val="21"/>
          <w:shd w:val="clear" w:color="auto" w:fill="FFFFFF"/>
        </w:rPr>
        <w:t xml:space="preserve">(…) </w:t>
      </w:r>
    </w:p>
    <w:p w14:paraId="6B920CFB" w14:textId="77777777" w:rsidR="00F81845" w:rsidRPr="00F81845" w:rsidRDefault="00F81845" w:rsidP="00EA2D06">
      <w:pPr>
        <w:ind w:left="1701"/>
        <w:jc w:val="both"/>
        <w:rPr>
          <w:rFonts w:ascii="Abadi" w:hAnsi="Abadi" w:cstheme="minorHAnsi"/>
          <w:i/>
          <w:iCs/>
          <w:color w:val="000000"/>
          <w:sz w:val="21"/>
          <w:szCs w:val="21"/>
          <w:shd w:val="clear" w:color="auto" w:fill="FFFFFF"/>
        </w:rPr>
      </w:pPr>
      <w:r w:rsidRPr="00F81845">
        <w:rPr>
          <w:rFonts w:ascii="Abadi" w:hAnsi="Abadi" w:cstheme="minorHAnsi"/>
          <w:i/>
          <w:iCs/>
          <w:color w:val="000000"/>
          <w:sz w:val="21"/>
          <w:szCs w:val="21"/>
          <w:shd w:val="clear" w:color="auto" w:fill="FFFFFF"/>
        </w:rPr>
        <w:t xml:space="preserve">V. La perspectiva de género e interculturalidad; así como la promoción, el respeto y la protección de los derechos humanos reconocidos en la Constitución y en los tratados internacionales de los que el Estado Mexicano sea parte; </w:t>
      </w:r>
    </w:p>
    <w:p w14:paraId="5D08F0C5" w14:textId="77777777" w:rsidR="00F81845" w:rsidRPr="00F81845" w:rsidRDefault="00F81845" w:rsidP="00EA2D06">
      <w:pPr>
        <w:ind w:left="1701"/>
        <w:jc w:val="both"/>
        <w:rPr>
          <w:rFonts w:ascii="Abadi" w:hAnsi="Abadi" w:cstheme="minorHAnsi"/>
          <w:i/>
          <w:iCs/>
          <w:color w:val="000000"/>
          <w:sz w:val="21"/>
          <w:szCs w:val="21"/>
          <w:shd w:val="clear" w:color="auto" w:fill="FFFFFF"/>
        </w:rPr>
      </w:pPr>
      <w:r w:rsidRPr="00F81845">
        <w:rPr>
          <w:rFonts w:ascii="Abadi" w:hAnsi="Abadi" w:cstheme="minorHAnsi"/>
          <w:i/>
          <w:iCs/>
          <w:color w:val="000000"/>
          <w:sz w:val="21"/>
          <w:szCs w:val="21"/>
          <w:shd w:val="clear" w:color="auto" w:fill="FFFFFF"/>
        </w:rPr>
        <w:t>(...)</w:t>
      </w:r>
    </w:p>
    <w:p w14:paraId="3B098B83" w14:textId="77777777" w:rsidR="00F81845" w:rsidRPr="00F81845" w:rsidRDefault="00F81845" w:rsidP="00EA2D06">
      <w:pPr>
        <w:ind w:right="49" w:firstLine="708"/>
        <w:jc w:val="both"/>
        <w:rPr>
          <w:rFonts w:ascii="Abadi" w:hAnsi="Abadi"/>
          <w:sz w:val="21"/>
          <w:szCs w:val="21"/>
        </w:rPr>
      </w:pPr>
    </w:p>
    <w:p w14:paraId="7839E12D" w14:textId="77777777" w:rsidR="00F81845" w:rsidRPr="00F81845" w:rsidRDefault="00F81845" w:rsidP="00EA2D06">
      <w:pPr>
        <w:widowControl w:val="0"/>
        <w:ind w:firstLine="708"/>
        <w:jc w:val="both"/>
        <w:rPr>
          <w:rFonts w:ascii="Abadi" w:eastAsia="Calibri" w:hAnsi="Abadi"/>
          <w:sz w:val="21"/>
          <w:szCs w:val="21"/>
          <w:lang w:val="es-MX" w:eastAsia="en-US"/>
        </w:rPr>
      </w:pPr>
      <w:r w:rsidRPr="00F81845">
        <w:rPr>
          <w:rFonts w:ascii="Abadi" w:eastAsia="Calibri" w:hAnsi="Abadi"/>
          <w:sz w:val="21"/>
          <w:szCs w:val="21"/>
          <w:lang w:val="es-MX" w:eastAsia="en-US"/>
        </w:rPr>
        <w:t xml:space="preserve">Sabemos también que, bajo este modelo jurídico, se lleva a cabo toda una instrumentación de política pública encaminada a la inclusión de la perspectiva de género en distintas variables y alcances a favor de las mujeres de Guanajuato y hoy es una realidad, claro ejemplo es que dentro del </w:t>
      </w:r>
      <w:r w:rsidRPr="00F81845">
        <w:rPr>
          <w:rFonts w:ascii="Abadi" w:eastAsia="Calibri" w:hAnsi="Abadi"/>
          <w:i/>
          <w:iCs/>
          <w:sz w:val="21"/>
          <w:szCs w:val="21"/>
          <w:lang w:val="es-MX" w:eastAsia="en-US"/>
        </w:rPr>
        <w:t xml:space="preserve">Plan Estatal de Desarrollo de Guanajuato, 2040, construyendo el futuro y la actualización del Programa de Gobierno 2018-2024, </w:t>
      </w:r>
      <w:r w:rsidRPr="00F81845">
        <w:rPr>
          <w:rFonts w:ascii="Abadi" w:eastAsia="Calibri" w:hAnsi="Abadi"/>
          <w:sz w:val="21"/>
          <w:szCs w:val="21"/>
          <w:lang w:val="es-MX" w:eastAsia="en-US"/>
        </w:rPr>
        <w:t>se ha señalado que uno de los objetivos es incluir la perspectiva de género en las políticas públicas emitidas por el Gobierno del Estado.</w:t>
      </w:r>
    </w:p>
    <w:p w14:paraId="5F806B37" w14:textId="77777777" w:rsidR="00F81845" w:rsidRPr="00F81845" w:rsidRDefault="00F81845" w:rsidP="00EA2D06">
      <w:pPr>
        <w:widowControl w:val="0"/>
        <w:ind w:firstLine="708"/>
        <w:jc w:val="both"/>
        <w:rPr>
          <w:rFonts w:ascii="Abadi" w:eastAsia="Calibri" w:hAnsi="Abadi"/>
          <w:sz w:val="21"/>
          <w:szCs w:val="21"/>
          <w:lang w:val="es-MX" w:eastAsia="en-US"/>
        </w:rPr>
      </w:pPr>
      <w:r w:rsidRPr="00F81845">
        <w:rPr>
          <w:rFonts w:ascii="Abadi" w:eastAsia="Calibri" w:hAnsi="Abadi"/>
          <w:sz w:val="21"/>
          <w:szCs w:val="21"/>
          <w:lang w:val="es-MX" w:eastAsia="en-US"/>
        </w:rPr>
        <w:t xml:space="preserve">Al igual, la perspectiva de género ha sido señalada por la Suprema Corte de Justicia de la siguiente manera: </w:t>
      </w:r>
    </w:p>
    <w:p w14:paraId="5C9DFE29" w14:textId="77777777" w:rsidR="00F81845" w:rsidRPr="00F81845" w:rsidRDefault="00F81845" w:rsidP="00EA2D06">
      <w:pPr>
        <w:widowControl w:val="0"/>
        <w:ind w:firstLine="708"/>
        <w:jc w:val="both"/>
        <w:rPr>
          <w:rFonts w:ascii="Abadi" w:eastAsia="Calibri" w:hAnsi="Abadi"/>
          <w:sz w:val="21"/>
          <w:szCs w:val="21"/>
          <w:lang w:val="es-MX" w:eastAsia="en-US"/>
        </w:rPr>
      </w:pPr>
    </w:p>
    <w:p w14:paraId="342C5B4A" w14:textId="77777777" w:rsidR="00F81845" w:rsidRPr="00F81845" w:rsidRDefault="00F81845" w:rsidP="00EA2D06">
      <w:pPr>
        <w:ind w:left="1701"/>
        <w:jc w:val="both"/>
        <w:rPr>
          <w:rFonts w:ascii="Abadi" w:hAnsi="Abadi" w:cstheme="minorHAnsi"/>
          <w:b/>
          <w:bCs/>
          <w:i/>
          <w:iCs/>
          <w:color w:val="000000"/>
          <w:sz w:val="21"/>
          <w:szCs w:val="21"/>
          <w:shd w:val="clear" w:color="auto" w:fill="FFFFFF"/>
        </w:rPr>
      </w:pPr>
      <w:r w:rsidRPr="00F81845">
        <w:rPr>
          <w:rFonts w:ascii="Abadi" w:hAnsi="Abadi" w:cstheme="minorHAnsi"/>
          <w:b/>
          <w:bCs/>
          <w:i/>
          <w:iCs/>
          <w:color w:val="000000"/>
          <w:sz w:val="21"/>
          <w:szCs w:val="21"/>
          <w:shd w:val="clear" w:color="auto" w:fill="FFFFFF"/>
        </w:rPr>
        <w:t xml:space="preserve">JUZGAR CON PERSPECTIVA DE GÉNERO. CONCEPTO, APLICABILIDAD Y METODOLOGÍA PARA CUMPLIR DICHA OBLIGACIÓN. </w:t>
      </w:r>
    </w:p>
    <w:p w14:paraId="24B6EB0B" w14:textId="77777777" w:rsidR="00F81845" w:rsidRPr="00F81845" w:rsidRDefault="00F81845" w:rsidP="00EA2D06">
      <w:pPr>
        <w:ind w:left="1701"/>
        <w:jc w:val="both"/>
        <w:rPr>
          <w:rFonts w:ascii="Abadi" w:hAnsi="Abadi" w:cstheme="minorHAnsi"/>
          <w:i/>
          <w:iCs/>
          <w:color w:val="000000"/>
          <w:sz w:val="21"/>
          <w:szCs w:val="21"/>
          <w:shd w:val="clear" w:color="auto" w:fill="FFFFFF"/>
        </w:rPr>
      </w:pPr>
      <w:r w:rsidRPr="00F81845">
        <w:rPr>
          <w:rFonts w:ascii="Abadi" w:hAnsi="Abadi" w:cstheme="minorHAnsi"/>
          <w:i/>
          <w:iCs/>
          <w:color w:val="000000"/>
          <w:sz w:val="21"/>
          <w:szCs w:val="21"/>
          <w:shd w:val="clear" w:color="auto" w:fill="FFFFFF"/>
        </w:rPr>
        <w:t>De acuerdo con la doctrina de la Primera Sala de la Suprema Corte de Justicia de la Nación sobre el tema, la perspectiva de género constituye una categoría analítica -concepto- que acoge las metodologías y mecanismos destinados al estudio de las construcciones culturales y sociales entendidas como propias para hombres y mujeres, es decir, lo que histórica, social y culturalmente se ha entendido como "lo femenino" y "lo masculino". En estos términos, la obligación de las y los operadores de justicia de juzgar con perspectiva de género puede resumirse en su deber de impartir justicia sobre la base del reconocimiento de la particular situación de desventaja en la cual históricamente se han encontrado las mujeres -pero que no necesariamente está presente en cada caso-, como consecuencia de la construcción que socioculturalmente se ha desarrollado en torno a la posición y al rol que debieran asumir, como un corolario inevitable de su sexo. La importancia de este reconocimiento estriba en que de él surgirá la posibilidad de que quienes tengan encomendada la función de impartir justicia, puedan identificar las discriminaciones que de derecho o de hecho pueden sufrir hombres y mujeres, ya sea directa o indirectamente, con motivo de la aplicación del marco normativo e institucional mexicano. Dicho de otra manera, la obligación de juzgar con perspectiva de género exige a quienes imparten justicia que actúen remediando los potenciales efectos discriminatorios que el ordenamiento jurídico y las prácticas institucionales pueden tener en detrimento de las personas, principalmente de las mujeres. En estos términos, el contenido de la obligación en comento pueden resumirse de la siguiente forma: 1) Aplicabilidad: es intrínseca a la labor jurisdiccional, de modo que no debe mediar petición de parte, la cual comprende obligaciones específicas en casos graves de violencia contra las mujeres, y se refuerza aún más en el marco de contextos de violencia contra éstas; y, 2) Metodología: exige cumplir los seis pasos mencionados en la tesis de jurisprudencia 1a./J. 22/2016 (10a.), de rubro: "ACCESO A LA JUSTICIA EN CONDICIONES DE IGUALDAD. ELEMENTOS PARA JUZGAR CON PERSPECTIVA DE GÉNERO.", que pueden resumirse en la necesidad de detectar posibles -mas no necesariamente presentes- situaciones de desequilibrio de poder entre las partes como consecuencia de su género, seguida de un deber de cuestionar la neutralidad de las pruebas y el marco normativo aplicable, así como de recopilar las pruebas necesarias para visualizar el contexto de violencia o discriminación, y finalmente resolver los casos prescindiendo de cualesquiera cargas estereotipadas que resulten en detrimento de mujeres u hombres.</w:t>
      </w:r>
    </w:p>
    <w:p w14:paraId="1863D193" w14:textId="77777777" w:rsidR="00F81845" w:rsidRPr="00F81845" w:rsidRDefault="00F81845" w:rsidP="00EA2D06">
      <w:pPr>
        <w:widowControl w:val="0"/>
        <w:ind w:firstLine="708"/>
        <w:jc w:val="both"/>
        <w:rPr>
          <w:rFonts w:ascii="Abadi" w:eastAsia="Calibri" w:hAnsi="Abadi"/>
          <w:sz w:val="21"/>
          <w:szCs w:val="21"/>
          <w:lang w:val="es-MX" w:eastAsia="en-US"/>
        </w:rPr>
      </w:pPr>
    </w:p>
    <w:p w14:paraId="486BC04E" w14:textId="77777777" w:rsidR="00F81845" w:rsidRPr="00F81845" w:rsidRDefault="00F81845" w:rsidP="00EA2D06">
      <w:pPr>
        <w:widowControl w:val="0"/>
        <w:ind w:firstLine="708"/>
        <w:jc w:val="both"/>
        <w:rPr>
          <w:rFonts w:ascii="Abadi" w:eastAsia="Calibri" w:hAnsi="Abadi"/>
          <w:sz w:val="21"/>
          <w:szCs w:val="21"/>
          <w:lang w:val="es-MX" w:eastAsia="en-US"/>
        </w:rPr>
      </w:pPr>
      <w:r w:rsidRPr="00F81845">
        <w:rPr>
          <w:rFonts w:ascii="Abadi" w:eastAsia="Calibri" w:hAnsi="Abadi"/>
          <w:sz w:val="21"/>
          <w:szCs w:val="21"/>
          <w:lang w:val="es-MX" w:eastAsia="en-US"/>
        </w:rPr>
        <w:t>Bajo esta argumentación, quienes dictaminamos consideramos que la perspectiva de género es un principio constitucional que no puede pasar desapercibido por los poderes públicos, y debe permear en todas las decisiones que éstos tomen; y a considerar que la perspectiva de género permite visibilizar a un grupo de personas que históricamente ha sido sometida por relaciones de poder, de ahí la necesidad de esta reforma.</w:t>
      </w:r>
    </w:p>
    <w:p w14:paraId="68BD4A3F" w14:textId="77777777" w:rsidR="00F81845" w:rsidRPr="00F81845" w:rsidRDefault="00F81845" w:rsidP="00EA2D06">
      <w:pPr>
        <w:widowControl w:val="0"/>
        <w:ind w:firstLine="708"/>
        <w:jc w:val="both"/>
        <w:rPr>
          <w:rFonts w:ascii="Abadi" w:eastAsia="Calibri" w:hAnsi="Abadi"/>
          <w:sz w:val="21"/>
          <w:szCs w:val="21"/>
          <w:lang w:val="es-MX" w:eastAsia="en-US"/>
        </w:rPr>
      </w:pPr>
    </w:p>
    <w:p w14:paraId="40D651E4" w14:textId="77777777" w:rsidR="00F81845" w:rsidRPr="00F81845" w:rsidRDefault="00F81845" w:rsidP="00EA2D06">
      <w:pPr>
        <w:widowControl w:val="0"/>
        <w:ind w:firstLine="708"/>
        <w:jc w:val="both"/>
        <w:rPr>
          <w:rFonts w:ascii="Abadi" w:eastAsia="Calibri" w:hAnsi="Abadi"/>
          <w:sz w:val="21"/>
          <w:szCs w:val="21"/>
          <w:lang w:val="es-MX" w:eastAsia="en-US"/>
        </w:rPr>
      </w:pPr>
      <w:r w:rsidRPr="00F81845">
        <w:rPr>
          <w:rFonts w:ascii="Abadi" w:eastAsia="Calibri" w:hAnsi="Abadi"/>
          <w:sz w:val="21"/>
          <w:szCs w:val="21"/>
          <w:lang w:val="es-MX" w:eastAsia="en-US"/>
        </w:rPr>
        <w:t>En consecuencia, por las consideraciones jurídicas expuestas, se determina la viabilidad jurídica en lo general de las propuestas para ser incorporadas como porciones normativas en la Ley de Planeación para el Estado de Guanajuato.</w:t>
      </w:r>
    </w:p>
    <w:p w14:paraId="79106D18" w14:textId="77777777" w:rsidR="00F81845" w:rsidRPr="00F81845" w:rsidRDefault="00F81845" w:rsidP="00EA2D06">
      <w:pPr>
        <w:widowControl w:val="0"/>
        <w:ind w:firstLine="708"/>
        <w:jc w:val="both"/>
        <w:rPr>
          <w:rFonts w:ascii="Abadi" w:eastAsia="Calibri" w:hAnsi="Abadi"/>
          <w:sz w:val="21"/>
          <w:szCs w:val="21"/>
          <w:lang w:val="es-MX" w:eastAsia="en-US"/>
        </w:rPr>
      </w:pPr>
    </w:p>
    <w:p w14:paraId="063626B0" w14:textId="77777777" w:rsidR="00F81845" w:rsidRPr="00F81845" w:rsidRDefault="00F81845" w:rsidP="00EA2D06">
      <w:pPr>
        <w:widowControl w:val="0"/>
        <w:jc w:val="both"/>
        <w:rPr>
          <w:rFonts w:ascii="Abadi" w:eastAsia="Calibri" w:hAnsi="Abadi"/>
          <w:b/>
          <w:bCs/>
          <w:sz w:val="21"/>
          <w:szCs w:val="21"/>
          <w:lang w:val="es-MX" w:eastAsia="en-US"/>
        </w:rPr>
      </w:pPr>
      <w:r w:rsidRPr="00F81845">
        <w:rPr>
          <w:rFonts w:ascii="Abadi" w:eastAsia="Calibri" w:hAnsi="Abadi"/>
          <w:b/>
          <w:bCs/>
          <w:sz w:val="21"/>
          <w:szCs w:val="21"/>
          <w:lang w:val="es-MX" w:eastAsia="en-US"/>
        </w:rPr>
        <w:t>III. Modificaciones a las iniciativas</w:t>
      </w:r>
    </w:p>
    <w:p w14:paraId="6676CFE1" w14:textId="77777777" w:rsidR="00F81845" w:rsidRPr="00F81845" w:rsidRDefault="00F81845" w:rsidP="00EA2D06">
      <w:pPr>
        <w:widowControl w:val="0"/>
        <w:jc w:val="both"/>
        <w:rPr>
          <w:rFonts w:ascii="Abadi" w:eastAsia="Calibri" w:hAnsi="Abadi"/>
          <w:b/>
          <w:bCs/>
          <w:sz w:val="21"/>
          <w:szCs w:val="21"/>
          <w:lang w:val="es-MX" w:eastAsia="en-US"/>
        </w:rPr>
      </w:pPr>
    </w:p>
    <w:p w14:paraId="7711CF70" w14:textId="77777777" w:rsidR="00F81845" w:rsidRPr="00F81845" w:rsidRDefault="00F81845" w:rsidP="00EA2D06">
      <w:pPr>
        <w:widowControl w:val="0"/>
        <w:ind w:firstLine="708"/>
        <w:jc w:val="both"/>
        <w:rPr>
          <w:rFonts w:ascii="Abadi" w:eastAsia="Batang" w:hAnsi="Abadi" w:cs="Arial"/>
          <w:sz w:val="21"/>
          <w:szCs w:val="21"/>
        </w:rPr>
      </w:pPr>
      <w:r w:rsidRPr="00F81845">
        <w:rPr>
          <w:rFonts w:ascii="Abadi" w:eastAsia="Batang" w:hAnsi="Abadi" w:cs="Arial"/>
          <w:sz w:val="21"/>
          <w:szCs w:val="21"/>
        </w:rPr>
        <w:t>Quienes integramos la Comisión de Gobernación y Puntos Constitucionales, estimamos necesario hacer ajustes a las propuestas para atender las observaciones de las mesas de trabajo, así como a las aportaciones de las diputadas y los diputados, que conforman la Sexagésima Quinta Legislatura y de quienes participaron activamente en el análisis como los representantes del Poder Ejecutivo, así como las áreas institucionales del Congreso del Estado.</w:t>
      </w:r>
    </w:p>
    <w:p w14:paraId="015000B0" w14:textId="77777777" w:rsidR="00F81845" w:rsidRPr="00F81845" w:rsidRDefault="00F81845" w:rsidP="00EA2D06">
      <w:pPr>
        <w:widowControl w:val="0"/>
        <w:jc w:val="both"/>
        <w:rPr>
          <w:rFonts w:ascii="Abadi" w:eastAsia="Calibri" w:hAnsi="Abadi"/>
          <w:b/>
          <w:bCs/>
          <w:sz w:val="21"/>
          <w:szCs w:val="21"/>
          <w:lang w:val="es-MX" w:eastAsia="en-US"/>
        </w:rPr>
      </w:pPr>
    </w:p>
    <w:p w14:paraId="7537234C" w14:textId="77777777" w:rsidR="00F81845" w:rsidRPr="00F81845" w:rsidRDefault="00F81845" w:rsidP="00EA2D06">
      <w:pPr>
        <w:ind w:firstLine="708"/>
        <w:jc w:val="both"/>
        <w:rPr>
          <w:rFonts w:ascii="Abadi" w:hAnsi="Abadi" w:cs="Arial"/>
          <w:sz w:val="21"/>
          <w:szCs w:val="21"/>
        </w:rPr>
      </w:pPr>
      <w:r w:rsidRPr="00F81845">
        <w:rPr>
          <w:rFonts w:ascii="Abadi" w:eastAsia="Batang" w:hAnsi="Abadi" w:cs="Arial"/>
          <w:sz w:val="21"/>
          <w:szCs w:val="21"/>
        </w:rPr>
        <w:t>Se acordó únicamente complementar en esta reforma lo establecido en el artículo 22 Bis de la Ley de Planeación para el Estado de Guanajuato, para incluir la perspectiva de género y de esta manera ser armónicos con la normatividad jurídica vigente</w:t>
      </w:r>
      <w:r w:rsidRPr="00F81845">
        <w:rPr>
          <w:rFonts w:ascii="Abadi" w:hAnsi="Abadi" w:cs="Arial"/>
          <w:sz w:val="21"/>
          <w:szCs w:val="21"/>
        </w:rPr>
        <w:t>.</w:t>
      </w:r>
    </w:p>
    <w:p w14:paraId="5F51FFC3" w14:textId="77777777" w:rsidR="00F81845" w:rsidRPr="00F81845" w:rsidRDefault="00F81845" w:rsidP="00EA2D06">
      <w:pPr>
        <w:ind w:firstLine="708"/>
        <w:jc w:val="both"/>
        <w:rPr>
          <w:rFonts w:ascii="Abadi" w:hAnsi="Abadi" w:cs="Arial"/>
          <w:sz w:val="21"/>
          <w:szCs w:val="21"/>
        </w:rPr>
      </w:pPr>
    </w:p>
    <w:p w14:paraId="67CDC975" w14:textId="77777777" w:rsidR="00F81845" w:rsidRPr="00F81845" w:rsidRDefault="00F81845" w:rsidP="00EA2D06">
      <w:pPr>
        <w:ind w:firstLine="708"/>
        <w:jc w:val="both"/>
        <w:rPr>
          <w:rFonts w:ascii="Abadi" w:eastAsia="Calibri" w:hAnsi="Abadi"/>
          <w:sz w:val="21"/>
          <w:szCs w:val="21"/>
          <w:lang w:val="es-MX" w:eastAsia="en-US"/>
        </w:rPr>
      </w:pPr>
      <w:r w:rsidRPr="00F81845">
        <w:rPr>
          <w:rFonts w:ascii="Abadi" w:hAnsi="Abadi" w:cs="Arial"/>
          <w:sz w:val="21"/>
          <w:szCs w:val="21"/>
        </w:rPr>
        <w:t>Con respecto al tema de la perspectiva de familia determinamos no incluirla en razón de que, s</w:t>
      </w:r>
      <w:r w:rsidRPr="00F81845">
        <w:rPr>
          <w:rFonts w:ascii="Abadi" w:eastAsia="Calibri" w:hAnsi="Abadi"/>
          <w:sz w:val="21"/>
          <w:szCs w:val="21"/>
          <w:lang w:val="es-MX" w:eastAsia="en-US"/>
        </w:rPr>
        <w:t xml:space="preserve">i bien algunas políticas como las de pobreza deberían plantearse con la perspectiva de hogar, existen otras que corresponden exclusivamente al individuo, por lo que esta última debería ser la perspectiva predominante. Por ello la adición de la fracción VI al artículo 4 de la Ley de Planeación para el Estado de Guanajuato, si bien podría ser incluido como un principio, no debería anteponerse al beneficio público, el cual puede enfocarse en el individuo, la familia o la misma sociedad en su conjunto, por lo tanto, establecer la perspectiva de familia podría ser limitativa y en ello no coincidimos. La perspectiva de familia u hogar debería considerarse solo cuando aplique en la definición del problema público. </w:t>
      </w:r>
    </w:p>
    <w:p w14:paraId="5CB683BD" w14:textId="77777777" w:rsidR="00F81845" w:rsidRPr="00F81845" w:rsidRDefault="00F81845" w:rsidP="00EA2D06">
      <w:pPr>
        <w:ind w:firstLine="708"/>
        <w:jc w:val="both"/>
        <w:rPr>
          <w:rFonts w:ascii="Abadi" w:eastAsia="Calibri" w:hAnsi="Abadi"/>
          <w:sz w:val="21"/>
          <w:szCs w:val="21"/>
          <w:highlight w:val="yellow"/>
          <w:lang w:val="es-MX" w:eastAsia="en-US"/>
        </w:rPr>
      </w:pPr>
    </w:p>
    <w:p w14:paraId="60E8DBA0" w14:textId="77777777" w:rsidR="00F81845" w:rsidRPr="00F81845" w:rsidRDefault="00F81845" w:rsidP="00EA2D06">
      <w:pPr>
        <w:ind w:firstLine="708"/>
        <w:jc w:val="both"/>
        <w:rPr>
          <w:rFonts w:ascii="Abadi" w:eastAsia="Calibri" w:hAnsi="Abadi"/>
          <w:sz w:val="21"/>
          <w:szCs w:val="21"/>
          <w:lang w:val="es-MX" w:eastAsia="en-US"/>
        </w:rPr>
      </w:pPr>
      <w:r w:rsidRPr="00F81845">
        <w:rPr>
          <w:rFonts w:ascii="Abadi" w:eastAsia="Calibri" w:hAnsi="Abadi"/>
          <w:sz w:val="21"/>
          <w:szCs w:val="21"/>
          <w:lang w:val="es-MX" w:eastAsia="en-US"/>
        </w:rPr>
        <w:t xml:space="preserve">Se estima que el contenido vigente de la Ley de Planeación para el Estado de Guanajuato al contemplar principios como: </w:t>
      </w:r>
    </w:p>
    <w:p w14:paraId="603E6D87" w14:textId="77777777" w:rsidR="00F81845" w:rsidRPr="00F81845" w:rsidRDefault="00F81845" w:rsidP="00EA2D06">
      <w:pPr>
        <w:jc w:val="both"/>
        <w:rPr>
          <w:rFonts w:ascii="Abadi" w:hAnsi="Abadi" w:cs="Arial"/>
          <w:sz w:val="21"/>
          <w:szCs w:val="21"/>
        </w:rPr>
      </w:pPr>
    </w:p>
    <w:p w14:paraId="55FCBD2B" w14:textId="77777777" w:rsidR="00F81845" w:rsidRPr="00F81845" w:rsidRDefault="00F81845" w:rsidP="00EA2D06">
      <w:pPr>
        <w:ind w:left="1701"/>
        <w:jc w:val="both"/>
        <w:rPr>
          <w:rFonts w:ascii="Abadi" w:hAnsi="Abadi" w:cstheme="minorHAnsi"/>
          <w:color w:val="000000"/>
          <w:sz w:val="21"/>
          <w:szCs w:val="21"/>
          <w:shd w:val="clear" w:color="auto" w:fill="FFFFFF"/>
        </w:rPr>
      </w:pPr>
      <w:r w:rsidRPr="00F81845">
        <w:rPr>
          <w:rFonts w:ascii="Abadi" w:hAnsi="Abadi" w:cstheme="minorHAnsi"/>
          <w:color w:val="000000"/>
          <w:sz w:val="21"/>
          <w:szCs w:val="21"/>
          <w:shd w:val="clear" w:color="auto" w:fill="FFFFFF"/>
        </w:rPr>
        <w:t>Fracción IV: El mejoramiento de la calidad de vida de los habitantes del Estado, mediante el crecimiento armónico y permanente en el ámbito social, económico y político;</w:t>
      </w:r>
    </w:p>
    <w:p w14:paraId="5BF1EE64" w14:textId="77777777" w:rsidR="00F81845" w:rsidRPr="00F81845" w:rsidRDefault="00F81845" w:rsidP="00EA2D06">
      <w:pPr>
        <w:ind w:left="1701"/>
        <w:jc w:val="both"/>
        <w:rPr>
          <w:rFonts w:ascii="Abadi" w:hAnsi="Abadi" w:cstheme="minorHAnsi"/>
          <w:color w:val="000000"/>
          <w:sz w:val="21"/>
          <w:szCs w:val="21"/>
          <w:shd w:val="clear" w:color="auto" w:fill="FFFFFF"/>
        </w:rPr>
      </w:pPr>
    </w:p>
    <w:p w14:paraId="6B534F03" w14:textId="77777777" w:rsidR="00F81845" w:rsidRPr="00F81845" w:rsidRDefault="00F81845" w:rsidP="00EA2D06">
      <w:pPr>
        <w:ind w:left="1701"/>
        <w:jc w:val="both"/>
        <w:rPr>
          <w:rFonts w:ascii="Abadi" w:hAnsi="Abadi" w:cstheme="minorHAnsi"/>
          <w:color w:val="000000"/>
          <w:sz w:val="21"/>
          <w:szCs w:val="21"/>
          <w:shd w:val="clear" w:color="auto" w:fill="FFFFFF"/>
        </w:rPr>
      </w:pPr>
      <w:r w:rsidRPr="00F81845">
        <w:rPr>
          <w:rFonts w:ascii="Abadi" w:hAnsi="Abadi" w:cstheme="minorHAnsi"/>
          <w:color w:val="000000"/>
          <w:sz w:val="21"/>
          <w:szCs w:val="21"/>
          <w:shd w:val="clear" w:color="auto" w:fill="FFFFFF"/>
        </w:rPr>
        <w:t>Fracción V: La perspectiva de género e interculturalidad; así como la promoción, el respeto y la protección de los derechos humanos reconocidos en la Constitución y en los tratados internacionales de los que el Estado Mexicano sea parte.</w:t>
      </w:r>
    </w:p>
    <w:p w14:paraId="760B1A60" w14:textId="77777777" w:rsidR="00F81845" w:rsidRPr="00F81845" w:rsidRDefault="00F81845" w:rsidP="00EA2D06">
      <w:pPr>
        <w:ind w:left="1701"/>
        <w:jc w:val="both"/>
        <w:rPr>
          <w:rFonts w:ascii="Abadi" w:hAnsi="Abadi" w:cstheme="minorHAnsi"/>
          <w:color w:val="000000"/>
          <w:sz w:val="21"/>
          <w:szCs w:val="21"/>
          <w:shd w:val="clear" w:color="auto" w:fill="FFFFFF"/>
        </w:rPr>
      </w:pPr>
    </w:p>
    <w:p w14:paraId="22FFD17C" w14:textId="77777777" w:rsidR="00F81845" w:rsidRPr="00F81845" w:rsidRDefault="00F81845" w:rsidP="00EA2D06">
      <w:pPr>
        <w:ind w:firstLine="708"/>
        <w:jc w:val="both"/>
        <w:rPr>
          <w:rFonts w:ascii="Abadi" w:eastAsia="Calibri" w:hAnsi="Abadi"/>
          <w:sz w:val="21"/>
          <w:szCs w:val="21"/>
          <w:lang w:val="es-MX" w:eastAsia="en-US"/>
        </w:rPr>
      </w:pPr>
      <w:r w:rsidRPr="00F81845">
        <w:rPr>
          <w:rFonts w:ascii="Abadi" w:eastAsia="Calibri" w:hAnsi="Abadi"/>
          <w:sz w:val="21"/>
          <w:szCs w:val="21"/>
          <w:lang w:val="es-MX" w:eastAsia="en-US"/>
        </w:rPr>
        <w:t xml:space="preserve">Los cuales se encuentran dirigidos a todos los habitantes del estado, con el objetivo de garantizar de manera efectiva sus derechos humanos, incluidos aquellos relacionados con la familia. </w:t>
      </w:r>
    </w:p>
    <w:p w14:paraId="4B143838" w14:textId="77777777" w:rsidR="00F81845" w:rsidRPr="00F81845" w:rsidRDefault="00F81845" w:rsidP="00EA2D06">
      <w:pPr>
        <w:ind w:firstLine="708"/>
        <w:jc w:val="both"/>
        <w:rPr>
          <w:rFonts w:ascii="Abadi" w:eastAsia="Calibri" w:hAnsi="Abadi"/>
          <w:sz w:val="21"/>
          <w:szCs w:val="21"/>
          <w:lang w:val="es-MX" w:eastAsia="en-US"/>
        </w:rPr>
      </w:pPr>
    </w:p>
    <w:p w14:paraId="61BDA2B2" w14:textId="77777777" w:rsidR="00F81845" w:rsidRPr="00F81845" w:rsidRDefault="00F81845" w:rsidP="00EA2D06">
      <w:pPr>
        <w:ind w:firstLine="708"/>
        <w:jc w:val="both"/>
        <w:rPr>
          <w:rFonts w:ascii="Abadi" w:eastAsia="Calibri" w:hAnsi="Abadi"/>
          <w:sz w:val="21"/>
          <w:szCs w:val="21"/>
          <w:lang w:val="es-MX" w:eastAsia="en-US"/>
        </w:rPr>
      </w:pPr>
      <w:r w:rsidRPr="00F81845">
        <w:rPr>
          <w:rFonts w:ascii="Abadi" w:eastAsia="Calibri" w:hAnsi="Abadi"/>
          <w:sz w:val="21"/>
          <w:szCs w:val="21"/>
          <w:lang w:val="es-MX" w:eastAsia="en-US"/>
        </w:rPr>
        <w:t>Es decir, al no quedar esclarecido en la iniciativa el concepto, alcances y sentido de la expresión «perspectiva de familia», consideramos que si la pretensión es que se determinen políticas públicas dirigidas al núcleo familiar en forma específica, se sugiere considerar que este enfoque u objeto de las políticas públicas puede abordarse no como un principio rector de los planes y programas en su totalidad, sino como objeto de instrumentos de planeación en específico, es decir, como programas especiales de acuerdo al concepto que de estos prevé el Reglamento de la Ley de Planeación para el Estado de Guanajuato en su artículo 70, de ahí la no inclusión en este dictamen.</w:t>
      </w:r>
    </w:p>
    <w:p w14:paraId="43176526" w14:textId="77777777" w:rsidR="00F81845" w:rsidRPr="00F81845" w:rsidRDefault="00F81845" w:rsidP="00EA2D06">
      <w:pPr>
        <w:ind w:firstLine="708"/>
        <w:jc w:val="both"/>
        <w:rPr>
          <w:rFonts w:ascii="Abadi" w:eastAsia="Calibri" w:hAnsi="Abadi"/>
          <w:sz w:val="21"/>
          <w:szCs w:val="21"/>
          <w:lang w:val="es-MX" w:eastAsia="en-US"/>
        </w:rPr>
      </w:pPr>
    </w:p>
    <w:p w14:paraId="73903E84" w14:textId="77777777" w:rsidR="00F81845" w:rsidRPr="00F81845" w:rsidRDefault="00F81845" w:rsidP="00EA2D06">
      <w:pPr>
        <w:ind w:firstLine="708"/>
        <w:jc w:val="both"/>
        <w:rPr>
          <w:rFonts w:ascii="Abadi" w:eastAsia="Calibri" w:hAnsi="Abadi"/>
          <w:sz w:val="21"/>
          <w:szCs w:val="21"/>
          <w:lang w:val="es-MX" w:eastAsia="en-US"/>
        </w:rPr>
      </w:pPr>
      <w:r w:rsidRPr="00F81845">
        <w:rPr>
          <w:rFonts w:ascii="Abadi" w:eastAsia="Calibri" w:hAnsi="Abadi"/>
          <w:sz w:val="21"/>
          <w:szCs w:val="21"/>
          <w:lang w:val="es-MX" w:eastAsia="en-US"/>
        </w:rPr>
        <w:t>En lo concerniente a la reforma al artículo 24 Bis, es importante referir:</w:t>
      </w:r>
    </w:p>
    <w:p w14:paraId="7FBB3460" w14:textId="77777777" w:rsidR="00F81845" w:rsidRPr="00F81845" w:rsidRDefault="00F81845" w:rsidP="00EA2D06">
      <w:pPr>
        <w:ind w:left="720"/>
        <w:contextualSpacing/>
        <w:jc w:val="both"/>
        <w:rPr>
          <w:rFonts w:ascii="Abadi" w:eastAsia="Calibri" w:hAnsi="Abadi" w:cs="Arial"/>
          <w:sz w:val="21"/>
          <w:szCs w:val="21"/>
          <w:lang w:val="es-MX" w:eastAsia="en-US"/>
        </w:rPr>
      </w:pPr>
    </w:p>
    <w:p w14:paraId="4BD552C4" w14:textId="77777777" w:rsidR="00F81845" w:rsidRPr="00F81845" w:rsidRDefault="00F81845" w:rsidP="00EA2D06">
      <w:pPr>
        <w:ind w:left="1701"/>
        <w:jc w:val="both"/>
        <w:rPr>
          <w:rFonts w:ascii="Abadi" w:hAnsi="Abadi" w:cstheme="minorHAnsi"/>
          <w:color w:val="000000"/>
          <w:sz w:val="21"/>
          <w:szCs w:val="21"/>
          <w:shd w:val="clear" w:color="auto" w:fill="FFFFFF"/>
        </w:rPr>
      </w:pPr>
      <w:r w:rsidRPr="00F81845">
        <w:rPr>
          <w:rFonts w:ascii="Abadi" w:hAnsi="Abadi" w:cstheme="minorHAnsi"/>
          <w:b/>
          <w:bCs/>
          <w:color w:val="000000"/>
          <w:sz w:val="21"/>
          <w:szCs w:val="21"/>
          <w:shd w:val="clear" w:color="auto" w:fill="FFFFFF"/>
        </w:rPr>
        <w:t>Artículo 24 Bis.</w:t>
      </w:r>
      <w:r w:rsidRPr="00F81845">
        <w:rPr>
          <w:rFonts w:ascii="Abadi" w:hAnsi="Abadi" w:cstheme="minorHAnsi"/>
          <w:color w:val="000000"/>
          <w:sz w:val="21"/>
          <w:szCs w:val="21"/>
          <w:shd w:val="clear" w:color="auto" w:fill="FFFFFF"/>
        </w:rPr>
        <w:t xml:space="preserve"> Los instrumentos del sistema de planeación deberán tomar en cuenta los principios para la planeación del desarrollo señalados en el artículo 4 y contener, por lo menos, un diagnóstico general sobre la problemática que buscan atender, los objetivos específicos y su contribución al logro de las metas del Plan Estatal o Municipal de Desarrollo , las estrategias y líneas de acción que permitan alcanzar los objetivos del programa, así como los indicadores de desempeño que permitan su monitoreo, evaluación y actualización</w:t>
      </w:r>
    </w:p>
    <w:p w14:paraId="51D507D6" w14:textId="77777777" w:rsidR="00F81845" w:rsidRPr="00F81845" w:rsidRDefault="00F81845" w:rsidP="00EA2D06">
      <w:pPr>
        <w:ind w:left="720"/>
        <w:contextualSpacing/>
        <w:jc w:val="both"/>
        <w:rPr>
          <w:rFonts w:ascii="Abadi" w:eastAsia="Calibri" w:hAnsi="Abadi" w:cs="Arial"/>
          <w:sz w:val="21"/>
          <w:szCs w:val="21"/>
          <w:lang w:val="es-MX" w:eastAsia="en-US"/>
        </w:rPr>
      </w:pPr>
    </w:p>
    <w:p w14:paraId="749A8663" w14:textId="77777777" w:rsidR="00F81845" w:rsidRPr="00F81845" w:rsidRDefault="00F81845" w:rsidP="00EA2D06">
      <w:pPr>
        <w:ind w:firstLine="708"/>
        <w:jc w:val="both"/>
        <w:rPr>
          <w:rFonts w:ascii="Abadi" w:eastAsia="Calibri" w:hAnsi="Abadi"/>
          <w:sz w:val="21"/>
          <w:szCs w:val="21"/>
          <w:lang w:val="es-MX" w:eastAsia="en-US"/>
        </w:rPr>
      </w:pPr>
      <w:r w:rsidRPr="00F81845">
        <w:rPr>
          <w:rFonts w:ascii="Abadi" w:eastAsia="Calibri" w:hAnsi="Abadi"/>
          <w:sz w:val="21"/>
          <w:szCs w:val="21"/>
          <w:lang w:val="es-MX" w:eastAsia="en-US"/>
        </w:rPr>
        <w:t xml:space="preserve">Acordamos que la reforma no es necesaria toda vez que los principios establecidos en el artículo 4 de la ley, se constituyen en principios rectores de la misma, y de manera concreta, de la planeación del desarrollo, instrumentada a través de los planes y programas derivados de la ley. </w:t>
      </w:r>
    </w:p>
    <w:p w14:paraId="67228883" w14:textId="77777777" w:rsidR="00F81845" w:rsidRPr="00F81845" w:rsidRDefault="00F81845" w:rsidP="00EA2D06">
      <w:pPr>
        <w:ind w:firstLine="708"/>
        <w:jc w:val="both"/>
        <w:rPr>
          <w:rFonts w:ascii="Abadi" w:eastAsia="Calibri" w:hAnsi="Abadi"/>
          <w:sz w:val="21"/>
          <w:szCs w:val="21"/>
          <w:lang w:val="es-MX" w:eastAsia="en-US"/>
        </w:rPr>
      </w:pPr>
    </w:p>
    <w:p w14:paraId="32DBEFDE" w14:textId="77777777" w:rsidR="00F81845" w:rsidRPr="00F81845" w:rsidRDefault="00F81845" w:rsidP="00EA2D06">
      <w:pPr>
        <w:ind w:firstLine="708"/>
        <w:jc w:val="both"/>
        <w:rPr>
          <w:rFonts w:ascii="Abadi" w:eastAsia="Calibri" w:hAnsi="Abadi"/>
          <w:sz w:val="21"/>
          <w:szCs w:val="21"/>
          <w:lang w:val="es-MX" w:eastAsia="en-US"/>
        </w:rPr>
      </w:pPr>
      <w:r w:rsidRPr="00F81845">
        <w:rPr>
          <w:rFonts w:ascii="Abadi" w:eastAsia="Calibri" w:hAnsi="Abadi"/>
          <w:sz w:val="21"/>
          <w:szCs w:val="21"/>
          <w:lang w:val="es-MX" w:eastAsia="en-US"/>
        </w:rPr>
        <w:t>Por otro lado, coincidimos en que la transversalización de la perspectiva de género en las políticas públicas del Estado permitirá acoger políticas públicas integrales, donde se incorporará la experiencia e intereses de mujeres y hombres y estos elementos coadyuven a mejorar la vida de los y las guanajuatenses.</w:t>
      </w:r>
    </w:p>
    <w:p w14:paraId="3A8DEF2A" w14:textId="77777777" w:rsidR="00F81845" w:rsidRPr="00F81845" w:rsidRDefault="00F81845" w:rsidP="00EA2D06">
      <w:pPr>
        <w:ind w:firstLine="708"/>
        <w:jc w:val="both"/>
        <w:rPr>
          <w:rFonts w:ascii="Abadi" w:eastAsia="Calibri" w:hAnsi="Abadi"/>
          <w:sz w:val="21"/>
          <w:szCs w:val="21"/>
          <w:lang w:val="es-MX" w:eastAsia="en-US"/>
        </w:rPr>
      </w:pPr>
    </w:p>
    <w:p w14:paraId="721CFE17" w14:textId="77777777" w:rsidR="00F81845" w:rsidRPr="00F81845" w:rsidRDefault="00F81845" w:rsidP="00EA2D06">
      <w:pPr>
        <w:ind w:firstLine="708"/>
        <w:jc w:val="both"/>
        <w:rPr>
          <w:rFonts w:ascii="Abadi" w:eastAsia="Calibri" w:hAnsi="Abadi"/>
          <w:sz w:val="21"/>
          <w:szCs w:val="21"/>
          <w:lang w:val="es-MX" w:eastAsia="en-US"/>
        </w:rPr>
      </w:pPr>
      <w:r w:rsidRPr="00F81845">
        <w:rPr>
          <w:rFonts w:ascii="Abadi" w:eastAsia="Calibri" w:hAnsi="Abadi"/>
          <w:sz w:val="21"/>
          <w:szCs w:val="21"/>
          <w:lang w:val="es-MX" w:eastAsia="en-US"/>
        </w:rPr>
        <w:t>Esta modificación es acertada, ya que derivado de obligaciones constitucionales y convencionales como Poder Legislativo tenemos el compromiso de promover, respetar, proteger y garantizar los derechos humanos en todas las políticas públicas que se expidan. Así, este dictamen y su reforma hace patente el interés de las y los legisladores de Guanajuato de seguir fortaleciendo el principio de perspectiva de género.</w:t>
      </w:r>
    </w:p>
    <w:p w14:paraId="5D4C9E68" w14:textId="77777777" w:rsidR="00F81845" w:rsidRPr="00F81845" w:rsidRDefault="00F81845" w:rsidP="00EA2D06">
      <w:pPr>
        <w:ind w:firstLine="708"/>
        <w:jc w:val="both"/>
        <w:rPr>
          <w:rFonts w:ascii="Abadi" w:eastAsia="Batang" w:hAnsi="Abadi" w:cs="Arial"/>
          <w:sz w:val="21"/>
          <w:szCs w:val="21"/>
        </w:rPr>
      </w:pPr>
      <w:r w:rsidRPr="00F81845">
        <w:rPr>
          <w:rFonts w:ascii="Abadi" w:eastAsia="Batang" w:hAnsi="Abadi" w:cs="Arial"/>
          <w:sz w:val="21"/>
          <w:szCs w:val="21"/>
        </w:rPr>
        <w:t xml:space="preserve">Destacamos que este dictamen tiene incidencia en los objetivos que propone la Agenda 2030 de los Objetivos del Desarrollo Sostenible de la Organización de las Naciones Unidas, a través de los objetivos 4., Educación de Calidad. Garantizar una educación inclusiva, equitativa y de calidad y promover oportunidades de aprendizaje durante toda la vida para todos, en las metas 4.3 y 4.5 De aquí a 2030, asegurar el acceso igualitario de todos los hombres y las mujeres a una formación técnica, profesional y superior de calidad, incluida la enseñanza universitaria y eliminar las disparidades de género en la educación y asegurar el acceso igualitario a todos los niveles de la enseñanza y la formación profesional para las personas vulnerables, incluidas las personas con discapacidad, los pueblos indígenas y los niños en situaciones de vulnerabilidad. Y, el 10, </w:t>
      </w:r>
      <w:r w:rsidRPr="00F81845">
        <w:rPr>
          <w:rFonts w:ascii="Abadi" w:eastAsia="Batang" w:hAnsi="Abadi" w:cs="Arial"/>
          <w:i/>
          <w:iCs/>
          <w:sz w:val="21"/>
          <w:szCs w:val="21"/>
        </w:rPr>
        <w:t xml:space="preserve">Reducción de las Desigualdades. Reducir la desigualdad en y entre los países, </w:t>
      </w:r>
      <w:r w:rsidRPr="00F81845">
        <w:rPr>
          <w:rFonts w:ascii="Abadi" w:eastAsia="Batang" w:hAnsi="Abadi" w:cs="Arial"/>
          <w:sz w:val="21"/>
          <w:szCs w:val="21"/>
        </w:rPr>
        <w:t>en sus metas 10.2 y 10.3, de aquí a 2030, potenciar y promover la inclusión social, económica y política de todas las personas, independientemente de su edad, sexo, discapacidad, raza, etnia, origen, religión o situación económica u otra condición y garantizar la igualdad de oportunidades y reducir la desigualdad de resultados, incluso eliminando las leyes, políticas y prácticas discriminatorias y promoviendo legislaciones, políticas y medidas adecuadas a ese respecto.</w:t>
      </w:r>
    </w:p>
    <w:p w14:paraId="5F65E4E7" w14:textId="77777777" w:rsidR="00F81845" w:rsidRPr="00F81845" w:rsidRDefault="00F81845" w:rsidP="00EA2D06">
      <w:pPr>
        <w:ind w:firstLine="708"/>
        <w:jc w:val="both"/>
        <w:rPr>
          <w:rFonts w:ascii="Abadi" w:eastAsia="Batang" w:hAnsi="Abadi" w:cs="Arial"/>
          <w:sz w:val="21"/>
          <w:szCs w:val="21"/>
        </w:rPr>
      </w:pPr>
    </w:p>
    <w:p w14:paraId="630B6C0D" w14:textId="77777777" w:rsidR="00F81845" w:rsidRPr="00F81845" w:rsidRDefault="00F81845" w:rsidP="00EA2D06">
      <w:pPr>
        <w:ind w:firstLine="708"/>
        <w:jc w:val="both"/>
        <w:rPr>
          <w:rFonts w:ascii="Abadi" w:eastAsia="Batang" w:hAnsi="Abadi" w:cs="Arial"/>
          <w:sz w:val="21"/>
          <w:szCs w:val="21"/>
        </w:rPr>
      </w:pPr>
      <w:r w:rsidRPr="00F81845">
        <w:rPr>
          <w:rFonts w:ascii="Abadi" w:eastAsia="Batang" w:hAnsi="Abadi" w:cs="Arial"/>
          <w:sz w:val="21"/>
          <w:szCs w:val="21"/>
        </w:rPr>
        <w:t>Garantizar la igualdad de oportunidades y reducir la desigualdad de resultados, incluso eliminando las leyes, políticas y prácticas discriminatorias y promoviendo legislaciones, políticas y medidas adecuadas a ese respecto.</w:t>
      </w:r>
    </w:p>
    <w:p w14:paraId="483D0B69" w14:textId="77777777" w:rsidR="00F81845" w:rsidRPr="00F81845" w:rsidRDefault="00F81845" w:rsidP="00EA2D06">
      <w:pPr>
        <w:ind w:firstLine="708"/>
        <w:jc w:val="both"/>
        <w:rPr>
          <w:rFonts w:ascii="Abadi" w:eastAsia="Batang" w:hAnsi="Abadi" w:cs="Arial"/>
          <w:sz w:val="21"/>
          <w:szCs w:val="21"/>
        </w:rPr>
      </w:pPr>
    </w:p>
    <w:p w14:paraId="68EB8911" w14:textId="77777777" w:rsidR="00F81845" w:rsidRPr="00F81845" w:rsidRDefault="00F81845" w:rsidP="00EA2D06">
      <w:pPr>
        <w:ind w:firstLine="708"/>
        <w:jc w:val="both"/>
        <w:rPr>
          <w:rFonts w:ascii="Abadi" w:eastAsia="Batang" w:hAnsi="Abadi" w:cs="Arial"/>
          <w:sz w:val="21"/>
          <w:szCs w:val="21"/>
          <w:lang w:val="es-MX" w:eastAsia="en-US"/>
        </w:rPr>
      </w:pPr>
      <w:r w:rsidRPr="00F81845">
        <w:rPr>
          <w:rFonts w:ascii="Abadi" w:eastAsia="Batang" w:hAnsi="Abadi" w:cs="Arial"/>
          <w:sz w:val="21"/>
          <w:szCs w:val="21"/>
        </w:rPr>
        <w:t xml:space="preserve">En razón de lo antes expuesto y con fundamento en los artículos 171 y 204 de la Ley Orgánica del Poder Legislativo del Estado de Guanajuato, nos permitimos someter a la aprobación de la Asamblea, el siguiente: </w:t>
      </w:r>
    </w:p>
    <w:p w14:paraId="2EF64DC8" w14:textId="77777777" w:rsidR="00F81845" w:rsidRPr="00F81845" w:rsidRDefault="00F81845" w:rsidP="00EA2D06">
      <w:pPr>
        <w:widowControl w:val="0"/>
        <w:tabs>
          <w:tab w:val="left" w:pos="900"/>
        </w:tabs>
        <w:jc w:val="both"/>
        <w:rPr>
          <w:rFonts w:ascii="Abadi" w:eastAsia="Batang" w:hAnsi="Abadi" w:cs="Arial"/>
          <w:b/>
          <w:bCs/>
          <w:sz w:val="21"/>
          <w:szCs w:val="21"/>
        </w:rPr>
      </w:pPr>
    </w:p>
    <w:p w14:paraId="3A12CE1E" w14:textId="77777777" w:rsidR="00F81845" w:rsidRPr="00F81845" w:rsidRDefault="00F81845" w:rsidP="00EA2D06">
      <w:pPr>
        <w:widowControl w:val="0"/>
        <w:tabs>
          <w:tab w:val="left" w:pos="0"/>
        </w:tabs>
        <w:jc w:val="center"/>
        <w:rPr>
          <w:rFonts w:ascii="Abadi" w:eastAsia="Batang" w:hAnsi="Abadi" w:cs="Arial"/>
          <w:b/>
          <w:bCs/>
          <w:sz w:val="21"/>
          <w:szCs w:val="21"/>
        </w:rPr>
      </w:pPr>
    </w:p>
    <w:p w14:paraId="7E7A3447" w14:textId="77777777" w:rsidR="00F81845" w:rsidRPr="00F81845" w:rsidRDefault="00F81845" w:rsidP="00EA2D06">
      <w:pPr>
        <w:widowControl w:val="0"/>
        <w:tabs>
          <w:tab w:val="left" w:pos="0"/>
        </w:tabs>
        <w:jc w:val="center"/>
        <w:rPr>
          <w:rFonts w:ascii="Abadi" w:eastAsia="Batang" w:hAnsi="Abadi" w:cs="Arial"/>
          <w:b/>
          <w:bCs/>
          <w:sz w:val="21"/>
          <w:szCs w:val="21"/>
        </w:rPr>
      </w:pPr>
      <w:r w:rsidRPr="00F81845">
        <w:rPr>
          <w:rFonts w:ascii="Abadi" w:eastAsia="Batang" w:hAnsi="Abadi" w:cs="Arial"/>
          <w:b/>
          <w:bCs/>
          <w:sz w:val="21"/>
          <w:szCs w:val="21"/>
        </w:rPr>
        <w:t>DECRETO</w:t>
      </w:r>
    </w:p>
    <w:p w14:paraId="313490C3" w14:textId="77777777" w:rsidR="00F81845" w:rsidRPr="00F81845" w:rsidRDefault="00F81845" w:rsidP="00EA2D06">
      <w:pPr>
        <w:widowControl w:val="0"/>
        <w:tabs>
          <w:tab w:val="left" w:pos="0"/>
        </w:tabs>
        <w:jc w:val="center"/>
        <w:rPr>
          <w:rFonts w:ascii="Abadi" w:eastAsia="Batang" w:hAnsi="Abadi" w:cs="Arial"/>
          <w:b/>
          <w:bCs/>
          <w:sz w:val="21"/>
          <w:szCs w:val="21"/>
        </w:rPr>
      </w:pPr>
    </w:p>
    <w:p w14:paraId="48A2642D" w14:textId="77777777" w:rsidR="00F81845" w:rsidRPr="00F81845" w:rsidRDefault="00F81845" w:rsidP="00EA2D06">
      <w:pPr>
        <w:widowControl w:val="0"/>
        <w:ind w:firstLine="708"/>
        <w:jc w:val="both"/>
        <w:rPr>
          <w:rFonts w:ascii="Abadi" w:eastAsia="Batang" w:hAnsi="Abadi" w:cs="Arial"/>
          <w:bCs/>
          <w:sz w:val="21"/>
          <w:szCs w:val="21"/>
        </w:rPr>
      </w:pPr>
      <w:r w:rsidRPr="00F81845">
        <w:rPr>
          <w:rFonts w:ascii="Abadi" w:eastAsia="Batang" w:hAnsi="Abadi" w:cs="Arial"/>
          <w:b/>
          <w:bCs/>
          <w:sz w:val="21"/>
          <w:szCs w:val="21"/>
        </w:rPr>
        <w:t>Artículo Único.</w:t>
      </w:r>
      <w:r w:rsidRPr="00F81845">
        <w:rPr>
          <w:rFonts w:ascii="Abadi" w:eastAsia="Batang" w:hAnsi="Abadi" w:cs="Arial"/>
          <w:bCs/>
          <w:sz w:val="21"/>
          <w:szCs w:val="21"/>
        </w:rPr>
        <w:t xml:space="preserve"> Se </w:t>
      </w:r>
      <w:r w:rsidRPr="00F81845">
        <w:rPr>
          <w:rFonts w:ascii="Abadi" w:eastAsia="Batang" w:hAnsi="Abadi" w:cs="Arial"/>
          <w:b/>
          <w:sz w:val="21"/>
          <w:szCs w:val="21"/>
        </w:rPr>
        <w:t xml:space="preserve">adiciona </w:t>
      </w:r>
      <w:r w:rsidRPr="00F81845">
        <w:rPr>
          <w:rFonts w:ascii="Abadi" w:eastAsia="Batang" w:hAnsi="Abadi" w:cs="Arial"/>
          <w:bCs/>
          <w:sz w:val="21"/>
          <w:szCs w:val="21"/>
        </w:rPr>
        <w:t xml:space="preserve">un segundo párrafo al artículo 24 bis de la </w:t>
      </w:r>
      <w:r w:rsidRPr="00F81845">
        <w:rPr>
          <w:rFonts w:ascii="Abadi" w:eastAsia="Batang" w:hAnsi="Abadi" w:cs="Arial"/>
          <w:b/>
          <w:sz w:val="21"/>
          <w:szCs w:val="21"/>
        </w:rPr>
        <w:t>Ley de Planeación para el Estado de Guanajuato</w:t>
      </w:r>
      <w:r w:rsidRPr="00F81845">
        <w:rPr>
          <w:rFonts w:ascii="Abadi" w:eastAsia="Batang" w:hAnsi="Abadi" w:cs="Arial"/>
          <w:bCs/>
          <w:sz w:val="21"/>
          <w:szCs w:val="21"/>
        </w:rPr>
        <w:t>, para quedar como sigue:</w:t>
      </w:r>
    </w:p>
    <w:p w14:paraId="18E9FC4D" w14:textId="77777777" w:rsidR="00F81845" w:rsidRPr="00F81845" w:rsidRDefault="00F81845" w:rsidP="00EA2D06">
      <w:pPr>
        <w:widowControl w:val="0"/>
        <w:ind w:firstLine="708"/>
        <w:jc w:val="both"/>
        <w:rPr>
          <w:rFonts w:ascii="Abadi" w:hAnsi="Abadi" w:cs="Arial"/>
          <w:sz w:val="21"/>
          <w:szCs w:val="21"/>
        </w:rPr>
      </w:pPr>
    </w:p>
    <w:p w14:paraId="6380C34D" w14:textId="77777777" w:rsidR="00F81845" w:rsidRPr="00F81845" w:rsidRDefault="00F81845" w:rsidP="00EA2D06">
      <w:pPr>
        <w:widowControl w:val="0"/>
        <w:ind w:firstLine="708"/>
        <w:jc w:val="both"/>
        <w:rPr>
          <w:rFonts w:ascii="Abadi" w:hAnsi="Abadi" w:cs="Arial"/>
          <w:sz w:val="21"/>
          <w:szCs w:val="21"/>
        </w:rPr>
      </w:pPr>
      <w:r w:rsidRPr="00F81845">
        <w:rPr>
          <w:rFonts w:ascii="Abadi" w:hAnsi="Abadi" w:cs="Arial"/>
          <w:b/>
          <w:bCs/>
          <w:sz w:val="21"/>
          <w:szCs w:val="21"/>
        </w:rPr>
        <w:t>«Artículo 24 bis.</w:t>
      </w:r>
      <w:r w:rsidRPr="00F81845">
        <w:rPr>
          <w:rFonts w:ascii="Abadi" w:hAnsi="Abadi" w:cs="Arial"/>
          <w:sz w:val="21"/>
          <w:szCs w:val="21"/>
        </w:rPr>
        <w:t xml:space="preserve"> Los instrumentos del... </w:t>
      </w:r>
    </w:p>
    <w:p w14:paraId="5DD15D0D" w14:textId="77777777" w:rsidR="00F81845" w:rsidRPr="00F81845" w:rsidRDefault="00F81845" w:rsidP="00EA2D06">
      <w:pPr>
        <w:widowControl w:val="0"/>
        <w:ind w:firstLine="708"/>
        <w:jc w:val="both"/>
        <w:rPr>
          <w:rFonts w:ascii="Abadi" w:hAnsi="Abadi" w:cs="Arial"/>
          <w:b/>
          <w:bCs/>
          <w:sz w:val="21"/>
          <w:szCs w:val="21"/>
        </w:rPr>
      </w:pPr>
    </w:p>
    <w:p w14:paraId="43EBB422" w14:textId="77777777" w:rsidR="00F81845" w:rsidRPr="00F81845" w:rsidRDefault="00F81845" w:rsidP="00EA2D06">
      <w:pPr>
        <w:widowControl w:val="0"/>
        <w:ind w:firstLine="708"/>
        <w:jc w:val="both"/>
        <w:rPr>
          <w:rFonts w:ascii="Abadi" w:hAnsi="Abadi" w:cs="Arial"/>
          <w:sz w:val="21"/>
          <w:szCs w:val="21"/>
        </w:rPr>
      </w:pPr>
      <w:r w:rsidRPr="00F81845">
        <w:rPr>
          <w:rFonts w:ascii="Abadi" w:hAnsi="Abadi" w:cs="Arial"/>
          <w:sz w:val="21"/>
          <w:szCs w:val="21"/>
        </w:rPr>
        <w:t>En todos los casos, los instrumentos del sistema de planeación establecerán los mecanismos para incorporar de forma transversal la perspectiva de género.»</w:t>
      </w:r>
    </w:p>
    <w:p w14:paraId="446A5238" w14:textId="77777777" w:rsidR="00F81845" w:rsidRPr="00F81845" w:rsidRDefault="00F81845" w:rsidP="00EA2D06">
      <w:pPr>
        <w:widowControl w:val="0"/>
        <w:ind w:firstLine="708"/>
        <w:jc w:val="both"/>
        <w:rPr>
          <w:rFonts w:ascii="Abadi" w:hAnsi="Abadi" w:cs="Arial"/>
          <w:sz w:val="21"/>
          <w:szCs w:val="21"/>
        </w:rPr>
      </w:pPr>
    </w:p>
    <w:p w14:paraId="3DE10E54" w14:textId="77777777" w:rsidR="00F81845" w:rsidRPr="00F81845" w:rsidRDefault="00F81845" w:rsidP="00EA2D06">
      <w:pPr>
        <w:widowControl w:val="0"/>
        <w:jc w:val="center"/>
        <w:rPr>
          <w:rFonts w:ascii="Abadi" w:hAnsi="Abadi" w:cs="Arial"/>
          <w:b/>
          <w:bCs/>
          <w:sz w:val="21"/>
          <w:szCs w:val="21"/>
        </w:rPr>
      </w:pPr>
      <w:r w:rsidRPr="00F81845">
        <w:rPr>
          <w:rFonts w:ascii="Abadi" w:hAnsi="Abadi" w:cs="Arial"/>
          <w:b/>
          <w:bCs/>
          <w:sz w:val="21"/>
          <w:szCs w:val="21"/>
        </w:rPr>
        <w:t>TRANSITORIO</w:t>
      </w:r>
    </w:p>
    <w:p w14:paraId="7DEF7A23" w14:textId="77777777" w:rsidR="00F81845" w:rsidRPr="00F81845" w:rsidRDefault="00F81845" w:rsidP="00EA2D06">
      <w:pPr>
        <w:widowControl w:val="0"/>
        <w:ind w:firstLine="708"/>
        <w:jc w:val="center"/>
        <w:rPr>
          <w:rFonts w:ascii="Abadi" w:hAnsi="Abadi" w:cs="Arial"/>
          <w:b/>
          <w:bCs/>
          <w:sz w:val="21"/>
          <w:szCs w:val="21"/>
        </w:rPr>
      </w:pPr>
    </w:p>
    <w:p w14:paraId="672D97CF" w14:textId="77777777" w:rsidR="00F81845" w:rsidRPr="00F81845" w:rsidRDefault="00F81845" w:rsidP="00EA2D06">
      <w:pPr>
        <w:widowControl w:val="0"/>
        <w:ind w:firstLine="708"/>
        <w:jc w:val="both"/>
        <w:rPr>
          <w:rFonts w:ascii="Abadi" w:hAnsi="Abadi" w:cs="Arial"/>
          <w:sz w:val="21"/>
          <w:szCs w:val="21"/>
        </w:rPr>
      </w:pPr>
      <w:r w:rsidRPr="00F81845">
        <w:rPr>
          <w:rFonts w:ascii="Abadi" w:hAnsi="Abadi" w:cs="Arial"/>
          <w:b/>
          <w:bCs/>
          <w:sz w:val="21"/>
          <w:szCs w:val="21"/>
        </w:rPr>
        <w:t xml:space="preserve">Artículo Único. </w:t>
      </w:r>
      <w:r w:rsidRPr="00F81845">
        <w:rPr>
          <w:rFonts w:ascii="Abadi" w:hAnsi="Abadi" w:cs="Arial"/>
          <w:sz w:val="21"/>
          <w:szCs w:val="21"/>
        </w:rPr>
        <w:t>El presente Decreto entrará en vigor el día siguiente al de su publicación en el Periódico Oficial del Gobierno del Estado de Guanajuato.</w:t>
      </w:r>
    </w:p>
    <w:p w14:paraId="5B25CD38" w14:textId="77777777" w:rsidR="00F81845" w:rsidRPr="00F81845" w:rsidRDefault="00F81845" w:rsidP="00EA2D06">
      <w:pPr>
        <w:widowControl w:val="0"/>
        <w:ind w:firstLine="708"/>
        <w:jc w:val="both"/>
        <w:rPr>
          <w:rFonts w:ascii="Abadi" w:hAnsi="Abadi" w:cs="Arial"/>
          <w:sz w:val="21"/>
          <w:szCs w:val="21"/>
        </w:rPr>
      </w:pPr>
    </w:p>
    <w:p w14:paraId="543EC232" w14:textId="77777777" w:rsidR="00F81845" w:rsidRPr="00F81845" w:rsidRDefault="00F81845" w:rsidP="00EA2D06">
      <w:pPr>
        <w:widowControl w:val="0"/>
        <w:ind w:firstLine="708"/>
        <w:jc w:val="both"/>
        <w:rPr>
          <w:rFonts w:ascii="Abadi" w:hAnsi="Abadi" w:cs="Arial"/>
          <w:sz w:val="21"/>
          <w:szCs w:val="21"/>
        </w:rPr>
      </w:pPr>
    </w:p>
    <w:p w14:paraId="06ACE4BD" w14:textId="77777777" w:rsidR="00F81845" w:rsidRPr="00F81845" w:rsidRDefault="00F81845" w:rsidP="00EA2D06">
      <w:pPr>
        <w:widowControl w:val="0"/>
        <w:jc w:val="center"/>
        <w:rPr>
          <w:rFonts w:ascii="Abadi" w:hAnsi="Abadi" w:cs="Arial"/>
          <w:b/>
          <w:sz w:val="21"/>
          <w:szCs w:val="21"/>
        </w:rPr>
      </w:pPr>
      <w:r w:rsidRPr="00F81845">
        <w:rPr>
          <w:rFonts w:ascii="Abadi" w:hAnsi="Abadi" w:cs="Arial"/>
          <w:b/>
          <w:sz w:val="21"/>
          <w:szCs w:val="21"/>
        </w:rPr>
        <w:t>GUANAJUATO, GTO., A 19 SEPTIEMBRE DE 2022</w:t>
      </w:r>
    </w:p>
    <w:p w14:paraId="31CFE1B4" w14:textId="77777777" w:rsidR="00F81845" w:rsidRPr="00F81845" w:rsidRDefault="00F81845" w:rsidP="00EA2D06">
      <w:pPr>
        <w:widowControl w:val="0"/>
        <w:jc w:val="center"/>
        <w:rPr>
          <w:rFonts w:ascii="Abadi" w:hAnsi="Abadi" w:cs="Arial"/>
          <w:b/>
          <w:sz w:val="21"/>
          <w:szCs w:val="21"/>
        </w:rPr>
      </w:pPr>
      <w:r w:rsidRPr="00F81845">
        <w:rPr>
          <w:rFonts w:ascii="Abadi" w:hAnsi="Abadi" w:cs="Arial"/>
          <w:b/>
          <w:sz w:val="21"/>
          <w:szCs w:val="21"/>
        </w:rPr>
        <w:t>LA COMISIÓN DE GOBERNACIÓN Y PUNTOS CONSTITUCIONALES</w:t>
      </w:r>
    </w:p>
    <w:p w14:paraId="0F129554" w14:textId="77777777" w:rsidR="00F81845" w:rsidRPr="00F81845" w:rsidRDefault="00F81845" w:rsidP="00EA2D06">
      <w:pPr>
        <w:widowControl w:val="0"/>
        <w:jc w:val="center"/>
        <w:rPr>
          <w:rFonts w:ascii="Abadi" w:hAnsi="Abadi" w:cs="Arial"/>
          <w:b/>
          <w:sz w:val="21"/>
          <w:szCs w:val="21"/>
        </w:rPr>
      </w:pPr>
    </w:p>
    <w:p w14:paraId="56F7704F" w14:textId="77777777" w:rsidR="00F81845" w:rsidRPr="00F81845" w:rsidRDefault="00F81845" w:rsidP="00EA2D06">
      <w:pPr>
        <w:widowControl w:val="0"/>
        <w:jc w:val="center"/>
        <w:rPr>
          <w:rFonts w:ascii="Abadi" w:hAnsi="Abadi" w:cs="Tahoma"/>
          <w:b/>
          <w:sz w:val="21"/>
          <w:szCs w:val="21"/>
        </w:rPr>
      </w:pPr>
    </w:p>
    <w:p w14:paraId="6D9C7AC3" w14:textId="77777777" w:rsidR="00F81845" w:rsidRPr="00F81845" w:rsidRDefault="00F81845" w:rsidP="00EA2D06">
      <w:pPr>
        <w:widowControl w:val="0"/>
        <w:jc w:val="both"/>
        <w:rPr>
          <w:rFonts w:ascii="Abadi" w:hAnsi="Abadi" w:cs="Arial"/>
          <w:b/>
          <w:sz w:val="21"/>
          <w:szCs w:val="21"/>
        </w:rPr>
      </w:pPr>
      <w:r w:rsidRPr="00F81845">
        <w:rPr>
          <w:rFonts w:ascii="Abadi" w:hAnsi="Abadi" w:cs="Tahoma"/>
          <w:b/>
          <w:sz w:val="21"/>
          <w:szCs w:val="21"/>
        </w:rPr>
        <w:t>Diputada Susana Bermúdez Cano</w:t>
      </w:r>
    </w:p>
    <w:p w14:paraId="271E728B" w14:textId="77777777" w:rsidR="00F81845" w:rsidRPr="00F81845" w:rsidRDefault="00F81845" w:rsidP="00EA2D06">
      <w:pPr>
        <w:widowControl w:val="0"/>
        <w:jc w:val="both"/>
        <w:rPr>
          <w:rFonts w:ascii="Abadi" w:hAnsi="Abadi" w:cs="Arial"/>
          <w:b/>
          <w:sz w:val="21"/>
          <w:szCs w:val="21"/>
        </w:rPr>
      </w:pPr>
      <w:r w:rsidRPr="00F81845">
        <w:rPr>
          <w:rFonts w:ascii="Abadi" w:hAnsi="Abadi" w:cs="Tahoma"/>
          <w:b/>
          <w:sz w:val="21"/>
          <w:szCs w:val="21"/>
        </w:rPr>
        <w:t>Diputada Briseida Anabel Magdaleno González</w:t>
      </w:r>
    </w:p>
    <w:p w14:paraId="561D00F5" w14:textId="77777777" w:rsidR="00F81845" w:rsidRPr="00F81845" w:rsidRDefault="00F81845" w:rsidP="00EA2D06">
      <w:pPr>
        <w:widowControl w:val="0"/>
        <w:jc w:val="both"/>
        <w:rPr>
          <w:rFonts w:ascii="Abadi" w:hAnsi="Abadi" w:cs="Tahoma"/>
          <w:b/>
          <w:sz w:val="21"/>
          <w:szCs w:val="21"/>
        </w:rPr>
      </w:pPr>
      <w:r w:rsidRPr="00F81845">
        <w:rPr>
          <w:rFonts w:ascii="Abadi" w:hAnsi="Abadi" w:cs="Tahoma"/>
          <w:b/>
          <w:sz w:val="21"/>
          <w:szCs w:val="21"/>
        </w:rPr>
        <w:t>Diputada Yulma Rocha Aguilar</w:t>
      </w:r>
    </w:p>
    <w:p w14:paraId="31BA9544" w14:textId="77777777" w:rsidR="00F81845" w:rsidRPr="00F81845" w:rsidRDefault="00F81845" w:rsidP="00EA2D06">
      <w:pPr>
        <w:widowControl w:val="0"/>
        <w:jc w:val="both"/>
        <w:rPr>
          <w:rFonts w:ascii="Abadi" w:hAnsi="Abadi" w:cs="Arial"/>
          <w:b/>
          <w:sz w:val="21"/>
          <w:szCs w:val="21"/>
        </w:rPr>
      </w:pPr>
      <w:r w:rsidRPr="00F81845">
        <w:rPr>
          <w:rFonts w:ascii="Abadi" w:hAnsi="Abadi" w:cs="Tahoma"/>
          <w:b/>
          <w:sz w:val="21"/>
          <w:szCs w:val="21"/>
        </w:rPr>
        <w:t>D</w:t>
      </w:r>
      <w:r w:rsidRPr="00F81845">
        <w:rPr>
          <w:rFonts w:ascii="Abadi" w:hAnsi="Abadi" w:cs="Tahoma"/>
          <w:b/>
          <w:sz w:val="21"/>
          <w:szCs w:val="21"/>
          <w:lang w:val="es-MX"/>
        </w:rPr>
        <w:t>iputada Laura Cristina Márquez Alcalá</w:t>
      </w:r>
    </w:p>
    <w:p w14:paraId="5DFD1882" w14:textId="77777777" w:rsidR="00F81845" w:rsidRPr="00F81845" w:rsidRDefault="00F81845" w:rsidP="00EA2D06">
      <w:pPr>
        <w:widowControl w:val="0"/>
        <w:jc w:val="both"/>
        <w:rPr>
          <w:rFonts w:ascii="Abadi" w:hAnsi="Abadi" w:cs="Arial"/>
          <w:b/>
          <w:sz w:val="21"/>
          <w:szCs w:val="21"/>
        </w:rPr>
      </w:pPr>
      <w:r w:rsidRPr="00F81845">
        <w:rPr>
          <w:rFonts w:ascii="Abadi" w:hAnsi="Abadi" w:cs="Tahoma"/>
          <w:b/>
          <w:sz w:val="21"/>
          <w:szCs w:val="21"/>
        </w:rPr>
        <w:t xml:space="preserve">Diputado Rolando Fortino Alcántar Rojas  </w:t>
      </w:r>
    </w:p>
    <w:p w14:paraId="51A22604" w14:textId="77777777" w:rsidR="00F81845" w:rsidRPr="00F81845" w:rsidRDefault="00F81845" w:rsidP="00EA2D06">
      <w:pPr>
        <w:widowControl w:val="0"/>
        <w:jc w:val="both"/>
        <w:rPr>
          <w:rFonts w:ascii="Abadi" w:hAnsi="Abadi" w:cs="Arial"/>
          <w:b/>
          <w:sz w:val="21"/>
          <w:szCs w:val="21"/>
        </w:rPr>
      </w:pPr>
      <w:r w:rsidRPr="00F81845">
        <w:rPr>
          <w:rFonts w:ascii="Abadi" w:hAnsi="Abadi" w:cs="Tahoma"/>
          <w:b/>
          <w:sz w:val="21"/>
          <w:szCs w:val="21"/>
        </w:rPr>
        <w:t>Diputada Alma Edwviges Alcaraz Hernández</w:t>
      </w:r>
    </w:p>
    <w:p w14:paraId="54994BC8" w14:textId="56B529D2" w:rsidR="00F81845" w:rsidRDefault="00F81845" w:rsidP="00EA2D06">
      <w:pPr>
        <w:widowControl w:val="0"/>
        <w:jc w:val="both"/>
        <w:rPr>
          <w:rFonts w:ascii="Abadi" w:hAnsi="Abadi" w:cs="Tahoma"/>
          <w:b/>
          <w:sz w:val="21"/>
          <w:szCs w:val="21"/>
          <w:lang w:val="es-MX"/>
        </w:rPr>
      </w:pPr>
      <w:r w:rsidRPr="00F81845">
        <w:rPr>
          <w:rFonts w:ascii="Abadi" w:hAnsi="Abadi" w:cs="Tahoma"/>
          <w:b/>
          <w:sz w:val="21"/>
          <w:szCs w:val="21"/>
          <w:lang w:val="es-MX"/>
        </w:rPr>
        <w:t>Diputado Gerardo Fernández González</w:t>
      </w:r>
    </w:p>
    <w:p w14:paraId="7F124EBA" w14:textId="7C6335EB" w:rsidR="00324F31" w:rsidRDefault="00324F31" w:rsidP="00EA2D06">
      <w:pPr>
        <w:widowControl w:val="0"/>
        <w:jc w:val="both"/>
        <w:rPr>
          <w:rFonts w:ascii="Abadi" w:hAnsi="Abadi" w:cs="Tahoma"/>
          <w:b/>
          <w:sz w:val="21"/>
          <w:szCs w:val="21"/>
          <w:lang w:val="es-MX"/>
        </w:rPr>
      </w:pPr>
    </w:p>
    <w:p w14:paraId="0554A0B2" w14:textId="44A009A4" w:rsidR="0053549A" w:rsidRDefault="0053549A" w:rsidP="0053549A">
      <w:pPr>
        <w:ind w:firstLine="708"/>
        <w:jc w:val="both"/>
        <w:rPr>
          <w:rFonts w:ascii="Abadi" w:hAnsi="Abadi"/>
          <w:sz w:val="21"/>
          <w:szCs w:val="21"/>
        </w:rPr>
      </w:pPr>
      <w:r w:rsidRPr="00A5537C">
        <w:rPr>
          <w:rFonts w:ascii="Abadi" w:hAnsi="Abadi"/>
          <w:b/>
          <w:bCs/>
          <w:sz w:val="21"/>
          <w:szCs w:val="21"/>
        </w:rPr>
        <w:t>- El Presidente.-</w:t>
      </w:r>
      <w:r>
        <w:rPr>
          <w:rFonts w:ascii="Abadi" w:hAnsi="Abadi"/>
          <w:sz w:val="21"/>
          <w:szCs w:val="21"/>
        </w:rPr>
        <w:t xml:space="preserve"> </w:t>
      </w:r>
      <w:r w:rsidRPr="006813AA">
        <w:rPr>
          <w:rFonts w:ascii="Abadi" w:hAnsi="Abadi"/>
          <w:sz w:val="21"/>
          <w:szCs w:val="21"/>
        </w:rPr>
        <w:t xml:space="preserve">Se procede someter a discusión el dictamen suscrito por la </w:t>
      </w:r>
      <w:r>
        <w:rPr>
          <w:rFonts w:ascii="Abadi" w:hAnsi="Abadi"/>
          <w:sz w:val="21"/>
          <w:szCs w:val="21"/>
        </w:rPr>
        <w:t>C</w:t>
      </w:r>
      <w:r w:rsidRPr="006813AA">
        <w:rPr>
          <w:rFonts w:ascii="Abadi" w:hAnsi="Abadi"/>
          <w:sz w:val="21"/>
          <w:szCs w:val="21"/>
        </w:rPr>
        <w:t xml:space="preserve">omisión de </w:t>
      </w:r>
      <w:r>
        <w:rPr>
          <w:rFonts w:ascii="Abadi" w:hAnsi="Abadi"/>
          <w:sz w:val="21"/>
          <w:szCs w:val="21"/>
        </w:rPr>
        <w:t>G</w:t>
      </w:r>
      <w:r w:rsidRPr="006813AA">
        <w:rPr>
          <w:rFonts w:ascii="Abadi" w:hAnsi="Abadi"/>
          <w:sz w:val="21"/>
          <w:szCs w:val="21"/>
        </w:rPr>
        <w:t xml:space="preserve">obernación y </w:t>
      </w:r>
      <w:r>
        <w:rPr>
          <w:rFonts w:ascii="Abadi" w:hAnsi="Abadi"/>
          <w:sz w:val="21"/>
          <w:szCs w:val="21"/>
        </w:rPr>
        <w:t>P</w:t>
      </w:r>
      <w:r w:rsidRPr="006813AA">
        <w:rPr>
          <w:rFonts w:ascii="Abadi" w:hAnsi="Abadi"/>
          <w:sz w:val="21"/>
          <w:szCs w:val="21"/>
        </w:rPr>
        <w:t xml:space="preserve">untos </w:t>
      </w:r>
      <w:r>
        <w:rPr>
          <w:rFonts w:ascii="Abadi" w:hAnsi="Abadi"/>
          <w:sz w:val="21"/>
          <w:szCs w:val="21"/>
        </w:rPr>
        <w:t>C</w:t>
      </w:r>
      <w:r w:rsidRPr="006813AA">
        <w:rPr>
          <w:rFonts w:ascii="Abadi" w:hAnsi="Abadi"/>
          <w:sz w:val="21"/>
          <w:szCs w:val="21"/>
        </w:rPr>
        <w:t>onstitucionales relativo al punto 37 de nuestra orden del día</w:t>
      </w:r>
      <w:r>
        <w:rPr>
          <w:rFonts w:ascii="Abadi" w:hAnsi="Abadi"/>
          <w:sz w:val="21"/>
          <w:szCs w:val="21"/>
        </w:rPr>
        <w:t xml:space="preserve">. </w:t>
      </w:r>
    </w:p>
    <w:p w14:paraId="4A9EAA06" w14:textId="77777777" w:rsidR="0053549A" w:rsidRDefault="0053549A" w:rsidP="0053549A">
      <w:pPr>
        <w:ind w:firstLine="708"/>
        <w:jc w:val="both"/>
        <w:rPr>
          <w:rFonts w:ascii="Abadi" w:hAnsi="Abadi"/>
          <w:sz w:val="21"/>
          <w:szCs w:val="21"/>
        </w:rPr>
      </w:pPr>
    </w:p>
    <w:p w14:paraId="1AA5859D" w14:textId="43ED9307" w:rsidR="0053549A" w:rsidRDefault="0053549A" w:rsidP="0053549A">
      <w:pPr>
        <w:jc w:val="both"/>
        <w:rPr>
          <w:rFonts w:ascii="Abadi" w:hAnsi="Abadi"/>
          <w:sz w:val="21"/>
          <w:szCs w:val="21"/>
        </w:rPr>
      </w:pPr>
      <w:r>
        <w:rPr>
          <w:rFonts w:ascii="Abadi" w:hAnsi="Abadi"/>
          <w:sz w:val="21"/>
          <w:szCs w:val="21"/>
        </w:rPr>
        <w:tab/>
        <w:t>- M</w:t>
      </w:r>
      <w:r w:rsidRPr="006813AA">
        <w:rPr>
          <w:rFonts w:ascii="Abadi" w:hAnsi="Abadi"/>
          <w:sz w:val="21"/>
          <w:szCs w:val="21"/>
        </w:rPr>
        <w:t xml:space="preserve">e permito informar que previamente se ha inscrito la diputada </w:t>
      </w:r>
      <w:r>
        <w:rPr>
          <w:rFonts w:ascii="Abadi" w:hAnsi="Abadi"/>
          <w:sz w:val="21"/>
          <w:szCs w:val="21"/>
        </w:rPr>
        <w:t>L</w:t>
      </w:r>
      <w:r w:rsidRPr="006813AA">
        <w:rPr>
          <w:rFonts w:ascii="Abadi" w:hAnsi="Abadi"/>
          <w:sz w:val="21"/>
          <w:szCs w:val="21"/>
        </w:rPr>
        <w:t xml:space="preserve">ilia </w:t>
      </w:r>
      <w:r>
        <w:rPr>
          <w:rFonts w:ascii="Abadi" w:hAnsi="Abadi"/>
          <w:sz w:val="21"/>
          <w:szCs w:val="21"/>
        </w:rPr>
        <w:t>M</w:t>
      </w:r>
      <w:r w:rsidRPr="006813AA">
        <w:rPr>
          <w:rFonts w:ascii="Abadi" w:hAnsi="Abadi"/>
          <w:sz w:val="21"/>
          <w:szCs w:val="21"/>
        </w:rPr>
        <w:t xml:space="preserve">argarita </w:t>
      </w:r>
      <w:r>
        <w:rPr>
          <w:rFonts w:ascii="Abadi" w:hAnsi="Abadi"/>
          <w:sz w:val="21"/>
          <w:szCs w:val="21"/>
        </w:rPr>
        <w:t>Rionda Sa</w:t>
      </w:r>
      <w:r w:rsidRPr="006813AA">
        <w:rPr>
          <w:rFonts w:ascii="Abadi" w:hAnsi="Abadi"/>
          <w:sz w:val="21"/>
          <w:szCs w:val="21"/>
        </w:rPr>
        <w:t>las para hablar a favor</w:t>
      </w:r>
      <w:r>
        <w:rPr>
          <w:rFonts w:ascii="Abadi" w:hAnsi="Abadi"/>
          <w:sz w:val="21"/>
          <w:szCs w:val="21"/>
        </w:rPr>
        <w:t>.</w:t>
      </w:r>
    </w:p>
    <w:p w14:paraId="38E92190" w14:textId="77777777" w:rsidR="0053549A" w:rsidRDefault="0053549A" w:rsidP="0053549A">
      <w:pPr>
        <w:jc w:val="both"/>
        <w:rPr>
          <w:rFonts w:ascii="Abadi" w:hAnsi="Abadi"/>
          <w:sz w:val="21"/>
          <w:szCs w:val="21"/>
        </w:rPr>
      </w:pPr>
    </w:p>
    <w:p w14:paraId="5B038D4F" w14:textId="0C2E4E22" w:rsidR="0053549A" w:rsidRDefault="0053549A" w:rsidP="0053549A">
      <w:pPr>
        <w:jc w:val="both"/>
        <w:rPr>
          <w:rFonts w:ascii="Abadi" w:hAnsi="Abadi"/>
          <w:sz w:val="21"/>
          <w:szCs w:val="21"/>
        </w:rPr>
      </w:pPr>
      <w:r>
        <w:rPr>
          <w:rFonts w:ascii="Abadi" w:hAnsi="Abadi"/>
          <w:sz w:val="21"/>
          <w:szCs w:val="21"/>
        </w:rPr>
        <w:tab/>
        <w:t>- S</w:t>
      </w:r>
      <w:r w:rsidRPr="006813AA">
        <w:rPr>
          <w:rFonts w:ascii="Abadi" w:hAnsi="Abadi"/>
          <w:sz w:val="21"/>
          <w:szCs w:val="21"/>
        </w:rPr>
        <w:t xml:space="preserve">i alguna otra diputada o algún diputado desea hacer </w:t>
      </w:r>
      <w:r>
        <w:rPr>
          <w:rFonts w:ascii="Abadi" w:hAnsi="Abadi"/>
          <w:sz w:val="21"/>
          <w:szCs w:val="21"/>
        </w:rPr>
        <w:t>el uso</w:t>
      </w:r>
      <w:r w:rsidRPr="006813AA">
        <w:rPr>
          <w:rFonts w:ascii="Abadi" w:hAnsi="Abadi"/>
          <w:sz w:val="21"/>
          <w:szCs w:val="21"/>
        </w:rPr>
        <w:t xml:space="preserve"> de la palabra en</w:t>
      </w:r>
      <w:r>
        <w:rPr>
          <w:rFonts w:ascii="Abadi" w:hAnsi="Abadi"/>
          <w:sz w:val="21"/>
          <w:szCs w:val="21"/>
        </w:rPr>
        <w:t xml:space="preserve"> pro o</w:t>
      </w:r>
      <w:r w:rsidRPr="006813AA">
        <w:rPr>
          <w:rFonts w:ascii="Abadi" w:hAnsi="Abadi"/>
          <w:sz w:val="21"/>
          <w:szCs w:val="21"/>
        </w:rPr>
        <w:t xml:space="preserve"> en contra manifiesten indicando el sentido de su participación</w:t>
      </w:r>
      <w:r>
        <w:rPr>
          <w:rFonts w:ascii="Abadi" w:hAnsi="Abadi"/>
          <w:sz w:val="21"/>
          <w:szCs w:val="21"/>
        </w:rPr>
        <w:t>.</w:t>
      </w:r>
    </w:p>
    <w:p w14:paraId="7FC07848" w14:textId="77777777" w:rsidR="0053549A" w:rsidRPr="006813AA" w:rsidRDefault="0053549A" w:rsidP="0053549A">
      <w:pPr>
        <w:jc w:val="both"/>
        <w:rPr>
          <w:rFonts w:ascii="Abadi" w:hAnsi="Abadi"/>
          <w:sz w:val="21"/>
          <w:szCs w:val="21"/>
        </w:rPr>
      </w:pPr>
    </w:p>
    <w:p w14:paraId="3250EF29" w14:textId="677838FA" w:rsidR="0053549A" w:rsidRDefault="0053549A" w:rsidP="0053549A">
      <w:pPr>
        <w:jc w:val="both"/>
        <w:rPr>
          <w:rFonts w:ascii="Abadi" w:hAnsi="Abadi"/>
          <w:sz w:val="21"/>
          <w:szCs w:val="21"/>
        </w:rPr>
      </w:pPr>
      <w:r>
        <w:rPr>
          <w:rFonts w:ascii="Abadi" w:hAnsi="Abadi"/>
          <w:sz w:val="21"/>
          <w:szCs w:val="21"/>
        </w:rPr>
        <w:tab/>
        <w:t>- ¡P</w:t>
      </w:r>
      <w:r w:rsidRPr="006813AA">
        <w:rPr>
          <w:rFonts w:ascii="Abadi" w:hAnsi="Abadi"/>
          <w:sz w:val="21"/>
          <w:szCs w:val="21"/>
        </w:rPr>
        <w:t>erfecto</w:t>
      </w:r>
      <w:r>
        <w:rPr>
          <w:rFonts w:ascii="Abadi" w:hAnsi="Abadi"/>
          <w:sz w:val="21"/>
          <w:szCs w:val="21"/>
        </w:rPr>
        <w:t>!</w:t>
      </w:r>
      <w:r w:rsidRPr="006813AA">
        <w:rPr>
          <w:rFonts w:ascii="Abadi" w:hAnsi="Abadi"/>
          <w:sz w:val="21"/>
          <w:szCs w:val="21"/>
        </w:rPr>
        <w:t xml:space="preserve"> se concede el </w:t>
      </w:r>
      <w:r>
        <w:rPr>
          <w:rFonts w:ascii="Abadi" w:hAnsi="Abadi"/>
          <w:sz w:val="21"/>
          <w:szCs w:val="21"/>
        </w:rPr>
        <w:t>u</w:t>
      </w:r>
      <w:r w:rsidRPr="006813AA">
        <w:rPr>
          <w:rFonts w:ascii="Abadi" w:hAnsi="Abadi"/>
          <w:sz w:val="21"/>
          <w:szCs w:val="21"/>
        </w:rPr>
        <w:t xml:space="preserve">so de la palabra a nuestra compañera la diputada </w:t>
      </w:r>
      <w:r>
        <w:rPr>
          <w:rFonts w:ascii="Abadi" w:hAnsi="Abadi"/>
          <w:sz w:val="21"/>
          <w:szCs w:val="21"/>
        </w:rPr>
        <w:t>L</w:t>
      </w:r>
      <w:r w:rsidRPr="006813AA">
        <w:rPr>
          <w:rFonts w:ascii="Abadi" w:hAnsi="Abadi"/>
          <w:sz w:val="21"/>
          <w:szCs w:val="21"/>
        </w:rPr>
        <w:t xml:space="preserve">ilia </w:t>
      </w:r>
      <w:r>
        <w:rPr>
          <w:rFonts w:ascii="Abadi" w:hAnsi="Abadi"/>
          <w:sz w:val="21"/>
          <w:szCs w:val="21"/>
        </w:rPr>
        <w:t>M</w:t>
      </w:r>
      <w:r w:rsidRPr="006813AA">
        <w:rPr>
          <w:rFonts w:ascii="Abadi" w:hAnsi="Abadi"/>
          <w:sz w:val="21"/>
          <w:szCs w:val="21"/>
        </w:rPr>
        <w:t xml:space="preserve">argarita </w:t>
      </w:r>
      <w:r>
        <w:rPr>
          <w:rFonts w:ascii="Abadi" w:hAnsi="Abadi"/>
          <w:sz w:val="21"/>
          <w:szCs w:val="21"/>
        </w:rPr>
        <w:t xml:space="preserve">Rionda Salas, </w:t>
      </w:r>
      <w:r w:rsidRPr="006813AA">
        <w:rPr>
          <w:rFonts w:ascii="Abadi" w:hAnsi="Abadi"/>
          <w:sz w:val="21"/>
          <w:szCs w:val="21"/>
        </w:rPr>
        <w:t xml:space="preserve">hasta por 10 minutos por favor, diputada </w:t>
      </w:r>
      <w:r>
        <w:rPr>
          <w:rFonts w:ascii="Abadi" w:hAnsi="Abadi"/>
          <w:sz w:val="21"/>
          <w:szCs w:val="21"/>
        </w:rPr>
        <w:t>L</w:t>
      </w:r>
      <w:r w:rsidRPr="006813AA">
        <w:rPr>
          <w:rFonts w:ascii="Abadi" w:hAnsi="Abadi"/>
          <w:sz w:val="21"/>
          <w:szCs w:val="21"/>
        </w:rPr>
        <w:t xml:space="preserve">ilia </w:t>
      </w:r>
      <w:r>
        <w:rPr>
          <w:rFonts w:ascii="Abadi" w:hAnsi="Abadi"/>
          <w:sz w:val="21"/>
          <w:szCs w:val="21"/>
        </w:rPr>
        <w:t>M</w:t>
      </w:r>
      <w:r w:rsidRPr="006813AA">
        <w:rPr>
          <w:rFonts w:ascii="Abadi" w:hAnsi="Abadi"/>
          <w:sz w:val="21"/>
          <w:szCs w:val="21"/>
        </w:rPr>
        <w:t>argarita</w:t>
      </w:r>
      <w:r>
        <w:rPr>
          <w:rFonts w:ascii="Abadi" w:hAnsi="Abadi"/>
          <w:sz w:val="21"/>
          <w:szCs w:val="21"/>
        </w:rPr>
        <w:t>.</w:t>
      </w:r>
    </w:p>
    <w:p w14:paraId="6ACFE563" w14:textId="77777777" w:rsidR="0053549A" w:rsidRDefault="0053549A" w:rsidP="0053549A">
      <w:pPr>
        <w:jc w:val="both"/>
        <w:rPr>
          <w:rFonts w:ascii="Abadi" w:hAnsi="Abadi"/>
          <w:sz w:val="21"/>
          <w:szCs w:val="21"/>
        </w:rPr>
      </w:pPr>
    </w:p>
    <w:p w14:paraId="65F3BB1A" w14:textId="77777777" w:rsidR="0053549A" w:rsidRDefault="0053549A" w:rsidP="0053549A">
      <w:pPr>
        <w:jc w:val="both"/>
        <w:rPr>
          <w:rFonts w:ascii="Abadi" w:hAnsi="Abadi"/>
          <w:b/>
          <w:bCs/>
          <w:sz w:val="21"/>
          <w:szCs w:val="21"/>
        </w:rPr>
      </w:pPr>
      <w:r w:rsidRPr="00330283">
        <w:rPr>
          <w:rFonts w:ascii="Abadi" w:hAnsi="Abadi"/>
          <w:b/>
          <w:bCs/>
          <w:sz w:val="21"/>
          <w:szCs w:val="21"/>
        </w:rPr>
        <w:t>(Sube a tribuna la diputada Lilia Margarita Rionda Salas, para hablar a favor del dictamen en referencia)</w:t>
      </w:r>
    </w:p>
    <w:p w14:paraId="525DD206" w14:textId="77777777" w:rsidR="0053549A" w:rsidRDefault="0053549A" w:rsidP="0053549A">
      <w:pPr>
        <w:jc w:val="both"/>
        <w:rPr>
          <w:rFonts w:ascii="Abadi" w:hAnsi="Abadi"/>
          <w:b/>
          <w:bCs/>
          <w:sz w:val="21"/>
          <w:szCs w:val="21"/>
        </w:rPr>
      </w:pPr>
    </w:p>
    <w:p w14:paraId="744F1A80" w14:textId="2C896D8C" w:rsidR="0053549A" w:rsidRDefault="0053549A" w:rsidP="0053549A">
      <w:pPr>
        <w:jc w:val="both"/>
        <w:rPr>
          <w:rFonts w:ascii="Abadi" w:hAnsi="Abadi"/>
          <w:b/>
          <w:bCs/>
          <w:sz w:val="21"/>
          <w:szCs w:val="21"/>
        </w:rPr>
      </w:pPr>
    </w:p>
    <w:p w14:paraId="2F3C4C5B" w14:textId="374A1740" w:rsidR="0053549A" w:rsidRDefault="0053549A" w:rsidP="0053549A">
      <w:pPr>
        <w:jc w:val="both"/>
        <w:rPr>
          <w:rFonts w:ascii="Abadi" w:hAnsi="Abadi"/>
          <w:b/>
          <w:bCs/>
          <w:sz w:val="21"/>
          <w:szCs w:val="21"/>
        </w:rPr>
      </w:pPr>
    </w:p>
    <w:p w14:paraId="306AC413" w14:textId="3D015026" w:rsidR="0053549A" w:rsidRDefault="0053549A" w:rsidP="0053549A">
      <w:pPr>
        <w:jc w:val="both"/>
        <w:rPr>
          <w:rFonts w:ascii="Abadi" w:hAnsi="Abadi"/>
          <w:b/>
          <w:bCs/>
          <w:sz w:val="21"/>
          <w:szCs w:val="21"/>
        </w:rPr>
      </w:pPr>
      <w:r>
        <w:rPr>
          <w:noProof/>
        </w:rPr>
        <w:drawing>
          <wp:anchor distT="0" distB="0" distL="114300" distR="114300" simplePos="0" relativeHeight="251704320" behindDoc="1" locked="0" layoutInCell="1" allowOverlap="1" wp14:anchorId="483728C2" wp14:editId="01C3ACC2">
            <wp:simplePos x="0" y="0"/>
            <wp:positionH relativeFrom="column">
              <wp:posOffset>569703</wp:posOffset>
            </wp:positionH>
            <wp:positionV relativeFrom="paragraph">
              <wp:posOffset>96964</wp:posOffset>
            </wp:positionV>
            <wp:extent cx="1448409" cy="758954"/>
            <wp:effectExtent l="247650" t="228600" r="247650" b="765175"/>
            <wp:wrapTight wrapText="bothSides">
              <wp:wrapPolygon edited="0">
                <wp:start x="-3695" y="-6507"/>
                <wp:lineTo x="-3695" y="42838"/>
                <wp:lineTo x="25011" y="42838"/>
                <wp:lineTo x="25011" y="30367"/>
                <wp:lineTo x="21316" y="28197"/>
                <wp:lineTo x="21032" y="28197"/>
                <wp:lineTo x="25011" y="26028"/>
                <wp:lineTo x="25011" y="-6507"/>
                <wp:lineTo x="-3695" y="-6507"/>
              </wp:wrapPolygon>
            </wp:wrapTight>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extLst>
                        <a:ext uri="{28A0092B-C50C-407E-A947-70E740481C1C}">
                          <a14:useLocalDpi xmlns:a14="http://schemas.microsoft.com/office/drawing/2010/main" val="0"/>
                        </a:ext>
                      </a:extLst>
                    </a:blip>
                    <a:srcRect b="6802"/>
                    <a:stretch/>
                  </pic:blipFill>
                  <pic:spPr bwMode="auto">
                    <a:xfrm>
                      <a:off x="0" y="0"/>
                      <a:ext cx="1448409" cy="758954"/>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531683A1" w14:textId="4F88709C" w:rsidR="0053549A" w:rsidRDefault="0053549A" w:rsidP="0053549A">
      <w:pPr>
        <w:jc w:val="both"/>
        <w:rPr>
          <w:rFonts w:ascii="Abadi" w:hAnsi="Abadi"/>
          <w:b/>
          <w:bCs/>
          <w:sz w:val="21"/>
          <w:szCs w:val="21"/>
        </w:rPr>
      </w:pPr>
    </w:p>
    <w:p w14:paraId="10C829FF" w14:textId="69FFD34E" w:rsidR="0053549A" w:rsidRDefault="0053549A" w:rsidP="0053549A">
      <w:pPr>
        <w:jc w:val="both"/>
        <w:rPr>
          <w:rFonts w:ascii="Abadi" w:hAnsi="Abadi"/>
          <w:b/>
          <w:bCs/>
          <w:sz w:val="21"/>
          <w:szCs w:val="21"/>
        </w:rPr>
      </w:pPr>
    </w:p>
    <w:p w14:paraId="165A55F8" w14:textId="4DE12CD8" w:rsidR="0053549A" w:rsidRDefault="0053549A" w:rsidP="0053549A">
      <w:pPr>
        <w:jc w:val="both"/>
        <w:rPr>
          <w:rFonts w:ascii="Abadi" w:hAnsi="Abadi"/>
          <w:b/>
          <w:bCs/>
          <w:sz w:val="21"/>
          <w:szCs w:val="21"/>
        </w:rPr>
      </w:pPr>
    </w:p>
    <w:p w14:paraId="0B937A86" w14:textId="59D1E370" w:rsidR="0053549A" w:rsidRDefault="0053549A" w:rsidP="0053549A">
      <w:pPr>
        <w:jc w:val="both"/>
        <w:rPr>
          <w:rFonts w:ascii="Abadi" w:hAnsi="Abadi"/>
          <w:b/>
          <w:bCs/>
          <w:sz w:val="21"/>
          <w:szCs w:val="21"/>
        </w:rPr>
      </w:pPr>
    </w:p>
    <w:p w14:paraId="545CA19D" w14:textId="00B0DABB" w:rsidR="0053549A" w:rsidRDefault="0053549A" w:rsidP="0053549A">
      <w:pPr>
        <w:jc w:val="both"/>
        <w:rPr>
          <w:rFonts w:ascii="Abadi" w:hAnsi="Abadi"/>
          <w:b/>
          <w:bCs/>
          <w:sz w:val="21"/>
          <w:szCs w:val="21"/>
        </w:rPr>
      </w:pPr>
    </w:p>
    <w:p w14:paraId="1BC3F17B" w14:textId="766CA143" w:rsidR="0053549A" w:rsidRDefault="0053549A" w:rsidP="0053549A">
      <w:pPr>
        <w:jc w:val="both"/>
        <w:rPr>
          <w:rFonts w:ascii="Abadi" w:hAnsi="Abadi"/>
          <w:b/>
          <w:bCs/>
          <w:sz w:val="21"/>
          <w:szCs w:val="21"/>
        </w:rPr>
      </w:pPr>
    </w:p>
    <w:p w14:paraId="407370EA" w14:textId="2A9D2305" w:rsidR="0053549A" w:rsidRDefault="0053549A" w:rsidP="0053549A">
      <w:pPr>
        <w:jc w:val="both"/>
        <w:rPr>
          <w:rFonts w:ascii="Abadi" w:hAnsi="Abadi"/>
          <w:b/>
          <w:bCs/>
          <w:sz w:val="21"/>
          <w:szCs w:val="21"/>
        </w:rPr>
      </w:pPr>
    </w:p>
    <w:p w14:paraId="69554E2E" w14:textId="08A532F9" w:rsidR="0053549A" w:rsidRDefault="0053549A" w:rsidP="0053549A">
      <w:pPr>
        <w:jc w:val="both"/>
        <w:rPr>
          <w:rFonts w:ascii="Abadi" w:hAnsi="Abadi"/>
          <w:b/>
          <w:bCs/>
          <w:sz w:val="21"/>
          <w:szCs w:val="21"/>
        </w:rPr>
      </w:pPr>
    </w:p>
    <w:p w14:paraId="44A14263" w14:textId="797CB830" w:rsidR="0053549A" w:rsidRDefault="0053549A" w:rsidP="0053549A">
      <w:pPr>
        <w:jc w:val="both"/>
        <w:rPr>
          <w:rFonts w:ascii="Abadi" w:hAnsi="Abadi"/>
          <w:b/>
          <w:bCs/>
          <w:sz w:val="21"/>
          <w:szCs w:val="21"/>
        </w:rPr>
      </w:pPr>
    </w:p>
    <w:p w14:paraId="40B2FCAD" w14:textId="2D9460C6" w:rsidR="0053549A" w:rsidRDefault="0053549A" w:rsidP="0053549A">
      <w:pPr>
        <w:jc w:val="both"/>
        <w:rPr>
          <w:rFonts w:ascii="Abadi" w:hAnsi="Abadi"/>
          <w:b/>
          <w:bCs/>
          <w:sz w:val="21"/>
          <w:szCs w:val="21"/>
        </w:rPr>
      </w:pPr>
    </w:p>
    <w:p w14:paraId="3051634C" w14:textId="3D5B2C82" w:rsidR="0053549A" w:rsidRDefault="0053549A" w:rsidP="0053549A">
      <w:pPr>
        <w:jc w:val="both"/>
        <w:rPr>
          <w:rFonts w:ascii="Abadi" w:hAnsi="Abadi"/>
          <w:b/>
          <w:bCs/>
          <w:sz w:val="21"/>
          <w:szCs w:val="21"/>
        </w:rPr>
      </w:pPr>
    </w:p>
    <w:p w14:paraId="6DC73F28" w14:textId="77777777" w:rsidR="0053549A" w:rsidRPr="00330283" w:rsidRDefault="0053549A" w:rsidP="0053549A">
      <w:pPr>
        <w:jc w:val="both"/>
        <w:rPr>
          <w:rFonts w:ascii="Abadi" w:hAnsi="Abadi"/>
          <w:b/>
          <w:bCs/>
          <w:sz w:val="21"/>
          <w:szCs w:val="21"/>
        </w:rPr>
      </w:pPr>
    </w:p>
    <w:p w14:paraId="19B8970A" w14:textId="7268AD46" w:rsidR="0053549A" w:rsidRDefault="0053549A" w:rsidP="0053549A">
      <w:pPr>
        <w:jc w:val="center"/>
        <w:rPr>
          <w:rFonts w:ascii="Abadi" w:hAnsi="Abadi"/>
          <w:b/>
          <w:bCs/>
          <w:sz w:val="21"/>
          <w:szCs w:val="21"/>
        </w:rPr>
      </w:pPr>
      <w:r w:rsidRPr="000F5A1A">
        <w:rPr>
          <w:rFonts w:ascii="Abadi" w:hAnsi="Abadi"/>
          <w:b/>
          <w:bCs/>
          <w:sz w:val="21"/>
          <w:szCs w:val="21"/>
        </w:rPr>
        <w:t xml:space="preserve">- Diputada Lilia Margarita Rionda Salas </w:t>
      </w:r>
      <w:r>
        <w:rPr>
          <w:rFonts w:ascii="Abadi" w:hAnsi="Abadi"/>
          <w:b/>
          <w:bCs/>
          <w:sz w:val="21"/>
          <w:szCs w:val="21"/>
        </w:rPr>
        <w:t>–</w:t>
      </w:r>
    </w:p>
    <w:p w14:paraId="0B1EE46E" w14:textId="77777777" w:rsidR="0053549A" w:rsidRPr="000F5A1A" w:rsidRDefault="0053549A" w:rsidP="0053549A">
      <w:pPr>
        <w:jc w:val="both"/>
        <w:rPr>
          <w:rFonts w:ascii="Abadi" w:hAnsi="Abadi"/>
          <w:b/>
          <w:bCs/>
          <w:sz w:val="21"/>
          <w:szCs w:val="21"/>
        </w:rPr>
      </w:pPr>
    </w:p>
    <w:p w14:paraId="59871BE5" w14:textId="34CC574F" w:rsidR="0053549A" w:rsidRDefault="0053549A" w:rsidP="0053549A">
      <w:pPr>
        <w:jc w:val="both"/>
        <w:rPr>
          <w:rFonts w:ascii="Abadi" w:hAnsi="Abadi"/>
          <w:sz w:val="21"/>
          <w:szCs w:val="21"/>
        </w:rPr>
      </w:pPr>
      <w:r>
        <w:rPr>
          <w:rFonts w:ascii="Abadi" w:hAnsi="Abadi"/>
          <w:sz w:val="21"/>
          <w:szCs w:val="21"/>
        </w:rPr>
        <w:t>- M</w:t>
      </w:r>
      <w:r w:rsidRPr="006813AA">
        <w:rPr>
          <w:rFonts w:ascii="Abadi" w:hAnsi="Abadi"/>
          <w:sz w:val="21"/>
          <w:szCs w:val="21"/>
        </w:rPr>
        <w:t xml:space="preserve">uchísimas gracias, </w:t>
      </w:r>
      <w:r>
        <w:rPr>
          <w:rFonts w:ascii="Abadi" w:hAnsi="Abadi"/>
          <w:sz w:val="21"/>
          <w:szCs w:val="21"/>
        </w:rPr>
        <w:t>S</w:t>
      </w:r>
      <w:r w:rsidRPr="006813AA">
        <w:rPr>
          <w:rFonts w:ascii="Abadi" w:hAnsi="Abadi"/>
          <w:sz w:val="21"/>
          <w:szCs w:val="21"/>
        </w:rPr>
        <w:t>eñor Presidente</w:t>
      </w:r>
      <w:r>
        <w:rPr>
          <w:rFonts w:ascii="Abadi" w:hAnsi="Abadi"/>
          <w:sz w:val="21"/>
          <w:szCs w:val="21"/>
        </w:rPr>
        <w:t>, le</w:t>
      </w:r>
      <w:r w:rsidRPr="006813AA">
        <w:rPr>
          <w:rFonts w:ascii="Abadi" w:hAnsi="Abadi"/>
          <w:sz w:val="21"/>
          <w:szCs w:val="21"/>
        </w:rPr>
        <w:t xml:space="preserve"> deseo el mejor de los éxitos en esta </w:t>
      </w:r>
      <w:r>
        <w:rPr>
          <w:rFonts w:ascii="Abadi" w:hAnsi="Abadi"/>
          <w:sz w:val="21"/>
          <w:szCs w:val="21"/>
        </w:rPr>
        <w:t>M</w:t>
      </w:r>
      <w:r w:rsidRPr="006813AA">
        <w:rPr>
          <w:rFonts w:ascii="Abadi" w:hAnsi="Abadi"/>
          <w:sz w:val="21"/>
          <w:szCs w:val="21"/>
        </w:rPr>
        <w:t>esa</w:t>
      </w:r>
      <w:r>
        <w:rPr>
          <w:rFonts w:ascii="Abadi" w:hAnsi="Abadi"/>
          <w:sz w:val="21"/>
          <w:szCs w:val="21"/>
        </w:rPr>
        <w:t xml:space="preserve">, </w:t>
      </w:r>
      <w:r w:rsidRPr="006813AA">
        <w:rPr>
          <w:rFonts w:ascii="Abadi" w:hAnsi="Abadi"/>
          <w:sz w:val="21"/>
          <w:szCs w:val="21"/>
        </w:rPr>
        <w:t>muy buenas tardes a todas mis compañeras y compañeros a los medios de comunicación y a las personas que nos hacen favor de seguirnos</w:t>
      </w:r>
      <w:r>
        <w:rPr>
          <w:rFonts w:ascii="Abadi" w:hAnsi="Abadi"/>
          <w:sz w:val="21"/>
          <w:szCs w:val="21"/>
        </w:rPr>
        <w:t>.</w:t>
      </w:r>
    </w:p>
    <w:p w14:paraId="1E3E355D" w14:textId="77777777" w:rsidR="0053549A" w:rsidRDefault="0053549A" w:rsidP="0053549A">
      <w:pPr>
        <w:jc w:val="both"/>
        <w:rPr>
          <w:rFonts w:ascii="Abadi" w:hAnsi="Abadi"/>
          <w:sz w:val="21"/>
          <w:szCs w:val="21"/>
        </w:rPr>
      </w:pPr>
    </w:p>
    <w:p w14:paraId="2F46020D" w14:textId="5391E516" w:rsidR="0053549A" w:rsidRDefault="0053549A" w:rsidP="0053549A">
      <w:pPr>
        <w:jc w:val="both"/>
        <w:rPr>
          <w:rFonts w:ascii="Abadi" w:hAnsi="Abadi"/>
          <w:sz w:val="21"/>
          <w:szCs w:val="21"/>
        </w:rPr>
      </w:pPr>
      <w:r>
        <w:rPr>
          <w:rFonts w:ascii="Abadi" w:hAnsi="Abadi"/>
          <w:sz w:val="21"/>
          <w:szCs w:val="21"/>
        </w:rPr>
        <w:t xml:space="preserve">- El </w:t>
      </w:r>
      <w:r w:rsidRPr="006813AA">
        <w:rPr>
          <w:rFonts w:ascii="Abadi" w:hAnsi="Abadi"/>
          <w:sz w:val="21"/>
          <w:szCs w:val="21"/>
        </w:rPr>
        <w:t>día de ho</w:t>
      </w:r>
      <w:r>
        <w:rPr>
          <w:rFonts w:ascii="Abadi" w:hAnsi="Abadi"/>
          <w:sz w:val="21"/>
          <w:szCs w:val="21"/>
        </w:rPr>
        <w:t>y, hemos hablado muchas d</w:t>
      </w:r>
      <w:r w:rsidRPr="006813AA">
        <w:rPr>
          <w:rFonts w:ascii="Abadi" w:hAnsi="Abadi"/>
          <w:sz w:val="21"/>
          <w:szCs w:val="21"/>
        </w:rPr>
        <w:t xml:space="preserve">iputadas </w:t>
      </w:r>
      <w:r>
        <w:rPr>
          <w:rFonts w:ascii="Abadi" w:hAnsi="Abadi"/>
          <w:sz w:val="21"/>
          <w:szCs w:val="21"/>
        </w:rPr>
        <w:t xml:space="preserve">en materia de la mujer me queda claro que en </w:t>
      </w:r>
      <w:r w:rsidRPr="006813AA">
        <w:rPr>
          <w:rFonts w:ascii="Abadi" w:hAnsi="Abadi"/>
          <w:sz w:val="21"/>
          <w:szCs w:val="21"/>
        </w:rPr>
        <w:t xml:space="preserve">este </w:t>
      </w:r>
      <w:r>
        <w:rPr>
          <w:rFonts w:ascii="Abadi" w:hAnsi="Abadi"/>
          <w:sz w:val="21"/>
          <w:szCs w:val="21"/>
        </w:rPr>
        <w:t>C</w:t>
      </w:r>
      <w:r w:rsidRPr="006813AA">
        <w:rPr>
          <w:rFonts w:ascii="Abadi" w:hAnsi="Abadi"/>
          <w:sz w:val="21"/>
          <w:szCs w:val="21"/>
        </w:rPr>
        <w:t xml:space="preserve">ongreso a todos nos importa que la mujer en el </w:t>
      </w:r>
      <w:r>
        <w:rPr>
          <w:rFonts w:ascii="Abadi" w:hAnsi="Abadi"/>
          <w:sz w:val="21"/>
          <w:szCs w:val="21"/>
        </w:rPr>
        <w:t>E</w:t>
      </w:r>
      <w:r w:rsidRPr="006813AA">
        <w:rPr>
          <w:rFonts w:ascii="Abadi" w:hAnsi="Abadi"/>
          <w:sz w:val="21"/>
          <w:szCs w:val="21"/>
        </w:rPr>
        <w:t xml:space="preserve">stado de </w:t>
      </w:r>
      <w:r>
        <w:rPr>
          <w:rFonts w:ascii="Abadi" w:hAnsi="Abadi"/>
          <w:sz w:val="21"/>
          <w:szCs w:val="21"/>
        </w:rPr>
        <w:t>G</w:t>
      </w:r>
      <w:r w:rsidRPr="006813AA">
        <w:rPr>
          <w:rFonts w:ascii="Abadi" w:hAnsi="Abadi"/>
          <w:sz w:val="21"/>
          <w:szCs w:val="21"/>
        </w:rPr>
        <w:t xml:space="preserve">uanajuato tenga una vida libre de violencia en todos sus </w:t>
      </w:r>
      <w:r>
        <w:rPr>
          <w:rFonts w:ascii="Abadi" w:hAnsi="Abadi"/>
          <w:sz w:val="21"/>
          <w:szCs w:val="21"/>
        </w:rPr>
        <w:t xml:space="preserve">ámbitos </w:t>
      </w:r>
      <w:r w:rsidRPr="006813AA">
        <w:rPr>
          <w:rFonts w:ascii="Abadi" w:hAnsi="Abadi"/>
          <w:sz w:val="21"/>
          <w:szCs w:val="21"/>
        </w:rPr>
        <w:t xml:space="preserve"> fortalecer las capacidades de la mujer en todos sus ámbitos potenciar la agenda económica para que la mujer tenga una mejor </w:t>
      </w:r>
      <w:r>
        <w:rPr>
          <w:rFonts w:ascii="Abadi" w:hAnsi="Abadi"/>
          <w:sz w:val="21"/>
          <w:szCs w:val="21"/>
        </w:rPr>
        <w:t>bienestar y un mayor desarrollo,</w:t>
      </w:r>
      <w:r w:rsidRPr="006813AA">
        <w:rPr>
          <w:rFonts w:ascii="Abadi" w:hAnsi="Abadi"/>
          <w:sz w:val="21"/>
          <w:szCs w:val="21"/>
        </w:rPr>
        <w:t xml:space="preserve"> y porq</w:t>
      </w:r>
      <w:r>
        <w:rPr>
          <w:rFonts w:ascii="Abadi" w:hAnsi="Abadi"/>
          <w:sz w:val="21"/>
          <w:szCs w:val="21"/>
        </w:rPr>
        <w:t>ue</w:t>
      </w:r>
      <w:r w:rsidRPr="006813AA">
        <w:rPr>
          <w:rFonts w:ascii="Abadi" w:hAnsi="Abadi"/>
          <w:sz w:val="21"/>
          <w:szCs w:val="21"/>
        </w:rPr>
        <w:t xml:space="preserve"> no salvaguardar su integridad y lo más importante es su seguridad</w:t>
      </w:r>
      <w:r>
        <w:rPr>
          <w:rFonts w:ascii="Abadi" w:hAnsi="Abadi"/>
          <w:sz w:val="21"/>
          <w:szCs w:val="21"/>
        </w:rPr>
        <w:t>;</w:t>
      </w:r>
      <w:r w:rsidRPr="006813AA">
        <w:rPr>
          <w:rFonts w:ascii="Abadi" w:hAnsi="Abadi"/>
          <w:sz w:val="21"/>
          <w:szCs w:val="21"/>
        </w:rPr>
        <w:t xml:space="preserve"> la transversalidad de la perspectiva de género en esta legislatura todos la tenemos muy clara es el proceso de valorar las implicaciones que tiene para hombres y para mujeres cualquier acción que se planifique y sobre todo que se trate en una materia legislativa como una política pública o como programas en todas las áreas y en todos los niveles de gobierno</w:t>
      </w:r>
      <w:r>
        <w:rPr>
          <w:rFonts w:ascii="Abadi" w:hAnsi="Abadi"/>
          <w:sz w:val="21"/>
          <w:szCs w:val="21"/>
        </w:rPr>
        <w:t>.</w:t>
      </w:r>
    </w:p>
    <w:p w14:paraId="1F0E4E97" w14:textId="77777777" w:rsidR="0053549A" w:rsidRDefault="0053549A" w:rsidP="0053549A">
      <w:pPr>
        <w:jc w:val="both"/>
        <w:rPr>
          <w:rFonts w:ascii="Abadi" w:hAnsi="Abadi"/>
          <w:sz w:val="21"/>
          <w:szCs w:val="21"/>
        </w:rPr>
      </w:pPr>
    </w:p>
    <w:p w14:paraId="2BC968BE" w14:textId="480FDF75" w:rsidR="0053549A" w:rsidRDefault="0053549A" w:rsidP="0053549A">
      <w:pPr>
        <w:jc w:val="both"/>
        <w:rPr>
          <w:rFonts w:ascii="Abadi" w:hAnsi="Abadi"/>
          <w:sz w:val="21"/>
          <w:szCs w:val="21"/>
        </w:rPr>
      </w:pPr>
      <w:r>
        <w:rPr>
          <w:rFonts w:ascii="Abadi" w:hAnsi="Abadi"/>
          <w:sz w:val="21"/>
          <w:szCs w:val="21"/>
        </w:rPr>
        <w:t>- E</w:t>
      </w:r>
      <w:r w:rsidRPr="006813AA">
        <w:rPr>
          <w:rFonts w:ascii="Abadi" w:hAnsi="Abadi"/>
          <w:sz w:val="21"/>
          <w:szCs w:val="21"/>
        </w:rPr>
        <w:t xml:space="preserve">n este orden de ideas el </w:t>
      </w:r>
      <w:r>
        <w:rPr>
          <w:rFonts w:ascii="Abadi" w:hAnsi="Abadi"/>
          <w:sz w:val="21"/>
          <w:szCs w:val="21"/>
        </w:rPr>
        <w:t>G</w:t>
      </w:r>
      <w:r w:rsidRPr="006813AA">
        <w:rPr>
          <w:rFonts w:ascii="Abadi" w:hAnsi="Abadi"/>
          <w:sz w:val="21"/>
          <w:szCs w:val="21"/>
        </w:rPr>
        <w:t xml:space="preserve">rupo </w:t>
      </w:r>
      <w:r>
        <w:rPr>
          <w:rFonts w:ascii="Abadi" w:hAnsi="Abadi"/>
          <w:sz w:val="21"/>
          <w:szCs w:val="21"/>
        </w:rPr>
        <w:t>P</w:t>
      </w:r>
      <w:r w:rsidRPr="006813AA">
        <w:rPr>
          <w:rFonts w:ascii="Abadi" w:hAnsi="Abadi"/>
          <w:sz w:val="21"/>
          <w:szCs w:val="21"/>
        </w:rPr>
        <w:t xml:space="preserve">arlamentario del </w:t>
      </w:r>
      <w:r>
        <w:rPr>
          <w:rFonts w:ascii="Abadi" w:hAnsi="Abadi"/>
          <w:sz w:val="21"/>
          <w:szCs w:val="21"/>
        </w:rPr>
        <w:t>P</w:t>
      </w:r>
      <w:r w:rsidRPr="006813AA">
        <w:rPr>
          <w:rFonts w:ascii="Abadi" w:hAnsi="Abadi"/>
          <w:sz w:val="21"/>
          <w:szCs w:val="21"/>
        </w:rPr>
        <w:t xml:space="preserve">artido </w:t>
      </w:r>
      <w:r>
        <w:rPr>
          <w:rFonts w:ascii="Abadi" w:hAnsi="Abadi"/>
          <w:sz w:val="21"/>
          <w:szCs w:val="21"/>
        </w:rPr>
        <w:t>A</w:t>
      </w:r>
      <w:r w:rsidRPr="006813AA">
        <w:rPr>
          <w:rFonts w:ascii="Abadi" w:hAnsi="Abadi"/>
          <w:sz w:val="21"/>
          <w:szCs w:val="21"/>
        </w:rPr>
        <w:t xml:space="preserve">cción </w:t>
      </w:r>
      <w:r>
        <w:rPr>
          <w:rFonts w:ascii="Abadi" w:hAnsi="Abadi"/>
          <w:sz w:val="21"/>
          <w:szCs w:val="21"/>
        </w:rPr>
        <w:t>N</w:t>
      </w:r>
      <w:r w:rsidRPr="006813AA">
        <w:rPr>
          <w:rFonts w:ascii="Abadi" w:hAnsi="Abadi"/>
          <w:sz w:val="21"/>
          <w:szCs w:val="21"/>
        </w:rPr>
        <w:t>acional como prioridad central es establecer aquellas acciones legislativas para fortalecer los derechos de las mujeres y sobre todo lograr un empoderamiento político económico y social y también salvaguardar su seguridad y su integridad de esta forma presentamos esta propuesta para la modificación de ley que hoy se pone a su consideración y que estoy segura que vamos a ir adelante me atrevo a comentar que acaba de subir aquí a pódium mi compañera</w:t>
      </w:r>
      <w:r>
        <w:rPr>
          <w:rFonts w:ascii="Abadi" w:hAnsi="Abadi"/>
          <w:sz w:val="21"/>
          <w:szCs w:val="21"/>
        </w:rPr>
        <w:t xml:space="preserve"> Alma</w:t>
      </w:r>
      <w:r w:rsidRPr="006813AA">
        <w:rPr>
          <w:rFonts w:ascii="Abadi" w:hAnsi="Abadi"/>
          <w:sz w:val="21"/>
          <w:szCs w:val="21"/>
        </w:rPr>
        <w:t xml:space="preserve"> en donde solicita presupuesto</w:t>
      </w:r>
      <w:r>
        <w:rPr>
          <w:rFonts w:ascii="Abadi" w:hAnsi="Abadi"/>
          <w:sz w:val="21"/>
          <w:szCs w:val="21"/>
        </w:rPr>
        <w:t>,</w:t>
      </w:r>
      <w:r w:rsidRPr="006813AA">
        <w:rPr>
          <w:rFonts w:ascii="Abadi" w:hAnsi="Abadi"/>
          <w:sz w:val="21"/>
          <w:szCs w:val="21"/>
        </w:rPr>
        <w:t xml:space="preserve"> este es el tema focal deseamos que en la </w:t>
      </w:r>
      <w:r>
        <w:rPr>
          <w:rFonts w:ascii="Abadi" w:hAnsi="Abadi"/>
          <w:sz w:val="21"/>
          <w:szCs w:val="21"/>
        </w:rPr>
        <w:t>L</w:t>
      </w:r>
      <w:r w:rsidRPr="006813AA">
        <w:rPr>
          <w:rFonts w:ascii="Abadi" w:hAnsi="Abadi"/>
          <w:sz w:val="21"/>
          <w:szCs w:val="21"/>
        </w:rPr>
        <w:t xml:space="preserve">ey de </w:t>
      </w:r>
      <w:r>
        <w:rPr>
          <w:rFonts w:ascii="Abadi" w:hAnsi="Abadi"/>
          <w:sz w:val="21"/>
          <w:szCs w:val="21"/>
        </w:rPr>
        <w:t>P</w:t>
      </w:r>
      <w:r w:rsidRPr="006813AA">
        <w:rPr>
          <w:rFonts w:ascii="Abadi" w:hAnsi="Abadi"/>
          <w:sz w:val="21"/>
          <w:szCs w:val="21"/>
        </w:rPr>
        <w:t xml:space="preserve">laneación del </w:t>
      </w:r>
      <w:r>
        <w:rPr>
          <w:rFonts w:ascii="Abadi" w:hAnsi="Abadi"/>
          <w:sz w:val="21"/>
          <w:szCs w:val="21"/>
        </w:rPr>
        <w:t>E</w:t>
      </w:r>
      <w:r w:rsidRPr="006813AA">
        <w:rPr>
          <w:rFonts w:ascii="Abadi" w:hAnsi="Abadi"/>
          <w:sz w:val="21"/>
          <w:szCs w:val="21"/>
        </w:rPr>
        <w:t xml:space="preserve">stado de </w:t>
      </w:r>
      <w:r>
        <w:rPr>
          <w:rFonts w:ascii="Abadi" w:hAnsi="Abadi"/>
          <w:sz w:val="21"/>
          <w:szCs w:val="21"/>
        </w:rPr>
        <w:t>G</w:t>
      </w:r>
      <w:r w:rsidRPr="006813AA">
        <w:rPr>
          <w:rFonts w:ascii="Abadi" w:hAnsi="Abadi"/>
          <w:sz w:val="21"/>
          <w:szCs w:val="21"/>
        </w:rPr>
        <w:t>uanajuato</w:t>
      </w:r>
      <w:r>
        <w:rPr>
          <w:rFonts w:ascii="Abadi" w:hAnsi="Abadi"/>
          <w:sz w:val="21"/>
          <w:szCs w:val="21"/>
        </w:rPr>
        <w:t>,</w:t>
      </w:r>
      <w:r w:rsidRPr="006813AA">
        <w:rPr>
          <w:rFonts w:ascii="Abadi" w:hAnsi="Abadi"/>
          <w:sz w:val="21"/>
          <w:szCs w:val="21"/>
        </w:rPr>
        <w:t xml:space="preserve"> todas las acciones los programas las estrategias y lo más importante las políticas públicas en el </w:t>
      </w:r>
      <w:r>
        <w:rPr>
          <w:rFonts w:ascii="Abadi" w:hAnsi="Abadi"/>
          <w:sz w:val="21"/>
          <w:szCs w:val="21"/>
        </w:rPr>
        <w:t>E</w:t>
      </w:r>
      <w:r w:rsidRPr="006813AA">
        <w:rPr>
          <w:rFonts w:ascii="Abadi" w:hAnsi="Abadi"/>
          <w:sz w:val="21"/>
          <w:szCs w:val="21"/>
        </w:rPr>
        <w:t xml:space="preserve">stado de </w:t>
      </w:r>
      <w:r>
        <w:rPr>
          <w:rFonts w:ascii="Abadi" w:hAnsi="Abadi"/>
          <w:sz w:val="21"/>
          <w:szCs w:val="21"/>
        </w:rPr>
        <w:t>G</w:t>
      </w:r>
      <w:r w:rsidRPr="006813AA">
        <w:rPr>
          <w:rFonts w:ascii="Abadi" w:hAnsi="Abadi"/>
          <w:sz w:val="21"/>
          <w:szCs w:val="21"/>
        </w:rPr>
        <w:t>uanajuato torno a la mujer guanajuatense tenga planeación</w:t>
      </w:r>
      <w:r>
        <w:rPr>
          <w:rFonts w:ascii="Abadi" w:hAnsi="Abadi"/>
          <w:sz w:val="21"/>
          <w:szCs w:val="21"/>
        </w:rPr>
        <w:t>,</w:t>
      </w:r>
      <w:r w:rsidRPr="006813AA">
        <w:rPr>
          <w:rFonts w:ascii="Abadi" w:hAnsi="Abadi"/>
          <w:sz w:val="21"/>
          <w:szCs w:val="21"/>
        </w:rPr>
        <w:t xml:space="preserve"> programación</w:t>
      </w:r>
      <w:r>
        <w:rPr>
          <w:rFonts w:ascii="Abadi" w:hAnsi="Abadi"/>
          <w:sz w:val="21"/>
          <w:szCs w:val="21"/>
        </w:rPr>
        <w:t>,</w:t>
      </w:r>
      <w:r w:rsidRPr="006813AA">
        <w:rPr>
          <w:rFonts w:ascii="Abadi" w:hAnsi="Abadi"/>
          <w:sz w:val="21"/>
          <w:szCs w:val="21"/>
        </w:rPr>
        <w:t xml:space="preserve"> presupuest</w:t>
      </w:r>
      <w:r>
        <w:rPr>
          <w:rFonts w:ascii="Abadi" w:hAnsi="Abadi"/>
          <w:sz w:val="21"/>
          <w:szCs w:val="21"/>
        </w:rPr>
        <w:t>ación</w:t>
      </w:r>
      <w:r w:rsidRPr="006813AA">
        <w:rPr>
          <w:rFonts w:ascii="Abadi" w:hAnsi="Abadi"/>
          <w:sz w:val="21"/>
          <w:szCs w:val="21"/>
        </w:rPr>
        <w:t xml:space="preserve"> y ejecución y que esté en ley</w:t>
      </w:r>
      <w:r>
        <w:rPr>
          <w:rFonts w:ascii="Abadi" w:hAnsi="Abadi"/>
          <w:sz w:val="21"/>
          <w:szCs w:val="21"/>
        </w:rPr>
        <w:t>;</w:t>
      </w:r>
      <w:r w:rsidRPr="006813AA">
        <w:rPr>
          <w:rFonts w:ascii="Abadi" w:hAnsi="Abadi"/>
          <w:sz w:val="21"/>
          <w:szCs w:val="21"/>
        </w:rPr>
        <w:t xml:space="preserve"> pido su voto a favor amigas y amigos diputados para que se pueda </w:t>
      </w:r>
      <w:r>
        <w:rPr>
          <w:rFonts w:ascii="Abadi" w:hAnsi="Abadi"/>
          <w:sz w:val="21"/>
          <w:szCs w:val="21"/>
        </w:rPr>
        <w:t>h</w:t>
      </w:r>
      <w:r w:rsidRPr="006813AA">
        <w:rPr>
          <w:rFonts w:ascii="Abadi" w:hAnsi="Abadi"/>
          <w:sz w:val="21"/>
          <w:szCs w:val="21"/>
        </w:rPr>
        <w:t>acer una real</w:t>
      </w:r>
      <w:r>
        <w:rPr>
          <w:rFonts w:ascii="Abadi" w:hAnsi="Abadi"/>
          <w:sz w:val="21"/>
          <w:szCs w:val="21"/>
        </w:rPr>
        <w:t>idad</w:t>
      </w:r>
      <w:r w:rsidRPr="006813AA">
        <w:rPr>
          <w:rFonts w:ascii="Abadi" w:hAnsi="Abadi"/>
          <w:sz w:val="21"/>
          <w:szCs w:val="21"/>
        </w:rPr>
        <w:t xml:space="preserve"> deseamos materializar este proceso que el valor de la mujer esté presente en nuestro querido estado de guanajuato y no nada más en una ley</w:t>
      </w:r>
      <w:r>
        <w:rPr>
          <w:rFonts w:ascii="Abadi" w:hAnsi="Abadi"/>
          <w:sz w:val="21"/>
          <w:szCs w:val="21"/>
        </w:rPr>
        <w:t>;</w:t>
      </w:r>
      <w:r w:rsidRPr="006813AA">
        <w:rPr>
          <w:rFonts w:ascii="Abadi" w:hAnsi="Abadi"/>
          <w:sz w:val="21"/>
          <w:szCs w:val="21"/>
        </w:rPr>
        <w:t xml:space="preserve"> sino que sea como un valor propio de ciudadanos es una estrategia para conseguir que las preocupaciones de las mujeres y las experiencias de ellas al igual que los hombres sea para integrarse una elaboración de puesta en marcha en control y evaluación de políticas públicas así como para todos los programas en esferas políticas económicas y sociales de manera que las mujeres y los hombres puedan beneficiarse de ellos igualmente y que perpetúe</w:t>
      </w:r>
      <w:r>
        <w:rPr>
          <w:rFonts w:ascii="Abadi" w:hAnsi="Abadi"/>
          <w:sz w:val="21"/>
          <w:szCs w:val="21"/>
        </w:rPr>
        <w:t>.</w:t>
      </w:r>
    </w:p>
    <w:p w14:paraId="23FC7202" w14:textId="77777777" w:rsidR="0053549A" w:rsidRDefault="0053549A" w:rsidP="0053549A">
      <w:pPr>
        <w:jc w:val="both"/>
        <w:rPr>
          <w:rFonts w:ascii="Abadi" w:hAnsi="Abadi"/>
          <w:sz w:val="21"/>
          <w:szCs w:val="21"/>
        </w:rPr>
      </w:pPr>
    </w:p>
    <w:p w14:paraId="68C40774" w14:textId="02E9C948" w:rsidR="0053549A" w:rsidRDefault="0053549A" w:rsidP="0053549A">
      <w:pPr>
        <w:jc w:val="both"/>
        <w:rPr>
          <w:rFonts w:ascii="Abadi" w:hAnsi="Abadi"/>
          <w:sz w:val="21"/>
          <w:szCs w:val="21"/>
        </w:rPr>
      </w:pPr>
      <w:r>
        <w:rPr>
          <w:rFonts w:ascii="Abadi" w:hAnsi="Abadi"/>
          <w:sz w:val="21"/>
          <w:szCs w:val="21"/>
        </w:rPr>
        <w:t>- E</w:t>
      </w:r>
      <w:r w:rsidRPr="006813AA">
        <w:rPr>
          <w:rFonts w:ascii="Abadi" w:hAnsi="Abadi"/>
          <w:sz w:val="21"/>
          <w:szCs w:val="21"/>
        </w:rPr>
        <w:t>l objetivo de introducir los mecanismos para incorporar de forma transversal la perspectiva de género en los instrumentos de sistema de planeación es conseguir la igualdad de género la transversalización del enfoque de género no consiste simplemente en añadir un componente femenino ni un componente de igualdad entre otros géneros</w:t>
      </w:r>
      <w:r>
        <w:rPr>
          <w:rFonts w:ascii="Abadi" w:hAnsi="Abadi"/>
          <w:sz w:val="21"/>
          <w:szCs w:val="21"/>
        </w:rPr>
        <w:t>,</w:t>
      </w:r>
      <w:r w:rsidRPr="006813AA">
        <w:rPr>
          <w:rFonts w:ascii="Abadi" w:hAnsi="Abadi"/>
          <w:sz w:val="21"/>
          <w:szCs w:val="21"/>
        </w:rPr>
        <w:t xml:space="preserve"> es una actividad existente en la cual tenemos que subrayar algo que ya está en otro ordenamiento es asimismo algo para aumentar la participación de las mujeres</w:t>
      </w:r>
      <w:r>
        <w:rPr>
          <w:rFonts w:ascii="Abadi" w:hAnsi="Abadi"/>
          <w:sz w:val="21"/>
          <w:szCs w:val="21"/>
        </w:rPr>
        <w:t>,</w:t>
      </w:r>
      <w:r w:rsidRPr="006813AA">
        <w:rPr>
          <w:rFonts w:ascii="Abadi" w:hAnsi="Abadi"/>
          <w:sz w:val="21"/>
          <w:szCs w:val="21"/>
        </w:rPr>
        <w:t xml:space="preserve"> significa incorporar la experiencia el conocimiento y porq</w:t>
      </w:r>
      <w:r>
        <w:rPr>
          <w:rFonts w:ascii="Abadi" w:hAnsi="Abadi"/>
          <w:sz w:val="21"/>
          <w:szCs w:val="21"/>
        </w:rPr>
        <w:t>ue</w:t>
      </w:r>
      <w:r w:rsidRPr="006813AA">
        <w:rPr>
          <w:rFonts w:ascii="Abadi" w:hAnsi="Abadi"/>
          <w:sz w:val="21"/>
          <w:szCs w:val="21"/>
        </w:rPr>
        <w:t xml:space="preserve"> no decirlo los intereses de la mujer aparte </w:t>
      </w:r>
      <w:r>
        <w:rPr>
          <w:rFonts w:ascii="Abadi" w:hAnsi="Abadi"/>
          <w:sz w:val="21"/>
          <w:szCs w:val="21"/>
        </w:rPr>
        <w:t xml:space="preserve">lo de </w:t>
      </w:r>
      <w:r w:rsidRPr="006813AA">
        <w:rPr>
          <w:rFonts w:ascii="Abadi" w:hAnsi="Abadi"/>
          <w:sz w:val="21"/>
          <w:szCs w:val="21"/>
        </w:rPr>
        <w:t xml:space="preserve">hombre y sacar adelante su desarrollo es más operativamente el </w:t>
      </w:r>
      <w:r>
        <w:rPr>
          <w:rFonts w:ascii="Abadi" w:hAnsi="Abadi"/>
          <w:sz w:val="21"/>
          <w:szCs w:val="21"/>
        </w:rPr>
        <w:t>I</w:t>
      </w:r>
      <w:r w:rsidRPr="006813AA">
        <w:rPr>
          <w:rFonts w:ascii="Abadi" w:hAnsi="Abadi"/>
          <w:sz w:val="21"/>
          <w:szCs w:val="21"/>
        </w:rPr>
        <w:t xml:space="preserve">nstituto de </w:t>
      </w:r>
      <w:r>
        <w:rPr>
          <w:rFonts w:ascii="Abadi" w:hAnsi="Abadi"/>
          <w:sz w:val="21"/>
          <w:szCs w:val="21"/>
        </w:rPr>
        <w:t>P</w:t>
      </w:r>
      <w:r w:rsidRPr="006813AA">
        <w:rPr>
          <w:rFonts w:ascii="Abadi" w:hAnsi="Abadi"/>
          <w:sz w:val="21"/>
          <w:szCs w:val="21"/>
        </w:rPr>
        <w:t xml:space="preserve">laneación de </w:t>
      </w:r>
      <w:r>
        <w:rPr>
          <w:rFonts w:ascii="Abadi" w:hAnsi="Abadi"/>
          <w:sz w:val="21"/>
          <w:szCs w:val="21"/>
        </w:rPr>
        <w:t>E</w:t>
      </w:r>
      <w:r w:rsidRPr="006813AA">
        <w:rPr>
          <w:rFonts w:ascii="Abadi" w:hAnsi="Abadi"/>
          <w:sz w:val="21"/>
          <w:szCs w:val="21"/>
        </w:rPr>
        <w:t xml:space="preserve">stadística y </w:t>
      </w:r>
      <w:r>
        <w:rPr>
          <w:rFonts w:ascii="Abadi" w:hAnsi="Abadi"/>
          <w:sz w:val="21"/>
          <w:szCs w:val="21"/>
        </w:rPr>
        <w:t>G</w:t>
      </w:r>
      <w:r w:rsidRPr="006813AA">
        <w:rPr>
          <w:rFonts w:ascii="Abadi" w:hAnsi="Abadi"/>
          <w:sz w:val="21"/>
          <w:szCs w:val="21"/>
        </w:rPr>
        <w:t xml:space="preserve">eográfica del </w:t>
      </w:r>
      <w:r>
        <w:rPr>
          <w:rFonts w:ascii="Abadi" w:hAnsi="Abadi"/>
          <w:sz w:val="21"/>
          <w:szCs w:val="21"/>
        </w:rPr>
        <w:t>E</w:t>
      </w:r>
      <w:r w:rsidRPr="006813AA">
        <w:rPr>
          <w:rFonts w:ascii="Abadi" w:hAnsi="Abadi"/>
          <w:sz w:val="21"/>
          <w:szCs w:val="21"/>
        </w:rPr>
        <w:t xml:space="preserve">stado de </w:t>
      </w:r>
      <w:r>
        <w:rPr>
          <w:rFonts w:ascii="Abadi" w:hAnsi="Abadi"/>
          <w:sz w:val="21"/>
          <w:szCs w:val="21"/>
        </w:rPr>
        <w:t>G</w:t>
      </w:r>
      <w:r w:rsidRPr="006813AA">
        <w:rPr>
          <w:rFonts w:ascii="Abadi" w:hAnsi="Abadi"/>
          <w:sz w:val="21"/>
          <w:szCs w:val="21"/>
        </w:rPr>
        <w:t>uanajuato no encuentra alguna complicación o contradicción a esta propuesta y pese</w:t>
      </w:r>
      <w:r>
        <w:rPr>
          <w:rFonts w:ascii="Abadi" w:hAnsi="Abadi"/>
          <w:sz w:val="21"/>
          <w:szCs w:val="21"/>
        </w:rPr>
        <w:t xml:space="preserve"> que ya ha realizado algunos  análisis en esta materia, está en toda la disposición de la mano para la actualización de este marco jurídico pues cabe señalar que en la ley de planeación de Estado de Guanajuato, en el artículo 4to. no se incluye de perspectiva de género. </w:t>
      </w:r>
    </w:p>
    <w:p w14:paraId="5DDB7B23" w14:textId="77777777" w:rsidR="0053549A" w:rsidRDefault="0053549A" w:rsidP="0053549A">
      <w:pPr>
        <w:jc w:val="both"/>
        <w:rPr>
          <w:rFonts w:ascii="Abadi" w:hAnsi="Abadi"/>
          <w:sz w:val="21"/>
          <w:szCs w:val="21"/>
        </w:rPr>
      </w:pPr>
    </w:p>
    <w:p w14:paraId="435EE374" w14:textId="77777777" w:rsidR="0053549A" w:rsidRDefault="0053549A" w:rsidP="0053549A">
      <w:pPr>
        <w:jc w:val="both"/>
        <w:rPr>
          <w:rFonts w:ascii="Abadi" w:hAnsi="Abadi"/>
          <w:sz w:val="21"/>
          <w:szCs w:val="21"/>
        </w:rPr>
      </w:pPr>
      <w:r>
        <w:rPr>
          <w:rFonts w:ascii="Abadi" w:hAnsi="Abadi"/>
          <w:sz w:val="21"/>
          <w:szCs w:val="21"/>
        </w:rPr>
        <w:t>- Ahí lo siguiente está el fortalecimiento   de los municipios libres, la promoción del desarrollo integral en el Estado Etc., la Consolidación del sistema democrático impulsando la participación de la sociedad en planeación Etc., la igualdad de los derechos y mejoramientos de la calidad de los habitantes del Estado de Guanajuato, etc., la mejora continua de administración pública  estatal y municipal, etc., el uso de los recursos naturales y del territorio del Estado, sin embargo no tenemos aquí el principio de la perspectiva de género, el cual también deseamos que también sea incluido.</w:t>
      </w:r>
    </w:p>
    <w:p w14:paraId="2A48ABB7" w14:textId="0E30E897" w:rsidR="0053549A" w:rsidRDefault="0053549A" w:rsidP="0053549A">
      <w:pPr>
        <w:jc w:val="both"/>
        <w:rPr>
          <w:rFonts w:ascii="Abadi" w:hAnsi="Abadi"/>
          <w:sz w:val="21"/>
          <w:szCs w:val="21"/>
        </w:rPr>
      </w:pPr>
      <w:r>
        <w:rPr>
          <w:rFonts w:ascii="Abadi" w:hAnsi="Abadi"/>
          <w:sz w:val="21"/>
          <w:szCs w:val="21"/>
        </w:rPr>
        <w:t xml:space="preserve">- Por favor amigas y amigos diputados les invito de la manera más atenta y seré breve, que se sumen a esta propuesta, que se sumen para que las mujeres del Estado de guanajuato tengan el lugar que se merecen, </w:t>
      </w:r>
      <w:r w:rsidRPr="006813AA">
        <w:rPr>
          <w:rFonts w:ascii="Abadi" w:hAnsi="Abadi"/>
          <w:sz w:val="21"/>
          <w:szCs w:val="21"/>
        </w:rPr>
        <w:t>que esté en planeación programación presupuestal y ejecución y en un futuro nosotros lo fiscalizaremos muchísimas gracias</w:t>
      </w:r>
      <w:r>
        <w:rPr>
          <w:rFonts w:ascii="Abadi" w:hAnsi="Abadi"/>
          <w:sz w:val="21"/>
          <w:szCs w:val="21"/>
        </w:rPr>
        <w:t xml:space="preserve">. </w:t>
      </w:r>
    </w:p>
    <w:p w14:paraId="0557A0E8" w14:textId="77777777" w:rsidR="0053549A" w:rsidRDefault="0053549A" w:rsidP="0053549A">
      <w:pPr>
        <w:jc w:val="both"/>
        <w:rPr>
          <w:rFonts w:ascii="Abadi" w:hAnsi="Abadi"/>
          <w:sz w:val="21"/>
          <w:szCs w:val="21"/>
        </w:rPr>
      </w:pPr>
    </w:p>
    <w:p w14:paraId="40F04566" w14:textId="26AE7CC9" w:rsidR="0053549A" w:rsidRDefault="0053549A" w:rsidP="0053549A">
      <w:pPr>
        <w:jc w:val="both"/>
        <w:rPr>
          <w:rFonts w:ascii="Abadi" w:hAnsi="Abadi"/>
          <w:sz w:val="21"/>
          <w:szCs w:val="21"/>
        </w:rPr>
      </w:pPr>
      <w:r>
        <w:rPr>
          <w:rFonts w:ascii="Abadi" w:hAnsi="Abadi"/>
          <w:sz w:val="21"/>
          <w:szCs w:val="21"/>
        </w:rPr>
        <w:t>- Es cuánto.</w:t>
      </w:r>
      <w:r w:rsidRPr="006813AA">
        <w:rPr>
          <w:rFonts w:ascii="Abadi" w:hAnsi="Abadi"/>
          <w:sz w:val="21"/>
          <w:szCs w:val="21"/>
        </w:rPr>
        <w:t xml:space="preserve"> </w:t>
      </w:r>
    </w:p>
    <w:p w14:paraId="0EF5FE7E" w14:textId="77777777" w:rsidR="0053549A" w:rsidRDefault="0053549A" w:rsidP="0053549A">
      <w:pPr>
        <w:jc w:val="both"/>
        <w:rPr>
          <w:rFonts w:ascii="Abadi" w:hAnsi="Abadi"/>
          <w:sz w:val="21"/>
          <w:szCs w:val="21"/>
        </w:rPr>
      </w:pPr>
    </w:p>
    <w:p w14:paraId="5CA3438D" w14:textId="0DC492AA" w:rsidR="0053549A" w:rsidRDefault="0053549A" w:rsidP="0053549A">
      <w:pPr>
        <w:ind w:firstLine="708"/>
        <w:jc w:val="both"/>
        <w:rPr>
          <w:rFonts w:ascii="Abadi" w:hAnsi="Abadi"/>
          <w:sz w:val="21"/>
          <w:szCs w:val="21"/>
        </w:rPr>
      </w:pPr>
      <w:r w:rsidRPr="00581A4A">
        <w:rPr>
          <w:rFonts w:ascii="Abadi" w:hAnsi="Abadi"/>
          <w:b/>
          <w:bCs/>
          <w:sz w:val="21"/>
          <w:szCs w:val="21"/>
        </w:rPr>
        <w:t>- El Presidente.-</w:t>
      </w:r>
      <w:r>
        <w:rPr>
          <w:rFonts w:ascii="Abadi" w:hAnsi="Abadi"/>
          <w:sz w:val="21"/>
          <w:szCs w:val="21"/>
        </w:rPr>
        <w:t xml:space="preserve"> A</w:t>
      </w:r>
      <w:r w:rsidRPr="006813AA">
        <w:rPr>
          <w:rFonts w:ascii="Abadi" w:hAnsi="Abadi"/>
          <w:sz w:val="21"/>
          <w:szCs w:val="21"/>
        </w:rPr>
        <w:t>go</w:t>
      </w:r>
      <w:r>
        <w:rPr>
          <w:rFonts w:ascii="Abadi" w:hAnsi="Abadi"/>
          <w:sz w:val="21"/>
          <w:szCs w:val="21"/>
        </w:rPr>
        <w:t xml:space="preserve">tada </w:t>
      </w:r>
      <w:r w:rsidRPr="006813AA">
        <w:rPr>
          <w:rFonts w:ascii="Abadi" w:hAnsi="Abadi"/>
          <w:sz w:val="21"/>
          <w:szCs w:val="21"/>
        </w:rPr>
        <w:t xml:space="preserve">la participación se pide a la </w:t>
      </w:r>
      <w:r>
        <w:rPr>
          <w:rFonts w:ascii="Abadi" w:hAnsi="Abadi"/>
          <w:sz w:val="21"/>
          <w:szCs w:val="21"/>
        </w:rPr>
        <w:t>S</w:t>
      </w:r>
      <w:r w:rsidRPr="006813AA">
        <w:rPr>
          <w:rFonts w:ascii="Abadi" w:hAnsi="Abadi"/>
          <w:sz w:val="21"/>
          <w:szCs w:val="21"/>
        </w:rPr>
        <w:t xml:space="preserve">ecretaría que proceda a recabar votación nominal de la </w:t>
      </w:r>
      <w:r>
        <w:rPr>
          <w:rFonts w:ascii="Abadi" w:hAnsi="Abadi"/>
          <w:sz w:val="21"/>
          <w:szCs w:val="21"/>
        </w:rPr>
        <w:t>A</w:t>
      </w:r>
      <w:r w:rsidRPr="006813AA">
        <w:rPr>
          <w:rFonts w:ascii="Abadi" w:hAnsi="Abadi"/>
          <w:sz w:val="21"/>
          <w:szCs w:val="21"/>
        </w:rPr>
        <w:t>samblea a través del sistema electrónico a efecto de aprobar</w:t>
      </w:r>
      <w:r>
        <w:rPr>
          <w:rFonts w:ascii="Abadi" w:hAnsi="Abadi"/>
          <w:sz w:val="21"/>
          <w:szCs w:val="21"/>
        </w:rPr>
        <w:t xml:space="preserve">  o no el d</w:t>
      </w:r>
      <w:r w:rsidRPr="006813AA">
        <w:rPr>
          <w:rFonts w:ascii="Abadi" w:hAnsi="Abadi"/>
          <w:sz w:val="21"/>
          <w:szCs w:val="21"/>
        </w:rPr>
        <w:t>ictamen puesto a su consideración</w:t>
      </w:r>
      <w:r>
        <w:rPr>
          <w:rFonts w:ascii="Abadi" w:hAnsi="Abadi"/>
          <w:sz w:val="21"/>
          <w:szCs w:val="21"/>
        </w:rPr>
        <w:t>.</w:t>
      </w:r>
    </w:p>
    <w:p w14:paraId="493B47F1" w14:textId="77777777" w:rsidR="0053549A" w:rsidRDefault="0053549A" w:rsidP="0053549A">
      <w:pPr>
        <w:ind w:firstLine="708"/>
        <w:jc w:val="both"/>
        <w:rPr>
          <w:rFonts w:ascii="Abadi" w:hAnsi="Abadi"/>
          <w:sz w:val="21"/>
          <w:szCs w:val="21"/>
        </w:rPr>
      </w:pPr>
    </w:p>
    <w:p w14:paraId="7E636ED5" w14:textId="0243CDA2" w:rsidR="0053549A" w:rsidRDefault="0053549A" w:rsidP="0053549A">
      <w:pPr>
        <w:jc w:val="both"/>
        <w:rPr>
          <w:rFonts w:ascii="Abadi" w:hAnsi="Abadi"/>
          <w:b/>
          <w:bCs/>
          <w:sz w:val="21"/>
          <w:szCs w:val="21"/>
        </w:rPr>
      </w:pPr>
      <w:r w:rsidRPr="00841A31">
        <w:rPr>
          <w:rFonts w:ascii="Abadi" w:hAnsi="Abadi"/>
          <w:b/>
          <w:bCs/>
          <w:sz w:val="21"/>
          <w:szCs w:val="21"/>
        </w:rPr>
        <w:t>(Abrimos nuestro sistema electrónico)</w:t>
      </w:r>
    </w:p>
    <w:p w14:paraId="7E347499" w14:textId="77777777" w:rsidR="0053549A" w:rsidRPr="00841A31" w:rsidRDefault="0053549A" w:rsidP="0053549A">
      <w:pPr>
        <w:jc w:val="both"/>
        <w:rPr>
          <w:rFonts w:ascii="Abadi" w:hAnsi="Abadi"/>
          <w:b/>
          <w:bCs/>
          <w:sz w:val="21"/>
          <w:szCs w:val="21"/>
        </w:rPr>
      </w:pPr>
    </w:p>
    <w:p w14:paraId="479FCFD3" w14:textId="3D6A0CFE" w:rsidR="0053549A" w:rsidRDefault="0053549A" w:rsidP="0053549A">
      <w:pPr>
        <w:ind w:firstLine="708"/>
        <w:jc w:val="both"/>
        <w:rPr>
          <w:rFonts w:ascii="Abadi" w:hAnsi="Abadi"/>
          <w:sz w:val="21"/>
          <w:szCs w:val="21"/>
        </w:rPr>
      </w:pPr>
      <w:r>
        <w:rPr>
          <w:rFonts w:ascii="Abadi" w:hAnsi="Abadi"/>
          <w:sz w:val="21"/>
          <w:szCs w:val="21"/>
        </w:rPr>
        <w:t>-</w:t>
      </w:r>
      <w:r w:rsidRPr="006813AA">
        <w:rPr>
          <w:rFonts w:ascii="Abadi" w:hAnsi="Abadi"/>
          <w:sz w:val="21"/>
          <w:szCs w:val="21"/>
        </w:rPr>
        <w:t xml:space="preserve"> </w:t>
      </w:r>
      <w:r>
        <w:rPr>
          <w:rFonts w:ascii="Abadi" w:hAnsi="Abadi"/>
          <w:sz w:val="21"/>
          <w:szCs w:val="21"/>
        </w:rPr>
        <w:t>E</w:t>
      </w:r>
      <w:r w:rsidRPr="006813AA">
        <w:rPr>
          <w:rFonts w:ascii="Abadi" w:hAnsi="Abadi"/>
          <w:sz w:val="21"/>
          <w:szCs w:val="21"/>
        </w:rPr>
        <w:t>n votación nominal por el sistema electrónico se pregunta a las diputadas y</w:t>
      </w:r>
      <w:r>
        <w:rPr>
          <w:rFonts w:ascii="Abadi" w:hAnsi="Abadi"/>
          <w:sz w:val="21"/>
          <w:szCs w:val="21"/>
        </w:rPr>
        <w:t xml:space="preserve"> </w:t>
      </w:r>
      <w:r w:rsidRPr="006813AA">
        <w:rPr>
          <w:rFonts w:ascii="Abadi" w:hAnsi="Abadi"/>
          <w:sz w:val="21"/>
          <w:szCs w:val="21"/>
        </w:rPr>
        <w:t>los diputados si se aprueba el dictamen puesto tu consideración</w:t>
      </w:r>
      <w:r>
        <w:rPr>
          <w:rFonts w:ascii="Abadi" w:hAnsi="Abadi"/>
          <w:sz w:val="21"/>
          <w:szCs w:val="21"/>
        </w:rPr>
        <w:t>.</w:t>
      </w:r>
    </w:p>
    <w:p w14:paraId="28813CF9" w14:textId="77777777" w:rsidR="0053549A" w:rsidRPr="006813AA" w:rsidRDefault="0053549A" w:rsidP="0053549A">
      <w:pPr>
        <w:ind w:firstLine="708"/>
        <w:jc w:val="both"/>
        <w:rPr>
          <w:rFonts w:ascii="Abadi" w:hAnsi="Abadi"/>
          <w:sz w:val="21"/>
          <w:szCs w:val="21"/>
        </w:rPr>
      </w:pPr>
    </w:p>
    <w:p w14:paraId="58F4A19A" w14:textId="010CE7FD" w:rsidR="0053549A" w:rsidRDefault="0053549A" w:rsidP="0053549A">
      <w:pPr>
        <w:jc w:val="both"/>
        <w:rPr>
          <w:rFonts w:ascii="Abadi" w:hAnsi="Abadi"/>
          <w:sz w:val="21"/>
          <w:szCs w:val="21"/>
        </w:rPr>
      </w:pPr>
      <w:r>
        <w:rPr>
          <w:rFonts w:ascii="Abadi" w:hAnsi="Abadi"/>
          <w:sz w:val="21"/>
          <w:szCs w:val="21"/>
        </w:rPr>
        <w:t>¿</w:t>
      </w:r>
      <w:r w:rsidRPr="006813AA">
        <w:rPr>
          <w:rFonts w:ascii="Abadi" w:hAnsi="Abadi"/>
          <w:sz w:val="21"/>
          <w:szCs w:val="21"/>
        </w:rPr>
        <w:t>Falta alguna diputada o algún diputado de emitir su voto</w:t>
      </w:r>
      <w:r>
        <w:rPr>
          <w:rFonts w:ascii="Abadi" w:hAnsi="Abadi"/>
          <w:sz w:val="21"/>
          <w:szCs w:val="21"/>
        </w:rPr>
        <w:t>?</w:t>
      </w:r>
      <w:r w:rsidRPr="006813AA">
        <w:rPr>
          <w:rFonts w:ascii="Abadi" w:hAnsi="Abadi"/>
          <w:sz w:val="21"/>
          <w:szCs w:val="21"/>
        </w:rPr>
        <w:t xml:space="preserve"> </w:t>
      </w:r>
    </w:p>
    <w:p w14:paraId="672C8BFB" w14:textId="77777777" w:rsidR="0053549A" w:rsidRDefault="0053549A" w:rsidP="0053549A">
      <w:pPr>
        <w:jc w:val="both"/>
        <w:rPr>
          <w:rFonts w:ascii="Abadi" w:hAnsi="Abadi"/>
          <w:sz w:val="21"/>
          <w:szCs w:val="21"/>
        </w:rPr>
      </w:pPr>
    </w:p>
    <w:p w14:paraId="3BE86384" w14:textId="77777777" w:rsidR="0053549A" w:rsidRDefault="0053549A" w:rsidP="0053549A">
      <w:pPr>
        <w:jc w:val="both"/>
        <w:rPr>
          <w:rFonts w:ascii="Abadi" w:hAnsi="Abadi"/>
          <w:b/>
          <w:bCs/>
          <w:sz w:val="21"/>
          <w:szCs w:val="21"/>
        </w:rPr>
      </w:pPr>
      <w:r w:rsidRPr="008F755E">
        <w:rPr>
          <w:rFonts w:ascii="Abadi" w:hAnsi="Abadi"/>
          <w:b/>
          <w:bCs/>
          <w:sz w:val="21"/>
          <w:szCs w:val="21"/>
        </w:rPr>
        <w:t>(Cerramos</w:t>
      </w:r>
      <w:r>
        <w:rPr>
          <w:rFonts w:ascii="Abadi" w:hAnsi="Abadi"/>
          <w:b/>
          <w:bCs/>
          <w:sz w:val="21"/>
          <w:szCs w:val="21"/>
        </w:rPr>
        <w:t xml:space="preserve"> </w:t>
      </w:r>
      <w:r w:rsidRPr="008F755E">
        <w:rPr>
          <w:rFonts w:ascii="Abadi" w:hAnsi="Abadi"/>
          <w:b/>
          <w:bCs/>
          <w:sz w:val="21"/>
          <w:szCs w:val="21"/>
        </w:rPr>
        <w:t>sistema electronico)</w:t>
      </w:r>
    </w:p>
    <w:p w14:paraId="5D3E9F3C" w14:textId="77777777" w:rsidR="0053549A" w:rsidRPr="008F755E" w:rsidRDefault="0053549A" w:rsidP="0053549A">
      <w:pPr>
        <w:jc w:val="both"/>
        <w:rPr>
          <w:rFonts w:ascii="Abadi" w:hAnsi="Abadi"/>
          <w:b/>
          <w:bCs/>
          <w:sz w:val="21"/>
          <w:szCs w:val="21"/>
        </w:rPr>
      </w:pPr>
      <w:r>
        <w:rPr>
          <w:noProof/>
        </w:rPr>
        <w:drawing>
          <wp:inline distT="0" distB="0" distL="0" distR="0" wp14:anchorId="752C84DD" wp14:editId="5CAFBE0D">
            <wp:extent cx="1755116" cy="908227"/>
            <wp:effectExtent l="323850" t="323850" r="321945" b="33020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b="7960"/>
                    <a:stretch/>
                  </pic:blipFill>
                  <pic:spPr bwMode="auto">
                    <a:xfrm>
                      <a:off x="0" y="0"/>
                      <a:ext cx="1765937" cy="913826"/>
                    </a:xfrm>
                    <a:prstGeom prst="rect">
                      <a:avLst/>
                    </a:prstGeom>
                    <a:ln w="88900" cap="sq" cmpd="thickThin">
                      <a:solidFill>
                        <a:srgbClr val="000000"/>
                      </a:solidFill>
                      <a:prstDash val="solid"/>
                      <a:miter lim="800000"/>
                    </a:ln>
                    <a:effectLst>
                      <a:glow rad="228600">
                        <a:schemeClr val="accent3">
                          <a:satMod val="1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466FAA4C" w14:textId="3303096E" w:rsidR="0053549A" w:rsidRDefault="0053549A" w:rsidP="0053549A">
      <w:pPr>
        <w:jc w:val="both"/>
        <w:rPr>
          <w:rFonts w:ascii="Abadi" w:hAnsi="Abadi"/>
          <w:sz w:val="21"/>
          <w:szCs w:val="21"/>
        </w:rPr>
      </w:pPr>
      <w:r w:rsidRPr="005955A6">
        <w:rPr>
          <w:rFonts w:ascii="Abadi" w:hAnsi="Abadi"/>
          <w:b/>
          <w:bCs/>
          <w:sz w:val="21"/>
          <w:szCs w:val="21"/>
        </w:rPr>
        <w:t>(Voz) diputado David</w:t>
      </w:r>
      <w:r>
        <w:rPr>
          <w:rFonts w:ascii="Abadi" w:hAnsi="Abadi"/>
          <w:sz w:val="21"/>
          <w:szCs w:val="21"/>
        </w:rPr>
        <w:t xml:space="preserve">, ¡haber! Yo, yo pedí la palabra, </w:t>
      </w:r>
      <w:r w:rsidRPr="002012D4">
        <w:rPr>
          <w:rFonts w:ascii="Abadi" w:hAnsi="Abadi"/>
          <w:b/>
          <w:bCs/>
          <w:sz w:val="21"/>
          <w:szCs w:val="21"/>
        </w:rPr>
        <w:t>(Voz) diputado Presidente</w:t>
      </w:r>
      <w:r w:rsidRPr="00DC298E">
        <w:rPr>
          <w:rFonts w:ascii="Abadi" w:hAnsi="Abadi"/>
          <w:sz w:val="21"/>
          <w:szCs w:val="21"/>
        </w:rPr>
        <w:t>, ¡perdón!</w:t>
      </w:r>
      <w:r>
        <w:rPr>
          <w:rFonts w:ascii="Abadi" w:hAnsi="Abadi"/>
          <w:sz w:val="21"/>
          <w:szCs w:val="21"/>
        </w:rPr>
        <w:t xml:space="preserve"> diputado David, </w:t>
      </w:r>
      <w:r w:rsidRPr="005955A6">
        <w:rPr>
          <w:rFonts w:ascii="Abadi" w:hAnsi="Abadi"/>
          <w:b/>
          <w:bCs/>
          <w:sz w:val="21"/>
          <w:szCs w:val="21"/>
        </w:rPr>
        <w:t>(Voz) diputado David</w:t>
      </w:r>
      <w:r>
        <w:rPr>
          <w:rFonts w:ascii="Abadi" w:hAnsi="Abadi"/>
          <w:b/>
          <w:bCs/>
          <w:sz w:val="21"/>
          <w:szCs w:val="21"/>
        </w:rPr>
        <w:t xml:space="preserve"> </w:t>
      </w:r>
      <w:r w:rsidRPr="005955A6">
        <w:rPr>
          <w:rFonts w:ascii="Abadi" w:hAnsi="Abadi"/>
          <w:b/>
          <w:bCs/>
          <w:sz w:val="21"/>
          <w:szCs w:val="21"/>
        </w:rPr>
        <w:t>Mendizabal,</w:t>
      </w:r>
      <w:r>
        <w:rPr>
          <w:rFonts w:ascii="Abadi" w:hAnsi="Abadi"/>
          <w:sz w:val="21"/>
          <w:szCs w:val="21"/>
        </w:rPr>
        <w:t xml:space="preserve"> para razonar mi voto, </w:t>
      </w:r>
      <w:r w:rsidRPr="00A507A0">
        <w:rPr>
          <w:rFonts w:ascii="Abadi" w:hAnsi="Abadi"/>
          <w:b/>
          <w:bCs/>
          <w:sz w:val="21"/>
          <w:szCs w:val="21"/>
        </w:rPr>
        <w:t>(Voz) diputado Presidente</w:t>
      </w:r>
      <w:r>
        <w:rPr>
          <w:rFonts w:ascii="Abadi" w:hAnsi="Abadi"/>
          <w:sz w:val="21"/>
          <w:szCs w:val="21"/>
        </w:rPr>
        <w:t>, adelante diputado David, ¡una disculpa!</w:t>
      </w:r>
    </w:p>
    <w:p w14:paraId="168D9FD3" w14:textId="77777777" w:rsidR="0053549A" w:rsidRDefault="0053549A" w:rsidP="0053549A">
      <w:pPr>
        <w:jc w:val="both"/>
        <w:rPr>
          <w:rFonts w:ascii="Abadi" w:hAnsi="Abadi"/>
          <w:sz w:val="21"/>
          <w:szCs w:val="21"/>
        </w:rPr>
      </w:pPr>
    </w:p>
    <w:p w14:paraId="44E4F5DC" w14:textId="77777777" w:rsidR="0053549A" w:rsidRDefault="0053549A" w:rsidP="0053549A">
      <w:pPr>
        <w:jc w:val="both"/>
        <w:rPr>
          <w:rFonts w:ascii="Abadi" w:hAnsi="Abadi"/>
          <w:sz w:val="21"/>
          <w:szCs w:val="21"/>
        </w:rPr>
      </w:pPr>
      <w:r w:rsidRPr="00D2342B">
        <w:rPr>
          <w:rFonts w:ascii="Abadi" w:hAnsi="Abadi"/>
          <w:b/>
          <w:bCs/>
          <w:sz w:val="21"/>
          <w:szCs w:val="21"/>
        </w:rPr>
        <w:t>(Razona su voto el diputado David Martínez</w:t>
      </w:r>
      <w:r>
        <w:rPr>
          <w:rFonts w:ascii="Abadi" w:hAnsi="Abadi"/>
          <w:sz w:val="21"/>
          <w:szCs w:val="21"/>
        </w:rPr>
        <w:t>)</w:t>
      </w:r>
    </w:p>
    <w:p w14:paraId="1EB8C101" w14:textId="5D1ADFAC" w:rsidR="0053549A" w:rsidRDefault="0053549A" w:rsidP="0053549A">
      <w:pPr>
        <w:jc w:val="both"/>
        <w:rPr>
          <w:rFonts w:ascii="Abadi" w:hAnsi="Abadi"/>
          <w:sz w:val="21"/>
          <w:szCs w:val="21"/>
        </w:rPr>
      </w:pPr>
      <w:r>
        <w:rPr>
          <w:rFonts w:ascii="Abadi" w:hAnsi="Abadi"/>
          <w:sz w:val="21"/>
          <w:szCs w:val="21"/>
        </w:rPr>
        <w:t xml:space="preserve">- Por su puesto estamos de acuerdo en la transversalización </w:t>
      </w:r>
      <w:r w:rsidRPr="006813AA">
        <w:rPr>
          <w:rFonts w:ascii="Abadi" w:hAnsi="Abadi"/>
          <w:sz w:val="21"/>
          <w:szCs w:val="21"/>
        </w:rPr>
        <w:t>de la perspectiva de género en todos los políticas de programas públicas es una perspectiva que ha sido construida desde la izquierda entonces acompañamos totalmente</w:t>
      </w:r>
      <w:r>
        <w:rPr>
          <w:rFonts w:ascii="Abadi" w:hAnsi="Abadi"/>
          <w:sz w:val="21"/>
          <w:szCs w:val="21"/>
        </w:rPr>
        <w:t>.</w:t>
      </w:r>
    </w:p>
    <w:p w14:paraId="6B03B95A" w14:textId="77777777" w:rsidR="0053549A" w:rsidRDefault="0053549A" w:rsidP="0053549A">
      <w:pPr>
        <w:jc w:val="both"/>
        <w:rPr>
          <w:rFonts w:ascii="Abadi" w:hAnsi="Abadi"/>
          <w:sz w:val="21"/>
          <w:szCs w:val="21"/>
        </w:rPr>
      </w:pPr>
    </w:p>
    <w:p w14:paraId="30D1132A" w14:textId="08EA92CE" w:rsidR="0053549A" w:rsidRDefault="0053549A" w:rsidP="0053549A">
      <w:pPr>
        <w:jc w:val="both"/>
        <w:rPr>
          <w:rFonts w:ascii="Abadi" w:hAnsi="Abadi"/>
          <w:sz w:val="21"/>
          <w:szCs w:val="21"/>
        </w:rPr>
      </w:pPr>
      <w:r>
        <w:rPr>
          <w:rFonts w:ascii="Abadi" w:hAnsi="Abadi"/>
          <w:sz w:val="21"/>
          <w:szCs w:val="21"/>
        </w:rPr>
        <w:t>- L</w:t>
      </w:r>
      <w:r w:rsidRPr="006813AA">
        <w:rPr>
          <w:rFonts w:ascii="Abadi" w:hAnsi="Abadi"/>
          <w:sz w:val="21"/>
          <w:szCs w:val="21"/>
        </w:rPr>
        <w:t>o que quiero señalar solamente del título del capítulo cuarto dice de la perspectiva de familia y el fortalecimiento familiar</w:t>
      </w:r>
      <w:r>
        <w:rPr>
          <w:rFonts w:ascii="Abadi" w:hAnsi="Abadi"/>
          <w:sz w:val="21"/>
          <w:szCs w:val="21"/>
        </w:rPr>
        <w:t>,</w:t>
      </w:r>
      <w:r w:rsidRPr="006813AA">
        <w:rPr>
          <w:rFonts w:ascii="Abadi" w:hAnsi="Abadi"/>
          <w:sz w:val="21"/>
          <w:szCs w:val="21"/>
        </w:rPr>
        <w:t xml:space="preserve"> creo que es evidente la importancia de la familia como concepto y de las familias como fenómeno social</w:t>
      </w:r>
      <w:r>
        <w:rPr>
          <w:rFonts w:ascii="Abadi" w:hAnsi="Abadi"/>
          <w:sz w:val="21"/>
          <w:szCs w:val="21"/>
        </w:rPr>
        <w:t>,</w:t>
      </w:r>
      <w:r w:rsidRPr="006813AA">
        <w:rPr>
          <w:rFonts w:ascii="Abadi" w:hAnsi="Abadi"/>
          <w:sz w:val="21"/>
          <w:szCs w:val="21"/>
        </w:rPr>
        <w:t xml:space="preserve"> para el bienestar de las comunidades</w:t>
      </w:r>
      <w:r>
        <w:rPr>
          <w:rFonts w:ascii="Abadi" w:hAnsi="Abadi"/>
          <w:sz w:val="21"/>
          <w:szCs w:val="21"/>
        </w:rPr>
        <w:t>,</w:t>
      </w:r>
      <w:r w:rsidRPr="006813AA">
        <w:rPr>
          <w:rFonts w:ascii="Abadi" w:hAnsi="Abadi"/>
          <w:sz w:val="21"/>
          <w:szCs w:val="21"/>
        </w:rPr>
        <w:t xml:space="preserve"> lo que quiero señalar solamente es</w:t>
      </w:r>
      <w:r>
        <w:rPr>
          <w:rFonts w:ascii="Abadi" w:hAnsi="Abadi"/>
          <w:sz w:val="21"/>
          <w:szCs w:val="21"/>
        </w:rPr>
        <w:t xml:space="preserve"> q</w:t>
      </w:r>
      <w:r w:rsidRPr="006813AA">
        <w:rPr>
          <w:rFonts w:ascii="Abadi" w:hAnsi="Abadi"/>
          <w:sz w:val="21"/>
          <w:szCs w:val="21"/>
        </w:rPr>
        <w:t>ue yo vote a favor pero entiendo que la familia es concepto</w:t>
      </w:r>
      <w:r>
        <w:rPr>
          <w:rFonts w:ascii="Abadi" w:hAnsi="Abadi"/>
          <w:sz w:val="21"/>
          <w:szCs w:val="21"/>
        </w:rPr>
        <w:t>,</w:t>
      </w:r>
      <w:r w:rsidRPr="006813AA">
        <w:rPr>
          <w:rFonts w:ascii="Abadi" w:hAnsi="Abadi"/>
          <w:sz w:val="21"/>
          <w:szCs w:val="21"/>
        </w:rPr>
        <w:t xml:space="preserve"> pero se refiere a la diversidad de familias</w:t>
      </w:r>
      <w:r>
        <w:rPr>
          <w:rFonts w:ascii="Abadi" w:hAnsi="Abadi"/>
          <w:sz w:val="21"/>
          <w:szCs w:val="21"/>
        </w:rPr>
        <w:t>,</w:t>
      </w:r>
      <w:r w:rsidRPr="006813AA">
        <w:rPr>
          <w:rFonts w:ascii="Abadi" w:hAnsi="Abadi"/>
          <w:sz w:val="21"/>
          <w:szCs w:val="21"/>
        </w:rPr>
        <w:t xml:space="preserve"> a la familia hombre</w:t>
      </w:r>
      <w:r>
        <w:rPr>
          <w:rFonts w:ascii="Abadi" w:hAnsi="Abadi"/>
          <w:sz w:val="21"/>
          <w:szCs w:val="21"/>
        </w:rPr>
        <w:t>,</w:t>
      </w:r>
      <w:r w:rsidRPr="006813AA">
        <w:rPr>
          <w:rFonts w:ascii="Abadi" w:hAnsi="Abadi"/>
          <w:sz w:val="21"/>
          <w:szCs w:val="21"/>
        </w:rPr>
        <w:t xml:space="preserve"> hombre a la familia mujer</w:t>
      </w:r>
      <w:r>
        <w:rPr>
          <w:rFonts w:ascii="Abadi" w:hAnsi="Abadi"/>
          <w:sz w:val="21"/>
          <w:szCs w:val="21"/>
        </w:rPr>
        <w:t xml:space="preserve">, </w:t>
      </w:r>
      <w:r w:rsidRPr="006813AA">
        <w:rPr>
          <w:rFonts w:ascii="Abadi" w:hAnsi="Abadi"/>
          <w:sz w:val="21"/>
          <w:szCs w:val="21"/>
        </w:rPr>
        <w:t xml:space="preserve">mujer a la familia con un solo dotador de </w:t>
      </w:r>
      <w:r>
        <w:rPr>
          <w:rFonts w:ascii="Abadi" w:hAnsi="Abadi"/>
          <w:sz w:val="21"/>
          <w:szCs w:val="21"/>
        </w:rPr>
        <w:t xml:space="preserve">recursos para el hogar, a las familias diversas las familias extendidas ¿no? entonces en ese sentido entonces vote que las familias, </w:t>
      </w:r>
      <w:r w:rsidRPr="006813AA">
        <w:rPr>
          <w:rFonts w:ascii="Abadi" w:hAnsi="Abadi"/>
          <w:sz w:val="21"/>
          <w:szCs w:val="21"/>
        </w:rPr>
        <w:t>diversas a las familias extendidas entonces en ese sentido por eso voté entendiendo que la familia es un concepto pero la operati</w:t>
      </w:r>
      <w:r>
        <w:rPr>
          <w:rFonts w:ascii="Abadi" w:hAnsi="Abadi"/>
          <w:sz w:val="21"/>
          <w:szCs w:val="21"/>
        </w:rPr>
        <w:t xml:space="preserve">vización del </w:t>
      </w:r>
      <w:r w:rsidRPr="006813AA">
        <w:rPr>
          <w:rFonts w:ascii="Abadi" w:hAnsi="Abadi"/>
          <w:sz w:val="21"/>
          <w:szCs w:val="21"/>
        </w:rPr>
        <w:t>concepto familia abarca todos incluyendo las familias de la diversidad sexual</w:t>
      </w:r>
      <w:r>
        <w:rPr>
          <w:rFonts w:ascii="Abadi" w:hAnsi="Abadi"/>
          <w:sz w:val="21"/>
          <w:szCs w:val="21"/>
        </w:rPr>
        <w:t>.</w:t>
      </w:r>
    </w:p>
    <w:p w14:paraId="2A0EABE6" w14:textId="77777777" w:rsidR="0053549A" w:rsidRDefault="0053549A" w:rsidP="0053549A">
      <w:pPr>
        <w:jc w:val="both"/>
        <w:rPr>
          <w:rFonts w:ascii="Abadi" w:hAnsi="Abadi"/>
          <w:sz w:val="21"/>
          <w:szCs w:val="21"/>
        </w:rPr>
      </w:pPr>
    </w:p>
    <w:p w14:paraId="5FD8F6E4" w14:textId="77777777" w:rsidR="0053549A" w:rsidRDefault="0053549A" w:rsidP="0053549A">
      <w:pPr>
        <w:jc w:val="both"/>
        <w:rPr>
          <w:rFonts w:ascii="Abadi" w:hAnsi="Abadi"/>
          <w:sz w:val="21"/>
          <w:szCs w:val="21"/>
        </w:rPr>
      </w:pPr>
      <w:r>
        <w:rPr>
          <w:rFonts w:ascii="Abadi" w:hAnsi="Abadi"/>
          <w:sz w:val="21"/>
          <w:szCs w:val="21"/>
        </w:rPr>
        <w:t>- G</w:t>
      </w:r>
      <w:r w:rsidRPr="006813AA">
        <w:rPr>
          <w:rFonts w:ascii="Abadi" w:hAnsi="Abadi"/>
          <w:sz w:val="21"/>
          <w:szCs w:val="21"/>
        </w:rPr>
        <w:t xml:space="preserve">racias </w:t>
      </w:r>
      <w:r>
        <w:rPr>
          <w:rFonts w:ascii="Abadi" w:hAnsi="Abadi"/>
          <w:sz w:val="21"/>
          <w:szCs w:val="21"/>
        </w:rPr>
        <w:t>S</w:t>
      </w:r>
      <w:r w:rsidRPr="006813AA">
        <w:rPr>
          <w:rFonts w:ascii="Abadi" w:hAnsi="Abadi"/>
          <w:sz w:val="21"/>
          <w:szCs w:val="21"/>
        </w:rPr>
        <w:t>eñor Presidente</w:t>
      </w:r>
      <w:r>
        <w:rPr>
          <w:rFonts w:ascii="Abadi" w:hAnsi="Abadi"/>
          <w:sz w:val="21"/>
          <w:szCs w:val="21"/>
        </w:rPr>
        <w:t>.</w:t>
      </w:r>
    </w:p>
    <w:p w14:paraId="2184715B" w14:textId="5685F356" w:rsidR="0053549A" w:rsidRDefault="0053549A" w:rsidP="0053549A">
      <w:pPr>
        <w:ind w:firstLine="708"/>
        <w:jc w:val="both"/>
        <w:rPr>
          <w:rFonts w:ascii="Abadi" w:hAnsi="Abadi"/>
          <w:sz w:val="21"/>
          <w:szCs w:val="21"/>
        </w:rPr>
      </w:pPr>
      <w:r w:rsidRPr="00196094">
        <w:rPr>
          <w:rFonts w:ascii="Abadi" w:hAnsi="Abadi"/>
          <w:b/>
          <w:bCs/>
          <w:sz w:val="21"/>
          <w:szCs w:val="21"/>
        </w:rPr>
        <w:t>- El Secretario.-</w:t>
      </w:r>
      <w:r>
        <w:rPr>
          <w:rFonts w:ascii="Abadi" w:hAnsi="Abadi"/>
          <w:sz w:val="21"/>
          <w:szCs w:val="21"/>
        </w:rPr>
        <w:t xml:space="preserve"> </w:t>
      </w:r>
      <w:r w:rsidRPr="006813AA">
        <w:rPr>
          <w:rFonts w:ascii="Abadi" w:hAnsi="Abadi"/>
          <w:sz w:val="21"/>
          <w:szCs w:val="21"/>
        </w:rPr>
        <w:t xml:space="preserve"> </w:t>
      </w:r>
      <w:r>
        <w:rPr>
          <w:rFonts w:ascii="Abadi" w:hAnsi="Abadi"/>
          <w:sz w:val="21"/>
          <w:szCs w:val="21"/>
        </w:rPr>
        <w:t>S</w:t>
      </w:r>
      <w:r w:rsidRPr="006813AA">
        <w:rPr>
          <w:rFonts w:ascii="Abadi" w:hAnsi="Abadi"/>
          <w:sz w:val="21"/>
          <w:szCs w:val="21"/>
        </w:rPr>
        <w:t>e registraron 33 votos a favor</w:t>
      </w:r>
      <w:r>
        <w:rPr>
          <w:rFonts w:ascii="Abadi" w:hAnsi="Abadi"/>
          <w:sz w:val="21"/>
          <w:szCs w:val="21"/>
        </w:rPr>
        <w:t>.</w:t>
      </w:r>
    </w:p>
    <w:p w14:paraId="6BD518C2" w14:textId="77777777" w:rsidR="0053549A" w:rsidRDefault="0053549A" w:rsidP="0053549A">
      <w:pPr>
        <w:ind w:firstLine="708"/>
        <w:jc w:val="both"/>
        <w:rPr>
          <w:rFonts w:ascii="Abadi" w:hAnsi="Abadi"/>
          <w:sz w:val="21"/>
          <w:szCs w:val="21"/>
        </w:rPr>
      </w:pPr>
    </w:p>
    <w:p w14:paraId="70FD7271" w14:textId="0FE55FD6" w:rsidR="0053549A" w:rsidRDefault="0053549A" w:rsidP="0053549A">
      <w:pPr>
        <w:ind w:firstLine="708"/>
        <w:jc w:val="both"/>
        <w:rPr>
          <w:rFonts w:ascii="Abadi" w:hAnsi="Abadi"/>
          <w:sz w:val="21"/>
          <w:szCs w:val="21"/>
        </w:rPr>
      </w:pPr>
      <w:r w:rsidRPr="000A3B12">
        <w:rPr>
          <w:rFonts w:ascii="Abadi" w:hAnsi="Abadi"/>
          <w:b/>
          <w:bCs/>
          <w:sz w:val="21"/>
          <w:szCs w:val="21"/>
        </w:rPr>
        <w:t>- El Presidente.-</w:t>
      </w:r>
      <w:r>
        <w:rPr>
          <w:rFonts w:ascii="Abadi" w:hAnsi="Abadi"/>
          <w:sz w:val="21"/>
          <w:szCs w:val="21"/>
        </w:rPr>
        <w:t xml:space="preserve"> El </w:t>
      </w:r>
      <w:r w:rsidRPr="006813AA">
        <w:rPr>
          <w:rFonts w:ascii="Abadi" w:hAnsi="Abadi"/>
          <w:sz w:val="21"/>
          <w:szCs w:val="21"/>
        </w:rPr>
        <w:t>dictamen ha sido aprobado por unanimidad de votos</w:t>
      </w:r>
      <w:r>
        <w:rPr>
          <w:rFonts w:ascii="Abadi" w:hAnsi="Abadi"/>
          <w:sz w:val="21"/>
          <w:szCs w:val="21"/>
        </w:rPr>
        <w:t>.</w:t>
      </w:r>
    </w:p>
    <w:p w14:paraId="6D9A60F1" w14:textId="77777777" w:rsidR="0053549A" w:rsidRDefault="0053549A" w:rsidP="0053549A">
      <w:pPr>
        <w:ind w:firstLine="708"/>
        <w:jc w:val="both"/>
        <w:rPr>
          <w:rFonts w:ascii="Abadi" w:hAnsi="Abadi"/>
          <w:sz w:val="21"/>
          <w:szCs w:val="21"/>
        </w:rPr>
      </w:pPr>
    </w:p>
    <w:p w14:paraId="461C56B5" w14:textId="77777777" w:rsidR="0053549A" w:rsidRPr="00101386" w:rsidRDefault="0053549A" w:rsidP="0053549A">
      <w:pPr>
        <w:ind w:left="709" w:right="709"/>
        <w:jc w:val="both"/>
        <w:rPr>
          <w:rFonts w:ascii="Abadi" w:hAnsi="Abadi"/>
          <w:b/>
          <w:bCs/>
          <w:i/>
          <w:iCs/>
          <w:sz w:val="21"/>
          <w:szCs w:val="21"/>
          <w:u w:val="single"/>
        </w:rPr>
      </w:pPr>
      <w:r w:rsidRPr="00101386">
        <w:rPr>
          <w:rFonts w:ascii="Abadi" w:hAnsi="Abadi"/>
          <w:b/>
          <w:bCs/>
          <w:i/>
          <w:iCs/>
          <w:sz w:val="21"/>
          <w:szCs w:val="21"/>
          <w:u w:val="single"/>
        </w:rPr>
        <w:t xml:space="preserve">Remítase al </w:t>
      </w:r>
      <w:r>
        <w:rPr>
          <w:rFonts w:ascii="Abadi" w:hAnsi="Abadi"/>
          <w:b/>
          <w:bCs/>
          <w:i/>
          <w:iCs/>
          <w:sz w:val="21"/>
          <w:szCs w:val="21"/>
          <w:u w:val="single"/>
        </w:rPr>
        <w:t>E</w:t>
      </w:r>
      <w:r w:rsidRPr="00101386">
        <w:rPr>
          <w:rFonts w:ascii="Abadi" w:hAnsi="Abadi"/>
          <w:b/>
          <w:bCs/>
          <w:i/>
          <w:iCs/>
          <w:sz w:val="21"/>
          <w:szCs w:val="21"/>
          <w:u w:val="single"/>
        </w:rPr>
        <w:t xml:space="preserve">jecutivo del </w:t>
      </w:r>
      <w:r>
        <w:rPr>
          <w:rFonts w:ascii="Abadi" w:hAnsi="Abadi"/>
          <w:b/>
          <w:bCs/>
          <w:i/>
          <w:iCs/>
          <w:sz w:val="21"/>
          <w:szCs w:val="21"/>
          <w:u w:val="single"/>
        </w:rPr>
        <w:t>E</w:t>
      </w:r>
      <w:r w:rsidRPr="00101386">
        <w:rPr>
          <w:rFonts w:ascii="Abadi" w:hAnsi="Abadi"/>
          <w:b/>
          <w:bCs/>
          <w:i/>
          <w:iCs/>
          <w:sz w:val="21"/>
          <w:szCs w:val="21"/>
          <w:u w:val="single"/>
        </w:rPr>
        <w:t>stado el decreto aprobado para los efectos constitucionales de su competencia.</w:t>
      </w:r>
    </w:p>
    <w:p w14:paraId="05187E6C" w14:textId="77777777" w:rsidR="00324F31" w:rsidRDefault="00324F31" w:rsidP="00EA2D06">
      <w:pPr>
        <w:widowControl w:val="0"/>
        <w:jc w:val="both"/>
        <w:rPr>
          <w:rFonts w:ascii="Abadi" w:hAnsi="Abadi" w:cs="Tahoma"/>
          <w:b/>
          <w:sz w:val="21"/>
          <w:szCs w:val="21"/>
          <w:lang w:val="es-MX"/>
        </w:rPr>
      </w:pPr>
    </w:p>
    <w:p w14:paraId="39FC7C34" w14:textId="77777777" w:rsidR="004C763C" w:rsidRPr="004C763C" w:rsidRDefault="004C763C" w:rsidP="00EA2D06">
      <w:pPr>
        <w:autoSpaceDE w:val="0"/>
        <w:autoSpaceDN w:val="0"/>
        <w:adjustRightInd w:val="0"/>
        <w:contextualSpacing/>
        <w:jc w:val="both"/>
        <w:rPr>
          <w:rFonts w:ascii="Abadi" w:hAnsi="Abadi" w:cs="Arial-ItalicMT"/>
          <w:b/>
          <w:bCs/>
          <w:i/>
          <w:iCs/>
          <w:sz w:val="20"/>
          <w:szCs w:val="21"/>
        </w:rPr>
      </w:pPr>
    </w:p>
    <w:p w14:paraId="33A4BDEE" w14:textId="77777777" w:rsidR="00E462B6" w:rsidRPr="0028553C" w:rsidRDefault="00E462B6" w:rsidP="00EA2D06">
      <w:pPr>
        <w:pStyle w:val="Prrafodelista"/>
        <w:numPr>
          <w:ilvl w:val="0"/>
          <w:numId w:val="14"/>
        </w:numPr>
        <w:autoSpaceDE w:val="0"/>
        <w:autoSpaceDN w:val="0"/>
        <w:adjustRightInd w:val="0"/>
        <w:contextualSpacing/>
        <w:jc w:val="both"/>
        <w:rPr>
          <w:rFonts w:ascii="Abadi" w:hAnsi="Abadi" w:cs="ArialMT"/>
          <w:b/>
          <w:bCs/>
          <w:sz w:val="20"/>
          <w:szCs w:val="21"/>
        </w:rPr>
      </w:pPr>
      <w:r w:rsidRPr="0028553C">
        <w:rPr>
          <w:rFonts w:ascii="Abadi" w:hAnsi="Abadi" w:cs="ArialMT"/>
          <w:b/>
          <w:bCs/>
          <w:sz w:val="20"/>
          <w:szCs w:val="21"/>
        </w:rPr>
        <w:t>DISCUSIÓN Y, EN SU CASO, APROBACIÓN DEL DICTAMEN SUSCRITO POR LA COMISIÓN DE GOBERNACIÓN Y PUNTOS CONSTITUCIONALES RELATIVO A LAS INICIATIVAS, LA PRIMERA SUSCRITA POR EL DIPUTADO JUAN ELIAS CHÁVEZ DE LA REPRESENTACIÓN PARLAMENTARIA DEL PARTIDO NUEVA ALIANZA, A EFECTO DE REFORMAR LA FRACCIÓN II DEL ARTÍCULO 23, Y ADICIONAR LOS ARTÍCULOS 23 QUÁTER, 23 QUINQUIES, RECORRIÉNDOSE EN SU ORDEN EL ACTUAL ARTÍCULO 23 QUÁTER PARA PASAR A SER 23 SEXIES, LAS FRACCIONES XII Y XIII DEL ARTÍCULO 46 DE LA LEY DEL TRABAJO DE LOS SERVIDORES PÚBLICOS AL SERVICIO DEL ESTADO Y DE LOS MUNICIPIOS ANTE LA SEXAGÉSIMA CUARTA LEGISLATURA, Y, LA SEGUNDA SUSCRITA POR DIPUTADAS Y DIPUTADOS INTEGRANTES DEL GRUPO PARLAMENTARIO DEL PARTIDO ACCIÓN NACIONAL POR LA QUE SE ADICIONA UN ARTÍCULO 22 BIS Y UNA FRACCIÓN XII AL ARTÍCULO 46 DE LA LEY DEL TRABAJO DE LOS SERVIDORES PÚBLICOS AL SERVICIO DEL ESTADO Y DE LOS MUNICIPIOS.</w:t>
      </w:r>
    </w:p>
    <w:p w14:paraId="52172CA0" w14:textId="4D18683D" w:rsidR="00E462B6" w:rsidRDefault="00E462B6" w:rsidP="00EA2D06">
      <w:pPr>
        <w:autoSpaceDE w:val="0"/>
        <w:autoSpaceDN w:val="0"/>
        <w:adjustRightInd w:val="0"/>
        <w:jc w:val="both"/>
        <w:rPr>
          <w:rFonts w:ascii="Abadi" w:hAnsi="Abadi" w:cs="ArialMT"/>
          <w:sz w:val="20"/>
          <w:szCs w:val="21"/>
        </w:rPr>
      </w:pPr>
    </w:p>
    <w:p w14:paraId="7B1965B8" w14:textId="77777777" w:rsidR="009F6ED0" w:rsidRPr="009F6ED0" w:rsidRDefault="009F6ED0" w:rsidP="00EA2D06">
      <w:pPr>
        <w:widowControl w:val="0"/>
        <w:jc w:val="both"/>
        <w:rPr>
          <w:rFonts w:ascii="Abadi" w:hAnsi="Abadi" w:cs="Arial"/>
          <w:b/>
          <w:sz w:val="21"/>
          <w:szCs w:val="21"/>
        </w:rPr>
      </w:pPr>
      <w:r w:rsidRPr="009F6ED0">
        <w:rPr>
          <w:rFonts w:ascii="Abadi" w:hAnsi="Abadi" w:cs="Arial"/>
          <w:b/>
          <w:sz w:val="21"/>
          <w:szCs w:val="21"/>
        </w:rPr>
        <w:t>C. DIPUTADO PRESIDENTE DEL CONGRESO DEL ESTADO</w:t>
      </w:r>
    </w:p>
    <w:p w14:paraId="18604553" w14:textId="77777777" w:rsidR="009F6ED0" w:rsidRPr="009F6ED0" w:rsidRDefault="009F6ED0" w:rsidP="00EA2D06">
      <w:pPr>
        <w:widowControl w:val="0"/>
        <w:jc w:val="both"/>
        <w:rPr>
          <w:rFonts w:ascii="Abadi" w:hAnsi="Abadi" w:cs="Arial"/>
          <w:b/>
          <w:sz w:val="21"/>
          <w:szCs w:val="21"/>
        </w:rPr>
      </w:pPr>
      <w:r w:rsidRPr="009F6ED0">
        <w:rPr>
          <w:rFonts w:ascii="Abadi" w:hAnsi="Abadi" w:cs="Arial"/>
          <w:b/>
          <w:sz w:val="21"/>
          <w:szCs w:val="21"/>
        </w:rPr>
        <w:t>P R E S E N T E</w:t>
      </w:r>
    </w:p>
    <w:p w14:paraId="40502FD5" w14:textId="77777777" w:rsidR="009F6ED0" w:rsidRPr="009F6ED0" w:rsidRDefault="009F6ED0" w:rsidP="00EA2D06">
      <w:pPr>
        <w:widowControl w:val="0"/>
        <w:jc w:val="both"/>
        <w:rPr>
          <w:rFonts w:ascii="Abadi" w:hAnsi="Abadi" w:cs="Arial"/>
          <w:b/>
          <w:sz w:val="21"/>
          <w:szCs w:val="21"/>
        </w:rPr>
      </w:pPr>
    </w:p>
    <w:p w14:paraId="5F47DE6F" w14:textId="3ADC50BF" w:rsidR="009F6ED0" w:rsidRPr="009F6ED0" w:rsidRDefault="009F6ED0" w:rsidP="00EA2D06">
      <w:pPr>
        <w:widowControl w:val="0"/>
        <w:ind w:firstLine="709"/>
        <w:jc w:val="both"/>
        <w:rPr>
          <w:rFonts w:ascii="Abadi" w:hAnsi="Abadi" w:cs="Arial"/>
          <w:sz w:val="21"/>
          <w:szCs w:val="21"/>
        </w:rPr>
      </w:pPr>
      <w:r w:rsidRPr="009F6ED0">
        <w:rPr>
          <w:rFonts w:ascii="Abadi" w:hAnsi="Abadi" w:cs="Arial"/>
          <w:sz w:val="21"/>
          <w:szCs w:val="21"/>
        </w:rPr>
        <w:t xml:space="preserve">Las diputadas y los diputados que integramos la Comisión de Gobernación y Puntos Constitucionales de la Sexagésima Quinta Legislatura, recibimos como pendiente legislativo y para efecto de estudio y dictamen las iniciativas suscritas, la primera por el diputado Juan </w:t>
      </w:r>
      <w:r w:rsidR="00983962" w:rsidRPr="009F6ED0">
        <w:rPr>
          <w:rFonts w:ascii="Abadi" w:hAnsi="Abadi" w:cs="Arial"/>
          <w:sz w:val="21"/>
          <w:szCs w:val="21"/>
        </w:rPr>
        <w:t>Elías</w:t>
      </w:r>
      <w:r w:rsidRPr="009F6ED0">
        <w:rPr>
          <w:rFonts w:ascii="Abadi" w:hAnsi="Abadi" w:cs="Arial"/>
          <w:sz w:val="21"/>
          <w:szCs w:val="21"/>
        </w:rPr>
        <w:t xml:space="preserve"> Chávez, de la representación parlamentaria del Partido Nueva Alianza, a efecto de reformar la fracción II del artículo 23, y adicionar los artículos 23 Quáter, 23 Quinquies, recorriéndose en su orden el actual artículo 23 Quáter para pasar a ser 23 Sexies, las fracciones XII y XIII del artículo 46 y, la segunda por diputadas y diputados integrantes del Grupo Parlamentario del Partido Acción Nacional por la que se adiciona un artículo 22 Bis y una fracción XII al artículo 46 de la Ley del Trabajo de los Servidores Públicos al Servicio del Estado y de los Municipios, ante la Sexagésima Cuarta Legislatura y esta Legislatura, respectivamente.</w:t>
      </w:r>
    </w:p>
    <w:p w14:paraId="632D4348" w14:textId="77777777" w:rsidR="009F6ED0" w:rsidRPr="009F6ED0" w:rsidRDefault="009F6ED0" w:rsidP="00EA2D06">
      <w:pPr>
        <w:widowControl w:val="0"/>
        <w:jc w:val="both"/>
        <w:rPr>
          <w:rFonts w:ascii="Abadi" w:hAnsi="Abadi" w:cs="Arial"/>
          <w:sz w:val="21"/>
          <w:szCs w:val="21"/>
        </w:rPr>
      </w:pPr>
    </w:p>
    <w:p w14:paraId="5A7AFDC4" w14:textId="77777777" w:rsidR="009F6ED0" w:rsidRPr="009F6ED0" w:rsidRDefault="009F6ED0" w:rsidP="00EA2D06">
      <w:pPr>
        <w:widowControl w:val="0"/>
        <w:ind w:firstLine="709"/>
        <w:jc w:val="both"/>
        <w:rPr>
          <w:rFonts w:ascii="Abadi" w:hAnsi="Abadi" w:cs="Arial"/>
          <w:sz w:val="21"/>
          <w:szCs w:val="21"/>
        </w:rPr>
      </w:pPr>
      <w:r w:rsidRPr="009F6ED0">
        <w:rPr>
          <w:rFonts w:ascii="Abadi" w:hAnsi="Abadi" w:cs="Arial"/>
          <w:sz w:val="21"/>
          <w:szCs w:val="21"/>
        </w:rPr>
        <w:t>Con fundamento en los artículos 111, fracción II y 171 de la Ley Orgánica del Poder Legislativo, formulamos a la Asamblea el siguiente:</w:t>
      </w:r>
    </w:p>
    <w:p w14:paraId="3B663586" w14:textId="77777777" w:rsidR="009F6ED0" w:rsidRPr="009F6ED0" w:rsidRDefault="009F6ED0" w:rsidP="00EA2D06">
      <w:pPr>
        <w:widowControl w:val="0"/>
        <w:jc w:val="both"/>
        <w:rPr>
          <w:rFonts w:ascii="Abadi" w:eastAsia="Batang" w:hAnsi="Abadi" w:cs="Arial"/>
          <w:sz w:val="21"/>
          <w:szCs w:val="21"/>
        </w:rPr>
      </w:pPr>
    </w:p>
    <w:p w14:paraId="5B20300B" w14:textId="77777777" w:rsidR="009F6ED0" w:rsidRPr="009F6ED0" w:rsidRDefault="009F6ED0" w:rsidP="00EA2D06">
      <w:pPr>
        <w:widowControl w:val="0"/>
        <w:jc w:val="center"/>
        <w:rPr>
          <w:rFonts w:ascii="Abadi" w:eastAsia="Batang" w:hAnsi="Abadi" w:cs="Arial"/>
          <w:b/>
          <w:bCs/>
          <w:sz w:val="21"/>
          <w:szCs w:val="21"/>
        </w:rPr>
      </w:pPr>
      <w:r w:rsidRPr="009F6ED0">
        <w:rPr>
          <w:rFonts w:ascii="Abadi" w:eastAsia="Batang" w:hAnsi="Abadi" w:cs="Arial"/>
          <w:b/>
          <w:bCs/>
          <w:sz w:val="21"/>
          <w:szCs w:val="21"/>
        </w:rPr>
        <w:t>D I C T A M E N</w:t>
      </w:r>
    </w:p>
    <w:p w14:paraId="7CDFF214" w14:textId="77777777" w:rsidR="009F6ED0" w:rsidRPr="009F6ED0" w:rsidRDefault="009F6ED0" w:rsidP="00EA2D06">
      <w:pPr>
        <w:widowControl w:val="0"/>
        <w:jc w:val="both"/>
        <w:rPr>
          <w:rFonts w:ascii="Abadi" w:eastAsia="Batang" w:hAnsi="Abadi" w:cs="Arial"/>
          <w:sz w:val="21"/>
          <w:szCs w:val="21"/>
        </w:rPr>
      </w:pPr>
    </w:p>
    <w:p w14:paraId="3656F289" w14:textId="77777777" w:rsidR="009F6ED0" w:rsidRPr="009F6ED0" w:rsidRDefault="009F6ED0" w:rsidP="00EA2D06">
      <w:pPr>
        <w:widowControl w:val="0"/>
        <w:jc w:val="both"/>
        <w:rPr>
          <w:rFonts w:ascii="Abadi" w:eastAsia="Batang" w:hAnsi="Abadi" w:cs="Arial"/>
          <w:b/>
          <w:bCs/>
          <w:sz w:val="21"/>
          <w:szCs w:val="21"/>
        </w:rPr>
      </w:pPr>
      <w:r w:rsidRPr="009F6ED0">
        <w:rPr>
          <w:rFonts w:ascii="Abadi" w:eastAsia="Batang" w:hAnsi="Abadi" w:cs="Arial"/>
          <w:b/>
          <w:smallCaps/>
          <w:sz w:val="21"/>
          <w:szCs w:val="21"/>
        </w:rPr>
        <w:t>I.</w:t>
      </w:r>
      <w:r w:rsidRPr="009F6ED0">
        <w:rPr>
          <w:rFonts w:ascii="Abadi" w:eastAsia="Batang" w:hAnsi="Abadi" w:cs="Arial"/>
          <w:b/>
          <w:smallCaps/>
          <w:sz w:val="21"/>
          <w:szCs w:val="21"/>
        </w:rPr>
        <w:tab/>
      </w:r>
      <w:r w:rsidRPr="009F6ED0">
        <w:rPr>
          <w:rFonts w:ascii="Abadi" w:eastAsia="Batang" w:hAnsi="Abadi" w:cs="Arial"/>
          <w:b/>
          <w:bCs/>
          <w:sz w:val="21"/>
          <w:szCs w:val="21"/>
        </w:rPr>
        <w:t>Del Proceso Legislativo</w:t>
      </w:r>
    </w:p>
    <w:p w14:paraId="40A3429E" w14:textId="77777777" w:rsidR="009F6ED0" w:rsidRPr="009F6ED0" w:rsidRDefault="009F6ED0" w:rsidP="00EA2D06">
      <w:pPr>
        <w:widowControl w:val="0"/>
        <w:jc w:val="both"/>
        <w:rPr>
          <w:rFonts w:ascii="Abadi" w:eastAsia="Batang" w:hAnsi="Abadi" w:cs="Arial"/>
          <w:sz w:val="21"/>
          <w:szCs w:val="21"/>
        </w:rPr>
      </w:pPr>
    </w:p>
    <w:p w14:paraId="523F80DD" w14:textId="77777777" w:rsidR="009F6ED0" w:rsidRPr="009F6ED0" w:rsidRDefault="009F6ED0" w:rsidP="00EA2D06">
      <w:pPr>
        <w:widowControl w:val="0"/>
        <w:jc w:val="both"/>
        <w:rPr>
          <w:rFonts w:ascii="Abadi" w:hAnsi="Abadi" w:cs="Arial"/>
          <w:sz w:val="21"/>
          <w:szCs w:val="21"/>
        </w:rPr>
      </w:pPr>
      <w:r w:rsidRPr="009F6ED0">
        <w:rPr>
          <w:rFonts w:ascii="Abadi" w:eastAsia="Batang" w:hAnsi="Abadi" w:cs="Arial"/>
          <w:b/>
          <w:bCs/>
          <w:sz w:val="21"/>
          <w:szCs w:val="21"/>
        </w:rPr>
        <w:t xml:space="preserve">I.1. </w:t>
      </w:r>
      <w:r w:rsidRPr="009F6ED0">
        <w:rPr>
          <w:rFonts w:ascii="Abadi" w:eastAsia="Batang" w:hAnsi="Abadi" w:cs="Arial"/>
          <w:sz w:val="21"/>
          <w:szCs w:val="21"/>
        </w:rPr>
        <w:t xml:space="preserve">En sesión del 14 de noviembre de 2019 </w:t>
      </w:r>
      <w:r w:rsidRPr="009F6ED0">
        <w:rPr>
          <w:rFonts w:ascii="Abadi" w:eastAsia="Batang" w:hAnsi="Abadi" w:cs="Arial"/>
          <w:bCs/>
          <w:sz w:val="21"/>
          <w:szCs w:val="21"/>
        </w:rPr>
        <w:t xml:space="preserve">ingresó </w:t>
      </w:r>
      <w:r w:rsidRPr="009F6ED0">
        <w:rPr>
          <w:rFonts w:ascii="Abadi" w:hAnsi="Abadi" w:cs="Arial"/>
          <w:sz w:val="21"/>
          <w:szCs w:val="21"/>
        </w:rPr>
        <w:t>la iniciativa suscrita por el diputado Juan Elias Chávez, de la representación parlamentaria del Partido Nueva Alianza, a efecto de reformar la fracción II del artículo 23, y adicionar los artículos 23 Quáter, 23 Quinquies, recorriéndose en su orden el actual artículo 23 Quáter para pasar a ser 23 Sexies, las fracciones XII y XIII del artículo 46 de la Ley del Trabajo de los Servidores Públicos al Servicio del Estado y de los Municipios, ante la Sexagésima Cuarta Legislatura, con el expediente 64631 turnándose en su momento por la presidencia del Congreso a la Comisión de Gobernación y Puntos Constitucionales, con fundamento en lo dispuesto por el artículo 111, fracción II de la Ley Orgánica del Poder Legislativo del Estado de Guanajuato.</w:t>
      </w:r>
    </w:p>
    <w:p w14:paraId="693F737A" w14:textId="77777777" w:rsidR="009F6ED0" w:rsidRPr="009F6ED0" w:rsidRDefault="009F6ED0" w:rsidP="00EA2D06">
      <w:pPr>
        <w:widowControl w:val="0"/>
        <w:jc w:val="both"/>
        <w:rPr>
          <w:rFonts w:ascii="Abadi" w:eastAsia="Batang" w:hAnsi="Abadi" w:cs="Arial"/>
          <w:b/>
          <w:sz w:val="21"/>
          <w:szCs w:val="21"/>
        </w:rPr>
      </w:pPr>
    </w:p>
    <w:p w14:paraId="423DFD51" w14:textId="77777777" w:rsidR="009F6ED0" w:rsidRPr="009F6ED0" w:rsidRDefault="009F6ED0" w:rsidP="00EA2D06">
      <w:pPr>
        <w:widowControl w:val="0"/>
        <w:jc w:val="both"/>
        <w:rPr>
          <w:rFonts w:ascii="Abadi" w:eastAsia="Batang" w:hAnsi="Abadi" w:cs="Arial"/>
          <w:sz w:val="21"/>
          <w:szCs w:val="21"/>
        </w:rPr>
      </w:pPr>
      <w:r w:rsidRPr="009F6ED0">
        <w:rPr>
          <w:rFonts w:ascii="Abadi" w:eastAsia="Batang" w:hAnsi="Abadi" w:cs="Arial"/>
          <w:b/>
          <w:sz w:val="21"/>
          <w:szCs w:val="21"/>
        </w:rPr>
        <w:t xml:space="preserve">I.2. </w:t>
      </w:r>
      <w:r w:rsidRPr="009F6ED0">
        <w:rPr>
          <w:rFonts w:ascii="Abadi" w:eastAsia="Batang" w:hAnsi="Abadi" w:cs="Arial"/>
          <w:sz w:val="21"/>
          <w:szCs w:val="21"/>
        </w:rPr>
        <w:t>En reunión de la Comisión de Gobernación y Puntos Constitucionales, de fecha 20 de noviembre de 2019 se radicó la iniciativa. Se acordó como metodología de estudio y dictamen lo siguiente:</w:t>
      </w:r>
    </w:p>
    <w:p w14:paraId="5F2BD8C7" w14:textId="77777777" w:rsidR="009F6ED0" w:rsidRPr="009F6ED0" w:rsidRDefault="009F6ED0" w:rsidP="00EA2D06">
      <w:pPr>
        <w:widowControl w:val="0"/>
        <w:jc w:val="both"/>
        <w:rPr>
          <w:rFonts w:ascii="Abadi" w:eastAsia="Batang" w:hAnsi="Abadi" w:cs="Arial"/>
          <w:sz w:val="21"/>
          <w:szCs w:val="21"/>
        </w:rPr>
      </w:pPr>
    </w:p>
    <w:p w14:paraId="302827A8" w14:textId="77777777" w:rsidR="009F6ED0" w:rsidRPr="009F6ED0" w:rsidRDefault="009F6ED0" w:rsidP="00EA2D06">
      <w:pPr>
        <w:numPr>
          <w:ilvl w:val="0"/>
          <w:numId w:val="48"/>
        </w:numPr>
        <w:ind w:left="714" w:hanging="357"/>
        <w:jc w:val="both"/>
        <w:rPr>
          <w:rFonts w:ascii="Abadi" w:hAnsi="Abadi" w:cs="Calibri"/>
          <w:i/>
          <w:iCs/>
          <w:sz w:val="21"/>
          <w:szCs w:val="21"/>
        </w:rPr>
      </w:pPr>
      <w:r w:rsidRPr="009F6ED0">
        <w:rPr>
          <w:rFonts w:ascii="Abadi" w:hAnsi="Abadi" w:cs="Calibri"/>
          <w:i/>
          <w:iCs/>
          <w:sz w:val="21"/>
          <w:szCs w:val="21"/>
        </w:rPr>
        <w:t xml:space="preserve">Se </w:t>
      </w:r>
      <w:r w:rsidRPr="009F6ED0">
        <w:rPr>
          <w:rFonts w:ascii="Abadi" w:hAnsi="Abadi" w:cs="Calibri"/>
          <w:bCs/>
          <w:i/>
          <w:iCs/>
          <w:sz w:val="21"/>
          <w:szCs w:val="21"/>
        </w:rPr>
        <w:t>remitirá la iniciativa vía electrónica a las diputadas y los diputados integrantes de la Sexagésima Cuarta Legislatura, a la Coordinación General Jurídica de Gobierno del Estado, a la Secretaria de Gobierno, al Supremo Tribunal de Justicia del Estado, al Instituto Electoral del Estado de Guanajuato, al Tribunal Estatal Electoral, al Instituto de Acceso a la Información Pública del Estado de Guanajuato, al Tribunal de Justicia Administrativa del Estado de Guanajuato, a la Procuraduría de los Derechos Humanos del Estado de Guanajuato, a la Fiscalía General del Estado y a los 46 ayuntamientos, q</w:t>
      </w:r>
      <w:r w:rsidRPr="009F6ED0">
        <w:rPr>
          <w:rFonts w:ascii="Abadi" w:hAnsi="Abadi" w:cs="Calibri"/>
          <w:i/>
          <w:iCs/>
          <w:sz w:val="21"/>
          <w:szCs w:val="21"/>
        </w:rPr>
        <w:t xml:space="preserve">uienes contarán con un término de 20 días hábiles para remitir los comentarios y observaciones que estimen pertinentes, a través de la misma vía de comunicación. </w:t>
      </w:r>
    </w:p>
    <w:p w14:paraId="0F8617F3" w14:textId="77777777" w:rsidR="009F6ED0" w:rsidRPr="009F6ED0" w:rsidRDefault="009F6ED0" w:rsidP="00EA2D06">
      <w:pPr>
        <w:ind w:left="714"/>
        <w:jc w:val="both"/>
        <w:rPr>
          <w:rFonts w:ascii="Abadi" w:hAnsi="Abadi" w:cs="Calibri"/>
          <w:i/>
          <w:iCs/>
          <w:sz w:val="21"/>
          <w:szCs w:val="21"/>
        </w:rPr>
      </w:pPr>
    </w:p>
    <w:p w14:paraId="2651766F" w14:textId="77777777" w:rsidR="009F6ED0" w:rsidRPr="009F6ED0" w:rsidRDefault="009F6ED0" w:rsidP="00EA2D06">
      <w:pPr>
        <w:numPr>
          <w:ilvl w:val="0"/>
          <w:numId w:val="48"/>
        </w:numPr>
        <w:ind w:left="714" w:hanging="357"/>
        <w:jc w:val="both"/>
        <w:rPr>
          <w:rFonts w:ascii="Abadi" w:hAnsi="Abadi" w:cs="Calibri"/>
          <w:i/>
          <w:iCs/>
          <w:sz w:val="21"/>
          <w:szCs w:val="21"/>
        </w:rPr>
      </w:pPr>
      <w:r w:rsidRPr="009F6ED0">
        <w:rPr>
          <w:rFonts w:ascii="Abadi" w:hAnsi="Abadi" w:cs="Calibri"/>
          <w:i/>
          <w:iCs/>
          <w:sz w:val="21"/>
          <w:szCs w:val="21"/>
        </w:rPr>
        <w:t>Se remitirá el Instituto de Investigaciones Legislativas del Congreso a efecto de que realice un estudio – opinión sobre los alcances de la iniciativa.</w:t>
      </w:r>
    </w:p>
    <w:p w14:paraId="1E3939CC" w14:textId="77777777" w:rsidR="009F6ED0" w:rsidRPr="009F6ED0" w:rsidRDefault="009F6ED0" w:rsidP="00EA2D06">
      <w:pPr>
        <w:ind w:left="720"/>
        <w:contextualSpacing/>
        <w:rPr>
          <w:rFonts w:ascii="Abadi" w:eastAsia="Calibri" w:hAnsi="Abadi" w:cs="Calibri"/>
          <w:i/>
          <w:iCs/>
          <w:sz w:val="21"/>
          <w:szCs w:val="21"/>
          <w:lang w:val="es-MX" w:eastAsia="en-US"/>
        </w:rPr>
      </w:pPr>
    </w:p>
    <w:p w14:paraId="146B06CD" w14:textId="77777777" w:rsidR="009F6ED0" w:rsidRPr="009F6ED0" w:rsidRDefault="009F6ED0" w:rsidP="00EA2D06">
      <w:pPr>
        <w:numPr>
          <w:ilvl w:val="0"/>
          <w:numId w:val="48"/>
        </w:numPr>
        <w:ind w:left="714" w:hanging="357"/>
        <w:jc w:val="both"/>
        <w:rPr>
          <w:rFonts w:ascii="Abadi" w:hAnsi="Abadi" w:cs="Calibri"/>
          <w:i/>
          <w:iCs/>
          <w:sz w:val="21"/>
          <w:szCs w:val="21"/>
        </w:rPr>
      </w:pPr>
      <w:r w:rsidRPr="009F6ED0">
        <w:rPr>
          <w:rFonts w:ascii="Abadi" w:hAnsi="Abadi" w:cs="Calibri"/>
          <w:i/>
          <w:iCs/>
          <w:sz w:val="21"/>
          <w:szCs w:val="21"/>
        </w:rPr>
        <w:t>Se creará un link a la página web del Congreso del Estado, para que la iniciativa pueda ser consultada y se puedan emitir observaciones.</w:t>
      </w:r>
    </w:p>
    <w:p w14:paraId="68F0A915" w14:textId="77777777" w:rsidR="009F6ED0" w:rsidRPr="009F6ED0" w:rsidRDefault="009F6ED0" w:rsidP="00EA2D06">
      <w:pPr>
        <w:ind w:left="720"/>
        <w:contextualSpacing/>
        <w:rPr>
          <w:rFonts w:ascii="Abadi" w:eastAsia="Calibri" w:hAnsi="Abadi" w:cs="Calibri"/>
          <w:i/>
          <w:iCs/>
          <w:sz w:val="21"/>
          <w:szCs w:val="21"/>
          <w:lang w:val="es-MX" w:eastAsia="en-US"/>
        </w:rPr>
      </w:pPr>
    </w:p>
    <w:p w14:paraId="739376D3" w14:textId="77777777" w:rsidR="009F6ED0" w:rsidRPr="009F6ED0" w:rsidRDefault="009F6ED0" w:rsidP="00EA2D06">
      <w:pPr>
        <w:numPr>
          <w:ilvl w:val="0"/>
          <w:numId w:val="48"/>
        </w:numPr>
        <w:jc w:val="both"/>
        <w:rPr>
          <w:rFonts w:ascii="Abadi" w:hAnsi="Abadi" w:cs="Calibri"/>
          <w:i/>
          <w:iCs/>
          <w:sz w:val="21"/>
          <w:szCs w:val="21"/>
        </w:rPr>
      </w:pPr>
      <w:r w:rsidRPr="009F6ED0">
        <w:rPr>
          <w:rFonts w:ascii="Abadi" w:hAnsi="Abadi" w:cs="Calibri"/>
          <w:i/>
          <w:iCs/>
          <w:sz w:val="21"/>
          <w:szCs w:val="21"/>
        </w:rPr>
        <w:t xml:space="preserve">Las observaciones remitidas a la secretaría técnica serán compiladas y además se elaborará un documento con formato de comparativo que se circulará a </w:t>
      </w:r>
      <w:r w:rsidRPr="009F6ED0">
        <w:rPr>
          <w:rFonts w:ascii="Abadi" w:hAnsi="Abadi" w:cs="Calibri"/>
          <w:bCs/>
          <w:i/>
          <w:iCs/>
          <w:sz w:val="21"/>
          <w:szCs w:val="21"/>
        </w:rPr>
        <w:t>la Comisión</w:t>
      </w:r>
      <w:r w:rsidRPr="009F6ED0">
        <w:rPr>
          <w:rFonts w:ascii="Abadi" w:hAnsi="Abadi" w:cs="Calibri"/>
          <w:i/>
          <w:iCs/>
          <w:sz w:val="21"/>
          <w:szCs w:val="21"/>
        </w:rPr>
        <w:t>.</w:t>
      </w:r>
    </w:p>
    <w:p w14:paraId="7B426194" w14:textId="77777777" w:rsidR="009F6ED0" w:rsidRPr="009F6ED0" w:rsidRDefault="009F6ED0" w:rsidP="00EA2D06">
      <w:pPr>
        <w:ind w:left="714"/>
        <w:jc w:val="both"/>
        <w:rPr>
          <w:rFonts w:ascii="Abadi" w:hAnsi="Abadi" w:cs="Calibri"/>
          <w:i/>
          <w:iCs/>
          <w:sz w:val="21"/>
          <w:szCs w:val="21"/>
        </w:rPr>
      </w:pPr>
    </w:p>
    <w:p w14:paraId="3CA65E61" w14:textId="77777777" w:rsidR="009F6ED0" w:rsidRPr="009F6ED0" w:rsidRDefault="009F6ED0" w:rsidP="00EA2D06">
      <w:pPr>
        <w:numPr>
          <w:ilvl w:val="0"/>
          <w:numId w:val="48"/>
        </w:numPr>
        <w:ind w:left="714" w:hanging="357"/>
        <w:jc w:val="both"/>
        <w:rPr>
          <w:rFonts w:ascii="Abadi" w:hAnsi="Abadi" w:cs="Calibri"/>
          <w:i/>
          <w:iCs/>
          <w:sz w:val="21"/>
          <w:szCs w:val="21"/>
        </w:rPr>
      </w:pPr>
      <w:r w:rsidRPr="009F6ED0">
        <w:rPr>
          <w:rFonts w:ascii="Abadi" w:hAnsi="Abadi" w:cs="Calibri"/>
          <w:i/>
          <w:iCs/>
          <w:sz w:val="21"/>
          <w:szCs w:val="21"/>
        </w:rPr>
        <w:t>Se establecerá una mesa de trabajo conformada por las y los integrantes de la Comisión de Gobernación y Puntos Constitucionales, asesores que conforman la misma, en su caso un representante de las autoridades consultadas y, de los diputados y diputadas de esta Legislatura que deseen asistir, para discutir y analizar las observaciones remitidas. De igual forma, si durante el desahogo de la mesa de trabajo llegaran observaciones, estas serán tomadas en cuenta.</w:t>
      </w:r>
    </w:p>
    <w:p w14:paraId="557F9391" w14:textId="77777777" w:rsidR="009F6ED0" w:rsidRPr="009F6ED0" w:rsidRDefault="009F6ED0" w:rsidP="00EA2D06">
      <w:pPr>
        <w:widowControl w:val="0"/>
        <w:jc w:val="both"/>
        <w:rPr>
          <w:rFonts w:ascii="Abadi" w:hAnsi="Abadi" w:cs="Arial"/>
          <w:sz w:val="21"/>
          <w:szCs w:val="21"/>
        </w:rPr>
      </w:pPr>
    </w:p>
    <w:p w14:paraId="1A4D03D6" w14:textId="77777777" w:rsidR="009F6ED0" w:rsidRPr="009F6ED0" w:rsidRDefault="009F6ED0" w:rsidP="00EA2D06">
      <w:pPr>
        <w:widowControl w:val="0"/>
        <w:jc w:val="both"/>
        <w:rPr>
          <w:rFonts w:ascii="Abadi" w:hAnsi="Abadi" w:cs="Arial"/>
          <w:sz w:val="21"/>
          <w:szCs w:val="21"/>
        </w:rPr>
      </w:pPr>
      <w:r w:rsidRPr="009F6ED0">
        <w:rPr>
          <w:rFonts w:ascii="Abadi" w:hAnsi="Abadi" w:cs="Arial"/>
          <w:sz w:val="21"/>
          <w:szCs w:val="21"/>
        </w:rPr>
        <w:t>En correspondencia a la primera consulta, remitieron comentarios el Instituto Electoral del Estado de Guanajuato, el Instituto de Investigaciones Legislativas del Congreso del Estado y los ayuntamientos de San Felipe, Irapuato y Silao de la Victoria. Se manifestaron los ayuntamientos de Purísima del Rincón y San Francisco del Rincón.</w:t>
      </w:r>
    </w:p>
    <w:p w14:paraId="1798DA46" w14:textId="77777777" w:rsidR="009F6ED0" w:rsidRPr="009F6ED0" w:rsidRDefault="009F6ED0" w:rsidP="00EA2D06">
      <w:pPr>
        <w:widowControl w:val="0"/>
        <w:jc w:val="both"/>
        <w:rPr>
          <w:rFonts w:ascii="Abadi" w:hAnsi="Abadi" w:cs="Arial"/>
          <w:sz w:val="21"/>
          <w:szCs w:val="21"/>
        </w:rPr>
      </w:pPr>
    </w:p>
    <w:p w14:paraId="5DFA6560" w14:textId="77777777" w:rsidR="009F6ED0" w:rsidRPr="009F6ED0" w:rsidRDefault="009F6ED0" w:rsidP="00EA2D06">
      <w:pPr>
        <w:widowControl w:val="0"/>
        <w:jc w:val="both"/>
        <w:rPr>
          <w:rFonts w:ascii="Abadi" w:hAnsi="Abadi" w:cs="Arial"/>
          <w:sz w:val="21"/>
          <w:szCs w:val="21"/>
        </w:rPr>
      </w:pPr>
      <w:r w:rsidRPr="009F6ED0">
        <w:rPr>
          <w:rFonts w:ascii="Abadi" w:hAnsi="Abadi" w:cs="Arial"/>
          <w:sz w:val="21"/>
          <w:szCs w:val="21"/>
        </w:rPr>
        <w:t>Posteriormente remitió sus comentarios la Coordinación General Jurídica de Gobierno del Estado.</w:t>
      </w:r>
    </w:p>
    <w:p w14:paraId="6A100BAF" w14:textId="77777777" w:rsidR="009F6ED0" w:rsidRPr="009F6ED0" w:rsidRDefault="009F6ED0" w:rsidP="00EA2D06">
      <w:pPr>
        <w:widowControl w:val="0"/>
        <w:jc w:val="both"/>
        <w:rPr>
          <w:rFonts w:ascii="Abadi" w:hAnsi="Abadi" w:cs="Arial"/>
          <w:sz w:val="21"/>
          <w:szCs w:val="21"/>
        </w:rPr>
      </w:pPr>
    </w:p>
    <w:p w14:paraId="049D236D" w14:textId="77777777" w:rsidR="009F6ED0" w:rsidRPr="009F6ED0" w:rsidRDefault="009F6ED0" w:rsidP="00EA2D06">
      <w:pPr>
        <w:widowControl w:val="0"/>
        <w:jc w:val="both"/>
        <w:rPr>
          <w:rFonts w:ascii="Abadi" w:hAnsi="Abadi" w:cs="Arial"/>
          <w:sz w:val="21"/>
          <w:szCs w:val="21"/>
        </w:rPr>
      </w:pPr>
      <w:r w:rsidRPr="009F6ED0">
        <w:rPr>
          <w:rFonts w:ascii="Abadi" w:hAnsi="Abadi" w:cs="Arial"/>
          <w:b/>
          <w:bCs/>
          <w:sz w:val="21"/>
          <w:szCs w:val="21"/>
        </w:rPr>
        <w:t xml:space="preserve">1.3. </w:t>
      </w:r>
      <w:r w:rsidRPr="009F6ED0">
        <w:rPr>
          <w:rFonts w:ascii="Abadi" w:hAnsi="Abadi" w:cs="Arial"/>
          <w:sz w:val="21"/>
          <w:szCs w:val="21"/>
        </w:rPr>
        <w:t xml:space="preserve">A efecto de dar continuidad a la metodología aprobada por unanimidad por las diputadas y los diputados integrantes de la Comisión de Gobernación y Puntos Constitucionales de la Sexagésima Cuarta Legislatura, determinaron celebrar una mesa de trabajo el 25 de enero de 2021, estando presentes integrantes de la comisión legislativa, servidores públicos de la Coordinación General Jurídica, asesores de los grupos parlamentarios de los partidos Acción Nacional, Revolucionario Institucional, Morena y Verde Ecologista de México, así como de la representación parlamentaria del Partido Nueva Alianza y la secretaría técnica de la comisión. </w:t>
      </w:r>
    </w:p>
    <w:p w14:paraId="1B64C0D3" w14:textId="77777777" w:rsidR="009F6ED0" w:rsidRPr="009F6ED0" w:rsidRDefault="009F6ED0" w:rsidP="00EA2D06">
      <w:pPr>
        <w:widowControl w:val="0"/>
        <w:autoSpaceDE w:val="0"/>
        <w:autoSpaceDN w:val="0"/>
        <w:adjustRightInd w:val="0"/>
        <w:ind w:firstLine="708"/>
        <w:jc w:val="both"/>
        <w:rPr>
          <w:rFonts w:ascii="Abadi" w:eastAsia="Batang" w:hAnsi="Abadi" w:cs="Arial"/>
          <w:bCs/>
          <w:color w:val="000000"/>
          <w:sz w:val="21"/>
          <w:szCs w:val="21"/>
          <w:lang w:val="es-MX" w:eastAsia="es-MX"/>
        </w:rPr>
      </w:pPr>
    </w:p>
    <w:p w14:paraId="03462949" w14:textId="77777777" w:rsidR="009F6ED0" w:rsidRPr="009F6ED0" w:rsidRDefault="009F6ED0" w:rsidP="00EA2D06">
      <w:pPr>
        <w:widowControl w:val="0"/>
        <w:jc w:val="both"/>
        <w:rPr>
          <w:rFonts w:ascii="Abadi" w:hAnsi="Abadi" w:cs="Arial"/>
          <w:sz w:val="21"/>
          <w:szCs w:val="21"/>
        </w:rPr>
      </w:pPr>
      <w:r w:rsidRPr="009F6ED0">
        <w:rPr>
          <w:rFonts w:ascii="Abadi" w:eastAsia="Batang" w:hAnsi="Abadi" w:cs="Arial"/>
          <w:b/>
          <w:sz w:val="21"/>
          <w:szCs w:val="21"/>
        </w:rPr>
        <w:t>I.4.</w:t>
      </w:r>
      <w:r w:rsidRPr="009F6ED0">
        <w:rPr>
          <w:rFonts w:ascii="Abadi" w:eastAsia="Batang" w:hAnsi="Abadi" w:cs="Arial"/>
          <w:bCs/>
          <w:sz w:val="21"/>
          <w:szCs w:val="21"/>
        </w:rPr>
        <w:t xml:space="preserve"> </w:t>
      </w:r>
      <w:r w:rsidRPr="009F6ED0">
        <w:rPr>
          <w:rFonts w:ascii="Abadi" w:hAnsi="Abadi" w:cs="Arial"/>
          <w:sz w:val="21"/>
          <w:szCs w:val="21"/>
        </w:rPr>
        <w:t>En fecha 14 de septiembre de 2021, las diputadas y los diputados integrantes de la Comisión de Gobernación y Puntos Constitucionales de la Sexagésima Cuarta Legislatura, determinaron dejar esta iniciativa como pendiente legislativo para que fuera la siguiente Legislatura quien se pronunciara al respecto.</w:t>
      </w:r>
    </w:p>
    <w:p w14:paraId="35AA85B3" w14:textId="77777777" w:rsidR="009F6ED0" w:rsidRPr="009F6ED0" w:rsidRDefault="009F6ED0" w:rsidP="00EA2D06">
      <w:pPr>
        <w:widowControl w:val="0"/>
        <w:jc w:val="both"/>
        <w:rPr>
          <w:rFonts w:ascii="Abadi" w:hAnsi="Abadi" w:cs="Arial"/>
          <w:b/>
          <w:sz w:val="21"/>
          <w:szCs w:val="21"/>
        </w:rPr>
      </w:pPr>
    </w:p>
    <w:p w14:paraId="69D7F600" w14:textId="77777777" w:rsidR="009F6ED0" w:rsidRPr="009F6ED0" w:rsidRDefault="009F6ED0" w:rsidP="00EA2D06">
      <w:pPr>
        <w:widowControl w:val="0"/>
        <w:jc w:val="both"/>
        <w:rPr>
          <w:rFonts w:ascii="Abadi" w:hAnsi="Abadi" w:cs="Arial"/>
          <w:sz w:val="21"/>
          <w:szCs w:val="21"/>
        </w:rPr>
      </w:pPr>
      <w:r w:rsidRPr="009F6ED0">
        <w:rPr>
          <w:rFonts w:ascii="Abadi" w:hAnsi="Abadi" w:cs="Arial"/>
          <w:b/>
          <w:sz w:val="21"/>
          <w:szCs w:val="21"/>
        </w:rPr>
        <w:t xml:space="preserve">1.5. </w:t>
      </w:r>
      <w:r w:rsidRPr="009F6ED0">
        <w:rPr>
          <w:rFonts w:ascii="Abadi" w:hAnsi="Abadi" w:cs="Arial"/>
          <w:sz w:val="21"/>
          <w:szCs w:val="21"/>
        </w:rPr>
        <w:t>En fecha 11 de octubre de 2021, se instaló la Comisión de Gobernación y Puntos Constitucionales de la Sexagésima Quinta Legislatura, donde nos impusimos del contenido de los pendientes legislativos, y entre ellos se encuentra la iniciativa que se dictamina.</w:t>
      </w:r>
    </w:p>
    <w:p w14:paraId="1D0543E8" w14:textId="77777777" w:rsidR="009F6ED0" w:rsidRPr="009F6ED0" w:rsidRDefault="009F6ED0" w:rsidP="00EA2D06">
      <w:pPr>
        <w:widowControl w:val="0"/>
        <w:ind w:right="1246"/>
        <w:jc w:val="both"/>
        <w:rPr>
          <w:rFonts w:ascii="Abadi" w:hAnsi="Abadi" w:cs="Calibri"/>
          <w:sz w:val="21"/>
          <w:szCs w:val="21"/>
        </w:rPr>
      </w:pPr>
    </w:p>
    <w:p w14:paraId="6E0ACFF4" w14:textId="77777777" w:rsidR="009F6ED0" w:rsidRPr="009F6ED0" w:rsidRDefault="009F6ED0" w:rsidP="00EA2D06">
      <w:pPr>
        <w:widowControl w:val="0"/>
        <w:jc w:val="both"/>
        <w:rPr>
          <w:rFonts w:ascii="Abadi" w:hAnsi="Abadi" w:cs="Arial"/>
          <w:sz w:val="21"/>
          <w:szCs w:val="21"/>
        </w:rPr>
      </w:pPr>
      <w:r w:rsidRPr="009F6ED0">
        <w:rPr>
          <w:rFonts w:ascii="Abadi" w:eastAsia="Batang" w:hAnsi="Abadi" w:cs="Arial"/>
          <w:b/>
          <w:sz w:val="21"/>
          <w:szCs w:val="21"/>
        </w:rPr>
        <w:t>I.6.</w:t>
      </w:r>
      <w:r w:rsidRPr="009F6ED0">
        <w:rPr>
          <w:rFonts w:ascii="Abadi" w:hAnsi="Abadi" w:cs="Arial"/>
          <w:sz w:val="21"/>
          <w:szCs w:val="21"/>
        </w:rPr>
        <w:t xml:space="preserve"> Posteriormente en sesión ordinaria de fecha 17 de marzo de 2022 ingresó la iniciativa suscrita por diputadas y diputados integrantes del Grupo Parlamentario del Partido Acción Nacional por la que se adiciona un artículo 22 BIS y una fracción XII al artículo 46 de la Ley del Trabajo de los Servidores Públicos al Servicio del Estado y de los Municipios. Con el ELD 186/LXV-I, turnándose por la presidencia del Congreso a la Comisión de Gobernación y Puntos Constitucionales, con fundamento en lo dispuesto por el artículo 111, fracción II de la Ley Orgánica del Poder Legislativo del Estado de Guanajuato.</w:t>
      </w:r>
    </w:p>
    <w:p w14:paraId="2FD8B815" w14:textId="77777777" w:rsidR="009F6ED0" w:rsidRPr="009F6ED0" w:rsidRDefault="009F6ED0" w:rsidP="00EA2D06">
      <w:pPr>
        <w:widowControl w:val="0"/>
        <w:jc w:val="both"/>
        <w:rPr>
          <w:rFonts w:ascii="Abadi" w:hAnsi="Abadi" w:cs="Arial"/>
          <w:sz w:val="21"/>
          <w:szCs w:val="21"/>
        </w:rPr>
      </w:pPr>
    </w:p>
    <w:p w14:paraId="281ABB99" w14:textId="77777777" w:rsidR="009F6ED0" w:rsidRPr="009F6ED0" w:rsidRDefault="009F6ED0" w:rsidP="00EA2D06">
      <w:pPr>
        <w:widowControl w:val="0"/>
        <w:jc w:val="both"/>
        <w:rPr>
          <w:rFonts w:ascii="Abadi" w:hAnsi="Abadi" w:cs="Arial"/>
          <w:sz w:val="21"/>
          <w:szCs w:val="21"/>
        </w:rPr>
      </w:pPr>
      <w:r w:rsidRPr="009F6ED0">
        <w:rPr>
          <w:rFonts w:ascii="Abadi" w:hAnsi="Abadi" w:cs="Arial"/>
          <w:sz w:val="21"/>
          <w:szCs w:val="21"/>
        </w:rPr>
        <w:t>En reunión de la Comisión de fecha 22 de marzo de 2022, se radicó la iniciativa y se aprobó la metodología de estudio y dictamen en los siguientes términos:</w:t>
      </w:r>
    </w:p>
    <w:p w14:paraId="249B9860" w14:textId="77777777" w:rsidR="009F6ED0" w:rsidRPr="009F6ED0" w:rsidRDefault="009F6ED0" w:rsidP="00EA2D06">
      <w:pPr>
        <w:widowControl w:val="0"/>
        <w:jc w:val="both"/>
        <w:rPr>
          <w:rFonts w:ascii="Abadi" w:hAnsi="Abadi" w:cs="Arial"/>
          <w:sz w:val="21"/>
          <w:szCs w:val="21"/>
        </w:rPr>
      </w:pPr>
    </w:p>
    <w:p w14:paraId="003172C5" w14:textId="77777777" w:rsidR="009F6ED0" w:rsidRPr="009F6ED0" w:rsidRDefault="009F6ED0" w:rsidP="00EA2D06">
      <w:pPr>
        <w:numPr>
          <w:ilvl w:val="0"/>
          <w:numId w:val="47"/>
        </w:numPr>
        <w:spacing w:after="200"/>
        <w:ind w:left="709" w:hanging="425"/>
        <w:jc w:val="both"/>
        <w:rPr>
          <w:rFonts w:ascii="Abadi" w:hAnsi="Abadi" w:cs="Arial"/>
          <w:i/>
          <w:iCs/>
          <w:sz w:val="21"/>
          <w:szCs w:val="21"/>
          <w:lang w:val="es-MX"/>
        </w:rPr>
      </w:pPr>
      <w:r w:rsidRPr="009F6ED0">
        <w:rPr>
          <w:rFonts w:ascii="Abadi" w:hAnsi="Abadi" w:cs="Arial"/>
          <w:i/>
          <w:iCs/>
          <w:sz w:val="21"/>
          <w:szCs w:val="21"/>
          <w:lang w:val="es-MX"/>
        </w:rPr>
        <w:t>Remitir vía electrónica para opinión a los 36 diputados y diputadas que integran la Sexagésima Quinta Legislatura, al Supremo Tribunal de Justicia del Estado, a la Coordinación General Jurídica de Gobierno del Estado, a los organismos autónomos reconocidos por la Constitución y por la ley y a los 46 ayuntamientos quienes contarán con un término de 20 días hábiles, para remitir los comentarios y observaciones que estimen pertinentes.</w:t>
      </w:r>
    </w:p>
    <w:p w14:paraId="040CA585" w14:textId="77777777" w:rsidR="009F6ED0" w:rsidRPr="009F6ED0" w:rsidRDefault="009F6ED0" w:rsidP="00EA2D06">
      <w:pPr>
        <w:numPr>
          <w:ilvl w:val="0"/>
          <w:numId w:val="47"/>
        </w:numPr>
        <w:spacing w:after="200"/>
        <w:ind w:hanging="436"/>
        <w:jc w:val="both"/>
        <w:rPr>
          <w:rFonts w:ascii="Abadi" w:hAnsi="Abadi" w:cs="Arial"/>
          <w:i/>
          <w:iCs/>
          <w:sz w:val="21"/>
          <w:szCs w:val="21"/>
          <w:lang w:val="es-MX"/>
        </w:rPr>
      </w:pPr>
      <w:r w:rsidRPr="009F6ED0">
        <w:rPr>
          <w:rFonts w:ascii="Abadi" w:hAnsi="Abadi" w:cs="Arial"/>
          <w:i/>
          <w:iCs/>
          <w:sz w:val="21"/>
          <w:szCs w:val="21"/>
          <w:lang w:val="es-MX"/>
        </w:rPr>
        <w:t>Se habilitará un vínculo (link) en la página web del Congreso del Estado, a efecto de que se consulte la iniciativa y se puedan recibir observaciones a la misma.</w:t>
      </w:r>
    </w:p>
    <w:p w14:paraId="74368A66" w14:textId="77777777" w:rsidR="009F6ED0" w:rsidRPr="009F6ED0" w:rsidRDefault="009F6ED0" w:rsidP="00EA2D06">
      <w:pPr>
        <w:numPr>
          <w:ilvl w:val="0"/>
          <w:numId w:val="47"/>
        </w:numPr>
        <w:spacing w:after="200"/>
        <w:ind w:hanging="436"/>
        <w:contextualSpacing/>
        <w:jc w:val="both"/>
        <w:rPr>
          <w:rFonts w:ascii="Abadi" w:eastAsia="Calibri" w:hAnsi="Abadi" w:cs="Arial"/>
          <w:i/>
          <w:iCs/>
          <w:sz w:val="21"/>
          <w:szCs w:val="21"/>
          <w:lang w:val="es-MX" w:eastAsia="en-US"/>
        </w:rPr>
      </w:pPr>
      <w:r w:rsidRPr="009F6ED0">
        <w:rPr>
          <w:rFonts w:ascii="Abadi" w:eastAsia="Calibri" w:hAnsi="Abadi" w:cs="Arial"/>
          <w:i/>
          <w:iCs/>
          <w:sz w:val="21"/>
          <w:szCs w:val="21"/>
          <w:lang w:val="es-MX" w:eastAsia="en-US"/>
        </w:rPr>
        <w:t>Se integrará un documento que consolidará todas las propuestas emitidas en las consultas por escrito o vía electrónica que se hayan remitido previamente a la Comisión para el análisis de la iniciativa. Dicho documento será con formato de comparativo.</w:t>
      </w:r>
    </w:p>
    <w:p w14:paraId="6B686446" w14:textId="77777777" w:rsidR="009F6ED0" w:rsidRPr="009F6ED0" w:rsidRDefault="009F6ED0" w:rsidP="00EA2D06">
      <w:pPr>
        <w:spacing w:after="200"/>
        <w:ind w:left="720" w:hanging="436"/>
        <w:contextualSpacing/>
        <w:jc w:val="both"/>
        <w:rPr>
          <w:rFonts w:ascii="Abadi" w:eastAsia="Calibri" w:hAnsi="Abadi" w:cs="Arial"/>
          <w:i/>
          <w:iCs/>
          <w:sz w:val="21"/>
          <w:szCs w:val="21"/>
          <w:lang w:val="es-MX" w:eastAsia="en-US"/>
        </w:rPr>
      </w:pPr>
    </w:p>
    <w:p w14:paraId="1EDBB6CF" w14:textId="77777777" w:rsidR="009F6ED0" w:rsidRPr="009F6ED0" w:rsidRDefault="009F6ED0" w:rsidP="00EA2D06">
      <w:pPr>
        <w:numPr>
          <w:ilvl w:val="0"/>
          <w:numId w:val="47"/>
        </w:numPr>
        <w:spacing w:after="200"/>
        <w:ind w:hanging="436"/>
        <w:contextualSpacing/>
        <w:jc w:val="both"/>
        <w:rPr>
          <w:rFonts w:ascii="Abadi" w:eastAsia="Calibri" w:hAnsi="Abadi" w:cs="Arial"/>
          <w:i/>
          <w:iCs/>
          <w:sz w:val="21"/>
          <w:szCs w:val="21"/>
          <w:lang w:val="es-MX" w:eastAsia="en-US"/>
        </w:rPr>
      </w:pPr>
      <w:r w:rsidRPr="009F6ED0">
        <w:rPr>
          <w:rFonts w:ascii="Abadi" w:eastAsia="Calibri" w:hAnsi="Abadi" w:cs="Arial"/>
          <w:i/>
          <w:iCs/>
          <w:sz w:val="21"/>
          <w:szCs w:val="21"/>
          <w:lang w:val="es-MX" w:eastAsia="en-US"/>
        </w:rPr>
        <w:t>Se celebrará una mesa de trabajo para analizar las observaciones remitidas, a través del documento comparativo.</w:t>
      </w:r>
    </w:p>
    <w:p w14:paraId="6E00F3E5" w14:textId="77777777" w:rsidR="009F6ED0" w:rsidRPr="009F6ED0" w:rsidRDefault="009F6ED0" w:rsidP="00EA2D06">
      <w:pPr>
        <w:spacing w:after="200"/>
        <w:ind w:left="720" w:hanging="436"/>
        <w:contextualSpacing/>
        <w:rPr>
          <w:rFonts w:ascii="Abadi" w:eastAsia="Calibri" w:hAnsi="Abadi" w:cs="Arial"/>
          <w:i/>
          <w:iCs/>
          <w:sz w:val="21"/>
          <w:szCs w:val="21"/>
          <w:lang w:val="es-MX" w:eastAsia="en-US"/>
        </w:rPr>
      </w:pPr>
    </w:p>
    <w:p w14:paraId="35998A15" w14:textId="77777777" w:rsidR="009F6ED0" w:rsidRPr="009F6ED0" w:rsidRDefault="009F6ED0" w:rsidP="00EA2D06">
      <w:pPr>
        <w:numPr>
          <w:ilvl w:val="0"/>
          <w:numId w:val="47"/>
        </w:numPr>
        <w:spacing w:after="200"/>
        <w:ind w:left="709" w:hanging="436"/>
        <w:contextualSpacing/>
        <w:jc w:val="both"/>
        <w:rPr>
          <w:rFonts w:ascii="Abadi" w:eastAsia="Calibri" w:hAnsi="Abadi" w:cs="Arial"/>
          <w:i/>
          <w:iCs/>
          <w:sz w:val="21"/>
          <w:szCs w:val="21"/>
          <w:lang w:val="es-MX" w:eastAsia="en-US"/>
        </w:rPr>
      </w:pPr>
      <w:r w:rsidRPr="009F6ED0">
        <w:rPr>
          <w:rFonts w:ascii="Abadi" w:eastAsia="Calibri" w:hAnsi="Abadi" w:cs="Arial"/>
          <w:i/>
          <w:iCs/>
          <w:sz w:val="21"/>
          <w:szCs w:val="21"/>
          <w:lang w:val="es-MX" w:eastAsia="en-US"/>
        </w:rPr>
        <w:t>Una vez lo cual, se presentará un proyecto de dictamen para que sea analizado en reunión de la Comisión.</w:t>
      </w:r>
    </w:p>
    <w:p w14:paraId="5E532510" w14:textId="77777777" w:rsidR="009F6ED0" w:rsidRPr="009F6ED0" w:rsidRDefault="009F6ED0" w:rsidP="00EA2D06">
      <w:pPr>
        <w:jc w:val="both"/>
        <w:rPr>
          <w:rFonts w:ascii="Abadi" w:hAnsi="Abadi" w:cs="Arial"/>
          <w:sz w:val="21"/>
          <w:szCs w:val="21"/>
        </w:rPr>
      </w:pPr>
    </w:p>
    <w:p w14:paraId="36C1C40F" w14:textId="77777777" w:rsidR="009F6ED0" w:rsidRPr="009F6ED0" w:rsidRDefault="009F6ED0" w:rsidP="00EA2D06">
      <w:pPr>
        <w:jc w:val="both"/>
        <w:rPr>
          <w:rFonts w:ascii="Abadi" w:hAnsi="Abadi" w:cs="Arial"/>
          <w:sz w:val="21"/>
          <w:szCs w:val="21"/>
        </w:rPr>
      </w:pPr>
      <w:r w:rsidRPr="009F6ED0">
        <w:rPr>
          <w:rFonts w:ascii="Abadi" w:hAnsi="Abadi" w:cs="Arial"/>
          <w:sz w:val="21"/>
          <w:szCs w:val="21"/>
        </w:rPr>
        <w:t>Remitieron comentarios el Supremo Tribunal de Justicia del Estado, la Procuraduría de los Derechos Humanos del Estado de Guanajuato, el Tribunal de Justicia Administrativa del Estado de Guanajuato, el Instituto de Acceso a la Información Pública para el Estado de Guanajuato, la Universidad de Guanajuato y los ayuntamientos de Abasolo, Doctor Mora, Irapuato, San Diego de la Unión, Jaral del Progreso, Tarimoro, Coroneo, y San Luis de la Paz.</w:t>
      </w:r>
    </w:p>
    <w:p w14:paraId="428B46D8" w14:textId="77777777" w:rsidR="009F6ED0" w:rsidRPr="009F6ED0" w:rsidRDefault="009F6ED0" w:rsidP="00EA2D06">
      <w:pPr>
        <w:widowControl w:val="0"/>
        <w:ind w:firstLine="708"/>
        <w:jc w:val="both"/>
        <w:rPr>
          <w:rFonts w:ascii="Abadi" w:hAnsi="Abadi" w:cs="Arial"/>
          <w:sz w:val="21"/>
          <w:szCs w:val="21"/>
        </w:rPr>
      </w:pPr>
    </w:p>
    <w:p w14:paraId="7429ACAC" w14:textId="77777777" w:rsidR="009F6ED0" w:rsidRPr="009F6ED0" w:rsidRDefault="009F6ED0" w:rsidP="00EA2D06">
      <w:pPr>
        <w:widowControl w:val="0"/>
        <w:ind w:firstLine="708"/>
        <w:jc w:val="both"/>
        <w:rPr>
          <w:rFonts w:ascii="Abadi" w:hAnsi="Abadi" w:cs="Arial"/>
          <w:sz w:val="21"/>
          <w:szCs w:val="21"/>
        </w:rPr>
      </w:pPr>
      <w:r w:rsidRPr="009F6ED0">
        <w:rPr>
          <w:rFonts w:ascii="Abadi" w:hAnsi="Abadi" w:cs="Arial"/>
          <w:sz w:val="21"/>
          <w:szCs w:val="21"/>
        </w:rPr>
        <w:t>El Supremo Tribunal de Justicia del Estado, manifestó en su oportunidad que:</w:t>
      </w:r>
    </w:p>
    <w:p w14:paraId="7DD24B60" w14:textId="77777777" w:rsidR="009F6ED0" w:rsidRPr="009F6ED0" w:rsidRDefault="009F6ED0" w:rsidP="00EA2D06">
      <w:pPr>
        <w:widowControl w:val="0"/>
        <w:ind w:firstLine="708"/>
        <w:jc w:val="both"/>
        <w:rPr>
          <w:rFonts w:ascii="Abadi" w:hAnsi="Abadi" w:cs="Arial"/>
          <w:sz w:val="21"/>
          <w:szCs w:val="21"/>
        </w:rPr>
      </w:pPr>
    </w:p>
    <w:p w14:paraId="07A29CB0" w14:textId="77777777" w:rsidR="009F6ED0" w:rsidRPr="009F6ED0" w:rsidRDefault="009F6ED0" w:rsidP="00EA2D06">
      <w:pPr>
        <w:widowControl w:val="0"/>
        <w:ind w:left="709" w:right="1246"/>
        <w:jc w:val="both"/>
        <w:rPr>
          <w:rFonts w:ascii="Abadi" w:hAnsi="Abadi"/>
          <w:i/>
          <w:sz w:val="21"/>
          <w:szCs w:val="21"/>
        </w:rPr>
      </w:pPr>
      <w:r w:rsidRPr="009F6ED0">
        <w:rPr>
          <w:rFonts w:ascii="Abadi" w:hAnsi="Abadi"/>
          <w:i/>
          <w:sz w:val="21"/>
          <w:szCs w:val="21"/>
        </w:rPr>
        <w:t>(…) la salud es un derecho humano fundamental e indispensable para el ejercicio de los demás derechos humanos. El Comité de Derechos Económicos, Sociales y Culturales (CODESC), como organismo para la vigilancia y supervisión del Pacto Internacional de Derechos Económicos y Sociales, ha señalado que todo ser humano tiene derecho al disfrute del más alto nivel posible de salud que le permita vivir dignamente. La efectividad del derecho a la salud se puede alcanzar mediante numerosos procedimientos complementarios. El derecho a la salud está estrechamente vinculado con el ejercicio de otros derechos humanos y depende de esos derechos, que se enuncian en la Carta Internacional de Derechos, en particular el derecho a la alimentación, a la vivienda, al trabajo, a la educación, a la dignidad humana, a la vida, a la no discriminación, a la igualdad, a no ser sometido a torturas, a la vida privada, al acceso a la información y a la libertad de asociación, reunión y circulación. Esos y otros derechos y libertades abordan los componentes integrales del derecho a la salud.</w:t>
      </w:r>
    </w:p>
    <w:p w14:paraId="0461B454" w14:textId="77777777" w:rsidR="009F6ED0" w:rsidRPr="009F6ED0" w:rsidRDefault="009F6ED0" w:rsidP="00EA2D06">
      <w:pPr>
        <w:widowControl w:val="0"/>
        <w:ind w:left="709" w:right="1246"/>
        <w:jc w:val="both"/>
        <w:rPr>
          <w:rFonts w:ascii="Abadi" w:hAnsi="Abadi"/>
          <w:i/>
          <w:sz w:val="21"/>
          <w:szCs w:val="21"/>
        </w:rPr>
      </w:pPr>
    </w:p>
    <w:p w14:paraId="334FAA52" w14:textId="77777777" w:rsidR="009F6ED0" w:rsidRPr="009F6ED0" w:rsidRDefault="009F6ED0" w:rsidP="00EA2D06">
      <w:pPr>
        <w:widowControl w:val="0"/>
        <w:ind w:left="709" w:right="1246"/>
        <w:jc w:val="both"/>
        <w:rPr>
          <w:rFonts w:ascii="Abadi" w:hAnsi="Abadi"/>
          <w:i/>
          <w:sz w:val="21"/>
          <w:szCs w:val="21"/>
        </w:rPr>
      </w:pPr>
      <w:r w:rsidRPr="009F6ED0">
        <w:rPr>
          <w:rFonts w:ascii="Abadi" w:hAnsi="Abadi"/>
          <w:i/>
          <w:sz w:val="21"/>
          <w:szCs w:val="21"/>
        </w:rPr>
        <w:t>En ese sentido, se comparte la intención contenida en la iniciativa por fortalecer el marco jurídico del derecho a la salud de los trabajadores, al proponer en la Ley Burocrática estatal el derecho de las y los trabajadores al servicio del Estado y de los Municipios, así como la obligación por parte de sus empleadores, de gozar de un día de licencia con goce de sueldo, para los primeros se puedan someter a la realización de exámenes médicos preventivos anuales, lo anterior por considerar que con esta medida se abona a su salud, particularmente en su modalidad de la prevención.</w:t>
      </w:r>
    </w:p>
    <w:p w14:paraId="1245E149" w14:textId="77777777" w:rsidR="009F6ED0" w:rsidRPr="009F6ED0" w:rsidRDefault="009F6ED0" w:rsidP="00EA2D06">
      <w:pPr>
        <w:widowControl w:val="0"/>
        <w:ind w:left="709" w:right="1246"/>
        <w:jc w:val="both"/>
        <w:rPr>
          <w:rFonts w:ascii="Abadi" w:hAnsi="Abadi"/>
          <w:i/>
          <w:sz w:val="21"/>
          <w:szCs w:val="21"/>
        </w:rPr>
      </w:pPr>
    </w:p>
    <w:p w14:paraId="1DE06AAA" w14:textId="77777777" w:rsidR="009F6ED0" w:rsidRPr="009F6ED0" w:rsidRDefault="009F6ED0" w:rsidP="00EA2D06">
      <w:pPr>
        <w:widowControl w:val="0"/>
        <w:ind w:firstLine="708"/>
        <w:jc w:val="both"/>
        <w:rPr>
          <w:rFonts w:ascii="Abadi" w:hAnsi="Abadi" w:cs="Arial"/>
          <w:sz w:val="21"/>
          <w:szCs w:val="21"/>
        </w:rPr>
      </w:pPr>
      <w:r w:rsidRPr="009F6ED0">
        <w:rPr>
          <w:rFonts w:ascii="Abadi" w:hAnsi="Abadi" w:cs="Arial"/>
          <w:sz w:val="21"/>
          <w:szCs w:val="21"/>
        </w:rPr>
        <w:t>La Procuraduría de los Derechos Humanos del Estado de Guanajuato, manifestó que:</w:t>
      </w:r>
    </w:p>
    <w:p w14:paraId="4568B7A0" w14:textId="77777777" w:rsidR="009F6ED0" w:rsidRPr="009F6ED0" w:rsidRDefault="009F6ED0" w:rsidP="00EA2D06">
      <w:pPr>
        <w:widowControl w:val="0"/>
        <w:ind w:firstLine="708"/>
        <w:jc w:val="both"/>
        <w:rPr>
          <w:rFonts w:ascii="Abadi" w:hAnsi="Abadi" w:cs="Arial"/>
          <w:sz w:val="21"/>
          <w:szCs w:val="21"/>
        </w:rPr>
      </w:pPr>
    </w:p>
    <w:p w14:paraId="5D5953FC" w14:textId="77777777" w:rsidR="009F6ED0" w:rsidRPr="009F6ED0" w:rsidRDefault="009F6ED0" w:rsidP="00EA2D06">
      <w:pPr>
        <w:widowControl w:val="0"/>
        <w:ind w:left="709" w:right="1246"/>
        <w:jc w:val="both"/>
        <w:rPr>
          <w:rFonts w:ascii="Abadi" w:hAnsi="Abadi"/>
          <w:i/>
          <w:sz w:val="21"/>
          <w:szCs w:val="21"/>
        </w:rPr>
      </w:pPr>
      <w:r w:rsidRPr="009F6ED0">
        <w:rPr>
          <w:rFonts w:ascii="Abadi" w:hAnsi="Abadi"/>
          <w:i/>
          <w:sz w:val="21"/>
          <w:szCs w:val="21"/>
        </w:rPr>
        <w:t xml:space="preserve">(…) el objeto de la presente iniciativa es fortalecer el derecho a la protección a la salud de las personas trabajadoras del servicio público en la Entidad y los municipios, al incorporar una disposición que es permita obtener un día de licencia con goce de sueldo al año, para someterse a la realización de exámenes médicos preventivos. El derecho a la salud es un derecho inclusivo, que abarca no solo los cuidados sanitarios oportunos y apropiados, sino también los factores subyacentes que determinan el estado de salud. La Observación General 14. Denominada: “El derecho al disfrute del más alto nivel posible de salud, del Comité de derechos Económicos, Social y Culturales en su apartado 9 dispone que el derecho a la salud debe entenderse como un derecho al disfrute de toda una gama de facilidades, bienes, servicios y condiciones necesarios para alcanzar el más alto nivel posible de salud. Asimismo, se establece la obligación de los Estados Partes, para que se reconozca este derecho a la salud en los sistemas políticos y legales, preferentemente mediante la acción legislativa, y que se implementen políticas sanitarias disponibles, accesibles y de calidad para hacerlo efectivo. </w:t>
      </w:r>
    </w:p>
    <w:p w14:paraId="46F7C2BD" w14:textId="77777777" w:rsidR="009F6ED0" w:rsidRPr="009F6ED0" w:rsidRDefault="009F6ED0" w:rsidP="00EA2D06">
      <w:pPr>
        <w:widowControl w:val="0"/>
        <w:ind w:left="709" w:right="1246"/>
        <w:jc w:val="both"/>
        <w:rPr>
          <w:rFonts w:ascii="Abadi" w:hAnsi="Abadi"/>
          <w:i/>
          <w:sz w:val="21"/>
          <w:szCs w:val="21"/>
        </w:rPr>
      </w:pPr>
    </w:p>
    <w:p w14:paraId="29F69E7C" w14:textId="77777777" w:rsidR="009F6ED0" w:rsidRPr="009F6ED0" w:rsidRDefault="009F6ED0" w:rsidP="00EA2D06">
      <w:pPr>
        <w:widowControl w:val="0"/>
        <w:ind w:left="709" w:right="1246"/>
        <w:jc w:val="both"/>
        <w:rPr>
          <w:rFonts w:ascii="Abadi" w:hAnsi="Abadi"/>
          <w:i/>
          <w:sz w:val="21"/>
          <w:szCs w:val="21"/>
        </w:rPr>
      </w:pPr>
      <w:r w:rsidRPr="009F6ED0">
        <w:rPr>
          <w:rFonts w:ascii="Abadi" w:hAnsi="Abadi"/>
          <w:i/>
          <w:sz w:val="21"/>
          <w:szCs w:val="21"/>
        </w:rPr>
        <w:t>Bajo este contexto, se considera que la iniciativa en comento, incorpora una medida apropiada para dar plena efectividad al derecho al disfrute del más alto nivel posible de salud, facilitando la prevención y la detección oportuna de enfermedades; por lo que no se tienen observaciones al respecto.</w:t>
      </w:r>
    </w:p>
    <w:p w14:paraId="752ABC02" w14:textId="77777777" w:rsidR="009F6ED0" w:rsidRPr="009F6ED0" w:rsidRDefault="009F6ED0" w:rsidP="00EA2D06">
      <w:pPr>
        <w:widowControl w:val="0"/>
        <w:ind w:firstLine="708"/>
        <w:jc w:val="both"/>
        <w:rPr>
          <w:rFonts w:ascii="Abadi" w:hAnsi="Abadi" w:cs="Arial"/>
          <w:sz w:val="21"/>
          <w:szCs w:val="21"/>
        </w:rPr>
      </w:pPr>
    </w:p>
    <w:p w14:paraId="037B8514" w14:textId="77777777" w:rsidR="009F6ED0" w:rsidRPr="009F6ED0" w:rsidRDefault="009F6ED0" w:rsidP="00EA2D06">
      <w:pPr>
        <w:widowControl w:val="0"/>
        <w:ind w:firstLine="708"/>
        <w:jc w:val="both"/>
        <w:rPr>
          <w:rFonts w:ascii="Abadi" w:hAnsi="Abadi" w:cs="Arial"/>
          <w:sz w:val="21"/>
          <w:szCs w:val="21"/>
        </w:rPr>
      </w:pPr>
      <w:r w:rsidRPr="009F6ED0">
        <w:rPr>
          <w:rFonts w:ascii="Abadi" w:hAnsi="Abadi" w:cs="Arial"/>
          <w:sz w:val="21"/>
          <w:szCs w:val="21"/>
        </w:rPr>
        <w:t>El Tribunal de Justicia Administrativa del Estado de Guanajuato, consideró en su opinión lo siguiente:</w:t>
      </w:r>
    </w:p>
    <w:p w14:paraId="34ACF68E" w14:textId="77777777" w:rsidR="009F6ED0" w:rsidRPr="009F6ED0" w:rsidRDefault="009F6ED0" w:rsidP="00EA2D06">
      <w:pPr>
        <w:widowControl w:val="0"/>
        <w:ind w:left="709" w:right="1246"/>
        <w:jc w:val="both"/>
        <w:rPr>
          <w:rFonts w:ascii="Abadi" w:hAnsi="Abadi"/>
          <w:i/>
          <w:sz w:val="21"/>
          <w:szCs w:val="21"/>
        </w:rPr>
      </w:pPr>
    </w:p>
    <w:p w14:paraId="6A7B7874" w14:textId="77777777" w:rsidR="009F6ED0" w:rsidRPr="009F6ED0" w:rsidRDefault="009F6ED0" w:rsidP="00EA2D06">
      <w:pPr>
        <w:widowControl w:val="0"/>
        <w:ind w:left="709" w:right="1246"/>
        <w:jc w:val="both"/>
        <w:rPr>
          <w:rFonts w:ascii="Abadi" w:hAnsi="Abadi"/>
          <w:i/>
          <w:sz w:val="21"/>
          <w:szCs w:val="21"/>
        </w:rPr>
      </w:pPr>
      <w:r w:rsidRPr="009F6ED0">
        <w:rPr>
          <w:rFonts w:ascii="Abadi" w:hAnsi="Abadi"/>
          <w:i/>
          <w:sz w:val="21"/>
          <w:szCs w:val="21"/>
        </w:rPr>
        <w:t>(…) se considera que la iniciativa en análisis se manifiesta en concordancia con lo dispuesto por el artículo 4º de la citada Constitución Política de los Estado Unidos Mexicanos, procurando la más amplia protección al derecho a la salud.</w:t>
      </w:r>
    </w:p>
    <w:p w14:paraId="1DC8F64D" w14:textId="77777777" w:rsidR="009F6ED0" w:rsidRPr="009F6ED0" w:rsidRDefault="009F6ED0" w:rsidP="00EA2D06">
      <w:pPr>
        <w:widowControl w:val="0"/>
        <w:jc w:val="both"/>
        <w:rPr>
          <w:rFonts w:ascii="Abadi" w:hAnsi="Abadi" w:cs="Arial"/>
          <w:sz w:val="21"/>
          <w:szCs w:val="21"/>
        </w:rPr>
      </w:pPr>
    </w:p>
    <w:p w14:paraId="419D9AA0" w14:textId="77777777" w:rsidR="009F6ED0" w:rsidRPr="009F6ED0" w:rsidRDefault="009F6ED0" w:rsidP="00EA2D06">
      <w:pPr>
        <w:widowControl w:val="0"/>
        <w:ind w:firstLine="708"/>
        <w:jc w:val="both"/>
        <w:rPr>
          <w:rFonts w:ascii="Abadi" w:hAnsi="Abadi" w:cs="Arial"/>
          <w:sz w:val="21"/>
          <w:szCs w:val="21"/>
        </w:rPr>
      </w:pPr>
      <w:r w:rsidRPr="009F6ED0">
        <w:rPr>
          <w:rFonts w:ascii="Abadi" w:hAnsi="Abadi" w:cs="Arial"/>
          <w:sz w:val="21"/>
          <w:szCs w:val="21"/>
        </w:rPr>
        <w:t>El Instituto de Acceso a la Información Pública para el Estado de Guanajuato, manifestó en su opinión lo siguiente:</w:t>
      </w:r>
    </w:p>
    <w:p w14:paraId="5641BDDF" w14:textId="77777777" w:rsidR="009F6ED0" w:rsidRPr="009F6ED0" w:rsidRDefault="009F6ED0" w:rsidP="00EA2D06">
      <w:pPr>
        <w:widowControl w:val="0"/>
        <w:ind w:firstLine="708"/>
        <w:jc w:val="both"/>
        <w:rPr>
          <w:rFonts w:ascii="Abadi" w:hAnsi="Abadi" w:cs="Arial"/>
          <w:sz w:val="21"/>
          <w:szCs w:val="21"/>
        </w:rPr>
      </w:pPr>
    </w:p>
    <w:p w14:paraId="331DF45F" w14:textId="77777777" w:rsidR="009F6ED0" w:rsidRPr="009F6ED0" w:rsidRDefault="009F6ED0" w:rsidP="00EA2D06">
      <w:pPr>
        <w:widowControl w:val="0"/>
        <w:ind w:left="709" w:right="1246"/>
        <w:jc w:val="both"/>
        <w:rPr>
          <w:rFonts w:ascii="Abadi" w:hAnsi="Abadi"/>
          <w:i/>
          <w:sz w:val="21"/>
          <w:szCs w:val="21"/>
        </w:rPr>
      </w:pPr>
      <w:r w:rsidRPr="009F6ED0">
        <w:rPr>
          <w:rFonts w:ascii="Abadi" w:hAnsi="Abadi"/>
          <w:i/>
          <w:sz w:val="21"/>
          <w:szCs w:val="21"/>
        </w:rPr>
        <w:t>Primero. En lo general, se comparte la visión que contiene la iniciativa de reforma y se considera acertado regular la oportunidad para que los trabajadores acudan a someterse a exámenes preventivos de salud con el objetivo de proteger su salud y minimizar factores de riesgo. Se consideran adecuados los beneficios, tanto individuales como sociales, asociados a la medicina preventiva a través de la realización de exámenes clínicos.</w:t>
      </w:r>
    </w:p>
    <w:p w14:paraId="1F34AA9E" w14:textId="77777777" w:rsidR="009F6ED0" w:rsidRPr="009F6ED0" w:rsidRDefault="009F6ED0" w:rsidP="00EA2D06">
      <w:pPr>
        <w:widowControl w:val="0"/>
        <w:ind w:firstLine="708"/>
        <w:jc w:val="both"/>
        <w:rPr>
          <w:rFonts w:ascii="Abadi" w:hAnsi="Abadi" w:cs="Arial"/>
          <w:sz w:val="21"/>
          <w:szCs w:val="21"/>
        </w:rPr>
      </w:pPr>
    </w:p>
    <w:p w14:paraId="42823B87" w14:textId="77777777" w:rsidR="009F6ED0" w:rsidRPr="009F6ED0" w:rsidRDefault="009F6ED0" w:rsidP="00EA2D06">
      <w:pPr>
        <w:widowControl w:val="0"/>
        <w:ind w:firstLine="708"/>
        <w:jc w:val="both"/>
        <w:rPr>
          <w:rFonts w:ascii="Abadi" w:hAnsi="Abadi" w:cs="Arial"/>
          <w:sz w:val="21"/>
          <w:szCs w:val="21"/>
        </w:rPr>
      </w:pPr>
      <w:r w:rsidRPr="009F6ED0">
        <w:rPr>
          <w:rFonts w:ascii="Abadi" w:hAnsi="Abadi" w:cs="Arial"/>
          <w:sz w:val="21"/>
          <w:szCs w:val="21"/>
        </w:rPr>
        <w:t>La Universidad de Guanajuato dijo en su momento a través de sus comentarios y observaciones lo siguiente:</w:t>
      </w:r>
    </w:p>
    <w:p w14:paraId="19327280" w14:textId="77777777" w:rsidR="009F6ED0" w:rsidRPr="009F6ED0" w:rsidRDefault="009F6ED0" w:rsidP="00EA2D06">
      <w:pPr>
        <w:widowControl w:val="0"/>
        <w:ind w:firstLine="708"/>
        <w:jc w:val="both"/>
        <w:rPr>
          <w:rFonts w:ascii="Abadi" w:hAnsi="Abadi" w:cs="Arial"/>
          <w:sz w:val="21"/>
          <w:szCs w:val="21"/>
        </w:rPr>
      </w:pPr>
    </w:p>
    <w:p w14:paraId="3F5F64C7" w14:textId="77777777" w:rsidR="009F6ED0" w:rsidRPr="009F6ED0" w:rsidRDefault="009F6ED0" w:rsidP="00EA2D06">
      <w:pPr>
        <w:widowControl w:val="0"/>
        <w:ind w:left="709" w:right="1246"/>
        <w:jc w:val="both"/>
        <w:rPr>
          <w:rFonts w:ascii="Abadi" w:hAnsi="Abadi"/>
          <w:i/>
          <w:sz w:val="21"/>
          <w:szCs w:val="21"/>
        </w:rPr>
      </w:pPr>
      <w:r w:rsidRPr="009F6ED0">
        <w:rPr>
          <w:rFonts w:ascii="Abadi" w:hAnsi="Abadi"/>
          <w:i/>
          <w:sz w:val="21"/>
          <w:szCs w:val="21"/>
        </w:rPr>
        <w:t>(…) el derecho a la salud se encuentra reconocido en artículo 4º de la Constitución Política de los Estados Unidos Mexicanos, así como por el derecho internacional en materia de derechos humanos. El derecho a la salud ha sido definido por la Organización Mundial de la Salud como un derecho inclusivo, lo que conlleva para el Estado garantizar un amplio conjunto de factores para una vida sana no sólo para la atención sanitaria y la construcción de hospitales, sino también comprende una serie de libertades y derechos, entre los que se encuentra, el derecho a la prevención y el tratamiento de las enfermedades, y la lucha contra ellas, materia de la iniciativa sujeta a consulta.</w:t>
      </w:r>
    </w:p>
    <w:p w14:paraId="49A9FCAF" w14:textId="77777777" w:rsidR="009F6ED0" w:rsidRPr="009F6ED0" w:rsidRDefault="009F6ED0" w:rsidP="00EA2D06">
      <w:pPr>
        <w:widowControl w:val="0"/>
        <w:ind w:left="709" w:right="1246"/>
        <w:jc w:val="both"/>
        <w:rPr>
          <w:rFonts w:ascii="Abadi" w:hAnsi="Abadi"/>
          <w:i/>
          <w:sz w:val="21"/>
          <w:szCs w:val="21"/>
        </w:rPr>
      </w:pPr>
    </w:p>
    <w:p w14:paraId="194FAFFA" w14:textId="77777777" w:rsidR="009F6ED0" w:rsidRPr="009F6ED0" w:rsidRDefault="009F6ED0" w:rsidP="00EA2D06">
      <w:pPr>
        <w:widowControl w:val="0"/>
        <w:ind w:left="709" w:right="1246"/>
        <w:jc w:val="both"/>
        <w:rPr>
          <w:rFonts w:ascii="Abadi" w:hAnsi="Abadi"/>
          <w:i/>
          <w:sz w:val="21"/>
          <w:szCs w:val="21"/>
        </w:rPr>
      </w:pPr>
      <w:r w:rsidRPr="009F6ED0">
        <w:rPr>
          <w:rFonts w:ascii="Abadi" w:hAnsi="Abadi"/>
          <w:i/>
          <w:sz w:val="21"/>
          <w:szCs w:val="21"/>
        </w:rPr>
        <w:t>El Pacto Internacional de Derechos Económicos, Sociales y Culturales en el artículo 12, numeral 1, establece la obligación de los Estados Parte de reconocer el derecho que tiene toda persona al disfrute del más alto nivel posible de salud física y mental3; asimismo, en el mismo artículo, numeral 2, inciso c se establece, dentro de otras, las medidas que se adoptarán para asegurar la plena efectividad de este derecho, las relativas a: c) La prevención y el tratamiento de las enfermedades epidémicas, endémicas, profesionales y de otra índole, y la lucha contra ellas;</w:t>
      </w:r>
    </w:p>
    <w:p w14:paraId="211EBA9A" w14:textId="77777777" w:rsidR="009F6ED0" w:rsidRPr="009F6ED0" w:rsidRDefault="009F6ED0" w:rsidP="00EA2D06">
      <w:pPr>
        <w:widowControl w:val="0"/>
        <w:ind w:left="709" w:right="1246"/>
        <w:jc w:val="both"/>
        <w:rPr>
          <w:rFonts w:ascii="Abadi" w:hAnsi="Abadi"/>
          <w:i/>
          <w:sz w:val="21"/>
          <w:szCs w:val="21"/>
        </w:rPr>
      </w:pPr>
    </w:p>
    <w:p w14:paraId="32E962F0" w14:textId="77777777" w:rsidR="009F6ED0" w:rsidRPr="009F6ED0" w:rsidRDefault="009F6ED0" w:rsidP="00EA2D06">
      <w:pPr>
        <w:widowControl w:val="0"/>
        <w:ind w:left="709" w:right="1246"/>
        <w:jc w:val="both"/>
        <w:rPr>
          <w:rFonts w:ascii="Abadi" w:hAnsi="Abadi"/>
          <w:i/>
          <w:sz w:val="21"/>
          <w:szCs w:val="21"/>
        </w:rPr>
      </w:pPr>
      <w:r w:rsidRPr="009F6ED0">
        <w:rPr>
          <w:rFonts w:ascii="Abadi" w:hAnsi="Abadi"/>
          <w:i/>
          <w:sz w:val="21"/>
          <w:szCs w:val="21"/>
        </w:rPr>
        <w:t>Bajo este esquema de igualdad entre hombres y mujeres, y de convencionalidad, como bien se señala en la exposición de motivos de la iniciativa, la medida legislativa no constituye una acción afirmativa dirigida a un grupo en situación de vulnerabilidad, sino que diseña una acción dentro de la política pública en materia de salud dirigida a toda persona que tenga la calidad de servidor público con la finalidad implementar, a favor del trabajador del Estado y los municipios, la prerrogativa legal para ausentarse de sus funciones por un lapso determinado -licencia por un día por año-, para acceder a los servicios de salud como son la detección de riesgos de enfermedades y los aspectos preventivos de salud. Finalmente, se resalta la importancia de la iniciativa pues constituye una medida legislativa de realización progresiva del derecho humano a la salud, lo que implica la ampliación del contenido del derecho y su garantía, así como la obligación del Estado de avanzar en su cumplimiento.</w:t>
      </w:r>
    </w:p>
    <w:p w14:paraId="3E85657B" w14:textId="77777777" w:rsidR="009F6ED0" w:rsidRPr="009F6ED0" w:rsidRDefault="009F6ED0" w:rsidP="00EA2D06">
      <w:pPr>
        <w:widowControl w:val="0"/>
        <w:ind w:firstLine="708"/>
        <w:jc w:val="both"/>
        <w:rPr>
          <w:rFonts w:ascii="Abadi" w:hAnsi="Abadi" w:cs="Arial"/>
          <w:sz w:val="21"/>
          <w:szCs w:val="21"/>
        </w:rPr>
      </w:pPr>
    </w:p>
    <w:p w14:paraId="1E9306CA" w14:textId="77777777" w:rsidR="009F6ED0" w:rsidRPr="009F6ED0" w:rsidRDefault="009F6ED0" w:rsidP="00EA2D06">
      <w:pPr>
        <w:widowControl w:val="0"/>
        <w:ind w:firstLine="708"/>
        <w:jc w:val="both"/>
        <w:rPr>
          <w:rFonts w:ascii="Abadi" w:hAnsi="Abadi" w:cs="Arial"/>
          <w:sz w:val="21"/>
          <w:szCs w:val="21"/>
        </w:rPr>
      </w:pPr>
      <w:r w:rsidRPr="009F6ED0">
        <w:rPr>
          <w:rFonts w:ascii="Abadi" w:hAnsi="Abadi" w:cs="Arial"/>
          <w:sz w:val="21"/>
          <w:szCs w:val="21"/>
        </w:rPr>
        <w:t>El ayuntamiento de León, Guanajuato, dijo en su respuesta a la consulta lo siguiente:</w:t>
      </w:r>
    </w:p>
    <w:p w14:paraId="09782477" w14:textId="77777777" w:rsidR="009F6ED0" w:rsidRPr="009F6ED0" w:rsidRDefault="009F6ED0" w:rsidP="00EA2D06">
      <w:pPr>
        <w:widowControl w:val="0"/>
        <w:ind w:firstLine="708"/>
        <w:jc w:val="both"/>
        <w:rPr>
          <w:rFonts w:ascii="Abadi" w:hAnsi="Abadi" w:cs="Arial"/>
          <w:sz w:val="21"/>
          <w:szCs w:val="21"/>
        </w:rPr>
      </w:pPr>
    </w:p>
    <w:p w14:paraId="611B9BBB" w14:textId="77777777" w:rsidR="009F6ED0" w:rsidRPr="009F6ED0" w:rsidRDefault="009F6ED0" w:rsidP="00EA2D06">
      <w:pPr>
        <w:widowControl w:val="0"/>
        <w:ind w:left="709" w:right="1246"/>
        <w:jc w:val="both"/>
        <w:rPr>
          <w:rFonts w:ascii="Abadi" w:hAnsi="Abadi"/>
          <w:i/>
          <w:sz w:val="21"/>
          <w:szCs w:val="21"/>
        </w:rPr>
      </w:pPr>
      <w:r w:rsidRPr="009F6ED0">
        <w:rPr>
          <w:rFonts w:ascii="Abadi" w:hAnsi="Abadi"/>
          <w:i/>
          <w:sz w:val="21"/>
          <w:szCs w:val="21"/>
        </w:rPr>
        <w:t>(…) en Guanajuato, con la finalidad de garantizar los servicios de salud a la población se incorporó en el Plan Estatal de Desarrollo 2040, el objetivo que consiste en "Otorgar servicios de salud oportunos, con altos estándares de calidad y seguridad para las y los pacientes". Asimismo, es importante hacer referencia a lo establecido en el "Plan Municipal de Desarrollo, León hacia el futuro. Visión al 2045", en el pilar "Estilos de vida saludable", en la estrategia "Cultura de prevención, autocuidado y atención de la salud", se establece como una acción la de "Generar esquemas complementarios de atención a la salud desde el municipio, que brinden consultas de primer contacto y disminuyan la demanda en centros especializados de salud", con la finalidad de salvaguardar el derecho que tiene toda persona a la salud. Por lo anterior, nos manifestamos a favor de las acciones cuyo espíritu sea el garantizar y proteger el derecho humano a la salud, es importante hacer referencia que nuestra Carta Magna en su artículo 4º, consagra el derecho a la protección de la salud de toda persona, asimismo, establece que la Ley definirá un sistema de salud para el bienestar, con el fin de garantizar la extensión progresiva, cuantitativa y cualitativa de los servicios de salud para la atención integral y gratuita de las personas que no cuenten con seguridad social.</w:t>
      </w:r>
    </w:p>
    <w:p w14:paraId="7B323F1B" w14:textId="77777777" w:rsidR="009F6ED0" w:rsidRPr="009F6ED0" w:rsidRDefault="009F6ED0" w:rsidP="00EA2D06">
      <w:pPr>
        <w:widowControl w:val="0"/>
        <w:ind w:left="709" w:right="1246"/>
        <w:jc w:val="both"/>
        <w:rPr>
          <w:rFonts w:ascii="Abadi" w:hAnsi="Abadi"/>
          <w:i/>
          <w:sz w:val="21"/>
          <w:szCs w:val="21"/>
        </w:rPr>
      </w:pPr>
    </w:p>
    <w:p w14:paraId="51ABD768" w14:textId="77777777" w:rsidR="009F6ED0" w:rsidRPr="009F6ED0" w:rsidRDefault="009F6ED0" w:rsidP="00EA2D06">
      <w:pPr>
        <w:widowControl w:val="0"/>
        <w:ind w:left="709" w:right="1246"/>
        <w:jc w:val="both"/>
        <w:rPr>
          <w:rFonts w:ascii="Abadi" w:hAnsi="Abadi"/>
          <w:i/>
          <w:sz w:val="21"/>
          <w:szCs w:val="21"/>
        </w:rPr>
      </w:pPr>
      <w:r w:rsidRPr="009F6ED0">
        <w:rPr>
          <w:rFonts w:ascii="Abadi" w:hAnsi="Abadi"/>
          <w:i/>
          <w:sz w:val="21"/>
          <w:szCs w:val="21"/>
        </w:rPr>
        <w:t>Debemos advertir que la Ley General de Salud, reglamenta en su artículo 1 º, el derecho a la protección de la salud que tiene toda persona en los términos del Artículo 4o. de la Constitución Política de los Estados Unidos Mexicanos, y establece las bases y modalidades para el acceso a los servicios de salud y la concurrencia de la Federación y las entidades federativas en materia de salubridad general. En nuestro Estado, la Ley de Salud del Estado de Guanajuato, tiene como objeto normar el derecho a la protección de la salud que toda persona tiene consagrado en el Artículo 4°. de la Constitución Política de los Estados Unidos Mexicanos. Asimismo, esta Ley en su artículo 2, fracción I, establece como una de las finalidades del derecho a la protección de la salud "El bienestar físico, mental y social del ser humano, para contribuir al ejercicio pleno de sus capacidades". En la prestación de los servicios de salud del primer nivel de atención, las acciones dirigidas a la prevención de la enfermedad deben ocupar un lugar preponderante que permita incrementar los niveles de salud de la población. Con la finalidad de cumplir con las obligaciones conferidas en la Constitución Política de los Estados Unidos Mexicanos y en nuestra Constitución Local, para que las autoridades salvaguarden, protejan y garanticen los derechos humanos de todas las personas, nos sumamos a favor de esta propuesta, pues con la prevención se logrará proteger y anticipar riesgos a fin de tomar decisiones oportunas a nivel personal.</w:t>
      </w:r>
    </w:p>
    <w:p w14:paraId="4873A080" w14:textId="77777777" w:rsidR="009F6ED0" w:rsidRPr="009F6ED0" w:rsidRDefault="009F6ED0" w:rsidP="00EA2D06">
      <w:pPr>
        <w:widowControl w:val="0"/>
        <w:ind w:left="709" w:right="1246"/>
        <w:jc w:val="both"/>
        <w:rPr>
          <w:rFonts w:ascii="Abadi" w:hAnsi="Abadi"/>
          <w:i/>
          <w:sz w:val="21"/>
          <w:szCs w:val="21"/>
        </w:rPr>
      </w:pPr>
    </w:p>
    <w:p w14:paraId="16E121AC" w14:textId="77777777" w:rsidR="009F6ED0" w:rsidRPr="009F6ED0" w:rsidRDefault="009F6ED0" w:rsidP="00EA2D06">
      <w:pPr>
        <w:widowControl w:val="0"/>
        <w:ind w:left="709" w:right="1246"/>
        <w:jc w:val="both"/>
        <w:rPr>
          <w:rFonts w:ascii="Abadi" w:hAnsi="Abadi"/>
          <w:i/>
          <w:sz w:val="21"/>
          <w:szCs w:val="21"/>
        </w:rPr>
      </w:pPr>
      <w:r w:rsidRPr="009F6ED0">
        <w:rPr>
          <w:rFonts w:ascii="Abadi" w:hAnsi="Abadi"/>
          <w:i/>
          <w:sz w:val="21"/>
          <w:szCs w:val="21"/>
        </w:rPr>
        <w:t>Es precisamente en la intersección entre el derecho de los trabajadores y el derecho al goce del más alto nivel posible de salud, que nos corresponde como autoridades en el ámbito de nuestra competencia proteger, y garantizar el reglamentando mandato constitucional introducido en los artículos 4° y 123 de la Carta Magna, con la finalidad de que se salvaguarde el derecho a acudir ante las instituciones correspondientes para la realización de la valoración de salud a que nos hemos referido como un auténtico derecho fundamental de los trabajadores. Señalar que la Ley del Trabajo de los Servidores Públicos al Servicio del Estado y de los Municipios hoy reconoce como obligación de los trabajadores del Estado y de los Ayuntamientos (Artículo 43, fracción II) el desempeñar sus labores con eficiencia, cuidado y aptitudes compatibles con su condición, edad y salud, circunstancia esta última cuya determinación para tal labor puede sustentarse en la realización exámenes médicos preventivos, dado el aliciente del goce correspondiente de su sueldo. Además, el promover acciones de prevención en el cuidado de salud, resulta plausible a efecto de detectar a tiempo enfermedades para su debida atención; lo cual trasciende en procurar el bienestar de los servidores públicos."</w:t>
      </w:r>
    </w:p>
    <w:p w14:paraId="55D58EC9" w14:textId="77777777" w:rsidR="009F6ED0" w:rsidRPr="009F6ED0" w:rsidRDefault="009F6ED0" w:rsidP="00EA2D06">
      <w:pPr>
        <w:widowControl w:val="0"/>
        <w:ind w:firstLine="708"/>
        <w:jc w:val="both"/>
        <w:rPr>
          <w:rFonts w:ascii="Abadi" w:hAnsi="Abadi" w:cs="Arial"/>
          <w:sz w:val="21"/>
          <w:szCs w:val="21"/>
        </w:rPr>
      </w:pPr>
    </w:p>
    <w:p w14:paraId="7CD3A3E9" w14:textId="77777777" w:rsidR="009F6ED0" w:rsidRPr="009F6ED0" w:rsidRDefault="009F6ED0" w:rsidP="00EA2D06">
      <w:pPr>
        <w:widowControl w:val="0"/>
        <w:ind w:firstLine="708"/>
        <w:jc w:val="both"/>
        <w:rPr>
          <w:rFonts w:ascii="Abadi" w:hAnsi="Abadi" w:cs="Arial"/>
          <w:sz w:val="21"/>
          <w:szCs w:val="21"/>
        </w:rPr>
      </w:pPr>
      <w:r w:rsidRPr="009F6ED0">
        <w:rPr>
          <w:rFonts w:ascii="Abadi" w:hAnsi="Abadi" w:cs="Arial"/>
          <w:sz w:val="21"/>
          <w:szCs w:val="21"/>
        </w:rPr>
        <w:t>El ayuntamiento de Celaya, Guanajuato, refirió en su opinión resultado de la consulta lo siguiente:</w:t>
      </w:r>
    </w:p>
    <w:p w14:paraId="5E441B40" w14:textId="77777777" w:rsidR="009F6ED0" w:rsidRPr="009F6ED0" w:rsidRDefault="009F6ED0" w:rsidP="00EA2D06">
      <w:pPr>
        <w:widowControl w:val="0"/>
        <w:ind w:left="709" w:right="1246"/>
        <w:jc w:val="both"/>
        <w:rPr>
          <w:rFonts w:ascii="Abadi" w:hAnsi="Abadi"/>
          <w:i/>
          <w:sz w:val="21"/>
          <w:szCs w:val="21"/>
        </w:rPr>
      </w:pPr>
    </w:p>
    <w:p w14:paraId="75D65EF5" w14:textId="77777777" w:rsidR="009F6ED0" w:rsidRPr="009F6ED0" w:rsidRDefault="009F6ED0" w:rsidP="00EA2D06">
      <w:pPr>
        <w:widowControl w:val="0"/>
        <w:ind w:left="709" w:right="1246"/>
        <w:jc w:val="both"/>
        <w:rPr>
          <w:rFonts w:ascii="Abadi" w:hAnsi="Abadi"/>
          <w:i/>
          <w:sz w:val="21"/>
          <w:szCs w:val="21"/>
        </w:rPr>
      </w:pPr>
      <w:r w:rsidRPr="009F6ED0">
        <w:rPr>
          <w:rFonts w:ascii="Abadi" w:hAnsi="Abadi"/>
          <w:i/>
          <w:sz w:val="21"/>
          <w:szCs w:val="21"/>
        </w:rPr>
        <w:t>(…) se observa que primeramente se debe hacer la solicitud de licencia y posterior a la ausencia presentar el justificante con el certificado médico expedido por un servicio médico público o privado.</w:t>
      </w:r>
    </w:p>
    <w:p w14:paraId="3C05CEBF" w14:textId="77777777" w:rsidR="009F6ED0" w:rsidRPr="009F6ED0" w:rsidRDefault="009F6ED0" w:rsidP="00EA2D06">
      <w:pPr>
        <w:widowControl w:val="0"/>
        <w:ind w:firstLine="708"/>
        <w:jc w:val="both"/>
        <w:rPr>
          <w:rFonts w:ascii="Abadi" w:hAnsi="Abadi" w:cs="Arial"/>
          <w:sz w:val="21"/>
          <w:szCs w:val="21"/>
        </w:rPr>
      </w:pPr>
    </w:p>
    <w:p w14:paraId="45D94509" w14:textId="77777777" w:rsidR="009F6ED0" w:rsidRPr="009F6ED0" w:rsidRDefault="009F6ED0" w:rsidP="00EA2D06">
      <w:pPr>
        <w:widowControl w:val="0"/>
        <w:ind w:firstLine="708"/>
        <w:jc w:val="both"/>
        <w:rPr>
          <w:rFonts w:ascii="Abadi" w:hAnsi="Abadi" w:cs="Arial"/>
          <w:sz w:val="21"/>
          <w:szCs w:val="21"/>
        </w:rPr>
      </w:pPr>
      <w:r w:rsidRPr="009F6ED0">
        <w:rPr>
          <w:rFonts w:ascii="Abadi" w:hAnsi="Abadi" w:cs="Arial"/>
          <w:sz w:val="21"/>
          <w:szCs w:val="21"/>
        </w:rPr>
        <w:t>Por su parte el ayuntamiento de Victoria, Guanajuato, manifestó en su momento lo siguiente:</w:t>
      </w:r>
    </w:p>
    <w:p w14:paraId="3B3A4755" w14:textId="77777777" w:rsidR="009F6ED0" w:rsidRPr="009F6ED0" w:rsidRDefault="009F6ED0" w:rsidP="00EA2D06">
      <w:pPr>
        <w:widowControl w:val="0"/>
        <w:ind w:firstLine="708"/>
        <w:jc w:val="both"/>
        <w:rPr>
          <w:rFonts w:ascii="Abadi" w:hAnsi="Abadi" w:cs="Arial"/>
          <w:sz w:val="21"/>
          <w:szCs w:val="21"/>
        </w:rPr>
      </w:pPr>
    </w:p>
    <w:p w14:paraId="45CF5248" w14:textId="77777777" w:rsidR="009F6ED0" w:rsidRPr="009F6ED0" w:rsidRDefault="009F6ED0" w:rsidP="00EA2D06">
      <w:pPr>
        <w:widowControl w:val="0"/>
        <w:ind w:left="709" w:right="1246"/>
        <w:jc w:val="both"/>
        <w:rPr>
          <w:rFonts w:ascii="Abadi" w:hAnsi="Abadi"/>
          <w:i/>
          <w:sz w:val="21"/>
          <w:szCs w:val="21"/>
        </w:rPr>
      </w:pPr>
      <w:r w:rsidRPr="009F6ED0">
        <w:rPr>
          <w:rFonts w:ascii="Abadi" w:hAnsi="Abadi"/>
          <w:i/>
          <w:sz w:val="21"/>
          <w:szCs w:val="21"/>
        </w:rPr>
        <w:t>(..) desde hace dos años desde aquel anuncio que cambio la historia de la humanidad. Diversas lecciones hemos aprendido de esta contingencia sanitaria, pero quizá la más relevante es la importancia de la prevención. La salud tiene una importancia vital para todos los seres humanos. Una persona con mala salud no podrá estudiar o trabajar adecuadamente y no podrá disfrutar completamente de su vida. Por lo tanto, el derecho a la salud constituye un derecho fundamental de todos los seres humanos. La protección de la salud es un derecho social y universal, además, es un elemento esencial para que el Estado pueda sentar las bases para eliminar la desigualdad existente entre los miembros de una sociedad. Así, la prevención de la enfermedad es una estrategia que se hace efectiva en la atención integral de las personas. Por lo anterior se dice que la prevención implica promover la salud, así como diagnosticar y tratar oportunamente a un enfermo, también rehabilitarlo y evitar complicaciones o secuelas de su padecimiento, mediante sus diferentes niveles de intervención. En ese sentido, la prevención como concepto, son las medidas destinadas no solamente a prevenir la aparición de la enfermedad, tales como la reducción de factores de riesgo, sino también a detener su avance y atenuar sus consecuencias una vez establecida (Organización Mundial de la Salud).</w:t>
      </w:r>
    </w:p>
    <w:p w14:paraId="3D947C28" w14:textId="77777777" w:rsidR="009F6ED0" w:rsidRPr="009F6ED0" w:rsidRDefault="009F6ED0" w:rsidP="00EA2D06">
      <w:pPr>
        <w:widowControl w:val="0"/>
        <w:ind w:left="709" w:right="1246"/>
        <w:jc w:val="both"/>
        <w:rPr>
          <w:rFonts w:ascii="Abadi" w:hAnsi="Abadi"/>
          <w:i/>
          <w:sz w:val="21"/>
          <w:szCs w:val="21"/>
        </w:rPr>
      </w:pPr>
    </w:p>
    <w:p w14:paraId="046BE8DF" w14:textId="77777777" w:rsidR="009F6ED0" w:rsidRPr="009F6ED0" w:rsidRDefault="009F6ED0" w:rsidP="00EA2D06">
      <w:pPr>
        <w:widowControl w:val="0"/>
        <w:ind w:left="709" w:right="1246"/>
        <w:jc w:val="both"/>
        <w:rPr>
          <w:rFonts w:ascii="Abadi" w:hAnsi="Abadi"/>
          <w:i/>
          <w:sz w:val="21"/>
          <w:szCs w:val="21"/>
        </w:rPr>
      </w:pPr>
      <w:r w:rsidRPr="009F6ED0">
        <w:rPr>
          <w:rFonts w:ascii="Abadi" w:hAnsi="Abadi"/>
          <w:i/>
          <w:sz w:val="21"/>
          <w:szCs w:val="21"/>
        </w:rPr>
        <w:t>En este contexto, la prevención, el diagnóstico temprano, la captación oportuna y el tratamiento adecuado son esenciales para el control de la enfermedad. De allí, la relevancia de la captación temprana de los casos y el control periodice de la población afectada para evitar o retardar la aparición de las secuelas. Lo ideal sería aplicar las medidas preventivas en la fase preclínica, cuando aún el daño al organismo no está tan avanzado y, por lo tanto, los síntomas no son aún aparentes. Esto es particularmente importante cuando se trata de enfermedades crónicas, como el cáncer. Prevenir tiene implicaciones tanto individuales como beneficios sociales. Permite proteger y anticipar riesgos a fin de tomar decisiones oportunas a nivel personal. Como sociedad, en el mediano y largo plazo, permite que el Estado controle sus gastos y disminuya las incidencias de las afectaciones de salud de la sociedad en su conjunto. Quienes dictaminamos, coincidimos estar a favor de la presente iniciativa a efecto de que los trabajadores puedan gozar de licencia con goce de sueldo para someterse a exámenes médicos preventivos. Ya que toda persona tiene derecho a la protección de la salud, si las personas hacen uso de los servicios de salud tienen el derecho de obtener prestaciones oportunas, profesionales, idóneas y responsables. Respetando la autonomía del municipio libre.</w:t>
      </w:r>
    </w:p>
    <w:p w14:paraId="3AD15A6D" w14:textId="77777777" w:rsidR="009F6ED0" w:rsidRPr="009F6ED0" w:rsidRDefault="009F6ED0" w:rsidP="00EA2D06">
      <w:pPr>
        <w:widowControl w:val="0"/>
        <w:jc w:val="both"/>
        <w:rPr>
          <w:rFonts w:ascii="Abadi" w:hAnsi="Abadi" w:cs="Arial"/>
          <w:sz w:val="21"/>
          <w:szCs w:val="21"/>
        </w:rPr>
      </w:pPr>
    </w:p>
    <w:p w14:paraId="0C86CFE8" w14:textId="77777777" w:rsidR="009F6ED0" w:rsidRPr="009F6ED0" w:rsidRDefault="009F6ED0" w:rsidP="00EA2D06">
      <w:pPr>
        <w:widowControl w:val="0"/>
        <w:jc w:val="both"/>
        <w:rPr>
          <w:rFonts w:ascii="Abadi" w:hAnsi="Abadi" w:cs="Arial"/>
          <w:sz w:val="21"/>
          <w:szCs w:val="21"/>
        </w:rPr>
      </w:pPr>
    </w:p>
    <w:p w14:paraId="2AE2B5A0" w14:textId="77777777" w:rsidR="009F6ED0" w:rsidRPr="009F6ED0" w:rsidRDefault="009F6ED0" w:rsidP="00EA2D06">
      <w:pPr>
        <w:widowControl w:val="0"/>
        <w:jc w:val="both"/>
        <w:rPr>
          <w:rFonts w:ascii="Abadi" w:hAnsi="Abadi" w:cs="Arial"/>
          <w:sz w:val="21"/>
          <w:szCs w:val="21"/>
        </w:rPr>
      </w:pPr>
    </w:p>
    <w:p w14:paraId="565E7365" w14:textId="77777777" w:rsidR="009F6ED0" w:rsidRPr="009F6ED0" w:rsidRDefault="009F6ED0" w:rsidP="00EA2D06">
      <w:pPr>
        <w:widowControl w:val="0"/>
        <w:jc w:val="both"/>
        <w:rPr>
          <w:rFonts w:ascii="Abadi" w:hAnsi="Abadi" w:cs="Arial"/>
          <w:sz w:val="21"/>
          <w:szCs w:val="21"/>
        </w:rPr>
      </w:pPr>
    </w:p>
    <w:p w14:paraId="007DD358" w14:textId="77777777" w:rsidR="009F6ED0" w:rsidRPr="009F6ED0" w:rsidRDefault="009F6ED0" w:rsidP="00EA2D06">
      <w:pPr>
        <w:widowControl w:val="0"/>
        <w:jc w:val="both"/>
        <w:rPr>
          <w:rFonts w:ascii="Abadi" w:hAnsi="Abadi" w:cs="Arial"/>
          <w:sz w:val="21"/>
          <w:szCs w:val="21"/>
        </w:rPr>
      </w:pPr>
      <w:r w:rsidRPr="009F6ED0">
        <w:rPr>
          <w:rFonts w:ascii="Abadi" w:hAnsi="Abadi" w:cs="Arial"/>
          <w:sz w:val="21"/>
          <w:szCs w:val="21"/>
        </w:rPr>
        <w:t xml:space="preserve">Posterior a este ejercicio </w:t>
      </w:r>
      <w:r w:rsidRPr="009F6ED0">
        <w:rPr>
          <w:rFonts w:ascii="Abadi" w:hAnsi="Abadi" w:cs="Arial"/>
          <w:i/>
          <w:iCs/>
          <w:sz w:val="21"/>
          <w:szCs w:val="21"/>
        </w:rPr>
        <w:t xml:space="preserve">en el desahogo de una mesa de trabajo </w:t>
      </w:r>
      <w:r w:rsidRPr="009F6ED0">
        <w:rPr>
          <w:rFonts w:ascii="Abadi" w:hAnsi="Abadi" w:cs="Arial"/>
          <w:sz w:val="21"/>
          <w:szCs w:val="21"/>
        </w:rPr>
        <w:t>expusieron sus comentarios y observaciones la Fiscalía General del Estado, la Secretaría de Gobierno y la Coordinación General Jurídica de Gobierno del Estado de manera consolidada con la Secretaría de Finanzas, Inversión y Administración.</w:t>
      </w:r>
    </w:p>
    <w:p w14:paraId="76218ECA" w14:textId="77777777" w:rsidR="009F6ED0" w:rsidRPr="009F6ED0" w:rsidRDefault="009F6ED0" w:rsidP="00EA2D06">
      <w:pPr>
        <w:widowControl w:val="0"/>
        <w:jc w:val="both"/>
        <w:rPr>
          <w:rFonts w:ascii="Abadi" w:hAnsi="Abadi" w:cs="Arial"/>
          <w:sz w:val="21"/>
          <w:szCs w:val="21"/>
        </w:rPr>
      </w:pPr>
    </w:p>
    <w:p w14:paraId="006FC197" w14:textId="77777777" w:rsidR="009F6ED0" w:rsidRPr="009F6ED0" w:rsidRDefault="009F6ED0" w:rsidP="00EA2D06">
      <w:pPr>
        <w:widowControl w:val="0"/>
        <w:ind w:firstLine="708"/>
        <w:jc w:val="both"/>
        <w:rPr>
          <w:rFonts w:ascii="Abadi" w:hAnsi="Abadi" w:cs="Arial"/>
          <w:sz w:val="21"/>
          <w:szCs w:val="21"/>
        </w:rPr>
      </w:pPr>
      <w:r w:rsidRPr="009F6ED0">
        <w:rPr>
          <w:rFonts w:ascii="Abadi" w:hAnsi="Abadi" w:cs="Arial"/>
          <w:sz w:val="21"/>
          <w:szCs w:val="21"/>
        </w:rPr>
        <w:t>La Fiscalía General del Estado, en su respuesta a la consulta manifestó que:</w:t>
      </w:r>
    </w:p>
    <w:p w14:paraId="5A627394" w14:textId="77777777" w:rsidR="009F6ED0" w:rsidRPr="009F6ED0" w:rsidRDefault="009F6ED0" w:rsidP="00EA2D06">
      <w:pPr>
        <w:widowControl w:val="0"/>
        <w:ind w:left="709" w:right="1246"/>
        <w:jc w:val="both"/>
        <w:rPr>
          <w:rFonts w:ascii="Abadi" w:hAnsi="Abadi"/>
          <w:i/>
          <w:sz w:val="21"/>
          <w:szCs w:val="21"/>
        </w:rPr>
      </w:pPr>
      <w:r w:rsidRPr="009F6ED0">
        <w:rPr>
          <w:rFonts w:ascii="Abadi" w:hAnsi="Abadi"/>
          <w:i/>
          <w:sz w:val="21"/>
          <w:szCs w:val="21"/>
        </w:rPr>
        <w:t>(…) En términos generales se considera pertinente el ánimo del objetivo de la propuesta legislativa, resaltando la importancia que tiene el establecimiento de disposiciones legales tendientes a fortalecer esquemas para la atención en materia de medicina preventiva, particularmente, a favor del derecho humano a la salud, lo cual se ciñe al marco constitucional, convencional y legal vigente; sin embargo y con el ánimo de coadyuvar en el proceso de definición en lo general es de reflexionar sobre los esquemas</w:t>
      </w:r>
    </w:p>
    <w:p w14:paraId="0DF8D7AD" w14:textId="77777777" w:rsidR="009F6ED0" w:rsidRPr="009F6ED0" w:rsidRDefault="009F6ED0" w:rsidP="00EA2D06">
      <w:pPr>
        <w:widowControl w:val="0"/>
        <w:ind w:left="709" w:right="1246"/>
        <w:jc w:val="both"/>
        <w:rPr>
          <w:rFonts w:ascii="Abadi" w:hAnsi="Abadi"/>
          <w:i/>
          <w:sz w:val="21"/>
          <w:szCs w:val="21"/>
        </w:rPr>
      </w:pPr>
      <w:r w:rsidRPr="009F6ED0">
        <w:rPr>
          <w:rFonts w:ascii="Abadi" w:hAnsi="Abadi"/>
          <w:i/>
          <w:sz w:val="21"/>
          <w:szCs w:val="21"/>
        </w:rPr>
        <w:t>organizacionales en las instituciones públicas, así como, en su caso, lo relativo al inicio de vigencia ante las repercusiones administrativas y operativas a considerar.</w:t>
      </w:r>
    </w:p>
    <w:p w14:paraId="1E76BDCC" w14:textId="77777777" w:rsidR="009F6ED0" w:rsidRPr="009F6ED0" w:rsidRDefault="009F6ED0" w:rsidP="00EA2D06">
      <w:pPr>
        <w:widowControl w:val="0"/>
        <w:jc w:val="both"/>
        <w:rPr>
          <w:rFonts w:ascii="Abadi" w:hAnsi="Abadi" w:cs="Arial"/>
          <w:sz w:val="21"/>
          <w:szCs w:val="21"/>
        </w:rPr>
      </w:pPr>
    </w:p>
    <w:p w14:paraId="4C5C0C8E" w14:textId="77777777" w:rsidR="009F6ED0" w:rsidRPr="009F6ED0" w:rsidRDefault="009F6ED0" w:rsidP="00EA2D06">
      <w:pPr>
        <w:widowControl w:val="0"/>
        <w:jc w:val="both"/>
        <w:rPr>
          <w:rFonts w:ascii="Abadi" w:hAnsi="Abadi" w:cs="Arial"/>
          <w:sz w:val="21"/>
          <w:szCs w:val="21"/>
        </w:rPr>
      </w:pPr>
      <w:r w:rsidRPr="009F6ED0">
        <w:rPr>
          <w:rFonts w:ascii="Abadi" w:hAnsi="Abadi" w:cs="Arial"/>
          <w:b/>
          <w:bCs/>
          <w:sz w:val="21"/>
          <w:szCs w:val="21"/>
        </w:rPr>
        <w:t xml:space="preserve">I.7. </w:t>
      </w:r>
      <w:r w:rsidRPr="009F6ED0">
        <w:rPr>
          <w:rFonts w:ascii="Abadi" w:hAnsi="Abadi" w:cs="Arial"/>
          <w:sz w:val="21"/>
          <w:szCs w:val="21"/>
        </w:rPr>
        <w:t>Se celebró una mesa de trabajo en modalidad híbrida con respecto a los alcances de la segunda iniciativa en fecha 9 de septiembre 2022, estando presentes y a distancia las diputadas Susana Bermúdez Cano, Laura Cristina Márquez Alcalá, Briseida Anabel Magdaleno González, los diputados Rolando Fortino Alcántar Rojas y Gerardo Fernández González integrantes de la Comisión de Gobernación y Puntos Constitucionales, la diputada María de la Luz Hernández Martínez, integrante de la Sexagésima Quinta Legislatura, el consejero adscrito a la ponencia I del Poder Judicial, así como servidores públicos de la Coordinación General Jurídica de Gobierno del Estado, de la Secretaría de Finanzas, Inversión y Administración, de la Secretaria de Gobierno, de la Procuraduría de los Derechos Humanos del Estado de Guanajuato, de la Fiscalía General del Estado y del Instituto de Acceso a la Información Pública para el Estado de Guanajuato; las y los asesores de los grupos parlamentarios de los partidos Acción Nacional, MORENA, Revolucionario Institucional y Verde Ecologista de México, así como la secretaría técnica de la comisión legislativa.</w:t>
      </w:r>
    </w:p>
    <w:p w14:paraId="025A8E70" w14:textId="77777777" w:rsidR="009F6ED0" w:rsidRPr="009F6ED0" w:rsidRDefault="009F6ED0" w:rsidP="00EA2D06">
      <w:pPr>
        <w:widowControl w:val="0"/>
        <w:jc w:val="both"/>
        <w:rPr>
          <w:rFonts w:ascii="Abadi" w:eastAsia="Batang" w:hAnsi="Abadi" w:cs="Arial"/>
          <w:b/>
          <w:bCs/>
          <w:sz w:val="21"/>
          <w:szCs w:val="21"/>
          <w:lang w:val="es-MX"/>
        </w:rPr>
      </w:pPr>
    </w:p>
    <w:p w14:paraId="671712E9" w14:textId="77777777" w:rsidR="009F6ED0" w:rsidRPr="009F6ED0" w:rsidRDefault="009F6ED0" w:rsidP="00EA2D06">
      <w:pPr>
        <w:widowControl w:val="0"/>
        <w:jc w:val="both"/>
        <w:rPr>
          <w:rFonts w:ascii="Abadi" w:eastAsia="Batang" w:hAnsi="Abadi" w:cs="Arial"/>
          <w:sz w:val="21"/>
          <w:szCs w:val="21"/>
          <w:lang w:val="es-MX"/>
        </w:rPr>
      </w:pPr>
      <w:r w:rsidRPr="009F6ED0">
        <w:rPr>
          <w:rFonts w:ascii="Abadi" w:eastAsia="Batang" w:hAnsi="Abadi" w:cs="Arial"/>
          <w:b/>
          <w:bCs/>
          <w:sz w:val="21"/>
          <w:szCs w:val="21"/>
          <w:lang w:val="es-MX"/>
        </w:rPr>
        <w:t>I.8.</w:t>
      </w:r>
      <w:r w:rsidRPr="009F6ED0">
        <w:rPr>
          <w:rFonts w:ascii="Abadi" w:eastAsia="Batang" w:hAnsi="Abadi" w:cs="Arial"/>
          <w:sz w:val="21"/>
          <w:szCs w:val="21"/>
          <w:lang w:val="es-MX"/>
        </w:rPr>
        <w:t xml:space="preserve"> Finalmente, la presidencia de la Comisión de Gobernación y Puntos Constitucionales instruyó a la secretaría técnica para que elaborara el proyecto de dictamen en sentido positivo de ambas iniciativas atendiendo a lo vertido en las respectivas mesas de trabajo y con fundamento en lo dispuesto en los artículos 94, fracción VII y 272, fracción VIII inciso e de la Ley Orgánica del Poder Legislativo del Estado de Guanajuato, mismo que fue materia de revisión por las diputadas y los diputados integrantes de esta comisión dictaminadora.</w:t>
      </w:r>
    </w:p>
    <w:p w14:paraId="7B3D65A3" w14:textId="77777777" w:rsidR="009F6ED0" w:rsidRPr="009F6ED0" w:rsidRDefault="009F6ED0" w:rsidP="00EA2D06">
      <w:pPr>
        <w:widowControl w:val="0"/>
        <w:jc w:val="both"/>
        <w:rPr>
          <w:rFonts w:ascii="Abadi" w:eastAsia="Batang" w:hAnsi="Abadi" w:cs="Arial"/>
          <w:b/>
          <w:sz w:val="21"/>
          <w:szCs w:val="21"/>
        </w:rPr>
      </w:pPr>
    </w:p>
    <w:p w14:paraId="7D710BC2" w14:textId="77777777" w:rsidR="009F6ED0" w:rsidRPr="009F6ED0" w:rsidRDefault="009F6ED0" w:rsidP="00EA2D06">
      <w:pPr>
        <w:widowControl w:val="0"/>
        <w:jc w:val="both"/>
        <w:rPr>
          <w:rFonts w:ascii="Abadi" w:eastAsia="Batang" w:hAnsi="Abadi" w:cs="Arial"/>
          <w:b/>
          <w:sz w:val="21"/>
          <w:szCs w:val="21"/>
        </w:rPr>
      </w:pPr>
      <w:r w:rsidRPr="009F6ED0">
        <w:rPr>
          <w:rFonts w:ascii="Abadi" w:eastAsia="Batang" w:hAnsi="Abadi" w:cs="Arial"/>
          <w:b/>
          <w:sz w:val="21"/>
          <w:szCs w:val="21"/>
        </w:rPr>
        <w:t>II.</w:t>
      </w:r>
      <w:r w:rsidRPr="009F6ED0">
        <w:rPr>
          <w:rFonts w:ascii="Abadi" w:eastAsia="Batang" w:hAnsi="Abadi" w:cs="Arial"/>
          <w:b/>
          <w:sz w:val="21"/>
          <w:szCs w:val="21"/>
        </w:rPr>
        <w:tab/>
        <w:t>Valoración de las iniciativas y consideraciones de la Comisión de Gobernación y Puntos Constitucionales.</w:t>
      </w:r>
    </w:p>
    <w:p w14:paraId="74DD00E4" w14:textId="77777777" w:rsidR="009F6ED0" w:rsidRPr="009F6ED0" w:rsidRDefault="009F6ED0" w:rsidP="00EA2D06">
      <w:pPr>
        <w:widowControl w:val="0"/>
        <w:jc w:val="both"/>
        <w:rPr>
          <w:rFonts w:ascii="Abadi" w:eastAsia="Batang" w:hAnsi="Abadi" w:cs="Arial"/>
          <w:b/>
          <w:sz w:val="21"/>
          <w:szCs w:val="21"/>
        </w:rPr>
      </w:pPr>
    </w:p>
    <w:p w14:paraId="5D782EED" w14:textId="77777777" w:rsidR="009F6ED0" w:rsidRPr="009F6ED0" w:rsidRDefault="009F6ED0" w:rsidP="00EA2D06">
      <w:pPr>
        <w:widowControl w:val="0"/>
        <w:ind w:firstLine="708"/>
        <w:jc w:val="both"/>
        <w:rPr>
          <w:rFonts w:ascii="Abadi" w:eastAsia="Batang" w:hAnsi="Abadi" w:cs="Arial"/>
          <w:sz w:val="21"/>
          <w:szCs w:val="21"/>
          <w:lang w:val="es-MX"/>
        </w:rPr>
      </w:pPr>
      <w:r w:rsidRPr="009F6ED0">
        <w:rPr>
          <w:rFonts w:ascii="Abadi" w:eastAsia="Batang" w:hAnsi="Abadi" w:cs="Arial"/>
          <w:sz w:val="21"/>
          <w:szCs w:val="21"/>
          <w:lang w:val="es-MX"/>
        </w:rPr>
        <w:t>Las diputadas y los diputados que integramos la comisión dictaminadora, consideramos importante referenciar los puntos sobre los cuales versa el sustento de estas propuestas que tienen como finalidad entre otras, el otorgamiento de licencias laborales por un tiempo determinado a madres o padres trabajadores al servicio del Estado y los municipios con hijo o hija diagnosticado con cáncer, durante la etapa del tratamiento oncológico y para la realización de certificados médicos preventivos.</w:t>
      </w:r>
    </w:p>
    <w:p w14:paraId="66AD1CED" w14:textId="77777777" w:rsidR="009F6ED0" w:rsidRPr="009F6ED0" w:rsidRDefault="009F6ED0" w:rsidP="00EA2D06">
      <w:pPr>
        <w:widowControl w:val="0"/>
        <w:jc w:val="both"/>
        <w:rPr>
          <w:rFonts w:ascii="Abadi" w:eastAsia="Batang" w:hAnsi="Abadi" w:cs="Arial"/>
          <w:sz w:val="21"/>
          <w:szCs w:val="21"/>
          <w:lang w:val="es-MX"/>
        </w:rPr>
      </w:pPr>
    </w:p>
    <w:p w14:paraId="1A3BA058" w14:textId="77777777" w:rsidR="009F6ED0" w:rsidRPr="009F6ED0" w:rsidRDefault="009F6ED0" w:rsidP="00EA2D06">
      <w:pPr>
        <w:widowControl w:val="0"/>
        <w:ind w:firstLine="708"/>
        <w:jc w:val="both"/>
        <w:rPr>
          <w:rFonts w:ascii="Abadi" w:eastAsia="Batang" w:hAnsi="Abadi" w:cs="Arial"/>
          <w:sz w:val="21"/>
          <w:szCs w:val="21"/>
          <w:lang w:val="es-MX"/>
        </w:rPr>
      </w:pPr>
      <w:r w:rsidRPr="009F6ED0">
        <w:rPr>
          <w:rFonts w:ascii="Abadi" w:eastAsia="Batang" w:hAnsi="Abadi" w:cs="Arial"/>
          <w:sz w:val="21"/>
          <w:szCs w:val="21"/>
          <w:lang w:val="es-MX"/>
        </w:rPr>
        <w:t xml:space="preserve">El diputado iniciante </w:t>
      </w:r>
      <w:r w:rsidRPr="009F6ED0">
        <w:rPr>
          <w:rFonts w:ascii="Abadi" w:eastAsia="Batang" w:hAnsi="Abadi" w:cs="Arial"/>
          <w:i/>
          <w:iCs/>
          <w:sz w:val="21"/>
          <w:szCs w:val="21"/>
          <w:lang w:val="es-MX"/>
        </w:rPr>
        <w:t xml:space="preserve">de la primera propuesta </w:t>
      </w:r>
      <w:r w:rsidRPr="009F6ED0">
        <w:rPr>
          <w:rFonts w:ascii="Abadi" w:eastAsia="Batang" w:hAnsi="Abadi" w:cs="Arial"/>
          <w:sz w:val="21"/>
          <w:szCs w:val="21"/>
          <w:lang w:val="es-MX"/>
        </w:rPr>
        <w:t>plasmó en su exposición de motivos lo siguiente:</w:t>
      </w:r>
    </w:p>
    <w:p w14:paraId="7C830730" w14:textId="77777777" w:rsidR="009F6ED0" w:rsidRPr="009F6ED0" w:rsidRDefault="009F6ED0" w:rsidP="00EA2D06">
      <w:pPr>
        <w:widowControl w:val="0"/>
        <w:ind w:firstLine="708"/>
        <w:jc w:val="both"/>
        <w:rPr>
          <w:rFonts w:ascii="Abadi" w:eastAsia="Batang" w:hAnsi="Abadi" w:cs="Arial"/>
          <w:sz w:val="21"/>
          <w:szCs w:val="21"/>
          <w:lang w:val="es-MX"/>
        </w:rPr>
      </w:pPr>
    </w:p>
    <w:p w14:paraId="49B7B79F" w14:textId="77777777" w:rsidR="009F6ED0" w:rsidRPr="009F6ED0" w:rsidRDefault="009F6ED0" w:rsidP="00EA2D06">
      <w:pPr>
        <w:widowControl w:val="0"/>
        <w:ind w:left="709" w:right="1246"/>
        <w:jc w:val="both"/>
        <w:rPr>
          <w:rFonts w:ascii="Abadi" w:hAnsi="Abadi"/>
          <w:i/>
          <w:sz w:val="21"/>
          <w:szCs w:val="21"/>
        </w:rPr>
      </w:pPr>
      <w:r w:rsidRPr="009F6ED0">
        <w:rPr>
          <w:rFonts w:ascii="Abadi" w:hAnsi="Abadi"/>
          <w:i/>
          <w:sz w:val="21"/>
          <w:szCs w:val="21"/>
        </w:rPr>
        <w:t>«(…) La seguridad social, desde la concepción universal de la Comisión Nacional de los Derechos Humanos, es un derecho humano que surge a partir de la necesidad de establecer condiciones elementales que aseguren la existencia y favorezcan el desarrollo de las personas, se sustenta en la dignidad humana. Puede ejercerse desde las dimensiones individual y social o colectiva, sin limitaciones; inalienable, indivisible, interdependiente e interrelacionado, por lo que, la seguridad social puede entenderse como las medidas que establece el Estado para garantizar a cada persona un ingreso digno y apropiada protección para la salud, en la que deben contribuir patrones, trabajadores y el Estado. Asimismo, para la Organización Internacional del Trabajo (OIT) el derecho humano a la seguridad social comprende: la protección que una sociedad proporciona a los individuos y los hogares para asegurar el acceso a la asistencia médica y garantizar la seguridad del ingreso, en particular en el caso de vejez, desempleo, enfermedad, invalidez, accidentes de trabajo, maternidad o pérdida del sostén de la familia.</w:t>
      </w:r>
    </w:p>
    <w:p w14:paraId="280C19EB" w14:textId="77777777" w:rsidR="009F6ED0" w:rsidRPr="009F6ED0" w:rsidRDefault="009F6ED0" w:rsidP="00EA2D06">
      <w:pPr>
        <w:widowControl w:val="0"/>
        <w:ind w:left="709" w:right="1246"/>
        <w:jc w:val="both"/>
        <w:rPr>
          <w:rFonts w:ascii="Abadi" w:hAnsi="Abadi"/>
          <w:i/>
          <w:sz w:val="21"/>
          <w:szCs w:val="21"/>
        </w:rPr>
      </w:pPr>
    </w:p>
    <w:p w14:paraId="734B06F6" w14:textId="77777777" w:rsidR="009F6ED0" w:rsidRPr="009F6ED0" w:rsidRDefault="009F6ED0" w:rsidP="00EA2D06">
      <w:pPr>
        <w:widowControl w:val="0"/>
        <w:ind w:left="709" w:right="1246"/>
        <w:jc w:val="both"/>
        <w:rPr>
          <w:rFonts w:ascii="Abadi" w:hAnsi="Abadi"/>
          <w:i/>
          <w:sz w:val="21"/>
          <w:szCs w:val="21"/>
        </w:rPr>
      </w:pPr>
      <w:r w:rsidRPr="009F6ED0">
        <w:rPr>
          <w:rFonts w:ascii="Abadi" w:hAnsi="Abadi"/>
          <w:i/>
          <w:sz w:val="21"/>
          <w:szCs w:val="21"/>
        </w:rPr>
        <w:t>De igual manera la OIT, incluye el derecho a obtener y mantener prestaciones sociales, sin discriminación, con el fin de obtener protección en particular contra: la falta de ingresos procedentes del trabajo debido a enfermedad, invalidez, maternidad, accidente laboral, vejez o muerte de un familiar; así como gastos excesivos de atención a la salud, apoyo familiar insuficiente, en particular para los hijos de los familiares a cargo. En ese contexto, resulta innegable que toda persona tiene derecho a un nivel de vida que le asegure, a ella y a su familia, salud y bienestar, particularmente en la asistencia apoyo y acompañamiento en los servicios necesarios de la salud. Así pues, la presente iniciativa busca la salvaguarda de la salud de las y los trabajadores al servicio del Estado y los municipios de Guanajuato, así como el debido cuidado de sus menores hijos. Por ello, estimamos pertinente justificar de manera particular cada uno de los tres aspectos que se manejan en la propuesta que se establece en la presente, a saber:</w:t>
      </w:r>
    </w:p>
    <w:p w14:paraId="20570D38" w14:textId="77777777" w:rsidR="009F6ED0" w:rsidRPr="009F6ED0" w:rsidRDefault="009F6ED0" w:rsidP="009F6ED0">
      <w:pPr>
        <w:widowControl w:val="0"/>
        <w:ind w:left="709" w:right="1246"/>
        <w:jc w:val="both"/>
        <w:rPr>
          <w:rFonts w:ascii="Abadi" w:hAnsi="Abadi"/>
          <w:i/>
          <w:sz w:val="21"/>
          <w:szCs w:val="21"/>
        </w:rPr>
      </w:pPr>
    </w:p>
    <w:p w14:paraId="46A2EEF1" w14:textId="77777777" w:rsidR="009F6ED0" w:rsidRPr="009F6ED0" w:rsidRDefault="009F6ED0" w:rsidP="009F6ED0">
      <w:pPr>
        <w:widowControl w:val="0"/>
        <w:ind w:left="709" w:right="1246"/>
        <w:jc w:val="both"/>
        <w:rPr>
          <w:rFonts w:ascii="Abadi" w:hAnsi="Abadi"/>
          <w:i/>
          <w:sz w:val="21"/>
          <w:szCs w:val="21"/>
        </w:rPr>
      </w:pPr>
      <w:r w:rsidRPr="009F6ED0">
        <w:rPr>
          <w:rFonts w:ascii="Abadi" w:hAnsi="Abadi"/>
          <w:i/>
          <w:sz w:val="21"/>
          <w:szCs w:val="21"/>
        </w:rPr>
        <w:t>(…)</w:t>
      </w:r>
    </w:p>
    <w:p w14:paraId="73B565F8" w14:textId="77777777" w:rsidR="009F6ED0" w:rsidRPr="009F6ED0" w:rsidRDefault="009F6ED0" w:rsidP="009F6ED0">
      <w:pPr>
        <w:widowControl w:val="0"/>
        <w:ind w:left="709" w:right="1246"/>
        <w:jc w:val="both"/>
        <w:rPr>
          <w:rFonts w:ascii="Abadi" w:hAnsi="Abadi"/>
          <w:i/>
          <w:sz w:val="21"/>
          <w:szCs w:val="21"/>
        </w:rPr>
      </w:pPr>
    </w:p>
    <w:p w14:paraId="1115D3CE" w14:textId="77777777" w:rsidR="009F6ED0" w:rsidRPr="009F6ED0" w:rsidRDefault="009F6ED0" w:rsidP="009F6ED0">
      <w:pPr>
        <w:widowControl w:val="0"/>
        <w:ind w:left="709" w:right="1246"/>
        <w:jc w:val="both"/>
        <w:rPr>
          <w:rFonts w:ascii="Abadi" w:hAnsi="Abadi"/>
          <w:i/>
          <w:sz w:val="21"/>
          <w:szCs w:val="21"/>
        </w:rPr>
      </w:pPr>
      <w:r w:rsidRPr="009F6ED0">
        <w:rPr>
          <w:rFonts w:ascii="Abadi" w:hAnsi="Abadi"/>
          <w:i/>
          <w:sz w:val="21"/>
          <w:szCs w:val="21"/>
        </w:rPr>
        <w:t>l. Cuidados a hijos con padecimiento de cáncer.</w:t>
      </w:r>
    </w:p>
    <w:p w14:paraId="0D6B514B" w14:textId="77777777" w:rsidR="009F6ED0" w:rsidRPr="009F6ED0" w:rsidRDefault="009F6ED0" w:rsidP="009F6ED0">
      <w:pPr>
        <w:widowControl w:val="0"/>
        <w:ind w:left="709" w:right="1246"/>
        <w:jc w:val="both"/>
        <w:rPr>
          <w:rFonts w:ascii="Abadi" w:hAnsi="Abadi"/>
          <w:i/>
          <w:sz w:val="21"/>
          <w:szCs w:val="21"/>
        </w:rPr>
      </w:pPr>
      <w:r w:rsidRPr="009F6ED0">
        <w:rPr>
          <w:rFonts w:ascii="Abadi" w:hAnsi="Abadi"/>
          <w:i/>
          <w:sz w:val="21"/>
          <w:szCs w:val="21"/>
        </w:rPr>
        <w:t xml:space="preserve">La presente Iniciativa busca otorgar licencias laborales por un tiempo determinado a madres y/o padres trabajadores al servicio del Estado y los municipios de Guanajuato con hijo o hija menor diagnosticado con cáncer, durante la etapa crítica del tratamiento oncológico, esto a efecto de atenderlo en el caso de hospitalización, suministro de quimioterapias y/o radiaciones. Con ello, se busca en primer término la protección del derecho a la salud de los menores que se encuentren en esta situación, ya que el acceso a los servicios médicos especializados requiere necesariamente de la asistencia y acompañamiento de los padres y madres durante toda la ruta crítica de atención oncológica, esta terrible enfermedad que expone a sus menores hijos a tratamientos agresivos que requieren indispensablemente del núcleo familiar para darles fortaleza durante su atención en la institución médica que se trate. La salud pública y la atención médica deben constituirse como los elementos fundamentales para garantizar protección a la salud y una vida mejor. </w:t>
      </w:r>
    </w:p>
    <w:p w14:paraId="691A5A59" w14:textId="77777777" w:rsidR="009F6ED0" w:rsidRPr="009F6ED0" w:rsidRDefault="009F6ED0" w:rsidP="009F6ED0">
      <w:pPr>
        <w:widowControl w:val="0"/>
        <w:ind w:left="709" w:right="1246"/>
        <w:jc w:val="both"/>
        <w:rPr>
          <w:rFonts w:ascii="Abadi" w:hAnsi="Abadi"/>
          <w:i/>
          <w:sz w:val="21"/>
          <w:szCs w:val="21"/>
        </w:rPr>
      </w:pPr>
    </w:p>
    <w:p w14:paraId="3308F9B3" w14:textId="77777777" w:rsidR="009F6ED0" w:rsidRPr="009F6ED0" w:rsidRDefault="009F6ED0" w:rsidP="009F6ED0">
      <w:pPr>
        <w:widowControl w:val="0"/>
        <w:ind w:left="709" w:right="1246"/>
        <w:jc w:val="both"/>
        <w:rPr>
          <w:rFonts w:ascii="Abadi" w:hAnsi="Abadi"/>
          <w:i/>
          <w:sz w:val="21"/>
          <w:szCs w:val="21"/>
        </w:rPr>
      </w:pPr>
      <w:r w:rsidRPr="009F6ED0">
        <w:rPr>
          <w:rFonts w:ascii="Abadi" w:hAnsi="Abadi"/>
          <w:i/>
          <w:sz w:val="21"/>
          <w:szCs w:val="21"/>
        </w:rPr>
        <w:t>Para poder tener condiciones reales de atención a un hijo diagnosticado con cáncer, los trabajadores tienen que enfrentar un sin número de problemas en diferentes ámbitos incluyendo el ámbito laboral, ya que este acompañamiento implica para la madre o padre el riesgo de ser afectados en sus remuneraciones por las ausencias laborales que deriven de esa atención. De suyo, esta enfermedad es un factor de altas repercusiones para la economía de las familias, siendo inaceptable que a ella se incremente una carga más por motivo de descuentos en sus remuneraciones salariales y, en ocasiones, la pérdida del trabajo por las inasistencias que se llegan a considerar como injustificadas. En segundo término, consideramos complementario a este derecho a la salud de los menores, que las madres y padres trabajadores al servicio del Estado y los municipios, gocen de una licencia para que puedan ausentarse justificadamente de su trabajo durante un tiempo determinado, con el objeto especifico de prestarles atención, acompañamiento y/o cuidado personal a sus menores hijos que padecen esta terrible enfermedad.</w:t>
      </w:r>
    </w:p>
    <w:p w14:paraId="7A601B0B" w14:textId="77777777" w:rsidR="009F6ED0" w:rsidRPr="009F6ED0" w:rsidRDefault="009F6ED0" w:rsidP="009F6ED0">
      <w:pPr>
        <w:widowControl w:val="0"/>
        <w:ind w:left="709" w:right="1246"/>
        <w:jc w:val="both"/>
        <w:rPr>
          <w:rFonts w:ascii="Abadi" w:hAnsi="Abadi"/>
          <w:i/>
          <w:sz w:val="21"/>
          <w:szCs w:val="21"/>
        </w:rPr>
      </w:pPr>
    </w:p>
    <w:p w14:paraId="53FA7F17" w14:textId="77777777" w:rsidR="009F6ED0" w:rsidRPr="009F6ED0" w:rsidRDefault="009F6ED0" w:rsidP="009F6ED0">
      <w:pPr>
        <w:widowControl w:val="0"/>
        <w:ind w:left="709" w:right="1246"/>
        <w:jc w:val="both"/>
        <w:rPr>
          <w:rFonts w:ascii="Abadi" w:hAnsi="Abadi"/>
          <w:i/>
          <w:sz w:val="21"/>
          <w:szCs w:val="21"/>
        </w:rPr>
      </w:pPr>
      <w:r w:rsidRPr="009F6ED0">
        <w:rPr>
          <w:rFonts w:ascii="Abadi" w:hAnsi="Abadi"/>
          <w:i/>
          <w:sz w:val="21"/>
          <w:szCs w:val="21"/>
        </w:rPr>
        <w:t>(…)</w:t>
      </w:r>
    </w:p>
    <w:p w14:paraId="4BEA6634" w14:textId="77777777" w:rsidR="009F6ED0" w:rsidRPr="009F6ED0" w:rsidRDefault="009F6ED0" w:rsidP="009F6ED0">
      <w:pPr>
        <w:widowControl w:val="0"/>
        <w:ind w:left="709" w:right="1246"/>
        <w:jc w:val="both"/>
        <w:rPr>
          <w:rFonts w:ascii="Abadi" w:hAnsi="Abadi"/>
          <w:i/>
          <w:sz w:val="21"/>
          <w:szCs w:val="21"/>
        </w:rPr>
      </w:pPr>
    </w:p>
    <w:p w14:paraId="7A5FB25A" w14:textId="77777777" w:rsidR="009F6ED0" w:rsidRPr="009F6ED0" w:rsidRDefault="009F6ED0" w:rsidP="009F6ED0">
      <w:pPr>
        <w:widowControl w:val="0"/>
        <w:ind w:left="709" w:right="1246"/>
        <w:jc w:val="both"/>
        <w:rPr>
          <w:rFonts w:ascii="Abadi" w:hAnsi="Abadi"/>
          <w:i/>
          <w:sz w:val="21"/>
          <w:szCs w:val="21"/>
        </w:rPr>
      </w:pPr>
      <w:r w:rsidRPr="009F6ED0">
        <w:rPr>
          <w:rFonts w:ascii="Abadi" w:hAnsi="Abadi"/>
          <w:i/>
          <w:sz w:val="21"/>
          <w:szCs w:val="21"/>
        </w:rPr>
        <w:t>II. Incapacidad por maternidad.</w:t>
      </w:r>
    </w:p>
    <w:p w14:paraId="444A2241" w14:textId="77777777" w:rsidR="009F6ED0" w:rsidRPr="009F6ED0" w:rsidRDefault="009F6ED0" w:rsidP="009F6ED0">
      <w:pPr>
        <w:widowControl w:val="0"/>
        <w:ind w:left="709" w:right="1246"/>
        <w:jc w:val="both"/>
        <w:rPr>
          <w:rFonts w:ascii="Abadi" w:hAnsi="Abadi"/>
          <w:i/>
          <w:sz w:val="21"/>
          <w:szCs w:val="21"/>
        </w:rPr>
      </w:pPr>
      <w:r w:rsidRPr="009F6ED0">
        <w:rPr>
          <w:rFonts w:ascii="Abadi" w:hAnsi="Abadi"/>
          <w:i/>
          <w:sz w:val="21"/>
          <w:szCs w:val="21"/>
        </w:rPr>
        <w:t xml:space="preserve">Una de las características del derecho es su constante evolución, así pues, el marco jurídico de cualquier ente debe actualizarse para que vaya a acorde con las necesidades de toda sociedad, así como de las condiciones sociales que se pretenden regular.  Es por ello, que, en relación a la maternidad de las mujeres trabajadoras, resulta necesario adecuar nuestra legislación para estar a la par de otros países, en relación a su derecho a licencias pagadas, así como otras prestaciones de salud. Existen actualmente más de 120 países que otorgan licencias por maternidad con un mayor número de semanas a las trabajadoras en comparación con nuestro marco jurídico estatal. </w:t>
      </w:r>
    </w:p>
    <w:p w14:paraId="6B10DF51" w14:textId="77777777" w:rsidR="009F6ED0" w:rsidRPr="009F6ED0" w:rsidRDefault="009F6ED0" w:rsidP="009F6ED0">
      <w:pPr>
        <w:widowControl w:val="0"/>
        <w:ind w:left="709" w:right="1246"/>
        <w:jc w:val="both"/>
        <w:rPr>
          <w:rFonts w:ascii="Abadi" w:hAnsi="Abadi"/>
          <w:i/>
          <w:sz w:val="21"/>
          <w:szCs w:val="21"/>
        </w:rPr>
      </w:pPr>
    </w:p>
    <w:p w14:paraId="0154201D" w14:textId="77777777" w:rsidR="009F6ED0" w:rsidRPr="009F6ED0" w:rsidRDefault="009F6ED0" w:rsidP="009F6ED0">
      <w:pPr>
        <w:widowControl w:val="0"/>
        <w:ind w:left="709" w:right="1246"/>
        <w:jc w:val="both"/>
        <w:rPr>
          <w:rFonts w:ascii="Abadi" w:hAnsi="Abadi"/>
          <w:i/>
          <w:sz w:val="21"/>
          <w:szCs w:val="21"/>
        </w:rPr>
      </w:pPr>
      <w:r w:rsidRPr="009F6ED0">
        <w:rPr>
          <w:rFonts w:ascii="Abadi" w:hAnsi="Abadi"/>
          <w:i/>
          <w:sz w:val="21"/>
          <w:szCs w:val="21"/>
        </w:rPr>
        <w:t xml:space="preserve">La Organización Internacional del Trabajo (OIT) en materia de protección de la maternidad prevé una licencia mínima de 12 semanas, aunque en realidad se recomiendan 14. Es por ello, que resulta necesario ampliar este periodo hasta 14 semanas para que la madre tenga la oportunidad de estar más tiempo con su hija o hijo recién nacido. Cuando existan diversas circunstancias que se pudieran presentar posterior al parto, como lo es que las y los hijos hayan nacido con algún tipo de discapacidad, bien, necesiten atención médica hospitalaria, esta licencia debería prorrogarse aún más. Estamos seguros de que lo anterior será en pro de mejorar los derechos de todas las trabajadoras, así como en beneficio de todas y todos los guanajuatenses, en especial los recién nacidos, apoyando las políticas de protección a la familia y en general a la población. </w:t>
      </w:r>
    </w:p>
    <w:p w14:paraId="1360AB6A" w14:textId="77777777" w:rsidR="009F6ED0" w:rsidRPr="009F6ED0" w:rsidRDefault="009F6ED0" w:rsidP="009F6ED0">
      <w:pPr>
        <w:widowControl w:val="0"/>
        <w:ind w:left="709" w:right="1246"/>
        <w:jc w:val="both"/>
        <w:rPr>
          <w:rFonts w:ascii="Abadi" w:hAnsi="Abadi"/>
          <w:i/>
          <w:sz w:val="21"/>
          <w:szCs w:val="21"/>
        </w:rPr>
      </w:pPr>
    </w:p>
    <w:p w14:paraId="7E9CC1CB" w14:textId="77777777" w:rsidR="009F6ED0" w:rsidRPr="009F6ED0" w:rsidRDefault="009F6ED0" w:rsidP="009F6ED0">
      <w:pPr>
        <w:widowControl w:val="0"/>
        <w:ind w:left="709" w:right="1246"/>
        <w:jc w:val="both"/>
        <w:rPr>
          <w:rFonts w:ascii="Abadi" w:hAnsi="Abadi"/>
          <w:i/>
          <w:sz w:val="21"/>
          <w:szCs w:val="21"/>
        </w:rPr>
      </w:pPr>
      <w:r w:rsidRPr="009F6ED0">
        <w:rPr>
          <w:rFonts w:ascii="Abadi" w:hAnsi="Abadi"/>
          <w:i/>
          <w:sz w:val="21"/>
          <w:szCs w:val="21"/>
        </w:rPr>
        <w:t>III. Cuidados preventivos de la salud de las y los trabajadores al servicio del Estado y los municipios.</w:t>
      </w:r>
    </w:p>
    <w:p w14:paraId="5EC38E9B" w14:textId="77777777" w:rsidR="009F6ED0" w:rsidRPr="009F6ED0" w:rsidRDefault="009F6ED0" w:rsidP="009F6ED0">
      <w:pPr>
        <w:widowControl w:val="0"/>
        <w:ind w:left="709" w:right="1246"/>
        <w:jc w:val="both"/>
        <w:rPr>
          <w:rFonts w:ascii="Abadi" w:hAnsi="Abadi"/>
          <w:i/>
          <w:sz w:val="21"/>
          <w:szCs w:val="21"/>
        </w:rPr>
      </w:pPr>
      <w:r w:rsidRPr="009F6ED0">
        <w:rPr>
          <w:rFonts w:ascii="Abadi" w:hAnsi="Abadi"/>
          <w:i/>
          <w:sz w:val="21"/>
          <w:szCs w:val="21"/>
        </w:rPr>
        <w:t>Una política pública de salud preventiva representa un beneficio en el desempeño del sistema de salud, al propiciar la detección y atención oportuna de enfermedades, además de obtener de manera colateral un uso más eficiente del erario.  En México, el artículo 4° de nuestra Carta Magna, reconoce la garantía individual de la que gozaría cada individuo a "la protección de la salud", la reforma constitucional en materia de derechos humanos del año 2011 que el derecho a la "protección de la salud" pasaría a tener el carácter de derecho humano, amén de estar consagrado en numerosos instrumentos internacionales en materia de derechos humanos, como lo es la Constitución de la Organización Mundial de la Salud, la cual establece el concepto de salud como: "la salud es un estado de completo bienestar físico, mental y social, y no solamente la ausencia de afecciones o enfermedades".</w:t>
      </w:r>
    </w:p>
    <w:p w14:paraId="0F42AA4D" w14:textId="77777777" w:rsidR="009F6ED0" w:rsidRPr="009F6ED0" w:rsidRDefault="009F6ED0" w:rsidP="009F6ED0">
      <w:pPr>
        <w:widowControl w:val="0"/>
        <w:ind w:left="709" w:right="1246"/>
        <w:jc w:val="both"/>
        <w:rPr>
          <w:rFonts w:ascii="Abadi" w:hAnsi="Abadi"/>
          <w:i/>
          <w:sz w:val="21"/>
          <w:szCs w:val="21"/>
        </w:rPr>
      </w:pPr>
    </w:p>
    <w:p w14:paraId="0B8C0539" w14:textId="77777777" w:rsidR="009F6ED0" w:rsidRPr="009F6ED0" w:rsidRDefault="009F6ED0" w:rsidP="009F6ED0">
      <w:pPr>
        <w:widowControl w:val="0"/>
        <w:ind w:left="709" w:right="1246"/>
        <w:jc w:val="both"/>
        <w:rPr>
          <w:rFonts w:ascii="Abadi" w:hAnsi="Abadi"/>
          <w:i/>
          <w:sz w:val="21"/>
          <w:szCs w:val="21"/>
        </w:rPr>
      </w:pPr>
      <w:r w:rsidRPr="009F6ED0">
        <w:rPr>
          <w:rFonts w:ascii="Abadi" w:hAnsi="Abadi"/>
          <w:i/>
          <w:sz w:val="21"/>
          <w:szCs w:val="21"/>
        </w:rPr>
        <w:t>La Declaración Universal de Derechos Humanos, en su artículo 25.1, establece a la salud como un componente del derecho al nivel de vida adecuado, por lo que lo relaciona con otros que inciden en su conservación y por lo tanto deben ser asegurados, tales como la alimentación, el vestido, la vivienda, la asistencia médica y los servicios sociales necesarios y seguros por enfermedad e invalidez.  El derecho a la prevención de la enfermedades de los trabajadores y las trabajadoras al servicio del Estado y los municipios de Guanajuato, supone la necesidad de otorgar, como derecho del trabajador, contar con al menos un día por año civil, con goce de sueldo, para ausentarse del centro de trabajo y acudir ante las instituciones de salud para la realización de una revisión preventiva de su estado de salud, constituye a la vez la eliminación de uno de los obstáculos sociales y económicos para que la población participe activamente en dicha prevención.</w:t>
      </w:r>
    </w:p>
    <w:p w14:paraId="15B1067E" w14:textId="77777777" w:rsidR="009F6ED0" w:rsidRPr="009F6ED0" w:rsidRDefault="009F6ED0" w:rsidP="009F6ED0">
      <w:pPr>
        <w:widowControl w:val="0"/>
        <w:ind w:left="709" w:right="1246"/>
        <w:jc w:val="both"/>
        <w:rPr>
          <w:rFonts w:ascii="Abadi" w:hAnsi="Abadi"/>
          <w:i/>
          <w:sz w:val="21"/>
          <w:szCs w:val="21"/>
        </w:rPr>
      </w:pPr>
    </w:p>
    <w:p w14:paraId="4352DEBF" w14:textId="77777777" w:rsidR="009F6ED0" w:rsidRPr="009F6ED0" w:rsidRDefault="009F6ED0" w:rsidP="009F6ED0">
      <w:pPr>
        <w:widowControl w:val="0"/>
        <w:ind w:left="709" w:right="1246"/>
        <w:jc w:val="both"/>
        <w:rPr>
          <w:rFonts w:ascii="Abadi" w:hAnsi="Abadi"/>
          <w:i/>
          <w:sz w:val="21"/>
          <w:szCs w:val="21"/>
        </w:rPr>
      </w:pPr>
      <w:r w:rsidRPr="009F6ED0">
        <w:rPr>
          <w:rFonts w:ascii="Abadi" w:hAnsi="Abadi"/>
          <w:i/>
          <w:sz w:val="21"/>
          <w:szCs w:val="21"/>
        </w:rPr>
        <w:t>(…)</w:t>
      </w:r>
    </w:p>
    <w:p w14:paraId="5D383075" w14:textId="77777777" w:rsidR="009F6ED0" w:rsidRPr="009F6ED0" w:rsidRDefault="009F6ED0" w:rsidP="009F6ED0">
      <w:pPr>
        <w:widowControl w:val="0"/>
        <w:ind w:left="709" w:right="1246"/>
        <w:jc w:val="both"/>
        <w:rPr>
          <w:rFonts w:ascii="Abadi" w:hAnsi="Abadi"/>
          <w:i/>
          <w:sz w:val="21"/>
          <w:szCs w:val="21"/>
        </w:rPr>
      </w:pPr>
    </w:p>
    <w:p w14:paraId="4FA7E7FF" w14:textId="77777777" w:rsidR="009F6ED0" w:rsidRPr="009F6ED0" w:rsidRDefault="009F6ED0" w:rsidP="009F6ED0">
      <w:pPr>
        <w:widowControl w:val="0"/>
        <w:ind w:left="709" w:right="1246"/>
        <w:jc w:val="both"/>
        <w:rPr>
          <w:rFonts w:ascii="Abadi" w:hAnsi="Abadi"/>
          <w:i/>
          <w:sz w:val="21"/>
          <w:szCs w:val="21"/>
        </w:rPr>
      </w:pPr>
      <w:r w:rsidRPr="009F6ED0">
        <w:rPr>
          <w:rFonts w:ascii="Abadi" w:hAnsi="Abadi"/>
          <w:i/>
          <w:sz w:val="21"/>
          <w:szCs w:val="21"/>
        </w:rPr>
        <w:t xml:space="preserve">Finalmente, a efecto de satisfacer lo establecido por el artículo 209 de la Ley Orgánica del Poder Legislativo, manifiesto lo relativo a la evaluación del impacto que tendrá esta iniciativa, de ser aprobada: </w:t>
      </w:r>
    </w:p>
    <w:p w14:paraId="777C0643" w14:textId="77777777" w:rsidR="009F6ED0" w:rsidRPr="009F6ED0" w:rsidRDefault="009F6ED0" w:rsidP="009F6ED0">
      <w:pPr>
        <w:widowControl w:val="0"/>
        <w:ind w:left="709" w:right="1246"/>
        <w:jc w:val="both"/>
        <w:rPr>
          <w:rFonts w:ascii="Abadi" w:hAnsi="Abadi"/>
          <w:i/>
          <w:sz w:val="21"/>
          <w:szCs w:val="21"/>
        </w:rPr>
      </w:pPr>
      <w:r w:rsidRPr="009F6ED0">
        <w:rPr>
          <w:rFonts w:ascii="Abadi" w:hAnsi="Abadi"/>
          <w:i/>
          <w:sz w:val="21"/>
          <w:szCs w:val="21"/>
        </w:rPr>
        <w:t>Impacto jurídico: Se reforma la fracción 11 del artículo 23, se adiciona los artículos 23 Quáter, 23 Quinquies, recorriéndose en su orden el artículo 23 Quáter para pasar a 23 Sexies; Las fracciones XII Y XIIII del artículo 46; las fracciones XIV y XV recorriéndose en su orden la fracción XIV para quedar como XVI todos de la Ley del Trabajo de los Servidores Públicos al Servicio del Estado y de los Municipios. Impacto administrativo: El impacto administrativo de la reforma planteada es menor ya que el mismo se circunscribe a la distribución de las cargas de trabajo entre los servidores públicos al servicio del Estado y sus municipios, a efecto de cubrir las ausencias temporales de sus compañeros con motivo de las licencias médicas y en su caso las suplencias temporales. Impacto presupuestario: No genera impacto presupuestal en lo relativo a la distribución de cargas de trabajo entre las personas servidores públicos al servicio del Estado y sus municipios. Tratándose de cubrir vacantes temporales por motivo de incapacidades o licencias por un periodo prolongado de tiempo, el costo de las mismas debe ser cubierto por las instituciones de seguridad social, sin embargo, la prevención en la salud llega a generar grandes ahorros para estas mismas instituciones en términos del costo de la atención médica reactiva. Impacto Social: Esto es relevante en la iniciativa, ya que se procura condiciones que garanticen acciones de prevención en la salud lo cual implica una posibilidad de mejor calidad de vida, así como la atención de las madres y padres a sus menores hijos.»</w:t>
      </w:r>
    </w:p>
    <w:p w14:paraId="6C09365E" w14:textId="77777777" w:rsidR="009F6ED0" w:rsidRPr="009F6ED0" w:rsidRDefault="009F6ED0" w:rsidP="009F6ED0">
      <w:pPr>
        <w:widowControl w:val="0"/>
        <w:spacing w:line="324" w:lineRule="auto"/>
        <w:ind w:right="1246"/>
        <w:jc w:val="both"/>
        <w:rPr>
          <w:rFonts w:ascii="Abadi" w:hAnsi="Abadi"/>
          <w:iCs/>
          <w:sz w:val="21"/>
          <w:szCs w:val="21"/>
        </w:rPr>
      </w:pPr>
    </w:p>
    <w:p w14:paraId="3877A212" w14:textId="77777777" w:rsidR="009F6ED0" w:rsidRPr="009F6ED0" w:rsidRDefault="009F6ED0" w:rsidP="00884FAE">
      <w:pPr>
        <w:widowControl w:val="0"/>
        <w:ind w:firstLine="708"/>
        <w:jc w:val="both"/>
        <w:rPr>
          <w:rFonts w:ascii="Abadi" w:eastAsia="Batang" w:hAnsi="Abadi" w:cs="Arial"/>
          <w:sz w:val="21"/>
          <w:szCs w:val="21"/>
          <w:lang w:val="es-MX"/>
        </w:rPr>
      </w:pPr>
      <w:r w:rsidRPr="009F6ED0">
        <w:rPr>
          <w:rFonts w:ascii="Abadi" w:eastAsia="Batang" w:hAnsi="Abadi" w:cs="Arial"/>
          <w:sz w:val="21"/>
          <w:szCs w:val="21"/>
          <w:lang w:val="es-MX"/>
        </w:rPr>
        <w:t>Las diputadas y diputados iniciantes manifestaron en su exposición de motivos lo siguiente:</w:t>
      </w:r>
    </w:p>
    <w:p w14:paraId="609151FF" w14:textId="77777777" w:rsidR="009F6ED0" w:rsidRPr="009F6ED0" w:rsidRDefault="009F6ED0" w:rsidP="009F6ED0">
      <w:pPr>
        <w:widowControl w:val="0"/>
        <w:autoSpaceDE w:val="0"/>
        <w:autoSpaceDN w:val="0"/>
        <w:adjustRightInd w:val="0"/>
        <w:ind w:firstLine="708"/>
        <w:jc w:val="both"/>
        <w:rPr>
          <w:rFonts w:ascii="Abadi" w:eastAsia="Calibri" w:hAnsi="Abadi"/>
          <w:sz w:val="21"/>
          <w:szCs w:val="21"/>
          <w:lang w:val="es-MX" w:eastAsia="en-US"/>
        </w:rPr>
      </w:pPr>
    </w:p>
    <w:p w14:paraId="42038C16" w14:textId="77777777" w:rsidR="009F6ED0" w:rsidRPr="009F6ED0" w:rsidRDefault="009F6ED0" w:rsidP="009F6ED0">
      <w:pPr>
        <w:widowControl w:val="0"/>
        <w:ind w:left="709" w:right="1246"/>
        <w:jc w:val="both"/>
        <w:rPr>
          <w:rFonts w:ascii="Abadi" w:hAnsi="Abadi"/>
          <w:i/>
          <w:sz w:val="21"/>
          <w:szCs w:val="21"/>
        </w:rPr>
      </w:pPr>
      <w:r w:rsidRPr="009F6ED0">
        <w:rPr>
          <w:rFonts w:ascii="Abadi" w:hAnsi="Abadi"/>
          <w:i/>
          <w:sz w:val="21"/>
          <w:szCs w:val="21"/>
        </w:rPr>
        <w:t xml:space="preserve">(…) 11 de marzo de 2020. Ese día marca un hito en la historia contemporánea de la humanidad. Ese día, la Dirección General de la Organización Mundial de la Salud anunció que la Enfermedad por coronavirus podía caracterizarse como pandemia. El Director General del organismo multilateral indicó, "la OMS ha estado evaluando este brote durante todo el día y estamos profundamente preocupados tanto por los niveles alarmantes de propagación y gravedad, como por los niveles alarmantes de inacción. Por lo tanto, hemos evaluado que COVID-19 puede caracterizarse como una pandemia" </w:t>
      </w:r>
    </w:p>
    <w:p w14:paraId="1D2209C7" w14:textId="77777777" w:rsidR="009F6ED0" w:rsidRPr="009F6ED0" w:rsidRDefault="009F6ED0" w:rsidP="009F6ED0">
      <w:pPr>
        <w:widowControl w:val="0"/>
        <w:ind w:left="709" w:right="1246"/>
        <w:jc w:val="both"/>
        <w:rPr>
          <w:rFonts w:ascii="Abadi" w:hAnsi="Abadi"/>
          <w:i/>
          <w:sz w:val="21"/>
          <w:szCs w:val="21"/>
        </w:rPr>
      </w:pPr>
      <w:r w:rsidRPr="009F6ED0">
        <w:rPr>
          <w:rFonts w:ascii="Abadi" w:hAnsi="Abadi"/>
          <w:i/>
          <w:sz w:val="21"/>
          <w:szCs w:val="21"/>
        </w:rPr>
        <w:t>Dos años desde aquel anuncio que ha cambiado la historia de la humanidad. Diversas lecciones hemos aprendido de esta contingencia sanitaria, pero quizá la más relevante es la importancia de la prevención. La definición es indicativa del propósito. Prevenir. Tomar precauciones o medidas por adelantado para evitar un daño, un riesgo o un peligro. Advertir o avisar a una persona de una cosa, en especial de un daño o un peligro.</w:t>
      </w:r>
    </w:p>
    <w:p w14:paraId="3DDDCC58" w14:textId="77777777" w:rsidR="009F6ED0" w:rsidRPr="009F6ED0" w:rsidRDefault="009F6ED0" w:rsidP="009F6ED0">
      <w:pPr>
        <w:widowControl w:val="0"/>
        <w:ind w:left="709" w:right="1246"/>
        <w:jc w:val="both"/>
        <w:rPr>
          <w:rFonts w:ascii="Abadi" w:hAnsi="Abadi"/>
          <w:i/>
          <w:sz w:val="21"/>
          <w:szCs w:val="21"/>
        </w:rPr>
      </w:pPr>
    </w:p>
    <w:p w14:paraId="00F51687" w14:textId="77777777" w:rsidR="009F6ED0" w:rsidRPr="009F6ED0" w:rsidRDefault="009F6ED0" w:rsidP="009F6ED0">
      <w:pPr>
        <w:widowControl w:val="0"/>
        <w:ind w:left="709" w:right="1246"/>
        <w:jc w:val="both"/>
        <w:rPr>
          <w:rFonts w:ascii="Abadi" w:hAnsi="Abadi"/>
          <w:i/>
          <w:sz w:val="21"/>
          <w:szCs w:val="21"/>
        </w:rPr>
      </w:pPr>
      <w:r w:rsidRPr="009F6ED0">
        <w:rPr>
          <w:rFonts w:ascii="Abadi" w:hAnsi="Abadi"/>
          <w:i/>
          <w:sz w:val="21"/>
          <w:szCs w:val="21"/>
        </w:rPr>
        <w:t>La presente iniciativa tiene precisamente esos propósitos específicamente para tomar las debidas precauciones, advertir peligros, para tomar decisiones que proteja la salud de las y los servidores públicos. La protección de la salud es un derecho social y universal, además, es un elemento esencial para que el Estado pueda sentar las bases para eliminar la desigualdad existente entre los miembros de una sociedad. Así, la prevención de la enfermedad es una estrategia que se hace efectiva en la atención integral de las personas.</w:t>
      </w:r>
    </w:p>
    <w:p w14:paraId="556DE241" w14:textId="77777777" w:rsidR="009F6ED0" w:rsidRPr="009F6ED0" w:rsidRDefault="009F6ED0" w:rsidP="009F6ED0">
      <w:pPr>
        <w:widowControl w:val="0"/>
        <w:ind w:left="709" w:right="1246"/>
        <w:jc w:val="both"/>
        <w:rPr>
          <w:rFonts w:ascii="Abadi" w:hAnsi="Abadi"/>
          <w:i/>
          <w:sz w:val="21"/>
          <w:szCs w:val="21"/>
        </w:rPr>
      </w:pPr>
    </w:p>
    <w:p w14:paraId="738DADB4" w14:textId="77777777" w:rsidR="009F6ED0" w:rsidRPr="009F6ED0" w:rsidRDefault="009F6ED0" w:rsidP="009F6ED0">
      <w:pPr>
        <w:widowControl w:val="0"/>
        <w:ind w:left="709" w:right="1246"/>
        <w:jc w:val="both"/>
        <w:rPr>
          <w:rFonts w:ascii="Abadi" w:hAnsi="Abadi"/>
          <w:i/>
          <w:sz w:val="21"/>
          <w:szCs w:val="21"/>
        </w:rPr>
      </w:pPr>
      <w:r w:rsidRPr="009F6ED0">
        <w:rPr>
          <w:rFonts w:ascii="Abadi" w:hAnsi="Abadi"/>
          <w:i/>
          <w:sz w:val="21"/>
          <w:szCs w:val="21"/>
        </w:rPr>
        <w:t xml:space="preserve">Por lo anterior se dice que la prevención implica promover la salud, así como diagnosticar y tratar oportunamente a un enfermo, también rehabilitarlo y evitar complicaciones o secuelas de su padecimiento, mediante sus diferentes niveles de intervención. En ese sentido, la prevención como concepto, son las medidas destinadas no solamente a prevenir la aparición de la enfermedad, tales como la reducción de factores de riesgo, sino también a detener su avance y atenuar sus consecuencias una vez establecida (Organización Mundial de la Salud). En este contexto, la prevención, el diagnóstico temprano, la captación oportuna y el tratamiento adecuado, son esenciales para el control de la enfermedad. De allí, la relevancia de la captación temprana de los casos y el control periodice de la población afectada para evitar o retardar la aparición de las secuelas. Lo ideal sería aplicar las medidas preventivas en la fase preclínica, cuando aún el daño al organismo no está tan avanzado y, por lo tanto, los síntomas no son aún aparentes. Esto es particularmente importante cuando se trata de enfermedades crónicas, como el cáncer. </w:t>
      </w:r>
    </w:p>
    <w:p w14:paraId="1D4DD2BF" w14:textId="77777777" w:rsidR="009F6ED0" w:rsidRPr="009F6ED0" w:rsidRDefault="009F6ED0" w:rsidP="009F6ED0">
      <w:pPr>
        <w:widowControl w:val="0"/>
        <w:ind w:left="709" w:right="1246"/>
        <w:jc w:val="both"/>
        <w:rPr>
          <w:rFonts w:ascii="Abadi" w:hAnsi="Abadi"/>
          <w:i/>
          <w:sz w:val="21"/>
          <w:szCs w:val="21"/>
        </w:rPr>
      </w:pPr>
    </w:p>
    <w:p w14:paraId="4D9AA2B5" w14:textId="77777777" w:rsidR="009F6ED0" w:rsidRPr="009F6ED0" w:rsidRDefault="009F6ED0" w:rsidP="009F6ED0">
      <w:pPr>
        <w:widowControl w:val="0"/>
        <w:ind w:left="709" w:right="1246"/>
        <w:jc w:val="both"/>
        <w:rPr>
          <w:rFonts w:ascii="Abadi" w:hAnsi="Abadi"/>
          <w:i/>
          <w:sz w:val="21"/>
          <w:szCs w:val="21"/>
        </w:rPr>
      </w:pPr>
      <w:r w:rsidRPr="009F6ED0">
        <w:rPr>
          <w:rFonts w:ascii="Abadi" w:hAnsi="Abadi"/>
          <w:i/>
          <w:sz w:val="21"/>
          <w:szCs w:val="21"/>
        </w:rPr>
        <w:t xml:space="preserve">Prevenir tiene implicaciones tanto individuales como beneficios sociales. Permite proteger y anticipar riesgos a fin de tomar decisiones oportunas a nivel personal. Como sociedad, en el mediano y largo plazo, permite que el Estado controle sus gastos y disminuya las incidencias de las afectaciones de salud de la sociedad en su conjunto. Los casos de enfermedades con alto riesgo son conocidos. El cáncer, por ejemplo, es una de las enfermedades con incidencias que exigen atención desde la norma legislativa. El cáncer cervicouterino, es uno del padecimiento más frecuente en mujeres mexicanas. Es de las neoplasias con mayor número de defunciones en mujeres al igual que el cáncer de mama y representan el 25% de todas las defunciones por cáncer. De acuerdo con el boletín de Gobierno del Estado de Guanajuato, son cuatro los componentes básicos del control de cáncer en la mujer: Prevención; Detección temprana; Diagnóstico; Tratamiento oportuno y cuidados paliativos. </w:t>
      </w:r>
    </w:p>
    <w:p w14:paraId="4060D1DF" w14:textId="77777777" w:rsidR="009F6ED0" w:rsidRPr="009F6ED0" w:rsidRDefault="009F6ED0" w:rsidP="009F6ED0">
      <w:pPr>
        <w:widowControl w:val="0"/>
        <w:ind w:left="709" w:right="1246"/>
        <w:jc w:val="both"/>
        <w:rPr>
          <w:rFonts w:ascii="Abadi" w:hAnsi="Abadi"/>
          <w:i/>
          <w:sz w:val="21"/>
          <w:szCs w:val="21"/>
        </w:rPr>
      </w:pPr>
    </w:p>
    <w:p w14:paraId="5D6022DD" w14:textId="77777777" w:rsidR="009F6ED0" w:rsidRPr="009F6ED0" w:rsidRDefault="009F6ED0" w:rsidP="009F6ED0">
      <w:pPr>
        <w:widowControl w:val="0"/>
        <w:ind w:left="709" w:right="1246"/>
        <w:jc w:val="both"/>
        <w:rPr>
          <w:rFonts w:ascii="Abadi" w:hAnsi="Abadi"/>
          <w:i/>
          <w:sz w:val="21"/>
          <w:szCs w:val="21"/>
        </w:rPr>
      </w:pPr>
      <w:r w:rsidRPr="009F6ED0">
        <w:rPr>
          <w:rFonts w:ascii="Abadi" w:hAnsi="Abadi"/>
          <w:i/>
          <w:sz w:val="21"/>
          <w:szCs w:val="21"/>
        </w:rPr>
        <w:t>A este padecimiento, se agregan diversos indicadores que muestran que, como país, enfrentamos altas prevalencias de enfermedades crónicas. En 2016, la incidencia de diversas enfermedades llevó a la Secretaría de Salud Federal a emitir una declaratoria de emergencia epidemiológica por obesidad y diabetes. Por ello, es fundamental establecer estrategias de carácter preventivo en materia de salud. En ese alcance, la iniciativa se enfoca en permitir que los Servidores Públicos al Servicio del Estado y de los Municipios cuenten con la posibilidad de realizarse exámenes médicos preventivos con el goce correspondiente de su sueldo una vez al año. Es importante mencionar que, la presente iniciativa, garantiza derechos de la mujer establecidos en Tratados internaciones, y tanto de las mujeres y hombres en la Constitución Política de los Estados Unidos Mexicanos, la Ley General de Salud y la Ley de Salud del Estado de Guanajuato. De igual forma en el estado de Guanajuato, en su Ley de Salud para el Estado de Guanajuato en su artículo 1, se garantiza la salud, al establecer como objeto "normar el derecho a la protección de la salud que toda persona tiene contenido en el Artículo 4°. de la Constitución Política de los Estados Unidos Mexicanos, así mismo establece las bases y modalidades para el acceso a los servicios de salud proporcionados por el Estado con la concurrencia de los municipios, en materia de salubridad local."</w:t>
      </w:r>
    </w:p>
    <w:p w14:paraId="4C2663BB" w14:textId="77777777" w:rsidR="009F6ED0" w:rsidRPr="009F6ED0" w:rsidRDefault="009F6ED0" w:rsidP="009F6ED0">
      <w:pPr>
        <w:widowControl w:val="0"/>
        <w:ind w:left="709" w:right="1246"/>
        <w:jc w:val="both"/>
        <w:rPr>
          <w:rFonts w:ascii="Abadi" w:hAnsi="Abadi"/>
          <w:i/>
          <w:sz w:val="21"/>
          <w:szCs w:val="21"/>
        </w:rPr>
      </w:pPr>
    </w:p>
    <w:p w14:paraId="77CCE8E7" w14:textId="77777777" w:rsidR="009F6ED0" w:rsidRPr="009F6ED0" w:rsidRDefault="009F6ED0" w:rsidP="009F6ED0">
      <w:pPr>
        <w:widowControl w:val="0"/>
        <w:ind w:left="709" w:right="1246"/>
        <w:jc w:val="both"/>
        <w:rPr>
          <w:rFonts w:ascii="Abadi" w:hAnsi="Abadi"/>
          <w:i/>
          <w:sz w:val="21"/>
          <w:szCs w:val="21"/>
        </w:rPr>
      </w:pPr>
      <w:r w:rsidRPr="009F6ED0">
        <w:rPr>
          <w:rFonts w:ascii="Abadi" w:hAnsi="Abadi"/>
          <w:i/>
          <w:sz w:val="21"/>
          <w:szCs w:val="21"/>
        </w:rPr>
        <w:t xml:space="preserve">La prevención es la respuesta necesaria y una de las lecciones más relevantes que desprendemos de la contingencia sanitaria que aún no termina. Es con acciones como la presente iniciativa que protegemos y garantizamos los derechos de las y los trabajadores, fomentando la cultura de la prevención y con ello la detección oportuna de las enfermedades, y con ello reduciendo la brecha de desigualdad que pueden llegar a tener las mujeres trabajadoras al solicitar este tipo de permisos en sus centros laborares. De igual forma, se encuentra alineada a la agenda legislativa del Grupo Parlamentario del Partido Acción Nacional, pues se despliega de la acción Salud y Desarrollo Social, debido a que se encuentra encaminada a fortalecer la promoción de una cultura de prevención en salud. El futuro ya no es lo que era decían hace algunos años. Habrá que agregar, el futuro es lo que escribimos hoy. </w:t>
      </w:r>
    </w:p>
    <w:p w14:paraId="0B0FDC4F" w14:textId="77777777" w:rsidR="009F6ED0" w:rsidRPr="009F6ED0" w:rsidRDefault="009F6ED0" w:rsidP="009F6ED0">
      <w:pPr>
        <w:widowControl w:val="0"/>
        <w:ind w:left="709" w:right="1246"/>
        <w:jc w:val="both"/>
        <w:rPr>
          <w:rFonts w:ascii="Abadi" w:hAnsi="Abadi"/>
          <w:i/>
          <w:sz w:val="21"/>
          <w:szCs w:val="21"/>
        </w:rPr>
      </w:pPr>
    </w:p>
    <w:p w14:paraId="7A8375DF" w14:textId="77777777" w:rsidR="009F6ED0" w:rsidRPr="009F6ED0" w:rsidRDefault="009F6ED0" w:rsidP="009F6ED0">
      <w:pPr>
        <w:widowControl w:val="0"/>
        <w:ind w:left="709" w:right="1246"/>
        <w:jc w:val="both"/>
        <w:rPr>
          <w:rFonts w:ascii="Abadi" w:hAnsi="Abadi"/>
          <w:i/>
          <w:sz w:val="21"/>
          <w:szCs w:val="21"/>
        </w:rPr>
      </w:pPr>
      <w:r w:rsidRPr="009F6ED0">
        <w:rPr>
          <w:rFonts w:ascii="Abadi" w:hAnsi="Abadi"/>
          <w:i/>
          <w:sz w:val="21"/>
          <w:szCs w:val="21"/>
        </w:rPr>
        <w:t>Finalmente, de conformidad con lo dispuesto por el artículo 209 de la Ley Orgánica del Poder Legislativo para el Estado de Guanajuato, manifestamos que de ser aprobada la presente iniciativa se tendrían los siguientes impactos:</w:t>
      </w:r>
    </w:p>
    <w:p w14:paraId="204DEE8A" w14:textId="77777777" w:rsidR="009F6ED0" w:rsidRPr="009F6ED0" w:rsidRDefault="009F6ED0" w:rsidP="009F6ED0">
      <w:pPr>
        <w:widowControl w:val="0"/>
        <w:ind w:left="709" w:right="1246"/>
        <w:jc w:val="both"/>
        <w:rPr>
          <w:rFonts w:ascii="Abadi" w:hAnsi="Abadi"/>
          <w:i/>
          <w:sz w:val="21"/>
          <w:szCs w:val="21"/>
        </w:rPr>
      </w:pPr>
      <w:r w:rsidRPr="009F6ED0">
        <w:rPr>
          <w:rFonts w:ascii="Abadi" w:hAnsi="Abadi"/>
          <w:i/>
          <w:sz w:val="21"/>
          <w:szCs w:val="21"/>
        </w:rPr>
        <w:t>Impacto jurídico. Se adiciona el artículo 22 BIS y se modifica</w:t>
      </w:r>
      <w:r w:rsidRPr="009F6ED0">
        <w:rPr>
          <w:rFonts w:ascii="Abadi" w:hAnsi="Abadi"/>
          <w:sz w:val="21"/>
          <w:szCs w:val="21"/>
        </w:rPr>
        <w:t xml:space="preserve"> </w:t>
      </w:r>
      <w:r w:rsidRPr="009F6ED0">
        <w:rPr>
          <w:rFonts w:ascii="Abadi" w:hAnsi="Abadi"/>
          <w:i/>
          <w:sz w:val="21"/>
          <w:szCs w:val="21"/>
        </w:rPr>
        <w:t>el artículo 46 de la Ley del Trabajo de los Servidores Públicos al Servicio del Estado y de los Municipios. Esta Asamblea cuenta con las facultades necesarias para pronunciarse respecto. Impacto administrativo. La iniciativa no genera impacto administrativo. Impacto presupuestario. La presente iniciativa no tiene impacto presupuestal al no traer consigo la generación de nuevas plazas o cambios en la estructura administrativa. Impacto social. La presente iniciativa de adición y reforma está orientada a fortalecer los derechos de las mujeres trabajadoras, por lo cual si genera impacto social.»</w:t>
      </w:r>
    </w:p>
    <w:p w14:paraId="68C4E7CA" w14:textId="77777777" w:rsidR="009F6ED0" w:rsidRPr="009F6ED0" w:rsidRDefault="009F6ED0" w:rsidP="009F6ED0">
      <w:pPr>
        <w:widowControl w:val="0"/>
        <w:autoSpaceDE w:val="0"/>
        <w:autoSpaceDN w:val="0"/>
        <w:adjustRightInd w:val="0"/>
        <w:spacing w:line="360" w:lineRule="auto"/>
        <w:ind w:firstLine="708"/>
        <w:jc w:val="both"/>
        <w:rPr>
          <w:rFonts w:ascii="Abadi" w:eastAsia="Calibri" w:hAnsi="Abadi"/>
          <w:sz w:val="21"/>
          <w:szCs w:val="21"/>
          <w:lang w:val="es-MX" w:eastAsia="en-US"/>
        </w:rPr>
      </w:pPr>
    </w:p>
    <w:p w14:paraId="64FD3168" w14:textId="77777777" w:rsidR="009F6ED0" w:rsidRPr="009F6ED0" w:rsidRDefault="009F6ED0" w:rsidP="00D10ACA">
      <w:pPr>
        <w:widowControl w:val="0"/>
        <w:autoSpaceDE w:val="0"/>
        <w:autoSpaceDN w:val="0"/>
        <w:adjustRightInd w:val="0"/>
        <w:ind w:firstLine="708"/>
        <w:jc w:val="both"/>
        <w:rPr>
          <w:rFonts w:ascii="Abadi" w:eastAsia="Calibri" w:hAnsi="Abadi"/>
          <w:sz w:val="21"/>
          <w:szCs w:val="21"/>
          <w:lang w:val="es-MX" w:eastAsia="en-US"/>
        </w:rPr>
      </w:pPr>
      <w:r w:rsidRPr="009F6ED0">
        <w:rPr>
          <w:rFonts w:ascii="Abadi" w:eastAsia="Calibri" w:hAnsi="Abadi"/>
          <w:sz w:val="21"/>
          <w:szCs w:val="21"/>
          <w:lang w:val="es-MX" w:eastAsia="en-US"/>
        </w:rPr>
        <w:t xml:space="preserve">Las diputadas y los diputados que integramos la comisión que dictamina consideramos que del análisis de las iniciativas sus alcances son el otorgamiento de licencias a padres o madres trabajadores para cuidados a hijos con padecimiento de cáncer; la ampliación de la incapacidad por maternidad; y los cuidados preventivos de la salud de las y los trabajadores al servicio del Estado y los municipios. </w:t>
      </w:r>
    </w:p>
    <w:p w14:paraId="605D5ABD" w14:textId="77777777" w:rsidR="009F6ED0" w:rsidRPr="009F6ED0" w:rsidRDefault="009F6ED0" w:rsidP="00D10ACA">
      <w:pPr>
        <w:widowControl w:val="0"/>
        <w:autoSpaceDE w:val="0"/>
        <w:autoSpaceDN w:val="0"/>
        <w:adjustRightInd w:val="0"/>
        <w:ind w:firstLine="708"/>
        <w:jc w:val="both"/>
        <w:rPr>
          <w:rFonts w:ascii="Abadi" w:eastAsia="Calibri" w:hAnsi="Abadi"/>
          <w:sz w:val="21"/>
          <w:szCs w:val="21"/>
          <w:lang w:val="es-MX" w:eastAsia="en-US"/>
        </w:rPr>
      </w:pPr>
    </w:p>
    <w:p w14:paraId="786EFD71" w14:textId="77777777" w:rsidR="009F6ED0" w:rsidRPr="009F6ED0" w:rsidRDefault="009F6ED0" w:rsidP="00D10ACA">
      <w:pPr>
        <w:widowControl w:val="0"/>
        <w:autoSpaceDE w:val="0"/>
        <w:autoSpaceDN w:val="0"/>
        <w:adjustRightInd w:val="0"/>
        <w:ind w:firstLine="708"/>
        <w:jc w:val="both"/>
        <w:rPr>
          <w:rFonts w:ascii="Abadi" w:eastAsia="Calibri" w:hAnsi="Abadi"/>
          <w:sz w:val="21"/>
          <w:szCs w:val="21"/>
          <w:lang w:val="es-MX" w:eastAsia="en-US"/>
        </w:rPr>
      </w:pPr>
      <w:r w:rsidRPr="009F6ED0">
        <w:rPr>
          <w:rFonts w:ascii="Abadi" w:eastAsia="Calibri" w:hAnsi="Abadi"/>
          <w:sz w:val="21"/>
          <w:szCs w:val="21"/>
          <w:lang w:val="es-MX" w:eastAsia="en-US"/>
        </w:rPr>
        <w:t>Con respecto a la primera iniciativa, se propone reformar la fracción II del artículo 23, y adicionar los artículos 23 Quáter, 23 Quinquies, recorriéndose en su orden el actual artículo 23 Quáter para pasar a ser 23 Sexies, las fracciones XII y XIII del artículo 46 de la Ley del Trabajo de los Servidores Públicos al Servicio del Estado y de los Municipios, con el fin de otorgar licencias para cuidados preventivos de salud, para el cuidado de hijos con tratamiento oncológico y ampliar la de maternidad.</w:t>
      </w:r>
    </w:p>
    <w:p w14:paraId="54FDD0C2" w14:textId="77777777" w:rsidR="009F6ED0" w:rsidRPr="009F6ED0" w:rsidRDefault="009F6ED0" w:rsidP="00D10ACA">
      <w:pPr>
        <w:widowControl w:val="0"/>
        <w:autoSpaceDE w:val="0"/>
        <w:autoSpaceDN w:val="0"/>
        <w:adjustRightInd w:val="0"/>
        <w:ind w:firstLine="708"/>
        <w:jc w:val="both"/>
        <w:rPr>
          <w:rFonts w:ascii="Abadi" w:eastAsia="Calibri" w:hAnsi="Abadi"/>
          <w:sz w:val="21"/>
          <w:szCs w:val="21"/>
          <w:lang w:val="es-MX" w:eastAsia="en-US"/>
        </w:rPr>
      </w:pPr>
    </w:p>
    <w:p w14:paraId="283E944B" w14:textId="77777777" w:rsidR="009F6ED0" w:rsidRPr="009F6ED0" w:rsidRDefault="009F6ED0" w:rsidP="00D10ACA">
      <w:pPr>
        <w:widowControl w:val="0"/>
        <w:autoSpaceDE w:val="0"/>
        <w:autoSpaceDN w:val="0"/>
        <w:adjustRightInd w:val="0"/>
        <w:ind w:firstLine="708"/>
        <w:jc w:val="both"/>
        <w:rPr>
          <w:rFonts w:ascii="Abadi" w:eastAsia="Calibri" w:hAnsi="Abadi"/>
          <w:sz w:val="21"/>
          <w:szCs w:val="21"/>
          <w:lang w:val="es-MX" w:eastAsia="en-US"/>
        </w:rPr>
      </w:pPr>
      <w:r w:rsidRPr="009F6ED0">
        <w:rPr>
          <w:rFonts w:ascii="Abadi" w:eastAsia="Calibri" w:hAnsi="Abadi"/>
          <w:sz w:val="21"/>
          <w:szCs w:val="21"/>
          <w:lang w:val="es-MX" w:eastAsia="en-US"/>
        </w:rPr>
        <w:t>Por otro lado, derivado de la reforma constitucional en materia de derechos humanos del 10 de junio de 2011, se estableció en la Constitución Política de los Estados Unidos Mexicanos la obligación de todas las autoridades en el ámbito de sus respectivas competencias, de promover, respetar, proteger y garantizar los derechos humanos. En ese sentido, se considera favorable y en armonía con la referida Constitución Federal y el extenso catálogo de tratados internacionales en materia de derechos humanos del que el Estado Mexicano es parte, la propuesta de reforma que se plantea.</w:t>
      </w:r>
    </w:p>
    <w:p w14:paraId="03CBD7B8" w14:textId="77777777" w:rsidR="009F6ED0" w:rsidRPr="009F6ED0" w:rsidRDefault="009F6ED0" w:rsidP="00D10ACA">
      <w:pPr>
        <w:widowControl w:val="0"/>
        <w:autoSpaceDE w:val="0"/>
        <w:autoSpaceDN w:val="0"/>
        <w:adjustRightInd w:val="0"/>
        <w:ind w:firstLine="708"/>
        <w:jc w:val="both"/>
        <w:rPr>
          <w:rFonts w:ascii="Abadi" w:eastAsia="Calibri" w:hAnsi="Abadi"/>
          <w:sz w:val="21"/>
          <w:szCs w:val="21"/>
          <w:lang w:val="es-MX" w:eastAsia="en-US"/>
        </w:rPr>
      </w:pPr>
    </w:p>
    <w:p w14:paraId="3E1F527C" w14:textId="77777777" w:rsidR="009F6ED0" w:rsidRPr="009F6ED0" w:rsidRDefault="009F6ED0" w:rsidP="00D10ACA">
      <w:pPr>
        <w:widowControl w:val="0"/>
        <w:autoSpaceDE w:val="0"/>
        <w:autoSpaceDN w:val="0"/>
        <w:adjustRightInd w:val="0"/>
        <w:ind w:firstLine="708"/>
        <w:jc w:val="both"/>
        <w:rPr>
          <w:rFonts w:ascii="Abadi" w:eastAsia="Calibri" w:hAnsi="Abadi"/>
          <w:sz w:val="21"/>
          <w:szCs w:val="21"/>
          <w:lang w:val="es-MX" w:eastAsia="en-US"/>
        </w:rPr>
      </w:pPr>
      <w:r w:rsidRPr="009F6ED0">
        <w:rPr>
          <w:rFonts w:ascii="Abadi" w:eastAsia="Calibri" w:hAnsi="Abadi"/>
          <w:sz w:val="21"/>
          <w:szCs w:val="21"/>
          <w:lang w:val="es-MX" w:eastAsia="en-US"/>
        </w:rPr>
        <w:t xml:space="preserve">En México el derecho a la protección de maternidad en el ámbito laboral y de seguridad social está reconocido a nivel constitucional y en el ámbito internacional de los derechos humanos. La Norma Oficial Mexicana NOM-007-SSA2-2016, para la atención de la mujer durante el embarazo, parto y puerperio, y de la persona recién nacida, señala: </w:t>
      </w:r>
      <w:r w:rsidRPr="009F6ED0">
        <w:rPr>
          <w:rFonts w:ascii="Abadi" w:eastAsia="Calibri" w:hAnsi="Abadi"/>
          <w:i/>
          <w:iCs/>
          <w:sz w:val="21"/>
          <w:szCs w:val="21"/>
          <w:lang w:val="es-MX" w:eastAsia="en-US"/>
        </w:rPr>
        <w:t xml:space="preserve">La salud materno-infantil constituye un objetivo básico de los pueblos porque en ella descansa la reproducción biológica y social del ser humano; es condición esencial del bienestar de las familias, y constituye un elemento clave para reducir las desigualdades y la pobreza. </w:t>
      </w:r>
      <w:r w:rsidRPr="009F6ED0">
        <w:rPr>
          <w:rFonts w:ascii="Abadi" w:eastAsia="Calibri" w:hAnsi="Abadi"/>
          <w:sz w:val="21"/>
          <w:szCs w:val="21"/>
          <w:lang w:val="es-MX" w:eastAsia="en-US"/>
        </w:rPr>
        <w:t>Es así como, referente al proyecto de reforma del artículo 23, en la cual se plantea aumentar a 14 semanas la licencia de maternidad, atiende al estándar mínimo establecido en el Convenio sobre Protección de Maternidad, por lo cual nuestra Ley local se armonizaría a los estándares internacionales en la materia.</w:t>
      </w:r>
    </w:p>
    <w:p w14:paraId="52AC3211" w14:textId="77777777" w:rsidR="009F6ED0" w:rsidRPr="009F6ED0" w:rsidRDefault="009F6ED0" w:rsidP="00D10ACA">
      <w:pPr>
        <w:widowControl w:val="0"/>
        <w:autoSpaceDE w:val="0"/>
        <w:autoSpaceDN w:val="0"/>
        <w:adjustRightInd w:val="0"/>
        <w:ind w:firstLine="708"/>
        <w:jc w:val="both"/>
        <w:rPr>
          <w:rFonts w:ascii="Abadi" w:eastAsia="Calibri" w:hAnsi="Abadi"/>
          <w:sz w:val="21"/>
          <w:szCs w:val="21"/>
          <w:lang w:val="es-MX" w:eastAsia="en-US"/>
        </w:rPr>
      </w:pPr>
    </w:p>
    <w:p w14:paraId="330999E8" w14:textId="77777777" w:rsidR="009F6ED0" w:rsidRPr="009F6ED0" w:rsidRDefault="009F6ED0" w:rsidP="00D10ACA">
      <w:pPr>
        <w:widowControl w:val="0"/>
        <w:autoSpaceDE w:val="0"/>
        <w:autoSpaceDN w:val="0"/>
        <w:adjustRightInd w:val="0"/>
        <w:ind w:firstLine="708"/>
        <w:jc w:val="both"/>
        <w:rPr>
          <w:rFonts w:ascii="Abadi" w:eastAsia="Calibri" w:hAnsi="Abadi"/>
          <w:sz w:val="21"/>
          <w:szCs w:val="21"/>
          <w:lang w:val="es-MX" w:eastAsia="en-US"/>
        </w:rPr>
      </w:pPr>
      <w:r w:rsidRPr="009F6ED0">
        <w:rPr>
          <w:rFonts w:ascii="Abadi" w:eastAsia="Calibri" w:hAnsi="Abadi"/>
          <w:sz w:val="21"/>
          <w:szCs w:val="21"/>
          <w:lang w:val="es-MX" w:eastAsia="en-US"/>
        </w:rPr>
        <w:t>En ese mismo orden de ideas, el cáncer infantil en México es un problema de salud pública, al ser la principal causa de muerte por enfermedad entre los 5 y 14 años de edad, cobrando más de 2,000 vidas anuales. Si bien, solo el 5% de los casos de cáncer ocurren en niñas y niños, cuando se presenta dicha enfermedad, en la mayoría de los casos tiene por consecuencia el rompimiento de la dinámica familiar. Éste tiene un efecto significativo en las personas, que pueden sentir tristeza, ansiedad, enojo o incluso desesperanza. Por ello, es importante el apoyo laboral de las instituciones públicas o empresas privadas en este tipo de casos, y con ello, otorgar todas las facilidades que pudiera necesitar la persona trabajadora para acompañar o cuidar a su hija o hijo que sufre la enfermedad en comento.</w:t>
      </w:r>
    </w:p>
    <w:p w14:paraId="12622A0F" w14:textId="77777777" w:rsidR="009F6ED0" w:rsidRPr="009F6ED0" w:rsidRDefault="009F6ED0" w:rsidP="00D10ACA">
      <w:pPr>
        <w:widowControl w:val="0"/>
        <w:autoSpaceDE w:val="0"/>
        <w:autoSpaceDN w:val="0"/>
        <w:adjustRightInd w:val="0"/>
        <w:ind w:firstLine="708"/>
        <w:jc w:val="both"/>
        <w:rPr>
          <w:rFonts w:ascii="Abadi" w:eastAsia="Calibri" w:hAnsi="Abadi"/>
          <w:sz w:val="21"/>
          <w:szCs w:val="21"/>
          <w:lang w:val="es-MX" w:eastAsia="en-US"/>
        </w:rPr>
      </w:pPr>
    </w:p>
    <w:p w14:paraId="5AF42D95" w14:textId="77777777" w:rsidR="009F6ED0" w:rsidRPr="009F6ED0" w:rsidRDefault="009F6ED0" w:rsidP="00D10ACA">
      <w:pPr>
        <w:widowControl w:val="0"/>
        <w:autoSpaceDE w:val="0"/>
        <w:autoSpaceDN w:val="0"/>
        <w:adjustRightInd w:val="0"/>
        <w:ind w:firstLine="708"/>
        <w:jc w:val="both"/>
        <w:rPr>
          <w:rFonts w:ascii="Abadi" w:eastAsia="Calibri" w:hAnsi="Abadi"/>
          <w:sz w:val="21"/>
          <w:szCs w:val="21"/>
          <w:lang w:val="es-MX" w:eastAsia="en-US"/>
        </w:rPr>
      </w:pPr>
      <w:r w:rsidRPr="009F6ED0">
        <w:rPr>
          <w:rFonts w:ascii="Abadi" w:eastAsia="Calibri" w:hAnsi="Abadi"/>
          <w:sz w:val="21"/>
          <w:szCs w:val="21"/>
          <w:lang w:val="es-MX" w:eastAsia="en-US"/>
        </w:rPr>
        <w:t xml:space="preserve">La Organización Internacional del Trabajo (OIT) en cuanto a licencias por maternidad, establece como parámetro al menos 14 semanas, mientras que en México únicamente se otorgan 12. La constitución de una familia es un objetivo muy preciado por muchas personas trabajadoras. Sin embargo, el embarazo y la maternidad son épocas de particular vulnerabilidad para las trabajadoras y sus familias. Las embarazadas y las madres en período de lactancia requieren una especial protección para evitar daños a su salud y a la de sus hijas e hijos. Al mismo tiempo, requieren una protección que garantice que no perderán sus empleos. Esa protección no sólo garantiza a las mujeres la igualdad en el acceso al empleo, sino que también el mantenimiento de ingresos vitales para el bienestar de toda su familia. </w:t>
      </w:r>
    </w:p>
    <w:p w14:paraId="64858671" w14:textId="77777777" w:rsidR="009F6ED0" w:rsidRPr="009F6ED0" w:rsidRDefault="009F6ED0" w:rsidP="00D10ACA">
      <w:pPr>
        <w:widowControl w:val="0"/>
        <w:autoSpaceDE w:val="0"/>
        <w:autoSpaceDN w:val="0"/>
        <w:adjustRightInd w:val="0"/>
        <w:ind w:firstLine="708"/>
        <w:jc w:val="both"/>
        <w:rPr>
          <w:rFonts w:ascii="Abadi" w:eastAsia="Calibri" w:hAnsi="Abadi"/>
          <w:sz w:val="21"/>
          <w:szCs w:val="21"/>
          <w:lang w:val="es-MX" w:eastAsia="en-US"/>
        </w:rPr>
      </w:pPr>
    </w:p>
    <w:p w14:paraId="71838AAB" w14:textId="77777777" w:rsidR="009F6ED0" w:rsidRPr="009F6ED0" w:rsidRDefault="009F6ED0" w:rsidP="00D10ACA">
      <w:pPr>
        <w:widowControl w:val="0"/>
        <w:autoSpaceDE w:val="0"/>
        <w:autoSpaceDN w:val="0"/>
        <w:adjustRightInd w:val="0"/>
        <w:ind w:firstLine="708"/>
        <w:jc w:val="both"/>
        <w:rPr>
          <w:rFonts w:ascii="Abadi" w:eastAsia="Calibri" w:hAnsi="Abadi"/>
          <w:sz w:val="21"/>
          <w:szCs w:val="21"/>
          <w:lang w:val="es-MX" w:eastAsia="en-US"/>
        </w:rPr>
      </w:pPr>
      <w:r w:rsidRPr="009F6ED0">
        <w:rPr>
          <w:rFonts w:ascii="Abadi" w:eastAsia="Calibri" w:hAnsi="Abadi"/>
          <w:sz w:val="21"/>
          <w:szCs w:val="21"/>
          <w:lang w:val="es-MX" w:eastAsia="en-US"/>
        </w:rPr>
        <w:t>La garantía de la salud de las trabajadoras embarazadas y de las madres en período de lactancia y la protección contra la discriminación en el trabajo, son condiciones requeridas para alcanzar una genuina igualdad de oportunidades y de trato para hombres y mujeres en el trabajo. Por ello, dicha iniciativa se considera acorde al Convenio sobre la protección de la maternidad (número 183) de la Organización Internacional del Trabajo (OIT).</w:t>
      </w:r>
    </w:p>
    <w:p w14:paraId="5E6BB85B" w14:textId="77777777" w:rsidR="009F6ED0" w:rsidRPr="009F6ED0" w:rsidRDefault="009F6ED0" w:rsidP="00D10ACA">
      <w:pPr>
        <w:widowControl w:val="0"/>
        <w:autoSpaceDE w:val="0"/>
        <w:autoSpaceDN w:val="0"/>
        <w:adjustRightInd w:val="0"/>
        <w:ind w:firstLine="708"/>
        <w:jc w:val="both"/>
        <w:rPr>
          <w:rFonts w:ascii="Abadi" w:eastAsia="Calibri" w:hAnsi="Abadi"/>
          <w:sz w:val="21"/>
          <w:szCs w:val="21"/>
          <w:lang w:val="es-MX" w:eastAsia="en-US"/>
        </w:rPr>
      </w:pPr>
    </w:p>
    <w:p w14:paraId="658C6D2C" w14:textId="77777777" w:rsidR="009F6ED0" w:rsidRPr="009F6ED0" w:rsidRDefault="009F6ED0" w:rsidP="00D10ACA">
      <w:pPr>
        <w:widowControl w:val="0"/>
        <w:autoSpaceDE w:val="0"/>
        <w:autoSpaceDN w:val="0"/>
        <w:adjustRightInd w:val="0"/>
        <w:ind w:firstLine="708"/>
        <w:jc w:val="both"/>
        <w:rPr>
          <w:rFonts w:ascii="Abadi" w:eastAsia="Calibri" w:hAnsi="Abadi"/>
          <w:sz w:val="21"/>
          <w:szCs w:val="21"/>
          <w:lang w:val="es-MX" w:eastAsia="en-US"/>
        </w:rPr>
      </w:pPr>
      <w:r w:rsidRPr="009F6ED0">
        <w:rPr>
          <w:rFonts w:ascii="Abadi" w:eastAsia="Calibri" w:hAnsi="Abadi"/>
          <w:sz w:val="21"/>
          <w:szCs w:val="21"/>
          <w:lang w:val="es-MX" w:eastAsia="en-US"/>
        </w:rPr>
        <w:t xml:space="preserve">En otro orden de ideas, cabe resaltar que para alcanzar un estado adecuado de bienestar físico, mental y social un individuo o grupo debe ser capaz de identificar y realizar sus aspiraciones, de satisfacer sus necesidades y de cambiar o adaptarse al medio ambiente. La salud se percibe pues, no como el objetivo, sino como la fuente de riqueza de la vida cotidiana, de ahí la importancia de este análisis, pues ambas iniciativas tienen tal alcance. </w:t>
      </w:r>
    </w:p>
    <w:p w14:paraId="57452353" w14:textId="77777777" w:rsidR="009F6ED0" w:rsidRPr="009F6ED0" w:rsidRDefault="009F6ED0" w:rsidP="00D10ACA">
      <w:pPr>
        <w:widowControl w:val="0"/>
        <w:autoSpaceDE w:val="0"/>
        <w:autoSpaceDN w:val="0"/>
        <w:adjustRightInd w:val="0"/>
        <w:ind w:firstLine="708"/>
        <w:jc w:val="both"/>
        <w:rPr>
          <w:rFonts w:ascii="Abadi" w:eastAsia="Calibri" w:hAnsi="Abadi"/>
          <w:sz w:val="21"/>
          <w:szCs w:val="21"/>
          <w:lang w:val="es-MX" w:eastAsia="en-US"/>
        </w:rPr>
      </w:pPr>
    </w:p>
    <w:p w14:paraId="1269080A" w14:textId="77777777" w:rsidR="009F6ED0" w:rsidRPr="009F6ED0" w:rsidRDefault="009F6ED0" w:rsidP="00D10ACA">
      <w:pPr>
        <w:widowControl w:val="0"/>
        <w:autoSpaceDE w:val="0"/>
        <w:autoSpaceDN w:val="0"/>
        <w:adjustRightInd w:val="0"/>
        <w:ind w:firstLine="708"/>
        <w:jc w:val="both"/>
        <w:rPr>
          <w:rFonts w:ascii="Abadi" w:eastAsia="Calibri" w:hAnsi="Abadi"/>
          <w:sz w:val="21"/>
          <w:szCs w:val="21"/>
          <w:lang w:val="es-MX" w:eastAsia="en-US"/>
        </w:rPr>
      </w:pPr>
      <w:r w:rsidRPr="009F6ED0">
        <w:rPr>
          <w:rFonts w:ascii="Abadi" w:eastAsia="Calibri" w:hAnsi="Abadi"/>
          <w:sz w:val="21"/>
          <w:szCs w:val="21"/>
          <w:lang w:val="es-MX" w:eastAsia="en-US"/>
        </w:rPr>
        <w:t>Por ello, se trata por tanto de un concepto positivo que acentúa los recursos sociales y personales, así como las aptitudes físicas. La prevención de la salud abarca una amplia gama de intervenciones sociales y ambientales destinadas a beneficiar y proteger la salud y la calidad de vida.</w:t>
      </w:r>
    </w:p>
    <w:p w14:paraId="626615C9" w14:textId="77777777" w:rsidR="009F6ED0" w:rsidRPr="009F6ED0" w:rsidRDefault="009F6ED0" w:rsidP="00D10ACA">
      <w:pPr>
        <w:widowControl w:val="0"/>
        <w:autoSpaceDE w:val="0"/>
        <w:autoSpaceDN w:val="0"/>
        <w:adjustRightInd w:val="0"/>
        <w:ind w:firstLine="708"/>
        <w:jc w:val="both"/>
        <w:rPr>
          <w:rFonts w:ascii="Abadi" w:eastAsia="Calibri" w:hAnsi="Abadi"/>
          <w:sz w:val="21"/>
          <w:szCs w:val="21"/>
          <w:lang w:val="es-MX" w:eastAsia="en-US"/>
        </w:rPr>
      </w:pPr>
    </w:p>
    <w:p w14:paraId="015EBC08" w14:textId="77777777" w:rsidR="009F6ED0" w:rsidRPr="009F6ED0" w:rsidRDefault="009F6ED0" w:rsidP="00D10ACA">
      <w:pPr>
        <w:widowControl w:val="0"/>
        <w:autoSpaceDE w:val="0"/>
        <w:autoSpaceDN w:val="0"/>
        <w:adjustRightInd w:val="0"/>
        <w:jc w:val="both"/>
        <w:rPr>
          <w:rFonts w:ascii="Abadi" w:eastAsia="Calibri" w:hAnsi="Abadi"/>
          <w:b/>
          <w:bCs/>
          <w:sz w:val="21"/>
          <w:szCs w:val="21"/>
          <w:lang w:val="es-MX" w:eastAsia="en-US"/>
        </w:rPr>
      </w:pPr>
      <w:r w:rsidRPr="009F6ED0">
        <w:rPr>
          <w:rFonts w:ascii="Abadi" w:eastAsia="Calibri" w:hAnsi="Abadi"/>
          <w:b/>
          <w:bCs/>
          <w:sz w:val="21"/>
          <w:szCs w:val="21"/>
          <w:lang w:val="es-MX" w:eastAsia="en-US"/>
        </w:rPr>
        <w:t>II.1. Marco constitucional y convencional del derecho a la salud.</w:t>
      </w:r>
    </w:p>
    <w:p w14:paraId="2A60239F" w14:textId="77777777" w:rsidR="009F6ED0" w:rsidRPr="009F6ED0" w:rsidRDefault="009F6ED0" w:rsidP="00D10ACA">
      <w:pPr>
        <w:widowControl w:val="0"/>
        <w:autoSpaceDE w:val="0"/>
        <w:autoSpaceDN w:val="0"/>
        <w:adjustRightInd w:val="0"/>
        <w:ind w:firstLine="708"/>
        <w:jc w:val="both"/>
        <w:rPr>
          <w:rFonts w:ascii="Abadi" w:eastAsia="Calibri" w:hAnsi="Abadi"/>
          <w:sz w:val="21"/>
          <w:szCs w:val="21"/>
          <w:lang w:val="es-MX" w:eastAsia="en-US"/>
        </w:rPr>
      </w:pPr>
    </w:p>
    <w:p w14:paraId="454364C0" w14:textId="77777777" w:rsidR="009F6ED0" w:rsidRPr="009F6ED0" w:rsidRDefault="009F6ED0" w:rsidP="00D10ACA">
      <w:pPr>
        <w:widowControl w:val="0"/>
        <w:autoSpaceDE w:val="0"/>
        <w:autoSpaceDN w:val="0"/>
        <w:adjustRightInd w:val="0"/>
        <w:ind w:firstLine="708"/>
        <w:jc w:val="both"/>
        <w:rPr>
          <w:rFonts w:ascii="Abadi" w:eastAsia="Calibri" w:hAnsi="Abadi"/>
          <w:sz w:val="21"/>
          <w:szCs w:val="21"/>
          <w:lang w:val="es-MX" w:eastAsia="en-US"/>
        </w:rPr>
      </w:pPr>
      <w:r w:rsidRPr="009F6ED0">
        <w:rPr>
          <w:rFonts w:ascii="Abadi" w:eastAsia="Calibri" w:hAnsi="Abadi"/>
          <w:sz w:val="21"/>
          <w:szCs w:val="21"/>
          <w:lang w:val="es-MX" w:eastAsia="en-US"/>
        </w:rPr>
        <w:t xml:space="preserve">Tenemos claro que el derecho fundamental a la protección de la salud reconocido en el artículo 4o. de nuestra Constitución Política de los Estados Unidos Mexicanos, ha sido interpretado por la primera sala de la Suprema Corte de Justicia de la Nación estableciendo que tal prerrogativa tiene una proyección tanto individual como personal, respecto a la protección a la salud de las personas en lo individual, el derecho a la salud se traduce en la obtención de un determinado bienestar general integrado por el estado físico, mental, emocional y social de la persona, del que deriva otro derecho fundamental, consistente en el derecho a la integridad físico-psicológica. </w:t>
      </w:r>
    </w:p>
    <w:p w14:paraId="457D04DC" w14:textId="77777777" w:rsidR="009F6ED0" w:rsidRPr="009F6ED0" w:rsidRDefault="009F6ED0" w:rsidP="00D10ACA">
      <w:pPr>
        <w:widowControl w:val="0"/>
        <w:autoSpaceDE w:val="0"/>
        <w:autoSpaceDN w:val="0"/>
        <w:adjustRightInd w:val="0"/>
        <w:ind w:firstLine="708"/>
        <w:jc w:val="both"/>
        <w:rPr>
          <w:rFonts w:ascii="Abadi" w:eastAsia="Calibri" w:hAnsi="Abadi"/>
          <w:sz w:val="21"/>
          <w:szCs w:val="21"/>
          <w:lang w:val="es-MX" w:eastAsia="en-US"/>
        </w:rPr>
      </w:pPr>
    </w:p>
    <w:p w14:paraId="68304BAE" w14:textId="77777777" w:rsidR="009F6ED0" w:rsidRPr="009F6ED0" w:rsidRDefault="009F6ED0" w:rsidP="00D10ACA">
      <w:pPr>
        <w:widowControl w:val="0"/>
        <w:autoSpaceDE w:val="0"/>
        <w:autoSpaceDN w:val="0"/>
        <w:adjustRightInd w:val="0"/>
        <w:ind w:firstLine="708"/>
        <w:jc w:val="both"/>
        <w:rPr>
          <w:rFonts w:ascii="Abadi" w:eastAsiaTheme="minorHAnsi" w:hAnsi="Abadi" w:cs="ArialNarrow"/>
          <w:sz w:val="21"/>
          <w:szCs w:val="21"/>
          <w:lang w:val="es-MX" w:eastAsia="en-US"/>
        </w:rPr>
      </w:pPr>
      <w:r w:rsidRPr="009F6ED0">
        <w:rPr>
          <w:rFonts w:ascii="Abadi" w:eastAsia="Calibri" w:hAnsi="Abadi"/>
          <w:sz w:val="21"/>
          <w:szCs w:val="21"/>
          <w:lang w:val="es-MX" w:eastAsia="en-US"/>
        </w:rPr>
        <w:t>De ahí que resulta evidente que el Estado tiene un interés constitucional en procurar a las personas en lo individual un adecuado estado de salud y bienestar. Por otro lado, la faceta social o pública del derecho a la salud consiste en el deber del Estado de atender los problemas de salud que afectan a la sociedad en general, así como en establecer los mecanismos necesarios para que todas las personas tengan acceso a los servicios de salud. Lo anterior comprende el deber de emprender las acciones necesarias para alcanzar ese fin, tales como el desarrollo de políticas públicas, controles de calidad de los servicios de salud, identificación de los principales problemas que afecten la salud pública del conglomerado social, entre otras</w:t>
      </w:r>
      <w:r w:rsidRPr="009F6ED0">
        <w:rPr>
          <w:rFonts w:ascii="Abadi" w:eastAsiaTheme="minorHAnsi" w:hAnsi="Abadi" w:cs="ArialNarrow"/>
          <w:sz w:val="21"/>
          <w:szCs w:val="21"/>
          <w:lang w:val="es-MX" w:eastAsia="en-US"/>
        </w:rPr>
        <w:t>.</w:t>
      </w:r>
      <w:r w:rsidRPr="009F6ED0">
        <w:rPr>
          <w:rFonts w:ascii="Abadi" w:eastAsiaTheme="minorHAnsi" w:hAnsi="Abadi" w:cs="ArialNarrow"/>
          <w:sz w:val="21"/>
          <w:szCs w:val="21"/>
          <w:vertAlign w:val="superscript"/>
          <w:lang w:val="es-MX" w:eastAsia="en-US"/>
        </w:rPr>
        <w:footnoteReference w:id="113"/>
      </w:r>
    </w:p>
    <w:p w14:paraId="1FD4314C" w14:textId="77777777" w:rsidR="009F6ED0" w:rsidRPr="009F6ED0" w:rsidRDefault="009F6ED0" w:rsidP="00D10ACA">
      <w:pPr>
        <w:widowControl w:val="0"/>
        <w:autoSpaceDE w:val="0"/>
        <w:autoSpaceDN w:val="0"/>
        <w:adjustRightInd w:val="0"/>
        <w:ind w:firstLine="708"/>
        <w:jc w:val="both"/>
        <w:rPr>
          <w:rFonts w:ascii="Abadi" w:eastAsia="Calibri" w:hAnsi="Abadi"/>
          <w:sz w:val="21"/>
          <w:szCs w:val="21"/>
          <w:lang w:val="es-MX" w:eastAsia="en-US"/>
        </w:rPr>
      </w:pPr>
    </w:p>
    <w:p w14:paraId="2A73F758" w14:textId="77777777" w:rsidR="009F6ED0" w:rsidRPr="009F6ED0" w:rsidRDefault="009F6ED0" w:rsidP="00D10ACA">
      <w:pPr>
        <w:widowControl w:val="0"/>
        <w:autoSpaceDE w:val="0"/>
        <w:autoSpaceDN w:val="0"/>
        <w:adjustRightInd w:val="0"/>
        <w:ind w:firstLine="708"/>
        <w:jc w:val="both"/>
        <w:rPr>
          <w:rFonts w:ascii="Abadi" w:eastAsia="Calibri" w:hAnsi="Abadi"/>
          <w:sz w:val="21"/>
          <w:szCs w:val="21"/>
          <w:lang w:val="es-MX" w:eastAsia="en-US"/>
        </w:rPr>
      </w:pPr>
      <w:r w:rsidRPr="009F6ED0">
        <w:rPr>
          <w:rFonts w:ascii="Abadi" w:eastAsia="Calibri" w:hAnsi="Abadi"/>
          <w:sz w:val="21"/>
          <w:szCs w:val="21"/>
          <w:lang w:val="es-MX" w:eastAsia="en-US"/>
        </w:rPr>
        <w:t xml:space="preserve">En el ámbito internacional de los derechos humanos existen un número significativo de Tratados que aluden al derecho a la salud, siendo el más preciso el </w:t>
      </w:r>
      <w:r w:rsidRPr="009F6ED0">
        <w:rPr>
          <w:rFonts w:ascii="Abadi" w:eastAsia="Calibri" w:hAnsi="Abadi"/>
          <w:i/>
          <w:iCs/>
          <w:sz w:val="21"/>
          <w:szCs w:val="21"/>
          <w:lang w:val="es-MX" w:eastAsia="en-US"/>
        </w:rPr>
        <w:t>Pacto Internacional de Derechos Económicos, Sociales y Culturales,</w:t>
      </w:r>
      <w:r w:rsidRPr="009F6ED0">
        <w:rPr>
          <w:rFonts w:ascii="Abadi" w:eastAsia="Calibri" w:hAnsi="Abadi"/>
          <w:sz w:val="21"/>
          <w:szCs w:val="21"/>
          <w:lang w:val="es-MX" w:eastAsia="en-US"/>
        </w:rPr>
        <w:t xml:space="preserve"> cuyo artículo 12 establece este derecho. En tal sentido, el </w:t>
      </w:r>
      <w:r w:rsidRPr="009F6ED0">
        <w:rPr>
          <w:rFonts w:ascii="Abadi" w:eastAsia="Calibri" w:hAnsi="Abadi"/>
          <w:i/>
          <w:iCs/>
          <w:sz w:val="21"/>
          <w:szCs w:val="21"/>
          <w:lang w:val="es-MX" w:eastAsia="en-US"/>
        </w:rPr>
        <w:t>Comité de Derechos Económicos, Sociales y Culturales</w:t>
      </w:r>
      <w:r w:rsidRPr="009F6ED0">
        <w:rPr>
          <w:rFonts w:ascii="Abadi" w:eastAsia="Calibri" w:hAnsi="Abadi"/>
          <w:sz w:val="21"/>
          <w:szCs w:val="21"/>
          <w:lang w:val="es-MX" w:eastAsia="en-US"/>
        </w:rPr>
        <w:t xml:space="preserve"> a través de la Observación General Núm. 14, ha establecido los lineamientos generales –obligatorios hacia los Estados Parte– sobre los alcances y contenidos del derecho a la salud, concretamente señalando lo siguiente:</w:t>
      </w:r>
    </w:p>
    <w:p w14:paraId="3DE4B06D" w14:textId="77777777" w:rsidR="009F6ED0" w:rsidRPr="009F6ED0" w:rsidRDefault="009F6ED0" w:rsidP="00D10ACA">
      <w:pPr>
        <w:widowControl w:val="0"/>
        <w:autoSpaceDE w:val="0"/>
        <w:autoSpaceDN w:val="0"/>
        <w:adjustRightInd w:val="0"/>
        <w:ind w:firstLine="708"/>
        <w:jc w:val="both"/>
        <w:rPr>
          <w:rFonts w:ascii="Abadi" w:eastAsia="Calibri" w:hAnsi="Abadi"/>
          <w:sz w:val="21"/>
          <w:szCs w:val="21"/>
          <w:lang w:val="es-MX" w:eastAsia="en-US"/>
        </w:rPr>
      </w:pPr>
    </w:p>
    <w:p w14:paraId="09512E0D" w14:textId="77777777" w:rsidR="009F6ED0" w:rsidRPr="009F6ED0" w:rsidRDefault="009F6ED0" w:rsidP="00D10ACA">
      <w:pPr>
        <w:widowControl w:val="0"/>
        <w:ind w:left="709" w:right="1246"/>
        <w:jc w:val="both"/>
        <w:rPr>
          <w:rFonts w:ascii="Abadi" w:hAnsi="Abadi"/>
          <w:i/>
          <w:sz w:val="21"/>
          <w:szCs w:val="21"/>
        </w:rPr>
      </w:pPr>
      <w:r w:rsidRPr="009F6ED0">
        <w:rPr>
          <w:rFonts w:ascii="Abadi" w:hAnsi="Abadi"/>
          <w:i/>
          <w:sz w:val="21"/>
          <w:szCs w:val="21"/>
        </w:rPr>
        <w:t>La salud es un derecho humano fundamental e indispensable para el ejercicio de los demás derechos humanos. Todo ser humano tiene derecho al disfrute del más alto nivel posible de salud que le permita vivir dignamente. La efectividad del derecho a la salud se puede alcanzar mediante numerosos procedimientos complementarios, como la formulación de políticas en materia de salud…Al igual que todos los derechos humanos, el derecho a la salud impone tres tipos o niveles de obligaciones a los Estados Partes: la obligación de respetar, proteger y cumplir. A su vez, la obligación de cumplir comprende la obligación de facilitar, proporcionar y promover. La obligación de respetar exige que los Estados se abstengan de injerirse directa o indirectamente en el disfrute del derecho a la salud. La obligación de proteger requiere que los Estados adopten medidas para impedir que terceros interfieran en la aplicación de las garantías prevista en el artículo 12. Por último, la obligación de cumplir requiere que los Estados adopten medidas apropiadas de carácter legislativo, administrativo, presupuestario, judicial o de otra índole para dar plena efectividad al derecho a la salud.</w:t>
      </w:r>
    </w:p>
    <w:p w14:paraId="0A606425" w14:textId="77777777" w:rsidR="009F6ED0" w:rsidRPr="009F6ED0" w:rsidRDefault="009F6ED0" w:rsidP="00D10ACA">
      <w:pPr>
        <w:widowControl w:val="0"/>
        <w:autoSpaceDE w:val="0"/>
        <w:autoSpaceDN w:val="0"/>
        <w:adjustRightInd w:val="0"/>
        <w:ind w:firstLine="708"/>
        <w:jc w:val="both"/>
        <w:rPr>
          <w:rFonts w:ascii="Abadi" w:eastAsia="Calibri" w:hAnsi="Abadi"/>
          <w:sz w:val="21"/>
          <w:szCs w:val="21"/>
          <w:highlight w:val="yellow"/>
          <w:lang w:val="es-MX" w:eastAsia="en-US"/>
        </w:rPr>
      </w:pPr>
    </w:p>
    <w:p w14:paraId="2EEE947E" w14:textId="77777777" w:rsidR="009F6ED0" w:rsidRPr="009F6ED0" w:rsidRDefault="009F6ED0" w:rsidP="00D10ACA">
      <w:pPr>
        <w:widowControl w:val="0"/>
        <w:autoSpaceDE w:val="0"/>
        <w:autoSpaceDN w:val="0"/>
        <w:adjustRightInd w:val="0"/>
        <w:ind w:firstLine="708"/>
        <w:jc w:val="both"/>
        <w:rPr>
          <w:rFonts w:ascii="Abadi" w:eastAsiaTheme="minorHAnsi" w:hAnsi="Abadi" w:cs="ArialNarrow-Italic"/>
          <w:i/>
          <w:iCs/>
          <w:sz w:val="21"/>
          <w:szCs w:val="21"/>
          <w:lang w:val="es-MX" w:eastAsia="en-US"/>
        </w:rPr>
      </w:pPr>
      <w:r w:rsidRPr="009F6ED0">
        <w:rPr>
          <w:rFonts w:ascii="Abadi" w:eastAsia="Calibri" w:hAnsi="Abadi"/>
          <w:sz w:val="21"/>
          <w:szCs w:val="21"/>
          <w:lang w:val="es-MX" w:eastAsia="en-US"/>
        </w:rPr>
        <w:t>Por su parte, la Ley General de Salud, en su artículo 77-bis 1, párrafo segundo, dispone que la protección a la salud, será garantizada por el Estado, bajo criterios de universalidad e igualdad, deberá generar las condiciones que permitan brindar el acceso gratuito, progresivo, efectivo, oportuno, de calidad y sin discriminación a los servicios médicos, incluidas intervenciones quirúrgicas, farmacéuticos y hospitalarios que satisfagan de manera integral las necesidades de salud, mediante la combinación de intervenciones de promoción de la salud, prevención, diagnóstico, tratamiento y de rehabilitación, seleccionadas en forma prioritaria según criterios de seguridad, eficacia, efectividad, adherencia a normas éticas profesionales y aceptabilidad social</w:t>
      </w:r>
      <w:r w:rsidRPr="009F6ED0">
        <w:rPr>
          <w:rFonts w:ascii="Abadi" w:eastAsiaTheme="minorHAnsi" w:hAnsi="Abadi" w:cs="ArialNarrow-Italic"/>
          <w:i/>
          <w:iCs/>
          <w:sz w:val="21"/>
          <w:szCs w:val="21"/>
          <w:lang w:val="es-MX" w:eastAsia="en-US"/>
        </w:rPr>
        <w:t>.</w:t>
      </w:r>
    </w:p>
    <w:p w14:paraId="11C37055" w14:textId="77777777" w:rsidR="009F6ED0" w:rsidRPr="009F6ED0" w:rsidRDefault="009F6ED0" w:rsidP="00D10ACA">
      <w:pPr>
        <w:widowControl w:val="0"/>
        <w:autoSpaceDE w:val="0"/>
        <w:autoSpaceDN w:val="0"/>
        <w:adjustRightInd w:val="0"/>
        <w:ind w:firstLine="708"/>
        <w:jc w:val="both"/>
        <w:rPr>
          <w:rFonts w:ascii="Abadi" w:eastAsia="Calibri" w:hAnsi="Abadi"/>
          <w:sz w:val="21"/>
          <w:szCs w:val="21"/>
          <w:lang w:val="es-MX" w:eastAsia="en-US"/>
        </w:rPr>
      </w:pPr>
    </w:p>
    <w:p w14:paraId="11B91618" w14:textId="77777777" w:rsidR="009F6ED0" w:rsidRPr="009F6ED0" w:rsidRDefault="009F6ED0" w:rsidP="00D10ACA">
      <w:pPr>
        <w:widowControl w:val="0"/>
        <w:autoSpaceDE w:val="0"/>
        <w:autoSpaceDN w:val="0"/>
        <w:adjustRightInd w:val="0"/>
        <w:ind w:firstLine="708"/>
        <w:jc w:val="both"/>
        <w:rPr>
          <w:rFonts w:ascii="Abadi" w:eastAsia="Calibri" w:hAnsi="Abadi"/>
          <w:sz w:val="21"/>
          <w:szCs w:val="21"/>
          <w:lang w:val="es-MX" w:eastAsia="en-US"/>
        </w:rPr>
      </w:pPr>
      <w:r w:rsidRPr="009F6ED0">
        <w:rPr>
          <w:rFonts w:ascii="Abadi" w:eastAsia="Calibri" w:hAnsi="Abadi"/>
          <w:sz w:val="21"/>
          <w:szCs w:val="21"/>
          <w:lang w:val="es-MX" w:eastAsia="en-US"/>
        </w:rPr>
        <w:t>Consideramos que las propuestas planteadas en ambas iniciativas coinciden y aportan evidentemente elementos al tópico inherente al derecho a la protección de la salud que se reconoce y consagra en la normativa Constitucional y legal ya mencionadas así como en las disposiciones internaciones aludidas previamente, en beneficio de los servidores públicos del Estado y los Municipios de Guanajuato.</w:t>
      </w:r>
    </w:p>
    <w:p w14:paraId="04914674" w14:textId="77777777" w:rsidR="009F6ED0" w:rsidRPr="009F6ED0" w:rsidRDefault="009F6ED0" w:rsidP="00D10ACA">
      <w:pPr>
        <w:widowControl w:val="0"/>
        <w:autoSpaceDE w:val="0"/>
        <w:autoSpaceDN w:val="0"/>
        <w:adjustRightInd w:val="0"/>
        <w:ind w:firstLine="708"/>
        <w:jc w:val="both"/>
        <w:rPr>
          <w:rFonts w:ascii="Abadi" w:eastAsia="Calibri" w:hAnsi="Abadi"/>
          <w:sz w:val="21"/>
          <w:szCs w:val="21"/>
          <w:lang w:val="es-MX" w:eastAsia="en-US"/>
        </w:rPr>
      </w:pPr>
    </w:p>
    <w:p w14:paraId="5448784D" w14:textId="77777777" w:rsidR="009F6ED0" w:rsidRPr="009F6ED0" w:rsidRDefault="009F6ED0" w:rsidP="00D10ACA">
      <w:pPr>
        <w:widowControl w:val="0"/>
        <w:autoSpaceDE w:val="0"/>
        <w:autoSpaceDN w:val="0"/>
        <w:adjustRightInd w:val="0"/>
        <w:ind w:firstLine="708"/>
        <w:jc w:val="both"/>
        <w:rPr>
          <w:rFonts w:ascii="Abadi" w:eastAsia="Calibri" w:hAnsi="Abadi"/>
          <w:sz w:val="21"/>
          <w:szCs w:val="21"/>
          <w:lang w:val="es-MX" w:eastAsia="en-US"/>
        </w:rPr>
      </w:pPr>
      <w:r w:rsidRPr="009F6ED0">
        <w:rPr>
          <w:rFonts w:ascii="Abadi" w:eastAsia="Calibri" w:hAnsi="Abadi"/>
          <w:sz w:val="21"/>
          <w:szCs w:val="21"/>
          <w:lang w:val="es-MX" w:eastAsia="en-US"/>
        </w:rPr>
        <w:t xml:space="preserve">Bajo este contexto, podemos manifestar </w:t>
      </w:r>
      <w:r w:rsidRPr="009F6ED0">
        <w:rPr>
          <w:rFonts w:ascii="Abadi" w:eastAsia="Calibri" w:hAnsi="Abadi"/>
          <w:i/>
          <w:iCs/>
          <w:sz w:val="21"/>
          <w:szCs w:val="21"/>
          <w:lang w:val="es-MX" w:eastAsia="en-US"/>
        </w:rPr>
        <w:t>que ambas iniciativas recienten su</w:t>
      </w:r>
      <w:r w:rsidRPr="009F6ED0">
        <w:rPr>
          <w:rFonts w:ascii="Abadi" w:eastAsia="Calibri" w:hAnsi="Abadi"/>
          <w:sz w:val="21"/>
          <w:szCs w:val="21"/>
          <w:lang w:val="es-MX" w:eastAsia="en-US"/>
        </w:rPr>
        <w:t xml:space="preserve"> enfoque en la política pública de salud, la cual está en un constante cambio partiendo de lo reactivo a lo preventivo, esto en virtud de que diversas estadísticas señalan y ponen en evidencia que la mortalidad en México deriva primordialmente de enfermedades que son susceptibles de ser tratadas efectivamente con una detección y tratamiento oportuno. </w:t>
      </w:r>
    </w:p>
    <w:p w14:paraId="7B3C0998" w14:textId="77777777" w:rsidR="009F6ED0" w:rsidRPr="009F6ED0" w:rsidRDefault="009F6ED0" w:rsidP="00D10ACA">
      <w:pPr>
        <w:widowControl w:val="0"/>
        <w:autoSpaceDE w:val="0"/>
        <w:autoSpaceDN w:val="0"/>
        <w:adjustRightInd w:val="0"/>
        <w:ind w:firstLine="708"/>
        <w:jc w:val="both"/>
        <w:rPr>
          <w:rFonts w:ascii="Abadi" w:eastAsia="Calibri" w:hAnsi="Abadi"/>
          <w:sz w:val="21"/>
          <w:szCs w:val="21"/>
          <w:lang w:val="es-MX" w:eastAsia="en-US"/>
        </w:rPr>
      </w:pPr>
    </w:p>
    <w:p w14:paraId="49491470" w14:textId="77777777" w:rsidR="009F6ED0" w:rsidRPr="009F6ED0" w:rsidRDefault="009F6ED0" w:rsidP="00D10ACA">
      <w:pPr>
        <w:widowControl w:val="0"/>
        <w:autoSpaceDE w:val="0"/>
        <w:autoSpaceDN w:val="0"/>
        <w:adjustRightInd w:val="0"/>
        <w:ind w:firstLine="708"/>
        <w:jc w:val="both"/>
        <w:rPr>
          <w:rFonts w:ascii="Abadi" w:eastAsia="Calibri" w:hAnsi="Abadi"/>
          <w:sz w:val="21"/>
          <w:szCs w:val="21"/>
          <w:lang w:val="es-MX" w:eastAsia="en-US"/>
        </w:rPr>
      </w:pPr>
      <w:r w:rsidRPr="009F6ED0">
        <w:rPr>
          <w:rFonts w:ascii="Abadi" w:eastAsia="Calibri" w:hAnsi="Abadi"/>
          <w:sz w:val="21"/>
          <w:szCs w:val="21"/>
          <w:lang w:val="es-MX" w:eastAsia="en-US"/>
        </w:rPr>
        <w:t>Bajo el mismo argumento, coincidimos en señalar que el artículo 4o. de la Constitución Política de los Estados Unidos Mexicanos establece la protección a la salud. La salud de los trabajadores y las trabajadoras es un requisito previo esencial para los ingresos familiares, la productividad y el desarrollo económico</w:t>
      </w:r>
      <w:r w:rsidRPr="009F6ED0">
        <w:rPr>
          <w:rFonts w:ascii="Abadi" w:hAnsi="Abadi" w:cs="Calibri"/>
          <w:iCs/>
          <w:sz w:val="21"/>
          <w:szCs w:val="21"/>
          <w:vertAlign w:val="superscript"/>
        </w:rPr>
        <w:footnoteReference w:id="114"/>
      </w:r>
      <w:r w:rsidRPr="009F6ED0">
        <w:rPr>
          <w:rFonts w:ascii="Abadi" w:eastAsia="Calibri" w:hAnsi="Abadi"/>
          <w:sz w:val="21"/>
          <w:szCs w:val="21"/>
          <w:lang w:val="es-MX" w:eastAsia="en-US"/>
        </w:rPr>
        <w:t xml:space="preserve">. Es así como la implementación de herramientas que permitan la prevención de enfermedades en las personas trabajadoras ocasionaría menores pérdidas a las personas patronas, y las buenas condiciones de trabajo mejoran las relaciones sociales, la autoestima de los empleados, y produce efectos positivos en la salud y en el rendimiento de las actividades laborales. </w:t>
      </w:r>
    </w:p>
    <w:p w14:paraId="13A1EF39" w14:textId="77777777" w:rsidR="009F6ED0" w:rsidRPr="009F6ED0" w:rsidRDefault="009F6ED0" w:rsidP="00D10ACA">
      <w:pPr>
        <w:ind w:right="49" w:firstLine="708"/>
        <w:jc w:val="both"/>
        <w:rPr>
          <w:rFonts w:ascii="Abadi" w:eastAsia="Calibri" w:hAnsi="Abadi"/>
          <w:sz w:val="21"/>
          <w:szCs w:val="21"/>
          <w:lang w:val="es-MX" w:eastAsia="en-US"/>
        </w:rPr>
      </w:pPr>
    </w:p>
    <w:p w14:paraId="46630BB7" w14:textId="77777777" w:rsidR="009F6ED0" w:rsidRPr="009F6ED0" w:rsidRDefault="009F6ED0" w:rsidP="00D10ACA">
      <w:pPr>
        <w:ind w:right="49" w:firstLine="708"/>
        <w:jc w:val="both"/>
        <w:rPr>
          <w:rFonts w:ascii="Abadi" w:hAnsi="Abadi" w:cs="Arial"/>
          <w:i/>
          <w:sz w:val="21"/>
          <w:szCs w:val="21"/>
        </w:rPr>
      </w:pPr>
      <w:r w:rsidRPr="009F6ED0">
        <w:rPr>
          <w:rFonts w:ascii="Abadi" w:eastAsia="Calibri" w:hAnsi="Abadi"/>
          <w:sz w:val="21"/>
          <w:szCs w:val="21"/>
          <w:lang w:val="es-MX" w:eastAsia="en-US"/>
        </w:rPr>
        <w:t>De esta manera, se considera oportuna la posibilidad de otorgar un día laboral para que las personas trabajadoras atiendan su salud y prevengan posibles enfermedades, y de ahí la importancia de generar certeza en la redacción del de la propuesta para que en la exigencia del justificante como lo es un certificado médico, sea acorde y en armonía con los alcances de las Leyes Federales de Protección a Datos Personales en Posesión de Particulares y Posesión de Sujetos Obligados, define como datos sensibles:</w:t>
      </w:r>
      <w:r w:rsidRPr="009F6ED0">
        <w:rPr>
          <w:rFonts w:ascii="Abadi" w:hAnsi="Abadi" w:cs="Arial"/>
          <w:sz w:val="21"/>
          <w:szCs w:val="21"/>
        </w:rPr>
        <w:t xml:space="preserve"> </w:t>
      </w:r>
      <w:r w:rsidRPr="009F6ED0">
        <w:rPr>
          <w:rFonts w:ascii="Abadi" w:eastAsia="Calibri" w:hAnsi="Abadi"/>
          <w:i/>
          <w:iCs/>
          <w:sz w:val="21"/>
          <w:szCs w:val="21"/>
          <w:lang w:val="es-MX" w:eastAsia="en-US"/>
        </w:rPr>
        <w:t>«aquellos datos personales que afecten a la esfera más íntima de su titular, o cuya utilización indebida pueda dar origen a discriminación o conlleve un riesgo grave para éste. En particular, se consideran sensibles aquellos que puedan revelar aspectos como origen racial o étnico, estado de salud presente y futuro, información genética, creencias religiosas, filosóficas y morales, afiliación sindical, opiniones políticas, preferencia sexual»</w:t>
      </w:r>
      <w:r w:rsidRPr="009F6ED0">
        <w:rPr>
          <w:rFonts w:ascii="Abadi" w:hAnsi="Abadi" w:cs="Arial"/>
          <w:i/>
          <w:sz w:val="21"/>
          <w:szCs w:val="21"/>
        </w:rPr>
        <w:t xml:space="preserve">. </w:t>
      </w:r>
    </w:p>
    <w:p w14:paraId="60C5332F" w14:textId="77777777" w:rsidR="009F6ED0" w:rsidRPr="009F6ED0" w:rsidRDefault="009F6ED0" w:rsidP="00D10ACA">
      <w:pPr>
        <w:ind w:right="49" w:firstLine="708"/>
        <w:jc w:val="both"/>
        <w:rPr>
          <w:rFonts w:ascii="Abadi" w:eastAsia="Calibri" w:hAnsi="Abadi"/>
          <w:sz w:val="21"/>
          <w:szCs w:val="21"/>
          <w:lang w:val="es-MX" w:eastAsia="en-US"/>
        </w:rPr>
      </w:pPr>
    </w:p>
    <w:p w14:paraId="08498BC3" w14:textId="77777777" w:rsidR="009F6ED0" w:rsidRPr="009F6ED0" w:rsidRDefault="009F6ED0" w:rsidP="00D10ACA">
      <w:pPr>
        <w:ind w:right="49" w:firstLine="708"/>
        <w:jc w:val="both"/>
        <w:rPr>
          <w:rFonts w:ascii="Abadi" w:eastAsia="Calibri" w:hAnsi="Abadi"/>
          <w:sz w:val="21"/>
          <w:szCs w:val="21"/>
          <w:lang w:val="es-MX" w:eastAsia="en-US"/>
        </w:rPr>
      </w:pPr>
      <w:r w:rsidRPr="009F6ED0">
        <w:rPr>
          <w:rFonts w:ascii="Abadi" w:eastAsia="Calibri" w:hAnsi="Abadi"/>
          <w:sz w:val="21"/>
          <w:szCs w:val="21"/>
          <w:lang w:val="es-MX" w:eastAsia="en-US"/>
        </w:rPr>
        <w:t xml:space="preserve">Ahora, con relación a la adición del artículo 23 Quinquies, el día cuatro de junio del año 2019, se publicó en el Diario Oficial de la Federación el Decreto por el que se adicionan diversas disposiciones de la Ley del Seguro Social, de la Ley del Instituto de Seguridad y Servicios Sociales de los Trabajadores del Estado y la Ley Federal del Trabajo, el dictamen que dio motivo a esté decreto se consignó: </w:t>
      </w:r>
    </w:p>
    <w:p w14:paraId="08836AB8" w14:textId="77777777" w:rsidR="009F6ED0" w:rsidRPr="009F6ED0" w:rsidRDefault="009F6ED0" w:rsidP="00D10ACA">
      <w:pPr>
        <w:ind w:right="-376"/>
        <w:jc w:val="both"/>
        <w:rPr>
          <w:rFonts w:ascii="Abadi" w:hAnsi="Abadi" w:cs="Arial"/>
          <w:sz w:val="21"/>
          <w:szCs w:val="21"/>
        </w:rPr>
      </w:pPr>
    </w:p>
    <w:p w14:paraId="34A1D522" w14:textId="77777777" w:rsidR="009F6ED0" w:rsidRPr="009F6ED0" w:rsidRDefault="009F6ED0" w:rsidP="00D10ACA">
      <w:pPr>
        <w:ind w:left="1701" w:right="49"/>
        <w:jc w:val="both"/>
        <w:rPr>
          <w:rFonts w:ascii="Abadi" w:hAnsi="Abadi" w:cs="Calibri"/>
          <w:i/>
          <w:sz w:val="21"/>
          <w:szCs w:val="21"/>
        </w:rPr>
      </w:pPr>
      <w:r w:rsidRPr="009F6ED0">
        <w:rPr>
          <w:rFonts w:ascii="Abadi" w:hAnsi="Abadi" w:cs="Calibri"/>
          <w:i/>
          <w:sz w:val="21"/>
          <w:szCs w:val="21"/>
        </w:rPr>
        <w:t xml:space="preserve">«un menor diagnosticado con cáncer que se encuentra en un tratamiento oncológico requiere del acompañamiento de algunos de sus padres, ello en concordancia con la obligación de velar por la salud del menor, y dicha situación compromete la estabilidad en el empleo de los padres; al no existir regulación legal en México para que los padres de los menores diagnosticados con cáncer se ausenten de sus centros de trabajo para acompañar a sus hijos durante el tratamiento correspondiente, el trabajador está expuesto a ser despedido. La salud pública y la atención médica deben constituirse como los elementos fundamentales para garantizar la protección a la salud tal como lo establece el artículo 4o de la Constitución Política de los Estados Unidos Mexicanos. Los padres y madres de niñas, niños y adolescentes con cáncer enfrentan repercusiones, entre los que se encuentra con mucha frecuencia el abandono temporal y, en muchas ocasiones la pérdida de sus puestos de trabajo ocasionando lo anterior por la inasistencia que dentro de nuestro marco normativo son consideradas como injustificadas. </w:t>
      </w:r>
    </w:p>
    <w:p w14:paraId="3F7A4D59" w14:textId="77777777" w:rsidR="009F6ED0" w:rsidRPr="009F6ED0" w:rsidRDefault="009F6ED0" w:rsidP="00D10ACA">
      <w:pPr>
        <w:ind w:left="1701" w:right="49"/>
        <w:jc w:val="both"/>
        <w:rPr>
          <w:rFonts w:ascii="Abadi" w:hAnsi="Abadi" w:cs="Calibri"/>
          <w:i/>
          <w:sz w:val="21"/>
          <w:szCs w:val="21"/>
        </w:rPr>
      </w:pPr>
    </w:p>
    <w:p w14:paraId="51F61A8F" w14:textId="77777777" w:rsidR="009F6ED0" w:rsidRPr="009F6ED0" w:rsidRDefault="009F6ED0" w:rsidP="00D10ACA">
      <w:pPr>
        <w:ind w:left="1701" w:right="49"/>
        <w:jc w:val="both"/>
        <w:rPr>
          <w:rFonts w:ascii="Abadi" w:hAnsi="Abadi" w:cs="Calibri"/>
          <w:i/>
          <w:sz w:val="21"/>
          <w:szCs w:val="21"/>
        </w:rPr>
      </w:pPr>
      <w:r w:rsidRPr="009F6ED0">
        <w:rPr>
          <w:rFonts w:ascii="Abadi" w:hAnsi="Abadi" w:cs="Calibri"/>
          <w:i/>
          <w:sz w:val="21"/>
          <w:szCs w:val="21"/>
        </w:rPr>
        <w:t>En este sentido la seguridad social debe atender todas y cada una de las necesidades de nuestra realidad, toda vez que estas enfermedades además del impacto físico que suponen, tienen consecuencias socioeconómicas, generando con ello un incremento en el gasto de bolsillos para hacer frente a los costos de la enfermedad y su duración. La salud y el trabajo, tal como se ha expuesto en este documento, al ser dos de los pilares fundamentales de la vida humana, ni deben ni pueden desasociarse, pues el hacerlo, pone en riesgo la satisfacción de uno ante el incumplimiento del otro</w:t>
      </w:r>
      <w:r w:rsidRPr="009F6ED0">
        <w:rPr>
          <w:rFonts w:ascii="Abadi" w:hAnsi="Abadi" w:cs="Calibri"/>
          <w:sz w:val="21"/>
          <w:szCs w:val="21"/>
          <w:vertAlign w:val="superscript"/>
        </w:rPr>
        <w:footnoteReference w:id="115"/>
      </w:r>
      <w:r w:rsidRPr="009F6ED0">
        <w:rPr>
          <w:rFonts w:ascii="Abadi" w:hAnsi="Abadi" w:cs="Calibri"/>
          <w:i/>
          <w:sz w:val="21"/>
          <w:szCs w:val="21"/>
        </w:rPr>
        <w:t>»</w:t>
      </w:r>
    </w:p>
    <w:p w14:paraId="6965C7DF" w14:textId="77777777" w:rsidR="009F6ED0" w:rsidRPr="009F6ED0" w:rsidRDefault="009F6ED0" w:rsidP="00D10ACA">
      <w:pPr>
        <w:ind w:right="49"/>
        <w:jc w:val="both"/>
        <w:rPr>
          <w:rFonts w:ascii="Abadi" w:hAnsi="Abadi" w:cs="Arial"/>
          <w:sz w:val="21"/>
          <w:szCs w:val="21"/>
        </w:rPr>
      </w:pPr>
      <w:r w:rsidRPr="009F6ED0">
        <w:rPr>
          <w:rFonts w:ascii="Abadi" w:hAnsi="Abadi" w:cs="Arial"/>
          <w:sz w:val="21"/>
          <w:szCs w:val="21"/>
        </w:rPr>
        <w:tab/>
      </w:r>
    </w:p>
    <w:p w14:paraId="00B1B3BF" w14:textId="77777777" w:rsidR="009F6ED0" w:rsidRPr="009F6ED0" w:rsidRDefault="009F6ED0" w:rsidP="00D10ACA">
      <w:pPr>
        <w:ind w:right="49" w:firstLine="708"/>
        <w:jc w:val="both"/>
        <w:rPr>
          <w:rFonts w:ascii="Abadi" w:eastAsia="Calibri" w:hAnsi="Abadi"/>
          <w:sz w:val="21"/>
          <w:szCs w:val="21"/>
          <w:lang w:val="es-MX" w:eastAsia="en-US"/>
        </w:rPr>
      </w:pPr>
    </w:p>
    <w:p w14:paraId="3C4951EC" w14:textId="77777777" w:rsidR="009F6ED0" w:rsidRPr="009F6ED0" w:rsidRDefault="009F6ED0" w:rsidP="00D10ACA">
      <w:pPr>
        <w:ind w:right="49" w:firstLine="708"/>
        <w:jc w:val="both"/>
        <w:rPr>
          <w:rFonts w:ascii="Abadi" w:eastAsia="Calibri" w:hAnsi="Abadi"/>
          <w:sz w:val="21"/>
          <w:szCs w:val="21"/>
          <w:lang w:val="es-MX" w:eastAsia="en-US"/>
        </w:rPr>
      </w:pPr>
      <w:r w:rsidRPr="009F6ED0">
        <w:rPr>
          <w:rFonts w:ascii="Abadi" w:eastAsia="Calibri" w:hAnsi="Abadi"/>
          <w:sz w:val="21"/>
          <w:szCs w:val="21"/>
          <w:lang w:val="es-MX" w:eastAsia="en-US"/>
        </w:rPr>
        <w:t xml:space="preserve">Igualmente, ante la complejidad que demuestra esta enfermedad para las familias se hace necesario que se les otorgue un trato especial a las madres y padres en sus centros de trabajo, con el fin de que los progenitores conserven su trabajo e ingreso económico, al tiempo que cumplen con las obligaciones y cuidados de los menores ante esta situación. Sin embargo, dentro del artículo 140 Bis, de la Ley del Seguro Social establece que el Instituto del Seguro Social podrá expedir una constancia que acredite el padecimiento oncológico y la duración del tratamiento respectivo del menor, a fin de que el patrón o patrones del padre o la madre tengan conocimiento de tal licencia, por lo que este órgano legislativo de aprobarse la presente reforma podría valorar la pertinencia de establecer en artículo similar en el que se integre algún documento para justificar dichas ausencias, ya que la redacción no consigna esta particularidad. </w:t>
      </w:r>
    </w:p>
    <w:p w14:paraId="63D892AA" w14:textId="77777777" w:rsidR="009F6ED0" w:rsidRPr="009F6ED0" w:rsidRDefault="009F6ED0" w:rsidP="00D10ACA">
      <w:pPr>
        <w:widowControl w:val="0"/>
        <w:autoSpaceDE w:val="0"/>
        <w:autoSpaceDN w:val="0"/>
        <w:adjustRightInd w:val="0"/>
        <w:ind w:right="49" w:firstLine="708"/>
        <w:jc w:val="both"/>
        <w:rPr>
          <w:rFonts w:ascii="Abadi" w:eastAsia="Calibri" w:hAnsi="Abadi"/>
          <w:sz w:val="21"/>
          <w:szCs w:val="21"/>
          <w:lang w:val="es-MX" w:eastAsia="en-US"/>
        </w:rPr>
      </w:pPr>
    </w:p>
    <w:p w14:paraId="067F7773" w14:textId="77777777" w:rsidR="009F6ED0" w:rsidRPr="009F6ED0" w:rsidRDefault="009F6ED0" w:rsidP="00D10ACA">
      <w:pPr>
        <w:ind w:right="49" w:firstLine="708"/>
        <w:jc w:val="both"/>
        <w:rPr>
          <w:rFonts w:ascii="Abadi" w:eastAsia="Calibri" w:hAnsi="Abadi"/>
          <w:sz w:val="21"/>
          <w:szCs w:val="21"/>
          <w:lang w:val="es-MX" w:eastAsia="en-US"/>
        </w:rPr>
      </w:pPr>
      <w:r w:rsidRPr="009F6ED0">
        <w:rPr>
          <w:rFonts w:ascii="Abadi" w:eastAsia="Calibri" w:hAnsi="Abadi"/>
          <w:sz w:val="21"/>
          <w:szCs w:val="21"/>
          <w:lang w:val="es-MX" w:eastAsia="en-US"/>
        </w:rPr>
        <w:t xml:space="preserve">Quienes dictaminamos consideramos que las propuestas en términos generales tienen finalidades válidas, pues en ellas se trata de conciliar, la vida familiar y el trabajo, y el cuidado de la salud, postulados protegidos en nuestra Constitución Política de los Estados Unidos Mexicanos y en varios ordenamientos jurídicos internacionales y secundarios. </w:t>
      </w:r>
    </w:p>
    <w:p w14:paraId="63163BA2" w14:textId="77777777" w:rsidR="009F6ED0" w:rsidRPr="009F6ED0" w:rsidRDefault="009F6ED0" w:rsidP="00D10ACA">
      <w:pPr>
        <w:ind w:right="49" w:firstLine="708"/>
        <w:jc w:val="both"/>
        <w:rPr>
          <w:rFonts w:ascii="Abadi" w:eastAsia="Calibri" w:hAnsi="Abadi"/>
          <w:sz w:val="21"/>
          <w:szCs w:val="21"/>
          <w:lang w:val="es-MX" w:eastAsia="en-US"/>
        </w:rPr>
      </w:pPr>
    </w:p>
    <w:p w14:paraId="66FAB348" w14:textId="77777777" w:rsidR="009F6ED0" w:rsidRPr="009F6ED0" w:rsidRDefault="009F6ED0" w:rsidP="00D10ACA">
      <w:pPr>
        <w:ind w:right="49" w:firstLine="708"/>
        <w:jc w:val="both"/>
        <w:rPr>
          <w:rFonts w:ascii="Abadi" w:eastAsia="Calibri" w:hAnsi="Abadi"/>
          <w:sz w:val="21"/>
          <w:szCs w:val="21"/>
          <w:lang w:val="es-MX" w:eastAsia="en-US"/>
        </w:rPr>
      </w:pPr>
      <w:r w:rsidRPr="009F6ED0">
        <w:rPr>
          <w:rFonts w:ascii="Abadi" w:eastAsia="Calibri" w:hAnsi="Abadi"/>
          <w:sz w:val="21"/>
          <w:szCs w:val="21"/>
          <w:lang w:val="es-MX" w:eastAsia="en-US"/>
        </w:rPr>
        <w:t>Además de lo anterior es muy oportuno referir el pronunciamiento unánime de los poderes Legislativo y Judicial del Estado, de los organismos autónomos y de algunos ayuntamientos para tener sinergia en sus objetivos.</w:t>
      </w:r>
    </w:p>
    <w:p w14:paraId="3ABCAD8B" w14:textId="77777777" w:rsidR="009F6ED0" w:rsidRPr="009F6ED0" w:rsidRDefault="009F6ED0" w:rsidP="00D10ACA">
      <w:pPr>
        <w:ind w:right="49" w:firstLine="708"/>
        <w:jc w:val="both"/>
        <w:rPr>
          <w:rFonts w:ascii="Abadi" w:hAnsi="Abadi"/>
          <w:sz w:val="21"/>
          <w:szCs w:val="21"/>
        </w:rPr>
      </w:pPr>
    </w:p>
    <w:p w14:paraId="735A85E9" w14:textId="77777777" w:rsidR="009F6ED0" w:rsidRPr="009F6ED0" w:rsidRDefault="009F6ED0" w:rsidP="00D10ACA">
      <w:pPr>
        <w:widowControl w:val="0"/>
        <w:ind w:firstLine="708"/>
        <w:jc w:val="both"/>
        <w:rPr>
          <w:rFonts w:ascii="Abadi" w:eastAsia="Calibri" w:hAnsi="Abadi"/>
          <w:sz w:val="21"/>
          <w:szCs w:val="21"/>
          <w:lang w:val="es-MX" w:eastAsia="en-US"/>
        </w:rPr>
      </w:pPr>
      <w:r w:rsidRPr="009F6ED0">
        <w:rPr>
          <w:rFonts w:ascii="Abadi" w:eastAsia="Calibri" w:hAnsi="Abadi"/>
          <w:sz w:val="21"/>
          <w:szCs w:val="21"/>
          <w:lang w:val="es-MX" w:eastAsia="en-US"/>
        </w:rPr>
        <w:t>En consecuencia, por las consideraciones jurídicas expuestas, se determina la viabilidad jurídica de las propuestas y de esta manera ser incorporadas como porciones normativas en la Ley de la materia.</w:t>
      </w:r>
    </w:p>
    <w:p w14:paraId="72D0225E" w14:textId="77777777" w:rsidR="009F6ED0" w:rsidRPr="009F6ED0" w:rsidRDefault="009F6ED0" w:rsidP="00D10ACA">
      <w:pPr>
        <w:widowControl w:val="0"/>
        <w:ind w:firstLine="708"/>
        <w:jc w:val="both"/>
        <w:rPr>
          <w:rFonts w:ascii="Abadi" w:eastAsia="Calibri" w:hAnsi="Abadi"/>
          <w:sz w:val="21"/>
          <w:szCs w:val="21"/>
          <w:lang w:val="es-MX" w:eastAsia="en-US"/>
        </w:rPr>
      </w:pPr>
    </w:p>
    <w:p w14:paraId="35C3718D" w14:textId="77777777" w:rsidR="009F6ED0" w:rsidRPr="009F6ED0" w:rsidRDefault="009F6ED0" w:rsidP="00D10ACA">
      <w:pPr>
        <w:widowControl w:val="0"/>
        <w:ind w:firstLine="708"/>
        <w:jc w:val="both"/>
        <w:rPr>
          <w:rFonts w:ascii="Abadi" w:eastAsia="Calibri" w:hAnsi="Abadi"/>
          <w:sz w:val="21"/>
          <w:szCs w:val="21"/>
          <w:lang w:val="es-MX" w:eastAsia="en-US"/>
        </w:rPr>
      </w:pPr>
    </w:p>
    <w:p w14:paraId="25E7FC60" w14:textId="77777777" w:rsidR="009F6ED0" w:rsidRPr="009F6ED0" w:rsidRDefault="009F6ED0" w:rsidP="00D10ACA">
      <w:pPr>
        <w:widowControl w:val="0"/>
        <w:jc w:val="both"/>
        <w:rPr>
          <w:rFonts w:ascii="Abadi" w:eastAsia="Calibri" w:hAnsi="Abadi"/>
          <w:b/>
          <w:bCs/>
          <w:sz w:val="21"/>
          <w:szCs w:val="21"/>
          <w:lang w:val="es-MX" w:eastAsia="en-US"/>
        </w:rPr>
      </w:pPr>
      <w:r w:rsidRPr="009F6ED0">
        <w:rPr>
          <w:rFonts w:ascii="Abadi" w:eastAsia="Calibri" w:hAnsi="Abadi"/>
          <w:b/>
          <w:bCs/>
          <w:sz w:val="21"/>
          <w:szCs w:val="21"/>
          <w:lang w:val="es-MX" w:eastAsia="en-US"/>
        </w:rPr>
        <w:t>III. Modificaciones a las iniciativas</w:t>
      </w:r>
    </w:p>
    <w:p w14:paraId="4FC9B3A9" w14:textId="77777777" w:rsidR="009F6ED0" w:rsidRPr="009F6ED0" w:rsidRDefault="009F6ED0" w:rsidP="00D10ACA">
      <w:pPr>
        <w:widowControl w:val="0"/>
        <w:ind w:firstLine="708"/>
        <w:jc w:val="both"/>
        <w:rPr>
          <w:rFonts w:ascii="Abadi" w:eastAsia="Batang" w:hAnsi="Abadi" w:cs="Arial"/>
          <w:sz w:val="21"/>
          <w:szCs w:val="21"/>
        </w:rPr>
      </w:pPr>
    </w:p>
    <w:p w14:paraId="07FE2A7F" w14:textId="77777777" w:rsidR="009F6ED0" w:rsidRPr="009F6ED0" w:rsidRDefault="009F6ED0" w:rsidP="00D10ACA">
      <w:pPr>
        <w:widowControl w:val="0"/>
        <w:ind w:firstLine="708"/>
        <w:jc w:val="both"/>
        <w:rPr>
          <w:rFonts w:ascii="Abadi" w:eastAsia="Batang" w:hAnsi="Abadi" w:cs="Arial"/>
          <w:sz w:val="21"/>
          <w:szCs w:val="21"/>
        </w:rPr>
      </w:pPr>
      <w:r w:rsidRPr="009F6ED0">
        <w:rPr>
          <w:rFonts w:ascii="Abadi" w:eastAsia="Batang" w:hAnsi="Abadi" w:cs="Arial"/>
          <w:sz w:val="21"/>
          <w:szCs w:val="21"/>
        </w:rPr>
        <w:t>Las y los legisladores que integramos la Comisión de Gobernación y Puntos Constitucionales, estimamos necesario hacer ajustes a las propuestas para atender las observaciones de las mesas de trabajo, así como a las aportaciones de las diputadas y los diputados, que conforman la Sexagésima Quinta Legislatura y de quienes participaron activamente en el análisis como los representantes del Poder Ejecutivo, del Poder Judicial, de los organismos autónomos reconocidos constitucionalmente presentes, así como las áreas institucionales del Congreso del Estado.</w:t>
      </w:r>
    </w:p>
    <w:p w14:paraId="3CB10448" w14:textId="77777777" w:rsidR="009F6ED0" w:rsidRPr="009F6ED0" w:rsidRDefault="009F6ED0" w:rsidP="00D10ACA">
      <w:pPr>
        <w:widowControl w:val="0"/>
        <w:jc w:val="both"/>
        <w:rPr>
          <w:rFonts w:ascii="Abadi" w:eastAsia="Calibri" w:hAnsi="Abadi"/>
          <w:b/>
          <w:bCs/>
          <w:sz w:val="21"/>
          <w:szCs w:val="21"/>
          <w:lang w:val="es-MX" w:eastAsia="en-US"/>
        </w:rPr>
      </w:pPr>
    </w:p>
    <w:p w14:paraId="6DFE1632" w14:textId="77777777" w:rsidR="009F6ED0" w:rsidRPr="009F6ED0" w:rsidRDefault="009F6ED0" w:rsidP="00D10ACA">
      <w:pPr>
        <w:ind w:firstLine="708"/>
        <w:jc w:val="both"/>
        <w:rPr>
          <w:rFonts w:ascii="Abadi" w:hAnsi="Abadi" w:cs="Arial"/>
          <w:sz w:val="21"/>
          <w:szCs w:val="21"/>
        </w:rPr>
      </w:pPr>
      <w:r w:rsidRPr="009F6ED0">
        <w:rPr>
          <w:rFonts w:ascii="Abadi" w:eastAsia="Batang" w:hAnsi="Abadi" w:cs="Arial"/>
          <w:sz w:val="21"/>
          <w:szCs w:val="21"/>
        </w:rPr>
        <w:t>Se determinó únicamente atender la propuesta que refiere a lo establecido en los artículos 22 Bis y 46 de la Ley del Trabajo de los Servidores Públicos al Servicio del Estado y los Municipios, para enfocar la misma a las y l</w:t>
      </w:r>
      <w:r w:rsidRPr="009F6ED0">
        <w:rPr>
          <w:rFonts w:ascii="Abadi" w:hAnsi="Abadi" w:cs="Arial"/>
          <w:sz w:val="21"/>
          <w:szCs w:val="21"/>
        </w:rPr>
        <w:t>os trabajadores del Estado y de los municipios y tengan derecho a un día de licencia con goce íntegro de sueldo al año, para someterse a la realización de exámenes médicos preventivos, en ese tenor, se realizaron ajustes de técnica Legislativa para dar certeza jurídica a las porciones normativas ahí contenidas de la siguiente manera.</w:t>
      </w:r>
    </w:p>
    <w:p w14:paraId="47A6666A" w14:textId="77777777" w:rsidR="009F6ED0" w:rsidRPr="009F6ED0" w:rsidRDefault="009F6ED0" w:rsidP="00D10ACA">
      <w:pPr>
        <w:ind w:firstLine="708"/>
        <w:jc w:val="both"/>
        <w:rPr>
          <w:rFonts w:ascii="Abadi" w:hAnsi="Abadi" w:cs="Arial"/>
          <w:sz w:val="21"/>
          <w:szCs w:val="21"/>
        </w:rPr>
      </w:pPr>
    </w:p>
    <w:p w14:paraId="55B3B9DD" w14:textId="77777777" w:rsidR="009F6ED0" w:rsidRPr="009F6ED0" w:rsidRDefault="009F6ED0" w:rsidP="00D10ACA">
      <w:pPr>
        <w:ind w:firstLine="708"/>
        <w:jc w:val="both"/>
        <w:rPr>
          <w:rFonts w:ascii="Abadi" w:hAnsi="Abadi" w:cs="Arial"/>
          <w:sz w:val="21"/>
          <w:szCs w:val="21"/>
        </w:rPr>
      </w:pPr>
      <w:r w:rsidRPr="009F6ED0">
        <w:rPr>
          <w:rFonts w:ascii="Abadi" w:hAnsi="Abadi" w:cs="Arial"/>
          <w:sz w:val="21"/>
          <w:szCs w:val="21"/>
        </w:rPr>
        <w:t xml:space="preserve">Se consideró idóneo hacer ajustes de para mantener el objetivo perseguido con la propuesta legislativa, resaltando la importancia que tiene el establecimiento de disposiciones legales tendientes a fortalecer esquemas para la atención en materia de medicina preventiva, particularmente, a favor del derecho humano a la salud, lo cual se ciñe al marco constitucional, convencional y legal vigente; sin embargo fue necesario generar porciones normativas con definición y con respecto a los esquemas organizacionales en las instituciones públicas, así como, en su caso, lo relativo al inicio de vigencia ante las repercusiones administrativas y operativas. </w:t>
      </w:r>
    </w:p>
    <w:p w14:paraId="6AEE2674" w14:textId="77777777" w:rsidR="009F6ED0" w:rsidRPr="009F6ED0" w:rsidRDefault="009F6ED0" w:rsidP="00D10ACA">
      <w:pPr>
        <w:ind w:firstLine="708"/>
        <w:jc w:val="both"/>
        <w:rPr>
          <w:rFonts w:ascii="Abadi" w:hAnsi="Abadi" w:cs="Arial"/>
          <w:sz w:val="21"/>
          <w:szCs w:val="21"/>
        </w:rPr>
      </w:pPr>
    </w:p>
    <w:p w14:paraId="4D4621CE" w14:textId="77777777" w:rsidR="009F6ED0" w:rsidRPr="009F6ED0" w:rsidRDefault="009F6ED0" w:rsidP="00D10ACA">
      <w:pPr>
        <w:ind w:firstLine="708"/>
        <w:jc w:val="both"/>
        <w:rPr>
          <w:rFonts w:ascii="Abadi" w:hAnsi="Abadi" w:cs="Arial"/>
          <w:sz w:val="21"/>
          <w:szCs w:val="21"/>
        </w:rPr>
      </w:pPr>
      <w:r w:rsidRPr="009F6ED0">
        <w:rPr>
          <w:rFonts w:ascii="Abadi" w:hAnsi="Abadi" w:cs="Arial"/>
          <w:sz w:val="21"/>
          <w:szCs w:val="21"/>
        </w:rPr>
        <w:t xml:space="preserve">Para ello, con respecto de la adición del artículo 22 Bis se plantea: </w:t>
      </w:r>
      <w:r w:rsidRPr="009F6ED0">
        <w:rPr>
          <w:rFonts w:ascii="Abadi" w:hAnsi="Abadi" w:cs="Arial"/>
          <w:i/>
          <w:iCs/>
          <w:sz w:val="21"/>
          <w:szCs w:val="21"/>
        </w:rPr>
        <w:t>Los trabajadores del Estado y de los ayuntamientos tendrán derecho a un día de licencia con goce de sueldo al año, para someterse a la realización de exámenes médicos preventivos. Se deberá presentar el certificado médico correspondiente expedido por una institución pública o privada de salud</w:t>
      </w:r>
      <w:r w:rsidRPr="009F6ED0">
        <w:rPr>
          <w:rFonts w:ascii="Abadi" w:hAnsi="Abadi" w:cs="Arial"/>
          <w:sz w:val="21"/>
          <w:szCs w:val="21"/>
        </w:rPr>
        <w:t>; al efecto determinamos incorporar a la porción normativa elementos indispensables como la temporalidad con la que el trabajador deberá contar con este derecho adicional y el aviso a la parte patronal sobre su inasistencia con motivo del proceso de exámenes médicos preventivos, a fin de que en la institución de mérito se planifique sobre tal inasistencia y no se trastoque la operatividad de las actividades que se realizan.</w:t>
      </w:r>
    </w:p>
    <w:p w14:paraId="168BCACF" w14:textId="77777777" w:rsidR="009F6ED0" w:rsidRPr="009F6ED0" w:rsidRDefault="009F6ED0" w:rsidP="00D10ACA">
      <w:pPr>
        <w:ind w:firstLine="708"/>
        <w:jc w:val="both"/>
        <w:rPr>
          <w:rFonts w:ascii="Abadi" w:hAnsi="Abadi" w:cs="Arial"/>
          <w:sz w:val="21"/>
          <w:szCs w:val="21"/>
        </w:rPr>
      </w:pPr>
    </w:p>
    <w:p w14:paraId="0BF01B0E" w14:textId="77777777" w:rsidR="009F6ED0" w:rsidRPr="009F6ED0" w:rsidRDefault="009F6ED0" w:rsidP="00D10ACA">
      <w:pPr>
        <w:ind w:firstLine="708"/>
        <w:jc w:val="both"/>
        <w:rPr>
          <w:rFonts w:ascii="Abadi" w:hAnsi="Abadi" w:cs="Arial"/>
          <w:sz w:val="21"/>
          <w:szCs w:val="21"/>
        </w:rPr>
      </w:pPr>
      <w:r w:rsidRPr="009F6ED0">
        <w:rPr>
          <w:rFonts w:ascii="Abadi" w:hAnsi="Abadi" w:cs="Arial"/>
          <w:sz w:val="21"/>
          <w:szCs w:val="21"/>
        </w:rPr>
        <w:t>Lo anterior, para dar certeza jurídica al proceso interno administrativo de la licencia en favor de las y los trabajadores del Estado y de los municipios. Es decir, el certificado médico deberá presentarse posterior a la realización de dichos exámenes médicos de carácter preventivo, previo aviso por parte de la o el trabajador, en ese sentido dicho certificado médico es el objeto para acreditar dicha licencia.</w:t>
      </w:r>
    </w:p>
    <w:p w14:paraId="154A8FE0" w14:textId="77777777" w:rsidR="009F6ED0" w:rsidRPr="009F6ED0" w:rsidRDefault="009F6ED0" w:rsidP="00D10ACA">
      <w:pPr>
        <w:ind w:firstLine="708"/>
        <w:jc w:val="both"/>
        <w:rPr>
          <w:rFonts w:ascii="Abadi" w:hAnsi="Abadi" w:cs="Arial"/>
          <w:sz w:val="21"/>
          <w:szCs w:val="21"/>
        </w:rPr>
      </w:pPr>
    </w:p>
    <w:p w14:paraId="687E4928" w14:textId="77777777" w:rsidR="009F6ED0" w:rsidRPr="009F6ED0" w:rsidRDefault="009F6ED0" w:rsidP="00D10ACA">
      <w:pPr>
        <w:ind w:firstLine="708"/>
        <w:jc w:val="both"/>
        <w:rPr>
          <w:rFonts w:ascii="Abadi" w:hAnsi="Abadi" w:cs="Arial"/>
          <w:sz w:val="21"/>
          <w:szCs w:val="21"/>
        </w:rPr>
      </w:pPr>
      <w:r w:rsidRPr="009F6ED0">
        <w:rPr>
          <w:rFonts w:ascii="Abadi" w:hAnsi="Abadi" w:cs="Arial"/>
          <w:sz w:val="21"/>
          <w:szCs w:val="21"/>
        </w:rPr>
        <w:t xml:space="preserve">En relación con la adición de la fracción XII al artículo 46 de la propuesta en comento, refiere que: </w:t>
      </w:r>
      <w:r w:rsidRPr="009F6ED0">
        <w:rPr>
          <w:rFonts w:ascii="Abadi" w:hAnsi="Abadi" w:cs="Arial"/>
          <w:i/>
          <w:iCs/>
          <w:sz w:val="21"/>
          <w:szCs w:val="21"/>
        </w:rPr>
        <w:t>Otorgar a los trabajadores del Estado y de los ayuntamientos, un día de licencia al año, con goce íntegro de su sueldo, para someterse a la realización de exámenes médicos preventivos. La justificación de esta licencia, se deberá presentar el certificado médico correspondiente expedido por una institución pública o privada de salud</w:t>
      </w:r>
      <w:r w:rsidRPr="009F6ED0">
        <w:rPr>
          <w:rFonts w:ascii="Abadi" w:hAnsi="Abadi" w:cs="Arial"/>
          <w:sz w:val="21"/>
          <w:szCs w:val="21"/>
        </w:rPr>
        <w:t xml:space="preserve">; en ese sentido y para dar mayor certeza a las porciones normativas determinamos eliminar la última parte del texto propuesto en razón de que su contenido y alcance ya se encuentra previsto por el diverso artículo 22 BIS, además de que, bajo el supuesto en mención, la obligación de justificar está a cargo del trabajador que goce de la licencia y no de la parte patronal como lo propone la iniciativa. </w:t>
      </w:r>
    </w:p>
    <w:p w14:paraId="4FC979FE" w14:textId="77777777" w:rsidR="009F6ED0" w:rsidRPr="009F6ED0" w:rsidRDefault="009F6ED0" w:rsidP="00D10ACA">
      <w:pPr>
        <w:ind w:firstLine="708"/>
        <w:jc w:val="both"/>
        <w:rPr>
          <w:rFonts w:ascii="Abadi" w:hAnsi="Abadi" w:cs="Arial"/>
          <w:sz w:val="21"/>
          <w:szCs w:val="21"/>
        </w:rPr>
      </w:pPr>
    </w:p>
    <w:p w14:paraId="7F59E5C7" w14:textId="77777777" w:rsidR="009F6ED0" w:rsidRPr="009F6ED0" w:rsidRDefault="009F6ED0" w:rsidP="00D10ACA">
      <w:pPr>
        <w:ind w:firstLine="708"/>
        <w:jc w:val="both"/>
        <w:rPr>
          <w:rFonts w:ascii="Abadi" w:hAnsi="Abadi" w:cs="Arial"/>
          <w:sz w:val="21"/>
          <w:szCs w:val="21"/>
        </w:rPr>
      </w:pPr>
      <w:r w:rsidRPr="009F6ED0">
        <w:rPr>
          <w:rFonts w:ascii="Abadi" w:hAnsi="Abadi" w:cs="Arial"/>
          <w:sz w:val="21"/>
          <w:szCs w:val="21"/>
        </w:rPr>
        <w:t>De igual forma, se acordó incorporar esta adición como inciso G) de la fracción VI puesto que tal porción normativa ya prevé como obligación de la parte patronal el conceder licencias a sus trabajadores.</w:t>
      </w:r>
    </w:p>
    <w:p w14:paraId="36D101B3" w14:textId="77777777" w:rsidR="009F6ED0" w:rsidRPr="009F6ED0" w:rsidRDefault="009F6ED0" w:rsidP="00D10ACA">
      <w:pPr>
        <w:ind w:firstLine="708"/>
        <w:jc w:val="both"/>
        <w:rPr>
          <w:rFonts w:ascii="Abadi" w:hAnsi="Abadi" w:cs="Arial"/>
          <w:sz w:val="21"/>
          <w:szCs w:val="21"/>
        </w:rPr>
      </w:pPr>
    </w:p>
    <w:p w14:paraId="0B3AF3FE" w14:textId="77777777" w:rsidR="009F6ED0" w:rsidRPr="009F6ED0" w:rsidRDefault="009F6ED0" w:rsidP="00D10ACA">
      <w:pPr>
        <w:ind w:firstLine="708"/>
        <w:jc w:val="both"/>
        <w:rPr>
          <w:rFonts w:ascii="Abadi" w:hAnsi="Abadi" w:cs="Arial"/>
          <w:sz w:val="21"/>
          <w:szCs w:val="21"/>
        </w:rPr>
      </w:pPr>
      <w:r w:rsidRPr="009F6ED0">
        <w:rPr>
          <w:rFonts w:ascii="Abadi" w:hAnsi="Abadi" w:cs="Arial"/>
          <w:sz w:val="21"/>
          <w:szCs w:val="21"/>
        </w:rPr>
        <w:t xml:space="preserve">Se determinó la inclusión de un segundo transitorio en los siguientes términos: </w:t>
      </w:r>
    </w:p>
    <w:p w14:paraId="6FAF0115" w14:textId="77777777" w:rsidR="009F6ED0" w:rsidRPr="009F6ED0" w:rsidRDefault="009F6ED0" w:rsidP="00D10ACA">
      <w:pPr>
        <w:widowControl w:val="0"/>
        <w:ind w:firstLine="708"/>
        <w:jc w:val="both"/>
        <w:rPr>
          <w:rFonts w:ascii="Abadi" w:hAnsi="Abadi" w:cs="Arial"/>
          <w:sz w:val="21"/>
          <w:szCs w:val="21"/>
        </w:rPr>
      </w:pPr>
    </w:p>
    <w:p w14:paraId="27C96A1B" w14:textId="77777777" w:rsidR="009F6ED0" w:rsidRPr="009F6ED0" w:rsidRDefault="009F6ED0" w:rsidP="00D10ACA">
      <w:pPr>
        <w:ind w:left="709" w:right="709"/>
        <w:jc w:val="both"/>
        <w:rPr>
          <w:rFonts w:ascii="Abadi" w:hAnsi="Abadi" w:cs="Arial"/>
          <w:i/>
          <w:iCs/>
          <w:sz w:val="21"/>
          <w:szCs w:val="21"/>
        </w:rPr>
      </w:pPr>
      <w:r w:rsidRPr="009F6ED0">
        <w:rPr>
          <w:rFonts w:ascii="Abadi" w:hAnsi="Abadi" w:cs="Arial"/>
          <w:b/>
          <w:bCs/>
          <w:i/>
          <w:iCs/>
          <w:sz w:val="21"/>
          <w:szCs w:val="21"/>
        </w:rPr>
        <w:t>Artículo Segundo.</w:t>
      </w:r>
      <w:r w:rsidRPr="009F6ED0">
        <w:rPr>
          <w:rFonts w:ascii="Abadi" w:hAnsi="Abadi" w:cs="Arial"/>
          <w:i/>
          <w:iCs/>
          <w:sz w:val="21"/>
          <w:szCs w:val="21"/>
        </w:rPr>
        <w:t xml:space="preserve"> Los poderes Ejecutivo, Legislativo, Judicial, organismos autónomos y los municipios, en el ámbito de sus respectivas competencias deberán adecuar su normativa interna en un plazo de noventa días posteriores a la entrada en vigor del presente Decreto. </w:t>
      </w:r>
    </w:p>
    <w:p w14:paraId="74F861CD" w14:textId="77777777" w:rsidR="009F6ED0" w:rsidRPr="009F6ED0" w:rsidRDefault="009F6ED0" w:rsidP="00D10ACA">
      <w:pPr>
        <w:widowControl w:val="0"/>
        <w:ind w:firstLine="708"/>
        <w:jc w:val="both"/>
        <w:rPr>
          <w:rFonts w:ascii="Abadi" w:hAnsi="Abadi" w:cs="Arial"/>
          <w:b/>
          <w:bCs/>
          <w:sz w:val="21"/>
          <w:szCs w:val="21"/>
        </w:rPr>
      </w:pPr>
    </w:p>
    <w:p w14:paraId="77CCE710" w14:textId="77777777" w:rsidR="009F6ED0" w:rsidRPr="009F6ED0" w:rsidRDefault="009F6ED0" w:rsidP="00D10ACA">
      <w:pPr>
        <w:ind w:firstLine="708"/>
        <w:jc w:val="both"/>
        <w:rPr>
          <w:rFonts w:ascii="Abadi" w:hAnsi="Abadi" w:cs="Arial"/>
          <w:sz w:val="21"/>
          <w:szCs w:val="21"/>
        </w:rPr>
      </w:pPr>
      <w:r w:rsidRPr="009F6ED0">
        <w:rPr>
          <w:rFonts w:ascii="Abadi" w:hAnsi="Abadi" w:cs="Arial"/>
          <w:sz w:val="21"/>
          <w:szCs w:val="21"/>
        </w:rPr>
        <w:t xml:space="preserve">La licencia con goce de sueldo deberá ser incluida y reconocida dentro de los sistemas de nómina respectivos para regular y generar las acciones óptimas y acordes al registro, así como el proceso para su trámite y administración, que permita a las áreas de recursos humanos donde laboran las y los trabajadores del Estado y de los municipios llevar la operación de la licencia, en cumplimiento a lo previsto en el artículo segundo transitorio. Lo anterior, debido a que ese día de licencia con goce de sueldo de origen ya debió ser presupuestado, previo a la contratación del trabajador. </w:t>
      </w:r>
    </w:p>
    <w:p w14:paraId="0AC938BE" w14:textId="77777777" w:rsidR="009F6ED0" w:rsidRPr="009F6ED0" w:rsidRDefault="009F6ED0" w:rsidP="00D10ACA">
      <w:pPr>
        <w:widowControl w:val="0"/>
        <w:ind w:firstLine="708"/>
        <w:jc w:val="both"/>
        <w:rPr>
          <w:rFonts w:ascii="Abadi" w:hAnsi="Abadi" w:cs="Arial"/>
          <w:b/>
          <w:bCs/>
          <w:sz w:val="21"/>
          <w:szCs w:val="21"/>
        </w:rPr>
      </w:pPr>
    </w:p>
    <w:p w14:paraId="64928219" w14:textId="77777777" w:rsidR="009F6ED0" w:rsidRPr="009F6ED0" w:rsidRDefault="009F6ED0" w:rsidP="00D10ACA">
      <w:pPr>
        <w:ind w:firstLine="708"/>
        <w:jc w:val="both"/>
        <w:rPr>
          <w:rFonts w:ascii="Abadi" w:hAnsi="Abadi" w:cs="Arial"/>
          <w:sz w:val="21"/>
          <w:szCs w:val="21"/>
        </w:rPr>
      </w:pPr>
      <w:r w:rsidRPr="009F6ED0">
        <w:rPr>
          <w:rFonts w:ascii="Abadi" w:hAnsi="Abadi" w:cs="Arial"/>
          <w:sz w:val="21"/>
          <w:szCs w:val="21"/>
        </w:rPr>
        <w:t>Para quienes dictaminamos es fundamental resaltar que es nuestra prioridad el quehacer legislativo que esta Legislatura realiza en la generación de propuestas que redunden en la progresividad de derechos de las y los servidores públicos del Estado y los Municipios de Guanajuato, en este caso particular, mediante el derecho de dichas personas trabajadoras para contar con una temporalidad anual para efectos de realizarse estudios médicos preventivos, siendo tal propuesta un elemento que se erige como una acción afirmativa en materia de derechos humanos para el disfrute del más alto nivel posible de la salud física y mental.</w:t>
      </w:r>
    </w:p>
    <w:p w14:paraId="6395F84F" w14:textId="77777777" w:rsidR="009F6ED0" w:rsidRPr="009F6ED0" w:rsidRDefault="009F6ED0" w:rsidP="00D10ACA">
      <w:pPr>
        <w:ind w:firstLine="708"/>
        <w:jc w:val="both"/>
        <w:rPr>
          <w:rFonts w:ascii="Abadi" w:hAnsi="Abadi" w:cs="Arial"/>
          <w:sz w:val="21"/>
          <w:szCs w:val="21"/>
        </w:rPr>
      </w:pPr>
    </w:p>
    <w:p w14:paraId="0B63D8E0" w14:textId="77777777" w:rsidR="009F6ED0" w:rsidRPr="009F6ED0" w:rsidRDefault="009F6ED0" w:rsidP="00D10ACA">
      <w:pPr>
        <w:ind w:firstLine="708"/>
        <w:jc w:val="both"/>
        <w:rPr>
          <w:rFonts w:ascii="Abadi" w:hAnsi="Abadi" w:cs="Arial"/>
          <w:sz w:val="21"/>
          <w:szCs w:val="21"/>
        </w:rPr>
      </w:pPr>
      <w:r w:rsidRPr="009F6ED0">
        <w:rPr>
          <w:rFonts w:ascii="Abadi" w:hAnsi="Abadi" w:cs="Arial"/>
          <w:sz w:val="21"/>
          <w:szCs w:val="21"/>
        </w:rPr>
        <w:t xml:space="preserve">Destacar que el cumplimiento de los Objetivos del Desarrollo Sostenible de la Agenda 2030 está presente en el dictamen puesto a su consideración, pues el mismo incide de manera directa en el Objetivo 3 que tiene como objetivo garantizar una vida sana y promover el bienestar de todos a todas las edades. En ese sentido, la salud es uno de los ámbitos donde se reflejan múltiples interacciones entre los Objetivos del Desarrollo Sostenible. </w:t>
      </w:r>
    </w:p>
    <w:p w14:paraId="1083CB9D" w14:textId="77777777" w:rsidR="009F6ED0" w:rsidRPr="009F6ED0" w:rsidRDefault="009F6ED0" w:rsidP="009F6ED0">
      <w:pPr>
        <w:spacing w:line="360" w:lineRule="auto"/>
        <w:ind w:firstLine="708"/>
        <w:jc w:val="both"/>
        <w:rPr>
          <w:rFonts w:ascii="Abadi" w:hAnsi="Abadi" w:cs="Arial"/>
          <w:sz w:val="21"/>
          <w:szCs w:val="21"/>
        </w:rPr>
      </w:pPr>
    </w:p>
    <w:p w14:paraId="2B270F64" w14:textId="77777777" w:rsidR="009F6ED0" w:rsidRPr="009F6ED0" w:rsidRDefault="009F6ED0" w:rsidP="00A45594">
      <w:pPr>
        <w:ind w:firstLine="708"/>
        <w:jc w:val="both"/>
        <w:rPr>
          <w:rFonts w:ascii="Abadi" w:hAnsi="Abadi" w:cs="Arial"/>
          <w:sz w:val="21"/>
          <w:szCs w:val="21"/>
        </w:rPr>
      </w:pPr>
      <w:r w:rsidRPr="009F6ED0">
        <w:rPr>
          <w:rFonts w:ascii="Abadi" w:hAnsi="Abadi" w:cs="Arial"/>
          <w:sz w:val="21"/>
          <w:szCs w:val="21"/>
        </w:rPr>
        <w:t xml:space="preserve">El desarrollo sostenible debe tener en cuenta esa realidad y aprovecharla en su beneficio, trabajar con el enfoque de transversalización de los contenidos de la Agenda 2030 en el campo de la salud pública y la implementación progresiva del marco de acción de </w:t>
      </w:r>
      <w:r w:rsidRPr="009F6ED0">
        <w:rPr>
          <w:rFonts w:ascii="Abadi" w:hAnsi="Abadi" w:cs="Arial"/>
          <w:i/>
          <w:iCs/>
          <w:sz w:val="21"/>
          <w:szCs w:val="21"/>
        </w:rPr>
        <w:t>salud en todas las políticas</w:t>
      </w:r>
      <w:r w:rsidRPr="009F6ED0">
        <w:rPr>
          <w:rFonts w:ascii="Abadi" w:hAnsi="Abadi" w:cs="Arial"/>
          <w:sz w:val="21"/>
          <w:szCs w:val="21"/>
        </w:rPr>
        <w:t>, ya que no solo hay que actuar en la prevención sino también en la promoción de la salud individual y colectiva en entornos lo más saludables posibles. La propia definición de salud pública debe integrar todas las dimensiones de la Agenda 2030 – social, económica, medioambiental y gobernanza. Estas tres dimensiones, se conforman también como determinantes de la salud de la población por lo que, desde el sector salud, se han de contemplar de modo natural y armónico.</w:t>
      </w:r>
    </w:p>
    <w:p w14:paraId="14864280" w14:textId="77777777" w:rsidR="009F6ED0" w:rsidRPr="009F6ED0" w:rsidRDefault="009F6ED0" w:rsidP="00A45594">
      <w:pPr>
        <w:ind w:firstLine="708"/>
        <w:jc w:val="both"/>
        <w:rPr>
          <w:rFonts w:ascii="Abadi" w:eastAsia="Batang" w:hAnsi="Abadi" w:cs="Arial"/>
          <w:sz w:val="21"/>
          <w:szCs w:val="21"/>
        </w:rPr>
      </w:pPr>
    </w:p>
    <w:p w14:paraId="7DB1F3CD" w14:textId="77777777" w:rsidR="009F6ED0" w:rsidRPr="009F6ED0" w:rsidRDefault="009F6ED0" w:rsidP="00A45594">
      <w:pPr>
        <w:ind w:firstLine="708"/>
        <w:jc w:val="both"/>
        <w:rPr>
          <w:rFonts w:ascii="Abadi" w:eastAsia="Batang" w:hAnsi="Abadi" w:cs="Arial"/>
          <w:sz w:val="21"/>
          <w:szCs w:val="21"/>
          <w:lang w:val="es-MX" w:eastAsia="en-US"/>
        </w:rPr>
      </w:pPr>
      <w:r w:rsidRPr="009F6ED0">
        <w:rPr>
          <w:rFonts w:ascii="Abadi" w:eastAsia="Batang" w:hAnsi="Abadi" w:cs="Arial"/>
          <w:sz w:val="21"/>
          <w:szCs w:val="21"/>
        </w:rPr>
        <w:t xml:space="preserve">En razón de lo antes expuesto y con fundamento en los artículos 171 y 204 de la Ley Orgánica del Poder Legislativo del Estado de Guanajuato, nos permitimos someter a la aprobación de la Asamblea, el siguiente: </w:t>
      </w:r>
    </w:p>
    <w:p w14:paraId="2EE2EE5E" w14:textId="77777777" w:rsidR="009F6ED0" w:rsidRPr="009F6ED0" w:rsidRDefault="009F6ED0" w:rsidP="00A45594">
      <w:pPr>
        <w:widowControl w:val="0"/>
        <w:tabs>
          <w:tab w:val="left" w:pos="900"/>
        </w:tabs>
        <w:jc w:val="both"/>
        <w:rPr>
          <w:rFonts w:ascii="Abadi" w:eastAsia="Batang" w:hAnsi="Abadi" w:cs="Arial"/>
          <w:b/>
          <w:bCs/>
          <w:sz w:val="21"/>
          <w:szCs w:val="21"/>
        </w:rPr>
      </w:pPr>
    </w:p>
    <w:p w14:paraId="52DF5F65" w14:textId="77777777" w:rsidR="009F6ED0" w:rsidRPr="009F6ED0" w:rsidRDefault="009F6ED0" w:rsidP="00A45594">
      <w:pPr>
        <w:widowControl w:val="0"/>
        <w:tabs>
          <w:tab w:val="left" w:pos="0"/>
        </w:tabs>
        <w:jc w:val="center"/>
        <w:rPr>
          <w:rFonts w:ascii="Abadi" w:eastAsia="Batang" w:hAnsi="Abadi" w:cs="Arial"/>
          <w:b/>
          <w:bCs/>
          <w:sz w:val="21"/>
          <w:szCs w:val="21"/>
        </w:rPr>
      </w:pPr>
      <w:r w:rsidRPr="009F6ED0">
        <w:rPr>
          <w:rFonts w:ascii="Abadi" w:eastAsia="Batang" w:hAnsi="Abadi" w:cs="Arial"/>
          <w:b/>
          <w:bCs/>
          <w:sz w:val="21"/>
          <w:szCs w:val="21"/>
        </w:rPr>
        <w:t>DECRETO</w:t>
      </w:r>
    </w:p>
    <w:p w14:paraId="5E5B77F6" w14:textId="77777777" w:rsidR="009F6ED0" w:rsidRPr="009F6ED0" w:rsidRDefault="009F6ED0" w:rsidP="00A45594">
      <w:pPr>
        <w:widowControl w:val="0"/>
        <w:tabs>
          <w:tab w:val="left" w:pos="900"/>
        </w:tabs>
        <w:jc w:val="both"/>
        <w:rPr>
          <w:rFonts w:ascii="Abadi" w:eastAsia="Batang" w:hAnsi="Abadi" w:cs="Arial"/>
          <w:b/>
          <w:bCs/>
          <w:sz w:val="21"/>
          <w:szCs w:val="21"/>
        </w:rPr>
      </w:pPr>
    </w:p>
    <w:p w14:paraId="76160323" w14:textId="77777777" w:rsidR="009F6ED0" w:rsidRPr="009F6ED0" w:rsidRDefault="009F6ED0" w:rsidP="00A45594">
      <w:pPr>
        <w:widowControl w:val="0"/>
        <w:ind w:firstLine="708"/>
        <w:jc w:val="both"/>
        <w:rPr>
          <w:rFonts w:ascii="Abadi" w:eastAsia="Batang" w:hAnsi="Abadi" w:cs="Arial"/>
          <w:bCs/>
          <w:sz w:val="21"/>
          <w:szCs w:val="21"/>
        </w:rPr>
      </w:pPr>
      <w:r w:rsidRPr="009F6ED0">
        <w:rPr>
          <w:rFonts w:ascii="Abadi" w:eastAsia="Batang" w:hAnsi="Abadi" w:cs="Arial"/>
          <w:b/>
          <w:bCs/>
          <w:sz w:val="21"/>
          <w:szCs w:val="21"/>
        </w:rPr>
        <w:t>Artículo Único.</w:t>
      </w:r>
      <w:r w:rsidRPr="009F6ED0">
        <w:rPr>
          <w:rFonts w:ascii="Abadi" w:eastAsia="Batang" w:hAnsi="Abadi" w:cs="Arial"/>
          <w:bCs/>
          <w:sz w:val="21"/>
          <w:szCs w:val="21"/>
        </w:rPr>
        <w:t xml:space="preserve"> Se </w:t>
      </w:r>
      <w:r w:rsidRPr="009F6ED0">
        <w:rPr>
          <w:rFonts w:ascii="Abadi" w:eastAsia="Batang" w:hAnsi="Abadi" w:cs="Arial"/>
          <w:b/>
          <w:sz w:val="21"/>
          <w:szCs w:val="21"/>
        </w:rPr>
        <w:t>adicionan</w:t>
      </w:r>
      <w:r w:rsidRPr="009F6ED0">
        <w:rPr>
          <w:rFonts w:ascii="Abadi" w:eastAsia="Batang" w:hAnsi="Abadi" w:cs="Arial"/>
          <w:bCs/>
          <w:sz w:val="21"/>
          <w:szCs w:val="21"/>
        </w:rPr>
        <w:t xml:space="preserve"> los artículos 22 Bis y 46, fracción VI con un inciso G) a la </w:t>
      </w:r>
      <w:r w:rsidRPr="009F6ED0">
        <w:rPr>
          <w:rFonts w:ascii="Abadi" w:eastAsia="Batang" w:hAnsi="Abadi" w:cs="Arial"/>
          <w:b/>
          <w:sz w:val="21"/>
          <w:szCs w:val="21"/>
        </w:rPr>
        <w:t>Ley del Trabajo de los Servidores Públicos al Servicio del Estado y de los Municipios</w:t>
      </w:r>
      <w:r w:rsidRPr="009F6ED0">
        <w:rPr>
          <w:rFonts w:ascii="Abadi" w:eastAsia="Batang" w:hAnsi="Abadi" w:cs="Arial"/>
          <w:bCs/>
          <w:sz w:val="21"/>
          <w:szCs w:val="21"/>
        </w:rPr>
        <w:t>, para quedar como sigue:</w:t>
      </w:r>
    </w:p>
    <w:p w14:paraId="45834FB3" w14:textId="77777777" w:rsidR="009F6ED0" w:rsidRPr="009F6ED0" w:rsidRDefault="009F6ED0" w:rsidP="00A45594">
      <w:pPr>
        <w:widowControl w:val="0"/>
        <w:ind w:firstLine="708"/>
        <w:jc w:val="both"/>
        <w:rPr>
          <w:rFonts w:ascii="Abadi" w:hAnsi="Abadi" w:cs="Arial"/>
          <w:sz w:val="21"/>
          <w:szCs w:val="21"/>
        </w:rPr>
      </w:pPr>
    </w:p>
    <w:p w14:paraId="599554C7" w14:textId="77777777" w:rsidR="009F6ED0" w:rsidRPr="009F6ED0" w:rsidRDefault="009F6ED0" w:rsidP="00A45594">
      <w:pPr>
        <w:widowControl w:val="0"/>
        <w:ind w:firstLine="708"/>
        <w:jc w:val="both"/>
        <w:rPr>
          <w:rFonts w:ascii="Abadi" w:hAnsi="Abadi" w:cs="Arial"/>
          <w:sz w:val="21"/>
          <w:szCs w:val="21"/>
        </w:rPr>
      </w:pPr>
      <w:r w:rsidRPr="009F6ED0">
        <w:rPr>
          <w:rFonts w:ascii="Abadi" w:hAnsi="Abadi" w:cs="Arial"/>
          <w:b/>
          <w:bCs/>
          <w:sz w:val="21"/>
          <w:szCs w:val="21"/>
        </w:rPr>
        <w:t>«Artículo 22 BIS.</w:t>
      </w:r>
      <w:r w:rsidRPr="009F6ED0">
        <w:rPr>
          <w:rFonts w:ascii="Abadi" w:hAnsi="Abadi" w:cs="Arial"/>
          <w:sz w:val="21"/>
          <w:szCs w:val="21"/>
        </w:rPr>
        <w:t xml:space="preserve"> Los trabajadores del Estado y de los municipios que hayan laborado noventa días consecutivos tendrán derecho a un día de licencia al año con goce íntegro de sueldo, para someterse a la realización de exámenes médicos preventivos. Se deberá presentar el certificado médico expedido por una institución pública o privada de salud.</w:t>
      </w:r>
    </w:p>
    <w:p w14:paraId="50E22C76" w14:textId="77777777" w:rsidR="009F6ED0" w:rsidRPr="009F6ED0" w:rsidRDefault="009F6ED0" w:rsidP="00A45594">
      <w:pPr>
        <w:widowControl w:val="0"/>
        <w:ind w:firstLine="708"/>
        <w:jc w:val="both"/>
        <w:rPr>
          <w:rFonts w:ascii="Abadi" w:hAnsi="Abadi" w:cs="Arial"/>
          <w:sz w:val="21"/>
          <w:szCs w:val="21"/>
        </w:rPr>
      </w:pPr>
    </w:p>
    <w:p w14:paraId="0FD0805D" w14:textId="77777777" w:rsidR="009F6ED0" w:rsidRPr="009F6ED0" w:rsidRDefault="009F6ED0" w:rsidP="00A45594">
      <w:pPr>
        <w:widowControl w:val="0"/>
        <w:ind w:firstLine="708"/>
        <w:jc w:val="both"/>
        <w:rPr>
          <w:rFonts w:ascii="Abadi" w:hAnsi="Abadi" w:cs="Arial"/>
          <w:sz w:val="21"/>
          <w:szCs w:val="21"/>
        </w:rPr>
      </w:pPr>
      <w:r w:rsidRPr="009F6ED0">
        <w:rPr>
          <w:rFonts w:ascii="Abadi" w:hAnsi="Abadi" w:cs="Arial"/>
          <w:sz w:val="21"/>
          <w:szCs w:val="21"/>
        </w:rPr>
        <w:t xml:space="preserve">Se deberá dar aviso quince días previos a la realización de los exámenes. </w:t>
      </w:r>
    </w:p>
    <w:p w14:paraId="4CD92CED" w14:textId="77777777" w:rsidR="009F6ED0" w:rsidRPr="009F6ED0" w:rsidRDefault="009F6ED0" w:rsidP="00A45594">
      <w:pPr>
        <w:widowControl w:val="0"/>
        <w:ind w:firstLine="708"/>
        <w:jc w:val="both"/>
        <w:rPr>
          <w:rFonts w:ascii="Abadi" w:hAnsi="Abadi" w:cs="Arial"/>
          <w:sz w:val="21"/>
          <w:szCs w:val="21"/>
        </w:rPr>
      </w:pPr>
    </w:p>
    <w:p w14:paraId="429D6254" w14:textId="77777777" w:rsidR="009F6ED0" w:rsidRPr="009F6ED0" w:rsidRDefault="009F6ED0" w:rsidP="00A45594">
      <w:pPr>
        <w:widowControl w:val="0"/>
        <w:ind w:firstLine="708"/>
        <w:jc w:val="both"/>
        <w:rPr>
          <w:rFonts w:ascii="Abadi" w:hAnsi="Abadi" w:cs="Arial"/>
          <w:sz w:val="21"/>
          <w:szCs w:val="21"/>
        </w:rPr>
      </w:pPr>
      <w:r w:rsidRPr="009F6ED0">
        <w:rPr>
          <w:rFonts w:ascii="Abadi" w:hAnsi="Abadi" w:cs="Arial"/>
          <w:b/>
          <w:bCs/>
          <w:sz w:val="21"/>
          <w:szCs w:val="21"/>
        </w:rPr>
        <w:t xml:space="preserve">«Artículo 46. </w:t>
      </w:r>
      <w:r w:rsidRPr="009F6ED0">
        <w:rPr>
          <w:rFonts w:ascii="Abadi" w:hAnsi="Abadi" w:cs="Arial"/>
          <w:sz w:val="21"/>
          <w:szCs w:val="21"/>
        </w:rPr>
        <w:t xml:space="preserve">Son obligaciones de…:  </w:t>
      </w:r>
    </w:p>
    <w:p w14:paraId="2AD20F60" w14:textId="77777777" w:rsidR="009F6ED0" w:rsidRPr="009F6ED0" w:rsidRDefault="009F6ED0" w:rsidP="00A45594">
      <w:pPr>
        <w:widowControl w:val="0"/>
        <w:ind w:firstLine="708"/>
        <w:jc w:val="both"/>
        <w:rPr>
          <w:rFonts w:ascii="Abadi" w:hAnsi="Abadi" w:cs="Arial"/>
          <w:sz w:val="21"/>
          <w:szCs w:val="21"/>
        </w:rPr>
      </w:pPr>
    </w:p>
    <w:p w14:paraId="57A4AE11" w14:textId="77777777" w:rsidR="009F6ED0" w:rsidRPr="009F6ED0" w:rsidRDefault="009F6ED0" w:rsidP="00A45594">
      <w:pPr>
        <w:widowControl w:val="0"/>
        <w:ind w:firstLine="708"/>
        <w:jc w:val="both"/>
        <w:rPr>
          <w:rFonts w:ascii="Abadi" w:hAnsi="Abadi" w:cs="Arial"/>
          <w:sz w:val="21"/>
          <w:szCs w:val="21"/>
        </w:rPr>
      </w:pPr>
      <w:r w:rsidRPr="009F6ED0">
        <w:rPr>
          <w:rFonts w:ascii="Abadi" w:hAnsi="Abadi" w:cs="Arial"/>
          <w:b/>
          <w:bCs/>
          <w:sz w:val="21"/>
          <w:szCs w:val="21"/>
        </w:rPr>
        <w:t xml:space="preserve">I </w:t>
      </w:r>
      <w:r w:rsidRPr="009F6ED0">
        <w:rPr>
          <w:rFonts w:ascii="Abadi" w:hAnsi="Abadi" w:cs="Arial"/>
          <w:sz w:val="21"/>
          <w:szCs w:val="21"/>
        </w:rPr>
        <w:t xml:space="preserve">a </w:t>
      </w:r>
      <w:r w:rsidRPr="009F6ED0">
        <w:rPr>
          <w:rFonts w:ascii="Abadi" w:hAnsi="Abadi" w:cs="Arial"/>
          <w:b/>
          <w:bCs/>
          <w:sz w:val="21"/>
          <w:szCs w:val="21"/>
        </w:rPr>
        <w:t>V.</w:t>
      </w:r>
      <w:r w:rsidRPr="009F6ED0">
        <w:rPr>
          <w:rFonts w:ascii="Abadi" w:hAnsi="Abadi" w:cs="Arial"/>
          <w:sz w:val="21"/>
          <w:szCs w:val="21"/>
        </w:rPr>
        <w:t xml:space="preserve"> ... </w:t>
      </w:r>
    </w:p>
    <w:p w14:paraId="63B693FF" w14:textId="77777777" w:rsidR="009F6ED0" w:rsidRPr="009F6ED0" w:rsidRDefault="009F6ED0" w:rsidP="00A45594">
      <w:pPr>
        <w:widowControl w:val="0"/>
        <w:ind w:firstLine="708"/>
        <w:jc w:val="both"/>
        <w:rPr>
          <w:rFonts w:ascii="Abadi" w:hAnsi="Abadi" w:cs="Arial"/>
          <w:b/>
          <w:bCs/>
          <w:sz w:val="21"/>
          <w:szCs w:val="21"/>
        </w:rPr>
      </w:pPr>
    </w:p>
    <w:p w14:paraId="6E5884F6" w14:textId="77777777" w:rsidR="009F6ED0" w:rsidRPr="009F6ED0" w:rsidRDefault="009F6ED0" w:rsidP="00A45594">
      <w:pPr>
        <w:widowControl w:val="0"/>
        <w:ind w:firstLine="708"/>
        <w:jc w:val="both"/>
        <w:rPr>
          <w:rFonts w:ascii="Abadi" w:hAnsi="Abadi" w:cs="Arial"/>
          <w:sz w:val="21"/>
          <w:szCs w:val="21"/>
        </w:rPr>
      </w:pPr>
      <w:r w:rsidRPr="009F6ED0">
        <w:rPr>
          <w:rFonts w:ascii="Abadi" w:hAnsi="Abadi" w:cs="Arial"/>
          <w:b/>
          <w:bCs/>
          <w:sz w:val="21"/>
          <w:szCs w:val="21"/>
        </w:rPr>
        <w:t xml:space="preserve">VI. </w:t>
      </w:r>
      <w:r w:rsidRPr="009F6ED0">
        <w:rPr>
          <w:rFonts w:ascii="Abadi" w:hAnsi="Abadi" w:cs="Arial"/>
          <w:sz w:val="21"/>
          <w:szCs w:val="21"/>
        </w:rPr>
        <w:t>Conceder licencias a..:</w:t>
      </w:r>
    </w:p>
    <w:p w14:paraId="54F1BDB6" w14:textId="77777777" w:rsidR="009F6ED0" w:rsidRPr="009F6ED0" w:rsidRDefault="009F6ED0" w:rsidP="00A45594">
      <w:pPr>
        <w:ind w:left="709" w:hanging="709"/>
        <w:jc w:val="both"/>
        <w:rPr>
          <w:rFonts w:ascii="Abadi" w:hAnsi="Abadi" w:cs="Arial"/>
          <w:sz w:val="21"/>
          <w:szCs w:val="21"/>
          <w:lang w:val="es-MX"/>
        </w:rPr>
      </w:pPr>
    </w:p>
    <w:p w14:paraId="5907E222" w14:textId="77777777" w:rsidR="009F6ED0" w:rsidRPr="009F6ED0" w:rsidRDefault="009F6ED0" w:rsidP="00A45594">
      <w:pPr>
        <w:ind w:firstLine="708"/>
        <w:jc w:val="both"/>
        <w:rPr>
          <w:rFonts w:ascii="Abadi" w:hAnsi="Abadi" w:cs="Arial"/>
          <w:sz w:val="21"/>
          <w:szCs w:val="21"/>
        </w:rPr>
      </w:pPr>
      <w:r w:rsidRPr="009F6ED0">
        <w:rPr>
          <w:rFonts w:ascii="Abadi" w:hAnsi="Abadi" w:cs="Arial"/>
          <w:b/>
          <w:bCs/>
          <w:sz w:val="21"/>
          <w:szCs w:val="21"/>
        </w:rPr>
        <w:t>A</w:t>
      </w:r>
      <w:r w:rsidRPr="009F6ED0">
        <w:rPr>
          <w:rFonts w:ascii="Abadi" w:hAnsi="Abadi" w:cs="Arial"/>
          <w:sz w:val="21"/>
          <w:szCs w:val="21"/>
        </w:rPr>
        <w:t xml:space="preserve"> al </w:t>
      </w:r>
      <w:r w:rsidRPr="009F6ED0">
        <w:rPr>
          <w:rFonts w:ascii="Abadi" w:hAnsi="Abadi" w:cs="Arial"/>
          <w:b/>
          <w:bCs/>
          <w:sz w:val="21"/>
          <w:szCs w:val="21"/>
        </w:rPr>
        <w:t>D.</w:t>
      </w:r>
      <w:r w:rsidRPr="009F6ED0">
        <w:rPr>
          <w:rFonts w:ascii="Abadi" w:hAnsi="Abadi" w:cs="Arial"/>
          <w:sz w:val="21"/>
          <w:szCs w:val="21"/>
        </w:rPr>
        <w:t xml:space="preserve"> …</w:t>
      </w:r>
    </w:p>
    <w:p w14:paraId="1E7B053A" w14:textId="77777777" w:rsidR="009F6ED0" w:rsidRPr="009F6ED0" w:rsidRDefault="009F6ED0" w:rsidP="00A45594">
      <w:pPr>
        <w:ind w:left="1418" w:hanging="851"/>
        <w:jc w:val="both"/>
        <w:rPr>
          <w:rFonts w:ascii="Abadi" w:hAnsi="Abadi" w:cs="Arial"/>
          <w:sz w:val="21"/>
          <w:szCs w:val="21"/>
          <w:lang w:val="es-MX"/>
        </w:rPr>
      </w:pPr>
    </w:p>
    <w:p w14:paraId="7084317F" w14:textId="77777777" w:rsidR="009F6ED0" w:rsidRPr="009F6ED0" w:rsidRDefault="009F6ED0" w:rsidP="00A45594">
      <w:pPr>
        <w:ind w:left="1418" w:hanging="851"/>
        <w:jc w:val="both"/>
        <w:rPr>
          <w:rFonts w:ascii="Abadi" w:hAnsi="Abadi" w:cs="Arial"/>
          <w:sz w:val="21"/>
          <w:szCs w:val="21"/>
          <w:lang w:val="es-MX"/>
        </w:rPr>
      </w:pPr>
    </w:p>
    <w:p w14:paraId="1A6BD484" w14:textId="77777777" w:rsidR="009F6ED0" w:rsidRPr="009F6ED0" w:rsidRDefault="009F6ED0" w:rsidP="00A45594">
      <w:pPr>
        <w:ind w:firstLine="708"/>
        <w:jc w:val="both"/>
        <w:rPr>
          <w:rFonts w:ascii="Abadi" w:hAnsi="Abadi" w:cs="Arial"/>
          <w:sz w:val="21"/>
          <w:szCs w:val="21"/>
        </w:rPr>
      </w:pPr>
      <w:r w:rsidRPr="009F6ED0">
        <w:rPr>
          <w:rFonts w:ascii="Abadi" w:hAnsi="Abadi" w:cs="Arial"/>
          <w:b/>
          <w:bCs/>
          <w:sz w:val="21"/>
          <w:szCs w:val="21"/>
        </w:rPr>
        <w:t>E)</w:t>
      </w:r>
      <w:r w:rsidRPr="009F6ED0">
        <w:rPr>
          <w:rFonts w:ascii="Abadi" w:hAnsi="Abadi" w:cs="Arial"/>
          <w:sz w:val="21"/>
          <w:szCs w:val="21"/>
        </w:rPr>
        <w:t xml:space="preserve"> Por razones de carácter personal del trabajador, </w:t>
      </w:r>
    </w:p>
    <w:p w14:paraId="35C49DB3" w14:textId="77777777" w:rsidR="009F6ED0" w:rsidRPr="009F6ED0" w:rsidRDefault="009F6ED0" w:rsidP="00A45594">
      <w:pPr>
        <w:ind w:firstLine="708"/>
        <w:jc w:val="both"/>
        <w:rPr>
          <w:rFonts w:ascii="Abadi" w:hAnsi="Abadi" w:cs="Arial"/>
          <w:b/>
          <w:bCs/>
          <w:sz w:val="21"/>
          <w:szCs w:val="21"/>
        </w:rPr>
      </w:pPr>
    </w:p>
    <w:p w14:paraId="52E2BC62" w14:textId="77777777" w:rsidR="009F6ED0" w:rsidRPr="009F6ED0" w:rsidRDefault="009F6ED0" w:rsidP="00A45594">
      <w:pPr>
        <w:ind w:firstLine="708"/>
        <w:jc w:val="both"/>
        <w:rPr>
          <w:rFonts w:ascii="Abadi" w:hAnsi="Abadi" w:cs="Arial"/>
          <w:sz w:val="21"/>
          <w:szCs w:val="21"/>
        </w:rPr>
      </w:pPr>
      <w:r w:rsidRPr="009F6ED0">
        <w:rPr>
          <w:rFonts w:ascii="Abadi" w:hAnsi="Abadi" w:cs="Arial"/>
          <w:b/>
          <w:bCs/>
          <w:sz w:val="21"/>
          <w:szCs w:val="21"/>
        </w:rPr>
        <w:t>F)</w:t>
      </w:r>
      <w:r w:rsidRPr="009F6ED0">
        <w:rPr>
          <w:rFonts w:ascii="Abadi" w:hAnsi="Abadi" w:cs="Arial"/>
          <w:sz w:val="21"/>
          <w:szCs w:val="21"/>
        </w:rPr>
        <w:t xml:space="preserve"> En los casos de los supuestos comprendidos en el artículo 23 Bis de esta Ley, y</w:t>
      </w:r>
    </w:p>
    <w:p w14:paraId="5F61EC11" w14:textId="77777777" w:rsidR="009F6ED0" w:rsidRPr="009F6ED0" w:rsidRDefault="009F6ED0" w:rsidP="00A45594">
      <w:pPr>
        <w:ind w:firstLine="708"/>
        <w:jc w:val="both"/>
        <w:rPr>
          <w:rFonts w:ascii="Abadi" w:hAnsi="Abadi" w:cs="Arial"/>
          <w:sz w:val="21"/>
          <w:szCs w:val="21"/>
        </w:rPr>
      </w:pPr>
    </w:p>
    <w:p w14:paraId="4AAA3AAA" w14:textId="77777777" w:rsidR="009F6ED0" w:rsidRPr="009F6ED0" w:rsidRDefault="009F6ED0" w:rsidP="00A45594">
      <w:pPr>
        <w:ind w:firstLine="708"/>
        <w:jc w:val="both"/>
        <w:rPr>
          <w:rFonts w:ascii="Abadi" w:hAnsi="Abadi" w:cs="Arial"/>
          <w:sz w:val="21"/>
          <w:szCs w:val="21"/>
        </w:rPr>
      </w:pPr>
      <w:r w:rsidRPr="009F6ED0">
        <w:rPr>
          <w:rFonts w:ascii="Abadi" w:hAnsi="Abadi" w:cs="Arial"/>
          <w:b/>
          <w:bCs/>
          <w:sz w:val="21"/>
          <w:szCs w:val="21"/>
        </w:rPr>
        <w:t xml:space="preserve">G) </w:t>
      </w:r>
      <w:r w:rsidRPr="009F6ED0">
        <w:rPr>
          <w:rFonts w:ascii="Abadi" w:hAnsi="Abadi" w:cs="Arial"/>
          <w:sz w:val="21"/>
          <w:szCs w:val="21"/>
        </w:rPr>
        <w:t>Para someterse a la realización de exámenes médicos preventivos, en los términos del artículo 22 Bis de esta Ley.</w:t>
      </w:r>
    </w:p>
    <w:p w14:paraId="7F997A93" w14:textId="77777777" w:rsidR="009F6ED0" w:rsidRPr="009F6ED0" w:rsidRDefault="009F6ED0" w:rsidP="00A45594">
      <w:pPr>
        <w:widowControl w:val="0"/>
        <w:ind w:firstLine="708"/>
        <w:jc w:val="both"/>
        <w:rPr>
          <w:rFonts w:ascii="Abadi" w:hAnsi="Abadi" w:cs="Arial"/>
          <w:sz w:val="21"/>
          <w:szCs w:val="21"/>
        </w:rPr>
      </w:pPr>
    </w:p>
    <w:p w14:paraId="3E004C0B" w14:textId="77777777" w:rsidR="009F6ED0" w:rsidRPr="009F6ED0" w:rsidRDefault="009F6ED0" w:rsidP="00A45594">
      <w:pPr>
        <w:widowControl w:val="0"/>
        <w:ind w:firstLine="708"/>
        <w:jc w:val="both"/>
        <w:rPr>
          <w:rFonts w:ascii="Abadi" w:hAnsi="Abadi" w:cs="Arial"/>
          <w:sz w:val="21"/>
          <w:szCs w:val="21"/>
        </w:rPr>
      </w:pPr>
      <w:r w:rsidRPr="009F6ED0">
        <w:rPr>
          <w:rFonts w:ascii="Abadi" w:hAnsi="Abadi" w:cs="Arial"/>
          <w:b/>
          <w:bCs/>
          <w:sz w:val="21"/>
          <w:szCs w:val="21"/>
        </w:rPr>
        <w:t xml:space="preserve">VII </w:t>
      </w:r>
      <w:r w:rsidRPr="009F6ED0">
        <w:rPr>
          <w:rFonts w:ascii="Abadi" w:hAnsi="Abadi" w:cs="Arial"/>
          <w:sz w:val="21"/>
          <w:szCs w:val="21"/>
        </w:rPr>
        <w:t xml:space="preserve">a </w:t>
      </w:r>
      <w:r w:rsidRPr="009F6ED0">
        <w:rPr>
          <w:rFonts w:ascii="Abadi" w:hAnsi="Abadi" w:cs="Arial"/>
          <w:b/>
          <w:bCs/>
          <w:sz w:val="21"/>
          <w:szCs w:val="21"/>
        </w:rPr>
        <w:t>XI.</w:t>
      </w:r>
      <w:r w:rsidRPr="009F6ED0">
        <w:rPr>
          <w:rFonts w:ascii="Abadi" w:hAnsi="Abadi" w:cs="Arial"/>
          <w:sz w:val="21"/>
          <w:szCs w:val="21"/>
        </w:rPr>
        <w:t xml:space="preserve"> …»</w:t>
      </w:r>
    </w:p>
    <w:p w14:paraId="2C72188A" w14:textId="77777777" w:rsidR="009F6ED0" w:rsidRPr="009F6ED0" w:rsidRDefault="009F6ED0" w:rsidP="00A45594">
      <w:pPr>
        <w:widowControl w:val="0"/>
        <w:ind w:firstLine="708"/>
        <w:jc w:val="center"/>
        <w:rPr>
          <w:rFonts w:ascii="Abadi" w:hAnsi="Abadi" w:cs="Arial"/>
          <w:sz w:val="21"/>
          <w:szCs w:val="21"/>
        </w:rPr>
      </w:pPr>
    </w:p>
    <w:p w14:paraId="3024381B" w14:textId="77777777" w:rsidR="009F6ED0" w:rsidRPr="009F6ED0" w:rsidRDefault="009F6ED0" w:rsidP="00A45594">
      <w:pPr>
        <w:widowControl w:val="0"/>
        <w:ind w:firstLine="708"/>
        <w:jc w:val="center"/>
        <w:rPr>
          <w:rFonts w:ascii="Abadi" w:hAnsi="Abadi" w:cs="Arial"/>
          <w:sz w:val="21"/>
          <w:szCs w:val="21"/>
        </w:rPr>
      </w:pPr>
      <w:r w:rsidRPr="009F6ED0">
        <w:rPr>
          <w:rFonts w:ascii="Abadi" w:hAnsi="Abadi" w:cs="Arial"/>
          <w:b/>
          <w:bCs/>
          <w:sz w:val="21"/>
          <w:szCs w:val="21"/>
        </w:rPr>
        <w:t>TRANSITORIOS</w:t>
      </w:r>
    </w:p>
    <w:p w14:paraId="788932B4" w14:textId="77777777" w:rsidR="009F6ED0" w:rsidRPr="009F6ED0" w:rsidRDefault="009F6ED0" w:rsidP="00A45594">
      <w:pPr>
        <w:widowControl w:val="0"/>
        <w:ind w:firstLine="708"/>
        <w:jc w:val="both"/>
        <w:rPr>
          <w:rFonts w:ascii="Abadi" w:hAnsi="Abadi" w:cs="Arial"/>
          <w:sz w:val="21"/>
          <w:szCs w:val="21"/>
        </w:rPr>
      </w:pPr>
    </w:p>
    <w:p w14:paraId="426B2DDC" w14:textId="77777777" w:rsidR="009F6ED0" w:rsidRPr="009F6ED0" w:rsidRDefault="009F6ED0" w:rsidP="00A45594">
      <w:pPr>
        <w:widowControl w:val="0"/>
        <w:ind w:firstLine="708"/>
        <w:jc w:val="both"/>
        <w:rPr>
          <w:rFonts w:ascii="Abadi" w:hAnsi="Abadi" w:cs="Arial"/>
          <w:sz w:val="21"/>
          <w:szCs w:val="21"/>
        </w:rPr>
      </w:pPr>
      <w:r w:rsidRPr="009F6ED0">
        <w:rPr>
          <w:rFonts w:ascii="Abadi" w:hAnsi="Abadi" w:cs="Arial"/>
          <w:b/>
          <w:bCs/>
          <w:sz w:val="21"/>
          <w:szCs w:val="21"/>
        </w:rPr>
        <w:t xml:space="preserve">Artículo Primero. </w:t>
      </w:r>
      <w:r w:rsidRPr="009F6ED0">
        <w:rPr>
          <w:rFonts w:ascii="Abadi" w:hAnsi="Abadi" w:cs="Arial"/>
          <w:sz w:val="21"/>
          <w:szCs w:val="21"/>
        </w:rPr>
        <w:t>El presente Decreto entrará en vigor el día siguiente al de su publicación en el Periódico Oficial del Gobierno del Estado de Guanajuato.</w:t>
      </w:r>
    </w:p>
    <w:p w14:paraId="24CB1E2D" w14:textId="77777777" w:rsidR="009F6ED0" w:rsidRPr="009F6ED0" w:rsidRDefault="009F6ED0" w:rsidP="00A45594">
      <w:pPr>
        <w:ind w:firstLine="708"/>
        <w:jc w:val="both"/>
        <w:rPr>
          <w:rFonts w:ascii="Abadi" w:hAnsi="Abadi" w:cs="Arial"/>
          <w:b/>
          <w:bCs/>
          <w:sz w:val="21"/>
          <w:szCs w:val="21"/>
        </w:rPr>
      </w:pPr>
    </w:p>
    <w:p w14:paraId="1F51623E" w14:textId="66C36F65" w:rsidR="009F6ED0" w:rsidRPr="009F6ED0" w:rsidRDefault="009F6ED0" w:rsidP="00A45594">
      <w:pPr>
        <w:ind w:firstLine="708"/>
        <w:jc w:val="both"/>
        <w:rPr>
          <w:rFonts w:ascii="Abadi" w:hAnsi="Abadi"/>
          <w:color w:val="000000" w:themeColor="text1"/>
          <w:sz w:val="21"/>
          <w:szCs w:val="21"/>
        </w:rPr>
      </w:pPr>
      <w:r w:rsidRPr="009F6ED0">
        <w:rPr>
          <w:rFonts w:ascii="Abadi" w:hAnsi="Abadi" w:cs="Arial"/>
          <w:b/>
          <w:bCs/>
          <w:sz w:val="21"/>
          <w:szCs w:val="21"/>
        </w:rPr>
        <w:t xml:space="preserve">Artículo Segundo. </w:t>
      </w:r>
      <w:r w:rsidRPr="009F6ED0">
        <w:rPr>
          <w:rFonts w:ascii="Abadi" w:hAnsi="Abadi"/>
          <w:color w:val="000000" w:themeColor="text1"/>
          <w:sz w:val="21"/>
          <w:szCs w:val="21"/>
        </w:rPr>
        <w:t xml:space="preserve">Los poderes Ejecutivo, Legislativo, Judicial, organismos autónomos y los municipios, en el ámbito de sus respectivas competencias deberán adecuar su normativa interna en un plazo de noventa días posteriores a la entrada en vigor del presente Decreto. </w:t>
      </w:r>
    </w:p>
    <w:p w14:paraId="1032995A" w14:textId="77777777" w:rsidR="009F6ED0" w:rsidRPr="009F6ED0" w:rsidRDefault="009F6ED0" w:rsidP="00A45594">
      <w:pPr>
        <w:ind w:firstLine="708"/>
        <w:jc w:val="both"/>
        <w:rPr>
          <w:rFonts w:ascii="Abadi" w:hAnsi="Abadi"/>
          <w:color w:val="000000" w:themeColor="text1"/>
          <w:sz w:val="21"/>
          <w:szCs w:val="21"/>
        </w:rPr>
      </w:pPr>
    </w:p>
    <w:p w14:paraId="0031C759" w14:textId="77777777" w:rsidR="009F6ED0" w:rsidRPr="009F6ED0" w:rsidRDefault="009F6ED0" w:rsidP="00A45594">
      <w:pPr>
        <w:ind w:firstLine="708"/>
        <w:jc w:val="both"/>
        <w:rPr>
          <w:rFonts w:ascii="Abadi" w:hAnsi="Abadi"/>
          <w:color w:val="000000" w:themeColor="text1"/>
          <w:sz w:val="21"/>
          <w:szCs w:val="21"/>
        </w:rPr>
      </w:pPr>
    </w:p>
    <w:p w14:paraId="10B956E9" w14:textId="77777777" w:rsidR="009F6ED0" w:rsidRPr="009F6ED0" w:rsidRDefault="009F6ED0" w:rsidP="00A45594">
      <w:pPr>
        <w:widowControl w:val="0"/>
        <w:jc w:val="center"/>
        <w:rPr>
          <w:rFonts w:ascii="Abadi" w:hAnsi="Abadi" w:cs="Arial"/>
          <w:b/>
          <w:sz w:val="21"/>
          <w:szCs w:val="21"/>
        </w:rPr>
      </w:pPr>
      <w:r w:rsidRPr="009F6ED0">
        <w:rPr>
          <w:rFonts w:ascii="Abadi" w:hAnsi="Abadi" w:cs="Arial"/>
          <w:b/>
          <w:sz w:val="21"/>
          <w:szCs w:val="21"/>
        </w:rPr>
        <w:t>GUANAJUATO, GTO., A 19 SEPTIEMBRE DE 2022</w:t>
      </w:r>
    </w:p>
    <w:p w14:paraId="3147D741" w14:textId="77777777" w:rsidR="009F6ED0" w:rsidRPr="009F6ED0" w:rsidRDefault="009F6ED0" w:rsidP="00A45594">
      <w:pPr>
        <w:widowControl w:val="0"/>
        <w:jc w:val="center"/>
        <w:rPr>
          <w:rFonts w:ascii="Abadi" w:hAnsi="Abadi" w:cs="Arial"/>
          <w:b/>
          <w:sz w:val="21"/>
          <w:szCs w:val="21"/>
        </w:rPr>
      </w:pPr>
      <w:r w:rsidRPr="009F6ED0">
        <w:rPr>
          <w:rFonts w:ascii="Abadi" w:hAnsi="Abadi" w:cs="Arial"/>
          <w:b/>
          <w:sz w:val="21"/>
          <w:szCs w:val="21"/>
        </w:rPr>
        <w:t>LA COMISIÓN DE GOBERNACIÓN Y PUNTOS CONSTITUCIONALES</w:t>
      </w:r>
    </w:p>
    <w:p w14:paraId="2C1999B5" w14:textId="77777777" w:rsidR="009F6ED0" w:rsidRPr="009F6ED0" w:rsidRDefault="009F6ED0" w:rsidP="00A45594">
      <w:pPr>
        <w:widowControl w:val="0"/>
        <w:jc w:val="center"/>
        <w:rPr>
          <w:rFonts w:ascii="Abadi" w:hAnsi="Abadi" w:cs="Arial"/>
          <w:b/>
          <w:sz w:val="21"/>
          <w:szCs w:val="21"/>
        </w:rPr>
      </w:pPr>
    </w:p>
    <w:p w14:paraId="6D2A908A" w14:textId="77777777" w:rsidR="009F6ED0" w:rsidRPr="009F6ED0" w:rsidRDefault="009F6ED0" w:rsidP="00A45594">
      <w:pPr>
        <w:widowControl w:val="0"/>
        <w:jc w:val="both"/>
        <w:rPr>
          <w:rFonts w:ascii="Abadi" w:hAnsi="Abadi" w:cs="Arial"/>
          <w:b/>
          <w:sz w:val="21"/>
          <w:szCs w:val="21"/>
        </w:rPr>
      </w:pPr>
      <w:r w:rsidRPr="009F6ED0">
        <w:rPr>
          <w:rFonts w:ascii="Abadi" w:hAnsi="Abadi" w:cs="Tahoma"/>
          <w:b/>
          <w:sz w:val="21"/>
          <w:szCs w:val="21"/>
        </w:rPr>
        <w:t>Diputada Susana Bermúdez Cano</w:t>
      </w:r>
    </w:p>
    <w:p w14:paraId="14F7EB88" w14:textId="77777777" w:rsidR="009F6ED0" w:rsidRPr="009F6ED0" w:rsidRDefault="009F6ED0" w:rsidP="00A45594">
      <w:pPr>
        <w:widowControl w:val="0"/>
        <w:jc w:val="both"/>
        <w:rPr>
          <w:rFonts w:ascii="Abadi" w:hAnsi="Abadi" w:cs="Arial"/>
          <w:b/>
          <w:sz w:val="21"/>
          <w:szCs w:val="21"/>
        </w:rPr>
      </w:pPr>
      <w:r w:rsidRPr="009F6ED0">
        <w:rPr>
          <w:rFonts w:ascii="Abadi" w:hAnsi="Abadi" w:cs="Tahoma"/>
          <w:b/>
          <w:sz w:val="21"/>
          <w:szCs w:val="21"/>
        </w:rPr>
        <w:t>Diputada Briseida Anabel Magdaleno González</w:t>
      </w:r>
    </w:p>
    <w:p w14:paraId="06137B61" w14:textId="77777777" w:rsidR="009F6ED0" w:rsidRPr="009F6ED0" w:rsidRDefault="009F6ED0" w:rsidP="00A45594">
      <w:pPr>
        <w:widowControl w:val="0"/>
        <w:jc w:val="both"/>
        <w:rPr>
          <w:rFonts w:ascii="Abadi" w:hAnsi="Abadi" w:cs="Arial"/>
          <w:b/>
          <w:sz w:val="21"/>
          <w:szCs w:val="21"/>
        </w:rPr>
      </w:pPr>
      <w:r w:rsidRPr="009F6ED0">
        <w:rPr>
          <w:rFonts w:ascii="Abadi" w:hAnsi="Abadi" w:cs="Tahoma"/>
          <w:b/>
          <w:sz w:val="21"/>
          <w:szCs w:val="21"/>
        </w:rPr>
        <w:t>Diputada Yulma Rocha Aguilar</w:t>
      </w:r>
    </w:p>
    <w:p w14:paraId="3470E9D8" w14:textId="77777777" w:rsidR="009F6ED0" w:rsidRPr="009F6ED0" w:rsidRDefault="009F6ED0" w:rsidP="00A45594">
      <w:pPr>
        <w:widowControl w:val="0"/>
        <w:jc w:val="both"/>
        <w:rPr>
          <w:rFonts w:ascii="Abadi" w:hAnsi="Abadi" w:cs="Arial"/>
          <w:b/>
          <w:sz w:val="21"/>
          <w:szCs w:val="21"/>
        </w:rPr>
      </w:pPr>
      <w:r w:rsidRPr="009F6ED0">
        <w:rPr>
          <w:rFonts w:ascii="Abadi" w:hAnsi="Abadi" w:cs="Tahoma"/>
          <w:b/>
          <w:sz w:val="21"/>
          <w:szCs w:val="21"/>
          <w:lang w:val="es-MX"/>
        </w:rPr>
        <w:t>Diputada Laura Cristina Márquez Alcalá</w:t>
      </w:r>
    </w:p>
    <w:p w14:paraId="6AC7C062" w14:textId="77777777" w:rsidR="009F6ED0" w:rsidRPr="009F6ED0" w:rsidRDefault="009F6ED0" w:rsidP="00A45594">
      <w:pPr>
        <w:widowControl w:val="0"/>
        <w:jc w:val="both"/>
        <w:rPr>
          <w:rFonts w:ascii="Abadi" w:hAnsi="Abadi" w:cs="Arial"/>
          <w:b/>
          <w:sz w:val="21"/>
          <w:szCs w:val="21"/>
        </w:rPr>
      </w:pPr>
      <w:r w:rsidRPr="009F6ED0">
        <w:rPr>
          <w:rFonts w:ascii="Abadi" w:hAnsi="Abadi" w:cs="Tahoma"/>
          <w:b/>
          <w:sz w:val="21"/>
          <w:szCs w:val="21"/>
        </w:rPr>
        <w:t xml:space="preserve">Diputado Rolando Fortino Alcántar Rojas  </w:t>
      </w:r>
    </w:p>
    <w:p w14:paraId="0C2C634B" w14:textId="77777777" w:rsidR="009F6ED0" w:rsidRPr="009F6ED0" w:rsidRDefault="009F6ED0" w:rsidP="00A45594">
      <w:pPr>
        <w:widowControl w:val="0"/>
        <w:jc w:val="both"/>
        <w:rPr>
          <w:rFonts w:ascii="Abadi" w:hAnsi="Abadi" w:cs="Arial"/>
          <w:b/>
          <w:sz w:val="21"/>
          <w:szCs w:val="21"/>
        </w:rPr>
      </w:pPr>
      <w:r w:rsidRPr="009F6ED0">
        <w:rPr>
          <w:rFonts w:ascii="Abadi" w:hAnsi="Abadi" w:cs="Tahoma"/>
          <w:b/>
          <w:sz w:val="21"/>
          <w:szCs w:val="21"/>
        </w:rPr>
        <w:t>Diputada Alma Edwviges Alcaraz Hernández</w:t>
      </w:r>
    </w:p>
    <w:p w14:paraId="1DE9F91C" w14:textId="6412B0EB" w:rsidR="009F6ED0" w:rsidRDefault="009F6ED0" w:rsidP="00A45594">
      <w:pPr>
        <w:widowControl w:val="0"/>
        <w:jc w:val="both"/>
        <w:rPr>
          <w:rFonts w:ascii="Abadi" w:hAnsi="Abadi" w:cs="Tahoma"/>
          <w:b/>
          <w:sz w:val="21"/>
          <w:szCs w:val="21"/>
          <w:lang w:val="es-MX"/>
        </w:rPr>
      </w:pPr>
      <w:r w:rsidRPr="009F6ED0">
        <w:rPr>
          <w:rFonts w:ascii="Abadi" w:hAnsi="Abadi" w:cs="Tahoma"/>
          <w:b/>
          <w:sz w:val="21"/>
          <w:szCs w:val="21"/>
          <w:lang w:val="es-MX"/>
        </w:rPr>
        <w:t>Diputado Gerardo Fernández González</w:t>
      </w:r>
    </w:p>
    <w:p w14:paraId="2BEBE8AD" w14:textId="1449FC42" w:rsidR="000D39D4" w:rsidRDefault="000D39D4" w:rsidP="00A45594">
      <w:pPr>
        <w:widowControl w:val="0"/>
        <w:jc w:val="both"/>
        <w:rPr>
          <w:rFonts w:ascii="Abadi" w:hAnsi="Abadi" w:cs="Tahoma"/>
          <w:b/>
          <w:sz w:val="21"/>
          <w:szCs w:val="21"/>
          <w:lang w:val="es-MX"/>
        </w:rPr>
      </w:pPr>
    </w:p>
    <w:p w14:paraId="5E7843F5" w14:textId="77777777" w:rsidR="000D39D4" w:rsidRPr="00740C91" w:rsidRDefault="000D39D4" w:rsidP="006035FD">
      <w:pPr>
        <w:pStyle w:val="Prrafodelista"/>
        <w:numPr>
          <w:ilvl w:val="0"/>
          <w:numId w:val="76"/>
        </w:numPr>
        <w:spacing w:after="160" w:line="259" w:lineRule="auto"/>
        <w:ind w:left="0" w:firstLine="0"/>
        <w:contextualSpacing/>
        <w:jc w:val="both"/>
        <w:rPr>
          <w:rFonts w:ascii="Abadi" w:hAnsi="Abadi"/>
          <w:sz w:val="21"/>
          <w:szCs w:val="21"/>
        </w:rPr>
      </w:pPr>
      <w:r w:rsidRPr="00740C91">
        <w:rPr>
          <w:rFonts w:ascii="Abadi" w:hAnsi="Abadi"/>
          <w:b/>
          <w:bCs/>
          <w:sz w:val="21"/>
          <w:szCs w:val="21"/>
        </w:rPr>
        <w:t>El Presidente.-</w:t>
      </w:r>
      <w:r>
        <w:rPr>
          <w:rFonts w:ascii="Abadi" w:hAnsi="Abadi"/>
          <w:sz w:val="21"/>
          <w:szCs w:val="21"/>
        </w:rPr>
        <w:t xml:space="preserve"> </w:t>
      </w:r>
      <w:r w:rsidRPr="00740C91">
        <w:rPr>
          <w:rFonts w:ascii="Abadi" w:hAnsi="Abadi"/>
          <w:sz w:val="21"/>
          <w:szCs w:val="21"/>
        </w:rPr>
        <w:t>En seguida se somete a discusión en lo general el dictamen suscrito por</w:t>
      </w:r>
      <w:r>
        <w:rPr>
          <w:rFonts w:ascii="Abadi" w:hAnsi="Abadi"/>
          <w:sz w:val="21"/>
          <w:szCs w:val="21"/>
        </w:rPr>
        <w:t xml:space="preserve"> </w:t>
      </w:r>
      <w:r w:rsidRPr="00740C91">
        <w:rPr>
          <w:rFonts w:ascii="Abadi" w:hAnsi="Abadi"/>
          <w:sz w:val="21"/>
          <w:szCs w:val="21"/>
        </w:rPr>
        <w:t xml:space="preserve">la </w:t>
      </w:r>
      <w:r>
        <w:rPr>
          <w:rFonts w:ascii="Abadi" w:hAnsi="Abadi"/>
          <w:sz w:val="21"/>
          <w:szCs w:val="21"/>
        </w:rPr>
        <w:t>C</w:t>
      </w:r>
      <w:r w:rsidRPr="00740C91">
        <w:rPr>
          <w:rFonts w:ascii="Abadi" w:hAnsi="Abadi"/>
          <w:sz w:val="21"/>
          <w:szCs w:val="21"/>
        </w:rPr>
        <w:t xml:space="preserve">omisión de </w:t>
      </w:r>
      <w:r>
        <w:rPr>
          <w:rFonts w:ascii="Abadi" w:hAnsi="Abadi"/>
          <w:sz w:val="21"/>
          <w:szCs w:val="21"/>
        </w:rPr>
        <w:t>G</w:t>
      </w:r>
      <w:r w:rsidRPr="00740C91">
        <w:rPr>
          <w:rFonts w:ascii="Abadi" w:hAnsi="Abadi"/>
          <w:sz w:val="21"/>
          <w:szCs w:val="21"/>
        </w:rPr>
        <w:t xml:space="preserve">obernación y </w:t>
      </w:r>
      <w:r>
        <w:rPr>
          <w:rFonts w:ascii="Abadi" w:hAnsi="Abadi"/>
          <w:sz w:val="21"/>
          <w:szCs w:val="21"/>
        </w:rPr>
        <w:t>P</w:t>
      </w:r>
      <w:r w:rsidRPr="00740C91">
        <w:rPr>
          <w:rFonts w:ascii="Abadi" w:hAnsi="Abadi"/>
          <w:sz w:val="21"/>
          <w:szCs w:val="21"/>
        </w:rPr>
        <w:t xml:space="preserve">untos </w:t>
      </w:r>
      <w:r>
        <w:rPr>
          <w:rFonts w:ascii="Abadi" w:hAnsi="Abadi"/>
          <w:sz w:val="21"/>
          <w:szCs w:val="21"/>
        </w:rPr>
        <w:t>C</w:t>
      </w:r>
      <w:r w:rsidRPr="00740C91">
        <w:rPr>
          <w:rFonts w:ascii="Abadi" w:hAnsi="Abadi"/>
          <w:sz w:val="21"/>
          <w:szCs w:val="21"/>
        </w:rPr>
        <w:t>onstitucionales relativo al punto 38 del orden del día.</w:t>
      </w:r>
    </w:p>
    <w:p w14:paraId="46D3F33B" w14:textId="4E9F9655" w:rsidR="000D39D4" w:rsidRDefault="000D39D4" w:rsidP="000D39D4">
      <w:pPr>
        <w:ind w:firstLine="708"/>
        <w:jc w:val="both"/>
        <w:rPr>
          <w:rFonts w:ascii="Abadi" w:hAnsi="Abadi"/>
          <w:sz w:val="21"/>
          <w:szCs w:val="21"/>
        </w:rPr>
      </w:pPr>
      <w:r>
        <w:rPr>
          <w:rFonts w:ascii="Abadi" w:hAnsi="Abadi"/>
          <w:sz w:val="21"/>
          <w:szCs w:val="21"/>
        </w:rPr>
        <w:t>- M</w:t>
      </w:r>
      <w:r w:rsidRPr="006813AA">
        <w:rPr>
          <w:rFonts w:ascii="Abadi" w:hAnsi="Abadi"/>
          <w:sz w:val="21"/>
          <w:szCs w:val="21"/>
        </w:rPr>
        <w:t xml:space="preserve">e permito informar que previamente se ha escrito la diputada María de la </w:t>
      </w:r>
      <w:r>
        <w:rPr>
          <w:rFonts w:ascii="Abadi" w:hAnsi="Abadi"/>
          <w:sz w:val="21"/>
          <w:szCs w:val="21"/>
        </w:rPr>
        <w:t>L</w:t>
      </w:r>
      <w:r w:rsidRPr="006813AA">
        <w:rPr>
          <w:rFonts w:ascii="Abadi" w:hAnsi="Abadi"/>
          <w:sz w:val="21"/>
          <w:szCs w:val="21"/>
        </w:rPr>
        <w:t xml:space="preserve">uz </w:t>
      </w:r>
      <w:r>
        <w:rPr>
          <w:rFonts w:ascii="Abadi" w:hAnsi="Abadi"/>
          <w:sz w:val="21"/>
          <w:szCs w:val="21"/>
        </w:rPr>
        <w:t>H</w:t>
      </w:r>
      <w:r w:rsidRPr="006813AA">
        <w:rPr>
          <w:rFonts w:ascii="Abadi" w:hAnsi="Abadi"/>
          <w:sz w:val="21"/>
          <w:szCs w:val="21"/>
        </w:rPr>
        <w:t xml:space="preserve">ernández </w:t>
      </w:r>
      <w:r>
        <w:rPr>
          <w:rFonts w:ascii="Abadi" w:hAnsi="Abadi"/>
          <w:sz w:val="21"/>
          <w:szCs w:val="21"/>
        </w:rPr>
        <w:t>M</w:t>
      </w:r>
      <w:r w:rsidRPr="006813AA">
        <w:rPr>
          <w:rFonts w:ascii="Abadi" w:hAnsi="Abadi"/>
          <w:sz w:val="21"/>
          <w:szCs w:val="21"/>
        </w:rPr>
        <w:t>artínez para hablar a favor</w:t>
      </w:r>
      <w:r>
        <w:rPr>
          <w:rFonts w:ascii="Abadi" w:hAnsi="Abadi"/>
          <w:sz w:val="21"/>
          <w:szCs w:val="21"/>
        </w:rPr>
        <w:t>.</w:t>
      </w:r>
    </w:p>
    <w:p w14:paraId="5B571F82" w14:textId="77777777" w:rsidR="006035FD" w:rsidRDefault="006035FD" w:rsidP="000D39D4">
      <w:pPr>
        <w:ind w:firstLine="708"/>
        <w:jc w:val="both"/>
        <w:rPr>
          <w:rFonts w:ascii="Abadi" w:hAnsi="Abadi"/>
          <w:sz w:val="21"/>
          <w:szCs w:val="21"/>
        </w:rPr>
      </w:pPr>
    </w:p>
    <w:p w14:paraId="4C27077C" w14:textId="386095E5" w:rsidR="000D39D4" w:rsidRDefault="000D39D4" w:rsidP="000D39D4">
      <w:pPr>
        <w:ind w:firstLine="708"/>
        <w:jc w:val="both"/>
        <w:rPr>
          <w:rFonts w:ascii="Abadi" w:hAnsi="Abadi"/>
          <w:sz w:val="21"/>
          <w:szCs w:val="21"/>
        </w:rPr>
      </w:pPr>
      <w:r>
        <w:rPr>
          <w:rFonts w:ascii="Abadi" w:hAnsi="Abadi"/>
          <w:sz w:val="21"/>
          <w:szCs w:val="21"/>
        </w:rPr>
        <w:t>- S</w:t>
      </w:r>
      <w:r w:rsidRPr="006813AA">
        <w:rPr>
          <w:rFonts w:ascii="Abadi" w:hAnsi="Abadi"/>
          <w:sz w:val="21"/>
          <w:szCs w:val="21"/>
        </w:rPr>
        <w:t>i alguna otra diputada o algún otro diputado de</w:t>
      </w:r>
      <w:r>
        <w:rPr>
          <w:rFonts w:ascii="Abadi" w:hAnsi="Abadi"/>
          <w:sz w:val="21"/>
          <w:szCs w:val="21"/>
        </w:rPr>
        <w:t xml:space="preserve">sea hacer uso de la palabra en pro o en contra manifiéstenlo </w:t>
      </w:r>
      <w:r w:rsidRPr="006813AA">
        <w:rPr>
          <w:rFonts w:ascii="Abadi" w:hAnsi="Abadi"/>
          <w:sz w:val="21"/>
          <w:szCs w:val="21"/>
        </w:rPr>
        <w:t xml:space="preserve">indicando </w:t>
      </w:r>
      <w:r>
        <w:rPr>
          <w:rFonts w:ascii="Abadi" w:hAnsi="Abadi"/>
          <w:sz w:val="21"/>
          <w:szCs w:val="21"/>
        </w:rPr>
        <w:t xml:space="preserve">el </w:t>
      </w:r>
      <w:r w:rsidRPr="006813AA">
        <w:rPr>
          <w:rFonts w:ascii="Abadi" w:hAnsi="Abadi"/>
          <w:sz w:val="21"/>
          <w:szCs w:val="21"/>
        </w:rPr>
        <w:t>sentido de su participación</w:t>
      </w:r>
      <w:r>
        <w:rPr>
          <w:rFonts w:ascii="Abadi" w:hAnsi="Abadi"/>
          <w:sz w:val="21"/>
          <w:szCs w:val="21"/>
        </w:rPr>
        <w:t>.</w:t>
      </w:r>
    </w:p>
    <w:p w14:paraId="6C633998" w14:textId="77777777" w:rsidR="006035FD" w:rsidRDefault="006035FD" w:rsidP="000D39D4">
      <w:pPr>
        <w:ind w:firstLine="708"/>
        <w:jc w:val="both"/>
        <w:rPr>
          <w:rFonts w:ascii="Abadi" w:hAnsi="Abadi"/>
          <w:sz w:val="21"/>
          <w:szCs w:val="21"/>
        </w:rPr>
      </w:pPr>
    </w:p>
    <w:p w14:paraId="1056ECDA" w14:textId="35A58065" w:rsidR="000D39D4" w:rsidRDefault="000D39D4" w:rsidP="000D39D4">
      <w:pPr>
        <w:ind w:firstLine="708"/>
        <w:jc w:val="both"/>
        <w:rPr>
          <w:rFonts w:ascii="Abadi" w:hAnsi="Abadi"/>
          <w:sz w:val="21"/>
          <w:szCs w:val="21"/>
        </w:rPr>
      </w:pPr>
      <w:r>
        <w:rPr>
          <w:rFonts w:ascii="Abadi" w:hAnsi="Abadi"/>
          <w:sz w:val="21"/>
          <w:szCs w:val="21"/>
        </w:rPr>
        <w:t xml:space="preserve">- No </w:t>
      </w:r>
      <w:r w:rsidRPr="006813AA">
        <w:rPr>
          <w:rFonts w:ascii="Abadi" w:hAnsi="Abadi"/>
          <w:sz w:val="21"/>
          <w:szCs w:val="21"/>
        </w:rPr>
        <w:t xml:space="preserve">habiendo participaciones se concede el </w:t>
      </w:r>
      <w:r>
        <w:rPr>
          <w:rFonts w:ascii="Abadi" w:hAnsi="Abadi"/>
          <w:sz w:val="21"/>
          <w:szCs w:val="21"/>
        </w:rPr>
        <w:t>u</w:t>
      </w:r>
      <w:r w:rsidRPr="006813AA">
        <w:rPr>
          <w:rFonts w:ascii="Abadi" w:hAnsi="Abadi"/>
          <w:sz w:val="21"/>
          <w:szCs w:val="21"/>
        </w:rPr>
        <w:t>so de la palabra la diputada María de la luz Hernández Martínez</w:t>
      </w:r>
      <w:r>
        <w:rPr>
          <w:rFonts w:ascii="Abadi" w:hAnsi="Abadi"/>
          <w:sz w:val="21"/>
          <w:szCs w:val="21"/>
        </w:rPr>
        <w:t xml:space="preserve">, </w:t>
      </w:r>
      <w:r w:rsidRPr="006813AA">
        <w:rPr>
          <w:rFonts w:ascii="Abadi" w:hAnsi="Abadi"/>
          <w:sz w:val="21"/>
          <w:szCs w:val="21"/>
        </w:rPr>
        <w:t>hasta por 10 minutos</w:t>
      </w:r>
      <w:r>
        <w:rPr>
          <w:rFonts w:ascii="Abadi" w:hAnsi="Abadi"/>
          <w:sz w:val="21"/>
          <w:szCs w:val="21"/>
        </w:rPr>
        <w:t>.</w:t>
      </w:r>
    </w:p>
    <w:p w14:paraId="293B660E" w14:textId="775C8A7A" w:rsidR="006035FD" w:rsidRDefault="006035FD" w:rsidP="000D39D4">
      <w:pPr>
        <w:ind w:firstLine="708"/>
        <w:jc w:val="both"/>
        <w:rPr>
          <w:rFonts w:ascii="Abadi" w:hAnsi="Abadi"/>
          <w:sz w:val="21"/>
          <w:szCs w:val="21"/>
        </w:rPr>
      </w:pPr>
    </w:p>
    <w:p w14:paraId="71C921A3" w14:textId="0392DF13" w:rsidR="000D39D4" w:rsidRDefault="006035FD" w:rsidP="000D39D4">
      <w:pPr>
        <w:jc w:val="both"/>
        <w:rPr>
          <w:rFonts w:ascii="Abadi" w:hAnsi="Abadi"/>
          <w:b/>
          <w:bCs/>
          <w:sz w:val="21"/>
          <w:szCs w:val="21"/>
        </w:rPr>
      </w:pPr>
      <w:r>
        <w:rPr>
          <w:noProof/>
        </w:rPr>
        <w:drawing>
          <wp:anchor distT="0" distB="0" distL="114300" distR="114300" simplePos="0" relativeHeight="251706368" behindDoc="1" locked="0" layoutInCell="1" allowOverlap="1" wp14:anchorId="1A3EDEC1" wp14:editId="065E35BE">
            <wp:simplePos x="0" y="0"/>
            <wp:positionH relativeFrom="column">
              <wp:posOffset>370936</wp:posOffset>
            </wp:positionH>
            <wp:positionV relativeFrom="paragraph">
              <wp:posOffset>710888</wp:posOffset>
            </wp:positionV>
            <wp:extent cx="1710605" cy="875581"/>
            <wp:effectExtent l="247650" t="228600" r="252095" b="820420"/>
            <wp:wrapTight wrapText="bothSides">
              <wp:wrapPolygon edited="0">
                <wp:start x="-3128" y="-5643"/>
                <wp:lineTo x="-3128" y="41382"/>
                <wp:lineTo x="24544" y="41382"/>
                <wp:lineTo x="24544" y="-5643"/>
                <wp:lineTo x="-3128" y="-5643"/>
              </wp:wrapPolygon>
            </wp:wrapTight>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extLst>
                        <a:ext uri="{28A0092B-C50C-407E-A947-70E740481C1C}">
                          <a14:useLocalDpi xmlns:a14="http://schemas.microsoft.com/office/drawing/2010/main" val="0"/>
                        </a:ext>
                      </a:extLst>
                    </a:blip>
                    <a:srcRect b="8997"/>
                    <a:stretch/>
                  </pic:blipFill>
                  <pic:spPr bwMode="auto">
                    <a:xfrm>
                      <a:off x="0" y="0"/>
                      <a:ext cx="1710605" cy="875581"/>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r w:rsidR="000D39D4" w:rsidRPr="00792178">
        <w:rPr>
          <w:rFonts w:ascii="Abadi" w:hAnsi="Abadi"/>
          <w:b/>
          <w:bCs/>
          <w:sz w:val="21"/>
          <w:szCs w:val="21"/>
        </w:rPr>
        <w:t>(Sube a tribuna la diputada Ma. de la luz Hernández Martínez, para hablar a favor del dictamen</w:t>
      </w:r>
      <w:r w:rsidR="000D39D4">
        <w:rPr>
          <w:rFonts w:ascii="Abadi" w:hAnsi="Abadi"/>
          <w:b/>
          <w:bCs/>
          <w:sz w:val="21"/>
          <w:szCs w:val="21"/>
        </w:rPr>
        <w:t xml:space="preserve"> en referencia</w:t>
      </w:r>
      <w:r w:rsidR="000D39D4" w:rsidRPr="00792178">
        <w:rPr>
          <w:rFonts w:ascii="Abadi" w:hAnsi="Abadi"/>
          <w:b/>
          <w:bCs/>
          <w:sz w:val="21"/>
          <w:szCs w:val="21"/>
        </w:rPr>
        <w:t>)</w:t>
      </w:r>
    </w:p>
    <w:p w14:paraId="6A7123AF" w14:textId="4C3589D1" w:rsidR="000D39D4" w:rsidRPr="00792178" w:rsidRDefault="000D39D4" w:rsidP="000D39D4">
      <w:pPr>
        <w:jc w:val="both"/>
        <w:rPr>
          <w:rFonts w:ascii="Abadi" w:hAnsi="Abadi"/>
          <w:b/>
          <w:bCs/>
          <w:sz w:val="21"/>
          <w:szCs w:val="21"/>
        </w:rPr>
      </w:pPr>
    </w:p>
    <w:p w14:paraId="1172F07B" w14:textId="7B345614" w:rsidR="000D39D4" w:rsidRDefault="000D39D4" w:rsidP="000D39D4">
      <w:pPr>
        <w:jc w:val="both"/>
        <w:rPr>
          <w:rFonts w:ascii="Abadi" w:hAnsi="Abadi"/>
          <w:sz w:val="21"/>
          <w:szCs w:val="21"/>
        </w:rPr>
      </w:pPr>
      <w:r>
        <w:rPr>
          <w:rFonts w:ascii="Abadi" w:hAnsi="Abadi"/>
          <w:sz w:val="21"/>
          <w:szCs w:val="21"/>
        </w:rPr>
        <w:t>- M</w:t>
      </w:r>
      <w:r w:rsidRPr="006813AA">
        <w:rPr>
          <w:rFonts w:ascii="Abadi" w:hAnsi="Abadi"/>
          <w:sz w:val="21"/>
          <w:szCs w:val="21"/>
        </w:rPr>
        <w:t>uy buenas tardes a todas y todos saludo con mucho gusto a mis compañeras diputadas en mis compañeros diputados a todas y todos los que nos siguen a través de las redes sociales a los representantes de los medios de comunicación con su permiso Presidente</w:t>
      </w:r>
      <w:r>
        <w:rPr>
          <w:rFonts w:ascii="Abadi" w:hAnsi="Abadi"/>
          <w:sz w:val="21"/>
          <w:szCs w:val="21"/>
        </w:rPr>
        <w:t>.</w:t>
      </w:r>
    </w:p>
    <w:p w14:paraId="21D73694" w14:textId="77777777" w:rsidR="006035FD" w:rsidRDefault="006035FD" w:rsidP="000D39D4">
      <w:pPr>
        <w:jc w:val="both"/>
        <w:rPr>
          <w:rFonts w:ascii="Abadi" w:hAnsi="Abadi"/>
          <w:sz w:val="21"/>
          <w:szCs w:val="21"/>
        </w:rPr>
      </w:pPr>
    </w:p>
    <w:p w14:paraId="0180547C" w14:textId="5855823D" w:rsidR="000D39D4" w:rsidRDefault="000D39D4" w:rsidP="000D39D4">
      <w:pPr>
        <w:jc w:val="both"/>
        <w:rPr>
          <w:rFonts w:ascii="Abadi" w:hAnsi="Abadi"/>
          <w:sz w:val="21"/>
          <w:szCs w:val="21"/>
        </w:rPr>
      </w:pPr>
      <w:r>
        <w:rPr>
          <w:rFonts w:ascii="Abadi" w:hAnsi="Abadi"/>
          <w:sz w:val="21"/>
          <w:szCs w:val="21"/>
        </w:rPr>
        <w:t>- P</w:t>
      </w:r>
      <w:r w:rsidRPr="006813AA">
        <w:rPr>
          <w:rFonts w:ascii="Abadi" w:hAnsi="Abadi"/>
          <w:sz w:val="21"/>
          <w:szCs w:val="21"/>
        </w:rPr>
        <w:t xml:space="preserve">ara contextualizar hoy se nos pone a consideración estos </w:t>
      </w:r>
      <w:r>
        <w:rPr>
          <w:rFonts w:ascii="Abadi" w:hAnsi="Abadi"/>
          <w:sz w:val="21"/>
          <w:szCs w:val="21"/>
        </w:rPr>
        <w:t>dos</w:t>
      </w:r>
      <w:r w:rsidRPr="006813AA">
        <w:rPr>
          <w:rFonts w:ascii="Abadi" w:hAnsi="Abadi"/>
          <w:sz w:val="21"/>
          <w:szCs w:val="21"/>
        </w:rPr>
        <w:t xml:space="preserve"> dictámenes me centraré en destacar el dictamen que refiere a los cuidados preventivos de la salud de las personas trabajadoras al servicio del estado y sus municipios</w:t>
      </w:r>
      <w:r>
        <w:rPr>
          <w:rFonts w:ascii="Abadi" w:hAnsi="Abadi"/>
          <w:sz w:val="21"/>
          <w:szCs w:val="21"/>
        </w:rPr>
        <w:t>.</w:t>
      </w:r>
    </w:p>
    <w:p w14:paraId="63723A05" w14:textId="77777777" w:rsidR="006035FD" w:rsidRDefault="006035FD" w:rsidP="000D39D4">
      <w:pPr>
        <w:jc w:val="both"/>
        <w:rPr>
          <w:rFonts w:ascii="Abadi" w:hAnsi="Abadi"/>
          <w:sz w:val="21"/>
          <w:szCs w:val="21"/>
        </w:rPr>
      </w:pPr>
    </w:p>
    <w:p w14:paraId="3335DC8F" w14:textId="0434C914" w:rsidR="000D39D4" w:rsidRDefault="000D39D4" w:rsidP="000D39D4">
      <w:pPr>
        <w:jc w:val="both"/>
        <w:rPr>
          <w:rFonts w:ascii="Abadi" w:hAnsi="Abadi"/>
          <w:sz w:val="21"/>
          <w:szCs w:val="21"/>
        </w:rPr>
      </w:pPr>
      <w:r>
        <w:rPr>
          <w:rFonts w:ascii="Abadi" w:hAnsi="Abadi"/>
          <w:sz w:val="21"/>
          <w:szCs w:val="21"/>
        </w:rPr>
        <w:t>- P</w:t>
      </w:r>
      <w:r w:rsidRPr="006813AA">
        <w:rPr>
          <w:rFonts w:ascii="Abadi" w:hAnsi="Abadi"/>
          <w:sz w:val="21"/>
          <w:szCs w:val="21"/>
        </w:rPr>
        <w:t xml:space="preserve">rimeramente quiero destacar y agradecer a las y los legisladores que integran la </w:t>
      </w:r>
      <w:r>
        <w:rPr>
          <w:rFonts w:ascii="Abadi" w:hAnsi="Abadi"/>
          <w:sz w:val="21"/>
          <w:szCs w:val="21"/>
        </w:rPr>
        <w:t>C</w:t>
      </w:r>
      <w:r w:rsidRPr="006813AA">
        <w:rPr>
          <w:rFonts w:ascii="Abadi" w:hAnsi="Abadi"/>
          <w:sz w:val="21"/>
          <w:szCs w:val="21"/>
        </w:rPr>
        <w:t xml:space="preserve">omisión de </w:t>
      </w:r>
      <w:r>
        <w:rPr>
          <w:rFonts w:ascii="Abadi" w:hAnsi="Abadi"/>
          <w:sz w:val="21"/>
          <w:szCs w:val="21"/>
        </w:rPr>
        <w:t>G</w:t>
      </w:r>
      <w:r w:rsidRPr="006813AA">
        <w:rPr>
          <w:rFonts w:ascii="Abadi" w:hAnsi="Abadi"/>
          <w:sz w:val="21"/>
          <w:szCs w:val="21"/>
        </w:rPr>
        <w:t xml:space="preserve">obernación y </w:t>
      </w:r>
      <w:r>
        <w:rPr>
          <w:rFonts w:ascii="Abadi" w:hAnsi="Abadi"/>
          <w:sz w:val="21"/>
          <w:szCs w:val="21"/>
        </w:rPr>
        <w:t>P</w:t>
      </w:r>
      <w:r w:rsidRPr="006813AA">
        <w:rPr>
          <w:rFonts w:ascii="Abadi" w:hAnsi="Abadi"/>
          <w:sz w:val="21"/>
          <w:szCs w:val="21"/>
        </w:rPr>
        <w:t xml:space="preserve">untos </w:t>
      </w:r>
      <w:r>
        <w:rPr>
          <w:rFonts w:ascii="Abadi" w:hAnsi="Abadi"/>
          <w:sz w:val="21"/>
          <w:szCs w:val="21"/>
        </w:rPr>
        <w:t>C</w:t>
      </w:r>
      <w:r w:rsidRPr="006813AA">
        <w:rPr>
          <w:rFonts w:ascii="Abadi" w:hAnsi="Abadi"/>
          <w:sz w:val="21"/>
          <w:szCs w:val="21"/>
        </w:rPr>
        <w:t xml:space="preserve">onstitucionales por su compromiso y aportaciones para hacer </w:t>
      </w:r>
      <w:r>
        <w:rPr>
          <w:rFonts w:ascii="Abadi" w:hAnsi="Abadi"/>
          <w:sz w:val="21"/>
          <w:szCs w:val="21"/>
        </w:rPr>
        <w:t>a</w:t>
      </w:r>
      <w:r w:rsidRPr="006813AA">
        <w:rPr>
          <w:rFonts w:ascii="Abadi" w:hAnsi="Abadi"/>
          <w:sz w:val="21"/>
          <w:szCs w:val="21"/>
        </w:rPr>
        <w:t>justes a la propuesta original y atender las observaciones de la mesa de trabajo</w:t>
      </w:r>
      <w:r>
        <w:rPr>
          <w:rFonts w:ascii="Abadi" w:hAnsi="Abadi"/>
          <w:sz w:val="21"/>
          <w:szCs w:val="21"/>
        </w:rPr>
        <w:t xml:space="preserve">; </w:t>
      </w:r>
      <w:r w:rsidRPr="006813AA">
        <w:rPr>
          <w:rFonts w:ascii="Abadi" w:hAnsi="Abadi"/>
          <w:sz w:val="21"/>
          <w:szCs w:val="21"/>
        </w:rPr>
        <w:t xml:space="preserve">así de quienes también participaron activamente en el análisis que son los representantes del </w:t>
      </w:r>
      <w:r>
        <w:rPr>
          <w:rFonts w:ascii="Abadi" w:hAnsi="Abadi"/>
          <w:sz w:val="21"/>
          <w:szCs w:val="21"/>
        </w:rPr>
        <w:t>P</w:t>
      </w:r>
      <w:r w:rsidRPr="006813AA">
        <w:rPr>
          <w:rFonts w:ascii="Abadi" w:hAnsi="Abadi"/>
          <w:sz w:val="21"/>
          <w:szCs w:val="21"/>
        </w:rPr>
        <w:t xml:space="preserve">oder </w:t>
      </w:r>
      <w:r>
        <w:rPr>
          <w:rFonts w:ascii="Abadi" w:hAnsi="Abadi"/>
          <w:sz w:val="21"/>
          <w:szCs w:val="21"/>
        </w:rPr>
        <w:t>E</w:t>
      </w:r>
      <w:r w:rsidRPr="006813AA">
        <w:rPr>
          <w:rFonts w:ascii="Abadi" w:hAnsi="Abadi"/>
          <w:sz w:val="21"/>
          <w:szCs w:val="21"/>
        </w:rPr>
        <w:t xml:space="preserve">jecutivo del </w:t>
      </w:r>
      <w:r>
        <w:rPr>
          <w:rFonts w:ascii="Abadi" w:hAnsi="Abadi"/>
          <w:sz w:val="21"/>
          <w:szCs w:val="21"/>
        </w:rPr>
        <w:t>P</w:t>
      </w:r>
      <w:r w:rsidRPr="006813AA">
        <w:rPr>
          <w:rFonts w:ascii="Abadi" w:hAnsi="Abadi"/>
          <w:sz w:val="21"/>
          <w:szCs w:val="21"/>
        </w:rPr>
        <w:t xml:space="preserve">oder </w:t>
      </w:r>
      <w:r>
        <w:rPr>
          <w:rFonts w:ascii="Abadi" w:hAnsi="Abadi"/>
          <w:sz w:val="21"/>
          <w:szCs w:val="21"/>
        </w:rPr>
        <w:t>J</w:t>
      </w:r>
      <w:r w:rsidRPr="006813AA">
        <w:rPr>
          <w:rFonts w:ascii="Abadi" w:hAnsi="Abadi"/>
          <w:sz w:val="21"/>
          <w:szCs w:val="21"/>
        </w:rPr>
        <w:t>udicial y de los organismos autónomos reconocidos constitucionalmente así como las áreas institucionales del congreso con los cuales tuve la oportunidad de platicar e intercambiar puntos de vista en las mesas de trabajo</w:t>
      </w:r>
      <w:r>
        <w:rPr>
          <w:rFonts w:ascii="Abadi" w:hAnsi="Abadi"/>
          <w:sz w:val="21"/>
          <w:szCs w:val="21"/>
        </w:rPr>
        <w:t>,</w:t>
      </w:r>
      <w:r w:rsidRPr="006813AA">
        <w:rPr>
          <w:rFonts w:ascii="Abadi" w:hAnsi="Abadi"/>
          <w:sz w:val="21"/>
          <w:szCs w:val="21"/>
        </w:rPr>
        <w:t xml:space="preserve"> les reitero a todos ellos mi agradecimiento</w:t>
      </w:r>
      <w:r>
        <w:rPr>
          <w:rFonts w:ascii="Abadi" w:hAnsi="Abadi"/>
          <w:sz w:val="21"/>
          <w:szCs w:val="21"/>
        </w:rPr>
        <w:t>.</w:t>
      </w:r>
    </w:p>
    <w:p w14:paraId="2747AFEC" w14:textId="77777777" w:rsidR="006035FD" w:rsidRDefault="006035FD" w:rsidP="000D39D4">
      <w:pPr>
        <w:jc w:val="both"/>
        <w:rPr>
          <w:rFonts w:ascii="Abadi" w:hAnsi="Abadi"/>
          <w:sz w:val="21"/>
          <w:szCs w:val="21"/>
        </w:rPr>
      </w:pPr>
    </w:p>
    <w:p w14:paraId="345B26AE" w14:textId="7812BDA8" w:rsidR="000D39D4" w:rsidRDefault="000D39D4" w:rsidP="000D39D4">
      <w:pPr>
        <w:jc w:val="both"/>
        <w:rPr>
          <w:rFonts w:ascii="Abadi" w:hAnsi="Abadi"/>
          <w:sz w:val="21"/>
          <w:szCs w:val="21"/>
        </w:rPr>
      </w:pPr>
      <w:r>
        <w:rPr>
          <w:rFonts w:ascii="Abadi" w:hAnsi="Abadi"/>
          <w:sz w:val="21"/>
          <w:szCs w:val="21"/>
        </w:rPr>
        <w:t>- ¡M</w:t>
      </w:r>
      <w:r w:rsidRPr="006813AA">
        <w:rPr>
          <w:rFonts w:ascii="Abadi" w:hAnsi="Abadi"/>
          <w:sz w:val="21"/>
          <w:szCs w:val="21"/>
        </w:rPr>
        <w:t>ás vale prevenir que curar</w:t>
      </w:r>
      <w:r>
        <w:rPr>
          <w:rFonts w:ascii="Abadi" w:hAnsi="Abadi"/>
          <w:sz w:val="21"/>
          <w:szCs w:val="21"/>
        </w:rPr>
        <w:t>!</w:t>
      </w:r>
      <w:r w:rsidRPr="006813AA">
        <w:rPr>
          <w:rFonts w:ascii="Abadi" w:hAnsi="Abadi"/>
          <w:sz w:val="21"/>
          <w:szCs w:val="21"/>
        </w:rPr>
        <w:t xml:space="preserve"> este es precisamente el enfoque del dictamen que hoy nos ocupa</w:t>
      </w:r>
      <w:r>
        <w:rPr>
          <w:rFonts w:ascii="Abadi" w:hAnsi="Abadi"/>
          <w:sz w:val="21"/>
          <w:szCs w:val="21"/>
        </w:rPr>
        <w:t>,</w:t>
      </w:r>
      <w:r w:rsidRPr="006813AA">
        <w:rPr>
          <w:rFonts w:ascii="Abadi" w:hAnsi="Abadi"/>
          <w:sz w:val="21"/>
          <w:szCs w:val="21"/>
        </w:rPr>
        <w:t xml:space="preserve"> esta frase pone de relieve la importancia de su voto a favor diputadas y diputados la medicina preventiva como es de su conocimiento se centra en personas sanas y cuyo objetivo es optimizar estrategias para preservar promover la salud prevenir la enfermedad y facilitar el diagnóstico precoz y el tratamiento</w:t>
      </w:r>
      <w:r>
        <w:rPr>
          <w:rFonts w:ascii="Abadi" w:hAnsi="Abadi"/>
          <w:sz w:val="21"/>
          <w:szCs w:val="21"/>
        </w:rPr>
        <w:t>,</w:t>
      </w:r>
      <w:r w:rsidRPr="006813AA">
        <w:rPr>
          <w:rFonts w:ascii="Abadi" w:hAnsi="Abadi"/>
          <w:sz w:val="21"/>
          <w:szCs w:val="21"/>
        </w:rPr>
        <w:t xml:space="preserve"> de acuerdo con la organización mundial de la salud por cada dólar invertido en aumentar medidas de prevención se obtendría un beneficio para la sociedad de aproximadamente 7 </w:t>
      </w:r>
      <w:r>
        <w:rPr>
          <w:rFonts w:ascii="Abadi" w:hAnsi="Abadi"/>
          <w:sz w:val="21"/>
          <w:szCs w:val="21"/>
        </w:rPr>
        <w:t xml:space="preserve">dólares, </w:t>
      </w:r>
      <w:r w:rsidRPr="006813AA">
        <w:rPr>
          <w:rFonts w:ascii="Abadi" w:hAnsi="Abadi"/>
          <w:sz w:val="21"/>
          <w:szCs w:val="21"/>
        </w:rPr>
        <w:t>derivado de un aumento del empleo productividad y esperanza de vida</w:t>
      </w:r>
      <w:r>
        <w:rPr>
          <w:rFonts w:ascii="Abadi" w:hAnsi="Abadi"/>
          <w:sz w:val="21"/>
          <w:szCs w:val="21"/>
        </w:rPr>
        <w:t>.</w:t>
      </w:r>
    </w:p>
    <w:p w14:paraId="0202DB7C" w14:textId="77777777" w:rsidR="006035FD" w:rsidRDefault="006035FD" w:rsidP="000D39D4">
      <w:pPr>
        <w:jc w:val="both"/>
        <w:rPr>
          <w:rFonts w:ascii="Abadi" w:hAnsi="Abadi"/>
          <w:sz w:val="21"/>
          <w:szCs w:val="21"/>
        </w:rPr>
      </w:pPr>
    </w:p>
    <w:p w14:paraId="27E7A031" w14:textId="42AAC47E" w:rsidR="000D39D4" w:rsidRDefault="000D39D4" w:rsidP="000D39D4">
      <w:pPr>
        <w:jc w:val="both"/>
        <w:rPr>
          <w:rFonts w:ascii="Abadi" w:hAnsi="Abadi"/>
          <w:sz w:val="21"/>
          <w:szCs w:val="21"/>
        </w:rPr>
      </w:pPr>
      <w:r>
        <w:rPr>
          <w:rFonts w:ascii="Abadi" w:hAnsi="Abadi"/>
          <w:sz w:val="21"/>
          <w:szCs w:val="21"/>
        </w:rPr>
        <w:t>- L</w:t>
      </w:r>
      <w:r w:rsidRPr="006813AA">
        <w:rPr>
          <w:rFonts w:ascii="Abadi" w:hAnsi="Abadi"/>
          <w:sz w:val="21"/>
          <w:szCs w:val="21"/>
        </w:rPr>
        <w:t>a iniciativa que hoy se dictamina tiene precisamente esos propósitos específicamente para tomar las debidas precauciones</w:t>
      </w:r>
      <w:r>
        <w:rPr>
          <w:rFonts w:ascii="Abadi" w:hAnsi="Abadi"/>
          <w:sz w:val="21"/>
          <w:szCs w:val="21"/>
        </w:rPr>
        <w:t>,</w:t>
      </w:r>
      <w:r w:rsidRPr="006813AA">
        <w:rPr>
          <w:rFonts w:ascii="Abadi" w:hAnsi="Abadi"/>
          <w:sz w:val="21"/>
          <w:szCs w:val="21"/>
        </w:rPr>
        <w:t xml:space="preserve"> advertir peligros</w:t>
      </w:r>
      <w:r>
        <w:rPr>
          <w:rFonts w:ascii="Abadi" w:hAnsi="Abadi"/>
          <w:sz w:val="21"/>
          <w:szCs w:val="21"/>
        </w:rPr>
        <w:t>,</w:t>
      </w:r>
      <w:r w:rsidRPr="006813AA">
        <w:rPr>
          <w:rFonts w:ascii="Abadi" w:hAnsi="Abadi"/>
          <w:sz w:val="21"/>
          <w:szCs w:val="21"/>
        </w:rPr>
        <w:t xml:space="preserve"> para tomar decisiones que protejan la salud de las personas servidores públicos</w:t>
      </w:r>
      <w:r>
        <w:rPr>
          <w:rFonts w:ascii="Abadi" w:hAnsi="Abadi"/>
          <w:sz w:val="21"/>
          <w:szCs w:val="21"/>
        </w:rPr>
        <w:t>,</w:t>
      </w:r>
      <w:r w:rsidRPr="006813AA">
        <w:rPr>
          <w:rFonts w:ascii="Abadi" w:hAnsi="Abadi"/>
          <w:sz w:val="21"/>
          <w:szCs w:val="21"/>
        </w:rPr>
        <w:t xml:space="preserve"> la protección de la salud es un derecho social y universal además es un elemento esencial para que el estado pueda sentar las bases para eliminar la desigualdad existente entre los miembros de una sociedad</w:t>
      </w:r>
      <w:r>
        <w:rPr>
          <w:rFonts w:ascii="Abadi" w:hAnsi="Abadi"/>
          <w:sz w:val="21"/>
          <w:szCs w:val="21"/>
        </w:rPr>
        <w:t>.</w:t>
      </w:r>
    </w:p>
    <w:p w14:paraId="2C40E234" w14:textId="77777777" w:rsidR="006035FD" w:rsidRDefault="006035FD" w:rsidP="000D39D4">
      <w:pPr>
        <w:jc w:val="both"/>
        <w:rPr>
          <w:rFonts w:ascii="Abadi" w:hAnsi="Abadi"/>
          <w:sz w:val="21"/>
          <w:szCs w:val="21"/>
        </w:rPr>
      </w:pPr>
    </w:p>
    <w:p w14:paraId="7BF931C1" w14:textId="5032B9DC" w:rsidR="000D39D4" w:rsidRDefault="000D39D4" w:rsidP="000D39D4">
      <w:pPr>
        <w:jc w:val="both"/>
        <w:rPr>
          <w:rFonts w:ascii="Abadi" w:hAnsi="Abadi"/>
          <w:sz w:val="21"/>
          <w:szCs w:val="21"/>
        </w:rPr>
      </w:pPr>
      <w:r>
        <w:rPr>
          <w:rFonts w:ascii="Abadi" w:hAnsi="Abadi"/>
          <w:sz w:val="21"/>
          <w:szCs w:val="21"/>
        </w:rPr>
        <w:t>- E</w:t>
      </w:r>
      <w:r w:rsidRPr="006813AA">
        <w:rPr>
          <w:rFonts w:ascii="Abadi" w:hAnsi="Abadi"/>
          <w:sz w:val="21"/>
          <w:szCs w:val="21"/>
        </w:rPr>
        <w:t>s por lo anterior que para acción nacional la prevención de cualquier enfermedad es una estrategia que se hace efectiva en la atención integral de las personas por la presente reforma se potencializa la prevención eso implica establecer normas no solamente para advertir la aparición de una enfermedad sino para la reducción de factores de riesgo así también para detener su avance y atenuar sus consecuencias una vez restablecido</w:t>
      </w:r>
      <w:r>
        <w:rPr>
          <w:rFonts w:ascii="Abadi" w:hAnsi="Abadi"/>
          <w:sz w:val="21"/>
          <w:szCs w:val="21"/>
        </w:rPr>
        <w:t>.</w:t>
      </w:r>
    </w:p>
    <w:p w14:paraId="45110603" w14:textId="77777777" w:rsidR="006035FD" w:rsidRDefault="006035FD" w:rsidP="000D39D4">
      <w:pPr>
        <w:jc w:val="both"/>
        <w:rPr>
          <w:rFonts w:ascii="Abadi" w:hAnsi="Abadi"/>
          <w:sz w:val="21"/>
          <w:szCs w:val="21"/>
        </w:rPr>
      </w:pPr>
    </w:p>
    <w:p w14:paraId="21F6B948" w14:textId="392079CE" w:rsidR="000D39D4" w:rsidRDefault="000D39D4" w:rsidP="000D39D4">
      <w:pPr>
        <w:jc w:val="both"/>
        <w:rPr>
          <w:rFonts w:ascii="Abadi" w:hAnsi="Abadi"/>
          <w:sz w:val="21"/>
          <w:szCs w:val="21"/>
        </w:rPr>
      </w:pPr>
      <w:r>
        <w:rPr>
          <w:rFonts w:ascii="Abadi" w:hAnsi="Abadi"/>
          <w:sz w:val="21"/>
          <w:szCs w:val="21"/>
        </w:rPr>
        <w:t>- E</w:t>
      </w:r>
      <w:r w:rsidRPr="006813AA">
        <w:rPr>
          <w:rFonts w:ascii="Abadi" w:hAnsi="Abadi"/>
          <w:sz w:val="21"/>
          <w:szCs w:val="21"/>
        </w:rPr>
        <w:t>n este contexto</w:t>
      </w:r>
      <w:r>
        <w:rPr>
          <w:rFonts w:ascii="Abadi" w:hAnsi="Abadi"/>
          <w:sz w:val="21"/>
          <w:szCs w:val="21"/>
        </w:rPr>
        <w:t>,</w:t>
      </w:r>
      <w:r w:rsidRPr="006813AA">
        <w:rPr>
          <w:rFonts w:ascii="Abadi" w:hAnsi="Abadi"/>
          <w:sz w:val="21"/>
          <w:szCs w:val="21"/>
        </w:rPr>
        <w:t xml:space="preserve"> su voto a favor implica facilitar a las personas trabajadoras al servicio del estado y los municipios establecer la prevención el diagnóstico temprano la captación oportuna y el tratamiento adecuado como acciones esenciales para el control de la enfermedad de ahí la relevancia de la captación temprana de los casos y el control periódico para evitar o retardar la aparición de las secuelas</w:t>
      </w:r>
      <w:r>
        <w:rPr>
          <w:rFonts w:ascii="Abadi" w:hAnsi="Abadi"/>
          <w:sz w:val="21"/>
          <w:szCs w:val="21"/>
        </w:rPr>
        <w:t>,</w:t>
      </w:r>
      <w:r w:rsidRPr="006813AA">
        <w:rPr>
          <w:rFonts w:ascii="Abadi" w:hAnsi="Abadi"/>
          <w:sz w:val="21"/>
          <w:szCs w:val="21"/>
        </w:rPr>
        <w:t xml:space="preserve"> en suma</w:t>
      </w:r>
      <w:r>
        <w:rPr>
          <w:rFonts w:ascii="Abadi" w:hAnsi="Abadi"/>
          <w:sz w:val="21"/>
          <w:szCs w:val="21"/>
        </w:rPr>
        <w:t>,</w:t>
      </w:r>
      <w:r w:rsidRPr="006813AA">
        <w:rPr>
          <w:rFonts w:ascii="Abadi" w:hAnsi="Abadi"/>
          <w:sz w:val="21"/>
          <w:szCs w:val="21"/>
        </w:rPr>
        <w:t xml:space="preserve"> solicitó su voto a favor del presente dictamen para resaltar que la salud es nuestra prioridad en el quehacer legislativo de esta legislatura que se centra en generar propuestas que redunden en las progresividad de los derechos de las personas servidores públicos del estado y de los municipios de guanajuato</w:t>
      </w:r>
      <w:r>
        <w:rPr>
          <w:rFonts w:ascii="Abadi" w:hAnsi="Abadi"/>
          <w:sz w:val="21"/>
          <w:szCs w:val="21"/>
        </w:rPr>
        <w:t>.</w:t>
      </w:r>
    </w:p>
    <w:p w14:paraId="2DEDB013" w14:textId="77777777" w:rsidR="006035FD" w:rsidRDefault="006035FD" w:rsidP="000D39D4">
      <w:pPr>
        <w:jc w:val="both"/>
        <w:rPr>
          <w:rFonts w:ascii="Abadi" w:hAnsi="Abadi"/>
          <w:sz w:val="21"/>
          <w:szCs w:val="21"/>
        </w:rPr>
      </w:pPr>
    </w:p>
    <w:p w14:paraId="112EBA47" w14:textId="12889362" w:rsidR="000D39D4" w:rsidRDefault="000D39D4" w:rsidP="000D39D4">
      <w:pPr>
        <w:jc w:val="both"/>
        <w:rPr>
          <w:rFonts w:ascii="Abadi" w:hAnsi="Abadi"/>
          <w:sz w:val="21"/>
          <w:szCs w:val="21"/>
        </w:rPr>
      </w:pPr>
      <w:r>
        <w:rPr>
          <w:rFonts w:ascii="Abadi" w:hAnsi="Abadi"/>
          <w:sz w:val="21"/>
          <w:szCs w:val="21"/>
        </w:rPr>
        <w:t>- E</w:t>
      </w:r>
      <w:r w:rsidRPr="006813AA">
        <w:rPr>
          <w:rFonts w:ascii="Abadi" w:hAnsi="Abadi"/>
          <w:sz w:val="21"/>
          <w:szCs w:val="21"/>
        </w:rPr>
        <w:t>n este caso en particular mediante el derecho de dichas personas trabajadoras de contar con una temporalidad anual para efectos de realizarse estudios médicos preventivo</w:t>
      </w:r>
      <w:r>
        <w:rPr>
          <w:rFonts w:ascii="Abadi" w:hAnsi="Abadi"/>
          <w:sz w:val="21"/>
          <w:szCs w:val="21"/>
        </w:rPr>
        <w:t>s,</w:t>
      </w:r>
      <w:r w:rsidRPr="006813AA">
        <w:rPr>
          <w:rFonts w:ascii="Abadi" w:hAnsi="Abadi"/>
          <w:sz w:val="21"/>
          <w:szCs w:val="21"/>
        </w:rPr>
        <w:t xml:space="preserve"> la propuesta de acción nacional se erige como una acción afirmativa en materia de derechos humanos para el disfrute del más alto nivel posible de la salud física y mental de las personas servidor</w:t>
      </w:r>
      <w:r>
        <w:rPr>
          <w:rFonts w:ascii="Abadi" w:hAnsi="Abadi"/>
          <w:sz w:val="21"/>
          <w:szCs w:val="21"/>
        </w:rPr>
        <w:t>es públicos, desde el Grupo Parlamentario de Acción Nacional d</w:t>
      </w:r>
      <w:r w:rsidRPr="006813AA">
        <w:rPr>
          <w:rFonts w:ascii="Abadi" w:hAnsi="Abadi"/>
          <w:sz w:val="21"/>
          <w:szCs w:val="21"/>
        </w:rPr>
        <w:t>ecimos</w:t>
      </w:r>
      <w:r>
        <w:rPr>
          <w:rFonts w:ascii="Abadi" w:hAnsi="Abadi"/>
          <w:sz w:val="21"/>
          <w:szCs w:val="21"/>
        </w:rPr>
        <w:t>,</w:t>
      </w:r>
      <w:r w:rsidRPr="006813AA">
        <w:rPr>
          <w:rFonts w:ascii="Abadi" w:hAnsi="Abadi"/>
          <w:sz w:val="21"/>
          <w:szCs w:val="21"/>
        </w:rPr>
        <w:t xml:space="preserve"> sí</w:t>
      </w:r>
      <w:r>
        <w:rPr>
          <w:rFonts w:ascii="Abadi" w:hAnsi="Abadi"/>
          <w:sz w:val="21"/>
          <w:szCs w:val="21"/>
        </w:rPr>
        <w:t>,</w:t>
      </w:r>
      <w:r w:rsidRPr="006813AA">
        <w:rPr>
          <w:rFonts w:ascii="Abadi" w:hAnsi="Abadi"/>
          <w:sz w:val="21"/>
          <w:szCs w:val="21"/>
        </w:rPr>
        <w:t xml:space="preserve"> a la prevención</w:t>
      </w:r>
      <w:r>
        <w:rPr>
          <w:rFonts w:ascii="Abadi" w:hAnsi="Abadi"/>
          <w:sz w:val="21"/>
          <w:szCs w:val="21"/>
        </w:rPr>
        <w:t xml:space="preserve">, </w:t>
      </w:r>
      <w:r w:rsidRPr="006813AA">
        <w:rPr>
          <w:rFonts w:ascii="Abadi" w:hAnsi="Abadi"/>
          <w:sz w:val="21"/>
          <w:szCs w:val="21"/>
        </w:rPr>
        <w:t>sí</w:t>
      </w:r>
      <w:r>
        <w:rPr>
          <w:rFonts w:ascii="Abadi" w:hAnsi="Abadi"/>
          <w:sz w:val="21"/>
          <w:szCs w:val="21"/>
        </w:rPr>
        <w:t>,</w:t>
      </w:r>
      <w:r w:rsidRPr="006813AA">
        <w:rPr>
          <w:rFonts w:ascii="Abadi" w:hAnsi="Abadi"/>
          <w:sz w:val="21"/>
          <w:szCs w:val="21"/>
        </w:rPr>
        <w:t xml:space="preserve"> a la salud</w:t>
      </w:r>
      <w:r>
        <w:rPr>
          <w:rFonts w:ascii="Abadi" w:hAnsi="Abadi"/>
          <w:sz w:val="21"/>
          <w:szCs w:val="21"/>
        </w:rPr>
        <w:t>.</w:t>
      </w:r>
    </w:p>
    <w:p w14:paraId="1C8ADF36" w14:textId="77777777" w:rsidR="006035FD" w:rsidRDefault="006035FD" w:rsidP="000D39D4">
      <w:pPr>
        <w:jc w:val="both"/>
        <w:rPr>
          <w:rFonts w:ascii="Abadi" w:hAnsi="Abadi"/>
          <w:sz w:val="21"/>
          <w:szCs w:val="21"/>
        </w:rPr>
      </w:pPr>
    </w:p>
    <w:p w14:paraId="48ACF555" w14:textId="16A1CE78" w:rsidR="000D39D4" w:rsidRDefault="000D39D4" w:rsidP="000D39D4">
      <w:pPr>
        <w:jc w:val="both"/>
        <w:rPr>
          <w:rFonts w:ascii="Abadi" w:hAnsi="Abadi"/>
          <w:sz w:val="21"/>
          <w:szCs w:val="21"/>
        </w:rPr>
      </w:pPr>
      <w:r>
        <w:rPr>
          <w:rFonts w:ascii="Abadi" w:hAnsi="Abadi"/>
          <w:sz w:val="21"/>
          <w:szCs w:val="21"/>
        </w:rPr>
        <w:t xml:space="preserve">- Es cuanto Señor Presidente. </w:t>
      </w:r>
      <w:r w:rsidRPr="006813AA">
        <w:rPr>
          <w:rFonts w:ascii="Abadi" w:hAnsi="Abadi"/>
          <w:sz w:val="21"/>
          <w:szCs w:val="21"/>
        </w:rPr>
        <w:t xml:space="preserve"> </w:t>
      </w:r>
    </w:p>
    <w:p w14:paraId="587A9FBE" w14:textId="77777777" w:rsidR="006035FD" w:rsidRDefault="006035FD" w:rsidP="000D39D4">
      <w:pPr>
        <w:jc w:val="both"/>
        <w:rPr>
          <w:rFonts w:ascii="Abadi" w:hAnsi="Abadi"/>
          <w:sz w:val="21"/>
          <w:szCs w:val="21"/>
        </w:rPr>
      </w:pPr>
    </w:p>
    <w:p w14:paraId="2E4C98EB" w14:textId="734F272B" w:rsidR="000D39D4" w:rsidRDefault="000D39D4" w:rsidP="000D39D4">
      <w:pPr>
        <w:ind w:firstLine="708"/>
        <w:jc w:val="both"/>
        <w:rPr>
          <w:rFonts w:ascii="Abadi" w:hAnsi="Abadi"/>
          <w:sz w:val="21"/>
          <w:szCs w:val="21"/>
        </w:rPr>
      </w:pPr>
      <w:r w:rsidRPr="00A51892">
        <w:rPr>
          <w:rFonts w:ascii="Abadi" w:hAnsi="Abadi"/>
          <w:b/>
          <w:bCs/>
          <w:sz w:val="21"/>
          <w:szCs w:val="21"/>
        </w:rPr>
        <w:t>- El Presidente.-</w:t>
      </w:r>
      <w:r>
        <w:rPr>
          <w:rFonts w:ascii="Abadi" w:hAnsi="Abadi"/>
          <w:sz w:val="21"/>
          <w:szCs w:val="21"/>
        </w:rPr>
        <w:t xml:space="preserve"> </w:t>
      </w:r>
      <w:r w:rsidRPr="006813AA">
        <w:rPr>
          <w:rFonts w:ascii="Abadi" w:hAnsi="Abadi"/>
          <w:sz w:val="21"/>
          <w:szCs w:val="21"/>
        </w:rPr>
        <w:t>Presidente gracias compañera diputada Lucy Hernández</w:t>
      </w:r>
      <w:r>
        <w:rPr>
          <w:rFonts w:ascii="Abadi" w:hAnsi="Abadi"/>
          <w:sz w:val="21"/>
          <w:szCs w:val="21"/>
        </w:rPr>
        <w:t>.</w:t>
      </w:r>
    </w:p>
    <w:p w14:paraId="3E9E9315" w14:textId="77777777" w:rsidR="006035FD" w:rsidRDefault="006035FD" w:rsidP="000D39D4">
      <w:pPr>
        <w:ind w:firstLine="708"/>
        <w:jc w:val="both"/>
        <w:rPr>
          <w:rFonts w:ascii="Abadi" w:hAnsi="Abadi"/>
          <w:sz w:val="21"/>
          <w:szCs w:val="21"/>
        </w:rPr>
      </w:pPr>
    </w:p>
    <w:p w14:paraId="4B933D72" w14:textId="647D6D36" w:rsidR="000D39D4" w:rsidRDefault="000D39D4" w:rsidP="000D39D4">
      <w:pPr>
        <w:ind w:firstLine="708"/>
        <w:jc w:val="both"/>
        <w:rPr>
          <w:rFonts w:ascii="Abadi" w:hAnsi="Abadi"/>
          <w:sz w:val="21"/>
          <w:szCs w:val="21"/>
        </w:rPr>
      </w:pPr>
      <w:r>
        <w:rPr>
          <w:rFonts w:ascii="Abadi" w:hAnsi="Abadi"/>
          <w:sz w:val="21"/>
          <w:szCs w:val="21"/>
        </w:rPr>
        <w:t>- A</w:t>
      </w:r>
      <w:r w:rsidRPr="006813AA">
        <w:rPr>
          <w:rFonts w:ascii="Abadi" w:hAnsi="Abadi"/>
          <w:sz w:val="21"/>
          <w:szCs w:val="21"/>
        </w:rPr>
        <w:t xml:space="preserve">gotada a su participación se pide a la </w:t>
      </w:r>
      <w:r>
        <w:rPr>
          <w:rFonts w:ascii="Abadi" w:hAnsi="Abadi"/>
          <w:sz w:val="21"/>
          <w:szCs w:val="21"/>
        </w:rPr>
        <w:t>S</w:t>
      </w:r>
      <w:r w:rsidRPr="006813AA">
        <w:rPr>
          <w:rFonts w:ascii="Abadi" w:hAnsi="Abadi"/>
          <w:sz w:val="21"/>
          <w:szCs w:val="21"/>
        </w:rPr>
        <w:t xml:space="preserve">ecretaría que proceda a recabar </w:t>
      </w:r>
      <w:r>
        <w:rPr>
          <w:rFonts w:ascii="Abadi" w:hAnsi="Abadi"/>
          <w:sz w:val="21"/>
          <w:szCs w:val="21"/>
        </w:rPr>
        <w:t>votación nominal de la A</w:t>
      </w:r>
      <w:r w:rsidRPr="006813AA">
        <w:rPr>
          <w:rFonts w:ascii="Abadi" w:hAnsi="Abadi"/>
          <w:sz w:val="21"/>
          <w:szCs w:val="21"/>
        </w:rPr>
        <w:t xml:space="preserve">samblea a través del sistema electrónico a efecto de aprobar o no el dictamen en lo general puesto </w:t>
      </w:r>
      <w:r>
        <w:rPr>
          <w:rFonts w:ascii="Abadi" w:hAnsi="Abadi"/>
          <w:sz w:val="21"/>
          <w:szCs w:val="21"/>
        </w:rPr>
        <w:t xml:space="preserve">a </w:t>
      </w:r>
      <w:r w:rsidRPr="006813AA">
        <w:rPr>
          <w:rFonts w:ascii="Abadi" w:hAnsi="Abadi"/>
          <w:sz w:val="21"/>
          <w:szCs w:val="21"/>
        </w:rPr>
        <w:t>su consideración</w:t>
      </w:r>
      <w:r>
        <w:rPr>
          <w:rFonts w:ascii="Abadi" w:hAnsi="Abadi"/>
          <w:sz w:val="21"/>
          <w:szCs w:val="21"/>
        </w:rPr>
        <w:t>.</w:t>
      </w:r>
    </w:p>
    <w:p w14:paraId="3AD38FA0" w14:textId="77777777" w:rsidR="006035FD" w:rsidRDefault="006035FD" w:rsidP="000D39D4">
      <w:pPr>
        <w:ind w:firstLine="708"/>
        <w:jc w:val="both"/>
        <w:rPr>
          <w:rFonts w:ascii="Abadi" w:hAnsi="Abadi"/>
          <w:sz w:val="21"/>
          <w:szCs w:val="21"/>
        </w:rPr>
      </w:pPr>
    </w:p>
    <w:p w14:paraId="6AA92297" w14:textId="6139D340" w:rsidR="000D39D4" w:rsidRDefault="000D39D4" w:rsidP="000D39D4">
      <w:pPr>
        <w:jc w:val="both"/>
        <w:rPr>
          <w:rFonts w:ascii="Abadi" w:hAnsi="Abadi"/>
          <w:b/>
          <w:bCs/>
          <w:sz w:val="21"/>
          <w:szCs w:val="21"/>
        </w:rPr>
      </w:pPr>
      <w:r w:rsidRPr="009D2A21">
        <w:rPr>
          <w:rFonts w:ascii="Abadi" w:hAnsi="Abadi"/>
          <w:b/>
          <w:bCs/>
          <w:sz w:val="21"/>
          <w:szCs w:val="21"/>
        </w:rPr>
        <w:t>(Se abre el sistema electronico)</w:t>
      </w:r>
    </w:p>
    <w:p w14:paraId="026A2E32" w14:textId="77777777" w:rsidR="006035FD" w:rsidRPr="009D2A21" w:rsidRDefault="006035FD" w:rsidP="000D39D4">
      <w:pPr>
        <w:jc w:val="both"/>
        <w:rPr>
          <w:rFonts w:ascii="Abadi" w:hAnsi="Abadi"/>
          <w:b/>
          <w:bCs/>
          <w:sz w:val="21"/>
          <w:szCs w:val="21"/>
        </w:rPr>
      </w:pPr>
    </w:p>
    <w:p w14:paraId="75A0F56F" w14:textId="0E3777AF" w:rsidR="000D39D4" w:rsidRDefault="006035FD" w:rsidP="000D39D4">
      <w:pPr>
        <w:jc w:val="both"/>
        <w:rPr>
          <w:rFonts w:ascii="Abadi" w:hAnsi="Abadi"/>
          <w:sz w:val="21"/>
          <w:szCs w:val="21"/>
        </w:rPr>
      </w:pPr>
      <w:r>
        <w:rPr>
          <w:rFonts w:ascii="Abadi" w:hAnsi="Abadi"/>
          <w:sz w:val="21"/>
          <w:szCs w:val="21"/>
        </w:rPr>
        <w:tab/>
      </w:r>
      <w:r w:rsidR="000D39D4" w:rsidRPr="006813AA">
        <w:rPr>
          <w:rFonts w:ascii="Abadi" w:hAnsi="Abadi"/>
          <w:sz w:val="21"/>
          <w:szCs w:val="21"/>
        </w:rPr>
        <w:t xml:space="preserve"> </w:t>
      </w:r>
      <w:r w:rsidR="000D39D4" w:rsidRPr="00791B1A">
        <w:rPr>
          <w:rFonts w:ascii="Abadi" w:hAnsi="Abadi"/>
          <w:b/>
          <w:bCs/>
          <w:sz w:val="21"/>
          <w:szCs w:val="21"/>
        </w:rPr>
        <w:t>- El Secretario.-</w:t>
      </w:r>
      <w:r w:rsidR="000D39D4">
        <w:rPr>
          <w:rFonts w:ascii="Abadi" w:hAnsi="Abadi"/>
          <w:sz w:val="21"/>
          <w:szCs w:val="21"/>
        </w:rPr>
        <w:t xml:space="preserve"> En votación nominal, </w:t>
      </w:r>
      <w:r w:rsidR="000D39D4" w:rsidRPr="006813AA">
        <w:rPr>
          <w:rFonts w:ascii="Abadi" w:hAnsi="Abadi"/>
          <w:sz w:val="21"/>
          <w:szCs w:val="21"/>
        </w:rPr>
        <w:t>por el sistema electrónico se pregunta a las diputadas y los diputados y se aprueba en lo general el dictamen puesto a su consideración</w:t>
      </w:r>
      <w:r w:rsidR="000D39D4">
        <w:rPr>
          <w:rFonts w:ascii="Abadi" w:hAnsi="Abadi"/>
          <w:sz w:val="21"/>
          <w:szCs w:val="21"/>
        </w:rPr>
        <w:t>.</w:t>
      </w:r>
    </w:p>
    <w:p w14:paraId="00F72EDF" w14:textId="77777777" w:rsidR="006035FD" w:rsidRDefault="006035FD" w:rsidP="000D39D4">
      <w:pPr>
        <w:jc w:val="both"/>
        <w:rPr>
          <w:rFonts w:ascii="Abadi" w:hAnsi="Abadi"/>
          <w:sz w:val="21"/>
          <w:szCs w:val="21"/>
        </w:rPr>
      </w:pPr>
    </w:p>
    <w:p w14:paraId="3AF4A9D2" w14:textId="25CDE0A1" w:rsidR="000D39D4" w:rsidRDefault="000D39D4" w:rsidP="000D39D4">
      <w:pPr>
        <w:ind w:firstLine="708"/>
        <w:jc w:val="both"/>
        <w:rPr>
          <w:rFonts w:ascii="Abadi" w:hAnsi="Abadi"/>
          <w:sz w:val="21"/>
          <w:szCs w:val="21"/>
        </w:rPr>
      </w:pPr>
      <w:r w:rsidRPr="0093777F">
        <w:rPr>
          <w:rFonts w:ascii="Abadi" w:hAnsi="Abadi"/>
          <w:b/>
          <w:bCs/>
          <w:sz w:val="21"/>
          <w:szCs w:val="21"/>
        </w:rPr>
        <w:t xml:space="preserve"> - El Presidente.-</w:t>
      </w:r>
      <w:r>
        <w:rPr>
          <w:rFonts w:ascii="Abadi" w:hAnsi="Abadi"/>
          <w:sz w:val="21"/>
          <w:szCs w:val="21"/>
        </w:rPr>
        <w:t xml:space="preserve"> P</w:t>
      </w:r>
      <w:r w:rsidRPr="006813AA">
        <w:rPr>
          <w:rFonts w:ascii="Abadi" w:hAnsi="Abadi"/>
          <w:sz w:val="21"/>
          <w:szCs w:val="21"/>
        </w:rPr>
        <w:t>ermíta</w:t>
      </w:r>
      <w:r>
        <w:rPr>
          <w:rFonts w:ascii="Abadi" w:hAnsi="Abadi"/>
          <w:sz w:val="21"/>
          <w:szCs w:val="21"/>
        </w:rPr>
        <w:t>n</w:t>
      </w:r>
      <w:r w:rsidRPr="006813AA">
        <w:rPr>
          <w:rFonts w:ascii="Abadi" w:hAnsi="Abadi"/>
          <w:sz w:val="21"/>
          <w:szCs w:val="21"/>
        </w:rPr>
        <w:t>me un segundo por favor</w:t>
      </w:r>
      <w:r>
        <w:rPr>
          <w:rFonts w:ascii="Abadi" w:hAnsi="Abadi"/>
          <w:sz w:val="21"/>
          <w:szCs w:val="21"/>
        </w:rPr>
        <w:t>.</w:t>
      </w:r>
    </w:p>
    <w:p w14:paraId="662F3C21" w14:textId="77777777" w:rsidR="006035FD" w:rsidRDefault="006035FD" w:rsidP="000D39D4">
      <w:pPr>
        <w:ind w:firstLine="708"/>
        <w:jc w:val="both"/>
        <w:rPr>
          <w:rFonts w:ascii="Abadi" w:hAnsi="Abadi"/>
          <w:sz w:val="21"/>
          <w:szCs w:val="21"/>
        </w:rPr>
      </w:pPr>
    </w:p>
    <w:p w14:paraId="5723B8ED" w14:textId="3D22B9CF" w:rsidR="000D39D4" w:rsidRDefault="000D39D4" w:rsidP="000D39D4">
      <w:pPr>
        <w:ind w:firstLine="708"/>
        <w:jc w:val="both"/>
        <w:rPr>
          <w:rFonts w:ascii="Abadi" w:hAnsi="Abadi"/>
          <w:sz w:val="21"/>
          <w:szCs w:val="21"/>
        </w:rPr>
      </w:pPr>
      <w:r w:rsidRPr="0076657E">
        <w:rPr>
          <w:rFonts w:ascii="Abadi" w:hAnsi="Abadi"/>
          <w:b/>
          <w:bCs/>
          <w:sz w:val="21"/>
          <w:szCs w:val="21"/>
        </w:rPr>
        <w:t>- El Secretario.-</w:t>
      </w:r>
      <w:r>
        <w:rPr>
          <w:rFonts w:ascii="Abadi" w:hAnsi="Abadi"/>
          <w:sz w:val="21"/>
          <w:szCs w:val="21"/>
        </w:rPr>
        <w:t xml:space="preserve"> ¿Diputada Angelica C</w:t>
      </w:r>
      <w:r w:rsidRPr="006813AA">
        <w:rPr>
          <w:rFonts w:ascii="Abadi" w:hAnsi="Abadi"/>
          <w:sz w:val="21"/>
          <w:szCs w:val="21"/>
        </w:rPr>
        <w:t>asillas</w:t>
      </w:r>
      <w:r>
        <w:rPr>
          <w:rFonts w:ascii="Abadi" w:hAnsi="Abadi"/>
          <w:sz w:val="21"/>
          <w:szCs w:val="21"/>
        </w:rPr>
        <w:t>?</w:t>
      </w:r>
    </w:p>
    <w:p w14:paraId="783F0713" w14:textId="77777777" w:rsidR="006035FD" w:rsidRDefault="006035FD" w:rsidP="000D39D4">
      <w:pPr>
        <w:ind w:firstLine="708"/>
        <w:jc w:val="both"/>
        <w:rPr>
          <w:rFonts w:ascii="Abadi" w:hAnsi="Abadi"/>
          <w:sz w:val="21"/>
          <w:szCs w:val="21"/>
        </w:rPr>
      </w:pPr>
    </w:p>
    <w:p w14:paraId="3DBFAA38" w14:textId="77777777" w:rsidR="006035FD" w:rsidRDefault="006035FD" w:rsidP="000D39D4">
      <w:pPr>
        <w:ind w:firstLine="708"/>
        <w:jc w:val="both"/>
        <w:rPr>
          <w:rFonts w:ascii="Abadi" w:hAnsi="Abadi"/>
          <w:sz w:val="21"/>
          <w:szCs w:val="21"/>
        </w:rPr>
      </w:pPr>
      <w:r>
        <w:rPr>
          <w:noProof/>
        </w:rPr>
        <w:drawing>
          <wp:anchor distT="0" distB="0" distL="114300" distR="114300" simplePos="0" relativeHeight="251707392" behindDoc="1" locked="0" layoutInCell="1" allowOverlap="1" wp14:anchorId="32814DBC" wp14:editId="0C99EF5C">
            <wp:simplePos x="0" y="0"/>
            <wp:positionH relativeFrom="margin">
              <wp:align>right</wp:align>
            </wp:positionH>
            <wp:positionV relativeFrom="paragraph">
              <wp:posOffset>743585</wp:posOffset>
            </wp:positionV>
            <wp:extent cx="1989734" cy="1042604"/>
            <wp:effectExtent l="323850" t="323850" r="315595" b="329565"/>
            <wp:wrapTight wrapText="bothSides">
              <wp:wrapPolygon edited="0">
                <wp:start x="-2068" y="-6713"/>
                <wp:lineTo x="-3516" y="-5923"/>
                <wp:lineTo x="-3516" y="20929"/>
                <wp:lineTo x="-3102" y="25667"/>
                <wp:lineTo x="-2275" y="27247"/>
                <wp:lineTo x="-2068" y="28037"/>
                <wp:lineTo x="23372" y="28037"/>
                <wp:lineTo x="23579" y="27247"/>
                <wp:lineTo x="24406" y="25667"/>
                <wp:lineTo x="24820" y="19744"/>
                <wp:lineTo x="24820" y="395"/>
                <wp:lineTo x="23372" y="-5528"/>
                <wp:lineTo x="23372" y="-6713"/>
                <wp:lineTo x="-2068" y="-6713"/>
              </wp:wrapPolygon>
            </wp:wrapTight>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extLst>
                        <a:ext uri="{28A0092B-C50C-407E-A947-70E740481C1C}">
                          <a14:useLocalDpi xmlns:a14="http://schemas.microsoft.com/office/drawing/2010/main" val="0"/>
                        </a:ext>
                      </a:extLst>
                    </a:blip>
                    <a:srcRect b="6802"/>
                    <a:stretch/>
                  </pic:blipFill>
                  <pic:spPr bwMode="auto">
                    <a:xfrm>
                      <a:off x="0" y="0"/>
                      <a:ext cx="1989734" cy="1042604"/>
                    </a:xfrm>
                    <a:prstGeom prst="rect">
                      <a:avLst/>
                    </a:prstGeom>
                    <a:ln w="88900" cap="sq" cmpd="thickThin">
                      <a:solidFill>
                        <a:srgbClr val="000000"/>
                      </a:solidFill>
                      <a:prstDash val="solid"/>
                      <a:miter lim="800000"/>
                    </a:ln>
                    <a:effectLst>
                      <a:glow rad="228600">
                        <a:schemeClr val="accent3">
                          <a:satMod val="17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r w:rsidR="000D39D4">
        <w:rPr>
          <w:rFonts w:ascii="Abadi" w:hAnsi="Abadi"/>
          <w:sz w:val="21"/>
          <w:szCs w:val="21"/>
        </w:rPr>
        <w:t>¿F</w:t>
      </w:r>
      <w:r w:rsidR="000D39D4" w:rsidRPr="006813AA">
        <w:rPr>
          <w:rFonts w:ascii="Abadi" w:hAnsi="Abadi"/>
          <w:sz w:val="21"/>
          <w:szCs w:val="21"/>
        </w:rPr>
        <w:t>alta alguna diputada o algún diputado de emitir su voto</w:t>
      </w:r>
      <w:r w:rsidR="000D39D4">
        <w:rPr>
          <w:rFonts w:ascii="Abadi" w:hAnsi="Abadi"/>
          <w:sz w:val="21"/>
          <w:szCs w:val="21"/>
        </w:rPr>
        <w:t>?</w:t>
      </w:r>
    </w:p>
    <w:p w14:paraId="6B319A6A" w14:textId="77777777" w:rsidR="006035FD" w:rsidRDefault="006035FD" w:rsidP="000D39D4">
      <w:pPr>
        <w:ind w:firstLine="708"/>
        <w:jc w:val="both"/>
        <w:rPr>
          <w:rFonts w:ascii="Abadi" w:hAnsi="Abadi"/>
          <w:sz w:val="21"/>
          <w:szCs w:val="21"/>
        </w:rPr>
      </w:pPr>
    </w:p>
    <w:p w14:paraId="3C4BA029" w14:textId="7CF20187" w:rsidR="000D39D4" w:rsidRPr="006035FD" w:rsidRDefault="000D39D4" w:rsidP="006035FD">
      <w:pPr>
        <w:jc w:val="both"/>
        <w:rPr>
          <w:rFonts w:ascii="Abadi" w:hAnsi="Abadi"/>
          <w:sz w:val="21"/>
          <w:szCs w:val="21"/>
        </w:rPr>
      </w:pPr>
      <w:r w:rsidRPr="0076657E">
        <w:rPr>
          <w:rFonts w:ascii="Abadi" w:hAnsi="Abadi"/>
          <w:b/>
          <w:bCs/>
          <w:sz w:val="21"/>
          <w:szCs w:val="21"/>
        </w:rPr>
        <w:t>(Cerramos sistema eléctrico)</w:t>
      </w:r>
    </w:p>
    <w:p w14:paraId="3C4C1C1D" w14:textId="32F09CFB" w:rsidR="000D39D4" w:rsidRDefault="000D39D4" w:rsidP="000D39D4">
      <w:pPr>
        <w:ind w:firstLine="708"/>
        <w:jc w:val="both"/>
        <w:rPr>
          <w:rFonts w:ascii="Abadi" w:hAnsi="Abadi"/>
          <w:sz w:val="21"/>
          <w:szCs w:val="21"/>
        </w:rPr>
      </w:pPr>
    </w:p>
    <w:p w14:paraId="4EDF487F" w14:textId="25E71DEE" w:rsidR="000D39D4" w:rsidRDefault="000D39D4" w:rsidP="000D39D4">
      <w:pPr>
        <w:ind w:firstLine="708"/>
        <w:jc w:val="both"/>
        <w:rPr>
          <w:rFonts w:ascii="Abadi" w:hAnsi="Abadi"/>
          <w:sz w:val="21"/>
          <w:szCs w:val="21"/>
        </w:rPr>
      </w:pPr>
      <w:r w:rsidRPr="00A17F8D">
        <w:rPr>
          <w:rFonts w:ascii="Abadi" w:hAnsi="Abadi"/>
          <w:b/>
          <w:bCs/>
          <w:sz w:val="21"/>
          <w:szCs w:val="21"/>
        </w:rPr>
        <w:t>- El Secretario.-</w:t>
      </w:r>
      <w:r>
        <w:rPr>
          <w:rFonts w:ascii="Abadi" w:hAnsi="Abadi"/>
          <w:sz w:val="21"/>
          <w:szCs w:val="21"/>
        </w:rPr>
        <w:t xml:space="preserve"> S</w:t>
      </w:r>
      <w:r w:rsidRPr="006813AA">
        <w:rPr>
          <w:rFonts w:ascii="Abadi" w:hAnsi="Abadi"/>
          <w:sz w:val="21"/>
          <w:szCs w:val="21"/>
        </w:rPr>
        <w:t xml:space="preserve">e registraron 33 votos a favor </w:t>
      </w:r>
      <w:r>
        <w:rPr>
          <w:rFonts w:ascii="Abadi" w:hAnsi="Abadi"/>
          <w:sz w:val="21"/>
          <w:szCs w:val="21"/>
        </w:rPr>
        <w:t>S</w:t>
      </w:r>
      <w:r w:rsidRPr="006813AA">
        <w:rPr>
          <w:rFonts w:ascii="Abadi" w:hAnsi="Abadi"/>
          <w:sz w:val="21"/>
          <w:szCs w:val="21"/>
        </w:rPr>
        <w:t>eñor Presidente</w:t>
      </w:r>
      <w:r>
        <w:rPr>
          <w:rFonts w:ascii="Abadi" w:hAnsi="Abadi"/>
          <w:sz w:val="21"/>
          <w:szCs w:val="21"/>
        </w:rPr>
        <w:t>.</w:t>
      </w:r>
    </w:p>
    <w:p w14:paraId="2E73EF08" w14:textId="77777777" w:rsidR="006035FD" w:rsidRDefault="006035FD" w:rsidP="000D39D4">
      <w:pPr>
        <w:ind w:firstLine="708"/>
        <w:jc w:val="both"/>
        <w:rPr>
          <w:rFonts w:ascii="Abadi" w:hAnsi="Abadi"/>
          <w:sz w:val="21"/>
          <w:szCs w:val="21"/>
        </w:rPr>
      </w:pPr>
    </w:p>
    <w:p w14:paraId="66ED004F" w14:textId="30A5C8E5" w:rsidR="000D39D4" w:rsidRDefault="000D39D4" w:rsidP="000D39D4">
      <w:pPr>
        <w:ind w:firstLine="708"/>
        <w:jc w:val="both"/>
        <w:rPr>
          <w:rFonts w:ascii="Abadi" w:hAnsi="Abadi"/>
          <w:sz w:val="21"/>
          <w:szCs w:val="21"/>
        </w:rPr>
      </w:pPr>
      <w:r w:rsidRPr="00A17F8D">
        <w:rPr>
          <w:rFonts w:ascii="Abadi" w:hAnsi="Abadi"/>
          <w:b/>
          <w:bCs/>
          <w:sz w:val="21"/>
          <w:szCs w:val="21"/>
        </w:rPr>
        <w:t>- El Presidente.-</w:t>
      </w:r>
      <w:r>
        <w:rPr>
          <w:rFonts w:ascii="Abadi" w:hAnsi="Abadi"/>
          <w:sz w:val="21"/>
          <w:szCs w:val="21"/>
        </w:rPr>
        <w:t xml:space="preserve"> El Dictamen ha sido aprobado por unanimidad e</w:t>
      </w:r>
      <w:r w:rsidRPr="006813AA">
        <w:rPr>
          <w:rFonts w:ascii="Abadi" w:hAnsi="Abadi"/>
          <w:sz w:val="21"/>
          <w:szCs w:val="21"/>
        </w:rPr>
        <w:t>n lo general por unanimidad de votos</w:t>
      </w:r>
      <w:r>
        <w:rPr>
          <w:rFonts w:ascii="Abadi" w:hAnsi="Abadi"/>
          <w:sz w:val="21"/>
          <w:szCs w:val="21"/>
        </w:rPr>
        <w:t>.</w:t>
      </w:r>
    </w:p>
    <w:p w14:paraId="6318BB80" w14:textId="77777777" w:rsidR="006035FD" w:rsidRDefault="006035FD" w:rsidP="000D39D4">
      <w:pPr>
        <w:ind w:firstLine="708"/>
        <w:jc w:val="both"/>
        <w:rPr>
          <w:rFonts w:ascii="Abadi" w:hAnsi="Abadi"/>
          <w:sz w:val="21"/>
          <w:szCs w:val="21"/>
        </w:rPr>
      </w:pPr>
    </w:p>
    <w:p w14:paraId="2D31BE2D" w14:textId="46DE1430" w:rsidR="000D39D4" w:rsidRDefault="000D39D4" w:rsidP="000D39D4">
      <w:pPr>
        <w:ind w:firstLine="708"/>
        <w:jc w:val="both"/>
        <w:rPr>
          <w:rFonts w:ascii="Abadi" w:hAnsi="Abadi"/>
          <w:sz w:val="21"/>
          <w:szCs w:val="21"/>
        </w:rPr>
      </w:pPr>
      <w:r>
        <w:rPr>
          <w:rFonts w:ascii="Abadi" w:hAnsi="Abadi"/>
          <w:sz w:val="21"/>
          <w:szCs w:val="21"/>
        </w:rPr>
        <w:t>-</w:t>
      </w:r>
      <w:r w:rsidRPr="006813AA">
        <w:rPr>
          <w:rFonts w:ascii="Abadi" w:hAnsi="Abadi"/>
          <w:sz w:val="21"/>
          <w:szCs w:val="21"/>
        </w:rPr>
        <w:t xml:space="preserve"> </w:t>
      </w:r>
      <w:r>
        <w:rPr>
          <w:rFonts w:ascii="Abadi" w:hAnsi="Abadi"/>
          <w:sz w:val="21"/>
          <w:szCs w:val="21"/>
        </w:rPr>
        <w:t>C</w:t>
      </w:r>
      <w:r w:rsidRPr="006813AA">
        <w:rPr>
          <w:rFonts w:ascii="Abadi" w:hAnsi="Abadi"/>
          <w:sz w:val="21"/>
          <w:szCs w:val="21"/>
        </w:rPr>
        <w:t>orresponde someter a discusión el dictamen en lo particular</w:t>
      </w:r>
      <w:r>
        <w:rPr>
          <w:rFonts w:ascii="Abadi" w:hAnsi="Abadi"/>
          <w:sz w:val="21"/>
          <w:szCs w:val="21"/>
        </w:rPr>
        <w:t>.</w:t>
      </w:r>
    </w:p>
    <w:p w14:paraId="50B9447C" w14:textId="77777777" w:rsidR="006035FD" w:rsidRDefault="006035FD" w:rsidP="000D39D4">
      <w:pPr>
        <w:ind w:firstLine="708"/>
        <w:jc w:val="both"/>
        <w:rPr>
          <w:rFonts w:ascii="Abadi" w:hAnsi="Abadi"/>
          <w:sz w:val="21"/>
          <w:szCs w:val="21"/>
        </w:rPr>
      </w:pPr>
    </w:p>
    <w:p w14:paraId="68599844" w14:textId="6E853B16" w:rsidR="000D39D4" w:rsidRDefault="000D39D4" w:rsidP="000D39D4">
      <w:pPr>
        <w:ind w:firstLine="708"/>
        <w:jc w:val="both"/>
        <w:rPr>
          <w:rFonts w:ascii="Abadi" w:hAnsi="Abadi"/>
          <w:sz w:val="21"/>
          <w:szCs w:val="21"/>
        </w:rPr>
      </w:pPr>
      <w:r>
        <w:rPr>
          <w:rFonts w:ascii="Abadi" w:hAnsi="Abadi"/>
          <w:sz w:val="21"/>
          <w:szCs w:val="21"/>
        </w:rPr>
        <w:t>- Si</w:t>
      </w:r>
      <w:r w:rsidRPr="006813AA">
        <w:rPr>
          <w:rFonts w:ascii="Abadi" w:hAnsi="Abadi"/>
          <w:sz w:val="21"/>
          <w:szCs w:val="21"/>
        </w:rPr>
        <w:t xml:space="preserve"> desean reservar cualquiera de los artículos que contiene sírvanse apartarlo en la inteligencia de que los artículos no reservados se tendrán por aprobados</w:t>
      </w:r>
      <w:r>
        <w:rPr>
          <w:rFonts w:ascii="Abadi" w:hAnsi="Abadi"/>
          <w:sz w:val="21"/>
          <w:szCs w:val="21"/>
        </w:rPr>
        <w:t>.</w:t>
      </w:r>
    </w:p>
    <w:p w14:paraId="0838A65E" w14:textId="77777777" w:rsidR="006035FD" w:rsidRDefault="006035FD" w:rsidP="000D39D4">
      <w:pPr>
        <w:ind w:firstLine="708"/>
        <w:jc w:val="both"/>
        <w:rPr>
          <w:rFonts w:ascii="Abadi" w:hAnsi="Abadi"/>
          <w:sz w:val="21"/>
          <w:szCs w:val="21"/>
        </w:rPr>
      </w:pPr>
    </w:p>
    <w:p w14:paraId="0BCFD5DB" w14:textId="46062C42" w:rsidR="002A3159" w:rsidRDefault="000D39D4" w:rsidP="000D39D4">
      <w:pPr>
        <w:ind w:firstLine="708"/>
        <w:jc w:val="both"/>
        <w:rPr>
          <w:rFonts w:ascii="Abadi" w:hAnsi="Abadi"/>
          <w:sz w:val="21"/>
          <w:szCs w:val="21"/>
        </w:rPr>
      </w:pPr>
      <w:r w:rsidRPr="006813AA">
        <w:rPr>
          <w:rFonts w:ascii="Abadi" w:hAnsi="Abadi"/>
          <w:sz w:val="21"/>
          <w:szCs w:val="21"/>
        </w:rPr>
        <w:t xml:space="preserve"> </w:t>
      </w:r>
      <w:r>
        <w:rPr>
          <w:rFonts w:ascii="Abadi" w:hAnsi="Abadi"/>
          <w:sz w:val="21"/>
          <w:szCs w:val="21"/>
        </w:rPr>
        <w:t>- E</w:t>
      </w:r>
      <w:r w:rsidRPr="006813AA">
        <w:rPr>
          <w:rFonts w:ascii="Abadi" w:hAnsi="Abadi"/>
          <w:sz w:val="21"/>
          <w:szCs w:val="21"/>
        </w:rPr>
        <w:t>sta presidencia declara tener por aprobado los artículos que contiene el dictamen</w:t>
      </w:r>
      <w:r w:rsidR="002A3159">
        <w:rPr>
          <w:rFonts w:ascii="Abadi" w:hAnsi="Abadi"/>
          <w:sz w:val="21"/>
          <w:szCs w:val="21"/>
        </w:rPr>
        <w:t>.</w:t>
      </w:r>
    </w:p>
    <w:p w14:paraId="75DCBCBC" w14:textId="77777777" w:rsidR="002A3159" w:rsidRDefault="002A3159" w:rsidP="000D39D4">
      <w:pPr>
        <w:ind w:firstLine="708"/>
        <w:jc w:val="both"/>
        <w:rPr>
          <w:rFonts w:ascii="Abadi" w:hAnsi="Abadi"/>
          <w:sz w:val="21"/>
          <w:szCs w:val="21"/>
        </w:rPr>
      </w:pPr>
    </w:p>
    <w:p w14:paraId="27C50B71" w14:textId="77777777" w:rsidR="002A3159" w:rsidRPr="00A2481F" w:rsidRDefault="002A3159" w:rsidP="002A3159">
      <w:pPr>
        <w:ind w:left="284" w:right="425"/>
        <w:jc w:val="both"/>
        <w:rPr>
          <w:rFonts w:ascii="Abadi" w:hAnsi="Abadi"/>
          <w:b/>
          <w:bCs/>
          <w:i/>
          <w:iCs/>
          <w:sz w:val="21"/>
          <w:szCs w:val="21"/>
          <w:u w:val="single"/>
        </w:rPr>
      </w:pPr>
      <w:r w:rsidRPr="00A2481F">
        <w:rPr>
          <w:rFonts w:ascii="Abadi" w:hAnsi="Abadi"/>
          <w:b/>
          <w:bCs/>
          <w:i/>
          <w:iCs/>
          <w:sz w:val="21"/>
          <w:szCs w:val="21"/>
          <w:u w:val="single"/>
        </w:rPr>
        <w:t>Remítase al Ejecutivo del Estado el decreto aprobado para los efectos constitucionales de su competencia.</w:t>
      </w:r>
    </w:p>
    <w:p w14:paraId="40D948B0" w14:textId="77777777" w:rsidR="00CB50C5" w:rsidRPr="00CB50C5" w:rsidRDefault="00CB50C5" w:rsidP="00A45594">
      <w:pPr>
        <w:autoSpaceDE w:val="0"/>
        <w:autoSpaceDN w:val="0"/>
        <w:adjustRightInd w:val="0"/>
        <w:jc w:val="both"/>
        <w:rPr>
          <w:rFonts w:ascii="Abadi" w:hAnsi="Abadi" w:cs="ArialMT"/>
          <w:sz w:val="20"/>
          <w:szCs w:val="21"/>
        </w:rPr>
      </w:pPr>
    </w:p>
    <w:p w14:paraId="5E17D5CF" w14:textId="77777777" w:rsidR="00E462B6" w:rsidRPr="0028553C" w:rsidRDefault="00E462B6" w:rsidP="00A45594">
      <w:pPr>
        <w:pStyle w:val="Prrafodelista"/>
        <w:numPr>
          <w:ilvl w:val="0"/>
          <w:numId w:val="14"/>
        </w:numPr>
        <w:autoSpaceDE w:val="0"/>
        <w:autoSpaceDN w:val="0"/>
        <w:adjustRightInd w:val="0"/>
        <w:contextualSpacing/>
        <w:jc w:val="both"/>
        <w:rPr>
          <w:rFonts w:ascii="Abadi" w:hAnsi="Abadi" w:cs="ArialMT"/>
          <w:b/>
          <w:bCs/>
          <w:sz w:val="20"/>
          <w:szCs w:val="21"/>
        </w:rPr>
      </w:pPr>
      <w:r w:rsidRPr="0028553C">
        <w:rPr>
          <w:rFonts w:ascii="Abadi" w:hAnsi="Abadi" w:cs="ArialMT"/>
          <w:b/>
          <w:bCs/>
          <w:sz w:val="20"/>
          <w:szCs w:val="21"/>
        </w:rPr>
        <w:t>DISCUSIÓN Y, EN SU CASO, APROBACIÓN DEL DICTAMEN SIGNADO POR LA COMISIÓN DE SALUD PÚBLICA RELATIVO A LA PROPUESTA DE PUNTO DE ACUERDO SUSCRITA POR DIPUTADAS Y DIPUTADOS INTEGRANTES DEL GRUPO PARLAMENTARIO DEL PARTIDO ACCIÓN NACIONAL ANTE LA SEXAGÉSIMA CUARTA LEGISLATURA, POR LA QUE SE FORMULA UN RESPETUOSO EXHORTO AL TITULAR DEL PODER EJECUTIVO FEDERAL, LICENCIADO ANDRÉS MANUEL LÓPEZ OBRADOR, PARA QUE INSTRUYA A LAS AUTORIDADES COMPETENTES A EFECTO DE QUE ESTAS LLEVEN A CABO TODAS LAS ACCIONES NECESARIAS PARA AGILIZAR LOS PROCESOS DE COMPRA DE MEDICAMENTOS PARA TRATAMIENTOS ONCOLÓGICOS Y GARANTIZAR EL SUMINISTRO DE MEDICAMENTOS EN BENEFICIO DE LAS NIÑAS, NIÑOS Y ADOLESCENTES CON CÁNCER.</w:t>
      </w:r>
    </w:p>
    <w:p w14:paraId="53723E50" w14:textId="46E41DCA" w:rsidR="00E462B6" w:rsidRDefault="00E462B6" w:rsidP="00A45594">
      <w:pPr>
        <w:autoSpaceDE w:val="0"/>
        <w:autoSpaceDN w:val="0"/>
        <w:adjustRightInd w:val="0"/>
        <w:jc w:val="both"/>
        <w:rPr>
          <w:rFonts w:ascii="Abadi" w:hAnsi="Abadi" w:cs="ArialMT"/>
          <w:sz w:val="20"/>
          <w:szCs w:val="21"/>
        </w:rPr>
      </w:pPr>
    </w:p>
    <w:p w14:paraId="7596A692" w14:textId="77777777" w:rsidR="00483C22" w:rsidRPr="00483C22" w:rsidRDefault="00483C22" w:rsidP="00A45594">
      <w:pPr>
        <w:jc w:val="both"/>
        <w:rPr>
          <w:rFonts w:ascii="Abadi" w:hAnsi="Abadi" w:cs="Arial"/>
          <w:b/>
          <w:bCs/>
          <w:sz w:val="21"/>
          <w:szCs w:val="21"/>
        </w:rPr>
      </w:pPr>
      <w:bookmarkStart w:id="29" w:name="_Hlk95956593"/>
      <w:r w:rsidRPr="00483C22">
        <w:rPr>
          <w:rFonts w:ascii="Abadi" w:hAnsi="Abadi" w:cs="Arial"/>
          <w:b/>
          <w:bCs/>
          <w:sz w:val="21"/>
          <w:szCs w:val="21"/>
        </w:rPr>
        <w:t>Presidencia del Congreso del Estado</w:t>
      </w:r>
    </w:p>
    <w:p w14:paraId="2F811ED5" w14:textId="77777777" w:rsidR="00483C22" w:rsidRPr="00483C22" w:rsidRDefault="00483C22" w:rsidP="00A45594">
      <w:pPr>
        <w:jc w:val="both"/>
        <w:rPr>
          <w:rFonts w:ascii="Abadi" w:hAnsi="Abadi" w:cs="Arial"/>
          <w:b/>
          <w:bCs/>
          <w:sz w:val="21"/>
          <w:szCs w:val="21"/>
        </w:rPr>
      </w:pPr>
      <w:r w:rsidRPr="00483C22">
        <w:rPr>
          <w:rFonts w:ascii="Abadi" w:hAnsi="Abadi" w:cs="Arial"/>
          <w:b/>
          <w:bCs/>
          <w:sz w:val="21"/>
          <w:szCs w:val="21"/>
        </w:rPr>
        <w:t>P r e s e n t e.</w:t>
      </w:r>
    </w:p>
    <w:p w14:paraId="0788AB85" w14:textId="77777777" w:rsidR="00483C22" w:rsidRPr="00483C22" w:rsidRDefault="00483C22" w:rsidP="00A45594">
      <w:pPr>
        <w:ind w:right="-1" w:firstLine="708"/>
        <w:jc w:val="both"/>
        <w:rPr>
          <w:rFonts w:ascii="Abadi" w:eastAsia="SimSun" w:hAnsi="Abadi"/>
          <w:bCs/>
          <w:sz w:val="21"/>
          <w:szCs w:val="21"/>
        </w:rPr>
      </w:pPr>
    </w:p>
    <w:p w14:paraId="2128D480" w14:textId="77777777" w:rsidR="00483C22" w:rsidRPr="00483C22" w:rsidRDefault="00483C22" w:rsidP="00A45594">
      <w:pPr>
        <w:ind w:right="-1" w:firstLine="708"/>
        <w:jc w:val="both"/>
        <w:rPr>
          <w:rFonts w:ascii="Abadi" w:eastAsia="SimSun" w:hAnsi="Abadi"/>
          <w:bCs/>
          <w:sz w:val="21"/>
          <w:szCs w:val="21"/>
        </w:rPr>
      </w:pPr>
      <w:bookmarkStart w:id="30" w:name="_Hlk95956795"/>
      <w:bookmarkEnd w:id="29"/>
      <w:r w:rsidRPr="00483C22">
        <w:rPr>
          <w:rFonts w:ascii="Abadi" w:eastAsia="SimSun" w:hAnsi="Abadi"/>
          <w:bCs/>
          <w:sz w:val="21"/>
          <w:szCs w:val="21"/>
        </w:rPr>
        <w:t>A la Comisión de Salud Pública nos fue turnada como pendiente legislativo  para efecto de su estudio y dictamen la propuesta de punto de acuerdo suscrita  por diputadas y diputados integrantes del Grupo Parlamentario del Partido Acción Nacional ante la Sexagésima Cuarta Legislatura del Congreso del Estado, por la que se formula un respetuoso exhorto al titular del Poder Ejecutivo Federal, Licenciado Andrés Manuel López Obrador, para que instruya a las autoridades competentes a efecto de que estas lleven a cabo todas las acciones necesarias para agilizar los procesos de compra de medicamentos para tratamientos oncológicos y garantizar el suministro de medicamentos en beneficio de las niñas, niños y adolescentes con cáncer, registrada con número de expediente legislativo digital 646605.</w:t>
      </w:r>
    </w:p>
    <w:bookmarkEnd w:id="30"/>
    <w:p w14:paraId="366CFB68" w14:textId="77777777" w:rsidR="00483C22" w:rsidRPr="00483C22" w:rsidRDefault="00483C22" w:rsidP="00A45594">
      <w:pPr>
        <w:ind w:left="4248" w:right="-1"/>
        <w:jc w:val="both"/>
        <w:rPr>
          <w:rFonts w:ascii="Abadi" w:hAnsi="Abadi" w:cs="Arial"/>
          <w:sz w:val="21"/>
          <w:szCs w:val="21"/>
        </w:rPr>
      </w:pPr>
    </w:p>
    <w:p w14:paraId="0DF59482" w14:textId="77777777" w:rsidR="00483C22" w:rsidRPr="00483C22" w:rsidRDefault="00483C22" w:rsidP="00A45594">
      <w:pPr>
        <w:ind w:right="-1" w:firstLine="708"/>
        <w:jc w:val="both"/>
        <w:rPr>
          <w:rFonts w:ascii="Abadi" w:eastAsia="SimSun" w:hAnsi="Abadi"/>
          <w:bCs/>
          <w:sz w:val="21"/>
          <w:szCs w:val="21"/>
        </w:rPr>
      </w:pPr>
      <w:r w:rsidRPr="00483C22">
        <w:rPr>
          <w:rFonts w:ascii="Abadi" w:eastAsia="SimSun" w:hAnsi="Abadi"/>
          <w:bCs/>
          <w:sz w:val="21"/>
          <w:szCs w:val="21"/>
        </w:rPr>
        <w:t>Con fundamento en lo dispuesto por los artículos 75, 89, fracción V, 118 fracción II y 171 de la Ley Orgánica del Poder Legislativo del Estado de Guanajuato, esta comisión rinde el siguiente:</w:t>
      </w:r>
    </w:p>
    <w:p w14:paraId="214EFCE5" w14:textId="77777777" w:rsidR="00483C22" w:rsidRPr="00483C22" w:rsidRDefault="00483C22" w:rsidP="00A45594">
      <w:pPr>
        <w:jc w:val="both"/>
        <w:rPr>
          <w:rFonts w:ascii="Abadi" w:eastAsia="SimSun" w:hAnsi="Abadi" w:cs="Arial"/>
          <w:b/>
          <w:sz w:val="21"/>
          <w:szCs w:val="21"/>
        </w:rPr>
      </w:pPr>
    </w:p>
    <w:p w14:paraId="6E48A379" w14:textId="77777777" w:rsidR="00483C22" w:rsidRPr="00483C22" w:rsidRDefault="00483C22" w:rsidP="00A45594">
      <w:pPr>
        <w:tabs>
          <w:tab w:val="left" w:pos="1560"/>
        </w:tabs>
        <w:jc w:val="center"/>
        <w:rPr>
          <w:rFonts w:ascii="Abadi" w:eastAsia="SimSun" w:hAnsi="Abadi" w:cs="Arial"/>
          <w:bCs/>
          <w:sz w:val="21"/>
          <w:szCs w:val="21"/>
        </w:rPr>
      </w:pPr>
      <w:r w:rsidRPr="00483C22">
        <w:rPr>
          <w:rFonts w:ascii="Abadi" w:eastAsia="SimSun" w:hAnsi="Abadi" w:cs="Arial"/>
          <w:b/>
          <w:bCs/>
          <w:sz w:val="21"/>
          <w:szCs w:val="21"/>
        </w:rPr>
        <w:t xml:space="preserve">D i c t a m e n  </w:t>
      </w:r>
    </w:p>
    <w:p w14:paraId="73B44154" w14:textId="77777777" w:rsidR="00483C22" w:rsidRPr="00483C22" w:rsidRDefault="00483C22" w:rsidP="00A45594">
      <w:pPr>
        <w:tabs>
          <w:tab w:val="left" w:pos="1134"/>
        </w:tabs>
        <w:jc w:val="center"/>
        <w:rPr>
          <w:rFonts w:ascii="Abadi" w:eastAsia="SimSun" w:hAnsi="Abadi" w:cs="Arial"/>
          <w:sz w:val="21"/>
          <w:szCs w:val="21"/>
        </w:rPr>
      </w:pPr>
    </w:p>
    <w:p w14:paraId="653B34C4" w14:textId="77777777" w:rsidR="00483C22" w:rsidRPr="00483C22" w:rsidRDefault="00483C22" w:rsidP="00A45594">
      <w:pPr>
        <w:numPr>
          <w:ilvl w:val="0"/>
          <w:numId w:val="51"/>
        </w:numPr>
        <w:ind w:hanging="371"/>
        <w:jc w:val="both"/>
        <w:rPr>
          <w:rFonts w:ascii="Abadi" w:eastAsia="SimSun" w:hAnsi="Abadi" w:cs="Arial"/>
          <w:b/>
          <w:bCs/>
          <w:sz w:val="21"/>
          <w:szCs w:val="21"/>
        </w:rPr>
      </w:pPr>
      <w:r w:rsidRPr="00483C22">
        <w:rPr>
          <w:rFonts w:ascii="Abadi" w:eastAsia="SimSun" w:hAnsi="Abadi" w:cs="Arial"/>
          <w:b/>
          <w:bCs/>
          <w:sz w:val="21"/>
          <w:szCs w:val="21"/>
        </w:rPr>
        <w:t>Proceso Legislativo.</w:t>
      </w:r>
    </w:p>
    <w:p w14:paraId="2B6429C8" w14:textId="77777777" w:rsidR="00483C22" w:rsidRPr="00483C22" w:rsidRDefault="00483C22" w:rsidP="00A45594">
      <w:pPr>
        <w:ind w:firstLine="708"/>
        <w:jc w:val="both"/>
        <w:rPr>
          <w:rFonts w:ascii="Abadi" w:eastAsia="SimSun" w:hAnsi="Abadi" w:cs="Arial"/>
          <w:sz w:val="21"/>
          <w:szCs w:val="21"/>
        </w:rPr>
      </w:pPr>
      <w:r w:rsidRPr="00483C22">
        <w:rPr>
          <w:rFonts w:ascii="Abadi" w:eastAsia="SimSun" w:hAnsi="Abadi" w:cs="Arial"/>
          <w:b/>
          <w:bCs/>
          <w:sz w:val="21"/>
          <w:szCs w:val="21"/>
        </w:rPr>
        <w:t xml:space="preserve">I.1 </w:t>
      </w:r>
      <w:r w:rsidRPr="00483C22">
        <w:rPr>
          <w:rFonts w:ascii="Abadi" w:eastAsia="SimSun" w:hAnsi="Abadi" w:cs="Arial"/>
          <w:sz w:val="21"/>
          <w:szCs w:val="21"/>
        </w:rPr>
        <w:t xml:space="preserve">En la sesión plenaria del 13 de agosto de 2020, por razón de materia fue turnada a la Comisión de Salud Pública de la Sexagésima Cuarta Legislatura del Congreso del Estado, la propuesta de punto de acuerdo referida en el preámbulo del presente dictamen, en cuyo </w:t>
      </w:r>
      <w:bookmarkStart w:id="31" w:name="_Hlk96016222"/>
      <w:r w:rsidRPr="00483C22">
        <w:rPr>
          <w:rFonts w:ascii="Abadi" w:eastAsia="SimSun" w:hAnsi="Abadi" w:cs="Arial"/>
          <w:sz w:val="21"/>
          <w:szCs w:val="21"/>
        </w:rPr>
        <w:t xml:space="preserve">apartado que se identifica como </w:t>
      </w:r>
      <w:r w:rsidRPr="00483C22">
        <w:rPr>
          <w:rFonts w:ascii="Abadi" w:eastAsia="SimSun" w:hAnsi="Abadi" w:cs="Arial"/>
          <w:i/>
          <w:iCs/>
          <w:sz w:val="21"/>
          <w:szCs w:val="21"/>
        </w:rPr>
        <w:t>CONSIDERACIONES</w:t>
      </w:r>
      <w:r w:rsidRPr="00483C22">
        <w:rPr>
          <w:rFonts w:ascii="Abadi" w:eastAsia="SimSun" w:hAnsi="Abadi" w:cs="Arial"/>
          <w:b/>
          <w:bCs/>
          <w:i/>
          <w:iCs/>
          <w:sz w:val="21"/>
          <w:szCs w:val="21"/>
        </w:rPr>
        <w:t xml:space="preserve"> se</w:t>
      </w:r>
      <w:r w:rsidRPr="00483C22">
        <w:rPr>
          <w:rFonts w:ascii="Abadi" w:eastAsia="SimSun" w:hAnsi="Abadi" w:cs="Arial"/>
          <w:i/>
          <w:iCs/>
          <w:sz w:val="21"/>
          <w:szCs w:val="21"/>
        </w:rPr>
        <w:t xml:space="preserve"> </w:t>
      </w:r>
      <w:r w:rsidRPr="00483C22">
        <w:rPr>
          <w:rFonts w:ascii="Abadi" w:eastAsia="SimSun" w:hAnsi="Abadi" w:cs="Arial"/>
          <w:sz w:val="21"/>
          <w:szCs w:val="21"/>
        </w:rPr>
        <w:t>precisa:</w:t>
      </w:r>
    </w:p>
    <w:p w14:paraId="3CA3AAAF" w14:textId="77777777" w:rsidR="00483C22" w:rsidRPr="00483C22" w:rsidRDefault="00483C22" w:rsidP="00A45594">
      <w:pPr>
        <w:tabs>
          <w:tab w:val="left" w:pos="1701"/>
        </w:tabs>
        <w:autoSpaceDE w:val="0"/>
        <w:autoSpaceDN w:val="0"/>
        <w:adjustRightInd w:val="0"/>
        <w:jc w:val="both"/>
        <w:rPr>
          <w:rFonts w:ascii="Abadi" w:eastAsia="SimSun" w:hAnsi="Abadi" w:cs="Arial"/>
          <w:i/>
          <w:iCs/>
          <w:sz w:val="21"/>
          <w:szCs w:val="21"/>
        </w:rPr>
      </w:pPr>
    </w:p>
    <w:p w14:paraId="6DD7CAEC" w14:textId="77777777" w:rsidR="00483C22" w:rsidRPr="00483C22" w:rsidRDefault="00483C22" w:rsidP="00A45594">
      <w:pPr>
        <w:tabs>
          <w:tab w:val="left" w:pos="1701"/>
        </w:tabs>
        <w:autoSpaceDE w:val="0"/>
        <w:autoSpaceDN w:val="0"/>
        <w:adjustRightInd w:val="0"/>
        <w:jc w:val="both"/>
        <w:rPr>
          <w:rFonts w:ascii="Abadi" w:eastAsia="SimSun" w:hAnsi="Abadi" w:cs="Arial"/>
          <w:sz w:val="21"/>
          <w:szCs w:val="21"/>
        </w:rPr>
      </w:pPr>
      <w:r w:rsidRPr="00483C22">
        <w:rPr>
          <w:rFonts w:ascii="Abadi" w:eastAsia="SimSun" w:hAnsi="Abadi" w:cs="Arial"/>
          <w:i/>
          <w:iCs/>
          <w:sz w:val="21"/>
          <w:szCs w:val="21"/>
        </w:rPr>
        <w:t xml:space="preserve">        </w:t>
      </w:r>
      <w:r w:rsidRPr="00483C22">
        <w:rPr>
          <w:rFonts w:ascii="Abadi" w:eastAsia="SimSun" w:hAnsi="Abadi" w:cs="Arial"/>
          <w:sz w:val="21"/>
          <w:szCs w:val="21"/>
        </w:rPr>
        <w:t xml:space="preserve">    (…)</w:t>
      </w:r>
    </w:p>
    <w:p w14:paraId="0A90A74A" w14:textId="77777777" w:rsidR="00483C22" w:rsidRPr="00483C22" w:rsidRDefault="00483C22" w:rsidP="00A45594">
      <w:pPr>
        <w:tabs>
          <w:tab w:val="left" w:pos="1701"/>
        </w:tabs>
        <w:autoSpaceDE w:val="0"/>
        <w:autoSpaceDN w:val="0"/>
        <w:adjustRightInd w:val="0"/>
        <w:jc w:val="both"/>
        <w:rPr>
          <w:rFonts w:ascii="Abadi" w:eastAsia="SimSun" w:hAnsi="Abadi" w:cs="Arial"/>
          <w:sz w:val="21"/>
          <w:szCs w:val="21"/>
        </w:rPr>
      </w:pPr>
    </w:p>
    <w:bookmarkEnd w:id="31"/>
    <w:p w14:paraId="6A6E768E" w14:textId="77777777" w:rsidR="00483C22" w:rsidRPr="00483C22" w:rsidRDefault="00483C22" w:rsidP="00A45594">
      <w:pPr>
        <w:ind w:left="802" w:right="877"/>
        <w:jc w:val="both"/>
        <w:rPr>
          <w:rFonts w:ascii="Abadi" w:eastAsia="SimSun" w:hAnsi="Abadi" w:cs="Arial"/>
          <w:i/>
          <w:iCs/>
          <w:sz w:val="21"/>
          <w:szCs w:val="21"/>
        </w:rPr>
      </w:pPr>
      <w:r w:rsidRPr="00483C22">
        <w:rPr>
          <w:rFonts w:ascii="Abadi" w:eastAsia="SimSun" w:hAnsi="Abadi" w:cs="Arial"/>
          <w:i/>
          <w:iCs/>
          <w:sz w:val="21"/>
          <w:szCs w:val="21"/>
        </w:rPr>
        <w:t>La pandemia de covid-19 es una de las mayores disrupciones que han enfrentado los sistemas de salud en las últimas décadas, con más de 20 millones y medio de casos, incluyendo 749 mil muertes en todo el mundo, de las cuales más de 53 mil han ocurrido en México, el tercer país con más muertos a nivel mundial.</w:t>
      </w:r>
    </w:p>
    <w:p w14:paraId="2AC71A07" w14:textId="77777777" w:rsidR="00483C22" w:rsidRPr="00483C22" w:rsidRDefault="00483C22" w:rsidP="00A45594">
      <w:pPr>
        <w:ind w:left="802" w:right="877"/>
        <w:jc w:val="both"/>
        <w:rPr>
          <w:rFonts w:ascii="Abadi" w:eastAsia="SimSun" w:hAnsi="Abadi" w:cs="Arial"/>
          <w:i/>
          <w:iCs/>
          <w:sz w:val="21"/>
          <w:szCs w:val="21"/>
        </w:rPr>
      </w:pPr>
    </w:p>
    <w:p w14:paraId="333E3C5C" w14:textId="77777777" w:rsidR="00483C22" w:rsidRPr="00483C22" w:rsidRDefault="00483C22" w:rsidP="00A45594">
      <w:pPr>
        <w:ind w:left="802" w:right="877"/>
        <w:jc w:val="both"/>
        <w:rPr>
          <w:rFonts w:ascii="Abadi" w:eastAsia="SimSun" w:hAnsi="Abadi" w:cs="Arial"/>
          <w:i/>
          <w:iCs/>
          <w:sz w:val="21"/>
          <w:szCs w:val="21"/>
        </w:rPr>
      </w:pPr>
      <w:r w:rsidRPr="00483C22">
        <w:rPr>
          <w:rFonts w:ascii="Abadi" w:eastAsia="SimSun" w:hAnsi="Abadi" w:cs="Arial"/>
          <w:i/>
          <w:iCs/>
          <w:sz w:val="21"/>
          <w:szCs w:val="21"/>
        </w:rPr>
        <w:t>Reconocemos la gravedad de la situación, al igual que los esfuerzos de las instituciones de todos los niveles de gobierno para enfrentar este desafío en la medida de sus recursos y de sus facultades. Sin embargo, la trágica realidad del covid-19 no anula el sufrimiento y la lucha de los millones de mexicanas y mexicanos, niños y adultos, que luchan contra otros padecimientos.</w:t>
      </w:r>
    </w:p>
    <w:p w14:paraId="759E69A3" w14:textId="77777777" w:rsidR="00483C22" w:rsidRPr="00483C22" w:rsidRDefault="00483C22" w:rsidP="00A45594">
      <w:pPr>
        <w:spacing w:before="1"/>
        <w:ind w:right="877"/>
        <w:jc w:val="both"/>
        <w:rPr>
          <w:rFonts w:ascii="Abadi" w:hAnsi="Abadi" w:cs="Arial"/>
          <w:i/>
          <w:iCs/>
          <w:sz w:val="21"/>
          <w:szCs w:val="21"/>
        </w:rPr>
      </w:pPr>
    </w:p>
    <w:p w14:paraId="594798B6" w14:textId="77777777" w:rsidR="00483C22" w:rsidRPr="00483C22" w:rsidRDefault="00483C22" w:rsidP="00A45594">
      <w:pPr>
        <w:ind w:left="802" w:right="877"/>
        <w:jc w:val="both"/>
        <w:rPr>
          <w:rFonts w:ascii="Abadi" w:eastAsia="SimSun" w:hAnsi="Abadi" w:cs="Arial"/>
          <w:i/>
          <w:iCs/>
          <w:sz w:val="21"/>
          <w:szCs w:val="21"/>
        </w:rPr>
      </w:pPr>
      <w:r w:rsidRPr="00483C22">
        <w:rPr>
          <w:rFonts w:ascii="Abadi" w:eastAsia="SimSun" w:hAnsi="Abadi" w:cs="Arial"/>
          <w:i/>
          <w:iCs/>
          <w:sz w:val="21"/>
          <w:szCs w:val="21"/>
        </w:rPr>
        <w:t>La pandemia no puede ser el pretexto para negarle su derecho a la atención médica al resto de los pacientes y especialmente a las niñas, niños y adolescentes que enfrentan al cáncer.</w:t>
      </w:r>
    </w:p>
    <w:p w14:paraId="2ABA59C2" w14:textId="77777777" w:rsidR="00483C22" w:rsidRPr="00483C22" w:rsidRDefault="00483C22" w:rsidP="00A45594">
      <w:pPr>
        <w:ind w:right="877"/>
        <w:jc w:val="both"/>
        <w:rPr>
          <w:rFonts w:ascii="Abadi" w:eastAsia="SimSun" w:hAnsi="Abadi" w:cs="Arial"/>
          <w:i/>
          <w:iCs/>
          <w:sz w:val="21"/>
          <w:szCs w:val="21"/>
        </w:rPr>
      </w:pPr>
    </w:p>
    <w:p w14:paraId="4A122092" w14:textId="77777777" w:rsidR="00483C22" w:rsidRPr="00483C22" w:rsidRDefault="00483C22" w:rsidP="00A45594">
      <w:pPr>
        <w:spacing w:before="1"/>
        <w:ind w:left="851" w:right="877"/>
        <w:jc w:val="both"/>
        <w:rPr>
          <w:rFonts w:ascii="Abadi" w:eastAsia="SimSun" w:hAnsi="Abadi" w:cs="Arial"/>
          <w:i/>
          <w:iCs/>
          <w:sz w:val="21"/>
          <w:szCs w:val="21"/>
        </w:rPr>
      </w:pPr>
      <w:r w:rsidRPr="00483C22">
        <w:rPr>
          <w:rFonts w:ascii="Abadi" w:eastAsia="SimSun" w:hAnsi="Abadi" w:cs="Arial"/>
          <w:i/>
          <w:iCs/>
          <w:sz w:val="21"/>
          <w:szCs w:val="21"/>
        </w:rPr>
        <w:t>Con esta convicción, que compartimos profundamente todas las diputadas y diputados del grupo parlamentario del Partido Acción Nacional, desde esta tribuna proponemos que este congreso lance un llamado respetuoso, pero claro y contundente, al gobierno federal, para que corrijan el desorden, la indolencia o la franca incompetencia que los ha llevado a provocar una escasez generalizada de medicamentos para el tratamiento de las niñas y niños con cáncer.</w:t>
      </w:r>
    </w:p>
    <w:p w14:paraId="34786A9D" w14:textId="77777777" w:rsidR="00483C22" w:rsidRPr="00483C22" w:rsidRDefault="00483C22" w:rsidP="00A45594">
      <w:pPr>
        <w:spacing w:before="1"/>
        <w:ind w:left="851" w:right="1019"/>
        <w:jc w:val="both"/>
        <w:rPr>
          <w:rFonts w:ascii="Abadi" w:eastAsia="SimSun" w:hAnsi="Abadi" w:cs="Arial"/>
          <w:i/>
          <w:iCs/>
          <w:sz w:val="21"/>
          <w:szCs w:val="21"/>
        </w:rPr>
      </w:pPr>
    </w:p>
    <w:p w14:paraId="0A9EE041" w14:textId="77777777" w:rsidR="00483C22" w:rsidRPr="00483C22" w:rsidRDefault="00483C22" w:rsidP="00A45594">
      <w:pPr>
        <w:spacing w:before="1"/>
        <w:ind w:left="851" w:right="877"/>
        <w:jc w:val="both"/>
        <w:rPr>
          <w:rFonts w:ascii="Abadi" w:eastAsia="SimSun" w:hAnsi="Abadi" w:cs="Arial"/>
          <w:i/>
          <w:iCs/>
          <w:sz w:val="21"/>
          <w:szCs w:val="21"/>
        </w:rPr>
      </w:pPr>
      <w:r w:rsidRPr="00483C22">
        <w:rPr>
          <w:rFonts w:ascii="Abadi" w:eastAsia="SimSun" w:hAnsi="Abadi" w:cs="Arial"/>
          <w:i/>
          <w:iCs/>
          <w:sz w:val="21"/>
          <w:szCs w:val="21"/>
        </w:rPr>
        <w:t>La falta de medicinas para los tratamientos oncológicos, particularmente aquellos necesarios para miles de niñas, niños y adolescentes es una auténtica tragedia de alcance nacional, contra la que ya se han manifestado nuestros  compañeros  diputados  de  Acción  Nacional en los congresos locales del Estado de México, Coahuila, Jalisco, Ciudad de México, Yucatán, Querétaro, Nuevo León, Oaxaca, Chihuahua, Puebla, Tamaulipas y Morelos.</w:t>
      </w:r>
    </w:p>
    <w:p w14:paraId="0C0DE194" w14:textId="77777777" w:rsidR="00483C22" w:rsidRPr="00483C22" w:rsidRDefault="00483C22" w:rsidP="00A45594">
      <w:pPr>
        <w:ind w:left="851" w:right="877"/>
        <w:jc w:val="both"/>
        <w:rPr>
          <w:rFonts w:ascii="Abadi" w:eastAsia="SimSun" w:hAnsi="Abadi" w:cs="Arial"/>
          <w:i/>
          <w:iCs/>
          <w:sz w:val="21"/>
          <w:szCs w:val="21"/>
        </w:rPr>
      </w:pPr>
    </w:p>
    <w:p w14:paraId="0B939494" w14:textId="60E92A64" w:rsidR="00483C22" w:rsidRPr="00483C22" w:rsidRDefault="00483C22" w:rsidP="00A45594">
      <w:pPr>
        <w:ind w:left="851" w:right="877"/>
        <w:jc w:val="both"/>
        <w:rPr>
          <w:rFonts w:ascii="Abadi" w:eastAsia="SimSun" w:hAnsi="Abadi" w:cs="Arial"/>
          <w:i/>
          <w:iCs/>
          <w:sz w:val="21"/>
          <w:szCs w:val="21"/>
        </w:rPr>
      </w:pPr>
      <w:r w:rsidRPr="00483C22">
        <w:rPr>
          <w:rFonts w:ascii="Abadi" w:eastAsia="SimSun" w:hAnsi="Abadi" w:cs="Arial"/>
          <w:i/>
          <w:iCs/>
          <w:sz w:val="21"/>
          <w:szCs w:val="21"/>
        </w:rPr>
        <w:t>Desde Guanajuato compartimos tanto la indignación ante la injusticia, como la convicción de que es necesario exhortar a las autoridades federales para que atiendan esta sentida demanda  que  también  tiene  consecuencias  directas en nuestro estado, como ya quedó claro durante la mesa de trabajo con motivo del análisis del estado que guarda la administración pública estatal y temas relacionados con la contingencia sanitaria.</w:t>
      </w:r>
    </w:p>
    <w:p w14:paraId="37B7B2E1" w14:textId="77777777" w:rsidR="00483C22" w:rsidRPr="00483C22" w:rsidRDefault="00483C22" w:rsidP="00A45594">
      <w:pPr>
        <w:ind w:left="802" w:right="877"/>
        <w:jc w:val="both"/>
        <w:rPr>
          <w:rFonts w:ascii="Abadi" w:eastAsia="SimSun" w:hAnsi="Abadi" w:cs="Arial"/>
          <w:i/>
          <w:iCs/>
          <w:sz w:val="21"/>
          <w:szCs w:val="21"/>
        </w:rPr>
      </w:pPr>
    </w:p>
    <w:p w14:paraId="1D5635A9" w14:textId="77777777" w:rsidR="00483C22" w:rsidRPr="00483C22" w:rsidRDefault="00483C22" w:rsidP="00A45594">
      <w:pPr>
        <w:ind w:left="802" w:right="877"/>
        <w:jc w:val="both"/>
        <w:rPr>
          <w:rFonts w:ascii="Abadi" w:eastAsia="SimSun" w:hAnsi="Abadi" w:cs="Arial"/>
          <w:i/>
          <w:iCs/>
          <w:sz w:val="21"/>
          <w:szCs w:val="21"/>
        </w:rPr>
      </w:pPr>
      <w:r w:rsidRPr="00483C22">
        <w:rPr>
          <w:rFonts w:ascii="Abadi" w:eastAsia="SimSun" w:hAnsi="Abadi" w:cs="Arial"/>
          <w:i/>
          <w:iCs/>
          <w:sz w:val="21"/>
          <w:szCs w:val="21"/>
        </w:rPr>
        <w:t>Ahí, el Secretario de Salud, Daniel Díaz Martínez, confirmó que la escasez de medicamentos también ha afectado al estado de Guanajuato, pues debido a la falta de adquisición y distribución de medicamentos a cargo del gobierno federal, el estado ha enfrentado desabasto de los mismos para la atención del cáncer, pues incluso llegó a existir carencia de 8 medicinas, que el gobierno estatal tuvo que adquirir por su cuenta, y aun ahora faltan 3 de las 20 substancias necesarias para la mezcla oncológica con la que se atiende el tratamiento de los más de 140 niños y niñas con cáncer en los hospitales del estado.</w:t>
      </w:r>
    </w:p>
    <w:p w14:paraId="0F5558A8" w14:textId="77777777" w:rsidR="00483C22" w:rsidRPr="00483C22" w:rsidRDefault="00483C22" w:rsidP="00A45594">
      <w:pPr>
        <w:spacing w:before="1"/>
        <w:ind w:right="877"/>
        <w:jc w:val="both"/>
        <w:rPr>
          <w:rFonts w:ascii="Abadi" w:eastAsia="SimSun" w:hAnsi="Abadi" w:cs="Arial"/>
          <w:i/>
          <w:iCs/>
          <w:sz w:val="21"/>
          <w:szCs w:val="21"/>
        </w:rPr>
      </w:pPr>
    </w:p>
    <w:p w14:paraId="5836EAB7" w14:textId="77777777" w:rsidR="00483C22" w:rsidRPr="00483C22" w:rsidRDefault="00483C22" w:rsidP="00A45594">
      <w:pPr>
        <w:ind w:left="802" w:right="877"/>
        <w:jc w:val="both"/>
        <w:rPr>
          <w:rFonts w:ascii="Abadi" w:eastAsia="SimSun" w:hAnsi="Abadi" w:cs="Arial"/>
          <w:i/>
          <w:iCs/>
          <w:sz w:val="21"/>
          <w:szCs w:val="21"/>
        </w:rPr>
      </w:pPr>
      <w:r w:rsidRPr="00483C22">
        <w:rPr>
          <w:rFonts w:ascii="Abadi" w:eastAsia="SimSun" w:hAnsi="Abadi" w:cs="Arial"/>
          <w:i/>
          <w:iCs/>
          <w:sz w:val="21"/>
          <w:szCs w:val="21"/>
        </w:rPr>
        <w:t>Es necesario señalar que durante los últimos sexenios, estos tratamientos se financiaban por medio del fondo de protección contra gastos catastróficos, que respaldaban económicamente a los programas de atención al cáncer en la infancia y adolescencia.</w:t>
      </w:r>
    </w:p>
    <w:p w14:paraId="4DD74579" w14:textId="77777777" w:rsidR="00483C22" w:rsidRPr="00483C22" w:rsidRDefault="00483C22" w:rsidP="00A45594">
      <w:pPr>
        <w:spacing w:before="1"/>
        <w:ind w:right="877"/>
        <w:jc w:val="both"/>
        <w:rPr>
          <w:rFonts w:ascii="Abadi" w:eastAsia="SimSun" w:hAnsi="Abadi" w:cs="Arial"/>
          <w:i/>
          <w:iCs/>
          <w:sz w:val="21"/>
          <w:szCs w:val="21"/>
        </w:rPr>
      </w:pPr>
    </w:p>
    <w:p w14:paraId="56910860" w14:textId="1F776FAC" w:rsidR="00483C22" w:rsidRPr="00483C22" w:rsidRDefault="00483C22" w:rsidP="00A45594">
      <w:pPr>
        <w:ind w:left="802" w:right="877"/>
        <w:jc w:val="both"/>
        <w:rPr>
          <w:rFonts w:ascii="Abadi" w:eastAsia="SimSun" w:hAnsi="Abadi" w:cs="Arial"/>
          <w:i/>
          <w:iCs/>
          <w:sz w:val="21"/>
          <w:szCs w:val="21"/>
        </w:rPr>
      </w:pPr>
      <w:r w:rsidRPr="00483C22">
        <w:rPr>
          <w:rFonts w:ascii="Abadi" w:eastAsia="SimSun" w:hAnsi="Abadi" w:cs="Arial"/>
          <w:i/>
          <w:iCs/>
          <w:sz w:val="21"/>
          <w:szCs w:val="21"/>
        </w:rPr>
        <w:t>Sin embargo, en lo que parece un impulso ciego de demoler todo lo anterior, y reemplazarlo con meros parches institucionales, el régimen ordenó desparecer al seguro popular   y todo lo que se le relacionara, reemplazándolo con el “Instituto de Salud para el Bienestar (INSABI)”, pero sin dotarlo de reglas de operación ni mecanismos, ni recursos que reemplazaran al fondo de protección contra gastos catastróficos.</w:t>
      </w:r>
    </w:p>
    <w:p w14:paraId="14FB276A" w14:textId="77777777" w:rsidR="00483C22" w:rsidRPr="00483C22" w:rsidRDefault="00483C22" w:rsidP="00A45594">
      <w:pPr>
        <w:ind w:right="877"/>
        <w:jc w:val="both"/>
        <w:rPr>
          <w:rFonts w:ascii="Abadi" w:eastAsia="SimSun" w:hAnsi="Abadi" w:cs="Arial"/>
          <w:i/>
          <w:iCs/>
          <w:sz w:val="21"/>
          <w:szCs w:val="21"/>
        </w:rPr>
      </w:pPr>
    </w:p>
    <w:p w14:paraId="0223CD80" w14:textId="77777777" w:rsidR="00483C22" w:rsidRPr="00483C22" w:rsidRDefault="00483C22" w:rsidP="00A45594">
      <w:pPr>
        <w:spacing w:before="1"/>
        <w:ind w:left="802" w:right="877"/>
        <w:jc w:val="both"/>
        <w:rPr>
          <w:rFonts w:ascii="Abadi" w:eastAsia="SimSun" w:hAnsi="Abadi" w:cs="Arial"/>
          <w:b/>
          <w:bCs/>
          <w:i/>
          <w:iCs/>
          <w:sz w:val="21"/>
          <w:szCs w:val="21"/>
        </w:rPr>
      </w:pPr>
      <w:r w:rsidRPr="00483C22">
        <w:rPr>
          <w:rFonts w:ascii="Abadi" w:eastAsia="SimSun" w:hAnsi="Abadi" w:cs="Arial"/>
          <w:b/>
          <w:bCs/>
          <w:i/>
          <w:iCs/>
          <w:sz w:val="21"/>
          <w:szCs w:val="21"/>
        </w:rPr>
        <w:t>El resultado es que, a ocho meses de su puesta en marcha, el INSABI sigue en un limbo jurídico, mientras el gobierno federal se da su tiempo, con calma, con mucha calma.</w:t>
      </w:r>
    </w:p>
    <w:p w14:paraId="328F5F9F" w14:textId="77777777" w:rsidR="00483C22" w:rsidRPr="00483C22" w:rsidRDefault="00483C22" w:rsidP="00A45594">
      <w:pPr>
        <w:spacing w:before="1"/>
        <w:ind w:left="802" w:right="877"/>
        <w:jc w:val="both"/>
        <w:rPr>
          <w:rFonts w:ascii="Abadi" w:eastAsia="SimSun" w:hAnsi="Abadi" w:cs="Arial"/>
          <w:b/>
          <w:bCs/>
          <w:i/>
          <w:iCs/>
          <w:sz w:val="21"/>
          <w:szCs w:val="21"/>
        </w:rPr>
      </w:pPr>
    </w:p>
    <w:p w14:paraId="4154327A" w14:textId="77777777" w:rsidR="00483C22" w:rsidRPr="00483C22" w:rsidRDefault="00483C22" w:rsidP="00A45594">
      <w:pPr>
        <w:spacing w:before="1"/>
        <w:ind w:left="802" w:right="877"/>
        <w:jc w:val="both"/>
        <w:rPr>
          <w:rFonts w:ascii="Abadi" w:eastAsia="SimSun" w:hAnsi="Abadi" w:cs="Arial"/>
          <w:b/>
          <w:bCs/>
          <w:i/>
          <w:iCs/>
          <w:sz w:val="21"/>
          <w:szCs w:val="21"/>
        </w:rPr>
      </w:pPr>
      <w:r w:rsidRPr="00483C22">
        <w:rPr>
          <w:rFonts w:ascii="Abadi" w:eastAsia="SimSun" w:hAnsi="Abadi" w:cs="Arial"/>
          <w:b/>
          <w:bCs/>
          <w:i/>
          <w:iCs/>
          <w:sz w:val="21"/>
          <w:szCs w:val="21"/>
        </w:rPr>
        <w:t>El problema es que los niñas y niñas con cáncer, al igual que sus familias, no tienen ni tiempo ni calma para esperar a que el gobierno federal le de orden a sus ocurrencias.</w:t>
      </w:r>
    </w:p>
    <w:p w14:paraId="56214963" w14:textId="77777777" w:rsidR="00483C22" w:rsidRPr="00483C22" w:rsidRDefault="00483C22" w:rsidP="00A45594">
      <w:pPr>
        <w:jc w:val="both"/>
        <w:rPr>
          <w:rFonts w:ascii="Abadi" w:eastAsia="SimSun" w:hAnsi="Abadi" w:cs="Arial"/>
          <w:b/>
          <w:bCs/>
          <w:i/>
          <w:iCs/>
          <w:sz w:val="21"/>
          <w:szCs w:val="21"/>
        </w:rPr>
      </w:pPr>
    </w:p>
    <w:p w14:paraId="5609375A" w14:textId="77777777" w:rsidR="00483C22" w:rsidRPr="00483C22" w:rsidRDefault="00483C22" w:rsidP="00A45594">
      <w:pPr>
        <w:ind w:left="802" w:right="877"/>
        <w:jc w:val="both"/>
        <w:rPr>
          <w:rFonts w:ascii="Abadi" w:eastAsia="SimSun" w:hAnsi="Abadi" w:cs="Arial"/>
          <w:b/>
          <w:bCs/>
          <w:i/>
          <w:iCs/>
          <w:sz w:val="21"/>
          <w:szCs w:val="21"/>
        </w:rPr>
      </w:pPr>
    </w:p>
    <w:p w14:paraId="3A9D501D" w14:textId="77777777" w:rsidR="00483C22" w:rsidRPr="00483C22" w:rsidRDefault="00483C22" w:rsidP="00A45594">
      <w:pPr>
        <w:ind w:left="802" w:right="877"/>
        <w:jc w:val="both"/>
        <w:rPr>
          <w:rFonts w:ascii="Abadi" w:eastAsia="SimSun" w:hAnsi="Abadi" w:cs="Arial"/>
          <w:b/>
          <w:bCs/>
          <w:i/>
          <w:iCs/>
          <w:sz w:val="21"/>
          <w:szCs w:val="21"/>
        </w:rPr>
      </w:pPr>
    </w:p>
    <w:p w14:paraId="401728E6" w14:textId="77777777" w:rsidR="00483C22" w:rsidRPr="00483C22" w:rsidRDefault="00483C22" w:rsidP="00A45594">
      <w:pPr>
        <w:ind w:left="802" w:right="877"/>
        <w:jc w:val="both"/>
        <w:rPr>
          <w:rFonts w:ascii="Abadi" w:eastAsia="SimSun" w:hAnsi="Abadi" w:cs="Arial"/>
          <w:b/>
          <w:bCs/>
          <w:i/>
          <w:iCs/>
          <w:sz w:val="21"/>
          <w:szCs w:val="21"/>
        </w:rPr>
      </w:pPr>
      <w:r w:rsidRPr="00483C22">
        <w:rPr>
          <w:rFonts w:ascii="Abadi" w:eastAsia="SimSun" w:hAnsi="Abadi" w:cs="Arial"/>
          <w:b/>
          <w:bCs/>
          <w:i/>
          <w:iCs/>
          <w:sz w:val="21"/>
          <w:szCs w:val="21"/>
        </w:rPr>
        <w:t>Este problema sucede en todo el país, y sigue existiendo a pesar de las múltiples promesas los funcionarios federales de las secretarías de salud y de gobernación le han hecho a las madres y padres de esos niños. Y que han incumplido.</w:t>
      </w:r>
    </w:p>
    <w:p w14:paraId="5388DA84" w14:textId="77777777" w:rsidR="00483C22" w:rsidRPr="00483C22" w:rsidRDefault="00483C22" w:rsidP="00A45594">
      <w:pPr>
        <w:jc w:val="both"/>
        <w:rPr>
          <w:rFonts w:ascii="Abadi" w:eastAsia="SimSun" w:hAnsi="Abadi" w:cs="Arial"/>
          <w:i/>
          <w:iCs/>
          <w:sz w:val="21"/>
          <w:szCs w:val="21"/>
        </w:rPr>
      </w:pPr>
    </w:p>
    <w:p w14:paraId="4433E76C" w14:textId="77777777" w:rsidR="00483C22" w:rsidRPr="00483C22" w:rsidRDefault="00483C22" w:rsidP="00A45594">
      <w:pPr>
        <w:ind w:left="802" w:right="877"/>
        <w:jc w:val="both"/>
        <w:rPr>
          <w:rFonts w:ascii="Abadi" w:eastAsia="SimSun" w:hAnsi="Abadi" w:cs="Arial"/>
          <w:i/>
          <w:iCs/>
          <w:sz w:val="21"/>
          <w:szCs w:val="21"/>
        </w:rPr>
      </w:pPr>
      <w:r w:rsidRPr="00483C22">
        <w:rPr>
          <w:rFonts w:ascii="Abadi" w:eastAsia="SimSun" w:hAnsi="Abadi" w:cs="Arial"/>
          <w:i/>
          <w:iCs/>
          <w:sz w:val="21"/>
          <w:szCs w:val="21"/>
        </w:rPr>
        <w:t>Sentarse en frente de los padres de niños con cáncer, prometerles que ahora sí llegarán las medicinas para sus hijas e hijos, y romper esa promesa, una y otra vez, es uno de los actos más ruines que puede cometer un gobierno, y eso es lo que está sucediendo desde hace meses con el régimen que prometió una atención al nivel de Canadá y Europa, pero que en  realidad  ni  siquiera  está  ofreciendo  una  atención como la del México del 2017, cuando no había cuarta transformación, pero sí había medicinas para los niños con cáncer.</w:t>
      </w:r>
    </w:p>
    <w:p w14:paraId="1642028A" w14:textId="77777777" w:rsidR="00483C22" w:rsidRPr="00483C22" w:rsidRDefault="00483C22" w:rsidP="00A45594">
      <w:pPr>
        <w:spacing w:before="1"/>
        <w:ind w:right="877"/>
        <w:jc w:val="both"/>
        <w:rPr>
          <w:rFonts w:ascii="Abadi" w:eastAsia="SimSun" w:hAnsi="Abadi" w:cs="Arial"/>
          <w:i/>
          <w:iCs/>
          <w:sz w:val="21"/>
          <w:szCs w:val="21"/>
        </w:rPr>
      </w:pPr>
    </w:p>
    <w:p w14:paraId="7D68159C" w14:textId="77777777" w:rsidR="00483C22" w:rsidRPr="00483C22" w:rsidRDefault="00483C22" w:rsidP="00A45594">
      <w:pPr>
        <w:ind w:left="802" w:right="877"/>
        <w:jc w:val="both"/>
        <w:rPr>
          <w:rFonts w:ascii="Abadi" w:eastAsia="SimSun" w:hAnsi="Abadi" w:cs="Arial"/>
          <w:i/>
          <w:iCs/>
          <w:sz w:val="21"/>
          <w:szCs w:val="21"/>
        </w:rPr>
      </w:pPr>
      <w:r w:rsidRPr="00483C22">
        <w:rPr>
          <w:rFonts w:ascii="Abadi" w:eastAsia="SimSun" w:hAnsi="Abadi" w:cs="Arial"/>
          <w:i/>
          <w:iCs/>
          <w:sz w:val="21"/>
          <w:szCs w:val="21"/>
        </w:rPr>
        <w:t>Y si antes el escándalo eran las quimioterapias con agua que se acusaron en Veracruz, hoy la indignación son las promesas de medicinas por parte del gobierno federal, que no valen ni el agua, porque no se cumplen y está pasando en todo el país.</w:t>
      </w:r>
    </w:p>
    <w:p w14:paraId="1D120BB1" w14:textId="77777777" w:rsidR="00483C22" w:rsidRPr="00483C22" w:rsidRDefault="00483C22" w:rsidP="00A45594">
      <w:pPr>
        <w:jc w:val="both"/>
        <w:rPr>
          <w:rFonts w:ascii="Abadi" w:eastAsia="SimSun" w:hAnsi="Abadi" w:cs="Arial"/>
          <w:i/>
          <w:iCs/>
          <w:sz w:val="21"/>
          <w:szCs w:val="21"/>
        </w:rPr>
      </w:pPr>
    </w:p>
    <w:p w14:paraId="58574F41" w14:textId="77777777" w:rsidR="00483C22" w:rsidRPr="00483C22" w:rsidRDefault="00483C22" w:rsidP="00A45594">
      <w:pPr>
        <w:ind w:left="802" w:right="877"/>
        <w:jc w:val="both"/>
        <w:rPr>
          <w:rFonts w:ascii="Abadi" w:eastAsia="SimSun" w:hAnsi="Abadi" w:cs="Arial"/>
          <w:i/>
          <w:iCs/>
          <w:sz w:val="21"/>
          <w:szCs w:val="21"/>
        </w:rPr>
      </w:pPr>
      <w:r w:rsidRPr="00483C22">
        <w:rPr>
          <w:rFonts w:ascii="Abadi" w:eastAsia="SimSun" w:hAnsi="Abadi" w:cs="Arial"/>
          <w:i/>
          <w:iCs/>
          <w:sz w:val="21"/>
          <w:szCs w:val="21"/>
        </w:rPr>
        <w:t>Hay muchos gastos con los que pueden jugar a la austeridad y las “vencidas”. Pero no se vale hacerlo con las medicinas de los niños con cáncer. Eso no.</w:t>
      </w:r>
    </w:p>
    <w:p w14:paraId="2888552B" w14:textId="77777777" w:rsidR="00483C22" w:rsidRPr="00483C22" w:rsidRDefault="00483C22" w:rsidP="00A45594">
      <w:pPr>
        <w:tabs>
          <w:tab w:val="left" w:pos="1701"/>
        </w:tabs>
        <w:autoSpaceDE w:val="0"/>
        <w:autoSpaceDN w:val="0"/>
        <w:adjustRightInd w:val="0"/>
        <w:ind w:right="877"/>
        <w:jc w:val="both"/>
        <w:rPr>
          <w:rFonts w:ascii="Abadi" w:eastAsia="SimSun" w:hAnsi="Abadi" w:cs="Arial"/>
          <w:i/>
          <w:iCs/>
          <w:sz w:val="21"/>
          <w:szCs w:val="21"/>
        </w:rPr>
      </w:pPr>
      <w:r w:rsidRPr="00483C22">
        <w:rPr>
          <w:rFonts w:ascii="Abadi" w:eastAsia="SimSun" w:hAnsi="Abadi" w:cs="Arial"/>
          <w:i/>
          <w:iCs/>
          <w:sz w:val="21"/>
          <w:szCs w:val="21"/>
        </w:rPr>
        <w:t xml:space="preserve">                </w:t>
      </w:r>
    </w:p>
    <w:p w14:paraId="11382352" w14:textId="77777777" w:rsidR="00483C22" w:rsidRPr="00483C22" w:rsidRDefault="00483C22" w:rsidP="00A45594">
      <w:pPr>
        <w:tabs>
          <w:tab w:val="left" w:pos="1701"/>
        </w:tabs>
        <w:autoSpaceDE w:val="0"/>
        <w:autoSpaceDN w:val="0"/>
        <w:adjustRightInd w:val="0"/>
        <w:jc w:val="both"/>
        <w:rPr>
          <w:rFonts w:ascii="Abadi" w:eastAsia="SimSun" w:hAnsi="Abadi" w:cs="Arial"/>
          <w:sz w:val="21"/>
          <w:szCs w:val="21"/>
        </w:rPr>
      </w:pPr>
      <w:r w:rsidRPr="00483C22">
        <w:rPr>
          <w:rFonts w:ascii="Abadi" w:eastAsia="SimSun" w:hAnsi="Abadi" w:cs="Arial"/>
          <w:sz w:val="21"/>
          <w:szCs w:val="21"/>
        </w:rPr>
        <w:t xml:space="preserve">             (…)</w:t>
      </w:r>
    </w:p>
    <w:p w14:paraId="31AFCC51" w14:textId="77777777" w:rsidR="00483C22" w:rsidRPr="00483C22" w:rsidRDefault="00483C22" w:rsidP="00A45594">
      <w:pPr>
        <w:ind w:firstLine="708"/>
        <w:jc w:val="both"/>
        <w:rPr>
          <w:rFonts w:ascii="Abadi" w:eastAsia="SimSun" w:hAnsi="Abadi" w:cs="Arial"/>
          <w:sz w:val="21"/>
          <w:szCs w:val="21"/>
        </w:rPr>
      </w:pPr>
    </w:p>
    <w:p w14:paraId="403E1CDD" w14:textId="77777777" w:rsidR="00483C22" w:rsidRPr="00483C22" w:rsidRDefault="00483C22" w:rsidP="00A45594">
      <w:pPr>
        <w:ind w:firstLine="708"/>
        <w:jc w:val="both"/>
        <w:rPr>
          <w:rFonts w:ascii="Abadi" w:eastAsia="SimSun" w:hAnsi="Abadi" w:cs="Arial"/>
          <w:sz w:val="21"/>
          <w:szCs w:val="21"/>
        </w:rPr>
      </w:pPr>
      <w:r w:rsidRPr="00483C22">
        <w:rPr>
          <w:rFonts w:ascii="Abadi" w:eastAsia="SimSun" w:hAnsi="Abadi" w:cs="Arial"/>
          <w:sz w:val="21"/>
          <w:szCs w:val="21"/>
        </w:rPr>
        <w:t xml:space="preserve"> </w:t>
      </w:r>
      <w:r w:rsidRPr="00483C22">
        <w:rPr>
          <w:rFonts w:ascii="Abadi" w:eastAsia="SimSun" w:hAnsi="Abadi" w:cs="Arial"/>
          <w:b/>
          <w:bCs/>
          <w:sz w:val="21"/>
          <w:szCs w:val="21"/>
        </w:rPr>
        <w:t>I.2</w:t>
      </w:r>
      <w:r w:rsidRPr="00483C22">
        <w:rPr>
          <w:rFonts w:ascii="Abadi" w:eastAsia="SimSun" w:hAnsi="Abadi" w:cs="Arial"/>
          <w:sz w:val="21"/>
          <w:szCs w:val="21"/>
        </w:rPr>
        <w:t xml:space="preserve"> En la reunión de la Comisión de Salud Pública, celebrada el 29 de septiembre de 2020, fue radicada la propuesta de punto de acuerdo, y aprobada por unanimidad de votos la metodología de trabajo para su estudio y dictamen, misma que se transcribe: </w:t>
      </w:r>
    </w:p>
    <w:p w14:paraId="29E6112B" w14:textId="77777777" w:rsidR="00483C22" w:rsidRPr="00483C22" w:rsidRDefault="00483C22" w:rsidP="00A45594">
      <w:pPr>
        <w:ind w:left="426" w:firstLine="282"/>
        <w:jc w:val="both"/>
        <w:rPr>
          <w:rFonts w:ascii="Abadi" w:eastAsia="SimSun" w:hAnsi="Abadi" w:cs="Arial"/>
          <w:sz w:val="21"/>
          <w:szCs w:val="21"/>
        </w:rPr>
      </w:pPr>
    </w:p>
    <w:p w14:paraId="7A2D7203" w14:textId="77777777" w:rsidR="00483C22" w:rsidRPr="00483C22" w:rsidRDefault="00483C22" w:rsidP="00A45594">
      <w:pPr>
        <w:widowControl w:val="0"/>
        <w:numPr>
          <w:ilvl w:val="0"/>
          <w:numId w:val="50"/>
        </w:numPr>
        <w:tabs>
          <w:tab w:val="left" w:pos="993"/>
        </w:tabs>
        <w:ind w:left="993" w:right="1019" w:hanging="284"/>
        <w:jc w:val="both"/>
        <w:rPr>
          <w:rFonts w:ascii="Abadi" w:hAnsi="Abadi" w:cs="Arial"/>
          <w:i/>
          <w:iCs/>
          <w:sz w:val="21"/>
          <w:szCs w:val="21"/>
          <w:lang w:val="es-MX"/>
        </w:rPr>
      </w:pPr>
      <w:r w:rsidRPr="00483C22">
        <w:rPr>
          <w:rFonts w:ascii="Abadi" w:hAnsi="Abadi" w:cs="Arial"/>
          <w:i/>
          <w:iCs/>
          <w:sz w:val="21"/>
          <w:szCs w:val="21"/>
          <w:lang w:val="es-MX"/>
        </w:rPr>
        <w:t>Remitir la propuesta de punto de acuerdo vía correo electrónico a diputadas y diputados de esta legislatura y solicitar envíen opinión en un término de 15 días hábiles, contados a partir del día siguiente al de recepción de la solicitud;</w:t>
      </w:r>
    </w:p>
    <w:p w14:paraId="3C7BE3A9" w14:textId="77777777" w:rsidR="00483C22" w:rsidRPr="00483C22" w:rsidRDefault="00483C22" w:rsidP="00A45594">
      <w:pPr>
        <w:widowControl w:val="0"/>
        <w:ind w:left="705" w:hanging="563"/>
        <w:jc w:val="both"/>
        <w:rPr>
          <w:rFonts w:ascii="Abadi" w:hAnsi="Abadi" w:cs="Arial"/>
          <w:sz w:val="21"/>
          <w:szCs w:val="21"/>
          <w:lang w:val="es-MX"/>
        </w:rPr>
      </w:pPr>
    </w:p>
    <w:p w14:paraId="77D9ACEC" w14:textId="77777777" w:rsidR="00483C22" w:rsidRPr="00483C22" w:rsidRDefault="00483C22" w:rsidP="00A45594">
      <w:pPr>
        <w:widowControl w:val="0"/>
        <w:tabs>
          <w:tab w:val="left" w:pos="993"/>
        </w:tabs>
        <w:ind w:left="993" w:right="1019" w:hanging="284"/>
        <w:jc w:val="both"/>
        <w:rPr>
          <w:rFonts w:ascii="Abadi" w:hAnsi="Abadi" w:cs="Arial"/>
          <w:i/>
          <w:iCs/>
          <w:sz w:val="21"/>
          <w:szCs w:val="21"/>
          <w:lang w:val="es-MX"/>
        </w:rPr>
      </w:pPr>
      <w:r w:rsidRPr="00483C22">
        <w:rPr>
          <w:rFonts w:ascii="Abadi" w:hAnsi="Abadi" w:cs="Arial"/>
          <w:b/>
          <w:bCs/>
          <w:sz w:val="21"/>
          <w:szCs w:val="21"/>
          <w:lang w:val="es-MX"/>
        </w:rPr>
        <w:t>b</w:t>
      </w:r>
      <w:r w:rsidRPr="00483C22">
        <w:rPr>
          <w:rFonts w:ascii="Abadi" w:hAnsi="Abadi" w:cs="Arial"/>
          <w:sz w:val="21"/>
          <w:szCs w:val="21"/>
          <w:lang w:val="es-MX"/>
        </w:rPr>
        <w:t>)</w:t>
      </w:r>
      <w:r w:rsidRPr="00483C22">
        <w:rPr>
          <w:rFonts w:ascii="Abadi" w:hAnsi="Abadi" w:cs="Arial"/>
          <w:i/>
          <w:iCs/>
          <w:sz w:val="21"/>
          <w:szCs w:val="21"/>
          <w:lang w:val="es-MX"/>
        </w:rPr>
        <w:tab/>
        <w:t>Girar oficio a la Secretaría de Salud del Estado, solicitando información sobre la situación que prevalece en la entidad respecto al suministro y disposición de medicamentos para tratamientos oncológicos;</w:t>
      </w:r>
    </w:p>
    <w:p w14:paraId="74CBD477" w14:textId="77777777" w:rsidR="00483C22" w:rsidRPr="00483C22" w:rsidRDefault="00483C22" w:rsidP="00A45594">
      <w:pPr>
        <w:widowControl w:val="0"/>
        <w:tabs>
          <w:tab w:val="left" w:pos="993"/>
        </w:tabs>
        <w:ind w:left="993" w:right="594" w:hanging="284"/>
        <w:jc w:val="both"/>
        <w:rPr>
          <w:rFonts w:ascii="Abadi" w:hAnsi="Abadi" w:cs="Arial"/>
          <w:b/>
          <w:bCs/>
          <w:i/>
          <w:iCs/>
          <w:sz w:val="21"/>
          <w:szCs w:val="21"/>
          <w:lang w:val="es-MX"/>
        </w:rPr>
      </w:pPr>
    </w:p>
    <w:p w14:paraId="4AA2C773" w14:textId="77777777" w:rsidR="00483C22" w:rsidRPr="00483C22" w:rsidRDefault="00483C22" w:rsidP="00A45594">
      <w:pPr>
        <w:widowControl w:val="0"/>
        <w:tabs>
          <w:tab w:val="left" w:pos="993"/>
        </w:tabs>
        <w:ind w:left="993" w:right="1019" w:hanging="284"/>
        <w:jc w:val="both"/>
        <w:rPr>
          <w:rFonts w:ascii="Abadi" w:hAnsi="Abadi" w:cs="Arial"/>
          <w:i/>
          <w:iCs/>
          <w:sz w:val="21"/>
          <w:szCs w:val="21"/>
          <w:lang w:val="es-MX"/>
        </w:rPr>
      </w:pPr>
      <w:r w:rsidRPr="00483C22">
        <w:rPr>
          <w:rFonts w:ascii="Abadi" w:hAnsi="Abadi" w:cs="Arial"/>
          <w:b/>
          <w:bCs/>
          <w:i/>
          <w:iCs/>
          <w:sz w:val="21"/>
          <w:szCs w:val="21"/>
          <w:lang w:val="es-MX"/>
        </w:rPr>
        <w:t>c)</w:t>
      </w:r>
      <w:r w:rsidRPr="00483C22">
        <w:rPr>
          <w:rFonts w:ascii="Abadi" w:hAnsi="Abadi" w:cs="Arial"/>
          <w:i/>
          <w:iCs/>
          <w:sz w:val="21"/>
          <w:szCs w:val="21"/>
          <w:lang w:val="es-MX"/>
        </w:rPr>
        <w:tab/>
        <w:t xml:space="preserve">Elaborar la secretaría técnica un documento en el que se concentren los comentarios a la propuesta de punto de acuerdo, así como la información recibida, el que circulará a diputadas y diputados integrantes de la Comisión de Salud Pública y se impongan de su contenido; </w:t>
      </w:r>
    </w:p>
    <w:p w14:paraId="61CA681C" w14:textId="77777777" w:rsidR="00483C22" w:rsidRPr="00483C22" w:rsidRDefault="00483C22" w:rsidP="00A45594">
      <w:pPr>
        <w:widowControl w:val="0"/>
        <w:tabs>
          <w:tab w:val="left" w:pos="993"/>
        </w:tabs>
        <w:ind w:left="993" w:right="594" w:hanging="284"/>
        <w:jc w:val="both"/>
        <w:rPr>
          <w:rFonts w:ascii="Abadi" w:hAnsi="Abadi" w:cs="Arial"/>
          <w:i/>
          <w:iCs/>
          <w:sz w:val="21"/>
          <w:szCs w:val="21"/>
          <w:lang w:val="es-MX"/>
        </w:rPr>
      </w:pPr>
    </w:p>
    <w:p w14:paraId="2D08D224" w14:textId="77777777" w:rsidR="00483C22" w:rsidRPr="00483C22" w:rsidRDefault="00483C22" w:rsidP="00A45594">
      <w:pPr>
        <w:widowControl w:val="0"/>
        <w:tabs>
          <w:tab w:val="left" w:pos="993"/>
        </w:tabs>
        <w:ind w:left="993" w:right="1019" w:hanging="284"/>
        <w:jc w:val="both"/>
        <w:rPr>
          <w:rFonts w:ascii="Abadi" w:hAnsi="Abadi" w:cs="Arial"/>
          <w:b/>
          <w:bCs/>
          <w:i/>
          <w:iCs/>
          <w:sz w:val="21"/>
          <w:szCs w:val="21"/>
          <w:lang w:val="es-MX"/>
        </w:rPr>
      </w:pPr>
      <w:r w:rsidRPr="00483C22">
        <w:rPr>
          <w:rFonts w:ascii="Abadi" w:hAnsi="Abadi" w:cs="Arial"/>
          <w:b/>
          <w:bCs/>
          <w:i/>
          <w:iCs/>
          <w:sz w:val="21"/>
          <w:szCs w:val="21"/>
          <w:lang w:val="es-MX"/>
        </w:rPr>
        <w:t xml:space="preserve">d) </w:t>
      </w:r>
      <w:r w:rsidRPr="00483C22">
        <w:rPr>
          <w:rFonts w:ascii="Abadi" w:hAnsi="Abadi" w:cs="Arial"/>
          <w:sz w:val="21"/>
          <w:szCs w:val="21"/>
          <w:lang w:val="es-MX"/>
        </w:rPr>
        <w:t xml:space="preserve">Mesa de trabajo para el análisis de la propuesta de punto de acuerdo e información recibida, conformada por los integrantes de la Comisión de Salud Pública, diputadas y diputados de esta Legislatura que deseen asistir, así como asesores; </w:t>
      </w:r>
    </w:p>
    <w:p w14:paraId="46726BFF" w14:textId="77777777" w:rsidR="00483C22" w:rsidRPr="00483C22" w:rsidRDefault="00483C22" w:rsidP="00A45594">
      <w:pPr>
        <w:widowControl w:val="0"/>
        <w:ind w:left="705" w:hanging="563"/>
        <w:jc w:val="both"/>
        <w:rPr>
          <w:rFonts w:ascii="Abadi" w:hAnsi="Abadi" w:cs="Arial"/>
          <w:i/>
          <w:iCs/>
          <w:sz w:val="21"/>
          <w:szCs w:val="21"/>
          <w:lang w:val="es-MX"/>
        </w:rPr>
      </w:pPr>
      <w:r w:rsidRPr="00483C22">
        <w:rPr>
          <w:rFonts w:ascii="Abadi" w:hAnsi="Abadi" w:cs="Arial"/>
          <w:i/>
          <w:iCs/>
          <w:sz w:val="21"/>
          <w:szCs w:val="21"/>
          <w:lang w:val="es-MX"/>
        </w:rPr>
        <w:t xml:space="preserve"> </w:t>
      </w:r>
    </w:p>
    <w:p w14:paraId="2EA5E2F7" w14:textId="77777777" w:rsidR="00483C22" w:rsidRPr="00483C22" w:rsidRDefault="00483C22" w:rsidP="00A45594">
      <w:pPr>
        <w:tabs>
          <w:tab w:val="left" w:pos="993"/>
          <w:tab w:val="left" w:pos="8222"/>
        </w:tabs>
        <w:ind w:left="993" w:right="1019" w:hanging="284"/>
        <w:jc w:val="both"/>
        <w:rPr>
          <w:rFonts w:ascii="Abadi" w:hAnsi="Abadi" w:cs="Arial"/>
          <w:i/>
          <w:iCs/>
          <w:sz w:val="21"/>
          <w:szCs w:val="21"/>
          <w:lang w:val="es-MX"/>
        </w:rPr>
      </w:pPr>
      <w:r w:rsidRPr="00483C22">
        <w:rPr>
          <w:rFonts w:ascii="Abadi" w:hAnsi="Abadi" w:cs="Arial"/>
          <w:b/>
          <w:bCs/>
          <w:i/>
          <w:iCs/>
          <w:sz w:val="21"/>
          <w:szCs w:val="21"/>
          <w:lang w:val="es-MX"/>
        </w:rPr>
        <w:t>e)</w:t>
      </w:r>
      <w:r w:rsidRPr="00483C22">
        <w:rPr>
          <w:rFonts w:ascii="Abadi" w:hAnsi="Abadi" w:cs="Arial"/>
          <w:i/>
          <w:iCs/>
          <w:sz w:val="21"/>
          <w:szCs w:val="21"/>
          <w:lang w:val="es-MX"/>
        </w:rPr>
        <w:tab/>
        <w:t>Reunión de la Comisión  de  Salud  Pública para acuerdos de proyecto de dictamen; y</w:t>
      </w:r>
    </w:p>
    <w:p w14:paraId="2D00E297" w14:textId="77777777" w:rsidR="00483C22" w:rsidRPr="00483C22" w:rsidRDefault="00483C22" w:rsidP="00A45594">
      <w:pPr>
        <w:widowControl w:val="0"/>
        <w:ind w:left="705" w:hanging="563"/>
        <w:jc w:val="both"/>
        <w:rPr>
          <w:rFonts w:ascii="Abadi" w:hAnsi="Abadi" w:cs="Arial"/>
          <w:b/>
          <w:bCs/>
          <w:i/>
          <w:iCs/>
          <w:sz w:val="21"/>
          <w:szCs w:val="21"/>
          <w:lang w:val="es-MX"/>
        </w:rPr>
      </w:pPr>
    </w:p>
    <w:p w14:paraId="160191ED" w14:textId="77777777" w:rsidR="00483C22" w:rsidRPr="00483C22" w:rsidRDefault="00483C22" w:rsidP="00A45594">
      <w:pPr>
        <w:widowControl w:val="0"/>
        <w:tabs>
          <w:tab w:val="left" w:pos="993"/>
          <w:tab w:val="left" w:pos="8222"/>
        </w:tabs>
        <w:ind w:left="709" w:right="735" w:firstLine="4"/>
        <w:rPr>
          <w:rFonts w:ascii="Abadi" w:hAnsi="Abadi" w:cs="Arial"/>
          <w:i/>
          <w:iCs/>
          <w:sz w:val="21"/>
          <w:szCs w:val="21"/>
          <w:lang w:val="es-MX"/>
        </w:rPr>
      </w:pPr>
      <w:r w:rsidRPr="00483C22">
        <w:rPr>
          <w:rFonts w:ascii="Abadi" w:hAnsi="Abadi" w:cs="Arial"/>
          <w:b/>
          <w:bCs/>
          <w:i/>
          <w:iCs/>
          <w:sz w:val="21"/>
          <w:szCs w:val="21"/>
          <w:lang w:val="es-MX"/>
        </w:rPr>
        <w:t>f</w:t>
      </w:r>
      <w:r w:rsidRPr="00483C22">
        <w:rPr>
          <w:rFonts w:ascii="Abadi" w:hAnsi="Abadi" w:cs="Arial"/>
          <w:i/>
          <w:iCs/>
          <w:sz w:val="21"/>
          <w:szCs w:val="21"/>
          <w:lang w:val="es-MX"/>
        </w:rPr>
        <w:t>)</w:t>
      </w:r>
      <w:r w:rsidRPr="00483C22">
        <w:rPr>
          <w:rFonts w:ascii="Abadi" w:hAnsi="Abadi" w:cs="Arial"/>
          <w:i/>
          <w:iCs/>
          <w:sz w:val="21"/>
          <w:szCs w:val="21"/>
          <w:lang w:val="es-MX"/>
        </w:rPr>
        <w:tab/>
        <w:t xml:space="preserve">Reunión de la  Comisión  de  Salud  Pública  para   la  discusión  y,  en  su  caso, aprobación </w:t>
      </w:r>
      <w:r w:rsidRPr="00483C22">
        <w:rPr>
          <w:rFonts w:ascii="Abadi" w:hAnsi="Abadi" w:cs="Arial"/>
          <w:b/>
          <w:bCs/>
          <w:i/>
          <w:iCs/>
          <w:sz w:val="21"/>
          <w:szCs w:val="21"/>
          <w:lang w:val="es-MX"/>
        </w:rPr>
        <w:t xml:space="preserve"> </w:t>
      </w:r>
      <w:r w:rsidRPr="00483C22">
        <w:rPr>
          <w:rFonts w:ascii="Abadi" w:hAnsi="Abadi" w:cs="Arial"/>
          <w:i/>
          <w:iCs/>
          <w:sz w:val="21"/>
          <w:szCs w:val="21"/>
          <w:lang w:val="es-MX"/>
        </w:rPr>
        <w:t>del proyecto de dictamen.</w:t>
      </w:r>
    </w:p>
    <w:p w14:paraId="5547E71F" w14:textId="77777777" w:rsidR="00483C22" w:rsidRPr="00483C22" w:rsidRDefault="00483C22" w:rsidP="00A45594">
      <w:pPr>
        <w:widowControl w:val="0"/>
        <w:ind w:left="705" w:hanging="563"/>
        <w:jc w:val="both"/>
        <w:rPr>
          <w:rFonts w:ascii="Abadi" w:hAnsi="Abadi" w:cs="Arial"/>
          <w:sz w:val="21"/>
          <w:szCs w:val="21"/>
          <w:lang w:val="es-MX"/>
        </w:rPr>
      </w:pPr>
    </w:p>
    <w:p w14:paraId="427A68AD" w14:textId="77777777" w:rsidR="00483C22" w:rsidRPr="00483C22" w:rsidRDefault="00483C22" w:rsidP="00A45594">
      <w:pPr>
        <w:widowControl w:val="0"/>
        <w:tabs>
          <w:tab w:val="left" w:pos="709"/>
        </w:tabs>
        <w:ind w:firstLine="142"/>
        <w:jc w:val="both"/>
        <w:rPr>
          <w:rFonts w:ascii="Abadi" w:eastAsia="SimSun" w:hAnsi="Abadi" w:cs="Arial"/>
          <w:sz w:val="21"/>
          <w:szCs w:val="21"/>
        </w:rPr>
      </w:pPr>
      <w:r w:rsidRPr="00483C22">
        <w:rPr>
          <w:rFonts w:ascii="Abadi" w:hAnsi="Abadi" w:cs="Arial"/>
          <w:sz w:val="21"/>
          <w:szCs w:val="21"/>
          <w:lang w:val="es-MX"/>
        </w:rPr>
        <w:tab/>
        <w:t xml:space="preserve">Acorde a la metodología de trabajo aprobada, </w:t>
      </w:r>
      <w:r w:rsidRPr="00483C22">
        <w:rPr>
          <w:rFonts w:ascii="Abadi" w:eastAsia="SimSun" w:hAnsi="Abadi" w:cs="Arial"/>
          <w:sz w:val="21"/>
          <w:szCs w:val="21"/>
        </w:rPr>
        <w:t>el 29 de septiembre 2020 se remitió vía correo electrónico la propuesta de punto de acuerdo a diputadas y diputados integrantes de la Sexagésima Cuarta Legislatura del Congreso del Estado, y se solicitó, si tenían a bien, emitir opinión sobre la misma; no recibiéndose opiniones al respecto.</w:t>
      </w:r>
    </w:p>
    <w:p w14:paraId="6D0E9B92" w14:textId="77777777" w:rsidR="00483C22" w:rsidRPr="00483C22" w:rsidRDefault="00483C22" w:rsidP="00A45594">
      <w:pPr>
        <w:widowControl w:val="0"/>
        <w:tabs>
          <w:tab w:val="left" w:pos="709"/>
        </w:tabs>
        <w:ind w:firstLine="142"/>
        <w:jc w:val="both"/>
        <w:rPr>
          <w:rFonts w:ascii="Abadi" w:eastAsia="SimSun" w:hAnsi="Abadi" w:cs="Arial"/>
          <w:sz w:val="21"/>
          <w:szCs w:val="21"/>
        </w:rPr>
      </w:pPr>
    </w:p>
    <w:p w14:paraId="6473315D" w14:textId="77777777" w:rsidR="00483C22" w:rsidRPr="00483C22" w:rsidRDefault="00483C22" w:rsidP="00A45594">
      <w:pPr>
        <w:widowControl w:val="0"/>
        <w:tabs>
          <w:tab w:val="left" w:pos="709"/>
        </w:tabs>
        <w:ind w:right="27" w:firstLine="142"/>
        <w:jc w:val="both"/>
        <w:rPr>
          <w:rFonts w:ascii="Abadi" w:eastAsia="SimSun" w:hAnsi="Abadi" w:cs="Arial"/>
          <w:sz w:val="21"/>
          <w:szCs w:val="21"/>
        </w:rPr>
      </w:pPr>
      <w:r w:rsidRPr="00483C22">
        <w:rPr>
          <w:rFonts w:ascii="Abadi" w:eastAsia="SimSun" w:hAnsi="Abadi" w:cs="Arial"/>
          <w:sz w:val="21"/>
          <w:szCs w:val="21"/>
        </w:rPr>
        <w:tab/>
        <w:t xml:space="preserve">Asimismo, mediante el oficio10060 de fecha 29 de septiembre de 2020 girado </w:t>
      </w:r>
    </w:p>
    <w:p w14:paraId="3239AA68" w14:textId="77777777" w:rsidR="00483C22" w:rsidRPr="00483C22" w:rsidRDefault="00483C22" w:rsidP="00A45594">
      <w:pPr>
        <w:widowControl w:val="0"/>
        <w:tabs>
          <w:tab w:val="left" w:pos="709"/>
        </w:tabs>
        <w:ind w:right="27"/>
        <w:jc w:val="both"/>
        <w:rPr>
          <w:rFonts w:ascii="Abadi" w:eastAsia="SimSun" w:hAnsi="Abadi" w:cs="Arial"/>
          <w:sz w:val="21"/>
          <w:szCs w:val="21"/>
        </w:rPr>
      </w:pPr>
      <w:r w:rsidRPr="00483C22">
        <w:rPr>
          <w:rFonts w:ascii="Abadi" w:eastAsia="SimSun" w:hAnsi="Abadi" w:cs="Arial"/>
          <w:sz w:val="21"/>
          <w:szCs w:val="21"/>
        </w:rPr>
        <w:t xml:space="preserve">al Secretario de Salud del Estado, se solicitó información sobre la situación que prevalecía en el Estado respecto al suministro y disposición de medicamentos para </w:t>
      </w:r>
    </w:p>
    <w:p w14:paraId="694B27A7" w14:textId="77777777" w:rsidR="00483C22" w:rsidRPr="00483C22" w:rsidRDefault="00483C22" w:rsidP="00A45594">
      <w:pPr>
        <w:widowControl w:val="0"/>
        <w:tabs>
          <w:tab w:val="left" w:pos="709"/>
        </w:tabs>
        <w:ind w:right="27"/>
        <w:jc w:val="both"/>
        <w:rPr>
          <w:rFonts w:ascii="Abadi" w:eastAsia="SimSun" w:hAnsi="Abadi" w:cs="Arial"/>
          <w:sz w:val="21"/>
          <w:szCs w:val="21"/>
        </w:rPr>
      </w:pPr>
      <w:r w:rsidRPr="00483C22">
        <w:rPr>
          <w:rFonts w:ascii="Abadi" w:eastAsia="SimSun" w:hAnsi="Abadi" w:cs="Arial"/>
          <w:sz w:val="21"/>
          <w:szCs w:val="21"/>
        </w:rPr>
        <w:t>tratamientos oncológicos, recibiéndose el 12 de enero de 2021 el oficio CAJ/DCN/71/2021, a través del cual se da respuesta a dicha petición, en el que se informa:</w:t>
      </w:r>
    </w:p>
    <w:p w14:paraId="033D23A3" w14:textId="77777777" w:rsidR="00483C22" w:rsidRPr="00483C22" w:rsidRDefault="00483C22" w:rsidP="00A45594">
      <w:pPr>
        <w:tabs>
          <w:tab w:val="left" w:pos="851"/>
        </w:tabs>
        <w:autoSpaceDE w:val="0"/>
        <w:autoSpaceDN w:val="0"/>
        <w:adjustRightInd w:val="0"/>
        <w:ind w:left="708" w:right="425"/>
        <w:jc w:val="both"/>
        <w:rPr>
          <w:rFonts w:ascii="Abadi" w:hAnsi="Abadi" w:cs="Arial"/>
          <w:sz w:val="21"/>
          <w:szCs w:val="21"/>
        </w:rPr>
      </w:pPr>
    </w:p>
    <w:p w14:paraId="5B8CE241" w14:textId="77777777" w:rsidR="00483C22" w:rsidRPr="00483C22" w:rsidRDefault="00483C22" w:rsidP="00A45594">
      <w:pPr>
        <w:tabs>
          <w:tab w:val="left" w:pos="851"/>
        </w:tabs>
        <w:autoSpaceDE w:val="0"/>
        <w:autoSpaceDN w:val="0"/>
        <w:adjustRightInd w:val="0"/>
        <w:ind w:left="708" w:right="425"/>
        <w:jc w:val="both"/>
        <w:rPr>
          <w:rFonts w:ascii="Abadi" w:hAnsi="Abadi" w:cs="Arial"/>
          <w:sz w:val="21"/>
          <w:szCs w:val="21"/>
        </w:rPr>
      </w:pPr>
      <w:r w:rsidRPr="00483C22">
        <w:rPr>
          <w:rFonts w:ascii="Abadi" w:hAnsi="Abadi" w:cs="Arial"/>
          <w:sz w:val="21"/>
          <w:szCs w:val="21"/>
        </w:rPr>
        <w:t>(…)</w:t>
      </w:r>
    </w:p>
    <w:p w14:paraId="46D0C0BD" w14:textId="77777777" w:rsidR="00483C22" w:rsidRPr="00483C22" w:rsidRDefault="00483C22" w:rsidP="00A45594">
      <w:pPr>
        <w:ind w:left="851" w:right="709"/>
        <w:jc w:val="both"/>
        <w:rPr>
          <w:rFonts w:ascii="Abadi" w:hAnsi="Abadi" w:cs="Calibri"/>
          <w:i/>
          <w:iCs/>
          <w:sz w:val="21"/>
          <w:szCs w:val="21"/>
        </w:rPr>
      </w:pPr>
    </w:p>
    <w:p w14:paraId="517EFD6F" w14:textId="77777777" w:rsidR="00483C22" w:rsidRPr="00483C22" w:rsidRDefault="00483C22" w:rsidP="00A45594">
      <w:pPr>
        <w:autoSpaceDE w:val="0"/>
        <w:autoSpaceDN w:val="0"/>
        <w:adjustRightInd w:val="0"/>
        <w:ind w:left="708" w:right="877"/>
        <w:jc w:val="both"/>
        <w:rPr>
          <w:rFonts w:ascii="Abadi" w:hAnsi="Abadi" w:cs="Arial"/>
          <w:i/>
          <w:iCs/>
          <w:sz w:val="21"/>
          <w:szCs w:val="21"/>
          <w:lang w:val="es-MX"/>
        </w:rPr>
      </w:pPr>
      <w:r w:rsidRPr="00483C22">
        <w:rPr>
          <w:rFonts w:ascii="Abadi" w:hAnsi="Abadi" w:cs="Arial"/>
          <w:i/>
          <w:iCs/>
          <w:sz w:val="21"/>
          <w:szCs w:val="21"/>
          <w:lang w:val="es-MX"/>
        </w:rPr>
        <w:t>En el Instituto de Salud Pública del Estado de Guanajuato, la atención de las niñas, niños y adolescentes es una prioridad y más cuando padecen una enfermedad catastrófica como lo es el Cáncer.</w:t>
      </w:r>
    </w:p>
    <w:p w14:paraId="0FCD5EF3" w14:textId="77777777" w:rsidR="00483C22" w:rsidRPr="00483C22" w:rsidRDefault="00483C22" w:rsidP="00A45594">
      <w:pPr>
        <w:autoSpaceDE w:val="0"/>
        <w:autoSpaceDN w:val="0"/>
        <w:adjustRightInd w:val="0"/>
        <w:ind w:left="708" w:right="877"/>
        <w:jc w:val="both"/>
        <w:rPr>
          <w:rFonts w:ascii="Abadi" w:hAnsi="Abadi" w:cs="Arial"/>
          <w:i/>
          <w:iCs/>
          <w:sz w:val="21"/>
          <w:szCs w:val="21"/>
          <w:lang w:val="es-MX"/>
        </w:rPr>
      </w:pPr>
    </w:p>
    <w:p w14:paraId="54C038AA" w14:textId="77777777" w:rsidR="00483C22" w:rsidRPr="00483C22" w:rsidRDefault="00483C22" w:rsidP="00A45594">
      <w:pPr>
        <w:autoSpaceDE w:val="0"/>
        <w:autoSpaceDN w:val="0"/>
        <w:adjustRightInd w:val="0"/>
        <w:ind w:left="708" w:right="877"/>
        <w:jc w:val="both"/>
        <w:rPr>
          <w:rFonts w:ascii="Abadi" w:hAnsi="Abadi" w:cs="Arial"/>
          <w:i/>
          <w:iCs/>
          <w:sz w:val="21"/>
          <w:szCs w:val="21"/>
          <w:lang w:val="es-MX"/>
        </w:rPr>
      </w:pPr>
      <w:r w:rsidRPr="00483C22">
        <w:rPr>
          <w:rFonts w:ascii="Abadi" w:hAnsi="Abadi" w:cs="Arial"/>
          <w:i/>
          <w:iCs/>
          <w:sz w:val="21"/>
          <w:szCs w:val="21"/>
          <w:lang w:val="es-MX"/>
        </w:rPr>
        <w:t>Así mismo, en Guanajuato, se cuenta con más de 600 Unidades Médicas entre Unidades Médicas de Atención Primaria a la Salud (UMAPS), Centros de Atención Integral en Servicios Esenciales de Salud (CAISES), así como Hospitales Comunitarios, Generales y de Especialidad, para la atención de primer contacto de estos pacientes. Contamos con una RED DE ATENCIÓN DEL CÁNCER INFANTIL, dentro de la cual el objetivo principal es el referir oportunamente a los pacientes con sospecha de algún tipo de cáncer, logrando con ello que las y los niños sean valorados por el especialista dentro de las 48 horas de detección de la sospecha. Además de contar con 3 Unidades Médicas con Acreditación vigente, para la atención del Cáncer en la Infancia y en la Adolescencia:</w:t>
      </w:r>
    </w:p>
    <w:p w14:paraId="6D4AA7EC" w14:textId="77777777" w:rsidR="00483C22" w:rsidRPr="00483C22" w:rsidRDefault="00483C22" w:rsidP="00A45594">
      <w:pPr>
        <w:autoSpaceDE w:val="0"/>
        <w:autoSpaceDN w:val="0"/>
        <w:adjustRightInd w:val="0"/>
        <w:ind w:left="708" w:right="877"/>
        <w:jc w:val="both"/>
        <w:rPr>
          <w:rFonts w:ascii="Abadi" w:hAnsi="Abadi" w:cs="Arial"/>
          <w:i/>
          <w:iCs/>
          <w:sz w:val="21"/>
          <w:szCs w:val="21"/>
          <w:lang w:val="es-MX"/>
        </w:rPr>
      </w:pPr>
    </w:p>
    <w:p w14:paraId="64190497" w14:textId="77777777" w:rsidR="00483C22" w:rsidRPr="00483C22" w:rsidRDefault="00483C22" w:rsidP="00A45594">
      <w:pPr>
        <w:numPr>
          <w:ilvl w:val="0"/>
          <w:numId w:val="52"/>
        </w:numPr>
        <w:autoSpaceDE w:val="0"/>
        <w:autoSpaceDN w:val="0"/>
        <w:adjustRightInd w:val="0"/>
        <w:ind w:right="877"/>
        <w:contextualSpacing/>
        <w:jc w:val="both"/>
        <w:rPr>
          <w:rFonts w:ascii="Abadi" w:hAnsi="Abadi" w:cs="Arial"/>
          <w:i/>
          <w:iCs/>
          <w:sz w:val="21"/>
          <w:szCs w:val="21"/>
          <w:lang w:val="es-MX"/>
        </w:rPr>
      </w:pPr>
      <w:r w:rsidRPr="00483C22">
        <w:rPr>
          <w:rFonts w:ascii="Abadi" w:hAnsi="Abadi" w:cs="Arial"/>
          <w:i/>
          <w:iCs/>
          <w:sz w:val="21"/>
          <w:szCs w:val="21"/>
          <w:lang w:val="es-MX"/>
        </w:rPr>
        <w:t>Hospital General de León</w:t>
      </w:r>
    </w:p>
    <w:p w14:paraId="2ED1F870" w14:textId="77777777" w:rsidR="00483C22" w:rsidRPr="00483C22" w:rsidRDefault="00483C22" w:rsidP="00A45594">
      <w:pPr>
        <w:numPr>
          <w:ilvl w:val="0"/>
          <w:numId w:val="52"/>
        </w:numPr>
        <w:autoSpaceDE w:val="0"/>
        <w:autoSpaceDN w:val="0"/>
        <w:adjustRightInd w:val="0"/>
        <w:ind w:right="877"/>
        <w:contextualSpacing/>
        <w:jc w:val="both"/>
        <w:rPr>
          <w:rFonts w:ascii="Abadi" w:hAnsi="Abadi" w:cs="Arial"/>
          <w:i/>
          <w:iCs/>
          <w:sz w:val="21"/>
          <w:szCs w:val="21"/>
          <w:lang w:val="es-MX"/>
        </w:rPr>
      </w:pPr>
      <w:r w:rsidRPr="00483C22">
        <w:rPr>
          <w:rFonts w:ascii="Abadi" w:hAnsi="Abadi" w:cs="Arial"/>
          <w:i/>
          <w:iCs/>
          <w:sz w:val="21"/>
          <w:szCs w:val="21"/>
          <w:lang w:val="es-MX"/>
        </w:rPr>
        <w:t>Hospital General de Celaya</w:t>
      </w:r>
    </w:p>
    <w:p w14:paraId="4834A386" w14:textId="77777777" w:rsidR="00483C22" w:rsidRPr="00483C22" w:rsidRDefault="00483C22" w:rsidP="00A45594">
      <w:pPr>
        <w:numPr>
          <w:ilvl w:val="0"/>
          <w:numId w:val="52"/>
        </w:numPr>
        <w:autoSpaceDE w:val="0"/>
        <w:autoSpaceDN w:val="0"/>
        <w:adjustRightInd w:val="0"/>
        <w:ind w:right="877"/>
        <w:contextualSpacing/>
        <w:jc w:val="both"/>
        <w:rPr>
          <w:rFonts w:ascii="Abadi" w:hAnsi="Abadi" w:cs="Arial"/>
          <w:i/>
          <w:iCs/>
          <w:sz w:val="21"/>
          <w:szCs w:val="21"/>
          <w:lang w:val="es-MX"/>
        </w:rPr>
      </w:pPr>
      <w:r w:rsidRPr="00483C22">
        <w:rPr>
          <w:rFonts w:ascii="Abadi" w:hAnsi="Abadi" w:cs="Arial"/>
          <w:i/>
          <w:iCs/>
          <w:sz w:val="21"/>
          <w:szCs w:val="21"/>
          <w:lang w:val="es-MX"/>
        </w:rPr>
        <w:t>Hospital Regional de Alta Especialidad del Bajío</w:t>
      </w:r>
    </w:p>
    <w:p w14:paraId="2672266B" w14:textId="77777777" w:rsidR="00483C22" w:rsidRPr="00483C22" w:rsidRDefault="00483C22" w:rsidP="00A45594">
      <w:pPr>
        <w:autoSpaceDE w:val="0"/>
        <w:autoSpaceDN w:val="0"/>
        <w:adjustRightInd w:val="0"/>
        <w:ind w:left="708" w:right="877"/>
        <w:jc w:val="both"/>
        <w:rPr>
          <w:rFonts w:ascii="Abadi" w:hAnsi="Abadi" w:cs="Arial"/>
          <w:i/>
          <w:iCs/>
          <w:sz w:val="21"/>
          <w:szCs w:val="21"/>
          <w:lang w:val="es-MX"/>
        </w:rPr>
      </w:pPr>
    </w:p>
    <w:p w14:paraId="0438AF71" w14:textId="77777777" w:rsidR="00483C22" w:rsidRPr="00483C22" w:rsidRDefault="00483C22" w:rsidP="00A45594">
      <w:pPr>
        <w:autoSpaceDE w:val="0"/>
        <w:autoSpaceDN w:val="0"/>
        <w:adjustRightInd w:val="0"/>
        <w:ind w:left="708" w:right="877"/>
        <w:jc w:val="both"/>
        <w:rPr>
          <w:rFonts w:ascii="Abadi" w:hAnsi="Abadi" w:cs="Arial"/>
          <w:i/>
          <w:iCs/>
          <w:sz w:val="21"/>
          <w:szCs w:val="21"/>
          <w:lang w:val="es-MX"/>
        </w:rPr>
      </w:pPr>
      <w:r w:rsidRPr="00483C22">
        <w:rPr>
          <w:rFonts w:ascii="Abadi" w:hAnsi="Abadi" w:cs="Arial"/>
          <w:i/>
          <w:iCs/>
          <w:sz w:val="21"/>
          <w:szCs w:val="21"/>
          <w:lang w:val="es-MX"/>
        </w:rPr>
        <w:t>Se realizan continuamente las gestiones necesarias para garantizar el suministro de medicamentos contra el cáncer, ya sea a través de la Secretaría de Salud Federal o de los contratos con los que cuenta este Instituto. Adicionalmente y como fortalecimiento a la atención de las y los pacientes con cáncer se tienen convenio de colaboración con instituciones públicas y privadas como el Hospital Infantil Teletón de Oncología (HITO).</w:t>
      </w:r>
    </w:p>
    <w:p w14:paraId="0DAF29FE" w14:textId="77777777" w:rsidR="00483C22" w:rsidRPr="00483C22" w:rsidRDefault="00483C22" w:rsidP="00A45594">
      <w:pPr>
        <w:tabs>
          <w:tab w:val="left" w:pos="851"/>
        </w:tabs>
        <w:autoSpaceDE w:val="0"/>
        <w:autoSpaceDN w:val="0"/>
        <w:adjustRightInd w:val="0"/>
        <w:ind w:left="708" w:right="425"/>
        <w:jc w:val="both"/>
        <w:rPr>
          <w:rFonts w:ascii="Abadi" w:hAnsi="Abadi" w:cs="Arial"/>
          <w:i/>
          <w:iCs/>
          <w:sz w:val="21"/>
          <w:szCs w:val="21"/>
          <w:lang w:val="es-MX"/>
        </w:rPr>
      </w:pPr>
    </w:p>
    <w:p w14:paraId="13EAA1A2" w14:textId="77777777" w:rsidR="00483C22" w:rsidRPr="00483C22" w:rsidRDefault="00483C22" w:rsidP="00A45594">
      <w:pPr>
        <w:tabs>
          <w:tab w:val="left" w:pos="851"/>
        </w:tabs>
        <w:autoSpaceDE w:val="0"/>
        <w:autoSpaceDN w:val="0"/>
        <w:adjustRightInd w:val="0"/>
        <w:ind w:left="708" w:right="425"/>
        <w:jc w:val="both"/>
        <w:rPr>
          <w:rFonts w:ascii="Abadi" w:hAnsi="Abadi" w:cs="Arial"/>
          <w:sz w:val="21"/>
          <w:szCs w:val="21"/>
        </w:rPr>
      </w:pPr>
      <w:r w:rsidRPr="00483C22">
        <w:rPr>
          <w:rFonts w:ascii="Abadi" w:hAnsi="Abadi" w:cs="Arial"/>
          <w:sz w:val="21"/>
          <w:szCs w:val="21"/>
        </w:rPr>
        <w:t>(…)</w:t>
      </w:r>
    </w:p>
    <w:p w14:paraId="2B478BB6" w14:textId="77777777" w:rsidR="00483C22" w:rsidRPr="00483C22" w:rsidRDefault="00483C22" w:rsidP="00A45594">
      <w:pPr>
        <w:tabs>
          <w:tab w:val="left" w:pos="1485"/>
        </w:tabs>
        <w:autoSpaceDE w:val="0"/>
        <w:autoSpaceDN w:val="0"/>
        <w:adjustRightInd w:val="0"/>
        <w:ind w:left="708" w:hanging="708"/>
        <w:jc w:val="both"/>
        <w:rPr>
          <w:rFonts w:ascii="Abadi" w:hAnsi="Abadi" w:cs="Arial"/>
          <w:sz w:val="21"/>
          <w:szCs w:val="21"/>
          <w:lang w:val="es-MX"/>
        </w:rPr>
      </w:pPr>
      <w:r w:rsidRPr="00483C22">
        <w:rPr>
          <w:rFonts w:ascii="Abadi" w:hAnsi="Abadi" w:cs="Arial"/>
          <w:sz w:val="21"/>
          <w:szCs w:val="21"/>
          <w:lang w:val="es-MX"/>
        </w:rPr>
        <w:t xml:space="preserve"> </w:t>
      </w:r>
    </w:p>
    <w:p w14:paraId="72C78002" w14:textId="77777777" w:rsidR="00483C22" w:rsidRPr="00483C22" w:rsidRDefault="00483C22" w:rsidP="00A45594">
      <w:pPr>
        <w:widowControl w:val="0"/>
        <w:tabs>
          <w:tab w:val="left" w:pos="709"/>
        </w:tabs>
        <w:jc w:val="both"/>
        <w:rPr>
          <w:rFonts w:ascii="Abadi" w:eastAsia="SimSun" w:hAnsi="Abadi" w:cs="Arial"/>
          <w:sz w:val="21"/>
          <w:szCs w:val="21"/>
        </w:rPr>
      </w:pPr>
      <w:r w:rsidRPr="00483C22">
        <w:rPr>
          <w:rFonts w:ascii="Abadi" w:eastAsia="SimSun" w:hAnsi="Abadi" w:cs="Arial"/>
          <w:sz w:val="21"/>
          <w:szCs w:val="21"/>
        </w:rPr>
        <w:tab/>
        <w:t>Conforme a la metodología de trabajo aprobada, la secretaría técnica de la comisión integró un documento en el que se concentró la información recibida, mismo que el 16  de   febrero  de   2021  remitió   vía  correo   electrónico   a   las  diputadas  y  los diputados integrantes de la Comisión de Salud Pública.</w:t>
      </w:r>
    </w:p>
    <w:p w14:paraId="6A86C416" w14:textId="77777777" w:rsidR="00483C22" w:rsidRPr="00483C22" w:rsidRDefault="00483C22" w:rsidP="00A45594">
      <w:pPr>
        <w:widowControl w:val="0"/>
        <w:tabs>
          <w:tab w:val="left" w:pos="709"/>
        </w:tabs>
        <w:jc w:val="both"/>
        <w:rPr>
          <w:rFonts w:ascii="Abadi" w:eastAsia="SimSun" w:hAnsi="Abadi" w:cs="Arial"/>
          <w:sz w:val="21"/>
          <w:szCs w:val="21"/>
        </w:rPr>
      </w:pPr>
    </w:p>
    <w:p w14:paraId="4F1D6778" w14:textId="77777777" w:rsidR="00483C22" w:rsidRPr="00483C22" w:rsidRDefault="00483C22" w:rsidP="00A45594">
      <w:pPr>
        <w:widowControl w:val="0"/>
        <w:tabs>
          <w:tab w:val="left" w:pos="709"/>
        </w:tabs>
        <w:jc w:val="both"/>
        <w:rPr>
          <w:rFonts w:ascii="Abadi" w:eastAsia="SimSun" w:hAnsi="Abadi" w:cs="Arial"/>
          <w:sz w:val="21"/>
          <w:szCs w:val="21"/>
        </w:rPr>
      </w:pPr>
      <w:r w:rsidRPr="00483C22">
        <w:rPr>
          <w:rFonts w:ascii="Abadi" w:eastAsia="SimSun" w:hAnsi="Abadi" w:cs="Arial"/>
          <w:sz w:val="21"/>
          <w:szCs w:val="21"/>
        </w:rPr>
        <w:tab/>
        <w:t>Posteriormente, el 17 de febrero de 2021 se desahogó la mesa de trabajo -a distancia, a través de herramienta tecnológica-, a efecto de analizar la propuesta de punto de acuerdo, así como la información recibida, en la que se contó con la asistencia del entonces diputado presidente de la Comisión de Salud Pública de la Sexagésima Cuarta Legislatura Raúl Humberto Márquez Albo, y de la diputada María Magdalena Rosales Cruz; así como de las siguientes asesoras y asesores: del Grupo Parlamentario del Partido Acción Nacional las licenciadas Cecilia Genco Liceaga y Mariana Rocha Belmonte; del Grupo Parlamentario del Partido Revolucionario Institucional el licenciado Óscar Adrián Yáñez González; del Grupo Parlamentario del Partido Morena el licenciado Christian Joel Rodríguez Zamora; de la Representación Parlamentaria del Partido Movimiento Ciudadano la licenciada Graciela Ayala Beserra; y, de la Representación Parlamentaria del Partido del Trabajo el licenciado Jesús Antonio Torres Díaz, así como la secretaria técnica de la comisión.</w:t>
      </w:r>
    </w:p>
    <w:p w14:paraId="36173A84" w14:textId="77777777" w:rsidR="00483C22" w:rsidRPr="00483C22" w:rsidRDefault="00483C22" w:rsidP="00A45594">
      <w:pPr>
        <w:widowControl w:val="0"/>
        <w:tabs>
          <w:tab w:val="left" w:pos="709"/>
        </w:tabs>
        <w:jc w:val="both"/>
        <w:rPr>
          <w:rFonts w:ascii="Abadi" w:eastAsia="SimSun" w:hAnsi="Abadi" w:cs="Arial"/>
          <w:i/>
          <w:iCs/>
          <w:sz w:val="21"/>
          <w:szCs w:val="21"/>
        </w:rPr>
      </w:pPr>
    </w:p>
    <w:p w14:paraId="342C9E37" w14:textId="77777777" w:rsidR="00483C22" w:rsidRPr="00483C22" w:rsidRDefault="00483C22" w:rsidP="00A45594">
      <w:pPr>
        <w:autoSpaceDE w:val="0"/>
        <w:autoSpaceDN w:val="0"/>
        <w:adjustRightInd w:val="0"/>
        <w:ind w:right="27" w:firstLine="708"/>
        <w:jc w:val="both"/>
        <w:rPr>
          <w:rFonts w:ascii="Abadi" w:eastAsia="SimSun" w:hAnsi="Abadi" w:cs="Arial"/>
          <w:sz w:val="21"/>
          <w:szCs w:val="21"/>
        </w:rPr>
      </w:pPr>
      <w:r w:rsidRPr="00483C22">
        <w:rPr>
          <w:rFonts w:ascii="Abadi" w:eastAsia="SimSun" w:hAnsi="Abadi" w:cs="Arial"/>
          <w:sz w:val="21"/>
          <w:szCs w:val="21"/>
        </w:rPr>
        <w:t xml:space="preserve">En dicha mesa de trabajo la asesora del Grupo Parlamentario del Partido Acción Nacional licenciada Cecilia Genco Liceaga presentó la propuesta de punto de acuerdo. El licenciado Óscar Adrián Yáñez González, entonces asesor del Grupo Parlamentario del Partido Revolucionario Institucional, refirió ser la atención de la salud una prioridad para el Congreso del Estado, el tema ser urgente, y mencionó las protestas que se estaban efectuando por familiares de niños con cáncer para exigir la entrega de insumos y medicamentos para tratar esa enfermedad. Que el Ejecutivo Federal hiciera esfuerzos para realizar su compra y su rápida distribución a las entidades federativas, no debiéndose suspender los tratamientos por la falta de medicamentos; tomando en cuenta la fecha de presentación de la propuesta, era conveniente actualizar  datos  y  cifras, y  adicionar al acuerdo el que se hiciera una distribución rápida de los medicamentos. Por otra parte, el entonces diputado presidente de la comisión aludió a la respuesta recibida de la Secretaría de Salud, señalando que sería analizado al interior de la comisión. Que en virtud del convenio con la federación de  no  adhesión  al  INSABI, ser  la secretaría corresponsable en el suministro de estos medicamentos en el Estado, el surtir medicamentos a través de la federación, pero también de manera directa con proveedores propios. </w:t>
      </w:r>
    </w:p>
    <w:p w14:paraId="2EBE69AA" w14:textId="77777777" w:rsidR="00483C22" w:rsidRPr="00483C22" w:rsidRDefault="00483C22" w:rsidP="00A45594">
      <w:pPr>
        <w:widowControl w:val="0"/>
        <w:tabs>
          <w:tab w:val="left" w:pos="709"/>
        </w:tabs>
        <w:jc w:val="both"/>
        <w:rPr>
          <w:rFonts w:ascii="Abadi" w:eastAsia="SimSun" w:hAnsi="Abadi" w:cs="Arial"/>
          <w:sz w:val="21"/>
          <w:szCs w:val="21"/>
        </w:rPr>
      </w:pPr>
    </w:p>
    <w:p w14:paraId="59E875C0" w14:textId="77777777" w:rsidR="00483C22" w:rsidRPr="00483C22" w:rsidRDefault="00483C22" w:rsidP="00A45594">
      <w:pPr>
        <w:tabs>
          <w:tab w:val="left" w:pos="567"/>
        </w:tabs>
        <w:ind w:firstLine="708"/>
        <w:jc w:val="both"/>
        <w:rPr>
          <w:rFonts w:ascii="Abadi" w:eastAsia="SimSun" w:hAnsi="Abadi" w:cs="Arial"/>
          <w:sz w:val="21"/>
          <w:szCs w:val="21"/>
        </w:rPr>
      </w:pPr>
      <w:bookmarkStart w:id="32" w:name="_Hlk95957241"/>
      <w:r w:rsidRPr="00483C22">
        <w:rPr>
          <w:rFonts w:ascii="Abadi" w:eastAsia="SimSun" w:hAnsi="Abadi" w:cs="Arial"/>
          <w:b/>
          <w:bCs/>
          <w:sz w:val="21"/>
          <w:szCs w:val="21"/>
        </w:rPr>
        <w:t>1.3</w:t>
      </w:r>
      <w:bookmarkStart w:id="33" w:name="_Hlk96352550"/>
      <w:r w:rsidRPr="00483C22">
        <w:rPr>
          <w:rFonts w:ascii="Abadi" w:eastAsia="SimSun" w:hAnsi="Abadi" w:cs="Arial"/>
          <w:sz w:val="21"/>
          <w:szCs w:val="21"/>
        </w:rPr>
        <w:t xml:space="preserve"> En la sesión plenaria del 7 de octubre de 2021, una vez declarada la conformación de las comisiones permanentes de la Sexagésima Quinta Legislatura, se remitieron a estas </w:t>
      </w:r>
      <w:bookmarkStart w:id="34" w:name="_Hlk96016073"/>
      <w:r w:rsidRPr="00483C22">
        <w:rPr>
          <w:rFonts w:ascii="Abadi" w:eastAsia="SimSun" w:hAnsi="Abadi" w:cs="Arial"/>
          <w:sz w:val="21"/>
          <w:szCs w:val="21"/>
        </w:rPr>
        <w:t xml:space="preserve">las iniciativas y asuntos en trámite de las comisiones de la legislatura anterior. </w:t>
      </w:r>
    </w:p>
    <w:bookmarkEnd w:id="33"/>
    <w:p w14:paraId="45FA1C2B" w14:textId="77777777" w:rsidR="00483C22" w:rsidRPr="00483C22" w:rsidRDefault="00483C22" w:rsidP="00A45594">
      <w:pPr>
        <w:tabs>
          <w:tab w:val="left" w:pos="567"/>
        </w:tabs>
        <w:ind w:firstLine="708"/>
        <w:jc w:val="both"/>
        <w:rPr>
          <w:rFonts w:ascii="Abadi" w:eastAsia="SimSun" w:hAnsi="Abadi" w:cs="Arial"/>
          <w:sz w:val="21"/>
          <w:szCs w:val="21"/>
        </w:rPr>
      </w:pPr>
    </w:p>
    <w:p w14:paraId="27177A29" w14:textId="77777777" w:rsidR="00483C22" w:rsidRPr="00483C22" w:rsidRDefault="00483C22" w:rsidP="00A45594">
      <w:pPr>
        <w:tabs>
          <w:tab w:val="left" w:pos="567"/>
        </w:tabs>
        <w:ind w:firstLine="708"/>
        <w:jc w:val="both"/>
        <w:rPr>
          <w:rFonts w:ascii="Abadi" w:eastAsia="SimSun" w:hAnsi="Abadi" w:cs="Arial"/>
          <w:sz w:val="21"/>
          <w:szCs w:val="21"/>
        </w:rPr>
      </w:pPr>
      <w:r w:rsidRPr="00483C22">
        <w:rPr>
          <w:rFonts w:ascii="Abadi" w:eastAsia="SimSun" w:hAnsi="Abadi" w:cs="Arial"/>
          <w:b/>
          <w:bCs/>
          <w:sz w:val="21"/>
          <w:szCs w:val="21"/>
        </w:rPr>
        <w:t xml:space="preserve">1.4 </w:t>
      </w:r>
      <w:r w:rsidRPr="00483C22">
        <w:rPr>
          <w:rFonts w:ascii="Abadi" w:eastAsia="SimSun" w:hAnsi="Abadi" w:cs="Arial"/>
          <w:sz w:val="21"/>
          <w:szCs w:val="21"/>
        </w:rPr>
        <w:t>En la reunión del 11 de octubre de 2021 se llevó a cabo la instalación de la Comisión de Salud Pública de la Sexagésima Quinta Legislatura, en la que sus integrantes se impusieron del contenido del informe de</w:t>
      </w:r>
      <w:bookmarkStart w:id="35" w:name="_Hlk96352628"/>
      <w:r w:rsidRPr="00483C22">
        <w:rPr>
          <w:rFonts w:ascii="Abadi" w:eastAsia="SimSun" w:hAnsi="Abadi" w:cs="Arial"/>
          <w:sz w:val="21"/>
          <w:szCs w:val="21"/>
        </w:rPr>
        <w:t xml:space="preserve"> los pendientes de los trabajos legislativos de la Comisión de Salud Pública de la anterior legislatura, siendo uno de ellos el que nos ocupa.</w:t>
      </w:r>
    </w:p>
    <w:p w14:paraId="4AB636E2" w14:textId="77777777" w:rsidR="00483C22" w:rsidRPr="00483C22" w:rsidRDefault="00483C22" w:rsidP="00A45594">
      <w:pPr>
        <w:tabs>
          <w:tab w:val="left" w:pos="567"/>
        </w:tabs>
        <w:ind w:firstLine="708"/>
        <w:jc w:val="both"/>
        <w:rPr>
          <w:rFonts w:ascii="Abadi" w:eastAsia="SimSun" w:hAnsi="Abadi" w:cs="Arial"/>
          <w:b/>
          <w:bCs/>
          <w:sz w:val="21"/>
          <w:szCs w:val="21"/>
        </w:rPr>
      </w:pPr>
      <w:bookmarkStart w:id="36" w:name="_Hlk96018895"/>
      <w:bookmarkEnd w:id="32"/>
      <w:bookmarkEnd w:id="34"/>
      <w:bookmarkEnd w:id="35"/>
    </w:p>
    <w:p w14:paraId="4B645A96" w14:textId="77777777" w:rsidR="00483C22" w:rsidRPr="00483C22" w:rsidRDefault="00483C22" w:rsidP="00A45594">
      <w:pPr>
        <w:numPr>
          <w:ilvl w:val="1"/>
          <w:numId w:val="51"/>
        </w:numPr>
        <w:tabs>
          <w:tab w:val="left" w:pos="567"/>
        </w:tabs>
        <w:ind w:left="0" w:firstLine="709"/>
        <w:jc w:val="both"/>
        <w:rPr>
          <w:rFonts w:ascii="Abadi" w:eastAsia="SimSun" w:hAnsi="Abadi" w:cs="Arial"/>
          <w:sz w:val="21"/>
          <w:szCs w:val="21"/>
        </w:rPr>
      </w:pPr>
      <w:r w:rsidRPr="00483C22">
        <w:rPr>
          <w:rFonts w:ascii="Abadi" w:eastAsia="SimSun" w:hAnsi="Abadi" w:cs="Arial"/>
          <w:sz w:val="21"/>
          <w:szCs w:val="21"/>
        </w:rPr>
        <w:t xml:space="preserve">El 15 de abril de 2022 la secretaría técnica de la Comisión de Salud Pública remitió vía correo electrónico a las diputadas y al diputado integrantes de la misma, tarjeta informativa sobre el trabajo legislativo realizado a esa fecha,  para el estudio y dictamen de la propuesta de punto de acuerdo en cuestión, así como anexos, consistentes en el concentrado de la información que en su momento la secretaría técnica remitió a quienes integraban la Comisión de Salud Pública de la Sexagésima Cuarta Legislatura, y el oficio CAJ/DCN/71/2021, </w:t>
      </w:r>
      <w:bookmarkStart w:id="37" w:name="_Hlk106721726"/>
      <w:r w:rsidRPr="00483C22">
        <w:rPr>
          <w:rFonts w:ascii="Abadi" w:eastAsia="SimSun" w:hAnsi="Abadi" w:cs="Arial"/>
          <w:sz w:val="21"/>
          <w:szCs w:val="21"/>
        </w:rPr>
        <w:t xml:space="preserve">mediante el  cual  la Secretaría de Salud del Estado dio respuesta a la solicitud de información peticionada por la comisión. </w:t>
      </w:r>
    </w:p>
    <w:bookmarkEnd w:id="37"/>
    <w:p w14:paraId="63F40834" w14:textId="77777777" w:rsidR="00483C22" w:rsidRPr="00483C22" w:rsidRDefault="00483C22" w:rsidP="00A45594">
      <w:pPr>
        <w:tabs>
          <w:tab w:val="left" w:pos="567"/>
        </w:tabs>
        <w:jc w:val="both"/>
        <w:rPr>
          <w:rFonts w:ascii="Abadi" w:eastAsia="SimSun" w:hAnsi="Abadi" w:cs="Arial"/>
          <w:sz w:val="21"/>
          <w:szCs w:val="21"/>
        </w:rPr>
      </w:pPr>
    </w:p>
    <w:p w14:paraId="23EB9952" w14:textId="77777777" w:rsidR="00483C22" w:rsidRPr="00483C22" w:rsidRDefault="00483C22" w:rsidP="00A45594">
      <w:pPr>
        <w:tabs>
          <w:tab w:val="left" w:pos="567"/>
        </w:tabs>
        <w:jc w:val="both"/>
        <w:rPr>
          <w:rFonts w:ascii="Abadi" w:eastAsia="SimSun" w:hAnsi="Abadi" w:cs="Arial"/>
          <w:sz w:val="21"/>
          <w:szCs w:val="21"/>
        </w:rPr>
      </w:pPr>
      <w:r w:rsidRPr="00483C22">
        <w:rPr>
          <w:rFonts w:ascii="Abadi" w:eastAsia="SimSun" w:hAnsi="Abadi" w:cs="Arial"/>
          <w:b/>
          <w:bCs/>
          <w:sz w:val="21"/>
          <w:szCs w:val="21"/>
        </w:rPr>
        <w:tab/>
      </w:r>
      <w:r w:rsidRPr="00483C22">
        <w:rPr>
          <w:rFonts w:ascii="Abadi" w:eastAsia="SimSun" w:hAnsi="Abadi" w:cs="Arial"/>
          <w:b/>
          <w:bCs/>
          <w:sz w:val="21"/>
          <w:szCs w:val="21"/>
        </w:rPr>
        <w:tab/>
        <w:t xml:space="preserve">1.6 </w:t>
      </w:r>
      <w:r w:rsidRPr="00483C22">
        <w:rPr>
          <w:rFonts w:ascii="Abadi" w:eastAsia="SimSun" w:hAnsi="Abadi" w:cs="Arial"/>
          <w:sz w:val="21"/>
          <w:szCs w:val="21"/>
        </w:rPr>
        <w:t xml:space="preserve">El 19 de abril del 2022 se desahogó la mesa de trabajo, </w:t>
      </w:r>
      <w:bookmarkStart w:id="38" w:name="_Hlk106722007"/>
      <w:r w:rsidRPr="00483C22">
        <w:rPr>
          <w:rFonts w:ascii="Abadi" w:eastAsia="SimSun" w:hAnsi="Abadi" w:cs="Arial"/>
          <w:sz w:val="21"/>
          <w:szCs w:val="21"/>
        </w:rPr>
        <w:t>a la que asistieron de forma presencial la diputada presidenta de la Comisión de Salud Pública Irma Leticia González Sánchez, las diputadas Angélica Casillas Martínez y Katya Cristina Soto Escamilla, y el diputado Ernesto Millán Soberanes. Asimismo, los asesores licenciados Ángel Raymundo Osorio Ponce y Rodrigo Navarrete Garza del Grupo Parlamentario del Partido Morena, el licenciado Juan Pablo Fernando Galván Aguilar y la licenciada Marisol Cano Echeverría, asesores del Grupo Parlamentario del Partido Acción Nacional, y la secretaria técnica de la comisión. Durante el desarrollo de la mesa de trabajo la diputada Katya Cristina Soto Escamilla en uso de la voz mencionó que el Grupo Parlamentario del Partido Acción Nacional presentó la propuesta buscando que los niños con cáncer puedan contar con sus medicamentos. Seguir esta necesidad en el Estado, y los niños de Guanajuato que tienen la oportunidad de tratamiento lo es porque la Secretaría de Salud del Estado ha hecho bien su trabajo, de manera conjunta y coordinada y, destinado presupuesto para la compra de estos medicamentos, por lo que se debe continuar hacia un trabajo conjunto con la federación y obtener mejores resultados, así como seguir alzando la voz para que esto se dé.</w:t>
      </w:r>
    </w:p>
    <w:bookmarkEnd w:id="38"/>
    <w:p w14:paraId="20659DE2" w14:textId="77777777" w:rsidR="00483C22" w:rsidRPr="00483C22" w:rsidRDefault="00483C22" w:rsidP="00A45594">
      <w:pPr>
        <w:tabs>
          <w:tab w:val="left" w:pos="567"/>
        </w:tabs>
        <w:jc w:val="both"/>
        <w:rPr>
          <w:rFonts w:ascii="Abadi" w:eastAsia="SimSun" w:hAnsi="Abadi" w:cs="Arial"/>
          <w:sz w:val="21"/>
          <w:szCs w:val="21"/>
        </w:rPr>
      </w:pPr>
    </w:p>
    <w:p w14:paraId="75669854" w14:textId="77777777" w:rsidR="00483C22" w:rsidRPr="00483C22" w:rsidRDefault="00483C22" w:rsidP="00A45594">
      <w:pPr>
        <w:tabs>
          <w:tab w:val="left" w:pos="567"/>
        </w:tabs>
        <w:jc w:val="both"/>
        <w:rPr>
          <w:rFonts w:ascii="Abadi" w:eastAsia="SimSun" w:hAnsi="Abadi" w:cs="Arial"/>
          <w:sz w:val="21"/>
          <w:szCs w:val="21"/>
        </w:rPr>
      </w:pPr>
      <w:r w:rsidRPr="00483C22">
        <w:rPr>
          <w:rFonts w:ascii="Abadi" w:eastAsia="SimSun" w:hAnsi="Abadi" w:cs="Arial"/>
          <w:b/>
          <w:bCs/>
          <w:sz w:val="21"/>
          <w:szCs w:val="21"/>
        </w:rPr>
        <w:tab/>
      </w:r>
      <w:bookmarkStart w:id="39" w:name="_Hlk106722364"/>
      <w:r w:rsidRPr="00483C22">
        <w:rPr>
          <w:rFonts w:ascii="Abadi" w:eastAsia="SimSun" w:hAnsi="Abadi" w:cs="Arial"/>
          <w:b/>
          <w:bCs/>
          <w:sz w:val="21"/>
          <w:szCs w:val="21"/>
        </w:rPr>
        <w:t xml:space="preserve">1.7 </w:t>
      </w:r>
      <w:r w:rsidRPr="00483C22">
        <w:rPr>
          <w:rFonts w:ascii="Abadi" w:eastAsia="SimSun" w:hAnsi="Abadi" w:cs="Arial"/>
          <w:sz w:val="21"/>
          <w:szCs w:val="21"/>
        </w:rPr>
        <w:t>En reunión de la Comisión de Salud Pública celebrada el 31 de mayo del 2022, la diputada presidenta Irma Leticia González Sánchez, atendiendo al análisis de la propuesta en cuestión y de la información recibida, así como el haberse desahogado las mesas de trabajo, instruyó a la secretaria técnica la elaboración del proyecto de dictamen en sentido negativo de la propuesta de punto de acuerdo que no ocupa.</w:t>
      </w:r>
      <w:bookmarkEnd w:id="36"/>
      <w:bookmarkEnd w:id="39"/>
    </w:p>
    <w:p w14:paraId="7BEEB550" w14:textId="77777777" w:rsidR="00483C22" w:rsidRPr="00483C22" w:rsidRDefault="00483C22" w:rsidP="00A45594">
      <w:pPr>
        <w:tabs>
          <w:tab w:val="left" w:pos="567"/>
        </w:tabs>
        <w:jc w:val="both"/>
        <w:rPr>
          <w:rFonts w:ascii="Abadi" w:eastAsia="SimSun" w:hAnsi="Abadi" w:cs="Arial"/>
          <w:sz w:val="21"/>
          <w:szCs w:val="21"/>
        </w:rPr>
      </w:pPr>
    </w:p>
    <w:p w14:paraId="0FAEC65C" w14:textId="77777777" w:rsidR="00483C22" w:rsidRPr="00483C22" w:rsidRDefault="00483C22" w:rsidP="00A45594">
      <w:pPr>
        <w:ind w:firstLine="708"/>
        <w:jc w:val="both"/>
        <w:rPr>
          <w:rFonts w:ascii="Abadi" w:eastAsia="SimSun" w:hAnsi="Abadi" w:cs="Arial"/>
          <w:b/>
          <w:bCs/>
          <w:sz w:val="21"/>
          <w:szCs w:val="21"/>
        </w:rPr>
      </w:pPr>
      <w:r w:rsidRPr="00483C22">
        <w:rPr>
          <w:rFonts w:ascii="Abadi" w:eastAsia="SimSun" w:hAnsi="Abadi" w:cs="Arial"/>
          <w:b/>
          <w:bCs/>
          <w:sz w:val="21"/>
          <w:szCs w:val="21"/>
        </w:rPr>
        <w:t xml:space="preserve">II. Consideraciones. </w:t>
      </w:r>
    </w:p>
    <w:p w14:paraId="3EFC7A7C" w14:textId="77777777" w:rsidR="00483C22" w:rsidRPr="00483C22" w:rsidRDefault="00483C22" w:rsidP="00A45594">
      <w:pPr>
        <w:ind w:firstLine="708"/>
        <w:jc w:val="both"/>
        <w:rPr>
          <w:rFonts w:ascii="Abadi" w:eastAsia="SimSun" w:hAnsi="Abadi" w:cs="Arial"/>
          <w:b/>
          <w:bCs/>
          <w:sz w:val="21"/>
          <w:szCs w:val="21"/>
        </w:rPr>
      </w:pPr>
    </w:p>
    <w:p w14:paraId="76F3B053" w14:textId="296A39E4" w:rsidR="00483C22" w:rsidRPr="00483C22" w:rsidRDefault="00483C22" w:rsidP="00A45594">
      <w:pPr>
        <w:tabs>
          <w:tab w:val="left" w:pos="567"/>
        </w:tabs>
        <w:ind w:right="27" w:firstLine="708"/>
        <w:jc w:val="both"/>
        <w:rPr>
          <w:rFonts w:ascii="Abadi" w:eastAsia="SimSun" w:hAnsi="Abadi" w:cs="Arial"/>
          <w:sz w:val="21"/>
          <w:szCs w:val="21"/>
        </w:rPr>
      </w:pPr>
      <w:r w:rsidRPr="00483C22">
        <w:rPr>
          <w:rFonts w:ascii="Abadi" w:eastAsia="SimSun" w:hAnsi="Abadi" w:cs="Arial"/>
          <w:sz w:val="21"/>
          <w:szCs w:val="21"/>
        </w:rPr>
        <w:t>Esta comisión dictaminadora coincide con las y los proponentes en cuanto a que, el suministro de medicamentos en beneficio de las niñas, niños y adolescentes con cáncer es de suma transcendencia, debiéndose asegurar que los reciban con oportunidad y, con ello, dar pauta a una atención y aplicación del tratamiento de manera adecuada. Asimismo, estamos ciertos que, desde nuestro ámbito de competencia se debe continuar trabajando para que de forma coordinada y conjunta se logren mejores resultados.</w:t>
      </w:r>
    </w:p>
    <w:p w14:paraId="7DC052B7" w14:textId="77777777" w:rsidR="00483C22" w:rsidRPr="00483C22" w:rsidRDefault="00483C22" w:rsidP="00A45594">
      <w:pPr>
        <w:tabs>
          <w:tab w:val="left" w:pos="567"/>
          <w:tab w:val="left" w:pos="7938"/>
        </w:tabs>
        <w:ind w:firstLine="708"/>
        <w:jc w:val="both"/>
        <w:rPr>
          <w:rFonts w:ascii="Abadi" w:eastAsia="SimSun" w:hAnsi="Abadi" w:cs="Arial"/>
          <w:sz w:val="21"/>
          <w:szCs w:val="21"/>
        </w:rPr>
      </w:pPr>
    </w:p>
    <w:p w14:paraId="56322C57" w14:textId="77777777" w:rsidR="00483C22" w:rsidRPr="00483C22" w:rsidRDefault="00483C22" w:rsidP="00A45594">
      <w:pPr>
        <w:tabs>
          <w:tab w:val="left" w:pos="567"/>
          <w:tab w:val="left" w:pos="7938"/>
        </w:tabs>
        <w:ind w:firstLine="708"/>
        <w:jc w:val="both"/>
        <w:rPr>
          <w:rFonts w:ascii="Abadi" w:eastAsia="SimSun" w:hAnsi="Abadi" w:cs="Arial"/>
          <w:sz w:val="21"/>
          <w:szCs w:val="21"/>
        </w:rPr>
      </w:pPr>
      <w:r w:rsidRPr="00483C22">
        <w:rPr>
          <w:rFonts w:ascii="Abadi" w:eastAsia="SimSun" w:hAnsi="Abadi" w:cs="Arial"/>
          <w:sz w:val="21"/>
          <w:szCs w:val="21"/>
        </w:rPr>
        <w:t>Por otra parte, cabe aludir la información proporcionada por la Secretaría de Salud del Estado, recibida el 12 de enero de 2021, en la que además de mencionar la infraestructura con la que se dispone en el estado de Guanajuato, señala la situación que prevalece en cuanto a los medicamentos en cuestión a esa fecha, en los siguientes términos:</w:t>
      </w:r>
    </w:p>
    <w:p w14:paraId="5DDBFB2B" w14:textId="77777777" w:rsidR="00483C22" w:rsidRPr="00483C22" w:rsidRDefault="00483C22" w:rsidP="00A45594">
      <w:pPr>
        <w:autoSpaceDE w:val="0"/>
        <w:autoSpaceDN w:val="0"/>
        <w:adjustRightInd w:val="0"/>
        <w:ind w:right="27" w:firstLine="709"/>
        <w:jc w:val="both"/>
        <w:rPr>
          <w:rFonts w:ascii="Abadi" w:eastAsia="SimSun" w:hAnsi="Abadi" w:cs="Arial"/>
          <w:i/>
          <w:iCs/>
          <w:sz w:val="21"/>
          <w:szCs w:val="21"/>
        </w:rPr>
      </w:pPr>
    </w:p>
    <w:p w14:paraId="5B3F7A3C" w14:textId="77777777" w:rsidR="00483C22" w:rsidRPr="00483C22" w:rsidRDefault="00483C22" w:rsidP="00A45594">
      <w:pPr>
        <w:autoSpaceDE w:val="0"/>
        <w:autoSpaceDN w:val="0"/>
        <w:adjustRightInd w:val="0"/>
        <w:ind w:left="851" w:right="877"/>
        <w:jc w:val="both"/>
        <w:rPr>
          <w:rFonts w:ascii="Abadi" w:eastAsia="SimSun" w:hAnsi="Abadi" w:cs="Arial"/>
          <w:i/>
          <w:iCs/>
          <w:sz w:val="21"/>
          <w:szCs w:val="21"/>
        </w:rPr>
      </w:pPr>
      <w:r w:rsidRPr="00483C22">
        <w:rPr>
          <w:rFonts w:ascii="Abadi" w:eastAsia="SimSun" w:hAnsi="Abadi" w:cs="Arial"/>
          <w:i/>
          <w:iCs/>
          <w:sz w:val="21"/>
          <w:szCs w:val="21"/>
        </w:rPr>
        <w:t>Se realizan continuamente las gestiones necesarias para garantizar el suministro de medicamentos contra el cáncer, ya sea a través de la Secretaría de Salud Federal o de los contratos con los que cuenta este Instituto. Adicionalmente y como fortalecimiento a la atención de las y los pacientes con cáncer se tienen convenio de colaboración con instituciones públicas y privadas como el Hospital Infantil Teletón de Oncología (HITO).</w:t>
      </w:r>
    </w:p>
    <w:p w14:paraId="2D4132EE" w14:textId="77777777" w:rsidR="00483C22" w:rsidRPr="00483C22" w:rsidRDefault="00483C22" w:rsidP="00A45594">
      <w:pPr>
        <w:ind w:right="27" w:firstLine="708"/>
        <w:jc w:val="both"/>
        <w:rPr>
          <w:rFonts w:ascii="Abadi" w:eastAsia="SimSun" w:hAnsi="Abadi" w:cs="Arial"/>
          <w:strike/>
          <w:sz w:val="21"/>
          <w:szCs w:val="21"/>
        </w:rPr>
      </w:pPr>
    </w:p>
    <w:p w14:paraId="394B93DA" w14:textId="77777777" w:rsidR="00483C22" w:rsidRPr="00483C22" w:rsidRDefault="00483C22" w:rsidP="00A45594">
      <w:pPr>
        <w:ind w:right="27" w:firstLine="708"/>
        <w:jc w:val="both"/>
        <w:rPr>
          <w:rFonts w:ascii="Abadi" w:eastAsia="SimSun" w:hAnsi="Abadi" w:cs="Arial"/>
          <w:i/>
          <w:iCs/>
          <w:sz w:val="21"/>
          <w:szCs w:val="21"/>
        </w:rPr>
      </w:pPr>
      <w:r w:rsidRPr="00483C22">
        <w:rPr>
          <w:rFonts w:ascii="Abadi" w:eastAsia="SimSun" w:hAnsi="Abadi" w:cs="Arial"/>
          <w:sz w:val="21"/>
          <w:szCs w:val="21"/>
        </w:rPr>
        <w:t xml:space="preserve">Ahora bien, tomando en cuenta la fecha de presentación de la propuesta de punto de acuerdo -13 de agosto de 2020-, en la que se plasma el escenario y circunstancias dadas en esos momento, a decir de las y los proponentes, aunado a lo informado por la Secretaría de Salud del Estado, a través del oficio recibido el 12 de  enero  de   2021, en el que, a esa  fecha,  como se  mencionó, indica  </w:t>
      </w:r>
      <w:r w:rsidRPr="00483C22">
        <w:rPr>
          <w:rFonts w:ascii="Abadi" w:eastAsia="SimSun" w:hAnsi="Abadi" w:cs="Arial"/>
          <w:i/>
          <w:iCs/>
          <w:sz w:val="21"/>
          <w:szCs w:val="21"/>
        </w:rPr>
        <w:t xml:space="preserve">el  realizar </w:t>
      </w:r>
    </w:p>
    <w:p w14:paraId="2373DF4C" w14:textId="77777777" w:rsidR="00483C22" w:rsidRPr="00483C22" w:rsidRDefault="00483C22" w:rsidP="00A45594">
      <w:pPr>
        <w:ind w:right="27"/>
        <w:jc w:val="both"/>
        <w:rPr>
          <w:rFonts w:ascii="Abadi" w:eastAsia="SimSun" w:hAnsi="Abadi" w:cs="Arial"/>
          <w:i/>
          <w:iCs/>
          <w:sz w:val="21"/>
          <w:szCs w:val="21"/>
        </w:rPr>
      </w:pPr>
    </w:p>
    <w:p w14:paraId="2F4A3CEE" w14:textId="77777777" w:rsidR="00483C22" w:rsidRPr="00483C22" w:rsidRDefault="00483C22" w:rsidP="00A45594">
      <w:pPr>
        <w:ind w:right="27"/>
        <w:jc w:val="both"/>
        <w:rPr>
          <w:rFonts w:ascii="Abadi" w:eastAsia="SimSun" w:hAnsi="Abadi" w:cs="Arial"/>
          <w:sz w:val="21"/>
          <w:szCs w:val="21"/>
        </w:rPr>
      </w:pPr>
      <w:r w:rsidRPr="00483C22">
        <w:rPr>
          <w:rFonts w:ascii="Abadi" w:eastAsia="SimSun" w:hAnsi="Abadi" w:cs="Arial"/>
          <w:i/>
          <w:iCs/>
          <w:sz w:val="21"/>
          <w:szCs w:val="21"/>
        </w:rPr>
        <w:t>continuamente  gestiones</w:t>
      </w:r>
      <w:r w:rsidRPr="00483C22">
        <w:rPr>
          <w:rFonts w:ascii="Abadi" w:eastAsia="SimSun" w:hAnsi="Abadi" w:cs="Arial"/>
          <w:sz w:val="21"/>
          <w:szCs w:val="21"/>
        </w:rPr>
        <w:t xml:space="preserve">  para  g</w:t>
      </w:r>
      <w:r w:rsidRPr="00483C22">
        <w:rPr>
          <w:rFonts w:ascii="Abadi" w:eastAsia="SimSun" w:hAnsi="Abadi" w:cs="Arial"/>
          <w:i/>
          <w:iCs/>
          <w:sz w:val="21"/>
          <w:szCs w:val="21"/>
        </w:rPr>
        <w:t>arantizar  el  suministro  de  los  medicamentos contra el cáncer, a través de la Secretaría de Salud Federal o de los contratos con los que cuenta, y los convenios de colaboración</w:t>
      </w:r>
      <w:r w:rsidRPr="00483C22">
        <w:rPr>
          <w:rFonts w:ascii="Abadi" w:eastAsia="SimSun" w:hAnsi="Abadi" w:cs="Arial"/>
          <w:sz w:val="21"/>
          <w:szCs w:val="21"/>
        </w:rPr>
        <w:t>; lleva a concluir por quienes dictaminamos el no ser pertinente la propuesta de punto de acuerdo que nos ocupa, considerando el tiempo transcurrido entre su planteamiento al día de hoy, acarreando con ello escenarios diversos a los expuestos, circunstancia que de igual manera es de acontecer respecto a la información proporcionada en su momento por la dependencia mencionada.</w:t>
      </w:r>
    </w:p>
    <w:p w14:paraId="4E103387" w14:textId="77777777" w:rsidR="00483C22" w:rsidRPr="00483C22" w:rsidRDefault="00483C22" w:rsidP="00A45594">
      <w:pPr>
        <w:ind w:firstLine="709"/>
        <w:rPr>
          <w:rFonts w:ascii="Abadi" w:eastAsia="SimSun" w:hAnsi="Abadi" w:cs="Arial"/>
          <w:strike/>
          <w:sz w:val="21"/>
          <w:szCs w:val="21"/>
        </w:rPr>
      </w:pPr>
    </w:p>
    <w:p w14:paraId="5E959D4E" w14:textId="77777777" w:rsidR="00483C22" w:rsidRPr="00483C22" w:rsidRDefault="00483C22" w:rsidP="00A45594">
      <w:pPr>
        <w:ind w:firstLine="709"/>
        <w:jc w:val="both"/>
        <w:rPr>
          <w:rFonts w:ascii="Abadi" w:eastAsia="SimSun" w:hAnsi="Abadi" w:cs="Arial"/>
          <w:sz w:val="21"/>
          <w:szCs w:val="21"/>
        </w:rPr>
      </w:pPr>
      <w:r w:rsidRPr="00483C22">
        <w:rPr>
          <w:rFonts w:ascii="Abadi" w:eastAsia="SimSun" w:hAnsi="Abadi" w:cs="Arial"/>
          <w:sz w:val="21"/>
          <w:szCs w:val="21"/>
        </w:rPr>
        <w:t xml:space="preserve">Derivado de lo anterior, con fundamento en los artículos 75, 89, fracción V, </w:t>
      </w:r>
      <w:r w:rsidRPr="00483C22">
        <w:rPr>
          <w:rFonts w:ascii="Abadi" w:eastAsia="SimSun" w:hAnsi="Abadi"/>
          <w:bCs/>
          <w:sz w:val="21"/>
          <w:szCs w:val="21"/>
          <w:lang w:val="es-MX" w:eastAsia="en-US"/>
        </w:rPr>
        <w:t xml:space="preserve">118, fracción II y 171 </w:t>
      </w:r>
      <w:r w:rsidRPr="00483C22">
        <w:rPr>
          <w:rFonts w:ascii="Abadi" w:eastAsia="SimSun" w:hAnsi="Abadi" w:cs="Arial"/>
          <w:sz w:val="21"/>
          <w:szCs w:val="21"/>
        </w:rPr>
        <w:t>de la Ley Orgánica del Poder Legislativo del Estado de Guanajuato, sometemos a la consideración de la Asamblea el siguiente:</w:t>
      </w:r>
    </w:p>
    <w:p w14:paraId="2CC09C51" w14:textId="77777777" w:rsidR="00483C22" w:rsidRPr="00483C22" w:rsidRDefault="00483C22" w:rsidP="00A45594">
      <w:pPr>
        <w:jc w:val="center"/>
        <w:rPr>
          <w:rFonts w:ascii="Abadi" w:eastAsia="SimSun" w:hAnsi="Abadi" w:cs="Arial"/>
          <w:sz w:val="21"/>
          <w:szCs w:val="21"/>
        </w:rPr>
      </w:pPr>
      <w:bookmarkStart w:id="40" w:name="_Hlk96018943"/>
    </w:p>
    <w:bookmarkEnd w:id="40"/>
    <w:p w14:paraId="7439A73D" w14:textId="77777777" w:rsidR="00483C22" w:rsidRPr="00483C22" w:rsidRDefault="00483C22" w:rsidP="00A45594">
      <w:pPr>
        <w:jc w:val="center"/>
        <w:rPr>
          <w:rFonts w:ascii="Abadi" w:hAnsi="Abadi" w:cs="Arial"/>
          <w:b/>
          <w:sz w:val="21"/>
          <w:szCs w:val="21"/>
        </w:rPr>
      </w:pPr>
      <w:r w:rsidRPr="00483C22">
        <w:rPr>
          <w:rFonts w:ascii="Abadi" w:hAnsi="Abadi" w:cs="Arial"/>
          <w:b/>
          <w:sz w:val="21"/>
          <w:szCs w:val="21"/>
        </w:rPr>
        <w:t>A C U E R D O</w:t>
      </w:r>
    </w:p>
    <w:p w14:paraId="62D1CADD" w14:textId="77777777" w:rsidR="00483C22" w:rsidRPr="00483C22" w:rsidRDefault="00483C22" w:rsidP="00A45594">
      <w:pPr>
        <w:tabs>
          <w:tab w:val="left" w:pos="3969"/>
          <w:tab w:val="left" w:pos="9072"/>
        </w:tabs>
        <w:ind w:left="-142" w:right="-1" w:firstLine="851"/>
        <w:jc w:val="both"/>
        <w:rPr>
          <w:rFonts w:ascii="Abadi" w:eastAsia="SimSun" w:hAnsi="Abadi" w:cs="Arial"/>
          <w:sz w:val="21"/>
          <w:szCs w:val="21"/>
        </w:rPr>
      </w:pPr>
    </w:p>
    <w:p w14:paraId="25607C4B" w14:textId="77777777" w:rsidR="00483C22" w:rsidRPr="00483C22" w:rsidRDefault="00483C22" w:rsidP="00A45594">
      <w:pPr>
        <w:autoSpaceDE w:val="0"/>
        <w:autoSpaceDN w:val="0"/>
        <w:adjustRightInd w:val="0"/>
        <w:ind w:firstLine="708"/>
        <w:jc w:val="both"/>
        <w:rPr>
          <w:rFonts w:ascii="Abadi" w:eastAsia="SimSun" w:hAnsi="Abadi"/>
          <w:bCs/>
          <w:sz w:val="21"/>
          <w:szCs w:val="21"/>
        </w:rPr>
      </w:pPr>
      <w:r w:rsidRPr="00483C22">
        <w:rPr>
          <w:rFonts w:ascii="Abadi" w:eastAsia="SimSun" w:hAnsi="Abadi" w:cs="Arial"/>
          <w:b/>
          <w:bCs/>
          <w:sz w:val="21"/>
          <w:szCs w:val="21"/>
        </w:rPr>
        <w:t>Único.</w:t>
      </w:r>
      <w:r w:rsidRPr="00483C22">
        <w:rPr>
          <w:rFonts w:ascii="Abadi" w:eastAsia="SimSun" w:hAnsi="Abadi" w:cs="Arial"/>
          <w:sz w:val="21"/>
          <w:szCs w:val="21"/>
        </w:rPr>
        <w:t xml:space="preserve">  No resulta pertinente la propuesta </w:t>
      </w:r>
      <w:r w:rsidRPr="00483C22">
        <w:rPr>
          <w:rFonts w:ascii="Abadi" w:eastAsia="SimSun" w:hAnsi="Abadi"/>
          <w:bCs/>
          <w:sz w:val="21"/>
          <w:szCs w:val="21"/>
        </w:rPr>
        <w:t>de punto de suscrita  por diputadas y diputados integrantes del Grupo Parlamentario del Partido Acción Nacional ante la Sexagésima Cuarta Legislatura del Congreso del Estado, por la que se formula un respetuoso exhorto al titular del Poder Ejecutivo Federal, Licenciado Andrés Manuel López Obrador, para que instruya a las autoridades competentes a efecto de que estas lleven a cabo todas las acciones necesarias para agilizar los procesos de compra de medicamentos para tratamientos oncológicos y garantizar el suministro de medicamentos en beneficio de las niñas, niños y adolescentes con cáncer, por lo que se ordena el archivo definitivo de la misma.</w:t>
      </w:r>
    </w:p>
    <w:p w14:paraId="018D1454" w14:textId="77777777" w:rsidR="00483C22" w:rsidRPr="00483C22" w:rsidRDefault="00483C22" w:rsidP="00A45594">
      <w:pPr>
        <w:autoSpaceDE w:val="0"/>
        <w:autoSpaceDN w:val="0"/>
        <w:adjustRightInd w:val="0"/>
        <w:ind w:firstLine="708"/>
        <w:jc w:val="both"/>
        <w:rPr>
          <w:rFonts w:ascii="Abadi" w:eastAsia="SimSun" w:hAnsi="Abadi"/>
          <w:b/>
          <w:sz w:val="21"/>
          <w:szCs w:val="21"/>
        </w:rPr>
      </w:pPr>
    </w:p>
    <w:p w14:paraId="1C518E25" w14:textId="77777777" w:rsidR="00483C22" w:rsidRPr="00483C22" w:rsidRDefault="00483C22" w:rsidP="00A45594">
      <w:pPr>
        <w:tabs>
          <w:tab w:val="left" w:pos="3969"/>
          <w:tab w:val="left" w:pos="9072"/>
        </w:tabs>
        <w:ind w:left="-142" w:right="-1" w:firstLine="993"/>
        <w:jc w:val="both"/>
        <w:rPr>
          <w:rFonts w:ascii="Abadi" w:eastAsia="SimSun" w:hAnsi="Abadi"/>
          <w:bCs/>
          <w:sz w:val="21"/>
          <w:szCs w:val="21"/>
        </w:rPr>
      </w:pPr>
      <w:r w:rsidRPr="00483C22">
        <w:rPr>
          <w:rFonts w:ascii="Abadi" w:eastAsia="SimSun" w:hAnsi="Abadi"/>
          <w:bCs/>
          <w:sz w:val="21"/>
          <w:szCs w:val="21"/>
        </w:rPr>
        <w:t xml:space="preserve">Comuníquese el presente acuerdo a la Secretaría General del Congreso del Estado, para los efectos conducentes. </w:t>
      </w:r>
    </w:p>
    <w:p w14:paraId="135F4E3B" w14:textId="77777777" w:rsidR="00483C22" w:rsidRPr="00483C22" w:rsidRDefault="00483C22" w:rsidP="00A45594">
      <w:pPr>
        <w:jc w:val="center"/>
        <w:rPr>
          <w:rFonts w:ascii="Abadi" w:eastAsia="Calibri" w:hAnsi="Abadi"/>
          <w:b/>
          <w:sz w:val="21"/>
          <w:szCs w:val="21"/>
          <w:lang w:eastAsia="en-US"/>
        </w:rPr>
      </w:pPr>
    </w:p>
    <w:p w14:paraId="4A48E9D3" w14:textId="77777777" w:rsidR="00483C22" w:rsidRPr="00483C22" w:rsidRDefault="00483C22" w:rsidP="00A45594">
      <w:pPr>
        <w:jc w:val="center"/>
        <w:rPr>
          <w:rFonts w:ascii="Abadi" w:eastAsia="Calibri" w:hAnsi="Abadi"/>
          <w:b/>
          <w:sz w:val="21"/>
          <w:szCs w:val="21"/>
          <w:lang w:val="es-MX" w:eastAsia="en-US"/>
        </w:rPr>
      </w:pPr>
      <w:r w:rsidRPr="00483C22">
        <w:rPr>
          <w:rFonts w:ascii="Abadi" w:eastAsia="Calibri" w:hAnsi="Abadi"/>
          <w:b/>
          <w:sz w:val="21"/>
          <w:szCs w:val="21"/>
          <w:lang w:val="es-MX" w:eastAsia="en-US"/>
        </w:rPr>
        <w:t>Guanajuato, Gto., 16 de agosto de 2022</w:t>
      </w:r>
    </w:p>
    <w:p w14:paraId="6A3F2CED" w14:textId="05246667" w:rsidR="00483C22" w:rsidRDefault="00483C22" w:rsidP="00A45594">
      <w:pPr>
        <w:jc w:val="center"/>
        <w:rPr>
          <w:rFonts w:ascii="Abadi" w:eastAsia="Calibri" w:hAnsi="Abadi"/>
          <w:b/>
          <w:sz w:val="21"/>
          <w:szCs w:val="21"/>
          <w:lang w:val="es-MX" w:eastAsia="en-US"/>
        </w:rPr>
      </w:pPr>
      <w:r w:rsidRPr="00483C22">
        <w:rPr>
          <w:rFonts w:ascii="Abadi" w:eastAsia="Calibri" w:hAnsi="Abadi"/>
          <w:b/>
          <w:sz w:val="21"/>
          <w:szCs w:val="21"/>
          <w:lang w:val="es-MX" w:eastAsia="en-US"/>
        </w:rPr>
        <w:t>La Comisión de Salud Pública.</w:t>
      </w:r>
    </w:p>
    <w:p w14:paraId="607940C7" w14:textId="77777777" w:rsidR="00483C22" w:rsidRPr="00483C22" w:rsidRDefault="00483C22" w:rsidP="00A45594">
      <w:pPr>
        <w:jc w:val="center"/>
        <w:rPr>
          <w:rFonts w:ascii="Abadi" w:eastAsia="Calibri" w:hAnsi="Abadi"/>
          <w:b/>
          <w:sz w:val="21"/>
          <w:szCs w:val="21"/>
          <w:lang w:val="es-MX" w:eastAsia="en-US"/>
        </w:rPr>
      </w:pPr>
    </w:p>
    <w:p w14:paraId="14AB61CF" w14:textId="77777777" w:rsidR="00483C22" w:rsidRPr="00483C22" w:rsidRDefault="00483C22" w:rsidP="00A45594">
      <w:pPr>
        <w:jc w:val="both"/>
        <w:rPr>
          <w:rFonts w:ascii="Abadi" w:hAnsi="Abadi"/>
          <w:b/>
          <w:bCs/>
          <w:sz w:val="21"/>
          <w:szCs w:val="21"/>
        </w:rPr>
      </w:pPr>
      <w:r w:rsidRPr="00483C22">
        <w:rPr>
          <w:rFonts w:ascii="Abadi" w:hAnsi="Abadi" w:cs="Segoe UI"/>
          <w:b/>
          <w:bCs/>
          <w:sz w:val="21"/>
          <w:szCs w:val="21"/>
        </w:rPr>
        <w:t>Dip. Irma Leticia González Sánchez</w:t>
      </w:r>
    </w:p>
    <w:p w14:paraId="0DD3F049" w14:textId="77777777" w:rsidR="00483C22" w:rsidRPr="00483C22" w:rsidRDefault="00483C22" w:rsidP="00A45594">
      <w:pPr>
        <w:jc w:val="both"/>
        <w:rPr>
          <w:rFonts w:ascii="Abadi" w:hAnsi="Abadi" w:cs="Segoe UI"/>
          <w:i/>
          <w:iCs/>
          <w:sz w:val="21"/>
          <w:szCs w:val="21"/>
        </w:rPr>
      </w:pPr>
      <w:r w:rsidRPr="00483C22">
        <w:rPr>
          <w:rFonts w:ascii="Abadi" w:hAnsi="Abadi" w:cs="Segoe UI"/>
          <w:i/>
          <w:iCs/>
          <w:sz w:val="21"/>
          <w:szCs w:val="21"/>
        </w:rPr>
        <w:t>Firma electrónica certificada</w:t>
      </w:r>
    </w:p>
    <w:p w14:paraId="16B5C8D5" w14:textId="77777777" w:rsidR="00483C22" w:rsidRPr="00483C22" w:rsidRDefault="00483C22" w:rsidP="00A45594">
      <w:pPr>
        <w:jc w:val="both"/>
        <w:rPr>
          <w:rFonts w:ascii="Abadi" w:hAnsi="Abadi" w:cs="Segoe UI"/>
          <w:b/>
          <w:bCs/>
          <w:sz w:val="21"/>
          <w:szCs w:val="21"/>
        </w:rPr>
      </w:pPr>
      <w:r w:rsidRPr="00483C22">
        <w:rPr>
          <w:rFonts w:ascii="Abadi" w:hAnsi="Abadi" w:cs="Segoe UI"/>
          <w:b/>
          <w:bCs/>
          <w:sz w:val="21"/>
          <w:szCs w:val="21"/>
        </w:rPr>
        <w:t>Dip. Noemí Márquez Márquez</w:t>
      </w:r>
    </w:p>
    <w:p w14:paraId="56E66294" w14:textId="77777777" w:rsidR="00483C22" w:rsidRPr="00483C22" w:rsidRDefault="00483C22" w:rsidP="00A45594">
      <w:pPr>
        <w:jc w:val="both"/>
        <w:rPr>
          <w:rFonts w:ascii="Abadi" w:hAnsi="Abadi" w:cs="Segoe UI"/>
          <w:i/>
          <w:iCs/>
          <w:sz w:val="21"/>
          <w:szCs w:val="21"/>
        </w:rPr>
      </w:pPr>
      <w:r w:rsidRPr="00483C22">
        <w:rPr>
          <w:rFonts w:ascii="Abadi" w:hAnsi="Abadi" w:cs="Segoe UI"/>
          <w:i/>
          <w:iCs/>
          <w:sz w:val="21"/>
          <w:szCs w:val="21"/>
        </w:rPr>
        <w:t>Firma electrónica certificada</w:t>
      </w:r>
    </w:p>
    <w:p w14:paraId="5F60A161" w14:textId="77777777" w:rsidR="00483C22" w:rsidRPr="00483C22" w:rsidRDefault="00483C22" w:rsidP="00A45594">
      <w:pPr>
        <w:jc w:val="both"/>
        <w:rPr>
          <w:rFonts w:ascii="Abadi" w:hAnsi="Abadi" w:cs="Segoe UI"/>
          <w:i/>
          <w:iCs/>
          <w:sz w:val="21"/>
          <w:szCs w:val="21"/>
        </w:rPr>
      </w:pPr>
      <w:r w:rsidRPr="00483C22">
        <w:rPr>
          <w:rFonts w:ascii="Abadi" w:hAnsi="Abadi" w:cs="Segoe UI"/>
          <w:b/>
          <w:bCs/>
          <w:sz w:val="21"/>
          <w:szCs w:val="21"/>
        </w:rPr>
        <w:t>Dip. Katya Cristina Soto Escamilla</w:t>
      </w:r>
    </w:p>
    <w:p w14:paraId="191BE95F" w14:textId="77777777" w:rsidR="00483C22" w:rsidRPr="00483C22" w:rsidRDefault="00483C22" w:rsidP="00A45594">
      <w:pPr>
        <w:jc w:val="both"/>
        <w:rPr>
          <w:rFonts w:ascii="Abadi" w:hAnsi="Abadi" w:cs="Segoe UI"/>
          <w:i/>
          <w:iCs/>
          <w:sz w:val="21"/>
          <w:szCs w:val="21"/>
        </w:rPr>
      </w:pPr>
      <w:r w:rsidRPr="00483C22">
        <w:rPr>
          <w:rFonts w:ascii="Abadi" w:hAnsi="Abadi" w:cs="Segoe UI"/>
          <w:i/>
          <w:iCs/>
          <w:sz w:val="21"/>
          <w:szCs w:val="21"/>
        </w:rPr>
        <w:t>Firma electrónica certificada</w:t>
      </w:r>
    </w:p>
    <w:p w14:paraId="5ED4A0E6" w14:textId="77777777" w:rsidR="00483C22" w:rsidRPr="00483C22" w:rsidRDefault="00483C22" w:rsidP="00A45594">
      <w:pPr>
        <w:jc w:val="both"/>
        <w:rPr>
          <w:rFonts w:ascii="Abadi" w:hAnsi="Abadi" w:cs="Segoe UI"/>
          <w:b/>
          <w:bCs/>
          <w:sz w:val="21"/>
          <w:szCs w:val="21"/>
        </w:rPr>
      </w:pPr>
      <w:r w:rsidRPr="00483C22">
        <w:rPr>
          <w:rFonts w:ascii="Abadi" w:hAnsi="Abadi" w:cs="Segoe UI"/>
          <w:b/>
          <w:bCs/>
          <w:sz w:val="21"/>
          <w:szCs w:val="21"/>
        </w:rPr>
        <w:t>Dip. Angélica Casillas Martínez</w:t>
      </w:r>
    </w:p>
    <w:p w14:paraId="1E2D8B06" w14:textId="77777777" w:rsidR="00483C22" w:rsidRPr="00483C22" w:rsidRDefault="00483C22" w:rsidP="00A45594">
      <w:pPr>
        <w:jc w:val="both"/>
        <w:rPr>
          <w:rFonts w:ascii="Abadi" w:hAnsi="Abadi"/>
          <w:b/>
          <w:bCs/>
          <w:sz w:val="21"/>
          <w:szCs w:val="21"/>
        </w:rPr>
      </w:pPr>
      <w:r w:rsidRPr="00483C22">
        <w:rPr>
          <w:rFonts w:ascii="Abadi" w:hAnsi="Abadi" w:cs="Segoe UI"/>
          <w:i/>
          <w:iCs/>
          <w:sz w:val="21"/>
          <w:szCs w:val="21"/>
        </w:rPr>
        <w:t>Firma electrónica certificada</w:t>
      </w:r>
    </w:p>
    <w:p w14:paraId="543B1522" w14:textId="77777777" w:rsidR="00483C22" w:rsidRPr="00483C22" w:rsidRDefault="00483C22" w:rsidP="00A45594">
      <w:pPr>
        <w:jc w:val="both"/>
        <w:rPr>
          <w:rFonts w:ascii="Abadi" w:hAnsi="Abadi" w:cs="Segoe UI"/>
          <w:b/>
          <w:bCs/>
          <w:sz w:val="21"/>
          <w:szCs w:val="21"/>
        </w:rPr>
      </w:pPr>
      <w:r w:rsidRPr="00483C22">
        <w:rPr>
          <w:rFonts w:ascii="Abadi" w:hAnsi="Abadi" w:cs="Segoe UI"/>
          <w:b/>
          <w:bCs/>
          <w:sz w:val="21"/>
          <w:szCs w:val="21"/>
        </w:rPr>
        <w:t>Dip. Ernesto Millán Soberanes</w:t>
      </w:r>
    </w:p>
    <w:p w14:paraId="79A69CC7" w14:textId="1E6CD354" w:rsidR="00483C22" w:rsidRDefault="00483C22" w:rsidP="00A45594">
      <w:pPr>
        <w:jc w:val="both"/>
        <w:rPr>
          <w:rFonts w:ascii="Abadi" w:hAnsi="Abadi" w:cs="Segoe UI"/>
          <w:i/>
          <w:iCs/>
          <w:sz w:val="21"/>
          <w:szCs w:val="21"/>
        </w:rPr>
      </w:pPr>
      <w:r w:rsidRPr="00483C22">
        <w:rPr>
          <w:rFonts w:ascii="Abadi" w:hAnsi="Abadi" w:cs="Segoe UI"/>
          <w:i/>
          <w:iCs/>
          <w:sz w:val="21"/>
          <w:szCs w:val="21"/>
        </w:rPr>
        <w:t>Firma electrónica certificada</w:t>
      </w:r>
    </w:p>
    <w:p w14:paraId="4FF3F81C" w14:textId="5D8225A8" w:rsidR="00C561F9" w:rsidRDefault="00C561F9" w:rsidP="00A45594">
      <w:pPr>
        <w:jc w:val="both"/>
        <w:rPr>
          <w:rFonts w:ascii="Abadi" w:hAnsi="Abadi" w:cs="Segoe UI"/>
          <w:i/>
          <w:iCs/>
          <w:sz w:val="21"/>
          <w:szCs w:val="21"/>
        </w:rPr>
      </w:pPr>
    </w:p>
    <w:p w14:paraId="64EB95EA" w14:textId="3CE323D3" w:rsidR="00C561F9" w:rsidRDefault="00C561F9" w:rsidP="00A45594">
      <w:pPr>
        <w:jc w:val="both"/>
        <w:rPr>
          <w:rFonts w:ascii="Abadi" w:hAnsi="Abadi" w:cs="Segoe UI"/>
          <w:i/>
          <w:iCs/>
          <w:sz w:val="21"/>
          <w:szCs w:val="21"/>
        </w:rPr>
      </w:pPr>
    </w:p>
    <w:p w14:paraId="2FC36C44" w14:textId="441689E8" w:rsidR="00C561F9" w:rsidRDefault="00C561F9" w:rsidP="00C561F9">
      <w:pPr>
        <w:ind w:firstLine="708"/>
        <w:jc w:val="both"/>
        <w:rPr>
          <w:rFonts w:ascii="Abadi" w:hAnsi="Abadi"/>
          <w:sz w:val="21"/>
          <w:szCs w:val="21"/>
        </w:rPr>
      </w:pPr>
      <w:r w:rsidRPr="00D61466">
        <w:rPr>
          <w:rFonts w:ascii="Abadi" w:hAnsi="Abadi"/>
          <w:b/>
          <w:bCs/>
          <w:sz w:val="21"/>
          <w:szCs w:val="21"/>
        </w:rPr>
        <w:t>- El Presidente.-</w:t>
      </w:r>
      <w:r>
        <w:rPr>
          <w:rFonts w:ascii="Abadi" w:hAnsi="Abadi"/>
          <w:sz w:val="21"/>
          <w:szCs w:val="21"/>
        </w:rPr>
        <w:t xml:space="preserve"> S</w:t>
      </w:r>
      <w:r w:rsidRPr="006813AA">
        <w:rPr>
          <w:rFonts w:ascii="Abadi" w:hAnsi="Abadi"/>
          <w:sz w:val="21"/>
          <w:szCs w:val="21"/>
        </w:rPr>
        <w:t xml:space="preserve">e somete a discusión el dictamen signado por la </w:t>
      </w:r>
      <w:r>
        <w:rPr>
          <w:rFonts w:ascii="Abadi" w:hAnsi="Abadi"/>
          <w:sz w:val="21"/>
          <w:szCs w:val="21"/>
        </w:rPr>
        <w:t>C</w:t>
      </w:r>
      <w:r w:rsidRPr="006813AA">
        <w:rPr>
          <w:rFonts w:ascii="Abadi" w:hAnsi="Abadi"/>
          <w:sz w:val="21"/>
          <w:szCs w:val="21"/>
        </w:rPr>
        <w:t xml:space="preserve">omisión de </w:t>
      </w:r>
      <w:r>
        <w:rPr>
          <w:rFonts w:ascii="Abadi" w:hAnsi="Abadi"/>
          <w:sz w:val="21"/>
          <w:szCs w:val="21"/>
        </w:rPr>
        <w:t>S</w:t>
      </w:r>
      <w:r w:rsidRPr="006813AA">
        <w:rPr>
          <w:rFonts w:ascii="Abadi" w:hAnsi="Abadi"/>
          <w:sz w:val="21"/>
          <w:szCs w:val="21"/>
        </w:rPr>
        <w:t xml:space="preserve">alud </w:t>
      </w:r>
      <w:r>
        <w:rPr>
          <w:rFonts w:ascii="Abadi" w:hAnsi="Abadi"/>
          <w:sz w:val="21"/>
          <w:szCs w:val="21"/>
        </w:rPr>
        <w:t>P</w:t>
      </w:r>
      <w:r w:rsidRPr="006813AA">
        <w:rPr>
          <w:rFonts w:ascii="Abadi" w:hAnsi="Abadi"/>
          <w:sz w:val="21"/>
          <w:szCs w:val="21"/>
        </w:rPr>
        <w:t>ública que se refiere en el punto 39 de nuestro orden del día</w:t>
      </w:r>
      <w:r>
        <w:rPr>
          <w:rFonts w:ascii="Abadi" w:hAnsi="Abadi"/>
          <w:sz w:val="21"/>
          <w:szCs w:val="21"/>
        </w:rPr>
        <w:t>.</w:t>
      </w:r>
    </w:p>
    <w:p w14:paraId="2FB56BBD" w14:textId="77777777" w:rsidR="00C561F9" w:rsidRDefault="00C561F9" w:rsidP="00C561F9">
      <w:pPr>
        <w:ind w:firstLine="708"/>
        <w:jc w:val="both"/>
        <w:rPr>
          <w:rFonts w:ascii="Abadi" w:hAnsi="Abadi"/>
          <w:sz w:val="21"/>
          <w:szCs w:val="21"/>
        </w:rPr>
      </w:pPr>
    </w:p>
    <w:p w14:paraId="771D3FCC" w14:textId="5DF2FF0F" w:rsidR="00C561F9" w:rsidRDefault="00C561F9" w:rsidP="00C561F9">
      <w:pPr>
        <w:ind w:firstLine="708"/>
        <w:jc w:val="both"/>
        <w:rPr>
          <w:rFonts w:ascii="Abadi" w:hAnsi="Abadi"/>
          <w:sz w:val="21"/>
          <w:szCs w:val="21"/>
        </w:rPr>
      </w:pPr>
      <w:r>
        <w:rPr>
          <w:rFonts w:ascii="Abadi" w:hAnsi="Abadi"/>
          <w:sz w:val="21"/>
          <w:szCs w:val="21"/>
        </w:rPr>
        <w:t>- S</w:t>
      </w:r>
      <w:r w:rsidRPr="006813AA">
        <w:rPr>
          <w:rFonts w:ascii="Abadi" w:hAnsi="Abadi"/>
          <w:sz w:val="21"/>
          <w:szCs w:val="21"/>
        </w:rPr>
        <w:t xml:space="preserve">i alguna diputada o algún diputado desea hacer </w:t>
      </w:r>
      <w:r>
        <w:rPr>
          <w:rFonts w:ascii="Abadi" w:hAnsi="Abadi"/>
          <w:sz w:val="21"/>
          <w:szCs w:val="21"/>
        </w:rPr>
        <w:t>u</w:t>
      </w:r>
      <w:r w:rsidRPr="006813AA">
        <w:rPr>
          <w:rFonts w:ascii="Abadi" w:hAnsi="Abadi"/>
          <w:sz w:val="21"/>
          <w:szCs w:val="21"/>
        </w:rPr>
        <w:t>so de la palabra en pro o en contra manifiést</w:t>
      </w:r>
      <w:r>
        <w:rPr>
          <w:rFonts w:ascii="Abadi" w:hAnsi="Abadi"/>
          <w:sz w:val="21"/>
          <w:szCs w:val="21"/>
        </w:rPr>
        <w:t xml:space="preserve">enlo </w:t>
      </w:r>
      <w:r w:rsidRPr="006813AA">
        <w:rPr>
          <w:rFonts w:ascii="Abadi" w:hAnsi="Abadi"/>
          <w:sz w:val="21"/>
          <w:szCs w:val="21"/>
        </w:rPr>
        <w:t>indicado el sentido de su participación</w:t>
      </w:r>
      <w:r>
        <w:rPr>
          <w:rFonts w:ascii="Abadi" w:hAnsi="Abadi"/>
          <w:sz w:val="21"/>
          <w:szCs w:val="21"/>
        </w:rPr>
        <w:t>.</w:t>
      </w:r>
    </w:p>
    <w:p w14:paraId="4E2FD4A4" w14:textId="77777777" w:rsidR="00C561F9" w:rsidRDefault="00C561F9" w:rsidP="00C561F9">
      <w:pPr>
        <w:ind w:firstLine="708"/>
        <w:jc w:val="both"/>
        <w:rPr>
          <w:rFonts w:ascii="Abadi" w:hAnsi="Abadi"/>
          <w:sz w:val="21"/>
          <w:szCs w:val="21"/>
        </w:rPr>
      </w:pPr>
    </w:p>
    <w:p w14:paraId="38255FCF" w14:textId="1BFD6A87" w:rsidR="00C561F9" w:rsidRDefault="00C561F9" w:rsidP="00C561F9">
      <w:pPr>
        <w:ind w:firstLine="708"/>
        <w:jc w:val="both"/>
        <w:rPr>
          <w:rFonts w:ascii="Abadi" w:hAnsi="Abadi"/>
          <w:sz w:val="21"/>
          <w:szCs w:val="21"/>
        </w:rPr>
      </w:pPr>
      <w:r>
        <w:rPr>
          <w:rFonts w:ascii="Abadi" w:hAnsi="Abadi"/>
          <w:sz w:val="21"/>
          <w:szCs w:val="21"/>
        </w:rPr>
        <w:t>- No</w:t>
      </w:r>
      <w:r w:rsidRPr="006813AA">
        <w:rPr>
          <w:rFonts w:ascii="Abadi" w:hAnsi="Abadi"/>
          <w:sz w:val="21"/>
          <w:szCs w:val="21"/>
        </w:rPr>
        <w:t xml:space="preserve"> habiendo participaciones </w:t>
      </w:r>
      <w:r>
        <w:rPr>
          <w:rFonts w:ascii="Abadi" w:hAnsi="Abadi"/>
          <w:sz w:val="21"/>
          <w:szCs w:val="21"/>
        </w:rPr>
        <w:t>se pide a la Se</w:t>
      </w:r>
      <w:r w:rsidRPr="006813AA">
        <w:rPr>
          <w:rFonts w:ascii="Abadi" w:hAnsi="Abadi"/>
          <w:sz w:val="21"/>
          <w:szCs w:val="21"/>
        </w:rPr>
        <w:t xml:space="preserve">cretaría que proceda a recabar votación nominal de la </w:t>
      </w:r>
      <w:r>
        <w:rPr>
          <w:rFonts w:ascii="Abadi" w:hAnsi="Abadi"/>
          <w:sz w:val="21"/>
          <w:szCs w:val="21"/>
        </w:rPr>
        <w:t>A</w:t>
      </w:r>
      <w:r w:rsidRPr="006813AA">
        <w:rPr>
          <w:rFonts w:ascii="Abadi" w:hAnsi="Abadi"/>
          <w:sz w:val="21"/>
          <w:szCs w:val="21"/>
        </w:rPr>
        <w:t>samblea a través del sistema electrónico a efecto de aprobar o no el dictamen puesto a su consideración</w:t>
      </w:r>
      <w:r>
        <w:rPr>
          <w:rFonts w:ascii="Abadi" w:hAnsi="Abadi"/>
          <w:sz w:val="21"/>
          <w:szCs w:val="21"/>
        </w:rPr>
        <w:t>.</w:t>
      </w:r>
    </w:p>
    <w:p w14:paraId="1360589C" w14:textId="77777777" w:rsidR="00C561F9" w:rsidRDefault="00C561F9" w:rsidP="00C561F9">
      <w:pPr>
        <w:ind w:firstLine="708"/>
        <w:jc w:val="both"/>
        <w:rPr>
          <w:rFonts w:ascii="Abadi" w:hAnsi="Abadi"/>
          <w:sz w:val="21"/>
          <w:szCs w:val="21"/>
        </w:rPr>
      </w:pPr>
    </w:p>
    <w:p w14:paraId="0CD954DB" w14:textId="14F4EE22" w:rsidR="00C561F9" w:rsidRDefault="00C561F9" w:rsidP="00C561F9">
      <w:pPr>
        <w:jc w:val="both"/>
        <w:rPr>
          <w:rFonts w:ascii="Abadi" w:hAnsi="Abadi"/>
          <w:b/>
          <w:bCs/>
          <w:sz w:val="21"/>
          <w:szCs w:val="21"/>
        </w:rPr>
      </w:pPr>
      <w:r w:rsidRPr="00F67EDE">
        <w:rPr>
          <w:rFonts w:ascii="Abadi" w:hAnsi="Abadi"/>
          <w:b/>
          <w:bCs/>
          <w:sz w:val="21"/>
          <w:szCs w:val="21"/>
        </w:rPr>
        <w:t>(Abrimos nuestro sistema electrónico)</w:t>
      </w:r>
    </w:p>
    <w:p w14:paraId="32803809" w14:textId="77777777" w:rsidR="00C561F9" w:rsidRPr="00F67EDE" w:rsidRDefault="00C561F9" w:rsidP="00C561F9">
      <w:pPr>
        <w:ind w:firstLine="708"/>
        <w:jc w:val="both"/>
        <w:rPr>
          <w:rFonts w:ascii="Abadi" w:hAnsi="Abadi"/>
          <w:b/>
          <w:bCs/>
          <w:sz w:val="21"/>
          <w:szCs w:val="21"/>
        </w:rPr>
      </w:pPr>
    </w:p>
    <w:p w14:paraId="08990212" w14:textId="7BF28E1B" w:rsidR="00C561F9" w:rsidRDefault="00C561F9" w:rsidP="00C561F9">
      <w:pPr>
        <w:ind w:firstLine="708"/>
        <w:jc w:val="both"/>
        <w:rPr>
          <w:rFonts w:ascii="Abadi" w:hAnsi="Abadi"/>
          <w:sz w:val="21"/>
          <w:szCs w:val="21"/>
        </w:rPr>
      </w:pPr>
      <w:r w:rsidRPr="008B4850">
        <w:rPr>
          <w:rFonts w:ascii="Abadi" w:hAnsi="Abadi"/>
          <w:b/>
          <w:bCs/>
          <w:sz w:val="21"/>
          <w:szCs w:val="21"/>
        </w:rPr>
        <w:t xml:space="preserve"> - El Secretario.-</w:t>
      </w:r>
      <w:r>
        <w:rPr>
          <w:rFonts w:ascii="Abadi" w:hAnsi="Abadi"/>
          <w:sz w:val="21"/>
          <w:szCs w:val="21"/>
        </w:rPr>
        <w:t xml:space="preserve"> E</w:t>
      </w:r>
      <w:r w:rsidRPr="006813AA">
        <w:rPr>
          <w:rFonts w:ascii="Abadi" w:hAnsi="Abadi"/>
          <w:sz w:val="21"/>
          <w:szCs w:val="21"/>
        </w:rPr>
        <w:t xml:space="preserve">n votación nominal por el sistema electrónico se pregunta a las diputadas y los diputados </w:t>
      </w:r>
      <w:r>
        <w:rPr>
          <w:rFonts w:ascii="Abadi" w:hAnsi="Abadi"/>
          <w:sz w:val="21"/>
          <w:szCs w:val="21"/>
        </w:rPr>
        <w:t>si</w:t>
      </w:r>
      <w:r w:rsidRPr="006813AA">
        <w:rPr>
          <w:rFonts w:ascii="Abadi" w:hAnsi="Abadi"/>
          <w:sz w:val="21"/>
          <w:szCs w:val="21"/>
        </w:rPr>
        <w:t xml:space="preserve"> se aprueba el dictamen puesto a su consideración</w:t>
      </w:r>
      <w:r>
        <w:rPr>
          <w:rFonts w:ascii="Abadi" w:hAnsi="Abadi"/>
          <w:sz w:val="21"/>
          <w:szCs w:val="21"/>
        </w:rPr>
        <w:t>.</w:t>
      </w:r>
      <w:r w:rsidRPr="006813AA">
        <w:rPr>
          <w:rFonts w:ascii="Abadi" w:hAnsi="Abadi"/>
          <w:sz w:val="21"/>
          <w:szCs w:val="21"/>
        </w:rPr>
        <w:t xml:space="preserve"> </w:t>
      </w:r>
      <w:r>
        <w:rPr>
          <w:rFonts w:ascii="Abadi" w:hAnsi="Abadi"/>
          <w:sz w:val="21"/>
          <w:szCs w:val="21"/>
        </w:rPr>
        <w:t>¿D</w:t>
      </w:r>
      <w:r w:rsidRPr="006813AA">
        <w:rPr>
          <w:rFonts w:ascii="Abadi" w:hAnsi="Abadi"/>
          <w:sz w:val="21"/>
          <w:szCs w:val="21"/>
        </w:rPr>
        <w:t xml:space="preserve">iputado </w:t>
      </w:r>
      <w:r>
        <w:rPr>
          <w:rFonts w:ascii="Abadi" w:hAnsi="Abadi"/>
          <w:sz w:val="21"/>
          <w:szCs w:val="21"/>
        </w:rPr>
        <w:t>A</w:t>
      </w:r>
      <w:r w:rsidRPr="006813AA">
        <w:rPr>
          <w:rFonts w:ascii="Abadi" w:hAnsi="Abadi"/>
          <w:sz w:val="21"/>
          <w:szCs w:val="21"/>
        </w:rPr>
        <w:t xml:space="preserve">rmando </w:t>
      </w:r>
      <w:r>
        <w:rPr>
          <w:rFonts w:ascii="Abadi" w:hAnsi="Abadi"/>
          <w:sz w:val="21"/>
          <w:szCs w:val="21"/>
        </w:rPr>
        <w:t>R</w:t>
      </w:r>
      <w:r w:rsidRPr="006813AA">
        <w:rPr>
          <w:rFonts w:ascii="Abadi" w:hAnsi="Abadi"/>
          <w:sz w:val="21"/>
          <w:szCs w:val="21"/>
        </w:rPr>
        <w:t>angel</w:t>
      </w:r>
      <w:r>
        <w:rPr>
          <w:rFonts w:ascii="Abadi" w:hAnsi="Abadi"/>
          <w:sz w:val="21"/>
          <w:szCs w:val="21"/>
        </w:rPr>
        <w:t>? ¿</w:t>
      </w:r>
      <w:r w:rsidRPr="006813AA">
        <w:rPr>
          <w:rFonts w:ascii="Abadi" w:hAnsi="Abadi"/>
          <w:sz w:val="21"/>
          <w:szCs w:val="21"/>
        </w:rPr>
        <w:t xml:space="preserve">José </w:t>
      </w:r>
      <w:r>
        <w:rPr>
          <w:rFonts w:ascii="Abadi" w:hAnsi="Abadi"/>
          <w:sz w:val="21"/>
          <w:szCs w:val="21"/>
        </w:rPr>
        <w:t>A</w:t>
      </w:r>
      <w:r w:rsidRPr="006813AA">
        <w:rPr>
          <w:rFonts w:ascii="Abadi" w:hAnsi="Abadi"/>
          <w:sz w:val="21"/>
          <w:szCs w:val="21"/>
        </w:rPr>
        <w:t>lfonso Borja</w:t>
      </w:r>
      <w:r>
        <w:rPr>
          <w:rFonts w:ascii="Abadi" w:hAnsi="Abadi"/>
          <w:sz w:val="21"/>
          <w:szCs w:val="21"/>
        </w:rPr>
        <w:t>? ¿Diputada Susana Bermúdez? ¿Diputado Rolando Fortino?</w:t>
      </w:r>
      <w:r w:rsidRPr="00F37830">
        <w:rPr>
          <w:rFonts w:ascii="Abadi" w:hAnsi="Abadi"/>
          <w:sz w:val="21"/>
          <w:szCs w:val="21"/>
        </w:rPr>
        <w:t xml:space="preserve"> </w:t>
      </w:r>
    </w:p>
    <w:p w14:paraId="2342892D" w14:textId="77777777" w:rsidR="00C561F9" w:rsidRPr="006813AA" w:rsidRDefault="00C561F9" w:rsidP="00C561F9">
      <w:pPr>
        <w:ind w:firstLine="708"/>
        <w:jc w:val="both"/>
        <w:rPr>
          <w:rFonts w:ascii="Abadi" w:hAnsi="Abadi"/>
          <w:sz w:val="21"/>
          <w:szCs w:val="21"/>
        </w:rPr>
      </w:pPr>
    </w:p>
    <w:p w14:paraId="70F11BF7" w14:textId="4A9539AC" w:rsidR="00C561F9" w:rsidRDefault="00C561F9" w:rsidP="00C561F9">
      <w:pPr>
        <w:jc w:val="both"/>
        <w:rPr>
          <w:rFonts w:ascii="Abadi" w:hAnsi="Abadi"/>
          <w:sz w:val="21"/>
          <w:szCs w:val="21"/>
        </w:rPr>
      </w:pPr>
      <w:r>
        <w:rPr>
          <w:rFonts w:ascii="Abadi" w:hAnsi="Abadi"/>
          <w:sz w:val="21"/>
          <w:szCs w:val="21"/>
        </w:rPr>
        <w:t>¿F</w:t>
      </w:r>
      <w:r w:rsidRPr="006813AA">
        <w:rPr>
          <w:rFonts w:ascii="Abadi" w:hAnsi="Abadi"/>
          <w:sz w:val="21"/>
          <w:szCs w:val="21"/>
        </w:rPr>
        <w:t>alta alguna diputada o algún diputado emitir su voto</w:t>
      </w:r>
      <w:r>
        <w:rPr>
          <w:rFonts w:ascii="Abadi" w:hAnsi="Abadi"/>
          <w:sz w:val="21"/>
          <w:szCs w:val="21"/>
        </w:rPr>
        <w:t>?</w:t>
      </w:r>
    </w:p>
    <w:p w14:paraId="59D24969" w14:textId="77777777" w:rsidR="00C561F9" w:rsidRDefault="00C561F9" w:rsidP="00C561F9">
      <w:pPr>
        <w:jc w:val="both"/>
        <w:rPr>
          <w:rFonts w:ascii="Abadi" w:hAnsi="Abadi"/>
          <w:sz w:val="21"/>
          <w:szCs w:val="21"/>
        </w:rPr>
      </w:pPr>
    </w:p>
    <w:p w14:paraId="6CCAD21B" w14:textId="77777777" w:rsidR="00C561F9" w:rsidRDefault="00C561F9" w:rsidP="00C561F9">
      <w:pPr>
        <w:jc w:val="both"/>
        <w:rPr>
          <w:rFonts w:ascii="Abadi" w:hAnsi="Abadi"/>
          <w:b/>
          <w:bCs/>
          <w:sz w:val="21"/>
          <w:szCs w:val="21"/>
        </w:rPr>
      </w:pPr>
      <w:r w:rsidRPr="00F37830">
        <w:rPr>
          <w:rFonts w:ascii="Abadi" w:hAnsi="Abadi"/>
          <w:b/>
          <w:bCs/>
          <w:sz w:val="21"/>
          <w:szCs w:val="21"/>
        </w:rPr>
        <w:t>(Se cierra el sistema electrónico)</w:t>
      </w:r>
    </w:p>
    <w:p w14:paraId="3BEB4DEB" w14:textId="77777777" w:rsidR="00C561F9" w:rsidRDefault="00C561F9" w:rsidP="00C561F9">
      <w:pPr>
        <w:jc w:val="both"/>
        <w:rPr>
          <w:rFonts w:ascii="Abadi" w:hAnsi="Abadi"/>
          <w:b/>
          <w:bCs/>
          <w:sz w:val="21"/>
          <w:szCs w:val="21"/>
        </w:rPr>
      </w:pPr>
      <w:r>
        <w:rPr>
          <w:noProof/>
        </w:rPr>
        <w:drawing>
          <wp:inline distT="0" distB="0" distL="0" distR="0" wp14:anchorId="7C62307F" wp14:editId="5DEB6741">
            <wp:extent cx="1798248" cy="937026"/>
            <wp:effectExtent l="323850" t="323850" r="316865" b="32067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b="7357"/>
                    <a:stretch/>
                  </pic:blipFill>
                  <pic:spPr bwMode="auto">
                    <a:xfrm>
                      <a:off x="0" y="0"/>
                      <a:ext cx="1817651" cy="947136"/>
                    </a:xfrm>
                    <a:prstGeom prst="rect">
                      <a:avLst/>
                    </a:prstGeom>
                    <a:ln w="88900" cap="sq" cmpd="thickThin">
                      <a:solidFill>
                        <a:srgbClr val="000000"/>
                      </a:solidFill>
                      <a:prstDash val="solid"/>
                      <a:miter lim="800000"/>
                    </a:ln>
                    <a:effectLst>
                      <a:glow rad="228600">
                        <a:schemeClr val="accent3">
                          <a:satMod val="1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4D1910CE" w14:textId="17B2BC46" w:rsidR="00C561F9" w:rsidRDefault="00C561F9" w:rsidP="00C561F9">
      <w:pPr>
        <w:ind w:firstLine="708"/>
        <w:jc w:val="both"/>
        <w:rPr>
          <w:rFonts w:ascii="Abadi" w:hAnsi="Abadi"/>
          <w:sz w:val="21"/>
          <w:szCs w:val="21"/>
        </w:rPr>
      </w:pPr>
      <w:r w:rsidRPr="00F37830">
        <w:rPr>
          <w:rFonts w:ascii="Abadi" w:hAnsi="Abadi"/>
          <w:b/>
          <w:bCs/>
          <w:sz w:val="21"/>
          <w:szCs w:val="21"/>
        </w:rPr>
        <w:t>- El Secretario.-</w:t>
      </w:r>
      <w:r>
        <w:rPr>
          <w:rFonts w:ascii="Abadi" w:hAnsi="Abadi"/>
          <w:sz w:val="21"/>
          <w:szCs w:val="21"/>
        </w:rPr>
        <w:t xml:space="preserve"> S</w:t>
      </w:r>
      <w:r w:rsidRPr="006813AA">
        <w:rPr>
          <w:rFonts w:ascii="Abadi" w:hAnsi="Abadi"/>
          <w:sz w:val="21"/>
          <w:szCs w:val="21"/>
        </w:rPr>
        <w:t>e registraron 32 votos a favor</w:t>
      </w:r>
      <w:r>
        <w:rPr>
          <w:rFonts w:ascii="Abadi" w:hAnsi="Abadi"/>
          <w:sz w:val="21"/>
          <w:szCs w:val="21"/>
        </w:rPr>
        <w:t>.</w:t>
      </w:r>
    </w:p>
    <w:p w14:paraId="3EED8393" w14:textId="77777777" w:rsidR="00DA5E58" w:rsidRDefault="00DA5E58" w:rsidP="00C561F9">
      <w:pPr>
        <w:ind w:firstLine="708"/>
        <w:jc w:val="both"/>
        <w:rPr>
          <w:rFonts w:ascii="Abadi" w:hAnsi="Abadi"/>
          <w:sz w:val="21"/>
          <w:szCs w:val="21"/>
        </w:rPr>
      </w:pPr>
    </w:p>
    <w:p w14:paraId="55A67FE8" w14:textId="38DD7672" w:rsidR="00C561F9" w:rsidRDefault="00C561F9" w:rsidP="00C561F9">
      <w:pPr>
        <w:ind w:firstLine="708"/>
        <w:jc w:val="both"/>
        <w:rPr>
          <w:rFonts w:ascii="Abadi" w:hAnsi="Abadi"/>
          <w:sz w:val="21"/>
          <w:szCs w:val="21"/>
        </w:rPr>
      </w:pPr>
      <w:r w:rsidRPr="00525BB1">
        <w:rPr>
          <w:rFonts w:ascii="Abadi" w:hAnsi="Abadi"/>
          <w:b/>
          <w:bCs/>
          <w:sz w:val="21"/>
          <w:szCs w:val="21"/>
        </w:rPr>
        <w:t>- El Presidente.-</w:t>
      </w:r>
      <w:r>
        <w:rPr>
          <w:rFonts w:ascii="Abadi" w:hAnsi="Abadi"/>
          <w:sz w:val="21"/>
          <w:szCs w:val="21"/>
        </w:rPr>
        <w:t xml:space="preserve"> E</w:t>
      </w:r>
      <w:r w:rsidRPr="006813AA">
        <w:rPr>
          <w:rFonts w:ascii="Abadi" w:hAnsi="Abadi"/>
          <w:sz w:val="21"/>
          <w:szCs w:val="21"/>
        </w:rPr>
        <w:t>l dictamen ha sido aprobado por unanimidad de votos</w:t>
      </w:r>
      <w:r>
        <w:rPr>
          <w:rFonts w:ascii="Abadi" w:hAnsi="Abadi"/>
          <w:sz w:val="21"/>
          <w:szCs w:val="21"/>
        </w:rPr>
        <w:t>.</w:t>
      </w:r>
    </w:p>
    <w:p w14:paraId="2315B74D" w14:textId="77777777" w:rsidR="00DA5E58" w:rsidRDefault="00DA5E58" w:rsidP="00C561F9">
      <w:pPr>
        <w:ind w:firstLine="708"/>
        <w:jc w:val="both"/>
        <w:rPr>
          <w:rFonts w:ascii="Abadi" w:hAnsi="Abadi"/>
          <w:sz w:val="21"/>
          <w:szCs w:val="21"/>
        </w:rPr>
      </w:pPr>
    </w:p>
    <w:p w14:paraId="6F85D5A6" w14:textId="77777777" w:rsidR="00C561F9" w:rsidRPr="00A84C98" w:rsidRDefault="00C561F9" w:rsidP="00F804F0">
      <w:pPr>
        <w:ind w:left="567" w:right="709"/>
        <w:jc w:val="both"/>
        <w:rPr>
          <w:rFonts w:ascii="Abadi" w:hAnsi="Abadi"/>
          <w:b/>
          <w:bCs/>
          <w:i/>
          <w:iCs/>
          <w:sz w:val="21"/>
          <w:szCs w:val="21"/>
          <w:u w:val="single"/>
        </w:rPr>
      </w:pPr>
      <w:r w:rsidRPr="00A84C98">
        <w:rPr>
          <w:rFonts w:ascii="Abadi" w:hAnsi="Abadi"/>
          <w:b/>
          <w:bCs/>
          <w:i/>
          <w:iCs/>
          <w:sz w:val="21"/>
          <w:szCs w:val="21"/>
          <w:u w:val="single"/>
        </w:rPr>
        <w:t>En consecuencia se instruye a la Secretaría General para que proceda el archivo definitivo de la propuesta de punto de acuerdo referida en el dictamen aprobado.</w:t>
      </w:r>
    </w:p>
    <w:p w14:paraId="70E22C1E" w14:textId="77777777" w:rsidR="00C561F9" w:rsidRPr="00483C22" w:rsidRDefault="00C561F9" w:rsidP="00A45594">
      <w:pPr>
        <w:jc w:val="both"/>
        <w:rPr>
          <w:rFonts w:ascii="Abadi" w:hAnsi="Abadi"/>
          <w:b/>
          <w:bCs/>
          <w:sz w:val="21"/>
          <w:szCs w:val="21"/>
        </w:rPr>
      </w:pPr>
    </w:p>
    <w:p w14:paraId="60CD7447" w14:textId="77777777" w:rsidR="00E462B6" w:rsidRPr="0028553C" w:rsidRDefault="00E462B6" w:rsidP="00A45594">
      <w:pPr>
        <w:pStyle w:val="Prrafodelista"/>
        <w:numPr>
          <w:ilvl w:val="0"/>
          <w:numId w:val="14"/>
        </w:numPr>
        <w:autoSpaceDE w:val="0"/>
        <w:autoSpaceDN w:val="0"/>
        <w:adjustRightInd w:val="0"/>
        <w:contextualSpacing/>
        <w:jc w:val="both"/>
        <w:rPr>
          <w:rFonts w:ascii="Abadi" w:hAnsi="Abadi" w:cs="ArialMT"/>
          <w:b/>
          <w:bCs/>
          <w:sz w:val="20"/>
          <w:szCs w:val="21"/>
        </w:rPr>
      </w:pPr>
      <w:r w:rsidRPr="0028553C">
        <w:rPr>
          <w:rFonts w:ascii="Abadi" w:hAnsi="Abadi" w:cs="ArialMT"/>
          <w:b/>
          <w:bCs/>
          <w:sz w:val="20"/>
          <w:szCs w:val="21"/>
        </w:rPr>
        <w:t xml:space="preserve">DISCUSIÓN Y, EN SU CASO, APROBACIÓN DEL DICTAMEN SUSCRITO POR LA COMISIÓN DE SALUD PÚBLICA RELATIVO A LA PROPUESTA DE PUNTO DE ACUERDO FORMULADA POR DIPUTADAS Y DIPUTADOS INTEGRANTES DEL GRUPO PARLAMENTARIO DEL PARTIDO ACCIÓN NACIONAL ANTE LA SEXAGÉSIMA CUARTA LEGISLATURA, POR EL CUAL SE EXHORTA AL PODER EJECUTIVO FEDERAL PARA QUE A LA BREVEDAD POSIBLE DÉ SOLUCIÓN AL DESABASTO DE MEDICINAS EN EL SECTOR SALUD. </w:t>
      </w:r>
    </w:p>
    <w:p w14:paraId="44F2B33D" w14:textId="76129966" w:rsidR="00E462B6" w:rsidRDefault="00E462B6" w:rsidP="00A45594">
      <w:pPr>
        <w:autoSpaceDE w:val="0"/>
        <w:autoSpaceDN w:val="0"/>
        <w:adjustRightInd w:val="0"/>
        <w:jc w:val="both"/>
        <w:rPr>
          <w:rFonts w:ascii="Abadi" w:hAnsi="Abadi" w:cs="ArialMT"/>
          <w:sz w:val="20"/>
          <w:szCs w:val="21"/>
        </w:rPr>
      </w:pPr>
    </w:p>
    <w:p w14:paraId="5B8FC801" w14:textId="77777777" w:rsidR="009845A7" w:rsidRPr="009845A7" w:rsidRDefault="009845A7" w:rsidP="00A45594">
      <w:pPr>
        <w:jc w:val="both"/>
        <w:rPr>
          <w:rFonts w:ascii="Abadi" w:hAnsi="Abadi" w:cs="Arial"/>
          <w:b/>
          <w:bCs/>
          <w:sz w:val="21"/>
          <w:szCs w:val="21"/>
        </w:rPr>
      </w:pPr>
      <w:r w:rsidRPr="009845A7">
        <w:rPr>
          <w:rFonts w:ascii="Abadi" w:hAnsi="Abadi" w:cs="Arial"/>
          <w:b/>
          <w:bCs/>
          <w:sz w:val="21"/>
          <w:szCs w:val="21"/>
        </w:rPr>
        <w:t>Presidencia del Congreso del Estado</w:t>
      </w:r>
    </w:p>
    <w:p w14:paraId="35F8B1C2" w14:textId="77777777" w:rsidR="009845A7" w:rsidRPr="009845A7" w:rsidRDefault="009845A7" w:rsidP="00A45594">
      <w:pPr>
        <w:jc w:val="both"/>
        <w:rPr>
          <w:rFonts w:ascii="Abadi" w:hAnsi="Abadi" w:cs="Arial"/>
          <w:b/>
          <w:bCs/>
          <w:sz w:val="21"/>
          <w:szCs w:val="21"/>
        </w:rPr>
      </w:pPr>
      <w:r w:rsidRPr="009845A7">
        <w:rPr>
          <w:rFonts w:ascii="Abadi" w:hAnsi="Abadi" w:cs="Arial"/>
          <w:b/>
          <w:bCs/>
          <w:sz w:val="21"/>
          <w:szCs w:val="21"/>
        </w:rPr>
        <w:t>P r e s e n t e.</w:t>
      </w:r>
    </w:p>
    <w:p w14:paraId="20C8241D" w14:textId="77777777" w:rsidR="009845A7" w:rsidRPr="009845A7" w:rsidRDefault="009845A7" w:rsidP="00A45594">
      <w:pPr>
        <w:ind w:right="-1" w:firstLine="708"/>
        <w:jc w:val="both"/>
        <w:rPr>
          <w:rFonts w:ascii="Abadi" w:eastAsia="SimSun" w:hAnsi="Abadi"/>
          <w:bCs/>
          <w:sz w:val="21"/>
          <w:szCs w:val="21"/>
        </w:rPr>
      </w:pPr>
    </w:p>
    <w:p w14:paraId="391E2EB3" w14:textId="77777777" w:rsidR="009845A7" w:rsidRPr="009845A7" w:rsidRDefault="009845A7" w:rsidP="00A45594">
      <w:pPr>
        <w:autoSpaceDE w:val="0"/>
        <w:autoSpaceDN w:val="0"/>
        <w:adjustRightInd w:val="0"/>
        <w:ind w:firstLine="708"/>
        <w:jc w:val="both"/>
        <w:rPr>
          <w:rFonts w:ascii="Abadi" w:eastAsia="SimSun" w:hAnsi="Abadi"/>
          <w:bCs/>
          <w:sz w:val="21"/>
          <w:szCs w:val="21"/>
        </w:rPr>
      </w:pPr>
      <w:r w:rsidRPr="009845A7">
        <w:rPr>
          <w:rFonts w:ascii="Abadi" w:eastAsia="SimSun" w:hAnsi="Abadi"/>
          <w:bCs/>
          <w:sz w:val="21"/>
          <w:szCs w:val="21"/>
        </w:rPr>
        <w:t>A la Comisión de Salud Pública nos fue turnada como pendiente legislativo  para efecto de su estudio y dictamen la propuesta de punto de acuerdo formulada por diputadas y diputados integrantes del Grupo Parlamentario del Partido Acción Nacional ante la Sexagésima Cuarta Legislatura del Congreso del Estado, por el cual se exhorta al Poder Ejecutivo Federal para que a la brevedad posible dé solución al desabasto de medicinas en el sector salud, registrada con número de expediente legislativo digital 646903.</w:t>
      </w:r>
    </w:p>
    <w:p w14:paraId="55F24B6A" w14:textId="77777777" w:rsidR="009845A7" w:rsidRPr="009845A7" w:rsidRDefault="009845A7" w:rsidP="00A45594">
      <w:pPr>
        <w:ind w:left="4248" w:right="-1"/>
        <w:jc w:val="both"/>
        <w:rPr>
          <w:rFonts w:ascii="Abadi" w:hAnsi="Abadi" w:cs="Arial"/>
          <w:sz w:val="21"/>
          <w:szCs w:val="21"/>
        </w:rPr>
      </w:pPr>
    </w:p>
    <w:p w14:paraId="4B43F8CD" w14:textId="77777777" w:rsidR="009845A7" w:rsidRPr="009845A7" w:rsidRDefault="009845A7" w:rsidP="00A45594">
      <w:pPr>
        <w:ind w:right="-1" w:firstLine="708"/>
        <w:jc w:val="both"/>
        <w:rPr>
          <w:rFonts w:ascii="Abadi" w:eastAsia="SimSun" w:hAnsi="Abadi"/>
          <w:bCs/>
          <w:sz w:val="21"/>
          <w:szCs w:val="21"/>
        </w:rPr>
      </w:pPr>
      <w:r w:rsidRPr="009845A7">
        <w:rPr>
          <w:rFonts w:ascii="Abadi" w:eastAsia="SimSun" w:hAnsi="Abadi"/>
          <w:bCs/>
          <w:sz w:val="21"/>
          <w:szCs w:val="21"/>
        </w:rPr>
        <w:t>Con fundamento en lo dispuesto por los artículos 75, 89, fracción V, 118 fracción II y 171 de la Ley Orgánica del Poder Legislativo del Estado de Guanajuato, esta comisión rinde el siguiente:</w:t>
      </w:r>
    </w:p>
    <w:p w14:paraId="09AC9B68" w14:textId="77777777" w:rsidR="009845A7" w:rsidRPr="009845A7" w:rsidRDefault="009845A7" w:rsidP="00A45594">
      <w:pPr>
        <w:jc w:val="both"/>
        <w:rPr>
          <w:rFonts w:ascii="Abadi" w:eastAsia="SimSun" w:hAnsi="Abadi" w:cs="Arial"/>
          <w:b/>
          <w:sz w:val="21"/>
          <w:szCs w:val="21"/>
        </w:rPr>
      </w:pPr>
    </w:p>
    <w:p w14:paraId="3DD28A78" w14:textId="77777777" w:rsidR="009845A7" w:rsidRPr="009845A7" w:rsidRDefault="009845A7" w:rsidP="00A45594">
      <w:pPr>
        <w:tabs>
          <w:tab w:val="left" w:pos="1560"/>
        </w:tabs>
        <w:jc w:val="center"/>
        <w:rPr>
          <w:rFonts w:ascii="Abadi" w:eastAsia="SimSun" w:hAnsi="Abadi" w:cs="Arial"/>
          <w:bCs/>
          <w:sz w:val="21"/>
          <w:szCs w:val="21"/>
        </w:rPr>
      </w:pPr>
      <w:r w:rsidRPr="009845A7">
        <w:rPr>
          <w:rFonts w:ascii="Abadi" w:eastAsia="SimSun" w:hAnsi="Abadi" w:cs="Arial"/>
          <w:b/>
          <w:bCs/>
          <w:sz w:val="21"/>
          <w:szCs w:val="21"/>
        </w:rPr>
        <w:t xml:space="preserve">D i c t a m e n  </w:t>
      </w:r>
    </w:p>
    <w:p w14:paraId="51170572" w14:textId="77777777" w:rsidR="009845A7" w:rsidRPr="009845A7" w:rsidRDefault="009845A7" w:rsidP="00A45594">
      <w:pPr>
        <w:tabs>
          <w:tab w:val="left" w:pos="1560"/>
        </w:tabs>
        <w:jc w:val="center"/>
        <w:rPr>
          <w:rFonts w:ascii="Abadi" w:eastAsia="SimSun" w:hAnsi="Abadi" w:cs="Arial"/>
          <w:bCs/>
          <w:sz w:val="21"/>
          <w:szCs w:val="21"/>
        </w:rPr>
      </w:pPr>
    </w:p>
    <w:p w14:paraId="7B38B6CF" w14:textId="77777777" w:rsidR="009845A7" w:rsidRPr="009845A7" w:rsidRDefault="009845A7" w:rsidP="00A45594">
      <w:pPr>
        <w:numPr>
          <w:ilvl w:val="0"/>
          <w:numId w:val="51"/>
        </w:numPr>
        <w:ind w:hanging="371"/>
        <w:jc w:val="both"/>
        <w:rPr>
          <w:rFonts w:ascii="Abadi" w:eastAsia="SimSun" w:hAnsi="Abadi" w:cs="Arial"/>
          <w:b/>
          <w:bCs/>
          <w:sz w:val="21"/>
          <w:szCs w:val="21"/>
        </w:rPr>
      </w:pPr>
      <w:r w:rsidRPr="009845A7">
        <w:rPr>
          <w:rFonts w:ascii="Abadi" w:eastAsia="SimSun" w:hAnsi="Abadi" w:cs="Arial"/>
          <w:b/>
          <w:bCs/>
          <w:sz w:val="21"/>
          <w:szCs w:val="21"/>
        </w:rPr>
        <w:t>Proceso Legislativo.</w:t>
      </w:r>
    </w:p>
    <w:p w14:paraId="49CA1F94" w14:textId="77777777" w:rsidR="009845A7" w:rsidRPr="009845A7" w:rsidRDefault="009845A7" w:rsidP="00A45594">
      <w:pPr>
        <w:ind w:firstLine="708"/>
        <w:jc w:val="both"/>
        <w:rPr>
          <w:rFonts w:ascii="Abadi" w:eastAsia="SimSun" w:hAnsi="Abadi" w:cs="Arial"/>
          <w:sz w:val="21"/>
          <w:szCs w:val="21"/>
        </w:rPr>
      </w:pPr>
      <w:r w:rsidRPr="009845A7">
        <w:rPr>
          <w:rFonts w:ascii="Abadi" w:eastAsia="SimSun" w:hAnsi="Abadi" w:cs="Arial"/>
          <w:b/>
          <w:bCs/>
          <w:sz w:val="21"/>
          <w:szCs w:val="21"/>
        </w:rPr>
        <w:t xml:space="preserve">I.1 </w:t>
      </w:r>
      <w:r w:rsidRPr="009845A7">
        <w:rPr>
          <w:rFonts w:ascii="Abadi" w:eastAsia="SimSun" w:hAnsi="Abadi" w:cs="Arial"/>
          <w:sz w:val="21"/>
          <w:szCs w:val="21"/>
        </w:rPr>
        <w:t xml:space="preserve">En la sesión plenaria del 3 de junio de 2021, por razón de materia fue turnada a la Comisión de Salud Pública de la Sexagésima Cuarta Legislatura del Congreso del Estado, la propuesta de punto de acuerdo referida en el preámbulo del presente dictamen, en cuyo apartado que se identifica como </w:t>
      </w:r>
      <w:r w:rsidRPr="009845A7">
        <w:rPr>
          <w:rFonts w:ascii="Abadi" w:eastAsia="SimSun" w:hAnsi="Abadi" w:cs="Arial"/>
          <w:i/>
          <w:iCs/>
          <w:sz w:val="21"/>
          <w:szCs w:val="21"/>
        </w:rPr>
        <w:t>CONSIDERACIONES</w:t>
      </w:r>
      <w:r w:rsidRPr="009845A7">
        <w:rPr>
          <w:rFonts w:ascii="Abadi" w:eastAsia="SimSun" w:hAnsi="Abadi" w:cs="Arial"/>
          <w:b/>
          <w:bCs/>
          <w:i/>
          <w:iCs/>
          <w:sz w:val="21"/>
          <w:szCs w:val="21"/>
        </w:rPr>
        <w:t xml:space="preserve">, </w:t>
      </w:r>
      <w:r w:rsidRPr="009845A7">
        <w:rPr>
          <w:rFonts w:ascii="Abadi" w:eastAsia="SimSun" w:hAnsi="Abadi" w:cs="Arial"/>
          <w:i/>
          <w:iCs/>
          <w:sz w:val="21"/>
          <w:szCs w:val="21"/>
        </w:rPr>
        <w:t xml:space="preserve">se </w:t>
      </w:r>
      <w:r w:rsidRPr="009845A7">
        <w:rPr>
          <w:rFonts w:ascii="Abadi" w:eastAsia="SimSun" w:hAnsi="Abadi" w:cs="Arial"/>
          <w:sz w:val="21"/>
          <w:szCs w:val="21"/>
        </w:rPr>
        <w:t>alude:</w:t>
      </w:r>
    </w:p>
    <w:p w14:paraId="6A2A5EAF" w14:textId="77777777" w:rsidR="009845A7" w:rsidRPr="009845A7" w:rsidRDefault="009845A7" w:rsidP="00A45594">
      <w:pPr>
        <w:autoSpaceDE w:val="0"/>
        <w:autoSpaceDN w:val="0"/>
        <w:adjustRightInd w:val="0"/>
        <w:ind w:firstLine="708"/>
        <w:jc w:val="both"/>
        <w:rPr>
          <w:rFonts w:ascii="Abadi" w:eastAsia="SimSun" w:hAnsi="Abadi" w:cs="Arial"/>
          <w:sz w:val="21"/>
          <w:szCs w:val="21"/>
        </w:rPr>
      </w:pPr>
    </w:p>
    <w:p w14:paraId="767F4B51" w14:textId="77777777" w:rsidR="009845A7" w:rsidRPr="009845A7" w:rsidRDefault="009845A7" w:rsidP="00A45594">
      <w:pPr>
        <w:autoSpaceDE w:val="0"/>
        <w:autoSpaceDN w:val="0"/>
        <w:adjustRightInd w:val="0"/>
        <w:ind w:firstLine="708"/>
        <w:jc w:val="both"/>
        <w:rPr>
          <w:rFonts w:ascii="Abadi" w:hAnsi="Abadi" w:cs="Arial"/>
          <w:bCs/>
          <w:color w:val="0F0E0F"/>
          <w:w w:val="105"/>
          <w:sz w:val="21"/>
          <w:szCs w:val="21"/>
        </w:rPr>
      </w:pPr>
      <w:r w:rsidRPr="009845A7">
        <w:rPr>
          <w:rFonts w:ascii="Abadi" w:hAnsi="Abadi" w:cs="Arial"/>
          <w:bCs/>
          <w:color w:val="0F0E0F"/>
          <w:w w:val="105"/>
          <w:sz w:val="21"/>
          <w:szCs w:val="21"/>
        </w:rPr>
        <w:t>(…)</w:t>
      </w:r>
    </w:p>
    <w:p w14:paraId="0C796A46" w14:textId="77777777" w:rsidR="009845A7" w:rsidRPr="009845A7" w:rsidRDefault="009845A7" w:rsidP="00A45594">
      <w:pPr>
        <w:spacing w:before="3"/>
        <w:jc w:val="both"/>
        <w:rPr>
          <w:rFonts w:ascii="Abadi" w:hAnsi="Abadi" w:cs="Arial"/>
          <w:bCs/>
          <w:i/>
          <w:iCs/>
          <w:sz w:val="21"/>
          <w:szCs w:val="21"/>
        </w:rPr>
      </w:pPr>
    </w:p>
    <w:p w14:paraId="28EEBF0C" w14:textId="77777777" w:rsidR="009845A7" w:rsidRPr="009845A7" w:rsidRDefault="009845A7" w:rsidP="00A45594">
      <w:pPr>
        <w:ind w:left="709" w:right="877"/>
        <w:jc w:val="both"/>
        <w:rPr>
          <w:rFonts w:ascii="Abadi" w:eastAsia="SimSun" w:hAnsi="Abadi" w:cs="Arial"/>
          <w:i/>
          <w:iCs/>
          <w:sz w:val="21"/>
          <w:szCs w:val="21"/>
        </w:rPr>
      </w:pPr>
      <w:r w:rsidRPr="009845A7">
        <w:rPr>
          <w:rFonts w:ascii="Abadi" w:eastAsia="SimSun" w:hAnsi="Abadi" w:cs="Arial"/>
          <w:i/>
          <w:iCs/>
          <w:sz w:val="21"/>
          <w:szCs w:val="21"/>
        </w:rPr>
        <w:t>En Guanajuato y en todo el país hay miles de pacientes a los que el estado mexicano no les ha cumplido el derecho humano de la salud, la escasez de medicamentos   en    México significa   una   crisis   constitucional   de    proporciones graves: el artículo 4° establece la obligación del Estado para proteger la salud de las personas, y hoy no hay fármacos suficientes.</w:t>
      </w:r>
    </w:p>
    <w:p w14:paraId="6A23EB00" w14:textId="77777777" w:rsidR="009845A7" w:rsidRPr="009845A7" w:rsidRDefault="009845A7" w:rsidP="00A45594">
      <w:pPr>
        <w:spacing w:before="151"/>
        <w:ind w:left="709" w:right="877"/>
        <w:jc w:val="both"/>
        <w:rPr>
          <w:rFonts w:ascii="Abadi" w:eastAsia="SimSun" w:hAnsi="Abadi" w:cs="Arial"/>
          <w:i/>
          <w:iCs/>
          <w:sz w:val="21"/>
          <w:szCs w:val="21"/>
        </w:rPr>
      </w:pPr>
      <w:r w:rsidRPr="009845A7">
        <w:rPr>
          <w:rFonts w:ascii="Abadi" w:eastAsia="SimSun" w:hAnsi="Abadi" w:cs="Arial"/>
          <w:i/>
          <w:iCs/>
          <w:sz w:val="21"/>
          <w:szCs w:val="21"/>
        </w:rPr>
        <w:t>Cómo puede ser posible que en el Centro Nacional 20 de noviembre del ISSSTE no hay ni paracetamol, situación que afecta al 80 por ciento de los pacientes oncológicos y no oncológicos que reciben tratamiento contra el dolor.</w:t>
      </w:r>
    </w:p>
    <w:p w14:paraId="7EFB4F50" w14:textId="77777777" w:rsidR="009845A7" w:rsidRPr="009845A7" w:rsidRDefault="009845A7" w:rsidP="00A45594">
      <w:pPr>
        <w:ind w:left="709" w:right="452"/>
        <w:jc w:val="both"/>
        <w:rPr>
          <w:rFonts w:ascii="Abadi" w:eastAsia="SimSun" w:hAnsi="Abadi" w:cs="Arial"/>
          <w:i/>
          <w:iCs/>
          <w:sz w:val="21"/>
          <w:szCs w:val="21"/>
        </w:rPr>
      </w:pPr>
    </w:p>
    <w:p w14:paraId="0A1EBAFC" w14:textId="77777777" w:rsidR="009845A7" w:rsidRPr="009845A7" w:rsidRDefault="009845A7" w:rsidP="00A45594">
      <w:pPr>
        <w:tabs>
          <w:tab w:val="left" w:pos="1701"/>
        </w:tabs>
        <w:autoSpaceDE w:val="0"/>
        <w:autoSpaceDN w:val="0"/>
        <w:adjustRightInd w:val="0"/>
        <w:ind w:left="709" w:right="877"/>
        <w:jc w:val="both"/>
        <w:rPr>
          <w:rFonts w:ascii="Abadi" w:eastAsia="SimSun" w:hAnsi="Abadi" w:cs="Arial"/>
          <w:i/>
          <w:iCs/>
          <w:sz w:val="21"/>
          <w:szCs w:val="21"/>
        </w:rPr>
      </w:pPr>
      <w:r w:rsidRPr="009845A7">
        <w:rPr>
          <w:rFonts w:ascii="Abadi" w:eastAsia="SimSun" w:hAnsi="Abadi" w:cs="Arial"/>
          <w:i/>
          <w:iCs/>
          <w:sz w:val="21"/>
          <w:szCs w:val="21"/>
        </w:rPr>
        <w:t>Y no sólo hay carencia de medicamentos, sino de jeringas, agujas y soluciones, así lo manifestaron los doctores de dicho Centro. También está en desabasto la morfina y los parches de fentanilo.</w:t>
      </w:r>
    </w:p>
    <w:p w14:paraId="57F80008" w14:textId="77777777" w:rsidR="009845A7" w:rsidRPr="009845A7" w:rsidRDefault="009845A7" w:rsidP="00A45594">
      <w:pPr>
        <w:tabs>
          <w:tab w:val="left" w:pos="1701"/>
        </w:tabs>
        <w:autoSpaceDE w:val="0"/>
        <w:autoSpaceDN w:val="0"/>
        <w:adjustRightInd w:val="0"/>
        <w:ind w:left="709" w:right="877"/>
        <w:jc w:val="both"/>
        <w:rPr>
          <w:rFonts w:ascii="Abadi" w:eastAsia="SimSun" w:hAnsi="Abadi" w:cs="Arial"/>
          <w:i/>
          <w:iCs/>
          <w:sz w:val="21"/>
          <w:szCs w:val="21"/>
        </w:rPr>
      </w:pPr>
    </w:p>
    <w:p w14:paraId="60260C5E" w14:textId="77777777" w:rsidR="009845A7" w:rsidRPr="009845A7" w:rsidRDefault="009845A7" w:rsidP="00A45594">
      <w:pPr>
        <w:tabs>
          <w:tab w:val="left" w:pos="1701"/>
        </w:tabs>
        <w:autoSpaceDE w:val="0"/>
        <w:autoSpaceDN w:val="0"/>
        <w:adjustRightInd w:val="0"/>
        <w:ind w:left="709" w:right="877"/>
        <w:jc w:val="both"/>
        <w:rPr>
          <w:rFonts w:ascii="Abadi" w:eastAsia="SimSun" w:hAnsi="Abadi" w:cs="Arial"/>
          <w:i/>
          <w:iCs/>
          <w:sz w:val="21"/>
          <w:szCs w:val="21"/>
        </w:rPr>
      </w:pPr>
      <w:r w:rsidRPr="009845A7">
        <w:rPr>
          <w:rFonts w:ascii="Abadi" w:eastAsia="SimSun" w:hAnsi="Abadi" w:cs="Arial"/>
          <w:i/>
          <w:iCs/>
          <w:sz w:val="21"/>
          <w:szCs w:val="21"/>
        </w:rPr>
        <w:t>En el Instituto Nacional de Pediatría la situación es similar. Incluso las autoridades de ese hospital emitieron un oficio en el que pidieron no aceptar ninguna solicitud de traslado ya que no se cuentan con medicamentos ni material de curación, diciendo textualmente que: "En estos momentos el Instituto no tiene capacidad para aceptar traslados de ninguna otra entidad; por lo que le solicito que gire las instrucciones que considere pertinentes para que, hasta nuevo aviso, NO SE ACEPTE NINGUNA SOLICITUD DE TRASLADO", reza el oficio que emitió Mercedes Macias Parra, Directora médica.</w:t>
      </w:r>
    </w:p>
    <w:p w14:paraId="2EB56DB5" w14:textId="77777777" w:rsidR="009845A7" w:rsidRPr="009845A7" w:rsidRDefault="009845A7" w:rsidP="00A45594">
      <w:pPr>
        <w:spacing w:before="190"/>
        <w:ind w:left="709" w:right="877"/>
        <w:jc w:val="both"/>
        <w:rPr>
          <w:rFonts w:ascii="Abadi" w:eastAsia="SimSun" w:hAnsi="Abadi" w:cs="Arial"/>
          <w:i/>
          <w:iCs/>
          <w:sz w:val="21"/>
          <w:szCs w:val="21"/>
        </w:rPr>
      </w:pPr>
      <w:r w:rsidRPr="009845A7">
        <w:rPr>
          <w:rFonts w:ascii="Abadi" w:eastAsia="SimSun" w:hAnsi="Abadi" w:cs="Arial"/>
          <w:i/>
          <w:iCs/>
          <w:sz w:val="21"/>
          <w:szCs w:val="21"/>
        </w:rPr>
        <w:t>Pero la historia se recrudece, el pasado 15 de febrero se conmemoró el día internacional del cáncer infantil, y en el marco de este día tan importante papás de niños con cáncer clausularon de manera simbólica el palacio nacional. Entre sus reclamos: desabasto de medicamentos oncológicos para las y los niños con cáncer... que triste situación en la que nos encontramos como país.</w:t>
      </w:r>
    </w:p>
    <w:p w14:paraId="013E8064" w14:textId="77777777" w:rsidR="009845A7" w:rsidRPr="009845A7" w:rsidRDefault="009845A7" w:rsidP="00A45594">
      <w:pPr>
        <w:spacing w:before="135"/>
        <w:ind w:left="709" w:right="877"/>
        <w:jc w:val="both"/>
        <w:rPr>
          <w:rFonts w:ascii="Abadi" w:eastAsia="SimSun" w:hAnsi="Abadi" w:cs="Arial"/>
          <w:i/>
          <w:iCs/>
          <w:sz w:val="21"/>
          <w:szCs w:val="21"/>
        </w:rPr>
      </w:pPr>
      <w:r w:rsidRPr="009845A7">
        <w:rPr>
          <w:rFonts w:ascii="Abadi" w:eastAsia="SimSun" w:hAnsi="Abadi" w:cs="Arial"/>
          <w:i/>
          <w:iCs/>
          <w:sz w:val="21"/>
          <w:szCs w:val="21"/>
        </w:rPr>
        <w:t>El viernes 14 de mayo del presente año, no se tenían fármacos que ayudan a mantener la presión arterial. El personal de salud tiene que sustituir los medicamentos, pero de ser necesario las familias deben comprar por fuera lo que requiere su paciente.</w:t>
      </w:r>
    </w:p>
    <w:p w14:paraId="55D02251" w14:textId="77777777" w:rsidR="009845A7" w:rsidRPr="009845A7" w:rsidRDefault="009845A7" w:rsidP="00A45594">
      <w:pPr>
        <w:spacing w:before="131"/>
        <w:ind w:left="709" w:right="877"/>
        <w:jc w:val="both"/>
        <w:rPr>
          <w:rFonts w:ascii="Abadi" w:eastAsia="SimSun" w:hAnsi="Abadi" w:cs="Arial"/>
          <w:i/>
          <w:iCs/>
          <w:sz w:val="21"/>
          <w:szCs w:val="21"/>
        </w:rPr>
      </w:pPr>
      <w:r w:rsidRPr="009845A7">
        <w:rPr>
          <w:rFonts w:ascii="Abadi" w:eastAsia="SimSun" w:hAnsi="Abadi" w:cs="Arial"/>
          <w:i/>
          <w:iCs/>
          <w:sz w:val="21"/>
          <w:szCs w:val="21"/>
        </w:rPr>
        <w:t>Es de verdad lamentable lo que ocurre en los hospitales e institutos de México, pero lo peor es que el gobierno federal no hace nada para atender este desbasto que no es nuevo y se agravó desde el arranque del sexenio.</w:t>
      </w:r>
    </w:p>
    <w:p w14:paraId="2CC15ACA" w14:textId="77777777" w:rsidR="009845A7" w:rsidRPr="009845A7" w:rsidRDefault="009845A7" w:rsidP="00A45594">
      <w:pPr>
        <w:tabs>
          <w:tab w:val="left" w:pos="1701"/>
        </w:tabs>
        <w:autoSpaceDE w:val="0"/>
        <w:autoSpaceDN w:val="0"/>
        <w:adjustRightInd w:val="0"/>
        <w:ind w:left="709" w:right="877"/>
        <w:jc w:val="both"/>
        <w:rPr>
          <w:rFonts w:ascii="Abadi" w:eastAsia="SimSun" w:hAnsi="Abadi" w:cs="Arial"/>
          <w:i/>
          <w:iCs/>
          <w:sz w:val="21"/>
          <w:szCs w:val="21"/>
        </w:rPr>
      </w:pPr>
    </w:p>
    <w:p w14:paraId="10C4C2C4" w14:textId="77777777" w:rsidR="009845A7" w:rsidRPr="009845A7" w:rsidRDefault="009845A7" w:rsidP="00A45594">
      <w:pPr>
        <w:tabs>
          <w:tab w:val="left" w:pos="1701"/>
        </w:tabs>
        <w:autoSpaceDE w:val="0"/>
        <w:autoSpaceDN w:val="0"/>
        <w:adjustRightInd w:val="0"/>
        <w:ind w:left="709" w:right="877"/>
        <w:jc w:val="both"/>
        <w:rPr>
          <w:rFonts w:ascii="Abadi" w:eastAsia="SimSun" w:hAnsi="Abadi" w:cs="Arial"/>
          <w:i/>
          <w:iCs/>
          <w:sz w:val="21"/>
          <w:szCs w:val="21"/>
        </w:rPr>
      </w:pPr>
      <w:r w:rsidRPr="009845A7">
        <w:rPr>
          <w:rFonts w:ascii="Abadi" w:eastAsia="SimSun" w:hAnsi="Abadi" w:cs="Arial"/>
          <w:i/>
          <w:iCs/>
          <w:sz w:val="21"/>
          <w:szCs w:val="21"/>
        </w:rPr>
        <w:t>La investigación "Operación Desabasto", de las organizaciones Impunidad Cero y Justicia Justa, identifica las causas de la escasez generalizada de insumos médicos y señala posibles soluciones al mismo. El análisis final identifica que el desabasto se originó  por  una  serie de  políticas  públicas  mal  planeadas  y  ejecutadas, que tenían como objetivo luchar contra la corrupción en la adquisición de medicamentos y ahorrar en la compra de insumos médicos.</w:t>
      </w:r>
    </w:p>
    <w:p w14:paraId="67708256" w14:textId="77777777" w:rsidR="009845A7" w:rsidRPr="009845A7" w:rsidRDefault="009845A7" w:rsidP="00A45594">
      <w:pPr>
        <w:tabs>
          <w:tab w:val="left" w:pos="8364"/>
        </w:tabs>
        <w:spacing w:before="149"/>
        <w:ind w:left="709" w:right="877"/>
        <w:jc w:val="both"/>
        <w:rPr>
          <w:rFonts w:ascii="Abadi" w:eastAsia="SimSun" w:hAnsi="Abadi" w:cs="Arial"/>
          <w:i/>
          <w:iCs/>
          <w:sz w:val="21"/>
          <w:szCs w:val="21"/>
        </w:rPr>
      </w:pPr>
      <w:r w:rsidRPr="009845A7">
        <w:rPr>
          <w:rFonts w:ascii="Abadi" w:eastAsia="SimSun" w:hAnsi="Abadi" w:cs="Arial"/>
          <w:i/>
          <w:iCs/>
          <w:sz w:val="21"/>
          <w:szCs w:val="21"/>
        </w:rPr>
        <w:t>Dicho reporte menciona que el desabasto comenzó cuando todas las compras públicas a nivel federal, incluidas las medicinas, se hicieron responsabilidad de la Oficialía Mayor de la Secretaría de Hacienda y Crédito Público (SHCP) en un intento por reducir  los  costos  de  la  compra  de  insumos. Algo similar ya ocurría con las compras consolidadas de medicamentos: previo a este cambio, año con año el Instituto Mexicano del Seguro Social (IMSS) compraba los insumos médicos necesarios no solo para sus clínicas y hospitales, sino para otras instituciones de salud tanto estatales como federales. Debido a la compra masiva que se hacía anualmente, entre 2013 y 2018 se ahorraron hasta 21,361 millones de pesos. Pero al realizarlas la Oficialía Mayor de SHCP, se perdió el personal y el expertise técnico necesario para hacerlas.</w:t>
      </w:r>
    </w:p>
    <w:p w14:paraId="624512BA" w14:textId="77777777" w:rsidR="009845A7" w:rsidRPr="009845A7" w:rsidRDefault="009845A7" w:rsidP="0087057E">
      <w:pPr>
        <w:spacing w:before="134"/>
        <w:ind w:left="709" w:right="877"/>
        <w:jc w:val="both"/>
        <w:rPr>
          <w:rFonts w:ascii="Abadi" w:eastAsia="SimSun" w:hAnsi="Abadi" w:cs="Arial"/>
          <w:i/>
          <w:iCs/>
          <w:sz w:val="21"/>
          <w:szCs w:val="21"/>
        </w:rPr>
      </w:pPr>
      <w:r w:rsidRPr="009845A7">
        <w:rPr>
          <w:rFonts w:ascii="Abadi" w:eastAsia="SimSun" w:hAnsi="Abadi" w:cs="Arial"/>
          <w:i/>
          <w:iCs/>
          <w:sz w:val="21"/>
          <w:szCs w:val="21"/>
        </w:rPr>
        <w:t>En un intento por transparentar el proceso de compras de medicamentos, se le pidió a la Oficina de las Naciones Unidas de Servicios para Proyectos (UNOPS) que se encargara de las compras consolidadas de medicamentos del país desde este año. Sin embargo, debido a la inexperiencia inicial de la UNOPS respecto al mercado mexicano, se volvió a realizar de forma tardía la compra de insumos médicos. Esta compra, que antes se realizaba de manera gratuita en el país por parte del IMSS, nos costará alrededor de 85 millones de dólares por la comisión que se le pagará al organismo y, además, no contempla la solución al problema de distribución de insumos médicos, de conformidad con The Washington Post.</w:t>
      </w:r>
    </w:p>
    <w:p w14:paraId="0EEC6295" w14:textId="77777777" w:rsidR="009845A7" w:rsidRPr="009845A7" w:rsidRDefault="009845A7" w:rsidP="0087057E">
      <w:pPr>
        <w:jc w:val="both"/>
        <w:rPr>
          <w:rFonts w:ascii="Abadi" w:eastAsia="SimSun" w:hAnsi="Abadi" w:cs="Arial"/>
          <w:i/>
          <w:iCs/>
          <w:sz w:val="21"/>
          <w:szCs w:val="21"/>
        </w:rPr>
      </w:pPr>
    </w:p>
    <w:p w14:paraId="1D8EAF05" w14:textId="77777777" w:rsidR="009845A7" w:rsidRPr="009845A7" w:rsidRDefault="009845A7" w:rsidP="0087057E">
      <w:pPr>
        <w:tabs>
          <w:tab w:val="left" w:pos="1701"/>
          <w:tab w:val="left" w:pos="8222"/>
        </w:tabs>
        <w:autoSpaceDE w:val="0"/>
        <w:autoSpaceDN w:val="0"/>
        <w:adjustRightInd w:val="0"/>
        <w:ind w:left="709" w:right="877"/>
        <w:jc w:val="both"/>
        <w:rPr>
          <w:rFonts w:ascii="Abadi" w:eastAsia="SimSun" w:hAnsi="Abadi" w:cs="Arial"/>
          <w:i/>
          <w:iCs/>
          <w:sz w:val="21"/>
          <w:szCs w:val="21"/>
        </w:rPr>
      </w:pPr>
      <w:r w:rsidRPr="009845A7">
        <w:rPr>
          <w:rFonts w:ascii="Abadi" w:eastAsia="SimSun" w:hAnsi="Abadi" w:cs="Arial"/>
          <w:i/>
          <w:iCs/>
          <w:sz w:val="21"/>
          <w:szCs w:val="21"/>
        </w:rPr>
        <w:t>Hasta hoy, la corrupción sigue intacta y no se ha investigado ni sancionado a ningún funcionario. Además, el costo para adquirir medicamentos se incrementó con la comisión a pagar a la UNOPS, y por el hecho de que se deberá pagar a otras instituciones para resolver la distribución de insumos médicos a todo el país.</w:t>
      </w:r>
    </w:p>
    <w:p w14:paraId="05DD11D6" w14:textId="77777777" w:rsidR="009845A7" w:rsidRPr="009845A7" w:rsidRDefault="009845A7" w:rsidP="0087057E">
      <w:pPr>
        <w:tabs>
          <w:tab w:val="left" w:pos="1701"/>
        </w:tabs>
        <w:autoSpaceDE w:val="0"/>
        <w:autoSpaceDN w:val="0"/>
        <w:adjustRightInd w:val="0"/>
        <w:jc w:val="both"/>
        <w:rPr>
          <w:rFonts w:ascii="Abadi" w:eastAsia="SimSun" w:hAnsi="Abadi" w:cs="Arial"/>
          <w:i/>
          <w:iCs/>
          <w:sz w:val="21"/>
          <w:szCs w:val="21"/>
        </w:rPr>
      </w:pPr>
    </w:p>
    <w:p w14:paraId="0D01E901" w14:textId="77777777" w:rsidR="009845A7" w:rsidRPr="009845A7" w:rsidRDefault="009845A7" w:rsidP="0087057E">
      <w:pPr>
        <w:ind w:left="1069" w:hanging="360"/>
        <w:jc w:val="both"/>
        <w:rPr>
          <w:rFonts w:ascii="Abadi" w:eastAsia="SimSun" w:hAnsi="Abadi" w:cs="Arial"/>
          <w:i/>
          <w:iCs/>
          <w:sz w:val="21"/>
          <w:szCs w:val="21"/>
        </w:rPr>
      </w:pPr>
      <w:r w:rsidRPr="009845A7">
        <w:rPr>
          <w:rFonts w:ascii="Abadi" w:eastAsia="SimSun" w:hAnsi="Abadi" w:cs="Arial"/>
          <w:i/>
          <w:iCs/>
          <w:sz w:val="21"/>
          <w:szCs w:val="21"/>
        </w:rPr>
        <w:t>La solución a todo esto no era complicada:</w:t>
      </w:r>
    </w:p>
    <w:p w14:paraId="1D548FED" w14:textId="77777777" w:rsidR="009845A7" w:rsidRPr="009845A7" w:rsidRDefault="009845A7" w:rsidP="0087057E">
      <w:pPr>
        <w:spacing w:before="5"/>
        <w:jc w:val="both"/>
        <w:rPr>
          <w:rFonts w:ascii="Abadi" w:eastAsia="SimSun" w:hAnsi="Abadi" w:cs="Arial"/>
          <w:i/>
          <w:iCs/>
          <w:sz w:val="21"/>
          <w:szCs w:val="21"/>
        </w:rPr>
      </w:pPr>
    </w:p>
    <w:p w14:paraId="5022324A" w14:textId="77777777" w:rsidR="009845A7" w:rsidRPr="009845A7" w:rsidRDefault="009845A7" w:rsidP="0087057E">
      <w:pPr>
        <w:numPr>
          <w:ilvl w:val="0"/>
          <w:numId w:val="53"/>
        </w:numPr>
        <w:ind w:left="1418" w:right="877" w:hanging="284"/>
        <w:jc w:val="both"/>
        <w:rPr>
          <w:rFonts w:ascii="Abadi" w:eastAsia="SimSun" w:hAnsi="Abadi" w:cs="Arial"/>
          <w:i/>
          <w:iCs/>
          <w:sz w:val="21"/>
          <w:szCs w:val="21"/>
        </w:rPr>
      </w:pPr>
      <w:r w:rsidRPr="009845A7">
        <w:rPr>
          <w:rFonts w:ascii="Abadi" w:eastAsia="SimSun" w:hAnsi="Abadi" w:cs="Arial"/>
          <w:i/>
          <w:iCs/>
          <w:sz w:val="21"/>
          <w:szCs w:val="21"/>
        </w:rPr>
        <w:t>Si había algún problema en la compra consolidada de medicamentos, se debió corregir y mejorar el proceso.</w:t>
      </w:r>
    </w:p>
    <w:p w14:paraId="4AF02DC1" w14:textId="77777777" w:rsidR="009845A7" w:rsidRPr="009845A7" w:rsidRDefault="009845A7" w:rsidP="0087057E">
      <w:pPr>
        <w:numPr>
          <w:ilvl w:val="0"/>
          <w:numId w:val="53"/>
        </w:numPr>
        <w:spacing w:before="55"/>
        <w:ind w:left="1418" w:right="877" w:hanging="284"/>
        <w:jc w:val="both"/>
        <w:rPr>
          <w:rFonts w:ascii="Abadi" w:eastAsia="SimSun" w:hAnsi="Abadi" w:cs="Arial"/>
          <w:i/>
          <w:iCs/>
          <w:sz w:val="21"/>
          <w:szCs w:val="21"/>
        </w:rPr>
      </w:pPr>
      <w:r w:rsidRPr="009845A7">
        <w:rPr>
          <w:rFonts w:ascii="Abadi" w:eastAsia="SimSun" w:hAnsi="Abadi" w:cs="Arial"/>
          <w:i/>
          <w:iCs/>
          <w:sz w:val="21"/>
          <w:szCs w:val="21"/>
        </w:rPr>
        <w:t>Si había corrupción que se investigará y sancionará a los responsables.</w:t>
      </w:r>
    </w:p>
    <w:p w14:paraId="7B181C07" w14:textId="77777777" w:rsidR="009845A7" w:rsidRPr="009845A7" w:rsidRDefault="009845A7" w:rsidP="0087057E">
      <w:pPr>
        <w:numPr>
          <w:ilvl w:val="0"/>
          <w:numId w:val="53"/>
        </w:numPr>
        <w:ind w:left="1418" w:right="877" w:hanging="284"/>
        <w:jc w:val="both"/>
        <w:rPr>
          <w:rFonts w:ascii="Abadi" w:eastAsia="SimSun" w:hAnsi="Abadi" w:cs="Arial"/>
          <w:i/>
          <w:iCs/>
          <w:sz w:val="21"/>
          <w:szCs w:val="21"/>
        </w:rPr>
      </w:pPr>
      <w:r w:rsidRPr="009845A7">
        <w:rPr>
          <w:rFonts w:ascii="Abadi" w:eastAsia="SimSun" w:hAnsi="Abadi" w:cs="Arial"/>
          <w:i/>
          <w:iCs/>
          <w:sz w:val="21"/>
          <w:szCs w:val="21"/>
        </w:rPr>
        <w:t>Si había un problema de oligopolio en la distribución de medicamentos, que se fomentará la competencia en el sector y se generará con un plan estratégico una distribuidora nacional de medicamentos.</w:t>
      </w:r>
    </w:p>
    <w:p w14:paraId="66F82D5B" w14:textId="77777777" w:rsidR="009845A7" w:rsidRPr="009845A7" w:rsidRDefault="009845A7" w:rsidP="0087057E">
      <w:pPr>
        <w:spacing w:before="184"/>
        <w:ind w:left="709" w:right="877"/>
        <w:jc w:val="both"/>
        <w:rPr>
          <w:rFonts w:ascii="Abadi" w:eastAsia="SimSun" w:hAnsi="Abadi" w:cs="Arial"/>
          <w:i/>
          <w:iCs/>
          <w:sz w:val="21"/>
          <w:szCs w:val="21"/>
        </w:rPr>
      </w:pPr>
      <w:r w:rsidRPr="009845A7">
        <w:rPr>
          <w:rFonts w:ascii="Abadi" w:eastAsia="SimSun" w:hAnsi="Abadi" w:cs="Arial"/>
          <w:i/>
          <w:iCs/>
          <w:sz w:val="21"/>
          <w:szCs w:val="21"/>
        </w:rPr>
        <w:t>Las preguntas son válidas para toda la sociedad y son urgentes para los miles de pacientes que no reciben medicamentos y para sus familias, que llevan ya más de dos años sometidas a un purgatorio burocrático por parte del gobierno federal, que justifica la escasez de medicinas con el pretexto de que están combatiendo la corrupción.</w:t>
      </w:r>
    </w:p>
    <w:p w14:paraId="59F0DCCA" w14:textId="77777777" w:rsidR="009845A7" w:rsidRPr="009845A7" w:rsidRDefault="009845A7" w:rsidP="0087057E">
      <w:pPr>
        <w:spacing w:before="1"/>
        <w:jc w:val="both"/>
        <w:rPr>
          <w:rFonts w:ascii="Abadi" w:eastAsia="SimSun" w:hAnsi="Abadi" w:cs="Arial"/>
          <w:i/>
          <w:iCs/>
          <w:sz w:val="21"/>
          <w:szCs w:val="21"/>
        </w:rPr>
      </w:pPr>
    </w:p>
    <w:p w14:paraId="08531E55" w14:textId="77777777" w:rsidR="009845A7" w:rsidRPr="009845A7" w:rsidRDefault="009845A7" w:rsidP="0087057E">
      <w:pPr>
        <w:ind w:left="709" w:right="877"/>
        <w:jc w:val="both"/>
        <w:rPr>
          <w:rFonts w:ascii="Abadi" w:eastAsia="SimSun" w:hAnsi="Abadi" w:cs="Arial"/>
          <w:i/>
          <w:iCs/>
          <w:sz w:val="21"/>
          <w:szCs w:val="21"/>
        </w:rPr>
      </w:pPr>
      <w:r w:rsidRPr="009845A7">
        <w:rPr>
          <w:rFonts w:ascii="Abadi" w:eastAsia="SimSun" w:hAnsi="Abadi" w:cs="Arial"/>
          <w:i/>
          <w:iCs/>
          <w:sz w:val="21"/>
          <w:szCs w:val="21"/>
        </w:rPr>
        <w:t>Eso no se vale, por ningún pretexto se cobran vidas humanas. Con las vidas no se juega.</w:t>
      </w:r>
    </w:p>
    <w:p w14:paraId="77BF5A66" w14:textId="77777777" w:rsidR="009845A7" w:rsidRPr="009845A7" w:rsidRDefault="009845A7" w:rsidP="0087057E">
      <w:pPr>
        <w:tabs>
          <w:tab w:val="left" w:pos="1701"/>
        </w:tabs>
        <w:autoSpaceDE w:val="0"/>
        <w:autoSpaceDN w:val="0"/>
        <w:adjustRightInd w:val="0"/>
        <w:jc w:val="both"/>
        <w:rPr>
          <w:rFonts w:ascii="Abadi" w:eastAsia="SimSun" w:hAnsi="Abadi" w:cs="Arial"/>
          <w:i/>
          <w:iCs/>
          <w:sz w:val="21"/>
          <w:szCs w:val="21"/>
        </w:rPr>
      </w:pPr>
      <w:r w:rsidRPr="009845A7">
        <w:rPr>
          <w:rFonts w:ascii="Abadi" w:eastAsia="SimSun" w:hAnsi="Abadi" w:cs="Arial"/>
          <w:i/>
          <w:iCs/>
          <w:sz w:val="21"/>
          <w:szCs w:val="21"/>
        </w:rPr>
        <w:t xml:space="preserve">    </w:t>
      </w:r>
    </w:p>
    <w:p w14:paraId="02FBEBC0" w14:textId="77777777" w:rsidR="009845A7" w:rsidRPr="009845A7" w:rsidRDefault="009845A7" w:rsidP="0087057E">
      <w:pPr>
        <w:tabs>
          <w:tab w:val="left" w:pos="709"/>
          <w:tab w:val="left" w:pos="1701"/>
        </w:tabs>
        <w:autoSpaceDE w:val="0"/>
        <w:autoSpaceDN w:val="0"/>
        <w:adjustRightInd w:val="0"/>
        <w:jc w:val="both"/>
        <w:rPr>
          <w:rFonts w:ascii="Abadi" w:eastAsia="SimSun" w:hAnsi="Abadi" w:cs="Arial"/>
          <w:sz w:val="21"/>
          <w:szCs w:val="21"/>
        </w:rPr>
      </w:pPr>
      <w:r w:rsidRPr="009845A7">
        <w:rPr>
          <w:rFonts w:ascii="Abadi" w:eastAsia="SimSun" w:hAnsi="Abadi" w:cs="Arial"/>
          <w:sz w:val="21"/>
          <w:szCs w:val="21"/>
        </w:rPr>
        <w:t xml:space="preserve">              (…)</w:t>
      </w:r>
    </w:p>
    <w:p w14:paraId="158FDF6C" w14:textId="77777777" w:rsidR="009845A7" w:rsidRPr="009845A7" w:rsidRDefault="009845A7" w:rsidP="009845A7">
      <w:pPr>
        <w:tabs>
          <w:tab w:val="left" w:pos="709"/>
          <w:tab w:val="left" w:pos="1701"/>
        </w:tabs>
        <w:autoSpaceDE w:val="0"/>
        <w:autoSpaceDN w:val="0"/>
        <w:adjustRightInd w:val="0"/>
        <w:spacing w:line="360" w:lineRule="auto"/>
        <w:jc w:val="both"/>
        <w:rPr>
          <w:rFonts w:ascii="Abadi" w:eastAsia="SimSun" w:hAnsi="Abadi" w:cs="Arial"/>
          <w:sz w:val="21"/>
          <w:szCs w:val="21"/>
        </w:rPr>
      </w:pPr>
    </w:p>
    <w:p w14:paraId="4B7AEE54" w14:textId="77777777" w:rsidR="009845A7" w:rsidRPr="009845A7" w:rsidRDefault="009845A7" w:rsidP="00A45594">
      <w:pPr>
        <w:ind w:firstLine="708"/>
        <w:jc w:val="both"/>
        <w:rPr>
          <w:rFonts w:ascii="Abadi" w:eastAsia="SimSun" w:hAnsi="Abadi" w:cs="Arial"/>
          <w:b/>
          <w:bCs/>
          <w:sz w:val="21"/>
          <w:szCs w:val="21"/>
        </w:rPr>
      </w:pPr>
      <w:r w:rsidRPr="009845A7">
        <w:rPr>
          <w:rFonts w:ascii="Abadi" w:eastAsia="SimSun" w:hAnsi="Abadi" w:cs="Arial"/>
          <w:sz w:val="21"/>
          <w:szCs w:val="21"/>
        </w:rPr>
        <w:t xml:space="preserve"> </w:t>
      </w:r>
      <w:r w:rsidRPr="009845A7">
        <w:rPr>
          <w:rFonts w:ascii="Abadi" w:eastAsia="SimSun" w:hAnsi="Abadi" w:cs="Arial"/>
          <w:b/>
          <w:bCs/>
          <w:sz w:val="21"/>
          <w:szCs w:val="21"/>
        </w:rPr>
        <w:t>I.2</w:t>
      </w:r>
      <w:r w:rsidRPr="009845A7">
        <w:rPr>
          <w:rFonts w:ascii="Abadi" w:eastAsia="SimSun" w:hAnsi="Abadi" w:cs="Arial"/>
          <w:sz w:val="21"/>
          <w:szCs w:val="21"/>
        </w:rPr>
        <w:t xml:space="preserve"> Posteriormente, en la reunión de la Comisión de Salud Pública, celebrada el 21 de junio de 2021, fue radicada la propuesta de punto de acuerdo de referencia.</w:t>
      </w:r>
    </w:p>
    <w:p w14:paraId="4615F0EB" w14:textId="77777777" w:rsidR="009845A7" w:rsidRPr="009845A7" w:rsidRDefault="009845A7" w:rsidP="00A45594">
      <w:pPr>
        <w:widowControl w:val="0"/>
        <w:tabs>
          <w:tab w:val="left" w:pos="709"/>
        </w:tabs>
        <w:jc w:val="both"/>
        <w:rPr>
          <w:rFonts w:ascii="Abadi" w:eastAsia="SimSun" w:hAnsi="Abadi" w:cs="Arial"/>
          <w:sz w:val="21"/>
          <w:szCs w:val="21"/>
        </w:rPr>
      </w:pPr>
    </w:p>
    <w:p w14:paraId="52C8507F" w14:textId="77777777" w:rsidR="009845A7" w:rsidRPr="009845A7" w:rsidRDefault="009845A7" w:rsidP="00A45594">
      <w:pPr>
        <w:tabs>
          <w:tab w:val="left" w:pos="567"/>
        </w:tabs>
        <w:ind w:firstLine="708"/>
        <w:jc w:val="both"/>
        <w:rPr>
          <w:rFonts w:ascii="Abadi" w:eastAsia="SimSun" w:hAnsi="Abadi" w:cs="Arial"/>
          <w:sz w:val="21"/>
          <w:szCs w:val="21"/>
        </w:rPr>
      </w:pPr>
      <w:r w:rsidRPr="009845A7">
        <w:rPr>
          <w:rFonts w:ascii="Abadi" w:eastAsia="SimSun" w:hAnsi="Abadi" w:cs="Arial"/>
          <w:b/>
          <w:bCs/>
          <w:sz w:val="21"/>
          <w:szCs w:val="21"/>
        </w:rPr>
        <w:t>1.3</w:t>
      </w:r>
      <w:r w:rsidRPr="009845A7">
        <w:rPr>
          <w:rFonts w:ascii="Abadi" w:eastAsia="SimSun" w:hAnsi="Abadi" w:cs="Arial"/>
          <w:sz w:val="21"/>
          <w:szCs w:val="21"/>
        </w:rPr>
        <w:t xml:space="preserve"> En la sesión plenaria del 7 de octubre de 2021, una vez declarada la conformación de las comisiones permanentes de la Sexagésima Quinta Legislatura del Congreso del Estado, se remitieron a estas las iniciativas y asuntos en trámite de las comisiones de la legislatura anterior. </w:t>
      </w:r>
    </w:p>
    <w:p w14:paraId="69C4EBE8" w14:textId="77777777" w:rsidR="009845A7" w:rsidRPr="009845A7" w:rsidRDefault="009845A7" w:rsidP="00A45594">
      <w:pPr>
        <w:tabs>
          <w:tab w:val="left" w:pos="567"/>
        </w:tabs>
        <w:ind w:firstLine="708"/>
        <w:jc w:val="both"/>
        <w:rPr>
          <w:rFonts w:ascii="Abadi" w:eastAsia="SimSun" w:hAnsi="Abadi" w:cs="Arial"/>
          <w:sz w:val="21"/>
          <w:szCs w:val="21"/>
        </w:rPr>
      </w:pPr>
    </w:p>
    <w:p w14:paraId="429AFFF8" w14:textId="77777777" w:rsidR="009845A7" w:rsidRPr="009845A7" w:rsidRDefault="009845A7" w:rsidP="00A45594">
      <w:pPr>
        <w:tabs>
          <w:tab w:val="left" w:pos="567"/>
        </w:tabs>
        <w:ind w:firstLine="708"/>
        <w:jc w:val="both"/>
        <w:rPr>
          <w:rFonts w:ascii="Abadi" w:eastAsia="SimSun" w:hAnsi="Abadi" w:cs="Arial"/>
          <w:sz w:val="21"/>
          <w:szCs w:val="21"/>
        </w:rPr>
      </w:pPr>
      <w:r w:rsidRPr="009845A7">
        <w:rPr>
          <w:rFonts w:ascii="Abadi" w:eastAsia="SimSun" w:hAnsi="Abadi" w:cs="Arial"/>
          <w:b/>
          <w:bCs/>
          <w:sz w:val="21"/>
          <w:szCs w:val="21"/>
        </w:rPr>
        <w:t xml:space="preserve">1.4 </w:t>
      </w:r>
      <w:r w:rsidRPr="009845A7">
        <w:rPr>
          <w:rFonts w:ascii="Abadi" w:eastAsia="SimSun" w:hAnsi="Abadi" w:cs="Arial"/>
          <w:sz w:val="21"/>
          <w:szCs w:val="21"/>
        </w:rPr>
        <w:t>El 11 de octubre de 2021 se instaló la Comisión de Salud Pública de la Sexagésima Quinta Legislatura del Congreso del Estado, en la que sus integrantes se impusieron del contenido del informe de los pendientes de los trabajos legislativos de la Comisión de Salud Pública de la anterior legislatura, siendo uno de ellos el que nos ocupa.</w:t>
      </w:r>
    </w:p>
    <w:p w14:paraId="4F5A9B05" w14:textId="77777777" w:rsidR="009845A7" w:rsidRPr="009845A7" w:rsidRDefault="009845A7" w:rsidP="00A45594">
      <w:pPr>
        <w:tabs>
          <w:tab w:val="left" w:pos="567"/>
        </w:tabs>
        <w:ind w:firstLine="708"/>
        <w:jc w:val="both"/>
        <w:rPr>
          <w:rFonts w:ascii="Abadi" w:eastAsia="SimSun" w:hAnsi="Abadi" w:cs="Arial"/>
          <w:b/>
          <w:bCs/>
          <w:sz w:val="21"/>
          <w:szCs w:val="21"/>
        </w:rPr>
      </w:pPr>
    </w:p>
    <w:p w14:paraId="61F9E50F" w14:textId="77777777" w:rsidR="009845A7" w:rsidRPr="009845A7" w:rsidRDefault="009845A7" w:rsidP="00A45594">
      <w:pPr>
        <w:ind w:firstLine="708"/>
        <w:jc w:val="both"/>
        <w:rPr>
          <w:rFonts w:ascii="Abadi" w:eastAsia="SimSun" w:hAnsi="Abadi" w:cs="Arial"/>
          <w:sz w:val="21"/>
          <w:szCs w:val="21"/>
        </w:rPr>
      </w:pPr>
      <w:r w:rsidRPr="009845A7">
        <w:rPr>
          <w:rFonts w:ascii="Abadi" w:eastAsia="SimSun" w:hAnsi="Abadi" w:cs="Arial"/>
          <w:b/>
          <w:bCs/>
          <w:sz w:val="21"/>
          <w:szCs w:val="21"/>
        </w:rPr>
        <w:t xml:space="preserve">1.5 </w:t>
      </w:r>
      <w:r w:rsidRPr="009845A7">
        <w:rPr>
          <w:rFonts w:ascii="Abadi" w:eastAsia="SimSun" w:hAnsi="Abadi" w:cs="Arial"/>
          <w:sz w:val="21"/>
          <w:szCs w:val="21"/>
        </w:rPr>
        <w:t>En la reunión de la Comisión de Salud Pública celebrada el 3 de febrero de 2022</w:t>
      </w:r>
      <w:r w:rsidRPr="009845A7">
        <w:rPr>
          <w:rFonts w:ascii="Abadi" w:eastAsia="SimSun" w:hAnsi="Abadi" w:cs="Arial"/>
          <w:b/>
          <w:bCs/>
          <w:sz w:val="21"/>
          <w:szCs w:val="21"/>
        </w:rPr>
        <w:t xml:space="preserve"> </w:t>
      </w:r>
      <w:r w:rsidRPr="009845A7">
        <w:rPr>
          <w:rFonts w:ascii="Abadi" w:eastAsia="SimSun" w:hAnsi="Abadi" w:cs="Arial"/>
          <w:sz w:val="21"/>
          <w:szCs w:val="21"/>
        </w:rPr>
        <w:t>se aprobó por unanimidad de votos la metodología de trabajo para el estudio y dictamen de la propuesta de punto de acuerdo que no ocupa, misma que se transcribe:</w:t>
      </w:r>
    </w:p>
    <w:p w14:paraId="4AD54CE9" w14:textId="77777777" w:rsidR="009845A7" w:rsidRPr="009845A7" w:rsidRDefault="009845A7" w:rsidP="00A45594">
      <w:pPr>
        <w:ind w:left="426" w:firstLine="282"/>
        <w:jc w:val="both"/>
        <w:rPr>
          <w:rFonts w:ascii="Abadi" w:eastAsia="SimSun" w:hAnsi="Abadi" w:cs="Arial"/>
          <w:sz w:val="21"/>
          <w:szCs w:val="21"/>
        </w:rPr>
      </w:pPr>
    </w:p>
    <w:p w14:paraId="73F46607" w14:textId="77777777" w:rsidR="009845A7" w:rsidRPr="009845A7" w:rsidRDefault="009845A7" w:rsidP="00A45594">
      <w:pPr>
        <w:widowControl w:val="0"/>
        <w:numPr>
          <w:ilvl w:val="0"/>
          <w:numId w:val="50"/>
        </w:numPr>
        <w:tabs>
          <w:tab w:val="left" w:pos="993"/>
        </w:tabs>
        <w:ind w:left="993" w:right="877" w:hanging="284"/>
        <w:jc w:val="both"/>
        <w:rPr>
          <w:rFonts w:ascii="Abadi" w:hAnsi="Abadi" w:cs="Arial"/>
          <w:i/>
          <w:iCs/>
          <w:sz w:val="21"/>
          <w:szCs w:val="21"/>
          <w:lang w:val="es-MX"/>
        </w:rPr>
      </w:pPr>
      <w:r w:rsidRPr="009845A7">
        <w:rPr>
          <w:rFonts w:ascii="Abadi" w:hAnsi="Abadi" w:cs="Arial"/>
          <w:i/>
          <w:iCs/>
          <w:sz w:val="21"/>
          <w:szCs w:val="21"/>
          <w:lang w:val="es-MX"/>
        </w:rPr>
        <w:t>Remitir la propuesta de punto de acuerdo y solicitar envíen opinión en un término de 10 días hábiles contados a partir del día siguiente al de recepción de la solicitud:</w:t>
      </w:r>
    </w:p>
    <w:p w14:paraId="01FAFD27" w14:textId="77777777" w:rsidR="009845A7" w:rsidRPr="009845A7" w:rsidRDefault="009845A7" w:rsidP="00A45594">
      <w:pPr>
        <w:widowControl w:val="0"/>
        <w:tabs>
          <w:tab w:val="left" w:pos="993"/>
        </w:tabs>
        <w:ind w:left="993" w:right="877"/>
        <w:jc w:val="both"/>
        <w:rPr>
          <w:rFonts w:ascii="Abadi" w:hAnsi="Abadi" w:cs="Arial"/>
          <w:i/>
          <w:iCs/>
          <w:sz w:val="21"/>
          <w:szCs w:val="21"/>
          <w:lang w:val="es-MX"/>
        </w:rPr>
      </w:pPr>
    </w:p>
    <w:p w14:paraId="14CE7625" w14:textId="77777777" w:rsidR="009845A7" w:rsidRPr="009845A7" w:rsidRDefault="009845A7" w:rsidP="00A45594">
      <w:pPr>
        <w:widowControl w:val="0"/>
        <w:numPr>
          <w:ilvl w:val="0"/>
          <w:numId w:val="54"/>
        </w:numPr>
        <w:tabs>
          <w:tab w:val="left" w:pos="993"/>
        </w:tabs>
        <w:ind w:left="705" w:right="877" w:firstLine="429"/>
        <w:jc w:val="both"/>
        <w:rPr>
          <w:rFonts w:ascii="Abadi" w:hAnsi="Abadi" w:cs="Arial"/>
          <w:sz w:val="21"/>
          <w:szCs w:val="21"/>
          <w:lang w:val="es-MX"/>
        </w:rPr>
      </w:pPr>
      <w:r w:rsidRPr="009845A7">
        <w:rPr>
          <w:rFonts w:ascii="Abadi" w:hAnsi="Abadi" w:cs="Arial"/>
          <w:i/>
          <w:iCs/>
          <w:sz w:val="21"/>
          <w:szCs w:val="21"/>
          <w:lang w:val="es-MX"/>
        </w:rPr>
        <w:t>Vía correo electrónico a las diputadas y los diputados de esta legislatura.</w:t>
      </w:r>
    </w:p>
    <w:p w14:paraId="4F972D07" w14:textId="77777777" w:rsidR="009845A7" w:rsidRPr="009845A7" w:rsidRDefault="009845A7" w:rsidP="00A45594">
      <w:pPr>
        <w:widowControl w:val="0"/>
        <w:numPr>
          <w:ilvl w:val="0"/>
          <w:numId w:val="54"/>
        </w:numPr>
        <w:tabs>
          <w:tab w:val="left" w:pos="993"/>
        </w:tabs>
        <w:ind w:left="705" w:right="877" w:firstLine="429"/>
        <w:jc w:val="both"/>
        <w:rPr>
          <w:rFonts w:ascii="Abadi" w:hAnsi="Abadi" w:cs="Arial"/>
          <w:i/>
          <w:iCs/>
          <w:sz w:val="21"/>
          <w:szCs w:val="21"/>
          <w:lang w:val="es-MX"/>
        </w:rPr>
      </w:pPr>
      <w:r w:rsidRPr="009845A7">
        <w:rPr>
          <w:rFonts w:ascii="Abadi" w:hAnsi="Abadi" w:cs="Arial"/>
          <w:i/>
          <w:iCs/>
          <w:sz w:val="21"/>
          <w:szCs w:val="21"/>
          <w:lang w:val="es-MX"/>
        </w:rPr>
        <w:t>Mediante oficio solicitar información a la Secretaría de Salud del Estado.</w:t>
      </w:r>
    </w:p>
    <w:p w14:paraId="75A7503D" w14:textId="77777777" w:rsidR="009845A7" w:rsidRPr="009845A7" w:rsidRDefault="009845A7" w:rsidP="00A45594">
      <w:pPr>
        <w:widowControl w:val="0"/>
        <w:tabs>
          <w:tab w:val="left" w:pos="993"/>
        </w:tabs>
        <w:ind w:left="993" w:right="877" w:hanging="284"/>
        <w:jc w:val="both"/>
        <w:rPr>
          <w:rFonts w:ascii="Abadi" w:hAnsi="Abadi" w:cs="Arial"/>
          <w:b/>
          <w:bCs/>
          <w:i/>
          <w:iCs/>
          <w:sz w:val="21"/>
          <w:szCs w:val="21"/>
          <w:lang w:val="es-MX"/>
        </w:rPr>
      </w:pPr>
    </w:p>
    <w:p w14:paraId="2EBE272D" w14:textId="77777777" w:rsidR="009845A7" w:rsidRPr="009845A7" w:rsidRDefault="009845A7" w:rsidP="00A45594">
      <w:pPr>
        <w:widowControl w:val="0"/>
        <w:tabs>
          <w:tab w:val="left" w:pos="993"/>
        </w:tabs>
        <w:ind w:left="993" w:right="877" w:hanging="284"/>
        <w:jc w:val="both"/>
        <w:rPr>
          <w:rFonts w:ascii="Abadi" w:hAnsi="Abadi" w:cs="Arial"/>
          <w:i/>
          <w:iCs/>
          <w:sz w:val="21"/>
          <w:szCs w:val="21"/>
          <w:lang w:val="es-MX"/>
        </w:rPr>
      </w:pPr>
      <w:r w:rsidRPr="009845A7">
        <w:rPr>
          <w:rFonts w:ascii="Abadi" w:hAnsi="Abadi" w:cs="Arial"/>
          <w:b/>
          <w:bCs/>
          <w:i/>
          <w:iCs/>
          <w:sz w:val="21"/>
          <w:szCs w:val="21"/>
          <w:lang w:val="es-MX"/>
        </w:rPr>
        <w:t>b)</w:t>
      </w:r>
      <w:r w:rsidRPr="009845A7">
        <w:rPr>
          <w:rFonts w:ascii="Abadi" w:hAnsi="Abadi" w:cs="Arial"/>
          <w:i/>
          <w:iCs/>
          <w:sz w:val="21"/>
          <w:szCs w:val="21"/>
          <w:lang w:val="es-MX"/>
        </w:rPr>
        <w:tab/>
        <w:t xml:space="preserve">Elaborar la secretaría técnica un documento en el que se concentren los comentarios formulados a la propuesta de punto de acuerdo, el que circulará a las diputadas y los diputados integrantes de la Comisión de Salud Pública, y se impongan de su contenido; </w:t>
      </w:r>
    </w:p>
    <w:p w14:paraId="4FF1BC4B" w14:textId="77777777" w:rsidR="009845A7" w:rsidRPr="009845A7" w:rsidRDefault="009845A7" w:rsidP="009845A7">
      <w:pPr>
        <w:widowControl w:val="0"/>
        <w:tabs>
          <w:tab w:val="left" w:pos="993"/>
        </w:tabs>
        <w:spacing w:line="276" w:lineRule="auto"/>
        <w:ind w:left="993" w:right="877" w:hanging="284"/>
        <w:jc w:val="both"/>
        <w:rPr>
          <w:rFonts w:ascii="Abadi" w:hAnsi="Abadi" w:cs="Arial"/>
          <w:i/>
          <w:iCs/>
          <w:sz w:val="21"/>
          <w:szCs w:val="21"/>
          <w:lang w:val="es-MX"/>
        </w:rPr>
      </w:pPr>
    </w:p>
    <w:p w14:paraId="07D16603" w14:textId="77777777" w:rsidR="009845A7" w:rsidRPr="009845A7" w:rsidRDefault="009845A7" w:rsidP="009845A7">
      <w:pPr>
        <w:widowControl w:val="0"/>
        <w:tabs>
          <w:tab w:val="left" w:pos="993"/>
        </w:tabs>
        <w:spacing w:line="276" w:lineRule="auto"/>
        <w:ind w:left="993" w:right="877" w:hanging="284"/>
        <w:jc w:val="both"/>
        <w:rPr>
          <w:rFonts w:ascii="Abadi" w:hAnsi="Abadi" w:cs="Arial"/>
          <w:sz w:val="21"/>
          <w:szCs w:val="21"/>
          <w:lang w:val="es-MX"/>
        </w:rPr>
      </w:pPr>
      <w:r w:rsidRPr="009845A7">
        <w:rPr>
          <w:rFonts w:ascii="Abadi" w:hAnsi="Abadi" w:cs="Arial"/>
          <w:b/>
          <w:bCs/>
          <w:i/>
          <w:iCs/>
          <w:sz w:val="21"/>
          <w:szCs w:val="21"/>
          <w:lang w:val="es-MX"/>
        </w:rPr>
        <w:t xml:space="preserve">c) </w:t>
      </w:r>
      <w:r w:rsidRPr="009845A7">
        <w:rPr>
          <w:rFonts w:ascii="Abadi" w:hAnsi="Abadi" w:cs="Arial"/>
          <w:sz w:val="21"/>
          <w:szCs w:val="21"/>
          <w:lang w:val="es-MX"/>
        </w:rPr>
        <w:t xml:space="preserve">Mesa de trabajo para el análisis de la propuesta de punto de acuerdo y los comentarios formulados, conformada por quienes integran la Comisión de Salud </w:t>
      </w:r>
    </w:p>
    <w:p w14:paraId="07432FA0" w14:textId="77777777" w:rsidR="009845A7" w:rsidRPr="009845A7" w:rsidRDefault="009845A7" w:rsidP="009845A7">
      <w:pPr>
        <w:widowControl w:val="0"/>
        <w:tabs>
          <w:tab w:val="left" w:pos="993"/>
        </w:tabs>
        <w:spacing w:line="276" w:lineRule="auto"/>
        <w:ind w:left="993" w:right="877"/>
        <w:jc w:val="both"/>
        <w:rPr>
          <w:rFonts w:ascii="Abadi" w:hAnsi="Abadi" w:cs="Arial"/>
          <w:b/>
          <w:bCs/>
          <w:i/>
          <w:iCs/>
          <w:sz w:val="21"/>
          <w:szCs w:val="21"/>
          <w:lang w:val="es-MX"/>
        </w:rPr>
      </w:pPr>
      <w:r w:rsidRPr="009845A7">
        <w:rPr>
          <w:rFonts w:ascii="Abadi" w:hAnsi="Abadi" w:cs="Arial"/>
          <w:sz w:val="21"/>
          <w:szCs w:val="21"/>
          <w:lang w:val="es-MX"/>
        </w:rPr>
        <w:t>Pública, las diputadas y los diputados de esta Legislatura que deseen asistir, así como asesores; y</w:t>
      </w:r>
    </w:p>
    <w:p w14:paraId="3786B8E2" w14:textId="77777777" w:rsidR="009845A7" w:rsidRPr="009845A7" w:rsidRDefault="009845A7" w:rsidP="009845A7">
      <w:pPr>
        <w:widowControl w:val="0"/>
        <w:spacing w:line="276" w:lineRule="auto"/>
        <w:ind w:left="705" w:hanging="563"/>
        <w:jc w:val="both"/>
        <w:rPr>
          <w:rFonts w:ascii="Abadi" w:hAnsi="Abadi" w:cs="Arial"/>
          <w:i/>
          <w:iCs/>
          <w:sz w:val="21"/>
          <w:szCs w:val="21"/>
          <w:lang w:val="es-MX"/>
        </w:rPr>
      </w:pPr>
      <w:r w:rsidRPr="009845A7">
        <w:rPr>
          <w:rFonts w:ascii="Abadi" w:hAnsi="Abadi" w:cs="Arial"/>
          <w:i/>
          <w:iCs/>
          <w:sz w:val="21"/>
          <w:szCs w:val="21"/>
          <w:lang w:val="es-MX"/>
        </w:rPr>
        <w:t xml:space="preserve"> </w:t>
      </w:r>
    </w:p>
    <w:p w14:paraId="466F92F0" w14:textId="77777777" w:rsidR="009845A7" w:rsidRPr="009845A7" w:rsidRDefault="009845A7" w:rsidP="009845A7">
      <w:pPr>
        <w:widowControl w:val="0"/>
        <w:tabs>
          <w:tab w:val="left" w:pos="993"/>
        </w:tabs>
        <w:spacing w:line="276" w:lineRule="auto"/>
        <w:ind w:left="993" w:right="877" w:hanging="284"/>
        <w:jc w:val="both"/>
        <w:rPr>
          <w:rFonts w:ascii="Abadi" w:hAnsi="Abadi" w:cs="Arial"/>
          <w:i/>
          <w:iCs/>
          <w:sz w:val="21"/>
          <w:szCs w:val="21"/>
          <w:lang w:val="es-MX"/>
        </w:rPr>
      </w:pPr>
      <w:r w:rsidRPr="009845A7">
        <w:rPr>
          <w:rFonts w:ascii="Abadi" w:hAnsi="Abadi" w:cs="Arial"/>
          <w:b/>
          <w:bCs/>
          <w:i/>
          <w:iCs/>
          <w:sz w:val="21"/>
          <w:szCs w:val="21"/>
          <w:lang w:val="es-MX"/>
        </w:rPr>
        <w:t>d)</w:t>
      </w:r>
      <w:r w:rsidRPr="009845A7">
        <w:rPr>
          <w:rFonts w:ascii="Abadi" w:hAnsi="Abadi" w:cs="Arial"/>
          <w:i/>
          <w:iCs/>
          <w:sz w:val="21"/>
          <w:szCs w:val="21"/>
          <w:lang w:val="es-MX"/>
        </w:rPr>
        <w:tab/>
        <w:t>Reunión de la Comisión de Salud Pública para la discusión y, en su caso, aprobación del proyecto de dictamen.</w:t>
      </w:r>
    </w:p>
    <w:p w14:paraId="4164DD0D" w14:textId="77777777" w:rsidR="009845A7" w:rsidRPr="009845A7" w:rsidRDefault="009845A7" w:rsidP="009845A7">
      <w:pPr>
        <w:tabs>
          <w:tab w:val="left" w:pos="567"/>
        </w:tabs>
        <w:spacing w:line="360" w:lineRule="auto"/>
        <w:ind w:firstLine="708"/>
        <w:jc w:val="both"/>
        <w:rPr>
          <w:rFonts w:ascii="Abadi" w:eastAsia="SimSun" w:hAnsi="Abadi" w:cs="Arial"/>
          <w:b/>
          <w:bCs/>
          <w:sz w:val="21"/>
          <w:szCs w:val="21"/>
        </w:rPr>
      </w:pPr>
    </w:p>
    <w:p w14:paraId="558109B9" w14:textId="77777777" w:rsidR="009845A7" w:rsidRPr="009845A7" w:rsidRDefault="009845A7" w:rsidP="00A45594">
      <w:pPr>
        <w:widowControl w:val="0"/>
        <w:tabs>
          <w:tab w:val="left" w:pos="709"/>
        </w:tabs>
        <w:ind w:firstLine="709"/>
        <w:jc w:val="both"/>
        <w:rPr>
          <w:rFonts w:ascii="Abadi" w:eastAsia="SimSun" w:hAnsi="Abadi" w:cs="Arial"/>
          <w:sz w:val="21"/>
          <w:szCs w:val="21"/>
        </w:rPr>
      </w:pPr>
      <w:r w:rsidRPr="009845A7">
        <w:rPr>
          <w:rFonts w:ascii="Abadi" w:eastAsia="SimSun" w:hAnsi="Abadi" w:cs="Arial"/>
          <w:sz w:val="21"/>
          <w:szCs w:val="21"/>
        </w:rPr>
        <w:t>Conforme a la metodología aprobada, el 4 de febrero de 2022 vía correo electrónico se remitió la propuesta de punto de acuerdo a las diputadas y los diputados integrantes de la Sexagésima Quinta Legislatura del Congreso del Estado, y se solicitó, si tenían a bien, emitir opinión sobre la misma; no recibiéndose opiniones al respecto.</w:t>
      </w:r>
    </w:p>
    <w:p w14:paraId="525EDB6B" w14:textId="77777777" w:rsidR="009845A7" w:rsidRPr="009845A7" w:rsidRDefault="009845A7" w:rsidP="00A45594">
      <w:pPr>
        <w:widowControl w:val="0"/>
        <w:tabs>
          <w:tab w:val="left" w:pos="709"/>
        </w:tabs>
        <w:ind w:firstLine="142"/>
        <w:jc w:val="both"/>
        <w:rPr>
          <w:rFonts w:ascii="Abadi" w:eastAsia="SimSun" w:hAnsi="Abadi" w:cs="Arial"/>
          <w:sz w:val="21"/>
          <w:szCs w:val="21"/>
        </w:rPr>
      </w:pPr>
    </w:p>
    <w:p w14:paraId="1C147037" w14:textId="77777777" w:rsidR="009845A7" w:rsidRPr="009845A7" w:rsidRDefault="009845A7" w:rsidP="00A45594">
      <w:pPr>
        <w:widowControl w:val="0"/>
        <w:tabs>
          <w:tab w:val="left" w:pos="709"/>
          <w:tab w:val="left" w:pos="9072"/>
        </w:tabs>
        <w:ind w:firstLine="142"/>
        <w:jc w:val="both"/>
        <w:rPr>
          <w:rFonts w:ascii="Abadi" w:eastAsia="SimSun" w:hAnsi="Abadi" w:cs="Arial"/>
          <w:sz w:val="21"/>
          <w:szCs w:val="21"/>
        </w:rPr>
      </w:pPr>
      <w:r w:rsidRPr="009845A7">
        <w:rPr>
          <w:rFonts w:ascii="Abadi" w:eastAsia="SimSun" w:hAnsi="Abadi" w:cs="Arial"/>
          <w:b/>
          <w:bCs/>
          <w:sz w:val="21"/>
          <w:szCs w:val="21"/>
        </w:rPr>
        <w:tab/>
      </w:r>
      <w:r w:rsidRPr="009845A7">
        <w:rPr>
          <w:rFonts w:ascii="Abadi" w:eastAsia="SimSun" w:hAnsi="Abadi" w:cs="Arial"/>
          <w:sz w:val="21"/>
          <w:szCs w:val="21"/>
        </w:rPr>
        <w:t xml:space="preserve">Asimismo, mediante el oficio 1505, de fecha 14 de febrero de 2022, se remitió al Secretario de Salud del Estado la propuesta de punto de acuerdo de referencia, y solicitó opinión en cuanto a esta, e información sobre el particular en lo que respecta a esta entidad federativa; recibiéndose la respuesta de dicha dependencia mediante el oficio </w:t>
      </w:r>
      <w:r w:rsidRPr="009845A7">
        <w:rPr>
          <w:rFonts w:ascii="Abadi" w:hAnsi="Abadi" w:cs="Arial"/>
          <w:sz w:val="21"/>
          <w:szCs w:val="21"/>
          <w:lang w:val="es-MX" w:eastAsia="es-MX"/>
        </w:rPr>
        <w:t>CGAyF/DGA/DCySA/DSA-00147/2022</w:t>
      </w:r>
      <w:r w:rsidRPr="009845A7">
        <w:rPr>
          <w:rFonts w:ascii="Abadi" w:eastAsia="SimSun" w:hAnsi="Abadi" w:cs="Arial"/>
          <w:sz w:val="21"/>
          <w:szCs w:val="21"/>
        </w:rPr>
        <w:t xml:space="preserve">, de fecha 01 de marzo de 2022, en el que refiere: </w:t>
      </w:r>
    </w:p>
    <w:p w14:paraId="5721A760" w14:textId="77777777" w:rsidR="009845A7" w:rsidRPr="009845A7" w:rsidRDefault="009845A7" w:rsidP="00A45594">
      <w:pPr>
        <w:tabs>
          <w:tab w:val="left" w:pos="8222"/>
        </w:tabs>
        <w:ind w:left="142" w:firstLine="425"/>
        <w:rPr>
          <w:rFonts w:ascii="Abadi" w:hAnsi="Abadi" w:cs="Arial"/>
          <w:sz w:val="21"/>
          <w:szCs w:val="21"/>
        </w:rPr>
      </w:pPr>
    </w:p>
    <w:p w14:paraId="411EECF6" w14:textId="77777777" w:rsidR="009845A7" w:rsidRPr="009845A7" w:rsidRDefault="009845A7" w:rsidP="00A45594">
      <w:pPr>
        <w:widowControl w:val="0"/>
        <w:tabs>
          <w:tab w:val="left" w:pos="709"/>
          <w:tab w:val="left" w:pos="9072"/>
        </w:tabs>
        <w:ind w:firstLine="142"/>
        <w:jc w:val="both"/>
        <w:rPr>
          <w:rFonts w:ascii="Abadi" w:eastAsia="SimSun" w:hAnsi="Abadi" w:cs="Arial"/>
          <w:sz w:val="21"/>
          <w:szCs w:val="21"/>
        </w:rPr>
      </w:pPr>
      <w:r w:rsidRPr="009845A7">
        <w:rPr>
          <w:rFonts w:ascii="Abadi" w:eastAsia="SimSun" w:hAnsi="Abadi" w:cs="Arial"/>
          <w:sz w:val="21"/>
          <w:szCs w:val="21"/>
        </w:rPr>
        <w:t xml:space="preserve">       (…)</w:t>
      </w:r>
    </w:p>
    <w:p w14:paraId="5A756019" w14:textId="77777777" w:rsidR="009845A7" w:rsidRPr="009845A7" w:rsidRDefault="009845A7" w:rsidP="00A45594">
      <w:pPr>
        <w:numPr>
          <w:ilvl w:val="0"/>
          <w:numId w:val="58"/>
        </w:numPr>
        <w:tabs>
          <w:tab w:val="left" w:pos="709"/>
          <w:tab w:val="left" w:pos="993"/>
        </w:tabs>
        <w:ind w:left="1134" w:hanging="218"/>
        <w:rPr>
          <w:rFonts w:ascii="Abadi" w:eastAsia="SimSun" w:hAnsi="Abadi" w:cs="Arial"/>
          <w:sz w:val="21"/>
          <w:szCs w:val="21"/>
        </w:rPr>
      </w:pPr>
      <w:r w:rsidRPr="009845A7">
        <w:rPr>
          <w:rFonts w:ascii="Abadi" w:eastAsia="SimSun" w:hAnsi="Abadi" w:cs="Arial"/>
          <w:sz w:val="21"/>
          <w:szCs w:val="21"/>
        </w:rPr>
        <w:t>Medicamentos que presentan desabasto.</w:t>
      </w:r>
    </w:p>
    <w:p w14:paraId="63F48AE7" w14:textId="77777777" w:rsidR="009845A7" w:rsidRPr="009845A7" w:rsidRDefault="009845A7" w:rsidP="009845A7">
      <w:pPr>
        <w:widowControl w:val="0"/>
        <w:spacing w:line="360" w:lineRule="auto"/>
        <w:ind w:left="709" w:hanging="425"/>
        <w:jc w:val="both"/>
        <w:rPr>
          <w:rFonts w:ascii="Abadi" w:eastAsia="SimSun" w:hAnsi="Abadi" w:cs="Arial"/>
          <w:sz w:val="21"/>
          <w:szCs w:val="21"/>
        </w:rPr>
      </w:pPr>
    </w:p>
    <w:p w14:paraId="3781A85E" w14:textId="77777777" w:rsidR="009845A7" w:rsidRPr="009845A7" w:rsidRDefault="009845A7" w:rsidP="009845A7">
      <w:pPr>
        <w:ind w:left="127" w:firstLine="440"/>
        <w:rPr>
          <w:rFonts w:ascii="Abadi" w:eastAsia="SimSun" w:hAnsi="Abadi" w:cs="Arial"/>
          <w:sz w:val="21"/>
          <w:szCs w:val="21"/>
        </w:rPr>
      </w:pPr>
      <w:r w:rsidRPr="009845A7">
        <w:rPr>
          <w:rFonts w:ascii="Abadi" w:eastAsia="SimSun" w:hAnsi="Abadi" w:cs="Arial"/>
          <w:b/>
          <w:bCs/>
          <w:sz w:val="21"/>
          <w:szCs w:val="21"/>
        </w:rPr>
        <w:t>Respuesta:</w:t>
      </w:r>
      <w:r w:rsidRPr="009845A7">
        <w:rPr>
          <w:rFonts w:ascii="Abadi" w:eastAsia="SimSun" w:hAnsi="Abadi" w:cs="Arial"/>
          <w:sz w:val="21"/>
          <w:szCs w:val="21"/>
        </w:rPr>
        <w:t xml:space="preserve"> Los laboratorios de medicamentos manifiestan lo siguiente:</w:t>
      </w:r>
    </w:p>
    <w:p w14:paraId="0424FFEF" w14:textId="77777777" w:rsidR="009845A7" w:rsidRPr="009845A7" w:rsidRDefault="009845A7" w:rsidP="009845A7">
      <w:pPr>
        <w:spacing w:before="8"/>
        <w:jc w:val="both"/>
        <w:rPr>
          <w:rFonts w:ascii="Abadi" w:eastAsia="SimSun" w:hAnsi="Abadi" w:cs="Arial"/>
          <w:sz w:val="21"/>
          <w:szCs w:val="21"/>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741"/>
        <w:gridCol w:w="1059"/>
        <w:gridCol w:w="1124"/>
        <w:gridCol w:w="1177"/>
      </w:tblGrid>
      <w:tr w:rsidR="009845A7" w:rsidRPr="009845A7" w14:paraId="1F012151" w14:textId="77777777" w:rsidTr="00A45594">
        <w:trPr>
          <w:trHeight w:val="148"/>
        </w:trPr>
        <w:tc>
          <w:tcPr>
            <w:tcW w:w="294" w:type="pct"/>
            <w:shd w:val="clear" w:color="auto" w:fill="auto"/>
          </w:tcPr>
          <w:p w14:paraId="1A7B28E0" w14:textId="77777777" w:rsidR="009845A7" w:rsidRPr="009845A7" w:rsidRDefault="009845A7">
            <w:pPr>
              <w:widowControl w:val="0"/>
              <w:numPr>
                <w:ilvl w:val="0"/>
                <w:numId w:val="49"/>
              </w:numPr>
              <w:autoSpaceDE w:val="0"/>
              <w:autoSpaceDN w:val="0"/>
              <w:spacing w:line="178" w:lineRule="exact"/>
              <w:ind w:left="67" w:right="7" w:firstLine="0"/>
              <w:jc w:val="center"/>
              <w:rPr>
                <w:rFonts w:ascii="Abadi" w:eastAsia="Arial" w:hAnsi="Abadi" w:cs="Arial"/>
                <w:b/>
                <w:i/>
                <w:iCs/>
                <w:sz w:val="21"/>
                <w:szCs w:val="21"/>
                <w:lang w:val="es-MX" w:eastAsia="en-US"/>
              </w:rPr>
            </w:pPr>
            <w:r w:rsidRPr="009845A7">
              <w:rPr>
                <w:rFonts w:ascii="Abadi" w:eastAsia="Arial" w:hAnsi="Abadi" w:cs="Arial"/>
                <w:b/>
                <w:i/>
                <w:iCs/>
                <w:w w:val="110"/>
                <w:sz w:val="21"/>
                <w:szCs w:val="21"/>
                <w:lang w:val="es-MX" w:eastAsia="en-US"/>
              </w:rPr>
              <w:t>No.</w:t>
            </w:r>
          </w:p>
        </w:tc>
        <w:tc>
          <w:tcPr>
            <w:tcW w:w="2157" w:type="pct"/>
            <w:shd w:val="clear" w:color="auto" w:fill="auto"/>
          </w:tcPr>
          <w:p w14:paraId="01DBE3EF" w14:textId="77777777" w:rsidR="009845A7" w:rsidRPr="009845A7" w:rsidRDefault="009845A7">
            <w:pPr>
              <w:widowControl w:val="0"/>
              <w:numPr>
                <w:ilvl w:val="0"/>
                <w:numId w:val="49"/>
              </w:numPr>
              <w:autoSpaceDE w:val="0"/>
              <w:autoSpaceDN w:val="0"/>
              <w:spacing w:line="178" w:lineRule="exact"/>
              <w:ind w:left="626" w:firstLine="0"/>
              <w:rPr>
                <w:rFonts w:ascii="Abadi" w:eastAsia="Arial" w:hAnsi="Abadi" w:cs="Arial"/>
                <w:b/>
                <w:i/>
                <w:iCs/>
                <w:sz w:val="21"/>
                <w:szCs w:val="21"/>
                <w:lang w:val="es-MX" w:eastAsia="en-US"/>
              </w:rPr>
            </w:pPr>
            <w:r w:rsidRPr="009845A7">
              <w:rPr>
                <w:rFonts w:ascii="Abadi" w:eastAsia="Arial" w:hAnsi="Abadi" w:cs="Arial"/>
                <w:b/>
                <w:i/>
                <w:iCs/>
                <w:sz w:val="21"/>
                <w:szCs w:val="21"/>
                <w:lang w:val="es-MX" w:eastAsia="en-US"/>
              </w:rPr>
              <w:t>Descripción</w:t>
            </w:r>
            <w:r w:rsidRPr="009845A7">
              <w:rPr>
                <w:rFonts w:ascii="Abadi" w:eastAsia="Arial" w:hAnsi="Abadi" w:cs="Arial"/>
                <w:b/>
                <w:i/>
                <w:iCs/>
                <w:spacing w:val="14"/>
                <w:sz w:val="21"/>
                <w:szCs w:val="21"/>
                <w:lang w:val="es-MX" w:eastAsia="en-US"/>
              </w:rPr>
              <w:t xml:space="preserve"> </w:t>
            </w:r>
            <w:r w:rsidRPr="009845A7">
              <w:rPr>
                <w:rFonts w:ascii="Abadi" w:eastAsia="Arial" w:hAnsi="Abadi" w:cs="Arial"/>
                <w:b/>
                <w:i/>
                <w:iCs/>
                <w:sz w:val="21"/>
                <w:szCs w:val="21"/>
                <w:lang w:val="es-MX" w:eastAsia="en-US"/>
              </w:rPr>
              <w:t>del</w:t>
            </w:r>
            <w:r w:rsidRPr="009845A7">
              <w:rPr>
                <w:rFonts w:ascii="Abadi" w:eastAsia="Arial" w:hAnsi="Abadi" w:cs="Arial"/>
                <w:b/>
                <w:i/>
                <w:iCs/>
                <w:spacing w:val="4"/>
                <w:sz w:val="21"/>
                <w:szCs w:val="21"/>
                <w:lang w:val="es-MX" w:eastAsia="en-US"/>
              </w:rPr>
              <w:t xml:space="preserve"> </w:t>
            </w:r>
            <w:r w:rsidRPr="009845A7">
              <w:rPr>
                <w:rFonts w:ascii="Abadi" w:eastAsia="Arial" w:hAnsi="Abadi" w:cs="Arial"/>
                <w:b/>
                <w:i/>
                <w:iCs/>
                <w:sz w:val="21"/>
                <w:szCs w:val="21"/>
                <w:lang w:val="es-MX" w:eastAsia="en-US"/>
              </w:rPr>
              <w:t>Medicamento</w:t>
            </w:r>
          </w:p>
        </w:tc>
        <w:tc>
          <w:tcPr>
            <w:tcW w:w="1079" w:type="pct"/>
            <w:shd w:val="clear" w:color="auto" w:fill="auto"/>
          </w:tcPr>
          <w:p w14:paraId="6BC3F108" w14:textId="77777777" w:rsidR="009845A7" w:rsidRPr="009845A7" w:rsidRDefault="009845A7">
            <w:pPr>
              <w:widowControl w:val="0"/>
              <w:numPr>
                <w:ilvl w:val="0"/>
                <w:numId w:val="49"/>
              </w:numPr>
              <w:autoSpaceDE w:val="0"/>
              <w:autoSpaceDN w:val="0"/>
              <w:spacing w:line="178" w:lineRule="exact"/>
              <w:ind w:left="411" w:firstLine="0"/>
              <w:rPr>
                <w:rFonts w:ascii="Abadi" w:eastAsia="Arial" w:hAnsi="Abadi" w:cs="Arial"/>
                <w:b/>
                <w:i/>
                <w:iCs/>
                <w:sz w:val="21"/>
                <w:szCs w:val="21"/>
                <w:lang w:val="es-MX" w:eastAsia="en-US"/>
              </w:rPr>
            </w:pPr>
            <w:r w:rsidRPr="009845A7">
              <w:rPr>
                <w:rFonts w:ascii="Abadi" w:eastAsia="Arial" w:hAnsi="Abadi" w:cs="Arial"/>
                <w:b/>
                <w:i/>
                <w:iCs/>
                <w:w w:val="95"/>
                <w:sz w:val="21"/>
                <w:szCs w:val="21"/>
                <w:lang w:val="es-MX" w:eastAsia="en-US"/>
              </w:rPr>
              <w:t>Sustancia</w:t>
            </w:r>
            <w:r w:rsidRPr="009845A7">
              <w:rPr>
                <w:rFonts w:ascii="Abadi" w:eastAsia="Arial" w:hAnsi="Abadi" w:cs="Arial"/>
                <w:b/>
                <w:i/>
                <w:iCs/>
                <w:spacing w:val="20"/>
                <w:w w:val="95"/>
                <w:sz w:val="21"/>
                <w:szCs w:val="21"/>
                <w:lang w:val="es-MX" w:eastAsia="en-US"/>
              </w:rPr>
              <w:t xml:space="preserve"> </w:t>
            </w:r>
            <w:r w:rsidRPr="009845A7">
              <w:rPr>
                <w:rFonts w:ascii="Abadi" w:eastAsia="Arial" w:hAnsi="Abadi" w:cs="Arial"/>
                <w:b/>
                <w:i/>
                <w:iCs/>
                <w:w w:val="95"/>
                <w:sz w:val="21"/>
                <w:szCs w:val="21"/>
                <w:lang w:val="es-MX" w:eastAsia="en-US"/>
              </w:rPr>
              <w:t>Activa</w:t>
            </w:r>
          </w:p>
        </w:tc>
        <w:tc>
          <w:tcPr>
            <w:tcW w:w="1470" w:type="pct"/>
            <w:shd w:val="clear" w:color="auto" w:fill="auto"/>
          </w:tcPr>
          <w:p w14:paraId="5702BC5D" w14:textId="77777777" w:rsidR="009845A7" w:rsidRPr="009845A7" w:rsidRDefault="009845A7">
            <w:pPr>
              <w:widowControl w:val="0"/>
              <w:numPr>
                <w:ilvl w:val="0"/>
                <w:numId w:val="49"/>
              </w:numPr>
              <w:autoSpaceDE w:val="0"/>
              <w:autoSpaceDN w:val="0"/>
              <w:spacing w:before="61" w:line="183" w:lineRule="exact"/>
              <w:ind w:left="453" w:right="393" w:firstLine="0"/>
              <w:jc w:val="center"/>
              <w:rPr>
                <w:rFonts w:ascii="Abadi" w:eastAsia="Arial" w:hAnsi="Abadi" w:cs="Arial"/>
                <w:b/>
                <w:i/>
                <w:iCs/>
                <w:sz w:val="21"/>
                <w:szCs w:val="21"/>
                <w:lang w:val="es-MX" w:eastAsia="en-US"/>
              </w:rPr>
            </w:pPr>
            <w:r w:rsidRPr="009845A7">
              <w:rPr>
                <w:rFonts w:ascii="Abadi" w:eastAsia="Arial" w:hAnsi="Abadi" w:cs="Arial"/>
                <w:b/>
                <w:i/>
                <w:iCs/>
                <w:w w:val="110"/>
                <w:sz w:val="21"/>
                <w:szCs w:val="21"/>
                <w:lang w:val="es-MX" w:eastAsia="en-US"/>
              </w:rPr>
              <w:t>Motivo</w:t>
            </w:r>
          </w:p>
        </w:tc>
      </w:tr>
      <w:tr w:rsidR="009845A7" w:rsidRPr="009845A7" w14:paraId="4E4F3F89" w14:textId="77777777" w:rsidTr="00A45594">
        <w:trPr>
          <w:trHeight w:val="259"/>
        </w:trPr>
        <w:tc>
          <w:tcPr>
            <w:tcW w:w="294" w:type="pct"/>
            <w:shd w:val="clear" w:color="auto" w:fill="auto"/>
          </w:tcPr>
          <w:p w14:paraId="0967D8A0" w14:textId="77777777" w:rsidR="009845A7" w:rsidRPr="009845A7" w:rsidRDefault="009845A7">
            <w:pPr>
              <w:widowControl w:val="0"/>
              <w:numPr>
                <w:ilvl w:val="0"/>
                <w:numId w:val="49"/>
              </w:numPr>
              <w:autoSpaceDE w:val="0"/>
              <w:autoSpaceDN w:val="0"/>
              <w:spacing w:line="173" w:lineRule="exact"/>
              <w:ind w:left="53" w:firstLine="0"/>
              <w:jc w:val="center"/>
              <w:rPr>
                <w:rFonts w:ascii="Abadi" w:eastAsia="Arial" w:hAnsi="Abadi" w:cs="Arial"/>
                <w:i/>
                <w:iCs/>
                <w:sz w:val="21"/>
                <w:szCs w:val="21"/>
                <w:lang w:val="es-MX" w:eastAsia="en-US"/>
              </w:rPr>
            </w:pPr>
            <w:r w:rsidRPr="009845A7">
              <w:rPr>
                <w:rFonts w:ascii="Abadi" w:eastAsia="Arial" w:hAnsi="Abadi" w:cs="Arial"/>
                <w:i/>
                <w:iCs/>
                <w:w w:val="109"/>
                <w:sz w:val="21"/>
                <w:szCs w:val="21"/>
                <w:lang w:val="es-MX" w:eastAsia="en-US"/>
              </w:rPr>
              <w:t>1</w:t>
            </w:r>
          </w:p>
        </w:tc>
        <w:tc>
          <w:tcPr>
            <w:tcW w:w="2157" w:type="pct"/>
            <w:shd w:val="clear" w:color="auto" w:fill="auto"/>
          </w:tcPr>
          <w:p w14:paraId="6FEE2E71" w14:textId="77777777" w:rsidR="009845A7" w:rsidRPr="009845A7" w:rsidRDefault="009845A7">
            <w:pPr>
              <w:widowControl w:val="0"/>
              <w:numPr>
                <w:ilvl w:val="0"/>
                <w:numId w:val="49"/>
              </w:numPr>
              <w:autoSpaceDE w:val="0"/>
              <w:autoSpaceDN w:val="0"/>
              <w:spacing w:line="173" w:lineRule="exact"/>
              <w:ind w:left="93" w:firstLine="0"/>
              <w:rPr>
                <w:rFonts w:ascii="Abadi" w:eastAsia="Arial" w:hAnsi="Abadi" w:cs="Arial"/>
                <w:i/>
                <w:iCs/>
                <w:sz w:val="21"/>
                <w:szCs w:val="21"/>
                <w:lang w:val="es-MX" w:eastAsia="en-US"/>
              </w:rPr>
            </w:pPr>
            <w:r w:rsidRPr="009845A7">
              <w:rPr>
                <w:rFonts w:ascii="Abadi" w:eastAsia="Arial" w:hAnsi="Abadi" w:cs="Arial"/>
                <w:i/>
                <w:iCs/>
                <w:spacing w:val="-1"/>
                <w:w w:val="105"/>
                <w:sz w:val="21"/>
                <w:szCs w:val="21"/>
                <w:lang w:val="es-MX" w:eastAsia="en-US"/>
              </w:rPr>
              <w:t>0269 Ropivacaina</w:t>
            </w:r>
            <w:r w:rsidRPr="009845A7">
              <w:rPr>
                <w:rFonts w:ascii="Abadi" w:eastAsia="Arial" w:hAnsi="Abadi" w:cs="Arial"/>
                <w:i/>
                <w:iCs/>
                <w:spacing w:val="17"/>
                <w:w w:val="105"/>
                <w:sz w:val="21"/>
                <w:szCs w:val="21"/>
                <w:lang w:val="es-MX" w:eastAsia="en-US"/>
              </w:rPr>
              <w:t xml:space="preserve"> </w:t>
            </w:r>
            <w:r w:rsidRPr="009845A7">
              <w:rPr>
                <w:rFonts w:ascii="Abadi" w:eastAsia="Arial" w:hAnsi="Abadi" w:cs="Arial"/>
                <w:i/>
                <w:iCs/>
                <w:w w:val="105"/>
                <w:sz w:val="21"/>
                <w:szCs w:val="21"/>
                <w:lang w:val="es-MX" w:eastAsia="en-US"/>
              </w:rPr>
              <w:t>40</w:t>
            </w:r>
            <w:r w:rsidRPr="009845A7">
              <w:rPr>
                <w:rFonts w:ascii="Abadi" w:eastAsia="Arial" w:hAnsi="Abadi" w:cs="Arial"/>
                <w:i/>
                <w:iCs/>
                <w:spacing w:val="-8"/>
                <w:w w:val="105"/>
                <w:sz w:val="21"/>
                <w:szCs w:val="21"/>
                <w:lang w:val="es-MX" w:eastAsia="en-US"/>
              </w:rPr>
              <w:t xml:space="preserve"> </w:t>
            </w:r>
            <w:r w:rsidRPr="009845A7">
              <w:rPr>
                <w:rFonts w:ascii="Abadi" w:eastAsia="Arial" w:hAnsi="Abadi" w:cs="Arial"/>
                <w:i/>
                <w:iCs/>
                <w:w w:val="105"/>
                <w:sz w:val="21"/>
                <w:szCs w:val="21"/>
                <w:lang w:val="es-MX" w:eastAsia="en-US"/>
              </w:rPr>
              <w:t>mg</w:t>
            </w:r>
            <w:r w:rsidRPr="009845A7">
              <w:rPr>
                <w:rFonts w:ascii="Abadi" w:eastAsia="Arial" w:hAnsi="Abadi" w:cs="Arial"/>
                <w:i/>
                <w:iCs/>
                <w:spacing w:val="-15"/>
                <w:w w:val="105"/>
                <w:sz w:val="21"/>
                <w:szCs w:val="21"/>
                <w:lang w:val="es-MX" w:eastAsia="en-US"/>
              </w:rPr>
              <w:t xml:space="preserve"> </w:t>
            </w:r>
            <w:r w:rsidRPr="009845A7">
              <w:rPr>
                <w:rFonts w:ascii="Abadi" w:eastAsia="Arial" w:hAnsi="Abadi" w:cs="Arial"/>
                <w:i/>
                <w:iCs/>
                <w:w w:val="105"/>
                <w:sz w:val="21"/>
                <w:szCs w:val="21"/>
                <w:lang w:val="es-MX" w:eastAsia="en-US"/>
              </w:rPr>
              <w:t>/</w:t>
            </w:r>
            <w:r w:rsidRPr="009845A7">
              <w:rPr>
                <w:rFonts w:ascii="Abadi" w:eastAsia="Arial" w:hAnsi="Abadi" w:cs="Arial"/>
                <w:i/>
                <w:iCs/>
                <w:spacing w:val="30"/>
                <w:w w:val="105"/>
                <w:sz w:val="21"/>
                <w:szCs w:val="21"/>
                <w:lang w:val="es-MX" w:eastAsia="en-US"/>
              </w:rPr>
              <w:t xml:space="preserve"> </w:t>
            </w:r>
            <w:r w:rsidRPr="009845A7">
              <w:rPr>
                <w:rFonts w:ascii="Abadi" w:eastAsia="Arial" w:hAnsi="Abadi" w:cs="Arial"/>
                <w:i/>
                <w:iCs/>
                <w:w w:val="105"/>
                <w:sz w:val="21"/>
                <w:szCs w:val="21"/>
                <w:lang w:val="es-MX" w:eastAsia="en-US"/>
              </w:rPr>
              <w:t>20</w:t>
            </w:r>
            <w:r w:rsidRPr="009845A7">
              <w:rPr>
                <w:rFonts w:ascii="Abadi" w:eastAsia="Arial" w:hAnsi="Abadi" w:cs="Arial"/>
                <w:i/>
                <w:iCs/>
                <w:spacing w:val="-9"/>
                <w:w w:val="105"/>
                <w:sz w:val="21"/>
                <w:szCs w:val="21"/>
                <w:lang w:val="es-MX" w:eastAsia="en-US"/>
              </w:rPr>
              <w:t xml:space="preserve"> </w:t>
            </w:r>
            <w:r w:rsidRPr="009845A7">
              <w:rPr>
                <w:rFonts w:ascii="Abadi" w:eastAsia="Arial" w:hAnsi="Abadi" w:cs="Arial"/>
                <w:i/>
                <w:iCs/>
                <w:w w:val="105"/>
                <w:sz w:val="21"/>
                <w:szCs w:val="21"/>
                <w:lang w:val="es-MX" w:eastAsia="en-US"/>
              </w:rPr>
              <w:t>mi</w:t>
            </w:r>
            <w:r w:rsidRPr="009845A7">
              <w:rPr>
                <w:rFonts w:ascii="Abadi" w:eastAsia="Arial" w:hAnsi="Abadi" w:cs="Arial"/>
                <w:i/>
                <w:iCs/>
                <w:spacing w:val="11"/>
                <w:w w:val="105"/>
                <w:sz w:val="21"/>
                <w:szCs w:val="21"/>
                <w:lang w:val="es-MX" w:eastAsia="en-US"/>
              </w:rPr>
              <w:t xml:space="preserve"> </w:t>
            </w:r>
            <w:r w:rsidRPr="009845A7">
              <w:rPr>
                <w:rFonts w:ascii="Abadi" w:eastAsia="Arial" w:hAnsi="Abadi" w:cs="Arial"/>
                <w:i/>
                <w:iCs/>
                <w:w w:val="105"/>
                <w:sz w:val="21"/>
                <w:szCs w:val="21"/>
                <w:lang w:val="es-MX" w:eastAsia="en-US"/>
              </w:rPr>
              <w:t>Amp</w:t>
            </w:r>
            <w:r w:rsidRPr="009845A7">
              <w:rPr>
                <w:rFonts w:ascii="Abadi" w:eastAsia="Arial" w:hAnsi="Abadi" w:cs="Arial"/>
                <w:i/>
                <w:iCs/>
                <w:spacing w:val="-5"/>
                <w:w w:val="105"/>
                <w:sz w:val="21"/>
                <w:szCs w:val="21"/>
                <w:lang w:val="es-MX" w:eastAsia="en-US"/>
              </w:rPr>
              <w:t xml:space="preserve"> </w:t>
            </w:r>
            <w:r w:rsidRPr="009845A7">
              <w:rPr>
                <w:rFonts w:ascii="Abadi" w:eastAsia="Arial" w:hAnsi="Abadi" w:cs="Arial"/>
                <w:i/>
                <w:iCs/>
                <w:w w:val="105"/>
                <w:sz w:val="21"/>
                <w:szCs w:val="21"/>
                <w:lang w:val="es-MX" w:eastAsia="en-US"/>
              </w:rPr>
              <w:t>C/5</w:t>
            </w:r>
          </w:p>
        </w:tc>
        <w:tc>
          <w:tcPr>
            <w:tcW w:w="1079" w:type="pct"/>
            <w:shd w:val="clear" w:color="auto" w:fill="auto"/>
          </w:tcPr>
          <w:p w14:paraId="1F78875C" w14:textId="77777777" w:rsidR="009845A7" w:rsidRPr="009845A7" w:rsidRDefault="009845A7">
            <w:pPr>
              <w:widowControl w:val="0"/>
              <w:numPr>
                <w:ilvl w:val="0"/>
                <w:numId w:val="49"/>
              </w:numPr>
              <w:autoSpaceDE w:val="0"/>
              <w:autoSpaceDN w:val="0"/>
              <w:spacing w:line="173" w:lineRule="exact"/>
              <w:ind w:left="144" w:firstLine="0"/>
              <w:rPr>
                <w:rFonts w:ascii="Abadi" w:eastAsia="Arial" w:hAnsi="Abadi" w:cs="Arial"/>
                <w:i/>
                <w:iCs/>
                <w:sz w:val="21"/>
                <w:szCs w:val="21"/>
                <w:lang w:val="es-MX" w:eastAsia="en-US"/>
              </w:rPr>
            </w:pPr>
            <w:r w:rsidRPr="009845A7">
              <w:rPr>
                <w:rFonts w:ascii="Abadi" w:eastAsia="Arial" w:hAnsi="Abadi" w:cs="Arial"/>
                <w:i/>
                <w:iCs/>
                <w:sz w:val="21"/>
                <w:szCs w:val="21"/>
                <w:lang w:val="es-MX" w:eastAsia="en-US"/>
              </w:rPr>
              <w:t>Ropivacaina</w:t>
            </w:r>
          </w:p>
        </w:tc>
        <w:tc>
          <w:tcPr>
            <w:tcW w:w="1470" w:type="pct"/>
            <w:shd w:val="clear" w:color="auto" w:fill="auto"/>
          </w:tcPr>
          <w:p w14:paraId="6DED93E2" w14:textId="77777777" w:rsidR="009845A7" w:rsidRPr="009845A7" w:rsidRDefault="009845A7">
            <w:pPr>
              <w:widowControl w:val="0"/>
              <w:numPr>
                <w:ilvl w:val="0"/>
                <w:numId w:val="49"/>
              </w:numPr>
              <w:autoSpaceDE w:val="0"/>
              <w:autoSpaceDN w:val="0"/>
              <w:spacing w:before="61" w:line="178" w:lineRule="exact"/>
              <w:ind w:left="450" w:right="400" w:firstLine="0"/>
              <w:jc w:val="center"/>
              <w:rPr>
                <w:rFonts w:ascii="Abadi" w:eastAsia="Arial" w:hAnsi="Abadi" w:cs="Arial"/>
                <w:i/>
                <w:iCs/>
                <w:sz w:val="21"/>
                <w:szCs w:val="21"/>
                <w:lang w:val="es-MX" w:eastAsia="en-US"/>
              </w:rPr>
            </w:pPr>
            <w:r w:rsidRPr="009845A7">
              <w:rPr>
                <w:rFonts w:ascii="Abadi" w:eastAsia="Arial" w:hAnsi="Abadi" w:cs="Arial"/>
                <w:i/>
                <w:iCs/>
                <w:spacing w:val="-1"/>
                <w:w w:val="105"/>
                <w:sz w:val="21"/>
                <w:szCs w:val="21"/>
                <w:lang w:val="es-MX" w:eastAsia="en-US"/>
              </w:rPr>
              <w:t>Falta</w:t>
            </w:r>
            <w:r w:rsidRPr="009845A7">
              <w:rPr>
                <w:rFonts w:ascii="Abadi" w:eastAsia="Arial" w:hAnsi="Abadi" w:cs="Arial"/>
                <w:i/>
                <w:iCs/>
                <w:spacing w:val="7"/>
                <w:w w:val="105"/>
                <w:sz w:val="21"/>
                <w:szCs w:val="21"/>
                <w:lang w:val="es-MX" w:eastAsia="en-US"/>
              </w:rPr>
              <w:t xml:space="preserve"> </w:t>
            </w:r>
            <w:r w:rsidRPr="009845A7">
              <w:rPr>
                <w:rFonts w:ascii="Abadi" w:eastAsia="Arial" w:hAnsi="Abadi" w:cs="Arial"/>
                <w:i/>
                <w:iCs/>
                <w:spacing w:val="-1"/>
                <w:w w:val="105"/>
                <w:sz w:val="21"/>
                <w:szCs w:val="21"/>
                <w:lang w:val="es-MX" w:eastAsia="en-US"/>
              </w:rPr>
              <w:t>de</w:t>
            </w:r>
            <w:r w:rsidRPr="009845A7">
              <w:rPr>
                <w:rFonts w:ascii="Abadi" w:eastAsia="Arial" w:hAnsi="Abadi" w:cs="Arial"/>
                <w:i/>
                <w:iCs/>
                <w:spacing w:val="-12"/>
                <w:w w:val="105"/>
                <w:sz w:val="21"/>
                <w:szCs w:val="21"/>
                <w:lang w:val="es-MX" w:eastAsia="en-US"/>
              </w:rPr>
              <w:t xml:space="preserve"> </w:t>
            </w:r>
            <w:r w:rsidRPr="009845A7">
              <w:rPr>
                <w:rFonts w:ascii="Abadi" w:eastAsia="Arial" w:hAnsi="Abadi" w:cs="Arial"/>
                <w:i/>
                <w:iCs/>
                <w:spacing w:val="-1"/>
                <w:w w:val="105"/>
                <w:sz w:val="21"/>
                <w:szCs w:val="21"/>
                <w:lang w:val="es-MX" w:eastAsia="en-US"/>
              </w:rPr>
              <w:t>insumos</w:t>
            </w:r>
          </w:p>
        </w:tc>
      </w:tr>
      <w:tr w:rsidR="009845A7" w:rsidRPr="009845A7" w14:paraId="5CAB65F7" w14:textId="77777777" w:rsidTr="00A45594">
        <w:trPr>
          <w:trHeight w:val="494"/>
        </w:trPr>
        <w:tc>
          <w:tcPr>
            <w:tcW w:w="294" w:type="pct"/>
            <w:shd w:val="clear" w:color="auto" w:fill="auto"/>
          </w:tcPr>
          <w:p w14:paraId="51453D1D" w14:textId="77777777" w:rsidR="009845A7" w:rsidRPr="009845A7" w:rsidRDefault="009845A7">
            <w:pPr>
              <w:widowControl w:val="0"/>
              <w:numPr>
                <w:ilvl w:val="0"/>
                <w:numId w:val="49"/>
              </w:numPr>
              <w:autoSpaceDE w:val="0"/>
              <w:autoSpaceDN w:val="0"/>
              <w:spacing w:before="9"/>
              <w:ind w:left="0" w:firstLine="0"/>
              <w:rPr>
                <w:rFonts w:ascii="Abadi" w:eastAsia="Arial" w:hAnsi="Abadi" w:cs="Arial"/>
                <w:i/>
                <w:iCs/>
                <w:sz w:val="21"/>
                <w:szCs w:val="21"/>
                <w:lang w:val="es-MX" w:eastAsia="en-US"/>
              </w:rPr>
            </w:pPr>
          </w:p>
          <w:p w14:paraId="68467346" w14:textId="77777777" w:rsidR="009845A7" w:rsidRPr="009845A7" w:rsidRDefault="009845A7">
            <w:pPr>
              <w:widowControl w:val="0"/>
              <w:numPr>
                <w:ilvl w:val="0"/>
                <w:numId w:val="49"/>
              </w:numPr>
              <w:autoSpaceDE w:val="0"/>
              <w:autoSpaceDN w:val="0"/>
              <w:ind w:left="65" w:firstLine="0"/>
              <w:jc w:val="center"/>
              <w:rPr>
                <w:rFonts w:ascii="Abadi" w:eastAsia="Arial" w:hAnsi="Abadi" w:cs="Arial"/>
                <w:i/>
                <w:iCs/>
                <w:sz w:val="21"/>
                <w:szCs w:val="21"/>
                <w:lang w:val="es-MX" w:eastAsia="en-US"/>
              </w:rPr>
            </w:pPr>
            <w:r w:rsidRPr="009845A7">
              <w:rPr>
                <w:rFonts w:ascii="Abadi" w:eastAsia="Arial" w:hAnsi="Abadi" w:cs="Arial"/>
                <w:i/>
                <w:iCs/>
                <w:w w:val="104"/>
                <w:sz w:val="21"/>
                <w:szCs w:val="21"/>
                <w:lang w:val="es-MX" w:eastAsia="en-US"/>
              </w:rPr>
              <w:t>2</w:t>
            </w:r>
          </w:p>
        </w:tc>
        <w:tc>
          <w:tcPr>
            <w:tcW w:w="2157" w:type="pct"/>
            <w:shd w:val="clear" w:color="auto" w:fill="auto"/>
          </w:tcPr>
          <w:p w14:paraId="71C13A4A" w14:textId="77777777" w:rsidR="009845A7" w:rsidRPr="009845A7" w:rsidRDefault="009845A7">
            <w:pPr>
              <w:widowControl w:val="0"/>
              <w:numPr>
                <w:ilvl w:val="0"/>
                <w:numId w:val="49"/>
              </w:numPr>
              <w:autoSpaceDE w:val="0"/>
              <w:autoSpaceDN w:val="0"/>
              <w:spacing w:before="9"/>
              <w:ind w:left="0" w:firstLine="0"/>
              <w:rPr>
                <w:rFonts w:ascii="Abadi" w:eastAsia="Arial" w:hAnsi="Abadi" w:cs="Arial"/>
                <w:i/>
                <w:iCs/>
                <w:sz w:val="21"/>
                <w:szCs w:val="21"/>
                <w:lang w:val="es-MX" w:eastAsia="en-US"/>
              </w:rPr>
            </w:pPr>
          </w:p>
          <w:p w14:paraId="1CE61E5F" w14:textId="77777777" w:rsidR="009845A7" w:rsidRPr="009845A7" w:rsidRDefault="009845A7">
            <w:pPr>
              <w:widowControl w:val="0"/>
              <w:numPr>
                <w:ilvl w:val="0"/>
                <w:numId w:val="49"/>
              </w:numPr>
              <w:autoSpaceDE w:val="0"/>
              <w:autoSpaceDN w:val="0"/>
              <w:ind w:left="93" w:firstLine="0"/>
              <w:rPr>
                <w:rFonts w:ascii="Abadi" w:eastAsia="Arial" w:hAnsi="Abadi" w:cs="Arial"/>
                <w:i/>
                <w:iCs/>
                <w:sz w:val="21"/>
                <w:szCs w:val="21"/>
                <w:lang w:val="es-MX" w:eastAsia="en-US"/>
              </w:rPr>
            </w:pPr>
            <w:r w:rsidRPr="009845A7">
              <w:rPr>
                <w:rFonts w:ascii="Abadi" w:eastAsia="Arial" w:hAnsi="Abadi" w:cs="Arial"/>
                <w:i/>
                <w:iCs/>
                <w:spacing w:val="-1"/>
                <w:w w:val="105"/>
                <w:sz w:val="21"/>
                <w:szCs w:val="21"/>
                <w:lang w:val="es-MX" w:eastAsia="en-US"/>
              </w:rPr>
              <w:t>3603</w:t>
            </w:r>
            <w:r w:rsidRPr="009845A7">
              <w:rPr>
                <w:rFonts w:ascii="Abadi" w:eastAsia="Arial" w:hAnsi="Abadi" w:cs="Arial"/>
                <w:i/>
                <w:iCs/>
                <w:spacing w:val="-3"/>
                <w:w w:val="105"/>
                <w:sz w:val="21"/>
                <w:szCs w:val="21"/>
                <w:lang w:val="es-MX" w:eastAsia="en-US"/>
              </w:rPr>
              <w:t xml:space="preserve"> </w:t>
            </w:r>
            <w:r w:rsidRPr="009845A7">
              <w:rPr>
                <w:rFonts w:ascii="Abadi" w:eastAsia="Arial" w:hAnsi="Abadi" w:cs="Arial"/>
                <w:i/>
                <w:iCs/>
                <w:spacing w:val="-1"/>
                <w:w w:val="105"/>
                <w:sz w:val="21"/>
                <w:szCs w:val="21"/>
                <w:lang w:val="es-MX" w:eastAsia="en-US"/>
              </w:rPr>
              <w:t>Glucosa</w:t>
            </w:r>
            <w:r w:rsidRPr="009845A7">
              <w:rPr>
                <w:rFonts w:ascii="Abadi" w:eastAsia="Arial" w:hAnsi="Abadi" w:cs="Arial"/>
                <w:i/>
                <w:iCs/>
                <w:spacing w:val="5"/>
                <w:w w:val="105"/>
                <w:sz w:val="21"/>
                <w:szCs w:val="21"/>
                <w:lang w:val="es-MX" w:eastAsia="en-US"/>
              </w:rPr>
              <w:t xml:space="preserve"> </w:t>
            </w:r>
            <w:r w:rsidRPr="009845A7">
              <w:rPr>
                <w:rFonts w:ascii="Abadi" w:eastAsia="Arial" w:hAnsi="Abadi" w:cs="Arial"/>
                <w:i/>
                <w:iCs/>
                <w:w w:val="105"/>
                <w:sz w:val="21"/>
                <w:szCs w:val="21"/>
                <w:lang w:val="es-MX" w:eastAsia="en-US"/>
              </w:rPr>
              <w:t>5%</w:t>
            </w:r>
            <w:r w:rsidRPr="009845A7">
              <w:rPr>
                <w:rFonts w:ascii="Abadi" w:eastAsia="Arial" w:hAnsi="Abadi" w:cs="Arial"/>
                <w:i/>
                <w:iCs/>
                <w:spacing w:val="-12"/>
                <w:w w:val="105"/>
                <w:sz w:val="21"/>
                <w:szCs w:val="21"/>
                <w:lang w:val="es-MX" w:eastAsia="en-US"/>
              </w:rPr>
              <w:t xml:space="preserve"> </w:t>
            </w:r>
            <w:r w:rsidRPr="009845A7">
              <w:rPr>
                <w:rFonts w:ascii="Abadi" w:eastAsia="Arial" w:hAnsi="Abadi" w:cs="Arial"/>
                <w:i/>
                <w:iCs/>
                <w:w w:val="105"/>
                <w:sz w:val="21"/>
                <w:szCs w:val="21"/>
                <w:lang w:val="es-MX" w:eastAsia="en-US"/>
              </w:rPr>
              <w:t>/</w:t>
            </w:r>
            <w:r w:rsidRPr="009845A7">
              <w:rPr>
                <w:rFonts w:ascii="Abadi" w:eastAsia="Arial" w:hAnsi="Abadi" w:cs="Arial"/>
                <w:i/>
                <w:iCs/>
                <w:spacing w:val="18"/>
                <w:w w:val="105"/>
                <w:sz w:val="21"/>
                <w:szCs w:val="21"/>
                <w:lang w:val="es-MX" w:eastAsia="en-US"/>
              </w:rPr>
              <w:t xml:space="preserve"> </w:t>
            </w:r>
            <w:r w:rsidRPr="009845A7">
              <w:rPr>
                <w:rFonts w:ascii="Abadi" w:eastAsia="Arial" w:hAnsi="Abadi" w:cs="Arial"/>
                <w:i/>
                <w:iCs/>
                <w:w w:val="105"/>
                <w:sz w:val="21"/>
                <w:szCs w:val="21"/>
                <w:lang w:val="es-MX" w:eastAsia="en-US"/>
              </w:rPr>
              <w:t>100</w:t>
            </w:r>
            <w:r w:rsidRPr="009845A7">
              <w:rPr>
                <w:rFonts w:ascii="Abadi" w:eastAsia="Arial" w:hAnsi="Abadi" w:cs="Arial"/>
                <w:i/>
                <w:iCs/>
                <w:spacing w:val="-9"/>
                <w:w w:val="105"/>
                <w:sz w:val="21"/>
                <w:szCs w:val="21"/>
                <w:lang w:val="es-MX" w:eastAsia="en-US"/>
              </w:rPr>
              <w:t xml:space="preserve"> </w:t>
            </w:r>
            <w:r w:rsidRPr="009845A7">
              <w:rPr>
                <w:rFonts w:ascii="Abadi" w:eastAsia="Arial" w:hAnsi="Abadi" w:cs="Arial"/>
                <w:i/>
                <w:iCs/>
                <w:w w:val="105"/>
                <w:sz w:val="21"/>
                <w:szCs w:val="21"/>
                <w:lang w:val="es-MX" w:eastAsia="en-US"/>
              </w:rPr>
              <w:t>mi</w:t>
            </w:r>
            <w:r w:rsidRPr="009845A7">
              <w:rPr>
                <w:rFonts w:ascii="Abadi" w:eastAsia="Arial" w:hAnsi="Abadi" w:cs="Arial"/>
                <w:i/>
                <w:iCs/>
                <w:spacing w:val="3"/>
                <w:w w:val="105"/>
                <w:sz w:val="21"/>
                <w:szCs w:val="21"/>
                <w:lang w:val="es-MX" w:eastAsia="en-US"/>
              </w:rPr>
              <w:t xml:space="preserve"> </w:t>
            </w:r>
            <w:r w:rsidRPr="009845A7">
              <w:rPr>
                <w:rFonts w:ascii="Abadi" w:eastAsia="Arial" w:hAnsi="Abadi" w:cs="Arial"/>
                <w:i/>
                <w:iCs/>
                <w:w w:val="105"/>
                <w:sz w:val="21"/>
                <w:szCs w:val="21"/>
                <w:lang w:val="es-MX" w:eastAsia="en-US"/>
              </w:rPr>
              <w:t>env</w:t>
            </w:r>
            <w:r w:rsidRPr="009845A7">
              <w:rPr>
                <w:rFonts w:ascii="Abadi" w:eastAsia="Arial" w:hAnsi="Abadi" w:cs="Arial"/>
                <w:i/>
                <w:iCs/>
                <w:spacing w:val="-7"/>
                <w:w w:val="105"/>
                <w:sz w:val="21"/>
                <w:szCs w:val="21"/>
                <w:lang w:val="es-MX" w:eastAsia="en-US"/>
              </w:rPr>
              <w:t xml:space="preserve"> </w:t>
            </w:r>
            <w:r w:rsidRPr="009845A7">
              <w:rPr>
                <w:rFonts w:ascii="Abadi" w:eastAsia="Arial" w:hAnsi="Abadi" w:cs="Arial"/>
                <w:i/>
                <w:iCs/>
                <w:w w:val="105"/>
                <w:sz w:val="21"/>
                <w:szCs w:val="21"/>
                <w:lang w:val="es-MX" w:eastAsia="en-US"/>
              </w:rPr>
              <w:t>1000</w:t>
            </w:r>
            <w:r w:rsidRPr="009845A7">
              <w:rPr>
                <w:rFonts w:ascii="Abadi" w:eastAsia="Arial" w:hAnsi="Abadi" w:cs="Arial"/>
                <w:i/>
                <w:iCs/>
                <w:spacing w:val="-6"/>
                <w:w w:val="105"/>
                <w:sz w:val="21"/>
                <w:szCs w:val="21"/>
                <w:lang w:val="es-MX" w:eastAsia="en-US"/>
              </w:rPr>
              <w:t xml:space="preserve"> </w:t>
            </w:r>
            <w:r w:rsidRPr="009845A7">
              <w:rPr>
                <w:rFonts w:ascii="Abadi" w:eastAsia="Arial" w:hAnsi="Abadi" w:cs="Arial"/>
                <w:i/>
                <w:iCs/>
                <w:w w:val="105"/>
                <w:sz w:val="21"/>
                <w:szCs w:val="21"/>
                <w:lang w:val="es-MX" w:eastAsia="en-US"/>
              </w:rPr>
              <w:t>mi</w:t>
            </w:r>
          </w:p>
        </w:tc>
        <w:tc>
          <w:tcPr>
            <w:tcW w:w="1079" w:type="pct"/>
            <w:shd w:val="clear" w:color="auto" w:fill="auto"/>
          </w:tcPr>
          <w:p w14:paraId="4327F528" w14:textId="77777777" w:rsidR="009845A7" w:rsidRPr="009845A7" w:rsidRDefault="009845A7">
            <w:pPr>
              <w:widowControl w:val="0"/>
              <w:numPr>
                <w:ilvl w:val="0"/>
                <w:numId w:val="49"/>
              </w:numPr>
              <w:autoSpaceDE w:val="0"/>
              <w:autoSpaceDN w:val="0"/>
              <w:spacing w:line="240" w:lineRule="atLeast"/>
              <w:ind w:left="98" w:right="243" w:firstLine="42"/>
              <w:rPr>
                <w:rFonts w:ascii="Abadi" w:eastAsia="Arial" w:hAnsi="Abadi" w:cs="Arial"/>
                <w:i/>
                <w:iCs/>
                <w:sz w:val="21"/>
                <w:szCs w:val="21"/>
                <w:lang w:val="es-MX" w:eastAsia="en-US"/>
              </w:rPr>
            </w:pPr>
            <w:r w:rsidRPr="009845A7">
              <w:rPr>
                <w:rFonts w:ascii="Abadi" w:eastAsia="Arial" w:hAnsi="Abadi" w:cs="Arial"/>
                <w:i/>
                <w:iCs/>
                <w:spacing w:val="-1"/>
                <w:w w:val="105"/>
                <w:sz w:val="21"/>
                <w:szCs w:val="21"/>
                <w:lang w:val="es-MX" w:eastAsia="en-US"/>
              </w:rPr>
              <w:t>Solución</w:t>
            </w:r>
            <w:r w:rsidRPr="009845A7">
              <w:rPr>
                <w:rFonts w:ascii="Abadi" w:eastAsia="Arial" w:hAnsi="Abadi" w:cs="Arial"/>
                <w:i/>
                <w:iCs/>
                <w:spacing w:val="-10"/>
                <w:w w:val="105"/>
                <w:sz w:val="21"/>
                <w:szCs w:val="21"/>
                <w:lang w:val="es-MX" w:eastAsia="en-US"/>
              </w:rPr>
              <w:t xml:space="preserve"> </w:t>
            </w:r>
            <w:r w:rsidRPr="009845A7">
              <w:rPr>
                <w:rFonts w:ascii="Abadi" w:eastAsia="Arial" w:hAnsi="Abadi" w:cs="Arial"/>
                <w:i/>
                <w:iCs/>
                <w:w w:val="105"/>
                <w:sz w:val="21"/>
                <w:szCs w:val="21"/>
                <w:lang w:val="es-MX" w:eastAsia="en-US"/>
              </w:rPr>
              <w:t>glucosada</w:t>
            </w:r>
            <w:r w:rsidRPr="009845A7">
              <w:rPr>
                <w:rFonts w:ascii="Abadi" w:eastAsia="Arial" w:hAnsi="Abadi" w:cs="Arial"/>
                <w:i/>
                <w:iCs/>
                <w:spacing w:val="-10"/>
                <w:w w:val="105"/>
                <w:sz w:val="21"/>
                <w:szCs w:val="21"/>
                <w:lang w:val="es-MX" w:eastAsia="en-US"/>
              </w:rPr>
              <w:t xml:space="preserve"> </w:t>
            </w:r>
            <w:r w:rsidRPr="009845A7">
              <w:rPr>
                <w:rFonts w:ascii="Abadi" w:eastAsia="Arial" w:hAnsi="Abadi" w:cs="Arial"/>
                <w:i/>
                <w:iCs/>
                <w:w w:val="105"/>
                <w:sz w:val="21"/>
                <w:szCs w:val="21"/>
                <w:lang w:val="es-MX" w:eastAsia="en-US"/>
              </w:rPr>
              <w:t>al</w:t>
            </w:r>
            <w:r w:rsidRPr="009845A7">
              <w:rPr>
                <w:rFonts w:ascii="Abadi" w:eastAsia="Arial" w:hAnsi="Abadi" w:cs="Arial"/>
                <w:i/>
                <w:iCs/>
                <w:spacing w:val="-46"/>
                <w:w w:val="105"/>
                <w:sz w:val="21"/>
                <w:szCs w:val="21"/>
                <w:lang w:val="es-MX" w:eastAsia="en-US"/>
              </w:rPr>
              <w:t xml:space="preserve"> </w:t>
            </w:r>
            <w:r w:rsidRPr="009845A7">
              <w:rPr>
                <w:rFonts w:ascii="Abadi" w:eastAsia="Arial" w:hAnsi="Abadi" w:cs="Arial"/>
                <w:i/>
                <w:iCs/>
                <w:w w:val="105"/>
                <w:sz w:val="21"/>
                <w:szCs w:val="21"/>
                <w:lang w:val="es-MX" w:eastAsia="en-US"/>
              </w:rPr>
              <w:t>5%</w:t>
            </w:r>
          </w:p>
        </w:tc>
        <w:tc>
          <w:tcPr>
            <w:tcW w:w="1470" w:type="pct"/>
            <w:shd w:val="clear" w:color="auto" w:fill="auto"/>
          </w:tcPr>
          <w:p w14:paraId="6EF4E6C8" w14:textId="77777777" w:rsidR="009845A7" w:rsidRPr="009845A7" w:rsidRDefault="009845A7">
            <w:pPr>
              <w:widowControl w:val="0"/>
              <w:numPr>
                <w:ilvl w:val="0"/>
                <w:numId w:val="49"/>
              </w:numPr>
              <w:autoSpaceDE w:val="0"/>
              <w:autoSpaceDN w:val="0"/>
              <w:spacing w:before="9"/>
              <w:ind w:left="0" w:firstLine="0"/>
              <w:rPr>
                <w:rFonts w:ascii="Abadi" w:eastAsia="Arial" w:hAnsi="Abadi" w:cs="Arial"/>
                <w:i/>
                <w:iCs/>
                <w:sz w:val="21"/>
                <w:szCs w:val="21"/>
                <w:lang w:val="es-MX" w:eastAsia="en-US"/>
              </w:rPr>
            </w:pPr>
          </w:p>
          <w:p w14:paraId="44466C09" w14:textId="77777777" w:rsidR="009845A7" w:rsidRPr="009845A7" w:rsidRDefault="009845A7">
            <w:pPr>
              <w:widowControl w:val="0"/>
              <w:numPr>
                <w:ilvl w:val="0"/>
                <w:numId w:val="49"/>
              </w:numPr>
              <w:autoSpaceDE w:val="0"/>
              <w:autoSpaceDN w:val="0"/>
              <w:ind w:left="445" w:right="400" w:firstLine="0"/>
              <w:jc w:val="center"/>
              <w:rPr>
                <w:rFonts w:ascii="Abadi" w:eastAsia="Arial" w:hAnsi="Abadi" w:cs="Arial"/>
                <w:i/>
                <w:iCs/>
                <w:sz w:val="21"/>
                <w:szCs w:val="21"/>
                <w:lang w:val="es-MX" w:eastAsia="en-US"/>
              </w:rPr>
            </w:pPr>
            <w:r w:rsidRPr="009845A7">
              <w:rPr>
                <w:rFonts w:ascii="Abadi" w:eastAsia="Arial" w:hAnsi="Abadi" w:cs="Arial"/>
                <w:i/>
                <w:iCs/>
                <w:spacing w:val="-1"/>
                <w:w w:val="105"/>
                <w:sz w:val="21"/>
                <w:szCs w:val="21"/>
                <w:lang w:val="es-MX" w:eastAsia="en-US"/>
              </w:rPr>
              <w:t>Falta</w:t>
            </w:r>
            <w:r w:rsidRPr="009845A7">
              <w:rPr>
                <w:rFonts w:ascii="Abadi" w:eastAsia="Arial" w:hAnsi="Abadi" w:cs="Arial"/>
                <w:i/>
                <w:iCs/>
                <w:spacing w:val="3"/>
                <w:w w:val="105"/>
                <w:sz w:val="21"/>
                <w:szCs w:val="21"/>
                <w:lang w:val="es-MX" w:eastAsia="en-US"/>
              </w:rPr>
              <w:t xml:space="preserve"> </w:t>
            </w:r>
            <w:r w:rsidRPr="009845A7">
              <w:rPr>
                <w:rFonts w:ascii="Abadi" w:eastAsia="Arial" w:hAnsi="Abadi" w:cs="Arial"/>
                <w:i/>
                <w:iCs/>
                <w:w w:val="105"/>
                <w:sz w:val="21"/>
                <w:szCs w:val="21"/>
                <w:lang w:val="es-MX" w:eastAsia="en-US"/>
              </w:rPr>
              <w:t>de</w:t>
            </w:r>
            <w:r w:rsidRPr="009845A7">
              <w:rPr>
                <w:rFonts w:ascii="Abadi" w:eastAsia="Arial" w:hAnsi="Abadi" w:cs="Arial"/>
                <w:i/>
                <w:iCs/>
                <w:spacing w:val="-13"/>
                <w:w w:val="105"/>
                <w:sz w:val="21"/>
                <w:szCs w:val="21"/>
                <w:lang w:val="es-MX" w:eastAsia="en-US"/>
              </w:rPr>
              <w:t xml:space="preserve"> </w:t>
            </w:r>
            <w:r w:rsidRPr="009845A7">
              <w:rPr>
                <w:rFonts w:ascii="Abadi" w:eastAsia="Arial" w:hAnsi="Abadi" w:cs="Arial"/>
                <w:i/>
                <w:iCs/>
                <w:w w:val="105"/>
                <w:sz w:val="21"/>
                <w:szCs w:val="21"/>
                <w:lang w:val="es-MX" w:eastAsia="en-US"/>
              </w:rPr>
              <w:t>insumos</w:t>
            </w:r>
          </w:p>
        </w:tc>
      </w:tr>
      <w:tr w:rsidR="009845A7" w:rsidRPr="009845A7" w14:paraId="2DF67F58" w14:textId="77777777" w:rsidTr="00A45594">
        <w:trPr>
          <w:trHeight w:val="268"/>
        </w:trPr>
        <w:tc>
          <w:tcPr>
            <w:tcW w:w="294" w:type="pct"/>
            <w:shd w:val="clear" w:color="auto" w:fill="auto"/>
          </w:tcPr>
          <w:p w14:paraId="3673A69F" w14:textId="77777777" w:rsidR="009845A7" w:rsidRPr="009845A7" w:rsidRDefault="009845A7">
            <w:pPr>
              <w:widowControl w:val="0"/>
              <w:numPr>
                <w:ilvl w:val="0"/>
                <w:numId w:val="49"/>
              </w:numPr>
              <w:autoSpaceDE w:val="0"/>
              <w:autoSpaceDN w:val="0"/>
              <w:spacing w:before="71" w:line="178" w:lineRule="exact"/>
              <w:ind w:left="62" w:firstLine="0"/>
              <w:jc w:val="center"/>
              <w:rPr>
                <w:rFonts w:ascii="Abadi" w:eastAsia="Arial" w:hAnsi="Abadi" w:cs="Arial"/>
                <w:i/>
                <w:iCs/>
                <w:sz w:val="21"/>
                <w:szCs w:val="21"/>
                <w:lang w:val="es-MX" w:eastAsia="en-US"/>
              </w:rPr>
            </w:pPr>
            <w:r w:rsidRPr="009845A7">
              <w:rPr>
                <w:rFonts w:ascii="Abadi" w:eastAsia="Arial" w:hAnsi="Abadi" w:cs="Arial"/>
                <w:i/>
                <w:iCs/>
                <w:w w:val="105"/>
                <w:sz w:val="21"/>
                <w:szCs w:val="21"/>
                <w:lang w:val="es-MX" w:eastAsia="en-US"/>
              </w:rPr>
              <w:t>3</w:t>
            </w:r>
          </w:p>
        </w:tc>
        <w:tc>
          <w:tcPr>
            <w:tcW w:w="2157" w:type="pct"/>
            <w:shd w:val="clear" w:color="auto" w:fill="auto"/>
          </w:tcPr>
          <w:p w14:paraId="0DCBFF33" w14:textId="77777777" w:rsidR="009845A7" w:rsidRPr="009845A7" w:rsidRDefault="009845A7">
            <w:pPr>
              <w:widowControl w:val="0"/>
              <w:numPr>
                <w:ilvl w:val="0"/>
                <w:numId w:val="49"/>
              </w:numPr>
              <w:autoSpaceDE w:val="0"/>
              <w:autoSpaceDN w:val="0"/>
              <w:spacing w:line="183" w:lineRule="exact"/>
              <w:ind w:left="98" w:firstLine="0"/>
              <w:rPr>
                <w:rFonts w:ascii="Abadi" w:eastAsia="Arial" w:hAnsi="Abadi" w:cs="Arial"/>
                <w:i/>
                <w:iCs/>
                <w:sz w:val="21"/>
                <w:szCs w:val="21"/>
                <w:lang w:val="es-MX" w:eastAsia="en-US"/>
              </w:rPr>
            </w:pPr>
            <w:r w:rsidRPr="009845A7">
              <w:rPr>
                <w:rFonts w:ascii="Abadi" w:eastAsia="Arial" w:hAnsi="Abadi" w:cs="Arial"/>
                <w:i/>
                <w:iCs/>
                <w:w w:val="105"/>
                <w:sz w:val="21"/>
                <w:szCs w:val="21"/>
                <w:lang w:val="es-MX" w:eastAsia="en-US"/>
              </w:rPr>
              <w:t>4118</w:t>
            </w:r>
            <w:r w:rsidRPr="009845A7">
              <w:rPr>
                <w:rFonts w:ascii="Abadi" w:eastAsia="Arial" w:hAnsi="Abadi" w:cs="Arial"/>
                <w:i/>
                <w:iCs/>
                <w:spacing w:val="1"/>
                <w:w w:val="105"/>
                <w:sz w:val="21"/>
                <w:szCs w:val="21"/>
                <w:lang w:val="es-MX" w:eastAsia="en-US"/>
              </w:rPr>
              <w:t xml:space="preserve"> </w:t>
            </w:r>
            <w:r w:rsidRPr="009845A7">
              <w:rPr>
                <w:rFonts w:ascii="Abadi" w:eastAsia="Arial" w:hAnsi="Abadi" w:cs="Arial"/>
                <w:i/>
                <w:iCs/>
                <w:w w:val="105"/>
                <w:sz w:val="21"/>
                <w:szCs w:val="21"/>
                <w:lang w:val="es-MX" w:eastAsia="en-US"/>
              </w:rPr>
              <w:t>lsosorbi Dini</w:t>
            </w:r>
            <w:r w:rsidRPr="009845A7">
              <w:rPr>
                <w:rFonts w:ascii="Abadi" w:eastAsia="Arial" w:hAnsi="Abadi" w:cs="Arial"/>
                <w:i/>
                <w:iCs/>
                <w:spacing w:val="-7"/>
                <w:w w:val="105"/>
                <w:sz w:val="21"/>
                <w:szCs w:val="21"/>
                <w:lang w:val="es-MX" w:eastAsia="en-US"/>
              </w:rPr>
              <w:t xml:space="preserve"> </w:t>
            </w:r>
            <w:r w:rsidRPr="009845A7">
              <w:rPr>
                <w:rFonts w:ascii="Abadi" w:eastAsia="Arial" w:hAnsi="Abadi" w:cs="Arial"/>
                <w:i/>
                <w:iCs/>
                <w:w w:val="105"/>
                <w:sz w:val="21"/>
                <w:szCs w:val="21"/>
                <w:lang w:val="es-MX" w:eastAsia="en-US"/>
              </w:rPr>
              <w:t>Si</w:t>
            </w:r>
            <w:r w:rsidRPr="009845A7">
              <w:rPr>
                <w:rFonts w:ascii="Abadi" w:eastAsia="Arial" w:hAnsi="Abadi" w:cs="Arial"/>
                <w:i/>
                <w:iCs/>
                <w:spacing w:val="-2"/>
                <w:w w:val="105"/>
                <w:sz w:val="21"/>
                <w:szCs w:val="21"/>
                <w:lang w:val="es-MX" w:eastAsia="en-US"/>
              </w:rPr>
              <w:t xml:space="preserve"> </w:t>
            </w:r>
            <w:r w:rsidRPr="009845A7">
              <w:rPr>
                <w:rFonts w:ascii="Abadi" w:eastAsia="Arial" w:hAnsi="Abadi" w:cs="Arial"/>
                <w:i/>
                <w:iCs/>
                <w:w w:val="105"/>
                <w:sz w:val="21"/>
                <w:szCs w:val="21"/>
                <w:lang w:val="es-MX" w:eastAsia="en-US"/>
              </w:rPr>
              <w:t>1</w:t>
            </w:r>
            <w:r w:rsidRPr="009845A7">
              <w:rPr>
                <w:rFonts w:ascii="Abadi" w:eastAsia="Arial" w:hAnsi="Abadi" w:cs="Arial"/>
                <w:i/>
                <w:iCs/>
                <w:spacing w:val="11"/>
                <w:w w:val="105"/>
                <w:sz w:val="21"/>
                <w:szCs w:val="21"/>
                <w:lang w:val="es-MX" w:eastAsia="en-US"/>
              </w:rPr>
              <w:t xml:space="preserve"> </w:t>
            </w:r>
            <w:r w:rsidRPr="009845A7">
              <w:rPr>
                <w:rFonts w:ascii="Abadi" w:eastAsia="Arial" w:hAnsi="Abadi" w:cs="Arial"/>
                <w:i/>
                <w:iCs/>
                <w:w w:val="105"/>
                <w:sz w:val="21"/>
                <w:szCs w:val="21"/>
                <w:lang w:val="es-MX" w:eastAsia="en-US"/>
              </w:rPr>
              <w:t>mg</w:t>
            </w:r>
            <w:r w:rsidRPr="009845A7">
              <w:rPr>
                <w:rFonts w:ascii="Abadi" w:eastAsia="Arial" w:hAnsi="Abadi" w:cs="Arial"/>
                <w:i/>
                <w:iCs/>
                <w:spacing w:val="-9"/>
                <w:w w:val="105"/>
                <w:sz w:val="21"/>
                <w:szCs w:val="21"/>
                <w:lang w:val="es-MX" w:eastAsia="en-US"/>
              </w:rPr>
              <w:t xml:space="preserve"> </w:t>
            </w:r>
            <w:r w:rsidRPr="009845A7">
              <w:rPr>
                <w:rFonts w:ascii="Abadi" w:eastAsia="Arial" w:hAnsi="Abadi" w:cs="Arial"/>
                <w:i/>
                <w:iCs/>
                <w:w w:val="105"/>
                <w:sz w:val="21"/>
                <w:szCs w:val="21"/>
                <w:lang w:val="es-MX" w:eastAsia="en-US"/>
              </w:rPr>
              <w:t>/</w:t>
            </w:r>
            <w:r w:rsidRPr="009845A7">
              <w:rPr>
                <w:rFonts w:ascii="Abadi" w:eastAsia="Arial" w:hAnsi="Abadi" w:cs="Arial"/>
                <w:i/>
                <w:iCs/>
                <w:spacing w:val="19"/>
                <w:w w:val="105"/>
                <w:sz w:val="21"/>
                <w:szCs w:val="21"/>
                <w:lang w:val="es-MX" w:eastAsia="en-US"/>
              </w:rPr>
              <w:t xml:space="preserve"> </w:t>
            </w:r>
            <w:r w:rsidRPr="009845A7">
              <w:rPr>
                <w:rFonts w:ascii="Abadi" w:eastAsia="Arial" w:hAnsi="Abadi" w:cs="Arial"/>
                <w:i/>
                <w:iCs/>
                <w:w w:val="105"/>
                <w:sz w:val="21"/>
                <w:szCs w:val="21"/>
                <w:lang w:val="es-MX" w:eastAsia="en-US"/>
              </w:rPr>
              <w:t>mi</w:t>
            </w:r>
            <w:r w:rsidRPr="009845A7">
              <w:rPr>
                <w:rFonts w:ascii="Abadi" w:eastAsia="Arial" w:hAnsi="Abadi" w:cs="Arial"/>
                <w:i/>
                <w:iCs/>
                <w:spacing w:val="11"/>
                <w:w w:val="105"/>
                <w:sz w:val="21"/>
                <w:szCs w:val="21"/>
                <w:lang w:val="es-MX" w:eastAsia="en-US"/>
              </w:rPr>
              <w:t xml:space="preserve"> </w:t>
            </w:r>
            <w:r w:rsidRPr="009845A7">
              <w:rPr>
                <w:rFonts w:ascii="Abadi" w:eastAsia="Arial" w:hAnsi="Abadi" w:cs="Arial"/>
                <w:i/>
                <w:iCs/>
                <w:w w:val="105"/>
                <w:sz w:val="21"/>
                <w:szCs w:val="21"/>
                <w:lang w:val="es-MX" w:eastAsia="en-US"/>
              </w:rPr>
              <w:t>Amp</w:t>
            </w:r>
            <w:r w:rsidRPr="009845A7">
              <w:rPr>
                <w:rFonts w:ascii="Abadi" w:eastAsia="Arial" w:hAnsi="Abadi" w:cs="Arial"/>
                <w:i/>
                <w:iCs/>
                <w:spacing w:val="-4"/>
                <w:w w:val="105"/>
                <w:sz w:val="21"/>
                <w:szCs w:val="21"/>
                <w:lang w:val="es-MX" w:eastAsia="en-US"/>
              </w:rPr>
              <w:t xml:space="preserve"> </w:t>
            </w:r>
            <w:r w:rsidRPr="009845A7">
              <w:rPr>
                <w:rFonts w:ascii="Abadi" w:eastAsia="Arial" w:hAnsi="Abadi" w:cs="Arial"/>
                <w:i/>
                <w:iCs/>
                <w:w w:val="105"/>
                <w:sz w:val="21"/>
                <w:szCs w:val="21"/>
                <w:lang w:val="es-MX" w:eastAsia="en-US"/>
              </w:rPr>
              <w:t>100</w:t>
            </w:r>
            <w:r w:rsidRPr="009845A7">
              <w:rPr>
                <w:rFonts w:ascii="Abadi" w:eastAsia="Arial" w:hAnsi="Abadi" w:cs="Arial"/>
                <w:i/>
                <w:iCs/>
                <w:spacing w:val="-8"/>
                <w:w w:val="105"/>
                <w:sz w:val="21"/>
                <w:szCs w:val="21"/>
                <w:lang w:val="es-MX" w:eastAsia="en-US"/>
              </w:rPr>
              <w:t xml:space="preserve"> </w:t>
            </w:r>
            <w:r w:rsidRPr="009845A7">
              <w:rPr>
                <w:rFonts w:ascii="Abadi" w:eastAsia="Arial" w:hAnsi="Abadi" w:cs="Arial"/>
                <w:i/>
                <w:iCs/>
                <w:w w:val="105"/>
                <w:sz w:val="21"/>
                <w:szCs w:val="21"/>
                <w:lang w:val="es-MX" w:eastAsia="en-US"/>
              </w:rPr>
              <w:t>mi</w:t>
            </w:r>
          </w:p>
        </w:tc>
        <w:tc>
          <w:tcPr>
            <w:tcW w:w="1079" w:type="pct"/>
            <w:shd w:val="clear" w:color="auto" w:fill="auto"/>
          </w:tcPr>
          <w:p w14:paraId="660A0E68" w14:textId="77777777" w:rsidR="009845A7" w:rsidRPr="009845A7" w:rsidRDefault="009845A7">
            <w:pPr>
              <w:widowControl w:val="0"/>
              <w:numPr>
                <w:ilvl w:val="0"/>
                <w:numId w:val="49"/>
              </w:numPr>
              <w:autoSpaceDE w:val="0"/>
              <w:autoSpaceDN w:val="0"/>
              <w:spacing w:line="183" w:lineRule="exact"/>
              <w:ind w:left="147" w:firstLine="0"/>
              <w:rPr>
                <w:rFonts w:ascii="Abadi" w:eastAsia="Arial" w:hAnsi="Abadi" w:cs="Arial"/>
                <w:i/>
                <w:iCs/>
                <w:sz w:val="21"/>
                <w:szCs w:val="21"/>
                <w:lang w:val="es-MX" w:eastAsia="en-US"/>
              </w:rPr>
            </w:pPr>
            <w:r w:rsidRPr="009845A7">
              <w:rPr>
                <w:rFonts w:ascii="Abadi" w:eastAsia="Arial" w:hAnsi="Abadi" w:cs="Arial"/>
                <w:i/>
                <w:iCs/>
                <w:w w:val="105"/>
                <w:sz w:val="21"/>
                <w:szCs w:val="21"/>
                <w:lang w:val="es-MX" w:eastAsia="en-US"/>
              </w:rPr>
              <w:t>lsosorbide</w:t>
            </w:r>
          </w:p>
        </w:tc>
        <w:tc>
          <w:tcPr>
            <w:tcW w:w="1470" w:type="pct"/>
            <w:shd w:val="clear" w:color="auto" w:fill="auto"/>
          </w:tcPr>
          <w:p w14:paraId="2AD7A58B" w14:textId="77777777" w:rsidR="009845A7" w:rsidRPr="009845A7" w:rsidRDefault="009845A7">
            <w:pPr>
              <w:widowControl w:val="0"/>
              <w:numPr>
                <w:ilvl w:val="0"/>
                <w:numId w:val="49"/>
              </w:numPr>
              <w:autoSpaceDE w:val="0"/>
              <w:autoSpaceDN w:val="0"/>
              <w:spacing w:line="183" w:lineRule="exact"/>
              <w:ind w:left="453" w:right="398" w:firstLine="0"/>
              <w:jc w:val="center"/>
              <w:rPr>
                <w:rFonts w:ascii="Abadi" w:eastAsia="Arial" w:hAnsi="Abadi" w:cs="Arial"/>
                <w:i/>
                <w:iCs/>
                <w:sz w:val="21"/>
                <w:szCs w:val="21"/>
                <w:lang w:val="es-MX" w:eastAsia="en-US"/>
              </w:rPr>
            </w:pPr>
            <w:r w:rsidRPr="009845A7">
              <w:rPr>
                <w:rFonts w:ascii="Abadi" w:eastAsia="Arial" w:hAnsi="Abadi" w:cs="Arial"/>
                <w:i/>
                <w:iCs/>
                <w:w w:val="105"/>
                <w:sz w:val="21"/>
                <w:szCs w:val="21"/>
                <w:lang w:val="es-MX" w:eastAsia="en-US"/>
              </w:rPr>
              <w:t>Falta</w:t>
            </w:r>
            <w:r w:rsidRPr="009845A7">
              <w:rPr>
                <w:rFonts w:ascii="Abadi" w:eastAsia="Arial" w:hAnsi="Abadi" w:cs="Arial"/>
                <w:i/>
                <w:iCs/>
                <w:spacing w:val="2"/>
                <w:w w:val="105"/>
                <w:sz w:val="21"/>
                <w:szCs w:val="21"/>
                <w:lang w:val="es-MX" w:eastAsia="en-US"/>
              </w:rPr>
              <w:t xml:space="preserve"> </w:t>
            </w:r>
            <w:r w:rsidRPr="009845A7">
              <w:rPr>
                <w:rFonts w:ascii="Abadi" w:eastAsia="Arial" w:hAnsi="Abadi" w:cs="Arial"/>
                <w:i/>
                <w:iCs/>
                <w:w w:val="105"/>
                <w:sz w:val="21"/>
                <w:szCs w:val="21"/>
                <w:lang w:val="es-MX" w:eastAsia="en-US"/>
              </w:rPr>
              <w:t>de</w:t>
            </w:r>
            <w:r w:rsidRPr="009845A7">
              <w:rPr>
                <w:rFonts w:ascii="Abadi" w:eastAsia="Arial" w:hAnsi="Abadi" w:cs="Arial"/>
                <w:i/>
                <w:iCs/>
                <w:spacing w:val="-11"/>
                <w:w w:val="105"/>
                <w:sz w:val="21"/>
                <w:szCs w:val="21"/>
                <w:lang w:val="es-MX" w:eastAsia="en-US"/>
              </w:rPr>
              <w:t xml:space="preserve"> </w:t>
            </w:r>
            <w:r w:rsidRPr="009845A7">
              <w:rPr>
                <w:rFonts w:ascii="Abadi" w:eastAsia="Arial" w:hAnsi="Abadi" w:cs="Arial"/>
                <w:i/>
                <w:iCs/>
                <w:w w:val="105"/>
                <w:sz w:val="21"/>
                <w:szCs w:val="21"/>
                <w:lang w:val="es-MX" w:eastAsia="en-US"/>
              </w:rPr>
              <w:t>insumos</w:t>
            </w:r>
          </w:p>
        </w:tc>
      </w:tr>
      <w:tr w:rsidR="009845A7" w:rsidRPr="009845A7" w14:paraId="67930692" w14:textId="77777777" w:rsidTr="00A45594">
        <w:trPr>
          <w:trHeight w:val="259"/>
        </w:trPr>
        <w:tc>
          <w:tcPr>
            <w:tcW w:w="294" w:type="pct"/>
            <w:shd w:val="clear" w:color="auto" w:fill="auto"/>
          </w:tcPr>
          <w:p w14:paraId="64800F22" w14:textId="77777777" w:rsidR="009845A7" w:rsidRPr="009845A7" w:rsidRDefault="009845A7">
            <w:pPr>
              <w:widowControl w:val="0"/>
              <w:numPr>
                <w:ilvl w:val="0"/>
                <w:numId w:val="49"/>
              </w:numPr>
              <w:autoSpaceDE w:val="0"/>
              <w:autoSpaceDN w:val="0"/>
              <w:spacing w:before="61" w:line="178" w:lineRule="exact"/>
              <w:ind w:left="62" w:firstLine="0"/>
              <w:jc w:val="center"/>
              <w:rPr>
                <w:rFonts w:ascii="Abadi" w:eastAsia="Arial" w:hAnsi="Abadi" w:cs="Arial"/>
                <w:i/>
                <w:iCs/>
                <w:sz w:val="21"/>
                <w:szCs w:val="21"/>
                <w:lang w:val="es-MX" w:eastAsia="en-US"/>
              </w:rPr>
            </w:pPr>
            <w:r w:rsidRPr="009845A7">
              <w:rPr>
                <w:rFonts w:ascii="Abadi" w:eastAsia="Arial" w:hAnsi="Abadi" w:cs="Arial"/>
                <w:i/>
                <w:iCs/>
                <w:w w:val="105"/>
                <w:sz w:val="21"/>
                <w:szCs w:val="21"/>
                <w:lang w:val="es-MX" w:eastAsia="en-US"/>
              </w:rPr>
              <w:t>4</w:t>
            </w:r>
          </w:p>
        </w:tc>
        <w:tc>
          <w:tcPr>
            <w:tcW w:w="2157" w:type="pct"/>
            <w:shd w:val="clear" w:color="auto" w:fill="auto"/>
          </w:tcPr>
          <w:p w14:paraId="1FD18616" w14:textId="77777777" w:rsidR="009845A7" w:rsidRPr="009845A7" w:rsidRDefault="009845A7">
            <w:pPr>
              <w:widowControl w:val="0"/>
              <w:numPr>
                <w:ilvl w:val="0"/>
                <w:numId w:val="49"/>
              </w:numPr>
              <w:autoSpaceDE w:val="0"/>
              <w:autoSpaceDN w:val="0"/>
              <w:spacing w:before="61" w:line="178" w:lineRule="exact"/>
              <w:ind w:left="98" w:firstLine="0"/>
              <w:rPr>
                <w:rFonts w:ascii="Abadi" w:eastAsia="Arial" w:hAnsi="Abadi" w:cs="Arial"/>
                <w:i/>
                <w:iCs/>
                <w:sz w:val="21"/>
                <w:szCs w:val="21"/>
                <w:lang w:val="es-MX" w:eastAsia="en-US"/>
              </w:rPr>
            </w:pPr>
            <w:r w:rsidRPr="009845A7">
              <w:rPr>
                <w:rFonts w:ascii="Abadi" w:eastAsia="Arial" w:hAnsi="Abadi" w:cs="Arial"/>
                <w:i/>
                <w:iCs/>
                <w:w w:val="105"/>
                <w:sz w:val="21"/>
                <w:szCs w:val="21"/>
                <w:lang w:val="es-MX" w:eastAsia="en-US"/>
              </w:rPr>
              <w:t>0221Tiopental</w:t>
            </w:r>
            <w:r w:rsidRPr="009845A7">
              <w:rPr>
                <w:rFonts w:ascii="Abadi" w:eastAsia="Arial" w:hAnsi="Abadi" w:cs="Arial"/>
                <w:i/>
                <w:iCs/>
                <w:spacing w:val="15"/>
                <w:w w:val="105"/>
                <w:sz w:val="21"/>
                <w:szCs w:val="21"/>
                <w:lang w:val="es-MX" w:eastAsia="en-US"/>
              </w:rPr>
              <w:t xml:space="preserve"> </w:t>
            </w:r>
            <w:r w:rsidRPr="009845A7">
              <w:rPr>
                <w:rFonts w:ascii="Abadi" w:eastAsia="Arial" w:hAnsi="Abadi" w:cs="Arial"/>
                <w:i/>
                <w:iCs/>
                <w:w w:val="105"/>
                <w:sz w:val="21"/>
                <w:szCs w:val="21"/>
                <w:lang w:val="es-MX" w:eastAsia="en-US"/>
              </w:rPr>
              <w:t>Sodico</w:t>
            </w:r>
            <w:r w:rsidRPr="009845A7">
              <w:rPr>
                <w:rFonts w:ascii="Abadi" w:eastAsia="Arial" w:hAnsi="Abadi" w:cs="Arial"/>
                <w:i/>
                <w:iCs/>
                <w:spacing w:val="12"/>
                <w:w w:val="105"/>
                <w:sz w:val="21"/>
                <w:szCs w:val="21"/>
                <w:lang w:val="es-MX" w:eastAsia="en-US"/>
              </w:rPr>
              <w:t xml:space="preserve"> </w:t>
            </w:r>
            <w:r w:rsidRPr="009845A7">
              <w:rPr>
                <w:rFonts w:ascii="Abadi" w:eastAsia="Arial" w:hAnsi="Abadi" w:cs="Arial"/>
                <w:i/>
                <w:iCs/>
                <w:w w:val="105"/>
                <w:sz w:val="21"/>
                <w:szCs w:val="21"/>
                <w:lang w:val="es-MX" w:eastAsia="en-US"/>
              </w:rPr>
              <w:t>0,5</w:t>
            </w:r>
            <w:r w:rsidRPr="009845A7">
              <w:rPr>
                <w:rFonts w:ascii="Abadi" w:eastAsia="Arial" w:hAnsi="Abadi" w:cs="Arial"/>
                <w:i/>
                <w:iCs/>
                <w:spacing w:val="10"/>
                <w:w w:val="105"/>
                <w:sz w:val="21"/>
                <w:szCs w:val="21"/>
                <w:lang w:val="es-MX" w:eastAsia="en-US"/>
              </w:rPr>
              <w:t xml:space="preserve"> </w:t>
            </w:r>
            <w:r w:rsidRPr="009845A7">
              <w:rPr>
                <w:rFonts w:ascii="Abadi" w:eastAsia="Arial" w:hAnsi="Abadi" w:cs="Arial"/>
                <w:i/>
                <w:iCs/>
                <w:w w:val="105"/>
                <w:sz w:val="21"/>
                <w:szCs w:val="21"/>
                <w:lang w:val="es-MX" w:eastAsia="en-US"/>
              </w:rPr>
              <w:t>G</w:t>
            </w:r>
            <w:r w:rsidRPr="009845A7">
              <w:rPr>
                <w:rFonts w:ascii="Abadi" w:eastAsia="Arial" w:hAnsi="Abadi" w:cs="Arial"/>
                <w:i/>
                <w:iCs/>
                <w:spacing w:val="15"/>
                <w:w w:val="105"/>
                <w:sz w:val="21"/>
                <w:szCs w:val="21"/>
                <w:lang w:val="es-MX" w:eastAsia="en-US"/>
              </w:rPr>
              <w:t xml:space="preserve"> </w:t>
            </w:r>
            <w:r w:rsidRPr="009845A7">
              <w:rPr>
                <w:rFonts w:ascii="Abadi" w:eastAsia="Arial" w:hAnsi="Abadi" w:cs="Arial"/>
                <w:i/>
                <w:iCs/>
                <w:w w:val="105"/>
                <w:sz w:val="21"/>
                <w:szCs w:val="21"/>
                <w:lang w:val="es-MX" w:eastAsia="en-US"/>
              </w:rPr>
              <w:t>Amp</w:t>
            </w:r>
            <w:r w:rsidRPr="009845A7">
              <w:rPr>
                <w:rFonts w:ascii="Abadi" w:eastAsia="Arial" w:hAnsi="Abadi" w:cs="Arial"/>
                <w:i/>
                <w:iCs/>
                <w:spacing w:val="20"/>
                <w:w w:val="105"/>
                <w:sz w:val="21"/>
                <w:szCs w:val="21"/>
                <w:lang w:val="es-MX" w:eastAsia="en-US"/>
              </w:rPr>
              <w:t xml:space="preserve"> </w:t>
            </w:r>
            <w:r w:rsidRPr="009845A7">
              <w:rPr>
                <w:rFonts w:ascii="Abadi" w:eastAsia="Arial" w:hAnsi="Abadi" w:cs="Arial"/>
                <w:i/>
                <w:iCs/>
                <w:w w:val="105"/>
                <w:sz w:val="21"/>
                <w:szCs w:val="21"/>
                <w:lang w:val="es-MX" w:eastAsia="en-US"/>
              </w:rPr>
              <w:t>20</w:t>
            </w:r>
            <w:r w:rsidRPr="009845A7">
              <w:rPr>
                <w:rFonts w:ascii="Abadi" w:eastAsia="Arial" w:hAnsi="Abadi" w:cs="Arial"/>
                <w:i/>
                <w:iCs/>
                <w:spacing w:val="4"/>
                <w:w w:val="105"/>
                <w:sz w:val="21"/>
                <w:szCs w:val="21"/>
                <w:lang w:val="es-MX" w:eastAsia="en-US"/>
              </w:rPr>
              <w:t xml:space="preserve"> </w:t>
            </w:r>
            <w:r w:rsidRPr="009845A7">
              <w:rPr>
                <w:rFonts w:ascii="Abadi" w:eastAsia="Arial" w:hAnsi="Abadi" w:cs="Arial"/>
                <w:i/>
                <w:iCs/>
                <w:w w:val="105"/>
                <w:sz w:val="21"/>
                <w:szCs w:val="21"/>
                <w:lang w:val="es-MX" w:eastAsia="en-US"/>
              </w:rPr>
              <w:t>mlc/1</w:t>
            </w:r>
          </w:p>
        </w:tc>
        <w:tc>
          <w:tcPr>
            <w:tcW w:w="1079" w:type="pct"/>
            <w:shd w:val="clear" w:color="auto" w:fill="auto"/>
          </w:tcPr>
          <w:p w14:paraId="4411C1B3" w14:textId="77777777" w:rsidR="009845A7" w:rsidRPr="009845A7" w:rsidRDefault="009845A7">
            <w:pPr>
              <w:widowControl w:val="0"/>
              <w:numPr>
                <w:ilvl w:val="0"/>
                <w:numId w:val="49"/>
              </w:numPr>
              <w:autoSpaceDE w:val="0"/>
              <w:autoSpaceDN w:val="0"/>
              <w:spacing w:before="61" w:line="178" w:lineRule="exact"/>
              <w:ind w:left="140" w:firstLine="0"/>
              <w:rPr>
                <w:rFonts w:ascii="Abadi" w:eastAsia="Arial" w:hAnsi="Abadi" w:cs="Arial"/>
                <w:i/>
                <w:iCs/>
                <w:sz w:val="21"/>
                <w:szCs w:val="21"/>
                <w:lang w:val="es-MX" w:eastAsia="en-US"/>
              </w:rPr>
            </w:pPr>
            <w:r w:rsidRPr="009845A7">
              <w:rPr>
                <w:rFonts w:ascii="Abadi" w:eastAsia="Arial" w:hAnsi="Abadi" w:cs="Arial"/>
                <w:i/>
                <w:iCs/>
                <w:w w:val="110"/>
                <w:sz w:val="21"/>
                <w:szCs w:val="21"/>
                <w:lang w:val="es-MX" w:eastAsia="en-US"/>
              </w:rPr>
              <w:t>Tiopental</w:t>
            </w:r>
          </w:p>
        </w:tc>
        <w:tc>
          <w:tcPr>
            <w:tcW w:w="1470" w:type="pct"/>
            <w:shd w:val="clear" w:color="auto" w:fill="auto"/>
          </w:tcPr>
          <w:p w14:paraId="7840C358" w14:textId="77777777" w:rsidR="009845A7" w:rsidRPr="009845A7" w:rsidRDefault="009845A7">
            <w:pPr>
              <w:widowControl w:val="0"/>
              <w:numPr>
                <w:ilvl w:val="0"/>
                <w:numId w:val="49"/>
              </w:numPr>
              <w:autoSpaceDE w:val="0"/>
              <w:autoSpaceDN w:val="0"/>
              <w:spacing w:before="61" w:line="178" w:lineRule="exact"/>
              <w:ind w:left="453" w:right="398" w:firstLine="0"/>
              <w:jc w:val="center"/>
              <w:rPr>
                <w:rFonts w:ascii="Abadi" w:eastAsia="Arial" w:hAnsi="Abadi" w:cs="Arial"/>
                <w:i/>
                <w:iCs/>
                <w:sz w:val="21"/>
                <w:szCs w:val="21"/>
                <w:lang w:val="es-MX" w:eastAsia="en-US"/>
              </w:rPr>
            </w:pPr>
            <w:r w:rsidRPr="009845A7">
              <w:rPr>
                <w:rFonts w:ascii="Abadi" w:eastAsia="Arial" w:hAnsi="Abadi" w:cs="Arial"/>
                <w:i/>
                <w:iCs/>
                <w:w w:val="105"/>
                <w:sz w:val="21"/>
                <w:szCs w:val="21"/>
                <w:lang w:val="es-MX" w:eastAsia="en-US"/>
              </w:rPr>
              <w:t>Falta</w:t>
            </w:r>
            <w:r w:rsidRPr="009845A7">
              <w:rPr>
                <w:rFonts w:ascii="Abadi" w:eastAsia="Arial" w:hAnsi="Abadi" w:cs="Arial"/>
                <w:i/>
                <w:iCs/>
                <w:spacing w:val="2"/>
                <w:w w:val="105"/>
                <w:sz w:val="21"/>
                <w:szCs w:val="21"/>
                <w:lang w:val="es-MX" w:eastAsia="en-US"/>
              </w:rPr>
              <w:t xml:space="preserve"> </w:t>
            </w:r>
            <w:r w:rsidRPr="009845A7">
              <w:rPr>
                <w:rFonts w:ascii="Abadi" w:eastAsia="Arial" w:hAnsi="Abadi" w:cs="Arial"/>
                <w:i/>
                <w:iCs/>
                <w:w w:val="105"/>
                <w:sz w:val="21"/>
                <w:szCs w:val="21"/>
                <w:lang w:val="es-MX" w:eastAsia="en-US"/>
              </w:rPr>
              <w:t>de</w:t>
            </w:r>
            <w:r w:rsidRPr="009845A7">
              <w:rPr>
                <w:rFonts w:ascii="Abadi" w:eastAsia="Arial" w:hAnsi="Abadi" w:cs="Arial"/>
                <w:i/>
                <w:iCs/>
                <w:spacing w:val="-11"/>
                <w:w w:val="105"/>
                <w:sz w:val="21"/>
                <w:szCs w:val="21"/>
                <w:lang w:val="es-MX" w:eastAsia="en-US"/>
              </w:rPr>
              <w:t xml:space="preserve"> </w:t>
            </w:r>
            <w:r w:rsidRPr="009845A7">
              <w:rPr>
                <w:rFonts w:ascii="Abadi" w:eastAsia="Arial" w:hAnsi="Abadi" w:cs="Arial"/>
                <w:i/>
                <w:iCs/>
                <w:w w:val="105"/>
                <w:sz w:val="21"/>
                <w:szCs w:val="21"/>
                <w:lang w:val="es-MX" w:eastAsia="en-US"/>
              </w:rPr>
              <w:t>insumos</w:t>
            </w:r>
          </w:p>
        </w:tc>
      </w:tr>
      <w:tr w:rsidR="009845A7" w:rsidRPr="009845A7" w14:paraId="091788BB" w14:textId="77777777" w:rsidTr="00A45594">
        <w:trPr>
          <w:trHeight w:val="268"/>
        </w:trPr>
        <w:tc>
          <w:tcPr>
            <w:tcW w:w="294" w:type="pct"/>
            <w:shd w:val="clear" w:color="auto" w:fill="auto"/>
          </w:tcPr>
          <w:p w14:paraId="0E6FF5C5" w14:textId="77777777" w:rsidR="009845A7" w:rsidRPr="009845A7" w:rsidRDefault="009845A7">
            <w:pPr>
              <w:widowControl w:val="0"/>
              <w:numPr>
                <w:ilvl w:val="0"/>
                <w:numId w:val="49"/>
              </w:numPr>
              <w:autoSpaceDE w:val="0"/>
              <w:autoSpaceDN w:val="0"/>
              <w:spacing w:line="183" w:lineRule="exact"/>
              <w:ind w:left="61" w:firstLine="0"/>
              <w:jc w:val="center"/>
              <w:rPr>
                <w:rFonts w:ascii="Abadi" w:eastAsia="Arial" w:hAnsi="Abadi" w:cs="Arial"/>
                <w:i/>
                <w:iCs/>
                <w:sz w:val="21"/>
                <w:szCs w:val="21"/>
                <w:lang w:val="es-MX" w:eastAsia="en-US"/>
              </w:rPr>
            </w:pPr>
            <w:r w:rsidRPr="009845A7">
              <w:rPr>
                <w:rFonts w:ascii="Abadi" w:eastAsia="Arial" w:hAnsi="Abadi" w:cs="Arial"/>
                <w:i/>
                <w:iCs/>
                <w:w w:val="104"/>
                <w:sz w:val="21"/>
                <w:szCs w:val="21"/>
                <w:lang w:val="es-MX" w:eastAsia="en-US"/>
              </w:rPr>
              <w:t>5</w:t>
            </w:r>
          </w:p>
        </w:tc>
        <w:tc>
          <w:tcPr>
            <w:tcW w:w="2157" w:type="pct"/>
            <w:shd w:val="clear" w:color="auto" w:fill="auto"/>
          </w:tcPr>
          <w:p w14:paraId="78343B2A" w14:textId="77777777" w:rsidR="009845A7" w:rsidRPr="009845A7" w:rsidRDefault="009845A7">
            <w:pPr>
              <w:widowControl w:val="0"/>
              <w:numPr>
                <w:ilvl w:val="0"/>
                <w:numId w:val="49"/>
              </w:numPr>
              <w:autoSpaceDE w:val="0"/>
              <w:autoSpaceDN w:val="0"/>
              <w:spacing w:line="183" w:lineRule="exact"/>
              <w:ind w:left="92" w:firstLine="0"/>
              <w:rPr>
                <w:rFonts w:ascii="Abadi" w:eastAsia="Arial" w:hAnsi="Abadi" w:cs="Arial"/>
                <w:i/>
                <w:iCs/>
                <w:sz w:val="21"/>
                <w:szCs w:val="21"/>
                <w:lang w:val="es-MX" w:eastAsia="en-US"/>
              </w:rPr>
            </w:pPr>
            <w:r w:rsidRPr="009845A7">
              <w:rPr>
                <w:rFonts w:ascii="Abadi" w:eastAsia="Arial" w:hAnsi="Abadi" w:cs="Arial"/>
                <w:i/>
                <w:iCs/>
                <w:w w:val="105"/>
                <w:sz w:val="21"/>
                <w:szCs w:val="21"/>
                <w:lang w:val="es-MX" w:eastAsia="en-US"/>
              </w:rPr>
              <w:t>Tegeline</w:t>
            </w:r>
            <w:r w:rsidRPr="009845A7">
              <w:rPr>
                <w:rFonts w:ascii="Abadi" w:eastAsia="Arial" w:hAnsi="Abadi" w:cs="Arial"/>
                <w:i/>
                <w:iCs/>
                <w:spacing w:val="8"/>
                <w:w w:val="105"/>
                <w:sz w:val="21"/>
                <w:szCs w:val="21"/>
                <w:lang w:val="es-MX" w:eastAsia="en-US"/>
              </w:rPr>
              <w:t xml:space="preserve"> </w:t>
            </w:r>
            <w:r w:rsidRPr="009845A7">
              <w:rPr>
                <w:rFonts w:ascii="Abadi" w:eastAsia="Arial" w:hAnsi="Abadi" w:cs="Arial"/>
                <w:i/>
                <w:iCs/>
                <w:w w:val="105"/>
                <w:sz w:val="21"/>
                <w:szCs w:val="21"/>
                <w:lang w:val="es-MX" w:eastAsia="en-US"/>
              </w:rPr>
              <w:t>6</w:t>
            </w:r>
            <w:r w:rsidRPr="009845A7">
              <w:rPr>
                <w:rFonts w:ascii="Abadi" w:eastAsia="Arial" w:hAnsi="Abadi" w:cs="Arial"/>
                <w:i/>
                <w:iCs/>
                <w:spacing w:val="4"/>
                <w:w w:val="105"/>
                <w:sz w:val="21"/>
                <w:szCs w:val="21"/>
                <w:lang w:val="es-MX" w:eastAsia="en-US"/>
              </w:rPr>
              <w:t xml:space="preserve"> </w:t>
            </w:r>
            <w:r w:rsidRPr="009845A7">
              <w:rPr>
                <w:rFonts w:ascii="Abadi" w:eastAsia="Arial" w:hAnsi="Abadi" w:cs="Arial"/>
                <w:i/>
                <w:iCs/>
                <w:w w:val="105"/>
                <w:sz w:val="21"/>
                <w:szCs w:val="21"/>
                <w:lang w:val="es-MX" w:eastAsia="en-US"/>
              </w:rPr>
              <w:t>gm</w:t>
            </w:r>
            <w:r w:rsidRPr="009845A7">
              <w:rPr>
                <w:rFonts w:ascii="Abadi" w:eastAsia="Arial" w:hAnsi="Abadi" w:cs="Arial"/>
                <w:i/>
                <w:iCs/>
                <w:spacing w:val="3"/>
                <w:w w:val="105"/>
                <w:sz w:val="21"/>
                <w:szCs w:val="21"/>
                <w:lang w:val="es-MX" w:eastAsia="en-US"/>
              </w:rPr>
              <w:t xml:space="preserve"> </w:t>
            </w:r>
            <w:r w:rsidRPr="009845A7">
              <w:rPr>
                <w:rFonts w:ascii="Abadi" w:eastAsia="Arial" w:hAnsi="Abadi" w:cs="Arial"/>
                <w:i/>
                <w:iCs/>
                <w:w w:val="105"/>
                <w:sz w:val="21"/>
                <w:szCs w:val="21"/>
                <w:lang w:val="es-MX" w:eastAsia="en-US"/>
              </w:rPr>
              <w:t>/120 mi</w:t>
            </w:r>
          </w:p>
        </w:tc>
        <w:tc>
          <w:tcPr>
            <w:tcW w:w="1079" w:type="pct"/>
            <w:shd w:val="clear" w:color="auto" w:fill="auto"/>
          </w:tcPr>
          <w:p w14:paraId="06CEA7BB" w14:textId="77777777" w:rsidR="009845A7" w:rsidRPr="009845A7" w:rsidRDefault="009845A7">
            <w:pPr>
              <w:widowControl w:val="0"/>
              <w:numPr>
                <w:ilvl w:val="0"/>
                <w:numId w:val="49"/>
              </w:numPr>
              <w:autoSpaceDE w:val="0"/>
              <w:autoSpaceDN w:val="0"/>
              <w:spacing w:line="183" w:lineRule="exact"/>
              <w:ind w:left="142" w:firstLine="0"/>
              <w:rPr>
                <w:rFonts w:ascii="Abadi" w:eastAsia="Arial" w:hAnsi="Abadi" w:cs="Arial"/>
                <w:i/>
                <w:iCs/>
                <w:sz w:val="21"/>
                <w:szCs w:val="21"/>
                <w:lang w:val="es-MX" w:eastAsia="en-US"/>
              </w:rPr>
            </w:pPr>
            <w:r w:rsidRPr="009845A7">
              <w:rPr>
                <w:rFonts w:ascii="Abadi" w:eastAsia="Arial" w:hAnsi="Abadi" w:cs="Arial"/>
                <w:i/>
                <w:iCs/>
                <w:spacing w:val="-1"/>
                <w:w w:val="110"/>
                <w:sz w:val="21"/>
                <w:szCs w:val="21"/>
                <w:lang w:val="es-MX" w:eastAsia="en-US"/>
              </w:rPr>
              <w:t>lnmunoglobulina</w:t>
            </w:r>
            <w:r w:rsidRPr="009845A7">
              <w:rPr>
                <w:rFonts w:ascii="Abadi" w:eastAsia="Arial" w:hAnsi="Abadi" w:cs="Arial"/>
                <w:i/>
                <w:iCs/>
                <w:spacing w:val="-12"/>
                <w:w w:val="110"/>
                <w:sz w:val="21"/>
                <w:szCs w:val="21"/>
                <w:lang w:val="es-MX" w:eastAsia="en-US"/>
              </w:rPr>
              <w:t xml:space="preserve"> </w:t>
            </w:r>
            <w:r w:rsidRPr="009845A7">
              <w:rPr>
                <w:rFonts w:ascii="Abadi" w:eastAsia="Arial" w:hAnsi="Abadi" w:cs="Arial"/>
                <w:i/>
                <w:iCs/>
                <w:spacing w:val="-1"/>
                <w:w w:val="110"/>
                <w:sz w:val="21"/>
                <w:szCs w:val="21"/>
                <w:lang w:val="es-MX" w:eastAsia="en-US"/>
              </w:rPr>
              <w:t>IV</w:t>
            </w:r>
          </w:p>
        </w:tc>
        <w:tc>
          <w:tcPr>
            <w:tcW w:w="1470" w:type="pct"/>
            <w:shd w:val="clear" w:color="auto" w:fill="auto"/>
          </w:tcPr>
          <w:p w14:paraId="410572F2" w14:textId="77777777" w:rsidR="009845A7" w:rsidRPr="009845A7" w:rsidRDefault="009845A7">
            <w:pPr>
              <w:widowControl w:val="0"/>
              <w:numPr>
                <w:ilvl w:val="0"/>
                <w:numId w:val="49"/>
              </w:numPr>
              <w:autoSpaceDE w:val="0"/>
              <w:autoSpaceDN w:val="0"/>
              <w:spacing w:line="183" w:lineRule="exact"/>
              <w:ind w:left="450" w:right="400" w:firstLine="0"/>
              <w:jc w:val="center"/>
              <w:rPr>
                <w:rFonts w:ascii="Abadi" w:eastAsia="Arial" w:hAnsi="Abadi" w:cs="Arial"/>
                <w:i/>
                <w:iCs/>
                <w:sz w:val="21"/>
                <w:szCs w:val="21"/>
                <w:lang w:val="es-MX" w:eastAsia="en-US"/>
              </w:rPr>
            </w:pPr>
            <w:r w:rsidRPr="009845A7">
              <w:rPr>
                <w:rFonts w:ascii="Abadi" w:eastAsia="Arial" w:hAnsi="Abadi" w:cs="Arial"/>
                <w:i/>
                <w:iCs/>
                <w:spacing w:val="-1"/>
                <w:w w:val="105"/>
                <w:sz w:val="21"/>
                <w:szCs w:val="21"/>
                <w:lang w:val="es-MX" w:eastAsia="en-US"/>
              </w:rPr>
              <w:t>Falta</w:t>
            </w:r>
            <w:r w:rsidRPr="009845A7">
              <w:rPr>
                <w:rFonts w:ascii="Abadi" w:eastAsia="Arial" w:hAnsi="Abadi" w:cs="Arial"/>
                <w:i/>
                <w:iCs/>
                <w:spacing w:val="2"/>
                <w:w w:val="105"/>
                <w:sz w:val="21"/>
                <w:szCs w:val="21"/>
                <w:lang w:val="es-MX" w:eastAsia="en-US"/>
              </w:rPr>
              <w:t xml:space="preserve"> </w:t>
            </w:r>
            <w:r w:rsidRPr="009845A7">
              <w:rPr>
                <w:rFonts w:ascii="Abadi" w:eastAsia="Arial" w:hAnsi="Abadi" w:cs="Arial"/>
                <w:i/>
                <w:iCs/>
                <w:spacing w:val="-1"/>
                <w:w w:val="105"/>
                <w:sz w:val="21"/>
                <w:szCs w:val="21"/>
                <w:lang w:val="es-MX" w:eastAsia="en-US"/>
              </w:rPr>
              <w:t>de</w:t>
            </w:r>
            <w:r w:rsidRPr="009845A7">
              <w:rPr>
                <w:rFonts w:ascii="Abadi" w:eastAsia="Arial" w:hAnsi="Abadi" w:cs="Arial"/>
                <w:i/>
                <w:iCs/>
                <w:spacing w:val="-14"/>
                <w:w w:val="105"/>
                <w:sz w:val="21"/>
                <w:szCs w:val="21"/>
                <w:lang w:val="es-MX" w:eastAsia="en-US"/>
              </w:rPr>
              <w:t xml:space="preserve"> </w:t>
            </w:r>
            <w:r w:rsidRPr="009845A7">
              <w:rPr>
                <w:rFonts w:ascii="Abadi" w:eastAsia="Arial" w:hAnsi="Abadi" w:cs="Arial"/>
                <w:i/>
                <w:iCs/>
                <w:w w:val="105"/>
                <w:sz w:val="21"/>
                <w:szCs w:val="21"/>
                <w:lang w:val="es-MX" w:eastAsia="en-US"/>
              </w:rPr>
              <w:t>insumos</w:t>
            </w:r>
          </w:p>
        </w:tc>
      </w:tr>
      <w:tr w:rsidR="009845A7" w:rsidRPr="009845A7" w14:paraId="42E644CB" w14:textId="77777777" w:rsidTr="00A45594">
        <w:trPr>
          <w:trHeight w:val="263"/>
        </w:trPr>
        <w:tc>
          <w:tcPr>
            <w:tcW w:w="294" w:type="pct"/>
            <w:shd w:val="clear" w:color="auto" w:fill="auto"/>
          </w:tcPr>
          <w:p w14:paraId="66E5271A" w14:textId="77777777" w:rsidR="009845A7" w:rsidRPr="009845A7" w:rsidRDefault="009845A7">
            <w:pPr>
              <w:widowControl w:val="0"/>
              <w:numPr>
                <w:ilvl w:val="0"/>
                <w:numId w:val="49"/>
              </w:numPr>
              <w:autoSpaceDE w:val="0"/>
              <w:autoSpaceDN w:val="0"/>
              <w:spacing w:before="56" w:line="187" w:lineRule="exact"/>
              <w:ind w:left="63" w:firstLine="0"/>
              <w:jc w:val="center"/>
              <w:rPr>
                <w:rFonts w:ascii="Abadi" w:eastAsia="Arial" w:hAnsi="Abadi" w:cs="Arial"/>
                <w:i/>
                <w:iCs/>
                <w:sz w:val="21"/>
                <w:szCs w:val="21"/>
                <w:lang w:val="es-MX" w:eastAsia="en-US"/>
              </w:rPr>
            </w:pPr>
            <w:r w:rsidRPr="009845A7">
              <w:rPr>
                <w:rFonts w:ascii="Abadi" w:eastAsia="Arial" w:hAnsi="Abadi" w:cs="Arial"/>
                <w:i/>
                <w:iCs/>
                <w:w w:val="105"/>
                <w:sz w:val="21"/>
                <w:szCs w:val="21"/>
                <w:lang w:val="es-MX" w:eastAsia="en-US"/>
              </w:rPr>
              <w:t>6</w:t>
            </w:r>
          </w:p>
        </w:tc>
        <w:tc>
          <w:tcPr>
            <w:tcW w:w="2157" w:type="pct"/>
            <w:shd w:val="clear" w:color="auto" w:fill="auto"/>
          </w:tcPr>
          <w:p w14:paraId="001A00FE" w14:textId="77777777" w:rsidR="009845A7" w:rsidRPr="009845A7" w:rsidRDefault="009845A7">
            <w:pPr>
              <w:widowControl w:val="0"/>
              <w:numPr>
                <w:ilvl w:val="0"/>
                <w:numId w:val="49"/>
              </w:numPr>
              <w:autoSpaceDE w:val="0"/>
              <w:autoSpaceDN w:val="0"/>
              <w:spacing w:before="56" w:line="187" w:lineRule="exact"/>
              <w:ind w:left="92" w:firstLine="0"/>
              <w:rPr>
                <w:rFonts w:ascii="Abadi" w:eastAsia="Arial" w:hAnsi="Abadi" w:cs="Arial"/>
                <w:i/>
                <w:iCs/>
                <w:sz w:val="21"/>
                <w:szCs w:val="21"/>
                <w:lang w:val="es-MX" w:eastAsia="en-US"/>
              </w:rPr>
            </w:pPr>
            <w:r w:rsidRPr="009845A7">
              <w:rPr>
                <w:rFonts w:ascii="Abadi" w:eastAsia="Arial" w:hAnsi="Abadi" w:cs="Arial"/>
                <w:i/>
                <w:iCs/>
                <w:w w:val="105"/>
                <w:sz w:val="21"/>
                <w:szCs w:val="21"/>
                <w:lang w:val="es-MX" w:eastAsia="en-US"/>
              </w:rPr>
              <w:t>Tegeline</w:t>
            </w:r>
            <w:r w:rsidRPr="009845A7">
              <w:rPr>
                <w:rFonts w:ascii="Abadi" w:eastAsia="Arial" w:hAnsi="Abadi" w:cs="Arial"/>
                <w:i/>
                <w:iCs/>
                <w:spacing w:val="14"/>
                <w:w w:val="105"/>
                <w:sz w:val="21"/>
                <w:szCs w:val="21"/>
                <w:lang w:val="es-MX" w:eastAsia="en-US"/>
              </w:rPr>
              <w:t xml:space="preserve"> </w:t>
            </w:r>
            <w:r w:rsidRPr="009845A7">
              <w:rPr>
                <w:rFonts w:ascii="Abadi" w:eastAsia="Arial" w:hAnsi="Abadi" w:cs="Arial"/>
                <w:i/>
                <w:iCs/>
                <w:w w:val="105"/>
                <w:sz w:val="21"/>
                <w:szCs w:val="21"/>
                <w:lang w:val="es-MX" w:eastAsia="en-US"/>
              </w:rPr>
              <w:t>lnmunoglobulina</w:t>
            </w:r>
            <w:r w:rsidRPr="009845A7">
              <w:rPr>
                <w:rFonts w:ascii="Abadi" w:eastAsia="Arial" w:hAnsi="Abadi" w:cs="Arial"/>
                <w:i/>
                <w:iCs/>
                <w:spacing w:val="-7"/>
                <w:w w:val="105"/>
                <w:sz w:val="21"/>
                <w:szCs w:val="21"/>
                <w:lang w:val="es-MX" w:eastAsia="en-US"/>
              </w:rPr>
              <w:t xml:space="preserve"> </w:t>
            </w:r>
            <w:r w:rsidRPr="009845A7">
              <w:rPr>
                <w:rFonts w:ascii="Abadi" w:eastAsia="Arial" w:hAnsi="Abadi" w:cs="Arial"/>
                <w:i/>
                <w:iCs/>
                <w:w w:val="105"/>
                <w:sz w:val="21"/>
                <w:szCs w:val="21"/>
                <w:lang w:val="es-MX" w:eastAsia="en-US"/>
              </w:rPr>
              <w:t>IV</w:t>
            </w:r>
            <w:r w:rsidRPr="009845A7">
              <w:rPr>
                <w:rFonts w:ascii="Abadi" w:eastAsia="Arial" w:hAnsi="Abadi" w:cs="Arial"/>
                <w:i/>
                <w:iCs/>
                <w:spacing w:val="6"/>
                <w:w w:val="105"/>
                <w:sz w:val="21"/>
                <w:szCs w:val="21"/>
                <w:lang w:val="es-MX" w:eastAsia="en-US"/>
              </w:rPr>
              <w:t xml:space="preserve"> </w:t>
            </w:r>
            <w:r w:rsidRPr="009845A7">
              <w:rPr>
                <w:rFonts w:ascii="Abadi" w:eastAsia="Arial" w:hAnsi="Abadi" w:cs="Arial"/>
                <w:i/>
                <w:iCs/>
                <w:w w:val="105"/>
                <w:sz w:val="21"/>
                <w:szCs w:val="21"/>
                <w:lang w:val="es-MX" w:eastAsia="en-US"/>
              </w:rPr>
              <w:t>5</w:t>
            </w:r>
            <w:r w:rsidRPr="009845A7">
              <w:rPr>
                <w:rFonts w:ascii="Abadi" w:eastAsia="Arial" w:hAnsi="Abadi" w:cs="Arial"/>
                <w:i/>
                <w:iCs/>
                <w:spacing w:val="-1"/>
                <w:w w:val="105"/>
                <w:sz w:val="21"/>
                <w:szCs w:val="21"/>
                <w:lang w:val="es-MX" w:eastAsia="en-US"/>
              </w:rPr>
              <w:t xml:space="preserve"> </w:t>
            </w:r>
            <w:r w:rsidRPr="009845A7">
              <w:rPr>
                <w:rFonts w:ascii="Abadi" w:eastAsia="Arial" w:hAnsi="Abadi" w:cs="Arial"/>
                <w:i/>
                <w:iCs/>
                <w:w w:val="105"/>
                <w:sz w:val="21"/>
                <w:szCs w:val="21"/>
                <w:lang w:val="es-MX" w:eastAsia="en-US"/>
              </w:rPr>
              <w:t>g</w:t>
            </w:r>
          </w:p>
        </w:tc>
        <w:tc>
          <w:tcPr>
            <w:tcW w:w="1079" w:type="pct"/>
            <w:shd w:val="clear" w:color="auto" w:fill="auto"/>
          </w:tcPr>
          <w:p w14:paraId="00A4BD03" w14:textId="77777777" w:rsidR="009845A7" w:rsidRPr="009845A7" w:rsidRDefault="009845A7">
            <w:pPr>
              <w:widowControl w:val="0"/>
              <w:numPr>
                <w:ilvl w:val="0"/>
                <w:numId w:val="49"/>
              </w:numPr>
              <w:autoSpaceDE w:val="0"/>
              <w:autoSpaceDN w:val="0"/>
              <w:spacing w:before="56" w:line="187" w:lineRule="exact"/>
              <w:ind w:left="147" w:firstLine="0"/>
              <w:rPr>
                <w:rFonts w:ascii="Abadi" w:eastAsia="Arial" w:hAnsi="Abadi" w:cs="Arial"/>
                <w:i/>
                <w:iCs/>
                <w:sz w:val="21"/>
                <w:szCs w:val="21"/>
                <w:lang w:val="es-MX" w:eastAsia="en-US"/>
              </w:rPr>
            </w:pPr>
            <w:r w:rsidRPr="009845A7">
              <w:rPr>
                <w:rFonts w:ascii="Abadi" w:eastAsia="Arial" w:hAnsi="Abadi" w:cs="Arial"/>
                <w:i/>
                <w:iCs/>
                <w:spacing w:val="-1"/>
                <w:w w:val="110"/>
                <w:sz w:val="21"/>
                <w:szCs w:val="21"/>
                <w:lang w:val="es-MX" w:eastAsia="en-US"/>
              </w:rPr>
              <w:t>lnmunoglobulina</w:t>
            </w:r>
            <w:r w:rsidRPr="009845A7">
              <w:rPr>
                <w:rFonts w:ascii="Abadi" w:eastAsia="Arial" w:hAnsi="Abadi" w:cs="Arial"/>
                <w:i/>
                <w:iCs/>
                <w:spacing w:val="-16"/>
                <w:w w:val="110"/>
                <w:sz w:val="21"/>
                <w:szCs w:val="21"/>
                <w:lang w:val="es-MX" w:eastAsia="en-US"/>
              </w:rPr>
              <w:t xml:space="preserve"> </w:t>
            </w:r>
            <w:r w:rsidRPr="009845A7">
              <w:rPr>
                <w:rFonts w:ascii="Abadi" w:eastAsia="Arial" w:hAnsi="Abadi" w:cs="Arial"/>
                <w:i/>
                <w:iCs/>
                <w:w w:val="110"/>
                <w:sz w:val="21"/>
                <w:szCs w:val="21"/>
                <w:lang w:val="es-MX" w:eastAsia="en-US"/>
              </w:rPr>
              <w:t>IV</w:t>
            </w:r>
          </w:p>
        </w:tc>
        <w:tc>
          <w:tcPr>
            <w:tcW w:w="1470" w:type="pct"/>
            <w:shd w:val="clear" w:color="auto" w:fill="auto"/>
          </w:tcPr>
          <w:p w14:paraId="4AF3BA10" w14:textId="77777777" w:rsidR="009845A7" w:rsidRPr="009845A7" w:rsidRDefault="009845A7">
            <w:pPr>
              <w:widowControl w:val="0"/>
              <w:numPr>
                <w:ilvl w:val="0"/>
                <w:numId w:val="49"/>
              </w:numPr>
              <w:autoSpaceDE w:val="0"/>
              <w:autoSpaceDN w:val="0"/>
              <w:spacing w:before="56" w:line="187" w:lineRule="exact"/>
              <w:ind w:left="453" w:right="398" w:firstLine="0"/>
              <w:jc w:val="center"/>
              <w:rPr>
                <w:rFonts w:ascii="Abadi" w:eastAsia="Arial" w:hAnsi="Abadi" w:cs="Arial"/>
                <w:i/>
                <w:iCs/>
                <w:w w:val="105"/>
                <w:sz w:val="21"/>
                <w:szCs w:val="21"/>
                <w:lang w:val="es-MX" w:eastAsia="en-US"/>
              </w:rPr>
            </w:pPr>
            <w:r w:rsidRPr="009845A7">
              <w:rPr>
                <w:rFonts w:ascii="Abadi" w:eastAsia="Arial" w:hAnsi="Abadi" w:cs="Arial"/>
                <w:i/>
                <w:iCs/>
                <w:w w:val="105"/>
                <w:sz w:val="21"/>
                <w:szCs w:val="21"/>
                <w:lang w:val="es-MX" w:eastAsia="en-US"/>
              </w:rPr>
              <w:t>Falta</w:t>
            </w:r>
            <w:r w:rsidRPr="009845A7">
              <w:rPr>
                <w:rFonts w:ascii="Abadi" w:eastAsia="Arial" w:hAnsi="Abadi" w:cs="Arial"/>
                <w:i/>
                <w:iCs/>
                <w:spacing w:val="-1"/>
                <w:w w:val="105"/>
                <w:sz w:val="21"/>
                <w:szCs w:val="21"/>
                <w:lang w:val="es-MX" w:eastAsia="en-US"/>
              </w:rPr>
              <w:t xml:space="preserve"> </w:t>
            </w:r>
            <w:r w:rsidRPr="009845A7">
              <w:rPr>
                <w:rFonts w:ascii="Abadi" w:eastAsia="Arial" w:hAnsi="Abadi" w:cs="Arial"/>
                <w:i/>
                <w:iCs/>
                <w:w w:val="105"/>
                <w:sz w:val="21"/>
                <w:szCs w:val="21"/>
                <w:lang w:val="es-MX" w:eastAsia="en-US"/>
              </w:rPr>
              <w:t>de</w:t>
            </w:r>
            <w:r w:rsidRPr="009845A7">
              <w:rPr>
                <w:rFonts w:ascii="Abadi" w:eastAsia="Arial" w:hAnsi="Abadi" w:cs="Arial"/>
                <w:i/>
                <w:iCs/>
                <w:spacing w:val="-10"/>
                <w:w w:val="105"/>
                <w:sz w:val="21"/>
                <w:szCs w:val="21"/>
                <w:lang w:val="es-MX" w:eastAsia="en-US"/>
              </w:rPr>
              <w:t xml:space="preserve"> </w:t>
            </w:r>
            <w:r w:rsidRPr="009845A7">
              <w:rPr>
                <w:rFonts w:ascii="Abadi" w:eastAsia="Arial" w:hAnsi="Abadi" w:cs="Arial"/>
                <w:i/>
                <w:iCs/>
                <w:w w:val="105"/>
                <w:sz w:val="21"/>
                <w:szCs w:val="21"/>
                <w:lang w:val="es-MX" w:eastAsia="en-US"/>
              </w:rPr>
              <w:t>insumos</w:t>
            </w:r>
          </w:p>
          <w:p w14:paraId="0335D2D7" w14:textId="77777777" w:rsidR="009845A7" w:rsidRPr="009845A7" w:rsidRDefault="009845A7">
            <w:pPr>
              <w:widowControl w:val="0"/>
              <w:numPr>
                <w:ilvl w:val="0"/>
                <w:numId w:val="49"/>
              </w:numPr>
              <w:autoSpaceDE w:val="0"/>
              <w:autoSpaceDN w:val="0"/>
              <w:spacing w:before="56" w:line="187" w:lineRule="exact"/>
              <w:ind w:left="453" w:right="398" w:firstLine="0"/>
              <w:jc w:val="center"/>
              <w:rPr>
                <w:rFonts w:ascii="Abadi" w:eastAsia="Arial" w:hAnsi="Abadi" w:cs="Arial"/>
                <w:i/>
                <w:iCs/>
                <w:sz w:val="21"/>
                <w:szCs w:val="21"/>
                <w:lang w:val="es-MX" w:eastAsia="en-US"/>
              </w:rPr>
            </w:pPr>
          </w:p>
        </w:tc>
      </w:tr>
      <w:tr w:rsidR="009845A7" w:rsidRPr="009845A7" w14:paraId="79B63833" w14:textId="77777777" w:rsidTr="00A45594">
        <w:trPr>
          <w:trHeight w:val="259"/>
        </w:trPr>
        <w:tc>
          <w:tcPr>
            <w:tcW w:w="294" w:type="pct"/>
            <w:shd w:val="clear" w:color="auto" w:fill="auto"/>
          </w:tcPr>
          <w:p w14:paraId="16E9EC8E" w14:textId="77777777" w:rsidR="009845A7" w:rsidRPr="009845A7" w:rsidRDefault="009845A7">
            <w:pPr>
              <w:widowControl w:val="0"/>
              <w:numPr>
                <w:ilvl w:val="0"/>
                <w:numId w:val="49"/>
              </w:numPr>
              <w:autoSpaceDE w:val="0"/>
              <w:autoSpaceDN w:val="0"/>
              <w:spacing w:before="51" w:line="187" w:lineRule="exact"/>
              <w:ind w:left="60" w:firstLine="0"/>
              <w:jc w:val="center"/>
              <w:rPr>
                <w:rFonts w:ascii="Abadi" w:eastAsia="Arial" w:hAnsi="Abadi" w:cs="Arial"/>
                <w:i/>
                <w:iCs/>
                <w:sz w:val="21"/>
                <w:szCs w:val="21"/>
                <w:lang w:val="es-MX" w:eastAsia="en-US"/>
              </w:rPr>
            </w:pPr>
            <w:r w:rsidRPr="009845A7">
              <w:rPr>
                <w:rFonts w:ascii="Abadi" w:eastAsia="Arial" w:hAnsi="Abadi" w:cs="Arial"/>
                <w:i/>
                <w:iCs/>
                <w:w w:val="105"/>
                <w:sz w:val="21"/>
                <w:szCs w:val="21"/>
                <w:lang w:val="es-MX" w:eastAsia="en-US"/>
              </w:rPr>
              <w:t>7</w:t>
            </w:r>
          </w:p>
        </w:tc>
        <w:tc>
          <w:tcPr>
            <w:tcW w:w="2157" w:type="pct"/>
            <w:shd w:val="clear" w:color="auto" w:fill="auto"/>
          </w:tcPr>
          <w:p w14:paraId="2724AEAC" w14:textId="77777777" w:rsidR="009845A7" w:rsidRPr="009845A7" w:rsidRDefault="009845A7">
            <w:pPr>
              <w:widowControl w:val="0"/>
              <w:numPr>
                <w:ilvl w:val="0"/>
                <w:numId w:val="49"/>
              </w:numPr>
              <w:autoSpaceDE w:val="0"/>
              <w:autoSpaceDN w:val="0"/>
              <w:spacing w:before="51" w:line="187" w:lineRule="exact"/>
              <w:ind w:left="97" w:firstLine="0"/>
              <w:rPr>
                <w:rFonts w:ascii="Abadi" w:eastAsia="Arial" w:hAnsi="Abadi" w:cs="Arial"/>
                <w:i/>
                <w:iCs/>
                <w:sz w:val="21"/>
                <w:szCs w:val="21"/>
                <w:lang w:val="es-MX" w:eastAsia="en-US"/>
              </w:rPr>
            </w:pPr>
            <w:r w:rsidRPr="009845A7">
              <w:rPr>
                <w:rFonts w:ascii="Abadi" w:eastAsia="Arial" w:hAnsi="Abadi" w:cs="Arial"/>
                <w:i/>
                <w:iCs/>
                <w:w w:val="105"/>
                <w:sz w:val="21"/>
                <w:szCs w:val="21"/>
                <w:lang w:val="es-MX" w:eastAsia="en-US"/>
              </w:rPr>
              <w:t>Pred</w:t>
            </w:r>
            <w:r w:rsidRPr="009845A7">
              <w:rPr>
                <w:rFonts w:ascii="Abadi" w:eastAsia="Arial" w:hAnsi="Abadi" w:cs="Arial"/>
                <w:i/>
                <w:iCs/>
                <w:spacing w:val="-10"/>
                <w:w w:val="105"/>
                <w:sz w:val="21"/>
                <w:szCs w:val="21"/>
                <w:lang w:val="es-MX" w:eastAsia="en-US"/>
              </w:rPr>
              <w:t xml:space="preserve"> </w:t>
            </w:r>
            <w:r w:rsidRPr="009845A7">
              <w:rPr>
                <w:rFonts w:ascii="Abadi" w:eastAsia="Arial" w:hAnsi="Abadi" w:cs="Arial"/>
                <w:i/>
                <w:iCs/>
                <w:w w:val="105"/>
                <w:sz w:val="21"/>
                <w:szCs w:val="21"/>
                <w:lang w:val="es-MX" w:eastAsia="en-US"/>
              </w:rPr>
              <w:t>UN</w:t>
            </w:r>
            <w:r w:rsidRPr="009845A7">
              <w:rPr>
                <w:rFonts w:ascii="Abadi" w:eastAsia="Arial" w:hAnsi="Abadi" w:cs="Arial"/>
                <w:i/>
                <w:iCs/>
                <w:spacing w:val="-7"/>
                <w:w w:val="105"/>
                <w:sz w:val="21"/>
                <w:szCs w:val="21"/>
                <w:lang w:val="es-MX" w:eastAsia="en-US"/>
              </w:rPr>
              <w:t xml:space="preserve"> </w:t>
            </w:r>
            <w:r w:rsidRPr="009845A7">
              <w:rPr>
                <w:rFonts w:ascii="Abadi" w:eastAsia="Arial" w:hAnsi="Abadi" w:cs="Arial"/>
                <w:i/>
                <w:iCs/>
                <w:w w:val="105"/>
                <w:sz w:val="21"/>
                <w:szCs w:val="21"/>
                <w:lang w:val="es-MX" w:eastAsia="en-US"/>
              </w:rPr>
              <w:t>Prednisolona</w:t>
            </w:r>
            <w:r w:rsidRPr="009845A7">
              <w:rPr>
                <w:rFonts w:ascii="Abadi" w:eastAsia="Arial" w:hAnsi="Abadi" w:cs="Arial"/>
                <w:i/>
                <w:iCs/>
                <w:spacing w:val="14"/>
                <w:w w:val="105"/>
                <w:sz w:val="21"/>
                <w:szCs w:val="21"/>
                <w:lang w:val="es-MX" w:eastAsia="en-US"/>
              </w:rPr>
              <w:t xml:space="preserve"> </w:t>
            </w:r>
            <w:r w:rsidRPr="009845A7">
              <w:rPr>
                <w:rFonts w:ascii="Abadi" w:eastAsia="Arial" w:hAnsi="Abadi" w:cs="Arial"/>
                <w:i/>
                <w:iCs/>
                <w:w w:val="105"/>
                <w:sz w:val="21"/>
                <w:szCs w:val="21"/>
                <w:lang w:val="es-MX" w:eastAsia="en-US"/>
              </w:rPr>
              <w:t>Ungüento</w:t>
            </w:r>
            <w:r w:rsidRPr="009845A7">
              <w:rPr>
                <w:rFonts w:ascii="Abadi" w:eastAsia="Arial" w:hAnsi="Abadi" w:cs="Arial"/>
                <w:i/>
                <w:iCs/>
                <w:spacing w:val="5"/>
                <w:w w:val="105"/>
                <w:sz w:val="21"/>
                <w:szCs w:val="21"/>
                <w:lang w:val="es-MX" w:eastAsia="en-US"/>
              </w:rPr>
              <w:t xml:space="preserve"> </w:t>
            </w:r>
            <w:r w:rsidRPr="009845A7">
              <w:rPr>
                <w:rFonts w:ascii="Abadi" w:eastAsia="Arial" w:hAnsi="Abadi" w:cs="Arial"/>
                <w:i/>
                <w:iCs/>
                <w:w w:val="105"/>
                <w:sz w:val="21"/>
                <w:szCs w:val="21"/>
                <w:lang w:val="es-MX" w:eastAsia="en-US"/>
              </w:rPr>
              <w:t>3</w:t>
            </w:r>
            <w:r w:rsidRPr="009845A7">
              <w:rPr>
                <w:rFonts w:ascii="Abadi" w:eastAsia="Arial" w:hAnsi="Abadi" w:cs="Arial"/>
                <w:i/>
                <w:iCs/>
                <w:spacing w:val="-9"/>
                <w:w w:val="105"/>
                <w:sz w:val="21"/>
                <w:szCs w:val="21"/>
                <w:lang w:val="es-MX" w:eastAsia="en-US"/>
              </w:rPr>
              <w:t xml:space="preserve"> </w:t>
            </w:r>
            <w:r w:rsidRPr="009845A7">
              <w:rPr>
                <w:rFonts w:ascii="Abadi" w:eastAsia="Arial" w:hAnsi="Abadi" w:cs="Arial"/>
                <w:i/>
                <w:iCs/>
                <w:w w:val="105"/>
                <w:sz w:val="21"/>
                <w:szCs w:val="21"/>
                <w:lang w:val="es-MX" w:eastAsia="en-US"/>
              </w:rPr>
              <w:t>g</w:t>
            </w:r>
          </w:p>
        </w:tc>
        <w:tc>
          <w:tcPr>
            <w:tcW w:w="1079" w:type="pct"/>
            <w:shd w:val="clear" w:color="auto" w:fill="auto"/>
          </w:tcPr>
          <w:p w14:paraId="454DC0F8" w14:textId="77777777" w:rsidR="009845A7" w:rsidRPr="009845A7" w:rsidRDefault="009845A7">
            <w:pPr>
              <w:widowControl w:val="0"/>
              <w:numPr>
                <w:ilvl w:val="0"/>
                <w:numId w:val="49"/>
              </w:numPr>
              <w:autoSpaceDE w:val="0"/>
              <w:autoSpaceDN w:val="0"/>
              <w:spacing w:before="56" w:line="183" w:lineRule="exact"/>
              <w:ind w:left="145" w:firstLine="0"/>
              <w:rPr>
                <w:rFonts w:ascii="Abadi" w:eastAsia="Arial" w:hAnsi="Abadi" w:cs="Arial"/>
                <w:i/>
                <w:iCs/>
                <w:sz w:val="21"/>
                <w:szCs w:val="21"/>
                <w:lang w:val="es-MX" w:eastAsia="en-US"/>
              </w:rPr>
            </w:pPr>
            <w:r w:rsidRPr="009845A7">
              <w:rPr>
                <w:rFonts w:ascii="Abadi" w:eastAsia="Arial" w:hAnsi="Abadi" w:cs="Arial"/>
                <w:i/>
                <w:iCs/>
                <w:w w:val="105"/>
                <w:sz w:val="21"/>
                <w:szCs w:val="21"/>
                <w:lang w:val="es-MX" w:eastAsia="en-US"/>
              </w:rPr>
              <w:t>Prednisolona</w:t>
            </w:r>
          </w:p>
        </w:tc>
        <w:tc>
          <w:tcPr>
            <w:tcW w:w="1470" w:type="pct"/>
            <w:shd w:val="clear" w:color="auto" w:fill="auto"/>
          </w:tcPr>
          <w:p w14:paraId="52F0C4AE" w14:textId="77777777" w:rsidR="009845A7" w:rsidRPr="009845A7" w:rsidRDefault="009845A7">
            <w:pPr>
              <w:widowControl w:val="0"/>
              <w:numPr>
                <w:ilvl w:val="0"/>
                <w:numId w:val="49"/>
              </w:numPr>
              <w:autoSpaceDE w:val="0"/>
              <w:autoSpaceDN w:val="0"/>
              <w:spacing w:before="56" w:line="183" w:lineRule="exact"/>
              <w:ind w:left="453" w:right="398" w:firstLine="0"/>
              <w:jc w:val="center"/>
              <w:rPr>
                <w:rFonts w:ascii="Abadi" w:eastAsia="Arial" w:hAnsi="Abadi" w:cs="Arial"/>
                <w:i/>
                <w:iCs/>
                <w:sz w:val="21"/>
                <w:szCs w:val="21"/>
                <w:lang w:val="es-MX" w:eastAsia="en-US"/>
              </w:rPr>
            </w:pPr>
            <w:r w:rsidRPr="009845A7">
              <w:rPr>
                <w:rFonts w:ascii="Abadi" w:eastAsia="Arial" w:hAnsi="Abadi" w:cs="Arial"/>
                <w:i/>
                <w:iCs/>
                <w:w w:val="105"/>
                <w:sz w:val="21"/>
                <w:szCs w:val="21"/>
                <w:lang w:val="es-MX" w:eastAsia="en-US"/>
              </w:rPr>
              <w:t>Falta</w:t>
            </w:r>
            <w:r w:rsidRPr="009845A7">
              <w:rPr>
                <w:rFonts w:ascii="Abadi" w:eastAsia="Arial" w:hAnsi="Abadi" w:cs="Arial"/>
                <w:i/>
                <w:iCs/>
                <w:spacing w:val="2"/>
                <w:w w:val="105"/>
                <w:sz w:val="21"/>
                <w:szCs w:val="21"/>
                <w:lang w:val="es-MX" w:eastAsia="en-US"/>
              </w:rPr>
              <w:t xml:space="preserve"> </w:t>
            </w:r>
            <w:r w:rsidRPr="009845A7">
              <w:rPr>
                <w:rFonts w:ascii="Abadi" w:eastAsia="Arial" w:hAnsi="Abadi" w:cs="Arial"/>
                <w:i/>
                <w:iCs/>
                <w:w w:val="105"/>
                <w:sz w:val="21"/>
                <w:szCs w:val="21"/>
                <w:lang w:val="es-MX" w:eastAsia="en-US"/>
              </w:rPr>
              <w:t>de</w:t>
            </w:r>
            <w:r w:rsidRPr="009845A7">
              <w:rPr>
                <w:rFonts w:ascii="Abadi" w:eastAsia="Arial" w:hAnsi="Abadi" w:cs="Arial"/>
                <w:i/>
                <w:iCs/>
                <w:spacing w:val="-11"/>
                <w:w w:val="105"/>
                <w:sz w:val="21"/>
                <w:szCs w:val="21"/>
                <w:lang w:val="es-MX" w:eastAsia="en-US"/>
              </w:rPr>
              <w:t xml:space="preserve"> </w:t>
            </w:r>
            <w:r w:rsidRPr="009845A7">
              <w:rPr>
                <w:rFonts w:ascii="Abadi" w:eastAsia="Arial" w:hAnsi="Abadi" w:cs="Arial"/>
                <w:i/>
                <w:iCs/>
                <w:w w:val="105"/>
                <w:sz w:val="21"/>
                <w:szCs w:val="21"/>
                <w:lang w:val="es-MX" w:eastAsia="en-US"/>
              </w:rPr>
              <w:t>insumos</w:t>
            </w:r>
          </w:p>
        </w:tc>
      </w:tr>
      <w:tr w:rsidR="009845A7" w:rsidRPr="009845A7" w14:paraId="75CF2C54" w14:textId="77777777" w:rsidTr="00A45594">
        <w:trPr>
          <w:trHeight w:val="259"/>
        </w:trPr>
        <w:tc>
          <w:tcPr>
            <w:tcW w:w="294" w:type="pct"/>
            <w:shd w:val="clear" w:color="auto" w:fill="auto"/>
          </w:tcPr>
          <w:p w14:paraId="5E96F96E" w14:textId="77777777" w:rsidR="009845A7" w:rsidRPr="009845A7" w:rsidRDefault="009845A7">
            <w:pPr>
              <w:widowControl w:val="0"/>
              <w:numPr>
                <w:ilvl w:val="0"/>
                <w:numId w:val="49"/>
              </w:numPr>
              <w:autoSpaceDE w:val="0"/>
              <w:autoSpaceDN w:val="0"/>
              <w:spacing w:before="51" w:line="187" w:lineRule="exact"/>
              <w:ind w:left="52" w:firstLine="0"/>
              <w:jc w:val="center"/>
              <w:rPr>
                <w:rFonts w:ascii="Abadi" w:eastAsia="Arial" w:hAnsi="Abadi" w:cs="Arial"/>
                <w:i/>
                <w:iCs/>
                <w:sz w:val="21"/>
                <w:szCs w:val="21"/>
                <w:lang w:val="es-MX" w:eastAsia="en-US"/>
              </w:rPr>
            </w:pPr>
            <w:r w:rsidRPr="009845A7">
              <w:rPr>
                <w:rFonts w:ascii="Abadi" w:eastAsia="Arial" w:hAnsi="Abadi" w:cs="Arial"/>
                <w:i/>
                <w:iCs/>
                <w:w w:val="105"/>
                <w:sz w:val="21"/>
                <w:szCs w:val="21"/>
                <w:lang w:val="es-MX" w:eastAsia="en-US"/>
              </w:rPr>
              <w:t>8</w:t>
            </w:r>
          </w:p>
        </w:tc>
        <w:tc>
          <w:tcPr>
            <w:tcW w:w="2157" w:type="pct"/>
            <w:shd w:val="clear" w:color="auto" w:fill="auto"/>
          </w:tcPr>
          <w:p w14:paraId="60EBE95E" w14:textId="77777777" w:rsidR="009845A7" w:rsidRPr="009845A7" w:rsidRDefault="009845A7">
            <w:pPr>
              <w:widowControl w:val="0"/>
              <w:numPr>
                <w:ilvl w:val="0"/>
                <w:numId w:val="49"/>
              </w:numPr>
              <w:autoSpaceDE w:val="0"/>
              <w:autoSpaceDN w:val="0"/>
              <w:spacing w:before="51" w:line="187" w:lineRule="exact"/>
              <w:ind w:left="97" w:firstLine="0"/>
              <w:rPr>
                <w:rFonts w:ascii="Abadi" w:eastAsia="Arial" w:hAnsi="Abadi" w:cs="Arial"/>
                <w:i/>
                <w:iCs/>
                <w:sz w:val="21"/>
                <w:szCs w:val="21"/>
                <w:lang w:val="es-MX" w:eastAsia="en-US"/>
              </w:rPr>
            </w:pPr>
            <w:r w:rsidRPr="009845A7">
              <w:rPr>
                <w:rFonts w:ascii="Abadi" w:eastAsia="Arial" w:hAnsi="Abadi" w:cs="Arial"/>
                <w:i/>
                <w:iCs/>
                <w:spacing w:val="-1"/>
                <w:w w:val="105"/>
                <w:sz w:val="21"/>
                <w:szCs w:val="21"/>
                <w:lang w:val="es-MX" w:eastAsia="en-US"/>
              </w:rPr>
              <w:t>Dalacin</w:t>
            </w:r>
            <w:r w:rsidRPr="009845A7">
              <w:rPr>
                <w:rFonts w:ascii="Abadi" w:eastAsia="Arial" w:hAnsi="Abadi" w:cs="Arial"/>
                <w:i/>
                <w:iCs/>
                <w:spacing w:val="-7"/>
                <w:w w:val="105"/>
                <w:sz w:val="21"/>
                <w:szCs w:val="21"/>
                <w:lang w:val="es-MX" w:eastAsia="en-US"/>
              </w:rPr>
              <w:t xml:space="preserve"> </w:t>
            </w:r>
            <w:r w:rsidRPr="009845A7">
              <w:rPr>
                <w:rFonts w:ascii="Abadi" w:eastAsia="Arial" w:hAnsi="Abadi" w:cs="Arial"/>
                <w:i/>
                <w:iCs/>
                <w:spacing w:val="-1"/>
                <w:w w:val="105"/>
                <w:sz w:val="21"/>
                <w:szCs w:val="21"/>
                <w:lang w:val="es-MX" w:eastAsia="en-US"/>
              </w:rPr>
              <w:t>C</w:t>
            </w:r>
            <w:r w:rsidRPr="009845A7">
              <w:rPr>
                <w:rFonts w:ascii="Abadi" w:eastAsia="Arial" w:hAnsi="Abadi" w:cs="Arial"/>
                <w:i/>
                <w:iCs/>
                <w:spacing w:val="-11"/>
                <w:w w:val="105"/>
                <w:sz w:val="21"/>
                <w:szCs w:val="21"/>
                <w:lang w:val="es-MX" w:eastAsia="en-US"/>
              </w:rPr>
              <w:t xml:space="preserve"> </w:t>
            </w:r>
            <w:r w:rsidRPr="009845A7">
              <w:rPr>
                <w:rFonts w:ascii="Abadi" w:eastAsia="Arial" w:hAnsi="Abadi" w:cs="Arial"/>
                <w:i/>
                <w:iCs/>
                <w:w w:val="105"/>
                <w:sz w:val="21"/>
                <w:szCs w:val="21"/>
                <w:lang w:val="es-MX" w:eastAsia="en-US"/>
              </w:rPr>
              <w:t>900</w:t>
            </w:r>
            <w:r w:rsidRPr="009845A7">
              <w:rPr>
                <w:rFonts w:ascii="Abadi" w:eastAsia="Arial" w:hAnsi="Abadi" w:cs="Arial"/>
                <w:i/>
                <w:iCs/>
                <w:spacing w:val="-12"/>
                <w:w w:val="105"/>
                <w:sz w:val="21"/>
                <w:szCs w:val="21"/>
                <w:lang w:val="es-MX" w:eastAsia="en-US"/>
              </w:rPr>
              <w:t xml:space="preserve"> </w:t>
            </w:r>
            <w:r w:rsidRPr="009845A7">
              <w:rPr>
                <w:rFonts w:ascii="Abadi" w:eastAsia="Arial" w:hAnsi="Abadi" w:cs="Arial"/>
                <w:i/>
                <w:iCs/>
                <w:w w:val="105"/>
                <w:sz w:val="21"/>
                <w:szCs w:val="21"/>
                <w:lang w:val="es-MX" w:eastAsia="en-US"/>
              </w:rPr>
              <w:t>mg</w:t>
            </w:r>
            <w:r w:rsidRPr="009845A7">
              <w:rPr>
                <w:rFonts w:ascii="Abadi" w:eastAsia="Arial" w:hAnsi="Abadi" w:cs="Arial"/>
                <w:i/>
                <w:iCs/>
                <w:spacing w:val="-8"/>
                <w:w w:val="105"/>
                <w:sz w:val="21"/>
                <w:szCs w:val="21"/>
                <w:lang w:val="es-MX" w:eastAsia="en-US"/>
              </w:rPr>
              <w:t xml:space="preserve"> </w:t>
            </w:r>
            <w:r w:rsidRPr="009845A7">
              <w:rPr>
                <w:rFonts w:ascii="Abadi" w:eastAsia="Arial" w:hAnsi="Abadi" w:cs="Arial"/>
                <w:i/>
                <w:iCs/>
                <w:w w:val="105"/>
                <w:sz w:val="21"/>
                <w:szCs w:val="21"/>
                <w:lang w:val="es-MX" w:eastAsia="en-US"/>
              </w:rPr>
              <w:t>Rtu</w:t>
            </w:r>
          </w:p>
        </w:tc>
        <w:tc>
          <w:tcPr>
            <w:tcW w:w="1079" w:type="pct"/>
            <w:shd w:val="clear" w:color="auto" w:fill="auto"/>
          </w:tcPr>
          <w:p w14:paraId="5564B761" w14:textId="77777777" w:rsidR="009845A7" w:rsidRPr="009845A7" w:rsidRDefault="009845A7">
            <w:pPr>
              <w:widowControl w:val="0"/>
              <w:numPr>
                <w:ilvl w:val="0"/>
                <w:numId w:val="49"/>
              </w:numPr>
              <w:autoSpaceDE w:val="0"/>
              <w:autoSpaceDN w:val="0"/>
              <w:spacing w:before="51" w:line="187" w:lineRule="exact"/>
              <w:ind w:left="140" w:firstLine="0"/>
              <w:rPr>
                <w:rFonts w:ascii="Abadi" w:eastAsia="Arial" w:hAnsi="Abadi" w:cs="Arial"/>
                <w:i/>
                <w:iCs/>
                <w:sz w:val="21"/>
                <w:szCs w:val="21"/>
                <w:lang w:val="es-MX" w:eastAsia="en-US"/>
              </w:rPr>
            </w:pPr>
            <w:r w:rsidRPr="009845A7">
              <w:rPr>
                <w:rFonts w:ascii="Abadi" w:eastAsia="Arial" w:hAnsi="Abadi" w:cs="Arial"/>
                <w:i/>
                <w:iCs/>
                <w:w w:val="105"/>
                <w:sz w:val="21"/>
                <w:szCs w:val="21"/>
                <w:lang w:val="es-MX" w:eastAsia="en-US"/>
              </w:rPr>
              <w:t>Clindamicina</w:t>
            </w:r>
          </w:p>
        </w:tc>
        <w:tc>
          <w:tcPr>
            <w:tcW w:w="1470" w:type="pct"/>
            <w:shd w:val="clear" w:color="auto" w:fill="auto"/>
          </w:tcPr>
          <w:p w14:paraId="13DBE439" w14:textId="77777777" w:rsidR="009845A7" w:rsidRPr="009845A7" w:rsidRDefault="009845A7">
            <w:pPr>
              <w:widowControl w:val="0"/>
              <w:numPr>
                <w:ilvl w:val="0"/>
                <w:numId w:val="49"/>
              </w:numPr>
              <w:autoSpaceDE w:val="0"/>
              <w:autoSpaceDN w:val="0"/>
              <w:spacing w:before="56" w:line="183" w:lineRule="exact"/>
              <w:ind w:left="443" w:right="400" w:firstLine="0"/>
              <w:jc w:val="center"/>
              <w:rPr>
                <w:rFonts w:ascii="Abadi" w:eastAsia="Arial" w:hAnsi="Abadi" w:cs="Arial"/>
                <w:i/>
                <w:iCs/>
                <w:sz w:val="21"/>
                <w:szCs w:val="21"/>
                <w:lang w:val="es-MX" w:eastAsia="en-US"/>
              </w:rPr>
            </w:pPr>
            <w:r w:rsidRPr="009845A7">
              <w:rPr>
                <w:rFonts w:ascii="Abadi" w:eastAsia="Arial" w:hAnsi="Abadi" w:cs="Arial"/>
                <w:i/>
                <w:iCs/>
                <w:w w:val="105"/>
                <w:sz w:val="21"/>
                <w:szCs w:val="21"/>
                <w:lang w:val="es-MX" w:eastAsia="en-US"/>
              </w:rPr>
              <w:t>Descontinuado</w:t>
            </w:r>
          </w:p>
        </w:tc>
      </w:tr>
      <w:tr w:rsidR="009845A7" w:rsidRPr="009845A7" w14:paraId="0111D512" w14:textId="77777777" w:rsidTr="00A45594">
        <w:trPr>
          <w:trHeight w:val="268"/>
        </w:trPr>
        <w:tc>
          <w:tcPr>
            <w:tcW w:w="294" w:type="pct"/>
            <w:shd w:val="clear" w:color="auto" w:fill="auto"/>
          </w:tcPr>
          <w:p w14:paraId="27E4999D" w14:textId="77777777" w:rsidR="009845A7" w:rsidRPr="009845A7" w:rsidRDefault="009845A7">
            <w:pPr>
              <w:widowControl w:val="0"/>
              <w:numPr>
                <w:ilvl w:val="0"/>
                <w:numId w:val="49"/>
              </w:numPr>
              <w:autoSpaceDE w:val="0"/>
              <w:autoSpaceDN w:val="0"/>
              <w:spacing w:before="56" w:line="192" w:lineRule="exact"/>
              <w:ind w:left="52" w:firstLine="0"/>
              <w:jc w:val="center"/>
              <w:rPr>
                <w:rFonts w:ascii="Abadi" w:eastAsia="Arial" w:hAnsi="Abadi" w:cs="Arial"/>
                <w:i/>
                <w:iCs/>
                <w:sz w:val="21"/>
                <w:szCs w:val="21"/>
                <w:lang w:val="es-MX" w:eastAsia="en-US"/>
              </w:rPr>
            </w:pPr>
            <w:r w:rsidRPr="009845A7">
              <w:rPr>
                <w:rFonts w:ascii="Abadi" w:eastAsia="Arial" w:hAnsi="Abadi" w:cs="Arial"/>
                <w:i/>
                <w:iCs/>
                <w:w w:val="105"/>
                <w:sz w:val="21"/>
                <w:szCs w:val="21"/>
                <w:lang w:val="es-MX" w:eastAsia="en-US"/>
              </w:rPr>
              <w:t>9</w:t>
            </w:r>
          </w:p>
        </w:tc>
        <w:tc>
          <w:tcPr>
            <w:tcW w:w="2157" w:type="pct"/>
            <w:shd w:val="clear" w:color="auto" w:fill="auto"/>
          </w:tcPr>
          <w:p w14:paraId="07E5E2B2" w14:textId="77777777" w:rsidR="009845A7" w:rsidRPr="009845A7" w:rsidRDefault="009845A7">
            <w:pPr>
              <w:widowControl w:val="0"/>
              <w:numPr>
                <w:ilvl w:val="0"/>
                <w:numId w:val="49"/>
              </w:numPr>
              <w:autoSpaceDE w:val="0"/>
              <w:autoSpaceDN w:val="0"/>
              <w:spacing w:before="56" w:line="192" w:lineRule="exact"/>
              <w:ind w:left="92" w:firstLine="0"/>
              <w:rPr>
                <w:rFonts w:ascii="Abadi" w:eastAsia="Arial" w:hAnsi="Abadi" w:cs="Arial"/>
                <w:i/>
                <w:iCs/>
                <w:sz w:val="21"/>
                <w:szCs w:val="21"/>
                <w:lang w:val="es-MX" w:eastAsia="en-US"/>
              </w:rPr>
            </w:pPr>
            <w:r w:rsidRPr="009845A7">
              <w:rPr>
                <w:rFonts w:ascii="Abadi" w:eastAsia="Arial" w:hAnsi="Abadi" w:cs="Arial"/>
                <w:i/>
                <w:iCs/>
                <w:w w:val="105"/>
                <w:sz w:val="21"/>
                <w:szCs w:val="21"/>
                <w:lang w:val="es-MX" w:eastAsia="en-US"/>
              </w:rPr>
              <w:t>Chlorotrimeton Ampules</w:t>
            </w:r>
            <w:r w:rsidRPr="009845A7">
              <w:rPr>
                <w:rFonts w:ascii="Abadi" w:eastAsia="Arial" w:hAnsi="Abadi" w:cs="Arial"/>
                <w:i/>
                <w:iCs/>
                <w:spacing w:val="21"/>
                <w:w w:val="105"/>
                <w:sz w:val="21"/>
                <w:szCs w:val="21"/>
                <w:lang w:val="es-MX" w:eastAsia="en-US"/>
              </w:rPr>
              <w:t xml:space="preserve"> </w:t>
            </w:r>
            <w:r w:rsidRPr="009845A7">
              <w:rPr>
                <w:rFonts w:ascii="Abadi" w:eastAsia="Arial" w:hAnsi="Abadi" w:cs="Arial"/>
                <w:i/>
                <w:iCs/>
                <w:w w:val="105"/>
                <w:sz w:val="21"/>
                <w:szCs w:val="21"/>
                <w:lang w:val="es-MX" w:eastAsia="en-US"/>
              </w:rPr>
              <w:t>10</w:t>
            </w:r>
            <w:r w:rsidRPr="009845A7">
              <w:rPr>
                <w:rFonts w:ascii="Abadi" w:eastAsia="Arial" w:hAnsi="Abadi" w:cs="Arial"/>
                <w:i/>
                <w:iCs/>
                <w:spacing w:val="4"/>
                <w:w w:val="105"/>
                <w:sz w:val="21"/>
                <w:szCs w:val="21"/>
                <w:lang w:val="es-MX" w:eastAsia="en-US"/>
              </w:rPr>
              <w:t xml:space="preserve"> </w:t>
            </w:r>
            <w:r w:rsidRPr="009845A7">
              <w:rPr>
                <w:rFonts w:ascii="Abadi" w:eastAsia="Arial" w:hAnsi="Abadi" w:cs="Arial"/>
                <w:i/>
                <w:iCs/>
                <w:w w:val="105"/>
                <w:sz w:val="21"/>
                <w:szCs w:val="21"/>
                <w:lang w:val="es-MX" w:eastAsia="en-US"/>
              </w:rPr>
              <w:t>mg</w:t>
            </w:r>
            <w:r w:rsidRPr="009845A7">
              <w:rPr>
                <w:rFonts w:ascii="Abadi" w:eastAsia="Arial" w:hAnsi="Abadi" w:cs="Arial"/>
                <w:i/>
                <w:iCs/>
                <w:spacing w:val="-2"/>
                <w:w w:val="105"/>
                <w:sz w:val="21"/>
                <w:szCs w:val="21"/>
                <w:lang w:val="es-MX" w:eastAsia="en-US"/>
              </w:rPr>
              <w:t xml:space="preserve"> </w:t>
            </w:r>
            <w:r w:rsidRPr="009845A7">
              <w:rPr>
                <w:rFonts w:ascii="Abadi" w:eastAsia="Arial" w:hAnsi="Abadi" w:cs="Arial"/>
                <w:i/>
                <w:iCs/>
                <w:w w:val="105"/>
                <w:sz w:val="21"/>
                <w:szCs w:val="21"/>
                <w:lang w:val="es-MX" w:eastAsia="en-US"/>
              </w:rPr>
              <w:t>X5</w:t>
            </w:r>
          </w:p>
        </w:tc>
        <w:tc>
          <w:tcPr>
            <w:tcW w:w="1079" w:type="pct"/>
            <w:shd w:val="clear" w:color="auto" w:fill="auto"/>
          </w:tcPr>
          <w:p w14:paraId="19368528" w14:textId="77777777" w:rsidR="009845A7" w:rsidRPr="009845A7" w:rsidRDefault="009845A7">
            <w:pPr>
              <w:widowControl w:val="0"/>
              <w:numPr>
                <w:ilvl w:val="0"/>
                <w:numId w:val="49"/>
              </w:numPr>
              <w:autoSpaceDE w:val="0"/>
              <w:autoSpaceDN w:val="0"/>
              <w:spacing w:before="56" w:line="192" w:lineRule="exact"/>
              <w:ind w:left="140" w:firstLine="0"/>
              <w:rPr>
                <w:rFonts w:ascii="Abadi" w:eastAsia="Arial" w:hAnsi="Abadi" w:cs="Arial"/>
                <w:i/>
                <w:iCs/>
                <w:sz w:val="21"/>
                <w:szCs w:val="21"/>
                <w:lang w:val="es-MX" w:eastAsia="en-US"/>
              </w:rPr>
            </w:pPr>
            <w:r w:rsidRPr="009845A7">
              <w:rPr>
                <w:rFonts w:ascii="Abadi" w:eastAsia="Arial" w:hAnsi="Abadi" w:cs="Arial"/>
                <w:i/>
                <w:iCs/>
                <w:w w:val="110"/>
                <w:sz w:val="21"/>
                <w:szCs w:val="21"/>
                <w:lang w:val="es-MX" w:eastAsia="en-US"/>
              </w:rPr>
              <w:t>Clorfeniramina</w:t>
            </w:r>
          </w:p>
        </w:tc>
        <w:tc>
          <w:tcPr>
            <w:tcW w:w="1470" w:type="pct"/>
            <w:shd w:val="clear" w:color="auto" w:fill="auto"/>
          </w:tcPr>
          <w:p w14:paraId="5B9F15BD" w14:textId="77777777" w:rsidR="009845A7" w:rsidRPr="009845A7" w:rsidRDefault="009845A7">
            <w:pPr>
              <w:widowControl w:val="0"/>
              <w:numPr>
                <w:ilvl w:val="0"/>
                <w:numId w:val="49"/>
              </w:numPr>
              <w:autoSpaceDE w:val="0"/>
              <w:autoSpaceDN w:val="0"/>
              <w:spacing w:before="61" w:line="187" w:lineRule="exact"/>
              <w:ind w:left="443" w:right="400" w:firstLine="0"/>
              <w:jc w:val="center"/>
              <w:rPr>
                <w:rFonts w:ascii="Abadi" w:eastAsia="Arial" w:hAnsi="Abadi" w:cs="Arial"/>
                <w:i/>
                <w:iCs/>
                <w:sz w:val="21"/>
                <w:szCs w:val="21"/>
                <w:lang w:val="es-MX" w:eastAsia="en-US"/>
              </w:rPr>
            </w:pPr>
            <w:r w:rsidRPr="009845A7">
              <w:rPr>
                <w:rFonts w:ascii="Abadi" w:eastAsia="Arial" w:hAnsi="Abadi" w:cs="Arial"/>
                <w:i/>
                <w:iCs/>
                <w:w w:val="105"/>
                <w:sz w:val="21"/>
                <w:szCs w:val="21"/>
                <w:lang w:val="es-MX" w:eastAsia="en-US"/>
              </w:rPr>
              <w:t>Descontinuado</w:t>
            </w:r>
          </w:p>
        </w:tc>
      </w:tr>
      <w:tr w:rsidR="009845A7" w:rsidRPr="009845A7" w14:paraId="4A52184F" w14:textId="77777777" w:rsidTr="00A45594">
        <w:trPr>
          <w:trHeight w:val="259"/>
        </w:trPr>
        <w:tc>
          <w:tcPr>
            <w:tcW w:w="294" w:type="pct"/>
            <w:shd w:val="clear" w:color="auto" w:fill="auto"/>
          </w:tcPr>
          <w:p w14:paraId="2427CC1D" w14:textId="77777777" w:rsidR="009845A7" w:rsidRPr="009845A7" w:rsidRDefault="009845A7">
            <w:pPr>
              <w:widowControl w:val="0"/>
              <w:numPr>
                <w:ilvl w:val="0"/>
                <w:numId w:val="49"/>
              </w:numPr>
              <w:autoSpaceDE w:val="0"/>
              <w:autoSpaceDN w:val="0"/>
              <w:spacing w:before="29" w:line="210" w:lineRule="exact"/>
              <w:ind w:left="76" w:right="7" w:firstLine="0"/>
              <w:jc w:val="center"/>
              <w:rPr>
                <w:rFonts w:ascii="Abadi" w:eastAsia="Arial" w:hAnsi="Abadi" w:cs="Arial"/>
                <w:bCs/>
                <w:i/>
                <w:iCs/>
                <w:sz w:val="21"/>
                <w:szCs w:val="21"/>
                <w:lang w:val="es-MX" w:eastAsia="en-US"/>
              </w:rPr>
            </w:pPr>
            <w:r w:rsidRPr="009845A7">
              <w:rPr>
                <w:rFonts w:ascii="Abadi" w:eastAsia="Arial" w:hAnsi="Abadi" w:cs="Arial"/>
                <w:bCs/>
                <w:i/>
                <w:iCs/>
                <w:w w:val="110"/>
                <w:sz w:val="21"/>
                <w:szCs w:val="21"/>
                <w:lang w:val="es-MX" w:eastAsia="en-US"/>
              </w:rPr>
              <w:t>10</w:t>
            </w:r>
          </w:p>
        </w:tc>
        <w:tc>
          <w:tcPr>
            <w:tcW w:w="2157" w:type="pct"/>
            <w:shd w:val="clear" w:color="auto" w:fill="auto"/>
          </w:tcPr>
          <w:p w14:paraId="25CE2D55" w14:textId="77777777" w:rsidR="009845A7" w:rsidRPr="009845A7" w:rsidRDefault="009845A7">
            <w:pPr>
              <w:widowControl w:val="0"/>
              <w:numPr>
                <w:ilvl w:val="0"/>
                <w:numId w:val="49"/>
              </w:numPr>
              <w:autoSpaceDE w:val="0"/>
              <w:autoSpaceDN w:val="0"/>
              <w:spacing w:before="47" w:line="192" w:lineRule="exact"/>
              <w:ind w:left="99" w:firstLine="0"/>
              <w:rPr>
                <w:rFonts w:ascii="Abadi" w:eastAsia="Arial" w:hAnsi="Abadi" w:cs="Arial"/>
                <w:bCs/>
                <w:i/>
                <w:iCs/>
                <w:sz w:val="21"/>
                <w:szCs w:val="21"/>
                <w:lang w:val="es-MX" w:eastAsia="en-US"/>
              </w:rPr>
            </w:pPr>
            <w:r w:rsidRPr="009845A7">
              <w:rPr>
                <w:rFonts w:ascii="Abadi" w:eastAsia="Arial" w:hAnsi="Abadi" w:cs="Arial"/>
                <w:bCs/>
                <w:i/>
                <w:iCs/>
                <w:w w:val="105"/>
                <w:sz w:val="21"/>
                <w:szCs w:val="21"/>
                <w:lang w:val="es-MX" w:eastAsia="en-US"/>
              </w:rPr>
              <w:t>lntal</w:t>
            </w:r>
            <w:r w:rsidRPr="009845A7">
              <w:rPr>
                <w:rFonts w:ascii="Abadi" w:eastAsia="Arial" w:hAnsi="Abadi" w:cs="Arial"/>
                <w:bCs/>
                <w:i/>
                <w:iCs/>
                <w:spacing w:val="-5"/>
                <w:w w:val="105"/>
                <w:sz w:val="21"/>
                <w:szCs w:val="21"/>
                <w:lang w:val="es-MX" w:eastAsia="en-US"/>
              </w:rPr>
              <w:t xml:space="preserve"> </w:t>
            </w:r>
            <w:r w:rsidRPr="009845A7">
              <w:rPr>
                <w:rFonts w:ascii="Abadi" w:eastAsia="Arial" w:hAnsi="Abadi" w:cs="Arial"/>
                <w:bCs/>
                <w:i/>
                <w:iCs/>
                <w:w w:val="105"/>
                <w:sz w:val="21"/>
                <w:szCs w:val="21"/>
                <w:lang w:val="es-MX" w:eastAsia="en-US"/>
              </w:rPr>
              <w:t>5</w:t>
            </w:r>
            <w:r w:rsidRPr="009845A7">
              <w:rPr>
                <w:rFonts w:ascii="Abadi" w:eastAsia="Arial" w:hAnsi="Abadi" w:cs="Arial"/>
                <w:bCs/>
                <w:i/>
                <w:iCs/>
                <w:spacing w:val="7"/>
                <w:w w:val="105"/>
                <w:sz w:val="21"/>
                <w:szCs w:val="21"/>
                <w:lang w:val="es-MX" w:eastAsia="en-US"/>
              </w:rPr>
              <w:t xml:space="preserve"> </w:t>
            </w:r>
            <w:r w:rsidRPr="009845A7">
              <w:rPr>
                <w:rFonts w:ascii="Abadi" w:eastAsia="Arial" w:hAnsi="Abadi" w:cs="Arial"/>
                <w:bCs/>
                <w:i/>
                <w:iCs/>
                <w:w w:val="105"/>
                <w:sz w:val="21"/>
                <w:szCs w:val="21"/>
                <w:lang w:val="es-MX" w:eastAsia="en-US"/>
              </w:rPr>
              <w:t>Aerosol</w:t>
            </w:r>
            <w:r w:rsidRPr="009845A7">
              <w:rPr>
                <w:rFonts w:ascii="Abadi" w:eastAsia="Arial" w:hAnsi="Abadi" w:cs="Arial"/>
                <w:bCs/>
                <w:i/>
                <w:iCs/>
                <w:spacing w:val="5"/>
                <w:w w:val="105"/>
                <w:sz w:val="21"/>
                <w:szCs w:val="21"/>
                <w:lang w:val="es-MX" w:eastAsia="en-US"/>
              </w:rPr>
              <w:t xml:space="preserve"> </w:t>
            </w:r>
            <w:r w:rsidRPr="009845A7">
              <w:rPr>
                <w:rFonts w:ascii="Abadi" w:eastAsia="Arial" w:hAnsi="Abadi" w:cs="Arial"/>
                <w:bCs/>
                <w:i/>
                <w:iCs/>
                <w:w w:val="105"/>
                <w:sz w:val="21"/>
                <w:szCs w:val="21"/>
                <w:lang w:val="es-MX" w:eastAsia="en-US"/>
              </w:rPr>
              <w:t>112</w:t>
            </w:r>
            <w:r w:rsidRPr="009845A7">
              <w:rPr>
                <w:rFonts w:ascii="Abadi" w:eastAsia="Arial" w:hAnsi="Abadi" w:cs="Arial"/>
                <w:bCs/>
                <w:i/>
                <w:iCs/>
                <w:spacing w:val="3"/>
                <w:w w:val="105"/>
                <w:sz w:val="21"/>
                <w:szCs w:val="21"/>
                <w:lang w:val="es-MX" w:eastAsia="en-US"/>
              </w:rPr>
              <w:t xml:space="preserve"> </w:t>
            </w:r>
            <w:r w:rsidRPr="009845A7">
              <w:rPr>
                <w:rFonts w:ascii="Abadi" w:eastAsia="Arial" w:hAnsi="Abadi" w:cs="Arial"/>
                <w:bCs/>
                <w:i/>
                <w:iCs/>
                <w:w w:val="105"/>
                <w:sz w:val="21"/>
                <w:szCs w:val="21"/>
                <w:lang w:val="es-MX" w:eastAsia="en-US"/>
              </w:rPr>
              <w:t>Aplic.</w:t>
            </w:r>
          </w:p>
        </w:tc>
        <w:tc>
          <w:tcPr>
            <w:tcW w:w="1079" w:type="pct"/>
            <w:shd w:val="clear" w:color="auto" w:fill="auto"/>
          </w:tcPr>
          <w:p w14:paraId="71ADEF14" w14:textId="77777777" w:rsidR="009845A7" w:rsidRPr="009845A7" w:rsidRDefault="009845A7">
            <w:pPr>
              <w:widowControl w:val="0"/>
              <w:numPr>
                <w:ilvl w:val="0"/>
                <w:numId w:val="49"/>
              </w:numPr>
              <w:autoSpaceDE w:val="0"/>
              <w:autoSpaceDN w:val="0"/>
              <w:spacing w:before="51" w:line="187" w:lineRule="exact"/>
              <w:ind w:left="140" w:firstLine="0"/>
              <w:rPr>
                <w:rFonts w:ascii="Abadi" w:eastAsia="Arial" w:hAnsi="Abadi" w:cs="Arial"/>
                <w:i/>
                <w:iCs/>
                <w:sz w:val="21"/>
                <w:szCs w:val="21"/>
                <w:lang w:val="es-MX" w:eastAsia="en-US"/>
              </w:rPr>
            </w:pPr>
            <w:r w:rsidRPr="009845A7">
              <w:rPr>
                <w:rFonts w:ascii="Abadi" w:eastAsia="Arial" w:hAnsi="Abadi" w:cs="Arial"/>
                <w:i/>
                <w:iCs/>
                <w:w w:val="105"/>
                <w:sz w:val="21"/>
                <w:szCs w:val="21"/>
                <w:lang w:val="es-MX" w:eastAsia="en-US"/>
              </w:rPr>
              <w:t>Cromoglicato</w:t>
            </w:r>
            <w:r w:rsidRPr="009845A7">
              <w:rPr>
                <w:rFonts w:ascii="Abadi" w:eastAsia="Arial" w:hAnsi="Abadi" w:cs="Arial"/>
                <w:i/>
                <w:iCs/>
                <w:spacing w:val="12"/>
                <w:w w:val="105"/>
                <w:sz w:val="21"/>
                <w:szCs w:val="21"/>
                <w:lang w:val="es-MX" w:eastAsia="en-US"/>
              </w:rPr>
              <w:t xml:space="preserve"> </w:t>
            </w:r>
            <w:r w:rsidRPr="009845A7">
              <w:rPr>
                <w:rFonts w:ascii="Abadi" w:eastAsia="Arial" w:hAnsi="Abadi" w:cs="Arial"/>
                <w:i/>
                <w:iCs/>
                <w:w w:val="105"/>
                <w:sz w:val="21"/>
                <w:szCs w:val="21"/>
                <w:lang w:val="es-MX" w:eastAsia="en-US"/>
              </w:rPr>
              <w:t>de</w:t>
            </w:r>
            <w:r w:rsidRPr="009845A7">
              <w:rPr>
                <w:rFonts w:ascii="Abadi" w:eastAsia="Arial" w:hAnsi="Abadi" w:cs="Arial"/>
                <w:i/>
                <w:iCs/>
                <w:spacing w:val="-14"/>
                <w:w w:val="105"/>
                <w:sz w:val="21"/>
                <w:szCs w:val="21"/>
                <w:lang w:val="es-MX" w:eastAsia="en-US"/>
              </w:rPr>
              <w:t xml:space="preserve"> </w:t>
            </w:r>
            <w:r w:rsidRPr="009845A7">
              <w:rPr>
                <w:rFonts w:ascii="Abadi" w:eastAsia="Arial" w:hAnsi="Abadi" w:cs="Arial"/>
                <w:i/>
                <w:iCs/>
                <w:w w:val="105"/>
                <w:sz w:val="21"/>
                <w:szCs w:val="21"/>
                <w:lang w:val="es-MX" w:eastAsia="en-US"/>
              </w:rPr>
              <w:t>Sodio</w:t>
            </w:r>
          </w:p>
        </w:tc>
        <w:tc>
          <w:tcPr>
            <w:tcW w:w="1470" w:type="pct"/>
            <w:shd w:val="clear" w:color="auto" w:fill="auto"/>
          </w:tcPr>
          <w:p w14:paraId="38B9C89E" w14:textId="77777777" w:rsidR="009845A7" w:rsidRPr="009845A7" w:rsidRDefault="009845A7">
            <w:pPr>
              <w:widowControl w:val="0"/>
              <w:numPr>
                <w:ilvl w:val="0"/>
                <w:numId w:val="49"/>
              </w:numPr>
              <w:autoSpaceDE w:val="0"/>
              <w:autoSpaceDN w:val="0"/>
              <w:spacing w:before="56" w:line="183" w:lineRule="exact"/>
              <w:ind w:left="443" w:right="400" w:firstLine="0"/>
              <w:jc w:val="center"/>
              <w:rPr>
                <w:rFonts w:ascii="Abadi" w:eastAsia="Arial" w:hAnsi="Abadi" w:cs="Arial"/>
                <w:i/>
                <w:iCs/>
                <w:sz w:val="21"/>
                <w:szCs w:val="21"/>
                <w:lang w:val="es-MX" w:eastAsia="en-US"/>
              </w:rPr>
            </w:pPr>
            <w:r w:rsidRPr="009845A7">
              <w:rPr>
                <w:rFonts w:ascii="Abadi" w:eastAsia="Arial" w:hAnsi="Abadi" w:cs="Arial"/>
                <w:i/>
                <w:iCs/>
                <w:w w:val="105"/>
                <w:sz w:val="21"/>
                <w:szCs w:val="21"/>
                <w:lang w:val="es-MX" w:eastAsia="en-US"/>
              </w:rPr>
              <w:t>Descontinuado</w:t>
            </w:r>
          </w:p>
        </w:tc>
      </w:tr>
      <w:tr w:rsidR="009845A7" w:rsidRPr="009845A7" w14:paraId="4101F264" w14:textId="77777777" w:rsidTr="00A45594">
        <w:trPr>
          <w:trHeight w:val="494"/>
        </w:trPr>
        <w:tc>
          <w:tcPr>
            <w:tcW w:w="294" w:type="pct"/>
            <w:shd w:val="clear" w:color="auto" w:fill="auto"/>
          </w:tcPr>
          <w:p w14:paraId="4A7B7068" w14:textId="77777777" w:rsidR="009845A7" w:rsidRPr="009845A7" w:rsidRDefault="009845A7">
            <w:pPr>
              <w:widowControl w:val="0"/>
              <w:numPr>
                <w:ilvl w:val="0"/>
                <w:numId w:val="49"/>
              </w:numPr>
              <w:autoSpaceDE w:val="0"/>
              <w:autoSpaceDN w:val="0"/>
              <w:spacing w:before="1"/>
              <w:ind w:left="0" w:firstLine="0"/>
              <w:rPr>
                <w:rFonts w:ascii="Abadi" w:eastAsia="Arial" w:hAnsi="Abadi" w:cs="Arial"/>
                <w:i/>
                <w:iCs/>
                <w:sz w:val="21"/>
                <w:szCs w:val="21"/>
                <w:lang w:val="es-MX" w:eastAsia="en-US"/>
              </w:rPr>
            </w:pPr>
          </w:p>
          <w:p w14:paraId="7C941A39" w14:textId="77777777" w:rsidR="009845A7" w:rsidRPr="009845A7" w:rsidRDefault="009845A7">
            <w:pPr>
              <w:widowControl w:val="0"/>
              <w:numPr>
                <w:ilvl w:val="0"/>
                <w:numId w:val="49"/>
              </w:numPr>
              <w:autoSpaceDE w:val="0"/>
              <w:autoSpaceDN w:val="0"/>
              <w:ind w:left="50" w:right="7" w:firstLine="0"/>
              <w:jc w:val="center"/>
              <w:rPr>
                <w:rFonts w:ascii="Abadi" w:eastAsia="Arial" w:hAnsi="Abadi" w:cs="Arial"/>
                <w:i/>
                <w:iCs/>
                <w:sz w:val="21"/>
                <w:szCs w:val="21"/>
                <w:lang w:val="es-MX" w:eastAsia="en-US"/>
              </w:rPr>
            </w:pPr>
            <w:r w:rsidRPr="009845A7">
              <w:rPr>
                <w:rFonts w:ascii="Abadi" w:eastAsia="Arial" w:hAnsi="Abadi" w:cs="Arial"/>
                <w:i/>
                <w:iCs/>
                <w:w w:val="105"/>
                <w:sz w:val="21"/>
                <w:szCs w:val="21"/>
                <w:lang w:val="es-MX" w:eastAsia="en-US"/>
              </w:rPr>
              <w:t>11</w:t>
            </w:r>
          </w:p>
        </w:tc>
        <w:tc>
          <w:tcPr>
            <w:tcW w:w="2157" w:type="pct"/>
            <w:shd w:val="clear" w:color="auto" w:fill="auto"/>
          </w:tcPr>
          <w:p w14:paraId="58BEF1BE" w14:textId="77777777" w:rsidR="009845A7" w:rsidRPr="009845A7" w:rsidRDefault="009845A7">
            <w:pPr>
              <w:widowControl w:val="0"/>
              <w:numPr>
                <w:ilvl w:val="0"/>
                <w:numId w:val="49"/>
              </w:numPr>
              <w:autoSpaceDE w:val="0"/>
              <w:autoSpaceDN w:val="0"/>
              <w:spacing w:before="1"/>
              <w:ind w:left="0" w:firstLine="0"/>
              <w:rPr>
                <w:rFonts w:ascii="Abadi" w:eastAsia="Arial" w:hAnsi="Abadi" w:cs="Arial"/>
                <w:i/>
                <w:iCs/>
                <w:sz w:val="21"/>
                <w:szCs w:val="21"/>
                <w:lang w:val="es-MX" w:eastAsia="en-US"/>
              </w:rPr>
            </w:pPr>
          </w:p>
          <w:p w14:paraId="304CFBBD" w14:textId="77777777" w:rsidR="009845A7" w:rsidRPr="009845A7" w:rsidRDefault="009845A7">
            <w:pPr>
              <w:widowControl w:val="0"/>
              <w:numPr>
                <w:ilvl w:val="0"/>
                <w:numId w:val="49"/>
              </w:numPr>
              <w:autoSpaceDE w:val="0"/>
              <w:autoSpaceDN w:val="0"/>
              <w:ind w:left="96" w:firstLine="0"/>
              <w:rPr>
                <w:rFonts w:ascii="Abadi" w:eastAsia="Arial" w:hAnsi="Abadi" w:cs="Arial"/>
                <w:i/>
                <w:iCs/>
                <w:sz w:val="21"/>
                <w:szCs w:val="21"/>
                <w:lang w:val="es-MX" w:eastAsia="en-US"/>
              </w:rPr>
            </w:pPr>
            <w:r w:rsidRPr="009845A7">
              <w:rPr>
                <w:rFonts w:ascii="Abadi" w:eastAsia="Arial" w:hAnsi="Abadi" w:cs="Arial"/>
                <w:i/>
                <w:iCs/>
                <w:w w:val="105"/>
                <w:sz w:val="21"/>
                <w:szCs w:val="21"/>
                <w:lang w:val="es-MX" w:eastAsia="en-US"/>
              </w:rPr>
              <w:t>Aracmynplus</w:t>
            </w:r>
            <w:r w:rsidRPr="009845A7">
              <w:rPr>
                <w:rFonts w:ascii="Abadi" w:eastAsia="Arial" w:hAnsi="Abadi" w:cs="Arial"/>
                <w:i/>
                <w:iCs/>
                <w:spacing w:val="14"/>
                <w:w w:val="105"/>
                <w:sz w:val="21"/>
                <w:szCs w:val="21"/>
                <w:lang w:val="es-MX" w:eastAsia="en-US"/>
              </w:rPr>
              <w:t xml:space="preserve"> </w:t>
            </w:r>
            <w:r w:rsidRPr="009845A7">
              <w:rPr>
                <w:rFonts w:ascii="Abadi" w:eastAsia="Arial" w:hAnsi="Abadi" w:cs="Arial"/>
                <w:i/>
                <w:iCs/>
                <w:w w:val="105"/>
                <w:sz w:val="21"/>
                <w:szCs w:val="21"/>
                <w:lang w:val="es-MX" w:eastAsia="en-US"/>
              </w:rPr>
              <w:t>Antiacid</w:t>
            </w:r>
            <w:r w:rsidRPr="009845A7">
              <w:rPr>
                <w:rFonts w:ascii="Abadi" w:eastAsia="Arial" w:hAnsi="Abadi" w:cs="Arial"/>
                <w:i/>
                <w:iCs/>
                <w:spacing w:val="20"/>
                <w:w w:val="105"/>
                <w:sz w:val="21"/>
                <w:szCs w:val="21"/>
                <w:lang w:val="es-MX" w:eastAsia="en-US"/>
              </w:rPr>
              <w:t xml:space="preserve"> </w:t>
            </w:r>
            <w:r w:rsidRPr="009845A7">
              <w:rPr>
                <w:rFonts w:ascii="Abadi" w:eastAsia="Arial" w:hAnsi="Abadi" w:cs="Arial"/>
                <w:i/>
                <w:iCs/>
                <w:w w:val="105"/>
                <w:sz w:val="21"/>
                <w:szCs w:val="21"/>
                <w:lang w:val="es-MX" w:eastAsia="en-US"/>
              </w:rPr>
              <w:t>Amp</w:t>
            </w:r>
            <w:r w:rsidRPr="009845A7">
              <w:rPr>
                <w:rFonts w:ascii="Abadi" w:eastAsia="Arial" w:hAnsi="Abadi" w:cs="Arial"/>
                <w:i/>
                <w:iCs/>
                <w:spacing w:val="5"/>
                <w:w w:val="105"/>
                <w:sz w:val="21"/>
                <w:szCs w:val="21"/>
                <w:lang w:val="es-MX" w:eastAsia="en-US"/>
              </w:rPr>
              <w:t xml:space="preserve"> </w:t>
            </w:r>
            <w:r w:rsidRPr="009845A7">
              <w:rPr>
                <w:rFonts w:ascii="Abadi" w:eastAsia="Arial" w:hAnsi="Abadi" w:cs="Arial"/>
                <w:i/>
                <w:iCs/>
                <w:w w:val="105"/>
                <w:sz w:val="21"/>
                <w:szCs w:val="21"/>
                <w:lang w:val="es-MX" w:eastAsia="en-US"/>
              </w:rPr>
              <w:t>5ml</w:t>
            </w:r>
          </w:p>
        </w:tc>
        <w:tc>
          <w:tcPr>
            <w:tcW w:w="1079" w:type="pct"/>
            <w:shd w:val="clear" w:color="auto" w:fill="auto"/>
          </w:tcPr>
          <w:p w14:paraId="146242DA" w14:textId="77777777" w:rsidR="009845A7" w:rsidRPr="009845A7" w:rsidRDefault="009845A7">
            <w:pPr>
              <w:widowControl w:val="0"/>
              <w:numPr>
                <w:ilvl w:val="0"/>
                <w:numId w:val="49"/>
              </w:numPr>
              <w:autoSpaceDE w:val="0"/>
              <w:autoSpaceDN w:val="0"/>
              <w:spacing w:line="246" w:lineRule="exact"/>
              <w:ind w:left="94" w:firstLine="44"/>
              <w:rPr>
                <w:rFonts w:ascii="Abadi" w:eastAsia="Arial" w:hAnsi="Abadi" w:cs="Arial"/>
                <w:i/>
                <w:iCs/>
                <w:sz w:val="21"/>
                <w:szCs w:val="21"/>
                <w:lang w:val="es-MX" w:eastAsia="en-US"/>
              </w:rPr>
            </w:pPr>
            <w:r w:rsidRPr="009845A7">
              <w:rPr>
                <w:rFonts w:ascii="Abadi" w:eastAsia="Arial" w:hAnsi="Abadi" w:cs="Arial"/>
                <w:i/>
                <w:iCs/>
                <w:w w:val="105"/>
                <w:sz w:val="21"/>
                <w:szCs w:val="21"/>
                <w:lang w:val="es-MX" w:eastAsia="en-US"/>
              </w:rPr>
              <w:t>Faboterapico</w:t>
            </w:r>
            <w:r w:rsidRPr="009845A7">
              <w:rPr>
                <w:rFonts w:ascii="Abadi" w:eastAsia="Arial" w:hAnsi="Abadi" w:cs="Arial"/>
                <w:i/>
                <w:iCs/>
                <w:spacing w:val="-47"/>
                <w:w w:val="105"/>
                <w:sz w:val="21"/>
                <w:szCs w:val="21"/>
                <w:lang w:val="es-MX" w:eastAsia="en-US"/>
              </w:rPr>
              <w:t xml:space="preserve"> </w:t>
            </w:r>
            <w:r w:rsidRPr="009845A7">
              <w:rPr>
                <w:rFonts w:ascii="Abadi" w:eastAsia="Arial" w:hAnsi="Abadi" w:cs="Arial"/>
                <w:i/>
                <w:iCs/>
                <w:w w:val="105"/>
                <w:sz w:val="21"/>
                <w:szCs w:val="21"/>
                <w:lang w:val="es-MX" w:eastAsia="en-US"/>
              </w:rPr>
              <w:t>antiarácnido</w:t>
            </w:r>
          </w:p>
        </w:tc>
        <w:tc>
          <w:tcPr>
            <w:tcW w:w="1470" w:type="pct"/>
            <w:shd w:val="clear" w:color="auto" w:fill="auto"/>
          </w:tcPr>
          <w:p w14:paraId="18AB59B9" w14:textId="77777777" w:rsidR="009845A7" w:rsidRPr="009845A7" w:rsidRDefault="009845A7">
            <w:pPr>
              <w:widowControl w:val="0"/>
              <w:numPr>
                <w:ilvl w:val="0"/>
                <w:numId w:val="49"/>
              </w:numPr>
              <w:autoSpaceDE w:val="0"/>
              <w:autoSpaceDN w:val="0"/>
              <w:spacing w:before="10"/>
              <w:ind w:left="0" w:firstLine="0"/>
              <w:rPr>
                <w:rFonts w:ascii="Abadi" w:eastAsia="Arial" w:hAnsi="Abadi" w:cs="Arial"/>
                <w:i/>
                <w:iCs/>
                <w:sz w:val="21"/>
                <w:szCs w:val="21"/>
                <w:lang w:val="es-MX" w:eastAsia="en-US"/>
              </w:rPr>
            </w:pPr>
          </w:p>
          <w:p w14:paraId="009DCE5A" w14:textId="77777777" w:rsidR="009845A7" w:rsidRPr="009845A7" w:rsidRDefault="009845A7">
            <w:pPr>
              <w:widowControl w:val="0"/>
              <w:numPr>
                <w:ilvl w:val="0"/>
                <w:numId w:val="49"/>
              </w:numPr>
              <w:autoSpaceDE w:val="0"/>
              <w:autoSpaceDN w:val="0"/>
              <w:spacing w:before="1"/>
              <w:ind w:left="433" w:right="400" w:firstLine="0"/>
              <w:jc w:val="center"/>
              <w:rPr>
                <w:rFonts w:ascii="Abadi" w:eastAsia="Arial" w:hAnsi="Abadi" w:cs="Arial"/>
                <w:i/>
                <w:iCs/>
                <w:sz w:val="21"/>
                <w:szCs w:val="21"/>
                <w:lang w:val="es-MX" w:eastAsia="en-US"/>
              </w:rPr>
            </w:pPr>
            <w:r w:rsidRPr="009845A7">
              <w:rPr>
                <w:rFonts w:ascii="Abadi" w:eastAsia="Arial" w:hAnsi="Abadi" w:cs="Arial"/>
                <w:i/>
                <w:iCs/>
                <w:w w:val="105"/>
                <w:sz w:val="21"/>
                <w:szCs w:val="21"/>
                <w:lang w:val="es-MX" w:eastAsia="en-US"/>
              </w:rPr>
              <w:t>Descontinuado</w:t>
            </w:r>
          </w:p>
        </w:tc>
      </w:tr>
    </w:tbl>
    <w:p w14:paraId="02BCB9CE" w14:textId="77777777" w:rsidR="009845A7" w:rsidRPr="009845A7" w:rsidRDefault="009845A7" w:rsidP="009845A7">
      <w:pPr>
        <w:spacing w:before="10"/>
        <w:jc w:val="both"/>
        <w:rPr>
          <w:rFonts w:ascii="Abadi" w:hAnsi="Abadi" w:cs="Arial"/>
          <w:b/>
          <w:bCs/>
          <w:i/>
          <w:iCs/>
          <w:sz w:val="21"/>
          <w:szCs w:val="21"/>
        </w:rPr>
      </w:pPr>
    </w:p>
    <w:p w14:paraId="1D30B9C1" w14:textId="77777777" w:rsidR="009845A7" w:rsidRPr="009845A7" w:rsidRDefault="009845A7" w:rsidP="001D24D0">
      <w:pPr>
        <w:tabs>
          <w:tab w:val="left" w:pos="8647"/>
        </w:tabs>
        <w:ind w:left="993" w:right="877"/>
        <w:jc w:val="both"/>
        <w:rPr>
          <w:rFonts w:ascii="Abadi" w:eastAsia="SimSun" w:hAnsi="Abadi" w:cs="Arial"/>
          <w:i/>
          <w:iCs/>
          <w:sz w:val="21"/>
          <w:szCs w:val="21"/>
        </w:rPr>
      </w:pPr>
      <w:r w:rsidRPr="009845A7">
        <w:rPr>
          <w:rFonts w:ascii="Abadi" w:eastAsia="SimSun" w:hAnsi="Abadi" w:cs="Arial"/>
          <w:i/>
          <w:iCs/>
          <w:sz w:val="21"/>
          <w:szCs w:val="21"/>
        </w:rPr>
        <w:t>Las 11 claves de medicamentos representan un porcentaje del 1.89% sobre las 579 claves disponibles para el ISAPEG.</w:t>
      </w:r>
    </w:p>
    <w:p w14:paraId="7152D124" w14:textId="77777777" w:rsidR="009845A7" w:rsidRPr="009845A7" w:rsidRDefault="009845A7" w:rsidP="001D24D0">
      <w:pPr>
        <w:widowControl w:val="0"/>
        <w:ind w:left="709" w:right="168" w:hanging="425"/>
        <w:jc w:val="both"/>
        <w:rPr>
          <w:rFonts w:ascii="Abadi" w:eastAsia="SimSun" w:hAnsi="Abadi" w:cs="Arial"/>
          <w:i/>
          <w:iCs/>
          <w:sz w:val="21"/>
          <w:szCs w:val="21"/>
        </w:rPr>
      </w:pPr>
    </w:p>
    <w:p w14:paraId="112E537C" w14:textId="77777777" w:rsidR="009845A7" w:rsidRPr="009845A7" w:rsidRDefault="009845A7" w:rsidP="001D24D0">
      <w:pPr>
        <w:ind w:left="490" w:firstLine="503"/>
        <w:rPr>
          <w:rFonts w:ascii="Abadi" w:eastAsia="SimSun" w:hAnsi="Abadi" w:cs="Arial"/>
          <w:sz w:val="21"/>
          <w:szCs w:val="21"/>
        </w:rPr>
      </w:pPr>
      <w:r w:rsidRPr="009845A7">
        <w:rPr>
          <w:rFonts w:ascii="Abadi" w:eastAsia="SimSun" w:hAnsi="Abadi" w:cs="Arial"/>
          <w:sz w:val="21"/>
          <w:szCs w:val="21"/>
        </w:rPr>
        <w:t>2. Principales causas que dan origen al desabasto de medicamentos.</w:t>
      </w:r>
    </w:p>
    <w:p w14:paraId="394563D6" w14:textId="77777777" w:rsidR="009845A7" w:rsidRPr="009845A7" w:rsidRDefault="009845A7" w:rsidP="001D24D0">
      <w:pPr>
        <w:jc w:val="both"/>
        <w:rPr>
          <w:rFonts w:ascii="Abadi" w:hAnsi="Abadi" w:cs="Arial"/>
          <w:i/>
          <w:iCs/>
          <w:w w:val="105"/>
          <w:sz w:val="21"/>
          <w:szCs w:val="21"/>
          <w:lang w:val="es-ES_tradnl"/>
        </w:rPr>
      </w:pPr>
    </w:p>
    <w:p w14:paraId="3613CD87" w14:textId="77777777" w:rsidR="009845A7" w:rsidRPr="009845A7" w:rsidRDefault="009845A7" w:rsidP="001D24D0">
      <w:pPr>
        <w:ind w:left="567" w:right="877"/>
        <w:jc w:val="both"/>
        <w:rPr>
          <w:rFonts w:ascii="Abadi" w:eastAsia="SimSun" w:hAnsi="Abadi" w:cs="Arial"/>
          <w:i/>
          <w:iCs/>
          <w:sz w:val="21"/>
          <w:szCs w:val="21"/>
        </w:rPr>
      </w:pPr>
      <w:r w:rsidRPr="009845A7">
        <w:rPr>
          <w:rFonts w:ascii="Abadi" w:eastAsia="SimSun" w:hAnsi="Abadi" w:cs="Arial"/>
          <w:b/>
          <w:bCs/>
          <w:i/>
          <w:iCs/>
          <w:sz w:val="21"/>
          <w:szCs w:val="21"/>
        </w:rPr>
        <w:t>Respuesta:</w:t>
      </w:r>
      <w:r w:rsidRPr="009845A7">
        <w:rPr>
          <w:rFonts w:ascii="Abadi" w:eastAsia="SimSun" w:hAnsi="Abadi" w:cs="Arial"/>
          <w:i/>
          <w:iCs/>
          <w:sz w:val="21"/>
          <w:szCs w:val="21"/>
        </w:rPr>
        <w:t xml:space="preserve"> En lo que respecta al presente, cabe mencionar que los diferentes Laboratorios encargados de surtir o abastecer los medicamentos para atender los padecimientos y/o enfermedades de la población guanajuatense, han expresado que a razón de la falta de insumos, ingredientes activos y/o materiales para su producción, entre otros, no ha sido posible el surtimiento de medicamentos; con motivo de que algunos se han dado de baja, descontinuado y dejado de producir algunos de los medicamentos referidos en el punto anterior.</w:t>
      </w:r>
    </w:p>
    <w:p w14:paraId="30C08424" w14:textId="77777777" w:rsidR="009845A7" w:rsidRPr="009845A7" w:rsidRDefault="009845A7" w:rsidP="001D24D0">
      <w:pPr>
        <w:spacing w:before="8"/>
        <w:jc w:val="both"/>
        <w:rPr>
          <w:rFonts w:ascii="Abadi" w:hAnsi="Abadi" w:cs="Arial"/>
          <w:b/>
          <w:bCs/>
          <w:i/>
          <w:iCs/>
          <w:sz w:val="21"/>
          <w:szCs w:val="21"/>
        </w:rPr>
      </w:pPr>
    </w:p>
    <w:p w14:paraId="649A3995" w14:textId="77777777" w:rsidR="009845A7" w:rsidRPr="009845A7" w:rsidRDefault="009845A7" w:rsidP="001D24D0">
      <w:pPr>
        <w:ind w:left="473" w:firstLine="520"/>
        <w:rPr>
          <w:rFonts w:ascii="Abadi" w:eastAsia="SimSun" w:hAnsi="Abadi" w:cs="Arial"/>
          <w:i/>
          <w:iCs/>
          <w:sz w:val="21"/>
          <w:szCs w:val="21"/>
        </w:rPr>
      </w:pPr>
      <w:r w:rsidRPr="009845A7">
        <w:rPr>
          <w:rFonts w:ascii="Abadi" w:eastAsia="SimSun" w:hAnsi="Abadi" w:cs="Arial"/>
          <w:i/>
          <w:iCs/>
          <w:sz w:val="21"/>
          <w:szCs w:val="21"/>
        </w:rPr>
        <w:t>3. Padecimientos que presentan escasez de medicamentos.</w:t>
      </w:r>
    </w:p>
    <w:p w14:paraId="0BA00789" w14:textId="77777777" w:rsidR="009845A7" w:rsidRPr="009845A7" w:rsidRDefault="009845A7" w:rsidP="001D24D0">
      <w:pPr>
        <w:widowControl w:val="0"/>
        <w:ind w:left="709" w:hanging="425"/>
        <w:jc w:val="both"/>
        <w:rPr>
          <w:rFonts w:ascii="Abadi" w:eastAsia="SimSun" w:hAnsi="Abadi" w:cs="Arial"/>
          <w:i/>
          <w:iCs/>
          <w:sz w:val="21"/>
          <w:szCs w:val="21"/>
        </w:rPr>
      </w:pPr>
    </w:p>
    <w:p w14:paraId="154DD6A8" w14:textId="77777777" w:rsidR="009845A7" w:rsidRPr="009845A7" w:rsidRDefault="009845A7" w:rsidP="001D24D0">
      <w:pPr>
        <w:spacing w:before="11"/>
        <w:ind w:left="567" w:right="877"/>
        <w:jc w:val="both"/>
        <w:rPr>
          <w:rFonts w:ascii="Abadi" w:eastAsia="SimSun" w:hAnsi="Abadi" w:cs="Arial"/>
          <w:i/>
          <w:iCs/>
          <w:sz w:val="21"/>
          <w:szCs w:val="21"/>
        </w:rPr>
      </w:pPr>
      <w:r w:rsidRPr="009845A7">
        <w:rPr>
          <w:rFonts w:ascii="Abadi" w:eastAsia="SimSun" w:hAnsi="Abadi" w:cs="Arial"/>
          <w:b/>
          <w:bCs/>
          <w:i/>
          <w:iCs/>
          <w:sz w:val="21"/>
          <w:szCs w:val="21"/>
        </w:rPr>
        <w:t>Respuesta:</w:t>
      </w:r>
      <w:r w:rsidRPr="009845A7">
        <w:rPr>
          <w:rFonts w:ascii="Abadi" w:eastAsia="SimSun" w:hAnsi="Abadi" w:cs="Arial"/>
          <w:i/>
          <w:iCs/>
          <w:sz w:val="21"/>
          <w:szCs w:val="21"/>
        </w:rPr>
        <w:t xml:space="preserve"> Procedimientos quirúrgicos, atención de Status epiléptico, Púrpura Trombocitopénica ldiopática y Síndrome de Gluillian-Barré, atención por mordedura de araña (sin embargo, se cuenta con otra presentación para la atención).</w:t>
      </w:r>
    </w:p>
    <w:p w14:paraId="6630B43C" w14:textId="77777777" w:rsidR="009845A7" w:rsidRPr="009845A7" w:rsidRDefault="009845A7" w:rsidP="001D24D0">
      <w:pPr>
        <w:spacing w:before="11"/>
        <w:ind w:left="567" w:right="877"/>
        <w:jc w:val="both"/>
        <w:rPr>
          <w:rFonts w:ascii="Abadi" w:eastAsia="SimSun" w:hAnsi="Abadi" w:cs="Arial"/>
          <w:i/>
          <w:iCs/>
          <w:sz w:val="21"/>
          <w:szCs w:val="21"/>
        </w:rPr>
      </w:pPr>
    </w:p>
    <w:p w14:paraId="757F4D64" w14:textId="77777777" w:rsidR="009845A7" w:rsidRPr="009845A7" w:rsidRDefault="009845A7" w:rsidP="001D24D0">
      <w:pPr>
        <w:tabs>
          <w:tab w:val="left" w:pos="709"/>
          <w:tab w:val="left" w:pos="1276"/>
        </w:tabs>
        <w:ind w:left="1418" w:right="877" w:hanging="425"/>
        <w:jc w:val="both"/>
        <w:rPr>
          <w:rFonts w:ascii="Abadi" w:eastAsia="SimSun" w:hAnsi="Abadi" w:cs="Arial"/>
          <w:i/>
          <w:iCs/>
          <w:sz w:val="21"/>
          <w:szCs w:val="21"/>
        </w:rPr>
      </w:pPr>
      <w:r w:rsidRPr="009845A7">
        <w:rPr>
          <w:rFonts w:ascii="Abadi" w:eastAsia="SimSun" w:hAnsi="Abadi" w:cs="Arial"/>
          <w:i/>
          <w:iCs/>
          <w:sz w:val="21"/>
          <w:szCs w:val="21"/>
        </w:rPr>
        <w:t>4. Enfermedades más afectadas con motivo del desabasto de medicamentos.</w:t>
      </w:r>
    </w:p>
    <w:p w14:paraId="2FC8EF3D" w14:textId="77777777" w:rsidR="009845A7" w:rsidRPr="009845A7" w:rsidRDefault="009845A7" w:rsidP="001D24D0">
      <w:pPr>
        <w:spacing w:before="2"/>
        <w:jc w:val="both"/>
        <w:rPr>
          <w:rFonts w:ascii="Abadi" w:eastAsia="SimSun" w:hAnsi="Abadi" w:cs="Arial"/>
          <w:i/>
          <w:iCs/>
          <w:sz w:val="21"/>
          <w:szCs w:val="21"/>
        </w:rPr>
      </w:pPr>
    </w:p>
    <w:p w14:paraId="4A8EBF04" w14:textId="77777777" w:rsidR="009845A7" w:rsidRPr="009845A7" w:rsidRDefault="009845A7" w:rsidP="001D24D0">
      <w:pPr>
        <w:ind w:left="567" w:right="877"/>
        <w:jc w:val="both"/>
        <w:rPr>
          <w:rFonts w:ascii="Abadi" w:eastAsia="SimSun" w:hAnsi="Abadi" w:cs="Arial"/>
          <w:i/>
          <w:iCs/>
          <w:sz w:val="21"/>
          <w:szCs w:val="21"/>
        </w:rPr>
      </w:pPr>
      <w:r w:rsidRPr="009845A7">
        <w:rPr>
          <w:rFonts w:ascii="Abadi" w:eastAsia="SimSun" w:hAnsi="Abadi" w:cs="Arial"/>
          <w:b/>
          <w:bCs/>
          <w:i/>
          <w:iCs/>
          <w:sz w:val="21"/>
          <w:szCs w:val="21"/>
        </w:rPr>
        <w:t>Respuesta:</w:t>
      </w:r>
      <w:r w:rsidRPr="009845A7">
        <w:rPr>
          <w:rFonts w:ascii="Abadi" w:eastAsia="SimSun" w:hAnsi="Abadi" w:cs="Arial"/>
          <w:i/>
          <w:iCs/>
          <w:sz w:val="21"/>
          <w:szCs w:val="21"/>
        </w:rPr>
        <w:t xml:space="preserve"> De acuerdo con los medicamentos mencionados en supra líneas la Ropivacaína se utiliza en analgesia obstétrica, postoperatoria, anestesia en predementias quirúrgicos, el Tiopental en inducciones anestésicas para determinados pacientes y en status epiléptico, inmunoglobulina IV púrpura trombocitopénica idiopática, Síndrome de Guillain-Barré, para el resto de las sustancias se cuenta con alternativas en otro gramaje o presentación para la atención de los padecimientos.</w:t>
      </w:r>
    </w:p>
    <w:p w14:paraId="6142DDB5" w14:textId="77777777" w:rsidR="009845A7" w:rsidRPr="009845A7" w:rsidRDefault="009845A7" w:rsidP="001D24D0">
      <w:pPr>
        <w:spacing w:before="7"/>
        <w:jc w:val="both"/>
        <w:rPr>
          <w:rFonts w:ascii="Abadi" w:eastAsia="SimSun" w:hAnsi="Abadi" w:cs="Arial"/>
          <w:i/>
          <w:iCs/>
          <w:sz w:val="21"/>
          <w:szCs w:val="21"/>
        </w:rPr>
      </w:pPr>
    </w:p>
    <w:p w14:paraId="5D40601D" w14:textId="77777777" w:rsidR="009845A7" w:rsidRPr="009845A7" w:rsidRDefault="009845A7" w:rsidP="001D24D0">
      <w:pPr>
        <w:ind w:left="1418" w:right="877" w:hanging="425"/>
        <w:jc w:val="both"/>
        <w:rPr>
          <w:rFonts w:ascii="Abadi" w:eastAsia="SimSun" w:hAnsi="Abadi" w:cs="Arial"/>
          <w:i/>
          <w:iCs/>
          <w:sz w:val="21"/>
          <w:szCs w:val="21"/>
        </w:rPr>
      </w:pPr>
      <w:r w:rsidRPr="009845A7">
        <w:rPr>
          <w:rFonts w:ascii="Abadi" w:eastAsia="SimSun" w:hAnsi="Abadi" w:cs="Arial"/>
          <w:i/>
          <w:iCs/>
          <w:sz w:val="21"/>
          <w:szCs w:val="21"/>
        </w:rPr>
        <w:t>5.  Procesos establecidos para la compra de medicamentos para tratamientos oncológicos.</w:t>
      </w:r>
    </w:p>
    <w:p w14:paraId="09B41FF1" w14:textId="77777777" w:rsidR="009845A7" w:rsidRPr="009845A7" w:rsidRDefault="009845A7" w:rsidP="001D24D0">
      <w:pPr>
        <w:jc w:val="both"/>
        <w:rPr>
          <w:rFonts w:ascii="Abadi" w:hAnsi="Abadi" w:cs="Arial"/>
          <w:i/>
          <w:iCs/>
          <w:w w:val="105"/>
          <w:sz w:val="21"/>
          <w:szCs w:val="21"/>
        </w:rPr>
      </w:pPr>
    </w:p>
    <w:p w14:paraId="5E3A0723" w14:textId="77777777" w:rsidR="009845A7" w:rsidRPr="009845A7" w:rsidRDefault="009845A7" w:rsidP="001D24D0">
      <w:pPr>
        <w:ind w:left="567" w:right="877"/>
        <w:jc w:val="both"/>
        <w:rPr>
          <w:rFonts w:ascii="Abadi" w:eastAsia="SimSun" w:hAnsi="Abadi" w:cs="Arial"/>
          <w:i/>
          <w:iCs/>
          <w:sz w:val="21"/>
          <w:szCs w:val="21"/>
        </w:rPr>
      </w:pPr>
      <w:r w:rsidRPr="009845A7">
        <w:rPr>
          <w:rFonts w:ascii="Abadi" w:eastAsia="SimSun" w:hAnsi="Abadi" w:cs="Arial"/>
          <w:b/>
          <w:bCs/>
          <w:i/>
          <w:iCs/>
          <w:sz w:val="21"/>
          <w:szCs w:val="21"/>
        </w:rPr>
        <w:t>Repuesta:</w:t>
      </w:r>
      <w:r w:rsidRPr="009845A7">
        <w:rPr>
          <w:rFonts w:ascii="Abadi" w:eastAsia="SimSun" w:hAnsi="Abadi" w:cs="Arial"/>
          <w:i/>
          <w:iCs/>
          <w:sz w:val="21"/>
          <w:szCs w:val="21"/>
        </w:rPr>
        <w:t xml:space="preserve"> Se informa que el Instituto de Salud Pública del Estado de Guanajuato (ISAPEG), para la compra de medicamentos para tratamientos oncológicos se contemplan los procesos establecidos en el artículo 26 de la Ley de Adquisiciones, Arrendamientos y Servicios del Sector Público (Normativa Federal Vigente), y de</w:t>
      </w:r>
      <w:r w:rsidRPr="009845A7">
        <w:rPr>
          <w:rFonts w:ascii="Abadi" w:eastAsia="SimSun" w:hAnsi="Abadi" w:cs="Arial"/>
          <w:sz w:val="21"/>
          <w:szCs w:val="21"/>
        </w:rPr>
        <w:t xml:space="preserve"> acuerdo con la naturaleza de la contratación buscando las mejores condiciones </w:t>
      </w:r>
      <w:r w:rsidRPr="009845A7">
        <w:rPr>
          <w:rFonts w:ascii="Abadi" w:eastAsia="SimSun" w:hAnsi="Abadi" w:cs="Arial"/>
          <w:i/>
          <w:iCs/>
          <w:sz w:val="21"/>
          <w:szCs w:val="21"/>
        </w:rPr>
        <w:t>disponibles en cuanto a precio, calidad, financiamiento, oportunidad y demás circunstancias técnicas aplicables.</w:t>
      </w:r>
    </w:p>
    <w:p w14:paraId="7330B875" w14:textId="77777777" w:rsidR="009845A7" w:rsidRPr="009845A7" w:rsidRDefault="009845A7" w:rsidP="001D24D0">
      <w:pPr>
        <w:spacing w:before="8"/>
        <w:ind w:left="-284" w:right="-518"/>
        <w:jc w:val="both"/>
        <w:rPr>
          <w:rFonts w:ascii="Abadi" w:eastAsia="SimSun" w:hAnsi="Abadi" w:cs="Arial"/>
          <w:i/>
          <w:iCs/>
          <w:sz w:val="21"/>
          <w:szCs w:val="21"/>
        </w:rPr>
      </w:pPr>
    </w:p>
    <w:p w14:paraId="2F214C2D" w14:textId="77777777" w:rsidR="009845A7" w:rsidRPr="009845A7" w:rsidRDefault="009845A7" w:rsidP="001D24D0">
      <w:pPr>
        <w:ind w:left="567" w:right="877"/>
        <w:jc w:val="both"/>
        <w:rPr>
          <w:rFonts w:ascii="Abadi" w:eastAsia="SimSun" w:hAnsi="Abadi" w:cs="Arial"/>
          <w:i/>
          <w:iCs/>
          <w:sz w:val="21"/>
          <w:szCs w:val="21"/>
        </w:rPr>
      </w:pPr>
      <w:r w:rsidRPr="009845A7">
        <w:rPr>
          <w:rFonts w:ascii="Abadi" w:eastAsia="SimSun" w:hAnsi="Abadi" w:cs="Arial"/>
          <w:i/>
          <w:iCs/>
          <w:sz w:val="21"/>
          <w:szCs w:val="21"/>
        </w:rPr>
        <w:t>Ahora bien, por lo que respecta a los insumos que ingresan al ISAPEG por conducto de la Federación, se advierte que esta última realiza procesos de compra de medicamentos para tratamientos oncológicos a través de compras consolidadas que se distribuyen a las Entidades Federativas, afectando particularmente al Estado de Guanajuato, en virtud de que existe incertidumbre en las fechas de recepción de los insumos proporcionadas al Almacén Estatal, ya que los proveedores no entregan en las fechas proyectadas proporcionadas por la Federación, generando desabasto temporal, puesto que dichos medicamentos se entregan conforme a una nueva fecha proyectada por la Federación.</w:t>
      </w:r>
    </w:p>
    <w:p w14:paraId="2B7434F0" w14:textId="77777777" w:rsidR="009845A7" w:rsidRPr="009845A7" w:rsidRDefault="009845A7" w:rsidP="001D24D0">
      <w:pPr>
        <w:ind w:left="567" w:right="877"/>
        <w:jc w:val="both"/>
        <w:rPr>
          <w:rFonts w:ascii="Abadi" w:eastAsia="SimSun" w:hAnsi="Abadi" w:cs="Arial"/>
          <w:i/>
          <w:iCs/>
          <w:sz w:val="21"/>
          <w:szCs w:val="21"/>
        </w:rPr>
      </w:pPr>
    </w:p>
    <w:p w14:paraId="241FA5D1" w14:textId="1A7E0F69" w:rsidR="009845A7" w:rsidRPr="009845A7" w:rsidRDefault="009845A7" w:rsidP="001D24D0">
      <w:pPr>
        <w:widowControl w:val="0"/>
        <w:numPr>
          <w:ilvl w:val="0"/>
          <w:numId w:val="55"/>
        </w:numPr>
        <w:tabs>
          <w:tab w:val="left" w:pos="1418"/>
        </w:tabs>
        <w:autoSpaceDE w:val="0"/>
        <w:autoSpaceDN w:val="0"/>
        <w:ind w:left="1276" w:right="877" w:hanging="142"/>
        <w:jc w:val="both"/>
        <w:rPr>
          <w:rFonts w:ascii="Abadi" w:eastAsia="SimSun" w:hAnsi="Abadi" w:cs="Arial"/>
          <w:i/>
          <w:iCs/>
          <w:sz w:val="21"/>
          <w:szCs w:val="21"/>
        </w:rPr>
      </w:pPr>
      <w:r w:rsidRPr="009845A7">
        <w:rPr>
          <w:rFonts w:ascii="Abadi" w:eastAsia="SimSun" w:hAnsi="Abadi" w:cs="Arial"/>
          <w:i/>
          <w:iCs/>
          <w:sz w:val="21"/>
          <w:szCs w:val="21"/>
        </w:rPr>
        <w:t>Mecanismo o programa establecido para la adquisición de medicamentos y su distribución.</w:t>
      </w:r>
    </w:p>
    <w:p w14:paraId="6D291977" w14:textId="77777777" w:rsidR="009845A7" w:rsidRPr="009845A7" w:rsidRDefault="009845A7" w:rsidP="001D24D0">
      <w:pPr>
        <w:spacing w:before="7"/>
        <w:jc w:val="both"/>
        <w:rPr>
          <w:rFonts w:ascii="Abadi" w:eastAsia="SimSun" w:hAnsi="Abadi" w:cs="Arial"/>
          <w:i/>
          <w:iCs/>
          <w:sz w:val="21"/>
          <w:szCs w:val="21"/>
        </w:rPr>
      </w:pPr>
    </w:p>
    <w:p w14:paraId="5CC2E290" w14:textId="77777777" w:rsidR="009845A7" w:rsidRPr="009845A7" w:rsidRDefault="009845A7" w:rsidP="001D24D0">
      <w:pPr>
        <w:ind w:left="567" w:right="877"/>
        <w:jc w:val="both"/>
        <w:rPr>
          <w:rFonts w:ascii="Abadi" w:eastAsia="SimSun" w:hAnsi="Abadi" w:cs="Arial"/>
          <w:i/>
          <w:iCs/>
          <w:sz w:val="21"/>
          <w:szCs w:val="21"/>
        </w:rPr>
      </w:pPr>
      <w:r w:rsidRPr="009845A7">
        <w:rPr>
          <w:rFonts w:ascii="Abadi" w:eastAsia="SimSun" w:hAnsi="Abadi" w:cs="Arial"/>
          <w:b/>
          <w:bCs/>
          <w:i/>
          <w:iCs/>
          <w:sz w:val="21"/>
          <w:szCs w:val="21"/>
        </w:rPr>
        <w:t>Respuesta:</w:t>
      </w:r>
      <w:r w:rsidRPr="009845A7">
        <w:rPr>
          <w:rFonts w:ascii="Abadi" w:eastAsia="SimSun" w:hAnsi="Abadi" w:cs="Arial"/>
          <w:i/>
          <w:iCs/>
          <w:sz w:val="21"/>
          <w:szCs w:val="21"/>
        </w:rPr>
        <w:t xml:space="preserve"> Se informa que el Instituto de Salud Pública del Estado de Guanajuato (ISAPEG), establece mecanismos mediante la adquisición de medicamentos que incluyen el servicio de administración y dispensación de los mismos en modalidad de stock, farmacia y servicio de unidosis a través de Licitaciones Públicas con la participación de Testigos Sociales de conformidad con el  artículo 26 Ter de la Ley  de  Adquisiciones,  Arrendamientos y  Servicios del Sector Público (Normativa Federal Vigente), las cuales se gestionan a través de la Secretaría de Finanzas, Inversión y Administración. La Distribución de los medicamentos se lleva a cabo mediante la programación mensual requerida en cada una de las Unidades Médicas del Instituto.</w:t>
      </w:r>
    </w:p>
    <w:p w14:paraId="3B7AA3BA" w14:textId="77777777" w:rsidR="009845A7" w:rsidRPr="009845A7" w:rsidRDefault="009845A7" w:rsidP="001D24D0">
      <w:pPr>
        <w:spacing w:before="10"/>
        <w:jc w:val="both"/>
        <w:rPr>
          <w:rFonts w:ascii="Abadi" w:eastAsia="SimSun" w:hAnsi="Abadi" w:cs="Arial"/>
          <w:i/>
          <w:iCs/>
          <w:sz w:val="21"/>
          <w:szCs w:val="21"/>
        </w:rPr>
      </w:pPr>
    </w:p>
    <w:p w14:paraId="6AE7E23F" w14:textId="77777777" w:rsidR="009845A7" w:rsidRPr="009845A7" w:rsidRDefault="009845A7" w:rsidP="001D24D0">
      <w:pPr>
        <w:ind w:left="567" w:right="877"/>
        <w:jc w:val="both"/>
        <w:rPr>
          <w:rFonts w:ascii="Abadi" w:eastAsia="SimSun" w:hAnsi="Abadi" w:cs="Arial"/>
          <w:i/>
          <w:iCs/>
          <w:sz w:val="21"/>
          <w:szCs w:val="21"/>
        </w:rPr>
      </w:pPr>
      <w:r w:rsidRPr="009845A7">
        <w:rPr>
          <w:rFonts w:ascii="Abadi" w:eastAsia="SimSun" w:hAnsi="Abadi" w:cs="Arial"/>
          <w:i/>
          <w:iCs/>
          <w:sz w:val="21"/>
          <w:szCs w:val="21"/>
        </w:rPr>
        <w:t>Ahora bien, por lo que respecta a los mecanismos o programa establecido para la adquisición de medicamentos y su distribución de insumos proporcionados por la Federación, por conducto del Almacén Estatal recibe los medicamentos a través de las entregas de los proveedores adjudicados por la Federación, y se coordina con la Dirección General de Servicios de Salud para su distribución.</w:t>
      </w:r>
    </w:p>
    <w:p w14:paraId="5CDF7642" w14:textId="77777777" w:rsidR="009845A7" w:rsidRPr="009845A7" w:rsidRDefault="009845A7" w:rsidP="001D24D0">
      <w:pPr>
        <w:ind w:left="567" w:right="877"/>
        <w:jc w:val="both"/>
        <w:rPr>
          <w:rFonts w:ascii="Abadi" w:eastAsia="SimSun" w:hAnsi="Abadi" w:cs="Arial"/>
          <w:i/>
          <w:iCs/>
          <w:sz w:val="21"/>
          <w:szCs w:val="21"/>
        </w:rPr>
      </w:pPr>
    </w:p>
    <w:p w14:paraId="03C8A70F" w14:textId="77777777" w:rsidR="009845A7" w:rsidRPr="009845A7" w:rsidRDefault="009845A7" w:rsidP="001D24D0">
      <w:pPr>
        <w:tabs>
          <w:tab w:val="left" w:pos="709"/>
        </w:tabs>
        <w:spacing w:before="27"/>
        <w:ind w:left="567" w:right="877" w:hanging="283"/>
        <w:jc w:val="both"/>
        <w:rPr>
          <w:rFonts w:ascii="Abadi" w:eastAsia="SimSun" w:hAnsi="Abadi" w:cs="Arial"/>
          <w:i/>
          <w:iCs/>
          <w:sz w:val="21"/>
          <w:szCs w:val="21"/>
        </w:rPr>
      </w:pPr>
      <w:r w:rsidRPr="009845A7">
        <w:rPr>
          <w:rFonts w:ascii="Abadi" w:eastAsia="SimSun" w:hAnsi="Abadi" w:cs="Arial"/>
          <w:i/>
          <w:iCs/>
          <w:sz w:val="21"/>
          <w:szCs w:val="21"/>
        </w:rPr>
        <w:t xml:space="preserve">     No se omite mencionar que los mecanismos para la entrega de medicamentos de la Federación al Almacén Estatal, generan una afectación en la operatividad de las Unidades Médicas del ISAPEG, mermando la prestación de los servicios de salud, exclusivamente cuando se requieren los insumos de la Federación que presentan retraso en la entrega, ya que las programaciones no son fijas o estables, estas últimas constantemente se están prorrogando o aplazando en cuanto a las fechas de entrega, lo cual no permite al ISAPEG, contar con un programa de distribución oportuno.</w:t>
      </w:r>
    </w:p>
    <w:p w14:paraId="43BD9F33" w14:textId="77777777" w:rsidR="009845A7" w:rsidRPr="009845A7" w:rsidRDefault="009845A7" w:rsidP="001D24D0">
      <w:pPr>
        <w:tabs>
          <w:tab w:val="left" w:pos="8222"/>
        </w:tabs>
        <w:spacing w:before="3"/>
        <w:jc w:val="both"/>
        <w:rPr>
          <w:rFonts w:ascii="Abadi" w:eastAsia="SimSun" w:hAnsi="Abadi" w:cs="Arial"/>
          <w:sz w:val="21"/>
          <w:szCs w:val="21"/>
        </w:rPr>
      </w:pPr>
    </w:p>
    <w:p w14:paraId="5C913C92" w14:textId="77777777" w:rsidR="009845A7" w:rsidRPr="009845A7" w:rsidRDefault="009845A7" w:rsidP="001D24D0">
      <w:pPr>
        <w:widowControl w:val="0"/>
        <w:numPr>
          <w:ilvl w:val="0"/>
          <w:numId w:val="55"/>
        </w:numPr>
        <w:autoSpaceDE w:val="0"/>
        <w:autoSpaceDN w:val="0"/>
        <w:spacing w:before="1"/>
        <w:ind w:left="1418" w:right="877" w:hanging="284"/>
        <w:jc w:val="both"/>
        <w:rPr>
          <w:rFonts w:ascii="Abadi" w:eastAsia="SimSun" w:hAnsi="Abadi" w:cs="Arial"/>
          <w:i/>
          <w:iCs/>
          <w:sz w:val="21"/>
          <w:szCs w:val="21"/>
        </w:rPr>
      </w:pPr>
      <w:r w:rsidRPr="009845A7">
        <w:rPr>
          <w:rFonts w:ascii="Abadi" w:eastAsia="SimSun" w:hAnsi="Abadi" w:cs="Arial"/>
          <w:i/>
          <w:iCs/>
          <w:sz w:val="21"/>
          <w:szCs w:val="21"/>
        </w:rPr>
        <w:t>Mecanismo instituido para garantizar la provisión de medicamentos, así como para identificar con oportunidad la necesidad de su adquisición.</w:t>
      </w:r>
    </w:p>
    <w:p w14:paraId="4ACD8D19" w14:textId="77777777" w:rsidR="009845A7" w:rsidRPr="009845A7" w:rsidRDefault="009845A7" w:rsidP="001D24D0">
      <w:pPr>
        <w:rPr>
          <w:rFonts w:ascii="Abadi" w:eastAsia="SimSun" w:hAnsi="Abadi" w:cs="Arial"/>
          <w:i/>
          <w:iCs/>
          <w:sz w:val="21"/>
          <w:szCs w:val="21"/>
        </w:rPr>
      </w:pPr>
    </w:p>
    <w:p w14:paraId="4AAACCAD" w14:textId="77777777" w:rsidR="009845A7" w:rsidRPr="009845A7" w:rsidRDefault="009845A7" w:rsidP="001D24D0">
      <w:pPr>
        <w:spacing w:before="1"/>
        <w:ind w:left="709" w:hanging="142"/>
        <w:rPr>
          <w:rFonts w:ascii="Abadi" w:eastAsia="SimSun" w:hAnsi="Abadi" w:cs="Arial"/>
          <w:b/>
          <w:bCs/>
          <w:i/>
          <w:iCs/>
          <w:sz w:val="21"/>
          <w:szCs w:val="21"/>
        </w:rPr>
      </w:pPr>
      <w:r w:rsidRPr="009845A7">
        <w:rPr>
          <w:rFonts w:ascii="Abadi" w:eastAsia="SimSun" w:hAnsi="Abadi" w:cs="Arial"/>
          <w:b/>
          <w:bCs/>
          <w:i/>
          <w:iCs/>
          <w:sz w:val="21"/>
          <w:szCs w:val="21"/>
        </w:rPr>
        <w:t>Respuesta:</w:t>
      </w:r>
    </w:p>
    <w:p w14:paraId="157AE576" w14:textId="77777777" w:rsidR="009845A7" w:rsidRPr="009845A7" w:rsidRDefault="009845A7" w:rsidP="001D24D0">
      <w:pPr>
        <w:spacing w:before="9"/>
        <w:jc w:val="both"/>
        <w:rPr>
          <w:rFonts w:ascii="Abadi" w:eastAsia="SimSun" w:hAnsi="Abadi" w:cs="Arial"/>
          <w:i/>
          <w:iCs/>
          <w:sz w:val="21"/>
          <w:szCs w:val="21"/>
        </w:rPr>
      </w:pPr>
    </w:p>
    <w:p w14:paraId="26C1A6D3" w14:textId="77777777" w:rsidR="009845A7" w:rsidRPr="009845A7" w:rsidRDefault="009845A7" w:rsidP="001D24D0">
      <w:pPr>
        <w:widowControl w:val="0"/>
        <w:numPr>
          <w:ilvl w:val="0"/>
          <w:numId w:val="56"/>
        </w:numPr>
        <w:autoSpaceDE w:val="0"/>
        <w:autoSpaceDN w:val="0"/>
        <w:ind w:left="1134" w:right="877" w:hanging="283"/>
        <w:jc w:val="both"/>
        <w:rPr>
          <w:rFonts w:ascii="Abadi" w:eastAsia="SimSun" w:hAnsi="Abadi" w:cs="Arial"/>
          <w:i/>
          <w:iCs/>
          <w:sz w:val="21"/>
          <w:szCs w:val="21"/>
        </w:rPr>
      </w:pPr>
      <w:r w:rsidRPr="009845A7">
        <w:rPr>
          <w:rFonts w:ascii="Abadi" w:eastAsia="SimSun" w:hAnsi="Abadi" w:cs="Arial"/>
          <w:i/>
          <w:iCs/>
          <w:sz w:val="21"/>
          <w:szCs w:val="21"/>
        </w:rPr>
        <w:t>Dentro del contrato centralizado de medicamentos, marca que debe existir una programación mensual por cada una de las unidades médicas del ISAPEG, las cuales son remitidas a los proveedores.</w:t>
      </w:r>
    </w:p>
    <w:p w14:paraId="6E29C703" w14:textId="77777777" w:rsidR="009845A7" w:rsidRPr="009845A7" w:rsidRDefault="009845A7" w:rsidP="001D24D0">
      <w:pPr>
        <w:widowControl w:val="0"/>
        <w:autoSpaceDE w:val="0"/>
        <w:autoSpaceDN w:val="0"/>
        <w:ind w:left="1134" w:right="877"/>
        <w:jc w:val="both"/>
        <w:rPr>
          <w:rFonts w:ascii="Abadi" w:eastAsia="SimSun" w:hAnsi="Abadi" w:cs="Arial"/>
          <w:i/>
          <w:iCs/>
          <w:sz w:val="21"/>
          <w:szCs w:val="21"/>
        </w:rPr>
      </w:pPr>
    </w:p>
    <w:p w14:paraId="53C4C08A" w14:textId="77777777" w:rsidR="009845A7" w:rsidRPr="009845A7" w:rsidRDefault="009845A7" w:rsidP="001D24D0">
      <w:pPr>
        <w:widowControl w:val="0"/>
        <w:numPr>
          <w:ilvl w:val="0"/>
          <w:numId w:val="56"/>
        </w:numPr>
        <w:autoSpaceDE w:val="0"/>
        <w:autoSpaceDN w:val="0"/>
        <w:ind w:left="1134" w:right="877" w:hanging="283"/>
        <w:jc w:val="both"/>
        <w:rPr>
          <w:rFonts w:ascii="Abadi" w:eastAsia="SimSun" w:hAnsi="Abadi" w:cs="Arial"/>
          <w:i/>
          <w:iCs/>
          <w:sz w:val="21"/>
          <w:szCs w:val="21"/>
        </w:rPr>
      </w:pPr>
      <w:r w:rsidRPr="009845A7">
        <w:rPr>
          <w:rFonts w:ascii="Abadi" w:eastAsia="SimSun" w:hAnsi="Abadi" w:cs="Arial"/>
          <w:i/>
          <w:iCs/>
          <w:sz w:val="21"/>
          <w:szCs w:val="21"/>
        </w:rPr>
        <w:t>Estas programaciones contienen sus necesidades estimadas para operar durante un mes en específico, mes a mes se realiza este ejercicio para valorar y atender de acuerdo a la situación epidemiológica que se vive en cada región, y cada unidad médica.</w:t>
      </w:r>
    </w:p>
    <w:p w14:paraId="3E1B511D" w14:textId="77777777" w:rsidR="009845A7" w:rsidRPr="009845A7" w:rsidRDefault="009845A7" w:rsidP="001D24D0">
      <w:pPr>
        <w:spacing w:before="3"/>
        <w:ind w:right="877"/>
        <w:jc w:val="both"/>
        <w:rPr>
          <w:rFonts w:ascii="Abadi" w:eastAsia="SimSun" w:hAnsi="Abadi" w:cs="Arial"/>
          <w:i/>
          <w:iCs/>
          <w:sz w:val="21"/>
          <w:szCs w:val="21"/>
        </w:rPr>
      </w:pPr>
    </w:p>
    <w:p w14:paraId="39039D5A" w14:textId="77777777" w:rsidR="009845A7" w:rsidRPr="009845A7" w:rsidRDefault="009845A7" w:rsidP="001D24D0">
      <w:pPr>
        <w:widowControl w:val="0"/>
        <w:numPr>
          <w:ilvl w:val="0"/>
          <w:numId w:val="56"/>
        </w:numPr>
        <w:autoSpaceDE w:val="0"/>
        <w:autoSpaceDN w:val="0"/>
        <w:ind w:left="1134" w:right="877" w:hanging="283"/>
        <w:jc w:val="both"/>
        <w:rPr>
          <w:rFonts w:ascii="Abadi" w:eastAsia="SimSun" w:hAnsi="Abadi" w:cs="Arial"/>
          <w:i/>
          <w:iCs/>
          <w:sz w:val="21"/>
          <w:szCs w:val="21"/>
        </w:rPr>
      </w:pPr>
      <w:r w:rsidRPr="009845A7">
        <w:rPr>
          <w:rFonts w:ascii="Abadi" w:eastAsia="SimSun" w:hAnsi="Abadi" w:cs="Arial"/>
          <w:i/>
          <w:iCs/>
          <w:sz w:val="21"/>
          <w:szCs w:val="21"/>
        </w:rPr>
        <w:t>Las programaciones se entregan con un mes de anticipación a los proveedores contratados para que otorguen el servicio de administración, dispensación y resguardo hasta que se entregue al paciente.</w:t>
      </w:r>
    </w:p>
    <w:p w14:paraId="5AB85B0A" w14:textId="77777777" w:rsidR="009845A7" w:rsidRPr="009845A7" w:rsidRDefault="009845A7" w:rsidP="001D24D0">
      <w:pPr>
        <w:spacing w:before="11"/>
        <w:ind w:right="877"/>
        <w:jc w:val="both"/>
        <w:rPr>
          <w:rFonts w:ascii="Abadi" w:eastAsia="SimSun" w:hAnsi="Abadi" w:cs="Arial"/>
          <w:i/>
          <w:iCs/>
          <w:sz w:val="21"/>
          <w:szCs w:val="21"/>
        </w:rPr>
      </w:pPr>
    </w:p>
    <w:p w14:paraId="6D896433" w14:textId="77777777" w:rsidR="009845A7" w:rsidRPr="009845A7" w:rsidRDefault="009845A7" w:rsidP="001D24D0">
      <w:pPr>
        <w:widowControl w:val="0"/>
        <w:numPr>
          <w:ilvl w:val="0"/>
          <w:numId w:val="56"/>
        </w:numPr>
        <w:autoSpaceDE w:val="0"/>
        <w:autoSpaceDN w:val="0"/>
        <w:ind w:left="1134" w:right="877" w:hanging="283"/>
        <w:jc w:val="both"/>
        <w:rPr>
          <w:rFonts w:ascii="Abadi" w:eastAsia="SimSun" w:hAnsi="Abadi" w:cs="Arial"/>
          <w:i/>
          <w:iCs/>
          <w:sz w:val="21"/>
          <w:szCs w:val="21"/>
        </w:rPr>
      </w:pPr>
      <w:r w:rsidRPr="009845A7">
        <w:rPr>
          <w:rFonts w:ascii="Abadi" w:eastAsia="SimSun" w:hAnsi="Abadi" w:cs="Arial"/>
          <w:i/>
          <w:iCs/>
          <w:sz w:val="21"/>
          <w:szCs w:val="21"/>
        </w:rPr>
        <w:t>Se contemplan en el anexo vigente un total de 579 medicamentos, los cuales se tienen disponibles para ser usados por el área médica que así lo requiera.</w:t>
      </w:r>
    </w:p>
    <w:p w14:paraId="4AD5E300" w14:textId="77777777" w:rsidR="009845A7" w:rsidRPr="009845A7" w:rsidRDefault="009845A7" w:rsidP="001D24D0">
      <w:pPr>
        <w:spacing w:before="2"/>
        <w:jc w:val="both"/>
        <w:rPr>
          <w:rFonts w:ascii="Abadi" w:eastAsia="SimSun" w:hAnsi="Abadi" w:cs="Arial"/>
          <w:i/>
          <w:iCs/>
          <w:sz w:val="21"/>
          <w:szCs w:val="21"/>
        </w:rPr>
      </w:pPr>
    </w:p>
    <w:p w14:paraId="0A725530" w14:textId="77777777" w:rsidR="009845A7" w:rsidRPr="009845A7" w:rsidRDefault="009845A7" w:rsidP="001D24D0">
      <w:pPr>
        <w:spacing w:before="2"/>
        <w:jc w:val="both"/>
        <w:rPr>
          <w:rFonts w:ascii="Abadi" w:eastAsia="SimSun" w:hAnsi="Abadi" w:cs="Arial"/>
          <w:i/>
          <w:iCs/>
          <w:sz w:val="21"/>
          <w:szCs w:val="21"/>
        </w:rPr>
      </w:pPr>
    </w:p>
    <w:p w14:paraId="5F3AD246" w14:textId="77777777" w:rsidR="009845A7" w:rsidRPr="009845A7" w:rsidRDefault="009845A7" w:rsidP="001D24D0">
      <w:pPr>
        <w:widowControl w:val="0"/>
        <w:numPr>
          <w:ilvl w:val="0"/>
          <w:numId w:val="55"/>
        </w:numPr>
        <w:tabs>
          <w:tab w:val="left" w:pos="1276"/>
        </w:tabs>
        <w:autoSpaceDE w:val="0"/>
        <w:autoSpaceDN w:val="0"/>
        <w:spacing w:before="1"/>
        <w:ind w:left="1418" w:right="877" w:hanging="284"/>
        <w:jc w:val="both"/>
        <w:rPr>
          <w:rFonts w:ascii="Abadi" w:eastAsia="SimSun" w:hAnsi="Abadi" w:cs="Arial"/>
          <w:b/>
          <w:bCs/>
          <w:i/>
          <w:iCs/>
          <w:sz w:val="21"/>
          <w:szCs w:val="21"/>
        </w:rPr>
      </w:pPr>
      <w:r w:rsidRPr="009845A7">
        <w:rPr>
          <w:rFonts w:ascii="Abadi" w:eastAsia="SimSun" w:hAnsi="Abadi" w:cs="Arial"/>
          <w:i/>
          <w:iCs/>
          <w:sz w:val="21"/>
          <w:szCs w:val="21"/>
        </w:rPr>
        <w:t>Áreas   de    oportunidad    identificadas   para   evitar    el   desabasto   de Medicamentos.</w:t>
      </w:r>
    </w:p>
    <w:p w14:paraId="6EA1BE57" w14:textId="77777777" w:rsidR="009845A7" w:rsidRPr="009845A7" w:rsidRDefault="009845A7" w:rsidP="001D24D0">
      <w:pPr>
        <w:widowControl w:val="0"/>
        <w:autoSpaceDE w:val="0"/>
        <w:autoSpaceDN w:val="0"/>
        <w:spacing w:before="1"/>
        <w:ind w:left="709" w:right="-518"/>
        <w:jc w:val="both"/>
        <w:rPr>
          <w:rFonts w:ascii="Abadi" w:eastAsia="SimSun" w:hAnsi="Abadi" w:cs="Arial"/>
          <w:b/>
          <w:bCs/>
          <w:i/>
          <w:iCs/>
          <w:sz w:val="21"/>
          <w:szCs w:val="21"/>
        </w:rPr>
      </w:pPr>
    </w:p>
    <w:p w14:paraId="4E0FF38F" w14:textId="77777777" w:rsidR="009845A7" w:rsidRPr="009845A7" w:rsidRDefault="009845A7" w:rsidP="001D24D0">
      <w:pPr>
        <w:ind w:left="1134" w:hanging="567"/>
        <w:rPr>
          <w:rFonts w:ascii="Abadi" w:eastAsia="SimSun" w:hAnsi="Abadi" w:cs="Arial"/>
          <w:b/>
          <w:bCs/>
          <w:i/>
          <w:iCs/>
          <w:sz w:val="21"/>
          <w:szCs w:val="21"/>
        </w:rPr>
      </w:pPr>
      <w:r w:rsidRPr="009845A7">
        <w:rPr>
          <w:rFonts w:ascii="Abadi" w:eastAsia="SimSun" w:hAnsi="Abadi" w:cs="Arial"/>
          <w:b/>
          <w:bCs/>
          <w:i/>
          <w:iCs/>
          <w:sz w:val="21"/>
          <w:szCs w:val="21"/>
        </w:rPr>
        <w:t>Respuesta:</w:t>
      </w:r>
    </w:p>
    <w:p w14:paraId="54FF9AC7" w14:textId="77777777" w:rsidR="009845A7" w:rsidRPr="009845A7" w:rsidRDefault="009845A7" w:rsidP="001D24D0">
      <w:pPr>
        <w:ind w:left="1134" w:hanging="567"/>
        <w:rPr>
          <w:rFonts w:ascii="Abadi" w:eastAsia="SimSun" w:hAnsi="Abadi" w:cs="Arial"/>
          <w:i/>
          <w:iCs/>
          <w:sz w:val="21"/>
          <w:szCs w:val="21"/>
        </w:rPr>
      </w:pPr>
    </w:p>
    <w:p w14:paraId="6CE1985C" w14:textId="77777777" w:rsidR="009845A7" w:rsidRPr="009845A7" w:rsidRDefault="009845A7" w:rsidP="001D24D0">
      <w:pPr>
        <w:widowControl w:val="0"/>
        <w:numPr>
          <w:ilvl w:val="0"/>
          <w:numId w:val="57"/>
        </w:numPr>
        <w:autoSpaceDE w:val="0"/>
        <w:autoSpaceDN w:val="0"/>
        <w:spacing w:before="64"/>
        <w:ind w:left="1134" w:right="877" w:hanging="283"/>
        <w:jc w:val="both"/>
        <w:rPr>
          <w:rFonts w:ascii="Abadi" w:eastAsia="SimSun" w:hAnsi="Abadi" w:cs="Arial"/>
          <w:i/>
          <w:iCs/>
          <w:sz w:val="21"/>
          <w:szCs w:val="21"/>
        </w:rPr>
      </w:pPr>
      <w:r w:rsidRPr="009845A7">
        <w:rPr>
          <w:rFonts w:ascii="Abadi" w:eastAsia="SimSun" w:hAnsi="Abadi" w:cs="Arial"/>
          <w:i/>
          <w:iCs/>
          <w:sz w:val="21"/>
          <w:szCs w:val="21"/>
        </w:rPr>
        <w:t>Inclusión de laboratorios que produzcan las claves de medicamentos en desabasto.</w:t>
      </w:r>
    </w:p>
    <w:p w14:paraId="259EF9FC" w14:textId="77777777" w:rsidR="009845A7" w:rsidRPr="009845A7" w:rsidRDefault="009845A7" w:rsidP="001D24D0">
      <w:pPr>
        <w:widowControl w:val="0"/>
        <w:autoSpaceDE w:val="0"/>
        <w:autoSpaceDN w:val="0"/>
        <w:spacing w:before="64"/>
        <w:ind w:left="1134" w:right="877"/>
        <w:jc w:val="both"/>
        <w:rPr>
          <w:rFonts w:ascii="Abadi" w:eastAsia="SimSun" w:hAnsi="Abadi" w:cs="Arial"/>
          <w:i/>
          <w:iCs/>
          <w:sz w:val="21"/>
          <w:szCs w:val="21"/>
        </w:rPr>
      </w:pPr>
    </w:p>
    <w:p w14:paraId="5EE8F610" w14:textId="77777777" w:rsidR="009845A7" w:rsidRPr="009845A7" w:rsidRDefault="009845A7" w:rsidP="001D24D0">
      <w:pPr>
        <w:widowControl w:val="0"/>
        <w:numPr>
          <w:ilvl w:val="0"/>
          <w:numId w:val="57"/>
        </w:numPr>
        <w:autoSpaceDE w:val="0"/>
        <w:autoSpaceDN w:val="0"/>
        <w:spacing w:before="53"/>
        <w:ind w:left="1134" w:right="877" w:hanging="283"/>
        <w:jc w:val="both"/>
        <w:rPr>
          <w:rFonts w:ascii="Abadi" w:eastAsia="SimSun" w:hAnsi="Abadi" w:cs="Arial"/>
          <w:i/>
          <w:iCs/>
          <w:sz w:val="21"/>
          <w:szCs w:val="21"/>
        </w:rPr>
      </w:pPr>
      <w:r w:rsidRPr="009845A7">
        <w:rPr>
          <w:rFonts w:ascii="Abadi" w:eastAsia="SimSun" w:hAnsi="Abadi" w:cs="Arial"/>
          <w:i/>
          <w:iCs/>
          <w:sz w:val="21"/>
          <w:szCs w:val="21"/>
        </w:rPr>
        <w:t>Ante la falta de medicamento, el personal médico siempre considera otros medicamentos con la finalidad de brindar la mejor atención médica a las familias Guanajuatenses.</w:t>
      </w:r>
    </w:p>
    <w:p w14:paraId="2A34A286" w14:textId="77777777" w:rsidR="009845A7" w:rsidRPr="009845A7" w:rsidRDefault="009845A7" w:rsidP="001D24D0">
      <w:pPr>
        <w:widowControl w:val="0"/>
        <w:ind w:left="709" w:hanging="425"/>
        <w:jc w:val="both"/>
        <w:rPr>
          <w:rFonts w:ascii="Abadi" w:eastAsia="SimSun" w:hAnsi="Abadi" w:cs="Arial"/>
          <w:i/>
          <w:iCs/>
          <w:sz w:val="21"/>
          <w:szCs w:val="21"/>
        </w:rPr>
      </w:pPr>
    </w:p>
    <w:p w14:paraId="404BB8EF" w14:textId="77777777" w:rsidR="009845A7" w:rsidRPr="009845A7" w:rsidRDefault="009845A7" w:rsidP="001D24D0">
      <w:pPr>
        <w:tabs>
          <w:tab w:val="left" w:pos="709"/>
          <w:tab w:val="left" w:pos="851"/>
        </w:tabs>
        <w:ind w:left="142" w:firstLine="425"/>
        <w:rPr>
          <w:rFonts w:ascii="Abadi" w:hAnsi="Abadi" w:cs="Arial"/>
          <w:sz w:val="21"/>
          <w:szCs w:val="21"/>
          <w:lang w:val="es-MX"/>
        </w:rPr>
      </w:pPr>
      <w:r w:rsidRPr="009845A7">
        <w:rPr>
          <w:rFonts w:ascii="Abadi" w:hAnsi="Abadi" w:cs="Arial"/>
          <w:sz w:val="21"/>
          <w:szCs w:val="21"/>
          <w:lang w:val="es-MX"/>
        </w:rPr>
        <w:t xml:space="preserve"> (…)</w:t>
      </w:r>
    </w:p>
    <w:p w14:paraId="340282E4" w14:textId="77777777" w:rsidR="009845A7" w:rsidRPr="009845A7" w:rsidRDefault="009845A7" w:rsidP="001D24D0">
      <w:pPr>
        <w:tabs>
          <w:tab w:val="left" w:pos="567"/>
        </w:tabs>
        <w:ind w:firstLine="708"/>
        <w:jc w:val="both"/>
        <w:rPr>
          <w:rFonts w:ascii="Abadi" w:eastAsia="SimSun" w:hAnsi="Abadi" w:cs="Arial"/>
          <w:b/>
          <w:bCs/>
          <w:sz w:val="21"/>
          <w:szCs w:val="21"/>
        </w:rPr>
      </w:pPr>
    </w:p>
    <w:p w14:paraId="5F64250A" w14:textId="77777777" w:rsidR="009845A7" w:rsidRPr="009845A7" w:rsidRDefault="009845A7" w:rsidP="001D24D0">
      <w:pPr>
        <w:ind w:firstLine="709"/>
        <w:jc w:val="both"/>
        <w:rPr>
          <w:rFonts w:ascii="Abadi" w:eastAsia="SimSun" w:hAnsi="Abadi" w:cs="Arial"/>
          <w:sz w:val="21"/>
          <w:szCs w:val="21"/>
        </w:rPr>
      </w:pPr>
      <w:r w:rsidRPr="009845A7">
        <w:rPr>
          <w:rFonts w:ascii="Abadi" w:eastAsia="SimSun" w:hAnsi="Abadi" w:cs="Arial"/>
          <w:sz w:val="21"/>
          <w:szCs w:val="21"/>
        </w:rPr>
        <w:t xml:space="preserve">Conforme a la metodología de trabajo aprobada, la secretaría técnica de la comisión elaboró un documento en el que se concentró la información recibida, mismo que el 15 de abril de 2022 remitió vía correo electrónico a las diputadas y al diputado integrantes de la Comisión de Salud Pública, adjuntando tarjeta informativa sobre  el  trabajo  legislativo  realizado  a  esa  fecha  para  el  estudio   y </w:t>
      </w:r>
    </w:p>
    <w:p w14:paraId="1FEDE406" w14:textId="77777777" w:rsidR="009845A7" w:rsidRPr="009845A7" w:rsidRDefault="009845A7" w:rsidP="001D24D0">
      <w:pPr>
        <w:jc w:val="both"/>
        <w:rPr>
          <w:rFonts w:ascii="Abadi" w:eastAsia="SimSun" w:hAnsi="Abadi" w:cs="Arial"/>
          <w:sz w:val="21"/>
          <w:szCs w:val="21"/>
        </w:rPr>
      </w:pPr>
      <w:r w:rsidRPr="009845A7">
        <w:rPr>
          <w:rFonts w:ascii="Abadi" w:eastAsia="SimSun" w:hAnsi="Abadi" w:cs="Arial"/>
          <w:sz w:val="21"/>
          <w:szCs w:val="21"/>
        </w:rPr>
        <w:t xml:space="preserve">dictamen de la propuesta, así como el oficio CGAyF/DGA/DCySA/DSA-00147/2022, de 1 de marzo de 2022, mediante el cual la Secretaría de Salud del Estado dio respuesta a la solicitud de información peticionada por la comisión. </w:t>
      </w:r>
    </w:p>
    <w:p w14:paraId="04518988" w14:textId="77777777" w:rsidR="009845A7" w:rsidRPr="009845A7" w:rsidRDefault="009845A7" w:rsidP="001D24D0">
      <w:pPr>
        <w:tabs>
          <w:tab w:val="left" w:pos="567"/>
        </w:tabs>
        <w:ind w:firstLine="708"/>
        <w:jc w:val="both"/>
        <w:rPr>
          <w:rFonts w:ascii="Abadi" w:eastAsia="SimSun" w:hAnsi="Abadi" w:cs="Arial"/>
          <w:sz w:val="21"/>
          <w:szCs w:val="21"/>
        </w:rPr>
      </w:pPr>
    </w:p>
    <w:p w14:paraId="4715E798" w14:textId="77777777" w:rsidR="009845A7" w:rsidRPr="009845A7" w:rsidRDefault="009845A7" w:rsidP="001D24D0">
      <w:pPr>
        <w:tabs>
          <w:tab w:val="left" w:pos="567"/>
        </w:tabs>
        <w:jc w:val="both"/>
        <w:rPr>
          <w:rFonts w:ascii="Abadi" w:eastAsia="SimSun" w:hAnsi="Abadi" w:cs="Arial"/>
          <w:sz w:val="21"/>
          <w:szCs w:val="21"/>
        </w:rPr>
      </w:pPr>
      <w:r w:rsidRPr="009845A7">
        <w:rPr>
          <w:rFonts w:ascii="Abadi" w:eastAsia="SimSun" w:hAnsi="Abadi" w:cs="Arial"/>
          <w:b/>
          <w:bCs/>
          <w:sz w:val="21"/>
          <w:szCs w:val="21"/>
        </w:rPr>
        <w:tab/>
        <w:t xml:space="preserve">1.6 </w:t>
      </w:r>
      <w:r w:rsidRPr="009845A7">
        <w:rPr>
          <w:rFonts w:ascii="Abadi" w:eastAsia="SimSun" w:hAnsi="Abadi" w:cs="Arial"/>
          <w:sz w:val="21"/>
          <w:szCs w:val="21"/>
        </w:rPr>
        <w:t xml:space="preserve">El 19 de abril del 2022 se llevó a cabo la mesa a la que asistieron de forma presencial la diputada presidenta de la Comisión de Salud Pública Irma Leticia González Sánchez, las diputadas Angélica Casillas Martínez y Katya Cristina Soto Escamilla, y el diputado Ernesto Millán Soberanes. Asimismo, los asesores licenciados Ángel Raymundo Osorio Ponce y Rodrigo Navarrete Garza del Grupo Parlamentario del Partido Morena, el licenciado Juan Pablo Fernando Galván Aguilar y la licenciada Marisol Cano Echeverría, asesores del Grupo Parlamentario del Partido Acción Nacional, y la secretaria técnica de la comisión. </w:t>
      </w:r>
    </w:p>
    <w:p w14:paraId="2E628D1C" w14:textId="77777777" w:rsidR="009845A7" w:rsidRPr="009845A7" w:rsidRDefault="009845A7" w:rsidP="001D24D0">
      <w:pPr>
        <w:tabs>
          <w:tab w:val="left" w:pos="567"/>
        </w:tabs>
        <w:jc w:val="both"/>
        <w:rPr>
          <w:rFonts w:ascii="Abadi" w:eastAsia="SimSun" w:hAnsi="Abadi" w:cs="Arial"/>
          <w:b/>
          <w:bCs/>
          <w:sz w:val="21"/>
          <w:szCs w:val="21"/>
        </w:rPr>
      </w:pPr>
    </w:p>
    <w:p w14:paraId="15CC2B50" w14:textId="77777777" w:rsidR="009845A7" w:rsidRPr="009845A7" w:rsidRDefault="009845A7" w:rsidP="001D24D0">
      <w:pPr>
        <w:tabs>
          <w:tab w:val="left" w:pos="567"/>
        </w:tabs>
        <w:jc w:val="both"/>
        <w:rPr>
          <w:rFonts w:ascii="Abadi" w:eastAsia="SimSun" w:hAnsi="Abadi" w:cs="Arial"/>
          <w:sz w:val="21"/>
          <w:szCs w:val="21"/>
        </w:rPr>
      </w:pPr>
      <w:r w:rsidRPr="009845A7">
        <w:rPr>
          <w:rFonts w:ascii="Abadi" w:eastAsia="SimSun" w:hAnsi="Abadi" w:cs="Arial"/>
          <w:b/>
          <w:bCs/>
          <w:sz w:val="21"/>
          <w:szCs w:val="21"/>
        </w:rPr>
        <w:tab/>
        <w:t xml:space="preserve">1.7 </w:t>
      </w:r>
      <w:r w:rsidRPr="009845A7">
        <w:rPr>
          <w:rFonts w:ascii="Abadi" w:eastAsia="SimSun" w:hAnsi="Abadi" w:cs="Arial"/>
          <w:sz w:val="21"/>
          <w:szCs w:val="21"/>
        </w:rPr>
        <w:t>En reunión de la Comisión de Salud Pública celebrada el 31 de mayo del 2022, la diputada presidenta Irma Leticia González Sánchez, atendiendo al análisis de la propuesta de punto de acuerdo y a la información recibida por parte de la dependencia mencionada, instruyó a la secretaria técnica la elaboración del proyecto de dictamen en sentido negativo de la propuesta en cuestión.</w:t>
      </w:r>
    </w:p>
    <w:p w14:paraId="54A6621F" w14:textId="77777777" w:rsidR="009845A7" w:rsidRPr="009845A7" w:rsidRDefault="009845A7" w:rsidP="001D24D0">
      <w:pPr>
        <w:ind w:firstLine="708"/>
        <w:jc w:val="both"/>
        <w:rPr>
          <w:rFonts w:ascii="Abadi" w:eastAsia="SimSun" w:hAnsi="Abadi" w:cs="Arial"/>
          <w:b/>
          <w:bCs/>
          <w:sz w:val="21"/>
          <w:szCs w:val="21"/>
        </w:rPr>
      </w:pPr>
    </w:p>
    <w:p w14:paraId="0E0F12BC" w14:textId="77777777" w:rsidR="009845A7" w:rsidRPr="009845A7" w:rsidRDefault="009845A7" w:rsidP="001D24D0">
      <w:pPr>
        <w:ind w:firstLine="708"/>
        <w:jc w:val="both"/>
        <w:rPr>
          <w:rFonts w:ascii="Abadi" w:eastAsia="SimSun" w:hAnsi="Abadi" w:cs="Arial"/>
          <w:b/>
          <w:bCs/>
          <w:sz w:val="21"/>
          <w:szCs w:val="21"/>
        </w:rPr>
      </w:pPr>
      <w:r w:rsidRPr="009845A7">
        <w:rPr>
          <w:rFonts w:ascii="Abadi" w:eastAsia="SimSun" w:hAnsi="Abadi" w:cs="Arial"/>
          <w:b/>
          <w:bCs/>
          <w:sz w:val="21"/>
          <w:szCs w:val="21"/>
        </w:rPr>
        <w:t xml:space="preserve">II. Consideraciones. </w:t>
      </w:r>
    </w:p>
    <w:p w14:paraId="734E771B" w14:textId="77777777" w:rsidR="009845A7" w:rsidRPr="009845A7" w:rsidRDefault="009845A7" w:rsidP="001D24D0">
      <w:pPr>
        <w:tabs>
          <w:tab w:val="left" w:pos="567"/>
        </w:tabs>
        <w:jc w:val="both"/>
        <w:rPr>
          <w:rFonts w:ascii="Abadi" w:eastAsia="SimSun" w:hAnsi="Abadi" w:cs="Arial"/>
          <w:b/>
          <w:bCs/>
          <w:sz w:val="21"/>
          <w:szCs w:val="21"/>
        </w:rPr>
      </w:pPr>
      <w:r w:rsidRPr="009845A7">
        <w:rPr>
          <w:rFonts w:ascii="Abadi" w:eastAsia="SimSun" w:hAnsi="Abadi" w:cs="Arial"/>
          <w:sz w:val="21"/>
          <w:szCs w:val="21"/>
        </w:rPr>
        <w:tab/>
        <w:t xml:space="preserve">   Esta comisión dictaminadora estima de suma relevancia el que la población tenga acceso seguro, oportuno y suficiente a los medicamentos, al ser un insumo importante en el proceso terapéutico, y para cuyo logro, la vinculación y colaboración de los diversos actores institucionales que en ello intervienen es fundamental.</w:t>
      </w:r>
    </w:p>
    <w:p w14:paraId="243C4B95" w14:textId="77777777" w:rsidR="009845A7" w:rsidRPr="009845A7" w:rsidRDefault="009845A7" w:rsidP="001D24D0">
      <w:pPr>
        <w:ind w:right="27" w:firstLine="708"/>
        <w:jc w:val="both"/>
        <w:rPr>
          <w:rFonts w:ascii="Abadi" w:eastAsia="SimSun" w:hAnsi="Abadi" w:cs="Arial"/>
          <w:sz w:val="21"/>
          <w:szCs w:val="21"/>
        </w:rPr>
      </w:pPr>
    </w:p>
    <w:p w14:paraId="382C67E0" w14:textId="77777777" w:rsidR="009845A7" w:rsidRPr="009845A7" w:rsidRDefault="009845A7" w:rsidP="001D24D0">
      <w:pPr>
        <w:ind w:right="27" w:firstLine="708"/>
        <w:jc w:val="both"/>
        <w:rPr>
          <w:rFonts w:ascii="Abadi" w:eastAsia="SimSun" w:hAnsi="Abadi" w:cs="Arial"/>
          <w:sz w:val="21"/>
          <w:szCs w:val="21"/>
        </w:rPr>
      </w:pPr>
      <w:r w:rsidRPr="009845A7">
        <w:rPr>
          <w:rFonts w:ascii="Abadi" w:eastAsia="SimSun" w:hAnsi="Abadi" w:cs="Arial"/>
          <w:sz w:val="21"/>
          <w:szCs w:val="21"/>
        </w:rPr>
        <w:t xml:space="preserve">Una vez analizada la propuesta de punto de acuerdo y la información remitida por la Secretaría de Salud del Estado, procederemos a abordar rubros de estas. </w:t>
      </w:r>
    </w:p>
    <w:p w14:paraId="1A99C090" w14:textId="77777777" w:rsidR="009845A7" w:rsidRPr="009845A7" w:rsidRDefault="009845A7" w:rsidP="001D24D0">
      <w:pPr>
        <w:spacing w:before="190"/>
        <w:ind w:right="27" w:firstLine="851"/>
        <w:jc w:val="both"/>
        <w:rPr>
          <w:rFonts w:ascii="Abadi" w:eastAsia="SimSun" w:hAnsi="Abadi" w:cs="Arial"/>
          <w:sz w:val="21"/>
          <w:szCs w:val="21"/>
        </w:rPr>
      </w:pPr>
      <w:r w:rsidRPr="009845A7">
        <w:rPr>
          <w:rFonts w:ascii="Abadi" w:eastAsia="SimSun" w:hAnsi="Abadi" w:cs="Arial"/>
          <w:sz w:val="21"/>
          <w:szCs w:val="21"/>
        </w:rPr>
        <w:t xml:space="preserve">En la propuesta que nos ocupa, a la fecha de su presentación -3 de junio de 2021-, las y los iniciantes expusieron el haber desabasto de medicamentos. </w:t>
      </w:r>
    </w:p>
    <w:p w14:paraId="177D1308" w14:textId="77777777" w:rsidR="009845A7" w:rsidRPr="009845A7" w:rsidRDefault="009845A7" w:rsidP="001D24D0">
      <w:pPr>
        <w:tabs>
          <w:tab w:val="left" w:pos="1650"/>
        </w:tabs>
        <w:ind w:firstLine="851"/>
        <w:jc w:val="both"/>
        <w:rPr>
          <w:rFonts w:ascii="Abadi" w:eastAsia="SimSun" w:hAnsi="Abadi" w:cs="Arial"/>
          <w:sz w:val="21"/>
          <w:szCs w:val="21"/>
        </w:rPr>
      </w:pPr>
    </w:p>
    <w:p w14:paraId="344FCEA8" w14:textId="77777777" w:rsidR="009845A7" w:rsidRPr="009845A7" w:rsidRDefault="009845A7" w:rsidP="001D24D0">
      <w:pPr>
        <w:tabs>
          <w:tab w:val="left" w:pos="1650"/>
        </w:tabs>
        <w:ind w:firstLine="851"/>
        <w:jc w:val="both"/>
        <w:rPr>
          <w:rFonts w:ascii="Abadi" w:eastAsia="SimSun" w:hAnsi="Abadi" w:cs="Arial"/>
          <w:sz w:val="21"/>
          <w:szCs w:val="21"/>
        </w:rPr>
      </w:pPr>
      <w:r w:rsidRPr="009845A7">
        <w:rPr>
          <w:rFonts w:ascii="Abadi" w:eastAsia="SimSun" w:hAnsi="Abadi" w:cs="Arial"/>
          <w:sz w:val="21"/>
          <w:szCs w:val="21"/>
        </w:rPr>
        <w:t xml:space="preserve">Por su parte, la Secretaría de Salud del Estado informó que, respecto al desabasto de medicamentos -11 claves de las 579 disponibles para el Instituto de Salud Pública del Estado de Guanajuato (ISAPEG)- los laboratorios manifestaban: </w:t>
      </w:r>
    </w:p>
    <w:p w14:paraId="74B7D812" w14:textId="77777777" w:rsidR="009845A7" w:rsidRPr="009845A7" w:rsidRDefault="009845A7" w:rsidP="001D24D0">
      <w:pPr>
        <w:tabs>
          <w:tab w:val="left" w:pos="1650"/>
        </w:tabs>
        <w:ind w:right="877" w:firstLine="851"/>
        <w:jc w:val="both"/>
        <w:rPr>
          <w:rFonts w:ascii="Abadi" w:eastAsia="SimSun" w:hAnsi="Abadi" w:cs="Arial"/>
          <w:i/>
          <w:iCs/>
          <w:sz w:val="21"/>
          <w:szCs w:val="21"/>
        </w:rPr>
      </w:pPr>
    </w:p>
    <w:p w14:paraId="4BE930F6" w14:textId="77777777" w:rsidR="009845A7" w:rsidRPr="009845A7" w:rsidRDefault="009845A7" w:rsidP="001D24D0">
      <w:pPr>
        <w:tabs>
          <w:tab w:val="left" w:pos="1650"/>
        </w:tabs>
        <w:ind w:left="851" w:right="877"/>
        <w:jc w:val="both"/>
        <w:rPr>
          <w:rFonts w:ascii="Abadi" w:eastAsia="SimSun" w:hAnsi="Abadi" w:cs="Arial"/>
          <w:i/>
          <w:iCs/>
          <w:sz w:val="21"/>
          <w:szCs w:val="21"/>
        </w:rPr>
      </w:pPr>
      <w:r w:rsidRPr="009845A7">
        <w:rPr>
          <w:rFonts w:ascii="Abadi" w:eastAsia="SimSun" w:hAnsi="Abadi" w:cs="Arial"/>
          <w:i/>
          <w:iCs/>
          <w:sz w:val="21"/>
          <w:szCs w:val="21"/>
        </w:rPr>
        <w:t xml:space="preserve">(…) En lo que respecta al presente, cabe mencionar que los diferentes Laboratorios encargados de surtir o abastecer los medicamentos para atender los padecimientos y/o enfermedades de la población guanajuatense, han expresado que a razón de la falta de insumos, ingredientes activos y/o materiales para su producción, entre otros, no ha sido posible el surtimiento de medicamentos; con motivo de que algunos se han dado de baja, descontinuado y dejado de producir algunos de los medicamentos referidos en el punto anterior. </w:t>
      </w:r>
    </w:p>
    <w:p w14:paraId="4C08221C" w14:textId="77777777" w:rsidR="009845A7" w:rsidRPr="009845A7" w:rsidRDefault="009845A7" w:rsidP="001D24D0">
      <w:pPr>
        <w:tabs>
          <w:tab w:val="left" w:pos="1650"/>
        </w:tabs>
        <w:ind w:left="851" w:right="877"/>
        <w:jc w:val="both"/>
        <w:rPr>
          <w:rFonts w:ascii="Abadi" w:eastAsia="SimSun" w:hAnsi="Abadi" w:cs="Arial"/>
          <w:i/>
          <w:iCs/>
          <w:sz w:val="21"/>
          <w:szCs w:val="21"/>
        </w:rPr>
      </w:pPr>
    </w:p>
    <w:p w14:paraId="6F1176B8" w14:textId="77777777" w:rsidR="009845A7" w:rsidRPr="009845A7" w:rsidRDefault="009845A7" w:rsidP="001D24D0">
      <w:pPr>
        <w:ind w:right="27" w:firstLine="851"/>
        <w:jc w:val="both"/>
        <w:rPr>
          <w:rFonts w:ascii="Abadi" w:eastAsia="SimSun" w:hAnsi="Abadi" w:cs="Arial"/>
          <w:i/>
          <w:iCs/>
          <w:sz w:val="21"/>
          <w:szCs w:val="21"/>
        </w:rPr>
      </w:pPr>
      <w:r w:rsidRPr="009845A7">
        <w:rPr>
          <w:rFonts w:ascii="Abadi" w:eastAsia="SimSun" w:hAnsi="Abadi" w:cs="Arial"/>
          <w:sz w:val="21"/>
          <w:szCs w:val="21"/>
        </w:rPr>
        <w:t>Asimismo, señalo que el ISAPEG adquiere medicamentos, incluyendo el servicio de administración y su dispensación en modalidad de stock, farmacia y servicio de unidosis a través de licitaciones públicas, gestionadas a través de la Secretaría de Finanzas, Inversión y</w:t>
      </w:r>
      <w:r w:rsidRPr="009845A7">
        <w:rPr>
          <w:rFonts w:ascii="Abadi" w:eastAsia="SimSun" w:hAnsi="Abadi" w:cs="Arial"/>
          <w:i/>
          <w:iCs/>
          <w:sz w:val="21"/>
          <w:szCs w:val="21"/>
        </w:rPr>
        <w:t xml:space="preserve"> Administración; y, la distribución programarse mensualmente en cada una de las unidades médicas.</w:t>
      </w:r>
    </w:p>
    <w:p w14:paraId="0C0455ED" w14:textId="77777777" w:rsidR="009845A7" w:rsidRPr="009845A7" w:rsidRDefault="009845A7" w:rsidP="001D24D0">
      <w:pPr>
        <w:tabs>
          <w:tab w:val="left" w:pos="567"/>
        </w:tabs>
        <w:ind w:right="27" w:hanging="284"/>
        <w:jc w:val="both"/>
        <w:rPr>
          <w:rFonts w:ascii="Abadi" w:eastAsia="SimSun" w:hAnsi="Abadi" w:cs="Arial"/>
          <w:i/>
          <w:iCs/>
          <w:sz w:val="21"/>
          <w:szCs w:val="21"/>
        </w:rPr>
      </w:pPr>
      <w:r w:rsidRPr="009845A7">
        <w:rPr>
          <w:rFonts w:ascii="Abadi" w:eastAsia="SimSun" w:hAnsi="Abadi" w:cs="Arial"/>
          <w:i/>
          <w:iCs/>
          <w:sz w:val="21"/>
          <w:szCs w:val="21"/>
        </w:rPr>
        <w:t xml:space="preserve">    </w:t>
      </w:r>
      <w:r w:rsidRPr="009845A7">
        <w:rPr>
          <w:rFonts w:ascii="Abadi" w:eastAsia="SimSun" w:hAnsi="Abadi" w:cs="Arial"/>
          <w:i/>
          <w:iCs/>
          <w:sz w:val="21"/>
          <w:szCs w:val="21"/>
        </w:rPr>
        <w:tab/>
        <w:t xml:space="preserve"> </w:t>
      </w:r>
      <w:r w:rsidRPr="009845A7">
        <w:rPr>
          <w:rFonts w:ascii="Abadi" w:eastAsia="SimSun" w:hAnsi="Abadi" w:cs="Arial"/>
          <w:i/>
          <w:iCs/>
          <w:sz w:val="21"/>
          <w:szCs w:val="21"/>
        </w:rPr>
        <w:tab/>
      </w:r>
    </w:p>
    <w:p w14:paraId="1D6119ED" w14:textId="77777777" w:rsidR="009845A7" w:rsidRPr="009845A7" w:rsidRDefault="009845A7" w:rsidP="001D24D0">
      <w:pPr>
        <w:tabs>
          <w:tab w:val="left" w:pos="851"/>
        </w:tabs>
        <w:spacing w:before="27"/>
        <w:ind w:right="27" w:hanging="284"/>
        <w:jc w:val="both"/>
        <w:rPr>
          <w:rFonts w:ascii="Abadi" w:eastAsia="SimSun" w:hAnsi="Abadi" w:cs="Arial"/>
          <w:sz w:val="21"/>
          <w:szCs w:val="21"/>
        </w:rPr>
      </w:pPr>
      <w:r w:rsidRPr="009845A7">
        <w:rPr>
          <w:rFonts w:ascii="Abadi" w:eastAsia="SimSun" w:hAnsi="Abadi" w:cs="Arial"/>
          <w:i/>
          <w:iCs/>
          <w:sz w:val="21"/>
          <w:szCs w:val="21"/>
        </w:rPr>
        <w:tab/>
      </w:r>
      <w:r w:rsidRPr="009845A7">
        <w:rPr>
          <w:rFonts w:ascii="Abadi" w:eastAsia="SimSun" w:hAnsi="Abadi" w:cs="Arial"/>
          <w:i/>
          <w:iCs/>
          <w:sz w:val="21"/>
          <w:szCs w:val="21"/>
        </w:rPr>
        <w:tab/>
      </w:r>
      <w:r w:rsidRPr="009845A7">
        <w:rPr>
          <w:rFonts w:ascii="Abadi" w:eastAsia="SimSun" w:hAnsi="Abadi" w:cs="Arial"/>
          <w:sz w:val="21"/>
          <w:szCs w:val="21"/>
        </w:rPr>
        <w:t xml:space="preserve">En cuanto a la entrega de medicamentos de la federación al almacén estatal, generarse afectación en la operatividad de las unidades médicas al presentarse retraso en la entrega. </w:t>
      </w:r>
    </w:p>
    <w:p w14:paraId="312C4EBF" w14:textId="77777777" w:rsidR="009845A7" w:rsidRPr="009845A7" w:rsidRDefault="009845A7" w:rsidP="001D24D0">
      <w:pPr>
        <w:tabs>
          <w:tab w:val="left" w:pos="1650"/>
        </w:tabs>
        <w:ind w:firstLine="708"/>
        <w:jc w:val="both"/>
        <w:rPr>
          <w:rFonts w:ascii="Abadi" w:eastAsia="SimSun" w:hAnsi="Abadi" w:cs="Arial"/>
          <w:b/>
          <w:bCs/>
          <w:sz w:val="21"/>
          <w:szCs w:val="21"/>
        </w:rPr>
      </w:pPr>
    </w:p>
    <w:p w14:paraId="0BD5D154" w14:textId="77777777" w:rsidR="009845A7" w:rsidRPr="009845A7" w:rsidRDefault="009845A7" w:rsidP="001D24D0">
      <w:pPr>
        <w:ind w:right="27" w:firstLine="708"/>
        <w:jc w:val="both"/>
        <w:rPr>
          <w:rFonts w:ascii="Abadi" w:eastAsia="SimSun" w:hAnsi="Abadi" w:cs="Arial"/>
          <w:sz w:val="21"/>
          <w:szCs w:val="21"/>
        </w:rPr>
      </w:pPr>
      <w:r w:rsidRPr="009845A7">
        <w:rPr>
          <w:rFonts w:ascii="Abadi" w:eastAsia="SimSun" w:hAnsi="Abadi" w:cs="Arial"/>
          <w:sz w:val="21"/>
          <w:szCs w:val="21"/>
        </w:rPr>
        <w:t>Ahora bien, es de apreciarse que la propuesta de punto de acuerdo fue planteada a partir del escenario y circunstancias dadas al 3 de junio del 2021 -fecha de presentación de la propuesta- a decir de las y los proponentes. Y, por lo que hace a la información proporcionada por la Secretaría de Salud, se desprende la dinámica generada en cuanto a los medicamentos al mes de marzo de 2022; lo que lleva a concluir por quienes dictaminamos el no ser pertinente la propuesta de punto de acuerdo que nos ocupa, en virtud del tiempo transcurrido entre la fecha de presentación de la propuesta de punto de acuerdo y el día de hoy, por lo que se ordena el archivo definitivo de la propuesta de punto de acuerdo de mérito.</w:t>
      </w:r>
    </w:p>
    <w:p w14:paraId="24CC321F" w14:textId="77777777" w:rsidR="009845A7" w:rsidRPr="009845A7" w:rsidRDefault="009845A7" w:rsidP="001D24D0">
      <w:pPr>
        <w:ind w:firstLine="709"/>
        <w:jc w:val="both"/>
        <w:rPr>
          <w:rFonts w:ascii="Abadi" w:eastAsia="SimSun" w:hAnsi="Abadi" w:cs="Arial"/>
          <w:sz w:val="21"/>
          <w:szCs w:val="21"/>
        </w:rPr>
      </w:pPr>
    </w:p>
    <w:p w14:paraId="48ABA85A" w14:textId="77777777" w:rsidR="009845A7" w:rsidRPr="009845A7" w:rsidRDefault="009845A7" w:rsidP="001D24D0">
      <w:pPr>
        <w:ind w:firstLine="709"/>
        <w:jc w:val="both"/>
        <w:rPr>
          <w:rFonts w:ascii="Abadi" w:eastAsia="SimSun" w:hAnsi="Abadi" w:cs="Arial"/>
          <w:sz w:val="21"/>
          <w:szCs w:val="21"/>
        </w:rPr>
      </w:pPr>
      <w:r w:rsidRPr="009845A7">
        <w:rPr>
          <w:rFonts w:ascii="Abadi" w:eastAsia="SimSun" w:hAnsi="Abadi" w:cs="Arial"/>
          <w:sz w:val="21"/>
          <w:szCs w:val="21"/>
        </w:rPr>
        <w:t xml:space="preserve">En virtud de lo anterior, con fundamento en los artículos 75, </w:t>
      </w:r>
      <w:r w:rsidRPr="009845A7">
        <w:rPr>
          <w:rFonts w:ascii="Abadi" w:eastAsia="SimSun" w:hAnsi="Abadi"/>
          <w:bCs/>
          <w:sz w:val="21"/>
          <w:szCs w:val="21"/>
          <w:lang w:val="es-MX" w:eastAsia="en-US"/>
        </w:rPr>
        <w:t xml:space="preserve">118, fracción II y 171 </w:t>
      </w:r>
      <w:r w:rsidRPr="009845A7">
        <w:rPr>
          <w:rFonts w:ascii="Abadi" w:eastAsia="SimSun" w:hAnsi="Abadi" w:cs="Arial"/>
          <w:sz w:val="21"/>
          <w:szCs w:val="21"/>
        </w:rPr>
        <w:t>de la Ley Orgánica del Poder Legislativo del Estado de Guanajuato, sometemos a la consideración de la Asamblea el siguiente:</w:t>
      </w:r>
    </w:p>
    <w:p w14:paraId="7C665D68" w14:textId="77777777" w:rsidR="009845A7" w:rsidRPr="009845A7" w:rsidRDefault="009845A7" w:rsidP="001D24D0">
      <w:pPr>
        <w:jc w:val="center"/>
        <w:rPr>
          <w:rFonts w:ascii="Abadi" w:hAnsi="Abadi" w:cs="Arial"/>
          <w:b/>
          <w:sz w:val="21"/>
          <w:szCs w:val="21"/>
        </w:rPr>
      </w:pPr>
    </w:p>
    <w:p w14:paraId="7E1A6161" w14:textId="77777777" w:rsidR="009845A7" w:rsidRPr="009845A7" w:rsidRDefault="009845A7" w:rsidP="001D24D0">
      <w:pPr>
        <w:jc w:val="center"/>
        <w:rPr>
          <w:rFonts w:ascii="Abadi" w:hAnsi="Abadi" w:cs="Arial"/>
          <w:b/>
          <w:sz w:val="21"/>
          <w:szCs w:val="21"/>
        </w:rPr>
      </w:pPr>
      <w:r w:rsidRPr="009845A7">
        <w:rPr>
          <w:rFonts w:ascii="Abadi" w:hAnsi="Abadi" w:cs="Arial"/>
          <w:b/>
          <w:sz w:val="21"/>
          <w:szCs w:val="21"/>
        </w:rPr>
        <w:t>A C U E R D O</w:t>
      </w:r>
    </w:p>
    <w:p w14:paraId="5516B727" w14:textId="77777777" w:rsidR="009845A7" w:rsidRPr="009845A7" w:rsidRDefault="009845A7" w:rsidP="001D24D0">
      <w:pPr>
        <w:autoSpaceDE w:val="0"/>
        <w:autoSpaceDN w:val="0"/>
        <w:adjustRightInd w:val="0"/>
        <w:ind w:firstLine="708"/>
        <w:jc w:val="both"/>
        <w:rPr>
          <w:rFonts w:ascii="Abadi" w:eastAsia="SimSun" w:hAnsi="Abadi" w:cs="Arial"/>
          <w:sz w:val="21"/>
          <w:szCs w:val="21"/>
        </w:rPr>
      </w:pPr>
    </w:p>
    <w:p w14:paraId="637D492E" w14:textId="77777777" w:rsidR="009845A7" w:rsidRPr="009845A7" w:rsidRDefault="009845A7" w:rsidP="001D24D0">
      <w:pPr>
        <w:autoSpaceDE w:val="0"/>
        <w:autoSpaceDN w:val="0"/>
        <w:adjustRightInd w:val="0"/>
        <w:ind w:firstLine="708"/>
        <w:jc w:val="both"/>
        <w:rPr>
          <w:rFonts w:ascii="Abadi" w:eastAsia="SimSun" w:hAnsi="Abadi"/>
          <w:b/>
          <w:sz w:val="21"/>
          <w:szCs w:val="21"/>
        </w:rPr>
      </w:pPr>
      <w:r w:rsidRPr="009845A7">
        <w:rPr>
          <w:rFonts w:ascii="Abadi" w:eastAsia="SimSun" w:hAnsi="Abadi" w:cs="Arial"/>
          <w:b/>
          <w:bCs/>
          <w:sz w:val="21"/>
          <w:szCs w:val="21"/>
        </w:rPr>
        <w:t>Único.</w:t>
      </w:r>
      <w:r w:rsidRPr="009845A7">
        <w:rPr>
          <w:rFonts w:ascii="Abadi" w:eastAsia="SimSun" w:hAnsi="Abadi" w:cs="Arial"/>
          <w:sz w:val="21"/>
          <w:szCs w:val="21"/>
        </w:rPr>
        <w:t xml:space="preserve">  No resulta pertinente la propuesta </w:t>
      </w:r>
      <w:r w:rsidRPr="009845A7">
        <w:rPr>
          <w:rFonts w:ascii="Abadi" w:eastAsia="SimSun" w:hAnsi="Abadi"/>
          <w:bCs/>
          <w:sz w:val="21"/>
          <w:szCs w:val="21"/>
        </w:rPr>
        <w:t xml:space="preserve">de punto de acuerdo formulada por diputadas y diputados integrantes del Grupo Parlamentario del Partido Acción Nacional ante la Sexagésima Cuarta Legislatura del Congreso del Estado, por el cual se exhorta al Poder Ejecutivo Federal para que a la brevedad posible dé solución al desabasto de medicinas en el sector salud, </w:t>
      </w:r>
      <w:bookmarkStart w:id="41" w:name="_Hlk106722170"/>
      <w:r w:rsidRPr="009845A7">
        <w:rPr>
          <w:rFonts w:ascii="Abadi" w:eastAsia="SimSun" w:hAnsi="Abadi"/>
          <w:bCs/>
          <w:sz w:val="21"/>
          <w:szCs w:val="21"/>
        </w:rPr>
        <w:t>por lo que se ordena el archivo definitivo de la misma.</w:t>
      </w:r>
    </w:p>
    <w:bookmarkEnd w:id="41"/>
    <w:p w14:paraId="586D46C5" w14:textId="77777777" w:rsidR="009845A7" w:rsidRPr="009845A7" w:rsidRDefault="009845A7" w:rsidP="001D24D0">
      <w:pPr>
        <w:tabs>
          <w:tab w:val="left" w:pos="3969"/>
          <w:tab w:val="left" w:pos="9072"/>
        </w:tabs>
        <w:ind w:left="-142" w:right="-1" w:firstLine="993"/>
        <w:jc w:val="both"/>
        <w:rPr>
          <w:rFonts w:ascii="Abadi" w:eastAsia="SimSun" w:hAnsi="Abadi"/>
          <w:b/>
          <w:sz w:val="21"/>
          <w:szCs w:val="21"/>
        </w:rPr>
      </w:pPr>
    </w:p>
    <w:p w14:paraId="7340E455" w14:textId="77777777" w:rsidR="009845A7" w:rsidRPr="009845A7" w:rsidRDefault="009845A7" w:rsidP="001D24D0">
      <w:pPr>
        <w:tabs>
          <w:tab w:val="left" w:pos="3969"/>
          <w:tab w:val="left" w:pos="9072"/>
        </w:tabs>
        <w:ind w:left="-142" w:right="-1" w:firstLine="993"/>
        <w:jc w:val="both"/>
        <w:rPr>
          <w:rFonts w:ascii="Abadi" w:eastAsia="SimSun" w:hAnsi="Abadi"/>
          <w:bCs/>
          <w:sz w:val="21"/>
          <w:szCs w:val="21"/>
        </w:rPr>
      </w:pPr>
      <w:r w:rsidRPr="009845A7">
        <w:rPr>
          <w:rFonts w:ascii="Abadi" w:eastAsia="SimSun" w:hAnsi="Abadi"/>
          <w:bCs/>
          <w:sz w:val="21"/>
          <w:szCs w:val="21"/>
        </w:rPr>
        <w:t xml:space="preserve">Comuníquese el presente acuerdo a la Secretaría General del Congreso del Estado, para los efectos conducentes. </w:t>
      </w:r>
    </w:p>
    <w:p w14:paraId="1B8478E2" w14:textId="77777777" w:rsidR="009845A7" w:rsidRPr="009845A7" w:rsidRDefault="009845A7" w:rsidP="001D24D0">
      <w:pPr>
        <w:ind w:right="-1" w:firstLine="708"/>
        <w:jc w:val="both"/>
        <w:rPr>
          <w:rFonts w:ascii="Abadi" w:hAnsi="Abadi"/>
          <w:sz w:val="21"/>
          <w:szCs w:val="21"/>
        </w:rPr>
      </w:pPr>
    </w:p>
    <w:p w14:paraId="441E2E13" w14:textId="77777777" w:rsidR="009845A7" w:rsidRPr="009845A7" w:rsidRDefault="009845A7" w:rsidP="001D24D0">
      <w:pPr>
        <w:ind w:right="-1" w:firstLine="708"/>
        <w:jc w:val="both"/>
        <w:rPr>
          <w:rFonts w:ascii="Abadi" w:hAnsi="Abadi"/>
          <w:sz w:val="21"/>
          <w:szCs w:val="21"/>
        </w:rPr>
      </w:pPr>
    </w:p>
    <w:p w14:paraId="54DA5CAD" w14:textId="77777777" w:rsidR="009845A7" w:rsidRPr="009845A7" w:rsidRDefault="009845A7" w:rsidP="001D24D0">
      <w:pPr>
        <w:jc w:val="center"/>
        <w:rPr>
          <w:rFonts w:ascii="Abadi" w:eastAsia="Calibri" w:hAnsi="Abadi"/>
          <w:b/>
          <w:sz w:val="21"/>
          <w:szCs w:val="21"/>
          <w:lang w:val="es-MX" w:eastAsia="en-US"/>
        </w:rPr>
      </w:pPr>
      <w:r w:rsidRPr="009845A7">
        <w:rPr>
          <w:rFonts w:ascii="Abadi" w:eastAsia="Calibri" w:hAnsi="Abadi"/>
          <w:b/>
          <w:sz w:val="21"/>
          <w:szCs w:val="21"/>
          <w:lang w:val="es-MX" w:eastAsia="en-US"/>
        </w:rPr>
        <w:t>Guanajuato, Gto., 16 de agosto de 2022</w:t>
      </w:r>
    </w:p>
    <w:p w14:paraId="58224784" w14:textId="77777777" w:rsidR="009845A7" w:rsidRPr="009845A7" w:rsidRDefault="009845A7" w:rsidP="001D24D0">
      <w:pPr>
        <w:jc w:val="center"/>
        <w:rPr>
          <w:rFonts w:ascii="Abadi" w:eastAsia="Calibri" w:hAnsi="Abadi"/>
          <w:b/>
          <w:sz w:val="21"/>
          <w:szCs w:val="21"/>
          <w:lang w:val="es-MX" w:eastAsia="en-US"/>
        </w:rPr>
      </w:pPr>
      <w:r w:rsidRPr="009845A7">
        <w:rPr>
          <w:rFonts w:ascii="Abadi" w:eastAsia="Calibri" w:hAnsi="Abadi"/>
          <w:b/>
          <w:sz w:val="21"/>
          <w:szCs w:val="21"/>
          <w:lang w:val="es-MX" w:eastAsia="en-US"/>
        </w:rPr>
        <w:t>La Comisión de Salud Pública.</w:t>
      </w:r>
    </w:p>
    <w:p w14:paraId="361E77A8" w14:textId="77777777" w:rsidR="009845A7" w:rsidRPr="009845A7" w:rsidRDefault="009845A7" w:rsidP="001D24D0">
      <w:pPr>
        <w:jc w:val="center"/>
        <w:rPr>
          <w:rFonts w:ascii="Abadi" w:eastAsia="Calibri" w:hAnsi="Abadi"/>
          <w:b/>
          <w:sz w:val="21"/>
          <w:szCs w:val="21"/>
          <w:lang w:val="es-MX" w:eastAsia="en-US"/>
        </w:rPr>
      </w:pPr>
    </w:p>
    <w:p w14:paraId="49E146AA" w14:textId="77777777" w:rsidR="009845A7" w:rsidRPr="009845A7" w:rsidRDefault="009845A7" w:rsidP="001D24D0">
      <w:pPr>
        <w:jc w:val="both"/>
        <w:rPr>
          <w:rFonts w:ascii="Abadi" w:hAnsi="Abadi" w:cs="Segoe UI"/>
          <w:b/>
          <w:bCs/>
          <w:sz w:val="21"/>
          <w:szCs w:val="21"/>
        </w:rPr>
      </w:pPr>
      <w:r w:rsidRPr="009845A7">
        <w:rPr>
          <w:rFonts w:ascii="Abadi" w:hAnsi="Abadi" w:cs="Segoe UI"/>
          <w:b/>
          <w:bCs/>
          <w:sz w:val="21"/>
          <w:szCs w:val="21"/>
        </w:rPr>
        <w:t>Dip. Irma Leticia González Sánchez</w:t>
      </w:r>
    </w:p>
    <w:p w14:paraId="6260D168" w14:textId="77777777" w:rsidR="009845A7" w:rsidRPr="009845A7" w:rsidRDefault="009845A7" w:rsidP="001D24D0">
      <w:pPr>
        <w:jc w:val="both"/>
        <w:rPr>
          <w:rFonts w:ascii="Abadi" w:hAnsi="Abadi" w:cs="Segoe UI"/>
          <w:i/>
          <w:iCs/>
          <w:sz w:val="21"/>
          <w:szCs w:val="21"/>
        </w:rPr>
      </w:pPr>
      <w:r w:rsidRPr="009845A7">
        <w:rPr>
          <w:rFonts w:ascii="Abadi" w:hAnsi="Abadi" w:cs="Segoe UI"/>
          <w:i/>
          <w:iCs/>
          <w:sz w:val="21"/>
          <w:szCs w:val="21"/>
        </w:rPr>
        <w:t xml:space="preserve">Firma electrónica certificada </w:t>
      </w:r>
    </w:p>
    <w:p w14:paraId="374E60F8" w14:textId="77777777" w:rsidR="009845A7" w:rsidRPr="009845A7" w:rsidRDefault="009845A7" w:rsidP="001D24D0">
      <w:pPr>
        <w:jc w:val="both"/>
        <w:rPr>
          <w:rFonts w:ascii="Abadi" w:hAnsi="Abadi" w:cs="Segoe UI"/>
          <w:b/>
          <w:bCs/>
          <w:sz w:val="21"/>
          <w:szCs w:val="21"/>
        </w:rPr>
      </w:pPr>
      <w:r w:rsidRPr="009845A7">
        <w:rPr>
          <w:rFonts w:ascii="Abadi" w:hAnsi="Abadi" w:cs="Segoe UI"/>
          <w:b/>
          <w:bCs/>
          <w:sz w:val="21"/>
          <w:szCs w:val="21"/>
        </w:rPr>
        <w:t>Dip. Noemí Márquez Márquez</w:t>
      </w:r>
    </w:p>
    <w:p w14:paraId="54EAC9EF" w14:textId="77777777" w:rsidR="009845A7" w:rsidRPr="009845A7" w:rsidRDefault="009845A7" w:rsidP="001D24D0">
      <w:pPr>
        <w:jc w:val="both"/>
        <w:rPr>
          <w:rFonts w:ascii="Abadi" w:hAnsi="Abadi" w:cs="Segoe UI"/>
          <w:i/>
          <w:iCs/>
          <w:sz w:val="21"/>
          <w:szCs w:val="21"/>
        </w:rPr>
      </w:pPr>
      <w:r w:rsidRPr="009845A7">
        <w:rPr>
          <w:rFonts w:ascii="Abadi" w:hAnsi="Abadi" w:cs="Segoe UI"/>
          <w:i/>
          <w:iCs/>
          <w:sz w:val="21"/>
          <w:szCs w:val="21"/>
        </w:rPr>
        <w:t>Firma electrónica certificada</w:t>
      </w:r>
    </w:p>
    <w:p w14:paraId="4E51A65F" w14:textId="77777777" w:rsidR="009845A7" w:rsidRPr="009845A7" w:rsidRDefault="009845A7" w:rsidP="001D24D0">
      <w:pPr>
        <w:jc w:val="both"/>
        <w:rPr>
          <w:rFonts w:ascii="Abadi" w:hAnsi="Abadi" w:cs="Segoe UI"/>
          <w:b/>
          <w:bCs/>
          <w:sz w:val="21"/>
          <w:szCs w:val="21"/>
        </w:rPr>
      </w:pPr>
      <w:r w:rsidRPr="009845A7">
        <w:rPr>
          <w:rFonts w:ascii="Abadi" w:hAnsi="Abadi" w:cs="Segoe UI"/>
          <w:b/>
          <w:bCs/>
          <w:sz w:val="21"/>
          <w:szCs w:val="21"/>
        </w:rPr>
        <w:t>Dip. Katya Cristina Soto Escamilla</w:t>
      </w:r>
    </w:p>
    <w:p w14:paraId="2D686E78" w14:textId="77777777" w:rsidR="009845A7" w:rsidRPr="009845A7" w:rsidRDefault="009845A7" w:rsidP="001D24D0">
      <w:pPr>
        <w:jc w:val="both"/>
        <w:rPr>
          <w:rFonts w:ascii="Abadi" w:hAnsi="Abadi" w:cs="Segoe UI"/>
          <w:i/>
          <w:iCs/>
          <w:sz w:val="21"/>
          <w:szCs w:val="21"/>
        </w:rPr>
      </w:pPr>
      <w:r w:rsidRPr="009845A7">
        <w:rPr>
          <w:rFonts w:ascii="Abadi" w:hAnsi="Abadi" w:cs="Segoe UI"/>
          <w:i/>
          <w:iCs/>
          <w:sz w:val="21"/>
          <w:szCs w:val="21"/>
        </w:rPr>
        <w:t>Firma electrónica certificada</w:t>
      </w:r>
    </w:p>
    <w:p w14:paraId="1A62B0E9" w14:textId="77777777" w:rsidR="009845A7" w:rsidRPr="009845A7" w:rsidRDefault="009845A7" w:rsidP="001D24D0">
      <w:pPr>
        <w:jc w:val="both"/>
        <w:rPr>
          <w:rFonts w:ascii="Abadi" w:hAnsi="Abadi" w:cs="Segoe UI"/>
          <w:b/>
          <w:bCs/>
          <w:sz w:val="21"/>
          <w:szCs w:val="21"/>
        </w:rPr>
      </w:pPr>
      <w:r w:rsidRPr="009845A7">
        <w:rPr>
          <w:rFonts w:ascii="Abadi" w:hAnsi="Abadi" w:cs="Segoe UI"/>
          <w:b/>
          <w:bCs/>
          <w:sz w:val="21"/>
          <w:szCs w:val="21"/>
        </w:rPr>
        <w:t>Dip. Angélica Casillas Martínez</w:t>
      </w:r>
    </w:p>
    <w:p w14:paraId="5729A0C7" w14:textId="77777777" w:rsidR="009845A7" w:rsidRPr="009845A7" w:rsidRDefault="009845A7" w:rsidP="001D24D0">
      <w:pPr>
        <w:jc w:val="both"/>
        <w:rPr>
          <w:rFonts w:ascii="Abadi" w:hAnsi="Abadi" w:cs="Segoe UI"/>
          <w:i/>
          <w:iCs/>
          <w:sz w:val="21"/>
          <w:szCs w:val="21"/>
        </w:rPr>
      </w:pPr>
      <w:r w:rsidRPr="009845A7">
        <w:rPr>
          <w:rFonts w:ascii="Abadi" w:hAnsi="Abadi" w:cs="Segoe UI"/>
          <w:i/>
          <w:iCs/>
          <w:sz w:val="21"/>
          <w:szCs w:val="21"/>
        </w:rPr>
        <w:t>Firma electrónica certificada</w:t>
      </w:r>
    </w:p>
    <w:p w14:paraId="7309CCBB" w14:textId="77777777" w:rsidR="009845A7" w:rsidRPr="009845A7" w:rsidRDefault="009845A7" w:rsidP="001D24D0">
      <w:pPr>
        <w:jc w:val="both"/>
        <w:rPr>
          <w:rFonts w:ascii="Abadi" w:hAnsi="Abadi" w:cs="Segoe UI"/>
          <w:b/>
          <w:bCs/>
          <w:sz w:val="21"/>
          <w:szCs w:val="21"/>
        </w:rPr>
      </w:pPr>
      <w:r w:rsidRPr="009845A7">
        <w:rPr>
          <w:rFonts w:ascii="Abadi" w:hAnsi="Abadi" w:cs="Segoe UI"/>
          <w:b/>
          <w:bCs/>
          <w:sz w:val="21"/>
          <w:szCs w:val="21"/>
        </w:rPr>
        <w:t>Dip. Ernesto Millán Soberanes</w:t>
      </w:r>
    </w:p>
    <w:p w14:paraId="5A0004FD" w14:textId="66D7D5A6" w:rsidR="009845A7" w:rsidRDefault="009845A7" w:rsidP="001D24D0">
      <w:pPr>
        <w:jc w:val="both"/>
        <w:rPr>
          <w:rFonts w:ascii="Abadi" w:hAnsi="Abadi" w:cs="Segoe UI"/>
          <w:i/>
          <w:iCs/>
          <w:sz w:val="21"/>
          <w:szCs w:val="21"/>
        </w:rPr>
      </w:pPr>
      <w:r w:rsidRPr="009845A7">
        <w:rPr>
          <w:rFonts w:ascii="Abadi" w:hAnsi="Abadi" w:cs="Segoe UI"/>
          <w:i/>
          <w:iCs/>
          <w:sz w:val="21"/>
          <w:szCs w:val="21"/>
        </w:rPr>
        <w:t>Firma electrónica certificada</w:t>
      </w:r>
    </w:p>
    <w:p w14:paraId="012C3E10" w14:textId="6DA7B550" w:rsidR="006E73D5" w:rsidRDefault="006E73D5" w:rsidP="001D24D0">
      <w:pPr>
        <w:jc w:val="both"/>
        <w:rPr>
          <w:rFonts w:ascii="Abadi" w:hAnsi="Abadi" w:cs="Segoe UI"/>
          <w:i/>
          <w:iCs/>
          <w:sz w:val="21"/>
          <w:szCs w:val="21"/>
        </w:rPr>
      </w:pPr>
    </w:p>
    <w:p w14:paraId="18A48AFE" w14:textId="75E4AF3E" w:rsidR="006E73D5" w:rsidRDefault="006E73D5" w:rsidP="006E73D5">
      <w:pPr>
        <w:ind w:firstLine="708"/>
        <w:jc w:val="both"/>
        <w:rPr>
          <w:rFonts w:ascii="Abadi" w:hAnsi="Abadi"/>
          <w:sz w:val="21"/>
          <w:szCs w:val="21"/>
        </w:rPr>
      </w:pPr>
      <w:r w:rsidRPr="00A84C98">
        <w:rPr>
          <w:rFonts w:ascii="Abadi" w:hAnsi="Abadi"/>
          <w:b/>
          <w:bCs/>
          <w:sz w:val="21"/>
          <w:szCs w:val="21"/>
        </w:rPr>
        <w:t>- El Presidente.-</w:t>
      </w:r>
      <w:r>
        <w:rPr>
          <w:rFonts w:ascii="Abadi" w:hAnsi="Abadi"/>
          <w:sz w:val="21"/>
          <w:szCs w:val="21"/>
        </w:rPr>
        <w:t xml:space="preserve"> A</w:t>
      </w:r>
      <w:r w:rsidRPr="006813AA">
        <w:rPr>
          <w:rFonts w:ascii="Abadi" w:hAnsi="Abadi"/>
          <w:sz w:val="21"/>
          <w:szCs w:val="21"/>
        </w:rPr>
        <w:t xml:space="preserve"> continuación sometemos a discusión el dictamen suscrito por la </w:t>
      </w:r>
      <w:r>
        <w:rPr>
          <w:rFonts w:ascii="Abadi" w:hAnsi="Abadi"/>
          <w:sz w:val="21"/>
          <w:szCs w:val="21"/>
        </w:rPr>
        <w:t>C</w:t>
      </w:r>
      <w:r w:rsidRPr="006813AA">
        <w:rPr>
          <w:rFonts w:ascii="Abadi" w:hAnsi="Abadi"/>
          <w:sz w:val="21"/>
          <w:szCs w:val="21"/>
        </w:rPr>
        <w:t xml:space="preserve">omisión de </w:t>
      </w:r>
      <w:r>
        <w:rPr>
          <w:rFonts w:ascii="Abadi" w:hAnsi="Abadi"/>
          <w:sz w:val="21"/>
          <w:szCs w:val="21"/>
        </w:rPr>
        <w:t>S</w:t>
      </w:r>
      <w:r w:rsidRPr="006813AA">
        <w:rPr>
          <w:rFonts w:ascii="Abadi" w:hAnsi="Abadi"/>
          <w:sz w:val="21"/>
          <w:szCs w:val="21"/>
        </w:rPr>
        <w:t xml:space="preserve">alud </w:t>
      </w:r>
      <w:r>
        <w:rPr>
          <w:rFonts w:ascii="Abadi" w:hAnsi="Abadi"/>
          <w:sz w:val="21"/>
          <w:szCs w:val="21"/>
        </w:rPr>
        <w:t>P</w:t>
      </w:r>
      <w:r w:rsidRPr="006813AA">
        <w:rPr>
          <w:rFonts w:ascii="Abadi" w:hAnsi="Abadi"/>
          <w:sz w:val="21"/>
          <w:szCs w:val="21"/>
        </w:rPr>
        <w:t>ública relativo al punto 40 de nuestra orden del día</w:t>
      </w:r>
      <w:r>
        <w:rPr>
          <w:rFonts w:ascii="Abadi" w:hAnsi="Abadi"/>
          <w:sz w:val="21"/>
          <w:szCs w:val="21"/>
        </w:rPr>
        <w:t>.</w:t>
      </w:r>
    </w:p>
    <w:p w14:paraId="6123E6CA" w14:textId="77777777" w:rsidR="006E73D5" w:rsidRDefault="006E73D5" w:rsidP="006E73D5">
      <w:pPr>
        <w:ind w:firstLine="708"/>
        <w:jc w:val="both"/>
        <w:rPr>
          <w:rFonts w:ascii="Abadi" w:hAnsi="Abadi"/>
          <w:sz w:val="21"/>
          <w:szCs w:val="21"/>
        </w:rPr>
      </w:pPr>
    </w:p>
    <w:p w14:paraId="7B74EDC3" w14:textId="3959CA98" w:rsidR="006E73D5" w:rsidRDefault="006E73D5" w:rsidP="006E73D5">
      <w:pPr>
        <w:ind w:firstLine="708"/>
        <w:jc w:val="both"/>
        <w:rPr>
          <w:rFonts w:ascii="Abadi" w:hAnsi="Abadi"/>
          <w:sz w:val="21"/>
          <w:szCs w:val="21"/>
        </w:rPr>
      </w:pPr>
      <w:r>
        <w:rPr>
          <w:rFonts w:ascii="Abadi" w:hAnsi="Abadi"/>
          <w:sz w:val="21"/>
          <w:szCs w:val="21"/>
        </w:rPr>
        <w:t>- S</w:t>
      </w:r>
      <w:r w:rsidRPr="006813AA">
        <w:rPr>
          <w:rFonts w:ascii="Abadi" w:hAnsi="Abadi"/>
          <w:sz w:val="21"/>
          <w:szCs w:val="21"/>
        </w:rPr>
        <w:t xml:space="preserve">i alguna diputada algún diputado desea hacer </w:t>
      </w:r>
      <w:r>
        <w:rPr>
          <w:rFonts w:ascii="Abadi" w:hAnsi="Abadi"/>
          <w:sz w:val="21"/>
          <w:szCs w:val="21"/>
        </w:rPr>
        <w:t>u</w:t>
      </w:r>
      <w:r w:rsidRPr="006813AA">
        <w:rPr>
          <w:rFonts w:ascii="Abadi" w:hAnsi="Abadi"/>
          <w:sz w:val="21"/>
          <w:szCs w:val="21"/>
        </w:rPr>
        <w:t>so de la palabra en pro</w:t>
      </w:r>
      <w:r>
        <w:rPr>
          <w:rFonts w:ascii="Abadi" w:hAnsi="Abadi"/>
          <w:sz w:val="21"/>
          <w:szCs w:val="21"/>
        </w:rPr>
        <w:t xml:space="preserve"> o en contra manifiéstenlo a </w:t>
      </w:r>
      <w:r w:rsidRPr="006813AA">
        <w:rPr>
          <w:rFonts w:ascii="Abadi" w:hAnsi="Abadi"/>
          <w:sz w:val="21"/>
          <w:szCs w:val="21"/>
        </w:rPr>
        <w:t>está presidencia indicando el sentido de su participación</w:t>
      </w:r>
      <w:r>
        <w:rPr>
          <w:rFonts w:ascii="Abadi" w:hAnsi="Abadi"/>
          <w:sz w:val="21"/>
          <w:szCs w:val="21"/>
        </w:rPr>
        <w:t>.</w:t>
      </w:r>
    </w:p>
    <w:p w14:paraId="44BE02AF" w14:textId="77777777" w:rsidR="006E73D5" w:rsidRPr="006813AA" w:rsidRDefault="006E73D5" w:rsidP="006E73D5">
      <w:pPr>
        <w:ind w:firstLine="708"/>
        <w:jc w:val="both"/>
        <w:rPr>
          <w:rFonts w:ascii="Abadi" w:hAnsi="Abadi"/>
          <w:sz w:val="21"/>
          <w:szCs w:val="21"/>
        </w:rPr>
      </w:pPr>
    </w:p>
    <w:p w14:paraId="4FD25A95" w14:textId="4879C8C4" w:rsidR="006E73D5" w:rsidRDefault="006E73D5" w:rsidP="006E73D5">
      <w:pPr>
        <w:ind w:firstLine="708"/>
        <w:jc w:val="both"/>
        <w:rPr>
          <w:rFonts w:ascii="Abadi" w:hAnsi="Abadi"/>
          <w:sz w:val="21"/>
          <w:szCs w:val="21"/>
        </w:rPr>
      </w:pPr>
      <w:r>
        <w:rPr>
          <w:rFonts w:ascii="Abadi" w:hAnsi="Abadi"/>
          <w:sz w:val="21"/>
          <w:szCs w:val="21"/>
        </w:rPr>
        <w:t>- N</w:t>
      </w:r>
      <w:r w:rsidRPr="006813AA">
        <w:rPr>
          <w:rFonts w:ascii="Abadi" w:hAnsi="Abadi"/>
          <w:sz w:val="21"/>
          <w:szCs w:val="21"/>
        </w:rPr>
        <w:t xml:space="preserve">o habiendo participaciones </w:t>
      </w:r>
      <w:r>
        <w:rPr>
          <w:rFonts w:ascii="Abadi" w:hAnsi="Abadi"/>
          <w:sz w:val="21"/>
          <w:szCs w:val="21"/>
        </w:rPr>
        <w:t>se pide a la S</w:t>
      </w:r>
      <w:r w:rsidRPr="006813AA">
        <w:rPr>
          <w:rFonts w:ascii="Abadi" w:hAnsi="Abadi"/>
          <w:sz w:val="21"/>
          <w:szCs w:val="21"/>
        </w:rPr>
        <w:t>ecretaría que p</w:t>
      </w:r>
      <w:r>
        <w:rPr>
          <w:rFonts w:ascii="Abadi" w:hAnsi="Abadi"/>
          <w:sz w:val="21"/>
          <w:szCs w:val="21"/>
        </w:rPr>
        <w:t xml:space="preserve">roceda </w:t>
      </w:r>
      <w:r w:rsidRPr="006813AA">
        <w:rPr>
          <w:rFonts w:ascii="Abadi" w:hAnsi="Abadi"/>
          <w:sz w:val="21"/>
          <w:szCs w:val="21"/>
        </w:rPr>
        <w:t xml:space="preserve">a recabar votación nominal de la </w:t>
      </w:r>
      <w:r>
        <w:rPr>
          <w:rFonts w:ascii="Abadi" w:hAnsi="Abadi"/>
          <w:sz w:val="21"/>
          <w:szCs w:val="21"/>
        </w:rPr>
        <w:t>A</w:t>
      </w:r>
      <w:r w:rsidRPr="006813AA">
        <w:rPr>
          <w:rFonts w:ascii="Abadi" w:hAnsi="Abadi"/>
          <w:sz w:val="21"/>
          <w:szCs w:val="21"/>
        </w:rPr>
        <w:t xml:space="preserve">samblea a través de nuestro sistema electrónico a efecto de aprobaron </w:t>
      </w:r>
      <w:r>
        <w:rPr>
          <w:rFonts w:ascii="Abadi" w:hAnsi="Abadi"/>
          <w:sz w:val="21"/>
          <w:szCs w:val="21"/>
        </w:rPr>
        <w:t xml:space="preserve">o no </w:t>
      </w:r>
      <w:r w:rsidRPr="006813AA">
        <w:rPr>
          <w:rFonts w:ascii="Abadi" w:hAnsi="Abadi"/>
          <w:sz w:val="21"/>
          <w:szCs w:val="21"/>
        </w:rPr>
        <w:t>el dictamen puesto a su consideración</w:t>
      </w:r>
      <w:r>
        <w:rPr>
          <w:rFonts w:ascii="Abadi" w:hAnsi="Abadi"/>
          <w:sz w:val="21"/>
          <w:szCs w:val="21"/>
        </w:rPr>
        <w:t>.</w:t>
      </w:r>
    </w:p>
    <w:p w14:paraId="0317F534" w14:textId="77777777" w:rsidR="006E73D5" w:rsidRDefault="006E73D5" w:rsidP="006E73D5">
      <w:pPr>
        <w:ind w:firstLine="708"/>
        <w:jc w:val="both"/>
        <w:rPr>
          <w:rFonts w:ascii="Abadi" w:hAnsi="Abadi"/>
          <w:sz w:val="21"/>
          <w:szCs w:val="21"/>
        </w:rPr>
      </w:pPr>
    </w:p>
    <w:p w14:paraId="53E9F300" w14:textId="492671E1" w:rsidR="006E73D5" w:rsidRDefault="006E73D5" w:rsidP="006E73D5">
      <w:pPr>
        <w:jc w:val="both"/>
        <w:rPr>
          <w:rFonts w:ascii="Abadi" w:hAnsi="Abadi"/>
          <w:b/>
          <w:bCs/>
          <w:sz w:val="21"/>
          <w:szCs w:val="21"/>
        </w:rPr>
      </w:pPr>
      <w:r w:rsidRPr="00F249AB">
        <w:rPr>
          <w:rFonts w:ascii="Abadi" w:hAnsi="Abadi"/>
          <w:b/>
          <w:bCs/>
          <w:sz w:val="21"/>
          <w:szCs w:val="21"/>
        </w:rPr>
        <w:t>(Abrimos nuestro sistema electrónico)</w:t>
      </w:r>
    </w:p>
    <w:p w14:paraId="62EBA219" w14:textId="77777777" w:rsidR="006E73D5" w:rsidRPr="00F249AB" w:rsidRDefault="006E73D5" w:rsidP="006E73D5">
      <w:pPr>
        <w:jc w:val="both"/>
        <w:rPr>
          <w:rFonts w:ascii="Abadi" w:hAnsi="Abadi"/>
          <w:b/>
          <w:bCs/>
          <w:sz w:val="21"/>
          <w:szCs w:val="21"/>
        </w:rPr>
      </w:pPr>
    </w:p>
    <w:p w14:paraId="511C1DEB" w14:textId="04B6965E" w:rsidR="006E73D5" w:rsidRDefault="006E73D5" w:rsidP="006E73D5">
      <w:pPr>
        <w:ind w:firstLine="708"/>
        <w:jc w:val="both"/>
        <w:rPr>
          <w:rFonts w:ascii="Abadi" w:hAnsi="Abadi"/>
          <w:sz w:val="21"/>
          <w:szCs w:val="21"/>
        </w:rPr>
      </w:pPr>
      <w:r w:rsidRPr="00CB62FB">
        <w:rPr>
          <w:rFonts w:ascii="Abadi" w:hAnsi="Abadi"/>
          <w:b/>
          <w:bCs/>
          <w:sz w:val="21"/>
          <w:szCs w:val="21"/>
        </w:rPr>
        <w:t xml:space="preserve">- El Secretario.- </w:t>
      </w:r>
      <w:r>
        <w:rPr>
          <w:rFonts w:ascii="Abadi" w:hAnsi="Abadi"/>
          <w:sz w:val="21"/>
          <w:szCs w:val="21"/>
        </w:rPr>
        <w:t>E</w:t>
      </w:r>
      <w:r w:rsidRPr="006813AA">
        <w:rPr>
          <w:rFonts w:ascii="Abadi" w:hAnsi="Abadi"/>
          <w:sz w:val="21"/>
          <w:szCs w:val="21"/>
        </w:rPr>
        <w:t xml:space="preserve">n votación nominal por el sistema electrónico se pregunta a las diputadas y los diputados </w:t>
      </w:r>
      <w:r>
        <w:rPr>
          <w:rFonts w:ascii="Abadi" w:hAnsi="Abadi"/>
          <w:sz w:val="21"/>
          <w:szCs w:val="21"/>
        </w:rPr>
        <w:t xml:space="preserve">si se </w:t>
      </w:r>
      <w:r w:rsidRPr="006813AA">
        <w:rPr>
          <w:rFonts w:ascii="Abadi" w:hAnsi="Abadi"/>
          <w:sz w:val="21"/>
          <w:szCs w:val="21"/>
        </w:rPr>
        <w:t>aprueba el dictamen puesto a su consideración</w:t>
      </w:r>
      <w:r>
        <w:rPr>
          <w:rFonts w:ascii="Abadi" w:hAnsi="Abadi"/>
          <w:sz w:val="21"/>
          <w:szCs w:val="21"/>
        </w:rPr>
        <w:t>. ¿Diputada Yulma Rocha?</w:t>
      </w:r>
    </w:p>
    <w:p w14:paraId="6BB33C3C" w14:textId="77777777" w:rsidR="006E73D5" w:rsidRDefault="006E73D5" w:rsidP="006E73D5">
      <w:pPr>
        <w:ind w:firstLine="708"/>
        <w:jc w:val="both"/>
        <w:rPr>
          <w:rFonts w:ascii="Abadi" w:hAnsi="Abadi"/>
          <w:sz w:val="21"/>
          <w:szCs w:val="21"/>
        </w:rPr>
      </w:pPr>
    </w:p>
    <w:p w14:paraId="3EB48ED2" w14:textId="561AAA74" w:rsidR="006E73D5" w:rsidRDefault="006E73D5" w:rsidP="006E73D5">
      <w:pPr>
        <w:jc w:val="both"/>
        <w:rPr>
          <w:rFonts w:ascii="Abadi" w:hAnsi="Abadi"/>
          <w:sz w:val="21"/>
          <w:szCs w:val="21"/>
        </w:rPr>
      </w:pPr>
      <w:r>
        <w:rPr>
          <w:rFonts w:ascii="Abadi" w:hAnsi="Abadi"/>
          <w:sz w:val="21"/>
          <w:szCs w:val="21"/>
        </w:rPr>
        <w:t>¿Falta alguna, diputada, algún diputado de emitir su voto?</w:t>
      </w:r>
    </w:p>
    <w:p w14:paraId="580A0A44" w14:textId="77777777" w:rsidR="006E73D5" w:rsidRDefault="006E73D5" w:rsidP="006E73D5">
      <w:pPr>
        <w:jc w:val="both"/>
        <w:rPr>
          <w:rFonts w:ascii="Abadi" w:hAnsi="Abadi"/>
          <w:sz w:val="21"/>
          <w:szCs w:val="21"/>
        </w:rPr>
      </w:pPr>
    </w:p>
    <w:p w14:paraId="2FD7EEF3" w14:textId="77777777" w:rsidR="006E73D5" w:rsidRDefault="006E73D5" w:rsidP="006E73D5">
      <w:pPr>
        <w:jc w:val="both"/>
        <w:rPr>
          <w:rFonts w:ascii="Abadi" w:hAnsi="Abadi"/>
          <w:b/>
          <w:bCs/>
          <w:sz w:val="21"/>
          <w:szCs w:val="21"/>
        </w:rPr>
      </w:pPr>
      <w:r w:rsidRPr="00255796">
        <w:rPr>
          <w:rFonts w:ascii="Abadi" w:hAnsi="Abadi"/>
          <w:b/>
          <w:bCs/>
          <w:sz w:val="21"/>
          <w:szCs w:val="21"/>
        </w:rPr>
        <w:t>(</w:t>
      </w:r>
      <w:r>
        <w:rPr>
          <w:rFonts w:ascii="Abadi" w:hAnsi="Abadi"/>
          <w:b/>
          <w:bCs/>
          <w:sz w:val="21"/>
          <w:szCs w:val="21"/>
        </w:rPr>
        <w:t>C</w:t>
      </w:r>
      <w:r w:rsidRPr="00255796">
        <w:rPr>
          <w:rFonts w:ascii="Abadi" w:hAnsi="Abadi"/>
          <w:b/>
          <w:bCs/>
          <w:sz w:val="21"/>
          <w:szCs w:val="21"/>
        </w:rPr>
        <w:t>erramos nuestro sistema electrónico)</w:t>
      </w:r>
    </w:p>
    <w:p w14:paraId="09F69FE5" w14:textId="77777777" w:rsidR="006E73D5" w:rsidRPr="00255796" w:rsidRDefault="006E73D5" w:rsidP="006E73D5">
      <w:pPr>
        <w:tabs>
          <w:tab w:val="left" w:pos="2223"/>
        </w:tabs>
        <w:jc w:val="both"/>
        <w:rPr>
          <w:rFonts w:ascii="Abadi" w:hAnsi="Abadi"/>
          <w:b/>
          <w:bCs/>
          <w:sz w:val="21"/>
          <w:szCs w:val="21"/>
        </w:rPr>
      </w:pPr>
      <w:r>
        <w:rPr>
          <w:rFonts w:ascii="Abadi" w:hAnsi="Abadi"/>
          <w:b/>
          <w:bCs/>
          <w:sz w:val="21"/>
          <w:szCs w:val="21"/>
        </w:rPr>
        <w:tab/>
      </w:r>
      <w:r>
        <w:rPr>
          <w:noProof/>
        </w:rPr>
        <w:drawing>
          <wp:inline distT="0" distB="0" distL="0" distR="0" wp14:anchorId="1A7DE032" wp14:editId="6A0E9143">
            <wp:extent cx="1669774" cy="938799"/>
            <wp:effectExtent l="323850" t="323850" r="330835" b="31877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686485" cy="948195"/>
                    </a:xfrm>
                    <a:prstGeom prst="rect">
                      <a:avLst/>
                    </a:prstGeom>
                    <a:ln w="88900" cap="sq" cmpd="thickThin">
                      <a:solidFill>
                        <a:srgbClr val="000000"/>
                      </a:solidFill>
                      <a:prstDash val="solid"/>
                      <a:miter lim="800000"/>
                    </a:ln>
                    <a:effectLst>
                      <a:glow rad="228600">
                        <a:schemeClr val="accent3">
                          <a:satMod val="175000"/>
                          <a:alpha val="40000"/>
                        </a:schemeClr>
                      </a:glow>
                      <a:innerShdw blurRad="76200">
                        <a:srgbClr val="000000"/>
                      </a:innerShdw>
                    </a:effectLst>
                  </pic:spPr>
                </pic:pic>
              </a:graphicData>
            </a:graphic>
          </wp:inline>
        </w:drawing>
      </w:r>
    </w:p>
    <w:p w14:paraId="5560CFD5" w14:textId="1438C2A6" w:rsidR="006E73D5" w:rsidRDefault="006E73D5" w:rsidP="006E73D5">
      <w:pPr>
        <w:ind w:firstLine="708"/>
        <w:jc w:val="both"/>
        <w:rPr>
          <w:rFonts w:ascii="Abadi" w:hAnsi="Abadi"/>
          <w:sz w:val="21"/>
          <w:szCs w:val="21"/>
        </w:rPr>
      </w:pPr>
      <w:r w:rsidRPr="003A420D">
        <w:rPr>
          <w:rFonts w:ascii="Abadi" w:hAnsi="Abadi"/>
          <w:b/>
          <w:bCs/>
          <w:sz w:val="21"/>
          <w:szCs w:val="21"/>
        </w:rPr>
        <w:t>- El Secretario.-</w:t>
      </w:r>
      <w:r>
        <w:rPr>
          <w:rFonts w:ascii="Abadi" w:hAnsi="Abadi"/>
          <w:sz w:val="21"/>
          <w:szCs w:val="21"/>
        </w:rPr>
        <w:t xml:space="preserve"> S</w:t>
      </w:r>
      <w:r w:rsidRPr="006813AA">
        <w:rPr>
          <w:rFonts w:ascii="Abadi" w:hAnsi="Abadi"/>
          <w:sz w:val="21"/>
          <w:szCs w:val="21"/>
        </w:rPr>
        <w:t xml:space="preserve">e registraron 32 votos a favor </w:t>
      </w:r>
      <w:r>
        <w:rPr>
          <w:rFonts w:ascii="Abadi" w:hAnsi="Abadi"/>
          <w:sz w:val="21"/>
          <w:szCs w:val="21"/>
        </w:rPr>
        <w:t>S</w:t>
      </w:r>
      <w:r w:rsidRPr="006813AA">
        <w:rPr>
          <w:rFonts w:ascii="Abadi" w:hAnsi="Abadi"/>
          <w:sz w:val="21"/>
          <w:szCs w:val="21"/>
        </w:rPr>
        <w:t>eñor Presidente</w:t>
      </w:r>
      <w:r>
        <w:rPr>
          <w:rFonts w:ascii="Abadi" w:hAnsi="Abadi"/>
          <w:sz w:val="21"/>
          <w:szCs w:val="21"/>
        </w:rPr>
        <w:t>.</w:t>
      </w:r>
    </w:p>
    <w:p w14:paraId="60901C04" w14:textId="77777777" w:rsidR="006E73D5" w:rsidRDefault="006E73D5" w:rsidP="006E73D5">
      <w:pPr>
        <w:ind w:firstLine="708"/>
        <w:jc w:val="both"/>
        <w:rPr>
          <w:rFonts w:ascii="Abadi" w:hAnsi="Abadi"/>
          <w:sz w:val="21"/>
          <w:szCs w:val="21"/>
        </w:rPr>
      </w:pPr>
    </w:p>
    <w:p w14:paraId="7E120EB1" w14:textId="138FAAC2" w:rsidR="006E73D5" w:rsidRDefault="006E73D5" w:rsidP="006E73D5">
      <w:pPr>
        <w:ind w:firstLine="708"/>
        <w:jc w:val="both"/>
        <w:rPr>
          <w:rFonts w:ascii="Abadi" w:hAnsi="Abadi"/>
          <w:sz w:val="21"/>
          <w:szCs w:val="21"/>
        </w:rPr>
      </w:pPr>
      <w:r w:rsidRPr="003A420D">
        <w:rPr>
          <w:rFonts w:ascii="Abadi" w:hAnsi="Abadi"/>
          <w:b/>
          <w:bCs/>
          <w:sz w:val="21"/>
          <w:szCs w:val="21"/>
        </w:rPr>
        <w:t>- El Presidente.-</w:t>
      </w:r>
      <w:r>
        <w:rPr>
          <w:rFonts w:ascii="Abadi" w:hAnsi="Abadi"/>
          <w:sz w:val="21"/>
          <w:szCs w:val="21"/>
        </w:rPr>
        <w:t xml:space="preserve"> E</w:t>
      </w:r>
      <w:r w:rsidRPr="006813AA">
        <w:rPr>
          <w:rFonts w:ascii="Abadi" w:hAnsi="Abadi"/>
          <w:sz w:val="21"/>
          <w:szCs w:val="21"/>
        </w:rPr>
        <w:t>l dictamen ha sido aprobado por unanimidad de votos</w:t>
      </w:r>
      <w:r>
        <w:rPr>
          <w:rFonts w:ascii="Abadi" w:hAnsi="Abadi"/>
          <w:sz w:val="21"/>
          <w:szCs w:val="21"/>
        </w:rPr>
        <w:t>.</w:t>
      </w:r>
    </w:p>
    <w:p w14:paraId="09969E22" w14:textId="77777777" w:rsidR="006E73D5" w:rsidRDefault="006E73D5" w:rsidP="006E73D5">
      <w:pPr>
        <w:ind w:firstLine="708"/>
        <w:jc w:val="both"/>
        <w:rPr>
          <w:rFonts w:ascii="Abadi" w:hAnsi="Abadi"/>
          <w:sz w:val="21"/>
          <w:szCs w:val="21"/>
        </w:rPr>
      </w:pPr>
    </w:p>
    <w:p w14:paraId="15CAA739" w14:textId="77777777" w:rsidR="006E73D5" w:rsidRPr="00054A1A" w:rsidRDefault="006E73D5" w:rsidP="006E73D5">
      <w:pPr>
        <w:ind w:left="567" w:right="709"/>
        <w:jc w:val="both"/>
        <w:rPr>
          <w:rFonts w:ascii="Abadi" w:hAnsi="Abadi"/>
          <w:b/>
          <w:bCs/>
          <w:i/>
          <w:iCs/>
          <w:sz w:val="21"/>
          <w:szCs w:val="21"/>
          <w:u w:val="single"/>
        </w:rPr>
      </w:pPr>
      <w:r w:rsidRPr="00054A1A">
        <w:rPr>
          <w:rFonts w:ascii="Abadi" w:hAnsi="Abadi"/>
          <w:b/>
          <w:bCs/>
          <w:i/>
          <w:iCs/>
          <w:sz w:val="21"/>
          <w:szCs w:val="21"/>
          <w:u w:val="single"/>
        </w:rPr>
        <w:t>En consecuencia se instruye a la Secretaría General para que proceda al archivo definitivo de la propuesta de punto de acuerdo referida en el dictamen aprobado.</w:t>
      </w:r>
    </w:p>
    <w:p w14:paraId="55E3A101" w14:textId="77777777" w:rsidR="006E73D5" w:rsidRPr="009845A7" w:rsidRDefault="006E73D5" w:rsidP="001D24D0">
      <w:pPr>
        <w:jc w:val="both"/>
        <w:rPr>
          <w:rFonts w:ascii="Abadi" w:hAnsi="Abadi" w:cs="Segoe UI"/>
          <w:i/>
          <w:iCs/>
          <w:sz w:val="21"/>
          <w:szCs w:val="21"/>
        </w:rPr>
      </w:pPr>
    </w:p>
    <w:p w14:paraId="4293C229" w14:textId="398C6C25" w:rsidR="000816DB" w:rsidRDefault="000816DB" w:rsidP="001D24D0">
      <w:pPr>
        <w:autoSpaceDE w:val="0"/>
        <w:autoSpaceDN w:val="0"/>
        <w:adjustRightInd w:val="0"/>
        <w:jc w:val="both"/>
        <w:rPr>
          <w:rFonts w:ascii="Abadi" w:hAnsi="Abadi" w:cs="ArialMT"/>
          <w:sz w:val="20"/>
          <w:szCs w:val="21"/>
        </w:rPr>
      </w:pPr>
    </w:p>
    <w:p w14:paraId="2DD31722" w14:textId="77777777" w:rsidR="00E462B6" w:rsidRPr="00526E0B" w:rsidRDefault="00E462B6" w:rsidP="00A25F8A">
      <w:pPr>
        <w:pStyle w:val="Prrafodelista"/>
        <w:numPr>
          <w:ilvl w:val="0"/>
          <w:numId w:val="14"/>
        </w:numPr>
        <w:autoSpaceDE w:val="0"/>
        <w:autoSpaceDN w:val="0"/>
        <w:adjustRightInd w:val="0"/>
        <w:ind w:left="426"/>
        <w:contextualSpacing/>
        <w:jc w:val="both"/>
        <w:rPr>
          <w:rFonts w:ascii="Abadi" w:hAnsi="Abadi" w:cs="ArialMT"/>
          <w:b/>
          <w:bCs/>
          <w:sz w:val="20"/>
          <w:szCs w:val="21"/>
        </w:rPr>
      </w:pPr>
      <w:r w:rsidRPr="00526E0B">
        <w:rPr>
          <w:rFonts w:ascii="Abadi" w:hAnsi="Abadi" w:cs="ArialMT"/>
          <w:b/>
          <w:bCs/>
          <w:sz w:val="20"/>
          <w:szCs w:val="21"/>
        </w:rPr>
        <w:t>DISCUSIÓN Y, EN SU CASO, APROBACIÓN DEL DICTAMEN SIGNADO POR LA COMISIÓN DE SALUD PÚBLICA RELATIVO A DOS INICIATIVAS; LA PRIMERA, DE LEY DE PREVENCIÓN Y ATENCIÓN DEL SUICIDIO PARA EL ESTADO Y LOS MUNICIPIOS DE GUANAJUATO, Y DE ADICIÓN AL ARTÍCULO 27, FRACCIÓN I UN INCISO H DE LA LEY ORGÁNICA DEL PODER EJECUTIVO PARA EL ESTADO DE GUANAJUATO, SUSCRITA POR LA DIPUTADA Y EL DIPUTADO INTEGRANTES DEL GRUPO PARLAMENTARIO DEL PARTIDO VERDE ECOLOGISTA DE MÉXICO; Y, LA SEGUNDA, DE LEY DE PREVENCIÓN DEL SUICIDIO Y DE LAS ACCIONES DE POSVENCIÓN EN EL ESTADO DE GUANAJUATO, FORMULADA POR DIPUTADAS Y DIPUTADOS INTEGRANTES DEL GRUPO PARLAMENTARIO DEL PARTIDO REVOLUCIONARIO INSTITUCIONAL, ANTE LA SEXAGÉSIMA CUARTA LEGISLATURA DEL CONGRESO DEL ESTADO.</w:t>
      </w:r>
    </w:p>
    <w:p w14:paraId="162B4361" w14:textId="335F8EFF" w:rsidR="00E462B6" w:rsidRDefault="00E462B6" w:rsidP="001D24D0">
      <w:pPr>
        <w:autoSpaceDE w:val="0"/>
        <w:autoSpaceDN w:val="0"/>
        <w:adjustRightInd w:val="0"/>
        <w:jc w:val="both"/>
        <w:rPr>
          <w:rFonts w:ascii="Abadi" w:hAnsi="Abadi" w:cs="ArialMT"/>
          <w:b/>
          <w:bCs/>
          <w:sz w:val="20"/>
          <w:szCs w:val="21"/>
        </w:rPr>
      </w:pPr>
    </w:p>
    <w:p w14:paraId="234590D9" w14:textId="77777777" w:rsidR="00E3434F" w:rsidRPr="004A0446" w:rsidRDefault="00E3434F" w:rsidP="001D24D0">
      <w:pPr>
        <w:tabs>
          <w:tab w:val="left" w:pos="567"/>
          <w:tab w:val="left" w:pos="709"/>
          <w:tab w:val="left" w:pos="1418"/>
          <w:tab w:val="left" w:pos="8505"/>
        </w:tabs>
        <w:ind w:right="-1"/>
        <w:jc w:val="both"/>
        <w:rPr>
          <w:rFonts w:ascii="Abadi" w:eastAsia="SimSun" w:hAnsi="Abadi" w:cs="Arial"/>
          <w:b/>
          <w:bCs/>
          <w:sz w:val="21"/>
          <w:szCs w:val="21"/>
        </w:rPr>
      </w:pPr>
      <w:r w:rsidRPr="004A0446">
        <w:rPr>
          <w:rFonts w:ascii="Abadi" w:eastAsia="SimSun" w:hAnsi="Abadi" w:cs="Arial"/>
          <w:b/>
          <w:bCs/>
          <w:sz w:val="21"/>
          <w:szCs w:val="21"/>
        </w:rPr>
        <w:t>Presidencia del Congreso del Estado</w:t>
      </w:r>
    </w:p>
    <w:p w14:paraId="3ED2AC80" w14:textId="77777777" w:rsidR="00E3434F" w:rsidRPr="004A0446" w:rsidRDefault="00E3434F" w:rsidP="001D24D0">
      <w:pPr>
        <w:tabs>
          <w:tab w:val="left" w:pos="1418"/>
        </w:tabs>
        <w:ind w:right="-1"/>
        <w:jc w:val="both"/>
        <w:rPr>
          <w:rFonts w:ascii="Abadi" w:eastAsia="SimSun" w:hAnsi="Abadi" w:cs="Arial"/>
          <w:b/>
          <w:bCs/>
          <w:sz w:val="21"/>
          <w:szCs w:val="21"/>
        </w:rPr>
      </w:pPr>
      <w:r w:rsidRPr="004A0446">
        <w:rPr>
          <w:rFonts w:ascii="Abadi" w:eastAsia="SimSun" w:hAnsi="Abadi" w:cs="Arial"/>
          <w:b/>
          <w:bCs/>
          <w:sz w:val="21"/>
          <w:szCs w:val="21"/>
        </w:rPr>
        <w:t>P r e s e n t e.</w:t>
      </w:r>
    </w:p>
    <w:p w14:paraId="333071E8" w14:textId="77777777" w:rsidR="00E3434F" w:rsidRPr="004A0446" w:rsidRDefault="00E3434F" w:rsidP="001D24D0">
      <w:pPr>
        <w:tabs>
          <w:tab w:val="left" w:pos="1418"/>
        </w:tabs>
        <w:ind w:right="-1" w:firstLine="708"/>
        <w:jc w:val="both"/>
        <w:rPr>
          <w:rFonts w:ascii="Abadi" w:eastAsia="SimSun" w:hAnsi="Abadi" w:cs="Arial"/>
          <w:bCs/>
          <w:sz w:val="21"/>
          <w:szCs w:val="21"/>
        </w:rPr>
      </w:pPr>
    </w:p>
    <w:p w14:paraId="648EAF17" w14:textId="77777777" w:rsidR="00E3434F" w:rsidRPr="004A0446" w:rsidRDefault="00E3434F" w:rsidP="001D24D0">
      <w:pPr>
        <w:tabs>
          <w:tab w:val="left" w:pos="1418"/>
        </w:tabs>
        <w:ind w:right="-1" w:firstLine="567"/>
        <w:jc w:val="both"/>
        <w:rPr>
          <w:rFonts w:ascii="Abadi" w:eastAsia="SimSun" w:hAnsi="Abadi" w:cs="Arial"/>
          <w:bCs/>
          <w:sz w:val="21"/>
          <w:szCs w:val="21"/>
        </w:rPr>
      </w:pPr>
      <w:r w:rsidRPr="004A0446">
        <w:rPr>
          <w:rFonts w:ascii="Abadi" w:eastAsia="SimSun" w:hAnsi="Abadi" w:cs="Arial"/>
          <w:bCs/>
          <w:sz w:val="21"/>
          <w:szCs w:val="21"/>
        </w:rPr>
        <w:t>A la Comisión de Salud Pública de la Sexagésima Quinta Legislatura del Congreso del Estado le fueron turnadas para su estudio y dictamen dos iniciativas;  la primera, de Ley de Prevención y Atención del Suicidio para el Estado y los Municipios de Guanajuato, y de adición al artículo 27, fracción I un inciso h de la Ley Orgánica del Poder Ejecutivo para el Estado de Guanajuato, suscrita por la diputada y el diputado integrantes del Grupo Parlamentario del Partido Verde Ecologista de México, registrada con número de expediente legislativo digital 58/LXV-I; y, la segunda, de Ley de Prevención del Suicidio y de las Acciones de Posvención en el Estado de Guanajuato, formulada por diputadas y diputados integrantes del Grupo Parlamentario del Partido Revolucionario Institucional, ante la Sexagésima Cuarta Legislatura del Congreso del Estado, registrada con número de expediente legislativo digital 64616.</w:t>
      </w:r>
    </w:p>
    <w:p w14:paraId="50DFEF14" w14:textId="77777777" w:rsidR="00E3434F" w:rsidRPr="004A0446" w:rsidRDefault="00E3434F" w:rsidP="001D24D0">
      <w:pPr>
        <w:tabs>
          <w:tab w:val="left" w:pos="1418"/>
        </w:tabs>
        <w:ind w:right="-1" w:firstLine="708"/>
        <w:jc w:val="both"/>
        <w:rPr>
          <w:rFonts w:ascii="Abadi" w:eastAsia="SimSun" w:hAnsi="Abadi" w:cs="Arial"/>
          <w:bCs/>
          <w:sz w:val="21"/>
          <w:szCs w:val="21"/>
        </w:rPr>
      </w:pPr>
    </w:p>
    <w:p w14:paraId="39E3B76B" w14:textId="77777777" w:rsidR="00E3434F" w:rsidRPr="004A0446" w:rsidRDefault="00E3434F" w:rsidP="001D24D0">
      <w:pPr>
        <w:ind w:firstLine="567"/>
        <w:jc w:val="both"/>
        <w:rPr>
          <w:rFonts w:ascii="Abadi" w:eastAsia="SimSun" w:hAnsi="Abadi" w:cs="Arial"/>
          <w:bCs/>
          <w:sz w:val="21"/>
          <w:szCs w:val="21"/>
        </w:rPr>
      </w:pPr>
      <w:r w:rsidRPr="004A0446">
        <w:rPr>
          <w:rFonts w:ascii="Abadi" w:eastAsia="SimSun" w:hAnsi="Abadi" w:cs="Arial"/>
          <w:bCs/>
          <w:sz w:val="21"/>
          <w:szCs w:val="21"/>
        </w:rPr>
        <w:t>Con fundamento en lo dispuesto por los artículos 75, 89, fracción V, 118, fracción IV y 171 de la Ley Orgánica del Poder Legislativo del Estado de Guanajuato, esta comisión rinde el siguiente:</w:t>
      </w:r>
    </w:p>
    <w:p w14:paraId="700065F3" w14:textId="77777777" w:rsidR="00E3434F" w:rsidRPr="004A0446" w:rsidRDefault="00E3434F" w:rsidP="001D24D0">
      <w:pPr>
        <w:tabs>
          <w:tab w:val="left" w:pos="1418"/>
        </w:tabs>
        <w:ind w:right="-1134"/>
        <w:jc w:val="both"/>
        <w:rPr>
          <w:rFonts w:ascii="Abadi" w:eastAsia="SimSun" w:hAnsi="Abadi" w:cs="Arial"/>
          <w:b/>
          <w:bCs/>
          <w:sz w:val="21"/>
          <w:szCs w:val="21"/>
        </w:rPr>
      </w:pPr>
      <w:r w:rsidRPr="004A0446">
        <w:rPr>
          <w:rFonts w:ascii="Abadi" w:eastAsia="SimSun" w:hAnsi="Abadi" w:cs="Arial"/>
          <w:b/>
          <w:bCs/>
          <w:sz w:val="21"/>
          <w:szCs w:val="21"/>
        </w:rPr>
        <w:t xml:space="preserve">                          D</w:t>
      </w:r>
      <w:r w:rsidRPr="004A0446">
        <w:rPr>
          <w:rFonts w:ascii="Abadi" w:eastAsia="SimSun" w:hAnsi="Abadi" w:cs="Arial"/>
          <w:bCs/>
          <w:sz w:val="21"/>
          <w:szCs w:val="21"/>
        </w:rPr>
        <w:t xml:space="preserve"> </w:t>
      </w:r>
      <w:r w:rsidRPr="004A0446">
        <w:rPr>
          <w:rFonts w:ascii="Abadi" w:eastAsia="SimSun" w:hAnsi="Abadi" w:cs="Arial"/>
          <w:b/>
          <w:bCs/>
          <w:sz w:val="21"/>
          <w:szCs w:val="21"/>
        </w:rPr>
        <w:t>i</w:t>
      </w:r>
      <w:r w:rsidRPr="004A0446">
        <w:rPr>
          <w:rFonts w:ascii="Abadi" w:eastAsia="SimSun" w:hAnsi="Abadi" w:cs="Arial"/>
          <w:bCs/>
          <w:sz w:val="21"/>
          <w:szCs w:val="21"/>
        </w:rPr>
        <w:t xml:space="preserve"> </w:t>
      </w:r>
      <w:r w:rsidRPr="004A0446">
        <w:rPr>
          <w:rFonts w:ascii="Abadi" w:eastAsia="SimSun" w:hAnsi="Abadi" w:cs="Arial"/>
          <w:b/>
          <w:bCs/>
          <w:sz w:val="21"/>
          <w:szCs w:val="21"/>
        </w:rPr>
        <w:t>c</w:t>
      </w:r>
      <w:r w:rsidRPr="004A0446">
        <w:rPr>
          <w:rFonts w:ascii="Abadi" w:eastAsia="SimSun" w:hAnsi="Abadi" w:cs="Arial"/>
          <w:bCs/>
          <w:sz w:val="21"/>
          <w:szCs w:val="21"/>
        </w:rPr>
        <w:t xml:space="preserve"> </w:t>
      </w:r>
      <w:r w:rsidRPr="004A0446">
        <w:rPr>
          <w:rFonts w:ascii="Abadi" w:eastAsia="SimSun" w:hAnsi="Abadi" w:cs="Arial"/>
          <w:b/>
          <w:bCs/>
          <w:sz w:val="21"/>
          <w:szCs w:val="21"/>
        </w:rPr>
        <w:t>t</w:t>
      </w:r>
      <w:r w:rsidRPr="004A0446">
        <w:rPr>
          <w:rFonts w:ascii="Abadi" w:eastAsia="SimSun" w:hAnsi="Abadi" w:cs="Arial"/>
          <w:bCs/>
          <w:sz w:val="21"/>
          <w:szCs w:val="21"/>
        </w:rPr>
        <w:t xml:space="preserve"> </w:t>
      </w:r>
      <w:r w:rsidRPr="004A0446">
        <w:rPr>
          <w:rFonts w:ascii="Abadi" w:eastAsia="SimSun" w:hAnsi="Abadi" w:cs="Arial"/>
          <w:b/>
          <w:bCs/>
          <w:sz w:val="21"/>
          <w:szCs w:val="21"/>
        </w:rPr>
        <w:t>a</w:t>
      </w:r>
      <w:r w:rsidRPr="004A0446">
        <w:rPr>
          <w:rFonts w:ascii="Abadi" w:eastAsia="SimSun" w:hAnsi="Abadi" w:cs="Arial"/>
          <w:bCs/>
          <w:sz w:val="21"/>
          <w:szCs w:val="21"/>
        </w:rPr>
        <w:t xml:space="preserve"> </w:t>
      </w:r>
      <w:r w:rsidRPr="004A0446">
        <w:rPr>
          <w:rFonts w:ascii="Abadi" w:eastAsia="SimSun" w:hAnsi="Abadi" w:cs="Arial"/>
          <w:b/>
          <w:bCs/>
          <w:sz w:val="21"/>
          <w:szCs w:val="21"/>
        </w:rPr>
        <w:t>m</w:t>
      </w:r>
      <w:r w:rsidRPr="004A0446">
        <w:rPr>
          <w:rFonts w:ascii="Abadi" w:eastAsia="SimSun" w:hAnsi="Abadi" w:cs="Arial"/>
          <w:bCs/>
          <w:sz w:val="21"/>
          <w:szCs w:val="21"/>
        </w:rPr>
        <w:t xml:space="preserve"> </w:t>
      </w:r>
      <w:r w:rsidRPr="004A0446">
        <w:rPr>
          <w:rFonts w:ascii="Abadi" w:eastAsia="SimSun" w:hAnsi="Abadi" w:cs="Arial"/>
          <w:b/>
          <w:bCs/>
          <w:sz w:val="21"/>
          <w:szCs w:val="21"/>
        </w:rPr>
        <w:t>e</w:t>
      </w:r>
      <w:r w:rsidRPr="004A0446">
        <w:rPr>
          <w:rFonts w:ascii="Abadi" w:eastAsia="SimSun" w:hAnsi="Abadi" w:cs="Arial"/>
          <w:bCs/>
          <w:sz w:val="21"/>
          <w:szCs w:val="21"/>
        </w:rPr>
        <w:t xml:space="preserve"> </w:t>
      </w:r>
      <w:r w:rsidRPr="004A0446">
        <w:rPr>
          <w:rFonts w:ascii="Abadi" w:eastAsia="SimSun" w:hAnsi="Abadi" w:cs="Arial"/>
          <w:b/>
          <w:bCs/>
          <w:sz w:val="21"/>
          <w:szCs w:val="21"/>
        </w:rPr>
        <w:t>n</w:t>
      </w:r>
    </w:p>
    <w:p w14:paraId="5A541290" w14:textId="77777777" w:rsidR="00E3434F" w:rsidRPr="004A0446" w:rsidRDefault="00E3434F" w:rsidP="001D24D0">
      <w:pPr>
        <w:jc w:val="both"/>
        <w:rPr>
          <w:rFonts w:ascii="Abadi" w:eastAsia="SimSun" w:hAnsi="Abadi" w:cs="Arial"/>
          <w:b/>
          <w:sz w:val="21"/>
          <w:szCs w:val="21"/>
        </w:rPr>
      </w:pPr>
    </w:p>
    <w:p w14:paraId="6658FEBE" w14:textId="77777777" w:rsidR="00E3434F" w:rsidRPr="004A0446" w:rsidRDefault="00E3434F" w:rsidP="001D24D0">
      <w:pPr>
        <w:ind w:firstLine="567"/>
        <w:jc w:val="both"/>
        <w:rPr>
          <w:rFonts w:ascii="Abadi" w:eastAsia="SimSun" w:hAnsi="Abadi" w:cs="Arial"/>
          <w:b/>
          <w:sz w:val="21"/>
          <w:szCs w:val="21"/>
        </w:rPr>
      </w:pPr>
      <w:r w:rsidRPr="004A0446">
        <w:rPr>
          <w:rFonts w:ascii="Abadi" w:eastAsia="SimSun" w:hAnsi="Abadi" w:cs="Arial"/>
          <w:b/>
          <w:sz w:val="21"/>
          <w:szCs w:val="21"/>
        </w:rPr>
        <w:t>Proceso Legislativo.</w:t>
      </w:r>
    </w:p>
    <w:p w14:paraId="7F31B675" w14:textId="77777777" w:rsidR="00E3434F" w:rsidRPr="004A0446" w:rsidRDefault="00E3434F" w:rsidP="001D24D0">
      <w:pPr>
        <w:jc w:val="both"/>
        <w:rPr>
          <w:rFonts w:ascii="Abadi" w:hAnsi="Abadi" w:cs="Arial"/>
          <w:b/>
          <w:bCs/>
          <w:sz w:val="21"/>
          <w:szCs w:val="21"/>
        </w:rPr>
      </w:pPr>
    </w:p>
    <w:p w14:paraId="313194E0" w14:textId="2ABC3AC6" w:rsidR="00E3434F" w:rsidRDefault="00E3434F" w:rsidP="001D24D0">
      <w:pPr>
        <w:ind w:firstLine="567"/>
        <w:jc w:val="both"/>
        <w:rPr>
          <w:rFonts w:ascii="Abadi" w:eastAsia="SimSun" w:hAnsi="Abadi" w:cs="Arial"/>
          <w:bCs/>
          <w:sz w:val="21"/>
          <w:szCs w:val="21"/>
        </w:rPr>
      </w:pPr>
      <w:r w:rsidRPr="004A0446">
        <w:rPr>
          <w:rFonts w:ascii="Abadi" w:eastAsia="SimSun" w:hAnsi="Abadi" w:cs="Arial"/>
          <w:b/>
          <w:sz w:val="21"/>
          <w:szCs w:val="21"/>
        </w:rPr>
        <w:t>I.</w:t>
      </w:r>
      <w:r w:rsidRPr="004A0446">
        <w:rPr>
          <w:rFonts w:ascii="Abadi" w:eastAsia="SimSun" w:hAnsi="Abadi" w:cs="Arial"/>
          <w:bCs/>
          <w:sz w:val="21"/>
          <w:szCs w:val="21"/>
        </w:rPr>
        <w:t xml:space="preserve"> Iniciativa de Ley de Prevención y Atención del Suicidio para el Estado y los Municipios de Guanajuato, y de adición al artículo 27, fracción I un inciso h de la Ley Orgánica del Poder Ejecutivo para el Estado de Guanajuato, suscrita por la diputada y el diputado integrantes del Grupo Parlamentario del Partido Verde Ecologista de México, registrada con número de expediente legislativo digital 58/LXV-I.</w:t>
      </w:r>
    </w:p>
    <w:p w14:paraId="12278AF6" w14:textId="77777777" w:rsidR="00EB606E" w:rsidRPr="004A0446" w:rsidRDefault="00EB606E" w:rsidP="001D24D0">
      <w:pPr>
        <w:ind w:firstLine="567"/>
        <w:jc w:val="both"/>
        <w:rPr>
          <w:rFonts w:ascii="Abadi" w:eastAsia="SimSun" w:hAnsi="Abadi" w:cs="Arial"/>
          <w:bCs/>
          <w:sz w:val="21"/>
          <w:szCs w:val="21"/>
        </w:rPr>
      </w:pPr>
    </w:p>
    <w:p w14:paraId="56291E47" w14:textId="77777777" w:rsidR="00E3434F" w:rsidRPr="004A0446" w:rsidRDefault="00E3434F" w:rsidP="001D24D0">
      <w:pPr>
        <w:ind w:firstLine="567"/>
        <w:jc w:val="both"/>
        <w:rPr>
          <w:rFonts w:ascii="Abadi" w:eastAsia="SimSun" w:hAnsi="Abadi" w:cs="Arial"/>
          <w:sz w:val="21"/>
          <w:szCs w:val="21"/>
        </w:rPr>
      </w:pPr>
      <w:r w:rsidRPr="004A0446">
        <w:rPr>
          <w:rFonts w:ascii="Abadi" w:eastAsia="SimSun" w:hAnsi="Abadi" w:cs="Arial"/>
          <w:b/>
          <w:bCs/>
          <w:sz w:val="21"/>
          <w:szCs w:val="21"/>
        </w:rPr>
        <w:t xml:space="preserve">I.1 </w:t>
      </w:r>
      <w:r w:rsidRPr="004A0446">
        <w:rPr>
          <w:rFonts w:ascii="Abadi" w:eastAsia="SimSun" w:hAnsi="Abadi" w:cs="Arial"/>
          <w:sz w:val="21"/>
          <w:szCs w:val="21"/>
        </w:rPr>
        <w:t>En la sesión plenaria del 18 de noviembre de 2021, por razón de materia fue turnada a la Comisión de Salud Pública de la Sexagésima Quinta Legislatura del Congreso del Estado la iniciativa referida en el párrafo que antecede del presente dictamen.</w:t>
      </w:r>
    </w:p>
    <w:p w14:paraId="027B7FE2" w14:textId="77777777" w:rsidR="00E3434F" w:rsidRPr="004A0446" w:rsidRDefault="00E3434F" w:rsidP="001D24D0">
      <w:pPr>
        <w:jc w:val="both"/>
        <w:rPr>
          <w:rFonts w:ascii="Abadi" w:eastAsia="SimSun" w:hAnsi="Abadi" w:cs="Arial"/>
          <w:sz w:val="21"/>
          <w:szCs w:val="21"/>
        </w:rPr>
      </w:pPr>
    </w:p>
    <w:p w14:paraId="56E5BEC4" w14:textId="77777777" w:rsidR="00E3434F" w:rsidRPr="004A0446" w:rsidRDefault="00E3434F" w:rsidP="001D24D0">
      <w:pPr>
        <w:ind w:firstLine="567"/>
        <w:jc w:val="both"/>
        <w:rPr>
          <w:rFonts w:ascii="Abadi" w:eastAsia="SimSun" w:hAnsi="Abadi" w:cs="Arial"/>
          <w:sz w:val="21"/>
          <w:szCs w:val="21"/>
        </w:rPr>
      </w:pPr>
      <w:r w:rsidRPr="004A0446">
        <w:rPr>
          <w:rFonts w:ascii="Abadi" w:eastAsia="SimSun" w:hAnsi="Abadi" w:cs="Arial"/>
          <w:b/>
          <w:sz w:val="21"/>
          <w:szCs w:val="21"/>
        </w:rPr>
        <w:t xml:space="preserve">I.2 </w:t>
      </w:r>
      <w:r w:rsidRPr="004A0446">
        <w:rPr>
          <w:rFonts w:ascii="Abadi" w:eastAsia="SimSun" w:hAnsi="Abadi" w:cs="Arial"/>
          <w:sz w:val="21"/>
          <w:szCs w:val="21"/>
        </w:rPr>
        <w:t>En la reunión de la Comisión de Salud Pública celebrada el 3 de febrero de 2022 fue radicada la iniciativa en cuestión, así como aprobada por unanimidad de votos la metodología de trabajo para su estudio y dictamen, misma que se transcribe:</w:t>
      </w:r>
    </w:p>
    <w:p w14:paraId="46D451DA" w14:textId="77777777" w:rsidR="00E3434F" w:rsidRPr="004A0446" w:rsidRDefault="00E3434F" w:rsidP="001D24D0">
      <w:pPr>
        <w:jc w:val="both"/>
        <w:rPr>
          <w:rFonts w:ascii="Abadi" w:eastAsia="SimSun" w:hAnsi="Abadi" w:cs="Arial"/>
          <w:i/>
          <w:iCs/>
          <w:sz w:val="21"/>
          <w:szCs w:val="21"/>
        </w:rPr>
      </w:pPr>
    </w:p>
    <w:p w14:paraId="5A54F135" w14:textId="77777777" w:rsidR="00E3434F" w:rsidRPr="004A0446" w:rsidRDefault="00E3434F" w:rsidP="001D24D0">
      <w:pPr>
        <w:numPr>
          <w:ilvl w:val="0"/>
          <w:numId w:val="60"/>
        </w:numPr>
        <w:tabs>
          <w:tab w:val="left" w:pos="1134"/>
        </w:tabs>
        <w:ind w:left="1134" w:right="567" w:hanging="283"/>
        <w:jc w:val="both"/>
        <w:rPr>
          <w:rFonts w:ascii="Abadi" w:hAnsi="Abadi" w:cs="Arial"/>
          <w:i/>
          <w:iCs/>
          <w:sz w:val="21"/>
          <w:szCs w:val="21"/>
          <w:lang w:val="es-MX"/>
        </w:rPr>
      </w:pPr>
      <w:r w:rsidRPr="004A0446">
        <w:rPr>
          <w:rFonts w:ascii="Abadi" w:hAnsi="Abadi" w:cs="Arial"/>
          <w:i/>
          <w:iCs/>
          <w:sz w:val="21"/>
          <w:szCs w:val="21"/>
          <w:lang w:val="es-MX"/>
        </w:rPr>
        <w:t xml:space="preserve">Remitir la iniciativa y solicitar envíen opinión en un término de 15 días hábiles, contados a partir del día siguiente al de recepción de la solicitud: </w:t>
      </w:r>
    </w:p>
    <w:p w14:paraId="07B6765E" w14:textId="77777777" w:rsidR="00E3434F" w:rsidRPr="004A0446" w:rsidRDefault="00E3434F" w:rsidP="001D24D0">
      <w:pPr>
        <w:tabs>
          <w:tab w:val="left" w:pos="1134"/>
        </w:tabs>
        <w:ind w:left="1134" w:right="567"/>
        <w:jc w:val="both"/>
        <w:rPr>
          <w:rFonts w:ascii="Abadi" w:hAnsi="Abadi" w:cs="Arial"/>
          <w:i/>
          <w:iCs/>
          <w:sz w:val="21"/>
          <w:szCs w:val="21"/>
          <w:lang w:val="es-MX"/>
        </w:rPr>
      </w:pPr>
    </w:p>
    <w:p w14:paraId="7DE7AE24" w14:textId="77777777" w:rsidR="00E3434F" w:rsidRPr="004A0446" w:rsidRDefault="00E3434F" w:rsidP="001D24D0">
      <w:pPr>
        <w:numPr>
          <w:ilvl w:val="0"/>
          <w:numId w:val="62"/>
        </w:numPr>
        <w:tabs>
          <w:tab w:val="left" w:pos="1134"/>
        </w:tabs>
        <w:ind w:left="1701" w:right="567" w:hanging="283"/>
        <w:jc w:val="both"/>
        <w:rPr>
          <w:rFonts w:ascii="Abadi" w:hAnsi="Abadi" w:cs="Arial"/>
          <w:i/>
          <w:iCs/>
          <w:sz w:val="21"/>
          <w:szCs w:val="21"/>
          <w:lang w:val="es-MX"/>
        </w:rPr>
      </w:pPr>
      <w:r w:rsidRPr="004A0446">
        <w:rPr>
          <w:rFonts w:ascii="Abadi" w:hAnsi="Abadi" w:cs="Arial"/>
          <w:i/>
          <w:iCs/>
          <w:sz w:val="21"/>
          <w:szCs w:val="21"/>
          <w:lang w:val="es-MX"/>
        </w:rPr>
        <w:t>Vía correo electrónico a las diputados y los diputados integrantes de esta Legislatura.</w:t>
      </w:r>
    </w:p>
    <w:p w14:paraId="3C108B8C" w14:textId="77777777" w:rsidR="00E3434F" w:rsidRPr="004A0446" w:rsidRDefault="00E3434F" w:rsidP="001D24D0">
      <w:pPr>
        <w:tabs>
          <w:tab w:val="left" w:pos="1134"/>
        </w:tabs>
        <w:ind w:left="1701" w:right="567"/>
        <w:jc w:val="both"/>
        <w:rPr>
          <w:rFonts w:ascii="Abadi" w:hAnsi="Abadi" w:cs="Arial"/>
          <w:i/>
          <w:iCs/>
          <w:sz w:val="21"/>
          <w:szCs w:val="21"/>
          <w:lang w:val="es-MX"/>
        </w:rPr>
      </w:pPr>
    </w:p>
    <w:p w14:paraId="61C6460F" w14:textId="77777777" w:rsidR="00E3434F" w:rsidRPr="004A0446" w:rsidRDefault="00E3434F" w:rsidP="001D24D0">
      <w:pPr>
        <w:widowControl w:val="0"/>
        <w:numPr>
          <w:ilvl w:val="0"/>
          <w:numId w:val="62"/>
        </w:numPr>
        <w:tabs>
          <w:tab w:val="left" w:pos="1701"/>
          <w:tab w:val="left" w:pos="1985"/>
        </w:tabs>
        <w:ind w:right="567" w:firstLine="698"/>
        <w:jc w:val="both"/>
        <w:rPr>
          <w:rFonts w:ascii="Abadi" w:hAnsi="Abadi" w:cs="Arial"/>
          <w:i/>
          <w:iCs/>
          <w:sz w:val="21"/>
          <w:szCs w:val="21"/>
          <w:lang w:val="es-MX"/>
        </w:rPr>
      </w:pPr>
      <w:r w:rsidRPr="004A0446">
        <w:rPr>
          <w:rFonts w:ascii="Abadi" w:hAnsi="Abadi" w:cs="Arial"/>
          <w:i/>
          <w:iCs/>
          <w:sz w:val="21"/>
          <w:szCs w:val="21"/>
          <w:lang w:val="es-MX"/>
        </w:rPr>
        <w:t xml:space="preserve">Mediante oficio a: </w:t>
      </w:r>
    </w:p>
    <w:p w14:paraId="0E7AA33D" w14:textId="77777777" w:rsidR="00E3434F" w:rsidRPr="004A0446" w:rsidRDefault="00E3434F" w:rsidP="001D24D0">
      <w:pPr>
        <w:widowControl w:val="0"/>
        <w:tabs>
          <w:tab w:val="left" w:pos="1701"/>
          <w:tab w:val="left" w:pos="1985"/>
        </w:tabs>
        <w:ind w:left="1418" w:right="567"/>
        <w:jc w:val="both"/>
        <w:rPr>
          <w:rFonts w:ascii="Abadi" w:hAnsi="Abadi" w:cs="Arial"/>
          <w:i/>
          <w:iCs/>
          <w:sz w:val="21"/>
          <w:szCs w:val="21"/>
          <w:lang w:val="es-MX"/>
        </w:rPr>
      </w:pPr>
    </w:p>
    <w:p w14:paraId="11D52352" w14:textId="77777777" w:rsidR="00E3434F" w:rsidRPr="004A0446" w:rsidRDefault="00E3434F" w:rsidP="001D24D0">
      <w:pPr>
        <w:widowControl w:val="0"/>
        <w:tabs>
          <w:tab w:val="left" w:pos="1701"/>
          <w:tab w:val="left" w:pos="1985"/>
        </w:tabs>
        <w:ind w:left="1418" w:right="567"/>
        <w:jc w:val="both"/>
        <w:rPr>
          <w:rFonts w:ascii="Abadi" w:hAnsi="Abadi" w:cs="Arial"/>
          <w:i/>
          <w:iCs/>
          <w:sz w:val="21"/>
          <w:szCs w:val="21"/>
          <w:lang w:val="es-MX"/>
        </w:rPr>
      </w:pPr>
      <w:r w:rsidRPr="004A0446">
        <w:rPr>
          <w:rFonts w:ascii="Abadi" w:hAnsi="Abadi" w:cs="Arial"/>
          <w:i/>
          <w:iCs/>
          <w:sz w:val="21"/>
          <w:szCs w:val="21"/>
          <w:lang w:val="es-MX"/>
        </w:rPr>
        <w:t>-   Secretaría de Gobierno;</w:t>
      </w:r>
    </w:p>
    <w:p w14:paraId="38B8B132" w14:textId="77777777" w:rsidR="00E3434F" w:rsidRPr="004A0446" w:rsidRDefault="00E3434F" w:rsidP="001D24D0">
      <w:pPr>
        <w:widowControl w:val="0"/>
        <w:ind w:left="1418" w:right="567" w:firstLine="3"/>
        <w:jc w:val="both"/>
        <w:rPr>
          <w:rFonts w:ascii="Abadi" w:hAnsi="Abadi" w:cs="Arial"/>
          <w:i/>
          <w:iCs/>
          <w:sz w:val="21"/>
          <w:szCs w:val="21"/>
          <w:lang w:val="es-MX"/>
        </w:rPr>
      </w:pPr>
      <w:r w:rsidRPr="004A0446">
        <w:rPr>
          <w:rFonts w:ascii="Abadi" w:hAnsi="Abadi" w:cs="Arial"/>
          <w:i/>
          <w:iCs/>
          <w:sz w:val="21"/>
          <w:szCs w:val="21"/>
          <w:lang w:val="es-MX"/>
        </w:rPr>
        <w:t xml:space="preserve">-   Secretaría de Salud; </w:t>
      </w:r>
    </w:p>
    <w:p w14:paraId="20728BAE" w14:textId="77777777" w:rsidR="00E3434F" w:rsidRPr="004A0446" w:rsidRDefault="00E3434F" w:rsidP="001D24D0">
      <w:pPr>
        <w:widowControl w:val="0"/>
        <w:ind w:left="1418" w:right="567" w:firstLine="3"/>
        <w:jc w:val="both"/>
        <w:rPr>
          <w:rFonts w:ascii="Abadi" w:hAnsi="Abadi" w:cs="Arial"/>
          <w:i/>
          <w:iCs/>
          <w:sz w:val="21"/>
          <w:szCs w:val="21"/>
          <w:lang w:val="es-MX"/>
        </w:rPr>
      </w:pPr>
      <w:r w:rsidRPr="004A0446">
        <w:rPr>
          <w:rFonts w:ascii="Abadi" w:hAnsi="Abadi" w:cs="Arial"/>
          <w:i/>
          <w:iCs/>
          <w:sz w:val="21"/>
          <w:szCs w:val="21"/>
          <w:lang w:val="es-MX"/>
        </w:rPr>
        <w:t>-   Secretaría de Educación;</w:t>
      </w:r>
    </w:p>
    <w:p w14:paraId="656554BF" w14:textId="77777777" w:rsidR="00E3434F" w:rsidRPr="004A0446" w:rsidRDefault="00E3434F" w:rsidP="001D24D0">
      <w:pPr>
        <w:widowControl w:val="0"/>
        <w:ind w:left="1560" w:right="567" w:hanging="142"/>
        <w:jc w:val="both"/>
        <w:rPr>
          <w:rFonts w:ascii="Abadi" w:hAnsi="Abadi" w:cs="Arial"/>
          <w:i/>
          <w:iCs/>
          <w:sz w:val="21"/>
          <w:szCs w:val="21"/>
          <w:lang w:val="es-MX"/>
        </w:rPr>
      </w:pPr>
      <w:r w:rsidRPr="004A0446">
        <w:rPr>
          <w:rFonts w:ascii="Abadi" w:hAnsi="Abadi" w:cs="Arial"/>
          <w:i/>
          <w:iCs/>
          <w:sz w:val="21"/>
          <w:szCs w:val="21"/>
          <w:lang w:val="es-MX"/>
        </w:rPr>
        <w:t xml:space="preserve">-   Secretaría de Seguridad Pública; </w:t>
      </w:r>
    </w:p>
    <w:p w14:paraId="7B71089D" w14:textId="77777777" w:rsidR="00E3434F" w:rsidRPr="004A0446" w:rsidRDefault="00E3434F" w:rsidP="001D24D0">
      <w:pPr>
        <w:widowControl w:val="0"/>
        <w:ind w:left="1560" w:right="567" w:hanging="142"/>
        <w:jc w:val="both"/>
        <w:rPr>
          <w:rFonts w:ascii="Abadi" w:hAnsi="Abadi" w:cs="Arial"/>
          <w:i/>
          <w:iCs/>
          <w:sz w:val="21"/>
          <w:szCs w:val="21"/>
          <w:lang w:val="es-MX"/>
        </w:rPr>
      </w:pPr>
      <w:r w:rsidRPr="004A0446">
        <w:rPr>
          <w:rFonts w:ascii="Abadi" w:hAnsi="Abadi" w:cs="Arial"/>
          <w:i/>
          <w:iCs/>
          <w:sz w:val="21"/>
          <w:szCs w:val="21"/>
          <w:lang w:val="es-MX"/>
        </w:rPr>
        <w:t>-   Secretaría de Finanzas, Inversión y Administración;</w:t>
      </w:r>
    </w:p>
    <w:p w14:paraId="3A645816" w14:textId="77777777" w:rsidR="00E3434F" w:rsidRPr="004A0446" w:rsidRDefault="00E3434F" w:rsidP="001D24D0">
      <w:pPr>
        <w:widowControl w:val="0"/>
        <w:ind w:left="1560" w:right="567" w:hanging="142"/>
        <w:jc w:val="both"/>
        <w:rPr>
          <w:rFonts w:ascii="Abadi" w:hAnsi="Abadi" w:cs="Arial"/>
          <w:i/>
          <w:iCs/>
          <w:sz w:val="21"/>
          <w:szCs w:val="21"/>
          <w:lang w:val="es-MX"/>
        </w:rPr>
      </w:pPr>
      <w:r w:rsidRPr="004A0446">
        <w:rPr>
          <w:rFonts w:ascii="Abadi" w:hAnsi="Abadi" w:cs="Arial"/>
          <w:i/>
          <w:iCs/>
          <w:sz w:val="21"/>
          <w:szCs w:val="21"/>
          <w:lang w:val="es-MX"/>
        </w:rPr>
        <w:t>-   Secretaría de Desarrollo Social y Humano;</w:t>
      </w:r>
    </w:p>
    <w:p w14:paraId="369410F2" w14:textId="77777777" w:rsidR="00E3434F" w:rsidRPr="004A0446" w:rsidRDefault="00E3434F" w:rsidP="001D24D0">
      <w:pPr>
        <w:widowControl w:val="0"/>
        <w:ind w:left="1560" w:right="567" w:hanging="142"/>
        <w:jc w:val="both"/>
        <w:rPr>
          <w:rFonts w:ascii="Abadi" w:hAnsi="Abadi" w:cs="Arial"/>
          <w:i/>
          <w:iCs/>
          <w:sz w:val="21"/>
          <w:szCs w:val="21"/>
          <w:lang w:val="es-MX"/>
        </w:rPr>
      </w:pPr>
      <w:r w:rsidRPr="004A0446">
        <w:rPr>
          <w:rFonts w:ascii="Abadi" w:hAnsi="Abadi" w:cs="Arial"/>
          <w:i/>
          <w:iCs/>
          <w:sz w:val="21"/>
          <w:szCs w:val="21"/>
          <w:lang w:val="es-MX"/>
        </w:rPr>
        <w:t>-   Sistema para el Desarrollo Integral de la Familia del Estado de Guanajuato;</w:t>
      </w:r>
    </w:p>
    <w:p w14:paraId="695ADC4B" w14:textId="77777777" w:rsidR="00E3434F" w:rsidRPr="004A0446" w:rsidRDefault="00E3434F" w:rsidP="001D24D0">
      <w:pPr>
        <w:widowControl w:val="0"/>
        <w:numPr>
          <w:ilvl w:val="0"/>
          <w:numId w:val="63"/>
        </w:numPr>
        <w:tabs>
          <w:tab w:val="left" w:pos="1560"/>
        </w:tabs>
        <w:ind w:right="567"/>
        <w:jc w:val="both"/>
        <w:rPr>
          <w:rFonts w:ascii="Abadi" w:hAnsi="Abadi" w:cs="Arial"/>
          <w:i/>
          <w:iCs/>
          <w:sz w:val="21"/>
          <w:szCs w:val="21"/>
          <w:lang w:val="es-MX"/>
        </w:rPr>
      </w:pPr>
      <w:r w:rsidRPr="004A0446">
        <w:rPr>
          <w:rFonts w:ascii="Abadi" w:hAnsi="Abadi" w:cs="Arial"/>
          <w:i/>
          <w:iCs/>
          <w:sz w:val="21"/>
          <w:szCs w:val="21"/>
          <w:lang w:val="es-MX"/>
        </w:rPr>
        <w:t xml:space="preserve">  Procuraduría Estatal de Protección de Niñas, Niños y Adolescentes del Estado de Guanajuato;</w:t>
      </w:r>
    </w:p>
    <w:p w14:paraId="5DC214EB" w14:textId="77777777" w:rsidR="00E3434F" w:rsidRPr="004A0446" w:rsidRDefault="00E3434F" w:rsidP="001D24D0">
      <w:pPr>
        <w:widowControl w:val="0"/>
        <w:tabs>
          <w:tab w:val="left" w:pos="1701"/>
        </w:tabs>
        <w:ind w:left="1560" w:right="567" w:hanging="142"/>
        <w:jc w:val="both"/>
        <w:rPr>
          <w:rFonts w:ascii="Abadi" w:hAnsi="Abadi" w:cs="Arial"/>
          <w:i/>
          <w:iCs/>
          <w:sz w:val="21"/>
          <w:szCs w:val="21"/>
          <w:lang w:val="es-MX"/>
        </w:rPr>
      </w:pPr>
      <w:r w:rsidRPr="004A0446">
        <w:rPr>
          <w:rFonts w:ascii="Abadi" w:hAnsi="Abadi" w:cs="Arial"/>
          <w:i/>
          <w:iCs/>
          <w:sz w:val="21"/>
          <w:szCs w:val="21"/>
          <w:lang w:val="es-MX"/>
        </w:rPr>
        <w:t>-   Fiscalía General del Estado de Guanajuato;</w:t>
      </w:r>
    </w:p>
    <w:p w14:paraId="79A955E2" w14:textId="77777777" w:rsidR="00E3434F" w:rsidRPr="004A0446" w:rsidRDefault="00E3434F" w:rsidP="001D24D0">
      <w:pPr>
        <w:widowControl w:val="0"/>
        <w:tabs>
          <w:tab w:val="left" w:pos="1701"/>
        </w:tabs>
        <w:ind w:left="1560" w:right="567" w:hanging="142"/>
        <w:jc w:val="both"/>
        <w:rPr>
          <w:rFonts w:ascii="Abadi" w:hAnsi="Abadi" w:cs="Arial"/>
          <w:i/>
          <w:iCs/>
          <w:sz w:val="21"/>
          <w:szCs w:val="21"/>
          <w:lang w:val="es-MX"/>
        </w:rPr>
      </w:pPr>
      <w:r w:rsidRPr="004A0446">
        <w:rPr>
          <w:rFonts w:ascii="Abadi" w:hAnsi="Abadi" w:cs="Arial"/>
          <w:i/>
          <w:iCs/>
          <w:sz w:val="21"/>
          <w:szCs w:val="21"/>
          <w:lang w:val="es-MX"/>
        </w:rPr>
        <w:t>-   Universidad de Guanajuato (División de Ciencias de la Salud;</w:t>
      </w:r>
    </w:p>
    <w:p w14:paraId="7050A91F" w14:textId="77777777" w:rsidR="00E3434F" w:rsidRPr="004A0446" w:rsidRDefault="00E3434F" w:rsidP="001D24D0">
      <w:pPr>
        <w:widowControl w:val="0"/>
        <w:tabs>
          <w:tab w:val="left" w:pos="1701"/>
        </w:tabs>
        <w:ind w:left="1560" w:right="567" w:hanging="142"/>
        <w:jc w:val="both"/>
        <w:rPr>
          <w:rFonts w:ascii="Abadi" w:hAnsi="Abadi" w:cs="Arial"/>
          <w:i/>
          <w:iCs/>
          <w:sz w:val="21"/>
          <w:szCs w:val="21"/>
          <w:lang w:val="es-MX"/>
        </w:rPr>
      </w:pPr>
      <w:r w:rsidRPr="004A0446">
        <w:rPr>
          <w:rFonts w:ascii="Abadi" w:hAnsi="Abadi" w:cs="Arial"/>
          <w:i/>
          <w:iCs/>
          <w:sz w:val="21"/>
          <w:szCs w:val="21"/>
          <w:lang w:val="es-MX"/>
        </w:rPr>
        <w:t>-   46 Ayuntamientos del Estado;</w:t>
      </w:r>
    </w:p>
    <w:p w14:paraId="61750B5D" w14:textId="77777777" w:rsidR="00E3434F" w:rsidRPr="004A0446" w:rsidRDefault="00E3434F" w:rsidP="001D24D0">
      <w:pPr>
        <w:widowControl w:val="0"/>
        <w:ind w:left="1560" w:right="567" w:hanging="142"/>
        <w:jc w:val="both"/>
        <w:rPr>
          <w:rFonts w:ascii="Abadi" w:hAnsi="Abadi" w:cs="Arial"/>
          <w:i/>
          <w:iCs/>
          <w:sz w:val="21"/>
          <w:szCs w:val="21"/>
          <w:lang w:val="es-MX"/>
        </w:rPr>
      </w:pPr>
      <w:r w:rsidRPr="004A0446">
        <w:rPr>
          <w:rFonts w:ascii="Abadi" w:hAnsi="Abadi" w:cs="Arial"/>
          <w:i/>
          <w:iCs/>
          <w:sz w:val="21"/>
          <w:szCs w:val="21"/>
          <w:lang w:val="es-MX"/>
        </w:rPr>
        <w:t xml:space="preserve">-    Coordinación General Jurídica del Gobierno del Estado; </w:t>
      </w:r>
    </w:p>
    <w:p w14:paraId="6241C76C" w14:textId="77777777" w:rsidR="00E3434F" w:rsidRPr="004A0446" w:rsidRDefault="00E3434F" w:rsidP="001D24D0">
      <w:pPr>
        <w:widowControl w:val="0"/>
        <w:ind w:left="1701" w:right="567" w:hanging="283"/>
        <w:jc w:val="both"/>
        <w:rPr>
          <w:rFonts w:ascii="Abadi" w:hAnsi="Abadi" w:cs="Arial"/>
          <w:i/>
          <w:iCs/>
          <w:sz w:val="21"/>
          <w:szCs w:val="21"/>
          <w:lang w:val="es-MX"/>
        </w:rPr>
      </w:pPr>
      <w:r w:rsidRPr="004A0446">
        <w:rPr>
          <w:rFonts w:ascii="Abadi" w:hAnsi="Abadi" w:cs="Arial"/>
          <w:i/>
          <w:iCs/>
          <w:sz w:val="21"/>
          <w:szCs w:val="21"/>
          <w:lang w:val="es-MX"/>
        </w:rPr>
        <w:t>-  Unidad de Estudios de las Finanzas Públicas del Congreso del Estado, en cuanto al impacto presupuestal; y</w:t>
      </w:r>
    </w:p>
    <w:p w14:paraId="108C75DF" w14:textId="77777777" w:rsidR="00E3434F" w:rsidRPr="004A0446" w:rsidRDefault="00E3434F" w:rsidP="001D24D0">
      <w:pPr>
        <w:widowControl w:val="0"/>
        <w:numPr>
          <w:ilvl w:val="0"/>
          <w:numId w:val="61"/>
        </w:numPr>
        <w:ind w:left="1560" w:right="567" w:hanging="142"/>
        <w:jc w:val="both"/>
        <w:rPr>
          <w:rFonts w:ascii="Abadi" w:hAnsi="Abadi" w:cs="Arial"/>
          <w:i/>
          <w:iCs/>
          <w:sz w:val="21"/>
          <w:szCs w:val="21"/>
          <w:lang w:val="es-MX"/>
        </w:rPr>
      </w:pPr>
      <w:r w:rsidRPr="004A0446">
        <w:rPr>
          <w:rFonts w:ascii="Abadi" w:hAnsi="Abadi" w:cs="Arial"/>
          <w:i/>
          <w:iCs/>
          <w:sz w:val="21"/>
          <w:szCs w:val="21"/>
          <w:lang w:val="es-MX"/>
        </w:rPr>
        <w:t xml:space="preserve">  Colegio Estatal de Psicología, A.C.</w:t>
      </w:r>
    </w:p>
    <w:p w14:paraId="7792943F" w14:textId="77777777" w:rsidR="00E3434F" w:rsidRPr="004A0446" w:rsidRDefault="00E3434F" w:rsidP="001D24D0">
      <w:pPr>
        <w:ind w:left="720" w:right="567"/>
        <w:jc w:val="both"/>
        <w:rPr>
          <w:rFonts w:ascii="Abadi" w:hAnsi="Abadi" w:cs="Arial"/>
          <w:i/>
          <w:iCs/>
          <w:sz w:val="21"/>
          <w:szCs w:val="21"/>
          <w:lang w:val="es-MX"/>
        </w:rPr>
      </w:pPr>
    </w:p>
    <w:p w14:paraId="4D4E237B" w14:textId="77777777" w:rsidR="00E3434F" w:rsidRPr="004A0446" w:rsidRDefault="00E3434F" w:rsidP="001D24D0">
      <w:pPr>
        <w:numPr>
          <w:ilvl w:val="0"/>
          <w:numId w:val="60"/>
        </w:numPr>
        <w:ind w:left="993" w:right="567" w:hanging="284"/>
        <w:jc w:val="both"/>
        <w:rPr>
          <w:rFonts w:ascii="Abadi" w:hAnsi="Abadi" w:cs="Arial"/>
          <w:i/>
          <w:iCs/>
          <w:sz w:val="21"/>
          <w:szCs w:val="21"/>
          <w:lang w:val="es-MX"/>
        </w:rPr>
      </w:pPr>
      <w:r w:rsidRPr="004A0446">
        <w:rPr>
          <w:rFonts w:ascii="Abadi" w:hAnsi="Abadi" w:cs="Arial"/>
          <w:i/>
          <w:iCs/>
          <w:sz w:val="21"/>
          <w:szCs w:val="21"/>
          <w:lang w:val="es-MX"/>
        </w:rPr>
        <w:t>Establecer un enlace en la página web del Congreso del Estado por el término de 15 días hábiles, contados a partir del día siguiente al de su publicación, donde se acceda a la iniciativa para efecto de consulta y aportaciones ciudadanas;</w:t>
      </w:r>
    </w:p>
    <w:p w14:paraId="49B4036B" w14:textId="77777777" w:rsidR="00E3434F" w:rsidRPr="004A0446" w:rsidRDefault="00E3434F" w:rsidP="001D24D0">
      <w:pPr>
        <w:ind w:left="720" w:right="567"/>
        <w:jc w:val="both"/>
        <w:rPr>
          <w:rFonts w:ascii="Abadi" w:hAnsi="Abadi" w:cs="Arial"/>
          <w:i/>
          <w:iCs/>
          <w:sz w:val="21"/>
          <w:szCs w:val="21"/>
          <w:lang w:val="es-MX"/>
        </w:rPr>
      </w:pPr>
    </w:p>
    <w:p w14:paraId="19F402A1" w14:textId="77777777" w:rsidR="00E3434F" w:rsidRPr="004A0446" w:rsidRDefault="00E3434F" w:rsidP="001D24D0">
      <w:pPr>
        <w:numPr>
          <w:ilvl w:val="0"/>
          <w:numId w:val="60"/>
        </w:numPr>
        <w:tabs>
          <w:tab w:val="left" w:pos="993"/>
        </w:tabs>
        <w:ind w:left="993" w:right="567" w:hanging="284"/>
        <w:jc w:val="both"/>
        <w:rPr>
          <w:rFonts w:ascii="Abadi" w:hAnsi="Abadi" w:cs="Arial"/>
          <w:b/>
          <w:bCs/>
          <w:i/>
          <w:iCs/>
          <w:sz w:val="21"/>
          <w:szCs w:val="21"/>
        </w:rPr>
      </w:pPr>
      <w:r w:rsidRPr="004A0446">
        <w:rPr>
          <w:rFonts w:ascii="Abadi" w:hAnsi="Abadi" w:cs="Arial"/>
          <w:i/>
          <w:iCs/>
          <w:sz w:val="21"/>
          <w:szCs w:val="21"/>
          <w:lang w:val="es-MX"/>
        </w:rPr>
        <w:t>Elaborar la secretaría técnica un documento en el que se concentren los comentarios formuladas a la iniciativa, y contenga comparativo, el que circulará a las diputadas y al diputado integrantes de la Comisión de Salud Pública, y se impongan de su contenido;</w:t>
      </w:r>
    </w:p>
    <w:p w14:paraId="41159D66" w14:textId="77777777" w:rsidR="00E3434F" w:rsidRPr="004A0446" w:rsidRDefault="00E3434F" w:rsidP="001D24D0">
      <w:pPr>
        <w:ind w:left="708" w:right="567"/>
        <w:rPr>
          <w:rFonts w:ascii="Abadi" w:hAnsi="Abadi" w:cs="Arial"/>
          <w:b/>
          <w:bCs/>
          <w:i/>
          <w:iCs/>
          <w:sz w:val="21"/>
          <w:szCs w:val="21"/>
        </w:rPr>
      </w:pPr>
    </w:p>
    <w:p w14:paraId="754433C2" w14:textId="77777777" w:rsidR="00E3434F" w:rsidRPr="004A0446" w:rsidRDefault="00E3434F" w:rsidP="001D24D0">
      <w:pPr>
        <w:numPr>
          <w:ilvl w:val="0"/>
          <w:numId w:val="60"/>
        </w:numPr>
        <w:tabs>
          <w:tab w:val="left" w:pos="851"/>
          <w:tab w:val="left" w:pos="993"/>
        </w:tabs>
        <w:ind w:left="993" w:right="567" w:hanging="284"/>
        <w:jc w:val="both"/>
        <w:rPr>
          <w:rFonts w:ascii="Abadi" w:hAnsi="Abadi" w:cs="Arial"/>
          <w:b/>
          <w:bCs/>
          <w:i/>
          <w:iCs/>
          <w:sz w:val="21"/>
          <w:szCs w:val="21"/>
        </w:rPr>
      </w:pPr>
      <w:r w:rsidRPr="004A0446">
        <w:rPr>
          <w:rFonts w:ascii="Abadi" w:hAnsi="Abadi" w:cs="Arial"/>
          <w:i/>
          <w:iCs/>
          <w:sz w:val="21"/>
          <w:szCs w:val="21"/>
          <w:lang w:val="es-MX"/>
        </w:rPr>
        <w:t>Mesa de trabajo para el análisis de la iniciativa y los comentarios formulados, conformada por quienes integran la Comisión de Salud Pública, las diputadas y los diputados de esta Legislatura que deseen asistir, así como asesores; e invitar a las secretarías de Salud, de Educación, de Seguridad Pública, de Finanzas, Inversión y Administración, de Desarrollo Social y Humano; a la Procuraduría Estatal de Protección de Niñas, Niños y Adolescentes del Estado de Guanajuato, a la Coordinación General Jurídica del Gobierno del Estado, y a la Unidad de Estudios de las Finanzas Públicas del Congreso del Estado.</w:t>
      </w:r>
    </w:p>
    <w:p w14:paraId="54829448" w14:textId="77777777" w:rsidR="00E3434F" w:rsidRPr="004A0446" w:rsidRDefault="00E3434F" w:rsidP="001D24D0">
      <w:pPr>
        <w:ind w:left="708" w:right="567"/>
        <w:rPr>
          <w:rFonts w:ascii="Abadi" w:hAnsi="Abadi" w:cs="Arial"/>
          <w:b/>
          <w:bCs/>
          <w:i/>
          <w:iCs/>
          <w:sz w:val="21"/>
          <w:szCs w:val="21"/>
        </w:rPr>
      </w:pPr>
    </w:p>
    <w:p w14:paraId="307F8345" w14:textId="77777777" w:rsidR="00E3434F" w:rsidRPr="004A0446" w:rsidRDefault="00E3434F" w:rsidP="001D24D0">
      <w:pPr>
        <w:numPr>
          <w:ilvl w:val="0"/>
          <w:numId w:val="60"/>
        </w:numPr>
        <w:tabs>
          <w:tab w:val="left" w:pos="993"/>
        </w:tabs>
        <w:ind w:left="993" w:right="567" w:hanging="284"/>
        <w:jc w:val="both"/>
        <w:rPr>
          <w:rFonts w:ascii="Abadi" w:hAnsi="Abadi" w:cs="Arial"/>
          <w:b/>
          <w:bCs/>
          <w:i/>
          <w:iCs/>
          <w:sz w:val="21"/>
          <w:szCs w:val="21"/>
        </w:rPr>
      </w:pPr>
      <w:r w:rsidRPr="004A0446">
        <w:rPr>
          <w:rFonts w:ascii="Abadi" w:hAnsi="Abadi" w:cs="Arial"/>
          <w:i/>
          <w:iCs/>
          <w:sz w:val="21"/>
          <w:szCs w:val="21"/>
        </w:rPr>
        <w:t>Reunión de la C</w:t>
      </w:r>
      <w:r w:rsidRPr="004A0446">
        <w:rPr>
          <w:rFonts w:ascii="Abadi" w:hAnsi="Abadi" w:cs="Arial"/>
          <w:i/>
          <w:iCs/>
          <w:sz w:val="21"/>
          <w:szCs w:val="21"/>
          <w:lang w:val="es-MX"/>
        </w:rPr>
        <w:t>omisión de Salud Pública para acuerdos del proyecto de dictamen; y</w:t>
      </w:r>
    </w:p>
    <w:p w14:paraId="26DBC43C" w14:textId="77777777" w:rsidR="00E3434F" w:rsidRPr="004A0446" w:rsidRDefault="00E3434F" w:rsidP="001D24D0">
      <w:pPr>
        <w:ind w:left="708" w:right="567"/>
        <w:rPr>
          <w:rFonts w:ascii="Abadi" w:hAnsi="Abadi" w:cs="Arial"/>
          <w:b/>
          <w:bCs/>
          <w:i/>
          <w:iCs/>
          <w:sz w:val="21"/>
          <w:szCs w:val="21"/>
        </w:rPr>
      </w:pPr>
    </w:p>
    <w:p w14:paraId="5804074A" w14:textId="77777777" w:rsidR="00E3434F" w:rsidRPr="004A0446" w:rsidRDefault="00E3434F" w:rsidP="001D24D0">
      <w:pPr>
        <w:numPr>
          <w:ilvl w:val="0"/>
          <w:numId w:val="60"/>
        </w:numPr>
        <w:tabs>
          <w:tab w:val="left" w:pos="993"/>
        </w:tabs>
        <w:ind w:left="993" w:right="567" w:hanging="284"/>
        <w:jc w:val="both"/>
        <w:rPr>
          <w:rFonts w:ascii="Abadi" w:hAnsi="Abadi" w:cs="Arial"/>
          <w:b/>
          <w:bCs/>
          <w:i/>
          <w:iCs/>
          <w:sz w:val="21"/>
          <w:szCs w:val="21"/>
        </w:rPr>
      </w:pPr>
      <w:r w:rsidRPr="004A0446">
        <w:rPr>
          <w:rFonts w:ascii="Abadi" w:hAnsi="Abadi" w:cs="Arial"/>
          <w:i/>
          <w:iCs/>
          <w:sz w:val="21"/>
          <w:szCs w:val="21"/>
          <w:lang w:val="es-MX"/>
        </w:rPr>
        <w:t xml:space="preserve">Reunión de la Comisión de Salud Pública para la discusión y, en su caso, aprobación del </w:t>
      </w:r>
      <w:r w:rsidRPr="004A0446">
        <w:rPr>
          <w:rFonts w:ascii="Abadi" w:hAnsi="Abadi" w:cs="Arial"/>
          <w:bCs/>
          <w:i/>
          <w:iCs/>
          <w:sz w:val="21"/>
          <w:szCs w:val="21"/>
          <w:lang w:val="es-MX"/>
        </w:rPr>
        <w:t>proyecto</w:t>
      </w:r>
      <w:r w:rsidRPr="004A0446">
        <w:rPr>
          <w:rFonts w:ascii="Abadi" w:hAnsi="Abadi" w:cs="Arial"/>
          <w:i/>
          <w:iCs/>
          <w:sz w:val="21"/>
          <w:szCs w:val="21"/>
          <w:lang w:val="es-MX"/>
        </w:rPr>
        <w:t xml:space="preserve"> de dictamen.</w:t>
      </w:r>
    </w:p>
    <w:p w14:paraId="2D988564" w14:textId="77777777" w:rsidR="00E3434F" w:rsidRPr="004A0446" w:rsidRDefault="00E3434F" w:rsidP="001D24D0">
      <w:pPr>
        <w:ind w:left="720"/>
        <w:jc w:val="both"/>
        <w:rPr>
          <w:rFonts w:ascii="Abadi" w:hAnsi="Abadi" w:cs="Arial"/>
          <w:b/>
          <w:bCs/>
          <w:sz w:val="21"/>
          <w:szCs w:val="21"/>
        </w:rPr>
      </w:pPr>
    </w:p>
    <w:p w14:paraId="4F420932" w14:textId="77777777" w:rsidR="00E3434F" w:rsidRPr="004A0446" w:rsidRDefault="00E3434F" w:rsidP="001D24D0">
      <w:pPr>
        <w:ind w:firstLine="567"/>
        <w:jc w:val="both"/>
        <w:rPr>
          <w:rFonts w:ascii="Abadi" w:eastAsia="SimSun" w:hAnsi="Abadi" w:cs="Arial"/>
          <w:sz w:val="21"/>
          <w:szCs w:val="21"/>
        </w:rPr>
      </w:pPr>
      <w:r w:rsidRPr="004A0446">
        <w:rPr>
          <w:rFonts w:ascii="Abadi" w:eastAsia="SimSun" w:hAnsi="Abadi" w:cs="Arial"/>
          <w:sz w:val="21"/>
          <w:szCs w:val="21"/>
        </w:rPr>
        <w:t xml:space="preserve"> Conforme a la metodología de trabajo aprobada, mediante el correo electrónico del 04 de febrero de 2022, se remitió la iniciativa de referencia y solicitó opinión a las diputadas y los diputados integrantes de esta Legislatura.  Asimismo, mediante los oficios 1384, 1385, 1386, 1387, 1388, 1389, 1390 y 1391, de fecha 04 de febrero de 2022, se hizo llegar la iniciativa y peticionó opinión a las secretarías de Gobierno, de Salud, de Educación, de Seguridad Pública, de Finanzas, Inversión y Administración, de Desarrollo Social y Humano, a la Procuraduría Estatal de Protección de Niñas, Niños y Adolescentes del Estado de Guanajuato, y a la Coordinación General Jurídica del Gobierno del Estado, respectivamente. Misma gestión se llevó a cabo mediante los oficios 1440, 1441, 1442, 1443 y 1444, de fecha 11 de febrero de 2022, girados a la Secretaría General de Congreso del Estado -solicitud de opinión a la Unidad de Estudios de las Finanzas Públicas del Congreso del Estado, en cuanto al impacto presupuestal-, al Sistema para el Desarrollo Integral de la Familia del Estado de Guanajuato, a la Fiscalía General del Estado de Guanajuato, a la Universidad de Guanajuato, y al Colegio Estatal de Psicología, A.C., respectivamente; y, mediante el oficio circular 51, de fecha 04 de febrero de 2022, remitido a los 46 ayuntamientos del Estado.</w:t>
      </w:r>
    </w:p>
    <w:p w14:paraId="3367A206" w14:textId="77777777" w:rsidR="00E3434F" w:rsidRPr="004A0446" w:rsidRDefault="00E3434F" w:rsidP="001D24D0">
      <w:pPr>
        <w:ind w:firstLine="708"/>
        <w:jc w:val="both"/>
        <w:rPr>
          <w:rFonts w:ascii="Abadi" w:eastAsia="SimSun" w:hAnsi="Abadi" w:cs="Arial"/>
          <w:sz w:val="21"/>
          <w:szCs w:val="21"/>
        </w:rPr>
      </w:pPr>
    </w:p>
    <w:p w14:paraId="29BF985F" w14:textId="77777777" w:rsidR="00E3434F" w:rsidRPr="004A0446" w:rsidRDefault="00E3434F" w:rsidP="001D24D0">
      <w:pPr>
        <w:ind w:firstLine="567"/>
        <w:jc w:val="both"/>
        <w:rPr>
          <w:rFonts w:ascii="Abadi" w:eastAsia="SimSun" w:hAnsi="Abadi" w:cs="Arial"/>
          <w:sz w:val="21"/>
          <w:szCs w:val="21"/>
        </w:rPr>
      </w:pPr>
      <w:r w:rsidRPr="004A0446">
        <w:rPr>
          <w:rFonts w:ascii="Abadi" w:eastAsia="SimSun" w:hAnsi="Abadi" w:cs="Arial"/>
          <w:sz w:val="21"/>
          <w:szCs w:val="21"/>
        </w:rPr>
        <w:t xml:space="preserve"> Se estableció un enlace en la página web del Congreso del Estado, a través del cual se accediera a la iniciativa de referencia, para efecto de consulta y aportaciones ciudadanas.</w:t>
      </w:r>
    </w:p>
    <w:p w14:paraId="36454656" w14:textId="77777777" w:rsidR="00E3434F" w:rsidRPr="004A0446" w:rsidRDefault="00E3434F" w:rsidP="001D24D0">
      <w:pPr>
        <w:ind w:firstLine="708"/>
        <w:jc w:val="both"/>
        <w:rPr>
          <w:rFonts w:ascii="Abadi" w:eastAsia="SimSun" w:hAnsi="Abadi" w:cs="Arial"/>
          <w:sz w:val="21"/>
          <w:szCs w:val="21"/>
        </w:rPr>
      </w:pPr>
    </w:p>
    <w:p w14:paraId="1AA81235" w14:textId="77777777" w:rsidR="00E3434F" w:rsidRPr="004A0446" w:rsidRDefault="00E3434F" w:rsidP="001D24D0">
      <w:pPr>
        <w:ind w:firstLine="567"/>
        <w:jc w:val="both"/>
        <w:rPr>
          <w:rFonts w:ascii="Abadi" w:hAnsi="Abadi" w:cs="Arial"/>
          <w:sz w:val="21"/>
          <w:szCs w:val="21"/>
          <w:lang w:val="es-MX"/>
        </w:rPr>
      </w:pPr>
      <w:r w:rsidRPr="004A0446">
        <w:rPr>
          <w:rFonts w:ascii="Abadi" w:eastAsia="SimSun" w:hAnsi="Abadi" w:cs="Arial"/>
          <w:sz w:val="21"/>
          <w:szCs w:val="21"/>
        </w:rPr>
        <w:t xml:space="preserve"> Previo a la celebración de la mesa de trabajo y derivado de las solicitudes de opinión mencionadas se recibieron las respuestas </w:t>
      </w:r>
      <w:r w:rsidRPr="004A0446">
        <w:rPr>
          <w:rFonts w:ascii="Abadi" w:hAnsi="Abadi" w:cs="Arial"/>
          <w:sz w:val="21"/>
          <w:szCs w:val="21"/>
          <w:lang w:val="es-MX"/>
        </w:rPr>
        <w:t xml:space="preserve">de la Secretaría de Seguridad Pública, de la Universidad de Guanajuato, de los ayuntamientos de León, Celaya, y Jaral del Progreso, de la Unidad de Estudios de las Finanzas Públicas del Congreso del Estado, de la Fiscalía General del Estado de Guanajuato, y del Colegio Estatal de Psicología, A.C.  </w:t>
      </w:r>
    </w:p>
    <w:p w14:paraId="3CCF413D" w14:textId="77777777" w:rsidR="00E3434F" w:rsidRPr="004A0446" w:rsidRDefault="00E3434F" w:rsidP="001D24D0">
      <w:pPr>
        <w:ind w:firstLine="708"/>
        <w:jc w:val="both"/>
        <w:rPr>
          <w:rFonts w:ascii="Abadi" w:hAnsi="Abadi" w:cs="Arial"/>
          <w:sz w:val="21"/>
          <w:szCs w:val="21"/>
          <w:lang w:val="es-MX"/>
        </w:rPr>
      </w:pPr>
    </w:p>
    <w:p w14:paraId="76068DA9" w14:textId="77777777" w:rsidR="00E3434F" w:rsidRPr="004A0446" w:rsidRDefault="00E3434F" w:rsidP="001D24D0">
      <w:pPr>
        <w:ind w:firstLine="567"/>
        <w:jc w:val="both"/>
        <w:rPr>
          <w:rFonts w:ascii="Abadi" w:eastAsia="SimSun" w:hAnsi="Abadi" w:cs="Arial"/>
          <w:sz w:val="21"/>
          <w:szCs w:val="21"/>
        </w:rPr>
      </w:pPr>
      <w:r w:rsidRPr="004A0446">
        <w:rPr>
          <w:rFonts w:ascii="Abadi" w:eastAsia="SimSun" w:hAnsi="Abadi" w:cs="Arial"/>
          <w:sz w:val="21"/>
          <w:szCs w:val="21"/>
        </w:rPr>
        <w:t>La secretaría técnica elaboró el documento en el que se concentraron los comentarios formulados a la iniciativa, conteniendo comparativo, mismo que vía correo electrónico hizo llegar a las diputadas y al diputado integrantes de la Comisión de Salud Pública el 19 de mayo de 2022.</w:t>
      </w:r>
    </w:p>
    <w:p w14:paraId="747577B0" w14:textId="77777777" w:rsidR="00E3434F" w:rsidRPr="004A0446" w:rsidRDefault="00E3434F" w:rsidP="001D24D0">
      <w:pPr>
        <w:ind w:left="720"/>
        <w:jc w:val="both"/>
        <w:rPr>
          <w:rFonts w:ascii="Abadi" w:eastAsia="SimSun" w:hAnsi="Abadi" w:cs="Arial"/>
          <w:sz w:val="21"/>
          <w:szCs w:val="21"/>
        </w:rPr>
      </w:pPr>
    </w:p>
    <w:p w14:paraId="597D9F56" w14:textId="77777777" w:rsidR="00E3434F" w:rsidRPr="004A0446" w:rsidRDefault="00E3434F" w:rsidP="001D24D0">
      <w:pPr>
        <w:ind w:firstLine="567"/>
        <w:jc w:val="both"/>
        <w:rPr>
          <w:rFonts w:ascii="Abadi" w:eastAsia="SimSun" w:hAnsi="Abadi" w:cs="Arial"/>
          <w:sz w:val="21"/>
          <w:szCs w:val="21"/>
        </w:rPr>
      </w:pPr>
      <w:r w:rsidRPr="004A0446">
        <w:rPr>
          <w:rFonts w:ascii="Abadi" w:eastAsia="SimSun" w:hAnsi="Abadi" w:cs="Arial"/>
          <w:sz w:val="21"/>
          <w:szCs w:val="21"/>
        </w:rPr>
        <w:t xml:space="preserve">El 31 de mayo de 2022 se efectuó la mesa de trabajo para el análisis de la iniciativa y los comentarios formulados, en la que se contó con las siguientes  asistencias: de manera presencial la diputada presidenta de la Comisión de Salud Pública Irma Leticia González Sánchez, las diputadas Katya Cristina Soto Escamilla y Angélica Casillas Martínez, y el diputado Ernesto Millán Soberanes, integrantes de dicha comisión; la diputada Martha Lourdes Ortega Roque y el diputado Gerardo Fernández González. Asimismo, en representación de la Secretaría de Educación el licenciado Juan Manuel Ruelas Santoyo, director general de Consejería Legal y la licenciada Daniela Porras Gallegos, jefa del departamento del Proyectos Normativos; de la Secretaría de Desarrollo Social y Humano la licenciada Alma Lilia Akall Picón, directora general Jurídica; y, por parte de la Unidad de Estudios de las Finanzas Públicas del Congreso del Estado el maestro Enrique Orozco Mora.  A distancia, a través de herramienta tecnológica en representación de la Secretaría de Salud el doctor Manuel Aguilar Romo, director de Salud Mental, la licenciada Aurora Saori Sugia Verver y Vargas, jefa del departamento de Atención y Prevención a la Violencia, el licenciado Daniel Cortes Rayas, jefe del departamento de Atención Clínica, la doctora Sara García Salinas, jefa del departamento  de Atención a la Infancia y la Adolescencia, y la licenciada María Monserrat Puga Guerrero, coordinadora estatal de Infancia; en representación de la Secretaría de Seguridad Pública el licenciado Francisco Manuel Fernández Guani, coordinador de Asuntos Jurídicos y Reglamentos; de la Secretaría de Finanzas, Inversión y Administración la licenciada Claudia Cecilia Salgado Barrón, directora de Normatividad, adscrita a la Procuraduría Fiscal del Estado; de la Procuraduría de Protección de Niñas, Niños y Adolescentes del Estado de Guanajuato el licenciado Álvaro Ernesto Macías Barrera, coordinador jurídico; de la Coordinación General Jurídica del Gobierno del Estado los licenciados José Federico Ruíz Chávez, director general de Agenda Legislativa y Reglamentación, Alejandro Domínguez López Velarde, adscrito a la dirección general de Agenda Legislativa y Reglamentación, y Carlos Alejandro Rodríguez Pacheco, coordinador de Proyectos Legislativos. Asimismo, de manera presencial acudieron los asesores licenciados Ángel Raymundo Osorio Ponce y Rodrigo Navarrete Garza, del Grupo Parlamentario del Partido Morena, el licenciado Juan Pablo Fernando Galván Aguilar del Grupo Parlamentario del Partido Acción Nacional, el doctor Carlos Torres Ramírez del Grupo Parlamentario del Partido Revolucionario Institucional, los licenciados Guillermo Velázquez Vázquez y Francisco Rocha Balderas del Grupo Parlamentario del Partido Verde Ecologista de México, así como la secretaria técnica de la comisión. </w:t>
      </w:r>
    </w:p>
    <w:p w14:paraId="43567E95" w14:textId="77777777" w:rsidR="00E3434F" w:rsidRPr="004A0446" w:rsidRDefault="00E3434F" w:rsidP="001D24D0">
      <w:pPr>
        <w:ind w:right="27" w:firstLine="709"/>
        <w:jc w:val="both"/>
        <w:rPr>
          <w:rFonts w:ascii="Abadi" w:hAnsi="Abadi" w:cs="Arial"/>
          <w:sz w:val="21"/>
          <w:szCs w:val="21"/>
        </w:rPr>
      </w:pPr>
    </w:p>
    <w:p w14:paraId="6842F9E3" w14:textId="77777777" w:rsidR="00E3434F" w:rsidRPr="004A0446" w:rsidRDefault="00E3434F" w:rsidP="001D24D0">
      <w:pPr>
        <w:autoSpaceDE w:val="0"/>
        <w:autoSpaceDN w:val="0"/>
        <w:adjustRightInd w:val="0"/>
        <w:ind w:firstLine="567"/>
        <w:jc w:val="both"/>
        <w:rPr>
          <w:rFonts w:ascii="Abadi" w:eastAsia="SimSun" w:hAnsi="Abadi" w:cs="Arial"/>
          <w:sz w:val="21"/>
          <w:szCs w:val="21"/>
        </w:rPr>
      </w:pPr>
      <w:r w:rsidRPr="004A0446">
        <w:rPr>
          <w:rFonts w:ascii="Abadi" w:eastAsia="SimSun" w:hAnsi="Abadi" w:cs="Arial"/>
          <w:sz w:val="21"/>
          <w:szCs w:val="21"/>
        </w:rPr>
        <w:t xml:space="preserve">A la conclusión del desahogo de la mesa de trabajo la presidencia de la comisión refirió que a través de la secretaría técnica y de los asesores sé daría seguimiento al tema y de ser posible y viable se convocaría a otra mesa de trabajo, una vez hecho el análisis en conjunto. </w:t>
      </w:r>
    </w:p>
    <w:p w14:paraId="6C79588C" w14:textId="77777777" w:rsidR="00E3434F" w:rsidRPr="004A0446" w:rsidRDefault="00E3434F" w:rsidP="001D24D0">
      <w:pPr>
        <w:autoSpaceDE w:val="0"/>
        <w:autoSpaceDN w:val="0"/>
        <w:adjustRightInd w:val="0"/>
        <w:jc w:val="both"/>
        <w:rPr>
          <w:rFonts w:ascii="Abadi" w:eastAsia="SimSun" w:hAnsi="Abadi" w:cs="Arial"/>
          <w:color w:val="000000"/>
          <w:sz w:val="21"/>
          <w:szCs w:val="21"/>
          <w:lang w:val="es-MX" w:eastAsia="en-US"/>
        </w:rPr>
      </w:pPr>
    </w:p>
    <w:p w14:paraId="0646DFF5" w14:textId="77777777" w:rsidR="00E3434F" w:rsidRPr="004A0446" w:rsidRDefault="00E3434F" w:rsidP="001D24D0">
      <w:pPr>
        <w:tabs>
          <w:tab w:val="left" w:pos="426"/>
        </w:tabs>
        <w:ind w:firstLine="567"/>
        <w:jc w:val="both"/>
        <w:rPr>
          <w:rFonts w:ascii="Abadi" w:eastAsia="SimSun" w:hAnsi="Abadi" w:cs="Arial"/>
          <w:sz w:val="21"/>
          <w:szCs w:val="21"/>
        </w:rPr>
      </w:pPr>
      <w:r w:rsidRPr="004A0446">
        <w:rPr>
          <w:rFonts w:ascii="Abadi" w:eastAsia="SimSun" w:hAnsi="Abadi" w:cs="Arial"/>
          <w:sz w:val="21"/>
          <w:szCs w:val="21"/>
        </w:rPr>
        <w:t>El 31 de mayo de 2022, posterior a la celebración de la mesa de trabajo se recibió la opinión consolidada de las secretarías de Salud, de Finanzas, Inversión y Administración, de Desarrollo Social y Humano, de Educación de Guanajuato, del Sistema para el Desarrollo Integral de la Familia, de la Procuraduría Estatal de Protección de Niñas, Niños y Adolescentes del Estado de Guanajuato, y de la Coordinación General Jurídica del Gobierno del Estado.</w:t>
      </w:r>
    </w:p>
    <w:p w14:paraId="680A7F76" w14:textId="77777777" w:rsidR="00E3434F" w:rsidRPr="004A0446" w:rsidRDefault="00E3434F" w:rsidP="001D24D0">
      <w:pPr>
        <w:tabs>
          <w:tab w:val="left" w:pos="426"/>
        </w:tabs>
        <w:ind w:firstLine="567"/>
        <w:jc w:val="both"/>
        <w:rPr>
          <w:rFonts w:ascii="Abadi" w:eastAsia="SimSun" w:hAnsi="Abadi" w:cs="Arial"/>
          <w:sz w:val="21"/>
          <w:szCs w:val="21"/>
        </w:rPr>
      </w:pPr>
    </w:p>
    <w:p w14:paraId="75C8BA50" w14:textId="77777777" w:rsidR="00E3434F" w:rsidRPr="004A0446" w:rsidRDefault="00E3434F" w:rsidP="001D24D0">
      <w:pPr>
        <w:autoSpaceDE w:val="0"/>
        <w:autoSpaceDN w:val="0"/>
        <w:adjustRightInd w:val="0"/>
        <w:ind w:firstLine="567"/>
        <w:jc w:val="both"/>
        <w:rPr>
          <w:rFonts w:ascii="Abadi" w:eastAsia="SimSun" w:hAnsi="Abadi" w:cs="Arial"/>
          <w:sz w:val="21"/>
          <w:szCs w:val="21"/>
        </w:rPr>
      </w:pPr>
      <w:r w:rsidRPr="004A0446">
        <w:rPr>
          <w:rFonts w:ascii="Abadi" w:eastAsia="SimSun" w:hAnsi="Abadi" w:cs="Arial"/>
          <w:sz w:val="21"/>
          <w:szCs w:val="21"/>
        </w:rPr>
        <w:t xml:space="preserve"> El 31 de agosto de 2022 se llevó cabo reunión de asesores y la secretaría técnica, en la que se contó con la asistencia de la licenciada Leslie Domínguez Méndez, asesora del Grupo Parlamentario del Partido Verde Ecologista de México, de los licenciados Ángel Raymundo Osorio Ponce y Rodrigo Navarrete Garza, asesores del Grupo Parlamentario del Partido Morena, del licenciado Juan Pablo Fernando Galván Aguilar, asesor del Grupo Parlamentario del Partido de Acción Nacional, así como la secretaria técnica de la comisión, en la que, derivado de lo expuesto en la mesa de trabajo celebrada el 31 de mayo de 2022,  la asesora del Grupo Parlamentario del Partido Verde Ecologista de México expuso una propuesta de ajustes a la iniciativa en estudio, misma que fue analizada.</w:t>
      </w:r>
    </w:p>
    <w:p w14:paraId="30A09735" w14:textId="77777777" w:rsidR="00E3434F" w:rsidRPr="004A0446" w:rsidRDefault="00E3434F" w:rsidP="001D24D0">
      <w:pPr>
        <w:ind w:firstLine="709"/>
        <w:rPr>
          <w:rFonts w:ascii="Abadi" w:hAnsi="Abadi" w:cs="Arial"/>
          <w:b/>
          <w:sz w:val="21"/>
          <w:szCs w:val="21"/>
        </w:rPr>
      </w:pPr>
    </w:p>
    <w:p w14:paraId="1BD5A7BE" w14:textId="77777777" w:rsidR="00E3434F" w:rsidRPr="004A0446" w:rsidRDefault="00E3434F" w:rsidP="001D24D0">
      <w:pPr>
        <w:ind w:firstLine="567"/>
        <w:rPr>
          <w:rFonts w:ascii="Abadi" w:hAnsi="Abadi" w:cs="Arial"/>
          <w:b/>
          <w:sz w:val="21"/>
          <w:szCs w:val="21"/>
          <w:lang w:val="es-MX"/>
        </w:rPr>
      </w:pPr>
      <w:r w:rsidRPr="004A0446">
        <w:rPr>
          <w:rFonts w:ascii="Abadi" w:hAnsi="Abadi" w:cs="Arial"/>
          <w:b/>
          <w:sz w:val="21"/>
          <w:szCs w:val="21"/>
          <w:lang w:val="es-MX"/>
        </w:rPr>
        <w:t>I.3 Iniciativa</w:t>
      </w:r>
    </w:p>
    <w:p w14:paraId="6E90F58B" w14:textId="77777777" w:rsidR="00E3434F" w:rsidRPr="004A0446" w:rsidRDefault="00E3434F" w:rsidP="001D24D0">
      <w:pPr>
        <w:tabs>
          <w:tab w:val="left" w:pos="851"/>
        </w:tabs>
        <w:ind w:firstLine="567"/>
        <w:jc w:val="both"/>
        <w:rPr>
          <w:rFonts w:ascii="Abadi" w:hAnsi="Abadi" w:cs="Arial"/>
          <w:sz w:val="21"/>
          <w:szCs w:val="21"/>
        </w:rPr>
      </w:pPr>
      <w:r w:rsidRPr="004A0446">
        <w:rPr>
          <w:rFonts w:ascii="Abadi" w:hAnsi="Abadi" w:cs="Arial"/>
          <w:sz w:val="21"/>
          <w:szCs w:val="21"/>
        </w:rPr>
        <w:t xml:space="preserve">En el apartado del </w:t>
      </w:r>
      <w:r w:rsidRPr="004A0446">
        <w:rPr>
          <w:rFonts w:ascii="Abadi" w:hAnsi="Abadi" w:cs="Arial"/>
          <w:i/>
          <w:iCs/>
          <w:sz w:val="21"/>
          <w:szCs w:val="21"/>
        </w:rPr>
        <w:t>EXPOSICIÓN DE MOTIVOS</w:t>
      </w:r>
      <w:r w:rsidRPr="004A0446">
        <w:rPr>
          <w:rFonts w:ascii="Abadi" w:hAnsi="Abadi" w:cs="Arial"/>
          <w:sz w:val="21"/>
          <w:szCs w:val="21"/>
        </w:rPr>
        <w:t xml:space="preserve"> de la propuesta legislativa se señala:</w:t>
      </w:r>
    </w:p>
    <w:p w14:paraId="4A28C750" w14:textId="77777777" w:rsidR="00E3434F" w:rsidRPr="004A0446" w:rsidRDefault="00E3434F" w:rsidP="001D24D0">
      <w:pPr>
        <w:tabs>
          <w:tab w:val="left" w:pos="1134"/>
          <w:tab w:val="left" w:pos="1418"/>
        </w:tabs>
        <w:ind w:firstLine="426"/>
        <w:rPr>
          <w:rFonts w:ascii="Abadi" w:hAnsi="Abadi"/>
          <w:color w:val="0F0F0F"/>
          <w:w w:val="85"/>
          <w:sz w:val="21"/>
          <w:szCs w:val="21"/>
          <w:lang w:val="es-MX"/>
        </w:rPr>
      </w:pPr>
      <w:r w:rsidRPr="004A0446">
        <w:rPr>
          <w:rFonts w:ascii="Abadi" w:hAnsi="Abadi"/>
          <w:color w:val="0F0F0F"/>
          <w:w w:val="85"/>
          <w:sz w:val="21"/>
          <w:szCs w:val="21"/>
          <w:lang w:val="es-MX"/>
        </w:rPr>
        <w:t xml:space="preserve">               </w:t>
      </w:r>
    </w:p>
    <w:p w14:paraId="19731E9B" w14:textId="77777777" w:rsidR="00E3434F" w:rsidRPr="004A0446" w:rsidRDefault="00E3434F" w:rsidP="0087057E">
      <w:pPr>
        <w:tabs>
          <w:tab w:val="left" w:pos="851"/>
        </w:tabs>
        <w:autoSpaceDE w:val="0"/>
        <w:autoSpaceDN w:val="0"/>
        <w:adjustRightInd w:val="0"/>
        <w:rPr>
          <w:rFonts w:ascii="Abadi" w:eastAsia="Calibri" w:hAnsi="Abadi" w:cs="Arial"/>
          <w:color w:val="0F0F0F"/>
          <w:w w:val="85"/>
          <w:sz w:val="21"/>
          <w:szCs w:val="21"/>
          <w:lang w:val="es-MX" w:eastAsia="en-US"/>
        </w:rPr>
      </w:pPr>
      <w:r w:rsidRPr="004A0446">
        <w:rPr>
          <w:rFonts w:ascii="Abadi" w:eastAsia="Calibri" w:hAnsi="Abadi" w:cs="Arial"/>
          <w:color w:val="0F0F0F"/>
          <w:w w:val="85"/>
          <w:sz w:val="21"/>
          <w:szCs w:val="21"/>
          <w:lang w:val="es-MX" w:eastAsia="en-US"/>
        </w:rPr>
        <w:t xml:space="preserve">                         </w:t>
      </w:r>
      <w:r w:rsidRPr="004A0446">
        <w:rPr>
          <w:rFonts w:ascii="Abadi" w:eastAsia="Calibri" w:hAnsi="Abadi" w:cs="Century Gothic"/>
          <w:color w:val="000000"/>
          <w:sz w:val="21"/>
          <w:szCs w:val="21"/>
          <w:lang w:val="es-ES_tradnl" w:eastAsia="es-ES_tradnl"/>
        </w:rPr>
        <w:t>«</w:t>
      </w:r>
      <w:r w:rsidRPr="004A0446">
        <w:rPr>
          <w:rFonts w:ascii="Abadi" w:eastAsia="Calibri" w:hAnsi="Abadi" w:cs="Arial"/>
          <w:color w:val="0F0F0F"/>
          <w:w w:val="85"/>
          <w:sz w:val="21"/>
          <w:szCs w:val="21"/>
          <w:lang w:val="es-MX" w:eastAsia="en-US"/>
        </w:rPr>
        <w:t xml:space="preserve"> (…)</w:t>
      </w:r>
    </w:p>
    <w:p w14:paraId="7069F247" w14:textId="77777777" w:rsidR="00E3434F" w:rsidRPr="004A0446" w:rsidRDefault="00E3434F" w:rsidP="0087057E">
      <w:pPr>
        <w:tabs>
          <w:tab w:val="left" w:pos="1134"/>
          <w:tab w:val="left" w:pos="8505"/>
        </w:tabs>
        <w:autoSpaceDE w:val="0"/>
        <w:autoSpaceDN w:val="0"/>
        <w:adjustRightInd w:val="0"/>
        <w:rPr>
          <w:rFonts w:ascii="Abadi" w:eastAsia="Calibri" w:hAnsi="Abadi" w:cs="Arial"/>
          <w:color w:val="0F0F0F"/>
          <w:w w:val="85"/>
          <w:sz w:val="21"/>
          <w:szCs w:val="21"/>
          <w:lang w:val="es-MX" w:eastAsia="en-US"/>
        </w:rPr>
      </w:pPr>
    </w:p>
    <w:p w14:paraId="2B80830F" w14:textId="77777777" w:rsidR="00E3434F" w:rsidRPr="004A0446" w:rsidRDefault="00E3434F" w:rsidP="0087057E">
      <w:pPr>
        <w:autoSpaceDE w:val="0"/>
        <w:autoSpaceDN w:val="0"/>
        <w:adjustRightInd w:val="0"/>
        <w:ind w:left="1134" w:right="594" w:firstLine="567"/>
        <w:jc w:val="both"/>
        <w:rPr>
          <w:rFonts w:ascii="Abadi" w:eastAsia="Calibri" w:hAnsi="Abadi" w:cs="Arial"/>
          <w:color w:val="000000"/>
          <w:sz w:val="21"/>
          <w:szCs w:val="21"/>
          <w:lang w:val="es-MX" w:eastAsia="en-US"/>
        </w:rPr>
      </w:pPr>
      <w:r w:rsidRPr="004A0446">
        <w:rPr>
          <w:rFonts w:ascii="Abadi" w:eastAsia="Calibri" w:hAnsi="Abadi" w:cs="Arial"/>
          <w:color w:val="000000"/>
          <w:sz w:val="21"/>
          <w:szCs w:val="21"/>
          <w:lang w:val="es-MX" w:eastAsia="en-US"/>
        </w:rPr>
        <w:t xml:space="preserve">“28 de noviembre del 2018, imagínate despertar a las 6:00 de la mañana para preparar las cosas del trabajo y encontrar en el pasillo de tu casa a tu hijo de 21 años sin signos de vida. Y, al llamar a la Cruz Roja para que te ayuden a revivirlo, solo te digan que ya no se puede hacer nada. </w:t>
      </w:r>
    </w:p>
    <w:p w14:paraId="7C309443" w14:textId="77777777" w:rsidR="00E3434F" w:rsidRPr="004A0446" w:rsidRDefault="00E3434F" w:rsidP="0087057E">
      <w:pPr>
        <w:autoSpaceDE w:val="0"/>
        <w:autoSpaceDN w:val="0"/>
        <w:adjustRightInd w:val="0"/>
        <w:ind w:left="709" w:right="594" w:firstLine="709"/>
        <w:jc w:val="both"/>
        <w:rPr>
          <w:rFonts w:ascii="Abadi" w:eastAsia="Calibri" w:hAnsi="Abadi" w:cs="Arial"/>
          <w:color w:val="000000"/>
          <w:sz w:val="21"/>
          <w:szCs w:val="21"/>
          <w:lang w:val="es-MX" w:eastAsia="en-US"/>
        </w:rPr>
      </w:pPr>
    </w:p>
    <w:p w14:paraId="6EB4C8EC" w14:textId="77777777" w:rsidR="00E3434F" w:rsidRPr="004A0446" w:rsidRDefault="00E3434F" w:rsidP="0087057E">
      <w:pPr>
        <w:autoSpaceDE w:val="0"/>
        <w:autoSpaceDN w:val="0"/>
        <w:adjustRightInd w:val="0"/>
        <w:ind w:left="1134" w:right="594" w:firstLine="567"/>
        <w:jc w:val="both"/>
        <w:rPr>
          <w:rFonts w:ascii="Abadi" w:eastAsia="Calibri" w:hAnsi="Abadi" w:cs="Arial"/>
          <w:color w:val="000000"/>
          <w:sz w:val="21"/>
          <w:szCs w:val="21"/>
          <w:lang w:val="es-MX" w:eastAsia="en-US"/>
        </w:rPr>
      </w:pPr>
      <w:r w:rsidRPr="004A0446">
        <w:rPr>
          <w:rFonts w:ascii="Abadi" w:eastAsia="Calibri" w:hAnsi="Abadi" w:cs="Arial"/>
          <w:color w:val="000000"/>
          <w:sz w:val="21"/>
          <w:szCs w:val="21"/>
          <w:lang w:val="es-MX" w:eastAsia="en-US"/>
        </w:rPr>
        <w:t xml:space="preserve">Eso fue lo que viví hace 3 años y, no hay día que no me quite de la cabeza la imagen de mi hijo. 3 años y mi exesposo me sigue reprochando que yo fui la culpable de que mi hijo se suicidara, hasta me tuve que cambiar de casa, ya que el estar allí era muy triste y desolador. </w:t>
      </w:r>
    </w:p>
    <w:p w14:paraId="288CE5DE" w14:textId="77777777" w:rsidR="00E3434F" w:rsidRPr="004A0446" w:rsidRDefault="00E3434F" w:rsidP="0087057E">
      <w:pPr>
        <w:autoSpaceDE w:val="0"/>
        <w:autoSpaceDN w:val="0"/>
        <w:adjustRightInd w:val="0"/>
        <w:ind w:left="993" w:right="594" w:firstLine="425"/>
        <w:jc w:val="both"/>
        <w:rPr>
          <w:rFonts w:ascii="Abadi" w:eastAsia="Calibri" w:hAnsi="Abadi" w:cs="Arial"/>
          <w:color w:val="000000"/>
          <w:sz w:val="21"/>
          <w:szCs w:val="21"/>
          <w:lang w:val="es-MX" w:eastAsia="en-US"/>
        </w:rPr>
      </w:pPr>
    </w:p>
    <w:p w14:paraId="405B5149" w14:textId="77777777" w:rsidR="00E3434F" w:rsidRPr="004A0446" w:rsidRDefault="00E3434F" w:rsidP="0087057E">
      <w:pPr>
        <w:autoSpaceDE w:val="0"/>
        <w:autoSpaceDN w:val="0"/>
        <w:adjustRightInd w:val="0"/>
        <w:ind w:left="1134" w:right="594" w:firstLine="567"/>
        <w:jc w:val="both"/>
        <w:rPr>
          <w:rFonts w:ascii="Abadi" w:eastAsia="Calibri" w:hAnsi="Abadi" w:cs="Arial"/>
          <w:color w:val="000000"/>
          <w:sz w:val="21"/>
          <w:szCs w:val="21"/>
          <w:lang w:val="es-MX" w:eastAsia="en-US"/>
        </w:rPr>
      </w:pPr>
      <w:r w:rsidRPr="004A0446">
        <w:rPr>
          <w:rFonts w:ascii="Abadi" w:eastAsia="Calibri" w:hAnsi="Abadi" w:cs="Arial"/>
          <w:color w:val="000000"/>
          <w:sz w:val="21"/>
          <w:szCs w:val="21"/>
          <w:lang w:val="es-MX" w:eastAsia="en-US"/>
        </w:rPr>
        <w:t xml:space="preserve">Mi hijo tenía 23 años, una vida por delante y nunca supe por qué lo hizo.” </w:t>
      </w:r>
    </w:p>
    <w:p w14:paraId="0A4A3CFB" w14:textId="77777777" w:rsidR="00E3434F" w:rsidRPr="004A0446" w:rsidRDefault="00E3434F" w:rsidP="0087057E">
      <w:pPr>
        <w:autoSpaceDE w:val="0"/>
        <w:autoSpaceDN w:val="0"/>
        <w:adjustRightInd w:val="0"/>
        <w:ind w:left="709" w:right="594" w:firstLine="992"/>
        <w:jc w:val="both"/>
        <w:rPr>
          <w:rFonts w:ascii="Abadi" w:eastAsia="Calibri" w:hAnsi="Abadi" w:cs="Arial"/>
          <w:color w:val="000000"/>
          <w:sz w:val="21"/>
          <w:szCs w:val="21"/>
          <w:lang w:val="es-MX" w:eastAsia="en-US"/>
        </w:rPr>
      </w:pPr>
    </w:p>
    <w:p w14:paraId="5D122C65" w14:textId="77777777" w:rsidR="00E3434F" w:rsidRPr="004A0446" w:rsidRDefault="00E3434F" w:rsidP="0087057E">
      <w:pPr>
        <w:autoSpaceDE w:val="0"/>
        <w:autoSpaceDN w:val="0"/>
        <w:adjustRightInd w:val="0"/>
        <w:ind w:left="1134" w:right="594" w:firstLine="284"/>
        <w:jc w:val="both"/>
        <w:rPr>
          <w:rFonts w:ascii="Abadi" w:eastAsia="Calibri" w:hAnsi="Abadi" w:cs="Arial"/>
          <w:color w:val="000000"/>
          <w:sz w:val="21"/>
          <w:szCs w:val="21"/>
          <w:lang w:val="es-MX" w:eastAsia="en-US"/>
        </w:rPr>
      </w:pPr>
      <w:r w:rsidRPr="004A0446">
        <w:rPr>
          <w:rFonts w:ascii="Abadi" w:eastAsia="Calibri" w:hAnsi="Abadi" w:cs="Arial"/>
          <w:color w:val="000000"/>
          <w:sz w:val="21"/>
          <w:szCs w:val="21"/>
          <w:lang w:val="es-MX" w:eastAsia="en-US"/>
        </w:rPr>
        <w:t>Así como esta situación, cada minuto que pasa hay una madre, un padre, una abuela, un hermano, un hijo o una hija que no supieron por qué su ser querido decidió quitarse la vida, ya que, según datos de la Organización Mundial de la Salud, anualmente suceden 700 mil suicidios en el mundo</w:t>
      </w:r>
      <w:r w:rsidRPr="004A0446">
        <w:rPr>
          <w:rFonts w:ascii="Abadi" w:eastAsia="Calibri" w:hAnsi="Abadi" w:cs="Arial"/>
          <w:color w:val="000000"/>
          <w:sz w:val="21"/>
          <w:szCs w:val="21"/>
          <w:vertAlign w:val="superscript"/>
          <w:lang w:val="es-MX" w:eastAsia="en-US"/>
        </w:rPr>
        <w:footnoteReference w:id="116"/>
      </w:r>
    </w:p>
    <w:p w14:paraId="1D3DF5E9" w14:textId="77777777" w:rsidR="00E3434F" w:rsidRPr="004A0446" w:rsidRDefault="00E3434F" w:rsidP="0087057E">
      <w:pPr>
        <w:autoSpaceDE w:val="0"/>
        <w:autoSpaceDN w:val="0"/>
        <w:adjustRightInd w:val="0"/>
        <w:ind w:left="709" w:right="594" w:firstLine="709"/>
        <w:jc w:val="both"/>
        <w:rPr>
          <w:rFonts w:ascii="Abadi" w:eastAsia="Calibri" w:hAnsi="Abadi" w:cs="Arial"/>
          <w:color w:val="000000"/>
          <w:sz w:val="21"/>
          <w:szCs w:val="21"/>
          <w:lang w:val="es-MX" w:eastAsia="en-US"/>
        </w:rPr>
      </w:pPr>
    </w:p>
    <w:p w14:paraId="6D0FAF9A" w14:textId="77777777" w:rsidR="00E3434F" w:rsidRPr="004A0446" w:rsidRDefault="00E3434F" w:rsidP="0087057E">
      <w:pPr>
        <w:autoSpaceDE w:val="0"/>
        <w:autoSpaceDN w:val="0"/>
        <w:adjustRightInd w:val="0"/>
        <w:ind w:left="1134" w:right="594" w:firstLine="567"/>
        <w:jc w:val="both"/>
        <w:rPr>
          <w:rFonts w:ascii="Abadi" w:eastAsia="Calibri" w:hAnsi="Abadi" w:cs="Arial"/>
          <w:color w:val="000000"/>
          <w:sz w:val="21"/>
          <w:szCs w:val="21"/>
          <w:lang w:val="es-MX" w:eastAsia="en-US"/>
        </w:rPr>
      </w:pPr>
      <w:r w:rsidRPr="004A0446">
        <w:rPr>
          <w:rFonts w:ascii="Abadi" w:eastAsia="Calibri" w:hAnsi="Abadi" w:cs="Arial"/>
          <w:color w:val="000000"/>
          <w:sz w:val="21"/>
          <w:szCs w:val="21"/>
          <w:lang w:val="es-MX" w:eastAsia="en-US"/>
        </w:rPr>
        <w:t xml:space="preserve">El suicidio, por todo lo que implica para la sociedad, es considerado un problema de salud pública, ya que una vez consumado, las afectaciones que genera trascienden más allá de la pérdida de una vida humana, alterando lo comunitario, lo familiar y lo personal. Para las personas que lo han experimentado de manera cercana, las alteraciones son graves en diferentes niveles psicológicos, físicos y sociales, pudiendo llegar a convertirse en verdaderas tragedias familiares y comunitarias.  </w:t>
      </w:r>
    </w:p>
    <w:p w14:paraId="0DD09D7C" w14:textId="77777777" w:rsidR="00E3434F" w:rsidRPr="004A0446" w:rsidRDefault="00E3434F" w:rsidP="0087057E">
      <w:pPr>
        <w:autoSpaceDE w:val="0"/>
        <w:autoSpaceDN w:val="0"/>
        <w:adjustRightInd w:val="0"/>
        <w:ind w:left="1134" w:right="594" w:firstLine="284"/>
        <w:jc w:val="both"/>
        <w:rPr>
          <w:rFonts w:ascii="Abadi" w:eastAsia="Calibri" w:hAnsi="Abadi" w:cs="Arial"/>
          <w:color w:val="000000"/>
          <w:sz w:val="21"/>
          <w:szCs w:val="21"/>
          <w:lang w:val="es-MX" w:eastAsia="en-US"/>
        </w:rPr>
      </w:pPr>
    </w:p>
    <w:p w14:paraId="17365F50" w14:textId="77777777" w:rsidR="00E3434F" w:rsidRPr="004A0446" w:rsidRDefault="00E3434F" w:rsidP="0087057E">
      <w:pPr>
        <w:ind w:left="1134" w:right="594" w:firstLine="567"/>
        <w:jc w:val="both"/>
        <w:rPr>
          <w:rFonts w:ascii="Abadi" w:hAnsi="Abadi" w:cs="Arial"/>
          <w:sz w:val="21"/>
          <w:szCs w:val="21"/>
          <w:lang w:val="es-MX"/>
        </w:rPr>
      </w:pPr>
      <w:r w:rsidRPr="004A0446">
        <w:rPr>
          <w:rFonts w:ascii="Abadi" w:hAnsi="Abadi" w:cs="Arial"/>
          <w:sz w:val="21"/>
          <w:szCs w:val="21"/>
          <w:lang w:val="es-MX"/>
        </w:rPr>
        <w:t xml:space="preserve">Este fenómeno, no distingue edad, condición social, económica o religiosa. No obstante, diversos factores convergen en los distintos momentos que vive la víctima, desde la planeación hasta la consumación. Por ello, todas las personas estamos llamadas a crear   los mecanismos para su prevención, por una parte, y por otra, a brindar una atención integral a las víctimas indirectas de esta lamentable conducta. </w:t>
      </w:r>
    </w:p>
    <w:p w14:paraId="1BF33B8F" w14:textId="77777777" w:rsidR="00E3434F" w:rsidRPr="004A0446" w:rsidRDefault="00E3434F" w:rsidP="001D24D0">
      <w:pPr>
        <w:ind w:left="1134" w:right="594" w:firstLine="567"/>
        <w:jc w:val="both"/>
        <w:rPr>
          <w:rFonts w:ascii="Abadi" w:hAnsi="Abadi" w:cs="Arial"/>
          <w:sz w:val="21"/>
          <w:szCs w:val="21"/>
          <w:lang w:val="es-MX"/>
        </w:rPr>
      </w:pPr>
    </w:p>
    <w:p w14:paraId="5D4098F7" w14:textId="77777777" w:rsidR="00E3434F" w:rsidRPr="004A0446" w:rsidRDefault="00E3434F" w:rsidP="001D24D0">
      <w:pPr>
        <w:ind w:left="1134" w:right="594" w:firstLine="567"/>
        <w:jc w:val="both"/>
        <w:rPr>
          <w:rFonts w:ascii="Abadi" w:hAnsi="Abadi" w:cs="Arial"/>
          <w:sz w:val="21"/>
          <w:szCs w:val="21"/>
          <w:lang w:val="es-MX"/>
        </w:rPr>
      </w:pPr>
      <w:r w:rsidRPr="004A0446">
        <w:rPr>
          <w:rFonts w:ascii="Abadi" w:hAnsi="Abadi" w:cs="Arial"/>
          <w:sz w:val="21"/>
          <w:szCs w:val="21"/>
          <w:lang w:val="es-MX"/>
        </w:rPr>
        <w:t>Ahora bien, respecto al estudio de los principales factores que lo provocan, destaca la situación económica de las personas, ya que de acuerdo cifras oficiales, constituye el principal factor asociado al suicidio, ya que el 77% de estos acontecimientos en el año 2019 fueron en países de ingresos bajos y medios</w:t>
      </w:r>
      <w:r w:rsidRPr="004A0446">
        <w:rPr>
          <w:rFonts w:ascii="Abadi" w:hAnsi="Abadi" w:cs="Arial"/>
          <w:sz w:val="21"/>
          <w:szCs w:val="21"/>
          <w:vertAlign w:val="superscript"/>
          <w:lang w:val="es-MX"/>
        </w:rPr>
        <w:footnoteReference w:id="117"/>
      </w:r>
      <w:r w:rsidRPr="004A0446">
        <w:rPr>
          <w:rFonts w:ascii="Abadi" w:hAnsi="Abadi" w:cs="Arial"/>
          <w:sz w:val="21"/>
          <w:szCs w:val="21"/>
          <w:lang w:val="es-MX"/>
        </w:rPr>
        <w:t xml:space="preserve"> En segundo lugar se encuentran las relaciones familiares asociadas a algún caso de violencia o abuso en la infancia y, en tercer lugar, un factor educacional. A estos se suman situaciones como, la pérdida de un ser querido, problemas financieros, rupturas de relaciones y la depresión. </w:t>
      </w:r>
    </w:p>
    <w:p w14:paraId="12392888" w14:textId="77777777" w:rsidR="00E3434F" w:rsidRPr="004A0446" w:rsidRDefault="00E3434F" w:rsidP="001D24D0">
      <w:pPr>
        <w:ind w:left="709" w:right="594" w:firstLine="709"/>
        <w:jc w:val="both"/>
        <w:rPr>
          <w:rFonts w:ascii="Abadi" w:hAnsi="Abadi" w:cs="Arial"/>
          <w:sz w:val="21"/>
          <w:szCs w:val="21"/>
          <w:lang w:val="es-MX"/>
        </w:rPr>
      </w:pPr>
    </w:p>
    <w:p w14:paraId="35D492FE" w14:textId="77777777" w:rsidR="00E3434F" w:rsidRPr="004A0446" w:rsidRDefault="00E3434F" w:rsidP="001D24D0">
      <w:pPr>
        <w:ind w:left="1134" w:right="594" w:firstLine="567"/>
        <w:jc w:val="both"/>
        <w:rPr>
          <w:rFonts w:ascii="Abadi" w:hAnsi="Abadi" w:cs="Arial"/>
          <w:sz w:val="21"/>
          <w:szCs w:val="21"/>
          <w:lang w:val="es-MX"/>
        </w:rPr>
      </w:pPr>
      <w:r w:rsidRPr="004A0446">
        <w:rPr>
          <w:rFonts w:ascii="Abadi" w:hAnsi="Abadi" w:cs="Arial"/>
          <w:sz w:val="21"/>
          <w:szCs w:val="21"/>
          <w:lang w:val="es-MX"/>
        </w:rPr>
        <w:t xml:space="preserve">Otro dato a nivel mundial es que el 76% de los suicidios corresponde a los hombres y el restante a mujeres, y aquí es importante reflexionar el por qué esta diferencia pues subsisten aún muchos factores de riesgo asociados a paradigmas sobre cómo se construye la masculinidad en nuestra sociedad, lo que representa además de conductas machistas, cargas sociales y limitaciones emocionales que aumentan las posibilidades de optar por este tipo de reacciones fatales. Como muestra ello, tenemos expresiones populares que se multiplan desde la crianza como: </w:t>
      </w:r>
    </w:p>
    <w:p w14:paraId="3717ECD8" w14:textId="77777777" w:rsidR="00E3434F" w:rsidRPr="004A0446" w:rsidRDefault="00E3434F" w:rsidP="001D24D0">
      <w:pPr>
        <w:ind w:left="709" w:right="594"/>
        <w:jc w:val="both"/>
        <w:rPr>
          <w:rFonts w:ascii="Abadi" w:hAnsi="Abadi" w:cs="Arial"/>
          <w:sz w:val="21"/>
          <w:szCs w:val="21"/>
          <w:lang w:val="es-MX"/>
        </w:rPr>
      </w:pPr>
    </w:p>
    <w:p w14:paraId="2BE5FAC1" w14:textId="77777777" w:rsidR="00E3434F" w:rsidRPr="004A0446" w:rsidRDefault="00E3434F" w:rsidP="001D24D0">
      <w:pPr>
        <w:ind w:left="1134" w:right="594" w:firstLine="567"/>
        <w:jc w:val="both"/>
        <w:rPr>
          <w:rFonts w:ascii="Abadi" w:hAnsi="Abadi" w:cs="Arial"/>
          <w:sz w:val="21"/>
          <w:szCs w:val="21"/>
          <w:lang w:val="es-MX"/>
        </w:rPr>
      </w:pPr>
      <w:r w:rsidRPr="004A0446">
        <w:rPr>
          <w:rFonts w:ascii="Abadi" w:hAnsi="Abadi" w:cs="Arial"/>
          <w:sz w:val="21"/>
          <w:szCs w:val="21"/>
          <w:lang w:val="es-MX"/>
        </w:rPr>
        <w:t>“No llore, los hombres no lloran”, condicionando a los niños desde muy temprano a que no expresen emociones, porque expresar emociones es signo de debilidad”</w:t>
      </w:r>
      <w:r w:rsidRPr="004A0446">
        <w:rPr>
          <w:rFonts w:ascii="Abadi" w:hAnsi="Abadi" w:cs="Arial"/>
          <w:sz w:val="21"/>
          <w:szCs w:val="21"/>
          <w:vertAlign w:val="superscript"/>
          <w:lang w:val="es-MX"/>
        </w:rPr>
        <w:footnoteReference w:id="118"/>
      </w:r>
    </w:p>
    <w:p w14:paraId="30D18140" w14:textId="77777777" w:rsidR="00E3434F" w:rsidRPr="004A0446" w:rsidRDefault="00E3434F" w:rsidP="001D24D0">
      <w:pPr>
        <w:ind w:left="1418" w:right="594" w:hanging="425"/>
        <w:jc w:val="both"/>
        <w:rPr>
          <w:rFonts w:ascii="Abadi" w:hAnsi="Abadi" w:cs="Arial"/>
          <w:sz w:val="21"/>
          <w:szCs w:val="21"/>
          <w:lang w:val="es-MX"/>
        </w:rPr>
      </w:pPr>
    </w:p>
    <w:p w14:paraId="7058447F" w14:textId="77777777" w:rsidR="00E3434F" w:rsidRPr="004A0446" w:rsidRDefault="00E3434F" w:rsidP="001D24D0">
      <w:pPr>
        <w:ind w:left="1134" w:right="594" w:firstLine="567"/>
        <w:jc w:val="both"/>
        <w:rPr>
          <w:rFonts w:ascii="Abadi" w:hAnsi="Abadi" w:cs="Arial"/>
          <w:sz w:val="21"/>
          <w:szCs w:val="21"/>
          <w:lang w:val="es-MX"/>
        </w:rPr>
      </w:pPr>
      <w:r w:rsidRPr="004A0446">
        <w:rPr>
          <w:rFonts w:ascii="Abadi" w:hAnsi="Abadi" w:cs="Arial"/>
          <w:sz w:val="21"/>
          <w:szCs w:val="21"/>
          <w:lang w:val="es-MX"/>
        </w:rPr>
        <w:t xml:space="preserve">Lo que ha tenido como resultado que en gran medida los hombres no expresen sus sentimientos, repriman sus emociones y no busquen a tiempo ayuda psicológica.  </w:t>
      </w:r>
    </w:p>
    <w:p w14:paraId="0548AA96" w14:textId="77777777" w:rsidR="00E3434F" w:rsidRPr="004A0446" w:rsidRDefault="00E3434F" w:rsidP="001D24D0">
      <w:pPr>
        <w:ind w:left="709" w:right="594" w:firstLine="567"/>
        <w:jc w:val="both"/>
        <w:rPr>
          <w:rFonts w:ascii="Abadi" w:hAnsi="Abadi" w:cs="Arial"/>
          <w:sz w:val="21"/>
          <w:szCs w:val="21"/>
          <w:lang w:val="es-MX"/>
        </w:rPr>
      </w:pPr>
    </w:p>
    <w:p w14:paraId="4FC4E614" w14:textId="77777777" w:rsidR="00E3434F" w:rsidRPr="004A0446" w:rsidRDefault="00E3434F" w:rsidP="001D24D0">
      <w:pPr>
        <w:ind w:left="1134" w:right="594" w:firstLine="426"/>
        <w:jc w:val="both"/>
        <w:rPr>
          <w:rFonts w:ascii="Abadi" w:hAnsi="Abadi" w:cs="Arial"/>
          <w:sz w:val="21"/>
          <w:szCs w:val="21"/>
          <w:lang w:val="es-MX"/>
        </w:rPr>
      </w:pPr>
      <w:r w:rsidRPr="004A0446">
        <w:rPr>
          <w:rFonts w:ascii="Abadi" w:hAnsi="Abadi" w:cs="Arial"/>
          <w:sz w:val="21"/>
          <w:szCs w:val="21"/>
          <w:lang w:val="es-MX"/>
        </w:rPr>
        <w:t>Aunado a lo anterior, otra de las repercusiones de este discurso del</w:t>
      </w:r>
      <w:r>
        <w:rPr>
          <w:rFonts w:ascii="Abadi" w:hAnsi="Abadi" w:cs="Arial"/>
          <w:sz w:val="21"/>
          <w:szCs w:val="21"/>
          <w:lang w:val="es-MX"/>
        </w:rPr>
        <w:t xml:space="preserve"> </w:t>
      </w:r>
      <w:r w:rsidRPr="004A0446">
        <w:rPr>
          <w:rFonts w:ascii="Abadi" w:hAnsi="Abadi" w:cs="Arial"/>
          <w:sz w:val="21"/>
          <w:szCs w:val="21"/>
          <w:lang w:val="es-MX"/>
        </w:rPr>
        <w:t xml:space="preserve">”hombre fuerte e invencible” la tenemos en la salud, pues este mismo temor a mostrar debilidad impide que muchos hombres se realicen exploraciones médicas para detectar oportunamente afectaciones a su salud. Esto explica el por qué enfermedades como el cáncer de próstata terminan por llevar al suicidio a muchos hombres </w:t>
      </w:r>
    </w:p>
    <w:p w14:paraId="4FBB5FD6" w14:textId="77777777" w:rsidR="00E3434F" w:rsidRPr="004A0446" w:rsidRDefault="00E3434F" w:rsidP="001D24D0">
      <w:pPr>
        <w:ind w:left="1134" w:right="594" w:firstLine="426"/>
        <w:jc w:val="both"/>
        <w:rPr>
          <w:rFonts w:ascii="Abadi" w:hAnsi="Abadi" w:cs="Arial"/>
          <w:sz w:val="21"/>
          <w:szCs w:val="21"/>
          <w:lang w:val="es-MX"/>
        </w:rPr>
      </w:pPr>
    </w:p>
    <w:p w14:paraId="62587506" w14:textId="77777777" w:rsidR="00E3434F" w:rsidRPr="004A0446" w:rsidRDefault="00E3434F" w:rsidP="001D24D0">
      <w:pPr>
        <w:ind w:left="1134" w:right="594" w:firstLine="567"/>
        <w:jc w:val="both"/>
        <w:rPr>
          <w:rFonts w:ascii="Abadi" w:hAnsi="Abadi" w:cs="Arial"/>
          <w:sz w:val="21"/>
          <w:szCs w:val="21"/>
          <w:lang w:val="es-MX"/>
        </w:rPr>
      </w:pPr>
      <w:r w:rsidRPr="004A0446">
        <w:rPr>
          <w:rFonts w:ascii="Abadi" w:hAnsi="Abadi" w:cs="Arial"/>
          <w:sz w:val="21"/>
          <w:szCs w:val="21"/>
          <w:lang w:val="es-MX"/>
        </w:rPr>
        <w:t xml:space="preserve">Esta situación, coincide con la encuesta nacional de salud, la cual hace alusión a que, en la población masculina, la idea suicida se presenta mayormente en la población de 40 a 49 años (6%), continuado por aquellos que tienen de 30 a 39 y los de 60 años. </w:t>
      </w:r>
    </w:p>
    <w:p w14:paraId="768E50AD" w14:textId="77777777" w:rsidR="00E3434F" w:rsidRPr="004A0446" w:rsidRDefault="00E3434F" w:rsidP="001D24D0">
      <w:pPr>
        <w:tabs>
          <w:tab w:val="left" w:pos="3402"/>
        </w:tabs>
        <w:ind w:right="594"/>
        <w:jc w:val="both"/>
        <w:rPr>
          <w:rFonts w:ascii="Abadi" w:hAnsi="Abadi" w:cs="Arial"/>
          <w:sz w:val="21"/>
          <w:szCs w:val="21"/>
          <w:lang w:val="es-MX"/>
        </w:rPr>
      </w:pPr>
      <w:r w:rsidRPr="004A0446">
        <w:rPr>
          <w:rFonts w:ascii="Abadi" w:hAnsi="Abadi" w:cs="Arial"/>
          <w:sz w:val="21"/>
          <w:szCs w:val="21"/>
          <w:lang w:val="es-MX"/>
        </w:rPr>
        <w:t xml:space="preserve">               </w:t>
      </w:r>
    </w:p>
    <w:p w14:paraId="4CB9F375" w14:textId="77777777" w:rsidR="00E3434F" w:rsidRPr="004A0446" w:rsidRDefault="00E3434F" w:rsidP="001D24D0">
      <w:pPr>
        <w:ind w:left="1134" w:right="567" w:firstLine="567"/>
        <w:jc w:val="both"/>
        <w:rPr>
          <w:rFonts w:ascii="Abadi" w:hAnsi="Abadi" w:cs="Arial"/>
          <w:sz w:val="21"/>
          <w:szCs w:val="21"/>
          <w:lang w:val="es-MX"/>
        </w:rPr>
      </w:pPr>
      <w:r w:rsidRPr="004A0446">
        <w:rPr>
          <w:rFonts w:ascii="Abadi" w:hAnsi="Abadi" w:cs="Arial"/>
          <w:sz w:val="21"/>
          <w:szCs w:val="21"/>
          <w:lang w:val="es-MX"/>
        </w:rPr>
        <w:t>Por otra parte, según datos de la Organización Mundial de la Salud entre los jóvenes de 15 a 29 años</w:t>
      </w:r>
      <w:r w:rsidRPr="004A0446">
        <w:rPr>
          <w:rFonts w:ascii="Abadi" w:hAnsi="Abadi" w:cs="Arial"/>
          <w:sz w:val="21"/>
          <w:szCs w:val="21"/>
          <w:vertAlign w:val="superscript"/>
          <w:lang w:val="es-MX"/>
        </w:rPr>
        <w:footnoteReference w:id="119"/>
      </w:r>
      <w:r w:rsidRPr="004A0446">
        <w:rPr>
          <w:rFonts w:ascii="Abadi" w:hAnsi="Abadi" w:cs="Arial"/>
          <w:sz w:val="21"/>
          <w:szCs w:val="21"/>
          <w:lang w:val="es-MX"/>
        </w:rPr>
        <w:t xml:space="preserve"> el suicidio es la cuarta causa de muerte, situación que ha sido parteaguas en el sector educativo para identificar y atender conductas suicidas. </w:t>
      </w:r>
    </w:p>
    <w:p w14:paraId="14BDBE07" w14:textId="77777777" w:rsidR="00E3434F" w:rsidRPr="004A0446" w:rsidRDefault="00E3434F" w:rsidP="001D24D0">
      <w:pPr>
        <w:ind w:left="1418" w:right="594" w:firstLine="567"/>
        <w:jc w:val="both"/>
        <w:rPr>
          <w:rFonts w:ascii="Abadi" w:hAnsi="Abadi" w:cs="Arial"/>
          <w:sz w:val="21"/>
          <w:szCs w:val="21"/>
          <w:lang w:val="es-MX"/>
        </w:rPr>
      </w:pPr>
    </w:p>
    <w:p w14:paraId="4E2FC2F2" w14:textId="77777777" w:rsidR="00E3434F" w:rsidRPr="004A0446" w:rsidRDefault="00E3434F" w:rsidP="001D24D0">
      <w:pPr>
        <w:ind w:left="1134" w:right="567" w:firstLine="567"/>
        <w:jc w:val="both"/>
        <w:rPr>
          <w:rFonts w:ascii="Abadi" w:hAnsi="Abadi" w:cs="Arial"/>
          <w:sz w:val="21"/>
          <w:szCs w:val="21"/>
          <w:lang w:val="es-MX"/>
        </w:rPr>
      </w:pPr>
      <w:r w:rsidRPr="004A0446">
        <w:rPr>
          <w:rFonts w:ascii="Abadi" w:hAnsi="Abadi" w:cs="Arial"/>
          <w:sz w:val="21"/>
          <w:szCs w:val="21"/>
          <w:lang w:val="es-MX"/>
        </w:rPr>
        <w:t>Ahora bien, en nuestro país a finales del 2020 se registraron 7, 818 suicidios</w:t>
      </w:r>
      <w:r w:rsidRPr="004A0446">
        <w:rPr>
          <w:rFonts w:ascii="Abadi" w:hAnsi="Abadi" w:cs="Arial"/>
          <w:sz w:val="21"/>
          <w:szCs w:val="21"/>
          <w:vertAlign w:val="superscript"/>
          <w:lang w:val="es-MX"/>
        </w:rPr>
        <w:footnoteReference w:id="120"/>
      </w:r>
      <w:r w:rsidRPr="004A0446">
        <w:rPr>
          <w:rFonts w:ascii="Abadi" w:hAnsi="Abadi" w:cs="Arial"/>
          <w:sz w:val="21"/>
          <w:szCs w:val="21"/>
          <w:lang w:val="es-MX"/>
        </w:rPr>
        <w:t xml:space="preserve"> cuya tasa más alta corresponde a jóvenes de 18 a 29 años. </w:t>
      </w:r>
    </w:p>
    <w:p w14:paraId="1956A4CB" w14:textId="77777777" w:rsidR="00E3434F" w:rsidRPr="004A0446" w:rsidRDefault="00E3434F" w:rsidP="00E3434F">
      <w:pPr>
        <w:spacing w:line="276" w:lineRule="auto"/>
        <w:ind w:left="709" w:right="567"/>
        <w:jc w:val="both"/>
        <w:rPr>
          <w:rFonts w:ascii="Abadi" w:hAnsi="Abadi" w:cs="Arial"/>
          <w:sz w:val="21"/>
          <w:szCs w:val="21"/>
          <w:lang w:val="es-MX"/>
        </w:rPr>
      </w:pPr>
    </w:p>
    <w:p w14:paraId="2BFCC249" w14:textId="77777777" w:rsidR="00E3434F" w:rsidRPr="004A0446" w:rsidRDefault="00E3434F" w:rsidP="00E3434F">
      <w:pPr>
        <w:spacing w:line="276" w:lineRule="auto"/>
        <w:ind w:left="1134" w:right="567" w:firstLine="567"/>
        <w:jc w:val="both"/>
        <w:rPr>
          <w:rFonts w:ascii="Abadi" w:hAnsi="Abadi" w:cs="Arial"/>
          <w:sz w:val="21"/>
          <w:szCs w:val="21"/>
          <w:lang w:val="es-MX"/>
        </w:rPr>
      </w:pPr>
      <w:r w:rsidRPr="004A0446">
        <w:rPr>
          <w:rFonts w:ascii="Abadi" w:hAnsi="Abadi" w:cs="Arial"/>
          <w:sz w:val="21"/>
          <w:szCs w:val="21"/>
          <w:lang w:val="es-MX"/>
        </w:rPr>
        <w:t>Complementado este dato, según la Encuesta Nacional de Salud y Nutrición (ENSANUT) 2018, de la población encuestada de 10 años y más, 5% declaró que alguna vez ha pensado en suicidarse; esto ocurre en 4% de los hombres y en 6% de las mujeres, la edición más reciente (ENSANUT) 2020 Covid19, al preguntar si el intento de suicidio fue en los últimos 12 meses, destaca que 40.5% de las mujeres y 26.8% de los hombres lo realizó en el último año.</w:t>
      </w:r>
      <w:r w:rsidRPr="004A0446">
        <w:rPr>
          <w:rFonts w:ascii="Abadi" w:hAnsi="Abadi" w:cs="Arial"/>
          <w:sz w:val="21"/>
          <w:szCs w:val="21"/>
          <w:vertAlign w:val="superscript"/>
          <w:lang w:val="es-MX"/>
        </w:rPr>
        <w:footnoteReference w:id="121"/>
      </w:r>
      <w:r w:rsidRPr="004A0446">
        <w:rPr>
          <w:rFonts w:ascii="Abadi" w:hAnsi="Abadi" w:cs="Arial"/>
          <w:sz w:val="21"/>
          <w:szCs w:val="21"/>
          <w:vertAlign w:val="superscript"/>
          <w:lang w:val="es-MX"/>
        </w:rPr>
        <w:t xml:space="preserve"> </w:t>
      </w:r>
    </w:p>
    <w:p w14:paraId="1AB62963" w14:textId="77777777" w:rsidR="00E3434F" w:rsidRPr="004A0446" w:rsidRDefault="00E3434F" w:rsidP="00E3434F">
      <w:pPr>
        <w:spacing w:line="276" w:lineRule="auto"/>
        <w:ind w:left="709" w:right="594"/>
        <w:jc w:val="both"/>
        <w:rPr>
          <w:rFonts w:ascii="Abadi" w:hAnsi="Abadi" w:cs="Arial"/>
          <w:sz w:val="21"/>
          <w:szCs w:val="21"/>
          <w:vertAlign w:val="superscript"/>
          <w:lang w:val="es-MX"/>
        </w:rPr>
      </w:pPr>
    </w:p>
    <w:p w14:paraId="595E7DA6" w14:textId="77777777" w:rsidR="00E3434F" w:rsidRPr="004A0446" w:rsidRDefault="00E3434F" w:rsidP="00E3434F">
      <w:pPr>
        <w:spacing w:line="276" w:lineRule="auto"/>
        <w:ind w:left="1134" w:right="594" w:firstLine="567"/>
        <w:jc w:val="both"/>
        <w:rPr>
          <w:rFonts w:ascii="Abadi" w:hAnsi="Abadi" w:cs="Arial"/>
          <w:sz w:val="21"/>
          <w:szCs w:val="21"/>
          <w:lang w:val="es-MX"/>
        </w:rPr>
      </w:pPr>
      <w:r w:rsidRPr="004A0446">
        <w:rPr>
          <w:rFonts w:ascii="Abadi" w:hAnsi="Abadi" w:cs="Arial"/>
          <w:sz w:val="21"/>
          <w:szCs w:val="21"/>
          <w:lang w:val="es-MX"/>
        </w:rPr>
        <w:t xml:space="preserve">En 2020, Guanajuato ocupó el octavo lugar de estados con mayor número de suicidios por debajo de Chihuahua, Aguascalientes, Yucatán, Sonora, Coahuila y San Luis Potosí, con 7.9 casos por cada cien mil habitantes. </w:t>
      </w:r>
    </w:p>
    <w:p w14:paraId="19073C79" w14:textId="77777777" w:rsidR="00E3434F" w:rsidRPr="004A0446" w:rsidRDefault="00E3434F" w:rsidP="00E3434F">
      <w:pPr>
        <w:spacing w:line="276" w:lineRule="auto"/>
        <w:ind w:left="709" w:right="594"/>
        <w:jc w:val="both"/>
        <w:rPr>
          <w:rFonts w:ascii="Abadi" w:hAnsi="Abadi" w:cs="Arial"/>
          <w:sz w:val="21"/>
          <w:szCs w:val="21"/>
          <w:lang w:val="es-MX"/>
        </w:rPr>
      </w:pPr>
    </w:p>
    <w:p w14:paraId="45A7A867" w14:textId="442FB093" w:rsidR="00E3434F" w:rsidRPr="004A0446" w:rsidRDefault="00E3434F" w:rsidP="0051150B">
      <w:pPr>
        <w:ind w:left="1134" w:right="594" w:firstLine="567"/>
        <w:jc w:val="both"/>
        <w:rPr>
          <w:rFonts w:ascii="Abadi" w:hAnsi="Abadi" w:cs="Arial"/>
          <w:sz w:val="21"/>
          <w:szCs w:val="21"/>
          <w:lang w:val="es-MX"/>
        </w:rPr>
      </w:pPr>
      <w:r w:rsidRPr="004A0446">
        <w:rPr>
          <w:rFonts w:ascii="Abadi" w:hAnsi="Abadi" w:cs="Arial"/>
          <w:sz w:val="21"/>
          <w:szCs w:val="21"/>
          <w:lang w:val="es-MX"/>
        </w:rPr>
        <w:t xml:space="preserve">Si bien en nuestro estado en el año 2007 a través del Decreto Gubernativo número 17 se creó el Consejo Estatal de Salud Mental, con la finalidad de atender de forma coordinada con los sectores público, privado y social, la problemática de la salud mental, el problema </w:t>
      </w:r>
      <w:r w:rsidR="008124F1" w:rsidRPr="004A0446">
        <w:rPr>
          <w:rFonts w:ascii="Abadi" w:hAnsi="Abadi" w:cs="Arial"/>
          <w:sz w:val="21"/>
          <w:szCs w:val="21"/>
          <w:lang w:val="es-MX"/>
        </w:rPr>
        <w:t>está</w:t>
      </w:r>
      <w:r>
        <w:rPr>
          <w:rFonts w:ascii="Abadi" w:hAnsi="Abadi" w:cs="Arial"/>
          <w:sz w:val="21"/>
          <w:szCs w:val="21"/>
          <w:lang w:val="es-MX"/>
        </w:rPr>
        <w:t xml:space="preserve"> </w:t>
      </w:r>
      <w:r w:rsidRPr="004A0446">
        <w:rPr>
          <w:rFonts w:ascii="Abadi" w:hAnsi="Abadi" w:cs="Arial"/>
          <w:sz w:val="21"/>
          <w:szCs w:val="21"/>
          <w:lang w:val="es-MX"/>
        </w:rPr>
        <w:t xml:space="preserve">lejos de resolverse en Guanajuato. </w:t>
      </w:r>
    </w:p>
    <w:p w14:paraId="4BF444F8" w14:textId="77777777" w:rsidR="00E3434F" w:rsidRPr="004A0446" w:rsidRDefault="00E3434F" w:rsidP="0051150B">
      <w:pPr>
        <w:ind w:left="709" w:right="594"/>
        <w:jc w:val="both"/>
        <w:rPr>
          <w:rFonts w:ascii="Abadi" w:hAnsi="Abadi" w:cs="Arial"/>
          <w:sz w:val="21"/>
          <w:szCs w:val="21"/>
          <w:lang w:val="es-MX"/>
        </w:rPr>
      </w:pPr>
    </w:p>
    <w:p w14:paraId="7506B7DB" w14:textId="77777777" w:rsidR="00E3434F" w:rsidRPr="004A0446" w:rsidRDefault="00E3434F" w:rsidP="0051150B">
      <w:pPr>
        <w:ind w:left="1134" w:right="594" w:firstLine="567"/>
        <w:jc w:val="both"/>
        <w:rPr>
          <w:rFonts w:ascii="Abadi" w:hAnsi="Abadi" w:cs="Arial"/>
          <w:sz w:val="21"/>
          <w:szCs w:val="21"/>
          <w:lang w:val="es-MX"/>
        </w:rPr>
      </w:pPr>
      <w:r w:rsidRPr="004A0446">
        <w:rPr>
          <w:rFonts w:ascii="Abadi" w:hAnsi="Abadi" w:cs="Arial"/>
          <w:sz w:val="21"/>
          <w:szCs w:val="21"/>
          <w:lang w:val="es-MX"/>
        </w:rPr>
        <w:t xml:space="preserve">En virtud de lo anterior, </w:t>
      </w:r>
      <w:r>
        <w:rPr>
          <w:rFonts w:ascii="Abadi" w:hAnsi="Abadi" w:cs="Arial"/>
          <w:sz w:val="21"/>
          <w:szCs w:val="21"/>
          <w:lang w:val="es-MX"/>
        </w:rPr>
        <w:t>e</w:t>
      </w:r>
      <w:r w:rsidRPr="004A0446">
        <w:rPr>
          <w:rFonts w:ascii="Abadi" w:hAnsi="Abadi" w:cs="Arial"/>
          <w:sz w:val="21"/>
          <w:szCs w:val="21"/>
          <w:lang w:val="es-MX"/>
        </w:rPr>
        <w:t>s necesario contar con un marco normativo que establezca estrategias, atribuciones y obligaciones para prevenir y atender la conducta suicida en el estado, fortaleciendo la promoción de la salud mental desde el ámbito educativo y capacitar a los servidores públicos y población en general para poder ayudar a las personas que presenten pensamientos suicidas.</w:t>
      </w:r>
    </w:p>
    <w:p w14:paraId="1DC83DA1" w14:textId="77777777" w:rsidR="00E3434F" w:rsidRPr="004A0446" w:rsidRDefault="00E3434F" w:rsidP="0051150B">
      <w:pPr>
        <w:ind w:left="709" w:right="594"/>
        <w:jc w:val="both"/>
        <w:rPr>
          <w:rFonts w:ascii="Abadi" w:hAnsi="Abadi" w:cs="Arial"/>
          <w:sz w:val="21"/>
          <w:szCs w:val="21"/>
          <w:lang w:val="es-MX"/>
        </w:rPr>
      </w:pPr>
    </w:p>
    <w:p w14:paraId="25F100B6" w14:textId="77777777" w:rsidR="00E3434F" w:rsidRPr="004A0446" w:rsidRDefault="00E3434F" w:rsidP="0051150B">
      <w:pPr>
        <w:ind w:left="1134" w:right="567" w:firstLine="567"/>
        <w:jc w:val="both"/>
        <w:rPr>
          <w:rFonts w:ascii="Abadi" w:hAnsi="Abadi" w:cs="Arial"/>
          <w:sz w:val="21"/>
          <w:szCs w:val="21"/>
          <w:lang w:val="es-MX"/>
        </w:rPr>
      </w:pPr>
      <w:r w:rsidRPr="004A0446">
        <w:rPr>
          <w:rFonts w:ascii="Abadi" w:hAnsi="Abadi" w:cs="Arial"/>
          <w:sz w:val="21"/>
          <w:szCs w:val="21"/>
          <w:lang w:val="es-MX"/>
        </w:rPr>
        <w:t xml:space="preserve">Por lo cual, el diputado y la diputada integrantes del Grupo Parlamentario del Partido Verde Ecologista de México </w:t>
      </w:r>
      <w:r w:rsidRPr="004A0446">
        <w:rPr>
          <w:rFonts w:ascii="Abadi" w:hAnsi="Abadi" w:cs="Arial"/>
          <w:b/>
          <w:bCs/>
          <w:i/>
          <w:iCs/>
          <w:sz w:val="21"/>
          <w:szCs w:val="21"/>
          <w:lang w:val="es-MX"/>
        </w:rPr>
        <w:t>proponemos la creación de la Ley de Prevención y Atención del Suicidio para el Estado y los Municipios de Guanajuato</w:t>
      </w:r>
      <w:r w:rsidRPr="004A0446">
        <w:rPr>
          <w:rFonts w:ascii="Abadi" w:hAnsi="Abadi" w:cs="Arial"/>
          <w:sz w:val="21"/>
          <w:szCs w:val="21"/>
          <w:lang w:val="es-MX"/>
        </w:rPr>
        <w:t xml:space="preserve">, con el objeto de disminuir la incidencia y prevalencia del suicidio en el Estado, a través de la prevención, asistencia y posvención de las víctimas y sus familiares. </w:t>
      </w:r>
    </w:p>
    <w:p w14:paraId="29B51AF0" w14:textId="77777777" w:rsidR="00E3434F" w:rsidRPr="004A0446" w:rsidRDefault="00E3434F" w:rsidP="0051150B">
      <w:pPr>
        <w:ind w:left="1134" w:right="594" w:firstLine="567"/>
        <w:jc w:val="both"/>
        <w:rPr>
          <w:rFonts w:ascii="Abadi" w:hAnsi="Abadi" w:cs="Arial"/>
          <w:sz w:val="21"/>
          <w:szCs w:val="21"/>
          <w:lang w:val="es-MX"/>
        </w:rPr>
      </w:pPr>
    </w:p>
    <w:p w14:paraId="23D73458" w14:textId="77777777" w:rsidR="00E3434F" w:rsidRPr="004A0446" w:rsidRDefault="00E3434F" w:rsidP="0051150B">
      <w:pPr>
        <w:ind w:left="1134" w:right="567" w:firstLine="567"/>
        <w:jc w:val="both"/>
        <w:rPr>
          <w:rFonts w:ascii="Abadi" w:hAnsi="Abadi" w:cs="Arial"/>
          <w:sz w:val="21"/>
          <w:szCs w:val="21"/>
          <w:lang w:val="es-MX"/>
        </w:rPr>
      </w:pPr>
      <w:r w:rsidRPr="004A0446">
        <w:rPr>
          <w:rFonts w:ascii="Abadi" w:hAnsi="Abadi" w:cs="Arial"/>
          <w:sz w:val="21"/>
          <w:szCs w:val="21"/>
          <w:lang w:val="es-MX"/>
        </w:rPr>
        <w:t>En este sentido, la estructura de la presente Ley contempla los siguientes capítulos:</w:t>
      </w:r>
    </w:p>
    <w:p w14:paraId="11FFCE91" w14:textId="77777777" w:rsidR="00E3434F" w:rsidRPr="004A0446" w:rsidRDefault="00E3434F" w:rsidP="0051150B">
      <w:pPr>
        <w:ind w:left="1134" w:right="567" w:firstLine="567"/>
        <w:jc w:val="both"/>
        <w:rPr>
          <w:rFonts w:ascii="Abadi" w:hAnsi="Abadi" w:cs="Arial"/>
          <w:sz w:val="21"/>
          <w:szCs w:val="21"/>
          <w:lang w:val="es-MX"/>
        </w:rPr>
      </w:pPr>
    </w:p>
    <w:p w14:paraId="1DA445CD" w14:textId="77777777" w:rsidR="00E3434F" w:rsidRPr="004A0446" w:rsidRDefault="00E3434F" w:rsidP="0087057E">
      <w:pPr>
        <w:ind w:left="1560" w:right="567" w:hanging="426"/>
        <w:jc w:val="both"/>
        <w:rPr>
          <w:rFonts w:ascii="Abadi" w:hAnsi="Abadi" w:cs="Arial"/>
          <w:sz w:val="21"/>
          <w:szCs w:val="21"/>
          <w:lang w:val="es-MX"/>
        </w:rPr>
      </w:pPr>
      <w:r w:rsidRPr="004A0446">
        <w:rPr>
          <w:rFonts w:ascii="Abadi" w:hAnsi="Abadi" w:cs="Arial"/>
          <w:sz w:val="21"/>
          <w:szCs w:val="21"/>
          <w:lang w:val="es-MX"/>
        </w:rPr>
        <w:t>•</w:t>
      </w:r>
      <w:r w:rsidRPr="004A0446">
        <w:rPr>
          <w:rFonts w:ascii="Abadi" w:hAnsi="Abadi" w:cs="Arial"/>
          <w:sz w:val="21"/>
          <w:szCs w:val="21"/>
          <w:lang w:val="es-MX"/>
        </w:rPr>
        <w:tab/>
      </w:r>
      <w:r w:rsidRPr="004A0446">
        <w:rPr>
          <w:rFonts w:ascii="Abadi" w:hAnsi="Abadi" w:cs="Arial"/>
          <w:b/>
          <w:bCs/>
          <w:sz w:val="21"/>
          <w:szCs w:val="21"/>
          <w:lang w:val="es-MX"/>
        </w:rPr>
        <w:t>Capítulo 1,</w:t>
      </w:r>
      <w:r w:rsidRPr="004A0446">
        <w:rPr>
          <w:rFonts w:ascii="Abadi" w:hAnsi="Abadi" w:cs="Arial"/>
          <w:sz w:val="21"/>
          <w:szCs w:val="21"/>
          <w:lang w:val="es-MX"/>
        </w:rPr>
        <w:t xml:space="preserve"> relativo a las disposiciones generales, dicho capitulo contempla el objeto y finalidades de la Ley, así como un glosario que permita identificar conceptos en materia de suicidio que determina la Organización Mundial de la Salud.</w:t>
      </w:r>
    </w:p>
    <w:p w14:paraId="42169AFF" w14:textId="77777777" w:rsidR="00E3434F" w:rsidRPr="004A0446" w:rsidRDefault="00E3434F" w:rsidP="0051150B">
      <w:pPr>
        <w:ind w:left="2127" w:right="567" w:hanging="426"/>
        <w:jc w:val="both"/>
        <w:rPr>
          <w:rFonts w:ascii="Abadi" w:hAnsi="Abadi" w:cs="Arial"/>
          <w:sz w:val="21"/>
          <w:szCs w:val="21"/>
          <w:lang w:val="es-MX"/>
        </w:rPr>
      </w:pPr>
    </w:p>
    <w:p w14:paraId="7844F416" w14:textId="77777777" w:rsidR="00E3434F" w:rsidRPr="004A0446" w:rsidRDefault="00E3434F" w:rsidP="0087057E">
      <w:pPr>
        <w:ind w:left="1560" w:right="567" w:hanging="426"/>
        <w:jc w:val="both"/>
        <w:rPr>
          <w:rFonts w:ascii="Abadi" w:hAnsi="Abadi" w:cs="Arial"/>
          <w:sz w:val="21"/>
          <w:szCs w:val="21"/>
          <w:lang w:val="es-MX"/>
        </w:rPr>
      </w:pPr>
      <w:r w:rsidRPr="004A0446">
        <w:rPr>
          <w:rFonts w:ascii="Abadi" w:hAnsi="Abadi" w:cs="Arial"/>
          <w:sz w:val="21"/>
          <w:szCs w:val="21"/>
          <w:lang w:val="es-MX"/>
        </w:rPr>
        <w:t>•</w:t>
      </w:r>
      <w:r w:rsidRPr="004A0446">
        <w:rPr>
          <w:rFonts w:ascii="Abadi" w:hAnsi="Abadi" w:cs="Arial"/>
          <w:sz w:val="21"/>
          <w:szCs w:val="21"/>
          <w:lang w:val="es-MX"/>
        </w:rPr>
        <w:tab/>
      </w:r>
      <w:r w:rsidRPr="004A0446">
        <w:rPr>
          <w:rFonts w:ascii="Abadi" w:hAnsi="Abadi" w:cs="Arial"/>
          <w:b/>
          <w:bCs/>
          <w:sz w:val="21"/>
          <w:szCs w:val="21"/>
          <w:lang w:val="es-MX"/>
        </w:rPr>
        <w:t>Capítulo 2,</w:t>
      </w:r>
      <w:r w:rsidRPr="004A0446">
        <w:rPr>
          <w:rFonts w:ascii="Abadi" w:hAnsi="Abadi" w:cs="Arial"/>
          <w:sz w:val="21"/>
          <w:szCs w:val="21"/>
          <w:lang w:val="es-MX"/>
        </w:rPr>
        <w:t xml:space="preserve"> referente a las autoridades competentes, estableciendo la coordinación y atribuciones y objetivos de cada una de estas, resaltando la conformación de un Sistema Integral para la Prevención del Suicidio y el Consejo Estatal para la Prevención del Suicidio.</w:t>
      </w:r>
    </w:p>
    <w:p w14:paraId="0854ECD4" w14:textId="77777777" w:rsidR="00E3434F" w:rsidRPr="004A0446" w:rsidRDefault="00E3434F" w:rsidP="0051150B">
      <w:pPr>
        <w:ind w:left="709" w:right="567"/>
        <w:jc w:val="both"/>
        <w:rPr>
          <w:rFonts w:ascii="Abadi" w:hAnsi="Abadi" w:cs="Arial"/>
          <w:sz w:val="21"/>
          <w:szCs w:val="21"/>
          <w:lang w:val="es-MX"/>
        </w:rPr>
      </w:pPr>
    </w:p>
    <w:p w14:paraId="3D0E25CE" w14:textId="77777777" w:rsidR="00E3434F" w:rsidRPr="004A0446" w:rsidRDefault="00E3434F" w:rsidP="0087057E">
      <w:pPr>
        <w:ind w:left="1560" w:right="567" w:hanging="426"/>
        <w:jc w:val="both"/>
        <w:rPr>
          <w:rFonts w:ascii="Abadi" w:hAnsi="Abadi" w:cs="Arial"/>
          <w:sz w:val="21"/>
          <w:szCs w:val="21"/>
          <w:lang w:val="es-MX"/>
        </w:rPr>
      </w:pPr>
      <w:r w:rsidRPr="004A0446">
        <w:rPr>
          <w:rFonts w:ascii="Abadi" w:hAnsi="Abadi" w:cs="Arial"/>
          <w:sz w:val="21"/>
          <w:szCs w:val="21"/>
          <w:lang w:val="es-MX"/>
        </w:rPr>
        <w:t>•</w:t>
      </w:r>
      <w:r w:rsidRPr="004A0446">
        <w:rPr>
          <w:rFonts w:ascii="Abadi" w:hAnsi="Abadi" w:cs="Arial"/>
          <w:sz w:val="21"/>
          <w:szCs w:val="21"/>
          <w:lang w:val="es-MX"/>
        </w:rPr>
        <w:tab/>
      </w:r>
      <w:r w:rsidRPr="004A0446">
        <w:rPr>
          <w:rFonts w:ascii="Abadi" w:hAnsi="Abadi" w:cs="Arial"/>
          <w:b/>
          <w:bCs/>
          <w:sz w:val="21"/>
          <w:szCs w:val="21"/>
          <w:lang w:val="es-MX"/>
        </w:rPr>
        <w:t>Capítulo 3,</w:t>
      </w:r>
      <w:r w:rsidRPr="004A0446">
        <w:rPr>
          <w:rFonts w:ascii="Abadi" w:hAnsi="Abadi" w:cs="Arial"/>
          <w:sz w:val="21"/>
          <w:szCs w:val="21"/>
          <w:lang w:val="es-MX"/>
        </w:rPr>
        <w:t xml:space="preserve"> denominado Prevención del Suicidio, en el cual se establecen las acciones y obligaciones que se deben realizar por parte de la Secretaría de Salud en materia de educación y comunicación.</w:t>
      </w:r>
    </w:p>
    <w:p w14:paraId="62CD30CB" w14:textId="77777777" w:rsidR="00E3434F" w:rsidRPr="004A0446" w:rsidRDefault="00E3434F" w:rsidP="0051150B">
      <w:pPr>
        <w:ind w:left="709" w:right="567" w:firstLine="425"/>
        <w:jc w:val="both"/>
        <w:rPr>
          <w:rFonts w:ascii="Abadi" w:hAnsi="Abadi" w:cs="Arial"/>
          <w:sz w:val="21"/>
          <w:szCs w:val="21"/>
          <w:lang w:val="es-MX"/>
        </w:rPr>
      </w:pPr>
    </w:p>
    <w:p w14:paraId="74D5B73B" w14:textId="77777777" w:rsidR="00E3434F" w:rsidRPr="004A0446" w:rsidRDefault="00E3434F" w:rsidP="0087057E">
      <w:pPr>
        <w:tabs>
          <w:tab w:val="left" w:pos="1701"/>
        </w:tabs>
        <w:ind w:left="1560" w:right="567" w:hanging="426"/>
        <w:jc w:val="both"/>
        <w:rPr>
          <w:rFonts w:ascii="Abadi" w:hAnsi="Abadi" w:cs="Arial"/>
          <w:sz w:val="21"/>
          <w:szCs w:val="21"/>
          <w:lang w:val="es-MX"/>
        </w:rPr>
      </w:pPr>
      <w:r w:rsidRPr="004A0446">
        <w:rPr>
          <w:rFonts w:ascii="Abadi" w:hAnsi="Abadi" w:cs="Arial"/>
          <w:sz w:val="21"/>
          <w:szCs w:val="21"/>
          <w:lang w:val="es-MX"/>
        </w:rPr>
        <w:t>•</w:t>
      </w:r>
      <w:r w:rsidRPr="004A0446">
        <w:rPr>
          <w:rFonts w:ascii="Abadi" w:hAnsi="Abadi" w:cs="Arial"/>
          <w:sz w:val="21"/>
          <w:szCs w:val="21"/>
          <w:lang w:val="es-MX"/>
        </w:rPr>
        <w:tab/>
      </w:r>
      <w:r w:rsidRPr="004A0446">
        <w:rPr>
          <w:rFonts w:ascii="Abadi" w:hAnsi="Abadi" w:cs="Arial"/>
          <w:b/>
          <w:bCs/>
          <w:sz w:val="21"/>
          <w:szCs w:val="21"/>
          <w:lang w:val="es-MX"/>
        </w:rPr>
        <w:t>Capítulo 4,</w:t>
      </w:r>
      <w:r w:rsidRPr="004A0446">
        <w:rPr>
          <w:rFonts w:ascii="Abadi" w:hAnsi="Abadi" w:cs="Arial"/>
          <w:sz w:val="21"/>
          <w:szCs w:val="21"/>
          <w:lang w:val="es-MX"/>
        </w:rPr>
        <w:t xml:space="preserve"> del tratamiento de personas con tendencia suicida, como se mencionó en el cuerpo del documento, toda persona que intentó suicidarse, debe tener acceso a los servicios de salud para que se identifiquen causas que lo originaron y poder tratar los trastornos o enfermedades que se determinen.</w:t>
      </w:r>
    </w:p>
    <w:p w14:paraId="45E34A52" w14:textId="77777777" w:rsidR="00E3434F" w:rsidRPr="004A0446" w:rsidRDefault="00E3434F" w:rsidP="0087057E">
      <w:pPr>
        <w:ind w:left="1560" w:right="567"/>
        <w:jc w:val="both"/>
        <w:rPr>
          <w:rFonts w:ascii="Abadi" w:hAnsi="Abadi" w:cs="Arial"/>
          <w:sz w:val="21"/>
          <w:szCs w:val="21"/>
          <w:lang w:val="es-MX"/>
        </w:rPr>
      </w:pPr>
    </w:p>
    <w:p w14:paraId="3BA6F73E" w14:textId="77777777" w:rsidR="00E3434F" w:rsidRPr="004A0446" w:rsidRDefault="00E3434F" w:rsidP="0087057E">
      <w:pPr>
        <w:ind w:left="1560" w:right="567"/>
        <w:jc w:val="both"/>
        <w:rPr>
          <w:rFonts w:ascii="Abadi" w:hAnsi="Abadi" w:cs="Arial"/>
          <w:sz w:val="21"/>
          <w:szCs w:val="21"/>
          <w:lang w:val="es-MX"/>
        </w:rPr>
      </w:pPr>
      <w:r w:rsidRPr="004A0446">
        <w:rPr>
          <w:rFonts w:ascii="Abadi" w:hAnsi="Abadi" w:cs="Arial"/>
          <w:sz w:val="21"/>
          <w:szCs w:val="21"/>
          <w:lang w:val="es-MX"/>
        </w:rPr>
        <w:t>Además, de un acompañamiento para tratar el duelo de las personas familiares de los fallecidos a causa del suicidio.</w:t>
      </w:r>
    </w:p>
    <w:p w14:paraId="0F67DBFE" w14:textId="77777777" w:rsidR="00E3434F" w:rsidRPr="004A0446" w:rsidRDefault="00E3434F" w:rsidP="0087057E">
      <w:pPr>
        <w:ind w:left="1560" w:right="567"/>
        <w:jc w:val="both"/>
        <w:rPr>
          <w:rFonts w:ascii="Abadi" w:hAnsi="Abadi" w:cs="Arial"/>
          <w:sz w:val="21"/>
          <w:szCs w:val="21"/>
          <w:lang w:val="es-MX"/>
        </w:rPr>
      </w:pPr>
    </w:p>
    <w:p w14:paraId="1E6F6A47" w14:textId="77777777" w:rsidR="00E3434F" w:rsidRPr="004A0446" w:rsidRDefault="00E3434F" w:rsidP="0087057E">
      <w:pPr>
        <w:ind w:left="1560" w:right="567" w:hanging="426"/>
        <w:jc w:val="both"/>
        <w:rPr>
          <w:rFonts w:ascii="Abadi" w:hAnsi="Abadi" w:cs="Arial"/>
          <w:sz w:val="21"/>
          <w:szCs w:val="21"/>
          <w:lang w:val="es-MX"/>
        </w:rPr>
      </w:pPr>
      <w:r w:rsidRPr="004A0446">
        <w:rPr>
          <w:rFonts w:ascii="Abadi" w:hAnsi="Abadi" w:cs="Arial"/>
          <w:sz w:val="21"/>
          <w:szCs w:val="21"/>
          <w:lang w:val="es-MX"/>
        </w:rPr>
        <w:t>•</w:t>
      </w:r>
      <w:r w:rsidRPr="004A0446">
        <w:rPr>
          <w:rFonts w:ascii="Abadi" w:hAnsi="Abadi" w:cs="Arial"/>
          <w:sz w:val="21"/>
          <w:szCs w:val="21"/>
          <w:lang w:val="es-MX"/>
        </w:rPr>
        <w:tab/>
      </w:r>
      <w:r w:rsidRPr="004A0446">
        <w:rPr>
          <w:rFonts w:ascii="Abadi" w:hAnsi="Abadi" w:cs="Arial"/>
          <w:b/>
          <w:bCs/>
          <w:sz w:val="21"/>
          <w:szCs w:val="21"/>
          <w:lang w:val="es-MX"/>
        </w:rPr>
        <w:t>Capítulo 5,</w:t>
      </w:r>
      <w:r w:rsidRPr="004A0446">
        <w:rPr>
          <w:rFonts w:ascii="Abadi" w:hAnsi="Abadi" w:cs="Arial"/>
          <w:sz w:val="21"/>
          <w:szCs w:val="21"/>
          <w:lang w:val="es-MX"/>
        </w:rPr>
        <w:t xml:space="preserve"> relativo a la participación ciudadana, conformado por campañas y programas itinerantes y Grupos de Ayuda Mutua, que coadyuben con la Secretaría de Salud para la prevención del Suicidio.</w:t>
      </w:r>
    </w:p>
    <w:p w14:paraId="334CF8D1" w14:textId="77777777" w:rsidR="00E3434F" w:rsidRPr="004A0446" w:rsidRDefault="00E3434F" w:rsidP="0087057E">
      <w:pPr>
        <w:ind w:left="1560" w:right="567" w:hanging="709"/>
        <w:jc w:val="both"/>
        <w:rPr>
          <w:rFonts w:ascii="Abadi" w:hAnsi="Abadi" w:cs="Arial"/>
          <w:sz w:val="21"/>
          <w:szCs w:val="21"/>
          <w:lang w:val="es-MX"/>
        </w:rPr>
      </w:pPr>
    </w:p>
    <w:p w14:paraId="2AF2274B" w14:textId="77777777" w:rsidR="00E3434F" w:rsidRPr="004A0446" w:rsidRDefault="00E3434F" w:rsidP="0087057E">
      <w:pPr>
        <w:ind w:left="1560" w:right="567" w:hanging="426"/>
        <w:jc w:val="both"/>
        <w:rPr>
          <w:rFonts w:ascii="Abadi" w:hAnsi="Abadi" w:cs="Arial"/>
          <w:sz w:val="21"/>
          <w:szCs w:val="21"/>
          <w:lang w:val="es-MX"/>
        </w:rPr>
      </w:pPr>
      <w:r w:rsidRPr="004A0446">
        <w:rPr>
          <w:rFonts w:ascii="Abadi" w:hAnsi="Abadi" w:cs="Arial"/>
          <w:sz w:val="21"/>
          <w:szCs w:val="21"/>
          <w:lang w:val="es-MX"/>
        </w:rPr>
        <w:t>•</w:t>
      </w:r>
      <w:r w:rsidRPr="004A0446">
        <w:rPr>
          <w:rFonts w:ascii="Abadi" w:hAnsi="Abadi" w:cs="Arial"/>
          <w:sz w:val="21"/>
          <w:szCs w:val="21"/>
          <w:lang w:val="es-MX"/>
        </w:rPr>
        <w:tab/>
      </w:r>
      <w:r w:rsidRPr="004A0446">
        <w:rPr>
          <w:rFonts w:ascii="Abadi" w:hAnsi="Abadi" w:cs="Arial"/>
          <w:b/>
          <w:bCs/>
          <w:sz w:val="21"/>
          <w:szCs w:val="21"/>
          <w:lang w:val="es-MX"/>
        </w:rPr>
        <w:t>Capítulo 6,</w:t>
      </w:r>
      <w:r w:rsidRPr="004A0446">
        <w:rPr>
          <w:rFonts w:ascii="Abadi" w:hAnsi="Abadi" w:cs="Arial"/>
          <w:sz w:val="21"/>
          <w:szCs w:val="21"/>
          <w:lang w:val="es-MX"/>
        </w:rPr>
        <w:t xml:space="preserve"> el cual contempla el objeto e integración del Consejo Estatal para la prevención del Suicidio.</w:t>
      </w:r>
    </w:p>
    <w:p w14:paraId="26DA3905" w14:textId="77777777" w:rsidR="00E3434F" w:rsidRPr="004A0446" w:rsidRDefault="00E3434F" w:rsidP="0051150B">
      <w:pPr>
        <w:ind w:left="709" w:right="567"/>
        <w:jc w:val="both"/>
        <w:rPr>
          <w:rFonts w:ascii="Abadi" w:hAnsi="Abadi" w:cs="Arial"/>
          <w:sz w:val="21"/>
          <w:szCs w:val="21"/>
          <w:lang w:val="es-MX"/>
        </w:rPr>
      </w:pPr>
    </w:p>
    <w:p w14:paraId="1CCA4751" w14:textId="77777777" w:rsidR="00E3434F" w:rsidRPr="004A0446" w:rsidRDefault="00E3434F" w:rsidP="0051150B">
      <w:pPr>
        <w:ind w:left="1134" w:right="567" w:firstLine="567"/>
        <w:jc w:val="both"/>
        <w:rPr>
          <w:rFonts w:ascii="Abadi" w:hAnsi="Abadi" w:cs="Arial"/>
          <w:b/>
          <w:bCs/>
          <w:sz w:val="21"/>
          <w:szCs w:val="21"/>
          <w:lang w:val="es-MX"/>
        </w:rPr>
      </w:pPr>
      <w:r w:rsidRPr="004A0446">
        <w:rPr>
          <w:rFonts w:ascii="Abadi" w:hAnsi="Abadi" w:cs="Arial"/>
          <w:sz w:val="21"/>
          <w:szCs w:val="21"/>
          <w:lang w:val="es-MX"/>
        </w:rPr>
        <w:t xml:space="preserve">Asimismo, </w:t>
      </w:r>
      <w:r w:rsidRPr="004A0446">
        <w:rPr>
          <w:rFonts w:ascii="Abadi" w:hAnsi="Abadi" w:cs="Arial"/>
          <w:b/>
          <w:bCs/>
          <w:sz w:val="21"/>
          <w:szCs w:val="21"/>
          <w:lang w:val="es-MX"/>
        </w:rPr>
        <w:t>se adiciona una inciso h) a la fracción I del artículo 27 de la</w:t>
      </w:r>
      <w:r w:rsidRPr="004A0446">
        <w:rPr>
          <w:rFonts w:ascii="Abadi" w:hAnsi="Abadi" w:cs="Arial"/>
          <w:sz w:val="21"/>
          <w:szCs w:val="21"/>
          <w:lang w:val="es-MX"/>
        </w:rPr>
        <w:t xml:space="preserve"> Ley Orgánica del Poder Ejecutivo para el Estado de Guanajuato </w:t>
      </w:r>
      <w:r w:rsidRPr="004A0446">
        <w:rPr>
          <w:rFonts w:ascii="Abadi" w:hAnsi="Abadi" w:cs="Arial"/>
          <w:b/>
          <w:bCs/>
          <w:sz w:val="21"/>
          <w:szCs w:val="21"/>
          <w:lang w:val="es-MX"/>
        </w:rPr>
        <w:t xml:space="preserve">con relación a las facultades de la Secretaría de Salud para integrar y coordinar el Sistema Integral para la Prevención del Suicidio. </w:t>
      </w:r>
    </w:p>
    <w:p w14:paraId="171EA161" w14:textId="77777777" w:rsidR="00E3434F" w:rsidRPr="004A0446" w:rsidRDefault="00E3434F" w:rsidP="0051150B">
      <w:pPr>
        <w:ind w:left="709" w:right="567"/>
        <w:jc w:val="both"/>
        <w:rPr>
          <w:rFonts w:ascii="Abadi" w:hAnsi="Abadi" w:cs="Arial"/>
          <w:sz w:val="21"/>
          <w:szCs w:val="21"/>
          <w:lang w:val="es-MX"/>
        </w:rPr>
      </w:pPr>
    </w:p>
    <w:p w14:paraId="0D21CD80" w14:textId="77777777" w:rsidR="00E3434F" w:rsidRPr="004A0446" w:rsidRDefault="00E3434F" w:rsidP="0051150B">
      <w:pPr>
        <w:ind w:left="1134" w:right="567" w:firstLine="567"/>
        <w:jc w:val="both"/>
        <w:rPr>
          <w:rFonts w:ascii="Abadi" w:hAnsi="Abadi" w:cs="Arial"/>
          <w:b/>
          <w:bCs/>
          <w:sz w:val="21"/>
          <w:szCs w:val="21"/>
          <w:lang w:val="es-MX"/>
        </w:rPr>
      </w:pPr>
      <w:r w:rsidRPr="004A0446">
        <w:rPr>
          <w:rFonts w:ascii="Abadi" w:hAnsi="Abadi" w:cs="Arial"/>
          <w:sz w:val="21"/>
          <w:szCs w:val="21"/>
          <w:lang w:val="es-MX"/>
        </w:rPr>
        <w:t xml:space="preserve">Respecto al Plan de Acción establecido por los países miembros de la Organización de las Naciones Unidas consistente en los objetivos de la </w:t>
      </w:r>
      <w:r w:rsidRPr="004A0446">
        <w:rPr>
          <w:rFonts w:ascii="Abadi" w:hAnsi="Abadi" w:cs="Arial"/>
          <w:b/>
          <w:bCs/>
          <w:sz w:val="21"/>
          <w:szCs w:val="21"/>
          <w:lang w:val="es-MX"/>
        </w:rPr>
        <w:t>agenda 2030</w:t>
      </w:r>
      <w:r w:rsidRPr="004A0446">
        <w:rPr>
          <w:rFonts w:ascii="Abadi" w:hAnsi="Abadi" w:cs="Arial"/>
          <w:sz w:val="21"/>
          <w:szCs w:val="21"/>
          <w:lang w:val="es-MX"/>
        </w:rPr>
        <w:t xml:space="preserve">, la presente iniciativa pretende fortalecer el objetivo </w:t>
      </w:r>
      <w:r w:rsidRPr="004A0446">
        <w:rPr>
          <w:rFonts w:ascii="Abadi" w:hAnsi="Abadi" w:cs="Arial"/>
          <w:b/>
          <w:bCs/>
          <w:i/>
          <w:iCs/>
          <w:sz w:val="21"/>
          <w:szCs w:val="21"/>
          <w:u w:val="single"/>
          <w:lang w:val="es-MX"/>
        </w:rPr>
        <w:t>“Salud y Bienestar</w:t>
      </w:r>
      <w:r w:rsidRPr="004A0446">
        <w:rPr>
          <w:rFonts w:ascii="Abadi" w:hAnsi="Abadi" w:cs="Arial"/>
          <w:b/>
          <w:bCs/>
          <w:sz w:val="21"/>
          <w:szCs w:val="21"/>
          <w:u w:val="single"/>
          <w:lang w:val="es-MX"/>
        </w:rPr>
        <w:t>”</w:t>
      </w:r>
      <w:r w:rsidRPr="004A0446">
        <w:rPr>
          <w:rFonts w:ascii="Abadi" w:hAnsi="Abadi" w:cs="Arial"/>
          <w:sz w:val="21"/>
          <w:szCs w:val="21"/>
          <w:lang w:val="es-MX"/>
        </w:rPr>
        <w:t xml:space="preserve">, enfatizando en </w:t>
      </w:r>
      <w:r w:rsidRPr="004A0446">
        <w:rPr>
          <w:rFonts w:ascii="Abadi" w:hAnsi="Abadi" w:cs="Arial"/>
          <w:b/>
          <w:bCs/>
          <w:i/>
          <w:iCs/>
          <w:sz w:val="21"/>
          <w:szCs w:val="21"/>
          <w:lang w:val="es-MX"/>
        </w:rPr>
        <w:t>reducir en un tercio la mortalidad prematura por enfermedades no transmisibles mediante su prevención y tratamiento, y promover la salud mental y el bienestar</w:t>
      </w:r>
      <w:r w:rsidRPr="004A0446">
        <w:rPr>
          <w:rFonts w:ascii="Abadi" w:hAnsi="Abadi" w:cs="Arial"/>
          <w:b/>
          <w:bCs/>
          <w:sz w:val="21"/>
          <w:szCs w:val="21"/>
          <w:lang w:val="es-MX"/>
        </w:rPr>
        <w:t>.</w:t>
      </w:r>
    </w:p>
    <w:p w14:paraId="64D55102" w14:textId="77777777" w:rsidR="00E3434F" w:rsidRPr="004A0446" w:rsidRDefault="00E3434F" w:rsidP="0051150B">
      <w:pPr>
        <w:ind w:left="709" w:right="594"/>
        <w:jc w:val="both"/>
        <w:rPr>
          <w:rFonts w:ascii="Abadi" w:hAnsi="Abadi" w:cs="Arial"/>
          <w:sz w:val="21"/>
          <w:szCs w:val="21"/>
          <w:lang w:val="es-MX"/>
        </w:rPr>
      </w:pPr>
    </w:p>
    <w:p w14:paraId="6691ABB1" w14:textId="77777777" w:rsidR="00E3434F" w:rsidRPr="004A0446" w:rsidRDefault="00E3434F" w:rsidP="0051150B">
      <w:pPr>
        <w:tabs>
          <w:tab w:val="left" w:pos="709"/>
        </w:tabs>
        <w:ind w:left="709" w:right="594" w:firstLine="425"/>
        <w:jc w:val="both"/>
        <w:rPr>
          <w:rFonts w:ascii="Abadi" w:hAnsi="Abadi" w:cs="Arial"/>
          <w:sz w:val="21"/>
          <w:szCs w:val="21"/>
          <w:lang w:val="es-MX"/>
        </w:rPr>
      </w:pPr>
      <w:r w:rsidRPr="004A0446">
        <w:rPr>
          <w:rFonts w:ascii="Abadi" w:hAnsi="Abadi" w:cs="Arial"/>
          <w:sz w:val="21"/>
          <w:szCs w:val="21"/>
          <w:lang w:val="es-MX"/>
        </w:rPr>
        <w:t>(…) »</w:t>
      </w:r>
    </w:p>
    <w:p w14:paraId="7D7489B4" w14:textId="77777777" w:rsidR="00E3434F" w:rsidRPr="004A0446" w:rsidRDefault="00E3434F" w:rsidP="0051150B">
      <w:pPr>
        <w:ind w:left="1134" w:right="27"/>
        <w:jc w:val="both"/>
        <w:rPr>
          <w:rFonts w:ascii="Abadi" w:hAnsi="Abadi" w:cs="Arial"/>
          <w:sz w:val="21"/>
          <w:szCs w:val="21"/>
        </w:rPr>
      </w:pPr>
    </w:p>
    <w:p w14:paraId="7AD3A783" w14:textId="77777777" w:rsidR="00E3434F" w:rsidRPr="004A0446" w:rsidRDefault="00E3434F" w:rsidP="0051150B">
      <w:pPr>
        <w:tabs>
          <w:tab w:val="left" w:pos="1418"/>
        </w:tabs>
        <w:ind w:right="27" w:firstLine="567"/>
        <w:jc w:val="both"/>
        <w:rPr>
          <w:rFonts w:ascii="Abadi" w:eastAsia="SimSun" w:hAnsi="Abadi" w:cs="Arial"/>
          <w:bCs/>
          <w:sz w:val="21"/>
          <w:szCs w:val="21"/>
        </w:rPr>
      </w:pPr>
      <w:r w:rsidRPr="004A0446">
        <w:rPr>
          <w:rFonts w:ascii="Abadi" w:eastAsia="SimSun" w:hAnsi="Abadi" w:cs="Arial"/>
          <w:bCs/>
          <w:sz w:val="21"/>
          <w:szCs w:val="21"/>
        </w:rPr>
        <w:t>Ahora bien, respecto de las opiniones recibidas, aludidas en párrafos previos, es de referir las siguientes:</w:t>
      </w:r>
    </w:p>
    <w:p w14:paraId="24CE46CD" w14:textId="77777777" w:rsidR="00E3434F" w:rsidRPr="004A0446" w:rsidRDefault="00E3434F" w:rsidP="0051150B">
      <w:pPr>
        <w:tabs>
          <w:tab w:val="left" w:pos="1418"/>
        </w:tabs>
        <w:ind w:right="27" w:firstLine="567"/>
        <w:jc w:val="both"/>
        <w:rPr>
          <w:rFonts w:ascii="Abadi" w:eastAsia="SimSun" w:hAnsi="Abadi" w:cs="Arial"/>
          <w:bCs/>
          <w:sz w:val="21"/>
          <w:szCs w:val="21"/>
        </w:rPr>
      </w:pPr>
    </w:p>
    <w:p w14:paraId="187EE3D7" w14:textId="77777777" w:rsidR="00E3434F" w:rsidRPr="004A0446" w:rsidRDefault="00E3434F" w:rsidP="0051150B">
      <w:pPr>
        <w:tabs>
          <w:tab w:val="left" w:pos="1418"/>
        </w:tabs>
        <w:ind w:right="27" w:firstLine="567"/>
        <w:jc w:val="both"/>
        <w:rPr>
          <w:rFonts w:ascii="Abadi" w:eastAsia="SimSun" w:hAnsi="Abadi" w:cs="Arial"/>
          <w:bCs/>
          <w:sz w:val="21"/>
          <w:szCs w:val="21"/>
        </w:rPr>
      </w:pPr>
      <w:r w:rsidRPr="004A0446">
        <w:rPr>
          <w:rFonts w:ascii="Abadi" w:eastAsia="SimSun" w:hAnsi="Abadi" w:cs="Arial"/>
          <w:bCs/>
          <w:sz w:val="21"/>
          <w:szCs w:val="21"/>
        </w:rPr>
        <w:t>Opinión consolidada de las secretarías de Salud, de Finanzas, Inversión y Administración, de Desarrollo Social y Humano, de Educación de Guanajuato, del Sistema para el Desarrollo Integral de la Familia, de la Procuraduría Estatal de Protección de Niñas, Niños y Adolescentes del Estado de Guanajuato, y de la Coordinación General Jurídica del Gobierno del Estado:</w:t>
      </w:r>
    </w:p>
    <w:p w14:paraId="56F77FE1" w14:textId="77777777" w:rsidR="00E3434F" w:rsidRPr="004A0446" w:rsidRDefault="00E3434F" w:rsidP="0051150B">
      <w:pPr>
        <w:ind w:left="2433" w:right="594" w:hanging="732"/>
        <w:jc w:val="both"/>
        <w:rPr>
          <w:rFonts w:ascii="Abadi" w:hAnsi="Abadi" w:cs="Arial"/>
          <w:color w:val="18161F"/>
          <w:sz w:val="21"/>
          <w:szCs w:val="21"/>
          <w:lang w:val="es-MX"/>
        </w:rPr>
      </w:pPr>
    </w:p>
    <w:p w14:paraId="6FF1AD3B" w14:textId="77777777" w:rsidR="00E3434F" w:rsidRPr="004A0446" w:rsidRDefault="00E3434F" w:rsidP="0051150B">
      <w:pPr>
        <w:ind w:left="2433" w:right="594" w:hanging="1299"/>
        <w:jc w:val="both"/>
        <w:rPr>
          <w:rFonts w:ascii="Abadi" w:hAnsi="Abadi" w:cs="Arial"/>
          <w:color w:val="18161F"/>
          <w:sz w:val="21"/>
          <w:szCs w:val="21"/>
          <w:lang w:val="es-MX"/>
        </w:rPr>
      </w:pPr>
      <w:r w:rsidRPr="004A0446">
        <w:rPr>
          <w:rFonts w:ascii="Abadi" w:hAnsi="Abadi" w:cs="Century Gothic"/>
          <w:sz w:val="21"/>
          <w:szCs w:val="21"/>
          <w:lang w:val="es-ES_tradnl" w:eastAsia="es-ES_tradnl"/>
        </w:rPr>
        <w:t>«</w:t>
      </w:r>
      <w:r w:rsidRPr="004A0446">
        <w:rPr>
          <w:rFonts w:ascii="Abadi" w:hAnsi="Abadi"/>
          <w:color w:val="0F0F0F"/>
          <w:w w:val="85"/>
          <w:sz w:val="21"/>
          <w:szCs w:val="21"/>
        </w:rPr>
        <w:t xml:space="preserve"> </w:t>
      </w:r>
      <w:r w:rsidRPr="004A0446">
        <w:rPr>
          <w:rFonts w:ascii="Abadi" w:hAnsi="Abadi" w:cs="Arial"/>
          <w:color w:val="18161F"/>
          <w:sz w:val="21"/>
          <w:szCs w:val="21"/>
          <w:lang w:val="es-MX"/>
        </w:rPr>
        <w:t>(…)</w:t>
      </w:r>
    </w:p>
    <w:p w14:paraId="258FB01D" w14:textId="77777777" w:rsidR="00E3434F" w:rsidRPr="004A0446" w:rsidRDefault="00E3434F" w:rsidP="0051150B">
      <w:pPr>
        <w:ind w:left="2433" w:right="594" w:hanging="1299"/>
        <w:jc w:val="both"/>
        <w:rPr>
          <w:rFonts w:ascii="Abadi" w:hAnsi="Abadi" w:cs="Arial"/>
          <w:color w:val="18161F"/>
          <w:sz w:val="21"/>
          <w:szCs w:val="21"/>
          <w:lang w:val="es-MX"/>
        </w:rPr>
      </w:pPr>
    </w:p>
    <w:p w14:paraId="14640FCC" w14:textId="77777777" w:rsidR="00E3434F" w:rsidRPr="004A0446" w:rsidRDefault="00E3434F" w:rsidP="0051150B">
      <w:pPr>
        <w:ind w:left="2433" w:right="567" w:hanging="1299"/>
        <w:jc w:val="both"/>
        <w:rPr>
          <w:rFonts w:ascii="Abadi" w:hAnsi="Abadi" w:cs="Arial"/>
          <w:color w:val="18161F"/>
          <w:sz w:val="21"/>
          <w:szCs w:val="21"/>
          <w:lang w:val="es-MX"/>
        </w:rPr>
      </w:pPr>
      <w:r w:rsidRPr="004A0446">
        <w:rPr>
          <w:rFonts w:ascii="Abadi" w:hAnsi="Abadi" w:cs="Arial"/>
          <w:b/>
          <w:bCs/>
          <w:color w:val="18161F"/>
          <w:sz w:val="21"/>
          <w:szCs w:val="21"/>
          <w:lang w:val="es-MX"/>
        </w:rPr>
        <w:t>III.</w:t>
      </w:r>
      <w:r w:rsidRPr="004A0446">
        <w:rPr>
          <w:rFonts w:ascii="Abadi" w:hAnsi="Abadi" w:cs="Arial"/>
          <w:color w:val="18161F"/>
          <w:sz w:val="21"/>
          <w:szCs w:val="21"/>
          <w:lang w:val="es-MX"/>
        </w:rPr>
        <w:t xml:space="preserve"> Comentarios</w:t>
      </w:r>
    </w:p>
    <w:p w14:paraId="5DBEAE9E" w14:textId="77777777" w:rsidR="00E3434F" w:rsidRPr="004A0446" w:rsidRDefault="00E3434F" w:rsidP="0051150B">
      <w:pPr>
        <w:ind w:left="2433" w:right="567" w:hanging="1299"/>
        <w:jc w:val="both"/>
        <w:rPr>
          <w:rFonts w:ascii="Abadi" w:hAnsi="Abadi" w:cs="Arial"/>
          <w:color w:val="18161F"/>
          <w:sz w:val="21"/>
          <w:szCs w:val="21"/>
          <w:lang w:val="es-MX"/>
        </w:rPr>
      </w:pPr>
    </w:p>
    <w:p w14:paraId="773DD55C" w14:textId="77777777" w:rsidR="00E3434F" w:rsidRPr="004A0446" w:rsidRDefault="00E3434F" w:rsidP="0051150B">
      <w:pPr>
        <w:ind w:left="1843" w:right="594" w:hanging="709"/>
        <w:jc w:val="both"/>
        <w:rPr>
          <w:rFonts w:ascii="Abadi" w:hAnsi="Abadi" w:cs="Arial"/>
          <w:b/>
          <w:bCs/>
          <w:color w:val="18161F"/>
          <w:sz w:val="21"/>
          <w:szCs w:val="21"/>
          <w:lang w:val="es-MX"/>
        </w:rPr>
      </w:pPr>
      <w:r w:rsidRPr="004A0446">
        <w:rPr>
          <w:rFonts w:ascii="Abadi" w:hAnsi="Abadi" w:cs="Arial"/>
          <w:b/>
          <w:bCs/>
          <w:color w:val="18161F"/>
          <w:sz w:val="21"/>
          <w:szCs w:val="21"/>
          <w:lang w:val="es-MX"/>
        </w:rPr>
        <w:t>III.1 Derecho a la</w:t>
      </w:r>
      <w:r>
        <w:rPr>
          <w:rFonts w:ascii="Abadi" w:hAnsi="Abadi" w:cs="Arial"/>
          <w:b/>
          <w:bCs/>
          <w:color w:val="18161F"/>
          <w:sz w:val="21"/>
          <w:szCs w:val="21"/>
          <w:lang w:val="es-MX"/>
        </w:rPr>
        <w:t xml:space="preserve"> </w:t>
      </w:r>
      <w:r w:rsidRPr="004A0446">
        <w:rPr>
          <w:rFonts w:ascii="Abadi" w:hAnsi="Abadi" w:cs="Arial"/>
          <w:b/>
          <w:bCs/>
          <w:color w:val="18161F"/>
          <w:sz w:val="21"/>
          <w:szCs w:val="21"/>
          <w:lang w:val="es-MX"/>
        </w:rPr>
        <w:t>protección</w:t>
      </w:r>
      <w:r>
        <w:rPr>
          <w:rFonts w:ascii="Abadi" w:hAnsi="Abadi" w:cs="Arial"/>
          <w:b/>
          <w:bCs/>
          <w:color w:val="18161F"/>
          <w:sz w:val="21"/>
          <w:szCs w:val="21"/>
          <w:lang w:val="es-MX"/>
        </w:rPr>
        <w:t xml:space="preserve"> </w:t>
      </w:r>
      <w:r w:rsidRPr="004A0446">
        <w:rPr>
          <w:rFonts w:ascii="Abadi" w:hAnsi="Abadi" w:cs="Arial"/>
          <w:b/>
          <w:bCs/>
          <w:color w:val="18161F"/>
          <w:sz w:val="21"/>
          <w:szCs w:val="21"/>
          <w:lang w:val="es-MX"/>
        </w:rPr>
        <w:t>de la salud.</w:t>
      </w:r>
    </w:p>
    <w:p w14:paraId="1A2F3531" w14:textId="77777777" w:rsidR="00E3434F" w:rsidRDefault="00E3434F" w:rsidP="0051150B">
      <w:pPr>
        <w:ind w:left="1134" w:right="594" w:hanging="23"/>
        <w:jc w:val="both"/>
        <w:rPr>
          <w:rFonts w:ascii="Abadi" w:hAnsi="Abadi" w:cs="Arial"/>
          <w:color w:val="18161F"/>
          <w:sz w:val="21"/>
          <w:szCs w:val="21"/>
          <w:lang w:val="es-MX"/>
        </w:rPr>
      </w:pPr>
    </w:p>
    <w:p w14:paraId="20185B90" w14:textId="77777777" w:rsidR="00E3434F" w:rsidRPr="004A0446" w:rsidRDefault="00E3434F" w:rsidP="0051150B">
      <w:pPr>
        <w:ind w:left="1134" w:right="594" w:hanging="23"/>
        <w:jc w:val="both"/>
        <w:rPr>
          <w:rFonts w:ascii="Abadi" w:hAnsi="Abadi" w:cs="Arial"/>
          <w:color w:val="18161F"/>
          <w:sz w:val="21"/>
          <w:szCs w:val="21"/>
          <w:lang w:val="es-MX"/>
        </w:rPr>
      </w:pPr>
      <w:r w:rsidRPr="004A0446">
        <w:rPr>
          <w:rFonts w:ascii="Abadi" w:hAnsi="Abadi" w:cs="Arial"/>
          <w:color w:val="18161F"/>
          <w:sz w:val="21"/>
          <w:szCs w:val="21"/>
          <w:lang w:val="es-MX"/>
        </w:rPr>
        <w:t>La Constitución Política de los Estados Unidos Mexicanos</w:t>
      </w:r>
      <w:r w:rsidRPr="004A0446">
        <w:rPr>
          <w:rFonts w:ascii="Abadi" w:hAnsi="Abadi" w:cs="Arial"/>
          <w:color w:val="18161F"/>
          <w:sz w:val="21"/>
          <w:szCs w:val="21"/>
          <w:vertAlign w:val="superscript"/>
          <w:lang w:val="es-MX"/>
        </w:rPr>
        <w:footnoteReference w:id="122"/>
      </w:r>
      <w:r w:rsidRPr="004A0446">
        <w:rPr>
          <w:rFonts w:ascii="Abadi" w:hAnsi="Abadi" w:cs="Arial"/>
          <w:color w:val="18161F"/>
          <w:sz w:val="21"/>
          <w:szCs w:val="21"/>
          <w:lang w:val="es-MX"/>
        </w:rPr>
        <w:t xml:space="preserve"> en su artículo 4 párrafo cuarto, reconoce:</w:t>
      </w:r>
    </w:p>
    <w:p w14:paraId="617D7715" w14:textId="77777777" w:rsidR="00E3434F" w:rsidRPr="004A0446" w:rsidRDefault="00E3434F" w:rsidP="0051150B">
      <w:pPr>
        <w:ind w:left="2433" w:right="594" w:hanging="1724"/>
        <w:jc w:val="both"/>
        <w:rPr>
          <w:rFonts w:ascii="Abadi" w:hAnsi="Abadi" w:cs="Arial"/>
          <w:color w:val="18161F"/>
          <w:sz w:val="21"/>
          <w:szCs w:val="21"/>
          <w:lang w:val="es-MX"/>
        </w:rPr>
      </w:pPr>
    </w:p>
    <w:p w14:paraId="254E3D51" w14:textId="77777777" w:rsidR="00E3434F" w:rsidRPr="004A0446" w:rsidRDefault="00E3434F" w:rsidP="0051150B">
      <w:pPr>
        <w:ind w:left="1560" w:right="594" w:hanging="448"/>
        <w:jc w:val="both"/>
        <w:rPr>
          <w:rFonts w:ascii="Abadi" w:hAnsi="Abadi" w:cs="Arial"/>
          <w:color w:val="18161F"/>
          <w:sz w:val="21"/>
          <w:szCs w:val="21"/>
          <w:lang w:val="es-MX"/>
        </w:rPr>
      </w:pPr>
      <w:r w:rsidRPr="004A0446">
        <w:rPr>
          <w:rFonts w:ascii="Abadi" w:hAnsi="Abadi" w:cs="Century Gothic"/>
          <w:sz w:val="21"/>
          <w:szCs w:val="21"/>
          <w:lang w:val="es-ES_tradnl" w:eastAsia="es-ES_tradnl"/>
        </w:rPr>
        <w:t>«</w:t>
      </w:r>
      <w:r w:rsidRPr="004A0446">
        <w:rPr>
          <w:rFonts w:ascii="Abadi" w:hAnsi="Abadi"/>
          <w:color w:val="0F0F0F"/>
          <w:w w:val="85"/>
          <w:sz w:val="21"/>
          <w:szCs w:val="21"/>
        </w:rPr>
        <w:t xml:space="preserve"> </w:t>
      </w:r>
      <w:r w:rsidRPr="004A0446">
        <w:rPr>
          <w:rFonts w:ascii="Abadi" w:hAnsi="Abadi" w:cs="Arial"/>
          <w:b/>
          <w:bCs/>
          <w:color w:val="18161F"/>
          <w:sz w:val="21"/>
          <w:szCs w:val="21"/>
          <w:lang w:val="es-MX"/>
        </w:rPr>
        <w:t xml:space="preserve">Artículo 4o.- </w:t>
      </w:r>
      <w:r w:rsidRPr="004A0446">
        <w:rPr>
          <w:rFonts w:ascii="Abadi" w:hAnsi="Abadi" w:cs="Arial"/>
          <w:color w:val="18161F"/>
          <w:sz w:val="21"/>
          <w:szCs w:val="21"/>
          <w:lang w:val="es-MX"/>
        </w:rPr>
        <w:t>…</w:t>
      </w:r>
    </w:p>
    <w:p w14:paraId="45931A5A" w14:textId="77777777" w:rsidR="00E3434F" w:rsidRPr="004A0446" w:rsidRDefault="00E3434F" w:rsidP="0051150B">
      <w:pPr>
        <w:ind w:left="1560" w:right="594" w:hanging="448"/>
        <w:jc w:val="both"/>
        <w:rPr>
          <w:rFonts w:ascii="Abadi" w:hAnsi="Abadi" w:cs="Arial"/>
          <w:color w:val="18161F"/>
          <w:sz w:val="21"/>
          <w:szCs w:val="21"/>
          <w:lang w:val="es-MX"/>
        </w:rPr>
      </w:pPr>
    </w:p>
    <w:p w14:paraId="3766C4F0" w14:textId="77777777" w:rsidR="00E3434F" w:rsidRPr="004A0446" w:rsidRDefault="00E3434F" w:rsidP="0051150B">
      <w:pPr>
        <w:ind w:left="1560" w:right="567"/>
        <w:jc w:val="both"/>
        <w:rPr>
          <w:rFonts w:ascii="Abadi" w:hAnsi="Abadi" w:cs="Arial"/>
          <w:color w:val="18161F"/>
          <w:sz w:val="21"/>
          <w:szCs w:val="21"/>
          <w:lang w:val="es-MX"/>
        </w:rPr>
      </w:pPr>
      <w:r w:rsidRPr="004A0446">
        <w:rPr>
          <w:rFonts w:ascii="Abadi" w:hAnsi="Abadi" w:cs="Arial"/>
          <w:color w:val="18161F"/>
          <w:sz w:val="21"/>
          <w:szCs w:val="21"/>
          <w:u w:val="single"/>
          <w:lang w:val="es-MX"/>
        </w:rPr>
        <w:t>Toda Persona tiene derecho a la protección de la salud</w:t>
      </w:r>
      <w:r w:rsidRPr="004A0446">
        <w:rPr>
          <w:rFonts w:ascii="Abadi" w:hAnsi="Abadi" w:cs="Arial"/>
          <w:color w:val="18161F"/>
          <w:sz w:val="21"/>
          <w:szCs w:val="21"/>
          <w:lang w:val="es-MX"/>
        </w:rPr>
        <w:t>. La Ley definirá las bases y modalidades para el acceso a los servicios de salud y establecerá la concurrencia de la Federación y las entidades federativas en materia de salubridad general, conforme a lo que dispone la fracción XVI del artículo 73 de esta Constitución. La Ley definirá un sistema de salud para el bienestar, con el fin de garantizar la extensión progresiva, cuantitativa y cualitativa de los servicios de salud para la atención integral y gratuita de las personas que no cuenten con seguridad social.</w:t>
      </w:r>
    </w:p>
    <w:p w14:paraId="7C9E07A5" w14:textId="77777777" w:rsidR="00E3434F" w:rsidRPr="004A0446" w:rsidRDefault="00E3434F" w:rsidP="0051150B">
      <w:pPr>
        <w:ind w:left="1985" w:right="567"/>
        <w:jc w:val="both"/>
        <w:rPr>
          <w:rFonts w:ascii="Abadi" w:hAnsi="Abadi" w:cs="Arial"/>
          <w:color w:val="18161F"/>
          <w:sz w:val="21"/>
          <w:szCs w:val="21"/>
          <w:lang w:val="es-MX"/>
        </w:rPr>
      </w:pPr>
    </w:p>
    <w:p w14:paraId="55984AB0" w14:textId="77777777" w:rsidR="00E3434F" w:rsidRPr="004A0446" w:rsidRDefault="00E3434F" w:rsidP="0051150B">
      <w:pPr>
        <w:ind w:left="2433" w:right="594" w:hanging="448"/>
        <w:jc w:val="both"/>
        <w:rPr>
          <w:rFonts w:ascii="Abadi" w:hAnsi="Abadi" w:cs="Arial"/>
          <w:color w:val="18161F"/>
          <w:sz w:val="21"/>
          <w:szCs w:val="21"/>
          <w:lang w:val="es-MX"/>
        </w:rPr>
      </w:pPr>
      <w:r w:rsidRPr="004A0446">
        <w:rPr>
          <w:rFonts w:ascii="Abadi" w:hAnsi="Abadi" w:cs="Arial"/>
          <w:color w:val="18161F"/>
          <w:sz w:val="21"/>
          <w:szCs w:val="21"/>
          <w:lang w:val="es-MX"/>
        </w:rPr>
        <w:t>[…]»</w:t>
      </w:r>
    </w:p>
    <w:p w14:paraId="4E76249E" w14:textId="77777777" w:rsidR="00E3434F" w:rsidRPr="004A0446" w:rsidRDefault="00E3434F" w:rsidP="0051150B">
      <w:pPr>
        <w:ind w:left="2433" w:right="594" w:hanging="448"/>
        <w:jc w:val="both"/>
        <w:rPr>
          <w:rFonts w:ascii="Abadi" w:hAnsi="Abadi" w:cs="Arial"/>
          <w:color w:val="18161F"/>
          <w:sz w:val="21"/>
          <w:szCs w:val="21"/>
          <w:lang w:val="es-MX"/>
        </w:rPr>
      </w:pPr>
    </w:p>
    <w:p w14:paraId="2567A3B5" w14:textId="77777777" w:rsidR="00E3434F" w:rsidRPr="004A0446" w:rsidRDefault="00E3434F" w:rsidP="0051150B">
      <w:pPr>
        <w:ind w:left="1134" w:right="594"/>
        <w:jc w:val="both"/>
        <w:rPr>
          <w:rFonts w:ascii="Abadi" w:hAnsi="Abadi" w:cs="Arial"/>
          <w:sz w:val="21"/>
          <w:szCs w:val="21"/>
        </w:rPr>
      </w:pPr>
      <w:r w:rsidRPr="004A0446">
        <w:rPr>
          <w:rFonts w:ascii="Abadi" w:hAnsi="Abadi" w:cs="Arial"/>
          <w:sz w:val="21"/>
          <w:szCs w:val="21"/>
        </w:rPr>
        <w:t>Al respecto, la Declaración Universal de Derechos Humanos (1948), junto con el Pacto Internacional de Derechos Civiles y Políticos (PIDCP, 1966) y el Pacto Internacional de Derechos Económicos, Sociales y Culturales (1966), forman la denominada «Carta Internacional de Derechos Humanos». El artículo 1 de la Declaración Universal de Derechos Humanos, adoptada por las Naciones Unidas en 1948, afirma que todos los seres humanos nacen libres e iguales en dignidad y derechos. De modo que las personas con trastornos mentales también tienen derecho al goce y a la protección de sus derechos humanos fundamentales. Por su parte, el artículo 12 del Pacto Internacional de Derechos Económicos, Sociales y Culturales establece el derecho de toda persona al disfrute del más alto nivel posible de salud física y mental. El derecho a la salud también es reconocido por otras convenciones internacionales, como el artículo 5, inciso e, fracción IV, de la Convención Internacional para la Eliminación de Todas las Formas de Discriminación Racial de 1965; los artículos 11.1, inciso f, y artículo 12 de la Convención para la Eliminación de Todas las Formas de Discriminación contra la Mujer de 1979, y el artículo 24 de la Convención sobre los Derechos del Niño de 1989.</w:t>
      </w:r>
    </w:p>
    <w:p w14:paraId="14001639" w14:textId="77777777" w:rsidR="00E3434F" w:rsidRPr="004A0446" w:rsidRDefault="00E3434F" w:rsidP="0051150B">
      <w:pPr>
        <w:ind w:left="1134" w:right="594"/>
        <w:jc w:val="both"/>
        <w:rPr>
          <w:rFonts w:ascii="Abadi" w:hAnsi="Abadi" w:cs="Arial"/>
          <w:sz w:val="21"/>
          <w:szCs w:val="21"/>
        </w:rPr>
      </w:pPr>
    </w:p>
    <w:p w14:paraId="62613669" w14:textId="77777777" w:rsidR="00E3434F" w:rsidRPr="004A0446" w:rsidRDefault="00E3434F" w:rsidP="0051150B">
      <w:pPr>
        <w:ind w:left="1134" w:right="594"/>
        <w:jc w:val="both"/>
        <w:rPr>
          <w:rFonts w:ascii="Abadi" w:hAnsi="Abadi" w:cs="Arial"/>
          <w:b/>
          <w:bCs/>
          <w:sz w:val="21"/>
          <w:szCs w:val="21"/>
        </w:rPr>
      </w:pPr>
      <w:r w:rsidRPr="004A0446">
        <w:rPr>
          <w:rFonts w:ascii="Abadi" w:hAnsi="Abadi" w:cs="Arial"/>
          <w:b/>
          <w:bCs/>
          <w:sz w:val="21"/>
          <w:szCs w:val="21"/>
        </w:rPr>
        <w:t>III.2 Regulación de la materia de salubridad general en el país</w:t>
      </w:r>
    </w:p>
    <w:p w14:paraId="467152B4" w14:textId="77777777" w:rsidR="00E3434F" w:rsidRPr="004A0446" w:rsidRDefault="00E3434F" w:rsidP="0051150B">
      <w:pPr>
        <w:ind w:left="1134" w:right="594"/>
        <w:jc w:val="both"/>
        <w:rPr>
          <w:rFonts w:ascii="Abadi" w:hAnsi="Abadi" w:cs="Arial"/>
          <w:sz w:val="21"/>
          <w:szCs w:val="21"/>
        </w:rPr>
      </w:pPr>
    </w:p>
    <w:p w14:paraId="047EA733" w14:textId="77777777" w:rsidR="00E3434F" w:rsidRPr="004A0446" w:rsidRDefault="00E3434F" w:rsidP="0051150B">
      <w:pPr>
        <w:ind w:left="1134" w:right="567" w:firstLine="284"/>
        <w:jc w:val="both"/>
        <w:rPr>
          <w:rFonts w:ascii="Abadi" w:hAnsi="Abadi" w:cs="Arial"/>
          <w:sz w:val="21"/>
          <w:szCs w:val="21"/>
        </w:rPr>
      </w:pPr>
      <w:r w:rsidRPr="004A0446">
        <w:rPr>
          <w:rFonts w:ascii="Abadi" w:hAnsi="Abadi" w:cs="Arial"/>
          <w:sz w:val="21"/>
          <w:szCs w:val="21"/>
        </w:rPr>
        <w:t xml:space="preserve"> La Constitución Política de los Estados Unidos Mexicanos establece materias en las cuales exclusivamente la federación puede legislar y otras en las que señala la existencia de una concurrencia entre los ámbitos de gobierno; así como precisa que el Congreso de la Unión es quien distribuirá los distintos aspectos de la materia que es concurrente entre los diversos órganos legislativos. En materia de salud, se actualiza lo anterior, lo cual se desprende de los artículos 4, cuarto párrafo y 73 de la Constitución Federal, los cuales se transcriben a continuación:</w:t>
      </w:r>
    </w:p>
    <w:p w14:paraId="09E100E9" w14:textId="77777777" w:rsidR="00E3434F" w:rsidRPr="004A0446" w:rsidRDefault="00E3434F" w:rsidP="0051150B">
      <w:pPr>
        <w:ind w:left="1134" w:right="594"/>
        <w:jc w:val="both"/>
        <w:rPr>
          <w:rFonts w:ascii="Abadi" w:hAnsi="Abadi" w:cs="Arial"/>
          <w:sz w:val="21"/>
          <w:szCs w:val="21"/>
        </w:rPr>
      </w:pPr>
    </w:p>
    <w:p w14:paraId="17EC92A9" w14:textId="77777777" w:rsidR="00E3434F" w:rsidRDefault="00E3434F" w:rsidP="0051150B">
      <w:pPr>
        <w:ind w:left="1134" w:right="594"/>
        <w:jc w:val="both"/>
        <w:rPr>
          <w:rFonts w:ascii="Abadi" w:hAnsi="Abadi" w:cs="Arial"/>
          <w:b/>
          <w:bCs/>
          <w:sz w:val="21"/>
          <w:szCs w:val="21"/>
        </w:rPr>
      </w:pPr>
      <w:r w:rsidRPr="004A0446">
        <w:rPr>
          <w:rFonts w:ascii="Abadi" w:hAnsi="Abadi" w:cs="Arial"/>
          <w:b/>
          <w:bCs/>
          <w:sz w:val="21"/>
          <w:szCs w:val="21"/>
        </w:rPr>
        <w:t>«Artículo 4.</w:t>
      </w:r>
    </w:p>
    <w:p w14:paraId="69C310B8" w14:textId="77777777" w:rsidR="00E3434F" w:rsidRDefault="00E3434F" w:rsidP="0051150B">
      <w:pPr>
        <w:ind w:left="1134" w:right="594"/>
        <w:jc w:val="both"/>
        <w:rPr>
          <w:rFonts w:ascii="Abadi" w:hAnsi="Abadi" w:cs="Arial"/>
          <w:sz w:val="21"/>
          <w:szCs w:val="21"/>
        </w:rPr>
      </w:pPr>
    </w:p>
    <w:p w14:paraId="7B654CF0" w14:textId="77777777" w:rsidR="00E3434F" w:rsidRDefault="00E3434F" w:rsidP="0051150B">
      <w:pPr>
        <w:ind w:left="1134" w:right="594"/>
        <w:jc w:val="both"/>
        <w:rPr>
          <w:rFonts w:ascii="Abadi" w:hAnsi="Abadi" w:cs="Arial"/>
          <w:b/>
          <w:bCs/>
          <w:sz w:val="21"/>
          <w:szCs w:val="21"/>
        </w:rPr>
      </w:pPr>
      <w:r w:rsidRPr="004A0446">
        <w:rPr>
          <w:rFonts w:ascii="Abadi" w:hAnsi="Abadi" w:cs="Arial"/>
          <w:sz w:val="21"/>
          <w:szCs w:val="21"/>
        </w:rPr>
        <w:t>[…]</w:t>
      </w:r>
    </w:p>
    <w:p w14:paraId="78459B2E" w14:textId="77777777" w:rsidR="00E3434F" w:rsidRDefault="00E3434F" w:rsidP="0051150B">
      <w:pPr>
        <w:ind w:left="1134" w:right="594"/>
        <w:jc w:val="both"/>
        <w:rPr>
          <w:rFonts w:ascii="Abadi" w:hAnsi="Abadi" w:cs="Arial"/>
          <w:b/>
          <w:bCs/>
          <w:sz w:val="21"/>
          <w:szCs w:val="21"/>
        </w:rPr>
      </w:pPr>
    </w:p>
    <w:p w14:paraId="215F27A1" w14:textId="77777777" w:rsidR="00E3434F" w:rsidRDefault="00E3434F" w:rsidP="0051150B">
      <w:pPr>
        <w:ind w:left="1134" w:right="594"/>
        <w:jc w:val="both"/>
        <w:rPr>
          <w:rFonts w:ascii="Abadi" w:hAnsi="Abadi" w:cs="Arial"/>
          <w:b/>
          <w:bCs/>
          <w:sz w:val="21"/>
          <w:szCs w:val="21"/>
        </w:rPr>
      </w:pPr>
      <w:r w:rsidRPr="004A0446">
        <w:rPr>
          <w:rFonts w:ascii="Abadi" w:hAnsi="Abadi" w:cs="Arial"/>
          <w:sz w:val="21"/>
          <w:szCs w:val="21"/>
        </w:rPr>
        <w:t xml:space="preserve">Toda Persona tiene derecho a la protección de la salud. La Ley definirá las bases y modalidades para el acceso a los servicios de salud y establecerá la concurrencia de la Federación y las entidades federativas en materia de salubridad general, </w:t>
      </w:r>
      <w:r w:rsidRPr="004A0446">
        <w:rPr>
          <w:rFonts w:ascii="Abadi" w:hAnsi="Abadi" w:cs="Arial"/>
          <w:sz w:val="21"/>
          <w:szCs w:val="21"/>
          <w:u w:val="single"/>
        </w:rPr>
        <w:t>conforme a lo que dispone la fracción XVI del artículo 73 de esta Constitución. La Ley definirá un sistema de salud para el bienestar, con el fin de garantizar la extensión progresiva, cuantitativa y cualitativa de los servicios de salud para la atención integral y gratuita de las personas que no cuenten con seguridad social.</w:t>
      </w:r>
    </w:p>
    <w:p w14:paraId="5A7FFEF6" w14:textId="77777777" w:rsidR="00E3434F" w:rsidRDefault="00E3434F" w:rsidP="0051150B">
      <w:pPr>
        <w:ind w:left="1134" w:right="594"/>
        <w:jc w:val="both"/>
        <w:rPr>
          <w:rFonts w:ascii="Abadi" w:hAnsi="Abadi" w:cs="Arial"/>
          <w:b/>
          <w:bCs/>
          <w:sz w:val="21"/>
          <w:szCs w:val="21"/>
        </w:rPr>
      </w:pPr>
    </w:p>
    <w:p w14:paraId="7B651B66" w14:textId="77777777" w:rsidR="00E3434F" w:rsidRDefault="00E3434F" w:rsidP="0051150B">
      <w:pPr>
        <w:ind w:left="1134" w:right="594"/>
        <w:jc w:val="both"/>
        <w:rPr>
          <w:rFonts w:ascii="Abadi" w:hAnsi="Abadi" w:cs="Arial"/>
          <w:b/>
          <w:bCs/>
          <w:sz w:val="21"/>
          <w:szCs w:val="21"/>
        </w:rPr>
      </w:pPr>
      <w:r w:rsidRPr="004A0446">
        <w:rPr>
          <w:rFonts w:ascii="Abadi" w:hAnsi="Abadi" w:cs="Arial"/>
          <w:sz w:val="21"/>
          <w:szCs w:val="21"/>
        </w:rPr>
        <w:t>[…]</w:t>
      </w:r>
    </w:p>
    <w:p w14:paraId="70D917CE" w14:textId="77777777" w:rsidR="00E3434F" w:rsidRDefault="00E3434F" w:rsidP="0051150B">
      <w:pPr>
        <w:ind w:left="1134" w:right="594"/>
        <w:jc w:val="both"/>
        <w:rPr>
          <w:rFonts w:ascii="Abadi" w:hAnsi="Abadi" w:cs="Arial"/>
          <w:b/>
          <w:bCs/>
          <w:sz w:val="21"/>
          <w:szCs w:val="21"/>
        </w:rPr>
      </w:pPr>
    </w:p>
    <w:p w14:paraId="53732E80" w14:textId="77777777" w:rsidR="00E3434F" w:rsidRDefault="00E3434F" w:rsidP="0051150B">
      <w:pPr>
        <w:ind w:left="1134" w:right="594"/>
        <w:jc w:val="both"/>
        <w:rPr>
          <w:rFonts w:ascii="Abadi" w:hAnsi="Abadi" w:cs="Arial"/>
          <w:b/>
          <w:bCs/>
          <w:sz w:val="21"/>
          <w:szCs w:val="21"/>
        </w:rPr>
      </w:pPr>
      <w:r w:rsidRPr="004A0446">
        <w:rPr>
          <w:rFonts w:ascii="Abadi" w:hAnsi="Abadi" w:cs="Arial"/>
          <w:b/>
          <w:bCs/>
          <w:sz w:val="21"/>
          <w:szCs w:val="21"/>
        </w:rPr>
        <w:t>Artículo 73.</w:t>
      </w:r>
      <w:r w:rsidRPr="004A0446">
        <w:rPr>
          <w:rFonts w:ascii="Abadi" w:hAnsi="Abadi" w:cs="Arial"/>
          <w:sz w:val="21"/>
          <w:szCs w:val="21"/>
        </w:rPr>
        <w:t xml:space="preserve"> El Congreso tiene facultad:</w:t>
      </w:r>
    </w:p>
    <w:p w14:paraId="04CBB74D" w14:textId="77777777" w:rsidR="00E3434F" w:rsidRDefault="00E3434F" w:rsidP="0051150B">
      <w:pPr>
        <w:ind w:left="1134" w:right="594"/>
        <w:jc w:val="both"/>
        <w:rPr>
          <w:rFonts w:ascii="Abadi" w:hAnsi="Abadi" w:cs="Arial"/>
          <w:sz w:val="21"/>
          <w:szCs w:val="21"/>
        </w:rPr>
      </w:pPr>
    </w:p>
    <w:p w14:paraId="1643AD70" w14:textId="77777777" w:rsidR="00E3434F" w:rsidRDefault="00E3434F" w:rsidP="0051150B">
      <w:pPr>
        <w:ind w:left="1134" w:right="594"/>
        <w:jc w:val="both"/>
        <w:rPr>
          <w:rFonts w:ascii="Abadi" w:hAnsi="Abadi" w:cs="Arial"/>
          <w:b/>
          <w:bCs/>
          <w:sz w:val="21"/>
          <w:szCs w:val="21"/>
        </w:rPr>
      </w:pPr>
      <w:r w:rsidRPr="004A0446">
        <w:rPr>
          <w:rFonts w:ascii="Abadi" w:hAnsi="Abadi" w:cs="Arial"/>
          <w:sz w:val="21"/>
          <w:szCs w:val="21"/>
        </w:rPr>
        <w:t>[…]</w:t>
      </w:r>
    </w:p>
    <w:p w14:paraId="3D615876" w14:textId="77777777" w:rsidR="00E3434F" w:rsidRDefault="00E3434F" w:rsidP="0051150B">
      <w:pPr>
        <w:ind w:left="1134" w:right="594"/>
        <w:jc w:val="both"/>
        <w:rPr>
          <w:rFonts w:ascii="Abadi" w:hAnsi="Abadi" w:cs="Arial"/>
          <w:b/>
          <w:bCs/>
          <w:sz w:val="21"/>
          <w:szCs w:val="21"/>
        </w:rPr>
      </w:pPr>
    </w:p>
    <w:p w14:paraId="5A8B783D" w14:textId="77777777" w:rsidR="00E3434F" w:rsidRDefault="00E3434F" w:rsidP="0051150B">
      <w:pPr>
        <w:ind w:left="1134" w:right="594"/>
        <w:jc w:val="both"/>
        <w:rPr>
          <w:rFonts w:ascii="Abadi" w:hAnsi="Abadi" w:cs="Arial"/>
          <w:sz w:val="21"/>
          <w:szCs w:val="21"/>
        </w:rPr>
      </w:pPr>
      <w:r w:rsidRPr="004A0446">
        <w:rPr>
          <w:rFonts w:ascii="Abadi" w:hAnsi="Abadi" w:cs="Arial"/>
          <w:b/>
          <w:bCs/>
          <w:sz w:val="21"/>
          <w:szCs w:val="21"/>
        </w:rPr>
        <w:t>XVI.</w:t>
      </w:r>
      <w:r w:rsidRPr="004A0446">
        <w:rPr>
          <w:rFonts w:ascii="Abadi" w:hAnsi="Abadi" w:cs="Arial"/>
          <w:sz w:val="21"/>
          <w:szCs w:val="21"/>
        </w:rPr>
        <w:t xml:space="preserve"> </w:t>
      </w:r>
      <w:r w:rsidRPr="004A0446">
        <w:rPr>
          <w:rFonts w:ascii="Abadi" w:hAnsi="Abadi" w:cs="Arial"/>
          <w:sz w:val="21"/>
          <w:szCs w:val="21"/>
          <w:u w:val="single"/>
        </w:rPr>
        <w:t>Para dictar leyes sobre</w:t>
      </w:r>
      <w:r w:rsidRPr="004A0446">
        <w:rPr>
          <w:rFonts w:ascii="Abadi" w:hAnsi="Abadi" w:cs="Arial"/>
          <w:sz w:val="21"/>
          <w:szCs w:val="21"/>
        </w:rPr>
        <w:t xml:space="preserve"> nacionalidad, condición jurídica de los extranjeros, ciudadanía, naturalización, colonización, emigración e inmigración y </w:t>
      </w:r>
      <w:r w:rsidRPr="004A0446">
        <w:rPr>
          <w:rFonts w:ascii="Abadi" w:hAnsi="Abadi" w:cs="Arial"/>
          <w:sz w:val="21"/>
          <w:szCs w:val="21"/>
          <w:u w:val="single"/>
        </w:rPr>
        <w:t>salubridad general</w:t>
      </w:r>
      <w:r w:rsidRPr="004A0446">
        <w:rPr>
          <w:rFonts w:ascii="Abadi" w:hAnsi="Abadi" w:cs="Arial"/>
          <w:sz w:val="21"/>
          <w:szCs w:val="21"/>
        </w:rPr>
        <w:t xml:space="preserve"> de la República. </w:t>
      </w:r>
    </w:p>
    <w:p w14:paraId="3390A00A" w14:textId="77777777" w:rsidR="00E3434F" w:rsidRDefault="00E3434F" w:rsidP="0051150B">
      <w:pPr>
        <w:ind w:left="1134" w:right="594"/>
        <w:jc w:val="both"/>
        <w:rPr>
          <w:rFonts w:ascii="Abadi" w:hAnsi="Abadi" w:cs="Arial"/>
          <w:sz w:val="21"/>
          <w:szCs w:val="21"/>
        </w:rPr>
      </w:pPr>
    </w:p>
    <w:p w14:paraId="4E587E57" w14:textId="77777777" w:rsidR="00E3434F" w:rsidRPr="004A0446" w:rsidRDefault="00E3434F" w:rsidP="0051150B">
      <w:pPr>
        <w:ind w:left="1134" w:right="594"/>
        <w:jc w:val="both"/>
        <w:rPr>
          <w:rFonts w:ascii="Abadi" w:hAnsi="Abadi" w:cs="Arial"/>
          <w:b/>
          <w:bCs/>
          <w:sz w:val="21"/>
          <w:szCs w:val="21"/>
        </w:rPr>
      </w:pPr>
      <w:r w:rsidRPr="004A0446">
        <w:rPr>
          <w:rFonts w:ascii="Abadi" w:hAnsi="Abadi" w:cs="Arial"/>
          <w:sz w:val="21"/>
          <w:szCs w:val="21"/>
        </w:rPr>
        <w:t>(…)»</w:t>
      </w:r>
    </w:p>
    <w:p w14:paraId="33F3C039" w14:textId="77777777" w:rsidR="00E3434F" w:rsidRPr="004A0446" w:rsidRDefault="00E3434F" w:rsidP="0051150B">
      <w:pPr>
        <w:ind w:left="1134" w:right="567"/>
        <w:jc w:val="both"/>
        <w:rPr>
          <w:rFonts w:ascii="Abadi" w:hAnsi="Abadi" w:cs="Arial"/>
          <w:sz w:val="21"/>
          <w:szCs w:val="21"/>
        </w:rPr>
      </w:pPr>
    </w:p>
    <w:p w14:paraId="292224C6" w14:textId="77777777" w:rsidR="00E3434F" w:rsidRPr="004A0446" w:rsidRDefault="00E3434F" w:rsidP="0051150B">
      <w:pPr>
        <w:ind w:left="1134" w:right="567"/>
        <w:jc w:val="both"/>
        <w:rPr>
          <w:rFonts w:ascii="Abadi" w:hAnsi="Abadi" w:cs="Arial"/>
          <w:sz w:val="21"/>
          <w:szCs w:val="21"/>
        </w:rPr>
      </w:pPr>
      <w:r w:rsidRPr="004A0446">
        <w:rPr>
          <w:rFonts w:ascii="Abadi" w:hAnsi="Abadi" w:cs="Arial"/>
          <w:sz w:val="21"/>
          <w:szCs w:val="21"/>
        </w:rPr>
        <w:t>Asimismo, el artículo 124 del mismo ordenamiento dispone una fórmula de distribución de competencias,</w:t>
      </w:r>
      <w:r>
        <w:rPr>
          <w:rFonts w:ascii="Abadi" w:hAnsi="Abadi" w:cs="Arial"/>
          <w:sz w:val="21"/>
          <w:szCs w:val="21"/>
        </w:rPr>
        <w:t xml:space="preserve"> </w:t>
      </w:r>
      <w:r w:rsidRPr="004A0446">
        <w:rPr>
          <w:rFonts w:ascii="Abadi" w:hAnsi="Abadi" w:cs="Arial"/>
          <w:sz w:val="21"/>
          <w:szCs w:val="21"/>
        </w:rPr>
        <w:t>estableciendo, en esencia, que las facultades que no estén expresamente concedidas a la Federación, se entenderán reservadas a los estados o a la Ciudad de México atendiendo a los ámbitos de sus respectivas competencias.</w:t>
      </w:r>
    </w:p>
    <w:p w14:paraId="1DE98025" w14:textId="77777777" w:rsidR="00E3434F" w:rsidRPr="004A0446" w:rsidRDefault="00E3434F" w:rsidP="0051150B">
      <w:pPr>
        <w:ind w:left="1134" w:right="567"/>
        <w:jc w:val="both"/>
        <w:rPr>
          <w:rFonts w:ascii="Abadi" w:hAnsi="Abadi" w:cs="Arial"/>
          <w:sz w:val="21"/>
          <w:szCs w:val="21"/>
        </w:rPr>
      </w:pPr>
    </w:p>
    <w:p w14:paraId="21E5D878" w14:textId="77777777" w:rsidR="00E3434F" w:rsidRPr="004A0446" w:rsidRDefault="00E3434F" w:rsidP="0051150B">
      <w:pPr>
        <w:ind w:left="1134" w:right="567"/>
        <w:jc w:val="both"/>
        <w:rPr>
          <w:rFonts w:ascii="Abadi" w:hAnsi="Abadi" w:cs="Arial"/>
          <w:sz w:val="21"/>
          <w:szCs w:val="21"/>
        </w:rPr>
      </w:pPr>
      <w:r w:rsidRPr="004A0446">
        <w:rPr>
          <w:rFonts w:ascii="Abadi" w:hAnsi="Abadi" w:cs="Arial"/>
          <w:sz w:val="21"/>
          <w:szCs w:val="21"/>
        </w:rPr>
        <w:t xml:space="preserve">De lo anterior se sigue que es el Congreso de la Unión a quien le competente normar la salubridad general; en torno a dicho tema el artículo 3 de la Ley General de Salud establece lo que el legislador ha definido como materia de salubridad general y, dentro de esta encontramos a la </w:t>
      </w:r>
      <w:r w:rsidRPr="004A0446">
        <w:rPr>
          <w:rFonts w:ascii="Abadi" w:hAnsi="Abadi" w:cs="Arial"/>
          <w:b/>
          <w:bCs/>
          <w:sz w:val="21"/>
          <w:szCs w:val="21"/>
        </w:rPr>
        <w:t>salud mental</w:t>
      </w:r>
      <w:r w:rsidRPr="004A0446">
        <w:rPr>
          <w:rFonts w:ascii="Abadi" w:hAnsi="Abadi" w:cs="Arial"/>
          <w:sz w:val="21"/>
          <w:szCs w:val="21"/>
        </w:rPr>
        <w:t xml:space="preserve"> prevista en la fracción VI de ese numeral.</w:t>
      </w:r>
    </w:p>
    <w:p w14:paraId="09AE42F2" w14:textId="77777777" w:rsidR="00E3434F" w:rsidRPr="004A0446" w:rsidRDefault="00E3434F" w:rsidP="0051150B">
      <w:pPr>
        <w:ind w:left="1134" w:right="594"/>
        <w:jc w:val="both"/>
        <w:rPr>
          <w:rFonts w:ascii="Abadi" w:hAnsi="Abadi" w:cs="Arial"/>
          <w:sz w:val="21"/>
          <w:szCs w:val="21"/>
        </w:rPr>
      </w:pPr>
    </w:p>
    <w:p w14:paraId="7D4AFF19" w14:textId="77777777" w:rsidR="00E3434F" w:rsidRPr="004A0446" w:rsidRDefault="00E3434F" w:rsidP="0051150B">
      <w:pPr>
        <w:ind w:left="1134" w:right="594"/>
        <w:jc w:val="both"/>
        <w:rPr>
          <w:rFonts w:ascii="Abadi" w:hAnsi="Abadi" w:cs="Arial"/>
          <w:sz w:val="21"/>
          <w:szCs w:val="21"/>
        </w:rPr>
      </w:pPr>
      <w:r w:rsidRPr="004A0446">
        <w:rPr>
          <w:rFonts w:ascii="Abadi" w:hAnsi="Abadi" w:cs="Arial"/>
          <w:sz w:val="21"/>
          <w:szCs w:val="21"/>
        </w:rPr>
        <w:t xml:space="preserve">La distribución de competencias sobre la salubridad general la encontramos en el artículo 13, apartado B, fracción I del mismo ordenamiento, el cual dispone que a los gobiernos de las entidades federativas solo les corresponde </w:t>
      </w:r>
      <w:r w:rsidRPr="004A0446">
        <w:rPr>
          <w:rFonts w:ascii="Abadi" w:hAnsi="Abadi" w:cs="Arial"/>
          <w:b/>
          <w:bCs/>
          <w:sz w:val="21"/>
          <w:szCs w:val="21"/>
        </w:rPr>
        <w:t xml:space="preserve">la organización, operación, supervisión y la evaluación de la prestación de los servicios de salubridad general a que se refieren las fracciones </w:t>
      </w:r>
      <w:r w:rsidRPr="004A0446">
        <w:rPr>
          <w:rFonts w:ascii="Abadi" w:hAnsi="Abadi" w:cs="Arial"/>
          <w:sz w:val="21"/>
          <w:szCs w:val="21"/>
        </w:rPr>
        <w:t xml:space="preserve">II, II Bis, IV, IV Bis, IV Bis 1, IV Bis 2, IV Bis 3, V, </w:t>
      </w:r>
      <w:r w:rsidRPr="004A0446">
        <w:rPr>
          <w:rFonts w:ascii="Abadi" w:hAnsi="Abadi" w:cs="Arial"/>
          <w:b/>
          <w:bCs/>
          <w:sz w:val="21"/>
          <w:szCs w:val="21"/>
        </w:rPr>
        <w:t>VI (salud mental)</w:t>
      </w:r>
      <w:r w:rsidRPr="004A0446">
        <w:rPr>
          <w:rFonts w:ascii="Abadi" w:hAnsi="Abadi" w:cs="Arial"/>
          <w:sz w:val="21"/>
          <w:szCs w:val="21"/>
        </w:rPr>
        <w:t>, VII, VIII, IX, X, XI, XII, XIII, XIV, XV, XVI, XVII, XVIII, XIX, XX, XXVI Bis y XXVII Bis, del artículo 3 de esta Ley, de conformidad con las disposiciones aplicables.</w:t>
      </w:r>
    </w:p>
    <w:p w14:paraId="41296355" w14:textId="77777777" w:rsidR="00E3434F" w:rsidRPr="004A0446" w:rsidRDefault="00E3434F" w:rsidP="0051150B">
      <w:pPr>
        <w:ind w:left="1134" w:right="567"/>
        <w:jc w:val="both"/>
        <w:rPr>
          <w:rFonts w:ascii="Abadi" w:hAnsi="Abadi" w:cs="Arial"/>
          <w:sz w:val="21"/>
          <w:szCs w:val="21"/>
        </w:rPr>
      </w:pPr>
    </w:p>
    <w:p w14:paraId="6BD49A74" w14:textId="77777777" w:rsidR="00E3434F" w:rsidRPr="004A0446" w:rsidRDefault="00E3434F" w:rsidP="0051150B">
      <w:pPr>
        <w:ind w:left="1134" w:right="567"/>
        <w:jc w:val="both"/>
        <w:rPr>
          <w:rFonts w:ascii="Abadi" w:hAnsi="Abadi" w:cs="Arial"/>
          <w:sz w:val="21"/>
          <w:szCs w:val="21"/>
        </w:rPr>
      </w:pPr>
      <w:r w:rsidRPr="004A0446">
        <w:rPr>
          <w:rFonts w:ascii="Abadi" w:hAnsi="Abadi" w:cs="Arial"/>
          <w:sz w:val="21"/>
          <w:szCs w:val="21"/>
        </w:rPr>
        <w:t>Conforme a lo anterior, se sigue que la salud mental forma parte de la salubridad general. Por tanto, en términos de la Ley General aludida el estado únicamente tiene facultades para organizar, operar, supervisar y evaluar dicha materia, no así para regularla.</w:t>
      </w:r>
    </w:p>
    <w:p w14:paraId="56364787" w14:textId="77777777" w:rsidR="00E3434F" w:rsidRPr="004A0446" w:rsidRDefault="00E3434F" w:rsidP="0051150B">
      <w:pPr>
        <w:ind w:left="1134" w:right="567"/>
        <w:jc w:val="both"/>
        <w:rPr>
          <w:rFonts w:ascii="Abadi" w:hAnsi="Abadi" w:cs="Arial"/>
          <w:sz w:val="21"/>
          <w:szCs w:val="21"/>
        </w:rPr>
      </w:pPr>
    </w:p>
    <w:p w14:paraId="7B62FBC1" w14:textId="77777777" w:rsidR="00E3434F" w:rsidRPr="004A0446" w:rsidRDefault="00E3434F" w:rsidP="0051150B">
      <w:pPr>
        <w:ind w:left="1134" w:right="567"/>
        <w:jc w:val="both"/>
        <w:rPr>
          <w:rFonts w:ascii="Abadi" w:hAnsi="Abadi" w:cs="Arial"/>
          <w:sz w:val="21"/>
          <w:szCs w:val="21"/>
        </w:rPr>
      </w:pPr>
      <w:r w:rsidRPr="004A0446">
        <w:rPr>
          <w:rFonts w:ascii="Abadi" w:hAnsi="Abadi" w:cs="Arial"/>
          <w:sz w:val="21"/>
          <w:szCs w:val="21"/>
        </w:rPr>
        <w:t>Ahora bien, en relación al tema de la salud mental la Ley General de Salud en su artículo 27 fracción VI señala los distintos servicios básicos de salud, entre los cuales está la salud mental, lo que también se replica en la ley de salud del estado en el numeral 28, fracción VI.</w:t>
      </w:r>
    </w:p>
    <w:p w14:paraId="1F6102AB" w14:textId="77777777" w:rsidR="00E3434F" w:rsidRPr="004A0446" w:rsidRDefault="00E3434F" w:rsidP="0051150B">
      <w:pPr>
        <w:ind w:left="1134" w:right="567"/>
        <w:jc w:val="both"/>
        <w:rPr>
          <w:rFonts w:ascii="Abadi" w:hAnsi="Abadi" w:cs="Arial"/>
          <w:sz w:val="21"/>
          <w:szCs w:val="21"/>
        </w:rPr>
      </w:pPr>
    </w:p>
    <w:p w14:paraId="67B00ECB" w14:textId="77777777" w:rsidR="00E3434F" w:rsidRPr="004A0446" w:rsidRDefault="00E3434F" w:rsidP="0051150B">
      <w:pPr>
        <w:ind w:left="1134" w:right="567"/>
        <w:jc w:val="both"/>
        <w:rPr>
          <w:rFonts w:ascii="Abadi" w:hAnsi="Abadi" w:cs="Arial"/>
          <w:sz w:val="21"/>
          <w:szCs w:val="21"/>
        </w:rPr>
      </w:pPr>
      <w:r w:rsidRPr="004A0446">
        <w:rPr>
          <w:rFonts w:ascii="Abadi" w:hAnsi="Abadi" w:cs="Arial"/>
          <w:sz w:val="21"/>
          <w:szCs w:val="21"/>
        </w:rPr>
        <w:t>Además, la Ley General citada en su Título Tercero de la Prestación de los Servicios de Salud, Capítulo VII (artículos 72 a 77), regula la salud mental la cual se ocupa de prevenir y atender los trastornos mentales y del comportamiento pues son de carácter prioritario. Para ello se basa en el conocimiento de los factores que afectan la salud mental, las causas de las alteraciones de la conducta, los métodos de prevención y control multidisciplinario de dichos trastornos, así como otros aspectos relacionados con el diagnóstico, conservación y mejoramiento de la salud mental.</w:t>
      </w:r>
    </w:p>
    <w:p w14:paraId="6834762F" w14:textId="77777777" w:rsidR="00E3434F" w:rsidRPr="004A0446" w:rsidRDefault="00E3434F" w:rsidP="0051150B">
      <w:pPr>
        <w:ind w:left="1134" w:right="567"/>
        <w:jc w:val="both"/>
        <w:rPr>
          <w:rFonts w:ascii="Abadi" w:hAnsi="Abadi" w:cs="Arial"/>
          <w:sz w:val="21"/>
          <w:szCs w:val="21"/>
        </w:rPr>
      </w:pPr>
    </w:p>
    <w:p w14:paraId="3FA6CD41" w14:textId="77777777" w:rsidR="00E3434F" w:rsidRPr="004A0446" w:rsidRDefault="00E3434F" w:rsidP="0051150B">
      <w:pPr>
        <w:ind w:left="1134" w:right="567"/>
        <w:jc w:val="both"/>
        <w:rPr>
          <w:rFonts w:ascii="Abadi" w:hAnsi="Abadi" w:cs="Arial"/>
          <w:b/>
          <w:bCs/>
          <w:sz w:val="21"/>
          <w:szCs w:val="21"/>
        </w:rPr>
      </w:pPr>
      <w:r w:rsidRPr="004A0446">
        <w:rPr>
          <w:rFonts w:ascii="Abadi" w:hAnsi="Abadi" w:cs="Arial"/>
          <w:sz w:val="21"/>
          <w:szCs w:val="21"/>
        </w:rPr>
        <w:t xml:space="preserve">En términos de dicha ley, la salud mental es </w:t>
      </w:r>
      <w:r w:rsidRPr="004A0446">
        <w:rPr>
          <w:rFonts w:ascii="Abadi" w:hAnsi="Abadi" w:cs="Arial"/>
          <w:b/>
          <w:bCs/>
          <w:sz w:val="21"/>
          <w:szCs w:val="21"/>
        </w:rPr>
        <w:t>el estado de bienestar que una persona experimenta como resultado de su buen funcionamiento en los aspectos cognoscitivos, afectivos y conductuales, y, en última instancia el despliegue óptimo de sus potencialidades individuales para la convivencia, el trabajo y la recreación.</w:t>
      </w:r>
    </w:p>
    <w:p w14:paraId="7D1D0AD4" w14:textId="77777777" w:rsidR="00E3434F" w:rsidRPr="004A0446" w:rsidRDefault="00E3434F" w:rsidP="0051150B">
      <w:pPr>
        <w:ind w:left="1134" w:right="567"/>
        <w:jc w:val="both"/>
        <w:rPr>
          <w:rFonts w:ascii="Abadi" w:hAnsi="Abadi" w:cs="Arial"/>
          <w:b/>
          <w:bCs/>
          <w:sz w:val="21"/>
          <w:szCs w:val="21"/>
        </w:rPr>
      </w:pPr>
    </w:p>
    <w:p w14:paraId="5E356D83" w14:textId="77777777" w:rsidR="00E3434F" w:rsidRPr="004A0446" w:rsidRDefault="00E3434F" w:rsidP="0051150B">
      <w:pPr>
        <w:ind w:left="1134" w:right="567"/>
        <w:jc w:val="both"/>
        <w:rPr>
          <w:rFonts w:ascii="Abadi" w:hAnsi="Abadi" w:cs="Arial"/>
          <w:sz w:val="21"/>
          <w:szCs w:val="21"/>
        </w:rPr>
      </w:pPr>
      <w:r w:rsidRPr="004A0446">
        <w:rPr>
          <w:rFonts w:ascii="Abadi" w:hAnsi="Abadi" w:cs="Arial"/>
          <w:sz w:val="21"/>
          <w:szCs w:val="21"/>
        </w:rPr>
        <w:t>Así pues, si las personas no tienen una buena salud mental pueden llegar a desarrollar trastornos mentales y del comportamiento, los cuales pueden afectar su capacidad de desenvolverse de manera adecuada en sociedad, en sus relaciones interpersonales; pueden tener dificultad para afrontar las adversidades que se les presentan, de trabajar de manera productiva, de manera que de no atenderse puede desembocar en un suicidio.</w:t>
      </w:r>
    </w:p>
    <w:p w14:paraId="42B7163A" w14:textId="77777777" w:rsidR="00E3434F" w:rsidRPr="004A0446" w:rsidRDefault="00E3434F" w:rsidP="0051150B">
      <w:pPr>
        <w:ind w:left="1134" w:right="567"/>
        <w:jc w:val="both"/>
        <w:rPr>
          <w:rFonts w:ascii="Abadi" w:hAnsi="Abadi" w:cs="Arial"/>
          <w:sz w:val="21"/>
          <w:szCs w:val="21"/>
        </w:rPr>
      </w:pPr>
    </w:p>
    <w:p w14:paraId="04DC8E88" w14:textId="77777777" w:rsidR="00E3434F" w:rsidRPr="004A0446" w:rsidRDefault="00E3434F" w:rsidP="0051150B">
      <w:pPr>
        <w:ind w:left="1134" w:right="594"/>
        <w:jc w:val="both"/>
        <w:rPr>
          <w:rFonts w:ascii="Abadi" w:hAnsi="Abadi" w:cs="Arial"/>
          <w:b/>
          <w:bCs/>
          <w:sz w:val="21"/>
          <w:szCs w:val="21"/>
        </w:rPr>
      </w:pPr>
      <w:r w:rsidRPr="004A0446">
        <w:rPr>
          <w:rFonts w:ascii="Abadi" w:hAnsi="Abadi" w:cs="Arial"/>
          <w:sz w:val="21"/>
          <w:szCs w:val="21"/>
        </w:rPr>
        <w:t>Sobre el tema la Organización Mundial de la Salud OMS en la publicación electrónica «Invertir en Salud Mental»</w:t>
      </w:r>
      <w:r w:rsidRPr="004A0446">
        <w:rPr>
          <w:rFonts w:ascii="Abadi" w:hAnsi="Abadi" w:cs="Arial"/>
          <w:sz w:val="21"/>
          <w:szCs w:val="21"/>
          <w:vertAlign w:val="superscript"/>
        </w:rPr>
        <w:footnoteReference w:id="123"/>
      </w:r>
      <w:r w:rsidRPr="004A0446">
        <w:rPr>
          <w:rFonts w:ascii="Abadi" w:hAnsi="Abadi" w:cs="Arial"/>
          <w:sz w:val="21"/>
          <w:szCs w:val="21"/>
        </w:rPr>
        <w:t xml:space="preserve">, señala que: </w:t>
      </w:r>
      <w:r w:rsidRPr="004A0446">
        <w:rPr>
          <w:rFonts w:ascii="Abadi" w:hAnsi="Abadi" w:cs="Arial"/>
          <w:b/>
          <w:bCs/>
          <w:sz w:val="21"/>
          <w:szCs w:val="21"/>
        </w:rPr>
        <w:t>los conceptos de salud mental incluyen el bienestar subjetivo, autonomía, competencia, dependencia intergeneracional y reconocimiento de la habilidad de realizarse intelectual y emocionalmente. También ha sido definido como un estado de bienestar por medio del cual los individuos reconocen sus habilidades, son capaces de hacer frente al estrés normal de la vida, trabajar de forma productiva y fructífera, y contribuir a sus comunidades.</w:t>
      </w:r>
    </w:p>
    <w:p w14:paraId="1C54BA9F" w14:textId="77777777" w:rsidR="00E3434F" w:rsidRPr="004A0446" w:rsidRDefault="00E3434F" w:rsidP="0051150B">
      <w:pPr>
        <w:ind w:left="1134" w:right="594"/>
        <w:jc w:val="both"/>
        <w:rPr>
          <w:rFonts w:ascii="Abadi" w:hAnsi="Abadi" w:cs="Arial"/>
          <w:sz w:val="21"/>
          <w:szCs w:val="21"/>
        </w:rPr>
      </w:pPr>
    </w:p>
    <w:p w14:paraId="7988169D" w14:textId="77777777" w:rsidR="00E3434F" w:rsidRPr="004A0446" w:rsidRDefault="00E3434F" w:rsidP="0051150B">
      <w:pPr>
        <w:ind w:left="1134" w:right="594"/>
        <w:jc w:val="both"/>
        <w:rPr>
          <w:rFonts w:ascii="Abadi" w:hAnsi="Abadi" w:cs="Arial"/>
          <w:sz w:val="21"/>
          <w:szCs w:val="21"/>
        </w:rPr>
      </w:pPr>
      <w:r w:rsidRPr="004A0446">
        <w:rPr>
          <w:rFonts w:ascii="Abadi" w:hAnsi="Abadi" w:cs="Arial"/>
          <w:sz w:val="21"/>
          <w:szCs w:val="21"/>
        </w:rPr>
        <w:t>Además, en el apartado de «Promoción de salud mental: prevención y manejo de la enfermedad mental» toca el tema relacionado con la prevención de la conducta suicida en el que señala que de acuerdo con la mejor evidencia disponible (OMS, 1998), las siguientes intervenciones han demostrado su eficacia en la prevención de algunas formas de conductas suicidas siendo una de estas el tratamiento de personas con trastornos mentales (en especial, depresión, alcoholismo y esquizofrenia).</w:t>
      </w:r>
    </w:p>
    <w:p w14:paraId="74D86F5B" w14:textId="77777777" w:rsidR="00E3434F" w:rsidRPr="004A0446" w:rsidRDefault="00E3434F" w:rsidP="0051150B">
      <w:pPr>
        <w:ind w:left="1134" w:right="594"/>
        <w:jc w:val="both"/>
        <w:rPr>
          <w:rFonts w:ascii="Abadi" w:hAnsi="Abadi" w:cs="Arial"/>
          <w:sz w:val="21"/>
          <w:szCs w:val="21"/>
        </w:rPr>
      </w:pPr>
    </w:p>
    <w:p w14:paraId="2E34ECAC" w14:textId="77777777" w:rsidR="00E3434F" w:rsidRPr="004A0446" w:rsidRDefault="00E3434F" w:rsidP="0051150B">
      <w:pPr>
        <w:ind w:left="1134" w:right="594"/>
        <w:jc w:val="both"/>
        <w:rPr>
          <w:rFonts w:ascii="Abadi" w:hAnsi="Abadi" w:cs="Arial"/>
          <w:sz w:val="21"/>
          <w:szCs w:val="21"/>
        </w:rPr>
      </w:pPr>
      <w:r w:rsidRPr="004A0446">
        <w:rPr>
          <w:rFonts w:ascii="Abadi" w:hAnsi="Abadi" w:cs="Arial"/>
          <w:sz w:val="21"/>
          <w:szCs w:val="21"/>
        </w:rPr>
        <w:t>Asimismo, en el Boletín CONAMED–OPS se señala: Dentro de los marcadores de calidad más importantes en materia de salud mental es el índice de suicidios; por ser este fenómeno la consecuencia más grave en la mayoría de las enfermedades mentales y es potencialmente prevenible.</w:t>
      </w:r>
      <w:r w:rsidRPr="004A0446">
        <w:rPr>
          <w:rFonts w:ascii="Abadi" w:hAnsi="Abadi" w:cs="Arial"/>
          <w:sz w:val="21"/>
          <w:szCs w:val="21"/>
          <w:vertAlign w:val="superscript"/>
        </w:rPr>
        <w:footnoteReference w:id="124"/>
      </w:r>
    </w:p>
    <w:p w14:paraId="3F684AA4" w14:textId="77777777" w:rsidR="00E3434F" w:rsidRPr="004A0446" w:rsidRDefault="00E3434F" w:rsidP="0051150B">
      <w:pPr>
        <w:ind w:left="1134" w:right="594"/>
        <w:jc w:val="both"/>
        <w:rPr>
          <w:rFonts w:ascii="Abadi" w:hAnsi="Abadi" w:cs="Arial"/>
          <w:sz w:val="21"/>
          <w:szCs w:val="21"/>
        </w:rPr>
      </w:pPr>
    </w:p>
    <w:p w14:paraId="1F044C59" w14:textId="77777777" w:rsidR="00E3434F" w:rsidRPr="004A0446" w:rsidRDefault="00E3434F" w:rsidP="0051150B">
      <w:pPr>
        <w:ind w:left="1134" w:right="594"/>
        <w:jc w:val="both"/>
        <w:rPr>
          <w:rFonts w:ascii="Abadi" w:hAnsi="Abadi" w:cs="Arial"/>
          <w:sz w:val="21"/>
          <w:szCs w:val="21"/>
        </w:rPr>
      </w:pPr>
      <w:r w:rsidRPr="004A0446">
        <w:rPr>
          <w:rFonts w:ascii="Abadi" w:hAnsi="Abadi" w:cs="Arial"/>
          <w:sz w:val="21"/>
          <w:szCs w:val="21"/>
        </w:rPr>
        <w:t>Además, en el Programa Sectorial de Salud 2020-2024</w:t>
      </w:r>
      <w:r w:rsidRPr="004A0446">
        <w:rPr>
          <w:rFonts w:ascii="Abadi" w:hAnsi="Abadi" w:cs="Arial"/>
          <w:sz w:val="21"/>
          <w:szCs w:val="21"/>
          <w:vertAlign w:val="superscript"/>
        </w:rPr>
        <w:footnoteReference w:id="125"/>
      </w:r>
      <w:r w:rsidRPr="004A0446">
        <w:rPr>
          <w:rFonts w:ascii="Abadi" w:hAnsi="Abadi" w:cs="Arial"/>
          <w:sz w:val="21"/>
          <w:szCs w:val="21"/>
        </w:rPr>
        <w:t xml:space="preserve"> de la administración pública federal, prevé la estrategia prioritaria 5.3 relativa a Garantizar el acceso a los </w:t>
      </w:r>
      <w:r w:rsidRPr="004A0446">
        <w:rPr>
          <w:rFonts w:ascii="Abadi" w:hAnsi="Abadi" w:cs="Arial"/>
          <w:b/>
          <w:bCs/>
          <w:sz w:val="21"/>
          <w:szCs w:val="21"/>
        </w:rPr>
        <w:t>servicios de salud mental</w:t>
      </w:r>
      <w:r w:rsidRPr="004A0446">
        <w:rPr>
          <w:rFonts w:ascii="Abadi" w:hAnsi="Abadi" w:cs="Arial"/>
          <w:sz w:val="21"/>
          <w:szCs w:val="21"/>
        </w:rPr>
        <w:t xml:space="preserve"> y  apoyo   psicológico bajo  un  enfoque integral y diferenciado para    atender    los   trastornos   mentales  y   problemas   relacionados    con    adicciones  especialmente a grupos históricamente discriminados o en condición de vulnerabilidad, y dentro de sus acciones puntuales está la 5.3.6 que consiste en implementar campañas y programas nacionales para la prevención del suicidio y otras conductas negativas.</w:t>
      </w:r>
    </w:p>
    <w:p w14:paraId="02F1B2D9" w14:textId="77777777" w:rsidR="00E3434F" w:rsidRPr="004A0446" w:rsidRDefault="00E3434F" w:rsidP="0051150B">
      <w:pPr>
        <w:ind w:left="1134" w:right="594"/>
        <w:jc w:val="both"/>
        <w:rPr>
          <w:rFonts w:ascii="Abadi" w:hAnsi="Abadi" w:cs="Arial"/>
          <w:sz w:val="21"/>
          <w:szCs w:val="21"/>
        </w:rPr>
      </w:pPr>
    </w:p>
    <w:p w14:paraId="0D66F15F" w14:textId="77777777" w:rsidR="00E3434F" w:rsidRPr="004A0446" w:rsidRDefault="00E3434F" w:rsidP="0051150B">
      <w:pPr>
        <w:ind w:left="1134" w:right="594"/>
        <w:jc w:val="both"/>
        <w:rPr>
          <w:rFonts w:ascii="Abadi" w:hAnsi="Abadi" w:cs="Arial"/>
          <w:sz w:val="21"/>
          <w:szCs w:val="21"/>
        </w:rPr>
      </w:pPr>
      <w:r w:rsidRPr="004A0446">
        <w:rPr>
          <w:rFonts w:ascii="Abadi" w:hAnsi="Abadi" w:cs="Arial"/>
          <w:sz w:val="21"/>
          <w:szCs w:val="21"/>
        </w:rPr>
        <w:t>Por lo que, se puede concluir que dentro de la esfera de la salud mental está el tema del suicidio, pues en ocasiones éste es la consecuencia de una mala salud mental; entonces para atacar la problemática del suicidio es necesario conocer cuáles son las causas que llevan a las personas a realizar tal acto lo cual se puede saber al tratar la salud mental de las personas.</w:t>
      </w:r>
    </w:p>
    <w:p w14:paraId="41468861" w14:textId="77777777" w:rsidR="00E3434F" w:rsidRPr="004A0446" w:rsidRDefault="00E3434F" w:rsidP="0051150B">
      <w:pPr>
        <w:ind w:left="1134" w:right="594"/>
        <w:jc w:val="both"/>
        <w:rPr>
          <w:rFonts w:ascii="Abadi" w:hAnsi="Abadi" w:cs="Arial"/>
          <w:sz w:val="21"/>
          <w:szCs w:val="21"/>
        </w:rPr>
      </w:pPr>
    </w:p>
    <w:p w14:paraId="49EACAED" w14:textId="77777777" w:rsidR="00E3434F" w:rsidRPr="004A0446" w:rsidRDefault="00E3434F" w:rsidP="0051150B">
      <w:pPr>
        <w:ind w:left="1134" w:right="567"/>
        <w:jc w:val="both"/>
        <w:rPr>
          <w:rFonts w:ascii="Abadi" w:hAnsi="Abadi" w:cs="Arial"/>
          <w:sz w:val="21"/>
          <w:szCs w:val="21"/>
        </w:rPr>
      </w:pPr>
      <w:r w:rsidRPr="004A0446">
        <w:rPr>
          <w:rFonts w:ascii="Abadi" w:hAnsi="Abadi" w:cs="Arial"/>
          <w:sz w:val="21"/>
          <w:szCs w:val="21"/>
        </w:rPr>
        <w:t>La facultad de expedir leyes en materia de salubridad general de República se introdujo en el ámbito federal con la reforma del 12 de noviembre de 1908 a la Constitución de 1857. Con esa reforma se otorgó al Congreso de la Unión la facultad de expedir la ley sobre emigración, inmigración y salubridad general de la República y se subordinó el derecho de tránsito de las personas, entre otros, a las limitaciones que impusiera dicha ley.</w:t>
      </w:r>
    </w:p>
    <w:p w14:paraId="4F77D032" w14:textId="77777777" w:rsidR="00E3434F" w:rsidRPr="004A0446" w:rsidRDefault="00E3434F" w:rsidP="0051150B">
      <w:pPr>
        <w:ind w:left="1134" w:right="567"/>
        <w:jc w:val="both"/>
        <w:rPr>
          <w:rFonts w:ascii="Abadi" w:hAnsi="Abadi" w:cs="Arial"/>
          <w:sz w:val="21"/>
          <w:szCs w:val="21"/>
        </w:rPr>
      </w:pPr>
    </w:p>
    <w:p w14:paraId="427AEFCC" w14:textId="77777777" w:rsidR="00E3434F" w:rsidRPr="004A0446" w:rsidRDefault="00E3434F" w:rsidP="0051150B">
      <w:pPr>
        <w:ind w:left="1134" w:right="567"/>
        <w:jc w:val="both"/>
        <w:rPr>
          <w:rFonts w:ascii="Abadi" w:hAnsi="Abadi" w:cs="Arial"/>
          <w:sz w:val="21"/>
          <w:szCs w:val="21"/>
        </w:rPr>
      </w:pPr>
      <w:r w:rsidRPr="004A0446">
        <w:rPr>
          <w:rFonts w:ascii="Abadi" w:hAnsi="Abadi" w:cs="Arial"/>
          <w:sz w:val="21"/>
          <w:szCs w:val="21"/>
        </w:rPr>
        <w:t>El enfoque, al iniciar el siglo XX estaba en la salubridad, a la cual se le sumó la asistencia social en 1943, al fusionarse el Departamento de Salubridad Pública y la Secretaría de Asistencia, con lo que se creó la Secretaría de Salubridad y Asistencia, cuyas atribuciones estaban orientadas a atender los problemas que presentaba el país en materia de salud pública, las epidemias que predominaron en el siglo XIX como la sífilis, la viruela, la fiebre amarilla, la tuberculosis, la lepra, el paludismo y el tifo, a las que se habían sumado otras como la influenza, la poliomielitis y la tosferina.</w:t>
      </w:r>
    </w:p>
    <w:p w14:paraId="014E3297" w14:textId="77777777" w:rsidR="00E3434F" w:rsidRPr="004A0446" w:rsidRDefault="00E3434F" w:rsidP="0051150B">
      <w:pPr>
        <w:tabs>
          <w:tab w:val="left" w:pos="1134"/>
        </w:tabs>
        <w:ind w:left="1134" w:right="567"/>
        <w:jc w:val="both"/>
        <w:rPr>
          <w:rFonts w:ascii="Abadi" w:hAnsi="Abadi" w:cs="Arial"/>
          <w:sz w:val="21"/>
          <w:szCs w:val="21"/>
        </w:rPr>
      </w:pPr>
    </w:p>
    <w:p w14:paraId="2FF7774A" w14:textId="77777777" w:rsidR="00E3434F" w:rsidRPr="004A0446" w:rsidRDefault="00E3434F" w:rsidP="0051150B">
      <w:pPr>
        <w:ind w:left="1134" w:right="567"/>
        <w:jc w:val="both"/>
        <w:rPr>
          <w:rFonts w:ascii="Abadi" w:hAnsi="Abadi" w:cs="Arial"/>
          <w:sz w:val="21"/>
          <w:szCs w:val="21"/>
        </w:rPr>
      </w:pPr>
      <w:r w:rsidRPr="004A0446">
        <w:rPr>
          <w:rFonts w:ascii="Abadi" w:hAnsi="Abadi" w:cs="Arial"/>
          <w:sz w:val="21"/>
          <w:szCs w:val="21"/>
        </w:rPr>
        <w:t>Esto fue así hasta a principios de la década de los 80, en que la salubridad general fue comprendida en un concepto más amplio, el derecho a la protección de la salud, reconocido en el artículo 4o. constitucional, por virtud del Decreto por el que se adiciona con un párrafo penúltimo el artículo 4o. de la Constitución Política de los Estados Unidos Mexicanos publicado el 3 de febrero de 1983 en el Diario Oficial de la Federación.</w:t>
      </w:r>
    </w:p>
    <w:p w14:paraId="43A820B5" w14:textId="77777777" w:rsidR="00E3434F" w:rsidRPr="004A0446" w:rsidRDefault="00E3434F" w:rsidP="0051150B">
      <w:pPr>
        <w:ind w:left="1134" w:right="567"/>
        <w:jc w:val="both"/>
        <w:rPr>
          <w:rFonts w:ascii="Abadi" w:hAnsi="Abadi" w:cs="Arial"/>
          <w:sz w:val="21"/>
          <w:szCs w:val="21"/>
        </w:rPr>
      </w:pPr>
    </w:p>
    <w:p w14:paraId="23FBA865" w14:textId="77777777" w:rsidR="00E3434F" w:rsidRPr="004A0446" w:rsidRDefault="00E3434F" w:rsidP="0051150B">
      <w:pPr>
        <w:ind w:left="1134" w:right="567"/>
        <w:jc w:val="both"/>
        <w:rPr>
          <w:rFonts w:ascii="Abadi" w:hAnsi="Abadi" w:cs="Arial"/>
          <w:sz w:val="21"/>
          <w:szCs w:val="21"/>
        </w:rPr>
      </w:pPr>
      <w:r w:rsidRPr="004A0446">
        <w:rPr>
          <w:rFonts w:ascii="Abadi" w:hAnsi="Abadi" w:cs="Arial"/>
          <w:sz w:val="21"/>
          <w:szCs w:val="21"/>
        </w:rPr>
        <w:t>Ya no se trataba del concepto asistencialista predominante en los dos primeros tercios del siglo XX, sino que se reconoció un derecho a la población y en consecuencia, el Estado asumió la responsabilidad de adoptar todas las medidas necesarias y a su alcance para hacerlo efectivo.</w:t>
      </w:r>
    </w:p>
    <w:p w14:paraId="0877E464" w14:textId="77777777" w:rsidR="00E3434F" w:rsidRPr="004A0446" w:rsidRDefault="00E3434F" w:rsidP="0051150B">
      <w:pPr>
        <w:ind w:right="567" w:firstLine="709"/>
        <w:jc w:val="both"/>
        <w:rPr>
          <w:rFonts w:ascii="Abadi" w:hAnsi="Abadi" w:cs="Arial"/>
          <w:sz w:val="21"/>
          <w:szCs w:val="21"/>
        </w:rPr>
      </w:pPr>
    </w:p>
    <w:p w14:paraId="7A817E8E" w14:textId="77777777" w:rsidR="00E3434F" w:rsidRPr="004A0446" w:rsidRDefault="00E3434F" w:rsidP="0051150B">
      <w:pPr>
        <w:ind w:left="1134" w:right="567"/>
        <w:jc w:val="both"/>
        <w:rPr>
          <w:rFonts w:ascii="Abadi" w:hAnsi="Abadi" w:cs="Arial"/>
          <w:sz w:val="21"/>
          <w:szCs w:val="21"/>
        </w:rPr>
      </w:pPr>
      <w:r w:rsidRPr="004A0446">
        <w:rPr>
          <w:rFonts w:ascii="Abadi" w:hAnsi="Abadi" w:cs="Arial"/>
          <w:sz w:val="21"/>
          <w:szCs w:val="21"/>
        </w:rPr>
        <w:t>De lo dispuesto en el precepto constitucional citado, se desprende lo siguiente:</w:t>
      </w:r>
    </w:p>
    <w:p w14:paraId="54E1108F" w14:textId="77777777" w:rsidR="00E3434F" w:rsidRPr="004A0446" w:rsidRDefault="00E3434F" w:rsidP="0051150B">
      <w:pPr>
        <w:ind w:right="567" w:firstLine="1134"/>
        <w:jc w:val="both"/>
        <w:rPr>
          <w:rFonts w:ascii="Abadi" w:hAnsi="Abadi" w:cs="Arial"/>
          <w:sz w:val="21"/>
          <w:szCs w:val="21"/>
        </w:rPr>
      </w:pPr>
    </w:p>
    <w:p w14:paraId="59452B45" w14:textId="77777777" w:rsidR="00E3434F" w:rsidRPr="004A0446" w:rsidRDefault="00E3434F" w:rsidP="0051150B">
      <w:pPr>
        <w:ind w:left="1701" w:right="567" w:hanging="283"/>
        <w:jc w:val="both"/>
        <w:rPr>
          <w:rFonts w:ascii="Abadi" w:hAnsi="Abadi" w:cs="Arial"/>
          <w:sz w:val="21"/>
          <w:szCs w:val="21"/>
        </w:rPr>
      </w:pPr>
      <w:r w:rsidRPr="004A0446">
        <w:rPr>
          <w:rFonts w:ascii="Abadi" w:hAnsi="Abadi" w:cs="Arial"/>
          <w:b/>
          <w:bCs/>
          <w:sz w:val="21"/>
          <w:szCs w:val="21"/>
        </w:rPr>
        <w:t>1.</w:t>
      </w:r>
      <w:r w:rsidRPr="004A0446">
        <w:rPr>
          <w:rFonts w:ascii="Abadi" w:hAnsi="Abadi" w:cs="Arial"/>
          <w:sz w:val="21"/>
          <w:szCs w:val="21"/>
        </w:rPr>
        <w:tab/>
        <w:t>Se reconoce constitucionalmente la concurrencia en materia de salubridad general, no respecto del derecho a la protección de la salud.</w:t>
      </w:r>
    </w:p>
    <w:p w14:paraId="4D99D06E" w14:textId="77777777" w:rsidR="00E3434F" w:rsidRDefault="00E3434F" w:rsidP="0051150B">
      <w:pPr>
        <w:ind w:left="1701" w:right="567" w:hanging="283"/>
        <w:jc w:val="both"/>
        <w:rPr>
          <w:rFonts w:ascii="Abadi" w:hAnsi="Abadi" w:cs="Arial"/>
          <w:sz w:val="21"/>
          <w:szCs w:val="21"/>
        </w:rPr>
      </w:pPr>
      <w:r w:rsidRPr="004A0446">
        <w:rPr>
          <w:rFonts w:ascii="Abadi" w:hAnsi="Abadi" w:cs="Arial"/>
          <w:b/>
          <w:bCs/>
          <w:sz w:val="21"/>
          <w:szCs w:val="21"/>
        </w:rPr>
        <w:t>2.</w:t>
      </w:r>
      <w:r w:rsidRPr="004A0446">
        <w:rPr>
          <w:rFonts w:ascii="Abadi" w:hAnsi="Abadi" w:cs="Arial"/>
          <w:sz w:val="21"/>
          <w:szCs w:val="21"/>
        </w:rPr>
        <w:tab/>
        <w:t>El constituyente dejó en el Congreso de la Unión la facultad de determinar la participación que corresponde a la Federación y a las entidades federativas en la materia.</w:t>
      </w:r>
    </w:p>
    <w:p w14:paraId="20DDE80D" w14:textId="77777777" w:rsidR="00E3434F" w:rsidRPr="004A0446" w:rsidRDefault="00E3434F" w:rsidP="0051150B">
      <w:pPr>
        <w:ind w:left="1701" w:right="567" w:hanging="283"/>
        <w:jc w:val="both"/>
        <w:rPr>
          <w:rFonts w:ascii="Abadi" w:hAnsi="Abadi" w:cs="Arial"/>
          <w:sz w:val="21"/>
          <w:szCs w:val="21"/>
        </w:rPr>
      </w:pPr>
    </w:p>
    <w:p w14:paraId="7C1BF743" w14:textId="77777777" w:rsidR="00E3434F" w:rsidRPr="004A0446" w:rsidRDefault="00E3434F" w:rsidP="0051150B">
      <w:pPr>
        <w:ind w:left="1418" w:right="567"/>
        <w:jc w:val="both"/>
        <w:rPr>
          <w:rFonts w:ascii="Abadi" w:hAnsi="Abadi" w:cs="Arial"/>
          <w:sz w:val="21"/>
          <w:szCs w:val="21"/>
        </w:rPr>
      </w:pPr>
      <w:r w:rsidRPr="004A0446">
        <w:rPr>
          <w:rFonts w:ascii="Abadi" w:hAnsi="Abadi" w:cs="Arial"/>
          <w:b/>
          <w:bCs/>
          <w:sz w:val="21"/>
          <w:szCs w:val="21"/>
        </w:rPr>
        <w:t>3.</w:t>
      </w:r>
      <w:r>
        <w:rPr>
          <w:rFonts w:ascii="Abadi" w:hAnsi="Abadi" w:cs="Arial"/>
          <w:sz w:val="21"/>
          <w:szCs w:val="21"/>
        </w:rPr>
        <w:t xml:space="preserve"> </w:t>
      </w:r>
      <w:r w:rsidRPr="004A0446">
        <w:rPr>
          <w:rFonts w:ascii="Abadi" w:hAnsi="Abadi" w:cs="Arial"/>
          <w:sz w:val="21"/>
          <w:szCs w:val="21"/>
        </w:rPr>
        <w:t>En la distribución de competencias debe atenderse a las bases establecidas</w:t>
      </w:r>
      <w:r>
        <w:rPr>
          <w:rFonts w:ascii="Abadi" w:hAnsi="Abadi" w:cs="Arial"/>
          <w:sz w:val="21"/>
          <w:szCs w:val="21"/>
        </w:rPr>
        <w:t xml:space="preserve"> </w:t>
      </w:r>
      <w:r w:rsidRPr="004A0446">
        <w:rPr>
          <w:rFonts w:ascii="Abadi" w:hAnsi="Abadi" w:cs="Arial"/>
          <w:sz w:val="21"/>
          <w:szCs w:val="21"/>
        </w:rPr>
        <w:t>en la fracción XVI del artículo 73 constitucional.</w:t>
      </w:r>
    </w:p>
    <w:p w14:paraId="57E9BC8D" w14:textId="77777777" w:rsidR="00E3434F" w:rsidRPr="004A0446" w:rsidRDefault="00E3434F" w:rsidP="0051150B">
      <w:pPr>
        <w:ind w:right="567" w:firstLine="1418"/>
        <w:jc w:val="both"/>
        <w:rPr>
          <w:rFonts w:ascii="Abadi" w:hAnsi="Abadi" w:cs="Arial"/>
          <w:sz w:val="21"/>
          <w:szCs w:val="21"/>
        </w:rPr>
      </w:pPr>
    </w:p>
    <w:p w14:paraId="3CF346C3" w14:textId="77777777" w:rsidR="00E3434F" w:rsidRPr="004A0446" w:rsidRDefault="00E3434F" w:rsidP="0051150B">
      <w:pPr>
        <w:ind w:left="1134" w:right="567"/>
        <w:jc w:val="both"/>
        <w:rPr>
          <w:rFonts w:ascii="Abadi" w:hAnsi="Abadi" w:cs="Arial"/>
          <w:sz w:val="21"/>
          <w:szCs w:val="21"/>
        </w:rPr>
      </w:pPr>
      <w:r w:rsidRPr="004A0446">
        <w:rPr>
          <w:rFonts w:ascii="Abadi" w:hAnsi="Abadi" w:cs="Arial"/>
          <w:sz w:val="21"/>
          <w:szCs w:val="21"/>
        </w:rPr>
        <w:t>La Ley General de Salud, publicada en el Diario Oficial de la Federación el 7 de febrero de 1984, reglamenta el derecho a la protección de la salud que tiene toda persona en los términos del artículo 4o. de la Constitución Política de los Estados Unidos Mexicanos, establece las bases y modalidades para el acceso a los servicios de salud y la concurrencia de la Federación y las entidades federativas en materia de salubridad general. Se aplica en toda la República y sus disposiciones son de orden público e interés social y contempla lo siguiente:</w:t>
      </w:r>
    </w:p>
    <w:p w14:paraId="5BEE8300" w14:textId="77777777" w:rsidR="00E3434F" w:rsidRPr="004A0446" w:rsidRDefault="00E3434F" w:rsidP="0051150B">
      <w:pPr>
        <w:ind w:left="1134" w:right="567"/>
        <w:jc w:val="both"/>
        <w:rPr>
          <w:rFonts w:ascii="Abadi" w:hAnsi="Abadi" w:cs="Arial"/>
          <w:sz w:val="21"/>
          <w:szCs w:val="21"/>
        </w:rPr>
      </w:pPr>
    </w:p>
    <w:p w14:paraId="682480DF" w14:textId="77777777" w:rsidR="00E3434F" w:rsidRPr="004A0446" w:rsidRDefault="00E3434F" w:rsidP="0051150B">
      <w:pPr>
        <w:ind w:left="1701" w:right="567"/>
        <w:jc w:val="both"/>
        <w:rPr>
          <w:rFonts w:ascii="Abadi" w:hAnsi="Abadi" w:cs="Arial"/>
          <w:sz w:val="21"/>
          <w:szCs w:val="21"/>
        </w:rPr>
      </w:pPr>
      <w:r w:rsidRPr="004A0446">
        <w:rPr>
          <w:rFonts w:ascii="Abadi" w:hAnsi="Abadi" w:cs="Arial"/>
          <w:sz w:val="21"/>
          <w:szCs w:val="21"/>
        </w:rPr>
        <w:t>«</w:t>
      </w:r>
      <w:r w:rsidRPr="004A0446">
        <w:rPr>
          <w:rFonts w:ascii="Abadi" w:hAnsi="Abadi" w:cs="Arial"/>
          <w:b/>
          <w:bCs/>
          <w:sz w:val="21"/>
          <w:szCs w:val="21"/>
        </w:rPr>
        <w:t>Artículo 3o.-</w:t>
      </w:r>
      <w:r w:rsidRPr="004A0446">
        <w:rPr>
          <w:rFonts w:ascii="Abadi" w:hAnsi="Abadi" w:cs="Arial"/>
          <w:sz w:val="21"/>
          <w:szCs w:val="21"/>
        </w:rPr>
        <w:t xml:space="preserve"> En los términos de esta Ley, </w:t>
      </w:r>
      <w:r w:rsidRPr="004A0446">
        <w:rPr>
          <w:rFonts w:ascii="Abadi" w:hAnsi="Abadi" w:cs="Arial"/>
          <w:sz w:val="21"/>
          <w:szCs w:val="21"/>
          <w:u w:val="single"/>
        </w:rPr>
        <w:t>es materia de salubridad general</w:t>
      </w:r>
      <w:r w:rsidRPr="004A0446">
        <w:rPr>
          <w:rFonts w:ascii="Abadi" w:hAnsi="Abadi" w:cs="Arial"/>
          <w:sz w:val="21"/>
          <w:szCs w:val="21"/>
        </w:rPr>
        <w:t>:</w:t>
      </w:r>
    </w:p>
    <w:p w14:paraId="5B70DE1A" w14:textId="77777777" w:rsidR="00E3434F" w:rsidRPr="004A0446" w:rsidRDefault="00E3434F" w:rsidP="0051150B">
      <w:pPr>
        <w:ind w:left="1560" w:right="567" w:firstLine="141"/>
        <w:jc w:val="both"/>
        <w:rPr>
          <w:rFonts w:ascii="Abadi" w:hAnsi="Abadi" w:cs="Arial"/>
          <w:sz w:val="21"/>
          <w:szCs w:val="21"/>
        </w:rPr>
      </w:pPr>
    </w:p>
    <w:p w14:paraId="1405654A" w14:textId="77777777" w:rsidR="00E3434F" w:rsidRPr="004A0446" w:rsidRDefault="00E3434F" w:rsidP="0051150B">
      <w:pPr>
        <w:ind w:left="1701" w:right="567"/>
        <w:jc w:val="both"/>
        <w:rPr>
          <w:rFonts w:ascii="Abadi" w:hAnsi="Abadi" w:cs="Arial"/>
          <w:sz w:val="21"/>
          <w:szCs w:val="21"/>
          <w:u w:val="single"/>
        </w:rPr>
      </w:pPr>
      <w:r w:rsidRPr="004A0446">
        <w:rPr>
          <w:rFonts w:ascii="Abadi" w:hAnsi="Abadi" w:cs="Arial"/>
          <w:b/>
          <w:bCs/>
          <w:sz w:val="21"/>
          <w:szCs w:val="21"/>
        </w:rPr>
        <w:t>XXVIII.</w:t>
      </w:r>
      <w:r w:rsidRPr="004A0446">
        <w:rPr>
          <w:rFonts w:ascii="Abadi" w:hAnsi="Abadi" w:cs="Arial"/>
          <w:sz w:val="21"/>
          <w:szCs w:val="21"/>
        </w:rPr>
        <w:t xml:space="preserve"> </w:t>
      </w:r>
      <w:r w:rsidRPr="004A0446">
        <w:rPr>
          <w:rFonts w:ascii="Abadi" w:hAnsi="Abadi" w:cs="Arial"/>
          <w:sz w:val="21"/>
          <w:szCs w:val="21"/>
          <w:u w:val="single"/>
        </w:rPr>
        <w:t>Las demás materias que establezca esta Ley y otros ordenamientos legales, de conformidad con el párrafo tercero del Artículo 4o. Constitucional.</w:t>
      </w:r>
    </w:p>
    <w:p w14:paraId="2E0B7331" w14:textId="77777777" w:rsidR="00E3434F" w:rsidRPr="004A0446" w:rsidRDefault="00E3434F" w:rsidP="0051150B">
      <w:pPr>
        <w:ind w:left="1701" w:right="567"/>
        <w:jc w:val="both"/>
        <w:rPr>
          <w:rFonts w:ascii="Abadi" w:hAnsi="Abadi" w:cs="Arial"/>
          <w:sz w:val="21"/>
          <w:szCs w:val="21"/>
        </w:rPr>
      </w:pPr>
    </w:p>
    <w:p w14:paraId="084EF832" w14:textId="77777777" w:rsidR="00E3434F" w:rsidRPr="004A0446" w:rsidRDefault="00E3434F" w:rsidP="0051150B">
      <w:pPr>
        <w:ind w:left="1701" w:right="567"/>
        <w:jc w:val="both"/>
        <w:rPr>
          <w:rFonts w:ascii="Abadi" w:hAnsi="Abadi" w:cs="Arial"/>
          <w:sz w:val="21"/>
          <w:szCs w:val="21"/>
        </w:rPr>
      </w:pPr>
      <w:r w:rsidRPr="004A0446">
        <w:rPr>
          <w:rFonts w:ascii="Abadi" w:hAnsi="Abadi" w:cs="Arial"/>
          <w:b/>
          <w:bCs/>
          <w:sz w:val="21"/>
          <w:szCs w:val="21"/>
        </w:rPr>
        <w:t>Artículo 7o.-</w:t>
      </w:r>
      <w:r w:rsidRPr="004A0446">
        <w:rPr>
          <w:rFonts w:ascii="Abadi" w:hAnsi="Abadi" w:cs="Arial"/>
          <w:sz w:val="21"/>
          <w:szCs w:val="21"/>
        </w:rPr>
        <w:t xml:space="preserve"> </w:t>
      </w:r>
      <w:r w:rsidRPr="004A0446">
        <w:rPr>
          <w:rFonts w:ascii="Abadi" w:hAnsi="Abadi" w:cs="Arial"/>
          <w:sz w:val="21"/>
          <w:szCs w:val="21"/>
          <w:u w:val="single"/>
        </w:rPr>
        <w:t>La coordinación del Sistema Nacional de Salud estará a cargo de la Secretaría de Salud</w:t>
      </w:r>
      <w:r w:rsidRPr="004A0446">
        <w:rPr>
          <w:rFonts w:ascii="Abadi" w:hAnsi="Abadi" w:cs="Arial"/>
          <w:sz w:val="21"/>
          <w:szCs w:val="21"/>
        </w:rPr>
        <w:t>, correspondiéndole a ésta:</w:t>
      </w:r>
    </w:p>
    <w:p w14:paraId="58943E06" w14:textId="77777777" w:rsidR="00E3434F" w:rsidRPr="004A0446" w:rsidRDefault="00E3434F" w:rsidP="0051150B">
      <w:pPr>
        <w:ind w:left="1701" w:right="567"/>
        <w:jc w:val="both"/>
        <w:rPr>
          <w:rFonts w:ascii="Abadi" w:hAnsi="Abadi" w:cs="Arial"/>
          <w:sz w:val="21"/>
          <w:szCs w:val="21"/>
        </w:rPr>
      </w:pPr>
    </w:p>
    <w:p w14:paraId="4A1C5E4C" w14:textId="77777777" w:rsidR="00E3434F" w:rsidRPr="004A0446" w:rsidRDefault="00E3434F" w:rsidP="0051150B">
      <w:pPr>
        <w:ind w:left="1701" w:right="567"/>
        <w:jc w:val="both"/>
        <w:rPr>
          <w:rFonts w:ascii="Abadi" w:hAnsi="Abadi" w:cs="Arial"/>
          <w:sz w:val="21"/>
          <w:szCs w:val="21"/>
        </w:rPr>
      </w:pPr>
      <w:r w:rsidRPr="004A0446">
        <w:rPr>
          <w:rFonts w:ascii="Abadi" w:hAnsi="Abadi" w:cs="Arial"/>
          <w:b/>
          <w:bCs/>
          <w:sz w:val="21"/>
          <w:szCs w:val="21"/>
        </w:rPr>
        <w:t>I.</w:t>
      </w:r>
      <w:r w:rsidRPr="004A0446">
        <w:rPr>
          <w:rFonts w:ascii="Abadi" w:hAnsi="Abadi" w:cs="Arial"/>
          <w:sz w:val="21"/>
          <w:szCs w:val="21"/>
        </w:rPr>
        <w:t xml:space="preserve"> </w:t>
      </w:r>
      <w:r w:rsidRPr="004A0446">
        <w:rPr>
          <w:rFonts w:ascii="Abadi" w:hAnsi="Abadi" w:cs="Arial"/>
          <w:sz w:val="21"/>
          <w:szCs w:val="21"/>
          <w:u w:val="single"/>
        </w:rPr>
        <w:t>Establecer y conducir la política nacional en materia de salud</w:t>
      </w:r>
      <w:r w:rsidRPr="004A0446">
        <w:rPr>
          <w:rFonts w:ascii="Abadi" w:hAnsi="Abadi" w:cs="Arial"/>
          <w:sz w:val="21"/>
          <w:szCs w:val="21"/>
        </w:rPr>
        <w:t>, en los términos de las leyes aplicables y de conformidad con lo dispuesto por el Ejecutivo Federal;</w:t>
      </w:r>
    </w:p>
    <w:p w14:paraId="3D5A5596" w14:textId="77777777" w:rsidR="00E3434F" w:rsidRPr="004A0446" w:rsidRDefault="00E3434F" w:rsidP="0051150B">
      <w:pPr>
        <w:ind w:left="1701" w:right="567"/>
        <w:jc w:val="both"/>
        <w:rPr>
          <w:rFonts w:ascii="Abadi" w:hAnsi="Abadi" w:cs="Arial"/>
          <w:sz w:val="21"/>
          <w:szCs w:val="21"/>
        </w:rPr>
      </w:pPr>
    </w:p>
    <w:p w14:paraId="4D923C60" w14:textId="77777777" w:rsidR="00E3434F" w:rsidRPr="004A0446" w:rsidRDefault="00E3434F" w:rsidP="0051150B">
      <w:pPr>
        <w:ind w:left="1701" w:right="567"/>
        <w:jc w:val="both"/>
        <w:rPr>
          <w:rFonts w:ascii="Abadi" w:hAnsi="Abadi" w:cs="Arial"/>
          <w:sz w:val="21"/>
          <w:szCs w:val="21"/>
        </w:rPr>
      </w:pPr>
      <w:r w:rsidRPr="004A0446">
        <w:rPr>
          <w:rFonts w:ascii="Abadi" w:hAnsi="Abadi" w:cs="Arial"/>
          <w:b/>
          <w:bCs/>
          <w:sz w:val="21"/>
          <w:szCs w:val="21"/>
        </w:rPr>
        <w:t>XV.</w:t>
      </w:r>
      <w:r w:rsidRPr="004A0446">
        <w:rPr>
          <w:rFonts w:ascii="Abadi" w:hAnsi="Abadi" w:cs="Arial"/>
          <w:sz w:val="21"/>
          <w:szCs w:val="21"/>
        </w:rPr>
        <w:t xml:space="preserve"> Las demás atribuciones, afines a las anteriores, que se requieran para el cumplimiento de los objetivos del Sistema Nacional de Salud, y las que determinen las disposiciones generales aplicables.</w:t>
      </w:r>
    </w:p>
    <w:p w14:paraId="7E230364" w14:textId="77777777" w:rsidR="00E3434F" w:rsidRPr="004A0446" w:rsidRDefault="00E3434F" w:rsidP="0051150B">
      <w:pPr>
        <w:ind w:left="1701" w:right="567"/>
        <w:jc w:val="both"/>
        <w:rPr>
          <w:rFonts w:ascii="Abadi" w:hAnsi="Abadi" w:cs="Arial"/>
          <w:sz w:val="21"/>
          <w:szCs w:val="21"/>
        </w:rPr>
      </w:pPr>
    </w:p>
    <w:p w14:paraId="20460F56" w14:textId="77777777" w:rsidR="00E3434F" w:rsidRPr="004A0446" w:rsidRDefault="00E3434F" w:rsidP="0051150B">
      <w:pPr>
        <w:ind w:left="1701" w:right="567"/>
        <w:jc w:val="both"/>
        <w:rPr>
          <w:rFonts w:ascii="Abadi" w:hAnsi="Abadi" w:cs="Arial"/>
          <w:sz w:val="21"/>
          <w:szCs w:val="21"/>
        </w:rPr>
      </w:pPr>
      <w:r w:rsidRPr="004A0446">
        <w:rPr>
          <w:rFonts w:ascii="Abadi" w:hAnsi="Abadi" w:cs="Arial"/>
          <w:b/>
          <w:bCs/>
          <w:sz w:val="21"/>
          <w:szCs w:val="21"/>
        </w:rPr>
        <w:t>Artículo 13.</w:t>
      </w:r>
      <w:r w:rsidRPr="004A0446">
        <w:rPr>
          <w:rFonts w:ascii="Abadi" w:hAnsi="Abadi" w:cs="Arial"/>
          <w:sz w:val="21"/>
          <w:szCs w:val="21"/>
        </w:rPr>
        <w:t xml:space="preserve"> </w:t>
      </w:r>
      <w:r w:rsidRPr="004A0446">
        <w:rPr>
          <w:rFonts w:ascii="Abadi" w:hAnsi="Abadi" w:cs="Arial"/>
          <w:sz w:val="21"/>
          <w:szCs w:val="21"/>
          <w:u w:val="single"/>
        </w:rPr>
        <w:t>La competencia entre la Federación y las entidades</w:t>
      </w:r>
      <w:r>
        <w:rPr>
          <w:rFonts w:ascii="Abadi" w:hAnsi="Abadi" w:cs="Arial"/>
          <w:sz w:val="21"/>
          <w:szCs w:val="21"/>
          <w:u w:val="single"/>
        </w:rPr>
        <w:t xml:space="preserve"> </w:t>
      </w:r>
      <w:r w:rsidRPr="004A0446">
        <w:rPr>
          <w:rFonts w:ascii="Abadi" w:hAnsi="Abadi" w:cs="Arial"/>
          <w:sz w:val="21"/>
          <w:szCs w:val="21"/>
          <w:u w:val="single"/>
        </w:rPr>
        <w:t>federativas en materia de salubridad general</w:t>
      </w:r>
      <w:r w:rsidRPr="004A0446">
        <w:rPr>
          <w:rFonts w:ascii="Abadi" w:hAnsi="Abadi" w:cs="Arial"/>
          <w:sz w:val="21"/>
          <w:szCs w:val="21"/>
        </w:rPr>
        <w:t xml:space="preserve"> quedará distribuida conforme a lo siguiente:</w:t>
      </w:r>
    </w:p>
    <w:p w14:paraId="3AC72165" w14:textId="77777777" w:rsidR="00E3434F" w:rsidRPr="004A0446" w:rsidRDefault="00E3434F" w:rsidP="0051150B">
      <w:pPr>
        <w:ind w:left="1701" w:right="567"/>
        <w:jc w:val="both"/>
        <w:rPr>
          <w:rFonts w:ascii="Abadi" w:hAnsi="Abadi" w:cs="Arial"/>
          <w:sz w:val="21"/>
          <w:szCs w:val="21"/>
        </w:rPr>
      </w:pPr>
    </w:p>
    <w:p w14:paraId="045900A7" w14:textId="77777777" w:rsidR="00E3434F" w:rsidRPr="004A0446" w:rsidRDefault="00E3434F" w:rsidP="0051150B">
      <w:pPr>
        <w:ind w:left="1701" w:right="567"/>
        <w:jc w:val="both"/>
        <w:rPr>
          <w:rFonts w:ascii="Abadi" w:hAnsi="Abadi" w:cs="Arial"/>
          <w:sz w:val="21"/>
          <w:szCs w:val="21"/>
          <w:u w:val="single"/>
        </w:rPr>
      </w:pPr>
      <w:r w:rsidRPr="004A0446">
        <w:rPr>
          <w:rFonts w:ascii="Abadi" w:hAnsi="Abadi" w:cs="Arial"/>
          <w:b/>
          <w:bCs/>
          <w:sz w:val="21"/>
          <w:szCs w:val="21"/>
        </w:rPr>
        <w:t>A.</w:t>
      </w:r>
      <w:r w:rsidRPr="004A0446">
        <w:rPr>
          <w:rFonts w:ascii="Abadi" w:hAnsi="Abadi" w:cs="Arial"/>
          <w:sz w:val="21"/>
          <w:szCs w:val="21"/>
        </w:rPr>
        <w:t xml:space="preserve"> </w:t>
      </w:r>
      <w:r w:rsidRPr="004A0446">
        <w:rPr>
          <w:rFonts w:ascii="Abadi" w:hAnsi="Abadi" w:cs="Arial"/>
          <w:sz w:val="21"/>
          <w:szCs w:val="21"/>
          <w:u w:val="single"/>
        </w:rPr>
        <w:t>Corresponde al Ejecutivo Federal, por conducto de la Secretaría de Salud:</w:t>
      </w:r>
    </w:p>
    <w:p w14:paraId="657ABBCA" w14:textId="77777777" w:rsidR="00E3434F" w:rsidRPr="004A0446" w:rsidRDefault="00E3434F" w:rsidP="0051150B">
      <w:pPr>
        <w:ind w:left="1701" w:right="567"/>
        <w:jc w:val="both"/>
        <w:rPr>
          <w:rFonts w:ascii="Abadi" w:hAnsi="Abadi" w:cs="Arial"/>
          <w:sz w:val="21"/>
          <w:szCs w:val="21"/>
          <w:u w:val="single"/>
        </w:rPr>
      </w:pPr>
    </w:p>
    <w:p w14:paraId="30832C45" w14:textId="77777777" w:rsidR="00E3434F" w:rsidRPr="004A0446" w:rsidRDefault="00E3434F" w:rsidP="0051150B">
      <w:pPr>
        <w:ind w:left="1701" w:right="567"/>
        <w:jc w:val="both"/>
        <w:rPr>
          <w:rFonts w:ascii="Abadi" w:hAnsi="Abadi" w:cs="Arial"/>
          <w:sz w:val="21"/>
          <w:szCs w:val="21"/>
        </w:rPr>
      </w:pPr>
      <w:r w:rsidRPr="004A0446">
        <w:rPr>
          <w:rFonts w:ascii="Abadi" w:hAnsi="Abadi" w:cs="Arial"/>
          <w:b/>
          <w:bCs/>
          <w:sz w:val="21"/>
          <w:szCs w:val="21"/>
          <w:u w:val="single"/>
        </w:rPr>
        <w:t>IX.</w:t>
      </w:r>
      <w:r w:rsidRPr="004A0446">
        <w:rPr>
          <w:rFonts w:ascii="Abadi" w:hAnsi="Abadi" w:cs="Arial"/>
          <w:sz w:val="21"/>
          <w:szCs w:val="21"/>
          <w:u w:val="single"/>
        </w:rPr>
        <w:t xml:space="preserve"> Ejercer la coordinación y la vigilancia general del cumplimiento de las disposiciones de esta Ley y demás normas aplicables en materia de salubridad general</w:t>
      </w:r>
      <w:r w:rsidRPr="004A0446">
        <w:rPr>
          <w:rFonts w:ascii="Abadi" w:hAnsi="Abadi" w:cs="Arial"/>
          <w:sz w:val="21"/>
          <w:szCs w:val="21"/>
        </w:rPr>
        <w:t>, y</w:t>
      </w:r>
    </w:p>
    <w:p w14:paraId="33461E85" w14:textId="77777777" w:rsidR="00E3434F" w:rsidRPr="004A0446" w:rsidRDefault="00E3434F" w:rsidP="0051150B">
      <w:pPr>
        <w:ind w:left="1701" w:right="567"/>
        <w:jc w:val="both"/>
        <w:rPr>
          <w:rFonts w:ascii="Abadi" w:hAnsi="Abadi" w:cs="Arial"/>
          <w:sz w:val="21"/>
          <w:szCs w:val="21"/>
        </w:rPr>
      </w:pPr>
    </w:p>
    <w:p w14:paraId="240DAAC9" w14:textId="77777777" w:rsidR="00E3434F" w:rsidRPr="004A0446" w:rsidRDefault="00E3434F" w:rsidP="0051150B">
      <w:pPr>
        <w:ind w:left="1701" w:right="567"/>
        <w:jc w:val="both"/>
        <w:rPr>
          <w:rFonts w:ascii="Abadi" w:hAnsi="Abadi" w:cs="Arial"/>
          <w:sz w:val="21"/>
          <w:szCs w:val="21"/>
          <w:u w:val="single"/>
        </w:rPr>
      </w:pPr>
      <w:r w:rsidRPr="004A0446">
        <w:rPr>
          <w:rFonts w:ascii="Abadi" w:hAnsi="Abadi" w:cs="Arial"/>
          <w:b/>
          <w:bCs/>
          <w:sz w:val="21"/>
          <w:szCs w:val="21"/>
        </w:rPr>
        <w:t>X.</w:t>
      </w:r>
      <w:r w:rsidRPr="004A0446">
        <w:rPr>
          <w:rFonts w:ascii="Abadi" w:hAnsi="Abadi" w:cs="Arial"/>
          <w:sz w:val="21"/>
          <w:szCs w:val="21"/>
        </w:rPr>
        <w:t xml:space="preserve"> </w:t>
      </w:r>
      <w:r w:rsidRPr="004A0446">
        <w:rPr>
          <w:rFonts w:ascii="Abadi" w:hAnsi="Abadi" w:cs="Arial"/>
          <w:sz w:val="21"/>
          <w:szCs w:val="21"/>
          <w:u w:val="single"/>
        </w:rPr>
        <w:t>Las demás que sean necesarias para hacer efectivas las facultades anteriores y las que se establezcan en esta Ley y en otras disposiciones generales aplicables.</w:t>
      </w:r>
    </w:p>
    <w:p w14:paraId="3B5DAC06" w14:textId="77777777" w:rsidR="00E3434F" w:rsidRPr="004A0446" w:rsidRDefault="00E3434F" w:rsidP="0051150B">
      <w:pPr>
        <w:ind w:left="1134" w:right="567"/>
        <w:jc w:val="both"/>
        <w:rPr>
          <w:rFonts w:ascii="Abadi" w:hAnsi="Abadi" w:cs="Arial"/>
          <w:sz w:val="21"/>
          <w:szCs w:val="21"/>
          <w:u w:val="single"/>
        </w:rPr>
      </w:pPr>
    </w:p>
    <w:p w14:paraId="139D3534" w14:textId="77777777" w:rsidR="00E3434F" w:rsidRPr="004A0446" w:rsidRDefault="00E3434F" w:rsidP="0051150B">
      <w:pPr>
        <w:ind w:left="1134" w:right="567"/>
        <w:jc w:val="both"/>
        <w:rPr>
          <w:rFonts w:ascii="Abadi" w:hAnsi="Abadi" w:cs="Arial"/>
          <w:sz w:val="21"/>
          <w:szCs w:val="21"/>
        </w:rPr>
      </w:pPr>
      <w:r w:rsidRPr="004A0446">
        <w:rPr>
          <w:rFonts w:ascii="Abadi" w:hAnsi="Abadi" w:cs="Arial"/>
          <w:sz w:val="21"/>
          <w:szCs w:val="21"/>
        </w:rPr>
        <w:t>De conformidad con la Ley General de Salud, las competencias normativas en materia de salubridad se distribuyen en dos ámbitos. Corresponde de manera exclusiva a la federación la regulación y operación en materia de salubridad general con la operación concurrente de las entidades federativas, y compete la regulación e implementación de la salubridad local a las entidades federativas.</w:t>
      </w:r>
    </w:p>
    <w:p w14:paraId="110EC943" w14:textId="77777777" w:rsidR="00E3434F" w:rsidRPr="004A0446" w:rsidRDefault="00E3434F" w:rsidP="0051150B">
      <w:pPr>
        <w:ind w:left="1134" w:right="567"/>
        <w:jc w:val="both"/>
        <w:rPr>
          <w:rFonts w:ascii="Abadi" w:hAnsi="Abadi" w:cs="Arial"/>
          <w:sz w:val="21"/>
          <w:szCs w:val="21"/>
        </w:rPr>
      </w:pPr>
    </w:p>
    <w:p w14:paraId="7F4BB9BF" w14:textId="77777777" w:rsidR="00E3434F" w:rsidRPr="004A0446" w:rsidRDefault="00E3434F" w:rsidP="0051150B">
      <w:pPr>
        <w:ind w:left="1134" w:right="567"/>
        <w:jc w:val="both"/>
        <w:rPr>
          <w:rFonts w:ascii="Abadi" w:hAnsi="Abadi" w:cs="Arial"/>
          <w:sz w:val="21"/>
          <w:szCs w:val="21"/>
        </w:rPr>
      </w:pPr>
      <w:r w:rsidRPr="004A0446">
        <w:rPr>
          <w:rFonts w:ascii="Abadi" w:hAnsi="Abadi" w:cs="Arial"/>
          <w:sz w:val="21"/>
          <w:szCs w:val="21"/>
        </w:rPr>
        <w:t>La Ley General de Salud hace la distribución de competencias en su artículo 13, de las facultades exclusivas del Ejecutivo Federal cabe destacar la facultad de expedir normas oficiales mexicanas, regular las acciones de ejercicio coordinado y las que corresponden a los gobiernos de las entidades federativas, en materia de salubridad general, así como a las autoridades locales en sus respectivas jurisdicciones territoriales. El ejercicio de la competencia en materia de salubridad general de manera concurrente se realiza en términos de la Ley General de Salud y sus reglamentos, las NOM, y las leyes de salud locales.</w:t>
      </w:r>
    </w:p>
    <w:p w14:paraId="1721CD40" w14:textId="77777777" w:rsidR="00E3434F" w:rsidRPr="004A0446" w:rsidRDefault="00E3434F" w:rsidP="0051150B">
      <w:pPr>
        <w:ind w:left="1134" w:right="567"/>
        <w:jc w:val="both"/>
        <w:rPr>
          <w:rFonts w:ascii="Abadi" w:hAnsi="Abadi" w:cs="Arial"/>
          <w:sz w:val="21"/>
          <w:szCs w:val="21"/>
        </w:rPr>
      </w:pPr>
    </w:p>
    <w:p w14:paraId="06CBC348" w14:textId="77777777" w:rsidR="00E3434F" w:rsidRPr="004A0446" w:rsidRDefault="00E3434F" w:rsidP="0051150B">
      <w:pPr>
        <w:ind w:left="1134" w:right="567"/>
        <w:jc w:val="both"/>
        <w:rPr>
          <w:rFonts w:ascii="Abadi" w:hAnsi="Abadi" w:cs="Arial"/>
          <w:b/>
          <w:bCs/>
          <w:sz w:val="21"/>
          <w:szCs w:val="21"/>
        </w:rPr>
      </w:pPr>
      <w:r w:rsidRPr="004A0446">
        <w:rPr>
          <w:rFonts w:ascii="Abadi" w:hAnsi="Abadi" w:cs="Arial"/>
          <w:b/>
          <w:bCs/>
          <w:sz w:val="21"/>
          <w:szCs w:val="21"/>
        </w:rPr>
        <w:t>III.3 Causas del suicido</w:t>
      </w:r>
    </w:p>
    <w:p w14:paraId="520F4904" w14:textId="77777777" w:rsidR="00E3434F" w:rsidRPr="004A0446" w:rsidRDefault="00E3434F" w:rsidP="0051150B">
      <w:pPr>
        <w:ind w:left="1134" w:right="567" w:firstLine="284"/>
        <w:jc w:val="both"/>
        <w:rPr>
          <w:rFonts w:ascii="Abadi" w:hAnsi="Abadi" w:cs="Arial"/>
          <w:sz w:val="21"/>
          <w:szCs w:val="21"/>
        </w:rPr>
      </w:pPr>
      <w:r w:rsidRPr="004A0446">
        <w:rPr>
          <w:rFonts w:ascii="Abadi" w:hAnsi="Abadi" w:cs="Arial"/>
          <w:sz w:val="21"/>
          <w:szCs w:val="21"/>
        </w:rPr>
        <w:t>Es necesario conocer cuáles son las causas que llevan a las personas al suicidio, lo cual se puede saber al tratar la salud mental de las personas, así como atacar cuestiones de fondo, es decir, generar condiciones para que las personas puedan acceder a una mejor educación, trabajo y salario.</w:t>
      </w:r>
    </w:p>
    <w:p w14:paraId="2F711092" w14:textId="77777777" w:rsidR="00E3434F" w:rsidRPr="004A0446" w:rsidRDefault="00E3434F" w:rsidP="0051150B">
      <w:pPr>
        <w:ind w:left="1134" w:right="567" w:firstLine="567"/>
        <w:jc w:val="both"/>
        <w:rPr>
          <w:rFonts w:ascii="Abadi" w:hAnsi="Abadi" w:cs="Arial"/>
          <w:sz w:val="21"/>
          <w:szCs w:val="21"/>
        </w:rPr>
      </w:pPr>
    </w:p>
    <w:p w14:paraId="1F957D05" w14:textId="77777777" w:rsidR="00E3434F" w:rsidRPr="004A0446" w:rsidRDefault="00E3434F" w:rsidP="0051150B">
      <w:pPr>
        <w:ind w:left="1134" w:right="567"/>
        <w:jc w:val="both"/>
        <w:rPr>
          <w:rFonts w:ascii="Abadi" w:hAnsi="Abadi" w:cs="Arial"/>
          <w:b/>
          <w:bCs/>
          <w:sz w:val="21"/>
          <w:szCs w:val="21"/>
        </w:rPr>
      </w:pPr>
      <w:r w:rsidRPr="004A0446">
        <w:rPr>
          <w:rFonts w:ascii="Abadi" w:hAnsi="Abadi" w:cs="Arial"/>
          <w:sz w:val="21"/>
          <w:szCs w:val="21"/>
        </w:rPr>
        <w:t xml:space="preserve">Al respecto, la Organización Mundial de la Salud en una publicación electrónica sobre el comportamiento suicida señala que: </w:t>
      </w:r>
      <w:r w:rsidRPr="004A0446">
        <w:rPr>
          <w:rFonts w:ascii="Abadi" w:hAnsi="Abadi" w:cs="Arial"/>
          <w:b/>
          <w:bCs/>
          <w:sz w:val="21"/>
          <w:szCs w:val="21"/>
        </w:rPr>
        <w:t>éste viene determinado por un gran número de causas complejas, tales como la pobreza, el desempleo, la pérdida de seres queridos, una discusión, la ruptura de relaciones y problemas jurídicos o laborales. Los antecedentes familiares de suicidio, así como el abuso de alcohol y estupefacientes, y los maltratos en la infancia, el aislamiento social y determinados trastornos mentales, como la depresión y la esquizofrenia, también tienen gran influencia en numerosos suicidios. Las enfermedades orgánicas y el dolor discapacitante también pueden incrementar el riesgo de suicidio.</w:t>
      </w:r>
      <w:r w:rsidRPr="004A0446">
        <w:rPr>
          <w:rFonts w:ascii="Abadi" w:hAnsi="Abadi" w:cs="Arial"/>
          <w:b/>
          <w:bCs/>
          <w:sz w:val="21"/>
          <w:szCs w:val="21"/>
          <w:vertAlign w:val="superscript"/>
        </w:rPr>
        <w:footnoteReference w:id="126"/>
      </w:r>
    </w:p>
    <w:p w14:paraId="44E9E356" w14:textId="77777777" w:rsidR="00E3434F" w:rsidRPr="004A0446" w:rsidRDefault="00E3434F" w:rsidP="0051150B">
      <w:pPr>
        <w:ind w:left="1134" w:right="567"/>
        <w:jc w:val="both"/>
        <w:rPr>
          <w:rFonts w:ascii="Abadi" w:hAnsi="Abadi" w:cs="Arial"/>
          <w:sz w:val="21"/>
          <w:szCs w:val="21"/>
        </w:rPr>
      </w:pPr>
    </w:p>
    <w:p w14:paraId="5BC32EC3" w14:textId="77777777" w:rsidR="00E3434F" w:rsidRPr="004A0446" w:rsidRDefault="00E3434F" w:rsidP="0051150B">
      <w:pPr>
        <w:ind w:left="1134" w:right="567"/>
        <w:jc w:val="both"/>
        <w:rPr>
          <w:rFonts w:ascii="Abadi" w:hAnsi="Abadi" w:cs="Arial"/>
          <w:sz w:val="21"/>
          <w:szCs w:val="21"/>
        </w:rPr>
      </w:pPr>
      <w:r w:rsidRPr="004A0446">
        <w:rPr>
          <w:rFonts w:ascii="Abadi" w:hAnsi="Abadi" w:cs="Arial"/>
          <w:sz w:val="21"/>
          <w:szCs w:val="21"/>
        </w:rPr>
        <w:t>Por esa razón se sugiere ponderar el impacto de creación de una ley en la resolución del problema, y su trascendencia en el fondo del problema, pues de lo contrario no se tendrán logros importantes en este tema.</w:t>
      </w:r>
    </w:p>
    <w:p w14:paraId="69E5C47B" w14:textId="77777777" w:rsidR="00E3434F" w:rsidRPr="004A0446" w:rsidRDefault="00E3434F" w:rsidP="0051150B">
      <w:pPr>
        <w:ind w:left="1134" w:right="567"/>
        <w:jc w:val="both"/>
        <w:rPr>
          <w:rFonts w:ascii="Abadi" w:hAnsi="Abadi" w:cs="Arial"/>
          <w:sz w:val="21"/>
          <w:szCs w:val="21"/>
        </w:rPr>
      </w:pPr>
    </w:p>
    <w:p w14:paraId="2EAF9420" w14:textId="77777777" w:rsidR="00E3434F" w:rsidRPr="004A0446" w:rsidRDefault="00E3434F" w:rsidP="0051150B">
      <w:pPr>
        <w:ind w:left="1134" w:right="567"/>
        <w:jc w:val="both"/>
        <w:rPr>
          <w:rFonts w:ascii="Abadi" w:hAnsi="Abadi" w:cs="Arial"/>
          <w:sz w:val="21"/>
          <w:szCs w:val="21"/>
        </w:rPr>
      </w:pPr>
      <w:r w:rsidRPr="004A0446">
        <w:rPr>
          <w:rFonts w:ascii="Abadi" w:hAnsi="Abadi" w:cs="Arial"/>
          <w:sz w:val="21"/>
          <w:szCs w:val="21"/>
        </w:rPr>
        <w:t xml:space="preserve">Además, se debe considerar la efectividad de expedir leyes específicas para cada padecimiento, pues no se debe perder de vista que las leyes regulan aspectos generales, con los cuales se busca abarcar la multiplicidad de supuestos, característica que poseen las Leyes Generales y Estatal de Salud, de manera que estas ya prevén el tema del suicidio. Es decir, los ordenamientos definen a la salud </w:t>
      </w:r>
    </w:p>
    <w:p w14:paraId="20D2699E" w14:textId="77777777" w:rsidR="00E3434F" w:rsidRPr="004A0446" w:rsidRDefault="00E3434F" w:rsidP="0051150B">
      <w:pPr>
        <w:ind w:left="1134" w:right="567"/>
        <w:jc w:val="both"/>
        <w:rPr>
          <w:rFonts w:ascii="Abadi" w:hAnsi="Abadi" w:cs="Arial"/>
          <w:sz w:val="21"/>
          <w:szCs w:val="21"/>
        </w:rPr>
      </w:pPr>
    </w:p>
    <w:p w14:paraId="432A8BA5" w14:textId="77777777" w:rsidR="00E3434F" w:rsidRPr="004A0446" w:rsidRDefault="00E3434F" w:rsidP="0051150B">
      <w:pPr>
        <w:ind w:left="1134" w:right="567"/>
        <w:jc w:val="both"/>
        <w:rPr>
          <w:rFonts w:ascii="Abadi" w:hAnsi="Abadi" w:cs="Arial"/>
          <w:sz w:val="21"/>
          <w:szCs w:val="21"/>
        </w:rPr>
      </w:pPr>
      <w:r w:rsidRPr="004A0446">
        <w:rPr>
          <w:rFonts w:ascii="Abadi" w:hAnsi="Abadi" w:cs="Arial"/>
          <w:sz w:val="21"/>
          <w:szCs w:val="21"/>
        </w:rPr>
        <w:t xml:space="preserve">Como un estado de completo bienestar físico, </w:t>
      </w:r>
      <w:r w:rsidRPr="004A0446">
        <w:rPr>
          <w:rFonts w:ascii="Abadi" w:hAnsi="Abadi" w:cs="Arial"/>
          <w:b/>
          <w:bCs/>
          <w:sz w:val="21"/>
          <w:szCs w:val="21"/>
        </w:rPr>
        <w:t xml:space="preserve">mental </w:t>
      </w:r>
      <w:r w:rsidRPr="004A0446">
        <w:rPr>
          <w:rFonts w:ascii="Abadi" w:hAnsi="Abadi" w:cs="Arial"/>
          <w:sz w:val="21"/>
          <w:szCs w:val="21"/>
        </w:rPr>
        <w:t xml:space="preserve">y social, y no solamente la ausencia de afecciones o enfermedades; disponen que algunas de las finalidades del derecho a la protección a la salud son el bienestar físico y </w:t>
      </w:r>
      <w:r w:rsidRPr="004A0446">
        <w:rPr>
          <w:rFonts w:ascii="Abadi" w:hAnsi="Abadi" w:cs="Arial"/>
          <w:b/>
          <w:bCs/>
          <w:sz w:val="21"/>
          <w:szCs w:val="21"/>
        </w:rPr>
        <w:t>mental</w:t>
      </w:r>
      <w:r w:rsidRPr="004A0446">
        <w:rPr>
          <w:rFonts w:ascii="Abadi" w:hAnsi="Abadi" w:cs="Arial"/>
          <w:sz w:val="21"/>
          <w:szCs w:val="21"/>
        </w:rPr>
        <w:t xml:space="preserve"> de la persona, para contribuir al ejercicio pleno de sus capacidades; así como la prolongación y mejoramiento de la calidad de la vida humana y, contemplan un apartado donde norman lo relativo a la salud mental.</w:t>
      </w:r>
    </w:p>
    <w:p w14:paraId="523C0A17" w14:textId="77777777" w:rsidR="00E3434F" w:rsidRPr="004A0446" w:rsidRDefault="00E3434F" w:rsidP="0051150B">
      <w:pPr>
        <w:ind w:left="1134" w:right="567"/>
        <w:jc w:val="both"/>
        <w:rPr>
          <w:rFonts w:ascii="Abadi" w:hAnsi="Abadi" w:cs="Arial"/>
          <w:sz w:val="21"/>
          <w:szCs w:val="21"/>
        </w:rPr>
      </w:pPr>
    </w:p>
    <w:p w14:paraId="645BE354" w14:textId="77777777" w:rsidR="00E3434F" w:rsidRPr="004A0446" w:rsidRDefault="00E3434F" w:rsidP="0051150B">
      <w:pPr>
        <w:ind w:left="1134" w:right="567"/>
        <w:jc w:val="both"/>
        <w:rPr>
          <w:rFonts w:ascii="Abadi" w:hAnsi="Abadi" w:cs="Arial"/>
          <w:sz w:val="21"/>
          <w:szCs w:val="21"/>
        </w:rPr>
      </w:pPr>
      <w:r w:rsidRPr="004A0446">
        <w:rPr>
          <w:rFonts w:ascii="Abadi" w:hAnsi="Abadi" w:cs="Arial"/>
          <w:sz w:val="21"/>
          <w:szCs w:val="21"/>
        </w:rPr>
        <w:t xml:space="preserve">De lo anterior, se desprende que si bien no se contempla expresamente la </w:t>
      </w:r>
      <w:r w:rsidRPr="004A0446">
        <w:rPr>
          <w:rFonts w:ascii="Abadi" w:hAnsi="Abadi" w:cs="Arial"/>
          <w:i/>
          <w:iCs/>
          <w:sz w:val="21"/>
          <w:szCs w:val="21"/>
        </w:rPr>
        <w:t>palabra suicidio</w:t>
      </w:r>
      <w:r w:rsidRPr="004A0446">
        <w:rPr>
          <w:rFonts w:ascii="Abadi" w:hAnsi="Abadi" w:cs="Arial"/>
          <w:sz w:val="21"/>
          <w:szCs w:val="21"/>
        </w:rPr>
        <w:t>, lo cierto es que del análisis se desprende que de la definición, fines y apartado, se atiende el tema del suicidio, pues ambos ordenamientos buscan el bienestar mental, la prolongación y mejoramiento de la vida de la persona, lo que va en contra de la definición de la palabra suicidio que de acuerdo con la Organización Mundial de la Salud es el acto deliberado de quitarse la vida.</w:t>
      </w:r>
    </w:p>
    <w:p w14:paraId="342CF897" w14:textId="77777777" w:rsidR="00E3434F" w:rsidRPr="004A0446" w:rsidRDefault="00E3434F" w:rsidP="0051150B">
      <w:pPr>
        <w:ind w:right="567" w:firstLine="709"/>
        <w:jc w:val="both"/>
        <w:rPr>
          <w:rFonts w:ascii="Abadi" w:hAnsi="Abadi" w:cs="Arial"/>
          <w:sz w:val="21"/>
          <w:szCs w:val="21"/>
        </w:rPr>
      </w:pPr>
    </w:p>
    <w:p w14:paraId="3C4981FC" w14:textId="77777777" w:rsidR="00E3434F" w:rsidRPr="004A0446" w:rsidRDefault="00E3434F" w:rsidP="0051150B">
      <w:pPr>
        <w:ind w:right="27" w:firstLine="1134"/>
        <w:jc w:val="both"/>
        <w:rPr>
          <w:rFonts w:ascii="Abadi" w:hAnsi="Abadi" w:cs="Arial"/>
          <w:b/>
          <w:bCs/>
          <w:sz w:val="21"/>
          <w:szCs w:val="21"/>
        </w:rPr>
      </w:pPr>
      <w:r w:rsidRPr="004A0446">
        <w:rPr>
          <w:rFonts w:ascii="Abadi" w:hAnsi="Abadi" w:cs="Arial"/>
          <w:b/>
          <w:bCs/>
          <w:sz w:val="21"/>
          <w:szCs w:val="21"/>
        </w:rPr>
        <w:t>III.4 Legislación similar en la materia</w:t>
      </w:r>
    </w:p>
    <w:p w14:paraId="6B0C852C" w14:textId="77777777" w:rsidR="00E3434F" w:rsidRPr="004A0446" w:rsidRDefault="00E3434F" w:rsidP="0051150B">
      <w:pPr>
        <w:ind w:left="1134" w:right="567"/>
        <w:jc w:val="both"/>
        <w:rPr>
          <w:rFonts w:ascii="Abadi" w:hAnsi="Abadi" w:cs="Arial"/>
          <w:sz w:val="21"/>
          <w:szCs w:val="21"/>
        </w:rPr>
      </w:pPr>
      <w:r w:rsidRPr="004A0446">
        <w:rPr>
          <w:rFonts w:ascii="Abadi" w:hAnsi="Abadi" w:cs="Arial"/>
          <w:sz w:val="21"/>
          <w:szCs w:val="21"/>
        </w:rPr>
        <w:t>La Ley de Salud del Estado de Guanajuato, contiene disposiciones de orden público e interés social, mismas que son de observancia obligatoria en el Estado de Guanajuato, y tienen como objeto normar el derecho a la protección de la salud que toda persona tiene garantizado en el Artículo 4º de la Constitución Política de los Estados Unidos Mexicanos, asimismo, establece las bases y modalidades para el acceso a los servicios de salud proporcionados por el Estado con la concurrencia de los municipios, en materia de salubridad local</w:t>
      </w:r>
      <w:r w:rsidRPr="004A0446">
        <w:rPr>
          <w:rFonts w:ascii="Abadi" w:hAnsi="Abadi" w:cs="Arial"/>
          <w:sz w:val="21"/>
          <w:szCs w:val="21"/>
          <w:vertAlign w:val="superscript"/>
        </w:rPr>
        <w:footnoteReference w:id="127"/>
      </w:r>
      <w:r w:rsidRPr="004A0446">
        <w:rPr>
          <w:rFonts w:ascii="Abadi" w:hAnsi="Abadi" w:cs="Arial"/>
          <w:sz w:val="21"/>
          <w:szCs w:val="21"/>
        </w:rPr>
        <w:t>.</w:t>
      </w:r>
    </w:p>
    <w:p w14:paraId="5A5DE703" w14:textId="77777777" w:rsidR="00E3434F" w:rsidRPr="004A0446" w:rsidRDefault="00E3434F" w:rsidP="0051150B">
      <w:pPr>
        <w:ind w:left="1134" w:right="567"/>
        <w:jc w:val="both"/>
        <w:rPr>
          <w:rFonts w:ascii="Abadi" w:hAnsi="Abadi" w:cs="Arial"/>
          <w:sz w:val="21"/>
          <w:szCs w:val="21"/>
        </w:rPr>
      </w:pPr>
    </w:p>
    <w:p w14:paraId="5F744C02" w14:textId="77777777" w:rsidR="00E3434F" w:rsidRPr="004A0446" w:rsidRDefault="00E3434F" w:rsidP="0051150B">
      <w:pPr>
        <w:ind w:left="1134" w:right="567"/>
        <w:jc w:val="both"/>
        <w:rPr>
          <w:rFonts w:ascii="Abadi" w:hAnsi="Abadi" w:cs="Arial"/>
          <w:sz w:val="21"/>
          <w:szCs w:val="21"/>
        </w:rPr>
      </w:pPr>
      <w:r w:rsidRPr="004A0446">
        <w:rPr>
          <w:rFonts w:ascii="Abadi" w:hAnsi="Abadi" w:cs="Arial"/>
          <w:sz w:val="21"/>
          <w:szCs w:val="21"/>
        </w:rPr>
        <w:t>Conforme a dicho dispositivo legal, se advierte que su obligatoriedad es para todos los entes que actúen dentro del territorio estatal, incluidos las dependencias y demás entidades estatales y municipales, el personal del sistema estatal de salud, los sectores e instituciones y la sociedad que señala el iniciante como instancias obligadas dentro del objetivo de la ley propuesta, luego entonces, ello ya se recoge dentro del objeto general de la ley de salud en comento.</w:t>
      </w:r>
    </w:p>
    <w:p w14:paraId="0B94D47A" w14:textId="77777777" w:rsidR="00E3434F" w:rsidRPr="004A0446" w:rsidRDefault="00E3434F" w:rsidP="0051150B">
      <w:pPr>
        <w:ind w:left="1134" w:right="567"/>
        <w:jc w:val="both"/>
        <w:rPr>
          <w:rFonts w:ascii="Abadi" w:hAnsi="Abadi" w:cs="Arial"/>
          <w:sz w:val="21"/>
          <w:szCs w:val="21"/>
        </w:rPr>
      </w:pPr>
    </w:p>
    <w:p w14:paraId="67A80770" w14:textId="77777777" w:rsidR="00E3434F" w:rsidRPr="004A0446" w:rsidRDefault="00E3434F" w:rsidP="0051150B">
      <w:pPr>
        <w:ind w:left="1134" w:right="567"/>
        <w:jc w:val="both"/>
        <w:rPr>
          <w:rFonts w:ascii="Abadi" w:hAnsi="Abadi" w:cs="Arial"/>
          <w:sz w:val="21"/>
          <w:szCs w:val="21"/>
        </w:rPr>
      </w:pPr>
      <w:r w:rsidRPr="004A0446">
        <w:rPr>
          <w:rFonts w:ascii="Abadi" w:hAnsi="Abadi" w:cs="Arial"/>
          <w:sz w:val="21"/>
          <w:szCs w:val="21"/>
        </w:rPr>
        <w:t>Adicional a ello, la misma ley, en su artículo 7 fracción XIX, establece específicamente el Sistema Estatal de Salud el cual está a cargo de la Secretaría de Salud del Estado, a la cual le corresponde coordinarse con las instituciones federales, estatales y municipales, y con la sociedad civil, para promover y apoyar la investigación de las causas del suicidio y de la conducta suicida, así como diseñar, proponer, desarrollar y aplicar acciones de prevención del suicidio, dirigidas particularmente a niñas, niños y adolescentes, así como a la población en general.</w:t>
      </w:r>
    </w:p>
    <w:p w14:paraId="34323997" w14:textId="77777777" w:rsidR="00E3434F" w:rsidRPr="004A0446" w:rsidRDefault="00E3434F" w:rsidP="0051150B">
      <w:pPr>
        <w:ind w:left="1134" w:right="567"/>
        <w:jc w:val="both"/>
        <w:rPr>
          <w:rFonts w:ascii="Abadi" w:hAnsi="Abadi" w:cs="Arial"/>
          <w:color w:val="FF0000"/>
          <w:sz w:val="21"/>
          <w:szCs w:val="21"/>
        </w:rPr>
      </w:pPr>
    </w:p>
    <w:p w14:paraId="05D830E6" w14:textId="77777777" w:rsidR="00E3434F" w:rsidRPr="004A0446" w:rsidRDefault="00E3434F" w:rsidP="0051150B">
      <w:pPr>
        <w:ind w:left="1134" w:right="567"/>
        <w:jc w:val="both"/>
        <w:rPr>
          <w:rFonts w:ascii="Abadi" w:hAnsi="Abadi" w:cs="Arial"/>
          <w:sz w:val="21"/>
          <w:szCs w:val="21"/>
        </w:rPr>
      </w:pPr>
      <w:r w:rsidRPr="004A0446">
        <w:rPr>
          <w:rFonts w:ascii="Abadi" w:hAnsi="Abadi" w:cs="Arial"/>
          <w:sz w:val="21"/>
          <w:szCs w:val="21"/>
        </w:rPr>
        <w:t>Conforme a lo anterior, se desprende entre otros, que la investigación de las causas del suicidio y de la conducta suicida, así como el desarrollo y aplicación de acciones de prevención en esa materia, están dirigidas para la población en general.</w:t>
      </w:r>
    </w:p>
    <w:p w14:paraId="51D88F44" w14:textId="77777777" w:rsidR="00E3434F" w:rsidRPr="004A0446" w:rsidRDefault="00E3434F" w:rsidP="0051150B">
      <w:pPr>
        <w:ind w:left="1134" w:right="567"/>
        <w:jc w:val="both"/>
        <w:rPr>
          <w:rFonts w:ascii="Abadi" w:hAnsi="Abadi" w:cs="Arial"/>
          <w:sz w:val="21"/>
          <w:szCs w:val="21"/>
        </w:rPr>
      </w:pPr>
    </w:p>
    <w:p w14:paraId="7BFD07E1" w14:textId="77777777" w:rsidR="00E3434F" w:rsidRPr="004A0446" w:rsidRDefault="00E3434F" w:rsidP="0051150B">
      <w:pPr>
        <w:ind w:left="1134" w:right="567"/>
        <w:jc w:val="both"/>
        <w:rPr>
          <w:rFonts w:ascii="Abadi" w:hAnsi="Abadi" w:cs="Arial"/>
          <w:sz w:val="21"/>
          <w:szCs w:val="21"/>
        </w:rPr>
      </w:pPr>
      <w:r w:rsidRPr="004A0446">
        <w:rPr>
          <w:rFonts w:ascii="Abadi" w:hAnsi="Abadi" w:cs="Arial"/>
          <w:sz w:val="21"/>
          <w:szCs w:val="21"/>
        </w:rPr>
        <w:t xml:space="preserve">No se omite mencionar que en lo concerniente a las niñas, niños y adolescentes, es la Procuraduría Estatal de Protección de Niñas, Niños y Adolescentes del Estado de Guanajuato quien se encarga de proteger integralmente y restituir en su caso, los derechos de las niñas, niños y adolescentes, lo cual abarca mínimamente la </w:t>
      </w:r>
      <w:r w:rsidRPr="004A0446">
        <w:rPr>
          <w:rFonts w:ascii="Abadi" w:hAnsi="Abadi" w:cs="Arial"/>
          <w:b/>
          <w:bCs/>
          <w:sz w:val="21"/>
          <w:szCs w:val="21"/>
        </w:rPr>
        <w:t>atención médica y psicológica</w:t>
      </w:r>
      <w:r w:rsidRPr="004A0446">
        <w:rPr>
          <w:rFonts w:ascii="Abadi" w:hAnsi="Abadi" w:cs="Arial"/>
          <w:sz w:val="21"/>
          <w:szCs w:val="21"/>
        </w:rPr>
        <w:t>, conforme a lo previsto por el artículo 27-1, fracción I, inciso a) de la Ley de los Derechos de Niñas, Niños y Adolescentes del Estado de Guanajuato</w:t>
      </w:r>
      <w:r w:rsidRPr="004A0446">
        <w:rPr>
          <w:rFonts w:ascii="Abadi" w:hAnsi="Abadi" w:cs="Arial"/>
          <w:sz w:val="21"/>
          <w:szCs w:val="21"/>
          <w:vertAlign w:val="superscript"/>
        </w:rPr>
        <w:footnoteReference w:id="128"/>
      </w:r>
      <w:r w:rsidRPr="004A0446">
        <w:rPr>
          <w:rFonts w:ascii="Abadi" w:hAnsi="Abadi" w:cs="Arial"/>
          <w:sz w:val="21"/>
          <w:szCs w:val="21"/>
          <w:vertAlign w:val="superscript"/>
        </w:rPr>
        <w:t>.</w:t>
      </w:r>
      <w:r w:rsidRPr="004A0446">
        <w:rPr>
          <w:rFonts w:ascii="Abadi" w:hAnsi="Abadi" w:cs="Arial"/>
          <w:sz w:val="21"/>
          <w:szCs w:val="21"/>
        </w:rPr>
        <w:t xml:space="preserve"> Además, de que tal organismo público descentralizado, promueve la participación de los sectores público, social y privado en la planificación y ejecución de acciones en favor de la atención, defensa y protección de niñas, niños y adolescentes.</w:t>
      </w:r>
    </w:p>
    <w:p w14:paraId="35243D52" w14:textId="77777777" w:rsidR="00E3434F" w:rsidRPr="004A0446" w:rsidRDefault="00E3434F" w:rsidP="0051150B">
      <w:pPr>
        <w:ind w:right="567" w:firstLine="709"/>
        <w:jc w:val="both"/>
        <w:rPr>
          <w:rFonts w:ascii="Abadi" w:hAnsi="Abadi" w:cs="Arial"/>
          <w:sz w:val="21"/>
          <w:szCs w:val="21"/>
        </w:rPr>
      </w:pPr>
    </w:p>
    <w:p w14:paraId="4A5152EC" w14:textId="77777777" w:rsidR="00E3434F" w:rsidRPr="004A0446" w:rsidRDefault="00E3434F" w:rsidP="0051150B">
      <w:pPr>
        <w:ind w:right="27" w:firstLine="1134"/>
        <w:jc w:val="both"/>
        <w:rPr>
          <w:rFonts w:ascii="Abadi" w:hAnsi="Abadi" w:cs="Arial"/>
          <w:b/>
          <w:bCs/>
          <w:sz w:val="21"/>
          <w:szCs w:val="21"/>
        </w:rPr>
      </w:pPr>
      <w:r w:rsidRPr="004A0446">
        <w:rPr>
          <w:rFonts w:ascii="Abadi" w:hAnsi="Abadi" w:cs="Arial"/>
          <w:b/>
          <w:bCs/>
          <w:sz w:val="21"/>
          <w:szCs w:val="21"/>
        </w:rPr>
        <w:t>III. 5 Planes y Programas Estatales</w:t>
      </w:r>
    </w:p>
    <w:p w14:paraId="2CE7034C" w14:textId="77777777" w:rsidR="00E3434F" w:rsidRPr="004A0446" w:rsidRDefault="00E3434F" w:rsidP="0051150B">
      <w:pPr>
        <w:ind w:left="1134" w:right="567"/>
        <w:jc w:val="both"/>
        <w:rPr>
          <w:rFonts w:ascii="Abadi" w:hAnsi="Abadi" w:cs="Arial"/>
          <w:sz w:val="21"/>
          <w:szCs w:val="21"/>
        </w:rPr>
      </w:pPr>
      <w:r w:rsidRPr="004A0446">
        <w:rPr>
          <w:rFonts w:ascii="Abadi" w:hAnsi="Abadi" w:cs="Arial"/>
          <w:sz w:val="21"/>
          <w:szCs w:val="21"/>
        </w:rPr>
        <w:t>El Plan Estatal de Desarrollo Guanajuato 2040</w:t>
      </w:r>
      <w:r w:rsidRPr="004A0446">
        <w:rPr>
          <w:rFonts w:ascii="Abadi" w:hAnsi="Abadi" w:cs="Arial"/>
          <w:sz w:val="21"/>
          <w:szCs w:val="21"/>
          <w:vertAlign w:val="superscript"/>
        </w:rPr>
        <w:footnoteReference w:id="129"/>
      </w:r>
      <w:r w:rsidRPr="004A0446">
        <w:rPr>
          <w:rFonts w:ascii="Abadi" w:hAnsi="Abadi" w:cs="Arial"/>
          <w:sz w:val="21"/>
          <w:szCs w:val="21"/>
        </w:rPr>
        <w:t xml:space="preserve">, en su Dimensión 1 Humana y Social, en su Línea Estratégica 1.1 Bienestar Social, busca generar un verdadero bienestar social para el desarrollo pleno de las y los guanajuatenses ya sea en el plano individual, familiar y en comunidad, y que en el Objetivo «1.1.2 Otorgar servicios de salud oportunos, con altos estándares de calidad y seguridad para las y los pacientes, plantea específicamente lo siguiente, en sus Estrategias «1.1.2.1 </w:t>
      </w:r>
      <w:r w:rsidRPr="004A0446">
        <w:rPr>
          <w:rFonts w:ascii="Abadi" w:hAnsi="Abadi" w:cs="Arial"/>
          <w:b/>
          <w:bCs/>
          <w:sz w:val="21"/>
          <w:szCs w:val="21"/>
        </w:rPr>
        <w:t>Consolidación de un sistema de salud universal con un enfoque participativo</w:t>
      </w:r>
      <w:r w:rsidRPr="004A0446">
        <w:rPr>
          <w:rFonts w:ascii="Abadi" w:hAnsi="Abadi" w:cs="Arial"/>
          <w:sz w:val="21"/>
          <w:szCs w:val="21"/>
        </w:rPr>
        <w:t xml:space="preserve">, preventivo, oportuno y de calidad», «1.1.2.2 </w:t>
      </w:r>
      <w:r w:rsidRPr="004A0446">
        <w:rPr>
          <w:rFonts w:ascii="Abadi" w:hAnsi="Abadi" w:cs="Arial"/>
          <w:sz w:val="21"/>
          <w:szCs w:val="21"/>
          <w:u w:val="single"/>
        </w:rPr>
        <w:t>Profesionalización de las y los trabajadores de la salud, para la prestación de servicios</w:t>
      </w:r>
      <w:r w:rsidRPr="004A0446">
        <w:rPr>
          <w:rFonts w:ascii="Abadi" w:hAnsi="Abadi" w:cs="Arial"/>
          <w:sz w:val="21"/>
          <w:szCs w:val="21"/>
        </w:rPr>
        <w:t xml:space="preserve"> accesibles, de calidad y con un trato humanitario con enfoque de género» y «1.1.2.4 </w:t>
      </w:r>
      <w:r w:rsidRPr="004A0446">
        <w:rPr>
          <w:rFonts w:ascii="Abadi" w:hAnsi="Abadi" w:cs="Arial"/>
          <w:sz w:val="21"/>
          <w:szCs w:val="21"/>
          <w:u w:val="single"/>
        </w:rPr>
        <w:t>Garantía de la cercanía de los servicios de salud a la población</w:t>
      </w:r>
      <w:r w:rsidRPr="004A0446">
        <w:rPr>
          <w:rFonts w:ascii="Abadi" w:hAnsi="Abadi" w:cs="Arial"/>
          <w:sz w:val="21"/>
          <w:szCs w:val="21"/>
        </w:rPr>
        <w:t>».</w:t>
      </w:r>
    </w:p>
    <w:p w14:paraId="3576531A" w14:textId="77777777" w:rsidR="00E3434F" w:rsidRPr="004A0446" w:rsidRDefault="00E3434F" w:rsidP="0051150B">
      <w:pPr>
        <w:ind w:right="27" w:firstLine="709"/>
        <w:jc w:val="both"/>
        <w:rPr>
          <w:rFonts w:ascii="Abadi" w:hAnsi="Abadi" w:cs="Arial"/>
          <w:sz w:val="21"/>
          <w:szCs w:val="21"/>
        </w:rPr>
      </w:pPr>
    </w:p>
    <w:p w14:paraId="175ED3C8" w14:textId="77777777" w:rsidR="00E3434F" w:rsidRPr="004A0446" w:rsidRDefault="00E3434F" w:rsidP="0051150B">
      <w:pPr>
        <w:ind w:left="1134" w:right="567"/>
        <w:jc w:val="both"/>
        <w:rPr>
          <w:rFonts w:ascii="Abadi" w:hAnsi="Abadi" w:cs="Arial"/>
          <w:sz w:val="21"/>
          <w:szCs w:val="21"/>
          <w:u w:val="single"/>
        </w:rPr>
      </w:pPr>
      <w:r w:rsidRPr="004A0446">
        <w:rPr>
          <w:rFonts w:ascii="Abadi" w:hAnsi="Abadi" w:cs="Arial"/>
          <w:sz w:val="21"/>
          <w:szCs w:val="21"/>
        </w:rPr>
        <w:t>Por su parte, el Programa de Gobierno 2018-2024</w:t>
      </w:r>
      <w:r w:rsidRPr="004A0446">
        <w:rPr>
          <w:rFonts w:ascii="Abadi" w:hAnsi="Abadi" w:cs="Arial"/>
          <w:sz w:val="21"/>
          <w:szCs w:val="21"/>
          <w:vertAlign w:val="superscript"/>
        </w:rPr>
        <w:footnoteReference w:id="130"/>
      </w:r>
      <w:r w:rsidRPr="004A0446">
        <w:rPr>
          <w:rFonts w:ascii="Abadi" w:hAnsi="Abadi" w:cs="Arial"/>
          <w:sz w:val="21"/>
          <w:szCs w:val="21"/>
        </w:rPr>
        <w:t xml:space="preserve">, en su «Eje Desarrollo humano y social», Fin gubernamental «2.3. Vitalizar el tejido y la cohesión social» en su Objetivo 2.3.1 «Fortalecer las acciones de prevención de riesgos», Estrategia 1. «Atención oportuna de riesgos» y «Estrategia 2.  Fomentando una vida plena», se prevén acciones para la </w:t>
      </w:r>
      <w:r w:rsidRPr="004A0446">
        <w:rPr>
          <w:rFonts w:ascii="Abadi" w:hAnsi="Abadi" w:cs="Arial"/>
          <w:sz w:val="21"/>
          <w:szCs w:val="21"/>
          <w:u w:val="single"/>
        </w:rPr>
        <w:t>prevención y tratamiento de las adicciones, contribuir a la atención integral de pacientes que presentan conducta de riesgo suicida y fortalecer la estrategia de marketing digital en redes sociales en materia de salud mental</w:t>
      </w:r>
      <w:r w:rsidRPr="004A0446">
        <w:rPr>
          <w:rFonts w:ascii="Abadi" w:hAnsi="Abadi" w:cs="Arial"/>
          <w:sz w:val="21"/>
          <w:szCs w:val="21"/>
        </w:rPr>
        <w:t xml:space="preserve">; así como acciones integrales que permitan </w:t>
      </w:r>
      <w:r w:rsidRPr="004A0446">
        <w:rPr>
          <w:rFonts w:ascii="Abadi" w:hAnsi="Abadi" w:cs="Arial"/>
          <w:sz w:val="21"/>
          <w:szCs w:val="21"/>
          <w:u w:val="single"/>
        </w:rPr>
        <w:t>fortalecer los factores protectores de la salud mental</w:t>
      </w:r>
      <w:r w:rsidRPr="004A0446">
        <w:rPr>
          <w:rFonts w:ascii="Abadi" w:hAnsi="Abadi" w:cs="Arial"/>
          <w:sz w:val="21"/>
          <w:szCs w:val="21"/>
        </w:rPr>
        <w:t xml:space="preserve">; la promoción de la Red de padres contra las adicciones en cada municipio; la realización de campañas en medios de comunicación para la prevención de riesgos; la formación de padres de familia en </w:t>
      </w:r>
      <w:r w:rsidRPr="004A0446">
        <w:rPr>
          <w:rFonts w:ascii="Abadi" w:hAnsi="Abadi" w:cs="Arial"/>
          <w:sz w:val="21"/>
          <w:szCs w:val="21"/>
          <w:u w:val="single"/>
        </w:rPr>
        <w:t>crianza positiva de niños, niñas y adolescentes</w:t>
      </w:r>
      <w:r w:rsidRPr="004A0446">
        <w:rPr>
          <w:rFonts w:ascii="Abadi" w:hAnsi="Abadi" w:cs="Arial"/>
          <w:sz w:val="21"/>
          <w:szCs w:val="21"/>
        </w:rPr>
        <w:t xml:space="preserve">, así como el desarrollo de herramientas tecnológicas para la </w:t>
      </w:r>
      <w:r w:rsidRPr="004A0446">
        <w:rPr>
          <w:rFonts w:ascii="Abadi" w:hAnsi="Abadi" w:cs="Arial"/>
          <w:sz w:val="21"/>
          <w:szCs w:val="21"/>
          <w:u w:val="single"/>
        </w:rPr>
        <w:t>prevención de conductas de riesgo psicosocial de niños, niñas y adolescentes</w:t>
      </w:r>
      <w:r w:rsidRPr="004A0446">
        <w:rPr>
          <w:rFonts w:ascii="Abadi" w:hAnsi="Abadi" w:cs="Arial"/>
          <w:sz w:val="21"/>
          <w:szCs w:val="21"/>
        </w:rPr>
        <w:t>.</w:t>
      </w:r>
    </w:p>
    <w:p w14:paraId="2BEF5023" w14:textId="77777777" w:rsidR="00E3434F" w:rsidRPr="004A0446" w:rsidRDefault="00E3434F" w:rsidP="0051150B">
      <w:pPr>
        <w:ind w:right="27" w:firstLine="709"/>
        <w:jc w:val="both"/>
        <w:rPr>
          <w:rFonts w:ascii="Abadi" w:hAnsi="Abadi" w:cs="Arial"/>
          <w:sz w:val="21"/>
          <w:szCs w:val="21"/>
        </w:rPr>
      </w:pPr>
    </w:p>
    <w:p w14:paraId="16E21633" w14:textId="77777777" w:rsidR="00E3434F" w:rsidRPr="004A0446" w:rsidRDefault="00E3434F" w:rsidP="0051150B">
      <w:pPr>
        <w:ind w:left="1134" w:right="567"/>
        <w:jc w:val="both"/>
        <w:rPr>
          <w:rFonts w:ascii="Abadi" w:hAnsi="Abadi" w:cs="Arial"/>
          <w:sz w:val="21"/>
          <w:szCs w:val="21"/>
        </w:rPr>
      </w:pPr>
      <w:r w:rsidRPr="004A0446">
        <w:rPr>
          <w:rFonts w:ascii="Abadi" w:hAnsi="Abadi" w:cs="Arial"/>
          <w:sz w:val="21"/>
          <w:szCs w:val="21"/>
        </w:rPr>
        <w:t>Por lo que es menester resaltar la visión integral en salud y el compromiso que el Gobierno Estatal asume en torno al tema del cuidado de la salud mental y prevención de las enfermedades psicosociales tales como las adicciones y el suicidio, fortaleciendo la vitalización del tejido y la cohesión social de los guanajuatenses.</w:t>
      </w:r>
    </w:p>
    <w:p w14:paraId="7A7A60F0" w14:textId="77777777" w:rsidR="00E3434F" w:rsidRPr="004A0446" w:rsidRDefault="00E3434F" w:rsidP="0051150B">
      <w:pPr>
        <w:ind w:right="27" w:firstLine="709"/>
        <w:jc w:val="both"/>
        <w:rPr>
          <w:rFonts w:ascii="Abadi" w:hAnsi="Abadi" w:cs="Arial"/>
          <w:sz w:val="21"/>
          <w:szCs w:val="21"/>
        </w:rPr>
      </w:pPr>
    </w:p>
    <w:p w14:paraId="43E5E327" w14:textId="77777777" w:rsidR="00E3434F" w:rsidRPr="004A0446" w:rsidRDefault="00E3434F" w:rsidP="0051150B">
      <w:pPr>
        <w:ind w:left="1134" w:right="567"/>
        <w:jc w:val="both"/>
        <w:rPr>
          <w:rFonts w:ascii="Abadi" w:hAnsi="Abadi" w:cs="Arial"/>
          <w:b/>
          <w:bCs/>
          <w:sz w:val="21"/>
          <w:szCs w:val="21"/>
        </w:rPr>
      </w:pPr>
      <w:r w:rsidRPr="004A0446">
        <w:rPr>
          <w:rFonts w:ascii="Abadi" w:hAnsi="Abadi" w:cs="Arial"/>
          <w:b/>
          <w:bCs/>
          <w:sz w:val="21"/>
          <w:szCs w:val="21"/>
        </w:rPr>
        <w:t>III.6 Respecto al presupuesto asignado y ejercido en acciones de prevención y promoción en materia de salud</w:t>
      </w:r>
    </w:p>
    <w:p w14:paraId="654834B2" w14:textId="77777777" w:rsidR="00E3434F" w:rsidRPr="004A0446" w:rsidRDefault="00E3434F" w:rsidP="0051150B">
      <w:pPr>
        <w:ind w:left="1134" w:right="567" w:firstLine="567"/>
        <w:jc w:val="both"/>
        <w:rPr>
          <w:rFonts w:ascii="Abadi" w:hAnsi="Abadi" w:cs="Arial"/>
          <w:sz w:val="21"/>
          <w:szCs w:val="21"/>
        </w:rPr>
      </w:pPr>
      <w:r w:rsidRPr="004A0446">
        <w:rPr>
          <w:rFonts w:ascii="Abadi" w:hAnsi="Abadi" w:cs="Arial"/>
          <w:sz w:val="21"/>
          <w:szCs w:val="21"/>
        </w:rPr>
        <w:t>Dentro del presupuesto del estado de Guanajuato para el presente ejercicio fiscal</w:t>
      </w:r>
      <w:r w:rsidRPr="004A0446">
        <w:rPr>
          <w:rFonts w:ascii="Abadi" w:hAnsi="Abadi" w:cs="Arial"/>
          <w:sz w:val="21"/>
          <w:szCs w:val="21"/>
          <w:vertAlign w:val="superscript"/>
        </w:rPr>
        <w:footnoteReference w:id="131"/>
      </w:r>
      <w:r w:rsidRPr="004A0446">
        <w:rPr>
          <w:rFonts w:ascii="Abadi" w:hAnsi="Abadi" w:cs="Arial"/>
          <w:sz w:val="21"/>
          <w:szCs w:val="21"/>
        </w:rPr>
        <w:t xml:space="preserve"> se han asignado recursos al Instituto de Salud Pública del Estado de Guanajuato (ISAPEG), así en conjunto con la Secretaría de Salud, integrarán una sola estructura orgánica, y que conforme al desglose de análisis de metas, procesos y proyectos de 2022, se identifica lo siguiente: «P2779 Operación y administración de la Dirección General de Servicios de Salud impulsando acciones de prevención y promoción en materia de salud», con un monto de $ 97,916,470.00, entre lo cual se contempla apoyos adicionales a investigaciones en salud mental (violencia, suicidio, adicciones y principales trastornos mentales) y la capacitación presencial y/o virtual al personal de salud en temas de salud mental y suicidio, eventos para la prevención del suicidio, en atención a pacientes con riesgo de suicidio; además de los programas «P2884 gestión en el proceso de capacitación para fortalecer la formación de los prestadores de servicios de salud de la jurisdicción sanitaria I Guanajuato» por un monto de $484,118.00; «P2885 gestión en el proceso de capacitación para fortalecer la formación de los prestadores de servicios de salud de la jurisdicción sanitaria II San Miguel de Allende» por $86,700.00; «P2886 gestión en el proceso de capacitación para fortalecer la formación de los prestadores de servicios de salud de la jurisdicción sanitaria III Celaya» por $113,145.00; «P2887 gestión en el proceso de capacitación para fortalecer la formación de los prestadores de servicios de salud de la jurisdicción sanitaria IV Acámbaro»  por  $227,559.00; «P2888  gestión  en el proceso de capacitación para fortalecer la formación de los prestadores de servicios de salud de la jurisdicción sanitaria V Salamanca» por $140,759.00; «P2889 gestión en el proceso de capacitación para fortalecer la formación de los prestadores de servicios de salud de la jurisdicción sanitaria VI Irapuato» por $41,156.00; «P2890 gestión en el proceso de capacitación para fortalecer la formación de los prestadores de servicios de salud de la jurisdicción sanitaria VII León» por$25,685.00 y «P2891 gestión en el proceso de capacitación para fortalecer la formación de los prestadores de servicios de salud de la jurisdicción sanitaria VIII San Francisco del Rincón» por $126,026.00, dentro de todos los cuales se contempla</w:t>
      </w:r>
      <w:r w:rsidRPr="004A0446">
        <w:rPr>
          <w:rFonts w:ascii="Abadi" w:hAnsi="Abadi" w:cs="Arial"/>
          <w:sz w:val="21"/>
          <w:szCs w:val="21"/>
          <w:u w:val="single"/>
        </w:rPr>
        <w:t xml:space="preserve"> las capacitaciones al personal médico y afín en los temas de salud mental y suicidio</w:t>
      </w:r>
      <w:r w:rsidRPr="004A0446">
        <w:rPr>
          <w:rFonts w:ascii="Abadi" w:hAnsi="Abadi" w:cs="Arial"/>
          <w:sz w:val="21"/>
          <w:szCs w:val="21"/>
        </w:rPr>
        <w:t xml:space="preserve"> en cada una de las jurisdicciones sanitarias.</w:t>
      </w:r>
    </w:p>
    <w:p w14:paraId="1E1A6F3A" w14:textId="77777777" w:rsidR="00E3434F" w:rsidRPr="004A0446" w:rsidRDefault="00E3434F" w:rsidP="00E3434F">
      <w:pPr>
        <w:spacing w:line="276" w:lineRule="auto"/>
        <w:ind w:left="1134" w:right="567" w:firstLine="709"/>
        <w:jc w:val="both"/>
        <w:rPr>
          <w:rFonts w:ascii="Abadi" w:hAnsi="Abadi" w:cs="Arial"/>
          <w:sz w:val="21"/>
          <w:szCs w:val="21"/>
        </w:rPr>
      </w:pPr>
    </w:p>
    <w:p w14:paraId="7729C062" w14:textId="77777777" w:rsidR="00E3434F" w:rsidRPr="004A0446" w:rsidRDefault="00E3434F" w:rsidP="00424B8F">
      <w:pPr>
        <w:ind w:left="1134" w:right="567"/>
        <w:jc w:val="both"/>
        <w:rPr>
          <w:rFonts w:ascii="Abadi" w:hAnsi="Abadi" w:cs="Arial"/>
          <w:sz w:val="21"/>
          <w:szCs w:val="21"/>
        </w:rPr>
      </w:pPr>
      <w:r w:rsidRPr="004A0446">
        <w:rPr>
          <w:rFonts w:ascii="Abadi" w:hAnsi="Abadi" w:cs="Arial"/>
          <w:sz w:val="21"/>
          <w:szCs w:val="21"/>
        </w:rPr>
        <w:t xml:space="preserve">Conforme a lo anterior, se desprende que actualmente el estado aplica tales recursos para brindar diversos servicios en la materia en estudio, tal como es el caso de la institución interactiva denominada </w:t>
      </w:r>
      <w:r w:rsidRPr="004A0446">
        <w:rPr>
          <w:rFonts w:ascii="Abadi" w:hAnsi="Abadi" w:cs="Arial"/>
          <w:i/>
          <w:iCs/>
          <w:sz w:val="21"/>
          <w:szCs w:val="21"/>
        </w:rPr>
        <w:t>«Dinámicamente»</w:t>
      </w:r>
      <w:r w:rsidRPr="004A0446">
        <w:rPr>
          <w:rFonts w:ascii="Abadi" w:hAnsi="Abadi" w:cs="Arial"/>
          <w:sz w:val="21"/>
          <w:szCs w:val="21"/>
        </w:rPr>
        <w:t>, creada en el estado de Guanajuato para brindar y promover de modo oportuno servicios accesibles en materia de salud mental, así como atención preventiva de crisis emocionales, para los sectores infantil, juvenil, adultos y de adultos mayores</w:t>
      </w:r>
      <w:r w:rsidRPr="004A0446">
        <w:rPr>
          <w:rFonts w:ascii="Abadi" w:hAnsi="Abadi" w:cs="Arial"/>
          <w:sz w:val="21"/>
          <w:szCs w:val="21"/>
          <w:vertAlign w:val="superscript"/>
        </w:rPr>
        <w:footnoteReference w:id="132"/>
      </w:r>
      <w:r w:rsidRPr="004A0446">
        <w:rPr>
          <w:rFonts w:ascii="Abadi" w:hAnsi="Abadi" w:cs="Arial"/>
          <w:sz w:val="21"/>
          <w:szCs w:val="21"/>
        </w:rPr>
        <w:t>.</w:t>
      </w:r>
    </w:p>
    <w:p w14:paraId="17C67846" w14:textId="77777777" w:rsidR="00E3434F" w:rsidRPr="004A0446" w:rsidRDefault="00E3434F" w:rsidP="00424B8F">
      <w:pPr>
        <w:ind w:right="425" w:firstLine="709"/>
        <w:jc w:val="both"/>
        <w:rPr>
          <w:rFonts w:ascii="Abadi" w:hAnsi="Abadi" w:cs="Arial"/>
          <w:sz w:val="21"/>
          <w:szCs w:val="21"/>
        </w:rPr>
      </w:pPr>
    </w:p>
    <w:p w14:paraId="3400D4E5" w14:textId="77777777" w:rsidR="00E3434F" w:rsidRPr="004A0446" w:rsidRDefault="00E3434F" w:rsidP="00424B8F">
      <w:pPr>
        <w:ind w:left="1134" w:right="567"/>
        <w:jc w:val="both"/>
        <w:rPr>
          <w:rFonts w:ascii="Abadi" w:hAnsi="Abadi" w:cs="Arial"/>
          <w:sz w:val="21"/>
          <w:szCs w:val="21"/>
        </w:rPr>
      </w:pPr>
      <w:r w:rsidRPr="004A0446">
        <w:rPr>
          <w:rFonts w:ascii="Abadi" w:hAnsi="Abadi" w:cs="Arial"/>
          <w:sz w:val="21"/>
          <w:szCs w:val="21"/>
        </w:rPr>
        <w:t xml:space="preserve">Entre los tratamientos ofertados, se encuentra el programa de prevención y atención a la conducta suicida, que busca contribuir en la disminución de la incidencia y la frecuencia del acto suicida en el estado de Guanajuato. Las acciones comprenden: </w:t>
      </w:r>
      <w:r w:rsidRPr="004A0446">
        <w:rPr>
          <w:rFonts w:ascii="Abadi" w:hAnsi="Abadi" w:cs="Arial"/>
          <w:b/>
          <w:bCs/>
          <w:sz w:val="21"/>
          <w:szCs w:val="21"/>
        </w:rPr>
        <w:t>1.</w:t>
      </w:r>
      <w:r w:rsidRPr="004A0446">
        <w:rPr>
          <w:rFonts w:ascii="Abadi" w:hAnsi="Abadi" w:cs="Arial"/>
          <w:sz w:val="21"/>
          <w:szCs w:val="21"/>
        </w:rPr>
        <w:t xml:space="preserve"> Prevención (redes municipales, difusión masiva de signos de alarma, talleres de educación en salud mental</w:t>
      </w:r>
      <w:r w:rsidRPr="004A0446">
        <w:rPr>
          <w:rFonts w:ascii="Abadi" w:hAnsi="Abadi" w:cs="Arial"/>
          <w:b/>
          <w:bCs/>
          <w:sz w:val="21"/>
          <w:szCs w:val="21"/>
        </w:rPr>
        <w:t>); 2.</w:t>
      </w:r>
      <w:r w:rsidRPr="004A0446">
        <w:rPr>
          <w:rFonts w:ascii="Abadi" w:hAnsi="Abadi" w:cs="Arial"/>
          <w:sz w:val="21"/>
          <w:szCs w:val="21"/>
        </w:rPr>
        <w:t xml:space="preserve"> Detección (tamizaje y valoración de riesgo suicida); </w:t>
      </w:r>
      <w:r w:rsidRPr="004A0446">
        <w:rPr>
          <w:rFonts w:ascii="Abadi" w:hAnsi="Abadi" w:cs="Arial"/>
          <w:b/>
          <w:bCs/>
          <w:sz w:val="21"/>
          <w:szCs w:val="21"/>
        </w:rPr>
        <w:t>3.</w:t>
      </w:r>
      <w:r w:rsidRPr="004A0446">
        <w:rPr>
          <w:rFonts w:ascii="Abadi" w:hAnsi="Abadi" w:cs="Arial"/>
          <w:sz w:val="21"/>
          <w:szCs w:val="21"/>
        </w:rPr>
        <w:t xml:space="preserve"> Atención (redes de atención, visitas domiciliadas, tratamiento individual, </w:t>
      </w:r>
      <w:r w:rsidRPr="004A0446">
        <w:rPr>
          <w:rFonts w:ascii="Abadi" w:hAnsi="Abadi" w:cs="Arial"/>
          <w:b/>
          <w:bCs/>
          <w:sz w:val="21"/>
          <w:szCs w:val="21"/>
        </w:rPr>
        <w:t>postvención</w:t>
      </w:r>
      <w:r w:rsidRPr="004A0446">
        <w:rPr>
          <w:rFonts w:ascii="Abadi" w:hAnsi="Abadi" w:cs="Arial"/>
          <w:sz w:val="21"/>
          <w:szCs w:val="21"/>
        </w:rPr>
        <w:t xml:space="preserve">); </w:t>
      </w:r>
      <w:r w:rsidRPr="004A0446">
        <w:rPr>
          <w:rFonts w:ascii="Abadi" w:hAnsi="Abadi" w:cs="Arial"/>
          <w:b/>
          <w:bCs/>
          <w:sz w:val="21"/>
          <w:szCs w:val="21"/>
        </w:rPr>
        <w:t>4.</w:t>
      </w:r>
      <w:r w:rsidRPr="004A0446">
        <w:rPr>
          <w:rFonts w:ascii="Abadi" w:hAnsi="Abadi" w:cs="Arial"/>
          <w:sz w:val="21"/>
          <w:szCs w:val="21"/>
        </w:rPr>
        <w:t xml:space="preserve"> Capacitación y sensibilización (dirigida a médicos generales, docentes, medios de comunicación, primeros respondientes, sobrevivientes, trabajadores, consejeros, personal de atención primaria y cárceles; </w:t>
      </w:r>
      <w:r w:rsidRPr="004A0446">
        <w:rPr>
          <w:rFonts w:ascii="Abadi" w:hAnsi="Abadi" w:cs="Arial"/>
          <w:b/>
          <w:bCs/>
          <w:sz w:val="21"/>
          <w:szCs w:val="21"/>
        </w:rPr>
        <w:t>5.</w:t>
      </w:r>
      <w:r w:rsidRPr="004A0446">
        <w:rPr>
          <w:rFonts w:ascii="Abadi" w:hAnsi="Abadi" w:cs="Arial"/>
          <w:sz w:val="21"/>
          <w:szCs w:val="21"/>
        </w:rPr>
        <w:t xml:space="preserve"> Investigación (análisis de autopsias psicológicas, promoción de la investigación) y </w:t>
      </w:r>
      <w:r w:rsidRPr="004A0446">
        <w:rPr>
          <w:rFonts w:ascii="Abadi" w:hAnsi="Abadi" w:cs="Arial"/>
          <w:b/>
          <w:bCs/>
          <w:sz w:val="21"/>
          <w:szCs w:val="21"/>
        </w:rPr>
        <w:t>6.</w:t>
      </w:r>
      <w:r w:rsidRPr="004A0446">
        <w:rPr>
          <w:rFonts w:ascii="Abadi" w:hAnsi="Abadi" w:cs="Arial"/>
          <w:sz w:val="21"/>
          <w:szCs w:val="21"/>
        </w:rPr>
        <w:t xml:space="preserve"> Vigilancia epidemiológica (registro de casos de suicidio y personas en riesgo). Los servicios ofrecidos son: detecciones, grupos reflexivos, talleres, psicoterapia individual, consulta externa, atención de especialidad (psiquiatría), urgencias, hospitalización y atención telefónica para crisis psicológicas</w:t>
      </w:r>
      <w:r w:rsidRPr="004A0446">
        <w:rPr>
          <w:rFonts w:ascii="Abadi" w:hAnsi="Abadi" w:cs="Arial"/>
          <w:sz w:val="21"/>
          <w:szCs w:val="21"/>
          <w:vertAlign w:val="superscript"/>
        </w:rPr>
        <w:footnoteReference w:id="133"/>
      </w:r>
      <w:r w:rsidRPr="004A0446">
        <w:rPr>
          <w:rFonts w:ascii="Abadi" w:hAnsi="Abadi" w:cs="Arial"/>
          <w:sz w:val="21"/>
          <w:szCs w:val="21"/>
        </w:rPr>
        <w:t>.</w:t>
      </w:r>
    </w:p>
    <w:p w14:paraId="1EF42943" w14:textId="77777777" w:rsidR="00E3434F" w:rsidRPr="004A0446" w:rsidRDefault="00E3434F" w:rsidP="00424B8F">
      <w:pPr>
        <w:ind w:left="1134" w:right="567"/>
        <w:jc w:val="both"/>
        <w:rPr>
          <w:rFonts w:ascii="Abadi" w:hAnsi="Abadi" w:cs="Arial"/>
          <w:sz w:val="21"/>
          <w:szCs w:val="21"/>
        </w:rPr>
      </w:pPr>
    </w:p>
    <w:p w14:paraId="17DFC18A" w14:textId="77777777" w:rsidR="00E3434F" w:rsidRPr="004A0446" w:rsidRDefault="00E3434F" w:rsidP="00424B8F">
      <w:pPr>
        <w:ind w:left="1134" w:right="567"/>
        <w:jc w:val="both"/>
        <w:rPr>
          <w:rFonts w:ascii="Abadi" w:hAnsi="Abadi" w:cs="Arial"/>
          <w:sz w:val="21"/>
          <w:szCs w:val="21"/>
        </w:rPr>
      </w:pPr>
      <w:r w:rsidRPr="004A0446">
        <w:rPr>
          <w:rFonts w:ascii="Abadi" w:hAnsi="Abadi" w:cs="Arial"/>
          <w:sz w:val="21"/>
          <w:szCs w:val="21"/>
        </w:rPr>
        <w:t xml:space="preserve">Asimismo, se encuentran asignados al ISAPEG recursos para el año 2022, dentro del proyecto </w:t>
      </w:r>
      <w:r w:rsidRPr="004A0446">
        <w:rPr>
          <w:rFonts w:ascii="Abadi" w:hAnsi="Abadi" w:cs="Arial"/>
          <w:i/>
          <w:iCs/>
          <w:sz w:val="21"/>
          <w:szCs w:val="21"/>
        </w:rPr>
        <w:t>Planet Youth</w:t>
      </w:r>
      <w:r w:rsidRPr="004A0446">
        <w:rPr>
          <w:rFonts w:ascii="Abadi" w:hAnsi="Abadi" w:cs="Arial"/>
          <w:sz w:val="21"/>
          <w:szCs w:val="21"/>
        </w:rPr>
        <w:t>-Guanajuato (Q3426), una inversión de 54.65 millones de pesos, que tiene como principal objetivo prevenir las adicciones en jóvenes, como uno de los factores de riesgo del suicidio.</w:t>
      </w:r>
    </w:p>
    <w:p w14:paraId="7E108892" w14:textId="77777777" w:rsidR="00E3434F" w:rsidRPr="004A0446" w:rsidRDefault="00E3434F" w:rsidP="00424B8F">
      <w:pPr>
        <w:ind w:left="1134" w:right="567"/>
        <w:jc w:val="both"/>
        <w:rPr>
          <w:rFonts w:ascii="Abadi" w:hAnsi="Abadi" w:cs="Arial"/>
          <w:sz w:val="21"/>
          <w:szCs w:val="21"/>
        </w:rPr>
      </w:pPr>
    </w:p>
    <w:p w14:paraId="5B544724" w14:textId="77777777" w:rsidR="00E3434F" w:rsidRPr="004A0446" w:rsidRDefault="00E3434F" w:rsidP="00424B8F">
      <w:pPr>
        <w:ind w:left="1134" w:right="567"/>
        <w:jc w:val="both"/>
        <w:rPr>
          <w:rFonts w:ascii="Abadi" w:hAnsi="Abadi" w:cs="Arial"/>
          <w:sz w:val="21"/>
          <w:szCs w:val="21"/>
        </w:rPr>
      </w:pPr>
      <w:r w:rsidRPr="004A0446">
        <w:rPr>
          <w:rFonts w:ascii="Abadi" w:hAnsi="Abadi" w:cs="Arial"/>
          <w:sz w:val="21"/>
          <w:szCs w:val="21"/>
        </w:rPr>
        <w:t>De igual manera, dentro del gasto de operación, el ISAPEG cuenta con el Programa de Salud Mental, como un modelo de atención en salud del estado de Guanajuato, el cual es un sistema moderno de salud que tiene como objetivo atender por igual a toda la ciudadanía, ofreciendo servicios oportunos con calidad, calidez, seguridad y eficiencia, para garantizar el acceso a la atención psicológica y psiquiátrica desde la promoción, prevención, curación y rehabilitación</w:t>
      </w:r>
      <w:r w:rsidRPr="004A0446">
        <w:rPr>
          <w:rFonts w:ascii="Abadi" w:hAnsi="Abadi" w:cs="Arial"/>
          <w:sz w:val="21"/>
          <w:szCs w:val="21"/>
          <w:vertAlign w:val="superscript"/>
        </w:rPr>
        <w:footnoteReference w:id="134"/>
      </w:r>
      <w:r w:rsidRPr="004A0446">
        <w:rPr>
          <w:rFonts w:ascii="Abadi" w:hAnsi="Abadi" w:cs="Arial"/>
          <w:sz w:val="21"/>
          <w:szCs w:val="21"/>
        </w:rPr>
        <w:t xml:space="preserve">. Dentro de sus programas prioritarios, se encuentra el </w:t>
      </w:r>
      <w:r w:rsidRPr="004A0446">
        <w:rPr>
          <w:rFonts w:ascii="Abadi" w:hAnsi="Abadi" w:cs="Arial"/>
          <w:b/>
          <w:bCs/>
          <w:sz w:val="21"/>
          <w:szCs w:val="21"/>
        </w:rPr>
        <w:t>Programa de Prevención y Atención a la Conducta Suicida</w:t>
      </w:r>
      <w:r w:rsidRPr="004A0446">
        <w:rPr>
          <w:rFonts w:ascii="Abadi" w:hAnsi="Abadi" w:cs="Arial"/>
          <w:sz w:val="21"/>
          <w:szCs w:val="21"/>
        </w:rPr>
        <w:t>, el cual busca contribuir en la disminución de la incidencia y la frecuencia del acto suicida en el estado a través de distintos niveles de acción</w:t>
      </w:r>
      <w:r w:rsidRPr="004A0446">
        <w:rPr>
          <w:rFonts w:ascii="Abadi" w:hAnsi="Abadi" w:cs="Arial"/>
          <w:sz w:val="21"/>
          <w:szCs w:val="21"/>
          <w:vertAlign w:val="superscript"/>
        </w:rPr>
        <w:footnoteReference w:id="135"/>
      </w:r>
      <w:r w:rsidRPr="004A0446">
        <w:rPr>
          <w:rFonts w:ascii="Abadi" w:hAnsi="Abadi" w:cs="Arial"/>
          <w:sz w:val="21"/>
          <w:szCs w:val="21"/>
        </w:rPr>
        <w:t xml:space="preserve">. Asimismo, la </w:t>
      </w:r>
      <w:r w:rsidRPr="004A0446">
        <w:rPr>
          <w:rFonts w:ascii="Abadi" w:hAnsi="Abadi" w:cs="Arial"/>
          <w:b/>
          <w:bCs/>
          <w:sz w:val="21"/>
          <w:szCs w:val="21"/>
        </w:rPr>
        <w:t>Comisión de prevención y atención a la conducta suicida</w:t>
      </w:r>
      <w:r w:rsidRPr="004A0446">
        <w:rPr>
          <w:rFonts w:ascii="Abadi" w:hAnsi="Abadi" w:cs="Arial"/>
          <w:b/>
          <w:bCs/>
          <w:sz w:val="21"/>
          <w:szCs w:val="21"/>
          <w:vertAlign w:val="superscript"/>
        </w:rPr>
        <w:footnoteReference w:id="136"/>
      </w:r>
      <w:r w:rsidRPr="004A0446">
        <w:rPr>
          <w:rFonts w:ascii="Abadi" w:hAnsi="Abadi" w:cs="Arial"/>
          <w:sz w:val="21"/>
          <w:szCs w:val="21"/>
        </w:rPr>
        <w:t xml:space="preserve"> del Consejo Estatal de Salud Mental y Adicciones cuenta con participación de instituciones gubernamentales y de la sociedad civil con 41 personas integrantes del Consejo; y la posibilidad de que la persona presidente del mismo, pueda a invitar con carácter de invitados permanentes o transitorios, a personas integrantes de los sectores público, social y privado.</w:t>
      </w:r>
    </w:p>
    <w:p w14:paraId="4B3A24E4" w14:textId="77777777" w:rsidR="00E3434F" w:rsidRPr="004A0446" w:rsidRDefault="00E3434F" w:rsidP="0051150B">
      <w:pPr>
        <w:ind w:right="27" w:firstLine="709"/>
        <w:jc w:val="both"/>
        <w:rPr>
          <w:rFonts w:ascii="Abadi" w:hAnsi="Abadi" w:cs="Arial"/>
          <w:sz w:val="21"/>
          <w:szCs w:val="21"/>
        </w:rPr>
      </w:pPr>
    </w:p>
    <w:p w14:paraId="10A61F7D" w14:textId="77777777" w:rsidR="00E3434F" w:rsidRPr="004A0446" w:rsidRDefault="00E3434F" w:rsidP="0051150B">
      <w:pPr>
        <w:tabs>
          <w:tab w:val="left" w:pos="8364"/>
        </w:tabs>
        <w:ind w:left="1134" w:right="708"/>
        <w:jc w:val="both"/>
        <w:rPr>
          <w:rFonts w:ascii="Abadi" w:hAnsi="Abadi" w:cs="Arial"/>
          <w:sz w:val="21"/>
          <w:szCs w:val="21"/>
        </w:rPr>
      </w:pPr>
      <w:r w:rsidRPr="004A0446">
        <w:rPr>
          <w:rFonts w:ascii="Abadi" w:hAnsi="Abadi" w:cs="Arial"/>
          <w:sz w:val="21"/>
          <w:szCs w:val="21"/>
        </w:rPr>
        <w:t>Adicionalmente, para el ejercicio fiscal 2022, fueron autorizados al ISAPEG 14,323 millones de pesos, en los siguientes programas presupuestarios:</w:t>
      </w:r>
    </w:p>
    <w:p w14:paraId="5012BE06" w14:textId="77777777" w:rsidR="00E3434F" w:rsidRPr="004A0446" w:rsidRDefault="00E3434F" w:rsidP="00E3434F">
      <w:pPr>
        <w:spacing w:line="276" w:lineRule="auto"/>
        <w:ind w:right="27" w:firstLine="709"/>
        <w:jc w:val="both"/>
        <w:rPr>
          <w:rFonts w:ascii="Abadi" w:hAnsi="Abadi" w:cs="Arial"/>
          <w:sz w:val="21"/>
          <w:szCs w:val="21"/>
        </w:rPr>
      </w:pPr>
    </w:p>
    <w:p w14:paraId="7A10CE2F" w14:textId="77777777" w:rsidR="00E3434F" w:rsidRDefault="00E3434F" w:rsidP="00E3434F">
      <w:pPr>
        <w:ind w:right="425"/>
        <w:jc w:val="both"/>
        <w:rPr>
          <w:rFonts w:ascii="Abadi" w:hAnsi="Abadi" w:cs="Arial"/>
          <w:b/>
          <w:bCs/>
          <w:sz w:val="21"/>
          <w:szCs w:val="21"/>
        </w:rPr>
      </w:pPr>
    </w:p>
    <w:p w14:paraId="71C2D164" w14:textId="77777777" w:rsidR="00E3434F" w:rsidRPr="004A0446" w:rsidRDefault="00E3434F" w:rsidP="00E3434F">
      <w:pPr>
        <w:ind w:right="425"/>
        <w:jc w:val="both"/>
        <w:rPr>
          <w:rFonts w:ascii="Abadi" w:hAnsi="Abadi" w:cs="Arial"/>
          <w:b/>
          <w:bCs/>
          <w:sz w:val="21"/>
          <w:szCs w:val="21"/>
        </w:rPr>
      </w:pPr>
      <w:r w:rsidRPr="004A0446">
        <w:rPr>
          <w:rFonts w:ascii="Abadi" w:hAnsi="Abadi" w:cs="Arial"/>
          <w:b/>
          <w:bCs/>
          <w:sz w:val="21"/>
          <w:szCs w:val="21"/>
        </w:rPr>
        <w:t xml:space="preserve">Recursos Autorizados al ISAPEG para el Ejercicio 2022 </w:t>
      </w:r>
    </w:p>
    <w:p w14:paraId="59E7CDF5" w14:textId="77777777" w:rsidR="00E3434F" w:rsidRPr="004A0446" w:rsidRDefault="00E3434F" w:rsidP="00E3434F">
      <w:pPr>
        <w:ind w:right="27"/>
        <w:jc w:val="both"/>
        <w:rPr>
          <w:rFonts w:ascii="Abadi" w:hAnsi="Abadi" w:cs="Arial"/>
          <w:b/>
          <w:bCs/>
          <w:sz w:val="21"/>
          <w:szCs w:val="21"/>
        </w:rPr>
      </w:pPr>
      <w:r w:rsidRPr="004A0446">
        <w:rPr>
          <w:rFonts w:ascii="Abadi" w:hAnsi="Abadi" w:cs="Arial"/>
          <w:b/>
          <w:bCs/>
          <w:sz w:val="21"/>
          <w:szCs w:val="21"/>
        </w:rPr>
        <w:t xml:space="preserve">                                                         (Cifras en millones de pesos)</w:t>
      </w:r>
    </w:p>
    <w:p w14:paraId="2CD507BF" w14:textId="77777777" w:rsidR="00E3434F" w:rsidRPr="004A0446" w:rsidRDefault="00E3434F" w:rsidP="00E3434F">
      <w:pPr>
        <w:spacing w:line="360" w:lineRule="auto"/>
        <w:ind w:right="27" w:firstLine="709"/>
        <w:jc w:val="both"/>
        <w:rPr>
          <w:rFonts w:ascii="Abadi" w:hAnsi="Abadi" w:cs="Arial"/>
          <w:sz w:val="21"/>
          <w:szCs w:val="21"/>
        </w:rPr>
      </w:pP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8"/>
        <w:gridCol w:w="801"/>
        <w:gridCol w:w="801"/>
        <w:gridCol w:w="780"/>
      </w:tblGrid>
      <w:tr w:rsidR="00E3434F" w:rsidRPr="004A0446" w14:paraId="6F716097" w14:textId="77777777" w:rsidTr="00346E33">
        <w:tc>
          <w:tcPr>
            <w:tcW w:w="2240" w:type="dxa"/>
            <w:shd w:val="clear" w:color="auto" w:fill="D9D9D9"/>
          </w:tcPr>
          <w:p w14:paraId="0396F8C4" w14:textId="77777777" w:rsidR="00E3434F" w:rsidRPr="004A0446" w:rsidRDefault="00E3434F" w:rsidP="00346E33">
            <w:pPr>
              <w:ind w:right="27"/>
              <w:jc w:val="center"/>
              <w:rPr>
                <w:rFonts w:ascii="Abadi" w:eastAsia="Calibri" w:hAnsi="Abadi" w:cs="Arial"/>
                <w:sz w:val="21"/>
                <w:szCs w:val="21"/>
              </w:rPr>
            </w:pPr>
            <w:r w:rsidRPr="004A0446">
              <w:rPr>
                <w:rFonts w:ascii="Abadi" w:eastAsia="Calibri" w:hAnsi="Abadi" w:cs="Arial"/>
                <w:sz w:val="21"/>
                <w:szCs w:val="21"/>
              </w:rPr>
              <w:t>Programa Presupuestario</w:t>
            </w:r>
          </w:p>
        </w:tc>
        <w:tc>
          <w:tcPr>
            <w:tcW w:w="483" w:type="dxa"/>
            <w:shd w:val="clear" w:color="auto" w:fill="D9D9D9"/>
          </w:tcPr>
          <w:p w14:paraId="51D22A87" w14:textId="77777777" w:rsidR="00E3434F" w:rsidRPr="004A0446" w:rsidRDefault="00E3434F" w:rsidP="00346E33">
            <w:pPr>
              <w:spacing w:line="360" w:lineRule="auto"/>
              <w:ind w:right="27"/>
              <w:jc w:val="center"/>
              <w:rPr>
                <w:rFonts w:ascii="Abadi" w:eastAsia="Calibri" w:hAnsi="Abadi" w:cs="Arial"/>
                <w:sz w:val="21"/>
                <w:szCs w:val="21"/>
              </w:rPr>
            </w:pPr>
            <w:r w:rsidRPr="004A0446">
              <w:rPr>
                <w:rFonts w:ascii="Abadi" w:eastAsia="Calibri" w:hAnsi="Abadi" w:cs="Arial"/>
                <w:sz w:val="21"/>
                <w:szCs w:val="21"/>
              </w:rPr>
              <w:t>Recurso Estatal</w:t>
            </w:r>
          </w:p>
        </w:tc>
        <w:tc>
          <w:tcPr>
            <w:tcW w:w="483" w:type="dxa"/>
            <w:shd w:val="clear" w:color="auto" w:fill="D9D9D9"/>
          </w:tcPr>
          <w:p w14:paraId="06B66725" w14:textId="77777777" w:rsidR="00E3434F" w:rsidRPr="004A0446" w:rsidRDefault="00E3434F" w:rsidP="00346E33">
            <w:pPr>
              <w:spacing w:line="360" w:lineRule="auto"/>
              <w:ind w:right="27"/>
              <w:jc w:val="center"/>
              <w:rPr>
                <w:rFonts w:ascii="Abadi" w:eastAsia="Calibri" w:hAnsi="Abadi" w:cs="Arial"/>
                <w:sz w:val="21"/>
                <w:szCs w:val="21"/>
              </w:rPr>
            </w:pPr>
            <w:r w:rsidRPr="004A0446">
              <w:rPr>
                <w:rFonts w:ascii="Abadi" w:eastAsia="Calibri" w:hAnsi="Abadi" w:cs="Arial"/>
                <w:sz w:val="21"/>
                <w:szCs w:val="21"/>
              </w:rPr>
              <w:t>Recurso Federal</w:t>
            </w:r>
          </w:p>
        </w:tc>
        <w:tc>
          <w:tcPr>
            <w:tcW w:w="474" w:type="dxa"/>
            <w:shd w:val="clear" w:color="auto" w:fill="D9D9D9"/>
          </w:tcPr>
          <w:p w14:paraId="1E9FB1B6" w14:textId="77777777" w:rsidR="00E3434F" w:rsidRPr="004A0446" w:rsidRDefault="00E3434F" w:rsidP="00346E33">
            <w:pPr>
              <w:spacing w:line="360" w:lineRule="auto"/>
              <w:ind w:right="27"/>
              <w:jc w:val="center"/>
              <w:rPr>
                <w:rFonts w:ascii="Abadi" w:eastAsia="Calibri" w:hAnsi="Abadi" w:cs="Arial"/>
                <w:sz w:val="21"/>
                <w:szCs w:val="21"/>
              </w:rPr>
            </w:pPr>
            <w:r w:rsidRPr="004A0446">
              <w:rPr>
                <w:rFonts w:ascii="Abadi" w:eastAsia="Calibri" w:hAnsi="Abadi" w:cs="Arial"/>
                <w:sz w:val="21"/>
                <w:szCs w:val="21"/>
              </w:rPr>
              <w:t>Total</w:t>
            </w:r>
          </w:p>
        </w:tc>
      </w:tr>
      <w:tr w:rsidR="00E3434F" w:rsidRPr="004A0446" w14:paraId="60915A5A" w14:textId="77777777" w:rsidTr="00346E33">
        <w:tc>
          <w:tcPr>
            <w:tcW w:w="2240" w:type="dxa"/>
            <w:shd w:val="clear" w:color="auto" w:fill="auto"/>
          </w:tcPr>
          <w:p w14:paraId="6B937A03" w14:textId="77777777" w:rsidR="00E3434F" w:rsidRPr="004A0446" w:rsidRDefault="00E3434F" w:rsidP="00346E33">
            <w:pPr>
              <w:spacing w:line="360" w:lineRule="auto"/>
              <w:ind w:right="27"/>
              <w:jc w:val="both"/>
              <w:rPr>
                <w:rFonts w:ascii="Abadi" w:eastAsia="Calibri" w:hAnsi="Abadi" w:cs="Arial"/>
                <w:sz w:val="21"/>
                <w:szCs w:val="21"/>
              </w:rPr>
            </w:pPr>
            <w:r w:rsidRPr="004A0446">
              <w:rPr>
                <w:rFonts w:ascii="Abadi" w:eastAsia="Calibri" w:hAnsi="Abadi" w:cs="Arial"/>
                <w:sz w:val="21"/>
                <w:szCs w:val="21"/>
              </w:rPr>
              <w:t>E012 «Atención Médica»</w:t>
            </w:r>
          </w:p>
        </w:tc>
        <w:tc>
          <w:tcPr>
            <w:tcW w:w="483" w:type="dxa"/>
            <w:shd w:val="clear" w:color="auto" w:fill="auto"/>
          </w:tcPr>
          <w:p w14:paraId="13BCBA5B" w14:textId="77777777" w:rsidR="00E3434F" w:rsidRPr="004A0446" w:rsidRDefault="00E3434F" w:rsidP="00346E33">
            <w:pPr>
              <w:spacing w:line="360" w:lineRule="auto"/>
              <w:ind w:right="27"/>
              <w:jc w:val="center"/>
              <w:rPr>
                <w:rFonts w:ascii="Abadi" w:eastAsia="Calibri" w:hAnsi="Abadi" w:cs="Arial"/>
                <w:sz w:val="21"/>
                <w:szCs w:val="21"/>
              </w:rPr>
            </w:pPr>
            <w:r w:rsidRPr="004A0446">
              <w:rPr>
                <w:rFonts w:ascii="Abadi" w:eastAsia="Calibri" w:hAnsi="Abadi" w:cs="Arial"/>
                <w:sz w:val="21"/>
                <w:szCs w:val="21"/>
              </w:rPr>
              <w:t>4,972</w:t>
            </w:r>
          </w:p>
        </w:tc>
        <w:tc>
          <w:tcPr>
            <w:tcW w:w="483" w:type="dxa"/>
            <w:shd w:val="clear" w:color="auto" w:fill="auto"/>
          </w:tcPr>
          <w:p w14:paraId="4A45F2E0" w14:textId="77777777" w:rsidR="00E3434F" w:rsidRPr="004A0446" w:rsidRDefault="00E3434F" w:rsidP="00346E33">
            <w:pPr>
              <w:spacing w:line="360" w:lineRule="auto"/>
              <w:ind w:right="27"/>
              <w:jc w:val="center"/>
              <w:rPr>
                <w:rFonts w:ascii="Abadi" w:eastAsia="Calibri" w:hAnsi="Abadi" w:cs="Arial"/>
                <w:sz w:val="21"/>
                <w:szCs w:val="21"/>
              </w:rPr>
            </w:pPr>
            <w:r w:rsidRPr="004A0446">
              <w:rPr>
                <w:rFonts w:ascii="Abadi" w:eastAsia="Calibri" w:hAnsi="Abadi" w:cs="Arial"/>
                <w:sz w:val="21"/>
                <w:szCs w:val="21"/>
              </w:rPr>
              <w:t>5,623</w:t>
            </w:r>
          </w:p>
        </w:tc>
        <w:tc>
          <w:tcPr>
            <w:tcW w:w="474" w:type="dxa"/>
            <w:shd w:val="clear" w:color="auto" w:fill="auto"/>
          </w:tcPr>
          <w:p w14:paraId="78834F97" w14:textId="77777777" w:rsidR="00E3434F" w:rsidRPr="004A0446" w:rsidRDefault="00E3434F" w:rsidP="00346E33">
            <w:pPr>
              <w:spacing w:line="360" w:lineRule="auto"/>
              <w:ind w:right="27"/>
              <w:jc w:val="center"/>
              <w:rPr>
                <w:rFonts w:ascii="Abadi" w:eastAsia="Calibri" w:hAnsi="Abadi" w:cs="Arial"/>
                <w:sz w:val="21"/>
                <w:szCs w:val="21"/>
              </w:rPr>
            </w:pPr>
            <w:r w:rsidRPr="004A0446">
              <w:rPr>
                <w:rFonts w:ascii="Abadi" w:eastAsia="Calibri" w:hAnsi="Abadi" w:cs="Arial"/>
                <w:sz w:val="21"/>
                <w:szCs w:val="21"/>
              </w:rPr>
              <w:t>10,595</w:t>
            </w:r>
          </w:p>
        </w:tc>
      </w:tr>
      <w:tr w:rsidR="00E3434F" w:rsidRPr="004A0446" w14:paraId="37029667" w14:textId="77777777" w:rsidTr="00346E33">
        <w:tc>
          <w:tcPr>
            <w:tcW w:w="2240" w:type="dxa"/>
            <w:shd w:val="clear" w:color="auto" w:fill="auto"/>
          </w:tcPr>
          <w:p w14:paraId="43440A55" w14:textId="77777777" w:rsidR="00E3434F" w:rsidRPr="004A0446" w:rsidRDefault="00E3434F" w:rsidP="00346E33">
            <w:pPr>
              <w:spacing w:line="360" w:lineRule="auto"/>
              <w:ind w:right="27"/>
              <w:jc w:val="both"/>
              <w:rPr>
                <w:rFonts w:ascii="Abadi" w:eastAsia="Calibri" w:hAnsi="Abadi" w:cs="Arial"/>
                <w:sz w:val="21"/>
                <w:szCs w:val="21"/>
              </w:rPr>
            </w:pPr>
            <w:r w:rsidRPr="004A0446">
              <w:rPr>
                <w:rFonts w:ascii="Abadi" w:eastAsia="Calibri" w:hAnsi="Abadi" w:cs="Arial"/>
                <w:sz w:val="21"/>
                <w:szCs w:val="21"/>
              </w:rPr>
              <w:t>E064 «Prevención en salud»</w:t>
            </w:r>
          </w:p>
        </w:tc>
        <w:tc>
          <w:tcPr>
            <w:tcW w:w="483" w:type="dxa"/>
            <w:shd w:val="clear" w:color="auto" w:fill="auto"/>
          </w:tcPr>
          <w:p w14:paraId="244D3E57" w14:textId="77777777" w:rsidR="00E3434F" w:rsidRPr="004A0446" w:rsidRDefault="00E3434F" w:rsidP="00346E33">
            <w:pPr>
              <w:spacing w:line="360" w:lineRule="auto"/>
              <w:ind w:right="27"/>
              <w:jc w:val="center"/>
              <w:rPr>
                <w:rFonts w:ascii="Abadi" w:eastAsia="Calibri" w:hAnsi="Abadi" w:cs="Arial"/>
                <w:sz w:val="21"/>
                <w:szCs w:val="21"/>
              </w:rPr>
            </w:pPr>
            <w:r w:rsidRPr="004A0446">
              <w:rPr>
                <w:rFonts w:ascii="Abadi" w:eastAsia="Calibri" w:hAnsi="Abadi" w:cs="Arial"/>
                <w:sz w:val="21"/>
                <w:szCs w:val="21"/>
              </w:rPr>
              <w:t>1,077</w:t>
            </w:r>
          </w:p>
        </w:tc>
        <w:tc>
          <w:tcPr>
            <w:tcW w:w="483" w:type="dxa"/>
            <w:shd w:val="clear" w:color="auto" w:fill="auto"/>
          </w:tcPr>
          <w:p w14:paraId="425D52D1" w14:textId="77777777" w:rsidR="00E3434F" w:rsidRPr="004A0446" w:rsidRDefault="00E3434F" w:rsidP="00346E33">
            <w:pPr>
              <w:spacing w:line="360" w:lineRule="auto"/>
              <w:ind w:right="27"/>
              <w:jc w:val="center"/>
              <w:rPr>
                <w:rFonts w:ascii="Abadi" w:eastAsia="Calibri" w:hAnsi="Abadi" w:cs="Arial"/>
                <w:sz w:val="21"/>
                <w:szCs w:val="21"/>
              </w:rPr>
            </w:pPr>
            <w:r w:rsidRPr="004A0446">
              <w:rPr>
                <w:rFonts w:ascii="Abadi" w:eastAsia="Calibri" w:hAnsi="Abadi" w:cs="Arial"/>
                <w:sz w:val="21"/>
                <w:szCs w:val="21"/>
              </w:rPr>
              <w:t>2,133</w:t>
            </w:r>
          </w:p>
        </w:tc>
        <w:tc>
          <w:tcPr>
            <w:tcW w:w="474" w:type="dxa"/>
            <w:shd w:val="clear" w:color="auto" w:fill="auto"/>
          </w:tcPr>
          <w:p w14:paraId="113EF325" w14:textId="77777777" w:rsidR="00E3434F" w:rsidRPr="004A0446" w:rsidRDefault="00E3434F" w:rsidP="00346E33">
            <w:pPr>
              <w:spacing w:line="360" w:lineRule="auto"/>
              <w:ind w:right="27"/>
              <w:jc w:val="center"/>
              <w:rPr>
                <w:rFonts w:ascii="Abadi" w:eastAsia="Calibri" w:hAnsi="Abadi" w:cs="Arial"/>
                <w:sz w:val="21"/>
                <w:szCs w:val="21"/>
              </w:rPr>
            </w:pPr>
            <w:r w:rsidRPr="004A0446">
              <w:rPr>
                <w:rFonts w:ascii="Abadi" w:eastAsia="Calibri" w:hAnsi="Abadi" w:cs="Arial"/>
                <w:sz w:val="21"/>
                <w:szCs w:val="21"/>
              </w:rPr>
              <w:t>3,210</w:t>
            </w:r>
          </w:p>
        </w:tc>
      </w:tr>
      <w:tr w:rsidR="00E3434F" w:rsidRPr="004A0446" w14:paraId="7BEC6CDE" w14:textId="77777777" w:rsidTr="00346E33">
        <w:tc>
          <w:tcPr>
            <w:tcW w:w="2240" w:type="dxa"/>
            <w:shd w:val="clear" w:color="auto" w:fill="auto"/>
          </w:tcPr>
          <w:p w14:paraId="7950BD97" w14:textId="77777777" w:rsidR="00E3434F" w:rsidRPr="004A0446" w:rsidRDefault="00E3434F" w:rsidP="00346E33">
            <w:pPr>
              <w:spacing w:line="360" w:lineRule="auto"/>
              <w:ind w:right="27"/>
              <w:jc w:val="both"/>
              <w:rPr>
                <w:rFonts w:ascii="Abadi" w:eastAsia="Calibri" w:hAnsi="Abadi" w:cs="Arial"/>
                <w:sz w:val="21"/>
                <w:szCs w:val="21"/>
              </w:rPr>
            </w:pPr>
            <w:r w:rsidRPr="004A0446">
              <w:rPr>
                <w:rFonts w:ascii="Abadi" w:eastAsia="Calibri" w:hAnsi="Abadi" w:cs="Arial"/>
                <w:sz w:val="21"/>
                <w:szCs w:val="21"/>
              </w:rPr>
              <w:t>Procesos de Gestión y mando</w:t>
            </w:r>
          </w:p>
        </w:tc>
        <w:tc>
          <w:tcPr>
            <w:tcW w:w="483" w:type="dxa"/>
            <w:shd w:val="clear" w:color="auto" w:fill="auto"/>
          </w:tcPr>
          <w:p w14:paraId="29863155" w14:textId="77777777" w:rsidR="00E3434F" w:rsidRPr="004A0446" w:rsidRDefault="00E3434F" w:rsidP="00346E33">
            <w:pPr>
              <w:spacing w:line="360" w:lineRule="auto"/>
              <w:ind w:right="27"/>
              <w:jc w:val="center"/>
              <w:rPr>
                <w:rFonts w:ascii="Abadi" w:eastAsia="Calibri" w:hAnsi="Abadi" w:cs="Arial"/>
                <w:sz w:val="21"/>
                <w:szCs w:val="21"/>
              </w:rPr>
            </w:pPr>
            <w:r w:rsidRPr="004A0446">
              <w:rPr>
                <w:rFonts w:ascii="Abadi" w:eastAsia="Calibri" w:hAnsi="Abadi" w:cs="Arial"/>
                <w:sz w:val="21"/>
                <w:szCs w:val="21"/>
              </w:rPr>
              <w:t>266</w:t>
            </w:r>
          </w:p>
        </w:tc>
        <w:tc>
          <w:tcPr>
            <w:tcW w:w="483" w:type="dxa"/>
            <w:shd w:val="clear" w:color="auto" w:fill="auto"/>
          </w:tcPr>
          <w:p w14:paraId="1C1F5DE0" w14:textId="77777777" w:rsidR="00E3434F" w:rsidRPr="004A0446" w:rsidRDefault="00E3434F" w:rsidP="00346E33">
            <w:pPr>
              <w:spacing w:line="360" w:lineRule="auto"/>
              <w:ind w:right="27"/>
              <w:jc w:val="center"/>
              <w:rPr>
                <w:rFonts w:ascii="Abadi" w:eastAsia="Calibri" w:hAnsi="Abadi" w:cs="Arial"/>
                <w:sz w:val="21"/>
                <w:szCs w:val="21"/>
              </w:rPr>
            </w:pPr>
            <w:r w:rsidRPr="004A0446">
              <w:rPr>
                <w:rFonts w:ascii="Abadi" w:eastAsia="Calibri" w:hAnsi="Abadi" w:cs="Arial"/>
                <w:sz w:val="21"/>
                <w:szCs w:val="21"/>
              </w:rPr>
              <w:t>252</w:t>
            </w:r>
          </w:p>
        </w:tc>
        <w:tc>
          <w:tcPr>
            <w:tcW w:w="474" w:type="dxa"/>
            <w:shd w:val="clear" w:color="auto" w:fill="auto"/>
          </w:tcPr>
          <w:p w14:paraId="7A61259A" w14:textId="77777777" w:rsidR="00E3434F" w:rsidRPr="004A0446" w:rsidRDefault="00E3434F" w:rsidP="00346E33">
            <w:pPr>
              <w:spacing w:line="360" w:lineRule="auto"/>
              <w:ind w:right="27"/>
              <w:jc w:val="center"/>
              <w:rPr>
                <w:rFonts w:ascii="Abadi" w:eastAsia="Calibri" w:hAnsi="Abadi" w:cs="Arial"/>
                <w:sz w:val="21"/>
                <w:szCs w:val="21"/>
              </w:rPr>
            </w:pPr>
            <w:r w:rsidRPr="004A0446">
              <w:rPr>
                <w:rFonts w:ascii="Abadi" w:eastAsia="Calibri" w:hAnsi="Abadi" w:cs="Arial"/>
                <w:sz w:val="21"/>
                <w:szCs w:val="21"/>
              </w:rPr>
              <w:t>518</w:t>
            </w:r>
          </w:p>
        </w:tc>
      </w:tr>
      <w:tr w:rsidR="00E3434F" w:rsidRPr="004A0446" w14:paraId="576F9B11" w14:textId="77777777" w:rsidTr="00346E33">
        <w:tc>
          <w:tcPr>
            <w:tcW w:w="2240" w:type="dxa"/>
            <w:shd w:val="clear" w:color="auto" w:fill="auto"/>
          </w:tcPr>
          <w:p w14:paraId="38197E74" w14:textId="77777777" w:rsidR="00E3434F" w:rsidRPr="004A0446" w:rsidRDefault="00E3434F" w:rsidP="00346E33">
            <w:pPr>
              <w:spacing w:line="360" w:lineRule="auto"/>
              <w:ind w:right="27"/>
              <w:jc w:val="both"/>
              <w:rPr>
                <w:rFonts w:ascii="Abadi" w:eastAsia="Calibri" w:hAnsi="Abadi" w:cs="Arial"/>
                <w:b/>
                <w:bCs/>
                <w:sz w:val="21"/>
                <w:szCs w:val="21"/>
              </w:rPr>
            </w:pPr>
            <w:r w:rsidRPr="004A0446">
              <w:rPr>
                <w:rFonts w:ascii="Abadi" w:eastAsia="Calibri" w:hAnsi="Abadi" w:cs="Arial"/>
                <w:b/>
                <w:bCs/>
                <w:sz w:val="21"/>
                <w:szCs w:val="21"/>
              </w:rPr>
              <w:t xml:space="preserve">Total </w:t>
            </w:r>
          </w:p>
        </w:tc>
        <w:tc>
          <w:tcPr>
            <w:tcW w:w="483" w:type="dxa"/>
            <w:shd w:val="clear" w:color="auto" w:fill="auto"/>
          </w:tcPr>
          <w:p w14:paraId="45150115" w14:textId="77777777" w:rsidR="00E3434F" w:rsidRPr="004A0446" w:rsidRDefault="00E3434F" w:rsidP="00346E33">
            <w:pPr>
              <w:spacing w:line="360" w:lineRule="auto"/>
              <w:ind w:right="27"/>
              <w:jc w:val="center"/>
              <w:rPr>
                <w:rFonts w:ascii="Abadi" w:eastAsia="Calibri" w:hAnsi="Abadi" w:cs="Arial"/>
                <w:b/>
                <w:bCs/>
                <w:sz w:val="21"/>
                <w:szCs w:val="21"/>
              </w:rPr>
            </w:pPr>
            <w:r w:rsidRPr="004A0446">
              <w:rPr>
                <w:rFonts w:ascii="Abadi" w:eastAsia="Calibri" w:hAnsi="Abadi" w:cs="Arial"/>
                <w:b/>
                <w:bCs/>
                <w:sz w:val="21"/>
                <w:szCs w:val="21"/>
              </w:rPr>
              <w:t>6,316</w:t>
            </w:r>
          </w:p>
        </w:tc>
        <w:tc>
          <w:tcPr>
            <w:tcW w:w="483" w:type="dxa"/>
            <w:shd w:val="clear" w:color="auto" w:fill="auto"/>
          </w:tcPr>
          <w:p w14:paraId="51D74D68" w14:textId="77777777" w:rsidR="00E3434F" w:rsidRPr="004A0446" w:rsidRDefault="00E3434F" w:rsidP="00346E33">
            <w:pPr>
              <w:spacing w:line="360" w:lineRule="auto"/>
              <w:ind w:right="27"/>
              <w:jc w:val="center"/>
              <w:rPr>
                <w:rFonts w:ascii="Abadi" w:eastAsia="Calibri" w:hAnsi="Abadi" w:cs="Arial"/>
                <w:b/>
                <w:bCs/>
                <w:sz w:val="21"/>
                <w:szCs w:val="21"/>
              </w:rPr>
            </w:pPr>
            <w:r w:rsidRPr="004A0446">
              <w:rPr>
                <w:rFonts w:ascii="Abadi" w:eastAsia="Calibri" w:hAnsi="Abadi" w:cs="Arial"/>
                <w:b/>
                <w:bCs/>
                <w:sz w:val="21"/>
                <w:szCs w:val="21"/>
              </w:rPr>
              <w:t>8,007</w:t>
            </w:r>
          </w:p>
        </w:tc>
        <w:tc>
          <w:tcPr>
            <w:tcW w:w="474" w:type="dxa"/>
            <w:shd w:val="clear" w:color="auto" w:fill="auto"/>
          </w:tcPr>
          <w:p w14:paraId="4BC17342" w14:textId="77777777" w:rsidR="00E3434F" w:rsidRPr="004A0446" w:rsidRDefault="00E3434F" w:rsidP="00346E33">
            <w:pPr>
              <w:spacing w:line="360" w:lineRule="auto"/>
              <w:ind w:right="27"/>
              <w:jc w:val="center"/>
              <w:rPr>
                <w:rFonts w:ascii="Abadi" w:eastAsia="Calibri" w:hAnsi="Abadi" w:cs="Arial"/>
                <w:b/>
                <w:bCs/>
                <w:sz w:val="21"/>
                <w:szCs w:val="21"/>
              </w:rPr>
            </w:pPr>
            <w:r w:rsidRPr="004A0446">
              <w:rPr>
                <w:rFonts w:ascii="Abadi" w:eastAsia="Calibri" w:hAnsi="Abadi" w:cs="Arial"/>
                <w:b/>
                <w:bCs/>
                <w:sz w:val="21"/>
                <w:szCs w:val="21"/>
              </w:rPr>
              <w:t>14,323</w:t>
            </w:r>
          </w:p>
        </w:tc>
      </w:tr>
    </w:tbl>
    <w:p w14:paraId="6F9CD12F" w14:textId="77777777" w:rsidR="00E3434F" w:rsidRPr="004A0446" w:rsidRDefault="00E3434F" w:rsidP="00E3434F">
      <w:pPr>
        <w:spacing w:line="360" w:lineRule="auto"/>
        <w:ind w:right="27" w:firstLine="709"/>
        <w:jc w:val="both"/>
        <w:rPr>
          <w:rFonts w:ascii="Abadi" w:hAnsi="Abadi" w:cs="Arial"/>
          <w:sz w:val="21"/>
          <w:szCs w:val="21"/>
        </w:rPr>
      </w:pPr>
    </w:p>
    <w:p w14:paraId="6E11FB7F" w14:textId="77777777" w:rsidR="00E3434F" w:rsidRPr="004A0446" w:rsidRDefault="00E3434F" w:rsidP="003B471E">
      <w:pPr>
        <w:ind w:left="1134" w:right="567"/>
        <w:jc w:val="both"/>
        <w:rPr>
          <w:rFonts w:ascii="Abadi" w:hAnsi="Abadi" w:cs="Arial"/>
          <w:sz w:val="21"/>
          <w:szCs w:val="21"/>
        </w:rPr>
      </w:pPr>
      <w:r w:rsidRPr="004A0446">
        <w:rPr>
          <w:rFonts w:ascii="Abadi" w:hAnsi="Abadi" w:cs="Arial"/>
          <w:sz w:val="21"/>
          <w:szCs w:val="21"/>
        </w:rPr>
        <w:t>Dichos programas presupuestarios se encuentran financiados con recursos estatales y federales. Estos últimos tienen un destino específico y se regulan mediante la normativa federal aplicable, el convenio respectivo y reglas de operación correspondientes.</w:t>
      </w:r>
    </w:p>
    <w:p w14:paraId="42EA280E" w14:textId="77777777" w:rsidR="00E3434F" w:rsidRPr="004A0446" w:rsidRDefault="00E3434F" w:rsidP="003B471E">
      <w:pPr>
        <w:ind w:left="1134" w:right="567"/>
        <w:jc w:val="both"/>
        <w:rPr>
          <w:rFonts w:ascii="Abadi" w:hAnsi="Abadi" w:cs="Arial"/>
          <w:sz w:val="21"/>
          <w:szCs w:val="21"/>
        </w:rPr>
      </w:pPr>
    </w:p>
    <w:p w14:paraId="2C0F70BC" w14:textId="77777777" w:rsidR="00E3434F" w:rsidRPr="004A0446" w:rsidRDefault="00E3434F" w:rsidP="003B471E">
      <w:pPr>
        <w:ind w:left="1134" w:right="567"/>
        <w:jc w:val="both"/>
        <w:rPr>
          <w:rFonts w:ascii="Abadi" w:hAnsi="Abadi" w:cs="Arial"/>
          <w:sz w:val="21"/>
          <w:szCs w:val="21"/>
        </w:rPr>
      </w:pPr>
      <w:r w:rsidRPr="004A0446">
        <w:rPr>
          <w:rFonts w:ascii="Abadi" w:hAnsi="Abadi" w:cs="Arial"/>
          <w:sz w:val="21"/>
          <w:szCs w:val="21"/>
        </w:rPr>
        <w:t>Es importante puntualizar que el programa presupuestario E064 «Prevención en Salud» tiene como fin el contribuir a impulsar una vida plena y saludable mediante acciones preventivas para incrementar la esperanza de vida y la salud integral de la población guanajuatense.</w:t>
      </w:r>
    </w:p>
    <w:p w14:paraId="6764B95B" w14:textId="77777777" w:rsidR="00E3434F" w:rsidRPr="004A0446" w:rsidRDefault="00E3434F" w:rsidP="003B471E">
      <w:pPr>
        <w:ind w:left="1134" w:right="567"/>
        <w:jc w:val="both"/>
        <w:rPr>
          <w:rFonts w:ascii="Abadi" w:hAnsi="Abadi" w:cs="Arial"/>
          <w:sz w:val="21"/>
          <w:szCs w:val="21"/>
        </w:rPr>
      </w:pPr>
    </w:p>
    <w:p w14:paraId="1E27C8D4" w14:textId="77777777" w:rsidR="00E3434F" w:rsidRPr="004A0446" w:rsidRDefault="00E3434F" w:rsidP="003B471E">
      <w:pPr>
        <w:ind w:left="1134" w:right="567"/>
        <w:jc w:val="both"/>
        <w:rPr>
          <w:rFonts w:ascii="Abadi" w:hAnsi="Abadi" w:cs="Arial"/>
          <w:sz w:val="21"/>
          <w:szCs w:val="21"/>
        </w:rPr>
      </w:pPr>
      <w:r w:rsidRPr="004A0446">
        <w:rPr>
          <w:rFonts w:ascii="Abadi" w:hAnsi="Abadi" w:cs="Arial"/>
          <w:sz w:val="21"/>
          <w:szCs w:val="21"/>
        </w:rPr>
        <w:t>Asimismo, en el programa presupuestario E012 «Atención Médica» los recursos se destinan a servicios básicos, comerciales, suministros, mantenimiento, conservación de bienes inmuebles realizadas en las Jurisdicciones Sanitarias, Unidades Médicas de Primer nivel de atención, Unidades Médicas de Segundo nivel de atención, Unidades de apoyo, Unidades Médicas de Especialidad de manera centralizada con base a la normatividad aplicable.</w:t>
      </w:r>
    </w:p>
    <w:p w14:paraId="77502EA6" w14:textId="77777777" w:rsidR="00E3434F" w:rsidRPr="004A0446" w:rsidRDefault="00E3434F" w:rsidP="00E3434F">
      <w:pPr>
        <w:spacing w:line="276" w:lineRule="auto"/>
        <w:ind w:right="425" w:firstLine="709"/>
        <w:jc w:val="both"/>
        <w:rPr>
          <w:rFonts w:ascii="Abadi" w:hAnsi="Abadi" w:cs="Arial"/>
          <w:sz w:val="21"/>
          <w:szCs w:val="21"/>
        </w:rPr>
      </w:pPr>
    </w:p>
    <w:p w14:paraId="5A1A9B00" w14:textId="77777777" w:rsidR="00E3434F" w:rsidRPr="004A0446" w:rsidRDefault="00E3434F" w:rsidP="0051150B">
      <w:pPr>
        <w:ind w:left="1134" w:right="567"/>
        <w:jc w:val="both"/>
        <w:rPr>
          <w:rFonts w:ascii="Abadi" w:hAnsi="Abadi" w:cs="Arial"/>
          <w:sz w:val="21"/>
          <w:szCs w:val="21"/>
        </w:rPr>
      </w:pPr>
      <w:r w:rsidRPr="004A0446">
        <w:rPr>
          <w:rFonts w:ascii="Abadi" w:hAnsi="Abadi" w:cs="Arial"/>
          <w:sz w:val="21"/>
          <w:szCs w:val="21"/>
        </w:rPr>
        <w:t>Aunado a lo expuesto, se identifican otros programas presupuestarios que ofrecen atención complementaria en la prevención del suicidio, tales como:</w:t>
      </w:r>
    </w:p>
    <w:p w14:paraId="49B94337" w14:textId="77777777" w:rsidR="00E3434F" w:rsidRPr="004A0446" w:rsidRDefault="00E3434F" w:rsidP="0051150B">
      <w:pPr>
        <w:ind w:right="567" w:firstLine="709"/>
        <w:jc w:val="both"/>
        <w:rPr>
          <w:rFonts w:ascii="Abadi" w:hAnsi="Abadi" w:cs="Arial"/>
          <w:sz w:val="21"/>
          <w:szCs w:val="21"/>
        </w:rPr>
      </w:pPr>
    </w:p>
    <w:p w14:paraId="63546441" w14:textId="77777777" w:rsidR="00E3434F" w:rsidRPr="004A0446" w:rsidRDefault="00E3434F" w:rsidP="0051150B">
      <w:pPr>
        <w:numPr>
          <w:ilvl w:val="0"/>
          <w:numId w:val="64"/>
        </w:numPr>
        <w:tabs>
          <w:tab w:val="left" w:pos="1843"/>
        </w:tabs>
        <w:ind w:left="1843" w:right="567" w:hanging="283"/>
        <w:jc w:val="both"/>
        <w:rPr>
          <w:rFonts w:ascii="Abadi" w:hAnsi="Abadi" w:cs="Arial"/>
          <w:sz w:val="21"/>
          <w:szCs w:val="21"/>
        </w:rPr>
      </w:pPr>
      <w:r w:rsidRPr="004A0446">
        <w:rPr>
          <w:rFonts w:ascii="Abadi" w:hAnsi="Abadi" w:cs="Arial"/>
          <w:sz w:val="21"/>
          <w:szCs w:val="21"/>
        </w:rPr>
        <w:t>«E007 Atención integral a las personas con discapacidad», a cargo del Instituto Guanajuatense para las Personas con Discapacidad, el cual ofrece tratamiento psicológico individual a usuarios en consulta externa e internamiento con y sin adicciones para el mejoramiento de la salud mental, asimismo brinda atención a personas adictas a sustancias y/o con trastornos emotivo conductuales con o sin discapacidad, brindando terapias psicológicas a las mismas y a sus familiares, así como tratamiento residencial.</w:t>
      </w:r>
    </w:p>
    <w:p w14:paraId="3796F232" w14:textId="77777777" w:rsidR="00E3434F" w:rsidRPr="004A0446" w:rsidRDefault="00E3434F" w:rsidP="0051150B">
      <w:pPr>
        <w:ind w:left="1843" w:right="567" w:hanging="283"/>
        <w:jc w:val="both"/>
        <w:rPr>
          <w:rFonts w:ascii="Abadi" w:hAnsi="Abadi" w:cs="Arial"/>
          <w:sz w:val="21"/>
          <w:szCs w:val="21"/>
        </w:rPr>
      </w:pPr>
    </w:p>
    <w:p w14:paraId="34D6472D" w14:textId="77777777" w:rsidR="00E3434F" w:rsidRPr="004A0446" w:rsidRDefault="00E3434F" w:rsidP="0051150B">
      <w:pPr>
        <w:numPr>
          <w:ilvl w:val="0"/>
          <w:numId w:val="64"/>
        </w:numPr>
        <w:ind w:left="1843" w:right="567" w:hanging="425"/>
        <w:jc w:val="both"/>
        <w:rPr>
          <w:rFonts w:ascii="Abadi" w:hAnsi="Abadi" w:cs="Arial"/>
          <w:sz w:val="21"/>
          <w:szCs w:val="21"/>
        </w:rPr>
      </w:pPr>
      <w:r w:rsidRPr="004A0446">
        <w:rPr>
          <w:rFonts w:ascii="Abadi" w:hAnsi="Abadi" w:cs="Arial"/>
          <w:sz w:val="21"/>
          <w:szCs w:val="21"/>
        </w:rPr>
        <w:t>«E008 Atención integral a niñas, niños y adolescentes», a cargo de la Secretaría de Gobierno, el Sistema para el Desarrollo Integral de la Familia del Estado, y la Procuraduría de Protección de Niñas, Niños y Adolescentes del Estado de Guanajuato, cuyo objetivo es el de promover la protección de los derechos de las niñas, niños y adolescentes guanajuatenses. Mediante dicho programa opera el Centro de innovación por el derecho a vivir en familia, el cual fortalece en las familias la educación parental la promoción de la crianza positiva, la salud mental y los derechos humanos de niñas, niños y adolescentes.</w:t>
      </w:r>
    </w:p>
    <w:p w14:paraId="1B75491D" w14:textId="77777777" w:rsidR="00E3434F" w:rsidRPr="004A0446" w:rsidRDefault="00E3434F" w:rsidP="0051150B">
      <w:pPr>
        <w:ind w:right="567" w:firstLine="1560"/>
        <w:jc w:val="both"/>
        <w:rPr>
          <w:rFonts w:ascii="Abadi" w:hAnsi="Abadi" w:cs="Arial"/>
          <w:sz w:val="21"/>
          <w:szCs w:val="21"/>
        </w:rPr>
      </w:pPr>
    </w:p>
    <w:p w14:paraId="7D82A71C" w14:textId="77777777" w:rsidR="00E3434F" w:rsidRPr="004A0446" w:rsidRDefault="00E3434F" w:rsidP="0051150B">
      <w:pPr>
        <w:numPr>
          <w:ilvl w:val="0"/>
          <w:numId w:val="65"/>
        </w:numPr>
        <w:tabs>
          <w:tab w:val="left" w:pos="1843"/>
        </w:tabs>
        <w:ind w:left="1843" w:right="567" w:hanging="425"/>
        <w:jc w:val="both"/>
        <w:rPr>
          <w:rFonts w:ascii="Abadi" w:hAnsi="Abadi" w:cs="Arial"/>
          <w:sz w:val="21"/>
          <w:szCs w:val="21"/>
        </w:rPr>
      </w:pPr>
      <w:r w:rsidRPr="004A0446">
        <w:rPr>
          <w:rFonts w:ascii="Abadi" w:hAnsi="Abadi" w:cs="Arial"/>
          <w:sz w:val="21"/>
          <w:szCs w:val="21"/>
        </w:rPr>
        <w:t>«E009 Atención integral para adultos mayores», a cargo del Sistema para el Desarrollo Integral de la Familia del Estado, con el objetivo de atender a los adultos mayores del Estado, a través de programas integrales que mejoren su calidad de vida. Particularmente, brinda capacitaciones en temas de salud mental, física, nutricional, bucal, de derechos de las personas adultas mayores y sobre temas sociales, económico productivos, reducción de riesgos y daños a su salud e integridad física.</w:t>
      </w:r>
    </w:p>
    <w:p w14:paraId="1851EB9D" w14:textId="77777777" w:rsidR="00E3434F" w:rsidRPr="004A0446" w:rsidRDefault="00E3434F" w:rsidP="0051150B">
      <w:pPr>
        <w:ind w:right="567" w:firstLine="709"/>
        <w:jc w:val="both"/>
        <w:rPr>
          <w:rFonts w:ascii="Abadi" w:hAnsi="Abadi" w:cs="Arial"/>
          <w:sz w:val="21"/>
          <w:szCs w:val="21"/>
        </w:rPr>
      </w:pPr>
    </w:p>
    <w:p w14:paraId="19C8A50D" w14:textId="77777777" w:rsidR="00E3434F" w:rsidRPr="004A0446" w:rsidRDefault="00E3434F" w:rsidP="0051150B">
      <w:pPr>
        <w:ind w:left="1134" w:right="567"/>
        <w:jc w:val="both"/>
        <w:rPr>
          <w:rFonts w:ascii="Abadi" w:hAnsi="Abadi" w:cs="Arial"/>
          <w:sz w:val="21"/>
          <w:szCs w:val="21"/>
        </w:rPr>
      </w:pPr>
      <w:r w:rsidRPr="004A0446">
        <w:rPr>
          <w:rFonts w:ascii="Abadi" w:hAnsi="Abadi" w:cs="Arial"/>
          <w:sz w:val="21"/>
          <w:szCs w:val="21"/>
        </w:rPr>
        <w:t>Derivado de lo anterior, se advierte en primer término que la Secretaría de Salud, por conducto del ISAPEG, ya proporciona, a través de los programas a su cargo, servicios de salud mental en materia de suicidio, maximizando la estructura administrativa existente, por lo que no se estima necesaria la creación de un equipo interdisciplinario para el acompañamiento del paciente durante su tratamiento, rehabilitación y reincorporación social, como lo propone el iniciante. De igual manera, ya se prevé como parte de los programas presupuestados, la capacitación al personal de la Secretaría Salud, a cargo de quienes se ejercen tales funciones, en materia de suicidio, aunado a que dicha dependencia refuerza los servicios de salud mental para la atención del suicidio este 2022</w:t>
      </w:r>
      <w:r w:rsidRPr="004A0446">
        <w:rPr>
          <w:rFonts w:ascii="Abadi" w:hAnsi="Abadi" w:cs="Arial"/>
          <w:sz w:val="21"/>
          <w:szCs w:val="21"/>
          <w:vertAlign w:val="superscript"/>
        </w:rPr>
        <w:footnoteReference w:id="137"/>
      </w:r>
      <w:r w:rsidRPr="004A0446">
        <w:rPr>
          <w:rFonts w:ascii="Abadi" w:hAnsi="Abadi" w:cs="Arial"/>
          <w:sz w:val="21"/>
          <w:szCs w:val="21"/>
        </w:rPr>
        <w:t>.</w:t>
      </w:r>
    </w:p>
    <w:p w14:paraId="4170B459" w14:textId="77777777" w:rsidR="00E3434F" w:rsidRPr="004A0446" w:rsidRDefault="00E3434F" w:rsidP="0051150B">
      <w:pPr>
        <w:ind w:left="1134" w:right="567"/>
        <w:jc w:val="both"/>
        <w:rPr>
          <w:rFonts w:ascii="Abadi" w:hAnsi="Abadi" w:cs="Arial"/>
          <w:sz w:val="21"/>
          <w:szCs w:val="21"/>
        </w:rPr>
      </w:pPr>
    </w:p>
    <w:p w14:paraId="1BC37EE5" w14:textId="77777777" w:rsidR="00E3434F" w:rsidRPr="004A0446" w:rsidRDefault="00E3434F" w:rsidP="0051150B">
      <w:pPr>
        <w:ind w:right="27" w:firstLine="1134"/>
        <w:jc w:val="both"/>
        <w:rPr>
          <w:rFonts w:ascii="Abadi" w:hAnsi="Abadi" w:cs="Arial"/>
          <w:b/>
          <w:bCs/>
          <w:sz w:val="21"/>
          <w:szCs w:val="21"/>
        </w:rPr>
      </w:pPr>
      <w:r w:rsidRPr="004A0446">
        <w:rPr>
          <w:rFonts w:ascii="Abadi" w:hAnsi="Abadi" w:cs="Arial"/>
          <w:b/>
          <w:bCs/>
          <w:sz w:val="21"/>
          <w:szCs w:val="21"/>
        </w:rPr>
        <w:t>III.7 Alcances de la iniciativa</w:t>
      </w:r>
    </w:p>
    <w:p w14:paraId="35E7D263" w14:textId="77777777" w:rsidR="00E3434F" w:rsidRPr="004A0446" w:rsidRDefault="00E3434F" w:rsidP="0051150B">
      <w:pPr>
        <w:ind w:left="1134" w:right="567" w:firstLine="426"/>
        <w:jc w:val="both"/>
        <w:rPr>
          <w:rFonts w:ascii="Abadi" w:hAnsi="Abadi" w:cs="Arial"/>
          <w:sz w:val="21"/>
          <w:szCs w:val="21"/>
        </w:rPr>
      </w:pPr>
      <w:r w:rsidRPr="004A0446">
        <w:rPr>
          <w:rFonts w:ascii="Abadi" w:hAnsi="Abadi" w:cs="Arial"/>
          <w:sz w:val="21"/>
          <w:szCs w:val="21"/>
        </w:rPr>
        <w:t>La iniciativa, similar en términos a la de Ley de Prevención del Suicidio para el Estado de Sonora, tiene una perspectiva y alcance considerablemente limitados con respecto al Programa de Prevención y Atención a la Conducta Suicida que actualmente opera en la Secretaría de Salud del Estado y que tiene por estrategias la prevención, la detección, la atención, la capacitación, la investigación y la vigilancia epidemiológica.</w:t>
      </w:r>
    </w:p>
    <w:p w14:paraId="197EE67A" w14:textId="77777777" w:rsidR="00E3434F" w:rsidRPr="004A0446" w:rsidRDefault="00E3434F" w:rsidP="0051150B">
      <w:pPr>
        <w:ind w:right="567" w:firstLine="709"/>
        <w:jc w:val="both"/>
        <w:rPr>
          <w:rFonts w:ascii="Abadi" w:hAnsi="Abadi" w:cs="Arial"/>
          <w:sz w:val="21"/>
          <w:szCs w:val="21"/>
        </w:rPr>
      </w:pPr>
    </w:p>
    <w:p w14:paraId="345C86E0" w14:textId="77777777" w:rsidR="00E3434F" w:rsidRPr="004A0446" w:rsidRDefault="00E3434F" w:rsidP="0051150B">
      <w:pPr>
        <w:ind w:left="1134" w:right="567"/>
        <w:jc w:val="both"/>
        <w:rPr>
          <w:rFonts w:ascii="Abadi" w:hAnsi="Abadi" w:cs="Arial"/>
          <w:sz w:val="21"/>
          <w:szCs w:val="21"/>
        </w:rPr>
      </w:pPr>
      <w:r w:rsidRPr="004A0446">
        <w:rPr>
          <w:rFonts w:ascii="Abadi" w:hAnsi="Abadi" w:cs="Arial"/>
          <w:sz w:val="21"/>
          <w:szCs w:val="21"/>
        </w:rPr>
        <w:t>Se propone la creación de un consejo integrado por 7 personas. Sin embargo, actualmente el estado cuenta con el Consejo Estatal de Salud Mental y Adicciones, constituido mediante el Acuerdo Gubernativo número 199, publicado el 2 de diciembre de 2021, Tercera Parte, número 240 del Periódico Oficial del Gobierno del Estado, como órgano de carácter consultivo y tiene por objeto promover estrategias y programas para la prevención, tratamiento y rehabilitación de padecimientos mentales y alteraciones conductuales, así como promover la coordinación de manera transversal de los sectores público, social y privado, en beneficio de la población guanajuatense.</w:t>
      </w:r>
    </w:p>
    <w:p w14:paraId="5CAF0DD3" w14:textId="77777777" w:rsidR="00E3434F" w:rsidRPr="004A0446" w:rsidRDefault="00E3434F" w:rsidP="0051150B">
      <w:pPr>
        <w:ind w:right="567" w:firstLine="709"/>
        <w:jc w:val="both"/>
        <w:rPr>
          <w:rFonts w:ascii="Abadi" w:hAnsi="Abadi" w:cs="Arial"/>
          <w:sz w:val="21"/>
          <w:szCs w:val="21"/>
        </w:rPr>
      </w:pPr>
    </w:p>
    <w:p w14:paraId="42B2384F" w14:textId="77777777" w:rsidR="00E3434F" w:rsidRPr="004A0446" w:rsidRDefault="00E3434F" w:rsidP="0051150B">
      <w:pPr>
        <w:ind w:left="1134" w:right="567"/>
        <w:jc w:val="both"/>
        <w:rPr>
          <w:rFonts w:ascii="Abadi" w:hAnsi="Abadi" w:cs="Arial"/>
          <w:sz w:val="21"/>
          <w:szCs w:val="21"/>
        </w:rPr>
      </w:pPr>
      <w:r w:rsidRPr="004A0446">
        <w:rPr>
          <w:rFonts w:ascii="Abadi" w:hAnsi="Abadi" w:cs="Arial"/>
          <w:sz w:val="21"/>
          <w:szCs w:val="21"/>
        </w:rPr>
        <w:t>En torno al tema, el Instituto de Salud Pública del Estado de Guanajuato, cuenta con un Modelo de Atención en Salud del Estado de Guanajuato, el cual es un sistema moderno de salud que tiene como objetivo atender por igual a todos los ciudadanos, ofreciéndoles servicios oportunos con calidad, calidez, seguridad y eficiencia, para garantizar el acceso a la atención psicológica y psiquiátrica desde la promoción, prevención, curación y rehabilitación.</w:t>
      </w:r>
    </w:p>
    <w:p w14:paraId="4A2714AD" w14:textId="77777777" w:rsidR="00E3434F" w:rsidRPr="004A0446" w:rsidRDefault="00E3434F" w:rsidP="0051150B">
      <w:pPr>
        <w:ind w:right="567" w:firstLine="709"/>
        <w:jc w:val="both"/>
        <w:rPr>
          <w:rFonts w:ascii="Abadi" w:hAnsi="Abadi" w:cs="Arial"/>
          <w:sz w:val="21"/>
          <w:szCs w:val="21"/>
        </w:rPr>
      </w:pPr>
    </w:p>
    <w:p w14:paraId="585112DA" w14:textId="77777777" w:rsidR="00E3434F" w:rsidRPr="004A0446" w:rsidRDefault="00E3434F" w:rsidP="0051150B">
      <w:pPr>
        <w:ind w:left="1134" w:right="567"/>
        <w:jc w:val="both"/>
        <w:rPr>
          <w:rFonts w:ascii="Abadi" w:hAnsi="Abadi" w:cs="Arial"/>
          <w:sz w:val="21"/>
          <w:szCs w:val="21"/>
        </w:rPr>
      </w:pPr>
      <w:r w:rsidRPr="004A0446">
        <w:rPr>
          <w:rFonts w:ascii="Abadi" w:hAnsi="Abadi" w:cs="Arial"/>
          <w:sz w:val="21"/>
          <w:szCs w:val="21"/>
        </w:rPr>
        <w:t>Dentro de sus programas prioritarios están el programa de salud mental, a través del cual se proporciona atención integral a personas que presentan o se encuentran en riesgo de padecer algún trastorno mental, así como el programa de prevención y atención a la conducta suicida, por medio del cual se busca contribuir en la disminución de la incidencia y la frecuencia del acto suicida en el estado de Guanajuato a través de distintos niveles de acción.</w:t>
      </w:r>
    </w:p>
    <w:p w14:paraId="394D2583" w14:textId="77777777" w:rsidR="00E3434F" w:rsidRPr="004A0446" w:rsidRDefault="00E3434F" w:rsidP="0051150B">
      <w:pPr>
        <w:tabs>
          <w:tab w:val="left" w:pos="3402"/>
        </w:tabs>
        <w:ind w:left="1134" w:right="567"/>
        <w:jc w:val="both"/>
        <w:rPr>
          <w:rFonts w:ascii="Abadi" w:hAnsi="Abadi" w:cs="Arial"/>
          <w:sz w:val="21"/>
          <w:szCs w:val="21"/>
        </w:rPr>
      </w:pPr>
    </w:p>
    <w:p w14:paraId="5FA4F724" w14:textId="77777777" w:rsidR="00E3434F" w:rsidRPr="004A0446" w:rsidRDefault="00E3434F" w:rsidP="0051150B">
      <w:pPr>
        <w:ind w:left="1418" w:right="27" w:hanging="284"/>
        <w:jc w:val="both"/>
        <w:rPr>
          <w:rFonts w:ascii="Abadi" w:hAnsi="Abadi" w:cs="Arial"/>
          <w:b/>
          <w:bCs/>
          <w:sz w:val="21"/>
          <w:szCs w:val="21"/>
        </w:rPr>
      </w:pPr>
      <w:r w:rsidRPr="004A0446">
        <w:rPr>
          <w:rFonts w:ascii="Abadi" w:hAnsi="Abadi" w:cs="Arial"/>
          <w:b/>
          <w:bCs/>
          <w:sz w:val="21"/>
          <w:szCs w:val="21"/>
        </w:rPr>
        <w:t>III.7 Respecto al impacto presupuestario de la iniciativa</w:t>
      </w:r>
    </w:p>
    <w:p w14:paraId="56AA1723" w14:textId="77777777" w:rsidR="00E3434F" w:rsidRPr="004A0446" w:rsidRDefault="00E3434F" w:rsidP="0051150B">
      <w:pPr>
        <w:ind w:left="1134" w:right="567" w:firstLine="284"/>
        <w:jc w:val="both"/>
        <w:rPr>
          <w:rFonts w:ascii="Abadi" w:hAnsi="Abadi" w:cs="Arial"/>
          <w:sz w:val="21"/>
          <w:szCs w:val="21"/>
        </w:rPr>
      </w:pPr>
      <w:r w:rsidRPr="004A0446">
        <w:rPr>
          <w:rFonts w:ascii="Abadi" w:hAnsi="Abadi" w:cs="Arial"/>
          <w:sz w:val="21"/>
          <w:szCs w:val="21"/>
        </w:rPr>
        <w:t>Conforme a la Ley Orgánica del Poder Legislativo</w:t>
      </w:r>
      <w:r w:rsidRPr="004A0446">
        <w:rPr>
          <w:rFonts w:ascii="Abadi" w:hAnsi="Abadi" w:cs="Arial"/>
          <w:sz w:val="21"/>
          <w:szCs w:val="21"/>
          <w:vertAlign w:val="superscript"/>
        </w:rPr>
        <w:footnoteReference w:id="138"/>
      </w:r>
      <w:r w:rsidRPr="004A0446">
        <w:rPr>
          <w:rFonts w:ascii="Abadi" w:hAnsi="Abadi" w:cs="Arial"/>
          <w:sz w:val="21"/>
          <w:szCs w:val="21"/>
        </w:rPr>
        <w:t>, las iniciativas presentadas deben estar acompañadas del impacto presupuestario de las propuestas de modificaciones legales, esto en el marco de la llamada evaluación ex ante:</w:t>
      </w:r>
    </w:p>
    <w:p w14:paraId="56468B9B" w14:textId="77777777" w:rsidR="00E3434F" w:rsidRPr="004A0446" w:rsidRDefault="00E3434F" w:rsidP="0051150B">
      <w:pPr>
        <w:ind w:left="1134" w:right="27" w:firstLine="284"/>
        <w:jc w:val="both"/>
        <w:rPr>
          <w:rFonts w:ascii="Abadi" w:hAnsi="Abadi" w:cs="Arial"/>
          <w:sz w:val="21"/>
          <w:szCs w:val="21"/>
        </w:rPr>
      </w:pPr>
    </w:p>
    <w:p w14:paraId="6B6696BE" w14:textId="77777777" w:rsidR="00E3434F" w:rsidRPr="004A0446" w:rsidRDefault="00E3434F" w:rsidP="00F3730A">
      <w:pPr>
        <w:ind w:left="1701" w:right="567"/>
        <w:jc w:val="both"/>
        <w:rPr>
          <w:rFonts w:ascii="Abadi" w:hAnsi="Abadi" w:cs="Arial"/>
          <w:sz w:val="21"/>
          <w:szCs w:val="21"/>
        </w:rPr>
      </w:pPr>
      <w:r w:rsidRPr="004A0446">
        <w:rPr>
          <w:rFonts w:ascii="Abadi" w:hAnsi="Abadi" w:cs="Arial"/>
          <w:b/>
          <w:bCs/>
          <w:sz w:val="21"/>
          <w:szCs w:val="21"/>
        </w:rPr>
        <w:t xml:space="preserve">«Artículo 168. </w:t>
      </w:r>
      <w:r w:rsidRPr="004A0446">
        <w:rPr>
          <w:rFonts w:ascii="Abadi" w:hAnsi="Abadi" w:cs="Arial"/>
          <w:sz w:val="21"/>
          <w:szCs w:val="21"/>
        </w:rPr>
        <w:t>Las iniciativas serán turnadas a las Comisiones Legislativas, Permanentes o Unidas, según corresponda, atendiendo a la materia sobre la que versen.</w:t>
      </w:r>
    </w:p>
    <w:p w14:paraId="59B1E445" w14:textId="77777777" w:rsidR="00E3434F" w:rsidRPr="004A0446" w:rsidRDefault="00E3434F" w:rsidP="00F3730A">
      <w:pPr>
        <w:ind w:left="1843" w:right="567"/>
        <w:jc w:val="both"/>
        <w:rPr>
          <w:rFonts w:ascii="Abadi" w:hAnsi="Abadi" w:cs="Arial"/>
          <w:sz w:val="21"/>
          <w:szCs w:val="21"/>
        </w:rPr>
      </w:pPr>
    </w:p>
    <w:p w14:paraId="188EFE9D" w14:textId="77777777" w:rsidR="00E3434F" w:rsidRPr="004A0446" w:rsidRDefault="00E3434F" w:rsidP="00F3730A">
      <w:pPr>
        <w:ind w:left="1843" w:right="567" w:hanging="142"/>
        <w:jc w:val="both"/>
        <w:rPr>
          <w:rFonts w:ascii="Abadi" w:hAnsi="Abadi" w:cs="Arial"/>
          <w:sz w:val="21"/>
          <w:szCs w:val="21"/>
        </w:rPr>
      </w:pPr>
      <w:r w:rsidRPr="004A0446">
        <w:rPr>
          <w:rFonts w:ascii="Abadi" w:hAnsi="Abadi" w:cs="Arial"/>
          <w:sz w:val="21"/>
          <w:szCs w:val="21"/>
        </w:rPr>
        <w:t>Las iniciativas de ley o decreto, se presentarán por escrito y deberán contener:</w:t>
      </w:r>
    </w:p>
    <w:p w14:paraId="40CA94D1" w14:textId="77777777" w:rsidR="00E3434F" w:rsidRPr="004A0446" w:rsidRDefault="00E3434F" w:rsidP="00F3730A">
      <w:pPr>
        <w:ind w:left="1134" w:right="567" w:firstLine="709"/>
        <w:jc w:val="both"/>
        <w:rPr>
          <w:rFonts w:ascii="Abadi" w:hAnsi="Abadi" w:cs="Arial"/>
          <w:sz w:val="21"/>
          <w:szCs w:val="21"/>
        </w:rPr>
      </w:pPr>
    </w:p>
    <w:p w14:paraId="36BBF037" w14:textId="77777777" w:rsidR="00E3434F" w:rsidRPr="004A0446" w:rsidRDefault="00E3434F" w:rsidP="00F3730A">
      <w:pPr>
        <w:numPr>
          <w:ilvl w:val="0"/>
          <w:numId w:val="66"/>
        </w:numPr>
        <w:tabs>
          <w:tab w:val="left" w:pos="1843"/>
          <w:tab w:val="left" w:pos="1985"/>
        </w:tabs>
        <w:ind w:right="567" w:hanging="862"/>
        <w:jc w:val="both"/>
        <w:rPr>
          <w:rFonts w:ascii="Abadi" w:hAnsi="Abadi" w:cs="Arial"/>
          <w:b/>
          <w:bCs/>
          <w:sz w:val="21"/>
          <w:szCs w:val="21"/>
        </w:rPr>
      </w:pPr>
      <w:r w:rsidRPr="004A0446">
        <w:rPr>
          <w:rFonts w:ascii="Abadi" w:hAnsi="Abadi" w:cs="Arial"/>
          <w:b/>
          <w:bCs/>
          <w:sz w:val="21"/>
          <w:szCs w:val="21"/>
        </w:rPr>
        <w:t>a VI. ...</w:t>
      </w:r>
    </w:p>
    <w:p w14:paraId="62FB4319" w14:textId="77777777" w:rsidR="00E3434F" w:rsidRPr="004A0446" w:rsidRDefault="00E3434F" w:rsidP="00F3730A">
      <w:pPr>
        <w:ind w:left="2563" w:right="567"/>
        <w:jc w:val="both"/>
        <w:rPr>
          <w:rFonts w:ascii="Abadi" w:hAnsi="Abadi" w:cs="Arial"/>
          <w:b/>
          <w:bCs/>
          <w:sz w:val="21"/>
          <w:szCs w:val="21"/>
        </w:rPr>
      </w:pPr>
    </w:p>
    <w:p w14:paraId="5C49FD1B" w14:textId="77777777" w:rsidR="00E3434F" w:rsidRPr="004A0446" w:rsidRDefault="00E3434F" w:rsidP="00F3730A">
      <w:pPr>
        <w:ind w:left="2127" w:right="567" w:hanging="426"/>
        <w:jc w:val="both"/>
        <w:rPr>
          <w:rFonts w:ascii="Abadi" w:hAnsi="Abadi" w:cs="Arial"/>
          <w:sz w:val="21"/>
          <w:szCs w:val="21"/>
          <w:u w:val="single"/>
        </w:rPr>
      </w:pPr>
      <w:r w:rsidRPr="004A0446">
        <w:rPr>
          <w:rFonts w:ascii="Abadi" w:hAnsi="Abadi" w:cs="Arial"/>
          <w:b/>
          <w:bCs/>
          <w:sz w:val="21"/>
          <w:szCs w:val="21"/>
        </w:rPr>
        <w:t>VII.</w:t>
      </w:r>
      <w:r w:rsidRPr="004A0446">
        <w:rPr>
          <w:rFonts w:ascii="Abadi" w:hAnsi="Abadi" w:cs="Arial"/>
          <w:sz w:val="21"/>
          <w:szCs w:val="21"/>
          <w:u w:val="single"/>
        </w:rPr>
        <w:tab/>
        <w:t>Acompañar el dictamen de impacto presupuestal, cuando corresponda; y</w:t>
      </w:r>
    </w:p>
    <w:p w14:paraId="1D7FEBA6" w14:textId="77777777" w:rsidR="00E3434F" w:rsidRPr="004A0446" w:rsidRDefault="00E3434F" w:rsidP="00F3730A">
      <w:pPr>
        <w:ind w:left="2268" w:right="567" w:hanging="425"/>
        <w:jc w:val="both"/>
        <w:rPr>
          <w:rFonts w:ascii="Abadi" w:hAnsi="Abadi" w:cs="Arial"/>
          <w:b/>
          <w:bCs/>
          <w:sz w:val="21"/>
          <w:szCs w:val="21"/>
        </w:rPr>
      </w:pPr>
    </w:p>
    <w:p w14:paraId="4F7FF5ED" w14:textId="77777777" w:rsidR="00E3434F" w:rsidRPr="004A0446" w:rsidRDefault="00E3434F" w:rsidP="00F3730A">
      <w:pPr>
        <w:ind w:left="2268" w:right="567" w:hanging="567"/>
        <w:jc w:val="both"/>
        <w:rPr>
          <w:rFonts w:ascii="Abadi" w:hAnsi="Abadi" w:cs="Arial"/>
          <w:b/>
          <w:bCs/>
          <w:sz w:val="21"/>
          <w:szCs w:val="21"/>
        </w:rPr>
      </w:pPr>
      <w:r w:rsidRPr="004A0446">
        <w:rPr>
          <w:rFonts w:ascii="Abadi" w:hAnsi="Abadi" w:cs="Arial"/>
          <w:b/>
          <w:bCs/>
          <w:sz w:val="21"/>
          <w:szCs w:val="21"/>
        </w:rPr>
        <w:t>VIII.</w:t>
      </w:r>
      <w:r w:rsidRPr="004A0446">
        <w:rPr>
          <w:rFonts w:ascii="Abadi" w:hAnsi="Abadi" w:cs="Arial"/>
          <w:b/>
          <w:bCs/>
          <w:sz w:val="21"/>
          <w:szCs w:val="21"/>
        </w:rPr>
        <w:tab/>
        <w:t>...</w:t>
      </w:r>
    </w:p>
    <w:p w14:paraId="7B0A6EE5" w14:textId="77777777" w:rsidR="00E3434F" w:rsidRPr="004A0446" w:rsidRDefault="00E3434F" w:rsidP="00F3730A">
      <w:pPr>
        <w:ind w:left="1418" w:right="27" w:firstLine="425"/>
        <w:jc w:val="both"/>
        <w:rPr>
          <w:rFonts w:ascii="Abadi" w:hAnsi="Abadi" w:cs="Arial"/>
          <w:sz w:val="21"/>
          <w:szCs w:val="21"/>
        </w:rPr>
      </w:pPr>
    </w:p>
    <w:p w14:paraId="5A4D3350" w14:textId="77777777" w:rsidR="00E3434F" w:rsidRPr="004A0446" w:rsidRDefault="00E3434F" w:rsidP="00F3730A">
      <w:pPr>
        <w:ind w:left="1701" w:right="567"/>
        <w:jc w:val="both"/>
        <w:rPr>
          <w:rFonts w:ascii="Abadi" w:hAnsi="Abadi" w:cs="Arial"/>
          <w:sz w:val="21"/>
          <w:szCs w:val="21"/>
        </w:rPr>
      </w:pPr>
      <w:r w:rsidRPr="004A0446">
        <w:rPr>
          <w:rFonts w:ascii="Abadi" w:hAnsi="Abadi" w:cs="Arial"/>
          <w:b/>
          <w:bCs/>
          <w:sz w:val="21"/>
          <w:szCs w:val="21"/>
        </w:rPr>
        <w:t>Artículo 209.</w:t>
      </w:r>
      <w:r w:rsidRPr="004A0446">
        <w:rPr>
          <w:rFonts w:ascii="Abadi" w:hAnsi="Abadi" w:cs="Arial"/>
          <w:sz w:val="21"/>
          <w:szCs w:val="21"/>
        </w:rPr>
        <w:t xml:space="preserve"> Las iniciativas de ley o modificaciones deberán contener una evaluación de impacto, en donde se considere al menos lo siguiente:</w:t>
      </w:r>
    </w:p>
    <w:p w14:paraId="5EB66219" w14:textId="77777777" w:rsidR="00E3434F" w:rsidRPr="004A0446" w:rsidRDefault="00E3434F" w:rsidP="00F3730A">
      <w:pPr>
        <w:ind w:left="1843" w:right="567" w:hanging="142"/>
        <w:jc w:val="both"/>
        <w:rPr>
          <w:rFonts w:ascii="Abadi" w:hAnsi="Abadi" w:cs="Arial"/>
          <w:sz w:val="21"/>
          <w:szCs w:val="21"/>
        </w:rPr>
      </w:pPr>
    </w:p>
    <w:p w14:paraId="15DE315A" w14:textId="77777777" w:rsidR="00E3434F" w:rsidRPr="004A0446" w:rsidRDefault="00E3434F" w:rsidP="00F3730A">
      <w:pPr>
        <w:tabs>
          <w:tab w:val="left" w:pos="1701"/>
        </w:tabs>
        <w:ind w:right="27" w:hanging="142"/>
        <w:jc w:val="both"/>
        <w:rPr>
          <w:rFonts w:ascii="Abadi" w:hAnsi="Abadi" w:cs="Arial"/>
          <w:b/>
          <w:bCs/>
          <w:sz w:val="21"/>
          <w:szCs w:val="21"/>
        </w:rPr>
      </w:pPr>
      <w:r w:rsidRPr="004A0446">
        <w:rPr>
          <w:rFonts w:ascii="Abadi" w:hAnsi="Abadi" w:cs="Arial"/>
          <w:sz w:val="21"/>
          <w:szCs w:val="21"/>
        </w:rPr>
        <w:t xml:space="preserve">                                    </w:t>
      </w:r>
      <w:r w:rsidRPr="004A0446">
        <w:rPr>
          <w:rFonts w:ascii="Abadi" w:hAnsi="Abadi" w:cs="Arial"/>
          <w:b/>
          <w:bCs/>
          <w:sz w:val="21"/>
          <w:szCs w:val="21"/>
        </w:rPr>
        <w:t xml:space="preserve">I. </w:t>
      </w:r>
      <w:r w:rsidRPr="004A0446">
        <w:rPr>
          <w:rFonts w:ascii="Abadi" w:hAnsi="Abadi" w:cs="Arial"/>
          <w:sz w:val="21"/>
          <w:szCs w:val="21"/>
        </w:rPr>
        <w:t>a</w:t>
      </w:r>
      <w:r w:rsidRPr="004A0446">
        <w:rPr>
          <w:rFonts w:ascii="Abadi" w:hAnsi="Abadi" w:cs="Arial"/>
          <w:b/>
          <w:bCs/>
          <w:sz w:val="21"/>
          <w:szCs w:val="21"/>
        </w:rPr>
        <w:t xml:space="preserve"> II. ...</w:t>
      </w:r>
    </w:p>
    <w:p w14:paraId="0817FC20" w14:textId="77777777" w:rsidR="00E3434F" w:rsidRPr="004A0446" w:rsidRDefault="00E3434F" w:rsidP="00F3730A">
      <w:pPr>
        <w:ind w:right="27" w:hanging="142"/>
        <w:jc w:val="both"/>
        <w:rPr>
          <w:rFonts w:ascii="Abadi" w:hAnsi="Abadi" w:cs="Arial"/>
          <w:b/>
          <w:bCs/>
          <w:sz w:val="21"/>
          <w:szCs w:val="21"/>
        </w:rPr>
      </w:pPr>
    </w:p>
    <w:p w14:paraId="1B301478" w14:textId="77777777" w:rsidR="00E3434F" w:rsidRPr="004A0446" w:rsidRDefault="00E3434F" w:rsidP="00F3730A">
      <w:pPr>
        <w:numPr>
          <w:ilvl w:val="0"/>
          <w:numId w:val="67"/>
        </w:numPr>
        <w:ind w:left="2410" w:right="27" w:hanging="709"/>
        <w:jc w:val="both"/>
        <w:rPr>
          <w:rFonts w:ascii="Abadi" w:hAnsi="Abadi" w:cs="Arial"/>
          <w:sz w:val="21"/>
          <w:szCs w:val="21"/>
        </w:rPr>
      </w:pPr>
      <w:r w:rsidRPr="004A0446">
        <w:rPr>
          <w:rFonts w:ascii="Abadi" w:hAnsi="Abadi" w:cs="Arial"/>
          <w:sz w:val="21"/>
          <w:szCs w:val="21"/>
        </w:rPr>
        <w:t>El impacto presupuestario; y</w:t>
      </w:r>
    </w:p>
    <w:p w14:paraId="1E8E05F4" w14:textId="77777777" w:rsidR="00E3434F" w:rsidRPr="004A0446" w:rsidRDefault="00E3434F" w:rsidP="00F3730A">
      <w:pPr>
        <w:ind w:left="2563" w:right="27"/>
        <w:jc w:val="both"/>
        <w:rPr>
          <w:rFonts w:ascii="Abadi" w:hAnsi="Abadi" w:cs="Arial"/>
          <w:b/>
          <w:bCs/>
          <w:sz w:val="21"/>
          <w:szCs w:val="21"/>
        </w:rPr>
      </w:pPr>
    </w:p>
    <w:p w14:paraId="49872A9F" w14:textId="77777777" w:rsidR="00E3434F" w:rsidRPr="004A0446" w:rsidRDefault="00E3434F" w:rsidP="00F3730A">
      <w:pPr>
        <w:ind w:right="27" w:firstLine="1701"/>
        <w:jc w:val="both"/>
        <w:rPr>
          <w:rFonts w:ascii="Abadi" w:hAnsi="Abadi" w:cs="Arial"/>
          <w:b/>
          <w:bCs/>
          <w:sz w:val="21"/>
          <w:szCs w:val="21"/>
        </w:rPr>
      </w:pPr>
      <w:r w:rsidRPr="004A0446">
        <w:rPr>
          <w:rFonts w:ascii="Abadi" w:hAnsi="Abadi" w:cs="Arial"/>
          <w:b/>
          <w:bCs/>
          <w:sz w:val="21"/>
          <w:szCs w:val="21"/>
        </w:rPr>
        <w:t>IV.</w:t>
      </w:r>
      <w:r w:rsidRPr="004A0446">
        <w:rPr>
          <w:rFonts w:ascii="Abadi" w:hAnsi="Abadi" w:cs="Arial"/>
          <w:b/>
          <w:bCs/>
          <w:sz w:val="21"/>
          <w:szCs w:val="21"/>
        </w:rPr>
        <w:tab/>
        <w:t>...</w:t>
      </w:r>
    </w:p>
    <w:p w14:paraId="617AEC74" w14:textId="77777777" w:rsidR="00E3434F" w:rsidRPr="004A0446" w:rsidRDefault="00E3434F" w:rsidP="00F3730A">
      <w:pPr>
        <w:ind w:right="27" w:firstLine="709"/>
        <w:jc w:val="both"/>
        <w:rPr>
          <w:rFonts w:ascii="Abadi" w:hAnsi="Abadi" w:cs="Arial"/>
          <w:sz w:val="21"/>
          <w:szCs w:val="21"/>
        </w:rPr>
      </w:pPr>
      <w:r w:rsidRPr="004A0446">
        <w:rPr>
          <w:rFonts w:ascii="Abadi" w:hAnsi="Abadi" w:cs="Arial"/>
          <w:sz w:val="21"/>
          <w:szCs w:val="21"/>
        </w:rPr>
        <w:t xml:space="preserve">                Sin menoscabo de incorporar...</w:t>
      </w:r>
    </w:p>
    <w:p w14:paraId="43CDFE0D" w14:textId="77777777" w:rsidR="00E3434F" w:rsidRPr="004A0446" w:rsidRDefault="00E3434F" w:rsidP="00F3730A">
      <w:pPr>
        <w:ind w:right="27" w:firstLine="709"/>
        <w:jc w:val="both"/>
        <w:rPr>
          <w:rFonts w:ascii="Abadi" w:hAnsi="Abadi" w:cs="Arial"/>
          <w:b/>
          <w:bCs/>
          <w:sz w:val="21"/>
          <w:szCs w:val="21"/>
        </w:rPr>
      </w:pPr>
    </w:p>
    <w:p w14:paraId="5097FF61" w14:textId="77777777" w:rsidR="00E3434F" w:rsidRPr="004A0446" w:rsidRDefault="00E3434F" w:rsidP="00F3730A">
      <w:pPr>
        <w:ind w:left="1418" w:right="567"/>
        <w:jc w:val="both"/>
        <w:rPr>
          <w:rFonts w:ascii="Abadi" w:hAnsi="Abadi" w:cs="Arial"/>
          <w:sz w:val="21"/>
          <w:szCs w:val="21"/>
        </w:rPr>
      </w:pPr>
      <w:r w:rsidRPr="004A0446">
        <w:rPr>
          <w:rFonts w:ascii="Abadi" w:hAnsi="Abadi" w:cs="Arial"/>
          <w:b/>
          <w:bCs/>
          <w:sz w:val="21"/>
          <w:szCs w:val="21"/>
        </w:rPr>
        <w:t xml:space="preserve">      Artículo 276. </w:t>
      </w:r>
      <w:r w:rsidRPr="004A0446">
        <w:rPr>
          <w:rFonts w:ascii="Abadi" w:hAnsi="Abadi" w:cs="Arial"/>
          <w:sz w:val="21"/>
          <w:szCs w:val="21"/>
        </w:rPr>
        <w:t xml:space="preserve">La Unidad de Estudios de las Finanzas Públicas tendrá las siguientes </w:t>
      </w:r>
    </w:p>
    <w:p w14:paraId="722D1117" w14:textId="77777777" w:rsidR="00E3434F" w:rsidRPr="004A0446" w:rsidRDefault="00E3434F" w:rsidP="00F3730A">
      <w:pPr>
        <w:ind w:left="1418" w:right="567"/>
        <w:jc w:val="both"/>
        <w:rPr>
          <w:rFonts w:ascii="Abadi" w:hAnsi="Abadi" w:cs="Arial"/>
          <w:sz w:val="21"/>
          <w:szCs w:val="21"/>
        </w:rPr>
      </w:pPr>
      <w:r w:rsidRPr="004A0446">
        <w:rPr>
          <w:rFonts w:ascii="Abadi" w:hAnsi="Abadi" w:cs="Arial"/>
          <w:sz w:val="21"/>
          <w:szCs w:val="21"/>
        </w:rPr>
        <w:t xml:space="preserve">      atribuciones:</w:t>
      </w:r>
    </w:p>
    <w:p w14:paraId="45F58BED" w14:textId="77777777" w:rsidR="00E3434F" w:rsidRPr="004A0446" w:rsidRDefault="00E3434F" w:rsidP="00F3730A">
      <w:pPr>
        <w:ind w:right="27" w:firstLine="709"/>
        <w:jc w:val="both"/>
        <w:rPr>
          <w:rFonts w:ascii="Abadi" w:hAnsi="Abadi" w:cs="Arial"/>
          <w:b/>
          <w:bCs/>
          <w:sz w:val="21"/>
          <w:szCs w:val="21"/>
        </w:rPr>
      </w:pPr>
      <w:r w:rsidRPr="004A0446">
        <w:rPr>
          <w:rFonts w:ascii="Abadi" w:hAnsi="Abadi" w:cs="Arial"/>
          <w:b/>
          <w:bCs/>
          <w:sz w:val="21"/>
          <w:szCs w:val="21"/>
        </w:rPr>
        <w:t xml:space="preserve">                  </w:t>
      </w:r>
    </w:p>
    <w:p w14:paraId="7805E494" w14:textId="77777777" w:rsidR="00E3434F" w:rsidRPr="004A0446" w:rsidRDefault="00E3434F" w:rsidP="00F3730A">
      <w:pPr>
        <w:tabs>
          <w:tab w:val="left" w:pos="1701"/>
        </w:tabs>
        <w:ind w:right="27" w:firstLine="709"/>
        <w:jc w:val="both"/>
        <w:rPr>
          <w:rFonts w:ascii="Abadi" w:hAnsi="Abadi" w:cs="Arial"/>
          <w:b/>
          <w:bCs/>
          <w:sz w:val="21"/>
          <w:szCs w:val="21"/>
        </w:rPr>
      </w:pPr>
      <w:r w:rsidRPr="004A0446">
        <w:rPr>
          <w:rFonts w:ascii="Abadi" w:hAnsi="Abadi" w:cs="Arial"/>
          <w:b/>
          <w:bCs/>
          <w:sz w:val="21"/>
          <w:szCs w:val="21"/>
        </w:rPr>
        <w:t xml:space="preserve">                    I. a IV. ...</w:t>
      </w:r>
    </w:p>
    <w:p w14:paraId="151EE7AC" w14:textId="77777777" w:rsidR="00E3434F" w:rsidRPr="004A0446" w:rsidRDefault="00E3434F" w:rsidP="00F3730A">
      <w:pPr>
        <w:ind w:right="27" w:firstLine="709"/>
        <w:jc w:val="both"/>
        <w:rPr>
          <w:rFonts w:ascii="Abadi" w:hAnsi="Abadi" w:cs="Arial"/>
          <w:sz w:val="21"/>
          <w:szCs w:val="21"/>
        </w:rPr>
      </w:pPr>
    </w:p>
    <w:p w14:paraId="5DAA6628" w14:textId="77777777" w:rsidR="00E3434F" w:rsidRPr="004A0446" w:rsidRDefault="00E3434F" w:rsidP="00F3730A">
      <w:pPr>
        <w:tabs>
          <w:tab w:val="left" w:pos="1701"/>
          <w:tab w:val="left" w:pos="1985"/>
        </w:tabs>
        <w:ind w:left="1701" w:right="567"/>
        <w:jc w:val="both"/>
        <w:rPr>
          <w:rFonts w:ascii="Abadi" w:hAnsi="Abadi" w:cs="Arial"/>
          <w:sz w:val="21"/>
          <w:szCs w:val="21"/>
        </w:rPr>
      </w:pPr>
      <w:r w:rsidRPr="004A0446">
        <w:rPr>
          <w:rFonts w:ascii="Abadi" w:hAnsi="Abadi" w:cs="Arial"/>
          <w:b/>
          <w:bCs/>
          <w:sz w:val="21"/>
          <w:szCs w:val="21"/>
        </w:rPr>
        <w:t>V.</w:t>
      </w:r>
      <w:r w:rsidRPr="004A0446">
        <w:rPr>
          <w:rFonts w:ascii="Abadi" w:hAnsi="Abadi" w:cs="Arial"/>
          <w:sz w:val="21"/>
          <w:szCs w:val="21"/>
        </w:rPr>
        <w:tab/>
        <w:t>Analizar las iniciativas de ley o Decreto cuya materia incida en las actividades financieras. La Unidad recibirá las iniciativas por conducto de las Comisiones Legislativas correspondientes;</w:t>
      </w:r>
    </w:p>
    <w:p w14:paraId="6D1E00F8" w14:textId="77777777" w:rsidR="00E3434F" w:rsidRPr="004A0446" w:rsidRDefault="00E3434F" w:rsidP="00F3730A">
      <w:pPr>
        <w:ind w:right="27" w:firstLine="709"/>
        <w:jc w:val="both"/>
        <w:rPr>
          <w:rFonts w:ascii="Abadi" w:hAnsi="Abadi" w:cs="Arial"/>
          <w:sz w:val="21"/>
          <w:szCs w:val="21"/>
        </w:rPr>
      </w:pPr>
    </w:p>
    <w:p w14:paraId="33180E46" w14:textId="77777777" w:rsidR="00E3434F" w:rsidRPr="004A0446" w:rsidRDefault="00E3434F" w:rsidP="00F3730A">
      <w:pPr>
        <w:tabs>
          <w:tab w:val="left" w:pos="1134"/>
          <w:tab w:val="left" w:pos="1701"/>
        </w:tabs>
        <w:ind w:left="992" w:right="27" w:firstLine="568"/>
        <w:jc w:val="both"/>
        <w:rPr>
          <w:rFonts w:ascii="Abadi" w:hAnsi="Abadi" w:cs="Arial"/>
          <w:sz w:val="21"/>
          <w:szCs w:val="21"/>
        </w:rPr>
      </w:pPr>
      <w:r w:rsidRPr="004A0446">
        <w:rPr>
          <w:rFonts w:ascii="Abadi" w:hAnsi="Abadi" w:cs="Arial"/>
          <w:b/>
          <w:bCs/>
          <w:sz w:val="21"/>
          <w:szCs w:val="21"/>
        </w:rPr>
        <w:t xml:space="preserve">   VI. a XIII. …</w:t>
      </w:r>
      <w:r w:rsidRPr="004A0446">
        <w:rPr>
          <w:rFonts w:ascii="Abadi" w:hAnsi="Abadi" w:cs="Arial"/>
          <w:sz w:val="21"/>
          <w:szCs w:val="21"/>
        </w:rPr>
        <w:t>»</w:t>
      </w:r>
    </w:p>
    <w:p w14:paraId="3CE867B9" w14:textId="77777777" w:rsidR="00E3434F" w:rsidRPr="004A0446" w:rsidRDefault="00E3434F" w:rsidP="00F3730A">
      <w:pPr>
        <w:ind w:right="27" w:firstLine="709"/>
        <w:jc w:val="both"/>
        <w:rPr>
          <w:rFonts w:ascii="Abadi" w:hAnsi="Abadi" w:cs="Arial"/>
          <w:sz w:val="21"/>
          <w:szCs w:val="21"/>
          <w:vertAlign w:val="superscript"/>
        </w:rPr>
      </w:pPr>
    </w:p>
    <w:p w14:paraId="3AE00B4F" w14:textId="77777777" w:rsidR="00E3434F" w:rsidRPr="004A0446" w:rsidRDefault="00E3434F" w:rsidP="00F3730A">
      <w:pPr>
        <w:ind w:left="1134" w:right="567"/>
        <w:jc w:val="both"/>
        <w:rPr>
          <w:rFonts w:ascii="Abadi" w:hAnsi="Abadi" w:cs="Arial"/>
          <w:sz w:val="21"/>
          <w:szCs w:val="21"/>
        </w:rPr>
      </w:pPr>
      <w:bookmarkStart w:id="42" w:name="_Hlk115095266"/>
      <w:r w:rsidRPr="004A0446">
        <w:rPr>
          <w:rFonts w:ascii="Abadi" w:hAnsi="Abadi" w:cs="Arial"/>
          <w:sz w:val="21"/>
          <w:szCs w:val="21"/>
        </w:rPr>
        <w:t>En el mismo sentido la Ley para el Ejercicio y Control de los Recursos Públicos para el Estado y los Municipios de Guanajuato</w:t>
      </w:r>
      <w:r w:rsidRPr="004A0446">
        <w:rPr>
          <w:rFonts w:ascii="Abadi" w:hAnsi="Abadi" w:cs="Arial"/>
          <w:sz w:val="21"/>
          <w:szCs w:val="21"/>
          <w:vertAlign w:val="superscript"/>
        </w:rPr>
        <w:footnoteReference w:id="139"/>
      </w:r>
      <w:r w:rsidRPr="004A0446">
        <w:rPr>
          <w:rFonts w:ascii="Abadi" w:hAnsi="Abadi" w:cs="Arial"/>
          <w:sz w:val="21"/>
          <w:szCs w:val="21"/>
        </w:rPr>
        <w:t>, establece:</w:t>
      </w:r>
    </w:p>
    <w:p w14:paraId="401EAD24" w14:textId="77777777" w:rsidR="00E3434F" w:rsidRPr="004A0446" w:rsidRDefault="00E3434F" w:rsidP="00F3730A">
      <w:pPr>
        <w:ind w:left="1134" w:right="567"/>
        <w:jc w:val="both"/>
        <w:rPr>
          <w:rFonts w:ascii="Abadi" w:hAnsi="Abadi" w:cs="Arial"/>
          <w:sz w:val="21"/>
          <w:szCs w:val="21"/>
        </w:rPr>
      </w:pPr>
    </w:p>
    <w:p w14:paraId="73E516F1" w14:textId="77777777" w:rsidR="00E3434F" w:rsidRPr="004A0446" w:rsidRDefault="00E3434F" w:rsidP="00F3730A">
      <w:pPr>
        <w:ind w:left="1701" w:right="567"/>
        <w:jc w:val="both"/>
        <w:rPr>
          <w:rFonts w:ascii="Abadi" w:hAnsi="Abadi" w:cs="Arial"/>
          <w:sz w:val="21"/>
          <w:szCs w:val="21"/>
        </w:rPr>
      </w:pPr>
      <w:r w:rsidRPr="004A0446">
        <w:rPr>
          <w:rFonts w:ascii="Abadi" w:hAnsi="Abadi" w:cs="Arial"/>
          <w:sz w:val="21"/>
          <w:szCs w:val="21"/>
        </w:rPr>
        <w:t>«</w:t>
      </w:r>
      <w:r w:rsidRPr="004A0446">
        <w:rPr>
          <w:rFonts w:ascii="Abadi" w:hAnsi="Abadi" w:cs="Arial"/>
          <w:b/>
          <w:bCs/>
          <w:sz w:val="21"/>
          <w:szCs w:val="21"/>
        </w:rPr>
        <w:t>Artículo 37 bis</w:t>
      </w:r>
      <w:r w:rsidRPr="004A0446">
        <w:rPr>
          <w:rFonts w:ascii="Abadi" w:hAnsi="Abadi" w:cs="Arial"/>
          <w:sz w:val="21"/>
          <w:szCs w:val="21"/>
        </w:rPr>
        <w:t>. El Ejecutivo del Estado, por conducto de la Secretaría, realizará una estimación del impacto presupuestal de las iniciativas de ley o decreto que se presenten ante el Congreso. Dicha estimación formará parte del dictamen que apruebe el Congreso.</w:t>
      </w:r>
    </w:p>
    <w:p w14:paraId="36AE05BA" w14:textId="77777777" w:rsidR="00E3434F" w:rsidRPr="004A0446" w:rsidRDefault="00E3434F" w:rsidP="00F3730A">
      <w:pPr>
        <w:ind w:left="1701" w:right="27"/>
        <w:jc w:val="both"/>
        <w:rPr>
          <w:rFonts w:ascii="Abadi" w:hAnsi="Abadi" w:cs="Arial"/>
          <w:sz w:val="21"/>
          <w:szCs w:val="21"/>
        </w:rPr>
      </w:pPr>
    </w:p>
    <w:p w14:paraId="4D1E72E2" w14:textId="77777777" w:rsidR="00E3434F" w:rsidRPr="004A0446" w:rsidRDefault="00E3434F" w:rsidP="00F3730A">
      <w:pPr>
        <w:ind w:left="1701" w:right="567"/>
        <w:jc w:val="both"/>
        <w:rPr>
          <w:rFonts w:ascii="Abadi" w:hAnsi="Abadi" w:cs="Arial"/>
          <w:sz w:val="21"/>
          <w:szCs w:val="21"/>
        </w:rPr>
      </w:pPr>
      <w:r w:rsidRPr="004A0446">
        <w:rPr>
          <w:rFonts w:ascii="Abadi" w:hAnsi="Abadi" w:cs="Arial"/>
          <w:sz w:val="21"/>
          <w:szCs w:val="21"/>
        </w:rPr>
        <w:t>Asimismo, realizará estimaciones sobre el impacto presupuestario de las disposiciones administrativas en el ámbito de competencia de la administración pública estatal que impliquen costos para su implementación, incluidos los anteproyectos de reglamentos, decretos y acuerdos que se sometan a consideración del titular del Poder Ejecutivo, conforme a las disposiciones que para tal efecto emita la Secretaría.</w:t>
      </w:r>
    </w:p>
    <w:p w14:paraId="242A186D" w14:textId="77777777" w:rsidR="00E3434F" w:rsidRPr="004A0446" w:rsidRDefault="00E3434F" w:rsidP="00F3730A">
      <w:pPr>
        <w:ind w:left="1701" w:right="567"/>
        <w:jc w:val="both"/>
        <w:rPr>
          <w:rFonts w:ascii="Abadi" w:hAnsi="Abadi" w:cs="Arial"/>
          <w:sz w:val="21"/>
          <w:szCs w:val="21"/>
        </w:rPr>
      </w:pPr>
    </w:p>
    <w:p w14:paraId="7DF7DCA5" w14:textId="77777777" w:rsidR="00E3434F" w:rsidRPr="004A0446" w:rsidRDefault="00E3434F" w:rsidP="00F3730A">
      <w:pPr>
        <w:ind w:left="1701" w:right="567"/>
        <w:jc w:val="both"/>
        <w:rPr>
          <w:rFonts w:ascii="Abadi" w:hAnsi="Abadi" w:cs="Arial"/>
          <w:sz w:val="21"/>
          <w:szCs w:val="21"/>
        </w:rPr>
      </w:pPr>
      <w:r w:rsidRPr="004A0446">
        <w:rPr>
          <w:rFonts w:ascii="Abadi" w:hAnsi="Abadi" w:cs="Arial"/>
          <w:sz w:val="21"/>
          <w:szCs w:val="21"/>
        </w:rPr>
        <w:t>En todos los casos, cuando la iniciativa o anteproyecto tenga un impacto en el Presupuesto, se deberá señalar la fuente de financiamiento factible de los nuevos gastos.</w:t>
      </w:r>
    </w:p>
    <w:p w14:paraId="28D897FC" w14:textId="77777777" w:rsidR="00E3434F" w:rsidRPr="004A0446" w:rsidRDefault="00E3434F" w:rsidP="00F3730A">
      <w:pPr>
        <w:ind w:left="1701" w:right="567"/>
        <w:jc w:val="both"/>
        <w:rPr>
          <w:rFonts w:ascii="Abadi" w:hAnsi="Abadi" w:cs="Arial"/>
          <w:sz w:val="21"/>
          <w:szCs w:val="21"/>
        </w:rPr>
      </w:pPr>
    </w:p>
    <w:p w14:paraId="184B63B5" w14:textId="77777777" w:rsidR="00E3434F" w:rsidRPr="004A0446" w:rsidRDefault="00E3434F" w:rsidP="00F3730A">
      <w:pPr>
        <w:ind w:left="1701" w:right="567"/>
        <w:jc w:val="both"/>
        <w:rPr>
          <w:rFonts w:ascii="Abadi" w:hAnsi="Abadi" w:cs="Arial"/>
          <w:sz w:val="21"/>
          <w:szCs w:val="21"/>
        </w:rPr>
      </w:pPr>
      <w:r w:rsidRPr="004A0446">
        <w:rPr>
          <w:rFonts w:ascii="Abadi" w:hAnsi="Abadi" w:cs="Arial"/>
          <w:sz w:val="21"/>
          <w:szCs w:val="21"/>
        </w:rPr>
        <w:t>La aprobación y ejecución de nuevas obligaciones financieras derivadas de la legislación estatal, se realizará en el marco del principio de balance presupuestario sostenible, por lo cual, se sujetarán a la capacidad financiera del Estado.</w:t>
      </w:r>
    </w:p>
    <w:p w14:paraId="1F3CE355" w14:textId="77777777" w:rsidR="00E3434F" w:rsidRPr="004A0446" w:rsidRDefault="00E3434F" w:rsidP="00F3730A">
      <w:pPr>
        <w:ind w:left="1701" w:right="567"/>
        <w:jc w:val="both"/>
        <w:rPr>
          <w:rFonts w:ascii="Abadi" w:hAnsi="Abadi" w:cs="Arial"/>
          <w:b/>
          <w:bCs/>
          <w:sz w:val="21"/>
          <w:szCs w:val="21"/>
        </w:rPr>
      </w:pPr>
    </w:p>
    <w:p w14:paraId="7DE9FFC7" w14:textId="77777777" w:rsidR="00E3434F" w:rsidRPr="004A0446" w:rsidRDefault="00E3434F" w:rsidP="00F3730A">
      <w:pPr>
        <w:ind w:left="1701" w:right="567"/>
        <w:jc w:val="both"/>
        <w:rPr>
          <w:rFonts w:ascii="Abadi" w:hAnsi="Abadi" w:cs="Arial"/>
          <w:sz w:val="21"/>
          <w:szCs w:val="21"/>
        </w:rPr>
      </w:pPr>
      <w:r w:rsidRPr="004A0446">
        <w:rPr>
          <w:rFonts w:ascii="Abadi" w:hAnsi="Abadi" w:cs="Arial"/>
          <w:b/>
          <w:bCs/>
          <w:sz w:val="21"/>
          <w:szCs w:val="21"/>
        </w:rPr>
        <w:t>Artículo 37 ter</w:t>
      </w:r>
      <w:r w:rsidRPr="004A0446">
        <w:rPr>
          <w:rFonts w:ascii="Abadi" w:hAnsi="Abadi" w:cs="Arial"/>
          <w:sz w:val="21"/>
          <w:szCs w:val="21"/>
        </w:rPr>
        <w:t>. La Secretaría, para la estimación del impacto presupuestal a que se refiere el artículo anterior, podrá solicitar a los sujetos de la Ley la información necesaria, así como otros datos que faciliten su emisión.</w:t>
      </w:r>
    </w:p>
    <w:p w14:paraId="15067593" w14:textId="77777777" w:rsidR="00E3434F" w:rsidRPr="004A0446" w:rsidRDefault="00E3434F" w:rsidP="00F3730A">
      <w:pPr>
        <w:ind w:left="1701" w:right="567"/>
        <w:jc w:val="both"/>
        <w:rPr>
          <w:rFonts w:ascii="Abadi" w:hAnsi="Abadi" w:cs="Arial"/>
          <w:sz w:val="21"/>
          <w:szCs w:val="21"/>
        </w:rPr>
      </w:pPr>
    </w:p>
    <w:p w14:paraId="33D93AAE" w14:textId="77777777" w:rsidR="00E3434F" w:rsidRPr="004A0446" w:rsidRDefault="00E3434F" w:rsidP="00F3730A">
      <w:pPr>
        <w:ind w:left="1701" w:right="567"/>
        <w:jc w:val="both"/>
        <w:rPr>
          <w:rFonts w:ascii="Abadi" w:hAnsi="Abadi" w:cs="Arial"/>
          <w:sz w:val="21"/>
          <w:szCs w:val="21"/>
        </w:rPr>
      </w:pPr>
      <w:r w:rsidRPr="004A0446">
        <w:rPr>
          <w:rFonts w:ascii="Abadi" w:hAnsi="Abadi" w:cs="Arial"/>
          <w:sz w:val="21"/>
          <w:szCs w:val="21"/>
        </w:rPr>
        <w:t>La Secretaría emitirá recomendaciones sobre las disposiciones del ordenamiento sujeto a dictamen que incidan en el ámbito presupuestal estatal, cuando así lo considere.</w:t>
      </w:r>
    </w:p>
    <w:p w14:paraId="2FACFA7B" w14:textId="77777777" w:rsidR="00E3434F" w:rsidRPr="004A0446" w:rsidRDefault="00E3434F" w:rsidP="00F3730A">
      <w:pPr>
        <w:ind w:left="1701" w:right="567"/>
        <w:jc w:val="both"/>
        <w:rPr>
          <w:rFonts w:ascii="Abadi" w:hAnsi="Abadi" w:cs="Arial"/>
          <w:sz w:val="21"/>
          <w:szCs w:val="21"/>
        </w:rPr>
      </w:pPr>
    </w:p>
    <w:p w14:paraId="1A120F49" w14:textId="77777777" w:rsidR="00E3434F" w:rsidRPr="004A0446" w:rsidRDefault="00E3434F" w:rsidP="00F3730A">
      <w:pPr>
        <w:ind w:left="1701" w:right="567"/>
        <w:jc w:val="both"/>
        <w:rPr>
          <w:rFonts w:ascii="Abadi" w:hAnsi="Abadi" w:cs="Arial"/>
          <w:sz w:val="21"/>
          <w:szCs w:val="21"/>
        </w:rPr>
      </w:pPr>
      <w:r w:rsidRPr="004A0446">
        <w:rPr>
          <w:rFonts w:ascii="Abadi" w:hAnsi="Abadi" w:cs="Arial"/>
          <w:sz w:val="21"/>
          <w:szCs w:val="21"/>
          <w:u w:val="single"/>
        </w:rPr>
        <w:t>En los poderes Legislativo y Judicial, las atribuciones anteriores las tendrán las unidades administrativas que se determinen en el ámbito de sus respectivas competencias</w:t>
      </w:r>
      <w:r w:rsidRPr="004A0446">
        <w:rPr>
          <w:rFonts w:ascii="Abadi" w:hAnsi="Abadi" w:cs="Arial"/>
          <w:sz w:val="21"/>
          <w:szCs w:val="21"/>
        </w:rPr>
        <w:t>.»</w:t>
      </w:r>
    </w:p>
    <w:p w14:paraId="41E12BC0" w14:textId="77777777" w:rsidR="00E3434F" w:rsidRPr="004A0446" w:rsidRDefault="00E3434F" w:rsidP="00F3730A">
      <w:pPr>
        <w:ind w:left="1134" w:right="567"/>
        <w:jc w:val="both"/>
        <w:rPr>
          <w:rFonts w:ascii="Abadi" w:hAnsi="Abadi" w:cs="Arial"/>
          <w:sz w:val="21"/>
          <w:szCs w:val="21"/>
        </w:rPr>
      </w:pPr>
    </w:p>
    <w:bookmarkEnd w:id="42"/>
    <w:p w14:paraId="7658427B" w14:textId="77777777" w:rsidR="00E3434F" w:rsidRPr="004A0446" w:rsidRDefault="00E3434F" w:rsidP="00F3730A">
      <w:pPr>
        <w:ind w:left="1134" w:right="567" w:firstLine="1"/>
        <w:jc w:val="both"/>
        <w:rPr>
          <w:rFonts w:ascii="Abadi" w:hAnsi="Abadi" w:cs="Arial"/>
          <w:sz w:val="21"/>
          <w:szCs w:val="21"/>
        </w:rPr>
      </w:pPr>
      <w:r w:rsidRPr="004A0446">
        <w:rPr>
          <w:rFonts w:ascii="Abadi" w:hAnsi="Abadi" w:cs="Arial"/>
          <w:sz w:val="21"/>
          <w:szCs w:val="21"/>
        </w:rPr>
        <w:t>Por lo anterior, a pesar de que la iniciativa en análisis contiene un impacto presupuestario, en donde únicamente se menciona que:</w:t>
      </w:r>
    </w:p>
    <w:p w14:paraId="32FB71CE" w14:textId="77777777" w:rsidR="00E3434F" w:rsidRPr="004A0446" w:rsidRDefault="00E3434F" w:rsidP="00F3730A">
      <w:pPr>
        <w:ind w:left="1134" w:right="567" w:firstLine="1"/>
        <w:jc w:val="both"/>
        <w:rPr>
          <w:rFonts w:ascii="Abadi" w:hAnsi="Abadi" w:cs="Arial"/>
          <w:sz w:val="21"/>
          <w:szCs w:val="21"/>
        </w:rPr>
      </w:pPr>
    </w:p>
    <w:p w14:paraId="7349AEE5" w14:textId="77777777" w:rsidR="00E3434F" w:rsidRPr="004A0446" w:rsidRDefault="00E3434F" w:rsidP="00F3730A">
      <w:pPr>
        <w:ind w:left="1701" w:right="567"/>
        <w:jc w:val="both"/>
        <w:rPr>
          <w:rFonts w:ascii="Abadi" w:hAnsi="Abadi" w:cs="Arial"/>
          <w:sz w:val="21"/>
          <w:szCs w:val="21"/>
        </w:rPr>
      </w:pPr>
      <w:r w:rsidRPr="004A0446">
        <w:rPr>
          <w:rFonts w:ascii="Abadi" w:hAnsi="Abadi" w:cs="Arial"/>
          <w:sz w:val="21"/>
          <w:szCs w:val="21"/>
        </w:rPr>
        <w:t xml:space="preserve">«c) </w:t>
      </w:r>
      <w:r w:rsidRPr="004A0446">
        <w:rPr>
          <w:rFonts w:ascii="Abadi" w:hAnsi="Abadi" w:cs="Arial"/>
          <w:b/>
          <w:bCs/>
          <w:sz w:val="21"/>
          <w:szCs w:val="21"/>
        </w:rPr>
        <w:t>Impacto presupuestario</w:t>
      </w:r>
      <w:r w:rsidRPr="004A0446">
        <w:rPr>
          <w:rFonts w:ascii="Abadi" w:hAnsi="Abadi" w:cs="Arial"/>
          <w:sz w:val="21"/>
          <w:szCs w:val="21"/>
        </w:rPr>
        <w:t>. Por la relevancia en materia de prevención de suicidio, se prevé, que de forma progresiva los ayuntamientos y el ejecutivo del Estado destine recursos suficientes y progresivos para la creación de campañas y programas encaminadas a la prevención.»</w:t>
      </w:r>
    </w:p>
    <w:p w14:paraId="6CC776D5" w14:textId="77777777" w:rsidR="00E3434F" w:rsidRPr="004A0446" w:rsidRDefault="00E3434F" w:rsidP="00F3730A">
      <w:pPr>
        <w:ind w:right="567" w:firstLine="709"/>
        <w:jc w:val="both"/>
        <w:rPr>
          <w:rFonts w:ascii="Abadi" w:hAnsi="Abadi" w:cs="Arial"/>
          <w:sz w:val="21"/>
          <w:szCs w:val="21"/>
        </w:rPr>
      </w:pPr>
    </w:p>
    <w:p w14:paraId="3B26BC18" w14:textId="77777777" w:rsidR="00E3434F" w:rsidRPr="004A0446" w:rsidRDefault="00E3434F" w:rsidP="00F3730A">
      <w:pPr>
        <w:ind w:left="1134" w:right="567"/>
        <w:jc w:val="both"/>
        <w:rPr>
          <w:rFonts w:ascii="Abadi" w:hAnsi="Abadi" w:cs="Arial"/>
          <w:sz w:val="21"/>
          <w:szCs w:val="21"/>
        </w:rPr>
      </w:pPr>
      <w:r w:rsidRPr="004A0446">
        <w:rPr>
          <w:rFonts w:ascii="Abadi" w:hAnsi="Abadi" w:cs="Arial"/>
          <w:sz w:val="21"/>
          <w:szCs w:val="21"/>
        </w:rPr>
        <w:t>Este no se prevé en términos reales, al no acompañarse a la propuesta el análisis correspondiente. Por lo que se estima que es indispensable que una iniciativa que implica la generación de un costo para su implementación contemple desde su presentación, como lo indican las leyes referidas, el dictamen de impacto presupuestal.</w:t>
      </w:r>
    </w:p>
    <w:p w14:paraId="580AC227" w14:textId="77777777" w:rsidR="00E3434F" w:rsidRPr="004A0446" w:rsidRDefault="00E3434F" w:rsidP="00F3730A">
      <w:pPr>
        <w:ind w:left="1134" w:right="567"/>
        <w:jc w:val="both"/>
        <w:rPr>
          <w:rFonts w:ascii="Abadi" w:hAnsi="Abadi" w:cs="Arial"/>
          <w:sz w:val="21"/>
          <w:szCs w:val="21"/>
        </w:rPr>
      </w:pPr>
    </w:p>
    <w:p w14:paraId="2FC73F6A" w14:textId="77777777" w:rsidR="00E3434F" w:rsidRPr="004A0446" w:rsidRDefault="00E3434F" w:rsidP="00F3730A">
      <w:pPr>
        <w:ind w:left="1134" w:right="567"/>
        <w:jc w:val="both"/>
        <w:rPr>
          <w:rFonts w:ascii="Abadi" w:hAnsi="Abadi" w:cs="Arial"/>
          <w:sz w:val="21"/>
          <w:szCs w:val="21"/>
        </w:rPr>
      </w:pPr>
      <w:r w:rsidRPr="004A0446">
        <w:rPr>
          <w:rFonts w:ascii="Abadi" w:hAnsi="Abadi" w:cs="Arial"/>
          <w:sz w:val="21"/>
          <w:szCs w:val="21"/>
        </w:rPr>
        <w:t>En este sentido, respecto del impacto presupuestario, no se presenta información concisa o puntual, por el contrario, dentro de la exposición de motivos del iniciante señalan que la presente es ejecutable aprovechando los recursos humanos y materiales disponibles en los entes públicos sobre los que recaigan las nuevas responsabilidades.</w:t>
      </w:r>
    </w:p>
    <w:p w14:paraId="09D898E8" w14:textId="77777777" w:rsidR="00E3434F" w:rsidRPr="004A0446" w:rsidRDefault="00E3434F" w:rsidP="00F3730A">
      <w:pPr>
        <w:ind w:left="1134" w:right="567"/>
        <w:jc w:val="both"/>
        <w:rPr>
          <w:rFonts w:ascii="Abadi" w:hAnsi="Abadi" w:cs="Arial"/>
          <w:sz w:val="21"/>
          <w:szCs w:val="21"/>
        </w:rPr>
      </w:pPr>
    </w:p>
    <w:p w14:paraId="556EB620" w14:textId="77777777" w:rsidR="00E3434F" w:rsidRPr="004A0446" w:rsidRDefault="00E3434F" w:rsidP="00F3730A">
      <w:pPr>
        <w:ind w:left="1134" w:right="567"/>
        <w:jc w:val="both"/>
        <w:rPr>
          <w:rFonts w:ascii="Abadi" w:hAnsi="Abadi" w:cs="Arial"/>
          <w:sz w:val="21"/>
          <w:szCs w:val="21"/>
        </w:rPr>
      </w:pPr>
      <w:r w:rsidRPr="004A0446">
        <w:rPr>
          <w:rFonts w:ascii="Abadi" w:hAnsi="Abadi" w:cs="Arial"/>
          <w:sz w:val="21"/>
          <w:szCs w:val="21"/>
        </w:rPr>
        <w:t>No obstante, dentro de los objetivos de la iniciativa en estudio, se advierten que pudiera implicar el uso de recursos para su desarrollo, por ejemplo:</w:t>
      </w:r>
    </w:p>
    <w:p w14:paraId="134DCC29" w14:textId="77777777" w:rsidR="00E3434F" w:rsidRPr="004A0446" w:rsidRDefault="00E3434F" w:rsidP="00F3730A">
      <w:pPr>
        <w:ind w:right="27" w:firstLine="709"/>
        <w:jc w:val="both"/>
        <w:rPr>
          <w:rFonts w:ascii="Abadi" w:hAnsi="Abadi" w:cs="Arial"/>
          <w:sz w:val="21"/>
          <w:szCs w:val="21"/>
        </w:rPr>
      </w:pPr>
    </w:p>
    <w:p w14:paraId="2A9DEEE7" w14:textId="77777777" w:rsidR="00E3434F" w:rsidRPr="004A0446" w:rsidRDefault="00E3434F" w:rsidP="00F3730A">
      <w:pPr>
        <w:ind w:left="1985" w:right="567" w:hanging="284"/>
        <w:jc w:val="both"/>
        <w:rPr>
          <w:rFonts w:ascii="Abadi" w:hAnsi="Abadi" w:cs="Arial"/>
          <w:sz w:val="21"/>
          <w:szCs w:val="21"/>
        </w:rPr>
      </w:pPr>
      <w:r w:rsidRPr="004A0446">
        <w:rPr>
          <w:rFonts w:ascii="Abadi" w:hAnsi="Abadi" w:cs="Arial"/>
          <w:sz w:val="21"/>
          <w:szCs w:val="21"/>
        </w:rPr>
        <w:t>a)</w:t>
      </w:r>
      <w:r w:rsidRPr="004A0446">
        <w:rPr>
          <w:rFonts w:ascii="Abadi" w:hAnsi="Abadi" w:cs="Arial"/>
          <w:sz w:val="21"/>
          <w:szCs w:val="21"/>
        </w:rPr>
        <w:tab/>
        <w:t>Desarrollar y aplicar campañas de orientación acerca de la prevención del suicidio.</w:t>
      </w:r>
    </w:p>
    <w:p w14:paraId="07E2DBA1" w14:textId="77777777" w:rsidR="00E3434F" w:rsidRPr="004A0446" w:rsidRDefault="00E3434F" w:rsidP="00F3730A">
      <w:pPr>
        <w:ind w:left="1985" w:right="567" w:hanging="284"/>
        <w:jc w:val="both"/>
        <w:rPr>
          <w:rFonts w:ascii="Abadi" w:hAnsi="Abadi" w:cs="Arial"/>
          <w:sz w:val="21"/>
          <w:szCs w:val="21"/>
        </w:rPr>
      </w:pPr>
      <w:r w:rsidRPr="004A0446">
        <w:rPr>
          <w:rFonts w:ascii="Abadi" w:hAnsi="Abadi" w:cs="Arial"/>
          <w:sz w:val="21"/>
          <w:szCs w:val="21"/>
        </w:rPr>
        <w:t>b)</w:t>
      </w:r>
      <w:r w:rsidRPr="004A0446">
        <w:rPr>
          <w:rFonts w:ascii="Abadi" w:hAnsi="Abadi" w:cs="Arial"/>
          <w:sz w:val="21"/>
          <w:szCs w:val="21"/>
        </w:rPr>
        <w:tab/>
        <w:t>Capacitar, de manera sistemática y permanente en la detección oportuna de personas en situación de riesgo suicida, al personal del sistema estatal de salud y a los docentes del sector educativo.</w:t>
      </w:r>
    </w:p>
    <w:p w14:paraId="25105C72" w14:textId="77777777" w:rsidR="00E3434F" w:rsidRPr="004A0446" w:rsidRDefault="00E3434F" w:rsidP="00F3730A">
      <w:pPr>
        <w:tabs>
          <w:tab w:val="left" w:pos="1985"/>
        </w:tabs>
        <w:ind w:left="1985" w:right="567" w:hanging="284"/>
        <w:jc w:val="both"/>
        <w:rPr>
          <w:rFonts w:ascii="Abadi" w:hAnsi="Abadi" w:cs="Arial"/>
          <w:sz w:val="21"/>
          <w:szCs w:val="21"/>
        </w:rPr>
      </w:pPr>
      <w:r w:rsidRPr="004A0446">
        <w:rPr>
          <w:rFonts w:ascii="Abadi" w:hAnsi="Abadi" w:cs="Arial"/>
          <w:sz w:val="21"/>
          <w:szCs w:val="21"/>
        </w:rPr>
        <w:t>c)</w:t>
      </w:r>
      <w:r w:rsidRPr="004A0446">
        <w:rPr>
          <w:rFonts w:ascii="Abadi" w:hAnsi="Abadi" w:cs="Arial"/>
          <w:sz w:val="21"/>
          <w:szCs w:val="21"/>
        </w:rPr>
        <w:tab/>
        <w:t>Crear y administrar un Registro Estatal de Datos para la Prevención de Suicidio.</w:t>
      </w:r>
    </w:p>
    <w:p w14:paraId="7FB75AA6" w14:textId="77777777" w:rsidR="00E3434F" w:rsidRPr="004A0446" w:rsidRDefault="00E3434F" w:rsidP="00F3730A">
      <w:pPr>
        <w:ind w:right="27"/>
        <w:jc w:val="both"/>
        <w:rPr>
          <w:rFonts w:ascii="Abadi" w:hAnsi="Abadi" w:cs="Arial"/>
          <w:sz w:val="21"/>
          <w:szCs w:val="21"/>
        </w:rPr>
      </w:pPr>
    </w:p>
    <w:p w14:paraId="381D9F52" w14:textId="77777777" w:rsidR="00E3434F" w:rsidRPr="004A0446" w:rsidRDefault="00E3434F" w:rsidP="00F3730A">
      <w:pPr>
        <w:ind w:left="1134" w:right="567"/>
        <w:jc w:val="both"/>
        <w:rPr>
          <w:rFonts w:ascii="Abadi" w:hAnsi="Abadi" w:cs="Arial"/>
          <w:sz w:val="21"/>
          <w:szCs w:val="21"/>
        </w:rPr>
      </w:pPr>
      <w:r w:rsidRPr="004A0446">
        <w:rPr>
          <w:rFonts w:ascii="Abadi" w:hAnsi="Abadi" w:cs="Arial"/>
          <w:sz w:val="21"/>
          <w:szCs w:val="21"/>
        </w:rPr>
        <w:t>Acciones que como se ha descrito anteriormente, ya se encuentran contenidas en sus programas y estructuras de trabajo</w:t>
      </w:r>
    </w:p>
    <w:p w14:paraId="6375E0EF" w14:textId="77777777" w:rsidR="00E3434F" w:rsidRPr="004A0446" w:rsidRDefault="00E3434F" w:rsidP="00F3730A">
      <w:pPr>
        <w:ind w:right="27" w:firstLine="709"/>
        <w:jc w:val="both"/>
        <w:rPr>
          <w:rFonts w:ascii="Abadi" w:hAnsi="Abadi" w:cs="Arial"/>
          <w:sz w:val="21"/>
          <w:szCs w:val="21"/>
        </w:rPr>
      </w:pPr>
    </w:p>
    <w:p w14:paraId="3C4309FD" w14:textId="77777777" w:rsidR="00E3434F" w:rsidRPr="004A0446" w:rsidRDefault="00E3434F" w:rsidP="00F3730A">
      <w:pPr>
        <w:ind w:left="1134" w:right="567"/>
        <w:jc w:val="both"/>
        <w:rPr>
          <w:rFonts w:ascii="Abadi" w:hAnsi="Abadi" w:cs="Arial"/>
          <w:b/>
          <w:bCs/>
          <w:sz w:val="21"/>
          <w:szCs w:val="21"/>
        </w:rPr>
      </w:pPr>
      <w:r w:rsidRPr="004A0446">
        <w:rPr>
          <w:rFonts w:ascii="Abadi" w:hAnsi="Abadi" w:cs="Arial"/>
          <w:b/>
          <w:bCs/>
          <w:sz w:val="21"/>
          <w:szCs w:val="21"/>
        </w:rPr>
        <w:t>III.9 Adición a la Ley Orgánica del Poder Ejecutivo para el estado de Guanajuato</w:t>
      </w:r>
    </w:p>
    <w:p w14:paraId="72E30E97" w14:textId="77777777" w:rsidR="00E3434F" w:rsidRPr="004A0446" w:rsidRDefault="00E3434F" w:rsidP="00F3730A">
      <w:pPr>
        <w:ind w:right="27" w:firstLine="709"/>
        <w:jc w:val="both"/>
        <w:rPr>
          <w:rFonts w:ascii="Abadi" w:hAnsi="Abadi" w:cs="Arial"/>
          <w:sz w:val="21"/>
          <w:szCs w:val="21"/>
        </w:rPr>
      </w:pPr>
    </w:p>
    <w:p w14:paraId="0BB3B557" w14:textId="77777777" w:rsidR="00E3434F" w:rsidRPr="004A0446" w:rsidRDefault="00E3434F" w:rsidP="00F3730A">
      <w:pPr>
        <w:ind w:left="1134" w:right="567"/>
        <w:jc w:val="both"/>
        <w:rPr>
          <w:rFonts w:ascii="Abadi" w:hAnsi="Abadi" w:cs="Arial"/>
          <w:sz w:val="21"/>
          <w:szCs w:val="21"/>
        </w:rPr>
      </w:pPr>
      <w:r w:rsidRPr="004A0446">
        <w:rPr>
          <w:rFonts w:ascii="Abadi" w:hAnsi="Abadi" w:cs="Arial"/>
          <w:sz w:val="21"/>
          <w:szCs w:val="21"/>
        </w:rPr>
        <w:t>En relación a la adición del artículo 27, fracción I con un inciso h) del citado dispositivo legal, a efecto de otorgar facultades a la Secretaría de Salud, para integrar y coordinar el Sistema Integral para la Prevención del Suicidio, se estima que dicha dependencia, como ente rector en materia de salud, ya cuenta con atribuciones para ello, y en específico es coordinadora del Sistema Estatal de Salud, dentro del cual se prevén lo relativo a la aplicación de acciones de prevención del suicidio, dirigidas particularmente a niñas, niños y adolescentes, así como a la población en general. Lo anterior, de conformidad con el artículo 7, fracción XIX, de la Ley de Salud del Estado de Guanajuato, que establece:</w:t>
      </w:r>
    </w:p>
    <w:p w14:paraId="08406F19" w14:textId="77777777" w:rsidR="00E3434F" w:rsidRPr="004A0446" w:rsidRDefault="00E3434F" w:rsidP="00F3730A">
      <w:pPr>
        <w:ind w:right="27" w:firstLine="709"/>
        <w:jc w:val="both"/>
        <w:rPr>
          <w:rFonts w:ascii="Abadi" w:hAnsi="Abadi" w:cs="Arial"/>
          <w:sz w:val="21"/>
          <w:szCs w:val="21"/>
        </w:rPr>
      </w:pPr>
    </w:p>
    <w:p w14:paraId="2AF2D72B" w14:textId="77777777" w:rsidR="00E3434F" w:rsidRPr="004A0446" w:rsidRDefault="00E3434F" w:rsidP="00F3730A">
      <w:pPr>
        <w:ind w:left="1701" w:right="567"/>
        <w:jc w:val="both"/>
        <w:rPr>
          <w:rFonts w:ascii="Abadi" w:hAnsi="Abadi" w:cs="Arial"/>
          <w:sz w:val="21"/>
          <w:szCs w:val="21"/>
        </w:rPr>
      </w:pPr>
      <w:r w:rsidRPr="004A0446">
        <w:rPr>
          <w:rFonts w:ascii="Abadi" w:hAnsi="Abadi" w:cs="Arial"/>
          <w:sz w:val="21"/>
          <w:szCs w:val="21"/>
        </w:rPr>
        <w:t>«</w:t>
      </w:r>
      <w:r w:rsidRPr="004A0446">
        <w:rPr>
          <w:rFonts w:ascii="Abadi" w:hAnsi="Abadi" w:cs="Arial"/>
          <w:b/>
          <w:bCs/>
          <w:sz w:val="21"/>
          <w:szCs w:val="21"/>
        </w:rPr>
        <w:t>ARTICULO 7</w:t>
      </w:r>
      <w:r w:rsidRPr="004A0446">
        <w:rPr>
          <w:rFonts w:ascii="Abadi" w:hAnsi="Abadi" w:cs="Arial"/>
          <w:sz w:val="21"/>
          <w:szCs w:val="21"/>
        </w:rPr>
        <w:t>. La coordinación del Sistema Estatal de Salud estará a cargo de la Secretaría de Salud del Estado correspondiéndole a ésta:</w:t>
      </w:r>
    </w:p>
    <w:p w14:paraId="4135523B" w14:textId="77777777" w:rsidR="00E3434F" w:rsidRPr="004A0446" w:rsidRDefault="00E3434F" w:rsidP="00F3730A">
      <w:pPr>
        <w:ind w:left="1701" w:right="567"/>
        <w:jc w:val="both"/>
        <w:rPr>
          <w:rFonts w:ascii="Abadi" w:hAnsi="Abadi" w:cs="Arial"/>
          <w:sz w:val="21"/>
          <w:szCs w:val="21"/>
        </w:rPr>
      </w:pPr>
      <w:r w:rsidRPr="004A0446">
        <w:rPr>
          <w:rFonts w:ascii="Abadi" w:hAnsi="Abadi" w:cs="Arial"/>
          <w:b/>
          <w:bCs/>
          <w:sz w:val="21"/>
          <w:szCs w:val="21"/>
        </w:rPr>
        <w:t>XIX</w:t>
      </w:r>
      <w:r w:rsidRPr="004A0446">
        <w:rPr>
          <w:rFonts w:ascii="Abadi" w:hAnsi="Abadi" w:cs="Arial"/>
          <w:sz w:val="21"/>
          <w:szCs w:val="21"/>
        </w:rPr>
        <w:t>. Coordinarse con las instituciones federales, estatales y municipales, y con la sociedad civil, para promover y apoyar la investigación de las causas del suicidio y de la conducta suicida, así como diseñar, proponer, desarrollar y aplicar acciones de prevención del suicidio, dirigidas particularmente a niñas, niños y adolescentes, así como a la población en general.»</w:t>
      </w:r>
    </w:p>
    <w:p w14:paraId="35A07175" w14:textId="77777777" w:rsidR="00E3434F" w:rsidRPr="004A0446" w:rsidRDefault="00E3434F" w:rsidP="00F3730A">
      <w:pPr>
        <w:ind w:right="27" w:firstLine="709"/>
        <w:jc w:val="both"/>
        <w:rPr>
          <w:rFonts w:ascii="Abadi" w:hAnsi="Abadi" w:cs="Arial"/>
          <w:sz w:val="21"/>
          <w:szCs w:val="21"/>
        </w:rPr>
      </w:pPr>
    </w:p>
    <w:p w14:paraId="672D6F0B" w14:textId="77777777" w:rsidR="00E3434F" w:rsidRPr="004A0446" w:rsidRDefault="00E3434F" w:rsidP="00F3730A">
      <w:pPr>
        <w:ind w:left="709" w:right="27" w:firstLine="709"/>
        <w:jc w:val="both"/>
        <w:rPr>
          <w:rFonts w:ascii="Abadi" w:hAnsi="Abadi" w:cs="Arial"/>
          <w:sz w:val="21"/>
          <w:szCs w:val="21"/>
        </w:rPr>
      </w:pPr>
      <w:r w:rsidRPr="004A0446">
        <w:rPr>
          <w:rFonts w:ascii="Abadi" w:hAnsi="Abadi" w:cs="Arial"/>
          <w:sz w:val="21"/>
          <w:szCs w:val="21"/>
        </w:rPr>
        <w:t xml:space="preserve">    (…)</w:t>
      </w:r>
    </w:p>
    <w:p w14:paraId="5509D528" w14:textId="77777777" w:rsidR="00E3434F" w:rsidRPr="004A0446" w:rsidRDefault="00E3434F" w:rsidP="00F3730A">
      <w:pPr>
        <w:ind w:right="27"/>
        <w:jc w:val="both"/>
        <w:rPr>
          <w:rFonts w:ascii="Abadi" w:hAnsi="Abadi" w:cs="Arial"/>
          <w:sz w:val="21"/>
          <w:szCs w:val="21"/>
        </w:rPr>
      </w:pPr>
    </w:p>
    <w:p w14:paraId="75434967" w14:textId="77777777" w:rsidR="00E3434F" w:rsidRPr="004A0446" w:rsidRDefault="00E3434F" w:rsidP="00F3730A">
      <w:pPr>
        <w:ind w:right="27" w:firstLine="1134"/>
        <w:jc w:val="both"/>
        <w:rPr>
          <w:rFonts w:ascii="Abadi" w:hAnsi="Abadi" w:cs="Arial"/>
          <w:b/>
          <w:bCs/>
          <w:sz w:val="21"/>
          <w:szCs w:val="21"/>
        </w:rPr>
      </w:pPr>
      <w:r w:rsidRPr="004A0446">
        <w:rPr>
          <w:rFonts w:ascii="Abadi" w:hAnsi="Abadi" w:cs="Arial"/>
          <w:b/>
          <w:bCs/>
          <w:sz w:val="21"/>
          <w:szCs w:val="21"/>
        </w:rPr>
        <w:t>IV. Conclusiones</w:t>
      </w:r>
    </w:p>
    <w:p w14:paraId="3163E782" w14:textId="77777777" w:rsidR="00E3434F" w:rsidRPr="004A0446" w:rsidRDefault="00E3434F" w:rsidP="00F3730A">
      <w:pPr>
        <w:ind w:right="27" w:firstLine="1418"/>
        <w:jc w:val="both"/>
        <w:rPr>
          <w:rFonts w:ascii="Abadi" w:hAnsi="Abadi" w:cs="Arial"/>
          <w:b/>
          <w:bCs/>
          <w:sz w:val="21"/>
          <w:szCs w:val="21"/>
        </w:rPr>
      </w:pPr>
    </w:p>
    <w:p w14:paraId="60B54010" w14:textId="77777777" w:rsidR="00E3434F" w:rsidRPr="004A0446" w:rsidRDefault="00E3434F" w:rsidP="00F3730A">
      <w:pPr>
        <w:ind w:left="1134" w:right="567"/>
        <w:jc w:val="both"/>
        <w:rPr>
          <w:rFonts w:ascii="Abadi" w:hAnsi="Abadi" w:cs="Arial"/>
          <w:sz w:val="21"/>
          <w:szCs w:val="21"/>
        </w:rPr>
      </w:pPr>
      <w:r w:rsidRPr="004A0446">
        <w:rPr>
          <w:rFonts w:ascii="Abadi" w:hAnsi="Abadi" w:cs="Arial"/>
          <w:b/>
          <w:bCs/>
          <w:sz w:val="21"/>
          <w:szCs w:val="21"/>
        </w:rPr>
        <w:t>IV.1</w:t>
      </w:r>
      <w:r w:rsidRPr="004A0446">
        <w:rPr>
          <w:rFonts w:ascii="Abadi" w:hAnsi="Abadi" w:cs="Arial"/>
          <w:sz w:val="21"/>
          <w:szCs w:val="21"/>
        </w:rPr>
        <w:t xml:space="preserve"> Se reconoce la loable intención de las y los legisladores iniciantes de incorporar estrategias que permitan la prevención del suicidio y la disminución de su incidencia.</w:t>
      </w:r>
    </w:p>
    <w:p w14:paraId="24679DDA" w14:textId="77777777" w:rsidR="00E3434F" w:rsidRPr="004A0446" w:rsidRDefault="00E3434F" w:rsidP="00F3730A">
      <w:pPr>
        <w:ind w:left="1134" w:right="567"/>
        <w:jc w:val="both"/>
        <w:rPr>
          <w:rFonts w:ascii="Abadi" w:hAnsi="Abadi" w:cs="Arial"/>
          <w:sz w:val="21"/>
          <w:szCs w:val="21"/>
        </w:rPr>
      </w:pPr>
    </w:p>
    <w:p w14:paraId="361F6739" w14:textId="77777777" w:rsidR="00E3434F" w:rsidRPr="004A0446" w:rsidRDefault="00E3434F" w:rsidP="00F3730A">
      <w:pPr>
        <w:ind w:left="1134" w:right="567"/>
        <w:jc w:val="both"/>
        <w:rPr>
          <w:rFonts w:ascii="Abadi" w:hAnsi="Abadi" w:cs="Arial"/>
          <w:sz w:val="21"/>
          <w:szCs w:val="21"/>
        </w:rPr>
      </w:pPr>
      <w:r w:rsidRPr="004A0446">
        <w:rPr>
          <w:rFonts w:ascii="Abadi" w:hAnsi="Abadi" w:cs="Arial"/>
          <w:b/>
          <w:bCs/>
          <w:sz w:val="21"/>
          <w:szCs w:val="21"/>
        </w:rPr>
        <w:t>IV.2</w:t>
      </w:r>
      <w:r w:rsidRPr="004A0446">
        <w:rPr>
          <w:rFonts w:ascii="Abadi" w:hAnsi="Abadi" w:cs="Arial"/>
          <w:sz w:val="21"/>
          <w:szCs w:val="21"/>
        </w:rPr>
        <w:t xml:space="preserve"> El Derecho a la protección de la salud está reconocido desde la Constitución Política de los Estados Unidos Mexicanos, la Ley General de Salud, la Ley de Salud del Estado, entre otros ordenamientos. Por lo anterior, a efecto de no generar antinomias jurídicas, sobrerregulación, e invasión de competencias, se sugiere ponderar la pertinencia de la presente iniciativa.</w:t>
      </w:r>
    </w:p>
    <w:p w14:paraId="6DC7C3EE" w14:textId="77777777" w:rsidR="00E3434F" w:rsidRPr="004A0446" w:rsidRDefault="00E3434F" w:rsidP="00F3730A">
      <w:pPr>
        <w:ind w:left="1134" w:right="567"/>
        <w:jc w:val="both"/>
        <w:rPr>
          <w:rFonts w:ascii="Abadi" w:hAnsi="Abadi" w:cs="Arial"/>
          <w:sz w:val="21"/>
          <w:szCs w:val="21"/>
        </w:rPr>
      </w:pPr>
    </w:p>
    <w:p w14:paraId="23B47394" w14:textId="77777777" w:rsidR="00E3434F" w:rsidRPr="004A0446" w:rsidRDefault="00E3434F" w:rsidP="00F3730A">
      <w:pPr>
        <w:ind w:left="1134" w:right="567"/>
        <w:jc w:val="both"/>
        <w:rPr>
          <w:rFonts w:ascii="Abadi" w:hAnsi="Abadi" w:cs="Arial"/>
          <w:sz w:val="21"/>
          <w:szCs w:val="21"/>
        </w:rPr>
      </w:pPr>
      <w:r w:rsidRPr="004A0446">
        <w:rPr>
          <w:rFonts w:ascii="Abadi" w:hAnsi="Abadi" w:cs="Arial"/>
          <w:b/>
          <w:bCs/>
          <w:sz w:val="21"/>
          <w:szCs w:val="21"/>
        </w:rPr>
        <w:t>IV.3</w:t>
      </w:r>
      <w:r w:rsidRPr="004A0446">
        <w:rPr>
          <w:rFonts w:ascii="Abadi" w:hAnsi="Abadi" w:cs="Arial"/>
          <w:sz w:val="21"/>
          <w:szCs w:val="21"/>
        </w:rPr>
        <w:t xml:space="preserve"> La política pública estatal, ya contempla estrategias y disposiciones jurídicas, mediante las cuales, se previene y atienden en general las problemáticas sociales y en materia de salud, relacionadas con el suicidio, la cual es encabezada por la Secretaría de Salud, como dependencia rectora en salud, los demás órganos e instituciones que llevan a cabo el despliegue de los diversos programas en salud mental, así como los instrumentos consensuales mediante los cuales se efectúa la ministración de recursos federales que de igual manera se destinan a la materia que nos ocupa. Luego entonces, el Estado, a través del marco normativo actual e instrumentos antes descritos, así como aquellos programas presupuestales vigentes, otorga atención a los sectores de la población que se pretende beneficiar con la propuesta de iniciativa, con lo cual se busca garantizar la cercanía de los servicios de salud a la población guanajuatense, y en específico la atención oportuna de riesgos relacionados a las conductas de riesgo suicida, y el tratamiento de posvención en su caso, así como la prevención de conductas de riesgo psicosocial de niños, niñas y adolescentes. Para lo cual, ya se encuentran asignados recursos presupuestales para la profesionalización de las y los trabajadores de la salud.</w:t>
      </w:r>
    </w:p>
    <w:p w14:paraId="5CC2C0D1" w14:textId="77777777" w:rsidR="00E3434F" w:rsidRPr="004A0446" w:rsidRDefault="00E3434F" w:rsidP="00F3730A">
      <w:pPr>
        <w:ind w:left="1134" w:right="567"/>
        <w:jc w:val="both"/>
        <w:rPr>
          <w:rFonts w:ascii="Abadi" w:hAnsi="Abadi" w:cs="Arial"/>
          <w:sz w:val="21"/>
          <w:szCs w:val="21"/>
        </w:rPr>
      </w:pPr>
    </w:p>
    <w:p w14:paraId="366BF9C7" w14:textId="77777777" w:rsidR="00E3434F" w:rsidRPr="004A0446" w:rsidRDefault="00E3434F" w:rsidP="00F3730A">
      <w:pPr>
        <w:ind w:left="1134" w:right="567"/>
        <w:jc w:val="both"/>
        <w:rPr>
          <w:rFonts w:ascii="Abadi" w:hAnsi="Abadi" w:cs="Arial"/>
          <w:sz w:val="21"/>
          <w:szCs w:val="21"/>
        </w:rPr>
      </w:pPr>
      <w:r w:rsidRPr="004A0446">
        <w:rPr>
          <w:rFonts w:ascii="Abadi" w:hAnsi="Abadi" w:cs="Arial"/>
          <w:b/>
          <w:bCs/>
          <w:sz w:val="21"/>
          <w:szCs w:val="21"/>
        </w:rPr>
        <w:t>IV.4</w:t>
      </w:r>
      <w:r w:rsidRPr="004A0446">
        <w:rPr>
          <w:rFonts w:ascii="Abadi" w:hAnsi="Abadi" w:cs="Arial"/>
          <w:sz w:val="21"/>
          <w:szCs w:val="21"/>
        </w:rPr>
        <w:t xml:space="preserve"> Se sugiere la incorporación previa del impacto presupuestario, a las iniciativas al momento de su presentación, a fin de estar en condición de analizar de manera más objetiva, completa, y apegada a los ordenamientos locales, las mismas.</w:t>
      </w:r>
    </w:p>
    <w:p w14:paraId="675A17B0" w14:textId="77777777" w:rsidR="00E3434F" w:rsidRPr="004A0446" w:rsidRDefault="00E3434F" w:rsidP="00F3730A">
      <w:pPr>
        <w:ind w:left="1134" w:right="567"/>
        <w:jc w:val="both"/>
        <w:rPr>
          <w:rFonts w:ascii="Abadi" w:hAnsi="Abadi" w:cs="Arial"/>
          <w:sz w:val="21"/>
          <w:szCs w:val="21"/>
        </w:rPr>
      </w:pPr>
    </w:p>
    <w:p w14:paraId="064BB753" w14:textId="77777777" w:rsidR="00E3434F" w:rsidRPr="004A0446" w:rsidRDefault="00E3434F" w:rsidP="00F3730A">
      <w:pPr>
        <w:ind w:left="1134" w:right="567"/>
        <w:jc w:val="both"/>
        <w:rPr>
          <w:rFonts w:ascii="Abadi" w:hAnsi="Abadi" w:cs="Arial"/>
          <w:sz w:val="21"/>
          <w:szCs w:val="21"/>
        </w:rPr>
      </w:pPr>
      <w:r w:rsidRPr="004A0446">
        <w:rPr>
          <w:rFonts w:ascii="Abadi" w:hAnsi="Abadi" w:cs="Arial"/>
          <w:b/>
          <w:bCs/>
          <w:sz w:val="21"/>
          <w:szCs w:val="21"/>
        </w:rPr>
        <w:t>IV.5</w:t>
      </w:r>
      <w:r w:rsidRPr="004A0446">
        <w:rPr>
          <w:rFonts w:ascii="Abadi" w:hAnsi="Abadi" w:cs="Arial"/>
          <w:sz w:val="21"/>
          <w:szCs w:val="21"/>
        </w:rPr>
        <w:t xml:space="preserve"> Se considera que la iniciativa regula menos aspectos que el Programa de Prevención y Atención a la Conducta Suicida que actualmente opera la Secretaría de Salud y el Instituto de Salud Pública del Estado de Guanajuato.</w:t>
      </w:r>
    </w:p>
    <w:p w14:paraId="21C48C59" w14:textId="77777777" w:rsidR="00E3434F" w:rsidRPr="004A0446" w:rsidRDefault="00E3434F" w:rsidP="00F3730A">
      <w:pPr>
        <w:ind w:right="27" w:firstLine="709"/>
        <w:jc w:val="both"/>
        <w:rPr>
          <w:rFonts w:ascii="Abadi" w:hAnsi="Abadi" w:cs="Arial"/>
          <w:sz w:val="21"/>
          <w:szCs w:val="21"/>
        </w:rPr>
      </w:pPr>
    </w:p>
    <w:p w14:paraId="0C48F7B8" w14:textId="77777777" w:rsidR="00E3434F" w:rsidRPr="004A0446" w:rsidRDefault="00E3434F" w:rsidP="00F3730A">
      <w:pPr>
        <w:ind w:left="1134" w:right="27"/>
        <w:jc w:val="both"/>
        <w:rPr>
          <w:rFonts w:ascii="Abadi" w:hAnsi="Abadi" w:cs="Arial"/>
          <w:sz w:val="21"/>
          <w:szCs w:val="21"/>
        </w:rPr>
      </w:pPr>
      <w:r w:rsidRPr="004A0446">
        <w:rPr>
          <w:rFonts w:ascii="Abadi" w:hAnsi="Abadi" w:cs="Arial"/>
          <w:sz w:val="21"/>
          <w:szCs w:val="21"/>
        </w:rPr>
        <w:t xml:space="preserve">(…) </w:t>
      </w:r>
      <w:r w:rsidRPr="004A0446">
        <w:rPr>
          <w:rFonts w:ascii="Abadi" w:hAnsi="Abadi" w:cs="Arial"/>
          <w:sz w:val="21"/>
          <w:szCs w:val="21"/>
          <w:lang w:val="es-MX"/>
        </w:rPr>
        <w:t>»</w:t>
      </w:r>
    </w:p>
    <w:p w14:paraId="665408F6" w14:textId="77777777" w:rsidR="00E3434F" w:rsidRPr="004A0446" w:rsidRDefault="00E3434F" w:rsidP="00F3730A">
      <w:pPr>
        <w:ind w:right="27" w:firstLine="709"/>
        <w:jc w:val="both"/>
        <w:rPr>
          <w:rFonts w:ascii="Abadi" w:hAnsi="Abadi" w:cs="Arial"/>
          <w:sz w:val="21"/>
          <w:szCs w:val="21"/>
        </w:rPr>
      </w:pPr>
    </w:p>
    <w:p w14:paraId="40E8AB45" w14:textId="77777777" w:rsidR="00E3434F" w:rsidRPr="004A0446" w:rsidRDefault="00E3434F" w:rsidP="00F3730A">
      <w:pPr>
        <w:ind w:right="27" w:firstLine="567"/>
        <w:jc w:val="both"/>
        <w:rPr>
          <w:rFonts w:ascii="Abadi" w:hAnsi="Abadi" w:cs="Arial"/>
          <w:sz w:val="21"/>
          <w:szCs w:val="21"/>
        </w:rPr>
      </w:pPr>
      <w:r w:rsidRPr="004A0446">
        <w:rPr>
          <w:rFonts w:ascii="Abadi" w:hAnsi="Abadi" w:cs="Arial"/>
          <w:sz w:val="21"/>
          <w:szCs w:val="21"/>
        </w:rPr>
        <w:t xml:space="preserve">Opinión de la Secretaría de Seguridad Pública: </w:t>
      </w:r>
    </w:p>
    <w:p w14:paraId="38FF511B" w14:textId="77777777" w:rsidR="00E3434F" w:rsidRPr="004A0446" w:rsidRDefault="00E3434F" w:rsidP="00F3730A">
      <w:pPr>
        <w:widowControl w:val="0"/>
        <w:tabs>
          <w:tab w:val="left" w:pos="142"/>
          <w:tab w:val="left" w:pos="8647"/>
        </w:tabs>
        <w:ind w:right="-518" w:firstLine="1134"/>
        <w:jc w:val="both"/>
        <w:rPr>
          <w:rFonts w:ascii="Abadi" w:hAnsi="Abadi" w:cs="Arial"/>
          <w:sz w:val="21"/>
          <w:szCs w:val="21"/>
        </w:rPr>
      </w:pPr>
    </w:p>
    <w:p w14:paraId="35D746E3" w14:textId="77777777" w:rsidR="00E3434F" w:rsidRPr="004A0446" w:rsidRDefault="00E3434F" w:rsidP="00F3730A">
      <w:pPr>
        <w:widowControl w:val="0"/>
        <w:tabs>
          <w:tab w:val="left" w:pos="142"/>
          <w:tab w:val="left" w:pos="8647"/>
        </w:tabs>
        <w:ind w:right="-518" w:firstLine="1134"/>
        <w:jc w:val="both"/>
        <w:rPr>
          <w:rFonts w:ascii="Abadi" w:hAnsi="Abadi" w:cs="Arial"/>
          <w:sz w:val="21"/>
          <w:szCs w:val="21"/>
        </w:rPr>
      </w:pPr>
      <w:r w:rsidRPr="004A0446">
        <w:rPr>
          <w:rFonts w:ascii="Abadi" w:hAnsi="Abadi" w:cs="Arial"/>
          <w:sz w:val="21"/>
          <w:szCs w:val="21"/>
        </w:rPr>
        <w:t>(…)</w:t>
      </w:r>
    </w:p>
    <w:p w14:paraId="1EC73048" w14:textId="77777777" w:rsidR="00E3434F" w:rsidRPr="004A0446" w:rsidRDefault="00E3434F" w:rsidP="00F3730A">
      <w:pPr>
        <w:widowControl w:val="0"/>
        <w:tabs>
          <w:tab w:val="left" w:pos="8647"/>
          <w:tab w:val="left" w:pos="13325"/>
        </w:tabs>
        <w:ind w:left="-284" w:right="303"/>
        <w:jc w:val="both"/>
        <w:rPr>
          <w:rFonts w:ascii="Abadi" w:hAnsi="Abadi" w:cs="Arial"/>
          <w:sz w:val="21"/>
          <w:szCs w:val="21"/>
        </w:rPr>
      </w:pPr>
    </w:p>
    <w:p w14:paraId="5A940E60" w14:textId="77777777" w:rsidR="00E3434F" w:rsidRPr="004A0446" w:rsidRDefault="00E3434F" w:rsidP="00F3730A">
      <w:pPr>
        <w:widowControl w:val="0"/>
        <w:tabs>
          <w:tab w:val="left" w:pos="13183"/>
          <w:tab w:val="left" w:pos="13325"/>
        </w:tabs>
        <w:ind w:left="1134" w:right="567" w:firstLine="567"/>
        <w:jc w:val="both"/>
        <w:rPr>
          <w:rFonts w:ascii="Abadi" w:hAnsi="Abadi" w:cs="Arial"/>
          <w:i/>
          <w:iCs/>
          <w:sz w:val="21"/>
          <w:szCs w:val="21"/>
        </w:rPr>
      </w:pPr>
      <w:r w:rsidRPr="004A0446">
        <w:rPr>
          <w:rFonts w:ascii="Abadi" w:hAnsi="Abadi" w:cs="Arial"/>
          <w:i/>
          <w:iCs/>
          <w:w w:val="105"/>
          <w:sz w:val="21"/>
          <w:szCs w:val="21"/>
        </w:rPr>
        <w:t>Que,</w:t>
      </w:r>
      <w:r w:rsidRPr="004A0446">
        <w:rPr>
          <w:rFonts w:ascii="Abadi" w:hAnsi="Abadi" w:cs="Arial"/>
          <w:i/>
          <w:iCs/>
          <w:spacing w:val="-13"/>
          <w:w w:val="105"/>
          <w:sz w:val="21"/>
          <w:szCs w:val="21"/>
        </w:rPr>
        <w:t xml:space="preserve"> </w:t>
      </w:r>
      <w:r w:rsidRPr="004A0446">
        <w:rPr>
          <w:rFonts w:ascii="Abadi" w:hAnsi="Abadi" w:cs="Arial"/>
          <w:i/>
          <w:iCs/>
          <w:w w:val="105"/>
          <w:sz w:val="21"/>
          <w:szCs w:val="21"/>
        </w:rPr>
        <w:t>derivado</w:t>
      </w:r>
      <w:r w:rsidRPr="004A0446">
        <w:rPr>
          <w:rFonts w:ascii="Abadi" w:hAnsi="Abadi" w:cs="Arial"/>
          <w:i/>
          <w:iCs/>
          <w:spacing w:val="-4"/>
          <w:w w:val="105"/>
          <w:sz w:val="21"/>
          <w:szCs w:val="21"/>
        </w:rPr>
        <w:t xml:space="preserve"> </w:t>
      </w:r>
      <w:r w:rsidRPr="004A0446">
        <w:rPr>
          <w:rFonts w:ascii="Abadi" w:hAnsi="Abadi" w:cs="Arial"/>
          <w:i/>
          <w:iCs/>
          <w:w w:val="105"/>
          <w:sz w:val="21"/>
          <w:szCs w:val="21"/>
        </w:rPr>
        <w:t>del</w:t>
      </w:r>
      <w:r w:rsidRPr="004A0446">
        <w:rPr>
          <w:rFonts w:ascii="Abadi" w:hAnsi="Abadi" w:cs="Arial"/>
          <w:i/>
          <w:iCs/>
          <w:spacing w:val="-12"/>
          <w:w w:val="105"/>
          <w:sz w:val="21"/>
          <w:szCs w:val="21"/>
        </w:rPr>
        <w:t xml:space="preserve"> </w:t>
      </w:r>
      <w:r w:rsidRPr="004A0446">
        <w:rPr>
          <w:rFonts w:ascii="Abadi" w:hAnsi="Abadi" w:cs="Arial"/>
          <w:i/>
          <w:iCs/>
          <w:w w:val="105"/>
          <w:sz w:val="21"/>
          <w:szCs w:val="21"/>
        </w:rPr>
        <w:t>análisis</w:t>
      </w:r>
      <w:r w:rsidRPr="004A0446">
        <w:rPr>
          <w:rFonts w:ascii="Abadi" w:hAnsi="Abadi" w:cs="Arial"/>
          <w:i/>
          <w:iCs/>
          <w:spacing w:val="-3"/>
          <w:w w:val="105"/>
          <w:sz w:val="21"/>
          <w:szCs w:val="21"/>
        </w:rPr>
        <w:t xml:space="preserve"> </w:t>
      </w:r>
      <w:r w:rsidRPr="004A0446">
        <w:rPr>
          <w:rFonts w:ascii="Abadi" w:hAnsi="Abadi" w:cs="Arial"/>
          <w:i/>
          <w:iCs/>
          <w:w w:val="105"/>
          <w:sz w:val="21"/>
          <w:szCs w:val="21"/>
        </w:rPr>
        <w:t>realizado</w:t>
      </w:r>
      <w:r w:rsidRPr="004A0446">
        <w:rPr>
          <w:rFonts w:ascii="Abadi" w:hAnsi="Abadi" w:cs="Arial"/>
          <w:i/>
          <w:iCs/>
          <w:spacing w:val="-6"/>
          <w:w w:val="105"/>
          <w:sz w:val="21"/>
          <w:szCs w:val="21"/>
        </w:rPr>
        <w:t xml:space="preserve"> </w:t>
      </w:r>
      <w:r w:rsidRPr="004A0446">
        <w:rPr>
          <w:rFonts w:ascii="Abadi" w:hAnsi="Abadi" w:cs="Arial"/>
          <w:i/>
          <w:iCs/>
          <w:w w:val="105"/>
          <w:sz w:val="21"/>
          <w:szCs w:val="21"/>
        </w:rPr>
        <w:t>a</w:t>
      </w:r>
      <w:r w:rsidRPr="004A0446">
        <w:rPr>
          <w:rFonts w:ascii="Abadi" w:hAnsi="Abadi" w:cs="Arial"/>
          <w:i/>
          <w:iCs/>
          <w:spacing w:val="-6"/>
          <w:w w:val="105"/>
          <w:sz w:val="21"/>
          <w:szCs w:val="21"/>
        </w:rPr>
        <w:t xml:space="preserve"> </w:t>
      </w:r>
      <w:r w:rsidRPr="004A0446">
        <w:rPr>
          <w:rFonts w:ascii="Abadi" w:hAnsi="Abadi" w:cs="Arial"/>
          <w:i/>
          <w:iCs/>
          <w:w w:val="105"/>
          <w:sz w:val="21"/>
          <w:szCs w:val="21"/>
        </w:rPr>
        <w:t>la</w:t>
      </w:r>
      <w:r w:rsidRPr="004A0446">
        <w:rPr>
          <w:rFonts w:ascii="Abadi" w:hAnsi="Abadi" w:cs="Arial"/>
          <w:i/>
          <w:iCs/>
          <w:spacing w:val="-10"/>
          <w:w w:val="105"/>
          <w:sz w:val="21"/>
          <w:szCs w:val="21"/>
        </w:rPr>
        <w:t xml:space="preserve"> </w:t>
      </w:r>
      <w:r w:rsidRPr="004A0446">
        <w:rPr>
          <w:rFonts w:ascii="Abadi" w:hAnsi="Abadi" w:cs="Arial"/>
          <w:i/>
          <w:iCs/>
          <w:w w:val="105"/>
          <w:sz w:val="21"/>
          <w:szCs w:val="21"/>
        </w:rPr>
        <w:t>citada</w:t>
      </w:r>
      <w:r w:rsidRPr="004A0446">
        <w:rPr>
          <w:rFonts w:ascii="Abadi" w:hAnsi="Abadi" w:cs="Arial"/>
          <w:i/>
          <w:iCs/>
          <w:spacing w:val="-6"/>
          <w:w w:val="105"/>
          <w:sz w:val="21"/>
          <w:szCs w:val="21"/>
        </w:rPr>
        <w:t xml:space="preserve"> </w:t>
      </w:r>
      <w:r w:rsidRPr="004A0446">
        <w:rPr>
          <w:rFonts w:ascii="Abadi" w:hAnsi="Abadi" w:cs="Arial"/>
          <w:i/>
          <w:iCs/>
          <w:w w:val="105"/>
          <w:sz w:val="21"/>
          <w:szCs w:val="21"/>
        </w:rPr>
        <w:t>iniciativa,</w:t>
      </w:r>
      <w:r w:rsidRPr="004A0446">
        <w:rPr>
          <w:rFonts w:ascii="Abadi" w:hAnsi="Abadi" w:cs="Arial"/>
          <w:i/>
          <w:iCs/>
          <w:spacing w:val="-4"/>
          <w:w w:val="105"/>
          <w:sz w:val="21"/>
          <w:szCs w:val="21"/>
        </w:rPr>
        <w:t xml:space="preserve"> </w:t>
      </w:r>
      <w:r w:rsidRPr="004A0446">
        <w:rPr>
          <w:rFonts w:ascii="Abadi" w:hAnsi="Abadi" w:cs="Arial"/>
          <w:i/>
          <w:iCs/>
          <w:w w:val="105"/>
          <w:sz w:val="21"/>
          <w:szCs w:val="21"/>
        </w:rPr>
        <w:t>se</w:t>
      </w:r>
      <w:r w:rsidRPr="004A0446">
        <w:rPr>
          <w:rFonts w:ascii="Abadi" w:hAnsi="Abadi" w:cs="Arial"/>
          <w:i/>
          <w:iCs/>
          <w:spacing w:val="-14"/>
          <w:w w:val="105"/>
          <w:sz w:val="21"/>
          <w:szCs w:val="21"/>
        </w:rPr>
        <w:t xml:space="preserve"> </w:t>
      </w:r>
      <w:r w:rsidRPr="004A0446">
        <w:rPr>
          <w:rFonts w:ascii="Abadi" w:hAnsi="Abadi" w:cs="Arial"/>
          <w:i/>
          <w:iCs/>
          <w:w w:val="105"/>
          <w:sz w:val="21"/>
          <w:szCs w:val="21"/>
        </w:rPr>
        <w:t>observa</w:t>
      </w:r>
      <w:r w:rsidRPr="004A0446">
        <w:rPr>
          <w:rFonts w:ascii="Abadi" w:hAnsi="Abadi" w:cs="Arial"/>
          <w:i/>
          <w:iCs/>
          <w:spacing w:val="-3"/>
          <w:w w:val="105"/>
          <w:sz w:val="21"/>
          <w:szCs w:val="21"/>
        </w:rPr>
        <w:t xml:space="preserve"> </w:t>
      </w:r>
      <w:r w:rsidRPr="004A0446">
        <w:rPr>
          <w:rFonts w:ascii="Abadi" w:hAnsi="Abadi" w:cs="Arial"/>
          <w:i/>
          <w:iCs/>
          <w:w w:val="105"/>
          <w:sz w:val="21"/>
          <w:szCs w:val="21"/>
        </w:rPr>
        <w:t>que</w:t>
      </w:r>
      <w:r w:rsidRPr="004A0446">
        <w:rPr>
          <w:rFonts w:ascii="Abadi" w:hAnsi="Abadi" w:cs="Arial"/>
          <w:i/>
          <w:iCs/>
          <w:spacing w:val="-11"/>
          <w:w w:val="105"/>
          <w:sz w:val="21"/>
          <w:szCs w:val="21"/>
        </w:rPr>
        <w:t xml:space="preserve"> </w:t>
      </w:r>
      <w:r w:rsidRPr="004A0446">
        <w:rPr>
          <w:rFonts w:ascii="Abadi" w:hAnsi="Abadi" w:cs="Arial"/>
          <w:i/>
          <w:iCs/>
          <w:w w:val="105"/>
          <w:sz w:val="21"/>
          <w:szCs w:val="21"/>
        </w:rPr>
        <w:t>no</w:t>
      </w:r>
      <w:r w:rsidRPr="004A0446">
        <w:rPr>
          <w:rFonts w:ascii="Abadi" w:hAnsi="Abadi" w:cs="Arial"/>
          <w:i/>
          <w:iCs/>
          <w:spacing w:val="-14"/>
          <w:w w:val="105"/>
          <w:sz w:val="21"/>
          <w:szCs w:val="21"/>
        </w:rPr>
        <w:t xml:space="preserve"> </w:t>
      </w:r>
      <w:r w:rsidRPr="004A0446">
        <w:rPr>
          <w:rFonts w:ascii="Abadi" w:hAnsi="Abadi" w:cs="Arial"/>
          <w:i/>
          <w:iCs/>
          <w:w w:val="105"/>
          <w:sz w:val="21"/>
          <w:szCs w:val="21"/>
        </w:rPr>
        <w:t>existe</w:t>
      </w:r>
      <w:r w:rsidRPr="004A0446">
        <w:rPr>
          <w:rFonts w:ascii="Abadi" w:hAnsi="Abadi" w:cs="Arial"/>
          <w:i/>
          <w:iCs/>
          <w:spacing w:val="-9"/>
          <w:w w:val="105"/>
          <w:sz w:val="21"/>
          <w:szCs w:val="21"/>
        </w:rPr>
        <w:t xml:space="preserve"> </w:t>
      </w:r>
      <w:r w:rsidRPr="004A0446">
        <w:rPr>
          <w:rFonts w:ascii="Abadi" w:hAnsi="Abadi" w:cs="Arial"/>
          <w:i/>
          <w:iCs/>
          <w:w w:val="105"/>
          <w:sz w:val="21"/>
          <w:szCs w:val="21"/>
        </w:rPr>
        <w:t>una</w:t>
      </w:r>
      <w:r w:rsidRPr="004A0446">
        <w:rPr>
          <w:rFonts w:ascii="Abadi" w:hAnsi="Abadi" w:cs="Arial"/>
          <w:i/>
          <w:iCs/>
          <w:spacing w:val="-7"/>
          <w:w w:val="105"/>
          <w:sz w:val="21"/>
          <w:szCs w:val="21"/>
        </w:rPr>
        <w:t xml:space="preserve"> </w:t>
      </w:r>
      <w:r w:rsidRPr="004A0446">
        <w:rPr>
          <w:rFonts w:ascii="Abadi" w:hAnsi="Abadi" w:cs="Arial"/>
          <w:i/>
          <w:iCs/>
          <w:w w:val="105"/>
          <w:sz w:val="21"/>
          <w:szCs w:val="21"/>
        </w:rPr>
        <w:t>armonía</w:t>
      </w:r>
      <w:r w:rsidRPr="004A0446">
        <w:rPr>
          <w:rFonts w:ascii="Abadi" w:hAnsi="Abadi" w:cs="Arial"/>
          <w:i/>
          <w:iCs/>
          <w:spacing w:val="-1"/>
          <w:w w:val="105"/>
          <w:sz w:val="21"/>
          <w:szCs w:val="21"/>
        </w:rPr>
        <w:t xml:space="preserve"> </w:t>
      </w:r>
      <w:r w:rsidRPr="004A0446">
        <w:rPr>
          <w:rFonts w:ascii="Abadi" w:hAnsi="Abadi" w:cs="Arial"/>
          <w:i/>
          <w:iCs/>
          <w:w w:val="105"/>
          <w:sz w:val="21"/>
          <w:szCs w:val="21"/>
        </w:rPr>
        <w:t>a</w:t>
      </w:r>
      <w:r w:rsidRPr="004A0446">
        <w:rPr>
          <w:rFonts w:ascii="Abadi" w:hAnsi="Abadi" w:cs="Arial"/>
          <w:i/>
          <w:iCs/>
          <w:spacing w:val="-6"/>
          <w:w w:val="105"/>
          <w:sz w:val="21"/>
          <w:szCs w:val="21"/>
        </w:rPr>
        <w:t xml:space="preserve"> </w:t>
      </w:r>
      <w:r w:rsidRPr="004A0446">
        <w:rPr>
          <w:rFonts w:ascii="Abadi" w:hAnsi="Abadi" w:cs="Arial"/>
          <w:i/>
          <w:iCs/>
          <w:w w:val="105"/>
          <w:sz w:val="21"/>
          <w:szCs w:val="21"/>
        </w:rPr>
        <w:t>lo</w:t>
      </w:r>
      <w:r w:rsidRPr="004A0446">
        <w:rPr>
          <w:rFonts w:ascii="Abadi" w:hAnsi="Abadi" w:cs="Arial"/>
          <w:i/>
          <w:iCs/>
          <w:spacing w:val="-13"/>
          <w:w w:val="105"/>
          <w:sz w:val="21"/>
          <w:szCs w:val="21"/>
        </w:rPr>
        <w:t xml:space="preserve"> </w:t>
      </w:r>
      <w:r w:rsidRPr="004A0446">
        <w:rPr>
          <w:rFonts w:ascii="Abadi" w:hAnsi="Abadi" w:cs="Arial"/>
          <w:i/>
          <w:iCs/>
          <w:w w:val="105"/>
          <w:sz w:val="21"/>
          <w:szCs w:val="21"/>
        </w:rPr>
        <w:t>largo del</w:t>
      </w:r>
      <w:r w:rsidRPr="004A0446">
        <w:rPr>
          <w:rFonts w:ascii="Abadi" w:hAnsi="Abadi" w:cs="Arial"/>
          <w:i/>
          <w:iCs/>
          <w:spacing w:val="-2"/>
          <w:w w:val="105"/>
          <w:sz w:val="21"/>
          <w:szCs w:val="21"/>
        </w:rPr>
        <w:t xml:space="preserve"> </w:t>
      </w:r>
      <w:r w:rsidRPr="004A0446">
        <w:rPr>
          <w:rFonts w:ascii="Abadi" w:hAnsi="Abadi" w:cs="Arial"/>
          <w:i/>
          <w:iCs/>
          <w:w w:val="105"/>
          <w:sz w:val="21"/>
          <w:szCs w:val="21"/>
        </w:rPr>
        <w:t>cuerpo del</w:t>
      </w:r>
      <w:r w:rsidRPr="004A0446">
        <w:rPr>
          <w:rFonts w:ascii="Abadi" w:hAnsi="Abadi" w:cs="Arial"/>
          <w:i/>
          <w:iCs/>
          <w:spacing w:val="-2"/>
          <w:w w:val="105"/>
          <w:sz w:val="21"/>
          <w:szCs w:val="21"/>
        </w:rPr>
        <w:t xml:space="preserve"> </w:t>
      </w:r>
      <w:r w:rsidRPr="004A0446">
        <w:rPr>
          <w:rFonts w:ascii="Abadi" w:hAnsi="Abadi" w:cs="Arial"/>
          <w:i/>
          <w:iCs/>
          <w:w w:val="105"/>
          <w:sz w:val="21"/>
          <w:szCs w:val="21"/>
        </w:rPr>
        <w:t>texto legislativo, ya que</w:t>
      </w:r>
      <w:r w:rsidRPr="004A0446">
        <w:rPr>
          <w:rFonts w:ascii="Abadi" w:hAnsi="Abadi" w:cs="Arial"/>
          <w:i/>
          <w:iCs/>
          <w:spacing w:val="-2"/>
          <w:w w:val="105"/>
          <w:sz w:val="21"/>
          <w:szCs w:val="21"/>
        </w:rPr>
        <w:t xml:space="preserve"> </w:t>
      </w:r>
      <w:r w:rsidRPr="004A0446">
        <w:rPr>
          <w:rFonts w:ascii="Abadi" w:hAnsi="Abadi" w:cs="Arial"/>
          <w:i/>
          <w:iCs/>
          <w:w w:val="105"/>
          <w:sz w:val="21"/>
          <w:szCs w:val="21"/>
        </w:rPr>
        <w:t>en</w:t>
      </w:r>
      <w:r w:rsidRPr="004A0446">
        <w:rPr>
          <w:rFonts w:ascii="Abadi" w:hAnsi="Abadi" w:cs="Arial"/>
          <w:i/>
          <w:iCs/>
          <w:spacing w:val="-4"/>
          <w:w w:val="105"/>
          <w:sz w:val="21"/>
          <w:szCs w:val="21"/>
        </w:rPr>
        <w:t xml:space="preserve"> </w:t>
      </w:r>
      <w:r w:rsidRPr="004A0446">
        <w:rPr>
          <w:rFonts w:ascii="Abadi" w:hAnsi="Abadi" w:cs="Arial"/>
          <w:i/>
          <w:iCs/>
          <w:w w:val="105"/>
          <w:sz w:val="21"/>
          <w:szCs w:val="21"/>
        </w:rPr>
        <w:t>ocasiones se</w:t>
      </w:r>
      <w:r w:rsidRPr="004A0446">
        <w:rPr>
          <w:rFonts w:ascii="Abadi" w:hAnsi="Abadi" w:cs="Arial"/>
          <w:i/>
          <w:iCs/>
          <w:spacing w:val="-1"/>
          <w:w w:val="105"/>
          <w:sz w:val="21"/>
          <w:szCs w:val="21"/>
        </w:rPr>
        <w:t xml:space="preserve"> </w:t>
      </w:r>
      <w:r w:rsidRPr="004A0446">
        <w:rPr>
          <w:rFonts w:ascii="Abadi" w:hAnsi="Abadi" w:cs="Arial"/>
          <w:i/>
          <w:iCs/>
          <w:w w:val="105"/>
          <w:sz w:val="21"/>
          <w:szCs w:val="21"/>
        </w:rPr>
        <w:t>hace</w:t>
      </w:r>
      <w:r w:rsidRPr="004A0446">
        <w:rPr>
          <w:rFonts w:ascii="Abadi" w:hAnsi="Abadi" w:cs="Arial"/>
          <w:i/>
          <w:iCs/>
          <w:spacing w:val="-1"/>
          <w:w w:val="105"/>
          <w:sz w:val="21"/>
          <w:szCs w:val="21"/>
        </w:rPr>
        <w:t xml:space="preserve"> </w:t>
      </w:r>
      <w:r w:rsidRPr="004A0446">
        <w:rPr>
          <w:rFonts w:ascii="Abadi" w:hAnsi="Abadi" w:cs="Arial"/>
          <w:i/>
          <w:iCs/>
          <w:w w:val="105"/>
          <w:sz w:val="21"/>
          <w:szCs w:val="21"/>
        </w:rPr>
        <w:t>uso del</w:t>
      </w:r>
      <w:r w:rsidRPr="004A0446">
        <w:rPr>
          <w:rFonts w:ascii="Abadi" w:hAnsi="Abadi" w:cs="Arial"/>
          <w:i/>
          <w:iCs/>
          <w:spacing w:val="-2"/>
          <w:w w:val="105"/>
          <w:sz w:val="21"/>
          <w:szCs w:val="21"/>
        </w:rPr>
        <w:t xml:space="preserve"> </w:t>
      </w:r>
      <w:r w:rsidRPr="004A0446">
        <w:rPr>
          <w:rFonts w:ascii="Abadi" w:hAnsi="Abadi" w:cs="Arial"/>
          <w:i/>
          <w:iCs/>
          <w:w w:val="105"/>
          <w:sz w:val="21"/>
          <w:szCs w:val="21"/>
        </w:rPr>
        <w:t>lenguaje incluyente, y</w:t>
      </w:r>
      <w:r w:rsidRPr="004A0446">
        <w:rPr>
          <w:rFonts w:ascii="Abadi" w:hAnsi="Abadi" w:cs="Arial"/>
          <w:i/>
          <w:iCs/>
          <w:spacing w:val="-1"/>
          <w:w w:val="105"/>
          <w:sz w:val="21"/>
          <w:szCs w:val="21"/>
        </w:rPr>
        <w:t xml:space="preserve"> </w:t>
      </w:r>
      <w:r w:rsidRPr="004A0446">
        <w:rPr>
          <w:rFonts w:ascii="Abadi" w:hAnsi="Abadi" w:cs="Arial"/>
          <w:i/>
          <w:iCs/>
          <w:w w:val="105"/>
          <w:sz w:val="21"/>
          <w:szCs w:val="21"/>
        </w:rPr>
        <w:t>en otras no se</w:t>
      </w:r>
      <w:r w:rsidRPr="004A0446">
        <w:rPr>
          <w:rFonts w:ascii="Abadi" w:hAnsi="Abadi" w:cs="Arial"/>
          <w:i/>
          <w:iCs/>
          <w:spacing w:val="-1"/>
          <w:w w:val="105"/>
          <w:sz w:val="21"/>
          <w:szCs w:val="21"/>
        </w:rPr>
        <w:t xml:space="preserve"> </w:t>
      </w:r>
      <w:r w:rsidRPr="004A0446">
        <w:rPr>
          <w:rFonts w:ascii="Abadi" w:hAnsi="Abadi" w:cs="Arial"/>
          <w:i/>
          <w:iCs/>
          <w:w w:val="105"/>
          <w:sz w:val="21"/>
          <w:szCs w:val="21"/>
        </w:rPr>
        <w:t>hace uso</w:t>
      </w:r>
      <w:r w:rsidRPr="004A0446">
        <w:rPr>
          <w:rFonts w:ascii="Abadi" w:hAnsi="Abadi" w:cs="Arial"/>
          <w:i/>
          <w:iCs/>
          <w:spacing w:val="-14"/>
          <w:w w:val="105"/>
          <w:sz w:val="21"/>
          <w:szCs w:val="21"/>
        </w:rPr>
        <w:t xml:space="preserve"> </w:t>
      </w:r>
      <w:r w:rsidRPr="004A0446">
        <w:rPr>
          <w:rFonts w:ascii="Abadi" w:hAnsi="Abadi" w:cs="Arial"/>
          <w:i/>
          <w:iCs/>
          <w:w w:val="105"/>
          <w:sz w:val="21"/>
          <w:szCs w:val="21"/>
        </w:rPr>
        <w:t>del</w:t>
      </w:r>
      <w:r w:rsidRPr="004A0446">
        <w:rPr>
          <w:rFonts w:ascii="Abadi" w:hAnsi="Abadi" w:cs="Arial"/>
          <w:i/>
          <w:iCs/>
          <w:spacing w:val="-14"/>
          <w:w w:val="105"/>
          <w:sz w:val="21"/>
          <w:szCs w:val="21"/>
        </w:rPr>
        <w:t xml:space="preserve"> </w:t>
      </w:r>
      <w:r w:rsidRPr="004A0446">
        <w:rPr>
          <w:rFonts w:ascii="Abadi" w:hAnsi="Abadi" w:cs="Arial"/>
          <w:i/>
          <w:iCs/>
          <w:w w:val="105"/>
          <w:sz w:val="21"/>
          <w:szCs w:val="21"/>
        </w:rPr>
        <w:t>mismo.</w:t>
      </w:r>
      <w:r w:rsidRPr="004A0446">
        <w:rPr>
          <w:rFonts w:ascii="Abadi" w:hAnsi="Abadi" w:cs="Arial"/>
          <w:i/>
          <w:iCs/>
          <w:spacing w:val="-3"/>
          <w:w w:val="105"/>
          <w:sz w:val="21"/>
          <w:szCs w:val="21"/>
        </w:rPr>
        <w:t xml:space="preserve"> </w:t>
      </w:r>
      <w:r w:rsidRPr="004A0446">
        <w:rPr>
          <w:rFonts w:ascii="Abadi" w:hAnsi="Abadi" w:cs="Arial"/>
          <w:i/>
          <w:iCs/>
          <w:w w:val="105"/>
          <w:sz w:val="21"/>
          <w:szCs w:val="21"/>
        </w:rPr>
        <w:t>Se</w:t>
      </w:r>
      <w:r w:rsidRPr="004A0446">
        <w:rPr>
          <w:rFonts w:ascii="Abadi" w:hAnsi="Abadi" w:cs="Arial"/>
          <w:i/>
          <w:iCs/>
          <w:spacing w:val="-8"/>
          <w:w w:val="105"/>
          <w:sz w:val="21"/>
          <w:szCs w:val="21"/>
        </w:rPr>
        <w:t xml:space="preserve"> </w:t>
      </w:r>
      <w:r w:rsidRPr="004A0446">
        <w:rPr>
          <w:rFonts w:ascii="Abadi" w:hAnsi="Abadi" w:cs="Arial"/>
          <w:i/>
          <w:iCs/>
          <w:w w:val="105"/>
          <w:sz w:val="21"/>
          <w:szCs w:val="21"/>
        </w:rPr>
        <w:t>sugiere utilizar las</w:t>
      </w:r>
      <w:r w:rsidRPr="004A0446">
        <w:rPr>
          <w:rFonts w:ascii="Abadi" w:hAnsi="Abadi" w:cs="Arial"/>
          <w:i/>
          <w:iCs/>
          <w:spacing w:val="-9"/>
          <w:w w:val="105"/>
          <w:sz w:val="21"/>
          <w:szCs w:val="21"/>
        </w:rPr>
        <w:t xml:space="preserve"> </w:t>
      </w:r>
      <w:r w:rsidRPr="004A0446">
        <w:rPr>
          <w:rFonts w:ascii="Abadi" w:hAnsi="Abadi" w:cs="Arial"/>
          <w:i/>
          <w:iCs/>
          <w:w w:val="105"/>
          <w:sz w:val="21"/>
          <w:szCs w:val="21"/>
        </w:rPr>
        <w:t>palabras</w:t>
      </w:r>
      <w:r w:rsidRPr="004A0446">
        <w:rPr>
          <w:rFonts w:ascii="Abadi" w:hAnsi="Abadi" w:cs="Arial"/>
          <w:i/>
          <w:iCs/>
          <w:spacing w:val="20"/>
          <w:w w:val="105"/>
          <w:sz w:val="21"/>
          <w:szCs w:val="21"/>
        </w:rPr>
        <w:t xml:space="preserve"> </w:t>
      </w:r>
      <w:r w:rsidRPr="004A0446">
        <w:rPr>
          <w:rFonts w:ascii="Abadi" w:hAnsi="Abadi" w:cs="Arial"/>
          <w:i/>
          <w:iCs/>
          <w:w w:val="105"/>
          <w:sz w:val="21"/>
          <w:szCs w:val="21"/>
        </w:rPr>
        <w:t>‘’la</w:t>
      </w:r>
      <w:r w:rsidRPr="004A0446">
        <w:rPr>
          <w:rFonts w:ascii="Abadi" w:hAnsi="Abadi" w:cs="Arial"/>
          <w:i/>
          <w:iCs/>
          <w:spacing w:val="-14"/>
          <w:w w:val="105"/>
          <w:sz w:val="21"/>
          <w:szCs w:val="21"/>
        </w:rPr>
        <w:t xml:space="preserve"> </w:t>
      </w:r>
      <w:r w:rsidRPr="004A0446">
        <w:rPr>
          <w:rFonts w:ascii="Abadi" w:hAnsi="Abadi" w:cs="Arial"/>
          <w:i/>
          <w:iCs/>
          <w:w w:val="105"/>
          <w:sz w:val="21"/>
          <w:szCs w:val="21"/>
        </w:rPr>
        <w:t>persona</w:t>
      </w:r>
      <w:r w:rsidRPr="004A0446">
        <w:rPr>
          <w:rFonts w:ascii="Abadi" w:hAnsi="Abadi" w:cs="Arial"/>
          <w:i/>
          <w:iCs/>
          <w:spacing w:val="-10"/>
          <w:w w:val="105"/>
          <w:sz w:val="21"/>
          <w:szCs w:val="21"/>
        </w:rPr>
        <w:t xml:space="preserve"> </w:t>
      </w:r>
      <w:r w:rsidRPr="004A0446">
        <w:rPr>
          <w:rFonts w:ascii="Abadi" w:hAnsi="Abadi" w:cs="Arial"/>
          <w:i/>
          <w:iCs/>
          <w:w w:val="105"/>
          <w:sz w:val="21"/>
          <w:szCs w:val="21"/>
        </w:rPr>
        <w:t>titular “y</w:t>
      </w:r>
      <w:r w:rsidRPr="004A0446">
        <w:rPr>
          <w:rFonts w:ascii="Abadi" w:hAnsi="Abadi" w:cs="Arial"/>
          <w:i/>
          <w:iCs/>
          <w:spacing w:val="13"/>
          <w:w w:val="105"/>
          <w:sz w:val="21"/>
          <w:szCs w:val="21"/>
        </w:rPr>
        <w:t xml:space="preserve"> </w:t>
      </w:r>
      <w:r w:rsidRPr="004A0446">
        <w:rPr>
          <w:rFonts w:ascii="Abadi" w:hAnsi="Abadi" w:cs="Arial"/>
          <w:i/>
          <w:iCs/>
          <w:w w:val="105"/>
          <w:sz w:val="21"/>
          <w:szCs w:val="21"/>
        </w:rPr>
        <w:t>minimizar el</w:t>
      </w:r>
      <w:r w:rsidRPr="004A0446">
        <w:rPr>
          <w:rFonts w:ascii="Abadi" w:hAnsi="Abadi" w:cs="Arial"/>
          <w:i/>
          <w:iCs/>
          <w:spacing w:val="-4"/>
          <w:w w:val="105"/>
          <w:sz w:val="21"/>
          <w:szCs w:val="21"/>
        </w:rPr>
        <w:t xml:space="preserve"> </w:t>
      </w:r>
      <w:r w:rsidRPr="004A0446">
        <w:rPr>
          <w:rFonts w:ascii="Abadi" w:hAnsi="Abadi" w:cs="Arial"/>
          <w:i/>
          <w:iCs/>
          <w:w w:val="105"/>
          <w:sz w:val="21"/>
          <w:szCs w:val="21"/>
        </w:rPr>
        <w:t>uso</w:t>
      </w:r>
      <w:r w:rsidRPr="004A0446">
        <w:rPr>
          <w:rFonts w:ascii="Abadi" w:hAnsi="Abadi" w:cs="Arial"/>
          <w:i/>
          <w:iCs/>
          <w:spacing w:val="-11"/>
          <w:w w:val="105"/>
          <w:sz w:val="21"/>
          <w:szCs w:val="21"/>
        </w:rPr>
        <w:t xml:space="preserve"> </w:t>
      </w:r>
      <w:r w:rsidRPr="004A0446">
        <w:rPr>
          <w:rFonts w:ascii="Abadi" w:hAnsi="Abadi" w:cs="Arial"/>
          <w:i/>
          <w:iCs/>
          <w:w w:val="105"/>
          <w:sz w:val="21"/>
          <w:szCs w:val="21"/>
        </w:rPr>
        <w:t>del</w:t>
      </w:r>
      <w:r w:rsidRPr="004A0446">
        <w:rPr>
          <w:rFonts w:ascii="Abadi" w:hAnsi="Abadi" w:cs="Arial"/>
          <w:i/>
          <w:iCs/>
          <w:spacing w:val="-11"/>
          <w:w w:val="105"/>
          <w:sz w:val="21"/>
          <w:szCs w:val="21"/>
        </w:rPr>
        <w:t xml:space="preserve"> </w:t>
      </w:r>
      <w:r w:rsidRPr="004A0446">
        <w:rPr>
          <w:rFonts w:ascii="Abadi" w:hAnsi="Abadi" w:cs="Arial"/>
          <w:i/>
          <w:iCs/>
          <w:w w:val="105"/>
          <w:sz w:val="21"/>
          <w:szCs w:val="21"/>
        </w:rPr>
        <w:t>artículo</w:t>
      </w:r>
      <w:r w:rsidRPr="004A0446">
        <w:rPr>
          <w:rFonts w:ascii="Abadi" w:hAnsi="Abadi" w:cs="Arial"/>
          <w:i/>
          <w:iCs/>
          <w:spacing w:val="-8"/>
          <w:w w:val="105"/>
          <w:sz w:val="21"/>
          <w:szCs w:val="21"/>
        </w:rPr>
        <w:t xml:space="preserve"> </w:t>
      </w:r>
      <w:r w:rsidRPr="004A0446">
        <w:rPr>
          <w:rFonts w:ascii="Abadi" w:hAnsi="Abadi" w:cs="Arial"/>
          <w:i/>
          <w:iCs/>
          <w:w w:val="105"/>
          <w:sz w:val="21"/>
          <w:szCs w:val="21"/>
        </w:rPr>
        <w:t>determinado</w:t>
      </w:r>
      <w:r w:rsidRPr="004A0446">
        <w:rPr>
          <w:rFonts w:ascii="Abadi" w:hAnsi="Abadi" w:cs="Arial"/>
          <w:i/>
          <w:iCs/>
          <w:spacing w:val="13"/>
          <w:w w:val="105"/>
          <w:sz w:val="21"/>
          <w:szCs w:val="21"/>
        </w:rPr>
        <w:t xml:space="preserve"> </w:t>
      </w:r>
      <w:r w:rsidRPr="004A0446">
        <w:rPr>
          <w:rFonts w:ascii="Abadi" w:hAnsi="Abadi" w:cs="Arial"/>
          <w:i/>
          <w:iCs/>
          <w:w w:val="105"/>
          <w:sz w:val="21"/>
          <w:szCs w:val="21"/>
        </w:rPr>
        <w:t>“el’; a</w:t>
      </w:r>
      <w:r w:rsidRPr="004A0446">
        <w:rPr>
          <w:rFonts w:ascii="Abadi" w:hAnsi="Abadi" w:cs="Arial"/>
          <w:i/>
          <w:iCs/>
          <w:spacing w:val="-14"/>
          <w:w w:val="105"/>
          <w:sz w:val="21"/>
          <w:szCs w:val="21"/>
        </w:rPr>
        <w:t xml:space="preserve"> </w:t>
      </w:r>
      <w:r w:rsidRPr="004A0446">
        <w:rPr>
          <w:rFonts w:ascii="Abadi" w:hAnsi="Abadi" w:cs="Arial"/>
          <w:i/>
          <w:iCs/>
          <w:w w:val="105"/>
          <w:sz w:val="21"/>
          <w:szCs w:val="21"/>
        </w:rPr>
        <w:t>efecto</w:t>
      </w:r>
      <w:r w:rsidRPr="004A0446">
        <w:rPr>
          <w:rFonts w:ascii="Abadi" w:hAnsi="Abadi" w:cs="Arial"/>
          <w:i/>
          <w:iCs/>
          <w:spacing w:val="-14"/>
          <w:w w:val="105"/>
          <w:sz w:val="21"/>
          <w:szCs w:val="21"/>
        </w:rPr>
        <w:t xml:space="preserve"> </w:t>
      </w:r>
      <w:r w:rsidRPr="004A0446">
        <w:rPr>
          <w:rFonts w:ascii="Abadi" w:hAnsi="Abadi" w:cs="Arial"/>
          <w:i/>
          <w:iCs/>
          <w:w w:val="105"/>
          <w:sz w:val="21"/>
          <w:szCs w:val="21"/>
        </w:rPr>
        <w:t>de</w:t>
      </w:r>
      <w:r w:rsidRPr="004A0446">
        <w:rPr>
          <w:rFonts w:ascii="Abadi" w:hAnsi="Abadi" w:cs="Arial"/>
          <w:i/>
          <w:iCs/>
          <w:spacing w:val="-14"/>
          <w:w w:val="105"/>
          <w:sz w:val="21"/>
          <w:szCs w:val="21"/>
        </w:rPr>
        <w:t xml:space="preserve"> </w:t>
      </w:r>
      <w:r w:rsidRPr="004A0446">
        <w:rPr>
          <w:rFonts w:ascii="Abadi" w:hAnsi="Abadi" w:cs="Arial"/>
          <w:i/>
          <w:iCs/>
          <w:w w:val="105"/>
          <w:sz w:val="21"/>
          <w:szCs w:val="21"/>
        </w:rPr>
        <w:t>que</w:t>
      </w:r>
      <w:r w:rsidRPr="004A0446">
        <w:rPr>
          <w:rFonts w:ascii="Abadi" w:hAnsi="Abadi" w:cs="Arial"/>
          <w:i/>
          <w:iCs/>
          <w:spacing w:val="-14"/>
          <w:w w:val="105"/>
          <w:sz w:val="21"/>
          <w:szCs w:val="21"/>
        </w:rPr>
        <w:t xml:space="preserve"> </w:t>
      </w:r>
      <w:r w:rsidRPr="004A0446">
        <w:rPr>
          <w:rFonts w:ascii="Abadi" w:hAnsi="Abadi" w:cs="Arial"/>
          <w:i/>
          <w:iCs/>
          <w:w w:val="105"/>
          <w:sz w:val="21"/>
          <w:szCs w:val="21"/>
        </w:rPr>
        <w:t>no</w:t>
      </w:r>
      <w:r w:rsidRPr="004A0446">
        <w:rPr>
          <w:rFonts w:ascii="Abadi" w:hAnsi="Abadi" w:cs="Arial"/>
          <w:i/>
          <w:iCs/>
          <w:spacing w:val="-13"/>
          <w:w w:val="105"/>
          <w:sz w:val="21"/>
          <w:szCs w:val="21"/>
        </w:rPr>
        <w:t xml:space="preserve"> </w:t>
      </w:r>
      <w:r w:rsidRPr="004A0446">
        <w:rPr>
          <w:rFonts w:ascii="Abadi" w:hAnsi="Abadi" w:cs="Arial"/>
          <w:i/>
          <w:iCs/>
          <w:w w:val="105"/>
          <w:sz w:val="21"/>
          <w:szCs w:val="21"/>
        </w:rPr>
        <w:t>se</w:t>
      </w:r>
      <w:r w:rsidRPr="004A0446">
        <w:rPr>
          <w:rFonts w:ascii="Abadi" w:hAnsi="Abadi" w:cs="Arial"/>
          <w:i/>
          <w:iCs/>
          <w:spacing w:val="-14"/>
          <w:w w:val="105"/>
          <w:sz w:val="21"/>
          <w:szCs w:val="21"/>
        </w:rPr>
        <w:t xml:space="preserve"> </w:t>
      </w:r>
      <w:r w:rsidRPr="004A0446">
        <w:rPr>
          <w:rFonts w:ascii="Abadi" w:hAnsi="Abadi" w:cs="Arial"/>
          <w:i/>
          <w:iCs/>
          <w:w w:val="105"/>
          <w:sz w:val="21"/>
          <w:szCs w:val="21"/>
        </w:rPr>
        <w:t>caiga</w:t>
      </w:r>
      <w:r w:rsidRPr="004A0446">
        <w:rPr>
          <w:rFonts w:ascii="Abadi" w:hAnsi="Abadi" w:cs="Arial"/>
          <w:i/>
          <w:iCs/>
          <w:spacing w:val="-7"/>
          <w:w w:val="105"/>
          <w:sz w:val="21"/>
          <w:szCs w:val="21"/>
        </w:rPr>
        <w:t xml:space="preserve"> </w:t>
      </w:r>
      <w:r w:rsidRPr="004A0446">
        <w:rPr>
          <w:rFonts w:ascii="Abadi" w:hAnsi="Abadi" w:cs="Arial"/>
          <w:i/>
          <w:iCs/>
          <w:w w:val="105"/>
          <w:sz w:val="21"/>
          <w:szCs w:val="21"/>
        </w:rPr>
        <w:t>en</w:t>
      </w:r>
      <w:r w:rsidRPr="004A0446">
        <w:rPr>
          <w:rFonts w:ascii="Abadi" w:hAnsi="Abadi" w:cs="Arial"/>
          <w:i/>
          <w:iCs/>
          <w:spacing w:val="-12"/>
          <w:w w:val="105"/>
          <w:sz w:val="21"/>
          <w:szCs w:val="21"/>
        </w:rPr>
        <w:t xml:space="preserve"> </w:t>
      </w:r>
      <w:r w:rsidRPr="004A0446">
        <w:rPr>
          <w:rFonts w:ascii="Abadi" w:hAnsi="Abadi" w:cs="Arial"/>
          <w:i/>
          <w:iCs/>
          <w:w w:val="105"/>
          <w:sz w:val="21"/>
          <w:szCs w:val="21"/>
        </w:rPr>
        <w:t>el</w:t>
      </w:r>
      <w:r w:rsidRPr="004A0446">
        <w:rPr>
          <w:rFonts w:ascii="Abadi" w:hAnsi="Abadi" w:cs="Arial"/>
          <w:i/>
          <w:iCs/>
          <w:spacing w:val="-14"/>
          <w:w w:val="105"/>
          <w:sz w:val="21"/>
          <w:szCs w:val="21"/>
        </w:rPr>
        <w:t xml:space="preserve"> </w:t>
      </w:r>
      <w:r w:rsidRPr="004A0446">
        <w:rPr>
          <w:rFonts w:ascii="Abadi" w:hAnsi="Abadi" w:cs="Arial"/>
          <w:i/>
          <w:iCs/>
          <w:w w:val="105"/>
          <w:sz w:val="21"/>
          <w:szCs w:val="21"/>
        </w:rPr>
        <w:t>llamado masculino</w:t>
      </w:r>
      <w:r w:rsidRPr="004A0446">
        <w:rPr>
          <w:rFonts w:ascii="Abadi" w:hAnsi="Abadi" w:cs="Arial"/>
          <w:i/>
          <w:iCs/>
          <w:spacing w:val="-14"/>
          <w:w w:val="105"/>
          <w:sz w:val="21"/>
          <w:szCs w:val="21"/>
        </w:rPr>
        <w:t xml:space="preserve"> </w:t>
      </w:r>
      <w:r w:rsidRPr="004A0446">
        <w:rPr>
          <w:rFonts w:ascii="Abadi" w:hAnsi="Abadi" w:cs="Arial"/>
          <w:i/>
          <w:iCs/>
          <w:w w:val="105"/>
          <w:sz w:val="21"/>
          <w:szCs w:val="21"/>
        </w:rPr>
        <w:t>genérico</w:t>
      </w:r>
      <w:r w:rsidRPr="004A0446">
        <w:rPr>
          <w:rFonts w:ascii="Abadi" w:hAnsi="Abadi" w:cs="Arial"/>
          <w:i/>
          <w:iCs/>
          <w:spacing w:val="-14"/>
          <w:w w:val="105"/>
          <w:sz w:val="21"/>
          <w:szCs w:val="21"/>
        </w:rPr>
        <w:t xml:space="preserve"> </w:t>
      </w:r>
      <w:r w:rsidRPr="004A0446">
        <w:rPr>
          <w:rFonts w:ascii="Abadi" w:hAnsi="Abadi" w:cs="Arial"/>
          <w:i/>
          <w:iCs/>
          <w:w w:val="105"/>
          <w:sz w:val="21"/>
          <w:szCs w:val="21"/>
        </w:rPr>
        <w:t>e</w:t>
      </w:r>
      <w:r w:rsidRPr="004A0446">
        <w:rPr>
          <w:rFonts w:ascii="Abadi" w:hAnsi="Abadi" w:cs="Arial"/>
          <w:i/>
          <w:iCs/>
          <w:spacing w:val="-14"/>
          <w:w w:val="105"/>
          <w:sz w:val="21"/>
          <w:szCs w:val="21"/>
        </w:rPr>
        <w:t xml:space="preserve"> </w:t>
      </w:r>
      <w:r w:rsidRPr="004A0446">
        <w:rPr>
          <w:rFonts w:ascii="Abadi" w:hAnsi="Abadi" w:cs="Arial"/>
          <w:i/>
          <w:iCs/>
          <w:w w:val="105"/>
          <w:sz w:val="21"/>
          <w:szCs w:val="21"/>
        </w:rPr>
        <w:t>ir</w:t>
      </w:r>
      <w:r w:rsidRPr="004A0446">
        <w:rPr>
          <w:rFonts w:ascii="Abadi" w:hAnsi="Abadi" w:cs="Arial"/>
          <w:i/>
          <w:iCs/>
          <w:spacing w:val="-12"/>
          <w:w w:val="105"/>
          <w:sz w:val="21"/>
          <w:szCs w:val="21"/>
        </w:rPr>
        <w:t xml:space="preserve"> </w:t>
      </w:r>
      <w:r w:rsidRPr="004A0446">
        <w:rPr>
          <w:rFonts w:ascii="Abadi" w:hAnsi="Abadi" w:cs="Arial"/>
          <w:i/>
          <w:iCs/>
          <w:w w:val="105"/>
          <w:sz w:val="21"/>
          <w:szCs w:val="21"/>
        </w:rPr>
        <w:t>acorde</w:t>
      </w:r>
      <w:r w:rsidRPr="004A0446">
        <w:rPr>
          <w:rFonts w:ascii="Abadi" w:hAnsi="Abadi" w:cs="Arial"/>
          <w:i/>
          <w:iCs/>
          <w:spacing w:val="-8"/>
          <w:w w:val="105"/>
          <w:sz w:val="21"/>
          <w:szCs w:val="21"/>
        </w:rPr>
        <w:t xml:space="preserve"> </w:t>
      </w:r>
      <w:r w:rsidRPr="004A0446">
        <w:rPr>
          <w:rFonts w:ascii="Abadi" w:hAnsi="Abadi" w:cs="Arial"/>
          <w:i/>
          <w:iCs/>
          <w:w w:val="105"/>
          <w:sz w:val="21"/>
          <w:szCs w:val="21"/>
        </w:rPr>
        <w:t>a</w:t>
      </w:r>
      <w:r w:rsidRPr="004A0446">
        <w:rPr>
          <w:rFonts w:ascii="Abadi" w:hAnsi="Abadi" w:cs="Arial"/>
          <w:i/>
          <w:iCs/>
          <w:spacing w:val="-10"/>
          <w:w w:val="105"/>
          <w:sz w:val="21"/>
          <w:szCs w:val="21"/>
        </w:rPr>
        <w:t xml:space="preserve"> </w:t>
      </w:r>
      <w:r w:rsidRPr="004A0446">
        <w:rPr>
          <w:rFonts w:ascii="Abadi" w:hAnsi="Abadi" w:cs="Arial"/>
          <w:i/>
          <w:iCs/>
          <w:w w:val="105"/>
          <w:sz w:val="21"/>
          <w:szCs w:val="21"/>
        </w:rPr>
        <w:t>la</w:t>
      </w:r>
      <w:r w:rsidRPr="004A0446">
        <w:rPr>
          <w:rFonts w:ascii="Abadi" w:hAnsi="Abadi" w:cs="Arial"/>
          <w:i/>
          <w:iCs/>
          <w:spacing w:val="-9"/>
          <w:w w:val="105"/>
          <w:sz w:val="21"/>
          <w:szCs w:val="21"/>
        </w:rPr>
        <w:t xml:space="preserve"> </w:t>
      </w:r>
      <w:r w:rsidRPr="004A0446">
        <w:rPr>
          <w:rFonts w:ascii="Abadi" w:hAnsi="Abadi" w:cs="Arial"/>
          <w:i/>
          <w:iCs/>
          <w:w w:val="105"/>
          <w:sz w:val="21"/>
          <w:szCs w:val="21"/>
        </w:rPr>
        <w:t>técnica legislativa utilizada</w:t>
      </w:r>
      <w:r w:rsidRPr="004A0446">
        <w:rPr>
          <w:rFonts w:ascii="Abadi" w:hAnsi="Abadi" w:cs="Arial"/>
          <w:i/>
          <w:iCs/>
          <w:spacing w:val="-2"/>
          <w:w w:val="105"/>
          <w:sz w:val="21"/>
          <w:szCs w:val="21"/>
        </w:rPr>
        <w:t xml:space="preserve"> </w:t>
      </w:r>
      <w:r w:rsidRPr="004A0446">
        <w:rPr>
          <w:rFonts w:ascii="Abadi" w:hAnsi="Abadi" w:cs="Arial"/>
          <w:i/>
          <w:iCs/>
          <w:w w:val="105"/>
          <w:sz w:val="21"/>
          <w:szCs w:val="21"/>
        </w:rPr>
        <w:t>en</w:t>
      </w:r>
      <w:r w:rsidRPr="004A0446">
        <w:rPr>
          <w:rFonts w:ascii="Abadi" w:hAnsi="Abadi" w:cs="Arial"/>
          <w:i/>
          <w:iCs/>
          <w:spacing w:val="-14"/>
          <w:w w:val="105"/>
          <w:sz w:val="21"/>
          <w:szCs w:val="21"/>
        </w:rPr>
        <w:t xml:space="preserve"> </w:t>
      </w:r>
      <w:r w:rsidRPr="004A0446">
        <w:rPr>
          <w:rFonts w:ascii="Abadi" w:hAnsi="Abadi" w:cs="Arial"/>
          <w:i/>
          <w:iCs/>
          <w:w w:val="105"/>
          <w:sz w:val="21"/>
          <w:szCs w:val="21"/>
        </w:rPr>
        <w:t>Leyes recientes, así</w:t>
      </w:r>
      <w:r w:rsidRPr="004A0446">
        <w:rPr>
          <w:rFonts w:ascii="Abadi" w:hAnsi="Abadi" w:cs="Arial"/>
          <w:i/>
          <w:iCs/>
          <w:spacing w:val="-10"/>
          <w:w w:val="105"/>
          <w:sz w:val="21"/>
          <w:szCs w:val="21"/>
        </w:rPr>
        <w:t xml:space="preserve"> </w:t>
      </w:r>
      <w:r w:rsidRPr="004A0446">
        <w:rPr>
          <w:rFonts w:ascii="Abadi" w:hAnsi="Abadi" w:cs="Arial"/>
          <w:i/>
          <w:iCs/>
          <w:w w:val="105"/>
          <w:sz w:val="21"/>
          <w:szCs w:val="21"/>
        </w:rPr>
        <w:t>como la tendencia global hacia la inclusión.</w:t>
      </w:r>
    </w:p>
    <w:p w14:paraId="7CF85901" w14:textId="77777777" w:rsidR="00E3434F" w:rsidRPr="004A0446" w:rsidRDefault="00E3434F" w:rsidP="00F3730A">
      <w:pPr>
        <w:tabs>
          <w:tab w:val="left" w:pos="13325"/>
        </w:tabs>
        <w:ind w:right="303"/>
        <w:jc w:val="both"/>
        <w:rPr>
          <w:rFonts w:ascii="Abadi" w:hAnsi="Abadi" w:cs="Arial"/>
          <w:b/>
          <w:bCs/>
          <w:i/>
          <w:iCs/>
          <w:sz w:val="21"/>
          <w:szCs w:val="21"/>
          <w:lang w:val="es-MX"/>
        </w:rPr>
      </w:pPr>
    </w:p>
    <w:p w14:paraId="5E7B7D4A" w14:textId="77777777" w:rsidR="00E3434F" w:rsidRPr="004A0446" w:rsidRDefault="00E3434F" w:rsidP="00F3730A">
      <w:pPr>
        <w:tabs>
          <w:tab w:val="left" w:pos="8647"/>
          <w:tab w:val="left" w:pos="13325"/>
        </w:tabs>
        <w:ind w:left="1134" w:right="567" w:firstLine="567"/>
        <w:jc w:val="both"/>
        <w:rPr>
          <w:rFonts w:ascii="Abadi" w:hAnsi="Abadi" w:cs="Arial"/>
          <w:i/>
          <w:iCs/>
          <w:sz w:val="21"/>
          <w:szCs w:val="21"/>
        </w:rPr>
      </w:pPr>
      <w:r w:rsidRPr="004A0446">
        <w:rPr>
          <w:rFonts w:ascii="Abadi" w:hAnsi="Abadi" w:cs="Arial"/>
          <w:i/>
          <w:iCs/>
          <w:w w:val="105"/>
          <w:sz w:val="21"/>
          <w:szCs w:val="21"/>
        </w:rPr>
        <w:t>No</w:t>
      </w:r>
      <w:r w:rsidRPr="004A0446">
        <w:rPr>
          <w:rFonts w:ascii="Abadi" w:hAnsi="Abadi" w:cs="Arial"/>
          <w:i/>
          <w:iCs/>
          <w:spacing w:val="-14"/>
          <w:w w:val="105"/>
          <w:sz w:val="21"/>
          <w:szCs w:val="21"/>
        </w:rPr>
        <w:t xml:space="preserve"> </w:t>
      </w:r>
      <w:r w:rsidRPr="004A0446">
        <w:rPr>
          <w:rFonts w:ascii="Abadi" w:hAnsi="Abadi" w:cs="Arial"/>
          <w:i/>
          <w:iCs/>
          <w:w w:val="105"/>
          <w:sz w:val="21"/>
          <w:szCs w:val="21"/>
        </w:rPr>
        <w:t>obstante,</w:t>
      </w:r>
      <w:r w:rsidRPr="004A0446">
        <w:rPr>
          <w:rFonts w:ascii="Abadi" w:hAnsi="Abadi" w:cs="Arial"/>
          <w:i/>
          <w:iCs/>
          <w:spacing w:val="-14"/>
          <w:w w:val="105"/>
          <w:sz w:val="21"/>
          <w:szCs w:val="21"/>
        </w:rPr>
        <w:t xml:space="preserve"> </w:t>
      </w:r>
      <w:r w:rsidRPr="004A0446">
        <w:rPr>
          <w:rFonts w:ascii="Abadi" w:hAnsi="Abadi" w:cs="Arial"/>
          <w:i/>
          <w:iCs/>
          <w:w w:val="105"/>
          <w:sz w:val="21"/>
          <w:szCs w:val="21"/>
        </w:rPr>
        <w:t>de</w:t>
      </w:r>
      <w:r w:rsidRPr="004A0446">
        <w:rPr>
          <w:rFonts w:ascii="Abadi" w:hAnsi="Abadi" w:cs="Arial"/>
          <w:i/>
          <w:iCs/>
          <w:spacing w:val="-14"/>
          <w:w w:val="105"/>
          <w:sz w:val="21"/>
          <w:szCs w:val="21"/>
        </w:rPr>
        <w:t xml:space="preserve"> </w:t>
      </w:r>
      <w:r w:rsidRPr="004A0446">
        <w:rPr>
          <w:rFonts w:ascii="Abadi" w:hAnsi="Abadi" w:cs="Arial"/>
          <w:i/>
          <w:iCs/>
          <w:w w:val="105"/>
          <w:sz w:val="21"/>
          <w:szCs w:val="21"/>
        </w:rPr>
        <w:t>lo</w:t>
      </w:r>
      <w:r w:rsidRPr="004A0446">
        <w:rPr>
          <w:rFonts w:ascii="Abadi" w:hAnsi="Abadi" w:cs="Arial"/>
          <w:i/>
          <w:iCs/>
          <w:spacing w:val="-14"/>
          <w:w w:val="105"/>
          <w:sz w:val="21"/>
          <w:szCs w:val="21"/>
        </w:rPr>
        <w:t xml:space="preserve"> </w:t>
      </w:r>
      <w:r w:rsidRPr="004A0446">
        <w:rPr>
          <w:rFonts w:ascii="Abadi" w:hAnsi="Abadi" w:cs="Arial"/>
          <w:i/>
          <w:iCs/>
          <w:w w:val="105"/>
          <w:sz w:val="21"/>
          <w:szCs w:val="21"/>
        </w:rPr>
        <w:t>anterior,</w:t>
      </w:r>
      <w:r w:rsidRPr="004A0446">
        <w:rPr>
          <w:rFonts w:ascii="Abadi" w:hAnsi="Abadi" w:cs="Arial"/>
          <w:i/>
          <w:iCs/>
          <w:spacing w:val="-10"/>
          <w:w w:val="105"/>
          <w:sz w:val="21"/>
          <w:szCs w:val="21"/>
        </w:rPr>
        <w:t xml:space="preserve"> </w:t>
      </w:r>
      <w:r w:rsidRPr="004A0446">
        <w:rPr>
          <w:rFonts w:ascii="Abadi" w:hAnsi="Abadi" w:cs="Arial"/>
          <w:i/>
          <w:iCs/>
          <w:w w:val="105"/>
          <w:sz w:val="21"/>
          <w:szCs w:val="21"/>
        </w:rPr>
        <w:t>a</w:t>
      </w:r>
      <w:r w:rsidRPr="004A0446">
        <w:rPr>
          <w:rFonts w:ascii="Abadi" w:hAnsi="Abadi" w:cs="Arial"/>
          <w:i/>
          <w:iCs/>
          <w:spacing w:val="-12"/>
          <w:w w:val="105"/>
          <w:sz w:val="21"/>
          <w:szCs w:val="21"/>
        </w:rPr>
        <w:t xml:space="preserve"> </w:t>
      </w:r>
      <w:r w:rsidRPr="004A0446">
        <w:rPr>
          <w:rFonts w:ascii="Abadi" w:hAnsi="Abadi" w:cs="Arial"/>
          <w:i/>
          <w:iCs/>
          <w:w w:val="105"/>
          <w:sz w:val="21"/>
          <w:szCs w:val="21"/>
        </w:rPr>
        <w:t>efectos</w:t>
      </w:r>
      <w:r w:rsidRPr="004A0446">
        <w:rPr>
          <w:rFonts w:ascii="Abadi" w:hAnsi="Abadi" w:cs="Arial"/>
          <w:i/>
          <w:iCs/>
          <w:spacing w:val="-5"/>
          <w:w w:val="105"/>
          <w:sz w:val="21"/>
          <w:szCs w:val="21"/>
        </w:rPr>
        <w:t xml:space="preserve"> </w:t>
      </w:r>
      <w:r w:rsidRPr="004A0446">
        <w:rPr>
          <w:rFonts w:ascii="Abadi" w:hAnsi="Abadi" w:cs="Arial"/>
          <w:i/>
          <w:iCs/>
          <w:w w:val="105"/>
          <w:sz w:val="21"/>
          <w:szCs w:val="21"/>
        </w:rPr>
        <w:t>de</w:t>
      </w:r>
      <w:r w:rsidRPr="004A0446">
        <w:rPr>
          <w:rFonts w:ascii="Abadi" w:hAnsi="Abadi" w:cs="Arial"/>
          <w:i/>
          <w:iCs/>
          <w:spacing w:val="-14"/>
          <w:w w:val="105"/>
          <w:sz w:val="21"/>
          <w:szCs w:val="21"/>
        </w:rPr>
        <w:t xml:space="preserve"> </w:t>
      </w:r>
      <w:r w:rsidRPr="004A0446">
        <w:rPr>
          <w:rFonts w:ascii="Abadi" w:hAnsi="Abadi" w:cs="Arial"/>
          <w:i/>
          <w:iCs/>
          <w:w w:val="105"/>
          <w:sz w:val="21"/>
          <w:szCs w:val="21"/>
        </w:rPr>
        <w:t>cumplir</w:t>
      </w:r>
      <w:r w:rsidRPr="004A0446">
        <w:rPr>
          <w:rFonts w:ascii="Abadi" w:hAnsi="Abadi" w:cs="Arial"/>
          <w:i/>
          <w:iCs/>
          <w:spacing w:val="-4"/>
          <w:w w:val="105"/>
          <w:sz w:val="21"/>
          <w:szCs w:val="21"/>
        </w:rPr>
        <w:t xml:space="preserve"> </w:t>
      </w:r>
      <w:r w:rsidRPr="004A0446">
        <w:rPr>
          <w:rFonts w:ascii="Abadi" w:hAnsi="Abadi" w:cs="Arial"/>
          <w:i/>
          <w:iCs/>
          <w:w w:val="105"/>
          <w:sz w:val="21"/>
          <w:szCs w:val="21"/>
        </w:rPr>
        <w:t>con</w:t>
      </w:r>
      <w:r w:rsidRPr="004A0446">
        <w:rPr>
          <w:rFonts w:ascii="Abadi" w:hAnsi="Abadi" w:cs="Arial"/>
          <w:i/>
          <w:iCs/>
          <w:spacing w:val="-10"/>
          <w:w w:val="105"/>
          <w:sz w:val="21"/>
          <w:szCs w:val="21"/>
        </w:rPr>
        <w:t xml:space="preserve"> </w:t>
      </w:r>
      <w:r w:rsidRPr="004A0446">
        <w:rPr>
          <w:rFonts w:ascii="Abadi" w:hAnsi="Abadi" w:cs="Arial"/>
          <w:i/>
          <w:iCs/>
          <w:w w:val="105"/>
          <w:sz w:val="21"/>
          <w:szCs w:val="21"/>
        </w:rPr>
        <w:t>lo</w:t>
      </w:r>
      <w:r w:rsidRPr="004A0446">
        <w:rPr>
          <w:rFonts w:ascii="Abadi" w:hAnsi="Abadi" w:cs="Arial"/>
          <w:i/>
          <w:iCs/>
          <w:spacing w:val="-10"/>
          <w:w w:val="105"/>
          <w:sz w:val="21"/>
          <w:szCs w:val="21"/>
        </w:rPr>
        <w:t xml:space="preserve"> </w:t>
      </w:r>
      <w:r w:rsidRPr="004A0446">
        <w:rPr>
          <w:rFonts w:ascii="Abadi" w:hAnsi="Abadi" w:cs="Arial"/>
          <w:i/>
          <w:iCs/>
          <w:w w:val="105"/>
          <w:sz w:val="21"/>
          <w:szCs w:val="21"/>
        </w:rPr>
        <w:t>solicitado,</w:t>
      </w:r>
      <w:r w:rsidRPr="004A0446">
        <w:rPr>
          <w:rFonts w:ascii="Abadi" w:hAnsi="Abadi" w:cs="Arial"/>
          <w:i/>
          <w:iCs/>
          <w:spacing w:val="-6"/>
          <w:w w:val="105"/>
          <w:sz w:val="21"/>
          <w:szCs w:val="21"/>
        </w:rPr>
        <w:t xml:space="preserve"> </w:t>
      </w:r>
      <w:r w:rsidRPr="004A0446">
        <w:rPr>
          <w:rFonts w:ascii="Abadi" w:hAnsi="Abadi" w:cs="Arial"/>
          <w:i/>
          <w:iCs/>
          <w:w w:val="105"/>
          <w:sz w:val="21"/>
          <w:szCs w:val="21"/>
        </w:rPr>
        <w:t>señalamos</w:t>
      </w:r>
      <w:r w:rsidRPr="004A0446">
        <w:rPr>
          <w:rFonts w:ascii="Abadi" w:hAnsi="Abadi" w:cs="Arial"/>
          <w:i/>
          <w:iCs/>
          <w:spacing w:val="-8"/>
          <w:w w:val="105"/>
          <w:sz w:val="21"/>
          <w:szCs w:val="21"/>
        </w:rPr>
        <w:t xml:space="preserve"> </w:t>
      </w:r>
      <w:r w:rsidRPr="004A0446">
        <w:rPr>
          <w:rFonts w:ascii="Abadi" w:hAnsi="Abadi" w:cs="Arial"/>
          <w:i/>
          <w:iCs/>
          <w:w w:val="105"/>
          <w:sz w:val="21"/>
          <w:szCs w:val="21"/>
        </w:rPr>
        <w:t>que</w:t>
      </w:r>
      <w:r w:rsidRPr="004A0446">
        <w:rPr>
          <w:rFonts w:ascii="Abadi" w:hAnsi="Abadi" w:cs="Arial"/>
          <w:i/>
          <w:iCs/>
          <w:spacing w:val="-14"/>
          <w:w w:val="105"/>
          <w:sz w:val="21"/>
          <w:szCs w:val="21"/>
        </w:rPr>
        <w:t xml:space="preserve"> </w:t>
      </w:r>
      <w:r w:rsidRPr="004A0446">
        <w:rPr>
          <w:rFonts w:ascii="Abadi" w:hAnsi="Abadi" w:cs="Arial"/>
          <w:i/>
          <w:iCs/>
          <w:w w:val="105"/>
          <w:sz w:val="21"/>
          <w:szCs w:val="21"/>
        </w:rPr>
        <w:t>las</w:t>
      </w:r>
      <w:r w:rsidRPr="004A0446">
        <w:rPr>
          <w:rFonts w:ascii="Abadi" w:hAnsi="Abadi" w:cs="Arial"/>
          <w:i/>
          <w:iCs/>
          <w:spacing w:val="-14"/>
          <w:w w:val="105"/>
          <w:sz w:val="21"/>
          <w:szCs w:val="21"/>
        </w:rPr>
        <w:t xml:space="preserve"> </w:t>
      </w:r>
      <w:r w:rsidRPr="004A0446">
        <w:rPr>
          <w:rFonts w:ascii="Abadi" w:hAnsi="Abadi" w:cs="Arial"/>
          <w:i/>
          <w:iCs/>
          <w:w w:val="105"/>
          <w:sz w:val="21"/>
          <w:szCs w:val="21"/>
        </w:rPr>
        <w:t>acciones</w:t>
      </w:r>
      <w:r w:rsidRPr="004A0446">
        <w:rPr>
          <w:rFonts w:ascii="Abadi" w:hAnsi="Abadi" w:cs="Arial"/>
          <w:i/>
          <w:iCs/>
          <w:spacing w:val="-4"/>
          <w:w w:val="105"/>
          <w:sz w:val="21"/>
          <w:szCs w:val="21"/>
        </w:rPr>
        <w:t xml:space="preserve"> </w:t>
      </w:r>
      <w:r w:rsidRPr="004A0446">
        <w:rPr>
          <w:rFonts w:ascii="Abadi" w:hAnsi="Abadi" w:cs="Arial"/>
          <w:i/>
          <w:iCs/>
          <w:w w:val="105"/>
          <w:sz w:val="21"/>
          <w:szCs w:val="21"/>
        </w:rPr>
        <w:t>planteadas para</w:t>
      </w:r>
      <w:r w:rsidRPr="004A0446">
        <w:rPr>
          <w:rFonts w:ascii="Abadi" w:hAnsi="Abadi" w:cs="Arial"/>
          <w:i/>
          <w:iCs/>
          <w:spacing w:val="-14"/>
          <w:w w:val="105"/>
          <w:sz w:val="21"/>
          <w:szCs w:val="21"/>
        </w:rPr>
        <w:t xml:space="preserve"> </w:t>
      </w:r>
      <w:r w:rsidRPr="004A0446">
        <w:rPr>
          <w:rFonts w:ascii="Abadi" w:hAnsi="Abadi" w:cs="Arial"/>
          <w:i/>
          <w:iCs/>
          <w:w w:val="105"/>
          <w:sz w:val="21"/>
          <w:szCs w:val="21"/>
        </w:rPr>
        <w:t>prevenir</w:t>
      </w:r>
      <w:r w:rsidRPr="004A0446">
        <w:rPr>
          <w:rFonts w:ascii="Abadi" w:hAnsi="Abadi" w:cs="Arial"/>
          <w:i/>
          <w:iCs/>
          <w:spacing w:val="-4"/>
          <w:w w:val="105"/>
          <w:sz w:val="21"/>
          <w:szCs w:val="21"/>
        </w:rPr>
        <w:t xml:space="preserve"> </w:t>
      </w:r>
      <w:r w:rsidRPr="004A0446">
        <w:rPr>
          <w:rFonts w:ascii="Abadi" w:hAnsi="Abadi" w:cs="Arial"/>
          <w:i/>
          <w:iCs/>
          <w:w w:val="105"/>
          <w:sz w:val="21"/>
          <w:szCs w:val="21"/>
        </w:rPr>
        <w:t>o</w:t>
      </w:r>
      <w:r w:rsidRPr="004A0446">
        <w:rPr>
          <w:rFonts w:ascii="Abadi" w:hAnsi="Abadi" w:cs="Arial"/>
          <w:i/>
          <w:iCs/>
          <w:spacing w:val="-10"/>
          <w:w w:val="105"/>
          <w:sz w:val="21"/>
          <w:szCs w:val="21"/>
        </w:rPr>
        <w:t xml:space="preserve"> </w:t>
      </w:r>
      <w:r w:rsidRPr="004A0446">
        <w:rPr>
          <w:rFonts w:ascii="Abadi" w:hAnsi="Abadi" w:cs="Arial"/>
          <w:i/>
          <w:iCs/>
          <w:w w:val="105"/>
          <w:sz w:val="21"/>
          <w:szCs w:val="21"/>
        </w:rPr>
        <w:t>inhibir</w:t>
      </w:r>
      <w:r w:rsidRPr="004A0446">
        <w:rPr>
          <w:rFonts w:ascii="Abadi" w:hAnsi="Abadi" w:cs="Arial"/>
          <w:i/>
          <w:iCs/>
          <w:spacing w:val="-9"/>
          <w:w w:val="105"/>
          <w:sz w:val="21"/>
          <w:szCs w:val="21"/>
        </w:rPr>
        <w:t xml:space="preserve"> </w:t>
      </w:r>
      <w:r w:rsidRPr="004A0446">
        <w:rPr>
          <w:rFonts w:ascii="Abadi" w:hAnsi="Abadi" w:cs="Arial"/>
          <w:i/>
          <w:iCs/>
          <w:w w:val="105"/>
          <w:sz w:val="21"/>
          <w:szCs w:val="21"/>
        </w:rPr>
        <w:t>el</w:t>
      </w:r>
      <w:r w:rsidRPr="004A0446">
        <w:rPr>
          <w:rFonts w:ascii="Abadi" w:hAnsi="Abadi" w:cs="Arial"/>
          <w:i/>
          <w:iCs/>
          <w:spacing w:val="-14"/>
          <w:w w:val="105"/>
          <w:sz w:val="21"/>
          <w:szCs w:val="21"/>
        </w:rPr>
        <w:t xml:space="preserve"> </w:t>
      </w:r>
      <w:r w:rsidRPr="004A0446">
        <w:rPr>
          <w:rFonts w:ascii="Abadi" w:hAnsi="Abadi" w:cs="Arial"/>
          <w:i/>
          <w:iCs/>
          <w:w w:val="105"/>
          <w:sz w:val="21"/>
          <w:szCs w:val="21"/>
        </w:rPr>
        <w:t>suicidio,</w:t>
      </w:r>
      <w:r w:rsidRPr="004A0446">
        <w:rPr>
          <w:rFonts w:ascii="Abadi" w:hAnsi="Abadi" w:cs="Arial"/>
          <w:i/>
          <w:iCs/>
          <w:spacing w:val="-7"/>
          <w:w w:val="105"/>
          <w:sz w:val="21"/>
          <w:szCs w:val="21"/>
        </w:rPr>
        <w:t xml:space="preserve"> </w:t>
      </w:r>
      <w:r w:rsidRPr="004A0446">
        <w:rPr>
          <w:rFonts w:ascii="Abadi" w:hAnsi="Abadi" w:cs="Arial"/>
          <w:i/>
          <w:iCs/>
          <w:w w:val="105"/>
          <w:sz w:val="21"/>
          <w:szCs w:val="21"/>
        </w:rPr>
        <w:t>son</w:t>
      </w:r>
      <w:r w:rsidRPr="004A0446">
        <w:rPr>
          <w:rFonts w:ascii="Abadi" w:hAnsi="Abadi" w:cs="Arial"/>
          <w:i/>
          <w:iCs/>
          <w:spacing w:val="-11"/>
          <w:w w:val="105"/>
          <w:sz w:val="21"/>
          <w:szCs w:val="21"/>
        </w:rPr>
        <w:t xml:space="preserve"> </w:t>
      </w:r>
      <w:r w:rsidRPr="004A0446">
        <w:rPr>
          <w:rFonts w:ascii="Abadi" w:hAnsi="Abadi" w:cs="Arial"/>
          <w:i/>
          <w:iCs/>
          <w:w w:val="105"/>
          <w:sz w:val="21"/>
          <w:szCs w:val="21"/>
        </w:rPr>
        <w:t>insuficientes pues</w:t>
      </w:r>
      <w:r w:rsidRPr="004A0446">
        <w:rPr>
          <w:rFonts w:ascii="Abadi" w:hAnsi="Abadi" w:cs="Arial"/>
          <w:i/>
          <w:iCs/>
          <w:spacing w:val="-10"/>
          <w:w w:val="105"/>
          <w:sz w:val="21"/>
          <w:szCs w:val="21"/>
        </w:rPr>
        <w:t xml:space="preserve"> </w:t>
      </w:r>
      <w:r w:rsidRPr="004A0446">
        <w:rPr>
          <w:rFonts w:ascii="Abadi" w:hAnsi="Abadi" w:cs="Arial"/>
          <w:i/>
          <w:iCs/>
          <w:w w:val="105"/>
          <w:sz w:val="21"/>
          <w:szCs w:val="21"/>
        </w:rPr>
        <w:t>no</w:t>
      </w:r>
      <w:r w:rsidRPr="004A0446">
        <w:rPr>
          <w:rFonts w:ascii="Abadi" w:hAnsi="Abadi" w:cs="Arial"/>
          <w:i/>
          <w:iCs/>
          <w:spacing w:val="-14"/>
          <w:w w:val="105"/>
          <w:sz w:val="21"/>
          <w:szCs w:val="21"/>
        </w:rPr>
        <w:t xml:space="preserve"> </w:t>
      </w:r>
      <w:r w:rsidRPr="004A0446">
        <w:rPr>
          <w:rFonts w:ascii="Abadi" w:hAnsi="Abadi" w:cs="Arial"/>
          <w:i/>
          <w:iCs/>
          <w:w w:val="105"/>
          <w:sz w:val="21"/>
          <w:szCs w:val="21"/>
        </w:rPr>
        <w:t>atacan</w:t>
      </w:r>
      <w:r w:rsidRPr="004A0446">
        <w:rPr>
          <w:rFonts w:ascii="Abadi" w:hAnsi="Abadi" w:cs="Arial"/>
          <w:i/>
          <w:iCs/>
          <w:spacing w:val="-10"/>
          <w:w w:val="105"/>
          <w:sz w:val="21"/>
          <w:szCs w:val="21"/>
        </w:rPr>
        <w:t xml:space="preserve"> </w:t>
      </w:r>
      <w:r w:rsidRPr="004A0446">
        <w:rPr>
          <w:rFonts w:ascii="Abadi" w:hAnsi="Abadi" w:cs="Arial"/>
          <w:i/>
          <w:iCs/>
          <w:w w:val="105"/>
          <w:sz w:val="21"/>
          <w:szCs w:val="21"/>
        </w:rPr>
        <w:t>de</w:t>
      </w:r>
      <w:r w:rsidRPr="004A0446">
        <w:rPr>
          <w:rFonts w:ascii="Abadi" w:hAnsi="Abadi" w:cs="Arial"/>
          <w:i/>
          <w:iCs/>
          <w:spacing w:val="-14"/>
          <w:w w:val="105"/>
          <w:sz w:val="21"/>
          <w:szCs w:val="21"/>
        </w:rPr>
        <w:t xml:space="preserve"> </w:t>
      </w:r>
      <w:r w:rsidRPr="004A0446">
        <w:rPr>
          <w:rFonts w:ascii="Abadi" w:hAnsi="Abadi" w:cs="Arial"/>
          <w:i/>
          <w:iCs/>
          <w:w w:val="105"/>
          <w:sz w:val="21"/>
          <w:szCs w:val="21"/>
        </w:rPr>
        <w:t>manera</w:t>
      </w:r>
      <w:r w:rsidRPr="004A0446">
        <w:rPr>
          <w:rFonts w:ascii="Abadi" w:hAnsi="Abadi" w:cs="Arial"/>
          <w:i/>
          <w:iCs/>
          <w:spacing w:val="-6"/>
          <w:w w:val="105"/>
          <w:sz w:val="21"/>
          <w:szCs w:val="21"/>
        </w:rPr>
        <w:t xml:space="preserve"> </w:t>
      </w:r>
      <w:r w:rsidRPr="004A0446">
        <w:rPr>
          <w:rFonts w:ascii="Abadi" w:hAnsi="Abadi" w:cs="Arial"/>
          <w:i/>
          <w:iCs/>
          <w:w w:val="105"/>
          <w:sz w:val="21"/>
          <w:szCs w:val="21"/>
        </w:rPr>
        <w:t>integral</w:t>
      </w:r>
      <w:r w:rsidRPr="004A0446">
        <w:rPr>
          <w:rFonts w:ascii="Abadi" w:hAnsi="Abadi" w:cs="Arial"/>
          <w:i/>
          <w:iCs/>
          <w:spacing w:val="-8"/>
          <w:w w:val="105"/>
          <w:sz w:val="21"/>
          <w:szCs w:val="21"/>
        </w:rPr>
        <w:t xml:space="preserve"> </w:t>
      </w:r>
      <w:r w:rsidRPr="004A0446">
        <w:rPr>
          <w:rFonts w:ascii="Abadi" w:hAnsi="Abadi" w:cs="Arial"/>
          <w:i/>
          <w:iCs/>
          <w:w w:val="105"/>
          <w:sz w:val="21"/>
          <w:szCs w:val="21"/>
        </w:rPr>
        <w:t>la</w:t>
      </w:r>
      <w:r w:rsidRPr="004A0446">
        <w:rPr>
          <w:rFonts w:ascii="Abadi" w:hAnsi="Abadi" w:cs="Arial"/>
          <w:i/>
          <w:iCs/>
          <w:spacing w:val="-10"/>
          <w:w w:val="105"/>
          <w:sz w:val="21"/>
          <w:szCs w:val="21"/>
        </w:rPr>
        <w:t xml:space="preserve"> </w:t>
      </w:r>
      <w:r w:rsidRPr="004A0446">
        <w:rPr>
          <w:rFonts w:ascii="Abadi" w:hAnsi="Abadi" w:cs="Arial"/>
          <w:i/>
          <w:iCs/>
          <w:w w:val="105"/>
          <w:sz w:val="21"/>
          <w:szCs w:val="21"/>
        </w:rPr>
        <w:t>problemática,</w:t>
      </w:r>
      <w:r w:rsidRPr="004A0446">
        <w:rPr>
          <w:rFonts w:ascii="Abadi" w:hAnsi="Abadi" w:cs="Arial"/>
          <w:i/>
          <w:iCs/>
          <w:spacing w:val="-2"/>
          <w:w w:val="105"/>
          <w:sz w:val="21"/>
          <w:szCs w:val="21"/>
        </w:rPr>
        <w:t xml:space="preserve"> </w:t>
      </w:r>
      <w:r w:rsidRPr="004A0446">
        <w:rPr>
          <w:rFonts w:ascii="Abadi" w:hAnsi="Abadi" w:cs="Arial"/>
          <w:i/>
          <w:iCs/>
          <w:w w:val="105"/>
          <w:sz w:val="21"/>
          <w:szCs w:val="21"/>
        </w:rPr>
        <w:t>ya</w:t>
      </w:r>
      <w:r w:rsidRPr="004A0446">
        <w:rPr>
          <w:rFonts w:ascii="Abadi" w:hAnsi="Abadi" w:cs="Arial"/>
          <w:i/>
          <w:iCs/>
          <w:spacing w:val="-11"/>
          <w:w w:val="105"/>
          <w:sz w:val="21"/>
          <w:szCs w:val="21"/>
        </w:rPr>
        <w:t xml:space="preserve"> </w:t>
      </w:r>
      <w:r w:rsidRPr="004A0446">
        <w:rPr>
          <w:rFonts w:ascii="Abadi" w:hAnsi="Abadi" w:cs="Arial"/>
          <w:i/>
          <w:iCs/>
          <w:w w:val="105"/>
          <w:sz w:val="21"/>
          <w:szCs w:val="21"/>
        </w:rPr>
        <w:t>que</w:t>
      </w:r>
      <w:r w:rsidRPr="004A0446">
        <w:rPr>
          <w:rFonts w:ascii="Abadi" w:hAnsi="Abadi" w:cs="Arial"/>
          <w:i/>
          <w:iCs/>
          <w:spacing w:val="-12"/>
          <w:w w:val="105"/>
          <w:sz w:val="21"/>
          <w:szCs w:val="21"/>
        </w:rPr>
        <w:t xml:space="preserve"> </w:t>
      </w:r>
      <w:r w:rsidRPr="004A0446">
        <w:rPr>
          <w:rFonts w:ascii="Abadi" w:hAnsi="Abadi" w:cs="Arial"/>
          <w:i/>
          <w:iCs/>
          <w:w w:val="105"/>
          <w:sz w:val="21"/>
          <w:szCs w:val="21"/>
        </w:rPr>
        <w:t>son genéricas</w:t>
      </w:r>
      <w:r w:rsidRPr="004A0446">
        <w:rPr>
          <w:rFonts w:ascii="Abadi" w:hAnsi="Abadi" w:cs="Arial"/>
          <w:i/>
          <w:iCs/>
          <w:spacing w:val="-14"/>
          <w:w w:val="105"/>
          <w:sz w:val="21"/>
          <w:szCs w:val="21"/>
        </w:rPr>
        <w:t xml:space="preserve"> </w:t>
      </w:r>
      <w:r w:rsidRPr="004A0446">
        <w:rPr>
          <w:rFonts w:ascii="Abadi" w:hAnsi="Abadi" w:cs="Arial"/>
          <w:i/>
          <w:iCs/>
          <w:w w:val="105"/>
          <w:sz w:val="21"/>
          <w:szCs w:val="21"/>
        </w:rPr>
        <w:t>y</w:t>
      </w:r>
      <w:r w:rsidRPr="004A0446">
        <w:rPr>
          <w:rFonts w:ascii="Abadi" w:hAnsi="Abadi" w:cs="Arial"/>
          <w:i/>
          <w:iCs/>
          <w:spacing w:val="-14"/>
          <w:w w:val="105"/>
          <w:sz w:val="21"/>
          <w:szCs w:val="21"/>
        </w:rPr>
        <w:t xml:space="preserve"> </w:t>
      </w:r>
      <w:r w:rsidRPr="004A0446">
        <w:rPr>
          <w:rFonts w:ascii="Abadi" w:hAnsi="Abadi" w:cs="Arial"/>
          <w:i/>
          <w:iCs/>
          <w:w w:val="105"/>
          <w:sz w:val="21"/>
          <w:szCs w:val="21"/>
        </w:rPr>
        <w:t>se</w:t>
      </w:r>
      <w:r w:rsidRPr="004A0446">
        <w:rPr>
          <w:rFonts w:ascii="Abadi" w:hAnsi="Abadi" w:cs="Arial"/>
          <w:i/>
          <w:iCs/>
          <w:spacing w:val="-14"/>
          <w:w w:val="105"/>
          <w:sz w:val="21"/>
          <w:szCs w:val="21"/>
        </w:rPr>
        <w:t xml:space="preserve"> </w:t>
      </w:r>
      <w:r w:rsidRPr="004A0446">
        <w:rPr>
          <w:rFonts w:ascii="Abadi" w:hAnsi="Abadi" w:cs="Arial"/>
          <w:i/>
          <w:iCs/>
          <w:w w:val="105"/>
          <w:sz w:val="21"/>
          <w:szCs w:val="21"/>
        </w:rPr>
        <w:t>limitan</w:t>
      </w:r>
      <w:r w:rsidRPr="004A0446">
        <w:rPr>
          <w:rFonts w:ascii="Abadi" w:hAnsi="Abadi" w:cs="Arial"/>
          <w:i/>
          <w:iCs/>
          <w:spacing w:val="-14"/>
          <w:w w:val="105"/>
          <w:sz w:val="21"/>
          <w:szCs w:val="21"/>
        </w:rPr>
        <w:t xml:space="preserve"> </w:t>
      </w:r>
      <w:r w:rsidRPr="004A0446">
        <w:rPr>
          <w:rFonts w:ascii="Abadi" w:hAnsi="Abadi" w:cs="Arial"/>
          <w:i/>
          <w:iCs/>
          <w:w w:val="105"/>
          <w:sz w:val="21"/>
          <w:szCs w:val="21"/>
        </w:rPr>
        <w:t>a</w:t>
      </w:r>
      <w:r w:rsidRPr="004A0446">
        <w:rPr>
          <w:rFonts w:ascii="Abadi" w:hAnsi="Abadi" w:cs="Arial"/>
          <w:i/>
          <w:iCs/>
          <w:spacing w:val="-14"/>
          <w:w w:val="105"/>
          <w:sz w:val="21"/>
          <w:szCs w:val="21"/>
        </w:rPr>
        <w:t xml:space="preserve"> </w:t>
      </w:r>
      <w:r w:rsidRPr="004A0446">
        <w:rPr>
          <w:rFonts w:ascii="Abadi" w:hAnsi="Abadi" w:cs="Arial"/>
          <w:i/>
          <w:iCs/>
          <w:w w:val="105"/>
          <w:sz w:val="21"/>
          <w:szCs w:val="21"/>
        </w:rPr>
        <w:t>acciones</w:t>
      </w:r>
      <w:r w:rsidRPr="004A0446">
        <w:rPr>
          <w:rFonts w:ascii="Abadi" w:hAnsi="Abadi" w:cs="Arial"/>
          <w:i/>
          <w:iCs/>
          <w:spacing w:val="-14"/>
          <w:w w:val="105"/>
          <w:sz w:val="21"/>
          <w:szCs w:val="21"/>
        </w:rPr>
        <w:t xml:space="preserve"> </w:t>
      </w:r>
      <w:r w:rsidRPr="004A0446">
        <w:rPr>
          <w:rFonts w:ascii="Abadi" w:hAnsi="Abadi" w:cs="Arial"/>
          <w:i/>
          <w:iCs/>
          <w:w w:val="105"/>
          <w:sz w:val="21"/>
          <w:szCs w:val="21"/>
        </w:rPr>
        <w:t>meramente</w:t>
      </w:r>
      <w:r w:rsidRPr="004A0446">
        <w:rPr>
          <w:rFonts w:ascii="Abadi" w:hAnsi="Abadi" w:cs="Arial"/>
          <w:i/>
          <w:iCs/>
          <w:spacing w:val="-13"/>
          <w:w w:val="105"/>
          <w:sz w:val="21"/>
          <w:szCs w:val="21"/>
        </w:rPr>
        <w:t xml:space="preserve"> </w:t>
      </w:r>
      <w:r w:rsidRPr="004A0446">
        <w:rPr>
          <w:rFonts w:ascii="Abadi" w:hAnsi="Abadi" w:cs="Arial"/>
          <w:i/>
          <w:iCs/>
          <w:w w:val="105"/>
          <w:sz w:val="21"/>
          <w:szCs w:val="21"/>
        </w:rPr>
        <w:t>burocráticas,</w:t>
      </w:r>
      <w:r w:rsidRPr="004A0446">
        <w:rPr>
          <w:rFonts w:ascii="Abadi" w:hAnsi="Abadi" w:cs="Arial"/>
          <w:i/>
          <w:iCs/>
          <w:spacing w:val="-13"/>
          <w:w w:val="105"/>
          <w:sz w:val="21"/>
          <w:szCs w:val="21"/>
        </w:rPr>
        <w:t xml:space="preserve"> </w:t>
      </w:r>
      <w:r w:rsidRPr="004A0446">
        <w:rPr>
          <w:rFonts w:ascii="Abadi" w:hAnsi="Abadi" w:cs="Arial"/>
          <w:i/>
          <w:iCs/>
          <w:w w:val="105"/>
          <w:sz w:val="21"/>
          <w:szCs w:val="21"/>
        </w:rPr>
        <w:t>como</w:t>
      </w:r>
      <w:r w:rsidRPr="004A0446">
        <w:rPr>
          <w:rFonts w:ascii="Abadi" w:hAnsi="Abadi" w:cs="Arial"/>
          <w:i/>
          <w:iCs/>
          <w:spacing w:val="-6"/>
          <w:w w:val="105"/>
          <w:sz w:val="21"/>
          <w:szCs w:val="21"/>
        </w:rPr>
        <w:t xml:space="preserve"> </w:t>
      </w:r>
      <w:r w:rsidRPr="004A0446">
        <w:rPr>
          <w:rFonts w:ascii="Abadi" w:hAnsi="Abadi" w:cs="Arial"/>
          <w:i/>
          <w:iCs/>
          <w:w w:val="105"/>
          <w:sz w:val="21"/>
          <w:szCs w:val="21"/>
        </w:rPr>
        <w:t>realizar</w:t>
      </w:r>
      <w:r w:rsidRPr="004A0446">
        <w:rPr>
          <w:rFonts w:ascii="Abadi" w:hAnsi="Abadi" w:cs="Arial"/>
          <w:i/>
          <w:iCs/>
          <w:spacing w:val="-14"/>
          <w:w w:val="105"/>
          <w:sz w:val="21"/>
          <w:szCs w:val="21"/>
        </w:rPr>
        <w:t xml:space="preserve"> </w:t>
      </w:r>
      <w:r w:rsidRPr="004A0446">
        <w:rPr>
          <w:rFonts w:ascii="Abadi" w:hAnsi="Abadi" w:cs="Arial"/>
          <w:i/>
          <w:iCs/>
          <w:w w:val="105"/>
          <w:sz w:val="21"/>
          <w:szCs w:val="21"/>
        </w:rPr>
        <w:t>estudios,</w:t>
      </w:r>
      <w:r w:rsidRPr="004A0446">
        <w:rPr>
          <w:rFonts w:ascii="Abadi" w:hAnsi="Abadi" w:cs="Arial"/>
          <w:i/>
          <w:iCs/>
          <w:spacing w:val="-8"/>
          <w:w w:val="105"/>
          <w:sz w:val="21"/>
          <w:szCs w:val="21"/>
        </w:rPr>
        <w:t xml:space="preserve"> </w:t>
      </w:r>
      <w:r w:rsidRPr="004A0446">
        <w:rPr>
          <w:rFonts w:ascii="Abadi" w:hAnsi="Abadi" w:cs="Arial"/>
          <w:i/>
          <w:iCs/>
          <w:w w:val="105"/>
          <w:sz w:val="21"/>
          <w:szCs w:val="21"/>
        </w:rPr>
        <w:t>capacitaciones,</w:t>
      </w:r>
      <w:r w:rsidRPr="004A0446">
        <w:rPr>
          <w:rFonts w:ascii="Abadi" w:hAnsi="Abadi" w:cs="Arial"/>
          <w:i/>
          <w:iCs/>
          <w:spacing w:val="-14"/>
          <w:w w:val="105"/>
          <w:sz w:val="21"/>
          <w:szCs w:val="21"/>
        </w:rPr>
        <w:t xml:space="preserve"> </w:t>
      </w:r>
      <w:r w:rsidRPr="004A0446">
        <w:rPr>
          <w:rFonts w:ascii="Abadi" w:hAnsi="Abadi" w:cs="Arial"/>
          <w:i/>
          <w:iCs/>
          <w:w w:val="105"/>
          <w:sz w:val="21"/>
          <w:szCs w:val="21"/>
        </w:rPr>
        <w:t>entre</w:t>
      </w:r>
      <w:r w:rsidRPr="004A0446">
        <w:rPr>
          <w:rFonts w:ascii="Abadi" w:hAnsi="Abadi" w:cs="Arial"/>
          <w:i/>
          <w:iCs/>
          <w:spacing w:val="-14"/>
          <w:w w:val="105"/>
          <w:sz w:val="21"/>
          <w:szCs w:val="21"/>
        </w:rPr>
        <w:t xml:space="preserve"> </w:t>
      </w:r>
      <w:r w:rsidRPr="004A0446">
        <w:rPr>
          <w:rFonts w:ascii="Abadi" w:hAnsi="Abadi" w:cs="Arial"/>
          <w:i/>
          <w:iCs/>
          <w:w w:val="105"/>
          <w:sz w:val="21"/>
          <w:szCs w:val="21"/>
        </w:rPr>
        <w:t>otras,</w:t>
      </w:r>
      <w:r w:rsidRPr="004A0446">
        <w:rPr>
          <w:rFonts w:ascii="Abadi" w:hAnsi="Abadi" w:cs="Arial"/>
          <w:i/>
          <w:iCs/>
          <w:spacing w:val="-14"/>
          <w:w w:val="105"/>
          <w:sz w:val="21"/>
          <w:szCs w:val="21"/>
        </w:rPr>
        <w:t xml:space="preserve"> </w:t>
      </w:r>
      <w:r w:rsidRPr="004A0446">
        <w:rPr>
          <w:rFonts w:ascii="Abadi" w:hAnsi="Abadi" w:cs="Arial"/>
          <w:i/>
          <w:iCs/>
          <w:w w:val="105"/>
          <w:sz w:val="21"/>
          <w:szCs w:val="21"/>
        </w:rPr>
        <w:t>sin atacar las condiciones que dieron origen a esa conducta, como pueden ser la pobreza, falta de</w:t>
      </w:r>
      <w:r w:rsidRPr="004A0446">
        <w:rPr>
          <w:rFonts w:ascii="Abadi" w:hAnsi="Abadi" w:cs="Arial"/>
          <w:i/>
          <w:iCs/>
          <w:spacing w:val="-1"/>
          <w:w w:val="105"/>
          <w:sz w:val="21"/>
          <w:szCs w:val="21"/>
        </w:rPr>
        <w:t xml:space="preserve"> </w:t>
      </w:r>
      <w:r w:rsidRPr="004A0446">
        <w:rPr>
          <w:rFonts w:ascii="Abadi" w:hAnsi="Abadi" w:cs="Arial"/>
          <w:i/>
          <w:iCs/>
          <w:w w:val="105"/>
          <w:sz w:val="21"/>
          <w:szCs w:val="21"/>
        </w:rPr>
        <w:t>oportunidades, adicciones, enfermedades mentales, etc.</w:t>
      </w:r>
    </w:p>
    <w:p w14:paraId="42825886" w14:textId="77777777" w:rsidR="00E3434F" w:rsidRPr="004A0446" w:rsidRDefault="00E3434F" w:rsidP="00F3730A">
      <w:pPr>
        <w:tabs>
          <w:tab w:val="left" w:pos="13325"/>
        </w:tabs>
        <w:spacing w:before="6"/>
        <w:ind w:left="-142" w:right="303" w:firstLine="142"/>
        <w:jc w:val="both"/>
        <w:rPr>
          <w:rFonts w:ascii="Abadi" w:hAnsi="Abadi" w:cs="Arial"/>
          <w:b/>
          <w:bCs/>
          <w:i/>
          <w:iCs/>
          <w:sz w:val="21"/>
          <w:szCs w:val="21"/>
          <w:lang w:val="es-MX"/>
        </w:rPr>
      </w:pPr>
    </w:p>
    <w:p w14:paraId="1D8AE1F3" w14:textId="77777777" w:rsidR="00E3434F" w:rsidRPr="004A0446" w:rsidRDefault="00E3434F" w:rsidP="00F3730A">
      <w:pPr>
        <w:tabs>
          <w:tab w:val="left" w:pos="13325"/>
        </w:tabs>
        <w:ind w:left="1134" w:right="567" w:firstLine="567"/>
        <w:jc w:val="both"/>
        <w:rPr>
          <w:rFonts w:ascii="Abadi" w:hAnsi="Abadi" w:cs="Arial"/>
          <w:i/>
          <w:iCs/>
          <w:sz w:val="21"/>
          <w:szCs w:val="21"/>
          <w:lang w:val="es-MX"/>
        </w:rPr>
      </w:pPr>
      <w:r w:rsidRPr="004A0446">
        <w:rPr>
          <w:rFonts w:ascii="Abadi" w:hAnsi="Abadi" w:cs="Arial"/>
          <w:i/>
          <w:iCs/>
          <w:w w:val="105"/>
          <w:sz w:val="21"/>
          <w:szCs w:val="21"/>
          <w:lang w:val="es-MX"/>
        </w:rPr>
        <w:t>Del</w:t>
      </w:r>
      <w:r w:rsidRPr="004A0446">
        <w:rPr>
          <w:rFonts w:ascii="Abadi" w:hAnsi="Abadi" w:cs="Arial"/>
          <w:i/>
          <w:iCs/>
          <w:spacing w:val="-11"/>
          <w:w w:val="105"/>
          <w:sz w:val="21"/>
          <w:szCs w:val="21"/>
          <w:lang w:val="es-MX"/>
        </w:rPr>
        <w:t xml:space="preserve"> </w:t>
      </w:r>
      <w:r w:rsidRPr="004A0446">
        <w:rPr>
          <w:rFonts w:ascii="Abadi" w:hAnsi="Abadi" w:cs="Arial"/>
          <w:i/>
          <w:iCs/>
          <w:w w:val="105"/>
          <w:sz w:val="21"/>
          <w:szCs w:val="21"/>
          <w:lang w:val="es-MX"/>
        </w:rPr>
        <w:t>análisis</w:t>
      </w:r>
      <w:r w:rsidRPr="004A0446">
        <w:rPr>
          <w:rFonts w:ascii="Abadi" w:hAnsi="Abadi" w:cs="Arial"/>
          <w:i/>
          <w:iCs/>
          <w:spacing w:val="-6"/>
          <w:w w:val="105"/>
          <w:sz w:val="21"/>
          <w:szCs w:val="21"/>
          <w:lang w:val="es-MX"/>
        </w:rPr>
        <w:t xml:space="preserve"> </w:t>
      </w:r>
      <w:r w:rsidRPr="004A0446">
        <w:rPr>
          <w:rFonts w:ascii="Abadi" w:hAnsi="Abadi" w:cs="Arial"/>
          <w:i/>
          <w:iCs/>
          <w:w w:val="105"/>
          <w:sz w:val="21"/>
          <w:szCs w:val="21"/>
          <w:lang w:val="es-MX"/>
        </w:rPr>
        <w:t>de</w:t>
      </w:r>
      <w:r w:rsidRPr="004A0446">
        <w:rPr>
          <w:rFonts w:ascii="Abadi" w:hAnsi="Abadi" w:cs="Arial"/>
          <w:i/>
          <w:iCs/>
          <w:spacing w:val="-13"/>
          <w:w w:val="105"/>
          <w:sz w:val="21"/>
          <w:szCs w:val="21"/>
          <w:lang w:val="es-MX"/>
        </w:rPr>
        <w:t xml:space="preserve"> </w:t>
      </w:r>
      <w:r w:rsidRPr="004A0446">
        <w:rPr>
          <w:rFonts w:ascii="Abadi" w:hAnsi="Abadi" w:cs="Arial"/>
          <w:i/>
          <w:iCs/>
          <w:w w:val="105"/>
          <w:sz w:val="21"/>
          <w:szCs w:val="21"/>
          <w:lang w:val="es-MX"/>
        </w:rPr>
        <w:t>la</w:t>
      </w:r>
      <w:r w:rsidRPr="004A0446">
        <w:rPr>
          <w:rFonts w:ascii="Abadi" w:hAnsi="Abadi" w:cs="Arial"/>
          <w:i/>
          <w:iCs/>
          <w:spacing w:val="-6"/>
          <w:w w:val="105"/>
          <w:sz w:val="21"/>
          <w:szCs w:val="21"/>
          <w:lang w:val="es-MX"/>
        </w:rPr>
        <w:t xml:space="preserve"> </w:t>
      </w:r>
      <w:r w:rsidRPr="004A0446">
        <w:rPr>
          <w:rFonts w:ascii="Abadi" w:hAnsi="Abadi" w:cs="Arial"/>
          <w:i/>
          <w:iCs/>
          <w:w w:val="105"/>
          <w:sz w:val="21"/>
          <w:szCs w:val="21"/>
          <w:lang w:val="es-MX"/>
        </w:rPr>
        <w:t>presente</w:t>
      </w:r>
      <w:r w:rsidRPr="004A0446">
        <w:rPr>
          <w:rFonts w:ascii="Abadi" w:hAnsi="Abadi" w:cs="Arial"/>
          <w:i/>
          <w:iCs/>
          <w:spacing w:val="-5"/>
          <w:w w:val="105"/>
          <w:sz w:val="21"/>
          <w:szCs w:val="21"/>
          <w:lang w:val="es-MX"/>
        </w:rPr>
        <w:t xml:space="preserve"> </w:t>
      </w:r>
      <w:r w:rsidRPr="004A0446">
        <w:rPr>
          <w:rFonts w:ascii="Abadi" w:hAnsi="Abadi" w:cs="Arial"/>
          <w:i/>
          <w:iCs/>
          <w:w w:val="105"/>
          <w:sz w:val="21"/>
          <w:szCs w:val="21"/>
          <w:lang w:val="es-MX"/>
        </w:rPr>
        <w:t>iniciativa se</w:t>
      </w:r>
      <w:r w:rsidRPr="004A0446">
        <w:rPr>
          <w:rFonts w:ascii="Abadi" w:hAnsi="Abadi" w:cs="Arial"/>
          <w:i/>
          <w:iCs/>
          <w:spacing w:val="-13"/>
          <w:w w:val="105"/>
          <w:sz w:val="21"/>
          <w:szCs w:val="21"/>
          <w:lang w:val="es-MX"/>
        </w:rPr>
        <w:t xml:space="preserve"> </w:t>
      </w:r>
      <w:r w:rsidRPr="004A0446">
        <w:rPr>
          <w:rFonts w:ascii="Abadi" w:hAnsi="Abadi" w:cs="Arial"/>
          <w:i/>
          <w:iCs/>
          <w:w w:val="105"/>
          <w:sz w:val="21"/>
          <w:szCs w:val="21"/>
          <w:lang w:val="es-MX"/>
        </w:rPr>
        <w:t>incumple</w:t>
      </w:r>
      <w:r w:rsidRPr="004A0446">
        <w:rPr>
          <w:rFonts w:ascii="Abadi" w:hAnsi="Abadi" w:cs="Arial"/>
          <w:i/>
          <w:iCs/>
          <w:spacing w:val="-2"/>
          <w:w w:val="105"/>
          <w:sz w:val="21"/>
          <w:szCs w:val="21"/>
          <w:lang w:val="es-MX"/>
        </w:rPr>
        <w:t xml:space="preserve"> </w:t>
      </w:r>
      <w:r w:rsidRPr="004A0446">
        <w:rPr>
          <w:rFonts w:ascii="Abadi" w:hAnsi="Abadi" w:cs="Arial"/>
          <w:i/>
          <w:iCs/>
          <w:w w:val="105"/>
          <w:sz w:val="21"/>
          <w:szCs w:val="21"/>
          <w:lang w:val="es-MX"/>
        </w:rPr>
        <w:t>con</w:t>
      </w:r>
      <w:r w:rsidRPr="004A0446">
        <w:rPr>
          <w:rFonts w:ascii="Abadi" w:hAnsi="Abadi" w:cs="Arial"/>
          <w:i/>
          <w:iCs/>
          <w:spacing w:val="-7"/>
          <w:w w:val="105"/>
          <w:sz w:val="21"/>
          <w:szCs w:val="21"/>
          <w:lang w:val="es-MX"/>
        </w:rPr>
        <w:t xml:space="preserve"> </w:t>
      </w:r>
      <w:r w:rsidRPr="004A0446">
        <w:rPr>
          <w:rFonts w:ascii="Abadi" w:hAnsi="Abadi" w:cs="Arial"/>
          <w:i/>
          <w:iCs/>
          <w:w w:val="105"/>
          <w:sz w:val="21"/>
          <w:szCs w:val="21"/>
          <w:lang w:val="es-MX"/>
        </w:rPr>
        <w:t>lo</w:t>
      </w:r>
      <w:r w:rsidRPr="004A0446">
        <w:rPr>
          <w:rFonts w:ascii="Abadi" w:hAnsi="Abadi" w:cs="Arial"/>
          <w:i/>
          <w:iCs/>
          <w:spacing w:val="-12"/>
          <w:w w:val="105"/>
          <w:sz w:val="21"/>
          <w:szCs w:val="21"/>
          <w:lang w:val="es-MX"/>
        </w:rPr>
        <w:t xml:space="preserve"> </w:t>
      </w:r>
      <w:r w:rsidRPr="004A0446">
        <w:rPr>
          <w:rFonts w:ascii="Abadi" w:hAnsi="Abadi" w:cs="Arial"/>
          <w:i/>
          <w:iCs/>
          <w:w w:val="105"/>
          <w:sz w:val="21"/>
          <w:szCs w:val="21"/>
          <w:lang w:val="es-MX"/>
        </w:rPr>
        <w:t>establecido en</w:t>
      </w:r>
      <w:r w:rsidRPr="004A0446">
        <w:rPr>
          <w:rFonts w:ascii="Abadi" w:hAnsi="Abadi" w:cs="Arial"/>
          <w:i/>
          <w:iCs/>
          <w:spacing w:val="-13"/>
          <w:w w:val="105"/>
          <w:sz w:val="21"/>
          <w:szCs w:val="21"/>
          <w:lang w:val="es-MX"/>
        </w:rPr>
        <w:t xml:space="preserve"> </w:t>
      </w:r>
      <w:r w:rsidRPr="004A0446">
        <w:rPr>
          <w:rFonts w:ascii="Abadi" w:hAnsi="Abadi" w:cs="Arial"/>
          <w:i/>
          <w:iCs/>
          <w:w w:val="105"/>
          <w:sz w:val="21"/>
          <w:szCs w:val="21"/>
          <w:lang w:val="es-MX"/>
        </w:rPr>
        <w:t>el</w:t>
      </w:r>
      <w:r w:rsidRPr="004A0446">
        <w:rPr>
          <w:rFonts w:ascii="Abadi" w:hAnsi="Abadi" w:cs="Arial"/>
          <w:i/>
          <w:iCs/>
          <w:spacing w:val="-6"/>
          <w:w w:val="105"/>
          <w:sz w:val="21"/>
          <w:szCs w:val="21"/>
          <w:lang w:val="es-MX"/>
        </w:rPr>
        <w:t xml:space="preserve"> </w:t>
      </w:r>
      <w:r w:rsidRPr="004A0446">
        <w:rPr>
          <w:rFonts w:ascii="Abadi" w:hAnsi="Abadi" w:cs="Arial"/>
          <w:i/>
          <w:iCs/>
          <w:w w:val="105"/>
          <w:sz w:val="21"/>
          <w:szCs w:val="21"/>
          <w:lang w:val="es-MX"/>
        </w:rPr>
        <w:t>numeral 209</w:t>
      </w:r>
      <w:r w:rsidRPr="004A0446">
        <w:rPr>
          <w:rFonts w:ascii="Abadi" w:hAnsi="Abadi" w:cs="Arial"/>
          <w:i/>
          <w:iCs/>
          <w:spacing w:val="-10"/>
          <w:w w:val="105"/>
          <w:sz w:val="21"/>
          <w:szCs w:val="21"/>
          <w:lang w:val="es-MX"/>
        </w:rPr>
        <w:t xml:space="preserve"> </w:t>
      </w:r>
      <w:r w:rsidRPr="004A0446">
        <w:rPr>
          <w:rFonts w:ascii="Abadi" w:hAnsi="Abadi" w:cs="Arial"/>
          <w:i/>
          <w:iCs/>
          <w:w w:val="105"/>
          <w:sz w:val="21"/>
          <w:szCs w:val="21"/>
          <w:lang w:val="es-MX"/>
        </w:rPr>
        <w:t>de</w:t>
      </w:r>
      <w:r w:rsidRPr="004A0446">
        <w:rPr>
          <w:rFonts w:ascii="Abadi" w:hAnsi="Abadi" w:cs="Arial"/>
          <w:i/>
          <w:iCs/>
          <w:spacing w:val="-13"/>
          <w:w w:val="105"/>
          <w:sz w:val="21"/>
          <w:szCs w:val="21"/>
          <w:lang w:val="es-MX"/>
        </w:rPr>
        <w:t xml:space="preserve"> </w:t>
      </w:r>
      <w:r w:rsidRPr="004A0446">
        <w:rPr>
          <w:rFonts w:ascii="Abadi" w:hAnsi="Abadi" w:cs="Arial"/>
          <w:i/>
          <w:iCs/>
          <w:w w:val="105"/>
          <w:sz w:val="21"/>
          <w:szCs w:val="21"/>
          <w:lang w:val="es-MX"/>
        </w:rPr>
        <w:t>la</w:t>
      </w:r>
      <w:r w:rsidRPr="004A0446">
        <w:rPr>
          <w:rFonts w:ascii="Abadi" w:hAnsi="Abadi" w:cs="Arial"/>
          <w:i/>
          <w:iCs/>
          <w:spacing w:val="-10"/>
          <w:w w:val="105"/>
          <w:sz w:val="21"/>
          <w:szCs w:val="21"/>
          <w:lang w:val="es-MX"/>
        </w:rPr>
        <w:t xml:space="preserve"> </w:t>
      </w:r>
      <w:r w:rsidRPr="004A0446">
        <w:rPr>
          <w:rFonts w:ascii="Abadi" w:hAnsi="Abadi" w:cs="Arial"/>
          <w:i/>
          <w:iCs/>
          <w:w w:val="105"/>
          <w:sz w:val="21"/>
          <w:szCs w:val="21"/>
          <w:lang w:val="es-MX"/>
        </w:rPr>
        <w:t>Ley</w:t>
      </w:r>
      <w:r w:rsidRPr="004A0446">
        <w:rPr>
          <w:rFonts w:ascii="Abadi" w:hAnsi="Abadi" w:cs="Arial"/>
          <w:i/>
          <w:iCs/>
          <w:spacing w:val="-7"/>
          <w:w w:val="105"/>
          <w:sz w:val="21"/>
          <w:szCs w:val="21"/>
          <w:lang w:val="es-MX"/>
        </w:rPr>
        <w:t xml:space="preserve"> </w:t>
      </w:r>
      <w:r w:rsidRPr="004A0446">
        <w:rPr>
          <w:rFonts w:ascii="Abadi" w:hAnsi="Abadi" w:cs="Arial"/>
          <w:i/>
          <w:iCs/>
          <w:w w:val="105"/>
          <w:sz w:val="21"/>
          <w:szCs w:val="21"/>
          <w:lang w:val="es-MX"/>
        </w:rPr>
        <w:t>Orgánica del Poder Legislativo, ya que es necesario realizar entre otros, un</w:t>
      </w:r>
      <w:r w:rsidRPr="004A0446">
        <w:rPr>
          <w:rFonts w:ascii="Abadi" w:hAnsi="Abadi" w:cs="Arial"/>
          <w:i/>
          <w:iCs/>
          <w:spacing w:val="-4"/>
          <w:w w:val="105"/>
          <w:sz w:val="21"/>
          <w:szCs w:val="21"/>
          <w:lang w:val="es-MX"/>
        </w:rPr>
        <w:t xml:space="preserve"> </w:t>
      </w:r>
      <w:r w:rsidRPr="004A0446">
        <w:rPr>
          <w:rFonts w:ascii="Abadi" w:hAnsi="Abadi" w:cs="Arial"/>
          <w:i/>
          <w:iCs/>
          <w:w w:val="105"/>
          <w:sz w:val="21"/>
          <w:szCs w:val="21"/>
          <w:lang w:val="es-MX"/>
        </w:rPr>
        <w:t>análisis presupuestario,</w:t>
      </w:r>
      <w:r w:rsidRPr="004A0446">
        <w:rPr>
          <w:rFonts w:ascii="Abadi" w:hAnsi="Abadi" w:cs="Arial"/>
          <w:i/>
          <w:iCs/>
          <w:spacing w:val="-10"/>
          <w:w w:val="105"/>
          <w:sz w:val="21"/>
          <w:szCs w:val="21"/>
          <w:lang w:val="es-MX"/>
        </w:rPr>
        <w:t xml:space="preserve"> </w:t>
      </w:r>
      <w:r w:rsidRPr="004A0446">
        <w:rPr>
          <w:rFonts w:ascii="Abadi" w:hAnsi="Abadi" w:cs="Arial"/>
          <w:i/>
          <w:iCs/>
          <w:w w:val="105"/>
          <w:sz w:val="21"/>
          <w:szCs w:val="21"/>
          <w:lang w:val="es-MX"/>
        </w:rPr>
        <w:t>el</w:t>
      </w:r>
      <w:r w:rsidRPr="004A0446">
        <w:rPr>
          <w:rFonts w:ascii="Abadi" w:hAnsi="Abadi" w:cs="Arial"/>
          <w:i/>
          <w:iCs/>
          <w:spacing w:val="-1"/>
          <w:w w:val="105"/>
          <w:sz w:val="21"/>
          <w:szCs w:val="21"/>
          <w:lang w:val="es-MX"/>
        </w:rPr>
        <w:t xml:space="preserve"> </w:t>
      </w:r>
      <w:r w:rsidRPr="004A0446">
        <w:rPr>
          <w:rFonts w:ascii="Abadi" w:hAnsi="Abadi" w:cs="Arial"/>
          <w:i/>
          <w:iCs/>
          <w:w w:val="105"/>
          <w:sz w:val="21"/>
          <w:szCs w:val="21"/>
          <w:lang w:val="es-MX"/>
        </w:rPr>
        <w:t>cual se</w:t>
      </w:r>
      <w:r w:rsidRPr="004A0446">
        <w:rPr>
          <w:rFonts w:ascii="Abadi" w:hAnsi="Abadi" w:cs="Arial"/>
          <w:i/>
          <w:iCs/>
          <w:spacing w:val="-2"/>
          <w:w w:val="105"/>
          <w:sz w:val="21"/>
          <w:szCs w:val="21"/>
          <w:lang w:val="es-MX"/>
        </w:rPr>
        <w:t xml:space="preserve"> </w:t>
      </w:r>
      <w:r w:rsidRPr="004A0446">
        <w:rPr>
          <w:rFonts w:ascii="Abadi" w:hAnsi="Abadi" w:cs="Arial"/>
          <w:i/>
          <w:iCs/>
          <w:w w:val="105"/>
          <w:sz w:val="21"/>
          <w:szCs w:val="21"/>
          <w:lang w:val="es-MX"/>
        </w:rPr>
        <w:t>expone de manera muy breve</w:t>
      </w:r>
      <w:r w:rsidRPr="004A0446">
        <w:rPr>
          <w:rFonts w:ascii="Abadi" w:hAnsi="Abadi" w:cs="Arial"/>
          <w:i/>
          <w:iCs/>
          <w:spacing w:val="-4"/>
          <w:w w:val="105"/>
          <w:sz w:val="21"/>
          <w:szCs w:val="21"/>
          <w:lang w:val="es-MX"/>
        </w:rPr>
        <w:t xml:space="preserve"> </w:t>
      </w:r>
      <w:r w:rsidRPr="004A0446">
        <w:rPr>
          <w:rFonts w:ascii="Abadi" w:hAnsi="Abadi" w:cs="Arial"/>
          <w:i/>
          <w:iCs/>
          <w:w w:val="105"/>
          <w:sz w:val="21"/>
          <w:szCs w:val="21"/>
          <w:lang w:val="es-MX"/>
        </w:rPr>
        <w:t>en</w:t>
      </w:r>
      <w:r w:rsidRPr="004A0446">
        <w:rPr>
          <w:rFonts w:ascii="Abadi" w:hAnsi="Abadi" w:cs="Arial"/>
          <w:i/>
          <w:iCs/>
          <w:spacing w:val="-7"/>
          <w:w w:val="105"/>
          <w:sz w:val="21"/>
          <w:szCs w:val="21"/>
          <w:lang w:val="es-MX"/>
        </w:rPr>
        <w:t xml:space="preserve"> </w:t>
      </w:r>
      <w:r w:rsidRPr="004A0446">
        <w:rPr>
          <w:rFonts w:ascii="Abadi" w:hAnsi="Abadi" w:cs="Arial"/>
          <w:i/>
          <w:iCs/>
          <w:w w:val="105"/>
          <w:sz w:val="21"/>
          <w:szCs w:val="21"/>
          <w:lang w:val="es-MX"/>
        </w:rPr>
        <w:t>unos</w:t>
      </w:r>
      <w:r w:rsidRPr="004A0446">
        <w:rPr>
          <w:rFonts w:ascii="Abadi" w:hAnsi="Abadi" w:cs="Arial"/>
          <w:i/>
          <w:iCs/>
          <w:spacing w:val="-4"/>
          <w:w w:val="105"/>
          <w:sz w:val="21"/>
          <w:szCs w:val="21"/>
          <w:lang w:val="es-MX"/>
        </w:rPr>
        <w:t xml:space="preserve"> </w:t>
      </w:r>
      <w:r w:rsidRPr="004A0446">
        <w:rPr>
          <w:rFonts w:ascii="Abadi" w:hAnsi="Abadi" w:cs="Arial"/>
          <w:i/>
          <w:iCs/>
          <w:w w:val="105"/>
          <w:sz w:val="21"/>
          <w:szCs w:val="21"/>
          <w:lang w:val="es-MX"/>
        </w:rPr>
        <w:t>cuantos párrafos, sin</w:t>
      </w:r>
      <w:r w:rsidRPr="004A0446">
        <w:rPr>
          <w:rFonts w:ascii="Abadi" w:hAnsi="Abadi" w:cs="Arial"/>
          <w:i/>
          <w:iCs/>
          <w:spacing w:val="-6"/>
          <w:w w:val="105"/>
          <w:sz w:val="21"/>
          <w:szCs w:val="21"/>
          <w:lang w:val="es-MX"/>
        </w:rPr>
        <w:t xml:space="preserve"> </w:t>
      </w:r>
      <w:r w:rsidRPr="004A0446">
        <w:rPr>
          <w:rFonts w:ascii="Abadi" w:hAnsi="Abadi" w:cs="Arial"/>
          <w:i/>
          <w:iCs/>
          <w:w w:val="105"/>
          <w:sz w:val="21"/>
          <w:szCs w:val="21"/>
          <w:lang w:val="es-MX"/>
        </w:rPr>
        <w:t>ahondar en</w:t>
      </w:r>
      <w:r w:rsidRPr="004A0446">
        <w:rPr>
          <w:rFonts w:ascii="Abadi" w:hAnsi="Abadi" w:cs="Arial"/>
          <w:i/>
          <w:iCs/>
          <w:spacing w:val="-11"/>
          <w:w w:val="105"/>
          <w:sz w:val="21"/>
          <w:szCs w:val="21"/>
          <w:lang w:val="es-MX"/>
        </w:rPr>
        <w:t xml:space="preserve"> </w:t>
      </w:r>
      <w:r w:rsidRPr="004A0446">
        <w:rPr>
          <w:rFonts w:ascii="Abadi" w:hAnsi="Abadi" w:cs="Arial"/>
          <w:i/>
          <w:iCs/>
          <w:w w:val="105"/>
          <w:sz w:val="21"/>
          <w:szCs w:val="21"/>
          <w:lang w:val="es-MX"/>
        </w:rPr>
        <w:t>el</w:t>
      </w:r>
      <w:r w:rsidRPr="004A0446">
        <w:rPr>
          <w:rFonts w:ascii="Abadi" w:hAnsi="Abadi" w:cs="Arial"/>
          <w:i/>
          <w:iCs/>
          <w:spacing w:val="-8"/>
          <w:w w:val="105"/>
          <w:sz w:val="21"/>
          <w:szCs w:val="21"/>
          <w:lang w:val="es-MX"/>
        </w:rPr>
        <w:t xml:space="preserve"> </w:t>
      </w:r>
      <w:r w:rsidRPr="004A0446">
        <w:rPr>
          <w:rFonts w:ascii="Abadi" w:hAnsi="Abadi" w:cs="Arial"/>
          <w:i/>
          <w:iCs/>
          <w:w w:val="105"/>
          <w:sz w:val="21"/>
          <w:szCs w:val="21"/>
          <w:lang w:val="es-MX"/>
        </w:rPr>
        <w:t>fondo</w:t>
      </w:r>
      <w:r w:rsidRPr="004A0446">
        <w:rPr>
          <w:rFonts w:ascii="Abadi" w:hAnsi="Abadi" w:cs="Arial"/>
          <w:i/>
          <w:iCs/>
          <w:spacing w:val="-4"/>
          <w:w w:val="105"/>
          <w:sz w:val="21"/>
          <w:szCs w:val="21"/>
          <w:lang w:val="es-MX"/>
        </w:rPr>
        <w:t xml:space="preserve"> </w:t>
      </w:r>
      <w:r w:rsidRPr="004A0446">
        <w:rPr>
          <w:rFonts w:ascii="Abadi" w:hAnsi="Abadi" w:cs="Arial"/>
          <w:i/>
          <w:iCs/>
          <w:w w:val="105"/>
          <w:sz w:val="21"/>
          <w:szCs w:val="21"/>
          <w:lang w:val="es-MX"/>
        </w:rPr>
        <w:t>de</w:t>
      </w:r>
      <w:r w:rsidRPr="004A0446">
        <w:rPr>
          <w:rFonts w:ascii="Abadi" w:hAnsi="Abadi" w:cs="Arial"/>
          <w:i/>
          <w:iCs/>
          <w:spacing w:val="-6"/>
          <w:w w:val="105"/>
          <w:sz w:val="21"/>
          <w:szCs w:val="21"/>
          <w:lang w:val="es-MX"/>
        </w:rPr>
        <w:t xml:space="preserve"> </w:t>
      </w:r>
      <w:r w:rsidRPr="004A0446">
        <w:rPr>
          <w:rFonts w:ascii="Abadi" w:hAnsi="Abadi" w:cs="Arial"/>
          <w:i/>
          <w:iCs/>
          <w:w w:val="105"/>
          <w:sz w:val="21"/>
          <w:szCs w:val="21"/>
          <w:lang w:val="es-MX"/>
        </w:rPr>
        <w:t>la</w:t>
      </w:r>
      <w:r w:rsidRPr="004A0446">
        <w:rPr>
          <w:rFonts w:ascii="Abadi" w:hAnsi="Abadi" w:cs="Arial"/>
          <w:i/>
          <w:iCs/>
          <w:spacing w:val="-4"/>
          <w:w w:val="105"/>
          <w:sz w:val="21"/>
          <w:szCs w:val="21"/>
          <w:lang w:val="es-MX"/>
        </w:rPr>
        <w:t xml:space="preserve"> </w:t>
      </w:r>
      <w:r w:rsidRPr="004A0446">
        <w:rPr>
          <w:rFonts w:ascii="Abadi" w:hAnsi="Abadi" w:cs="Arial"/>
          <w:i/>
          <w:iCs/>
          <w:w w:val="105"/>
          <w:sz w:val="21"/>
          <w:szCs w:val="21"/>
          <w:lang w:val="es-MX"/>
        </w:rPr>
        <w:t>materia</w:t>
      </w:r>
      <w:r w:rsidRPr="004A0446">
        <w:rPr>
          <w:rFonts w:ascii="Abadi" w:hAnsi="Abadi" w:cs="Arial"/>
          <w:i/>
          <w:iCs/>
          <w:spacing w:val="-1"/>
          <w:w w:val="105"/>
          <w:sz w:val="21"/>
          <w:szCs w:val="21"/>
          <w:lang w:val="es-MX"/>
        </w:rPr>
        <w:t xml:space="preserve"> </w:t>
      </w:r>
      <w:r w:rsidRPr="004A0446">
        <w:rPr>
          <w:rFonts w:ascii="Abadi" w:hAnsi="Abadi" w:cs="Arial"/>
          <w:i/>
          <w:iCs/>
          <w:w w:val="105"/>
          <w:sz w:val="21"/>
          <w:szCs w:val="21"/>
          <w:lang w:val="es-MX"/>
        </w:rPr>
        <w:t>del</w:t>
      </w:r>
      <w:r w:rsidRPr="004A0446">
        <w:rPr>
          <w:rFonts w:ascii="Abadi" w:hAnsi="Abadi" w:cs="Arial"/>
          <w:i/>
          <w:iCs/>
          <w:spacing w:val="-6"/>
          <w:w w:val="105"/>
          <w:sz w:val="21"/>
          <w:szCs w:val="21"/>
          <w:lang w:val="es-MX"/>
        </w:rPr>
        <w:t xml:space="preserve"> </w:t>
      </w:r>
      <w:r w:rsidRPr="004A0446">
        <w:rPr>
          <w:rFonts w:ascii="Abadi" w:hAnsi="Abadi" w:cs="Arial"/>
          <w:i/>
          <w:iCs/>
          <w:w w:val="105"/>
          <w:sz w:val="21"/>
          <w:szCs w:val="21"/>
          <w:lang w:val="es-MX"/>
        </w:rPr>
        <w:t>suicidio. Esto</w:t>
      </w:r>
      <w:r w:rsidRPr="004A0446">
        <w:rPr>
          <w:rFonts w:ascii="Abadi" w:hAnsi="Abadi" w:cs="Arial"/>
          <w:i/>
          <w:iCs/>
          <w:spacing w:val="-6"/>
          <w:w w:val="105"/>
          <w:sz w:val="21"/>
          <w:szCs w:val="21"/>
          <w:lang w:val="es-MX"/>
        </w:rPr>
        <w:t xml:space="preserve"> </w:t>
      </w:r>
      <w:r w:rsidRPr="004A0446">
        <w:rPr>
          <w:rFonts w:ascii="Abadi" w:hAnsi="Abadi" w:cs="Arial"/>
          <w:i/>
          <w:iCs/>
          <w:w w:val="105"/>
          <w:sz w:val="21"/>
          <w:szCs w:val="21"/>
          <w:lang w:val="es-MX"/>
        </w:rPr>
        <w:t>se</w:t>
      </w:r>
      <w:r w:rsidRPr="004A0446">
        <w:rPr>
          <w:rFonts w:ascii="Abadi" w:hAnsi="Abadi" w:cs="Arial"/>
          <w:i/>
          <w:iCs/>
          <w:spacing w:val="-2"/>
          <w:w w:val="105"/>
          <w:sz w:val="21"/>
          <w:szCs w:val="21"/>
          <w:lang w:val="es-MX"/>
        </w:rPr>
        <w:t xml:space="preserve"> </w:t>
      </w:r>
      <w:r w:rsidRPr="004A0446">
        <w:rPr>
          <w:rFonts w:ascii="Abadi" w:hAnsi="Abadi" w:cs="Arial"/>
          <w:i/>
          <w:iCs/>
          <w:w w:val="105"/>
          <w:sz w:val="21"/>
          <w:szCs w:val="21"/>
          <w:lang w:val="es-MX"/>
        </w:rPr>
        <w:t>hace</w:t>
      </w:r>
      <w:r w:rsidRPr="004A0446">
        <w:rPr>
          <w:rFonts w:ascii="Abadi" w:hAnsi="Abadi" w:cs="Arial"/>
          <w:i/>
          <w:iCs/>
          <w:spacing w:val="-7"/>
          <w:w w:val="105"/>
          <w:sz w:val="21"/>
          <w:szCs w:val="21"/>
          <w:lang w:val="es-MX"/>
        </w:rPr>
        <w:t xml:space="preserve"> </w:t>
      </w:r>
      <w:r w:rsidRPr="004A0446">
        <w:rPr>
          <w:rFonts w:ascii="Abadi" w:hAnsi="Abadi" w:cs="Arial"/>
          <w:i/>
          <w:iCs/>
          <w:w w:val="105"/>
          <w:sz w:val="21"/>
          <w:szCs w:val="21"/>
          <w:lang w:val="es-MX"/>
        </w:rPr>
        <w:t>de manifiesto</w:t>
      </w:r>
      <w:r w:rsidRPr="004A0446">
        <w:rPr>
          <w:rFonts w:ascii="Abadi" w:hAnsi="Abadi" w:cs="Arial"/>
          <w:i/>
          <w:iCs/>
          <w:spacing w:val="-3"/>
          <w:w w:val="105"/>
          <w:sz w:val="21"/>
          <w:szCs w:val="21"/>
          <w:lang w:val="es-MX"/>
        </w:rPr>
        <w:t xml:space="preserve"> </w:t>
      </w:r>
      <w:r w:rsidRPr="004A0446">
        <w:rPr>
          <w:rFonts w:ascii="Abadi" w:hAnsi="Abadi" w:cs="Arial"/>
          <w:i/>
          <w:iCs/>
          <w:w w:val="105"/>
          <w:sz w:val="21"/>
          <w:szCs w:val="21"/>
          <w:lang w:val="es-MX"/>
        </w:rPr>
        <w:t>en</w:t>
      </w:r>
      <w:r w:rsidRPr="004A0446">
        <w:rPr>
          <w:rFonts w:ascii="Abadi" w:hAnsi="Abadi" w:cs="Arial"/>
          <w:i/>
          <w:iCs/>
          <w:spacing w:val="-6"/>
          <w:w w:val="105"/>
          <w:sz w:val="21"/>
          <w:szCs w:val="21"/>
          <w:lang w:val="es-MX"/>
        </w:rPr>
        <w:t xml:space="preserve"> </w:t>
      </w:r>
      <w:r w:rsidRPr="004A0446">
        <w:rPr>
          <w:rFonts w:ascii="Abadi" w:hAnsi="Abadi" w:cs="Arial"/>
          <w:i/>
          <w:iCs/>
          <w:w w:val="105"/>
          <w:sz w:val="21"/>
          <w:szCs w:val="21"/>
          <w:lang w:val="es-MX"/>
        </w:rPr>
        <w:t>el</w:t>
      </w:r>
      <w:r w:rsidRPr="004A0446">
        <w:rPr>
          <w:rFonts w:ascii="Abadi" w:hAnsi="Abadi" w:cs="Arial"/>
          <w:i/>
          <w:iCs/>
          <w:spacing w:val="-9"/>
          <w:w w:val="105"/>
          <w:sz w:val="21"/>
          <w:szCs w:val="21"/>
          <w:lang w:val="es-MX"/>
        </w:rPr>
        <w:t xml:space="preserve"> </w:t>
      </w:r>
      <w:r w:rsidRPr="004A0446">
        <w:rPr>
          <w:rFonts w:ascii="Abadi" w:hAnsi="Abadi" w:cs="Arial"/>
          <w:i/>
          <w:iCs/>
          <w:w w:val="105"/>
          <w:sz w:val="21"/>
          <w:szCs w:val="21"/>
          <w:lang w:val="es-MX"/>
        </w:rPr>
        <w:t>artículo</w:t>
      </w:r>
      <w:r w:rsidRPr="004A0446">
        <w:rPr>
          <w:rFonts w:ascii="Abadi" w:hAnsi="Abadi" w:cs="Arial"/>
          <w:i/>
          <w:iCs/>
          <w:spacing w:val="-1"/>
          <w:w w:val="105"/>
          <w:sz w:val="21"/>
          <w:szCs w:val="21"/>
          <w:lang w:val="es-MX"/>
        </w:rPr>
        <w:t xml:space="preserve"> </w:t>
      </w:r>
      <w:r w:rsidRPr="004A0446">
        <w:rPr>
          <w:rFonts w:ascii="Abadi" w:hAnsi="Abadi" w:cs="Arial"/>
          <w:i/>
          <w:iCs/>
          <w:w w:val="105"/>
          <w:sz w:val="21"/>
          <w:szCs w:val="21"/>
          <w:lang w:val="es-MX"/>
        </w:rPr>
        <w:t>6</w:t>
      </w:r>
      <w:r w:rsidRPr="004A0446">
        <w:rPr>
          <w:rFonts w:ascii="Abadi" w:hAnsi="Abadi" w:cs="Arial"/>
          <w:i/>
          <w:iCs/>
          <w:spacing w:val="-4"/>
          <w:w w:val="105"/>
          <w:sz w:val="21"/>
          <w:szCs w:val="21"/>
          <w:lang w:val="es-MX"/>
        </w:rPr>
        <w:t xml:space="preserve"> </w:t>
      </w:r>
      <w:r w:rsidRPr="004A0446">
        <w:rPr>
          <w:rFonts w:ascii="Abadi" w:hAnsi="Abadi" w:cs="Arial"/>
          <w:i/>
          <w:iCs/>
          <w:w w:val="105"/>
          <w:sz w:val="21"/>
          <w:szCs w:val="21"/>
          <w:lang w:val="es-MX"/>
        </w:rPr>
        <w:t>fracción</w:t>
      </w:r>
      <w:r w:rsidRPr="004A0446">
        <w:rPr>
          <w:rFonts w:ascii="Abadi" w:hAnsi="Abadi" w:cs="Arial"/>
          <w:i/>
          <w:iCs/>
          <w:spacing w:val="8"/>
          <w:w w:val="105"/>
          <w:sz w:val="21"/>
          <w:szCs w:val="21"/>
          <w:lang w:val="es-MX"/>
        </w:rPr>
        <w:t xml:space="preserve"> </w:t>
      </w:r>
      <w:r w:rsidRPr="004A0446">
        <w:rPr>
          <w:rFonts w:ascii="Abadi" w:hAnsi="Abadi" w:cs="Arial"/>
          <w:i/>
          <w:iCs/>
          <w:w w:val="105"/>
          <w:sz w:val="21"/>
          <w:szCs w:val="21"/>
          <w:lang w:val="es-MX"/>
        </w:rPr>
        <w:t>VIII,</w:t>
      </w:r>
      <w:r w:rsidRPr="004A0446">
        <w:rPr>
          <w:rFonts w:ascii="Abadi" w:hAnsi="Abadi" w:cs="Arial"/>
          <w:i/>
          <w:iCs/>
          <w:spacing w:val="-11"/>
          <w:w w:val="105"/>
          <w:sz w:val="21"/>
          <w:szCs w:val="21"/>
          <w:lang w:val="es-MX"/>
        </w:rPr>
        <w:t xml:space="preserve"> </w:t>
      </w:r>
      <w:r w:rsidRPr="004A0446">
        <w:rPr>
          <w:rFonts w:ascii="Abadi" w:hAnsi="Abadi" w:cs="Arial"/>
          <w:i/>
          <w:iCs/>
          <w:w w:val="105"/>
          <w:sz w:val="21"/>
          <w:szCs w:val="21"/>
          <w:lang w:val="es-MX"/>
        </w:rPr>
        <w:t>en</w:t>
      </w:r>
      <w:r w:rsidRPr="004A0446">
        <w:rPr>
          <w:rFonts w:ascii="Abadi" w:hAnsi="Abadi" w:cs="Arial"/>
          <w:i/>
          <w:iCs/>
          <w:spacing w:val="-7"/>
          <w:w w:val="105"/>
          <w:sz w:val="21"/>
          <w:szCs w:val="21"/>
          <w:lang w:val="es-MX"/>
        </w:rPr>
        <w:t xml:space="preserve"> </w:t>
      </w:r>
      <w:r w:rsidRPr="004A0446">
        <w:rPr>
          <w:rFonts w:ascii="Abadi" w:hAnsi="Abadi" w:cs="Arial"/>
          <w:i/>
          <w:iCs/>
          <w:w w:val="105"/>
          <w:sz w:val="21"/>
          <w:szCs w:val="21"/>
          <w:lang w:val="es-MX"/>
        </w:rPr>
        <w:t>concordancia</w:t>
      </w:r>
      <w:r w:rsidRPr="004A0446">
        <w:rPr>
          <w:rFonts w:ascii="Abadi" w:hAnsi="Abadi" w:cs="Arial"/>
          <w:i/>
          <w:iCs/>
          <w:spacing w:val="9"/>
          <w:w w:val="105"/>
          <w:sz w:val="21"/>
          <w:szCs w:val="21"/>
          <w:lang w:val="es-MX"/>
        </w:rPr>
        <w:t xml:space="preserve"> </w:t>
      </w:r>
      <w:r w:rsidRPr="004A0446">
        <w:rPr>
          <w:rFonts w:ascii="Abadi" w:hAnsi="Abadi" w:cs="Arial"/>
          <w:i/>
          <w:iCs/>
          <w:w w:val="105"/>
          <w:sz w:val="21"/>
          <w:szCs w:val="21"/>
          <w:lang w:val="es-MX"/>
        </w:rPr>
        <w:t>con</w:t>
      </w:r>
      <w:r w:rsidRPr="004A0446">
        <w:rPr>
          <w:rFonts w:ascii="Abadi" w:hAnsi="Abadi" w:cs="Arial"/>
          <w:i/>
          <w:iCs/>
          <w:spacing w:val="-1"/>
          <w:w w:val="105"/>
          <w:sz w:val="21"/>
          <w:szCs w:val="21"/>
          <w:lang w:val="es-MX"/>
        </w:rPr>
        <w:t xml:space="preserve"> </w:t>
      </w:r>
      <w:r w:rsidRPr="004A0446">
        <w:rPr>
          <w:rFonts w:ascii="Abadi" w:hAnsi="Abadi" w:cs="Arial"/>
          <w:i/>
          <w:iCs/>
          <w:w w:val="105"/>
          <w:sz w:val="21"/>
          <w:szCs w:val="21"/>
          <w:lang w:val="es-MX"/>
        </w:rPr>
        <w:t>la</w:t>
      </w:r>
      <w:r w:rsidRPr="004A0446">
        <w:rPr>
          <w:rFonts w:ascii="Abadi" w:hAnsi="Abadi" w:cs="Arial"/>
          <w:i/>
          <w:iCs/>
          <w:spacing w:val="-3"/>
          <w:w w:val="105"/>
          <w:sz w:val="21"/>
          <w:szCs w:val="21"/>
          <w:lang w:val="es-MX"/>
        </w:rPr>
        <w:t xml:space="preserve"> </w:t>
      </w:r>
      <w:r w:rsidRPr="004A0446">
        <w:rPr>
          <w:rFonts w:ascii="Abadi" w:hAnsi="Abadi" w:cs="Arial"/>
          <w:i/>
          <w:iCs/>
          <w:w w:val="105"/>
          <w:sz w:val="21"/>
          <w:szCs w:val="21"/>
          <w:lang w:val="es-MX"/>
        </w:rPr>
        <w:t>fracción</w:t>
      </w:r>
      <w:r w:rsidRPr="004A0446">
        <w:rPr>
          <w:rFonts w:ascii="Abadi" w:hAnsi="Abadi" w:cs="Arial"/>
          <w:i/>
          <w:iCs/>
          <w:spacing w:val="-9"/>
          <w:w w:val="105"/>
          <w:sz w:val="21"/>
          <w:szCs w:val="21"/>
          <w:lang w:val="es-MX"/>
        </w:rPr>
        <w:t xml:space="preserve"> </w:t>
      </w:r>
      <w:r w:rsidRPr="004A0446">
        <w:rPr>
          <w:rFonts w:ascii="Abadi" w:hAnsi="Abadi" w:cs="Arial"/>
          <w:i/>
          <w:iCs/>
          <w:w w:val="105"/>
          <w:sz w:val="21"/>
          <w:szCs w:val="21"/>
          <w:lang w:val="es-MX"/>
        </w:rPr>
        <w:t>IV</w:t>
      </w:r>
      <w:r w:rsidRPr="004A0446">
        <w:rPr>
          <w:rFonts w:ascii="Abadi" w:hAnsi="Abadi" w:cs="Arial"/>
          <w:i/>
          <w:iCs/>
          <w:spacing w:val="16"/>
          <w:w w:val="105"/>
          <w:sz w:val="21"/>
          <w:szCs w:val="21"/>
          <w:lang w:val="es-MX"/>
        </w:rPr>
        <w:t xml:space="preserve"> </w:t>
      </w:r>
      <w:r w:rsidRPr="004A0446">
        <w:rPr>
          <w:rFonts w:ascii="Abadi" w:hAnsi="Abadi" w:cs="Arial"/>
          <w:i/>
          <w:iCs/>
          <w:w w:val="105"/>
          <w:sz w:val="21"/>
          <w:szCs w:val="21"/>
          <w:lang w:val="es-MX"/>
        </w:rPr>
        <w:t>del</w:t>
      </w:r>
      <w:r w:rsidRPr="004A0446">
        <w:rPr>
          <w:rFonts w:ascii="Abadi" w:hAnsi="Abadi" w:cs="Arial"/>
          <w:i/>
          <w:iCs/>
          <w:spacing w:val="-7"/>
          <w:w w:val="105"/>
          <w:sz w:val="21"/>
          <w:szCs w:val="21"/>
          <w:lang w:val="es-MX"/>
        </w:rPr>
        <w:t xml:space="preserve"> </w:t>
      </w:r>
      <w:r w:rsidRPr="004A0446">
        <w:rPr>
          <w:rFonts w:ascii="Abadi" w:hAnsi="Abadi" w:cs="Arial"/>
          <w:i/>
          <w:iCs/>
          <w:w w:val="105"/>
          <w:sz w:val="21"/>
          <w:szCs w:val="21"/>
          <w:lang w:val="es-MX"/>
        </w:rPr>
        <w:t>arábigo 10,</w:t>
      </w:r>
      <w:r w:rsidRPr="004A0446">
        <w:rPr>
          <w:rFonts w:ascii="Abadi" w:hAnsi="Abadi" w:cs="Arial"/>
          <w:i/>
          <w:iCs/>
          <w:spacing w:val="-12"/>
          <w:w w:val="105"/>
          <w:sz w:val="21"/>
          <w:szCs w:val="21"/>
          <w:lang w:val="es-MX"/>
        </w:rPr>
        <w:t xml:space="preserve"> </w:t>
      </w:r>
      <w:r w:rsidRPr="004A0446">
        <w:rPr>
          <w:rFonts w:ascii="Abadi" w:hAnsi="Abadi" w:cs="Arial"/>
          <w:i/>
          <w:iCs/>
          <w:w w:val="105"/>
          <w:sz w:val="21"/>
          <w:szCs w:val="21"/>
          <w:lang w:val="es-MX"/>
        </w:rPr>
        <w:t>de</w:t>
      </w:r>
      <w:r w:rsidRPr="004A0446">
        <w:rPr>
          <w:rFonts w:ascii="Abadi" w:hAnsi="Abadi" w:cs="Arial"/>
          <w:i/>
          <w:iCs/>
          <w:spacing w:val="-7"/>
          <w:w w:val="105"/>
          <w:sz w:val="21"/>
          <w:szCs w:val="21"/>
          <w:lang w:val="es-MX"/>
        </w:rPr>
        <w:t xml:space="preserve"> </w:t>
      </w:r>
      <w:r w:rsidRPr="004A0446">
        <w:rPr>
          <w:rFonts w:ascii="Abadi" w:hAnsi="Abadi" w:cs="Arial"/>
          <w:i/>
          <w:iCs/>
          <w:w w:val="105"/>
          <w:sz w:val="21"/>
          <w:szCs w:val="21"/>
          <w:lang w:val="es-MX"/>
        </w:rPr>
        <w:t>la</w:t>
      </w:r>
      <w:r w:rsidRPr="004A0446">
        <w:rPr>
          <w:rFonts w:ascii="Abadi" w:hAnsi="Abadi" w:cs="Arial"/>
          <w:i/>
          <w:iCs/>
          <w:spacing w:val="-4"/>
          <w:w w:val="105"/>
          <w:sz w:val="21"/>
          <w:szCs w:val="21"/>
          <w:lang w:val="es-MX"/>
        </w:rPr>
        <w:t xml:space="preserve"> </w:t>
      </w:r>
      <w:r w:rsidRPr="004A0446">
        <w:rPr>
          <w:rFonts w:ascii="Abadi" w:hAnsi="Abadi" w:cs="Arial"/>
          <w:i/>
          <w:iCs/>
          <w:w w:val="105"/>
          <w:sz w:val="21"/>
          <w:szCs w:val="21"/>
          <w:lang w:val="es-MX"/>
        </w:rPr>
        <w:t>iniciativa,</w:t>
      </w:r>
      <w:r w:rsidRPr="004A0446">
        <w:rPr>
          <w:rFonts w:ascii="Abadi" w:hAnsi="Abadi" w:cs="Arial"/>
          <w:i/>
          <w:iCs/>
          <w:spacing w:val="3"/>
          <w:w w:val="105"/>
          <w:sz w:val="21"/>
          <w:szCs w:val="21"/>
          <w:lang w:val="es-MX"/>
        </w:rPr>
        <w:t xml:space="preserve"> </w:t>
      </w:r>
      <w:r w:rsidRPr="004A0446">
        <w:rPr>
          <w:rFonts w:ascii="Abadi" w:hAnsi="Abadi" w:cs="Arial"/>
          <w:i/>
          <w:iCs/>
          <w:w w:val="105"/>
          <w:sz w:val="21"/>
          <w:szCs w:val="21"/>
          <w:lang w:val="es-MX"/>
        </w:rPr>
        <w:t>ya</w:t>
      </w:r>
      <w:r w:rsidRPr="004A0446">
        <w:rPr>
          <w:rFonts w:ascii="Abadi" w:hAnsi="Abadi" w:cs="Arial"/>
          <w:i/>
          <w:iCs/>
          <w:spacing w:val="-7"/>
          <w:w w:val="105"/>
          <w:sz w:val="21"/>
          <w:szCs w:val="21"/>
          <w:lang w:val="es-MX"/>
        </w:rPr>
        <w:t xml:space="preserve"> </w:t>
      </w:r>
      <w:r w:rsidRPr="004A0446">
        <w:rPr>
          <w:rFonts w:ascii="Abadi" w:hAnsi="Abadi" w:cs="Arial"/>
          <w:i/>
          <w:iCs/>
          <w:spacing w:val="-5"/>
          <w:w w:val="105"/>
          <w:sz w:val="21"/>
          <w:szCs w:val="21"/>
          <w:lang w:val="es-MX"/>
        </w:rPr>
        <w:t xml:space="preserve">que </w:t>
      </w:r>
      <w:r w:rsidRPr="004A0446">
        <w:rPr>
          <w:rFonts w:ascii="Abadi" w:hAnsi="Abadi" w:cs="Arial"/>
          <w:i/>
          <w:iCs/>
          <w:sz w:val="21"/>
          <w:szCs w:val="21"/>
          <w:lang w:val="es-MX"/>
        </w:rPr>
        <w:t>se</w:t>
      </w:r>
      <w:r w:rsidRPr="004A0446">
        <w:rPr>
          <w:rFonts w:ascii="Abadi" w:hAnsi="Abadi" w:cs="Arial"/>
          <w:i/>
          <w:iCs/>
          <w:spacing w:val="6"/>
          <w:sz w:val="21"/>
          <w:szCs w:val="21"/>
          <w:lang w:val="es-MX"/>
        </w:rPr>
        <w:t xml:space="preserve"> </w:t>
      </w:r>
      <w:r w:rsidRPr="004A0446">
        <w:rPr>
          <w:rFonts w:ascii="Abadi" w:hAnsi="Abadi" w:cs="Arial"/>
          <w:i/>
          <w:iCs/>
          <w:sz w:val="21"/>
          <w:szCs w:val="21"/>
          <w:lang w:val="es-MX"/>
        </w:rPr>
        <w:t>pretende</w:t>
      </w:r>
      <w:r w:rsidRPr="004A0446">
        <w:rPr>
          <w:rFonts w:ascii="Abadi" w:hAnsi="Abadi" w:cs="Arial"/>
          <w:i/>
          <w:iCs/>
          <w:spacing w:val="24"/>
          <w:sz w:val="21"/>
          <w:szCs w:val="21"/>
          <w:lang w:val="es-MX"/>
        </w:rPr>
        <w:t xml:space="preserve"> </w:t>
      </w:r>
      <w:r w:rsidRPr="004A0446">
        <w:rPr>
          <w:rFonts w:ascii="Abadi" w:hAnsi="Abadi" w:cs="Arial"/>
          <w:i/>
          <w:iCs/>
          <w:sz w:val="21"/>
          <w:szCs w:val="21"/>
          <w:lang w:val="es-MX"/>
        </w:rPr>
        <w:t>llevar</w:t>
      </w:r>
      <w:r w:rsidRPr="004A0446">
        <w:rPr>
          <w:rFonts w:ascii="Abadi" w:hAnsi="Abadi" w:cs="Arial"/>
          <w:i/>
          <w:iCs/>
          <w:spacing w:val="19"/>
          <w:sz w:val="21"/>
          <w:szCs w:val="21"/>
          <w:lang w:val="es-MX"/>
        </w:rPr>
        <w:t xml:space="preserve"> </w:t>
      </w:r>
      <w:r w:rsidRPr="004A0446">
        <w:rPr>
          <w:rFonts w:ascii="Abadi" w:hAnsi="Abadi" w:cs="Arial"/>
          <w:i/>
          <w:iCs/>
          <w:sz w:val="21"/>
          <w:szCs w:val="21"/>
          <w:lang w:val="es-MX"/>
        </w:rPr>
        <w:t>a</w:t>
      </w:r>
      <w:r w:rsidRPr="004A0446">
        <w:rPr>
          <w:rFonts w:ascii="Abadi" w:hAnsi="Abadi" w:cs="Arial"/>
          <w:i/>
          <w:iCs/>
          <w:spacing w:val="8"/>
          <w:sz w:val="21"/>
          <w:szCs w:val="21"/>
          <w:lang w:val="es-MX"/>
        </w:rPr>
        <w:t xml:space="preserve"> </w:t>
      </w:r>
      <w:r w:rsidRPr="004A0446">
        <w:rPr>
          <w:rFonts w:ascii="Abadi" w:hAnsi="Abadi" w:cs="Arial"/>
          <w:i/>
          <w:iCs/>
          <w:sz w:val="21"/>
          <w:szCs w:val="21"/>
          <w:lang w:val="es-MX"/>
        </w:rPr>
        <w:t>cabo</w:t>
      </w:r>
      <w:r w:rsidRPr="004A0446">
        <w:rPr>
          <w:rFonts w:ascii="Abadi" w:hAnsi="Abadi" w:cs="Arial"/>
          <w:i/>
          <w:iCs/>
          <w:spacing w:val="34"/>
          <w:sz w:val="21"/>
          <w:szCs w:val="21"/>
          <w:lang w:val="es-MX"/>
        </w:rPr>
        <w:t xml:space="preserve"> </w:t>
      </w:r>
      <w:r w:rsidRPr="004A0446">
        <w:rPr>
          <w:rFonts w:ascii="Abadi" w:hAnsi="Abadi" w:cs="Arial"/>
          <w:i/>
          <w:iCs/>
          <w:sz w:val="21"/>
          <w:szCs w:val="21"/>
          <w:lang w:val="es-MX"/>
        </w:rPr>
        <w:t>una</w:t>
      </w:r>
      <w:r w:rsidRPr="004A0446">
        <w:rPr>
          <w:rFonts w:ascii="Abadi" w:hAnsi="Abadi" w:cs="Arial"/>
          <w:i/>
          <w:iCs/>
          <w:spacing w:val="2"/>
          <w:sz w:val="21"/>
          <w:szCs w:val="21"/>
          <w:lang w:val="es-MX"/>
        </w:rPr>
        <w:t xml:space="preserve"> </w:t>
      </w:r>
      <w:r w:rsidRPr="004A0446">
        <w:rPr>
          <w:rFonts w:ascii="Abadi" w:hAnsi="Abadi" w:cs="Arial"/>
          <w:i/>
          <w:iCs/>
          <w:sz w:val="21"/>
          <w:szCs w:val="21"/>
          <w:u w:val="thick"/>
          <w:lang w:val="es-MX"/>
        </w:rPr>
        <w:t>capacitación</w:t>
      </w:r>
      <w:r w:rsidRPr="004A0446">
        <w:rPr>
          <w:rFonts w:ascii="Abadi" w:hAnsi="Abadi" w:cs="Arial"/>
          <w:i/>
          <w:iCs/>
          <w:spacing w:val="12"/>
          <w:sz w:val="21"/>
          <w:szCs w:val="21"/>
          <w:u w:val="thick"/>
          <w:lang w:val="es-MX"/>
        </w:rPr>
        <w:t xml:space="preserve"> </w:t>
      </w:r>
      <w:r w:rsidRPr="004A0446">
        <w:rPr>
          <w:rFonts w:ascii="Abadi" w:hAnsi="Abadi" w:cs="Arial"/>
          <w:i/>
          <w:iCs/>
          <w:sz w:val="21"/>
          <w:szCs w:val="21"/>
          <w:u w:val="thick"/>
          <w:lang w:val="es-MX"/>
        </w:rPr>
        <w:t>sistemática</w:t>
      </w:r>
      <w:r w:rsidRPr="004A0446">
        <w:rPr>
          <w:rFonts w:ascii="Abadi" w:hAnsi="Abadi" w:cs="Arial"/>
          <w:i/>
          <w:iCs/>
          <w:spacing w:val="23"/>
          <w:sz w:val="21"/>
          <w:szCs w:val="21"/>
          <w:u w:val="thick"/>
          <w:lang w:val="es-MX"/>
        </w:rPr>
        <w:t xml:space="preserve"> </w:t>
      </w:r>
      <w:r w:rsidRPr="004A0446">
        <w:rPr>
          <w:rFonts w:ascii="Abadi" w:hAnsi="Abadi" w:cs="Arial"/>
          <w:i/>
          <w:iCs/>
          <w:sz w:val="21"/>
          <w:szCs w:val="21"/>
          <w:u w:val="thick"/>
          <w:lang w:val="es-MX"/>
        </w:rPr>
        <w:t>v</w:t>
      </w:r>
      <w:r w:rsidRPr="004A0446">
        <w:rPr>
          <w:rFonts w:ascii="Abadi" w:hAnsi="Abadi" w:cs="Arial"/>
          <w:i/>
          <w:iCs/>
          <w:spacing w:val="-22"/>
          <w:sz w:val="21"/>
          <w:szCs w:val="21"/>
          <w:u w:val="thick"/>
          <w:lang w:val="es-MX"/>
        </w:rPr>
        <w:t xml:space="preserve"> </w:t>
      </w:r>
      <w:r w:rsidRPr="004A0446">
        <w:rPr>
          <w:rFonts w:ascii="Abadi" w:hAnsi="Abadi" w:cs="Arial"/>
          <w:i/>
          <w:iCs/>
          <w:sz w:val="21"/>
          <w:szCs w:val="21"/>
          <w:u w:val="thick"/>
          <w:lang w:val="es-MX"/>
        </w:rPr>
        <w:t>permanente</w:t>
      </w:r>
      <w:r w:rsidRPr="004A0446">
        <w:rPr>
          <w:rFonts w:ascii="Abadi" w:hAnsi="Abadi" w:cs="Arial"/>
          <w:i/>
          <w:iCs/>
          <w:spacing w:val="14"/>
          <w:sz w:val="21"/>
          <w:szCs w:val="21"/>
          <w:lang w:val="es-MX"/>
        </w:rPr>
        <w:t xml:space="preserve"> </w:t>
      </w:r>
      <w:r w:rsidRPr="004A0446">
        <w:rPr>
          <w:rFonts w:ascii="Abadi" w:hAnsi="Abadi" w:cs="Arial"/>
          <w:i/>
          <w:iCs/>
          <w:sz w:val="21"/>
          <w:szCs w:val="21"/>
          <w:lang w:val="es-MX"/>
        </w:rPr>
        <w:t>en</w:t>
      </w:r>
      <w:r w:rsidRPr="004A0446">
        <w:rPr>
          <w:rFonts w:ascii="Abadi" w:hAnsi="Abadi" w:cs="Arial"/>
          <w:i/>
          <w:iCs/>
          <w:spacing w:val="7"/>
          <w:sz w:val="21"/>
          <w:szCs w:val="21"/>
          <w:lang w:val="es-MX"/>
        </w:rPr>
        <w:t xml:space="preserve"> </w:t>
      </w:r>
      <w:r w:rsidRPr="004A0446">
        <w:rPr>
          <w:rFonts w:ascii="Abadi" w:hAnsi="Abadi" w:cs="Arial"/>
          <w:i/>
          <w:iCs/>
          <w:sz w:val="21"/>
          <w:szCs w:val="21"/>
          <w:lang w:val="es-MX"/>
        </w:rPr>
        <w:t>la</w:t>
      </w:r>
      <w:r w:rsidRPr="004A0446">
        <w:rPr>
          <w:rFonts w:ascii="Abadi" w:hAnsi="Abadi" w:cs="Arial"/>
          <w:i/>
          <w:iCs/>
          <w:spacing w:val="-4"/>
          <w:sz w:val="21"/>
          <w:szCs w:val="21"/>
          <w:lang w:val="es-MX"/>
        </w:rPr>
        <w:t xml:space="preserve"> </w:t>
      </w:r>
      <w:r w:rsidRPr="004A0446">
        <w:rPr>
          <w:rFonts w:ascii="Abadi" w:hAnsi="Abadi" w:cs="Arial"/>
          <w:i/>
          <w:iCs/>
          <w:sz w:val="21"/>
          <w:szCs w:val="21"/>
          <w:lang w:val="es-MX"/>
        </w:rPr>
        <w:t>materia,</w:t>
      </w:r>
      <w:r w:rsidRPr="004A0446">
        <w:rPr>
          <w:rFonts w:ascii="Abadi" w:hAnsi="Abadi" w:cs="Arial"/>
          <w:i/>
          <w:iCs/>
          <w:spacing w:val="18"/>
          <w:sz w:val="21"/>
          <w:szCs w:val="21"/>
          <w:lang w:val="es-MX"/>
        </w:rPr>
        <w:t xml:space="preserve"> </w:t>
      </w:r>
      <w:r w:rsidRPr="004A0446">
        <w:rPr>
          <w:rFonts w:ascii="Abadi" w:hAnsi="Abadi" w:cs="Arial"/>
          <w:i/>
          <w:iCs/>
          <w:sz w:val="21"/>
          <w:szCs w:val="21"/>
          <w:lang w:val="es-MX"/>
        </w:rPr>
        <w:t>lo</w:t>
      </w:r>
      <w:r w:rsidRPr="004A0446">
        <w:rPr>
          <w:rFonts w:ascii="Abadi" w:hAnsi="Abadi" w:cs="Arial"/>
          <w:i/>
          <w:iCs/>
          <w:spacing w:val="4"/>
          <w:sz w:val="21"/>
          <w:szCs w:val="21"/>
          <w:lang w:val="es-MX"/>
        </w:rPr>
        <w:t xml:space="preserve"> </w:t>
      </w:r>
      <w:r w:rsidRPr="004A0446">
        <w:rPr>
          <w:rFonts w:ascii="Abadi" w:hAnsi="Abadi" w:cs="Arial"/>
          <w:i/>
          <w:iCs/>
          <w:sz w:val="21"/>
          <w:szCs w:val="21"/>
          <w:lang w:val="es-MX"/>
        </w:rPr>
        <w:t>cual</w:t>
      </w:r>
      <w:r w:rsidRPr="004A0446">
        <w:rPr>
          <w:rFonts w:ascii="Abadi" w:hAnsi="Abadi" w:cs="Arial"/>
          <w:i/>
          <w:iCs/>
          <w:spacing w:val="12"/>
          <w:sz w:val="21"/>
          <w:szCs w:val="21"/>
          <w:lang w:val="es-MX"/>
        </w:rPr>
        <w:t xml:space="preserve"> </w:t>
      </w:r>
      <w:r w:rsidRPr="004A0446">
        <w:rPr>
          <w:rFonts w:ascii="Abadi" w:hAnsi="Abadi" w:cs="Arial"/>
          <w:i/>
          <w:iCs/>
          <w:sz w:val="21"/>
          <w:szCs w:val="21"/>
          <w:lang w:val="es-MX"/>
        </w:rPr>
        <w:t>implicaría</w:t>
      </w:r>
      <w:r w:rsidRPr="004A0446">
        <w:rPr>
          <w:rFonts w:ascii="Abadi" w:hAnsi="Abadi" w:cs="Arial"/>
          <w:i/>
          <w:iCs/>
          <w:spacing w:val="35"/>
          <w:sz w:val="21"/>
          <w:szCs w:val="21"/>
          <w:lang w:val="es-MX"/>
        </w:rPr>
        <w:t xml:space="preserve"> </w:t>
      </w:r>
      <w:r w:rsidRPr="004A0446">
        <w:rPr>
          <w:rFonts w:ascii="Abadi" w:hAnsi="Abadi" w:cs="Arial"/>
          <w:i/>
          <w:iCs/>
          <w:sz w:val="21"/>
          <w:szCs w:val="21"/>
          <w:lang w:val="es-MX"/>
        </w:rPr>
        <w:t>la</w:t>
      </w:r>
      <w:r w:rsidRPr="004A0446">
        <w:rPr>
          <w:rFonts w:ascii="Abadi" w:hAnsi="Abadi" w:cs="Arial"/>
          <w:i/>
          <w:iCs/>
          <w:spacing w:val="10"/>
          <w:sz w:val="21"/>
          <w:szCs w:val="21"/>
          <w:lang w:val="es-MX"/>
        </w:rPr>
        <w:t xml:space="preserve"> </w:t>
      </w:r>
      <w:r w:rsidRPr="004A0446">
        <w:rPr>
          <w:rFonts w:ascii="Abadi" w:hAnsi="Abadi" w:cs="Arial"/>
          <w:i/>
          <w:iCs/>
          <w:spacing w:val="-2"/>
          <w:sz w:val="21"/>
          <w:szCs w:val="21"/>
          <w:lang w:val="es-MX"/>
        </w:rPr>
        <w:t xml:space="preserve">erogación </w:t>
      </w:r>
      <w:r w:rsidRPr="004A0446">
        <w:rPr>
          <w:rFonts w:ascii="Abadi" w:hAnsi="Abadi" w:cs="Arial"/>
          <w:i/>
          <w:iCs/>
          <w:sz w:val="21"/>
          <w:szCs w:val="21"/>
          <w:lang w:val="es-MX"/>
        </w:rPr>
        <w:t>de</w:t>
      </w:r>
      <w:r w:rsidRPr="004A0446">
        <w:rPr>
          <w:rFonts w:ascii="Abadi" w:hAnsi="Abadi" w:cs="Arial"/>
          <w:i/>
          <w:iCs/>
          <w:spacing w:val="2"/>
          <w:sz w:val="21"/>
          <w:szCs w:val="21"/>
          <w:lang w:val="es-MX"/>
        </w:rPr>
        <w:t xml:space="preserve"> </w:t>
      </w:r>
      <w:r w:rsidRPr="004A0446">
        <w:rPr>
          <w:rFonts w:ascii="Abadi" w:hAnsi="Abadi" w:cs="Arial"/>
          <w:i/>
          <w:iCs/>
          <w:sz w:val="21"/>
          <w:szCs w:val="21"/>
          <w:lang w:val="es-MX"/>
        </w:rPr>
        <w:t>recursos,</w:t>
      </w:r>
      <w:r w:rsidRPr="004A0446">
        <w:rPr>
          <w:rFonts w:ascii="Abadi" w:hAnsi="Abadi" w:cs="Arial"/>
          <w:i/>
          <w:iCs/>
          <w:spacing w:val="18"/>
          <w:sz w:val="21"/>
          <w:szCs w:val="21"/>
          <w:lang w:val="es-MX"/>
        </w:rPr>
        <w:t xml:space="preserve"> </w:t>
      </w:r>
      <w:r w:rsidRPr="004A0446">
        <w:rPr>
          <w:rFonts w:ascii="Abadi" w:hAnsi="Abadi" w:cs="Arial"/>
          <w:i/>
          <w:iCs/>
          <w:sz w:val="21"/>
          <w:szCs w:val="21"/>
          <w:lang w:val="es-MX"/>
        </w:rPr>
        <w:t>sin</w:t>
      </w:r>
      <w:r w:rsidRPr="004A0446">
        <w:rPr>
          <w:rFonts w:ascii="Abadi" w:hAnsi="Abadi" w:cs="Arial"/>
          <w:i/>
          <w:iCs/>
          <w:spacing w:val="12"/>
          <w:sz w:val="21"/>
          <w:szCs w:val="21"/>
          <w:lang w:val="es-MX"/>
        </w:rPr>
        <w:t xml:space="preserve"> </w:t>
      </w:r>
      <w:r w:rsidRPr="004A0446">
        <w:rPr>
          <w:rFonts w:ascii="Abadi" w:hAnsi="Abadi" w:cs="Arial"/>
          <w:i/>
          <w:iCs/>
          <w:sz w:val="21"/>
          <w:szCs w:val="21"/>
          <w:lang w:val="es-MX"/>
        </w:rPr>
        <w:t>que</w:t>
      </w:r>
      <w:r w:rsidRPr="004A0446">
        <w:rPr>
          <w:rFonts w:ascii="Abadi" w:hAnsi="Abadi" w:cs="Arial"/>
          <w:i/>
          <w:iCs/>
          <w:spacing w:val="10"/>
          <w:sz w:val="21"/>
          <w:szCs w:val="21"/>
          <w:lang w:val="es-MX"/>
        </w:rPr>
        <w:t xml:space="preserve"> </w:t>
      </w:r>
      <w:r w:rsidRPr="004A0446">
        <w:rPr>
          <w:rFonts w:ascii="Abadi" w:hAnsi="Abadi" w:cs="Arial"/>
          <w:i/>
          <w:iCs/>
          <w:sz w:val="21"/>
          <w:szCs w:val="21"/>
          <w:lang w:val="es-MX"/>
        </w:rPr>
        <w:t>se</w:t>
      </w:r>
      <w:r w:rsidRPr="004A0446">
        <w:rPr>
          <w:rFonts w:ascii="Abadi" w:hAnsi="Abadi" w:cs="Arial"/>
          <w:i/>
          <w:iCs/>
          <w:spacing w:val="15"/>
          <w:sz w:val="21"/>
          <w:szCs w:val="21"/>
          <w:lang w:val="es-MX"/>
        </w:rPr>
        <w:t xml:space="preserve"> </w:t>
      </w:r>
      <w:r w:rsidRPr="004A0446">
        <w:rPr>
          <w:rFonts w:ascii="Abadi" w:hAnsi="Abadi" w:cs="Arial"/>
          <w:i/>
          <w:iCs/>
          <w:sz w:val="21"/>
          <w:szCs w:val="21"/>
          <w:lang w:val="es-MX"/>
        </w:rPr>
        <w:t>hayan</w:t>
      </w:r>
      <w:r w:rsidRPr="004A0446">
        <w:rPr>
          <w:rFonts w:ascii="Abadi" w:hAnsi="Abadi" w:cs="Arial"/>
          <w:i/>
          <w:iCs/>
          <w:spacing w:val="18"/>
          <w:sz w:val="21"/>
          <w:szCs w:val="21"/>
          <w:lang w:val="es-MX"/>
        </w:rPr>
        <w:t xml:space="preserve"> </w:t>
      </w:r>
      <w:r w:rsidRPr="004A0446">
        <w:rPr>
          <w:rFonts w:ascii="Abadi" w:hAnsi="Abadi" w:cs="Arial"/>
          <w:i/>
          <w:iCs/>
          <w:sz w:val="21"/>
          <w:szCs w:val="21"/>
          <w:lang w:val="es-MX"/>
        </w:rPr>
        <w:t>hecho</w:t>
      </w:r>
      <w:r w:rsidRPr="004A0446">
        <w:rPr>
          <w:rFonts w:ascii="Abadi" w:hAnsi="Abadi" w:cs="Arial"/>
          <w:i/>
          <w:iCs/>
          <w:spacing w:val="19"/>
          <w:sz w:val="21"/>
          <w:szCs w:val="21"/>
          <w:lang w:val="es-MX"/>
        </w:rPr>
        <w:t xml:space="preserve"> </w:t>
      </w:r>
      <w:r w:rsidRPr="004A0446">
        <w:rPr>
          <w:rFonts w:ascii="Abadi" w:hAnsi="Abadi" w:cs="Arial"/>
          <w:i/>
          <w:iCs/>
          <w:sz w:val="21"/>
          <w:szCs w:val="21"/>
          <w:lang w:val="es-MX"/>
        </w:rPr>
        <w:t>las</w:t>
      </w:r>
      <w:r w:rsidRPr="004A0446">
        <w:rPr>
          <w:rFonts w:ascii="Abadi" w:hAnsi="Abadi" w:cs="Arial"/>
          <w:i/>
          <w:iCs/>
          <w:spacing w:val="11"/>
          <w:sz w:val="21"/>
          <w:szCs w:val="21"/>
          <w:lang w:val="es-MX"/>
        </w:rPr>
        <w:t xml:space="preserve"> </w:t>
      </w:r>
      <w:r w:rsidRPr="004A0446">
        <w:rPr>
          <w:rFonts w:ascii="Abadi" w:hAnsi="Abadi" w:cs="Arial"/>
          <w:i/>
          <w:iCs/>
          <w:sz w:val="21"/>
          <w:szCs w:val="21"/>
          <w:lang w:val="es-ES_tradnl"/>
        </w:rPr>
        <w:t>previsiones</w:t>
      </w:r>
      <w:r w:rsidRPr="004A0446">
        <w:rPr>
          <w:rFonts w:ascii="Abadi" w:hAnsi="Abadi" w:cs="Arial"/>
          <w:i/>
          <w:iCs/>
          <w:spacing w:val="22"/>
          <w:sz w:val="21"/>
          <w:szCs w:val="21"/>
          <w:lang w:val="es-MX"/>
        </w:rPr>
        <w:t xml:space="preserve"> </w:t>
      </w:r>
      <w:r w:rsidRPr="004A0446">
        <w:rPr>
          <w:rFonts w:ascii="Abadi" w:hAnsi="Abadi" w:cs="Arial"/>
          <w:i/>
          <w:iCs/>
          <w:sz w:val="21"/>
          <w:szCs w:val="21"/>
          <w:lang w:val="es-MX"/>
        </w:rPr>
        <w:t>presupuestarias</w:t>
      </w:r>
      <w:r w:rsidRPr="004A0446">
        <w:rPr>
          <w:rFonts w:ascii="Abadi" w:hAnsi="Abadi" w:cs="Arial"/>
          <w:i/>
          <w:iCs/>
          <w:spacing w:val="3"/>
          <w:sz w:val="21"/>
          <w:szCs w:val="21"/>
          <w:lang w:val="es-MX"/>
        </w:rPr>
        <w:t xml:space="preserve"> </w:t>
      </w:r>
      <w:r w:rsidRPr="004A0446">
        <w:rPr>
          <w:rFonts w:ascii="Abadi" w:hAnsi="Abadi" w:cs="Arial"/>
          <w:i/>
          <w:iCs/>
          <w:sz w:val="21"/>
          <w:szCs w:val="21"/>
          <w:lang w:val="es-MX"/>
        </w:rPr>
        <w:t>necesarias</w:t>
      </w:r>
      <w:r w:rsidRPr="004A0446">
        <w:rPr>
          <w:rFonts w:ascii="Abadi" w:hAnsi="Abadi" w:cs="Arial"/>
          <w:i/>
          <w:iCs/>
          <w:spacing w:val="25"/>
          <w:sz w:val="21"/>
          <w:szCs w:val="21"/>
          <w:lang w:val="es-MX"/>
        </w:rPr>
        <w:t xml:space="preserve"> </w:t>
      </w:r>
      <w:r w:rsidRPr="004A0446">
        <w:rPr>
          <w:rFonts w:ascii="Abadi" w:hAnsi="Abadi" w:cs="Arial"/>
          <w:i/>
          <w:iCs/>
          <w:sz w:val="21"/>
          <w:szCs w:val="21"/>
          <w:lang w:val="es-MX"/>
        </w:rPr>
        <w:t>para</w:t>
      </w:r>
      <w:r w:rsidRPr="004A0446">
        <w:rPr>
          <w:rFonts w:ascii="Abadi" w:hAnsi="Abadi" w:cs="Arial"/>
          <w:i/>
          <w:iCs/>
          <w:spacing w:val="16"/>
          <w:sz w:val="21"/>
          <w:szCs w:val="21"/>
          <w:lang w:val="es-MX"/>
        </w:rPr>
        <w:t xml:space="preserve"> </w:t>
      </w:r>
      <w:r w:rsidRPr="004A0446">
        <w:rPr>
          <w:rFonts w:ascii="Abadi" w:hAnsi="Abadi" w:cs="Arial"/>
          <w:i/>
          <w:iCs/>
          <w:sz w:val="21"/>
          <w:szCs w:val="21"/>
          <w:lang w:val="es-MX"/>
        </w:rPr>
        <w:t>ser</w:t>
      </w:r>
      <w:r w:rsidRPr="004A0446">
        <w:rPr>
          <w:rFonts w:ascii="Abadi" w:hAnsi="Abadi" w:cs="Arial"/>
          <w:i/>
          <w:iCs/>
          <w:spacing w:val="13"/>
          <w:sz w:val="21"/>
          <w:szCs w:val="21"/>
          <w:lang w:val="es-MX"/>
        </w:rPr>
        <w:t xml:space="preserve"> </w:t>
      </w:r>
      <w:r w:rsidRPr="004A0446">
        <w:rPr>
          <w:rFonts w:ascii="Abadi" w:hAnsi="Abadi" w:cs="Arial"/>
          <w:i/>
          <w:iCs/>
          <w:spacing w:val="-2"/>
          <w:sz w:val="21"/>
          <w:szCs w:val="21"/>
          <w:lang w:val="es-MX"/>
        </w:rPr>
        <w:t>atendidas.</w:t>
      </w:r>
    </w:p>
    <w:p w14:paraId="740AF5E0" w14:textId="77777777" w:rsidR="00E3434F" w:rsidRPr="004A0446" w:rsidRDefault="00E3434F" w:rsidP="00F3730A">
      <w:pPr>
        <w:jc w:val="both"/>
        <w:rPr>
          <w:rFonts w:ascii="Abadi" w:hAnsi="Abadi" w:cs="Arial"/>
          <w:i/>
          <w:iCs/>
          <w:sz w:val="21"/>
          <w:szCs w:val="21"/>
          <w:lang w:val="es-MX"/>
        </w:rPr>
      </w:pPr>
    </w:p>
    <w:p w14:paraId="638780F8" w14:textId="77777777" w:rsidR="00E3434F" w:rsidRPr="004A0446" w:rsidRDefault="00E3434F" w:rsidP="00F3730A">
      <w:pPr>
        <w:tabs>
          <w:tab w:val="left" w:pos="8505"/>
        </w:tabs>
        <w:spacing w:before="1"/>
        <w:ind w:left="1134" w:right="567" w:firstLine="567"/>
        <w:jc w:val="both"/>
        <w:rPr>
          <w:rFonts w:ascii="Abadi" w:hAnsi="Abadi" w:cs="Arial"/>
          <w:i/>
          <w:iCs/>
          <w:w w:val="105"/>
          <w:sz w:val="21"/>
          <w:szCs w:val="21"/>
          <w:lang w:val="es-MX"/>
        </w:rPr>
      </w:pPr>
      <w:r w:rsidRPr="004A0446">
        <w:rPr>
          <w:rFonts w:ascii="Abadi" w:hAnsi="Abadi" w:cs="Arial"/>
          <w:i/>
          <w:iCs/>
          <w:sz w:val="21"/>
          <w:szCs w:val="21"/>
          <w:lang w:val="es-MX"/>
        </w:rPr>
        <w:t>Es</w:t>
      </w:r>
      <w:r w:rsidRPr="004A0446">
        <w:rPr>
          <w:rFonts w:ascii="Abadi" w:hAnsi="Abadi" w:cs="Arial"/>
          <w:i/>
          <w:iCs/>
          <w:spacing w:val="-1"/>
          <w:sz w:val="21"/>
          <w:szCs w:val="21"/>
          <w:lang w:val="es-MX"/>
        </w:rPr>
        <w:t xml:space="preserve"> </w:t>
      </w:r>
      <w:r w:rsidRPr="004A0446">
        <w:rPr>
          <w:rFonts w:ascii="Abadi" w:hAnsi="Abadi" w:cs="Arial"/>
          <w:i/>
          <w:iCs/>
          <w:sz w:val="21"/>
          <w:szCs w:val="21"/>
          <w:lang w:val="es-MX"/>
        </w:rPr>
        <w:t>importante señalar</w:t>
      </w:r>
      <w:r w:rsidRPr="004A0446">
        <w:rPr>
          <w:rFonts w:ascii="Abadi" w:hAnsi="Abadi" w:cs="Arial"/>
          <w:i/>
          <w:iCs/>
          <w:spacing w:val="23"/>
          <w:sz w:val="21"/>
          <w:szCs w:val="21"/>
          <w:lang w:val="es-MX"/>
        </w:rPr>
        <w:t xml:space="preserve"> </w:t>
      </w:r>
      <w:r w:rsidRPr="004A0446">
        <w:rPr>
          <w:rFonts w:ascii="Abadi" w:hAnsi="Abadi" w:cs="Arial"/>
          <w:i/>
          <w:iCs/>
          <w:sz w:val="21"/>
          <w:szCs w:val="21"/>
          <w:lang w:val="es-MX"/>
        </w:rPr>
        <w:t>que</w:t>
      </w:r>
      <w:r w:rsidRPr="004A0446">
        <w:rPr>
          <w:rFonts w:ascii="Abadi" w:hAnsi="Abadi" w:cs="Arial"/>
          <w:i/>
          <w:iCs/>
          <w:spacing w:val="-7"/>
          <w:sz w:val="21"/>
          <w:szCs w:val="21"/>
          <w:lang w:val="es-MX"/>
        </w:rPr>
        <w:t xml:space="preserve"> </w:t>
      </w:r>
      <w:r w:rsidRPr="004A0446">
        <w:rPr>
          <w:rFonts w:ascii="Abadi" w:hAnsi="Abadi" w:cs="Arial"/>
          <w:i/>
          <w:iCs/>
          <w:sz w:val="21"/>
          <w:szCs w:val="21"/>
          <w:lang w:val="es-MX"/>
        </w:rPr>
        <w:t>en el</w:t>
      </w:r>
      <w:r w:rsidRPr="004A0446">
        <w:rPr>
          <w:rFonts w:ascii="Abadi" w:hAnsi="Abadi" w:cs="Arial"/>
          <w:i/>
          <w:iCs/>
          <w:spacing w:val="-7"/>
          <w:sz w:val="21"/>
          <w:szCs w:val="21"/>
          <w:lang w:val="es-MX"/>
        </w:rPr>
        <w:t xml:space="preserve"> </w:t>
      </w:r>
      <w:r w:rsidRPr="004A0446">
        <w:rPr>
          <w:rFonts w:ascii="Abadi" w:hAnsi="Abadi" w:cs="Arial"/>
          <w:i/>
          <w:iCs/>
          <w:sz w:val="21"/>
          <w:szCs w:val="21"/>
          <w:lang w:val="es-MX"/>
        </w:rPr>
        <w:t>artículo 12</w:t>
      </w:r>
      <w:r w:rsidRPr="004A0446">
        <w:rPr>
          <w:rFonts w:ascii="Abadi" w:hAnsi="Abadi" w:cs="Arial"/>
          <w:i/>
          <w:iCs/>
          <w:spacing w:val="-2"/>
          <w:sz w:val="21"/>
          <w:szCs w:val="21"/>
          <w:lang w:val="es-MX"/>
        </w:rPr>
        <w:t xml:space="preserve"> </w:t>
      </w:r>
      <w:r w:rsidRPr="004A0446">
        <w:rPr>
          <w:rFonts w:ascii="Abadi" w:hAnsi="Abadi" w:cs="Arial"/>
          <w:i/>
          <w:iCs/>
          <w:sz w:val="21"/>
          <w:szCs w:val="21"/>
          <w:lang w:val="es-MX"/>
        </w:rPr>
        <w:t>el</w:t>
      </w:r>
      <w:r w:rsidRPr="004A0446">
        <w:rPr>
          <w:rFonts w:ascii="Abadi" w:hAnsi="Abadi" w:cs="Arial"/>
          <w:i/>
          <w:iCs/>
          <w:spacing w:val="-8"/>
          <w:sz w:val="21"/>
          <w:szCs w:val="21"/>
          <w:lang w:val="es-MX"/>
        </w:rPr>
        <w:t xml:space="preserve"> </w:t>
      </w:r>
      <w:r w:rsidRPr="004A0446">
        <w:rPr>
          <w:rFonts w:ascii="Abadi" w:hAnsi="Abadi" w:cs="Arial"/>
          <w:i/>
          <w:iCs/>
          <w:sz w:val="21"/>
          <w:szCs w:val="21"/>
          <w:lang w:val="es-MX"/>
        </w:rPr>
        <w:t>cual se toca el</w:t>
      </w:r>
      <w:r w:rsidRPr="004A0446">
        <w:rPr>
          <w:rFonts w:ascii="Abadi" w:hAnsi="Abadi" w:cs="Arial"/>
          <w:i/>
          <w:iCs/>
          <w:spacing w:val="-3"/>
          <w:sz w:val="21"/>
          <w:szCs w:val="21"/>
          <w:lang w:val="es-MX"/>
        </w:rPr>
        <w:t xml:space="preserve"> </w:t>
      </w:r>
      <w:r w:rsidRPr="004A0446">
        <w:rPr>
          <w:rFonts w:ascii="Abadi" w:hAnsi="Abadi" w:cs="Arial"/>
          <w:i/>
          <w:iCs/>
          <w:sz w:val="21"/>
          <w:szCs w:val="21"/>
          <w:lang w:val="es-MX"/>
        </w:rPr>
        <w:t>tema de la Protección de</w:t>
      </w:r>
      <w:r w:rsidRPr="004A0446">
        <w:rPr>
          <w:rFonts w:ascii="Abadi" w:hAnsi="Abadi" w:cs="Arial"/>
          <w:i/>
          <w:iCs/>
          <w:spacing w:val="-11"/>
          <w:sz w:val="21"/>
          <w:szCs w:val="21"/>
          <w:lang w:val="es-MX"/>
        </w:rPr>
        <w:t xml:space="preserve"> </w:t>
      </w:r>
      <w:r w:rsidRPr="004A0446">
        <w:rPr>
          <w:rFonts w:ascii="Abadi" w:hAnsi="Abadi" w:cs="Arial"/>
          <w:i/>
          <w:iCs/>
          <w:sz w:val="21"/>
          <w:szCs w:val="21"/>
          <w:lang w:val="es-MX"/>
        </w:rPr>
        <w:t>los</w:t>
      </w:r>
      <w:r w:rsidRPr="004A0446">
        <w:rPr>
          <w:rFonts w:ascii="Abadi" w:hAnsi="Abadi" w:cs="Arial"/>
          <w:i/>
          <w:iCs/>
          <w:spacing w:val="-7"/>
          <w:sz w:val="21"/>
          <w:szCs w:val="21"/>
          <w:lang w:val="es-MX"/>
        </w:rPr>
        <w:t xml:space="preserve"> </w:t>
      </w:r>
      <w:r w:rsidRPr="004A0446">
        <w:rPr>
          <w:rFonts w:ascii="Abadi" w:hAnsi="Abadi" w:cs="Arial"/>
          <w:i/>
          <w:iCs/>
          <w:sz w:val="21"/>
          <w:szCs w:val="21"/>
          <w:lang w:val="es-MX"/>
        </w:rPr>
        <w:t>Datos</w:t>
      </w:r>
      <w:r w:rsidRPr="004A0446">
        <w:rPr>
          <w:rFonts w:ascii="Abadi" w:hAnsi="Abadi" w:cs="Arial"/>
          <w:i/>
          <w:iCs/>
          <w:spacing w:val="-5"/>
          <w:sz w:val="21"/>
          <w:szCs w:val="21"/>
          <w:lang w:val="es-MX"/>
        </w:rPr>
        <w:t xml:space="preserve"> </w:t>
      </w:r>
      <w:r w:rsidRPr="004A0446">
        <w:rPr>
          <w:rFonts w:ascii="Abadi" w:hAnsi="Abadi" w:cs="Arial"/>
          <w:i/>
          <w:iCs/>
          <w:sz w:val="21"/>
          <w:szCs w:val="21"/>
          <w:lang w:val="es-MX"/>
        </w:rPr>
        <w:t xml:space="preserve">Personales, </w:t>
      </w:r>
      <w:r w:rsidRPr="004A0446">
        <w:rPr>
          <w:rFonts w:ascii="Abadi" w:hAnsi="Abadi" w:cs="Arial"/>
          <w:i/>
          <w:iCs/>
          <w:w w:val="105"/>
          <w:sz w:val="21"/>
          <w:szCs w:val="21"/>
          <w:lang w:val="es-MX"/>
        </w:rPr>
        <w:t>se</w:t>
      </w:r>
      <w:r w:rsidRPr="004A0446">
        <w:rPr>
          <w:rFonts w:ascii="Abadi" w:hAnsi="Abadi" w:cs="Arial"/>
          <w:i/>
          <w:iCs/>
          <w:spacing w:val="-11"/>
          <w:w w:val="105"/>
          <w:sz w:val="21"/>
          <w:szCs w:val="21"/>
          <w:lang w:val="es-MX"/>
        </w:rPr>
        <w:t xml:space="preserve"> </w:t>
      </w:r>
      <w:r w:rsidRPr="004A0446">
        <w:rPr>
          <w:rFonts w:ascii="Abadi" w:hAnsi="Abadi" w:cs="Arial"/>
          <w:i/>
          <w:iCs/>
          <w:w w:val="105"/>
          <w:sz w:val="21"/>
          <w:szCs w:val="21"/>
          <w:lang w:val="es-MX"/>
        </w:rPr>
        <w:t>sugiere</w:t>
      </w:r>
      <w:r w:rsidRPr="004A0446">
        <w:rPr>
          <w:rFonts w:ascii="Abadi" w:hAnsi="Abadi" w:cs="Arial"/>
          <w:i/>
          <w:iCs/>
          <w:spacing w:val="-4"/>
          <w:w w:val="105"/>
          <w:sz w:val="21"/>
          <w:szCs w:val="21"/>
          <w:lang w:val="es-MX"/>
        </w:rPr>
        <w:t xml:space="preserve"> </w:t>
      </w:r>
      <w:r w:rsidRPr="004A0446">
        <w:rPr>
          <w:rFonts w:ascii="Abadi" w:hAnsi="Abadi" w:cs="Arial"/>
          <w:i/>
          <w:iCs/>
          <w:w w:val="105"/>
          <w:sz w:val="21"/>
          <w:szCs w:val="21"/>
          <w:lang w:val="es-MX"/>
        </w:rPr>
        <w:t>que</w:t>
      </w:r>
      <w:r w:rsidRPr="004A0446">
        <w:rPr>
          <w:rFonts w:ascii="Abadi" w:hAnsi="Abadi" w:cs="Arial"/>
          <w:i/>
          <w:iCs/>
          <w:spacing w:val="-6"/>
          <w:w w:val="105"/>
          <w:sz w:val="21"/>
          <w:szCs w:val="21"/>
          <w:lang w:val="es-MX"/>
        </w:rPr>
        <w:t xml:space="preserve"> </w:t>
      </w:r>
      <w:r w:rsidRPr="004A0446">
        <w:rPr>
          <w:rFonts w:ascii="Abadi" w:hAnsi="Abadi" w:cs="Arial"/>
          <w:i/>
          <w:iCs/>
          <w:w w:val="105"/>
          <w:sz w:val="21"/>
          <w:szCs w:val="21"/>
          <w:lang w:val="es-MX"/>
        </w:rPr>
        <w:t>la</w:t>
      </w:r>
      <w:r w:rsidRPr="004A0446">
        <w:rPr>
          <w:rFonts w:ascii="Abadi" w:hAnsi="Abadi" w:cs="Arial"/>
          <w:i/>
          <w:iCs/>
          <w:spacing w:val="-6"/>
          <w:w w:val="105"/>
          <w:sz w:val="21"/>
          <w:szCs w:val="21"/>
          <w:lang w:val="es-MX"/>
        </w:rPr>
        <w:t xml:space="preserve"> </w:t>
      </w:r>
      <w:r w:rsidRPr="004A0446">
        <w:rPr>
          <w:rFonts w:ascii="Abadi" w:hAnsi="Abadi" w:cs="Arial"/>
          <w:i/>
          <w:iCs/>
          <w:w w:val="105"/>
          <w:sz w:val="21"/>
          <w:szCs w:val="21"/>
          <w:lang w:val="es-MX"/>
        </w:rPr>
        <w:t>redacción</w:t>
      </w:r>
      <w:r w:rsidRPr="004A0446">
        <w:rPr>
          <w:rFonts w:ascii="Abadi" w:hAnsi="Abadi" w:cs="Arial"/>
          <w:i/>
          <w:iCs/>
          <w:spacing w:val="-1"/>
          <w:w w:val="105"/>
          <w:sz w:val="21"/>
          <w:szCs w:val="21"/>
          <w:lang w:val="es-MX"/>
        </w:rPr>
        <w:t xml:space="preserve"> </w:t>
      </w:r>
      <w:r w:rsidRPr="004A0446">
        <w:rPr>
          <w:rFonts w:ascii="Abadi" w:hAnsi="Abadi" w:cs="Arial"/>
          <w:i/>
          <w:iCs/>
          <w:w w:val="105"/>
          <w:sz w:val="21"/>
          <w:szCs w:val="21"/>
          <w:lang w:val="es-MX"/>
        </w:rPr>
        <w:t>quede</w:t>
      </w:r>
      <w:r w:rsidRPr="004A0446">
        <w:rPr>
          <w:rFonts w:ascii="Abadi" w:hAnsi="Abadi" w:cs="Arial"/>
          <w:i/>
          <w:iCs/>
          <w:spacing w:val="-7"/>
          <w:w w:val="105"/>
          <w:sz w:val="21"/>
          <w:szCs w:val="21"/>
          <w:lang w:val="es-MX"/>
        </w:rPr>
        <w:t xml:space="preserve"> </w:t>
      </w:r>
      <w:r w:rsidRPr="004A0446">
        <w:rPr>
          <w:rFonts w:ascii="Abadi" w:hAnsi="Abadi" w:cs="Arial"/>
          <w:i/>
          <w:iCs/>
          <w:w w:val="105"/>
          <w:sz w:val="21"/>
          <w:szCs w:val="21"/>
          <w:lang w:val="es-MX"/>
        </w:rPr>
        <w:t>de</w:t>
      </w:r>
      <w:r w:rsidRPr="004A0446">
        <w:rPr>
          <w:rFonts w:ascii="Abadi" w:hAnsi="Abadi" w:cs="Arial"/>
          <w:i/>
          <w:iCs/>
          <w:spacing w:val="-9"/>
          <w:w w:val="105"/>
          <w:sz w:val="21"/>
          <w:szCs w:val="21"/>
          <w:lang w:val="es-MX"/>
        </w:rPr>
        <w:t xml:space="preserve"> </w:t>
      </w:r>
      <w:r w:rsidRPr="004A0446">
        <w:rPr>
          <w:rFonts w:ascii="Abadi" w:hAnsi="Abadi" w:cs="Arial"/>
          <w:i/>
          <w:iCs/>
          <w:w w:val="105"/>
          <w:sz w:val="21"/>
          <w:szCs w:val="21"/>
          <w:lang w:val="es-MX"/>
        </w:rPr>
        <w:t>la</w:t>
      </w:r>
      <w:r w:rsidRPr="004A0446">
        <w:rPr>
          <w:rFonts w:ascii="Abadi" w:hAnsi="Abadi" w:cs="Arial"/>
          <w:i/>
          <w:iCs/>
          <w:spacing w:val="-5"/>
          <w:w w:val="105"/>
          <w:sz w:val="21"/>
          <w:szCs w:val="21"/>
          <w:lang w:val="es-MX"/>
        </w:rPr>
        <w:t xml:space="preserve"> </w:t>
      </w:r>
      <w:r w:rsidRPr="004A0446">
        <w:rPr>
          <w:rFonts w:ascii="Abadi" w:hAnsi="Abadi" w:cs="Arial"/>
          <w:i/>
          <w:iCs/>
          <w:w w:val="105"/>
          <w:sz w:val="21"/>
          <w:szCs w:val="21"/>
          <w:lang w:val="es-MX"/>
        </w:rPr>
        <w:t>siguiente</w:t>
      </w:r>
      <w:r w:rsidRPr="004A0446">
        <w:rPr>
          <w:rFonts w:ascii="Abadi" w:hAnsi="Abadi" w:cs="Arial"/>
          <w:i/>
          <w:iCs/>
          <w:spacing w:val="-2"/>
          <w:w w:val="105"/>
          <w:sz w:val="21"/>
          <w:szCs w:val="21"/>
          <w:lang w:val="es-MX"/>
        </w:rPr>
        <w:t xml:space="preserve"> </w:t>
      </w:r>
      <w:r w:rsidRPr="004A0446">
        <w:rPr>
          <w:rFonts w:ascii="Abadi" w:hAnsi="Abadi" w:cs="Arial"/>
          <w:i/>
          <w:iCs/>
          <w:w w:val="105"/>
          <w:sz w:val="21"/>
          <w:szCs w:val="21"/>
          <w:lang w:val="es-MX"/>
        </w:rPr>
        <w:t>manera:</w:t>
      </w:r>
      <w:r w:rsidRPr="004A0446">
        <w:rPr>
          <w:rFonts w:ascii="Abadi" w:hAnsi="Abadi" w:cs="Arial"/>
          <w:i/>
          <w:iCs/>
          <w:spacing w:val="-4"/>
          <w:w w:val="105"/>
          <w:sz w:val="21"/>
          <w:szCs w:val="21"/>
          <w:lang w:val="es-MX"/>
        </w:rPr>
        <w:t xml:space="preserve"> </w:t>
      </w:r>
      <w:r w:rsidRPr="004A0446">
        <w:rPr>
          <w:rFonts w:ascii="Abadi" w:hAnsi="Abadi" w:cs="Arial"/>
          <w:b/>
          <w:bCs/>
          <w:i/>
          <w:iCs/>
          <w:w w:val="105"/>
          <w:sz w:val="21"/>
          <w:szCs w:val="21"/>
          <w:lang w:val="es-MX"/>
        </w:rPr>
        <w:t>Toda</w:t>
      </w:r>
      <w:r w:rsidRPr="004A0446">
        <w:rPr>
          <w:rFonts w:ascii="Abadi" w:hAnsi="Abadi" w:cs="Arial"/>
          <w:b/>
          <w:bCs/>
          <w:i/>
          <w:iCs/>
          <w:spacing w:val="-12"/>
          <w:w w:val="105"/>
          <w:sz w:val="21"/>
          <w:szCs w:val="21"/>
          <w:lang w:val="es-MX"/>
        </w:rPr>
        <w:t xml:space="preserve"> </w:t>
      </w:r>
      <w:r w:rsidRPr="004A0446">
        <w:rPr>
          <w:rFonts w:ascii="Abadi" w:hAnsi="Abadi" w:cs="Arial"/>
          <w:b/>
          <w:bCs/>
          <w:i/>
          <w:iCs/>
          <w:w w:val="105"/>
          <w:sz w:val="21"/>
          <w:szCs w:val="21"/>
          <w:lang w:val="es-MX"/>
        </w:rPr>
        <w:t>autoridad</w:t>
      </w:r>
      <w:r w:rsidRPr="004A0446">
        <w:rPr>
          <w:rFonts w:ascii="Abadi" w:hAnsi="Abadi" w:cs="Arial"/>
          <w:b/>
          <w:bCs/>
          <w:i/>
          <w:iCs/>
          <w:spacing w:val="-6"/>
          <w:w w:val="105"/>
          <w:sz w:val="21"/>
          <w:szCs w:val="21"/>
          <w:lang w:val="es-MX"/>
        </w:rPr>
        <w:t xml:space="preserve"> </w:t>
      </w:r>
      <w:r w:rsidRPr="004A0446">
        <w:rPr>
          <w:rFonts w:ascii="Abadi" w:hAnsi="Abadi" w:cs="Arial"/>
          <w:b/>
          <w:bCs/>
          <w:i/>
          <w:iCs/>
          <w:w w:val="105"/>
          <w:sz w:val="21"/>
          <w:szCs w:val="21"/>
          <w:lang w:val="es-MX"/>
        </w:rPr>
        <w:t>y/o persona</w:t>
      </w:r>
      <w:r w:rsidRPr="004A0446">
        <w:rPr>
          <w:rFonts w:ascii="Abadi" w:hAnsi="Abadi" w:cs="Arial"/>
          <w:b/>
          <w:bCs/>
          <w:i/>
          <w:iCs/>
          <w:spacing w:val="-6"/>
          <w:w w:val="105"/>
          <w:sz w:val="21"/>
          <w:szCs w:val="21"/>
          <w:lang w:val="es-MX"/>
        </w:rPr>
        <w:t xml:space="preserve"> </w:t>
      </w:r>
      <w:r w:rsidRPr="004A0446">
        <w:rPr>
          <w:rFonts w:ascii="Abadi" w:hAnsi="Abadi" w:cs="Arial"/>
          <w:b/>
          <w:bCs/>
          <w:i/>
          <w:iCs/>
          <w:w w:val="105"/>
          <w:sz w:val="21"/>
          <w:szCs w:val="21"/>
          <w:lang w:val="es-MX"/>
        </w:rPr>
        <w:t>involucrada</w:t>
      </w:r>
      <w:r w:rsidRPr="004A0446">
        <w:rPr>
          <w:rFonts w:ascii="Abadi" w:hAnsi="Abadi" w:cs="Arial"/>
          <w:b/>
          <w:bCs/>
          <w:i/>
          <w:iCs/>
          <w:spacing w:val="-4"/>
          <w:w w:val="105"/>
          <w:sz w:val="21"/>
          <w:szCs w:val="21"/>
          <w:lang w:val="es-MX"/>
        </w:rPr>
        <w:t xml:space="preserve"> </w:t>
      </w:r>
      <w:r w:rsidRPr="004A0446">
        <w:rPr>
          <w:rFonts w:ascii="Abadi" w:hAnsi="Abadi" w:cs="Arial"/>
          <w:b/>
          <w:bCs/>
          <w:i/>
          <w:iCs/>
          <w:w w:val="105"/>
          <w:sz w:val="21"/>
          <w:szCs w:val="21"/>
          <w:lang w:val="es-MX"/>
        </w:rPr>
        <w:t>en</w:t>
      </w:r>
      <w:r w:rsidRPr="004A0446">
        <w:rPr>
          <w:rFonts w:ascii="Abadi" w:hAnsi="Abadi" w:cs="Arial"/>
          <w:b/>
          <w:bCs/>
          <w:i/>
          <w:iCs/>
          <w:spacing w:val="-16"/>
          <w:w w:val="105"/>
          <w:sz w:val="21"/>
          <w:szCs w:val="21"/>
          <w:lang w:val="es-MX"/>
        </w:rPr>
        <w:t xml:space="preserve"> </w:t>
      </w:r>
      <w:r w:rsidRPr="004A0446">
        <w:rPr>
          <w:rFonts w:ascii="Abadi" w:hAnsi="Abadi" w:cs="Arial"/>
          <w:b/>
          <w:bCs/>
          <w:i/>
          <w:iCs/>
          <w:w w:val="105"/>
          <w:sz w:val="21"/>
          <w:szCs w:val="21"/>
          <w:lang w:val="es-MX"/>
        </w:rPr>
        <w:t xml:space="preserve">la </w:t>
      </w:r>
      <w:r w:rsidRPr="004A0446">
        <w:rPr>
          <w:rFonts w:ascii="Abadi" w:hAnsi="Abadi" w:cs="Arial"/>
          <w:b/>
          <w:bCs/>
          <w:i/>
          <w:iCs/>
          <w:w w:val="105"/>
          <w:sz w:val="21"/>
          <w:szCs w:val="21"/>
          <w:lang w:val="es-ES_tradnl"/>
        </w:rPr>
        <w:t>atención</w:t>
      </w:r>
      <w:r w:rsidRPr="004A0446">
        <w:rPr>
          <w:rFonts w:ascii="Abadi" w:hAnsi="Abadi" w:cs="Arial"/>
          <w:i/>
          <w:iCs/>
          <w:spacing w:val="-16"/>
          <w:w w:val="105"/>
          <w:sz w:val="21"/>
          <w:szCs w:val="21"/>
          <w:lang w:val="es-MX"/>
        </w:rPr>
        <w:t xml:space="preserve"> </w:t>
      </w:r>
      <w:r w:rsidRPr="004A0446">
        <w:rPr>
          <w:rFonts w:ascii="Abadi" w:hAnsi="Abadi" w:cs="Arial"/>
          <w:i/>
          <w:iCs/>
          <w:w w:val="105"/>
          <w:sz w:val="21"/>
          <w:szCs w:val="21"/>
          <w:lang w:val="es-MX"/>
        </w:rPr>
        <w:t>y</w:t>
      </w:r>
      <w:r w:rsidRPr="004A0446">
        <w:rPr>
          <w:rFonts w:ascii="Abadi" w:hAnsi="Abadi" w:cs="Arial"/>
          <w:i/>
          <w:iCs/>
          <w:spacing w:val="-14"/>
          <w:w w:val="105"/>
          <w:sz w:val="21"/>
          <w:szCs w:val="21"/>
          <w:lang w:val="es-MX"/>
        </w:rPr>
        <w:t xml:space="preserve"> </w:t>
      </w:r>
      <w:r w:rsidRPr="004A0446">
        <w:rPr>
          <w:rFonts w:ascii="Abadi" w:hAnsi="Abadi" w:cs="Arial"/>
          <w:i/>
          <w:iCs/>
          <w:w w:val="105"/>
          <w:sz w:val="21"/>
          <w:szCs w:val="21"/>
          <w:lang w:val="es-MX"/>
        </w:rPr>
        <w:t>tratamiento</w:t>
      </w:r>
      <w:r w:rsidRPr="004A0446">
        <w:rPr>
          <w:rFonts w:ascii="Abadi" w:hAnsi="Abadi" w:cs="Arial"/>
          <w:i/>
          <w:iCs/>
          <w:spacing w:val="-14"/>
          <w:w w:val="105"/>
          <w:sz w:val="21"/>
          <w:szCs w:val="21"/>
          <w:lang w:val="es-MX"/>
        </w:rPr>
        <w:t xml:space="preserve"> </w:t>
      </w:r>
      <w:r w:rsidRPr="004A0446">
        <w:rPr>
          <w:rFonts w:ascii="Abadi" w:hAnsi="Abadi" w:cs="Arial"/>
          <w:i/>
          <w:iCs/>
          <w:w w:val="105"/>
          <w:sz w:val="21"/>
          <w:szCs w:val="21"/>
          <w:lang w:val="es-MX"/>
        </w:rPr>
        <w:t>a</w:t>
      </w:r>
      <w:r w:rsidRPr="004A0446">
        <w:rPr>
          <w:rFonts w:ascii="Abadi" w:hAnsi="Abadi" w:cs="Arial"/>
          <w:i/>
          <w:iCs/>
          <w:spacing w:val="-13"/>
          <w:w w:val="105"/>
          <w:sz w:val="21"/>
          <w:szCs w:val="21"/>
          <w:lang w:val="es-MX"/>
        </w:rPr>
        <w:t xml:space="preserve"> </w:t>
      </w:r>
      <w:r w:rsidRPr="004A0446">
        <w:rPr>
          <w:rFonts w:ascii="Abadi" w:hAnsi="Abadi" w:cs="Arial"/>
          <w:i/>
          <w:iCs/>
          <w:w w:val="105"/>
          <w:sz w:val="21"/>
          <w:szCs w:val="21"/>
          <w:lang w:val="es-MX"/>
        </w:rPr>
        <w:t>pacientes</w:t>
      </w:r>
      <w:r w:rsidRPr="004A0446">
        <w:rPr>
          <w:rFonts w:ascii="Abadi" w:hAnsi="Abadi" w:cs="Arial"/>
          <w:i/>
          <w:iCs/>
          <w:spacing w:val="-14"/>
          <w:w w:val="105"/>
          <w:sz w:val="21"/>
          <w:szCs w:val="21"/>
          <w:lang w:val="es-MX"/>
        </w:rPr>
        <w:t xml:space="preserve"> </w:t>
      </w:r>
      <w:r w:rsidRPr="004A0446">
        <w:rPr>
          <w:rFonts w:ascii="Abadi" w:hAnsi="Abadi" w:cs="Arial"/>
          <w:i/>
          <w:iCs/>
          <w:w w:val="105"/>
          <w:sz w:val="21"/>
          <w:szCs w:val="21"/>
          <w:lang w:val="es-MX"/>
        </w:rPr>
        <w:t>con</w:t>
      </w:r>
      <w:r w:rsidRPr="004A0446">
        <w:rPr>
          <w:rFonts w:ascii="Abadi" w:hAnsi="Abadi" w:cs="Arial"/>
          <w:i/>
          <w:iCs/>
          <w:spacing w:val="-14"/>
          <w:w w:val="105"/>
          <w:sz w:val="21"/>
          <w:szCs w:val="21"/>
          <w:lang w:val="es-MX"/>
        </w:rPr>
        <w:t xml:space="preserve"> </w:t>
      </w:r>
      <w:r w:rsidRPr="004A0446">
        <w:rPr>
          <w:rFonts w:ascii="Abadi" w:hAnsi="Abadi" w:cs="Arial"/>
          <w:i/>
          <w:iCs/>
          <w:w w:val="105"/>
          <w:sz w:val="21"/>
          <w:szCs w:val="21"/>
          <w:lang w:val="es-MX"/>
        </w:rPr>
        <w:t>conducta</w:t>
      </w:r>
      <w:r w:rsidRPr="004A0446">
        <w:rPr>
          <w:rFonts w:ascii="Abadi" w:hAnsi="Abadi" w:cs="Arial"/>
          <w:i/>
          <w:iCs/>
          <w:spacing w:val="-14"/>
          <w:w w:val="105"/>
          <w:sz w:val="21"/>
          <w:szCs w:val="21"/>
          <w:lang w:val="es-MX"/>
        </w:rPr>
        <w:t xml:space="preserve"> </w:t>
      </w:r>
      <w:r w:rsidRPr="004A0446">
        <w:rPr>
          <w:rFonts w:ascii="Abadi" w:hAnsi="Abadi" w:cs="Arial"/>
          <w:i/>
          <w:iCs/>
          <w:w w:val="105"/>
          <w:sz w:val="21"/>
          <w:szCs w:val="21"/>
          <w:lang w:val="es-MX"/>
        </w:rPr>
        <w:t>suicida,</w:t>
      </w:r>
      <w:r w:rsidRPr="004A0446">
        <w:rPr>
          <w:rFonts w:ascii="Abadi" w:hAnsi="Abadi" w:cs="Arial"/>
          <w:i/>
          <w:iCs/>
          <w:spacing w:val="-14"/>
          <w:w w:val="105"/>
          <w:sz w:val="21"/>
          <w:szCs w:val="21"/>
          <w:lang w:val="es-MX"/>
        </w:rPr>
        <w:t xml:space="preserve"> </w:t>
      </w:r>
      <w:r w:rsidRPr="004A0446">
        <w:rPr>
          <w:rFonts w:ascii="Abadi" w:hAnsi="Abadi" w:cs="Arial"/>
          <w:i/>
          <w:iCs/>
          <w:w w:val="105"/>
          <w:sz w:val="21"/>
          <w:szCs w:val="21"/>
          <w:lang w:val="es-MX"/>
        </w:rPr>
        <w:t>están</w:t>
      </w:r>
      <w:r w:rsidRPr="004A0446">
        <w:rPr>
          <w:rFonts w:ascii="Abadi" w:hAnsi="Abadi" w:cs="Arial"/>
          <w:i/>
          <w:iCs/>
          <w:spacing w:val="-14"/>
          <w:w w:val="105"/>
          <w:sz w:val="21"/>
          <w:szCs w:val="21"/>
          <w:lang w:val="es-MX"/>
        </w:rPr>
        <w:t xml:space="preserve"> </w:t>
      </w:r>
      <w:r w:rsidRPr="004A0446">
        <w:rPr>
          <w:rFonts w:ascii="Abadi" w:hAnsi="Abadi" w:cs="Arial"/>
          <w:i/>
          <w:iCs/>
          <w:w w:val="105"/>
          <w:sz w:val="21"/>
          <w:szCs w:val="21"/>
          <w:lang w:val="es-MX"/>
        </w:rPr>
        <w:t>obligados</w:t>
      </w:r>
      <w:r w:rsidRPr="004A0446">
        <w:rPr>
          <w:rFonts w:ascii="Abadi" w:hAnsi="Abadi" w:cs="Arial"/>
          <w:i/>
          <w:iCs/>
          <w:spacing w:val="-13"/>
          <w:w w:val="105"/>
          <w:sz w:val="21"/>
          <w:szCs w:val="21"/>
          <w:lang w:val="es-MX"/>
        </w:rPr>
        <w:t xml:space="preserve"> </w:t>
      </w:r>
      <w:r w:rsidRPr="004A0446">
        <w:rPr>
          <w:rFonts w:ascii="Abadi" w:hAnsi="Abadi" w:cs="Arial"/>
          <w:i/>
          <w:iCs/>
          <w:w w:val="105"/>
          <w:sz w:val="21"/>
          <w:szCs w:val="21"/>
          <w:lang w:val="es-MX"/>
        </w:rPr>
        <w:t>a</w:t>
      </w:r>
      <w:r w:rsidRPr="004A0446">
        <w:rPr>
          <w:rFonts w:ascii="Abadi" w:hAnsi="Abadi" w:cs="Arial"/>
          <w:i/>
          <w:iCs/>
          <w:spacing w:val="-12"/>
          <w:w w:val="105"/>
          <w:sz w:val="21"/>
          <w:szCs w:val="21"/>
          <w:lang w:val="es-MX"/>
        </w:rPr>
        <w:t xml:space="preserve"> </w:t>
      </w:r>
      <w:r w:rsidRPr="004A0446">
        <w:rPr>
          <w:rFonts w:ascii="Abadi" w:hAnsi="Abadi" w:cs="Arial"/>
          <w:i/>
          <w:iCs/>
          <w:w w:val="105"/>
          <w:sz w:val="21"/>
          <w:szCs w:val="21"/>
          <w:lang w:val="es-MX"/>
        </w:rPr>
        <w:t>la</w:t>
      </w:r>
      <w:r w:rsidRPr="004A0446">
        <w:rPr>
          <w:rFonts w:ascii="Abadi" w:hAnsi="Abadi" w:cs="Arial"/>
          <w:i/>
          <w:iCs/>
          <w:spacing w:val="-14"/>
          <w:w w:val="105"/>
          <w:sz w:val="21"/>
          <w:szCs w:val="21"/>
          <w:lang w:val="es-MX"/>
        </w:rPr>
        <w:t xml:space="preserve"> </w:t>
      </w:r>
      <w:r w:rsidRPr="004A0446">
        <w:rPr>
          <w:rFonts w:ascii="Abadi" w:hAnsi="Abadi" w:cs="Arial"/>
          <w:i/>
          <w:iCs/>
          <w:w w:val="105"/>
          <w:sz w:val="21"/>
          <w:szCs w:val="21"/>
          <w:lang w:val="es-MX"/>
        </w:rPr>
        <w:t>confidencialidad</w:t>
      </w:r>
      <w:r w:rsidRPr="004A0446">
        <w:rPr>
          <w:rFonts w:ascii="Abadi" w:hAnsi="Abadi" w:cs="Arial"/>
          <w:i/>
          <w:iCs/>
          <w:spacing w:val="-14"/>
          <w:w w:val="105"/>
          <w:sz w:val="21"/>
          <w:szCs w:val="21"/>
          <w:lang w:val="es-MX"/>
        </w:rPr>
        <w:t xml:space="preserve"> </w:t>
      </w:r>
      <w:r w:rsidRPr="004A0446">
        <w:rPr>
          <w:rFonts w:ascii="Abadi" w:hAnsi="Abadi" w:cs="Arial"/>
          <w:i/>
          <w:iCs/>
          <w:w w:val="105"/>
          <w:sz w:val="21"/>
          <w:szCs w:val="21"/>
          <w:lang w:val="es-MX"/>
        </w:rPr>
        <w:t>de</w:t>
      </w:r>
      <w:r w:rsidRPr="004A0446">
        <w:rPr>
          <w:rFonts w:ascii="Abadi" w:hAnsi="Abadi" w:cs="Arial"/>
          <w:i/>
          <w:iCs/>
          <w:spacing w:val="-13"/>
          <w:w w:val="105"/>
          <w:sz w:val="21"/>
          <w:szCs w:val="21"/>
          <w:lang w:val="es-MX"/>
        </w:rPr>
        <w:t xml:space="preserve"> </w:t>
      </w:r>
      <w:r w:rsidRPr="004A0446">
        <w:rPr>
          <w:rFonts w:ascii="Abadi" w:hAnsi="Abadi" w:cs="Arial"/>
          <w:i/>
          <w:iCs/>
          <w:w w:val="105"/>
          <w:sz w:val="21"/>
          <w:szCs w:val="21"/>
          <w:lang w:val="es-MX"/>
        </w:rPr>
        <w:t>la</w:t>
      </w:r>
      <w:r w:rsidRPr="004A0446">
        <w:rPr>
          <w:rFonts w:ascii="Abadi" w:hAnsi="Abadi" w:cs="Arial"/>
          <w:i/>
          <w:iCs/>
          <w:spacing w:val="-14"/>
          <w:w w:val="105"/>
          <w:sz w:val="21"/>
          <w:szCs w:val="21"/>
          <w:lang w:val="es-MX"/>
        </w:rPr>
        <w:t xml:space="preserve"> </w:t>
      </w:r>
      <w:r w:rsidRPr="004A0446">
        <w:rPr>
          <w:rFonts w:ascii="Abadi" w:hAnsi="Abadi" w:cs="Arial"/>
          <w:i/>
          <w:iCs/>
          <w:w w:val="105"/>
          <w:sz w:val="21"/>
          <w:szCs w:val="21"/>
          <w:lang w:val="es-MX"/>
        </w:rPr>
        <w:t xml:space="preserve">información, </w:t>
      </w:r>
      <w:r w:rsidRPr="004A0446">
        <w:rPr>
          <w:rFonts w:ascii="Abadi" w:hAnsi="Abadi" w:cs="Arial"/>
          <w:b/>
          <w:bCs/>
          <w:i/>
          <w:iCs/>
          <w:w w:val="105"/>
          <w:sz w:val="21"/>
          <w:szCs w:val="21"/>
          <w:lang w:val="es-MX"/>
        </w:rPr>
        <w:t>respetando en todo momento la dignidad de la víctima (paciente) y de su familia</w:t>
      </w:r>
      <w:r w:rsidRPr="004A0446">
        <w:rPr>
          <w:rFonts w:ascii="Abadi" w:hAnsi="Abadi" w:cs="Arial"/>
          <w:i/>
          <w:iCs/>
          <w:w w:val="105"/>
          <w:sz w:val="21"/>
          <w:szCs w:val="21"/>
          <w:lang w:val="es-MX"/>
        </w:rPr>
        <w:t>, en apego a lo establecido por la Ley de Protección de</w:t>
      </w:r>
      <w:r w:rsidRPr="004A0446">
        <w:rPr>
          <w:rFonts w:ascii="Abadi" w:hAnsi="Abadi" w:cs="Arial"/>
          <w:i/>
          <w:iCs/>
          <w:spacing w:val="-1"/>
          <w:w w:val="105"/>
          <w:sz w:val="21"/>
          <w:szCs w:val="21"/>
          <w:lang w:val="es-MX"/>
        </w:rPr>
        <w:t xml:space="preserve"> </w:t>
      </w:r>
      <w:r w:rsidRPr="004A0446">
        <w:rPr>
          <w:rFonts w:ascii="Abadi" w:hAnsi="Abadi" w:cs="Arial"/>
          <w:i/>
          <w:iCs/>
          <w:w w:val="105"/>
          <w:sz w:val="21"/>
          <w:szCs w:val="21"/>
          <w:lang w:val="es-MX"/>
        </w:rPr>
        <w:t>Datos Personales en</w:t>
      </w:r>
      <w:r w:rsidRPr="004A0446">
        <w:rPr>
          <w:rFonts w:ascii="Abadi" w:hAnsi="Abadi" w:cs="Arial"/>
          <w:i/>
          <w:iCs/>
          <w:spacing w:val="-1"/>
          <w:w w:val="105"/>
          <w:sz w:val="21"/>
          <w:szCs w:val="21"/>
          <w:lang w:val="es-MX"/>
        </w:rPr>
        <w:t xml:space="preserve"> </w:t>
      </w:r>
      <w:r w:rsidRPr="004A0446">
        <w:rPr>
          <w:rFonts w:ascii="Abadi" w:hAnsi="Abadi" w:cs="Arial"/>
          <w:i/>
          <w:iCs/>
          <w:w w:val="105"/>
          <w:sz w:val="21"/>
          <w:szCs w:val="21"/>
          <w:lang w:val="es-MX"/>
        </w:rPr>
        <w:t>Posesión de sujetos Obligados para el</w:t>
      </w:r>
      <w:r w:rsidRPr="004A0446">
        <w:rPr>
          <w:rFonts w:ascii="Abadi" w:hAnsi="Abadi" w:cs="Arial"/>
          <w:i/>
          <w:iCs/>
          <w:spacing w:val="-1"/>
          <w:w w:val="105"/>
          <w:sz w:val="21"/>
          <w:szCs w:val="21"/>
          <w:lang w:val="es-MX"/>
        </w:rPr>
        <w:t xml:space="preserve"> </w:t>
      </w:r>
      <w:r w:rsidRPr="004A0446">
        <w:rPr>
          <w:rFonts w:ascii="Abadi" w:hAnsi="Abadi" w:cs="Arial"/>
          <w:i/>
          <w:iCs/>
          <w:w w:val="105"/>
          <w:sz w:val="21"/>
          <w:szCs w:val="21"/>
          <w:lang w:val="es-MX"/>
        </w:rPr>
        <w:t xml:space="preserve">Estado de Guanajuato. Es importante, </w:t>
      </w:r>
      <w:r w:rsidRPr="004A0446">
        <w:rPr>
          <w:rFonts w:ascii="Abadi" w:hAnsi="Abadi" w:cs="Arial"/>
          <w:i/>
          <w:iCs/>
          <w:w w:val="105"/>
          <w:sz w:val="21"/>
          <w:szCs w:val="21"/>
          <w:lang w:val="es-ES_tradnl"/>
        </w:rPr>
        <w:t xml:space="preserve">recordar </w:t>
      </w:r>
      <w:r w:rsidRPr="004A0446">
        <w:rPr>
          <w:rFonts w:ascii="Abadi" w:hAnsi="Abadi" w:cs="Arial"/>
          <w:i/>
          <w:iCs/>
          <w:w w:val="105"/>
          <w:sz w:val="21"/>
          <w:szCs w:val="21"/>
          <w:lang w:val="es-MX"/>
        </w:rPr>
        <w:t>que, al intervenir el sector privado, serán los encargados de resguardar y respetar el</w:t>
      </w:r>
      <w:r w:rsidRPr="004A0446">
        <w:rPr>
          <w:rFonts w:ascii="Abadi" w:hAnsi="Abadi" w:cs="Arial"/>
          <w:i/>
          <w:iCs/>
          <w:spacing w:val="-9"/>
          <w:w w:val="105"/>
          <w:sz w:val="21"/>
          <w:szCs w:val="21"/>
          <w:lang w:val="es-MX"/>
        </w:rPr>
        <w:t xml:space="preserve"> </w:t>
      </w:r>
      <w:r w:rsidRPr="004A0446">
        <w:rPr>
          <w:rFonts w:ascii="Abadi" w:hAnsi="Abadi" w:cs="Arial"/>
          <w:i/>
          <w:iCs/>
          <w:w w:val="105"/>
          <w:sz w:val="21"/>
          <w:szCs w:val="21"/>
          <w:lang w:val="es-MX"/>
        </w:rPr>
        <w:t>derecho</w:t>
      </w:r>
      <w:r w:rsidRPr="004A0446">
        <w:rPr>
          <w:rFonts w:ascii="Abadi" w:hAnsi="Abadi" w:cs="Arial"/>
          <w:i/>
          <w:iCs/>
          <w:spacing w:val="-2"/>
          <w:w w:val="105"/>
          <w:sz w:val="21"/>
          <w:szCs w:val="21"/>
          <w:lang w:val="es-MX"/>
        </w:rPr>
        <w:t xml:space="preserve"> </w:t>
      </w:r>
      <w:r w:rsidRPr="004A0446">
        <w:rPr>
          <w:rFonts w:ascii="Abadi" w:hAnsi="Abadi" w:cs="Arial"/>
          <w:i/>
          <w:iCs/>
          <w:w w:val="105"/>
          <w:sz w:val="21"/>
          <w:szCs w:val="21"/>
          <w:lang w:val="es-MX"/>
        </w:rPr>
        <w:t>humano</w:t>
      </w:r>
      <w:r w:rsidRPr="004A0446">
        <w:rPr>
          <w:rFonts w:ascii="Abadi" w:hAnsi="Abadi" w:cs="Arial"/>
          <w:i/>
          <w:iCs/>
          <w:spacing w:val="-3"/>
          <w:w w:val="105"/>
          <w:sz w:val="21"/>
          <w:szCs w:val="21"/>
          <w:lang w:val="es-MX"/>
        </w:rPr>
        <w:t xml:space="preserve"> </w:t>
      </w:r>
      <w:r w:rsidRPr="004A0446">
        <w:rPr>
          <w:rFonts w:ascii="Abadi" w:hAnsi="Abadi" w:cs="Arial"/>
          <w:i/>
          <w:iCs/>
          <w:w w:val="105"/>
          <w:sz w:val="21"/>
          <w:szCs w:val="21"/>
          <w:lang w:val="es-MX"/>
        </w:rPr>
        <w:t>a</w:t>
      </w:r>
      <w:r w:rsidRPr="004A0446">
        <w:rPr>
          <w:rFonts w:ascii="Abadi" w:hAnsi="Abadi" w:cs="Arial"/>
          <w:i/>
          <w:iCs/>
          <w:spacing w:val="-6"/>
          <w:w w:val="105"/>
          <w:sz w:val="21"/>
          <w:szCs w:val="21"/>
          <w:lang w:val="es-MX"/>
        </w:rPr>
        <w:t xml:space="preserve"> </w:t>
      </w:r>
      <w:r w:rsidRPr="004A0446">
        <w:rPr>
          <w:rFonts w:ascii="Abadi" w:hAnsi="Abadi" w:cs="Arial"/>
          <w:i/>
          <w:iCs/>
          <w:w w:val="105"/>
          <w:sz w:val="21"/>
          <w:szCs w:val="21"/>
          <w:lang w:val="es-MX"/>
        </w:rPr>
        <w:t>la</w:t>
      </w:r>
      <w:r w:rsidRPr="004A0446">
        <w:rPr>
          <w:rFonts w:ascii="Abadi" w:hAnsi="Abadi" w:cs="Arial"/>
          <w:i/>
          <w:iCs/>
          <w:spacing w:val="-5"/>
          <w:w w:val="105"/>
          <w:sz w:val="21"/>
          <w:szCs w:val="21"/>
          <w:lang w:val="es-MX"/>
        </w:rPr>
        <w:t xml:space="preserve"> </w:t>
      </w:r>
      <w:r w:rsidRPr="004A0446">
        <w:rPr>
          <w:rFonts w:ascii="Abadi" w:hAnsi="Abadi" w:cs="Arial"/>
          <w:i/>
          <w:iCs/>
          <w:w w:val="105"/>
          <w:sz w:val="21"/>
          <w:szCs w:val="21"/>
          <w:lang w:val="es-MX"/>
        </w:rPr>
        <w:t>protección de</w:t>
      </w:r>
      <w:r w:rsidRPr="004A0446">
        <w:rPr>
          <w:rFonts w:ascii="Abadi" w:hAnsi="Abadi" w:cs="Arial"/>
          <w:i/>
          <w:iCs/>
          <w:spacing w:val="-8"/>
          <w:w w:val="105"/>
          <w:sz w:val="21"/>
          <w:szCs w:val="21"/>
          <w:lang w:val="es-MX"/>
        </w:rPr>
        <w:t xml:space="preserve"> </w:t>
      </w:r>
      <w:r w:rsidRPr="004A0446">
        <w:rPr>
          <w:rFonts w:ascii="Abadi" w:hAnsi="Abadi" w:cs="Arial"/>
          <w:i/>
          <w:iCs/>
          <w:w w:val="105"/>
          <w:sz w:val="21"/>
          <w:szCs w:val="21"/>
          <w:lang w:val="es-MX"/>
        </w:rPr>
        <w:t>los</w:t>
      </w:r>
      <w:r w:rsidRPr="004A0446">
        <w:rPr>
          <w:rFonts w:ascii="Abadi" w:hAnsi="Abadi" w:cs="Arial"/>
          <w:i/>
          <w:iCs/>
          <w:spacing w:val="-13"/>
          <w:w w:val="105"/>
          <w:sz w:val="21"/>
          <w:szCs w:val="21"/>
          <w:lang w:val="es-MX"/>
        </w:rPr>
        <w:t xml:space="preserve"> </w:t>
      </w:r>
      <w:r w:rsidRPr="004A0446">
        <w:rPr>
          <w:rFonts w:ascii="Abadi" w:hAnsi="Abadi" w:cs="Arial"/>
          <w:i/>
          <w:iCs/>
          <w:w w:val="105"/>
          <w:sz w:val="21"/>
          <w:szCs w:val="21"/>
          <w:lang w:val="es-MX"/>
        </w:rPr>
        <w:t>datos</w:t>
      </w:r>
      <w:r w:rsidRPr="004A0446">
        <w:rPr>
          <w:rFonts w:ascii="Abadi" w:hAnsi="Abadi" w:cs="Arial"/>
          <w:i/>
          <w:iCs/>
          <w:spacing w:val="-6"/>
          <w:w w:val="105"/>
          <w:sz w:val="21"/>
          <w:szCs w:val="21"/>
          <w:lang w:val="es-MX"/>
        </w:rPr>
        <w:t xml:space="preserve"> </w:t>
      </w:r>
      <w:r w:rsidRPr="004A0446">
        <w:rPr>
          <w:rFonts w:ascii="Abadi" w:hAnsi="Abadi" w:cs="Arial"/>
          <w:i/>
          <w:iCs/>
          <w:w w:val="105"/>
          <w:sz w:val="21"/>
          <w:szCs w:val="21"/>
          <w:lang w:val="es-MX"/>
        </w:rPr>
        <w:t>personales de</w:t>
      </w:r>
      <w:r w:rsidRPr="004A0446">
        <w:rPr>
          <w:rFonts w:ascii="Abadi" w:hAnsi="Abadi" w:cs="Arial"/>
          <w:i/>
          <w:iCs/>
          <w:spacing w:val="-11"/>
          <w:w w:val="105"/>
          <w:sz w:val="21"/>
          <w:szCs w:val="21"/>
          <w:lang w:val="es-MX"/>
        </w:rPr>
        <w:t xml:space="preserve"> </w:t>
      </w:r>
      <w:r w:rsidRPr="004A0446">
        <w:rPr>
          <w:rFonts w:ascii="Abadi" w:hAnsi="Abadi" w:cs="Arial"/>
          <w:i/>
          <w:iCs/>
          <w:w w:val="105"/>
          <w:sz w:val="21"/>
          <w:szCs w:val="21"/>
          <w:lang w:val="es-MX"/>
        </w:rPr>
        <w:t>sus</w:t>
      </w:r>
      <w:r w:rsidRPr="004A0446">
        <w:rPr>
          <w:rFonts w:ascii="Abadi" w:hAnsi="Abadi" w:cs="Arial"/>
          <w:i/>
          <w:iCs/>
          <w:spacing w:val="-8"/>
          <w:w w:val="105"/>
          <w:sz w:val="21"/>
          <w:szCs w:val="21"/>
          <w:lang w:val="es-MX"/>
        </w:rPr>
        <w:t xml:space="preserve"> </w:t>
      </w:r>
      <w:r w:rsidRPr="004A0446">
        <w:rPr>
          <w:rFonts w:ascii="Abadi" w:hAnsi="Abadi" w:cs="Arial"/>
          <w:i/>
          <w:iCs/>
          <w:w w:val="105"/>
          <w:sz w:val="21"/>
          <w:szCs w:val="21"/>
          <w:lang w:val="es-MX"/>
        </w:rPr>
        <w:t>usuarios,</w:t>
      </w:r>
      <w:r w:rsidRPr="004A0446">
        <w:rPr>
          <w:rFonts w:ascii="Abadi" w:hAnsi="Abadi" w:cs="Arial"/>
          <w:i/>
          <w:iCs/>
          <w:spacing w:val="-5"/>
          <w:w w:val="105"/>
          <w:sz w:val="21"/>
          <w:szCs w:val="21"/>
          <w:lang w:val="es-MX"/>
        </w:rPr>
        <w:t xml:space="preserve"> </w:t>
      </w:r>
      <w:r w:rsidRPr="004A0446">
        <w:rPr>
          <w:rFonts w:ascii="Abadi" w:hAnsi="Abadi" w:cs="Arial"/>
          <w:i/>
          <w:iCs/>
          <w:w w:val="105"/>
          <w:sz w:val="21"/>
          <w:szCs w:val="21"/>
          <w:lang w:val="es-MX"/>
        </w:rPr>
        <w:t>atendiendo</w:t>
      </w:r>
      <w:r w:rsidRPr="004A0446">
        <w:rPr>
          <w:rFonts w:ascii="Abadi" w:hAnsi="Abadi" w:cs="Arial"/>
          <w:i/>
          <w:iCs/>
          <w:spacing w:val="-2"/>
          <w:w w:val="105"/>
          <w:sz w:val="21"/>
          <w:szCs w:val="21"/>
          <w:lang w:val="es-MX"/>
        </w:rPr>
        <w:t xml:space="preserve"> </w:t>
      </w:r>
      <w:r w:rsidRPr="004A0446">
        <w:rPr>
          <w:rFonts w:ascii="Abadi" w:hAnsi="Abadi" w:cs="Arial"/>
          <w:i/>
          <w:iCs/>
          <w:w w:val="105"/>
          <w:sz w:val="21"/>
          <w:szCs w:val="21"/>
          <w:lang w:val="es-MX"/>
        </w:rPr>
        <w:t>a</w:t>
      </w:r>
      <w:r w:rsidRPr="004A0446">
        <w:rPr>
          <w:rFonts w:ascii="Abadi" w:hAnsi="Abadi" w:cs="Arial"/>
          <w:i/>
          <w:iCs/>
          <w:spacing w:val="-6"/>
          <w:w w:val="105"/>
          <w:sz w:val="21"/>
          <w:szCs w:val="21"/>
          <w:lang w:val="es-MX"/>
        </w:rPr>
        <w:t xml:space="preserve"> </w:t>
      </w:r>
      <w:r w:rsidRPr="004A0446">
        <w:rPr>
          <w:rFonts w:ascii="Abadi" w:hAnsi="Abadi" w:cs="Arial"/>
          <w:i/>
          <w:iCs/>
          <w:w w:val="105"/>
          <w:sz w:val="21"/>
          <w:szCs w:val="21"/>
          <w:lang w:val="es-MX"/>
        </w:rPr>
        <w:t>las</w:t>
      </w:r>
      <w:r w:rsidRPr="004A0446">
        <w:rPr>
          <w:rFonts w:ascii="Abadi" w:hAnsi="Abadi" w:cs="Arial"/>
          <w:i/>
          <w:iCs/>
          <w:spacing w:val="-9"/>
          <w:w w:val="105"/>
          <w:sz w:val="21"/>
          <w:szCs w:val="21"/>
          <w:lang w:val="es-MX"/>
        </w:rPr>
        <w:t xml:space="preserve"> </w:t>
      </w:r>
      <w:r w:rsidRPr="004A0446">
        <w:rPr>
          <w:rFonts w:ascii="Abadi" w:hAnsi="Abadi" w:cs="Arial"/>
          <w:i/>
          <w:iCs/>
          <w:w w:val="105"/>
          <w:sz w:val="21"/>
          <w:szCs w:val="21"/>
          <w:lang w:val="es-MX"/>
        </w:rPr>
        <w:t xml:space="preserve">sanciones que </w:t>
      </w:r>
      <w:r w:rsidRPr="004A0446">
        <w:rPr>
          <w:rFonts w:ascii="Abadi" w:hAnsi="Abadi" w:cs="Arial"/>
          <w:i/>
          <w:iCs/>
          <w:w w:val="105"/>
          <w:sz w:val="21"/>
          <w:szCs w:val="21"/>
          <w:lang w:val="es-ES_tradnl"/>
        </w:rPr>
        <w:t>que establece</w:t>
      </w:r>
      <w:r w:rsidRPr="004A0446">
        <w:rPr>
          <w:rFonts w:ascii="Abadi" w:hAnsi="Abadi" w:cs="Arial"/>
          <w:i/>
          <w:iCs/>
          <w:w w:val="105"/>
          <w:sz w:val="21"/>
          <w:szCs w:val="21"/>
          <w:lang w:val="es-MX"/>
        </w:rPr>
        <w:t xml:space="preserve"> la Ley Federal de</w:t>
      </w:r>
      <w:r w:rsidRPr="004A0446">
        <w:rPr>
          <w:rFonts w:ascii="Abadi" w:hAnsi="Abadi" w:cs="Arial"/>
          <w:i/>
          <w:iCs/>
          <w:spacing w:val="-2"/>
          <w:w w:val="105"/>
          <w:sz w:val="21"/>
          <w:szCs w:val="21"/>
          <w:lang w:val="es-MX"/>
        </w:rPr>
        <w:t xml:space="preserve"> </w:t>
      </w:r>
      <w:r w:rsidRPr="004A0446">
        <w:rPr>
          <w:rFonts w:ascii="Abadi" w:hAnsi="Abadi" w:cs="Arial"/>
          <w:i/>
          <w:iCs/>
          <w:w w:val="105"/>
          <w:sz w:val="21"/>
          <w:szCs w:val="21"/>
          <w:lang w:val="es-MX"/>
        </w:rPr>
        <w:t>Protección de</w:t>
      </w:r>
      <w:r w:rsidRPr="004A0446">
        <w:rPr>
          <w:rFonts w:ascii="Abadi" w:hAnsi="Abadi" w:cs="Arial"/>
          <w:i/>
          <w:iCs/>
          <w:spacing w:val="-1"/>
          <w:w w:val="105"/>
          <w:sz w:val="21"/>
          <w:szCs w:val="21"/>
          <w:lang w:val="es-MX"/>
        </w:rPr>
        <w:t xml:space="preserve"> </w:t>
      </w:r>
      <w:r w:rsidRPr="004A0446">
        <w:rPr>
          <w:rFonts w:ascii="Abadi" w:hAnsi="Abadi" w:cs="Arial"/>
          <w:i/>
          <w:iCs/>
          <w:w w:val="105"/>
          <w:sz w:val="21"/>
          <w:szCs w:val="21"/>
          <w:lang w:val="es-MX"/>
        </w:rPr>
        <w:t>Datos Personales en Posesión de los Particulares, así</w:t>
      </w:r>
      <w:r w:rsidRPr="004A0446">
        <w:rPr>
          <w:rFonts w:ascii="Abadi" w:hAnsi="Abadi" w:cs="Arial"/>
          <w:i/>
          <w:iCs/>
          <w:spacing w:val="-8"/>
          <w:w w:val="105"/>
          <w:sz w:val="21"/>
          <w:szCs w:val="21"/>
          <w:lang w:val="es-MX"/>
        </w:rPr>
        <w:t xml:space="preserve"> </w:t>
      </w:r>
      <w:r w:rsidRPr="004A0446">
        <w:rPr>
          <w:rFonts w:ascii="Abadi" w:hAnsi="Abadi" w:cs="Arial"/>
          <w:i/>
          <w:iCs/>
          <w:w w:val="105"/>
          <w:sz w:val="21"/>
          <w:szCs w:val="21"/>
          <w:lang w:val="es-MX"/>
        </w:rPr>
        <w:t>como del Reglamento de la misma.</w:t>
      </w:r>
    </w:p>
    <w:p w14:paraId="606B87D4" w14:textId="77777777" w:rsidR="00E3434F" w:rsidRPr="004A0446" w:rsidRDefault="00E3434F" w:rsidP="00F3730A">
      <w:pPr>
        <w:spacing w:before="1"/>
        <w:ind w:left="-426" w:right="-518" w:firstLine="426"/>
        <w:jc w:val="both"/>
        <w:rPr>
          <w:rFonts w:ascii="Abadi" w:hAnsi="Abadi" w:cs="Arial"/>
          <w:b/>
          <w:bCs/>
          <w:i/>
          <w:iCs/>
          <w:w w:val="105"/>
          <w:sz w:val="21"/>
          <w:szCs w:val="21"/>
          <w:lang w:val="es-MX"/>
        </w:rPr>
      </w:pPr>
    </w:p>
    <w:p w14:paraId="1846B2C6" w14:textId="77777777" w:rsidR="00E3434F" w:rsidRPr="004A0446" w:rsidRDefault="00E3434F" w:rsidP="00F3730A">
      <w:pPr>
        <w:widowControl w:val="0"/>
        <w:tabs>
          <w:tab w:val="left" w:pos="8647"/>
        </w:tabs>
        <w:ind w:left="1134" w:right="567" w:firstLine="567"/>
        <w:jc w:val="both"/>
        <w:rPr>
          <w:rFonts w:ascii="Abadi" w:hAnsi="Abadi" w:cs="Arial"/>
          <w:i/>
          <w:iCs/>
          <w:w w:val="105"/>
          <w:sz w:val="21"/>
          <w:szCs w:val="21"/>
        </w:rPr>
      </w:pPr>
      <w:r w:rsidRPr="004A0446">
        <w:rPr>
          <w:rFonts w:ascii="Abadi" w:hAnsi="Abadi" w:cs="Arial"/>
          <w:i/>
          <w:iCs/>
          <w:w w:val="105"/>
          <w:sz w:val="21"/>
          <w:szCs w:val="21"/>
        </w:rPr>
        <w:t xml:space="preserve">Por lo que respecta al artículo 21 de la multicitada iniciativa, se señala que </w:t>
      </w:r>
      <w:r w:rsidRPr="004A0446">
        <w:rPr>
          <w:rFonts w:ascii="Abadi" w:hAnsi="Abadi" w:cs="Arial"/>
          <w:b/>
          <w:i/>
          <w:iCs/>
          <w:w w:val="105"/>
          <w:sz w:val="21"/>
          <w:szCs w:val="21"/>
        </w:rPr>
        <w:t>todos los</w:t>
      </w:r>
      <w:r w:rsidRPr="004A0446">
        <w:rPr>
          <w:rFonts w:ascii="Abadi" w:hAnsi="Abadi" w:cs="Arial"/>
          <w:b/>
          <w:i/>
          <w:iCs/>
          <w:spacing w:val="-2"/>
          <w:w w:val="105"/>
          <w:sz w:val="21"/>
          <w:szCs w:val="21"/>
        </w:rPr>
        <w:t xml:space="preserve"> </w:t>
      </w:r>
      <w:r w:rsidRPr="004A0446">
        <w:rPr>
          <w:rFonts w:ascii="Abadi" w:hAnsi="Abadi" w:cs="Arial"/>
          <w:b/>
          <w:i/>
          <w:iCs/>
          <w:w w:val="105"/>
          <w:sz w:val="21"/>
          <w:szCs w:val="21"/>
        </w:rPr>
        <w:t xml:space="preserve">centros de atención médica, públicos y </w:t>
      </w:r>
      <w:r w:rsidRPr="004A0446">
        <w:rPr>
          <w:rFonts w:ascii="Abadi" w:hAnsi="Abadi" w:cs="Arial"/>
          <w:b/>
          <w:i/>
          <w:iCs/>
          <w:w w:val="105"/>
          <w:sz w:val="21"/>
          <w:szCs w:val="21"/>
          <w:u w:val="thick"/>
        </w:rPr>
        <w:t>privados,</w:t>
      </w:r>
      <w:r w:rsidRPr="004A0446">
        <w:rPr>
          <w:rFonts w:ascii="Abadi" w:hAnsi="Abadi" w:cs="Arial"/>
          <w:b/>
          <w:i/>
          <w:iCs/>
          <w:w w:val="105"/>
          <w:sz w:val="21"/>
          <w:szCs w:val="21"/>
        </w:rPr>
        <w:t xml:space="preserve"> estarán obligados a brindar cobertura asistencial de </w:t>
      </w:r>
      <w:r w:rsidRPr="004A0446">
        <w:rPr>
          <w:rFonts w:ascii="Abadi" w:hAnsi="Abadi" w:cs="Arial"/>
          <w:b/>
          <w:i/>
          <w:iCs/>
          <w:sz w:val="21"/>
          <w:szCs w:val="21"/>
        </w:rPr>
        <w:t>emergencia a</w:t>
      </w:r>
      <w:r w:rsidRPr="004A0446">
        <w:rPr>
          <w:rFonts w:ascii="Abadi" w:hAnsi="Abadi" w:cs="Arial"/>
          <w:b/>
          <w:i/>
          <w:iCs/>
          <w:spacing w:val="-2"/>
          <w:sz w:val="21"/>
          <w:szCs w:val="21"/>
        </w:rPr>
        <w:t xml:space="preserve"> </w:t>
      </w:r>
      <w:r w:rsidRPr="004A0446">
        <w:rPr>
          <w:rFonts w:ascii="Abadi" w:hAnsi="Abadi" w:cs="Arial"/>
          <w:b/>
          <w:i/>
          <w:iCs/>
          <w:sz w:val="21"/>
          <w:szCs w:val="21"/>
        </w:rPr>
        <w:t>las</w:t>
      </w:r>
      <w:r w:rsidRPr="004A0446">
        <w:rPr>
          <w:rFonts w:ascii="Abadi" w:hAnsi="Abadi" w:cs="Arial"/>
          <w:b/>
          <w:i/>
          <w:iCs/>
          <w:spacing w:val="-6"/>
          <w:sz w:val="21"/>
          <w:szCs w:val="21"/>
        </w:rPr>
        <w:t xml:space="preserve"> </w:t>
      </w:r>
      <w:r w:rsidRPr="004A0446">
        <w:rPr>
          <w:rFonts w:ascii="Abadi" w:hAnsi="Abadi" w:cs="Arial"/>
          <w:b/>
          <w:i/>
          <w:iCs/>
          <w:sz w:val="21"/>
          <w:szCs w:val="21"/>
        </w:rPr>
        <w:t>personas que</w:t>
      </w:r>
      <w:r w:rsidRPr="004A0446">
        <w:rPr>
          <w:rFonts w:ascii="Abadi" w:hAnsi="Abadi" w:cs="Arial"/>
          <w:b/>
          <w:i/>
          <w:iCs/>
          <w:spacing w:val="-3"/>
          <w:sz w:val="21"/>
          <w:szCs w:val="21"/>
        </w:rPr>
        <w:t xml:space="preserve"> </w:t>
      </w:r>
      <w:r w:rsidRPr="004A0446">
        <w:rPr>
          <w:rFonts w:ascii="Abadi" w:hAnsi="Abadi" w:cs="Arial"/>
          <w:b/>
          <w:i/>
          <w:iCs/>
          <w:sz w:val="21"/>
          <w:szCs w:val="21"/>
        </w:rPr>
        <w:t>hayan</w:t>
      </w:r>
      <w:r w:rsidRPr="004A0446">
        <w:rPr>
          <w:rFonts w:ascii="Abadi" w:hAnsi="Abadi" w:cs="Arial"/>
          <w:b/>
          <w:i/>
          <w:iCs/>
          <w:spacing w:val="-4"/>
          <w:sz w:val="21"/>
          <w:szCs w:val="21"/>
        </w:rPr>
        <w:t xml:space="preserve"> </w:t>
      </w:r>
      <w:r w:rsidRPr="004A0446">
        <w:rPr>
          <w:rFonts w:ascii="Abadi" w:hAnsi="Abadi" w:cs="Arial"/>
          <w:b/>
          <w:i/>
          <w:iCs/>
          <w:sz w:val="21"/>
          <w:szCs w:val="21"/>
        </w:rPr>
        <w:t>intentado suicidarse y</w:t>
      </w:r>
      <w:r w:rsidRPr="004A0446">
        <w:rPr>
          <w:rFonts w:ascii="Abadi" w:hAnsi="Abadi" w:cs="Arial"/>
          <w:b/>
          <w:i/>
          <w:iCs/>
          <w:spacing w:val="-8"/>
          <w:sz w:val="21"/>
          <w:szCs w:val="21"/>
        </w:rPr>
        <w:t xml:space="preserve"> </w:t>
      </w:r>
      <w:r w:rsidRPr="004A0446">
        <w:rPr>
          <w:rFonts w:ascii="Abadi" w:hAnsi="Abadi" w:cs="Arial"/>
          <w:b/>
          <w:i/>
          <w:iCs/>
          <w:sz w:val="21"/>
          <w:szCs w:val="21"/>
        </w:rPr>
        <w:t>a sus</w:t>
      </w:r>
      <w:r w:rsidRPr="004A0446">
        <w:rPr>
          <w:rFonts w:ascii="Abadi" w:hAnsi="Abadi" w:cs="Arial"/>
          <w:b/>
          <w:i/>
          <w:iCs/>
          <w:spacing w:val="-6"/>
          <w:sz w:val="21"/>
          <w:szCs w:val="21"/>
        </w:rPr>
        <w:t xml:space="preserve"> </w:t>
      </w:r>
      <w:r w:rsidRPr="004A0446">
        <w:rPr>
          <w:rFonts w:ascii="Abadi" w:hAnsi="Abadi" w:cs="Arial"/>
          <w:b/>
          <w:i/>
          <w:iCs/>
          <w:sz w:val="21"/>
          <w:szCs w:val="21"/>
        </w:rPr>
        <w:t xml:space="preserve">familias, </w:t>
      </w:r>
      <w:r w:rsidRPr="004A0446">
        <w:rPr>
          <w:rFonts w:ascii="Abadi" w:hAnsi="Abadi" w:cs="Arial"/>
          <w:i/>
          <w:iCs/>
          <w:sz w:val="21"/>
          <w:szCs w:val="21"/>
        </w:rPr>
        <w:t xml:space="preserve">pero no quedan claros los </w:t>
      </w:r>
      <w:r w:rsidRPr="004A0446">
        <w:rPr>
          <w:rFonts w:ascii="Abadi" w:hAnsi="Abadi" w:cs="Arial"/>
          <w:i/>
          <w:iCs/>
          <w:w w:val="105"/>
          <w:sz w:val="21"/>
          <w:szCs w:val="21"/>
        </w:rPr>
        <w:t>alcances</w:t>
      </w:r>
      <w:r w:rsidRPr="004A0446">
        <w:rPr>
          <w:rFonts w:ascii="Abadi" w:hAnsi="Abadi" w:cs="Arial"/>
          <w:i/>
          <w:iCs/>
          <w:spacing w:val="-4"/>
          <w:w w:val="105"/>
          <w:sz w:val="21"/>
          <w:szCs w:val="21"/>
        </w:rPr>
        <w:t xml:space="preserve"> </w:t>
      </w:r>
      <w:r w:rsidRPr="004A0446">
        <w:rPr>
          <w:rFonts w:ascii="Abadi" w:hAnsi="Abadi" w:cs="Arial"/>
          <w:i/>
          <w:iCs/>
          <w:w w:val="105"/>
          <w:sz w:val="21"/>
          <w:szCs w:val="21"/>
        </w:rPr>
        <w:t>del</w:t>
      </w:r>
      <w:r w:rsidRPr="004A0446">
        <w:rPr>
          <w:rFonts w:ascii="Abadi" w:hAnsi="Abadi" w:cs="Arial"/>
          <w:i/>
          <w:iCs/>
          <w:spacing w:val="-5"/>
          <w:w w:val="105"/>
          <w:sz w:val="21"/>
          <w:szCs w:val="21"/>
        </w:rPr>
        <w:t xml:space="preserve"> </w:t>
      </w:r>
      <w:r w:rsidRPr="004A0446">
        <w:rPr>
          <w:rFonts w:ascii="Abadi" w:hAnsi="Abadi" w:cs="Arial"/>
          <w:i/>
          <w:iCs/>
          <w:w w:val="105"/>
          <w:sz w:val="21"/>
          <w:szCs w:val="21"/>
        </w:rPr>
        <w:t>mismo, toda vez que</w:t>
      </w:r>
      <w:r w:rsidRPr="004A0446">
        <w:rPr>
          <w:rFonts w:ascii="Abadi" w:hAnsi="Abadi" w:cs="Arial"/>
          <w:i/>
          <w:iCs/>
          <w:spacing w:val="-1"/>
          <w:w w:val="105"/>
          <w:sz w:val="21"/>
          <w:szCs w:val="21"/>
        </w:rPr>
        <w:t xml:space="preserve"> </w:t>
      </w:r>
      <w:r w:rsidRPr="004A0446">
        <w:rPr>
          <w:rFonts w:ascii="Abadi" w:hAnsi="Abadi" w:cs="Arial"/>
          <w:i/>
          <w:iCs/>
          <w:w w:val="105"/>
          <w:sz w:val="21"/>
          <w:szCs w:val="21"/>
        </w:rPr>
        <w:t>la palabra</w:t>
      </w:r>
      <w:r w:rsidRPr="004A0446">
        <w:rPr>
          <w:rFonts w:ascii="Abadi" w:hAnsi="Abadi" w:cs="Arial"/>
          <w:i/>
          <w:iCs/>
          <w:spacing w:val="20"/>
          <w:w w:val="105"/>
          <w:sz w:val="21"/>
          <w:szCs w:val="21"/>
        </w:rPr>
        <w:t xml:space="preserve"> </w:t>
      </w:r>
      <w:r w:rsidRPr="004A0446">
        <w:rPr>
          <w:rFonts w:ascii="Abadi" w:hAnsi="Abadi" w:cs="Arial"/>
          <w:i/>
          <w:iCs/>
          <w:w w:val="105"/>
          <w:sz w:val="21"/>
          <w:szCs w:val="21"/>
        </w:rPr>
        <w:t>“cobertura”</w:t>
      </w:r>
      <w:r w:rsidRPr="004A0446">
        <w:rPr>
          <w:rFonts w:ascii="Abadi" w:hAnsi="Abadi" w:cs="Arial"/>
          <w:i/>
          <w:iCs/>
          <w:spacing w:val="-14"/>
          <w:w w:val="105"/>
          <w:sz w:val="21"/>
          <w:szCs w:val="21"/>
        </w:rPr>
        <w:t xml:space="preserve"> </w:t>
      </w:r>
      <w:r w:rsidRPr="004A0446">
        <w:rPr>
          <w:rFonts w:ascii="Abadi" w:hAnsi="Abadi" w:cs="Arial"/>
          <w:i/>
          <w:iCs/>
          <w:w w:val="105"/>
          <w:sz w:val="21"/>
          <w:szCs w:val="21"/>
        </w:rPr>
        <w:t>es</w:t>
      </w:r>
      <w:r w:rsidRPr="004A0446">
        <w:rPr>
          <w:rFonts w:ascii="Abadi" w:hAnsi="Abadi" w:cs="Arial"/>
          <w:i/>
          <w:iCs/>
          <w:spacing w:val="-2"/>
          <w:w w:val="105"/>
          <w:sz w:val="21"/>
          <w:szCs w:val="21"/>
        </w:rPr>
        <w:t xml:space="preserve"> </w:t>
      </w:r>
      <w:r w:rsidRPr="004A0446">
        <w:rPr>
          <w:rFonts w:ascii="Abadi" w:hAnsi="Abadi" w:cs="Arial"/>
          <w:i/>
          <w:iCs/>
          <w:w w:val="105"/>
          <w:sz w:val="21"/>
          <w:szCs w:val="21"/>
        </w:rPr>
        <w:t>ambigua, asimismo,</w:t>
      </w:r>
      <w:r w:rsidRPr="004A0446">
        <w:rPr>
          <w:rFonts w:ascii="Abadi" w:hAnsi="Abadi" w:cs="Arial"/>
          <w:i/>
          <w:iCs/>
          <w:spacing w:val="-1"/>
          <w:w w:val="105"/>
          <w:sz w:val="21"/>
          <w:szCs w:val="21"/>
        </w:rPr>
        <w:t xml:space="preserve"> </w:t>
      </w:r>
      <w:r w:rsidRPr="004A0446">
        <w:rPr>
          <w:rFonts w:ascii="Abadi" w:hAnsi="Abadi" w:cs="Arial"/>
          <w:i/>
          <w:iCs/>
          <w:w w:val="105"/>
          <w:sz w:val="21"/>
          <w:szCs w:val="21"/>
        </w:rPr>
        <w:t>tampoco se</w:t>
      </w:r>
      <w:r w:rsidRPr="004A0446">
        <w:rPr>
          <w:rFonts w:ascii="Abadi" w:hAnsi="Abadi" w:cs="Arial"/>
          <w:i/>
          <w:iCs/>
          <w:spacing w:val="-9"/>
          <w:w w:val="105"/>
          <w:sz w:val="21"/>
          <w:szCs w:val="21"/>
        </w:rPr>
        <w:t xml:space="preserve"> </w:t>
      </w:r>
      <w:r w:rsidRPr="004A0446">
        <w:rPr>
          <w:rFonts w:ascii="Abadi" w:hAnsi="Abadi" w:cs="Arial"/>
          <w:i/>
          <w:iCs/>
          <w:w w:val="105"/>
          <w:sz w:val="21"/>
          <w:szCs w:val="21"/>
        </w:rPr>
        <w:t>menciona quien va cubrir el</w:t>
      </w:r>
      <w:r w:rsidRPr="004A0446">
        <w:rPr>
          <w:rFonts w:ascii="Abadi" w:hAnsi="Abadi" w:cs="Arial"/>
          <w:i/>
          <w:iCs/>
          <w:spacing w:val="-4"/>
          <w:w w:val="105"/>
          <w:sz w:val="21"/>
          <w:szCs w:val="21"/>
        </w:rPr>
        <w:t xml:space="preserve"> </w:t>
      </w:r>
      <w:r w:rsidRPr="004A0446">
        <w:rPr>
          <w:rFonts w:ascii="Abadi" w:hAnsi="Abadi" w:cs="Arial"/>
          <w:i/>
          <w:iCs/>
          <w:w w:val="105"/>
          <w:sz w:val="21"/>
          <w:szCs w:val="21"/>
        </w:rPr>
        <w:t>costo de</w:t>
      </w:r>
      <w:r w:rsidRPr="004A0446">
        <w:rPr>
          <w:rFonts w:ascii="Abadi" w:hAnsi="Abadi" w:cs="Arial"/>
          <w:i/>
          <w:iCs/>
          <w:spacing w:val="-1"/>
          <w:w w:val="105"/>
          <w:sz w:val="21"/>
          <w:szCs w:val="21"/>
        </w:rPr>
        <w:t xml:space="preserve"> </w:t>
      </w:r>
      <w:r w:rsidRPr="004A0446">
        <w:rPr>
          <w:rFonts w:ascii="Abadi" w:hAnsi="Abadi" w:cs="Arial"/>
          <w:i/>
          <w:iCs/>
          <w:w w:val="105"/>
          <w:sz w:val="21"/>
          <w:szCs w:val="21"/>
        </w:rPr>
        <w:t>dichos servicios en el</w:t>
      </w:r>
      <w:r w:rsidRPr="004A0446">
        <w:rPr>
          <w:rFonts w:ascii="Abadi" w:hAnsi="Abadi" w:cs="Arial"/>
          <w:i/>
          <w:iCs/>
          <w:spacing w:val="-4"/>
          <w:w w:val="105"/>
          <w:sz w:val="21"/>
          <w:szCs w:val="21"/>
        </w:rPr>
        <w:t xml:space="preserve"> </w:t>
      </w:r>
      <w:r w:rsidRPr="004A0446">
        <w:rPr>
          <w:rFonts w:ascii="Abadi" w:hAnsi="Abadi" w:cs="Arial"/>
          <w:i/>
          <w:iCs/>
          <w:w w:val="105"/>
          <w:sz w:val="21"/>
          <w:szCs w:val="21"/>
        </w:rPr>
        <w:t>caso de ser atendidos en</w:t>
      </w:r>
      <w:r w:rsidRPr="004A0446">
        <w:rPr>
          <w:rFonts w:ascii="Abadi" w:hAnsi="Abadi" w:cs="Arial"/>
          <w:i/>
          <w:iCs/>
          <w:spacing w:val="-2"/>
          <w:w w:val="105"/>
          <w:sz w:val="21"/>
          <w:szCs w:val="21"/>
        </w:rPr>
        <w:t xml:space="preserve"> </w:t>
      </w:r>
      <w:r w:rsidRPr="004A0446">
        <w:rPr>
          <w:rFonts w:ascii="Abadi" w:hAnsi="Abadi" w:cs="Arial"/>
          <w:i/>
          <w:iCs/>
          <w:w w:val="105"/>
          <w:sz w:val="21"/>
          <w:szCs w:val="21"/>
        </w:rPr>
        <w:t>centros privados, ya que</w:t>
      </w:r>
      <w:r w:rsidRPr="004A0446">
        <w:rPr>
          <w:rFonts w:ascii="Abadi" w:hAnsi="Abadi" w:cs="Arial"/>
          <w:i/>
          <w:iCs/>
          <w:spacing w:val="-1"/>
          <w:w w:val="105"/>
          <w:sz w:val="21"/>
          <w:szCs w:val="21"/>
        </w:rPr>
        <w:t xml:space="preserve"> </w:t>
      </w:r>
      <w:r w:rsidRPr="004A0446">
        <w:rPr>
          <w:rFonts w:ascii="Abadi" w:hAnsi="Abadi" w:cs="Arial"/>
          <w:i/>
          <w:iCs/>
          <w:w w:val="105"/>
          <w:sz w:val="21"/>
          <w:szCs w:val="21"/>
        </w:rPr>
        <w:t>la esencia de</w:t>
      </w:r>
      <w:r w:rsidRPr="004A0446">
        <w:rPr>
          <w:rFonts w:ascii="Abadi" w:hAnsi="Abadi" w:cs="Arial"/>
          <w:i/>
          <w:iCs/>
          <w:spacing w:val="-2"/>
          <w:w w:val="105"/>
          <w:sz w:val="21"/>
          <w:szCs w:val="21"/>
        </w:rPr>
        <w:t xml:space="preserve"> </w:t>
      </w:r>
      <w:r w:rsidRPr="004A0446">
        <w:rPr>
          <w:rFonts w:ascii="Abadi" w:hAnsi="Abadi" w:cs="Arial"/>
          <w:i/>
          <w:iCs/>
          <w:w w:val="105"/>
          <w:sz w:val="21"/>
          <w:szCs w:val="21"/>
        </w:rPr>
        <w:t xml:space="preserve">dichos </w:t>
      </w:r>
      <w:r w:rsidRPr="004A0446">
        <w:rPr>
          <w:rFonts w:ascii="Abadi" w:hAnsi="Abadi" w:cs="Arial"/>
          <w:i/>
          <w:iCs/>
          <w:sz w:val="21"/>
          <w:szCs w:val="21"/>
        </w:rPr>
        <w:t>establecimientos,</w:t>
      </w:r>
      <w:r w:rsidRPr="004A0446">
        <w:rPr>
          <w:rFonts w:ascii="Abadi" w:hAnsi="Abadi" w:cs="Arial"/>
          <w:i/>
          <w:iCs/>
          <w:spacing w:val="-6"/>
          <w:sz w:val="21"/>
          <w:szCs w:val="21"/>
        </w:rPr>
        <w:t xml:space="preserve"> </w:t>
      </w:r>
      <w:r w:rsidRPr="004A0446">
        <w:rPr>
          <w:rFonts w:ascii="Abadi" w:hAnsi="Abadi" w:cs="Arial"/>
          <w:i/>
          <w:iCs/>
          <w:sz w:val="21"/>
          <w:szCs w:val="21"/>
        </w:rPr>
        <w:t xml:space="preserve">es recibir una contraprestación económica por el servicio que ofrecen, además, queda imperfecto </w:t>
      </w:r>
      <w:r w:rsidRPr="004A0446">
        <w:rPr>
          <w:rFonts w:ascii="Abadi" w:hAnsi="Abadi" w:cs="Arial"/>
          <w:i/>
          <w:iCs/>
          <w:w w:val="105"/>
          <w:sz w:val="21"/>
          <w:szCs w:val="21"/>
        </w:rPr>
        <w:t>pues</w:t>
      </w:r>
      <w:r w:rsidRPr="004A0446">
        <w:rPr>
          <w:rFonts w:ascii="Abadi" w:hAnsi="Abadi" w:cs="Arial"/>
          <w:i/>
          <w:iCs/>
          <w:spacing w:val="-1"/>
          <w:w w:val="105"/>
          <w:sz w:val="21"/>
          <w:szCs w:val="21"/>
        </w:rPr>
        <w:t xml:space="preserve"> </w:t>
      </w:r>
      <w:r w:rsidRPr="004A0446">
        <w:rPr>
          <w:rFonts w:ascii="Abadi" w:hAnsi="Abadi" w:cs="Arial"/>
          <w:i/>
          <w:iCs/>
          <w:w w:val="105"/>
          <w:sz w:val="21"/>
          <w:szCs w:val="21"/>
        </w:rPr>
        <w:t>en el</w:t>
      </w:r>
      <w:r w:rsidRPr="004A0446">
        <w:rPr>
          <w:rFonts w:ascii="Abadi" w:hAnsi="Abadi" w:cs="Arial"/>
          <w:i/>
          <w:iCs/>
          <w:spacing w:val="-4"/>
          <w:w w:val="105"/>
          <w:sz w:val="21"/>
          <w:szCs w:val="21"/>
        </w:rPr>
        <w:t xml:space="preserve"> </w:t>
      </w:r>
      <w:r w:rsidRPr="004A0446">
        <w:rPr>
          <w:rFonts w:ascii="Abadi" w:hAnsi="Abadi" w:cs="Arial"/>
          <w:i/>
          <w:iCs/>
          <w:w w:val="105"/>
          <w:sz w:val="21"/>
          <w:szCs w:val="21"/>
        </w:rPr>
        <w:t>citado numeral, no se contempla</w:t>
      </w:r>
      <w:r w:rsidRPr="004A0446">
        <w:rPr>
          <w:rFonts w:ascii="Abadi" w:hAnsi="Abadi" w:cs="Arial"/>
          <w:i/>
          <w:iCs/>
          <w:spacing w:val="25"/>
          <w:w w:val="105"/>
          <w:sz w:val="21"/>
          <w:szCs w:val="21"/>
        </w:rPr>
        <w:t xml:space="preserve"> </w:t>
      </w:r>
      <w:r w:rsidRPr="004A0446">
        <w:rPr>
          <w:rFonts w:ascii="Abadi" w:hAnsi="Abadi" w:cs="Arial"/>
          <w:i/>
          <w:iCs/>
          <w:w w:val="105"/>
          <w:sz w:val="21"/>
          <w:szCs w:val="21"/>
        </w:rPr>
        <w:t>sanción alguna en caso de incumplimiento.</w:t>
      </w:r>
    </w:p>
    <w:p w14:paraId="6B4518D7" w14:textId="77777777" w:rsidR="00E3434F" w:rsidRPr="004A0446" w:rsidRDefault="00E3434F" w:rsidP="00F3730A">
      <w:pPr>
        <w:widowControl w:val="0"/>
        <w:tabs>
          <w:tab w:val="left" w:pos="8647"/>
        </w:tabs>
        <w:ind w:left="-426" w:right="303" w:firstLine="426"/>
        <w:jc w:val="both"/>
        <w:rPr>
          <w:rFonts w:ascii="Abadi" w:hAnsi="Abadi" w:cs="Arial"/>
          <w:i/>
          <w:iCs/>
          <w:w w:val="105"/>
          <w:sz w:val="21"/>
          <w:szCs w:val="21"/>
        </w:rPr>
      </w:pPr>
    </w:p>
    <w:p w14:paraId="54D6D1D0" w14:textId="77777777" w:rsidR="00E3434F" w:rsidRPr="004A0446" w:rsidRDefault="00E3434F" w:rsidP="00F3730A">
      <w:pPr>
        <w:tabs>
          <w:tab w:val="left" w:pos="1134"/>
        </w:tabs>
        <w:ind w:left="1134" w:right="567" w:firstLine="567"/>
        <w:jc w:val="both"/>
        <w:rPr>
          <w:rFonts w:ascii="Abadi" w:hAnsi="Abadi" w:cs="Arial"/>
          <w:i/>
          <w:iCs/>
          <w:w w:val="105"/>
          <w:sz w:val="21"/>
          <w:szCs w:val="21"/>
          <w:lang w:val="es-ES_tradnl"/>
        </w:rPr>
      </w:pPr>
      <w:r w:rsidRPr="004A0446">
        <w:rPr>
          <w:rFonts w:ascii="Abadi" w:hAnsi="Abadi" w:cs="Arial"/>
          <w:i/>
          <w:iCs/>
          <w:w w:val="105"/>
          <w:sz w:val="21"/>
          <w:szCs w:val="21"/>
          <w:lang w:val="es-ES_tradnl"/>
        </w:rPr>
        <w:t>En otro orden de ideas, se considera inviable la creación de una nueva ley, toda vez que las funciones que se proponen, ya están contempladas en la Ley de Salud del Estado, y en cuanto a la creación de un órgano colegiado esta puede ser creada mediante decreto por el titular del ejecutivo, en base a las atribuciones que le otorga el artículo 6 de la Ley Orgánica del Poder Ejecutivo, solo dilatan la atención inmediata que debe darse a las personas y a la toma de decisiones, sobre todo en el sector salud.</w:t>
      </w:r>
    </w:p>
    <w:p w14:paraId="503BED02" w14:textId="77777777" w:rsidR="00E3434F" w:rsidRPr="004A0446" w:rsidRDefault="00E3434F" w:rsidP="00F3730A">
      <w:pPr>
        <w:spacing w:before="6"/>
        <w:ind w:right="303" w:firstLine="567"/>
        <w:jc w:val="both"/>
        <w:rPr>
          <w:rFonts w:ascii="Abadi" w:hAnsi="Abadi" w:cs="Arial"/>
          <w:b/>
          <w:bCs/>
          <w:i/>
          <w:iCs/>
          <w:w w:val="105"/>
          <w:sz w:val="21"/>
          <w:szCs w:val="21"/>
          <w:lang w:val="es-ES_tradnl"/>
        </w:rPr>
      </w:pPr>
    </w:p>
    <w:p w14:paraId="26003467" w14:textId="77777777" w:rsidR="00E3434F" w:rsidRPr="004A0446" w:rsidRDefault="00E3434F" w:rsidP="00F3730A">
      <w:pPr>
        <w:spacing w:before="1"/>
        <w:ind w:left="1134" w:right="567" w:firstLine="709"/>
        <w:jc w:val="both"/>
        <w:rPr>
          <w:rFonts w:ascii="Abadi" w:hAnsi="Abadi" w:cs="Arial"/>
          <w:i/>
          <w:iCs/>
          <w:w w:val="105"/>
          <w:sz w:val="21"/>
          <w:szCs w:val="21"/>
          <w:lang w:val="es-ES_tradnl"/>
        </w:rPr>
      </w:pPr>
      <w:r w:rsidRPr="004A0446">
        <w:rPr>
          <w:rFonts w:ascii="Abadi" w:hAnsi="Abadi" w:cs="Arial"/>
          <w:i/>
          <w:iCs/>
          <w:w w:val="105"/>
          <w:sz w:val="21"/>
          <w:szCs w:val="21"/>
          <w:lang w:val="es-ES_tradnl"/>
        </w:rPr>
        <w:t>Por lo anteriormente expuesto, se sugiere se hagan adecuaciones sustanciales a la misma, a efecto de no sobre legislar en la materia, ya que la propuesta original, no se considera del todo viable.</w:t>
      </w:r>
    </w:p>
    <w:p w14:paraId="70E7229D" w14:textId="77777777" w:rsidR="00E3434F" w:rsidRPr="004A0446" w:rsidRDefault="00E3434F" w:rsidP="00F3730A">
      <w:pPr>
        <w:spacing w:before="1"/>
        <w:ind w:left="-426" w:right="-518" w:firstLine="426"/>
        <w:jc w:val="both"/>
        <w:rPr>
          <w:rFonts w:ascii="Abadi" w:hAnsi="Abadi" w:cs="Arial"/>
          <w:b/>
          <w:bCs/>
          <w:i/>
          <w:iCs/>
          <w:sz w:val="21"/>
          <w:szCs w:val="21"/>
          <w:lang w:val="es-MX"/>
        </w:rPr>
      </w:pPr>
    </w:p>
    <w:p w14:paraId="6E27E103" w14:textId="77777777" w:rsidR="00E3434F" w:rsidRPr="004A0446" w:rsidRDefault="00E3434F" w:rsidP="00F3730A">
      <w:pPr>
        <w:widowControl w:val="0"/>
        <w:tabs>
          <w:tab w:val="left" w:pos="8647"/>
        </w:tabs>
        <w:ind w:right="-518" w:firstLine="1134"/>
        <w:jc w:val="both"/>
        <w:rPr>
          <w:rFonts w:ascii="Abadi" w:hAnsi="Abadi" w:cs="Arial"/>
          <w:sz w:val="21"/>
          <w:szCs w:val="21"/>
        </w:rPr>
      </w:pPr>
      <w:r w:rsidRPr="004A0446">
        <w:rPr>
          <w:rFonts w:ascii="Abadi" w:hAnsi="Abadi" w:cs="Arial"/>
          <w:sz w:val="21"/>
          <w:szCs w:val="21"/>
        </w:rPr>
        <w:t xml:space="preserve">(…) </w:t>
      </w:r>
    </w:p>
    <w:p w14:paraId="0AF01339" w14:textId="77777777" w:rsidR="00E3434F" w:rsidRPr="004A0446" w:rsidRDefault="00E3434F" w:rsidP="00F3730A">
      <w:pPr>
        <w:tabs>
          <w:tab w:val="left" w:pos="567"/>
        </w:tabs>
        <w:ind w:right="27" w:firstLine="567"/>
        <w:jc w:val="both"/>
        <w:rPr>
          <w:rFonts w:ascii="Abadi" w:hAnsi="Abadi" w:cs="Arial"/>
          <w:sz w:val="21"/>
          <w:szCs w:val="21"/>
        </w:rPr>
      </w:pPr>
    </w:p>
    <w:p w14:paraId="371E312C" w14:textId="77777777" w:rsidR="00E3434F" w:rsidRPr="004A0446" w:rsidRDefault="00E3434F" w:rsidP="00F3730A">
      <w:pPr>
        <w:tabs>
          <w:tab w:val="left" w:pos="567"/>
        </w:tabs>
        <w:ind w:left="1134" w:right="567" w:hanging="567"/>
        <w:jc w:val="both"/>
        <w:rPr>
          <w:rFonts w:ascii="Abadi" w:hAnsi="Abadi" w:cs="Arial"/>
          <w:sz w:val="21"/>
          <w:szCs w:val="21"/>
        </w:rPr>
      </w:pPr>
      <w:r w:rsidRPr="004A0446">
        <w:rPr>
          <w:rFonts w:ascii="Abadi" w:hAnsi="Abadi" w:cs="Arial"/>
          <w:sz w:val="21"/>
          <w:szCs w:val="21"/>
        </w:rPr>
        <w:t xml:space="preserve">Opinión de la Fiscalía General del Estado de Guanajuato, : </w:t>
      </w:r>
    </w:p>
    <w:p w14:paraId="1C51390E" w14:textId="77777777" w:rsidR="00E3434F" w:rsidRPr="004A0446" w:rsidRDefault="00E3434F" w:rsidP="00F3730A">
      <w:pPr>
        <w:tabs>
          <w:tab w:val="left" w:pos="13325"/>
        </w:tabs>
        <w:ind w:right="425"/>
        <w:jc w:val="both"/>
        <w:rPr>
          <w:rFonts w:ascii="Abadi" w:hAnsi="Abadi" w:cs="Arial"/>
          <w:b/>
          <w:bCs/>
          <w:sz w:val="21"/>
          <w:szCs w:val="21"/>
          <w:lang w:val="es-ES_tradnl"/>
        </w:rPr>
      </w:pPr>
    </w:p>
    <w:p w14:paraId="7306A048" w14:textId="77777777" w:rsidR="00E3434F" w:rsidRPr="004A0446" w:rsidRDefault="00E3434F" w:rsidP="00F3730A">
      <w:pPr>
        <w:tabs>
          <w:tab w:val="left" w:pos="13325"/>
        </w:tabs>
        <w:ind w:left="1134" w:right="567"/>
        <w:jc w:val="both"/>
        <w:rPr>
          <w:rFonts w:ascii="Abadi" w:hAnsi="Abadi" w:cs="Arial"/>
          <w:i/>
          <w:iCs/>
          <w:w w:val="105"/>
          <w:sz w:val="21"/>
          <w:szCs w:val="21"/>
          <w:lang w:val="es-MX"/>
        </w:rPr>
      </w:pPr>
      <w:r w:rsidRPr="004A0446">
        <w:rPr>
          <w:rFonts w:ascii="Abadi" w:hAnsi="Abadi" w:cs="Arial"/>
          <w:i/>
          <w:iCs/>
          <w:w w:val="105"/>
          <w:sz w:val="21"/>
          <w:szCs w:val="21"/>
        </w:rPr>
        <w:t>(…) es de destacar la finalidad de lo planteado a través de la Iniciativa en comento, y con ello la loable preocupación por generar desde el ámbito normativo bases para el diseño y ejecución de políticas públicas encaminadas a la atención del fenómeno abordado en la misma, el cual es considerado como un problema de salud pública, tesitura bajo la cual se concuerda en su teleología, ello a efecto de disponer de alternativas desde diversas aristas para</w:t>
      </w:r>
      <w:r w:rsidRPr="004A0446">
        <w:rPr>
          <w:rFonts w:ascii="Abadi" w:hAnsi="Abadi" w:cs="Arial"/>
          <w:i/>
          <w:iCs/>
          <w:w w:val="105"/>
          <w:sz w:val="21"/>
          <w:szCs w:val="21"/>
          <w:lang w:val="es-MX"/>
        </w:rPr>
        <w:t xml:space="preserve"> la atención, concretamente desde el rubro de prevención, del tema del suicidio.</w:t>
      </w:r>
    </w:p>
    <w:p w14:paraId="603FCDF6" w14:textId="77777777" w:rsidR="00E3434F" w:rsidRPr="004A0446" w:rsidRDefault="00E3434F" w:rsidP="00F3730A">
      <w:pPr>
        <w:spacing w:before="3"/>
        <w:jc w:val="both"/>
        <w:rPr>
          <w:rFonts w:ascii="Abadi" w:hAnsi="Abadi" w:cs="Arial"/>
          <w:b/>
          <w:bCs/>
          <w:sz w:val="21"/>
          <w:szCs w:val="21"/>
          <w:lang w:val="es-ES_tradnl"/>
        </w:rPr>
      </w:pPr>
    </w:p>
    <w:p w14:paraId="0ACD2E1D" w14:textId="77777777" w:rsidR="00E3434F" w:rsidRPr="004A0446" w:rsidRDefault="00E3434F" w:rsidP="00F3730A">
      <w:pPr>
        <w:widowControl w:val="0"/>
        <w:tabs>
          <w:tab w:val="left" w:pos="142"/>
          <w:tab w:val="left" w:pos="8505"/>
          <w:tab w:val="left" w:pos="8647"/>
        </w:tabs>
        <w:ind w:left="1134" w:right="567"/>
        <w:jc w:val="both"/>
        <w:rPr>
          <w:rFonts w:ascii="Abadi" w:hAnsi="Abadi" w:cs="Arial"/>
          <w:b/>
          <w:bCs/>
          <w:i/>
          <w:iCs/>
          <w:w w:val="105"/>
          <w:sz w:val="21"/>
          <w:szCs w:val="21"/>
        </w:rPr>
      </w:pPr>
      <w:r w:rsidRPr="004A0446">
        <w:rPr>
          <w:rFonts w:ascii="Abadi" w:hAnsi="Abadi" w:cs="Arial"/>
          <w:i/>
          <w:iCs/>
          <w:w w:val="105"/>
          <w:sz w:val="21"/>
          <w:szCs w:val="21"/>
        </w:rPr>
        <w:t xml:space="preserve">Ahora bien, en razón del objeto de la nueva Ley que se vislumbra, consistente éste en la </w:t>
      </w:r>
      <w:r w:rsidRPr="004A0446">
        <w:rPr>
          <w:rFonts w:ascii="Abadi" w:hAnsi="Abadi" w:cs="Arial"/>
          <w:b/>
          <w:bCs/>
          <w:i/>
          <w:iCs/>
          <w:w w:val="105"/>
          <w:sz w:val="21"/>
          <w:szCs w:val="21"/>
          <w:u w:val="single"/>
        </w:rPr>
        <w:t>protección de la salud mental y la disminución  de la incidencia  y prevalencia del suicidio</w:t>
      </w:r>
      <w:r w:rsidRPr="004A0446">
        <w:rPr>
          <w:rFonts w:ascii="Abadi" w:hAnsi="Abadi" w:cs="Arial"/>
          <w:i/>
          <w:iCs/>
          <w:w w:val="105"/>
          <w:sz w:val="21"/>
          <w:szCs w:val="21"/>
        </w:rPr>
        <w:t xml:space="preserve"> en el estado, a través de la </w:t>
      </w:r>
      <w:r w:rsidRPr="004A0446">
        <w:rPr>
          <w:rFonts w:ascii="Abadi" w:hAnsi="Abadi" w:cs="Arial"/>
          <w:b/>
          <w:bCs/>
          <w:i/>
          <w:iCs/>
          <w:w w:val="105"/>
          <w:sz w:val="21"/>
          <w:szCs w:val="21"/>
          <w:u w:val="single"/>
        </w:rPr>
        <w:t>prevención,</w:t>
      </w:r>
      <w:r w:rsidRPr="004A0446">
        <w:rPr>
          <w:rFonts w:ascii="Abadi" w:hAnsi="Abadi" w:cs="Arial"/>
          <w:i/>
          <w:iCs/>
          <w:w w:val="105"/>
          <w:sz w:val="21"/>
          <w:szCs w:val="21"/>
        </w:rPr>
        <w:t xml:space="preserve"> asistencia y posvención de las víctimas y sus familiares, las finalidades de la misma, entre ellas la de generar </w:t>
      </w:r>
      <w:r w:rsidRPr="004A0446">
        <w:rPr>
          <w:rFonts w:ascii="Abadi" w:hAnsi="Abadi" w:cs="Arial"/>
          <w:b/>
          <w:bCs/>
          <w:i/>
          <w:iCs/>
          <w:w w:val="105"/>
          <w:sz w:val="21"/>
          <w:szCs w:val="21"/>
          <w:u w:val="single"/>
        </w:rPr>
        <w:t>coordinación interinstitucional de la problemática del suicidio entre las dependencias  y entidades de la administración pública estatal  y municipal</w:t>
      </w:r>
      <w:r w:rsidRPr="004A0446">
        <w:rPr>
          <w:rFonts w:ascii="Abadi" w:hAnsi="Abadi" w:cs="Arial"/>
          <w:i/>
          <w:iCs/>
          <w:w w:val="105"/>
          <w:sz w:val="21"/>
          <w:szCs w:val="21"/>
        </w:rPr>
        <w:t xml:space="preserve">, y, al destacar que con tal ordenamiento se proyecta preveer a nivel legal un Sistema Integral que habrá de coordinar la ejecución y seguimiento, así como el </w:t>
      </w:r>
      <w:r w:rsidRPr="004A0446">
        <w:rPr>
          <w:rFonts w:ascii="Abadi" w:hAnsi="Abadi" w:cs="Arial"/>
          <w:b/>
          <w:bCs/>
          <w:i/>
          <w:iCs/>
          <w:w w:val="105"/>
          <w:sz w:val="21"/>
          <w:szCs w:val="21"/>
          <w:u w:val="single"/>
        </w:rPr>
        <w:t>Consejo Estatal respectivo, se estima oportuno ponderar la existencia actual en el Estado del CONSEJO DE SALUD MENTAL</w:t>
      </w:r>
      <w:r w:rsidRPr="004A0446">
        <w:rPr>
          <w:rFonts w:ascii="Abadi" w:hAnsi="Abadi" w:cs="Arial"/>
          <w:b/>
          <w:bCs/>
          <w:i/>
          <w:iCs/>
          <w:w w:val="105"/>
          <w:sz w:val="21"/>
          <w:szCs w:val="21"/>
          <w:u w:val="single"/>
          <w:vertAlign w:val="superscript"/>
        </w:rPr>
        <w:footnoteReference w:id="140"/>
      </w:r>
      <w:r w:rsidRPr="004A0446">
        <w:rPr>
          <w:rFonts w:ascii="Abadi" w:hAnsi="Abadi" w:cs="Arial"/>
          <w:b/>
          <w:bCs/>
          <w:i/>
          <w:iCs/>
          <w:w w:val="105"/>
          <w:sz w:val="21"/>
          <w:szCs w:val="21"/>
          <w:u w:val="single"/>
        </w:rPr>
        <w:t>,</w:t>
      </w:r>
      <w:r w:rsidRPr="004A0446">
        <w:rPr>
          <w:rFonts w:ascii="Abadi" w:hAnsi="Abadi" w:cs="Arial"/>
          <w:i/>
          <w:iCs/>
          <w:w w:val="105"/>
          <w:sz w:val="21"/>
          <w:szCs w:val="21"/>
        </w:rPr>
        <w:t xml:space="preserve"> el cual es un órgano de carácter consultivo </w:t>
      </w:r>
      <w:r w:rsidRPr="004A0446">
        <w:rPr>
          <w:rFonts w:ascii="Abadi" w:hAnsi="Abadi" w:cs="Arial"/>
          <w:i/>
          <w:iCs/>
          <w:w w:val="105"/>
          <w:sz w:val="21"/>
          <w:szCs w:val="21"/>
          <w:u w:val="single"/>
        </w:rPr>
        <w:t>que tiene como objeto la promoción de las acciones de los sectores público, social y privado en la prevención de problemas de salud mental en el Estado, proponer programas en la materia y coadyuvar en su evaluación</w:t>
      </w:r>
      <w:r w:rsidRPr="004A0446">
        <w:rPr>
          <w:rFonts w:ascii="Abadi" w:hAnsi="Abadi" w:cs="Arial"/>
          <w:i/>
          <w:iCs/>
          <w:w w:val="105"/>
          <w:sz w:val="21"/>
          <w:szCs w:val="21"/>
        </w:rPr>
        <w:t xml:space="preserve">, y aunado a que el Estado cuenta con infraestructura y lleva a cabo acciones desde el órgano colegiado mencionado, tendientes a atender la problemática objeto de la Iniciativa, ello con base en el andamiaje normativo vigente -Ley General de Salud y la Ley de Salud del Estado de Guanajuato, y demás Normas Oficiales Mexicanas-, </w:t>
      </w:r>
      <w:r w:rsidRPr="004A0446">
        <w:rPr>
          <w:rFonts w:ascii="Abadi" w:hAnsi="Abadi" w:cs="Arial"/>
          <w:b/>
          <w:bCs/>
          <w:i/>
          <w:iCs/>
          <w:w w:val="105"/>
          <w:sz w:val="21"/>
          <w:szCs w:val="21"/>
        </w:rPr>
        <w:t>lo anterior a efecto de definir la necesidad o pertinencia de emitir una ley específica acorde a las condiciones normativas, institucionales y operativas actualmente imperantes.</w:t>
      </w:r>
    </w:p>
    <w:p w14:paraId="7C6EB68B" w14:textId="77777777" w:rsidR="00E3434F" w:rsidRPr="004A0446" w:rsidRDefault="00E3434F" w:rsidP="00F3730A">
      <w:pPr>
        <w:tabs>
          <w:tab w:val="left" w:pos="567"/>
        </w:tabs>
        <w:ind w:left="1134" w:right="708"/>
        <w:jc w:val="both"/>
        <w:rPr>
          <w:rFonts w:ascii="Abadi" w:hAnsi="Abadi" w:cs="Arial"/>
          <w:sz w:val="21"/>
          <w:szCs w:val="21"/>
        </w:rPr>
      </w:pPr>
      <w:r w:rsidRPr="004A0446">
        <w:rPr>
          <w:rFonts w:ascii="Abadi" w:hAnsi="Abadi" w:cs="Arial"/>
          <w:b/>
          <w:bCs/>
          <w:w w:val="85"/>
          <w:sz w:val="21"/>
          <w:szCs w:val="21"/>
          <w:vertAlign w:val="superscript"/>
          <w:lang w:val="es-ES_tradnl"/>
        </w:rPr>
        <w:t xml:space="preserve">    </w:t>
      </w:r>
    </w:p>
    <w:p w14:paraId="3E5DF28D" w14:textId="77777777" w:rsidR="00E3434F" w:rsidRPr="004A0446" w:rsidRDefault="00E3434F" w:rsidP="00F3730A">
      <w:pPr>
        <w:tabs>
          <w:tab w:val="left" w:pos="567"/>
        </w:tabs>
        <w:ind w:left="1134" w:right="708"/>
        <w:jc w:val="both"/>
        <w:rPr>
          <w:rFonts w:ascii="Abadi" w:hAnsi="Abadi" w:cs="Arial"/>
          <w:sz w:val="21"/>
          <w:szCs w:val="21"/>
        </w:rPr>
      </w:pPr>
      <w:r w:rsidRPr="004A0446">
        <w:rPr>
          <w:rFonts w:ascii="Abadi" w:hAnsi="Abadi" w:cs="Arial"/>
          <w:sz w:val="21"/>
          <w:szCs w:val="21"/>
        </w:rPr>
        <w:t>(…)</w:t>
      </w:r>
    </w:p>
    <w:p w14:paraId="352ECF09" w14:textId="77777777" w:rsidR="00E3434F" w:rsidRPr="004A0446" w:rsidRDefault="00E3434F" w:rsidP="00F3730A">
      <w:pPr>
        <w:tabs>
          <w:tab w:val="left" w:pos="567"/>
        </w:tabs>
        <w:ind w:left="1134" w:right="708"/>
        <w:jc w:val="both"/>
        <w:rPr>
          <w:rFonts w:ascii="Abadi" w:hAnsi="Abadi" w:cs="Arial"/>
          <w:sz w:val="21"/>
          <w:szCs w:val="21"/>
        </w:rPr>
      </w:pPr>
    </w:p>
    <w:p w14:paraId="5FC94E81" w14:textId="77777777" w:rsidR="00E3434F" w:rsidRPr="004A0446" w:rsidRDefault="00E3434F" w:rsidP="00F3730A">
      <w:pPr>
        <w:ind w:right="27" w:firstLine="567"/>
        <w:jc w:val="both"/>
        <w:rPr>
          <w:rFonts w:ascii="Abadi" w:hAnsi="Abadi" w:cs="Arial"/>
          <w:sz w:val="21"/>
          <w:szCs w:val="21"/>
        </w:rPr>
      </w:pPr>
      <w:r w:rsidRPr="004A0446">
        <w:rPr>
          <w:rFonts w:ascii="Abadi" w:hAnsi="Abadi" w:cs="Arial"/>
          <w:sz w:val="21"/>
          <w:szCs w:val="21"/>
        </w:rPr>
        <w:t xml:space="preserve">Opinión del ayuntamiento de León, Guanajuato: </w:t>
      </w:r>
    </w:p>
    <w:p w14:paraId="48D59A95" w14:textId="77777777" w:rsidR="00E3434F" w:rsidRPr="004A0446" w:rsidRDefault="00E3434F" w:rsidP="00F3730A">
      <w:pPr>
        <w:widowControl w:val="0"/>
        <w:tabs>
          <w:tab w:val="left" w:pos="8647"/>
        </w:tabs>
        <w:ind w:right="-518" w:firstLine="1134"/>
        <w:jc w:val="both"/>
        <w:rPr>
          <w:rFonts w:ascii="Abadi" w:hAnsi="Abadi"/>
          <w:b/>
          <w:bCs/>
          <w:sz w:val="21"/>
          <w:szCs w:val="21"/>
        </w:rPr>
      </w:pPr>
    </w:p>
    <w:p w14:paraId="4598194D" w14:textId="77777777" w:rsidR="00E3434F" w:rsidRPr="004A0446" w:rsidRDefault="00E3434F" w:rsidP="00F3730A">
      <w:pPr>
        <w:widowControl w:val="0"/>
        <w:tabs>
          <w:tab w:val="left" w:pos="8647"/>
        </w:tabs>
        <w:ind w:right="567" w:firstLine="1134"/>
        <w:jc w:val="both"/>
        <w:rPr>
          <w:rFonts w:ascii="Abadi" w:hAnsi="Abadi" w:cs="Arial"/>
          <w:sz w:val="21"/>
          <w:szCs w:val="21"/>
        </w:rPr>
      </w:pPr>
      <w:r w:rsidRPr="004A0446">
        <w:rPr>
          <w:rFonts w:ascii="Abadi" w:hAnsi="Abadi" w:cs="Arial"/>
          <w:sz w:val="21"/>
          <w:szCs w:val="21"/>
        </w:rPr>
        <w:t>(…)</w:t>
      </w:r>
    </w:p>
    <w:p w14:paraId="770F6A46" w14:textId="77777777" w:rsidR="00E3434F" w:rsidRPr="004A0446" w:rsidRDefault="00E3434F" w:rsidP="00F3730A">
      <w:pPr>
        <w:ind w:right="27" w:firstLine="709"/>
        <w:jc w:val="both"/>
        <w:rPr>
          <w:rFonts w:ascii="Abadi" w:hAnsi="Abadi" w:cs="Arial"/>
          <w:sz w:val="21"/>
          <w:szCs w:val="21"/>
        </w:rPr>
      </w:pPr>
    </w:p>
    <w:p w14:paraId="256CEE53" w14:textId="77777777" w:rsidR="00E3434F" w:rsidRPr="004A0446" w:rsidRDefault="00E3434F" w:rsidP="00F3730A">
      <w:pPr>
        <w:ind w:left="1134" w:right="567"/>
        <w:jc w:val="both"/>
        <w:rPr>
          <w:rFonts w:ascii="Abadi" w:hAnsi="Abadi" w:cs="Arial"/>
          <w:i/>
          <w:sz w:val="21"/>
          <w:szCs w:val="21"/>
          <w:lang w:val="es-MX"/>
        </w:rPr>
      </w:pPr>
      <w:r w:rsidRPr="004A0446">
        <w:rPr>
          <w:rFonts w:ascii="Abadi" w:hAnsi="Abadi" w:cs="Arial"/>
          <w:i/>
          <w:sz w:val="21"/>
          <w:szCs w:val="21"/>
          <w:lang w:val="es-MX"/>
        </w:rPr>
        <w:t>Este Ayuntamiento coincide con los iniciantes en que la Salud Mental es un derecho fundamental, tal como lo establece la Oficina del Alto Comisionado de las Naciones Unidas para los Derechos Humanos, por lo tanto se debe garantizar la salud mental de todas las personas,</w:t>
      </w:r>
      <w:r w:rsidRPr="004A0446">
        <w:rPr>
          <w:rFonts w:ascii="Abadi" w:hAnsi="Abadi" w:cs="Arial"/>
          <w:i/>
          <w:spacing w:val="40"/>
          <w:sz w:val="21"/>
          <w:szCs w:val="21"/>
          <w:lang w:val="es-MX"/>
        </w:rPr>
        <w:t xml:space="preserve"> </w:t>
      </w:r>
      <w:r w:rsidRPr="004A0446">
        <w:rPr>
          <w:rFonts w:ascii="Abadi" w:hAnsi="Abadi" w:cs="Arial"/>
          <w:i/>
          <w:sz w:val="21"/>
          <w:szCs w:val="21"/>
          <w:lang w:val="es-MX"/>
        </w:rPr>
        <w:t>además</w:t>
      </w:r>
      <w:r w:rsidRPr="004A0446">
        <w:rPr>
          <w:rFonts w:ascii="Abadi" w:hAnsi="Abadi" w:cs="Arial"/>
          <w:i/>
          <w:spacing w:val="37"/>
          <w:sz w:val="21"/>
          <w:szCs w:val="21"/>
          <w:lang w:val="es-MX"/>
        </w:rPr>
        <w:t xml:space="preserve"> </w:t>
      </w:r>
      <w:r w:rsidRPr="004A0446">
        <w:rPr>
          <w:rFonts w:ascii="Abadi" w:hAnsi="Abadi" w:cs="Arial"/>
          <w:i/>
          <w:sz w:val="21"/>
          <w:szCs w:val="21"/>
          <w:lang w:val="es-MX"/>
        </w:rPr>
        <w:t>de propiciar</w:t>
      </w:r>
      <w:r w:rsidRPr="004A0446">
        <w:rPr>
          <w:rFonts w:ascii="Abadi" w:hAnsi="Abadi" w:cs="Arial"/>
          <w:i/>
          <w:spacing w:val="33"/>
          <w:sz w:val="21"/>
          <w:szCs w:val="21"/>
          <w:lang w:val="es-MX"/>
        </w:rPr>
        <w:t xml:space="preserve"> </w:t>
      </w:r>
      <w:r w:rsidRPr="004A0446">
        <w:rPr>
          <w:rFonts w:ascii="Abadi" w:hAnsi="Abadi" w:cs="Arial"/>
          <w:i/>
          <w:sz w:val="21"/>
          <w:szCs w:val="21"/>
          <w:lang w:val="es-MX"/>
        </w:rPr>
        <w:t>la disminución</w:t>
      </w:r>
      <w:r w:rsidRPr="004A0446">
        <w:rPr>
          <w:rFonts w:ascii="Abadi" w:hAnsi="Abadi" w:cs="Arial"/>
          <w:i/>
          <w:spacing w:val="40"/>
          <w:sz w:val="21"/>
          <w:szCs w:val="21"/>
          <w:lang w:val="es-MX"/>
        </w:rPr>
        <w:t xml:space="preserve"> </w:t>
      </w:r>
      <w:r w:rsidRPr="004A0446">
        <w:rPr>
          <w:rFonts w:ascii="Abadi" w:hAnsi="Abadi" w:cs="Arial"/>
          <w:i/>
          <w:sz w:val="21"/>
          <w:szCs w:val="21"/>
          <w:lang w:val="es-MX"/>
        </w:rPr>
        <w:t>sobre</w:t>
      </w:r>
      <w:r w:rsidRPr="004A0446">
        <w:rPr>
          <w:rFonts w:ascii="Abadi" w:hAnsi="Abadi" w:cs="Arial"/>
          <w:i/>
          <w:spacing w:val="26"/>
          <w:sz w:val="21"/>
          <w:szCs w:val="21"/>
          <w:lang w:val="es-MX"/>
        </w:rPr>
        <w:t xml:space="preserve"> </w:t>
      </w:r>
      <w:r w:rsidRPr="004A0446">
        <w:rPr>
          <w:rFonts w:ascii="Abadi" w:hAnsi="Abadi" w:cs="Arial"/>
          <w:i/>
          <w:sz w:val="21"/>
          <w:szCs w:val="21"/>
          <w:lang w:val="es-MX"/>
        </w:rPr>
        <w:t>la incidencia</w:t>
      </w:r>
      <w:r w:rsidRPr="004A0446">
        <w:rPr>
          <w:rFonts w:ascii="Abadi" w:hAnsi="Abadi" w:cs="Arial"/>
          <w:i/>
          <w:spacing w:val="40"/>
          <w:sz w:val="21"/>
          <w:szCs w:val="21"/>
          <w:lang w:val="es-MX"/>
        </w:rPr>
        <w:t xml:space="preserve"> </w:t>
      </w:r>
      <w:r w:rsidRPr="004A0446">
        <w:rPr>
          <w:rFonts w:ascii="Abadi" w:hAnsi="Abadi" w:cs="Arial"/>
          <w:i/>
          <w:sz w:val="21"/>
          <w:szCs w:val="21"/>
          <w:lang w:val="es-MX"/>
        </w:rPr>
        <w:t>y prevalencia</w:t>
      </w:r>
      <w:r w:rsidRPr="004A0446">
        <w:rPr>
          <w:rFonts w:ascii="Abadi" w:hAnsi="Abadi" w:cs="Arial"/>
          <w:i/>
          <w:spacing w:val="37"/>
          <w:sz w:val="21"/>
          <w:szCs w:val="21"/>
          <w:lang w:val="es-MX"/>
        </w:rPr>
        <w:t xml:space="preserve"> </w:t>
      </w:r>
      <w:r w:rsidRPr="004A0446">
        <w:rPr>
          <w:rFonts w:ascii="Abadi" w:hAnsi="Abadi" w:cs="Arial"/>
          <w:i/>
          <w:sz w:val="21"/>
          <w:szCs w:val="21"/>
          <w:lang w:val="es-MX"/>
        </w:rPr>
        <w:t>del suicidio en</w:t>
      </w:r>
      <w:r w:rsidRPr="004A0446">
        <w:rPr>
          <w:rFonts w:ascii="Abadi" w:hAnsi="Abadi" w:cs="Arial"/>
          <w:i/>
          <w:spacing w:val="28"/>
          <w:sz w:val="21"/>
          <w:szCs w:val="21"/>
          <w:lang w:val="es-MX"/>
        </w:rPr>
        <w:t xml:space="preserve"> </w:t>
      </w:r>
      <w:r w:rsidRPr="004A0446">
        <w:rPr>
          <w:rFonts w:ascii="Abadi" w:hAnsi="Abadi" w:cs="Arial"/>
          <w:i/>
          <w:sz w:val="21"/>
          <w:szCs w:val="21"/>
          <w:lang w:val="es-MX"/>
        </w:rPr>
        <w:t>nuestro</w:t>
      </w:r>
      <w:r w:rsidRPr="004A0446">
        <w:rPr>
          <w:rFonts w:ascii="Abadi" w:hAnsi="Abadi" w:cs="Arial"/>
          <w:i/>
          <w:spacing w:val="40"/>
          <w:sz w:val="21"/>
          <w:szCs w:val="21"/>
          <w:lang w:val="es-MX"/>
        </w:rPr>
        <w:t xml:space="preserve"> </w:t>
      </w:r>
      <w:r w:rsidRPr="004A0446">
        <w:rPr>
          <w:rFonts w:ascii="Abadi" w:hAnsi="Abadi" w:cs="Arial"/>
          <w:i/>
          <w:sz w:val="21"/>
          <w:szCs w:val="21"/>
          <w:lang w:val="es-MX"/>
        </w:rPr>
        <w:t>Estado.</w:t>
      </w:r>
      <w:r w:rsidRPr="004A0446">
        <w:rPr>
          <w:rFonts w:ascii="Abadi" w:hAnsi="Abadi" w:cs="Arial"/>
          <w:i/>
          <w:spacing w:val="40"/>
          <w:sz w:val="21"/>
          <w:szCs w:val="21"/>
          <w:lang w:val="es-MX"/>
        </w:rPr>
        <w:t xml:space="preserve"> </w:t>
      </w:r>
      <w:r w:rsidRPr="004A0446">
        <w:rPr>
          <w:rFonts w:ascii="Abadi" w:hAnsi="Abadi" w:cs="Arial"/>
          <w:i/>
          <w:sz w:val="21"/>
          <w:szCs w:val="21"/>
          <w:lang w:val="es-MX"/>
        </w:rPr>
        <w:t>Sin embargo,</w:t>
      </w:r>
      <w:r w:rsidRPr="004A0446">
        <w:rPr>
          <w:rFonts w:ascii="Abadi" w:hAnsi="Abadi" w:cs="Arial"/>
          <w:i/>
          <w:spacing w:val="40"/>
          <w:sz w:val="21"/>
          <w:szCs w:val="21"/>
          <w:lang w:val="es-MX"/>
        </w:rPr>
        <w:t xml:space="preserve"> </w:t>
      </w:r>
      <w:r w:rsidRPr="004A0446">
        <w:rPr>
          <w:rFonts w:ascii="Abadi" w:hAnsi="Abadi" w:cs="Arial"/>
          <w:i/>
          <w:sz w:val="21"/>
          <w:szCs w:val="21"/>
          <w:lang w:val="es-MX"/>
        </w:rPr>
        <w:t>posterior</w:t>
      </w:r>
      <w:r w:rsidRPr="004A0446">
        <w:rPr>
          <w:rFonts w:ascii="Abadi" w:hAnsi="Abadi" w:cs="Arial"/>
          <w:i/>
          <w:spacing w:val="40"/>
          <w:sz w:val="21"/>
          <w:szCs w:val="21"/>
          <w:lang w:val="es-MX"/>
        </w:rPr>
        <w:t xml:space="preserve"> </w:t>
      </w:r>
      <w:r w:rsidRPr="004A0446">
        <w:rPr>
          <w:rFonts w:ascii="Abadi" w:hAnsi="Abadi" w:cs="Arial"/>
          <w:i/>
          <w:sz w:val="21"/>
          <w:szCs w:val="21"/>
          <w:lang w:val="es-MX"/>
        </w:rPr>
        <w:t>al</w:t>
      </w:r>
      <w:r w:rsidRPr="004A0446">
        <w:rPr>
          <w:rFonts w:ascii="Abadi" w:hAnsi="Abadi" w:cs="Arial"/>
          <w:i/>
          <w:spacing w:val="27"/>
          <w:sz w:val="21"/>
          <w:szCs w:val="21"/>
          <w:lang w:val="es-MX"/>
        </w:rPr>
        <w:t xml:space="preserve"> </w:t>
      </w:r>
      <w:r w:rsidRPr="004A0446">
        <w:rPr>
          <w:rFonts w:ascii="Abadi" w:hAnsi="Abadi" w:cs="Arial"/>
          <w:i/>
          <w:sz w:val="21"/>
          <w:szCs w:val="21"/>
          <w:lang w:val="es-MX"/>
        </w:rPr>
        <w:t>análisis</w:t>
      </w:r>
      <w:r w:rsidRPr="004A0446">
        <w:rPr>
          <w:rFonts w:ascii="Abadi" w:hAnsi="Abadi" w:cs="Arial"/>
          <w:i/>
          <w:spacing w:val="40"/>
          <w:sz w:val="21"/>
          <w:szCs w:val="21"/>
          <w:lang w:val="es-MX"/>
        </w:rPr>
        <w:t xml:space="preserve"> </w:t>
      </w:r>
      <w:r w:rsidRPr="004A0446">
        <w:rPr>
          <w:rFonts w:ascii="Abadi" w:hAnsi="Abadi" w:cs="Arial"/>
          <w:i/>
          <w:sz w:val="21"/>
          <w:szCs w:val="21"/>
          <w:lang w:val="es-MX"/>
        </w:rPr>
        <w:t>de la iniciativa,</w:t>
      </w:r>
      <w:r w:rsidRPr="004A0446">
        <w:rPr>
          <w:rFonts w:ascii="Abadi" w:hAnsi="Abadi" w:cs="Arial"/>
          <w:i/>
          <w:spacing w:val="40"/>
          <w:sz w:val="21"/>
          <w:szCs w:val="21"/>
          <w:lang w:val="es-MX"/>
        </w:rPr>
        <w:t xml:space="preserve"> </w:t>
      </w:r>
      <w:r w:rsidRPr="004A0446">
        <w:rPr>
          <w:rFonts w:ascii="Abadi" w:hAnsi="Abadi" w:cs="Arial"/>
          <w:i/>
          <w:sz w:val="21"/>
          <w:szCs w:val="21"/>
          <w:lang w:val="es-MX"/>
        </w:rPr>
        <w:t>se señala:</w:t>
      </w:r>
    </w:p>
    <w:p w14:paraId="5EFFB965" w14:textId="77777777" w:rsidR="00E3434F" w:rsidRPr="004A0446" w:rsidRDefault="00E3434F" w:rsidP="00F3730A">
      <w:pPr>
        <w:widowControl w:val="0"/>
        <w:tabs>
          <w:tab w:val="left" w:pos="567"/>
        </w:tabs>
        <w:ind w:right="303"/>
        <w:jc w:val="both"/>
        <w:rPr>
          <w:rFonts w:ascii="Abadi" w:hAnsi="Abadi" w:cs="Arial"/>
          <w:i/>
          <w:sz w:val="21"/>
          <w:szCs w:val="21"/>
          <w:lang w:val="es-ES_tradnl"/>
        </w:rPr>
      </w:pPr>
    </w:p>
    <w:p w14:paraId="13785054" w14:textId="77777777" w:rsidR="00E3434F" w:rsidRPr="004A0446" w:rsidRDefault="00E3434F" w:rsidP="00F3730A">
      <w:pPr>
        <w:tabs>
          <w:tab w:val="left" w:pos="8505"/>
        </w:tabs>
        <w:ind w:left="1134" w:right="567" w:firstLine="567"/>
        <w:jc w:val="both"/>
        <w:rPr>
          <w:rFonts w:ascii="Abadi" w:hAnsi="Abadi" w:cs="Arial"/>
          <w:i/>
          <w:sz w:val="21"/>
          <w:szCs w:val="21"/>
          <w:lang w:val="es-MX"/>
        </w:rPr>
      </w:pPr>
      <w:r w:rsidRPr="004A0446">
        <w:rPr>
          <w:rFonts w:ascii="Abadi" w:hAnsi="Abadi" w:cs="Arial"/>
          <w:i/>
          <w:w w:val="105"/>
          <w:sz w:val="21"/>
          <w:szCs w:val="21"/>
          <w:lang w:val="es-MX"/>
        </w:rPr>
        <w:t>En términos del artículo 73 fracción XVI de la Constitución Política de los estados Unidos Mexicanos, es</w:t>
      </w:r>
      <w:r w:rsidRPr="004A0446">
        <w:rPr>
          <w:rFonts w:ascii="Abadi" w:hAnsi="Abadi" w:cs="Arial"/>
          <w:i/>
          <w:spacing w:val="-2"/>
          <w:w w:val="105"/>
          <w:sz w:val="21"/>
          <w:szCs w:val="21"/>
          <w:lang w:val="es-MX"/>
        </w:rPr>
        <w:t xml:space="preserve"> </w:t>
      </w:r>
      <w:r w:rsidRPr="004A0446">
        <w:rPr>
          <w:rFonts w:ascii="Abadi" w:hAnsi="Abadi" w:cs="Arial"/>
          <w:i/>
          <w:w w:val="105"/>
          <w:sz w:val="21"/>
          <w:szCs w:val="21"/>
          <w:lang w:val="es-MX"/>
        </w:rPr>
        <w:t>de</w:t>
      </w:r>
      <w:r w:rsidRPr="004A0446">
        <w:rPr>
          <w:rFonts w:ascii="Abadi" w:hAnsi="Abadi" w:cs="Arial"/>
          <w:i/>
          <w:spacing w:val="-3"/>
          <w:w w:val="105"/>
          <w:sz w:val="21"/>
          <w:szCs w:val="21"/>
          <w:lang w:val="es-MX"/>
        </w:rPr>
        <w:t xml:space="preserve"> </w:t>
      </w:r>
      <w:r w:rsidRPr="004A0446">
        <w:rPr>
          <w:rFonts w:ascii="Abadi" w:hAnsi="Abadi" w:cs="Arial"/>
          <w:i/>
          <w:w w:val="105"/>
          <w:sz w:val="21"/>
          <w:szCs w:val="21"/>
          <w:lang w:val="es-MX"/>
        </w:rPr>
        <w:t>resaltar que</w:t>
      </w:r>
      <w:r w:rsidRPr="004A0446">
        <w:rPr>
          <w:rFonts w:ascii="Abadi" w:hAnsi="Abadi" w:cs="Arial"/>
          <w:i/>
          <w:spacing w:val="-4"/>
          <w:w w:val="105"/>
          <w:sz w:val="21"/>
          <w:szCs w:val="21"/>
          <w:lang w:val="es-MX"/>
        </w:rPr>
        <w:t xml:space="preserve"> </w:t>
      </w:r>
      <w:r w:rsidRPr="004A0446">
        <w:rPr>
          <w:rFonts w:ascii="Abadi" w:hAnsi="Abadi" w:cs="Arial"/>
          <w:i/>
          <w:w w:val="105"/>
          <w:sz w:val="21"/>
          <w:szCs w:val="21"/>
          <w:lang w:val="es-MX"/>
        </w:rPr>
        <w:t>corresponde a</w:t>
      </w:r>
      <w:r w:rsidRPr="004A0446">
        <w:rPr>
          <w:rFonts w:ascii="Abadi" w:hAnsi="Abadi" w:cs="Arial"/>
          <w:i/>
          <w:spacing w:val="-10"/>
          <w:w w:val="105"/>
          <w:sz w:val="21"/>
          <w:szCs w:val="21"/>
          <w:lang w:val="es-MX"/>
        </w:rPr>
        <w:t xml:space="preserve"> </w:t>
      </w:r>
      <w:r w:rsidRPr="004A0446">
        <w:rPr>
          <w:rFonts w:ascii="Abadi" w:hAnsi="Abadi" w:cs="Arial"/>
          <w:i/>
          <w:w w:val="105"/>
          <w:sz w:val="21"/>
          <w:szCs w:val="21"/>
          <w:lang w:val="es-MX"/>
        </w:rPr>
        <w:t>una</w:t>
      </w:r>
      <w:r w:rsidRPr="004A0446">
        <w:rPr>
          <w:rFonts w:ascii="Abadi" w:hAnsi="Abadi" w:cs="Arial"/>
          <w:i/>
          <w:spacing w:val="-5"/>
          <w:w w:val="105"/>
          <w:sz w:val="21"/>
          <w:szCs w:val="21"/>
          <w:lang w:val="es-MX"/>
        </w:rPr>
        <w:t xml:space="preserve"> </w:t>
      </w:r>
      <w:r w:rsidRPr="004A0446">
        <w:rPr>
          <w:rFonts w:ascii="Abadi" w:hAnsi="Abadi" w:cs="Arial"/>
          <w:i/>
          <w:w w:val="105"/>
          <w:sz w:val="21"/>
          <w:szCs w:val="21"/>
          <w:lang w:val="es-MX"/>
        </w:rPr>
        <w:t>facultad exclusiva del Congreso de la</w:t>
      </w:r>
      <w:r w:rsidRPr="004A0446">
        <w:rPr>
          <w:rFonts w:ascii="Abadi" w:hAnsi="Abadi" w:cs="Arial"/>
          <w:i/>
          <w:spacing w:val="-3"/>
          <w:w w:val="105"/>
          <w:sz w:val="21"/>
          <w:szCs w:val="21"/>
          <w:lang w:val="es-MX"/>
        </w:rPr>
        <w:t xml:space="preserve"> </w:t>
      </w:r>
      <w:r w:rsidRPr="004A0446">
        <w:rPr>
          <w:rFonts w:ascii="Abadi" w:hAnsi="Abadi" w:cs="Arial"/>
          <w:i/>
          <w:w w:val="105"/>
          <w:sz w:val="21"/>
          <w:szCs w:val="21"/>
          <w:lang w:val="es-MX"/>
        </w:rPr>
        <w:t>Unión para dictar leyes sobre la</w:t>
      </w:r>
      <w:r w:rsidRPr="004A0446">
        <w:rPr>
          <w:rFonts w:ascii="Abadi" w:hAnsi="Abadi" w:cs="Arial"/>
          <w:i/>
          <w:spacing w:val="-5"/>
          <w:w w:val="105"/>
          <w:sz w:val="21"/>
          <w:szCs w:val="21"/>
          <w:lang w:val="es-MX"/>
        </w:rPr>
        <w:t xml:space="preserve"> </w:t>
      </w:r>
      <w:r w:rsidRPr="004A0446">
        <w:rPr>
          <w:rFonts w:ascii="Abadi" w:hAnsi="Abadi" w:cs="Arial"/>
          <w:i/>
          <w:w w:val="105"/>
          <w:sz w:val="21"/>
          <w:szCs w:val="21"/>
          <w:lang w:val="es-MX"/>
        </w:rPr>
        <w:t>salubridad general de</w:t>
      </w:r>
      <w:r w:rsidRPr="004A0446">
        <w:rPr>
          <w:rFonts w:ascii="Abadi" w:hAnsi="Abadi" w:cs="Arial"/>
          <w:i/>
          <w:spacing w:val="-5"/>
          <w:w w:val="105"/>
          <w:sz w:val="21"/>
          <w:szCs w:val="21"/>
          <w:lang w:val="es-MX"/>
        </w:rPr>
        <w:t xml:space="preserve"> </w:t>
      </w:r>
      <w:r w:rsidRPr="004A0446">
        <w:rPr>
          <w:rFonts w:ascii="Abadi" w:hAnsi="Abadi" w:cs="Arial"/>
          <w:i/>
          <w:w w:val="105"/>
          <w:sz w:val="21"/>
          <w:szCs w:val="21"/>
          <w:lang w:val="es-MX"/>
        </w:rPr>
        <w:t>la</w:t>
      </w:r>
      <w:r w:rsidRPr="004A0446">
        <w:rPr>
          <w:rFonts w:ascii="Abadi" w:hAnsi="Abadi" w:cs="Arial"/>
          <w:i/>
          <w:spacing w:val="-2"/>
          <w:w w:val="105"/>
          <w:sz w:val="21"/>
          <w:szCs w:val="21"/>
          <w:lang w:val="es-MX"/>
        </w:rPr>
        <w:t xml:space="preserve"> </w:t>
      </w:r>
      <w:r w:rsidRPr="004A0446">
        <w:rPr>
          <w:rFonts w:ascii="Abadi" w:hAnsi="Abadi" w:cs="Arial"/>
          <w:i/>
          <w:w w:val="105"/>
          <w:sz w:val="21"/>
          <w:szCs w:val="21"/>
          <w:lang w:val="es-MX"/>
        </w:rPr>
        <w:t>República.</w:t>
      </w:r>
    </w:p>
    <w:p w14:paraId="09AE6AEE" w14:textId="77777777" w:rsidR="00E3434F" w:rsidRPr="004A0446" w:rsidRDefault="00E3434F" w:rsidP="00F3730A">
      <w:pPr>
        <w:widowControl w:val="0"/>
        <w:tabs>
          <w:tab w:val="left" w:pos="567"/>
        </w:tabs>
        <w:jc w:val="both"/>
        <w:rPr>
          <w:rFonts w:ascii="Abadi" w:hAnsi="Abadi" w:cs="Arial"/>
          <w:i/>
          <w:sz w:val="21"/>
          <w:szCs w:val="21"/>
        </w:rPr>
      </w:pPr>
    </w:p>
    <w:p w14:paraId="0348D9B9" w14:textId="77777777" w:rsidR="00E3434F" w:rsidRPr="004A0446" w:rsidRDefault="00E3434F" w:rsidP="00F3730A">
      <w:pPr>
        <w:spacing w:before="92"/>
        <w:ind w:left="1134" w:right="567" w:firstLine="426"/>
        <w:jc w:val="both"/>
        <w:rPr>
          <w:rFonts w:ascii="Abadi" w:hAnsi="Abadi" w:cs="Arial"/>
          <w:i/>
          <w:sz w:val="21"/>
          <w:szCs w:val="21"/>
          <w:lang w:val="es-MX"/>
        </w:rPr>
      </w:pPr>
      <w:r w:rsidRPr="004A0446">
        <w:rPr>
          <w:rFonts w:ascii="Abadi" w:hAnsi="Abadi" w:cs="Arial"/>
          <w:i/>
          <w:w w:val="105"/>
          <w:sz w:val="21"/>
          <w:szCs w:val="21"/>
          <w:lang w:val="es-MX"/>
        </w:rPr>
        <w:t>En</w:t>
      </w:r>
      <w:r w:rsidRPr="004A0446">
        <w:rPr>
          <w:rFonts w:ascii="Abadi" w:hAnsi="Abadi" w:cs="Arial"/>
          <w:i/>
          <w:spacing w:val="-1"/>
          <w:w w:val="105"/>
          <w:sz w:val="21"/>
          <w:szCs w:val="21"/>
          <w:lang w:val="es-MX"/>
        </w:rPr>
        <w:t xml:space="preserve"> </w:t>
      </w:r>
      <w:r w:rsidRPr="004A0446">
        <w:rPr>
          <w:rFonts w:ascii="Abadi" w:hAnsi="Abadi" w:cs="Arial"/>
          <w:i/>
          <w:w w:val="105"/>
          <w:sz w:val="21"/>
          <w:szCs w:val="21"/>
          <w:lang w:val="es-MX"/>
        </w:rPr>
        <w:t>este sentido, la salud mental establecida en</w:t>
      </w:r>
      <w:r w:rsidRPr="004A0446">
        <w:rPr>
          <w:rFonts w:ascii="Abadi" w:hAnsi="Abadi" w:cs="Arial"/>
          <w:i/>
          <w:spacing w:val="-1"/>
          <w:w w:val="105"/>
          <w:sz w:val="21"/>
          <w:szCs w:val="21"/>
          <w:lang w:val="es-MX"/>
        </w:rPr>
        <w:t xml:space="preserve"> </w:t>
      </w:r>
      <w:r w:rsidRPr="004A0446">
        <w:rPr>
          <w:rFonts w:ascii="Abadi" w:hAnsi="Abadi" w:cs="Arial"/>
          <w:i/>
          <w:w w:val="105"/>
          <w:sz w:val="21"/>
          <w:szCs w:val="21"/>
          <w:lang w:val="es-MX"/>
        </w:rPr>
        <w:t>el</w:t>
      </w:r>
      <w:r w:rsidRPr="004A0446">
        <w:rPr>
          <w:rFonts w:ascii="Abadi" w:hAnsi="Abadi" w:cs="Arial"/>
          <w:i/>
          <w:spacing w:val="-3"/>
          <w:w w:val="105"/>
          <w:sz w:val="21"/>
          <w:szCs w:val="21"/>
          <w:lang w:val="es-MX"/>
        </w:rPr>
        <w:t xml:space="preserve"> </w:t>
      </w:r>
      <w:r w:rsidRPr="004A0446">
        <w:rPr>
          <w:rFonts w:ascii="Abadi" w:hAnsi="Abadi" w:cs="Arial"/>
          <w:i/>
          <w:w w:val="105"/>
          <w:sz w:val="21"/>
          <w:szCs w:val="21"/>
          <w:lang w:val="es-MX"/>
        </w:rPr>
        <w:t>artículo 3o, fracción VI de</w:t>
      </w:r>
      <w:r w:rsidRPr="004A0446">
        <w:rPr>
          <w:rFonts w:ascii="Abadi" w:hAnsi="Abadi" w:cs="Arial"/>
          <w:i/>
          <w:spacing w:val="-1"/>
          <w:w w:val="105"/>
          <w:sz w:val="21"/>
          <w:szCs w:val="21"/>
          <w:lang w:val="es-MX"/>
        </w:rPr>
        <w:t xml:space="preserve"> </w:t>
      </w:r>
      <w:r w:rsidRPr="004A0446">
        <w:rPr>
          <w:rFonts w:ascii="Abadi" w:hAnsi="Abadi" w:cs="Arial"/>
          <w:i/>
          <w:w w:val="105"/>
          <w:sz w:val="21"/>
          <w:szCs w:val="21"/>
          <w:lang w:val="es-MX"/>
        </w:rPr>
        <w:t>la Ley General</w:t>
      </w:r>
      <w:r w:rsidRPr="004A0446">
        <w:rPr>
          <w:rFonts w:ascii="Abadi" w:hAnsi="Abadi" w:cs="Arial"/>
          <w:i/>
          <w:spacing w:val="-4"/>
          <w:w w:val="105"/>
          <w:sz w:val="21"/>
          <w:szCs w:val="21"/>
          <w:lang w:val="es-MX"/>
        </w:rPr>
        <w:t xml:space="preserve"> </w:t>
      </w:r>
      <w:r w:rsidRPr="004A0446">
        <w:rPr>
          <w:rFonts w:ascii="Abadi" w:hAnsi="Abadi" w:cs="Arial"/>
          <w:i/>
          <w:w w:val="105"/>
          <w:sz w:val="21"/>
          <w:szCs w:val="21"/>
          <w:lang w:val="es-MX"/>
        </w:rPr>
        <w:t>de</w:t>
      </w:r>
      <w:r w:rsidRPr="004A0446">
        <w:rPr>
          <w:rFonts w:ascii="Abadi" w:hAnsi="Abadi" w:cs="Arial"/>
          <w:i/>
          <w:spacing w:val="-12"/>
          <w:w w:val="105"/>
          <w:sz w:val="21"/>
          <w:szCs w:val="21"/>
          <w:lang w:val="es-MX"/>
        </w:rPr>
        <w:t xml:space="preserve"> </w:t>
      </w:r>
      <w:r w:rsidRPr="004A0446">
        <w:rPr>
          <w:rFonts w:ascii="Abadi" w:hAnsi="Abadi" w:cs="Arial"/>
          <w:i/>
          <w:w w:val="105"/>
          <w:sz w:val="21"/>
          <w:szCs w:val="21"/>
          <w:lang w:val="es-MX"/>
        </w:rPr>
        <w:t>Salud,</w:t>
      </w:r>
      <w:r w:rsidRPr="004A0446">
        <w:rPr>
          <w:rFonts w:ascii="Abadi" w:hAnsi="Abadi" w:cs="Arial"/>
          <w:i/>
          <w:spacing w:val="-3"/>
          <w:w w:val="105"/>
          <w:sz w:val="21"/>
          <w:szCs w:val="21"/>
          <w:lang w:val="es-MX"/>
        </w:rPr>
        <w:t xml:space="preserve"> </w:t>
      </w:r>
      <w:r w:rsidRPr="004A0446">
        <w:rPr>
          <w:rFonts w:ascii="Abadi" w:hAnsi="Abadi" w:cs="Arial"/>
          <w:i/>
          <w:w w:val="105"/>
          <w:sz w:val="21"/>
          <w:szCs w:val="21"/>
          <w:lang w:val="es-MX"/>
        </w:rPr>
        <w:t>es</w:t>
      </w:r>
      <w:r w:rsidRPr="004A0446">
        <w:rPr>
          <w:rFonts w:ascii="Abadi" w:hAnsi="Abadi" w:cs="Arial"/>
          <w:i/>
          <w:spacing w:val="-16"/>
          <w:w w:val="105"/>
          <w:sz w:val="21"/>
          <w:szCs w:val="21"/>
          <w:lang w:val="es-MX"/>
        </w:rPr>
        <w:t xml:space="preserve"> </w:t>
      </w:r>
      <w:r w:rsidRPr="004A0446">
        <w:rPr>
          <w:rFonts w:ascii="Abadi" w:hAnsi="Abadi" w:cs="Arial"/>
          <w:i/>
          <w:w w:val="105"/>
          <w:sz w:val="21"/>
          <w:szCs w:val="21"/>
          <w:lang w:val="es-MX"/>
        </w:rPr>
        <w:t>materia</w:t>
      </w:r>
      <w:r w:rsidRPr="004A0446">
        <w:rPr>
          <w:rFonts w:ascii="Abadi" w:hAnsi="Abadi" w:cs="Arial"/>
          <w:i/>
          <w:spacing w:val="-4"/>
          <w:w w:val="105"/>
          <w:sz w:val="21"/>
          <w:szCs w:val="21"/>
          <w:lang w:val="es-MX"/>
        </w:rPr>
        <w:t xml:space="preserve"> </w:t>
      </w:r>
      <w:r w:rsidRPr="004A0446">
        <w:rPr>
          <w:rFonts w:ascii="Abadi" w:hAnsi="Abadi" w:cs="Arial"/>
          <w:i/>
          <w:w w:val="105"/>
          <w:sz w:val="21"/>
          <w:szCs w:val="21"/>
          <w:lang w:val="es-MX"/>
        </w:rPr>
        <w:t>de</w:t>
      </w:r>
      <w:r w:rsidRPr="004A0446">
        <w:rPr>
          <w:rFonts w:ascii="Abadi" w:hAnsi="Abadi" w:cs="Arial"/>
          <w:i/>
          <w:spacing w:val="-14"/>
          <w:w w:val="105"/>
          <w:sz w:val="21"/>
          <w:szCs w:val="21"/>
          <w:lang w:val="es-MX"/>
        </w:rPr>
        <w:t xml:space="preserve"> </w:t>
      </w:r>
      <w:r w:rsidRPr="004A0446">
        <w:rPr>
          <w:rFonts w:ascii="Abadi" w:hAnsi="Abadi" w:cs="Arial"/>
          <w:i/>
          <w:w w:val="105"/>
          <w:sz w:val="21"/>
          <w:szCs w:val="21"/>
          <w:lang w:val="es-MX"/>
        </w:rPr>
        <w:t>salubridad General,</w:t>
      </w:r>
      <w:r w:rsidRPr="004A0446">
        <w:rPr>
          <w:rFonts w:ascii="Abadi" w:hAnsi="Abadi" w:cs="Arial"/>
          <w:i/>
          <w:spacing w:val="-8"/>
          <w:w w:val="105"/>
          <w:sz w:val="21"/>
          <w:szCs w:val="21"/>
          <w:lang w:val="es-MX"/>
        </w:rPr>
        <w:t xml:space="preserve"> </w:t>
      </w:r>
      <w:r w:rsidRPr="004A0446">
        <w:rPr>
          <w:rFonts w:ascii="Abadi" w:hAnsi="Abadi" w:cs="Arial"/>
          <w:i/>
          <w:w w:val="105"/>
          <w:sz w:val="21"/>
          <w:szCs w:val="21"/>
          <w:lang w:val="es-MX"/>
        </w:rPr>
        <w:t>e</w:t>
      </w:r>
      <w:r w:rsidRPr="004A0446">
        <w:rPr>
          <w:rFonts w:ascii="Abadi" w:hAnsi="Abadi" w:cs="Arial"/>
          <w:i/>
          <w:spacing w:val="-12"/>
          <w:w w:val="105"/>
          <w:sz w:val="21"/>
          <w:szCs w:val="21"/>
          <w:lang w:val="es-MX"/>
        </w:rPr>
        <w:t xml:space="preserve"> </w:t>
      </w:r>
      <w:r w:rsidRPr="004A0446">
        <w:rPr>
          <w:rFonts w:ascii="Abadi" w:hAnsi="Abadi" w:cs="Arial"/>
          <w:i/>
          <w:w w:val="105"/>
          <w:sz w:val="21"/>
          <w:szCs w:val="21"/>
          <w:lang w:val="es-MX"/>
        </w:rPr>
        <w:t>incluso</w:t>
      </w:r>
      <w:r w:rsidRPr="004A0446">
        <w:rPr>
          <w:rFonts w:ascii="Abadi" w:hAnsi="Abadi" w:cs="Arial"/>
          <w:i/>
          <w:spacing w:val="-7"/>
          <w:w w:val="105"/>
          <w:sz w:val="21"/>
          <w:szCs w:val="21"/>
          <w:lang w:val="es-MX"/>
        </w:rPr>
        <w:t xml:space="preserve"> </w:t>
      </w:r>
      <w:r w:rsidRPr="004A0446">
        <w:rPr>
          <w:rFonts w:ascii="Abadi" w:hAnsi="Abadi" w:cs="Arial"/>
          <w:i/>
          <w:w w:val="105"/>
          <w:sz w:val="21"/>
          <w:szCs w:val="21"/>
          <w:lang w:val="es-MX"/>
        </w:rPr>
        <w:t>se</w:t>
      </w:r>
      <w:r w:rsidRPr="004A0446">
        <w:rPr>
          <w:rFonts w:ascii="Abadi" w:hAnsi="Abadi" w:cs="Arial"/>
          <w:i/>
          <w:spacing w:val="-16"/>
          <w:w w:val="105"/>
          <w:sz w:val="21"/>
          <w:szCs w:val="21"/>
          <w:lang w:val="es-MX"/>
        </w:rPr>
        <w:t xml:space="preserve"> </w:t>
      </w:r>
      <w:r w:rsidRPr="004A0446">
        <w:rPr>
          <w:rFonts w:ascii="Abadi" w:hAnsi="Abadi" w:cs="Arial"/>
          <w:i/>
          <w:w w:val="105"/>
          <w:sz w:val="21"/>
          <w:szCs w:val="21"/>
          <w:lang w:val="es-MX"/>
        </w:rPr>
        <w:t>encuentra regulada</w:t>
      </w:r>
      <w:r w:rsidRPr="004A0446">
        <w:rPr>
          <w:rFonts w:ascii="Abadi" w:hAnsi="Abadi" w:cs="Arial"/>
          <w:i/>
          <w:spacing w:val="-4"/>
          <w:w w:val="105"/>
          <w:sz w:val="21"/>
          <w:szCs w:val="21"/>
          <w:lang w:val="es-MX"/>
        </w:rPr>
        <w:t xml:space="preserve"> </w:t>
      </w:r>
      <w:r w:rsidRPr="004A0446">
        <w:rPr>
          <w:rFonts w:ascii="Abadi" w:hAnsi="Abadi" w:cs="Arial"/>
          <w:i/>
          <w:w w:val="105"/>
          <w:sz w:val="21"/>
          <w:szCs w:val="21"/>
          <w:lang w:val="es-MX"/>
        </w:rPr>
        <w:t>en</w:t>
      </w:r>
      <w:r w:rsidRPr="004A0446">
        <w:rPr>
          <w:rFonts w:ascii="Abadi" w:hAnsi="Abadi" w:cs="Arial"/>
          <w:i/>
          <w:spacing w:val="-17"/>
          <w:w w:val="105"/>
          <w:sz w:val="21"/>
          <w:szCs w:val="21"/>
          <w:lang w:val="es-MX"/>
        </w:rPr>
        <w:t xml:space="preserve"> </w:t>
      </w:r>
      <w:r w:rsidRPr="004A0446">
        <w:rPr>
          <w:rFonts w:ascii="Abadi" w:hAnsi="Abadi" w:cs="Arial"/>
          <w:i/>
          <w:w w:val="105"/>
          <w:sz w:val="21"/>
          <w:szCs w:val="21"/>
          <w:lang w:val="es-MX"/>
        </w:rPr>
        <w:t>el Capítulo respectivo dentro de la</w:t>
      </w:r>
      <w:r w:rsidRPr="004A0446">
        <w:rPr>
          <w:rFonts w:ascii="Abadi" w:hAnsi="Abadi" w:cs="Arial"/>
          <w:i/>
          <w:spacing w:val="-1"/>
          <w:w w:val="105"/>
          <w:sz w:val="21"/>
          <w:szCs w:val="21"/>
          <w:lang w:val="es-MX"/>
        </w:rPr>
        <w:t xml:space="preserve"> </w:t>
      </w:r>
      <w:r w:rsidRPr="004A0446">
        <w:rPr>
          <w:rFonts w:ascii="Abadi" w:hAnsi="Abadi" w:cs="Arial"/>
          <w:i/>
          <w:w w:val="105"/>
          <w:sz w:val="21"/>
          <w:szCs w:val="21"/>
          <w:lang w:val="es-MX"/>
        </w:rPr>
        <w:t>propia Ley General aludida.</w:t>
      </w:r>
    </w:p>
    <w:p w14:paraId="1CD53699" w14:textId="77777777" w:rsidR="00E3434F" w:rsidRPr="004A0446" w:rsidRDefault="00E3434F" w:rsidP="00F3730A">
      <w:pPr>
        <w:spacing w:before="1"/>
        <w:ind w:left="709" w:right="567"/>
        <w:jc w:val="both"/>
        <w:rPr>
          <w:rFonts w:ascii="Abadi" w:hAnsi="Abadi" w:cs="Arial"/>
          <w:i/>
          <w:iCs/>
          <w:sz w:val="21"/>
          <w:szCs w:val="21"/>
          <w:lang w:val="es-MX"/>
        </w:rPr>
      </w:pPr>
    </w:p>
    <w:p w14:paraId="3A9C3B64" w14:textId="77777777" w:rsidR="00E3434F" w:rsidRPr="004A0446" w:rsidRDefault="00E3434F" w:rsidP="00F3730A">
      <w:pPr>
        <w:tabs>
          <w:tab w:val="left" w:pos="1701"/>
        </w:tabs>
        <w:ind w:left="1134" w:right="567"/>
        <w:jc w:val="both"/>
        <w:rPr>
          <w:rFonts w:ascii="Abadi" w:hAnsi="Abadi" w:cs="Arial"/>
          <w:i/>
          <w:iCs/>
          <w:sz w:val="21"/>
          <w:szCs w:val="21"/>
          <w:lang w:val="es-MX"/>
        </w:rPr>
      </w:pPr>
      <w:r w:rsidRPr="004A0446">
        <w:rPr>
          <w:rFonts w:ascii="Abadi" w:hAnsi="Abadi" w:cs="Arial"/>
          <w:i/>
          <w:iCs/>
          <w:w w:val="105"/>
          <w:sz w:val="21"/>
          <w:szCs w:val="21"/>
          <w:lang w:val="es-MX"/>
        </w:rPr>
        <w:t xml:space="preserve">          Y si bien, el artículo 13 apartado B, fracción I establece que corresponde a los gobiernos</w:t>
      </w:r>
      <w:r w:rsidRPr="004A0446">
        <w:rPr>
          <w:rFonts w:ascii="Abadi" w:hAnsi="Abadi" w:cs="Arial"/>
          <w:i/>
          <w:iCs/>
          <w:spacing w:val="-17"/>
          <w:w w:val="105"/>
          <w:sz w:val="21"/>
          <w:szCs w:val="21"/>
          <w:lang w:val="es-MX"/>
        </w:rPr>
        <w:t xml:space="preserve"> </w:t>
      </w:r>
      <w:r w:rsidRPr="004A0446">
        <w:rPr>
          <w:rFonts w:ascii="Abadi" w:hAnsi="Abadi" w:cs="Arial"/>
          <w:i/>
          <w:iCs/>
          <w:w w:val="105"/>
          <w:sz w:val="21"/>
          <w:szCs w:val="21"/>
          <w:lang w:val="es-MX"/>
        </w:rPr>
        <w:t>de</w:t>
      </w:r>
      <w:r w:rsidRPr="004A0446">
        <w:rPr>
          <w:rFonts w:ascii="Abadi" w:hAnsi="Abadi" w:cs="Arial"/>
          <w:i/>
          <w:iCs/>
          <w:spacing w:val="-17"/>
          <w:w w:val="105"/>
          <w:sz w:val="21"/>
          <w:szCs w:val="21"/>
          <w:lang w:val="es-MX"/>
        </w:rPr>
        <w:t xml:space="preserve"> </w:t>
      </w:r>
      <w:r w:rsidRPr="004A0446">
        <w:rPr>
          <w:rFonts w:ascii="Abadi" w:hAnsi="Abadi" w:cs="Arial"/>
          <w:i/>
          <w:iCs/>
          <w:w w:val="105"/>
          <w:sz w:val="21"/>
          <w:szCs w:val="21"/>
          <w:lang w:val="es-MX"/>
        </w:rPr>
        <w:t>las</w:t>
      </w:r>
      <w:r w:rsidRPr="004A0446">
        <w:rPr>
          <w:rFonts w:ascii="Abadi" w:hAnsi="Abadi" w:cs="Arial"/>
          <w:i/>
          <w:iCs/>
          <w:spacing w:val="-17"/>
          <w:w w:val="105"/>
          <w:sz w:val="21"/>
          <w:szCs w:val="21"/>
          <w:lang w:val="es-MX"/>
        </w:rPr>
        <w:t xml:space="preserve"> </w:t>
      </w:r>
      <w:r w:rsidRPr="004A0446">
        <w:rPr>
          <w:rFonts w:ascii="Abadi" w:hAnsi="Abadi" w:cs="Arial"/>
          <w:i/>
          <w:iCs/>
          <w:w w:val="105"/>
          <w:sz w:val="21"/>
          <w:szCs w:val="21"/>
          <w:lang w:val="es-MX"/>
        </w:rPr>
        <w:t>entidades</w:t>
      </w:r>
      <w:r w:rsidRPr="004A0446">
        <w:rPr>
          <w:rFonts w:ascii="Abadi" w:hAnsi="Abadi" w:cs="Arial"/>
          <w:i/>
          <w:iCs/>
          <w:spacing w:val="-17"/>
          <w:w w:val="105"/>
          <w:sz w:val="21"/>
          <w:szCs w:val="21"/>
          <w:lang w:val="es-MX"/>
        </w:rPr>
        <w:t xml:space="preserve"> </w:t>
      </w:r>
      <w:r w:rsidRPr="004A0446">
        <w:rPr>
          <w:rFonts w:ascii="Abadi" w:hAnsi="Abadi" w:cs="Arial"/>
          <w:i/>
          <w:iCs/>
          <w:w w:val="105"/>
          <w:sz w:val="21"/>
          <w:szCs w:val="21"/>
          <w:lang w:val="es-MX"/>
        </w:rPr>
        <w:t>federativas,</w:t>
      </w:r>
      <w:r w:rsidRPr="004A0446">
        <w:rPr>
          <w:rFonts w:ascii="Abadi" w:hAnsi="Abadi" w:cs="Arial"/>
          <w:i/>
          <w:iCs/>
          <w:spacing w:val="-16"/>
          <w:w w:val="105"/>
          <w:sz w:val="21"/>
          <w:szCs w:val="21"/>
          <w:lang w:val="es-MX"/>
        </w:rPr>
        <w:t xml:space="preserve"> </w:t>
      </w:r>
      <w:r w:rsidRPr="004A0446">
        <w:rPr>
          <w:rFonts w:ascii="Abadi" w:hAnsi="Abadi" w:cs="Arial"/>
          <w:i/>
          <w:iCs/>
          <w:w w:val="105"/>
          <w:sz w:val="21"/>
          <w:szCs w:val="21"/>
          <w:lang w:val="es-MX"/>
        </w:rPr>
        <w:t>organizar,</w:t>
      </w:r>
      <w:r w:rsidRPr="004A0446">
        <w:rPr>
          <w:rFonts w:ascii="Abadi" w:hAnsi="Abadi" w:cs="Arial"/>
          <w:i/>
          <w:iCs/>
          <w:spacing w:val="-17"/>
          <w:w w:val="105"/>
          <w:sz w:val="21"/>
          <w:szCs w:val="21"/>
          <w:lang w:val="es-MX"/>
        </w:rPr>
        <w:t xml:space="preserve"> </w:t>
      </w:r>
      <w:r w:rsidRPr="004A0446">
        <w:rPr>
          <w:rFonts w:ascii="Abadi" w:hAnsi="Abadi" w:cs="Arial"/>
          <w:i/>
          <w:iCs/>
          <w:w w:val="105"/>
          <w:sz w:val="21"/>
          <w:szCs w:val="21"/>
          <w:lang w:val="es-MX"/>
        </w:rPr>
        <w:t>operar,</w:t>
      </w:r>
      <w:r w:rsidRPr="004A0446">
        <w:rPr>
          <w:rFonts w:ascii="Abadi" w:hAnsi="Abadi" w:cs="Arial"/>
          <w:i/>
          <w:iCs/>
          <w:spacing w:val="-17"/>
          <w:w w:val="105"/>
          <w:sz w:val="21"/>
          <w:szCs w:val="21"/>
          <w:lang w:val="es-MX"/>
        </w:rPr>
        <w:t xml:space="preserve"> </w:t>
      </w:r>
      <w:r w:rsidRPr="004A0446">
        <w:rPr>
          <w:rFonts w:ascii="Abadi" w:hAnsi="Abadi" w:cs="Arial"/>
          <w:i/>
          <w:iCs/>
          <w:w w:val="105"/>
          <w:sz w:val="21"/>
          <w:szCs w:val="21"/>
          <w:lang w:val="es-MX"/>
        </w:rPr>
        <w:t>supervisar</w:t>
      </w:r>
      <w:r w:rsidRPr="004A0446">
        <w:rPr>
          <w:rFonts w:ascii="Abadi" w:hAnsi="Abadi" w:cs="Arial"/>
          <w:i/>
          <w:iCs/>
          <w:spacing w:val="-17"/>
          <w:w w:val="105"/>
          <w:sz w:val="21"/>
          <w:szCs w:val="21"/>
          <w:lang w:val="es-MX"/>
        </w:rPr>
        <w:t xml:space="preserve"> </w:t>
      </w:r>
      <w:r w:rsidRPr="004A0446">
        <w:rPr>
          <w:rFonts w:ascii="Abadi" w:hAnsi="Abadi" w:cs="Arial"/>
          <w:i/>
          <w:iCs/>
          <w:w w:val="105"/>
          <w:sz w:val="21"/>
          <w:szCs w:val="21"/>
          <w:lang w:val="es-MX"/>
        </w:rPr>
        <w:t>y</w:t>
      </w:r>
      <w:r w:rsidRPr="004A0446">
        <w:rPr>
          <w:rFonts w:ascii="Abadi" w:hAnsi="Abadi" w:cs="Arial"/>
          <w:i/>
          <w:iCs/>
          <w:spacing w:val="-16"/>
          <w:w w:val="105"/>
          <w:sz w:val="21"/>
          <w:szCs w:val="21"/>
          <w:lang w:val="es-MX"/>
        </w:rPr>
        <w:t xml:space="preserve"> </w:t>
      </w:r>
      <w:r w:rsidRPr="004A0446">
        <w:rPr>
          <w:rFonts w:ascii="Abadi" w:hAnsi="Abadi" w:cs="Arial"/>
          <w:i/>
          <w:iCs/>
          <w:w w:val="105"/>
          <w:sz w:val="21"/>
          <w:szCs w:val="21"/>
          <w:lang w:val="es-MX"/>
        </w:rPr>
        <w:t>evaluar</w:t>
      </w:r>
      <w:r w:rsidRPr="004A0446">
        <w:rPr>
          <w:rFonts w:ascii="Abadi" w:hAnsi="Abadi" w:cs="Arial"/>
          <w:i/>
          <w:iCs/>
          <w:spacing w:val="-17"/>
          <w:w w:val="105"/>
          <w:sz w:val="21"/>
          <w:szCs w:val="21"/>
          <w:lang w:val="es-MX"/>
        </w:rPr>
        <w:t xml:space="preserve"> </w:t>
      </w:r>
      <w:r w:rsidRPr="004A0446">
        <w:rPr>
          <w:rFonts w:ascii="Abadi" w:hAnsi="Abadi" w:cs="Arial"/>
          <w:i/>
          <w:iCs/>
          <w:w w:val="105"/>
          <w:sz w:val="21"/>
          <w:szCs w:val="21"/>
          <w:lang w:val="es-MX"/>
        </w:rPr>
        <w:t>la</w:t>
      </w:r>
      <w:r w:rsidRPr="004A0446">
        <w:rPr>
          <w:rFonts w:ascii="Abadi" w:hAnsi="Abadi" w:cs="Arial"/>
          <w:i/>
          <w:iCs/>
          <w:spacing w:val="-17"/>
          <w:w w:val="105"/>
          <w:sz w:val="21"/>
          <w:szCs w:val="21"/>
          <w:lang w:val="es-MX"/>
        </w:rPr>
        <w:t xml:space="preserve"> </w:t>
      </w:r>
      <w:r w:rsidRPr="004A0446">
        <w:rPr>
          <w:rFonts w:ascii="Abadi" w:hAnsi="Abadi" w:cs="Arial"/>
          <w:i/>
          <w:iCs/>
          <w:w w:val="105"/>
          <w:sz w:val="21"/>
          <w:szCs w:val="21"/>
          <w:lang w:val="es-MX"/>
        </w:rPr>
        <w:t>prestación de</w:t>
      </w:r>
      <w:r w:rsidRPr="004A0446">
        <w:rPr>
          <w:rFonts w:ascii="Abadi" w:hAnsi="Abadi" w:cs="Arial"/>
          <w:i/>
          <w:iCs/>
          <w:spacing w:val="-6"/>
          <w:w w:val="105"/>
          <w:sz w:val="21"/>
          <w:szCs w:val="21"/>
          <w:lang w:val="es-MX"/>
        </w:rPr>
        <w:t xml:space="preserve"> </w:t>
      </w:r>
      <w:r w:rsidRPr="004A0446">
        <w:rPr>
          <w:rFonts w:ascii="Abadi" w:hAnsi="Abadi" w:cs="Arial"/>
          <w:i/>
          <w:iCs/>
          <w:w w:val="105"/>
          <w:sz w:val="21"/>
          <w:szCs w:val="21"/>
          <w:lang w:val="es-MX"/>
        </w:rPr>
        <w:t>este</w:t>
      </w:r>
      <w:r w:rsidRPr="004A0446">
        <w:rPr>
          <w:rFonts w:ascii="Abadi" w:hAnsi="Abadi" w:cs="Arial"/>
          <w:i/>
          <w:iCs/>
          <w:spacing w:val="-9"/>
          <w:w w:val="105"/>
          <w:sz w:val="21"/>
          <w:szCs w:val="21"/>
          <w:lang w:val="es-MX"/>
        </w:rPr>
        <w:t xml:space="preserve"> </w:t>
      </w:r>
      <w:r w:rsidRPr="004A0446">
        <w:rPr>
          <w:rFonts w:ascii="Abadi" w:hAnsi="Abadi" w:cs="Arial"/>
          <w:i/>
          <w:iCs/>
          <w:w w:val="105"/>
          <w:sz w:val="21"/>
          <w:szCs w:val="21"/>
          <w:lang w:val="es-MX"/>
        </w:rPr>
        <w:t>servicio, se</w:t>
      </w:r>
      <w:r w:rsidRPr="004A0446">
        <w:rPr>
          <w:rFonts w:ascii="Abadi" w:hAnsi="Abadi" w:cs="Arial"/>
          <w:i/>
          <w:iCs/>
          <w:spacing w:val="-9"/>
          <w:w w:val="105"/>
          <w:sz w:val="21"/>
          <w:szCs w:val="21"/>
          <w:lang w:val="es-MX"/>
        </w:rPr>
        <w:t xml:space="preserve"> </w:t>
      </w:r>
      <w:r w:rsidRPr="004A0446">
        <w:rPr>
          <w:rFonts w:ascii="Abadi" w:hAnsi="Abadi" w:cs="Arial"/>
          <w:i/>
          <w:iCs/>
          <w:w w:val="105"/>
          <w:sz w:val="21"/>
          <w:szCs w:val="21"/>
          <w:lang w:val="es-MX"/>
        </w:rPr>
        <w:t>debe</w:t>
      </w:r>
      <w:r w:rsidRPr="004A0446">
        <w:rPr>
          <w:rFonts w:ascii="Abadi" w:hAnsi="Abadi" w:cs="Arial"/>
          <w:i/>
          <w:iCs/>
          <w:spacing w:val="-3"/>
          <w:w w:val="105"/>
          <w:sz w:val="21"/>
          <w:szCs w:val="21"/>
          <w:lang w:val="es-MX"/>
        </w:rPr>
        <w:t xml:space="preserve"> </w:t>
      </w:r>
      <w:r w:rsidRPr="004A0446">
        <w:rPr>
          <w:rFonts w:ascii="Abadi" w:hAnsi="Abadi" w:cs="Arial"/>
          <w:i/>
          <w:iCs/>
          <w:w w:val="105"/>
          <w:sz w:val="21"/>
          <w:szCs w:val="21"/>
          <w:lang w:val="es-MX"/>
        </w:rPr>
        <w:t>atender al</w:t>
      </w:r>
      <w:r w:rsidRPr="004A0446">
        <w:rPr>
          <w:rFonts w:ascii="Abadi" w:hAnsi="Abadi" w:cs="Arial"/>
          <w:i/>
          <w:iCs/>
          <w:spacing w:val="-8"/>
          <w:w w:val="105"/>
          <w:sz w:val="21"/>
          <w:szCs w:val="21"/>
          <w:lang w:val="es-MX"/>
        </w:rPr>
        <w:t xml:space="preserve"> </w:t>
      </w:r>
      <w:r w:rsidRPr="004A0446">
        <w:rPr>
          <w:rFonts w:ascii="Abadi" w:hAnsi="Abadi" w:cs="Arial"/>
          <w:i/>
          <w:iCs/>
          <w:w w:val="105"/>
          <w:sz w:val="21"/>
          <w:szCs w:val="21"/>
          <w:lang w:val="es-MX"/>
        </w:rPr>
        <w:t>origen</w:t>
      </w:r>
      <w:r w:rsidRPr="004A0446">
        <w:rPr>
          <w:rFonts w:ascii="Abadi" w:hAnsi="Abadi" w:cs="Arial"/>
          <w:i/>
          <w:iCs/>
          <w:spacing w:val="-1"/>
          <w:w w:val="105"/>
          <w:sz w:val="21"/>
          <w:szCs w:val="21"/>
          <w:lang w:val="es-MX"/>
        </w:rPr>
        <w:t xml:space="preserve"> </w:t>
      </w:r>
      <w:r w:rsidRPr="004A0446">
        <w:rPr>
          <w:rFonts w:ascii="Abadi" w:hAnsi="Abadi" w:cs="Arial"/>
          <w:i/>
          <w:iCs/>
          <w:w w:val="105"/>
          <w:sz w:val="21"/>
          <w:szCs w:val="21"/>
          <w:lang w:val="es-MX"/>
        </w:rPr>
        <w:t>de</w:t>
      </w:r>
      <w:r w:rsidRPr="004A0446">
        <w:rPr>
          <w:rFonts w:ascii="Abadi" w:hAnsi="Abadi" w:cs="Arial"/>
          <w:i/>
          <w:iCs/>
          <w:spacing w:val="-5"/>
          <w:w w:val="105"/>
          <w:sz w:val="21"/>
          <w:szCs w:val="21"/>
          <w:lang w:val="es-MX"/>
        </w:rPr>
        <w:t xml:space="preserve"> </w:t>
      </w:r>
      <w:r w:rsidRPr="004A0446">
        <w:rPr>
          <w:rFonts w:ascii="Abadi" w:hAnsi="Abadi" w:cs="Arial"/>
          <w:i/>
          <w:iCs/>
          <w:w w:val="105"/>
          <w:sz w:val="21"/>
          <w:szCs w:val="21"/>
          <w:lang w:val="es-MX"/>
        </w:rPr>
        <w:t>la</w:t>
      </w:r>
      <w:r w:rsidRPr="004A0446">
        <w:rPr>
          <w:rFonts w:ascii="Abadi" w:hAnsi="Abadi" w:cs="Arial"/>
          <w:i/>
          <w:iCs/>
          <w:spacing w:val="-5"/>
          <w:w w:val="105"/>
          <w:sz w:val="21"/>
          <w:szCs w:val="21"/>
          <w:lang w:val="es-MX"/>
        </w:rPr>
        <w:t xml:space="preserve"> </w:t>
      </w:r>
      <w:r w:rsidRPr="004A0446">
        <w:rPr>
          <w:rFonts w:ascii="Abadi" w:hAnsi="Abadi" w:cs="Arial"/>
          <w:i/>
          <w:iCs/>
          <w:w w:val="105"/>
          <w:sz w:val="21"/>
          <w:szCs w:val="21"/>
          <w:lang w:val="es-MX"/>
        </w:rPr>
        <w:t>facultad legislativa que</w:t>
      </w:r>
      <w:r w:rsidRPr="004A0446">
        <w:rPr>
          <w:rFonts w:ascii="Abadi" w:hAnsi="Abadi" w:cs="Arial"/>
          <w:i/>
          <w:iCs/>
          <w:spacing w:val="-9"/>
          <w:w w:val="105"/>
          <w:sz w:val="21"/>
          <w:szCs w:val="21"/>
          <w:lang w:val="es-MX"/>
        </w:rPr>
        <w:t xml:space="preserve"> </w:t>
      </w:r>
      <w:r w:rsidRPr="004A0446">
        <w:rPr>
          <w:rFonts w:ascii="Abadi" w:hAnsi="Abadi" w:cs="Arial"/>
          <w:i/>
          <w:iCs/>
          <w:w w:val="105"/>
          <w:sz w:val="21"/>
          <w:szCs w:val="21"/>
          <w:lang w:val="es-MX"/>
        </w:rPr>
        <w:t>no</w:t>
      </w:r>
      <w:r w:rsidRPr="004A0446">
        <w:rPr>
          <w:rFonts w:ascii="Abadi" w:hAnsi="Abadi" w:cs="Arial"/>
          <w:i/>
          <w:iCs/>
          <w:spacing w:val="-4"/>
          <w:w w:val="105"/>
          <w:sz w:val="21"/>
          <w:szCs w:val="21"/>
          <w:lang w:val="es-MX"/>
        </w:rPr>
        <w:t xml:space="preserve"> </w:t>
      </w:r>
      <w:r w:rsidRPr="004A0446">
        <w:rPr>
          <w:rFonts w:ascii="Abadi" w:hAnsi="Abadi" w:cs="Arial"/>
          <w:i/>
          <w:iCs/>
          <w:w w:val="105"/>
          <w:sz w:val="21"/>
          <w:szCs w:val="21"/>
          <w:lang w:val="es-MX"/>
        </w:rPr>
        <w:t>corresponde al Congreso del</w:t>
      </w:r>
      <w:r w:rsidRPr="004A0446">
        <w:rPr>
          <w:rFonts w:ascii="Abadi" w:hAnsi="Abadi" w:cs="Arial"/>
          <w:i/>
          <w:iCs/>
          <w:spacing w:val="-1"/>
          <w:w w:val="105"/>
          <w:sz w:val="21"/>
          <w:szCs w:val="21"/>
          <w:lang w:val="es-MX"/>
        </w:rPr>
        <w:t xml:space="preserve"> </w:t>
      </w:r>
      <w:r w:rsidRPr="004A0446">
        <w:rPr>
          <w:rFonts w:ascii="Abadi" w:hAnsi="Abadi" w:cs="Arial"/>
          <w:i/>
          <w:iCs/>
          <w:w w:val="105"/>
          <w:sz w:val="21"/>
          <w:szCs w:val="21"/>
          <w:lang w:val="es-MX"/>
        </w:rPr>
        <w:t>Estado, en</w:t>
      </w:r>
      <w:r w:rsidRPr="004A0446">
        <w:rPr>
          <w:rFonts w:ascii="Abadi" w:hAnsi="Abadi" w:cs="Arial"/>
          <w:i/>
          <w:iCs/>
          <w:spacing w:val="-9"/>
          <w:w w:val="105"/>
          <w:sz w:val="21"/>
          <w:szCs w:val="21"/>
          <w:lang w:val="es-MX"/>
        </w:rPr>
        <w:t xml:space="preserve"> </w:t>
      </w:r>
      <w:r w:rsidRPr="004A0446">
        <w:rPr>
          <w:rFonts w:ascii="Abadi" w:hAnsi="Abadi" w:cs="Arial"/>
          <w:i/>
          <w:iCs/>
          <w:w w:val="105"/>
          <w:sz w:val="21"/>
          <w:szCs w:val="21"/>
          <w:lang w:val="es-MX"/>
        </w:rPr>
        <w:t>términos del artículo 124 de</w:t>
      </w:r>
      <w:r w:rsidRPr="004A0446">
        <w:rPr>
          <w:rFonts w:ascii="Abadi" w:hAnsi="Abadi" w:cs="Arial"/>
          <w:i/>
          <w:iCs/>
          <w:spacing w:val="-8"/>
          <w:w w:val="105"/>
          <w:sz w:val="21"/>
          <w:szCs w:val="21"/>
          <w:lang w:val="es-MX"/>
        </w:rPr>
        <w:t xml:space="preserve"> </w:t>
      </w:r>
      <w:r w:rsidRPr="004A0446">
        <w:rPr>
          <w:rFonts w:ascii="Abadi" w:hAnsi="Abadi" w:cs="Arial"/>
          <w:i/>
          <w:iCs/>
          <w:w w:val="105"/>
          <w:sz w:val="21"/>
          <w:szCs w:val="21"/>
          <w:lang w:val="es-MX"/>
        </w:rPr>
        <w:t>nuestra Carta Magna.</w:t>
      </w:r>
    </w:p>
    <w:p w14:paraId="169F3177" w14:textId="77777777" w:rsidR="00E3434F" w:rsidRPr="004A0446" w:rsidRDefault="00E3434F" w:rsidP="00F3730A">
      <w:pPr>
        <w:tabs>
          <w:tab w:val="left" w:pos="709"/>
          <w:tab w:val="left" w:pos="851"/>
        </w:tabs>
        <w:ind w:left="709" w:right="567" w:firstLine="425"/>
        <w:jc w:val="both"/>
        <w:rPr>
          <w:rFonts w:ascii="Abadi" w:hAnsi="Abadi" w:cs="Arial"/>
          <w:i/>
          <w:w w:val="105"/>
          <w:sz w:val="21"/>
          <w:szCs w:val="21"/>
          <w:lang w:val="es-MX"/>
        </w:rPr>
      </w:pPr>
    </w:p>
    <w:p w14:paraId="7439564E" w14:textId="77777777" w:rsidR="00E3434F" w:rsidRPr="004A0446" w:rsidRDefault="00E3434F" w:rsidP="00F3730A">
      <w:pPr>
        <w:tabs>
          <w:tab w:val="left" w:pos="851"/>
          <w:tab w:val="left" w:pos="1134"/>
        </w:tabs>
        <w:ind w:left="1134" w:right="567" w:firstLine="567"/>
        <w:jc w:val="both"/>
        <w:rPr>
          <w:rFonts w:ascii="Abadi" w:hAnsi="Abadi" w:cs="Arial"/>
          <w:i/>
          <w:sz w:val="21"/>
          <w:szCs w:val="21"/>
          <w:lang w:val="es-MX"/>
        </w:rPr>
      </w:pPr>
      <w:r w:rsidRPr="004A0446">
        <w:rPr>
          <w:rFonts w:ascii="Abadi" w:hAnsi="Abadi" w:cs="Arial"/>
          <w:i/>
          <w:w w:val="105"/>
          <w:sz w:val="21"/>
          <w:szCs w:val="21"/>
          <w:lang w:val="es-MX"/>
        </w:rPr>
        <w:t>En</w:t>
      </w:r>
      <w:r w:rsidRPr="004A0446">
        <w:rPr>
          <w:rFonts w:ascii="Abadi" w:hAnsi="Abadi" w:cs="Arial"/>
          <w:i/>
          <w:spacing w:val="-13"/>
          <w:w w:val="105"/>
          <w:sz w:val="21"/>
          <w:szCs w:val="21"/>
          <w:lang w:val="es-MX"/>
        </w:rPr>
        <w:t xml:space="preserve"> </w:t>
      </w:r>
      <w:r w:rsidRPr="004A0446">
        <w:rPr>
          <w:rFonts w:ascii="Abadi" w:hAnsi="Abadi" w:cs="Arial"/>
          <w:i/>
          <w:w w:val="105"/>
          <w:sz w:val="21"/>
          <w:szCs w:val="21"/>
          <w:lang w:val="es-MX"/>
        </w:rPr>
        <w:t>ese</w:t>
      </w:r>
      <w:r w:rsidRPr="004A0446">
        <w:rPr>
          <w:rFonts w:ascii="Abadi" w:hAnsi="Abadi" w:cs="Arial"/>
          <w:i/>
          <w:spacing w:val="-10"/>
          <w:w w:val="105"/>
          <w:sz w:val="21"/>
          <w:szCs w:val="21"/>
          <w:lang w:val="es-MX"/>
        </w:rPr>
        <w:t xml:space="preserve"> </w:t>
      </w:r>
      <w:r w:rsidRPr="004A0446">
        <w:rPr>
          <w:rFonts w:ascii="Abadi" w:hAnsi="Abadi" w:cs="Arial"/>
          <w:i/>
          <w:w w:val="105"/>
          <w:sz w:val="21"/>
          <w:szCs w:val="21"/>
          <w:lang w:val="es-MX"/>
        </w:rPr>
        <w:t>sentido, la</w:t>
      </w:r>
      <w:r w:rsidRPr="004A0446">
        <w:rPr>
          <w:rFonts w:ascii="Abadi" w:hAnsi="Abadi" w:cs="Arial"/>
          <w:i/>
          <w:spacing w:val="-17"/>
          <w:w w:val="105"/>
          <w:sz w:val="21"/>
          <w:szCs w:val="21"/>
          <w:lang w:val="es-MX"/>
        </w:rPr>
        <w:t xml:space="preserve"> </w:t>
      </w:r>
      <w:r w:rsidRPr="004A0446">
        <w:rPr>
          <w:rFonts w:ascii="Abadi" w:hAnsi="Abadi" w:cs="Arial"/>
          <w:i/>
          <w:w w:val="105"/>
          <w:sz w:val="21"/>
          <w:szCs w:val="21"/>
          <w:lang w:val="es-MX"/>
        </w:rPr>
        <w:t>concurrencia operativa</w:t>
      </w:r>
      <w:r w:rsidRPr="004A0446">
        <w:rPr>
          <w:rFonts w:ascii="Abadi" w:hAnsi="Abadi" w:cs="Arial"/>
          <w:i/>
          <w:spacing w:val="-1"/>
          <w:w w:val="105"/>
          <w:sz w:val="21"/>
          <w:szCs w:val="21"/>
          <w:lang w:val="es-MX"/>
        </w:rPr>
        <w:t xml:space="preserve"> </w:t>
      </w:r>
      <w:r w:rsidRPr="004A0446">
        <w:rPr>
          <w:rFonts w:ascii="Abadi" w:hAnsi="Abadi" w:cs="Arial"/>
          <w:i/>
          <w:w w:val="105"/>
          <w:sz w:val="21"/>
          <w:szCs w:val="21"/>
          <w:lang w:val="es-MX"/>
        </w:rPr>
        <w:t>de</w:t>
      </w:r>
      <w:r w:rsidRPr="004A0446">
        <w:rPr>
          <w:rFonts w:ascii="Abadi" w:hAnsi="Abadi" w:cs="Arial"/>
          <w:i/>
          <w:spacing w:val="-15"/>
          <w:w w:val="105"/>
          <w:sz w:val="21"/>
          <w:szCs w:val="21"/>
          <w:lang w:val="es-MX"/>
        </w:rPr>
        <w:t xml:space="preserve"> </w:t>
      </w:r>
      <w:r w:rsidRPr="004A0446">
        <w:rPr>
          <w:rFonts w:ascii="Abadi" w:hAnsi="Abadi" w:cs="Arial"/>
          <w:i/>
          <w:w w:val="105"/>
          <w:sz w:val="21"/>
          <w:szCs w:val="21"/>
          <w:lang w:val="es-MX"/>
        </w:rPr>
        <w:t>las</w:t>
      </w:r>
      <w:r w:rsidRPr="004A0446">
        <w:rPr>
          <w:rFonts w:ascii="Abadi" w:hAnsi="Abadi" w:cs="Arial"/>
          <w:i/>
          <w:spacing w:val="-14"/>
          <w:w w:val="105"/>
          <w:sz w:val="21"/>
          <w:szCs w:val="21"/>
          <w:lang w:val="es-MX"/>
        </w:rPr>
        <w:t xml:space="preserve"> </w:t>
      </w:r>
      <w:r w:rsidRPr="004A0446">
        <w:rPr>
          <w:rFonts w:ascii="Abadi" w:hAnsi="Abadi" w:cs="Arial"/>
          <w:i/>
          <w:w w:val="105"/>
          <w:sz w:val="21"/>
          <w:szCs w:val="21"/>
          <w:lang w:val="es-MX"/>
        </w:rPr>
        <w:t>entidades</w:t>
      </w:r>
      <w:r w:rsidRPr="004A0446">
        <w:rPr>
          <w:rFonts w:ascii="Abadi" w:hAnsi="Abadi" w:cs="Arial"/>
          <w:i/>
          <w:spacing w:val="-1"/>
          <w:w w:val="105"/>
          <w:sz w:val="21"/>
          <w:szCs w:val="21"/>
          <w:lang w:val="es-MX"/>
        </w:rPr>
        <w:t xml:space="preserve"> </w:t>
      </w:r>
      <w:r w:rsidRPr="004A0446">
        <w:rPr>
          <w:rFonts w:ascii="Abadi" w:hAnsi="Abadi" w:cs="Arial"/>
          <w:i/>
          <w:w w:val="105"/>
          <w:sz w:val="21"/>
          <w:szCs w:val="21"/>
          <w:lang w:val="es-MX"/>
        </w:rPr>
        <w:t>no</w:t>
      </w:r>
      <w:r w:rsidRPr="004A0446">
        <w:rPr>
          <w:rFonts w:ascii="Abadi" w:hAnsi="Abadi" w:cs="Arial"/>
          <w:i/>
          <w:spacing w:val="-10"/>
          <w:w w:val="105"/>
          <w:sz w:val="21"/>
          <w:szCs w:val="21"/>
          <w:lang w:val="es-MX"/>
        </w:rPr>
        <w:t xml:space="preserve"> </w:t>
      </w:r>
      <w:r w:rsidRPr="004A0446">
        <w:rPr>
          <w:rFonts w:ascii="Abadi" w:hAnsi="Abadi" w:cs="Arial"/>
          <w:i/>
          <w:w w:val="105"/>
          <w:sz w:val="21"/>
          <w:szCs w:val="21"/>
          <w:lang w:val="es-MX"/>
        </w:rPr>
        <w:t>implica</w:t>
      </w:r>
      <w:r w:rsidRPr="004A0446">
        <w:rPr>
          <w:rFonts w:ascii="Abadi" w:hAnsi="Abadi" w:cs="Arial"/>
          <w:i/>
          <w:spacing w:val="-4"/>
          <w:w w:val="105"/>
          <w:sz w:val="21"/>
          <w:szCs w:val="21"/>
          <w:lang w:val="es-MX"/>
        </w:rPr>
        <w:t xml:space="preserve"> </w:t>
      </w:r>
      <w:r w:rsidRPr="004A0446">
        <w:rPr>
          <w:rFonts w:ascii="Abadi" w:hAnsi="Abadi" w:cs="Arial"/>
          <w:i/>
          <w:w w:val="105"/>
          <w:sz w:val="21"/>
          <w:szCs w:val="21"/>
          <w:lang w:val="es-MX"/>
        </w:rPr>
        <w:t>que</w:t>
      </w:r>
      <w:r w:rsidRPr="004A0446">
        <w:rPr>
          <w:rFonts w:ascii="Abadi" w:hAnsi="Abadi" w:cs="Arial"/>
          <w:i/>
          <w:spacing w:val="-8"/>
          <w:w w:val="105"/>
          <w:sz w:val="21"/>
          <w:szCs w:val="21"/>
          <w:lang w:val="es-MX"/>
        </w:rPr>
        <w:t xml:space="preserve"> </w:t>
      </w:r>
      <w:r w:rsidRPr="004A0446">
        <w:rPr>
          <w:rFonts w:ascii="Abadi" w:hAnsi="Abadi" w:cs="Arial"/>
          <w:i/>
          <w:w w:val="105"/>
          <w:sz w:val="21"/>
          <w:szCs w:val="21"/>
          <w:lang w:val="es-MX"/>
        </w:rPr>
        <w:t>la</w:t>
      </w:r>
      <w:r w:rsidRPr="004A0446">
        <w:rPr>
          <w:rFonts w:ascii="Abadi" w:hAnsi="Abadi" w:cs="Arial"/>
          <w:i/>
          <w:spacing w:val="-10"/>
          <w:w w:val="105"/>
          <w:sz w:val="21"/>
          <w:szCs w:val="21"/>
          <w:lang w:val="es-MX"/>
        </w:rPr>
        <w:t xml:space="preserve"> </w:t>
      </w:r>
      <w:r w:rsidRPr="004A0446">
        <w:rPr>
          <w:rFonts w:ascii="Abadi" w:hAnsi="Abadi" w:cs="Arial"/>
          <w:i/>
          <w:w w:val="105"/>
          <w:sz w:val="21"/>
          <w:szCs w:val="21"/>
          <w:lang w:val="es-MX"/>
        </w:rPr>
        <w:t xml:space="preserve">materia </w:t>
      </w:r>
      <w:r w:rsidRPr="004A0446">
        <w:rPr>
          <w:rFonts w:ascii="Abadi" w:hAnsi="Abadi" w:cs="Arial"/>
          <w:i/>
          <w:sz w:val="21"/>
          <w:szCs w:val="21"/>
          <w:lang w:val="es-MX"/>
        </w:rPr>
        <w:t>pierda su naturaleza federal, pues en</w:t>
      </w:r>
      <w:r w:rsidRPr="004A0446">
        <w:rPr>
          <w:rFonts w:ascii="Abadi" w:hAnsi="Abadi" w:cs="Arial"/>
          <w:i/>
          <w:spacing w:val="-4"/>
          <w:sz w:val="21"/>
          <w:szCs w:val="21"/>
          <w:lang w:val="es-MX"/>
        </w:rPr>
        <w:t xml:space="preserve"> </w:t>
      </w:r>
      <w:r w:rsidRPr="004A0446">
        <w:rPr>
          <w:rFonts w:ascii="Abadi" w:hAnsi="Abadi" w:cs="Arial"/>
          <w:i/>
          <w:sz w:val="21"/>
          <w:szCs w:val="21"/>
          <w:lang w:val="es-MX"/>
        </w:rPr>
        <w:t xml:space="preserve">salubridad general son aplicables las normas federales </w:t>
      </w:r>
      <w:r w:rsidRPr="004A0446">
        <w:rPr>
          <w:rFonts w:ascii="Abadi" w:hAnsi="Abadi" w:cs="Arial"/>
          <w:i/>
          <w:w w:val="105"/>
          <w:sz w:val="21"/>
          <w:szCs w:val="21"/>
          <w:lang w:val="es-MX"/>
        </w:rPr>
        <w:t>tales</w:t>
      </w:r>
      <w:r w:rsidRPr="004A0446">
        <w:rPr>
          <w:rFonts w:ascii="Abadi" w:hAnsi="Abadi" w:cs="Arial"/>
          <w:i/>
          <w:spacing w:val="-12"/>
          <w:w w:val="105"/>
          <w:sz w:val="21"/>
          <w:szCs w:val="21"/>
          <w:lang w:val="es-MX"/>
        </w:rPr>
        <w:t xml:space="preserve"> </w:t>
      </w:r>
      <w:r w:rsidRPr="004A0446">
        <w:rPr>
          <w:rFonts w:ascii="Abadi" w:hAnsi="Abadi" w:cs="Arial"/>
          <w:i/>
          <w:w w:val="105"/>
          <w:sz w:val="21"/>
          <w:szCs w:val="21"/>
          <w:lang w:val="es-MX"/>
        </w:rPr>
        <w:t>como</w:t>
      </w:r>
      <w:r w:rsidRPr="004A0446">
        <w:rPr>
          <w:rFonts w:ascii="Abadi" w:hAnsi="Abadi" w:cs="Arial"/>
          <w:i/>
          <w:spacing w:val="-11"/>
          <w:w w:val="105"/>
          <w:sz w:val="21"/>
          <w:szCs w:val="21"/>
          <w:lang w:val="es-MX"/>
        </w:rPr>
        <w:t xml:space="preserve"> </w:t>
      </w:r>
      <w:r w:rsidRPr="004A0446">
        <w:rPr>
          <w:rFonts w:ascii="Abadi" w:hAnsi="Abadi" w:cs="Arial"/>
          <w:i/>
          <w:w w:val="105"/>
          <w:sz w:val="21"/>
          <w:szCs w:val="21"/>
          <w:lang w:val="es-MX"/>
        </w:rPr>
        <w:t>reglamentos</w:t>
      </w:r>
      <w:r w:rsidRPr="004A0446">
        <w:rPr>
          <w:rFonts w:ascii="Abadi" w:hAnsi="Abadi" w:cs="Arial"/>
          <w:i/>
          <w:spacing w:val="-3"/>
          <w:w w:val="105"/>
          <w:sz w:val="21"/>
          <w:szCs w:val="21"/>
          <w:lang w:val="es-MX"/>
        </w:rPr>
        <w:t xml:space="preserve"> </w:t>
      </w:r>
      <w:r w:rsidRPr="004A0446">
        <w:rPr>
          <w:rFonts w:ascii="Abadi" w:hAnsi="Abadi" w:cs="Arial"/>
          <w:i/>
          <w:w w:val="105"/>
          <w:sz w:val="21"/>
          <w:szCs w:val="21"/>
          <w:lang w:val="es-MX"/>
        </w:rPr>
        <w:t>y</w:t>
      </w:r>
      <w:r w:rsidRPr="004A0446">
        <w:rPr>
          <w:rFonts w:ascii="Abadi" w:hAnsi="Abadi" w:cs="Arial"/>
          <w:i/>
          <w:spacing w:val="-11"/>
          <w:w w:val="105"/>
          <w:sz w:val="21"/>
          <w:szCs w:val="21"/>
          <w:lang w:val="es-MX"/>
        </w:rPr>
        <w:t xml:space="preserve"> </w:t>
      </w:r>
      <w:r w:rsidRPr="004A0446">
        <w:rPr>
          <w:rFonts w:ascii="Abadi" w:hAnsi="Abadi" w:cs="Arial"/>
          <w:i/>
          <w:w w:val="105"/>
          <w:sz w:val="21"/>
          <w:szCs w:val="21"/>
          <w:lang w:val="es-MX"/>
        </w:rPr>
        <w:t>normas técnicas, tal</w:t>
      </w:r>
      <w:r w:rsidRPr="004A0446">
        <w:rPr>
          <w:rFonts w:ascii="Abadi" w:hAnsi="Abadi" w:cs="Arial"/>
          <w:i/>
          <w:spacing w:val="-15"/>
          <w:w w:val="105"/>
          <w:sz w:val="21"/>
          <w:szCs w:val="21"/>
          <w:lang w:val="es-MX"/>
        </w:rPr>
        <w:t xml:space="preserve"> </w:t>
      </w:r>
      <w:r w:rsidRPr="004A0446">
        <w:rPr>
          <w:rFonts w:ascii="Abadi" w:hAnsi="Abadi" w:cs="Arial"/>
          <w:i/>
          <w:w w:val="105"/>
          <w:sz w:val="21"/>
          <w:szCs w:val="21"/>
          <w:lang w:val="es-MX"/>
        </w:rPr>
        <w:t>y</w:t>
      </w:r>
      <w:r w:rsidRPr="004A0446">
        <w:rPr>
          <w:rFonts w:ascii="Abadi" w:hAnsi="Abadi" w:cs="Arial"/>
          <w:i/>
          <w:spacing w:val="-16"/>
          <w:w w:val="105"/>
          <w:sz w:val="21"/>
          <w:szCs w:val="21"/>
          <w:lang w:val="es-MX"/>
        </w:rPr>
        <w:t xml:space="preserve"> </w:t>
      </w:r>
      <w:r w:rsidRPr="004A0446">
        <w:rPr>
          <w:rFonts w:ascii="Abadi" w:hAnsi="Abadi" w:cs="Arial"/>
          <w:i/>
          <w:w w:val="105"/>
          <w:sz w:val="21"/>
          <w:szCs w:val="21"/>
          <w:lang w:val="es-MX"/>
        </w:rPr>
        <w:t>como</w:t>
      </w:r>
      <w:r w:rsidRPr="004A0446">
        <w:rPr>
          <w:rFonts w:ascii="Abadi" w:hAnsi="Abadi" w:cs="Arial"/>
          <w:i/>
          <w:spacing w:val="-8"/>
          <w:w w:val="105"/>
          <w:sz w:val="21"/>
          <w:szCs w:val="21"/>
          <w:lang w:val="es-MX"/>
        </w:rPr>
        <w:t xml:space="preserve"> </w:t>
      </w:r>
      <w:r w:rsidRPr="004A0446">
        <w:rPr>
          <w:rFonts w:ascii="Abadi" w:hAnsi="Abadi" w:cs="Arial"/>
          <w:i/>
          <w:w w:val="105"/>
          <w:sz w:val="21"/>
          <w:szCs w:val="21"/>
          <w:lang w:val="es-MX"/>
        </w:rPr>
        <w:t>se</w:t>
      </w:r>
      <w:r w:rsidRPr="004A0446">
        <w:rPr>
          <w:rFonts w:ascii="Abadi" w:hAnsi="Abadi" w:cs="Arial"/>
          <w:i/>
          <w:spacing w:val="-15"/>
          <w:w w:val="105"/>
          <w:sz w:val="21"/>
          <w:szCs w:val="21"/>
          <w:lang w:val="es-MX"/>
        </w:rPr>
        <w:t xml:space="preserve"> </w:t>
      </w:r>
      <w:r w:rsidRPr="004A0446">
        <w:rPr>
          <w:rFonts w:ascii="Abadi" w:hAnsi="Abadi" w:cs="Arial"/>
          <w:i/>
          <w:w w:val="105"/>
          <w:sz w:val="21"/>
          <w:szCs w:val="21"/>
          <w:lang w:val="es-MX"/>
        </w:rPr>
        <w:t>resolvió</w:t>
      </w:r>
      <w:r w:rsidRPr="004A0446">
        <w:rPr>
          <w:rFonts w:ascii="Abadi" w:hAnsi="Abadi" w:cs="Arial"/>
          <w:i/>
          <w:spacing w:val="-5"/>
          <w:w w:val="105"/>
          <w:sz w:val="21"/>
          <w:szCs w:val="21"/>
          <w:lang w:val="es-MX"/>
        </w:rPr>
        <w:t xml:space="preserve"> </w:t>
      </w:r>
      <w:r w:rsidRPr="004A0446">
        <w:rPr>
          <w:rFonts w:ascii="Abadi" w:hAnsi="Abadi" w:cs="Arial"/>
          <w:i/>
          <w:w w:val="105"/>
          <w:sz w:val="21"/>
          <w:szCs w:val="21"/>
          <w:lang w:val="es-MX"/>
        </w:rPr>
        <w:t>por</w:t>
      </w:r>
      <w:r w:rsidRPr="004A0446">
        <w:rPr>
          <w:rFonts w:ascii="Abadi" w:hAnsi="Abadi" w:cs="Arial"/>
          <w:i/>
          <w:spacing w:val="-9"/>
          <w:w w:val="105"/>
          <w:sz w:val="21"/>
          <w:szCs w:val="21"/>
          <w:lang w:val="es-MX"/>
        </w:rPr>
        <w:t xml:space="preserve"> </w:t>
      </w:r>
      <w:r w:rsidRPr="004A0446">
        <w:rPr>
          <w:rFonts w:ascii="Abadi" w:hAnsi="Abadi" w:cs="Arial"/>
          <w:i/>
          <w:w w:val="105"/>
          <w:sz w:val="21"/>
          <w:szCs w:val="21"/>
          <w:lang w:val="es-MX"/>
        </w:rPr>
        <w:t>la</w:t>
      </w:r>
      <w:r w:rsidRPr="004A0446">
        <w:rPr>
          <w:rFonts w:ascii="Abadi" w:hAnsi="Abadi" w:cs="Arial"/>
          <w:i/>
          <w:spacing w:val="-11"/>
          <w:w w:val="105"/>
          <w:sz w:val="21"/>
          <w:szCs w:val="21"/>
          <w:lang w:val="es-MX"/>
        </w:rPr>
        <w:t xml:space="preserve"> </w:t>
      </w:r>
      <w:r w:rsidRPr="004A0446">
        <w:rPr>
          <w:rFonts w:ascii="Abadi" w:hAnsi="Abadi" w:cs="Arial"/>
          <w:i/>
          <w:w w:val="105"/>
          <w:sz w:val="21"/>
          <w:szCs w:val="21"/>
          <w:lang w:val="es-MX"/>
        </w:rPr>
        <w:t>Suprema Corte</w:t>
      </w:r>
      <w:r w:rsidRPr="004A0446">
        <w:rPr>
          <w:rFonts w:ascii="Abadi" w:hAnsi="Abadi" w:cs="Arial"/>
          <w:i/>
          <w:spacing w:val="-7"/>
          <w:w w:val="105"/>
          <w:sz w:val="21"/>
          <w:szCs w:val="21"/>
          <w:lang w:val="es-MX"/>
        </w:rPr>
        <w:t xml:space="preserve"> </w:t>
      </w:r>
      <w:r w:rsidRPr="004A0446">
        <w:rPr>
          <w:rFonts w:ascii="Abadi" w:hAnsi="Abadi" w:cs="Arial"/>
          <w:i/>
          <w:w w:val="105"/>
          <w:sz w:val="21"/>
          <w:szCs w:val="21"/>
          <w:lang w:val="es-MX"/>
        </w:rPr>
        <w:t>de Justicia de la Nación en</w:t>
      </w:r>
      <w:r w:rsidRPr="004A0446">
        <w:rPr>
          <w:rFonts w:ascii="Abadi" w:hAnsi="Abadi" w:cs="Arial"/>
          <w:i/>
          <w:spacing w:val="-4"/>
          <w:w w:val="105"/>
          <w:sz w:val="21"/>
          <w:szCs w:val="21"/>
          <w:lang w:val="es-MX"/>
        </w:rPr>
        <w:t xml:space="preserve"> </w:t>
      </w:r>
      <w:r w:rsidRPr="004A0446">
        <w:rPr>
          <w:rFonts w:ascii="Abadi" w:hAnsi="Abadi" w:cs="Arial"/>
          <w:i/>
          <w:w w:val="105"/>
          <w:sz w:val="21"/>
          <w:szCs w:val="21"/>
          <w:lang w:val="es-MX"/>
        </w:rPr>
        <w:t>la</w:t>
      </w:r>
      <w:r w:rsidRPr="004A0446">
        <w:rPr>
          <w:rFonts w:ascii="Abadi" w:hAnsi="Abadi" w:cs="Arial"/>
          <w:i/>
          <w:spacing w:val="-3"/>
          <w:w w:val="105"/>
          <w:sz w:val="21"/>
          <w:szCs w:val="21"/>
          <w:lang w:val="es-MX"/>
        </w:rPr>
        <w:t xml:space="preserve"> </w:t>
      </w:r>
      <w:r w:rsidRPr="004A0446">
        <w:rPr>
          <w:rFonts w:ascii="Abadi" w:hAnsi="Abadi" w:cs="Arial"/>
          <w:i/>
          <w:w w:val="105"/>
          <w:sz w:val="21"/>
          <w:szCs w:val="21"/>
          <w:lang w:val="es-MX"/>
        </w:rPr>
        <w:t>controversia constitucional</w:t>
      </w:r>
      <w:r w:rsidRPr="004A0446">
        <w:rPr>
          <w:rFonts w:ascii="Abadi" w:hAnsi="Abadi" w:cs="Arial"/>
          <w:i/>
          <w:spacing w:val="-2"/>
          <w:w w:val="105"/>
          <w:sz w:val="21"/>
          <w:szCs w:val="21"/>
          <w:lang w:val="es-MX"/>
        </w:rPr>
        <w:t xml:space="preserve"> </w:t>
      </w:r>
      <w:r w:rsidRPr="004A0446">
        <w:rPr>
          <w:rFonts w:ascii="Abadi" w:hAnsi="Abadi" w:cs="Arial"/>
          <w:i/>
          <w:w w:val="105"/>
          <w:sz w:val="21"/>
          <w:szCs w:val="21"/>
          <w:lang w:val="es-MX"/>
        </w:rPr>
        <w:t>54/2009, en</w:t>
      </w:r>
      <w:r w:rsidRPr="004A0446">
        <w:rPr>
          <w:rFonts w:ascii="Abadi" w:hAnsi="Abadi" w:cs="Arial"/>
          <w:i/>
          <w:spacing w:val="-1"/>
          <w:w w:val="105"/>
          <w:sz w:val="21"/>
          <w:szCs w:val="21"/>
          <w:lang w:val="es-MX"/>
        </w:rPr>
        <w:t xml:space="preserve"> l</w:t>
      </w:r>
      <w:r w:rsidRPr="004A0446">
        <w:rPr>
          <w:rFonts w:ascii="Abadi" w:hAnsi="Abadi" w:cs="Arial"/>
          <w:i/>
          <w:w w:val="105"/>
          <w:sz w:val="21"/>
          <w:szCs w:val="21"/>
          <w:lang w:val="es-MX"/>
        </w:rPr>
        <w:t>a</w:t>
      </w:r>
      <w:r w:rsidRPr="004A0446">
        <w:rPr>
          <w:rFonts w:ascii="Abadi" w:hAnsi="Abadi" w:cs="Arial"/>
          <w:i/>
          <w:spacing w:val="-11"/>
          <w:w w:val="105"/>
          <w:sz w:val="21"/>
          <w:szCs w:val="21"/>
          <w:lang w:val="es-MX"/>
        </w:rPr>
        <w:t xml:space="preserve"> </w:t>
      </w:r>
      <w:r w:rsidRPr="004A0446">
        <w:rPr>
          <w:rFonts w:ascii="Abadi" w:hAnsi="Abadi" w:cs="Arial"/>
          <w:i/>
          <w:w w:val="105"/>
          <w:sz w:val="21"/>
          <w:szCs w:val="21"/>
          <w:lang w:val="es-MX"/>
        </w:rPr>
        <w:t>que se indicó:</w:t>
      </w:r>
    </w:p>
    <w:p w14:paraId="56B0D164" w14:textId="77777777" w:rsidR="00E3434F" w:rsidRPr="004A0446" w:rsidRDefault="00E3434F" w:rsidP="00F3730A">
      <w:pPr>
        <w:ind w:left="709" w:right="567"/>
        <w:jc w:val="both"/>
        <w:rPr>
          <w:rFonts w:ascii="Abadi" w:hAnsi="Abadi" w:cs="Arial"/>
          <w:i/>
          <w:sz w:val="21"/>
          <w:szCs w:val="21"/>
          <w:lang w:val="es-MX"/>
        </w:rPr>
      </w:pPr>
    </w:p>
    <w:p w14:paraId="585DC843" w14:textId="77777777" w:rsidR="00E3434F" w:rsidRPr="004A0446" w:rsidRDefault="00E3434F" w:rsidP="00F3730A">
      <w:pPr>
        <w:ind w:left="1134" w:right="567" w:firstLine="567"/>
        <w:jc w:val="both"/>
        <w:rPr>
          <w:rFonts w:ascii="Abadi" w:hAnsi="Abadi" w:cs="Arial"/>
          <w:i/>
          <w:sz w:val="21"/>
          <w:szCs w:val="21"/>
          <w:lang w:val="es-MX"/>
        </w:rPr>
      </w:pPr>
      <w:r w:rsidRPr="004A0446">
        <w:rPr>
          <w:rFonts w:ascii="Abadi" w:hAnsi="Abadi" w:cs="Arial"/>
          <w:i/>
          <w:w w:val="105"/>
          <w:sz w:val="21"/>
          <w:szCs w:val="21"/>
          <w:lang w:val="es-MX"/>
        </w:rPr>
        <w:t>&lt;&lt;... La</w:t>
      </w:r>
      <w:r w:rsidRPr="004A0446">
        <w:rPr>
          <w:rFonts w:ascii="Abadi" w:hAnsi="Abadi" w:cs="Arial"/>
          <w:i/>
          <w:spacing w:val="-16"/>
          <w:w w:val="105"/>
          <w:sz w:val="21"/>
          <w:szCs w:val="21"/>
          <w:lang w:val="es-MX"/>
        </w:rPr>
        <w:t xml:space="preserve"> </w:t>
      </w:r>
      <w:r w:rsidRPr="004A0446">
        <w:rPr>
          <w:rFonts w:ascii="Abadi" w:hAnsi="Abadi" w:cs="Arial"/>
          <w:i/>
          <w:w w:val="105"/>
          <w:sz w:val="21"/>
          <w:szCs w:val="21"/>
          <w:lang w:val="es-MX"/>
        </w:rPr>
        <w:t>materia</w:t>
      </w:r>
      <w:r w:rsidRPr="004A0446">
        <w:rPr>
          <w:rFonts w:ascii="Abadi" w:hAnsi="Abadi" w:cs="Arial"/>
          <w:i/>
          <w:spacing w:val="-11"/>
          <w:w w:val="105"/>
          <w:sz w:val="21"/>
          <w:szCs w:val="21"/>
          <w:lang w:val="es-MX"/>
        </w:rPr>
        <w:t xml:space="preserve"> </w:t>
      </w:r>
      <w:r w:rsidRPr="004A0446">
        <w:rPr>
          <w:rFonts w:ascii="Abadi" w:hAnsi="Abadi" w:cs="Arial"/>
          <w:i/>
          <w:w w:val="105"/>
          <w:sz w:val="21"/>
          <w:szCs w:val="21"/>
          <w:lang w:val="es-MX"/>
        </w:rPr>
        <w:t>de</w:t>
      </w:r>
      <w:r w:rsidRPr="004A0446">
        <w:rPr>
          <w:rFonts w:ascii="Abadi" w:hAnsi="Abadi" w:cs="Arial"/>
          <w:i/>
          <w:spacing w:val="-17"/>
          <w:w w:val="105"/>
          <w:sz w:val="21"/>
          <w:szCs w:val="21"/>
          <w:lang w:val="es-MX"/>
        </w:rPr>
        <w:t xml:space="preserve"> </w:t>
      </w:r>
      <w:r w:rsidRPr="004A0446">
        <w:rPr>
          <w:rFonts w:ascii="Abadi" w:hAnsi="Abadi" w:cs="Arial"/>
          <w:i/>
          <w:w w:val="105"/>
          <w:sz w:val="21"/>
          <w:szCs w:val="21"/>
          <w:lang w:val="es-MX"/>
        </w:rPr>
        <w:t>salubridad</w:t>
      </w:r>
      <w:r w:rsidRPr="004A0446">
        <w:rPr>
          <w:rFonts w:ascii="Abadi" w:hAnsi="Abadi" w:cs="Arial"/>
          <w:i/>
          <w:spacing w:val="-6"/>
          <w:w w:val="105"/>
          <w:sz w:val="21"/>
          <w:szCs w:val="21"/>
          <w:lang w:val="es-MX"/>
        </w:rPr>
        <w:t xml:space="preserve"> </w:t>
      </w:r>
      <w:r w:rsidRPr="004A0446">
        <w:rPr>
          <w:rFonts w:ascii="Abadi" w:hAnsi="Abadi" w:cs="Arial"/>
          <w:i/>
          <w:w w:val="105"/>
          <w:sz w:val="21"/>
          <w:szCs w:val="21"/>
          <w:lang w:val="es-MX"/>
        </w:rPr>
        <w:t>general</w:t>
      </w:r>
      <w:r w:rsidRPr="004A0446">
        <w:rPr>
          <w:rFonts w:ascii="Abadi" w:hAnsi="Abadi" w:cs="Arial"/>
          <w:i/>
          <w:spacing w:val="-6"/>
          <w:w w:val="105"/>
          <w:sz w:val="21"/>
          <w:szCs w:val="21"/>
          <w:lang w:val="es-MX"/>
        </w:rPr>
        <w:t xml:space="preserve"> </w:t>
      </w:r>
      <w:r w:rsidRPr="004A0446">
        <w:rPr>
          <w:rFonts w:ascii="Abadi" w:hAnsi="Abadi" w:cs="Arial"/>
          <w:i/>
          <w:w w:val="105"/>
          <w:sz w:val="21"/>
          <w:szCs w:val="21"/>
          <w:lang w:val="es-MX"/>
        </w:rPr>
        <w:t>establecida en</w:t>
      </w:r>
      <w:r w:rsidRPr="004A0446">
        <w:rPr>
          <w:rFonts w:ascii="Abadi" w:hAnsi="Abadi" w:cs="Arial"/>
          <w:i/>
          <w:spacing w:val="-15"/>
          <w:w w:val="105"/>
          <w:sz w:val="21"/>
          <w:szCs w:val="21"/>
          <w:lang w:val="es-MX"/>
        </w:rPr>
        <w:t xml:space="preserve"> </w:t>
      </w:r>
      <w:r w:rsidRPr="004A0446">
        <w:rPr>
          <w:rFonts w:ascii="Abadi" w:hAnsi="Abadi" w:cs="Arial"/>
          <w:i/>
          <w:w w:val="105"/>
          <w:sz w:val="21"/>
          <w:szCs w:val="21"/>
          <w:lang w:val="es-MX"/>
        </w:rPr>
        <w:t>la</w:t>
      </w:r>
      <w:r w:rsidRPr="004A0446">
        <w:rPr>
          <w:rFonts w:ascii="Abadi" w:hAnsi="Abadi" w:cs="Arial"/>
          <w:i/>
          <w:spacing w:val="-16"/>
          <w:w w:val="105"/>
          <w:sz w:val="21"/>
          <w:szCs w:val="21"/>
          <w:lang w:val="es-MX"/>
        </w:rPr>
        <w:t xml:space="preserve"> </w:t>
      </w:r>
      <w:r w:rsidRPr="004A0446">
        <w:rPr>
          <w:rFonts w:ascii="Abadi" w:hAnsi="Abadi" w:cs="Arial"/>
          <w:i/>
          <w:w w:val="105"/>
          <w:sz w:val="21"/>
          <w:szCs w:val="21"/>
          <w:lang w:val="es-MX"/>
        </w:rPr>
        <w:t>Constitución y</w:t>
      </w:r>
      <w:r w:rsidRPr="004A0446">
        <w:rPr>
          <w:rFonts w:ascii="Abadi" w:hAnsi="Abadi" w:cs="Arial"/>
          <w:i/>
          <w:spacing w:val="-12"/>
          <w:w w:val="105"/>
          <w:sz w:val="21"/>
          <w:szCs w:val="21"/>
          <w:lang w:val="es-MX"/>
        </w:rPr>
        <w:t xml:space="preserve"> </w:t>
      </w:r>
      <w:r w:rsidRPr="004A0446">
        <w:rPr>
          <w:rFonts w:ascii="Abadi" w:hAnsi="Abadi" w:cs="Arial"/>
          <w:i/>
          <w:w w:val="105"/>
          <w:sz w:val="21"/>
          <w:szCs w:val="21"/>
          <w:lang w:val="es-MX"/>
        </w:rPr>
        <w:t>administrada en la Ley General de Salud es una materia en donde se establece una concurrencia operativa,</w:t>
      </w:r>
      <w:r w:rsidRPr="004A0446">
        <w:rPr>
          <w:rFonts w:ascii="Abadi" w:hAnsi="Abadi" w:cs="Arial"/>
          <w:i/>
          <w:spacing w:val="-17"/>
          <w:w w:val="105"/>
          <w:sz w:val="21"/>
          <w:szCs w:val="21"/>
          <w:lang w:val="es-MX"/>
        </w:rPr>
        <w:t xml:space="preserve"> </w:t>
      </w:r>
      <w:r w:rsidRPr="004A0446">
        <w:rPr>
          <w:rFonts w:ascii="Abadi" w:hAnsi="Abadi" w:cs="Arial"/>
          <w:i/>
          <w:w w:val="105"/>
          <w:sz w:val="21"/>
          <w:szCs w:val="21"/>
          <w:lang w:val="es-MX"/>
        </w:rPr>
        <w:t>no</w:t>
      </w:r>
      <w:r w:rsidRPr="004A0446">
        <w:rPr>
          <w:rFonts w:ascii="Abadi" w:hAnsi="Abadi" w:cs="Arial"/>
          <w:i/>
          <w:spacing w:val="-17"/>
          <w:w w:val="105"/>
          <w:sz w:val="21"/>
          <w:szCs w:val="21"/>
          <w:lang w:val="es-MX"/>
        </w:rPr>
        <w:t xml:space="preserve"> </w:t>
      </w:r>
      <w:r w:rsidRPr="004A0446">
        <w:rPr>
          <w:rFonts w:ascii="Abadi" w:hAnsi="Abadi" w:cs="Arial"/>
          <w:i/>
          <w:w w:val="105"/>
          <w:sz w:val="21"/>
          <w:szCs w:val="21"/>
          <w:lang w:val="es-MX"/>
        </w:rPr>
        <w:t>una</w:t>
      </w:r>
      <w:r w:rsidRPr="004A0446">
        <w:rPr>
          <w:rFonts w:ascii="Abadi" w:hAnsi="Abadi" w:cs="Arial"/>
          <w:i/>
          <w:spacing w:val="-17"/>
          <w:w w:val="105"/>
          <w:sz w:val="21"/>
          <w:szCs w:val="21"/>
          <w:lang w:val="es-MX"/>
        </w:rPr>
        <w:t xml:space="preserve"> </w:t>
      </w:r>
      <w:r w:rsidRPr="004A0446">
        <w:rPr>
          <w:rFonts w:ascii="Abadi" w:hAnsi="Abadi" w:cs="Arial"/>
          <w:i/>
          <w:w w:val="105"/>
          <w:sz w:val="21"/>
          <w:szCs w:val="21"/>
          <w:lang w:val="es-MX"/>
        </w:rPr>
        <w:t>concurrencia</w:t>
      </w:r>
      <w:r w:rsidRPr="004A0446">
        <w:rPr>
          <w:rFonts w:ascii="Abadi" w:hAnsi="Abadi" w:cs="Arial"/>
          <w:i/>
          <w:spacing w:val="-17"/>
          <w:w w:val="105"/>
          <w:sz w:val="21"/>
          <w:szCs w:val="21"/>
          <w:lang w:val="es-MX"/>
        </w:rPr>
        <w:t xml:space="preserve"> </w:t>
      </w:r>
      <w:r w:rsidRPr="004A0446">
        <w:rPr>
          <w:rFonts w:ascii="Abadi" w:hAnsi="Abadi" w:cs="Arial"/>
          <w:i/>
          <w:w w:val="105"/>
          <w:sz w:val="21"/>
          <w:szCs w:val="21"/>
          <w:lang w:val="es-MX"/>
        </w:rPr>
        <w:t>normativa.</w:t>
      </w:r>
      <w:r w:rsidRPr="004A0446">
        <w:rPr>
          <w:rFonts w:ascii="Abadi" w:hAnsi="Abadi" w:cs="Arial"/>
          <w:i/>
          <w:spacing w:val="-16"/>
          <w:w w:val="105"/>
          <w:sz w:val="21"/>
          <w:szCs w:val="21"/>
          <w:lang w:val="es-MX"/>
        </w:rPr>
        <w:t xml:space="preserve"> </w:t>
      </w:r>
      <w:r w:rsidRPr="004A0446">
        <w:rPr>
          <w:rFonts w:ascii="Abadi" w:hAnsi="Abadi" w:cs="Arial"/>
          <w:i/>
          <w:w w:val="105"/>
          <w:sz w:val="21"/>
          <w:szCs w:val="21"/>
          <w:lang w:val="es-MX"/>
        </w:rPr>
        <w:t>En</w:t>
      </w:r>
      <w:r w:rsidRPr="004A0446">
        <w:rPr>
          <w:rFonts w:ascii="Abadi" w:hAnsi="Abadi" w:cs="Arial"/>
          <w:i/>
          <w:spacing w:val="-17"/>
          <w:w w:val="105"/>
          <w:sz w:val="21"/>
          <w:szCs w:val="21"/>
          <w:lang w:val="es-MX"/>
        </w:rPr>
        <w:t xml:space="preserve"> </w:t>
      </w:r>
      <w:r w:rsidRPr="004A0446">
        <w:rPr>
          <w:rFonts w:ascii="Abadi" w:hAnsi="Abadi" w:cs="Arial"/>
          <w:i/>
          <w:w w:val="105"/>
          <w:sz w:val="21"/>
          <w:szCs w:val="21"/>
          <w:lang w:val="es-MX"/>
        </w:rPr>
        <w:t>las</w:t>
      </w:r>
      <w:r w:rsidRPr="004A0446">
        <w:rPr>
          <w:rFonts w:ascii="Abadi" w:hAnsi="Abadi" w:cs="Arial"/>
          <w:i/>
          <w:spacing w:val="-17"/>
          <w:w w:val="105"/>
          <w:sz w:val="21"/>
          <w:szCs w:val="21"/>
          <w:lang w:val="es-MX"/>
        </w:rPr>
        <w:t xml:space="preserve"> </w:t>
      </w:r>
      <w:r w:rsidRPr="004A0446">
        <w:rPr>
          <w:rFonts w:ascii="Abadi" w:hAnsi="Abadi" w:cs="Arial"/>
          <w:i/>
          <w:w w:val="105"/>
          <w:sz w:val="21"/>
          <w:szCs w:val="21"/>
          <w:lang w:val="es-MX"/>
        </w:rPr>
        <w:t>materias</w:t>
      </w:r>
      <w:r w:rsidRPr="004A0446">
        <w:rPr>
          <w:rFonts w:ascii="Abadi" w:hAnsi="Abadi" w:cs="Arial"/>
          <w:i/>
          <w:spacing w:val="-17"/>
          <w:w w:val="105"/>
          <w:sz w:val="21"/>
          <w:szCs w:val="21"/>
          <w:lang w:val="es-MX"/>
        </w:rPr>
        <w:t xml:space="preserve"> </w:t>
      </w:r>
      <w:r w:rsidRPr="004A0446">
        <w:rPr>
          <w:rFonts w:ascii="Abadi" w:hAnsi="Abadi" w:cs="Arial"/>
          <w:i/>
          <w:w w:val="105"/>
          <w:sz w:val="21"/>
          <w:szCs w:val="21"/>
          <w:lang w:val="es-MX"/>
        </w:rPr>
        <w:t>que</w:t>
      </w:r>
      <w:r w:rsidRPr="004A0446">
        <w:rPr>
          <w:rFonts w:ascii="Abadi" w:hAnsi="Abadi" w:cs="Arial"/>
          <w:i/>
          <w:spacing w:val="-16"/>
          <w:w w:val="105"/>
          <w:sz w:val="21"/>
          <w:szCs w:val="21"/>
          <w:lang w:val="es-MX"/>
        </w:rPr>
        <w:t xml:space="preserve"> </w:t>
      </w:r>
      <w:r w:rsidRPr="004A0446">
        <w:rPr>
          <w:rFonts w:ascii="Abadi" w:hAnsi="Abadi" w:cs="Arial"/>
          <w:i/>
          <w:w w:val="105"/>
          <w:sz w:val="21"/>
          <w:szCs w:val="21"/>
          <w:lang w:val="es-MX"/>
        </w:rPr>
        <w:t>se</w:t>
      </w:r>
      <w:r w:rsidRPr="004A0446">
        <w:rPr>
          <w:rFonts w:ascii="Abadi" w:hAnsi="Abadi" w:cs="Arial"/>
          <w:i/>
          <w:spacing w:val="-17"/>
          <w:w w:val="105"/>
          <w:sz w:val="21"/>
          <w:szCs w:val="21"/>
          <w:lang w:val="es-MX"/>
        </w:rPr>
        <w:t xml:space="preserve"> </w:t>
      </w:r>
      <w:r w:rsidRPr="004A0446">
        <w:rPr>
          <w:rFonts w:ascii="Abadi" w:hAnsi="Abadi" w:cs="Arial"/>
          <w:i/>
          <w:w w:val="105"/>
          <w:sz w:val="21"/>
          <w:szCs w:val="21"/>
          <w:lang w:val="es-MX"/>
        </w:rPr>
        <w:t>consideran</w:t>
      </w:r>
      <w:r w:rsidRPr="004A0446">
        <w:rPr>
          <w:rFonts w:ascii="Abadi" w:hAnsi="Abadi" w:cs="Arial"/>
          <w:i/>
          <w:spacing w:val="-17"/>
          <w:w w:val="105"/>
          <w:sz w:val="21"/>
          <w:szCs w:val="21"/>
          <w:lang w:val="es-MX"/>
        </w:rPr>
        <w:t xml:space="preserve"> </w:t>
      </w:r>
      <w:r w:rsidRPr="004A0446">
        <w:rPr>
          <w:rFonts w:ascii="Abadi" w:hAnsi="Abadi" w:cs="Arial"/>
          <w:i/>
          <w:w w:val="105"/>
          <w:sz w:val="21"/>
          <w:szCs w:val="21"/>
          <w:lang w:val="es-MX"/>
        </w:rPr>
        <w:t>de</w:t>
      </w:r>
      <w:r w:rsidRPr="004A0446">
        <w:rPr>
          <w:rFonts w:ascii="Abadi" w:hAnsi="Abadi" w:cs="Arial"/>
          <w:i/>
          <w:spacing w:val="-17"/>
          <w:w w:val="105"/>
          <w:sz w:val="21"/>
          <w:szCs w:val="21"/>
          <w:lang w:val="es-MX"/>
        </w:rPr>
        <w:t xml:space="preserve"> </w:t>
      </w:r>
      <w:r w:rsidRPr="004A0446">
        <w:rPr>
          <w:rFonts w:ascii="Abadi" w:hAnsi="Abadi" w:cs="Arial"/>
          <w:i/>
          <w:w w:val="105"/>
          <w:sz w:val="21"/>
          <w:szCs w:val="21"/>
          <w:lang w:val="es-MX"/>
        </w:rPr>
        <w:t>salubridad general establecidas en</w:t>
      </w:r>
      <w:r w:rsidRPr="004A0446">
        <w:rPr>
          <w:rFonts w:ascii="Abadi" w:hAnsi="Abadi" w:cs="Arial"/>
          <w:i/>
          <w:spacing w:val="-12"/>
          <w:w w:val="105"/>
          <w:sz w:val="21"/>
          <w:szCs w:val="21"/>
          <w:lang w:val="es-MX"/>
        </w:rPr>
        <w:t xml:space="preserve"> </w:t>
      </w:r>
      <w:r w:rsidRPr="004A0446">
        <w:rPr>
          <w:rFonts w:ascii="Abadi" w:hAnsi="Abadi" w:cs="Arial"/>
          <w:i/>
          <w:w w:val="105"/>
          <w:sz w:val="21"/>
          <w:szCs w:val="21"/>
          <w:lang w:val="es-MX"/>
        </w:rPr>
        <w:t>los</w:t>
      </w:r>
      <w:r w:rsidRPr="004A0446">
        <w:rPr>
          <w:rFonts w:ascii="Abadi" w:hAnsi="Abadi" w:cs="Arial"/>
          <w:i/>
          <w:spacing w:val="-13"/>
          <w:w w:val="105"/>
          <w:sz w:val="21"/>
          <w:szCs w:val="21"/>
          <w:lang w:val="es-MX"/>
        </w:rPr>
        <w:t xml:space="preserve"> </w:t>
      </w:r>
      <w:r w:rsidRPr="004A0446">
        <w:rPr>
          <w:rFonts w:ascii="Abadi" w:hAnsi="Abadi" w:cs="Arial"/>
          <w:i/>
          <w:w w:val="105"/>
          <w:sz w:val="21"/>
          <w:szCs w:val="21"/>
          <w:lang w:val="es-MX"/>
        </w:rPr>
        <w:t>apartados del</w:t>
      </w:r>
      <w:r w:rsidRPr="004A0446">
        <w:rPr>
          <w:rFonts w:ascii="Abadi" w:hAnsi="Abadi" w:cs="Arial"/>
          <w:i/>
          <w:spacing w:val="-8"/>
          <w:w w:val="105"/>
          <w:sz w:val="21"/>
          <w:szCs w:val="21"/>
          <w:lang w:val="es-MX"/>
        </w:rPr>
        <w:t xml:space="preserve"> </w:t>
      </w:r>
      <w:r w:rsidRPr="004A0446">
        <w:rPr>
          <w:rFonts w:ascii="Abadi" w:hAnsi="Abadi" w:cs="Arial"/>
          <w:i/>
          <w:w w:val="105"/>
          <w:sz w:val="21"/>
          <w:szCs w:val="21"/>
          <w:lang w:val="es-MX"/>
        </w:rPr>
        <w:t>artículo 13</w:t>
      </w:r>
      <w:r w:rsidRPr="004A0446">
        <w:rPr>
          <w:rFonts w:ascii="Abadi" w:hAnsi="Abadi" w:cs="Arial"/>
          <w:i/>
          <w:spacing w:val="-8"/>
          <w:w w:val="105"/>
          <w:sz w:val="21"/>
          <w:szCs w:val="21"/>
          <w:lang w:val="es-MX"/>
        </w:rPr>
        <w:t xml:space="preserve"> </w:t>
      </w:r>
      <w:r w:rsidRPr="004A0446">
        <w:rPr>
          <w:rFonts w:ascii="Abadi" w:hAnsi="Abadi" w:cs="Arial"/>
          <w:i/>
          <w:w w:val="105"/>
          <w:sz w:val="21"/>
          <w:szCs w:val="21"/>
          <w:lang w:val="es-MX"/>
        </w:rPr>
        <w:t>de</w:t>
      </w:r>
      <w:r w:rsidRPr="004A0446">
        <w:rPr>
          <w:rFonts w:ascii="Abadi" w:hAnsi="Abadi" w:cs="Arial"/>
          <w:i/>
          <w:spacing w:val="-8"/>
          <w:w w:val="105"/>
          <w:sz w:val="21"/>
          <w:szCs w:val="21"/>
          <w:lang w:val="es-MX"/>
        </w:rPr>
        <w:t xml:space="preserve"> </w:t>
      </w:r>
      <w:r w:rsidRPr="004A0446">
        <w:rPr>
          <w:rFonts w:ascii="Abadi" w:hAnsi="Abadi" w:cs="Arial"/>
          <w:i/>
          <w:w w:val="105"/>
          <w:sz w:val="21"/>
          <w:szCs w:val="21"/>
          <w:lang w:val="es-MX"/>
        </w:rPr>
        <w:t>la</w:t>
      </w:r>
      <w:r w:rsidRPr="004A0446">
        <w:rPr>
          <w:rFonts w:ascii="Abadi" w:hAnsi="Abadi" w:cs="Arial"/>
          <w:i/>
          <w:spacing w:val="-8"/>
          <w:w w:val="105"/>
          <w:sz w:val="21"/>
          <w:szCs w:val="21"/>
          <w:lang w:val="es-MX"/>
        </w:rPr>
        <w:t xml:space="preserve"> </w:t>
      </w:r>
      <w:r w:rsidRPr="004A0446">
        <w:rPr>
          <w:rFonts w:ascii="Abadi" w:hAnsi="Abadi" w:cs="Arial"/>
          <w:i/>
          <w:w w:val="105"/>
          <w:sz w:val="21"/>
          <w:szCs w:val="21"/>
          <w:lang w:val="es-MX"/>
        </w:rPr>
        <w:t>Ley</w:t>
      </w:r>
      <w:r w:rsidRPr="004A0446">
        <w:rPr>
          <w:rFonts w:ascii="Abadi" w:hAnsi="Abadi" w:cs="Arial"/>
          <w:i/>
          <w:spacing w:val="-10"/>
          <w:w w:val="105"/>
          <w:sz w:val="21"/>
          <w:szCs w:val="21"/>
          <w:lang w:val="es-MX"/>
        </w:rPr>
        <w:t xml:space="preserve"> </w:t>
      </w:r>
      <w:r w:rsidRPr="004A0446">
        <w:rPr>
          <w:rFonts w:ascii="Abadi" w:hAnsi="Abadi" w:cs="Arial"/>
          <w:i/>
          <w:w w:val="105"/>
          <w:sz w:val="21"/>
          <w:szCs w:val="21"/>
          <w:lang w:val="es-MX"/>
        </w:rPr>
        <w:t>General, aun</w:t>
      </w:r>
      <w:r w:rsidRPr="004A0446">
        <w:rPr>
          <w:rFonts w:ascii="Abadi" w:hAnsi="Abadi" w:cs="Arial"/>
          <w:i/>
          <w:spacing w:val="-8"/>
          <w:w w:val="105"/>
          <w:sz w:val="21"/>
          <w:szCs w:val="21"/>
          <w:lang w:val="es-MX"/>
        </w:rPr>
        <w:t xml:space="preserve"> </w:t>
      </w:r>
      <w:r w:rsidRPr="004A0446">
        <w:rPr>
          <w:rFonts w:ascii="Abadi" w:hAnsi="Abadi" w:cs="Arial"/>
          <w:i/>
          <w:w w:val="105"/>
          <w:sz w:val="21"/>
          <w:szCs w:val="21"/>
          <w:lang w:val="es-MX"/>
        </w:rPr>
        <w:t>cuando sean operados por</w:t>
      </w:r>
      <w:r w:rsidRPr="004A0446">
        <w:rPr>
          <w:rFonts w:ascii="Abadi" w:hAnsi="Abadi" w:cs="Arial"/>
          <w:i/>
          <w:spacing w:val="-13"/>
          <w:w w:val="105"/>
          <w:sz w:val="21"/>
          <w:szCs w:val="21"/>
          <w:lang w:val="es-MX"/>
        </w:rPr>
        <w:t xml:space="preserve"> </w:t>
      </w:r>
      <w:r w:rsidRPr="004A0446">
        <w:rPr>
          <w:rFonts w:ascii="Abadi" w:hAnsi="Abadi" w:cs="Arial"/>
          <w:i/>
          <w:w w:val="105"/>
          <w:sz w:val="21"/>
          <w:szCs w:val="21"/>
          <w:lang w:val="es-MX"/>
        </w:rPr>
        <w:t>hospitales construidos, financiados y</w:t>
      </w:r>
      <w:r w:rsidRPr="004A0446">
        <w:rPr>
          <w:rFonts w:ascii="Abadi" w:hAnsi="Abadi" w:cs="Arial"/>
          <w:i/>
          <w:spacing w:val="-10"/>
          <w:w w:val="105"/>
          <w:sz w:val="21"/>
          <w:szCs w:val="21"/>
          <w:lang w:val="es-MX"/>
        </w:rPr>
        <w:t xml:space="preserve"> </w:t>
      </w:r>
      <w:r w:rsidRPr="004A0446">
        <w:rPr>
          <w:rFonts w:ascii="Abadi" w:hAnsi="Abadi" w:cs="Arial"/>
          <w:i/>
          <w:w w:val="105"/>
          <w:sz w:val="21"/>
          <w:szCs w:val="21"/>
          <w:lang w:val="es-MX"/>
        </w:rPr>
        <w:t>regulados</w:t>
      </w:r>
      <w:r w:rsidRPr="004A0446">
        <w:rPr>
          <w:rFonts w:ascii="Abadi" w:hAnsi="Abadi" w:cs="Arial"/>
          <w:i/>
          <w:spacing w:val="-1"/>
          <w:w w:val="105"/>
          <w:sz w:val="21"/>
          <w:szCs w:val="21"/>
          <w:lang w:val="es-MX"/>
        </w:rPr>
        <w:t xml:space="preserve"> </w:t>
      </w:r>
      <w:r w:rsidRPr="004A0446">
        <w:rPr>
          <w:rFonts w:ascii="Abadi" w:hAnsi="Abadi" w:cs="Arial"/>
          <w:i/>
          <w:w w:val="105"/>
          <w:sz w:val="21"/>
          <w:szCs w:val="21"/>
          <w:lang w:val="es-MX"/>
        </w:rPr>
        <w:t>en</w:t>
      </w:r>
      <w:r w:rsidRPr="004A0446">
        <w:rPr>
          <w:rFonts w:ascii="Abadi" w:hAnsi="Abadi" w:cs="Arial"/>
          <w:i/>
          <w:spacing w:val="-11"/>
          <w:w w:val="105"/>
          <w:sz w:val="21"/>
          <w:szCs w:val="21"/>
          <w:lang w:val="es-MX"/>
        </w:rPr>
        <w:t xml:space="preserve"> </w:t>
      </w:r>
      <w:r w:rsidRPr="004A0446">
        <w:rPr>
          <w:rFonts w:ascii="Abadi" w:hAnsi="Abadi" w:cs="Arial"/>
          <w:i/>
          <w:w w:val="105"/>
          <w:sz w:val="21"/>
          <w:szCs w:val="21"/>
          <w:lang w:val="es-MX"/>
        </w:rPr>
        <w:t>algunos</w:t>
      </w:r>
      <w:r w:rsidRPr="004A0446">
        <w:rPr>
          <w:rFonts w:ascii="Abadi" w:hAnsi="Abadi" w:cs="Arial"/>
          <w:i/>
          <w:spacing w:val="-2"/>
          <w:w w:val="105"/>
          <w:sz w:val="21"/>
          <w:szCs w:val="21"/>
          <w:lang w:val="es-MX"/>
        </w:rPr>
        <w:t xml:space="preserve"> </w:t>
      </w:r>
      <w:r w:rsidRPr="004A0446">
        <w:rPr>
          <w:rFonts w:ascii="Abadi" w:hAnsi="Abadi" w:cs="Arial"/>
          <w:i/>
          <w:w w:val="105"/>
          <w:sz w:val="21"/>
          <w:szCs w:val="21"/>
          <w:lang w:val="es-MX"/>
        </w:rPr>
        <w:t>de</w:t>
      </w:r>
      <w:r w:rsidRPr="004A0446">
        <w:rPr>
          <w:rFonts w:ascii="Abadi" w:hAnsi="Abadi" w:cs="Arial"/>
          <w:i/>
          <w:spacing w:val="-11"/>
          <w:w w:val="105"/>
          <w:sz w:val="21"/>
          <w:szCs w:val="21"/>
          <w:lang w:val="es-MX"/>
        </w:rPr>
        <w:t xml:space="preserve"> </w:t>
      </w:r>
      <w:r w:rsidRPr="004A0446">
        <w:rPr>
          <w:rFonts w:ascii="Abadi" w:hAnsi="Abadi" w:cs="Arial"/>
          <w:i/>
          <w:w w:val="105"/>
          <w:sz w:val="21"/>
          <w:szCs w:val="21"/>
          <w:lang w:val="es-MX"/>
        </w:rPr>
        <w:t>sus</w:t>
      </w:r>
      <w:r w:rsidRPr="004A0446">
        <w:rPr>
          <w:rFonts w:ascii="Abadi" w:hAnsi="Abadi" w:cs="Arial"/>
          <w:i/>
          <w:spacing w:val="-10"/>
          <w:w w:val="105"/>
          <w:sz w:val="21"/>
          <w:szCs w:val="21"/>
          <w:lang w:val="es-MX"/>
        </w:rPr>
        <w:t xml:space="preserve"> </w:t>
      </w:r>
      <w:r w:rsidRPr="004A0446">
        <w:rPr>
          <w:rFonts w:ascii="Abadi" w:hAnsi="Abadi" w:cs="Arial"/>
          <w:i/>
          <w:w w:val="105"/>
          <w:sz w:val="21"/>
          <w:szCs w:val="21"/>
          <w:lang w:val="es-MX"/>
        </w:rPr>
        <w:t>aspectos localmente, los mismos pertenecen al Sistema Nacional de Salud, y las materias de Salubridad General con las</w:t>
      </w:r>
      <w:r w:rsidRPr="004A0446">
        <w:rPr>
          <w:rFonts w:ascii="Abadi" w:hAnsi="Abadi" w:cs="Arial"/>
          <w:i/>
          <w:spacing w:val="-2"/>
          <w:w w:val="105"/>
          <w:sz w:val="21"/>
          <w:szCs w:val="21"/>
          <w:lang w:val="es-MX"/>
        </w:rPr>
        <w:t xml:space="preserve"> </w:t>
      </w:r>
      <w:r w:rsidRPr="004A0446">
        <w:rPr>
          <w:rFonts w:ascii="Abadi" w:hAnsi="Abadi" w:cs="Arial"/>
          <w:i/>
          <w:w w:val="105"/>
          <w:sz w:val="21"/>
          <w:szCs w:val="21"/>
          <w:lang w:val="es-MX"/>
        </w:rPr>
        <w:t>que</w:t>
      </w:r>
      <w:r w:rsidRPr="004A0446">
        <w:rPr>
          <w:rFonts w:ascii="Abadi" w:hAnsi="Abadi" w:cs="Arial"/>
          <w:i/>
          <w:spacing w:val="-5"/>
          <w:w w:val="105"/>
          <w:sz w:val="21"/>
          <w:szCs w:val="21"/>
          <w:lang w:val="es-MX"/>
        </w:rPr>
        <w:t xml:space="preserve"> </w:t>
      </w:r>
      <w:r w:rsidRPr="004A0446">
        <w:rPr>
          <w:rFonts w:ascii="Abadi" w:hAnsi="Abadi" w:cs="Arial"/>
          <w:i/>
          <w:w w:val="105"/>
          <w:sz w:val="21"/>
          <w:szCs w:val="21"/>
          <w:lang w:val="es-MX"/>
        </w:rPr>
        <w:t>operan no se transforman en</w:t>
      </w:r>
      <w:r w:rsidRPr="004A0446">
        <w:rPr>
          <w:rFonts w:ascii="Abadi" w:hAnsi="Abadi" w:cs="Arial"/>
          <w:i/>
          <w:spacing w:val="-5"/>
          <w:w w:val="105"/>
          <w:sz w:val="21"/>
          <w:szCs w:val="21"/>
          <w:lang w:val="es-MX"/>
        </w:rPr>
        <w:t xml:space="preserve"> </w:t>
      </w:r>
      <w:r w:rsidRPr="004A0446">
        <w:rPr>
          <w:rFonts w:ascii="Abadi" w:hAnsi="Abadi" w:cs="Arial"/>
          <w:i/>
          <w:w w:val="105"/>
          <w:sz w:val="21"/>
          <w:szCs w:val="21"/>
          <w:lang w:val="es-MX"/>
        </w:rPr>
        <w:t>competencias locales, sino que mantienen su origen federal, por lo que pueden ser técnicamente reguladas por las normas reglamentarias y oficiales de la materia...&gt;&gt;.</w:t>
      </w:r>
    </w:p>
    <w:p w14:paraId="20D89180" w14:textId="77777777" w:rsidR="00E3434F" w:rsidRPr="004A0446" w:rsidRDefault="00E3434F" w:rsidP="00F3730A">
      <w:pPr>
        <w:spacing w:before="9"/>
        <w:ind w:right="567"/>
        <w:jc w:val="both"/>
        <w:rPr>
          <w:rFonts w:ascii="Abadi" w:hAnsi="Abadi" w:cs="Arial"/>
          <w:i/>
          <w:sz w:val="21"/>
          <w:szCs w:val="21"/>
          <w:lang w:val="es-MX"/>
        </w:rPr>
      </w:pPr>
    </w:p>
    <w:p w14:paraId="2F52A934" w14:textId="77777777" w:rsidR="00E3434F" w:rsidRPr="004A0446" w:rsidRDefault="00E3434F" w:rsidP="00F3730A">
      <w:pPr>
        <w:ind w:left="1134" w:right="567" w:firstLine="567"/>
        <w:jc w:val="both"/>
        <w:rPr>
          <w:rFonts w:ascii="Abadi" w:hAnsi="Abadi" w:cs="Arial"/>
          <w:i/>
          <w:sz w:val="21"/>
          <w:szCs w:val="21"/>
          <w:lang w:val="es-MX"/>
        </w:rPr>
      </w:pPr>
      <w:r w:rsidRPr="004A0446">
        <w:rPr>
          <w:rFonts w:ascii="Abadi" w:hAnsi="Abadi" w:cs="Arial"/>
          <w:i/>
          <w:w w:val="105"/>
          <w:sz w:val="21"/>
          <w:szCs w:val="21"/>
          <w:lang w:val="es-MX"/>
        </w:rPr>
        <w:t>En este sentido, conforme los dispositivos citados, corresponde al Congreso de la Unión regular la materia de salud mental y con ello respecto al suicidio, contenido en el objeto de</w:t>
      </w:r>
      <w:r w:rsidRPr="004A0446">
        <w:rPr>
          <w:rFonts w:ascii="Abadi" w:hAnsi="Abadi" w:cs="Arial"/>
          <w:i/>
          <w:spacing w:val="-6"/>
          <w:w w:val="105"/>
          <w:sz w:val="21"/>
          <w:szCs w:val="21"/>
          <w:lang w:val="es-MX"/>
        </w:rPr>
        <w:t xml:space="preserve"> </w:t>
      </w:r>
      <w:r w:rsidRPr="004A0446">
        <w:rPr>
          <w:rFonts w:ascii="Abadi" w:hAnsi="Abadi" w:cs="Arial"/>
          <w:i/>
          <w:w w:val="105"/>
          <w:sz w:val="21"/>
          <w:szCs w:val="21"/>
          <w:lang w:val="es-MX"/>
        </w:rPr>
        <w:t>la</w:t>
      </w:r>
      <w:r w:rsidRPr="004A0446">
        <w:rPr>
          <w:rFonts w:ascii="Abadi" w:hAnsi="Abadi" w:cs="Arial"/>
          <w:i/>
          <w:spacing w:val="-4"/>
          <w:w w:val="105"/>
          <w:sz w:val="21"/>
          <w:szCs w:val="21"/>
          <w:lang w:val="es-MX"/>
        </w:rPr>
        <w:t xml:space="preserve"> </w:t>
      </w:r>
      <w:r w:rsidRPr="004A0446">
        <w:rPr>
          <w:rFonts w:ascii="Abadi" w:hAnsi="Abadi" w:cs="Arial"/>
          <w:i/>
          <w:w w:val="105"/>
          <w:sz w:val="21"/>
          <w:szCs w:val="21"/>
          <w:lang w:val="es-MX"/>
        </w:rPr>
        <w:t>iniciativa, según se</w:t>
      </w:r>
      <w:r w:rsidRPr="004A0446">
        <w:rPr>
          <w:rFonts w:ascii="Abadi" w:hAnsi="Abadi" w:cs="Arial"/>
          <w:i/>
          <w:spacing w:val="-9"/>
          <w:w w:val="105"/>
          <w:sz w:val="21"/>
          <w:szCs w:val="21"/>
          <w:lang w:val="es-MX"/>
        </w:rPr>
        <w:t xml:space="preserve"> </w:t>
      </w:r>
      <w:r w:rsidRPr="004A0446">
        <w:rPr>
          <w:rFonts w:ascii="Abadi" w:hAnsi="Abadi" w:cs="Arial"/>
          <w:i/>
          <w:w w:val="105"/>
          <w:sz w:val="21"/>
          <w:szCs w:val="21"/>
          <w:lang w:val="es-MX"/>
        </w:rPr>
        <w:t>advierte en</w:t>
      </w:r>
      <w:r w:rsidRPr="004A0446">
        <w:rPr>
          <w:rFonts w:ascii="Abadi" w:hAnsi="Abadi" w:cs="Arial"/>
          <w:i/>
          <w:spacing w:val="-2"/>
          <w:w w:val="105"/>
          <w:sz w:val="21"/>
          <w:szCs w:val="21"/>
          <w:lang w:val="es-MX"/>
        </w:rPr>
        <w:t xml:space="preserve"> </w:t>
      </w:r>
      <w:r w:rsidRPr="004A0446">
        <w:rPr>
          <w:rFonts w:ascii="Abadi" w:hAnsi="Abadi" w:cs="Arial"/>
          <w:i/>
          <w:w w:val="105"/>
          <w:sz w:val="21"/>
          <w:szCs w:val="21"/>
          <w:lang w:val="es-MX"/>
        </w:rPr>
        <w:t>el</w:t>
      </w:r>
      <w:r w:rsidRPr="004A0446">
        <w:rPr>
          <w:rFonts w:ascii="Abadi" w:hAnsi="Abadi" w:cs="Arial"/>
          <w:i/>
          <w:spacing w:val="-5"/>
          <w:w w:val="105"/>
          <w:sz w:val="21"/>
          <w:szCs w:val="21"/>
          <w:lang w:val="es-MX"/>
        </w:rPr>
        <w:t xml:space="preserve"> </w:t>
      </w:r>
      <w:r w:rsidRPr="004A0446">
        <w:rPr>
          <w:rFonts w:ascii="Abadi" w:hAnsi="Abadi" w:cs="Arial"/>
          <w:i/>
          <w:w w:val="105"/>
          <w:sz w:val="21"/>
          <w:szCs w:val="21"/>
          <w:lang w:val="es-MX"/>
        </w:rPr>
        <w:t>artículo 1</w:t>
      </w:r>
      <w:r w:rsidRPr="004A0446">
        <w:rPr>
          <w:rFonts w:ascii="Abadi" w:hAnsi="Abadi" w:cs="Arial"/>
          <w:i/>
          <w:spacing w:val="-2"/>
          <w:w w:val="105"/>
          <w:sz w:val="21"/>
          <w:szCs w:val="21"/>
          <w:lang w:val="es-MX"/>
        </w:rPr>
        <w:t xml:space="preserve"> </w:t>
      </w:r>
      <w:r w:rsidRPr="004A0446">
        <w:rPr>
          <w:rFonts w:ascii="Abadi" w:hAnsi="Abadi" w:cs="Arial"/>
          <w:i/>
          <w:w w:val="105"/>
          <w:sz w:val="21"/>
          <w:szCs w:val="21"/>
          <w:lang w:val="es-MX"/>
        </w:rPr>
        <w:t>de</w:t>
      </w:r>
      <w:r w:rsidRPr="004A0446">
        <w:rPr>
          <w:rFonts w:ascii="Abadi" w:hAnsi="Abadi" w:cs="Arial"/>
          <w:i/>
          <w:spacing w:val="-6"/>
          <w:w w:val="105"/>
          <w:sz w:val="21"/>
          <w:szCs w:val="21"/>
          <w:lang w:val="es-MX"/>
        </w:rPr>
        <w:t xml:space="preserve"> </w:t>
      </w:r>
      <w:r w:rsidRPr="004A0446">
        <w:rPr>
          <w:rFonts w:ascii="Abadi" w:hAnsi="Abadi" w:cs="Arial"/>
          <w:i/>
          <w:w w:val="105"/>
          <w:sz w:val="21"/>
          <w:szCs w:val="21"/>
          <w:lang w:val="es-MX"/>
        </w:rPr>
        <w:t>la</w:t>
      </w:r>
      <w:r w:rsidRPr="004A0446">
        <w:rPr>
          <w:rFonts w:ascii="Abadi" w:hAnsi="Abadi" w:cs="Arial"/>
          <w:i/>
          <w:spacing w:val="-6"/>
          <w:w w:val="105"/>
          <w:sz w:val="21"/>
          <w:szCs w:val="21"/>
          <w:lang w:val="es-MX"/>
        </w:rPr>
        <w:t xml:space="preserve"> </w:t>
      </w:r>
      <w:r w:rsidRPr="004A0446">
        <w:rPr>
          <w:rFonts w:ascii="Abadi" w:hAnsi="Abadi" w:cs="Arial"/>
          <w:i/>
          <w:w w:val="105"/>
          <w:sz w:val="21"/>
          <w:szCs w:val="21"/>
          <w:lang w:val="es-MX"/>
        </w:rPr>
        <w:t>Ley propuesta.</w:t>
      </w:r>
    </w:p>
    <w:p w14:paraId="1131F13B" w14:textId="77777777" w:rsidR="00E3434F" w:rsidRPr="004A0446" w:rsidRDefault="00E3434F" w:rsidP="00F3730A">
      <w:pPr>
        <w:spacing w:before="11"/>
        <w:ind w:right="567"/>
        <w:jc w:val="both"/>
        <w:rPr>
          <w:rFonts w:ascii="Abadi" w:hAnsi="Abadi" w:cs="Arial"/>
          <w:i/>
          <w:sz w:val="21"/>
          <w:szCs w:val="21"/>
          <w:lang w:val="es-MX"/>
        </w:rPr>
      </w:pPr>
    </w:p>
    <w:p w14:paraId="440026E5" w14:textId="77777777" w:rsidR="00E3434F" w:rsidRPr="004A0446" w:rsidRDefault="00E3434F" w:rsidP="00F3730A">
      <w:pPr>
        <w:ind w:left="1134" w:right="567" w:firstLine="567"/>
        <w:jc w:val="both"/>
        <w:rPr>
          <w:rFonts w:ascii="Abadi" w:hAnsi="Abadi" w:cs="Arial"/>
          <w:i/>
          <w:sz w:val="21"/>
          <w:szCs w:val="21"/>
          <w:lang w:val="es-MX"/>
        </w:rPr>
      </w:pPr>
      <w:r w:rsidRPr="004A0446">
        <w:rPr>
          <w:rFonts w:ascii="Abadi" w:hAnsi="Abadi" w:cs="Arial"/>
          <w:i/>
          <w:w w:val="105"/>
          <w:sz w:val="21"/>
          <w:szCs w:val="21"/>
          <w:lang w:val="es-MX"/>
        </w:rPr>
        <w:t>En</w:t>
      </w:r>
      <w:r w:rsidRPr="004A0446">
        <w:rPr>
          <w:rFonts w:ascii="Abadi" w:hAnsi="Abadi" w:cs="Arial"/>
          <w:i/>
          <w:spacing w:val="-6"/>
          <w:w w:val="105"/>
          <w:sz w:val="21"/>
          <w:szCs w:val="21"/>
          <w:lang w:val="es-MX"/>
        </w:rPr>
        <w:t xml:space="preserve"> </w:t>
      </w:r>
      <w:r w:rsidRPr="004A0446">
        <w:rPr>
          <w:rFonts w:ascii="Abadi" w:hAnsi="Abadi" w:cs="Arial"/>
          <w:i/>
          <w:w w:val="105"/>
          <w:sz w:val="21"/>
          <w:szCs w:val="21"/>
          <w:lang w:val="es-MX"/>
        </w:rPr>
        <w:t>suma,</w:t>
      </w:r>
      <w:r w:rsidRPr="004A0446">
        <w:rPr>
          <w:rFonts w:ascii="Abadi" w:hAnsi="Abadi" w:cs="Arial"/>
          <w:i/>
          <w:spacing w:val="-1"/>
          <w:w w:val="105"/>
          <w:sz w:val="21"/>
          <w:szCs w:val="21"/>
          <w:lang w:val="es-MX"/>
        </w:rPr>
        <w:t xml:space="preserve"> </w:t>
      </w:r>
      <w:r w:rsidRPr="004A0446">
        <w:rPr>
          <w:rFonts w:ascii="Abadi" w:hAnsi="Abadi" w:cs="Arial"/>
          <w:i/>
          <w:w w:val="105"/>
          <w:sz w:val="21"/>
          <w:szCs w:val="21"/>
          <w:lang w:val="es-MX"/>
        </w:rPr>
        <w:t>el</w:t>
      </w:r>
      <w:r w:rsidRPr="004A0446">
        <w:rPr>
          <w:rFonts w:ascii="Abadi" w:hAnsi="Abadi" w:cs="Arial"/>
          <w:i/>
          <w:spacing w:val="-10"/>
          <w:w w:val="105"/>
          <w:sz w:val="21"/>
          <w:szCs w:val="21"/>
          <w:lang w:val="es-MX"/>
        </w:rPr>
        <w:t xml:space="preserve"> </w:t>
      </w:r>
      <w:r w:rsidRPr="004A0446">
        <w:rPr>
          <w:rFonts w:ascii="Abadi" w:hAnsi="Abadi" w:cs="Arial"/>
          <w:i/>
          <w:w w:val="105"/>
          <w:sz w:val="21"/>
          <w:szCs w:val="21"/>
          <w:lang w:val="es-MX"/>
        </w:rPr>
        <w:t>numeral 13,</w:t>
      </w:r>
      <w:r w:rsidRPr="004A0446">
        <w:rPr>
          <w:rFonts w:ascii="Abadi" w:hAnsi="Abadi" w:cs="Arial"/>
          <w:i/>
          <w:spacing w:val="-7"/>
          <w:w w:val="105"/>
          <w:sz w:val="21"/>
          <w:szCs w:val="21"/>
          <w:lang w:val="es-MX"/>
        </w:rPr>
        <w:t xml:space="preserve"> </w:t>
      </w:r>
      <w:r w:rsidRPr="004A0446">
        <w:rPr>
          <w:rFonts w:ascii="Abadi" w:hAnsi="Abadi" w:cs="Arial"/>
          <w:i/>
          <w:w w:val="105"/>
          <w:sz w:val="21"/>
          <w:szCs w:val="21"/>
          <w:lang w:val="es-MX"/>
        </w:rPr>
        <w:t>apartado A,</w:t>
      </w:r>
      <w:r w:rsidRPr="004A0446">
        <w:rPr>
          <w:rFonts w:ascii="Abadi" w:hAnsi="Abadi" w:cs="Arial"/>
          <w:i/>
          <w:spacing w:val="-8"/>
          <w:w w:val="105"/>
          <w:sz w:val="21"/>
          <w:szCs w:val="21"/>
          <w:lang w:val="es-MX"/>
        </w:rPr>
        <w:t xml:space="preserve"> </w:t>
      </w:r>
      <w:r w:rsidRPr="004A0446">
        <w:rPr>
          <w:rFonts w:ascii="Abadi" w:hAnsi="Abadi" w:cs="Arial"/>
          <w:i/>
          <w:w w:val="105"/>
          <w:sz w:val="21"/>
          <w:szCs w:val="21"/>
          <w:lang w:val="es-MX"/>
        </w:rPr>
        <w:t>fracción</w:t>
      </w:r>
      <w:r w:rsidRPr="004A0446">
        <w:rPr>
          <w:rFonts w:ascii="Abadi" w:hAnsi="Abadi" w:cs="Arial"/>
          <w:i/>
          <w:spacing w:val="-1"/>
          <w:w w:val="105"/>
          <w:sz w:val="21"/>
          <w:szCs w:val="21"/>
          <w:lang w:val="es-MX"/>
        </w:rPr>
        <w:t xml:space="preserve"> </w:t>
      </w:r>
      <w:r w:rsidRPr="004A0446">
        <w:rPr>
          <w:rFonts w:ascii="Abadi" w:hAnsi="Abadi" w:cs="Arial"/>
          <w:i/>
          <w:w w:val="105"/>
          <w:sz w:val="21"/>
          <w:szCs w:val="21"/>
          <w:lang w:val="es-MX"/>
        </w:rPr>
        <w:t>I</w:t>
      </w:r>
      <w:r w:rsidRPr="004A0446">
        <w:rPr>
          <w:rFonts w:ascii="Abadi" w:hAnsi="Abadi" w:cs="Arial"/>
          <w:i/>
          <w:spacing w:val="-11"/>
          <w:w w:val="105"/>
          <w:sz w:val="21"/>
          <w:szCs w:val="21"/>
          <w:lang w:val="es-MX"/>
        </w:rPr>
        <w:t xml:space="preserve"> </w:t>
      </w:r>
      <w:r w:rsidRPr="004A0446">
        <w:rPr>
          <w:rFonts w:ascii="Abadi" w:hAnsi="Abadi" w:cs="Arial"/>
          <w:i/>
          <w:w w:val="105"/>
          <w:sz w:val="21"/>
          <w:szCs w:val="21"/>
          <w:lang w:val="es-MX"/>
        </w:rPr>
        <w:t>de</w:t>
      </w:r>
      <w:r w:rsidRPr="004A0446">
        <w:rPr>
          <w:rFonts w:ascii="Abadi" w:hAnsi="Abadi" w:cs="Arial"/>
          <w:i/>
          <w:spacing w:val="-9"/>
          <w:w w:val="105"/>
          <w:sz w:val="21"/>
          <w:szCs w:val="21"/>
          <w:lang w:val="es-MX"/>
        </w:rPr>
        <w:t xml:space="preserve"> </w:t>
      </w:r>
      <w:r w:rsidRPr="004A0446">
        <w:rPr>
          <w:rFonts w:ascii="Abadi" w:hAnsi="Abadi" w:cs="Arial"/>
          <w:i/>
          <w:w w:val="105"/>
          <w:sz w:val="21"/>
          <w:szCs w:val="21"/>
          <w:lang w:val="es-MX"/>
        </w:rPr>
        <w:t>la</w:t>
      </w:r>
      <w:r w:rsidRPr="004A0446">
        <w:rPr>
          <w:rFonts w:ascii="Abadi" w:hAnsi="Abadi" w:cs="Arial"/>
          <w:i/>
          <w:spacing w:val="-13"/>
          <w:w w:val="105"/>
          <w:sz w:val="21"/>
          <w:szCs w:val="21"/>
          <w:lang w:val="es-MX"/>
        </w:rPr>
        <w:t xml:space="preserve"> </w:t>
      </w:r>
      <w:r w:rsidRPr="004A0446">
        <w:rPr>
          <w:rFonts w:ascii="Abadi" w:hAnsi="Abadi" w:cs="Arial"/>
          <w:i/>
          <w:w w:val="105"/>
          <w:sz w:val="21"/>
          <w:szCs w:val="21"/>
          <w:lang w:val="es-MX"/>
        </w:rPr>
        <w:t>Ley</w:t>
      </w:r>
      <w:r w:rsidRPr="004A0446">
        <w:rPr>
          <w:rFonts w:ascii="Abadi" w:hAnsi="Abadi" w:cs="Arial"/>
          <w:i/>
          <w:spacing w:val="-7"/>
          <w:w w:val="105"/>
          <w:sz w:val="21"/>
          <w:szCs w:val="21"/>
          <w:lang w:val="es-MX"/>
        </w:rPr>
        <w:t xml:space="preserve"> </w:t>
      </w:r>
      <w:r w:rsidRPr="004A0446">
        <w:rPr>
          <w:rFonts w:ascii="Abadi" w:hAnsi="Abadi" w:cs="Arial"/>
          <w:i/>
          <w:w w:val="105"/>
          <w:sz w:val="21"/>
          <w:szCs w:val="21"/>
          <w:lang w:val="es-MX"/>
        </w:rPr>
        <w:t>General citada,</w:t>
      </w:r>
      <w:r w:rsidRPr="004A0446">
        <w:rPr>
          <w:rFonts w:ascii="Abadi" w:hAnsi="Abadi" w:cs="Arial"/>
          <w:i/>
          <w:spacing w:val="-1"/>
          <w:w w:val="105"/>
          <w:sz w:val="21"/>
          <w:szCs w:val="21"/>
          <w:lang w:val="es-MX"/>
        </w:rPr>
        <w:t xml:space="preserve"> </w:t>
      </w:r>
      <w:r w:rsidRPr="004A0446">
        <w:rPr>
          <w:rFonts w:ascii="Abadi" w:hAnsi="Abadi" w:cs="Arial"/>
          <w:i/>
          <w:w w:val="105"/>
          <w:sz w:val="21"/>
          <w:szCs w:val="21"/>
          <w:lang w:val="es-MX"/>
        </w:rPr>
        <w:t>señala</w:t>
      </w:r>
      <w:r w:rsidRPr="004A0446">
        <w:rPr>
          <w:rFonts w:ascii="Abadi" w:hAnsi="Abadi" w:cs="Arial"/>
          <w:i/>
          <w:spacing w:val="-3"/>
          <w:w w:val="105"/>
          <w:sz w:val="21"/>
          <w:szCs w:val="21"/>
          <w:lang w:val="es-MX"/>
        </w:rPr>
        <w:t xml:space="preserve"> </w:t>
      </w:r>
      <w:r w:rsidRPr="004A0446">
        <w:rPr>
          <w:rFonts w:ascii="Abadi" w:hAnsi="Abadi" w:cs="Arial"/>
          <w:i/>
          <w:w w:val="105"/>
          <w:sz w:val="21"/>
          <w:szCs w:val="21"/>
          <w:lang w:val="es-MX"/>
        </w:rPr>
        <w:t>que corresponde al Ejecutivo Federal, por conducto de la Secretaría de Salud el dictar las normas</w:t>
      </w:r>
      <w:r w:rsidRPr="004A0446">
        <w:rPr>
          <w:rFonts w:ascii="Abadi" w:hAnsi="Abadi" w:cs="Arial"/>
          <w:i/>
          <w:spacing w:val="-17"/>
          <w:w w:val="105"/>
          <w:sz w:val="21"/>
          <w:szCs w:val="21"/>
          <w:lang w:val="es-MX"/>
        </w:rPr>
        <w:t xml:space="preserve"> </w:t>
      </w:r>
      <w:r w:rsidRPr="004A0446">
        <w:rPr>
          <w:rFonts w:ascii="Abadi" w:hAnsi="Abadi" w:cs="Arial"/>
          <w:i/>
          <w:w w:val="105"/>
          <w:sz w:val="21"/>
          <w:szCs w:val="21"/>
          <w:lang w:val="es-MX"/>
        </w:rPr>
        <w:t>oficiales</w:t>
      </w:r>
      <w:r w:rsidRPr="004A0446">
        <w:rPr>
          <w:rFonts w:ascii="Abadi" w:hAnsi="Abadi" w:cs="Arial"/>
          <w:i/>
          <w:spacing w:val="-17"/>
          <w:w w:val="105"/>
          <w:sz w:val="21"/>
          <w:szCs w:val="21"/>
          <w:lang w:val="es-MX"/>
        </w:rPr>
        <w:t xml:space="preserve"> </w:t>
      </w:r>
      <w:r w:rsidRPr="004A0446">
        <w:rPr>
          <w:rFonts w:ascii="Abadi" w:hAnsi="Abadi" w:cs="Arial"/>
          <w:i/>
          <w:w w:val="105"/>
          <w:sz w:val="21"/>
          <w:szCs w:val="21"/>
          <w:lang w:val="es-MX"/>
        </w:rPr>
        <w:t>mexicanas</w:t>
      </w:r>
      <w:r w:rsidRPr="004A0446">
        <w:rPr>
          <w:rFonts w:ascii="Abadi" w:hAnsi="Abadi" w:cs="Arial"/>
          <w:i/>
          <w:spacing w:val="-17"/>
          <w:w w:val="105"/>
          <w:sz w:val="21"/>
          <w:szCs w:val="21"/>
          <w:lang w:val="es-MX"/>
        </w:rPr>
        <w:t xml:space="preserve"> </w:t>
      </w:r>
      <w:r w:rsidRPr="004A0446">
        <w:rPr>
          <w:rFonts w:ascii="Abadi" w:hAnsi="Abadi" w:cs="Arial"/>
          <w:i/>
          <w:w w:val="105"/>
          <w:sz w:val="21"/>
          <w:szCs w:val="21"/>
          <w:lang w:val="es-MX"/>
        </w:rPr>
        <w:t>a</w:t>
      </w:r>
      <w:r w:rsidRPr="004A0446">
        <w:rPr>
          <w:rFonts w:ascii="Abadi" w:hAnsi="Abadi" w:cs="Arial"/>
          <w:i/>
          <w:spacing w:val="-18"/>
          <w:w w:val="105"/>
          <w:sz w:val="21"/>
          <w:szCs w:val="21"/>
          <w:lang w:val="es-MX"/>
        </w:rPr>
        <w:t xml:space="preserve"> </w:t>
      </w:r>
      <w:r w:rsidRPr="004A0446">
        <w:rPr>
          <w:rFonts w:ascii="Abadi" w:hAnsi="Abadi" w:cs="Arial"/>
          <w:i/>
          <w:w w:val="105"/>
          <w:sz w:val="21"/>
          <w:szCs w:val="21"/>
          <w:lang w:val="es-MX"/>
        </w:rPr>
        <w:t>que</w:t>
      </w:r>
      <w:r w:rsidRPr="004A0446">
        <w:rPr>
          <w:rFonts w:ascii="Abadi" w:hAnsi="Abadi" w:cs="Arial"/>
          <w:i/>
          <w:spacing w:val="-16"/>
          <w:w w:val="105"/>
          <w:sz w:val="21"/>
          <w:szCs w:val="21"/>
          <w:lang w:val="es-MX"/>
        </w:rPr>
        <w:t xml:space="preserve"> </w:t>
      </w:r>
      <w:r w:rsidRPr="004A0446">
        <w:rPr>
          <w:rFonts w:ascii="Abadi" w:hAnsi="Abadi" w:cs="Arial"/>
          <w:i/>
          <w:w w:val="105"/>
          <w:sz w:val="21"/>
          <w:szCs w:val="21"/>
          <w:lang w:val="es-MX"/>
        </w:rPr>
        <w:t>se</w:t>
      </w:r>
      <w:r w:rsidRPr="004A0446">
        <w:rPr>
          <w:rFonts w:ascii="Abadi" w:hAnsi="Abadi" w:cs="Arial"/>
          <w:i/>
          <w:spacing w:val="-17"/>
          <w:w w:val="105"/>
          <w:sz w:val="21"/>
          <w:szCs w:val="21"/>
          <w:lang w:val="es-MX"/>
        </w:rPr>
        <w:t xml:space="preserve"> </w:t>
      </w:r>
      <w:r w:rsidRPr="004A0446">
        <w:rPr>
          <w:rFonts w:ascii="Abadi" w:hAnsi="Abadi" w:cs="Arial"/>
          <w:i/>
          <w:w w:val="105"/>
          <w:sz w:val="21"/>
          <w:szCs w:val="21"/>
          <w:lang w:val="es-MX"/>
        </w:rPr>
        <w:t>sujetará</w:t>
      </w:r>
      <w:r w:rsidRPr="004A0446">
        <w:rPr>
          <w:rFonts w:ascii="Abadi" w:hAnsi="Abadi" w:cs="Arial"/>
          <w:i/>
          <w:spacing w:val="-17"/>
          <w:w w:val="105"/>
          <w:sz w:val="21"/>
          <w:szCs w:val="21"/>
          <w:lang w:val="es-MX"/>
        </w:rPr>
        <w:t xml:space="preserve"> </w:t>
      </w:r>
      <w:r w:rsidRPr="004A0446">
        <w:rPr>
          <w:rFonts w:ascii="Abadi" w:hAnsi="Abadi" w:cs="Arial"/>
          <w:i/>
          <w:w w:val="105"/>
          <w:sz w:val="21"/>
          <w:szCs w:val="21"/>
          <w:lang w:val="es-MX"/>
        </w:rPr>
        <w:t>la</w:t>
      </w:r>
      <w:r w:rsidRPr="004A0446">
        <w:rPr>
          <w:rFonts w:ascii="Abadi" w:hAnsi="Abadi" w:cs="Arial"/>
          <w:i/>
          <w:spacing w:val="-17"/>
          <w:w w:val="105"/>
          <w:sz w:val="21"/>
          <w:szCs w:val="21"/>
          <w:lang w:val="es-MX"/>
        </w:rPr>
        <w:t xml:space="preserve"> </w:t>
      </w:r>
      <w:r w:rsidRPr="004A0446">
        <w:rPr>
          <w:rFonts w:ascii="Abadi" w:hAnsi="Abadi" w:cs="Arial"/>
          <w:i/>
          <w:w w:val="105"/>
          <w:sz w:val="21"/>
          <w:szCs w:val="21"/>
          <w:lang w:val="es-MX"/>
        </w:rPr>
        <w:t>prestación,</w:t>
      </w:r>
      <w:r w:rsidRPr="004A0446">
        <w:rPr>
          <w:rFonts w:ascii="Abadi" w:hAnsi="Abadi" w:cs="Arial"/>
          <w:i/>
          <w:spacing w:val="-4"/>
          <w:w w:val="105"/>
          <w:sz w:val="21"/>
          <w:szCs w:val="21"/>
          <w:lang w:val="es-MX"/>
        </w:rPr>
        <w:t xml:space="preserve"> </w:t>
      </w:r>
      <w:r w:rsidRPr="004A0446">
        <w:rPr>
          <w:rFonts w:ascii="Abadi" w:hAnsi="Abadi" w:cs="Arial"/>
          <w:i/>
          <w:w w:val="105"/>
          <w:sz w:val="21"/>
          <w:szCs w:val="21"/>
          <w:lang w:val="es-MX"/>
        </w:rPr>
        <w:t>en</w:t>
      </w:r>
      <w:r w:rsidRPr="004A0446">
        <w:rPr>
          <w:rFonts w:ascii="Abadi" w:hAnsi="Abadi" w:cs="Arial"/>
          <w:i/>
          <w:spacing w:val="-17"/>
          <w:w w:val="105"/>
          <w:sz w:val="21"/>
          <w:szCs w:val="21"/>
          <w:lang w:val="es-MX"/>
        </w:rPr>
        <w:t xml:space="preserve"> </w:t>
      </w:r>
      <w:r w:rsidRPr="004A0446">
        <w:rPr>
          <w:rFonts w:ascii="Abadi" w:hAnsi="Abadi" w:cs="Arial"/>
          <w:i/>
          <w:w w:val="105"/>
          <w:sz w:val="21"/>
          <w:szCs w:val="21"/>
          <w:lang w:val="es-MX"/>
        </w:rPr>
        <w:t>todo</w:t>
      </w:r>
      <w:r w:rsidRPr="004A0446">
        <w:rPr>
          <w:rFonts w:ascii="Abadi" w:hAnsi="Abadi" w:cs="Arial"/>
          <w:i/>
          <w:spacing w:val="-17"/>
          <w:w w:val="105"/>
          <w:sz w:val="21"/>
          <w:szCs w:val="21"/>
          <w:lang w:val="es-MX"/>
        </w:rPr>
        <w:t xml:space="preserve"> </w:t>
      </w:r>
      <w:r w:rsidRPr="004A0446">
        <w:rPr>
          <w:rFonts w:ascii="Abadi" w:hAnsi="Abadi" w:cs="Arial"/>
          <w:i/>
          <w:w w:val="105"/>
          <w:sz w:val="21"/>
          <w:szCs w:val="21"/>
          <w:lang w:val="es-MX"/>
        </w:rPr>
        <w:t>el</w:t>
      </w:r>
      <w:r w:rsidRPr="004A0446">
        <w:rPr>
          <w:rFonts w:ascii="Abadi" w:hAnsi="Abadi" w:cs="Arial"/>
          <w:i/>
          <w:spacing w:val="-16"/>
          <w:w w:val="105"/>
          <w:sz w:val="21"/>
          <w:szCs w:val="21"/>
          <w:lang w:val="es-MX"/>
        </w:rPr>
        <w:t xml:space="preserve"> </w:t>
      </w:r>
      <w:r w:rsidRPr="004A0446">
        <w:rPr>
          <w:rFonts w:ascii="Abadi" w:hAnsi="Abadi" w:cs="Arial"/>
          <w:i/>
          <w:w w:val="105"/>
          <w:sz w:val="21"/>
          <w:szCs w:val="21"/>
          <w:lang w:val="es-MX"/>
        </w:rPr>
        <w:t>territorio</w:t>
      </w:r>
      <w:r w:rsidRPr="004A0446">
        <w:rPr>
          <w:rFonts w:ascii="Abadi" w:hAnsi="Abadi" w:cs="Arial"/>
          <w:i/>
          <w:spacing w:val="-13"/>
          <w:w w:val="105"/>
          <w:sz w:val="21"/>
          <w:szCs w:val="21"/>
          <w:lang w:val="es-MX"/>
        </w:rPr>
        <w:t xml:space="preserve"> </w:t>
      </w:r>
      <w:r w:rsidRPr="004A0446">
        <w:rPr>
          <w:rFonts w:ascii="Abadi" w:hAnsi="Abadi" w:cs="Arial"/>
          <w:i/>
          <w:w w:val="105"/>
          <w:sz w:val="21"/>
          <w:szCs w:val="21"/>
          <w:lang w:val="es-MX"/>
        </w:rPr>
        <w:t>nacional,</w:t>
      </w:r>
      <w:r w:rsidRPr="004A0446">
        <w:rPr>
          <w:rFonts w:ascii="Abadi" w:hAnsi="Abadi" w:cs="Arial"/>
          <w:i/>
          <w:spacing w:val="-9"/>
          <w:w w:val="105"/>
          <w:sz w:val="21"/>
          <w:szCs w:val="21"/>
          <w:lang w:val="es-MX"/>
        </w:rPr>
        <w:t xml:space="preserve"> </w:t>
      </w:r>
      <w:r w:rsidRPr="004A0446">
        <w:rPr>
          <w:rFonts w:ascii="Abadi" w:hAnsi="Abadi" w:cs="Arial"/>
          <w:i/>
          <w:w w:val="105"/>
          <w:sz w:val="21"/>
          <w:szCs w:val="21"/>
          <w:lang w:val="es-MX"/>
        </w:rPr>
        <w:t>de servicios de</w:t>
      </w:r>
      <w:r w:rsidRPr="004A0446">
        <w:rPr>
          <w:rFonts w:ascii="Abadi" w:hAnsi="Abadi" w:cs="Arial"/>
          <w:i/>
          <w:spacing w:val="-5"/>
          <w:w w:val="105"/>
          <w:sz w:val="21"/>
          <w:szCs w:val="21"/>
          <w:lang w:val="es-MX"/>
        </w:rPr>
        <w:t xml:space="preserve"> </w:t>
      </w:r>
      <w:r w:rsidRPr="004A0446">
        <w:rPr>
          <w:rFonts w:ascii="Abadi" w:hAnsi="Abadi" w:cs="Arial"/>
          <w:i/>
          <w:w w:val="105"/>
          <w:sz w:val="21"/>
          <w:szCs w:val="21"/>
          <w:lang w:val="es-MX"/>
        </w:rPr>
        <w:t>salud</w:t>
      </w:r>
      <w:r w:rsidRPr="004A0446">
        <w:rPr>
          <w:rFonts w:ascii="Abadi" w:hAnsi="Abadi" w:cs="Arial"/>
          <w:i/>
          <w:spacing w:val="-1"/>
          <w:w w:val="105"/>
          <w:sz w:val="21"/>
          <w:szCs w:val="21"/>
          <w:lang w:val="es-MX"/>
        </w:rPr>
        <w:t xml:space="preserve"> </w:t>
      </w:r>
      <w:r w:rsidRPr="004A0446">
        <w:rPr>
          <w:rFonts w:ascii="Abadi" w:hAnsi="Abadi" w:cs="Arial"/>
          <w:i/>
          <w:w w:val="105"/>
          <w:sz w:val="21"/>
          <w:szCs w:val="21"/>
          <w:lang w:val="es-MX"/>
        </w:rPr>
        <w:t>en</w:t>
      </w:r>
      <w:r w:rsidRPr="004A0446">
        <w:rPr>
          <w:rFonts w:ascii="Abadi" w:hAnsi="Abadi" w:cs="Arial"/>
          <w:i/>
          <w:spacing w:val="-2"/>
          <w:w w:val="105"/>
          <w:sz w:val="21"/>
          <w:szCs w:val="21"/>
          <w:lang w:val="es-MX"/>
        </w:rPr>
        <w:t xml:space="preserve"> </w:t>
      </w:r>
      <w:r w:rsidRPr="004A0446">
        <w:rPr>
          <w:rFonts w:ascii="Abadi" w:hAnsi="Abadi" w:cs="Arial"/>
          <w:i/>
          <w:w w:val="105"/>
          <w:sz w:val="21"/>
          <w:szCs w:val="21"/>
          <w:lang w:val="es-MX"/>
        </w:rPr>
        <w:t>las</w:t>
      </w:r>
      <w:r w:rsidRPr="004A0446">
        <w:rPr>
          <w:rFonts w:ascii="Abadi" w:hAnsi="Abadi" w:cs="Arial"/>
          <w:i/>
          <w:spacing w:val="-4"/>
          <w:w w:val="105"/>
          <w:sz w:val="21"/>
          <w:szCs w:val="21"/>
          <w:lang w:val="es-MX"/>
        </w:rPr>
        <w:t xml:space="preserve"> </w:t>
      </w:r>
      <w:r w:rsidRPr="004A0446">
        <w:rPr>
          <w:rFonts w:ascii="Abadi" w:hAnsi="Abadi" w:cs="Arial"/>
          <w:i/>
          <w:w w:val="105"/>
          <w:sz w:val="21"/>
          <w:szCs w:val="21"/>
          <w:lang w:val="es-MX"/>
        </w:rPr>
        <w:t>materias de</w:t>
      </w:r>
      <w:r w:rsidRPr="004A0446">
        <w:rPr>
          <w:rFonts w:ascii="Abadi" w:hAnsi="Abadi" w:cs="Arial"/>
          <w:i/>
          <w:spacing w:val="-5"/>
          <w:w w:val="105"/>
          <w:sz w:val="21"/>
          <w:szCs w:val="21"/>
          <w:lang w:val="es-MX"/>
        </w:rPr>
        <w:t xml:space="preserve"> </w:t>
      </w:r>
      <w:r w:rsidRPr="004A0446">
        <w:rPr>
          <w:rFonts w:ascii="Abadi" w:hAnsi="Abadi" w:cs="Arial"/>
          <w:i/>
          <w:w w:val="105"/>
          <w:sz w:val="21"/>
          <w:szCs w:val="21"/>
          <w:lang w:val="es-MX"/>
        </w:rPr>
        <w:t>salubridad general y verificar su cumplimiento.</w:t>
      </w:r>
    </w:p>
    <w:p w14:paraId="54E0FD73" w14:textId="77777777" w:rsidR="00E3434F" w:rsidRPr="004A0446" w:rsidRDefault="00E3434F" w:rsidP="00F3730A">
      <w:pPr>
        <w:tabs>
          <w:tab w:val="left" w:pos="12881"/>
        </w:tabs>
        <w:spacing w:before="9"/>
        <w:ind w:right="567"/>
        <w:jc w:val="both"/>
        <w:rPr>
          <w:rFonts w:ascii="Abadi" w:hAnsi="Abadi" w:cs="Arial"/>
          <w:sz w:val="21"/>
          <w:szCs w:val="21"/>
          <w:lang w:val="es-MX"/>
        </w:rPr>
      </w:pPr>
    </w:p>
    <w:p w14:paraId="566811F2" w14:textId="77777777" w:rsidR="00E3434F" w:rsidRPr="004A0446" w:rsidRDefault="00E3434F" w:rsidP="00F3730A">
      <w:pPr>
        <w:ind w:left="1134" w:right="567"/>
        <w:jc w:val="both"/>
        <w:rPr>
          <w:rFonts w:ascii="Abadi" w:hAnsi="Abadi" w:cs="Arial"/>
          <w:i/>
          <w:w w:val="105"/>
          <w:sz w:val="21"/>
          <w:szCs w:val="21"/>
          <w:lang w:val="es-MX"/>
        </w:rPr>
      </w:pPr>
      <w:r w:rsidRPr="004A0446">
        <w:rPr>
          <w:rFonts w:ascii="Abadi" w:hAnsi="Abadi" w:cs="Arial"/>
          <w:i/>
          <w:w w:val="105"/>
          <w:sz w:val="21"/>
          <w:szCs w:val="21"/>
          <w:lang w:val="es-MX"/>
        </w:rPr>
        <w:t xml:space="preserve">No obstante la limitante material que imposibilita el estudio del asunto que nos ocupa, se advierten las siguientes circunstancias: </w:t>
      </w:r>
    </w:p>
    <w:p w14:paraId="718563B4" w14:textId="77777777" w:rsidR="00E3434F" w:rsidRPr="004A0446" w:rsidRDefault="00E3434F" w:rsidP="00F3730A">
      <w:pPr>
        <w:ind w:left="1134" w:right="567" w:firstLine="142"/>
        <w:jc w:val="both"/>
        <w:rPr>
          <w:rFonts w:ascii="Abadi" w:hAnsi="Abadi" w:cs="Arial"/>
          <w:b/>
          <w:bCs/>
          <w:i/>
          <w:w w:val="105"/>
          <w:sz w:val="21"/>
          <w:szCs w:val="21"/>
          <w:lang w:val="es-MX"/>
        </w:rPr>
      </w:pPr>
    </w:p>
    <w:p w14:paraId="254ED4B9" w14:textId="77777777" w:rsidR="00E3434F" w:rsidRPr="004A0446" w:rsidRDefault="00E3434F" w:rsidP="00F3730A">
      <w:pPr>
        <w:numPr>
          <w:ilvl w:val="0"/>
          <w:numId w:val="69"/>
        </w:numPr>
        <w:ind w:left="1418" w:right="567" w:hanging="284"/>
        <w:jc w:val="both"/>
        <w:rPr>
          <w:rFonts w:ascii="Abadi" w:hAnsi="Abadi" w:cs="Arial"/>
          <w:i/>
          <w:w w:val="105"/>
          <w:sz w:val="21"/>
          <w:szCs w:val="21"/>
          <w:lang w:val="es-MX"/>
        </w:rPr>
      </w:pPr>
      <w:r w:rsidRPr="004A0446">
        <w:rPr>
          <w:rFonts w:ascii="Abadi" w:hAnsi="Abadi" w:cs="Arial"/>
          <w:b/>
          <w:bCs/>
          <w:i/>
          <w:w w:val="105"/>
          <w:sz w:val="21"/>
          <w:szCs w:val="21"/>
          <w:lang w:val="es-MX"/>
        </w:rPr>
        <w:t xml:space="preserve">Respecto de las atribuciones de la Secretaría de Salud: </w:t>
      </w:r>
      <w:r w:rsidRPr="004A0446">
        <w:rPr>
          <w:rFonts w:ascii="Abadi" w:hAnsi="Abadi" w:cs="Arial"/>
          <w:i/>
          <w:w w:val="105"/>
          <w:sz w:val="21"/>
          <w:szCs w:val="21"/>
          <w:lang w:val="es-MX"/>
        </w:rPr>
        <w:t xml:space="preserve">Las atribuciones y funciones que los iniciantes proponen para ser desarrolladas por el Ejecutivo del Estado </w:t>
      </w:r>
      <w:r w:rsidRPr="004A0446">
        <w:rPr>
          <w:rFonts w:ascii="Abadi" w:hAnsi="Abadi" w:cs="Arial"/>
          <w:w w:val="105"/>
          <w:sz w:val="21"/>
          <w:szCs w:val="21"/>
          <w:lang w:val="es-MX"/>
        </w:rPr>
        <w:t xml:space="preserve">a </w:t>
      </w:r>
      <w:r w:rsidRPr="004A0446">
        <w:rPr>
          <w:rFonts w:ascii="Abadi" w:hAnsi="Abadi" w:cs="Arial"/>
          <w:i/>
          <w:w w:val="105"/>
          <w:sz w:val="21"/>
          <w:szCs w:val="21"/>
          <w:lang w:val="es-MX"/>
        </w:rPr>
        <w:t xml:space="preserve">través de la Secretaría de Salud en los capítulos II y </w:t>
      </w:r>
      <w:r w:rsidRPr="004A0446">
        <w:rPr>
          <w:rFonts w:ascii="Abadi" w:hAnsi="Abadi" w:cs="Arial"/>
          <w:i/>
          <w:w w:val="95"/>
          <w:sz w:val="21"/>
          <w:szCs w:val="21"/>
          <w:lang w:val="es-MX"/>
        </w:rPr>
        <w:t xml:space="preserve">III, </w:t>
      </w:r>
      <w:r w:rsidRPr="004A0446">
        <w:rPr>
          <w:rFonts w:ascii="Abadi" w:hAnsi="Abadi" w:cs="Arial"/>
          <w:i/>
          <w:w w:val="105"/>
          <w:sz w:val="21"/>
          <w:szCs w:val="21"/>
          <w:lang w:val="es-MX"/>
        </w:rPr>
        <w:t>resultan improcedentes toda</w:t>
      </w:r>
      <w:r w:rsidRPr="004A0446">
        <w:rPr>
          <w:rFonts w:ascii="Abadi" w:hAnsi="Abadi" w:cs="Arial"/>
          <w:i/>
          <w:spacing w:val="-7"/>
          <w:w w:val="105"/>
          <w:sz w:val="21"/>
          <w:szCs w:val="21"/>
          <w:lang w:val="es-MX"/>
        </w:rPr>
        <w:t xml:space="preserve"> </w:t>
      </w:r>
      <w:r w:rsidRPr="004A0446">
        <w:rPr>
          <w:rFonts w:ascii="Abadi" w:hAnsi="Abadi" w:cs="Arial"/>
          <w:i/>
          <w:w w:val="105"/>
          <w:sz w:val="21"/>
          <w:szCs w:val="21"/>
          <w:lang w:val="es-MX"/>
        </w:rPr>
        <w:t>vez</w:t>
      </w:r>
      <w:r w:rsidRPr="004A0446">
        <w:rPr>
          <w:rFonts w:ascii="Abadi" w:hAnsi="Abadi" w:cs="Arial"/>
          <w:i/>
          <w:spacing w:val="-4"/>
          <w:w w:val="105"/>
          <w:sz w:val="21"/>
          <w:szCs w:val="21"/>
          <w:lang w:val="es-MX"/>
        </w:rPr>
        <w:t xml:space="preserve"> </w:t>
      </w:r>
      <w:r w:rsidRPr="004A0446">
        <w:rPr>
          <w:rFonts w:ascii="Abadi" w:hAnsi="Abadi" w:cs="Arial"/>
          <w:i/>
          <w:w w:val="105"/>
          <w:sz w:val="21"/>
          <w:szCs w:val="21"/>
          <w:lang w:val="es-MX"/>
        </w:rPr>
        <w:t>que</w:t>
      </w:r>
      <w:r w:rsidRPr="004A0446">
        <w:rPr>
          <w:rFonts w:ascii="Abadi" w:hAnsi="Abadi" w:cs="Arial"/>
          <w:i/>
          <w:spacing w:val="-15"/>
          <w:w w:val="105"/>
          <w:sz w:val="21"/>
          <w:szCs w:val="21"/>
          <w:lang w:val="es-MX"/>
        </w:rPr>
        <w:t xml:space="preserve"> </w:t>
      </w:r>
      <w:r w:rsidRPr="004A0446">
        <w:rPr>
          <w:rFonts w:ascii="Abadi" w:hAnsi="Abadi" w:cs="Arial"/>
          <w:i/>
          <w:w w:val="105"/>
          <w:sz w:val="21"/>
          <w:szCs w:val="21"/>
          <w:lang w:val="es-MX"/>
        </w:rPr>
        <w:t>en</w:t>
      </w:r>
      <w:r w:rsidRPr="004A0446">
        <w:rPr>
          <w:rFonts w:ascii="Abadi" w:hAnsi="Abadi" w:cs="Arial"/>
          <w:i/>
          <w:spacing w:val="-14"/>
          <w:w w:val="105"/>
          <w:sz w:val="21"/>
          <w:szCs w:val="21"/>
          <w:lang w:val="es-MX"/>
        </w:rPr>
        <w:t xml:space="preserve"> </w:t>
      </w:r>
      <w:r w:rsidRPr="004A0446">
        <w:rPr>
          <w:rFonts w:ascii="Abadi" w:hAnsi="Abadi" w:cs="Arial"/>
          <w:i/>
          <w:w w:val="105"/>
          <w:sz w:val="21"/>
          <w:szCs w:val="21"/>
          <w:lang w:val="es-MX"/>
        </w:rPr>
        <w:t>el</w:t>
      </w:r>
      <w:r w:rsidRPr="004A0446">
        <w:rPr>
          <w:rFonts w:ascii="Abadi" w:hAnsi="Abadi" w:cs="Arial"/>
          <w:i/>
          <w:spacing w:val="-13"/>
          <w:w w:val="105"/>
          <w:sz w:val="21"/>
          <w:szCs w:val="21"/>
          <w:lang w:val="es-MX"/>
        </w:rPr>
        <w:t xml:space="preserve"> </w:t>
      </w:r>
      <w:r w:rsidRPr="004A0446">
        <w:rPr>
          <w:rFonts w:ascii="Abadi" w:hAnsi="Abadi" w:cs="Arial"/>
          <w:i/>
          <w:w w:val="105"/>
          <w:sz w:val="21"/>
          <w:szCs w:val="21"/>
          <w:lang w:val="es-MX"/>
        </w:rPr>
        <w:t>artículo</w:t>
      </w:r>
      <w:r w:rsidRPr="004A0446">
        <w:rPr>
          <w:rFonts w:ascii="Abadi" w:hAnsi="Abadi" w:cs="Arial"/>
          <w:i/>
          <w:spacing w:val="-7"/>
          <w:w w:val="105"/>
          <w:sz w:val="21"/>
          <w:szCs w:val="21"/>
          <w:lang w:val="es-MX"/>
        </w:rPr>
        <w:t xml:space="preserve"> </w:t>
      </w:r>
      <w:r w:rsidRPr="004A0446">
        <w:rPr>
          <w:rFonts w:ascii="Abadi" w:hAnsi="Abadi" w:cs="Arial"/>
          <w:i/>
          <w:w w:val="105"/>
          <w:sz w:val="21"/>
          <w:szCs w:val="21"/>
          <w:lang w:val="es-MX"/>
        </w:rPr>
        <w:t>27</w:t>
      </w:r>
      <w:r w:rsidRPr="004A0446">
        <w:rPr>
          <w:rFonts w:ascii="Abadi" w:hAnsi="Abadi" w:cs="Arial"/>
          <w:i/>
          <w:spacing w:val="-17"/>
          <w:w w:val="105"/>
          <w:sz w:val="21"/>
          <w:szCs w:val="21"/>
          <w:lang w:val="es-MX"/>
        </w:rPr>
        <w:t xml:space="preserve"> </w:t>
      </w:r>
      <w:r w:rsidRPr="004A0446">
        <w:rPr>
          <w:rFonts w:ascii="Abadi" w:hAnsi="Abadi" w:cs="Arial"/>
          <w:i/>
          <w:w w:val="105"/>
          <w:sz w:val="21"/>
          <w:szCs w:val="21"/>
          <w:lang w:val="es-MX"/>
        </w:rPr>
        <w:t>de</w:t>
      </w:r>
      <w:r w:rsidRPr="004A0446">
        <w:rPr>
          <w:rFonts w:ascii="Abadi" w:hAnsi="Abadi" w:cs="Arial"/>
          <w:i/>
          <w:spacing w:val="-13"/>
          <w:w w:val="105"/>
          <w:sz w:val="21"/>
          <w:szCs w:val="21"/>
          <w:lang w:val="es-MX"/>
        </w:rPr>
        <w:t xml:space="preserve"> </w:t>
      </w:r>
      <w:r w:rsidRPr="004A0446">
        <w:rPr>
          <w:rFonts w:ascii="Abadi" w:hAnsi="Abadi" w:cs="Arial"/>
          <w:i/>
          <w:w w:val="105"/>
          <w:sz w:val="21"/>
          <w:szCs w:val="21"/>
          <w:lang w:val="es-MX"/>
        </w:rPr>
        <w:t>la</w:t>
      </w:r>
      <w:r w:rsidRPr="004A0446">
        <w:rPr>
          <w:rFonts w:ascii="Abadi" w:hAnsi="Abadi" w:cs="Arial"/>
          <w:i/>
          <w:spacing w:val="-13"/>
          <w:w w:val="105"/>
          <w:sz w:val="21"/>
          <w:szCs w:val="21"/>
          <w:lang w:val="es-MX"/>
        </w:rPr>
        <w:t xml:space="preserve"> </w:t>
      </w:r>
      <w:r w:rsidRPr="004A0446">
        <w:rPr>
          <w:rFonts w:ascii="Abadi" w:hAnsi="Abadi" w:cs="Arial"/>
          <w:i/>
          <w:w w:val="105"/>
          <w:sz w:val="21"/>
          <w:szCs w:val="21"/>
          <w:lang w:val="es-MX"/>
        </w:rPr>
        <w:t>Ley</w:t>
      </w:r>
      <w:r w:rsidRPr="004A0446">
        <w:rPr>
          <w:rFonts w:ascii="Abadi" w:hAnsi="Abadi" w:cs="Arial"/>
          <w:i/>
          <w:spacing w:val="-10"/>
          <w:w w:val="105"/>
          <w:sz w:val="21"/>
          <w:szCs w:val="21"/>
          <w:lang w:val="es-MX"/>
        </w:rPr>
        <w:t xml:space="preserve"> </w:t>
      </w:r>
      <w:r w:rsidRPr="004A0446">
        <w:rPr>
          <w:rFonts w:ascii="Abadi" w:hAnsi="Abadi" w:cs="Arial"/>
          <w:i/>
          <w:w w:val="105"/>
          <w:sz w:val="21"/>
          <w:szCs w:val="21"/>
          <w:lang w:val="es-MX"/>
        </w:rPr>
        <w:t>Orgánica del</w:t>
      </w:r>
      <w:r w:rsidRPr="004A0446">
        <w:rPr>
          <w:rFonts w:ascii="Abadi" w:hAnsi="Abadi" w:cs="Arial"/>
          <w:i/>
          <w:spacing w:val="-13"/>
          <w:w w:val="105"/>
          <w:sz w:val="21"/>
          <w:szCs w:val="21"/>
          <w:lang w:val="es-MX"/>
        </w:rPr>
        <w:t xml:space="preserve"> </w:t>
      </w:r>
      <w:r w:rsidRPr="004A0446">
        <w:rPr>
          <w:rFonts w:ascii="Abadi" w:hAnsi="Abadi" w:cs="Arial"/>
          <w:i/>
          <w:w w:val="105"/>
          <w:sz w:val="21"/>
          <w:szCs w:val="21"/>
          <w:lang w:val="es-MX"/>
        </w:rPr>
        <w:t>Poder</w:t>
      </w:r>
      <w:r w:rsidRPr="004A0446">
        <w:rPr>
          <w:rFonts w:ascii="Abadi" w:hAnsi="Abadi" w:cs="Arial"/>
          <w:i/>
          <w:spacing w:val="-5"/>
          <w:w w:val="105"/>
          <w:sz w:val="21"/>
          <w:szCs w:val="21"/>
          <w:lang w:val="es-MX"/>
        </w:rPr>
        <w:t xml:space="preserve"> </w:t>
      </w:r>
      <w:r w:rsidRPr="004A0446">
        <w:rPr>
          <w:rFonts w:ascii="Abadi" w:hAnsi="Abadi" w:cs="Arial"/>
          <w:i/>
          <w:w w:val="105"/>
          <w:sz w:val="21"/>
          <w:szCs w:val="21"/>
          <w:lang w:val="es-MX"/>
        </w:rPr>
        <w:t>Ejecutivo para el Estado de Guanajuato ya se contempla que esa dependencia sea la encargada</w:t>
      </w:r>
      <w:r w:rsidRPr="004A0446">
        <w:rPr>
          <w:rFonts w:ascii="Abadi" w:hAnsi="Abadi" w:cs="Arial"/>
          <w:i/>
          <w:spacing w:val="-4"/>
          <w:w w:val="105"/>
          <w:sz w:val="21"/>
          <w:szCs w:val="21"/>
          <w:lang w:val="es-MX"/>
        </w:rPr>
        <w:t xml:space="preserve"> </w:t>
      </w:r>
      <w:r w:rsidRPr="004A0446">
        <w:rPr>
          <w:rFonts w:ascii="Abadi" w:hAnsi="Abadi" w:cs="Arial"/>
          <w:i/>
          <w:w w:val="105"/>
          <w:sz w:val="21"/>
          <w:szCs w:val="21"/>
          <w:lang w:val="es-MX"/>
        </w:rPr>
        <w:t>de</w:t>
      </w:r>
      <w:r w:rsidRPr="004A0446">
        <w:rPr>
          <w:rFonts w:ascii="Abadi" w:hAnsi="Abadi" w:cs="Arial"/>
          <w:i/>
          <w:spacing w:val="-17"/>
          <w:w w:val="105"/>
          <w:sz w:val="21"/>
          <w:szCs w:val="21"/>
          <w:lang w:val="es-MX"/>
        </w:rPr>
        <w:t xml:space="preserve"> </w:t>
      </w:r>
      <w:r w:rsidRPr="004A0446">
        <w:rPr>
          <w:rFonts w:ascii="Abadi" w:hAnsi="Abadi" w:cs="Arial"/>
          <w:i/>
          <w:w w:val="105"/>
          <w:sz w:val="21"/>
          <w:szCs w:val="21"/>
          <w:lang w:val="es-MX"/>
        </w:rPr>
        <w:t>proporcionar</w:t>
      </w:r>
      <w:r w:rsidRPr="004A0446">
        <w:rPr>
          <w:rFonts w:ascii="Abadi" w:hAnsi="Abadi" w:cs="Arial"/>
          <w:i/>
          <w:spacing w:val="-4"/>
          <w:w w:val="105"/>
          <w:sz w:val="21"/>
          <w:szCs w:val="21"/>
          <w:lang w:val="es-MX"/>
        </w:rPr>
        <w:t xml:space="preserve"> </w:t>
      </w:r>
      <w:r w:rsidRPr="004A0446">
        <w:rPr>
          <w:rFonts w:ascii="Abadi" w:hAnsi="Abadi" w:cs="Arial"/>
          <w:i/>
          <w:w w:val="105"/>
          <w:sz w:val="21"/>
          <w:szCs w:val="21"/>
          <w:lang w:val="es-MX"/>
        </w:rPr>
        <w:t>y</w:t>
      </w:r>
      <w:r w:rsidRPr="004A0446">
        <w:rPr>
          <w:rFonts w:ascii="Abadi" w:hAnsi="Abadi" w:cs="Arial"/>
          <w:i/>
          <w:spacing w:val="-17"/>
          <w:w w:val="105"/>
          <w:sz w:val="21"/>
          <w:szCs w:val="21"/>
          <w:lang w:val="es-MX"/>
        </w:rPr>
        <w:t xml:space="preserve"> </w:t>
      </w:r>
      <w:r w:rsidRPr="004A0446">
        <w:rPr>
          <w:rFonts w:ascii="Abadi" w:hAnsi="Abadi" w:cs="Arial"/>
          <w:i/>
          <w:w w:val="105"/>
          <w:sz w:val="21"/>
          <w:szCs w:val="21"/>
          <w:lang w:val="es-MX"/>
        </w:rPr>
        <w:t>coordinar</w:t>
      </w:r>
      <w:r w:rsidRPr="004A0446">
        <w:rPr>
          <w:rFonts w:ascii="Abadi" w:hAnsi="Abadi" w:cs="Arial"/>
          <w:i/>
          <w:spacing w:val="-3"/>
          <w:w w:val="105"/>
          <w:sz w:val="21"/>
          <w:szCs w:val="21"/>
          <w:lang w:val="es-MX"/>
        </w:rPr>
        <w:t xml:space="preserve"> </w:t>
      </w:r>
      <w:r w:rsidRPr="004A0446">
        <w:rPr>
          <w:rFonts w:ascii="Abadi" w:hAnsi="Abadi" w:cs="Arial"/>
          <w:i/>
          <w:w w:val="105"/>
          <w:sz w:val="21"/>
          <w:szCs w:val="21"/>
          <w:lang w:val="es-MX"/>
        </w:rPr>
        <w:t>los</w:t>
      </w:r>
      <w:r w:rsidRPr="004A0446">
        <w:rPr>
          <w:rFonts w:ascii="Abadi" w:hAnsi="Abadi" w:cs="Arial"/>
          <w:i/>
          <w:spacing w:val="-16"/>
          <w:w w:val="105"/>
          <w:sz w:val="21"/>
          <w:szCs w:val="21"/>
          <w:lang w:val="es-MX"/>
        </w:rPr>
        <w:t xml:space="preserve"> </w:t>
      </w:r>
      <w:r w:rsidRPr="004A0446">
        <w:rPr>
          <w:rFonts w:ascii="Abadi" w:hAnsi="Abadi" w:cs="Arial"/>
          <w:i/>
          <w:w w:val="105"/>
          <w:sz w:val="21"/>
          <w:szCs w:val="21"/>
          <w:lang w:val="es-MX"/>
        </w:rPr>
        <w:t>servicios</w:t>
      </w:r>
      <w:r w:rsidRPr="004A0446">
        <w:rPr>
          <w:rFonts w:ascii="Abadi" w:hAnsi="Abadi" w:cs="Arial"/>
          <w:i/>
          <w:spacing w:val="-4"/>
          <w:w w:val="105"/>
          <w:sz w:val="21"/>
          <w:szCs w:val="21"/>
          <w:lang w:val="es-MX"/>
        </w:rPr>
        <w:t xml:space="preserve"> </w:t>
      </w:r>
      <w:r w:rsidRPr="004A0446">
        <w:rPr>
          <w:rFonts w:ascii="Abadi" w:hAnsi="Abadi" w:cs="Arial"/>
          <w:i/>
          <w:w w:val="105"/>
          <w:sz w:val="21"/>
          <w:szCs w:val="21"/>
          <w:lang w:val="es-MX"/>
        </w:rPr>
        <w:t>de</w:t>
      </w:r>
      <w:r w:rsidRPr="004A0446">
        <w:rPr>
          <w:rFonts w:ascii="Abadi" w:hAnsi="Abadi" w:cs="Arial"/>
          <w:i/>
          <w:spacing w:val="-17"/>
          <w:w w:val="105"/>
          <w:sz w:val="21"/>
          <w:szCs w:val="21"/>
          <w:lang w:val="es-MX"/>
        </w:rPr>
        <w:t xml:space="preserve"> </w:t>
      </w:r>
      <w:r w:rsidRPr="004A0446">
        <w:rPr>
          <w:rFonts w:ascii="Abadi" w:hAnsi="Abadi" w:cs="Arial"/>
          <w:i/>
          <w:w w:val="105"/>
          <w:sz w:val="21"/>
          <w:szCs w:val="21"/>
          <w:lang w:val="es-MX"/>
        </w:rPr>
        <w:t>salud,</w:t>
      </w:r>
      <w:r w:rsidRPr="004A0446">
        <w:rPr>
          <w:rFonts w:ascii="Abadi" w:hAnsi="Abadi" w:cs="Arial"/>
          <w:i/>
          <w:spacing w:val="-4"/>
          <w:w w:val="105"/>
          <w:sz w:val="21"/>
          <w:szCs w:val="21"/>
          <w:lang w:val="es-MX"/>
        </w:rPr>
        <w:t xml:space="preserve"> </w:t>
      </w:r>
      <w:r w:rsidRPr="004A0446">
        <w:rPr>
          <w:rFonts w:ascii="Abadi" w:hAnsi="Abadi" w:cs="Arial"/>
          <w:i/>
          <w:w w:val="105"/>
          <w:sz w:val="21"/>
          <w:szCs w:val="21"/>
          <w:lang w:val="es-MX"/>
        </w:rPr>
        <w:t>así</w:t>
      </w:r>
      <w:r w:rsidRPr="004A0446">
        <w:rPr>
          <w:rFonts w:ascii="Abadi" w:hAnsi="Abadi" w:cs="Arial"/>
          <w:i/>
          <w:spacing w:val="-12"/>
          <w:w w:val="105"/>
          <w:sz w:val="21"/>
          <w:szCs w:val="21"/>
          <w:lang w:val="es-MX"/>
        </w:rPr>
        <w:t xml:space="preserve"> </w:t>
      </w:r>
      <w:r w:rsidRPr="004A0446">
        <w:rPr>
          <w:rFonts w:ascii="Abadi" w:hAnsi="Abadi" w:cs="Arial"/>
          <w:i/>
          <w:w w:val="105"/>
          <w:sz w:val="21"/>
          <w:szCs w:val="21"/>
          <w:lang w:val="es-MX"/>
        </w:rPr>
        <w:t>como</w:t>
      </w:r>
      <w:r w:rsidRPr="004A0446">
        <w:rPr>
          <w:rFonts w:ascii="Abadi" w:hAnsi="Abadi" w:cs="Arial"/>
          <w:i/>
          <w:spacing w:val="-12"/>
          <w:w w:val="105"/>
          <w:sz w:val="21"/>
          <w:szCs w:val="21"/>
          <w:lang w:val="es-MX"/>
        </w:rPr>
        <w:t xml:space="preserve"> </w:t>
      </w:r>
      <w:r w:rsidRPr="004A0446">
        <w:rPr>
          <w:rFonts w:ascii="Abadi" w:hAnsi="Abadi" w:cs="Arial"/>
          <w:i/>
          <w:w w:val="105"/>
          <w:sz w:val="21"/>
          <w:szCs w:val="21"/>
          <w:lang w:val="es-MX"/>
        </w:rPr>
        <w:t>de</w:t>
      </w:r>
      <w:r w:rsidRPr="004A0446">
        <w:rPr>
          <w:rFonts w:ascii="Abadi" w:hAnsi="Abadi" w:cs="Arial"/>
          <w:i/>
          <w:spacing w:val="-13"/>
          <w:w w:val="105"/>
          <w:sz w:val="21"/>
          <w:szCs w:val="21"/>
          <w:lang w:val="es-MX"/>
        </w:rPr>
        <w:t xml:space="preserve"> </w:t>
      </w:r>
      <w:r w:rsidRPr="004A0446">
        <w:rPr>
          <w:rFonts w:ascii="Abadi" w:hAnsi="Abadi" w:cs="Arial"/>
          <w:i/>
          <w:w w:val="105"/>
          <w:sz w:val="21"/>
          <w:szCs w:val="21"/>
          <w:lang w:val="es-MX"/>
        </w:rPr>
        <w:t xml:space="preserve">promover el fomento </w:t>
      </w:r>
      <w:r w:rsidRPr="004A0446">
        <w:rPr>
          <w:rFonts w:ascii="Abadi" w:hAnsi="Abadi" w:cs="Arial"/>
          <w:w w:val="105"/>
          <w:sz w:val="21"/>
          <w:szCs w:val="21"/>
          <w:lang w:val="es-MX"/>
        </w:rPr>
        <w:t xml:space="preserve">a </w:t>
      </w:r>
      <w:r w:rsidRPr="004A0446">
        <w:rPr>
          <w:rFonts w:ascii="Abadi" w:hAnsi="Abadi" w:cs="Arial"/>
          <w:i/>
          <w:w w:val="105"/>
          <w:sz w:val="21"/>
          <w:szCs w:val="21"/>
          <w:lang w:val="es-MX"/>
        </w:rPr>
        <w:t>la</w:t>
      </w:r>
      <w:r w:rsidRPr="004A0446">
        <w:rPr>
          <w:rFonts w:ascii="Abadi" w:hAnsi="Abadi" w:cs="Arial"/>
          <w:i/>
          <w:spacing w:val="-5"/>
          <w:w w:val="105"/>
          <w:sz w:val="21"/>
          <w:szCs w:val="21"/>
          <w:lang w:val="es-MX"/>
        </w:rPr>
        <w:t xml:space="preserve"> </w:t>
      </w:r>
      <w:r w:rsidRPr="004A0446">
        <w:rPr>
          <w:rFonts w:ascii="Abadi" w:hAnsi="Abadi" w:cs="Arial"/>
          <w:i/>
          <w:w w:val="105"/>
          <w:sz w:val="21"/>
          <w:szCs w:val="21"/>
          <w:lang w:val="es-MX"/>
        </w:rPr>
        <w:t>salud, en coordinación y vinculación con otras instancias públicas y privadas.</w:t>
      </w:r>
      <w:r w:rsidRPr="004A0446">
        <w:rPr>
          <w:rFonts w:ascii="Abadi" w:hAnsi="Abadi" w:cs="Arial"/>
          <w:i/>
          <w:spacing w:val="-12"/>
          <w:w w:val="105"/>
          <w:sz w:val="21"/>
          <w:szCs w:val="21"/>
          <w:lang w:val="es-MX"/>
        </w:rPr>
        <w:t xml:space="preserve"> </w:t>
      </w:r>
      <w:r w:rsidRPr="004A0446">
        <w:rPr>
          <w:rFonts w:ascii="Abadi" w:hAnsi="Abadi" w:cs="Arial"/>
          <w:i/>
          <w:w w:val="105"/>
          <w:sz w:val="21"/>
          <w:szCs w:val="21"/>
          <w:lang w:val="es-MX"/>
        </w:rPr>
        <w:t>Por</w:t>
      </w:r>
      <w:r w:rsidRPr="004A0446">
        <w:rPr>
          <w:rFonts w:ascii="Abadi" w:hAnsi="Abadi" w:cs="Arial"/>
          <w:i/>
          <w:spacing w:val="-17"/>
          <w:w w:val="105"/>
          <w:sz w:val="21"/>
          <w:szCs w:val="21"/>
          <w:lang w:val="es-MX"/>
        </w:rPr>
        <w:t xml:space="preserve"> </w:t>
      </w:r>
      <w:r w:rsidRPr="004A0446">
        <w:rPr>
          <w:rFonts w:ascii="Abadi" w:hAnsi="Abadi" w:cs="Arial"/>
          <w:i/>
          <w:w w:val="105"/>
          <w:sz w:val="21"/>
          <w:szCs w:val="21"/>
          <w:lang w:val="es-MX"/>
        </w:rPr>
        <w:t>consiguiente, de aprobarse las atribuciones propuestas en la iniciativa, se generaría una duplicidad normativa entre ordenamientos de la misma jerarquía.</w:t>
      </w:r>
    </w:p>
    <w:p w14:paraId="5C437913" w14:textId="77777777" w:rsidR="00E3434F" w:rsidRPr="004A0446" w:rsidRDefault="00E3434F" w:rsidP="00F3730A">
      <w:pPr>
        <w:spacing w:before="5"/>
        <w:ind w:right="567" w:firstLine="93"/>
        <w:jc w:val="both"/>
        <w:rPr>
          <w:rFonts w:ascii="Abadi" w:hAnsi="Abadi" w:cs="Arial"/>
          <w:b/>
          <w:bCs/>
          <w:i/>
          <w:w w:val="105"/>
          <w:sz w:val="21"/>
          <w:szCs w:val="21"/>
          <w:lang w:val="es-MX"/>
        </w:rPr>
      </w:pPr>
    </w:p>
    <w:p w14:paraId="2388ACC3" w14:textId="77777777" w:rsidR="00E3434F" w:rsidRPr="004A0446" w:rsidRDefault="00E3434F" w:rsidP="00F3730A">
      <w:pPr>
        <w:ind w:left="1418" w:right="567"/>
        <w:jc w:val="both"/>
        <w:rPr>
          <w:rFonts w:ascii="Abadi" w:hAnsi="Abadi" w:cs="Arial"/>
          <w:i/>
          <w:w w:val="105"/>
          <w:sz w:val="21"/>
          <w:szCs w:val="21"/>
          <w:lang w:val="es-MX"/>
        </w:rPr>
      </w:pPr>
      <w:r w:rsidRPr="004A0446">
        <w:rPr>
          <w:rFonts w:ascii="Abadi" w:hAnsi="Abadi" w:cs="Arial"/>
          <w:i/>
          <w:w w:val="105"/>
          <w:sz w:val="21"/>
          <w:szCs w:val="21"/>
          <w:lang w:val="es-MX"/>
        </w:rPr>
        <w:t>Del mismo modo, sobre el rubro de capacitación constante, el mismo artículo de la referida Ley Orgánica ya prevé la elaboración de convenios con instituciones de educación media y superior para la formación de recursos humanos en el campo de la salud, además de la ejecución de programas de servicio social, universitario y profesional en las áreas de salud, por lo que aquellos supuestos normativos sobre capacitación contenidos en los capítulos I y III de la propuesta, también resultarían normativamente innecesarios.</w:t>
      </w:r>
    </w:p>
    <w:p w14:paraId="4D588D08" w14:textId="77777777" w:rsidR="00E3434F" w:rsidRPr="004A0446" w:rsidRDefault="00E3434F" w:rsidP="00F3730A">
      <w:pPr>
        <w:spacing w:before="6"/>
        <w:ind w:right="567" w:firstLine="93"/>
        <w:jc w:val="both"/>
        <w:rPr>
          <w:rFonts w:ascii="Abadi" w:hAnsi="Abadi" w:cs="Arial"/>
          <w:b/>
          <w:bCs/>
          <w:sz w:val="21"/>
          <w:szCs w:val="21"/>
          <w:lang w:val="es-MX"/>
        </w:rPr>
      </w:pPr>
    </w:p>
    <w:p w14:paraId="59273DBA" w14:textId="77777777" w:rsidR="00E3434F" w:rsidRPr="004A0446" w:rsidRDefault="00E3434F" w:rsidP="00F3730A">
      <w:pPr>
        <w:widowControl w:val="0"/>
        <w:numPr>
          <w:ilvl w:val="0"/>
          <w:numId w:val="69"/>
        </w:numPr>
        <w:autoSpaceDE w:val="0"/>
        <w:autoSpaceDN w:val="0"/>
        <w:ind w:left="1418" w:right="567" w:hanging="284"/>
        <w:jc w:val="both"/>
        <w:rPr>
          <w:rFonts w:ascii="Abadi" w:hAnsi="Abadi" w:cs="Arial"/>
          <w:i/>
          <w:sz w:val="21"/>
          <w:szCs w:val="21"/>
          <w:lang w:val="es-MX"/>
        </w:rPr>
      </w:pPr>
      <w:r w:rsidRPr="004A0446">
        <w:rPr>
          <w:rFonts w:ascii="Abadi" w:hAnsi="Abadi" w:cs="Arial"/>
          <w:b/>
          <w:i/>
          <w:w w:val="105"/>
          <w:sz w:val="21"/>
          <w:szCs w:val="21"/>
          <w:lang w:val="es-MX"/>
        </w:rPr>
        <w:t>Sobre las redes y campañas existentes para la prevención y atención al suicidio:</w:t>
      </w:r>
      <w:r w:rsidRPr="004A0446">
        <w:rPr>
          <w:rFonts w:ascii="Abadi" w:hAnsi="Abadi" w:cs="Arial"/>
          <w:b/>
          <w:i/>
          <w:spacing w:val="-1"/>
          <w:w w:val="105"/>
          <w:sz w:val="21"/>
          <w:szCs w:val="21"/>
          <w:lang w:val="es-MX"/>
        </w:rPr>
        <w:t xml:space="preserve"> </w:t>
      </w:r>
      <w:r w:rsidRPr="004A0446">
        <w:rPr>
          <w:rFonts w:ascii="Abadi" w:hAnsi="Abadi" w:cs="Arial"/>
          <w:i/>
          <w:w w:val="105"/>
          <w:sz w:val="21"/>
          <w:szCs w:val="21"/>
          <w:lang w:val="es-MX"/>
        </w:rPr>
        <w:t>En</w:t>
      </w:r>
      <w:r w:rsidRPr="004A0446">
        <w:rPr>
          <w:rFonts w:ascii="Abadi" w:hAnsi="Abadi" w:cs="Arial"/>
          <w:i/>
          <w:spacing w:val="-7"/>
          <w:w w:val="105"/>
          <w:sz w:val="21"/>
          <w:szCs w:val="21"/>
          <w:lang w:val="es-MX"/>
        </w:rPr>
        <w:t xml:space="preserve"> </w:t>
      </w:r>
      <w:r w:rsidRPr="004A0446">
        <w:rPr>
          <w:rFonts w:ascii="Abadi" w:hAnsi="Abadi" w:cs="Arial"/>
          <w:i/>
          <w:w w:val="105"/>
          <w:sz w:val="21"/>
          <w:szCs w:val="21"/>
          <w:lang w:val="es-MX"/>
        </w:rPr>
        <w:t>diversos apartados de</w:t>
      </w:r>
      <w:r w:rsidRPr="004A0446">
        <w:rPr>
          <w:rFonts w:ascii="Abadi" w:hAnsi="Abadi" w:cs="Arial"/>
          <w:i/>
          <w:spacing w:val="-11"/>
          <w:w w:val="105"/>
          <w:sz w:val="21"/>
          <w:szCs w:val="21"/>
          <w:lang w:val="es-MX"/>
        </w:rPr>
        <w:t xml:space="preserve"> </w:t>
      </w:r>
      <w:r w:rsidRPr="004A0446">
        <w:rPr>
          <w:rFonts w:ascii="Abadi" w:hAnsi="Abadi" w:cs="Arial"/>
          <w:i/>
          <w:w w:val="105"/>
          <w:sz w:val="21"/>
          <w:szCs w:val="21"/>
          <w:lang w:val="es-MX"/>
        </w:rPr>
        <w:t>la</w:t>
      </w:r>
      <w:r w:rsidRPr="004A0446">
        <w:rPr>
          <w:rFonts w:ascii="Abadi" w:hAnsi="Abadi" w:cs="Arial"/>
          <w:i/>
          <w:spacing w:val="-6"/>
          <w:w w:val="105"/>
          <w:sz w:val="21"/>
          <w:szCs w:val="21"/>
          <w:lang w:val="es-MX"/>
        </w:rPr>
        <w:t xml:space="preserve"> </w:t>
      </w:r>
      <w:r w:rsidRPr="004A0446">
        <w:rPr>
          <w:rFonts w:ascii="Abadi" w:hAnsi="Abadi" w:cs="Arial"/>
          <w:i/>
          <w:w w:val="105"/>
          <w:sz w:val="21"/>
          <w:szCs w:val="21"/>
          <w:lang w:val="es-MX"/>
        </w:rPr>
        <w:t>iniciativa de</w:t>
      </w:r>
      <w:r w:rsidRPr="004A0446">
        <w:rPr>
          <w:rFonts w:ascii="Abadi" w:hAnsi="Abadi" w:cs="Arial"/>
          <w:i/>
          <w:spacing w:val="-6"/>
          <w:w w:val="105"/>
          <w:sz w:val="21"/>
          <w:szCs w:val="21"/>
          <w:lang w:val="es-MX"/>
        </w:rPr>
        <w:t xml:space="preserve"> </w:t>
      </w:r>
      <w:r w:rsidRPr="004A0446">
        <w:rPr>
          <w:rFonts w:ascii="Abadi" w:hAnsi="Abadi" w:cs="Arial"/>
          <w:i/>
          <w:w w:val="105"/>
          <w:sz w:val="21"/>
          <w:szCs w:val="21"/>
          <w:lang w:val="es-MX"/>
        </w:rPr>
        <w:t>Ley</w:t>
      </w:r>
      <w:r w:rsidRPr="004A0446">
        <w:rPr>
          <w:rFonts w:ascii="Abadi" w:hAnsi="Abadi" w:cs="Arial"/>
          <w:i/>
          <w:spacing w:val="-2"/>
          <w:w w:val="105"/>
          <w:sz w:val="21"/>
          <w:szCs w:val="21"/>
          <w:lang w:val="es-MX"/>
        </w:rPr>
        <w:t xml:space="preserve"> </w:t>
      </w:r>
      <w:r w:rsidRPr="004A0446">
        <w:rPr>
          <w:rFonts w:ascii="Abadi" w:hAnsi="Abadi" w:cs="Arial"/>
          <w:i/>
          <w:w w:val="105"/>
          <w:sz w:val="21"/>
          <w:szCs w:val="21"/>
          <w:lang w:val="es-MX"/>
        </w:rPr>
        <w:t>se</w:t>
      </w:r>
      <w:r w:rsidRPr="004A0446">
        <w:rPr>
          <w:rFonts w:ascii="Abadi" w:hAnsi="Abadi" w:cs="Arial"/>
          <w:i/>
          <w:spacing w:val="-12"/>
          <w:w w:val="105"/>
          <w:sz w:val="21"/>
          <w:szCs w:val="21"/>
          <w:lang w:val="es-MX"/>
        </w:rPr>
        <w:t xml:space="preserve"> </w:t>
      </w:r>
      <w:r w:rsidRPr="004A0446">
        <w:rPr>
          <w:rFonts w:ascii="Abadi" w:hAnsi="Abadi" w:cs="Arial"/>
          <w:i/>
          <w:w w:val="105"/>
          <w:sz w:val="21"/>
          <w:szCs w:val="21"/>
          <w:lang w:val="es-MX"/>
        </w:rPr>
        <w:t>contempla la</w:t>
      </w:r>
      <w:r w:rsidRPr="004A0446">
        <w:rPr>
          <w:rFonts w:ascii="Abadi" w:hAnsi="Abadi" w:cs="Arial"/>
          <w:i/>
          <w:spacing w:val="-6"/>
          <w:w w:val="105"/>
          <w:sz w:val="21"/>
          <w:szCs w:val="21"/>
          <w:lang w:val="es-MX"/>
        </w:rPr>
        <w:t xml:space="preserve"> </w:t>
      </w:r>
      <w:r w:rsidRPr="004A0446">
        <w:rPr>
          <w:rFonts w:ascii="Abadi" w:hAnsi="Abadi" w:cs="Arial"/>
          <w:i/>
          <w:w w:val="105"/>
          <w:sz w:val="21"/>
          <w:szCs w:val="21"/>
          <w:lang w:val="es-MX"/>
        </w:rPr>
        <w:t>creación de campañas</w:t>
      </w:r>
      <w:r w:rsidRPr="004A0446">
        <w:rPr>
          <w:rFonts w:ascii="Abadi" w:hAnsi="Abadi" w:cs="Arial"/>
          <w:i/>
          <w:spacing w:val="-17"/>
          <w:w w:val="105"/>
          <w:sz w:val="21"/>
          <w:szCs w:val="21"/>
          <w:lang w:val="es-MX"/>
        </w:rPr>
        <w:t xml:space="preserve"> </w:t>
      </w:r>
      <w:r w:rsidRPr="004A0446">
        <w:rPr>
          <w:rFonts w:ascii="Abadi" w:hAnsi="Abadi" w:cs="Arial"/>
          <w:i/>
          <w:w w:val="105"/>
          <w:sz w:val="21"/>
          <w:szCs w:val="21"/>
          <w:lang w:val="es-MX"/>
        </w:rPr>
        <w:t>y</w:t>
      </w:r>
      <w:r w:rsidRPr="004A0446">
        <w:rPr>
          <w:rFonts w:ascii="Abadi" w:hAnsi="Abadi" w:cs="Arial"/>
          <w:i/>
          <w:spacing w:val="-17"/>
          <w:w w:val="105"/>
          <w:sz w:val="21"/>
          <w:szCs w:val="21"/>
          <w:lang w:val="es-MX"/>
        </w:rPr>
        <w:t xml:space="preserve"> </w:t>
      </w:r>
      <w:r w:rsidRPr="004A0446">
        <w:rPr>
          <w:rFonts w:ascii="Abadi" w:hAnsi="Abadi" w:cs="Arial"/>
          <w:i/>
          <w:w w:val="105"/>
          <w:sz w:val="21"/>
          <w:szCs w:val="21"/>
          <w:lang w:val="es-MX"/>
        </w:rPr>
        <w:t>redes</w:t>
      </w:r>
      <w:r w:rsidRPr="004A0446">
        <w:rPr>
          <w:rFonts w:ascii="Abadi" w:hAnsi="Abadi" w:cs="Arial"/>
          <w:i/>
          <w:spacing w:val="-17"/>
          <w:w w:val="105"/>
          <w:sz w:val="21"/>
          <w:szCs w:val="21"/>
          <w:lang w:val="es-MX"/>
        </w:rPr>
        <w:t xml:space="preserve"> </w:t>
      </w:r>
      <w:r w:rsidRPr="004A0446">
        <w:rPr>
          <w:rFonts w:ascii="Abadi" w:hAnsi="Abadi" w:cs="Arial"/>
          <w:i/>
          <w:w w:val="105"/>
          <w:sz w:val="21"/>
          <w:szCs w:val="21"/>
          <w:lang w:val="es-MX"/>
        </w:rPr>
        <w:t>de</w:t>
      </w:r>
      <w:r w:rsidRPr="004A0446">
        <w:rPr>
          <w:rFonts w:ascii="Abadi" w:hAnsi="Abadi" w:cs="Arial"/>
          <w:i/>
          <w:spacing w:val="-17"/>
          <w:w w:val="105"/>
          <w:sz w:val="21"/>
          <w:szCs w:val="21"/>
          <w:lang w:val="es-MX"/>
        </w:rPr>
        <w:t xml:space="preserve"> </w:t>
      </w:r>
      <w:r w:rsidRPr="004A0446">
        <w:rPr>
          <w:rFonts w:ascii="Abadi" w:hAnsi="Abadi" w:cs="Arial"/>
          <w:i/>
          <w:w w:val="105"/>
          <w:sz w:val="21"/>
          <w:szCs w:val="21"/>
          <w:lang w:val="es-MX"/>
        </w:rPr>
        <w:t>apoyo</w:t>
      </w:r>
      <w:r w:rsidRPr="004A0446">
        <w:rPr>
          <w:rFonts w:ascii="Abadi" w:hAnsi="Abadi" w:cs="Arial"/>
          <w:i/>
          <w:spacing w:val="-16"/>
          <w:w w:val="105"/>
          <w:sz w:val="21"/>
          <w:szCs w:val="21"/>
          <w:lang w:val="es-MX"/>
        </w:rPr>
        <w:t xml:space="preserve"> </w:t>
      </w:r>
      <w:r w:rsidRPr="004A0446">
        <w:rPr>
          <w:rFonts w:ascii="Abadi" w:hAnsi="Abadi" w:cs="Arial"/>
          <w:i/>
          <w:w w:val="105"/>
          <w:sz w:val="21"/>
          <w:szCs w:val="21"/>
          <w:lang w:val="es-MX"/>
        </w:rPr>
        <w:t>para</w:t>
      </w:r>
      <w:r w:rsidRPr="004A0446">
        <w:rPr>
          <w:rFonts w:ascii="Abadi" w:hAnsi="Abadi" w:cs="Arial"/>
          <w:i/>
          <w:spacing w:val="-17"/>
          <w:w w:val="105"/>
          <w:sz w:val="21"/>
          <w:szCs w:val="21"/>
          <w:lang w:val="es-MX"/>
        </w:rPr>
        <w:t xml:space="preserve"> </w:t>
      </w:r>
      <w:r w:rsidRPr="004A0446">
        <w:rPr>
          <w:rFonts w:ascii="Abadi" w:hAnsi="Abadi" w:cs="Arial"/>
          <w:i/>
          <w:w w:val="105"/>
          <w:sz w:val="21"/>
          <w:szCs w:val="21"/>
          <w:lang w:val="es-MX"/>
        </w:rPr>
        <w:t>personas</w:t>
      </w:r>
      <w:r w:rsidRPr="004A0446">
        <w:rPr>
          <w:rFonts w:ascii="Abadi" w:hAnsi="Abadi" w:cs="Arial"/>
          <w:i/>
          <w:spacing w:val="-17"/>
          <w:w w:val="105"/>
          <w:sz w:val="21"/>
          <w:szCs w:val="21"/>
          <w:lang w:val="es-MX"/>
        </w:rPr>
        <w:t xml:space="preserve"> </w:t>
      </w:r>
      <w:r w:rsidRPr="004A0446">
        <w:rPr>
          <w:rFonts w:ascii="Abadi" w:hAnsi="Abadi" w:cs="Arial"/>
          <w:i/>
          <w:w w:val="105"/>
          <w:sz w:val="21"/>
          <w:szCs w:val="21"/>
          <w:lang w:val="es-MX"/>
        </w:rPr>
        <w:t>en</w:t>
      </w:r>
      <w:r w:rsidRPr="004A0446">
        <w:rPr>
          <w:rFonts w:ascii="Abadi" w:hAnsi="Abadi" w:cs="Arial"/>
          <w:i/>
          <w:spacing w:val="-17"/>
          <w:w w:val="105"/>
          <w:sz w:val="21"/>
          <w:szCs w:val="21"/>
          <w:lang w:val="es-MX"/>
        </w:rPr>
        <w:t xml:space="preserve"> </w:t>
      </w:r>
      <w:r w:rsidRPr="004A0446">
        <w:rPr>
          <w:rFonts w:ascii="Abadi" w:hAnsi="Abadi" w:cs="Arial"/>
          <w:i/>
          <w:w w:val="105"/>
          <w:sz w:val="21"/>
          <w:szCs w:val="21"/>
          <w:lang w:val="es-MX"/>
        </w:rPr>
        <w:t>riesgo</w:t>
      </w:r>
      <w:r w:rsidRPr="004A0446">
        <w:rPr>
          <w:rFonts w:ascii="Abadi" w:hAnsi="Abadi" w:cs="Arial"/>
          <w:i/>
          <w:spacing w:val="-16"/>
          <w:w w:val="105"/>
          <w:sz w:val="21"/>
          <w:szCs w:val="21"/>
          <w:lang w:val="es-MX"/>
        </w:rPr>
        <w:t xml:space="preserve"> </w:t>
      </w:r>
      <w:r w:rsidRPr="004A0446">
        <w:rPr>
          <w:rFonts w:ascii="Abadi" w:hAnsi="Abadi" w:cs="Arial"/>
          <w:i/>
          <w:w w:val="105"/>
          <w:sz w:val="21"/>
          <w:szCs w:val="21"/>
          <w:lang w:val="es-MX"/>
        </w:rPr>
        <w:t>de</w:t>
      </w:r>
      <w:r w:rsidRPr="004A0446">
        <w:rPr>
          <w:rFonts w:ascii="Abadi" w:hAnsi="Abadi" w:cs="Arial"/>
          <w:i/>
          <w:spacing w:val="-17"/>
          <w:w w:val="105"/>
          <w:sz w:val="21"/>
          <w:szCs w:val="21"/>
          <w:lang w:val="es-MX"/>
        </w:rPr>
        <w:t xml:space="preserve"> </w:t>
      </w:r>
      <w:r w:rsidRPr="004A0446">
        <w:rPr>
          <w:rFonts w:ascii="Abadi" w:hAnsi="Abadi" w:cs="Arial"/>
          <w:i/>
          <w:w w:val="105"/>
          <w:sz w:val="21"/>
          <w:szCs w:val="21"/>
          <w:lang w:val="es-MX"/>
        </w:rPr>
        <w:t>suicidio,</w:t>
      </w:r>
      <w:r w:rsidRPr="004A0446">
        <w:rPr>
          <w:rFonts w:ascii="Abadi" w:hAnsi="Abadi" w:cs="Arial"/>
          <w:i/>
          <w:spacing w:val="-17"/>
          <w:w w:val="105"/>
          <w:sz w:val="21"/>
          <w:szCs w:val="21"/>
          <w:lang w:val="es-MX"/>
        </w:rPr>
        <w:t xml:space="preserve"> </w:t>
      </w:r>
      <w:r w:rsidRPr="004A0446">
        <w:rPr>
          <w:rFonts w:ascii="Abadi" w:hAnsi="Abadi" w:cs="Arial"/>
          <w:i/>
          <w:w w:val="105"/>
          <w:sz w:val="21"/>
          <w:szCs w:val="21"/>
          <w:lang w:val="es-MX"/>
        </w:rPr>
        <w:t>sin</w:t>
      </w:r>
      <w:r w:rsidRPr="004A0446">
        <w:rPr>
          <w:rFonts w:ascii="Abadi" w:hAnsi="Abadi" w:cs="Arial"/>
          <w:i/>
          <w:spacing w:val="-17"/>
          <w:w w:val="105"/>
          <w:sz w:val="21"/>
          <w:szCs w:val="21"/>
          <w:lang w:val="es-MX"/>
        </w:rPr>
        <w:t xml:space="preserve"> </w:t>
      </w:r>
      <w:r w:rsidRPr="004A0446">
        <w:rPr>
          <w:rFonts w:ascii="Abadi" w:hAnsi="Abadi" w:cs="Arial"/>
          <w:i/>
          <w:w w:val="105"/>
          <w:sz w:val="21"/>
          <w:szCs w:val="21"/>
          <w:lang w:val="es-MX"/>
        </w:rPr>
        <w:t>embargo</w:t>
      </w:r>
      <w:r w:rsidRPr="004A0446">
        <w:rPr>
          <w:rFonts w:ascii="Abadi" w:hAnsi="Abadi" w:cs="Arial"/>
          <w:i/>
          <w:spacing w:val="-17"/>
          <w:w w:val="105"/>
          <w:sz w:val="21"/>
          <w:szCs w:val="21"/>
          <w:lang w:val="es-MX"/>
        </w:rPr>
        <w:t xml:space="preserve"> </w:t>
      </w:r>
      <w:r w:rsidRPr="004A0446">
        <w:rPr>
          <w:rFonts w:ascii="Abadi" w:hAnsi="Abadi" w:cs="Arial"/>
          <w:i/>
          <w:w w:val="105"/>
          <w:sz w:val="21"/>
          <w:szCs w:val="21"/>
          <w:lang w:val="es-MX"/>
        </w:rPr>
        <w:t>resulta imperante indicar que actualmente ya existen y operan programas, estrategias y acciones en el ámbito federal, estatal y municipal.</w:t>
      </w:r>
    </w:p>
    <w:p w14:paraId="5177EFE5" w14:textId="77777777" w:rsidR="00E3434F" w:rsidRPr="004A0446" w:rsidRDefault="00E3434F" w:rsidP="00F3730A">
      <w:pPr>
        <w:spacing w:before="9"/>
        <w:ind w:right="567" w:firstLine="248"/>
        <w:jc w:val="both"/>
        <w:rPr>
          <w:rFonts w:ascii="Abadi" w:hAnsi="Abadi" w:cs="Arial"/>
          <w:b/>
          <w:bCs/>
          <w:sz w:val="21"/>
          <w:szCs w:val="21"/>
          <w:lang w:val="es-MX"/>
        </w:rPr>
      </w:pPr>
    </w:p>
    <w:p w14:paraId="013B108B" w14:textId="77777777" w:rsidR="00E3434F" w:rsidRPr="004A0446" w:rsidRDefault="00E3434F" w:rsidP="00F3730A">
      <w:pPr>
        <w:ind w:left="1418" w:right="567"/>
        <w:jc w:val="both"/>
        <w:rPr>
          <w:rFonts w:ascii="Abadi" w:hAnsi="Abadi" w:cs="Arial"/>
          <w:i/>
          <w:w w:val="105"/>
          <w:sz w:val="21"/>
          <w:szCs w:val="21"/>
          <w:lang w:val="es-MX"/>
        </w:rPr>
      </w:pPr>
      <w:r w:rsidRPr="004A0446">
        <w:rPr>
          <w:rFonts w:ascii="Abadi" w:hAnsi="Abadi" w:cs="Arial"/>
          <w:i/>
          <w:w w:val="105"/>
          <w:sz w:val="21"/>
          <w:szCs w:val="21"/>
          <w:lang w:val="es-MX"/>
        </w:rPr>
        <w:t>En nuestro Estado, la Secretaría de Salud coadyuva en la prevención de la conducta suicida y pone a disposición de la población los servicios de atención en más de 150 unidades físicas, telefónicas y virtuales, que prestan atención en Salud Mental en todo el territorio y que tienen servicio con atención profesional las 24 horas del día, los 365 días del año.</w:t>
      </w:r>
    </w:p>
    <w:p w14:paraId="51F64AA2" w14:textId="77777777" w:rsidR="00E3434F" w:rsidRPr="004A0446" w:rsidRDefault="00E3434F" w:rsidP="00F3730A">
      <w:pPr>
        <w:spacing w:before="6"/>
        <w:ind w:right="567" w:firstLine="248"/>
        <w:jc w:val="both"/>
        <w:rPr>
          <w:rFonts w:ascii="Abadi" w:hAnsi="Abadi" w:cs="Arial"/>
          <w:b/>
          <w:bCs/>
          <w:sz w:val="21"/>
          <w:szCs w:val="21"/>
          <w:lang w:val="es-MX"/>
        </w:rPr>
      </w:pPr>
    </w:p>
    <w:p w14:paraId="709A1426" w14:textId="77777777" w:rsidR="00E3434F" w:rsidRPr="004A0446" w:rsidRDefault="00E3434F" w:rsidP="00F3730A">
      <w:pPr>
        <w:widowControl w:val="0"/>
        <w:ind w:left="1418" w:right="567"/>
        <w:jc w:val="both"/>
        <w:rPr>
          <w:rFonts w:ascii="Abadi" w:hAnsi="Abadi" w:cs="Arial"/>
          <w:i/>
          <w:w w:val="105"/>
          <w:sz w:val="21"/>
          <w:szCs w:val="21"/>
        </w:rPr>
      </w:pPr>
      <w:r w:rsidRPr="004A0446">
        <w:rPr>
          <w:rFonts w:ascii="Abadi" w:hAnsi="Abadi" w:cs="Arial"/>
          <w:i/>
          <w:w w:val="105"/>
          <w:sz w:val="21"/>
          <w:szCs w:val="21"/>
        </w:rPr>
        <w:t>Asimismo, desde 2007 se creó la dirección de área de Salud Mental en la Secretaría de Salud, la cual promueve al día de hoy una Red de Servicios de Salud Mental de Guanajuato, integrado por 450 psicólogos, 52 psiquiatras, 179 unidades de salud mental y 810 profesionales de la salud mental. A su vez existen 46 redes municipales de prevención de la conducta suicida, mismo organismo que es denominado como Red Guanajuatense de Municipios por la Salud.</w:t>
      </w:r>
    </w:p>
    <w:p w14:paraId="6203DF4D" w14:textId="77777777" w:rsidR="00E3434F" w:rsidRPr="004A0446" w:rsidRDefault="00E3434F" w:rsidP="00F3730A">
      <w:pPr>
        <w:spacing w:before="227"/>
        <w:ind w:left="1418" w:right="567"/>
        <w:jc w:val="both"/>
        <w:rPr>
          <w:rFonts w:ascii="Abadi" w:hAnsi="Abadi" w:cs="Arial"/>
          <w:i/>
          <w:w w:val="105"/>
          <w:sz w:val="21"/>
          <w:szCs w:val="21"/>
          <w:lang w:val="es-MX"/>
        </w:rPr>
      </w:pPr>
      <w:r w:rsidRPr="004A0446">
        <w:rPr>
          <w:rFonts w:ascii="Abadi" w:hAnsi="Abadi" w:cs="Arial"/>
          <w:i/>
          <w:w w:val="105"/>
          <w:sz w:val="21"/>
          <w:szCs w:val="21"/>
          <w:lang w:val="es-MX"/>
        </w:rPr>
        <w:t xml:space="preserve">En el orden federal, la iniciativa tampoco considera las acciones del Programa Nacional para la Prevención del Suicidio, cuyo pilar es la Estrategia Nacional de Salud Mental, la cual contempla dos componentes: </w:t>
      </w:r>
    </w:p>
    <w:p w14:paraId="499A8395" w14:textId="77777777" w:rsidR="00E3434F" w:rsidRPr="004A0446" w:rsidRDefault="00E3434F" w:rsidP="003B471E">
      <w:pPr>
        <w:numPr>
          <w:ilvl w:val="0"/>
          <w:numId w:val="70"/>
        </w:numPr>
        <w:spacing w:before="227"/>
        <w:ind w:left="1560" w:right="567"/>
        <w:jc w:val="both"/>
        <w:rPr>
          <w:rFonts w:ascii="Abadi" w:hAnsi="Abadi" w:cs="Arial"/>
          <w:i/>
          <w:spacing w:val="-10"/>
          <w:w w:val="105"/>
          <w:sz w:val="21"/>
          <w:szCs w:val="21"/>
          <w:lang w:val="es-MX"/>
        </w:rPr>
      </w:pPr>
      <w:r w:rsidRPr="004A0446">
        <w:rPr>
          <w:rFonts w:ascii="Abadi" w:hAnsi="Abadi" w:cs="Arial"/>
          <w:i/>
          <w:w w:val="105"/>
          <w:sz w:val="21"/>
          <w:szCs w:val="21"/>
          <w:lang w:val="es-MX"/>
        </w:rPr>
        <w:t>Acciones gubernamentales para disminuir los factores de riesgo y construir factores</w:t>
      </w:r>
      <w:r w:rsidRPr="004A0446">
        <w:rPr>
          <w:rFonts w:ascii="Abadi" w:hAnsi="Abadi" w:cs="Arial"/>
          <w:i/>
          <w:spacing w:val="-17"/>
          <w:w w:val="105"/>
          <w:sz w:val="21"/>
          <w:szCs w:val="21"/>
          <w:lang w:val="es-MX"/>
        </w:rPr>
        <w:t xml:space="preserve"> </w:t>
      </w:r>
      <w:r w:rsidRPr="004A0446">
        <w:rPr>
          <w:rFonts w:ascii="Abadi" w:hAnsi="Abadi" w:cs="Arial"/>
          <w:i/>
          <w:w w:val="105"/>
          <w:sz w:val="21"/>
          <w:szCs w:val="21"/>
          <w:lang w:val="es-MX"/>
        </w:rPr>
        <w:t>de</w:t>
      </w:r>
      <w:r w:rsidRPr="004A0446">
        <w:rPr>
          <w:rFonts w:ascii="Abadi" w:hAnsi="Abadi" w:cs="Arial"/>
          <w:i/>
          <w:spacing w:val="-17"/>
          <w:w w:val="105"/>
          <w:sz w:val="21"/>
          <w:szCs w:val="21"/>
          <w:lang w:val="es-MX"/>
        </w:rPr>
        <w:t xml:space="preserve"> </w:t>
      </w:r>
      <w:r w:rsidRPr="004A0446">
        <w:rPr>
          <w:rFonts w:ascii="Abadi" w:hAnsi="Abadi" w:cs="Arial"/>
          <w:i/>
          <w:w w:val="105"/>
          <w:sz w:val="21"/>
          <w:szCs w:val="21"/>
          <w:lang w:val="es-MX"/>
        </w:rPr>
        <w:t>protección</w:t>
      </w:r>
      <w:r w:rsidRPr="004A0446">
        <w:rPr>
          <w:rFonts w:ascii="Abadi" w:hAnsi="Abadi" w:cs="Arial"/>
          <w:i/>
          <w:spacing w:val="-4"/>
          <w:w w:val="105"/>
          <w:sz w:val="21"/>
          <w:szCs w:val="21"/>
          <w:lang w:val="es-MX"/>
        </w:rPr>
        <w:t xml:space="preserve"> </w:t>
      </w:r>
      <w:r w:rsidRPr="004A0446">
        <w:rPr>
          <w:rFonts w:ascii="Abadi" w:hAnsi="Abadi" w:cs="Arial"/>
          <w:i/>
          <w:w w:val="105"/>
          <w:sz w:val="21"/>
          <w:szCs w:val="21"/>
          <w:lang w:val="es-MX"/>
        </w:rPr>
        <w:t>para</w:t>
      </w:r>
      <w:r w:rsidRPr="004A0446">
        <w:rPr>
          <w:rFonts w:ascii="Abadi" w:hAnsi="Abadi" w:cs="Arial"/>
          <w:i/>
          <w:spacing w:val="-11"/>
          <w:w w:val="105"/>
          <w:sz w:val="21"/>
          <w:szCs w:val="21"/>
          <w:lang w:val="es-MX"/>
        </w:rPr>
        <w:t xml:space="preserve"> </w:t>
      </w:r>
      <w:r w:rsidRPr="004A0446">
        <w:rPr>
          <w:rFonts w:ascii="Abadi" w:hAnsi="Abadi" w:cs="Arial"/>
          <w:i/>
          <w:w w:val="105"/>
          <w:sz w:val="21"/>
          <w:szCs w:val="21"/>
          <w:lang w:val="es-MX"/>
        </w:rPr>
        <w:t>atender</w:t>
      </w:r>
      <w:r w:rsidRPr="004A0446">
        <w:rPr>
          <w:rFonts w:ascii="Abadi" w:hAnsi="Abadi" w:cs="Arial"/>
          <w:i/>
          <w:spacing w:val="-4"/>
          <w:w w:val="105"/>
          <w:sz w:val="21"/>
          <w:szCs w:val="21"/>
          <w:lang w:val="es-MX"/>
        </w:rPr>
        <w:t xml:space="preserve"> </w:t>
      </w:r>
      <w:r w:rsidRPr="004A0446">
        <w:rPr>
          <w:rFonts w:ascii="Abadi" w:hAnsi="Abadi" w:cs="Arial"/>
          <w:i/>
          <w:w w:val="105"/>
          <w:sz w:val="21"/>
          <w:szCs w:val="21"/>
          <w:lang w:val="es-MX"/>
        </w:rPr>
        <w:t>la</w:t>
      </w:r>
      <w:r w:rsidRPr="004A0446">
        <w:rPr>
          <w:rFonts w:ascii="Abadi" w:hAnsi="Abadi" w:cs="Arial"/>
          <w:i/>
          <w:spacing w:val="-17"/>
          <w:w w:val="105"/>
          <w:sz w:val="21"/>
          <w:szCs w:val="21"/>
          <w:lang w:val="es-MX"/>
        </w:rPr>
        <w:t xml:space="preserve"> </w:t>
      </w:r>
      <w:r w:rsidRPr="004A0446">
        <w:rPr>
          <w:rFonts w:ascii="Abadi" w:hAnsi="Abadi" w:cs="Arial"/>
          <w:i/>
          <w:w w:val="105"/>
          <w:sz w:val="21"/>
          <w:szCs w:val="21"/>
          <w:lang w:val="es-MX"/>
        </w:rPr>
        <w:t>salud</w:t>
      </w:r>
      <w:r w:rsidRPr="004A0446">
        <w:rPr>
          <w:rFonts w:ascii="Abadi" w:hAnsi="Abadi" w:cs="Arial"/>
          <w:i/>
          <w:spacing w:val="-17"/>
          <w:w w:val="105"/>
          <w:sz w:val="21"/>
          <w:szCs w:val="21"/>
          <w:lang w:val="es-MX"/>
        </w:rPr>
        <w:t xml:space="preserve"> </w:t>
      </w:r>
      <w:r w:rsidRPr="004A0446">
        <w:rPr>
          <w:rFonts w:ascii="Abadi" w:hAnsi="Abadi" w:cs="Arial"/>
          <w:i/>
          <w:w w:val="105"/>
          <w:sz w:val="21"/>
          <w:szCs w:val="21"/>
          <w:lang w:val="es-MX"/>
        </w:rPr>
        <w:t>emocional</w:t>
      </w:r>
      <w:r w:rsidRPr="004A0446">
        <w:rPr>
          <w:rFonts w:ascii="Abadi" w:hAnsi="Abadi" w:cs="Arial"/>
          <w:i/>
          <w:spacing w:val="-3"/>
          <w:w w:val="105"/>
          <w:sz w:val="21"/>
          <w:szCs w:val="21"/>
          <w:lang w:val="es-MX"/>
        </w:rPr>
        <w:t xml:space="preserve"> </w:t>
      </w:r>
      <w:r w:rsidRPr="004A0446">
        <w:rPr>
          <w:rFonts w:ascii="Abadi" w:hAnsi="Abadi" w:cs="Arial"/>
          <w:i/>
          <w:w w:val="105"/>
          <w:sz w:val="21"/>
          <w:szCs w:val="21"/>
          <w:lang w:val="es-MX"/>
        </w:rPr>
        <w:t>y</w:t>
      </w:r>
      <w:r w:rsidRPr="004A0446">
        <w:rPr>
          <w:rFonts w:ascii="Abadi" w:hAnsi="Abadi" w:cs="Arial"/>
          <w:i/>
          <w:spacing w:val="-14"/>
          <w:w w:val="105"/>
          <w:sz w:val="21"/>
          <w:szCs w:val="21"/>
          <w:lang w:val="es-MX"/>
        </w:rPr>
        <w:t xml:space="preserve"> </w:t>
      </w:r>
      <w:r w:rsidRPr="004A0446">
        <w:rPr>
          <w:rFonts w:ascii="Abadi" w:hAnsi="Abadi" w:cs="Arial"/>
          <w:i/>
          <w:w w:val="105"/>
          <w:sz w:val="21"/>
          <w:szCs w:val="21"/>
          <w:lang w:val="es-MX"/>
        </w:rPr>
        <w:t>mental</w:t>
      </w:r>
      <w:r w:rsidRPr="004A0446">
        <w:rPr>
          <w:rFonts w:ascii="Abadi" w:hAnsi="Abadi" w:cs="Arial"/>
          <w:i/>
          <w:spacing w:val="-9"/>
          <w:w w:val="105"/>
          <w:sz w:val="21"/>
          <w:szCs w:val="21"/>
          <w:lang w:val="es-MX"/>
        </w:rPr>
        <w:t xml:space="preserve"> </w:t>
      </w:r>
      <w:r w:rsidRPr="004A0446">
        <w:rPr>
          <w:rFonts w:ascii="Abadi" w:hAnsi="Abadi" w:cs="Arial"/>
          <w:i/>
          <w:w w:val="105"/>
          <w:sz w:val="21"/>
          <w:szCs w:val="21"/>
          <w:lang w:val="es-MX"/>
        </w:rPr>
        <w:t>de</w:t>
      </w:r>
      <w:r w:rsidRPr="004A0446">
        <w:rPr>
          <w:rFonts w:ascii="Abadi" w:hAnsi="Abadi" w:cs="Arial"/>
          <w:i/>
          <w:spacing w:val="-17"/>
          <w:w w:val="105"/>
          <w:sz w:val="21"/>
          <w:szCs w:val="21"/>
          <w:lang w:val="es-MX"/>
        </w:rPr>
        <w:t xml:space="preserve"> </w:t>
      </w:r>
      <w:r w:rsidRPr="004A0446">
        <w:rPr>
          <w:rFonts w:ascii="Abadi" w:hAnsi="Abadi" w:cs="Arial"/>
          <w:i/>
          <w:w w:val="105"/>
          <w:sz w:val="21"/>
          <w:szCs w:val="21"/>
          <w:lang w:val="es-MX"/>
        </w:rPr>
        <w:t>la</w:t>
      </w:r>
      <w:r w:rsidRPr="004A0446">
        <w:rPr>
          <w:rFonts w:ascii="Abadi" w:hAnsi="Abadi" w:cs="Arial"/>
          <w:i/>
          <w:spacing w:val="-15"/>
          <w:w w:val="105"/>
          <w:sz w:val="21"/>
          <w:szCs w:val="21"/>
          <w:lang w:val="es-MX"/>
        </w:rPr>
        <w:t xml:space="preserve"> </w:t>
      </w:r>
      <w:r w:rsidRPr="004A0446">
        <w:rPr>
          <w:rFonts w:ascii="Abadi" w:hAnsi="Abadi" w:cs="Arial"/>
          <w:i/>
          <w:w w:val="105"/>
          <w:sz w:val="21"/>
          <w:szCs w:val="21"/>
          <w:lang w:val="es-MX"/>
        </w:rPr>
        <w:t xml:space="preserve">población, </w:t>
      </w:r>
      <w:r w:rsidRPr="004A0446">
        <w:rPr>
          <w:rFonts w:ascii="Abadi" w:hAnsi="Abadi" w:cs="Arial"/>
          <w:i/>
          <w:spacing w:val="-10"/>
          <w:w w:val="105"/>
          <w:sz w:val="21"/>
          <w:szCs w:val="21"/>
          <w:lang w:val="es-MX"/>
        </w:rPr>
        <w:t xml:space="preserve">y </w:t>
      </w:r>
    </w:p>
    <w:p w14:paraId="47B6D993" w14:textId="77777777" w:rsidR="00E3434F" w:rsidRPr="004A0446" w:rsidRDefault="00E3434F" w:rsidP="003B471E">
      <w:pPr>
        <w:numPr>
          <w:ilvl w:val="0"/>
          <w:numId w:val="70"/>
        </w:numPr>
        <w:spacing w:before="227"/>
        <w:ind w:left="1560" w:right="567"/>
        <w:jc w:val="both"/>
        <w:rPr>
          <w:rFonts w:ascii="Abadi" w:hAnsi="Abadi" w:cs="Arial"/>
          <w:i/>
          <w:sz w:val="21"/>
          <w:szCs w:val="21"/>
          <w:lang w:val="es-MX"/>
        </w:rPr>
      </w:pPr>
      <w:r w:rsidRPr="004A0446">
        <w:rPr>
          <w:rFonts w:ascii="Abadi" w:hAnsi="Abadi" w:cs="Arial"/>
          <w:i/>
          <w:w w:val="105"/>
          <w:sz w:val="21"/>
          <w:szCs w:val="21"/>
          <w:lang w:val="es-MX"/>
        </w:rPr>
        <w:t xml:space="preserve">La orientación, atención </w:t>
      </w:r>
      <w:r w:rsidRPr="004A0446">
        <w:rPr>
          <w:rFonts w:ascii="Abadi" w:hAnsi="Abadi" w:cs="Arial"/>
          <w:w w:val="105"/>
          <w:sz w:val="21"/>
          <w:szCs w:val="21"/>
          <w:lang w:val="es-MX"/>
        </w:rPr>
        <w:t xml:space="preserve">o </w:t>
      </w:r>
      <w:r w:rsidRPr="004A0446">
        <w:rPr>
          <w:rFonts w:ascii="Abadi" w:hAnsi="Abadi" w:cs="Arial"/>
          <w:i/>
          <w:w w:val="105"/>
          <w:sz w:val="21"/>
          <w:szCs w:val="21"/>
          <w:lang w:val="es-MX"/>
        </w:rPr>
        <w:t xml:space="preserve">rehabilitación a personas usuarias de sustancias </w:t>
      </w:r>
      <w:r w:rsidRPr="004A0446">
        <w:rPr>
          <w:rFonts w:ascii="Abadi" w:hAnsi="Abadi" w:cs="Arial"/>
          <w:i/>
          <w:spacing w:val="-2"/>
          <w:w w:val="105"/>
          <w:sz w:val="21"/>
          <w:szCs w:val="21"/>
          <w:lang w:val="es-MX"/>
        </w:rPr>
        <w:t>psicotrópicas.</w:t>
      </w:r>
    </w:p>
    <w:p w14:paraId="4CC5AC33" w14:textId="77777777" w:rsidR="00E3434F" w:rsidRPr="004A0446" w:rsidRDefault="00E3434F" w:rsidP="00F3730A">
      <w:pPr>
        <w:spacing w:before="9"/>
        <w:ind w:right="567"/>
        <w:jc w:val="both"/>
        <w:rPr>
          <w:rFonts w:ascii="Abadi" w:hAnsi="Abadi" w:cs="Arial"/>
          <w:b/>
          <w:bCs/>
          <w:sz w:val="21"/>
          <w:szCs w:val="21"/>
          <w:lang w:val="es-MX"/>
        </w:rPr>
      </w:pPr>
    </w:p>
    <w:p w14:paraId="566C0B86" w14:textId="77777777" w:rsidR="00E3434F" w:rsidRPr="004A0446" w:rsidRDefault="00E3434F" w:rsidP="00F3730A">
      <w:pPr>
        <w:ind w:left="1134" w:right="567"/>
        <w:jc w:val="both"/>
        <w:rPr>
          <w:rFonts w:ascii="Abadi" w:hAnsi="Abadi" w:cs="Arial"/>
          <w:i/>
          <w:w w:val="105"/>
          <w:sz w:val="21"/>
          <w:szCs w:val="21"/>
          <w:lang w:val="es-MX"/>
        </w:rPr>
      </w:pPr>
      <w:r w:rsidRPr="004A0446">
        <w:rPr>
          <w:rFonts w:ascii="Abadi" w:hAnsi="Abadi" w:cs="Arial"/>
          <w:i/>
          <w:w w:val="105"/>
          <w:sz w:val="21"/>
          <w:szCs w:val="21"/>
          <w:lang w:val="es-MX"/>
        </w:rPr>
        <w:t>Por ende, se concluye que el proyecto normativo ignora las estrategias y los programas vigentes en materia de atención y prevención del suicidio pues aunque diversas instancias y organismos ya tienen una vinculación real entre el sector público y privado, la iniciativa no representa el fortalecimiento de las acciones gubernamentales o sociales que desde hace años conocen y atienden esta lamentable problemática.</w:t>
      </w:r>
    </w:p>
    <w:p w14:paraId="0A02FC35" w14:textId="77777777" w:rsidR="00E3434F" w:rsidRPr="004A0446" w:rsidRDefault="00E3434F" w:rsidP="00F3730A">
      <w:pPr>
        <w:tabs>
          <w:tab w:val="left" w:pos="1134"/>
        </w:tabs>
        <w:spacing w:before="2"/>
        <w:ind w:right="567"/>
        <w:jc w:val="both"/>
        <w:rPr>
          <w:rFonts w:ascii="Abadi" w:hAnsi="Abadi" w:cs="Arial"/>
          <w:b/>
          <w:bCs/>
          <w:i/>
          <w:w w:val="105"/>
          <w:sz w:val="21"/>
          <w:szCs w:val="21"/>
          <w:lang w:val="es-MX"/>
        </w:rPr>
      </w:pPr>
    </w:p>
    <w:p w14:paraId="2F923FA4" w14:textId="77777777" w:rsidR="00E3434F" w:rsidRPr="004A0446" w:rsidRDefault="00E3434F" w:rsidP="00F3730A">
      <w:pPr>
        <w:tabs>
          <w:tab w:val="left" w:pos="12616"/>
          <w:tab w:val="left" w:pos="12878"/>
        </w:tabs>
        <w:ind w:left="1134" w:right="567"/>
        <w:jc w:val="both"/>
        <w:rPr>
          <w:rFonts w:ascii="Abadi" w:hAnsi="Abadi" w:cs="Arial"/>
          <w:i/>
          <w:w w:val="105"/>
          <w:sz w:val="21"/>
          <w:szCs w:val="21"/>
          <w:lang w:val="es-MX"/>
        </w:rPr>
      </w:pPr>
      <w:r w:rsidRPr="004A0446">
        <w:rPr>
          <w:rFonts w:ascii="Abadi" w:hAnsi="Abadi" w:cs="Arial"/>
          <w:b/>
          <w:bCs/>
          <w:i/>
          <w:w w:val="105"/>
          <w:sz w:val="21"/>
          <w:szCs w:val="21"/>
          <w:lang w:val="es-MX"/>
        </w:rPr>
        <w:t>c)</w:t>
      </w:r>
      <w:r w:rsidRPr="004A0446">
        <w:rPr>
          <w:rFonts w:ascii="Abadi" w:hAnsi="Abadi" w:cs="Arial"/>
          <w:b/>
          <w:bCs/>
          <w:spacing w:val="30"/>
          <w:w w:val="105"/>
          <w:sz w:val="21"/>
          <w:szCs w:val="21"/>
          <w:lang w:val="es-MX"/>
        </w:rPr>
        <w:t xml:space="preserve"> </w:t>
      </w:r>
      <w:r w:rsidRPr="004A0446">
        <w:rPr>
          <w:rFonts w:ascii="Abadi" w:hAnsi="Abadi" w:cs="Arial"/>
          <w:b/>
          <w:bCs/>
          <w:i/>
          <w:w w:val="105"/>
          <w:sz w:val="21"/>
          <w:szCs w:val="21"/>
          <w:lang w:val="es-MX"/>
        </w:rPr>
        <w:t>En</w:t>
      </w:r>
      <w:r w:rsidRPr="004A0446">
        <w:rPr>
          <w:rFonts w:ascii="Abadi" w:hAnsi="Abadi" w:cs="Arial"/>
          <w:b/>
          <w:bCs/>
          <w:i/>
          <w:spacing w:val="-10"/>
          <w:w w:val="105"/>
          <w:sz w:val="21"/>
          <w:szCs w:val="21"/>
          <w:lang w:val="es-MX"/>
        </w:rPr>
        <w:t xml:space="preserve"> </w:t>
      </w:r>
      <w:r w:rsidRPr="004A0446">
        <w:rPr>
          <w:rFonts w:ascii="Abadi" w:hAnsi="Abadi" w:cs="Arial"/>
          <w:b/>
          <w:bCs/>
          <w:i/>
          <w:w w:val="105"/>
          <w:sz w:val="21"/>
          <w:szCs w:val="21"/>
          <w:lang w:val="es-MX"/>
        </w:rPr>
        <w:t>relación</w:t>
      </w:r>
      <w:r w:rsidRPr="004A0446">
        <w:rPr>
          <w:rFonts w:ascii="Abadi" w:hAnsi="Abadi" w:cs="Arial"/>
          <w:b/>
          <w:bCs/>
          <w:i/>
          <w:spacing w:val="-6"/>
          <w:w w:val="105"/>
          <w:sz w:val="21"/>
          <w:szCs w:val="21"/>
          <w:lang w:val="es-MX"/>
        </w:rPr>
        <w:t xml:space="preserve"> </w:t>
      </w:r>
      <w:r w:rsidRPr="004A0446">
        <w:rPr>
          <w:rFonts w:ascii="Abadi" w:hAnsi="Abadi" w:cs="Arial"/>
          <w:b/>
          <w:bCs/>
          <w:i/>
          <w:w w:val="105"/>
          <w:sz w:val="21"/>
          <w:szCs w:val="21"/>
          <w:lang w:val="es-MX"/>
        </w:rPr>
        <w:t>a</w:t>
      </w:r>
      <w:r w:rsidRPr="004A0446">
        <w:rPr>
          <w:rFonts w:ascii="Abadi" w:hAnsi="Abadi" w:cs="Arial"/>
          <w:b/>
          <w:bCs/>
          <w:i/>
          <w:spacing w:val="-9"/>
          <w:w w:val="105"/>
          <w:sz w:val="21"/>
          <w:szCs w:val="21"/>
          <w:lang w:val="es-MX"/>
        </w:rPr>
        <w:t xml:space="preserve"> </w:t>
      </w:r>
      <w:r w:rsidRPr="004A0446">
        <w:rPr>
          <w:rFonts w:ascii="Abadi" w:hAnsi="Abadi" w:cs="Arial"/>
          <w:b/>
          <w:bCs/>
          <w:i/>
          <w:w w:val="105"/>
          <w:sz w:val="21"/>
          <w:szCs w:val="21"/>
          <w:lang w:val="es-MX"/>
        </w:rPr>
        <w:t>la</w:t>
      </w:r>
      <w:r w:rsidRPr="004A0446">
        <w:rPr>
          <w:rFonts w:ascii="Abadi" w:hAnsi="Abadi" w:cs="Arial"/>
          <w:b/>
          <w:bCs/>
          <w:i/>
          <w:spacing w:val="-17"/>
          <w:w w:val="105"/>
          <w:sz w:val="21"/>
          <w:szCs w:val="21"/>
          <w:lang w:val="es-MX"/>
        </w:rPr>
        <w:t xml:space="preserve"> </w:t>
      </w:r>
      <w:r w:rsidRPr="004A0446">
        <w:rPr>
          <w:rFonts w:ascii="Abadi" w:hAnsi="Abadi" w:cs="Arial"/>
          <w:b/>
          <w:bCs/>
          <w:i/>
          <w:w w:val="105"/>
          <w:sz w:val="21"/>
          <w:szCs w:val="21"/>
          <w:lang w:val="es-MX"/>
        </w:rPr>
        <w:t>integración, operación</w:t>
      </w:r>
      <w:r w:rsidRPr="004A0446">
        <w:rPr>
          <w:rFonts w:ascii="Abadi" w:hAnsi="Abadi" w:cs="Arial"/>
          <w:b/>
          <w:bCs/>
          <w:i/>
          <w:spacing w:val="22"/>
          <w:w w:val="105"/>
          <w:sz w:val="21"/>
          <w:szCs w:val="21"/>
          <w:lang w:val="es-MX"/>
        </w:rPr>
        <w:t xml:space="preserve"> </w:t>
      </w:r>
      <w:r w:rsidRPr="004A0446">
        <w:rPr>
          <w:rFonts w:ascii="Abadi" w:hAnsi="Abadi" w:cs="Arial"/>
          <w:b/>
          <w:bCs/>
          <w:i/>
          <w:w w:val="105"/>
          <w:sz w:val="21"/>
          <w:szCs w:val="21"/>
          <w:lang w:val="es-MX"/>
        </w:rPr>
        <w:t>y</w:t>
      </w:r>
      <w:r w:rsidRPr="004A0446">
        <w:rPr>
          <w:rFonts w:ascii="Abadi" w:hAnsi="Abadi" w:cs="Arial"/>
          <w:b/>
          <w:bCs/>
          <w:i/>
          <w:spacing w:val="-18"/>
          <w:w w:val="105"/>
          <w:sz w:val="21"/>
          <w:szCs w:val="21"/>
          <w:lang w:val="es-MX"/>
        </w:rPr>
        <w:t xml:space="preserve"> </w:t>
      </w:r>
      <w:r w:rsidRPr="004A0446">
        <w:rPr>
          <w:rFonts w:ascii="Abadi" w:hAnsi="Abadi" w:cs="Arial"/>
          <w:b/>
          <w:bCs/>
          <w:i/>
          <w:w w:val="105"/>
          <w:sz w:val="21"/>
          <w:szCs w:val="21"/>
          <w:lang w:val="es-MX"/>
        </w:rPr>
        <w:t>funcionamiento</w:t>
      </w:r>
      <w:r w:rsidRPr="004A0446">
        <w:rPr>
          <w:rFonts w:ascii="Abadi" w:hAnsi="Abadi" w:cs="Arial"/>
          <w:b/>
          <w:bCs/>
          <w:i/>
          <w:spacing w:val="-16"/>
          <w:w w:val="105"/>
          <w:sz w:val="21"/>
          <w:szCs w:val="21"/>
          <w:lang w:val="es-MX"/>
        </w:rPr>
        <w:t xml:space="preserve"> </w:t>
      </w:r>
      <w:r w:rsidRPr="004A0446">
        <w:rPr>
          <w:rFonts w:ascii="Abadi" w:hAnsi="Abadi" w:cs="Arial"/>
          <w:b/>
          <w:bCs/>
          <w:i/>
          <w:w w:val="105"/>
          <w:sz w:val="21"/>
          <w:szCs w:val="21"/>
          <w:lang w:val="es-MX"/>
        </w:rPr>
        <w:t>del</w:t>
      </w:r>
      <w:r w:rsidRPr="004A0446">
        <w:rPr>
          <w:rFonts w:ascii="Abadi" w:hAnsi="Abadi" w:cs="Arial"/>
          <w:b/>
          <w:bCs/>
          <w:i/>
          <w:spacing w:val="-15"/>
          <w:w w:val="105"/>
          <w:sz w:val="21"/>
          <w:szCs w:val="21"/>
          <w:lang w:val="es-MX"/>
        </w:rPr>
        <w:t xml:space="preserve"> </w:t>
      </w:r>
      <w:r w:rsidRPr="004A0446">
        <w:rPr>
          <w:rFonts w:ascii="Abadi" w:hAnsi="Abadi" w:cs="Arial"/>
          <w:b/>
          <w:bCs/>
          <w:i/>
          <w:w w:val="105"/>
          <w:sz w:val="21"/>
          <w:szCs w:val="21"/>
          <w:lang w:val="es-MX"/>
        </w:rPr>
        <w:t>Sistema</w:t>
      </w:r>
      <w:r w:rsidRPr="004A0446">
        <w:rPr>
          <w:rFonts w:ascii="Abadi" w:hAnsi="Abadi" w:cs="Arial"/>
          <w:b/>
          <w:bCs/>
          <w:i/>
          <w:spacing w:val="-5"/>
          <w:w w:val="105"/>
          <w:sz w:val="21"/>
          <w:szCs w:val="21"/>
          <w:lang w:val="es-MX"/>
        </w:rPr>
        <w:t xml:space="preserve"> </w:t>
      </w:r>
      <w:r w:rsidRPr="004A0446">
        <w:rPr>
          <w:rFonts w:ascii="Abadi" w:hAnsi="Abadi" w:cs="Arial"/>
          <w:b/>
          <w:bCs/>
          <w:i/>
          <w:w w:val="105"/>
          <w:sz w:val="21"/>
          <w:szCs w:val="21"/>
          <w:lang w:val="es-MX"/>
        </w:rPr>
        <w:t>Integral y</w:t>
      </w:r>
      <w:r w:rsidRPr="004A0446">
        <w:rPr>
          <w:rFonts w:ascii="Abadi" w:hAnsi="Abadi" w:cs="Arial"/>
          <w:b/>
          <w:bCs/>
          <w:w w:val="105"/>
          <w:sz w:val="21"/>
          <w:szCs w:val="21"/>
          <w:lang w:val="es-MX"/>
        </w:rPr>
        <w:t xml:space="preserve"> </w:t>
      </w:r>
      <w:r w:rsidRPr="004A0446">
        <w:rPr>
          <w:rFonts w:ascii="Abadi" w:hAnsi="Abadi" w:cs="Arial"/>
          <w:b/>
          <w:bCs/>
          <w:i/>
          <w:w w:val="105"/>
          <w:sz w:val="21"/>
          <w:szCs w:val="21"/>
          <w:lang w:val="es-MX"/>
        </w:rPr>
        <w:t xml:space="preserve">del Consejo Estatal: </w:t>
      </w:r>
      <w:r w:rsidRPr="004A0446">
        <w:rPr>
          <w:rFonts w:ascii="Abadi" w:hAnsi="Abadi" w:cs="Arial"/>
          <w:i/>
          <w:w w:val="105"/>
          <w:sz w:val="21"/>
          <w:szCs w:val="21"/>
          <w:lang w:val="es-MX"/>
        </w:rPr>
        <w:t>Dentro de los Capítulos I y II de la iniciativa, se indica la creación de un Sistema Integral para la Prevención del Suicidio, y en el Capítulo VI se contempla la creación de un Consejo Estatal para la Prevención del Suicidio. No obstante, la iniciativa omite referir la integración del Sistema, así como la operación y funcionamiento de ambas figuras, ni siquiera se establecen las bases para la expedición del Reglamento Interior citado en el artículo CUARTO transitorio. Los iniciantes se limitan a duplicar atribuciones para el Consejo y el Sistema, que actualmente se desempeñan a través de la Secretaría de Salud, de conformidad a lo que establece la Ley de Salud y la Ley Orgánica del Poder Ejecutivo, ambas del Estado de Guanajuato.</w:t>
      </w:r>
    </w:p>
    <w:p w14:paraId="18A04DDF" w14:textId="77777777" w:rsidR="00E3434F" w:rsidRPr="004A0446" w:rsidRDefault="00E3434F" w:rsidP="00F3730A">
      <w:pPr>
        <w:tabs>
          <w:tab w:val="left" w:pos="1418"/>
          <w:tab w:val="left" w:pos="1701"/>
          <w:tab w:val="left" w:pos="12898"/>
        </w:tabs>
        <w:spacing w:before="210"/>
        <w:ind w:left="1134" w:right="567"/>
        <w:jc w:val="both"/>
        <w:rPr>
          <w:rFonts w:ascii="Abadi" w:hAnsi="Abadi" w:cs="Arial"/>
          <w:i/>
          <w:w w:val="105"/>
          <w:sz w:val="21"/>
          <w:szCs w:val="21"/>
        </w:rPr>
      </w:pPr>
      <w:r w:rsidRPr="004A0446">
        <w:rPr>
          <w:rFonts w:ascii="Abadi" w:hAnsi="Abadi" w:cs="Arial"/>
          <w:i/>
          <w:w w:val="105"/>
          <w:sz w:val="21"/>
          <w:szCs w:val="21"/>
        </w:rPr>
        <w:t>Aunado a lo anterior, se observa que ambas figuras propuestas quedan superadas por el denominado Consejo Estatal de Salud Mental y Adicciones (CESMA), creado en diciembre del año 2021 mediante acuerdo gubernativo del Ejecutivo Estatal, con el objetivo de fortalecer la estrategia de salud mental y atender de manera integral el problema de la salud mental en Guanajuato, ya que se incorpora el trabajo que se ha venido implementando con la estrategia de Planet Youth. Por lo tanto y con la finalidad de evitar un incremento en la carga administrativa, presupuestal y de organización, el Sistema y Consejo propuesto por los iniciantes resultarían obsoletos.</w:t>
      </w:r>
    </w:p>
    <w:p w14:paraId="58D82EF0" w14:textId="77777777" w:rsidR="00E3434F" w:rsidRPr="004A0446" w:rsidRDefault="00E3434F" w:rsidP="00F3730A">
      <w:pPr>
        <w:spacing w:before="6"/>
        <w:ind w:right="567"/>
        <w:jc w:val="both"/>
        <w:rPr>
          <w:rFonts w:ascii="Abadi" w:hAnsi="Abadi" w:cs="Arial"/>
          <w:b/>
          <w:bCs/>
          <w:sz w:val="21"/>
          <w:szCs w:val="21"/>
          <w:lang w:val="es-MX"/>
        </w:rPr>
      </w:pPr>
    </w:p>
    <w:p w14:paraId="788D9F9A" w14:textId="77777777" w:rsidR="00E3434F" w:rsidRPr="004A0446" w:rsidRDefault="00E3434F" w:rsidP="00F3730A">
      <w:pPr>
        <w:widowControl w:val="0"/>
        <w:numPr>
          <w:ilvl w:val="0"/>
          <w:numId w:val="68"/>
        </w:numPr>
        <w:tabs>
          <w:tab w:val="left" w:pos="993"/>
          <w:tab w:val="left" w:pos="1276"/>
          <w:tab w:val="left" w:pos="1418"/>
        </w:tabs>
        <w:autoSpaceDE w:val="0"/>
        <w:autoSpaceDN w:val="0"/>
        <w:ind w:left="1134" w:right="567" w:firstLine="0"/>
        <w:jc w:val="both"/>
        <w:rPr>
          <w:rFonts w:ascii="Abadi" w:hAnsi="Abadi" w:cs="Arial"/>
          <w:i/>
          <w:w w:val="105"/>
          <w:sz w:val="21"/>
          <w:szCs w:val="21"/>
          <w:lang w:val="es-MX"/>
        </w:rPr>
      </w:pPr>
      <w:r w:rsidRPr="004A0446">
        <w:rPr>
          <w:rFonts w:ascii="Abadi" w:hAnsi="Abadi" w:cs="Arial"/>
          <w:b/>
          <w:i/>
          <w:sz w:val="21"/>
          <w:szCs w:val="21"/>
          <w:lang w:val="es-MX"/>
        </w:rPr>
        <w:t xml:space="preserve">Respecto de la responsabilidad y prohibiciones para los Medios de Comunicación: </w:t>
      </w:r>
      <w:r w:rsidRPr="004A0446">
        <w:rPr>
          <w:rFonts w:ascii="Abadi" w:hAnsi="Abadi" w:cs="Arial"/>
          <w:i/>
          <w:w w:val="105"/>
          <w:sz w:val="21"/>
          <w:szCs w:val="21"/>
          <w:lang w:val="es-MX"/>
        </w:rPr>
        <w:t>Las comunicación tradicional y digital juega un papel significativo en la sociedad al suministrar una amplia gama de información en una extensa variedad de formatos, de la misma forma pueden ejercen una fuerte influencia sobre las actitudes, creencias y comportamientos de la sociedad, por lo tanto resultaría un hecho afirmar que los medios de comunicación juegan un rol activo en la prevención del suicidio.</w:t>
      </w:r>
    </w:p>
    <w:p w14:paraId="6C30BECB" w14:textId="77777777" w:rsidR="00E3434F" w:rsidRPr="004A0446" w:rsidRDefault="00E3434F" w:rsidP="00F3730A">
      <w:pPr>
        <w:tabs>
          <w:tab w:val="left" w:pos="851"/>
        </w:tabs>
        <w:spacing w:before="6"/>
        <w:ind w:left="851" w:right="567" w:hanging="716"/>
        <w:jc w:val="both"/>
        <w:rPr>
          <w:rFonts w:ascii="Abadi" w:hAnsi="Abadi" w:cs="Arial"/>
          <w:b/>
          <w:bCs/>
          <w:i/>
          <w:w w:val="105"/>
          <w:sz w:val="21"/>
          <w:szCs w:val="21"/>
          <w:lang w:val="es-MX"/>
        </w:rPr>
      </w:pPr>
    </w:p>
    <w:p w14:paraId="251468A9" w14:textId="77777777" w:rsidR="00E3434F" w:rsidRPr="004A0446" w:rsidRDefault="00E3434F" w:rsidP="00F3730A">
      <w:pPr>
        <w:ind w:left="1134" w:right="567"/>
        <w:jc w:val="both"/>
        <w:rPr>
          <w:rFonts w:ascii="Abadi" w:hAnsi="Abadi" w:cs="Arial"/>
          <w:i/>
          <w:w w:val="105"/>
          <w:sz w:val="21"/>
          <w:szCs w:val="21"/>
        </w:rPr>
      </w:pPr>
      <w:r w:rsidRPr="004A0446">
        <w:rPr>
          <w:rFonts w:ascii="Abadi" w:hAnsi="Abadi" w:cs="Arial"/>
          <w:i/>
          <w:w w:val="105"/>
          <w:sz w:val="21"/>
          <w:szCs w:val="21"/>
        </w:rPr>
        <w:t>Sobre este punto, se considera excesiva y desmesurada la regulación contenida en el artículo 11 de la propuesta relativa a la responsabilidad de medios de comunicación. Además de observar que la responsabilidad resulta mayor que la adjudicada a instancias de la administración pública estatal y municipal. Debe considerarse que informar sobre el suicidio de manera apropiada, exacta y potencialmente útil a través de medios progresistas e inteligentes, puede prevenir una trágica pérdida de</w:t>
      </w:r>
      <w:r w:rsidRPr="004A0446">
        <w:rPr>
          <w:rFonts w:ascii="Abadi" w:hAnsi="Abadi" w:cs="Arial"/>
          <w:i/>
          <w:spacing w:val="-1"/>
          <w:sz w:val="21"/>
          <w:szCs w:val="21"/>
        </w:rPr>
        <w:t xml:space="preserve"> </w:t>
      </w:r>
      <w:r w:rsidRPr="004A0446">
        <w:rPr>
          <w:rFonts w:ascii="Abadi" w:hAnsi="Abadi" w:cs="Arial"/>
          <w:i/>
          <w:w w:val="105"/>
          <w:sz w:val="21"/>
          <w:szCs w:val="21"/>
        </w:rPr>
        <w:t>vidas. Por ello, aunque los medios de comunicación pueden tener una influencia en la conducta suicida, la influencia puede ser tanto perjudicial como preventiva, esto dependerá de las características y el tratamiento de la información elaborada.</w:t>
      </w:r>
    </w:p>
    <w:p w14:paraId="1AFFD910" w14:textId="77777777" w:rsidR="00E3434F" w:rsidRPr="004A0446" w:rsidRDefault="00E3434F" w:rsidP="00F3730A">
      <w:pPr>
        <w:spacing w:before="3"/>
        <w:ind w:right="567"/>
        <w:jc w:val="both"/>
        <w:rPr>
          <w:rFonts w:ascii="Abadi" w:hAnsi="Abadi" w:cs="Arial"/>
          <w:b/>
          <w:bCs/>
          <w:sz w:val="21"/>
          <w:szCs w:val="21"/>
          <w:lang w:val="es-MX"/>
        </w:rPr>
      </w:pPr>
    </w:p>
    <w:p w14:paraId="64370118" w14:textId="77777777" w:rsidR="00E3434F" w:rsidRPr="004A0446" w:rsidRDefault="00E3434F" w:rsidP="00F3730A">
      <w:pPr>
        <w:ind w:left="1134" w:right="567"/>
        <w:jc w:val="both"/>
        <w:rPr>
          <w:rFonts w:ascii="Abadi" w:hAnsi="Abadi" w:cs="Arial"/>
          <w:i/>
          <w:w w:val="105"/>
          <w:sz w:val="21"/>
          <w:szCs w:val="21"/>
        </w:rPr>
      </w:pPr>
      <w:r w:rsidRPr="004A0446">
        <w:rPr>
          <w:rFonts w:ascii="Abadi" w:hAnsi="Abadi" w:cs="Arial"/>
          <w:i/>
          <w:w w:val="105"/>
          <w:sz w:val="21"/>
          <w:szCs w:val="21"/>
        </w:rPr>
        <w:t>El suicidio es un tema es de interés periodístico y los medios de comunicación tienen derecho a informar sobre él de manera responsable. Para alcanzar el objetivo, la Organización Mundial de la Salud ha trabajado desde hace años en la elaboración de recomendaciones para que los medios informen de manera adecuada, exacta y útil, sobre la prevención de la pérdida de vidas con base en recomendaciones internacionales formuladas por expertos en la materia.</w:t>
      </w:r>
    </w:p>
    <w:p w14:paraId="2D31DE18" w14:textId="77777777" w:rsidR="00E3434F" w:rsidRPr="004A0446" w:rsidRDefault="00E3434F" w:rsidP="00F3730A">
      <w:pPr>
        <w:spacing w:before="10"/>
        <w:ind w:right="567"/>
        <w:jc w:val="both"/>
        <w:rPr>
          <w:rFonts w:ascii="Abadi" w:hAnsi="Abadi" w:cs="Arial"/>
          <w:b/>
          <w:bCs/>
          <w:i/>
          <w:w w:val="105"/>
          <w:sz w:val="21"/>
          <w:szCs w:val="21"/>
          <w:lang w:val="es-MX"/>
        </w:rPr>
      </w:pPr>
    </w:p>
    <w:p w14:paraId="6D221988" w14:textId="77777777" w:rsidR="00E3434F" w:rsidRPr="004A0446" w:rsidRDefault="00E3434F" w:rsidP="00F3730A">
      <w:pPr>
        <w:widowControl w:val="0"/>
        <w:numPr>
          <w:ilvl w:val="0"/>
          <w:numId w:val="68"/>
        </w:numPr>
        <w:tabs>
          <w:tab w:val="left" w:pos="1134"/>
        </w:tabs>
        <w:autoSpaceDE w:val="0"/>
        <w:autoSpaceDN w:val="0"/>
        <w:spacing w:before="233"/>
        <w:ind w:left="1134" w:right="567" w:firstLine="0"/>
        <w:jc w:val="both"/>
        <w:rPr>
          <w:rFonts w:ascii="Abadi" w:hAnsi="Abadi" w:cs="Arial"/>
          <w:i/>
          <w:w w:val="105"/>
          <w:sz w:val="21"/>
          <w:szCs w:val="21"/>
          <w:lang w:val="es-MX"/>
        </w:rPr>
      </w:pPr>
      <w:r w:rsidRPr="004A0446">
        <w:rPr>
          <w:rFonts w:ascii="Abadi" w:hAnsi="Abadi" w:cs="Arial"/>
          <w:b/>
          <w:i/>
          <w:sz w:val="21"/>
          <w:szCs w:val="21"/>
          <w:lang w:val="es-MX"/>
        </w:rPr>
        <w:t>Sobre la importancia de realizar un análisis jurídico profundo y un estudio sociológico</w:t>
      </w:r>
      <w:r w:rsidRPr="004A0446">
        <w:rPr>
          <w:rFonts w:ascii="Abadi" w:hAnsi="Abadi" w:cs="Arial"/>
          <w:b/>
          <w:i/>
          <w:spacing w:val="40"/>
          <w:sz w:val="21"/>
          <w:szCs w:val="21"/>
          <w:lang w:val="es-MX"/>
        </w:rPr>
        <w:t xml:space="preserve"> </w:t>
      </w:r>
      <w:r w:rsidRPr="004A0446">
        <w:rPr>
          <w:rFonts w:ascii="Abadi" w:hAnsi="Abadi" w:cs="Arial"/>
          <w:b/>
          <w:i/>
          <w:sz w:val="21"/>
          <w:szCs w:val="21"/>
          <w:lang w:val="es-MX"/>
        </w:rPr>
        <w:t>apropiado</w:t>
      </w:r>
      <w:r w:rsidRPr="004A0446">
        <w:rPr>
          <w:rFonts w:ascii="Abadi" w:hAnsi="Abadi" w:cs="Arial"/>
          <w:i/>
          <w:w w:val="105"/>
          <w:sz w:val="21"/>
          <w:szCs w:val="21"/>
          <w:lang w:val="es-MX"/>
        </w:rPr>
        <w:t>: En concordancia con el libro de Armonización Normativa del Dr. Arturo Garita, este Ayuntamiento estima necesario contar con un análisis jurídico profundo, conjuntado con el estudio sociológico en el que se involucre a personas que dedican su tiempo en favor de la prevención del suicidio, que han participado en programas de posvención o que han sido víctimas indirectas del suicidio en nuestro Estado, así como de las organizaciones enfocadas en la salud mental, pues se observa que los iniciantes no expresan datos formales, institucionales u oficiales en su análisis legislativo.</w:t>
      </w:r>
    </w:p>
    <w:p w14:paraId="503A55F0" w14:textId="77777777" w:rsidR="00E3434F" w:rsidRPr="004A0446" w:rsidRDefault="00E3434F" w:rsidP="00F3730A">
      <w:pPr>
        <w:spacing w:before="1"/>
        <w:ind w:right="567"/>
        <w:jc w:val="both"/>
        <w:rPr>
          <w:rFonts w:ascii="Abadi" w:hAnsi="Abadi" w:cs="Arial"/>
          <w:b/>
          <w:bCs/>
          <w:sz w:val="21"/>
          <w:szCs w:val="21"/>
          <w:lang w:val="es-MX"/>
        </w:rPr>
      </w:pPr>
    </w:p>
    <w:p w14:paraId="68FFC8CD" w14:textId="77777777" w:rsidR="00E3434F" w:rsidRPr="004A0446" w:rsidRDefault="00E3434F" w:rsidP="00F3730A">
      <w:pPr>
        <w:spacing w:before="1"/>
        <w:ind w:left="1134" w:right="567" w:firstLine="284"/>
        <w:jc w:val="both"/>
        <w:rPr>
          <w:rFonts w:ascii="Abadi" w:hAnsi="Abadi" w:cs="Arial"/>
          <w:i/>
          <w:sz w:val="21"/>
          <w:szCs w:val="21"/>
          <w:lang w:val="es-MX"/>
        </w:rPr>
      </w:pPr>
      <w:r w:rsidRPr="004A0446">
        <w:rPr>
          <w:rFonts w:ascii="Abadi" w:hAnsi="Abadi" w:cs="Arial"/>
          <w:i/>
          <w:w w:val="105"/>
          <w:sz w:val="21"/>
          <w:szCs w:val="21"/>
          <w:lang w:val="es-MX"/>
        </w:rPr>
        <w:t>En</w:t>
      </w:r>
      <w:r w:rsidRPr="004A0446">
        <w:rPr>
          <w:rFonts w:ascii="Abadi" w:hAnsi="Abadi" w:cs="Arial"/>
          <w:i/>
          <w:spacing w:val="-4"/>
          <w:w w:val="105"/>
          <w:sz w:val="21"/>
          <w:szCs w:val="21"/>
          <w:lang w:val="es-MX"/>
        </w:rPr>
        <w:t xml:space="preserve"> </w:t>
      </w:r>
      <w:r w:rsidRPr="004A0446">
        <w:rPr>
          <w:rFonts w:ascii="Abadi" w:hAnsi="Abadi" w:cs="Arial"/>
          <w:i/>
          <w:w w:val="105"/>
          <w:sz w:val="21"/>
          <w:szCs w:val="21"/>
          <w:lang w:val="es-MX"/>
        </w:rPr>
        <w:t>razón</w:t>
      </w:r>
      <w:r w:rsidRPr="004A0446">
        <w:rPr>
          <w:rFonts w:ascii="Abadi" w:hAnsi="Abadi" w:cs="Arial"/>
          <w:i/>
          <w:spacing w:val="-1"/>
          <w:w w:val="105"/>
          <w:sz w:val="21"/>
          <w:szCs w:val="21"/>
          <w:lang w:val="es-MX"/>
        </w:rPr>
        <w:t xml:space="preserve"> </w:t>
      </w:r>
      <w:r w:rsidRPr="004A0446">
        <w:rPr>
          <w:rFonts w:ascii="Abadi" w:hAnsi="Abadi" w:cs="Arial"/>
          <w:i/>
          <w:w w:val="105"/>
          <w:sz w:val="21"/>
          <w:szCs w:val="21"/>
          <w:lang w:val="es-MX"/>
        </w:rPr>
        <w:t>de</w:t>
      </w:r>
      <w:r w:rsidRPr="004A0446">
        <w:rPr>
          <w:rFonts w:ascii="Abadi" w:hAnsi="Abadi" w:cs="Arial"/>
          <w:i/>
          <w:spacing w:val="-4"/>
          <w:w w:val="105"/>
          <w:sz w:val="21"/>
          <w:szCs w:val="21"/>
          <w:lang w:val="es-MX"/>
        </w:rPr>
        <w:t xml:space="preserve"> </w:t>
      </w:r>
      <w:r w:rsidRPr="004A0446">
        <w:rPr>
          <w:rFonts w:ascii="Abadi" w:hAnsi="Abadi" w:cs="Arial"/>
          <w:i/>
          <w:w w:val="105"/>
          <w:sz w:val="21"/>
          <w:szCs w:val="21"/>
          <w:lang w:val="es-MX"/>
        </w:rPr>
        <w:t>todo</w:t>
      </w:r>
      <w:r w:rsidRPr="004A0446">
        <w:rPr>
          <w:rFonts w:ascii="Abadi" w:hAnsi="Abadi" w:cs="Arial"/>
          <w:i/>
          <w:spacing w:val="-1"/>
          <w:w w:val="105"/>
          <w:sz w:val="21"/>
          <w:szCs w:val="21"/>
          <w:lang w:val="es-MX"/>
        </w:rPr>
        <w:t xml:space="preserve"> </w:t>
      </w:r>
      <w:r w:rsidRPr="004A0446">
        <w:rPr>
          <w:rFonts w:ascii="Abadi" w:hAnsi="Abadi" w:cs="Arial"/>
          <w:i/>
          <w:w w:val="105"/>
          <w:sz w:val="21"/>
          <w:szCs w:val="21"/>
          <w:lang w:val="es-MX"/>
        </w:rPr>
        <w:t>lo</w:t>
      </w:r>
      <w:r w:rsidRPr="004A0446">
        <w:rPr>
          <w:rFonts w:ascii="Abadi" w:hAnsi="Abadi" w:cs="Arial"/>
          <w:i/>
          <w:spacing w:val="-4"/>
          <w:w w:val="105"/>
          <w:sz w:val="21"/>
          <w:szCs w:val="21"/>
          <w:lang w:val="es-MX"/>
        </w:rPr>
        <w:t xml:space="preserve"> </w:t>
      </w:r>
      <w:r w:rsidRPr="004A0446">
        <w:rPr>
          <w:rFonts w:ascii="Abadi" w:hAnsi="Abadi" w:cs="Arial"/>
          <w:i/>
          <w:w w:val="105"/>
          <w:sz w:val="21"/>
          <w:szCs w:val="21"/>
          <w:lang w:val="es-MX"/>
        </w:rPr>
        <w:t>anterior, aunque este Ayuntamiento es</w:t>
      </w:r>
      <w:r w:rsidRPr="004A0446">
        <w:rPr>
          <w:rFonts w:ascii="Abadi" w:hAnsi="Abadi" w:cs="Arial"/>
          <w:i/>
          <w:spacing w:val="-6"/>
          <w:w w:val="105"/>
          <w:sz w:val="21"/>
          <w:szCs w:val="21"/>
          <w:lang w:val="es-MX"/>
        </w:rPr>
        <w:t xml:space="preserve"> </w:t>
      </w:r>
      <w:r w:rsidRPr="004A0446">
        <w:rPr>
          <w:rFonts w:ascii="Abadi" w:hAnsi="Abadi" w:cs="Arial"/>
          <w:i/>
          <w:w w:val="105"/>
          <w:sz w:val="21"/>
          <w:szCs w:val="21"/>
          <w:lang w:val="es-MX"/>
        </w:rPr>
        <w:t>consciente que</w:t>
      </w:r>
      <w:r w:rsidRPr="004A0446">
        <w:rPr>
          <w:rFonts w:ascii="Abadi" w:hAnsi="Abadi" w:cs="Arial"/>
          <w:i/>
          <w:spacing w:val="-3"/>
          <w:w w:val="105"/>
          <w:sz w:val="21"/>
          <w:szCs w:val="21"/>
          <w:lang w:val="es-MX"/>
        </w:rPr>
        <w:t xml:space="preserve"> </w:t>
      </w:r>
      <w:r w:rsidRPr="004A0446">
        <w:rPr>
          <w:rFonts w:ascii="Abadi" w:hAnsi="Abadi" w:cs="Arial"/>
          <w:i/>
          <w:w w:val="105"/>
          <w:sz w:val="21"/>
          <w:szCs w:val="21"/>
          <w:lang w:val="es-MX"/>
        </w:rPr>
        <w:t>la</w:t>
      </w:r>
      <w:r w:rsidRPr="004A0446">
        <w:rPr>
          <w:rFonts w:ascii="Abadi" w:hAnsi="Abadi" w:cs="Arial"/>
          <w:i/>
          <w:spacing w:val="-7"/>
          <w:w w:val="105"/>
          <w:sz w:val="21"/>
          <w:szCs w:val="21"/>
          <w:lang w:val="es-MX"/>
        </w:rPr>
        <w:t xml:space="preserve"> </w:t>
      </w:r>
      <w:r w:rsidRPr="004A0446">
        <w:rPr>
          <w:rFonts w:ascii="Abadi" w:hAnsi="Abadi" w:cs="Arial"/>
          <w:i/>
          <w:w w:val="105"/>
          <w:sz w:val="21"/>
          <w:szCs w:val="21"/>
          <w:lang w:val="es-MX"/>
        </w:rPr>
        <w:t xml:space="preserve">salud mental se ha convertido en un problema grave como consecuencia del distanciamiento social y el incremento de las malas condiciones económicas, de igual forma somos </w:t>
      </w:r>
      <w:r w:rsidRPr="004A0446">
        <w:rPr>
          <w:rFonts w:ascii="Abadi" w:hAnsi="Abadi" w:cs="Arial"/>
          <w:i/>
          <w:spacing w:val="-2"/>
          <w:w w:val="105"/>
          <w:sz w:val="21"/>
          <w:szCs w:val="21"/>
          <w:lang w:val="es-MX"/>
        </w:rPr>
        <w:t>conscientes</w:t>
      </w:r>
      <w:r w:rsidRPr="004A0446">
        <w:rPr>
          <w:rFonts w:ascii="Abadi" w:hAnsi="Abadi" w:cs="Arial"/>
          <w:i/>
          <w:spacing w:val="-9"/>
          <w:w w:val="105"/>
          <w:sz w:val="21"/>
          <w:szCs w:val="21"/>
          <w:lang w:val="es-MX"/>
        </w:rPr>
        <w:t xml:space="preserve"> </w:t>
      </w:r>
      <w:r w:rsidRPr="004A0446">
        <w:rPr>
          <w:rFonts w:ascii="Abadi" w:hAnsi="Abadi" w:cs="Arial"/>
          <w:i/>
          <w:spacing w:val="-2"/>
          <w:w w:val="105"/>
          <w:sz w:val="21"/>
          <w:szCs w:val="21"/>
          <w:lang w:val="es-MX"/>
        </w:rPr>
        <w:t>de</w:t>
      </w:r>
      <w:r w:rsidRPr="004A0446">
        <w:rPr>
          <w:rFonts w:ascii="Abadi" w:hAnsi="Abadi" w:cs="Arial"/>
          <w:i/>
          <w:spacing w:val="-14"/>
          <w:w w:val="105"/>
          <w:sz w:val="21"/>
          <w:szCs w:val="21"/>
          <w:lang w:val="es-MX"/>
        </w:rPr>
        <w:t xml:space="preserve"> </w:t>
      </w:r>
      <w:r w:rsidRPr="004A0446">
        <w:rPr>
          <w:rFonts w:ascii="Abadi" w:hAnsi="Abadi" w:cs="Arial"/>
          <w:i/>
          <w:spacing w:val="-2"/>
          <w:w w:val="105"/>
          <w:sz w:val="21"/>
          <w:szCs w:val="21"/>
          <w:lang w:val="es-MX"/>
        </w:rPr>
        <w:t>la</w:t>
      </w:r>
      <w:r w:rsidRPr="004A0446">
        <w:rPr>
          <w:rFonts w:ascii="Abadi" w:hAnsi="Abadi" w:cs="Arial"/>
          <w:i/>
          <w:spacing w:val="-13"/>
          <w:w w:val="105"/>
          <w:sz w:val="21"/>
          <w:szCs w:val="21"/>
          <w:lang w:val="es-MX"/>
        </w:rPr>
        <w:t xml:space="preserve"> </w:t>
      </w:r>
      <w:r w:rsidRPr="004A0446">
        <w:rPr>
          <w:rFonts w:ascii="Abadi" w:hAnsi="Abadi" w:cs="Arial"/>
          <w:i/>
          <w:spacing w:val="-2"/>
          <w:w w:val="105"/>
          <w:sz w:val="21"/>
          <w:szCs w:val="21"/>
          <w:lang w:val="es-MX"/>
        </w:rPr>
        <w:t>responsabilidad</w:t>
      </w:r>
      <w:r w:rsidRPr="004A0446">
        <w:rPr>
          <w:rFonts w:ascii="Abadi" w:hAnsi="Abadi" w:cs="Arial"/>
          <w:i/>
          <w:spacing w:val="-15"/>
          <w:w w:val="105"/>
          <w:sz w:val="21"/>
          <w:szCs w:val="21"/>
          <w:lang w:val="es-MX"/>
        </w:rPr>
        <w:t xml:space="preserve"> </w:t>
      </w:r>
      <w:r w:rsidRPr="004A0446">
        <w:rPr>
          <w:rFonts w:ascii="Abadi" w:hAnsi="Abadi" w:cs="Arial"/>
          <w:i/>
          <w:spacing w:val="-2"/>
          <w:w w:val="105"/>
          <w:sz w:val="21"/>
          <w:szCs w:val="21"/>
          <w:lang w:val="es-MX"/>
        </w:rPr>
        <w:t>como</w:t>
      </w:r>
      <w:r w:rsidRPr="004A0446">
        <w:rPr>
          <w:rFonts w:ascii="Abadi" w:hAnsi="Abadi" w:cs="Arial"/>
          <w:i/>
          <w:spacing w:val="-5"/>
          <w:w w:val="105"/>
          <w:sz w:val="21"/>
          <w:szCs w:val="21"/>
          <w:lang w:val="es-MX"/>
        </w:rPr>
        <w:t xml:space="preserve"> </w:t>
      </w:r>
      <w:r w:rsidRPr="004A0446">
        <w:rPr>
          <w:rFonts w:ascii="Abadi" w:hAnsi="Abadi" w:cs="Arial"/>
          <w:i/>
          <w:spacing w:val="-2"/>
          <w:w w:val="105"/>
          <w:sz w:val="21"/>
          <w:szCs w:val="21"/>
          <w:lang w:val="es-MX"/>
        </w:rPr>
        <w:t>Municipio para</w:t>
      </w:r>
      <w:r w:rsidRPr="004A0446">
        <w:rPr>
          <w:rFonts w:ascii="Abadi" w:hAnsi="Abadi" w:cs="Arial"/>
          <w:i/>
          <w:spacing w:val="-10"/>
          <w:w w:val="105"/>
          <w:sz w:val="21"/>
          <w:szCs w:val="21"/>
          <w:lang w:val="es-MX"/>
        </w:rPr>
        <w:t xml:space="preserve"> </w:t>
      </w:r>
      <w:r w:rsidRPr="004A0446">
        <w:rPr>
          <w:rFonts w:ascii="Abadi" w:hAnsi="Abadi" w:cs="Arial"/>
          <w:i/>
          <w:spacing w:val="-2"/>
          <w:w w:val="105"/>
          <w:sz w:val="21"/>
          <w:szCs w:val="21"/>
          <w:lang w:val="es-MX"/>
        </w:rPr>
        <w:t>implementar programas de</w:t>
      </w:r>
      <w:r w:rsidRPr="004A0446">
        <w:rPr>
          <w:rFonts w:ascii="Abadi" w:hAnsi="Abadi" w:cs="Arial"/>
          <w:i/>
          <w:spacing w:val="-14"/>
          <w:w w:val="105"/>
          <w:sz w:val="21"/>
          <w:szCs w:val="21"/>
          <w:lang w:val="es-MX"/>
        </w:rPr>
        <w:t xml:space="preserve"> </w:t>
      </w:r>
      <w:r w:rsidRPr="004A0446">
        <w:rPr>
          <w:rFonts w:ascii="Abadi" w:hAnsi="Abadi" w:cs="Arial"/>
          <w:i/>
          <w:spacing w:val="-2"/>
          <w:w w:val="105"/>
          <w:sz w:val="21"/>
          <w:szCs w:val="21"/>
          <w:lang w:val="es-MX"/>
        </w:rPr>
        <w:t xml:space="preserve">atención </w:t>
      </w:r>
      <w:r w:rsidRPr="004A0446">
        <w:rPr>
          <w:rFonts w:ascii="Abadi" w:hAnsi="Abadi" w:cs="Arial"/>
          <w:i/>
          <w:w w:val="105"/>
          <w:sz w:val="21"/>
          <w:szCs w:val="21"/>
          <w:lang w:val="es-MX"/>
        </w:rPr>
        <w:t>a</w:t>
      </w:r>
      <w:r w:rsidRPr="004A0446">
        <w:rPr>
          <w:rFonts w:ascii="Abadi" w:hAnsi="Abadi" w:cs="Arial"/>
          <w:i/>
          <w:spacing w:val="-4"/>
          <w:w w:val="105"/>
          <w:sz w:val="21"/>
          <w:szCs w:val="21"/>
          <w:lang w:val="es-MX"/>
        </w:rPr>
        <w:t xml:space="preserve"> </w:t>
      </w:r>
      <w:r w:rsidRPr="004A0446">
        <w:rPr>
          <w:rFonts w:ascii="Abadi" w:hAnsi="Abadi" w:cs="Arial"/>
          <w:i/>
          <w:w w:val="105"/>
          <w:sz w:val="21"/>
          <w:szCs w:val="21"/>
          <w:lang w:val="es-MX"/>
        </w:rPr>
        <w:t>la</w:t>
      </w:r>
      <w:r w:rsidRPr="004A0446">
        <w:rPr>
          <w:rFonts w:ascii="Abadi" w:hAnsi="Abadi" w:cs="Arial"/>
          <w:i/>
          <w:spacing w:val="-2"/>
          <w:w w:val="105"/>
          <w:sz w:val="21"/>
          <w:szCs w:val="21"/>
          <w:lang w:val="es-MX"/>
        </w:rPr>
        <w:t xml:space="preserve"> </w:t>
      </w:r>
      <w:r w:rsidRPr="004A0446">
        <w:rPr>
          <w:rFonts w:ascii="Abadi" w:hAnsi="Abadi" w:cs="Arial"/>
          <w:i/>
          <w:w w:val="105"/>
          <w:sz w:val="21"/>
          <w:szCs w:val="21"/>
          <w:lang w:val="es-MX"/>
        </w:rPr>
        <w:t>salud mental, emocional y de</w:t>
      </w:r>
      <w:r w:rsidRPr="004A0446">
        <w:rPr>
          <w:rFonts w:ascii="Abadi" w:hAnsi="Abadi" w:cs="Arial"/>
          <w:i/>
          <w:spacing w:val="-7"/>
          <w:w w:val="105"/>
          <w:sz w:val="21"/>
          <w:szCs w:val="21"/>
          <w:lang w:val="es-MX"/>
        </w:rPr>
        <w:t xml:space="preserve"> </w:t>
      </w:r>
      <w:r w:rsidRPr="004A0446">
        <w:rPr>
          <w:rFonts w:ascii="Abadi" w:hAnsi="Abadi" w:cs="Arial"/>
          <w:i/>
          <w:w w:val="105"/>
          <w:sz w:val="21"/>
          <w:szCs w:val="21"/>
          <w:lang w:val="es-MX"/>
        </w:rPr>
        <w:t>prevención del suicidio, con énfasis en adolescentes, y con</w:t>
      </w:r>
      <w:r w:rsidRPr="004A0446">
        <w:rPr>
          <w:rFonts w:ascii="Abadi" w:hAnsi="Abadi" w:cs="Arial"/>
          <w:i/>
          <w:spacing w:val="-7"/>
          <w:w w:val="105"/>
          <w:sz w:val="21"/>
          <w:szCs w:val="21"/>
          <w:lang w:val="es-MX"/>
        </w:rPr>
        <w:t xml:space="preserve"> </w:t>
      </w:r>
      <w:r w:rsidRPr="004A0446">
        <w:rPr>
          <w:rFonts w:ascii="Abadi" w:hAnsi="Abadi" w:cs="Arial"/>
          <w:i/>
          <w:w w:val="105"/>
          <w:sz w:val="21"/>
          <w:szCs w:val="21"/>
          <w:lang w:val="es-MX"/>
        </w:rPr>
        <w:t>apoyo</w:t>
      </w:r>
      <w:r w:rsidRPr="004A0446">
        <w:rPr>
          <w:rFonts w:ascii="Abadi" w:hAnsi="Abadi" w:cs="Arial"/>
          <w:i/>
          <w:spacing w:val="-5"/>
          <w:w w:val="105"/>
          <w:sz w:val="21"/>
          <w:szCs w:val="21"/>
          <w:lang w:val="es-MX"/>
        </w:rPr>
        <w:t xml:space="preserve"> </w:t>
      </w:r>
      <w:r w:rsidRPr="004A0446">
        <w:rPr>
          <w:rFonts w:ascii="Abadi" w:hAnsi="Abadi" w:cs="Arial"/>
          <w:i/>
          <w:w w:val="105"/>
          <w:sz w:val="21"/>
          <w:szCs w:val="21"/>
          <w:lang w:val="es-MX"/>
        </w:rPr>
        <w:t>del</w:t>
      </w:r>
      <w:r w:rsidRPr="004A0446">
        <w:rPr>
          <w:rFonts w:ascii="Abadi" w:hAnsi="Abadi" w:cs="Arial"/>
          <w:i/>
          <w:spacing w:val="-9"/>
          <w:w w:val="105"/>
          <w:sz w:val="21"/>
          <w:szCs w:val="21"/>
          <w:lang w:val="es-MX"/>
        </w:rPr>
        <w:t xml:space="preserve"> </w:t>
      </w:r>
      <w:r w:rsidRPr="004A0446">
        <w:rPr>
          <w:rFonts w:ascii="Abadi" w:hAnsi="Abadi" w:cs="Arial"/>
          <w:i/>
          <w:w w:val="105"/>
          <w:sz w:val="21"/>
          <w:szCs w:val="21"/>
          <w:lang w:val="es-MX"/>
        </w:rPr>
        <w:t>entorno</w:t>
      </w:r>
      <w:r w:rsidRPr="004A0446">
        <w:rPr>
          <w:rFonts w:ascii="Abadi" w:hAnsi="Abadi" w:cs="Arial"/>
          <w:i/>
          <w:spacing w:val="-4"/>
          <w:w w:val="105"/>
          <w:sz w:val="21"/>
          <w:szCs w:val="21"/>
          <w:lang w:val="es-MX"/>
        </w:rPr>
        <w:t xml:space="preserve"> </w:t>
      </w:r>
      <w:r w:rsidRPr="004A0446">
        <w:rPr>
          <w:rFonts w:ascii="Abadi" w:hAnsi="Abadi" w:cs="Arial"/>
          <w:i/>
          <w:w w:val="105"/>
          <w:sz w:val="21"/>
          <w:szCs w:val="21"/>
          <w:lang w:val="es-MX"/>
        </w:rPr>
        <w:t>familiar</w:t>
      </w:r>
      <w:r w:rsidRPr="004A0446">
        <w:rPr>
          <w:rFonts w:ascii="Abadi" w:hAnsi="Abadi" w:cs="Arial"/>
          <w:i/>
          <w:spacing w:val="-5"/>
          <w:w w:val="105"/>
          <w:sz w:val="21"/>
          <w:szCs w:val="21"/>
          <w:lang w:val="es-MX"/>
        </w:rPr>
        <w:t xml:space="preserve"> </w:t>
      </w:r>
      <w:r w:rsidRPr="004A0446">
        <w:rPr>
          <w:rFonts w:ascii="Abadi" w:hAnsi="Abadi" w:cs="Arial"/>
          <w:i/>
          <w:w w:val="105"/>
          <w:sz w:val="21"/>
          <w:szCs w:val="21"/>
          <w:lang w:val="es-MX"/>
        </w:rPr>
        <w:t>y</w:t>
      </w:r>
      <w:r w:rsidRPr="004A0446">
        <w:rPr>
          <w:rFonts w:ascii="Abadi" w:hAnsi="Abadi" w:cs="Arial"/>
          <w:i/>
          <w:spacing w:val="-8"/>
          <w:w w:val="105"/>
          <w:sz w:val="21"/>
          <w:szCs w:val="21"/>
          <w:lang w:val="es-MX"/>
        </w:rPr>
        <w:t xml:space="preserve"> </w:t>
      </w:r>
      <w:r w:rsidRPr="004A0446">
        <w:rPr>
          <w:rFonts w:ascii="Abadi" w:hAnsi="Abadi" w:cs="Arial"/>
          <w:i/>
          <w:w w:val="105"/>
          <w:sz w:val="21"/>
          <w:szCs w:val="21"/>
          <w:lang w:val="es-MX"/>
        </w:rPr>
        <w:t>comunitario,</w:t>
      </w:r>
      <w:r w:rsidRPr="004A0446">
        <w:rPr>
          <w:rFonts w:ascii="Abadi" w:hAnsi="Abadi" w:cs="Arial"/>
          <w:i/>
          <w:spacing w:val="12"/>
          <w:w w:val="105"/>
          <w:sz w:val="21"/>
          <w:szCs w:val="21"/>
          <w:lang w:val="es-MX"/>
        </w:rPr>
        <w:t xml:space="preserve"> </w:t>
      </w:r>
      <w:r w:rsidRPr="004A0446">
        <w:rPr>
          <w:rFonts w:ascii="Abadi" w:hAnsi="Abadi" w:cs="Arial"/>
          <w:i/>
          <w:w w:val="105"/>
          <w:sz w:val="21"/>
          <w:szCs w:val="21"/>
          <w:lang w:val="es-MX"/>
        </w:rPr>
        <w:t>tal</w:t>
      </w:r>
      <w:r w:rsidRPr="004A0446">
        <w:rPr>
          <w:rFonts w:ascii="Abadi" w:hAnsi="Abadi" w:cs="Arial"/>
          <w:i/>
          <w:spacing w:val="-11"/>
          <w:w w:val="105"/>
          <w:sz w:val="21"/>
          <w:szCs w:val="21"/>
          <w:lang w:val="es-MX"/>
        </w:rPr>
        <w:t xml:space="preserve"> </w:t>
      </w:r>
      <w:r w:rsidRPr="004A0446">
        <w:rPr>
          <w:rFonts w:ascii="Abadi" w:hAnsi="Abadi" w:cs="Arial"/>
          <w:i/>
          <w:w w:val="105"/>
          <w:sz w:val="21"/>
          <w:szCs w:val="21"/>
          <w:lang w:val="es-MX"/>
        </w:rPr>
        <w:t>como</w:t>
      </w:r>
      <w:r w:rsidRPr="004A0446">
        <w:rPr>
          <w:rFonts w:ascii="Abadi" w:hAnsi="Abadi" w:cs="Arial"/>
          <w:i/>
          <w:spacing w:val="-3"/>
          <w:w w:val="105"/>
          <w:sz w:val="21"/>
          <w:szCs w:val="21"/>
          <w:lang w:val="es-MX"/>
        </w:rPr>
        <w:t xml:space="preserve"> </w:t>
      </w:r>
      <w:r w:rsidRPr="004A0446">
        <w:rPr>
          <w:rFonts w:ascii="Abadi" w:hAnsi="Abadi" w:cs="Arial"/>
          <w:i/>
          <w:w w:val="105"/>
          <w:sz w:val="21"/>
          <w:szCs w:val="21"/>
          <w:lang w:val="es-MX"/>
        </w:rPr>
        <w:t>se</w:t>
      </w:r>
      <w:r w:rsidRPr="004A0446">
        <w:rPr>
          <w:rFonts w:ascii="Abadi" w:hAnsi="Abadi" w:cs="Arial"/>
          <w:i/>
          <w:spacing w:val="-12"/>
          <w:w w:val="105"/>
          <w:sz w:val="21"/>
          <w:szCs w:val="21"/>
          <w:lang w:val="es-MX"/>
        </w:rPr>
        <w:t xml:space="preserve"> </w:t>
      </w:r>
      <w:r w:rsidRPr="004A0446">
        <w:rPr>
          <w:rFonts w:ascii="Abadi" w:hAnsi="Abadi" w:cs="Arial"/>
          <w:i/>
          <w:w w:val="105"/>
          <w:sz w:val="21"/>
          <w:szCs w:val="21"/>
          <w:lang w:val="es-MX"/>
        </w:rPr>
        <w:t>contempla</w:t>
      </w:r>
      <w:r w:rsidRPr="004A0446">
        <w:rPr>
          <w:rFonts w:ascii="Abadi" w:hAnsi="Abadi" w:cs="Arial"/>
          <w:i/>
          <w:spacing w:val="3"/>
          <w:w w:val="105"/>
          <w:sz w:val="21"/>
          <w:szCs w:val="21"/>
          <w:lang w:val="es-MX"/>
        </w:rPr>
        <w:t xml:space="preserve"> </w:t>
      </w:r>
      <w:r w:rsidRPr="004A0446">
        <w:rPr>
          <w:rFonts w:ascii="Abadi" w:hAnsi="Abadi" w:cs="Arial"/>
          <w:i/>
          <w:w w:val="105"/>
          <w:sz w:val="21"/>
          <w:szCs w:val="21"/>
          <w:lang w:val="es-MX"/>
        </w:rPr>
        <w:t>en</w:t>
      </w:r>
      <w:r w:rsidRPr="004A0446">
        <w:rPr>
          <w:rFonts w:ascii="Abadi" w:hAnsi="Abadi" w:cs="Arial"/>
          <w:i/>
          <w:spacing w:val="-8"/>
          <w:w w:val="105"/>
          <w:sz w:val="21"/>
          <w:szCs w:val="21"/>
          <w:lang w:val="es-MX"/>
        </w:rPr>
        <w:t xml:space="preserve"> </w:t>
      </w:r>
      <w:r w:rsidRPr="004A0446">
        <w:rPr>
          <w:rFonts w:ascii="Abadi" w:hAnsi="Abadi" w:cs="Arial"/>
          <w:i/>
          <w:w w:val="105"/>
          <w:sz w:val="21"/>
          <w:szCs w:val="21"/>
          <w:lang w:val="es-MX"/>
        </w:rPr>
        <w:t>nuestro</w:t>
      </w:r>
      <w:r w:rsidRPr="004A0446">
        <w:rPr>
          <w:rFonts w:ascii="Abadi" w:hAnsi="Abadi" w:cs="Arial"/>
          <w:i/>
          <w:spacing w:val="-1"/>
          <w:w w:val="105"/>
          <w:sz w:val="21"/>
          <w:szCs w:val="21"/>
          <w:lang w:val="es-MX"/>
        </w:rPr>
        <w:t xml:space="preserve"> </w:t>
      </w:r>
      <w:r w:rsidRPr="004A0446">
        <w:rPr>
          <w:rFonts w:ascii="Abadi" w:hAnsi="Abadi" w:cs="Arial"/>
          <w:i/>
          <w:spacing w:val="-2"/>
          <w:w w:val="105"/>
          <w:sz w:val="21"/>
          <w:szCs w:val="21"/>
          <w:lang w:val="es-MX"/>
        </w:rPr>
        <w:t>Programa de</w:t>
      </w:r>
      <w:r w:rsidRPr="004A0446">
        <w:rPr>
          <w:rFonts w:ascii="Abadi" w:hAnsi="Abadi" w:cs="Arial"/>
          <w:i/>
          <w:spacing w:val="-15"/>
          <w:w w:val="105"/>
          <w:sz w:val="21"/>
          <w:szCs w:val="21"/>
          <w:lang w:val="es-MX"/>
        </w:rPr>
        <w:t xml:space="preserve"> </w:t>
      </w:r>
      <w:r w:rsidRPr="004A0446">
        <w:rPr>
          <w:rFonts w:ascii="Abadi" w:hAnsi="Abadi" w:cs="Arial"/>
          <w:i/>
          <w:spacing w:val="-2"/>
          <w:w w:val="105"/>
          <w:sz w:val="21"/>
          <w:szCs w:val="21"/>
          <w:lang w:val="es-MX"/>
        </w:rPr>
        <w:t>Gobierno Municipal 2021</w:t>
      </w:r>
      <w:r w:rsidRPr="004A0446">
        <w:rPr>
          <w:rFonts w:ascii="Abadi" w:hAnsi="Abadi" w:cs="Arial"/>
          <w:i/>
          <w:spacing w:val="-15"/>
          <w:w w:val="105"/>
          <w:sz w:val="21"/>
          <w:szCs w:val="21"/>
          <w:lang w:val="es-MX"/>
        </w:rPr>
        <w:t xml:space="preserve"> </w:t>
      </w:r>
      <w:r w:rsidRPr="004A0446">
        <w:rPr>
          <w:rFonts w:ascii="Abadi" w:hAnsi="Abadi" w:cs="Arial"/>
          <w:i/>
          <w:spacing w:val="-2"/>
          <w:w w:val="105"/>
          <w:sz w:val="21"/>
          <w:szCs w:val="21"/>
          <w:lang w:val="es-MX"/>
        </w:rPr>
        <w:t>-</w:t>
      </w:r>
      <w:r w:rsidRPr="004A0446">
        <w:rPr>
          <w:rFonts w:ascii="Abadi" w:hAnsi="Abadi" w:cs="Arial"/>
          <w:i/>
          <w:spacing w:val="-7"/>
          <w:w w:val="105"/>
          <w:sz w:val="21"/>
          <w:szCs w:val="21"/>
          <w:lang w:val="es-MX"/>
        </w:rPr>
        <w:t xml:space="preserve"> </w:t>
      </w:r>
      <w:r w:rsidRPr="004A0446">
        <w:rPr>
          <w:rFonts w:ascii="Abadi" w:hAnsi="Abadi" w:cs="Arial"/>
          <w:i/>
          <w:spacing w:val="-2"/>
          <w:w w:val="105"/>
          <w:sz w:val="21"/>
          <w:szCs w:val="21"/>
          <w:lang w:val="es-MX"/>
        </w:rPr>
        <w:t>2024</w:t>
      </w:r>
      <w:r w:rsidRPr="004A0446">
        <w:rPr>
          <w:rFonts w:ascii="Abadi" w:hAnsi="Abadi" w:cs="Arial"/>
          <w:i/>
          <w:spacing w:val="-14"/>
          <w:w w:val="105"/>
          <w:sz w:val="21"/>
          <w:szCs w:val="21"/>
          <w:lang w:val="es-MX"/>
        </w:rPr>
        <w:t xml:space="preserve"> </w:t>
      </w:r>
      <w:r w:rsidRPr="004A0446">
        <w:rPr>
          <w:rFonts w:ascii="Abadi" w:hAnsi="Abadi" w:cs="Arial"/>
          <w:i/>
          <w:spacing w:val="-2"/>
          <w:w w:val="105"/>
          <w:sz w:val="21"/>
          <w:szCs w:val="21"/>
          <w:lang w:val="es-MX"/>
        </w:rPr>
        <w:t>a</w:t>
      </w:r>
      <w:r w:rsidRPr="004A0446">
        <w:rPr>
          <w:rFonts w:ascii="Abadi" w:hAnsi="Abadi" w:cs="Arial"/>
          <w:i/>
          <w:spacing w:val="-16"/>
          <w:w w:val="105"/>
          <w:sz w:val="21"/>
          <w:szCs w:val="21"/>
          <w:lang w:val="es-MX"/>
        </w:rPr>
        <w:t xml:space="preserve"> </w:t>
      </w:r>
      <w:r w:rsidRPr="004A0446">
        <w:rPr>
          <w:rFonts w:ascii="Abadi" w:hAnsi="Abadi" w:cs="Arial"/>
          <w:i/>
          <w:spacing w:val="-2"/>
          <w:w w:val="105"/>
          <w:sz w:val="21"/>
          <w:szCs w:val="21"/>
          <w:lang w:val="es-MX"/>
        </w:rPr>
        <w:t>través</w:t>
      </w:r>
      <w:r w:rsidRPr="004A0446">
        <w:rPr>
          <w:rFonts w:ascii="Abadi" w:hAnsi="Abadi" w:cs="Arial"/>
          <w:i/>
          <w:spacing w:val="-12"/>
          <w:w w:val="105"/>
          <w:sz w:val="21"/>
          <w:szCs w:val="21"/>
          <w:lang w:val="es-MX"/>
        </w:rPr>
        <w:t xml:space="preserve"> </w:t>
      </w:r>
      <w:r w:rsidRPr="004A0446">
        <w:rPr>
          <w:rFonts w:ascii="Abadi" w:hAnsi="Abadi" w:cs="Arial"/>
          <w:i/>
          <w:spacing w:val="-2"/>
          <w:w w:val="105"/>
          <w:sz w:val="21"/>
          <w:szCs w:val="21"/>
          <w:lang w:val="es-MX"/>
        </w:rPr>
        <w:t>de</w:t>
      </w:r>
      <w:r w:rsidRPr="004A0446">
        <w:rPr>
          <w:rFonts w:ascii="Abadi" w:hAnsi="Abadi" w:cs="Arial"/>
          <w:i/>
          <w:spacing w:val="-14"/>
          <w:w w:val="105"/>
          <w:sz w:val="21"/>
          <w:szCs w:val="21"/>
          <w:lang w:val="es-MX"/>
        </w:rPr>
        <w:t xml:space="preserve"> </w:t>
      </w:r>
      <w:r w:rsidRPr="004A0446">
        <w:rPr>
          <w:rFonts w:ascii="Abadi" w:hAnsi="Abadi" w:cs="Arial"/>
          <w:i/>
          <w:spacing w:val="-2"/>
          <w:w w:val="105"/>
          <w:sz w:val="21"/>
          <w:szCs w:val="21"/>
          <w:lang w:val="es-MX"/>
        </w:rPr>
        <w:t>la</w:t>
      </w:r>
      <w:r w:rsidRPr="004A0446">
        <w:rPr>
          <w:rFonts w:ascii="Abadi" w:hAnsi="Abadi" w:cs="Arial"/>
          <w:i/>
          <w:spacing w:val="-13"/>
          <w:w w:val="105"/>
          <w:sz w:val="21"/>
          <w:szCs w:val="21"/>
          <w:lang w:val="es-MX"/>
        </w:rPr>
        <w:t xml:space="preserve"> </w:t>
      </w:r>
      <w:r w:rsidRPr="004A0446">
        <w:rPr>
          <w:rFonts w:ascii="Abadi" w:hAnsi="Abadi" w:cs="Arial"/>
          <w:i/>
          <w:spacing w:val="-2"/>
          <w:w w:val="105"/>
          <w:sz w:val="21"/>
          <w:szCs w:val="21"/>
          <w:lang w:val="es-MX"/>
        </w:rPr>
        <w:t>Estrategia</w:t>
      </w:r>
      <w:r w:rsidRPr="004A0446">
        <w:rPr>
          <w:rFonts w:ascii="Abadi" w:hAnsi="Abadi" w:cs="Arial"/>
          <w:i/>
          <w:spacing w:val="-1"/>
          <w:w w:val="105"/>
          <w:sz w:val="21"/>
          <w:szCs w:val="21"/>
          <w:lang w:val="es-MX"/>
        </w:rPr>
        <w:t xml:space="preserve"> </w:t>
      </w:r>
      <w:r w:rsidRPr="004A0446">
        <w:rPr>
          <w:rFonts w:ascii="Abadi" w:hAnsi="Abadi" w:cs="Arial"/>
          <w:i/>
          <w:spacing w:val="-2"/>
          <w:w w:val="105"/>
          <w:sz w:val="21"/>
          <w:szCs w:val="21"/>
          <w:lang w:val="es-MX"/>
        </w:rPr>
        <w:t>de</w:t>
      </w:r>
      <w:r w:rsidRPr="004A0446">
        <w:rPr>
          <w:rFonts w:ascii="Abadi" w:hAnsi="Abadi" w:cs="Arial"/>
          <w:i/>
          <w:spacing w:val="-15"/>
          <w:w w:val="105"/>
          <w:sz w:val="21"/>
          <w:szCs w:val="21"/>
          <w:lang w:val="es-MX"/>
        </w:rPr>
        <w:t xml:space="preserve"> </w:t>
      </w:r>
      <w:r w:rsidRPr="004A0446">
        <w:rPr>
          <w:rFonts w:ascii="Abadi" w:hAnsi="Abadi" w:cs="Arial"/>
          <w:i/>
          <w:spacing w:val="-2"/>
          <w:w w:val="105"/>
          <w:sz w:val="21"/>
          <w:szCs w:val="21"/>
          <w:lang w:val="es-MX"/>
        </w:rPr>
        <w:t>Atención</w:t>
      </w:r>
      <w:r w:rsidRPr="004A0446">
        <w:rPr>
          <w:rFonts w:ascii="Abadi" w:hAnsi="Abadi" w:cs="Arial"/>
          <w:i/>
          <w:spacing w:val="-1"/>
          <w:w w:val="105"/>
          <w:sz w:val="21"/>
          <w:szCs w:val="21"/>
          <w:lang w:val="es-MX"/>
        </w:rPr>
        <w:t xml:space="preserve"> </w:t>
      </w:r>
      <w:r w:rsidRPr="004A0446">
        <w:rPr>
          <w:rFonts w:ascii="Abadi" w:hAnsi="Abadi" w:cs="Arial"/>
          <w:i/>
          <w:spacing w:val="-2"/>
          <w:w w:val="105"/>
          <w:sz w:val="21"/>
          <w:szCs w:val="21"/>
          <w:lang w:val="es-MX"/>
        </w:rPr>
        <w:t>a</w:t>
      </w:r>
      <w:r w:rsidRPr="004A0446">
        <w:rPr>
          <w:rFonts w:ascii="Abadi" w:hAnsi="Abadi" w:cs="Arial"/>
          <w:i/>
          <w:spacing w:val="-15"/>
          <w:w w:val="105"/>
          <w:sz w:val="21"/>
          <w:szCs w:val="21"/>
          <w:lang w:val="es-MX"/>
        </w:rPr>
        <w:t xml:space="preserve"> </w:t>
      </w:r>
      <w:r w:rsidRPr="004A0446">
        <w:rPr>
          <w:rFonts w:ascii="Abadi" w:hAnsi="Abadi" w:cs="Arial"/>
          <w:i/>
          <w:spacing w:val="-2"/>
          <w:w w:val="105"/>
          <w:sz w:val="21"/>
          <w:szCs w:val="21"/>
          <w:lang w:val="es-MX"/>
        </w:rPr>
        <w:t>la</w:t>
      </w:r>
      <w:r w:rsidRPr="004A0446">
        <w:rPr>
          <w:rFonts w:ascii="Abadi" w:hAnsi="Abadi" w:cs="Arial"/>
          <w:i/>
          <w:spacing w:val="-15"/>
          <w:w w:val="105"/>
          <w:sz w:val="21"/>
          <w:szCs w:val="21"/>
          <w:lang w:val="es-MX"/>
        </w:rPr>
        <w:t xml:space="preserve"> </w:t>
      </w:r>
      <w:r w:rsidRPr="004A0446">
        <w:rPr>
          <w:rFonts w:ascii="Abadi" w:hAnsi="Abadi" w:cs="Arial"/>
          <w:i/>
          <w:spacing w:val="-2"/>
          <w:w w:val="105"/>
          <w:sz w:val="21"/>
          <w:szCs w:val="21"/>
          <w:lang w:val="es-MX"/>
        </w:rPr>
        <w:t>Salud</w:t>
      </w:r>
      <w:r w:rsidRPr="004A0446">
        <w:rPr>
          <w:rFonts w:ascii="Abadi" w:hAnsi="Abadi" w:cs="Arial"/>
          <w:i/>
          <w:spacing w:val="-1"/>
          <w:w w:val="105"/>
          <w:sz w:val="21"/>
          <w:szCs w:val="21"/>
          <w:lang w:val="es-MX"/>
        </w:rPr>
        <w:t xml:space="preserve"> </w:t>
      </w:r>
      <w:r w:rsidRPr="004A0446">
        <w:rPr>
          <w:rFonts w:ascii="Abadi" w:hAnsi="Abadi" w:cs="Arial"/>
          <w:i/>
          <w:spacing w:val="-2"/>
          <w:w w:val="105"/>
          <w:sz w:val="21"/>
          <w:szCs w:val="21"/>
          <w:lang w:val="es-MX"/>
        </w:rPr>
        <w:t xml:space="preserve">Mental </w:t>
      </w:r>
      <w:r w:rsidRPr="004A0446">
        <w:rPr>
          <w:rFonts w:ascii="Abadi" w:hAnsi="Abadi" w:cs="Arial"/>
          <w:i/>
          <w:w w:val="105"/>
          <w:sz w:val="21"/>
          <w:szCs w:val="21"/>
          <w:lang w:val="es-MX"/>
        </w:rPr>
        <w:t>y</w:t>
      </w:r>
      <w:r w:rsidRPr="004A0446">
        <w:rPr>
          <w:rFonts w:ascii="Abadi" w:hAnsi="Abadi" w:cs="Arial"/>
          <w:i/>
          <w:spacing w:val="-13"/>
          <w:w w:val="105"/>
          <w:sz w:val="21"/>
          <w:szCs w:val="21"/>
          <w:lang w:val="es-MX"/>
        </w:rPr>
        <w:t xml:space="preserve"> </w:t>
      </w:r>
      <w:r w:rsidRPr="004A0446">
        <w:rPr>
          <w:rFonts w:ascii="Abadi" w:hAnsi="Abadi" w:cs="Arial"/>
          <w:i/>
          <w:w w:val="105"/>
          <w:sz w:val="21"/>
          <w:szCs w:val="21"/>
          <w:lang w:val="es-MX"/>
        </w:rPr>
        <w:t>las</w:t>
      </w:r>
      <w:r w:rsidRPr="004A0446">
        <w:rPr>
          <w:rFonts w:ascii="Abadi" w:hAnsi="Abadi" w:cs="Arial"/>
          <w:i/>
          <w:spacing w:val="-8"/>
          <w:w w:val="105"/>
          <w:sz w:val="21"/>
          <w:szCs w:val="21"/>
          <w:lang w:val="es-MX"/>
        </w:rPr>
        <w:t xml:space="preserve"> </w:t>
      </w:r>
      <w:r w:rsidRPr="004A0446">
        <w:rPr>
          <w:rFonts w:ascii="Abadi" w:hAnsi="Abadi" w:cs="Arial"/>
          <w:i/>
          <w:w w:val="105"/>
          <w:sz w:val="21"/>
          <w:szCs w:val="21"/>
          <w:lang w:val="es-MX"/>
        </w:rPr>
        <w:t>Adicciones,</w:t>
      </w:r>
      <w:r w:rsidRPr="004A0446">
        <w:rPr>
          <w:rFonts w:ascii="Abadi" w:hAnsi="Abadi" w:cs="Arial"/>
          <w:i/>
          <w:spacing w:val="8"/>
          <w:w w:val="105"/>
          <w:sz w:val="21"/>
          <w:szCs w:val="21"/>
          <w:lang w:val="es-MX"/>
        </w:rPr>
        <w:t xml:space="preserve"> </w:t>
      </w:r>
      <w:r w:rsidRPr="004A0446">
        <w:rPr>
          <w:rFonts w:ascii="Abadi" w:hAnsi="Abadi" w:cs="Arial"/>
          <w:i/>
          <w:w w:val="105"/>
          <w:sz w:val="21"/>
          <w:szCs w:val="21"/>
          <w:lang w:val="es-MX"/>
        </w:rPr>
        <w:t>la</w:t>
      </w:r>
      <w:r w:rsidRPr="004A0446">
        <w:rPr>
          <w:rFonts w:ascii="Abadi" w:hAnsi="Abadi" w:cs="Arial"/>
          <w:i/>
          <w:spacing w:val="-17"/>
          <w:w w:val="105"/>
          <w:sz w:val="21"/>
          <w:szCs w:val="21"/>
          <w:lang w:val="es-MX"/>
        </w:rPr>
        <w:t xml:space="preserve"> </w:t>
      </w:r>
      <w:r w:rsidRPr="004A0446">
        <w:rPr>
          <w:rFonts w:ascii="Abadi" w:hAnsi="Abadi" w:cs="Arial"/>
          <w:i/>
          <w:w w:val="105"/>
          <w:sz w:val="21"/>
          <w:szCs w:val="21"/>
          <w:lang w:val="es-MX"/>
        </w:rPr>
        <w:t>cual</w:t>
      </w:r>
      <w:r w:rsidRPr="004A0446">
        <w:rPr>
          <w:rFonts w:ascii="Abadi" w:hAnsi="Abadi" w:cs="Arial"/>
          <w:i/>
          <w:spacing w:val="-12"/>
          <w:w w:val="105"/>
          <w:sz w:val="21"/>
          <w:szCs w:val="21"/>
          <w:lang w:val="es-MX"/>
        </w:rPr>
        <w:t xml:space="preserve"> </w:t>
      </w:r>
      <w:r w:rsidRPr="004A0446">
        <w:rPr>
          <w:rFonts w:ascii="Abadi" w:hAnsi="Abadi" w:cs="Arial"/>
          <w:i/>
          <w:w w:val="105"/>
          <w:sz w:val="21"/>
          <w:szCs w:val="21"/>
          <w:lang w:val="es-MX"/>
        </w:rPr>
        <w:t>se</w:t>
      </w:r>
      <w:r w:rsidRPr="004A0446">
        <w:rPr>
          <w:rFonts w:ascii="Abadi" w:hAnsi="Abadi" w:cs="Arial"/>
          <w:i/>
          <w:spacing w:val="-13"/>
          <w:w w:val="105"/>
          <w:sz w:val="21"/>
          <w:szCs w:val="21"/>
          <w:lang w:val="es-MX"/>
        </w:rPr>
        <w:t xml:space="preserve"> </w:t>
      </w:r>
      <w:r w:rsidRPr="004A0446">
        <w:rPr>
          <w:rFonts w:ascii="Abadi" w:hAnsi="Abadi" w:cs="Arial"/>
          <w:i/>
          <w:w w:val="105"/>
          <w:sz w:val="21"/>
          <w:szCs w:val="21"/>
          <w:lang w:val="es-MX"/>
        </w:rPr>
        <w:t>fundamenta</w:t>
      </w:r>
      <w:r w:rsidRPr="004A0446">
        <w:rPr>
          <w:rFonts w:ascii="Abadi" w:hAnsi="Abadi" w:cs="Arial"/>
          <w:i/>
          <w:spacing w:val="-5"/>
          <w:w w:val="105"/>
          <w:sz w:val="21"/>
          <w:szCs w:val="21"/>
          <w:lang w:val="es-MX"/>
        </w:rPr>
        <w:t xml:space="preserve"> </w:t>
      </w:r>
      <w:r w:rsidRPr="004A0446">
        <w:rPr>
          <w:rFonts w:ascii="Abadi" w:hAnsi="Abadi" w:cs="Arial"/>
          <w:i/>
          <w:w w:val="105"/>
          <w:sz w:val="21"/>
          <w:szCs w:val="21"/>
          <w:lang w:val="es-MX"/>
        </w:rPr>
        <w:t>con</w:t>
      </w:r>
      <w:r w:rsidRPr="004A0446">
        <w:rPr>
          <w:rFonts w:ascii="Abadi" w:hAnsi="Abadi" w:cs="Arial"/>
          <w:i/>
          <w:spacing w:val="-10"/>
          <w:w w:val="105"/>
          <w:sz w:val="21"/>
          <w:szCs w:val="21"/>
          <w:lang w:val="es-MX"/>
        </w:rPr>
        <w:t xml:space="preserve"> </w:t>
      </w:r>
      <w:r w:rsidRPr="004A0446">
        <w:rPr>
          <w:rFonts w:ascii="Abadi" w:hAnsi="Abadi" w:cs="Arial"/>
          <w:i/>
          <w:w w:val="105"/>
          <w:sz w:val="21"/>
          <w:szCs w:val="21"/>
          <w:lang w:val="es-MX"/>
        </w:rPr>
        <w:t>la</w:t>
      </w:r>
      <w:r w:rsidRPr="004A0446">
        <w:rPr>
          <w:rFonts w:ascii="Abadi" w:hAnsi="Abadi" w:cs="Arial"/>
          <w:i/>
          <w:spacing w:val="-13"/>
          <w:w w:val="105"/>
          <w:sz w:val="21"/>
          <w:szCs w:val="21"/>
          <w:lang w:val="es-MX"/>
        </w:rPr>
        <w:t xml:space="preserve"> </w:t>
      </w:r>
      <w:r w:rsidRPr="004A0446">
        <w:rPr>
          <w:rFonts w:ascii="Abadi" w:hAnsi="Abadi" w:cs="Arial"/>
          <w:i/>
          <w:w w:val="105"/>
          <w:sz w:val="21"/>
          <w:szCs w:val="21"/>
          <w:lang w:val="es-MX"/>
        </w:rPr>
        <w:t>legislación</w:t>
      </w:r>
      <w:r w:rsidRPr="004A0446">
        <w:rPr>
          <w:rFonts w:ascii="Abadi" w:hAnsi="Abadi" w:cs="Arial"/>
          <w:i/>
          <w:spacing w:val="5"/>
          <w:w w:val="105"/>
          <w:sz w:val="21"/>
          <w:szCs w:val="21"/>
          <w:lang w:val="es-MX"/>
        </w:rPr>
        <w:t xml:space="preserve"> </w:t>
      </w:r>
      <w:r w:rsidRPr="004A0446">
        <w:rPr>
          <w:rFonts w:ascii="Abadi" w:hAnsi="Abadi" w:cs="Arial"/>
          <w:i/>
          <w:w w:val="105"/>
          <w:sz w:val="21"/>
          <w:szCs w:val="21"/>
          <w:lang w:val="es-MX"/>
        </w:rPr>
        <w:t>vigente</w:t>
      </w:r>
      <w:r w:rsidRPr="004A0446">
        <w:rPr>
          <w:rFonts w:ascii="Abadi" w:hAnsi="Abadi" w:cs="Arial"/>
          <w:i/>
          <w:spacing w:val="-10"/>
          <w:w w:val="105"/>
          <w:sz w:val="21"/>
          <w:szCs w:val="21"/>
          <w:lang w:val="es-MX"/>
        </w:rPr>
        <w:t xml:space="preserve"> </w:t>
      </w:r>
      <w:r w:rsidRPr="004A0446">
        <w:rPr>
          <w:rFonts w:ascii="Abadi" w:hAnsi="Abadi" w:cs="Arial"/>
          <w:i/>
          <w:w w:val="105"/>
          <w:sz w:val="21"/>
          <w:szCs w:val="21"/>
          <w:lang w:val="es-MX"/>
        </w:rPr>
        <w:t>en</w:t>
      </w:r>
      <w:r w:rsidRPr="004A0446">
        <w:rPr>
          <w:rFonts w:ascii="Abadi" w:hAnsi="Abadi" w:cs="Arial"/>
          <w:i/>
          <w:spacing w:val="-12"/>
          <w:w w:val="105"/>
          <w:sz w:val="21"/>
          <w:szCs w:val="21"/>
          <w:lang w:val="es-MX"/>
        </w:rPr>
        <w:t xml:space="preserve"> </w:t>
      </w:r>
      <w:r w:rsidRPr="004A0446">
        <w:rPr>
          <w:rFonts w:ascii="Abadi" w:hAnsi="Abadi" w:cs="Arial"/>
          <w:i/>
          <w:w w:val="105"/>
          <w:sz w:val="21"/>
          <w:szCs w:val="21"/>
          <w:lang w:val="es-MX"/>
        </w:rPr>
        <w:t>la</w:t>
      </w:r>
      <w:r w:rsidRPr="004A0446">
        <w:rPr>
          <w:rFonts w:ascii="Abadi" w:hAnsi="Abadi" w:cs="Arial"/>
          <w:i/>
          <w:spacing w:val="-14"/>
          <w:w w:val="105"/>
          <w:sz w:val="21"/>
          <w:szCs w:val="21"/>
          <w:lang w:val="es-MX"/>
        </w:rPr>
        <w:t xml:space="preserve"> </w:t>
      </w:r>
      <w:r w:rsidRPr="004A0446">
        <w:rPr>
          <w:rFonts w:ascii="Abadi" w:hAnsi="Abadi" w:cs="Arial"/>
          <w:i/>
          <w:spacing w:val="-2"/>
          <w:w w:val="105"/>
          <w:sz w:val="21"/>
          <w:szCs w:val="21"/>
          <w:lang w:val="es-MX"/>
        </w:rPr>
        <w:t>materia.</w:t>
      </w:r>
    </w:p>
    <w:p w14:paraId="37C760E7" w14:textId="77777777" w:rsidR="00E3434F" w:rsidRPr="004A0446" w:rsidRDefault="00E3434F" w:rsidP="00F3730A">
      <w:pPr>
        <w:spacing w:before="2"/>
        <w:ind w:right="567"/>
        <w:jc w:val="both"/>
        <w:rPr>
          <w:rFonts w:ascii="Abadi" w:hAnsi="Abadi" w:cs="Arial"/>
          <w:sz w:val="21"/>
          <w:szCs w:val="21"/>
          <w:lang w:val="es-MX"/>
        </w:rPr>
      </w:pPr>
    </w:p>
    <w:p w14:paraId="76DD3E21" w14:textId="77777777" w:rsidR="00E3434F" w:rsidRPr="004A0446" w:rsidRDefault="00E3434F" w:rsidP="00F3730A">
      <w:pPr>
        <w:ind w:left="1134" w:right="567"/>
        <w:jc w:val="both"/>
        <w:rPr>
          <w:rFonts w:ascii="Abadi" w:hAnsi="Abadi" w:cs="Arial"/>
          <w:i/>
          <w:spacing w:val="-2"/>
          <w:w w:val="105"/>
          <w:sz w:val="21"/>
          <w:szCs w:val="21"/>
          <w:lang w:val="es-MX"/>
        </w:rPr>
      </w:pPr>
      <w:r w:rsidRPr="004A0446">
        <w:rPr>
          <w:rFonts w:ascii="Abadi" w:hAnsi="Abadi" w:cs="Arial"/>
          <w:i/>
          <w:w w:val="105"/>
          <w:sz w:val="21"/>
          <w:szCs w:val="21"/>
          <w:lang w:val="es-MX"/>
        </w:rPr>
        <w:t>Ante todo lo señalado, si bien no nos manifestamos en contra del fondo de la propuesta y por el contrario valoramos positivo se generen acciones legislativas que coadyuven</w:t>
      </w:r>
      <w:r w:rsidRPr="004A0446">
        <w:rPr>
          <w:rFonts w:ascii="Abadi" w:hAnsi="Abadi" w:cs="Arial"/>
          <w:i/>
          <w:spacing w:val="12"/>
          <w:w w:val="105"/>
          <w:sz w:val="21"/>
          <w:szCs w:val="21"/>
          <w:lang w:val="es-MX"/>
        </w:rPr>
        <w:t xml:space="preserve"> </w:t>
      </w:r>
      <w:r w:rsidRPr="004A0446">
        <w:rPr>
          <w:rFonts w:ascii="Abadi" w:hAnsi="Abadi" w:cs="Arial"/>
          <w:i/>
          <w:w w:val="105"/>
          <w:sz w:val="21"/>
          <w:szCs w:val="21"/>
          <w:lang w:val="es-MX"/>
        </w:rPr>
        <w:t>a</w:t>
      </w:r>
      <w:r w:rsidRPr="004A0446">
        <w:rPr>
          <w:rFonts w:ascii="Abadi" w:hAnsi="Abadi" w:cs="Arial"/>
          <w:i/>
          <w:spacing w:val="-10"/>
          <w:w w:val="105"/>
          <w:sz w:val="21"/>
          <w:szCs w:val="21"/>
          <w:lang w:val="es-MX"/>
        </w:rPr>
        <w:t xml:space="preserve"> </w:t>
      </w:r>
      <w:r w:rsidRPr="004A0446">
        <w:rPr>
          <w:rFonts w:ascii="Abadi" w:hAnsi="Abadi" w:cs="Arial"/>
          <w:i/>
          <w:w w:val="105"/>
          <w:sz w:val="21"/>
          <w:szCs w:val="21"/>
          <w:lang w:val="es-MX"/>
        </w:rPr>
        <w:t>salvaguardar</w:t>
      </w:r>
      <w:r w:rsidRPr="004A0446">
        <w:rPr>
          <w:rFonts w:ascii="Abadi" w:hAnsi="Abadi" w:cs="Arial"/>
          <w:i/>
          <w:spacing w:val="11"/>
          <w:w w:val="105"/>
          <w:sz w:val="21"/>
          <w:szCs w:val="21"/>
          <w:lang w:val="es-MX"/>
        </w:rPr>
        <w:t xml:space="preserve"> </w:t>
      </w:r>
      <w:r w:rsidRPr="004A0446">
        <w:rPr>
          <w:rFonts w:ascii="Abadi" w:hAnsi="Abadi" w:cs="Arial"/>
          <w:i/>
          <w:w w:val="105"/>
          <w:sz w:val="21"/>
          <w:szCs w:val="21"/>
          <w:lang w:val="es-MX"/>
        </w:rPr>
        <w:t>y</w:t>
      </w:r>
      <w:r w:rsidRPr="004A0446">
        <w:rPr>
          <w:rFonts w:ascii="Abadi" w:hAnsi="Abadi" w:cs="Arial"/>
          <w:i/>
          <w:spacing w:val="-3"/>
          <w:w w:val="105"/>
          <w:sz w:val="21"/>
          <w:szCs w:val="21"/>
          <w:lang w:val="es-MX"/>
        </w:rPr>
        <w:t xml:space="preserve"> </w:t>
      </w:r>
      <w:r w:rsidRPr="004A0446">
        <w:rPr>
          <w:rFonts w:ascii="Abadi" w:hAnsi="Abadi" w:cs="Arial"/>
          <w:i/>
          <w:w w:val="105"/>
          <w:sz w:val="21"/>
          <w:szCs w:val="21"/>
          <w:lang w:val="es-MX"/>
        </w:rPr>
        <w:t>garantizar</w:t>
      </w:r>
      <w:r w:rsidRPr="004A0446">
        <w:rPr>
          <w:rFonts w:ascii="Abadi" w:hAnsi="Abadi" w:cs="Arial"/>
          <w:i/>
          <w:spacing w:val="7"/>
          <w:w w:val="105"/>
          <w:sz w:val="21"/>
          <w:szCs w:val="21"/>
          <w:lang w:val="es-MX"/>
        </w:rPr>
        <w:t xml:space="preserve"> </w:t>
      </w:r>
      <w:r w:rsidRPr="004A0446">
        <w:rPr>
          <w:rFonts w:ascii="Abadi" w:hAnsi="Abadi" w:cs="Arial"/>
          <w:i/>
          <w:w w:val="105"/>
          <w:sz w:val="21"/>
          <w:szCs w:val="21"/>
          <w:lang w:val="es-MX"/>
        </w:rPr>
        <w:t>el</w:t>
      </w:r>
      <w:r w:rsidRPr="004A0446">
        <w:rPr>
          <w:rFonts w:ascii="Abadi" w:hAnsi="Abadi" w:cs="Arial"/>
          <w:i/>
          <w:spacing w:val="-7"/>
          <w:w w:val="105"/>
          <w:sz w:val="21"/>
          <w:szCs w:val="21"/>
          <w:lang w:val="es-MX"/>
        </w:rPr>
        <w:t xml:space="preserve"> </w:t>
      </w:r>
      <w:r w:rsidRPr="004A0446">
        <w:rPr>
          <w:rFonts w:ascii="Abadi" w:hAnsi="Abadi" w:cs="Arial"/>
          <w:i/>
          <w:w w:val="105"/>
          <w:sz w:val="21"/>
          <w:szCs w:val="21"/>
          <w:lang w:val="es-MX"/>
        </w:rPr>
        <w:t>derecho</w:t>
      </w:r>
      <w:r w:rsidRPr="004A0446">
        <w:rPr>
          <w:rFonts w:ascii="Abadi" w:hAnsi="Abadi" w:cs="Arial"/>
          <w:i/>
          <w:spacing w:val="3"/>
          <w:w w:val="105"/>
          <w:sz w:val="21"/>
          <w:szCs w:val="21"/>
          <w:lang w:val="es-MX"/>
        </w:rPr>
        <w:t xml:space="preserve"> </w:t>
      </w:r>
      <w:r w:rsidRPr="004A0446">
        <w:rPr>
          <w:rFonts w:ascii="Abadi" w:hAnsi="Abadi" w:cs="Arial"/>
          <w:i/>
          <w:w w:val="105"/>
          <w:sz w:val="21"/>
          <w:szCs w:val="21"/>
          <w:lang w:val="es-MX"/>
        </w:rPr>
        <w:t>a</w:t>
      </w:r>
      <w:r w:rsidRPr="004A0446">
        <w:rPr>
          <w:rFonts w:ascii="Abadi" w:hAnsi="Abadi" w:cs="Arial"/>
          <w:i/>
          <w:spacing w:val="-3"/>
          <w:w w:val="105"/>
          <w:sz w:val="21"/>
          <w:szCs w:val="21"/>
          <w:lang w:val="es-MX"/>
        </w:rPr>
        <w:t xml:space="preserve"> </w:t>
      </w:r>
      <w:r w:rsidRPr="004A0446">
        <w:rPr>
          <w:rFonts w:ascii="Abadi" w:hAnsi="Abadi" w:cs="Arial"/>
          <w:i/>
          <w:w w:val="105"/>
          <w:sz w:val="21"/>
          <w:szCs w:val="21"/>
          <w:lang w:val="es-MX"/>
        </w:rPr>
        <w:t>la</w:t>
      </w:r>
      <w:r w:rsidRPr="004A0446">
        <w:rPr>
          <w:rFonts w:ascii="Abadi" w:hAnsi="Abadi" w:cs="Arial"/>
          <w:i/>
          <w:spacing w:val="-11"/>
          <w:w w:val="105"/>
          <w:sz w:val="21"/>
          <w:szCs w:val="21"/>
          <w:lang w:val="es-MX"/>
        </w:rPr>
        <w:t xml:space="preserve"> </w:t>
      </w:r>
      <w:r w:rsidRPr="004A0446">
        <w:rPr>
          <w:rFonts w:ascii="Abadi" w:hAnsi="Abadi" w:cs="Arial"/>
          <w:i/>
          <w:w w:val="105"/>
          <w:sz w:val="21"/>
          <w:szCs w:val="21"/>
          <w:lang w:val="es-MX"/>
        </w:rPr>
        <w:t>salud,</w:t>
      </w:r>
      <w:r w:rsidRPr="004A0446">
        <w:rPr>
          <w:rFonts w:ascii="Abadi" w:hAnsi="Abadi" w:cs="Arial"/>
          <w:i/>
          <w:spacing w:val="7"/>
          <w:w w:val="105"/>
          <w:sz w:val="21"/>
          <w:szCs w:val="21"/>
          <w:lang w:val="es-MX"/>
        </w:rPr>
        <w:t xml:space="preserve"> </w:t>
      </w:r>
      <w:r w:rsidRPr="004A0446">
        <w:rPr>
          <w:rFonts w:ascii="Abadi" w:hAnsi="Abadi" w:cs="Arial"/>
          <w:i/>
          <w:w w:val="105"/>
          <w:sz w:val="21"/>
          <w:szCs w:val="21"/>
          <w:lang w:val="es-MX"/>
        </w:rPr>
        <w:t>señalamos</w:t>
      </w:r>
      <w:r w:rsidRPr="004A0446">
        <w:rPr>
          <w:rFonts w:ascii="Abadi" w:hAnsi="Abadi" w:cs="Arial"/>
          <w:i/>
          <w:spacing w:val="11"/>
          <w:w w:val="105"/>
          <w:sz w:val="21"/>
          <w:szCs w:val="21"/>
          <w:lang w:val="es-MX"/>
        </w:rPr>
        <w:t xml:space="preserve"> </w:t>
      </w:r>
      <w:r w:rsidRPr="004A0446">
        <w:rPr>
          <w:rFonts w:ascii="Abadi" w:hAnsi="Abadi" w:cs="Arial"/>
          <w:i/>
          <w:w w:val="105"/>
          <w:sz w:val="21"/>
          <w:szCs w:val="21"/>
          <w:lang w:val="es-MX"/>
        </w:rPr>
        <w:t>que</w:t>
      </w:r>
      <w:r w:rsidRPr="004A0446">
        <w:rPr>
          <w:rFonts w:ascii="Abadi" w:hAnsi="Abadi" w:cs="Arial"/>
          <w:i/>
          <w:spacing w:val="-3"/>
          <w:w w:val="105"/>
          <w:sz w:val="21"/>
          <w:szCs w:val="21"/>
          <w:lang w:val="es-MX"/>
        </w:rPr>
        <w:t xml:space="preserve"> </w:t>
      </w:r>
      <w:r w:rsidRPr="004A0446">
        <w:rPr>
          <w:rFonts w:ascii="Abadi" w:hAnsi="Abadi" w:cs="Arial"/>
          <w:i/>
          <w:w w:val="105"/>
          <w:sz w:val="21"/>
          <w:szCs w:val="21"/>
          <w:lang w:val="es-MX"/>
        </w:rPr>
        <w:t>la</w:t>
      </w:r>
      <w:r w:rsidRPr="004A0446">
        <w:rPr>
          <w:rFonts w:ascii="Abadi" w:hAnsi="Abadi" w:cs="Arial"/>
          <w:i/>
          <w:spacing w:val="-5"/>
          <w:w w:val="105"/>
          <w:sz w:val="21"/>
          <w:szCs w:val="21"/>
          <w:lang w:val="es-MX"/>
        </w:rPr>
        <w:t xml:space="preserve"> </w:t>
      </w:r>
      <w:r w:rsidRPr="004A0446">
        <w:rPr>
          <w:rFonts w:ascii="Abadi" w:hAnsi="Abadi" w:cs="Arial"/>
          <w:i/>
          <w:spacing w:val="-2"/>
          <w:w w:val="105"/>
          <w:sz w:val="21"/>
          <w:szCs w:val="21"/>
          <w:lang w:val="es-MX"/>
        </w:rPr>
        <w:t xml:space="preserve">propuesta </w:t>
      </w:r>
      <w:r w:rsidRPr="004A0446">
        <w:rPr>
          <w:rFonts w:ascii="Abadi" w:hAnsi="Abadi" w:cs="Arial"/>
          <w:i/>
          <w:w w:val="105"/>
          <w:sz w:val="21"/>
          <w:szCs w:val="21"/>
          <w:lang w:val="es-MX"/>
        </w:rPr>
        <w:t>presenta</w:t>
      </w:r>
      <w:r w:rsidRPr="004A0446">
        <w:rPr>
          <w:rFonts w:ascii="Abadi" w:hAnsi="Abadi" w:cs="Arial"/>
          <w:i/>
          <w:spacing w:val="4"/>
          <w:w w:val="105"/>
          <w:sz w:val="21"/>
          <w:szCs w:val="21"/>
          <w:lang w:val="es-MX"/>
        </w:rPr>
        <w:t xml:space="preserve"> </w:t>
      </w:r>
      <w:r w:rsidRPr="004A0446">
        <w:rPr>
          <w:rFonts w:ascii="Abadi" w:hAnsi="Abadi" w:cs="Arial"/>
          <w:i/>
          <w:w w:val="105"/>
          <w:sz w:val="21"/>
          <w:szCs w:val="21"/>
          <w:lang w:val="es-MX"/>
        </w:rPr>
        <w:t>elementos</w:t>
      </w:r>
      <w:r w:rsidRPr="004A0446">
        <w:rPr>
          <w:rFonts w:ascii="Abadi" w:hAnsi="Abadi" w:cs="Arial"/>
          <w:i/>
          <w:spacing w:val="5"/>
          <w:w w:val="105"/>
          <w:sz w:val="21"/>
          <w:szCs w:val="21"/>
          <w:lang w:val="es-MX"/>
        </w:rPr>
        <w:t xml:space="preserve"> </w:t>
      </w:r>
      <w:r w:rsidRPr="004A0446">
        <w:rPr>
          <w:rFonts w:ascii="Abadi" w:hAnsi="Abadi" w:cs="Arial"/>
          <w:i/>
          <w:w w:val="105"/>
          <w:sz w:val="21"/>
          <w:szCs w:val="21"/>
          <w:lang w:val="es-MX"/>
        </w:rPr>
        <w:t>que</w:t>
      </w:r>
      <w:r w:rsidRPr="004A0446">
        <w:rPr>
          <w:rFonts w:ascii="Abadi" w:hAnsi="Abadi" w:cs="Arial"/>
          <w:i/>
          <w:spacing w:val="-10"/>
          <w:w w:val="105"/>
          <w:sz w:val="21"/>
          <w:szCs w:val="21"/>
          <w:lang w:val="es-MX"/>
        </w:rPr>
        <w:t xml:space="preserve"> </w:t>
      </w:r>
      <w:r w:rsidRPr="004A0446">
        <w:rPr>
          <w:rFonts w:ascii="Abadi" w:hAnsi="Abadi" w:cs="Arial"/>
          <w:i/>
          <w:w w:val="105"/>
          <w:sz w:val="21"/>
          <w:szCs w:val="21"/>
          <w:lang w:val="es-MX"/>
        </w:rPr>
        <w:t>deben</w:t>
      </w:r>
      <w:r w:rsidRPr="004A0446">
        <w:rPr>
          <w:rFonts w:ascii="Abadi" w:hAnsi="Abadi" w:cs="Arial"/>
          <w:i/>
          <w:spacing w:val="-4"/>
          <w:w w:val="105"/>
          <w:sz w:val="21"/>
          <w:szCs w:val="21"/>
          <w:lang w:val="es-MX"/>
        </w:rPr>
        <w:t xml:space="preserve"> </w:t>
      </w:r>
      <w:r w:rsidRPr="004A0446">
        <w:rPr>
          <w:rFonts w:ascii="Abadi" w:hAnsi="Abadi" w:cs="Arial"/>
          <w:i/>
          <w:w w:val="105"/>
          <w:sz w:val="21"/>
          <w:szCs w:val="21"/>
          <w:lang w:val="es-MX"/>
        </w:rPr>
        <w:t>ser</w:t>
      </w:r>
      <w:r w:rsidRPr="004A0446">
        <w:rPr>
          <w:rFonts w:ascii="Abadi" w:hAnsi="Abadi" w:cs="Arial"/>
          <w:i/>
          <w:spacing w:val="-12"/>
          <w:w w:val="105"/>
          <w:sz w:val="21"/>
          <w:szCs w:val="21"/>
          <w:lang w:val="es-MX"/>
        </w:rPr>
        <w:t xml:space="preserve"> </w:t>
      </w:r>
      <w:r w:rsidRPr="004A0446">
        <w:rPr>
          <w:rFonts w:ascii="Abadi" w:hAnsi="Abadi" w:cs="Arial"/>
          <w:i/>
          <w:w w:val="105"/>
          <w:sz w:val="21"/>
          <w:szCs w:val="21"/>
          <w:lang w:val="es-MX"/>
        </w:rPr>
        <w:t>observados</w:t>
      </w:r>
      <w:r w:rsidRPr="004A0446">
        <w:rPr>
          <w:rFonts w:ascii="Abadi" w:hAnsi="Abadi" w:cs="Arial"/>
          <w:i/>
          <w:spacing w:val="12"/>
          <w:w w:val="105"/>
          <w:sz w:val="21"/>
          <w:szCs w:val="21"/>
          <w:lang w:val="es-MX"/>
        </w:rPr>
        <w:t xml:space="preserve"> </w:t>
      </w:r>
      <w:r w:rsidRPr="004A0446">
        <w:rPr>
          <w:rFonts w:ascii="Abadi" w:hAnsi="Abadi" w:cs="Arial"/>
          <w:i/>
          <w:w w:val="105"/>
          <w:sz w:val="21"/>
          <w:szCs w:val="21"/>
          <w:lang w:val="es-MX"/>
        </w:rPr>
        <w:t>a</w:t>
      </w:r>
      <w:r w:rsidRPr="004A0446">
        <w:rPr>
          <w:rFonts w:ascii="Abadi" w:hAnsi="Abadi" w:cs="Arial"/>
          <w:i/>
          <w:spacing w:val="-13"/>
          <w:w w:val="105"/>
          <w:sz w:val="21"/>
          <w:szCs w:val="21"/>
          <w:lang w:val="es-MX"/>
        </w:rPr>
        <w:t xml:space="preserve"> </w:t>
      </w:r>
      <w:r w:rsidRPr="004A0446">
        <w:rPr>
          <w:rFonts w:ascii="Abadi" w:hAnsi="Abadi" w:cs="Arial"/>
          <w:i/>
          <w:w w:val="105"/>
          <w:sz w:val="21"/>
          <w:szCs w:val="21"/>
          <w:lang w:val="es-MX"/>
        </w:rPr>
        <w:t>efecto</w:t>
      </w:r>
      <w:r w:rsidRPr="004A0446">
        <w:rPr>
          <w:rFonts w:ascii="Abadi" w:hAnsi="Abadi" w:cs="Arial"/>
          <w:i/>
          <w:spacing w:val="-2"/>
          <w:w w:val="105"/>
          <w:sz w:val="21"/>
          <w:szCs w:val="21"/>
          <w:lang w:val="es-MX"/>
        </w:rPr>
        <w:t xml:space="preserve"> </w:t>
      </w:r>
      <w:r w:rsidRPr="004A0446">
        <w:rPr>
          <w:rFonts w:ascii="Abadi" w:hAnsi="Abadi" w:cs="Arial"/>
          <w:i/>
          <w:w w:val="105"/>
          <w:sz w:val="21"/>
          <w:szCs w:val="21"/>
          <w:lang w:val="es-MX"/>
        </w:rPr>
        <w:t>de</w:t>
      </w:r>
      <w:r w:rsidRPr="004A0446">
        <w:rPr>
          <w:rFonts w:ascii="Abadi" w:hAnsi="Abadi" w:cs="Arial"/>
          <w:i/>
          <w:spacing w:val="-9"/>
          <w:w w:val="105"/>
          <w:sz w:val="21"/>
          <w:szCs w:val="21"/>
          <w:lang w:val="es-MX"/>
        </w:rPr>
        <w:t xml:space="preserve"> </w:t>
      </w:r>
      <w:r w:rsidRPr="004A0446">
        <w:rPr>
          <w:rFonts w:ascii="Abadi" w:hAnsi="Abadi" w:cs="Arial"/>
          <w:i/>
          <w:w w:val="105"/>
          <w:sz w:val="21"/>
          <w:szCs w:val="21"/>
          <w:lang w:val="es-MX"/>
        </w:rPr>
        <w:t>valorar la</w:t>
      </w:r>
      <w:r w:rsidRPr="004A0446">
        <w:rPr>
          <w:rFonts w:ascii="Abadi" w:hAnsi="Abadi" w:cs="Arial"/>
          <w:i/>
          <w:spacing w:val="-6"/>
          <w:w w:val="105"/>
          <w:sz w:val="21"/>
          <w:szCs w:val="21"/>
          <w:lang w:val="es-MX"/>
        </w:rPr>
        <w:t xml:space="preserve"> </w:t>
      </w:r>
      <w:r w:rsidRPr="004A0446">
        <w:rPr>
          <w:rFonts w:ascii="Abadi" w:hAnsi="Abadi" w:cs="Arial"/>
          <w:i/>
          <w:w w:val="105"/>
          <w:sz w:val="21"/>
          <w:szCs w:val="21"/>
          <w:lang w:val="es-MX"/>
        </w:rPr>
        <w:t>procedencia</w:t>
      </w:r>
      <w:r w:rsidRPr="004A0446">
        <w:rPr>
          <w:rFonts w:ascii="Abadi" w:hAnsi="Abadi" w:cs="Arial"/>
          <w:i/>
          <w:spacing w:val="16"/>
          <w:w w:val="105"/>
          <w:sz w:val="21"/>
          <w:szCs w:val="21"/>
          <w:lang w:val="es-MX"/>
        </w:rPr>
        <w:t xml:space="preserve"> </w:t>
      </w:r>
      <w:r w:rsidRPr="004A0446">
        <w:rPr>
          <w:rFonts w:ascii="Abadi" w:hAnsi="Abadi" w:cs="Arial"/>
          <w:i/>
          <w:w w:val="105"/>
          <w:sz w:val="21"/>
          <w:szCs w:val="21"/>
          <w:lang w:val="es-MX"/>
        </w:rPr>
        <w:t>o</w:t>
      </w:r>
      <w:r w:rsidRPr="004A0446">
        <w:rPr>
          <w:rFonts w:ascii="Abadi" w:hAnsi="Abadi" w:cs="Arial"/>
          <w:i/>
          <w:spacing w:val="-19"/>
          <w:w w:val="105"/>
          <w:sz w:val="21"/>
          <w:szCs w:val="21"/>
          <w:lang w:val="es-MX"/>
        </w:rPr>
        <w:t xml:space="preserve"> </w:t>
      </w:r>
      <w:r w:rsidRPr="004A0446">
        <w:rPr>
          <w:rFonts w:ascii="Abadi" w:hAnsi="Abadi" w:cs="Arial"/>
          <w:i/>
          <w:w w:val="105"/>
          <w:sz w:val="21"/>
          <w:szCs w:val="21"/>
          <w:lang w:val="es-MX"/>
        </w:rPr>
        <w:t>no</w:t>
      </w:r>
      <w:r w:rsidRPr="004A0446">
        <w:rPr>
          <w:rFonts w:ascii="Abadi" w:hAnsi="Abadi" w:cs="Arial"/>
          <w:i/>
          <w:spacing w:val="-5"/>
          <w:w w:val="105"/>
          <w:sz w:val="21"/>
          <w:szCs w:val="21"/>
          <w:lang w:val="es-MX"/>
        </w:rPr>
        <w:t xml:space="preserve"> de </w:t>
      </w:r>
      <w:r w:rsidRPr="004A0446">
        <w:rPr>
          <w:rFonts w:ascii="Abadi" w:hAnsi="Abadi" w:cs="Arial"/>
          <w:i/>
          <w:w w:val="105"/>
          <w:sz w:val="21"/>
          <w:szCs w:val="21"/>
          <w:lang w:val="es-MX"/>
        </w:rPr>
        <w:t>la</w:t>
      </w:r>
      <w:r w:rsidRPr="004A0446">
        <w:rPr>
          <w:rFonts w:ascii="Abadi" w:hAnsi="Abadi" w:cs="Arial"/>
          <w:i/>
          <w:spacing w:val="-17"/>
          <w:w w:val="105"/>
          <w:sz w:val="21"/>
          <w:szCs w:val="21"/>
          <w:lang w:val="es-MX"/>
        </w:rPr>
        <w:t xml:space="preserve"> </w:t>
      </w:r>
      <w:r w:rsidRPr="004A0446">
        <w:rPr>
          <w:rFonts w:ascii="Abadi" w:hAnsi="Abadi" w:cs="Arial"/>
          <w:i/>
          <w:w w:val="105"/>
          <w:sz w:val="21"/>
          <w:szCs w:val="21"/>
          <w:lang w:val="es-MX"/>
        </w:rPr>
        <w:t>misma,</w:t>
      </w:r>
      <w:r w:rsidRPr="004A0446">
        <w:rPr>
          <w:rFonts w:ascii="Abadi" w:hAnsi="Abadi" w:cs="Arial"/>
          <w:i/>
          <w:spacing w:val="2"/>
          <w:w w:val="105"/>
          <w:sz w:val="21"/>
          <w:szCs w:val="21"/>
          <w:lang w:val="es-MX"/>
        </w:rPr>
        <w:t xml:space="preserve"> </w:t>
      </w:r>
      <w:r w:rsidRPr="004A0446">
        <w:rPr>
          <w:rFonts w:ascii="Abadi" w:hAnsi="Abadi" w:cs="Arial"/>
          <w:i/>
          <w:w w:val="105"/>
          <w:sz w:val="21"/>
          <w:szCs w:val="21"/>
          <w:lang w:val="es-MX"/>
        </w:rPr>
        <w:t>en</w:t>
      </w:r>
      <w:r w:rsidRPr="004A0446">
        <w:rPr>
          <w:rFonts w:ascii="Abadi" w:hAnsi="Abadi" w:cs="Arial"/>
          <w:i/>
          <w:spacing w:val="-15"/>
          <w:w w:val="105"/>
          <w:sz w:val="21"/>
          <w:szCs w:val="21"/>
          <w:lang w:val="es-MX"/>
        </w:rPr>
        <w:t xml:space="preserve"> </w:t>
      </w:r>
      <w:r w:rsidRPr="004A0446">
        <w:rPr>
          <w:rFonts w:ascii="Abadi" w:hAnsi="Abadi" w:cs="Arial"/>
          <w:i/>
          <w:w w:val="105"/>
          <w:sz w:val="21"/>
          <w:szCs w:val="21"/>
          <w:lang w:val="es-MX"/>
        </w:rPr>
        <w:t>los</w:t>
      </w:r>
      <w:r w:rsidRPr="004A0446">
        <w:rPr>
          <w:rFonts w:ascii="Abadi" w:hAnsi="Abadi" w:cs="Arial"/>
          <w:i/>
          <w:spacing w:val="-10"/>
          <w:w w:val="105"/>
          <w:sz w:val="21"/>
          <w:szCs w:val="21"/>
          <w:lang w:val="es-MX"/>
        </w:rPr>
        <w:t xml:space="preserve"> </w:t>
      </w:r>
      <w:r w:rsidRPr="004A0446">
        <w:rPr>
          <w:rFonts w:ascii="Abadi" w:hAnsi="Abadi" w:cs="Arial"/>
          <w:i/>
          <w:w w:val="105"/>
          <w:sz w:val="21"/>
          <w:szCs w:val="21"/>
          <w:lang w:val="es-MX"/>
        </w:rPr>
        <w:t xml:space="preserve">términos </w:t>
      </w:r>
      <w:r w:rsidRPr="004A0446">
        <w:rPr>
          <w:rFonts w:ascii="Abadi" w:hAnsi="Abadi" w:cs="Arial"/>
          <w:i/>
          <w:spacing w:val="-2"/>
          <w:w w:val="105"/>
          <w:sz w:val="21"/>
          <w:szCs w:val="21"/>
          <w:lang w:val="es-MX"/>
        </w:rPr>
        <w:t>planteados."</w:t>
      </w:r>
    </w:p>
    <w:p w14:paraId="20A56B61" w14:textId="77777777" w:rsidR="00E3434F" w:rsidRPr="004A0446" w:rsidRDefault="00E3434F" w:rsidP="00F3730A">
      <w:pPr>
        <w:ind w:left="709" w:right="567"/>
        <w:jc w:val="both"/>
        <w:rPr>
          <w:rFonts w:ascii="Abadi" w:hAnsi="Abadi" w:cs="Arial"/>
          <w:sz w:val="21"/>
          <w:szCs w:val="21"/>
          <w:lang w:val="es-MX"/>
        </w:rPr>
      </w:pPr>
      <w:r w:rsidRPr="004A0446">
        <w:rPr>
          <w:rFonts w:ascii="Abadi" w:hAnsi="Abadi" w:cs="Arial"/>
          <w:sz w:val="21"/>
          <w:szCs w:val="21"/>
          <w:lang w:val="es-MX"/>
        </w:rPr>
        <w:t xml:space="preserve">  </w:t>
      </w:r>
    </w:p>
    <w:p w14:paraId="05153797" w14:textId="77777777" w:rsidR="00E3434F" w:rsidRPr="004A0446" w:rsidRDefault="00E3434F" w:rsidP="00F3730A">
      <w:pPr>
        <w:tabs>
          <w:tab w:val="left" w:pos="851"/>
        </w:tabs>
        <w:ind w:left="709" w:right="303" w:firstLine="425"/>
        <w:jc w:val="both"/>
        <w:rPr>
          <w:rFonts w:ascii="Abadi" w:hAnsi="Abadi" w:cs="Arial"/>
          <w:i/>
          <w:sz w:val="21"/>
          <w:szCs w:val="21"/>
          <w:lang w:val="es-MX"/>
        </w:rPr>
      </w:pPr>
      <w:r w:rsidRPr="004A0446">
        <w:rPr>
          <w:rFonts w:ascii="Abadi" w:hAnsi="Abadi" w:cs="Arial"/>
          <w:sz w:val="21"/>
          <w:szCs w:val="21"/>
          <w:lang w:val="es-MX"/>
        </w:rPr>
        <w:t>(…)</w:t>
      </w:r>
    </w:p>
    <w:p w14:paraId="1A025D0C" w14:textId="77777777" w:rsidR="00E3434F" w:rsidRPr="004A0446" w:rsidRDefault="00E3434F" w:rsidP="00F3730A">
      <w:pPr>
        <w:widowControl w:val="0"/>
        <w:tabs>
          <w:tab w:val="left" w:pos="709"/>
        </w:tabs>
        <w:ind w:left="1418" w:hanging="1560"/>
        <w:jc w:val="both"/>
        <w:rPr>
          <w:rFonts w:ascii="Abadi" w:hAnsi="Abadi" w:cs="Arial"/>
          <w:sz w:val="21"/>
          <w:szCs w:val="21"/>
        </w:rPr>
      </w:pPr>
    </w:p>
    <w:p w14:paraId="67B849E2" w14:textId="77777777" w:rsidR="00E3434F" w:rsidRPr="004A0446" w:rsidRDefault="00E3434F" w:rsidP="00F3730A">
      <w:pPr>
        <w:widowControl w:val="0"/>
        <w:tabs>
          <w:tab w:val="left" w:pos="709"/>
        </w:tabs>
        <w:ind w:left="-142" w:firstLine="709"/>
        <w:jc w:val="both"/>
        <w:rPr>
          <w:rFonts w:ascii="Abadi" w:hAnsi="Abadi" w:cs="Arial"/>
          <w:sz w:val="21"/>
          <w:szCs w:val="21"/>
        </w:rPr>
      </w:pPr>
      <w:r w:rsidRPr="004A0446">
        <w:rPr>
          <w:rFonts w:ascii="Abadi" w:hAnsi="Abadi" w:cs="Arial"/>
          <w:sz w:val="21"/>
          <w:szCs w:val="21"/>
        </w:rPr>
        <w:t>Ahora bien, en cuanto al impacto presupuestal la Unidad de Estudios de las Finanzas Públicas del Congreso del Estado señaló:</w:t>
      </w:r>
    </w:p>
    <w:p w14:paraId="23F7499B" w14:textId="77777777" w:rsidR="00E3434F" w:rsidRPr="004A0446" w:rsidRDefault="00E3434F" w:rsidP="00F3730A">
      <w:pPr>
        <w:widowControl w:val="0"/>
        <w:numPr>
          <w:ilvl w:val="0"/>
          <w:numId w:val="71"/>
        </w:numPr>
        <w:tabs>
          <w:tab w:val="left" w:pos="930"/>
          <w:tab w:val="left" w:pos="1418"/>
        </w:tabs>
        <w:autoSpaceDE w:val="0"/>
        <w:autoSpaceDN w:val="0"/>
        <w:spacing w:before="201"/>
        <w:ind w:firstLine="204"/>
        <w:jc w:val="both"/>
        <w:rPr>
          <w:rFonts w:ascii="Abadi" w:hAnsi="Abadi" w:cs="Arial"/>
          <w:b/>
          <w:bCs/>
          <w:sz w:val="21"/>
          <w:szCs w:val="21"/>
          <w:lang w:val="es-ES_tradnl"/>
        </w:rPr>
      </w:pPr>
      <w:r w:rsidRPr="004A0446">
        <w:rPr>
          <w:rFonts w:ascii="Abadi" w:hAnsi="Abadi" w:cs="Arial"/>
          <w:b/>
          <w:bCs/>
          <w:sz w:val="21"/>
          <w:szCs w:val="21"/>
          <w:lang w:val="es-ES_tradnl"/>
        </w:rPr>
        <w:t>Evaluación de Impacto Presupuestario:</w:t>
      </w:r>
    </w:p>
    <w:p w14:paraId="60CF855D" w14:textId="77777777" w:rsidR="00E3434F" w:rsidRPr="004A0446" w:rsidRDefault="00E3434F" w:rsidP="00F3730A">
      <w:pPr>
        <w:tabs>
          <w:tab w:val="left" w:pos="8364"/>
        </w:tabs>
        <w:ind w:right="708"/>
        <w:rPr>
          <w:rFonts w:ascii="Abadi" w:hAnsi="Abadi" w:cs="Arial"/>
          <w:sz w:val="21"/>
          <w:szCs w:val="21"/>
          <w:lang w:val="es-ES_tradnl"/>
        </w:rPr>
      </w:pPr>
    </w:p>
    <w:p w14:paraId="143C3A9F" w14:textId="77777777" w:rsidR="00E3434F" w:rsidRPr="004A0446" w:rsidRDefault="00E3434F" w:rsidP="00F3730A">
      <w:pPr>
        <w:ind w:left="1134" w:right="567"/>
        <w:jc w:val="both"/>
        <w:rPr>
          <w:rFonts w:ascii="Abadi" w:hAnsi="Abadi" w:cs="Arial"/>
          <w:i/>
          <w:iCs/>
          <w:sz w:val="21"/>
          <w:szCs w:val="21"/>
          <w:lang w:val="es-ES_tradnl"/>
        </w:rPr>
      </w:pPr>
      <w:r w:rsidRPr="004A0446">
        <w:rPr>
          <w:rFonts w:ascii="Abadi" w:hAnsi="Abadi" w:cs="Arial"/>
          <w:i/>
          <w:iCs/>
          <w:sz w:val="21"/>
          <w:szCs w:val="21"/>
          <w:lang w:val="es-ES_tradnl"/>
        </w:rPr>
        <w:t>Del análisis realizado, los iniciantes proponen un nuevo ordenamiento legal dividido en seis capítulos, con un total de 31 artículos, argumentando que como finalidad logrará mitigar el impacto de los suicidios en el Estado. Analizando los alcances de la presente iniciativa, es coincidente con los objetivos de la Ley de Salud del Estado de Guanajuato, ya que actualmente se prevé como prioridad la salud mental como parte del bienestar de las personas a que tienen derecho conforme al artículo 4º de la Constitución Política de los Estados Unidos Mexicano, en ese sentido, faculta en este tema a la Secretaría de Salud del Estado de Guanajuato, a través del Consejo de Salud Mental (CESME), por lo que sus fines ya se encuentran previstos de forma general. Sin embargo, respecto al alcance presupuestal que tendrá este nuevo ordenamiento en caso de aprobarse, sí se identifican nuevas obligaciones que en materia de salud mental se apliquen dado que esta nueva ley involucra la obligación a los Ayuntamientos y al Poder Ejecutivo del Estado, destinar &lt;&lt;recursos suficientes y progresivos para la creación de campañas y programas encaminadas a la prevención&gt;&gt;; asimismo se adiciona en el artículo 27, fracción I, de la Ley Orgánica del Poder Ejecutivo para el Estado de Guanajuato, un inciso h) que prevé la facultad de &lt;&lt;integrar y coordinar el Sistema Integral para la Prevención de la Salud&gt;&gt;</w:t>
      </w:r>
      <w:r w:rsidRPr="004A0446">
        <w:rPr>
          <w:rFonts w:ascii="Abadi" w:hAnsi="Abadi" w:cs="Arial"/>
          <w:i/>
          <w:iCs/>
          <w:spacing w:val="-2"/>
          <w:sz w:val="21"/>
          <w:szCs w:val="21"/>
          <w:lang w:val="es-ES_tradnl"/>
        </w:rPr>
        <w:t xml:space="preserve">, </w:t>
      </w:r>
      <w:r w:rsidRPr="004A0446">
        <w:rPr>
          <w:rFonts w:ascii="Abadi" w:hAnsi="Abadi" w:cs="Arial"/>
          <w:i/>
          <w:iCs/>
          <w:sz w:val="21"/>
          <w:szCs w:val="21"/>
          <w:lang w:val="es-ES_tradnl"/>
        </w:rPr>
        <w:t>por lo que la entrada en vigor requiere ampliar el presupuesto actual para contar con mayor personal e infraestructura.</w:t>
      </w:r>
    </w:p>
    <w:p w14:paraId="65A1A693" w14:textId="77777777" w:rsidR="00E3434F" w:rsidRPr="004A0446" w:rsidRDefault="00E3434F" w:rsidP="00F3730A">
      <w:pPr>
        <w:spacing w:before="10"/>
        <w:ind w:right="567"/>
        <w:rPr>
          <w:rFonts w:ascii="Abadi" w:hAnsi="Abadi" w:cs="Arial"/>
          <w:i/>
          <w:iCs/>
          <w:sz w:val="21"/>
          <w:szCs w:val="21"/>
          <w:lang w:val="es-ES_tradnl"/>
        </w:rPr>
      </w:pPr>
    </w:p>
    <w:p w14:paraId="058033D1" w14:textId="77777777" w:rsidR="00E3434F" w:rsidRPr="004A0446" w:rsidRDefault="00E3434F" w:rsidP="00F3730A">
      <w:pPr>
        <w:ind w:left="1134" w:right="567"/>
        <w:jc w:val="both"/>
        <w:rPr>
          <w:rFonts w:ascii="Abadi" w:hAnsi="Abadi" w:cs="Arial"/>
          <w:i/>
          <w:iCs/>
          <w:sz w:val="21"/>
          <w:szCs w:val="21"/>
          <w:lang w:val="es-ES_tradnl"/>
        </w:rPr>
      </w:pPr>
      <w:r w:rsidRPr="004A0446">
        <w:rPr>
          <w:rFonts w:ascii="Abadi" w:hAnsi="Abadi" w:cs="Arial"/>
          <w:i/>
          <w:iCs/>
          <w:sz w:val="21"/>
          <w:szCs w:val="21"/>
          <w:lang w:val="es-ES_tradnl"/>
        </w:rPr>
        <w:t>Actualmente, la Secretaría de Salud del Estado de Guanajuato refiere que cuenta con la Red de Salud Mental</w:t>
      </w:r>
      <w:r w:rsidRPr="004A0446">
        <w:rPr>
          <w:rFonts w:ascii="Abadi" w:hAnsi="Abadi" w:cs="Arial"/>
          <w:i/>
          <w:iCs/>
          <w:sz w:val="21"/>
          <w:szCs w:val="21"/>
          <w:vertAlign w:val="superscript"/>
          <w:lang w:val="es-ES_tradnl"/>
        </w:rPr>
        <w:footnoteReference w:id="141"/>
      </w:r>
      <w:r w:rsidRPr="004A0446">
        <w:rPr>
          <w:rFonts w:ascii="Abadi" w:hAnsi="Abadi" w:cs="Arial"/>
          <w:i/>
          <w:iCs/>
          <w:sz w:val="21"/>
          <w:szCs w:val="21"/>
          <w:lang w:val="es-ES_tradnl"/>
        </w:rPr>
        <w:t xml:space="preserve"> más importante del país a través de una red de servicios integrada por 179 unidades de Salud Mental, que otorgan servicios de atención por un grupo de profesionales de diferentes disciplinas en el campo de la salud. De manera adicional, menciona que el Modelo focaliza las acciones a través de 4 programas prioritarios en los tres niveles de atención: Programa de prevención y atención de las adicciones, Programa de prevención y atención a la violencia familiar, Programa de prevención y atención al comportamiento suicida y Programa de salud mental.</w:t>
      </w:r>
    </w:p>
    <w:p w14:paraId="2250874F" w14:textId="77777777" w:rsidR="00E3434F" w:rsidRPr="004A0446" w:rsidRDefault="00E3434F" w:rsidP="00F3730A">
      <w:pPr>
        <w:spacing w:before="2"/>
        <w:ind w:left="1134" w:right="567"/>
        <w:rPr>
          <w:rFonts w:ascii="Abadi" w:hAnsi="Abadi" w:cs="Arial"/>
          <w:i/>
          <w:iCs/>
          <w:sz w:val="21"/>
          <w:szCs w:val="21"/>
          <w:lang w:val="es-ES_tradnl"/>
        </w:rPr>
      </w:pPr>
    </w:p>
    <w:p w14:paraId="0663A5E3" w14:textId="77777777" w:rsidR="00E3434F" w:rsidRPr="004A0446" w:rsidRDefault="00E3434F" w:rsidP="00F3730A">
      <w:pPr>
        <w:ind w:left="1134" w:right="567"/>
        <w:jc w:val="both"/>
        <w:rPr>
          <w:rFonts w:ascii="Abadi" w:hAnsi="Abadi" w:cs="Arial"/>
          <w:i/>
          <w:iCs/>
          <w:sz w:val="21"/>
          <w:szCs w:val="21"/>
          <w:lang w:val="es-ES_tradnl"/>
        </w:rPr>
      </w:pPr>
      <w:r w:rsidRPr="004A0446">
        <w:rPr>
          <w:rFonts w:ascii="Abadi" w:hAnsi="Abadi" w:cs="Arial"/>
          <w:i/>
          <w:iCs/>
          <w:sz w:val="21"/>
          <w:szCs w:val="21"/>
          <w:lang w:val="es-ES_tradnl"/>
        </w:rPr>
        <w:t>Particularmente, el Programa de Prevención y Atención a la Conducta Suicida</w:t>
      </w:r>
      <w:r w:rsidRPr="004A0446">
        <w:rPr>
          <w:rFonts w:ascii="Abadi" w:hAnsi="Abadi" w:cs="Arial"/>
          <w:i/>
          <w:iCs/>
          <w:sz w:val="21"/>
          <w:szCs w:val="21"/>
          <w:vertAlign w:val="superscript"/>
          <w:lang w:val="es-ES_tradnl"/>
        </w:rPr>
        <w:t>17</w:t>
      </w:r>
      <w:r w:rsidRPr="004A0446">
        <w:rPr>
          <w:rFonts w:ascii="Abadi" w:hAnsi="Abadi" w:cs="Arial"/>
          <w:i/>
          <w:iCs/>
          <w:sz w:val="21"/>
          <w:szCs w:val="21"/>
          <w:lang w:val="es-ES_tradnl"/>
        </w:rPr>
        <w:t xml:space="preserve"> busca contribuir en la disminución de la incidencia y la frecuencia del acto suicida en el Estado de Guanajuato a través de distintos niveles de acción como son: la prevención, detección, atención, capacitación y sensibilización, investigación y vigilancia epidemiológica.</w:t>
      </w:r>
    </w:p>
    <w:p w14:paraId="37DFB42E" w14:textId="77777777" w:rsidR="00E3434F" w:rsidRPr="004A0446" w:rsidRDefault="00E3434F" w:rsidP="00F3730A">
      <w:pPr>
        <w:ind w:left="1134" w:right="567"/>
        <w:rPr>
          <w:rFonts w:ascii="Abadi" w:hAnsi="Abadi" w:cs="Arial"/>
          <w:i/>
          <w:iCs/>
          <w:sz w:val="21"/>
          <w:szCs w:val="21"/>
          <w:lang w:val="es-ES_tradnl"/>
        </w:rPr>
      </w:pPr>
    </w:p>
    <w:p w14:paraId="1C1023D4" w14:textId="77777777" w:rsidR="00E3434F" w:rsidRPr="004A0446" w:rsidRDefault="00E3434F" w:rsidP="00F3730A">
      <w:pPr>
        <w:widowControl w:val="0"/>
        <w:ind w:left="1134" w:right="567"/>
        <w:jc w:val="both"/>
        <w:rPr>
          <w:rFonts w:ascii="Abadi" w:hAnsi="Abadi" w:cs="Arial"/>
          <w:i/>
          <w:iCs/>
          <w:sz w:val="21"/>
          <w:szCs w:val="21"/>
          <w:lang w:val="es-ES_tradnl"/>
        </w:rPr>
      </w:pPr>
      <w:r w:rsidRPr="004A0446">
        <w:rPr>
          <w:rFonts w:ascii="Abadi" w:hAnsi="Abadi" w:cs="Arial"/>
          <w:i/>
          <w:iCs/>
          <w:sz w:val="21"/>
          <w:szCs w:val="21"/>
          <w:lang w:val="es-ES_tradnl"/>
        </w:rPr>
        <w:t>La atención de la conducta suicida se otorga a través de la red de servicios de atención que se conforma de las diferentes unidades que integran el sistema estatal de salud en Guanajuato y se dividen en tres niveles de atención en donde, el primer nivel lo conforman las unidades médicas, las jurisdicciones sanitarias y las unidades médicas especializadas; el segundo nivel de atención está conformado por los hospitales comunitarios, hospitales generales y hospitales de especialidades y el tercer nivel de atención por el Centro de Atención Integral a la Salud Mental de León, los cuales cuentan con un presupuesto general para poder realizar este tipo de acciones como parte de sus programas operativos anuales; estimándose así un monto general de 8,873.9 millones de pesos que comprende distintas acciones entre ellas la prevención y atención a la conducta suicida:</w:t>
      </w:r>
    </w:p>
    <w:p w14:paraId="323B2AB2" w14:textId="77777777" w:rsidR="00E3434F" w:rsidRPr="004A0446" w:rsidRDefault="00E3434F" w:rsidP="00F3730A">
      <w:pPr>
        <w:autoSpaceDE w:val="0"/>
        <w:autoSpaceDN w:val="0"/>
        <w:adjustRightInd w:val="0"/>
        <w:ind w:right="567"/>
        <w:rPr>
          <w:rFonts w:ascii="Abadi" w:eastAsia="Calibri" w:hAnsi="Abadi" w:cs="Arial"/>
          <w:i/>
          <w:iCs/>
          <w:sz w:val="21"/>
          <w:szCs w:val="21"/>
          <w:lang w:val="es-ES_tradnl" w:eastAsia="en-US"/>
        </w:rPr>
      </w:pPr>
    </w:p>
    <w:p w14:paraId="22E1CEB9" w14:textId="77777777" w:rsidR="00E3434F" w:rsidRPr="004A0446" w:rsidRDefault="00E3434F" w:rsidP="00F3730A">
      <w:pPr>
        <w:ind w:right="567" w:firstLine="709"/>
        <w:jc w:val="both"/>
        <w:rPr>
          <w:rFonts w:ascii="Abadi" w:hAnsi="Abadi" w:cs="Arial"/>
          <w:sz w:val="21"/>
          <w:szCs w:val="21"/>
          <w:lang w:val="es-ES_tradnl"/>
        </w:rPr>
      </w:pPr>
      <w:r w:rsidRPr="004A0446">
        <w:rPr>
          <w:rFonts w:ascii="Abadi" w:hAnsi="Abadi" w:cs="Arial"/>
          <w:sz w:val="21"/>
          <w:szCs w:val="21"/>
          <w:lang w:val="es-ES_tradnl"/>
        </w:rPr>
        <w:t xml:space="preserve">       (…)</w:t>
      </w:r>
      <w:r w:rsidRPr="004A0446">
        <w:rPr>
          <w:rFonts w:ascii="Abadi" w:eastAsia="Calibri" w:hAnsi="Abadi" w:cs="Arial"/>
          <w:b/>
          <w:bCs/>
          <w:sz w:val="21"/>
          <w:szCs w:val="21"/>
          <w:vertAlign w:val="superscript"/>
          <w:lang w:val="es-ES_tradnl" w:eastAsia="en-US"/>
        </w:rPr>
        <w:t xml:space="preserve"> </w:t>
      </w:r>
    </w:p>
    <w:p w14:paraId="4BC463CD" w14:textId="77777777" w:rsidR="00E3434F" w:rsidRPr="004A0446" w:rsidRDefault="00E3434F" w:rsidP="00F3730A">
      <w:pPr>
        <w:ind w:left="1134" w:right="567"/>
        <w:jc w:val="both"/>
        <w:rPr>
          <w:rFonts w:ascii="Abadi" w:hAnsi="Abadi" w:cs="Arial"/>
          <w:i/>
          <w:iCs/>
          <w:sz w:val="21"/>
          <w:szCs w:val="21"/>
          <w:lang w:val="es-ES_tradnl"/>
        </w:rPr>
      </w:pPr>
      <w:r w:rsidRPr="004A0446">
        <w:rPr>
          <w:rFonts w:ascii="Abadi" w:hAnsi="Abadi" w:cs="Arial"/>
          <w:i/>
          <w:iCs/>
          <w:sz w:val="21"/>
          <w:szCs w:val="21"/>
          <w:lang w:val="es-ES_tradnl"/>
        </w:rPr>
        <w:t>En Guanajuato existen Redes Municipales de Prevención de la Conducta Suicida</w:t>
      </w:r>
      <w:r w:rsidRPr="004A0446">
        <w:rPr>
          <w:rFonts w:ascii="Abadi" w:hAnsi="Abadi" w:cs="Arial"/>
          <w:i/>
          <w:iCs/>
          <w:sz w:val="21"/>
          <w:szCs w:val="21"/>
          <w:vertAlign w:val="superscript"/>
          <w:lang w:val="es-ES_tradnl"/>
        </w:rPr>
        <w:footnoteReference w:id="142"/>
      </w:r>
      <w:r w:rsidRPr="004A0446">
        <w:rPr>
          <w:rFonts w:ascii="Abadi" w:hAnsi="Abadi" w:cs="Arial"/>
          <w:i/>
          <w:iCs/>
          <w:sz w:val="21"/>
          <w:szCs w:val="21"/>
          <w:lang w:val="es-ES_tradnl"/>
        </w:rPr>
        <w:t xml:space="preserve"> misma que está conformada por integrantes de los distintos sectores de la sociedad como Secretaría de Seguridad Pública, DIF, Presidencia Municipal, Secretaría de Educación, Instituto de Cultura, del Deporte, Cruz Roja, Protección Civil, Cuerpo de Bomberos, Asociaciones Civiles, Instituciones educativas públicas y privadas, Hospitales particulares; bajo la coordinación de Secretaría de Salud y las Direcciones de Salud Municipal, en específico, de las área de salud mental de cada municipio.</w:t>
      </w:r>
    </w:p>
    <w:p w14:paraId="48358C15" w14:textId="77777777" w:rsidR="00E3434F" w:rsidRPr="004A0446" w:rsidRDefault="00E3434F" w:rsidP="00F3730A">
      <w:pPr>
        <w:ind w:left="1134" w:right="567"/>
        <w:rPr>
          <w:rFonts w:ascii="Abadi" w:hAnsi="Abadi" w:cs="Arial"/>
          <w:sz w:val="21"/>
          <w:szCs w:val="21"/>
          <w:lang w:val="es-ES_tradnl"/>
        </w:rPr>
      </w:pPr>
    </w:p>
    <w:p w14:paraId="494BEEF3" w14:textId="77777777" w:rsidR="00E3434F" w:rsidRPr="004A0446" w:rsidRDefault="00E3434F" w:rsidP="00F3730A">
      <w:pPr>
        <w:widowControl w:val="0"/>
        <w:ind w:left="1134" w:right="567"/>
        <w:jc w:val="both"/>
        <w:rPr>
          <w:rFonts w:ascii="Abadi" w:hAnsi="Abadi" w:cs="Arial"/>
          <w:i/>
          <w:iCs/>
          <w:sz w:val="21"/>
          <w:szCs w:val="21"/>
          <w:lang w:val="es-ES_tradnl"/>
        </w:rPr>
      </w:pPr>
      <w:r w:rsidRPr="004A0446">
        <w:rPr>
          <w:rFonts w:ascii="Abadi" w:hAnsi="Abadi" w:cs="Arial"/>
          <w:i/>
          <w:iCs/>
          <w:sz w:val="21"/>
          <w:szCs w:val="21"/>
          <w:lang w:val="es-ES_tradnl"/>
        </w:rPr>
        <w:t>También, la Secretaría de Salud de Guanajuato congregó a los representantes de 20 municipios para dar continuidad a las acciones de Planet Youth</w:t>
      </w:r>
      <w:r w:rsidRPr="004A0446">
        <w:rPr>
          <w:rFonts w:ascii="Abadi" w:hAnsi="Abadi" w:cs="Arial"/>
          <w:i/>
          <w:iCs/>
          <w:sz w:val="21"/>
          <w:szCs w:val="21"/>
          <w:vertAlign w:val="superscript"/>
          <w:lang w:val="es-ES_tradnl"/>
        </w:rPr>
        <w:footnoteReference w:id="143"/>
      </w:r>
      <w:r w:rsidRPr="004A0446">
        <w:rPr>
          <w:rFonts w:ascii="Abadi" w:hAnsi="Abadi" w:cs="Arial"/>
          <w:i/>
          <w:iCs/>
          <w:sz w:val="21"/>
          <w:szCs w:val="21"/>
          <w:vertAlign w:val="superscript"/>
          <w:lang w:val="es-ES_tradnl"/>
        </w:rPr>
        <w:t xml:space="preserve"> </w:t>
      </w:r>
      <w:r w:rsidRPr="004A0446">
        <w:rPr>
          <w:rFonts w:ascii="Abadi" w:hAnsi="Abadi" w:cs="Arial"/>
          <w:i/>
          <w:iCs/>
          <w:sz w:val="21"/>
          <w:szCs w:val="21"/>
          <w:lang w:val="es-ES_tradnl"/>
        </w:rPr>
        <w:t>con la finalidad de dar continuidad a las acciones para la implementación de la estrategia para la Prevención de Adicciones en Jóvenes, es importante mencionar que las adicciones constituyen importantes factores de riesgo para que se presenten conductas suicidas en los jóvenes.</w:t>
      </w:r>
    </w:p>
    <w:p w14:paraId="011ABAA5" w14:textId="77777777" w:rsidR="00E3434F" w:rsidRPr="004A0446" w:rsidRDefault="00E3434F" w:rsidP="00F3730A">
      <w:pPr>
        <w:widowControl w:val="0"/>
        <w:ind w:left="567" w:right="850"/>
        <w:jc w:val="both"/>
        <w:rPr>
          <w:rFonts w:ascii="Abadi" w:hAnsi="Abadi" w:cs="Arial"/>
          <w:sz w:val="21"/>
          <w:szCs w:val="21"/>
          <w:lang w:val="es-ES_tradnl"/>
        </w:rPr>
      </w:pPr>
    </w:p>
    <w:p w14:paraId="797701A9" w14:textId="77777777" w:rsidR="00E3434F" w:rsidRPr="004A0446" w:rsidRDefault="00E3434F" w:rsidP="00F3730A">
      <w:pPr>
        <w:spacing w:before="90"/>
        <w:ind w:left="222" w:right="567" w:firstLine="912"/>
        <w:jc w:val="both"/>
        <w:rPr>
          <w:rFonts w:ascii="Abadi" w:hAnsi="Abadi" w:cs="Arial"/>
          <w:i/>
          <w:iCs/>
          <w:sz w:val="21"/>
          <w:szCs w:val="21"/>
          <w:lang w:val="es-ES_tradnl"/>
        </w:rPr>
      </w:pPr>
      <w:r w:rsidRPr="004A0446">
        <w:rPr>
          <w:rFonts w:ascii="Abadi" w:hAnsi="Abadi" w:cs="Arial"/>
          <w:i/>
          <w:iCs/>
          <w:sz w:val="21"/>
          <w:szCs w:val="21"/>
          <w:lang w:val="es-ES_tradnl"/>
        </w:rPr>
        <w:t>El modelo Planet Youth se encuentra conformado por cuatro pasos:</w:t>
      </w:r>
    </w:p>
    <w:p w14:paraId="6587B9AA" w14:textId="77777777" w:rsidR="00E3434F" w:rsidRPr="004A0446" w:rsidRDefault="00E3434F" w:rsidP="00F3730A">
      <w:pPr>
        <w:spacing w:before="3"/>
        <w:rPr>
          <w:rFonts w:ascii="Abadi" w:hAnsi="Abadi" w:cs="Arial"/>
          <w:i/>
          <w:iCs/>
          <w:sz w:val="21"/>
          <w:szCs w:val="21"/>
          <w:lang w:val="es-ES_tradnl"/>
        </w:rPr>
      </w:pPr>
    </w:p>
    <w:p w14:paraId="22EA8B26" w14:textId="77777777" w:rsidR="00E3434F" w:rsidRPr="004A0446" w:rsidRDefault="00E3434F" w:rsidP="00F3730A">
      <w:pPr>
        <w:widowControl w:val="0"/>
        <w:numPr>
          <w:ilvl w:val="1"/>
          <w:numId w:val="72"/>
        </w:numPr>
        <w:autoSpaceDE w:val="0"/>
        <w:autoSpaceDN w:val="0"/>
        <w:ind w:left="1418" w:right="567" w:hanging="284"/>
        <w:jc w:val="both"/>
        <w:rPr>
          <w:rFonts w:ascii="Abadi" w:hAnsi="Abadi" w:cs="Arial"/>
          <w:i/>
          <w:iCs/>
          <w:sz w:val="21"/>
          <w:szCs w:val="21"/>
          <w:lang w:val="es-ES_tradnl"/>
        </w:rPr>
      </w:pPr>
      <w:r w:rsidRPr="004A0446">
        <w:rPr>
          <w:rFonts w:ascii="Abadi" w:hAnsi="Abadi" w:cs="Arial"/>
          <w:i/>
          <w:iCs/>
          <w:sz w:val="21"/>
          <w:szCs w:val="21"/>
          <w:lang w:val="es-ES_tradnl"/>
        </w:rPr>
        <w:t>En el primero, un grupo de científicos sociales y legisladores se sirve de datos para identificar el alcance del problema y las líneas maestras de la estrategia a seguir.</w:t>
      </w:r>
    </w:p>
    <w:p w14:paraId="1AE8E2DC" w14:textId="77777777" w:rsidR="00E3434F" w:rsidRPr="004A0446" w:rsidRDefault="00E3434F" w:rsidP="00F3730A">
      <w:pPr>
        <w:widowControl w:val="0"/>
        <w:numPr>
          <w:ilvl w:val="1"/>
          <w:numId w:val="72"/>
        </w:numPr>
        <w:autoSpaceDE w:val="0"/>
        <w:autoSpaceDN w:val="0"/>
        <w:ind w:left="1418" w:right="567" w:hanging="284"/>
        <w:jc w:val="both"/>
        <w:rPr>
          <w:rFonts w:ascii="Abadi" w:hAnsi="Abadi" w:cs="Arial"/>
          <w:i/>
          <w:iCs/>
          <w:sz w:val="21"/>
          <w:szCs w:val="21"/>
          <w:lang w:val="es-ES_tradnl"/>
        </w:rPr>
      </w:pPr>
      <w:r w:rsidRPr="004A0446">
        <w:rPr>
          <w:rFonts w:ascii="Abadi" w:hAnsi="Abadi" w:cs="Arial"/>
          <w:i/>
          <w:iCs/>
          <w:sz w:val="21"/>
          <w:szCs w:val="21"/>
          <w:lang w:val="es-ES_tradnl"/>
        </w:rPr>
        <w:t>El segundo paso es actuar a escala local, para lo cual, los miembros del equipo se ponen en acción y debaten sobre los datos locales de las comunidades y barrios de todo el país.</w:t>
      </w:r>
    </w:p>
    <w:p w14:paraId="7353D248" w14:textId="77777777" w:rsidR="00E3434F" w:rsidRPr="004A0446" w:rsidRDefault="00E3434F" w:rsidP="00F3730A">
      <w:pPr>
        <w:widowControl w:val="0"/>
        <w:numPr>
          <w:ilvl w:val="1"/>
          <w:numId w:val="72"/>
        </w:numPr>
        <w:autoSpaceDE w:val="0"/>
        <w:autoSpaceDN w:val="0"/>
        <w:ind w:left="1418" w:right="567" w:hanging="284"/>
        <w:jc w:val="both"/>
        <w:rPr>
          <w:rFonts w:ascii="Abadi" w:hAnsi="Abadi" w:cs="Arial"/>
          <w:i/>
          <w:iCs/>
          <w:sz w:val="21"/>
          <w:szCs w:val="21"/>
          <w:lang w:val="es-ES_tradnl"/>
        </w:rPr>
      </w:pPr>
      <w:r w:rsidRPr="004A0446">
        <w:rPr>
          <w:rFonts w:ascii="Abadi" w:hAnsi="Abadi" w:cs="Arial"/>
          <w:i/>
          <w:iCs/>
          <w:sz w:val="21"/>
          <w:szCs w:val="21"/>
          <w:lang w:val="es-ES_tradnl"/>
        </w:rPr>
        <w:t>El tercer paso es la actuación a nivel local en múltiples lugares, tomando en cuenta los datos nacionales, pero infundiéndoles el espíritu, los talentos e imaginario únicos de cada barrio, población o región.</w:t>
      </w:r>
    </w:p>
    <w:p w14:paraId="71B7157B" w14:textId="77777777" w:rsidR="00E3434F" w:rsidRPr="004A0446" w:rsidRDefault="00E3434F" w:rsidP="00F3730A">
      <w:pPr>
        <w:widowControl w:val="0"/>
        <w:numPr>
          <w:ilvl w:val="1"/>
          <w:numId w:val="72"/>
        </w:numPr>
        <w:autoSpaceDE w:val="0"/>
        <w:autoSpaceDN w:val="0"/>
        <w:spacing w:before="1"/>
        <w:ind w:left="1418" w:right="567" w:hanging="284"/>
        <w:jc w:val="both"/>
        <w:rPr>
          <w:rFonts w:ascii="Abadi" w:hAnsi="Abadi" w:cs="Arial"/>
          <w:i/>
          <w:iCs/>
          <w:sz w:val="21"/>
          <w:szCs w:val="21"/>
          <w:lang w:val="es-ES_tradnl"/>
        </w:rPr>
      </w:pPr>
      <w:r w:rsidRPr="004A0446">
        <w:rPr>
          <w:rFonts w:ascii="Abadi" w:hAnsi="Abadi" w:cs="Arial"/>
          <w:i/>
          <w:iCs/>
          <w:sz w:val="21"/>
          <w:szCs w:val="21"/>
          <w:lang w:val="es-ES_tradnl"/>
        </w:rPr>
        <w:t>El cuarto paso es la reflexión integradora: dado que los participantes revisan las actividades locales, se exploran las dimensiones de proceso y resultados del conjunto de las actividades, que después se analizan con una nueva ronda de datos nacionales.</w:t>
      </w:r>
    </w:p>
    <w:p w14:paraId="17BFFD4E" w14:textId="77777777" w:rsidR="00E3434F" w:rsidRPr="004A0446" w:rsidRDefault="00E3434F" w:rsidP="00F3730A">
      <w:pPr>
        <w:spacing w:before="3"/>
        <w:ind w:right="283"/>
        <w:rPr>
          <w:rFonts w:ascii="Abadi" w:hAnsi="Abadi" w:cs="Arial"/>
          <w:i/>
          <w:iCs/>
          <w:sz w:val="21"/>
          <w:szCs w:val="21"/>
          <w:lang w:val="es-ES_tradnl"/>
        </w:rPr>
      </w:pPr>
    </w:p>
    <w:p w14:paraId="3B656949" w14:textId="77777777" w:rsidR="00E3434F" w:rsidRPr="004A0446" w:rsidRDefault="00E3434F" w:rsidP="00F3730A">
      <w:pPr>
        <w:widowControl w:val="0"/>
        <w:ind w:left="1134" w:right="567"/>
        <w:jc w:val="both"/>
        <w:rPr>
          <w:rFonts w:ascii="Abadi" w:hAnsi="Abadi" w:cs="Arial"/>
          <w:i/>
          <w:iCs/>
          <w:sz w:val="21"/>
          <w:szCs w:val="21"/>
          <w:lang w:val="es-ES_tradnl"/>
        </w:rPr>
      </w:pPr>
      <w:r w:rsidRPr="004A0446">
        <w:rPr>
          <w:rFonts w:ascii="Abadi" w:hAnsi="Abadi" w:cs="Arial"/>
          <w:i/>
          <w:iCs/>
          <w:sz w:val="21"/>
          <w:szCs w:val="21"/>
          <w:lang w:val="es-ES_tradnl"/>
        </w:rPr>
        <w:t>Adicionalmente, la Secretaría de Salud de Guanajuato cuenta con el Centro de Atención Telefónica para Crisis Psicológica 800 290 00 24 y la página dinamicamente.mx donde otorgan información y orientación a personas con riesgo suicida o sus familiares, tienen atención personalizada las 24 horas con psicólogos y personal altamente capacitado.</w:t>
      </w:r>
    </w:p>
    <w:p w14:paraId="3C84E817" w14:textId="77777777" w:rsidR="00E3434F" w:rsidRPr="004A0446" w:rsidRDefault="00E3434F" w:rsidP="00F3730A">
      <w:pPr>
        <w:widowControl w:val="0"/>
        <w:ind w:left="1134" w:right="567"/>
        <w:jc w:val="both"/>
        <w:rPr>
          <w:rFonts w:ascii="Abadi" w:hAnsi="Abadi" w:cs="Arial"/>
          <w:i/>
          <w:iCs/>
          <w:sz w:val="21"/>
          <w:szCs w:val="21"/>
          <w:lang w:val="es-ES_tradnl"/>
        </w:rPr>
      </w:pPr>
    </w:p>
    <w:p w14:paraId="51C89AA3" w14:textId="77777777" w:rsidR="00E3434F" w:rsidRPr="004A0446" w:rsidRDefault="00E3434F" w:rsidP="00F3730A">
      <w:pPr>
        <w:widowControl w:val="0"/>
        <w:ind w:left="1134" w:right="567"/>
        <w:jc w:val="both"/>
        <w:rPr>
          <w:rFonts w:ascii="Abadi" w:hAnsi="Abadi" w:cs="Arial"/>
          <w:i/>
          <w:iCs/>
          <w:sz w:val="21"/>
          <w:szCs w:val="21"/>
          <w:lang w:val="es-ES_tradnl"/>
        </w:rPr>
      </w:pPr>
      <w:r w:rsidRPr="004A0446">
        <w:rPr>
          <w:rFonts w:ascii="Abadi" w:hAnsi="Abadi" w:cs="Arial"/>
          <w:i/>
          <w:iCs/>
          <w:sz w:val="21"/>
          <w:szCs w:val="21"/>
          <w:lang w:val="es-ES_tradnl"/>
        </w:rPr>
        <w:t>Del análisis realizado, en lo correspondiente a la asignación presupuestal de recursos para este ejercicio 2022, se identifica que el Instituto de Salud Pública del Estado de Guanajuato (ISAPEG) tiene asignado un presupuesto específico para el desarrollo de programas y acciones en materia de salud mental, lugar donde se da consulta externa, atención psicoterapéutica, atención de especialidad, urgencias y hospitalización a pacientes con conducta de riesgo suicida grave. Esta atención se encuentra en el tercer nivel de atención dentro del siguiente programa:</w:t>
      </w:r>
    </w:p>
    <w:p w14:paraId="17E148B7" w14:textId="77777777" w:rsidR="00E3434F" w:rsidRPr="004A0446" w:rsidRDefault="00E3434F" w:rsidP="00F3730A">
      <w:pPr>
        <w:widowControl w:val="0"/>
        <w:ind w:left="1560" w:hanging="1702"/>
        <w:jc w:val="both"/>
        <w:rPr>
          <w:rFonts w:ascii="Abadi" w:hAnsi="Abadi" w:cs="Arial"/>
          <w:i/>
          <w:iCs/>
          <w:sz w:val="21"/>
          <w:szCs w:val="21"/>
          <w:lang w:val="es-ES_tradnl"/>
        </w:rPr>
      </w:pPr>
    </w:p>
    <w:tbl>
      <w:tblPr>
        <w:tblpPr w:leftFromText="141" w:rightFromText="141" w:vertAnchor="text" w:horzAnchor="page" w:tblpX="1141" w:tblpY="907"/>
        <w:tblW w:w="5000" w:type="pct"/>
        <w:tblCellMar>
          <w:left w:w="0" w:type="dxa"/>
          <w:right w:w="0" w:type="dxa"/>
        </w:tblCellMar>
        <w:tblLook w:val="01E0" w:firstRow="1" w:lastRow="1" w:firstColumn="1" w:lastColumn="1" w:noHBand="0" w:noVBand="0"/>
      </w:tblPr>
      <w:tblGrid>
        <w:gridCol w:w="2811"/>
        <w:gridCol w:w="1300"/>
      </w:tblGrid>
      <w:tr w:rsidR="00E3434F" w:rsidRPr="004A0446" w14:paraId="1F385940" w14:textId="77777777" w:rsidTr="00346E33">
        <w:trPr>
          <w:trHeight w:val="226"/>
        </w:trPr>
        <w:tc>
          <w:tcPr>
            <w:tcW w:w="3419" w:type="pct"/>
            <w:shd w:val="clear" w:color="auto" w:fill="auto"/>
          </w:tcPr>
          <w:p w14:paraId="38AF64BB" w14:textId="77777777" w:rsidR="00E3434F" w:rsidRPr="004A0446" w:rsidRDefault="00E3434F" w:rsidP="00F3730A">
            <w:pPr>
              <w:widowControl w:val="0"/>
              <w:autoSpaceDE w:val="0"/>
              <w:autoSpaceDN w:val="0"/>
              <w:ind w:left="69"/>
              <w:rPr>
                <w:rFonts w:ascii="Abadi" w:eastAsia="Arial" w:hAnsi="Abadi" w:cs="Arial"/>
                <w:b/>
                <w:sz w:val="21"/>
                <w:szCs w:val="21"/>
                <w:lang w:val="es-MX" w:eastAsia="en-US"/>
              </w:rPr>
            </w:pPr>
          </w:p>
          <w:p w14:paraId="3BB82204" w14:textId="77777777" w:rsidR="00E3434F" w:rsidRPr="004A0446" w:rsidRDefault="00E3434F" w:rsidP="00F3730A">
            <w:pPr>
              <w:widowControl w:val="0"/>
              <w:autoSpaceDE w:val="0"/>
              <w:autoSpaceDN w:val="0"/>
              <w:ind w:left="69"/>
              <w:rPr>
                <w:rFonts w:ascii="Abadi" w:eastAsia="Arial" w:hAnsi="Abadi" w:cs="Arial"/>
                <w:b/>
                <w:sz w:val="21"/>
                <w:szCs w:val="21"/>
                <w:lang w:val="es-MX" w:eastAsia="en-US"/>
              </w:rPr>
            </w:pPr>
            <w:r w:rsidRPr="004A0446">
              <w:rPr>
                <w:rFonts w:ascii="Abadi" w:eastAsia="Arial" w:hAnsi="Abadi" w:cs="Arial"/>
                <w:b/>
                <w:sz w:val="21"/>
                <w:szCs w:val="21"/>
                <w:lang w:val="es-MX" w:eastAsia="en-US"/>
              </w:rPr>
              <w:t>Ejercicio</w:t>
            </w:r>
            <w:r w:rsidRPr="004A0446">
              <w:rPr>
                <w:rFonts w:ascii="Abadi" w:eastAsia="Arial" w:hAnsi="Abadi" w:cs="Arial"/>
                <w:b/>
                <w:spacing w:val="-6"/>
                <w:sz w:val="21"/>
                <w:szCs w:val="21"/>
                <w:lang w:val="es-MX" w:eastAsia="en-US"/>
              </w:rPr>
              <w:t xml:space="preserve"> </w:t>
            </w:r>
            <w:r w:rsidRPr="004A0446">
              <w:rPr>
                <w:rFonts w:ascii="Abadi" w:eastAsia="Arial" w:hAnsi="Abadi" w:cs="Arial"/>
                <w:b/>
                <w:sz w:val="21"/>
                <w:szCs w:val="21"/>
                <w:lang w:val="es-MX" w:eastAsia="en-US"/>
              </w:rPr>
              <w:t>fiscal</w:t>
            </w:r>
            <w:r w:rsidRPr="004A0446">
              <w:rPr>
                <w:rFonts w:ascii="Abadi" w:eastAsia="Arial" w:hAnsi="Abadi" w:cs="Arial"/>
                <w:b/>
                <w:spacing w:val="-6"/>
                <w:sz w:val="21"/>
                <w:szCs w:val="21"/>
                <w:lang w:val="es-MX" w:eastAsia="en-US"/>
              </w:rPr>
              <w:t xml:space="preserve"> </w:t>
            </w:r>
            <w:r w:rsidRPr="004A0446">
              <w:rPr>
                <w:rFonts w:ascii="Abadi" w:eastAsia="Arial" w:hAnsi="Abadi" w:cs="Arial"/>
                <w:b/>
                <w:spacing w:val="-4"/>
                <w:sz w:val="21"/>
                <w:szCs w:val="21"/>
                <w:lang w:val="es-MX" w:eastAsia="en-US"/>
              </w:rPr>
              <w:t>2022</w:t>
            </w:r>
          </w:p>
        </w:tc>
        <w:tc>
          <w:tcPr>
            <w:tcW w:w="1581" w:type="pct"/>
            <w:shd w:val="clear" w:color="auto" w:fill="auto"/>
          </w:tcPr>
          <w:p w14:paraId="21FDC341" w14:textId="77777777" w:rsidR="00E3434F" w:rsidRPr="004A0446" w:rsidRDefault="00E3434F" w:rsidP="00F3730A">
            <w:pPr>
              <w:widowControl w:val="0"/>
              <w:autoSpaceDE w:val="0"/>
              <w:autoSpaceDN w:val="0"/>
              <w:rPr>
                <w:rFonts w:ascii="Abadi" w:eastAsia="Arial" w:hAnsi="Abadi" w:cs="Arial"/>
                <w:sz w:val="21"/>
                <w:szCs w:val="21"/>
                <w:lang w:val="es-MX" w:eastAsia="en-US"/>
              </w:rPr>
            </w:pPr>
          </w:p>
        </w:tc>
      </w:tr>
      <w:tr w:rsidR="00E3434F" w:rsidRPr="004A0446" w14:paraId="668911F9" w14:textId="77777777" w:rsidTr="00346E33">
        <w:trPr>
          <w:trHeight w:val="466"/>
        </w:trPr>
        <w:tc>
          <w:tcPr>
            <w:tcW w:w="3419" w:type="pct"/>
            <w:shd w:val="clear" w:color="auto" w:fill="auto"/>
          </w:tcPr>
          <w:p w14:paraId="4FC4AE69" w14:textId="1EC278F6" w:rsidR="00E3434F" w:rsidRPr="004A0446" w:rsidRDefault="00E3434F" w:rsidP="00F3730A">
            <w:pPr>
              <w:widowControl w:val="0"/>
              <w:autoSpaceDE w:val="0"/>
              <w:autoSpaceDN w:val="0"/>
              <w:spacing w:before="123"/>
              <w:ind w:right="2021"/>
              <w:rPr>
                <w:rFonts w:ascii="Abadi" w:eastAsia="Arial" w:hAnsi="Abadi" w:cs="Arial"/>
                <w:b/>
                <w:sz w:val="21"/>
                <w:szCs w:val="21"/>
                <w:lang w:val="es-MX" w:eastAsia="en-US"/>
              </w:rPr>
            </w:pPr>
            <w:r w:rsidRPr="004A0446">
              <w:rPr>
                <w:rFonts w:ascii="Abadi" w:eastAsia="Arial" w:hAnsi="Abadi" w:cs="Arial"/>
                <w:b/>
                <w:spacing w:val="-2"/>
                <w:sz w:val="21"/>
                <w:szCs w:val="21"/>
                <w:lang w:val="es-MX" w:eastAsia="en-US"/>
              </w:rPr>
              <w:t xml:space="preserve">                                       Progra</w:t>
            </w:r>
            <w:r w:rsidR="002462D3">
              <w:rPr>
                <w:rFonts w:ascii="Abadi" w:eastAsia="Arial" w:hAnsi="Abadi" w:cs="Arial"/>
                <w:b/>
                <w:spacing w:val="-2"/>
                <w:sz w:val="21"/>
                <w:szCs w:val="21"/>
                <w:lang w:val="es-MX" w:eastAsia="en-US"/>
              </w:rPr>
              <w:t>m</w:t>
            </w:r>
            <w:r w:rsidRPr="004A0446">
              <w:rPr>
                <w:rFonts w:ascii="Abadi" w:eastAsia="Arial" w:hAnsi="Abadi" w:cs="Arial"/>
                <w:b/>
                <w:spacing w:val="-2"/>
                <w:sz w:val="21"/>
                <w:szCs w:val="21"/>
                <w:lang w:val="es-MX" w:eastAsia="en-US"/>
              </w:rPr>
              <w:t>a</w:t>
            </w:r>
          </w:p>
        </w:tc>
        <w:tc>
          <w:tcPr>
            <w:tcW w:w="1581" w:type="pct"/>
            <w:shd w:val="clear" w:color="auto" w:fill="auto"/>
          </w:tcPr>
          <w:p w14:paraId="4763DAE5" w14:textId="77777777" w:rsidR="00E3434F" w:rsidRPr="004A0446" w:rsidRDefault="00E3434F" w:rsidP="00F3730A">
            <w:pPr>
              <w:widowControl w:val="0"/>
              <w:autoSpaceDE w:val="0"/>
              <w:autoSpaceDN w:val="0"/>
              <w:spacing w:before="20"/>
              <w:ind w:left="308"/>
              <w:rPr>
                <w:rFonts w:ascii="Abadi" w:eastAsia="Arial" w:hAnsi="Abadi" w:cs="Arial"/>
                <w:b/>
                <w:sz w:val="21"/>
                <w:szCs w:val="21"/>
                <w:lang w:val="es-MX" w:eastAsia="en-US"/>
              </w:rPr>
            </w:pPr>
            <w:r w:rsidRPr="004A0446">
              <w:rPr>
                <w:rFonts w:ascii="Abadi" w:eastAsia="Arial" w:hAnsi="Abadi" w:cs="Arial"/>
                <w:b/>
                <w:spacing w:val="-2"/>
                <w:sz w:val="21"/>
                <w:szCs w:val="21"/>
                <w:lang w:val="es-MX" w:eastAsia="en-US"/>
              </w:rPr>
              <w:t>Monto asignado</w:t>
            </w:r>
          </w:p>
          <w:p w14:paraId="5CD15A7B" w14:textId="77777777" w:rsidR="00E3434F" w:rsidRPr="004A0446" w:rsidRDefault="00E3434F" w:rsidP="00F3730A">
            <w:pPr>
              <w:widowControl w:val="0"/>
              <w:tabs>
                <w:tab w:val="left" w:pos="1246"/>
              </w:tabs>
              <w:autoSpaceDE w:val="0"/>
              <w:autoSpaceDN w:val="0"/>
              <w:ind w:left="-4735" w:right="-15"/>
              <w:rPr>
                <w:rFonts w:ascii="Abadi" w:eastAsia="Arial" w:hAnsi="Abadi" w:cs="Arial"/>
                <w:b/>
                <w:sz w:val="21"/>
                <w:szCs w:val="21"/>
                <w:lang w:val="es-MX" w:eastAsia="en-US"/>
              </w:rPr>
            </w:pPr>
            <w:r w:rsidRPr="004A0446">
              <w:rPr>
                <w:rFonts w:ascii="Abadi" w:eastAsia="Arial" w:hAnsi="Abadi" w:cs="Arial"/>
                <w:b/>
                <w:spacing w:val="78"/>
                <w:w w:val="150"/>
                <w:sz w:val="21"/>
                <w:szCs w:val="21"/>
                <w:u w:val="single"/>
                <w:lang w:val="es-MX" w:eastAsia="en-US"/>
              </w:rPr>
              <w:t xml:space="preserve">                                asignado</w:t>
            </w:r>
            <w:r w:rsidRPr="004A0446">
              <w:rPr>
                <w:rFonts w:ascii="Abadi" w:eastAsia="Arial" w:hAnsi="Abadi" w:cs="Arial"/>
                <w:b/>
                <w:spacing w:val="-2"/>
                <w:sz w:val="21"/>
                <w:szCs w:val="21"/>
                <w:u w:val="single"/>
                <w:lang w:val="es-MX" w:eastAsia="en-US"/>
              </w:rPr>
              <w:t>asignado</w:t>
            </w:r>
            <w:r w:rsidRPr="004A0446">
              <w:rPr>
                <w:rFonts w:ascii="Abadi" w:eastAsia="Arial" w:hAnsi="Abadi" w:cs="Arial"/>
                <w:b/>
                <w:sz w:val="21"/>
                <w:szCs w:val="21"/>
                <w:u w:val="single"/>
                <w:lang w:val="es-MX" w:eastAsia="en-US"/>
              </w:rPr>
              <w:tab/>
            </w:r>
          </w:p>
        </w:tc>
      </w:tr>
      <w:tr w:rsidR="00E3434F" w:rsidRPr="004A0446" w14:paraId="2752DFAF" w14:textId="77777777" w:rsidTr="00346E33">
        <w:trPr>
          <w:trHeight w:val="481"/>
        </w:trPr>
        <w:tc>
          <w:tcPr>
            <w:tcW w:w="3419" w:type="pct"/>
            <w:tcBorders>
              <w:bottom w:val="single" w:sz="8" w:space="0" w:color="000000"/>
            </w:tcBorders>
            <w:shd w:val="clear" w:color="auto" w:fill="auto"/>
          </w:tcPr>
          <w:p w14:paraId="33836FE0" w14:textId="77777777" w:rsidR="00E3434F" w:rsidRPr="004A0446" w:rsidRDefault="00E3434F" w:rsidP="00F3730A">
            <w:pPr>
              <w:widowControl w:val="0"/>
              <w:autoSpaceDE w:val="0"/>
              <w:autoSpaceDN w:val="0"/>
              <w:spacing w:before="26"/>
              <w:ind w:left="69"/>
              <w:rPr>
                <w:rFonts w:ascii="Abadi" w:eastAsia="Arial" w:hAnsi="Abadi" w:cs="Arial"/>
                <w:sz w:val="21"/>
                <w:szCs w:val="21"/>
                <w:lang w:val="es-ES_tradnl" w:eastAsia="en-US"/>
              </w:rPr>
            </w:pPr>
            <w:r w:rsidRPr="004A0446">
              <w:rPr>
                <w:rFonts w:ascii="Abadi" w:eastAsia="Arial" w:hAnsi="Abadi" w:cs="Arial"/>
                <w:sz w:val="21"/>
                <w:szCs w:val="21"/>
                <w:lang w:val="es-ES_tradnl" w:eastAsia="en-US"/>
              </w:rPr>
              <w:t>P1324</w:t>
            </w:r>
            <w:r w:rsidRPr="004A0446">
              <w:rPr>
                <w:rFonts w:ascii="Abadi" w:eastAsia="Arial" w:hAnsi="Abadi" w:cs="Arial"/>
                <w:spacing w:val="40"/>
                <w:sz w:val="21"/>
                <w:szCs w:val="21"/>
                <w:lang w:val="es-ES_tradnl" w:eastAsia="en-US"/>
              </w:rPr>
              <w:t xml:space="preserve"> </w:t>
            </w:r>
            <w:r w:rsidRPr="004A0446">
              <w:rPr>
                <w:rFonts w:ascii="Abadi" w:eastAsia="Arial" w:hAnsi="Abadi" w:cs="Arial"/>
                <w:sz w:val="21"/>
                <w:szCs w:val="21"/>
                <w:lang w:val="es-ES_tradnl" w:eastAsia="en-US"/>
              </w:rPr>
              <w:t>Atención</w:t>
            </w:r>
            <w:r w:rsidRPr="004A0446">
              <w:rPr>
                <w:rFonts w:ascii="Abadi" w:eastAsia="Arial" w:hAnsi="Abadi" w:cs="Arial"/>
                <w:spacing w:val="40"/>
                <w:sz w:val="21"/>
                <w:szCs w:val="21"/>
                <w:lang w:val="es-ES_tradnl" w:eastAsia="en-US"/>
              </w:rPr>
              <w:t xml:space="preserve"> </w:t>
            </w:r>
            <w:r w:rsidRPr="004A0446">
              <w:rPr>
                <w:rFonts w:ascii="Abadi" w:eastAsia="Arial" w:hAnsi="Abadi" w:cs="Arial"/>
                <w:sz w:val="21"/>
                <w:szCs w:val="21"/>
                <w:lang w:val="es-ES_tradnl" w:eastAsia="en-US"/>
              </w:rPr>
              <w:t>de</w:t>
            </w:r>
            <w:r w:rsidRPr="004A0446">
              <w:rPr>
                <w:rFonts w:ascii="Abadi" w:eastAsia="Arial" w:hAnsi="Abadi" w:cs="Arial"/>
                <w:spacing w:val="40"/>
                <w:sz w:val="21"/>
                <w:szCs w:val="21"/>
                <w:lang w:val="es-ES_tradnl" w:eastAsia="en-US"/>
              </w:rPr>
              <w:t xml:space="preserve"> </w:t>
            </w:r>
            <w:r w:rsidRPr="004A0446">
              <w:rPr>
                <w:rFonts w:ascii="Abadi" w:eastAsia="Arial" w:hAnsi="Abadi" w:cs="Arial"/>
                <w:sz w:val="21"/>
                <w:szCs w:val="21"/>
                <w:lang w:val="es-ES_tradnl" w:eastAsia="en-US"/>
              </w:rPr>
              <w:t>pacientes</w:t>
            </w:r>
            <w:r w:rsidRPr="004A0446">
              <w:rPr>
                <w:rFonts w:ascii="Abadi" w:eastAsia="Arial" w:hAnsi="Abadi" w:cs="Arial"/>
                <w:spacing w:val="40"/>
                <w:sz w:val="21"/>
                <w:szCs w:val="21"/>
                <w:lang w:val="es-ES_tradnl" w:eastAsia="en-US"/>
              </w:rPr>
              <w:t xml:space="preserve"> </w:t>
            </w:r>
            <w:r w:rsidRPr="004A0446">
              <w:rPr>
                <w:rFonts w:ascii="Abadi" w:eastAsia="Arial" w:hAnsi="Abadi" w:cs="Arial"/>
                <w:sz w:val="21"/>
                <w:szCs w:val="21"/>
                <w:lang w:val="es-ES_tradnl" w:eastAsia="en-US"/>
              </w:rPr>
              <w:t>en</w:t>
            </w:r>
            <w:r w:rsidRPr="004A0446">
              <w:rPr>
                <w:rFonts w:ascii="Abadi" w:eastAsia="Arial" w:hAnsi="Abadi" w:cs="Arial"/>
                <w:spacing w:val="40"/>
                <w:sz w:val="21"/>
                <w:szCs w:val="21"/>
                <w:lang w:val="es-ES_tradnl" w:eastAsia="en-US"/>
              </w:rPr>
              <w:t xml:space="preserve"> </w:t>
            </w:r>
            <w:r w:rsidRPr="004A0446">
              <w:rPr>
                <w:rFonts w:ascii="Abadi" w:eastAsia="Arial" w:hAnsi="Abadi" w:cs="Arial"/>
                <w:sz w:val="21"/>
                <w:szCs w:val="21"/>
                <w:lang w:val="es-ES_tradnl" w:eastAsia="en-US"/>
              </w:rPr>
              <w:t>el</w:t>
            </w:r>
            <w:r w:rsidRPr="004A0446">
              <w:rPr>
                <w:rFonts w:ascii="Abadi" w:eastAsia="Arial" w:hAnsi="Abadi" w:cs="Arial"/>
                <w:spacing w:val="40"/>
                <w:sz w:val="21"/>
                <w:szCs w:val="21"/>
                <w:lang w:val="es-ES_tradnl" w:eastAsia="en-US"/>
              </w:rPr>
              <w:t xml:space="preserve"> </w:t>
            </w:r>
            <w:r w:rsidRPr="004A0446">
              <w:rPr>
                <w:rFonts w:ascii="Abadi" w:eastAsia="Arial" w:hAnsi="Abadi" w:cs="Arial"/>
                <w:sz w:val="21"/>
                <w:szCs w:val="21"/>
                <w:lang w:val="es-ES_tradnl" w:eastAsia="en-US"/>
              </w:rPr>
              <w:t>Centro</w:t>
            </w:r>
            <w:r w:rsidRPr="004A0446">
              <w:rPr>
                <w:rFonts w:ascii="Abadi" w:eastAsia="Arial" w:hAnsi="Abadi" w:cs="Arial"/>
                <w:spacing w:val="40"/>
                <w:sz w:val="21"/>
                <w:szCs w:val="21"/>
                <w:lang w:val="es-ES_tradnl" w:eastAsia="en-US"/>
              </w:rPr>
              <w:t xml:space="preserve"> </w:t>
            </w:r>
            <w:r w:rsidRPr="004A0446">
              <w:rPr>
                <w:rFonts w:ascii="Abadi" w:eastAsia="Arial" w:hAnsi="Abadi" w:cs="Arial"/>
                <w:sz w:val="21"/>
                <w:szCs w:val="21"/>
                <w:lang w:val="es-ES_tradnl" w:eastAsia="en-US"/>
              </w:rPr>
              <w:t>de</w:t>
            </w:r>
            <w:r w:rsidRPr="004A0446">
              <w:rPr>
                <w:rFonts w:ascii="Abadi" w:eastAsia="Arial" w:hAnsi="Abadi" w:cs="Arial"/>
                <w:spacing w:val="40"/>
                <w:sz w:val="21"/>
                <w:szCs w:val="21"/>
                <w:lang w:val="es-ES_tradnl" w:eastAsia="en-US"/>
              </w:rPr>
              <w:t xml:space="preserve"> </w:t>
            </w:r>
            <w:r w:rsidRPr="004A0446">
              <w:rPr>
                <w:rFonts w:ascii="Abadi" w:eastAsia="Arial" w:hAnsi="Abadi" w:cs="Arial"/>
                <w:sz w:val="21"/>
                <w:szCs w:val="21"/>
                <w:lang w:val="es-ES_tradnl" w:eastAsia="en-US"/>
              </w:rPr>
              <w:t>Atención</w:t>
            </w:r>
            <w:r w:rsidRPr="004A0446">
              <w:rPr>
                <w:rFonts w:ascii="Abadi" w:eastAsia="Arial" w:hAnsi="Abadi" w:cs="Arial"/>
                <w:spacing w:val="40"/>
                <w:sz w:val="21"/>
                <w:szCs w:val="21"/>
                <w:lang w:val="es-ES_tradnl" w:eastAsia="en-US"/>
              </w:rPr>
              <w:t xml:space="preserve"> </w:t>
            </w:r>
            <w:r w:rsidRPr="004A0446">
              <w:rPr>
                <w:rFonts w:ascii="Abadi" w:eastAsia="Arial" w:hAnsi="Abadi" w:cs="Arial"/>
                <w:sz w:val="21"/>
                <w:szCs w:val="21"/>
                <w:lang w:val="es-ES_tradnl" w:eastAsia="en-US"/>
              </w:rPr>
              <w:t>Integral a la Salud Mental de León</w:t>
            </w:r>
          </w:p>
        </w:tc>
        <w:tc>
          <w:tcPr>
            <w:tcW w:w="1581" w:type="pct"/>
            <w:tcBorders>
              <w:bottom w:val="single" w:sz="8" w:space="0" w:color="000000"/>
            </w:tcBorders>
            <w:shd w:val="clear" w:color="auto" w:fill="auto"/>
          </w:tcPr>
          <w:p w14:paraId="5467A5DD" w14:textId="77777777" w:rsidR="00E3434F" w:rsidRPr="004A0446" w:rsidRDefault="00E3434F" w:rsidP="00F3730A">
            <w:pPr>
              <w:widowControl w:val="0"/>
              <w:autoSpaceDE w:val="0"/>
              <w:autoSpaceDN w:val="0"/>
              <w:spacing w:before="131"/>
              <w:rPr>
                <w:rFonts w:ascii="Abadi" w:eastAsia="Arial" w:hAnsi="Abadi" w:cs="Arial"/>
                <w:sz w:val="21"/>
                <w:szCs w:val="21"/>
                <w:lang w:val="es-MX" w:eastAsia="en-US"/>
              </w:rPr>
            </w:pPr>
            <w:r w:rsidRPr="004A0446">
              <w:rPr>
                <w:rFonts w:ascii="Abadi" w:eastAsia="Arial" w:hAnsi="Abadi" w:cs="Arial"/>
                <w:spacing w:val="-2"/>
                <w:sz w:val="21"/>
                <w:szCs w:val="21"/>
                <w:lang w:val="es-MX" w:eastAsia="en-US"/>
              </w:rPr>
              <w:t>$146,842,160</w:t>
            </w:r>
          </w:p>
        </w:tc>
      </w:tr>
      <w:tr w:rsidR="00E3434F" w:rsidRPr="004A0446" w14:paraId="19BC596C" w14:textId="77777777" w:rsidTr="00346E33">
        <w:trPr>
          <w:trHeight w:val="454"/>
        </w:trPr>
        <w:tc>
          <w:tcPr>
            <w:tcW w:w="5000" w:type="pct"/>
            <w:gridSpan w:val="2"/>
            <w:tcBorders>
              <w:top w:val="single" w:sz="8" w:space="0" w:color="000000"/>
            </w:tcBorders>
            <w:shd w:val="clear" w:color="auto" w:fill="auto"/>
          </w:tcPr>
          <w:p w14:paraId="315C1298" w14:textId="77777777" w:rsidR="00E3434F" w:rsidRPr="004A0446" w:rsidRDefault="00E3434F" w:rsidP="00F3730A">
            <w:pPr>
              <w:widowControl w:val="0"/>
              <w:autoSpaceDE w:val="0"/>
              <w:autoSpaceDN w:val="0"/>
              <w:spacing w:before="88"/>
              <w:ind w:left="901" w:right="901"/>
              <w:jc w:val="center"/>
              <w:rPr>
                <w:rFonts w:ascii="Abadi" w:eastAsia="Arial" w:hAnsi="Abadi" w:cs="Arial"/>
                <w:b/>
                <w:sz w:val="21"/>
                <w:szCs w:val="21"/>
                <w:lang w:val="es-ES_tradnl" w:eastAsia="en-US"/>
              </w:rPr>
            </w:pPr>
            <w:r w:rsidRPr="004A0446">
              <w:rPr>
                <w:rFonts w:ascii="Abadi" w:eastAsia="Arial" w:hAnsi="Abadi" w:cs="Arial"/>
                <w:b/>
                <w:sz w:val="21"/>
                <w:szCs w:val="21"/>
                <w:lang w:val="es-ES_tradnl" w:eastAsia="en-US"/>
              </w:rPr>
              <w:t>Fuente:</w:t>
            </w:r>
            <w:r w:rsidRPr="004A0446">
              <w:rPr>
                <w:rFonts w:ascii="Abadi" w:eastAsia="Arial" w:hAnsi="Abadi" w:cs="Arial"/>
                <w:b/>
                <w:spacing w:val="-5"/>
                <w:sz w:val="21"/>
                <w:szCs w:val="21"/>
                <w:lang w:val="es-ES_tradnl" w:eastAsia="en-US"/>
              </w:rPr>
              <w:t xml:space="preserve"> </w:t>
            </w:r>
            <w:r w:rsidRPr="004A0446">
              <w:rPr>
                <w:rFonts w:ascii="Abadi" w:eastAsia="Arial" w:hAnsi="Abadi" w:cs="Arial"/>
                <w:b/>
                <w:sz w:val="21"/>
                <w:szCs w:val="21"/>
                <w:lang w:val="es-ES_tradnl" w:eastAsia="en-US"/>
              </w:rPr>
              <w:t>Instituto</w:t>
            </w:r>
            <w:r w:rsidRPr="004A0446">
              <w:rPr>
                <w:rFonts w:ascii="Abadi" w:eastAsia="Arial" w:hAnsi="Abadi" w:cs="Arial"/>
                <w:b/>
                <w:spacing w:val="-4"/>
                <w:sz w:val="21"/>
                <w:szCs w:val="21"/>
                <w:lang w:val="es-ES_tradnl" w:eastAsia="en-US"/>
              </w:rPr>
              <w:t xml:space="preserve"> </w:t>
            </w:r>
            <w:r w:rsidRPr="004A0446">
              <w:rPr>
                <w:rFonts w:ascii="Abadi" w:eastAsia="Arial" w:hAnsi="Abadi" w:cs="Arial"/>
                <w:b/>
                <w:sz w:val="21"/>
                <w:szCs w:val="21"/>
                <w:lang w:val="es-ES_tradnl" w:eastAsia="en-US"/>
              </w:rPr>
              <w:t>de</w:t>
            </w:r>
            <w:r w:rsidRPr="004A0446">
              <w:rPr>
                <w:rFonts w:ascii="Abadi" w:eastAsia="Arial" w:hAnsi="Abadi" w:cs="Arial"/>
                <w:b/>
                <w:spacing w:val="-2"/>
                <w:sz w:val="21"/>
                <w:szCs w:val="21"/>
                <w:lang w:val="es-ES_tradnl" w:eastAsia="en-US"/>
              </w:rPr>
              <w:t xml:space="preserve"> </w:t>
            </w:r>
            <w:r w:rsidRPr="004A0446">
              <w:rPr>
                <w:rFonts w:ascii="Abadi" w:eastAsia="Arial" w:hAnsi="Abadi" w:cs="Arial"/>
                <w:b/>
                <w:sz w:val="21"/>
                <w:szCs w:val="21"/>
                <w:lang w:val="es-ES_tradnl" w:eastAsia="en-US"/>
              </w:rPr>
              <w:t>Salud</w:t>
            </w:r>
            <w:r w:rsidRPr="004A0446">
              <w:rPr>
                <w:rFonts w:ascii="Abadi" w:eastAsia="Arial" w:hAnsi="Abadi" w:cs="Arial"/>
                <w:b/>
                <w:spacing w:val="-5"/>
                <w:sz w:val="21"/>
                <w:szCs w:val="21"/>
                <w:lang w:val="es-ES_tradnl" w:eastAsia="en-US"/>
              </w:rPr>
              <w:t xml:space="preserve"> </w:t>
            </w:r>
            <w:r w:rsidRPr="004A0446">
              <w:rPr>
                <w:rFonts w:ascii="Abadi" w:eastAsia="Arial" w:hAnsi="Abadi" w:cs="Arial"/>
                <w:b/>
                <w:sz w:val="21"/>
                <w:szCs w:val="21"/>
                <w:lang w:val="es-ES_tradnl" w:eastAsia="en-US"/>
              </w:rPr>
              <w:t>Pública</w:t>
            </w:r>
            <w:r w:rsidRPr="004A0446">
              <w:rPr>
                <w:rFonts w:ascii="Abadi" w:eastAsia="Arial" w:hAnsi="Abadi" w:cs="Arial"/>
                <w:b/>
                <w:spacing w:val="-5"/>
                <w:sz w:val="21"/>
                <w:szCs w:val="21"/>
                <w:lang w:val="es-ES_tradnl" w:eastAsia="en-US"/>
              </w:rPr>
              <w:t xml:space="preserve"> </w:t>
            </w:r>
            <w:r w:rsidRPr="004A0446">
              <w:rPr>
                <w:rFonts w:ascii="Abadi" w:eastAsia="Arial" w:hAnsi="Abadi" w:cs="Arial"/>
                <w:b/>
                <w:sz w:val="21"/>
                <w:szCs w:val="21"/>
                <w:lang w:val="es-ES_tradnl" w:eastAsia="en-US"/>
              </w:rPr>
              <w:t>del</w:t>
            </w:r>
            <w:r w:rsidRPr="004A0446">
              <w:rPr>
                <w:rFonts w:ascii="Abadi" w:eastAsia="Arial" w:hAnsi="Abadi" w:cs="Arial"/>
                <w:b/>
                <w:spacing w:val="-4"/>
                <w:sz w:val="21"/>
                <w:szCs w:val="21"/>
                <w:lang w:val="es-ES_tradnl" w:eastAsia="en-US"/>
              </w:rPr>
              <w:t xml:space="preserve"> </w:t>
            </w:r>
            <w:r w:rsidRPr="004A0446">
              <w:rPr>
                <w:rFonts w:ascii="Abadi" w:eastAsia="Arial" w:hAnsi="Abadi" w:cs="Arial"/>
                <w:b/>
                <w:sz w:val="21"/>
                <w:szCs w:val="21"/>
                <w:lang w:val="es-ES_tradnl" w:eastAsia="en-US"/>
              </w:rPr>
              <w:t>Estado</w:t>
            </w:r>
            <w:r w:rsidRPr="004A0446">
              <w:rPr>
                <w:rFonts w:ascii="Abadi" w:eastAsia="Arial" w:hAnsi="Abadi" w:cs="Arial"/>
                <w:b/>
                <w:spacing w:val="-2"/>
                <w:sz w:val="21"/>
                <w:szCs w:val="21"/>
                <w:lang w:val="es-ES_tradnl" w:eastAsia="en-US"/>
              </w:rPr>
              <w:t xml:space="preserve"> </w:t>
            </w:r>
            <w:r w:rsidRPr="004A0446">
              <w:rPr>
                <w:rFonts w:ascii="Abadi" w:eastAsia="Arial" w:hAnsi="Abadi" w:cs="Arial"/>
                <w:b/>
                <w:sz w:val="21"/>
                <w:szCs w:val="21"/>
                <w:lang w:val="es-ES_tradnl" w:eastAsia="en-US"/>
              </w:rPr>
              <w:t>de</w:t>
            </w:r>
            <w:r w:rsidRPr="004A0446">
              <w:rPr>
                <w:rFonts w:ascii="Abadi" w:eastAsia="Arial" w:hAnsi="Abadi" w:cs="Arial"/>
                <w:b/>
                <w:spacing w:val="-5"/>
                <w:sz w:val="21"/>
                <w:szCs w:val="21"/>
                <w:lang w:val="es-ES_tradnl" w:eastAsia="en-US"/>
              </w:rPr>
              <w:t xml:space="preserve"> </w:t>
            </w:r>
            <w:r w:rsidRPr="004A0446">
              <w:rPr>
                <w:rFonts w:ascii="Abadi" w:eastAsia="Arial" w:hAnsi="Abadi" w:cs="Arial"/>
                <w:b/>
                <w:spacing w:val="-2"/>
                <w:sz w:val="21"/>
                <w:szCs w:val="21"/>
                <w:lang w:val="es-ES_tradnl" w:eastAsia="en-US"/>
              </w:rPr>
              <w:t>Guanajuato.</w:t>
            </w:r>
          </w:p>
          <w:p w14:paraId="344218C7" w14:textId="77777777" w:rsidR="00E3434F" w:rsidRPr="004A0446" w:rsidRDefault="00E3434F" w:rsidP="00F3730A">
            <w:pPr>
              <w:widowControl w:val="0"/>
              <w:autoSpaceDE w:val="0"/>
              <w:autoSpaceDN w:val="0"/>
              <w:ind w:left="900" w:right="901"/>
              <w:jc w:val="center"/>
              <w:rPr>
                <w:rFonts w:ascii="Abadi" w:eastAsia="Arial" w:hAnsi="Abadi" w:cs="Arial"/>
                <w:b/>
                <w:spacing w:val="-2"/>
                <w:sz w:val="21"/>
                <w:szCs w:val="21"/>
                <w:lang w:val="es-MX" w:eastAsia="en-US"/>
              </w:rPr>
            </w:pPr>
            <w:r w:rsidRPr="004A0446">
              <w:rPr>
                <w:rFonts w:ascii="Abadi" w:eastAsia="Arial" w:hAnsi="Abadi" w:cs="Arial"/>
                <w:b/>
                <w:sz w:val="21"/>
                <w:szCs w:val="21"/>
                <w:lang w:val="es-MX" w:eastAsia="en-US"/>
              </w:rPr>
              <w:t>Proyectos</w:t>
            </w:r>
            <w:r w:rsidRPr="004A0446">
              <w:rPr>
                <w:rFonts w:ascii="Abadi" w:eastAsia="Arial" w:hAnsi="Abadi" w:cs="Arial"/>
                <w:b/>
                <w:spacing w:val="-7"/>
                <w:sz w:val="21"/>
                <w:szCs w:val="21"/>
                <w:lang w:val="es-MX" w:eastAsia="en-US"/>
              </w:rPr>
              <w:t xml:space="preserve"> </w:t>
            </w:r>
            <w:r w:rsidRPr="004A0446">
              <w:rPr>
                <w:rFonts w:ascii="Abadi" w:eastAsia="Arial" w:hAnsi="Abadi" w:cs="Arial"/>
                <w:b/>
                <w:sz w:val="21"/>
                <w:szCs w:val="21"/>
                <w:lang w:val="es-MX" w:eastAsia="en-US"/>
              </w:rPr>
              <w:t>y</w:t>
            </w:r>
            <w:r w:rsidRPr="004A0446">
              <w:rPr>
                <w:rFonts w:ascii="Abadi" w:eastAsia="Arial" w:hAnsi="Abadi" w:cs="Arial"/>
                <w:b/>
                <w:spacing w:val="-6"/>
                <w:sz w:val="21"/>
                <w:szCs w:val="21"/>
                <w:lang w:val="es-MX" w:eastAsia="en-US"/>
              </w:rPr>
              <w:t xml:space="preserve"> </w:t>
            </w:r>
            <w:r w:rsidRPr="004A0446">
              <w:rPr>
                <w:rFonts w:ascii="Abadi" w:eastAsia="Arial" w:hAnsi="Abadi" w:cs="Arial"/>
                <w:b/>
                <w:sz w:val="21"/>
                <w:szCs w:val="21"/>
                <w:lang w:val="es-MX" w:eastAsia="en-US"/>
              </w:rPr>
              <w:t>programas</w:t>
            </w:r>
            <w:r w:rsidRPr="004A0446">
              <w:rPr>
                <w:rFonts w:ascii="Abadi" w:eastAsia="Arial" w:hAnsi="Abadi" w:cs="Arial"/>
                <w:b/>
                <w:spacing w:val="-6"/>
                <w:sz w:val="21"/>
                <w:szCs w:val="21"/>
                <w:lang w:val="es-MX" w:eastAsia="en-US"/>
              </w:rPr>
              <w:t xml:space="preserve"> </w:t>
            </w:r>
            <w:r w:rsidRPr="004A0446">
              <w:rPr>
                <w:rFonts w:ascii="Abadi" w:eastAsia="Arial" w:hAnsi="Abadi" w:cs="Arial"/>
                <w:b/>
                <w:spacing w:val="-2"/>
                <w:sz w:val="21"/>
                <w:szCs w:val="21"/>
                <w:lang w:val="es-MX" w:eastAsia="en-US"/>
              </w:rPr>
              <w:t>2022.</w:t>
            </w:r>
          </w:p>
          <w:p w14:paraId="66BD4FAD" w14:textId="77777777" w:rsidR="00E3434F" w:rsidRPr="004A0446" w:rsidRDefault="00E3434F" w:rsidP="00F3730A">
            <w:pPr>
              <w:widowControl w:val="0"/>
              <w:autoSpaceDE w:val="0"/>
              <w:autoSpaceDN w:val="0"/>
              <w:ind w:left="900" w:right="901"/>
              <w:jc w:val="center"/>
              <w:rPr>
                <w:rFonts w:ascii="Abadi" w:eastAsia="Arial" w:hAnsi="Abadi" w:cs="Arial"/>
                <w:b/>
                <w:spacing w:val="-2"/>
                <w:sz w:val="21"/>
                <w:szCs w:val="21"/>
                <w:lang w:val="es-MX" w:eastAsia="en-US"/>
              </w:rPr>
            </w:pPr>
          </w:p>
          <w:p w14:paraId="07A68155" w14:textId="77777777" w:rsidR="00E3434F" w:rsidRPr="004A0446" w:rsidRDefault="00E3434F" w:rsidP="00F3730A">
            <w:pPr>
              <w:widowControl w:val="0"/>
              <w:autoSpaceDE w:val="0"/>
              <w:autoSpaceDN w:val="0"/>
              <w:ind w:left="900" w:right="901"/>
              <w:jc w:val="center"/>
              <w:rPr>
                <w:rFonts w:ascii="Abadi" w:eastAsia="Arial" w:hAnsi="Abadi" w:cs="Arial"/>
                <w:b/>
                <w:sz w:val="21"/>
                <w:szCs w:val="21"/>
                <w:lang w:val="es-MX" w:eastAsia="en-US"/>
              </w:rPr>
            </w:pPr>
          </w:p>
        </w:tc>
      </w:tr>
    </w:tbl>
    <w:p w14:paraId="69BF38E8" w14:textId="77777777" w:rsidR="00E3434F" w:rsidRPr="004A0446" w:rsidRDefault="00E3434F" w:rsidP="00F3730A">
      <w:pPr>
        <w:widowControl w:val="0"/>
        <w:ind w:left="1560" w:hanging="1702"/>
        <w:jc w:val="both"/>
        <w:rPr>
          <w:rFonts w:ascii="Abadi" w:hAnsi="Abadi" w:cs="Arial"/>
          <w:i/>
          <w:iCs/>
          <w:sz w:val="21"/>
          <w:szCs w:val="21"/>
          <w:lang w:val="es-ES_tradnl"/>
        </w:rPr>
      </w:pPr>
    </w:p>
    <w:p w14:paraId="67F710B8" w14:textId="77777777" w:rsidR="00E3434F" w:rsidRPr="004A0446" w:rsidRDefault="00E3434F" w:rsidP="00F3730A">
      <w:pPr>
        <w:widowControl w:val="0"/>
        <w:ind w:right="567"/>
        <w:jc w:val="both"/>
        <w:rPr>
          <w:rFonts w:ascii="Abadi" w:hAnsi="Abadi" w:cs="Arial"/>
          <w:i/>
          <w:iCs/>
          <w:sz w:val="21"/>
          <w:szCs w:val="21"/>
          <w:lang w:val="es-ES_tradnl"/>
        </w:rPr>
      </w:pPr>
    </w:p>
    <w:p w14:paraId="0C494707" w14:textId="77777777" w:rsidR="00E3434F" w:rsidRDefault="00E3434F" w:rsidP="00F3730A">
      <w:pPr>
        <w:spacing w:before="90"/>
        <w:ind w:right="567"/>
        <w:jc w:val="both"/>
        <w:rPr>
          <w:rFonts w:ascii="Abadi" w:hAnsi="Abadi" w:cs="Arial"/>
          <w:i/>
          <w:iCs/>
          <w:sz w:val="21"/>
          <w:szCs w:val="21"/>
          <w:lang w:val="es-ES_tradnl"/>
        </w:rPr>
      </w:pPr>
    </w:p>
    <w:p w14:paraId="72368565" w14:textId="77777777" w:rsidR="00E3434F" w:rsidRPr="004A0446" w:rsidRDefault="00E3434F" w:rsidP="00F3730A">
      <w:pPr>
        <w:spacing w:before="90"/>
        <w:ind w:right="567"/>
        <w:jc w:val="both"/>
        <w:rPr>
          <w:rFonts w:ascii="Abadi" w:hAnsi="Abadi" w:cs="Arial"/>
          <w:i/>
          <w:iCs/>
          <w:sz w:val="21"/>
          <w:szCs w:val="21"/>
          <w:lang w:val="es-ES_tradnl"/>
        </w:rPr>
      </w:pPr>
    </w:p>
    <w:p w14:paraId="30A87A30" w14:textId="77777777" w:rsidR="00E3434F" w:rsidRPr="004A0446" w:rsidRDefault="00E3434F" w:rsidP="00F3730A">
      <w:pPr>
        <w:spacing w:before="90"/>
        <w:ind w:left="1134" w:right="567"/>
        <w:jc w:val="both"/>
        <w:rPr>
          <w:rFonts w:ascii="Abadi" w:hAnsi="Abadi" w:cs="Arial"/>
          <w:i/>
          <w:iCs/>
          <w:sz w:val="21"/>
          <w:szCs w:val="21"/>
          <w:lang w:val="es-ES_tradnl"/>
        </w:rPr>
      </w:pPr>
      <w:r w:rsidRPr="004A0446">
        <w:rPr>
          <w:rFonts w:ascii="Abadi" w:hAnsi="Abadi" w:cs="Arial"/>
          <w:i/>
          <w:iCs/>
          <w:sz w:val="21"/>
          <w:szCs w:val="21"/>
          <w:lang w:val="es-ES_tradnl"/>
        </w:rPr>
        <w:t>Resulta importante mencionar que las acciones que refiere la presente iniciativa ya existen en el Estado y se encuentran referidas en el monto de presupuesto asignado que se tiene en los programas mencionados en el ISAPEG; de manera particular en el programa “P1324 Atención de pacientes en el Centro de Atención Integral a la Salud Mental de León”, y que asciende a un monto de 146.84 millones de pesos. En caso de considerar la ampliación de una estructura operativa especializada e infraestructura representaría un gasto adicional, que será cuantificable de manera más precisa mediante un diagnóstico que pueda determinar que implicaciones de ejecución se requieren ante las nuevas necesidades, logrando con ello, que el Estado fortalezca la atención en este problema de salud.</w:t>
      </w:r>
    </w:p>
    <w:p w14:paraId="4A645F13" w14:textId="77777777" w:rsidR="00E3434F" w:rsidRPr="004A0446" w:rsidRDefault="00E3434F" w:rsidP="00F3730A">
      <w:pPr>
        <w:spacing w:before="1"/>
        <w:ind w:left="567" w:right="283"/>
        <w:rPr>
          <w:rFonts w:ascii="Abadi" w:hAnsi="Abadi" w:cs="Arial"/>
          <w:i/>
          <w:iCs/>
          <w:sz w:val="21"/>
          <w:szCs w:val="21"/>
          <w:lang w:val="es-ES_tradnl"/>
        </w:rPr>
      </w:pPr>
    </w:p>
    <w:p w14:paraId="07A03B5D" w14:textId="77777777" w:rsidR="00E3434F" w:rsidRPr="004A0446" w:rsidRDefault="00E3434F" w:rsidP="00F3730A">
      <w:pPr>
        <w:widowControl w:val="0"/>
        <w:numPr>
          <w:ilvl w:val="0"/>
          <w:numId w:val="71"/>
        </w:numPr>
        <w:tabs>
          <w:tab w:val="left" w:pos="929"/>
          <w:tab w:val="left" w:pos="930"/>
        </w:tabs>
        <w:autoSpaceDE w:val="0"/>
        <w:autoSpaceDN w:val="0"/>
        <w:ind w:right="283" w:firstLine="204"/>
        <w:rPr>
          <w:rFonts w:ascii="Abadi" w:hAnsi="Abadi" w:cs="Arial"/>
          <w:b/>
          <w:i/>
          <w:iCs/>
          <w:sz w:val="21"/>
          <w:szCs w:val="21"/>
        </w:rPr>
      </w:pPr>
      <w:r w:rsidRPr="004A0446">
        <w:rPr>
          <w:rFonts w:ascii="Abadi" w:hAnsi="Abadi" w:cs="Arial"/>
          <w:b/>
          <w:i/>
          <w:iCs/>
          <w:sz w:val="21"/>
          <w:szCs w:val="21"/>
        </w:rPr>
        <w:t>Conclusiones</w:t>
      </w:r>
      <w:r w:rsidRPr="004A0446">
        <w:rPr>
          <w:rFonts w:ascii="Abadi" w:hAnsi="Abadi" w:cs="Arial"/>
          <w:b/>
          <w:i/>
          <w:iCs/>
          <w:spacing w:val="-8"/>
          <w:sz w:val="21"/>
          <w:szCs w:val="21"/>
        </w:rPr>
        <w:t xml:space="preserve"> </w:t>
      </w:r>
      <w:r w:rsidRPr="004A0446">
        <w:rPr>
          <w:rFonts w:ascii="Abadi" w:hAnsi="Abadi" w:cs="Arial"/>
          <w:b/>
          <w:i/>
          <w:iCs/>
          <w:sz w:val="21"/>
          <w:szCs w:val="21"/>
        </w:rPr>
        <w:t>del</w:t>
      </w:r>
      <w:r w:rsidRPr="004A0446">
        <w:rPr>
          <w:rFonts w:ascii="Abadi" w:hAnsi="Abadi" w:cs="Arial"/>
          <w:b/>
          <w:i/>
          <w:iCs/>
          <w:spacing w:val="-7"/>
          <w:sz w:val="21"/>
          <w:szCs w:val="21"/>
        </w:rPr>
        <w:t xml:space="preserve"> </w:t>
      </w:r>
      <w:r w:rsidRPr="004A0446">
        <w:rPr>
          <w:rFonts w:ascii="Abadi" w:hAnsi="Abadi" w:cs="Arial"/>
          <w:b/>
          <w:i/>
          <w:iCs/>
          <w:spacing w:val="-2"/>
          <w:sz w:val="21"/>
          <w:szCs w:val="21"/>
        </w:rPr>
        <w:t>Estudio:</w:t>
      </w:r>
    </w:p>
    <w:p w14:paraId="291221FF" w14:textId="77777777" w:rsidR="00E3434F" w:rsidRPr="004A0446" w:rsidRDefault="00E3434F" w:rsidP="00F3730A">
      <w:pPr>
        <w:ind w:right="283"/>
        <w:rPr>
          <w:rFonts w:ascii="Abadi" w:hAnsi="Abadi" w:cs="Arial"/>
          <w:b/>
          <w:i/>
          <w:iCs/>
          <w:sz w:val="21"/>
          <w:szCs w:val="21"/>
        </w:rPr>
      </w:pPr>
    </w:p>
    <w:p w14:paraId="37AF0ADB" w14:textId="77777777" w:rsidR="00E3434F" w:rsidRPr="004A0446" w:rsidRDefault="00E3434F" w:rsidP="00F3730A">
      <w:pPr>
        <w:widowControl w:val="0"/>
        <w:ind w:left="1134" w:right="567"/>
        <w:jc w:val="both"/>
        <w:rPr>
          <w:rFonts w:ascii="Abadi" w:hAnsi="Abadi" w:cs="Arial"/>
          <w:i/>
          <w:iCs/>
          <w:sz w:val="21"/>
          <w:szCs w:val="21"/>
          <w:lang w:val="es-ES_tradnl"/>
        </w:rPr>
      </w:pPr>
      <w:r w:rsidRPr="004A0446">
        <w:rPr>
          <w:rFonts w:ascii="Abadi" w:hAnsi="Abadi" w:cs="Arial"/>
          <w:i/>
          <w:iCs/>
          <w:sz w:val="21"/>
          <w:szCs w:val="21"/>
          <w:lang w:val="es-ES_tradnl"/>
        </w:rPr>
        <w:t>Analizando los  alcances de la presente iniciativa, es coincidente con los objetivos de la Ley de Salud del Estado de Guanajuato</w:t>
      </w:r>
      <w:r w:rsidRPr="004A0446">
        <w:rPr>
          <w:rFonts w:ascii="Abadi" w:hAnsi="Abadi" w:cs="Arial"/>
          <w:i/>
          <w:iCs/>
          <w:sz w:val="21"/>
          <w:szCs w:val="21"/>
          <w:vertAlign w:val="superscript"/>
          <w:lang w:val="es-ES_tradnl"/>
        </w:rPr>
        <w:footnoteReference w:id="144"/>
      </w:r>
      <w:r w:rsidRPr="004A0446">
        <w:rPr>
          <w:rFonts w:ascii="Abadi" w:hAnsi="Abadi" w:cs="Arial"/>
          <w:i/>
          <w:iCs/>
          <w:sz w:val="21"/>
          <w:szCs w:val="21"/>
          <w:lang w:val="es-ES_tradnl"/>
        </w:rPr>
        <w:t>, en el tema del cuidado de la salud y bienestar de las personas, ya que actualmente faculta en conductas que inciden en la salud mental de las personas a la Secretaría de Salud del Estado de Guanajuato, la que ha diseñado estrategias a través del Consejo de Salud Mental (CESME), que opera y atiende como problemática entre otras el tema del suicidio, coincidiendo con los fines que persiguen los iniciantes; por lo que los planteamientos en la iniciativa fortalecen el marco de atención de la salud en el Estado. Respecto al alcance presupuestal que tendrá este nuevo ordenamiento en caso de aprobarse, se identifican actualmente recursos asignados para la atención a la salud integral de la población, que  considera entre  sus servicios la atención a problemas de salud mental, estos coadyuva en la responsabilidad programas suman un monto de 8,873.9 millones de pesos que incluyen los 146.84 millones de pesos correspondientes al programa de Atención de pacientes en el Centro de Atención Integral a la Salud Mental de León, por lo que su entrada en vigor que ya mantiene el Estado, siendo que en dado caso se pudiera considerar un fortalecimiento de facultades para atender específicamente a las personas que intenten quitarse la vida, lo que impulsará los temas de políticas de prevención, atención integral y capacitación en materia de suicidios y posvención; por lo que esta normativa, bajo esta visión robustece las responsabilidades en el ámbito estatal y municipal, implicando la toma de decisiones para ajustar e incorporar a estos programas y sus acciones, mayores recursos presupuestales, monto que será cuantificable de manera más precisa mediante un diagnóstico del ISAPEG y los Ayuntamientos para que pueda determinarse que implicaciones de ejecución se requieren ante las nuevas necesidades, logrando con ello, que el Estado fortalezca la atención en este problema de salud, dado lo considerado por el Instituto Nacional de Estadística y Geografía (INEGI) sobre el tema en el Censo de Población y Vivienda 2020, donde concluyen que Guanajuato tiene una tasa estandarizada de suicidio del 7.9, por arriba de la media nacional que es de 6.2 por cada 100 000 habitantes.</w:t>
      </w:r>
    </w:p>
    <w:p w14:paraId="51403785" w14:textId="77777777" w:rsidR="00E3434F" w:rsidRPr="004A0446" w:rsidRDefault="00E3434F" w:rsidP="00F3730A">
      <w:pPr>
        <w:widowControl w:val="0"/>
        <w:ind w:left="567" w:right="283"/>
        <w:jc w:val="both"/>
        <w:rPr>
          <w:rFonts w:ascii="Abadi" w:hAnsi="Abadi" w:cs="Arial"/>
          <w:sz w:val="21"/>
          <w:szCs w:val="21"/>
          <w:lang w:val="es-ES_tradnl"/>
        </w:rPr>
      </w:pPr>
    </w:p>
    <w:p w14:paraId="279EB97E" w14:textId="77777777" w:rsidR="00E3434F" w:rsidRPr="004A0446" w:rsidRDefault="00E3434F" w:rsidP="00F3730A">
      <w:pPr>
        <w:widowControl w:val="0"/>
        <w:ind w:left="567" w:right="283"/>
        <w:jc w:val="both"/>
        <w:rPr>
          <w:rFonts w:ascii="Abadi" w:hAnsi="Abadi" w:cs="Arial"/>
          <w:sz w:val="21"/>
          <w:szCs w:val="21"/>
          <w:lang w:val="es-ES_tradnl"/>
        </w:rPr>
      </w:pPr>
      <w:r w:rsidRPr="004A0446">
        <w:rPr>
          <w:rFonts w:ascii="Abadi" w:hAnsi="Abadi"/>
          <w:sz w:val="21"/>
          <w:szCs w:val="21"/>
          <w:lang w:val="es-ES_tradnl"/>
        </w:rPr>
        <w:t xml:space="preserve">    </w:t>
      </w:r>
      <w:r w:rsidRPr="004A0446">
        <w:rPr>
          <w:rFonts w:ascii="Abadi" w:hAnsi="Abadi" w:cs="Arial"/>
          <w:sz w:val="21"/>
          <w:szCs w:val="21"/>
          <w:lang w:val="es-ES_tradnl"/>
        </w:rPr>
        <w:t xml:space="preserve">     (…)</w:t>
      </w:r>
    </w:p>
    <w:p w14:paraId="0F3ED7E4" w14:textId="77777777" w:rsidR="00E3434F" w:rsidRPr="004A0446" w:rsidRDefault="00E3434F" w:rsidP="00F3730A">
      <w:pPr>
        <w:widowControl w:val="0"/>
        <w:ind w:left="567" w:right="283"/>
        <w:jc w:val="both"/>
        <w:rPr>
          <w:rFonts w:ascii="Abadi" w:hAnsi="Abadi" w:cs="Arial"/>
          <w:sz w:val="21"/>
          <w:szCs w:val="21"/>
          <w:lang w:val="es-ES_tradnl"/>
        </w:rPr>
      </w:pPr>
    </w:p>
    <w:p w14:paraId="78ECF362" w14:textId="77777777" w:rsidR="00E3434F" w:rsidRPr="004A0446" w:rsidRDefault="00E3434F" w:rsidP="00F3730A">
      <w:pPr>
        <w:widowControl w:val="0"/>
        <w:ind w:firstLine="567"/>
        <w:jc w:val="both"/>
        <w:rPr>
          <w:rFonts w:ascii="Abadi" w:hAnsi="Abadi" w:cs="Arial"/>
          <w:sz w:val="21"/>
          <w:szCs w:val="21"/>
          <w:lang w:val="es-ES_tradnl"/>
        </w:rPr>
      </w:pPr>
      <w:r w:rsidRPr="004A0446">
        <w:rPr>
          <w:rFonts w:ascii="Abadi" w:hAnsi="Abadi" w:cs="Arial"/>
          <w:sz w:val="21"/>
          <w:szCs w:val="21"/>
          <w:lang w:val="es-ES_tradnl"/>
        </w:rPr>
        <w:t xml:space="preserve">  Ahora, procederemos a abordar lo correspondiente a la segunda iniciativa materia del presente dictamen.</w:t>
      </w:r>
    </w:p>
    <w:p w14:paraId="3541E13A" w14:textId="77777777" w:rsidR="00E3434F" w:rsidRPr="004A0446" w:rsidRDefault="00E3434F" w:rsidP="00F3730A">
      <w:pPr>
        <w:autoSpaceDE w:val="0"/>
        <w:autoSpaceDN w:val="0"/>
        <w:adjustRightInd w:val="0"/>
        <w:ind w:left="567"/>
        <w:rPr>
          <w:rFonts w:ascii="Abadi" w:eastAsia="Calibri" w:hAnsi="Abadi"/>
          <w:sz w:val="21"/>
          <w:szCs w:val="21"/>
          <w:lang w:val="es-ES_tradnl" w:eastAsia="en-US"/>
        </w:rPr>
      </w:pPr>
    </w:p>
    <w:p w14:paraId="3B6A33D4" w14:textId="77777777" w:rsidR="00E3434F" w:rsidRPr="004A0446" w:rsidRDefault="00E3434F" w:rsidP="00F3730A">
      <w:pPr>
        <w:ind w:firstLine="567"/>
        <w:jc w:val="both"/>
        <w:rPr>
          <w:rFonts w:ascii="Abadi" w:eastAsia="SimSun" w:hAnsi="Abadi" w:cs="Arial"/>
          <w:bCs/>
          <w:sz w:val="21"/>
          <w:szCs w:val="21"/>
        </w:rPr>
      </w:pPr>
      <w:r w:rsidRPr="004A0446">
        <w:rPr>
          <w:rFonts w:ascii="Abadi" w:eastAsia="SimSun" w:hAnsi="Abadi" w:cs="Arial"/>
          <w:b/>
          <w:sz w:val="21"/>
          <w:szCs w:val="21"/>
        </w:rPr>
        <w:t>II.</w:t>
      </w:r>
      <w:r w:rsidRPr="004A0446">
        <w:rPr>
          <w:rFonts w:ascii="Abadi" w:eastAsia="SimSun" w:hAnsi="Abadi" w:cs="Arial"/>
          <w:bCs/>
          <w:sz w:val="21"/>
          <w:szCs w:val="21"/>
        </w:rPr>
        <w:t xml:space="preserve"> Iniciativa de Ley de Prevención del Suicidio y de las Acciones de Posvención en el Estado de Guanajuato, formulada por diputadas y diputados integrantes del Grupo Parlamentario del Partido Revolucionario Institucional, ante la Sexagésima Cuarta Legislatura del Congreso del Estado, registrada con número de expediente legislativo digital 64616.</w:t>
      </w:r>
    </w:p>
    <w:p w14:paraId="745329F9" w14:textId="77777777" w:rsidR="00E3434F" w:rsidRPr="004A0446" w:rsidRDefault="00E3434F" w:rsidP="00F3730A">
      <w:pPr>
        <w:ind w:firstLine="708"/>
        <w:jc w:val="both"/>
        <w:rPr>
          <w:rFonts w:ascii="Abadi" w:eastAsia="SimSun" w:hAnsi="Abadi" w:cs="Arial"/>
          <w:sz w:val="21"/>
          <w:szCs w:val="21"/>
        </w:rPr>
      </w:pPr>
    </w:p>
    <w:p w14:paraId="357E2D1E" w14:textId="77777777" w:rsidR="00E3434F" w:rsidRPr="004A0446" w:rsidRDefault="00E3434F" w:rsidP="00F3730A">
      <w:pPr>
        <w:ind w:firstLine="567"/>
        <w:jc w:val="both"/>
        <w:rPr>
          <w:rFonts w:ascii="Abadi" w:eastAsia="SimSun" w:hAnsi="Abadi" w:cs="Arial"/>
          <w:sz w:val="21"/>
          <w:szCs w:val="21"/>
        </w:rPr>
      </w:pPr>
      <w:r w:rsidRPr="004A0446">
        <w:rPr>
          <w:rFonts w:ascii="Abadi" w:eastAsia="SimSun" w:hAnsi="Abadi" w:cs="Arial"/>
          <w:b/>
          <w:bCs/>
          <w:sz w:val="21"/>
          <w:szCs w:val="21"/>
        </w:rPr>
        <w:t xml:space="preserve">II.1 </w:t>
      </w:r>
      <w:r w:rsidRPr="004A0446">
        <w:rPr>
          <w:rFonts w:ascii="Abadi" w:eastAsia="SimSun" w:hAnsi="Abadi" w:cs="Arial"/>
          <w:sz w:val="21"/>
          <w:szCs w:val="21"/>
        </w:rPr>
        <w:t>En la sesión plenaria del 22 de abril de 2021, por razón de materia fue turnada a la Comisión de Salud Pública de la Sexagésima Cuarta Legislatura del Congreso del Estado la iniciativa en cuestión, mencionada en el párrafo que precede de este dictamen.</w:t>
      </w:r>
    </w:p>
    <w:p w14:paraId="4495B4E2" w14:textId="77777777" w:rsidR="00E3434F" w:rsidRPr="004A0446" w:rsidRDefault="00E3434F" w:rsidP="00F3730A">
      <w:pPr>
        <w:ind w:firstLine="567"/>
        <w:jc w:val="both"/>
        <w:rPr>
          <w:rFonts w:ascii="Abadi" w:eastAsia="SimSun" w:hAnsi="Abadi" w:cs="Arial"/>
          <w:sz w:val="21"/>
          <w:szCs w:val="21"/>
        </w:rPr>
      </w:pPr>
      <w:r w:rsidRPr="004A0446">
        <w:rPr>
          <w:rFonts w:ascii="Abadi" w:eastAsia="SimSun" w:hAnsi="Abadi" w:cs="Arial"/>
          <w:b/>
          <w:sz w:val="21"/>
          <w:szCs w:val="21"/>
        </w:rPr>
        <w:t xml:space="preserve">II.2 </w:t>
      </w:r>
      <w:r w:rsidRPr="004A0446">
        <w:rPr>
          <w:rFonts w:ascii="Abadi" w:eastAsia="SimSun" w:hAnsi="Abadi" w:cs="Arial"/>
          <w:sz w:val="21"/>
          <w:szCs w:val="21"/>
        </w:rPr>
        <w:t>En la reunión de la Comisión de Salud Pública de fecha 21 de mayo de 2021 fue radicada la iniciativa de referencia, así como aprobada por unanimidad de votos la metodología de trabajo para su estudio y dictamen, misma que se transcribe:</w:t>
      </w:r>
    </w:p>
    <w:p w14:paraId="3E492BE7" w14:textId="77777777" w:rsidR="00E3434F" w:rsidRPr="004A0446" w:rsidRDefault="00E3434F" w:rsidP="00F3730A">
      <w:pPr>
        <w:jc w:val="both"/>
        <w:rPr>
          <w:rFonts w:ascii="Abadi" w:eastAsia="SimSun" w:hAnsi="Abadi" w:cs="Arial"/>
          <w:i/>
          <w:iCs/>
          <w:sz w:val="21"/>
          <w:szCs w:val="21"/>
        </w:rPr>
      </w:pPr>
    </w:p>
    <w:p w14:paraId="182602AE" w14:textId="77777777" w:rsidR="00E3434F" w:rsidRPr="004A0446" w:rsidRDefault="00E3434F" w:rsidP="00F3730A">
      <w:pPr>
        <w:numPr>
          <w:ilvl w:val="0"/>
          <w:numId w:val="73"/>
        </w:numPr>
        <w:tabs>
          <w:tab w:val="left" w:pos="993"/>
        </w:tabs>
        <w:ind w:hanging="11"/>
        <w:jc w:val="both"/>
        <w:rPr>
          <w:rFonts w:ascii="Abadi" w:hAnsi="Abadi" w:cs="Arial"/>
          <w:i/>
          <w:iCs/>
          <w:sz w:val="21"/>
          <w:szCs w:val="21"/>
          <w:lang w:val="es-MX"/>
        </w:rPr>
      </w:pPr>
      <w:r w:rsidRPr="004A0446">
        <w:rPr>
          <w:rFonts w:ascii="Abadi" w:hAnsi="Abadi" w:cs="Arial"/>
          <w:i/>
          <w:iCs/>
          <w:sz w:val="21"/>
          <w:szCs w:val="21"/>
          <w:lang w:val="es-MX"/>
        </w:rPr>
        <w:t>Remitir la iniciativa y solicitar envíen opinión en un término de 15 días</w:t>
      </w:r>
      <w:r>
        <w:rPr>
          <w:rFonts w:ascii="Abadi" w:hAnsi="Abadi" w:cs="Arial"/>
          <w:i/>
          <w:iCs/>
          <w:sz w:val="21"/>
          <w:szCs w:val="21"/>
          <w:lang w:val="es-MX"/>
        </w:rPr>
        <w:t xml:space="preserve"> </w:t>
      </w:r>
      <w:r w:rsidRPr="004A0446">
        <w:rPr>
          <w:rFonts w:ascii="Abadi" w:hAnsi="Abadi" w:cs="Arial"/>
          <w:i/>
          <w:iCs/>
          <w:sz w:val="21"/>
          <w:szCs w:val="21"/>
          <w:lang w:val="es-MX"/>
        </w:rPr>
        <w:t xml:space="preserve">hábiles, contados a partir del día siguiente al de recepción de la solicitud: </w:t>
      </w:r>
    </w:p>
    <w:p w14:paraId="054184D0" w14:textId="77777777" w:rsidR="00E3434F" w:rsidRPr="004A0446" w:rsidRDefault="00E3434F" w:rsidP="00F3730A">
      <w:pPr>
        <w:tabs>
          <w:tab w:val="left" w:pos="1134"/>
        </w:tabs>
        <w:ind w:left="1134" w:right="1161"/>
        <w:jc w:val="both"/>
        <w:rPr>
          <w:rFonts w:ascii="Abadi" w:hAnsi="Abadi" w:cs="Arial"/>
          <w:i/>
          <w:iCs/>
          <w:sz w:val="21"/>
          <w:szCs w:val="21"/>
          <w:lang w:val="es-MX"/>
        </w:rPr>
      </w:pPr>
    </w:p>
    <w:p w14:paraId="3D90CA7F" w14:textId="77777777" w:rsidR="00E3434F" w:rsidRPr="004A0446" w:rsidRDefault="00E3434F" w:rsidP="00F3730A">
      <w:pPr>
        <w:numPr>
          <w:ilvl w:val="0"/>
          <w:numId w:val="62"/>
        </w:numPr>
        <w:tabs>
          <w:tab w:val="left" w:pos="1134"/>
        </w:tabs>
        <w:ind w:left="1701" w:hanging="283"/>
        <w:jc w:val="both"/>
        <w:rPr>
          <w:rFonts w:ascii="Abadi" w:hAnsi="Abadi" w:cs="Arial"/>
          <w:i/>
          <w:iCs/>
          <w:sz w:val="21"/>
          <w:szCs w:val="21"/>
          <w:lang w:val="es-MX"/>
        </w:rPr>
      </w:pPr>
      <w:r w:rsidRPr="004A0446">
        <w:rPr>
          <w:rFonts w:ascii="Abadi" w:hAnsi="Abadi" w:cs="Arial"/>
          <w:i/>
          <w:iCs/>
          <w:sz w:val="21"/>
          <w:szCs w:val="21"/>
          <w:lang w:val="es-MX"/>
        </w:rPr>
        <w:t>Vía correo electrónico a diputadas y diputados integrantes de esta Legislatura.</w:t>
      </w:r>
    </w:p>
    <w:p w14:paraId="76B5470B" w14:textId="77777777" w:rsidR="00E3434F" w:rsidRPr="004A0446" w:rsidRDefault="00E3434F" w:rsidP="00F3730A">
      <w:pPr>
        <w:tabs>
          <w:tab w:val="left" w:pos="1134"/>
        </w:tabs>
        <w:ind w:left="1701" w:right="1161"/>
        <w:jc w:val="both"/>
        <w:rPr>
          <w:rFonts w:ascii="Abadi" w:hAnsi="Abadi" w:cs="Arial"/>
          <w:i/>
          <w:iCs/>
          <w:sz w:val="21"/>
          <w:szCs w:val="21"/>
          <w:lang w:val="es-MX"/>
        </w:rPr>
      </w:pPr>
    </w:p>
    <w:p w14:paraId="23737A31" w14:textId="77777777" w:rsidR="00E3434F" w:rsidRPr="004A0446" w:rsidRDefault="00E3434F" w:rsidP="00F3730A">
      <w:pPr>
        <w:widowControl w:val="0"/>
        <w:numPr>
          <w:ilvl w:val="0"/>
          <w:numId w:val="62"/>
        </w:numPr>
        <w:tabs>
          <w:tab w:val="left" w:pos="1701"/>
          <w:tab w:val="left" w:pos="1985"/>
        </w:tabs>
        <w:ind w:firstLine="698"/>
        <w:jc w:val="both"/>
        <w:rPr>
          <w:rFonts w:ascii="Abadi" w:hAnsi="Abadi" w:cs="Arial"/>
          <w:i/>
          <w:iCs/>
          <w:sz w:val="21"/>
          <w:szCs w:val="21"/>
          <w:lang w:val="es-MX"/>
        </w:rPr>
      </w:pPr>
      <w:r w:rsidRPr="004A0446">
        <w:rPr>
          <w:rFonts w:ascii="Abadi" w:hAnsi="Abadi" w:cs="Arial"/>
          <w:i/>
          <w:iCs/>
          <w:sz w:val="21"/>
          <w:szCs w:val="21"/>
          <w:lang w:val="es-MX"/>
        </w:rPr>
        <w:t xml:space="preserve">Mediante oficio a: </w:t>
      </w:r>
    </w:p>
    <w:p w14:paraId="202373C2" w14:textId="77777777" w:rsidR="00E3434F" w:rsidRPr="004A0446" w:rsidRDefault="00E3434F" w:rsidP="00F3730A">
      <w:pPr>
        <w:widowControl w:val="0"/>
        <w:tabs>
          <w:tab w:val="left" w:pos="1701"/>
          <w:tab w:val="left" w:pos="1985"/>
        </w:tabs>
        <w:ind w:left="1418"/>
        <w:jc w:val="both"/>
        <w:rPr>
          <w:rFonts w:ascii="Abadi" w:hAnsi="Abadi" w:cs="Arial"/>
          <w:i/>
          <w:iCs/>
          <w:sz w:val="21"/>
          <w:szCs w:val="21"/>
          <w:lang w:val="es-MX"/>
        </w:rPr>
      </w:pPr>
    </w:p>
    <w:p w14:paraId="0B1C97AC" w14:textId="77777777" w:rsidR="00E3434F" w:rsidRPr="004A0446" w:rsidRDefault="00E3434F" w:rsidP="00F3730A">
      <w:pPr>
        <w:widowControl w:val="0"/>
        <w:ind w:left="1418" w:firstLine="3"/>
        <w:jc w:val="both"/>
        <w:rPr>
          <w:rFonts w:ascii="Abadi" w:hAnsi="Abadi" w:cs="Arial"/>
          <w:i/>
          <w:iCs/>
          <w:sz w:val="21"/>
          <w:szCs w:val="21"/>
          <w:lang w:val="es-MX"/>
        </w:rPr>
      </w:pPr>
      <w:r w:rsidRPr="004A0446">
        <w:rPr>
          <w:rFonts w:ascii="Abadi" w:hAnsi="Abadi" w:cs="Arial"/>
          <w:i/>
          <w:iCs/>
          <w:sz w:val="21"/>
          <w:szCs w:val="21"/>
          <w:lang w:val="es-MX"/>
        </w:rPr>
        <w:t xml:space="preserve">-   Secretaría de Salud; </w:t>
      </w:r>
    </w:p>
    <w:p w14:paraId="62F34BD1" w14:textId="77777777" w:rsidR="00E3434F" w:rsidRPr="004A0446" w:rsidRDefault="00E3434F" w:rsidP="00F3730A">
      <w:pPr>
        <w:widowControl w:val="0"/>
        <w:ind w:left="1418" w:firstLine="3"/>
        <w:jc w:val="both"/>
        <w:rPr>
          <w:rFonts w:ascii="Abadi" w:hAnsi="Abadi" w:cs="Arial"/>
          <w:i/>
          <w:iCs/>
          <w:sz w:val="21"/>
          <w:szCs w:val="21"/>
          <w:lang w:val="es-MX"/>
        </w:rPr>
      </w:pPr>
      <w:r w:rsidRPr="004A0446">
        <w:rPr>
          <w:rFonts w:ascii="Abadi" w:hAnsi="Abadi" w:cs="Arial"/>
          <w:i/>
          <w:iCs/>
          <w:sz w:val="21"/>
          <w:szCs w:val="21"/>
          <w:lang w:val="es-MX"/>
        </w:rPr>
        <w:t>-   Secretaría de Educación;</w:t>
      </w:r>
    </w:p>
    <w:p w14:paraId="2AB082D2" w14:textId="77777777" w:rsidR="00E3434F" w:rsidRPr="004A0446" w:rsidRDefault="00E3434F" w:rsidP="00F3730A">
      <w:pPr>
        <w:widowControl w:val="0"/>
        <w:ind w:left="1560" w:hanging="142"/>
        <w:jc w:val="both"/>
        <w:rPr>
          <w:rFonts w:ascii="Abadi" w:hAnsi="Abadi" w:cs="Arial"/>
          <w:i/>
          <w:iCs/>
          <w:sz w:val="21"/>
          <w:szCs w:val="21"/>
          <w:lang w:val="es-MX"/>
        </w:rPr>
      </w:pPr>
      <w:r w:rsidRPr="004A0446">
        <w:rPr>
          <w:rFonts w:ascii="Abadi" w:hAnsi="Abadi" w:cs="Arial"/>
          <w:i/>
          <w:iCs/>
          <w:sz w:val="21"/>
          <w:szCs w:val="21"/>
          <w:lang w:val="es-MX"/>
        </w:rPr>
        <w:t xml:space="preserve">-   Secretaría de Seguridad Pública; </w:t>
      </w:r>
    </w:p>
    <w:p w14:paraId="5097695C" w14:textId="77777777" w:rsidR="00E3434F" w:rsidRPr="004A0446" w:rsidRDefault="00E3434F" w:rsidP="00F3730A">
      <w:pPr>
        <w:widowControl w:val="0"/>
        <w:ind w:left="1560" w:hanging="142"/>
        <w:jc w:val="both"/>
        <w:rPr>
          <w:rFonts w:ascii="Abadi" w:hAnsi="Abadi" w:cs="Arial"/>
          <w:i/>
          <w:iCs/>
          <w:sz w:val="21"/>
          <w:szCs w:val="21"/>
          <w:lang w:val="es-MX"/>
        </w:rPr>
      </w:pPr>
      <w:r w:rsidRPr="004A0446">
        <w:rPr>
          <w:rFonts w:ascii="Abadi" w:hAnsi="Abadi" w:cs="Arial"/>
          <w:i/>
          <w:iCs/>
          <w:sz w:val="21"/>
          <w:szCs w:val="21"/>
          <w:lang w:val="es-MX"/>
        </w:rPr>
        <w:t>-</w:t>
      </w:r>
      <w:r>
        <w:rPr>
          <w:rFonts w:ascii="Abadi" w:hAnsi="Abadi" w:cs="Arial"/>
          <w:i/>
          <w:iCs/>
          <w:sz w:val="21"/>
          <w:szCs w:val="21"/>
          <w:lang w:val="es-MX"/>
        </w:rPr>
        <w:t xml:space="preserve"> </w:t>
      </w:r>
      <w:r w:rsidRPr="004A0446">
        <w:rPr>
          <w:rFonts w:ascii="Abadi" w:hAnsi="Abadi" w:cs="Arial"/>
          <w:i/>
          <w:iCs/>
          <w:sz w:val="21"/>
          <w:szCs w:val="21"/>
          <w:lang w:val="es-MX"/>
        </w:rPr>
        <w:t>Secretaría de</w:t>
      </w:r>
      <w:r>
        <w:rPr>
          <w:rFonts w:ascii="Abadi" w:hAnsi="Abadi" w:cs="Arial"/>
          <w:i/>
          <w:iCs/>
          <w:sz w:val="21"/>
          <w:szCs w:val="21"/>
          <w:lang w:val="es-MX"/>
        </w:rPr>
        <w:t xml:space="preserve"> </w:t>
      </w:r>
      <w:r w:rsidRPr="004A0446">
        <w:rPr>
          <w:rFonts w:ascii="Abadi" w:hAnsi="Abadi" w:cs="Arial"/>
          <w:i/>
          <w:iCs/>
          <w:sz w:val="21"/>
          <w:szCs w:val="21"/>
          <w:lang w:val="es-MX"/>
        </w:rPr>
        <w:t>Finanzas,</w:t>
      </w:r>
      <w:r>
        <w:rPr>
          <w:rFonts w:ascii="Abadi" w:hAnsi="Abadi" w:cs="Arial"/>
          <w:i/>
          <w:iCs/>
          <w:sz w:val="21"/>
          <w:szCs w:val="21"/>
          <w:lang w:val="es-MX"/>
        </w:rPr>
        <w:t xml:space="preserve"> </w:t>
      </w:r>
      <w:r w:rsidRPr="004A0446">
        <w:rPr>
          <w:rFonts w:ascii="Abadi" w:hAnsi="Abadi" w:cs="Arial"/>
          <w:i/>
          <w:iCs/>
          <w:sz w:val="21"/>
          <w:szCs w:val="21"/>
          <w:lang w:val="es-MX"/>
        </w:rPr>
        <w:t>Inversión y Administración;</w:t>
      </w:r>
    </w:p>
    <w:p w14:paraId="5BB1DBAA" w14:textId="77777777" w:rsidR="00E3434F" w:rsidRPr="004A0446" w:rsidRDefault="00E3434F" w:rsidP="00F3730A">
      <w:pPr>
        <w:widowControl w:val="0"/>
        <w:ind w:left="1560" w:hanging="142"/>
        <w:jc w:val="both"/>
        <w:rPr>
          <w:rFonts w:ascii="Abadi" w:hAnsi="Abadi" w:cs="Arial"/>
          <w:i/>
          <w:iCs/>
          <w:sz w:val="21"/>
          <w:szCs w:val="21"/>
          <w:lang w:val="es-MX"/>
        </w:rPr>
      </w:pPr>
      <w:r w:rsidRPr="004A0446">
        <w:rPr>
          <w:rFonts w:ascii="Abadi" w:hAnsi="Abadi" w:cs="Arial"/>
          <w:i/>
          <w:iCs/>
          <w:sz w:val="21"/>
          <w:szCs w:val="21"/>
          <w:lang w:val="es-MX"/>
        </w:rPr>
        <w:t>-</w:t>
      </w:r>
      <w:r>
        <w:rPr>
          <w:rFonts w:ascii="Abadi" w:hAnsi="Abadi" w:cs="Arial"/>
          <w:i/>
          <w:iCs/>
          <w:sz w:val="21"/>
          <w:szCs w:val="21"/>
          <w:lang w:val="es-MX"/>
        </w:rPr>
        <w:t xml:space="preserve"> </w:t>
      </w:r>
      <w:r w:rsidRPr="004A0446">
        <w:rPr>
          <w:rFonts w:ascii="Abadi" w:hAnsi="Abadi" w:cs="Arial"/>
          <w:i/>
          <w:iCs/>
          <w:sz w:val="21"/>
          <w:szCs w:val="21"/>
          <w:lang w:val="es-MX"/>
        </w:rPr>
        <w:t>Secretaría de Desarrollo</w:t>
      </w:r>
      <w:r>
        <w:rPr>
          <w:rFonts w:ascii="Abadi" w:hAnsi="Abadi" w:cs="Arial"/>
          <w:i/>
          <w:iCs/>
          <w:sz w:val="21"/>
          <w:szCs w:val="21"/>
          <w:lang w:val="es-MX"/>
        </w:rPr>
        <w:t xml:space="preserve"> </w:t>
      </w:r>
      <w:r w:rsidRPr="004A0446">
        <w:rPr>
          <w:rFonts w:ascii="Abadi" w:hAnsi="Abadi" w:cs="Arial"/>
          <w:i/>
          <w:iCs/>
          <w:sz w:val="21"/>
          <w:szCs w:val="21"/>
          <w:lang w:val="es-MX"/>
        </w:rPr>
        <w:t>Social y</w:t>
      </w:r>
      <w:r>
        <w:rPr>
          <w:rFonts w:ascii="Abadi" w:hAnsi="Abadi" w:cs="Arial"/>
          <w:i/>
          <w:iCs/>
          <w:sz w:val="21"/>
          <w:szCs w:val="21"/>
          <w:lang w:val="es-MX"/>
        </w:rPr>
        <w:t xml:space="preserve"> </w:t>
      </w:r>
      <w:r w:rsidRPr="004A0446">
        <w:rPr>
          <w:rFonts w:ascii="Abadi" w:hAnsi="Abadi" w:cs="Arial"/>
          <w:i/>
          <w:iCs/>
          <w:sz w:val="21"/>
          <w:szCs w:val="21"/>
          <w:lang w:val="es-MX"/>
        </w:rPr>
        <w:t>Humano;</w:t>
      </w:r>
    </w:p>
    <w:p w14:paraId="51450284" w14:textId="77777777" w:rsidR="00E3434F" w:rsidRPr="004A0446" w:rsidRDefault="00E3434F" w:rsidP="00F3730A">
      <w:pPr>
        <w:widowControl w:val="0"/>
        <w:ind w:left="1560" w:hanging="142"/>
        <w:jc w:val="both"/>
        <w:rPr>
          <w:rFonts w:ascii="Abadi" w:hAnsi="Abadi" w:cs="Arial"/>
          <w:i/>
          <w:iCs/>
          <w:sz w:val="21"/>
          <w:szCs w:val="21"/>
          <w:lang w:val="es-MX"/>
        </w:rPr>
      </w:pPr>
      <w:r w:rsidRPr="004A0446">
        <w:rPr>
          <w:rFonts w:ascii="Abadi" w:hAnsi="Abadi" w:cs="Arial"/>
          <w:i/>
          <w:iCs/>
          <w:sz w:val="21"/>
          <w:szCs w:val="21"/>
          <w:lang w:val="es-MX"/>
        </w:rPr>
        <w:t>-</w:t>
      </w:r>
      <w:r>
        <w:rPr>
          <w:rFonts w:ascii="Abadi" w:hAnsi="Abadi" w:cs="Arial"/>
          <w:i/>
          <w:iCs/>
          <w:sz w:val="21"/>
          <w:szCs w:val="21"/>
          <w:lang w:val="es-MX"/>
        </w:rPr>
        <w:t xml:space="preserve"> </w:t>
      </w:r>
      <w:r w:rsidRPr="004A0446">
        <w:rPr>
          <w:rFonts w:ascii="Abadi" w:hAnsi="Abadi" w:cs="Arial"/>
          <w:i/>
          <w:iCs/>
          <w:sz w:val="21"/>
          <w:szCs w:val="21"/>
          <w:lang w:val="es-MX"/>
        </w:rPr>
        <w:t xml:space="preserve">Coordinación General Jurídica del Gobierno del Estado; </w:t>
      </w:r>
    </w:p>
    <w:p w14:paraId="5F7E6229" w14:textId="77777777" w:rsidR="00E3434F" w:rsidRPr="004A0446" w:rsidRDefault="00E3434F" w:rsidP="00F3730A">
      <w:pPr>
        <w:widowControl w:val="0"/>
        <w:tabs>
          <w:tab w:val="left" w:pos="1701"/>
        </w:tabs>
        <w:ind w:left="1560" w:right="142" w:hanging="142"/>
        <w:jc w:val="both"/>
        <w:rPr>
          <w:rFonts w:ascii="Abadi" w:hAnsi="Abadi" w:cs="Arial"/>
          <w:i/>
          <w:iCs/>
          <w:sz w:val="21"/>
          <w:szCs w:val="21"/>
          <w:lang w:val="es-MX"/>
        </w:rPr>
      </w:pPr>
      <w:r w:rsidRPr="004A0446">
        <w:rPr>
          <w:rFonts w:ascii="Abadi" w:hAnsi="Abadi" w:cs="Arial"/>
          <w:i/>
          <w:iCs/>
          <w:sz w:val="21"/>
          <w:szCs w:val="21"/>
          <w:lang w:val="es-MX"/>
        </w:rPr>
        <w:t xml:space="preserve">- </w:t>
      </w:r>
      <w:r>
        <w:rPr>
          <w:rFonts w:ascii="Abadi" w:hAnsi="Abadi" w:cs="Arial"/>
          <w:i/>
          <w:iCs/>
          <w:sz w:val="21"/>
          <w:szCs w:val="21"/>
          <w:lang w:val="es-MX"/>
        </w:rPr>
        <w:t xml:space="preserve"> </w:t>
      </w:r>
      <w:r w:rsidRPr="004A0446">
        <w:rPr>
          <w:rFonts w:ascii="Abadi" w:hAnsi="Abadi" w:cs="Arial"/>
          <w:i/>
          <w:iCs/>
          <w:sz w:val="21"/>
          <w:szCs w:val="21"/>
          <w:lang w:val="es-MX"/>
        </w:rPr>
        <w:t>Ayuntamientos; y</w:t>
      </w:r>
    </w:p>
    <w:p w14:paraId="0E88A16E" w14:textId="77777777" w:rsidR="00E3434F" w:rsidRPr="004A0446" w:rsidRDefault="00E3434F" w:rsidP="00F3730A">
      <w:pPr>
        <w:widowControl w:val="0"/>
        <w:ind w:left="1701" w:hanging="283"/>
        <w:jc w:val="both"/>
        <w:rPr>
          <w:rFonts w:ascii="Abadi" w:hAnsi="Abadi" w:cs="Arial"/>
          <w:i/>
          <w:iCs/>
          <w:sz w:val="21"/>
          <w:szCs w:val="21"/>
          <w:lang w:val="es-MX"/>
        </w:rPr>
      </w:pPr>
      <w:r w:rsidRPr="004A0446">
        <w:rPr>
          <w:rFonts w:ascii="Abadi" w:hAnsi="Abadi" w:cs="Arial"/>
          <w:i/>
          <w:iCs/>
          <w:sz w:val="21"/>
          <w:szCs w:val="21"/>
          <w:lang w:val="es-MX"/>
        </w:rPr>
        <w:t>- Unidad de Estudios de las Finanzas Públicas del Congreso de Estado, en cuanto al impacto presupuestal.</w:t>
      </w:r>
    </w:p>
    <w:p w14:paraId="2AA5A6F8" w14:textId="77777777" w:rsidR="00E3434F" w:rsidRPr="004A0446" w:rsidRDefault="00E3434F" w:rsidP="00F3730A">
      <w:pPr>
        <w:ind w:left="720"/>
        <w:jc w:val="both"/>
        <w:rPr>
          <w:rFonts w:ascii="Abadi" w:hAnsi="Abadi" w:cs="Arial"/>
          <w:i/>
          <w:iCs/>
          <w:sz w:val="21"/>
          <w:szCs w:val="21"/>
          <w:lang w:val="es-MX"/>
        </w:rPr>
      </w:pPr>
    </w:p>
    <w:p w14:paraId="30033FCD" w14:textId="77777777" w:rsidR="00E3434F" w:rsidRPr="004A0446" w:rsidRDefault="00E3434F" w:rsidP="00F3730A">
      <w:pPr>
        <w:numPr>
          <w:ilvl w:val="0"/>
          <w:numId w:val="73"/>
        </w:numPr>
        <w:tabs>
          <w:tab w:val="left" w:pos="993"/>
        </w:tabs>
        <w:ind w:left="993" w:right="567" w:hanging="284"/>
        <w:jc w:val="both"/>
        <w:rPr>
          <w:rFonts w:ascii="Abadi" w:hAnsi="Abadi" w:cs="Arial"/>
          <w:i/>
          <w:iCs/>
          <w:sz w:val="21"/>
          <w:szCs w:val="21"/>
          <w:lang w:val="es-MX"/>
        </w:rPr>
      </w:pPr>
      <w:r w:rsidRPr="004A0446">
        <w:rPr>
          <w:rFonts w:ascii="Abadi" w:hAnsi="Abadi" w:cs="Arial"/>
          <w:i/>
          <w:iCs/>
          <w:sz w:val="21"/>
          <w:szCs w:val="21"/>
          <w:lang w:val="es-MX"/>
        </w:rPr>
        <w:t>Establecer un enlace en la página web del Congreso del Estado por el término de 15 días hábiles, contados a partir del día siguiente al de su publicación, donde se acceda a la iniciativa para efecto de consulta y aportaciones ciudadanas;</w:t>
      </w:r>
    </w:p>
    <w:p w14:paraId="07B36ECC" w14:textId="77777777" w:rsidR="00E3434F" w:rsidRPr="004A0446" w:rsidRDefault="00E3434F" w:rsidP="00F3730A">
      <w:pPr>
        <w:ind w:left="720" w:right="594"/>
        <w:jc w:val="both"/>
        <w:rPr>
          <w:rFonts w:ascii="Abadi" w:hAnsi="Abadi" w:cs="Arial"/>
          <w:i/>
          <w:iCs/>
          <w:sz w:val="21"/>
          <w:szCs w:val="21"/>
          <w:lang w:val="es-MX"/>
        </w:rPr>
      </w:pPr>
    </w:p>
    <w:p w14:paraId="09AE3AFD" w14:textId="77777777" w:rsidR="00E3434F" w:rsidRPr="004A0446" w:rsidRDefault="00E3434F" w:rsidP="00F3730A">
      <w:pPr>
        <w:numPr>
          <w:ilvl w:val="0"/>
          <w:numId w:val="73"/>
        </w:numPr>
        <w:tabs>
          <w:tab w:val="left" w:pos="993"/>
        </w:tabs>
        <w:ind w:left="993" w:right="567" w:hanging="284"/>
        <w:jc w:val="both"/>
        <w:rPr>
          <w:rFonts w:ascii="Abadi" w:hAnsi="Abadi" w:cs="Arial"/>
          <w:b/>
          <w:bCs/>
          <w:i/>
          <w:iCs/>
          <w:sz w:val="21"/>
          <w:szCs w:val="21"/>
        </w:rPr>
      </w:pPr>
      <w:r w:rsidRPr="004A0446">
        <w:rPr>
          <w:rFonts w:ascii="Abadi" w:hAnsi="Abadi" w:cs="Arial"/>
          <w:i/>
          <w:iCs/>
          <w:sz w:val="21"/>
          <w:szCs w:val="21"/>
          <w:lang w:val="es-MX"/>
        </w:rPr>
        <w:t>Elaborar la secretaría técnica un documento en el que se concentren los comentarios formulados a la iniciativa, el que circulará a diputadas y diputados integrantes de la Comisión de Salud Pública y se impongan de su contenido;</w:t>
      </w:r>
    </w:p>
    <w:p w14:paraId="7C19BC32" w14:textId="77777777" w:rsidR="00E3434F" w:rsidRPr="004A0446" w:rsidRDefault="00E3434F" w:rsidP="00F3730A">
      <w:pPr>
        <w:ind w:left="708" w:right="594"/>
        <w:rPr>
          <w:rFonts w:ascii="Abadi" w:hAnsi="Abadi" w:cs="Arial"/>
          <w:b/>
          <w:bCs/>
          <w:i/>
          <w:iCs/>
          <w:sz w:val="21"/>
          <w:szCs w:val="21"/>
        </w:rPr>
      </w:pPr>
    </w:p>
    <w:p w14:paraId="0255C487" w14:textId="77777777" w:rsidR="00E3434F" w:rsidRPr="004A0446" w:rsidRDefault="00E3434F" w:rsidP="00F3730A">
      <w:pPr>
        <w:numPr>
          <w:ilvl w:val="0"/>
          <w:numId w:val="73"/>
        </w:numPr>
        <w:tabs>
          <w:tab w:val="left" w:pos="851"/>
        </w:tabs>
        <w:ind w:left="993" w:right="567" w:hanging="284"/>
        <w:jc w:val="both"/>
        <w:rPr>
          <w:rFonts w:ascii="Abadi" w:hAnsi="Abadi" w:cs="Arial"/>
          <w:b/>
          <w:bCs/>
          <w:i/>
          <w:iCs/>
          <w:sz w:val="21"/>
          <w:szCs w:val="21"/>
        </w:rPr>
      </w:pPr>
      <w:r w:rsidRPr="004A0446">
        <w:rPr>
          <w:rFonts w:ascii="Abadi" w:hAnsi="Abadi" w:cs="Arial"/>
          <w:i/>
          <w:iCs/>
          <w:sz w:val="21"/>
          <w:szCs w:val="21"/>
          <w:lang w:val="es-MX"/>
        </w:rPr>
        <w:t>Mesa de trabajo para el análisis de la iniciativa y los comentarios formulados, conformada por los integrantes la Comisión de Salud Pública, diputadas y  diputados de esta Legislatura que deseen asistir, así como asesores; e invitar a las secretarías de Salud, de Educación, de Seguridad Pública, de Finanzas, Inversión y Administración, de Desarrollo Social y Humano, así como a la Coordinación General Jurídica del Gobierno del Estado y, a la Unidad de Estudios de las Finanzas Públicas del Congreso del Estado;</w:t>
      </w:r>
    </w:p>
    <w:p w14:paraId="2F6113FC" w14:textId="77777777" w:rsidR="00E3434F" w:rsidRPr="004A0446" w:rsidRDefault="00E3434F" w:rsidP="00F3730A">
      <w:pPr>
        <w:numPr>
          <w:ilvl w:val="0"/>
          <w:numId w:val="73"/>
        </w:numPr>
        <w:tabs>
          <w:tab w:val="left" w:pos="993"/>
        </w:tabs>
        <w:ind w:left="993" w:right="567" w:hanging="284"/>
        <w:jc w:val="both"/>
        <w:rPr>
          <w:rFonts w:ascii="Abadi" w:hAnsi="Abadi" w:cs="Arial"/>
          <w:b/>
          <w:bCs/>
          <w:i/>
          <w:iCs/>
          <w:sz w:val="21"/>
          <w:szCs w:val="21"/>
        </w:rPr>
      </w:pPr>
      <w:r w:rsidRPr="004A0446">
        <w:rPr>
          <w:rFonts w:ascii="Abadi" w:hAnsi="Abadi" w:cs="Arial"/>
          <w:i/>
          <w:iCs/>
          <w:sz w:val="21"/>
          <w:szCs w:val="21"/>
        </w:rPr>
        <w:t>Reunión de la C</w:t>
      </w:r>
      <w:r w:rsidRPr="004A0446">
        <w:rPr>
          <w:rFonts w:ascii="Abadi" w:hAnsi="Abadi" w:cs="Arial"/>
          <w:i/>
          <w:iCs/>
          <w:sz w:val="21"/>
          <w:szCs w:val="21"/>
          <w:lang w:val="es-MX"/>
        </w:rPr>
        <w:t>omisión de Salud Pública para acuerdos del proyecto de dictamen; y</w:t>
      </w:r>
    </w:p>
    <w:p w14:paraId="3A487315" w14:textId="77777777" w:rsidR="00E3434F" w:rsidRPr="004A0446" w:rsidRDefault="00E3434F" w:rsidP="00F3730A">
      <w:pPr>
        <w:ind w:left="708"/>
        <w:rPr>
          <w:rFonts w:ascii="Abadi" w:hAnsi="Abadi" w:cs="Arial"/>
          <w:b/>
          <w:bCs/>
          <w:i/>
          <w:iCs/>
          <w:sz w:val="21"/>
          <w:szCs w:val="21"/>
        </w:rPr>
      </w:pPr>
    </w:p>
    <w:p w14:paraId="0873B085" w14:textId="77777777" w:rsidR="00E3434F" w:rsidRPr="004A0446" w:rsidRDefault="00E3434F" w:rsidP="00F3730A">
      <w:pPr>
        <w:numPr>
          <w:ilvl w:val="0"/>
          <w:numId w:val="73"/>
        </w:numPr>
        <w:tabs>
          <w:tab w:val="left" w:pos="993"/>
        </w:tabs>
        <w:ind w:left="993" w:right="567" w:hanging="284"/>
        <w:jc w:val="both"/>
        <w:rPr>
          <w:rFonts w:ascii="Abadi" w:hAnsi="Abadi" w:cs="Arial"/>
          <w:b/>
          <w:bCs/>
          <w:i/>
          <w:iCs/>
          <w:sz w:val="21"/>
          <w:szCs w:val="21"/>
        </w:rPr>
      </w:pPr>
      <w:r w:rsidRPr="004A0446">
        <w:rPr>
          <w:rFonts w:ascii="Abadi" w:hAnsi="Abadi" w:cs="Arial"/>
          <w:i/>
          <w:iCs/>
          <w:sz w:val="21"/>
          <w:szCs w:val="21"/>
          <w:lang w:val="es-MX"/>
        </w:rPr>
        <w:t xml:space="preserve">Reunión de la Comisión de Salud Pública para la discusión y, en su caso, aprobación del </w:t>
      </w:r>
      <w:r w:rsidRPr="004A0446">
        <w:rPr>
          <w:rFonts w:ascii="Abadi" w:hAnsi="Abadi" w:cs="Arial"/>
          <w:bCs/>
          <w:i/>
          <w:iCs/>
          <w:sz w:val="21"/>
          <w:szCs w:val="21"/>
          <w:lang w:val="es-MX"/>
        </w:rPr>
        <w:t>proyecto</w:t>
      </w:r>
      <w:r w:rsidRPr="004A0446">
        <w:rPr>
          <w:rFonts w:ascii="Abadi" w:hAnsi="Abadi" w:cs="Arial"/>
          <w:i/>
          <w:iCs/>
          <w:sz w:val="21"/>
          <w:szCs w:val="21"/>
          <w:lang w:val="es-MX"/>
        </w:rPr>
        <w:t xml:space="preserve"> de dictamen.</w:t>
      </w:r>
    </w:p>
    <w:p w14:paraId="59478128" w14:textId="77777777" w:rsidR="00E3434F" w:rsidRPr="004A0446" w:rsidRDefault="00E3434F" w:rsidP="00F3730A">
      <w:pPr>
        <w:ind w:left="720"/>
        <w:jc w:val="both"/>
        <w:rPr>
          <w:rFonts w:ascii="Abadi" w:hAnsi="Abadi" w:cs="Arial"/>
          <w:b/>
          <w:bCs/>
          <w:sz w:val="21"/>
          <w:szCs w:val="21"/>
        </w:rPr>
      </w:pPr>
    </w:p>
    <w:p w14:paraId="2732C721" w14:textId="77777777" w:rsidR="00E3434F" w:rsidRPr="004A0446" w:rsidRDefault="00E3434F" w:rsidP="00F3730A">
      <w:pPr>
        <w:ind w:firstLine="567"/>
        <w:jc w:val="both"/>
        <w:rPr>
          <w:rFonts w:ascii="Abadi" w:eastAsia="SimSun" w:hAnsi="Abadi" w:cs="Arial"/>
          <w:sz w:val="21"/>
          <w:szCs w:val="21"/>
        </w:rPr>
      </w:pPr>
      <w:r w:rsidRPr="004A0446">
        <w:rPr>
          <w:rFonts w:ascii="Abadi" w:eastAsia="SimSun" w:hAnsi="Abadi" w:cs="Arial"/>
          <w:sz w:val="21"/>
          <w:szCs w:val="21"/>
        </w:rPr>
        <w:t xml:space="preserve"> Acorde a la metodología de trabajo aprobada, mediante el correo electrónico del 21 de mayo de 2021 fue remitida la iniciativa de referencia y solicitó opinión a las diputadas y los diputados integrantes de la Sexagésima Cuarta Legislatura del Congreso del Estado.  De igual manera, se hizo llegar la iniciativa y peticionó opinión mediante el oficio circular 321 de fecha 21 de mayo de 2021, a las secretarías de Salud, de Educación, de Seguridad Pública, de Finanzas, Inversión y Administración, de Desarrollo Social y Humano y, a la Coordinación General Jurídica del Gobierno del Estado; mediante el oficio circular 322, de fecha 21 de mayo de 2021, a los ayuntamientos del Estado; asimismo, a través del oficio 12924 de la fecha referida, dirigido a la Secretaría General de Congreso del Estado, se solicitó opinión de la Unidad de Estudios de las Finanzas Públicas, en cuanto al impacto presupuestal.</w:t>
      </w:r>
    </w:p>
    <w:p w14:paraId="620E1088" w14:textId="77777777" w:rsidR="00E3434F" w:rsidRPr="004A0446" w:rsidRDefault="00E3434F" w:rsidP="00F3730A">
      <w:pPr>
        <w:ind w:firstLine="708"/>
        <w:jc w:val="both"/>
        <w:rPr>
          <w:rFonts w:ascii="Abadi" w:eastAsia="SimSun" w:hAnsi="Abadi" w:cs="Arial"/>
          <w:sz w:val="21"/>
          <w:szCs w:val="21"/>
        </w:rPr>
      </w:pPr>
    </w:p>
    <w:p w14:paraId="509D1F8D" w14:textId="77777777" w:rsidR="00E3434F" w:rsidRPr="004A0446" w:rsidRDefault="00E3434F" w:rsidP="00F3730A">
      <w:pPr>
        <w:ind w:firstLine="567"/>
        <w:jc w:val="both"/>
        <w:rPr>
          <w:rFonts w:ascii="Abadi" w:eastAsia="SimSun" w:hAnsi="Abadi" w:cs="Arial"/>
          <w:sz w:val="21"/>
          <w:szCs w:val="21"/>
        </w:rPr>
      </w:pPr>
      <w:r w:rsidRPr="004A0446">
        <w:rPr>
          <w:rFonts w:ascii="Abadi" w:eastAsia="SimSun" w:hAnsi="Abadi" w:cs="Arial"/>
          <w:sz w:val="21"/>
          <w:szCs w:val="21"/>
        </w:rPr>
        <w:t xml:space="preserve"> Se estableció un enlace en la página web del Congreso del Estado, a través del cual se accediera a la iniciativa que nos ocupa, para efecto de consulta y aportaciones ciudadanas.</w:t>
      </w:r>
    </w:p>
    <w:p w14:paraId="36D03E83" w14:textId="77777777" w:rsidR="00E3434F" w:rsidRPr="004A0446" w:rsidRDefault="00E3434F" w:rsidP="00F3730A">
      <w:pPr>
        <w:ind w:firstLine="708"/>
        <w:jc w:val="both"/>
        <w:rPr>
          <w:rFonts w:ascii="Abadi" w:eastAsia="SimSun" w:hAnsi="Abadi" w:cs="Arial"/>
          <w:sz w:val="21"/>
          <w:szCs w:val="21"/>
        </w:rPr>
      </w:pPr>
    </w:p>
    <w:p w14:paraId="6DFAFCB5" w14:textId="77777777" w:rsidR="00E3434F" w:rsidRPr="004A0446" w:rsidRDefault="00E3434F" w:rsidP="00F3730A">
      <w:pPr>
        <w:tabs>
          <w:tab w:val="left" w:pos="567"/>
          <w:tab w:val="left" w:pos="851"/>
          <w:tab w:val="left" w:pos="8222"/>
        </w:tabs>
        <w:ind w:firstLine="567"/>
        <w:jc w:val="both"/>
        <w:rPr>
          <w:rFonts w:ascii="Abadi" w:eastAsia="SimSun" w:hAnsi="Abadi" w:cs="Arial"/>
          <w:sz w:val="21"/>
          <w:szCs w:val="21"/>
        </w:rPr>
      </w:pPr>
      <w:r w:rsidRPr="004A0446">
        <w:rPr>
          <w:rFonts w:ascii="Abadi" w:eastAsia="SimSun" w:hAnsi="Abadi" w:cs="Arial"/>
          <w:b/>
          <w:bCs/>
          <w:sz w:val="21"/>
          <w:szCs w:val="21"/>
        </w:rPr>
        <w:t>II.3</w:t>
      </w:r>
      <w:r w:rsidRPr="004A0446">
        <w:rPr>
          <w:rFonts w:ascii="Abadi" w:eastAsia="SimSun" w:hAnsi="Abadi" w:cs="Arial"/>
          <w:sz w:val="21"/>
          <w:szCs w:val="21"/>
        </w:rPr>
        <w:t xml:space="preserve"> En la sesión plenaria del 7 de octubre de 2021, una vez declarada la conformación de las comisiones permanentes de la Sexagésima Quinta Legislatura, se remitieron a estas las iniciativas y asuntos en trámite de las comisiones de la Legislatura anterior. </w:t>
      </w:r>
    </w:p>
    <w:p w14:paraId="50BD92C8" w14:textId="77777777" w:rsidR="00E3434F" w:rsidRPr="004A0446" w:rsidRDefault="00E3434F" w:rsidP="00F3730A">
      <w:pPr>
        <w:tabs>
          <w:tab w:val="left" w:pos="567"/>
        </w:tabs>
        <w:ind w:firstLine="567"/>
        <w:jc w:val="both"/>
        <w:rPr>
          <w:rFonts w:ascii="Abadi" w:eastAsia="SimSun" w:hAnsi="Abadi" w:cs="Arial"/>
          <w:b/>
          <w:bCs/>
          <w:sz w:val="21"/>
          <w:szCs w:val="21"/>
        </w:rPr>
      </w:pPr>
    </w:p>
    <w:p w14:paraId="13B4D335" w14:textId="77777777" w:rsidR="00E3434F" w:rsidRPr="004A0446" w:rsidRDefault="00E3434F" w:rsidP="00F3730A">
      <w:pPr>
        <w:tabs>
          <w:tab w:val="left" w:pos="567"/>
        </w:tabs>
        <w:ind w:firstLine="567"/>
        <w:jc w:val="both"/>
        <w:rPr>
          <w:rFonts w:ascii="Abadi" w:eastAsia="SimSun" w:hAnsi="Abadi" w:cs="Arial"/>
          <w:sz w:val="21"/>
          <w:szCs w:val="21"/>
        </w:rPr>
      </w:pPr>
      <w:r w:rsidRPr="004A0446">
        <w:rPr>
          <w:rFonts w:ascii="Abadi" w:eastAsia="SimSun" w:hAnsi="Abadi" w:cs="Arial"/>
          <w:b/>
          <w:bCs/>
          <w:sz w:val="21"/>
          <w:szCs w:val="21"/>
        </w:rPr>
        <w:t xml:space="preserve">II.4 </w:t>
      </w:r>
      <w:r w:rsidRPr="004A0446">
        <w:rPr>
          <w:rFonts w:ascii="Abadi" w:eastAsia="SimSun" w:hAnsi="Abadi" w:cs="Arial"/>
          <w:sz w:val="21"/>
          <w:szCs w:val="21"/>
        </w:rPr>
        <w:t>El 11 de octubre de 2021 se instaló la Comisión de Salud Pública de la Sexagésima Quinta Legislatura, en la que sus integrantes se impusieron del contenido del informe de los pendientes de los trabajos legislativos de la Comisión de Salud Pública de la Legislatura anterior, siendo uno de ellos el que nos ocupa.</w:t>
      </w:r>
    </w:p>
    <w:p w14:paraId="1B1755D9" w14:textId="77777777" w:rsidR="00E3434F" w:rsidRPr="004A0446" w:rsidRDefault="00E3434F" w:rsidP="00F3730A">
      <w:pPr>
        <w:ind w:firstLine="708"/>
        <w:jc w:val="both"/>
        <w:rPr>
          <w:rFonts w:ascii="Abadi" w:eastAsia="SimSun" w:hAnsi="Abadi" w:cs="Arial"/>
          <w:sz w:val="21"/>
          <w:szCs w:val="21"/>
        </w:rPr>
      </w:pPr>
    </w:p>
    <w:p w14:paraId="69452525" w14:textId="77777777" w:rsidR="00E3434F" w:rsidRPr="004A0446" w:rsidRDefault="00E3434F" w:rsidP="00F3730A">
      <w:pPr>
        <w:ind w:firstLine="567"/>
        <w:jc w:val="both"/>
        <w:rPr>
          <w:rFonts w:ascii="Abadi" w:hAnsi="Abadi" w:cs="Arial"/>
          <w:sz w:val="21"/>
          <w:szCs w:val="21"/>
          <w:lang w:val="es-MX"/>
        </w:rPr>
      </w:pPr>
      <w:r w:rsidRPr="004A0446">
        <w:rPr>
          <w:rFonts w:ascii="Abadi" w:eastAsia="SimSun" w:hAnsi="Abadi" w:cs="Arial"/>
          <w:sz w:val="21"/>
          <w:szCs w:val="21"/>
        </w:rPr>
        <w:t xml:space="preserve">Derivado de las mencionadas solicitudes de opinión a la iniciativa que nos ocupa, previo a celebrarse la mesa de trabajo se recibieron las respuestas </w:t>
      </w:r>
      <w:r w:rsidRPr="004A0446">
        <w:rPr>
          <w:rFonts w:ascii="Abadi" w:hAnsi="Abadi" w:cs="Arial"/>
          <w:sz w:val="21"/>
          <w:szCs w:val="21"/>
          <w:lang w:val="es-MX"/>
        </w:rPr>
        <w:t xml:space="preserve">de la Secretaría de Seguridad Pública, de los ayuntamientos de Coroneo, Doctor Mora, Santiago Maravatío, Irapuato, León, San José Iturbide, Salamanca, Victoria, Moroleón, San Francisco del Rincón, Jaral de Progreso, Celaya y Jerécuaro, así como de la Unidad de Estudios de las Finanzas Públicas del Congreso del Estado.   </w:t>
      </w:r>
    </w:p>
    <w:p w14:paraId="1CAEE8F1" w14:textId="77777777" w:rsidR="00E3434F" w:rsidRPr="004A0446" w:rsidRDefault="00E3434F" w:rsidP="00F3730A">
      <w:pPr>
        <w:ind w:firstLine="708"/>
        <w:jc w:val="both"/>
        <w:rPr>
          <w:rFonts w:ascii="Abadi" w:eastAsia="SimSun" w:hAnsi="Abadi" w:cs="Arial"/>
          <w:sz w:val="21"/>
          <w:szCs w:val="21"/>
        </w:rPr>
      </w:pPr>
    </w:p>
    <w:p w14:paraId="7D2B199F" w14:textId="77777777" w:rsidR="00E3434F" w:rsidRPr="004A0446" w:rsidRDefault="00E3434F" w:rsidP="00F3730A">
      <w:pPr>
        <w:ind w:firstLine="567"/>
        <w:jc w:val="both"/>
        <w:rPr>
          <w:rFonts w:ascii="Abadi" w:eastAsia="SimSun" w:hAnsi="Abadi" w:cs="Arial"/>
          <w:sz w:val="21"/>
          <w:szCs w:val="21"/>
        </w:rPr>
      </w:pPr>
      <w:r w:rsidRPr="004A0446">
        <w:rPr>
          <w:rFonts w:ascii="Abadi" w:eastAsia="SimSun" w:hAnsi="Abadi" w:cs="Arial"/>
          <w:b/>
          <w:bCs/>
          <w:sz w:val="21"/>
          <w:szCs w:val="21"/>
        </w:rPr>
        <w:t xml:space="preserve">II.5 </w:t>
      </w:r>
      <w:r w:rsidRPr="004A0446">
        <w:rPr>
          <w:rFonts w:ascii="Abadi" w:eastAsia="SimSun" w:hAnsi="Abadi" w:cs="Arial"/>
          <w:sz w:val="21"/>
          <w:szCs w:val="21"/>
        </w:rPr>
        <w:t>La secretaría técnica de la comisión elaboró el documento en el que se concentraron los comentarios formulados a la iniciativa, el que remitió vía correo electrónico el 19 de mayo de 2022 a las diputadas y al diputado integrantes de la Comisión de Salud Pública.</w:t>
      </w:r>
    </w:p>
    <w:p w14:paraId="7982F22D" w14:textId="77777777" w:rsidR="00E3434F" w:rsidRPr="004A0446" w:rsidRDefault="00E3434F" w:rsidP="00F3730A">
      <w:pPr>
        <w:ind w:firstLine="708"/>
        <w:jc w:val="both"/>
        <w:rPr>
          <w:rFonts w:ascii="Abadi" w:eastAsia="SimSun" w:hAnsi="Abadi" w:cs="Arial"/>
          <w:sz w:val="21"/>
          <w:szCs w:val="21"/>
        </w:rPr>
      </w:pPr>
    </w:p>
    <w:p w14:paraId="2F91ADA5" w14:textId="77777777" w:rsidR="00E3434F" w:rsidRPr="004A0446" w:rsidRDefault="00E3434F" w:rsidP="00F3730A">
      <w:pPr>
        <w:ind w:firstLine="567"/>
        <w:jc w:val="both"/>
        <w:rPr>
          <w:rFonts w:ascii="Abadi" w:eastAsia="SimSun" w:hAnsi="Abadi" w:cs="Arial"/>
          <w:sz w:val="21"/>
          <w:szCs w:val="21"/>
        </w:rPr>
      </w:pPr>
      <w:r w:rsidRPr="004A0446">
        <w:rPr>
          <w:rFonts w:ascii="Abadi" w:eastAsia="SimSun" w:hAnsi="Abadi" w:cs="Arial"/>
          <w:sz w:val="21"/>
          <w:szCs w:val="21"/>
        </w:rPr>
        <w:t xml:space="preserve">El 31 de mayo de 2022 se desahogó la mesa de trabajo para el análisis de la iniciativa de referencia y los comentarios formulados, en la que se contó con las siguientes asistencias: de manera presencial la diputada presidenta de la Comisión de Salud Pública Irma Leticia González Sánchez, las diputadas Katya Cristina Soto Escamilla y Angélica Casillas Martínez, y el diputado Ernesto Millán Soberanes, integrantes de dicha comisión; la diputada Martha Lourdes Ortega Roque y el diputado Gerardo Fernández González. Asimismo, en representación de la Secretaría de Educación el licenciado Juan Manuel Ruelas Santoyo, director general de Consejería Legal y la licenciada Daniela Porras Gallegos, jefa del departamento del Proyectos Normativos; de la Secretaría de Desarrollo Social y Humano la licenciada Alma Lilia Akall Picón, directora general Jurídica; y, por parte de la Unidad de Estudios de las Finanzas Públicas del Congreso del Estado el maestro Enrique Orozco Mora.  A distancia, a través de herramienta tecnológica en representación de la Secretaría de Salud el doctor Manuel Aguilar Romo, director de Salud Mental, la licenciada Aurora Saori Sugia Verver y Vargas, jefa del departamento de Atención y Prevención a la Violencia, el licenciado Daniel Cortes Rayas, jefe del departamento de Atención Clínica, la doctora Sara García Salinas, jefa del departamento  de Atención a la Infancia y la Adolescencia, y la licenciada María Monserrat Puga Guerrero, coordinadora estatal de Infancia; en representación de la Secretaría de Seguridad Pública el licenciado Francisco Manuel Fernández Guani, coordinador de Asuntos Jurídicos y Reglamentos; de la Secretaría de Finanzas, Inversión y Administración la licenciada Claudia Cecilia Salgado Barrón, directora de Normatividad, adscrita a la Procuraduría Fiscal del Estado; de la Coordinación General Jurídica del Gobierno del Estado los licenciados José Federico Ruíz Chávez, director general de Agenda Legislativa y Reglamentación, Alejandro Domínguez López Velarde, adscrito a la dirección general de Agenda Legislativa y Reglamentación, y Carlos Alejandro Rodríguez Pacheco, coordinador de Proyectos Legislativos. Asimismo, de manera presencial acudieron los asesores licenciados Ángel Raymundo Osorio Ponce y Rodrigo Navarrete Garza del Grupo Parlamentario del Partido Morena, el licenciado Juan Pablo Fernando Galván Aguilar y la licenciada Marisol Cano Echeverría del Grupo Parlamentario del Partido Acción Nacional, el doctor Carlos Torres Ramírez del Grupo Parlamentario del Partido Revolucionario Institucional, los licenciados Guillermo Velázquez Vázquez y Francisco Rocha Balderas del Grupo Parlamentario del Partido Verde Ecologista de México, así como la secretaria técnica de la comisión. </w:t>
      </w:r>
    </w:p>
    <w:p w14:paraId="02BF722E" w14:textId="77777777" w:rsidR="00E3434F" w:rsidRPr="004A0446" w:rsidRDefault="00E3434F" w:rsidP="00F3730A">
      <w:pPr>
        <w:tabs>
          <w:tab w:val="left" w:pos="426"/>
        </w:tabs>
        <w:ind w:firstLine="567"/>
        <w:jc w:val="both"/>
        <w:rPr>
          <w:rFonts w:ascii="Abadi" w:eastAsia="SimSun" w:hAnsi="Abadi" w:cs="Arial"/>
          <w:sz w:val="21"/>
          <w:szCs w:val="21"/>
        </w:rPr>
      </w:pPr>
      <w:r w:rsidRPr="004A0446">
        <w:rPr>
          <w:rFonts w:ascii="Abadi" w:eastAsia="SimSun" w:hAnsi="Abadi" w:cs="Arial"/>
          <w:sz w:val="21"/>
          <w:szCs w:val="21"/>
        </w:rPr>
        <w:t>El 31 de mayo de 2022, posterior a la celebración de la mesa de trabajo se recibió la opinión consolidada de las secretarías de Finanzas, Inversión y Administración, de Salud, y de la Coordinación General Jurídica del Gobierno del Estado.</w:t>
      </w:r>
    </w:p>
    <w:p w14:paraId="058BFD05" w14:textId="77777777" w:rsidR="00E3434F" w:rsidRPr="004A0446" w:rsidRDefault="00E3434F" w:rsidP="00F3730A">
      <w:pPr>
        <w:ind w:firstLine="567"/>
        <w:rPr>
          <w:rFonts w:ascii="Abadi" w:hAnsi="Abadi" w:cs="Arial"/>
          <w:b/>
          <w:sz w:val="21"/>
          <w:szCs w:val="21"/>
          <w:lang w:val="es-MX"/>
        </w:rPr>
      </w:pPr>
    </w:p>
    <w:p w14:paraId="66766608" w14:textId="77777777" w:rsidR="00E3434F" w:rsidRPr="004A0446" w:rsidRDefault="00E3434F" w:rsidP="00F3730A">
      <w:pPr>
        <w:autoSpaceDE w:val="0"/>
        <w:autoSpaceDN w:val="0"/>
        <w:adjustRightInd w:val="0"/>
        <w:ind w:firstLine="567"/>
        <w:jc w:val="both"/>
        <w:rPr>
          <w:rFonts w:ascii="Abadi" w:eastAsia="SimSun" w:hAnsi="Abadi" w:cs="Arial"/>
          <w:sz w:val="21"/>
          <w:szCs w:val="21"/>
        </w:rPr>
      </w:pPr>
      <w:r w:rsidRPr="004A0446">
        <w:rPr>
          <w:rFonts w:ascii="Abadi" w:eastAsia="SimSun" w:hAnsi="Abadi" w:cs="Arial"/>
          <w:sz w:val="21"/>
          <w:szCs w:val="21"/>
        </w:rPr>
        <w:t xml:space="preserve">A la conclusión del desahogo de la mesa de trabajo la presidencia de la comisión refirió que a través de la secretaría técnica y de los asesores sé daría seguimiento al tema y de ser posible y viable se convocaría a otra mesa de trabajo, una vez hecho el análisis en conjunto. </w:t>
      </w:r>
    </w:p>
    <w:p w14:paraId="67354119" w14:textId="77777777" w:rsidR="00E3434F" w:rsidRPr="004A0446" w:rsidRDefault="00E3434F" w:rsidP="00F3730A">
      <w:pPr>
        <w:ind w:firstLine="567"/>
        <w:rPr>
          <w:rFonts w:ascii="Abadi" w:hAnsi="Abadi" w:cs="Arial"/>
          <w:b/>
          <w:sz w:val="21"/>
          <w:szCs w:val="21"/>
          <w:lang w:val="es-MX"/>
        </w:rPr>
      </w:pPr>
    </w:p>
    <w:p w14:paraId="010F44D6" w14:textId="77777777" w:rsidR="00E3434F" w:rsidRPr="004A0446" w:rsidRDefault="00E3434F" w:rsidP="00F3730A">
      <w:pPr>
        <w:ind w:firstLine="567"/>
        <w:rPr>
          <w:rFonts w:ascii="Abadi" w:hAnsi="Abadi" w:cs="Arial"/>
          <w:b/>
          <w:sz w:val="21"/>
          <w:szCs w:val="21"/>
          <w:lang w:val="es-MX"/>
        </w:rPr>
      </w:pPr>
      <w:r w:rsidRPr="004A0446">
        <w:rPr>
          <w:rFonts w:ascii="Abadi" w:hAnsi="Abadi" w:cs="Arial"/>
          <w:b/>
          <w:sz w:val="21"/>
          <w:szCs w:val="21"/>
          <w:lang w:val="es-MX"/>
        </w:rPr>
        <w:t>II.6 Iniciativa</w:t>
      </w:r>
    </w:p>
    <w:p w14:paraId="41D076AC" w14:textId="77777777" w:rsidR="00E3434F" w:rsidRPr="004A0446" w:rsidRDefault="00E3434F" w:rsidP="00F3730A">
      <w:pPr>
        <w:ind w:right="27" w:firstLine="567"/>
        <w:jc w:val="both"/>
        <w:rPr>
          <w:rFonts w:ascii="Abadi" w:hAnsi="Abadi" w:cs="Arial"/>
          <w:sz w:val="21"/>
          <w:szCs w:val="21"/>
        </w:rPr>
      </w:pPr>
      <w:r w:rsidRPr="004A0446">
        <w:rPr>
          <w:rFonts w:ascii="Abadi" w:hAnsi="Abadi" w:cs="Arial"/>
          <w:sz w:val="21"/>
          <w:szCs w:val="21"/>
        </w:rPr>
        <w:t xml:space="preserve">En la </w:t>
      </w:r>
      <w:r w:rsidRPr="004A0446">
        <w:rPr>
          <w:rFonts w:ascii="Abadi" w:hAnsi="Abadi" w:cs="Arial"/>
          <w:i/>
          <w:iCs/>
          <w:sz w:val="21"/>
          <w:szCs w:val="21"/>
        </w:rPr>
        <w:t>EXPOSICIÓN DE MOTIVOS</w:t>
      </w:r>
      <w:r w:rsidRPr="004A0446">
        <w:rPr>
          <w:rFonts w:ascii="Abadi" w:hAnsi="Abadi" w:cs="Arial"/>
          <w:sz w:val="21"/>
          <w:szCs w:val="21"/>
        </w:rPr>
        <w:t xml:space="preserve"> de la iniciativa de referencia se indica:</w:t>
      </w:r>
    </w:p>
    <w:p w14:paraId="75656F69" w14:textId="77777777" w:rsidR="00E3434F" w:rsidRDefault="00E3434F" w:rsidP="00F3730A">
      <w:pPr>
        <w:ind w:right="283" w:firstLine="1134"/>
        <w:jc w:val="both"/>
        <w:rPr>
          <w:rFonts w:ascii="Abadi" w:hAnsi="Abadi" w:cs="Arial"/>
          <w:sz w:val="21"/>
          <w:szCs w:val="21"/>
        </w:rPr>
      </w:pPr>
      <w:r w:rsidRPr="004A0446">
        <w:rPr>
          <w:rFonts w:ascii="Abadi" w:hAnsi="Abadi" w:cs="Arial"/>
          <w:sz w:val="21"/>
          <w:szCs w:val="21"/>
        </w:rPr>
        <w:t>(…)</w:t>
      </w:r>
    </w:p>
    <w:p w14:paraId="4F700D06" w14:textId="77777777" w:rsidR="00E3434F" w:rsidRDefault="00E3434F" w:rsidP="00F3730A">
      <w:pPr>
        <w:ind w:right="283"/>
        <w:jc w:val="both"/>
        <w:rPr>
          <w:rFonts w:ascii="Abadi" w:hAnsi="Abadi" w:cs="Arial"/>
          <w:b/>
          <w:bCs/>
          <w:sz w:val="21"/>
          <w:szCs w:val="21"/>
        </w:rPr>
      </w:pPr>
    </w:p>
    <w:p w14:paraId="18B07F04" w14:textId="77777777" w:rsidR="00E3434F" w:rsidRPr="004A0446" w:rsidRDefault="00E3434F" w:rsidP="00F3730A">
      <w:pPr>
        <w:ind w:right="283"/>
        <w:jc w:val="both"/>
        <w:rPr>
          <w:rFonts w:ascii="Abadi" w:hAnsi="Abadi" w:cs="Arial"/>
          <w:sz w:val="21"/>
          <w:szCs w:val="21"/>
        </w:rPr>
      </w:pPr>
      <w:r w:rsidRPr="004A0446">
        <w:rPr>
          <w:rFonts w:ascii="Abadi" w:hAnsi="Abadi" w:cs="Arial"/>
          <w:b/>
          <w:bCs/>
          <w:sz w:val="21"/>
          <w:szCs w:val="21"/>
        </w:rPr>
        <w:t xml:space="preserve">  </w:t>
      </w:r>
      <w:r w:rsidRPr="004A0446">
        <w:rPr>
          <w:rFonts w:ascii="Abadi" w:hAnsi="Abadi" w:cs="Arial"/>
          <w:b/>
          <w:bCs/>
          <w:i/>
          <w:iCs/>
          <w:sz w:val="21"/>
          <w:szCs w:val="21"/>
        </w:rPr>
        <w:t>Fundamentos Teóricos Conceptuales</w:t>
      </w:r>
    </w:p>
    <w:p w14:paraId="46057C24" w14:textId="77777777" w:rsidR="00E3434F" w:rsidRPr="004A0446" w:rsidRDefault="00E3434F" w:rsidP="00F3730A">
      <w:pPr>
        <w:ind w:left="1134" w:right="567" w:firstLine="282"/>
        <w:jc w:val="both"/>
        <w:rPr>
          <w:rFonts w:ascii="Abadi" w:hAnsi="Abadi" w:cs="Arial"/>
          <w:i/>
          <w:iCs/>
          <w:sz w:val="21"/>
          <w:szCs w:val="21"/>
        </w:rPr>
      </w:pPr>
      <w:r w:rsidRPr="004A0446">
        <w:rPr>
          <w:rFonts w:ascii="Abadi" w:hAnsi="Abadi" w:cs="Arial"/>
          <w:i/>
          <w:iCs/>
          <w:sz w:val="21"/>
          <w:szCs w:val="21"/>
        </w:rPr>
        <w:t xml:space="preserve">El suicidio supone quitarse voluntariamente la vida. Se trata de un término que proviene de dos vocablos latinos y una traducción aproximada podría ser matarse a sí mismo. Diversas estadísticas ubican el suicidio como la cuarta causa de muerte más frecuente en todo el mundo, con más de 9.000 intentos diarios.  </w:t>
      </w:r>
    </w:p>
    <w:p w14:paraId="5B785A0D" w14:textId="77777777" w:rsidR="00E3434F" w:rsidRPr="004A0446" w:rsidRDefault="00E3434F" w:rsidP="00F3730A">
      <w:pPr>
        <w:ind w:right="567" w:firstLine="709"/>
        <w:jc w:val="both"/>
        <w:rPr>
          <w:rFonts w:ascii="Abadi" w:hAnsi="Abadi" w:cs="Arial"/>
          <w:sz w:val="21"/>
          <w:szCs w:val="21"/>
        </w:rPr>
      </w:pPr>
    </w:p>
    <w:p w14:paraId="332390EC" w14:textId="77777777" w:rsidR="00E3434F" w:rsidRPr="004A0446" w:rsidRDefault="00E3434F" w:rsidP="00F3730A">
      <w:pPr>
        <w:ind w:left="1134" w:right="567" w:firstLine="567"/>
        <w:jc w:val="both"/>
        <w:rPr>
          <w:rFonts w:ascii="Abadi" w:hAnsi="Abadi" w:cs="Arial"/>
          <w:i/>
          <w:iCs/>
          <w:sz w:val="21"/>
          <w:szCs w:val="21"/>
        </w:rPr>
      </w:pPr>
      <w:r w:rsidRPr="004A0446">
        <w:rPr>
          <w:rFonts w:ascii="Abadi" w:hAnsi="Abadi" w:cs="Arial"/>
          <w:i/>
          <w:iCs/>
          <w:sz w:val="21"/>
          <w:szCs w:val="21"/>
        </w:rPr>
        <w:t xml:space="preserve">“…De acuerdo a la Organización Panamericana de la Salud, la </w:t>
      </w:r>
      <w:r w:rsidRPr="004A0446">
        <w:rPr>
          <w:rFonts w:ascii="Abadi" w:hAnsi="Abadi" w:cs="Arial"/>
          <w:b/>
          <w:bCs/>
          <w:i/>
          <w:iCs/>
          <w:sz w:val="21"/>
          <w:szCs w:val="21"/>
        </w:rPr>
        <w:t>Depresión</w:t>
      </w:r>
      <w:r w:rsidRPr="004A0446">
        <w:rPr>
          <w:rFonts w:ascii="Abadi" w:hAnsi="Abadi" w:cs="Arial"/>
          <w:i/>
          <w:iCs/>
          <w:sz w:val="21"/>
          <w:szCs w:val="21"/>
        </w:rPr>
        <w:t xml:space="preserve"> es una enfermedad que puede afectar cualquier persona. Provoca angustia mental y repercute en la capacidad de las personas para llevar a cabo las tareas cotidianas, lo que tiene en ocasiones efectos nefastos sobre las relaciones con la familia y los amigos. En el peor de los casos puede provocar el suicidio.</w:t>
      </w:r>
      <w:r w:rsidRPr="004A0446">
        <w:rPr>
          <w:rFonts w:ascii="Abadi" w:hAnsi="Abadi" w:cs="Arial"/>
          <w:i/>
          <w:iCs/>
          <w:sz w:val="21"/>
          <w:szCs w:val="21"/>
          <w:vertAlign w:val="superscript"/>
        </w:rPr>
        <w:footnoteReference w:id="145"/>
      </w:r>
      <w:r w:rsidRPr="004A0446">
        <w:rPr>
          <w:rFonts w:ascii="Abadi" w:hAnsi="Abadi" w:cs="Arial"/>
          <w:i/>
          <w:iCs/>
          <w:sz w:val="21"/>
          <w:szCs w:val="21"/>
          <w:vertAlign w:val="superscript"/>
        </w:rPr>
        <w:t xml:space="preserve"> </w:t>
      </w:r>
    </w:p>
    <w:p w14:paraId="767B6C4C" w14:textId="77777777" w:rsidR="00E3434F" w:rsidRPr="004A0446" w:rsidRDefault="00E3434F" w:rsidP="00F3730A">
      <w:pPr>
        <w:ind w:left="993" w:right="567" w:firstLine="141"/>
        <w:jc w:val="both"/>
        <w:rPr>
          <w:rFonts w:ascii="Abadi" w:hAnsi="Abadi" w:cs="Arial"/>
          <w:i/>
          <w:iCs/>
          <w:sz w:val="21"/>
          <w:szCs w:val="21"/>
        </w:rPr>
      </w:pPr>
    </w:p>
    <w:p w14:paraId="77F69325" w14:textId="77777777" w:rsidR="00E3434F" w:rsidRPr="004A0446" w:rsidRDefault="00E3434F" w:rsidP="00F3730A">
      <w:pPr>
        <w:ind w:left="1134" w:right="567" w:firstLine="567"/>
        <w:jc w:val="both"/>
        <w:rPr>
          <w:rFonts w:ascii="Abadi" w:hAnsi="Abadi" w:cs="Arial"/>
          <w:i/>
          <w:iCs/>
          <w:sz w:val="21"/>
          <w:szCs w:val="21"/>
        </w:rPr>
      </w:pPr>
      <w:r w:rsidRPr="004A0446">
        <w:rPr>
          <w:rFonts w:ascii="Abadi" w:hAnsi="Abadi" w:cs="Arial"/>
          <w:i/>
          <w:iCs/>
          <w:sz w:val="21"/>
          <w:szCs w:val="21"/>
        </w:rPr>
        <w:t xml:space="preserve">En un estudio realizado por la Organización Mundial de la Salud denominado Prevención del suicidio. Un imperativo global, señala que los factores sociales, psicológicos, culturales y de otro tipo pueden interactuar para conducir a una persona a un comportamiento suicida, pero debido a la estigmatización de los trastornos mentales y del suicidio, muchos sienten que no pueden pedir ayuda. A pesar de que los datos científicos indican que </w:t>
      </w:r>
      <w:r w:rsidRPr="004A0446">
        <w:rPr>
          <w:rFonts w:ascii="Abadi" w:hAnsi="Abadi" w:cs="Arial"/>
          <w:b/>
          <w:bCs/>
          <w:i/>
          <w:iCs/>
          <w:sz w:val="21"/>
          <w:szCs w:val="21"/>
        </w:rPr>
        <w:t>numerosas muertes son evitables</w:t>
      </w:r>
      <w:r w:rsidRPr="004A0446">
        <w:rPr>
          <w:rFonts w:ascii="Abadi" w:hAnsi="Abadi" w:cs="Arial"/>
          <w:i/>
          <w:iCs/>
          <w:sz w:val="21"/>
          <w:szCs w:val="21"/>
        </w:rPr>
        <w:t>, el suicidio con demasiada frecuencia tiene escasa prioridad para los gobiernos y los decisores políticos.</w:t>
      </w:r>
      <w:r w:rsidRPr="004A0446">
        <w:rPr>
          <w:rFonts w:ascii="Abadi" w:hAnsi="Abadi" w:cs="Arial"/>
          <w:i/>
          <w:iCs/>
          <w:sz w:val="21"/>
          <w:szCs w:val="21"/>
          <w:vertAlign w:val="superscript"/>
        </w:rPr>
        <w:footnoteReference w:id="146"/>
      </w:r>
    </w:p>
    <w:p w14:paraId="4977F63D" w14:textId="77777777" w:rsidR="00E3434F" w:rsidRPr="004A0446" w:rsidRDefault="00E3434F" w:rsidP="00F3730A">
      <w:pPr>
        <w:ind w:left="1134" w:right="567" w:firstLine="567"/>
        <w:jc w:val="both"/>
        <w:rPr>
          <w:rFonts w:ascii="Abadi" w:hAnsi="Abadi" w:cs="Arial"/>
          <w:i/>
          <w:iCs/>
          <w:sz w:val="21"/>
          <w:szCs w:val="21"/>
        </w:rPr>
      </w:pPr>
    </w:p>
    <w:p w14:paraId="1A2E6F7C" w14:textId="77777777" w:rsidR="00E3434F" w:rsidRPr="004A0446" w:rsidRDefault="00E3434F" w:rsidP="00F3730A">
      <w:pPr>
        <w:ind w:left="1134" w:right="567" w:firstLine="567"/>
        <w:jc w:val="both"/>
        <w:rPr>
          <w:rFonts w:ascii="Abadi" w:hAnsi="Abadi" w:cs="Arial"/>
          <w:i/>
          <w:iCs/>
          <w:sz w:val="21"/>
          <w:szCs w:val="21"/>
        </w:rPr>
      </w:pPr>
      <w:r w:rsidRPr="004A0446">
        <w:rPr>
          <w:rFonts w:ascii="Abadi" w:hAnsi="Abadi" w:cs="Arial"/>
          <w:i/>
          <w:iCs/>
          <w:sz w:val="21"/>
          <w:szCs w:val="21"/>
        </w:rPr>
        <w:t>Para la Organización Mundial de la Salud (OMS), el suicidio se define como un acto deliberadamente iniciado y realizado por una persona en pleno conocimiento o expectativa de su desenlace fatal.</w:t>
      </w:r>
      <w:r w:rsidRPr="004A0446">
        <w:rPr>
          <w:rFonts w:ascii="Abadi" w:hAnsi="Abadi" w:cs="Arial"/>
          <w:i/>
          <w:iCs/>
          <w:sz w:val="21"/>
          <w:szCs w:val="21"/>
          <w:vertAlign w:val="superscript"/>
        </w:rPr>
        <w:footnoteReference w:id="147"/>
      </w:r>
      <w:r w:rsidRPr="004A0446">
        <w:rPr>
          <w:rFonts w:ascii="Abadi" w:hAnsi="Abadi" w:cs="Arial"/>
          <w:i/>
          <w:iCs/>
          <w:sz w:val="21"/>
          <w:szCs w:val="21"/>
        </w:rPr>
        <w:t xml:space="preserve"> De acuerdo con la Organización Mundial de la Salud, las enfermedades mentales, principalmente la depresión y los trastornos por consumo de alcohol, el abuso de sustancias, la violencia, las sensaciones de pérdida y diversos entornos culturales y sociales </w:t>
      </w:r>
      <w:r>
        <w:rPr>
          <w:rFonts w:ascii="Abadi" w:hAnsi="Abadi" w:cs="Arial"/>
          <w:i/>
          <w:iCs/>
          <w:sz w:val="21"/>
          <w:szCs w:val="21"/>
        </w:rPr>
        <w:t xml:space="preserve"> </w:t>
      </w:r>
      <w:r w:rsidRPr="004A0446">
        <w:rPr>
          <w:rFonts w:ascii="Abadi" w:hAnsi="Abadi" w:cs="Arial"/>
          <w:i/>
          <w:iCs/>
          <w:sz w:val="21"/>
          <w:szCs w:val="21"/>
        </w:rPr>
        <w:t xml:space="preserve">constituyen importantes factores de riesgo de suicidio. Cada 40 segundos una persona se suicida: ONU. </w:t>
      </w:r>
    </w:p>
    <w:p w14:paraId="02779C0D" w14:textId="77777777" w:rsidR="00E3434F" w:rsidRPr="004A0446" w:rsidRDefault="00E3434F" w:rsidP="00F3730A">
      <w:pPr>
        <w:ind w:left="1134" w:right="567" w:firstLine="567"/>
        <w:jc w:val="both"/>
        <w:rPr>
          <w:rFonts w:ascii="Abadi" w:hAnsi="Abadi" w:cs="Arial"/>
          <w:i/>
          <w:iCs/>
          <w:sz w:val="21"/>
          <w:szCs w:val="21"/>
        </w:rPr>
      </w:pPr>
    </w:p>
    <w:p w14:paraId="41AA5472" w14:textId="77777777" w:rsidR="00E3434F" w:rsidRPr="004A0446" w:rsidRDefault="00E3434F" w:rsidP="00F3730A">
      <w:pPr>
        <w:ind w:left="1134" w:right="567" w:firstLine="567"/>
        <w:jc w:val="both"/>
        <w:rPr>
          <w:rFonts w:ascii="Abadi" w:hAnsi="Abadi" w:cs="Arial"/>
          <w:i/>
          <w:iCs/>
          <w:sz w:val="21"/>
          <w:szCs w:val="21"/>
        </w:rPr>
      </w:pPr>
      <w:r w:rsidRPr="004A0446">
        <w:rPr>
          <w:rFonts w:ascii="Abadi" w:hAnsi="Abadi" w:cs="Arial"/>
          <w:i/>
          <w:iCs/>
          <w:sz w:val="21"/>
          <w:szCs w:val="21"/>
        </w:rPr>
        <w:t xml:space="preserve">En México, en las últimas 3 décadas la tasa de mortalidad por causa de suicidio, ha aumentado de 2 a 8 muertes por cada 100 mil habitantes, lo que lo ha llevado al cuarto país con más alto índice de suicidios, en América Latina, por debajo de países como Argentina, Brasil y Colombia. </w:t>
      </w:r>
    </w:p>
    <w:p w14:paraId="3E767C52" w14:textId="77777777" w:rsidR="00E3434F" w:rsidRPr="004A0446" w:rsidRDefault="00E3434F" w:rsidP="00F3730A">
      <w:pPr>
        <w:ind w:left="1701" w:right="567" w:hanging="425"/>
        <w:jc w:val="both"/>
        <w:rPr>
          <w:rFonts w:ascii="Abadi" w:hAnsi="Abadi" w:cs="Arial"/>
          <w:i/>
          <w:iCs/>
          <w:sz w:val="21"/>
          <w:szCs w:val="21"/>
        </w:rPr>
      </w:pPr>
    </w:p>
    <w:p w14:paraId="628C3DA3" w14:textId="77777777" w:rsidR="00E3434F" w:rsidRPr="004A0446" w:rsidRDefault="00E3434F" w:rsidP="00F3730A">
      <w:pPr>
        <w:ind w:left="1134" w:right="567" w:firstLine="567"/>
        <w:jc w:val="both"/>
        <w:rPr>
          <w:rFonts w:ascii="Abadi" w:hAnsi="Abadi" w:cs="Arial"/>
          <w:i/>
          <w:iCs/>
          <w:sz w:val="21"/>
          <w:szCs w:val="21"/>
        </w:rPr>
      </w:pPr>
      <w:r w:rsidRPr="004A0446">
        <w:rPr>
          <w:rFonts w:ascii="Abadi" w:hAnsi="Abadi" w:cs="Arial"/>
          <w:i/>
          <w:iCs/>
          <w:sz w:val="21"/>
          <w:szCs w:val="21"/>
        </w:rPr>
        <w:t>De acuerdo al Instituto Nacional de Estadística y Geografía (Inegi) en nuestro país en el año 2015 se registraron 6 425 casos de suicidios, que representan 9.4% del total de muertes violencias registradas, presentando una tasa de cerca de 5.4 suicidios por cada 100 mil habitantes. Lamentablemente el 45% de los suicidios ocurren en niños y jóvenes de 10 a 29 años.</w:t>
      </w:r>
      <w:r w:rsidRPr="004A0446">
        <w:rPr>
          <w:rFonts w:ascii="Abadi" w:hAnsi="Abadi" w:cs="Arial"/>
          <w:i/>
          <w:iCs/>
          <w:sz w:val="21"/>
          <w:szCs w:val="21"/>
          <w:vertAlign w:val="superscript"/>
        </w:rPr>
        <w:footnoteReference w:id="148"/>
      </w:r>
    </w:p>
    <w:p w14:paraId="39258CFA" w14:textId="77777777" w:rsidR="00E3434F" w:rsidRPr="004A0446" w:rsidRDefault="00E3434F" w:rsidP="00F3730A">
      <w:pPr>
        <w:ind w:left="1701" w:right="567" w:hanging="992"/>
        <w:jc w:val="both"/>
        <w:rPr>
          <w:rFonts w:ascii="Abadi" w:hAnsi="Abadi" w:cs="Arial"/>
          <w:i/>
          <w:iCs/>
          <w:sz w:val="21"/>
          <w:szCs w:val="21"/>
        </w:rPr>
      </w:pPr>
    </w:p>
    <w:p w14:paraId="709E28D6" w14:textId="77777777" w:rsidR="00E3434F" w:rsidRPr="004A0446" w:rsidRDefault="00E3434F" w:rsidP="00F3730A">
      <w:pPr>
        <w:ind w:left="1276" w:right="567" w:firstLine="425"/>
        <w:jc w:val="both"/>
        <w:rPr>
          <w:rFonts w:ascii="Abadi" w:hAnsi="Abadi" w:cs="Arial"/>
          <w:i/>
          <w:iCs/>
          <w:sz w:val="21"/>
          <w:szCs w:val="21"/>
        </w:rPr>
      </w:pPr>
      <w:r w:rsidRPr="004A0446">
        <w:rPr>
          <w:rFonts w:ascii="Abadi" w:hAnsi="Abadi" w:cs="Arial"/>
          <w:i/>
          <w:iCs/>
          <w:sz w:val="21"/>
          <w:szCs w:val="21"/>
        </w:rPr>
        <w:t xml:space="preserve"> En el estado de Guanajuato, los suicidios registrados en el primer cuatrimestre del 2020 se elevan a 171 casos, 94 de ellos ocurridos en lo que va de la cuarentena. Datos de la Fiscalía del Estado registran 471 casos durante 2019. Si se comparan los periodos correspondientes a marzo-abril de 2019 con 75 casos versus 2020 con 94 casos, encontraremos un alza del 25%, expertos afirman que la pandemia influye en la decisión de muchos por acabar con su vida. Cabe mencionar que el año 2019 cerró en Guanajuato con más de 357 suicidios consumados en los 46 municipios. </w:t>
      </w:r>
    </w:p>
    <w:p w14:paraId="7E9187A9" w14:textId="77777777" w:rsidR="00E3434F" w:rsidRPr="004A0446" w:rsidRDefault="00E3434F" w:rsidP="00F3730A">
      <w:pPr>
        <w:ind w:right="567" w:firstLine="709"/>
        <w:jc w:val="both"/>
        <w:rPr>
          <w:rFonts w:ascii="Abadi" w:hAnsi="Abadi" w:cs="Arial"/>
          <w:i/>
          <w:iCs/>
          <w:sz w:val="21"/>
          <w:szCs w:val="21"/>
        </w:rPr>
      </w:pPr>
    </w:p>
    <w:p w14:paraId="300E4A38" w14:textId="77777777" w:rsidR="00E3434F" w:rsidRPr="004A0446" w:rsidRDefault="00E3434F" w:rsidP="00F3730A">
      <w:pPr>
        <w:ind w:left="1134" w:right="567" w:firstLine="567"/>
        <w:jc w:val="both"/>
        <w:rPr>
          <w:rFonts w:ascii="Abadi" w:hAnsi="Abadi" w:cs="Arial"/>
          <w:i/>
          <w:iCs/>
          <w:sz w:val="21"/>
          <w:szCs w:val="21"/>
        </w:rPr>
      </w:pPr>
      <w:r w:rsidRPr="004A0446">
        <w:rPr>
          <w:rFonts w:ascii="Abadi" w:hAnsi="Abadi" w:cs="Arial"/>
          <w:i/>
          <w:iCs/>
          <w:sz w:val="21"/>
          <w:szCs w:val="21"/>
        </w:rPr>
        <w:t>En la ley de Salud del Estado de Guanajuato, se establece que la coordinación del Sistema Estatal de Salud estará a cargo de la Secretaría de Salud del Estado correspondiéndole a ésta: “Coordinarse con las instituciones federales, estatales y municipales, y con la sociedad civil, para promover y apoyar la investigación de las causas del suicidio y de la conducta suicida, así como diseñar, proponer, desarrollar y aplicar acciones de prevención del suicidio, dirigidas particularmente a niñas, niños y adolescentes, así como a la población en general”. Lo anterior, nos da pauta para desarrollar esta propuesta de nueva “Ley de Prevención del Suicidio y de las Acciones de Posvención en el Estado de Guanajuato” Con   lo cual construimos</w:t>
      </w:r>
      <w:r>
        <w:rPr>
          <w:rFonts w:ascii="Abadi" w:hAnsi="Abadi" w:cs="Arial"/>
          <w:i/>
          <w:iCs/>
          <w:sz w:val="21"/>
          <w:szCs w:val="21"/>
        </w:rPr>
        <w:t xml:space="preserve"> </w:t>
      </w:r>
      <w:r w:rsidRPr="004A0446">
        <w:rPr>
          <w:rFonts w:ascii="Abadi" w:hAnsi="Abadi" w:cs="Arial"/>
          <w:i/>
          <w:iCs/>
          <w:sz w:val="21"/>
          <w:szCs w:val="21"/>
        </w:rPr>
        <w:t xml:space="preserve">el andamiaje jurídico de calidad para la atención de este problema de salud pública. El objetivo es claro: Disminuir la incidencia del suicidio en nuestro Estado; a través de la atención preventiva y tratamiento a las víctimas potenciales de esta práctica y a sus familias. </w:t>
      </w:r>
    </w:p>
    <w:p w14:paraId="2F420882" w14:textId="77777777" w:rsidR="00E3434F" w:rsidRPr="004A0446" w:rsidRDefault="00E3434F" w:rsidP="00F3730A">
      <w:pPr>
        <w:ind w:left="1701" w:right="567"/>
        <w:jc w:val="both"/>
        <w:rPr>
          <w:rFonts w:ascii="Abadi" w:hAnsi="Abadi" w:cs="Arial"/>
          <w:i/>
          <w:iCs/>
          <w:sz w:val="21"/>
          <w:szCs w:val="21"/>
        </w:rPr>
      </w:pPr>
    </w:p>
    <w:p w14:paraId="134D259E" w14:textId="77777777" w:rsidR="00E3434F" w:rsidRPr="004A0446" w:rsidRDefault="00E3434F" w:rsidP="00F3730A">
      <w:pPr>
        <w:ind w:left="1134" w:right="567" w:firstLine="567"/>
        <w:jc w:val="both"/>
        <w:rPr>
          <w:rFonts w:ascii="Abadi" w:hAnsi="Abadi" w:cs="Arial"/>
          <w:i/>
          <w:iCs/>
          <w:sz w:val="21"/>
          <w:szCs w:val="21"/>
        </w:rPr>
      </w:pPr>
      <w:r w:rsidRPr="004A0446">
        <w:rPr>
          <w:rFonts w:ascii="Abadi" w:hAnsi="Abadi" w:cs="Arial"/>
          <w:i/>
          <w:iCs/>
          <w:sz w:val="21"/>
          <w:szCs w:val="21"/>
        </w:rPr>
        <w:t xml:space="preserve">Resalta el dato que para Guanajuato, cada año casi 30 mil personas intentan quitarse la vida, las edades oscilan entre 15 y 39 años, y son más las mujeres que lo intentan, pero los hombres son los que más lo logran, así lo detalló el Secretario de Salud del Estado, Daniel Díaz Martínez, en el Día Mundial de la Prevención del Suicidio: Son 29 mil 959 pacientes atendidos en un año. Es de considerarse el hecho de que al año en Guanajuato se suicidan 400 personas, el estado tiene una de las tasas por arriba de la media nacional. También llegó a referir que en el primer semestre en Guanajuato van 273 casos y que se suicidan a nivel mundial 15 de cada 100 mil habitantes, mientras que en el estado son ocho por cada 100 mil, pero la meta es disminuir por debajo de la media nacional que es de seis. </w:t>
      </w:r>
    </w:p>
    <w:p w14:paraId="11A8CF54" w14:textId="77777777" w:rsidR="00E3434F" w:rsidRPr="004A0446" w:rsidRDefault="00E3434F" w:rsidP="00F3730A">
      <w:pPr>
        <w:ind w:right="567" w:firstLine="709"/>
        <w:jc w:val="both"/>
        <w:rPr>
          <w:rFonts w:ascii="Abadi" w:hAnsi="Abadi" w:cs="Arial"/>
          <w:i/>
          <w:iCs/>
          <w:sz w:val="21"/>
          <w:szCs w:val="21"/>
        </w:rPr>
      </w:pPr>
    </w:p>
    <w:p w14:paraId="14269472" w14:textId="77777777" w:rsidR="00E3434F" w:rsidRPr="004A0446" w:rsidRDefault="00E3434F" w:rsidP="00F3730A">
      <w:pPr>
        <w:ind w:left="1134" w:right="567" w:firstLine="567"/>
        <w:jc w:val="both"/>
        <w:rPr>
          <w:rFonts w:ascii="Abadi" w:hAnsi="Abadi" w:cs="Arial"/>
          <w:i/>
          <w:iCs/>
          <w:sz w:val="21"/>
          <w:szCs w:val="21"/>
        </w:rPr>
      </w:pPr>
      <w:r w:rsidRPr="004A0446">
        <w:rPr>
          <w:rFonts w:ascii="Abadi" w:hAnsi="Abadi" w:cs="Arial"/>
          <w:i/>
          <w:iCs/>
          <w:sz w:val="21"/>
          <w:szCs w:val="21"/>
        </w:rPr>
        <w:t>Por otra parte, tomando en consideración que la ideación y consumación suicida son multifactoriales, cada persona que intenta quitarse la vida, tiene una historia diferente; si es hombre, si es mujer; son más las mujeres que lo intentan, pero son más los hombres que lo logran.</w:t>
      </w:r>
    </w:p>
    <w:p w14:paraId="2719A578" w14:textId="77777777" w:rsidR="00E3434F" w:rsidRPr="004A0446" w:rsidRDefault="00E3434F" w:rsidP="00F3730A">
      <w:pPr>
        <w:ind w:right="27" w:firstLine="709"/>
        <w:jc w:val="both"/>
        <w:rPr>
          <w:rFonts w:ascii="Abadi" w:hAnsi="Abadi" w:cs="Arial"/>
          <w:i/>
          <w:iCs/>
          <w:sz w:val="21"/>
          <w:szCs w:val="21"/>
        </w:rPr>
      </w:pPr>
    </w:p>
    <w:p w14:paraId="1DEDAE15" w14:textId="77777777" w:rsidR="00E3434F" w:rsidRPr="004A0446" w:rsidRDefault="00E3434F" w:rsidP="00F3730A">
      <w:pPr>
        <w:ind w:left="1134" w:right="567" w:firstLine="567"/>
        <w:jc w:val="both"/>
        <w:rPr>
          <w:rFonts w:ascii="Abadi" w:hAnsi="Abadi" w:cs="Arial"/>
          <w:i/>
          <w:iCs/>
          <w:sz w:val="21"/>
          <w:szCs w:val="21"/>
        </w:rPr>
      </w:pPr>
      <w:r w:rsidRPr="004A0446">
        <w:rPr>
          <w:rFonts w:ascii="Abadi" w:hAnsi="Abadi" w:cs="Arial"/>
          <w:i/>
          <w:iCs/>
          <w:sz w:val="21"/>
          <w:szCs w:val="21"/>
        </w:rPr>
        <w:t xml:space="preserve">Si bien es cierto que en Guanajuato existen las redes de salud mental y ante los datos reveladores en el tema del suicidio, podemos apreciar, que dicha problemática social y de salud que estamos padeciendo en nuestro Estado, nos obliga a prestar mayor atención a todos aquellos factores que están influyendo a que las personas se suiciden y por ello, a realizar todas aquellas acciones ya sean de índole administrativo o legislativo que sean necesarios para combatir este terrible mal que nos aqueja en la entidad; por ende, resulta necesario dotar a Guanajuato de un marco jurídico que sea el eje rector de prevención, que atenderá de manera formal, legal, científica y con mayor sistematización y profundidad esta problemática. </w:t>
      </w:r>
    </w:p>
    <w:p w14:paraId="423C2C07" w14:textId="77777777" w:rsidR="00E3434F" w:rsidRPr="004A0446" w:rsidRDefault="00E3434F" w:rsidP="00F3730A">
      <w:pPr>
        <w:ind w:right="27" w:firstLine="709"/>
        <w:jc w:val="both"/>
        <w:rPr>
          <w:rFonts w:ascii="Abadi" w:hAnsi="Abadi" w:cs="Arial"/>
          <w:i/>
          <w:iCs/>
          <w:sz w:val="21"/>
          <w:szCs w:val="21"/>
        </w:rPr>
      </w:pPr>
    </w:p>
    <w:p w14:paraId="1971DE90" w14:textId="77777777" w:rsidR="00E3434F" w:rsidRPr="004A0446" w:rsidRDefault="00E3434F" w:rsidP="00F3730A">
      <w:pPr>
        <w:ind w:left="1134" w:right="567" w:firstLine="567"/>
        <w:jc w:val="both"/>
        <w:rPr>
          <w:rFonts w:ascii="Abadi" w:hAnsi="Abadi" w:cs="Arial"/>
          <w:i/>
          <w:iCs/>
          <w:sz w:val="21"/>
          <w:szCs w:val="21"/>
        </w:rPr>
      </w:pPr>
      <w:r w:rsidRPr="004A0446">
        <w:rPr>
          <w:rFonts w:ascii="Abadi" w:hAnsi="Abadi" w:cs="Arial"/>
          <w:i/>
          <w:iCs/>
          <w:sz w:val="21"/>
          <w:szCs w:val="21"/>
        </w:rPr>
        <w:t>En virtud de todo lo anterior, el Grupo Parlamentario del Partido Revolucionario Institucional en la Sexagésima Cuarta Legislatura Local propone la presente iniciativa a efecto de que el Ejecutivo del Estado, a través de las diversas estructuras estatales y municipales pueda reunir esfuerzos para prevenir el suicidio y darle una especial atención, a todas aquellas personas que sean vulnerables por su estado emocional, a cometer un suicidio.</w:t>
      </w:r>
    </w:p>
    <w:p w14:paraId="407401DF" w14:textId="77777777" w:rsidR="00E3434F" w:rsidRPr="004A0446" w:rsidRDefault="00E3434F" w:rsidP="00F3730A">
      <w:pPr>
        <w:autoSpaceDE w:val="0"/>
        <w:autoSpaceDN w:val="0"/>
        <w:adjustRightInd w:val="0"/>
        <w:ind w:left="4963" w:right="567"/>
        <w:rPr>
          <w:rFonts w:ascii="Abadi" w:hAnsi="Abadi" w:cs="Arial"/>
          <w:b/>
          <w:bCs/>
          <w:i/>
          <w:iCs/>
          <w:sz w:val="21"/>
          <w:szCs w:val="21"/>
          <w:lang w:val="es-ES_tradnl" w:eastAsia="es-ES_tradnl"/>
        </w:rPr>
      </w:pPr>
    </w:p>
    <w:p w14:paraId="3D788D65" w14:textId="77777777" w:rsidR="00E3434F" w:rsidRPr="004A0446" w:rsidRDefault="00E3434F" w:rsidP="00F3730A">
      <w:pPr>
        <w:tabs>
          <w:tab w:val="left" w:pos="4963"/>
        </w:tabs>
        <w:autoSpaceDE w:val="0"/>
        <w:autoSpaceDN w:val="0"/>
        <w:adjustRightInd w:val="0"/>
        <w:ind w:right="567"/>
        <w:rPr>
          <w:rFonts w:ascii="Abadi" w:hAnsi="Abadi" w:cs="Arial"/>
          <w:b/>
          <w:bCs/>
          <w:i/>
          <w:iCs/>
          <w:sz w:val="21"/>
          <w:szCs w:val="21"/>
          <w:lang w:val="es-ES_tradnl" w:eastAsia="es-ES_tradnl"/>
        </w:rPr>
      </w:pPr>
      <w:r w:rsidRPr="004A0446">
        <w:rPr>
          <w:rFonts w:ascii="Abadi" w:hAnsi="Abadi" w:cs="Arial"/>
          <w:b/>
          <w:bCs/>
          <w:i/>
          <w:iCs/>
          <w:sz w:val="21"/>
          <w:szCs w:val="21"/>
          <w:lang w:val="es-ES_tradnl" w:eastAsia="es-ES_tradnl"/>
        </w:rPr>
        <w:t xml:space="preserve">     Estructura y Contenido de la Ley.</w:t>
      </w:r>
    </w:p>
    <w:p w14:paraId="54D53D2C" w14:textId="77777777" w:rsidR="00E3434F" w:rsidRPr="004A0446" w:rsidRDefault="00E3434F" w:rsidP="00F3730A">
      <w:pPr>
        <w:autoSpaceDE w:val="0"/>
        <w:autoSpaceDN w:val="0"/>
        <w:adjustRightInd w:val="0"/>
        <w:ind w:left="4963" w:right="567"/>
        <w:rPr>
          <w:rFonts w:ascii="Abadi" w:hAnsi="Abadi" w:cs="Arial"/>
          <w:b/>
          <w:bCs/>
          <w:i/>
          <w:iCs/>
          <w:sz w:val="21"/>
          <w:szCs w:val="21"/>
          <w:lang w:val="es-ES_tradnl" w:eastAsia="es-ES_tradnl"/>
        </w:rPr>
      </w:pPr>
    </w:p>
    <w:p w14:paraId="1398A6E4" w14:textId="77777777" w:rsidR="00E3434F" w:rsidRPr="004A0446" w:rsidRDefault="00E3434F" w:rsidP="00F3730A">
      <w:pPr>
        <w:autoSpaceDE w:val="0"/>
        <w:autoSpaceDN w:val="0"/>
        <w:adjustRightInd w:val="0"/>
        <w:ind w:left="1134" w:right="567"/>
        <w:jc w:val="both"/>
        <w:rPr>
          <w:rFonts w:ascii="Abadi" w:hAnsi="Abadi" w:cs="Arial"/>
          <w:i/>
          <w:iCs/>
          <w:sz w:val="21"/>
          <w:szCs w:val="21"/>
          <w:lang w:val="es-ES_tradnl" w:eastAsia="es-ES_tradnl"/>
        </w:rPr>
      </w:pPr>
      <w:r w:rsidRPr="004A0446">
        <w:rPr>
          <w:rFonts w:ascii="Abadi" w:hAnsi="Abadi" w:cs="Arial"/>
          <w:i/>
          <w:iCs/>
          <w:sz w:val="21"/>
          <w:szCs w:val="21"/>
          <w:lang w:val="es-ES_tradnl" w:eastAsia="es-ES_tradnl"/>
        </w:rPr>
        <w:t>La “Ley de Prevención del Suicidio y de las Acciones de Posvención en el Estado de Guanajuato”, se compone de 23 artículos, distribuidos en siete capítulos:</w:t>
      </w:r>
    </w:p>
    <w:p w14:paraId="62472D80" w14:textId="77777777" w:rsidR="00E3434F" w:rsidRPr="004A0446" w:rsidRDefault="00E3434F" w:rsidP="00F3730A">
      <w:pPr>
        <w:autoSpaceDE w:val="0"/>
        <w:autoSpaceDN w:val="0"/>
        <w:adjustRightInd w:val="0"/>
        <w:ind w:left="1134" w:right="567" w:firstLine="567"/>
        <w:jc w:val="both"/>
        <w:rPr>
          <w:rFonts w:ascii="Abadi" w:hAnsi="Abadi" w:cs="Arial"/>
          <w:i/>
          <w:iCs/>
          <w:sz w:val="21"/>
          <w:szCs w:val="21"/>
          <w:lang w:val="es-ES_tradnl" w:eastAsia="es-ES_tradnl"/>
        </w:rPr>
      </w:pPr>
    </w:p>
    <w:p w14:paraId="5FA97BF0" w14:textId="77777777" w:rsidR="00E3434F" w:rsidRPr="004A0446" w:rsidRDefault="00E3434F" w:rsidP="00F3730A">
      <w:pPr>
        <w:autoSpaceDE w:val="0"/>
        <w:autoSpaceDN w:val="0"/>
        <w:adjustRightInd w:val="0"/>
        <w:rPr>
          <w:rFonts w:ascii="Abadi" w:hAnsi="Abadi" w:cs="Arial"/>
          <w:i/>
          <w:iCs/>
          <w:sz w:val="21"/>
          <w:szCs w:val="21"/>
          <w:lang w:val="es-ES_tradnl" w:eastAsia="es-ES_tradnl"/>
        </w:rPr>
      </w:pPr>
      <w:r w:rsidRPr="004A0446">
        <w:rPr>
          <w:rFonts w:ascii="Abadi" w:hAnsi="Abadi" w:cs="Arial"/>
          <w:i/>
          <w:iCs/>
          <w:sz w:val="21"/>
          <w:szCs w:val="21"/>
          <w:lang w:val="es-ES_tradnl" w:eastAsia="es-ES_tradnl"/>
        </w:rPr>
        <w:t>Capítulo I: Disposiciones Generales.</w:t>
      </w:r>
    </w:p>
    <w:p w14:paraId="04048A5F" w14:textId="77777777" w:rsidR="00E3434F" w:rsidRPr="004A0446" w:rsidRDefault="00E3434F" w:rsidP="00F3730A">
      <w:pPr>
        <w:autoSpaceDE w:val="0"/>
        <w:autoSpaceDN w:val="0"/>
        <w:adjustRightInd w:val="0"/>
        <w:rPr>
          <w:rFonts w:ascii="Abadi" w:hAnsi="Abadi" w:cs="Arial"/>
          <w:i/>
          <w:iCs/>
          <w:sz w:val="21"/>
          <w:szCs w:val="21"/>
          <w:lang w:val="es-ES_tradnl" w:eastAsia="es-ES_tradnl"/>
        </w:rPr>
      </w:pPr>
      <w:r w:rsidRPr="004A0446">
        <w:rPr>
          <w:rFonts w:ascii="Abadi" w:hAnsi="Abadi" w:cs="Arial"/>
          <w:i/>
          <w:iCs/>
          <w:sz w:val="21"/>
          <w:szCs w:val="21"/>
          <w:lang w:val="es-ES_tradnl" w:eastAsia="es-ES_tradnl"/>
        </w:rPr>
        <w:t>Capítulo II: Autoridad Competente y Ámbito de Aplicación.</w:t>
      </w:r>
    </w:p>
    <w:p w14:paraId="3D3D0C5E" w14:textId="77777777" w:rsidR="00E3434F" w:rsidRPr="004A0446" w:rsidRDefault="00E3434F" w:rsidP="00F3730A">
      <w:pPr>
        <w:autoSpaceDE w:val="0"/>
        <w:autoSpaceDN w:val="0"/>
        <w:adjustRightInd w:val="0"/>
        <w:rPr>
          <w:rFonts w:ascii="Abadi" w:hAnsi="Abadi" w:cs="Arial"/>
          <w:i/>
          <w:iCs/>
          <w:sz w:val="21"/>
          <w:szCs w:val="21"/>
          <w:lang w:val="es-ES_tradnl" w:eastAsia="es-ES_tradnl"/>
        </w:rPr>
      </w:pPr>
      <w:r w:rsidRPr="004A0446">
        <w:rPr>
          <w:rFonts w:ascii="Abadi" w:hAnsi="Abadi" w:cs="Arial"/>
          <w:i/>
          <w:iCs/>
          <w:sz w:val="21"/>
          <w:szCs w:val="21"/>
          <w:lang w:val="es-ES_tradnl" w:eastAsia="es-ES_tradnl"/>
        </w:rPr>
        <w:t>Capítulo III: Prevención.</w:t>
      </w:r>
    </w:p>
    <w:p w14:paraId="6A105247" w14:textId="77777777" w:rsidR="00E3434F" w:rsidRPr="004A0446" w:rsidRDefault="00E3434F" w:rsidP="00F3730A">
      <w:pPr>
        <w:autoSpaceDE w:val="0"/>
        <w:autoSpaceDN w:val="0"/>
        <w:adjustRightInd w:val="0"/>
        <w:rPr>
          <w:rFonts w:ascii="Abadi" w:hAnsi="Abadi" w:cs="Arial"/>
          <w:i/>
          <w:iCs/>
          <w:sz w:val="21"/>
          <w:szCs w:val="21"/>
          <w:lang w:val="es-ES_tradnl" w:eastAsia="es-ES_tradnl"/>
        </w:rPr>
      </w:pPr>
      <w:r w:rsidRPr="004A0446">
        <w:rPr>
          <w:rFonts w:ascii="Abadi" w:hAnsi="Abadi" w:cs="Arial"/>
          <w:i/>
          <w:iCs/>
          <w:sz w:val="21"/>
          <w:szCs w:val="21"/>
          <w:lang w:val="es-ES_tradnl" w:eastAsia="es-ES_tradnl"/>
        </w:rPr>
        <w:t>Capítulo IV: Asistencia.</w:t>
      </w:r>
    </w:p>
    <w:p w14:paraId="0F316FB9" w14:textId="77777777" w:rsidR="00E3434F" w:rsidRPr="004A0446" w:rsidRDefault="00E3434F" w:rsidP="00F3730A">
      <w:pPr>
        <w:autoSpaceDE w:val="0"/>
        <w:autoSpaceDN w:val="0"/>
        <w:adjustRightInd w:val="0"/>
        <w:rPr>
          <w:rFonts w:ascii="Abadi" w:hAnsi="Abadi" w:cs="Arial"/>
          <w:i/>
          <w:iCs/>
          <w:sz w:val="21"/>
          <w:szCs w:val="21"/>
          <w:lang w:val="es-ES_tradnl" w:eastAsia="es-ES_tradnl"/>
        </w:rPr>
      </w:pPr>
      <w:r w:rsidRPr="004A0446">
        <w:rPr>
          <w:rFonts w:ascii="Abadi" w:hAnsi="Abadi" w:cs="Arial"/>
          <w:i/>
          <w:iCs/>
          <w:sz w:val="21"/>
          <w:szCs w:val="21"/>
          <w:lang w:val="es-ES_tradnl" w:eastAsia="es-ES_tradnl"/>
        </w:rPr>
        <w:t>Capítulo V: Capacitación.</w:t>
      </w:r>
    </w:p>
    <w:p w14:paraId="7697BE55" w14:textId="77777777" w:rsidR="00E3434F" w:rsidRPr="004A0446" w:rsidRDefault="00E3434F" w:rsidP="00F3730A">
      <w:pPr>
        <w:autoSpaceDE w:val="0"/>
        <w:autoSpaceDN w:val="0"/>
        <w:adjustRightInd w:val="0"/>
        <w:rPr>
          <w:rFonts w:ascii="Abadi" w:hAnsi="Abadi" w:cs="Arial"/>
          <w:i/>
          <w:iCs/>
          <w:sz w:val="21"/>
          <w:szCs w:val="21"/>
          <w:lang w:val="es-ES_tradnl" w:eastAsia="es-ES_tradnl"/>
        </w:rPr>
      </w:pPr>
      <w:r w:rsidRPr="004A0446">
        <w:rPr>
          <w:rFonts w:ascii="Abadi" w:hAnsi="Abadi" w:cs="Arial"/>
          <w:i/>
          <w:iCs/>
          <w:sz w:val="21"/>
          <w:szCs w:val="21"/>
          <w:lang w:val="es-ES_tradnl" w:eastAsia="es-ES_tradnl"/>
        </w:rPr>
        <w:t>Capítulo VI: Cobertura</w:t>
      </w:r>
    </w:p>
    <w:p w14:paraId="366DB093" w14:textId="77777777" w:rsidR="00E3434F" w:rsidRPr="004A0446" w:rsidRDefault="00E3434F" w:rsidP="00F3730A">
      <w:pPr>
        <w:ind w:right="27"/>
        <w:jc w:val="both"/>
        <w:rPr>
          <w:rFonts w:ascii="Abadi" w:hAnsi="Abadi" w:cs="Arial"/>
          <w:i/>
          <w:iCs/>
          <w:sz w:val="21"/>
          <w:szCs w:val="21"/>
          <w:lang w:val="es-ES_tradnl" w:eastAsia="es-ES_tradnl"/>
        </w:rPr>
      </w:pPr>
      <w:r w:rsidRPr="004A0446">
        <w:rPr>
          <w:rFonts w:ascii="Abadi" w:hAnsi="Abadi" w:cs="Arial"/>
          <w:i/>
          <w:iCs/>
          <w:sz w:val="21"/>
          <w:szCs w:val="21"/>
          <w:lang w:val="es-ES_tradnl" w:eastAsia="es-ES_tradnl"/>
        </w:rPr>
        <w:t>Capítulo VII: Consejo Interinstitucional de</w:t>
      </w:r>
      <w:r>
        <w:rPr>
          <w:rFonts w:ascii="Abadi" w:hAnsi="Abadi" w:cs="Arial"/>
          <w:i/>
          <w:iCs/>
          <w:sz w:val="21"/>
          <w:szCs w:val="21"/>
          <w:lang w:val="es-ES_tradnl" w:eastAsia="es-ES_tradnl"/>
        </w:rPr>
        <w:t xml:space="preserve"> </w:t>
      </w:r>
      <w:r w:rsidRPr="004A0446">
        <w:rPr>
          <w:rFonts w:ascii="Abadi" w:hAnsi="Abadi" w:cs="Arial"/>
          <w:i/>
          <w:iCs/>
          <w:sz w:val="21"/>
          <w:szCs w:val="21"/>
          <w:lang w:val="es-ES_tradnl" w:eastAsia="es-ES_tradnl"/>
        </w:rPr>
        <w:t>Prevención Integral del Suicidio.</w:t>
      </w:r>
    </w:p>
    <w:p w14:paraId="291BCE3F" w14:textId="77777777" w:rsidR="00E3434F" w:rsidRPr="004A0446" w:rsidRDefault="00E3434F" w:rsidP="00F3730A">
      <w:pPr>
        <w:ind w:right="27"/>
        <w:jc w:val="both"/>
        <w:rPr>
          <w:rFonts w:ascii="Abadi" w:hAnsi="Abadi" w:cs="Arial"/>
          <w:sz w:val="21"/>
          <w:szCs w:val="21"/>
        </w:rPr>
      </w:pPr>
      <w:r w:rsidRPr="004A0446">
        <w:rPr>
          <w:rFonts w:ascii="Abadi" w:hAnsi="Abadi" w:cs="Arial"/>
          <w:sz w:val="21"/>
          <w:szCs w:val="21"/>
        </w:rPr>
        <w:t>(…)</w:t>
      </w:r>
    </w:p>
    <w:p w14:paraId="2AC40E5F" w14:textId="77777777" w:rsidR="00E3434F" w:rsidRPr="004A0446" w:rsidRDefault="00E3434F" w:rsidP="00F3730A">
      <w:pPr>
        <w:ind w:right="27" w:firstLine="1701"/>
        <w:jc w:val="both"/>
        <w:rPr>
          <w:rFonts w:ascii="Abadi" w:hAnsi="Abadi" w:cs="Arial"/>
          <w:sz w:val="21"/>
          <w:szCs w:val="21"/>
        </w:rPr>
      </w:pPr>
    </w:p>
    <w:p w14:paraId="3E6810ED" w14:textId="77777777" w:rsidR="00E3434F" w:rsidRPr="004A0446" w:rsidRDefault="00E3434F" w:rsidP="00F3730A">
      <w:pPr>
        <w:ind w:right="27" w:firstLine="567"/>
        <w:jc w:val="both"/>
        <w:rPr>
          <w:rFonts w:ascii="Abadi" w:eastAsia="SimSun" w:hAnsi="Abadi" w:cs="Arial"/>
          <w:bCs/>
          <w:sz w:val="21"/>
          <w:szCs w:val="21"/>
          <w:lang w:val="es-MX"/>
        </w:rPr>
      </w:pPr>
      <w:r w:rsidRPr="004A0446">
        <w:rPr>
          <w:rFonts w:ascii="Abadi" w:hAnsi="Abadi" w:cs="Arial"/>
          <w:sz w:val="21"/>
          <w:szCs w:val="21"/>
        </w:rPr>
        <w:t xml:space="preserve">Respecto a las opiniones recibidas con motivo de la consulta efectuada, es de mencionar que, </w:t>
      </w:r>
      <w:r w:rsidRPr="004A0446">
        <w:rPr>
          <w:rFonts w:ascii="Abadi" w:eastAsia="SimSun" w:hAnsi="Abadi" w:cs="Arial"/>
          <w:bCs/>
          <w:sz w:val="21"/>
          <w:szCs w:val="21"/>
        </w:rPr>
        <w:t>la opinión consolidada de las secretarías de Finanzas, Inversión y Administración, de Salud, y de la Coordinación General Jurídica del Gobierno del Estado, en la partes correspondientes al régimen jurídico, los planes y programas estatales, el presupuesto asignado y ejercicio en acciones de prevención y promoción a la salud, fue emitida en los mismos términos que la opinión realizada a la iniciativa primeramente abordada -formulada por el Grupo Parlamentario del Partido Verde Ecologista de México-, por lo que, en obvio de repeticiones se tiene aquí por reproducida, por lo que se estará al contenido de esta en la propuesta legislativa que nos ocupa, formulada por el Grupo Parlamentario del Partido Revolucionario Institucional, ante la Sexagésima Cuarta Legislatura del Congreso del Estado y, por tanto, se hará mención únicamente de lo que se tuvo a bien opinar en lo particular en cuanto a esta:</w:t>
      </w:r>
    </w:p>
    <w:p w14:paraId="395E39B3" w14:textId="77777777" w:rsidR="00E3434F" w:rsidRPr="004A0446" w:rsidRDefault="00E3434F" w:rsidP="00F3730A">
      <w:pPr>
        <w:tabs>
          <w:tab w:val="left" w:pos="1134"/>
        </w:tabs>
        <w:ind w:right="27"/>
        <w:jc w:val="both"/>
        <w:rPr>
          <w:rFonts w:ascii="Abadi" w:eastAsia="SimSun" w:hAnsi="Abadi" w:cs="Arial"/>
          <w:bCs/>
          <w:sz w:val="21"/>
          <w:szCs w:val="21"/>
        </w:rPr>
      </w:pPr>
      <w:r w:rsidRPr="004A0446">
        <w:rPr>
          <w:rFonts w:ascii="Abadi" w:eastAsia="SimSun" w:hAnsi="Abadi" w:cs="Arial"/>
          <w:bCs/>
          <w:sz w:val="21"/>
          <w:szCs w:val="21"/>
        </w:rPr>
        <w:tab/>
      </w:r>
    </w:p>
    <w:p w14:paraId="6ED86D8D" w14:textId="77777777" w:rsidR="00E3434F" w:rsidRPr="004A0446" w:rsidRDefault="00E3434F" w:rsidP="00F3730A">
      <w:pPr>
        <w:tabs>
          <w:tab w:val="left" w:pos="1134"/>
        </w:tabs>
        <w:ind w:right="27"/>
        <w:jc w:val="both"/>
        <w:rPr>
          <w:rFonts w:ascii="Abadi" w:eastAsia="SimSun" w:hAnsi="Abadi" w:cs="Arial"/>
          <w:bCs/>
          <w:sz w:val="21"/>
          <w:szCs w:val="21"/>
        </w:rPr>
      </w:pPr>
      <w:r w:rsidRPr="004A0446">
        <w:rPr>
          <w:rFonts w:ascii="Abadi" w:eastAsia="SimSun" w:hAnsi="Abadi" w:cs="Arial"/>
          <w:bCs/>
          <w:sz w:val="21"/>
          <w:szCs w:val="21"/>
        </w:rPr>
        <w:tab/>
        <w:t>(…)</w:t>
      </w:r>
    </w:p>
    <w:p w14:paraId="7FEFBF24" w14:textId="77777777" w:rsidR="00E3434F" w:rsidRPr="004A0446" w:rsidRDefault="00E3434F" w:rsidP="00F3730A">
      <w:pPr>
        <w:tabs>
          <w:tab w:val="left" w:pos="1134"/>
        </w:tabs>
        <w:ind w:left="1134" w:right="27"/>
        <w:jc w:val="both"/>
        <w:rPr>
          <w:rFonts w:ascii="Abadi" w:eastAsia="SimSun" w:hAnsi="Abadi" w:cs="Arial"/>
          <w:b/>
          <w:sz w:val="21"/>
          <w:szCs w:val="21"/>
        </w:rPr>
      </w:pPr>
    </w:p>
    <w:p w14:paraId="2B84D146" w14:textId="77777777" w:rsidR="00E3434F" w:rsidRPr="004A0446" w:rsidRDefault="00E3434F" w:rsidP="00F3730A">
      <w:pPr>
        <w:tabs>
          <w:tab w:val="left" w:pos="1134"/>
        </w:tabs>
        <w:ind w:left="1134" w:right="27"/>
        <w:jc w:val="both"/>
        <w:rPr>
          <w:rFonts w:ascii="Abadi" w:eastAsia="SimSun" w:hAnsi="Abadi" w:cs="Arial"/>
          <w:b/>
          <w:i/>
          <w:iCs/>
          <w:sz w:val="21"/>
          <w:szCs w:val="21"/>
        </w:rPr>
      </w:pPr>
      <w:r w:rsidRPr="004A0446">
        <w:rPr>
          <w:rFonts w:ascii="Abadi" w:eastAsia="SimSun" w:hAnsi="Abadi" w:cs="Arial"/>
          <w:b/>
          <w:i/>
          <w:iCs/>
          <w:sz w:val="21"/>
          <w:szCs w:val="21"/>
        </w:rPr>
        <w:t>III.6 Alcances de la iniciativa</w:t>
      </w:r>
    </w:p>
    <w:p w14:paraId="215D3463" w14:textId="77777777" w:rsidR="00E3434F" w:rsidRPr="004A0446" w:rsidRDefault="00E3434F" w:rsidP="00F3730A">
      <w:pPr>
        <w:tabs>
          <w:tab w:val="left" w:pos="1134"/>
        </w:tabs>
        <w:ind w:left="1134" w:right="27"/>
        <w:jc w:val="both"/>
        <w:rPr>
          <w:rFonts w:ascii="Abadi" w:eastAsia="SimSun" w:hAnsi="Abadi" w:cs="Arial"/>
          <w:b/>
          <w:i/>
          <w:iCs/>
          <w:sz w:val="21"/>
          <w:szCs w:val="21"/>
        </w:rPr>
      </w:pPr>
    </w:p>
    <w:p w14:paraId="0FAF7829" w14:textId="77777777" w:rsidR="00E3434F" w:rsidRPr="004A0446" w:rsidRDefault="00E3434F" w:rsidP="00F3730A">
      <w:pPr>
        <w:tabs>
          <w:tab w:val="left" w:pos="1134"/>
        </w:tabs>
        <w:ind w:left="1134" w:right="567"/>
        <w:jc w:val="both"/>
        <w:rPr>
          <w:rFonts w:ascii="Abadi" w:eastAsia="SimSun" w:hAnsi="Abadi" w:cs="Arial"/>
          <w:bCs/>
          <w:i/>
          <w:iCs/>
          <w:sz w:val="21"/>
          <w:szCs w:val="21"/>
        </w:rPr>
      </w:pPr>
      <w:r w:rsidRPr="004A0446">
        <w:rPr>
          <w:rFonts w:ascii="Abadi" w:eastAsia="SimSun" w:hAnsi="Abadi" w:cs="Arial"/>
          <w:bCs/>
          <w:i/>
          <w:iCs/>
          <w:sz w:val="21"/>
          <w:szCs w:val="21"/>
        </w:rPr>
        <w:t>La iniciativa tiene una perspectiva y alcance considerablemente limitados con respecto al Programa de Prevención y Atención a la Conducta Suicida que actualmente opera la Secretaría de Salud del Estado de Guanajuato y que tiene por estrategias la prevención, la detección, la atención, la capacitación, la investigación y la vigilancia epidemiológica.</w:t>
      </w:r>
    </w:p>
    <w:p w14:paraId="59A1673A" w14:textId="77777777" w:rsidR="00E3434F" w:rsidRPr="004A0446" w:rsidRDefault="00E3434F" w:rsidP="00F3730A">
      <w:pPr>
        <w:tabs>
          <w:tab w:val="left" w:pos="1134"/>
        </w:tabs>
        <w:ind w:left="1134" w:right="567"/>
        <w:jc w:val="both"/>
        <w:rPr>
          <w:rFonts w:ascii="Abadi" w:eastAsia="SimSun" w:hAnsi="Abadi" w:cs="Arial"/>
          <w:bCs/>
          <w:i/>
          <w:iCs/>
          <w:sz w:val="21"/>
          <w:szCs w:val="21"/>
        </w:rPr>
      </w:pPr>
    </w:p>
    <w:p w14:paraId="20020DF7" w14:textId="77777777" w:rsidR="00E3434F" w:rsidRPr="004A0446" w:rsidRDefault="00E3434F" w:rsidP="00F3730A">
      <w:pPr>
        <w:tabs>
          <w:tab w:val="left" w:pos="1134"/>
        </w:tabs>
        <w:ind w:left="1134" w:right="567"/>
        <w:jc w:val="both"/>
        <w:rPr>
          <w:rFonts w:ascii="Abadi" w:eastAsia="SimSun" w:hAnsi="Abadi" w:cs="Arial"/>
          <w:bCs/>
          <w:i/>
          <w:iCs/>
          <w:sz w:val="21"/>
          <w:szCs w:val="21"/>
        </w:rPr>
      </w:pPr>
      <w:r w:rsidRPr="004A0446">
        <w:rPr>
          <w:rFonts w:ascii="Abadi" w:eastAsia="SimSun" w:hAnsi="Abadi" w:cs="Arial"/>
          <w:bCs/>
          <w:i/>
          <w:iCs/>
          <w:sz w:val="21"/>
          <w:szCs w:val="21"/>
        </w:rPr>
        <w:t>el estado cuenta con el Consejo Estatal de Salud Mental y Adicciones, constituido mediante el Acuerdo Gubernativo número 199, publicado el 2 de diciembre de 2021, Tercera Parte, número 240 del Periódico Oficial del Gobierno del Estado, como órgano de carácter consultivo y tiene por objeto promover estrategias y programas para la prevención, tratamiento y rehabilitación de padecimientos mentales y alteraciones conductuales, así como promover la coordinación de manera transversal de los sectores público, social y privado, en beneficio de la población guanajuatense.</w:t>
      </w:r>
    </w:p>
    <w:p w14:paraId="09DE73CE" w14:textId="77777777" w:rsidR="00E3434F" w:rsidRPr="004A0446" w:rsidRDefault="00E3434F" w:rsidP="00F3730A">
      <w:pPr>
        <w:tabs>
          <w:tab w:val="left" w:pos="1134"/>
        </w:tabs>
        <w:ind w:left="1134" w:right="567"/>
        <w:jc w:val="both"/>
        <w:rPr>
          <w:rFonts w:ascii="Abadi" w:eastAsia="SimSun" w:hAnsi="Abadi" w:cs="Arial"/>
          <w:bCs/>
          <w:i/>
          <w:iCs/>
          <w:sz w:val="21"/>
          <w:szCs w:val="21"/>
        </w:rPr>
      </w:pPr>
    </w:p>
    <w:p w14:paraId="360D6CB8" w14:textId="77777777" w:rsidR="00E3434F" w:rsidRPr="004A0446" w:rsidRDefault="00E3434F" w:rsidP="00F3730A">
      <w:pPr>
        <w:tabs>
          <w:tab w:val="left" w:pos="1134"/>
        </w:tabs>
        <w:ind w:left="1134" w:right="567"/>
        <w:jc w:val="both"/>
        <w:rPr>
          <w:rFonts w:ascii="Abadi" w:eastAsia="SimSun" w:hAnsi="Abadi" w:cs="Arial"/>
          <w:bCs/>
          <w:i/>
          <w:iCs/>
          <w:sz w:val="21"/>
          <w:szCs w:val="21"/>
        </w:rPr>
      </w:pPr>
      <w:r w:rsidRPr="004A0446">
        <w:rPr>
          <w:rFonts w:ascii="Abadi" w:eastAsia="SimSun" w:hAnsi="Abadi" w:cs="Arial"/>
          <w:bCs/>
          <w:i/>
          <w:iCs/>
          <w:sz w:val="21"/>
          <w:szCs w:val="21"/>
        </w:rPr>
        <w:t>En torno al tema, el Instituto de Salud Pública del Estado de Guanajuato, cuenta con un Modelo de Atención en Salud del Estado de Guanajuato, el cual es un sistema moderno de salud que tiene como objetivo atender por igual a todos los ciudadanos, ofreciéndoles servicios oportunos con calidad, calidez, seguridad y eficiencia, para garantizar el acceso a la atención psicológica y psiquiátrica desde la promoción, prevención, curación y rehabilitación.</w:t>
      </w:r>
    </w:p>
    <w:p w14:paraId="3C10A23D" w14:textId="77777777" w:rsidR="00E3434F" w:rsidRPr="004A0446" w:rsidRDefault="00E3434F" w:rsidP="00F3730A">
      <w:pPr>
        <w:tabs>
          <w:tab w:val="left" w:pos="1134"/>
        </w:tabs>
        <w:ind w:left="1134" w:right="567"/>
        <w:jc w:val="both"/>
        <w:rPr>
          <w:rFonts w:ascii="Abadi" w:eastAsia="SimSun" w:hAnsi="Abadi" w:cs="Arial"/>
          <w:bCs/>
          <w:i/>
          <w:iCs/>
          <w:sz w:val="21"/>
          <w:szCs w:val="21"/>
        </w:rPr>
      </w:pPr>
    </w:p>
    <w:p w14:paraId="652CDE5E" w14:textId="77777777" w:rsidR="00E3434F" w:rsidRPr="004A0446" w:rsidRDefault="00E3434F" w:rsidP="00F3730A">
      <w:pPr>
        <w:tabs>
          <w:tab w:val="left" w:pos="1134"/>
        </w:tabs>
        <w:ind w:left="1134" w:right="567"/>
        <w:jc w:val="both"/>
        <w:rPr>
          <w:rFonts w:ascii="Abadi" w:eastAsia="SimSun" w:hAnsi="Abadi" w:cs="Arial"/>
          <w:bCs/>
          <w:i/>
          <w:iCs/>
          <w:sz w:val="21"/>
          <w:szCs w:val="21"/>
        </w:rPr>
      </w:pPr>
      <w:r w:rsidRPr="004A0446">
        <w:rPr>
          <w:rFonts w:ascii="Abadi" w:eastAsia="SimSun" w:hAnsi="Abadi" w:cs="Arial"/>
          <w:bCs/>
          <w:i/>
          <w:iCs/>
          <w:sz w:val="21"/>
          <w:szCs w:val="21"/>
        </w:rPr>
        <w:t>Dentro de sus programas prioritarios están el programa de salud mental, a través del cual se proporciona atención integral a personas que presentan o se encuentran en riesgo de padecer algún trastorno mental, así como el programa de prevención y atención a la conducta suicida, por medio del cual se busca contribuir en la disminución de la incidencia y la frecuencia del acto suicida en el estado de Guanajuato a través de distintos niveles de acción.</w:t>
      </w:r>
    </w:p>
    <w:p w14:paraId="055B9EAF" w14:textId="77777777" w:rsidR="00E3434F" w:rsidRPr="004A0446" w:rsidRDefault="00E3434F" w:rsidP="00F3730A">
      <w:pPr>
        <w:tabs>
          <w:tab w:val="left" w:pos="1134"/>
        </w:tabs>
        <w:ind w:left="1134" w:right="567"/>
        <w:jc w:val="both"/>
        <w:rPr>
          <w:rFonts w:ascii="Abadi" w:eastAsia="SimSun" w:hAnsi="Abadi" w:cs="Arial"/>
          <w:bCs/>
          <w:i/>
          <w:iCs/>
          <w:sz w:val="21"/>
          <w:szCs w:val="21"/>
        </w:rPr>
      </w:pPr>
    </w:p>
    <w:p w14:paraId="26E34D95" w14:textId="77777777" w:rsidR="00E3434F" w:rsidRPr="004A0446" w:rsidRDefault="00E3434F" w:rsidP="00F3730A">
      <w:pPr>
        <w:tabs>
          <w:tab w:val="left" w:pos="1134"/>
        </w:tabs>
        <w:ind w:left="1134" w:right="567"/>
        <w:jc w:val="both"/>
        <w:rPr>
          <w:rFonts w:ascii="Abadi" w:eastAsia="SimSun" w:hAnsi="Abadi" w:cs="Arial"/>
          <w:bCs/>
          <w:i/>
          <w:iCs/>
          <w:sz w:val="21"/>
          <w:szCs w:val="21"/>
        </w:rPr>
      </w:pPr>
      <w:r w:rsidRPr="004A0446">
        <w:rPr>
          <w:rFonts w:ascii="Abadi" w:eastAsia="SimSun" w:hAnsi="Abadi" w:cs="Arial"/>
          <w:bCs/>
          <w:i/>
          <w:iCs/>
          <w:sz w:val="21"/>
          <w:szCs w:val="21"/>
        </w:rPr>
        <w:t>Es importante resaltar que, en julio de 2020, se presentó en el Senado un Dictamen por el que se expide la Ley General de Salud Mental. Sobre dicho dictamen, la Comisión Nacional de los Derechos Humanos solicitó al Poder Legislativo revisar el mismo, al considerar que vulnera diversos artículos de la Convención sobre los Derechos de las Personas con Discapacidad.</w:t>
      </w:r>
    </w:p>
    <w:p w14:paraId="792414D5" w14:textId="77777777" w:rsidR="00E3434F" w:rsidRPr="004A0446" w:rsidRDefault="00E3434F" w:rsidP="00F3730A">
      <w:pPr>
        <w:tabs>
          <w:tab w:val="left" w:pos="1134"/>
        </w:tabs>
        <w:ind w:right="27"/>
        <w:jc w:val="both"/>
        <w:rPr>
          <w:rFonts w:ascii="Abadi" w:eastAsia="SimSun" w:hAnsi="Abadi" w:cs="Arial"/>
          <w:bCs/>
          <w:i/>
          <w:iCs/>
          <w:sz w:val="21"/>
          <w:szCs w:val="21"/>
        </w:rPr>
      </w:pPr>
    </w:p>
    <w:p w14:paraId="7840290F" w14:textId="77777777" w:rsidR="00E3434F" w:rsidRPr="004A0446" w:rsidRDefault="00E3434F" w:rsidP="00F3730A">
      <w:pPr>
        <w:tabs>
          <w:tab w:val="left" w:pos="1134"/>
        </w:tabs>
        <w:ind w:right="27" w:firstLine="1134"/>
        <w:jc w:val="both"/>
        <w:rPr>
          <w:rFonts w:ascii="Abadi" w:eastAsia="SimSun" w:hAnsi="Abadi" w:cs="Arial"/>
          <w:bCs/>
          <w:i/>
          <w:iCs/>
          <w:sz w:val="21"/>
          <w:szCs w:val="21"/>
        </w:rPr>
      </w:pPr>
      <w:r w:rsidRPr="004A0446">
        <w:rPr>
          <w:rFonts w:ascii="Abadi" w:eastAsia="SimSun" w:hAnsi="Abadi" w:cs="Arial"/>
          <w:bCs/>
          <w:i/>
          <w:iCs/>
          <w:sz w:val="21"/>
          <w:szCs w:val="21"/>
        </w:rPr>
        <w:t>Entre las razones esgrimidas por la ombudsperson nacional, resaltan las siguientes:</w:t>
      </w:r>
    </w:p>
    <w:p w14:paraId="5074240D" w14:textId="77777777" w:rsidR="00E3434F" w:rsidRPr="004A0446" w:rsidRDefault="00E3434F" w:rsidP="00F3730A">
      <w:pPr>
        <w:ind w:left="2433" w:right="594" w:hanging="732"/>
        <w:jc w:val="both"/>
        <w:rPr>
          <w:rFonts w:ascii="Abadi" w:hAnsi="Abadi" w:cs="Arial"/>
          <w:i/>
          <w:iCs/>
          <w:color w:val="18161F"/>
          <w:sz w:val="21"/>
          <w:szCs w:val="21"/>
          <w:lang w:val="es-MX"/>
        </w:rPr>
      </w:pPr>
    </w:p>
    <w:p w14:paraId="1297ED74" w14:textId="77777777" w:rsidR="00E3434F" w:rsidRPr="004A0446" w:rsidRDefault="00E3434F" w:rsidP="00F3730A">
      <w:pPr>
        <w:ind w:left="1134" w:right="567"/>
        <w:jc w:val="both"/>
        <w:rPr>
          <w:rFonts w:ascii="Abadi" w:hAnsi="Abadi" w:cs="Arial"/>
          <w:i/>
          <w:iCs/>
          <w:sz w:val="21"/>
          <w:szCs w:val="21"/>
          <w:lang w:val="es-MX"/>
        </w:rPr>
      </w:pPr>
      <w:r w:rsidRPr="004A0446">
        <w:rPr>
          <w:rFonts w:ascii="Abadi" w:hAnsi="Abadi" w:cs="Arial"/>
          <w:i/>
          <w:iCs/>
          <w:sz w:val="21"/>
          <w:szCs w:val="21"/>
          <w:lang w:val="es-MX"/>
        </w:rPr>
        <w:t>«…Para este Organismo Autónomo,</w:t>
      </w:r>
      <w:r w:rsidRPr="004A0446">
        <w:rPr>
          <w:rFonts w:ascii="Abadi" w:hAnsi="Abadi" w:cs="Arial"/>
          <w:b/>
          <w:bCs/>
          <w:i/>
          <w:iCs/>
          <w:sz w:val="21"/>
          <w:szCs w:val="21"/>
          <w:u w:val="single"/>
          <w:lang w:val="es-MX"/>
        </w:rPr>
        <w:t xml:space="preserve"> la creación de una Ley General de Salud Mental puede configurar un régimen legal separado y específico para las personas con discapacidad psicosocial, lo que resulta contrario a las obligaciones contraídas por el Estado mexicano</w:t>
      </w:r>
      <w:r w:rsidRPr="004A0446">
        <w:rPr>
          <w:rFonts w:ascii="Abadi" w:hAnsi="Abadi" w:cs="Arial"/>
          <w:i/>
          <w:iCs/>
          <w:sz w:val="21"/>
          <w:szCs w:val="21"/>
          <w:lang w:val="es-MX"/>
        </w:rPr>
        <w:t>; además de que aludir a las figuras jurídicas de la interdicción y la inimputabilidad -justificando en sus disposiciones la sustitución de la voluntad de la persona con discapacidad-resulta incompatible con lo expresado en la citada Convención.</w:t>
      </w:r>
    </w:p>
    <w:p w14:paraId="697D2FBD" w14:textId="77777777" w:rsidR="00E3434F" w:rsidRPr="004A0446" w:rsidRDefault="00E3434F" w:rsidP="00F3730A">
      <w:pPr>
        <w:ind w:left="567" w:right="567" w:firstLine="1701"/>
        <w:jc w:val="both"/>
        <w:rPr>
          <w:rFonts w:ascii="Abadi" w:hAnsi="Abadi" w:cs="Arial"/>
          <w:i/>
          <w:iCs/>
          <w:sz w:val="21"/>
          <w:szCs w:val="21"/>
          <w:lang w:val="es-MX"/>
        </w:rPr>
      </w:pPr>
    </w:p>
    <w:p w14:paraId="029D5322" w14:textId="77777777" w:rsidR="00E3434F" w:rsidRPr="004A0446" w:rsidRDefault="00E3434F" w:rsidP="00C116AE">
      <w:pPr>
        <w:ind w:left="1418" w:right="567"/>
        <w:jc w:val="both"/>
        <w:rPr>
          <w:rFonts w:ascii="Abadi" w:hAnsi="Abadi" w:cs="Arial"/>
          <w:i/>
          <w:iCs/>
          <w:sz w:val="21"/>
          <w:szCs w:val="21"/>
          <w:lang w:val="es-MX"/>
        </w:rPr>
      </w:pPr>
      <w:r w:rsidRPr="004A0446">
        <w:rPr>
          <w:rFonts w:ascii="Abadi" w:hAnsi="Abadi" w:cs="Arial"/>
          <w:i/>
          <w:iCs/>
          <w:sz w:val="21"/>
          <w:szCs w:val="21"/>
          <w:lang w:val="es-MX"/>
        </w:rPr>
        <w:t>Por lo anterior, la CNDH solicita al Poder Legislativo revisar y actualizar la exposición de motivos de la iniciativa de ley, a fin de que los conceptos y nociones vertidas en la misma sean compatibles y respetuosas del enfoque de derechos humanos y de los principios y preceptos de la Convención en la materia; así como eliminar alusiones y referencias a la interdicción e inimputabilidad como causas de sustitución de la voluntad de las personas.</w:t>
      </w:r>
    </w:p>
    <w:p w14:paraId="688B0149" w14:textId="77777777" w:rsidR="00E3434F" w:rsidRPr="004A0446" w:rsidRDefault="00E3434F" w:rsidP="00F3730A">
      <w:pPr>
        <w:ind w:left="2268" w:right="567"/>
        <w:jc w:val="both"/>
        <w:rPr>
          <w:rFonts w:ascii="Abadi" w:hAnsi="Abadi" w:cs="Arial"/>
          <w:i/>
          <w:iCs/>
          <w:sz w:val="21"/>
          <w:szCs w:val="21"/>
          <w:lang w:val="es-MX"/>
        </w:rPr>
      </w:pPr>
    </w:p>
    <w:p w14:paraId="37BD47BB" w14:textId="77777777" w:rsidR="00E3434F" w:rsidRPr="004A0446" w:rsidRDefault="00E3434F" w:rsidP="00C116AE">
      <w:pPr>
        <w:ind w:left="1418" w:right="567"/>
        <w:jc w:val="both"/>
        <w:rPr>
          <w:rFonts w:ascii="Abadi" w:hAnsi="Abadi" w:cs="Arial"/>
          <w:i/>
          <w:iCs/>
          <w:sz w:val="21"/>
          <w:szCs w:val="21"/>
          <w:lang w:val="es-MX"/>
        </w:rPr>
      </w:pPr>
      <w:r w:rsidRPr="004A0446">
        <w:rPr>
          <w:rFonts w:ascii="Abadi" w:hAnsi="Abadi" w:cs="Arial"/>
          <w:i/>
          <w:iCs/>
          <w:sz w:val="21"/>
          <w:szCs w:val="21"/>
          <w:lang w:val="es-MX"/>
        </w:rPr>
        <w:t>Establecer formas amplias y diversas, así como mecanismos de apoyo para asegurar que la voluntad expresada por las personas con discapacidad, con relación a los tratamientos requeridos sea respetada por el personal de salud y las autoridades correspondientes en todo momento, y propiciar diálogos participativos con las personas con discapacidad, sus familias y organizaciones que las representan.</w:t>
      </w:r>
    </w:p>
    <w:p w14:paraId="7375A53A" w14:textId="77777777" w:rsidR="00E3434F" w:rsidRPr="004A0446" w:rsidRDefault="00E3434F" w:rsidP="00F3730A">
      <w:pPr>
        <w:ind w:left="2268" w:right="567"/>
        <w:jc w:val="both"/>
        <w:rPr>
          <w:rFonts w:ascii="Abadi" w:hAnsi="Abadi" w:cs="Arial"/>
          <w:i/>
          <w:iCs/>
          <w:sz w:val="21"/>
          <w:szCs w:val="21"/>
          <w:lang w:val="es-MX"/>
        </w:rPr>
      </w:pPr>
    </w:p>
    <w:p w14:paraId="0350892D" w14:textId="77777777" w:rsidR="00E3434F" w:rsidRPr="004A0446" w:rsidRDefault="00E3434F" w:rsidP="00C116AE">
      <w:pPr>
        <w:ind w:left="1418" w:right="567"/>
        <w:jc w:val="both"/>
        <w:rPr>
          <w:rFonts w:ascii="Abadi" w:hAnsi="Abadi" w:cs="Arial"/>
          <w:i/>
          <w:iCs/>
          <w:sz w:val="21"/>
          <w:szCs w:val="21"/>
          <w:lang w:val="es-MX"/>
        </w:rPr>
      </w:pPr>
      <w:r w:rsidRPr="004A0446">
        <w:rPr>
          <w:rFonts w:ascii="Abadi" w:hAnsi="Abadi" w:cs="Arial"/>
          <w:i/>
          <w:iCs/>
          <w:sz w:val="21"/>
          <w:szCs w:val="21"/>
          <w:lang w:val="es-MX"/>
        </w:rPr>
        <w:t>Analizar detenidamente la viabilidad de crear una Ley General de Salud Mental, proponiendo, en lugar de ello, adicionar las disposiciones necesarias a la Ley General de Salud, a fin de garantizar una protección jurídica integral de la salud…”</w:t>
      </w:r>
    </w:p>
    <w:p w14:paraId="43AB346D" w14:textId="77777777" w:rsidR="00E3434F" w:rsidRPr="004A0446" w:rsidRDefault="00E3434F" w:rsidP="00F3730A">
      <w:pPr>
        <w:ind w:right="27" w:firstLine="709"/>
        <w:jc w:val="both"/>
        <w:rPr>
          <w:rFonts w:ascii="Abadi" w:hAnsi="Abadi" w:cs="Arial"/>
          <w:i/>
          <w:iCs/>
          <w:sz w:val="21"/>
          <w:szCs w:val="21"/>
        </w:rPr>
      </w:pPr>
    </w:p>
    <w:p w14:paraId="1A071278" w14:textId="77777777" w:rsidR="00E3434F" w:rsidRPr="004A0446" w:rsidRDefault="00E3434F" w:rsidP="00F3730A">
      <w:pPr>
        <w:ind w:left="1418" w:right="27" w:hanging="284"/>
        <w:jc w:val="both"/>
        <w:rPr>
          <w:rFonts w:ascii="Abadi" w:hAnsi="Abadi" w:cs="Arial"/>
          <w:b/>
          <w:bCs/>
          <w:sz w:val="21"/>
          <w:szCs w:val="21"/>
        </w:rPr>
      </w:pPr>
      <w:r w:rsidRPr="004A0446">
        <w:rPr>
          <w:rFonts w:ascii="Abadi" w:hAnsi="Abadi" w:cs="Arial"/>
          <w:b/>
          <w:bCs/>
          <w:sz w:val="21"/>
          <w:szCs w:val="21"/>
        </w:rPr>
        <w:t xml:space="preserve">III.7 Respecto al impacto presupuestario de la iniciativa </w:t>
      </w:r>
    </w:p>
    <w:p w14:paraId="1C5C3A0C" w14:textId="77777777" w:rsidR="00E3434F" w:rsidRPr="004A0446" w:rsidRDefault="00E3434F" w:rsidP="00F3730A">
      <w:pPr>
        <w:ind w:right="27" w:firstLine="709"/>
        <w:jc w:val="both"/>
        <w:rPr>
          <w:rFonts w:ascii="Abadi" w:hAnsi="Abadi" w:cs="Arial"/>
          <w:sz w:val="21"/>
          <w:szCs w:val="21"/>
        </w:rPr>
      </w:pPr>
    </w:p>
    <w:p w14:paraId="192B9788" w14:textId="77777777" w:rsidR="00E3434F" w:rsidRPr="004A0446" w:rsidRDefault="00E3434F" w:rsidP="00F3730A">
      <w:pPr>
        <w:ind w:left="1134" w:right="567"/>
        <w:jc w:val="both"/>
        <w:rPr>
          <w:rFonts w:ascii="Abadi" w:hAnsi="Abadi" w:cs="Arial"/>
          <w:i/>
          <w:iCs/>
          <w:sz w:val="21"/>
          <w:szCs w:val="21"/>
        </w:rPr>
      </w:pPr>
      <w:r w:rsidRPr="004A0446">
        <w:rPr>
          <w:rFonts w:ascii="Abadi" w:hAnsi="Abadi" w:cs="Arial"/>
          <w:sz w:val="21"/>
          <w:szCs w:val="21"/>
        </w:rPr>
        <w:t xml:space="preserve">(…) </w:t>
      </w:r>
      <w:r w:rsidRPr="004A0446">
        <w:rPr>
          <w:rFonts w:ascii="Abadi" w:hAnsi="Abadi" w:cs="Arial"/>
          <w:i/>
          <w:iCs/>
          <w:sz w:val="21"/>
          <w:szCs w:val="21"/>
        </w:rPr>
        <w:t>a pesar de que la iniciativa en análisis contiene un impacto presupuestario, en donde únicamente se menciona que:</w:t>
      </w:r>
    </w:p>
    <w:p w14:paraId="38610696" w14:textId="77777777" w:rsidR="00E3434F" w:rsidRPr="004A0446" w:rsidRDefault="00E3434F" w:rsidP="00F3730A">
      <w:pPr>
        <w:ind w:right="27" w:firstLine="709"/>
        <w:jc w:val="both"/>
        <w:rPr>
          <w:rFonts w:ascii="Abadi" w:hAnsi="Abadi" w:cs="Arial"/>
          <w:i/>
          <w:iCs/>
          <w:sz w:val="21"/>
          <w:szCs w:val="21"/>
        </w:rPr>
      </w:pPr>
    </w:p>
    <w:p w14:paraId="7D467B96" w14:textId="77777777" w:rsidR="00E3434F" w:rsidRPr="004A0446" w:rsidRDefault="00E3434F" w:rsidP="00C116AE">
      <w:pPr>
        <w:ind w:left="1134" w:right="567"/>
        <w:jc w:val="both"/>
        <w:rPr>
          <w:rFonts w:ascii="Abadi" w:hAnsi="Abadi" w:cs="Arial"/>
          <w:i/>
          <w:iCs/>
          <w:sz w:val="21"/>
          <w:szCs w:val="21"/>
        </w:rPr>
      </w:pPr>
      <w:r w:rsidRPr="004A0446">
        <w:rPr>
          <w:rFonts w:ascii="Abadi" w:hAnsi="Abadi" w:cs="Arial"/>
          <w:i/>
          <w:iCs/>
          <w:sz w:val="21"/>
          <w:szCs w:val="21"/>
        </w:rPr>
        <w:t>«Sobre la estimación del impacto presupuestario del proyecto. se estima que la presente iniciativa sí contiene disposiciones de impacto presupuestario; no obstante, dado su alcance y naturaleza éstas se pueden cumplir, en su caso, aprovechando los recursos humanos y materiales disponibles en los entes públicos sobre los que recaigan las nuevas responsabilidades; solicitándose además, a efecto de perfeccionar la presente, que la Unidad de Estudio de las Finanzas Públicas del Congreso del Estado lleve a cabo el análisis de impacto presupuestario.»</w:t>
      </w:r>
    </w:p>
    <w:p w14:paraId="14001431" w14:textId="77777777" w:rsidR="00E3434F" w:rsidRPr="004A0446" w:rsidRDefault="00E3434F" w:rsidP="00F3730A">
      <w:pPr>
        <w:ind w:right="567" w:firstLine="709"/>
        <w:jc w:val="both"/>
        <w:rPr>
          <w:rFonts w:ascii="Abadi" w:hAnsi="Abadi" w:cs="Arial"/>
          <w:i/>
          <w:iCs/>
          <w:sz w:val="21"/>
          <w:szCs w:val="21"/>
        </w:rPr>
      </w:pPr>
    </w:p>
    <w:p w14:paraId="62136873" w14:textId="77777777" w:rsidR="00E3434F" w:rsidRPr="004A0446" w:rsidRDefault="00E3434F" w:rsidP="00F3730A">
      <w:pPr>
        <w:ind w:left="1134" w:right="567"/>
        <w:jc w:val="both"/>
        <w:rPr>
          <w:rFonts w:ascii="Abadi" w:hAnsi="Abadi" w:cs="Arial"/>
          <w:i/>
          <w:iCs/>
          <w:sz w:val="21"/>
          <w:szCs w:val="21"/>
        </w:rPr>
      </w:pPr>
      <w:r w:rsidRPr="004A0446">
        <w:rPr>
          <w:rFonts w:ascii="Abadi" w:hAnsi="Abadi" w:cs="Arial"/>
          <w:i/>
          <w:iCs/>
          <w:sz w:val="21"/>
          <w:szCs w:val="21"/>
        </w:rPr>
        <w:t>Este no se prevé en términos reales, al no acompañarse a la propuesta el análisis correspondiente. Por lo que se estima que es indispensable que una iniciativa que implica la generación de un costo para su implementación contemple desde su presentación, como lo indican las leyes referidas, el dictamen de impacto presupuestal.</w:t>
      </w:r>
    </w:p>
    <w:p w14:paraId="1D9AFD04" w14:textId="77777777" w:rsidR="00E3434F" w:rsidRPr="004A0446" w:rsidRDefault="00E3434F" w:rsidP="00F3730A">
      <w:pPr>
        <w:ind w:left="993" w:right="567" w:firstLine="141"/>
        <w:jc w:val="both"/>
        <w:rPr>
          <w:rFonts w:ascii="Abadi" w:hAnsi="Abadi" w:cs="Arial"/>
          <w:i/>
          <w:iCs/>
          <w:sz w:val="21"/>
          <w:szCs w:val="21"/>
        </w:rPr>
      </w:pPr>
    </w:p>
    <w:p w14:paraId="5DE931E2" w14:textId="77777777" w:rsidR="00E3434F" w:rsidRPr="004A0446" w:rsidRDefault="00E3434F" w:rsidP="00F3730A">
      <w:pPr>
        <w:ind w:left="1134" w:right="567"/>
        <w:jc w:val="both"/>
        <w:rPr>
          <w:rFonts w:ascii="Abadi" w:hAnsi="Abadi" w:cs="Arial"/>
          <w:i/>
          <w:iCs/>
          <w:sz w:val="21"/>
          <w:szCs w:val="21"/>
        </w:rPr>
      </w:pPr>
      <w:r w:rsidRPr="004A0446">
        <w:rPr>
          <w:rFonts w:ascii="Abadi" w:hAnsi="Abadi" w:cs="Arial"/>
          <w:i/>
          <w:iCs/>
          <w:sz w:val="21"/>
          <w:szCs w:val="21"/>
        </w:rPr>
        <w:t>En este sentido, respecto del impacto presupuestario, no se presenta información concisa o puntual, por el contrario, dentro de la exposición de motivos del iniciante señalan que la presente es ejecutable aprovechando los recursos humanos y materiales disponibles en los entes públicos sobre los que recaigan las nuevas responsabilidades.</w:t>
      </w:r>
    </w:p>
    <w:p w14:paraId="562B841E" w14:textId="77777777" w:rsidR="00E3434F" w:rsidRPr="004A0446" w:rsidRDefault="00E3434F" w:rsidP="00F3730A">
      <w:pPr>
        <w:ind w:right="567" w:firstLine="1134"/>
        <w:jc w:val="both"/>
        <w:rPr>
          <w:rFonts w:ascii="Abadi" w:hAnsi="Abadi" w:cs="Arial"/>
          <w:i/>
          <w:iCs/>
          <w:sz w:val="21"/>
          <w:szCs w:val="21"/>
        </w:rPr>
      </w:pPr>
    </w:p>
    <w:p w14:paraId="5E7844A5" w14:textId="77777777" w:rsidR="00E3434F" w:rsidRPr="004A0446" w:rsidRDefault="00E3434F" w:rsidP="00F3730A">
      <w:pPr>
        <w:ind w:left="1134" w:right="567"/>
        <w:jc w:val="both"/>
        <w:rPr>
          <w:rFonts w:ascii="Abadi" w:hAnsi="Abadi" w:cs="Arial"/>
          <w:i/>
          <w:iCs/>
          <w:sz w:val="21"/>
          <w:szCs w:val="21"/>
        </w:rPr>
      </w:pPr>
      <w:r w:rsidRPr="004A0446">
        <w:rPr>
          <w:rFonts w:ascii="Abadi" w:hAnsi="Abadi" w:cs="Arial"/>
          <w:i/>
          <w:iCs/>
          <w:sz w:val="21"/>
          <w:szCs w:val="21"/>
        </w:rPr>
        <w:t>No obstante, dentro de los objetivos de la iniciativa en estudio, se advierten que pudiera implicar el uso de recursos para su desarrollo, por ejemplo:</w:t>
      </w:r>
    </w:p>
    <w:p w14:paraId="46EE4E4D" w14:textId="77777777" w:rsidR="00E3434F" w:rsidRPr="004A0446" w:rsidRDefault="00E3434F" w:rsidP="00F3730A">
      <w:pPr>
        <w:ind w:left="1134" w:right="567"/>
        <w:jc w:val="both"/>
        <w:rPr>
          <w:rFonts w:ascii="Abadi" w:hAnsi="Abadi" w:cs="Arial"/>
          <w:i/>
          <w:iCs/>
          <w:sz w:val="21"/>
          <w:szCs w:val="21"/>
        </w:rPr>
      </w:pPr>
    </w:p>
    <w:p w14:paraId="3F3EAA14" w14:textId="77777777" w:rsidR="00E3434F" w:rsidRPr="004A0446" w:rsidRDefault="00E3434F" w:rsidP="00C116AE">
      <w:pPr>
        <w:ind w:left="1843" w:right="567" w:hanging="284"/>
        <w:jc w:val="both"/>
        <w:rPr>
          <w:rFonts w:ascii="Abadi" w:hAnsi="Abadi" w:cs="Arial"/>
          <w:i/>
          <w:iCs/>
          <w:sz w:val="21"/>
          <w:szCs w:val="21"/>
        </w:rPr>
      </w:pPr>
      <w:r w:rsidRPr="004A0446">
        <w:rPr>
          <w:rFonts w:ascii="Abadi" w:hAnsi="Abadi" w:cs="Arial"/>
          <w:i/>
          <w:iCs/>
          <w:sz w:val="21"/>
          <w:szCs w:val="21"/>
        </w:rPr>
        <w:t>a)</w:t>
      </w:r>
      <w:r w:rsidRPr="004A0446">
        <w:rPr>
          <w:rFonts w:ascii="Abadi" w:hAnsi="Abadi" w:cs="Arial"/>
          <w:i/>
          <w:iCs/>
          <w:sz w:val="21"/>
          <w:szCs w:val="21"/>
        </w:rPr>
        <w:tab/>
        <w:t>Desarrollar y aplicar campañas de orientación acerca de la prevención del  suicidio.</w:t>
      </w:r>
    </w:p>
    <w:p w14:paraId="620F8D64" w14:textId="77777777" w:rsidR="00E3434F" w:rsidRPr="004A0446" w:rsidRDefault="00E3434F" w:rsidP="00C116AE">
      <w:pPr>
        <w:ind w:left="1843" w:right="567" w:hanging="284"/>
        <w:jc w:val="both"/>
        <w:rPr>
          <w:rFonts w:ascii="Abadi" w:hAnsi="Abadi" w:cs="Arial"/>
          <w:i/>
          <w:iCs/>
          <w:sz w:val="21"/>
          <w:szCs w:val="21"/>
        </w:rPr>
      </w:pPr>
      <w:r w:rsidRPr="004A0446">
        <w:rPr>
          <w:rFonts w:ascii="Abadi" w:hAnsi="Abadi" w:cs="Arial"/>
          <w:i/>
          <w:iCs/>
          <w:sz w:val="21"/>
          <w:szCs w:val="21"/>
        </w:rPr>
        <w:t>b)</w:t>
      </w:r>
      <w:r w:rsidRPr="004A0446">
        <w:rPr>
          <w:rFonts w:ascii="Abadi" w:hAnsi="Abadi" w:cs="Arial"/>
          <w:i/>
          <w:iCs/>
          <w:sz w:val="21"/>
          <w:szCs w:val="21"/>
        </w:rPr>
        <w:tab/>
        <w:t>Capacitar, de manera sistemática y permanente en la detección oportuna de personas en situación de riesgo suicida, al personal del sistema estatal de salud y a los docentes del sector educativo.</w:t>
      </w:r>
    </w:p>
    <w:p w14:paraId="09B02427" w14:textId="77777777" w:rsidR="00E3434F" w:rsidRPr="004A0446" w:rsidRDefault="00E3434F" w:rsidP="00C116AE">
      <w:pPr>
        <w:ind w:left="1843" w:right="567" w:hanging="284"/>
        <w:jc w:val="both"/>
        <w:rPr>
          <w:rFonts w:ascii="Abadi" w:hAnsi="Abadi" w:cs="Arial"/>
          <w:i/>
          <w:iCs/>
          <w:sz w:val="21"/>
          <w:szCs w:val="21"/>
        </w:rPr>
      </w:pPr>
      <w:r w:rsidRPr="004A0446">
        <w:rPr>
          <w:rFonts w:ascii="Abadi" w:hAnsi="Abadi" w:cs="Arial"/>
          <w:i/>
          <w:iCs/>
          <w:sz w:val="21"/>
          <w:szCs w:val="21"/>
        </w:rPr>
        <w:t>c)</w:t>
      </w:r>
      <w:r w:rsidRPr="004A0446">
        <w:rPr>
          <w:rFonts w:ascii="Abadi" w:hAnsi="Abadi" w:cs="Arial"/>
          <w:i/>
          <w:iCs/>
          <w:sz w:val="21"/>
          <w:szCs w:val="21"/>
        </w:rPr>
        <w:tab/>
        <w:t>Crear y administrar un Registro Estatal de los índices de suicidio en la entidad.</w:t>
      </w:r>
    </w:p>
    <w:p w14:paraId="45679215" w14:textId="77777777" w:rsidR="00E3434F" w:rsidRPr="004A0446" w:rsidRDefault="00E3434F" w:rsidP="00C116AE">
      <w:pPr>
        <w:ind w:left="1843" w:right="567" w:hanging="284"/>
        <w:jc w:val="both"/>
        <w:rPr>
          <w:rFonts w:ascii="Abadi" w:hAnsi="Abadi" w:cs="Arial"/>
          <w:i/>
          <w:iCs/>
          <w:sz w:val="21"/>
          <w:szCs w:val="21"/>
        </w:rPr>
      </w:pPr>
    </w:p>
    <w:p w14:paraId="315C0606" w14:textId="77777777" w:rsidR="00E3434F" w:rsidRPr="004A0446" w:rsidRDefault="00E3434F" w:rsidP="00C116AE">
      <w:pPr>
        <w:ind w:left="1843" w:right="567"/>
        <w:jc w:val="both"/>
        <w:rPr>
          <w:rFonts w:ascii="Abadi" w:hAnsi="Abadi" w:cs="Arial"/>
          <w:i/>
          <w:iCs/>
          <w:sz w:val="21"/>
          <w:szCs w:val="21"/>
        </w:rPr>
      </w:pPr>
      <w:r w:rsidRPr="004A0446">
        <w:rPr>
          <w:rFonts w:ascii="Abadi" w:hAnsi="Abadi" w:cs="Arial"/>
          <w:i/>
          <w:iCs/>
          <w:sz w:val="21"/>
          <w:szCs w:val="21"/>
        </w:rPr>
        <w:t>Acciones que como ya se ha descrito anteriormente, y de acuerdo a la información proporcionada por el ISAPEG, ya se encuentran contenidas en sus programas y estructuras de trabajo.</w:t>
      </w:r>
    </w:p>
    <w:p w14:paraId="325FD837" w14:textId="77777777" w:rsidR="00E3434F" w:rsidRPr="004A0446" w:rsidRDefault="00E3434F" w:rsidP="00F3730A">
      <w:pPr>
        <w:ind w:right="27" w:firstLine="709"/>
        <w:jc w:val="both"/>
        <w:rPr>
          <w:rFonts w:ascii="Abadi" w:hAnsi="Abadi" w:cs="Arial"/>
          <w:sz w:val="21"/>
          <w:szCs w:val="21"/>
        </w:rPr>
      </w:pPr>
      <w:r w:rsidRPr="004A0446">
        <w:rPr>
          <w:rFonts w:ascii="Abadi" w:hAnsi="Abadi" w:cs="Arial"/>
          <w:sz w:val="21"/>
          <w:szCs w:val="21"/>
        </w:rPr>
        <w:t xml:space="preserve">                    </w:t>
      </w:r>
    </w:p>
    <w:p w14:paraId="21F68D20" w14:textId="77777777" w:rsidR="00E3434F" w:rsidRPr="004A0446" w:rsidRDefault="00E3434F" w:rsidP="00F3730A">
      <w:pPr>
        <w:tabs>
          <w:tab w:val="left" w:pos="1134"/>
        </w:tabs>
        <w:ind w:right="27" w:firstLine="709"/>
        <w:jc w:val="both"/>
        <w:rPr>
          <w:rFonts w:ascii="Abadi" w:hAnsi="Abadi" w:cs="Arial"/>
          <w:sz w:val="21"/>
          <w:szCs w:val="21"/>
        </w:rPr>
      </w:pPr>
      <w:r w:rsidRPr="004A0446">
        <w:rPr>
          <w:rFonts w:ascii="Abadi" w:hAnsi="Abadi" w:cs="Arial"/>
          <w:sz w:val="21"/>
          <w:szCs w:val="21"/>
        </w:rPr>
        <w:t xml:space="preserve">       (…) </w:t>
      </w:r>
    </w:p>
    <w:p w14:paraId="0A90C19F" w14:textId="77777777" w:rsidR="00E3434F" w:rsidRPr="004A0446" w:rsidRDefault="00E3434F" w:rsidP="00F3730A">
      <w:pPr>
        <w:tabs>
          <w:tab w:val="left" w:pos="1134"/>
        </w:tabs>
        <w:ind w:right="27" w:firstLine="709"/>
        <w:jc w:val="both"/>
        <w:rPr>
          <w:rFonts w:ascii="Abadi" w:hAnsi="Abadi" w:cs="Arial"/>
          <w:sz w:val="21"/>
          <w:szCs w:val="21"/>
        </w:rPr>
      </w:pPr>
    </w:p>
    <w:p w14:paraId="6E609EB1" w14:textId="77777777" w:rsidR="00E3434F" w:rsidRPr="004A0446" w:rsidRDefault="00E3434F" w:rsidP="00F3730A">
      <w:pPr>
        <w:numPr>
          <w:ilvl w:val="0"/>
          <w:numId w:val="71"/>
        </w:numPr>
        <w:ind w:right="27" w:firstLine="204"/>
        <w:jc w:val="both"/>
        <w:rPr>
          <w:rFonts w:ascii="Abadi" w:hAnsi="Abadi" w:cs="Arial"/>
          <w:b/>
          <w:bCs/>
          <w:i/>
          <w:iCs/>
          <w:sz w:val="21"/>
          <w:szCs w:val="21"/>
        </w:rPr>
      </w:pPr>
      <w:r w:rsidRPr="004A0446">
        <w:rPr>
          <w:rFonts w:ascii="Abadi" w:hAnsi="Abadi" w:cs="Arial"/>
          <w:b/>
          <w:bCs/>
          <w:i/>
          <w:iCs/>
          <w:sz w:val="21"/>
          <w:szCs w:val="21"/>
        </w:rPr>
        <w:t>Conclusiones</w:t>
      </w:r>
    </w:p>
    <w:p w14:paraId="0BB4D368" w14:textId="77777777" w:rsidR="00E3434F" w:rsidRPr="004A0446" w:rsidRDefault="00E3434F" w:rsidP="00F3730A">
      <w:pPr>
        <w:ind w:left="930" w:right="27"/>
        <w:jc w:val="both"/>
        <w:rPr>
          <w:rFonts w:ascii="Abadi" w:hAnsi="Abadi" w:cs="Arial"/>
          <w:b/>
          <w:bCs/>
          <w:i/>
          <w:iCs/>
          <w:sz w:val="21"/>
          <w:szCs w:val="21"/>
        </w:rPr>
      </w:pPr>
    </w:p>
    <w:p w14:paraId="331EEDDC" w14:textId="77777777" w:rsidR="00E3434F" w:rsidRPr="004A0446" w:rsidRDefault="00E3434F" w:rsidP="00F3730A">
      <w:pPr>
        <w:ind w:left="1134" w:right="567"/>
        <w:jc w:val="both"/>
        <w:rPr>
          <w:rFonts w:ascii="Abadi" w:hAnsi="Abadi" w:cs="Arial"/>
          <w:i/>
          <w:iCs/>
          <w:sz w:val="21"/>
          <w:szCs w:val="21"/>
        </w:rPr>
      </w:pPr>
      <w:r w:rsidRPr="004A0446">
        <w:rPr>
          <w:rFonts w:ascii="Abadi" w:hAnsi="Abadi" w:cs="Arial"/>
          <w:b/>
          <w:bCs/>
          <w:i/>
          <w:iCs/>
          <w:sz w:val="21"/>
          <w:szCs w:val="21"/>
        </w:rPr>
        <w:t>IV.1</w:t>
      </w:r>
      <w:r w:rsidRPr="004A0446">
        <w:rPr>
          <w:rFonts w:ascii="Abadi" w:hAnsi="Abadi" w:cs="Arial"/>
          <w:i/>
          <w:iCs/>
          <w:sz w:val="21"/>
          <w:szCs w:val="21"/>
        </w:rPr>
        <w:t xml:space="preserve"> El Derecho a la protección de la salud está reconocido desde la Constitución Política de los Estados Unidos Mexicanos, la Ley General de Salud, la Ley de Salud del Estado, entre otros ordenamientos. Por lo anterior, a efecto de no generar antinomias jurídicas, sobrerregulación, e invasión de competencias, se sugiere ponderar la presente iniciativa.</w:t>
      </w:r>
    </w:p>
    <w:p w14:paraId="4497E9C9" w14:textId="77777777" w:rsidR="00E3434F" w:rsidRPr="004A0446" w:rsidRDefault="00E3434F" w:rsidP="00F3730A">
      <w:pPr>
        <w:ind w:left="1134" w:right="567"/>
        <w:jc w:val="both"/>
        <w:rPr>
          <w:rFonts w:ascii="Abadi" w:hAnsi="Abadi" w:cs="Arial"/>
          <w:i/>
          <w:iCs/>
          <w:sz w:val="21"/>
          <w:szCs w:val="21"/>
        </w:rPr>
      </w:pPr>
    </w:p>
    <w:p w14:paraId="12F0AE32" w14:textId="77777777" w:rsidR="00E3434F" w:rsidRPr="004A0446" w:rsidRDefault="00E3434F" w:rsidP="00F3730A">
      <w:pPr>
        <w:ind w:left="1134" w:right="567"/>
        <w:jc w:val="both"/>
        <w:rPr>
          <w:rFonts w:ascii="Abadi" w:hAnsi="Abadi" w:cs="Arial"/>
          <w:i/>
          <w:iCs/>
          <w:sz w:val="21"/>
          <w:szCs w:val="21"/>
        </w:rPr>
      </w:pPr>
      <w:r w:rsidRPr="004A0446">
        <w:rPr>
          <w:rFonts w:ascii="Abadi" w:hAnsi="Abadi" w:cs="Arial"/>
          <w:b/>
          <w:bCs/>
          <w:i/>
          <w:iCs/>
          <w:sz w:val="21"/>
          <w:szCs w:val="21"/>
        </w:rPr>
        <w:t>IV.2</w:t>
      </w:r>
      <w:r w:rsidRPr="004A0446">
        <w:rPr>
          <w:rFonts w:ascii="Abadi" w:hAnsi="Abadi" w:cs="Arial"/>
          <w:i/>
          <w:iCs/>
          <w:sz w:val="21"/>
          <w:szCs w:val="21"/>
        </w:rPr>
        <w:t xml:space="preserve"> Se reconoce la loable intención de las y los legisladores iniciantes de incorporar estrategias que permitan la prevención del suicidio y la disminución de su incidencia.</w:t>
      </w:r>
    </w:p>
    <w:p w14:paraId="36577667" w14:textId="77777777" w:rsidR="00E3434F" w:rsidRPr="004A0446" w:rsidRDefault="00E3434F" w:rsidP="00F3730A">
      <w:pPr>
        <w:ind w:left="1134" w:right="567"/>
        <w:jc w:val="both"/>
        <w:rPr>
          <w:rFonts w:ascii="Abadi" w:hAnsi="Abadi" w:cs="Arial"/>
          <w:i/>
          <w:iCs/>
          <w:sz w:val="21"/>
          <w:szCs w:val="21"/>
        </w:rPr>
      </w:pPr>
    </w:p>
    <w:p w14:paraId="546616C6" w14:textId="77777777" w:rsidR="00E3434F" w:rsidRPr="004A0446" w:rsidRDefault="00E3434F" w:rsidP="00F3730A">
      <w:pPr>
        <w:ind w:left="1134" w:right="567"/>
        <w:jc w:val="both"/>
        <w:rPr>
          <w:rFonts w:ascii="Abadi" w:hAnsi="Abadi" w:cs="Arial"/>
          <w:i/>
          <w:iCs/>
          <w:sz w:val="21"/>
          <w:szCs w:val="21"/>
        </w:rPr>
      </w:pPr>
      <w:r w:rsidRPr="004A0446">
        <w:rPr>
          <w:rFonts w:ascii="Abadi" w:hAnsi="Abadi" w:cs="Arial"/>
          <w:b/>
          <w:bCs/>
          <w:i/>
          <w:iCs/>
          <w:sz w:val="21"/>
          <w:szCs w:val="21"/>
        </w:rPr>
        <w:t>IV.3</w:t>
      </w:r>
      <w:r w:rsidRPr="004A0446">
        <w:rPr>
          <w:rFonts w:ascii="Abadi" w:hAnsi="Abadi" w:cs="Arial"/>
          <w:i/>
          <w:iCs/>
          <w:sz w:val="21"/>
          <w:szCs w:val="21"/>
        </w:rPr>
        <w:t xml:space="preserve"> La política pública estatal de esta administración, ya contempla estrategias y disposiciones jurídicas, mediante las cuales, se previene y atienden en general a las problemáticas sociales y en materia de salud, relacionadas con el suicidio, la cual es encabezada por la Secretaría de Salud, como dependencia rectora en salud, los demás órganos e instituciones que llevan a cabo el despliegue de los diversos programas en salud mental, así como los instrumentos consensuales mediante los cuales se efectúa la ministración de recursos federales que de igual manera se destinan a la materia que nos ocupa. Luego entonces, el Estado, a través del marco normativo actual e instrumentos antes descritos, así como aquellos programas presupuestales vigentes, otorga atención a los sectores de la</w:t>
      </w:r>
      <w:r w:rsidRPr="004A0446">
        <w:rPr>
          <w:rFonts w:ascii="Abadi" w:hAnsi="Abadi" w:cs="Arial"/>
          <w:i/>
          <w:iCs/>
          <w:color w:val="FF0000"/>
          <w:sz w:val="21"/>
          <w:szCs w:val="21"/>
        </w:rPr>
        <w:t xml:space="preserve"> </w:t>
      </w:r>
      <w:r w:rsidRPr="004A0446">
        <w:rPr>
          <w:rFonts w:ascii="Abadi" w:hAnsi="Abadi" w:cs="Arial"/>
          <w:i/>
          <w:iCs/>
          <w:sz w:val="21"/>
          <w:szCs w:val="21"/>
        </w:rPr>
        <w:t>población que se pretende beneficiar con la propuesta de iniciativa, con lo cual se busca garantizar la cercanía de los servicios de salud a la población guanajuatense, y en específico la atención oportuna de riesgos relacionados a las conductas de riesgo suicida, y el tratamiento de posvención en su caso, así como la prevención de conductas de riesgo psicosocial de niños, niñas y adolescentes. Para lo cual, ya se encuentran asignados recursos presupuestales para la profesionalización de las y los trabajadores de la salud.</w:t>
      </w:r>
    </w:p>
    <w:p w14:paraId="6B847D19" w14:textId="77777777" w:rsidR="00E3434F" w:rsidRPr="004A0446" w:rsidRDefault="00E3434F" w:rsidP="00F3730A">
      <w:pPr>
        <w:ind w:left="1134" w:right="567"/>
        <w:jc w:val="both"/>
        <w:rPr>
          <w:rFonts w:ascii="Abadi" w:hAnsi="Abadi" w:cs="Arial"/>
          <w:i/>
          <w:iCs/>
          <w:sz w:val="21"/>
          <w:szCs w:val="21"/>
        </w:rPr>
      </w:pPr>
    </w:p>
    <w:p w14:paraId="54C019BF" w14:textId="77777777" w:rsidR="00E3434F" w:rsidRPr="004A0446" w:rsidRDefault="00E3434F" w:rsidP="00F3730A">
      <w:pPr>
        <w:ind w:left="1134" w:right="567"/>
        <w:jc w:val="both"/>
        <w:rPr>
          <w:rFonts w:ascii="Abadi" w:hAnsi="Abadi" w:cs="Arial"/>
          <w:i/>
          <w:iCs/>
          <w:sz w:val="21"/>
          <w:szCs w:val="21"/>
        </w:rPr>
      </w:pPr>
      <w:r w:rsidRPr="004A0446">
        <w:rPr>
          <w:rFonts w:ascii="Abadi" w:hAnsi="Abadi" w:cs="Arial"/>
          <w:b/>
          <w:bCs/>
          <w:i/>
          <w:iCs/>
          <w:sz w:val="21"/>
          <w:szCs w:val="21"/>
        </w:rPr>
        <w:t>IV.4</w:t>
      </w:r>
      <w:r w:rsidRPr="004A0446">
        <w:rPr>
          <w:rFonts w:ascii="Abadi" w:hAnsi="Abadi" w:cs="Arial"/>
          <w:i/>
          <w:iCs/>
          <w:sz w:val="21"/>
          <w:szCs w:val="21"/>
        </w:rPr>
        <w:t xml:space="preserve"> Se sugiere la incorporación previa del impacto presupuestario, a las iniciativas al momento de su presentación, a fin de estar en condición de analizar de manera más objetiva, completa, y apegada a los ordenamientos locales, las mismas.</w:t>
      </w:r>
    </w:p>
    <w:p w14:paraId="68A8A35A" w14:textId="77777777" w:rsidR="00E3434F" w:rsidRPr="004A0446" w:rsidRDefault="00E3434F" w:rsidP="00F3730A">
      <w:pPr>
        <w:ind w:left="1134" w:right="567"/>
        <w:jc w:val="both"/>
        <w:rPr>
          <w:rFonts w:ascii="Abadi" w:hAnsi="Abadi" w:cs="Arial"/>
          <w:i/>
          <w:iCs/>
          <w:sz w:val="21"/>
          <w:szCs w:val="21"/>
        </w:rPr>
      </w:pPr>
    </w:p>
    <w:p w14:paraId="288FB446" w14:textId="77777777" w:rsidR="00E3434F" w:rsidRPr="004A0446" w:rsidRDefault="00E3434F" w:rsidP="00F3730A">
      <w:pPr>
        <w:ind w:left="1134" w:right="567"/>
        <w:jc w:val="both"/>
        <w:rPr>
          <w:rFonts w:ascii="Abadi" w:hAnsi="Abadi" w:cs="Arial"/>
          <w:i/>
          <w:iCs/>
          <w:sz w:val="21"/>
          <w:szCs w:val="21"/>
        </w:rPr>
      </w:pPr>
      <w:r w:rsidRPr="004A0446">
        <w:rPr>
          <w:rFonts w:ascii="Abadi" w:hAnsi="Abadi" w:cs="Arial"/>
          <w:b/>
          <w:bCs/>
          <w:i/>
          <w:iCs/>
          <w:sz w:val="21"/>
          <w:szCs w:val="21"/>
        </w:rPr>
        <w:t>IV.5</w:t>
      </w:r>
      <w:r w:rsidRPr="004A0446">
        <w:rPr>
          <w:rFonts w:ascii="Abadi" w:hAnsi="Abadi" w:cs="Arial"/>
          <w:i/>
          <w:iCs/>
          <w:sz w:val="21"/>
          <w:szCs w:val="21"/>
        </w:rPr>
        <w:t xml:space="preserve"> Se considera que la iniciativa tiene un alcance limitado con respecto al Programa de Prevención y Atención a la Conducta Suicida que actualmente opera la Secretaría de Salud e Instituto de Salud Pública del Estado de Guanajuato.</w:t>
      </w:r>
    </w:p>
    <w:p w14:paraId="2C03AF95" w14:textId="77777777" w:rsidR="00E3434F" w:rsidRPr="004A0446" w:rsidRDefault="00E3434F" w:rsidP="00F3730A">
      <w:pPr>
        <w:ind w:right="27" w:firstLine="709"/>
        <w:jc w:val="both"/>
        <w:rPr>
          <w:rFonts w:ascii="Abadi" w:hAnsi="Abadi" w:cs="Arial"/>
          <w:i/>
          <w:iCs/>
          <w:sz w:val="21"/>
          <w:szCs w:val="21"/>
        </w:rPr>
      </w:pPr>
    </w:p>
    <w:p w14:paraId="2473ABEA" w14:textId="77777777" w:rsidR="00E3434F" w:rsidRPr="004A0446" w:rsidRDefault="00E3434F" w:rsidP="00F3730A">
      <w:pPr>
        <w:ind w:left="1134" w:right="27"/>
        <w:jc w:val="both"/>
        <w:rPr>
          <w:rFonts w:ascii="Abadi" w:hAnsi="Abadi" w:cs="Arial"/>
          <w:sz w:val="21"/>
          <w:szCs w:val="21"/>
        </w:rPr>
      </w:pPr>
      <w:r w:rsidRPr="004A0446">
        <w:rPr>
          <w:rFonts w:ascii="Abadi" w:hAnsi="Abadi" w:cs="Arial"/>
          <w:sz w:val="21"/>
          <w:szCs w:val="21"/>
        </w:rPr>
        <w:t>(…)</w:t>
      </w:r>
    </w:p>
    <w:p w14:paraId="0497001C" w14:textId="77777777" w:rsidR="00E3434F" w:rsidRPr="004A0446" w:rsidRDefault="00E3434F" w:rsidP="00F3730A">
      <w:pPr>
        <w:ind w:right="27" w:firstLine="709"/>
        <w:jc w:val="both"/>
        <w:rPr>
          <w:rFonts w:ascii="Abadi" w:hAnsi="Abadi" w:cs="Arial"/>
          <w:sz w:val="21"/>
          <w:szCs w:val="21"/>
        </w:rPr>
      </w:pPr>
    </w:p>
    <w:p w14:paraId="2FEBEC51" w14:textId="77777777" w:rsidR="00E3434F" w:rsidRPr="004A0446" w:rsidRDefault="00E3434F" w:rsidP="00F3730A">
      <w:pPr>
        <w:ind w:right="27" w:firstLine="567"/>
        <w:jc w:val="both"/>
        <w:rPr>
          <w:rFonts w:ascii="Abadi" w:hAnsi="Abadi" w:cs="Arial"/>
          <w:sz w:val="21"/>
          <w:szCs w:val="21"/>
        </w:rPr>
      </w:pPr>
      <w:r w:rsidRPr="004A0446">
        <w:rPr>
          <w:rFonts w:ascii="Abadi" w:hAnsi="Abadi" w:cs="Arial"/>
          <w:sz w:val="21"/>
          <w:szCs w:val="21"/>
        </w:rPr>
        <w:t xml:space="preserve">Opinión de la Secretaría de Seguridad Pública: </w:t>
      </w:r>
    </w:p>
    <w:p w14:paraId="08D5B778" w14:textId="77777777" w:rsidR="00E3434F" w:rsidRPr="004A0446" w:rsidRDefault="00E3434F" w:rsidP="00F3730A">
      <w:pPr>
        <w:ind w:right="132" w:firstLine="1134"/>
        <w:jc w:val="both"/>
        <w:rPr>
          <w:rFonts w:ascii="Abadi" w:hAnsi="Abadi" w:cs="Arial"/>
          <w:color w:val="1A1618"/>
          <w:sz w:val="21"/>
          <w:szCs w:val="21"/>
          <w:lang w:val="es-MX"/>
        </w:rPr>
      </w:pPr>
      <w:r w:rsidRPr="004A0446">
        <w:rPr>
          <w:rFonts w:ascii="Abadi" w:hAnsi="Abadi" w:cs="Arial"/>
          <w:color w:val="1A1618"/>
          <w:sz w:val="21"/>
          <w:szCs w:val="21"/>
          <w:lang w:val="es-MX"/>
        </w:rPr>
        <w:t>(…)</w:t>
      </w:r>
    </w:p>
    <w:p w14:paraId="09EC3A7B" w14:textId="77777777" w:rsidR="00E3434F" w:rsidRPr="004A0446" w:rsidRDefault="00E3434F" w:rsidP="00F3730A">
      <w:pPr>
        <w:ind w:right="132" w:firstLine="1134"/>
        <w:jc w:val="both"/>
        <w:rPr>
          <w:rFonts w:ascii="Abadi" w:hAnsi="Abadi" w:cs="Arial"/>
          <w:color w:val="1A1618"/>
          <w:sz w:val="21"/>
          <w:szCs w:val="21"/>
          <w:lang w:val="es-MX"/>
        </w:rPr>
      </w:pPr>
    </w:p>
    <w:p w14:paraId="468C49E3" w14:textId="77777777" w:rsidR="00E3434F" w:rsidRPr="004A0446" w:rsidRDefault="00E3434F" w:rsidP="00F3730A">
      <w:pPr>
        <w:ind w:left="1134" w:right="567" w:firstLine="567"/>
        <w:jc w:val="both"/>
        <w:rPr>
          <w:rFonts w:ascii="Abadi" w:hAnsi="Abadi" w:cs="Arial"/>
          <w:i/>
          <w:iCs/>
          <w:color w:val="2F2D2F"/>
          <w:sz w:val="21"/>
          <w:szCs w:val="21"/>
          <w:lang w:val="es-MX"/>
        </w:rPr>
      </w:pPr>
      <w:r w:rsidRPr="004A0446">
        <w:rPr>
          <w:rFonts w:ascii="Abadi" w:hAnsi="Abadi" w:cs="Arial"/>
          <w:i/>
          <w:iCs/>
          <w:color w:val="1A1618"/>
          <w:sz w:val="21"/>
          <w:szCs w:val="21"/>
          <w:lang w:val="es-MX"/>
        </w:rPr>
        <w:t>Que</w:t>
      </w:r>
      <w:r w:rsidRPr="004A0446">
        <w:rPr>
          <w:rFonts w:ascii="Abadi" w:hAnsi="Abadi" w:cs="Arial"/>
          <w:i/>
          <w:iCs/>
          <w:color w:val="1A1618"/>
          <w:spacing w:val="1"/>
          <w:sz w:val="21"/>
          <w:szCs w:val="21"/>
          <w:lang w:val="es-MX"/>
        </w:rPr>
        <w:t xml:space="preserve"> </w:t>
      </w:r>
      <w:r w:rsidRPr="004A0446">
        <w:rPr>
          <w:rFonts w:ascii="Abadi" w:hAnsi="Abadi" w:cs="Arial"/>
          <w:i/>
          <w:iCs/>
          <w:color w:val="1A1618"/>
          <w:sz w:val="21"/>
          <w:szCs w:val="21"/>
          <w:lang w:val="es-MX"/>
        </w:rPr>
        <w:t>derivado</w:t>
      </w:r>
      <w:r w:rsidRPr="004A0446">
        <w:rPr>
          <w:rFonts w:ascii="Abadi" w:hAnsi="Abadi" w:cs="Arial"/>
          <w:i/>
          <w:iCs/>
          <w:color w:val="1A1618"/>
          <w:spacing w:val="1"/>
          <w:sz w:val="21"/>
          <w:szCs w:val="21"/>
          <w:lang w:val="es-MX"/>
        </w:rPr>
        <w:t xml:space="preserve"> </w:t>
      </w:r>
      <w:r w:rsidRPr="004A0446">
        <w:rPr>
          <w:rFonts w:ascii="Abadi" w:hAnsi="Abadi" w:cs="Arial"/>
          <w:i/>
          <w:iCs/>
          <w:color w:val="1A1618"/>
          <w:sz w:val="21"/>
          <w:szCs w:val="21"/>
          <w:lang w:val="es-MX"/>
        </w:rPr>
        <w:t>del</w:t>
      </w:r>
      <w:r w:rsidRPr="004A0446">
        <w:rPr>
          <w:rFonts w:ascii="Abadi" w:hAnsi="Abadi" w:cs="Arial"/>
          <w:i/>
          <w:iCs/>
          <w:color w:val="1A1618"/>
          <w:spacing w:val="1"/>
          <w:sz w:val="21"/>
          <w:szCs w:val="21"/>
          <w:lang w:val="es-MX"/>
        </w:rPr>
        <w:t xml:space="preserve"> </w:t>
      </w:r>
      <w:r w:rsidRPr="004A0446">
        <w:rPr>
          <w:rFonts w:ascii="Abadi" w:hAnsi="Abadi" w:cs="Arial"/>
          <w:i/>
          <w:iCs/>
          <w:color w:val="1A1618"/>
          <w:sz w:val="21"/>
          <w:szCs w:val="21"/>
          <w:lang w:val="es-MX"/>
        </w:rPr>
        <w:t>análisis</w:t>
      </w:r>
      <w:r w:rsidRPr="004A0446">
        <w:rPr>
          <w:rFonts w:ascii="Abadi" w:hAnsi="Abadi" w:cs="Arial"/>
          <w:i/>
          <w:iCs/>
          <w:color w:val="1A1618"/>
          <w:spacing w:val="1"/>
          <w:sz w:val="21"/>
          <w:szCs w:val="21"/>
          <w:lang w:val="es-MX"/>
        </w:rPr>
        <w:t xml:space="preserve"> </w:t>
      </w:r>
      <w:r w:rsidRPr="004A0446">
        <w:rPr>
          <w:rFonts w:ascii="Abadi" w:hAnsi="Abadi" w:cs="Arial"/>
          <w:i/>
          <w:iCs/>
          <w:color w:val="1A1618"/>
          <w:sz w:val="21"/>
          <w:szCs w:val="21"/>
          <w:lang w:val="es-MX"/>
        </w:rPr>
        <w:t>jurídico</w:t>
      </w:r>
      <w:r w:rsidRPr="004A0446">
        <w:rPr>
          <w:rFonts w:ascii="Abadi" w:hAnsi="Abadi" w:cs="Arial"/>
          <w:i/>
          <w:iCs/>
          <w:color w:val="1A1618"/>
          <w:spacing w:val="1"/>
          <w:sz w:val="21"/>
          <w:szCs w:val="21"/>
          <w:lang w:val="es-MX"/>
        </w:rPr>
        <w:t xml:space="preserve"> </w:t>
      </w:r>
      <w:r w:rsidRPr="004A0446">
        <w:rPr>
          <w:rFonts w:ascii="Abadi" w:hAnsi="Abadi" w:cs="Arial"/>
          <w:i/>
          <w:iCs/>
          <w:color w:val="1A1618"/>
          <w:sz w:val="21"/>
          <w:szCs w:val="21"/>
          <w:lang w:val="es-MX"/>
        </w:rPr>
        <w:t>realizado</w:t>
      </w:r>
      <w:r w:rsidRPr="004A0446">
        <w:rPr>
          <w:rFonts w:ascii="Abadi" w:hAnsi="Abadi" w:cs="Arial"/>
          <w:i/>
          <w:iCs/>
          <w:color w:val="1A1618"/>
          <w:spacing w:val="1"/>
          <w:sz w:val="21"/>
          <w:szCs w:val="21"/>
          <w:lang w:val="es-MX"/>
        </w:rPr>
        <w:t xml:space="preserve"> </w:t>
      </w:r>
      <w:r w:rsidRPr="004A0446">
        <w:rPr>
          <w:rFonts w:ascii="Abadi" w:hAnsi="Abadi" w:cs="Arial"/>
          <w:i/>
          <w:iCs/>
          <w:color w:val="1A1618"/>
          <w:sz w:val="21"/>
          <w:szCs w:val="21"/>
          <w:lang w:val="es-MX"/>
        </w:rPr>
        <w:t>a</w:t>
      </w:r>
      <w:r w:rsidRPr="004A0446">
        <w:rPr>
          <w:rFonts w:ascii="Abadi" w:hAnsi="Abadi" w:cs="Arial"/>
          <w:i/>
          <w:iCs/>
          <w:color w:val="1A1618"/>
          <w:spacing w:val="1"/>
          <w:sz w:val="21"/>
          <w:szCs w:val="21"/>
          <w:lang w:val="es-MX"/>
        </w:rPr>
        <w:t xml:space="preserve"> </w:t>
      </w:r>
      <w:r w:rsidRPr="004A0446">
        <w:rPr>
          <w:rFonts w:ascii="Abadi" w:hAnsi="Abadi" w:cs="Arial"/>
          <w:i/>
          <w:iCs/>
          <w:color w:val="2F2D2F"/>
          <w:sz w:val="21"/>
          <w:szCs w:val="21"/>
          <w:lang w:val="es-MX"/>
        </w:rPr>
        <w:t>la</w:t>
      </w:r>
      <w:r w:rsidRPr="004A0446">
        <w:rPr>
          <w:rFonts w:ascii="Abadi" w:hAnsi="Abadi" w:cs="Arial"/>
          <w:i/>
          <w:iCs/>
          <w:color w:val="2F2D2F"/>
          <w:spacing w:val="1"/>
          <w:sz w:val="21"/>
          <w:szCs w:val="21"/>
          <w:lang w:val="es-MX"/>
        </w:rPr>
        <w:t xml:space="preserve"> </w:t>
      </w:r>
      <w:r w:rsidRPr="004A0446">
        <w:rPr>
          <w:rFonts w:ascii="Abadi" w:hAnsi="Abadi" w:cs="Arial"/>
          <w:i/>
          <w:iCs/>
          <w:color w:val="1A1618"/>
          <w:sz w:val="21"/>
          <w:szCs w:val="21"/>
          <w:lang w:val="es-MX"/>
        </w:rPr>
        <w:t>documental</w:t>
      </w:r>
      <w:r w:rsidRPr="004A0446">
        <w:rPr>
          <w:rFonts w:ascii="Abadi" w:hAnsi="Abadi" w:cs="Arial"/>
          <w:i/>
          <w:iCs/>
          <w:color w:val="1A1618"/>
          <w:spacing w:val="52"/>
          <w:sz w:val="21"/>
          <w:szCs w:val="21"/>
          <w:lang w:val="es-MX"/>
        </w:rPr>
        <w:t xml:space="preserve"> </w:t>
      </w:r>
      <w:r w:rsidRPr="004A0446">
        <w:rPr>
          <w:rFonts w:ascii="Abadi" w:hAnsi="Abadi" w:cs="Arial"/>
          <w:i/>
          <w:iCs/>
          <w:color w:val="1A1618"/>
          <w:sz w:val="21"/>
          <w:szCs w:val="21"/>
          <w:lang w:val="es-MX"/>
        </w:rPr>
        <w:t>recibida,</w:t>
      </w:r>
      <w:r w:rsidRPr="004A0446">
        <w:rPr>
          <w:rFonts w:ascii="Abadi" w:hAnsi="Abadi" w:cs="Arial"/>
          <w:i/>
          <w:iCs/>
          <w:color w:val="1A1618"/>
          <w:spacing w:val="53"/>
          <w:sz w:val="21"/>
          <w:szCs w:val="21"/>
          <w:lang w:val="es-MX"/>
        </w:rPr>
        <w:t xml:space="preserve"> </w:t>
      </w:r>
      <w:r w:rsidRPr="004A0446">
        <w:rPr>
          <w:rFonts w:ascii="Abadi" w:hAnsi="Abadi" w:cs="Arial"/>
          <w:i/>
          <w:iCs/>
          <w:color w:val="1A1618"/>
          <w:sz w:val="21"/>
          <w:szCs w:val="21"/>
          <w:lang w:val="es-MX"/>
        </w:rPr>
        <w:t>se observa</w:t>
      </w:r>
      <w:r w:rsidRPr="004A0446">
        <w:rPr>
          <w:rFonts w:ascii="Abadi" w:hAnsi="Abadi" w:cs="Arial"/>
          <w:i/>
          <w:iCs/>
          <w:color w:val="1A1618"/>
          <w:spacing w:val="53"/>
          <w:sz w:val="21"/>
          <w:szCs w:val="21"/>
          <w:lang w:val="es-MX"/>
        </w:rPr>
        <w:t xml:space="preserve"> </w:t>
      </w:r>
      <w:r w:rsidRPr="004A0446">
        <w:rPr>
          <w:rFonts w:ascii="Abadi" w:hAnsi="Abadi" w:cs="Arial"/>
          <w:i/>
          <w:iCs/>
          <w:color w:val="1A1618"/>
          <w:sz w:val="21"/>
          <w:szCs w:val="21"/>
          <w:lang w:val="es-MX"/>
        </w:rPr>
        <w:t>que no hay</w:t>
      </w:r>
      <w:r w:rsidRPr="004A0446">
        <w:rPr>
          <w:rFonts w:ascii="Abadi" w:hAnsi="Abadi" w:cs="Arial"/>
          <w:i/>
          <w:iCs/>
          <w:color w:val="1A1618"/>
          <w:spacing w:val="53"/>
          <w:sz w:val="21"/>
          <w:szCs w:val="21"/>
          <w:lang w:val="es-MX"/>
        </w:rPr>
        <w:t xml:space="preserve"> </w:t>
      </w:r>
      <w:r w:rsidRPr="004A0446">
        <w:rPr>
          <w:rFonts w:ascii="Abadi" w:hAnsi="Abadi" w:cs="Arial"/>
          <w:i/>
          <w:iCs/>
          <w:color w:val="1A1618"/>
          <w:sz w:val="21"/>
          <w:szCs w:val="21"/>
          <w:lang w:val="es-MX"/>
        </w:rPr>
        <w:t>una</w:t>
      </w:r>
      <w:r w:rsidRPr="004A0446">
        <w:rPr>
          <w:rFonts w:ascii="Abadi" w:hAnsi="Abadi" w:cs="Arial"/>
          <w:i/>
          <w:iCs/>
          <w:color w:val="1A1618"/>
          <w:spacing w:val="1"/>
          <w:sz w:val="21"/>
          <w:szCs w:val="21"/>
          <w:lang w:val="es-MX"/>
        </w:rPr>
        <w:t xml:space="preserve"> </w:t>
      </w:r>
      <w:r w:rsidRPr="004A0446">
        <w:rPr>
          <w:rFonts w:ascii="Abadi" w:hAnsi="Abadi" w:cs="Arial"/>
          <w:i/>
          <w:iCs/>
          <w:color w:val="1A1618"/>
          <w:sz w:val="21"/>
          <w:szCs w:val="21"/>
          <w:lang w:val="es-MX"/>
        </w:rPr>
        <w:t>armonía</w:t>
      </w:r>
      <w:r w:rsidRPr="004A0446">
        <w:rPr>
          <w:rFonts w:ascii="Abadi" w:hAnsi="Abadi" w:cs="Arial"/>
          <w:i/>
          <w:iCs/>
          <w:color w:val="1A1618"/>
          <w:spacing w:val="1"/>
          <w:sz w:val="21"/>
          <w:szCs w:val="21"/>
          <w:lang w:val="es-MX"/>
        </w:rPr>
        <w:t xml:space="preserve"> </w:t>
      </w:r>
      <w:r w:rsidRPr="004A0446">
        <w:rPr>
          <w:rFonts w:ascii="Abadi" w:hAnsi="Abadi" w:cs="Arial"/>
          <w:i/>
          <w:iCs/>
          <w:color w:val="1A1618"/>
          <w:sz w:val="21"/>
          <w:szCs w:val="21"/>
          <w:lang w:val="es-MX"/>
        </w:rPr>
        <w:t>a</w:t>
      </w:r>
      <w:r w:rsidRPr="004A0446">
        <w:rPr>
          <w:rFonts w:ascii="Abadi" w:hAnsi="Abadi" w:cs="Arial"/>
          <w:i/>
          <w:iCs/>
          <w:color w:val="1A1618"/>
          <w:spacing w:val="52"/>
          <w:sz w:val="21"/>
          <w:szCs w:val="21"/>
          <w:lang w:val="es-MX"/>
        </w:rPr>
        <w:t xml:space="preserve"> </w:t>
      </w:r>
      <w:r w:rsidRPr="004A0446">
        <w:rPr>
          <w:rFonts w:ascii="Abadi" w:hAnsi="Abadi" w:cs="Arial"/>
          <w:i/>
          <w:iCs/>
          <w:color w:val="1A1618"/>
          <w:sz w:val="21"/>
          <w:szCs w:val="21"/>
          <w:lang w:val="es-MX"/>
        </w:rPr>
        <w:t>lo largo del cuerpo del texto</w:t>
      </w:r>
      <w:r w:rsidRPr="004A0446">
        <w:rPr>
          <w:rFonts w:ascii="Abadi" w:hAnsi="Abadi" w:cs="Arial"/>
          <w:i/>
          <w:iCs/>
          <w:color w:val="1A1618"/>
          <w:spacing w:val="53"/>
          <w:sz w:val="21"/>
          <w:szCs w:val="21"/>
          <w:lang w:val="es-MX"/>
        </w:rPr>
        <w:t xml:space="preserve"> </w:t>
      </w:r>
      <w:r w:rsidRPr="004A0446">
        <w:rPr>
          <w:rFonts w:ascii="Abadi" w:hAnsi="Abadi" w:cs="Arial"/>
          <w:i/>
          <w:iCs/>
          <w:color w:val="2F2D2F"/>
          <w:sz w:val="21"/>
          <w:szCs w:val="21"/>
          <w:lang w:val="es-MX"/>
        </w:rPr>
        <w:t>legislativo,</w:t>
      </w:r>
      <w:r w:rsidRPr="004A0446">
        <w:rPr>
          <w:rFonts w:ascii="Abadi" w:hAnsi="Abadi" w:cs="Arial"/>
          <w:i/>
          <w:iCs/>
          <w:color w:val="2F2D2F"/>
          <w:spacing w:val="53"/>
          <w:sz w:val="21"/>
          <w:szCs w:val="21"/>
          <w:lang w:val="es-MX"/>
        </w:rPr>
        <w:t xml:space="preserve"> </w:t>
      </w:r>
      <w:r w:rsidRPr="004A0446">
        <w:rPr>
          <w:rFonts w:ascii="Abadi" w:hAnsi="Abadi" w:cs="Arial"/>
          <w:i/>
          <w:iCs/>
          <w:color w:val="1A1618"/>
          <w:sz w:val="21"/>
          <w:szCs w:val="21"/>
          <w:lang w:val="es-MX"/>
        </w:rPr>
        <w:t>ya que en ocasiones</w:t>
      </w:r>
      <w:r w:rsidRPr="004A0446">
        <w:rPr>
          <w:rFonts w:ascii="Abadi" w:hAnsi="Abadi" w:cs="Arial"/>
          <w:i/>
          <w:iCs/>
          <w:color w:val="1A1618"/>
          <w:spacing w:val="53"/>
          <w:sz w:val="21"/>
          <w:szCs w:val="21"/>
          <w:lang w:val="es-MX"/>
        </w:rPr>
        <w:t xml:space="preserve"> </w:t>
      </w:r>
      <w:r w:rsidRPr="004A0446">
        <w:rPr>
          <w:rFonts w:ascii="Abadi" w:hAnsi="Abadi" w:cs="Arial"/>
          <w:i/>
          <w:iCs/>
          <w:color w:val="1A1618"/>
          <w:sz w:val="21"/>
          <w:szCs w:val="21"/>
          <w:lang w:val="es-MX"/>
        </w:rPr>
        <w:t>se hace uso del lenguaje incluyente,</w:t>
      </w:r>
      <w:r w:rsidRPr="004A0446">
        <w:rPr>
          <w:rFonts w:ascii="Abadi" w:hAnsi="Abadi" w:cs="Arial"/>
          <w:i/>
          <w:iCs/>
          <w:color w:val="1A1618"/>
          <w:spacing w:val="52"/>
          <w:sz w:val="21"/>
          <w:szCs w:val="21"/>
          <w:lang w:val="es-MX"/>
        </w:rPr>
        <w:t xml:space="preserve"> </w:t>
      </w:r>
      <w:r w:rsidRPr="004A0446">
        <w:rPr>
          <w:rFonts w:ascii="Abadi" w:hAnsi="Abadi" w:cs="Arial"/>
          <w:i/>
          <w:iCs/>
          <w:color w:val="1A1618"/>
          <w:sz w:val="21"/>
          <w:szCs w:val="21"/>
          <w:lang w:val="es-MX"/>
        </w:rPr>
        <w:t>y</w:t>
      </w:r>
      <w:r w:rsidRPr="004A0446">
        <w:rPr>
          <w:rFonts w:ascii="Abadi" w:hAnsi="Abadi" w:cs="Arial"/>
          <w:i/>
          <w:iCs/>
          <w:color w:val="1A1618"/>
          <w:spacing w:val="1"/>
          <w:sz w:val="21"/>
          <w:szCs w:val="21"/>
          <w:lang w:val="es-MX"/>
        </w:rPr>
        <w:t xml:space="preserve"> </w:t>
      </w:r>
      <w:r w:rsidRPr="004A0446">
        <w:rPr>
          <w:rFonts w:ascii="Abadi" w:hAnsi="Abadi" w:cs="Arial"/>
          <w:i/>
          <w:iCs/>
          <w:color w:val="1A1618"/>
          <w:sz w:val="21"/>
          <w:szCs w:val="21"/>
          <w:lang w:val="es-MX"/>
        </w:rPr>
        <w:t>en otras ocasiones no se hace uso del mismo. Se sugiere utilizar las palabras</w:t>
      </w:r>
      <w:r w:rsidRPr="004A0446">
        <w:rPr>
          <w:rFonts w:ascii="Abadi" w:hAnsi="Abadi" w:cs="Arial"/>
          <w:i/>
          <w:iCs/>
          <w:color w:val="1A1618"/>
          <w:spacing w:val="52"/>
          <w:sz w:val="21"/>
          <w:szCs w:val="21"/>
          <w:lang w:val="es-MX"/>
        </w:rPr>
        <w:t xml:space="preserve"> </w:t>
      </w:r>
      <w:r w:rsidRPr="004A0446">
        <w:rPr>
          <w:rFonts w:ascii="Abadi" w:hAnsi="Abadi" w:cs="Arial"/>
          <w:i/>
          <w:iCs/>
          <w:color w:val="1A1618"/>
          <w:sz w:val="21"/>
          <w:szCs w:val="21"/>
          <w:lang w:val="es-MX"/>
        </w:rPr>
        <w:t>“la persona titular" y minimizar el</w:t>
      </w:r>
      <w:r w:rsidRPr="004A0446">
        <w:rPr>
          <w:rFonts w:ascii="Abadi" w:hAnsi="Abadi" w:cs="Arial"/>
          <w:i/>
          <w:iCs/>
          <w:color w:val="1A1618"/>
          <w:spacing w:val="1"/>
          <w:sz w:val="21"/>
          <w:szCs w:val="21"/>
          <w:lang w:val="es-MX"/>
        </w:rPr>
        <w:t xml:space="preserve"> </w:t>
      </w:r>
      <w:r w:rsidRPr="004A0446">
        <w:rPr>
          <w:rFonts w:ascii="Abadi" w:hAnsi="Abadi" w:cs="Arial"/>
          <w:i/>
          <w:iCs/>
          <w:color w:val="1A1618"/>
          <w:sz w:val="21"/>
          <w:szCs w:val="21"/>
          <w:lang w:val="es-MX"/>
        </w:rPr>
        <w:t xml:space="preserve">uso del artículo determinado “el”, a efecto de que </w:t>
      </w:r>
      <w:r w:rsidRPr="004A0446">
        <w:rPr>
          <w:rFonts w:ascii="Abadi" w:hAnsi="Abadi" w:cs="Arial"/>
          <w:i/>
          <w:iCs/>
          <w:color w:val="2F2D2F"/>
          <w:sz w:val="21"/>
          <w:szCs w:val="21"/>
          <w:lang w:val="es-MX"/>
        </w:rPr>
        <w:t xml:space="preserve">no </w:t>
      </w:r>
      <w:r w:rsidRPr="004A0446">
        <w:rPr>
          <w:rFonts w:ascii="Abadi" w:hAnsi="Abadi" w:cs="Arial"/>
          <w:i/>
          <w:iCs/>
          <w:color w:val="1A1618"/>
          <w:sz w:val="21"/>
          <w:szCs w:val="21"/>
          <w:lang w:val="es-MX"/>
        </w:rPr>
        <w:t xml:space="preserve">se caiga en el llamado masculino genérico e </w:t>
      </w:r>
      <w:r w:rsidRPr="004A0446">
        <w:rPr>
          <w:rFonts w:ascii="Abadi" w:hAnsi="Abadi" w:cs="Arial"/>
          <w:i/>
          <w:iCs/>
          <w:color w:val="2F2D2F"/>
          <w:sz w:val="21"/>
          <w:szCs w:val="21"/>
          <w:lang w:val="es-MX"/>
        </w:rPr>
        <w:t xml:space="preserve">ir </w:t>
      </w:r>
      <w:r w:rsidRPr="004A0446">
        <w:rPr>
          <w:rFonts w:ascii="Abadi" w:hAnsi="Abadi" w:cs="Arial"/>
          <w:i/>
          <w:iCs/>
          <w:color w:val="1A1618"/>
          <w:sz w:val="21"/>
          <w:szCs w:val="21"/>
          <w:lang w:val="es-MX"/>
        </w:rPr>
        <w:t>acorde a la</w:t>
      </w:r>
      <w:r w:rsidRPr="004A0446">
        <w:rPr>
          <w:rFonts w:ascii="Abadi" w:hAnsi="Abadi" w:cs="Arial"/>
          <w:i/>
          <w:iCs/>
          <w:color w:val="1A1618"/>
          <w:spacing w:val="1"/>
          <w:sz w:val="21"/>
          <w:szCs w:val="21"/>
          <w:lang w:val="es-MX"/>
        </w:rPr>
        <w:t xml:space="preserve"> </w:t>
      </w:r>
      <w:r w:rsidRPr="004A0446">
        <w:rPr>
          <w:rFonts w:ascii="Abadi" w:hAnsi="Abadi" w:cs="Arial"/>
          <w:i/>
          <w:iCs/>
          <w:color w:val="1A1618"/>
          <w:sz w:val="21"/>
          <w:szCs w:val="21"/>
          <w:lang w:val="es-MX"/>
        </w:rPr>
        <w:t>técnica</w:t>
      </w:r>
      <w:r w:rsidRPr="004A0446">
        <w:rPr>
          <w:rFonts w:ascii="Abadi" w:hAnsi="Abadi" w:cs="Arial"/>
          <w:i/>
          <w:iCs/>
          <w:color w:val="1A1618"/>
          <w:spacing w:val="17"/>
          <w:sz w:val="21"/>
          <w:szCs w:val="21"/>
          <w:lang w:val="es-MX"/>
        </w:rPr>
        <w:t xml:space="preserve"> </w:t>
      </w:r>
      <w:r w:rsidRPr="004A0446">
        <w:rPr>
          <w:rFonts w:ascii="Abadi" w:hAnsi="Abadi" w:cs="Arial"/>
          <w:i/>
          <w:iCs/>
          <w:color w:val="1A1618"/>
          <w:sz w:val="21"/>
          <w:szCs w:val="21"/>
          <w:lang w:val="es-MX"/>
        </w:rPr>
        <w:t>legislativa</w:t>
      </w:r>
      <w:r w:rsidRPr="004A0446">
        <w:rPr>
          <w:rFonts w:ascii="Abadi" w:hAnsi="Abadi" w:cs="Arial"/>
          <w:i/>
          <w:iCs/>
          <w:color w:val="1A1618"/>
          <w:spacing w:val="15"/>
          <w:sz w:val="21"/>
          <w:szCs w:val="21"/>
          <w:lang w:val="es-MX"/>
        </w:rPr>
        <w:t xml:space="preserve"> </w:t>
      </w:r>
      <w:r w:rsidRPr="004A0446">
        <w:rPr>
          <w:rFonts w:ascii="Abadi" w:hAnsi="Abadi" w:cs="Arial"/>
          <w:i/>
          <w:iCs/>
          <w:color w:val="1A1618"/>
          <w:sz w:val="21"/>
          <w:szCs w:val="21"/>
          <w:lang w:val="es-MX"/>
        </w:rPr>
        <w:t>utilizada</w:t>
      </w:r>
      <w:r w:rsidRPr="004A0446">
        <w:rPr>
          <w:rFonts w:ascii="Abadi" w:hAnsi="Abadi" w:cs="Arial"/>
          <w:i/>
          <w:iCs/>
          <w:color w:val="1A1618"/>
          <w:spacing w:val="13"/>
          <w:sz w:val="21"/>
          <w:szCs w:val="21"/>
          <w:lang w:val="es-MX"/>
        </w:rPr>
        <w:t xml:space="preserve"> </w:t>
      </w:r>
      <w:r w:rsidRPr="004A0446">
        <w:rPr>
          <w:rFonts w:ascii="Abadi" w:hAnsi="Abadi" w:cs="Arial"/>
          <w:i/>
          <w:iCs/>
          <w:color w:val="1A1618"/>
          <w:sz w:val="21"/>
          <w:szCs w:val="21"/>
          <w:lang w:val="es-MX"/>
        </w:rPr>
        <w:t>en</w:t>
      </w:r>
      <w:r w:rsidRPr="004A0446">
        <w:rPr>
          <w:rFonts w:ascii="Abadi" w:hAnsi="Abadi" w:cs="Arial"/>
          <w:i/>
          <w:iCs/>
          <w:color w:val="1A1618"/>
          <w:spacing w:val="3"/>
          <w:sz w:val="21"/>
          <w:szCs w:val="21"/>
          <w:lang w:val="es-MX"/>
        </w:rPr>
        <w:t xml:space="preserve"> </w:t>
      </w:r>
      <w:r w:rsidRPr="004A0446">
        <w:rPr>
          <w:rFonts w:ascii="Abadi" w:hAnsi="Abadi" w:cs="Arial"/>
          <w:i/>
          <w:iCs/>
          <w:color w:val="1A1618"/>
          <w:sz w:val="21"/>
          <w:szCs w:val="21"/>
          <w:lang w:val="es-MX"/>
        </w:rPr>
        <w:t>Leyes</w:t>
      </w:r>
      <w:r w:rsidRPr="004A0446">
        <w:rPr>
          <w:rFonts w:ascii="Abadi" w:hAnsi="Abadi" w:cs="Arial"/>
          <w:i/>
          <w:iCs/>
          <w:color w:val="1A1618"/>
          <w:spacing w:val="1"/>
          <w:sz w:val="21"/>
          <w:szCs w:val="21"/>
          <w:lang w:val="es-MX"/>
        </w:rPr>
        <w:t xml:space="preserve"> </w:t>
      </w:r>
      <w:r w:rsidRPr="004A0446">
        <w:rPr>
          <w:rFonts w:ascii="Abadi" w:hAnsi="Abadi" w:cs="Arial"/>
          <w:i/>
          <w:iCs/>
          <w:color w:val="1A1618"/>
          <w:sz w:val="21"/>
          <w:szCs w:val="21"/>
          <w:lang w:val="es-MX"/>
        </w:rPr>
        <w:t>recientes,</w:t>
      </w:r>
      <w:r w:rsidRPr="004A0446">
        <w:rPr>
          <w:rFonts w:ascii="Abadi" w:hAnsi="Abadi" w:cs="Arial"/>
          <w:i/>
          <w:iCs/>
          <w:color w:val="1A1618"/>
          <w:spacing w:val="10"/>
          <w:sz w:val="21"/>
          <w:szCs w:val="21"/>
          <w:lang w:val="es-MX"/>
        </w:rPr>
        <w:t xml:space="preserve"> </w:t>
      </w:r>
      <w:r w:rsidRPr="004A0446">
        <w:rPr>
          <w:rFonts w:ascii="Abadi" w:hAnsi="Abadi" w:cs="Arial"/>
          <w:i/>
          <w:iCs/>
          <w:color w:val="1A1618"/>
          <w:sz w:val="21"/>
          <w:szCs w:val="21"/>
          <w:lang w:val="es-MX"/>
        </w:rPr>
        <w:t>así</w:t>
      </w:r>
      <w:r w:rsidRPr="004A0446">
        <w:rPr>
          <w:rFonts w:ascii="Abadi" w:hAnsi="Abadi" w:cs="Arial"/>
          <w:i/>
          <w:iCs/>
          <w:color w:val="1A1618"/>
          <w:spacing w:val="-6"/>
          <w:sz w:val="21"/>
          <w:szCs w:val="21"/>
          <w:lang w:val="es-MX"/>
        </w:rPr>
        <w:t xml:space="preserve"> </w:t>
      </w:r>
      <w:r w:rsidRPr="004A0446">
        <w:rPr>
          <w:rFonts w:ascii="Abadi" w:hAnsi="Abadi" w:cs="Arial"/>
          <w:i/>
          <w:iCs/>
          <w:color w:val="1A1618"/>
          <w:sz w:val="21"/>
          <w:szCs w:val="21"/>
          <w:lang w:val="es-MX"/>
        </w:rPr>
        <w:t>como</w:t>
      </w:r>
      <w:r w:rsidRPr="004A0446">
        <w:rPr>
          <w:rFonts w:ascii="Abadi" w:hAnsi="Abadi" w:cs="Arial"/>
          <w:i/>
          <w:iCs/>
          <w:color w:val="1A1618"/>
          <w:spacing w:val="7"/>
          <w:sz w:val="21"/>
          <w:szCs w:val="21"/>
          <w:lang w:val="es-MX"/>
        </w:rPr>
        <w:t xml:space="preserve"> </w:t>
      </w:r>
      <w:r w:rsidRPr="004A0446">
        <w:rPr>
          <w:rFonts w:ascii="Abadi" w:hAnsi="Abadi" w:cs="Arial"/>
          <w:i/>
          <w:iCs/>
          <w:color w:val="2F2D2F"/>
          <w:sz w:val="21"/>
          <w:szCs w:val="21"/>
          <w:lang w:val="es-MX"/>
        </w:rPr>
        <w:t>la</w:t>
      </w:r>
      <w:r w:rsidRPr="004A0446">
        <w:rPr>
          <w:rFonts w:ascii="Abadi" w:hAnsi="Abadi" w:cs="Arial"/>
          <w:i/>
          <w:iCs/>
          <w:color w:val="2F2D2F"/>
          <w:spacing w:val="6"/>
          <w:sz w:val="21"/>
          <w:szCs w:val="21"/>
          <w:lang w:val="es-MX"/>
        </w:rPr>
        <w:t xml:space="preserve"> </w:t>
      </w:r>
      <w:r w:rsidRPr="004A0446">
        <w:rPr>
          <w:rFonts w:ascii="Abadi" w:hAnsi="Abadi" w:cs="Arial"/>
          <w:i/>
          <w:iCs/>
          <w:color w:val="1A1618"/>
          <w:sz w:val="21"/>
          <w:szCs w:val="21"/>
          <w:lang w:val="es-MX"/>
        </w:rPr>
        <w:t>tendencia</w:t>
      </w:r>
      <w:r w:rsidRPr="004A0446">
        <w:rPr>
          <w:rFonts w:ascii="Abadi" w:hAnsi="Abadi" w:cs="Arial"/>
          <w:i/>
          <w:iCs/>
          <w:color w:val="1A1618"/>
          <w:spacing w:val="19"/>
          <w:sz w:val="21"/>
          <w:szCs w:val="21"/>
          <w:lang w:val="es-MX"/>
        </w:rPr>
        <w:t xml:space="preserve"> </w:t>
      </w:r>
      <w:r w:rsidRPr="004A0446">
        <w:rPr>
          <w:rFonts w:ascii="Abadi" w:hAnsi="Abadi" w:cs="Arial"/>
          <w:i/>
          <w:iCs/>
          <w:color w:val="1A1618"/>
          <w:sz w:val="21"/>
          <w:szCs w:val="21"/>
          <w:lang w:val="es-MX"/>
        </w:rPr>
        <w:t>global</w:t>
      </w:r>
      <w:r w:rsidRPr="004A0446">
        <w:rPr>
          <w:rFonts w:ascii="Abadi" w:hAnsi="Abadi" w:cs="Arial"/>
          <w:i/>
          <w:iCs/>
          <w:color w:val="1A1618"/>
          <w:spacing w:val="6"/>
          <w:sz w:val="21"/>
          <w:szCs w:val="21"/>
          <w:lang w:val="es-MX"/>
        </w:rPr>
        <w:t xml:space="preserve"> </w:t>
      </w:r>
      <w:r w:rsidRPr="004A0446">
        <w:rPr>
          <w:rFonts w:ascii="Abadi" w:hAnsi="Abadi" w:cs="Arial"/>
          <w:i/>
          <w:iCs/>
          <w:color w:val="1A1618"/>
          <w:sz w:val="21"/>
          <w:szCs w:val="21"/>
          <w:lang w:val="es-MX"/>
        </w:rPr>
        <w:t>hacia</w:t>
      </w:r>
      <w:r w:rsidRPr="004A0446">
        <w:rPr>
          <w:rFonts w:ascii="Abadi" w:hAnsi="Abadi" w:cs="Arial"/>
          <w:i/>
          <w:iCs/>
          <w:color w:val="1A1618"/>
          <w:spacing w:val="8"/>
          <w:sz w:val="21"/>
          <w:szCs w:val="21"/>
          <w:lang w:val="es-MX"/>
        </w:rPr>
        <w:t xml:space="preserve"> </w:t>
      </w:r>
      <w:r w:rsidRPr="004A0446">
        <w:rPr>
          <w:rFonts w:ascii="Abadi" w:hAnsi="Abadi" w:cs="Arial"/>
          <w:i/>
          <w:iCs/>
          <w:color w:val="2F2D2F"/>
          <w:sz w:val="21"/>
          <w:szCs w:val="21"/>
          <w:lang w:val="es-MX"/>
        </w:rPr>
        <w:t>la</w:t>
      </w:r>
      <w:r w:rsidRPr="004A0446">
        <w:rPr>
          <w:rFonts w:ascii="Abadi" w:hAnsi="Abadi" w:cs="Arial"/>
          <w:i/>
          <w:iCs/>
          <w:color w:val="2F2D2F"/>
          <w:spacing w:val="2"/>
          <w:sz w:val="21"/>
          <w:szCs w:val="21"/>
          <w:lang w:val="es-MX"/>
        </w:rPr>
        <w:t xml:space="preserve"> </w:t>
      </w:r>
      <w:r w:rsidRPr="004A0446">
        <w:rPr>
          <w:rFonts w:ascii="Abadi" w:hAnsi="Abadi" w:cs="Arial"/>
          <w:i/>
          <w:iCs/>
          <w:color w:val="2F2D2F"/>
          <w:sz w:val="21"/>
          <w:szCs w:val="21"/>
          <w:lang w:val="es-MX"/>
        </w:rPr>
        <w:t>inclusión.</w:t>
      </w:r>
    </w:p>
    <w:p w14:paraId="0EFB7511" w14:textId="77777777" w:rsidR="00E3434F" w:rsidRPr="004A0446" w:rsidRDefault="00E3434F" w:rsidP="00F3730A">
      <w:pPr>
        <w:ind w:left="-284" w:right="-603" w:firstLine="568"/>
        <w:jc w:val="both"/>
        <w:rPr>
          <w:rFonts w:ascii="Abadi" w:hAnsi="Abadi" w:cs="Arial"/>
          <w:i/>
          <w:iCs/>
          <w:sz w:val="21"/>
          <w:szCs w:val="21"/>
          <w:lang w:val="es-MX"/>
        </w:rPr>
      </w:pPr>
    </w:p>
    <w:p w14:paraId="5FC6BA5B" w14:textId="77777777" w:rsidR="00E3434F" w:rsidRPr="004A0446" w:rsidRDefault="00E3434F" w:rsidP="00F3730A">
      <w:pPr>
        <w:spacing w:before="1"/>
        <w:ind w:left="1134" w:right="567" w:firstLine="567"/>
        <w:jc w:val="both"/>
        <w:rPr>
          <w:rFonts w:ascii="Abadi" w:hAnsi="Abadi" w:cs="Arial"/>
          <w:i/>
          <w:iCs/>
          <w:sz w:val="21"/>
          <w:szCs w:val="21"/>
          <w:lang w:val="es-MX"/>
        </w:rPr>
      </w:pPr>
      <w:r w:rsidRPr="004A0446">
        <w:rPr>
          <w:rFonts w:ascii="Abadi" w:hAnsi="Abadi" w:cs="Arial"/>
          <w:i/>
          <w:iCs/>
          <w:color w:val="1A1618"/>
          <w:sz w:val="21"/>
          <w:szCs w:val="21"/>
          <w:lang w:val="es-MX"/>
        </w:rPr>
        <w:t>En</w:t>
      </w:r>
      <w:r w:rsidRPr="004A0446">
        <w:rPr>
          <w:rFonts w:ascii="Abadi" w:hAnsi="Abadi" w:cs="Arial"/>
          <w:i/>
          <w:iCs/>
          <w:color w:val="1A1618"/>
          <w:spacing w:val="10"/>
          <w:sz w:val="21"/>
          <w:szCs w:val="21"/>
          <w:lang w:val="es-MX"/>
        </w:rPr>
        <w:t xml:space="preserve"> </w:t>
      </w:r>
      <w:r w:rsidRPr="004A0446">
        <w:rPr>
          <w:rFonts w:ascii="Abadi" w:hAnsi="Abadi" w:cs="Arial"/>
          <w:i/>
          <w:iCs/>
          <w:color w:val="1A1618"/>
          <w:sz w:val="21"/>
          <w:szCs w:val="21"/>
          <w:lang w:val="es-MX"/>
        </w:rPr>
        <w:t>segundo</w:t>
      </w:r>
      <w:r w:rsidRPr="004A0446">
        <w:rPr>
          <w:rFonts w:ascii="Abadi" w:hAnsi="Abadi" w:cs="Arial"/>
          <w:i/>
          <w:iCs/>
          <w:color w:val="1A1618"/>
          <w:spacing w:val="16"/>
          <w:sz w:val="21"/>
          <w:szCs w:val="21"/>
          <w:lang w:val="es-MX"/>
        </w:rPr>
        <w:t xml:space="preserve"> </w:t>
      </w:r>
      <w:r w:rsidRPr="004A0446">
        <w:rPr>
          <w:rFonts w:ascii="Abadi" w:hAnsi="Abadi" w:cs="Arial"/>
          <w:i/>
          <w:iCs/>
          <w:color w:val="1A1618"/>
          <w:sz w:val="21"/>
          <w:szCs w:val="21"/>
          <w:lang w:val="es-MX"/>
        </w:rPr>
        <w:t>lugar,</w:t>
      </w:r>
      <w:r w:rsidRPr="004A0446">
        <w:rPr>
          <w:rFonts w:ascii="Abadi" w:hAnsi="Abadi" w:cs="Arial"/>
          <w:i/>
          <w:iCs/>
          <w:color w:val="1A1618"/>
          <w:spacing w:val="14"/>
          <w:sz w:val="21"/>
          <w:szCs w:val="21"/>
          <w:lang w:val="es-MX"/>
        </w:rPr>
        <w:t xml:space="preserve"> </w:t>
      </w:r>
      <w:r w:rsidRPr="004A0446">
        <w:rPr>
          <w:rFonts w:ascii="Abadi" w:hAnsi="Abadi" w:cs="Arial"/>
          <w:i/>
          <w:iCs/>
          <w:color w:val="1A1618"/>
          <w:sz w:val="21"/>
          <w:szCs w:val="21"/>
          <w:lang w:val="es-MX"/>
        </w:rPr>
        <w:t>en</w:t>
      </w:r>
      <w:r w:rsidRPr="004A0446">
        <w:rPr>
          <w:rFonts w:ascii="Abadi" w:hAnsi="Abadi" w:cs="Arial"/>
          <w:i/>
          <w:iCs/>
          <w:color w:val="1A1618"/>
          <w:spacing w:val="7"/>
          <w:sz w:val="21"/>
          <w:szCs w:val="21"/>
          <w:lang w:val="es-MX"/>
        </w:rPr>
        <w:t xml:space="preserve"> </w:t>
      </w:r>
      <w:r w:rsidRPr="004A0446">
        <w:rPr>
          <w:rFonts w:ascii="Abadi" w:hAnsi="Abadi" w:cs="Arial"/>
          <w:i/>
          <w:iCs/>
          <w:color w:val="1A1618"/>
          <w:sz w:val="21"/>
          <w:szCs w:val="21"/>
          <w:lang w:val="es-MX"/>
        </w:rPr>
        <w:t>el</w:t>
      </w:r>
      <w:r w:rsidRPr="004A0446">
        <w:rPr>
          <w:rFonts w:ascii="Abadi" w:hAnsi="Abadi" w:cs="Arial"/>
          <w:i/>
          <w:iCs/>
          <w:color w:val="1A1618"/>
          <w:spacing w:val="5"/>
          <w:sz w:val="21"/>
          <w:szCs w:val="21"/>
          <w:lang w:val="es-MX"/>
        </w:rPr>
        <w:t xml:space="preserve"> </w:t>
      </w:r>
      <w:r w:rsidRPr="004A0446">
        <w:rPr>
          <w:rFonts w:ascii="Abadi" w:hAnsi="Abadi" w:cs="Arial"/>
          <w:i/>
          <w:iCs/>
          <w:color w:val="1A1618"/>
          <w:sz w:val="21"/>
          <w:szCs w:val="21"/>
          <w:lang w:val="es-MX"/>
        </w:rPr>
        <w:t>artículo</w:t>
      </w:r>
      <w:r w:rsidRPr="004A0446">
        <w:rPr>
          <w:rFonts w:ascii="Abadi" w:hAnsi="Abadi" w:cs="Arial"/>
          <w:i/>
          <w:iCs/>
          <w:color w:val="1A1618"/>
          <w:spacing w:val="13"/>
          <w:sz w:val="21"/>
          <w:szCs w:val="21"/>
          <w:lang w:val="es-MX"/>
        </w:rPr>
        <w:t xml:space="preserve"> </w:t>
      </w:r>
      <w:r w:rsidRPr="004A0446">
        <w:rPr>
          <w:rFonts w:ascii="Abadi" w:hAnsi="Abadi" w:cs="Arial"/>
          <w:i/>
          <w:iCs/>
          <w:color w:val="1A1618"/>
          <w:sz w:val="21"/>
          <w:szCs w:val="21"/>
          <w:lang w:val="es-MX"/>
        </w:rPr>
        <w:t>6</w:t>
      </w:r>
      <w:r w:rsidRPr="004A0446">
        <w:rPr>
          <w:rFonts w:ascii="Abadi" w:hAnsi="Abadi" w:cs="Arial"/>
          <w:i/>
          <w:iCs/>
          <w:color w:val="1A1618"/>
          <w:spacing w:val="4"/>
          <w:sz w:val="21"/>
          <w:szCs w:val="21"/>
          <w:lang w:val="es-MX"/>
        </w:rPr>
        <w:t xml:space="preserve"> </w:t>
      </w:r>
      <w:r w:rsidRPr="004A0446">
        <w:rPr>
          <w:rFonts w:ascii="Abadi" w:hAnsi="Abadi" w:cs="Arial"/>
          <w:i/>
          <w:iCs/>
          <w:color w:val="1A1618"/>
          <w:sz w:val="21"/>
          <w:szCs w:val="21"/>
          <w:lang w:val="es-MX"/>
        </w:rPr>
        <w:t>de</w:t>
      </w:r>
      <w:r w:rsidRPr="004A0446">
        <w:rPr>
          <w:rFonts w:ascii="Abadi" w:hAnsi="Abadi" w:cs="Arial"/>
          <w:i/>
          <w:iCs/>
          <w:color w:val="1A1618"/>
          <w:spacing w:val="6"/>
          <w:sz w:val="21"/>
          <w:szCs w:val="21"/>
          <w:lang w:val="es-MX"/>
        </w:rPr>
        <w:t xml:space="preserve"> </w:t>
      </w:r>
      <w:r w:rsidRPr="004A0446">
        <w:rPr>
          <w:rFonts w:ascii="Abadi" w:hAnsi="Abadi" w:cs="Arial"/>
          <w:i/>
          <w:iCs/>
          <w:color w:val="1A1618"/>
          <w:sz w:val="21"/>
          <w:szCs w:val="21"/>
          <w:lang w:val="es-MX"/>
        </w:rPr>
        <w:t>la</w:t>
      </w:r>
      <w:r w:rsidRPr="004A0446">
        <w:rPr>
          <w:rFonts w:ascii="Abadi" w:hAnsi="Abadi" w:cs="Arial"/>
          <w:i/>
          <w:iCs/>
          <w:color w:val="1A1618"/>
          <w:spacing w:val="7"/>
          <w:sz w:val="21"/>
          <w:szCs w:val="21"/>
          <w:lang w:val="es-MX"/>
        </w:rPr>
        <w:t xml:space="preserve"> </w:t>
      </w:r>
      <w:r w:rsidRPr="004A0446">
        <w:rPr>
          <w:rFonts w:ascii="Abadi" w:hAnsi="Abadi" w:cs="Arial"/>
          <w:i/>
          <w:iCs/>
          <w:color w:val="1A1618"/>
          <w:sz w:val="21"/>
          <w:szCs w:val="21"/>
          <w:lang w:val="es-MX"/>
        </w:rPr>
        <w:t>Ley</w:t>
      </w:r>
      <w:r w:rsidRPr="004A0446">
        <w:rPr>
          <w:rFonts w:ascii="Abadi" w:hAnsi="Abadi" w:cs="Arial"/>
          <w:i/>
          <w:iCs/>
          <w:color w:val="1A1618"/>
          <w:spacing w:val="13"/>
          <w:sz w:val="21"/>
          <w:szCs w:val="21"/>
          <w:lang w:val="es-MX"/>
        </w:rPr>
        <w:t xml:space="preserve"> </w:t>
      </w:r>
      <w:r w:rsidRPr="004A0446">
        <w:rPr>
          <w:rFonts w:ascii="Abadi" w:hAnsi="Abadi" w:cs="Arial"/>
          <w:i/>
          <w:iCs/>
          <w:color w:val="1A1618"/>
          <w:sz w:val="21"/>
          <w:szCs w:val="21"/>
          <w:lang w:val="es-MX"/>
        </w:rPr>
        <w:t>en</w:t>
      </w:r>
      <w:r w:rsidRPr="004A0446">
        <w:rPr>
          <w:rFonts w:ascii="Abadi" w:hAnsi="Abadi" w:cs="Arial"/>
          <w:i/>
          <w:iCs/>
          <w:color w:val="1A1618"/>
          <w:spacing w:val="6"/>
          <w:sz w:val="21"/>
          <w:szCs w:val="21"/>
          <w:lang w:val="es-MX"/>
        </w:rPr>
        <w:t xml:space="preserve"> </w:t>
      </w:r>
      <w:r w:rsidRPr="004A0446">
        <w:rPr>
          <w:rFonts w:ascii="Abadi" w:hAnsi="Abadi" w:cs="Arial"/>
          <w:i/>
          <w:iCs/>
          <w:color w:val="1A1618"/>
          <w:sz w:val="21"/>
          <w:szCs w:val="21"/>
          <w:lang w:val="es-MX"/>
        </w:rPr>
        <w:t>comento,</w:t>
      </w:r>
      <w:r w:rsidRPr="004A0446">
        <w:rPr>
          <w:rFonts w:ascii="Abadi" w:hAnsi="Abadi" w:cs="Arial"/>
          <w:i/>
          <w:iCs/>
          <w:color w:val="1A1618"/>
          <w:spacing w:val="13"/>
          <w:sz w:val="21"/>
          <w:szCs w:val="21"/>
          <w:lang w:val="es-MX"/>
        </w:rPr>
        <w:t xml:space="preserve"> </w:t>
      </w:r>
      <w:r w:rsidRPr="004A0446">
        <w:rPr>
          <w:rFonts w:ascii="Abadi" w:hAnsi="Abadi" w:cs="Arial"/>
          <w:i/>
          <w:iCs/>
          <w:color w:val="1A1618"/>
          <w:sz w:val="21"/>
          <w:szCs w:val="21"/>
          <w:lang w:val="es-MX"/>
        </w:rPr>
        <w:t>en</w:t>
      </w:r>
      <w:r w:rsidRPr="004A0446">
        <w:rPr>
          <w:rFonts w:ascii="Abadi" w:hAnsi="Abadi" w:cs="Arial"/>
          <w:i/>
          <w:iCs/>
          <w:color w:val="1A1618"/>
          <w:spacing w:val="9"/>
          <w:sz w:val="21"/>
          <w:szCs w:val="21"/>
          <w:lang w:val="es-MX"/>
        </w:rPr>
        <w:t xml:space="preserve"> </w:t>
      </w:r>
      <w:r w:rsidRPr="004A0446">
        <w:rPr>
          <w:rFonts w:ascii="Abadi" w:hAnsi="Abadi" w:cs="Arial"/>
          <w:i/>
          <w:iCs/>
          <w:color w:val="1A1618"/>
          <w:sz w:val="21"/>
          <w:szCs w:val="21"/>
          <w:lang w:val="es-MX"/>
        </w:rPr>
        <w:t>su</w:t>
      </w:r>
      <w:r w:rsidRPr="004A0446">
        <w:rPr>
          <w:rFonts w:ascii="Abadi" w:hAnsi="Abadi" w:cs="Arial"/>
          <w:i/>
          <w:iCs/>
          <w:color w:val="1A1618"/>
          <w:spacing w:val="5"/>
          <w:sz w:val="21"/>
          <w:szCs w:val="21"/>
          <w:lang w:val="es-MX"/>
        </w:rPr>
        <w:t xml:space="preserve"> </w:t>
      </w:r>
      <w:r w:rsidRPr="004A0446">
        <w:rPr>
          <w:rFonts w:ascii="Abadi" w:hAnsi="Abadi" w:cs="Arial"/>
          <w:i/>
          <w:iCs/>
          <w:color w:val="1A1618"/>
          <w:sz w:val="21"/>
          <w:szCs w:val="21"/>
          <w:lang w:val="es-MX"/>
        </w:rPr>
        <w:t>último</w:t>
      </w:r>
      <w:r w:rsidRPr="004A0446">
        <w:rPr>
          <w:rFonts w:ascii="Abadi" w:hAnsi="Abadi" w:cs="Arial"/>
          <w:i/>
          <w:iCs/>
          <w:color w:val="1A1618"/>
          <w:spacing w:val="11"/>
          <w:sz w:val="21"/>
          <w:szCs w:val="21"/>
          <w:lang w:val="es-MX"/>
        </w:rPr>
        <w:t xml:space="preserve"> </w:t>
      </w:r>
      <w:r w:rsidRPr="004A0446">
        <w:rPr>
          <w:rFonts w:ascii="Abadi" w:hAnsi="Abadi" w:cs="Arial"/>
          <w:i/>
          <w:iCs/>
          <w:color w:val="1A1618"/>
          <w:sz w:val="21"/>
          <w:szCs w:val="21"/>
          <w:lang w:val="es-MX"/>
        </w:rPr>
        <w:t>artículo</w:t>
      </w:r>
      <w:r w:rsidRPr="004A0446">
        <w:rPr>
          <w:rFonts w:ascii="Abadi" w:hAnsi="Abadi" w:cs="Arial"/>
          <w:i/>
          <w:iCs/>
          <w:color w:val="1A1618"/>
          <w:spacing w:val="19"/>
          <w:sz w:val="21"/>
          <w:szCs w:val="21"/>
          <w:lang w:val="es-MX"/>
        </w:rPr>
        <w:t xml:space="preserve"> </w:t>
      </w:r>
      <w:r w:rsidRPr="004A0446">
        <w:rPr>
          <w:rFonts w:ascii="Abadi" w:hAnsi="Abadi" w:cs="Arial"/>
          <w:i/>
          <w:iCs/>
          <w:color w:val="1A1618"/>
          <w:sz w:val="21"/>
          <w:szCs w:val="21"/>
          <w:lang w:val="es-MX"/>
        </w:rPr>
        <w:t>se</w:t>
      </w:r>
      <w:r w:rsidRPr="004A0446">
        <w:rPr>
          <w:rFonts w:ascii="Abadi" w:hAnsi="Abadi" w:cs="Arial"/>
          <w:i/>
          <w:iCs/>
          <w:color w:val="1A1618"/>
          <w:spacing w:val="3"/>
          <w:sz w:val="21"/>
          <w:szCs w:val="21"/>
          <w:lang w:val="es-MX"/>
        </w:rPr>
        <w:t xml:space="preserve"> </w:t>
      </w:r>
      <w:r w:rsidRPr="004A0446">
        <w:rPr>
          <w:rFonts w:ascii="Abadi" w:hAnsi="Abadi" w:cs="Arial"/>
          <w:i/>
          <w:iCs/>
          <w:color w:val="1A1618"/>
          <w:sz w:val="21"/>
          <w:szCs w:val="21"/>
          <w:lang w:val="es-MX"/>
        </w:rPr>
        <w:t xml:space="preserve">observa la palabra “y”, dejando inconcluso si fue un error colocarla en ese </w:t>
      </w:r>
      <w:r w:rsidRPr="004A0446">
        <w:rPr>
          <w:rFonts w:ascii="Abadi" w:hAnsi="Abadi" w:cs="Arial"/>
          <w:i/>
          <w:iCs/>
          <w:sz w:val="21"/>
          <w:szCs w:val="21"/>
          <w:lang w:val="es-MX"/>
        </w:rPr>
        <w:t>sitio, o si falta una última fracción en el mismo.</w:t>
      </w:r>
    </w:p>
    <w:p w14:paraId="65E82334" w14:textId="77777777" w:rsidR="00E3434F" w:rsidRPr="004A0446" w:rsidRDefault="00E3434F" w:rsidP="00F3730A">
      <w:pPr>
        <w:spacing w:before="1"/>
        <w:ind w:left="-284" w:right="283" w:firstLine="568"/>
        <w:jc w:val="both"/>
        <w:rPr>
          <w:rFonts w:ascii="Abadi" w:hAnsi="Abadi" w:cs="Arial"/>
          <w:i/>
          <w:iCs/>
          <w:sz w:val="21"/>
          <w:szCs w:val="21"/>
          <w:lang w:val="es-MX"/>
        </w:rPr>
      </w:pPr>
    </w:p>
    <w:p w14:paraId="159B5C2F" w14:textId="77777777" w:rsidR="00E3434F" w:rsidRPr="004A0446" w:rsidRDefault="00E3434F" w:rsidP="00F3730A">
      <w:pPr>
        <w:ind w:left="1134" w:right="567" w:firstLine="567"/>
        <w:jc w:val="both"/>
        <w:rPr>
          <w:rFonts w:ascii="Abadi" w:hAnsi="Abadi" w:cs="Arial"/>
          <w:i/>
          <w:iCs/>
          <w:color w:val="2F2D2F"/>
          <w:sz w:val="21"/>
          <w:szCs w:val="21"/>
          <w:lang w:val="es-MX"/>
        </w:rPr>
      </w:pPr>
      <w:r w:rsidRPr="004A0446">
        <w:rPr>
          <w:rFonts w:ascii="Abadi" w:hAnsi="Abadi" w:cs="Arial"/>
          <w:i/>
          <w:iCs/>
          <w:sz w:val="21"/>
          <w:szCs w:val="21"/>
          <w:lang w:val="es-MX"/>
        </w:rPr>
        <w:t>Por otro lado, creemos que el tema de la iniciativa en esencia trata de cumplir con lo establecido en la</w:t>
      </w:r>
      <w:r w:rsidRPr="004A0446">
        <w:rPr>
          <w:rFonts w:ascii="Abadi" w:hAnsi="Abadi" w:cs="Arial"/>
          <w:i/>
          <w:iCs/>
          <w:spacing w:val="1"/>
          <w:sz w:val="21"/>
          <w:szCs w:val="21"/>
          <w:lang w:val="es-MX"/>
        </w:rPr>
        <w:t xml:space="preserve"> </w:t>
      </w:r>
      <w:r w:rsidRPr="004A0446">
        <w:rPr>
          <w:rFonts w:ascii="Abadi" w:hAnsi="Abadi" w:cs="Arial"/>
          <w:i/>
          <w:iCs/>
          <w:sz w:val="21"/>
          <w:szCs w:val="21"/>
          <w:lang w:val="es-MX"/>
        </w:rPr>
        <w:t>fracción XIX del numeral 7 de la Ley de Salud del Estado de Guanajuato, que a la letra dice: “Artículo 7.-</w:t>
      </w:r>
      <w:r w:rsidRPr="004A0446">
        <w:rPr>
          <w:rFonts w:ascii="Abadi" w:hAnsi="Abadi" w:cs="Arial"/>
          <w:i/>
          <w:iCs/>
          <w:spacing w:val="1"/>
          <w:sz w:val="21"/>
          <w:szCs w:val="21"/>
          <w:lang w:val="es-MX"/>
        </w:rPr>
        <w:t xml:space="preserve"> </w:t>
      </w:r>
      <w:r w:rsidRPr="004A0446">
        <w:rPr>
          <w:rFonts w:ascii="Abadi" w:hAnsi="Abadi" w:cs="Arial"/>
          <w:i/>
          <w:iCs/>
          <w:sz w:val="21"/>
          <w:szCs w:val="21"/>
          <w:lang w:val="es-MX"/>
        </w:rPr>
        <w:t>La</w:t>
      </w:r>
      <w:r w:rsidRPr="004A0446">
        <w:rPr>
          <w:rFonts w:ascii="Abadi" w:hAnsi="Abadi" w:cs="Arial"/>
          <w:i/>
          <w:iCs/>
          <w:spacing w:val="1"/>
          <w:sz w:val="21"/>
          <w:szCs w:val="21"/>
          <w:lang w:val="es-MX"/>
        </w:rPr>
        <w:t xml:space="preserve"> </w:t>
      </w:r>
      <w:r w:rsidRPr="004A0446">
        <w:rPr>
          <w:rFonts w:ascii="Abadi" w:hAnsi="Abadi" w:cs="Arial"/>
          <w:i/>
          <w:iCs/>
          <w:sz w:val="21"/>
          <w:szCs w:val="21"/>
          <w:lang w:val="es-MX"/>
        </w:rPr>
        <w:t>coordinación del Sistema Estatal de Salud estará a cargo de la Secretaría de Salud del Estado, correspondiéndole</w:t>
      </w:r>
      <w:r w:rsidRPr="004A0446">
        <w:rPr>
          <w:rFonts w:ascii="Abadi" w:hAnsi="Abadi" w:cs="Arial"/>
          <w:i/>
          <w:iCs/>
          <w:spacing w:val="1"/>
          <w:sz w:val="21"/>
          <w:szCs w:val="21"/>
          <w:lang w:val="es-MX"/>
        </w:rPr>
        <w:t xml:space="preserve"> </w:t>
      </w:r>
      <w:r w:rsidRPr="004A0446">
        <w:rPr>
          <w:rFonts w:ascii="Abadi" w:hAnsi="Abadi" w:cs="Arial"/>
          <w:i/>
          <w:iCs/>
          <w:sz w:val="21"/>
          <w:szCs w:val="21"/>
          <w:lang w:val="es-MX"/>
        </w:rPr>
        <w:t>a ésta: XIX.- Coordinarse con las instituciones federales, estatales y municipales, y con la sociedad civil, para</w:t>
      </w:r>
      <w:r w:rsidRPr="004A0446">
        <w:rPr>
          <w:rFonts w:ascii="Abadi" w:hAnsi="Abadi" w:cs="Arial"/>
          <w:i/>
          <w:iCs/>
          <w:spacing w:val="1"/>
          <w:sz w:val="21"/>
          <w:szCs w:val="21"/>
          <w:lang w:val="es-MX"/>
        </w:rPr>
        <w:t xml:space="preserve"> </w:t>
      </w:r>
      <w:r w:rsidRPr="004A0446">
        <w:rPr>
          <w:rFonts w:ascii="Abadi" w:hAnsi="Abadi" w:cs="Arial"/>
          <w:i/>
          <w:iCs/>
          <w:sz w:val="21"/>
          <w:szCs w:val="21"/>
          <w:lang w:val="es-MX"/>
        </w:rPr>
        <w:t>promover</w:t>
      </w:r>
      <w:r w:rsidRPr="004A0446">
        <w:rPr>
          <w:rFonts w:ascii="Abadi" w:hAnsi="Abadi" w:cs="Arial"/>
          <w:i/>
          <w:iCs/>
          <w:spacing w:val="1"/>
          <w:sz w:val="21"/>
          <w:szCs w:val="21"/>
          <w:lang w:val="es-MX"/>
        </w:rPr>
        <w:t xml:space="preserve"> </w:t>
      </w:r>
      <w:r w:rsidRPr="004A0446">
        <w:rPr>
          <w:rFonts w:ascii="Abadi" w:hAnsi="Abadi" w:cs="Arial"/>
          <w:i/>
          <w:iCs/>
          <w:sz w:val="21"/>
          <w:szCs w:val="21"/>
          <w:lang w:val="es-MX"/>
        </w:rPr>
        <w:t>y apoyar</w:t>
      </w:r>
      <w:r w:rsidRPr="004A0446">
        <w:rPr>
          <w:rFonts w:ascii="Abadi" w:hAnsi="Abadi" w:cs="Arial"/>
          <w:i/>
          <w:iCs/>
          <w:spacing w:val="1"/>
          <w:sz w:val="21"/>
          <w:szCs w:val="21"/>
          <w:lang w:val="es-MX"/>
        </w:rPr>
        <w:t xml:space="preserve"> </w:t>
      </w:r>
      <w:r w:rsidRPr="004A0446">
        <w:rPr>
          <w:rFonts w:ascii="Abadi" w:hAnsi="Abadi" w:cs="Arial"/>
          <w:i/>
          <w:iCs/>
          <w:sz w:val="21"/>
          <w:szCs w:val="21"/>
          <w:lang w:val="es-MX"/>
        </w:rPr>
        <w:t>la investigación</w:t>
      </w:r>
      <w:r w:rsidRPr="004A0446">
        <w:rPr>
          <w:rFonts w:ascii="Abadi" w:hAnsi="Abadi" w:cs="Arial"/>
          <w:i/>
          <w:iCs/>
          <w:spacing w:val="1"/>
          <w:sz w:val="21"/>
          <w:szCs w:val="21"/>
          <w:lang w:val="es-MX"/>
        </w:rPr>
        <w:t xml:space="preserve"> </w:t>
      </w:r>
      <w:r w:rsidRPr="004A0446">
        <w:rPr>
          <w:rFonts w:ascii="Abadi" w:hAnsi="Abadi" w:cs="Arial"/>
          <w:i/>
          <w:iCs/>
          <w:sz w:val="21"/>
          <w:szCs w:val="21"/>
          <w:lang w:val="es-MX"/>
        </w:rPr>
        <w:t>de las causas del suicidio</w:t>
      </w:r>
      <w:r w:rsidRPr="004A0446">
        <w:rPr>
          <w:rFonts w:ascii="Abadi" w:hAnsi="Abadi" w:cs="Arial"/>
          <w:i/>
          <w:iCs/>
          <w:spacing w:val="1"/>
          <w:sz w:val="21"/>
          <w:szCs w:val="21"/>
          <w:lang w:val="es-MX"/>
        </w:rPr>
        <w:t xml:space="preserve"> </w:t>
      </w:r>
      <w:r w:rsidRPr="004A0446">
        <w:rPr>
          <w:rFonts w:ascii="Abadi" w:hAnsi="Abadi" w:cs="Arial"/>
          <w:i/>
          <w:iCs/>
          <w:sz w:val="21"/>
          <w:szCs w:val="21"/>
          <w:lang w:val="es-MX"/>
        </w:rPr>
        <w:t>y</w:t>
      </w:r>
      <w:r w:rsidRPr="004A0446">
        <w:rPr>
          <w:rFonts w:ascii="Abadi" w:hAnsi="Abadi" w:cs="Arial"/>
          <w:i/>
          <w:iCs/>
          <w:spacing w:val="1"/>
          <w:sz w:val="21"/>
          <w:szCs w:val="21"/>
          <w:lang w:val="es-MX"/>
        </w:rPr>
        <w:t xml:space="preserve"> </w:t>
      </w:r>
      <w:r w:rsidRPr="004A0446">
        <w:rPr>
          <w:rFonts w:ascii="Abadi" w:hAnsi="Abadi" w:cs="Arial"/>
          <w:i/>
          <w:iCs/>
          <w:sz w:val="21"/>
          <w:szCs w:val="21"/>
          <w:lang w:val="es-MX"/>
        </w:rPr>
        <w:t>de la conducta</w:t>
      </w:r>
      <w:r w:rsidRPr="004A0446">
        <w:rPr>
          <w:rFonts w:ascii="Abadi" w:hAnsi="Abadi" w:cs="Arial"/>
          <w:i/>
          <w:iCs/>
          <w:spacing w:val="1"/>
          <w:sz w:val="21"/>
          <w:szCs w:val="21"/>
          <w:lang w:val="es-MX"/>
        </w:rPr>
        <w:t xml:space="preserve"> </w:t>
      </w:r>
      <w:r w:rsidRPr="004A0446">
        <w:rPr>
          <w:rFonts w:ascii="Abadi" w:hAnsi="Abadi" w:cs="Arial"/>
          <w:i/>
          <w:iCs/>
          <w:sz w:val="21"/>
          <w:szCs w:val="21"/>
          <w:lang w:val="es-MX"/>
        </w:rPr>
        <w:t>suicida,</w:t>
      </w:r>
      <w:r w:rsidRPr="004A0446">
        <w:rPr>
          <w:rFonts w:ascii="Abadi" w:hAnsi="Abadi" w:cs="Arial"/>
          <w:i/>
          <w:iCs/>
          <w:spacing w:val="52"/>
          <w:sz w:val="21"/>
          <w:szCs w:val="21"/>
          <w:lang w:val="es-MX"/>
        </w:rPr>
        <w:t xml:space="preserve"> </w:t>
      </w:r>
      <w:r w:rsidRPr="004A0446">
        <w:rPr>
          <w:rFonts w:ascii="Abadi" w:hAnsi="Abadi" w:cs="Arial"/>
          <w:i/>
          <w:iCs/>
          <w:sz w:val="21"/>
          <w:szCs w:val="21"/>
          <w:lang w:val="es-MX"/>
        </w:rPr>
        <w:t>así como</w:t>
      </w:r>
      <w:r w:rsidRPr="004A0446">
        <w:rPr>
          <w:rFonts w:ascii="Abadi" w:hAnsi="Abadi" w:cs="Arial"/>
          <w:i/>
          <w:iCs/>
          <w:spacing w:val="53"/>
          <w:sz w:val="21"/>
          <w:szCs w:val="21"/>
          <w:lang w:val="es-MX"/>
        </w:rPr>
        <w:t xml:space="preserve"> </w:t>
      </w:r>
      <w:r w:rsidRPr="004A0446">
        <w:rPr>
          <w:rFonts w:ascii="Abadi" w:hAnsi="Abadi" w:cs="Arial"/>
          <w:i/>
          <w:iCs/>
          <w:sz w:val="21"/>
          <w:szCs w:val="21"/>
          <w:lang w:val="es-MX"/>
        </w:rPr>
        <w:t>diseñar,</w:t>
      </w:r>
      <w:r w:rsidRPr="004A0446">
        <w:rPr>
          <w:rFonts w:ascii="Abadi" w:hAnsi="Abadi" w:cs="Arial"/>
          <w:i/>
          <w:iCs/>
          <w:spacing w:val="1"/>
          <w:sz w:val="21"/>
          <w:szCs w:val="21"/>
          <w:lang w:val="es-MX"/>
        </w:rPr>
        <w:t xml:space="preserve"> </w:t>
      </w:r>
      <w:r w:rsidRPr="004A0446">
        <w:rPr>
          <w:rFonts w:ascii="Abadi" w:hAnsi="Abadi" w:cs="Arial"/>
          <w:i/>
          <w:iCs/>
          <w:sz w:val="21"/>
          <w:szCs w:val="21"/>
          <w:lang w:val="es-MX"/>
        </w:rPr>
        <w:t>proponer,</w:t>
      </w:r>
      <w:r w:rsidRPr="004A0446">
        <w:rPr>
          <w:rFonts w:ascii="Abadi" w:hAnsi="Abadi" w:cs="Arial"/>
          <w:i/>
          <w:iCs/>
          <w:spacing w:val="1"/>
          <w:sz w:val="21"/>
          <w:szCs w:val="21"/>
          <w:lang w:val="es-MX"/>
        </w:rPr>
        <w:t xml:space="preserve"> </w:t>
      </w:r>
      <w:r w:rsidRPr="004A0446">
        <w:rPr>
          <w:rFonts w:ascii="Abadi" w:hAnsi="Abadi" w:cs="Arial"/>
          <w:i/>
          <w:iCs/>
          <w:sz w:val="21"/>
          <w:szCs w:val="21"/>
          <w:lang w:val="es-MX"/>
        </w:rPr>
        <w:t>desarrollar</w:t>
      </w:r>
      <w:r w:rsidRPr="004A0446">
        <w:rPr>
          <w:rFonts w:ascii="Abadi" w:hAnsi="Abadi" w:cs="Arial"/>
          <w:i/>
          <w:iCs/>
          <w:spacing w:val="1"/>
          <w:sz w:val="21"/>
          <w:szCs w:val="21"/>
          <w:lang w:val="es-MX"/>
        </w:rPr>
        <w:t xml:space="preserve"> </w:t>
      </w:r>
      <w:r w:rsidRPr="004A0446">
        <w:rPr>
          <w:rFonts w:ascii="Abadi" w:hAnsi="Abadi" w:cs="Arial"/>
          <w:i/>
          <w:iCs/>
          <w:sz w:val="21"/>
          <w:szCs w:val="21"/>
          <w:lang w:val="es-MX"/>
        </w:rPr>
        <w:t>y aplicar acciones de prevención del suicidio,</w:t>
      </w:r>
      <w:r w:rsidRPr="004A0446">
        <w:rPr>
          <w:rFonts w:ascii="Abadi" w:hAnsi="Abadi" w:cs="Arial"/>
          <w:i/>
          <w:iCs/>
          <w:color w:val="1A1618"/>
          <w:sz w:val="21"/>
          <w:szCs w:val="21"/>
          <w:lang w:val="es-MX"/>
        </w:rPr>
        <w:t xml:space="preserve"> dirigidas particularmente a niñas, niños y</w:t>
      </w:r>
      <w:r w:rsidRPr="004A0446">
        <w:rPr>
          <w:rFonts w:ascii="Abadi" w:hAnsi="Abadi" w:cs="Arial"/>
          <w:i/>
          <w:iCs/>
          <w:color w:val="1A1618"/>
          <w:spacing w:val="1"/>
          <w:sz w:val="21"/>
          <w:szCs w:val="21"/>
          <w:lang w:val="es-MX"/>
        </w:rPr>
        <w:t xml:space="preserve"> </w:t>
      </w:r>
      <w:r w:rsidRPr="004A0446">
        <w:rPr>
          <w:rFonts w:ascii="Abadi" w:hAnsi="Abadi" w:cs="Arial"/>
          <w:i/>
          <w:iCs/>
          <w:color w:val="1A1618"/>
          <w:sz w:val="21"/>
          <w:szCs w:val="21"/>
          <w:lang w:val="es-MX"/>
        </w:rPr>
        <w:t>adolescentes,</w:t>
      </w:r>
      <w:r w:rsidRPr="004A0446">
        <w:rPr>
          <w:rFonts w:ascii="Abadi" w:hAnsi="Abadi" w:cs="Arial"/>
          <w:i/>
          <w:iCs/>
          <w:color w:val="1A1618"/>
          <w:spacing w:val="52"/>
          <w:sz w:val="21"/>
          <w:szCs w:val="21"/>
          <w:lang w:val="es-MX"/>
        </w:rPr>
        <w:t xml:space="preserve"> </w:t>
      </w:r>
      <w:r w:rsidRPr="004A0446">
        <w:rPr>
          <w:rFonts w:ascii="Abadi" w:hAnsi="Abadi" w:cs="Arial"/>
          <w:i/>
          <w:iCs/>
          <w:color w:val="1A1618"/>
          <w:sz w:val="21"/>
          <w:szCs w:val="21"/>
          <w:lang w:val="es-MX"/>
        </w:rPr>
        <w:t>así como a la población en general</w:t>
      </w:r>
      <w:r w:rsidRPr="004A0446">
        <w:rPr>
          <w:rFonts w:ascii="Abadi" w:hAnsi="Abadi" w:cs="Arial"/>
          <w:i/>
          <w:iCs/>
          <w:color w:val="5B5959"/>
          <w:sz w:val="21"/>
          <w:szCs w:val="21"/>
          <w:lang w:val="es-MX"/>
        </w:rPr>
        <w:t>...</w:t>
      </w:r>
      <w:r w:rsidRPr="004A0446">
        <w:rPr>
          <w:rFonts w:ascii="Abadi" w:hAnsi="Abadi" w:cs="Arial"/>
          <w:i/>
          <w:iCs/>
          <w:color w:val="444244"/>
          <w:sz w:val="21"/>
          <w:szCs w:val="21"/>
          <w:lang w:val="es-MX"/>
        </w:rPr>
        <w:t>”,</w:t>
      </w:r>
      <w:r w:rsidRPr="004A0446">
        <w:rPr>
          <w:rFonts w:ascii="Abadi" w:hAnsi="Abadi" w:cs="Arial"/>
          <w:i/>
          <w:iCs/>
          <w:color w:val="444244"/>
          <w:spacing w:val="53"/>
          <w:sz w:val="21"/>
          <w:szCs w:val="21"/>
          <w:lang w:val="es-MX"/>
        </w:rPr>
        <w:t xml:space="preserve"> </w:t>
      </w:r>
      <w:r w:rsidRPr="004A0446">
        <w:rPr>
          <w:rFonts w:ascii="Abadi" w:hAnsi="Abadi" w:cs="Arial"/>
          <w:i/>
          <w:iCs/>
          <w:color w:val="2F2D2F"/>
          <w:sz w:val="21"/>
          <w:szCs w:val="21"/>
          <w:lang w:val="es-MX"/>
        </w:rPr>
        <w:t xml:space="preserve">no </w:t>
      </w:r>
      <w:r w:rsidRPr="004A0446">
        <w:rPr>
          <w:rFonts w:ascii="Abadi" w:hAnsi="Abadi" w:cs="Arial"/>
          <w:i/>
          <w:iCs/>
          <w:color w:val="1A1618"/>
          <w:sz w:val="21"/>
          <w:szCs w:val="21"/>
          <w:lang w:val="es-MX"/>
        </w:rPr>
        <w:t>obstante, a juicio de esta Secretaría, del dispositivo</w:t>
      </w:r>
      <w:r w:rsidRPr="004A0446">
        <w:rPr>
          <w:rFonts w:ascii="Abadi" w:hAnsi="Abadi" w:cs="Arial"/>
          <w:i/>
          <w:iCs/>
          <w:color w:val="1A1618"/>
          <w:spacing w:val="1"/>
          <w:sz w:val="21"/>
          <w:szCs w:val="21"/>
          <w:lang w:val="es-MX"/>
        </w:rPr>
        <w:t xml:space="preserve"> </w:t>
      </w:r>
      <w:r w:rsidRPr="004A0446">
        <w:rPr>
          <w:rFonts w:ascii="Abadi" w:hAnsi="Abadi" w:cs="Arial"/>
          <w:i/>
          <w:iCs/>
          <w:color w:val="1A1618"/>
          <w:sz w:val="21"/>
          <w:szCs w:val="21"/>
          <w:lang w:val="es-MX"/>
        </w:rPr>
        <w:t xml:space="preserve">jurídico mencionado, </w:t>
      </w:r>
      <w:r w:rsidRPr="004A0446">
        <w:rPr>
          <w:rFonts w:ascii="Abadi" w:hAnsi="Abadi" w:cs="Arial"/>
          <w:i/>
          <w:iCs/>
          <w:color w:val="1A1618"/>
          <w:sz w:val="21"/>
          <w:szCs w:val="21"/>
          <w:u w:val="thick" w:color="1A1618"/>
          <w:lang w:val="es-MX"/>
        </w:rPr>
        <w:t xml:space="preserve">no se hace evidente la necesidad para </w:t>
      </w:r>
      <w:r w:rsidRPr="004A0446">
        <w:rPr>
          <w:rFonts w:ascii="Abadi" w:hAnsi="Abadi" w:cs="Arial"/>
          <w:i/>
          <w:iCs/>
          <w:color w:val="2F2D2F"/>
          <w:sz w:val="21"/>
          <w:szCs w:val="21"/>
          <w:u w:val="thick" w:color="1A1618"/>
          <w:lang w:val="es-MX"/>
        </w:rPr>
        <w:t xml:space="preserve">la </w:t>
      </w:r>
      <w:r w:rsidRPr="004A0446">
        <w:rPr>
          <w:rFonts w:ascii="Abadi" w:hAnsi="Abadi" w:cs="Arial"/>
          <w:i/>
          <w:iCs/>
          <w:color w:val="1A1618"/>
          <w:sz w:val="21"/>
          <w:szCs w:val="21"/>
          <w:u w:val="thick" w:color="1A1618"/>
          <w:lang w:val="es-MX"/>
        </w:rPr>
        <w:t>creación de una nueva Ley</w:t>
      </w:r>
      <w:r w:rsidRPr="004A0446">
        <w:rPr>
          <w:rFonts w:ascii="Abadi" w:hAnsi="Abadi" w:cs="Arial"/>
          <w:i/>
          <w:iCs/>
          <w:color w:val="1A1618"/>
          <w:sz w:val="21"/>
          <w:szCs w:val="21"/>
          <w:lang w:val="es-MX"/>
        </w:rPr>
        <w:t>, ya que bastaría la</w:t>
      </w:r>
      <w:r w:rsidRPr="004A0446">
        <w:rPr>
          <w:rFonts w:ascii="Abadi" w:hAnsi="Abadi" w:cs="Arial"/>
          <w:i/>
          <w:iCs/>
          <w:color w:val="1A1618"/>
          <w:spacing w:val="1"/>
          <w:sz w:val="21"/>
          <w:szCs w:val="21"/>
          <w:lang w:val="es-MX"/>
        </w:rPr>
        <w:t xml:space="preserve"> </w:t>
      </w:r>
      <w:r w:rsidRPr="004A0446">
        <w:rPr>
          <w:rFonts w:ascii="Abadi" w:hAnsi="Abadi" w:cs="Arial"/>
          <w:i/>
          <w:iCs/>
          <w:color w:val="1A1618"/>
          <w:sz w:val="21"/>
          <w:szCs w:val="21"/>
          <w:lang w:val="es-MX"/>
        </w:rPr>
        <w:t>elaboración</w:t>
      </w:r>
      <w:r w:rsidRPr="004A0446">
        <w:rPr>
          <w:rFonts w:ascii="Abadi" w:hAnsi="Abadi" w:cs="Arial"/>
          <w:i/>
          <w:iCs/>
          <w:color w:val="1A1618"/>
          <w:spacing w:val="17"/>
          <w:sz w:val="21"/>
          <w:szCs w:val="21"/>
          <w:lang w:val="es-MX"/>
        </w:rPr>
        <w:t xml:space="preserve"> </w:t>
      </w:r>
      <w:r w:rsidRPr="004A0446">
        <w:rPr>
          <w:rFonts w:ascii="Abadi" w:hAnsi="Abadi" w:cs="Arial"/>
          <w:i/>
          <w:iCs/>
          <w:color w:val="1A1618"/>
          <w:sz w:val="21"/>
          <w:szCs w:val="21"/>
          <w:lang w:val="es-MX"/>
        </w:rPr>
        <w:t>de</w:t>
      </w:r>
      <w:r w:rsidRPr="004A0446">
        <w:rPr>
          <w:rFonts w:ascii="Abadi" w:hAnsi="Abadi" w:cs="Arial"/>
          <w:i/>
          <w:iCs/>
          <w:color w:val="1A1618"/>
          <w:spacing w:val="-3"/>
          <w:sz w:val="21"/>
          <w:szCs w:val="21"/>
          <w:lang w:val="es-MX"/>
        </w:rPr>
        <w:t xml:space="preserve"> </w:t>
      </w:r>
      <w:r w:rsidRPr="004A0446">
        <w:rPr>
          <w:rFonts w:ascii="Abadi" w:hAnsi="Abadi" w:cs="Arial"/>
          <w:i/>
          <w:iCs/>
          <w:color w:val="1A1618"/>
          <w:sz w:val="21"/>
          <w:szCs w:val="21"/>
          <w:lang w:val="es-MX"/>
        </w:rPr>
        <w:t>lineamientos</w:t>
      </w:r>
      <w:r w:rsidRPr="004A0446">
        <w:rPr>
          <w:rFonts w:ascii="Abadi" w:hAnsi="Abadi" w:cs="Arial"/>
          <w:i/>
          <w:iCs/>
          <w:color w:val="1A1618"/>
          <w:spacing w:val="18"/>
          <w:sz w:val="21"/>
          <w:szCs w:val="21"/>
          <w:lang w:val="es-MX"/>
        </w:rPr>
        <w:t xml:space="preserve"> </w:t>
      </w:r>
      <w:r w:rsidRPr="004A0446">
        <w:rPr>
          <w:rFonts w:ascii="Abadi" w:hAnsi="Abadi" w:cs="Arial"/>
          <w:i/>
          <w:iCs/>
          <w:color w:val="1A1618"/>
          <w:sz w:val="21"/>
          <w:szCs w:val="21"/>
          <w:lang w:val="es-MX"/>
        </w:rPr>
        <w:t>y</w:t>
      </w:r>
      <w:r w:rsidRPr="004A0446">
        <w:rPr>
          <w:rFonts w:ascii="Abadi" w:hAnsi="Abadi" w:cs="Arial"/>
          <w:i/>
          <w:iCs/>
          <w:color w:val="1A1618"/>
          <w:spacing w:val="7"/>
          <w:sz w:val="21"/>
          <w:szCs w:val="21"/>
          <w:lang w:val="es-MX"/>
        </w:rPr>
        <w:t xml:space="preserve"> </w:t>
      </w:r>
      <w:r w:rsidRPr="004A0446">
        <w:rPr>
          <w:rFonts w:ascii="Abadi" w:hAnsi="Abadi" w:cs="Arial"/>
          <w:i/>
          <w:iCs/>
          <w:color w:val="1A1618"/>
          <w:sz w:val="21"/>
          <w:szCs w:val="21"/>
          <w:lang w:val="es-MX"/>
        </w:rPr>
        <w:t>protocolos</w:t>
      </w:r>
      <w:r w:rsidRPr="004A0446">
        <w:rPr>
          <w:rFonts w:ascii="Abadi" w:hAnsi="Abadi" w:cs="Arial"/>
          <w:i/>
          <w:iCs/>
          <w:color w:val="1A1618"/>
          <w:spacing w:val="16"/>
          <w:sz w:val="21"/>
          <w:szCs w:val="21"/>
          <w:lang w:val="es-MX"/>
        </w:rPr>
        <w:t xml:space="preserve"> </w:t>
      </w:r>
      <w:r w:rsidRPr="004A0446">
        <w:rPr>
          <w:rFonts w:ascii="Abadi" w:hAnsi="Abadi" w:cs="Arial"/>
          <w:i/>
          <w:iCs/>
          <w:color w:val="1A1618"/>
          <w:sz w:val="21"/>
          <w:szCs w:val="21"/>
          <w:lang w:val="es-MX"/>
        </w:rPr>
        <w:t>para</w:t>
      </w:r>
      <w:r w:rsidRPr="004A0446">
        <w:rPr>
          <w:rFonts w:ascii="Abadi" w:hAnsi="Abadi" w:cs="Arial"/>
          <w:i/>
          <w:iCs/>
          <w:color w:val="1A1618"/>
          <w:spacing w:val="7"/>
          <w:sz w:val="21"/>
          <w:szCs w:val="21"/>
          <w:lang w:val="es-MX"/>
        </w:rPr>
        <w:t xml:space="preserve"> </w:t>
      </w:r>
      <w:r w:rsidRPr="004A0446">
        <w:rPr>
          <w:rFonts w:ascii="Abadi" w:hAnsi="Abadi" w:cs="Arial"/>
          <w:i/>
          <w:iCs/>
          <w:color w:val="1A1618"/>
          <w:sz w:val="21"/>
          <w:szCs w:val="21"/>
          <w:lang w:val="es-MX"/>
        </w:rPr>
        <w:t>cumpl</w:t>
      </w:r>
      <w:r w:rsidRPr="004A0446">
        <w:rPr>
          <w:rFonts w:ascii="Abadi" w:hAnsi="Abadi" w:cs="Arial"/>
          <w:i/>
          <w:iCs/>
          <w:color w:val="444244"/>
          <w:sz w:val="21"/>
          <w:szCs w:val="21"/>
          <w:lang w:val="es-MX"/>
        </w:rPr>
        <w:t>ir</w:t>
      </w:r>
      <w:r w:rsidRPr="004A0446">
        <w:rPr>
          <w:rFonts w:ascii="Abadi" w:hAnsi="Abadi" w:cs="Arial"/>
          <w:i/>
          <w:iCs/>
          <w:color w:val="444244"/>
          <w:spacing w:val="3"/>
          <w:sz w:val="21"/>
          <w:szCs w:val="21"/>
          <w:lang w:val="es-MX"/>
        </w:rPr>
        <w:t xml:space="preserve"> </w:t>
      </w:r>
      <w:r w:rsidRPr="004A0446">
        <w:rPr>
          <w:rFonts w:ascii="Abadi" w:hAnsi="Abadi" w:cs="Arial"/>
          <w:i/>
          <w:iCs/>
          <w:color w:val="2F2D2F"/>
          <w:sz w:val="21"/>
          <w:szCs w:val="21"/>
          <w:lang w:val="es-MX"/>
        </w:rPr>
        <w:t>lo</w:t>
      </w:r>
      <w:r w:rsidRPr="004A0446">
        <w:rPr>
          <w:rFonts w:ascii="Abadi" w:hAnsi="Abadi" w:cs="Arial"/>
          <w:i/>
          <w:iCs/>
          <w:color w:val="2F2D2F"/>
          <w:spacing w:val="3"/>
          <w:sz w:val="21"/>
          <w:szCs w:val="21"/>
          <w:lang w:val="es-MX"/>
        </w:rPr>
        <w:t xml:space="preserve"> </w:t>
      </w:r>
      <w:r w:rsidRPr="004A0446">
        <w:rPr>
          <w:rFonts w:ascii="Abadi" w:hAnsi="Abadi" w:cs="Arial"/>
          <w:i/>
          <w:iCs/>
          <w:color w:val="1A1618"/>
          <w:sz w:val="21"/>
          <w:szCs w:val="21"/>
          <w:lang w:val="es-MX"/>
        </w:rPr>
        <w:t>que se</w:t>
      </w:r>
      <w:r w:rsidRPr="004A0446">
        <w:rPr>
          <w:rFonts w:ascii="Abadi" w:hAnsi="Abadi" w:cs="Arial"/>
          <w:i/>
          <w:iCs/>
          <w:color w:val="1A1618"/>
          <w:spacing w:val="2"/>
          <w:sz w:val="21"/>
          <w:szCs w:val="21"/>
          <w:lang w:val="es-MX"/>
        </w:rPr>
        <w:t xml:space="preserve"> </w:t>
      </w:r>
      <w:r w:rsidRPr="004A0446">
        <w:rPr>
          <w:rFonts w:ascii="Abadi" w:hAnsi="Abadi" w:cs="Arial"/>
          <w:i/>
          <w:iCs/>
          <w:color w:val="1A1618"/>
          <w:sz w:val="21"/>
          <w:szCs w:val="21"/>
          <w:lang w:val="es-MX"/>
        </w:rPr>
        <w:t>pretende</w:t>
      </w:r>
      <w:r w:rsidRPr="004A0446">
        <w:rPr>
          <w:rFonts w:ascii="Abadi" w:hAnsi="Abadi" w:cs="Arial"/>
          <w:i/>
          <w:iCs/>
          <w:color w:val="1A1618"/>
          <w:spacing w:val="10"/>
          <w:sz w:val="21"/>
          <w:szCs w:val="21"/>
          <w:lang w:val="es-MX"/>
        </w:rPr>
        <w:t xml:space="preserve"> </w:t>
      </w:r>
      <w:r w:rsidRPr="004A0446">
        <w:rPr>
          <w:rFonts w:ascii="Abadi" w:hAnsi="Abadi" w:cs="Arial"/>
          <w:i/>
          <w:iCs/>
          <w:color w:val="1A1618"/>
          <w:sz w:val="21"/>
          <w:szCs w:val="21"/>
          <w:lang w:val="es-MX"/>
        </w:rPr>
        <w:t>con</w:t>
      </w:r>
      <w:r w:rsidRPr="004A0446">
        <w:rPr>
          <w:rFonts w:ascii="Abadi" w:hAnsi="Abadi" w:cs="Arial"/>
          <w:i/>
          <w:iCs/>
          <w:color w:val="1A1618"/>
          <w:spacing w:val="7"/>
          <w:sz w:val="21"/>
          <w:szCs w:val="21"/>
          <w:lang w:val="es-MX"/>
        </w:rPr>
        <w:t xml:space="preserve"> </w:t>
      </w:r>
      <w:r w:rsidRPr="004A0446">
        <w:rPr>
          <w:rFonts w:ascii="Abadi" w:hAnsi="Abadi" w:cs="Arial"/>
          <w:i/>
          <w:iCs/>
          <w:color w:val="2F2D2F"/>
          <w:sz w:val="21"/>
          <w:szCs w:val="21"/>
          <w:lang w:val="es-MX"/>
        </w:rPr>
        <w:t>la</w:t>
      </w:r>
      <w:r w:rsidRPr="004A0446">
        <w:rPr>
          <w:rFonts w:ascii="Abadi" w:hAnsi="Abadi" w:cs="Arial"/>
          <w:i/>
          <w:iCs/>
          <w:color w:val="2F2D2F"/>
          <w:spacing w:val="10"/>
          <w:sz w:val="21"/>
          <w:szCs w:val="21"/>
          <w:lang w:val="es-MX"/>
        </w:rPr>
        <w:t xml:space="preserve"> </w:t>
      </w:r>
      <w:r w:rsidRPr="004A0446">
        <w:rPr>
          <w:rFonts w:ascii="Abadi" w:hAnsi="Abadi" w:cs="Arial"/>
          <w:i/>
          <w:iCs/>
          <w:color w:val="2F2D2F"/>
          <w:sz w:val="21"/>
          <w:szCs w:val="21"/>
          <w:lang w:val="es-MX"/>
        </w:rPr>
        <w:t>iniciativa.</w:t>
      </w:r>
    </w:p>
    <w:p w14:paraId="042C25D5" w14:textId="77777777" w:rsidR="00E3434F" w:rsidRPr="004A0446" w:rsidRDefault="00E3434F" w:rsidP="00F3730A">
      <w:pPr>
        <w:ind w:left="1134" w:right="567" w:firstLine="567"/>
        <w:jc w:val="both"/>
        <w:rPr>
          <w:rFonts w:ascii="Abadi" w:hAnsi="Abadi" w:cs="Arial"/>
          <w:i/>
          <w:iCs/>
          <w:sz w:val="21"/>
          <w:szCs w:val="21"/>
          <w:lang w:val="es-MX"/>
        </w:rPr>
      </w:pPr>
    </w:p>
    <w:p w14:paraId="2CB41D0B" w14:textId="77777777" w:rsidR="00E3434F" w:rsidRPr="004A0446" w:rsidRDefault="00E3434F" w:rsidP="00F3730A">
      <w:pPr>
        <w:spacing w:before="1"/>
        <w:ind w:left="1276" w:right="567" w:firstLine="425"/>
        <w:jc w:val="both"/>
        <w:rPr>
          <w:rFonts w:ascii="Abadi" w:hAnsi="Abadi" w:cs="Arial"/>
          <w:i/>
          <w:iCs/>
          <w:color w:val="1A1618"/>
          <w:sz w:val="21"/>
          <w:szCs w:val="21"/>
          <w:lang w:val="es-MX"/>
        </w:rPr>
      </w:pPr>
      <w:r w:rsidRPr="004A0446">
        <w:rPr>
          <w:rFonts w:ascii="Abadi" w:hAnsi="Abadi" w:cs="Arial"/>
          <w:i/>
          <w:iCs/>
          <w:color w:val="1A1618"/>
          <w:sz w:val="21"/>
          <w:szCs w:val="21"/>
          <w:lang w:val="es-MX"/>
        </w:rPr>
        <w:t>No obstante lo anterior, a efectos de cumplir con lo solicitado,</w:t>
      </w:r>
      <w:r w:rsidRPr="004A0446">
        <w:rPr>
          <w:rFonts w:ascii="Abadi" w:hAnsi="Abadi" w:cs="Arial"/>
          <w:i/>
          <w:iCs/>
          <w:color w:val="1A1618"/>
          <w:spacing w:val="1"/>
          <w:sz w:val="21"/>
          <w:szCs w:val="21"/>
          <w:lang w:val="es-MX"/>
        </w:rPr>
        <w:t xml:space="preserve"> </w:t>
      </w:r>
      <w:r w:rsidRPr="004A0446">
        <w:rPr>
          <w:rFonts w:ascii="Abadi" w:hAnsi="Abadi" w:cs="Arial"/>
          <w:i/>
          <w:iCs/>
          <w:color w:val="1A1618"/>
          <w:sz w:val="21"/>
          <w:szCs w:val="21"/>
          <w:lang w:val="es-MX"/>
        </w:rPr>
        <w:t>señalamos</w:t>
      </w:r>
      <w:r w:rsidRPr="004A0446">
        <w:rPr>
          <w:rFonts w:ascii="Abadi" w:hAnsi="Abadi" w:cs="Arial"/>
          <w:i/>
          <w:iCs/>
          <w:color w:val="1A1618"/>
          <w:spacing w:val="52"/>
          <w:sz w:val="21"/>
          <w:szCs w:val="21"/>
          <w:lang w:val="es-MX"/>
        </w:rPr>
        <w:t xml:space="preserve"> </w:t>
      </w:r>
      <w:r w:rsidRPr="004A0446">
        <w:rPr>
          <w:rFonts w:ascii="Abadi" w:hAnsi="Abadi" w:cs="Arial"/>
          <w:i/>
          <w:iCs/>
          <w:color w:val="1A1618"/>
          <w:sz w:val="21"/>
          <w:szCs w:val="21"/>
          <w:lang w:val="es-MX"/>
        </w:rPr>
        <w:t>que las acciones planteadas</w:t>
      </w:r>
      <w:r w:rsidRPr="004A0446">
        <w:rPr>
          <w:rFonts w:ascii="Abadi" w:hAnsi="Abadi" w:cs="Arial"/>
          <w:i/>
          <w:iCs/>
          <w:color w:val="1A1618"/>
          <w:spacing w:val="1"/>
          <w:sz w:val="21"/>
          <w:szCs w:val="21"/>
          <w:lang w:val="es-MX"/>
        </w:rPr>
        <w:t xml:space="preserve"> </w:t>
      </w:r>
      <w:r w:rsidRPr="004A0446">
        <w:rPr>
          <w:rFonts w:ascii="Abadi" w:hAnsi="Abadi" w:cs="Arial"/>
          <w:i/>
          <w:iCs/>
          <w:color w:val="1A1618"/>
          <w:sz w:val="21"/>
          <w:szCs w:val="21"/>
          <w:lang w:val="es-MX"/>
        </w:rPr>
        <w:t>para</w:t>
      </w:r>
      <w:r w:rsidRPr="004A0446">
        <w:rPr>
          <w:rFonts w:ascii="Abadi" w:hAnsi="Abadi" w:cs="Arial"/>
          <w:i/>
          <w:iCs/>
          <w:color w:val="1A1618"/>
          <w:spacing w:val="1"/>
          <w:sz w:val="21"/>
          <w:szCs w:val="21"/>
          <w:lang w:val="es-MX"/>
        </w:rPr>
        <w:t xml:space="preserve"> </w:t>
      </w:r>
      <w:r w:rsidRPr="004A0446">
        <w:rPr>
          <w:rFonts w:ascii="Abadi" w:hAnsi="Abadi" w:cs="Arial"/>
          <w:i/>
          <w:iCs/>
          <w:color w:val="1A1618"/>
          <w:sz w:val="21"/>
          <w:szCs w:val="21"/>
          <w:lang w:val="es-MX"/>
        </w:rPr>
        <w:t>prevenir</w:t>
      </w:r>
      <w:r w:rsidRPr="004A0446">
        <w:rPr>
          <w:rFonts w:ascii="Abadi" w:hAnsi="Abadi" w:cs="Arial"/>
          <w:i/>
          <w:iCs/>
          <w:color w:val="1A1618"/>
          <w:spacing w:val="52"/>
          <w:sz w:val="21"/>
          <w:szCs w:val="21"/>
          <w:lang w:val="es-MX"/>
        </w:rPr>
        <w:t xml:space="preserve"> </w:t>
      </w:r>
      <w:r w:rsidRPr="004A0446">
        <w:rPr>
          <w:rFonts w:ascii="Abadi" w:hAnsi="Abadi" w:cs="Arial"/>
          <w:i/>
          <w:iCs/>
          <w:color w:val="1A1618"/>
          <w:sz w:val="21"/>
          <w:szCs w:val="21"/>
          <w:lang w:val="es-MX"/>
        </w:rPr>
        <w:t>o inhibir el suicidio,</w:t>
      </w:r>
      <w:r w:rsidRPr="004A0446">
        <w:rPr>
          <w:rFonts w:ascii="Abadi" w:hAnsi="Abadi" w:cs="Arial"/>
          <w:i/>
          <w:iCs/>
          <w:color w:val="1A1618"/>
          <w:spacing w:val="53"/>
          <w:sz w:val="21"/>
          <w:szCs w:val="21"/>
          <w:lang w:val="es-MX"/>
        </w:rPr>
        <w:t xml:space="preserve"> </w:t>
      </w:r>
      <w:r w:rsidRPr="004A0446">
        <w:rPr>
          <w:rFonts w:ascii="Abadi" w:hAnsi="Abadi" w:cs="Arial"/>
          <w:i/>
          <w:iCs/>
          <w:color w:val="1A1618"/>
          <w:sz w:val="21"/>
          <w:szCs w:val="21"/>
          <w:lang w:val="es-MX"/>
        </w:rPr>
        <w:t xml:space="preserve">se quedan cortas </w:t>
      </w:r>
      <w:r w:rsidRPr="004A0446">
        <w:rPr>
          <w:rFonts w:ascii="Abadi" w:hAnsi="Abadi" w:cs="Arial"/>
          <w:i/>
          <w:iCs/>
          <w:color w:val="2F2D2F"/>
          <w:sz w:val="21"/>
          <w:szCs w:val="21"/>
          <w:lang w:val="es-MX"/>
        </w:rPr>
        <w:t xml:space="preserve">y </w:t>
      </w:r>
      <w:r w:rsidRPr="004A0446">
        <w:rPr>
          <w:rFonts w:ascii="Abadi" w:hAnsi="Abadi" w:cs="Arial"/>
          <w:i/>
          <w:iCs/>
          <w:color w:val="1A1618"/>
          <w:sz w:val="21"/>
          <w:szCs w:val="21"/>
          <w:lang w:val="es-MX"/>
        </w:rPr>
        <w:t>no atacan de manera</w:t>
      </w:r>
      <w:r w:rsidRPr="004A0446">
        <w:rPr>
          <w:rFonts w:ascii="Abadi" w:hAnsi="Abadi" w:cs="Arial"/>
          <w:i/>
          <w:iCs/>
          <w:color w:val="1A1618"/>
          <w:spacing w:val="53"/>
          <w:sz w:val="21"/>
          <w:szCs w:val="21"/>
          <w:lang w:val="es-MX"/>
        </w:rPr>
        <w:t xml:space="preserve"> </w:t>
      </w:r>
      <w:r w:rsidRPr="004A0446">
        <w:rPr>
          <w:rFonts w:ascii="Abadi" w:hAnsi="Abadi" w:cs="Arial"/>
          <w:i/>
          <w:iCs/>
          <w:color w:val="1A1618"/>
          <w:sz w:val="21"/>
          <w:szCs w:val="21"/>
          <w:lang w:val="es-MX"/>
        </w:rPr>
        <w:t>integral el problema,</w:t>
      </w:r>
      <w:r w:rsidRPr="004A0446">
        <w:rPr>
          <w:rFonts w:ascii="Abadi" w:hAnsi="Abadi" w:cs="Arial"/>
          <w:i/>
          <w:iCs/>
          <w:color w:val="1A1618"/>
          <w:spacing w:val="53"/>
          <w:sz w:val="21"/>
          <w:szCs w:val="21"/>
          <w:lang w:val="es-MX"/>
        </w:rPr>
        <w:t xml:space="preserve"> </w:t>
      </w:r>
      <w:r w:rsidRPr="004A0446">
        <w:rPr>
          <w:rFonts w:ascii="Abadi" w:hAnsi="Abadi" w:cs="Arial"/>
          <w:i/>
          <w:iCs/>
          <w:color w:val="1A1618"/>
          <w:sz w:val="21"/>
          <w:szCs w:val="21"/>
          <w:lang w:val="es-MX"/>
        </w:rPr>
        <w:t>toda vez que</w:t>
      </w:r>
      <w:r w:rsidRPr="004A0446">
        <w:rPr>
          <w:rFonts w:ascii="Abadi" w:hAnsi="Abadi" w:cs="Arial"/>
          <w:i/>
          <w:iCs/>
          <w:color w:val="1A1618"/>
          <w:spacing w:val="1"/>
          <w:sz w:val="21"/>
          <w:szCs w:val="21"/>
          <w:lang w:val="es-MX"/>
        </w:rPr>
        <w:t xml:space="preserve"> </w:t>
      </w:r>
      <w:r w:rsidRPr="004A0446">
        <w:rPr>
          <w:rFonts w:ascii="Abadi" w:hAnsi="Abadi" w:cs="Arial"/>
          <w:i/>
          <w:iCs/>
          <w:color w:val="1A1618"/>
          <w:sz w:val="21"/>
          <w:szCs w:val="21"/>
          <w:lang w:val="es-MX"/>
        </w:rPr>
        <w:t>son</w:t>
      </w:r>
      <w:r w:rsidRPr="004A0446">
        <w:rPr>
          <w:rFonts w:ascii="Abadi" w:hAnsi="Abadi" w:cs="Arial"/>
          <w:i/>
          <w:iCs/>
          <w:color w:val="1A1618"/>
          <w:spacing w:val="2"/>
          <w:sz w:val="21"/>
          <w:szCs w:val="21"/>
          <w:lang w:val="es-MX"/>
        </w:rPr>
        <w:t xml:space="preserve"> </w:t>
      </w:r>
      <w:r w:rsidRPr="004A0446">
        <w:rPr>
          <w:rFonts w:ascii="Abadi" w:hAnsi="Abadi" w:cs="Arial"/>
          <w:i/>
          <w:iCs/>
          <w:color w:val="1A1618"/>
          <w:sz w:val="21"/>
          <w:szCs w:val="21"/>
          <w:lang w:val="es-MX"/>
        </w:rPr>
        <w:t>genéricas</w:t>
      </w:r>
      <w:r w:rsidRPr="004A0446">
        <w:rPr>
          <w:rFonts w:ascii="Abadi" w:hAnsi="Abadi" w:cs="Arial"/>
          <w:i/>
          <w:iCs/>
          <w:color w:val="1A1618"/>
          <w:spacing w:val="12"/>
          <w:sz w:val="21"/>
          <w:szCs w:val="21"/>
          <w:lang w:val="es-MX"/>
        </w:rPr>
        <w:t xml:space="preserve"> </w:t>
      </w:r>
      <w:r w:rsidRPr="004A0446">
        <w:rPr>
          <w:rFonts w:ascii="Abadi" w:hAnsi="Abadi" w:cs="Arial"/>
          <w:i/>
          <w:iCs/>
          <w:color w:val="1A1618"/>
          <w:sz w:val="21"/>
          <w:szCs w:val="21"/>
          <w:lang w:val="es-MX"/>
        </w:rPr>
        <w:t>y</w:t>
      </w:r>
      <w:r w:rsidRPr="004A0446">
        <w:rPr>
          <w:rFonts w:ascii="Abadi" w:hAnsi="Abadi" w:cs="Arial"/>
          <w:i/>
          <w:iCs/>
          <w:color w:val="1A1618"/>
          <w:spacing w:val="1"/>
          <w:sz w:val="21"/>
          <w:szCs w:val="21"/>
          <w:lang w:val="es-MX"/>
        </w:rPr>
        <w:t xml:space="preserve"> </w:t>
      </w:r>
      <w:r w:rsidRPr="004A0446">
        <w:rPr>
          <w:rFonts w:ascii="Abadi" w:hAnsi="Abadi" w:cs="Arial"/>
          <w:i/>
          <w:iCs/>
          <w:color w:val="1A1618"/>
          <w:sz w:val="21"/>
          <w:szCs w:val="21"/>
          <w:lang w:val="es-MX"/>
        </w:rPr>
        <w:t>se limitan</w:t>
      </w:r>
      <w:r w:rsidRPr="004A0446">
        <w:rPr>
          <w:rFonts w:ascii="Abadi" w:hAnsi="Abadi" w:cs="Arial"/>
          <w:i/>
          <w:iCs/>
          <w:color w:val="1A1618"/>
          <w:spacing w:val="6"/>
          <w:sz w:val="21"/>
          <w:szCs w:val="21"/>
          <w:lang w:val="es-MX"/>
        </w:rPr>
        <w:t xml:space="preserve"> </w:t>
      </w:r>
      <w:r w:rsidRPr="004A0446">
        <w:rPr>
          <w:rFonts w:ascii="Abadi" w:hAnsi="Abadi" w:cs="Arial"/>
          <w:i/>
          <w:iCs/>
          <w:color w:val="1A1618"/>
          <w:sz w:val="21"/>
          <w:szCs w:val="21"/>
          <w:lang w:val="es-MX"/>
        </w:rPr>
        <w:t>a</w:t>
      </w:r>
      <w:r w:rsidRPr="004A0446">
        <w:rPr>
          <w:rFonts w:ascii="Abadi" w:hAnsi="Abadi" w:cs="Arial"/>
          <w:i/>
          <w:iCs/>
          <w:color w:val="1A1618"/>
          <w:spacing w:val="2"/>
          <w:sz w:val="21"/>
          <w:szCs w:val="21"/>
          <w:lang w:val="es-MX"/>
        </w:rPr>
        <w:t xml:space="preserve"> </w:t>
      </w:r>
      <w:r w:rsidRPr="004A0446">
        <w:rPr>
          <w:rFonts w:ascii="Abadi" w:hAnsi="Abadi" w:cs="Arial"/>
          <w:i/>
          <w:iCs/>
          <w:color w:val="1A1618"/>
          <w:sz w:val="21"/>
          <w:szCs w:val="21"/>
          <w:lang w:val="es-MX"/>
        </w:rPr>
        <w:t>acciones</w:t>
      </w:r>
      <w:r w:rsidRPr="004A0446">
        <w:rPr>
          <w:rFonts w:ascii="Abadi" w:hAnsi="Abadi" w:cs="Arial"/>
          <w:i/>
          <w:iCs/>
          <w:color w:val="1A1618"/>
          <w:spacing w:val="8"/>
          <w:sz w:val="21"/>
          <w:szCs w:val="21"/>
          <w:lang w:val="es-MX"/>
        </w:rPr>
        <w:t xml:space="preserve"> </w:t>
      </w:r>
      <w:r w:rsidRPr="004A0446">
        <w:rPr>
          <w:rFonts w:ascii="Abadi" w:hAnsi="Abadi" w:cs="Arial"/>
          <w:i/>
          <w:iCs/>
          <w:color w:val="1A1618"/>
          <w:sz w:val="21"/>
          <w:szCs w:val="21"/>
          <w:lang w:val="es-MX"/>
        </w:rPr>
        <w:t>burocráticas,</w:t>
      </w:r>
      <w:r w:rsidRPr="004A0446">
        <w:rPr>
          <w:rFonts w:ascii="Abadi" w:hAnsi="Abadi" w:cs="Arial"/>
          <w:i/>
          <w:iCs/>
          <w:color w:val="1A1618"/>
          <w:spacing w:val="16"/>
          <w:sz w:val="21"/>
          <w:szCs w:val="21"/>
          <w:lang w:val="es-MX"/>
        </w:rPr>
        <w:t xml:space="preserve"> </w:t>
      </w:r>
      <w:r w:rsidRPr="004A0446">
        <w:rPr>
          <w:rFonts w:ascii="Abadi" w:hAnsi="Abadi" w:cs="Arial"/>
          <w:i/>
          <w:iCs/>
          <w:color w:val="1A1618"/>
          <w:sz w:val="21"/>
          <w:szCs w:val="21"/>
          <w:lang w:val="es-MX"/>
        </w:rPr>
        <w:t>como</w:t>
      </w:r>
      <w:r w:rsidRPr="004A0446">
        <w:rPr>
          <w:rFonts w:ascii="Abadi" w:hAnsi="Abadi" w:cs="Arial"/>
          <w:i/>
          <w:iCs/>
          <w:color w:val="1A1618"/>
          <w:spacing w:val="12"/>
          <w:sz w:val="21"/>
          <w:szCs w:val="21"/>
          <w:lang w:val="es-MX"/>
        </w:rPr>
        <w:t xml:space="preserve"> </w:t>
      </w:r>
      <w:r w:rsidRPr="004A0446">
        <w:rPr>
          <w:rFonts w:ascii="Abadi" w:hAnsi="Abadi" w:cs="Arial"/>
          <w:i/>
          <w:iCs/>
          <w:color w:val="1A1618"/>
          <w:sz w:val="21"/>
          <w:szCs w:val="21"/>
          <w:lang w:val="es-MX"/>
        </w:rPr>
        <w:t>real</w:t>
      </w:r>
      <w:r w:rsidRPr="004A0446">
        <w:rPr>
          <w:rFonts w:ascii="Abadi" w:hAnsi="Abadi" w:cs="Arial"/>
          <w:i/>
          <w:iCs/>
          <w:color w:val="444244"/>
          <w:sz w:val="21"/>
          <w:szCs w:val="21"/>
          <w:lang w:val="es-MX"/>
        </w:rPr>
        <w:t>i</w:t>
      </w:r>
      <w:r w:rsidRPr="004A0446">
        <w:rPr>
          <w:rFonts w:ascii="Abadi" w:hAnsi="Abadi" w:cs="Arial"/>
          <w:i/>
          <w:iCs/>
          <w:color w:val="1A1618"/>
          <w:sz w:val="21"/>
          <w:szCs w:val="21"/>
          <w:lang w:val="es-MX"/>
        </w:rPr>
        <w:t>zar</w:t>
      </w:r>
      <w:r w:rsidRPr="004A0446">
        <w:rPr>
          <w:rFonts w:ascii="Abadi" w:hAnsi="Abadi" w:cs="Arial"/>
          <w:i/>
          <w:iCs/>
          <w:color w:val="1A1618"/>
          <w:spacing w:val="4"/>
          <w:sz w:val="21"/>
          <w:szCs w:val="21"/>
          <w:lang w:val="es-MX"/>
        </w:rPr>
        <w:t xml:space="preserve"> </w:t>
      </w:r>
      <w:r w:rsidRPr="004A0446">
        <w:rPr>
          <w:rFonts w:ascii="Abadi" w:hAnsi="Abadi" w:cs="Arial"/>
          <w:i/>
          <w:iCs/>
          <w:color w:val="1A1618"/>
          <w:sz w:val="21"/>
          <w:szCs w:val="21"/>
          <w:lang w:val="es-MX"/>
        </w:rPr>
        <w:t>estudios,</w:t>
      </w:r>
      <w:r w:rsidRPr="004A0446">
        <w:rPr>
          <w:rFonts w:ascii="Abadi" w:hAnsi="Abadi" w:cs="Arial"/>
          <w:i/>
          <w:iCs/>
          <w:color w:val="1A1618"/>
          <w:spacing w:val="8"/>
          <w:sz w:val="21"/>
          <w:szCs w:val="21"/>
          <w:lang w:val="es-MX"/>
        </w:rPr>
        <w:t xml:space="preserve"> </w:t>
      </w:r>
      <w:r w:rsidRPr="004A0446">
        <w:rPr>
          <w:rFonts w:ascii="Abadi" w:hAnsi="Abadi" w:cs="Arial"/>
          <w:i/>
          <w:iCs/>
          <w:color w:val="1A1618"/>
          <w:sz w:val="21"/>
          <w:szCs w:val="21"/>
          <w:lang w:val="es-MX"/>
        </w:rPr>
        <w:t>capacitaciones,</w:t>
      </w:r>
      <w:r w:rsidRPr="004A0446">
        <w:rPr>
          <w:rFonts w:ascii="Abadi" w:hAnsi="Abadi" w:cs="Arial"/>
          <w:i/>
          <w:iCs/>
          <w:color w:val="1A1618"/>
          <w:spacing w:val="-2"/>
          <w:sz w:val="21"/>
          <w:szCs w:val="21"/>
          <w:lang w:val="es-MX"/>
        </w:rPr>
        <w:t xml:space="preserve"> </w:t>
      </w:r>
      <w:r w:rsidRPr="004A0446">
        <w:rPr>
          <w:rFonts w:ascii="Abadi" w:hAnsi="Abadi" w:cs="Arial"/>
          <w:i/>
          <w:iCs/>
          <w:color w:val="1A1618"/>
          <w:sz w:val="21"/>
          <w:szCs w:val="21"/>
          <w:lang w:val="es-MX"/>
        </w:rPr>
        <w:t>entre</w:t>
      </w:r>
      <w:r w:rsidRPr="004A0446">
        <w:rPr>
          <w:rFonts w:ascii="Abadi" w:hAnsi="Abadi" w:cs="Arial"/>
          <w:i/>
          <w:iCs/>
          <w:color w:val="1A1618"/>
          <w:spacing w:val="3"/>
          <w:sz w:val="21"/>
          <w:szCs w:val="21"/>
          <w:lang w:val="es-MX"/>
        </w:rPr>
        <w:t xml:space="preserve"> </w:t>
      </w:r>
      <w:r w:rsidRPr="004A0446">
        <w:rPr>
          <w:rFonts w:ascii="Abadi" w:hAnsi="Abadi" w:cs="Arial"/>
          <w:i/>
          <w:iCs/>
          <w:color w:val="1A1618"/>
          <w:sz w:val="21"/>
          <w:szCs w:val="21"/>
          <w:lang w:val="es-MX"/>
        </w:rPr>
        <w:t>otras,</w:t>
      </w:r>
      <w:r w:rsidRPr="004A0446">
        <w:rPr>
          <w:rFonts w:ascii="Abadi" w:hAnsi="Abadi" w:cs="Arial"/>
          <w:i/>
          <w:iCs/>
          <w:color w:val="1A1618"/>
          <w:spacing w:val="11"/>
          <w:sz w:val="21"/>
          <w:szCs w:val="21"/>
          <w:lang w:val="es-MX"/>
        </w:rPr>
        <w:t xml:space="preserve"> </w:t>
      </w:r>
      <w:r w:rsidRPr="004A0446">
        <w:rPr>
          <w:rFonts w:ascii="Abadi" w:hAnsi="Abadi" w:cs="Arial"/>
          <w:i/>
          <w:iCs/>
          <w:color w:val="1A1618"/>
          <w:sz w:val="21"/>
          <w:szCs w:val="21"/>
          <w:lang w:val="es-MX"/>
        </w:rPr>
        <w:t>sin atacar las</w:t>
      </w:r>
      <w:r w:rsidRPr="004A0446">
        <w:rPr>
          <w:rFonts w:ascii="Abadi" w:hAnsi="Abadi" w:cs="Arial"/>
          <w:i/>
          <w:iCs/>
          <w:color w:val="1A1618"/>
          <w:spacing w:val="1"/>
          <w:sz w:val="21"/>
          <w:szCs w:val="21"/>
          <w:lang w:val="es-MX"/>
        </w:rPr>
        <w:t xml:space="preserve"> </w:t>
      </w:r>
      <w:r w:rsidRPr="004A0446">
        <w:rPr>
          <w:rFonts w:ascii="Abadi" w:hAnsi="Abadi" w:cs="Arial"/>
          <w:i/>
          <w:iCs/>
          <w:color w:val="1A1618"/>
          <w:sz w:val="21"/>
          <w:szCs w:val="21"/>
          <w:lang w:val="es-MX"/>
        </w:rPr>
        <w:t>condiciones</w:t>
      </w:r>
      <w:r w:rsidRPr="004A0446">
        <w:rPr>
          <w:rFonts w:ascii="Abadi" w:hAnsi="Abadi" w:cs="Arial"/>
          <w:i/>
          <w:iCs/>
          <w:color w:val="1A1618"/>
          <w:spacing w:val="1"/>
          <w:sz w:val="21"/>
          <w:szCs w:val="21"/>
          <w:lang w:val="es-MX"/>
        </w:rPr>
        <w:t xml:space="preserve"> </w:t>
      </w:r>
      <w:r w:rsidRPr="004A0446">
        <w:rPr>
          <w:rFonts w:ascii="Abadi" w:hAnsi="Abadi" w:cs="Arial"/>
          <w:i/>
          <w:iCs/>
          <w:color w:val="1A1618"/>
          <w:sz w:val="21"/>
          <w:szCs w:val="21"/>
          <w:lang w:val="es-MX"/>
        </w:rPr>
        <w:t>que</w:t>
      </w:r>
      <w:r w:rsidRPr="004A0446">
        <w:rPr>
          <w:rFonts w:ascii="Abadi" w:hAnsi="Abadi" w:cs="Arial"/>
          <w:i/>
          <w:iCs/>
          <w:color w:val="1A1618"/>
          <w:spacing w:val="1"/>
          <w:sz w:val="21"/>
          <w:szCs w:val="21"/>
          <w:lang w:val="es-MX"/>
        </w:rPr>
        <w:t xml:space="preserve"> </w:t>
      </w:r>
      <w:r w:rsidRPr="004A0446">
        <w:rPr>
          <w:rFonts w:ascii="Abadi" w:hAnsi="Abadi" w:cs="Arial"/>
          <w:i/>
          <w:iCs/>
          <w:color w:val="1A1618"/>
          <w:sz w:val="21"/>
          <w:szCs w:val="21"/>
          <w:lang w:val="es-MX"/>
        </w:rPr>
        <w:t>dieron</w:t>
      </w:r>
      <w:r w:rsidRPr="004A0446">
        <w:rPr>
          <w:rFonts w:ascii="Abadi" w:hAnsi="Abadi" w:cs="Arial"/>
          <w:i/>
          <w:iCs/>
          <w:color w:val="1A1618"/>
          <w:spacing w:val="1"/>
          <w:sz w:val="21"/>
          <w:szCs w:val="21"/>
          <w:lang w:val="es-MX"/>
        </w:rPr>
        <w:t xml:space="preserve"> </w:t>
      </w:r>
      <w:r w:rsidRPr="004A0446">
        <w:rPr>
          <w:rFonts w:ascii="Abadi" w:hAnsi="Abadi" w:cs="Arial"/>
          <w:i/>
          <w:iCs/>
          <w:color w:val="1A1618"/>
          <w:sz w:val="21"/>
          <w:szCs w:val="21"/>
          <w:lang w:val="es-MX"/>
        </w:rPr>
        <w:t>origen</w:t>
      </w:r>
      <w:r w:rsidRPr="004A0446">
        <w:rPr>
          <w:rFonts w:ascii="Abadi" w:hAnsi="Abadi" w:cs="Arial"/>
          <w:i/>
          <w:iCs/>
          <w:color w:val="1A1618"/>
          <w:spacing w:val="1"/>
          <w:sz w:val="21"/>
          <w:szCs w:val="21"/>
          <w:lang w:val="es-MX"/>
        </w:rPr>
        <w:t xml:space="preserve"> </w:t>
      </w:r>
      <w:r w:rsidRPr="004A0446">
        <w:rPr>
          <w:rFonts w:ascii="Abadi" w:hAnsi="Abadi" w:cs="Arial"/>
          <w:i/>
          <w:iCs/>
          <w:color w:val="1A1618"/>
          <w:sz w:val="21"/>
          <w:szCs w:val="21"/>
          <w:lang w:val="es-MX"/>
        </w:rPr>
        <w:t>a</w:t>
      </w:r>
      <w:r w:rsidRPr="004A0446">
        <w:rPr>
          <w:rFonts w:ascii="Abadi" w:hAnsi="Abadi" w:cs="Arial"/>
          <w:i/>
          <w:iCs/>
          <w:color w:val="1A1618"/>
          <w:spacing w:val="1"/>
          <w:sz w:val="21"/>
          <w:szCs w:val="21"/>
          <w:lang w:val="es-MX"/>
        </w:rPr>
        <w:t xml:space="preserve"> </w:t>
      </w:r>
      <w:r w:rsidRPr="004A0446">
        <w:rPr>
          <w:rFonts w:ascii="Abadi" w:hAnsi="Abadi" w:cs="Arial"/>
          <w:i/>
          <w:iCs/>
          <w:color w:val="1A1618"/>
          <w:sz w:val="21"/>
          <w:szCs w:val="21"/>
          <w:lang w:val="es-MX"/>
        </w:rPr>
        <w:t>esa</w:t>
      </w:r>
      <w:r w:rsidRPr="004A0446">
        <w:rPr>
          <w:rFonts w:ascii="Abadi" w:hAnsi="Abadi" w:cs="Arial"/>
          <w:i/>
          <w:iCs/>
          <w:color w:val="1A1618"/>
          <w:spacing w:val="1"/>
          <w:sz w:val="21"/>
          <w:szCs w:val="21"/>
          <w:lang w:val="es-MX"/>
        </w:rPr>
        <w:t xml:space="preserve"> </w:t>
      </w:r>
      <w:r w:rsidRPr="004A0446">
        <w:rPr>
          <w:rFonts w:ascii="Abadi" w:hAnsi="Abadi" w:cs="Arial"/>
          <w:i/>
          <w:iCs/>
          <w:color w:val="1A1618"/>
          <w:sz w:val="21"/>
          <w:szCs w:val="21"/>
          <w:lang w:val="es-MX"/>
        </w:rPr>
        <w:t>conducta,</w:t>
      </w:r>
      <w:r w:rsidRPr="004A0446">
        <w:rPr>
          <w:rFonts w:ascii="Abadi" w:hAnsi="Abadi" w:cs="Arial"/>
          <w:i/>
          <w:iCs/>
          <w:color w:val="1A1618"/>
          <w:spacing w:val="1"/>
          <w:sz w:val="21"/>
          <w:szCs w:val="21"/>
          <w:lang w:val="es-MX"/>
        </w:rPr>
        <w:t xml:space="preserve"> </w:t>
      </w:r>
      <w:r w:rsidRPr="004A0446">
        <w:rPr>
          <w:rFonts w:ascii="Abadi" w:hAnsi="Abadi" w:cs="Arial"/>
          <w:i/>
          <w:iCs/>
          <w:color w:val="2F2D2F"/>
          <w:sz w:val="21"/>
          <w:szCs w:val="21"/>
          <w:lang w:val="es-MX"/>
        </w:rPr>
        <w:t>como</w:t>
      </w:r>
      <w:r w:rsidRPr="004A0446">
        <w:rPr>
          <w:rFonts w:ascii="Abadi" w:hAnsi="Abadi" w:cs="Arial"/>
          <w:i/>
          <w:iCs/>
          <w:color w:val="2F2D2F"/>
          <w:spacing w:val="1"/>
          <w:sz w:val="21"/>
          <w:szCs w:val="21"/>
          <w:lang w:val="es-MX"/>
        </w:rPr>
        <w:t xml:space="preserve"> </w:t>
      </w:r>
      <w:r w:rsidRPr="004A0446">
        <w:rPr>
          <w:rFonts w:ascii="Abadi" w:hAnsi="Abadi" w:cs="Arial"/>
          <w:i/>
          <w:iCs/>
          <w:color w:val="1A1618"/>
          <w:sz w:val="21"/>
          <w:szCs w:val="21"/>
          <w:lang w:val="es-MX"/>
        </w:rPr>
        <w:t>pueden</w:t>
      </w:r>
      <w:r w:rsidRPr="004A0446">
        <w:rPr>
          <w:rFonts w:ascii="Abadi" w:hAnsi="Abadi" w:cs="Arial"/>
          <w:i/>
          <w:iCs/>
          <w:color w:val="1A1618"/>
          <w:spacing w:val="1"/>
          <w:sz w:val="21"/>
          <w:szCs w:val="21"/>
          <w:lang w:val="es-MX"/>
        </w:rPr>
        <w:t xml:space="preserve"> </w:t>
      </w:r>
      <w:r w:rsidRPr="004A0446">
        <w:rPr>
          <w:rFonts w:ascii="Abadi" w:hAnsi="Abadi" w:cs="Arial"/>
          <w:i/>
          <w:iCs/>
          <w:color w:val="1A1618"/>
          <w:sz w:val="21"/>
          <w:szCs w:val="21"/>
          <w:lang w:val="es-MX"/>
        </w:rPr>
        <w:t>ser</w:t>
      </w:r>
      <w:r w:rsidRPr="004A0446">
        <w:rPr>
          <w:rFonts w:ascii="Abadi" w:hAnsi="Abadi" w:cs="Arial"/>
          <w:i/>
          <w:iCs/>
          <w:color w:val="1A1618"/>
          <w:spacing w:val="1"/>
          <w:sz w:val="21"/>
          <w:szCs w:val="21"/>
          <w:lang w:val="es-MX"/>
        </w:rPr>
        <w:t xml:space="preserve"> </w:t>
      </w:r>
      <w:r w:rsidRPr="004A0446">
        <w:rPr>
          <w:rFonts w:ascii="Abadi" w:hAnsi="Abadi" w:cs="Arial"/>
          <w:i/>
          <w:iCs/>
          <w:color w:val="2F2D2F"/>
          <w:sz w:val="21"/>
          <w:szCs w:val="21"/>
          <w:lang w:val="es-MX"/>
        </w:rPr>
        <w:t>la</w:t>
      </w:r>
      <w:r w:rsidRPr="004A0446">
        <w:rPr>
          <w:rFonts w:ascii="Abadi" w:hAnsi="Abadi" w:cs="Arial"/>
          <w:i/>
          <w:iCs/>
          <w:color w:val="2F2D2F"/>
          <w:spacing w:val="1"/>
          <w:sz w:val="21"/>
          <w:szCs w:val="21"/>
          <w:lang w:val="es-MX"/>
        </w:rPr>
        <w:t xml:space="preserve"> </w:t>
      </w:r>
      <w:r w:rsidRPr="004A0446">
        <w:rPr>
          <w:rFonts w:ascii="Abadi" w:hAnsi="Abadi" w:cs="Arial"/>
          <w:i/>
          <w:iCs/>
          <w:color w:val="1A1618"/>
          <w:sz w:val="21"/>
          <w:szCs w:val="21"/>
          <w:lang w:val="es-MX"/>
        </w:rPr>
        <w:t>pobreza,</w:t>
      </w:r>
      <w:r w:rsidRPr="004A0446">
        <w:rPr>
          <w:rFonts w:ascii="Abadi" w:hAnsi="Abadi" w:cs="Arial"/>
          <w:i/>
          <w:iCs/>
          <w:color w:val="1A1618"/>
          <w:spacing w:val="1"/>
          <w:sz w:val="21"/>
          <w:szCs w:val="21"/>
          <w:lang w:val="es-MX"/>
        </w:rPr>
        <w:t xml:space="preserve"> </w:t>
      </w:r>
      <w:r w:rsidRPr="004A0446">
        <w:rPr>
          <w:rFonts w:ascii="Abadi" w:hAnsi="Abadi" w:cs="Arial"/>
          <w:i/>
          <w:iCs/>
          <w:color w:val="1A1618"/>
          <w:sz w:val="21"/>
          <w:szCs w:val="21"/>
          <w:lang w:val="es-MX"/>
        </w:rPr>
        <w:t>falta</w:t>
      </w:r>
      <w:r w:rsidRPr="004A0446">
        <w:rPr>
          <w:rFonts w:ascii="Abadi" w:hAnsi="Abadi" w:cs="Arial"/>
          <w:i/>
          <w:iCs/>
          <w:color w:val="1A1618"/>
          <w:spacing w:val="1"/>
          <w:sz w:val="21"/>
          <w:szCs w:val="21"/>
          <w:lang w:val="es-MX"/>
        </w:rPr>
        <w:t xml:space="preserve"> </w:t>
      </w:r>
      <w:r w:rsidRPr="004A0446">
        <w:rPr>
          <w:rFonts w:ascii="Abadi" w:hAnsi="Abadi" w:cs="Arial"/>
          <w:i/>
          <w:iCs/>
          <w:color w:val="1A1618"/>
          <w:sz w:val="21"/>
          <w:szCs w:val="21"/>
          <w:lang w:val="es-MX"/>
        </w:rPr>
        <w:t>de</w:t>
      </w:r>
      <w:r w:rsidRPr="004A0446">
        <w:rPr>
          <w:rFonts w:ascii="Abadi" w:hAnsi="Abadi" w:cs="Arial"/>
          <w:i/>
          <w:iCs/>
          <w:color w:val="1A1618"/>
          <w:spacing w:val="52"/>
          <w:sz w:val="21"/>
          <w:szCs w:val="21"/>
          <w:lang w:val="es-MX"/>
        </w:rPr>
        <w:t xml:space="preserve"> </w:t>
      </w:r>
      <w:r w:rsidRPr="004A0446">
        <w:rPr>
          <w:rFonts w:ascii="Abadi" w:hAnsi="Abadi" w:cs="Arial"/>
          <w:i/>
          <w:iCs/>
          <w:color w:val="1A1618"/>
          <w:sz w:val="21"/>
          <w:szCs w:val="21"/>
          <w:lang w:val="es-MX"/>
        </w:rPr>
        <w:t>oportunidades,</w:t>
      </w:r>
      <w:r w:rsidRPr="004A0446">
        <w:rPr>
          <w:rFonts w:ascii="Abadi" w:hAnsi="Abadi" w:cs="Arial"/>
          <w:i/>
          <w:iCs/>
          <w:color w:val="1A1618"/>
          <w:spacing w:val="1"/>
          <w:sz w:val="21"/>
          <w:szCs w:val="21"/>
          <w:lang w:val="es-MX"/>
        </w:rPr>
        <w:t xml:space="preserve"> </w:t>
      </w:r>
      <w:r w:rsidRPr="004A0446">
        <w:rPr>
          <w:rFonts w:ascii="Abadi" w:hAnsi="Abadi" w:cs="Arial"/>
          <w:i/>
          <w:iCs/>
          <w:color w:val="1A1618"/>
          <w:sz w:val="21"/>
          <w:szCs w:val="21"/>
          <w:lang w:val="es-MX"/>
        </w:rPr>
        <w:t>adicciones,</w:t>
      </w:r>
      <w:r w:rsidRPr="004A0446">
        <w:rPr>
          <w:rFonts w:ascii="Abadi" w:hAnsi="Abadi" w:cs="Arial"/>
          <w:i/>
          <w:iCs/>
          <w:color w:val="1A1618"/>
          <w:spacing w:val="18"/>
          <w:sz w:val="21"/>
          <w:szCs w:val="21"/>
          <w:lang w:val="es-MX"/>
        </w:rPr>
        <w:t xml:space="preserve"> </w:t>
      </w:r>
      <w:r w:rsidRPr="004A0446">
        <w:rPr>
          <w:rFonts w:ascii="Abadi" w:hAnsi="Abadi" w:cs="Arial"/>
          <w:i/>
          <w:iCs/>
          <w:color w:val="1A1618"/>
          <w:sz w:val="21"/>
          <w:szCs w:val="21"/>
          <w:lang w:val="es-MX"/>
        </w:rPr>
        <w:t>enfermedades</w:t>
      </w:r>
      <w:r w:rsidRPr="004A0446">
        <w:rPr>
          <w:rFonts w:ascii="Abadi" w:hAnsi="Abadi" w:cs="Arial"/>
          <w:i/>
          <w:iCs/>
          <w:color w:val="1A1618"/>
          <w:spacing w:val="27"/>
          <w:sz w:val="21"/>
          <w:szCs w:val="21"/>
          <w:lang w:val="es-MX"/>
        </w:rPr>
        <w:t xml:space="preserve"> </w:t>
      </w:r>
      <w:r w:rsidRPr="004A0446">
        <w:rPr>
          <w:rFonts w:ascii="Abadi" w:hAnsi="Abadi" w:cs="Arial"/>
          <w:i/>
          <w:iCs/>
          <w:color w:val="1A1618"/>
          <w:sz w:val="21"/>
          <w:szCs w:val="21"/>
          <w:lang w:val="es-MX"/>
        </w:rPr>
        <w:t>mentales,</w:t>
      </w:r>
      <w:r w:rsidRPr="004A0446">
        <w:rPr>
          <w:rFonts w:ascii="Abadi" w:hAnsi="Abadi" w:cs="Arial"/>
          <w:i/>
          <w:iCs/>
          <w:color w:val="1A1618"/>
          <w:spacing w:val="16"/>
          <w:sz w:val="21"/>
          <w:szCs w:val="21"/>
          <w:lang w:val="es-MX"/>
        </w:rPr>
        <w:t xml:space="preserve"> </w:t>
      </w:r>
      <w:r w:rsidRPr="004A0446">
        <w:rPr>
          <w:rFonts w:ascii="Abadi" w:hAnsi="Abadi" w:cs="Arial"/>
          <w:i/>
          <w:iCs/>
          <w:color w:val="1A1618"/>
          <w:sz w:val="21"/>
          <w:szCs w:val="21"/>
          <w:lang w:val="es-MX"/>
        </w:rPr>
        <w:t>etc.</w:t>
      </w:r>
    </w:p>
    <w:p w14:paraId="14CAFF79" w14:textId="77777777" w:rsidR="00E3434F" w:rsidRPr="004A0446" w:rsidRDefault="00E3434F" w:rsidP="00F3730A">
      <w:pPr>
        <w:spacing w:before="1"/>
        <w:ind w:left="1276" w:right="567" w:firstLine="425"/>
        <w:jc w:val="both"/>
        <w:rPr>
          <w:rFonts w:ascii="Abadi" w:hAnsi="Abadi" w:cs="Arial"/>
          <w:i/>
          <w:iCs/>
          <w:sz w:val="21"/>
          <w:szCs w:val="21"/>
          <w:lang w:val="es-MX"/>
        </w:rPr>
      </w:pPr>
    </w:p>
    <w:p w14:paraId="4AB77B94" w14:textId="77777777" w:rsidR="00E3434F" w:rsidRPr="004A0446" w:rsidRDefault="00E3434F" w:rsidP="00F3730A">
      <w:pPr>
        <w:ind w:left="1134" w:right="567" w:firstLine="567"/>
        <w:jc w:val="both"/>
        <w:rPr>
          <w:rFonts w:ascii="Abadi" w:hAnsi="Abadi" w:cs="Arial"/>
          <w:i/>
          <w:iCs/>
          <w:sz w:val="21"/>
          <w:szCs w:val="21"/>
          <w:lang w:val="es-MX"/>
        </w:rPr>
      </w:pPr>
      <w:r w:rsidRPr="004A0446">
        <w:rPr>
          <w:rFonts w:ascii="Abadi" w:hAnsi="Abadi" w:cs="Arial"/>
          <w:i/>
          <w:iCs/>
          <w:color w:val="1A1618"/>
          <w:sz w:val="21"/>
          <w:szCs w:val="21"/>
          <w:lang w:val="es-MX"/>
        </w:rPr>
        <w:t>Ahora bien, el artículo 10 de la iniciativa de Ley de Prevención del Suicidio y de las Acciones de</w:t>
      </w:r>
      <w:r w:rsidRPr="004A0446">
        <w:rPr>
          <w:rFonts w:ascii="Abadi" w:hAnsi="Abadi" w:cs="Arial"/>
          <w:i/>
          <w:iCs/>
          <w:color w:val="1A1618"/>
          <w:spacing w:val="1"/>
          <w:sz w:val="21"/>
          <w:szCs w:val="21"/>
          <w:lang w:val="es-MX"/>
        </w:rPr>
        <w:t xml:space="preserve"> </w:t>
      </w:r>
      <w:r w:rsidRPr="004A0446">
        <w:rPr>
          <w:rFonts w:ascii="Abadi" w:hAnsi="Abadi" w:cs="Arial"/>
          <w:i/>
          <w:iCs/>
          <w:color w:val="1A1618"/>
          <w:sz w:val="21"/>
          <w:szCs w:val="21"/>
          <w:lang w:val="es-MX"/>
        </w:rPr>
        <w:t>Posvención, señala que se realizará una vigilancia epidemiológica a la comunidad, sin que se entienda la razón</w:t>
      </w:r>
      <w:r w:rsidRPr="004A0446">
        <w:rPr>
          <w:rFonts w:ascii="Abadi" w:hAnsi="Abadi" w:cs="Arial"/>
          <w:i/>
          <w:iCs/>
          <w:color w:val="1A1618"/>
          <w:spacing w:val="1"/>
          <w:sz w:val="21"/>
          <w:szCs w:val="21"/>
          <w:lang w:val="es-MX"/>
        </w:rPr>
        <w:t xml:space="preserve"> </w:t>
      </w:r>
      <w:r w:rsidRPr="004A0446">
        <w:rPr>
          <w:rFonts w:ascii="Abadi" w:hAnsi="Abadi" w:cs="Arial"/>
          <w:i/>
          <w:iCs/>
          <w:color w:val="1A1618"/>
          <w:sz w:val="21"/>
          <w:szCs w:val="21"/>
          <w:lang w:val="es-MX"/>
        </w:rPr>
        <w:t>del</w:t>
      </w:r>
      <w:r w:rsidRPr="004A0446">
        <w:rPr>
          <w:rFonts w:ascii="Abadi" w:hAnsi="Abadi" w:cs="Arial"/>
          <w:i/>
          <w:iCs/>
          <w:color w:val="1A1618"/>
          <w:spacing w:val="1"/>
          <w:sz w:val="21"/>
          <w:szCs w:val="21"/>
          <w:lang w:val="es-MX"/>
        </w:rPr>
        <w:t xml:space="preserve"> </w:t>
      </w:r>
      <w:r w:rsidRPr="004A0446">
        <w:rPr>
          <w:rFonts w:ascii="Abadi" w:hAnsi="Abadi" w:cs="Arial"/>
          <w:i/>
          <w:iCs/>
          <w:color w:val="1A1618"/>
          <w:sz w:val="21"/>
          <w:szCs w:val="21"/>
          <w:lang w:val="es-MX"/>
        </w:rPr>
        <w:t>mismo,</w:t>
      </w:r>
      <w:r w:rsidRPr="004A0446">
        <w:rPr>
          <w:rFonts w:ascii="Abadi" w:hAnsi="Abadi" w:cs="Arial"/>
          <w:i/>
          <w:iCs/>
          <w:color w:val="1A1618"/>
          <w:spacing w:val="16"/>
          <w:sz w:val="21"/>
          <w:szCs w:val="21"/>
          <w:lang w:val="es-MX"/>
        </w:rPr>
        <w:t xml:space="preserve"> </w:t>
      </w:r>
      <w:r w:rsidRPr="004A0446">
        <w:rPr>
          <w:rFonts w:ascii="Abadi" w:hAnsi="Abadi" w:cs="Arial"/>
          <w:i/>
          <w:iCs/>
          <w:color w:val="1A1618"/>
          <w:sz w:val="21"/>
          <w:szCs w:val="21"/>
          <w:lang w:val="es-MX"/>
        </w:rPr>
        <w:t>toda</w:t>
      </w:r>
      <w:r w:rsidRPr="004A0446">
        <w:rPr>
          <w:rFonts w:ascii="Abadi" w:hAnsi="Abadi" w:cs="Arial"/>
          <w:i/>
          <w:iCs/>
          <w:color w:val="1A1618"/>
          <w:spacing w:val="11"/>
          <w:sz w:val="21"/>
          <w:szCs w:val="21"/>
          <w:lang w:val="es-MX"/>
        </w:rPr>
        <w:t xml:space="preserve"> </w:t>
      </w:r>
      <w:r w:rsidRPr="004A0446">
        <w:rPr>
          <w:rFonts w:ascii="Abadi" w:hAnsi="Abadi" w:cs="Arial"/>
          <w:i/>
          <w:iCs/>
          <w:color w:val="1A1618"/>
          <w:sz w:val="21"/>
          <w:szCs w:val="21"/>
          <w:lang w:val="es-MX"/>
        </w:rPr>
        <w:t>vez</w:t>
      </w:r>
      <w:r w:rsidRPr="004A0446">
        <w:rPr>
          <w:rFonts w:ascii="Abadi" w:hAnsi="Abadi" w:cs="Arial"/>
          <w:i/>
          <w:iCs/>
          <w:color w:val="1A1618"/>
          <w:spacing w:val="10"/>
          <w:sz w:val="21"/>
          <w:szCs w:val="21"/>
          <w:lang w:val="es-MX"/>
        </w:rPr>
        <w:t xml:space="preserve"> </w:t>
      </w:r>
      <w:r w:rsidRPr="004A0446">
        <w:rPr>
          <w:rFonts w:ascii="Abadi" w:hAnsi="Abadi" w:cs="Arial"/>
          <w:i/>
          <w:iCs/>
          <w:color w:val="1A1618"/>
          <w:sz w:val="21"/>
          <w:szCs w:val="21"/>
          <w:lang w:val="es-MX"/>
        </w:rPr>
        <w:t>que</w:t>
      </w:r>
      <w:r w:rsidRPr="004A0446">
        <w:rPr>
          <w:rFonts w:ascii="Abadi" w:hAnsi="Abadi" w:cs="Arial"/>
          <w:i/>
          <w:iCs/>
          <w:color w:val="1A1618"/>
          <w:spacing w:val="6"/>
          <w:sz w:val="21"/>
          <w:szCs w:val="21"/>
          <w:lang w:val="es-MX"/>
        </w:rPr>
        <w:t xml:space="preserve"> </w:t>
      </w:r>
      <w:r w:rsidRPr="004A0446">
        <w:rPr>
          <w:rFonts w:ascii="Abadi" w:hAnsi="Abadi" w:cs="Arial"/>
          <w:i/>
          <w:iCs/>
          <w:color w:val="1A1618"/>
          <w:sz w:val="21"/>
          <w:szCs w:val="21"/>
          <w:lang w:val="es-MX"/>
        </w:rPr>
        <w:t>el</w:t>
      </w:r>
      <w:r w:rsidRPr="004A0446">
        <w:rPr>
          <w:rFonts w:ascii="Abadi" w:hAnsi="Abadi" w:cs="Arial"/>
          <w:i/>
          <w:iCs/>
          <w:color w:val="1A1618"/>
          <w:spacing w:val="6"/>
          <w:sz w:val="21"/>
          <w:szCs w:val="21"/>
          <w:lang w:val="es-MX"/>
        </w:rPr>
        <w:t xml:space="preserve"> </w:t>
      </w:r>
      <w:r w:rsidRPr="004A0446">
        <w:rPr>
          <w:rFonts w:ascii="Abadi" w:hAnsi="Abadi" w:cs="Arial"/>
          <w:i/>
          <w:iCs/>
          <w:color w:val="1A1618"/>
          <w:sz w:val="21"/>
          <w:szCs w:val="21"/>
          <w:lang w:val="es-MX"/>
        </w:rPr>
        <w:t>tema</w:t>
      </w:r>
      <w:r w:rsidRPr="004A0446">
        <w:rPr>
          <w:rFonts w:ascii="Abadi" w:hAnsi="Abadi" w:cs="Arial"/>
          <w:i/>
          <w:iCs/>
          <w:color w:val="1A1618"/>
          <w:spacing w:val="12"/>
          <w:sz w:val="21"/>
          <w:szCs w:val="21"/>
          <w:lang w:val="es-MX"/>
        </w:rPr>
        <w:t xml:space="preserve"> </w:t>
      </w:r>
      <w:r w:rsidRPr="004A0446">
        <w:rPr>
          <w:rFonts w:ascii="Abadi" w:hAnsi="Abadi" w:cs="Arial"/>
          <w:i/>
          <w:iCs/>
          <w:color w:val="1A1618"/>
          <w:sz w:val="21"/>
          <w:szCs w:val="21"/>
          <w:lang w:val="es-MX"/>
        </w:rPr>
        <w:t>toral</w:t>
      </w:r>
      <w:r w:rsidRPr="004A0446">
        <w:rPr>
          <w:rFonts w:ascii="Abadi" w:hAnsi="Abadi" w:cs="Arial"/>
          <w:i/>
          <w:iCs/>
          <w:color w:val="1A1618"/>
          <w:spacing w:val="11"/>
          <w:sz w:val="21"/>
          <w:szCs w:val="21"/>
          <w:lang w:val="es-MX"/>
        </w:rPr>
        <w:t xml:space="preserve"> </w:t>
      </w:r>
      <w:r w:rsidRPr="004A0446">
        <w:rPr>
          <w:rFonts w:ascii="Abadi" w:hAnsi="Abadi" w:cs="Arial"/>
          <w:i/>
          <w:iCs/>
          <w:color w:val="1A1618"/>
          <w:sz w:val="21"/>
          <w:szCs w:val="21"/>
          <w:lang w:val="es-MX"/>
        </w:rPr>
        <w:t>de</w:t>
      </w:r>
      <w:r w:rsidRPr="004A0446">
        <w:rPr>
          <w:rFonts w:ascii="Abadi" w:hAnsi="Abadi" w:cs="Arial"/>
          <w:i/>
          <w:iCs/>
          <w:color w:val="1A1618"/>
          <w:spacing w:val="3"/>
          <w:sz w:val="21"/>
          <w:szCs w:val="21"/>
          <w:lang w:val="es-MX"/>
        </w:rPr>
        <w:t xml:space="preserve"> </w:t>
      </w:r>
      <w:r w:rsidRPr="004A0446">
        <w:rPr>
          <w:rFonts w:ascii="Abadi" w:hAnsi="Abadi" w:cs="Arial"/>
          <w:i/>
          <w:iCs/>
          <w:color w:val="1A1618"/>
          <w:sz w:val="21"/>
          <w:szCs w:val="21"/>
          <w:lang w:val="es-MX"/>
        </w:rPr>
        <w:t>la</w:t>
      </w:r>
      <w:r w:rsidRPr="004A0446">
        <w:rPr>
          <w:rFonts w:ascii="Abadi" w:hAnsi="Abadi" w:cs="Arial"/>
          <w:i/>
          <w:iCs/>
          <w:color w:val="1A1618"/>
          <w:spacing w:val="5"/>
          <w:sz w:val="21"/>
          <w:szCs w:val="21"/>
          <w:lang w:val="es-MX"/>
        </w:rPr>
        <w:t xml:space="preserve"> </w:t>
      </w:r>
      <w:r w:rsidRPr="004A0446">
        <w:rPr>
          <w:rFonts w:ascii="Abadi" w:hAnsi="Abadi" w:cs="Arial"/>
          <w:i/>
          <w:iCs/>
          <w:color w:val="2F2D2F"/>
          <w:sz w:val="21"/>
          <w:szCs w:val="21"/>
          <w:lang w:val="es-MX"/>
        </w:rPr>
        <w:t>iniciativa,</w:t>
      </w:r>
      <w:r w:rsidRPr="004A0446">
        <w:rPr>
          <w:rFonts w:ascii="Abadi" w:hAnsi="Abadi" w:cs="Arial"/>
          <w:i/>
          <w:iCs/>
          <w:color w:val="2F2D2F"/>
          <w:spacing w:val="18"/>
          <w:sz w:val="21"/>
          <w:szCs w:val="21"/>
          <w:lang w:val="es-MX"/>
        </w:rPr>
        <w:t xml:space="preserve"> </w:t>
      </w:r>
      <w:r w:rsidRPr="004A0446">
        <w:rPr>
          <w:rFonts w:ascii="Abadi" w:hAnsi="Abadi" w:cs="Arial"/>
          <w:i/>
          <w:iCs/>
          <w:color w:val="2F2D2F"/>
          <w:sz w:val="21"/>
          <w:szCs w:val="21"/>
          <w:lang w:val="es-MX"/>
        </w:rPr>
        <w:t>no</w:t>
      </w:r>
      <w:r w:rsidRPr="004A0446">
        <w:rPr>
          <w:rFonts w:ascii="Abadi" w:hAnsi="Abadi" w:cs="Arial"/>
          <w:i/>
          <w:iCs/>
          <w:color w:val="2F2D2F"/>
          <w:spacing w:val="1"/>
          <w:sz w:val="21"/>
          <w:szCs w:val="21"/>
          <w:lang w:val="es-MX"/>
        </w:rPr>
        <w:t xml:space="preserve"> </w:t>
      </w:r>
      <w:r w:rsidRPr="004A0446">
        <w:rPr>
          <w:rFonts w:ascii="Abadi" w:hAnsi="Abadi" w:cs="Arial"/>
          <w:i/>
          <w:iCs/>
          <w:color w:val="1A1618"/>
          <w:sz w:val="21"/>
          <w:szCs w:val="21"/>
          <w:lang w:val="es-MX"/>
        </w:rPr>
        <w:t>se</w:t>
      </w:r>
      <w:r w:rsidRPr="004A0446">
        <w:rPr>
          <w:rFonts w:ascii="Abadi" w:hAnsi="Abadi" w:cs="Arial"/>
          <w:i/>
          <w:iCs/>
          <w:color w:val="1A1618"/>
          <w:spacing w:val="3"/>
          <w:sz w:val="21"/>
          <w:szCs w:val="21"/>
          <w:lang w:val="es-MX"/>
        </w:rPr>
        <w:t xml:space="preserve"> </w:t>
      </w:r>
      <w:r w:rsidRPr="004A0446">
        <w:rPr>
          <w:rFonts w:ascii="Abadi" w:hAnsi="Abadi" w:cs="Arial"/>
          <w:i/>
          <w:iCs/>
          <w:color w:val="1A1618"/>
          <w:sz w:val="21"/>
          <w:szCs w:val="21"/>
          <w:lang w:val="es-MX"/>
        </w:rPr>
        <w:t>trata</w:t>
      </w:r>
      <w:r w:rsidRPr="004A0446">
        <w:rPr>
          <w:rFonts w:ascii="Abadi" w:hAnsi="Abadi" w:cs="Arial"/>
          <w:i/>
          <w:iCs/>
          <w:color w:val="1A1618"/>
          <w:spacing w:val="12"/>
          <w:sz w:val="21"/>
          <w:szCs w:val="21"/>
          <w:lang w:val="es-MX"/>
        </w:rPr>
        <w:t xml:space="preserve"> </w:t>
      </w:r>
      <w:r w:rsidRPr="004A0446">
        <w:rPr>
          <w:rFonts w:ascii="Abadi" w:hAnsi="Abadi" w:cs="Arial"/>
          <w:i/>
          <w:iCs/>
          <w:color w:val="1A1618"/>
          <w:sz w:val="21"/>
          <w:szCs w:val="21"/>
          <w:lang w:val="es-MX"/>
        </w:rPr>
        <w:t>de</w:t>
      </w:r>
      <w:r w:rsidRPr="004A0446">
        <w:rPr>
          <w:rFonts w:ascii="Abadi" w:hAnsi="Abadi" w:cs="Arial"/>
          <w:i/>
          <w:iCs/>
          <w:color w:val="1A1618"/>
          <w:spacing w:val="2"/>
          <w:sz w:val="21"/>
          <w:szCs w:val="21"/>
          <w:lang w:val="es-MX"/>
        </w:rPr>
        <w:t xml:space="preserve"> </w:t>
      </w:r>
      <w:r w:rsidRPr="004A0446">
        <w:rPr>
          <w:rFonts w:ascii="Abadi" w:hAnsi="Abadi" w:cs="Arial"/>
          <w:i/>
          <w:iCs/>
          <w:color w:val="1A1618"/>
          <w:sz w:val="21"/>
          <w:szCs w:val="21"/>
          <w:lang w:val="es-MX"/>
        </w:rPr>
        <w:t>alguna</w:t>
      </w:r>
      <w:r w:rsidRPr="004A0446">
        <w:rPr>
          <w:rFonts w:ascii="Abadi" w:hAnsi="Abadi" w:cs="Arial"/>
          <w:i/>
          <w:iCs/>
          <w:color w:val="1A1618"/>
          <w:spacing w:val="17"/>
          <w:sz w:val="21"/>
          <w:szCs w:val="21"/>
          <w:lang w:val="es-MX"/>
        </w:rPr>
        <w:t xml:space="preserve"> </w:t>
      </w:r>
      <w:r w:rsidRPr="004A0446">
        <w:rPr>
          <w:rFonts w:ascii="Abadi" w:hAnsi="Abadi" w:cs="Arial"/>
          <w:i/>
          <w:iCs/>
          <w:color w:val="1A1618"/>
          <w:sz w:val="21"/>
          <w:szCs w:val="21"/>
          <w:lang w:val="es-MX"/>
        </w:rPr>
        <w:t>enfermedad.</w:t>
      </w:r>
    </w:p>
    <w:p w14:paraId="7C0CC690" w14:textId="77777777" w:rsidR="00E3434F" w:rsidRPr="004A0446" w:rsidRDefault="00E3434F" w:rsidP="00F3730A">
      <w:pPr>
        <w:spacing w:before="95"/>
        <w:ind w:left="1276" w:right="567" w:firstLine="425"/>
        <w:jc w:val="both"/>
        <w:rPr>
          <w:rFonts w:ascii="Abadi" w:hAnsi="Abadi" w:cs="Arial"/>
          <w:i/>
          <w:iCs/>
          <w:color w:val="130F11"/>
          <w:sz w:val="21"/>
          <w:szCs w:val="21"/>
          <w:lang w:val="es-MX"/>
        </w:rPr>
      </w:pPr>
    </w:p>
    <w:p w14:paraId="112A6E70" w14:textId="77777777" w:rsidR="00E3434F" w:rsidRPr="004A0446" w:rsidRDefault="00E3434F" w:rsidP="00F3730A">
      <w:pPr>
        <w:spacing w:before="95"/>
        <w:ind w:left="1134" w:right="567" w:firstLine="567"/>
        <w:jc w:val="both"/>
        <w:rPr>
          <w:rFonts w:ascii="Abadi" w:hAnsi="Abadi" w:cs="Arial"/>
          <w:i/>
          <w:iCs/>
          <w:sz w:val="21"/>
          <w:szCs w:val="21"/>
          <w:lang w:val="es-MX"/>
        </w:rPr>
      </w:pPr>
      <w:r w:rsidRPr="004A0446">
        <w:rPr>
          <w:rFonts w:ascii="Abadi" w:hAnsi="Abadi" w:cs="Arial"/>
          <w:i/>
          <w:iCs/>
          <w:color w:val="130F11"/>
          <w:sz w:val="21"/>
          <w:szCs w:val="21"/>
          <w:lang w:val="es-MX"/>
        </w:rPr>
        <w:t>De</w:t>
      </w:r>
      <w:r w:rsidRPr="004A0446">
        <w:rPr>
          <w:rFonts w:ascii="Abadi" w:hAnsi="Abadi" w:cs="Arial"/>
          <w:i/>
          <w:iCs/>
          <w:color w:val="130F11"/>
          <w:spacing w:val="1"/>
          <w:sz w:val="21"/>
          <w:szCs w:val="21"/>
          <w:lang w:val="es-MX"/>
        </w:rPr>
        <w:t xml:space="preserve"> </w:t>
      </w:r>
      <w:r w:rsidRPr="004A0446">
        <w:rPr>
          <w:rFonts w:ascii="Abadi" w:hAnsi="Abadi" w:cs="Arial"/>
          <w:i/>
          <w:iCs/>
          <w:color w:val="130F11"/>
          <w:sz w:val="21"/>
          <w:szCs w:val="21"/>
          <w:lang w:val="es-MX"/>
        </w:rPr>
        <w:t>la</w:t>
      </w:r>
      <w:r w:rsidRPr="004A0446">
        <w:rPr>
          <w:rFonts w:ascii="Abadi" w:hAnsi="Abadi" w:cs="Arial"/>
          <w:i/>
          <w:iCs/>
          <w:color w:val="130F11"/>
          <w:spacing w:val="1"/>
          <w:sz w:val="21"/>
          <w:szCs w:val="21"/>
          <w:lang w:val="es-MX"/>
        </w:rPr>
        <w:t xml:space="preserve"> </w:t>
      </w:r>
      <w:r w:rsidRPr="004A0446">
        <w:rPr>
          <w:rFonts w:ascii="Abadi" w:hAnsi="Abadi" w:cs="Arial"/>
          <w:i/>
          <w:iCs/>
          <w:color w:val="130F11"/>
          <w:sz w:val="21"/>
          <w:szCs w:val="21"/>
          <w:lang w:val="es-MX"/>
        </w:rPr>
        <w:t>misma</w:t>
      </w:r>
      <w:r w:rsidRPr="004A0446">
        <w:rPr>
          <w:rFonts w:ascii="Abadi" w:hAnsi="Abadi" w:cs="Arial"/>
          <w:i/>
          <w:iCs/>
          <w:color w:val="130F11"/>
          <w:spacing w:val="1"/>
          <w:sz w:val="21"/>
          <w:szCs w:val="21"/>
          <w:lang w:val="es-MX"/>
        </w:rPr>
        <w:t xml:space="preserve"> </w:t>
      </w:r>
      <w:r w:rsidRPr="004A0446">
        <w:rPr>
          <w:rFonts w:ascii="Abadi" w:hAnsi="Abadi" w:cs="Arial"/>
          <w:i/>
          <w:iCs/>
          <w:color w:val="130F11"/>
          <w:sz w:val="21"/>
          <w:szCs w:val="21"/>
          <w:lang w:val="es-MX"/>
        </w:rPr>
        <w:t>manera,</w:t>
      </w:r>
      <w:r w:rsidRPr="004A0446">
        <w:rPr>
          <w:rFonts w:ascii="Abadi" w:hAnsi="Abadi" w:cs="Arial"/>
          <w:i/>
          <w:iCs/>
          <w:color w:val="130F11"/>
          <w:spacing w:val="1"/>
          <w:sz w:val="21"/>
          <w:szCs w:val="21"/>
          <w:lang w:val="es-MX"/>
        </w:rPr>
        <w:t xml:space="preserve"> </w:t>
      </w:r>
      <w:r w:rsidRPr="004A0446">
        <w:rPr>
          <w:rFonts w:ascii="Abadi" w:hAnsi="Abadi" w:cs="Arial"/>
          <w:i/>
          <w:iCs/>
          <w:color w:val="130F11"/>
          <w:sz w:val="21"/>
          <w:szCs w:val="21"/>
          <w:lang w:val="es-MX"/>
        </w:rPr>
        <w:t>no</w:t>
      </w:r>
      <w:r w:rsidRPr="004A0446">
        <w:rPr>
          <w:rFonts w:ascii="Abadi" w:hAnsi="Abadi" w:cs="Arial"/>
          <w:i/>
          <w:iCs/>
          <w:color w:val="130F11"/>
          <w:spacing w:val="1"/>
          <w:sz w:val="21"/>
          <w:szCs w:val="21"/>
          <w:lang w:val="es-MX"/>
        </w:rPr>
        <w:t xml:space="preserve"> </w:t>
      </w:r>
      <w:r w:rsidRPr="004A0446">
        <w:rPr>
          <w:rFonts w:ascii="Abadi" w:hAnsi="Abadi" w:cs="Arial"/>
          <w:i/>
          <w:iCs/>
          <w:color w:val="130F11"/>
          <w:sz w:val="21"/>
          <w:szCs w:val="21"/>
          <w:lang w:val="es-MX"/>
        </w:rPr>
        <w:t>observamos</w:t>
      </w:r>
      <w:r w:rsidRPr="004A0446">
        <w:rPr>
          <w:rFonts w:ascii="Abadi" w:hAnsi="Abadi" w:cs="Arial"/>
          <w:i/>
          <w:iCs/>
          <w:color w:val="130F11"/>
          <w:spacing w:val="1"/>
          <w:sz w:val="21"/>
          <w:szCs w:val="21"/>
          <w:lang w:val="es-MX"/>
        </w:rPr>
        <w:t xml:space="preserve"> </w:t>
      </w:r>
      <w:r w:rsidRPr="004A0446">
        <w:rPr>
          <w:rFonts w:ascii="Abadi" w:hAnsi="Abadi" w:cs="Arial"/>
          <w:i/>
          <w:iCs/>
          <w:color w:val="130F11"/>
          <w:sz w:val="21"/>
          <w:szCs w:val="21"/>
          <w:lang w:val="es-MX"/>
        </w:rPr>
        <w:t>que</w:t>
      </w:r>
      <w:r w:rsidRPr="004A0446">
        <w:rPr>
          <w:rFonts w:ascii="Abadi" w:hAnsi="Abadi" w:cs="Arial"/>
          <w:i/>
          <w:iCs/>
          <w:color w:val="130F11"/>
          <w:spacing w:val="1"/>
          <w:sz w:val="21"/>
          <w:szCs w:val="21"/>
          <w:lang w:val="es-MX"/>
        </w:rPr>
        <w:t xml:space="preserve"> </w:t>
      </w:r>
      <w:r w:rsidRPr="004A0446">
        <w:rPr>
          <w:rFonts w:ascii="Abadi" w:hAnsi="Abadi" w:cs="Arial"/>
          <w:i/>
          <w:iCs/>
          <w:color w:val="130F11"/>
          <w:sz w:val="21"/>
          <w:szCs w:val="21"/>
          <w:lang w:val="es-MX"/>
        </w:rPr>
        <w:t>se</w:t>
      </w:r>
      <w:r w:rsidRPr="004A0446">
        <w:rPr>
          <w:rFonts w:ascii="Abadi" w:hAnsi="Abadi" w:cs="Arial"/>
          <w:i/>
          <w:iCs/>
          <w:color w:val="130F11"/>
          <w:spacing w:val="1"/>
          <w:sz w:val="21"/>
          <w:szCs w:val="21"/>
          <w:lang w:val="es-MX"/>
        </w:rPr>
        <w:t xml:space="preserve"> </w:t>
      </w:r>
      <w:r w:rsidRPr="004A0446">
        <w:rPr>
          <w:rFonts w:ascii="Abadi" w:hAnsi="Abadi" w:cs="Arial"/>
          <w:i/>
          <w:iCs/>
          <w:color w:val="130F11"/>
          <w:sz w:val="21"/>
          <w:szCs w:val="21"/>
          <w:lang w:val="es-MX"/>
        </w:rPr>
        <w:t>cumpla</w:t>
      </w:r>
      <w:r w:rsidRPr="004A0446">
        <w:rPr>
          <w:rFonts w:ascii="Abadi" w:hAnsi="Abadi" w:cs="Arial"/>
          <w:i/>
          <w:iCs/>
          <w:color w:val="130F11"/>
          <w:spacing w:val="1"/>
          <w:sz w:val="21"/>
          <w:szCs w:val="21"/>
          <w:lang w:val="es-MX"/>
        </w:rPr>
        <w:t xml:space="preserve"> </w:t>
      </w:r>
      <w:r w:rsidRPr="004A0446">
        <w:rPr>
          <w:rFonts w:ascii="Abadi" w:hAnsi="Abadi" w:cs="Arial"/>
          <w:i/>
          <w:iCs/>
          <w:color w:val="130F11"/>
          <w:sz w:val="21"/>
          <w:szCs w:val="21"/>
          <w:lang w:val="es-MX"/>
        </w:rPr>
        <w:t>con</w:t>
      </w:r>
      <w:r w:rsidRPr="004A0446">
        <w:rPr>
          <w:rFonts w:ascii="Abadi" w:hAnsi="Abadi" w:cs="Arial"/>
          <w:i/>
          <w:iCs/>
          <w:color w:val="130F11"/>
          <w:spacing w:val="1"/>
          <w:sz w:val="21"/>
          <w:szCs w:val="21"/>
          <w:lang w:val="es-MX"/>
        </w:rPr>
        <w:t xml:space="preserve"> </w:t>
      </w:r>
      <w:r w:rsidRPr="004A0446">
        <w:rPr>
          <w:rFonts w:ascii="Abadi" w:hAnsi="Abadi" w:cs="Arial"/>
          <w:i/>
          <w:iCs/>
          <w:color w:val="130F11"/>
          <w:sz w:val="21"/>
          <w:szCs w:val="21"/>
          <w:lang w:val="es-MX"/>
        </w:rPr>
        <w:t>lo</w:t>
      </w:r>
      <w:r w:rsidRPr="004A0446">
        <w:rPr>
          <w:rFonts w:ascii="Abadi" w:hAnsi="Abadi" w:cs="Arial"/>
          <w:i/>
          <w:iCs/>
          <w:color w:val="130F11"/>
          <w:spacing w:val="1"/>
          <w:sz w:val="21"/>
          <w:szCs w:val="21"/>
          <w:lang w:val="es-MX"/>
        </w:rPr>
        <w:t xml:space="preserve"> </w:t>
      </w:r>
      <w:r w:rsidRPr="004A0446">
        <w:rPr>
          <w:rFonts w:ascii="Abadi" w:hAnsi="Abadi" w:cs="Arial"/>
          <w:i/>
          <w:iCs/>
          <w:color w:val="130F11"/>
          <w:sz w:val="21"/>
          <w:szCs w:val="21"/>
          <w:lang w:val="es-MX"/>
        </w:rPr>
        <w:t>establecido</w:t>
      </w:r>
      <w:r w:rsidRPr="004A0446">
        <w:rPr>
          <w:rFonts w:ascii="Abadi" w:hAnsi="Abadi" w:cs="Arial"/>
          <w:i/>
          <w:iCs/>
          <w:color w:val="130F11"/>
          <w:spacing w:val="1"/>
          <w:sz w:val="21"/>
          <w:szCs w:val="21"/>
          <w:lang w:val="es-MX"/>
        </w:rPr>
        <w:t xml:space="preserve"> </w:t>
      </w:r>
      <w:r w:rsidRPr="004A0446">
        <w:rPr>
          <w:rFonts w:ascii="Abadi" w:hAnsi="Abadi" w:cs="Arial"/>
          <w:i/>
          <w:iCs/>
          <w:color w:val="130F11"/>
          <w:sz w:val="21"/>
          <w:szCs w:val="21"/>
          <w:lang w:val="es-MX"/>
        </w:rPr>
        <w:t>en</w:t>
      </w:r>
      <w:r w:rsidRPr="004A0446">
        <w:rPr>
          <w:rFonts w:ascii="Abadi" w:hAnsi="Abadi" w:cs="Arial"/>
          <w:i/>
          <w:iCs/>
          <w:color w:val="130F11"/>
          <w:spacing w:val="1"/>
          <w:sz w:val="21"/>
          <w:szCs w:val="21"/>
          <w:lang w:val="es-MX"/>
        </w:rPr>
        <w:t xml:space="preserve"> </w:t>
      </w:r>
      <w:r w:rsidRPr="004A0446">
        <w:rPr>
          <w:rFonts w:ascii="Abadi" w:hAnsi="Abadi" w:cs="Arial"/>
          <w:i/>
          <w:iCs/>
          <w:color w:val="130F11"/>
          <w:sz w:val="21"/>
          <w:szCs w:val="21"/>
          <w:lang w:val="es-MX"/>
        </w:rPr>
        <w:t>el</w:t>
      </w:r>
      <w:r w:rsidRPr="004A0446">
        <w:rPr>
          <w:rFonts w:ascii="Abadi" w:hAnsi="Abadi" w:cs="Arial"/>
          <w:i/>
          <w:iCs/>
          <w:color w:val="130F11"/>
          <w:spacing w:val="1"/>
          <w:sz w:val="21"/>
          <w:szCs w:val="21"/>
          <w:lang w:val="es-MX"/>
        </w:rPr>
        <w:t xml:space="preserve"> </w:t>
      </w:r>
      <w:r w:rsidRPr="004A0446">
        <w:rPr>
          <w:rFonts w:ascii="Abadi" w:hAnsi="Abadi" w:cs="Arial"/>
          <w:i/>
          <w:iCs/>
          <w:color w:val="130F11"/>
          <w:sz w:val="21"/>
          <w:szCs w:val="21"/>
          <w:lang w:val="es-MX"/>
        </w:rPr>
        <w:t>artículo</w:t>
      </w:r>
      <w:r w:rsidRPr="004A0446">
        <w:rPr>
          <w:rFonts w:ascii="Abadi" w:hAnsi="Abadi" w:cs="Arial"/>
          <w:i/>
          <w:iCs/>
          <w:color w:val="130F11"/>
          <w:spacing w:val="50"/>
          <w:sz w:val="21"/>
          <w:szCs w:val="21"/>
          <w:lang w:val="es-MX"/>
        </w:rPr>
        <w:t xml:space="preserve"> </w:t>
      </w:r>
      <w:r w:rsidRPr="004A0446">
        <w:rPr>
          <w:rFonts w:ascii="Abadi" w:hAnsi="Abadi" w:cs="Arial"/>
          <w:i/>
          <w:iCs/>
          <w:color w:val="130F11"/>
          <w:sz w:val="21"/>
          <w:szCs w:val="21"/>
          <w:lang w:val="es-MX"/>
        </w:rPr>
        <w:t>209</w:t>
      </w:r>
      <w:r w:rsidRPr="004A0446">
        <w:rPr>
          <w:rFonts w:ascii="Abadi" w:hAnsi="Abadi" w:cs="Arial"/>
          <w:i/>
          <w:iCs/>
          <w:color w:val="130F11"/>
          <w:spacing w:val="50"/>
          <w:sz w:val="21"/>
          <w:szCs w:val="21"/>
          <w:lang w:val="es-MX"/>
        </w:rPr>
        <w:t xml:space="preserve"> </w:t>
      </w:r>
      <w:r w:rsidRPr="004A0446">
        <w:rPr>
          <w:rFonts w:ascii="Abadi" w:hAnsi="Abadi" w:cs="Arial"/>
          <w:i/>
          <w:iCs/>
          <w:color w:val="130F11"/>
          <w:sz w:val="21"/>
          <w:szCs w:val="21"/>
          <w:lang w:val="es-MX"/>
        </w:rPr>
        <w:t>de</w:t>
      </w:r>
      <w:r w:rsidRPr="004A0446">
        <w:rPr>
          <w:rFonts w:ascii="Abadi" w:hAnsi="Abadi" w:cs="Arial"/>
          <w:i/>
          <w:iCs/>
          <w:color w:val="130F11"/>
          <w:spacing w:val="50"/>
          <w:sz w:val="21"/>
          <w:szCs w:val="21"/>
          <w:lang w:val="es-MX"/>
        </w:rPr>
        <w:t xml:space="preserve"> </w:t>
      </w:r>
      <w:r w:rsidRPr="004A0446">
        <w:rPr>
          <w:rFonts w:ascii="Abadi" w:hAnsi="Abadi" w:cs="Arial"/>
          <w:i/>
          <w:iCs/>
          <w:color w:val="130F11"/>
          <w:sz w:val="21"/>
          <w:szCs w:val="21"/>
          <w:lang w:val="es-MX"/>
        </w:rPr>
        <w:t>la</w:t>
      </w:r>
      <w:r w:rsidRPr="004A0446">
        <w:rPr>
          <w:rFonts w:ascii="Abadi" w:hAnsi="Abadi" w:cs="Arial"/>
          <w:i/>
          <w:iCs/>
          <w:color w:val="130F11"/>
          <w:spacing w:val="50"/>
          <w:sz w:val="21"/>
          <w:szCs w:val="21"/>
          <w:lang w:val="es-MX"/>
        </w:rPr>
        <w:t xml:space="preserve"> </w:t>
      </w:r>
      <w:r w:rsidRPr="004A0446">
        <w:rPr>
          <w:rFonts w:ascii="Abadi" w:hAnsi="Abadi" w:cs="Arial"/>
          <w:i/>
          <w:iCs/>
          <w:color w:val="130F11"/>
          <w:sz w:val="21"/>
          <w:szCs w:val="21"/>
          <w:lang w:val="es-MX"/>
        </w:rPr>
        <w:t>Ley</w:t>
      </w:r>
      <w:r w:rsidRPr="004A0446">
        <w:rPr>
          <w:rFonts w:ascii="Abadi" w:hAnsi="Abadi" w:cs="Arial"/>
          <w:i/>
          <w:iCs/>
          <w:color w:val="130F11"/>
          <w:spacing w:val="1"/>
          <w:sz w:val="21"/>
          <w:szCs w:val="21"/>
          <w:lang w:val="es-MX"/>
        </w:rPr>
        <w:t xml:space="preserve"> </w:t>
      </w:r>
      <w:r w:rsidRPr="004A0446">
        <w:rPr>
          <w:rFonts w:ascii="Abadi" w:hAnsi="Abadi" w:cs="Arial"/>
          <w:i/>
          <w:iCs/>
          <w:color w:val="130F11"/>
          <w:sz w:val="21"/>
          <w:szCs w:val="21"/>
          <w:lang w:val="es-MX"/>
        </w:rPr>
        <w:t>Orgánica del Poder</w:t>
      </w:r>
      <w:r w:rsidRPr="004A0446">
        <w:rPr>
          <w:rFonts w:ascii="Abadi" w:hAnsi="Abadi" w:cs="Arial"/>
          <w:i/>
          <w:iCs/>
          <w:color w:val="130F11"/>
          <w:spacing w:val="1"/>
          <w:sz w:val="21"/>
          <w:szCs w:val="21"/>
          <w:lang w:val="es-MX"/>
        </w:rPr>
        <w:t xml:space="preserve"> </w:t>
      </w:r>
      <w:r w:rsidRPr="004A0446">
        <w:rPr>
          <w:rFonts w:ascii="Abadi" w:hAnsi="Abadi" w:cs="Arial"/>
          <w:i/>
          <w:iCs/>
          <w:color w:val="130F11"/>
          <w:sz w:val="21"/>
          <w:szCs w:val="21"/>
          <w:lang w:val="es-MX"/>
        </w:rPr>
        <w:t>Legislativo,</w:t>
      </w:r>
      <w:r w:rsidRPr="004A0446">
        <w:rPr>
          <w:rFonts w:ascii="Abadi" w:hAnsi="Abadi" w:cs="Arial"/>
          <w:i/>
          <w:iCs/>
          <w:color w:val="130F11"/>
          <w:spacing w:val="1"/>
          <w:sz w:val="21"/>
          <w:szCs w:val="21"/>
          <w:lang w:val="es-MX"/>
        </w:rPr>
        <w:t xml:space="preserve"> </w:t>
      </w:r>
      <w:r w:rsidRPr="004A0446">
        <w:rPr>
          <w:rFonts w:ascii="Abadi" w:hAnsi="Abadi" w:cs="Arial"/>
          <w:i/>
          <w:iCs/>
          <w:color w:val="130F11"/>
          <w:sz w:val="21"/>
          <w:szCs w:val="21"/>
          <w:lang w:val="es-MX"/>
        </w:rPr>
        <w:t>ya que es necesario</w:t>
      </w:r>
      <w:r w:rsidRPr="004A0446">
        <w:rPr>
          <w:rFonts w:ascii="Abadi" w:hAnsi="Abadi" w:cs="Arial"/>
          <w:i/>
          <w:iCs/>
          <w:color w:val="130F11"/>
          <w:spacing w:val="50"/>
          <w:sz w:val="21"/>
          <w:szCs w:val="21"/>
          <w:lang w:val="es-MX"/>
        </w:rPr>
        <w:t xml:space="preserve"> </w:t>
      </w:r>
      <w:r w:rsidRPr="004A0446">
        <w:rPr>
          <w:rFonts w:ascii="Abadi" w:hAnsi="Abadi" w:cs="Arial"/>
          <w:i/>
          <w:iCs/>
          <w:color w:val="130F11"/>
          <w:sz w:val="21"/>
          <w:szCs w:val="21"/>
          <w:lang w:val="es-MX"/>
        </w:rPr>
        <w:t>realizar</w:t>
      </w:r>
      <w:r w:rsidRPr="004A0446">
        <w:rPr>
          <w:rFonts w:ascii="Abadi" w:hAnsi="Abadi" w:cs="Arial"/>
          <w:i/>
          <w:iCs/>
          <w:color w:val="130F11"/>
          <w:spacing w:val="50"/>
          <w:sz w:val="21"/>
          <w:szCs w:val="21"/>
          <w:lang w:val="es-MX"/>
        </w:rPr>
        <w:t xml:space="preserve"> </w:t>
      </w:r>
      <w:r w:rsidRPr="004A0446">
        <w:rPr>
          <w:rFonts w:ascii="Abadi" w:hAnsi="Abadi" w:cs="Arial"/>
          <w:i/>
          <w:iCs/>
          <w:color w:val="130F11"/>
          <w:sz w:val="21"/>
          <w:szCs w:val="21"/>
          <w:lang w:val="es-MX"/>
        </w:rPr>
        <w:t>entre otros,</w:t>
      </w:r>
      <w:r w:rsidRPr="004A0446">
        <w:rPr>
          <w:rFonts w:ascii="Abadi" w:hAnsi="Abadi" w:cs="Arial"/>
          <w:i/>
          <w:iCs/>
          <w:color w:val="B8B8B6"/>
          <w:sz w:val="21"/>
          <w:szCs w:val="21"/>
          <w:lang w:val="es-MX"/>
        </w:rPr>
        <w:t xml:space="preserve">' </w:t>
      </w:r>
      <w:r w:rsidRPr="004A0446">
        <w:rPr>
          <w:rFonts w:ascii="Abadi" w:hAnsi="Abadi" w:cs="Arial"/>
          <w:i/>
          <w:iCs/>
          <w:color w:val="130F11"/>
          <w:sz w:val="21"/>
          <w:szCs w:val="21"/>
          <w:lang w:val="es-MX"/>
        </w:rPr>
        <w:t>un</w:t>
      </w:r>
      <w:r w:rsidRPr="004A0446">
        <w:rPr>
          <w:rFonts w:ascii="Abadi" w:hAnsi="Abadi" w:cs="Arial"/>
          <w:i/>
          <w:iCs/>
          <w:color w:val="130F11"/>
          <w:spacing w:val="50"/>
          <w:sz w:val="21"/>
          <w:szCs w:val="21"/>
          <w:lang w:val="es-MX"/>
        </w:rPr>
        <w:t xml:space="preserve"> </w:t>
      </w:r>
      <w:r w:rsidRPr="004A0446">
        <w:rPr>
          <w:rFonts w:ascii="Abadi" w:hAnsi="Abadi" w:cs="Arial"/>
          <w:i/>
          <w:iCs/>
          <w:color w:val="130F11"/>
          <w:sz w:val="21"/>
          <w:szCs w:val="21"/>
          <w:lang w:val="es-MX"/>
        </w:rPr>
        <w:t>análisis presupuestario, el cual se</w:t>
      </w:r>
      <w:r w:rsidRPr="004A0446">
        <w:rPr>
          <w:rFonts w:ascii="Abadi" w:hAnsi="Abadi" w:cs="Arial"/>
          <w:i/>
          <w:iCs/>
          <w:color w:val="130F11"/>
          <w:spacing w:val="1"/>
          <w:sz w:val="21"/>
          <w:szCs w:val="21"/>
          <w:lang w:val="es-MX"/>
        </w:rPr>
        <w:t xml:space="preserve"> </w:t>
      </w:r>
      <w:r w:rsidRPr="004A0446">
        <w:rPr>
          <w:rFonts w:ascii="Abadi" w:hAnsi="Abadi" w:cs="Arial"/>
          <w:i/>
          <w:iCs/>
          <w:color w:val="130F11"/>
          <w:w w:val="110"/>
          <w:sz w:val="21"/>
          <w:szCs w:val="21"/>
          <w:lang w:val="es-MX"/>
        </w:rPr>
        <w:t>expone</w:t>
      </w:r>
      <w:r w:rsidRPr="004A0446">
        <w:rPr>
          <w:rFonts w:ascii="Abadi" w:hAnsi="Abadi" w:cs="Arial"/>
          <w:i/>
          <w:iCs/>
          <w:color w:val="130F11"/>
          <w:spacing w:val="40"/>
          <w:w w:val="110"/>
          <w:sz w:val="21"/>
          <w:szCs w:val="21"/>
          <w:lang w:val="es-MX"/>
        </w:rPr>
        <w:t xml:space="preserve"> </w:t>
      </w:r>
      <w:r w:rsidRPr="004A0446">
        <w:rPr>
          <w:rFonts w:ascii="Abadi" w:hAnsi="Abadi" w:cs="Arial"/>
          <w:i/>
          <w:iCs/>
          <w:color w:val="130F11"/>
          <w:sz w:val="21"/>
          <w:szCs w:val="21"/>
          <w:lang w:val="es-MX"/>
        </w:rPr>
        <w:t>de</w:t>
      </w:r>
      <w:r w:rsidRPr="004A0446">
        <w:rPr>
          <w:rFonts w:ascii="Abadi" w:hAnsi="Abadi" w:cs="Arial"/>
          <w:i/>
          <w:iCs/>
          <w:color w:val="130F11"/>
          <w:spacing w:val="25"/>
          <w:sz w:val="21"/>
          <w:szCs w:val="21"/>
          <w:lang w:val="es-MX"/>
        </w:rPr>
        <w:t xml:space="preserve"> </w:t>
      </w:r>
      <w:r w:rsidRPr="004A0446">
        <w:rPr>
          <w:rFonts w:ascii="Abadi" w:hAnsi="Abadi" w:cs="Arial"/>
          <w:i/>
          <w:iCs/>
          <w:color w:val="130F11"/>
          <w:sz w:val="21"/>
          <w:szCs w:val="21"/>
          <w:lang w:val="es-MX"/>
        </w:rPr>
        <w:t>manera</w:t>
      </w:r>
      <w:r w:rsidRPr="004A0446">
        <w:rPr>
          <w:rFonts w:ascii="Abadi" w:hAnsi="Abadi" w:cs="Arial"/>
          <w:i/>
          <w:iCs/>
          <w:color w:val="130F11"/>
          <w:spacing w:val="5"/>
          <w:sz w:val="21"/>
          <w:szCs w:val="21"/>
          <w:lang w:val="es-MX"/>
        </w:rPr>
        <w:t xml:space="preserve"> </w:t>
      </w:r>
      <w:r w:rsidRPr="004A0446">
        <w:rPr>
          <w:rFonts w:ascii="Abadi" w:hAnsi="Abadi" w:cs="Arial"/>
          <w:i/>
          <w:iCs/>
          <w:color w:val="130F11"/>
          <w:sz w:val="21"/>
          <w:szCs w:val="21"/>
          <w:lang w:val="es-MX"/>
        </w:rPr>
        <w:t>muy</w:t>
      </w:r>
      <w:r w:rsidRPr="004A0446">
        <w:rPr>
          <w:rFonts w:ascii="Abadi" w:hAnsi="Abadi" w:cs="Arial"/>
          <w:i/>
          <w:iCs/>
          <w:color w:val="130F11"/>
          <w:spacing w:val="39"/>
          <w:sz w:val="21"/>
          <w:szCs w:val="21"/>
          <w:lang w:val="es-MX"/>
        </w:rPr>
        <w:t xml:space="preserve"> </w:t>
      </w:r>
      <w:r w:rsidRPr="004A0446">
        <w:rPr>
          <w:rFonts w:ascii="Abadi" w:hAnsi="Abadi" w:cs="Arial"/>
          <w:i/>
          <w:iCs/>
          <w:color w:val="130F11"/>
          <w:sz w:val="21"/>
          <w:szCs w:val="21"/>
          <w:lang w:val="es-MX"/>
        </w:rPr>
        <w:t>breve</w:t>
      </w:r>
      <w:r w:rsidRPr="004A0446">
        <w:rPr>
          <w:rFonts w:ascii="Abadi" w:hAnsi="Abadi" w:cs="Arial"/>
          <w:i/>
          <w:iCs/>
          <w:color w:val="130F11"/>
          <w:spacing w:val="33"/>
          <w:sz w:val="21"/>
          <w:szCs w:val="21"/>
          <w:lang w:val="es-MX"/>
        </w:rPr>
        <w:t xml:space="preserve"> </w:t>
      </w:r>
      <w:r w:rsidRPr="004A0446">
        <w:rPr>
          <w:rFonts w:ascii="Abadi" w:hAnsi="Abadi" w:cs="Arial"/>
          <w:i/>
          <w:iCs/>
          <w:color w:val="130F11"/>
          <w:sz w:val="21"/>
          <w:szCs w:val="21"/>
          <w:lang w:val="es-MX"/>
        </w:rPr>
        <w:t>en</w:t>
      </w:r>
      <w:r w:rsidRPr="004A0446">
        <w:rPr>
          <w:rFonts w:ascii="Abadi" w:hAnsi="Abadi" w:cs="Arial"/>
          <w:i/>
          <w:iCs/>
          <w:color w:val="130F11"/>
          <w:spacing w:val="34"/>
          <w:sz w:val="21"/>
          <w:szCs w:val="21"/>
          <w:lang w:val="es-MX"/>
        </w:rPr>
        <w:t xml:space="preserve"> </w:t>
      </w:r>
      <w:r w:rsidRPr="004A0446">
        <w:rPr>
          <w:rFonts w:ascii="Abadi" w:hAnsi="Abadi" w:cs="Arial"/>
          <w:i/>
          <w:iCs/>
          <w:color w:val="130F11"/>
          <w:sz w:val="21"/>
          <w:szCs w:val="21"/>
          <w:lang w:val="es-MX"/>
        </w:rPr>
        <w:t>unos</w:t>
      </w:r>
      <w:r w:rsidRPr="004A0446">
        <w:rPr>
          <w:rFonts w:ascii="Abadi" w:hAnsi="Abadi" w:cs="Arial"/>
          <w:i/>
          <w:iCs/>
          <w:color w:val="130F11"/>
          <w:spacing w:val="32"/>
          <w:sz w:val="21"/>
          <w:szCs w:val="21"/>
          <w:lang w:val="es-MX"/>
        </w:rPr>
        <w:t xml:space="preserve"> </w:t>
      </w:r>
      <w:r w:rsidRPr="004A0446">
        <w:rPr>
          <w:rFonts w:ascii="Abadi" w:hAnsi="Abadi" w:cs="Arial"/>
          <w:i/>
          <w:iCs/>
          <w:color w:val="130F11"/>
          <w:sz w:val="21"/>
          <w:szCs w:val="21"/>
          <w:lang w:val="es-MX"/>
        </w:rPr>
        <w:t>cuantos</w:t>
      </w:r>
      <w:r w:rsidRPr="004A0446">
        <w:rPr>
          <w:rFonts w:ascii="Abadi" w:hAnsi="Abadi" w:cs="Arial"/>
          <w:i/>
          <w:iCs/>
          <w:color w:val="130F11"/>
          <w:spacing w:val="43"/>
          <w:sz w:val="21"/>
          <w:szCs w:val="21"/>
          <w:lang w:val="es-MX"/>
        </w:rPr>
        <w:t xml:space="preserve"> </w:t>
      </w:r>
      <w:r w:rsidRPr="004A0446">
        <w:rPr>
          <w:rFonts w:ascii="Abadi" w:hAnsi="Abadi" w:cs="Arial"/>
          <w:i/>
          <w:iCs/>
          <w:color w:val="130F11"/>
          <w:sz w:val="21"/>
          <w:szCs w:val="21"/>
          <w:lang w:val="es-MX"/>
        </w:rPr>
        <w:t>párrafos, sin</w:t>
      </w:r>
      <w:r w:rsidRPr="004A0446">
        <w:rPr>
          <w:rFonts w:ascii="Abadi" w:hAnsi="Abadi" w:cs="Arial"/>
          <w:i/>
          <w:iCs/>
          <w:color w:val="130F11"/>
          <w:spacing w:val="26"/>
          <w:sz w:val="21"/>
          <w:szCs w:val="21"/>
          <w:lang w:val="es-MX"/>
        </w:rPr>
        <w:t xml:space="preserve"> </w:t>
      </w:r>
      <w:r w:rsidRPr="004A0446">
        <w:rPr>
          <w:rFonts w:ascii="Abadi" w:hAnsi="Abadi" w:cs="Arial"/>
          <w:i/>
          <w:iCs/>
          <w:color w:val="130F11"/>
          <w:sz w:val="21"/>
          <w:szCs w:val="21"/>
          <w:lang w:val="es-MX"/>
        </w:rPr>
        <w:t>ahondar</w:t>
      </w:r>
      <w:r w:rsidRPr="004A0446">
        <w:rPr>
          <w:rFonts w:ascii="Abadi" w:hAnsi="Abadi" w:cs="Arial"/>
          <w:i/>
          <w:iCs/>
          <w:color w:val="130F11"/>
          <w:spacing w:val="46"/>
          <w:sz w:val="21"/>
          <w:szCs w:val="21"/>
          <w:lang w:val="es-MX"/>
        </w:rPr>
        <w:t xml:space="preserve"> </w:t>
      </w:r>
      <w:r w:rsidRPr="004A0446">
        <w:rPr>
          <w:rFonts w:ascii="Abadi" w:hAnsi="Abadi" w:cs="Arial"/>
          <w:i/>
          <w:iCs/>
          <w:color w:val="130F11"/>
          <w:sz w:val="21"/>
          <w:szCs w:val="21"/>
          <w:lang w:val="es-MX"/>
        </w:rPr>
        <w:t>en</w:t>
      </w:r>
      <w:r w:rsidRPr="004A0446">
        <w:rPr>
          <w:rFonts w:ascii="Abadi" w:hAnsi="Abadi" w:cs="Arial"/>
          <w:i/>
          <w:iCs/>
          <w:color w:val="130F11"/>
          <w:spacing w:val="26"/>
          <w:sz w:val="21"/>
          <w:szCs w:val="21"/>
          <w:lang w:val="es-MX"/>
        </w:rPr>
        <w:t xml:space="preserve"> </w:t>
      </w:r>
      <w:r w:rsidRPr="004A0446">
        <w:rPr>
          <w:rFonts w:ascii="Abadi" w:hAnsi="Abadi" w:cs="Arial"/>
          <w:i/>
          <w:iCs/>
          <w:color w:val="130F11"/>
          <w:sz w:val="21"/>
          <w:szCs w:val="21"/>
          <w:lang w:val="es-MX"/>
        </w:rPr>
        <w:t>el</w:t>
      </w:r>
      <w:r w:rsidRPr="004A0446">
        <w:rPr>
          <w:rFonts w:ascii="Abadi" w:hAnsi="Abadi" w:cs="Arial"/>
          <w:i/>
          <w:iCs/>
          <w:color w:val="130F11"/>
          <w:spacing w:val="31"/>
          <w:sz w:val="21"/>
          <w:szCs w:val="21"/>
          <w:lang w:val="es-MX"/>
        </w:rPr>
        <w:t xml:space="preserve"> </w:t>
      </w:r>
      <w:r w:rsidRPr="004A0446">
        <w:rPr>
          <w:rFonts w:ascii="Abadi" w:hAnsi="Abadi" w:cs="Arial"/>
          <w:i/>
          <w:iCs/>
          <w:color w:val="130F11"/>
          <w:sz w:val="21"/>
          <w:szCs w:val="21"/>
          <w:lang w:val="es-MX"/>
        </w:rPr>
        <w:t>fondo</w:t>
      </w:r>
      <w:r w:rsidRPr="004A0446">
        <w:rPr>
          <w:rFonts w:ascii="Abadi" w:hAnsi="Abadi" w:cs="Arial"/>
          <w:i/>
          <w:iCs/>
          <w:color w:val="130F11"/>
          <w:spacing w:val="36"/>
          <w:sz w:val="21"/>
          <w:szCs w:val="21"/>
          <w:lang w:val="es-MX"/>
        </w:rPr>
        <w:t xml:space="preserve"> </w:t>
      </w:r>
      <w:r w:rsidRPr="004A0446">
        <w:rPr>
          <w:rFonts w:ascii="Abadi" w:hAnsi="Abadi" w:cs="Arial"/>
          <w:i/>
          <w:iCs/>
          <w:color w:val="130F11"/>
          <w:sz w:val="21"/>
          <w:szCs w:val="21"/>
          <w:lang w:val="es-MX"/>
        </w:rPr>
        <w:t>de</w:t>
      </w:r>
      <w:r w:rsidRPr="004A0446">
        <w:rPr>
          <w:rFonts w:ascii="Abadi" w:hAnsi="Abadi" w:cs="Arial"/>
          <w:i/>
          <w:iCs/>
          <w:color w:val="130F11"/>
          <w:spacing w:val="25"/>
          <w:sz w:val="21"/>
          <w:szCs w:val="21"/>
          <w:lang w:val="es-MX"/>
        </w:rPr>
        <w:t xml:space="preserve"> </w:t>
      </w:r>
      <w:r w:rsidRPr="004A0446">
        <w:rPr>
          <w:rFonts w:ascii="Abadi" w:hAnsi="Abadi" w:cs="Arial"/>
          <w:i/>
          <w:iCs/>
          <w:color w:val="130F11"/>
          <w:sz w:val="21"/>
          <w:szCs w:val="21"/>
          <w:lang w:val="es-MX"/>
        </w:rPr>
        <w:t>la</w:t>
      </w:r>
      <w:r w:rsidRPr="004A0446">
        <w:rPr>
          <w:rFonts w:ascii="Abadi" w:hAnsi="Abadi" w:cs="Arial"/>
          <w:i/>
          <w:iCs/>
          <w:color w:val="130F11"/>
          <w:spacing w:val="30"/>
          <w:sz w:val="21"/>
          <w:szCs w:val="21"/>
          <w:lang w:val="es-MX"/>
        </w:rPr>
        <w:t xml:space="preserve"> </w:t>
      </w:r>
      <w:r w:rsidRPr="004A0446">
        <w:rPr>
          <w:rFonts w:ascii="Abadi" w:hAnsi="Abadi" w:cs="Arial"/>
          <w:i/>
          <w:iCs/>
          <w:color w:val="130F11"/>
          <w:sz w:val="21"/>
          <w:szCs w:val="21"/>
          <w:lang w:val="es-MX"/>
        </w:rPr>
        <w:t>materia</w:t>
      </w:r>
      <w:r w:rsidRPr="004A0446">
        <w:rPr>
          <w:rFonts w:ascii="Abadi" w:hAnsi="Abadi" w:cs="Arial"/>
          <w:i/>
          <w:iCs/>
          <w:color w:val="130F11"/>
          <w:spacing w:val="45"/>
          <w:sz w:val="21"/>
          <w:szCs w:val="21"/>
          <w:lang w:val="es-MX"/>
        </w:rPr>
        <w:t xml:space="preserve"> </w:t>
      </w:r>
      <w:r w:rsidRPr="004A0446">
        <w:rPr>
          <w:rFonts w:ascii="Abadi" w:hAnsi="Abadi" w:cs="Arial"/>
          <w:i/>
          <w:iCs/>
          <w:color w:val="130F11"/>
          <w:sz w:val="21"/>
          <w:szCs w:val="21"/>
          <w:lang w:val="es-MX"/>
        </w:rPr>
        <w:t>del</w:t>
      </w:r>
      <w:r w:rsidRPr="004A0446">
        <w:rPr>
          <w:rFonts w:ascii="Abadi" w:hAnsi="Abadi" w:cs="Arial"/>
          <w:i/>
          <w:iCs/>
          <w:color w:val="130F11"/>
          <w:spacing w:val="36"/>
          <w:sz w:val="21"/>
          <w:szCs w:val="21"/>
          <w:lang w:val="es-MX"/>
        </w:rPr>
        <w:t xml:space="preserve"> </w:t>
      </w:r>
      <w:r w:rsidRPr="004A0446">
        <w:rPr>
          <w:rFonts w:ascii="Abadi" w:hAnsi="Abadi" w:cs="Arial"/>
          <w:i/>
          <w:iCs/>
          <w:color w:val="130F11"/>
          <w:sz w:val="21"/>
          <w:szCs w:val="21"/>
          <w:lang w:val="es-MX"/>
        </w:rPr>
        <w:t>suicidio.</w:t>
      </w:r>
      <w:r w:rsidRPr="004A0446">
        <w:rPr>
          <w:rFonts w:ascii="Abadi" w:hAnsi="Abadi" w:cs="Arial"/>
          <w:i/>
          <w:iCs/>
          <w:color w:val="130F11"/>
          <w:spacing w:val="2"/>
          <w:sz w:val="21"/>
          <w:szCs w:val="21"/>
          <w:lang w:val="es-MX"/>
        </w:rPr>
        <w:t xml:space="preserve"> </w:t>
      </w:r>
      <w:r w:rsidRPr="004A0446">
        <w:rPr>
          <w:rFonts w:ascii="Abadi" w:hAnsi="Abadi" w:cs="Arial"/>
          <w:i/>
          <w:iCs/>
          <w:color w:val="130F11"/>
          <w:sz w:val="21"/>
          <w:szCs w:val="21"/>
          <w:lang w:val="es-MX"/>
        </w:rPr>
        <w:t xml:space="preserve">Esto </w:t>
      </w:r>
      <w:r w:rsidRPr="004A0446">
        <w:rPr>
          <w:rFonts w:ascii="Abadi" w:hAnsi="Abadi" w:cs="Arial"/>
          <w:i/>
          <w:iCs/>
          <w:color w:val="130F11"/>
          <w:w w:val="105"/>
          <w:sz w:val="21"/>
          <w:szCs w:val="21"/>
          <w:lang w:val="es-MX"/>
        </w:rPr>
        <w:t>se hace de manifiesto en el artículo</w:t>
      </w:r>
      <w:r w:rsidRPr="004A0446">
        <w:rPr>
          <w:rFonts w:ascii="Abadi" w:hAnsi="Abadi" w:cs="Arial"/>
          <w:i/>
          <w:iCs/>
          <w:color w:val="130F11"/>
          <w:spacing w:val="1"/>
          <w:w w:val="105"/>
          <w:sz w:val="21"/>
          <w:szCs w:val="21"/>
          <w:lang w:val="es-MX"/>
        </w:rPr>
        <w:t xml:space="preserve"> </w:t>
      </w:r>
      <w:r w:rsidRPr="004A0446">
        <w:rPr>
          <w:rFonts w:ascii="Abadi" w:hAnsi="Abadi" w:cs="Arial"/>
          <w:i/>
          <w:iCs/>
          <w:color w:val="130F11"/>
          <w:w w:val="105"/>
          <w:sz w:val="21"/>
          <w:szCs w:val="21"/>
          <w:lang w:val="es-MX"/>
        </w:rPr>
        <w:t>16 de la</w:t>
      </w:r>
      <w:r w:rsidRPr="004A0446">
        <w:rPr>
          <w:rFonts w:ascii="Abadi" w:hAnsi="Abadi" w:cs="Arial"/>
          <w:i/>
          <w:iCs/>
          <w:color w:val="130F11"/>
          <w:spacing w:val="1"/>
          <w:w w:val="105"/>
          <w:sz w:val="21"/>
          <w:szCs w:val="21"/>
          <w:lang w:val="es-MX"/>
        </w:rPr>
        <w:t xml:space="preserve"> </w:t>
      </w:r>
      <w:r w:rsidRPr="004A0446">
        <w:rPr>
          <w:rFonts w:ascii="Abadi" w:hAnsi="Abadi" w:cs="Arial"/>
          <w:i/>
          <w:iCs/>
          <w:color w:val="130F11"/>
          <w:w w:val="105"/>
          <w:sz w:val="21"/>
          <w:szCs w:val="21"/>
          <w:lang w:val="es-MX"/>
        </w:rPr>
        <w:t xml:space="preserve">iniciativa, ya que se pretende llevar a cabo una </w:t>
      </w:r>
      <w:r w:rsidRPr="004A0446">
        <w:rPr>
          <w:rFonts w:ascii="Abadi" w:hAnsi="Abadi" w:cs="Arial"/>
          <w:i/>
          <w:iCs/>
          <w:color w:val="130F11"/>
          <w:w w:val="105"/>
          <w:sz w:val="21"/>
          <w:szCs w:val="21"/>
          <w:u w:val="thick" w:color="130F11"/>
          <w:lang w:val="es-MX"/>
        </w:rPr>
        <w:t>capacitación</w:t>
      </w:r>
      <w:r w:rsidRPr="004A0446">
        <w:rPr>
          <w:rFonts w:ascii="Abadi" w:hAnsi="Abadi" w:cs="Arial"/>
          <w:i/>
          <w:iCs/>
          <w:color w:val="130F11"/>
          <w:spacing w:val="1"/>
          <w:w w:val="105"/>
          <w:sz w:val="21"/>
          <w:szCs w:val="21"/>
          <w:lang w:val="es-MX"/>
        </w:rPr>
        <w:t xml:space="preserve"> </w:t>
      </w:r>
      <w:r w:rsidRPr="004A0446">
        <w:rPr>
          <w:rFonts w:ascii="Abadi" w:hAnsi="Abadi" w:cs="Arial"/>
          <w:i/>
          <w:iCs/>
          <w:color w:val="130F11"/>
          <w:w w:val="105"/>
          <w:sz w:val="21"/>
          <w:szCs w:val="21"/>
          <w:u w:val="thick" w:color="130F11"/>
          <w:lang w:val="es-MX"/>
        </w:rPr>
        <w:t>sistemática</w:t>
      </w:r>
      <w:r w:rsidRPr="004A0446">
        <w:rPr>
          <w:rFonts w:ascii="Abadi" w:hAnsi="Abadi" w:cs="Arial"/>
          <w:i/>
          <w:iCs/>
          <w:color w:val="130F11"/>
          <w:spacing w:val="1"/>
          <w:w w:val="105"/>
          <w:sz w:val="21"/>
          <w:szCs w:val="21"/>
          <w:lang w:val="es-MX"/>
        </w:rPr>
        <w:t xml:space="preserve"> </w:t>
      </w:r>
      <w:r w:rsidRPr="004A0446">
        <w:rPr>
          <w:rFonts w:ascii="Abadi" w:hAnsi="Abadi" w:cs="Arial"/>
          <w:i/>
          <w:iCs/>
          <w:color w:val="130F11"/>
          <w:w w:val="105"/>
          <w:sz w:val="21"/>
          <w:szCs w:val="21"/>
          <w:u w:val="thick" w:color="130F11"/>
          <w:lang w:val="es-MX"/>
        </w:rPr>
        <w:t>y permanente</w:t>
      </w:r>
      <w:r w:rsidRPr="004A0446">
        <w:rPr>
          <w:rFonts w:ascii="Abadi" w:hAnsi="Abadi" w:cs="Arial"/>
          <w:i/>
          <w:iCs/>
          <w:color w:val="130F11"/>
          <w:w w:val="105"/>
          <w:sz w:val="21"/>
          <w:szCs w:val="21"/>
          <w:lang w:val="es-MX"/>
        </w:rPr>
        <w:t xml:space="preserve"> en la materia, lo cual impl</w:t>
      </w:r>
      <w:r w:rsidRPr="004A0446">
        <w:rPr>
          <w:rFonts w:ascii="Abadi" w:hAnsi="Abadi" w:cs="Arial"/>
          <w:i/>
          <w:iCs/>
          <w:color w:val="343134"/>
          <w:w w:val="105"/>
          <w:sz w:val="21"/>
          <w:szCs w:val="21"/>
          <w:lang w:val="es-MX"/>
        </w:rPr>
        <w:t>i</w:t>
      </w:r>
      <w:r w:rsidRPr="004A0446">
        <w:rPr>
          <w:rFonts w:ascii="Abadi" w:hAnsi="Abadi" w:cs="Arial"/>
          <w:i/>
          <w:iCs/>
          <w:color w:val="130F11"/>
          <w:w w:val="105"/>
          <w:sz w:val="21"/>
          <w:szCs w:val="21"/>
          <w:lang w:val="es-MX"/>
        </w:rPr>
        <w:t>ca gran gasto de recursos, sin que se hayan hecho las</w:t>
      </w:r>
      <w:r w:rsidRPr="004A0446">
        <w:rPr>
          <w:rFonts w:ascii="Abadi" w:hAnsi="Abadi" w:cs="Arial"/>
          <w:i/>
          <w:iCs/>
          <w:color w:val="130F11"/>
          <w:spacing w:val="1"/>
          <w:w w:val="105"/>
          <w:sz w:val="21"/>
          <w:szCs w:val="21"/>
          <w:lang w:val="es-MX"/>
        </w:rPr>
        <w:t xml:space="preserve"> </w:t>
      </w:r>
      <w:r w:rsidRPr="004A0446">
        <w:rPr>
          <w:rFonts w:ascii="Abadi" w:hAnsi="Abadi" w:cs="Arial"/>
          <w:i/>
          <w:iCs/>
          <w:color w:val="130F11"/>
          <w:w w:val="105"/>
          <w:sz w:val="21"/>
          <w:szCs w:val="21"/>
          <w:lang w:val="es-MX"/>
        </w:rPr>
        <w:t>previsiones</w:t>
      </w:r>
      <w:r w:rsidRPr="004A0446">
        <w:rPr>
          <w:rFonts w:ascii="Abadi" w:hAnsi="Abadi" w:cs="Arial"/>
          <w:i/>
          <w:iCs/>
          <w:color w:val="130F11"/>
          <w:spacing w:val="13"/>
          <w:w w:val="105"/>
          <w:sz w:val="21"/>
          <w:szCs w:val="21"/>
          <w:lang w:val="es-MX"/>
        </w:rPr>
        <w:t xml:space="preserve"> </w:t>
      </w:r>
      <w:r w:rsidRPr="004A0446">
        <w:rPr>
          <w:rFonts w:ascii="Abadi" w:hAnsi="Abadi" w:cs="Arial"/>
          <w:i/>
          <w:iCs/>
          <w:color w:val="130F11"/>
          <w:w w:val="105"/>
          <w:sz w:val="21"/>
          <w:szCs w:val="21"/>
          <w:lang w:val="es-MX"/>
        </w:rPr>
        <w:t>necesarias.</w:t>
      </w:r>
    </w:p>
    <w:p w14:paraId="23DB765C" w14:textId="77777777" w:rsidR="00E3434F" w:rsidRPr="004A0446" w:rsidRDefault="00E3434F" w:rsidP="00F3730A">
      <w:pPr>
        <w:spacing w:before="9"/>
        <w:ind w:left="-284" w:right="-36" w:firstLine="850"/>
        <w:jc w:val="both"/>
        <w:rPr>
          <w:rFonts w:ascii="Abadi" w:hAnsi="Abadi" w:cs="Arial"/>
          <w:i/>
          <w:iCs/>
          <w:sz w:val="21"/>
          <w:szCs w:val="21"/>
          <w:lang w:val="es-MX"/>
        </w:rPr>
      </w:pPr>
    </w:p>
    <w:p w14:paraId="35587FB0" w14:textId="77777777" w:rsidR="00E3434F" w:rsidRPr="004A0446" w:rsidRDefault="00E3434F" w:rsidP="00F3730A">
      <w:pPr>
        <w:ind w:left="1134" w:right="567" w:firstLine="567"/>
        <w:jc w:val="both"/>
        <w:rPr>
          <w:rFonts w:ascii="Abadi" w:hAnsi="Abadi" w:cs="Arial"/>
          <w:i/>
          <w:iCs/>
          <w:color w:val="130F11"/>
          <w:sz w:val="21"/>
          <w:szCs w:val="21"/>
          <w:lang w:val="es-MX"/>
        </w:rPr>
      </w:pPr>
      <w:r w:rsidRPr="004A0446">
        <w:rPr>
          <w:rFonts w:ascii="Abadi" w:hAnsi="Abadi" w:cs="Arial"/>
          <w:i/>
          <w:iCs/>
          <w:color w:val="130F11"/>
          <w:sz w:val="21"/>
          <w:szCs w:val="21"/>
          <w:lang w:val="es-MX"/>
        </w:rPr>
        <w:t>Asimismo, en el artículo 18 de  la multicitada iniciativa,  se señala que todos los centros de atención médica, públicos y privados, estarán obligados a brindar cobertura asistencial de emergencia a las personas que hayan intentado suicidarse y a sus familias, pero no quedan claros los alcances del mismo, toda vez que la palabra "cobertura" es ambigua, asimismo, tampoco se menciona quien va cubrir el costo de dichos servicios en el caso de centros privados, ya que la esencia de dichos establecimientos, es recibir una contraprestación económica por lo que ofrecen. Finalmente, queda imperfecto dicho artículo, al no mencionarse sanción alguna en caso de incumplimiento.</w:t>
      </w:r>
    </w:p>
    <w:p w14:paraId="1F275BBB" w14:textId="77777777" w:rsidR="00E3434F" w:rsidRPr="004A0446" w:rsidRDefault="00E3434F" w:rsidP="00F3730A">
      <w:pPr>
        <w:tabs>
          <w:tab w:val="left" w:pos="426"/>
        </w:tabs>
        <w:spacing w:before="9"/>
        <w:ind w:left="-284" w:right="-36" w:firstLine="850"/>
        <w:jc w:val="both"/>
        <w:rPr>
          <w:rFonts w:ascii="Abadi" w:hAnsi="Abadi" w:cs="Arial"/>
          <w:i/>
          <w:iCs/>
          <w:color w:val="130F11"/>
          <w:sz w:val="21"/>
          <w:szCs w:val="21"/>
          <w:lang w:val="es-MX"/>
        </w:rPr>
      </w:pPr>
    </w:p>
    <w:p w14:paraId="43F6D1C7" w14:textId="77777777" w:rsidR="00E3434F" w:rsidRPr="004A0446" w:rsidRDefault="00E3434F" w:rsidP="00F3730A">
      <w:pPr>
        <w:tabs>
          <w:tab w:val="left" w:pos="567"/>
        </w:tabs>
        <w:ind w:left="1134" w:right="567" w:firstLine="567"/>
        <w:jc w:val="both"/>
        <w:rPr>
          <w:rFonts w:ascii="Abadi" w:hAnsi="Abadi" w:cs="Arial"/>
          <w:i/>
          <w:iCs/>
          <w:color w:val="130F11"/>
          <w:sz w:val="21"/>
          <w:szCs w:val="21"/>
          <w:lang w:val="es-MX"/>
        </w:rPr>
      </w:pPr>
      <w:r w:rsidRPr="004A0446">
        <w:rPr>
          <w:rFonts w:ascii="Abadi" w:hAnsi="Abadi" w:cs="Arial"/>
          <w:i/>
          <w:iCs/>
          <w:color w:val="130F11"/>
          <w:sz w:val="21"/>
          <w:szCs w:val="21"/>
          <w:lang w:val="es-MX"/>
        </w:rPr>
        <w:t>Adicionalmente, el artículo 23 de la iniciativa, hace referencia en su fracción II, sobre el Registro estatal a que se refiere el artículo 7, fracción VI, siendo lo correcto el artículo 6.</w:t>
      </w:r>
    </w:p>
    <w:p w14:paraId="6EDA85A6" w14:textId="77777777" w:rsidR="00E3434F" w:rsidRPr="004A0446" w:rsidRDefault="00E3434F" w:rsidP="00F3730A">
      <w:pPr>
        <w:spacing w:before="8"/>
        <w:ind w:right="-36"/>
        <w:jc w:val="both"/>
        <w:rPr>
          <w:rFonts w:ascii="Abadi" w:hAnsi="Abadi" w:cs="Arial"/>
          <w:i/>
          <w:iCs/>
          <w:sz w:val="21"/>
          <w:szCs w:val="21"/>
          <w:lang w:val="es-MX"/>
        </w:rPr>
      </w:pPr>
    </w:p>
    <w:p w14:paraId="504620A6" w14:textId="77777777" w:rsidR="00E3434F" w:rsidRPr="004A0446" w:rsidRDefault="00E3434F" w:rsidP="00F3730A">
      <w:pPr>
        <w:widowControl w:val="0"/>
        <w:tabs>
          <w:tab w:val="left" w:pos="142"/>
          <w:tab w:val="left" w:pos="8647"/>
        </w:tabs>
        <w:ind w:right="-518" w:firstLine="1134"/>
        <w:jc w:val="both"/>
        <w:rPr>
          <w:rFonts w:ascii="Abadi" w:hAnsi="Abadi" w:cs="Arial"/>
          <w:sz w:val="21"/>
          <w:szCs w:val="21"/>
        </w:rPr>
      </w:pPr>
      <w:r w:rsidRPr="004A0446">
        <w:rPr>
          <w:rFonts w:ascii="Abadi" w:hAnsi="Abadi" w:cs="Arial"/>
          <w:sz w:val="21"/>
          <w:szCs w:val="21"/>
        </w:rPr>
        <w:t>(…)</w:t>
      </w:r>
    </w:p>
    <w:p w14:paraId="2D5F5726" w14:textId="77777777" w:rsidR="00E3434F" w:rsidRPr="004A0446" w:rsidRDefault="00E3434F" w:rsidP="00F3730A">
      <w:pPr>
        <w:ind w:right="27" w:firstLine="567"/>
        <w:jc w:val="both"/>
        <w:rPr>
          <w:rFonts w:ascii="Abadi" w:hAnsi="Abadi" w:cs="Century Gothic"/>
          <w:color w:val="000000"/>
          <w:sz w:val="21"/>
          <w:szCs w:val="21"/>
          <w:lang w:val="es-ES_tradnl" w:eastAsia="es-ES_tradnl"/>
        </w:rPr>
      </w:pPr>
    </w:p>
    <w:p w14:paraId="3D9F1449" w14:textId="77777777" w:rsidR="00E3434F" w:rsidRPr="004A0446" w:rsidRDefault="00E3434F" w:rsidP="00F3730A">
      <w:pPr>
        <w:ind w:right="27" w:firstLine="567"/>
        <w:jc w:val="both"/>
        <w:rPr>
          <w:rFonts w:ascii="Abadi" w:hAnsi="Abadi" w:cs="Arial"/>
          <w:sz w:val="21"/>
          <w:szCs w:val="21"/>
        </w:rPr>
      </w:pPr>
      <w:r w:rsidRPr="004A0446">
        <w:rPr>
          <w:rFonts w:ascii="Abadi" w:hAnsi="Abadi" w:cs="Century Gothic"/>
          <w:color w:val="000000"/>
          <w:sz w:val="21"/>
          <w:szCs w:val="21"/>
          <w:lang w:val="es-ES_tradnl" w:eastAsia="es-ES_tradnl"/>
        </w:rPr>
        <w:t>En reunión de la Comisión de Salud Pública celebrada el 27 de septiembre de 2022, la presidencia instruyó a la secretaría técnica la elaboración del proyecto de dictamen en sentido negativo de las dos iniciativas que nos ocupa.</w:t>
      </w:r>
    </w:p>
    <w:p w14:paraId="1ADA194D" w14:textId="77777777" w:rsidR="00E3434F" w:rsidRPr="004A0446" w:rsidRDefault="00E3434F" w:rsidP="00F3730A">
      <w:pPr>
        <w:ind w:right="27" w:firstLine="709"/>
        <w:jc w:val="both"/>
        <w:rPr>
          <w:rFonts w:ascii="Abadi" w:hAnsi="Abadi" w:cs="Arial"/>
          <w:sz w:val="21"/>
          <w:szCs w:val="21"/>
        </w:rPr>
      </w:pPr>
    </w:p>
    <w:p w14:paraId="3C095E36" w14:textId="77777777" w:rsidR="00E3434F" w:rsidRPr="004A0446" w:rsidRDefault="00E3434F" w:rsidP="00F3730A">
      <w:pPr>
        <w:ind w:right="-1" w:firstLine="567"/>
        <w:jc w:val="both"/>
        <w:rPr>
          <w:rFonts w:ascii="Abadi" w:hAnsi="Abadi" w:cs="Arial"/>
          <w:bCs/>
          <w:sz w:val="21"/>
          <w:szCs w:val="21"/>
          <w:lang w:val="es-MX"/>
        </w:rPr>
      </w:pPr>
      <w:r w:rsidRPr="004A0446">
        <w:rPr>
          <w:rFonts w:ascii="Abadi" w:hAnsi="Abadi" w:cs="Arial"/>
          <w:b/>
          <w:bCs/>
          <w:sz w:val="21"/>
          <w:szCs w:val="21"/>
          <w:lang w:val="es-MX"/>
        </w:rPr>
        <w:t>III. Consideraciones.</w:t>
      </w:r>
    </w:p>
    <w:p w14:paraId="4E702325" w14:textId="77777777" w:rsidR="00E3434F" w:rsidRPr="004A0446" w:rsidRDefault="00E3434F" w:rsidP="00F3730A">
      <w:pPr>
        <w:ind w:right="-1"/>
        <w:jc w:val="both"/>
        <w:rPr>
          <w:rFonts w:ascii="Abadi" w:hAnsi="Abadi" w:cs="Arial"/>
          <w:bCs/>
          <w:sz w:val="21"/>
          <w:szCs w:val="21"/>
          <w:lang w:val="es-MX"/>
        </w:rPr>
      </w:pPr>
    </w:p>
    <w:p w14:paraId="3F012100" w14:textId="77777777" w:rsidR="00E3434F" w:rsidRPr="004A0446" w:rsidRDefault="00E3434F" w:rsidP="00F3730A">
      <w:pPr>
        <w:tabs>
          <w:tab w:val="left" w:pos="8505"/>
        </w:tabs>
        <w:ind w:right="27" w:firstLine="567"/>
        <w:jc w:val="both"/>
        <w:rPr>
          <w:rFonts w:ascii="Abadi" w:eastAsia="SimSun" w:hAnsi="Abadi" w:cs="Arial"/>
          <w:bCs/>
          <w:sz w:val="21"/>
          <w:szCs w:val="21"/>
        </w:rPr>
      </w:pPr>
      <w:r w:rsidRPr="004A0446">
        <w:rPr>
          <w:rFonts w:ascii="Abadi" w:eastAsia="SimSun" w:hAnsi="Abadi"/>
          <w:bCs/>
          <w:sz w:val="21"/>
          <w:szCs w:val="21"/>
        </w:rPr>
        <w:t>Una vez analizadas las dos propuestas legislativas de mérito, las opiniones y comentarios recibidos, así como lo vertido en las mesas de trabajo, se estima necesario por esta dictaminadora el destacar lo derivo de ello</w:t>
      </w:r>
      <w:r w:rsidRPr="004A0446">
        <w:rPr>
          <w:rFonts w:ascii="Abadi" w:eastAsia="SimSun" w:hAnsi="Abadi"/>
          <w:bCs/>
          <w:sz w:val="21"/>
          <w:szCs w:val="21"/>
          <w:lang w:val="es-MX"/>
        </w:rPr>
        <w:t>,</w:t>
      </w:r>
      <w:r w:rsidRPr="004A0446">
        <w:rPr>
          <w:rFonts w:ascii="Abadi" w:eastAsia="SimSun" w:hAnsi="Abadi"/>
          <w:bCs/>
          <w:sz w:val="21"/>
          <w:szCs w:val="21"/>
        </w:rPr>
        <w:t xml:space="preserve"> partiendo de que </w:t>
      </w:r>
      <w:r w:rsidRPr="004A0446">
        <w:rPr>
          <w:rFonts w:ascii="Abadi" w:eastAsia="SimSun" w:hAnsi="Abadi" w:cs="Arial"/>
          <w:bCs/>
          <w:sz w:val="21"/>
          <w:szCs w:val="21"/>
        </w:rPr>
        <w:t>ambas iniciativas abordan la misma materia y su objeto guardan similitud, como se aprecia en lo siguiente:</w:t>
      </w:r>
    </w:p>
    <w:p w14:paraId="295BDFAF" w14:textId="77777777" w:rsidR="00E3434F" w:rsidRPr="004A0446" w:rsidRDefault="00E3434F" w:rsidP="00F3730A">
      <w:pPr>
        <w:ind w:right="-1134" w:firstLine="709"/>
        <w:jc w:val="both"/>
        <w:rPr>
          <w:rFonts w:ascii="Abadi" w:eastAsia="SimSun" w:hAnsi="Abadi" w:cs="Arial"/>
          <w:bCs/>
          <w:sz w:val="21"/>
          <w:szCs w:val="21"/>
        </w:rPr>
      </w:pPr>
    </w:p>
    <w:p w14:paraId="44A0F884" w14:textId="77777777" w:rsidR="00E3434F" w:rsidRPr="004A0446" w:rsidRDefault="00E3434F" w:rsidP="00F3730A">
      <w:pPr>
        <w:ind w:firstLine="567"/>
        <w:jc w:val="both"/>
        <w:rPr>
          <w:rFonts w:ascii="Abadi" w:eastAsia="SimSun" w:hAnsi="Abadi" w:cs="Arial"/>
          <w:bCs/>
          <w:sz w:val="21"/>
          <w:szCs w:val="21"/>
        </w:rPr>
      </w:pPr>
      <w:r w:rsidRPr="004A0446">
        <w:rPr>
          <w:rFonts w:ascii="Abadi" w:eastAsia="SimSun" w:hAnsi="Abadi" w:cs="Arial"/>
          <w:bCs/>
          <w:sz w:val="21"/>
          <w:szCs w:val="21"/>
        </w:rPr>
        <w:t xml:space="preserve">En el artículo 1 de la Iniciativa de Ley de Prevención y Atención del Suicidio para el Estado y los Municipios de Guanajuato, y de adición al artículo 27 fracción I un inciso h de la Ley Orgánica del Poder Ejecutivo para el Estado de Guanajuato, suscrita por la diputada y el diputado integrantes del Grupo Parlamentario del Partido Verde Ecologista de México se establece: </w:t>
      </w:r>
    </w:p>
    <w:p w14:paraId="6E6AC5C7" w14:textId="77777777" w:rsidR="00E3434F" w:rsidRPr="004A0446" w:rsidRDefault="00E3434F" w:rsidP="00F3730A">
      <w:pPr>
        <w:ind w:firstLine="567"/>
        <w:jc w:val="both"/>
        <w:rPr>
          <w:rFonts w:ascii="Abadi" w:eastAsia="SimSun" w:hAnsi="Abadi" w:cs="Arial"/>
          <w:bCs/>
          <w:sz w:val="21"/>
          <w:szCs w:val="21"/>
        </w:rPr>
      </w:pPr>
    </w:p>
    <w:p w14:paraId="11325DBB" w14:textId="77777777" w:rsidR="00E3434F" w:rsidRPr="004A0446" w:rsidRDefault="00E3434F" w:rsidP="00F3730A">
      <w:pPr>
        <w:ind w:left="1134"/>
        <w:jc w:val="both"/>
        <w:rPr>
          <w:rFonts w:ascii="Abadi" w:eastAsia="SimSun" w:hAnsi="Abadi" w:cs="Arial"/>
          <w:bCs/>
          <w:i/>
          <w:iCs/>
          <w:sz w:val="21"/>
          <w:szCs w:val="21"/>
        </w:rPr>
      </w:pPr>
      <w:r w:rsidRPr="004A0446">
        <w:rPr>
          <w:rFonts w:ascii="Abadi" w:eastAsia="SimSun" w:hAnsi="Abadi" w:cs="Arial"/>
          <w:bCs/>
          <w:i/>
          <w:iCs/>
          <w:sz w:val="21"/>
          <w:szCs w:val="21"/>
        </w:rPr>
        <w:t>Las disposiciones de la presente Ley son de orden público e interés general, y de observancia obligatoria en el estado de Guanajuato y tienen como objeto la protección de la salud mental y la disminución de la incidencia y prevalencia del suicidio en el estado, a través de la prevención, asistencia y posvención de las víctimas y sus familiares.</w:t>
      </w:r>
    </w:p>
    <w:p w14:paraId="54427AEA" w14:textId="77777777" w:rsidR="00E3434F" w:rsidRPr="004A0446" w:rsidRDefault="00E3434F" w:rsidP="00F3730A">
      <w:pPr>
        <w:ind w:firstLine="709"/>
        <w:jc w:val="both"/>
        <w:rPr>
          <w:rFonts w:ascii="Abadi" w:eastAsia="SimSun" w:hAnsi="Abadi" w:cs="Arial"/>
          <w:bCs/>
          <w:i/>
          <w:iCs/>
          <w:sz w:val="21"/>
          <w:szCs w:val="21"/>
        </w:rPr>
      </w:pPr>
    </w:p>
    <w:p w14:paraId="157254C0" w14:textId="77777777" w:rsidR="00E3434F" w:rsidRPr="004A0446" w:rsidRDefault="00E3434F" w:rsidP="00F3730A">
      <w:pPr>
        <w:autoSpaceDE w:val="0"/>
        <w:autoSpaceDN w:val="0"/>
        <w:adjustRightInd w:val="0"/>
        <w:ind w:firstLine="567"/>
        <w:jc w:val="both"/>
        <w:rPr>
          <w:rFonts w:ascii="Abadi" w:eastAsia="SimSun" w:hAnsi="Abadi" w:cs="Arial"/>
          <w:bCs/>
          <w:sz w:val="21"/>
          <w:szCs w:val="21"/>
        </w:rPr>
      </w:pPr>
      <w:r w:rsidRPr="004A0446">
        <w:rPr>
          <w:rFonts w:ascii="Abadi" w:eastAsia="SimSun" w:hAnsi="Abadi"/>
          <w:bCs/>
          <w:sz w:val="21"/>
          <w:szCs w:val="21"/>
        </w:rPr>
        <w:t>En el artículo 1 de la iniciativa</w:t>
      </w:r>
      <w:r w:rsidRPr="004A0446">
        <w:rPr>
          <w:rFonts w:ascii="Abadi" w:eastAsia="SimSun" w:hAnsi="Abadi" w:cs="Arial"/>
          <w:bCs/>
          <w:sz w:val="21"/>
          <w:szCs w:val="21"/>
        </w:rPr>
        <w:t xml:space="preserve"> de Ley de Prevención del Suicidio y de las Acciones de Posvención en el Estado de Guanajuato, formulada por diputadas y diputados integrantes del Grupo Parlamentario del Partido Revolucionario Institucional, ante la Sexagésima Cuarta Legislatura del Congreso del Estado se señala: </w:t>
      </w:r>
    </w:p>
    <w:p w14:paraId="5E2A193F" w14:textId="77777777" w:rsidR="00E3434F" w:rsidRDefault="00E3434F" w:rsidP="00F3730A">
      <w:pPr>
        <w:autoSpaceDE w:val="0"/>
        <w:autoSpaceDN w:val="0"/>
        <w:adjustRightInd w:val="0"/>
        <w:ind w:left="1134"/>
        <w:jc w:val="both"/>
        <w:rPr>
          <w:rFonts w:ascii="Abadi" w:eastAsia="SimSun" w:hAnsi="Abadi" w:cs="Arial"/>
          <w:bCs/>
          <w:i/>
          <w:iCs/>
          <w:sz w:val="21"/>
          <w:szCs w:val="21"/>
        </w:rPr>
      </w:pPr>
    </w:p>
    <w:p w14:paraId="10177B61" w14:textId="77777777" w:rsidR="00E3434F" w:rsidRPr="004A0446" w:rsidRDefault="00E3434F" w:rsidP="00F3730A">
      <w:pPr>
        <w:autoSpaceDE w:val="0"/>
        <w:autoSpaceDN w:val="0"/>
        <w:adjustRightInd w:val="0"/>
        <w:ind w:left="1134"/>
        <w:jc w:val="both"/>
        <w:rPr>
          <w:rFonts w:ascii="Abadi" w:eastAsia="SimSun" w:hAnsi="Abadi" w:cs="Arial"/>
          <w:bCs/>
          <w:i/>
          <w:iCs/>
          <w:sz w:val="21"/>
          <w:szCs w:val="21"/>
        </w:rPr>
      </w:pPr>
      <w:r w:rsidRPr="004A0446">
        <w:rPr>
          <w:rFonts w:ascii="Abadi" w:eastAsia="SimSun" w:hAnsi="Abadi" w:cs="Arial"/>
          <w:bCs/>
          <w:i/>
          <w:iCs/>
          <w:sz w:val="21"/>
          <w:szCs w:val="21"/>
        </w:rPr>
        <w:t>La presente Ley es de orden público, tiene como objeto la prevención del suicidio y la disminución de su incidencia a través de la prevención, asistencia y posvención de las personas que intentaron quitarse la vida y de sus familiares.</w:t>
      </w:r>
    </w:p>
    <w:p w14:paraId="6FE4E485" w14:textId="77777777" w:rsidR="00E3434F" w:rsidRPr="004A0446" w:rsidRDefault="00E3434F" w:rsidP="00F3730A">
      <w:pPr>
        <w:autoSpaceDE w:val="0"/>
        <w:autoSpaceDN w:val="0"/>
        <w:adjustRightInd w:val="0"/>
        <w:ind w:firstLine="567"/>
        <w:jc w:val="both"/>
        <w:rPr>
          <w:rFonts w:ascii="Abadi" w:eastAsia="SimSun" w:hAnsi="Abadi" w:cs="Arial"/>
          <w:bCs/>
          <w:i/>
          <w:iCs/>
          <w:sz w:val="21"/>
          <w:szCs w:val="21"/>
        </w:rPr>
      </w:pPr>
    </w:p>
    <w:p w14:paraId="3B1FA991" w14:textId="77777777" w:rsidR="00E3434F" w:rsidRPr="004A0446" w:rsidRDefault="00E3434F" w:rsidP="00F3730A">
      <w:pPr>
        <w:autoSpaceDE w:val="0"/>
        <w:autoSpaceDN w:val="0"/>
        <w:adjustRightInd w:val="0"/>
        <w:ind w:firstLine="567"/>
        <w:jc w:val="both"/>
        <w:rPr>
          <w:rFonts w:ascii="Abadi" w:eastAsia="SimSun" w:hAnsi="Abadi" w:cs="Arial"/>
          <w:bCs/>
          <w:i/>
          <w:iCs/>
          <w:sz w:val="21"/>
          <w:szCs w:val="21"/>
          <w:lang w:val="es-ES_tradnl"/>
        </w:rPr>
      </w:pPr>
      <w:r w:rsidRPr="004A0446">
        <w:rPr>
          <w:rFonts w:ascii="Abadi" w:hAnsi="Abadi"/>
          <w:color w:val="000000"/>
          <w:sz w:val="21"/>
          <w:szCs w:val="21"/>
          <w:shd w:val="clear" w:color="auto" w:fill="FFFFFF"/>
        </w:rPr>
        <w:t xml:space="preserve">Ahora bien, la Organización Mundial de la Salud define </w:t>
      </w:r>
      <w:r w:rsidRPr="004A0446">
        <w:rPr>
          <w:rFonts w:ascii="Abadi" w:hAnsi="Abadi" w:cs="Arial"/>
          <w:color w:val="3C4245"/>
          <w:sz w:val="21"/>
          <w:szCs w:val="21"/>
          <w:lang w:val="es-ES_tradnl" w:eastAsia="es-ES_tradnl"/>
        </w:rPr>
        <w:t xml:space="preserve">la salud mental como </w:t>
      </w:r>
      <w:r w:rsidRPr="004A0446">
        <w:rPr>
          <w:rFonts w:ascii="Abadi" w:hAnsi="Abadi" w:cs="Arial"/>
          <w:i/>
          <w:iCs/>
          <w:color w:val="3C4245"/>
          <w:sz w:val="21"/>
          <w:szCs w:val="21"/>
          <w:lang w:val="es-ES_tradnl" w:eastAsia="es-ES_tradnl"/>
        </w:rPr>
        <w:t>un estado de bienestar mental que permite a las personas hacer frente a los momentos de estrés de la vida, desarrollar todas sus habilidades, poder aprender y trabajar adecuadamente y contribuir a la mejora de su comunidad</w:t>
      </w:r>
      <w:r w:rsidRPr="004A0446">
        <w:rPr>
          <w:rFonts w:ascii="Abadi" w:hAnsi="Abadi" w:cs="Arial"/>
          <w:color w:val="3C4245"/>
          <w:sz w:val="21"/>
          <w:szCs w:val="21"/>
          <w:lang w:val="es-ES_tradnl" w:eastAsia="es-ES_tradnl"/>
        </w:rPr>
        <w:t>.</w:t>
      </w:r>
      <w:r w:rsidRPr="004A0446">
        <w:rPr>
          <w:rFonts w:ascii="Abadi" w:hAnsi="Abadi" w:cs="Arial"/>
          <w:color w:val="3C4245"/>
          <w:sz w:val="21"/>
          <w:szCs w:val="21"/>
          <w:vertAlign w:val="superscript"/>
          <w:lang w:val="es-ES_tradnl" w:eastAsia="es-ES_tradnl"/>
        </w:rPr>
        <w:footnoteReference w:id="149"/>
      </w:r>
      <w:r w:rsidRPr="004A0446">
        <w:rPr>
          <w:rFonts w:ascii="Abadi" w:hAnsi="Abadi" w:cs="Arial"/>
          <w:color w:val="3C4245"/>
          <w:sz w:val="21"/>
          <w:szCs w:val="21"/>
          <w:vertAlign w:val="superscript"/>
          <w:lang w:val="es-ES_tradnl" w:eastAsia="es-ES_tradnl"/>
        </w:rPr>
        <w:t xml:space="preserve"> </w:t>
      </w:r>
      <w:r w:rsidRPr="004A0446">
        <w:rPr>
          <w:rFonts w:ascii="Abadi" w:hAnsi="Abadi" w:cs="Arial"/>
          <w:color w:val="3C4245"/>
          <w:sz w:val="21"/>
          <w:szCs w:val="21"/>
          <w:lang w:val="es-ES_tradnl" w:eastAsia="es-ES_tradnl"/>
        </w:rPr>
        <w:t>De</w:t>
      </w:r>
      <w:r w:rsidRPr="004A0446">
        <w:rPr>
          <w:rFonts w:ascii="Abadi" w:eastAsia="SimSun" w:hAnsi="Abadi" w:cs="Arial"/>
          <w:bCs/>
          <w:i/>
          <w:iCs/>
          <w:sz w:val="21"/>
          <w:szCs w:val="21"/>
          <w:lang w:val="es-ES_tradnl"/>
        </w:rPr>
        <w:t xml:space="preserve"> ahí que, la presencia de enfermedades o alteraciones de la salud mental puede llevar al suicidio, dada </w:t>
      </w:r>
      <w:r w:rsidRPr="004A0446">
        <w:rPr>
          <w:rFonts w:ascii="Abadi" w:hAnsi="Abadi"/>
          <w:color w:val="000000"/>
          <w:sz w:val="21"/>
          <w:szCs w:val="21"/>
          <w:shd w:val="clear" w:color="auto" w:fill="FFFFFF"/>
        </w:rPr>
        <w:t>la conexión entre la salud mental y este.</w:t>
      </w:r>
    </w:p>
    <w:p w14:paraId="48B90534" w14:textId="77777777" w:rsidR="00E3434F" w:rsidRPr="004A0446" w:rsidRDefault="00E3434F" w:rsidP="00F3730A">
      <w:pPr>
        <w:autoSpaceDE w:val="0"/>
        <w:autoSpaceDN w:val="0"/>
        <w:adjustRightInd w:val="0"/>
        <w:ind w:firstLine="567"/>
        <w:jc w:val="both"/>
        <w:rPr>
          <w:rFonts w:ascii="Abadi" w:eastAsia="SimSun" w:hAnsi="Abadi" w:cs="Arial"/>
          <w:bCs/>
          <w:sz w:val="21"/>
          <w:szCs w:val="21"/>
        </w:rPr>
      </w:pPr>
    </w:p>
    <w:p w14:paraId="7D097A72" w14:textId="77777777" w:rsidR="00E3434F" w:rsidRPr="004A0446" w:rsidRDefault="00E3434F" w:rsidP="00F3730A">
      <w:pPr>
        <w:autoSpaceDE w:val="0"/>
        <w:autoSpaceDN w:val="0"/>
        <w:adjustRightInd w:val="0"/>
        <w:ind w:firstLine="567"/>
        <w:jc w:val="both"/>
        <w:rPr>
          <w:rFonts w:ascii="Abadi" w:hAnsi="Abadi"/>
          <w:sz w:val="21"/>
          <w:szCs w:val="21"/>
        </w:rPr>
      </w:pPr>
      <w:r w:rsidRPr="004A0446">
        <w:rPr>
          <w:rFonts w:ascii="Abadi" w:eastAsia="SimSun" w:hAnsi="Abadi" w:cs="Arial"/>
          <w:bCs/>
          <w:sz w:val="21"/>
          <w:szCs w:val="21"/>
        </w:rPr>
        <w:t xml:space="preserve">Bajo este contexto, en el </w:t>
      </w:r>
      <w:r w:rsidRPr="004A0446">
        <w:rPr>
          <w:rFonts w:ascii="Abadi" w:hAnsi="Abadi"/>
          <w:sz w:val="21"/>
          <w:szCs w:val="21"/>
        </w:rPr>
        <w:t>párrafo cuarto del artículo 4 de la Constitución Política de los Estados Unidos Mexicanos se garantiza a todas las personas el derecho a la protección de la salud. Precepto que ordena al legislador a definir las bases y modalidades para el acceso a los servicios de salud y la concurrencia de la Federación y las entidades federativas en materia de salubridad general, de conformidad con la fracción XVI del artículo 73 de la Carta Magna, y definir un sistema de salud para el bienestar, con el fin de garantizar la extensión progresiva, cuantitativa y cualitativa de los servicios de salud para la atención integral y gratuita de las personas que no cuenten con seguridad social.</w:t>
      </w:r>
    </w:p>
    <w:p w14:paraId="6FAB7075" w14:textId="77777777" w:rsidR="00E3434F" w:rsidRPr="004A0446" w:rsidRDefault="00E3434F" w:rsidP="00F3730A">
      <w:pPr>
        <w:autoSpaceDE w:val="0"/>
        <w:autoSpaceDN w:val="0"/>
        <w:adjustRightInd w:val="0"/>
        <w:ind w:firstLine="567"/>
        <w:jc w:val="both"/>
        <w:rPr>
          <w:rFonts w:ascii="Abadi" w:hAnsi="Abadi"/>
          <w:sz w:val="21"/>
          <w:szCs w:val="21"/>
        </w:rPr>
      </w:pPr>
    </w:p>
    <w:p w14:paraId="1F061AE3" w14:textId="77777777" w:rsidR="00E3434F" w:rsidRPr="004A0446" w:rsidRDefault="00E3434F" w:rsidP="00F3730A">
      <w:pPr>
        <w:ind w:firstLine="708"/>
        <w:jc w:val="both"/>
        <w:rPr>
          <w:rFonts w:ascii="Abadi" w:hAnsi="Abadi"/>
          <w:sz w:val="21"/>
          <w:szCs w:val="21"/>
        </w:rPr>
      </w:pPr>
      <w:r w:rsidRPr="004A0446">
        <w:rPr>
          <w:rFonts w:ascii="Abadi" w:hAnsi="Abadi"/>
          <w:sz w:val="21"/>
          <w:szCs w:val="21"/>
        </w:rPr>
        <w:t>Es así que, conforme al principio de legalidad, es facultad exclusiva del Congreso de la Unión dictar leyes respecto a salubridad general -fracción XVI del artículo 73 de la Constitución Política de los Estados Unidos Mexicanos-.  Asimismo, la porción normativa 124 de la carta magna establece que las facultades que no estén expresamente concedidas a la Federación, se entenderán reservadas a los Estados o a la Ciudad de México atendiendo a sus ámbitos de competencia.</w:t>
      </w:r>
    </w:p>
    <w:p w14:paraId="48423CF9" w14:textId="77777777" w:rsidR="00E3434F" w:rsidRPr="004A0446" w:rsidRDefault="00E3434F" w:rsidP="00F3730A">
      <w:pPr>
        <w:jc w:val="both"/>
        <w:rPr>
          <w:rFonts w:ascii="Abadi" w:hAnsi="Abadi"/>
          <w:sz w:val="21"/>
          <w:szCs w:val="21"/>
        </w:rPr>
      </w:pPr>
    </w:p>
    <w:p w14:paraId="3029F360" w14:textId="77777777" w:rsidR="00E3434F" w:rsidRPr="004A0446" w:rsidRDefault="00E3434F" w:rsidP="00F3730A">
      <w:pPr>
        <w:ind w:firstLine="708"/>
        <w:jc w:val="both"/>
        <w:rPr>
          <w:rFonts w:ascii="Abadi" w:hAnsi="Abadi"/>
          <w:sz w:val="21"/>
          <w:szCs w:val="21"/>
        </w:rPr>
      </w:pPr>
      <w:r w:rsidRPr="004A0446">
        <w:rPr>
          <w:rFonts w:ascii="Abadi" w:hAnsi="Abadi"/>
          <w:sz w:val="21"/>
          <w:szCs w:val="21"/>
        </w:rPr>
        <w:t>Acorde a ello, en la Ley General de Salud que reglamenta el derecho a la protección de la salud que tiene toda persona en los términos del artículo 4o. de la carta magna, se indican las bases y modalidades para el acceso a los servicios de salud y la concurrencia de la Federación y las entidades federativas en materia de salubridad general, en cuyo precepto 3, fracción VI se establece ser materia de salubridad general la salud mental, rubro que se encuentra normado en dicho marco normativo.</w:t>
      </w:r>
    </w:p>
    <w:p w14:paraId="546A7853" w14:textId="77777777" w:rsidR="00E3434F" w:rsidRPr="004A0446" w:rsidRDefault="00E3434F" w:rsidP="00F3730A">
      <w:pPr>
        <w:ind w:firstLine="708"/>
        <w:jc w:val="both"/>
        <w:rPr>
          <w:rFonts w:ascii="Abadi" w:hAnsi="Abadi" w:cs="Arial"/>
          <w:sz w:val="21"/>
          <w:szCs w:val="21"/>
        </w:rPr>
      </w:pPr>
    </w:p>
    <w:p w14:paraId="1396E8D0" w14:textId="77777777" w:rsidR="00E3434F" w:rsidRPr="004A0446" w:rsidRDefault="00E3434F" w:rsidP="00F3730A">
      <w:pPr>
        <w:ind w:firstLine="708"/>
        <w:jc w:val="both"/>
        <w:rPr>
          <w:rFonts w:ascii="Abadi" w:hAnsi="Abadi" w:cs="Arial"/>
          <w:sz w:val="21"/>
          <w:szCs w:val="21"/>
        </w:rPr>
      </w:pPr>
      <w:r w:rsidRPr="004A0446">
        <w:rPr>
          <w:rFonts w:ascii="Abadi" w:hAnsi="Abadi" w:cs="Arial"/>
          <w:sz w:val="21"/>
          <w:szCs w:val="21"/>
        </w:rPr>
        <w:t xml:space="preserve">Ahora bien, respecto a la competencia entre la Federación y las entidades federativas en  materia de salubridad general, en el dispositivo13 inciso B, fracción I, de la referida Ley General de Salud se indica corresponder a los gobiernos de las entidades federativas, en materia de salubridad general, como autoridades locales y dentro de sus respectivas jurisdicciones territoriales, el </w:t>
      </w:r>
      <w:r w:rsidRPr="004A0446">
        <w:rPr>
          <w:rFonts w:ascii="Abadi" w:hAnsi="Abadi" w:cs="Arial"/>
          <w:i/>
          <w:iCs/>
          <w:sz w:val="21"/>
          <w:szCs w:val="21"/>
        </w:rPr>
        <w:t>organizar,</w:t>
      </w:r>
      <w:r w:rsidRPr="004A0446">
        <w:rPr>
          <w:rFonts w:ascii="Abadi" w:hAnsi="Abadi" w:cs="Arial"/>
          <w:sz w:val="21"/>
          <w:szCs w:val="21"/>
        </w:rPr>
        <w:t xml:space="preserve"> </w:t>
      </w:r>
      <w:r w:rsidRPr="004A0446">
        <w:rPr>
          <w:rFonts w:ascii="Abadi" w:hAnsi="Abadi" w:cs="Arial"/>
          <w:i/>
          <w:iCs/>
          <w:sz w:val="21"/>
          <w:szCs w:val="21"/>
        </w:rPr>
        <w:t>operar, supervisar y evaluar la prestación de los servicios de salubridad general a que se refieren</w:t>
      </w:r>
      <w:r w:rsidRPr="004A0446">
        <w:rPr>
          <w:rFonts w:ascii="Abadi" w:hAnsi="Abadi" w:cs="Arial"/>
          <w:sz w:val="21"/>
          <w:szCs w:val="21"/>
        </w:rPr>
        <w:t>, entre otras, la fracción VI del artículo 3 de dicho cuerpo normativo, es decir, la salud mental, por lo que no corresponde a esta entidad federativa la potestad normativa que se pretende a través de las propuestas legislativas de mérito.</w:t>
      </w:r>
    </w:p>
    <w:p w14:paraId="1F6E332E" w14:textId="77777777" w:rsidR="00E3434F" w:rsidRPr="004A0446" w:rsidRDefault="00E3434F" w:rsidP="00F3730A">
      <w:pPr>
        <w:ind w:firstLine="708"/>
        <w:jc w:val="both"/>
        <w:rPr>
          <w:rFonts w:ascii="Abadi" w:hAnsi="Abadi" w:cs="Arial"/>
          <w:sz w:val="21"/>
          <w:szCs w:val="21"/>
        </w:rPr>
      </w:pPr>
    </w:p>
    <w:p w14:paraId="61AE275A" w14:textId="77777777" w:rsidR="00E3434F" w:rsidRPr="004A0446" w:rsidRDefault="00E3434F" w:rsidP="00F3730A">
      <w:pPr>
        <w:ind w:firstLine="708"/>
        <w:jc w:val="both"/>
        <w:rPr>
          <w:rFonts w:ascii="Abadi" w:hAnsi="Abadi" w:cs="Arial"/>
          <w:sz w:val="21"/>
          <w:szCs w:val="21"/>
        </w:rPr>
      </w:pPr>
      <w:r w:rsidRPr="004A0446">
        <w:rPr>
          <w:rFonts w:ascii="Abadi" w:hAnsi="Abadi" w:cs="Arial"/>
          <w:sz w:val="21"/>
          <w:szCs w:val="21"/>
        </w:rPr>
        <w:t>En concordancia, en la Ley General de Salud se establece como servicio básico de salud a la salud mental -artículo 27 fracción VI-, a la par de que, en el Título Tercero de la Prestación de los Servicios de Salud, Capítulo VII, se norma lo</w:t>
      </w:r>
      <w:r>
        <w:rPr>
          <w:rFonts w:ascii="Abadi" w:hAnsi="Abadi" w:cs="Arial"/>
          <w:sz w:val="21"/>
          <w:szCs w:val="21"/>
        </w:rPr>
        <w:t xml:space="preserve"> </w:t>
      </w:r>
      <w:r w:rsidRPr="004A0446">
        <w:rPr>
          <w:rFonts w:ascii="Abadi" w:hAnsi="Abadi" w:cs="Arial"/>
          <w:sz w:val="21"/>
          <w:szCs w:val="21"/>
        </w:rPr>
        <w:t xml:space="preserve">relativo a la salud mental, definiendo a esta, para efectos de dicha ley general, </w:t>
      </w:r>
      <w:r w:rsidRPr="004A0446">
        <w:rPr>
          <w:rFonts w:ascii="Abadi" w:hAnsi="Abadi" w:cs="Arial"/>
          <w:i/>
          <w:iCs/>
          <w:sz w:val="21"/>
          <w:szCs w:val="21"/>
        </w:rPr>
        <w:t>como un estado de bienestar físico, mental, emocional y social determinado por la interacción del individuo con la sociedad y vinculado al ejercicio pleno de los derechos humano</w:t>
      </w:r>
      <w:r w:rsidRPr="004A0446">
        <w:rPr>
          <w:rFonts w:ascii="Abadi" w:hAnsi="Abadi" w:cs="Arial"/>
          <w:sz w:val="21"/>
          <w:szCs w:val="21"/>
        </w:rPr>
        <w:t xml:space="preserve"> - artículo 72-.</w:t>
      </w:r>
    </w:p>
    <w:p w14:paraId="71289803" w14:textId="77777777" w:rsidR="00E3434F" w:rsidRPr="004A0446" w:rsidRDefault="00E3434F" w:rsidP="00F3730A">
      <w:pPr>
        <w:ind w:firstLine="708"/>
        <w:jc w:val="both"/>
        <w:rPr>
          <w:rFonts w:ascii="Abadi" w:eastAsia="Calibri" w:hAnsi="Abadi"/>
          <w:sz w:val="21"/>
          <w:szCs w:val="21"/>
          <w:lang w:val="es-MX" w:eastAsia="en-US"/>
        </w:rPr>
      </w:pPr>
      <w:r w:rsidRPr="004A0446">
        <w:rPr>
          <w:rFonts w:ascii="Abadi" w:eastAsia="Calibri" w:hAnsi="Abadi"/>
          <w:sz w:val="21"/>
          <w:szCs w:val="21"/>
          <w:lang w:val="es-MX" w:eastAsia="en-US"/>
        </w:rPr>
        <w:t xml:space="preserve">  </w:t>
      </w:r>
    </w:p>
    <w:p w14:paraId="3D5C8FA5" w14:textId="77777777" w:rsidR="00E3434F" w:rsidRPr="004A0446" w:rsidRDefault="00E3434F" w:rsidP="00F3730A">
      <w:pPr>
        <w:ind w:firstLine="567"/>
        <w:jc w:val="both"/>
        <w:rPr>
          <w:rFonts w:ascii="Abadi" w:hAnsi="Abadi" w:cs="Arial"/>
          <w:sz w:val="21"/>
          <w:szCs w:val="21"/>
        </w:rPr>
      </w:pPr>
      <w:r w:rsidRPr="004A0446">
        <w:rPr>
          <w:rFonts w:ascii="Abadi" w:hAnsi="Abadi" w:cs="Arial"/>
          <w:sz w:val="21"/>
          <w:szCs w:val="21"/>
        </w:rPr>
        <w:t>Asimismo, en la Ley de Salud del Estado de Guanajuato, en la porción normativa 28, fracción VI, se establece que, para efectos del derecho a la protección de la salud, es servicio básico de salud, entre otros, la salud mental.</w:t>
      </w:r>
    </w:p>
    <w:p w14:paraId="22FF7DCB" w14:textId="77777777" w:rsidR="00E3434F" w:rsidRPr="004A0446" w:rsidRDefault="00E3434F" w:rsidP="00F3730A">
      <w:pPr>
        <w:ind w:left="567" w:firstLine="141"/>
        <w:jc w:val="both"/>
        <w:rPr>
          <w:rFonts w:ascii="Abadi" w:eastAsia="Calibri" w:hAnsi="Abadi"/>
          <w:sz w:val="21"/>
          <w:szCs w:val="21"/>
          <w:lang w:val="es-MX" w:eastAsia="en-US"/>
        </w:rPr>
      </w:pPr>
    </w:p>
    <w:p w14:paraId="3E8987D9" w14:textId="77777777" w:rsidR="00E3434F" w:rsidRPr="004A0446" w:rsidRDefault="00E3434F" w:rsidP="00F3730A">
      <w:pPr>
        <w:ind w:firstLine="567"/>
        <w:jc w:val="both"/>
        <w:rPr>
          <w:rFonts w:ascii="Abadi" w:hAnsi="Abadi" w:cs="Arial"/>
          <w:sz w:val="21"/>
          <w:szCs w:val="21"/>
        </w:rPr>
      </w:pPr>
      <w:r w:rsidRPr="004A0446">
        <w:rPr>
          <w:rFonts w:ascii="Abadi" w:hAnsi="Abadi" w:cs="Arial"/>
          <w:sz w:val="21"/>
          <w:szCs w:val="21"/>
        </w:rPr>
        <w:t xml:space="preserve">Ahora bien, en cuanto a la propuesta legislativa del Grupo Parlamentario del Partido Verde Ecologista de México, consistente en adicionar al artículo 27, fracción I un inciso h) de la Ley Orgánica del Poder Ejecutivo para el estado de Guanajuato, a efecto de otorgar facultades a la Secretaría de Salud para integrar y coordinar el Sistema Integral para la Prevención del Suicidio, esta no resulta viable, ya que actualmente la aludida dependencia dispone de estas atribuciones, conforme el contenido de la porción normativa 7, fracción XIX de la Ley de Salud del Estado de Guanajuato, que indica: </w:t>
      </w:r>
    </w:p>
    <w:p w14:paraId="3D2D6507" w14:textId="77777777" w:rsidR="00E3434F" w:rsidRPr="004A0446" w:rsidRDefault="00E3434F" w:rsidP="00F3730A">
      <w:pPr>
        <w:spacing w:before="100" w:beforeAutospacing="1" w:after="100" w:afterAutospacing="1"/>
        <w:ind w:left="1134"/>
        <w:jc w:val="both"/>
        <w:rPr>
          <w:rFonts w:ascii="Abadi" w:hAnsi="Abadi" w:cs="Arial"/>
          <w:sz w:val="21"/>
          <w:szCs w:val="21"/>
        </w:rPr>
      </w:pPr>
      <w:r w:rsidRPr="004A0446">
        <w:rPr>
          <w:rFonts w:ascii="Abadi" w:hAnsi="Abadi" w:cs="Arial"/>
          <w:sz w:val="21"/>
          <w:szCs w:val="21"/>
        </w:rPr>
        <w:t>Artículo 7. La coordinación del Sistema Estatal de Salud estará a cargo de la Secretaría de Salud del Estado correspondiéndole a ésta:</w:t>
      </w:r>
    </w:p>
    <w:p w14:paraId="1189852D" w14:textId="77777777" w:rsidR="00E3434F" w:rsidRPr="004A0446" w:rsidRDefault="00E3434F" w:rsidP="00F3730A">
      <w:pPr>
        <w:ind w:left="1134"/>
        <w:jc w:val="both"/>
        <w:rPr>
          <w:rFonts w:ascii="Abadi" w:hAnsi="Abadi" w:cs="Arial"/>
          <w:sz w:val="21"/>
          <w:szCs w:val="21"/>
        </w:rPr>
      </w:pPr>
      <w:r w:rsidRPr="004A0446">
        <w:rPr>
          <w:rFonts w:ascii="Abadi" w:hAnsi="Abadi" w:cs="Arial"/>
          <w:sz w:val="21"/>
          <w:szCs w:val="21"/>
        </w:rPr>
        <w:t>XIX, Coordinarse con las instituciones federales, estatales y municipales, y con la sociedad civil, para promover y apoyar la investigación de las causas del suicidio y de la conducta suicida, así como diseñar, proponer, desarrollar y aplicar acciones de prevención del suicidio, dirigidas particularmente a niñas, niños y adolescentes, así como a la población en general.</w:t>
      </w:r>
    </w:p>
    <w:p w14:paraId="63C6DBB3" w14:textId="77777777" w:rsidR="00E3434F" w:rsidRPr="004A0446" w:rsidRDefault="00E3434F" w:rsidP="00F3730A">
      <w:pPr>
        <w:ind w:left="1701"/>
        <w:jc w:val="both"/>
        <w:rPr>
          <w:rFonts w:ascii="Abadi" w:hAnsi="Abadi" w:cs="Arial"/>
          <w:sz w:val="21"/>
          <w:szCs w:val="21"/>
        </w:rPr>
      </w:pPr>
    </w:p>
    <w:p w14:paraId="5EE73F63" w14:textId="77777777" w:rsidR="00E3434F" w:rsidRPr="004A0446" w:rsidRDefault="00E3434F" w:rsidP="00F3730A">
      <w:pPr>
        <w:ind w:right="27" w:firstLine="709"/>
        <w:jc w:val="both"/>
        <w:rPr>
          <w:rFonts w:ascii="Abadi" w:eastAsia="SimSun" w:hAnsi="Abadi" w:cs="Arial"/>
          <w:bCs/>
          <w:sz w:val="21"/>
          <w:szCs w:val="21"/>
        </w:rPr>
      </w:pPr>
      <w:r w:rsidRPr="004A0446">
        <w:rPr>
          <w:rFonts w:ascii="Abadi" w:eastAsia="SimSun" w:hAnsi="Abadi" w:cs="Arial"/>
          <w:bCs/>
          <w:sz w:val="21"/>
          <w:szCs w:val="21"/>
        </w:rPr>
        <w:t>No pasa por alto el mencionar que, sustentado en el marco normativo vigente, y tomando en cuenta que en la materia de salud mental se ubica el suicidio, hoy en día en esta entidad federativa a través de la Secretaría de Salud se llevan a cabo acciones y estrategias bajo una visión integral, encaminadas a atender esta problemática, mediante diversos programas, a los que se les destinan recursos, como lo son, entre otros, el proyecto Planet Youth-Guanajuato, el Programa Prevención y Atención a la Conducta Suicida y el Programa de Salud Mental. Contarse con estructuras como lo es la Comisión de Prevención y Atención a la conducta suicida del Consejo Estatal de Salud Mental y Adicciones, así como con el Modelo de Atención en Salud del Estado de Guanajuato, y programas presupuestarios como el de Atención integral a niñas, niños y adolescentes y Atención integral para adultos mayores.</w:t>
      </w:r>
    </w:p>
    <w:p w14:paraId="68779F3D" w14:textId="77777777" w:rsidR="00E3434F" w:rsidRPr="004A0446" w:rsidRDefault="00E3434F" w:rsidP="00F3730A">
      <w:pPr>
        <w:ind w:right="27" w:firstLine="709"/>
        <w:jc w:val="both"/>
        <w:rPr>
          <w:rFonts w:ascii="Abadi" w:eastAsia="SimSun" w:hAnsi="Abadi" w:cs="Arial"/>
          <w:bCs/>
          <w:sz w:val="21"/>
          <w:szCs w:val="21"/>
        </w:rPr>
      </w:pPr>
    </w:p>
    <w:p w14:paraId="5024E50A" w14:textId="77777777" w:rsidR="00E3434F" w:rsidRPr="004A0446" w:rsidRDefault="00E3434F" w:rsidP="00F3730A">
      <w:pPr>
        <w:ind w:firstLine="708"/>
        <w:jc w:val="both"/>
        <w:rPr>
          <w:rFonts w:ascii="Abadi" w:hAnsi="Abadi" w:cs="Arial"/>
          <w:bCs/>
          <w:sz w:val="21"/>
          <w:szCs w:val="21"/>
        </w:rPr>
      </w:pPr>
      <w:r w:rsidRPr="004A0446">
        <w:rPr>
          <w:rFonts w:ascii="Abadi" w:eastAsia="SimSun" w:hAnsi="Abadi"/>
          <w:bCs/>
          <w:sz w:val="21"/>
          <w:szCs w:val="21"/>
          <w:lang w:val="es-MX" w:eastAsia="en-US"/>
        </w:rPr>
        <w:t>Por lo que concierne a los ámbitos de competencia, quienes dictaminamos coincidimos con la</w:t>
      </w:r>
      <w:r>
        <w:rPr>
          <w:rFonts w:ascii="Abadi" w:eastAsia="SimSun" w:hAnsi="Abadi"/>
          <w:bCs/>
          <w:sz w:val="21"/>
          <w:szCs w:val="21"/>
          <w:lang w:val="es-MX" w:eastAsia="en-US"/>
        </w:rPr>
        <w:t xml:space="preserve"> </w:t>
      </w:r>
      <w:r w:rsidRPr="004A0446">
        <w:rPr>
          <w:rFonts w:ascii="Abadi" w:eastAsia="SimSun" w:hAnsi="Abadi"/>
          <w:bCs/>
          <w:sz w:val="21"/>
          <w:szCs w:val="21"/>
          <w:lang w:val="es-MX" w:eastAsia="en-US"/>
        </w:rPr>
        <w:t xml:space="preserve">opiniones vertidas, en el sentido de </w:t>
      </w:r>
      <w:r w:rsidRPr="004A0446">
        <w:rPr>
          <w:rFonts w:ascii="Abadi" w:hAnsi="Abadi" w:cs="Arial"/>
          <w:bCs/>
          <w:sz w:val="21"/>
          <w:szCs w:val="21"/>
        </w:rPr>
        <w:t>no corresponder a esta entidad federativa la potestad normativa que se pretende a través de las propuestas legislativas de mérito.</w:t>
      </w:r>
    </w:p>
    <w:p w14:paraId="32739078" w14:textId="77777777" w:rsidR="00E3434F" w:rsidRPr="004A0446" w:rsidRDefault="00E3434F" w:rsidP="00F3730A">
      <w:pPr>
        <w:ind w:right="27" w:firstLine="709"/>
        <w:jc w:val="both"/>
        <w:rPr>
          <w:rFonts w:ascii="Abadi" w:eastAsia="SimSun" w:hAnsi="Abadi" w:cs="Arial"/>
          <w:bCs/>
          <w:sz w:val="21"/>
          <w:szCs w:val="21"/>
        </w:rPr>
      </w:pPr>
    </w:p>
    <w:p w14:paraId="167A0B49" w14:textId="77777777" w:rsidR="00E3434F" w:rsidRPr="004A0446" w:rsidRDefault="00E3434F" w:rsidP="00F3730A">
      <w:pPr>
        <w:ind w:right="27" w:firstLine="709"/>
        <w:jc w:val="both"/>
        <w:rPr>
          <w:rFonts w:ascii="Abadi" w:eastAsia="SimSun" w:hAnsi="Abadi" w:cs="Arial"/>
          <w:bCs/>
          <w:sz w:val="21"/>
          <w:szCs w:val="21"/>
        </w:rPr>
      </w:pPr>
      <w:r w:rsidRPr="004A0446">
        <w:rPr>
          <w:rFonts w:ascii="Abadi" w:eastAsia="SimSun" w:hAnsi="Abadi" w:cs="Arial"/>
          <w:bCs/>
          <w:sz w:val="21"/>
          <w:szCs w:val="21"/>
        </w:rPr>
        <w:t>Si bien, ante la dinámica social en la que estamos inmersos es un desafío el atender la salud mental y sus complejos vínculos con el suicidio, y disponerse de infraestructura y una serie de acciones y estrategias para la atención de esta problemática, quienes dictaminamos, conscientes de la trascendencia que conllevan estos temas, es que consideramos que debemos continuar trabajando de manera conjunta, acorde al sistema de distribución de competencias en materia de salubridad general, bajo estrategias que respondan a esta área prioritaria, con la participación de los tres órdenes de gobierno y la sociedad civil, entre otros.</w:t>
      </w:r>
    </w:p>
    <w:p w14:paraId="630FB221" w14:textId="77777777" w:rsidR="00E3434F" w:rsidRPr="004A0446" w:rsidRDefault="00E3434F" w:rsidP="00F3730A">
      <w:pPr>
        <w:autoSpaceDE w:val="0"/>
        <w:autoSpaceDN w:val="0"/>
        <w:adjustRightInd w:val="0"/>
        <w:jc w:val="both"/>
        <w:rPr>
          <w:rFonts w:ascii="Abadi" w:eastAsia="SimSun" w:hAnsi="Abadi" w:cs="Arial"/>
          <w:bCs/>
          <w:color w:val="000000"/>
          <w:sz w:val="21"/>
          <w:szCs w:val="21"/>
          <w:lang w:val="es-MX" w:eastAsia="en-US"/>
        </w:rPr>
      </w:pPr>
      <w:r w:rsidRPr="004A0446">
        <w:rPr>
          <w:rFonts w:ascii="Abadi" w:eastAsia="SimSun" w:hAnsi="Abadi" w:cs="Arial"/>
          <w:color w:val="000000"/>
          <w:sz w:val="21"/>
          <w:szCs w:val="21"/>
          <w:lang w:val="es-MX" w:eastAsia="en-US"/>
        </w:rPr>
        <w:tab/>
      </w:r>
      <w:r w:rsidRPr="004A0446">
        <w:rPr>
          <w:rFonts w:ascii="Abadi" w:eastAsia="SimSun" w:hAnsi="Abadi" w:cs="Arial"/>
          <w:bCs/>
          <w:color w:val="000000"/>
          <w:sz w:val="21"/>
          <w:szCs w:val="21"/>
          <w:lang w:val="es-MX" w:eastAsia="en-US"/>
        </w:rPr>
        <w:t xml:space="preserve">Debido a lo expuesto y, con fundamento en los artículos 75, 89, fracción V, 118, fracción IV y 171 de la Ley Orgánica del Poder Legislativo del Estado de Guanajuato, sometemos a consideración de la Asamblea el siguiente: </w:t>
      </w:r>
    </w:p>
    <w:p w14:paraId="6C31882F" w14:textId="77777777" w:rsidR="00E3434F" w:rsidRDefault="00E3434F" w:rsidP="00F3730A">
      <w:pPr>
        <w:tabs>
          <w:tab w:val="left" w:pos="1418"/>
        </w:tabs>
        <w:rPr>
          <w:rFonts w:ascii="Abadi" w:eastAsia="SimSun" w:hAnsi="Abadi" w:cs="Arial"/>
          <w:b/>
          <w:sz w:val="21"/>
          <w:szCs w:val="21"/>
          <w:lang w:val="es-MX"/>
        </w:rPr>
      </w:pPr>
    </w:p>
    <w:p w14:paraId="43425801" w14:textId="77777777" w:rsidR="00E3434F" w:rsidRPr="004A0446" w:rsidRDefault="00E3434F" w:rsidP="00F3730A">
      <w:pPr>
        <w:tabs>
          <w:tab w:val="left" w:pos="1418"/>
        </w:tabs>
        <w:jc w:val="center"/>
        <w:rPr>
          <w:rFonts w:ascii="Abadi" w:eastAsia="SimSun" w:hAnsi="Abadi" w:cs="Arial"/>
          <w:b/>
          <w:sz w:val="21"/>
          <w:szCs w:val="21"/>
        </w:rPr>
      </w:pPr>
      <w:r w:rsidRPr="004A0446">
        <w:rPr>
          <w:rFonts w:ascii="Abadi" w:eastAsia="SimSun" w:hAnsi="Abadi" w:cs="Arial"/>
          <w:b/>
          <w:sz w:val="21"/>
          <w:szCs w:val="21"/>
        </w:rPr>
        <w:t>A c u e r d o</w:t>
      </w:r>
    </w:p>
    <w:p w14:paraId="6336EB9D" w14:textId="77777777" w:rsidR="00E3434F" w:rsidRPr="004A0446" w:rsidRDefault="00E3434F" w:rsidP="00F3730A">
      <w:pPr>
        <w:tabs>
          <w:tab w:val="left" w:pos="1418"/>
        </w:tabs>
        <w:jc w:val="both"/>
        <w:rPr>
          <w:rFonts w:ascii="Abadi" w:eastAsia="SimSun" w:hAnsi="Abadi" w:cs="Arial"/>
          <w:bCs/>
          <w:sz w:val="21"/>
          <w:szCs w:val="21"/>
        </w:rPr>
      </w:pPr>
    </w:p>
    <w:p w14:paraId="4CF9CA4A" w14:textId="77777777" w:rsidR="00E3434F" w:rsidRPr="004A0446" w:rsidRDefault="00E3434F" w:rsidP="00F3730A">
      <w:pPr>
        <w:tabs>
          <w:tab w:val="left" w:pos="1418"/>
        </w:tabs>
        <w:ind w:right="27" w:firstLine="708"/>
        <w:jc w:val="both"/>
        <w:rPr>
          <w:rFonts w:ascii="Abadi" w:eastAsia="SimSun" w:hAnsi="Abadi" w:cs="Arial"/>
          <w:bCs/>
          <w:sz w:val="21"/>
          <w:szCs w:val="21"/>
        </w:rPr>
      </w:pPr>
      <w:r w:rsidRPr="004A0446">
        <w:rPr>
          <w:rFonts w:ascii="Abadi" w:hAnsi="Abadi" w:cs="Arial"/>
          <w:b/>
          <w:sz w:val="21"/>
          <w:szCs w:val="21"/>
        </w:rPr>
        <w:t xml:space="preserve">         </w:t>
      </w:r>
      <w:r w:rsidRPr="004A0446">
        <w:rPr>
          <w:rFonts w:ascii="Abadi" w:eastAsia="SimSun" w:hAnsi="Abadi" w:cs="Arial"/>
          <w:b/>
          <w:sz w:val="21"/>
          <w:szCs w:val="21"/>
        </w:rPr>
        <w:t>Único.</w:t>
      </w:r>
      <w:r w:rsidRPr="004A0446">
        <w:rPr>
          <w:rFonts w:ascii="Abadi" w:eastAsia="SimSun" w:hAnsi="Abadi" w:cs="Arial"/>
          <w:bCs/>
          <w:sz w:val="21"/>
          <w:szCs w:val="21"/>
        </w:rPr>
        <w:t xml:space="preserve"> No resultan procedentes las dos iniciativas;  la primera, de Ley de Prevención y Atención del Suicidio para el Estado y los Municipios de Guanajuato, y de adición al artículo 27 fracción I un inciso h de la Ley Orgánica del Poder Ejecutivo para el Estado de Guanajuato, suscrita por la diputada y el diputado integrantes del Grupo Parlamentario del Partido Verde Ecologista de México; y, la segunda, de Ley de Prevención del Suicidio y de las Acciones de Posvención en el Estado de Guanajuato, formulada por  diputadas y diputados integrantes del Grupo Parlamentario del Partido Revolucionario Institucional, ante la Sexagésima Cuarta Legislatura del Congreso del Estado,  por lo que se ordena el archivo definitivo de las mismas.</w:t>
      </w:r>
    </w:p>
    <w:p w14:paraId="25D25413" w14:textId="77777777" w:rsidR="00E3434F" w:rsidRPr="004A0446" w:rsidRDefault="00E3434F" w:rsidP="00F3730A">
      <w:pPr>
        <w:tabs>
          <w:tab w:val="left" w:pos="1418"/>
        </w:tabs>
        <w:ind w:right="27" w:firstLine="708"/>
        <w:rPr>
          <w:rFonts w:ascii="Abadi" w:eastAsia="SimSun" w:hAnsi="Abadi" w:cs="Arial"/>
          <w:bCs/>
          <w:sz w:val="21"/>
          <w:szCs w:val="21"/>
        </w:rPr>
      </w:pPr>
    </w:p>
    <w:p w14:paraId="10F0128E" w14:textId="77777777" w:rsidR="00E3434F" w:rsidRPr="004A0446" w:rsidRDefault="00E3434F" w:rsidP="00F3730A">
      <w:pPr>
        <w:tabs>
          <w:tab w:val="left" w:pos="3969"/>
          <w:tab w:val="left" w:pos="9072"/>
        </w:tabs>
        <w:ind w:left="-142" w:right="-1" w:firstLine="993"/>
        <w:jc w:val="both"/>
        <w:rPr>
          <w:rFonts w:ascii="Abadi" w:eastAsia="SimSun" w:hAnsi="Abadi" w:cs="Arial"/>
          <w:bCs/>
          <w:sz w:val="21"/>
          <w:szCs w:val="21"/>
        </w:rPr>
      </w:pPr>
      <w:r w:rsidRPr="004A0446">
        <w:rPr>
          <w:rFonts w:ascii="Abadi" w:eastAsia="SimSun" w:hAnsi="Abadi" w:cs="Arial"/>
          <w:bCs/>
          <w:sz w:val="21"/>
          <w:szCs w:val="21"/>
        </w:rPr>
        <w:t>Comuníquese el presente acuerdo a la Secretaría General del Congreso del Estado, para los efectos conducentes.</w:t>
      </w:r>
    </w:p>
    <w:p w14:paraId="65048728" w14:textId="77777777" w:rsidR="00E3434F" w:rsidRPr="004A0446" w:rsidRDefault="00E3434F" w:rsidP="00F3730A">
      <w:pPr>
        <w:jc w:val="center"/>
        <w:rPr>
          <w:rFonts w:ascii="Abadi" w:eastAsia="Calibri" w:hAnsi="Abadi"/>
          <w:b/>
          <w:sz w:val="21"/>
          <w:szCs w:val="21"/>
          <w:lang w:val="es-MX" w:eastAsia="en-US"/>
        </w:rPr>
      </w:pPr>
    </w:p>
    <w:p w14:paraId="79C204DC" w14:textId="77777777" w:rsidR="00E3434F" w:rsidRPr="004A0446" w:rsidRDefault="00E3434F" w:rsidP="00F3730A">
      <w:pPr>
        <w:jc w:val="center"/>
        <w:rPr>
          <w:rFonts w:ascii="Abadi" w:eastAsia="Calibri" w:hAnsi="Abadi"/>
          <w:b/>
          <w:sz w:val="21"/>
          <w:szCs w:val="21"/>
          <w:lang w:val="es-MX" w:eastAsia="en-US"/>
        </w:rPr>
      </w:pPr>
      <w:r w:rsidRPr="004A0446">
        <w:rPr>
          <w:rFonts w:ascii="Abadi" w:eastAsia="Calibri" w:hAnsi="Abadi"/>
          <w:b/>
          <w:sz w:val="21"/>
          <w:szCs w:val="21"/>
          <w:lang w:val="es-MX" w:eastAsia="en-US"/>
        </w:rPr>
        <w:t xml:space="preserve">  Guanajuato, Gto., 27 de septiembre de 2022</w:t>
      </w:r>
    </w:p>
    <w:p w14:paraId="23416B61" w14:textId="77777777" w:rsidR="00E3434F" w:rsidRPr="004A0446" w:rsidRDefault="00E3434F" w:rsidP="00F3730A">
      <w:pPr>
        <w:jc w:val="center"/>
        <w:rPr>
          <w:rFonts w:ascii="Abadi" w:eastAsia="Calibri" w:hAnsi="Abadi"/>
          <w:b/>
          <w:sz w:val="21"/>
          <w:szCs w:val="21"/>
          <w:lang w:val="es-MX" w:eastAsia="en-US"/>
        </w:rPr>
      </w:pPr>
      <w:r w:rsidRPr="004A0446">
        <w:rPr>
          <w:rFonts w:ascii="Abadi" w:eastAsia="Calibri" w:hAnsi="Abadi"/>
          <w:b/>
          <w:sz w:val="21"/>
          <w:szCs w:val="21"/>
          <w:lang w:val="es-MX" w:eastAsia="en-US"/>
        </w:rPr>
        <w:t xml:space="preserve">  La Comisión de Salud Pública.</w:t>
      </w:r>
    </w:p>
    <w:p w14:paraId="1FC11AAB" w14:textId="77777777" w:rsidR="00E3434F" w:rsidRPr="004A0446" w:rsidRDefault="00E3434F" w:rsidP="00F3730A">
      <w:pPr>
        <w:jc w:val="center"/>
        <w:rPr>
          <w:rFonts w:ascii="Abadi" w:eastAsia="Calibri" w:hAnsi="Abadi"/>
          <w:b/>
          <w:sz w:val="21"/>
          <w:szCs w:val="21"/>
          <w:lang w:val="es-MX" w:eastAsia="en-US"/>
        </w:rPr>
      </w:pPr>
    </w:p>
    <w:p w14:paraId="4E28CEF6" w14:textId="77777777" w:rsidR="00E3434F" w:rsidRPr="004A0446" w:rsidRDefault="00E3434F" w:rsidP="00F3730A">
      <w:pPr>
        <w:jc w:val="center"/>
        <w:rPr>
          <w:rFonts w:ascii="Abadi" w:hAnsi="Abadi" w:cs="Segoe UI"/>
          <w:b/>
          <w:bCs/>
          <w:sz w:val="21"/>
          <w:szCs w:val="21"/>
        </w:rPr>
      </w:pPr>
      <w:r w:rsidRPr="004A0446">
        <w:rPr>
          <w:rFonts w:ascii="Abadi" w:hAnsi="Abadi" w:cs="Segoe UI"/>
          <w:b/>
          <w:bCs/>
          <w:sz w:val="21"/>
          <w:szCs w:val="21"/>
        </w:rPr>
        <w:t>Dip. Irma Leticia González Sánchez</w:t>
      </w:r>
    </w:p>
    <w:p w14:paraId="0E98A017" w14:textId="77777777" w:rsidR="00E3434F" w:rsidRPr="004A0446" w:rsidRDefault="00E3434F" w:rsidP="00F3730A">
      <w:pPr>
        <w:jc w:val="center"/>
        <w:rPr>
          <w:rFonts w:ascii="Abadi" w:hAnsi="Abadi" w:cs="Segoe UI"/>
          <w:i/>
          <w:iCs/>
          <w:sz w:val="21"/>
          <w:szCs w:val="21"/>
        </w:rPr>
      </w:pPr>
      <w:r w:rsidRPr="004A0446">
        <w:rPr>
          <w:rFonts w:ascii="Abadi" w:hAnsi="Abadi" w:cs="Segoe UI"/>
          <w:i/>
          <w:iCs/>
          <w:sz w:val="21"/>
          <w:szCs w:val="21"/>
        </w:rPr>
        <w:t>Firma electrónica certificada</w:t>
      </w:r>
    </w:p>
    <w:p w14:paraId="10425B57" w14:textId="77777777" w:rsidR="00E3434F" w:rsidRPr="004A0446" w:rsidRDefault="00E3434F" w:rsidP="00F3730A">
      <w:pPr>
        <w:jc w:val="center"/>
        <w:rPr>
          <w:rFonts w:ascii="Abadi" w:hAnsi="Abadi" w:cs="Segoe UI"/>
          <w:b/>
          <w:bCs/>
          <w:sz w:val="21"/>
          <w:szCs w:val="21"/>
        </w:rPr>
      </w:pPr>
      <w:r w:rsidRPr="004A0446">
        <w:rPr>
          <w:rFonts w:ascii="Abadi" w:hAnsi="Abadi" w:cs="Segoe UI"/>
          <w:b/>
          <w:bCs/>
          <w:sz w:val="21"/>
          <w:szCs w:val="21"/>
        </w:rPr>
        <w:t>Dip. Noemí Márquez Márquez</w:t>
      </w:r>
    </w:p>
    <w:p w14:paraId="5CB6C8EF" w14:textId="77777777" w:rsidR="00E3434F" w:rsidRPr="004A0446" w:rsidRDefault="00E3434F" w:rsidP="00F3730A">
      <w:pPr>
        <w:jc w:val="center"/>
        <w:rPr>
          <w:rFonts w:ascii="Abadi" w:hAnsi="Abadi" w:cs="Segoe UI"/>
          <w:i/>
          <w:iCs/>
          <w:sz w:val="21"/>
          <w:szCs w:val="21"/>
        </w:rPr>
      </w:pPr>
      <w:r w:rsidRPr="004A0446">
        <w:rPr>
          <w:rFonts w:ascii="Abadi" w:hAnsi="Abadi" w:cs="Segoe UI"/>
          <w:i/>
          <w:iCs/>
          <w:sz w:val="21"/>
          <w:szCs w:val="21"/>
        </w:rPr>
        <w:t>Firma electrónica certificada</w:t>
      </w:r>
    </w:p>
    <w:p w14:paraId="6B4758BB" w14:textId="77777777" w:rsidR="00E3434F" w:rsidRPr="004A0446" w:rsidRDefault="00E3434F" w:rsidP="00F3730A">
      <w:pPr>
        <w:jc w:val="center"/>
        <w:rPr>
          <w:rFonts w:ascii="Abadi" w:hAnsi="Abadi" w:cs="Segoe UI"/>
          <w:b/>
          <w:bCs/>
          <w:sz w:val="21"/>
          <w:szCs w:val="21"/>
        </w:rPr>
      </w:pPr>
      <w:r w:rsidRPr="004A0446">
        <w:rPr>
          <w:rFonts w:ascii="Abadi" w:hAnsi="Abadi" w:cs="Segoe UI"/>
          <w:b/>
          <w:bCs/>
          <w:sz w:val="21"/>
          <w:szCs w:val="21"/>
        </w:rPr>
        <w:t>Dip. Katya Cristina Soto Escamilla</w:t>
      </w:r>
    </w:p>
    <w:p w14:paraId="2B23EAF5" w14:textId="77777777" w:rsidR="00E3434F" w:rsidRPr="004A0446" w:rsidRDefault="00E3434F" w:rsidP="00F3730A">
      <w:pPr>
        <w:jc w:val="center"/>
        <w:rPr>
          <w:rFonts w:ascii="Abadi" w:hAnsi="Abadi" w:cs="Segoe UI"/>
          <w:i/>
          <w:iCs/>
          <w:sz w:val="21"/>
          <w:szCs w:val="21"/>
        </w:rPr>
      </w:pPr>
      <w:r w:rsidRPr="004A0446">
        <w:rPr>
          <w:rFonts w:ascii="Abadi" w:hAnsi="Abadi" w:cs="Segoe UI"/>
          <w:i/>
          <w:iCs/>
          <w:sz w:val="21"/>
          <w:szCs w:val="21"/>
        </w:rPr>
        <w:t>Firma electrónica certificada</w:t>
      </w:r>
    </w:p>
    <w:p w14:paraId="1BF97792" w14:textId="77777777" w:rsidR="00E3434F" w:rsidRPr="004A0446" w:rsidRDefault="00E3434F" w:rsidP="00F3730A">
      <w:pPr>
        <w:jc w:val="center"/>
        <w:rPr>
          <w:rFonts w:ascii="Abadi" w:hAnsi="Abadi" w:cs="Segoe UI"/>
          <w:b/>
          <w:bCs/>
          <w:sz w:val="21"/>
          <w:szCs w:val="21"/>
        </w:rPr>
      </w:pPr>
      <w:r w:rsidRPr="004A0446">
        <w:rPr>
          <w:rFonts w:ascii="Abadi" w:hAnsi="Abadi" w:cs="Segoe UI"/>
          <w:b/>
          <w:bCs/>
          <w:sz w:val="21"/>
          <w:szCs w:val="21"/>
        </w:rPr>
        <w:t>Dip. Angélica Casillas Martínez</w:t>
      </w:r>
    </w:p>
    <w:p w14:paraId="4C6CE937" w14:textId="77777777" w:rsidR="00E3434F" w:rsidRPr="004A0446" w:rsidRDefault="00E3434F" w:rsidP="00F3730A">
      <w:pPr>
        <w:jc w:val="center"/>
        <w:rPr>
          <w:rFonts w:ascii="Abadi" w:hAnsi="Abadi" w:cs="Segoe UI"/>
          <w:i/>
          <w:iCs/>
          <w:sz w:val="21"/>
          <w:szCs w:val="21"/>
        </w:rPr>
      </w:pPr>
      <w:r w:rsidRPr="004A0446">
        <w:rPr>
          <w:rFonts w:ascii="Abadi" w:hAnsi="Abadi" w:cs="Segoe UI"/>
          <w:i/>
          <w:iCs/>
          <w:sz w:val="21"/>
          <w:szCs w:val="21"/>
        </w:rPr>
        <w:t>Firma electrónica certificada</w:t>
      </w:r>
    </w:p>
    <w:p w14:paraId="1DD0381A" w14:textId="77777777" w:rsidR="00E3434F" w:rsidRDefault="00E3434F" w:rsidP="00F3730A">
      <w:pPr>
        <w:jc w:val="center"/>
        <w:rPr>
          <w:rFonts w:ascii="Abadi" w:hAnsi="Abadi" w:cs="Segoe UI"/>
          <w:b/>
          <w:bCs/>
          <w:sz w:val="21"/>
          <w:szCs w:val="21"/>
        </w:rPr>
      </w:pPr>
      <w:r w:rsidRPr="004A0446">
        <w:rPr>
          <w:rFonts w:ascii="Abadi" w:hAnsi="Abadi" w:cs="Segoe UI"/>
          <w:b/>
          <w:bCs/>
          <w:sz w:val="21"/>
          <w:szCs w:val="21"/>
        </w:rPr>
        <w:t>Dip. Ernesto Millán Soberanes</w:t>
      </w:r>
    </w:p>
    <w:p w14:paraId="73FD9876" w14:textId="33DE4F04" w:rsidR="00E3434F" w:rsidRDefault="00E3434F" w:rsidP="00F3730A">
      <w:pPr>
        <w:jc w:val="center"/>
        <w:rPr>
          <w:rFonts w:ascii="Abadi" w:hAnsi="Abadi" w:cs="Segoe UI"/>
          <w:i/>
          <w:iCs/>
          <w:sz w:val="21"/>
          <w:szCs w:val="21"/>
        </w:rPr>
      </w:pPr>
      <w:r w:rsidRPr="004A0446">
        <w:rPr>
          <w:rFonts w:ascii="Abadi" w:hAnsi="Abadi" w:cs="Segoe UI"/>
          <w:i/>
          <w:iCs/>
          <w:sz w:val="21"/>
          <w:szCs w:val="21"/>
        </w:rPr>
        <w:t>Firma electrónica certificada</w:t>
      </w:r>
    </w:p>
    <w:p w14:paraId="728A0C11" w14:textId="77777777" w:rsidR="00B103A1" w:rsidRDefault="00B103A1" w:rsidP="00F3730A">
      <w:pPr>
        <w:jc w:val="center"/>
        <w:rPr>
          <w:rFonts w:ascii="Abadi" w:hAnsi="Abadi" w:cs="Segoe UI"/>
          <w:i/>
          <w:iCs/>
          <w:sz w:val="21"/>
          <w:szCs w:val="21"/>
        </w:rPr>
      </w:pPr>
    </w:p>
    <w:p w14:paraId="354B5EF1" w14:textId="72FF12D0" w:rsidR="003B471E" w:rsidRDefault="003B471E" w:rsidP="003B471E">
      <w:pPr>
        <w:ind w:firstLine="708"/>
        <w:jc w:val="both"/>
        <w:rPr>
          <w:rFonts w:ascii="Abadi" w:hAnsi="Abadi"/>
          <w:sz w:val="21"/>
          <w:szCs w:val="21"/>
        </w:rPr>
      </w:pPr>
      <w:r w:rsidRPr="009743F9">
        <w:rPr>
          <w:rFonts w:ascii="Abadi" w:hAnsi="Abadi"/>
          <w:b/>
          <w:bCs/>
          <w:sz w:val="21"/>
          <w:szCs w:val="21"/>
        </w:rPr>
        <w:t>- El Presidente.-</w:t>
      </w:r>
      <w:r>
        <w:rPr>
          <w:rFonts w:ascii="Abadi" w:hAnsi="Abadi"/>
          <w:sz w:val="21"/>
          <w:szCs w:val="21"/>
        </w:rPr>
        <w:t xml:space="preserve"> S</w:t>
      </w:r>
      <w:r w:rsidRPr="006813AA">
        <w:rPr>
          <w:rFonts w:ascii="Abadi" w:hAnsi="Abadi"/>
          <w:sz w:val="21"/>
          <w:szCs w:val="21"/>
        </w:rPr>
        <w:t xml:space="preserve">ometemos a discusión el dictamen signado por la </w:t>
      </w:r>
      <w:r>
        <w:rPr>
          <w:rFonts w:ascii="Abadi" w:hAnsi="Abadi"/>
          <w:sz w:val="21"/>
          <w:szCs w:val="21"/>
        </w:rPr>
        <w:t>C</w:t>
      </w:r>
      <w:r w:rsidRPr="006813AA">
        <w:rPr>
          <w:rFonts w:ascii="Abadi" w:hAnsi="Abadi"/>
          <w:sz w:val="21"/>
          <w:szCs w:val="21"/>
        </w:rPr>
        <w:t xml:space="preserve">omisión de </w:t>
      </w:r>
      <w:r>
        <w:rPr>
          <w:rFonts w:ascii="Abadi" w:hAnsi="Abadi"/>
          <w:sz w:val="21"/>
          <w:szCs w:val="21"/>
        </w:rPr>
        <w:t>S</w:t>
      </w:r>
      <w:r w:rsidRPr="006813AA">
        <w:rPr>
          <w:rFonts w:ascii="Abadi" w:hAnsi="Abadi"/>
          <w:sz w:val="21"/>
          <w:szCs w:val="21"/>
        </w:rPr>
        <w:t xml:space="preserve">alud </w:t>
      </w:r>
      <w:r>
        <w:rPr>
          <w:rFonts w:ascii="Abadi" w:hAnsi="Abadi"/>
          <w:sz w:val="21"/>
          <w:szCs w:val="21"/>
        </w:rPr>
        <w:t>P</w:t>
      </w:r>
      <w:r w:rsidRPr="006813AA">
        <w:rPr>
          <w:rFonts w:ascii="Abadi" w:hAnsi="Abadi"/>
          <w:sz w:val="21"/>
          <w:szCs w:val="21"/>
        </w:rPr>
        <w:t>ública que se refiere al punto 41 de nuestra orden del día</w:t>
      </w:r>
      <w:r>
        <w:rPr>
          <w:rFonts w:ascii="Abadi" w:hAnsi="Abadi"/>
          <w:sz w:val="21"/>
          <w:szCs w:val="21"/>
        </w:rPr>
        <w:t>.</w:t>
      </w:r>
    </w:p>
    <w:p w14:paraId="3E819CAA" w14:textId="77777777" w:rsidR="00D030A8" w:rsidRDefault="00D030A8" w:rsidP="003B471E">
      <w:pPr>
        <w:ind w:firstLine="708"/>
        <w:jc w:val="both"/>
        <w:rPr>
          <w:rFonts w:ascii="Abadi" w:hAnsi="Abadi"/>
          <w:sz w:val="21"/>
          <w:szCs w:val="21"/>
        </w:rPr>
      </w:pPr>
    </w:p>
    <w:p w14:paraId="278617B2" w14:textId="1465F481" w:rsidR="003B471E" w:rsidRDefault="003B471E" w:rsidP="003B471E">
      <w:pPr>
        <w:ind w:firstLine="708"/>
        <w:jc w:val="both"/>
        <w:rPr>
          <w:rFonts w:ascii="Abadi" w:hAnsi="Abadi"/>
          <w:sz w:val="21"/>
          <w:szCs w:val="21"/>
        </w:rPr>
      </w:pPr>
      <w:r>
        <w:rPr>
          <w:rFonts w:ascii="Abadi" w:hAnsi="Abadi"/>
          <w:sz w:val="21"/>
          <w:szCs w:val="21"/>
        </w:rPr>
        <w:t>- S</w:t>
      </w:r>
      <w:r w:rsidRPr="006813AA">
        <w:rPr>
          <w:rFonts w:ascii="Abadi" w:hAnsi="Abadi"/>
          <w:sz w:val="21"/>
          <w:szCs w:val="21"/>
        </w:rPr>
        <w:t xml:space="preserve">i alguna diputada </w:t>
      </w:r>
      <w:r>
        <w:rPr>
          <w:rFonts w:ascii="Abadi" w:hAnsi="Abadi"/>
          <w:sz w:val="21"/>
          <w:szCs w:val="21"/>
        </w:rPr>
        <w:t xml:space="preserve">o </w:t>
      </w:r>
      <w:r w:rsidRPr="006813AA">
        <w:rPr>
          <w:rFonts w:ascii="Abadi" w:hAnsi="Abadi"/>
          <w:sz w:val="21"/>
          <w:szCs w:val="21"/>
        </w:rPr>
        <w:t xml:space="preserve">algún diputado de ese </w:t>
      </w:r>
      <w:r>
        <w:rPr>
          <w:rFonts w:ascii="Abadi" w:hAnsi="Abadi"/>
          <w:sz w:val="21"/>
          <w:szCs w:val="21"/>
        </w:rPr>
        <w:t>u</w:t>
      </w:r>
      <w:r w:rsidRPr="006813AA">
        <w:rPr>
          <w:rFonts w:ascii="Abadi" w:hAnsi="Abadi"/>
          <w:sz w:val="21"/>
          <w:szCs w:val="21"/>
        </w:rPr>
        <w:t>so de la palabra en pro o en contra</w:t>
      </w:r>
      <w:r>
        <w:rPr>
          <w:rFonts w:ascii="Abadi" w:hAnsi="Abadi"/>
          <w:sz w:val="21"/>
          <w:szCs w:val="21"/>
        </w:rPr>
        <w:t>.</w:t>
      </w:r>
    </w:p>
    <w:p w14:paraId="2661BB1A" w14:textId="77777777" w:rsidR="00D030A8" w:rsidRDefault="00D030A8" w:rsidP="003B471E">
      <w:pPr>
        <w:ind w:firstLine="708"/>
        <w:jc w:val="both"/>
        <w:rPr>
          <w:rFonts w:ascii="Abadi" w:hAnsi="Abadi"/>
          <w:sz w:val="21"/>
          <w:szCs w:val="21"/>
        </w:rPr>
      </w:pPr>
    </w:p>
    <w:p w14:paraId="5E47E0D4" w14:textId="0D63FD34" w:rsidR="003B471E" w:rsidRDefault="003B471E" w:rsidP="003B471E">
      <w:pPr>
        <w:ind w:firstLine="708"/>
        <w:jc w:val="both"/>
        <w:rPr>
          <w:rFonts w:ascii="Abadi" w:hAnsi="Abadi"/>
          <w:sz w:val="21"/>
          <w:szCs w:val="21"/>
        </w:rPr>
      </w:pPr>
      <w:r>
        <w:rPr>
          <w:rFonts w:ascii="Abadi" w:hAnsi="Abadi"/>
          <w:sz w:val="21"/>
          <w:szCs w:val="21"/>
        </w:rPr>
        <w:t>- M</w:t>
      </w:r>
      <w:r w:rsidRPr="006813AA">
        <w:rPr>
          <w:rFonts w:ascii="Abadi" w:hAnsi="Abadi"/>
          <w:sz w:val="21"/>
          <w:szCs w:val="21"/>
        </w:rPr>
        <w:t>anifiéste</w:t>
      </w:r>
      <w:r>
        <w:rPr>
          <w:rFonts w:ascii="Abadi" w:hAnsi="Abadi"/>
          <w:sz w:val="21"/>
          <w:szCs w:val="21"/>
        </w:rPr>
        <w:t>nlo</w:t>
      </w:r>
      <w:r w:rsidRPr="006813AA">
        <w:rPr>
          <w:rFonts w:ascii="Abadi" w:hAnsi="Abadi"/>
          <w:sz w:val="21"/>
          <w:szCs w:val="21"/>
        </w:rPr>
        <w:t xml:space="preserve"> a esta </w:t>
      </w:r>
      <w:r>
        <w:rPr>
          <w:rFonts w:ascii="Abadi" w:hAnsi="Abadi"/>
          <w:sz w:val="21"/>
          <w:szCs w:val="21"/>
        </w:rPr>
        <w:t>P</w:t>
      </w:r>
      <w:r w:rsidRPr="006813AA">
        <w:rPr>
          <w:rFonts w:ascii="Abadi" w:hAnsi="Abadi"/>
          <w:sz w:val="21"/>
          <w:szCs w:val="21"/>
        </w:rPr>
        <w:t>residencia indicando el sentido de su participación</w:t>
      </w:r>
      <w:r>
        <w:rPr>
          <w:rFonts w:ascii="Abadi" w:hAnsi="Abadi"/>
          <w:sz w:val="21"/>
          <w:szCs w:val="21"/>
        </w:rPr>
        <w:t>.</w:t>
      </w:r>
    </w:p>
    <w:p w14:paraId="4FF56664" w14:textId="77777777" w:rsidR="00D030A8" w:rsidRDefault="00D030A8" w:rsidP="003B471E">
      <w:pPr>
        <w:ind w:firstLine="708"/>
        <w:jc w:val="both"/>
        <w:rPr>
          <w:rFonts w:ascii="Abadi" w:hAnsi="Abadi"/>
          <w:sz w:val="21"/>
          <w:szCs w:val="21"/>
        </w:rPr>
      </w:pPr>
    </w:p>
    <w:p w14:paraId="068904B4" w14:textId="0E539DCE" w:rsidR="003B471E" w:rsidRDefault="003B471E" w:rsidP="003B471E">
      <w:pPr>
        <w:ind w:firstLine="708"/>
        <w:jc w:val="both"/>
        <w:rPr>
          <w:rFonts w:ascii="Abadi" w:hAnsi="Abadi"/>
          <w:sz w:val="21"/>
          <w:szCs w:val="21"/>
        </w:rPr>
      </w:pPr>
      <w:r>
        <w:rPr>
          <w:rFonts w:ascii="Abadi" w:hAnsi="Abadi"/>
          <w:sz w:val="21"/>
          <w:szCs w:val="21"/>
        </w:rPr>
        <w:t>- N</w:t>
      </w:r>
      <w:r w:rsidRPr="006813AA">
        <w:rPr>
          <w:rFonts w:ascii="Abadi" w:hAnsi="Abadi"/>
          <w:sz w:val="21"/>
          <w:szCs w:val="21"/>
        </w:rPr>
        <w:t xml:space="preserve">o habiendo participaciones se pide a la </w:t>
      </w:r>
      <w:r>
        <w:rPr>
          <w:rFonts w:ascii="Abadi" w:hAnsi="Abadi"/>
          <w:sz w:val="21"/>
          <w:szCs w:val="21"/>
        </w:rPr>
        <w:t>S</w:t>
      </w:r>
      <w:r w:rsidRPr="006813AA">
        <w:rPr>
          <w:rFonts w:ascii="Abadi" w:hAnsi="Abadi"/>
          <w:sz w:val="21"/>
          <w:szCs w:val="21"/>
        </w:rPr>
        <w:t xml:space="preserve">ecretaría que proceda a recabar votación nominal de la </w:t>
      </w:r>
      <w:r>
        <w:rPr>
          <w:rFonts w:ascii="Abadi" w:hAnsi="Abadi"/>
          <w:sz w:val="21"/>
          <w:szCs w:val="21"/>
        </w:rPr>
        <w:t>A</w:t>
      </w:r>
      <w:r w:rsidRPr="006813AA">
        <w:rPr>
          <w:rFonts w:ascii="Abadi" w:hAnsi="Abadi"/>
          <w:sz w:val="21"/>
          <w:szCs w:val="21"/>
        </w:rPr>
        <w:t>samblea a través de nuestro sistema electrónico</w:t>
      </w:r>
      <w:r>
        <w:rPr>
          <w:rFonts w:ascii="Abadi" w:hAnsi="Abadi"/>
          <w:sz w:val="21"/>
          <w:szCs w:val="21"/>
        </w:rPr>
        <w:t>, a</w:t>
      </w:r>
      <w:r w:rsidRPr="006813AA">
        <w:rPr>
          <w:rFonts w:ascii="Abadi" w:hAnsi="Abadi"/>
          <w:sz w:val="21"/>
          <w:szCs w:val="21"/>
        </w:rPr>
        <w:t xml:space="preserve"> efecto de aprobar o no el dictamen puesto a su consideración</w:t>
      </w:r>
      <w:r>
        <w:rPr>
          <w:rFonts w:ascii="Abadi" w:hAnsi="Abadi"/>
          <w:sz w:val="21"/>
          <w:szCs w:val="21"/>
        </w:rPr>
        <w:t>.</w:t>
      </w:r>
    </w:p>
    <w:p w14:paraId="38D994A5" w14:textId="77777777" w:rsidR="00D030A8" w:rsidRDefault="00D030A8" w:rsidP="003B471E">
      <w:pPr>
        <w:ind w:firstLine="708"/>
        <w:jc w:val="both"/>
        <w:rPr>
          <w:rFonts w:ascii="Abadi" w:hAnsi="Abadi"/>
          <w:sz w:val="21"/>
          <w:szCs w:val="21"/>
        </w:rPr>
      </w:pPr>
    </w:p>
    <w:p w14:paraId="51861F24" w14:textId="0E28493F" w:rsidR="003B471E" w:rsidRDefault="003B471E" w:rsidP="003B471E">
      <w:pPr>
        <w:ind w:firstLine="708"/>
        <w:jc w:val="both"/>
        <w:rPr>
          <w:rFonts w:ascii="Abadi" w:hAnsi="Abadi"/>
          <w:b/>
          <w:bCs/>
          <w:sz w:val="21"/>
          <w:szCs w:val="21"/>
        </w:rPr>
      </w:pPr>
      <w:r w:rsidRPr="00807FFB">
        <w:rPr>
          <w:rFonts w:ascii="Abadi" w:hAnsi="Abadi"/>
          <w:b/>
          <w:bCs/>
          <w:sz w:val="21"/>
          <w:szCs w:val="21"/>
        </w:rPr>
        <w:t>(Abri</w:t>
      </w:r>
      <w:r>
        <w:rPr>
          <w:rFonts w:ascii="Abadi" w:hAnsi="Abadi"/>
          <w:b/>
          <w:bCs/>
          <w:sz w:val="21"/>
          <w:szCs w:val="21"/>
        </w:rPr>
        <w:t xml:space="preserve">mos </w:t>
      </w:r>
      <w:r w:rsidRPr="00807FFB">
        <w:rPr>
          <w:rFonts w:ascii="Abadi" w:hAnsi="Abadi"/>
          <w:b/>
          <w:bCs/>
          <w:sz w:val="21"/>
          <w:szCs w:val="21"/>
        </w:rPr>
        <w:t>nuestro sistema electrónico)</w:t>
      </w:r>
    </w:p>
    <w:p w14:paraId="3A8EBE6B" w14:textId="77777777" w:rsidR="00D030A8" w:rsidRPr="00807FFB" w:rsidRDefault="00D030A8" w:rsidP="003B471E">
      <w:pPr>
        <w:ind w:firstLine="708"/>
        <w:jc w:val="both"/>
        <w:rPr>
          <w:rFonts w:ascii="Abadi" w:hAnsi="Abadi"/>
          <w:b/>
          <w:bCs/>
          <w:sz w:val="21"/>
          <w:szCs w:val="21"/>
        </w:rPr>
      </w:pPr>
    </w:p>
    <w:p w14:paraId="2165994C" w14:textId="112BE21F" w:rsidR="003B471E" w:rsidRDefault="003B471E" w:rsidP="003B471E">
      <w:pPr>
        <w:ind w:firstLine="708"/>
        <w:jc w:val="both"/>
        <w:rPr>
          <w:rFonts w:ascii="Abadi" w:hAnsi="Abadi"/>
          <w:sz w:val="21"/>
          <w:szCs w:val="21"/>
        </w:rPr>
      </w:pPr>
      <w:r w:rsidRPr="0034360B">
        <w:rPr>
          <w:rFonts w:ascii="Abadi" w:hAnsi="Abadi"/>
          <w:b/>
          <w:bCs/>
          <w:sz w:val="21"/>
          <w:szCs w:val="21"/>
        </w:rPr>
        <w:t>- El Presidente.-</w:t>
      </w:r>
      <w:r>
        <w:rPr>
          <w:rFonts w:ascii="Abadi" w:hAnsi="Abadi"/>
          <w:sz w:val="21"/>
          <w:szCs w:val="21"/>
        </w:rPr>
        <w:t xml:space="preserve"> En </w:t>
      </w:r>
      <w:r w:rsidRPr="006813AA">
        <w:rPr>
          <w:rFonts w:ascii="Abadi" w:hAnsi="Abadi"/>
          <w:sz w:val="21"/>
          <w:szCs w:val="21"/>
        </w:rPr>
        <w:t xml:space="preserve">votación nominal por el sistema electrónico se pregunta a las diputadas y los diputados si se aprueba el dictamen </w:t>
      </w:r>
      <w:r>
        <w:rPr>
          <w:rFonts w:ascii="Abadi" w:hAnsi="Abadi"/>
          <w:sz w:val="21"/>
          <w:szCs w:val="21"/>
        </w:rPr>
        <w:t>puesto a su consideración. ¿Diputada Alma Edwviges) ¿Diputada Janet Melanie?</w:t>
      </w:r>
    </w:p>
    <w:p w14:paraId="5B8E6B2B" w14:textId="77777777" w:rsidR="00D030A8" w:rsidRDefault="00D030A8" w:rsidP="003B471E">
      <w:pPr>
        <w:ind w:firstLine="708"/>
        <w:jc w:val="both"/>
        <w:rPr>
          <w:rFonts w:ascii="Abadi" w:hAnsi="Abadi"/>
          <w:sz w:val="21"/>
          <w:szCs w:val="21"/>
        </w:rPr>
      </w:pPr>
    </w:p>
    <w:p w14:paraId="51B6BDB1" w14:textId="01B23B66" w:rsidR="003B471E" w:rsidRDefault="003B471E" w:rsidP="003B471E">
      <w:pPr>
        <w:ind w:firstLine="708"/>
        <w:jc w:val="both"/>
        <w:rPr>
          <w:rFonts w:ascii="Abadi" w:hAnsi="Abadi"/>
          <w:sz w:val="21"/>
          <w:szCs w:val="21"/>
        </w:rPr>
      </w:pPr>
      <w:r>
        <w:rPr>
          <w:rFonts w:ascii="Abadi" w:hAnsi="Abadi"/>
          <w:sz w:val="21"/>
          <w:szCs w:val="21"/>
        </w:rPr>
        <w:t>¿F</w:t>
      </w:r>
      <w:r w:rsidRPr="006813AA">
        <w:rPr>
          <w:rFonts w:ascii="Abadi" w:hAnsi="Abadi"/>
          <w:sz w:val="21"/>
          <w:szCs w:val="21"/>
        </w:rPr>
        <w:t>alta alguna diputada o algún diputado de emitir su voto</w:t>
      </w:r>
      <w:r>
        <w:rPr>
          <w:rFonts w:ascii="Abadi" w:hAnsi="Abadi"/>
          <w:sz w:val="21"/>
          <w:szCs w:val="21"/>
        </w:rPr>
        <w:t>?</w:t>
      </w:r>
    </w:p>
    <w:p w14:paraId="2D9D6550" w14:textId="77777777" w:rsidR="00D030A8" w:rsidRDefault="00D030A8" w:rsidP="003B471E">
      <w:pPr>
        <w:ind w:firstLine="708"/>
        <w:jc w:val="both"/>
        <w:rPr>
          <w:rFonts w:ascii="Abadi" w:hAnsi="Abadi"/>
          <w:sz w:val="21"/>
          <w:szCs w:val="21"/>
        </w:rPr>
      </w:pPr>
    </w:p>
    <w:p w14:paraId="6A981B45" w14:textId="65C299BF" w:rsidR="003B471E" w:rsidRDefault="00D030A8" w:rsidP="003B471E">
      <w:pPr>
        <w:ind w:firstLine="708"/>
        <w:jc w:val="both"/>
        <w:rPr>
          <w:rFonts w:ascii="Abadi" w:hAnsi="Abadi"/>
          <w:b/>
          <w:bCs/>
          <w:sz w:val="21"/>
          <w:szCs w:val="21"/>
        </w:rPr>
      </w:pPr>
      <w:r>
        <w:rPr>
          <w:noProof/>
        </w:rPr>
        <w:drawing>
          <wp:anchor distT="0" distB="0" distL="114300" distR="114300" simplePos="0" relativeHeight="251708416" behindDoc="1" locked="0" layoutInCell="1" allowOverlap="1" wp14:anchorId="50B6FF02" wp14:editId="3D94B194">
            <wp:simplePos x="0" y="0"/>
            <wp:positionH relativeFrom="column">
              <wp:posOffset>330835</wp:posOffset>
            </wp:positionH>
            <wp:positionV relativeFrom="paragraph">
              <wp:posOffset>509270</wp:posOffset>
            </wp:positionV>
            <wp:extent cx="1962150" cy="1036955"/>
            <wp:effectExtent l="323850" t="323850" r="323850" b="315595"/>
            <wp:wrapTight wrapText="bothSides">
              <wp:wrapPolygon edited="0">
                <wp:start x="-2097" y="-6746"/>
                <wp:lineTo x="-3565" y="-5952"/>
                <wp:lineTo x="-3565" y="19444"/>
                <wp:lineTo x="-3146" y="25793"/>
                <wp:lineTo x="-2097" y="27777"/>
                <wp:lineTo x="23487" y="27777"/>
                <wp:lineTo x="24536" y="25793"/>
                <wp:lineTo x="24955" y="19444"/>
                <wp:lineTo x="24955" y="397"/>
                <wp:lineTo x="23487" y="-5555"/>
                <wp:lineTo x="23487" y="-6746"/>
                <wp:lineTo x="-2097" y="-6746"/>
              </wp:wrapPolygon>
            </wp:wrapTight>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print">
                      <a:extLst>
                        <a:ext uri="{28A0092B-C50C-407E-A947-70E740481C1C}">
                          <a14:useLocalDpi xmlns:a14="http://schemas.microsoft.com/office/drawing/2010/main" val="0"/>
                        </a:ext>
                      </a:extLst>
                    </a:blip>
                    <a:srcRect b="5990"/>
                    <a:stretch/>
                  </pic:blipFill>
                  <pic:spPr bwMode="auto">
                    <a:xfrm>
                      <a:off x="0" y="0"/>
                      <a:ext cx="1962150" cy="1036955"/>
                    </a:xfrm>
                    <a:prstGeom prst="rect">
                      <a:avLst/>
                    </a:prstGeom>
                    <a:ln w="88900" cap="sq" cmpd="thickThin">
                      <a:solidFill>
                        <a:srgbClr val="000000"/>
                      </a:solidFill>
                      <a:prstDash val="solid"/>
                      <a:miter lim="800000"/>
                    </a:ln>
                    <a:effectLst>
                      <a:glow rad="228600">
                        <a:schemeClr val="accent3">
                          <a:satMod val="175000"/>
                          <a:alpha val="40000"/>
                        </a:schemeClr>
                      </a:glow>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B471E" w:rsidRPr="000C240A">
        <w:rPr>
          <w:rFonts w:ascii="Abadi" w:hAnsi="Abadi"/>
          <w:b/>
          <w:bCs/>
          <w:sz w:val="21"/>
          <w:szCs w:val="21"/>
        </w:rPr>
        <w:t>(Cerramos sistema electrónico)</w:t>
      </w:r>
    </w:p>
    <w:p w14:paraId="0A5F67AF" w14:textId="493DDFE1" w:rsidR="003B471E" w:rsidRPr="000C240A" w:rsidRDefault="003B471E" w:rsidP="003B471E">
      <w:pPr>
        <w:ind w:firstLine="708"/>
        <w:jc w:val="both"/>
        <w:rPr>
          <w:rFonts w:ascii="Abadi" w:hAnsi="Abadi"/>
          <w:b/>
          <w:bCs/>
          <w:sz w:val="21"/>
          <w:szCs w:val="21"/>
        </w:rPr>
      </w:pPr>
    </w:p>
    <w:p w14:paraId="09195A60" w14:textId="6B370E54" w:rsidR="003B471E" w:rsidRDefault="00DC4E3B" w:rsidP="00D030A8">
      <w:pPr>
        <w:pStyle w:val="Prrafodelista"/>
        <w:spacing w:after="160" w:line="259" w:lineRule="auto"/>
        <w:ind w:left="0"/>
        <w:contextualSpacing/>
        <w:jc w:val="both"/>
        <w:rPr>
          <w:rFonts w:ascii="Abadi" w:hAnsi="Abadi"/>
          <w:sz w:val="21"/>
          <w:szCs w:val="21"/>
        </w:rPr>
      </w:pPr>
      <w:r>
        <w:rPr>
          <w:rFonts w:ascii="Abadi" w:hAnsi="Abadi"/>
          <w:b/>
          <w:bCs/>
          <w:sz w:val="21"/>
          <w:szCs w:val="21"/>
        </w:rPr>
        <w:tab/>
      </w:r>
      <w:r w:rsidR="00D030A8">
        <w:rPr>
          <w:rFonts w:ascii="Abadi" w:hAnsi="Abadi"/>
          <w:b/>
          <w:bCs/>
          <w:sz w:val="21"/>
          <w:szCs w:val="21"/>
        </w:rPr>
        <w:t xml:space="preserve">- </w:t>
      </w:r>
      <w:r w:rsidR="003B471E" w:rsidRPr="000F2C5E">
        <w:rPr>
          <w:rFonts w:ascii="Abadi" w:hAnsi="Abadi"/>
          <w:b/>
          <w:bCs/>
          <w:sz w:val="21"/>
          <w:szCs w:val="21"/>
        </w:rPr>
        <w:t>El Secretario.-</w:t>
      </w:r>
      <w:r w:rsidR="003B471E">
        <w:rPr>
          <w:rFonts w:ascii="Abadi" w:hAnsi="Abadi"/>
          <w:sz w:val="21"/>
          <w:szCs w:val="21"/>
        </w:rPr>
        <w:t xml:space="preserve"> </w:t>
      </w:r>
      <w:r w:rsidR="003B471E" w:rsidRPr="000F2C5E">
        <w:rPr>
          <w:rFonts w:ascii="Abadi" w:hAnsi="Abadi"/>
          <w:sz w:val="21"/>
          <w:szCs w:val="21"/>
        </w:rPr>
        <w:t>Se registraron 29 votos a favor y 3 votos en contra.</w:t>
      </w:r>
    </w:p>
    <w:p w14:paraId="2CACD863" w14:textId="77777777" w:rsidR="003B471E" w:rsidRPr="000F2C5E" w:rsidRDefault="003B471E" w:rsidP="003B471E">
      <w:pPr>
        <w:pStyle w:val="Prrafodelista"/>
        <w:ind w:left="1068"/>
        <w:jc w:val="both"/>
        <w:rPr>
          <w:rFonts w:ascii="Abadi" w:hAnsi="Abadi"/>
          <w:sz w:val="21"/>
          <w:szCs w:val="21"/>
        </w:rPr>
      </w:pPr>
    </w:p>
    <w:p w14:paraId="7DF61AB0" w14:textId="5AD988CB" w:rsidR="003B471E" w:rsidRDefault="003B471E" w:rsidP="005057DC">
      <w:pPr>
        <w:pStyle w:val="Prrafodelista"/>
        <w:numPr>
          <w:ilvl w:val="0"/>
          <w:numId w:val="76"/>
        </w:numPr>
        <w:spacing w:after="160" w:line="259" w:lineRule="auto"/>
        <w:ind w:left="0" w:firstLine="709"/>
        <w:contextualSpacing/>
        <w:jc w:val="both"/>
        <w:rPr>
          <w:rFonts w:ascii="Abadi" w:hAnsi="Abadi"/>
          <w:sz w:val="21"/>
          <w:szCs w:val="21"/>
        </w:rPr>
      </w:pPr>
      <w:r w:rsidRPr="000C240A">
        <w:rPr>
          <w:rFonts w:ascii="Abadi" w:hAnsi="Abadi"/>
          <w:b/>
          <w:bCs/>
          <w:sz w:val="21"/>
          <w:szCs w:val="21"/>
        </w:rPr>
        <w:t>El Presidente.-</w:t>
      </w:r>
      <w:r w:rsidRPr="000C240A">
        <w:rPr>
          <w:rFonts w:ascii="Abadi" w:hAnsi="Abadi"/>
          <w:sz w:val="21"/>
          <w:szCs w:val="21"/>
        </w:rPr>
        <w:t xml:space="preserve"> El dictamen ha sido aprobado por mayoría de votos</w:t>
      </w:r>
      <w:r>
        <w:rPr>
          <w:rFonts w:ascii="Abadi" w:hAnsi="Abadi"/>
          <w:sz w:val="21"/>
          <w:szCs w:val="21"/>
        </w:rPr>
        <w:t>.</w:t>
      </w:r>
    </w:p>
    <w:p w14:paraId="656AD223" w14:textId="77777777" w:rsidR="003B471E" w:rsidRDefault="003B471E" w:rsidP="003B471E">
      <w:pPr>
        <w:pStyle w:val="Prrafodelista"/>
        <w:ind w:left="1068"/>
        <w:jc w:val="both"/>
        <w:rPr>
          <w:rFonts w:ascii="Abadi" w:hAnsi="Abadi"/>
          <w:sz w:val="21"/>
          <w:szCs w:val="21"/>
        </w:rPr>
      </w:pPr>
    </w:p>
    <w:p w14:paraId="4E0C80D3" w14:textId="116931F5" w:rsidR="003B471E" w:rsidRDefault="003B471E" w:rsidP="00DC4E3B">
      <w:pPr>
        <w:pStyle w:val="Prrafodelista"/>
        <w:ind w:left="426" w:right="567"/>
        <w:jc w:val="both"/>
        <w:rPr>
          <w:rFonts w:ascii="Abadi" w:hAnsi="Abadi"/>
          <w:b/>
          <w:bCs/>
          <w:i/>
          <w:iCs/>
          <w:sz w:val="21"/>
          <w:szCs w:val="21"/>
          <w:u w:val="single"/>
        </w:rPr>
      </w:pPr>
      <w:r w:rsidRPr="000F1918">
        <w:rPr>
          <w:rFonts w:ascii="Abadi" w:hAnsi="Abadi"/>
          <w:b/>
          <w:bCs/>
          <w:i/>
          <w:iCs/>
          <w:sz w:val="21"/>
          <w:szCs w:val="21"/>
          <w:u w:val="single"/>
        </w:rPr>
        <w:t>En consecuencia se instruye a la Secretaría General que proceda al archivo definitivo de las iniciativas referidas en el dictamen recién aprobado.</w:t>
      </w:r>
    </w:p>
    <w:p w14:paraId="0BAE2C18" w14:textId="77777777" w:rsidR="00B103A1" w:rsidRPr="000F1918" w:rsidRDefault="00B103A1" w:rsidP="00DC4E3B">
      <w:pPr>
        <w:pStyle w:val="Prrafodelista"/>
        <w:ind w:left="426" w:right="567"/>
        <w:jc w:val="both"/>
        <w:rPr>
          <w:rFonts w:ascii="Abadi" w:hAnsi="Abadi"/>
          <w:b/>
          <w:bCs/>
          <w:i/>
          <w:iCs/>
          <w:sz w:val="21"/>
          <w:szCs w:val="21"/>
          <w:u w:val="single"/>
        </w:rPr>
      </w:pPr>
    </w:p>
    <w:p w14:paraId="14C4936B" w14:textId="77777777" w:rsidR="00E462B6" w:rsidRPr="0028553C" w:rsidRDefault="00E462B6" w:rsidP="001D6A94">
      <w:pPr>
        <w:pStyle w:val="Prrafodelista"/>
        <w:numPr>
          <w:ilvl w:val="0"/>
          <w:numId w:val="14"/>
        </w:numPr>
        <w:autoSpaceDE w:val="0"/>
        <w:autoSpaceDN w:val="0"/>
        <w:adjustRightInd w:val="0"/>
        <w:ind w:left="426"/>
        <w:contextualSpacing/>
        <w:jc w:val="both"/>
        <w:rPr>
          <w:rFonts w:ascii="Abadi" w:hAnsi="Abadi" w:cs="ArialMT"/>
          <w:b/>
          <w:bCs/>
          <w:sz w:val="20"/>
          <w:szCs w:val="21"/>
        </w:rPr>
      </w:pPr>
      <w:r w:rsidRPr="0028553C">
        <w:rPr>
          <w:rFonts w:ascii="Abadi" w:hAnsi="Abadi" w:cs="ArialMT"/>
          <w:b/>
          <w:bCs/>
          <w:sz w:val="20"/>
          <w:szCs w:val="21"/>
        </w:rPr>
        <w:t>DISCUSIÓN Y, EN SU CASO, APROBACIÓN DEL DICTAMEN FORMULADO POR LA COMISIÓN DE JUSTICIA RELATIVO A DOS INICIATIVAS A EFECTO DE ADICIONAR UNA FRACCIÓN XIII AL ARTÍCULO 194 DEL CÓDIGO PENAL DEL ESTADO DE GUANAJUATO: LA PRIMERA, PRESENTADA POR EL DIPUTADO JUAN ELÍAS CHÁVEZ DE LA REPRESENTACIÓN PARLAMENTARIA DEL PARTIDO NUEVA ALIANZA DE LA SEXAGÉSIMA CUARTA LEGISLATURA; Y LA SEGUNDA, POR DIPUTADAS Y DIPUTADOS INTEGRANTES DEL GRUPO PARLAMENTARIO DEL PARTIDO REVOLUCIONARIO INSTITUCIONAL DE LA PRESENTE LEGISLATURA.</w:t>
      </w:r>
    </w:p>
    <w:p w14:paraId="545825AB" w14:textId="5804FF62" w:rsidR="00E462B6" w:rsidRDefault="00E462B6" w:rsidP="00F3730A">
      <w:pPr>
        <w:autoSpaceDE w:val="0"/>
        <w:autoSpaceDN w:val="0"/>
        <w:adjustRightInd w:val="0"/>
        <w:jc w:val="both"/>
        <w:rPr>
          <w:rFonts w:ascii="Abadi" w:hAnsi="Abadi" w:cs="ArialMT"/>
          <w:b/>
          <w:bCs/>
          <w:sz w:val="20"/>
          <w:szCs w:val="21"/>
        </w:rPr>
      </w:pPr>
    </w:p>
    <w:p w14:paraId="63F86946" w14:textId="77777777" w:rsidR="00E3434F" w:rsidRPr="0084441A" w:rsidRDefault="00E3434F" w:rsidP="00F3730A">
      <w:pPr>
        <w:ind w:right="-1"/>
        <w:jc w:val="both"/>
        <w:rPr>
          <w:rFonts w:ascii="Abadi" w:hAnsi="Abadi"/>
          <w:b/>
          <w:iCs/>
          <w:sz w:val="21"/>
          <w:szCs w:val="21"/>
        </w:rPr>
      </w:pPr>
      <w:r w:rsidRPr="0084441A">
        <w:rPr>
          <w:rFonts w:ascii="Abadi" w:hAnsi="Abadi"/>
          <w:b/>
          <w:iCs/>
          <w:sz w:val="21"/>
          <w:szCs w:val="21"/>
        </w:rPr>
        <w:t xml:space="preserve">DICTAMEN QUE PRESENTA LA COMISIÓN DE JUSTICIA RELATIVO A DOS INICIATIVAS A EFECTO DE ADICIONAR UNA FRACCIÓN XIII AL ARTÍCULO 194 DEL CÓDIGO PENAL DEL ESTADO DE GUANAJUATO. </w:t>
      </w:r>
    </w:p>
    <w:p w14:paraId="4BEB9A8A" w14:textId="77777777" w:rsidR="00E3434F" w:rsidRPr="0084441A" w:rsidRDefault="00E3434F" w:rsidP="00F3730A">
      <w:pPr>
        <w:ind w:right="-1"/>
        <w:jc w:val="both"/>
        <w:rPr>
          <w:rFonts w:ascii="Abadi" w:hAnsi="Abadi"/>
          <w:b/>
          <w:iCs/>
          <w:sz w:val="21"/>
          <w:szCs w:val="21"/>
        </w:rPr>
      </w:pPr>
    </w:p>
    <w:p w14:paraId="2894807E" w14:textId="77777777" w:rsidR="00E3434F" w:rsidRPr="0084441A" w:rsidRDefault="00E3434F" w:rsidP="00F3730A">
      <w:pPr>
        <w:ind w:right="-1"/>
        <w:jc w:val="both"/>
        <w:rPr>
          <w:rFonts w:ascii="Abadi" w:hAnsi="Abadi"/>
          <w:b/>
          <w:iCs/>
          <w:sz w:val="21"/>
          <w:szCs w:val="21"/>
        </w:rPr>
      </w:pPr>
    </w:p>
    <w:p w14:paraId="64122BE0" w14:textId="77777777" w:rsidR="00E3434F" w:rsidRPr="0084441A" w:rsidRDefault="00E3434F" w:rsidP="00F3730A">
      <w:pPr>
        <w:ind w:right="-1" w:firstLine="708"/>
        <w:jc w:val="both"/>
        <w:rPr>
          <w:rFonts w:ascii="Abadi" w:hAnsi="Abadi"/>
          <w:sz w:val="21"/>
          <w:szCs w:val="21"/>
        </w:rPr>
      </w:pPr>
      <w:r w:rsidRPr="0084441A">
        <w:rPr>
          <w:rFonts w:ascii="Abadi" w:hAnsi="Abadi"/>
          <w:sz w:val="21"/>
          <w:szCs w:val="21"/>
        </w:rPr>
        <w:t>A la Comisión de Justicia le fueron turnadas, en su oportunidad, para su estudio y dictamen dos iniciativas a efecto de adicionar una fracción XIII al artículo 194 del Código Penal del Estado de Guanajuato: la primera, presentada por el diputado Juan Elías Chávez de la Representación Parlamentaria del Partido Nueva Alianza de la Sexagésima Cuarta Legislatura; y la segunda, por diputadas y diputados integrantes del Grupo Parlamentario del Partido Revolucionario Institucional de la presente Legislatura.</w:t>
      </w:r>
    </w:p>
    <w:p w14:paraId="282A22DE" w14:textId="77777777" w:rsidR="00E3434F" w:rsidRPr="0084441A" w:rsidRDefault="00E3434F" w:rsidP="00F3730A">
      <w:pPr>
        <w:ind w:right="-1" w:firstLine="708"/>
        <w:jc w:val="both"/>
        <w:rPr>
          <w:rFonts w:ascii="Abadi" w:hAnsi="Abadi"/>
          <w:sz w:val="21"/>
          <w:szCs w:val="21"/>
        </w:rPr>
      </w:pPr>
    </w:p>
    <w:p w14:paraId="7388671A" w14:textId="5BF0F613" w:rsidR="00E3434F" w:rsidRDefault="00E3434F" w:rsidP="00F3730A">
      <w:pPr>
        <w:ind w:right="-1" w:firstLine="708"/>
        <w:jc w:val="both"/>
        <w:rPr>
          <w:rFonts w:ascii="Abadi" w:eastAsia="SimSun" w:hAnsi="Abadi"/>
          <w:bCs/>
          <w:sz w:val="21"/>
          <w:szCs w:val="21"/>
        </w:rPr>
      </w:pPr>
      <w:r w:rsidRPr="0084441A">
        <w:rPr>
          <w:rFonts w:ascii="Abadi" w:eastAsia="SimSun" w:hAnsi="Abadi"/>
          <w:bCs/>
          <w:sz w:val="21"/>
          <w:szCs w:val="21"/>
        </w:rPr>
        <w:t>Con fundamento en lo dispuesto por los artículos 113 facción II y 171 de la Ley Orgánica del Poder Legislativo del Estado de Guanajuato, se formula dictamen en atención a las siguientes:</w:t>
      </w:r>
    </w:p>
    <w:p w14:paraId="461D1709" w14:textId="77777777" w:rsidR="00874E08" w:rsidRPr="0084441A" w:rsidRDefault="00874E08" w:rsidP="00F3730A">
      <w:pPr>
        <w:ind w:right="-1" w:firstLine="708"/>
        <w:jc w:val="both"/>
        <w:rPr>
          <w:rFonts w:ascii="Abadi" w:eastAsia="SimSun" w:hAnsi="Abadi"/>
          <w:bCs/>
          <w:sz w:val="21"/>
          <w:szCs w:val="21"/>
        </w:rPr>
      </w:pPr>
    </w:p>
    <w:p w14:paraId="52E84316" w14:textId="77777777" w:rsidR="00E3434F" w:rsidRPr="0084441A" w:rsidRDefault="00E3434F" w:rsidP="00F3730A">
      <w:pPr>
        <w:jc w:val="center"/>
        <w:rPr>
          <w:rFonts w:ascii="Abadi" w:eastAsia="SimSun" w:hAnsi="Abadi" w:cs="Arial"/>
          <w:b/>
          <w:bCs/>
          <w:sz w:val="21"/>
          <w:szCs w:val="21"/>
        </w:rPr>
      </w:pPr>
      <w:r w:rsidRPr="0084441A">
        <w:rPr>
          <w:rFonts w:ascii="Abadi" w:eastAsia="SimSun" w:hAnsi="Abadi" w:cs="Arial"/>
          <w:b/>
          <w:bCs/>
          <w:sz w:val="21"/>
          <w:szCs w:val="21"/>
        </w:rPr>
        <w:t>CONSIDERACIONES</w:t>
      </w:r>
    </w:p>
    <w:p w14:paraId="33627989" w14:textId="77777777" w:rsidR="00E3434F" w:rsidRPr="0084441A" w:rsidRDefault="00E3434F" w:rsidP="00F3730A">
      <w:pPr>
        <w:widowControl w:val="0"/>
        <w:autoSpaceDE w:val="0"/>
        <w:autoSpaceDN w:val="0"/>
        <w:adjustRightInd w:val="0"/>
        <w:spacing w:before="100" w:beforeAutospacing="1" w:after="100" w:afterAutospacing="1"/>
        <w:jc w:val="both"/>
        <w:rPr>
          <w:rFonts w:ascii="Abadi" w:hAnsi="Abadi" w:cs="Arial"/>
          <w:b/>
          <w:sz w:val="21"/>
          <w:szCs w:val="21"/>
        </w:rPr>
      </w:pPr>
      <w:r w:rsidRPr="0084441A">
        <w:rPr>
          <w:rFonts w:ascii="Abadi" w:hAnsi="Abadi" w:cs="Arial"/>
          <w:b/>
          <w:sz w:val="21"/>
          <w:szCs w:val="21"/>
        </w:rPr>
        <w:t>I.</w:t>
      </w:r>
      <w:r w:rsidRPr="0084441A">
        <w:rPr>
          <w:rFonts w:ascii="Abadi" w:hAnsi="Abadi" w:cs="Arial"/>
          <w:b/>
          <w:sz w:val="21"/>
          <w:szCs w:val="21"/>
        </w:rPr>
        <w:tab/>
        <w:t>Presentación de las iniciativas.</w:t>
      </w:r>
    </w:p>
    <w:p w14:paraId="63DD4EBD" w14:textId="77777777" w:rsidR="00E3434F" w:rsidRPr="0084441A" w:rsidRDefault="00E3434F" w:rsidP="00F3730A">
      <w:pPr>
        <w:widowControl w:val="0"/>
        <w:autoSpaceDE w:val="0"/>
        <w:autoSpaceDN w:val="0"/>
        <w:adjustRightInd w:val="0"/>
        <w:spacing w:before="100" w:beforeAutospacing="1" w:after="100" w:afterAutospacing="1"/>
        <w:jc w:val="both"/>
        <w:rPr>
          <w:rFonts w:ascii="Abadi" w:hAnsi="Abadi" w:cs="Arial"/>
          <w:b/>
          <w:sz w:val="21"/>
          <w:szCs w:val="21"/>
        </w:rPr>
      </w:pPr>
      <w:r w:rsidRPr="0084441A">
        <w:rPr>
          <w:rFonts w:ascii="Abadi" w:hAnsi="Abadi" w:cs="Arial"/>
          <w:b/>
          <w:sz w:val="21"/>
          <w:szCs w:val="21"/>
        </w:rPr>
        <w:t>I.1.</w:t>
      </w:r>
      <w:r w:rsidRPr="0084441A">
        <w:rPr>
          <w:rFonts w:ascii="Abadi" w:hAnsi="Abadi" w:cs="Arial"/>
          <w:b/>
          <w:sz w:val="21"/>
          <w:szCs w:val="21"/>
        </w:rPr>
        <w:tab/>
        <w:t>Facultad para la presentación de iniciativas.</w:t>
      </w:r>
    </w:p>
    <w:p w14:paraId="3C229DEC" w14:textId="77777777" w:rsidR="00E3434F" w:rsidRPr="0084441A" w:rsidRDefault="00E3434F" w:rsidP="00F3730A">
      <w:pPr>
        <w:widowControl w:val="0"/>
        <w:autoSpaceDE w:val="0"/>
        <w:autoSpaceDN w:val="0"/>
        <w:adjustRightInd w:val="0"/>
        <w:spacing w:before="100" w:beforeAutospacing="1" w:after="100" w:afterAutospacing="1"/>
        <w:ind w:firstLine="708"/>
        <w:jc w:val="both"/>
        <w:rPr>
          <w:rFonts w:ascii="Abadi" w:hAnsi="Abadi" w:cs="Arial"/>
          <w:bCs/>
          <w:sz w:val="21"/>
          <w:szCs w:val="21"/>
        </w:rPr>
      </w:pPr>
      <w:r w:rsidRPr="0084441A">
        <w:rPr>
          <w:rFonts w:ascii="Abadi" w:hAnsi="Abadi" w:cs="Arial"/>
          <w:bCs/>
          <w:sz w:val="21"/>
          <w:szCs w:val="21"/>
        </w:rPr>
        <w:t xml:space="preserve">Los diputados iniciantes </w:t>
      </w:r>
      <w:bookmarkStart w:id="43" w:name="_Hlk94008944"/>
      <w:r w:rsidRPr="0084441A">
        <w:rPr>
          <w:rFonts w:ascii="Abadi" w:hAnsi="Abadi" w:cs="Arial"/>
          <w:bCs/>
          <w:sz w:val="21"/>
          <w:szCs w:val="21"/>
        </w:rPr>
        <w:t>en ejercicio de la facultad establecida en los artículos 56 fracción II de la Constitución Política para el Estado de Guanajuato y 167 fracción II de la Ley Orgánica del Poder Legislativo del Estado de Guanajuato, presentaron ante la Secretaría General de este Congreso del Estado, las iniciativas que se describen en el preámbulo del presente dictamen.</w:t>
      </w:r>
    </w:p>
    <w:p w14:paraId="17114AD7" w14:textId="77777777" w:rsidR="00E3434F" w:rsidRPr="0084441A" w:rsidRDefault="00E3434F" w:rsidP="00F3730A">
      <w:pPr>
        <w:autoSpaceDE w:val="0"/>
        <w:autoSpaceDN w:val="0"/>
        <w:adjustRightInd w:val="0"/>
        <w:jc w:val="both"/>
        <w:rPr>
          <w:rFonts w:ascii="Abadi" w:eastAsia="SimSun" w:hAnsi="Abadi"/>
          <w:b/>
          <w:bCs/>
          <w:sz w:val="21"/>
          <w:szCs w:val="21"/>
        </w:rPr>
      </w:pPr>
      <w:r w:rsidRPr="0084441A">
        <w:rPr>
          <w:rFonts w:ascii="Abadi" w:eastAsia="SimSun" w:hAnsi="Abadi"/>
          <w:b/>
          <w:bCs/>
          <w:sz w:val="21"/>
          <w:szCs w:val="21"/>
        </w:rPr>
        <w:t>I.2.</w:t>
      </w:r>
      <w:r w:rsidRPr="0084441A">
        <w:rPr>
          <w:rFonts w:ascii="Abadi" w:eastAsia="SimSun" w:hAnsi="Abadi"/>
          <w:b/>
          <w:bCs/>
          <w:sz w:val="21"/>
          <w:szCs w:val="21"/>
        </w:rPr>
        <w:tab/>
        <w:t>Objeto de las iniciativas.</w:t>
      </w:r>
    </w:p>
    <w:p w14:paraId="0D70E75C" w14:textId="77777777" w:rsidR="00E3434F" w:rsidRPr="0084441A" w:rsidRDefault="00E3434F" w:rsidP="00F3730A">
      <w:pPr>
        <w:widowControl w:val="0"/>
        <w:autoSpaceDE w:val="0"/>
        <w:autoSpaceDN w:val="0"/>
        <w:adjustRightInd w:val="0"/>
        <w:spacing w:before="100" w:beforeAutospacing="1" w:after="100" w:afterAutospacing="1"/>
        <w:jc w:val="both"/>
        <w:rPr>
          <w:rFonts w:ascii="Abadi" w:hAnsi="Abadi" w:cs="Arial"/>
          <w:bCs/>
          <w:sz w:val="21"/>
          <w:szCs w:val="21"/>
        </w:rPr>
      </w:pPr>
      <w:r w:rsidRPr="0084441A">
        <w:rPr>
          <w:rFonts w:ascii="Abadi" w:hAnsi="Abadi" w:cs="Arial"/>
          <w:bCs/>
          <w:sz w:val="21"/>
          <w:szCs w:val="21"/>
        </w:rPr>
        <w:tab/>
        <w:t>Ambas iniciativas, aun cuando se plantean normativamente de diversa forma, coinciden en su objetivo: catalogar como calificado el robo en escuelas, planteles e instituciones educativas.</w:t>
      </w:r>
    </w:p>
    <w:p w14:paraId="3F687250" w14:textId="77777777" w:rsidR="00E3434F" w:rsidRPr="0084441A" w:rsidRDefault="00E3434F" w:rsidP="00F3730A">
      <w:pPr>
        <w:widowControl w:val="0"/>
        <w:autoSpaceDE w:val="0"/>
        <w:autoSpaceDN w:val="0"/>
        <w:adjustRightInd w:val="0"/>
        <w:spacing w:before="100" w:beforeAutospacing="1" w:after="100" w:afterAutospacing="1"/>
        <w:jc w:val="both"/>
        <w:rPr>
          <w:rFonts w:ascii="Abadi" w:hAnsi="Abadi" w:cs="Arial"/>
          <w:bCs/>
          <w:sz w:val="21"/>
          <w:szCs w:val="21"/>
        </w:rPr>
      </w:pPr>
      <w:r w:rsidRPr="0084441A">
        <w:rPr>
          <w:rFonts w:ascii="Abadi" w:hAnsi="Abadi" w:cs="Arial"/>
          <w:bCs/>
          <w:sz w:val="21"/>
          <w:szCs w:val="21"/>
        </w:rPr>
        <w:tab/>
        <w:t xml:space="preserve">Su justificación está referida al número de robos en las instituciones educativas que se incrementó particularmente con motivo de la pandemia de COVID 19 y su consecuente modalidad de educación a distancia, lo que dejó sin el resguardo necesario y de vigilancia a los centros educativos, lo que fue aprovechado por la delincuencia. </w:t>
      </w:r>
    </w:p>
    <w:p w14:paraId="24F64241" w14:textId="77777777" w:rsidR="00E3434F" w:rsidRPr="0084441A" w:rsidRDefault="00E3434F" w:rsidP="00F3730A">
      <w:pPr>
        <w:jc w:val="both"/>
        <w:rPr>
          <w:rFonts w:ascii="Abadi" w:hAnsi="Abadi" w:cs="Arial"/>
          <w:sz w:val="21"/>
          <w:szCs w:val="21"/>
        </w:rPr>
      </w:pPr>
      <w:bookmarkStart w:id="44" w:name="_Hlk94009405"/>
      <w:r w:rsidRPr="0084441A">
        <w:rPr>
          <w:rFonts w:ascii="Abadi" w:hAnsi="Abadi" w:cs="Arial"/>
          <w:b/>
          <w:bCs/>
          <w:sz w:val="21"/>
          <w:szCs w:val="21"/>
        </w:rPr>
        <w:t>II.</w:t>
      </w:r>
      <w:r w:rsidRPr="0084441A">
        <w:rPr>
          <w:rFonts w:ascii="Abadi" w:hAnsi="Abadi" w:cs="Arial"/>
          <w:b/>
          <w:bCs/>
          <w:sz w:val="21"/>
          <w:szCs w:val="21"/>
        </w:rPr>
        <w:tab/>
        <w:t>Turno de las iniciativas.</w:t>
      </w:r>
    </w:p>
    <w:bookmarkEnd w:id="44"/>
    <w:p w14:paraId="16586D44" w14:textId="77777777" w:rsidR="00E3434F" w:rsidRPr="0084441A" w:rsidRDefault="00E3434F" w:rsidP="00F3730A">
      <w:pPr>
        <w:widowControl w:val="0"/>
        <w:autoSpaceDE w:val="0"/>
        <w:autoSpaceDN w:val="0"/>
        <w:adjustRightInd w:val="0"/>
        <w:spacing w:before="100" w:beforeAutospacing="1" w:after="100" w:afterAutospacing="1"/>
        <w:ind w:firstLine="708"/>
        <w:jc w:val="both"/>
        <w:rPr>
          <w:rFonts w:ascii="Abadi" w:hAnsi="Abadi"/>
          <w:color w:val="000000"/>
          <w:sz w:val="21"/>
          <w:szCs w:val="21"/>
        </w:rPr>
      </w:pPr>
      <w:r w:rsidRPr="0084441A">
        <w:rPr>
          <w:rFonts w:ascii="Abadi" w:hAnsi="Abadi" w:cs="Arial"/>
          <w:sz w:val="21"/>
          <w:szCs w:val="21"/>
        </w:rPr>
        <w:t xml:space="preserve">De acuerdo con la materia de las propuestas, la presidencia de la mesa directiva, con fundamento en el artículo 113, fracción II de la Ley Orgánica del Poder legislativo, turnó a la Comisión de Justicia las iniciativas en fechas 6 de mayo de 2001 y 3 de marzo de 2022, respectivamente, </w:t>
      </w:r>
      <w:r w:rsidRPr="0084441A">
        <w:rPr>
          <w:rFonts w:ascii="Abadi" w:hAnsi="Abadi"/>
          <w:color w:val="000000"/>
          <w:sz w:val="21"/>
          <w:szCs w:val="21"/>
        </w:rPr>
        <w:t>para su estudio y dictamen.</w:t>
      </w:r>
    </w:p>
    <w:p w14:paraId="59647F47" w14:textId="77777777" w:rsidR="00E3434F" w:rsidRPr="0084441A" w:rsidRDefault="00E3434F" w:rsidP="00F3730A">
      <w:pPr>
        <w:widowControl w:val="0"/>
        <w:autoSpaceDE w:val="0"/>
        <w:autoSpaceDN w:val="0"/>
        <w:adjustRightInd w:val="0"/>
        <w:spacing w:before="100" w:beforeAutospacing="1" w:after="100" w:afterAutospacing="1"/>
        <w:ind w:firstLine="708"/>
        <w:jc w:val="both"/>
        <w:rPr>
          <w:rFonts w:ascii="Abadi" w:hAnsi="Abadi"/>
          <w:color w:val="000000"/>
          <w:sz w:val="21"/>
          <w:szCs w:val="21"/>
        </w:rPr>
      </w:pPr>
      <w:r w:rsidRPr="0084441A">
        <w:rPr>
          <w:rFonts w:ascii="Abadi" w:hAnsi="Abadi"/>
          <w:color w:val="000000"/>
          <w:sz w:val="21"/>
          <w:szCs w:val="21"/>
        </w:rPr>
        <w:t xml:space="preserve">Cabe precisar que la presidencia de la mesa directiva en funciones durante el primer periodo ordinario de sesiones de esta Sexagésima Quinta Legislatura, en sesión plenaria de fecha 7 de octubre de 2021, una vez declarada la integración de las comisiones permanentes, remitió las iniciativas y asuntos en trámite de las comisiones de la Sexagésima Cuarta Legislatura, a las presidencias designadas de cada Comisión, para los efectos conducentes, entre ellos la primera de las iniciativas mencionadas en el preámbulo del presente dictamen, la que se remitió a esta Comisión de acuerdo al turno originalmente otorgado. </w:t>
      </w:r>
    </w:p>
    <w:bookmarkEnd w:id="43"/>
    <w:p w14:paraId="7F739BC2" w14:textId="77777777" w:rsidR="00E3434F" w:rsidRPr="0084441A" w:rsidRDefault="00E3434F" w:rsidP="00F3730A">
      <w:pPr>
        <w:widowControl w:val="0"/>
        <w:autoSpaceDE w:val="0"/>
        <w:autoSpaceDN w:val="0"/>
        <w:adjustRightInd w:val="0"/>
        <w:spacing w:before="100" w:beforeAutospacing="1" w:after="100" w:afterAutospacing="1"/>
        <w:jc w:val="both"/>
        <w:rPr>
          <w:rFonts w:ascii="Abadi" w:hAnsi="Abadi"/>
          <w:b/>
          <w:bCs/>
          <w:color w:val="000000"/>
          <w:sz w:val="21"/>
          <w:szCs w:val="21"/>
        </w:rPr>
      </w:pPr>
      <w:r w:rsidRPr="0084441A">
        <w:rPr>
          <w:rFonts w:ascii="Abadi" w:hAnsi="Abadi"/>
          <w:b/>
          <w:bCs/>
          <w:color w:val="000000"/>
          <w:sz w:val="21"/>
          <w:szCs w:val="21"/>
        </w:rPr>
        <w:t>III.</w:t>
      </w:r>
      <w:r w:rsidRPr="0084441A">
        <w:rPr>
          <w:rFonts w:ascii="Abadi" w:hAnsi="Abadi"/>
          <w:b/>
          <w:bCs/>
          <w:color w:val="000000"/>
          <w:sz w:val="21"/>
          <w:szCs w:val="21"/>
        </w:rPr>
        <w:tab/>
        <w:t>Estudio de las iniciativas.</w:t>
      </w:r>
    </w:p>
    <w:p w14:paraId="112B60EF" w14:textId="77777777" w:rsidR="00E3434F" w:rsidRPr="0084441A" w:rsidRDefault="00E3434F" w:rsidP="00F3730A">
      <w:pPr>
        <w:widowControl w:val="0"/>
        <w:autoSpaceDE w:val="0"/>
        <w:autoSpaceDN w:val="0"/>
        <w:adjustRightInd w:val="0"/>
        <w:spacing w:before="100" w:beforeAutospacing="1" w:after="100" w:afterAutospacing="1"/>
        <w:ind w:firstLine="708"/>
        <w:jc w:val="both"/>
        <w:rPr>
          <w:rFonts w:ascii="Abadi" w:hAnsi="Abadi"/>
          <w:color w:val="000000"/>
          <w:sz w:val="21"/>
          <w:szCs w:val="21"/>
        </w:rPr>
      </w:pPr>
      <w:r w:rsidRPr="0084441A">
        <w:rPr>
          <w:rFonts w:ascii="Abadi" w:hAnsi="Abadi"/>
          <w:color w:val="000000"/>
          <w:sz w:val="21"/>
          <w:szCs w:val="21"/>
        </w:rPr>
        <w:t>En su oportunidad se acordaron sus respectivas metodologías de trabajo, de las que se destaca la consulta al Supremo Tribunal de Justicia, de la Fiscalía General y de la Coordinación General Jurídica; abrir la participación ciudadana a través del portal del Congreso; y la elaboración de un concentrado de opiniones y comparativo entre la legislación penal vigente y las propuestas de los iniciantes.</w:t>
      </w:r>
    </w:p>
    <w:p w14:paraId="48326340" w14:textId="77777777" w:rsidR="00E3434F" w:rsidRPr="0084441A" w:rsidRDefault="00E3434F" w:rsidP="00F3730A">
      <w:pPr>
        <w:widowControl w:val="0"/>
        <w:autoSpaceDE w:val="0"/>
        <w:autoSpaceDN w:val="0"/>
        <w:adjustRightInd w:val="0"/>
        <w:spacing w:before="100" w:beforeAutospacing="1" w:after="100" w:afterAutospacing="1"/>
        <w:ind w:firstLine="708"/>
        <w:jc w:val="both"/>
        <w:rPr>
          <w:rFonts w:ascii="Abadi" w:hAnsi="Abadi"/>
          <w:color w:val="000000"/>
          <w:sz w:val="21"/>
          <w:szCs w:val="21"/>
        </w:rPr>
      </w:pPr>
      <w:r w:rsidRPr="0084441A">
        <w:rPr>
          <w:rFonts w:ascii="Abadi" w:hAnsi="Abadi"/>
          <w:color w:val="000000"/>
          <w:sz w:val="21"/>
          <w:szCs w:val="21"/>
        </w:rPr>
        <w:t>Se recibieron opiniones del Supremo Tribunal de Justicia y de la Fiscalía General, quienes expusieron lo siguiente:</w:t>
      </w:r>
    </w:p>
    <w:p w14:paraId="50167174" w14:textId="77777777" w:rsidR="00E3434F" w:rsidRPr="0084441A" w:rsidRDefault="00E3434F" w:rsidP="00F3730A">
      <w:pPr>
        <w:widowControl w:val="0"/>
        <w:autoSpaceDE w:val="0"/>
        <w:autoSpaceDN w:val="0"/>
        <w:adjustRightInd w:val="0"/>
        <w:spacing w:before="100" w:beforeAutospacing="1" w:after="100" w:afterAutospacing="1"/>
        <w:ind w:firstLine="708"/>
        <w:jc w:val="both"/>
        <w:rPr>
          <w:rFonts w:ascii="Abadi" w:hAnsi="Abadi"/>
          <w:color w:val="000000"/>
          <w:sz w:val="21"/>
          <w:szCs w:val="21"/>
        </w:rPr>
      </w:pPr>
      <w:r w:rsidRPr="0084441A">
        <w:rPr>
          <w:rFonts w:ascii="Abadi" w:hAnsi="Abadi"/>
          <w:color w:val="000000"/>
          <w:sz w:val="21"/>
          <w:szCs w:val="21"/>
        </w:rPr>
        <w:t>En relación con la primera de las iniciativas:</w:t>
      </w:r>
    </w:p>
    <w:p w14:paraId="080B5BDE" w14:textId="77777777" w:rsidR="00E3434F" w:rsidRPr="0084441A" w:rsidRDefault="00E3434F" w:rsidP="00F3730A">
      <w:pPr>
        <w:ind w:left="726" w:right="-1" w:hanging="22"/>
        <w:jc w:val="both"/>
        <w:rPr>
          <w:rFonts w:ascii="Abadi" w:hAnsi="Abadi"/>
          <w:b/>
          <w:bCs/>
          <w:i/>
          <w:sz w:val="21"/>
          <w:szCs w:val="21"/>
        </w:rPr>
      </w:pPr>
      <w:r w:rsidRPr="0084441A">
        <w:rPr>
          <w:rFonts w:ascii="Abadi" w:hAnsi="Abadi"/>
          <w:b/>
          <w:bCs/>
          <w:i/>
          <w:sz w:val="21"/>
          <w:szCs w:val="21"/>
        </w:rPr>
        <w:t>Supremo Tribunal de Justicia.</w:t>
      </w:r>
    </w:p>
    <w:p w14:paraId="36CFF644" w14:textId="77777777" w:rsidR="00E3434F" w:rsidRPr="0084441A" w:rsidRDefault="00E3434F" w:rsidP="00F3730A">
      <w:pPr>
        <w:ind w:left="726" w:right="-1" w:hanging="22"/>
        <w:jc w:val="both"/>
        <w:rPr>
          <w:rFonts w:ascii="Abadi" w:hAnsi="Abadi"/>
          <w:i/>
          <w:sz w:val="21"/>
          <w:szCs w:val="21"/>
        </w:rPr>
      </w:pPr>
    </w:p>
    <w:p w14:paraId="63276565" w14:textId="77777777" w:rsidR="00E3434F" w:rsidRPr="0084441A" w:rsidRDefault="00E3434F" w:rsidP="00F3730A">
      <w:pPr>
        <w:ind w:left="726" w:right="-1" w:hanging="22"/>
        <w:jc w:val="both"/>
        <w:rPr>
          <w:rFonts w:ascii="Abadi" w:hAnsi="Abadi"/>
          <w:sz w:val="21"/>
          <w:szCs w:val="21"/>
        </w:rPr>
      </w:pPr>
      <w:r w:rsidRPr="0084441A">
        <w:rPr>
          <w:rFonts w:ascii="Abadi" w:hAnsi="Abadi"/>
          <w:sz w:val="21"/>
          <w:szCs w:val="21"/>
        </w:rPr>
        <w:t>Ha de precisarse en primer término, que la propuesta que se analiza, no solo expresa una nueva fracción que enuncia como XIII, sino que adiciona un primer párrafo al artículo 194 del Código Penal para el Estado de Guanajuato.</w:t>
      </w:r>
    </w:p>
    <w:p w14:paraId="7969B399" w14:textId="77777777" w:rsidR="00E3434F" w:rsidRPr="0084441A" w:rsidRDefault="00E3434F" w:rsidP="00F3730A">
      <w:pPr>
        <w:ind w:left="726" w:right="-1" w:hanging="22"/>
        <w:jc w:val="both"/>
        <w:rPr>
          <w:rFonts w:ascii="Abadi" w:hAnsi="Abadi"/>
          <w:sz w:val="21"/>
          <w:szCs w:val="21"/>
        </w:rPr>
      </w:pPr>
    </w:p>
    <w:p w14:paraId="671BE19A" w14:textId="77777777" w:rsidR="00E3434F" w:rsidRPr="0084441A" w:rsidRDefault="00E3434F" w:rsidP="00F3730A">
      <w:pPr>
        <w:ind w:left="726" w:right="-1" w:hanging="22"/>
        <w:jc w:val="both"/>
        <w:rPr>
          <w:rFonts w:ascii="Abadi" w:hAnsi="Abadi"/>
          <w:sz w:val="21"/>
          <w:szCs w:val="21"/>
        </w:rPr>
      </w:pPr>
      <w:r w:rsidRPr="0084441A">
        <w:rPr>
          <w:rFonts w:ascii="Abadi" w:hAnsi="Abadi"/>
          <w:sz w:val="21"/>
          <w:szCs w:val="21"/>
        </w:rPr>
        <w:t>Por otro lado, la justificación de dicha iniciativa se basa en la necesidad de evitar la sustracción de los bienes que conforman el patrimonio de las escuelas, procurando que con ello se proporcione una educación con excelencia, mostrando diversas referencias estadísticas.</w:t>
      </w:r>
    </w:p>
    <w:p w14:paraId="33AAB5E0" w14:textId="77777777" w:rsidR="00E3434F" w:rsidRPr="0084441A" w:rsidRDefault="00E3434F" w:rsidP="00F3730A">
      <w:pPr>
        <w:ind w:left="726" w:right="-1" w:hanging="22"/>
        <w:jc w:val="both"/>
        <w:rPr>
          <w:rFonts w:ascii="Abadi" w:hAnsi="Abadi"/>
          <w:sz w:val="21"/>
          <w:szCs w:val="21"/>
        </w:rPr>
      </w:pPr>
    </w:p>
    <w:p w14:paraId="37101F8D" w14:textId="77777777" w:rsidR="00E3434F" w:rsidRPr="0084441A" w:rsidRDefault="00E3434F" w:rsidP="00F3730A">
      <w:pPr>
        <w:autoSpaceDE w:val="0"/>
        <w:autoSpaceDN w:val="0"/>
        <w:adjustRightInd w:val="0"/>
        <w:ind w:left="726" w:hanging="22"/>
        <w:jc w:val="both"/>
        <w:rPr>
          <w:rFonts w:ascii="Abadi" w:eastAsia="Calibri" w:hAnsi="Abadi" w:cs="Calibri"/>
          <w:color w:val="000000"/>
          <w:sz w:val="21"/>
          <w:szCs w:val="21"/>
          <w:lang w:val="es-MX" w:eastAsia="en-US"/>
        </w:rPr>
      </w:pPr>
      <w:r w:rsidRPr="0084441A">
        <w:rPr>
          <w:rFonts w:ascii="Abadi" w:eastAsia="Calibri" w:hAnsi="Abadi" w:cs="Calibri"/>
          <w:color w:val="000000"/>
          <w:sz w:val="21"/>
          <w:szCs w:val="21"/>
          <w:lang w:val="es-MX" w:eastAsia="en-US"/>
        </w:rPr>
        <w:t xml:space="preserve">A fin de establecer reformas, ya sea por adiciones o derogaciones, así como modificaciones a la parte especial del Código Penal, es necesario señalar que la actuación del poder público en la afectación a derechos fundamentales de los gobernados, debe ejercer su actividad, con base en principios, en este caso, bajo los principios de proporcionalidad e idoneidad. </w:t>
      </w:r>
    </w:p>
    <w:p w14:paraId="00974183" w14:textId="77777777" w:rsidR="00E3434F" w:rsidRPr="0084441A" w:rsidRDefault="00E3434F" w:rsidP="00F3730A">
      <w:pPr>
        <w:autoSpaceDE w:val="0"/>
        <w:autoSpaceDN w:val="0"/>
        <w:adjustRightInd w:val="0"/>
        <w:ind w:left="726" w:hanging="22"/>
        <w:jc w:val="both"/>
        <w:rPr>
          <w:rFonts w:ascii="Abadi" w:eastAsia="Calibri" w:hAnsi="Abadi" w:cs="Calibri"/>
          <w:color w:val="000000"/>
          <w:sz w:val="21"/>
          <w:szCs w:val="21"/>
          <w:lang w:val="es-MX" w:eastAsia="en-US"/>
        </w:rPr>
      </w:pPr>
    </w:p>
    <w:p w14:paraId="45B8F789" w14:textId="77777777" w:rsidR="00E3434F" w:rsidRPr="0084441A" w:rsidRDefault="00E3434F" w:rsidP="00F3730A">
      <w:pPr>
        <w:autoSpaceDE w:val="0"/>
        <w:autoSpaceDN w:val="0"/>
        <w:adjustRightInd w:val="0"/>
        <w:ind w:left="726" w:hanging="22"/>
        <w:jc w:val="both"/>
        <w:rPr>
          <w:rFonts w:ascii="Abadi" w:eastAsia="Calibri" w:hAnsi="Abadi" w:cs="Calibri"/>
          <w:color w:val="000000"/>
          <w:sz w:val="21"/>
          <w:szCs w:val="21"/>
          <w:lang w:val="es-MX" w:eastAsia="en-US"/>
        </w:rPr>
      </w:pPr>
      <w:r w:rsidRPr="0084441A">
        <w:rPr>
          <w:rFonts w:ascii="Abadi" w:eastAsia="Calibri" w:hAnsi="Abadi" w:cs="Calibri"/>
          <w:color w:val="000000"/>
          <w:sz w:val="21"/>
          <w:szCs w:val="21"/>
          <w:lang w:val="es-MX" w:eastAsia="en-US"/>
        </w:rPr>
        <w:t xml:space="preserve">En el desarrollo de la actividad legislativa a fin de establecer alguna reforma o bien, establecer una nueva norma penal, en su parte especial, esto es, en lo relativo a un tipo penal, así como agravantes o atenuantes, debe atender a ciertos principios para su justificación y en su caso aprobación, de tal suerte que se debe realizar un examen o test sobre tres aspectos, el primero, debe ser el relativo al fin y la idoneidad de la medida legislativa, para determinar si la afectación a derechos, es aflictiva, restrictiva o limitativa, y que ésta es la idónea para la finalidad que se pretende, en la tutela jurídica de bienes del gobernado; por otro lado, debe atenderse a la necesidad, esto es, si dentro de las alternativas existentes o aplicables, es la menos gravosa o restrictiva del derecho fundamental a restringir, ello bajo el concepto de intervención mínima y finalmente debe atenderse al principio de proporcionalidad, para establecer que la medida en la normativa penal, es cualitativamente de mayor beneficio o igual al perjuicio que se ocasiona al derecho fundamental, actividad del Poder Legislativo de análisis de proporcionalidad abstracta. </w:t>
      </w:r>
    </w:p>
    <w:p w14:paraId="63FD1E68" w14:textId="77777777" w:rsidR="00E3434F" w:rsidRPr="0084441A" w:rsidRDefault="00E3434F" w:rsidP="00F3730A">
      <w:pPr>
        <w:autoSpaceDE w:val="0"/>
        <w:autoSpaceDN w:val="0"/>
        <w:adjustRightInd w:val="0"/>
        <w:ind w:left="726" w:hanging="22"/>
        <w:jc w:val="both"/>
        <w:rPr>
          <w:rFonts w:ascii="Abadi" w:eastAsia="Calibri" w:hAnsi="Abadi" w:cs="Calibri"/>
          <w:color w:val="000000"/>
          <w:sz w:val="21"/>
          <w:szCs w:val="21"/>
          <w:lang w:val="es-MX" w:eastAsia="en-US"/>
        </w:rPr>
      </w:pPr>
    </w:p>
    <w:p w14:paraId="008466B5" w14:textId="77777777" w:rsidR="00E3434F" w:rsidRPr="0084441A" w:rsidRDefault="00E3434F" w:rsidP="00F3730A">
      <w:pPr>
        <w:ind w:left="726" w:right="-1" w:hanging="22"/>
        <w:jc w:val="both"/>
        <w:rPr>
          <w:rFonts w:ascii="Abadi" w:hAnsi="Abadi"/>
          <w:sz w:val="21"/>
          <w:szCs w:val="21"/>
        </w:rPr>
      </w:pPr>
      <w:r w:rsidRPr="0084441A">
        <w:rPr>
          <w:rFonts w:ascii="Abadi" w:hAnsi="Abadi"/>
          <w:sz w:val="21"/>
          <w:szCs w:val="21"/>
        </w:rPr>
        <w:t>Bajo estos conceptos, es de señalarse que la iniciativa justifica la reforma propuesta en la finalidad para considerar calificado el robo cuando se trate de bienes que se encuentren dentro de instituciones educativas, pues ello es, conforme a una política criminal, para así establecer una pena mayor, al sustraer bienes ubicados en las instituciones educativas, en afectación a la excelencia académica, fin constitucionalmente válido para establecer la nueva calificativa al delito de robo.</w:t>
      </w:r>
    </w:p>
    <w:p w14:paraId="7264E8F2" w14:textId="77777777" w:rsidR="00E3434F" w:rsidRPr="0084441A" w:rsidRDefault="00E3434F" w:rsidP="00F3730A">
      <w:pPr>
        <w:ind w:left="726" w:right="-1" w:hanging="22"/>
        <w:jc w:val="both"/>
        <w:rPr>
          <w:rFonts w:ascii="Abadi" w:hAnsi="Abadi"/>
          <w:sz w:val="21"/>
          <w:szCs w:val="21"/>
        </w:rPr>
      </w:pPr>
    </w:p>
    <w:p w14:paraId="244978CA" w14:textId="77777777" w:rsidR="00E3434F" w:rsidRPr="0084441A" w:rsidRDefault="00E3434F" w:rsidP="00F3730A">
      <w:pPr>
        <w:autoSpaceDE w:val="0"/>
        <w:autoSpaceDN w:val="0"/>
        <w:adjustRightInd w:val="0"/>
        <w:ind w:left="726" w:hanging="22"/>
        <w:jc w:val="both"/>
        <w:rPr>
          <w:rFonts w:ascii="Abadi" w:eastAsia="Calibri" w:hAnsi="Abadi" w:cs="Calibri"/>
          <w:color w:val="000000"/>
          <w:sz w:val="21"/>
          <w:szCs w:val="21"/>
          <w:lang w:val="es-MX" w:eastAsia="en-US"/>
        </w:rPr>
      </w:pPr>
      <w:r w:rsidRPr="0084441A">
        <w:rPr>
          <w:rFonts w:ascii="Abadi" w:eastAsia="Calibri" w:hAnsi="Abadi" w:cs="Calibri"/>
          <w:b/>
          <w:bCs/>
          <w:color w:val="000000"/>
          <w:sz w:val="21"/>
          <w:szCs w:val="21"/>
          <w:lang w:val="es-MX" w:eastAsia="en-US"/>
        </w:rPr>
        <w:t xml:space="preserve">IV. CONCLUSIÓN: </w:t>
      </w:r>
    </w:p>
    <w:p w14:paraId="31AB998D" w14:textId="77777777" w:rsidR="00E3434F" w:rsidRPr="0084441A" w:rsidRDefault="00E3434F" w:rsidP="00F3730A">
      <w:pPr>
        <w:autoSpaceDE w:val="0"/>
        <w:autoSpaceDN w:val="0"/>
        <w:adjustRightInd w:val="0"/>
        <w:ind w:left="726" w:hanging="22"/>
        <w:jc w:val="both"/>
        <w:rPr>
          <w:rFonts w:ascii="Abadi" w:eastAsia="Calibri" w:hAnsi="Abadi" w:cs="Calibri"/>
          <w:b/>
          <w:bCs/>
          <w:color w:val="000000"/>
          <w:sz w:val="21"/>
          <w:szCs w:val="21"/>
          <w:lang w:val="es-MX" w:eastAsia="en-US"/>
        </w:rPr>
      </w:pPr>
    </w:p>
    <w:p w14:paraId="1F2E8A98" w14:textId="77777777" w:rsidR="00E3434F" w:rsidRPr="0084441A" w:rsidRDefault="00E3434F" w:rsidP="00F3730A">
      <w:pPr>
        <w:ind w:left="726" w:right="-1" w:hanging="22"/>
        <w:jc w:val="both"/>
        <w:rPr>
          <w:rFonts w:ascii="Abadi" w:hAnsi="Abadi"/>
          <w:sz w:val="21"/>
          <w:szCs w:val="21"/>
        </w:rPr>
      </w:pPr>
      <w:r w:rsidRPr="0084441A">
        <w:rPr>
          <w:rFonts w:ascii="Abadi" w:hAnsi="Abadi"/>
          <w:sz w:val="21"/>
          <w:szCs w:val="21"/>
        </w:rPr>
        <w:t xml:space="preserve">Bajo las premisas señaladas en el análisis, se estima que la adición planteada en la iniciativa que se analiza, esto es, el supuesto de robo calificado de bienes ubicados dentro de las instituciones educativas, es viable con la salvedad de reducir la porción que establece lo que se debe entender como institución educativa, para quedar como se propone: </w:t>
      </w:r>
    </w:p>
    <w:p w14:paraId="5787B0ED" w14:textId="77777777" w:rsidR="00E3434F" w:rsidRPr="0084441A" w:rsidRDefault="00E3434F" w:rsidP="00F3730A">
      <w:pPr>
        <w:ind w:left="726" w:right="-1" w:hanging="22"/>
        <w:jc w:val="both"/>
        <w:rPr>
          <w:rFonts w:ascii="Abadi" w:hAnsi="Abadi"/>
          <w:sz w:val="21"/>
          <w:szCs w:val="21"/>
        </w:rPr>
      </w:pPr>
    </w:p>
    <w:p w14:paraId="0B9B476C" w14:textId="77777777" w:rsidR="00E3434F" w:rsidRPr="0084441A" w:rsidRDefault="00E3434F" w:rsidP="00F3730A">
      <w:pPr>
        <w:ind w:left="726" w:right="-1" w:hanging="22"/>
        <w:jc w:val="both"/>
        <w:rPr>
          <w:rFonts w:ascii="Abadi" w:hAnsi="Abadi"/>
          <w:sz w:val="21"/>
          <w:szCs w:val="21"/>
        </w:rPr>
      </w:pPr>
      <w:r w:rsidRPr="0084441A">
        <w:rPr>
          <w:rFonts w:ascii="Abadi" w:hAnsi="Abadi"/>
          <w:sz w:val="21"/>
          <w:szCs w:val="21"/>
        </w:rPr>
        <w:t xml:space="preserve">“XIII.- Se cometa dentro de las instituciones educativas. </w:t>
      </w:r>
    </w:p>
    <w:p w14:paraId="5F0FAD1C" w14:textId="77777777" w:rsidR="00E3434F" w:rsidRPr="0084441A" w:rsidRDefault="00E3434F" w:rsidP="00F3730A">
      <w:pPr>
        <w:ind w:left="726" w:right="-1" w:hanging="22"/>
        <w:jc w:val="both"/>
        <w:rPr>
          <w:rFonts w:ascii="Abadi" w:hAnsi="Abadi"/>
          <w:sz w:val="21"/>
          <w:szCs w:val="21"/>
        </w:rPr>
      </w:pPr>
    </w:p>
    <w:p w14:paraId="7770F1D2" w14:textId="77777777" w:rsidR="00E3434F" w:rsidRPr="0084441A" w:rsidRDefault="00E3434F" w:rsidP="00F3730A">
      <w:pPr>
        <w:ind w:left="726" w:right="-1" w:hanging="22"/>
        <w:jc w:val="both"/>
        <w:rPr>
          <w:rFonts w:ascii="Abadi" w:hAnsi="Abadi"/>
          <w:sz w:val="21"/>
          <w:szCs w:val="21"/>
        </w:rPr>
      </w:pPr>
      <w:r w:rsidRPr="0084441A">
        <w:rPr>
          <w:rFonts w:ascii="Abadi" w:hAnsi="Abadi"/>
          <w:sz w:val="21"/>
          <w:szCs w:val="21"/>
        </w:rPr>
        <w:t>Se entiende como institución educativa la escuela, centro escolar, el plantel o unidad pedagógica que forme parte del Sistema Educativo Estatal.”</w:t>
      </w:r>
    </w:p>
    <w:p w14:paraId="42F9FFA6" w14:textId="77777777" w:rsidR="00E3434F" w:rsidRPr="0084441A" w:rsidRDefault="00E3434F" w:rsidP="00F3730A">
      <w:pPr>
        <w:ind w:left="726" w:right="-1" w:hanging="22"/>
        <w:rPr>
          <w:rFonts w:ascii="Abadi" w:hAnsi="Abadi"/>
          <w:i/>
          <w:sz w:val="21"/>
          <w:szCs w:val="21"/>
        </w:rPr>
      </w:pPr>
    </w:p>
    <w:p w14:paraId="0BD14E9C" w14:textId="77777777" w:rsidR="00E3434F" w:rsidRPr="0084441A" w:rsidRDefault="00E3434F" w:rsidP="00F3730A">
      <w:pPr>
        <w:ind w:left="726" w:right="-1" w:hanging="22"/>
        <w:jc w:val="both"/>
        <w:rPr>
          <w:rFonts w:ascii="Abadi" w:hAnsi="Abadi"/>
          <w:b/>
          <w:bCs/>
          <w:i/>
          <w:sz w:val="21"/>
          <w:szCs w:val="21"/>
        </w:rPr>
      </w:pPr>
    </w:p>
    <w:p w14:paraId="77C17F33" w14:textId="77777777" w:rsidR="00E3434F" w:rsidRPr="0084441A" w:rsidRDefault="00E3434F" w:rsidP="00F3730A">
      <w:pPr>
        <w:ind w:left="726" w:right="-1" w:hanging="22"/>
        <w:jc w:val="both"/>
        <w:rPr>
          <w:rFonts w:ascii="Abadi" w:hAnsi="Abadi"/>
          <w:b/>
          <w:bCs/>
          <w:i/>
          <w:sz w:val="21"/>
          <w:szCs w:val="21"/>
        </w:rPr>
      </w:pPr>
      <w:r w:rsidRPr="0084441A">
        <w:rPr>
          <w:rFonts w:ascii="Abadi" w:hAnsi="Abadi"/>
          <w:b/>
          <w:bCs/>
          <w:i/>
          <w:sz w:val="21"/>
          <w:szCs w:val="21"/>
        </w:rPr>
        <w:t>Fiscalía General.</w:t>
      </w:r>
    </w:p>
    <w:p w14:paraId="5539C123" w14:textId="77777777" w:rsidR="00E3434F" w:rsidRPr="0084441A" w:rsidRDefault="00E3434F" w:rsidP="00F3730A">
      <w:pPr>
        <w:ind w:left="726" w:right="-1" w:hanging="22"/>
        <w:jc w:val="both"/>
        <w:rPr>
          <w:rFonts w:ascii="Abadi" w:hAnsi="Abadi"/>
          <w:b/>
          <w:bCs/>
          <w:i/>
          <w:sz w:val="21"/>
          <w:szCs w:val="21"/>
        </w:rPr>
      </w:pPr>
    </w:p>
    <w:p w14:paraId="23B32E10" w14:textId="77777777" w:rsidR="00E3434F" w:rsidRPr="0084441A" w:rsidRDefault="00E3434F" w:rsidP="00F3730A">
      <w:pPr>
        <w:ind w:left="726" w:right="-1" w:hanging="22"/>
        <w:jc w:val="both"/>
        <w:rPr>
          <w:rFonts w:ascii="Abadi" w:hAnsi="Abadi"/>
          <w:sz w:val="21"/>
          <w:szCs w:val="21"/>
        </w:rPr>
      </w:pPr>
      <w:r w:rsidRPr="0084441A">
        <w:rPr>
          <w:rFonts w:ascii="Abadi" w:hAnsi="Abadi"/>
          <w:sz w:val="21"/>
          <w:szCs w:val="21"/>
        </w:rPr>
        <w:t xml:space="preserve">Si bien se coincide con lo afirmado en la parte expositiva de la Iniciativa en el sentido de que no se podría concebir una educación de excelencia sin instituciones educativas dignas, que cumplan con las características pedagógicas y didácticas, de calidad, seguridad y funcionalidad, entre otros rubros, necesarios para su correspondiente uso, y, en consecuencia, se reconoce el interés por coadyuvar a salvaguardar la integridad y el patrimonio educativo, así como contribuir a la generación y preservación del orden público y la paz social en nuestro Estado, de manera específica al constructo normativo que se propone adicionar, es de apuntar que, atentos a los supuestos legales vigentes en el referenciado artículo 194 del Código Penal del Estado de Guanajuato, no se requeriría la incorporación propuesta. A mayor profundidad, cabe apuntar que con la adición propuesta se busca que </w:t>
      </w:r>
      <w:r w:rsidRPr="0084441A">
        <w:rPr>
          <w:rFonts w:ascii="Abadi" w:hAnsi="Abadi"/>
          <w:i/>
          <w:iCs/>
          <w:sz w:val="21"/>
          <w:szCs w:val="21"/>
        </w:rPr>
        <w:t>el robo cometido en contra de las instituciones educativas sea tipificado como calificado</w:t>
      </w:r>
      <w:r w:rsidRPr="0084441A">
        <w:rPr>
          <w:rFonts w:ascii="Abadi" w:hAnsi="Abadi"/>
          <w:sz w:val="21"/>
          <w:szCs w:val="21"/>
        </w:rPr>
        <w:t xml:space="preserve">, no obstante, la hipótesis normativa que se busca con la fracción XIII, actualmente se encuadraría en la fracción IV del propio numeral en el que se cataloga como robo calificado el que </w:t>
      </w:r>
      <w:r w:rsidRPr="0084441A">
        <w:rPr>
          <w:rFonts w:ascii="Abadi" w:hAnsi="Abadi"/>
          <w:b/>
          <w:bCs/>
          <w:sz w:val="21"/>
          <w:szCs w:val="21"/>
        </w:rPr>
        <w:t xml:space="preserve">se cometa en morada ajena o </w:t>
      </w:r>
      <w:r w:rsidRPr="0084441A">
        <w:rPr>
          <w:rFonts w:ascii="Abadi" w:hAnsi="Abadi"/>
          <w:b/>
          <w:bCs/>
          <w:sz w:val="21"/>
          <w:szCs w:val="21"/>
          <w:u w:val="single"/>
        </w:rPr>
        <w:t>en lugar cerrado</w:t>
      </w:r>
      <w:r w:rsidRPr="0084441A">
        <w:rPr>
          <w:rFonts w:ascii="Abadi" w:hAnsi="Abadi"/>
          <w:sz w:val="21"/>
          <w:szCs w:val="21"/>
        </w:rPr>
        <w:t>.</w:t>
      </w:r>
    </w:p>
    <w:p w14:paraId="2BFAE731" w14:textId="77777777" w:rsidR="00E3434F" w:rsidRPr="0084441A" w:rsidRDefault="00E3434F" w:rsidP="00F3730A">
      <w:pPr>
        <w:ind w:left="726" w:right="-1" w:hanging="22"/>
        <w:jc w:val="both"/>
        <w:rPr>
          <w:rFonts w:ascii="Abadi" w:hAnsi="Abadi"/>
          <w:sz w:val="21"/>
          <w:szCs w:val="21"/>
        </w:rPr>
      </w:pPr>
    </w:p>
    <w:p w14:paraId="5384124D" w14:textId="77777777" w:rsidR="00E3434F" w:rsidRPr="0084441A" w:rsidRDefault="00E3434F" w:rsidP="00F3730A">
      <w:pPr>
        <w:ind w:left="726" w:right="-1" w:hanging="22"/>
        <w:jc w:val="both"/>
        <w:rPr>
          <w:rFonts w:ascii="Abadi" w:hAnsi="Abadi"/>
          <w:sz w:val="21"/>
          <w:szCs w:val="21"/>
        </w:rPr>
      </w:pPr>
      <w:r w:rsidRPr="0084441A">
        <w:rPr>
          <w:rFonts w:ascii="Abadi" w:hAnsi="Abadi"/>
          <w:sz w:val="21"/>
          <w:szCs w:val="21"/>
        </w:rPr>
        <w:t>En tal orden de ideas, las instituciones educativas o los inmuebles donde se presta el servicio educativo y/o se encuentran los bienes e insumos, cuentan con una infraestructura que les brinda la característica normativa de dicho lugar cerrado.</w:t>
      </w:r>
    </w:p>
    <w:p w14:paraId="0CBEE31A" w14:textId="77777777" w:rsidR="00E3434F" w:rsidRPr="0084441A" w:rsidRDefault="00E3434F" w:rsidP="00F3730A">
      <w:pPr>
        <w:ind w:left="726" w:right="-1" w:hanging="22"/>
        <w:jc w:val="both"/>
        <w:rPr>
          <w:rFonts w:ascii="Abadi" w:hAnsi="Abadi"/>
          <w:sz w:val="21"/>
          <w:szCs w:val="21"/>
        </w:rPr>
      </w:pPr>
    </w:p>
    <w:p w14:paraId="121B08BB" w14:textId="77777777" w:rsidR="00E3434F" w:rsidRPr="0084441A" w:rsidRDefault="00E3434F" w:rsidP="00F3730A">
      <w:pPr>
        <w:ind w:left="726" w:right="-1" w:hanging="22"/>
        <w:jc w:val="both"/>
        <w:rPr>
          <w:rFonts w:ascii="Abadi" w:hAnsi="Abadi"/>
          <w:i/>
          <w:iCs/>
          <w:sz w:val="21"/>
          <w:szCs w:val="21"/>
        </w:rPr>
      </w:pPr>
      <w:r w:rsidRPr="0084441A">
        <w:rPr>
          <w:rFonts w:ascii="Abadi" w:hAnsi="Abadi"/>
          <w:sz w:val="21"/>
          <w:szCs w:val="21"/>
        </w:rPr>
        <w:t xml:space="preserve">Para mayor referencia, retomando los planteamientos realizados en la resolución de la Contradicción de Tesis 186/2012, </w:t>
      </w:r>
      <w:r w:rsidRPr="0084441A">
        <w:rPr>
          <w:rFonts w:ascii="Abadi" w:hAnsi="Abadi"/>
          <w:i/>
          <w:iCs/>
          <w:sz w:val="21"/>
          <w:szCs w:val="21"/>
        </w:rPr>
        <w:t>un lugar es considerado como tal cuando éste se encuentre materialmente cerrado; o, cuando sea un terreno que sí bien no se encuentre materialmente cerrado, no tenga comunicación con otro inmueble, ni se encuentre dentro del recinto de dicho inmueble, pero que esté rodeado de cualquier tipo de material que evidencie el hecho de que no se tiene libre acceso a él. El material que debe rodear el terreno, o lugar cerrado, puede ser un enrejado, tapias o cercas, arbustos, o cualquier otro tipo de materia que denote la intención del ocupante de mantener dicho sitio apartado del exterior, impidiendo el acceso de cualquier tercera persona, sin su autorización</w:t>
      </w:r>
      <w:r w:rsidRPr="0084441A">
        <w:rPr>
          <w:rFonts w:ascii="Abadi" w:hAnsi="Abadi"/>
          <w:i/>
          <w:iCs/>
          <w:sz w:val="21"/>
          <w:szCs w:val="21"/>
          <w:vertAlign w:val="superscript"/>
        </w:rPr>
        <w:footnoteReference w:id="150"/>
      </w:r>
      <w:r w:rsidRPr="0084441A">
        <w:rPr>
          <w:rFonts w:ascii="Abadi" w:hAnsi="Abadi"/>
          <w:i/>
          <w:iCs/>
          <w:sz w:val="21"/>
          <w:szCs w:val="21"/>
        </w:rPr>
        <w:t>.</w:t>
      </w:r>
    </w:p>
    <w:p w14:paraId="322AAED3" w14:textId="77777777" w:rsidR="00E3434F" w:rsidRPr="0084441A" w:rsidRDefault="00E3434F" w:rsidP="00F3730A">
      <w:pPr>
        <w:ind w:left="726" w:right="-1" w:hanging="22"/>
        <w:jc w:val="both"/>
        <w:rPr>
          <w:rFonts w:ascii="Abadi" w:hAnsi="Abadi"/>
          <w:sz w:val="21"/>
          <w:szCs w:val="21"/>
        </w:rPr>
      </w:pPr>
    </w:p>
    <w:p w14:paraId="2A8193AB" w14:textId="77777777" w:rsidR="00E3434F" w:rsidRPr="0084441A" w:rsidRDefault="00E3434F" w:rsidP="00F3730A">
      <w:pPr>
        <w:ind w:left="726" w:right="-1" w:hanging="22"/>
        <w:jc w:val="both"/>
        <w:rPr>
          <w:rFonts w:ascii="Abadi" w:hAnsi="Abadi"/>
          <w:sz w:val="21"/>
          <w:szCs w:val="21"/>
        </w:rPr>
      </w:pPr>
      <w:r w:rsidRPr="0084441A">
        <w:rPr>
          <w:rFonts w:ascii="Abadi" w:hAnsi="Abadi"/>
          <w:b/>
          <w:bCs/>
          <w:noProof/>
          <w:sz w:val="21"/>
          <w:szCs w:val="21"/>
        </w:rPr>
        <mc:AlternateContent>
          <mc:Choice Requires="wps">
            <w:drawing>
              <wp:anchor distT="0" distB="0" distL="114300" distR="114300" simplePos="0" relativeHeight="251678720" behindDoc="1" locked="0" layoutInCell="1" allowOverlap="1" wp14:anchorId="2ACFB51F" wp14:editId="7D64427F">
                <wp:simplePos x="0" y="0"/>
                <wp:positionH relativeFrom="page">
                  <wp:posOffset>2961640</wp:posOffset>
                </wp:positionH>
                <wp:positionV relativeFrom="paragraph">
                  <wp:posOffset>468630</wp:posOffset>
                </wp:positionV>
                <wp:extent cx="52070" cy="31115"/>
                <wp:effectExtent l="0" t="0" r="0" b="0"/>
                <wp:wrapNone/>
                <wp:docPr id="21" name="Forma libre: forma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070" cy="31115"/>
                        </a:xfrm>
                        <a:custGeom>
                          <a:avLst/>
                          <a:gdLst>
                            <a:gd name="T0" fmla="+- 0 4664 4664"/>
                            <a:gd name="T1" fmla="*/ T0 w 82"/>
                            <a:gd name="T2" fmla="+- 0 738 738"/>
                            <a:gd name="T3" fmla="*/ 738 h 49"/>
                            <a:gd name="T4" fmla="+- 0 4717 4664"/>
                            <a:gd name="T5" fmla="*/ T4 w 82"/>
                            <a:gd name="T6" fmla="+- 0 738 738"/>
                            <a:gd name="T7" fmla="*/ 738 h 49"/>
                            <a:gd name="T8" fmla="+- 0 4731 4664"/>
                            <a:gd name="T9" fmla="*/ T8 w 82"/>
                            <a:gd name="T10" fmla="+- 0 786 738"/>
                            <a:gd name="T11" fmla="*/ 786 h 49"/>
                            <a:gd name="T12" fmla="+- 0 4746 4664"/>
                            <a:gd name="T13" fmla="*/ T12 w 82"/>
                            <a:gd name="T14" fmla="+- 0 786 738"/>
                            <a:gd name="T15" fmla="*/ 786 h 49"/>
                          </a:gdLst>
                          <a:ahLst/>
                          <a:cxnLst>
                            <a:cxn ang="0">
                              <a:pos x="T1" y="T3"/>
                            </a:cxn>
                            <a:cxn ang="0">
                              <a:pos x="T5" y="T7"/>
                            </a:cxn>
                            <a:cxn ang="0">
                              <a:pos x="T9" y="T11"/>
                            </a:cxn>
                            <a:cxn ang="0">
                              <a:pos x="T13" y="T15"/>
                            </a:cxn>
                          </a:cxnLst>
                          <a:rect l="0" t="0" r="r" b="b"/>
                          <a:pathLst>
                            <a:path w="82" h="49">
                              <a:moveTo>
                                <a:pt x="0" y="0"/>
                              </a:moveTo>
                              <a:lnTo>
                                <a:pt x="53" y="0"/>
                              </a:lnTo>
                              <a:moveTo>
                                <a:pt x="67" y="48"/>
                              </a:moveTo>
                              <a:lnTo>
                                <a:pt x="82" y="48"/>
                              </a:lnTo>
                            </a:path>
                          </a:pathLst>
                        </a:custGeom>
                        <a:noFill/>
                        <a:ln w="12718">
                          <a:solidFill>
                            <a:srgbClr val="2D2D2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A9BFC1" id="Forma libre: forma 21" o:spid="_x0000_s1026" style="position:absolute;margin-left:233.2pt;margin-top:36.9pt;width:4.1pt;height:2.4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2,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" path="m,l53,m67,48r15,e" filled="f" strokecolor="#2d2d2d" strokeweight=".35328mm">
                <v:path arrowok="t" o:connecttype="custom" o:connectlocs="0,468630;33655,468630;42545,499110;52070,499110" o:connectangles="0,0,0,0"/>
                <w10:wrap anchorx="page"/>
              </v:shape>
            </w:pict>
          </mc:Fallback>
        </mc:AlternateContent>
      </w:r>
      <w:r w:rsidRPr="0084441A">
        <w:rPr>
          <w:rFonts w:ascii="Abadi" w:hAnsi="Abadi"/>
          <w:b/>
          <w:bCs/>
          <w:sz w:val="21"/>
          <w:szCs w:val="21"/>
        </w:rPr>
        <w:t xml:space="preserve">En ese sentido, </w:t>
      </w:r>
      <w:r w:rsidRPr="0084441A">
        <w:rPr>
          <w:rFonts w:ascii="Abadi" w:hAnsi="Abadi"/>
          <w:b/>
          <w:bCs/>
          <w:sz w:val="21"/>
          <w:szCs w:val="21"/>
          <w:u w:val="single"/>
        </w:rPr>
        <w:t>en razón de la actual regulación de la fracción IV del artículo 194 del Código Penal del Estado, lo que se busca con la Iniciativa ya estaría satisfecho con la hipótesis que clasifica al robo como calificado cuando se comete en «lugar cerrado»</w:t>
      </w:r>
      <w:r w:rsidRPr="0084441A">
        <w:rPr>
          <w:rFonts w:ascii="Abadi" w:hAnsi="Abadi"/>
          <w:b/>
          <w:bCs/>
          <w:sz w:val="21"/>
          <w:szCs w:val="21"/>
          <w:vertAlign w:val="superscript"/>
        </w:rPr>
        <w:footnoteReference w:id="151"/>
      </w:r>
      <w:r w:rsidRPr="0084441A">
        <w:rPr>
          <w:rFonts w:ascii="Abadi" w:hAnsi="Abadi"/>
          <w:sz w:val="21"/>
          <w:szCs w:val="21"/>
        </w:rPr>
        <w:t>, por lo que, con base en tal previsión legal, así como con el objetivo de evitar incertidumbre en cuanto a los alcances del texto vigente, sobrerregulación de cuestiones análogas y regular temas de manera «casuística», no se estima necesaria la adición que nos ocupa.</w:t>
      </w:r>
      <w:r w:rsidRPr="0084441A">
        <w:rPr>
          <w:rFonts w:ascii="Abadi" w:hAnsi="Abadi"/>
          <w:sz w:val="21"/>
          <w:szCs w:val="21"/>
          <w:vertAlign w:val="superscript"/>
        </w:rPr>
        <w:footnoteReference w:id="152"/>
      </w:r>
    </w:p>
    <w:p w14:paraId="480AD7BE" w14:textId="77777777" w:rsidR="00E3434F" w:rsidRPr="0084441A" w:rsidRDefault="00E3434F" w:rsidP="00F3730A">
      <w:pPr>
        <w:ind w:right="-1"/>
        <w:jc w:val="both"/>
        <w:rPr>
          <w:rFonts w:ascii="Abadi" w:hAnsi="Abadi"/>
          <w:sz w:val="21"/>
          <w:szCs w:val="21"/>
        </w:rPr>
      </w:pPr>
      <w:r w:rsidRPr="0084441A">
        <w:rPr>
          <w:rFonts w:ascii="Abadi" w:hAnsi="Abadi"/>
          <w:sz w:val="21"/>
          <w:szCs w:val="21"/>
        </w:rPr>
        <w:tab/>
      </w:r>
    </w:p>
    <w:p w14:paraId="63037EF2" w14:textId="77777777" w:rsidR="00E3434F" w:rsidRPr="0084441A" w:rsidRDefault="00E3434F" w:rsidP="00F3730A">
      <w:pPr>
        <w:ind w:right="-1" w:firstLine="704"/>
        <w:jc w:val="both"/>
        <w:rPr>
          <w:rFonts w:ascii="Abadi" w:hAnsi="Abadi"/>
          <w:sz w:val="21"/>
          <w:szCs w:val="21"/>
        </w:rPr>
      </w:pPr>
      <w:r w:rsidRPr="0084441A">
        <w:rPr>
          <w:rFonts w:ascii="Abadi" w:hAnsi="Abadi"/>
          <w:sz w:val="21"/>
          <w:szCs w:val="21"/>
        </w:rPr>
        <w:t xml:space="preserve">Cabe destacar que se recibió una opinión del ciudadano Manuel Obregón, quien planteó lo siguiente: </w:t>
      </w:r>
    </w:p>
    <w:p w14:paraId="1829EB79" w14:textId="77777777" w:rsidR="00E3434F" w:rsidRPr="0084441A" w:rsidRDefault="00E3434F" w:rsidP="00F3730A">
      <w:pPr>
        <w:ind w:left="22" w:right="-1" w:hanging="22"/>
        <w:rPr>
          <w:rFonts w:ascii="Abadi" w:hAnsi="Abadi"/>
          <w:i/>
          <w:sz w:val="21"/>
          <w:szCs w:val="21"/>
        </w:rPr>
      </w:pPr>
    </w:p>
    <w:p w14:paraId="1B3B4778" w14:textId="77777777" w:rsidR="00E3434F" w:rsidRPr="0084441A" w:rsidRDefault="00E3434F" w:rsidP="00F3730A">
      <w:pPr>
        <w:ind w:left="726" w:right="-1" w:hanging="22"/>
        <w:jc w:val="both"/>
        <w:rPr>
          <w:rFonts w:ascii="Abadi" w:hAnsi="Abadi"/>
          <w:sz w:val="21"/>
          <w:szCs w:val="21"/>
        </w:rPr>
      </w:pPr>
      <w:r w:rsidRPr="0084441A">
        <w:rPr>
          <w:rFonts w:ascii="Abadi" w:hAnsi="Abadi"/>
          <w:sz w:val="21"/>
          <w:szCs w:val="21"/>
        </w:rPr>
        <w:t>Con la intención de poder sumar a la iniciativa y mejorar las condiciones para el desarrollo de los niños, niñas y adolescentes; si bien, la iniciativa se considera como robo calificado, considero que, de acuerdo al impacto y perjuicio social y al ser un daño colectivo directo o indirecto, considero que dicho delito se puede clasificar como grave y establecerse en el artículo 11 del mismo código. De igual manera y en sentido de sugerencia se propone adicionar el artículo 194-d y modificar el artículo 11 para quedar en los siguientes términos. 194-d. Se impondrá prisión de cuatro a diez años y de cuarenta a cien días multa a quien se apodere o sustraiga uno o más bienes de cualquier institución educativa pública o privada que cuente con reconocimiento de validez oficial, así como en inmuebles destinados a actividades educativas, con independencia de las penas que le correspondan por la comisión de otros delitos. Artículo 11. Se consideran como delitos graves, para todos los efectos legales los siguientes: IX. Robo calificado previsto por el artículo 194 en relación con la fracción V del artículo 191; el previsto por las fracciones I y IV del artículo 194, con independencia de la cuantía del robo; el robo previsto en los artículos 191-b, 194-a, 194-b, 194-c y 194-d, con independencia de la cuantía; así como el robo calificado en grado de tentativa previsto en el artículo 192, con relación al artículo 18.</w:t>
      </w:r>
    </w:p>
    <w:p w14:paraId="4C317726" w14:textId="77777777" w:rsidR="00E3434F" w:rsidRPr="0084441A" w:rsidRDefault="00E3434F" w:rsidP="00F3730A">
      <w:pPr>
        <w:widowControl w:val="0"/>
        <w:autoSpaceDE w:val="0"/>
        <w:autoSpaceDN w:val="0"/>
        <w:adjustRightInd w:val="0"/>
        <w:spacing w:before="100" w:beforeAutospacing="1" w:after="100" w:afterAutospacing="1"/>
        <w:ind w:firstLine="708"/>
        <w:jc w:val="both"/>
        <w:rPr>
          <w:rFonts w:ascii="Abadi" w:hAnsi="Abadi"/>
          <w:color w:val="000000"/>
          <w:sz w:val="21"/>
          <w:szCs w:val="21"/>
        </w:rPr>
      </w:pPr>
      <w:r w:rsidRPr="0084441A">
        <w:rPr>
          <w:rFonts w:ascii="Abadi" w:hAnsi="Abadi"/>
          <w:color w:val="000000"/>
          <w:sz w:val="21"/>
          <w:szCs w:val="21"/>
        </w:rPr>
        <w:t>Respecto a la segunda de las iniciativas:</w:t>
      </w:r>
    </w:p>
    <w:p w14:paraId="20B4BB42" w14:textId="77777777" w:rsidR="00E3434F" w:rsidRPr="0084441A" w:rsidRDefault="00E3434F" w:rsidP="00F3730A">
      <w:pPr>
        <w:ind w:left="726" w:right="-1" w:hanging="22"/>
        <w:jc w:val="both"/>
        <w:rPr>
          <w:rFonts w:ascii="Abadi" w:hAnsi="Abadi"/>
          <w:b/>
          <w:bCs/>
          <w:i/>
          <w:sz w:val="21"/>
          <w:szCs w:val="21"/>
        </w:rPr>
      </w:pPr>
      <w:r w:rsidRPr="0084441A">
        <w:rPr>
          <w:rFonts w:ascii="Abadi" w:hAnsi="Abadi"/>
          <w:b/>
          <w:bCs/>
          <w:i/>
          <w:sz w:val="21"/>
          <w:szCs w:val="21"/>
        </w:rPr>
        <w:t xml:space="preserve">Supremo Tribunal de Justicia. </w:t>
      </w:r>
    </w:p>
    <w:p w14:paraId="50808D45" w14:textId="77777777" w:rsidR="00E3434F" w:rsidRPr="0084441A" w:rsidRDefault="00E3434F" w:rsidP="00F3730A">
      <w:pPr>
        <w:ind w:left="726" w:right="-1" w:hanging="22"/>
        <w:jc w:val="both"/>
        <w:rPr>
          <w:rFonts w:ascii="Abadi" w:hAnsi="Abadi"/>
          <w:b/>
          <w:bCs/>
          <w:i/>
          <w:sz w:val="21"/>
          <w:szCs w:val="21"/>
        </w:rPr>
      </w:pPr>
    </w:p>
    <w:p w14:paraId="6EB8760B" w14:textId="77777777" w:rsidR="00E3434F" w:rsidRPr="0084441A" w:rsidRDefault="00E3434F" w:rsidP="00F3730A">
      <w:pPr>
        <w:ind w:left="726" w:right="-1" w:hanging="22"/>
        <w:jc w:val="both"/>
        <w:rPr>
          <w:rFonts w:ascii="Abadi" w:eastAsia="Calibri" w:hAnsi="Abadi" w:cs="Arial"/>
          <w:color w:val="000000"/>
          <w:sz w:val="21"/>
          <w:szCs w:val="21"/>
          <w:lang w:val="es-MX" w:eastAsia="en-US"/>
        </w:rPr>
      </w:pPr>
      <w:r w:rsidRPr="0084441A">
        <w:rPr>
          <w:rFonts w:ascii="Abadi" w:eastAsia="Calibri" w:hAnsi="Abadi" w:cs="Arial"/>
          <w:color w:val="000000"/>
          <w:sz w:val="21"/>
          <w:szCs w:val="21"/>
          <w:lang w:val="es-MX" w:eastAsia="en-US"/>
        </w:rPr>
        <w:t>El fundamento de la presente iniciativa, está referido al incremento en el número de robos a los planteles educativos, particularmente con motivo de la pandemia de Covid 19, y la falta de personal de policía para realizar una función de prevención más eficiente, no obstante, la colaboración de los vecinos. Lo anterior ha dejado un saldo aproximado de seiscientos planteles educativos que son objeto de robos sistemáticos y constantes en perjuicio del erario público.</w:t>
      </w:r>
    </w:p>
    <w:p w14:paraId="35956601" w14:textId="77777777" w:rsidR="00E3434F" w:rsidRPr="0084441A" w:rsidRDefault="00E3434F" w:rsidP="00F3730A">
      <w:pPr>
        <w:ind w:left="726" w:right="-1" w:hanging="22"/>
        <w:jc w:val="both"/>
        <w:rPr>
          <w:rFonts w:ascii="Abadi" w:eastAsia="Calibri" w:hAnsi="Abadi" w:cs="Arial"/>
          <w:color w:val="000000"/>
          <w:sz w:val="21"/>
          <w:szCs w:val="21"/>
          <w:lang w:val="es-MX" w:eastAsia="en-US"/>
        </w:rPr>
      </w:pPr>
    </w:p>
    <w:p w14:paraId="3F76FE51" w14:textId="77777777" w:rsidR="00E3434F" w:rsidRPr="0084441A" w:rsidRDefault="00E3434F" w:rsidP="00F3730A">
      <w:pPr>
        <w:autoSpaceDE w:val="0"/>
        <w:autoSpaceDN w:val="0"/>
        <w:adjustRightInd w:val="0"/>
        <w:ind w:left="726" w:hanging="22"/>
        <w:rPr>
          <w:rFonts w:ascii="Abadi" w:eastAsia="Calibri" w:hAnsi="Abadi" w:cs="Arial"/>
          <w:color w:val="000000"/>
          <w:sz w:val="21"/>
          <w:szCs w:val="21"/>
          <w:lang w:val="es-MX" w:eastAsia="en-US"/>
        </w:rPr>
      </w:pPr>
      <w:r w:rsidRPr="0084441A">
        <w:rPr>
          <w:rFonts w:ascii="Abadi" w:eastAsia="Calibri" w:hAnsi="Abadi" w:cs="Arial"/>
          <w:color w:val="000000"/>
          <w:sz w:val="21"/>
          <w:szCs w:val="21"/>
          <w:lang w:val="es-MX" w:eastAsia="en-US"/>
        </w:rPr>
        <w:t xml:space="preserve">Atento a ello estimamos viable la presente iniciativa. </w:t>
      </w:r>
    </w:p>
    <w:p w14:paraId="53074DFB" w14:textId="77777777" w:rsidR="00E3434F" w:rsidRPr="0084441A" w:rsidRDefault="00E3434F" w:rsidP="00F3730A">
      <w:pPr>
        <w:autoSpaceDE w:val="0"/>
        <w:autoSpaceDN w:val="0"/>
        <w:adjustRightInd w:val="0"/>
        <w:ind w:left="726" w:hanging="22"/>
        <w:rPr>
          <w:rFonts w:ascii="Abadi" w:eastAsia="Calibri" w:hAnsi="Abadi" w:cs="Arial"/>
          <w:color w:val="000000"/>
          <w:sz w:val="21"/>
          <w:szCs w:val="21"/>
          <w:lang w:val="es-MX" w:eastAsia="en-US"/>
        </w:rPr>
      </w:pPr>
    </w:p>
    <w:p w14:paraId="5A4766E1" w14:textId="77777777" w:rsidR="00E3434F" w:rsidRPr="0084441A" w:rsidRDefault="00E3434F" w:rsidP="00F3730A">
      <w:pPr>
        <w:ind w:left="726" w:right="-1" w:hanging="22"/>
        <w:jc w:val="both"/>
        <w:rPr>
          <w:rFonts w:ascii="Abadi" w:eastAsia="Calibri" w:hAnsi="Abadi" w:cs="Arial"/>
          <w:color w:val="000000"/>
          <w:sz w:val="21"/>
          <w:szCs w:val="21"/>
          <w:lang w:val="es-MX" w:eastAsia="en-US"/>
        </w:rPr>
      </w:pPr>
      <w:r w:rsidRPr="0084441A">
        <w:rPr>
          <w:rFonts w:ascii="Abadi" w:eastAsia="Calibri" w:hAnsi="Abadi" w:cs="Arial"/>
          <w:color w:val="000000"/>
          <w:sz w:val="21"/>
          <w:szCs w:val="21"/>
          <w:lang w:val="es-MX" w:eastAsia="en-US"/>
        </w:rPr>
        <w:t>Sin embargo, nos permitimos sugerir respetuosamente se analice la situación jurídica de las escuelas, planteles educativos o instituciones educativas particulares o privadas, que imparten estudios con reconocimiento de validez oficial, en el mismo supuesto que se plantea en la presente.</w:t>
      </w:r>
    </w:p>
    <w:p w14:paraId="0042B7A2" w14:textId="77777777" w:rsidR="00E3434F" w:rsidRPr="0084441A" w:rsidRDefault="00E3434F" w:rsidP="00F3730A">
      <w:pPr>
        <w:ind w:left="726" w:right="-1" w:hanging="22"/>
        <w:jc w:val="both"/>
        <w:rPr>
          <w:rFonts w:ascii="Abadi" w:eastAsia="Calibri" w:hAnsi="Abadi" w:cs="Arial"/>
          <w:color w:val="000000"/>
          <w:sz w:val="21"/>
          <w:szCs w:val="21"/>
          <w:lang w:val="es-MX" w:eastAsia="en-US"/>
        </w:rPr>
      </w:pPr>
    </w:p>
    <w:p w14:paraId="1A8B78ED" w14:textId="77777777" w:rsidR="00E3434F" w:rsidRPr="0084441A" w:rsidRDefault="00E3434F" w:rsidP="00F3730A">
      <w:pPr>
        <w:autoSpaceDE w:val="0"/>
        <w:autoSpaceDN w:val="0"/>
        <w:adjustRightInd w:val="0"/>
        <w:ind w:left="726" w:hanging="22"/>
        <w:jc w:val="both"/>
        <w:rPr>
          <w:rFonts w:ascii="Abadi" w:eastAsia="Calibri" w:hAnsi="Abadi" w:cs="Arial"/>
          <w:color w:val="000000"/>
          <w:sz w:val="21"/>
          <w:szCs w:val="21"/>
          <w:lang w:val="es-MX" w:eastAsia="en-US"/>
        </w:rPr>
      </w:pPr>
      <w:r w:rsidRPr="0084441A">
        <w:rPr>
          <w:rFonts w:ascii="Abadi" w:eastAsia="Calibri" w:hAnsi="Abadi" w:cs="Arial"/>
          <w:color w:val="000000"/>
          <w:sz w:val="21"/>
          <w:szCs w:val="21"/>
          <w:lang w:val="es-MX" w:eastAsia="en-US"/>
        </w:rPr>
        <w:t xml:space="preserve">Lo anterior, porque si bien la iniciativa hace énfasis en la protección del patrimonio público afecto a la educación, es importante no soslayar que el sistema educativo se integra asimismo por instituciones de educación privada que están expuestas a la misma problemática. </w:t>
      </w:r>
    </w:p>
    <w:p w14:paraId="73AAE2FA" w14:textId="77777777" w:rsidR="00E3434F" w:rsidRPr="0084441A" w:rsidRDefault="00E3434F" w:rsidP="00F3730A">
      <w:pPr>
        <w:autoSpaceDE w:val="0"/>
        <w:autoSpaceDN w:val="0"/>
        <w:adjustRightInd w:val="0"/>
        <w:ind w:left="726" w:hanging="22"/>
        <w:jc w:val="both"/>
        <w:rPr>
          <w:rFonts w:ascii="Abadi" w:eastAsia="Calibri" w:hAnsi="Abadi" w:cs="Arial"/>
          <w:color w:val="000000"/>
          <w:sz w:val="21"/>
          <w:szCs w:val="21"/>
          <w:lang w:val="es-MX" w:eastAsia="en-US"/>
        </w:rPr>
      </w:pPr>
    </w:p>
    <w:p w14:paraId="7DD298F1" w14:textId="77777777" w:rsidR="00E3434F" w:rsidRPr="0084441A" w:rsidRDefault="00E3434F" w:rsidP="00F3730A">
      <w:pPr>
        <w:ind w:left="726" w:right="-1" w:hanging="22"/>
        <w:jc w:val="both"/>
        <w:rPr>
          <w:rFonts w:ascii="Abadi" w:hAnsi="Abadi"/>
          <w:b/>
          <w:bCs/>
          <w:i/>
          <w:sz w:val="21"/>
          <w:szCs w:val="21"/>
        </w:rPr>
      </w:pPr>
      <w:r w:rsidRPr="0084441A">
        <w:rPr>
          <w:rFonts w:ascii="Abadi" w:eastAsia="Calibri" w:hAnsi="Abadi" w:cs="Arial"/>
          <w:color w:val="000000"/>
          <w:sz w:val="21"/>
          <w:szCs w:val="21"/>
          <w:lang w:val="es-MX" w:eastAsia="en-US"/>
        </w:rPr>
        <w:t xml:space="preserve">Esto es, la iniciativa en su exposición de motivos refiere la necesidad de brindar protección a los bienes que son propiedad del Estado lo que afecta su </w:t>
      </w:r>
      <w:r w:rsidRPr="0084441A">
        <w:rPr>
          <w:rFonts w:ascii="Abadi" w:hAnsi="Abadi"/>
          <w:sz w:val="21"/>
          <w:szCs w:val="21"/>
        </w:rPr>
        <w:t>patrimonio, y destaca la necesidad de preservar aquellos elementos materiales necesarios para la realización de la labor educativa, razón esta última que nos permite recomendar se considere la situación correspondiente en los casos de las instituciones de educación que imparten estudios con validez oficial, pues igualmente forman parte del sistema educativo y están expuestas a la misma problemática que las escuelas públicas.</w:t>
      </w:r>
    </w:p>
    <w:p w14:paraId="13425F32" w14:textId="77777777" w:rsidR="00E3434F" w:rsidRPr="0084441A" w:rsidRDefault="00E3434F" w:rsidP="00F3730A">
      <w:pPr>
        <w:ind w:left="726" w:right="-1" w:hanging="22"/>
        <w:rPr>
          <w:rFonts w:ascii="Abadi" w:hAnsi="Abadi"/>
          <w:i/>
          <w:sz w:val="21"/>
          <w:szCs w:val="21"/>
        </w:rPr>
      </w:pPr>
    </w:p>
    <w:p w14:paraId="744ACE90" w14:textId="77777777" w:rsidR="00E3434F" w:rsidRPr="0084441A" w:rsidRDefault="00E3434F" w:rsidP="00F3730A">
      <w:pPr>
        <w:ind w:left="726" w:right="-1" w:hanging="22"/>
        <w:jc w:val="both"/>
        <w:rPr>
          <w:rFonts w:ascii="Abadi" w:hAnsi="Abadi"/>
          <w:b/>
          <w:bCs/>
          <w:i/>
          <w:sz w:val="21"/>
          <w:szCs w:val="21"/>
        </w:rPr>
      </w:pPr>
      <w:r w:rsidRPr="0084441A">
        <w:rPr>
          <w:rFonts w:ascii="Abadi" w:hAnsi="Abadi"/>
          <w:b/>
          <w:bCs/>
          <w:i/>
          <w:sz w:val="21"/>
          <w:szCs w:val="21"/>
        </w:rPr>
        <w:t>Fiscalía General.</w:t>
      </w:r>
    </w:p>
    <w:p w14:paraId="74E35C80" w14:textId="77777777" w:rsidR="00E3434F" w:rsidRPr="0084441A" w:rsidRDefault="00E3434F" w:rsidP="00F3730A">
      <w:pPr>
        <w:ind w:left="726" w:right="-1" w:hanging="22"/>
        <w:jc w:val="both"/>
        <w:rPr>
          <w:rFonts w:ascii="Abadi" w:hAnsi="Abadi"/>
          <w:b/>
          <w:bCs/>
          <w:i/>
          <w:sz w:val="21"/>
          <w:szCs w:val="21"/>
        </w:rPr>
      </w:pPr>
    </w:p>
    <w:p w14:paraId="516093CF" w14:textId="77777777" w:rsidR="00E3434F" w:rsidRPr="0084441A" w:rsidRDefault="00E3434F" w:rsidP="00F3730A">
      <w:pPr>
        <w:ind w:left="726" w:right="-1" w:hanging="22"/>
        <w:jc w:val="both"/>
        <w:rPr>
          <w:rFonts w:ascii="Abadi" w:hAnsi="Abadi"/>
          <w:sz w:val="21"/>
          <w:szCs w:val="21"/>
        </w:rPr>
      </w:pPr>
      <w:r w:rsidRPr="0084441A">
        <w:rPr>
          <w:rFonts w:ascii="Abadi" w:hAnsi="Abadi"/>
          <w:sz w:val="21"/>
          <w:szCs w:val="21"/>
        </w:rPr>
        <w:t xml:space="preserve">Atendiendo al objetivo que se busca con la diversa Iniciativa formulada por el GPPRI, misma que igualmente tiene como finalidad adicionar una fracción XIII al numeral 194 del Código Penal del Estado de Guanajuato, para calificar el delito de robo cuando </w:t>
      </w:r>
      <w:r w:rsidRPr="0084441A">
        <w:rPr>
          <w:rFonts w:ascii="Abadi" w:hAnsi="Abadi"/>
          <w:b/>
          <w:bCs/>
          <w:sz w:val="21"/>
          <w:szCs w:val="21"/>
        </w:rPr>
        <w:t>«se cometa en escuelas, planteles o instituciones educativas públicas y sus accesorios»</w:t>
      </w:r>
      <w:r w:rsidRPr="0084441A">
        <w:rPr>
          <w:rFonts w:ascii="Abadi" w:hAnsi="Abadi"/>
          <w:sz w:val="21"/>
          <w:szCs w:val="21"/>
        </w:rPr>
        <w:t xml:space="preserve">; derivado del análisis a la misma, es de señalar que con independencia de la redacción de la hipótesis normativa plasmada en la fracción que se busca incluir, la cual no obstante es diversa en cuanto a su constructo normativo a la sugerida por el otrora Diputado Juan Elías Chávez de la Representación Parlamentaria del Partido Nueva Alianza de la pasada Legislatura local -abordada en el previo apartado, cuyo propósito es a su vez calificar el robo si se comete </w:t>
      </w:r>
      <w:r w:rsidRPr="0084441A">
        <w:rPr>
          <w:rFonts w:ascii="Abadi" w:hAnsi="Abadi"/>
          <w:b/>
          <w:bCs/>
          <w:sz w:val="21"/>
          <w:szCs w:val="21"/>
        </w:rPr>
        <w:t>«dentro de las instituciones educativas»</w:t>
      </w:r>
      <w:r w:rsidRPr="0084441A">
        <w:rPr>
          <w:rFonts w:ascii="Abadi" w:hAnsi="Abadi"/>
          <w:sz w:val="21"/>
          <w:szCs w:val="21"/>
        </w:rPr>
        <w:t xml:space="preserve">-, de manera general, al ser en principio coincidentes ambos documentos en sus alcances y pretensiones, </w:t>
      </w:r>
      <w:r w:rsidRPr="0084441A">
        <w:rPr>
          <w:rFonts w:ascii="Abadi" w:hAnsi="Abadi"/>
          <w:sz w:val="21"/>
          <w:szCs w:val="21"/>
          <w:u w:val="single"/>
        </w:rPr>
        <w:t>se hacen extensivos y patentizan los argumentos vertidos para la primera Iniciativa</w:t>
      </w:r>
      <w:r w:rsidRPr="0084441A">
        <w:rPr>
          <w:rFonts w:ascii="Abadi" w:hAnsi="Abadi"/>
          <w:sz w:val="21"/>
          <w:szCs w:val="21"/>
        </w:rPr>
        <w:t xml:space="preserve">, puesto que lo pretendido se encontraría colmado, fundamentalmente con base en la vigente regulación del artículo 194, fracción IV, con la cual se cualifica como calificado el robo cometido </w:t>
      </w:r>
      <w:r w:rsidRPr="0084441A">
        <w:rPr>
          <w:rFonts w:ascii="Abadi" w:hAnsi="Abadi"/>
          <w:b/>
          <w:bCs/>
          <w:sz w:val="21"/>
          <w:szCs w:val="21"/>
        </w:rPr>
        <w:t xml:space="preserve">en morada ajena o </w:t>
      </w:r>
      <w:r w:rsidRPr="0084441A">
        <w:rPr>
          <w:rFonts w:ascii="Abadi" w:hAnsi="Abadi"/>
          <w:b/>
          <w:bCs/>
          <w:sz w:val="21"/>
          <w:szCs w:val="21"/>
          <w:u w:val="single"/>
        </w:rPr>
        <w:t>en lugar cerrado</w:t>
      </w:r>
      <w:r w:rsidRPr="0084441A">
        <w:rPr>
          <w:rFonts w:ascii="Abadi" w:hAnsi="Abadi"/>
          <w:sz w:val="21"/>
          <w:szCs w:val="21"/>
        </w:rPr>
        <w:t>.</w:t>
      </w:r>
    </w:p>
    <w:p w14:paraId="0113490A" w14:textId="77777777" w:rsidR="00E3434F" w:rsidRPr="0084441A" w:rsidRDefault="00E3434F" w:rsidP="00E3434F">
      <w:pPr>
        <w:ind w:left="726" w:hanging="22"/>
        <w:jc w:val="both"/>
        <w:rPr>
          <w:rFonts w:ascii="Abadi" w:hAnsi="Abadi" w:cs="Arial"/>
          <w:bCs/>
          <w:sz w:val="21"/>
          <w:szCs w:val="21"/>
        </w:rPr>
      </w:pPr>
    </w:p>
    <w:p w14:paraId="5BE5BA21" w14:textId="77777777" w:rsidR="00E3434F" w:rsidRPr="0084441A" w:rsidRDefault="00E3434F" w:rsidP="00E3434F">
      <w:pPr>
        <w:ind w:left="726" w:right="-1" w:hanging="22"/>
        <w:jc w:val="both"/>
        <w:rPr>
          <w:rFonts w:ascii="Abadi" w:hAnsi="Abadi"/>
          <w:sz w:val="21"/>
          <w:szCs w:val="21"/>
        </w:rPr>
      </w:pPr>
      <w:r w:rsidRPr="0084441A">
        <w:rPr>
          <w:rFonts w:ascii="Abadi" w:hAnsi="Abadi"/>
          <w:sz w:val="21"/>
          <w:szCs w:val="21"/>
        </w:rPr>
        <w:t xml:space="preserve">Ahora bien, de manera adicional, como observación particular de la Iniciativa abordada en el presente apartado, cabe precisar que al momento de plantear el proyecto de Decreto (articulado), se realiza una distinción (exclusión), con la cual se limitaría la enmienda únicamente a las instituciones educativas </w:t>
      </w:r>
      <w:r w:rsidRPr="0084441A">
        <w:rPr>
          <w:rFonts w:ascii="Abadi" w:hAnsi="Abadi"/>
          <w:b/>
          <w:bCs/>
          <w:i/>
          <w:iCs/>
          <w:sz w:val="21"/>
          <w:szCs w:val="21"/>
        </w:rPr>
        <w:t>públicas</w:t>
      </w:r>
      <w:r w:rsidRPr="0084441A">
        <w:rPr>
          <w:rFonts w:ascii="Abadi" w:hAnsi="Abadi"/>
          <w:sz w:val="21"/>
          <w:szCs w:val="21"/>
        </w:rPr>
        <w:t>, y no así las privadas, circunstancia que deberá ponderarse y, en su caso, de avanzar de manera positiva, solventarlo o bien justificar debidamente y considerar las repercusiones de ello, así como, en tal escenario, motivar debidamente en la dictaminación respectiva a fin de evitar interpretaciones diversas y contraproducentes respecto a los alcances de la vigente fracción IV del numeral que nos ocupa y los casos actualizados con base en la misma</w:t>
      </w:r>
      <w:r w:rsidRPr="0084441A">
        <w:rPr>
          <w:rFonts w:ascii="Abadi" w:hAnsi="Abadi"/>
          <w:sz w:val="21"/>
          <w:szCs w:val="21"/>
          <w:vertAlign w:val="superscript"/>
        </w:rPr>
        <w:footnoteReference w:id="153"/>
      </w:r>
      <w:r w:rsidRPr="0084441A">
        <w:rPr>
          <w:rFonts w:ascii="Abadi" w:hAnsi="Abadi"/>
          <w:sz w:val="21"/>
          <w:szCs w:val="21"/>
        </w:rPr>
        <w:t>.</w:t>
      </w:r>
    </w:p>
    <w:p w14:paraId="206FFD5F" w14:textId="77777777" w:rsidR="00E3434F" w:rsidRPr="0084441A" w:rsidRDefault="00E3434F" w:rsidP="00802857">
      <w:pPr>
        <w:widowControl w:val="0"/>
        <w:autoSpaceDE w:val="0"/>
        <w:autoSpaceDN w:val="0"/>
        <w:adjustRightInd w:val="0"/>
        <w:spacing w:before="100" w:beforeAutospacing="1" w:after="100" w:afterAutospacing="1"/>
        <w:ind w:firstLine="708"/>
        <w:jc w:val="both"/>
        <w:rPr>
          <w:rFonts w:ascii="Abadi" w:hAnsi="Abadi"/>
          <w:color w:val="000000"/>
          <w:sz w:val="21"/>
          <w:szCs w:val="21"/>
        </w:rPr>
      </w:pPr>
      <w:r w:rsidRPr="0084441A">
        <w:rPr>
          <w:rFonts w:ascii="Abadi" w:hAnsi="Abadi"/>
          <w:color w:val="000000"/>
          <w:sz w:val="21"/>
          <w:szCs w:val="21"/>
        </w:rPr>
        <w:t>El pasado 30 de agosto se llevó a cabo una reunión de análisis de las iniciativas, en la que participaron: por parte del Supremo Tribunal de Justicia, la Maestra Ma. Cristina Cabrera Manrique, Magistrada de la Tercera Sala Penal y el Maestro Víctor Federico Pérez Hernández, Magistrado de la Primera Sala Penal; de la Fiscalía General, la Maestra Bernardina Elizabeth Durán Isais y el Maestro Jonathan Hazael Moreno Becerra; y de la Coordinación General Jurídica, los licenciados José Federico Ruiz Chávez, Carlos Alejandro Rodríguez Pacheco, Carlos Manuel Torres Yáñez y Alejandro Domínguez López Velarde. Posteriormente a la reunión de referencia, se hicieron llegar las opiniones de la Coordinación General Jurídica de ambas iniciativas, mismas que son similares en su contenido:</w:t>
      </w:r>
    </w:p>
    <w:p w14:paraId="0357F5D7" w14:textId="77777777" w:rsidR="00E3434F" w:rsidRPr="0084441A" w:rsidRDefault="00E3434F" w:rsidP="00802857">
      <w:pPr>
        <w:autoSpaceDE w:val="0"/>
        <w:autoSpaceDN w:val="0"/>
        <w:adjustRightInd w:val="0"/>
        <w:ind w:left="708"/>
        <w:jc w:val="both"/>
        <w:rPr>
          <w:rFonts w:ascii="Abadi" w:eastAsia="Calibri" w:hAnsi="Abadi" w:cs="Century Gothic"/>
          <w:b/>
          <w:bCs/>
          <w:color w:val="000000"/>
          <w:sz w:val="21"/>
          <w:szCs w:val="21"/>
          <w:lang w:val="es-MX" w:eastAsia="en-US"/>
        </w:rPr>
      </w:pPr>
      <w:r w:rsidRPr="0084441A">
        <w:rPr>
          <w:rFonts w:ascii="Abadi" w:eastAsia="Calibri" w:hAnsi="Abadi" w:cs="Century Gothic"/>
          <w:b/>
          <w:bCs/>
          <w:color w:val="000000"/>
          <w:sz w:val="21"/>
          <w:szCs w:val="21"/>
          <w:lang w:val="es-MX" w:eastAsia="en-US"/>
        </w:rPr>
        <w:t xml:space="preserve">III. Comentarios </w:t>
      </w:r>
    </w:p>
    <w:p w14:paraId="607EE1CA" w14:textId="77777777" w:rsidR="00E3434F" w:rsidRPr="0084441A" w:rsidRDefault="00E3434F" w:rsidP="00802857">
      <w:pPr>
        <w:autoSpaceDE w:val="0"/>
        <w:autoSpaceDN w:val="0"/>
        <w:adjustRightInd w:val="0"/>
        <w:ind w:left="708"/>
        <w:jc w:val="both"/>
        <w:rPr>
          <w:rFonts w:ascii="Abadi" w:eastAsia="Calibri" w:hAnsi="Abadi" w:cs="Century Gothic"/>
          <w:color w:val="000000"/>
          <w:sz w:val="21"/>
          <w:szCs w:val="21"/>
          <w:lang w:val="es-MX" w:eastAsia="en-US"/>
        </w:rPr>
      </w:pPr>
    </w:p>
    <w:p w14:paraId="7EA8F46C" w14:textId="77777777" w:rsidR="00E3434F" w:rsidRPr="0084441A" w:rsidRDefault="00E3434F" w:rsidP="00802857">
      <w:pPr>
        <w:autoSpaceDE w:val="0"/>
        <w:autoSpaceDN w:val="0"/>
        <w:adjustRightInd w:val="0"/>
        <w:ind w:left="708"/>
        <w:jc w:val="both"/>
        <w:rPr>
          <w:rFonts w:ascii="Abadi" w:eastAsia="Calibri" w:hAnsi="Abadi" w:cs="Century Gothic"/>
          <w:b/>
          <w:bCs/>
          <w:color w:val="000000"/>
          <w:sz w:val="21"/>
          <w:szCs w:val="21"/>
          <w:lang w:val="es-MX" w:eastAsia="en-US"/>
        </w:rPr>
      </w:pPr>
      <w:r w:rsidRPr="0084441A">
        <w:rPr>
          <w:rFonts w:ascii="Abadi" w:eastAsia="Calibri" w:hAnsi="Abadi" w:cs="Century Gothic"/>
          <w:b/>
          <w:bCs/>
          <w:color w:val="000000"/>
          <w:sz w:val="21"/>
          <w:szCs w:val="21"/>
          <w:lang w:val="es-MX" w:eastAsia="en-US"/>
        </w:rPr>
        <w:t xml:space="preserve">III.1 Circunstancias que califican o agravan el delito </w:t>
      </w:r>
    </w:p>
    <w:p w14:paraId="32B5BE9C" w14:textId="77777777" w:rsidR="00E3434F" w:rsidRPr="0084441A" w:rsidRDefault="00E3434F" w:rsidP="00802857">
      <w:pPr>
        <w:autoSpaceDE w:val="0"/>
        <w:autoSpaceDN w:val="0"/>
        <w:adjustRightInd w:val="0"/>
        <w:ind w:left="708"/>
        <w:jc w:val="both"/>
        <w:rPr>
          <w:rFonts w:ascii="Abadi" w:eastAsia="Calibri" w:hAnsi="Abadi" w:cs="Century Gothic"/>
          <w:color w:val="000000"/>
          <w:sz w:val="21"/>
          <w:szCs w:val="21"/>
          <w:lang w:val="es-MX" w:eastAsia="en-US"/>
        </w:rPr>
      </w:pPr>
    </w:p>
    <w:p w14:paraId="015E2564" w14:textId="77777777" w:rsidR="00E3434F" w:rsidRPr="0084441A" w:rsidRDefault="00E3434F" w:rsidP="00802857">
      <w:pPr>
        <w:autoSpaceDE w:val="0"/>
        <w:autoSpaceDN w:val="0"/>
        <w:adjustRightInd w:val="0"/>
        <w:ind w:left="708"/>
        <w:jc w:val="both"/>
        <w:rPr>
          <w:rFonts w:ascii="Abadi" w:eastAsia="Calibri" w:hAnsi="Abadi" w:cs="Calibri"/>
          <w:color w:val="000000"/>
          <w:sz w:val="21"/>
          <w:szCs w:val="21"/>
          <w:lang w:val="es-MX" w:eastAsia="en-US"/>
        </w:rPr>
      </w:pPr>
      <w:r w:rsidRPr="0084441A">
        <w:rPr>
          <w:rFonts w:ascii="Abadi" w:eastAsia="Calibri" w:hAnsi="Abadi" w:cs="Century Gothic"/>
          <w:color w:val="000000"/>
          <w:sz w:val="21"/>
          <w:szCs w:val="21"/>
          <w:lang w:val="es-MX" w:eastAsia="en-US"/>
        </w:rPr>
        <w:t xml:space="preserve">Las «circunstancias modificativas del delito» se definen como </w:t>
      </w:r>
      <w:r w:rsidRPr="0084441A">
        <w:rPr>
          <w:rFonts w:ascii="Abadi" w:eastAsia="Calibri" w:hAnsi="Abadi" w:cs="Calibri"/>
          <w:color w:val="000000"/>
          <w:sz w:val="21"/>
          <w:szCs w:val="21"/>
          <w:lang w:val="es-MX" w:eastAsia="en-US"/>
        </w:rPr>
        <w:t>«aquellos elementos adicionales que se contienen en los tipos penales y que según su descripción típica atenúan o agravan la conducta»</w:t>
      </w:r>
      <w:r w:rsidRPr="0084441A">
        <w:rPr>
          <w:rFonts w:ascii="Abadi" w:eastAsia="Calibri" w:hAnsi="Abadi" w:cs="Calibri"/>
          <w:color w:val="000000"/>
          <w:sz w:val="21"/>
          <w:szCs w:val="21"/>
          <w:vertAlign w:val="superscript"/>
          <w:lang w:val="es-MX" w:eastAsia="en-US"/>
        </w:rPr>
        <w:footnoteReference w:id="154"/>
      </w:r>
      <w:r w:rsidRPr="0084441A">
        <w:rPr>
          <w:rFonts w:ascii="Abadi" w:eastAsia="Calibri" w:hAnsi="Abadi" w:cs="Calibri"/>
          <w:color w:val="000000"/>
          <w:sz w:val="21"/>
          <w:szCs w:val="21"/>
          <w:lang w:val="es-MX" w:eastAsia="en-US"/>
        </w:rPr>
        <w:t xml:space="preserve">. </w:t>
      </w:r>
    </w:p>
    <w:p w14:paraId="13CD2215" w14:textId="77777777" w:rsidR="00E3434F" w:rsidRPr="0084441A" w:rsidRDefault="00E3434F" w:rsidP="00802857">
      <w:pPr>
        <w:autoSpaceDE w:val="0"/>
        <w:autoSpaceDN w:val="0"/>
        <w:adjustRightInd w:val="0"/>
        <w:ind w:left="708"/>
        <w:jc w:val="both"/>
        <w:rPr>
          <w:rFonts w:ascii="Abadi" w:eastAsia="Calibri" w:hAnsi="Abadi" w:cs="Century Gothic"/>
          <w:color w:val="000000"/>
          <w:sz w:val="21"/>
          <w:szCs w:val="21"/>
          <w:lang w:val="es-MX" w:eastAsia="en-US"/>
        </w:rPr>
      </w:pPr>
    </w:p>
    <w:p w14:paraId="3FA12E50" w14:textId="77777777" w:rsidR="00E3434F" w:rsidRPr="0084441A" w:rsidRDefault="00E3434F" w:rsidP="00802857">
      <w:pPr>
        <w:autoSpaceDE w:val="0"/>
        <w:autoSpaceDN w:val="0"/>
        <w:adjustRightInd w:val="0"/>
        <w:ind w:left="708"/>
        <w:jc w:val="both"/>
        <w:rPr>
          <w:rFonts w:ascii="Abadi" w:eastAsia="Calibri" w:hAnsi="Abadi" w:cs="Century Gothic"/>
          <w:color w:val="000000"/>
          <w:sz w:val="21"/>
          <w:szCs w:val="21"/>
          <w:lang w:val="es-MX" w:eastAsia="en-US"/>
        </w:rPr>
      </w:pPr>
      <w:r w:rsidRPr="0084441A">
        <w:rPr>
          <w:rFonts w:ascii="Abadi" w:eastAsia="Calibri" w:hAnsi="Abadi" w:cs="Century Gothic"/>
          <w:color w:val="000000"/>
          <w:sz w:val="21"/>
          <w:szCs w:val="21"/>
          <w:lang w:val="es-MX" w:eastAsia="en-US"/>
        </w:rPr>
        <w:t>En ese sentido, estas modificativas se encuentran en los tipos penales complementarios -aquellos tipos que presuponen la subsistencia del tipo básico o simple al cual se incorporan ciertas circunstancias</w:t>
      </w:r>
      <w:r w:rsidRPr="0084441A">
        <w:rPr>
          <w:rFonts w:ascii="Abadi" w:eastAsia="Calibri" w:hAnsi="Abadi" w:cs="Century Gothic"/>
          <w:color w:val="000000"/>
          <w:sz w:val="21"/>
          <w:szCs w:val="21"/>
          <w:vertAlign w:val="superscript"/>
          <w:lang w:val="es-MX" w:eastAsia="en-US"/>
        </w:rPr>
        <w:footnoteReference w:id="155"/>
      </w:r>
      <w:r w:rsidRPr="0084441A">
        <w:rPr>
          <w:rFonts w:ascii="Abadi" w:eastAsia="Calibri" w:hAnsi="Abadi" w:cs="Century Gothic"/>
          <w:color w:val="000000"/>
          <w:sz w:val="21"/>
          <w:szCs w:val="21"/>
          <w:lang w:val="es-MX" w:eastAsia="en-US"/>
        </w:rPr>
        <w:t xml:space="preserve">-; y pueden calificarse como: </w:t>
      </w:r>
    </w:p>
    <w:p w14:paraId="257A7843" w14:textId="77777777" w:rsidR="00E3434F" w:rsidRPr="0084441A" w:rsidRDefault="00E3434F" w:rsidP="00802857">
      <w:pPr>
        <w:autoSpaceDE w:val="0"/>
        <w:autoSpaceDN w:val="0"/>
        <w:adjustRightInd w:val="0"/>
        <w:ind w:left="708"/>
        <w:jc w:val="both"/>
        <w:rPr>
          <w:rFonts w:ascii="Abadi" w:eastAsia="Calibri" w:hAnsi="Abadi" w:cs="Century Gothic"/>
          <w:color w:val="000000"/>
          <w:sz w:val="21"/>
          <w:szCs w:val="21"/>
          <w:lang w:val="es-MX" w:eastAsia="en-US"/>
        </w:rPr>
      </w:pPr>
    </w:p>
    <w:p w14:paraId="66645F2E" w14:textId="77777777" w:rsidR="00E3434F" w:rsidRPr="0084441A" w:rsidRDefault="00E3434F" w:rsidP="00802857">
      <w:pPr>
        <w:autoSpaceDE w:val="0"/>
        <w:autoSpaceDN w:val="0"/>
        <w:adjustRightInd w:val="0"/>
        <w:ind w:left="708"/>
        <w:jc w:val="both"/>
        <w:rPr>
          <w:rFonts w:ascii="Abadi" w:eastAsia="Calibri" w:hAnsi="Abadi" w:cs="Century Gothic"/>
          <w:color w:val="000000"/>
          <w:sz w:val="21"/>
          <w:szCs w:val="21"/>
          <w:lang w:val="es-MX" w:eastAsia="en-US"/>
        </w:rPr>
      </w:pPr>
      <w:r w:rsidRPr="0084441A">
        <w:rPr>
          <w:rFonts w:ascii="Abadi" w:eastAsia="Calibri" w:hAnsi="Abadi" w:cs="Century Gothic"/>
          <w:b/>
          <w:bCs/>
          <w:color w:val="000000"/>
          <w:sz w:val="21"/>
          <w:szCs w:val="21"/>
          <w:lang w:val="es-MX" w:eastAsia="en-US"/>
        </w:rPr>
        <w:t xml:space="preserve">a) </w:t>
      </w:r>
      <w:r w:rsidRPr="0084441A">
        <w:rPr>
          <w:rFonts w:ascii="Abadi" w:eastAsia="Calibri" w:hAnsi="Abadi" w:cs="Century Gothic"/>
          <w:color w:val="000000"/>
          <w:sz w:val="21"/>
          <w:szCs w:val="21"/>
          <w:lang w:val="es-MX" w:eastAsia="en-US"/>
        </w:rPr>
        <w:t>Circunstancias que califican o agravan el delito; y,</w:t>
      </w:r>
      <w:r w:rsidRPr="0084441A">
        <w:rPr>
          <w:rFonts w:ascii="Abadi" w:eastAsia="Calibri" w:hAnsi="Abadi" w:cs="Century Gothic"/>
          <w:b/>
          <w:bCs/>
          <w:color w:val="000000"/>
          <w:sz w:val="21"/>
          <w:szCs w:val="21"/>
          <w:lang w:val="es-MX" w:eastAsia="en-US"/>
        </w:rPr>
        <w:t xml:space="preserve"> </w:t>
      </w:r>
    </w:p>
    <w:p w14:paraId="33A4546F" w14:textId="77777777" w:rsidR="00E3434F" w:rsidRPr="0084441A" w:rsidRDefault="00E3434F" w:rsidP="00802857">
      <w:pPr>
        <w:autoSpaceDE w:val="0"/>
        <w:autoSpaceDN w:val="0"/>
        <w:adjustRightInd w:val="0"/>
        <w:ind w:left="708"/>
        <w:jc w:val="both"/>
        <w:rPr>
          <w:rFonts w:ascii="Abadi" w:eastAsia="Calibri" w:hAnsi="Abadi" w:cs="Century Gothic"/>
          <w:color w:val="000000"/>
          <w:sz w:val="21"/>
          <w:szCs w:val="21"/>
          <w:lang w:val="es-MX" w:eastAsia="en-US"/>
        </w:rPr>
      </w:pPr>
    </w:p>
    <w:p w14:paraId="4247EF4E" w14:textId="77777777" w:rsidR="00E3434F" w:rsidRPr="0084441A" w:rsidRDefault="00E3434F" w:rsidP="00802857">
      <w:pPr>
        <w:autoSpaceDE w:val="0"/>
        <w:autoSpaceDN w:val="0"/>
        <w:adjustRightInd w:val="0"/>
        <w:ind w:left="708"/>
        <w:jc w:val="both"/>
        <w:rPr>
          <w:rFonts w:ascii="Abadi" w:eastAsia="Calibri" w:hAnsi="Abadi" w:cs="Century Gothic"/>
          <w:color w:val="000000"/>
          <w:sz w:val="21"/>
          <w:szCs w:val="21"/>
          <w:lang w:val="es-MX" w:eastAsia="en-US"/>
        </w:rPr>
      </w:pPr>
      <w:r w:rsidRPr="0084441A">
        <w:rPr>
          <w:rFonts w:ascii="Abadi" w:eastAsia="Calibri" w:hAnsi="Abadi" w:cs="Century Gothic"/>
          <w:b/>
          <w:bCs/>
          <w:color w:val="000000"/>
          <w:sz w:val="21"/>
          <w:szCs w:val="21"/>
          <w:lang w:val="es-MX" w:eastAsia="en-US"/>
        </w:rPr>
        <w:t xml:space="preserve">b) </w:t>
      </w:r>
      <w:r w:rsidRPr="0084441A">
        <w:rPr>
          <w:rFonts w:ascii="Abadi" w:eastAsia="Calibri" w:hAnsi="Abadi" w:cs="Century Gothic"/>
          <w:color w:val="000000"/>
          <w:sz w:val="21"/>
          <w:szCs w:val="21"/>
          <w:lang w:val="es-MX" w:eastAsia="en-US"/>
        </w:rPr>
        <w:t xml:space="preserve">Circunstancias atenuantes o que privilegian el delito. </w:t>
      </w:r>
    </w:p>
    <w:p w14:paraId="5CB45A07" w14:textId="77777777" w:rsidR="00E3434F" w:rsidRPr="0084441A" w:rsidRDefault="00E3434F" w:rsidP="00802857">
      <w:pPr>
        <w:autoSpaceDE w:val="0"/>
        <w:autoSpaceDN w:val="0"/>
        <w:adjustRightInd w:val="0"/>
        <w:ind w:left="708"/>
        <w:jc w:val="both"/>
        <w:rPr>
          <w:rFonts w:ascii="Abadi" w:eastAsia="Calibri" w:hAnsi="Abadi" w:cs="Century Gothic"/>
          <w:color w:val="000000"/>
          <w:sz w:val="21"/>
          <w:szCs w:val="21"/>
          <w:lang w:val="es-MX" w:eastAsia="en-US"/>
        </w:rPr>
      </w:pPr>
    </w:p>
    <w:p w14:paraId="0DEE9E74" w14:textId="77777777" w:rsidR="00E3434F" w:rsidRPr="0084441A" w:rsidRDefault="00E3434F" w:rsidP="00802857">
      <w:pPr>
        <w:autoSpaceDE w:val="0"/>
        <w:autoSpaceDN w:val="0"/>
        <w:adjustRightInd w:val="0"/>
        <w:ind w:left="708"/>
        <w:jc w:val="both"/>
        <w:rPr>
          <w:rFonts w:ascii="Abadi" w:eastAsia="Calibri" w:hAnsi="Abadi" w:cs="Calibri"/>
          <w:color w:val="000000"/>
          <w:sz w:val="21"/>
          <w:szCs w:val="21"/>
          <w:lang w:val="es-MX" w:eastAsia="en-US"/>
        </w:rPr>
      </w:pPr>
      <w:r w:rsidRPr="0084441A">
        <w:rPr>
          <w:rFonts w:ascii="Abadi" w:eastAsia="Calibri" w:hAnsi="Abadi" w:cs="Century Gothic"/>
          <w:color w:val="000000"/>
          <w:sz w:val="21"/>
          <w:szCs w:val="21"/>
          <w:lang w:val="es-MX" w:eastAsia="en-US"/>
        </w:rPr>
        <w:t xml:space="preserve">Los Tribunales Colegiados de Circuito han definido a la calificativa como </w:t>
      </w:r>
      <w:r w:rsidRPr="0084441A">
        <w:rPr>
          <w:rFonts w:ascii="Abadi" w:eastAsia="Calibri" w:hAnsi="Abadi" w:cs="Calibri"/>
          <w:color w:val="000000"/>
          <w:sz w:val="21"/>
          <w:szCs w:val="21"/>
          <w:lang w:val="es-MX" w:eastAsia="en-US"/>
        </w:rPr>
        <w:t>«aquella circunstancia que no alterando los elementos significativos del delito se agregan al ilícito típico y agrava la pena establecida para el mismo»</w:t>
      </w:r>
      <w:r w:rsidRPr="0084441A">
        <w:rPr>
          <w:rFonts w:ascii="Abadi" w:eastAsia="Calibri" w:hAnsi="Abadi" w:cs="Calibri"/>
          <w:color w:val="000000"/>
          <w:sz w:val="21"/>
          <w:szCs w:val="21"/>
          <w:vertAlign w:val="superscript"/>
          <w:lang w:val="es-MX" w:eastAsia="en-US"/>
        </w:rPr>
        <w:footnoteReference w:id="156"/>
      </w:r>
      <w:r w:rsidRPr="0084441A">
        <w:rPr>
          <w:rFonts w:ascii="Abadi" w:eastAsia="Calibri" w:hAnsi="Abadi" w:cs="Calibri"/>
          <w:color w:val="000000"/>
          <w:sz w:val="21"/>
          <w:szCs w:val="21"/>
          <w:lang w:val="es-MX" w:eastAsia="en-US"/>
        </w:rPr>
        <w:t xml:space="preserve">. </w:t>
      </w:r>
    </w:p>
    <w:p w14:paraId="16418ECD" w14:textId="77777777" w:rsidR="00E3434F" w:rsidRPr="0084441A" w:rsidRDefault="00E3434F" w:rsidP="00802857">
      <w:pPr>
        <w:autoSpaceDE w:val="0"/>
        <w:autoSpaceDN w:val="0"/>
        <w:adjustRightInd w:val="0"/>
        <w:ind w:left="708"/>
        <w:jc w:val="both"/>
        <w:rPr>
          <w:rFonts w:ascii="Abadi" w:eastAsia="Calibri" w:hAnsi="Abadi" w:cs="Century Gothic"/>
          <w:color w:val="000000"/>
          <w:sz w:val="21"/>
          <w:szCs w:val="21"/>
          <w:lang w:val="es-MX" w:eastAsia="en-US"/>
        </w:rPr>
      </w:pPr>
    </w:p>
    <w:p w14:paraId="6C100CF6" w14:textId="77777777" w:rsidR="00E3434F" w:rsidRPr="0084441A" w:rsidRDefault="00E3434F" w:rsidP="00802857">
      <w:pPr>
        <w:autoSpaceDE w:val="0"/>
        <w:autoSpaceDN w:val="0"/>
        <w:adjustRightInd w:val="0"/>
        <w:ind w:left="708"/>
        <w:jc w:val="both"/>
        <w:rPr>
          <w:rFonts w:ascii="Abadi" w:eastAsia="Calibri" w:hAnsi="Abadi" w:cs="Century Gothic"/>
          <w:color w:val="000000"/>
          <w:sz w:val="21"/>
          <w:szCs w:val="21"/>
          <w:lang w:val="es-MX" w:eastAsia="en-US"/>
        </w:rPr>
      </w:pPr>
      <w:r w:rsidRPr="0084441A">
        <w:rPr>
          <w:rFonts w:ascii="Abadi" w:eastAsia="Calibri" w:hAnsi="Abadi" w:cs="Century Gothic"/>
          <w:color w:val="000000"/>
          <w:sz w:val="21"/>
          <w:szCs w:val="21"/>
          <w:lang w:val="es-MX" w:eastAsia="en-US"/>
        </w:rPr>
        <w:t xml:space="preserve">Igualmente, dichos órganos han señalado que: </w:t>
      </w:r>
    </w:p>
    <w:p w14:paraId="3ECE25F0" w14:textId="77777777" w:rsidR="00E3434F" w:rsidRPr="0084441A" w:rsidRDefault="00E3434F" w:rsidP="00802857">
      <w:pPr>
        <w:widowControl w:val="0"/>
        <w:autoSpaceDE w:val="0"/>
        <w:autoSpaceDN w:val="0"/>
        <w:adjustRightInd w:val="0"/>
        <w:spacing w:before="100" w:beforeAutospacing="1" w:after="100" w:afterAutospacing="1"/>
        <w:ind w:left="1416"/>
        <w:jc w:val="both"/>
        <w:rPr>
          <w:rFonts w:ascii="Abadi" w:eastAsia="Calibri" w:hAnsi="Abadi" w:cs="Calibri"/>
          <w:color w:val="000000"/>
          <w:sz w:val="21"/>
          <w:szCs w:val="21"/>
          <w:lang w:val="es-MX" w:eastAsia="en-US"/>
        </w:rPr>
      </w:pPr>
      <w:r w:rsidRPr="0084441A">
        <w:rPr>
          <w:rFonts w:ascii="Abadi" w:eastAsia="Calibri" w:hAnsi="Abadi" w:cs="Calibri"/>
          <w:color w:val="000000"/>
          <w:sz w:val="21"/>
          <w:szCs w:val="21"/>
          <w:lang w:val="es-MX" w:eastAsia="en-US"/>
        </w:rPr>
        <w:t>«La calificativa no constituye una conducta autónoma, sino que está estrechamente vinculada con la acción reputada delictuosa; y al operar, sólo permite agravar la pena que corresponde, pues los dispositivos que contemplan las diversas hipótesis en que se surte la calificativa del delito, remiten a las sanciones previstas en el respectivo artículo que lo tipifica»</w:t>
      </w:r>
      <w:r w:rsidRPr="0084441A">
        <w:rPr>
          <w:rFonts w:ascii="Abadi" w:eastAsia="Calibri" w:hAnsi="Abadi" w:cs="Calibri"/>
          <w:color w:val="000000"/>
          <w:sz w:val="21"/>
          <w:szCs w:val="21"/>
          <w:vertAlign w:val="superscript"/>
          <w:lang w:val="es-MX" w:eastAsia="en-US"/>
        </w:rPr>
        <w:footnoteReference w:id="157"/>
      </w:r>
      <w:r w:rsidRPr="0084441A">
        <w:rPr>
          <w:rFonts w:ascii="Abadi" w:eastAsia="Calibri" w:hAnsi="Abadi" w:cs="Calibri"/>
          <w:color w:val="000000"/>
          <w:sz w:val="21"/>
          <w:szCs w:val="21"/>
          <w:lang w:val="es-MX" w:eastAsia="en-US"/>
        </w:rPr>
        <w:t xml:space="preserve">. </w:t>
      </w:r>
    </w:p>
    <w:p w14:paraId="059249AC" w14:textId="77777777" w:rsidR="00E3434F" w:rsidRPr="0084441A" w:rsidRDefault="00E3434F" w:rsidP="00E3434F">
      <w:pPr>
        <w:autoSpaceDE w:val="0"/>
        <w:autoSpaceDN w:val="0"/>
        <w:adjustRightInd w:val="0"/>
        <w:ind w:left="708"/>
        <w:jc w:val="both"/>
        <w:rPr>
          <w:rFonts w:ascii="Abadi" w:eastAsia="Calibri" w:hAnsi="Abadi" w:cs="Century Gothic"/>
          <w:color w:val="000000"/>
          <w:sz w:val="21"/>
          <w:szCs w:val="21"/>
          <w:lang w:val="es-MX" w:eastAsia="en-US"/>
        </w:rPr>
      </w:pPr>
      <w:r w:rsidRPr="0084441A">
        <w:rPr>
          <w:rFonts w:ascii="Abadi" w:eastAsia="Calibri" w:hAnsi="Abadi" w:cs="Century Gothic"/>
          <w:color w:val="000000"/>
          <w:sz w:val="21"/>
          <w:szCs w:val="21"/>
          <w:lang w:val="es-MX" w:eastAsia="en-US"/>
        </w:rPr>
        <w:t xml:space="preserve">Finalmente, los mismos órganos jurisdiccionales, han advertido que la agravante o calificativa: </w:t>
      </w:r>
    </w:p>
    <w:p w14:paraId="58210B06" w14:textId="77777777" w:rsidR="00E3434F" w:rsidRPr="0084441A" w:rsidRDefault="00E3434F" w:rsidP="00E3434F">
      <w:pPr>
        <w:widowControl w:val="0"/>
        <w:autoSpaceDE w:val="0"/>
        <w:autoSpaceDN w:val="0"/>
        <w:adjustRightInd w:val="0"/>
        <w:spacing w:before="100" w:beforeAutospacing="1" w:after="100" w:afterAutospacing="1"/>
        <w:ind w:left="1416"/>
        <w:jc w:val="both"/>
        <w:rPr>
          <w:rFonts w:ascii="Abadi" w:eastAsia="Calibri" w:hAnsi="Abadi" w:cs="Calibri"/>
          <w:color w:val="000000"/>
          <w:sz w:val="21"/>
          <w:szCs w:val="21"/>
          <w:lang w:val="es-MX" w:eastAsia="en-US"/>
        </w:rPr>
      </w:pPr>
      <w:r w:rsidRPr="0084441A">
        <w:rPr>
          <w:rFonts w:ascii="Abadi" w:eastAsia="Calibri" w:hAnsi="Abadi" w:cs="Calibri"/>
          <w:color w:val="000000"/>
          <w:sz w:val="21"/>
          <w:szCs w:val="21"/>
          <w:lang w:val="es-MX" w:eastAsia="en-US"/>
        </w:rPr>
        <w:t xml:space="preserve">«es la circunstancia de tiempo, </w:t>
      </w:r>
      <w:r w:rsidRPr="0084441A">
        <w:rPr>
          <w:rFonts w:ascii="Abadi" w:eastAsia="Calibri" w:hAnsi="Abadi" w:cs="Calibri"/>
          <w:color w:val="000000"/>
          <w:sz w:val="21"/>
          <w:szCs w:val="21"/>
          <w:u w:val="single"/>
          <w:lang w:val="es-MX" w:eastAsia="en-US"/>
        </w:rPr>
        <w:t>lugar</w:t>
      </w:r>
      <w:r w:rsidRPr="0084441A">
        <w:rPr>
          <w:rFonts w:ascii="Abadi" w:eastAsia="Calibri" w:hAnsi="Abadi" w:cs="Calibri"/>
          <w:color w:val="000000"/>
          <w:sz w:val="21"/>
          <w:szCs w:val="21"/>
          <w:lang w:val="es-MX" w:eastAsia="en-US"/>
        </w:rPr>
        <w:t xml:space="preserve">, modo, condición y estado </w:t>
      </w:r>
      <w:r w:rsidRPr="0084441A">
        <w:rPr>
          <w:rFonts w:ascii="Abadi" w:eastAsia="Calibri" w:hAnsi="Abadi" w:cs="Calibri"/>
          <w:color w:val="000000"/>
          <w:sz w:val="21"/>
          <w:szCs w:val="21"/>
          <w:u w:val="single"/>
          <w:lang w:val="es-MX" w:eastAsia="en-US"/>
        </w:rPr>
        <w:t>que acompañan a algún hecho ilícito</w:t>
      </w:r>
      <w:r w:rsidRPr="0084441A">
        <w:rPr>
          <w:rFonts w:ascii="Abadi" w:eastAsia="Calibri" w:hAnsi="Abadi" w:cs="Calibri"/>
          <w:color w:val="000000"/>
          <w:sz w:val="21"/>
          <w:szCs w:val="21"/>
          <w:lang w:val="es-MX" w:eastAsia="en-US"/>
        </w:rPr>
        <w:t xml:space="preserve"> y que </w:t>
      </w:r>
      <w:r w:rsidRPr="0084441A">
        <w:rPr>
          <w:rFonts w:ascii="Abadi" w:eastAsia="Calibri" w:hAnsi="Abadi" w:cs="Calibri"/>
          <w:color w:val="000000"/>
          <w:sz w:val="21"/>
          <w:szCs w:val="21"/>
          <w:u w:val="single"/>
          <w:lang w:val="es-MX" w:eastAsia="en-US"/>
        </w:rPr>
        <w:t>suelen ser las causas que aumentan la gravedad del delito</w:t>
      </w:r>
      <w:r w:rsidRPr="0084441A">
        <w:rPr>
          <w:rFonts w:ascii="Abadi" w:eastAsia="Calibri" w:hAnsi="Abadi" w:cs="Calibri"/>
          <w:color w:val="000000"/>
          <w:sz w:val="21"/>
          <w:szCs w:val="21"/>
          <w:lang w:val="es-MX" w:eastAsia="en-US"/>
        </w:rPr>
        <w:t xml:space="preserve"> y, por consiguiente, </w:t>
      </w:r>
      <w:r w:rsidRPr="0084441A">
        <w:rPr>
          <w:rFonts w:ascii="Abadi" w:eastAsia="Calibri" w:hAnsi="Abadi" w:cs="Calibri"/>
          <w:color w:val="000000"/>
          <w:sz w:val="21"/>
          <w:szCs w:val="21"/>
          <w:u w:val="single"/>
          <w:lang w:val="es-MX" w:eastAsia="en-US"/>
        </w:rPr>
        <w:t>la pena con que debe ser castigado</w:t>
      </w:r>
      <w:r w:rsidRPr="0084441A">
        <w:rPr>
          <w:rFonts w:ascii="Abadi" w:eastAsia="Calibri" w:hAnsi="Abadi" w:cs="Calibri"/>
          <w:color w:val="000000"/>
          <w:sz w:val="21"/>
          <w:szCs w:val="21"/>
          <w:lang w:val="es-MX" w:eastAsia="en-US"/>
        </w:rPr>
        <w:t xml:space="preserve"> el delincuente, sin que la extinción de esos accidentes dé por terminado el modelo ilícito, ya que únicamente determina la extensión del castigo…»</w:t>
      </w:r>
      <w:r w:rsidRPr="0084441A">
        <w:rPr>
          <w:rFonts w:ascii="Abadi" w:eastAsia="Calibri" w:hAnsi="Abadi" w:cs="Calibri"/>
          <w:color w:val="000000"/>
          <w:sz w:val="21"/>
          <w:szCs w:val="21"/>
          <w:vertAlign w:val="superscript"/>
          <w:lang w:val="es-MX" w:eastAsia="en-US"/>
        </w:rPr>
        <w:footnoteReference w:id="158"/>
      </w:r>
      <w:r w:rsidRPr="0084441A">
        <w:rPr>
          <w:rFonts w:ascii="Abadi" w:eastAsia="Calibri" w:hAnsi="Abadi" w:cs="Calibri"/>
          <w:color w:val="000000"/>
          <w:sz w:val="21"/>
          <w:szCs w:val="21"/>
          <w:lang w:val="es-MX" w:eastAsia="en-US"/>
        </w:rPr>
        <w:t xml:space="preserve"> </w:t>
      </w:r>
    </w:p>
    <w:p w14:paraId="06B0C039" w14:textId="77777777" w:rsidR="00E3434F" w:rsidRPr="0084441A" w:rsidRDefault="00E3434F" w:rsidP="00E3434F">
      <w:pPr>
        <w:autoSpaceDE w:val="0"/>
        <w:autoSpaceDN w:val="0"/>
        <w:adjustRightInd w:val="0"/>
        <w:ind w:left="708"/>
        <w:jc w:val="both"/>
        <w:rPr>
          <w:rFonts w:ascii="Abadi" w:eastAsia="Calibri" w:hAnsi="Abadi" w:cs="Calibri"/>
          <w:color w:val="000000"/>
          <w:sz w:val="21"/>
          <w:szCs w:val="21"/>
          <w:lang w:val="es-MX" w:eastAsia="en-US"/>
        </w:rPr>
      </w:pPr>
      <w:r w:rsidRPr="0084441A">
        <w:rPr>
          <w:rFonts w:ascii="Abadi" w:eastAsia="Calibri" w:hAnsi="Abadi" w:cs="Century Gothic"/>
          <w:b/>
          <w:bCs/>
          <w:color w:val="000000"/>
          <w:sz w:val="21"/>
          <w:szCs w:val="21"/>
          <w:lang w:val="es-MX" w:eastAsia="en-US"/>
        </w:rPr>
        <w:t xml:space="preserve">III.2 Robo calificado </w:t>
      </w:r>
    </w:p>
    <w:p w14:paraId="45CAF26B" w14:textId="77777777" w:rsidR="00E3434F" w:rsidRPr="0084441A" w:rsidRDefault="00E3434F" w:rsidP="00E3434F">
      <w:pPr>
        <w:autoSpaceDE w:val="0"/>
        <w:autoSpaceDN w:val="0"/>
        <w:adjustRightInd w:val="0"/>
        <w:ind w:left="708"/>
        <w:jc w:val="both"/>
        <w:rPr>
          <w:rFonts w:ascii="Abadi" w:eastAsia="Calibri" w:hAnsi="Abadi" w:cs="Calibri"/>
          <w:color w:val="000000"/>
          <w:sz w:val="21"/>
          <w:szCs w:val="21"/>
          <w:lang w:val="es-MX" w:eastAsia="en-US"/>
        </w:rPr>
      </w:pPr>
    </w:p>
    <w:p w14:paraId="15C2D70E" w14:textId="77777777" w:rsidR="00E3434F" w:rsidRPr="0084441A" w:rsidRDefault="00E3434F" w:rsidP="00E3434F">
      <w:pPr>
        <w:autoSpaceDE w:val="0"/>
        <w:autoSpaceDN w:val="0"/>
        <w:adjustRightInd w:val="0"/>
        <w:ind w:left="708"/>
        <w:jc w:val="both"/>
        <w:rPr>
          <w:rFonts w:ascii="Abadi" w:eastAsia="Calibri" w:hAnsi="Abadi" w:cs="Century Gothic"/>
          <w:color w:val="000000"/>
          <w:sz w:val="21"/>
          <w:szCs w:val="21"/>
          <w:lang w:val="es-MX" w:eastAsia="en-US"/>
        </w:rPr>
      </w:pPr>
      <w:r w:rsidRPr="0084441A">
        <w:rPr>
          <w:rFonts w:ascii="Abadi" w:eastAsia="Calibri" w:hAnsi="Abadi" w:cs="Century Gothic"/>
          <w:color w:val="000000"/>
          <w:sz w:val="21"/>
          <w:szCs w:val="21"/>
          <w:lang w:val="es-MX" w:eastAsia="en-US"/>
        </w:rPr>
        <w:t>El Código Penal del Estado de Guanajuato</w:t>
      </w:r>
      <w:r w:rsidRPr="0084441A">
        <w:rPr>
          <w:rFonts w:ascii="Abadi" w:eastAsia="Calibri" w:hAnsi="Abadi" w:cs="Century Gothic"/>
          <w:color w:val="000000"/>
          <w:sz w:val="21"/>
          <w:szCs w:val="21"/>
          <w:vertAlign w:val="superscript"/>
          <w:lang w:val="es-MX" w:eastAsia="en-US"/>
        </w:rPr>
        <w:footnoteReference w:id="159"/>
      </w:r>
      <w:r w:rsidRPr="0084441A">
        <w:rPr>
          <w:rFonts w:ascii="Abadi" w:eastAsia="Calibri" w:hAnsi="Abadi" w:cs="Century Gothic"/>
          <w:color w:val="000000"/>
          <w:sz w:val="21"/>
          <w:szCs w:val="21"/>
          <w:lang w:val="es-MX" w:eastAsia="en-US"/>
        </w:rPr>
        <w:t xml:space="preserve"> en su artículo 194, establece el catálogo de supuestos por los que el robo se considera calificado, a saber: </w:t>
      </w:r>
    </w:p>
    <w:p w14:paraId="6EC0E1F1" w14:textId="77777777" w:rsidR="00E3434F" w:rsidRPr="0084441A" w:rsidRDefault="00E3434F" w:rsidP="00E3434F">
      <w:pPr>
        <w:autoSpaceDE w:val="0"/>
        <w:autoSpaceDN w:val="0"/>
        <w:adjustRightInd w:val="0"/>
        <w:ind w:left="708"/>
        <w:jc w:val="both"/>
        <w:rPr>
          <w:rFonts w:ascii="Abadi" w:eastAsia="Calibri" w:hAnsi="Abadi" w:cs="Calibri"/>
          <w:color w:val="000000"/>
          <w:sz w:val="21"/>
          <w:szCs w:val="21"/>
          <w:lang w:val="es-MX" w:eastAsia="en-US"/>
        </w:rPr>
      </w:pPr>
    </w:p>
    <w:p w14:paraId="78A8BAAE" w14:textId="77777777" w:rsidR="00E3434F" w:rsidRPr="0084441A" w:rsidRDefault="00E3434F" w:rsidP="00E3434F">
      <w:pPr>
        <w:autoSpaceDE w:val="0"/>
        <w:autoSpaceDN w:val="0"/>
        <w:adjustRightInd w:val="0"/>
        <w:spacing w:after="68"/>
        <w:ind w:left="708"/>
        <w:jc w:val="both"/>
        <w:rPr>
          <w:rFonts w:ascii="Abadi" w:eastAsia="Calibri" w:hAnsi="Abadi" w:cs="Century Gothic"/>
          <w:color w:val="000000"/>
          <w:sz w:val="21"/>
          <w:szCs w:val="21"/>
          <w:lang w:val="es-MX" w:eastAsia="en-US"/>
        </w:rPr>
      </w:pPr>
      <w:r w:rsidRPr="0084441A">
        <w:rPr>
          <w:rFonts w:ascii="Abadi" w:eastAsia="Calibri" w:hAnsi="Abadi" w:cs="Century Gothic"/>
          <w:b/>
          <w:bCs/>
          <w:color w:val="000000"/>
          <w:sz w:val="21"/>
          <w:szCs w:val="21"/>
          <w:lang w:val="es-MX" w:eastAsia="en-US"/>
        </w:rPr>
        <w:t xml:space="preserve">I. </w:t>
      </w:r>
      <w:r w:rsidRPr="0084441A">
        <w:rPr>
          <w:rFonts w:ascii="Abadi" w:eastAsia="Calibri" w:hAnsi="Abadi" w:cs="Century Gothic"/>
          <w:color w:val="000000"/>
          <w:sz w:val="21"/>
          <w:szCs w:val="21"/>
          <w:lang w:val="es-MX" w:eastAsia="en-US"/>
        </w:rPr>
        <w:t>Se ejecute con violencia en las personas.</w:t>
      </w:r>
      <w:r w:rsidRPr="0084441A">
        <w:rPr>
          <w:rFonts w:ascii="Abadi" w:eastAsia="Calibri" w:hAnsi="Abadi" w:cs="Century Gothic"/>
          <w:b/>
          <w:bCs/>
          <w:color w:val="000000"/>
          <w:sz w:val="21"/>
          <w:szCs w:val="21"/>
          <w:lang w:val="es-MX" w:eastAsia="en-US"/>
        </w:rPr>
        <w:t xml:space="preserve"> </w:t>
      </w:r>
    </w:p>
    <w:p w14:paraId="7C0EA735" w14:textId="77777777" w:rsidR="00E3434F" w:rsidRPr="0084441A" w:rsidRDefault="00E3434F" w:rsidP="00E3434F">
      <w:pPr>
        <w:autoSpaceDE w:val="0"/>
        <w:autoSpaceDN w:val="0"/>
        <w:adjustRightInd w:val="0"/>
        <w:spacing w:after="68"/>
        <w:ind w:left="708"/>
        <w:jc w:val="both"/>
        <w:rPr>
          <w:rFonts w:ascii="Abadi" w:eastAsia="Calibri" w:hAnsi="Abadi" w:cs="Calibri"/>
          <w:color w:val="000000"/>
          <w:sz w:val="21"/>
          <w:szCs w:val="21"/>
          <w:lang w:val="es-MX" w:eastAsia="en-US"/>
        </w:rPr>
      </w:pPr>
      <w:r w:rsidRPr="0084441A">
        <w:rPr>
          <w:rFonts w:ascii="Abadi" w:eastAsia="Calibri" w:hAnsi="Abadi" w:cs="Century Gothic"/>
          <w:b/>
          <w:bCs/>
          <w:color w:val="000000"/>
          <w:sz w:val="21"/>
          <w:szCs w:val="21"/>
          <w:lang w:val="es-MX" w:eastAsia="en-US"/>
        </w:rPr>
        <w:t xml:space="preserve">II. </w:t>
      </w:r>
      <w:r w:rsidRPr="0084441A">
        <w:rPr>
          <w:rFonts w:ascii="Abadi" w:eastAsia="Calibri" w:hAnsi="Abadi" w:cs="Century Gothic"/>
          <w:color w:val="000000"/>
          <w:sz w:val="21"/>
          <w:szCs w:val="21"/>
          <w:lang w:val="es-MX" w:eastAsia="en-US"/>
        </w:rPr>
        <w:t xml:space="preserve">Se cometa en camino público, en lugar desprotegido o solitario. </w:t>
      </w:r>
    </w:p>
    <w:p w14:paraId="5931A226" w14:textId="77777777" w:rsidR="00E3434F" w:rsidRPr="0084441A" w:rsidRDefault="00E3434F" w:rsidP="00E3434F">
      <w:pPr>
        <w:autoSpaceDE w:val="0"/>
        <w:autoSpaceDN w:val="0"/>
        <w:adjustRightInd w:val="0"/>
        <w:spacing w:after="68"/>
        <w:ind w:left="708"/>
        <w:jc w:val="both"/>
        <w:rPr>
          <w:rFonts w:ascii="Abadi" w:eastAsia="Calibri" w:hAnsi="Abadi" w:cs="Calibri"/>
          <w:color w:val="000000"/>
          <w:sz w:val="21"/>
          <w:szCs w:val="21"/>
          <w:lang w:val="es-MX" w:eastAsia="en-US"/>
        </w:rPr>
      </w:pPr>
      <w:r w:rsidRPr="0084441A">
        <w:rPr>
          <w:rFonts w:ascii="Abadi" w:eastAsia="Calibri" w:hAnsi="Abadi" w:cs="Century Gothic"/>
          <w:b/>
          <w:bCs/>
          <w:color w:val="000000"/>
          <w:sz w:val="21"/>
          <w:szCs w:val="21"/>
          <w:lang w:val="es-MX" w:eastAsia="en-US"/>
        </w:rPr>
        <w:t xml:space="preserve">III. </w:t>
      </w:r>
      <w:r w:rsidRPr="0084441A">
        <w:rPr>
          <w:rFonts w:ascii="Abadi" w:eastAsia="Calibri" w:hAnsi="Abadi" w:cs="Century Gothic"/>
          <w:color w:val="000000"/>
          <w:sz w:val="21"/>
          <w:szCs w:val="21"/>
          <w:lang w:val="es-MX" w:eastAsia="en-US"/>
        </w:rPr>
        <w:t xml:space="preserve">Se cometa quebrantando la confianza o seguridad derivada de alguna relación de servicio, trabajo u hospitalidad. </w:t>
      </w:r>
    </w:p>
    <w:p w14:paraId="60267C6C" w14:textId="77777777" w:rsidR="00E3434F" w:rsidRPr="0084441A" w:rsidRDefault="00E3434F" w:rsidP="00E3434F">
      <w:pPr>
        <w:autoSpaceDE w:val="0"/>
        <w:autoSpaceDN w:val="0"/>
        <w:adjustRightInd w:val="0"/>
        <w:spacing w:after="68"/>
        <w:ind w:left="708"/>
        <w:jc w:val="both"/>
        <w:rPr>
          <w:rFonts w:ascii="Abadi" w:eastAsia="Calibri" w:hAnsi="Abadi" w:cs="Calibri"/>
          <w:color w:val="000000"/>
          <w:sz w:val="21"/>
          <w:szCs w:val="21"/>
          <w:lang w:val="es-MX" w:eastAsia="en-US"/>
        </w:rPr>
      </w:pPr>
      <w:r w:rsidRPr="0084441A">
        <w:rPr>
          <w:rFonts w:ascii="Abadi" w:eastAsia="Calibri" w:hAnsi="Abadi" w:cs="Century Gothic"/>
          <w:b/>
          <w:bCs/>
          <w:color w:val="000000"/>
          <w:sz w:val="21"/>
          <w:szCs w:val="21"/>
          <w:lang w:val="es-MX" w:eastAsia="en-US"/>
        </w:rPr>
        <w:t xml:space="preserve">IV. </w:t>
      </w:r>
      <w:r w:rsidRPr="0084441A">
        <w:rPr>
          <w:rFonts w:ascii="Abadi" w:eastAsia="Calibri" w:hAnsi="Abadi" w:cs="Century Gothic"/>
          <w:color w:val="000000"/>
          <w:sz w:val="21"/>
          <w:szCs w:val="21"/>
          <w:lang w:val="es-MX" w:eastAsia="en-US"/>
        </w:rPr>
        <w:t xml:space="preserve">Se cometa en morada ajena o en lugar cerrado. </w:t>
      </w:r>
    </w:p>
    <w:p w14:paraId="3F80154C" w14:textId="77777777" w:rsidR="00E3434F" w:rsidRPr="0084441A" w:rsidRDefault="00E3434F" w:rsidP="00E3434F">
      <w:pPr>
        <w:autoSpaceDE w:val="0"/>
        <w:autoSpaceDN w:val="0"/>
        <w:adjustRightInd w:val="0"/>
        <w:spacing w:after="68"/>
        <w:ind w:left="708"/>
        <w:jc w:val="both"/>
        <w:rPr>
          <w:rFonts w:ascii="Abadi" w:eastAsia="Calibri" w:hAnsi="Abadi" w:cs="Calibri"/>
          <w:color w:val="000000"/>
          <w:sz w:val="21"/>
          <w:szCs w:val="21"/>
          <w:lang w:val="es-MX" w:eastAsia="en-US"/>
        </w:rPr>
      </w:pPr>
      <w:r w:rsidRPr="0084441A">
        <w:rPr>
          <w:rFonts w:ascii="Abadi" w:eastAsia="Calibri" w:hAnsi="Abadi" w:cs="Century Gothic"/>
          <w:b/>
          <w:bCs/>
          <w:color w:val="000000"/>
          <w:sz w:val="21"/>
          <w:szCs w:val="21"/>
          <w:lang w:val="es-MX" w:eastAsia="en-US"/>
        </w:rPr>
        <w:t xml:space="preserve">V. </w:t>
      </w:r>
      <w:r w:rsidRPr="0084441A">
        <w:rPr>
          <w:rFonts w:ascii="Abadi" w:eastAsia="Calibri" w:hAnsi="Abadi" w:cs="Century Gothic"/>
          <w:color w:val="000000"/>
          <w:sz w:val="21"/>
          <w:szCs w:val="21"/>
          <w:lang w:val="es-MX" w:eastAsia="en-US"/>
        </w:rPr>
        <w:t xml:space="preserve">Se realice aprovechando la falta de vigilancia, el desorden o confusión derivados de una desgracia privada, siniestro, catástrofe o desorden público. </w:t>
      </w:r>
    </w:p>
    <w:p w14:paraId="2FBDEB30" w14:textId="77777777" w:rsidR="00E3434F" w:rsidRPr="0084441A" w:rsidRDefault="00E3434F" w:rsidP="00E3434F">
      <w:pPr>
        <w:autoSpaceDE w:val="0"/>
        <w:autoSpaceDN w:val="0"/>
        <w:adjustRightInd w:val="0"/>
        <w:spacing w:after="68"/>
        <w:ind w:left="708"/>
        <w:jc w:val="both"/>
        <w:rPr>
          <w:rFonts w:ascii="Abadi" w:eastAsia="Calibri" w:hAnsi="Abadi" w:cs="Calibri"/>
          <w:color w:val="000000"/>
          <w:sz w:val="21"/>
          <w:szCs w:val="21"/>
          <w:lang w:val="es-MX" w:eastAsia="en-US"/>
        </w:rPr>
      </w:pPr>
      <w:r w:rsidRPr="0084441A">
        <w:rPr>
          <w:rFonts w:ascii="Abadi" w:eastAsia="Calibri" w:hAnsi="Abadi" w:cs="Century Gothic"/>
          <w:b/>
          <w:bCs/>
          <w:color w:val="000000"/>
          <w:sz w:val="21"/>
          <w:szCs w:val="21"/>
          <w:lang w:val="es-MX" w:eastAsia="en-US"/>
        </w:rPr>
        <w:t xml:space="preserve">VI. </w:t>
      </w:r>
      <w:r w:rsidRPr="0084441A">
        <w:rPr>
          <w:rFonts w:ascii="Abadi" w:eastAsia="Calibri" w:hAnsi="Abadi" w:cs="Century Gothic"/>
          <w:color w:val="000000"/>
          <w:sz w:val="21"/>
          <w:szCs w:val="21"/>
          <w:lang w:val="es-MX" w:eastAsia="en-US"/>
        </w:rPr>
        <w:t xml:space="preserve">Se ejecute con participación de dos o más personas. </w:t>
      </w:r>
    </w:p>
    <w:p w14:paraId="23F45D77" w14:textId="77777777" w:rsidR="00E3434F" w:rsidRPr="0084441A" w:rsidRDefault="00E3434F" w:rsidP="00E3434F">
      <w:pPr>
        <w:autoSpaceDE w:val="0"/>
        <w:autoSpaceDN w:val="0"/>
        <w:adjustRightInd w:val="0"/>
        <w:spacing w:after="68"/>
        <w:ind w:left="708"/>
        <w:jc w:val="both"/>
        <w:rPr>
          <w:rFonts w:ascii="Abadi" w:eastAsia="Calibri" w:hAnsi="Abadi" w:cs="Calibri"/>
          <w:color w:val="000000"/>
          <w:sz w:val="21"/>
          <w:szCs w:val="21"/>
          <w:lang w:val="es-MX" w:eastAsia="en-US"/>
        </w:rPr>
      </w:pPr>
      <w:r w:rsidRPr="0084441A">
        <w:rPr>
          <w:rFonts w:ascii="Abadi" w:eastAsia="Calibri" w:hAnsi="Abadi" w:cs="Century Gothic"/>
          <w:b/>
          <w:bCs/>
          <w:color w:val="000000"/>
          <w:sz w:val="21"/>
          <w:szCs w:val="21"/>
          <w:lang w:val="es-MX" w:eastAsia="en-US"/>
        </w:rPr>
        <w:t xml:space="preserve">VII. </w:t>
      </w:r>
      <w:r w:rsidRPr="0084441A">
        <w:rPr>
          <w:rFonts w:ascii="Abadi" w:eastAsia="Calibri" w:hAnsi="Abadi" w:cs="Century Gothic"/>
          <w:color w:val="000000"/>
          <w:sz w:val="21"/>
          <w:szCs w:val="21"/>
          <w:lang w:val="es-MX" w:eastAsia="en-US"/>
        </w:rPr>
        <w:t xml:space="preserve">El objeto robado sea un expediente, documento o valores que obren en dependencia pública. </w:t>
      </w:r>
    </w:p>
    <w:p w14:paraId="70B26D94" w14:textId="77777777" w:rsidR="00E3434F" w:rsidRPr="0084441A" w:rsidRDefault="00E3434F" w:rsidP="00E3434F">
      <w:pPr>
        <w:autoSpaceDE w:val="0"/>
        <w:autoSpaceDN w:val="0"/>
        <w:adjustRightInd w:val="0"/>
        <w:spacing w:after="68"/>
        <w:ind w:left="708"/>
        <w:jc w:val="both"/>
        <w:rPr>
          <w:rFonts w:ascii="Abadi" w:eastAsia="Calibri" w:hAnsi="Abadi" w:cs="Calibri"/>
          <w:color w:val="000000"/>
          <w:sz w:val="21"/>
          <w:szCs w:val="21"/>
          <w:lang w:val="es-MX" w:eastAsia="en-US"/>
        </w:rPr>
      </w:pPr>
      <w:r w:rsidRPr="0084441A">
        <w:rPr>
          <w:rFonts w:ascii="Abadi" w:eastAsia="Calibri" w:hAnsi="Abadi" w:cs="Century Gothic"/>
          <w:b/>
          <w:bCs/>
          <w:color w:val="000000"/>
          <w:sz w:val="21"/>
          <w:szCs w:val="21"/>
          <w:lang w:val="es-MX" w:eastAsia="en-US"/>
        </w:rPr>
        <w:t xml:space="preserve">VIII. </w:t>
      </w:r>
      <w:r w:rsidRPr="0084441A">
        <w:rPr>
          <w:rFonts w:ascii="Abadi" w:eastAsia="Calibri" w:hAnsi="Abadi" w:cs="Century Gothic"/>
          <w:color w:val="000000"/>
          <w:sz w:val="21"/>
          <w:szCs w:val="21"/>
          <w:lang w:val="es-MX" w:eastAsia="en-US"/>
        </w:rPr>
        <w:t xml:space="preserve">El objeto robado sea un vehículo de motor. </w:t>
      </w:r>
    </w:p>
    <w:p w14:paraId="0822AE52" w14:textId="77777777" w:rsidR="00E3434F" w:rsidRPr="0084441A" w:rsidRDefault="00E3434F" w:rsidP="00E3434F">
      <w:pPr>
        <w:autoSpaceDE w:val="0"/>
        <w:autoSpaceDN w:val="0"/>
        <w:adjustRightInd w:val="0"/>
        <w:spacing w:after="68"/>
        <w:ind w:left="708"/>
        <w:jc w:val="both"/>
        <w:rPr>
          <w:rFonts w:ascii="Abadi" w:eastAsia="Calibri" w:hAnsi="Abadi" w:cs="Calibri"/>
          <w:color w:val="000000"/>
          <w:sz w:val="21"/>
          <w:szCs w:val="21"/>
          <w:lang w:val="es-MX" w:eastAsia="en-US"/>
        </w:rPr>
      </w:pPr>
      <w:r w:rsidRPr="0084441A">
        <w:rPr>
          <w:rFonts w:ascii="Abadi" w:eastAsia="Calibri" w:hAnsi="Abadi" w:cs="Century Gothic"/>
          <w:b/>
          <w:bCs/>
          <w:color w:val="000000"/>
          <w:sz w:val="21"/>
          <w:szCs w:val="21"/>
          <w:lang w:val="es-MX" w:eastAsia="en-US"/>
        </w:rPr>
        <w:t xml:space="preserve">IX. </w:t>
      </w:r>
      <w:r w:rsidRPr="0084441A">
        <w:rPr>
          <w:rFonts w:ascii="Abadi" w:eastAsia="Calibri" w:hAnsi="Abadi" w:cs="Century Gothic"/>
          <w:color w:val="000000"/>
          <w:sz w:val="21"/>
          <w:szCs w:val="21"/>
          <w:lang w:val="es-MX" w:eastAsia="en-US"/>
        </w:rPr>
        <w:t xml:space="preserve">El objeto robado sea una máquina agrícola o una bomba de agua, su arrancador, transformador, cables o cualquier otro equipo o aditamento destinado al riego de cultivos agrícolas. </w:t>
      </w:r>
    </w:p>
    <w:p w14:paraId="35863477" w14:textId="77777777" w:rsidR="00E3434F" w:rsidRPr="0084441A" w:rsidRDefault="00E3434F" w:rsidP="00E3434F">
      <w:pPr>
        <w:autoSpaceDE w:val="0"/>
        <w:autoSpaceDN w:val="0"/>
        <w:adjustRightInd w:val="0"/>
        <w:ind w:left="708"/>
        <w:jc w:val="both"/>
        <w:rPr>
          <w:rFonts w:ascii="Abadi" w:eastAsia="Calibri" w:hAnsi="Abadi" w:cs="Calibri"/>
          <w:color w:val="000000"/>
          <w:sz w:val="21"/>
          <w:szCs w:val="21"/>
          <w:lang w:val="es-MX" w:eastAsia="en-US"/>
        </w:rPr>
      </w:pPr>
      <w:r w:rsidRPr="0084441A">
        <w:rPr>
          <w:rFonts w:ascii="Abadi" w:eastAsia="Calibri" w:hAnsi="Abadi" w:cs="Century Gothic"/>
          <w:b/>
          <w:bCs/>
          <w:color w:val="000000"/>
          <w:sz w:val="21"/>
          <w:szCs w:val="21"/>
          <w:lang w:val="es-MX" w:eastAsia="en-US"/>
        </w:rPr>
        <w:t xml:space="preserve">X. </w:t>
      </w:r>
      <w:r w:rsidRPr="0084441A">
        <w:rPr>
          <w:rFonts w:ascii="Abadi" w:eastAsia="Calibri" w:hAnsi="Abadi" w:cs="Century Gothic"/>
          <w:color w:val="000000"/>
          <w:sz w:val="21"/>
          <w:szCs w:val="21"/>
          <w:lang w:val="es-MX" w:eastAsia="en-US"/>
        </w:rPr>
        <w:t xml:space="preserve">El objeto del robo sean documentos que integren prestaciones a favor del trabajador, utilizados para intercambiar bienes o servicios. </w:t>
      </w:r>
    </w:p>
    <w:p w14:paraId="7897874D" w14:textId="77777777" w:rsidR="00E3434F" w:rsidRPr="0084441A" w:rsidRDefault="00E3434F" w:rsidP="00E3434F">
      <w:pPr>
        <w:autoSpaceDE w:val="0"/>
        <w:autoSpaceDN w:val="0"/>
        <w:adjustRightInd w:val="0"/>
        <w:ind w:left="708"/>
        <w:jc w:val="both"/>
        <w:rPr>
          <w:rFonts w:ascii="Abadi" w:eastAsia="Calibri" w:hAnsi="Abadi" w:cs="Century Gothic"/>
          <w:color w:val="000000"/>
          <w:sz w:val="21"/>
          <w:szCs w:val="21"/>
          <w:lang w:val="es-MX" w:eastAsia="en-US"/>
        </w:rPr>
      </w:pPr>
      <w:r w:rsidRPr="0084441A">
        <w:rPr>
          <w:rFonts w:ascii="Abadi" w:eastAsia="Calibri" w:hAnsi="Abadi" w:cs="Century Gothic"/>
          <w:b/>
          <w:bCs/>
          <w:color w:val="000000"/>
          <w:sz w:val="21"/>
          <w:szCs w:val="21"/>
          <w:lang w:val="es-MX" w:eastAsia="en-US"/>
        </w:rPr>
        <w:t xml:space="preserve">XI. </w:t>
      </w:r>
      <w:r w:rsidRPr="0084441A">
        <w:rPr>
          <w:rFonts w:ascii="Abadi" w:eastAsia="Calibri" w:hAnsi="Abadi" w:cs="Century Gothic"/>
          <w:color w:val="000000"/>
          <w:sz w:val="21"/>
          <w:szCs w:val="21"/>
          <w:lang w:val="es-MX" w:eastAsia="en-US"/>
        </w:rPr>
        <w:t xml:space="preserve">Se cometa mediante la utilización de uno o más vehículos motorizados o no motorizados. </w:t>
      </w:r>
    </w:p>
    <w:p w14:paraId="682E9F83" w14:textId="77777777" w:rsidR="00E3434F" w:rsidRPr="0084441A" w:rsidRDefault="00E3434F" w:rsidP="00E3434F">
      <w:pPr>
        <w:autoSpaceDE w:val="0"/>
        <w:autoSpaceDN w:val="0"/>
        <w:adjustRightInd w:val="0"/>
        <w:ind w:left="708"/>
        <w:jc w:val="both"/>
        <w:rPr>
          <w:rFonts w:ascii="Abadi" w:eastAsia="Calibri" w:hAnsi="Abadi" w:cs="Century Gothic"/>
          <w:color w:val="000000"/>
          <w:sz w:val="21"/>
          <w:szCs w:val="21"/>
          <w:lang w:val="es-MX" w:eastAsia="en-US"/>
        </w:rPr>
      </w:pPr>
    </w:p>
    <w:p w14:paraId="5FAA5F3F" w14:textId="77777777" w:rsidR="00E3434F" w:rsidRPr="0084441A" w:rsidRDefault="00E3434F" w:rsidP="00E3434F">
      <w:pPr>
        <w:autoSpaceDE w:val="0"/>
        <w:autoSpaceDN w:val="0"/>
        <w:adjustRightInd w:val="0"/>
        <w:ind w:left="708"/>
        <w:jc w:val="both"/>
        <w:rPr>
          <w:rFonts w:ascii="Abadi" w:eastAsia="Calibri" w:hAnsi="Abadi" w:cs="Calibri"/>
          <w:color w:val="000000"/>
          <w:sz w:val="21"/>
          <w:szCs w:val="21"/>
          <w:lang w:val="es-MX" w:eastAsia="en-US"/>
        </w:rPr>
      </w:pPr>
      <w:r w:rsidRPr="0084441A">
        <w:rPr>
          <w:rFonts w:ascii="Abadi" w:eastAsia="Calibri" w:hAnsi="Abadi" w:cs="Century Gothic"/>
          <w:color w:val="000000"/>
          <w:sz w:val="21"/>
          <w:szCs w:val="21"/>
          <w:lang w:val="es-MX" w:eastAsia="en-US"/>
        </w:rPr>
        <w:t xml:space="preserve">Asimismo, dicho precepto establece que </w:t>
      </w:r>
      <w:r w:rsidRPr="0084441A">
        <w:rPr>
          <w:rFonts w:ascii="Abadi" w:eastAsia="Calibri" w:hAnsi="Abadi" w:cs="Calibri"/>
          <w:color w:val="000000"/>
          <w:sz w:val="21"/>
          <w:szCs w:val="21"/>
          <w:lang w:val="es-MX" w:eastAsia="en-US"/>
        </w:rPr>
        <w:t xml:space="preserve">«en los casos de robo calificado las sanciones correspondientes al robo simple se aumentarán con prisión hasta de cinco años». </w:t>
      </w:r>
    </w:p>
    <w:p w14:paraId="2614DAFD" w14:textId="77777777" w:rsidR="00E3434F" w:rsidRPr="0084441A" w:rsidRDefault="00E3434F" w:rsidP="00E3434F">
      <w:pPr>
        <w:autoSpaceDE w:val="0"/>
        <w:autoSpaceDN w:val="0"/>
        <w:adjustRightInd w:val="0"/>
        <w:ind w:left="708"/>
        <w:jc w:val="both"/>
        <w:rPr>
          <w:rFonts w:ascii="Abadi" w:eastAsia="Calibri" w:hAnsi="Abadi" w:cs="Century Gothic"/>
          <w:color w:val="000000"/>
          <w:sz w:val="21"/>
          <w:szCs w:val="21"/>
          <w:lang w:val="es-MX" w:eastAsia="en-US"/>
        </w:rPr>
      </w:pPr>
    </w:p>
    <w:p w14:paraId="0921F35B" w14:textId="77777777" w:rsidR="00E3434F" w:rsidRPr="0084441A" w:rsidRDefault="00E3434F" w:rsidP="00E3434F">
      <w:pPr>
        <w:autoSpaceDE w:val="0"/>
        <w:autoSpaceDN w:val="0"/>
        <w:adjustRightInd w:val="0"/>
        <w:ind w:left="708"/>
        <w:jc w:val="both"/>
        <w:rPr>
          <w:rFonts w:ascii="Abadi" w:eastAsia="Calibri" w:hAnsi="Abadi" w:cs="Century Gothic"/>
          <w:b/>
          <w:bCs/>
          <w:color w:val="000000"/>
          <w:sz w:val="21"/>
          <w:szCs w:val="21"/>
          <w:lang w:val="es-MX" w:eastAsia="en-US"/>
        </w:rPr>
      </w:pPr>
      <w:r w:rsidRPr="0084441A">
        <w:rPr>
          <w:rFonts w:ascii="Abadi" w:eastAsia="Calibri" w:hAnsi="Abadi" w:cs="Century Gothic"/>
          <w:b/>
          <w:bCs/>
          <w:color w:val="000000"/>
          <w:sz w:val="21"/>
          <w:szCs w:val="21"/>
          <w:lang w:val="es-MX" w:eastAsia="en-US"/>
        </w:rPr>
        <w:t xml:space="preserve">III.3 Concepto de Lugar Cerrado </w:t>
      </w:r>
    </w:p>
    <w:p w14:paraId="76819C8F" w14:textId="77777777" w:rsidR="00E3434F" w:rsidRPr="0084441A" w:rsidRDefault="00E3434F" w:rsidP="00E3434F">
      <w:pPr>
        <w:autoSpaceDE w:val="0"/>
        <w:autoSpaceDN w:val="0"/>
        <w:adjustRightInd w:val="0"/>
        <w:ind w:left="708"/>
        <w:jc w:val="both"/>
        <w:rPr>
          <w:rFonts w:ascii="Abadi" w:eastAsia="Calibri" w:hAnsi="Abadi" w:cs="Century Gothic"/>
          <w:color w:val="000000"/>
          <w:sz w:val="21"/>
          <w:szCs w:val="21"/>
          <w:lang w:val="es-MX" w:eastAsia="en-US"/>
        </w:rPr>
      </w:pPr>
    </w:p>
    <w:p w14:paraId="6560041F" w14:textId="77777777" w:rsidR="00E3434F" w:rsidRPr="0084441A" w:rsidRDefault="00E3434F" w:rsidP="00E3434F">
      <w:pPr>
        <w:autoSpaceDE w:val="0"/>
        <w:autoSpaceDN w:val="0"/>
        <w:adjustRightInd w:val="0"/>
        <w:ind w:left="708"/>
        <w:jc w:val="both"/>
        <w:rPr>
          <w:rFonts w:ascii="Abadi" w:eastAsia="Calibri" w:hAnsi="Abadi" w:cs="Century Gothic"/>
          <w:color w:val="000000"/>
          <w:sz w:val="21"/>
          <w:szCs w:val="21"/>
          <w:lang w:val="es-MX" w:eastAsia="en-US"/>
        </w:rPr>
      </w:pPr>
      <w:r w:rsidRPr="0084441A">
        <w:rPr>
          <w:rFonts w:ascii="Abadi" w:eastAsia="Calibri" w:hAnsi="Abadi" w:cs="Century Gothic"/>
          <w:color w:val="000000"/>
          <w:sz w:val="21"/>
          <w:szCs w:val="21"/>
          <w:lang w:val="es-MX" w:eastAsia="en-US"/>
        </w:rPr>
        <w:t>De la lectura de catálogo anterior, se advierte que la fracción IV considera como calificativa cometer robo en «lugar cerrado</w:t>
      </w:r>
      <w:r w:rsidRPr="0084441A">
        <w:rPr>
          <w:rFonts w:ascii="Abadi" w:eastAsia="Calibri" w:hAnsi="Abadi" w:cs="Calibri"/>
          <w:color w:val="000000"/>
          <w:sz w:val="21"/>
          <w:szCs w:val="21"/>
          <w:lang w:val="es-MX" w:eastAsia="en-US"/>
        </w:rPr>
        <w:t xml:space="preserve">», </w:t>
      </w:r>
      <w:r w:rsidRPr="0084441A">
        <w:rPr>
          <w:rFonts w:ascii="Abadi" w:eastAsia="Calibri" w:hAnsi="Abadi" w:cs="Century Gothic"/>
          <w:color w:val="000000"/>
          <w:sz w:val="21"/>
          <w:szCs w:val="21"/>
          <w:lang w:val="es-MX" w:eastAsia="en-US"/>
        </w:rPr>
        <w:t xml:space="preserve">concepto que la Suprema Corte de Justicia de la Nación, ha definido de la siguiente manera: </w:t>
      </w:r>
    </w:p>
    <w:p w14:paraId="2F8B01F0" w14:textId="77777777" w:rsidR="00E3434F" w:rsidRPr="0084441A" w:rsidRDefault="00E3434F" w:rsidP="00E3434F">
      <w:pPr>
        <w:autoSpaceDE w:val="0"/>
        <w:autoSpaceDN w:val="0"/>
        <w:adjustRightInd w:val="0"/>
        <w:ind w:left="708"/>
        <w:jc w:val="both"/>
        <w:rPr>
          <w:rFonts w:ascii="Abadi" w:eastAsia="Calibri" w:hAnsi="Abadi" w:cs="Century Gothic"/>
          <w:color w:val="000000"/>
          <w:sz w:val="21"/>
          <w:szCs w:val="21"/>
          <w:lang w:val="es-MX" w:eastAsia="en-US"/>
        </w:rPr>
      </w:pPr>
    </w:p>
    <w:p w14:paraId="02D62484" w14:textId="77777777" w:rsidR="00E3434F" w:rsidRPr="0084441A" w:rsidRDefault="00E3434F" w:rsidP="00E3434F">
      <w:pPr>
        <w:autoSpaceDE w:val="0"/>
        <w:autoSpaceDN w:val="0"/>
        <w:adjustRightInd w:val="0"/>
        <w:ind w:left="1416"/>
        <w:jc w:val="both"/>
        <w:rPr>
          <w:rFonts w:ascii="Abadi" w:eastAsia="Calibri" w:hAnsi="Abadi" w:cs="Calibri"/>
          <w:b/>
          <w:bCs/>
          <w:color w:val="000000"/>
          <w:sz w:val="21"/>
          <w:szCs w:val="21"/>
          <w:lang w:val="es-MX" w:eastAsia="en-US"/>
        </w:rPr>
      </w:pPr>
      <w:r w:rsidRPr="0084441A">
        <w:rPr>
          <w:rFonts w:ascii="Abadi" w:eastAsia="Calibri" w:hAnsi="Abadi" w:cs="Calibri"/>
          <w:b/>
          <w:bCs/>
          <w:color w:val="000000"/>
          <w:sz w:val="21"/>
          <w:szCs w:val="21"/>
          <w:lang w:val="es-MX" w:eastAsia="en-US"/>
        </w:rPr>
        <w:t xml:space="preserve">«ROBO EN LUGAR CERRADO. </w:t>
      </w:r>
    </w:p>
    <w:p w14:paraId="6C4384A3" w14:textId="77777777" w:rsidR="00E3434F" w:rsidRPr="0084441A" w:rsidRDefault="00E3434F" w:rsidP="00E3434F">
      <w:pPr>
        <w:autoSpaceDE w:val="0"/>
        <w:autoSpaceDN w:val="0"/>
        <w:adjustRightInd w:val="0"/>
        <w:ind w:left="1416"/>
        <w:jc w:val="both"/>
        <w:rPr>
          <w:rFonts w:ascii="Abadi" w:eastAsia="Calibri" w:hAnsi="Abadi" w:cs="Calibri"/>
          <w:color w:val="000000"/>
          <w:sz w:val="21"/>
          <w:szCs w:val="21"/>
          <w:lang w:val="es-MX" w:eastAsia="en-US"/>
        </w:rPr>
      </w:pPr>
    </w:p>
    <w:p w14:paraId="75445341" w14:textId="77777777" w:rsidR="00E3434F" w:rsidRPr="0084441A" w:rsidRDefault="00E3434F" w:rsidP="00E3434F">
      <w:pPr>
        <w:autoSpaceDE w:val="0"/>
        <w:autoSpaceDN w:val="0"/>
        <w:adjustRightInd w:val="0"/>
        <w:ind w:left="1416"/>
        <w:jc w:val="both"/>
        <w:rPr>
          <w:rFonts w:ascii="Abadi" w:eastAsia="Calibri" w:hAnsi="Abadi" w:cs="Calibri"/>
          <w:color w:val="000000"/>
          <w:sz w:val="21"/>
          <w:szCs w:val="21"/>
          <w:lang w:val="es-MX" w:eastAsia="en-US"/>
        </w:rPr>
      </w:pPr>
      <w:r w:rsidRPr="0084441A">
        <w:rPr>
          <w:rFonts w:ascii="Abadi" w:eastAsia="Calibri" w:hAnsi="Abadi" w:cs="Calibri"/>
          <w:color w:val="000000"/>
          <w:sz w:val="21"/>
          <w:szCs w:val="21"/>
          <w:lang w:val="es-MX" w:eastAsia="en-US"/>
        </w:rPr>
        <w:t>Por lugar cerrado, para los efectos del robo debe entenderse cualquier recinto materialmente aislado del espacio circundante al que el activo no tenga libre acceso. Si a virtud de circunstancia fortuita, se encuentran abiertas las puertas o rotos lo muros, no por eso el apoderamiento de objetos muebles que se ejecute dentro del mismo deja de ser legalmente cometido en lugar cerrado. El hecho, además, de que el delincuente no haya logrado alejarse llevando los objetos en nada altera la situación, si materialmente los tuvo en su poder (apoderamiento), dentro del recinto que tenga las características citadas.»</w:t>
      </w:r>
      <w:r w:rsidRPr="0084441A">
        <w:rPr>
          <w:rFonts w:ascii="Abadi" w:eastAsia="Calibri" w:hAnsi="Abadi" w:cs="Calibri"/>
          <w:color w:val="000000"/>
          <w:sz w:val="21"/>
          <w:szCs w:val="21"/>
          <w:vertAlign w:val="superscript"/>
          <w:lang w:val="es-MX" w:eastAsia="en-US"/>
        </w:rPr>
        <w:footnoteReference w:id="160"/>
      </w:r>
      <w:r w:rsidRPr="0084441A">
        <w:rPr>
          <w:rFonts w:ascii="Abadi" w:eastAsia="Calibri" w:hAnsi="Abadi" w:cs="Calibri"/>
          <w:color w:val="000000"/>
          <w:sz w:val="21"/>
          <w:szCs w:val="21"/>
          <w:lang w:val="es-MX" w:eastAsia="en-US"/>
        </w:rPr>
        <w:t xml:space="preserve"> </w:t>
      </w:r>
    </w:p>
    <w:p w14:paraId="593AE710" w14:textId="77777777" w:rsidR="00E3434F" w:rsidRPr="0084441A" w:rsidRDefault="00E3434F" w:rsidP="00E3434F">
      <w:pPr>
        <w:autoSpaceDE w:val="0"/>
        <w:autoSpaceDN w:val="0"/>
        <w:adjustRightInd w:val="0"/>
        <w:ind w:left="1416"/>
        <w:jc w:val="both"/>
        <w:rPr>
          <w:rFonts w:ascii="Abadi" w:eastAsia="Calibri" w:hAnsi="Abadi" w:cs="Century Gothic"/>
          <w:color w:val="000000"/>
          <w:sz w:val="21"/>
          <w:szCs w:val="21"/>
          <w:lang w:val="es-MX" w:eastAsia="en-US"/>
        </w:rPr>
      </w:pPr>
    </w:p>
    <w:p w14:paraId="43BF33CB" w14:textId="77777777" w:rsidR="00E3434F" w:rsidRPr="0084441A" w:rsidRDefault="00E3434F" w:rsidP="00E3434F">
      <w:pPr>
        <w:autoSpaceDE w:val="0"/>
        <w:autoSpaceDN w:val="0"/>
        <w:adjustRightInd w:val="0"/>
        <w:ind w:left="708"/>
        <w:jc w:val="both"/>
        <w:rPr>
          <w:rFonts w:ascii="Abadi" w:eastAsia="Calibri" w:hAnsi="Abadi" w:cs="Calibri"/>
          <w:color w:val="000000"/>
          <w:sz w:val="21"/>
          <w:szCs w:val="21"/>
          <w:lang w:val="es-MX" w:eastAsia="en-US"/>
        </w:rPr>
      </w:pPr>
      <w:r w:rsidRPr="0084441A">
        <w:rPr>
          <w:rFonts w:ascii="Abadi" w:eastAsia="Calibri" w:hAnsi="Abadi" w:cs="Century Gothic"/>
          <w:color w:val="000000"/>
          <w:sz w:val="21"/>
          <w:szCs w:val="21"/>
          <w:lang w:val="es-MX" w:eastAsia="en-US"/>
        </w:rPr>
        <w:t xml:space="preserve">Igualmente, la Corte ha señalado que, </w:t>
      </w:r>
      <w:r w:rsidRPr="0084441A">
        <w:rPr>
          <w:rFonts w:ascii="Abadi" w:eastAsia="Calibri" w:hAnsi="Abadi" w:cs="Calibri"/>
          <w:color w:val="000000"/>
          <w:sz w:val="21"/>
          <w:szCs w:val="21"/>
          <w:lang w:val="es-MX" w:eastAsia="en-US"/>
        </w:rPr>
        <w:t>«se entiende cualquier sitio o localidad cuya entrada o salida se encuentran interceptadas, sin necesidad de que esté habitado el lugar por persona alguna y sin que sea óbice la circunstancia de que las puertas presentaran deterioros, a tal punto, que permitiesen el acceso de animales domésticos y aun de personas»</w:t>
      </w:r>
      <w:r w:rsidRPr="0084441A">
        <w:rPr>
          <w:rFonts w:ascii="Abadi" w:eastAsia="Calibri" w:hAnsi="Abadi" w:cs="Calibri"/>
          <w:color w:val="000000"/>
          <w:sz w:val="21"/>
          <w:szCs w:val="21"/>
          <w:vertAlign w:val="superscript"/>
          <w:lang w:val="es-MX" w:eastAsia="en-US"/>
        </w:rPr>
        <w:footnoteReference w:id="161"/>
      </w:r>
      <w:r w:rsidRPr="0084441A">
        <w:rPr>
          <w:rFonts w:ascii="Abadi" w:eastAsia="Calibri" w:hAnsi="Abadi" w:cs="Calibri"/>
          <w:color w:val="000000"/>
          <w:sz w:val="21"/>
          <w:szCs w:val="21"/>
          <w:lang w:val="es-MX" w:eastAsia="en-US"/>
        </w:rPr>
        <w:t xml:space="preserve">. </w:t>
      </w:r>
    </w:p>
    <w:p w14:paraId="1932CA91" w14:textId="77777777" w:rsidR="00E3434F" w:rsidRPr="0084441A" w:rsidRDefault="00E3434F" w:rsidP="00E3434F">
      <w:pPr>
        <w:autoSpaceDE w:val="0"/>
        <w:autoSpaceDN w:val="0"/>
        <w:adjustRightInd w:val="0"/>
        <w:ind w:left="708"/>
        <w:jc w:val="both"/>
        <w:rPr>
          <w:rFonts w:ascii="Abadi" w:eastAsia="Calibri" w:hAnsi="Abadi" w:cs="Century Gothic"/>
          <w:color w:val="000000"/>
          <w:sz w:val="21"/>
          <w:szCs w:val="21"/>
          <w:lang w:val="es-MX" w:eastAsia="en-US"/>
        </w:rPr>
      </w:pPr>
    </w:p>
    <w:p w14:paraId="4C91CBA8" w14:textId="77777777" w:rsidR="00E3434F" w:rsidRPr="0084441A" w:rsidRDefault="00E3434F" w:rsidP="00E3434F">
      <w:pPr>
        <w:autoSpaceDE w:val="0"/>
        <w:autoSpaceDN w:val="0"/>
        <w:adjustRightInd w:val="0"/>
        <w:ind w:left="708"/>
        <w:jc w:val="both"/>
        <w:rPr>
          <w:rFonts w:ascii="Abadi" w:eastAsia="Calibri" w:hAnsi="Abadi" w:cs="Calibri"/>
          <w:color w:val="000000"/>
          <w:sz w:val="21"/>
          <w:szCs w:val="21"/>
          <w:lang w:val="es-MX" w:eastAsia="en-US"/>
        </w:rPr>
      </w:pPr>
      <w:r w:rsidRPr="0084441A">
        <w:rPr>
          <w:rFonts w:ascii="Abadi" w:eastAsia="Calibri" w:hAnsi="Abadi" w:cs="Calibri"/>
          <w:color w:val="000000"/>
          <w:sz w:val="21"/>
          <w:szCs w:val="21"/>
          <w:lang w:val="es-MX" w:eastAsia="en-US"/>
        </w:rPr>
        <w:t>En ese orden de ideas, el robo se califica cuando es cometido en cualquier recinto al que no se tenga libre acceso. Supuesto en el que se encuentran lugares como las escuelas, centros o institutos educativos, materia de la presente iniciativa.</w:t>
      </w:r>
    </w:p>
    <w:p w14:paraId="103EC19A" w14:textId="77777777" w:rsidR="00E3434F" w:rsidRPr="0084441A" w:rsidRDefault="00E3434F" w:rsidP="00E3434F">
      <w:pPr>
        <w:autoSpaceDE w:val="0"/>
        <w:autoSpaceDN w:val="0"/>
        <w:adjustRightInd w:val="0"/>
        <w:ind w:left="708"/>
        <w:jc w:val="both"/>
        <w:rPr>
          <w:rFonts w:ascii="Abadi" w:eastAsia="Calibri" w:hAnsi="Abadi" w:cs="Calibri"/>
          <w:color w:val="000000"/>
          <w:sz w:val="21"/>
          <w:szCs w:val="21"/>
          <w:lang w:val="es-MX" w:eastAsia="en-US"/>
        </w:rPr>
      </w:pPr>
    </w:p>
    <w:p w14:paraId="5295F50E" w14:textId="77777777" w:rsidR="00E3434F" w:rsidRPr="0084441A" w:rsidRDefault="00E3434F" w:rsidP="00E3434F">
      <w:pPr>
        <w:autoSpaceDE w:val="0"/>
        <w:autoSpaceDN w:val="0"/>
        <w:adjustRightInd w:val="0"/>
        <w:ind w:left="708"/>
        <w:jc w:val="both"/>
        <w:rPr>
          <w:rFonts w:ascii="Abadi" w:eastAsia="Calibri" w:hAnsi="Abadi" w:cs="Century Gothic"/>
          <w:color w:val="000000"/>
          <w:sz w:val="21"/>
          <w:szCs w:val="21"/>
          <w:lang w:val="es-MX" w:eastAsia="en-US"/>
        </w:rPr>
      </w:pPr>
      <w:r w:rsidRPr="0084441A">
        <w:rPr>
          <w:rFonts w:ascii="Abadi" w:eastAsia="Calibri" w:hAnsi="Abadi" w:cs="Century Gothic"/>
          <w:color w:val="000000"/>
          <w:sz w:val="21"/>
          <w:szCs w:val="21"/>
          <w:lang w:val="es-MX" w:eastAsia="en-US"/>
        </w:rPr>
        <w:t xml:space="preserve">Por lo anterior, se sugiere ponderar la necesidad de incorporar dentro del catálogo de supuestos de configuración del robo calificado a un recinto que actualmente encuadra en uno de los supuestos vigentes. </w:t>
      </w:r>
    </w:p>
    <w:p w14:paraId="5DE6F832" w14:textId="77777777" w:rsidR="00E3434F" w:rsidRPr="0084441A" w:rsidRDefault="00E3434F" w:rsidP="00E3434F">
      <w:pPr>
        <w:autoSpaceDE w:val="0"/>
        <w:autoSpaceDN w:val="0"/>
        <w:adjustRightInd w:val="0"/>
        <w:ind w:left="708"/>
        <w:jc w:val="both"/>
        <w:rPr>
          <w:rFonts w:ascii="Abadi" w:eastAsia="Calibri" w:hAnsi="Abadi" w:cs="Century Gothic"/>
          <w:color w:val="000000"/>
          <w:sz w:val="21"/>
          <w:szCs w:val="21"/>
          <w:lang w:val="es-MX" w:eastAsia="en-US"/>
        </w:rPr>
      </w:pPr>
    </w:p>
    <w:p w14:paraId="00CC7567" w14:textId="77777777" w:rsidR="00E3434F" w:rsidRPr="0084441A" w:rsidRDefault="00E3434F" w:rsidP="00E3434F">
      <w:pPr>
        <w:autoSpaceDE w:val="0"/>
        <w:autoSpaceDN w:val="0"/>
        <w:adjustRightInd w:val="0"/>
        <w:ind w:left="708"/>
        <w:jc w:val="both"/>
        <w:rPr>
          <w:rFonts w:ascii="Abadi" w:eastAsia="Calibri" w:hAnsi="Abadi" w:cs="Century Gothic"/>
          <w:color w:val="000000"/>
          <w:sz w:val="21"/>
          <w:szCs w:val="21"/>
          <w:lang w:val="es-MX" w:eastAsia="en-US"/>
        </w:rPr>
      </w:pPr>
      <w:r w:rsidRPr="0084441A">
        <w:rPr>
          <w:rFonts w:ascii="Abadi" w:eastAsia="Calibri" w:hAnsi="Abadi" w:cs="Century Gothic"/>
          <w:color w:val="000000"/>
          <w:sz w:val="21"/>
          <w:szCs w:val="21"/>
          <w:lang w:val="es-MX" w:eastAsia="en-US"/>
        </w:rPr>
        <w:t xml:space="preserve">Asimismo, se debe considerar que, como se ha señalado en el comentario anterior, el Código penal vigente en su numeral 194, considera en sus fracciones IV y VII que el robo se califica cuando se cometa en morada ajena o en lugar cerrado; y cuando el objeto robado sea un documento o valores que obren en dependencia pública, como lo pueden ser las instituciones educativas públicas. </w:t>
      </w:r>
    </w:p>
    <w:p w14:paraId="3EC09EB9" w14:textId="77777777" w:rsidR="00E3434F" w:rsidRPr="0084441A" w:rsidRDefault="00E3434F" w:rsidP="00E3434F">
      <w:pPr>
        <w:autoSpaceDE w:val="0"/>
        <w:autoSpaceDN w:val="0"/>
        <w:adjustRightInd w:val="0"/>
        <w:ind w:left="708"/>
        <w:jc w:val="both"/>
        <w:rPr>
          <w:rFonts w:ascii="Abadi" w:eastAsia="Calibri" w:hAnsi="Abadi" w:cs="Century Gothic"/>
          <w:color w:val="000000"/>
          <w:sz w:val="21"/>
          <w:szCs w:val="21"/>
          <w:lang w:val="es-MX" w:eastAsia="en-US"/>
        </w:rPr>
      </w:pPr>
    </w:p>
    <w:p w14:paraId="7E9602C9" w14:textId="77777777" w:rsidR="00E3434F" w:rsidRPr="0084441A" w:rsidRDefault="00E3434F" w:rsidP="00E3434F">
      <w:pPr>
        <w:autoSpaceDE w:val="0"/>
        <w:autoSpaceDN w:val="0"/>
        <w:adjustRightInd w:val="0"/>
        <w:ind w:left="708"/>
        <w:jc w:val="both"/>
        <w:rPr>
          <w:rFonts w:ascii="Abadi" w:eastAsia="Calibri" w:hAnsi="Abadi" w:cs="Century Gothic"/>
          <w:color w:val="000000"/>
          <w:sz w:val="21"/>
          <w:szCs w:val="21"/>
          <w:lang w:val="es-MX" w:eastAsia="en-US"/>
        </w:rPr>
      </w:pPr>
      <w:r w:rsidRPr="0084441A">
        <w:rPr>
          <w:rFonts w:ascii="Abadi" w:eastAsia="Calibri" w:hAnsi="Abadi" w:cs="Century Gothic"/>
          <w:color w:val="000000"/>
          <w:sz w:val="21"/>
          <w:szCs w:val="21"/>
          <w:lang w:val="es-MX" w:eastAsia="en-US"/>
        </w:rPr>
        <w:t>Por lo anterior, se sugiere ponderar la necesidad de incorporar dentro del catálogo de supuestos de configuración del robo calificado a un recinto que actualmente encuadra en, al menos, dos de los supuestos vigentes.</w:t>
      </w:r>
    </w:p>
    <w:p w14:paraId="5BF5CDAE" w14:textId="77777777" w:rsidR="00E3434F" w:rsidRPr="0084441A" w:rsidRDefault="00E3434F" w:rsidP="00E3434F">
      <w:pPr>
        <w:autoSpaceDE w:val="0"/>
        <w:autoSpaceDN w:val="0"/>
        <w:adjustRightInd w:val="0"/>
        <w:ind w:left="708"/>
        <w:jc w:val="both"/>
        <w:rPr>
          <w:rFonts w:ascii="Abadi" w:eastAsia="Calibri" w:hAnsi="Abadi" w:cs="Century Gothic"/>
          <w:color w:val="000000"/>
          <w:sz w:val="21"/>
          <w:szCs w:val="21"/>
          <w:lang w:val="es-MX" w:eastAsia="en-US"/>
        </w:rPr>
      </w:pPr>
    </w:p>
    <w:p w14:paraId="7FE0855E" w14:textId="77777777" w:rsidR="00E3434F" w:rsidRPr="0084441A" w:rsidRDefault="00E3434F" w:rsidP="00E3434F">
      <w:pPr>
        <w:autoSpaceDE w:val="0"/>
        <w:autoSpaceDN w:val="0"/>
        <w:adjustRightInd w:val="0"/>
        <w:ind w:left="708"/>
        <w:jc w:val="both"/>
        <w:rPr>
          <w:rFonts w:ascii="Abadi" w:eastAsia="Calibri" w:hAnsi="Abadi" w:cs="Century Gothic"/>
          <w:color w:val="000000"/>
          <w:sz w:val="21"/>
          <w:szCs w:val="21"/>
          <w:lang w:val="es-MX" w:eastAsia="en-US"/>
        </w:rPr>
      </w:pPr>
      <w:r w:rsidRPr="0084441A">
        <w:rPr>
          <w:rFonts w:ascii="Abadi" w:eastAsia="Calibri" w:hAnsi="Abadi" w:cs="Century Gothic"/>
          <w:b/>
          <w:bCs/>
          <w:color w:val="000000"/>
          <w:sz w:val="21"/>
          <w:szCs w:val="21"/>
          <w:lang w:val="es-MX" w:eastAsia="en-US"/>
        </w:rPr>
        <w:t xml:space="preserve">IV. Conclusiones </w:t>
      </w:r>
    </w:p>
    <w:p w14:paraId="63695C56" w14:textId="77777777" w:rsidR="00E3434F" w:rsidRPr="0084441A" w:rsidRDefault="00E3434F" w:rsidP="00E3434F">
      <w:pPr>
        <w:autoSpaceDE w:val="0"/>
        <w:autoSpaceDN w:val="0"/>
        <w:adjustRightInd w:val="0"/>
        <w:ind w:left="708"/>
        <w:jc w:val="both"/>
        <w:rPr>
          <w:rFonts w:ascii="Abadi" w:eastAsia="Calibri" w:hAnsi="Abadi" w:cs="Century Gothic"/>
          <w:b/>
          <w:bCs/>
          <w:color w:val="000000"/>
          <w:sz w:val="21"/>
          <w:szCs w:val="21"/>
          <w:lang w:val="es-MX" w:eastAsia="en-US"/>
        </w:rPr>
      </w:pPr>
    </w:p>
    <w:p w14:paraId="5C082C60" w14:textId="77777777" w:rsidR="00E3434F" w:rsidRPr="0084441A" w:rsidRDefault="00E3434F" w:rsidP="00E3434F">
      <w:pPr>
        <w:autoSpaceDE w:val="0"/>
        <w:autoSpaceDN w:val="0"/>
        <w:adjustRightInd w:val="0"/>
        <w:ind w:left="708"/>
        <w:jc w:val="both"/>
        <w:rPr>
          <w:rFonts w:ascii="Abadi" w:eastAsia="Calibri" w:hAnsi="Abadi" w:cs="Century Gothic"/>
          <w:color w:val="000000"/>
          <w:sz w:val="21"/>
          <w:szCs w:val="21"/>
          <w:lang w:val="es-MX" w:eastAsia="en-US"/>
        </w:rPr>
      </w:pPr>
      <w:r w:rsidRPr="0084441A">
        <w:rPr>
          <w:rFonts w:ascii="Abadi" w:eastAsia="Calibri" w:hAnsi="Abadi" w:cs="Century Gothic"/>
          <w:b/>
          <w:bCs/>
          <w:color w:val="000000"/>
          <w:sz w:val="21"/>
          <w:szCs w:val="21"/>
          <w:lang w:val="es-MX" w:eastAsia="en-US"/>
        </w:rPr>
        <w:t xml:space="preserve">IV.1 </w:t>
      </w:r>
      <w:r w:rsidRPr="0084441A">
        <w:rPr>
          <w:rFonts w:ascii="Abadi" w:eastAsia="Calibri" w:hAnsi="Abadi" w:cs="Century Gothic"/>
          <w:color w:val="000000"/>
          <w:sz w:val="21"/>
          <w:szCs w:val="21"/>
          <w:lang w:val="es-MX" w:eastAsia="en-US"/>
        </w:rPr>
        <w:t xml:space="preserve">La calificativa de un delito, es aquella circunstancia que no alterando los elementos significativos del delito se agregan al ilícito típico y agrava la pena establecida para el mismo. </w:t>
      </w:r>
    </w:p>
    <w:p w14:paraId="409B569C" w14:textId="77777777" w:rsidR="00E3434F" w:rsidRPr="0084441A" w:rsidRDefault="00E3434F" w:rsidP="00E3434F">
      <w:pPr>
        <w:autoSpaceDE w:val="0"/>
        <w:autoSpaceDN w:val="0"/>
        <w:adjustRightInd w:val="0"/>
        <w:ind w:left="708"/>
        <w:jc w:val="both"/>
        <w:rPr>
          <w:rFonts w:ascii="Abadi" w:eastAsia="Calibri" w:hAnsi="Abadi" w:cs="Century Gothic"/>
          <w:color w:val="000000"/>
          <w:sz w:val="21"/>
          <w:szCs w:val="21"/>
          <w:lang w:val="es-MX" w:eastAsia="en-US"/>
        </w:rPr>
      </w:pPr>
    </w:p>
    <w:p w14:paraId="2256828E" w14:textId="77777777" w:rsidR="00E3434F" w:rsidRPr="0084441A" w:rsidRDefault="00E3434F" w:rsidP="00E3434F">
      <w:pPr>
        <w:autoSpaceDE w:val="0"/>
        <w:autoSpaceDN w:val="0"/>
        <w:adjustRightInd w:val="0"/>
        <w:ind w:left="708"/>
        <w:jc w:val="both"/>
        <w:rPr>
          <w:rFonts w:ascii="Abadi" w:eastAsia="Calibri" w:hAnsi="Abadi" w:cs="Century Gothic"/>
          <w:color w:val="000000"/>
          <w:sz w:val="21"/>
          <w:szCs w:val="21"/>
          <w:lang w:val="es-MX" w:eastAsia="en-US"/>
        </w:rPr>
      </w:pPr>
      <w:r w:rsidRPr="0084441A">
        <w:rPr>
          <w:rFonts w:ascii="Abadi" w:eastAsia="Calibri" w:hAnsi="Abadi" w:cs="Century Gothic"/>
          <w:b/>
          <w:bCs/>
          <w:color w:val="000000"/>
          <w:sz w:val="21"/>
          <w:szCs w:val="21"/>
          <w:lang w:val="es-MX" w:eastAsia="en-US"/>
        </w:rPr>
        <w:t xml:space="preserve">IV.2 </w:t>
      </w:r>
      <w:r w:rsidRPr="0084441A">
        <w:rPr>
          <w:rFonts w:ascii="Abadi" w:eastAsia="Calibri" w:hAnsi="Abadi" w:cs="Century Gothic"/>
          <w:color w:val="000000"/>
          <w:sz w:val="21"/>
          <w:szCs w:val="21"/>
          <w:lang w:val="es-MX" w:eastAsia="en-US"/>
        </w:rPr>
        <w:t xml:space="preserve">El Código Penal del Estado, considera un catálogo de supuestos autónomos e independientes que, de configurarse, considera como calificado al robo; supuestos dentro de los que se encuentra el que se cometa en lugar cerrado. </w:t>
      </w:r>
    </w:p>
    <w:p w14:paraId="6BDB39EE" w14:textId="77777777" w:rsidR="00E3434F" w:rsidRPr="0084441A" w:rsidRDefault="00E3434F" w:rsidP="00E3434F">
      <w:pPr>
        <w:autoSpaceDE w:val="0"/>
        <w:autoSpaceDN w:val="0"/>
        <w:adjustRightInd w:val="0"/>
        <w:ind w:left="708"/>
        <w:jc w:val="both"/>
        <w:rPr>
          <w:rFonts w:ascii="Abadi" w:eastAsia="Calibri" w:hAnsi="Abadi" w:cs="Century Gothic"/>
          <w:color w:val="000000"/>
          <w:sz w:val="21"/>
          <w:szCs w:val="21"/>
          <w:lang w:val="es-MX" w:eastAsia="en-US"/>
        </w:rPr>
      </w:pPr>
    </w:p>
    <w:p w14:paraId="544A5014" w14:textId="77777777" w:rsidR="00E3434F" w:rsidRPr="0084441A" w:rsidRDefault="00E3434F" w:rsidP="00E3434F">
      <w:pPr>
        <w:autoSpaceDE w:val="0"/>
        <w:autoSpaceDN w:val="0"/>
        <w:adjustRightInd w:val="0"/>
        <w:ind w:left="708"/>
        <w:jc w:val="both"/>
        <w:rPr>
          <w:rFonts w:ascii="Abadi" w:eastAsia="Calibri" w:hAnsi="Abadi" w:cs="Century Gothic"/>
          <w:color w:val="000000"/>
          <w:sz w:val="21"/>
          <w:szCs w:val="21"/>
          <w:lang w:val="es-MX" w:eastAsia="en-US"/>
        </w:rPr>
      </w:pPr>
      <w:r w:rsidRPr="0084441A">
        <w:rPr>
          <w:rFonts w:ascii="Abadi" w:eastAsia="Calibri" w:hAnsi="Abadi" w:cs="Century Gothic"/>
          <w:b/>
          <w:bCs/>
          <w:color w:val="000000"/>
          <w:sz w:val="21"/>
          <w:szCs w:val="21"/>
          <w:lang w:val="es-MX" w:eastAsia="en-US"/>
        </w:rPr>
        <w:t xml:space="preserve">IV.3 </w:t>
      </w:r>
      <w:r w:rsidRPr="0084441A">
        <w:rPr>
          <w:rFonts w:ascii="Abadi" w:eastAsia="Calibri" w:hAnsi="Abadi" w:cs="Century Gothic"/>
          <w:color w:val="000000"/>
          <w:sz w:val="21"/>
          <w:szCs w:val="21"/>
          <w:lang w:val="es-MX" w:eastAsia="en-US"/>
        </w:rPr>
        <w:t xml:space="preserve">De acuerdo con los criterios de la Suprema Corte de Justicia de la Nación, un lugar cerrado es cualquier sitio, localidad o recinto materialmente aislado del espacio circundante al que el activo no tenga libre acceso, y que cuya entrada o salida se encuentran interceptadas. </w:t>
      </w:r>
    </w:p>
    <w:p w14:paraId="41EEE968" w14:textId="77777777" w:rsidR="00E3434F" w:rsidRPr="0084441A" w:rsidRDefault="00E3434F" w:rsidP="00E3434F">
      <w:pPr>
        <w:autoSpaceDE w:val="0"/>
        <w:autoSpaceDN w:val="0"/>
        <w:adjustRightInd w:val="0"/>
        <w:ind w:left="708"/>
        <w:jc w:val="both"/>
        <w:rPr>
          <w:rFonts w:ascii="Abadi" w:eastAsia="Calibri" w:hAnsi="Abadi" w:cs="Century Gothic"/>
          <w:color w:val="000000"/>
          <w:sz w:val="21"/>
          <w:szCs w:val="21"/>
          <w:lang w:val="es-MX" w:eastAsia="en-US"/>
        </w:rPr>
      </w:pPr>
    </w:p>
    <w:p w14:paraId="057D01F8" w14:textId="77777777" w:rsidR="00E3434F" w:rsidRPr="0084441A" w:rsidRDefault="00E3434F" w:rsidP="00E3434F">
      <w:pPr>
        <w:autoSpaceDE w:val="0"/>
        <w:autoSpaceDN w:val="0"/>
        <w:adjustRightInd w:val="0"/>
        <w:ind w:left="708"/>
        <w:jc w:val="both"/>
        <w:rPr>
          <w:rFonts w:ascii="Abadi" w:eastAsia="Calibri" w:hAnsi="Abadi" w:cs="Century Gothic"/>
          <w:color w:val="000000"/>
          <w:sz w:val="21"/>
          <w:szCs w:val="21"/>
          <w:lang w:val="es-MX" w:eastAsia="en-US"/>
        </w:rPr>
      </w:pPr>
      <w:r w:rsidRPr="0084441A">
        <w:rPr>
          <w:rFonts w:ascii="Abadi" w:eastAsia="Calibri" w:hAnsi="Abadi" w:cs="Century Gothic"/>
          <w:b/>
          <w:bCs/>
          <w:color w:val="000000"/>
          <w:sz w:val="21"/>
          <w:szCs w:val="21"/>
          <w:lang w:val="es-MX" w:eastAsia="en-US"/>
        </w:rPr>
        <w:t>IV.4</w:t>
      </w:r>
      <w:r w:rsidRPr="0084441A">
        <w:rPr>
          <w:rFonts w:ascii="Abadi" w:eastAsia="Calibri" w:hAnsi="Abadi" w:cs="Century Gothic"/>
          <w:color w:val="000000"/>
          <w:sz w:val="21"/>
          <w:szCs w:val="21"/>
          <w:lang w:val="es-MX" w:eastAsia="en-US"/>
        </w:rPr>
        <w:t xml:space="preserve"> Se sugiere ponderar la necesidad de incorporar dentro del catálogo de supuestos de configuración del robo calificado a un recinto que actualmente encuadra en uno de los supuestos vigentes.</w:t>
      </w:r>
    </w:p>
    <w:p w14:paraId="27C129A3" w14:textId="77777777" w:rsidR="00E3434F" w:rsidRPr="0084441A" w:rsidRDefault="00E3434F" w:rsidP="00414232">
      <w:pPr>
        <w:autoSpaceDE w:val="0"/>
        <w:autoSpaceDN w:val="0"/>
        <w:adjustRightInd w:val="0"/>
        <w:ind w:left="708"/>
        <w:jc w:val="both"/>
        <w:rPr>
          <w:rFonts w:ascii="Abadi" w:eastAsia="Calibri" w:hAnsi="Abadi" w:cs="Century Gothic"/>
          <w:color w:val="000000"/>
          <w:sz w:val="21"/>
          <w:szCs w:val="21"/>
          <w:lang w:val="es-MX" w:eastAsia="en-US"/>
        </w:rPr>
      </w:pPr>
    </w:p>
    <w:p w14:paraId="386721F0" w14:textId="77777777" w:rsidR="00E3434F" w:rsidRPr="0084441A" w:rsidRDefault="00E3434F" w:rsidP="00414232">
      <w:pPr>
        <w:autoSpaceDE w:val="0"/>
        <w:autoSpaceDN w:val="0"/>
        <w:adjustRightInd w:val="0"/>
        <w:ind w:left="708"/>
        <w:jc w:val="both"/>
        <w:rPr>
          <w:rFonts w:ascii="Abadi" w:eastAsia="Calibri" w:hAnsi="Abadi" w:cs="Century Gothic"/>
          <w:color w:val="000000"/>
          <w:sz w:val="21"/>
          <w:szCs w:val="21"/>
          <w:lang w:val="es-MX" w:eastAsia="en-US"/>
        </w:rPr>
      </w:pPr>
      <w:r w:rsidRPr="0084441A">
        <w:rPr>
          <w:rFonts w:ascii="Abadi" w:eastAsia="Calibri" w:hAnsi="Abadi" w:cs="Century Gothic"/>
          <w:b/>
          <w:bCs/>
          <w:color w:val="000000"/>
          <w:sz w:val="21"/>
          <w:szCs w:val="21"/>
          <w:lang w:val="es-MX" w:eastAsia="en-US"/>
        </w:rPr>
        <w:t>IV.5</w:t>
      </w:r>
      <w:r w:rsidRPr="0084441A">
        <w:rPr>
          <w:rFonts w:ascii="Abadi" w:eastAsia="Calibri" w:hAnsi="Abadi" w:cs="Century Gothic"/>
          <w:color w:val="000000"/>
          <w:sz w:val="21"/>
          <w:szCs w:val="21"/>
          <w:lang w:val="es-MX" w:eastAsia="en-US"/>
        </w:rPr>
        <w:tab/>
        <w:t>Se sugiere ponderar la inclusión de las instituciones educativas privadas, y no solamente a las públicas, como se prevé en los términos propuestos.</w:t>
      </w:r>
    </w:p>
    <w:p w14:paraId="678DD837" w14:textId="77777777" w:rsidR="00E3434F" w:rsidRPr="0084441A" w:rsidRDefault="00E3434F" w:rsidP="00414232">
      <w:pPr>
        <w:widowControl w:val="0"/>
        <w:autoSpaceDE w:val="0"/>
        <w:autoSpaceDN w:val="0"/>
        <w:adjustRightInd w:val="0"/>
        <w:spacing w:before="100" w:beforeAutospacing="1" w:after="100" w:afterAutospacing="1"/>
        <w:ind w:firstLine="708"/>
        <w:jc w:val="both"/>
        <w:rPr>
          <w:rFonts w:ascii="Abadi" w:hAnsi="Abadi"/>
          <w:color w:val="000000"/>
          <w:sz w:val="21"/>
          <w:szCs w:val="21"/>
        </w:rPr>
      </w:pPr>
      <w:r w:rsidRPr="0084441A">
        <w:rPr>
          <w:rFonts w:ascii="Abadi" w:hAnsi="Abadi"/>
          <w:color w:val="000000"/>
          <w:sz w:val="21"/>
          <w:szCs w:val="21"/>
        </w:rPr>
        <w:t xml:space="preserve">Al concluir la reunión, la diputada presidenta hizo un recuento de las coincidencias de las opiniones, y propuso la elaboración de un dictamen en sentido positivo, en atención a las consideraciones expuestas y la propuesta de redacción que se puso a consideración, lo que fue aprobado por unanimidad de votos. </w:t>
      </w:r>
    </w:p>
    <w:p w14:paraId="47ACA2A0" w14:textId="77777777" w:rsidR="00E3434F" w:rsidRPr="0084441A" w:rsidRDefault="00E3434F" w:rsidP="00414232">
      <w:pPr>
        <w:widowControl w:val="0"/>
        <w:autoSpaceDE w:val="0"/>
        <w:autoSpaceDN w:val="0"/>
        <w:adjustRightInd w:val="0"/>
        <w:spacing w:before="100" w:beforeAutospacing="1" w:after="100" w:afterAutospacing="1"/>
        <w:jc w:val="both"/>
        <w:rPr>
          <w:rFonts w:ascii="Abadi" w:hAnsi="Abadi"/>
          <w:b/>
          <w:bCs/>
          <w:sz w:val="21"/>
          <w:szCs w:val="21"/>
        </w:rPr>
      </w:pPr>
      <w:r w:rsidRPr="0084441A">
        <w:rPr>
          <w:rFonts w:ascii="Abadi" w:hAnsi="Abadi"/>
          <w:b/>
          <w:bCs/>
          <w:sz w:val="21"/>
          <w:szCs w:val="21"/>
        </w:rPr>
        <w:t>IV.</w:t>
      </w:r>
      <w:r w:rsidRPr="0084441A">
        <w:rPr>
          <w:rFonts w:ascii="Abadi" w:hAnsi="Abadi"/>
          <w:b/>
          <w:bCs/>
          <w:sz w:val="21"/>
          <w:szCs w:val="21"/>
        </w:rPr>
        <w:tab/>
        <w:t>Consideraciones.</w:t>
      </w:r>
    </w:p>
    <w:p w14:paraId="44E7BC80" w14:textId="77777777" w:rsidR="00E3434F" w:rsidRPr="00414232" w:rsidRDefault="00E3434F" w:rsidP="00EF55AF">
      <w:pPr>
        <w:widowControl w:val="0"/>
        <w:autoSpaceDE w:val="0"/>
        <w:autoSpaceDN w:val="0"/>
        <w:adjustRightInd w:val="0"/>
        <w:spacing w:before="100" w:beforeAutospacing="1" w:after="100" w:afterAutospacing="1"/>
        <w:ind w:firstLine="708"/>
        <w:jc w:val="both"/>
        <w:rPr>
          <w:rFonts w:ascii="Abadi" w:hAnsi="Abadi"/>
          <w:sz w:val="21"/>
          <w:szCs w:val="21"/>
        </w:rPr>
      </w:pPr>
      <w:r w:rsidRPr="0084441A">
        <w:rPr>
          <w:rFonts w:ascii="Abadi" w:hAnsi="Abadi"/>
          <w:sz w:val="21"/>
          <w:szCs w:val="21"/>
        </w:rPr>
        <w:t xml:space="preserve">Quienes dictaminamos, primeramente, queremos señalar que coincidimos con los iniciantes sobre el incremento en el número de robos en los planteles educativos, particularmente, a raíz de la pandemia de COVID 19 y a la falta de personal de policía para realizar una función de prevención más eficiente, lo que ha dejado un saldo elevado de planteles educativos que son objeto de robos sistemáticos y constantes, en perjuicio no solo del erario público, sino del patrimonio de  los particulares que brindan el servicio de </w:t>
      </w:r>
      <w:r w:rsidRPr="00414232">
        <w:rPr>
          <w:rFonts w:ascii="Abadi" w:hAnsi="Abadi"/>
          <w:sz w:val="21"/>
          <w:szCs w:val="21"/>
        </w:rPr>
        <w:t xml:space="preserve">educación. </w:t>
      </w:r>
    </w:p>
    <w:p w14:paraId="09375551" w14:textId="77777777" w:rsidR="00E3434F" w:rsidRPr="00414232" w:rsidRDefault="00E3434F" w:rsidP="00EF55AF">
      <w:pPr>
        <w:widowControl w:val="0"/>
        <w:autoSpaceDE w:val="0"/>
        <w:autoSpaceDN w:val="0"/>
        <w:adjustRightInd w:val="0"/>
        <w:spacing w:before="100" w:beforeAutospacing="1" w:after="100" w:afterAutospacing="1"/>
        <w:ind w:firstLine="708"/>
        <w:jc w:val="both"/>
        <w:rPr>
          <w:rFonts w:ascii="Abadi" w:hAnsi="Abadi"/>
          <w:i/>
          <w:iCs/>
          <w:sz w:val="21"/>
          <w:szCs w:val="21"/>
        </w:rPr>
      </w:pPr>
      <w:r w:rsidRPr="00414232">
        <w:rPr>
          <w:rFonts w:ascii="Abadi" w:hAnsi="Abadi"/>
          <w:sz w:val="21"/>
          <w:szCs w:val="21"/>
        </w:rPr>
        <w:t xml:space="preserve">Asimismo coincidimos que, en el robo a instituciones educativas concurren circunstancias </w:t>
      </w:r>
      <w:r w:rsidRPr="00414232">
        <w:rPr>
          <w:rFonts w:ascii="Abadi" w:eastAsia="Calibri" w:hAnsi="Abadi" w:cs="Century Gothic"/>
          <w:color w:val="000000"/>
          <w:sz w:val="21"/>
          <w:szCs w:val="21"/>
          <w:lang w:val="es-MX" w:eastAsia="en-US"/>
        </w:rPr>
        <w:t xml:space="preserve">que califican o agravan este tipo de delitos, ya que estas </w:t>
      </w:r>
      <w:r w:rsidRPr="00414232">
        <w:rPr>
          <w:rFonts w:ascii="Abadi" w:hAnsi="Abadi"/>
          <w:sz w:val="21"/>
          <w:szCs w:val="21"/>
        </w:rPr>
        <w:t xml:space="preserve">conductas merman gravemente la excelencia educativa, </w:t>
      </w:r>
      <w:r w:rsidRPr="00414232">
        <w:rPr>
          <w:rFonts w:ascii="Abadi" w:hAnsi="Abadi"/>
          <w:i/>
          <w:iCs/>
          <w:sz w:val="21"/>
          <w:szCs w:val="21"/>
        </w:rPr>
        <w:t>pues no se puede concebir una educación de excelencia sin escuelas dignas para nuestras niñas, niños y adolescentes -</w:t>
      </w:r>
      <w:r w:rsidRPr="00414232">
        <w:rPr>
          <w:rFonts w:ascii="Abadi" w:hAnsi="Abadi"/>
          <w:sz w:val="21"/>
          <w:szCs w:val="21"/>
        </w:rPr>
        <w:t xml:space="preserve">como lo expone el diputado iniciante ante la Legislatura anterior en su propuesta- </w:t>
      </w:r>
      <w:r w:rsidRPr="00414232">
        <w:rPr>
          <w:rFonts w:ascii="Abadi" w:hAnsi="Abadi"/>
          <w:i/>
          <w:iCs/>
          <w:sz w:val="21"/>
          <w:szCs w:val="21"/>
        </w:rPr>
        <w:t xml:space="preserve">fin constitucionalmente válido para establecer la nueva calificativa al delito de robo, </w:t>
      </w:r>
      <w:r w:rsidRPr="00414232">
        <w:rPr>
          <w:rFonts w:ascii="Abadi" w:hAnsi="Abadi"/>
          <w:sz w:val="21"/>
          <w:szCs w:val="21"/>
        </w:rPr>
        <w:t>como lo sostuvo el Supremo Tribunal de Justicia al emitir su opinión sobre la iniciativa. Asimismo, como lo destaca la Fiscalía General -igualmente en su opinión que nos compartió- al señalar que</w:t>
      </w:r>
      <w:r w:rsidRPr="00414232">
        <w:rPr>
          <w:rFonts w:ascii="Abadi" w:hAnsi="Abadi"/>
          <w:i/>
          <w:iCs/>
          <w:sz w:val="21"/>
          <w:szCs w:val="21"/>
        </w:rPr>
        <w:t xml:space="preserve"> no se podría concebir una educación de excelencia sin instituciones educativas dignas, que cumplan con las características pedagógicas y didácticas, de calidad, seguridad y funcionalidad, entre otros rubros, necesarios para su correspondiente uso, y, en consecuencia, se reconoce el interés de coadyuvar la integridad y el patrimonio educativo, así como contribuir a la generación y preservación del orden público y la paz social en nuestro Estado. </w:t>
      </w:r>
    </w:p>
    <w:p w14:paraId="2AD0BD99" w14:textId="77777777" w:rsidR="00E3434F" w:rsidRPr="00414232" w:rsidRDefault="00E3434F" w:rsidP="00EF55AF">
      <w:pPr>
        <w:widowControl w:val="0"/>
        <w:autoSpaceDE w:val="0"/>
        <w:autoSpaceDN w:val="0"/>
        <w:adjustRightInd w:val="0"/>
        <w:spacing w:before="100" w:beforeAutospacing="1" w:after="100" w:afterAutospacing="1"/>
        <w:ind w:firstLine="708"/>
        <w:jc w:val="both"/>
        <w:rPr>
          <w:rFonts w:ascii="Abadi" w:hAnsi="Abadi"/>
          <w:sz w:val="21"/>
          <w:szCs w:val="21"/>
        </w:rPr>
      </w:pPr>
      <w:r w:rsidRPr="00414232">
        <w:rPr>
          <w:rFonts w:ascii="Abadi" w:hAnsi="Abadi"/>
          <w:sz w:val="21"/>
          <w:szCs w:val="21"/>
        </w:rPr>
        <w:t>Es así como resulta fundamental para nuestro Estado proteger los bienes que permitan otorgar una educación de calidad a la población.</w:t>
      </w:r>
    </w:p>
    <w:p w14:paraId="250660C3" w14:textId="77777777" w:rsidR="00E3434F" w:rsidRPr="00414232" w:rsidRDefault="00E3434F" w:rsidP="00EF55AF">
      <w:pPr>
        <w:widowControl w:val="0"/>
        <w:autoSpaceDE w:val="0"/>
        <w:autoSpaceDN w:val="0"/>
        <w:adjustRightInd w:val="0"/>
        <w:spacing w:before="100" w:beforeAutospacing="1" w:after="100" w:afterAutospacing="1"/>
        <w:ind w:firstLine="708"/>
        <w:jc w:val="both"/>
        <w:rPr>
          <w:rFonts w:ascii="Abadi" w:hAnsi="Abadi"/>
          <w:sz w:val="21"/>
          <w:szCs w:val="21"/>
        </w:rPr>
      </w:pPr>
      <w:r w:rsidRPr="00414232">
        <w:rPr>
          <w:rFonts w:ascii="Abadi" w:hAnsi="Abadi"/>
          <w:sz w:val="21"/>
          <w:szCs w:val="21"/>
        </w:rPr>
        <w:t xml:space="preserve">No obstante estas coincidencias en la finalidad de la iniciativa, consideramos que nuestra legislación sustantiva penal ya contempla el robo a instituciones educativas en los supuestos vigentes previstos en las fracciones IV y VII del propio artículo 194 del Código Penal, que califican el robo cuando se cometa en </w:t>
      </w:r>
      <w:r w:rsidRPr="00414232">
        <w:rPr>
          <w:rFonts w:ascii="Abadi" w:hAnsi="Abadi"/>
          <w:i/>
          <w:iCs/>
          <w:sz w:val="21"/>
          <w:szCs w:val="21"/>
        </w:rPr>
        <w:t xml:space="preserve">lugar cerrado </w:t>
      </w:r>
      <w:r w:rsidRPr="00414232">
        <w:rPr>
          <w:rFonts w:ascii="Abadi" w:hAnsi="Abadi"/>
          <w:sz w:val="21"/>
          <w:szCs w:val="21"/>
        </w:rPr>
        <w:t xml:space="preserve">y </w:t>
      </w:r>
      <w:r w:rsidRPr="00414232">
        <w:rPr>
          <w:rFonts w:ascii="Abadi" w:hAnsi="Abadi"/>
          <w:i/>
          <w:iCs/>
          <w:sz w:val="21"/>
          <w:szCs w:val="21"/>
        </w:rPr>
        <w:t>el objeto robado sea un expediente, documento o valores que obren en dependencia pública</w:t>
      </w:r>
      <w:r w:rsidRPr="00414232">
        <w:rPr>
          <w:rFonts w:ascii="Abadi" w:hAnsi="Abadi"/>
          <w:sz w:val="21"/>
          <w:szCs w:val="21"/>
        </w:rPr>
        <w:t>, supuestos en los que es viable encuadrar el robo a este tipo de instituciones</w:t>
      </w:r>
      <w:r w:rsidRPr="00414232">
        <w:rPr>
          <w:rFonts w:ascii="Abadi" w:hAnsi="Abadi"/>
          <w:i/>
          <w:iCs/>
          <w:sz w:val="21"/>
          <w:szCs w:val="21"/>
        </w:rPr>
        <w:t xml:space="preserve">. </w:t>
      </w:r>
      <w:r w:rsidRPr="00414232">
        <w:rPr>
          <w:rFonts w:ascii="Abadi" w:hAnsi="Abadi"/>
          <w:sz w:val="21"/>
          <w:szCs w:val="21"/>
        </w:rPr>
        <w:t xml:space="preserve">Esto es importante destacarlo a fin de no generar incertidumbre en los operadores de la norma con un mensaje equívoco de que hasta este momento se está atendiendo legislativamente esta problemática. </w:t>
      </w:r>
    </w:p>
    <w:p w14:paraId="00BAEBF1" w14:textId="77777777" w:rsidR="00E3434F" w:rsidRPr="00414232" w:rsidRDefault="00E3434F" w:rsidP="00EF55AF">
      <w:pPr>
        <w:widowControl w:val="0"/>
        <w:autoSpaceDE w:val="0"/>
        <w:autoSpaceDN w:val="0"/>
        <w:adjustRightInd w:val="0"/>
        <w:spacing w:before="100" w:beforeAutospacing="1" w:after="100" w:afterAutospacing="1"/>
        <w:ind w:firstLine="708"/>
        <w:jc w:val="both"/>
        <w:rPr>
          <w:rFonts w:ascii="Abadi" w:hAnsi="Abadi"/>
          <w:sz w:val="21"/>
          <w:szCs w:val="21"/>
        </w:rPr>
      </w:pPr>
      <w:r w:rsidRPr="00414232">
        <w:rPr>
          <w:rFonts w:ascii="Abadi" w:hAnsi="Abadi"/>
          <w:sz w:val="21"/>
          <w:szCs w:val="21"/>
        </w:rPr>
        <w:t>Sin embargo, consideramos, como una medida de política criminal y a efecto de visibilizar este tipo de conductas de alta reprochabilidad, que era necesario cuidar la redacción de las hipótesis normativas vigentes, para encuadrar en ellas específicamente el robo a instituciones educativas, pero que además no fuera de manera casuística, así como evitar duplicidad de contenidos normativos o sobrerregulación.</w:t>
      </w:r>
    </w:p>
    <w:p w14:paraId="1DFA1A86" w14:textId="77777777" w:rsidR="00E3434F" w:rsidRPr="00414232" w:rsidRDefault="00E3434F" w:rsidP="00EF55AF">
      <w:pPr>
        <w:widowControl w:val="0"/>
        <w:autoSpaceDE w:val="0"/>
        <w:autoSpaceDN w:val="0"/>
        <w:adjustRightInd w:val="0"/>
        <w:spacing w:before="100" w:beforeAutospacing="1" w:after="100" w:afterAutospacing="1"/>
        <w:ind w:firstLine="708"/>
        <w:jc w:val="both"/>
        <w:rPr>
          <w:rFonts w:ascii="Abadi" w:hAnsi="Abadi"/>
          <w:i/>
          <w:iCs/>
          <w:sz w:val="21"/>
          <w:szCs w:val="21"/>
        </w:rPr>
      </w:pPr>
      <w:r w:rsidRPr="00414232">
        <w:rPr>
          <w:rFonts w:ascii="Abadi" w:hAnsi="Abadi"/>
          <w:sz w:val="21"/>
          <w:szCs w:val="21"/>
        </w:rPr>
        <w:t xml:space="preserve">De esta forma, estimamos pertinente modificar la fracción VII del propio artículo 194 de nuestra legislación sustantiva penal, en lugar de la adición de la fracción XIII, para hacer referencia de manera general a otro tipo de </w:t>
      </w:r>
      <w:r w:rsidRPr="00414232">
        <w:rPr>
          <w:rFonts w:ascii="Abadi" w:hAnsi="Abadi"/>
          <w:i/>
          <w:iCs/>
          <w:sz w:val="21"/>
          <w:szCs w:val="21"/>
        </w:rPr>
        <w:t>bienes</w:t>
      </w:r>
      <w:r w:rsidRPr="00414232">
        <w:rPr>
          <w:rFonts w:ascii="Abadi" w:hAnsi="Abadi"/>
          <w:sz w:val="21"/>
          <w:szCs w:val="21"/>
        </w:rPr>
        <w:t xml:space="preserve"> y a </w:t>
      </w:r>
      <w:r w:rsidRPr="00414232">
        <w:rPr>
          <w:rFonts w:ascii="Abadi" w:hAnsi="Abadi"/>
          <w:i/>
          <w:iCs/>
          <w:sz w:val="21"/>
          <w:szCs w:val="21"/>
        </w:rPr>
        <w:t xml:space="preserve">instituciones públicas, </w:t>
      </w:r>
      <w:r w:rsidRPr="00414232">
        <w:rPr>
          <w:rFonts w:ascii="Abadi" w:hAnsi="Abadi"/>
          <w:sz w:val="21"/>
          <w:szCs w:val="21"/>
        </w:rPr>
        <w:t>sin describir de qué tipo.</w:t>
      </w:r>
    </w:p>
    <w:p w14:paraId="1ED85356" w14:textId="77777777" w:rsidR="00E3434F" w:rsidRPr="00414232" w:rsidRDefault="00E3434F" w:rsidP="00EF55AF">
      <w:pPr>
        <w:widowControl w:val="0"/>
        <w:autoSpaceDE w:val="0"/>
        <w:autoSpaceDN w:val="0"/>
        <w:adjustRightInd w:val="0"/>
        <w:spacing w:before="100" w:beforeAutospacing="1" w:after="100" w:afterAutospacing="1"/>
        <w:ind w:firstLine="708"/>
        <w:jc w:val="both"/>
        <w:rPr>
          <w:rFonts w:ascii="Abadi" w:hAnsi="Abadi"/>
          <w:sz w:val="21"/>
          <w:szCs w:val="21"/>
        </w:rPr>
      </w:pPr>
      <w:r w:rsidRPr="00414232">
        <w:rPr>
          <w:rFonts w:ascii="Abadi" w:hAnsi="Abadi"/>
          <w:b/>
          <w:bCs/>
          <w:sz w:val="21"/>
          <w:szCs w:val="21"/>
        </w:rPr>
        <w:t xml:space="preserve"> </w:t>
      </w:r>
      <w:r w:rsidRPr="00414232">
        <w:rPr>
          <w:rFonts w:ascii="Abadi" w:hAnsi="Abadi"/>
          <w:sz w:val="21"/>
          <w:szCs w:val="21"/>
        </w:rPr>
        <w:t>En ese tenor, se busca proteger tres bienes jurídicos que resultan sumamente importantes:</w:t>
      </w:r>
    </w:p>
    <w:p w14:paraId="6C01C240" w14:textId="77777777" w:rsidR="00E3434F" w:rsidRPr="00414232" w:rsidRDefault="00E3434F" w:rsidP="00EF55AF">
      <w:pPr>
        <w:widowControl w:val="0"/>
        <w:autoSpaceDE w:val="0"/>
        <w:autoSpaceDN w:val="0"/>
        <w:adjustRightInd w:val="0"/>
        <w:spacing w:before="100" w:beforeAutospacing="1" w:after="100" w:afterAutospacing="1"/>
        <w:ind w:firstLine="708"/>
        <w:jc w:val="both"/>
        <w:rPr>
          <w:rFonts w:ascii="Abadi" w:hAnsi="Abadi"/>
          <w:sz w:val="21"/>
          <w:szCs w:val="21"/>
        </w:rPr>
      </w:pPr>
      <w:r w:rsidRPr="00414232">
        <w:rPr>
          <w:rFonts w:ascii="Abadi" w:hAnsi="Abadi"/>
          <w:sz w:val="21"/>
          <w:szCs w:val="21"/>
        </w:rPr>
        <w:t>Por una parte, al prever de manera general instituciones públicas, se abarcaría no solo a las escuelas públicas -objeto de las iniciativas- sino también a otras instituciones como son hospitales, centros culturales o científicos, entre otros. Con ello, se amplía el marco protector que el texto propuesto por los iniciantes.</w:t>
      </w:r>
    </w:p>
    <w:p w14:paraId="1A85F5B2" w14:textId="77777777" w:rsidR="00E3434F" w:rsidRPr="00414232" w:rsidRDefault="00E3434F" w:rsidP="00EF55AF">
      <w:pPr>
        <w:widowControl w:val="0"/>
        <w:autoSpaceDE w:val="0"/>
        <w:autoSpaceDN w:val="0"/>
        <w:adjustRightInd w:val="0"/>
        <w:spacing w:before="100" w:beforeAutospacing="1" w:after="100" w:afterAutospacing="1"/>
        <w:ind w:firstLine="708"/>
        <w:jc w:val="both"/>
        <w:rPr>
          <w:rFonts w:ascii="Abadi" w:hAnsi="Abadi"/>
          <w:sz w:val="21"/>
          <w:szCs w:val="21"/>
        </w:rPr>
      </w:pPr>
      <w:r w:rsidRPr="00414232">
        <w:rPr>
          <w:rFonts w:ascii="Abadi" w:hAnsi="Abadi"/>
          <w:sz w:val="21"/>
          <w:szCs w:val="21"/>
        </w:rPr>
        <w:t>En segundo término, se amplía la hipótesis normativa cuando el robo se cometa contra</w:t>
      </w:r>
      <w:r w:rsidRPr="00414232">
        <w:rPr>
          <w:rFonts w:ascii="Abadi" w:hAnsi="Abadi"/>
          <w:b/>
          <w:bCs/>
          <w:sz w:val="21"/>
          <w:szCs w:val="21"/>
        </w:rPr>
        <w:t xml:space="preserve"> </w:t>
      </w:r>
      <w:r w:rsidRPr="00414232">
        <w:rPr>
          <w:rFonts w:ascii="Abadi" w:hAnsi="Abadi"/>
          <w:i/>
          <w:iCs/>
          <w:sz w:val="21"/>
          <w:szCs w:val="21"/>
        </w:rPr>
        <w:t xml:space="preserve">cualquier tipo de bien, </w:t>
      </w:r>
      <w:r w:rsidRPr="00414232">
        <w:rPr>
          <w:rFonts w:ascii="Abadi" w:hAnsi="Abadi"/>
          <w:sz w:val="21"/>
          <w:szCs w:val="21"/>
        </w:rPr>
        <w:t>no sólo a los expedientes, documentos o valores, como se encuentra en el texto vigente.</w:t>
      </w:r>
    </w:p>
    <w:p w14:paraId="202F60D8" w14:textId="77777777" w:rsidR="00E3434F" w:rsidRPr="00414232" w:rsidRDefault="00E3434F" w:rsidP="00EF55AF">
      <w:pPr>
        <w:widowControl w:val="0"/>
        <w:autoSpaceDE w:val="0"/>
        <w:autoSpaceDN w:val="0"/>
        <w:adjustRightInd w:val="0"/>
        <w:spacing w:before="100" w:beforeAutospacing="1" w:after="100" w:afterAutospacing="1"/>
        <w:ind w:firstLine="708"/>
        <w:jc w:val="both"/>
        <w:rPr>
          <w:rFonts w:ascii="Abadi" w:hAnsi="Abadi"/>
          <w:sz w:val="21"/>
          <w:szCs w:val="21"/>
        </w:rPr>
      </w:pPr>
      <w:r w:rsidRPr="00414232">
        <w:rPr>
          <w:rFonts w:ascii="Abadi" w:hAnsi="Abadi"/>
          <w:sz w:val="21"/>
          <w:szCs w:val="21"/>
        </w:rPr>
        <w:t>Para mayor certeza, en aras de que se distinga debidamente la categoría de lo patrimonial –«bienes» cuyo concepto ahora se proyecta ingresar de manera única en la fracción VII del Código Penal– y lo que no necesariamente se vincularía a objetos que no tengan –en estricto– un valor cuantificable económicamente, como lo serían los «expedientes y documentos que obran en las dependencias públicas» –que actualmente sí constan en la fracción en cita–, por ello consideramos que tal fracción VII debe mantener los elementos que la conforman en su texto vigente, agregando la referencia a «… o bienes que pertenezcan o estén al servicio de la misma», con lo cual se clarificaría y destacaría la diferencia en cuestión, abarcando así de manera integral las hipótesis de lo que pudiera ser robado.</w:t>
      </w:r>
    </w:p>
    <w:p w14:paraId="54A2F444" w14:textId="77777777" w:rsidR="00E3434F" w:rsidRPr="00414232" w:rsidRDefault="00E3434F" w:rsidP="00EF55AF">
      <w:pPr>
        <w:widowControl w:val="0"/>
        <w:autoSpaceDE w:val="0"/>
        <w:autoSpaceDN w:val="0"/>
        <w:adjustRightInd w:val="0"/>
        <w:spacing w:before="100" w:beforeAutospacing="1" w:after="100" w:afterAutospacing="1"/>
        <w:ind w:firstLine="708"/>
        <w:jc w:val="both"/>
        <w:rPr>
          <w:rFonts w:ascii="Abadi" w:hAnsi="Abadi"/>
          <w:i/>
          <w:iCs/>
          <w:sz w:val="21"/>
          <w:szCs w:val="21"/>
        </w:rPr>
      </w:pPr>
      <w:r w:rsidRPr="00414232">
        <w:rPr>
          <w:rFonts w:ascii="Abadi" w:hAnsi="Abadi"/>
          <w:sz w:val="21"/>
          <w:szCs w:val="21"/>
        </w:rPr>
        <w:t xml:space="preserve">Y, en tercer lugar, quedarían salvaguardados todos aquellos bienes que no estén en </w:t>
      </w:r>
      <w:r w:rsidRPr="00414232">
        <w:rPr>
          <w:rFonts w:ascii="Abadi" w:hAnsi="Abadi"/>
          <w:i/>
          <w:iCs/>
          <w:sz w:val="21"/>
          <w:szCs w:val="21"/>
        </w:rPr>
        <w:t>lugar cerrado</w:t>
      </w:r>
      <w:r w:rsidRPr="00414232">
        <w:rPr>
          <w:rFonts w:ascii="Abadi" w:hAnsi="Abadi"/>
          <w:sz w:val="21"/>
          <w:szCs w:val="21"/>
        </w:rPr>
        <w:t>. Con ello se lograría el</w:t>
      </w:r>
      <w:r w:rsidRPr="00414232">
        <w:rPr>
          <w:rFonts w:ascii="Abadi" w:hAnsi="Abadi"/>
          <w:b/>
          <w:bCs/>
          <w:sz w:val="21"/>
          <w:szCs w:val="21"/>
        </w:rPr>
        <w:t xml:space="preserve"> </w:t>
      </w:r>
      <w:r w:rsidRPr="00414232">
        <w:rPr>
          <w:rFonts w:ascii="Abadi" w:hAnsi="Abadi"/>
          <w:sz w:val="21"/>
          <w:szCs w:val="21"/>
        </w:rPr>
        <w:t xml:space="preserve">objeto planteado por los iniciantes integrantes del Grupo Parlamentario del Partido Revolucionario Institucional en su propuesta que pretende ir más allá al </w:t>
      </w:r>
      <w:r w:rsidRPr="00414232">
        <w:rPr>
          <w:rFonts w:ascii="Abadi" w:hAnsi="Abadi"/>
          <w:i/>
          <w:iCs/>
          <w:sz w:val="21"/>
          <w:szCs w:val="21"/>
        </w:rPr>
        <w:t>considerar que cuando el robo se cometa a escuelas, planteles o centros educativos o sus accesorios, como son jardines o patios de recreo, que tengan carácter públicos se considere el robo como calificado en forma expresa, con independencia de: si el lugar esta cerrado o abierto; si hay participación del personal de vigilancia y se quebranta o no la confianza del empleo; se ejecute con la participación de dos o más personas o; si dentro del plantel existen expedientes, documentos o valores y la escuela sea considerada dependencia u oficina pública. La presente propuesta consiste en que por el sólo hecho de cometerse el robo en las instalaciones de la escuela o sus accesorios, esto es patios, jardines, huertos, etc., debe ser considerado como robo calificado.</w:t>
      </w:r>
    </w:p>
    <w:p w14:paraId="0A81BE95" w14:textId="77777777" w:rsidR="00E3434F" w:rsidRPr="00414232" w:rsidRDefault="00E3434F" w:rsidP="00EF55AF">
      <w:pPr>
        <w:widowControl w:val="0"/>
        <w:autoSpaceDE w:val="0"/>
        <w:autoSpaceDN w:val="0"/>
        <w:adjustRightInd w:val="0"/>
        <w:spacing w:before="100" w:beforeAutospacing="1" w:after="100" w:afterAutospacing="1"/>
        <w:ind w:firstLine="708"/>
        <w:jc w:val="both"/>
        <w:rPr>
          <w:rFonts w:ascii="Abadi" w:hAnsi="Abadi"/>
          <w:sz w:val="21"/>
          <w:szCs w:val="21"/>
        </w:rPr>
      </w:pPr>
      <w:r w:rsidRPr="00414232">
        <w:rPr>
          <w:rFonts w:ascii="Abadi" w:hAnsi="Abadi"/>
          <w:sz w:val="21"/>
          <w:szCs w:val="21"/>
        </w:rPr>
        <w:t>De esta forma, se amplía la hipótesis normativa contenida en la fracción VII con la consecuencia de dar mayor certeza jurídica, además de lograr el objetivo sobre la protección del patrimonio de las instituciones públicas, en específico, la educativas.</w:t>
      </w:r>
    </w:p>
    <w:p w14:paraId="2E79007E" w14:textId="77777777" w:rsidR="00E3434F" w:rsidRPr="00414232" w:rsidRDefault="00E3434F" w:rsidP="00EF55AF">
      <w:pPr>
        <w:widowControl w:val="0"/>
        <w:autoSpaceDE w:val="0"/>
        <w:autoSpaceDN w:val="0"/>
        <w:adjustRightInd w:val="0"/>
        <w:spacing w:before="100" w:beforeAutospacing="1" w:after="100" w:afterAutospacing="1"/>
        <w:ind w:firstLine="708"/>
        <w:jc w:val="both"/>
        <w:rPr>
          <w:rFonts w:ascii="Abadi" w:hAnsi="Abadi"/>
          <w:sz w:val="21"/>
          <w:szCs w:val="21"/>
        </w:rPr>
      </w:pPr>
      <w:r w:rsidRPr="00414232">
        <w:rPr>
          <w:rFonts w:ascii="Abadi" w:hAnsi="Abadi"/>
          <w:sz w:val="21"/>
          <w:szCs w:val="21"/>
        </w:rPr>
        <w:t xml:space="preserve">Ahora bien, respecto al tema de las escuelas privadas consideramos que su protección se mantiene comprendida en la fracción IV que refiere a que el robo se cometa en </w:t>
      </w:r>
      <w:r w:rsidRPr="00414232">
        <w:rPr>
          <w:rFonts w:ascii="Abadi" w:hAnsi="Abadi"/>
          <w:i/>
          <w:iCs/>
          <w:sz w:val="21"/>
          <w:szCs w:val="21"/>
        </w:rPr>
        <w:t>lugar cerrado</w:t>
      </w:r>
      <w:r w:rsidRPr="00414232">
        <w:rPr>
          <w:rFonts w:ascii="Abadi" w:hAnsi="Abadi"/>
          <w:sz w:val="21"/>
          <w:szCs w:val="21"/>
        </w:rPr>
        <w:t xml:space="preserve">, ya que generalmente este tipo de instituciones cuentan con mayores elementos, circunstancias o infraestructura que les brinda esta característica normativa. </w:t>
      </w:r>
    </w:p>
    <w:p w14:paraId="7314BB9C" w14:textId="77777777" w:rsidR="00E3434F" w:rsidRPr="00414232" w:rsidRDefault="00E3434F" w:rsidP="00EF55AF">
      <w:pPr>
        <w:widowControl w:val="0"/>
        <w:autoSpaceDE w:val="0"/>
        <w:autoSpaceDN w:val="0"/>
        <w:adjustRightInd w:val="0"/>
        <w:spacing w:before="100" w:beforeAutospacing="1" w:after="100" w:afterAutospacing="1"/>
        <w:ind w:firstLine="708"/>
        <w:jc w:val="both"/>
        <w:rPr>
          <w:rFonts w:ascii="Abadi" w:hAnsi="Abadi"/>
          <w:i/>
          <w:iCs/>
          <w:sz w:val="21"/>
          <w:szCs w:val="21"/>
        </w:rPr>
      </w:pPr>
      <w:r w:rsidRPr="00414232">
        <w:rPr>
          <w:rFonts w:ascii="Abadi" w:hAnsi="Abadi"/>
          <w:sz w:val="21"/>
          <w:szCs w:val="21"/>
        </w:rPr>
        <w:t xml:space="preserve">En síntesis, de acuerdo con lo anterior tenemos que, para el caso de robo en instituciones educativas públicas quedarían en el supuesto de la fracción VII con la adecuación que se plantea en el presente dictamen; y para el robo en las instituciones educativas privadas quedaría contemplado en la vigente fracción IV que refiere a </w:t>
      </w:r>
      <w:r w:rsidRPr="00414232">
        <w:rPr>
          <w:rFonts w:ascii="Abadi" w:hAnsi="Abadi"/>
          <w:i/>
          <w:iCs/>
          <w:sz w:val="21"/>
          <w:szCs w:val="21"/>
        </w:rPr>
        <w:t xml:space="preserve">lugar cerrado. </w:t>
      </w:r>
    </w:p>
    <w:p w14:paraId="7D6E47B4" w14:textId="77777777" w:rsidR="00E3434F" w:rsidRPr="00414232" w:rsidRDefault="00E3434F" w:rsidP="00EF55AF">
      <w:pPr>
        <w:widowControl w:val="0"/>
        <w:autoSpaceDE w:val="0"/>
        <w:autoSpaceDN w:val="0"/>
        <w:adjustRightInd w:val="0"/>
        <w:spacing w:before="100" w:beforeAutospacing="1" w:after="100" w:afterAutospacing="1"/>
        <w:ind w:firstLine="708"/>
        <w:jc w:val="both"/>
        <w:rPr>
          <w:rFonts w:ascii="Abadi" w:hAnsi="Abadi"/>
          <w:sz w:val="21"/>
          <w:szCs w:val="21"/>
        </w:rPr>
      </w:pPr>
      <w:r w:rsidRPr="00414232">
        <w:rPr>
          <w:rFonts w:ascii="Abadi" w:hAnsi="Abadi"/>
          <w:sz w:val="21"/>
          <w:szCs w:val="21"/>
        </w:rPr>
        <w:t>Por último, cabe destacar que a la anterior conclusión llegamos quienes dictaminamos con el apoyo invaluable de las instituciones que nos acompañaron en el proceso de análisis de las iniciativas: Supremo Tribunal de Justicia, Fiscalía General y Coordinación General Jurídica, quienes con sus aportaciones contribuyeron a lograr la propuesta que se contiene en el presente dictamen.</w:t>
      </w:r>
    </w:p>
    <w:p w14:paraId="0AC1C44C" w14:textId="77777777" w:rsidR="00E3434F" w:rsidRPr="00414232" w:rsidRDefault="00E3434F" w:rsidP="00EF55AF">
      <w:pPr>
        <w:widowControl w:val="0"/>
        <w:autoSpaceDE w:val="0"/>
        <w:autoSpaceDN w:val="0"/>
        <w:adjustRightInd w:val="0"/>
        <w:spacing w:before="100" w:beforeAutospacing="1" w:after="100" w:afterAutospacing="1"/>
        <w:ind w:firstLine="708"/>
        <w:jc w:val="both"/>
        <w:rPr>
          <w:rFonts w:ascii="Abadi" w:hAnsi="Abadi"/>
          <w:sz w:val="21"/>
          <w:szCs w:val="21"/>
        </w:rPr>
      </w:pPr>
      <w:r w:rsidRPr="00414232">
        <w:rPr>
          <w:rFonts w:ascii="Abadi" w:hAnsi="Abadi"/>
          <w:sz w:val="21"/>
          <w:szCs w:val="21"/>
        </w:rPr>
        <w:t xml:space="preserve">Por lo expuesto y con fundamento en los artículos 113 fracción II y 171 de la Ley Orgánica del Poder Legislativo, se propone a la Asamblea el siguiente: </w:t>
      </w:r>
    </w:p>
    <w:p w14:paraId="46944D7C" w14:textId="77777777" w:rsidR="00E3434F" w:rsidRPr="00414232" w:rsidRDefault="00E3434F" w:rsidP="00EF55AF">
      <w:pPr>
        <w:jc w:val="center"/>
        <w:rPr>
          <w:rFonts w:ascii="Abadi" w:hAnsi="Abadi" w:cs="Arial"/>
          <w:b/>
          <w:sz w:val="21"/>
          <w:szCs w:val="21"/>
        </w:rPr>
      </w:pPr>
      <w:r w:rsidRPr="00414232">
        <w:rPr>
          <w:rFonts w:ascii="Abadi" w:hAnsi="Abadi" w:cs="Arial"/>
          <w:b/>
          <w:sz w:val="21"/>
          <w:szCs w:val="21"/>
        </w:rPr>
        <w:t>DECRETO</w:t>
      </w:r>
    </w:p>
    <w:p w14:paraId="426D5887" w14:textId="77777777" w:rsidR="00E3434F" w:rsidRPr="00414232" w:rsidRDefault="00E3434F" w:rsidP="00EF55AF">
      <w:pPr>
        <w:jc w:val="center"/>
        <w:rPr>
          <w:rFonts w:ascii="Abadi" w:hAnsi="Abadi" w:cs="Arial"/>
          <w:b/>
          <w:sz w:val="21"/>
          <w:szCs w:val="21"/>
          <w:highlight w:val="yellow"/>
        </w:rPr>
      </w:pPr>
    </w:p>
    <w:p w14:paraId="77E9FBA5" w14:textId="77777777" w:rsidR="00E3434F" w:rsidRPr="00414232" w:rsidRDefault="00E3434F" w:rsidP="00EF55AF">
      <w:pPr>
        <w:ind w:firstLine="708"/>
        <w:jc w:val="both"/>
        <w:rPr>
          <w:rFonts w:ascii="Abadi" w:hAnsi="Abadi"/>
          <w:sz w:val="21"/>
          <w:szCs w:val="21"/>
        </w:rPr>
      </w:pPr>
      <w:r w:rsidRPr="00414232">
        <w:rPr>
          <w:rFonts w:ascii="Abadi" w:hAnsi="Abadi" w:cs="Arial"/>
          <w:b/>
          <w:bCs/>
          <w:color w:val="000000"/>
          <w:sz w:val="21"/>
          <w:szCs w:val="21"/>
        </w:rPr>
        <w:t xml:space="preserve">Artículo Único. </w:t>
      </w:r>
      <w:r w:rsidRPr="00414232">
        <w:rPr>
          <w:rFonts w:ascii="Abadi" w:hAnsi="Abadi" w:cs="Arial"/>
          <w:color w:val="000000"/>
          <w:sz w:val="21"/>
          <w:szCs w:val="21"/>
        </w:rPr>
        <w:t xml:space="preserve">Se </w:t>
      </w:r>
      <w:r w:rsidRPr="00414232">
        <w:rPr>
          <w:rFonts w:ascii="Abadi" w:hAnsi="Abadi" w:cs="Arial"/>
          <w:b/>
          <w:bCs/>
          <w:color w:val="000000"/>
          <w:sz w:val="21"/>
          <w:szCs w:val="21"/>
        </w:rPr>
        <w:t xml:space="preserve">reforma </w:t>
      </w:r>
      <w:r w:rsidRPr="00414232">
        <w:rPr>
          <w:rFonts w:ascii="Abadi" w:hAnsi="Abadi" w:cs="Arial"/>
          <w:color w:val="000000"/>
          <w:sz w:val="21"/>
          <w:szCs w:val="21"/>
        </w:rPr>
        <w:t xml:space="preserve">la fracción VII del artículo 194 del </w:t>
      </w:r>
      <w:r w:rsidRPr="00414232">
        <w:rPr>
          <w:rFonts w:ascii="Abadi" w:hAnsi="Abadi" w:cs="Arial"/>
          <w:b/>
          <w:bCs/>
          <w:color w:val="000000"/>
          <w:sz w:val="21"/>
          <w:szCs w:val="21"/>
        </w:rPr>
        <w:t>Código Penal del Estado de Guanajuato</w:t>
      </w:r>
      <w:r w:rsidRPr="00414232">
        <w:rPr>
          <w:rFonts w:ascii="Abadi" w:hAnsi="Abadi" w:cs="Arial"/>
          <w:color w:val="000000"/>
          <w:sz w:val="21"/>
          <w:szCs w:val="21"/>
        </w:rPr>
        <w:t>, para quedar como sigue:</w:t>
      </w:r>
    </w:p>
    <w:p w14:paraId="6667E984" w14:textId="77777777" w:rsidR="00E3434F" w:rsidRPr="00414232" w:rsidRDefault="00E3434F" w:rsidP="00EF55AF">
      <w:pPr>
        <w:rPr>
          <w:rFonts w:ascii="Abadi" w:hAnsi="Abadi"/>
          <w:sz w:val="21"/>
          <w:szCs w:val="21"/>
        </w:rPr>
      </w:pPr>
    </w:p>
    <w:p w14:paraId="3B766178" w14:textId="77777777" w:rsidR="00E3434F" w:rsidRPr="00414232" w:rsidRDefault="00E3434F" w:rsidP="00EF55AF">
      <w:pPr>
        <w:ind w:firstLine="708"/>
        <w:rPr>
          <w:rFonts w:ascii="Abadi" w:hAnsi="Abadi"/>
          <w:sz w:val="21"/>
          <w:szCs w:val="21"/>
        </w:rPr>
      </w:pPr>
      <w:r w:rsidRPr="00414232">
        <w:rPr>
          <w:rFonts w:ascii="Abadi" w:hAnsi="Abadi"/>
          <w:b/>
          <w:bCs/>
          <w:sz w:val="21"/>
          <w:szCs w:val="21"/>
        </w:rPr>
        <w:t xml:space="preserve">«Artículo 194.- </w:t>
      </w:r>
      <w:r w:rsidRPr="00414232">
        <w:rPr>
          <w:rFonts w:ascii="Abadi" w:hAnsi="Abadi"/>
          <w:sz w:val="21"/>
          <w:szCs w:val="21"/>
        </w:rPr>
        <w:t>Se considera calificado…</w:t>
      </w:r>
    </w:p>
    <w:p w14:paraId="4785FD61" w14:textId="77777777" w:rsidR="00E3434F" w:rsidRPr="00414232" w:rsidRDefault="00E3434F" w:rsidP="00EF55AF">
      <w:pPr>
        <w:ind w:firstLine="708"/>
        <w:rPr>
          <w:rFonts w:ascii="Abadi" w:hAnsi="Abadi"/>
          <w:sz w:val="21"/>
          <w:szCs w:val="21"/>
        </w:rPr>
      </w:pPr>
    </w:p>
    <w:p w14:paraId="7A564255" w14:textId="77777777" w:rsidR="00E3434F" w:rsidRPr="00414232" w:rsidRDefault="00E3434F" w:rsidP="00EF55AF">
      <w:pPr>
        <w:rPr>
          <w:rFonts w:ascii="Abadi" w:hAnsi="Abadi"/>
          <w:sz w:val="21"/>
          <w:szCs w:val="21"/>
        </w:rPr>
      </w:pPr>
      <w:r w:rsidRPr="00414232">
        <w:rPr>
          <w:rFonts w:ascii="Abadi" w:hAnsi="Abadi"/>
          <w:b/>
          <w:bCs/>
          <w:sz w:val="21"/>
          <w:szCs w:val="21"/>
        </w:rPr>
        <w:t xml:space="preserve">I.- </w:t>
      </w:r>
      <w:r w:rsidRPr="00414232">
        <w:rPr>
          <w:rFonts w:ascii="Abadi" w:hAnsi="Abadi"/>
          <w:sz w:val="21"/>
          <w:szCs w:val="21"/>
        </w:rPr>
        <w:t xml:space="preserve">a </w:t>
      </w:r>
      <w:r w:rsidRPr="00414232">
        <w:rPr>
          <w:rFonts w:ascii="Abadi" w:hAnsi="Abadi"/>
          <w:b/>
          <w:bCs/>
          <w:sz w:val="21"/>
          <w:szCs w:val="21"/>
        </w:rPr>
        <w:t xml:space="preserve">VI.- </w:t>
      </w:r>
      <w:r w:rsidRPr="00414232">
        <w:rPr>
          <w:rFonts w:ascii="Abadi" w:hAnsi="Abadi"/>
          <w:sz w:val="21"/>
          <w:szCs w:val="21"/>
        </w:rPr>
        <w:t>…</w:t>
      </w:r>
    </w:p>
    <w:p w14:paraId="5A3BBDC0" w14:textId="77777777" w:rsidR="00E3434F" w:rsidRPr="00414232" w:rsidRDefault="00E3434F" w:rsidP="00EF55AF">
      <w:pPr>
        <w:rPr>
          <w:rFonts w:ascii="Abadi" w:hAnsi="Abadi"/>
          <w:sz w:val="21"/>
          <w:szCs w:val="21"/>
        </w:rPr>
      </w:pPr>
    </w:p>
    <w:p w14:paraId="40EB46CA" w14:textId="77777777" w:rsidR="00E3434F" w:rsidRPr="00414232" w:rsidRDefault="00E3434F" w:rsidP="00EF55AF">
      <w:pPr>
        <w:ind w:left="705" w:hanging="705"/>
        <w:jc w:val="both"/>
        <w:rPr>
          <w:rFonts w:ascii="Abadi" w:hAnsi="Abadi"/>
          <w:sz w:val="21"/>
          <w:szCs w:val="21"/>
        </w:rPr>
      </w:pPr>
      <w:r w:rsidRPr="00414232">
        <w:rPr>
          <w:rFonts w:ascii="Abadi" w:hAnsi="Abadi"/>
          <w:b/>
          <w:bCs/>
          <w:sz w:val="21"/>
          <w:szCs w:val="21"/>
        </w:rPr>
        <w:t>VII.-</w:t>
      </w:r>
      <w:r w:rsidRPr="00414232">
        <w:rPr>
          <w:rFonts w:ascii="Abadi" w:hAnsi="Abadi"/>
          <w:b/>
          <w:bCs/>
          <w:sz w:val="21"/>
          <w:szCs w:val="21"/>
        </w:rPr>
        <w:tab/>
      </w:r>
      <w:r w:rsidRPr="00414232">
        <w:rPr>
          <w:rFonts w:ascii="Abadi" w:hAnsi="Abadi"/>
          <w:sz w:val="21"/>
          <w:szCs w:val="21"/>
        </w:rPr>
        <w:t>El objeto robado sea un expediente, documento o valores que obren en institución pública, o bienes que pertenezcan o estén al servicio de la misma.</w:t>
      </w:r>
    </w:p>
    <w:p w14:paraId="1D079DA2" w14:textId="77777777" w:rsidR="00E3434F" w:rsidRPr="00414232" w:rsidRDefault="00E3434F" w:rsidP="00EF55AF">
      <w:pPr>
        <w:jc w:val="center"/>
        <w:rPr>
          <w:rFonts w:ascii="Abadi" w:hAnsi="Abadi" w:cs="Arial"/>
          <w:b/>
          <w:sz w:val="21"/>
          <w:szCs w:val="21"/>
          <w:highlight w:val="yellow"/>
        </w:rPr>
      </w:pPr>
    </w:p>
    <w:p w14:paraId="4837190E" w14:textId="77777777" w:rsidR="00E3434F" w:rsidRPr="00414232" w:rsidRDefault="00E3434F" w:rsidP="00EF55AF">
      <w:pPr>
        <w:rPr>
          <w:rFonts w:ascii="Abadi" w:hAnsi="Abadi" w:cs="Arial"/>
          <w:bCs/>
          <w:sz w:val="21"/>
          <w:szCs w:val="21"/>
        </w:rPr>
      </w:pPr>
      <w:r w:rsidRPr="00414232">
        <w:rPr>
          <w:rFonts w:ascii="Abadi" w:hAnsi="Abadi" w:cs="Arial"/>
          <w:b/>
          <w:sz w:val="21"/>
          <w:szCs w:val="21"/>
        </w:rPr>
        <w:t xml:space="preserve">VIII.- </w:t>
      </w:r>
      <w:r w:rsidRPr="00414232">
        <w:rPr>
          <w:rFonts w:ascii="Abadi" w:hAnsi="Abadi" w:cs="Arial"/>
          <w:bCs/>
          <w:sz w:val="21"/>
          <w:szCs w:val="21"/>
        </w:rPr>
        <w:t xml:space="preserve">a </w:t>
      </w:r>
      <w:r w:rsidRPr="00414232">
        <w:rPr>
          <w:rFonts w:ascii="Abadi" w:hAnsi="Abadi" w:cs="Arial"/>
          <w:b/>
          <w:sz w:val="21"/>
          <w:szCs w:val="21"/>
        </w:rPr>
        <w:t xml:space="preserve">XII.- </w:t>
      </w:r>
      <w:r w:rsidRPr="00414232">
        <w:rPr>
          <w:rFonts w:ascii="Abadi" w:hAnsi="Abadi" w:cs="Arial"/>
          <w:bCs/>
          <w:sz w:val="21"/>
          <w:szCs w:val="21"/>
        </w:rPr>
        <w:t>…</w:t>
      </w:r>
      <w:r w:rsidRPr="00414232">
        <w:rPr>
          <w:rFonts w:ascii="Abadi" w:hAnsi="Abadi" w:cs="Arial"/>
          <w:b/>
          <w:sz w:val="21"/>
          <w:szCs w:val="21"/>
        </w:rPr>
        <w:t xml:space="preserve"> </w:t>
      </w:r>
    </w:p>
    <w:p w14:paraId="04C919B0" w14:textId="77777777" w:rsidR="00E3434F" w:rsidRPr="00414232" w:rsidRDefault="00E3434F" w:rsidP="00EF55AF">
      <w:pPr>
        <w:jc w:val="center"/>
        <w:rPr>
          <w:rFonts w:ascii="Abadi" w:hAnsi="Abadi" w:cs="Arial"/>
          <w:b/>
          <w:sz w:val="21"/>
          <w:szCs w:val="21"/>
          <w:highlight w:val="yellow"/>
        </w:rPr>
      </w:pPr>
    </w:p>
    <w:p w14:paraId="31EB221F" w14:textId="77777777" w:rsidR="00E3434F" w:rsidRPr="00414232" w:rsidRDefault="00E3434F" w:rsidP="00EF55AF">
      <w:pPr>
        <w:rPr>
          <w:rFonts w:ascii="Abadi" w:hAnsi="Abadi" w:cs="Arial"/>
          <w:bCs/>
          <w:sz w:val="21"/>
          <w:szCs w:val="21"/>
        </w:rPr>
      </w:pPr>
      <w:r w:rsidRPr="00414232">
        <w:rPr>
          <w:rFonts w:ascii="Abadi" w:hAnsi="Abadi" w:cs="Arial"/>
          <w:bCs/>
          <w:sz w:val="21"/>
          <w:szCs w:val="21"/>
        </w:rPr>
        <w:tab/>
        <w:t>En los casos de…</w:t>
      </w:r>
    </w:p>
    <w:p w14:paraId="2488C70C" w14:textId="77777777" w:rsidR="00E3434F" w:rsidRPr="00414232" w:rsidRDefault="00E3434F" w:rsidP="00EF55AF">
      <w:pPr>
        <w:rPr>
          <w:rFonts w:ascii="Abadi" w:hAnsi="Abadi" w:cs="Arial"/>
          <w:bCs/>
          <w:sz w:val="21"/>
          <w:szCs w:val="21"/>
        </w:rPr>
      </w:pPr>
      <w:r w:rsidRPr="00414232">
        <w:rPr>
          <w:rFonts w:ascii="Abadi" w:hAnsi="Abadi" w:cs="Arial"/>
          <w:bCs/>
          <w:sz w:val="21"/>
          <w:szCs w:val="21"/>
        </w:rPr>
        <w:tab/>
        <w:t>Si en la…</w:t>
      </w:r>
    </w:p>
    <w:p w14:paraId="2E48CB49" w14:textId="77777777" w:rsidR="00E3434F" w:rsidRPr="00414232" w:rsidRDefault="00E3434F" w:rsidP="00EF55AF">
      <w:pPr>
        <w:rPr>
          <w:rFonts w:ascii="Abadi" w:hAnsi="Abadi" w:cs="Arial"/>
          <w:bCs/>
          <w:sz w:val="21"/>
          <w:szCs w:val="21"/>
        </w:rPr>
      </w:pPr>
      <w:r w:rsidRPr="00414232">
        <w:rPr>
          <w:rFonts w:ascii="Abadi" w:hAnsi="Abadi" w:cs="Arial"/>
          <w:bCs/>
          <w:sz w:val="21"/>
          <w:szCs w:val="21"/>
        </w:rPr>
        <w:tab/>
        <w:t xml:space="preserve">Se entiende por…» </w:t>
      </w:r>
    </w:p>
    <w:p w14:paraId="39AB84A4" w14:textId="77777777" w:rsidR="00E3434F" w:rsidRPr="00414232" w:rsidRDefault="00E3434F" w:rsidP="00EF55AF">
      <w:pPr>
        <w:jc w:val="both"/>
        <w:rPr>
          <w:rFonts w:ascii="Abadi" w:hAnsi="Abadi" w:cs="Arial"/>
          <w:bCs/>
          <w:sz w:val="21"/>
          <w:szCs w:val="21"/>
          <w:highlight w:val="yellow"/>
        </w:rPr>
      </w:pPr>
    </w:p>
    <w:p w14:paraId="040C483F" w14:textId="77777777" w:rsidR="00E3434F" w:rsidRPr="00414232" w:rsidRDefault="00E3434F" w:rsidP="00EF55AF">
      <w:pPr>
        <w:autoSpaceDE w:val="0"/>
        <w:autoSpaceDN w:val="0"/>
        <w:adjustRightInd w:val="0"/>
        <w:jc w:val="center"/>
        <w:rPr>
          <w:rFonts w:ascii="Abadi" w:hAnsi="Abadi" w:cs="Arial"/>
          <w:b/>
          <w:bCs/>
          <w:sz w:val="21"/>
          <w:szCs w:val="21"/>
        </w:rPr>
      </w:pPr>
      <w:r w:rsidRPr="00414232">
        <w:rPr>
          <w:rFonts w:ascii="Abadi" w:hAnsi="Abadi" w:cs="Arial"/>
          <w:b/>
          <w:bCs/>
          <w:sz w:val="21"/>
          <w:szCs w:val="21"/>
        </w:rPr>
        <w:t>TRANSITORIOS</w:t>
      </w:r>
    </w:p>
    <w:p w14:paraId="663C42FF" w14:textId="77777777" w:rsidR="00E3434F" w:rsidRPr="00414232" w:rsidRDefault="00E3434F" w:rsidP="00EF55AF">
      <w:pPr>
        <w:autoSpaceDE w:val="0"/>
        <w:autoSpaceDN w:val="0"/>
        <w:adjustRightInd w:val="0"/>
        <w:jc w:val="center"/>
        <w:rPr>
          <w:rFonts w:ascii="Abadi" w:hAnsi="Abadi" w:cs="Arial"/>
          <w:b/>
          <w:bCs/>
          <w:sz w:val="21"/>
          <w:szCs w:val="21"/>
        </w:rPr>
      </w:pPr>
    </w:p>
    <w:p w14:paraId="30E30DA0" w14:textId="77777777" w:rsidR="00E3434F" w:rsidRPr="00414232" w:rsidRDefault="00E3434F" w:rsidP="00EF55AF">
      <w:pPr>
        <w:ind w:firstLine="708"/>
        <w:jc w:val="both"/>
        <w:rPr>
          <w:rFonts w:ascii="Abadi" w:eastAsia="Calibri" w:hAnsi="Abadi" w:cs="Calibri"/>
          <w:bCs/>
          <w:sz w:val="21"/>
          <w:szCs w:val="21"/>
        </w:rPr>
      </w:pPr>
      <w:r w:rsidRPr="00414232">
        <w:rPr>
          <w:rFonts w:ascii="Abadi" w:eastAsia="Calibri" w:hAnsi="Abadi" w:cs="Calibri"/>
          <w:b/>
          <w:sz w:val="21"/>
          <w:szCs w:val="21"/>
        </w:rPr>
        <w:t xml:space="preserve">Artículo Primero. </w:t>
      </w:r>
      <w:r w:rsidRPr="00414232">
        <w:rPr>
          <w:rFonts w:ascii="Abadi" w:eastAsia="Calibri" w:hAnsi="Abadi" w:cs="Calibri"/>
          <w:bCs/>
          <w:sz w:val="21"/>
          <w:szCs w:val="21"/>
        </w:rPr>
        <w:t>El presente Decreto entrará en vigor al día siguiente a su publicación en el Periódico Oficial del Gobierno del Estado de Guanajuato.</w:t>
      </w:r>
    </w:p>
    <w:p w14:paraId="118E7690" w14:textId="77777777" w:rsidR="00E3434F" w:rsidRPr="00414232" w:rsidRDefault="00E3434F" w:rsidP="00EF55AF">
      <w:pPr>
        <w:jc w:val="both"/>
        <w:rPr>
          <w:rFonts w:ascii="Abadi" w:hAnsi="Abadi" w:cs="Arial"/>
          <w:bCs/>
          <w:sz w:val="21"/>
          <w:szCs w:val="21"/>
          <w:highlight w:val="yellow"/>
        </w:rPr>
      </w:pPr>
    </w:p>
    <w:p w14:paraId="21673813" w14:textId="77777777" w:rsidR="00E3434F" w:rsidRPr="00414232" w:rsidRDefault="00E3434F" w:rsidP="00EF55AF">
      <w:pPr>
        <w:ind w:firstLine="708"/>
        <w:jc w:val="both"/>
        <w:rPr>
          <w:rFonts w:ascii="Abadi" w:eastAsia="Calibri" w:hAnsi="Abadi"/>
          <w:sz w:val="21"/>
          <w:szCs w:val="21"/>
          <w:lang w:val="es-MX" w:eastAsia="en-US"/>
        </w:rPr>
      </w:pPr>
      <w:r w:rsidRPr="00414232">
        <w:rPr>
          <w:rFonts w:ascii="Abadi" w:eastAsia="Calibri" w:hAnsi="Abadi"/>
          <w:b/>
          <w:bCs/>
          <w:sz w:val="21"/>
          <w:szCs w:val="21"/>
          <w:lang w:val="es-MX" w:eastAsia="en-US"/>
        </w:rPr>
        <w:t>Artículo Segundo.</w:t>
      </w:r>
      <w:r w:rsidRPr="00414232">
        <w:rPr>
          <w:rFonts w:ascii="Abadi" w:eastAsia="Calibri" w:hAnsi="Abadi"/>
          <w:sz w:val="21"/>
          <w:szCs w:val="21"/>
          <w:lang w:val="es-MX" w:eastAsia="en-US"/>
        </w:rPr>
        <w:t xml:space="preserve"> Los procedimientos penales que se estén substanciando a la entrada en vigor del presente Decreto se seguirán conforme a las disposiciones vigentes al momento de su inicio.</w:t>
      </w:r>
    </w:p>
    <w:p w14:paraId="0FDEE881" w14:textId="77777777" w:rsidR="00E3434F" w:rsidRPr="00414232" w:rsidRDefault="00E3434F" w:rsidP="00EF55AF">
      <w:pPr>
        <w:jc w:val="both"/>
        <w:rPr>
          <w:rFonts w:ascii="Abadi" w:hAnsi="Abadi" w:cs="Arial"/>
          <w:bCs/>
          <w:sz w:val="21"/>
          <w:szCs w:val="21"/>
          <w:highlight w:val="yellow"/>
        </w:rPr>
      </w:pPr>
    </w:p>
    <w:p w14:paraId="758A47CB" w14:textId="77777777" w:rsidR="00E3434F" w:rsidRPr="00414232" w:rsidRDefault="00E3434F" w:rsidP="00EF55AF">
      <w:pPr>
        <w:jc w:val="center"/>
        <w:rPr>
          <w:rFonts w:ascii="Abadi" w:eastAsia="Calibri" w:hAnsi="Abadi"/>
          <w:b/>
          <w:iCs/>
          <w:sz w:val="21"/>
          <w:szCs w:val="21"/>
          <w:lang w:val="es-MX" w:eastAsia="en-US"/>
        </w:rPr>
      </w:pPr>
      <w:r w:rsidRPr="00414232">
        <w:rPr>
          <w:rFonts w:ascii="Abadi" w:eastAsia="Calibri" w:hAnsi="Abadi"/>
          <w:b/>
          <w:iCs/>
          <w:sz w:val="21"/>
          <w:szCs w:val="21"/>
          <w:lang w:val="es-MX" w:eastAsia="en-US"/>
        </w:rPr>
        <w:t>Guanajuato, Gto., 6 de septiembre de 2022</w:t>
      </w:r>
    </w:p>
    <w:p w14:paraId="54F13A05" w14:textId="77777777" w:rsidR="00E3434F" w:rsidRPr="00414232" w:rsidRDefault="00E3434F" w:rsidP="00EF55AF">
      <w:pPr>
        <w:jc w:val="center"/>
        <w:rPr>
          <w:rFonts w:ascii="Abadi" w:eastAsia="Calibri" w:hAnsi="Abadi"/>
          <w:b/>
          <w:iCs/>
          <w:sz w:val="21"/>
          <w:szCs w:val="21"/>
          <w:lang w:val="es-MX" w:eastAsia="en-US"/>
        </w:rPr>
      </w:pPr>
      <w:r w:rsidRPr="00414232">
        <w:rPr>
          <w:rFonts w:ascii="Abadi" w:eastAsia="Calibri" w:hAnsi="Abadi"/>
          <w:b/>
          <w:iCs/>
          <w:sz w:val="21"/>
          <w:szCs w:val="21"/>
          <w:lang w:val="es-MX" w:eastAsia="en-US"/>
        </w:rPr>
        <w:t>La Comisión de Justicia</w:t>
      </w:r>
    </w:p>
    <w:p w14:paraId="454BB4A6" w14:textId="77777777" w:rsidR="00E3434F" w:rsidRPr="00414232" w:rsidRDefault="00E3434F" w:rsidP="00EF55AF">
      <w:pPr>
        <w:jc w:val="center"/>
        <w:rPr>
          <w:rFonts w:ascii="Abadi" w:eastAsia="Calibri" w:hAnsi="Abadi"/>
          <w:b/>
          <w:iCs/>
          <w:sz w:val="21"/>
          <w:szCs w:val="21"/>
          <w:lang w:val="es-MX" w:eastAsia="en-US"/>
        </w:rPr>
      </w:pPr>
    </w:p>
    <w:p w14:paraId="045E0E30" w14:textId="77777777" w:rsidR="00E3434F" w:rsidRPr="00414232" w:rsidRDefault="00E3434F" w:rsidP="00EF55AF">
      <w:pPr>
        <w:jc w:val="center"/>
        <w:rPr>
          <w:rFonts w:ascii="Abadi" w:eastAsia="Calibri" w:hAnsi="Abadi"/>
          <w:b/>
          <w:i/>
          <w:iCs/>
          <w:sz w:val="21"/>
          <w:szCs w:val="21"/>
          <w:lang w:val="es-MX" w:eastAsia="en-US"/>
        </w:rPr>
      </w:pPr>
    </w:p>
    <w:p w14:paraId="2752FEA9" w14:textId="77777777" w:rsidR="00E3434F" w:rsidRPr="00414232" w:rsidRDefault="00E3434F" w:rsidP="00EF55AF">
      <w:pPr>
        <w:jc w:val="center"/>
        <w:rPr>
          <w:rFonts w:ascii="Abadi" w:eastAsia="Calibri" w:hAnsi="Abadi"/>
          <w:b/>
          <w:i/>
          <w:iCs/>
          <w:sz w:val="21"/>
          <w:szCs w:val="21"/>
          <w:lang w:val="es-MX" w:eastAsia="en-US"/>
        </w:rPr>
      </w:pPr>
      <w:r w:rsidRPr="00414232">
        <w:rPr>
          <w:rFonts w:ascii="Abadi" w:eastAsia="Calibri" w:hAnsi="Abadi"/>
          <w:b/>
          <w:iCs/>
          <w:sz w:val="21"/>
          <w:szCs w:val="21"/>
          <w:lang w:val="es-MX" w:eastAsia="en-US"/>
        </w:rPr>
        <w:t>Laura Cristina Márquez Alcalá</w:t>
      </w:r>
    </w:p>
    <w:p w14:paraId="36006E37" w14:textId="77777777" w:rsidR="00E3434F" w:rsidRPr="00414232" w:rsidRDefault="00E3434F" w:rsidP="00EF55AF">
      <w:pPr>
        <w:jc w:val="center"/>
        <w:rPr>
          <w:rFonts w:ascii="Abadi" w:eastAsia="Calibri" w:hAnsi="Abadi"/>
          <w:b/>
          <w:i/>
          <w:iCs/>
          <w:sz w:val="21"/>
          <w:szCs w:val="21"/>
          <w:lang w:val="es-MX" w:eastAsia="en-US"/>
        </w:rPr>
      </w:pPr>
      <w:r w:rsidRPr="00414232">
        <w:rPr>
          <w:rFonts w:ascii="Abadi" w:eastAsia="Calibri" w:hAnsi="Abadi"/>
          <w:b/>
          <w:iCs/>
          <w:sz w:val="21"/>
          <w:szCs w:val="21"/>
          <w:lang w:val="es-MX" w:eastAsia="en-US"/>
        </w:rPr>
        <w:t>Diputada presidenta</w:t>
      </w:r>
    </w:p>
    <w:p w14:paraId="4990FF22" w14:textId="77777777" w:rsidR="00E3434F" w:rsidRPr="00414232" w:rsidRDefault="00E3434F" w:rsidP="00EF55AF">
      <w:pPr>
        <w:jc w:val="center"/>
        <w:rPr>
          <w:rFonts w:ascii="Abadi" w:eastAsia="Calibri" w:hAnsi="Abadi"/>
          <w:b/>
          <w:iCs/>
          <w:sz w:val="21"/>
          <w:szCs w:val="21"/>
          <w:lang w:val="es-MX" w:eastAsia="en-US"/>
        </w:rPr>
      </w:pPr>
      <w:r w:rsidRPr="00414232">
        <w:rPr>
          <w:rFonts w:ascii="Abadi" w:eastAsia="Calibri" w:hAnsi="Abadi"/>
          <w:b/>
          <w:iCs/>
          <w:sz w:val="21"/>
          <w:szCs w:val="21"/>
          <w:lang w:val="es-MX" w:eastAsia="en-US"/>
        </w:rPr>
        <w:t xml:space="preserve">Susana Bermúdez Cano  </w:t>
      </w:r>
    </w:p>
    <w:p w14:paraId="5A989C4F" w14:textId="77777777" w:rsidR="00E3434F" w:rsidRPr="00414232" w:rsidRDefault="00E3434F" w:rsidP="00EF55AF">
      <w:pPr>
        <w:jc w:val="center"/>
        <w:rPr>
          <w:rFonts w:ascii="Abadi" w:eastAsia="Calibri" w:hAnsi="Abadi"/>
          <w:b/>
          <w:iCs/>
          <w:sz w:val="21"/>
          <w:szCs w:val="21"/>
          <w:lang w:val="es-MX" w:eastAsia="en-US"/>
        </w:rPr>
      </w:pPr>
      <w:r w:rsidRPr="00414232">
        <w:rPr>
          <w:rFonts w:ascii="Abadi" w:eastAsia="Calibri" w:hAnsi="Abadi"/>
          <w:b/>
          <w:iCs/>
          <w:sz w:val="21"/>
          <w:szCs w:val="21"/>
          <w:lang w:val="es-MX" w:eastAsia="en-US"/>
        </w:rPr>
        <w:t>Diputada vocal</w:t>
      </w:r>
      <w:r w:rsidRPr="00414232">
        <w:rPr>
          <w:rFonts w:ascii="Abadi" w:eastAsia="Calibri" w:hAnsi="Abadi"/>
          <w:b/>
          <w:iCs/>
          <w:sz w:val="21"/>
          <w:szCs w:val="21"/>
          <w:lang w:val="es-MX" w:eastAsia="en-US"/>
        </w:rPr>
        <w:tab/>
        <w:t xml:space="preserve">      </w:t>
      </w:r>
    </w:p>
    <w:p w14:paraId="2BB15E30" w14:textId="77777777" w:rsidR="00E3434F" w:rsidRPr="00414232" w:rsidRDefault="00E3434F" w:rsidP="00EF55AF">
      <w:pPr>
        <w:jc w:val="center"/>
        <w:rPr>
          <w:rFonts w:ascii="Abadi" w:eastAsia="Calibri" w:hAnsi="Abadi"/>
          <w:b/>
          <w:iCs/>
          <w:sz w:val="21"/>
          <w:szCs w:val="21"/>
          <w:lang w:val="es-MX" w:eastAsia="en-US"/>
        </w:rPr>
      </w:pPr>
      <w:r w:rsidRPr="00414232">
        <w:rPr>
          <w:rFonts w:ascii="Abadi" w:eastAsia="Calibri" w:hAnsi="Abadi"/>
          <w:b/>
          <w:iCs/>
          <w:sz w:val="21"/>
          <w:szCs w:val="21"/>
          <w:lang w:val="es-MX" w:eastAsia="en-US"/>
        </w:rPr>
        <w:t xml:space="preserve">Bricio Balderas Álvarez </w:t>
      </w:r>
    </w:p>
    <w:p w14:paraId="4E7728F5" w14:textId="77777777" w:rsidR="00E3434F" w:rsidRPr="00414232" w:rsidRDefault="00E3434F" w:rsidP="00EF55AF">
      <w:pPr>
        <w:jc w:val="center"/>
        <w:rPr>
          <w:rFonts w:ascii="Abadi" w:eastAsia="Calibri" w:hAnsi="Abadi"/>
          <w:b/>
          <w:iCs/>
          <w:sz w:val="21"/>
          <w:szCs w:val="21"/>
          <w:lang w:val="es-MX" w:eastAsia="en-US"/>
        </w:rPr>
      </w:pPr>
      <w:r w:rsidRPr="00414232">
        <w:rPr>
          <w:rFonts w:ascii="Abadi" w:eastAsia="Calibri" w:hAnsi="Abadi"/>
          <w:b/>
          <w:iCs/>
          <w:sz w:val="21"/>
          <w:szCs w:val="21"/>
          <w:lang w:val="es-MX" w:eastAsia="en-US"/>
        </w:rPr>
        <w:t>Diputado vocal</w:t>
      </w:r>
    </w:p>
    <w:p w14:paraId="4C6B30D2" w14:textId="77777777" w:rsidR="00E3434F" w:rsidRPr="00414232" w:rsidRDefault="00E3434F" w:rsidP="00EF55AF">
      <w:pPr>
        <w:jc w:val="center"/>
        <w:rPr>
          <w:rFonts w:ascii="Abadi" w:eastAsia="Calibri" w:hAnsi="Abadi"/>
          <w:b/>
          <w:iCs/>
          <w:sz w:val="21"/>
          <w:szCs w:val="21"/>
          <w:lang w:val="es-MX" w:eastAsia="en-US"/>
        </w:rPr>
      </w:pPr>
      <w:r w:rsidRPr="00414232">
        <w:rPr>
          <w:rFonts w:ascii="Abadi" w:eastAsia="Calibri" w:hAnsi="Abadi"/>
          <w:b/>
          <w:iCs/>
          <w:sz w:val="21"/>
          <w:szCs w:val="21"/>
          <w:lang w:val="es-MX" w:eastAsia="en-US"/>
        </w:rPr>
        <w:t>Gustavo Adolfo Alfaro Reyes</w:t>
      </w:r>
    </w:p>
    <w:p w14:paraId="473CBEC2" w14:textId="77777777" w:rsidR="00E3434F" w:rsidRPr="00414232" w:rsidRDefault="00E3434F" w:rsidP="00EF55AF">
      <w:pPr>
        <w:jc w:val="center"/>
        <w:rPr>
          <w:rFonts w:ascii="Abadi" w:eastAsia="Calibri" w:hAnsi="Abadi"/>
          <w:b/>
          <w:iCs/>
          <w:sz w:val="21"/>
          <w:szCs w:val="21"/>
          <w:lang w:val="es-MX" w:eastAsia="en-US"/>
        </w:rPr>
      </w:pPr>
      <w:r w:rsidRPr="00414232">
        <w:rPr>
          <w:rFonts w:ascii="Abadi" w:eastAsia="Calibri" w:hAnsi="Abadi"/>
          <w:b/>
          <w:iCs/>
          <w:sz w:val="21"/>
          <w:szCs w:val="21"/>
          <w:lang w:val="es-MX" w:eastAsia="en-US"/>
        </w:rPr>
        <w:t>Diputado vocal</w:t>
      </w:r>
    </w:p>
    <w:p w14:paraId="006EE37C" w14:textId="77777777" w:rsidR="00E3434F" w:rsidRPr="00414232" w:rsidRDefault="00E3434F" w:rsidP="00EF55AF">
      <w:pPr>
        <w:jc w:val="center"/>
        <w:rPr>
          <w:rFonts w:ascii="Abadi" w:eastAsia="Calibri" w:hAnsi="Abadi"/>
          <w:b/>
          <w:iCs/>
          <w:sz w:val="21"/>
          <w:szCs w:val="21"/>
          <w:lang w:val="es-MX" w:eastAsia="en-US"/>
        </w:rPr>
      </w:pPr>
      <w:r w:rsidRPr="00414232">
        <w:rPr>
          <w:rFonts w:ascii="Abadi" w:eastAsia="Calibri" w:hAnsi="Abadi"/>
          <w:b/>
          <w:iCs/>
          <w:sz w:val="21"/>
          <w:szCs w:val="21"/>
          <w:lang w:val="es-MX" w:eastAsia="en-US"/>
        </w:rPr>
        <w:t>Cuauhtémoc Becerra González</w:t>
      </w:r>
    </w:p>
    <w:p w14:paraId="3919B8B4" w14:textId="23402A51" w:rsidR="00E3434F" w:rsidRDefault="00E3434F" w:rsidP="00EF55AF">
      <w:pPr>
        <w:jc w:val="center"/>
        <w:rPr>
          <w:rFonts w:ascii="Abadi" w:eastAsia="Calibri" w:hAnsi="Abadi"/>
          <w:b/>
          <w:iCs/>
          <w:sz w:val="21"/>
          <w:szCs w:val="21"/>
          <w:lang w:val="es-MX" w:eastAsia="en-US"/>
        </w:rPr>
      </w:pPr>
      <w:r w:rsidRPr="00414232">
        <w:rPr>
          <w:rFonts w:ascii="Abadi" w:eastAsia="Calibri" w:hAnsi="Abadi"/>
          <w:b/>
          <w:iCs/>
          <w:sz w:val="21"/>
          <w:szCs w:val="21"/>
          <w:lang w:val="es-MX" w:eastAsia="en-US"/>
        </w:rPr>
        <w:t xml:space="preserve">    Diputado secretario</w:t>
      </w:r>
    </w:p>
    <w:p w14:paraId="6FA43D9D" w14:textId="0ADCA839" w:rsidR="005057DC" w:rsidRDefault="005057DC" w:rsidP="00EF55AF">
      <w:pPr>
        <w:jc w:val="center"/>
        <w:rPr>
          <w:rFonts w:ascii="Abadi" w:eastAsia="Calibri" w:hAnsi="Abadi"/>
          <w:b/>
          <w:iCs/>
          <w:sz w:val="21"/>
          <w:szCs w:val="21"/>
          <w:lang w:val="es-MX" w:eastAsia="en-US"/>
        </w:rPr>
      </w:pPr>
    </w:p>
    <w:p w14:paraId="624CB377" w14:textId="42A8EB2E" w:rsidR="005057DC" w:rsidRDefault="005057DC" w:rsidP="005057DC">
      <w:pPr>
        <w:ind w:firstLine="708"/>
        <w:jc w:val="both"/>
        <w:rPr>
          <w:rFonts w:ascii="Abadi" w:hAnsi="Abadi"/>
          <w:sz w:val="21"/>
          <w:szCs w:val="21"/>
        </w:rPr>
      </w:pPr>
      <w:r w:rsidRPr="00571121">
        <w:rPr>
          <w:rFonts w:ascii="Abadi" w:hAnsi="Abadi"/>
          <w:b/>
          <w:bCs/>
          <w:sz w:val="21"/>
          <w:szCs w:val="21"/>
        </w:rPr>
        <w:t>- El Presidente.-</w:t>
      </w:r>
      <w:r>
        <w:rPr>
          <w:rFonts w:ascii="Abadi" w:hAnsi="Abadi"/>
          <w:sz w:val="21"/>
          <w:szCs w:val="21"/>
        </w:rPr>
        <w:t xml:space="preserve"> Se </w:t>
      </w:r>
      <w:r w:rsidRPr="0083190B">
        <w:rPr>
          <w:rFonts w:ascii="Abadi" w:hAnsi="Abadi"/>
          <w:sz w:val="21"/>
          <w:szCs w:val="21"/>
        </w:rPr>
        <w:t xml:space="preserve">somete a discusión el dictamen formulado por la </w:t>
      </w:r>
      <w:r>
        <w:rPr>
          <w:rFonts w:ascii="Abadi" w:hAnsi="Abadi"/>
          <w:sz w:val="21"/>
          <w:szCs w:val="21"/>
        </w:rPr>
        <w:t>C</w:t>
      </w:r>
      <w:r w:rsidRPr="0083190B">
        <w:rPr>
          <w:rFonts w:ascii="Abadi" w:hAnsi="Abadi"/>
          <w:sz w:val="21"/>
          <w:szCs w:val="21"/>
        </w:rPr>
        <w:t xml:space="preserve">omisión de </w:t>
      </w:r>
      <w:r>
        <w:rPr>
          <w:rFonts w:ascii="Abadi" w:hAnsi="Abadi"/>
          <w:sz w:val="21"/>
          <w:szCs w:val="21"/>
        </w:rPr>
        <w:t>J</w:t>
      </w:r>
      <w:r w:rsidRPr="0083190B">
        <w:rPr>
          <w:rFonts w:ascii="Abadi" w:hAnsi="Abadi"/>
          <w:sz w:val="21"/>
          <w:szCs w:val="21"/>
        </w:rPr>
        <w:t>usticia que se refiere en el punto 42 de nuestra orden del día</w:t>
      </w:r>
      <w:r>
        <w:rPr>
          <w:rFonts w:ascii="Abadi" w:hAnsi="Abadi"/>
          <w:sz w:val="21"/>
          <w:szCs w:val="21"/>
        </w:rPr>
        <w:t>.</w:t>
      </w:r>
    </w:p>
    <w:p w14:paraId="655324BE" w14:textId="77777777" w:rsidR="005057DC" w:rsidRDefault="005057DC" w:rsidP="005057DC">
      <w:pPr>
        <w:ind w:firstLine="708"/>
        <w:jc w:val="both"/>
        <w:rPr>
          <w:rFonts w:ascii="Abadi" w:hAnsi="Abadi"/>
          <w:sz w:val="21"/>
          <w:szCs w:val="21"/>
        </w:rPr>
      </w:pPr>
    </w:p>
    <w:p w14:paraId="338DCF19" w14:textId="77777777" w:rsidR="005057DC" w:rsidRDefault="005057DC" w:rsidP="005057DC">
      <w:pPr>
        <w:ind w:firstLine="708"/>
        <w:jc w:val="both"/>
        <w:rPr>
          <w:rFonts w:ascii="Abadi" w:hAnsi="Abadi"/>
          <w:sz w:val="21"/>
          <w:szCs w:val="21"/>
        </w:rPr>
      </w:pPr>
      <w:r w:rsidRPr="0034360B">
        <w:rPr>
          <w:rFonts w:ascii="Abadi" w:hAnsi="Abadi"/>
          <w:b/>
          <w:bCs/>
          <w:sz w:val="21"/>
          <w:szCs w:val="21"/>
        </w:rPr>
        <w:t>- El Presidente.-</w:t>
      </w:r>
      <w:r>
        <w:rPr>
          <w:rFonts w:ascii="Abadi" w:hAnsi="Abadi"/>
          <w:sz w:val="21"/>
          <w:szCs w:val="21"/>
        </w:rPr>
        <w:t xml:space="preserve"> M</w:t>
      </w:r>
      <w:r w:rsidRPr="0083190B">
        <w:rPr>
          <w:rFonts w:ascii="Abadi" w:hAnsi="Abadi"/>
          <w:sz w:val="21"/>
          <w:szCs w:val="21"/>
        </w:rPr>
        <w:t xml:space="preserve">e permito informar que previamente se han inscrito los diputados Alejandro </w:t>
      </w:r>
      <w:r>
        <w:rPr>
          <w:rFonts w:ascii="Abadi" w:hAnsi="Abadi"/>
          <w:sz w:val="21"/>
          <w:szCs w:val="21"/>
        </w:rPr>
        <w:t>A</w:t>
      </w:r>
      <w:r w:rsidRPr="0083190B">
        <w:rPr>
          <w:rFonts w:ascii="Abadi" w:hAnsi="Abadi"/>
          <w:sz w:val="21"/>
          <w:szCs w:val="21"/>
        </w:rPr>
        <w:t xml:space="preserve">rias </w:t>
      </w:r>
      <w:r>
        <w:rPr>
          <w:rFonts w:ascii="Abadi" w:hAnsi="Abadi"/>
          <w:sz w:val="21"/>
          <w:szCs w:val="21"/>
        </w:rPr>
        <w:t>Á</w:t>
      </w:r>
      <w:r w:rsidRPr="0083190B">
        <w:rPr>
          <w:rFonts w:ascii="Abadi" w:hAnsi="Abadi"/>
          <w:sz w:val="21"/>
          <w:szCs w:val="21"/>
        </w:rPr>
        <w:t xml:space="preserve">vila y </w:t>
      </w:r>
      <w:r>
        <w:rPr>
          <w:rFonts w:ascii="Abadi" w:hAnsi="Abadi"/>
          <w:sz w:val="21"/>
          <w:szCs w:val="21"/>
        </w:rPr>
        <w:t>B</w:t>
      </w:r>
      <w:r w:rsidRPr="0083190B">
        <w:rPr>
          <w:rFonts w:ascii="Abadi" w:hAnsi="Abadi"/>
          <w:sz w:val="21"/>
          <w:szCs w:val="21"/>
        </w:rPr>
        <w:t xml:space="preserve">ricio </w:t>
      </w:r>
      <w:r>
        <w:rPr>
          <w:rFonts w:ascii="Abadi" w:hAnsi="Abadi"/>
          <w:sz w:val="21"/>
          <w:szCs w:val="21"/>
        </w:rPr>
        <w:t>B</w:t>
      </w:r>
      <w:r w:rsidRPr="0083190B">
        <w:rPr>
          <w:rFonts w:ascii="Abadi" w:hAnsi="Abadi"/>
          <w:sz w:val="21"/>
          <w:szCs w:val="21"/>
        </w:rPr>
        <w:t xml:space="preserve">alderas </w:t>
      </w:r>
      <w:r>
        <w:rPr>
          <w:rFonts w:ascii="Abadi" w:hAnsi="Abadi"/>
          <w:sz w:val="21"/>
          <w:szCs w:val="21"/>
        </w:rPr>
        <w:t>Á</w:t>
      </w:r>
      <w:r w:rsidRPr="0083190B">
        <w:rPr>
          <w:rFonts w:ascii="Abadi" w:hAnsi="Abadi"/>
          <w:sz w:val="21"/>
          <w:szCs w:val="21"/>
        </w:rPr>
        <w:t>lvarez</w:t>
      </w:r>
      <w:r>
        <w:rPr>
          <w:rFonts w:ascii="Abadi" w:hAnsi="Abadi"/>
          <w:sz w:val="21"/>
          <w:szCs w:val="21"/>
        </w:rPr>
        <w:t>,</w:t>
      </w:r>
      <w:r w:rsidRPr="0083190B">
        <w:rPr>
          <w:rFonts w:ascii="Abadi" w:hAnsi="Abadi"/>
          <w:sz w:val="21"/>
          <w:szCs w:val="21"/>
        </w:rPr>
        <w:t xml:space="preserve"> para hablar a favor</w:t>
      </w:r>
      <w:r>
        <w:rPr>
          <w:rFonts w:ascii="Abadi" w:hAnsi="Abadi"/>
          <w:sz w:val="21"/>
          <w:szCs w:val="21"/>
        </w:rPr>
        <w:t>.</w:t>
      </w:r>
    </w:p>
    <w:p w14:paraId="624EB704" w14:textId="41B56F7B" w:rsidR="005057DC" w:rsidRDefault="005057DC" w:rsidP="005057DC">
      <w:pPr>
        <w:ind w:firstLine="708"/>
        <w:jc w:val="both"/>
        <w:rPr>
          <w:rFonts w:ascii="Abadi" w:hAnsi="Abadi"/>
          <w:sz w:val="21"/>
          <w:szCs w:val="21"/>
        </w:rPr>
      </w:pPr>
      <w:r>
        <w:rPr>
          <w:rFonts w:ascii="Abadi" w:hAnsi="Abadi"/>
          <w:sz w:val="21"/>
          <w:szCs w:val="21"/>
        </w:rPr>
        <w:t>- Si</w:t>
      </w:r>
      <w:r w:rsidRPr="0083190B">
        <w:rPr>
          <w:rFonts w:ascii="Abadi" w:hAnsi="Abadi"/>
          <w:sz w:val="21"/>
          <w:szCs w:val="21"/>
        </w:rPr>
        <w:t xml:space="preserve"> alguna diputada o algún otro diputado</w:t>
      </w:r>
      <w:r>
        <w:rPr>
          <w:rFonts w:ascii="Abadi" w:hAnsi="Abadi"/>
          <w:sz w:val="21"/>
          <w:szCs w:val="21"/>
        </w:rPr>
        <w:t xml:space="preserve"> desea hacer uso de la palabra en pro o en contra manifiéstenlo </w:t>
      </w:r>
      <w:r w:rsidRPr="0083190B">
        <w:rPr>
          <w:rFonts w:ascii="Abadi" w:hAnsi="Abadi"/>
          <w:sz w:val="21"/>
          <w:szCs w:val="21"/>
        </w:rPr>
        <w:t>indicando el sentido de su participación</w:t>
      </w:r>
      <w:r>
        <w:rPr>
          <w:rFonts w:ascii="Abadi" w:hAnsi="Abadi"/>
          <w:sz w:val="21"/>
          <w:szCs w:val="21"/>
        </w:rPr>
        <w:t>.</w:t>
      </w:r>
    </w:p>
    <w:p w14:paraId="68828F15" w14:textId="77777777" w:rsidR="005057DC" w:rsidRDefault="005057DC" w:rsidP="005057DC">
      <w:pPr>
        <w:ind w:firstLine="708"/>
        <w:jc w:val="both"/>
        <w:rPr>
          <w:rFonts w:ascii="Abadi" w:hAnsi="Abadi"/>
          <w:sz w:val="21"/>
          <w:szCs w:val="21"/>
        </w:rPr>
      </w:pPr>
    </w:p>
    <w:p w14:paraId="00CFF27E" w14:textId="73B80AD1" w:rsidR="005057DC" w:rsidRDefault="005057DC" w:rsidP="005057DC">
      <w:pPr>
        <w:ind w:firstLine="708"/>
        <w:jc w:val="both"/>
        <w:rPr>
          <w:rFonts w:ascii="Abadi" w:hAnsi="Abadi"/>
          <w:sz w:val="21"/>
          <w:szCs w:val="21"/>
        </w:rPr>
      </w:pPr>
      <w:r>
        <w:rPr>
          <w:rFonts w:ascii="Abadi" w:hAnsi="Abadi"/>
          <w:sz w:val="21"/>
          <w:szCs w:val="21"/>
        </w:rPr>
        <w:t>- S</w:t>
      </w:r>
      <w:r w:rsidRPr="0083190B">
        <w:rPr>
          <w:rFonts w:ascii="Abadi" w:hAnsi="Abadi"/>
          <w:sz w:val="21"/>
          <w:szCs w:val="21"/>
        </w:rPr>
        <w:t xml:space="preserve">e concede el </w:t>
      </w:r>
      <w:r>
        <w:rPr>
          <w:rFonts w:ascii="Abadi" w:hAnsi="Abadi"/>
          <w:sz w:val="21"/>
          <w:szCs w:val="21"/>
        </w:rPr>
        <w:t>u</w:t>
      </w:r>
      <w:r w:rsidRPr="0083190B">
        <w:rPr>
          <w:rFonts w:ascii="Abadi" w:hAnsi="Abadi"/>
          <w:sz w:val="21"/>
          <w:szCs w:val="21"/>
        </w:rPr>
        <w:t xml:space="preserve">so de la palabra al diputado Alejandro </w:t>
      </w:r>
      <w:r>
        <w:rPr>
          <w:rFonts w:ascii="Abadi" w:hAnsi="Abadi"/>
          <w:sz w:val="21"/>
          <w:szCs w:val="21"/>
        </w:rPr>
        <w:t>A</w:t>
      </w:r>
      <w:r w:rsidRPr="0083190B">
        <w:rPr>
          <w:rFonts w:ascii="Abadi" w:hAnsi="Abadi"/>
          <w:sz w:val="21"/>
          <w:szCs w:val="21"/>
        </w:rPr>
        <w:t xml:space="preserve">rias </w:t>
      </w:r>
      <w:r>
        <w:rPr>
          <w:rFonts w:ascii="Abadi" w:hAnsi="Abadi"/>
          <w:sz w:val="21"/>
          <w:szCs w:val="21"/>
        </w:rPr>
        <w:t>Á</w:t>
      </w:r>
      <w:r w:rsidRPr="0083190B">
        <w:rPr>
          <w:rFonts w:ascii="Abadi" w:hAnsi="Abadi"/>
          <w:sz w:val="21"/>
          <w:szCs w:val="21"/>
        </w:rPr>
        <w:t>vila</w:t>
      </w:r>
      <w:r>
        <w:rPr>
          <w:rFonts w:ascii="Abadi" w:hAnsi="Abadi"/>
          <w:sz w:val="21"/>
          <w:szCs w:val="21"/>
        </w:rPr>
        <w:t xml:space="preserve">, </w:t>
      </w:r>
      <w:r w:rsidRPr="0083190B">
        <w:rPr>
          <w:rFonts w:ascii="Abadi" w:hAnsi="Abadi"/>
          <w:sz w:val="21"/>
          <w:szCs w:val="21"/>
        </w:rPr>
        <w:t>hasta por 10 minutos</w:t>
      </w:r>
      <w:r>
        <w:rPr>
          <w:rFonts w:ascii="Abadi" w:hAnsi="Abadi"/>
          <w:sz w:val="21"/>
          <w:szCs w:val="21"/>
        </w:rPr>
        <w:t>.</w:t>
      </w:r>
    </w:p>
    <w:p w14:paraId="7683ED3B" w14:textId="77777777" w:rsidR="005057DC" w:rsidRDefault="005057DC" w:rsidP="005057DC">
      <w:pPr>
        <w:ind w:firstLine="708"/>
        <w:jc w:val="both"/>
        <w:rPr>
          <w:rFonts w:ascii="Abadi" w:hAnsi="Abadi"/>
          <w:sz w:val="21"/>
          <w:szCs w:val="21"/>
        </w:rPr>
      </w:pPr>
    </w:p>
    <w:p w14:paraId="44967DAD" w14:textId="77777777" w:rsidR="005057DC" w:rsidRDefault="005057DC" w:rsidP="005057DC">
      <w:pPr>
        <w:jc w:val="both"/>
        <w:rPr>
          <w:rFonts w:ascii="Abadi" w:hAnsi="Abadi"/>
          <w:b/>
          <w:bCs/>
          <w:sz w:val="21"/>
          <w:szCs w:val="21"/>
        </w:rPr>
      </w:pPr>
      <w:r w:rsidRPr="008F3429">
        <w:rPr>
          <w:rFonts w:ascii="Abadi" w:hAnsi="Abadi"/>
          <w:b/>
          <w:bCs/>
          <w:sz w:val="21"/>
          <w:szCs w:val="21"/>
        </w:rPr>
        <w:t>(Sube a tribuna el diputado Alejandro Arias Ávila, para hablar a favor del dictamen en referencia)</w:t>
      </w:r>
    </w:p>
    <w:p w14:paraId="5C602EA3" w14:textId="77777777" w:rsidR="005057DC" w:rsidRDefault="005057DC" w:rsidP="005057DC">
      <w:pPr>
        <w:jc w:val="both"/>
        <w:rPr>
          <w:rFonts w:ascii="Abadi" w:hAnsi="Abadi"/>
          <w:b/>
          <w:bCs/>
          <w:sz w:val="21"/>
          <w:szCs w:val="21"/>
        </w:rPr>
      </w:pPr>
    </w:p>
    <w:p w14:paraId="70EA11E2" w14:textId="77777777" w:rsidR="005057DC" w:rsidRDefault="005057DC" w:rsidP="005057DC">
      <w:pPr>
        <w:jc w:val="both"/>
        <w:rPr>
          <w:rFonts w:ascii="Abadi" w:hAnsi="Abadi"/>
          <w:b/>
          <w:bCs/>
          <w:sz w:val="21"/>
          <w:szCs w:val="21"/>
        </w:rPr>
      </w:pPr>
    </w:p>
    <w:p w14:paraId="5EBCEFCE" w14:textId="354B884B" w:rsidR="005057DC" w:rsidRPr="008F3429" w:rsidRDefault="005057DC" w:rsidP="005057DC">
      <w:pPr>
        <w:jc w:val="both"/>
        <w:rPr>
          <w:rFonts w:ascii="Abadi" w:hAnsi="Abadi"/>
          <w:b/>
          <w:bCs/>
          <w:sz w:val="21"/>
          <w:szCs w:val="21"/>
        </w:rPr>
      </w:pPr>
      <w:r>
        <w:rPr>
          <w:noProof/>
        </w:rPr>
        <w:drawing>
          <wp:anchor distT="0" distB="0" distL="114300" distR="114300" simplePos="0" relativeHeight="251709440" behindDoc="1" locked="0" layoutInCell="1" allowOverlap="1" wp14:anchorId="2662E84D" wp14:editId="4DB496AC">
            <wp:simplePos x="0" y="0"/>
            <wp:positionH relativeFrom="column">
              <wp:posOffset>561376</wp:posOffset>
            </wp:positionH>
            <wp:positionV relativeFrom="paragraph">
              <wp:posOffset>308778</wp:posOffset>
            </wp:positionV>
            <wp:extent cx="1382650" cy="721242"/>
            <wp:effectExtent l="247650" t="228600" r="255905" b="746125"/>
            <wp:wrapTight wrapText="bothSides">
              <wp:wrapPolygon edited="0">
                <wp:start x="-3870" y="-6851"/>
                <wp:lineTo x="-3870" y="43390"/>
                <wp:lineTo x="25301" y="43390"/>
                <wp:lineTo x="25301" y="-6851"/>
                <wp:lineTo x="-3870" y="-6851"/>
              </wp:wrapPolygon>
            </wp:wrapTight>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extLst>
                        <a:ext uri="{28A0092B-C50C-407E-A947-70E740481C1C}">
                          <a14:useLocalDpi xmlns:a14="http://schemas.microsoft.com/office/drawing/2010/main" val="0"/>
                        </a:ext>
                      </a:extLst>
                    </a:blip>
                    <a:srcRect b="7220"/>
                    <a:stretch/>
                  </pic:blipFill>
                  <pic:spPr bwMode="auto">
                    <a:xfrm>
                      <a:off x="0" y="0"/>
                      <a:ext cx="1382650" cy="721242"/>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11489079" w14:textId="0E9CED62" w:rsidR="005057DC" w:rsidRDefault="005057DC" w:rsidP="005057DC">
      <w:pPr>
        <w:ind w:firstLine="708"/>
        <w:jc w:val="both"/>
        <w:rPr>
          <w:rFonts w:ascii="Abadi" w:hAnsi="Abadi"/>
          <w:sz w:val="21"/>
          <w:szCs w:val="21"/>
        </w:rPr>
      </w:pPr>
    </w:p>
    <w:p w14:paraId="27DB353F" w14:textId="2405206C" w:rsidR="005057DC" w:rsidRDefault="005057DC" w:rsidP="005057DC">
      <w:pPr>
        <w:ind w:firstLine="708"/>
        <w:jc w:val="both"/>
        <w:rPr>
          <w:rFonts w:ascii="Abadi" w:hAnsi="Abadi"/>
          <w:sz w:val="21"/>
          <w:szCs w:val="21"/>
        </w:rPr>
      </w:pPr>
      <w:r>
        <w:rPr>
          <w:rFonts w:ascii="Abadi" w:hAnsi="Abadi"/>
          <w:sz w:val="21"/>
          <w:szCs w:val="21"/>
        </w:rPr>
        <w:t>- Con e</w:t>
      </w:r>
      <w:r w:rsidRPr="0083190B">
        <w:rPr>
          <w:rFonts w:ascii="Abadi" w:hAnsi="Abadi"/>
          <w:sz w:val="21"/>
          <w:szCs w:val="21"/>
        </w:rPr>
        <w:t>l permiso de la presidencia compañeras diputadas compañeros diputados a quienes</w:t>
      </w:r>
      <w:r>
        <w:rPr>
          <w:rFonts w:ascii="Abadi" w:hAnsi="Abadi"/>
          <w:sz w:val="21"/>
          <w:szCs w:val="21"/>
        </w:rPr>
        <w:t xml:space="preserve"> nos ven por los medios electrónicos </w:t>
      </w:r>
      <w:r w:rsidRPr="0083190B">
        <w:rPr>
          <w:rFonts w:ascii="Abadi" w:hAnsi="Abadi"/>
          <w:sz w:val="21"/>
          <w:szCs w:val="21"/>
        </w:rPr>
        <w:t xml:space="preserve">y a los presentes acudo a esta tribuna para hablar a favor del dictamen que la </w:t>
      </w:r>
      <w:r>
        <w:rPr>
          <w:rFonts w:ascii="Abadi" w:hAnsi="Abadi"/>
          <w:sz w:val="21"/>
          <w:szCs w:val="21"/>
        </w:rPr>
        <w:t>C</w:t>
      </w:r>
      <w:r w:rsidRPr="0083190B">
        <w:rPr>
          <w:rFonts w:ascii="Abadi" w:hAnsi="Abadi"/>
          <w:sz w:val="21"/>
          <w:szCs w:val="21"/>
        </w:rPr>
        <w:t xml:space="preserve">omisión de </w:t>
      </w:r>
      <w:r>
        <w:rPr>
          <w:rFonts w:ascii="Abadi" w:hAnsi="Abadi"/>
          <w:sz w:val="21"/>
          <w:szCs w:val="21"/>
        </w:rPr>
        <w:t>J</w:t>
      </w:r>
      <w:r w:rsidRPr="0083190B">
        <w:rPr>
          <w:rFonts w:ascii="Abadi" w:hAnsi="Abadi"/>
          <w:sz w:val="21"/>
          <w:szCs w:val="21"/>
        </w:rPr>
        <w:t xml:space="preserve">usticia somete a aprobación del </w:t>
      </w:r>
      <w:r>
        <w:rPr>
          <w:rFonts w:ascii="Abadi" w:hAnsi="Abadi"/>
          <w:sz w:val="21"/>
          <w:szCs w:val="21"/>
        </w:rPr>
        <w:t>P</w:t>
      </w:r>
      <w:r w:rsidRPr="0083190B">
        <w:rPr>
          <w:rFonts w:ascii="Abadi" w:hAnsi="Abadi"/>
          <w:sz w:val="21"/>
          <w:szCs w:val="21"/>
        </w:rPr>
        <w:t>leno de este órgano legislativo</w:t>
      </w:r>
      <w:r>
        <w:rPr>
          <w:rFonts w:ascii="Abadi" w:hAnsi="Abadi"/>
          <w:sz w:val="21"/>
          <w:szCs w:val="21"/>
        </w:rPr>
        <w:t>.</w:t>
      </w:r>
    </w:p>
    <w:p w14:paraId="73B9A433" w14:textId="77777777" w:rsidR="005057DC" w:rsidRDefault="005057DC" w:rsidP="005057DC">
      <w:pPr>
        <w:ind w:firstLine="708"/>
        <w:jc w:val="both"/>
        <w:rPr>
          <w:rFonts w:ascii="Abadi" w:hAnsi="Abadi"/>
          <w:sz w:val="21"/>
          <w:szCs w:val="21"/>
        </w:rPr>
      </w:pPr>
    </w:p>
    <w:p w14:paraId="1F9669B6" w14:textId="33DD37FB" w:rsidR="005057DC" w:rsidRDefault="005057DC" w:rsidP="005057DC">
      <w:pPr>
        <w:ind w:firstLine="708"/>
        <w:jc w:val="both"/>
        <w:rPr>
          <w:rFonts w:ascii="Abadi" w:hAnsi="Abadi"/>
          <w:sz w:val="21"/>
          <w:szCs w:val="21"/>
        </w:rPr>
      </w:pPr>
      <w:r>
        <w:rPr>
          <w:rFonts w:ascii="Abadi" w:hAnsi="Abadi"/>
          <w:sz w:val="21"/>
          <w:szCs w:val="21"/>
        </w:rPr>
        <w:t>- L</w:t>
      </w:r>
      <w:r w:rsidRPr="0083190B">
        <w:rPr>
          <w:rFonts w:ascii="Abadi" w:hAnsi="Abadi"/>
          <w:sz w:val="21"/>
          <w:szCs w:val="21"/>
        </w:rPr>
        <w:t>a iniciativa presentada por esta fracción parlamentaria derivó de la preocupación de los padres de familia sobre los constantes robos que las instalaciones educativas del sector público estatal sufren y qué se agravaron con motivo de la pandemia y que a la fecha no han cesado</w:t>
      </w:r>
      <w:r>
        <w:rPr>
          <w:rFonts w:ascii="Abadi" w:hAnsi="Abadi"/>
          <w:sz w:val="21"/>
          <w:szCs w:val="21"/>
        </w:rPr>
        <w:t>,</w:t>
      </w:r>
      <w:r w:rsidRPr="0083190B">
        <w:rPr>
          <w:rFonts w:ascii="Abadi" w:hAnsi="Abadi"/>
          <w:sz w:val="21"/>
          <w:szCs w:val="21"/>
        </w:rPr>
        <w:t xml:space="preserve"> lo que ha producido un daño patrimonial significativo al erario público y al patrimonio de los padres de familia pues las reparaciones y reposiciones del material y equipamiento robado está a cargo de la </w:t>
      </w:r>
      <w:r>
        <w:rPr>
          <w:rFonts w:ascii="Abadi" w:hAnsi="Abadi"/>
          <w:sz w:val="21"/>
          <w:szCs w:val="21"/>
        </w:rPr>
        <w:t>S</w:t>
      </w:r>
      <w:r w:rsidRPr="0083190B">
        <w:rPr>
          <w:rFonts w:ascii="Abadi" w:hAnsi="Abadi"/>
          <w:sz w:val="21"/>
          <w:szCs w:val="21"/>
        </w:rPr>
        <w:t xml:space="preserve">ecretaría de </w:t>
      </w:r>
      <w:r>
        <w:rPr>
          <w:rFonts w:ascii="Abadi" w:hAnsi="Abadi"/>
          <w:sz w:val="21"/>
          <w:szCs w:val="21"/>
        </w:rPr>
        <w:t>E</w:t>
      </w:r>
      <w:r w:rsidRPr="0083190B">
        <w:rPr>
          <w:rFonts w:ascii="Abadi" w:hAnsi="Abadi"/>
          <w:sz w:val="21"/>
          <w:szCs w:val="21"/>
        </w:rPr>
        <w:t xml:space="preserve">ducación en el </w:t>
      </w:r>
      <w:r>
        <w:rPr>
          <w:rFonts w:ascii="Abadi" w:hAnsi="Abadi"/>
          <w:sz w:val="21"/>
          <w:szCs w:val="21"/>
        </w:rPr>
        <w:t>E</w:t>
      </w:r>
      <w:r w:rsidRPr="0083190B">
        <w:rPr>
          <w:rFonts w:ascii="Abadi" w:hAnsi="Abadi"/>
          <w:sz w:val="21"/>
          <w:szCs w:val="21"/>
        </w:rPr>
        <w:t>stado y en no pocos casos mediante cooperaciones otorgadas por los padres de los estudiantes</w:t>
      </w:r>
      <w:r>
        <w:rPr>
          <w:rFonts w:ascii="Abadi" w:hAnsi="Abadi"/>
          <w:sz w:val="21"/>
          <w:szCs w:val="21"/>
        </w:rPr>
        <w:t>.</w:t>
      </w:r>
    </w:p>
    <w:p w14:paraId="48B970F9" w14:textId="77777777" w:rsidR="005057DC" w:rsidRDefault="005057DC" w:rsidP="005057DC">
      <w:pPr>
        <w:ind w:firstLine="708"/>
        <w:jc w:val="both"/>
        <w:rPr>
          <w:rFonts w:ascii="Abadi" w:hAnsi="Abadi"/>
          <w:sz w:val="21"/>
          <w:szCs w:val="21"/>
        </w:rPr>
      </w:pPr>
    </w:p>
    <w:p w14:paraId="68622AF4" w14:textId="0D2FE3AA" w:rsidR="005057DC" w:rsidRDefault="005057DC" w:rsidP="005057DC">
      <w:pPr>
        <w:ind w:firstLine="708"/>
        <w:jc w:val="both"/>
        <w:rPr>
          <w:rFonts w:ascii="Abadi" w:hAnsi="Abadi"/>
          <w:sz w:val="21"/>
          <w:szCs w:val="21"/>
        </w:rPr>
      </w:pPr>
      <w:r>
        <w:rPr>
          <w:rFonts w:ascii="Abadi" w:hAnsi="Abadi"/>
          <w:sz w:val="21"/>
          <w:szCs w:val="21"/>
        </w:rPr>
        <w:t xml:space="preserve">- Consientes de que ni la Secretaría de educación </w:t>
      </w:r>
      <w:r w:rsidRPr="0083190B">
        <w:rPr>
          <w:rFonts w:ascii="Abadi" w:hAnsi="Abadi"/>
          <w:sz w:val="21"/>
          <w:szCs w:val="21"/>
        </w:rPr>
        <w:t xml:space="preserve">cuenta con el personal suficiente para la custodia de las instalaciones educativas sobre </w:t>
      </w:r>
      <w:r>
        <w:rPr>
          <w:rFonts w:ascii="Abadi" w:hAnsi="Abadi"/>
          <w:sz w:val="21"/>
          <w:szCs w:val="21"/>
        </w:rPr>
        <w:t xml:space="preserve">las rurales y de colonias consideradas como </w:t>
      </w:r>
      <w:r w:rsidRPr="0083190B">
        <w:rPr>
          <w:rFonts w:ascii="Abadi" w:hAnsi="Abadi"/>
          <w:sz w:val="21"/>
          <w:szCs w:val="21"/>
        </w:rPr>
        <w:t>de conflicto en los diversos municipios del estado ni los cuerpos de seguridad pública municipal o estatal cuentan con personal para realizar la vigilancia efectiva es por lo que los robos se continúan efectuando con el consecuente daño patrimonial por lo que se requiere que el estado responda con mayor severidad en la pena impuesta a los culpables de dichos robos</w:t>
      </w:r>
      <w:r>
        <w:rPr>
          <w:rFonts w:ascii="Abadi" w:hAnsi="Abadi"/>
          <w:sz w:val="21"/>
          <w:szCs w:val="21"/>
        </w:rPr>
        <w:t xml:space="preserve">, </w:t>
      </w:r>
      <w:r w:rsidRPr="0083190B">
        <w:rPr>
          <w:rFonts w:ascii="Abadi" w:hAnsi="Abadi"/>
          <w:sz w:val="21"/>
          <w:szCs w:val="21"/>
        </w:rPr>
        <w:t>ante tal</w:t>
      </w:r>
      <w:r>
        <w:rPr>
          <w:rFonts w:ascii="Abadi" w:hAnsi="Abadi"/>
          <w:sz w:val="21"/>
          <w:szCs w:val="21"/>
        </w:rPr>
        <w:t xml:space="preserve"> problemática, si bien es cierto propusimos una fracción décimo tercera </w:t>
      </w:r>
      <w:r w:rsidRPr="0083190B">
        <w:rPr>
          <w:rFonts w:ascii="Abadi" w:hAnsi="Abadi"/>
          <w:sz w:val="21"/>
          <w:szCs w:val="21"/>
        </w:rPr>
        <w:t xml:space="preserve">al artículo 194 del </w:t>
      </w:r>
      <w:r>
        <w:rPr>
          <w:rFonts w:ascii="Abadi" w:hAnsi="Abadi"/>
          <w:sz w:val="21"/>
          <w:szCs w:val="21"/>
        </w:rPr>
        <w:t>C</w:t>
      </w:r>
      <w:r w:rsidRPr="0083190B">
        <w:rPr>
          <w:rFonts w:ascii="Abadi" w:hAnsi="Abadi"/>
          <w:sz w:val="21"/>
          <w:szCs w:val="21"/>
        </w:rPr>
        <w:t xml:space="preserve">ódigo </w:t>
      </w:r>
      <w:r>
        <w:rPr>
          <w:rFonts w:ascii="Abadi" w:hAnsi="Abadi"/>
          <w:sz w:val="21"/>
          <w:szCs w:val="21"/>
        </w:rPr>
        <w:t>P</w:t>
      </w:r>
      <w:r w:rsidRPr="0083190B">
        <w:rPr>
          <w:rFonts w:ascii="Abadi" w:hAnsi="Abadi"/>
          <w:sz w:val="21"/>
          <w:szCs w:val="21"/>
        </w:rPr>
        <w:t xml:space="preserve">enal del </w:t>
      </w:r>
      <w:r>
        <w:rPr>
          <w:rFonts w:ascii="Abadi" w:hAnsi="Abadi"/>
          <w:sz w:val="21"/>
          <w:szCs w:val="21"/>
        </w:rPr>
        <w:t>E</w:t>
      </w:r>
      <w:r w:rsidRPr="0083190B">
        <w:rPr>
          <w:rFonts w:ascii="Abadi" w:hAnsi="Abadi"/>
          <w:sz w:val="21"/>
          <w:szCs w:val="21"/>
        </w:rPr>
        <w:t xml:space="preserve">stado mediante la cual se considerase calificado el robo cometido a instituciones educativas públicas y sus accesorios también es cierto que derivado de los minuciosos análisis que se realizaron en la mesa de trabajo y en las sesiones de la </w:t>
      </w:r>
      <w:r>
        <w:rPr>
          <w:rFonts w:ascii="Abadi" w:hAnsi="Abadi"/>
          <w:sz w:val="21"/>
          <w:szCs w:val="21"/>
        </w:rPr>
        <w:t>C</w:t>
      </w:r>
      <w:r w:rsidRPr="0083190B">
        <w:rPr>
          <w:rFonts w:ascii="Abadi" w:hAnsi="Abadi"/>
          <w:sz w:val="21"/>
          <w:szCs w:val="21"/>
        </w:rPr>
        <w:t xml:space="preserve">omisión de </w:t>
      </w:r>
      <w:r>
        <w:rPr>
          <w:rFonts w:ascii="Abadi" w:hAnsi="Abadi"/>
          <w:sz w:val="21"/>
          <w:szCs w:val="21"/>
        </w:rPr>
        <w:t>J</w:t>
      </w:r>
      <w:r w:rsidRPr="0083190B">
        <w:rPr>
          <w:rFonts w:ascii="Abadi" w:hAnsi="Abadi"/>
          <w:sz w:val="21"/>
          <w:szCs w:val="21"/>
        </w:rPr>
        <w:t>usticia se logró mediante las aportaciones de la presidenta de la comisión llegar a la conclusión que la propuesta debía tener un mayor espectro de protección por lo que sé adicionó la iniciativa para evitar algún problema de interpretación de los operadores jurídicos que se reformara el contenido de la fracción séptima del artículo 194 mencionado</w:t>
      </w:r>
      <w:r>
        <w:rPr>
          <w:rFonts w:ascii="Abadi" w:hAnsi="Abadi"/>
          <w:sz w:val="21"/>
          <w:szCs w:val="21"/>
        </w:rPr>
        <w:t>.</w:t>
      </w:r>
    </w:p>
    <w:p w14:paraId="013DB71F" w14:textId="77777777" w:rsidR="005057DC" w:rsidRDefault="005057DC" w:rsidP="005057DC">
      <w:pPr>
        <w:ind w:firstLine="708"/>
        <w:jc w:val="both"/>
        <w:rPr>
          <w:rFonts w:ascii="Abadi" w:hAnsi="Abadi"/>
          <w:sz w:val="21"/>
          <w:szCs w:val="21"/>
        </w:rPr>
      </w:pPr>
    </w:p>
    <w:p w14:paraId="1916C98E" w14:textId="4FD1CDE3" w:rsidR="005057DC" w:rsidRDefault="005057DC" w:rsidP="005057DC">
      <w:pPr>
        <w:ind w:firstLine="708"/>
        <w:jc w:val="both"/>
        <w:rPr>
          <w:rFonts w:ascii="Abadi" w:hAnsi="Abadi"/>
          <w:sz w:val="21"/>
          <w:szCs w:val="21"/>
        </w:rPr>
      </w:pPr>
      <w:r>
        <w:rPr>
          <w:rFonts w:ascii="Abadi" w:hAnsi="Abadi"/>
          <w:sz w:val="21"/>
          <w:szCs w:val="21"/>
        </w:rPr>
        <w:t>- A</w:t>
      </w:r>
      <w:r w:rsidRPr="0083190B">
        <w:rPr>
          <w:rFonts w:ascii="Abadi" w:hAnsi="Abadi"/>
          <w:sz w:val="21"/>
          <w:szCs w:val="21"/>
        </w:rPr>
        <w:t xml:space="preserve"> efecto de considerar como calificado el robo que se comenta a no sólo escuelas públicas sino también a otras instituciones como lo son hospitales centros culturales o científicos entre otros es decir se protege el patrimonio no sólo de las escuelas públicas sino de cualquier institución del estado cuyos bienes pertenezcan o estén al servicio de estas</w:t>
      </w:r>
      <w:r>
        <w:rPr>
          <w:rFonts w:ascii="Abadi" w:hAnsi="Abadi"/>
          <w:sz w:val="21"/>
          <w:szCs w:val="21"/>
        </w:rPr>
        <w:t>,</w:t>
      </w:r>
      <w:r w:rsidRPr="0083190B">
        <w:rPr>
          <w:rFonts w:ascii="Abadi" w:hAnsi="Abadi"/>
          <w:sz w:val="21"/>
          <w:szCs w:val="21"/>
        </w:rPr>
        <w:t xml:space="preserve"> en ese sentido hemos de reconocer las aportaciones de quienes participaron en la ampliación de los alcances de esta iniciativa</w:t>
      </w:r>
      <w:r>
        <w:rPr>
          <w:rFonts w:ascii="Abadi" w:hAnsi="Abadi"/>
          <w:sz w:val="21"/>
          <w:szCs w:val="21"/>
        </w:rPr>
        <w:t xml:space="preserve">, </w:t>
      </w:r>
      <w:r w:rsidRPr="0083190B">
        <w:rPr>
          <w:rFonts w:ascii="Abadi" w:hAnsi="Abadi"/>
          <w:sz w:val="21"/>
          <w:szCs w:val="21"/>
        </w:rPr>
        <w:t>en donde se da muestra de que son más nuestras coincidencias cuando del bienestar de los guanajuatenses y de los guanajuatenses se trata pues legislar más que un trabajo de proposiciones y oposiciones es un compromiso compartido que lleva como consigna entregar buenos resultados a nuestros representa</w:t>
      </w:r>
      <w:r>
        <w:rPr>
          <w:rFonts w:ascii="Abadi" w:hAnsi="Abadi"/>
          <w:sz w:val="21"/>
          <w:szCs w:val="21"/>
        </w:rPr>
        <w:t>dos</w:t>
      </w:r>
      <w:r w:rsidRPr="0083190B">
        <w:rPr>
          <w:rFonts w:ascii="Abadi" w:hAnsi="Abadi"/>
          <w:sz w:val="21"/>
          <w:szCs w:val="21"/>
        </w:rPr>
        <w:t xml:space="preserve"> si bien una reforma como ésta no es una solución mágica problema</w:t>
      </w:r>
      <w:r>
        <w:rPr>
          <w:rFonts w:ascii="Abadi" w:hAnsi="Abadi"/>
          <w:sz w:val="21"/>
          <w:szCs w:val="21"/>
        </w:rPr>
        <w:t>,</w:t>
      </w:r>
      <w:r w:rsidRPr="0083190B">
        <w:rPr>
          <w:rFonts w:ascii="Abadi" w:hAnsi="Abadi"/>
          <w:sz w:val="21"/>
          <w:szCs w:val="21"/>
        </w:rPr>
        <w:t xml:space="preserve"> de la inseguridad y robo a instituciones públicas que padecemos</w:t>
      </w:r>
      <w:r>
        <w:rPr>
          <w:rFonts w:ascii="Abadi" w:hAnsi="Abadi"/>
          <w:sz w:val="21"/>
          <w:szCs w:val="21"/>
        </w:rPr>
        <w:t>,</w:t>
      </w:r>
      <w:r w:rsidRPr="0083190B">
        <w:rPr>
          <w:rFonts w:ascii="Abadi" w:hAnsi="Abadi"/>
          <w:sz w:val="21"/>
          <w:szCs w:val="21"/>
        </w:rPr>
        <w:t xml:space="preserve"> estamos convencidos de que esta acción legislativa constituye una aportación importante</w:t>
      </w:r>
      <w:r>
        <w:rPr>
          <w:rFonts w:ascii="Abadi" w:hAnsi="Abadi"/>
          <w:sz w:val="21"/>
          <w:szCs w:val="21"/>
        </w:rPr>
        <w:t>,</w:t>
      </w:r>
      <w:r w:rsidRPr="0083190B">
        <w:rPr>
          <w:rFonts w:ascii="Abadi" w:hAnsi="Abadi"/>
          <w:sz w:val="21"/>
          <w:szCs w:val="21"/>
        </w:rPr>
        <w:t xml:space="preserve"> para sancionar con mayor rigor a quien o quienes atentan contra el patrimonio de todas y todos los guanajuatenses</w:t>
      </w:r>
      <w:r>
        <w:rPr>
          <w:rFonts w:ascii="Abadi" w:hAnsi="Abadi"/>
          <w:sz w:val="21"/>
          <w:szCs w:val="21"/>
        </w:rPr>
        <w:t>,</w:t>
      </w:r>
      <w:r w:rsidRPr="0083190B">
        <w:rPr>
          <w:rFonts w:ascii="Abadi" w:hAnsi="Abadi"/>
          <w:sz w:val="21"/>
          <w:szCs w:val="21"/>
        </w:rPr>
        <w:t xml:space="preserve"> pues</w:t>
      </w:r>
      <w:r>
        <w:rPr>
          <w:rFonts w:ascii="Abadi" w:hAnsi="Abadi"/>
          <w:sz w:val="21"/>
          <w:szCs w:val="21"/>
        </w:rPr>
        <w:t xml:space="preserve">to </w:t>
      </w:r>
      <w:r w:rsidRPr="0083190B">
        <w:rPr>
          <w:rFonts w:ascii="Abadi" w:hAnsi="Abadi"/>
          <w:sz w:val="21"/>
          <w:szCs w:val="21"/>
        </w:rPr>
        <w:t>que es</w:t>
      </w:r>
      <w:r>
        <w:rPr>
          <w:rFonts w:ascii="Abadi" w:hAnsi="Abadi"/>
          <w:sz w:val="21"/>
          <w:szCs w:val="21"/>
        </w:rPr>
        <w:t>t</w:t>
      </w:r>
      <w:r w:rsidRPr="0083190B">
        <w:rPr>
          <w:rFonts w:ascii="Abadi" w:hAnsi="Abadi"/>
          <w:sz w:val="21"/>
          <w:szCs w:val="21"/>
        </w:rPr>
        <w:t xml:space="preserve">as conductas </w:t>
      </w:r>
      <w:r>
        <w:rPr>
          <w:rFonts w:ascii="Abadi" w:hAnsi="Abadi"/>
          <w:sz w:val="21"/>
          <w:szCs w:val="21"/>
        </w:rPr>
        <w:t xml:space="preserve">serán sancionadas </w:t>
      </w:r>
      <w:r w:rsidRPr="0083190B">
        <w:rPr>
          <w:rFonts w:ascii="Abadi" w:hAnsi="Abadi"/>
          <w:sz w:val="21"/>
          <w:szCs w:val="21"/>
        </w:rPr>
        <w:t>con mayor severidad independientemente del monto</w:t>
      </w:r>
      <w:r>
        <w:rPr>
          <w:rFonts w:ascii="Abadi" w:hAnsi="Abadi"/>
          <w:sz w:val="21"/>
          <w:szCs w:val="21"/>
        </w:rPr>
        <w:t xml:space="preserve"> bien sustraído.</w:t>
      </w:r>
    </w:p>
    <w:p w14:paraId="3ED462C5" w14:textId="77777777" w:rsidR="00B566A3" w:rsidRDefault="00B566A3" w:rsidP="005057DC">
      <w:pPr>
        <w:ind w:firstLine="708"/>
        <w:jc w:val="both"/>
        <w:rPr>
          <w:rFonts w:ascii="Abadi" w:hAnsi="Abadi"/>
          <w:sz w:val="21"/>
          <w:szCs w:val="21"/>
        </w:rPr>
      </w:pPr>
    </w:p>
    <w:p w14:paraId="1A3F0A2E" w14:textId="37A6C2E1" w:rsidR="005057DC" w:rsidRDefault="005057DC" w:rsidP="005057DC">
      <w:pPr>
        <w:jc w:val="both"/>
        <w:rPr>
          <w:rFonts w:ascii="Abadi" w:hAnsi="Abadi"/>
          <w:sz w:val="21"/>
          <w:szCs w:val="21"/>
        </w:rPr>
      </w:pPr>
      <w:r>
        <w:rPr>
          <w:rFonts w:ascii="Abadi" w:hAnsi="Abadi"/>
          <w:sz w:val="21"/>
          <w:szCs w:val="21"/>
        </w:rPr>
        <w:t>- A</w:t>
      </w:r>
      <w:r w:rsidRPr="0083190B">
        <w:rPr>
          <w:rFonts w:ascii="Abadi" w:hAnsi="Abadi"/>
          <w:sz w:val="21"/>
          <w:szCs w:val="21"/>
        </w:rPr>
        <w:t xml:space="preserve">sí nuestro agradecimiento a las instituciones públicas y a los compañeros diputados y diputadas de la </w:t>
      </w:r>
      <w:r>
        <w:rPr>
          <w:rFonts w:ascii="Abadi" w:hAnsi="Abadi"/>
          <w:sz w:val="21"/>
          <w:szCs w:val="21"/>
        </w:rPr>
        <w:t>C</w:t>
      </w:r>
      <w:r w:rsidRPr="0083190B">
        <w:rPr>
          <w:rFonts w:ascii="Abadi" w:hAnsi="Abadi"/>
          <w:sz w:val="21"/>
          <w:szCs w:val="21"/>
        </w:rPr>
        <w:t xml:space="preserve">omisión de </w:t>
      </w:r>
      <w:r>
        <w:rPr>
          <w:rFonts w:ascii="Abadi" w:hAnsi="Abadi"/>
          <w:sz w:val="21"/>
          <w:szCs w:val="21"/>
        </w:rPr>
        <w:t>J</w:t>
      </w:r>
      <w:r w:rsidRPr="0083190B">
        <w:rPr>
          <w:rFonts w:ascii="Abadi" w:hAnsi="Abadi"/>
          <w:sz w:val="21"/>
          <w:szCs w:val="21"/>
        </w:rPr>
        <w:t>usticia de</w:t>
      </w:r>
      <w:r>
        <w:rPr>
          <w:rFonts w:ascii="Abadi" w:hAnsi="Abadi"/>
          <w:sz w:val="21"/>
          <w:szCs w:val="21"/>
        </w:rPr>
        <w:t xml:space="preserve"> este C</w:t>
      </w:r>
      <w:r w:rsidRPr="0083190B">
        <w:rPr>
          <w:rFonts w:ascii="Abadi" w:hAnsi="Abadi"/>
          <w:sz w:val="21"/>
          <w:szCs w:val="21"/>
        </w:rPr>
        <w:t xml:space="preserve">ongreso por su trabajo y contribuciones importantes para el logro del presente dictamen que estamos seguros coadyuvar a que mejore la protección del </w:t>
      </w:r>
      <w:r>
        <w:rPr>
          <w:rFonts w:ascii="Abadi" w:hAnsi="Abadi"/>
          <w:sz w:val="21"/>
          <w:szCs w:val="21"/>
        </w:rPr>
        <w:t>p</w:t>
      </w:r>
      <w:r w:rsidRPr="0083190B">
        <w:rPr>
          <w:rFonts w:ascii="Abadi" w:hAnsi="Abadi"/>
          <w:sz w:val="21"/>
          <w:szCs w:val="21"/>
        </w:rPr>
        <w:t>atrimonio del estado</w:t>
      </w:r>
      <w:r>
        <w:rPr>
          <w:rFonts w:ascii="Abadi" w:hAnsi="Abadi"/>
          <w:sz w:val="21"/>
          <w:szCs w:val="21"/>
        </w:rPr>
        <w:t>.</w:t>
      </w:r>
    </w:p>
    <w:p w14:paraId="138F086F" w14:textId="77777777" w:rsidR="005057DC" w:rsidRDefault="005057DC" w:rsidP="005057DC">
      <w:pPr>
        <w:jc w:val="both"/>
        <w:rPr>
          <w:rFonts w:ascii="Abadi" w:hAnsi="Abadi"/>
          <w:sz w:val="21"/>
          <w:szCs w:val="21"/>
        </w:rPr>
      </w:pPr>
    </w:p>
    <w:p w14:paraId="7F764606" w14:textId="71434F55" w:rsidR="005057DC" w:rsidRDefault="005057DC" w:rsidP="005057DC">
      <w:pPr>
        <w:jc w:val="both"/>
        <w:rPr>
          <w:rFonts w:ascii="Abadi" w:hAnsi="Abadi"/>
          <w:sz w:val="21"/>
          <w:szCs w:val="21"/>
        </w:rPr>
      </w:pPr>
      <w:r>
        <w:rPr>
          <w:rFonts w:ascii="Abadi" w:hAnsi="Abadi"/>
          <w:sz w:val="21"/>
          <w:szCs w:val="21"/>
        </w:rPr>
        <w:t xml:space="preserve">- Es </w:t>
      </w:r>
      <w:r w:rsidRPr="0083190B">
        <w:rPr>
          <w:rFonts w:ascii="Abadi" w:hAnsi="Abadi"/>
          <w:sz w:val="21"/>
          <w:szCs w:val="21"/>
        </w:rPr>
        <w:t>por lo anterior que solicitó su voto a favor del presente dictamen</w:t>
      </w:r>
      <w:r>
        <w:rPr>
          <w:rFonts w:ascii="Abadi" w:hAnsi="Abadi"/>
          <w:sz w:val="21"/>
          <w:szCs w:val="21"/>
        </w:rPr>
        <w:t>,</w:t>
      </w:r>
      <w:r w:rsidRPr="0083190B">
        <w:rPr>
          <w:rFonts w:ascii="Abadi" w:hAnsi="Abadi"/>
          <w:sz w:val="21"/>
          <w:szCs w:val="21"/>
        </w:rPr>
        <w:t xml:space="preserve"> agradeciendo de antemano su apoyo</w:t>
      </w:r>
      <w:r>
        <w:rPr>
          <w:rFonts w:ascii="Abadi" w:hAnsi="Abadi"/>
          <w:sz w:val="21"/>
          <w:szCs w:val="21"/>
        </w:rPr>
        <w:t>.</w:t>
      </w:r>
    </w:p>
    <w:p w14:paraId="3E4754E2" w14:textId="77777777" w:rsidR="005057DC" w:rsidRDefault="005057DC" w:rsidP="005057DC">
      <w:pPr>
        <w:jc w:val="both"/>
        <w:rPr>
          <w:rFonts w:ascii="Abadi" w:hAnsi="Abadi"/>
          <w:sz w:val="21"/>
          <w:szCs w:val="21"/>
        </w:rPr>
      </w:pPr>
    </w:p>
    <w:p w14:paraId="776940AC" w14:textId="5190363F" w:rsidR="005057DC" w:rsidRDefault="005057DC" w:rsidP="005057DC">
      <w:pPr>
        <w:jc w:val="both"/>
        <w:rPr>
          <w:rFonts w:ascii="Abadi" w:hAnsi="Abadi"/>
          <w:sz w:val="21"/>
          <w:szCs w:val="21"/>
        </w:rPr>
      </w:pPr>
      <w:r>
        <w:rPr>
          <w:rFonts w:ascii="Abadi" w:hAnsi="Abadi"/>
          <w:sz w:val="21"/>
          <w:szCs w:val="21"/>
        </w:rPr>
        <w:t xml:space="preserve">- Es </w:t>
      </w:r>
      <w:r w:rsidRPr="0083190B">
        <w:rPr>
          <w:rFonts w:ascii="Abadi" w:hAnsi="Abadi"/>
          <w:sz w:val="21"/>
          <w:szCs w:val="21"/>
        </w:rPr>
        <w:t>cuanto president</w:t>
      </w:r>
      <w:r>
        <w:rPr>
          <w:rFonts w:ascii="Abadi" w:hAnsi="Abadi"/>
          <w:sz w:val="21"/>
          <w:szCs w:val="21"/>
        </w:rPr>
        <w:t>e.</w:t>
      </w:r>
    </w:p>
    <w:p w14:paraId="247DE80E" w14:textId="0D3C1A69" w:rsidR="005057DC" w:rsidRDefault="005057DC" w:rsidP="005057DC">
      <w:pPr>
        <w:jc w:val="both"/>
        <w:rPr>
          <w:rFonts w:ascii="Abadi" w:hAnsi="Abadi"/>
          <w:sz w:val="21"/>
          <w:szCs w:val="21"/>
        </w:rPr>
      </w:pPr>
    </w:p>
    <w:p w14:paraId="55CDDFE5" w14:textId="77777777" w:rsidR="005057DC" w:rsidRDefault="005057DC" w:rsidP="005057DC">
      <w:pPr>
        <w:jc w:val="both"/>
        <w:rPr>
          <w:rFonts w:ascii="Abadi" w:hAnsi="Abadi"/>
          <w:sz w:val="21"/>
          <w:szCs w:val="21"/>
        </w:rPr>
      </w:pPr>
    </w:p>
    <w:p w14:paraId="1BE3074A" w14:textId="56134568" w:rsidR="005057DC" w:rsidRDefault="005057DC" w:rsidP="005057DC">
      <w:pPr>
        <w:ind w:firstLine="708"/>
        <w:jc w:val="both"/>
        <w:rPr>
          <w:rFonts w:ascii="Abadi" w:hAnsi="Abadi"/>
          <w:sz w:val="21"/>
          <w:szCs w:val="21"/>
        </w:rPr>
      </w:pPr>
      <w:r w:rsidRPr="00ED51BE">
        <w:rPr>
          <w:rFonts w:ascii="Abadi" w:hAnsi="Abadi"/>
          <w:b/>
          <w:bCs/>
          <w:sz w:val="21"/>
          <w:szCs w:val="21"/>
        </w:rPr>
        <w:t>- El Presidente.-</w:t>
      </w:r>
      <w:r>
        <w:rPr>
          <w:rFonts w:ascii="Abadi" w:hAnsi="Abadi"/>
          <w:sz w:val="21"/>
          <w:szCs w:val="21"/>
        </w:rPr>
        <w:t xml:space="preserve"> G</w:t>
      </w:r>
      <w:r w:rsidRPr="0083190B">
        <w:rPr>
          <w:rFonts w:ascii="Abadi" w:hAnsi="Abadi"/>
          <w:sz w:val="21"/>
          <w:szCs w:val="21"/>
        </w:rPr>
        <w:t xml:space="preserve">racias diputado Alejandro </w:t>
      </w:r>
      <w:r>
        <w:rPr>
          <w:rFonts w:ascii="Abadi" w:hAnsi="Abadi"/>
          <w:sz w:val="21"/>
          <w:szCs w:val="21"/>
        </w:rPr>
        <w:t>A</w:t>
      </w:r>
      <w:r w:rsidRPr="0083190B">
        <w:rPr>
          <w:rFonts w:ascii="Abadi" w:hAnsi="Abadi"/>
          <w:sz w:val="21"/>
          <w:szCs w:val="21"/>
        </w:rPr>
        <w:t xml:space="preserve">rias se otorga el </w:t>
      </w:r>
      <w:r>
        <w:rPr>
          <w:rFonts w:ascii="Abadi" w:hAnsi="Abadi"/>
          <w:sz w:val="21"/>
          <w:szCs w:val="21"/>
        </w:rPr>
        <w:t>u</w:t>
      </w:r>
      <w:r w:rsidRPr="0083190B">
        <w:rPr>
          <w:rFonts w:ascii="Abadi" w:hAnsi="Abadi"/>
          <w:sz w:val="21"/>
          <w:szCs w:val="21"/>
        </w:rPr>
        <w:t xml:space="preserve">so de la voz al diputado </w:t>
      </w:r>
      <w:r>
        <w:rPr>
          <w:rFonts w:ascii="Abadi" w:hAnsi="Abadi"/>
          <w:sz w:val="21"/>
          <w:szCs w:val="21"/>
        </w:rPr>
        <w:t>B</w:t>
      </w:r>
      <w:r w:rsidRPr="0083190B">
        <w:rPr>
          <w:rFonts w:ascii="Abadi" w:hAnsi="Abadi"/>
          <w:sz w:val="21"/>
          <w:szCs w:val="21"/>
        </w:rPr>
        <w:t xml:space="preserve">ricio </w:t>
      </w:r>
      <w:r>
        <w:rPr>
          <w:rFonts w:ascii="Abadi" w:hAnsi="Abadi"/>
          <w:sz w:val="21"/>
          <w:szCs w:val="21"/>
        </w:rPr>
        <w:t>B</w:t>
      </w:r>
      <w:r w:rsidRPr="0083190B">
        <w:rPr>
          <w:rFonts w:ascii="Abadi" w:hAnsi="Abadi"/>
          <w:sz w:val="21"/>
          <w:szCs w:val="21"/>
        </w:rPr>
        <w:t>alderas Álvarez</w:t>
      </w:r>
      <w:r>
        <w:rPr>
          <w:rFonts w:ascii="Abadi" w:hAnsi="Abadi"/>
          <w:sz w:val="21"/>
          <w:szCs w:val="21"/>
        </w:rPr>
        <w:t xml:space="preserve">, </w:t>
      </w:r>
      <w:r w:rsidRPr="0083190B">
        <w:rPr>
          <w:rFonts w:ascii="Abadi" w:hAnsi="Abadi"/>
          <w:sz w:val="21"/>
          <w:szCs w:val="21"/>
        </w:rPr>
        <w:t>también hasta por 10 minutos</w:t>
      </w:r>
      <w:r>
        <w:rPr>
          <w:rFonts w:ascii="Abadi" w:hAnsi="Abadi"/>
          <w:sz w:val="21"/>
          <w:szCs w:val="21"/>
        </w:rPr>
        <w:t>.</w:t>
      </w:r>
    </w:p>
    <w:p w14:paraId="3C5A923B" w14:textId="77777777" w:rsidR="005057DC" w:rsidRDefault="005057DC" w:rsidP="005057DC">
      <w:pPr>
        <w:ind w:firstLine="708"/>
        <w:jc w:val="both"/>
        <w:rPr>
          <w:rFonts w:ascii="Abadi" w:hAnsi="Abadi"/>
          <w:sz w:val="21"/>
          <w:szCs w:val="21"/>
        </w:rPr>
      </w:pPr>
    </w:p>
    <w:p w14:paraId="6F9B5EA6" w14:textId="080B8F8F" w:rsidR="005057DC" w:rsidRDefault="00E83273" w:rsidP="005057DC">
      <w:pPr>
        <w:jc w:val="both"/>
        <w:rPr>
          <w:rFonts w:ascii="Abadi" w:hAnsi="Abadi"/>
          <w:b/>
          <w:bCs/>
          <w:sz w:val="21"/>
          <w:szCs w:val="21"/>
        </w:rPr>
      </w:pPr>
      <w:r>
        <w:rPr>
          <w:noProof/>
        </w:rPr>
        <w:drawing>
          <wp:anchor distT="0" distB="0" distL="114300" distR="114300" simplePos="0" relativeHeight="251710464" behindDoc="1" locked="0" layoutInCell="1" allowOverlap="1" wp14:anchorId="4ED30877" wp14:editId="08FB05E3">
            <wp:simplePos x="0" y="0"/>
            <wp:positionH relativeFrom="column">
              <wp:posOffset>553085</wp:posOffset>
            </wp:positionH>
            <wp:positionV relativeFrom="paragraph">
              <wp:posOffset>829310</wp:posOffset>
            </wp:positionV>
            <wp:extent cx="1692910" cy="883285"/>
            <wp:effectExtent l="247650" t="228600" r="250190" b="812165"/>
            <wp:wrapTight wrapText="bothSides">
              <wp:wrapPolygon edited="0">
                <wp:start x="-3160" y="-5590"/>
                <wp:lineTo x="-3160" y="40995"/>
                <wp:lineTo x="24549" y="40995"/>
                <wp:lineTo x="24549" y="-5590"/>
                <wp:lineTo x="-3160" y="-5590"/>
              </wp:wrapPolygon>
            </wp:wrapTight>
            <wp:docPr id="76" name="Imagen 76" descr="Un señor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descr="Un señor con un traje de color negro con letras blancas&#10;&#10;Descripción generada automáticamente con confianza media"/>
                    <pic:cNvPicPr/>
                  </pic:nvPicPr>
                  <pic:blipFill rotWithShape="1">
                    <a:blip r:embed="rId79" cstate="print">
                      <a:extLst>
                        <a:ext uri="{28A0092B-C50C-407E-A947-70E740481C1C}">
                          <a14:useLocalDpi xmlns:a14="http://schemas.microsoft.com/office/drawing/2010/main" val="0"/>
                        </a:ext>
                      </a:extLst>
                    </a:blip>
                    <a:srcRect b="7220"/>
                    <a:stretch/>
                  </pic:blipFill>
                  <pic:spPr bwMode="auto">
                    <a:xfrm>
                      <a:off x="0" y="0"/>
                      <a:ext cx="1692910" cy="88328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057DC" w:rsidRPr="001E6933">
        <w:rPr>
          <w:rFonts w:ascii="Abadi" w:hAnsi="Abadi"/>
          <w:b/>
          <w:bCs/>
          <w:sz w:val="21"/>
          <w:szCs w:val="21"/>
        </w:rPr>
        <w:t>(Sube a tribuna el Diputado Bricio Balderas Álvarez, para hablar a favor del dictamen en referencia)</w:t>
      </w:r>
    </w:p>
    <w:p w14:paraId="22B65F49" w14:textId="779929D8" w:rsidR="005057DC" w:rsidRDefault="005057DC" w:rsidP="005057DC">
      <w:pPr>
        <w:ind w:firstLine="708"/>
        <w:jc w:val="both"/>
        <w:rPr>
          <w:rFonts w:ascii="Abadi" w:hAnsi="Abadi"/>
          <w:sz w:val="21"/>
          <w:szCs w:val="21"/>
        </w:rPr>
      </w:pPr>
      <w:r>
        <w:rPr>
          <w:rFonts w:ascii="Abadi" w:hAnsi="Abadi"/>
          <w:sz w:val="21"/>
          <w:szCs w:val="21"/>
        </w:rPr>
        <w:t>- A</w:t>
      </w:r>
      <w:r w:rsidRPr="0083190B">
        <w:rPr>
          <w:rFonts w:ascii="Abadi" w:hAnsi="Abadi"/>
          <w:sz w:val="21"/>
          <w:szCs w:val="21"/>
        </w:rPr>
        <w:t xml:space="preserve">delante diputado </w:t>
      </w:r>
      <w:r>
        <w:rPr>
          <w:rFonts w:ascii="Abadi" w:hAnsi="Abadi"/>
          <w:sz w:val="21"/>
          <w:szCs w:val="21"/>
        </w:rPr>
        <w:t>Bricio</w:t>
      </w:r>
      <w:r w:rsidR="000168D6">
        <w:rPr>
          <w:rFonts w:ascii="Abadi" w:hAnsi="Abadi"/>
          <w:sz w:val="21"/>
          <w:szCs w:val="21"/>
        </w:rPr>
        <w:t>.</w:t>
      </w:r>
      <w:r>
        <w:rPr>
          <w:rFonts w:ascii="Abadi" w:hAnsi="Abadi"/>
          <w:sz w:val="21"/>
          <w:szCs w:val="21"/>
        </w:rPr>
        <w:t xml:space="preserve"> </w:t>
      </w:r>
      <w:r w:rsidRPr="0083190B">
        <w:rPr>
          <w:rFonts w:ascii="Abadi" w:hAnsi="Abadi"/>
          <w:sz w:val="21"/>
          <w:szCs w:val="21"/>
        </w:rPr>
        <w:t xml:space="preserve"> </w:t>
      </w:r>
    </w:p>
    <w:p w14:paraId="49722858" w14:textId="77777777" w:rsidR="005057DC" w:rsidRDefault="005057DC" w:rsidP="005057DC">
      <w:pPr>
        <w:ind w:firstLine="708"/>
        <w:jc w:val="both"/>
        <w:rPr>
          <w:rFonts w:ascii="Abadi" w:hAnsi="Abadi"/>
          <w:sz w:val="21"/>
          <w:szCs w:val="21"/>
        </w:rPr>
      </w:pPr>
    </w:p>
    <w:p w14:paraId="3B8293FB" w14:textId="211D8C17" w:rsidR="005057DC" w:rsidRDefault="005057DC" w:rsidP="005057DC">
      <w:pPr>
        <w:jc w:val="both"/>
        <w:rPr>
          <w:rFonts w:ascii="Abadi" w:hAnsi="Abadi"/>
          <w:sz w:val="21"/>
          <w:szCs w:val="21"/>
        </w:rPr>
      </w:pPr>
      <w:r>
        <w:rPr>
          <w:rFonts w:ascii="Abadi" w:hAnsi="Abadi"/>
          <w:sz w:val="21"/>
          <w:szCs w:val="21"/>
        </w:rPr>
        <w:t>¡M</w:t>
      </w:r>
      <w:r w:rsidRPr="0083190B">
        <w:rPr>
          <w:rFonts w:ascii="Abadi" w:hAnsi="Abadi"/>
          <w:sz w:val="21"/>
          <w:szCs w:val="21"/>
        </w:rPr>
        <w:t>uy buenas tardes</w:t>
      </w:r>
      <w:r>
        <w:rPr>
          <w:rFonts w:ascii="Abadi" w:hAnsi="Abadi"/>
          <w:sz w:val="21"/>
          <w:szCs w:val="21"/>
        </w:rPr>
        <w:t>!</w:t>
      </w:r>
      <w:r w:rsidRPr="0083190B">
        <w:rPr>
          <w:rFonts w:ascii="Abadi" w:hAnsi="Abadi"/>
          <w:sz w:val="21"/>
          <w:szCs w:val="21"/>
        </w:rPr>
        <w:t xml:space="preserve"> con el Permiso de la presidencia de la </w:t>
      </w:r>
      <w:r>
        <w:rPr>
          <w:rFonts w:ascii="Abadi" w:hAnsi="Abadi"/>
          <w:sz w:val="21"/>
          <w:szCs w:val="21"/>
        </w:rPr>
        <w:t>M</w:t>
      </w:r>
      <w:r w:rsidRPr="0083190B">
        <w:rPr>
          <w:rFonts w:ascii="Abadi" w:hAnsi="Abadi"/>
          <w:sz w:val="21"/>
          <w:szCs w:val="21"/>
        </w:rPr>
        <w:t xml:space="preserve">esa </w:t>
      </w:r>
      <w:r>
        <w:rPr>
          <w:rFonts w:ascii="Abadi" w:hAnsi="Abadi"/>
          <w:sz w:val="21"/>
          <w:szCs w:val="21"/>
        </w:rPr>
        <w:t>D</w:t>
      </w:r>
      <w:r w:rsidRPr="0083190B">
        <w:rPr>
          <w:rFonts w:ascii="Abadi" w:hAnsi="Abadi"/>
          <w:sz w:val="21"/>
          <w:szCs w:val="21"/>
        </w:rPr>
        <w:t>irectiva saludo a mis compañeras y compañeros diputados</w:t>
      </w:r>
      <w:r>
        <w:rPr>
          <w:rFonts w:ascii="Abadi" w:hAnsi="Abadi"/>
          <w:sz w:val="21"/>
          <w:szCs w:val="21"/>
        </w:rPr>
        <w:t>,</w:t>
      </w:r>
      <w:r w:rsidRPr="0083190B">
        <w:rPr>
          <w:rFonts w:ascii="Abadi" w:hAnsi="Abadi"/>
          <w:sz w:val="21"/>
          <w:szCs w:val="21"/>
        </w:rPr>
        <w:t xml:space="preserve"> así como público </w:t>
      </w:r>
      <w:r>
        <w:rPr>
          <w:rFonts w:ascii="Abadi" w:hAnsi="Abadi"/>
          <w:sz w:val="21"/>
          <w:szCs w:val="21"/>
        </w:rPr>
        <w:t xml:space="preserve">que </w:t>
      </w:r>
      <w:r w:rsidRPr="0083190B">
        <w:rPr>
          <w:rFonts w:ascii="Abadi" w:hAnsi="Abadi"/>
          <w:sz w:val="21"/>
          <w:szCs w:val="21"/>
        </w:rPr>
        <w:t>nos acompaña a los medios de comunicación muchísimas gracias por seguirnos</w:t>
      </w:r>
      <w:r>
        <w:rPr>
          <w:rFonts w:ascii="Abadi" w:hAnsi="Abadi"/>
          <w:sz w:val="21"/>
          <w:szCs w:val="21"/>
        </w:rPr>
        <w:t>.</w:t>
      </w:r>
    </w:p>
    <w:p w14:paraId="059411CB" w14:textId="77777777" w:rsidR="00E83273" w:rsidRDefault="00E83273" w:rsidP="005057DC">
      <w:pPr>
        <w:jc w:val="both"/>
        <w:rPr>
          <w:rFonts w:ascii="Abadi" w:hAnsi="Abadi"/>
          <w:sz w:val="21"/>
          <w:szCs w:val="21"/>
        </w:rPr>
      </w:pPr>
    </w:p>
    <w:p w14:paraId="1B73E020" w14:textId="346589DF" w:rsidR="005057DC" w:rsidRDefault="005057DC" w:rsidP="005057DC">
      <w:pPr>
        <w:jc w:val="both"/>
        <w:rPr>
          <w:rFonts w:ascii="Abadi" w:hAnsi="Abadi"/>
          <w:sz w:val="21"/>
          <w:szCs w:val="21"/>
        </w:rPr>
      </w:pPr>
      <w:r>
        <w:rPr>
          <w:rFonts w:ascii="Abadi" w:hAnsi="Abadi"/>
          <w:sz w:val="21"/>
          <w:szCs w:val="21"/>
        </w:rPr>
        <w:t>- S</w:t>
      </w:r>
      <w:r w:rsidRPr="0083190B">
        <w:rPr>
          <w:rFonts w:ascii="Abadi" w:hAnsi="Abadi"/>
          <w:sz w:val="21"/>
          <w:szCs w:val="21"/>
        </w:rPr>
        <w:t xml:space="preserve">abemos que la educación por imperativo constitucional es un derecho consagrado en el artículo tercero y no tenemos duda que la educación es un pilar dentro de la vida social política familiar económica la escuela definitivamente es el anhelo de una sociedad bien integrada que busca la superación como ciudadanía sin embargo y derivado del esquema principalmente de la pandemia </w:t>
      </w:r>
      <w:r>
        <w:rPr>
          <w:rFonts w:ascii="Abadi" w:hAnsi="Abadi"/>
          <w:sz w:val="21"/>
          <w:szCs w:val="21"/>
        </w:rPr>
        <w:t xml:space="preserve">que lacero </w:t>
      </w:r>
      <w:r w:rsidRPr="0083190B">
        <w:rPr>
          <w:rFonts w:ascii="Abadi" w:hAnsi="Abadi"/>
          <w:sz w:val="21"/>
          <w:szCs w:val="21"/>
        </w:rPr>
        <w:t>tanto la vida cotidiana sobre todo de nuestros estudiantes de nuestros alumnos y de la de la vida pública en diversos edificios de carácter público a que de alguna manera personas sin mayor escrúpulo deteriorar</w:t>
      </w:r>
      <w:r>
        <w:rPr>
          <w:rFonts w:ascii="Abadi" w:hAnsi="Abadi"/>
          <w:sz w:val="21"/>
          <w:szCs w:val="21"/>
        </w:rPr>
        <w:t>an</w:t>
      </w:r>
      <w:r w:rsidRPr="0083190B">
        <w:rPr>
          <w:rFonts w:ascii="Abadi" w:hAnsi="Abadi"/>
          <w:sz w:val="21"/>
          <w:szCs w:val="21"/>
        </w:rPr>
        <w:t xml:space="preserve"> instituciones públicas del servicio para la ciudadanía de nuestro estado </w:t>
      </w:r>
      <w:r>
        <w:rPr>
          <w:rFonts w:ascii="Abadi" w:hAnsi="Abadi"/>
          <w:sz w:val="21"/>
          <w:szCs w:val="21"/>
        </w:rPr>
        <w:t xml:space="preserve">y </w:t>
      </w:r>
      <w:r w:rsidRPr="0083190B">
        <w:rPr>
          <w:rFonts w:ascii="Abadi" w:hAnsi="Abadi"/>
          <w:sz w:val="21"/>
          <w:szCs w:val="21"/>
        </w:rPr>
        <w:t>se habla aquí principalmente instituciones públicas refiriéndome a las instituciones escolares públicas y privadas</w:t>
      </w:r>
      <w:r>
        <w:rPr>
          <w:rFonts w:ascii="Abadi" w:hAnsi="Abadi"/>
          <w:sz w:val="21"/>
          <w:szCs w:val="21"/>
        </w:rPr>
        <w:t>,</w:t>
      </w:r>
      <w:r w:rsidRPr="0083190B">
        <w:rPr>
          <w:rFonts w:ascii="Abadi" w:hAnsi="Abadi"/>
          <w:sz w:val="21"/>
          <w:szCs w:val="21"/>
        </w:rPr>
        <w:t xml:space="preserve"> pero en este caso también a instituciones del servicio de salud e inclusive de impartición de justicia</w:t>
      </w:r>
      <w:r>
        <w:rPr>
          <w:rFonts w:ascii="Abadi" w:hAnsi="Abadi"/>
          <w:sz w:val="21"/>
          <w:szCs w:val="21"/>
        </w:rPr>
        <w:t>;</w:t>
      </w:r>
      <w:r w:rsidRPr="0083190B">
        <w:rPr>
          <w:rFonts w:ascii="Abadi" w:hAnsi="Abadi"/>
          <w:sz w:val="21"/>
          <w:szCs w:val="21"/>
        </w:rPr>
        <w:t xml:space="preserve"> es del conocimiento público que las escuelas en estos últimos años principalmente estas instituciones han sido blanco preferente de la delincuencia en general lo cual es un detrimento por supuesto a la infraestructura y del erario público esto cuesta y cuesta mucho cuántas personas no se han acercado con nosotros para solicitar apoyo y poder conjuntamente con ellos padres de familia comunidad estudiantil principalmente generar un </w:t>
      </w:r>
      <w:r>
        <w:rPr>
          <w:rFonts w:ascii="Abadi" w:hAnsi="Abadi"/>
          <w:sz w:val="21"/>
          <w:szCs w:val="21"/>
        </w:rPr>
        <w:t>aspecto de r</w:t>
      </w:r>
      <w:r w:rsidRPr="0083190B">
        <w:rPr>
          <w:rFonts w:ascii="Abadi" w:hAnsi="Abadi"/>
          <w:sz w:val="21"/>
          <w:szCs w:val="21"/>
        </w:rPr>
        <w:t>estauración física a sus instalaciones educativas y es comple</w:t>
      </w:r>
      <w:r>
        <w:rPr>
          <w:rFonts w:ascii="Abadi" w:hAnsi="Abadi"/>
          <w:sz w:val="21"/>
          <w:szCs w:val="21"/>
        </w:rPr>
        <w:t>jo</w:t>
      </w:r>
      <w:r w:rsidRPr="0083190B">
        <w:rPr>
          <w:rFonts w:ascii="Abadi" w:hAnsi="Abadi"/>
          <w:sz w:val="21"/>
          <w:szCs w:val="21"/>
        </w:rPr>
        <w:t xml:space="preserve"> y es caro por ello derivado de esta iniciativa </w:t>
      </w:r>
      <w:r>
        <w:rPr>
          <w:rFonts w:ascii="Abadi" w:hAnsi="Abadi"/>
          <w:sz w:val="21"/>
          <w:szCs w:val="21"/>
        </w:rPr>
        <w:t xml:space="preserve">es que vengo a solicitarles, </w:t>
      </w:r>
      <w:r w:rsidRPr="0083190B">
        <w:rPr>
          <w:rFonts w:ascii="Abadi" w:hAnsi="Abadi"/>
          <w:sz w:val="21"/>
          <w:szCs w:val="21"/>
        </w:rPr>
        <w:t>su voto a favor</w:t>
      </w:r>
      <w:r>
        <w:rPr>
          <w:rFonts w:ascii="Abadi" w:hAnsi="Abadi"/>
          <w:sz w:val="21"/>
          <w:szCs w:val="21"/>
        </w:rPr>
        <w:t>:</w:t>
      </w:r>
      <w:r w:rsidRPr="0083190B">
        <w:rPr>
          <w:rFonts w:ascii="Abadi" w:hAnsi="Abadi"/>
          <w:sz w:val="21"/>
          <w:szCs w:val="21"/>
        </w:rPr>
        <w:t xml:space="preserve"> porque estamos hablando de que el robo se considerará calificado cuando el objeto robado sean bienes que pertenezcan o estén al servicio de instituciones</w:t>
      </w:r>
      <w:r>
        <w:rPr>
          <w:rFonts w:ascii="Abadi" w:hAnsi="Abadi"/>
          <w:sz w:val="21"/>
          <w:szCs w:val="21"/>
        </w:rPr>
        <w:t xml:space="preserve"> públicas,</w:t>
      </w:r>
      <w:r w:rsidRPr="0083190B">
        <w:rPr>
          <w:rFonts w:ascii="Abadi" w:hAnsi="Abadi"/>
          <w:sz w:val="21"/>
          <w:szCs w:val="21"/>
        </w:rPr>
        <w:t xml:space="preserve"> estamos sin duda generando una reforma al artículo 194 del </w:t>
      </w:r>
      <w:r>
        <w:rPr>
          <w:rFonts w:ascii="Abadi" w:hAnsi="Abadi"/>
          <w:sz w:val="21"/>
          <w:szCs w:val="21"/>
        </w:rPr>
        <w:t>C</w:t>
      </w:r>
      <w:r w:rsidRPr="0083190B">
        <w:rPr>
          <w:rFonts w:ascii="Abadi" w:hAnsi="Abadi"/>
          <w:sz w:val="21"/>
          <w:szCs w:val="21"/>
        </w:rPr>
        <w:t xml:space="preserve">ódigo </w:t>
      </w:r>
      <w:r>
        <w:rPr>
          <w:rFonts w:ascii="Abadi" w:hAnsi="Abadi"/>
          <w:sz w:val="21"/>
          <w:szCs w:val="21"/>
        </w:rPr>
        <w:t>P</w:t>
      </w:r>
      <w:r w:rsidRPr="0083190B">
        <w:rPr>
          <w:rFonts w:ascii="Abadi" w:hAnsi="Abadi"/>
          <w:sz w:val="21"/>
          <w:szCs w:val="21"/>
        </w:rPr>
        <w:t xml:space="preserve">enal en su fracción séptima que permite salvaguardar los bienes del erario público y más aún el esquema de una mejor atención para las personas que acuden o utilizan los servicios de carácter  </w:t>
      </w:r>
      <w:r>
        <w:rPr>
          <w:rFonts w:ascii="Abadi" w:hAnsi="Abadi"/>
          <w:sz w:val="21"/>
          <w:szCs w:val="21"/>
        </w:rPr>
        <w:t xml:space="preserve">público, es hora </w:t>
      </w:r>
      <w:r w:rsidRPr="0083190B">
        <w:rPr>
          <w:rFonts w:ascii="Abadi" w:hAnsi="Abadi"/>
          <w:sz w:val="21"/>
          <w:szCs w:val="21"/>
        </w:rPr>
        <w:t>de que estos robos paren es hora de que realmente se les pueda generar una menor impunidad y por consiguiente una sanción más ejemplar por ello pido su voto a favor</w:t>
      </w:r>
      <w:r>
        <w:rPr>
          <w:rFonts w:ascii="Abadi" w:hAnsi="Abadi"/>
          <w:sz w:val="21"/>
          <w:szCs w:val="21"/>
        </w:rPr>
        <w:t>.</w:t>
      </w:r>
    </w:p>
    <w:p w14:paraId="366709A0" w14:textId="77777777" w:rsidR="00C4303C" w:rsidRDefault="00C4303C" w:rsidP="005057DC">
      <w:pPr>
        <w:jc w:val="both"/>
        <w:rPr>
          <w:rFonts w:ascii="Abadi" w:hAnsi="Abadi"/>
          <w:sz w:val="21"/>
          <w:szCs w:val="21"/>
        </w:rPr>
      </w:pPr>
    </w:p>
    <w:p w14:paraId="4769DA3B" w14:textId="5BD9B230" w:rsidR="005057DC" w:rsidRDefault="005057DC" w:rsidP="005057DC">
      <w:pPr>
        <w:jc w:val="both"/>
        <w:rPr>
          <w:rFonts w:ascii="Abadi" w:hAnsi="Abadi"/>
          <w:sz w:val="21"/>
          <w:szCs w:val="21"/>
        </w:rPr>
      </w:pPr>
      <w:r>
        <w:rPr>
          <w:rFonts w:ascii="Abadi" w:hAnsi="Abadi"/>
          <w:sz w:val="21"/>
          <w:szCs w:val="21"/>
        </w:rPr>
        <w:t>- E</w:t>
      </w:r>
      <w:r w:rsidRPr="0083190B">
        <w:rPr>
          <w:rFonts w:ascii="Abadi" w:hAnsi="Abadi"/>
          <w:sz w:val="21"/>
          <w:szCs w:val="21"/>
        </w:rPr>
        <w:t>s cuanto Presidente muchísimas gracias</w:t>
      </w:r>
      <w:r>
        <w:rPr>
          <w:rFonts w:ascii="Abadi" w:hAnsi="Abadi"/>
          <w:sz w:val="21"/>
          <w:szCs w:val="21"/>
        </w:rPr>
        <w:t>.</w:t>
      </w:r>
    </w:p>
    <w:p w14:paraId="4995BE45" w14:textId="77777777" w:rsidR="00E83273" w:rsidRDefault="00E83273" w:rsidP="005057DC">
      <w:pPr>
        <w:jc w:val="both"/>
        <w:rPr>
          <w:rFonts w:ascii="Abadi" w:hAnsi="Abadi"/>
          <w:sz w:val="21"/>
          <w:szCs w:val="21"/>
        </w:rPr>
      </w:pPr>
    </w:p>
    <w:p w14:paraId="42E5E286" w14:textId="6FD3FD5D" w:rsidR="005057DC" w:rsidRDefault="005057DC" w:rsidP="005057DC">
      <w:pPr>
        <w:jc w:val="both"/>
        <w:rPr>
          <w:rFonts w:ascii="Abadi" w:hAnsi="Abadi"/>
          <w:sz w:val="21"/>
          <w:szCs w:val="21"/>
        </w:rPr>
      </w:pPr>
      <w:r w:rsidRPr="00C4303C">
        <w:rPr>
          <w:rFonts w:ascii="Abadi" w:hAnsi="Abadi"/>
          <w:b/>
          <w:bCs/>
          <w:sz w:val="21"/>
          <w:szCs w:val="21"/>
        </w:rPr>
        <w:t>- El Presidente</w:t>
      </w:r>
      <w:r w:rsidR="00C4303C">
        <w:rPr>
          <w:rFonts w:ascii="Abadi" w:hAnsi="Abadi"/>
          <w:b/>
          <w:bCs/>
          <w:sz w:val="21"/>
          <w:szCs w:val="21"/>
        </w:rPr>
        <w:t>.</w:t>
      </w:r>
      <w:r>
        <w:rPr>
          <w:rFonts w:ascii="Abadi" w:hAnsi="Abadi"/>
          <w:sz w:val="21"/>
          <w:szCs w:val="21"/>
        </w:rPr>
        <w:t xml:space="preserve"> Gracias diputado Bricio Baldera Álvarez.</w:t>
      </w:r>
    </w:p>
    <w:p w14:paraId="772FEF7F" w14:textId="77777777" w:rsidR="00E83273" w:rsidRDefault="00E83273" w:rsidP="005057DC">
      <w:pPr>
        <w:jc w:val="both"/>
        <w:rPr>
          <w:rFonts w:ascii="Abadi" w:hAnsi="Abadi"/>
          <w:sz w:val="21"/>
          <w:szCs w:val="21"/>
        </w:rPr>
      </w:pPr>
    </w:p>
    <w:p w14:paraId="08300766" w14:textId="0503D653" w:rsidR="005057DC" w:rsidRDefault="005057DC" w:rsidP="005057DC">
      <w:pPr>
        <w:ind w:firstLine="708"/>
        <w:jc w:val="both"/>
        <w:rPr>
          <w:rFonts w:ascii="Abadi" w:hAnsi="Abadi"/>
          <w:sz w:val="21"/>
          <w:szCs w:val="21"/>
        </w:rPr>
      </w:pPr>
      <w:r>
        <w:rPr>
          <w:rFonts w:ascii="Abadi" w:hAnsi="Abadi"/>
          <w:sz w:val="21"/>
          <w:szCs w:val="21"/>
        </w:rPr>
        <w:t>-  Agotadas las participaciones se pide a</w:t>
      </w:r>
      <w:r w:rsidRPr="0083190B">
        <w:rPr>
          <w:rFonts w:ascii="Abadi" w:hAnsi="Abadi"/>
          <w:sz w:val="21"/>
          <w:szCs w:val="21"/>
        </w:rPr>
        <w:t xml:space="preserve"> la </w:t>
      </w:r>
      <w:r>
        <w:rPr>
          <w:rFonts w:ascii="Abadi" w:hAnsi="Abadi"/>
          <w:sz w:val="21"/>
          <w:szCs w:val="21"/>
        </w:rPr>
        <w:t>S</w:t>
      </w:r>
      <w:r w:rsidRPr="0083190B">
        <w:rPr>
          <w:rFonts w:ascii="Abadi" w:hAnsi="Abadi"/>
          <w:sz w:val="21"/>
          <w:szCs w:val="21"/>
        </w:rPr>
        <w:t xml:space="preserve">ecretaría que proceda a recabar votación nominal de la </w:t>
      </w:r>
      <w:r>
        <w:rPr>
          <w:rFonts w:ascii="Abadi" w:hAnsi="Abadi"/>
          <w:sz w:val="21"/>
          <w:szCs w:val="21"/>
        </w:rPr>
        <w:t>A</w:t>
      </w:r>
      <w:r w:rsidRPr="0083190B">
        <w:rPr>
          <w:rFonts w:ascii="Abadi" w:hAnsi="Abadi"/>
          <w:sz w:val="21"/>
          <w:szCs w:val="21"/>
        </w:rPr>
        <w:t xml:space="preserve">samblea a través de nuestro sistema electrónico efecto de aprobaron </w:t>
      </w:r>
      <w:r>
        <w:rPr>
          <w:rFonts w:ascii="Abadi" w:hAnsi="Abadi"/>
          <w:sz w:val="21"/>
          <w:szCs w:val="21"/>
        </w:rPr>
        <w:t xml:space="preserve">o no </w:t>
      </w:r>
      <w:r w:rsidRPr="0083190B">
        <w:rPr>
          <w:rFonts w:ascii="Abadi" w:hAnsi="Abadi"/>
          <w:sz w:val="21"/>
          <w:szCs w:val="21"/>
        </w:rPr>
        <w:t>el dictamen puesto</w:t>
      </w:r>
      <w:r>
        <w:rPr>
          <w:rFonts w:ascii="Abadi" w:hAnsi="Abadi"/>
          <w:sz w:val="21"/>
          <w:szCs w:val="21"/>
        </w:rPr>
        <w:t xml:space="preserve"> a su </w:t>
      </w:r>
      <w:r w:rsidRPr="0083190B">
        <w:rPr>
          <w:rFonts w:ascii="Abadi" w:hAnsi="Abadi"/>
          <w:sz w:val="21"/>
          <w:szCs w:val="21"/>
        </w:rPr>
        <w:t>consideración</w:t>
      </w:r>
      <w:r>
        <w:rPr>
          <w:rFonts w:ascii="Abadi" w:hAnsi="Abadi"/>
          <w:sz w:val="21"/>
          <w:szCs w:val="21"/>
        </w:rPr>
        <w:t>.</w:t>
      </w:r>
    </w:p>
    <w:p w14:paraId="7F41D2F0" w14:textId="77777777" w:rsidR="00E83273" w:rsidRDefault="00E83273" w:rsidP="005057DC">
      <w:pPr>
        <w:ind w:firstLine="708"/>
        <w:jc w:val="both"/>
        <w:rPr>
          <w:rFonts w:ascii="Abadi" w:hAnsi="Abadi"/>
          <w:sz w:val="21"/>
          <w:szCs w:val="21"/>
        </w:rPr>
      </w:pPr>
    </w:p>
    <w:p w14:paraId="359889EE" w14:textId="24249AA0" w:rsidR="005057DC" w:rsidRDefault="005057DC" w:rsidP="005057DC">
      <w:pPr>
        <w:ind w:firstLine="708"/>
        <w:jc w:val="both"/>
        <w:rPr>
          <w:rFonts w:ascii="Abadi" w:hAnsi="Abadi"/>
          <w:b/>
          <w:bCs/>
          <w:sz w:val="21"/>
          <w:szCs w:val="21"/>
        </w:rPr>
      </w:pPr>
      <w:r w:rsidRPr="00A27321">
        <w:rPr>
          <w:rFonts w:ascii="Abadi" w:hAnsi="Abadi"/>
          <w:b/>
          <w:bCs/>
          <w:sz w:val="21"/>
          <w:szCs w:val="21"/>
        </w:rPr>
        <w:t>(Abrimos nuestro sistema electrónico)</w:t>
      </w:r>
    </w:p>
    <w:p w14:paraId="2B4CA898" w14:textId="77777777" w:rsidR="00F43C44" w:rsidRPr="00A27321" w:rsidRDefault="00F43C44" w:rsidP="005057DC">
      <w:pPr>
        <w:ind w:firstLine="708"/>
        <w:jc w:val="both"/>
        <w:rPr>
          <w:rFonts w:ascii="Abadi" w:hAnsi="Abadi"/>
          <w:b/>
          <w:bCs/>
          <w:sz w:val="21"/>
          <w:szCs w:val="21"/>
        </w:rPr>
      </w:pPr>
    </w:p>
    <w:p w14:paraId="37F039F1" w14:textId="2D633797" w:rsidR="005057DC" w:rsidRDefault="005057DC" w:rsidP="005057DC">
      <w:pPr>
        <w:ind w:firstLine="708"/>
        <w:jc w:val="both"/>
        <w:rPr>
          <w:rFonts w:ascii="Abadi" w:hAnsi="Abadi"/>
          <w:sz w:val="21"/>
          <w:szCs w:val="21"/>
        </w:rPr>
      </w:pPr>
      <w:r>
        <w:rPr>
          <w:rFonts w:ascii="Abadi" w:hAnsi="Abadi"/>
          <w:sz w:val="21"/>
          <w:szCs w:val="21"/>
        </w:rPr>
        <w:t>- E</w:t>
      </w:r>
      <w:r w:rsidRPr="0083190B">
        <w:rPr>
          <w:rFonts w:ascii="Abadi" w:hAnsi="Abadi"/>
          <w:sz w:val="21"/>
          <w:szCs w:val="21"/>
        </w:rPr>
        <w:t>n votación nominal por el sistema electrónico se pregunta a las diputadas y a los diputados si se aprueba el dictamen puesto a su consideración</w:t>
      </w:r>
      <w:r>
        <w:rPr>
          <w:rFonts w:ascii="Abadi" w:hAnsi="Abadi"/>
          <w:sz w:val="21"/>
          <w:szCs w:val="21"/>
        </w:rPr>
        <w:t>.</w:t>
      </w:r>
    </w:p>
    <w:p w14:paraId="5258649C" w14:textId="77777777" w:rsidR="000168D6" w:rsidRPr="0083190B" w:rsidRDefault="000168D6" w:rsidP="005057DC">
      <w:pPr>
        <w:ind w:firstLine="708"/>
        <w:jc w:val="both"/>
        <w:rPr>
          <w:rFonts w:ascii="Abadi" w:hAnsi="Abadi"/>
          <w:sz w:val="21"/>
          <w:szCs w:val="21"/>
        </w:rPr>
      </w:pPr>
    </w:p>
    <w:p w14:paraId="15EB9B29" w14:textId="24189CD3" w:rsidR="005057DC" w:rsidRDefault="005057DC" w:rsidP="005057DC">
      <w:pPr>
        <w:jc w:val="both"/>
        <w:rPr>
          <w:rFonts w:ascii="Abadi" w:hAnsi="Abadi"/>
          <w:sz w:val="21"/>
          <w:szCs w:val="21"/>
        </w:rPr>
      </w:pPr>
      <w:r>
        <w:rPr>
          <w:rFonts w:ascii="Abadi" w:hAnsi="Abadi"/>
          <w:sz w:val="21"/>
          <w:szCs w:val="21"/>
        </w:rPr>
        <w:t>¿</w:t>
      </w:r>
      <w:r w:rsidRPr="006813AA">
        <w:rPr>
          <w:rFonts w:ascii="Abadi" w:hAnsi="Abadi"/>
          <w:sz w:val="21"/>
          <w:szCs w:val="21"/>
        </w:rPr>
        <w:t>Falta alguna diputada o algún diputado de emitir su voto</w:t>
      </w:r>
      <w:r>
        <w:rPr>
          <w:rFonts w:ascii="Abadi" w:hAnsi="Abadi"/>
          <w:sz w:val="21"/>
          <w:szCs w:val="21"/>
        </w:rPr>
        <w:t>?</w:t>
      </w:r>
    </w:p>
    <w:p w14:paraId="5F45108F" w14:textId="77777777" w:rsidR="000168D6" w:rsidRDefault="000168D6" w:rsidP="005057DC">
      <w:pPr>
        <w:jc w:val="both"/>
        <w:rPr>
          <w:rFonts w:ascii="Abadi" w:hAnsi="Abadi"/>
          <w:sz w:val="21"/>
          <w:szCs w:val="21"/>
        </w:rPr>
      </w:pPr>
    </w:p>
    <w:p w14:paraId="0AAC27C0" w14:textId="77777777" w:rsidR="005057DC" w:rsidRDefault="005057DC" w:rsidP="005057DC">
      <w:pPr>
        <w:jc w:val="both"/>
        <w:rPr>
          <w:rFonts w:ascii="Abadi" w:hAnsi="Abadi"/>
          <w:b/>
          <w:bCs/>
          <w:sz w:val="21"/>
          <w:szCs w:val="21"/>
        </w:rPr>
      </w:pPr>
      <w:r w:rsidRPr="00E26A60">
        <w:rPr>
          <w:rFonts w:ascii="Abadi" w:hAnsi="Abadi"/>
          <w:b/>
          <w:bCs/>
          <w:sz w:val="21"/>
          <w:szCs w:val="21"/>
        </w:rPr>
        <w:t>(Cerramos nuestro sistema electrónico)</w:t>
      </w:r>
    </w:p>
    <w:p w14:paraId="097D988A" w14:textId="77777777" w:rsidR="005057DC" w:rsidRPr="00E26A60" w:rsidRDefault="005057DC" w:rsidP="005057DC">
      <w:pPr>
        <w:jc w:val="both"/>
        <w:rPr>
          <w:rFonts w:ascii="Abadi" w:hAnsi="Abadi"/>
          <w:b/>
          <w:bCs/>
          <w:sz w:val="21"/>
          <w:szCs w:val="21"/>
        </w:rPr>
      </w:pPr>
      <w:r>
        <w:rPr>
          <w:noProof/>
        </w:rPr>
        <w:drawing>
          <wp:inline distT="0" distB="0" distL="0" distR="0" wp14:anchorId="2A35F151" wp14:editId="03B5F097">
            <wp:extent cx="1826106" cy="935356"/>
            <wp:effectExtent l="323850" t="323850" r="327025" b="321945"/>
            <wp:docPr id="77" name="Imagen 77" descr="Interfaz de usuario gráfica, Texto, Correo electrónic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descr="Interfaz de usuario gráfica, Texto, Correo electrónico, Sitio web&#10;&#10;Descripción generada automáticamente"/>
                    <pic:cNvPicPr/>
                  </pic:nvPicPr>
                  <pic:blipFill rotWithShape="1">
                    <a:blip r:embed="rId80"/>
                    <a:srcRect b="8896"/>
                    <a:stretch/>
                  </pic:blipFill>
                  <pic:spPr bwMode="auto">
                    <a:xfrm>
                      <a:off x="0" y="0"/>
                      <a:ext cx="1887055" cy="966575"/>
                    </a:xfrm>
                    <a:prstGeom prst="rect">
                      <a:avLst/>
                    </a:prstGeom>
                    <a:ln w="88900" cap="sq" cmpd="thickThin">
                      <a:solidFill>
                        <a:srgbClr val="000000"/>
                      </a:solidFill>
                      <a:prstDash val="solid"/>
                      <a:miter lim="800000"/>
                    </a:ln>
                    <a:effectLst>
                      <a:glow rad="228600">
                        <a:schemeClr val="accent3">
                          <a:satMod val="1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0216C979" w14:textId="1B464883" w:rsidR="005057DC" w:rsidRDefault="005057DC" w:rsidP="005057DC">
      <w:pPr>
        <w:ind w:firstLine="708"/>
        <w:jc w:val="both"/>
        <w:rPr>
          <w:rFonts w:ascii="Abadi" w:hAnsi="Abadi"/>
          <w:sz w:val="21"/>
          <w:szCs w:val="21"/>
        </w:rPr>
      </w:pPr>
      <w:r w:rsidRPr="002234A8">
        <w:rPr>
          <w:rFonts w:ascii="Abadi" w:hAnsi="Abadi"/>
          <w:b/>
          <w:bCs/>
          <w:sz w:val="21"/>
          <w:szCs w:val="21"/>
        </w:rPr>
        <w:t>- El Secretario.-</w:t>
      </w:r>
      <w:r>
        <w:rPr>
          <w:rFonts w:ascii="Abadi" w:hAnsi="Abadi"/>
          <w:sz w:val="21"/>
          <w:szCs w:val="21"/>
        </w:rPr>
        <w:t xml:space="preserve"> S</w:t>
      </w:r>
      <w:r w:rsidRPr="006813AA">
        <w:rPr>
          <w:rFonts w:ascii="Abadi" w:hAnsi="Abadi"/>
          <w:sz w:val="21"/>
          <w:szCs w:val="21"/>
        </w:rPr>
        <w:t>e registraron 32 votos</w:t>
      </w:r>
      <w:r>
        <w:rPr>
          <w:rFonts w:ascii="Abadi" w:hAnsi="Abadi"/>
          <w:sz w:val="21"/>
          <w:szCs w:val="21"/>
        </w:rPr>
        <w:t xml:space="preserve"> </w:t>
      </w:r>
      <w:r w:rsidRPr="006813AA">
        <w:rPr>
          <w:rFonts w:ascii="Abadi" w:hAnsi="Abadi"/>
          <w:sz w:val="21"/>
          <w:szCs w:val="21"/>
        </w:rPr>
        <w:t>a favor</w:t>
      </w:r>
      <w:r>
        <w:rPr>
          <w:rFonts w:ascii="Abadi" w:hAnsi="Abadi"/>
          <w:sz w:val="21"/>
          <w:szCs w:val="21"/>
        </w:rPr>
        <w:t>.</w:t>
      </w:r>
    </w:p>
    <w:p w14:paraId="72587EDC" w14:textId="77777777" w:rsidR="00E83273" w:rsidRDefault="00E83273" w:rsidP="005057DC">
      <w:pPr>
        <w:ind w:firstLine="708"/>
        <w:jc w:val="both"/>
        <w:rPr>
          <w:rFonts w:ascii="Abadi" w:hAnsi="Abadi"/>
          <w:sz w:val="21"/>
          <w:szCs w:val="21"/>
        </w:rPr>
      </w:pPr>
    </w:p>
    <w:p w14:paraId="3F3BE11A" w14:textId="4807C3BE" w:rsidR="005057DC" w:rsidRDefault="005057DC" w:rsidP="005057DC">
      <w:pPr>
        <w:ind w:firstLine="708"/>
        <w:jc w:val="both"/>
        <w:rPr>
          <w:rFonts w:ascii="Abadi" w:hAnsi="Abadi"/>
          <w:sz w:val="21"/>
          <w:szCs w:val="21"/>
        </w:rPr>
      </w:pPr>
      <w:r w:rsidRPr="002234A8">
        <w:rPr>
          <w:rFonts w:ascii="Abadi" w:hAnsi="Abadi"/>
          <w:b/>
          <w:bCs/>
          <w:sz w:val="21"/>
          <w:szCs w:val="21"/>
        </w:rPr>
        <w:t>- El Presidente.-</w:t>
      </w:r>
      <w:r>
        <w:rPr>
          <w:rFonts w:ascii="Abadi" w:hAnsi="Abadi"/>
          <w:sz w:val="21"/>
          <w:szCs w:val="21"/>
        </w:rPr>
        <w:t xml:space="preserve"> E</w:t>
      </w:r>
      <w:r w:rsidRPr="006813AA">
        <w:rPr>
          <w:rFonts w:ascii="Abadi" w:hAnsi="Abadi"/>
          <w:sz w:val="21"/>
          <w:szCs w:val="21"/>
        </w:rPr>
        <w:t>l dictamen ha sido probado por unanimidad de votos</w:t>
      </w:r>
      <w:r>
        <w:rPr>
          <w:rFonts w:ascii="Abadi" w:hAnsi="Abadi"/>
          <w:sz w:val="21"/>
          <w:szCs w:val="21"/>
        </w:rPr>
        <w:t>.</w:t>
      </w:r>
    </w:p>
    <w:p w14:paraId="6CED39BF" w14:textId="77777777" w:rsidR="00E83273" w:rsidRDefault="00E83273" w:rsidP="005057DC">
      <w:pPr>
        <w:ind w:firstLine="708"/>
        <w:jc w:val="both"/>
        <w:rPr>
          <w:rFonts w:ascii="Abadi" w:hAnsi="Abadi"/>
          <w:sz w:val="21"/>
          <w:szCs w:val="21"/>
        </w:rPr>
      </w:pPr>
    </w:p>
    <w:p w14:paraId="77377A7C" w14:textId="77777777" w:rsidR="005057DC" w:rsidRPr="00222137" w:rsidRDefault="005057DC" w:rsidP="005057DC">
      <w:pPr>
        <w:ind w:left="426" w:right="474"/>
        <w:jc w:val="both"/>
        <w:rPr>
          <w:rFonts w:ascii="Abadi" w:hAnsi="Abadi"/>
          <w:b/>
          <w:bCs/>
          <w:i/>
          <w:iCs/>
          <w:sz w:val="21"/>
          <w:szCs w:val="21"/>
          <w:u w:val="single"/>
        </w:rPr>
      </w:pPr>
      <w:r w:rsidRPr="00222137">
        <w:rPr>
          <w:rFonts w:ascii="Abadi" w:hAnsi="Abadi"/>
          <w:b/>
          <w:bCs/>
          <w:i/>
          <w:iCs/>
          <w:sz w:val="21"/>
          <w:szCs w:val="21"/>
          <w:u w:val="single"/>
        </w:rPr>
        <w:t>Remítase al Ejecutivo del Estado el decreto aprobado para los efectos constitucionales de su competencia.</w:t>
      </w:r>
    </w:p>
    <w:p w14:paraId="4E2E53AB" w14:textId="77777777" w:rsidR="005057DC" w:rsidRPr="00414232" w:rsidRDefault="005057DC" w:rsidP="00EF55AF">
      <w:pPr>
        <w:jc w:val="center"/>
        <w:rPr>
          <w:rFonts w:ascii="Abadi" w:eastAsia="Calibri" w:hAnsi="Abadi"/>
          <w:b/>
          <w:iCs/>
          <w:sz w:val="21"/>
          <w:szCs w:val="21"/>
          <w:lang w:val="es-MX" w:eastAsia="en-US"/>
        </w:rPr>
      </w:pPr>
    </w:p>
    <w:p w14:paraId="13064722" w14:textId="77777777" w:rsidR="008F245B" w:rsidRPr="0028553C" w:rsidRDefault="008F245B" w:rsidP="00E462B6">
      <w:pPr>
        <w:autoSpaceDE w:val="0"/>
        <w:autoSpaceDN w:val="0"/>
        <w:adjustRightInd w:val="0"/>
        <w:jc w:val="both"/>
        <w:rPr>
          <w:rFonts w:ascii="Abadi" w:hAnsi="Abadi" w:cs="ArialMT"/>
          <w:b/>
          <w:bCs/>
          <w:sz w:val="20"/>
          <w:szCs w:val="21"/>
        </w:rPr>
      </w:pPr>
    </w:p>
    <w:p w14:paraId="54A9FAFE" w14:textId="77777777" w:rsidR="00E462B6" w:rsidRPr="0028553C" w:rsidRDefault="00E462B6" w:rsidP="002C4DBA">
      <w:pPr>
        <w:pStyle w:val="Prrafodelista"/>
        <w:numPr>
          <w:ilvl w:val="0"/>
          <w:numId w:val="14"/>
        </w:numPr>
        <w:autoSpaceDE w:val="0"/>
        <w:autoSpaceDN w:val="0"/>
        <w:adjustRightInd w:val="0"/>
        <w:ind w:left="426"/>
        <w:contextualSpacing/>
        <w:jc w:val="both"/>
        <w:rPr>
          <w:rFonts w:ascii="Abadi" w:hAnsi="Abadi" w:cs="ArialMT"/>
          <w:b/>
          <w:bCs/>
          <w:sz w:val="20"/>
          <w:szCs w:val="21"/>
        </w:rPr>
      </w:pPr>
      <w:r w:rsidRPr="0028553C">
        <w:rPr>
          <w:rFonts w:ascii="Abadi" w:hAnsi="Abadi" w:cs="ArialMT"/>
          <w:b/>
          <w:bCs/>
          <w:sz w:val="20"/>
          <w:szCs w:val="21"/>
        </w:rPr>
        <w:t xml:space="preserve">DISCUSIÓN Y, EN SU CASO, APROBACIÓN DEL DICTAMEN SUSCRITO POR LA COMISIÓN DE EDUCACIÓN, CIENCIA Y TECNOLOGÍA Y CULTURA RELATIVO A LA INICIATIVA A EFECTO DE REFORMAR Y ADICIONAR DIVERSOS ARTÍCULOS DE LA LEY DE LOS DERECHOS DE NIÑAS, NIÑOS Y ADOLESCENTES DEL ESTADO DE GUANAJUATO, DE LA LEY PARA UNA CONVIVENCIA LIBRE DE VIOLENCIA EN EL ENTORNO ESCOLAR PARA EL ESTADO DE GUANAJUATO Y SUS MUNICIPIOS Y DE LA LEY PARA PREVENIR, ATENDER Y ERRADICAR LA VIOLENCIA EN EL ESTADO DE GUANAJUATO, FORMULADA POR LAS DIPUTADAS Y LOS DIPUTADOS INTEGRANTES DEL GRUPO PARLAMENTARIO DEL PARTIDO ACCIÓN NACIONAL EN LA SEXAGÉSIMA CUARTA LEGISLATURA, </w:t>
      </w:r>
      <w:r w:rsidRPr="0028553C">
        <w:rPr>
          <w:rFonts w:ascii="Abadi" w:hAnsi="Abadi" w:cs="Arial-ItalicMT"/>
          <w:b/>
          <w:bCs/>
          <w:i/>
          <w:iCs/>
          <w:sz w:val="20"/>
          <w:szCs w:val="21"/>
        </w:rPr>
        <w:t>EN LO CORRESPONDIENTE A LA SEGUNDA DE LAS LEYES REFERIDAS</w:t>
      </w:r>
      <w:r w:rsidRPr="0028553C">
        <w:rPr>
          <w:rFonts w:ascii="Abadi" w:hAnsi="Abadi" w:cs="ArialMT"/>
          <w:b/>
          <w:bCs/>
          <w:sz w:val="20"/>
          <w:szCs w:val="21"/>
        </w:rPr>
        <w:t>.</w:t>
      </w:r>
    </w:p>
    <w:p w14:paraId="180ED55E" w14:textId="2664A999" w:rsidR="00E462B6" w:rsidRDefault="00E462B6" w:rsidP="00E462B6">
      <w:pPr>
        <w:autoSpaceDE w:val="0"/>
        <w:autoSpaceDN w:val="0"/>
        <w:adjustRightInd w:val="0"/>
        <w:jc w:val="both"/>
        <w:rPr>
          <w:rFonts w:ascii="Abadi" w:hAnsi="Abadi" w:cs="ArialMT"/>
          <w:b/>
          <w:bCs/>
          <w:sz w:val="20"/>
          <w:szCs w:val="21"/>
        </w:rPr>
      </w:pPr>
    </w:p>
    <w:p w14:paraId="14022AC8" w14:textId="77777777" w:rsidR="00E3434F" w:rsidRPr="00946A9A" w:rsidRDefault="00E3434F" w:rsidP="00997039">
      <w:pPr>
        <w:jc w:val="both"/>
        <w:rPr>
          <w:rFonts w:ascii="Abadi" w:eastAsiaTheme="minorHAnsi" w:hAnsi="Abadi" w:cs="Arial"/>
          <w:b/>
          <w:sz w:val="21"/>
          <w:szCs w:val="21"/>
          <w:lang w:val="es-MX" w:eastAsia="en-US"/>
        </w:rPr>
      </w:pPr>
      <w:r w:rsidRPr="00946A9A">
        <w:rPr>
          <w:rFonts w:ascii="Abadi" w:eastAsiaTheme="minorHAnsi" w:hAnsi="Abadi" w:cs="Arial"/>
          <w:b/>
          <w:sz w:val="21"/>
          <w:szCs w:val="21"/>
          <w:lang w:val="es-MX" w:eastAsia="en-US"/>
        </w:rPr>
        <w:t>Diputado Martín López Camacho</w:t>
      </w:r>
    </w:p>
    <w:p w14:paraId="322FEC56" w14:textId="77777777" w:rsidR="00E3434F" w:rsidRPr="00946A9A" w:rsidRDefault="00E3434F" w:rsidP="00997039">
      <w:pPr>
        <w:jc w:val="both"/>
        <w:rPr>
          <w:rFonts w:ascii="Abadi" w:eastAsiaTheme="minorHAnsi" w:hAnsi="Abadi" w:cs="Arial"/>
          <w:b/>
          <w:sz w:val="21"/>
          <w:szCs w:val="21"/>
          <w:lang w:val="es-MX" w:eastAsia="en-US"/>
        </w:rPr>
      </w:pPr>
      <w:r w:rsidRPr="00946A9A">
        <w:rPr>
          <w:rFonts w:ascii="Abadi" w:eastAsiaTheme="minorHAnsi" w:hAnsi="Abadi" w:cs="Arial"/>
          <w:b/>
          <w:sz w:val="21"/>
          <w:szCs w:val="21"/>
          <w:lang w:val="es-MX" w:eastAsia="en-US"/>
        </w:rPr>
        <w:t>Presidente del Congreso del Estado</w:t>
      </w:r>
    </w:p>
    <w:p w14:paraId="738A6320" w14:textId="77777777" w:rsidR="00E3434F" w:rsidRPr="00946A9A" w:rsidRDefault="00E3434F" w:rsidP="00997039">
      <w:pPr>
        <w:jc w:val="both"/>
        <w:rPr>
          <w:rFonts w:ascii="Abadi" w:eastAsiaTheme="minorHAnsi" w:hAnsi="Abadi" w:cs="Arial"/>
          <w:b/>
          <w:sz w:val="21"/>
          <w:szCs w:val="21"/>
          <w:lang w:val="es-MX" w:eastAsia="en-US"/>
        </w:rPr>
      </w:pPr>
      <w:r w:rsidRPr="00946A9A">
        <w:rPr>
          <w:rFonts w:ascii="Abadi" w:eastAsiaTheme="minorHAnsi" w:hAnsi="Abadi" w:cs="Arial"/>
          <w:b/>
          <w:sz w:val="21"/>
          <w:szCs w:val="21"/>
          <w:lang w:val="es-MX" w:eastAsia="en-US"/>
        </w:rPr>
        <w:t>P r e s e n t e.</w:t>
      </w:r>
    </w:p>
    <w:p w14:paraId="1F09B232" w14:textId="77777777" w:rsidR="00E3434F" w:rsidRPr="00946A9A" w:rsidRDefault="00E3434F" w:rsidP="00997039">
      <w:pPr>
        <w:ind w:firstLine="567"/>
        <w:jc w:val="both"/>
        <w:rPr>
          <w:rFonts w:ascii="Abadi" w:eastAsiaTheme="minorHAnsi" w:hAnsi="Abadi" w:cs="Arial"/>
          <w:sz w:val="21"/>
          <w:szCs w:val="21"/>
          <w:lang w:val="es-MX" w:eastAsia="en-US"/>
        </w:rPr>
      </w:pPr>
    </w:p>
    <w:p w14:paraId="5205ED79" w14:textId="77777777" w:rsidR="00E3434F" w:rsidRPr="00946A9A" w:rsidRDefault="00E3434F" w:rsidP="00997039">
      <w:pPr>
        <w:ind w:firstLine="567"/>
        <w:jc w:val="both"/>
        <w:rPr>
          <w:rFonts w:ascii="Abadi" w:eastAsiaTheme="minorHAnsi" w:hAnsi="Abadi" w:cs="Arial"/>
          <w:sz w:val="21"/>
          <w:szCs w:val="21"/>
          <w:lang w:val="es-MX" w:eastAsia="en-US"/>
        </w:rPr>
      </w:pPr>
    </w:p>
    <w:p w14:paraId="48741578" w14:textId="77777777" w:rsidR="00E3434F" w:rsidRPr="00946A9A" w:rsidRDefault="00E3434F" w:rsidP="00997039">
      <w:pPr>
        <w:ind w:left="-3" w:firstLine="567"/>
        <w:jc w:val="both"/>
        <w:rPr>
          <w:rFonts w:ascii="Abadi" w:eastAsiaTheme="minorHAnsi" w:hAnsi="Abadi" w:cs="Arial"/>
          <w:sz w:val="21"/>
          <w:szCs w:val="21"/>
          <w:lang w:val="es-MX" w:eastAsia="en-US"/>
        </w:rPr>
      </w:pPr>
      <w:r w:rsidRPr="00946A9A">
        <w:rPr>
          <w:rFonts w:ascii="Abadi" w:eastAsiaTheme="minorHAnsi" w:hAnsi="Abadi" w:cs="Arial"/>
          <w:sz w:val="21"/>
          <w:szCs w:val="21"/>
          <w:lang w:val="es-MX" w:eastAsia="en-US"/>
        </w:rPr>
        <w:t>Las diputadas y el diputado que integramos la Comisión de Educación, Ciencia y Tecnología y Cultura de la Sexagésima Quinta Legislatura del Congreso del Estado de Guanajuato, recibimos en los términos del artículo 176 de la Ley Orgánica del Poder Legislativo del Estado, el dictamen de la iniciativa a efecto de reformar y adicionar diversos artículos de la Ley de los Derechos de Niñas, Niños y Adolescentes del Estado de Guanajuato, de la Ley para una Convivencia Libre de Violencia en el Entorno Escolar para el Estado de Guanajuato y sus Municipios y de la Ley para Prevenir, Atender y Erradicar la Violencia en el Estado de Guanajuato, formulada por las diputadas y los diputados integrantes del grupo parlamentario del Partido Acción Nacional en la Sexagésima Cuarta Legislatura, en lo correspondiente a la segunda de las leyes referidas.</w:t>
      </w:r>
    </w:p>
    <w:p w14:paraId="2868869E" w14:textId="77777777" w:rsidR="00E3434F" w:rsidRPr="00946A9A" w:rsidRDefault="00E3434F" w:rsidP="00997039">
      <w:pPr>
        <w:ind w:left="-3" w:firstLine="567"/>
        <w:jc w:val="both"/>
        <w:rPr>
          <w:rFonts w:ascii="Abadi" w:eastAsiaTheme="minorHAnsi" w:hAnsi="Abadi" w:cs="Arial"/>
          <w:sz w:val="21"/>
          <w:szCs w:val="21"/>
          <w:lang w:val="es-MX" w:eastAsia="en-US"/>
        </w:rPr>
      </w:pPr>
    </w:p>
    <w:p w14:paraId="4D013610" w14:textId="77777777" w:rsidR="00E3434F" w:rsidRPr="00946A9A" w:rsidRDefault="00E3434F" w:rsidP="00997039">
      <w:pPr>
        <w:ind w:left="-3" w:firstLine="567"/>
        <w:jc w:val="both"/>
        <w:rPr>
          <w:rFonts w:ascii="Abadi" w:eastAsiaTheme="minorHAnsi" w:hAnsi="Abadi" w:cs="Arial"/>
          <w:sz w:val="21"/>
          <w:szCs w:val="21"/>
          <w:lang w:val="es-MX" w:eastAsia="en-US"/>
        </w:rPr>
      </w:pPr>
      <w:r w:rsidRPr="00946A9A">
        <w:rPr>
          <w:rFonts w:ascii="Abadi" w:eastAsiaTheme="minorHAnsi" w:hAnsi="Abadi" w:cs="Arial"/>
          <w:sz w:val="21"/>
          <w:szCs w:val="21"/>
          <w:lang w:val="es-MX" w:eastAsia="en-US"/>
        </w:rPr>
        <w:t xml:space="preserve">Esta Comisión, con fundamento en lo dispuesto por los artículos 89 fracción V, 109 y 171 de la Ley Orgánica del Poder Legislativo del Estado de Guanajuato, formulamos a la Asamblea el siguiente: </w:t>
      </w:r>
    </w:p>
    <w:p w14:paraId="4283D569" w14:textId="77777777" w:rsidR="00E3434F" w:rsidRPr="00946A9A" w:rsidRDefault="00E3434F" w:rsidP="00997039">
      <w:pPr>
        <w:spacing w:after="439"/>
        <w:ind w:left="18" w:firstLine="567"/>
        <w:jc w:val="both"/>
        <w:rPr>
          <w:rFonts w:ascii="Abadi" w:eastAsia="Arial" w:hAnsi="Abadi" w:cs="Arial"/>
          <w:b/>
          <w:sz w:val="21"/>
          <w:szCs w:val="21"/>
          <w:lang w:val="es-MX" w:eastAsia="en-US"/>
        </w:rPr>
      </w:pPr>
    </w:p>
    <w:p w14:paraId="569EEF91" w14:textId="77777777" w:rsidR="00E3434F" w:rsidRPr="00946A9A" w:rsidRDefault="00E3434F" w:rsidP="00997039">
      <w:pPr>
        <w:spacing w:after="439"/>
        <w:ind w:left="18" w:firstLine="567"/>
        <w:jc w:val="center"/>
        <w:rPr>
          <w:rFonts w:ascii="Abadi" w:eastAsiaTheme="minorHAnsi" w:hAnsi="Abadi" w:cs="Arial"/>
          <w:sz w:val="21"/>
          <w:szCs w:val="21"/>
          <w:lang w:val="es-MX" w:eastAsia="en-US"/>
        </w:rPr>
      </w:pPr>
      <w:r w:rsidRPr="00946A9A">
        <w:rPr>
          <w:rFonts w:ascii="Abadi" w:eastAsia="Arial" w:hAnsi="Abadi" w:cs="Arial"/>
          <w:b/>
          <w:sz w:val="21"/>
          <w:szCs w:val="21"/>
          <w:lang w:val="es-MX" w:eastAsia="en-US"/>
        </w:rPr>
        <w:t>D I C T A M E N</w:t>
      </w:r>
    </w:p>
    <w:p w14:paraId="2A596006" w14:textId="77777777" w:rsidR="00E3434F" w:rsidRPr="00946A9A" w:rsidRDefault="00E3434F" w:rsidP="00997039">
      <w:pPr>
        <w:ind w:left="-3" w:firstLine="567"/>
        <w:jc w:val="both"/>
        <w:rPr>
          <w:rFonts w:ascii="Abadi" w:eastAsiaTheme="minorHAnsi" w:hAnsi="Abadi" w:cs="Arial"/>
          <w:sz w:val="21"/>
          <w:szCs w:val="21"/>
          <w:lang w:val="es-MX" w:eastAsia="en-US"/>
        </w:rPr>
      </w:pPr>
      <w:r w:rsidRPr="00946A9A">
        <w:rPr>
          <w:rFonts w:ascii="Abadi" w:eastAsiaTheme="minorHAnsi" w:hAnsi="Abadi" w:cs="Arial"/>
          <w:sz w:val="21"/>
          <w:szCs w:val="21"/>
          <w:lang w:val="es-MX" w:eastAsia="en-US"/>
        </w:rPr>
        <w:t xml:space="preserve">La Comisión de Educación, Ciencia y Tecnología y Cultura de la Sexagésima Cuarta Legislatura del Congreso del Estado de Guanajuato, se dedicó al análisis de la iniciativa descrita al tenor de los siguientes antecedentes y consideraciones: </w:t>
      </w:r>
    </w:p>
    <w:p w14:paraId="41C5918F" w14:textId="77777777" w:rsidR="00E3434F" w:rsidRPr="00946A9A" w:rsidRDefault="00E3434F" w:rsidP="00997039">
      <w:pPr>
        <w:ind w:left="-3" w:firstLine="567"/>
        <w:jc w:val="both"/>
        <w:rPr>
          <w:rFonts w:ascii="Abadi" w:eastAsiaTheme="minorHAnsi" w:hAnsi="Abadi" w:cs="Arial"/>
          <w:sz w:val="21"/>
          <w:szCs w:val="21"/>
          <w:lang w:val="es-MX" w:eastAsia="en-US"/>
        </w:rPr>
      </w:pPr>
    </w:p>
    <w:p w14:paraId="536DEA73" w14:textId="77777777" w:rsidR="00E3434F" w:rsidRPr="00946A9A" w:rsidRDefault="00E3434F" w:rsidP="00997039">
      <w:pPr>
        <w:spacing w:after="441"/>
        <w:ind w:right="1" w:firstLine="564"/>
        <w:jc w:val="both"/>
        <w:rPr>
          <w:rFonts w:ascii="Abadi" w:eastAsiaTheme="minorHAnsi" w:hAnsi="Abadi" w:cs="Arial"/>
          <w:sz w:val="21"/>
          <w:szCs w:val="21"/>
          <w:lang w:val="es-MX" w:eastAsia="en-US"/>
        </w:rPr>
      </w:pPr>
      <w:r w:rsidRPr="00946A9A">
        <w:rPr>
          <w:rFonts w:ascii="Abadi" w:eastAsia="Arial" w:hAnsi="Abadi" w:cs="Arial"/>
          <w:b/>
          <w:sz w:val="21"/>
          <w:szCs w:val="21"/>
          <w:lang w:val="es-MX" w:eastAsia="en-US"/>
        </w:rPr>
        <w:t>Antecedentes.</w:t>
      </w:r>
    </w:p>
    <w:p w14:paraId="3AC80CE7" w14:textId="77777777" w:rsidR="00E3434F" w:rsidRPr="00946A9A" w:rsidRDefault="00E3434F" w:rsidP="00997039">
      <w:pPr>
        <w:ind w:firstLine="567"/>
        <w:jc w:val="both"/>
        <w:rPr>
          <w:rFonts w:ascii="Abadi" w:hAnsi="Abadi" w:cs="Arial"/>
          <w:sz w:val="21"/>
          <w:szCs w:val="21"/>
          <w:lang w:val="es-MX" w:eastAsia="es-MX"/>
        </w:rPr>
      </w:pPr>
      <w:r w:rsidRPr="00946A9A">
        <w:rPr>
          <w:rFonts w:ascii="Abadi" w:hAnsi="Abadi" w:cs="Arial"/>
          <w:sz w:val="21"/>
          <w:szCs w:val="21"/>
          <w:lang w:val="es-MX" w:eastAsia="es-MX"/>
        </w:rPr>
        <w:t>En sesión ordinaria de fecha 10 de diciembre del año 2020, la presidencia de la Mesa Directiva turnó a la Comisión de Educación, Ciencia y Tecnología de la Sexagésima Cuarta Legislatura, para efectos de su estudio y dictamen, la propuesta de punto de acuerdo referido en el proemio del presente dictamen, con fundamento en el artículo 109 fracción II de la Ley Orgánica del Poder Legislativo del Estado de Guanajuato.</w:t>
      </w:r>
    </w:p>
    <w:p w14:paraId="27A3CC91" w14:textId="77777777" w:rsidR="00E3434F" w:rsidRPr="00946A9A" w:rsidRDefault="00E3434F" w:rsidP="00997039">
      <w:pPr>
        <w:jc w:val="both"/>
        <w:rPr>
          <w:rFonts w:ascii="Abadi" w:hAnsi="Abadi" w:cs="Arial"/>
          <w:sz w:val="21"/>
          <w:szCs w:val="21"/>
          <w:lang w:val="es-MX" w:eastAsia="es-MX"/>
        </w:rPr>
      </w:pPr>
    </w:p>
    <w:p w14:paraId="51EB9790" w14:textId="77777777" w:rsidR="00E3434F" w:rsidRPr="00946A9A" w:rsidRDefault="00E3434F" w:rsidP="00997039">
      <w:pPr>
        <w:ind w:firstLine="567"/>
        <w:jc w:val="both"/>
        <w:rPr>
          <w:rFonts w:ascii="Abadi" w:hAnsi="Abadi" w:cs="Arial"/>
          <w:sz w:val="21"/>
          <w:szCs w:val="21"/>
          <w:lang w:val="es-MX" w:eastAsia="es-MX"/>
        </w:rPr>
      </w:pPr>
      <w:r w:rsidRPr="00946A9A">
        <w:rPr>
          <w:rFonts w:ascii="Abadi" w:hAnsi="Abadi" w:cs="Arial"/>
          <w:sz w:val="21"/>
          <w:szCs w:val="21"/>
          <w:lang w:val="es-MX" w:eastAsia="es-MX"/>
        </w:rPr>
        <w:t>Quienes integramos la Comisión de Educación, Ciencia y Tecnología y Cultura, recibimos los pendientes legislativos de la Sexagésima Cuarta Legislatura en fecha 12 de octubre del año 2021, dentro de los cuales se encontraba la iniciativa que ahora se dictamina.</w:t>
      </w:r>
    </w:p>
    <w:p w14:paraId="562254B0" w14:textId="77777777" w:rsidR="00E3434F" w:rsidRPr="00946A9A" w:rsidRDefault="00E3434F" w:rsidP="00997039">
      <w:pPr>
        <w:ind w:firstLine="567"/>
        <w:jc w:val="both"/>
        <w:rPr>
          <w:rFonts w:ascii="Abadi" w:hAnsi="Abadi" w:cs="Arial"/>
          <w:sz w:val="21"/>
          <w:szCs w:val="21"/>
          <w:lang w:val="es-MX" w:eastAsia="es-MX"/>
        </w:rPr>
      </w:pPr>
    </w:p>
    <w:p w14:paraId="7E17DAEC" w14:textId="77777777" w:rsidR="00E3434F" w:rsidRPr="00946A9A" w:rsidRDefault="00E3434F" w:rsidP="00997039">
      <w:pPr>
        <w:ind w:firstLine="709"/>
        <w:jc w:val="both"/>
        <w:rPr>
          <w:rFonts w:ascii="Abadi" w:hAnsi="Abadi" w:cs="Arial"/>
          <w:sz w:val="21"/>
          <w:szCs w:val="21"/>
          <w:lang w:val="es-MX" w:eastAsia="es-MX"/>
        </w:rPr>
      </w:pPr>
      <w:r w:rsidRPr="00946A9A">
        <w:rPr>
          <w:rFonts w:ascii="Abadi" w:hAnsi="Abadi" w:cs="Arial"/>
          <w:sz w:val="21"/>
          <w:szCs w:val="21"/>
          <w:lang w:val="es-MX" w:eastAsia="es-MX"/>
        </w:rPr>
        <w:t>La presidencia de esta Comisión Educación, Ciencia y Tecnología y Cultura con fundamento en los artículos 94 fracción VII y 272 fracción VIII inciso e) de la Ley Orgánica del Poder Legislativo del Estado de Guanajuato instruyó a la Secretaría Técnica para que elaborara el proyecto de dictamen, mismo que fue materia de revisión por quienes integran esta comisión.</w:t>
      </w:r>
    </w:p>
    <w:p w14:paraId="74367AA7" w14:textId="77777777" w:rsidR="00E3434F" w:rsidRPr="00946A9A" w:rsidRDefault="00E3434F" w:rsidP="00997039">
      <w:pPr>
        <w:jc w:val="both"/>
        <w:rPr>
          <w:rFonts w:ascii="Abadi" w:hAnsi="Abadi" w:cs="Arial"/>
          <w:sz w:val="21"/>
          <w:szCs w:val="21"/>
          <w:lang w:val="es-MX" w:eastAsia="es-MX"/>
        </w:rPr>
      </w:pPr>
    </w:p>
    <w:p w14:paraId="690C60A9" w14:textId="77777777" w:rsidR="00E3434F" w:rsidRPr="00946A9A" w:rsidRDefault="00E3434F" w:rsidP="00997039">
      <w:pPr>
        <w:jc w:val="both"/>
        <w:rPr>
          <w:rFonts w:ascii="Abadi" w:hAnsi="Abadi" w:cs="Arial"/>
          <w:sz w:val="21"/>
          <w:szCs w:val="21"/>
          <w:lang w:val="es-MX" w:eastAsia="es-MX"/>
        </w:rPr>
      </w:pPr>
    </w:p>
    <w:p w14:paraId="1AE52750" w14:textId="77777777" w:rsidR="00E3434F" w:rsidRPr="00946A9A" w:rsidRDefault="00E3434F" w:rsidP="00997039">
      <w:pPr>
        <w:ind w:left="567"/>
        <w:jc w:val="both"/>
        <w:rPr>
          <w:rFonts w:ascii="Abadi" w:eastAsiaTheme="minorHAnsi" w:hAnsi="Abadi" w:cs="Arial"/>
          <w:b/>
          <w:bCs/>
          <w:sz w:val="21"/>
          <w:szCs w:val="21"/>
          <w:lang w:val="es-MX" w:eastAsia="en-US"/>
        </w:rPr>
      </w:pPr>
      <w:r w:rsidRPr="00946A9A">
        <w:rPr>
          <w:rFonts w:ascii="Abadi" w:eastAsiaTheme="minorHAnsi" w:hAnsi="Abadi" w:cs="Arial"/>
          <w:b/>
          <w:bCs/>
          <w:sz w:val="21"/>
          <w:szCs w:val="21"/>
          <w:lang w:val="es-MX" w:eastAsia="en-US"/>
        </w:rPr>
        <w:t xml:space="preserve">Contenido de la propuesta de la iniciativa: </w:t>
      </w:r>
    </w:p>
    <w:p w14:paraId="6421DB76" w14:textId="77777777" w:rsidR="00E3434F" w:rsidRPr="00946A9A" w:rsidRDefault="00E3434F" w:rsidP="00997039">
      <w:pPr>
        <w:ind w:left="567"/>
        <w:jc w:val="both"/>
        <w:rPr>
          <w:rFonts w:ascii="Abadi" w:eastAsiaTheme="minorHAnsi" w:hAnsi="Abadi" w:cs="Arial"/>
          <w:b/>
          <w:bCs/>
          <w:sz w:val="21"/>
          <w:szCs w:val="21"/>
          <w:lang w:val="es-MX" w:eastAsia="en-US"/>
        </w:rPr>
      </w:pPr>
    </w:p>
    <w:p w14:paraId="01ED2EF0" w14:textId="77777777" w:rsidR="00E3434F" w:rsidRPr="00946A9A" w:rsidRDefault="00E3434F" w:rsidP="00997039">
      <w:pPr>
        <w:ind w:left="-3" w:firstLine="567"/>
        <w:jc w:val="both"/>
        <w:rPr>
          <w:rFonts w:ascii="Abadi" w:eastAsiaTheme="minorHAnsi" w:hAnsi="Abadi" w:cs="Arial"/>
          <w:sz w:val="21"/>
          <w:szCs w:val="21"/>
          <w:lang w:val="es-MX" w:eastAsia="en-US"/>
        </w:rPr>
      </w:pPr>
      <w:r w:rsidRPr="00946A9A">
        <w:rPr>
          <w:rFonts w:ascii="Abadi" w:eastAsiaTheme="minorHAnsi" w:hAnsi="Abadi" w:cs="Arial"/>
          <w:sz w:val="21"/>
          <w:szCs w:val="21"/>
          <w:lang w:val="es-MX" w:eastAsia="en-US"/>
        </w:rPr>
        <w:t xml:space="preserve">Adicionar la fracción VI y recorriéndose la subsecuente del artículo 20 de la Ley para una Convivencia Libre de Violencia en el Entorno Escolar para el Estado de Guanajuato y sus Municipios, con la finalidad de que añadir como parte de las atribuciones del Sistema Estatal para el Desarrollo Integral de la Familia, el desarrollar en conjunto con la Secretaría </w:t>
      </w:r>
      <w:r w:rsidRPr="00946A9A">
        <w:rPr>
          <w:rFonts w:ascii="Abadi" w:eastAsiaTheme="minorHAnsi" w:hAnsi="Abadi" w:cs="Arial"/>
          <w:i/>
          <w:iCs/>
          <w:sz w:val="21"/>
          <w:szCs w:val="21"/>
          <w:lang w:val="es-MX" w:eastAsia="en-US"/>
        </w:rPr>
        <w:t>-de Educación</w:t>
      </w:r>
      <w:r w:rsidRPr="00946A9A">
        <w:rPr>
          <w:rFonts w:ascii="Abadi" w:eastAsiaTheme="minorHAnsi" w:hAnsi="Abadi" w:cs="Arial"/>
          <w:i/>
          <w:iCs/>
          <w:sz w:val="21"/>
          <w:szCs w:val="21"/>
          <w:lang w:val="es-MX" w:eastAsia="en-US"/>
        </w:rPr>
        <w:softHyphen/>
        <w:t>-</w:t>
      </w:r>
      <w:r w:rsidRPr="00946A9A">
        <w:rPr>
          <w:rFonts w:ascii="Abadi" w:eastAsiaTheme="minorHAnsi" w:hAnsi="Abadi" w:cs="Arial"/>
          <w:sz w:val="21"/>
          <w:szCs w:val="21"/>
          <w:lang w:val="es-MX" w:eastAsia="en-US"/>
        </w:rPr>
        <w:t xml:space="preserve"> la impartición de programas de educación que promuevan la crianza positiva, en términos de la Ley de los Derechos de Niñas, Niños y Adolescentes del Estado de Guanajuato.</w:t>
      </w:r>
    </w:p>
    <w:p w14:paraId="032E6457" w14:textId="77777777" w:rsidR="00E3434F" w:rsidRPr="00946A9A" w:rsidRDefault="00E3434F" w:rsidP="00997039">
      <w:pPr>
        <w:ind w:left="-3" w:firstLine="567"/>
        <w:jc w:val="both"/>
        <w:rPr>
          <w:rFonts w:ascii="Abadi" w:eastAsiaTheme="minorHAnsi" w:hAnsi="Abadi" w:cs="Arial"/>
          <w:sz w:val="21"/>
          <w:szCs w:val="21"/>
          <w:lang w:val="es-MX" w:eastAsia="en-US"/>
        </w:rPr>
      </w:pPr>
    </w:p>
    <w:p w14:paraId="25CC0519" w14:textId="77777777" w:rsidR="00E3434F" w:rsidRPr="00946A9A" w:rsidRDefault="00E3434F" w:rsidP="00997039">
      <w:pPr>
        <w:numPr>
          <w:ilvl w:val="0"/>
          <w:numId w:val="74"/>
        </w:numPr>
        <w:spacing w:after="449"/>
        <w:ind w:left="426" w:right="1"/>
        <w:jc w:val="both"/>
        <w:rPr>
          <w:rFonts w:ascii="Abadi" w:eastAsiaTheme="minorHAnsi" w:hAnsi="Abadi" w:cs="Arial"/>
          <w:sz w:val="21"/>
          <w:szCs w:val="21"/>
          <w:lang w:val="es-MX" w:eastAsia="en-US"/>
        </w:rPr>
      </w:pPr>
      <w:r w:rsidRPr="00946A9A">
        <w:rPr>
          <w:rFonts w:ascii="Abadi" w:eastAsia="Arial" w:hAnsi="Abadi" w:cs="Arial"/>
          <w:b/>
          <w:sz w:val="21"/>
          <w:szCs w:val="21"/>
          <w:lang w:val="es-MX" w:eastAsia="en-US"/>
        </w:rPr>
        <w:t>Consideraciones de la Comisión de Educación, Ciencia y Tecnología y Cultura.</w:t>
      </w:r>
    </w:p>
    <w:p w14:paraId="1EEC4FFE" w14:textId="77777777" w:rsidR="00E3434F" w:rsidRPr="00946A9A" w:rsidRDefault="00E3434F" w:rsidP="00997039">
      <w:pPr>
        <w:ind w:left="-3" w:firstLine="567"/>
        <w:jc w:val="both"/>
        <w:rPr>
          <w:rFonts w:ascii="Abadi" w:eastAsiaTheme="minorHAnsi" w:hAnsi="Abadi" w:cs="Arial"/>
          <w:sz w:val="21"/>
          <w:szCs w:val="21"/>
          <w:lang w:val="es-MX" w:eastAsia="en-US"/>
        </w:rPr>
      </w:pPr>
      <w:r w:rsidRPr="00946A9A">
        <w:rPr>
          <w:rFonts w:ascii="Abadi" w:eastAsiaTheme="minorHAnsi" w:hAnsi="Abadi" w:cs="Arial"/>
          <w:sz w:val="21"/>
          <w:szCs w:val="21"/>
          <w:lang w:val="es-MX" w:eastAsia="en-US"/>
        </w:rPr>
        <w:t xml:space="preserve">De conformidad con lo dispuesto por el artículo 109 de la Ley Orgánica del Poder Legislativo del Estado de Guanajuato, el estudio y conocimiento del presente asunto es competencia de la Comisión que ahora dictamina. </w:t>
      </w:r>
    </w:p>
    <w:p w14:paraId="6AC59325" w14:textId="77777777" w:rsidR="00E3434F" w:rsidRPr="00946A9A" w:rsidRDefault="00E3434F" w:rsidP="00997039">
      <w:pPr>
        <w:ind w:left="-3" w:firstLine="567"/>
        <w:jc w:val="both"/>
        <w:rPr>
          <w:rFonts w:ascii="Abadi" w:eastAsiaTheme="minorHAnsi" w:hAnsi="Abadi" w:cs="Arial"/>
          <w:sz w:val="21"/>
          <w:szCs w:val="21"/>
          <w:lang w:val="es-MX" w:eastAsia="en-US"/>
        </w:rPr>
      </w:pPr>
    </w:p>
    <w:p w14:paraId="38AAE468" w14:textId="77777777" w:rsidR="00E3434F" w:rsidRPr="00946A9A" w:rsidRDefault="00E3434F" w:rsidP="00997039">
      <w:pPr>
        <w:ind w:left="-3" w:firstLine="567"/>
        <w:jc w:val="both"/>
        <w:rPr>
          <w:rFonts w:ascii="Abadi" w:eastAsiaTheme="minorHAnsi" w:hAnsi="Abadi" w:cs="Arial"/>
          <w:sz w:val="21"/>
          <w:szCs w:val="21"/>
          <w:lang w:val="es-MX" w:eastAsia="en-US"/>
        </w:rPr>
      </w:pPr>
      <w:r w:rsidRPr="00946A9A">
        <w:rPr>
          <w:rFonts w:ascii="Abadi" w:eastAsiaTheme="minorHAnsi" w:hAnsi="Abadi" w:cs="Arial"/>
          <w:sz w:val="21"/>
          <w:szCs w:val="21"/>
          <w:lang w:val="es-MX" w:eastAsia="en-US"/>
        </w:rPr>
        <w:t xml:space="preserve">Las y los proponentes manifestaron en la parte expositiva de la iniciativa lo siguiente:  </w:t>
      </w:r>
    </w:p>
    <w:p w14:paraId="0F094E43" w14:textId="77777777" w:rsidR="00E3434F" w:rsidRPr="00946A9A" w:rsidRDefault="00E3434F" w:rsidP="00997039">
      <w:pPr>
        <w:ind w:left="-3" w:firstLine="567"/>
        <w:jc w:val="both"/>
        <w:rPr>
          <w:rFonts w:ascii="Abadi" w:eastAsiaTheme="minorHAnsi" w:hAnsi="Abadi" w:cs="Arial"/>
          <w:sz w:val="21"/>
          <w:szCs w:val="21"/>
          <w:lang w:val="es-MX" w:eastAsia="en-US"/>
        </w:rPr>
      </w:pPr>
    </w:p>
    <w:p w14:paraId="730C2A11" w14:textId="77777777" w:rsidR="00E3434F" w:rsidRPr="00946A9A" w:rsidRDefault="00E3434F" w:rsidP="00997039">
      <w:pPr>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w:t>
      </w:r>
    </w:p>
    <w:p w14:paraId="34B6C430" w14:textId="77777777" w:rsidR="00E3434F" w:rsidRPr="00946A9A" w:rsidRDefault="00E3434F" w:rsidP="00997039">
      <w:pPr>
        <w:ind w:left="567" w:right="758"/>
        <w:jc w:val="both"/>
        <w:rPr>
          <w:rFonts w:ascii="Abadi" w:eastAsiaTheme="minorHAnsi" w:hAnsi="Abadi" w:cs="Arial"/>
          <w:i/>
          <w:iCs/>
          <w:sz w:val="21"/>
          <w:szCs w:val="21"/>
          <w:lang w:val="es-MX" w:eastAsia="en-US"/>
        </w:rPr>
      </w:pPr>
    </w:p>
    <w:p w14:paraId="62914292" w14:textId="77777777" w:rsidR="00E3434F" w:rsidRPr="00946A9A" w:rsidRDefault="00E3434F" w:rsidP="00997039">
      <w:pPr>
        <w:tabs>
          <w:tab w:val="left" w:pos="7938"/>
        </w:tabs>
        <w:spacing w:after="26"/>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El objetivo de la presente iniciativa es </w:t>
      </w:r>
      <w:r w:rsidRPr="00946A9A">
        <w:rPr>
          <w:rFonts w:ascii="Abadi" w:eastAsiaTheme="minorHAnsi" w:hAnsi="Abadi" w:cs="Arial"/>
          <w:b/>
          <w:bCs/>
          <w:i/>
          <w:iCs/>
          <w:sz w:val="21"/>
          <w:szCs w:val="21"/>
          <w:lang w:val="es-MX" w:eastAsia="en-US"/>
        </w:rPr>
        <w:t>retomar el marco jurídico</w:t>
      </w:r>
      <w:r w:rsidRPr="00946A9A">
        <w:rPr>
          <w:rFonts w:ascii="Abadi" w:eastAsiaTheme="minorHAnsi" w:hAnsi="Abadi" w:cs="Arial"/>
          <w:i/>
          <w:iCs/>
          <w:sz w:val="21"/>
          <w:szCs w:val="21"/>
          <w:lang w:val="es-MX" w:eastAsia="en-US"/>
        </w:rPr>
        <w:t xml:space="preserve"> del Estado de Guanajuato, para atender ciertas modificaciones realizadas a la Ley General de los Derechos de Niñas, Niños y Adolescentes y al Código Civil Federal, </w:t>
      </w:r>
      <w:r w:rsidRPr="00946A9A">
        <w:rPr>
          <w:rFonts w:ascii="Abadi" w:eastAsiaTheme="minorHAnsi" w:hAnsi="Abadi" w:cs="Arial"/>
          <w:b/>
          <w:bCs/>
          <w:i/>
          <w:iCs/>
          <w:sz w:val="21"/>
          <w:szCs w:val="21"/>
          <w:lang w:val="es-MX" w:eastAsia="en-US"/>
        </w:rPr>
        <w:t>que prohíben de manera expresa el castigo corporal y humillante como método correctivo o disciplinario a niñas, niños y adolescentes, así como generar el marco normativo necesario para un enfoque preventivo y de generación de crianza positiva.</w:t>
      </w:r>
    </w:p>
    <w:p w14:paraId="79B3D2C5" w14:textId="77777777" w:rsidR="00E3434F" w:rsidRPr="00946A9A" w:rsidRDefault="00E3434F" w:rsidP="00997039">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 </w:t>
      </w:r>
    </w:p>
    <w:p w14:paraId="02A9D9D0" w14:textId="77777777" w:rsidR="00E3434F" w:rsidRPr="00946A9A" w:rsidRDefault="00E3434F" w:rsidP="00997039">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Si bien, la legislación ya incluye la prohibición explicita del castigo corporal y humillante en la Ley de Derechos de Niñas, Niños y Adolescentes del Estado de Guanajuato</w:t>
      </w:r>
      <w:r w:rsidRPr="00946A9A">
        <w:rPr>
          <w:rFonts w:ascii="Abadi" w:eastAsiaTheme="minorHAnsi" w:hAnsi="Abadi" w:cs="Arial"/>
          <w:b/>
          <w:bCs/>
          <w:i/>
          <w:iCs/>
          <w:sz w:val="21"/>
          <w:szCs w:val="21"/>
          <w:lang w:val="es-MX" w:eastAsia="en-US"/>
        </w:rPr>
        <w:t>, resulta necesario ampliar las consideraciones y directrices, para clarificar el significado de los conceptos y criterios relacionados con el fenómeno de las medidas correctivas que vulneran la dignidad y bienestar de niñas, niños y adolescentes.</w:t>
      </w:r>
      <w:r w:rsidRPr="00946A9A">
        <w:rPr>
          <w:rFonts w:ascii="Abadi" w:eastAsiaTheme="minorHAnsi" w:hAnsi="Abadi" w:cs="Arial"/>
          <w:i/>
          <w:iCs/>
          <w:sz w:val="21"/>
          <w:szCs w:val="21"/>
          <w:lang w:val="es-MX" w:eastAsia="en-US"/>
        </w:rPr>
        <w:t xml:space="preserve"> </w:t>
      </w:r>
    </w:p>
    <w:p w14:paraId="4915B8FC" w14:textId="77777777" w:rsidR="00E3434F" w:rsidRPr="00946A9A" w:rsidRDefault="00E3434F" w:rsidP="00997039">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 </w:t>
      </w:r>
    </w:p>
    <w:p w14:paraId="61666CC5" w14:textId="77777777" w:rsidR="00E3434F" w:rsidRPr="00946A9A" w:rsidRDefault="00E3434F" w:rsidP="00997039">
      <w:pPr>
        <w:tabs>
          <w:tab w:val="left" w:pos="7938"/>
        </w:tabs>
        <w:spacing w:after="138"/>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 Asimismo, nuestro Código Civil para el Estado de Guanajuato, prevé de manera expresa que los que ejercen la patria potestad no podrán imponer castigo corporal o cualquier otro tipo de trato humillante como forma de corrección disciplinaria…</w:t>
      </w:r>
    </w:p>
    <w:p w14:paraId="3167AE83" w14:textId="77777777" w:rsidR="00E3434F" w:rsidRPr="00946A9A" w:rsidRDefault="00E3434F" w:rsidP="00997039">
      <w:pPr>
        <w:tabs>
          <w:tab w:val="left" w:pos="7938"/>
        </w:tabs>
        <w:spacing w:after="138"/>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A su vez, la presente propuesta plantea la necesidad de retomar un enfoque subsidiario por parte del Estado, el cual auxilie a madres y padres de familia y tutores, para desarrollar las capacidades y habilidades necesarias para la educación y crianza de niñas, niños y adolescentes. Lo anterior implica la adaptación y adopción de espacios y acciones que faciliten el acceso al desarrollo y refuerzo de habilidades parentales para el cumplimiento de sus derechos y obligaciones respecto a la implementación de medidas correctivas no violentas y positivas. </w:t>
      </w:r>
    </w:p>
    <w:p w14:paraId="719EB579" w14:textId="77777777" w:rsidR="00E3434F" w:rsidRPr="00946A9A" w:rsidRDefault="00E3434F" w:rsidP="00997039">
      <w:pPr>
        <w:tabs>
          <w:tab w:val="left" w:pos="7938"/>
        </w:tabs>
        <w:spacing w:after="138"/>
        <w:ind w:left="567" w:right="758"/>
        <w:jc w:val="both"/>
        <w:rPr>
          <w:rFonts w:ascii="Abadi" w:eastAsiaTheme="minorHAnsi" w:hAnsi="Abadi" w:cs="Arial"/>
          <w:i/>
          <w:iCs/>
          <w:sz w:val="21"/>
          <w:szCs w:val="21"/>
          <w:lang w:val="es-MX" w:eastAsia="en-US"/>
        </w:rPr>
      </w:pPr>
      <w:r w:rsidRPr="00946A9A">
        <w:rPr>
          <w:rFonts w:ascii="Abadi" w:eastAsia="Arial" w:hAnsi="Abadi" w:cs="Arial"/>
          <w:b/>
          <w:i/>
          <w:iCs/>
          <w:sz w:val="21"/>
          <w:szCs w:val="21"/>
          <w:lang w:val="es-MX" w:eastAsia="en-US"/>
        </w:rPr>
        <w:t xml:space="preserve">Enfoque preventivo y de atención integral al castigo corporal. </w:t>
      </w:r>
    </w:p>
    <w:p w14:paraId="70A4D3A6" w14:textId="77777777" w:rsidR="00E3434F" w:rsidRPr="00946A9A" w:rsidRDefault="00E3434F" w:rsidP="00997039">
      <w:pPr>
        <w:tabs>
          <w:tab w:val="left" w:pos="7938"/>
        </w:tabs>
        <w:spacing w:after="138"/>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El enfoque preventivo y de atención integral al problema del castigo corporal y humillante complementa la prohibición expresa. Además, diversos organismos internacionales recomiendan adoptar aquel enfoque. Incluso, la Organización Mundial de la Salud ha diseñado un instrumento metodológico para generar ambientes de respeto que propicien una crianza positiva. Este instrumento metodológico reconoce la importancia de dirigir medidas a quienes cuidan y educan a la niñez, especialmente a padres y madres de familia. </w:t>
      </w:r>
    </w:p>
    <w:p w14:paraId="7E586855" w14:textId="77777777" w:rsidR="00E3434F" w:rsidRPr="00946A9A" w:rsidRDefault="00E3434F" w:rsidP="00997039">
      <w:pPr>
        <w:tabs>
          <w:tab w:val="left" w:pos="7938"/>
        </w:tabs>
        <w:ind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 </w:t>
      </w:r>
    </w:p>
    <w:p w14:paraId="20A78DC6" w14:textId="77777777" w:rsidR="00E3434F" w:rsidRPr="00946A9A" w:rsidRDefault="00E3434F" w:rsidP="00997039">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Al resaltar el enfoque preventivo del castigo corporal y humillante, resulta también necesario enfocar, no tanto en la criminalización de los padres de familia y tutores, sino en el reconocimiento de estos como actores principales en la atención del problema. </w:t>
      </w:r>
      <w:r w:rsidRPr="00946A9A">
        <w:rPr>
          <w:rFonts w:ascii="Abadi" w:eastAsiaTheme="minorHAnsi" w:hAnsi="Abadi" w:cs="Arial"/>
          <w:b/>
          <w:bCs/>
          <w:i/>
          <w:iCs/>
          <w:sz w:val="21"/>
          <w:szCs w:val="21"/>
          <w:lang w:val="es-MX" w:eastAsia="en-US"/>
        </w:rPr>
        <w:t xml:space="preserve">Por lo que esta iniciativa propone una pauta jurídica para la promoción de esfuerzos que propicien la generación de competencias para llevar a cabo una crianza positiva. Esto es posible mediante la promoción de la crianza positiva, que consiste en la función central de las madres, padres de familia y tutores, en la creación de relaciones sanas y positivas </w:t>
      </w:r>
      <w:r w:rsidRPr="00946A9A">
        <w:rPr>
          <w:rFonts w:ascii="Abadi" w:eastAsiaTheme="minorHAnsi" w:hAnsi="Abadi" w:cs="Arial"/>
          <w:i/>
          <w:iCs/>
          <w:sz w:val="21"/>
          <w:szCs w:val="21"/>
          <w:lang w:val="es-MX" w:eastAsia="en-US"/>
        </w:rPr>
        <w:t xml:space="preserve">en el marco de la crianza que se da en el ejercicio de la patria potestad, en beneficio de las niñas, niños y adolescentes del Estado de Guanajuato. </w:t>
      </w:r>
    </w:p>
    <w:p w14:paraId="56F6B95F" w14:textId="77777777" w:rsidR="00E3434F" w:rsidRPr="00946A9A" w:rsidRDefault="00E3434F" w:rsidP="00997039">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 </w:t>
      </w:r>
    </w:p>
    <w:p w14:paraId="5232668D" w14:textId="77777777" w:rsidR="00E3434F" w:rsidRPr="00946A9A" w:rsidRDefault="00E3434F" w:rsidP="00997039">
      <w:pPr>
        <w:tabs>
          <w:tab w:val="left" w:pos="7938"/>
        </w:tabs>
        <w:ind w:left="567" w:right="758"/>
        <w:jc w:val="both"/>
        <w:rPr>
          <w:rFonts w:ascii="Abadi" w:eastAsiaTheme="minorHAnsi" w:hAnsi="Abadi" w:cs="Arial"/>
          <w:i/>
          <w:iCs/>
          <w:sz w:val="21"/>
          <w:szCs w:val="21"/>
          <w:lang w:val="es-MX" w:eastAsia="en-US"/>
        </w:rPr>
      </w:pPr>
      <w:r w:rsidRPr="00946A9A">
        <w:rPr>
          <w:rFonts w:ascii="Abadi" w:eastAsia="Arial" w:hAnsi="Abadi" w:cs="Arial"/>
          <w:b/>
          <w:i/>
          <w:iCs/>
          <w:sz w:val="21"/>
          <w:szCs w:val="21"/>
          <w:lang w:val="es-MX" w:eastAsia="en-US"/>
        </w:rPr>
        <w:t xml:space="preserve">Castigo corporal. </w:t>
      </w:r>
    </w:p>
    <w:p w14:paraId="7294FE6B" w14:textId="77777777" w:rsidR="00E3434F" w:rsidRPr="00946A9A" w:rsidRDefault="00E3434F" w:rsidP="00997039">
      <w:pPr>
        <w:tabs>
          <w:tab w:val="left" w:pos="7938"/>
        </w:tabs>
        <w:ind w:left="567" w:right="758"/>
        <w:jc w:val="both"/>
        <w:rPr>
          <w:rFonts w:ascii="Abadi" w:eastAsiaTheme="minorHAnsi" w:hAnsi="Abadi" w:cs="Arial"/>
          <w:i/>
          <w:iCs/>
          <w:sz w:val="21"/>
          <w:szCs w:val="21"/>
          <w:lang w:val="es-MX" w:eastAsia="en-US"/>
        </w:rPr>
      </w:pPr>
      <w:r w:rsidRPr="00946A9A">
        <w:rPr>
          <w:rFonts w:ascii="Abadi" w:eastAsia="Arial" w:hAnsi="Abadi" w:cs="Arial"/>
          <w:b/>
          <w:i/>
          <w:iCs/>
          <w:sz w:val="21"/>
          <w:szCs w:val="21"/>
          <w:lang w:val="es-MX" w:eastAsia="en-US"/>
        </w:rPr>
        <w:t xml:space="preserve"> </w:t>
      </w:r>
    </w:p>
    <w:p w14:paraId="58F14ED9" w14:textId="77777777" w:rsidR="00E3434F" w:rsidRPr="00946A9A" w:rsidRDefault="00E3434F" w:rsidP="00997039">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Pocas violaciones de los derechos humanos suscitan mayor preocupación social y repugnancia que las perpetradas contra los niños y niñas. Es así que nuestros niños y niñas tienen el mismo derecho humano básico, como los adultos de ser protegidos contra cualquier forma de violencia. </w:t>
      </w:r>
    </w:p>
    <w:p w14:paraId="3C6ABDF6" w14:textId="77777777" w:rsidR="00E3434F" w:rsidRPr="00946A9A" w:rsidRDefault="00E3434F" w:rsidP="00997039">
      <w:pPr>
        <w:tabs>
          <w:tab w:val="left" w:pos="7938"/>
        </w:tabs>
        <w:ind w:left="567" w:right="758"/>
        <w:jc w:val="both"/>
        <w:rPr>
          <w:rFonts w:ascii="Abadi" w:eastAsiaTheme="minorHAnsi" w:hAnsi="Abadi" w:cs="Arial"/>
          <w:i/>
          <w:iCs/>
          <w:sz w:val="21"/>
          <w:szCs w:val="21"/>
          <w:lang w:val="es-MX" w:eastAsia="en-US"/>
        </w:rPr>
      </w:pPr>
      <w:r w:rsidRPr="00946A9A">
        <w:rPr>
          <w:rFonts w:ascii="Abadi" w:eastAsia="Arial" w:hAnsi="Abadi" w:cs="Arial"/>
          <w:b/>
          <w:i/>
          <w:iCs/>
          <w:sz w:val="21"/>
          <w:szCs w:val="21"/>
          <w:lang w:val="es-MX" w:eastAsia="en-US"/>
        </w:rPr>
        <w:t xml:space="preserve"> </w:t>
      </w:r>
    </w:p>
    <w:p w14:paraId="66066C1E" w14:textId="77777777" w:rsidR="00E3434F" w:rsidRPr="00946A9A" w:rsidRDefault="00E3434F" w:rsidP="00997039">
      <w:pPr>
        <w:tabs>
          <w:tab w:val="left" w:pos="7938"/>
        </w:tabs>
        <w:spacing w:after="27"/>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w:t>
      </w:r>
    </w:p>
    <w:p w14:paraId="1F6EAE5E" w14:textId="77777777" w:rsidR="00E3434F" w:rsidRPr="00946A9A" w:rsidRDefault="00E3434F" w:rsidP="00997039">
      <w:pPr>
        <w:tabs>
          <w:tab w:val="left" w:pos="7938"/>
        </w:tabs>
        <w:spacing w:after="27"/>
        <w:ind w:left="567" w:right="758"/>
        <w:jc w:val="both"/>
        <w:rPr>
          <w:rFonts w:ascii="Abadi" w:eastAsiaTheme="minorHAnsi" w:hAnsi="Abadi" w:cs="Arial"/>
          <w:i/>
          <w:iCs/>
          <w:sz w:val="21"/>
          <w:szCs w:val="21"/>
          <w:lang w:val="es-MX" w:eastAsia="en-US"/>
        </w:rPr>
      </w:pPr>
    </w:p>
    <w:p w14:paraId="7423FC1A" w14:textId="77777777" w:rsidR="00E3434F" w:rsidRPr="00946A9A" w:rsidRDefault="00E3434F" w:rsidP="00997039">
      <w:pPr>
        <w:tabs>
          <w:tab w:val="left" w:pos="7938"/>
        </w:tabs>
        <w:spacing w:after="27"/>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Consideramos que el castigo corporal abre una brecha que evita que se respeten los derechos a la dignidad humana y la integridad física. La existencia de normas que no regulan la violencia por parte de los padres, maestros y encargados de niñas y niños obstaculiza el derecho a igualar la protección bajo la ley. </w:t>
      </w:r>
    </w:p>
    <w:p w14:paraId="238B54E1" w14:textId="77777777" w:rsidR="00E3434F" w:rsidRPr="00946A9A" w:rsidRDefault="00E3434F" w:rsidP="00997039">
      <w:pPr>
        <w:tabs>
          <w:tab w:val="left" w:pos="7938"/>
        </w:tabs>
        <w:spacing w:after="27"/>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w:t>
      </w:r>
    </w:p>
    <w:p w14:paraId="3343F0B7" w14:textId="77777777" w:rsidR="00E3434F" w:rsidRPr="00946A9A" w:rsidRDefault="00E3434F" w:rsidP="00997039">
      <w:pPr>
        <w:tabs>
          <w:tab w:val="left" w:pos="7938"/>
        </w:tabs>
        <w:spacing w:after="27"/>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    </w:t>
      </w:r>
    </w:p>
    <w:p w14:paraId="50766011" w14:textId="77777777" w:rsidR="00E3434F" w:rsidRPr="00946A9A" w:rsidRDefault="00E3434F" w:rsidP="00997039">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w:t>
      </w:r>
    </w:p>
    <w:p w14:paraId="68503FDE" w14:textId="77777777" w:rsidR="00E3434F" w:rsidRPr="00946A9A" w:rsidRDefault="00E3434F" w:rsidP="00997039">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w:t>
      </w:r>
    </w:p>
    <w:p w14:paraId="69AF23BA" w14:textId="77777777" w:rsidR="00E3434F" w:rsidRPr="00946A9A" w:rsidRDefault="00E3434F" w:rsidP="00997039">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w:t>
      </w:r>
    </w:p>
    <w:p w14:paraId="7EFA8EFA" w14:textId="77777777" w:rsidR="00E3434F" w:rsidRPr="00946A9A" w:rsidRDefault="00E3434F" w:rsidP="00997039">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w:t>
      </w:r>
    </w:p>
    <w:p w14:paraId="6D4C090D" w14:textId="77777777" w:rsidR="00E3434F" w:rsidRPr="00946A9A" w:rsidRDefault="00E3434F" w:rsidP="00997039">
      <w:pPr>
        <w:tabs>
          <w:tab w:val="left" w:pos="7938"/>
        </w:tabs>
        <w:ind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 </w:t>
      </w:r>
    </w:p>
    <w:p w14:paraId="190417DC" w14:textId="77777777" w:rsidR="00E3434F" w:rsidRPr="00946A9A" w:rsidRDefault="00E3434F" w:rsidP="00997039">
      <w:pPr>
        <w:tabs>
          <w:tab w:val="left" w:pos="7938"/>
        </w:tabs>
        <w:ind w:left="567" w:right="758"/>
        <w:jc w:val="both"/>
        <w:rPr>
          <w:rFonts w:ascii="Abadi" w:eastAsiaTheme="minorHAnsi" w:hAnsi="Abadi" w:cs="Arial"/>
          <w:i/>
          <w:iCs/>
          <w:sz w:val="21"/>
          <w:szCs w:val="21"/>
          <w:lang w:val="es-MX" w:eastAsia="en-US"/>
        </w:rPr>
      </w:pPr>
      <w:r w:rsidRPr="00946A9A">
        <w:rPr>
          <w:rFonts w:ascii="Abadi" w:eastAsia="Arial" w:hAnsi="Abadi" w:cs="Arial"/>
          <w:b/>
          <w:i/>
          <w:iCs/>
          <w:sz w:val="21"/>
          <w:szCs w:val="21"/>
          <w:lang w:val="es-MX" w:eastAsia="en-US"/>
        </w:rPr>
        <w:t xml:space="preserve">Crianza positiva. </w:t>
      </w:r>
    </w:p>
    <w:p w14:paraId="4D140832" w14:textId="77777777" w:rsidR="00E3434F" w:rsidRPr="00946A9A" w:rsidRDefault="00E3434F" w:rsidP="00997039">
      <w:pPr>
        <w:tabs>
          <w:tab w:val="left" w:pos="7938"/>
        </w:tabs>
        <w:ind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 </w:t>
      </w:r>
    </w:p>
    <w:p w14:paraId="148B45A0" w14:textId="77777777" w:rsidR="00E3434F" w:rsidRPr="00946A9A" w:rsidRDefault="00E3434F" w:rsidP="00997039">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La práctica de castigos corporales y humillantes denotan, entre otras cuestiones, una falta de capacidades parentales para aplicar estilos de crianza positivos. Desafortunadamente, muchas prácticas de crianza provienen de la repetición de conductas y patrones que los padres experimentaron en su niñez. Por esta razón, además de la prohibición expresa, el gobierno tiene la obligación de aplicar medidas subsidiarias que permitan a padres y madres de familia adquirir las capacidades necesarias para generar ambientes propicios para el desarrollo de niñas, niños y adolescentes, así como para el pleno ejercicio de sus derechos. Al ser subsidiarias, estas medidas gubernamentales deben reconocer la autonomía familiar y el derecho primordial que tienen padres y madres de familia de elegir el tipo de educación de sus hijos, siempre en el marco del respeto a su dignidad y los derechos que de ella derivan, así como del principio de interés superior de niñas, niños y adolescentes. </w:t>
      </w:r>
    </w:p>
    <w:p w14:paraId="3DFACE56" w14:textId="77777777" w:rsidR="00E3434F" w:rsidRPr="00946A9A" w:rsidRDefault="00E3434F" w:rsidP="00E3434F">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 </w:t>
      </w:r>
    </w:p>
    <w:p w14:paraId="59CA9075" w14:textId="77777777" w:rsidR="00E3434F" w:rsidRPr="00946A9A" w:rsidRDefault="00E3434F" w:rsidP="00E3434F">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Es cierto que la práctica de castigo corporal y humillante no es exclusiva del ámbito familiar en el hogar, sino que puede ocurrir en otros espacios, como centros de cuidado, educativos, deportivos, culturales y sociales. Por esta razón, tanto la prohibición expresa del castigo corporal y humillante como la generación de estilos educativos adecuados deben ser generales y complementarios. </w:t>
      </w:r>
    </w:p>
    <w:p w14:paraId="4B14C2D4" w14:textId="77777777" w:rsidR="00E3434F" w:rsidRPr="00946A9A" w:rsidRDefault="00E3434F" w:rsidP="00E3434F">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 </w:t>
      </w:r>
    </w:p>
    <w:p w14:paraId="76830F30" w14:textId="77777777" w:rsidR="00E3434F" w:rsidRPr="00946A9A" w:rsidRDefault="00E3434F" w:rsidP="00E3434F">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  </w:t>
      </w:r>
    </w:p>
    <w:p w14:paraId="1CEA8BEA" w14:textId="77777777" w:rsidR="00E3434F" w:rsidRPr="00946A9A" w:rsidRDefault="00E3434F" w:rsidP="00E3434F">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 </w:t>
      </w:r>
    </w:p>
    <w:p w14:paraId="6D066400" w14:textId="77777777" w:rsidR="00E3434F" w:rsidRPr="00946A9A" w:rsidRDefault="00E3434F" w:rsidP="00E3434F">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La Corte Interamericana de Derechos Humanos expresó mediante la opinión consultiva sobre la Condición Jurídica y Derechos Humanos del Niño que, los Estados tienen el deber de tomar todas las medidas positivas que aseguren la protección a los niños contra malos tratos, sea en sus relaciones con las autoridades, sea en las relaciones interindividuales o con entes no estatales. </w:t>
      </w:r>
    </w:p>
    <w:p w14:paraId="29374598" w14:textId="77777777" w:rsidR="00E3434F" w:rsidRPr="00946A9A" w:rsidRDefault="00E3434F" w:rsidP="00E3434F">
      <w:pPr>
        <w:tabs>
          <w:tab w:val="left" w:pos="7938"/>
        </w:tabs>
        <w:ind w:left="567" w:right="758"/>
        <w:jc w:val="both"/>
        <w:rPr>
          <w:rFonts w:ascii="Abadi" w:eastAsiaTheme="minorHAnsi" w:hAnsi="Abadi" w:cs="Arial"/>
          <w:i/>
          <w:iCs/>
          <w:sz w:val="21"/>
          <w:szCs w:val="21"/>
          <w:lang w:val="es-MX" w:eastAsia="en-US"/>
        </w:rPr>
      </w:pPr>
      <w:r w:rsidRPr="00946A9A">
        <w:rPr>
          <w:rFonts w:ascii="Abadi" w:eastAsia="Calibri" w:hAnsi="Abadi" w:cs="Arial"/>
          <w:i/>
          <w:iCs/>
          <w:sz w:val="21"/>
          <w:szCs w:val="21"/>
          <w:lang w:val="es-MX" w:eastAsia="en-US"/>
        </w:rPr>
        <w:t xml:space="preserve"> </w:t>
      </w:r>
    </w:p>
    <w:p w14:paraId="487599C8" w14:textId="77777777" w:rsidR="00E3434F" w:rsidRPr="00946A9A" w:rsidRDefault="00E3434F" w:rsidP="00E3434F">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  </w:t>
      </w:r>
    </w:p>
    <w:p w14:paraId="62996505" w14:textId="77777777" w:rsidR="00E3434F" w:rsidRPr="00946A9A" w:rsidRDefault="00E3434F" w:rsidP="00E3434F">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   </w:t>
      </w:r>
    </w:p>
    <w:p w14:paraId="31C56914" w14:textId="77777777" w:rsidR="00E3434F" w:rsidRPr="00946A9A" w:rsidRDefault="00E3434F" w:rsidP="00E3434F">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 </w:t>
      </w:r>
    </w:p>
    <w:p w14:paraId="7D5CEC32" w14:textId="77777777" w:rsidR="00E3434F" w:rsidRPr="00946A9A" w:rsidRDefault="00E3434F" w:rsidP="00E3434F">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 </w:t>
      </w:r>
    </w:p>
    <w:p w14:paraId="70DE2263" w14:textId="77777777" w:rsidR="00E3434F" w:rsidRPr="00946A9A" w:rsidRDefault="00E3434F" w:rsidP="00E3434F">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La socialización se le define como</w:t>
      </w:r>
      <w:r w:rsidRPr="00946A9A">
        <w:rPr>
          <w:rFonts w:ascii="Abadi" w:eastAsia="Arial" w:hAnsi="Abadi" w:cs="Arial"/>
          <w:i/>
          <w:iCs/>
          <w:sz w:val="21"/>
          <w:szCs w:val="21"/>
          <w:lang w:val="es-MX" w:eastAsia="en-US"/>
        </w:rPr>
        <w:t xml:space="preserve"> “el proceso mediante el cual las personas adquieren valores, creencias, normas y formas de conducta apropiados en la sociedad a la que pertenecen”</w:t>
      </w:r>
      <w:r w:rsidRPr="00946A9A">
        <w:rPr>
          <w:rFonts w:ascii="Abadi" w:eastAsiaTheme="minorHAnsi" w:hAnsi="Abadi" w:cs="Arial"/>
          <w:i/>
          <w:iCs/>
          <w:sz w:val="21"/>
          <w:szCs w:val="21"/>
          <w:lang w:val="es-MX" w:eastAsia="en-US"/>
        </w:rPr>
        <w:t>, el proceso de socialización es el resultado de</w:t>
      </w:r>
      <w:r w:rsidRPr="00946A9A">
        <w:rPr>
          <w:rFonts w:ascii="Abadi" w:eastAsiaTheme="minorHAnsi" w:hAnsi="Abadi" w:cs="Arial"/>
          <w:i/>
          <w:iCs/>
          <w:color w:val="C00000"/>
          <w:sz w:val="21"/>
          <w:szCs w:val="21"/>
          <w:lang w:val="es-MX" w:eastAsia="en-US"/>
        </w:rPr>
        <w:t xml:space="preserve"> </w:t>
      </w:r>
      <w:r w:rsidRPr="00946A9A">
        <w:rPr>
          <w:rFonts w:ascii="Abadi" w:eastAsiaTheme="minorHAnsi" w:hAnsi="Abadi" w:cs="Arial"/>
          <w:i/>
          <w:iCs/>
          <w:sz w:val="21"/>
          <w:szCs w:val="21"/>
          <w:lang w:val="es-MX" w:eastAsia="en-US"/>
        </w:rPr>
        <w:t xml:space="preserve">la interacción que se da entre la persona y la sociedad. En ese proceso se aprenden las pautas de comportamiento, las normas, roles y costumbres. La etapa correspondiente a la infancia y a la adolescencia es clave en el proceso de socialización, por lo anterior, la familia juega un papel privilegiado para la transmisión de los valores, creencias y formas de conducta apropiadas. </w:t>
      </w:r>
    </w:p>
    <w:p w14:paraId="14DA2348" w14:textId="77777777" w:rsidR="00E3434F" w:rsidRPr="00946A9A" w:rsidRDefault="00E3434F" w:rsidP="00E3434F">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 </w:t>
      </w:r>
    </w:p>
    <w:p w14:paraId="0F88499D" w14:textId="77777777" w:rsidR="00E3434F" w:rsidRPr="00946A9A" w:rsidRDefault="00E3434F" w:rsidP="00E3434F">
      <w:pPr>
        <w:tabs>
          <w:tab w:val="left" w:pos="7938"/>
        </w:tabs>
        <w:spacing w:after="1"/>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 </w:t>
      </w:r>
    </w:p>
    <w:p w14:paraId="7A7CD84F" w14:textId="77777777" w:rsidR="00E3434F" w:rsidRPr="00946A9A" w:rsidRDefault="00E3434F" w:rsidP="00E3434F">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 </w:t>
      </w:r>
    </w:p>
    <w:p w14:paraId="22834B75" w14:textId="77777777" w:rsidR="00E3434F" w:rsidRPr="00946A9A" w:rsidRDefault="00E3434F" w:rsidP="00E3434F">
      <w:pPr>
        <w:tabs>
          <w:tab w:val="left" w:pos="7938"/>
        </w:tabs>
        <w:ind w:left="567" w:right="758"/>
        <w:jc w:val="both"/>
        <w:rPr>
          <w:rFonts w:ascii="Abadi" w:eastAsiaTheme="minorHAnsi" w:hAnsi="Abadi" w:cs="Arial"/>
          <w:i/>
          <w:iCs/>
          <w:sz w:val="21"/>
          <w:szCs w:val="21"/>
          <w:lang w:val="es-MX" w:eastAsia="en-US"/>
        </w:rPr>
      </w:pPr>
      <w:r w:rsidRPr="00946A9A">
        <w:rPr>
          <w:rFonts w:ascii="Abadi" w:eastAsia="Arial" w:hAnsi="Abadi" w:cs="Arial"/>
          <w:i/>
          <w:iCs/>
          <w:sz w:val="21"/>
          <w:szCs w:val="21"/>
          <w:lang w:val="es-MX" w:eastAsia="en-US"/>
        </w:rPr>
        <w:t xml:space="preserve"> </w:t>
      </w:r>
    </w:p>
    <w:p w14:paraId="21F28B9E" w14:textId="77777777" w:rsidR="00E3434F" w:rsidRPr="00946A9A" w:rsidRDefault="00E3434F" w:rsidP="00E3434F">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La crianza requiere de una serie de condiciones, elementos y recursos tangibles e intangibles que generen un estado de bienestar óptimo, para el pleno disfrute y goce de los derechos de los niños, niñas y adolescentes, desprendiéndose de lo anterior la necesidad de observar que las madres y padres de familia requieren de una serie de recursos y habilidades intangibles, capacidades tales como poder comunicar asertivamente, contar con una escucha activa, tener una regulación y estabilidad emocional, entre otros. </w:t>
      </w:r>
    </w:p>
    <w:p w14:paraId="70E2E424" w14:textId="77777777" w:rsidR="00E3434F" w:rsidRPr="00946A9A" w:rsidRDefault="00E3434F" w:rsidP="00E3434F">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 </w:t>
      </w:r>
    </w:p>
    <w:p w14:paraId="4B573EAD" w14:textId="77777777" w:rsidR="00E3434F" w:rsidRPr="00946A9A" w:rsidRDefault="00E3434F" w:rsidP="00E3434F">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    </w:t>
      </w:r>
    </w:p>
    <w:p w14:paraId="6D0C4797" w14:textId="77777777" w:rsidR="00E3434F" w:rsidRPr="00946A9A" w:rsidRDefault="00E3434F" w:rsidP="00E3434F">
      <w:pPr>
        <w:tabs>
          <w:tab w:val="left" w:pos="7938"/>
        </w:tabs>
        <w:spacing w:after="1"/>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  </w:t>
      </w:r>
    </w:p>
    <w:p w14:paraId="0B235668" w14:textId="77777777" w:rsidR="00E3434F" w:rsidRPr="00946A9A" w:rsidRDefault="00E3434F" w:rsidP="00E3434F">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 </w:t>
      </w:r>
    </w:p>
    <w:p w14:paraId="65B692A5" w14:textId="77777777" w:rsidR="00E3434F" w:rsidRPr="00946A9A" w:rsidRDefault="00E3434F" w:rsidP="00E3434F">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  </w:t>
      </w:r>
    </w:p>
    <w:p w14:paraId="2824ACFE" w14:textId="77777777" w:rsidR="00E3434F" w:rsidRPr="00946A9A" w:rsidRDefault="00E3434F" w:rsidP="00E3434F">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 </w:t>
      </w:r>
    </w:p>
    <w:p w14:paraId="220D5914" w14:textId="77777777" w:rsidR="00E3434F" w:rsidRPr="00946A9A" w:rsidRDefault="00E3434F" w:rsidP="00E3434F">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El objetivo de los programas enfocados en la formación de madres y padres es la mejora de las pautas de crianza y, por tanto, centran sus esfuerzos en el desarrollo de competencias y habilidades educativas de todas las personas de la comunidad. Es decir, responden a un diseño de intervención colectiva y no se proponen el trabajo individual con las familias, aunque evidentemente de ellos se espera que introduzcan modificaciones en las dinámicas individuales de las familias.  </w:t>
      </w:r>
    </w:p>
    <w:p w14:paraId="751F0EB5" w14:textId="77777777" w:rsidR="00E3434F" w:rsidRPr="00946A9A" w:rsidRDefault="00E3434F" w:rsidP="00E3434F">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 </w:t>
      </w:r>
    </w:p>
    <w:p w14:paraId="438429AB" w14:textId="77777777" w:rsidR="00E3434F" w:rsidRPr="00946A9A" w:rsidRDefault="00E3434F" w:rsidP="00E3434F">
      <w:pPr>
        <w:tabs>
          <w:tab w:val="left" w:pos="7938"/>
        </w:tabs>
        <w:spacing w:after="1"/>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 </w:t>
      </w:r>
    </w:p>
    <w:p w14:paraId="403F5EF6" w14:textId="77777777" w:rsidR="00E3434F" w:rsidRPr="00946A9A" w:rsidRDefault="00E3434F" w:rsidP="00E3434F">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 </w:t>
      </w:r>
    </w:p>
    <w:p w14:paraId="5A2AD50A" w14:textId="77777777" w:rsidR="00E3434F" w:rsidRPr="00946A9A" w:rsidRDefault="00E3434F" w:rsidP="00E3434F">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Con lo anterior se materializa el respeto que debe tener el Estado a la autonomía de la familia, reconociendo el lugar de las madres y padres en la crianza de niñas, niños y adolescentes, estableciendo la directriz que deba observar para respetar que la intervención del Estado en la familia debe ser desde un enfoque preventivo y subsidiario, no buscando criminalizar ni reemplazar la función natural que realizan los padres de familia.  </w:t>
      </w:r>
    </w:p>
    <w:p w14:paraId="383BBA06" w14:textId="77777777" w:rsidR="00E3434F" w:rsidRPr="00946A9A" w:rsidRDefault="00E3434F" w:rsidP="00E3434F">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 </w:t>
      </w:r>
    </w:p>
    <w:p w14:paraId="665C4667" w14:textId="77777777" w:rsidR="00E3434F" w:rsidRPr="00946A9A" w:rsidRDefault="00E3434F" w:rsidP="00E3434F">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  </w:t>
      </w:r>
    </w:p>
    <w:p w14:paraId="7D05CF88" w14:textId="77777777" w:rsidR="00E3434F" w:rsidRPr="00946A9A" w:rsidRDefault="00E3434F" w:rsidP="00E3434F">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 </w:t>
      </w:r>
    </w:p>
    <w:p w14:paraId="62F786BF" w14:textId="77777777" w:rsidR="00E3434F" w:rsidRPr="00946A9A" w:rsidRDefault="00E3434F" w:rsidP="00E3434F">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 </w:t>
      </w:r>
    </w:p>
    <w:p w14:paraId="4CF92E6B" w14:textId="77777777" w:rsidR="00E3434F" w:rsidRPr="00946A9A" w:rsidRDefault="00E3434F" w:rsidP="00E3434F">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w:t>
      </w:r>
    </w:p>
    <w:p w14:paraId="0E76A155" w14:textId="77777777" w:rsidR="00E3434F" w:rsidRPr="00946A9A" w:rsidRDefault="00E3434F" w:rsidP="00E3434F">
      <w:pPr>
        <w:tabs>
          <w:tab w:val="left" w:pos="7938"/>
        </w:tabs>
        <w:ind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 </w:t>
      </w:r>
    </w:p>
    <w:p w14:paraId="7817E0EA" w14:textId="77777777" w:rsidR="00E3434F" w:rsidRPr="00946A9A" w:rsidRDefault="00E3434F" w:rsidP="00E3434F">
      <w:pPr>
        <w:tabs>
          <w:tab w:val="left" w:pos="7938"/>
        </w:tabs>
        <w:ind w:left="567" w:right="758" w:hanging="10"/>
        <w:jc w:val="both"/>
        <w:rPr>
          <w:rFonts w:ascii="Abadi" w:eastAsiaTheme="minorHAnsi" w:hAnsi="Abadi" w:cs="Arial"/>
          <w:i/>
          <w:iCs/>
          <w:sz w:val="21"/>
          <w:szCs w:val="21"/>
          <w:lang w:val="es-MX" w:eastAsia="en-US"/>
        </w:rPr>
      </w:pPr>
      <w:r w:rsidRPr="00946A9A">
        <w:rPr>
          <w:rFonts w:ascii="Abadi" w:eastAsia="Arial" w:hAnsi="Abadi" w:cs="Arial"/>
          <w:b/>
          <w:i/>
          <w:iCs/>
          <w:sz w:val="21"/>
          <w:szCs w:val="21"/>
          <w:lang w:val="es-MX" w:eastAsia="en-US"/>
        </w:rPr>
        <w:t xml:space="preserve">Contexto actual. </w:t>
      </w:r>
    </w:p>
    <w:p w14:paraId="471C6333" w14:textId="77777777" w:rsidR="00E3434F" w:rsidRPr="00946A9A" w:rsidRDefault="00E3434F" w:rsidP="00E3434F">
      <w:pPr>
        <w:tabs>
          <w:tab w:val="left" w:pos="7938"/>
        </w:tabs>
        <w:ind w:left="567" w:right="758"/>
        <w:jc w:val="both"/>
        <w:rPr>
          <w:rFonts w:ascii="Abadi" w:eastAsiaTheme="minorHAnsi" w:hAnsi="Abadi" w:cs="Arial"/>
          <w:i/>
          <w:iCs/>
          <w:sz w:val="21"/>
          <w:szCs w:val="21"/>
          <w:lang w:val="es-MX" w:eastAsia="en-US"/>
        </w:rPr>
      </w:pPr>
      <w:r w:rsidRPr="00946A9A">
        <w:rPr>
          <w:rFonts w:ascii="Abadi" w:eastAsia="Arial" w:hAnsi="Abadi" w:cs="Arial"/>
          <w:b/>
          <w:i/>
          <w:iCs/>
          <w:sz w:val="21"/>
          <w:szCs w:val="21"/>
          <w:lang w:val="es-MX" w:eastAsia="en-US"/>
        </w:rPr>
        <w:t xml:space="preserve"> </w:t>
      </w:r>
    </w:p>
    <w:p w14:paraId="27166E7A" w14:textId="77777777" w:rsidR="00E3434F" w:rsidRPr="00946A9A" w:rsidRDefault="00E3434F" w:rsidP="00E3434F">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En vista de que resulta necesario otorgar el marco inequívoco que establezca claramente las directrices que se deberán observar respecto a las medidas correctivas y disciplinarias que rebasan los fines de la disciplina positiva y atentan contra los derechos de niñas, niños y adolescentes, se propone ampliar las consideraciones normativas contempladas en la Ley de Derechos de Niñas, Niños y Adolescentes, que desarrolle una conceptualización que permita identificar a los actores involucrados en el tema, los supuestos que constituyen el castigo corporal y humillante.  </w:t>
      </w:r>
    </w:p>
    <w:p w14:paraId="2298F4B8" w14:textId="77777777" w:rsidR="00E3434F" w:rsidRPr="00946A9A" w:rsidRDefault="00E3434F" w:rsidP="00E3434F">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  </w:t>
      </w:r>
    </w:p>
    <w:p w14:paraId="60F10BBC" w14:textId="77777777" w:rsidR="00E3434F" w:rsidRPr="00946A9A" w:rsidRDefault="00E3434F" w:rsidP="00E3434F">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 </w:t>
      </w:r>
    </w:p>
    <w:p w14:paraId="1A5C23C9" w14:textId="77777777" w:rsidR="00E3434F" w:rsidRPr="00946A9A" w:rsidRDefault="00E3434F" w:rsidP="00E3434F">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A su vez, el artículo 3 de la Ley para una Convivencia Libre de Violencia en el Entorno Escolar para el Estado de Guanajuato reconoce que la comunidad educativa está compuesta por educandos, personal directivo, docente, administrativo, manual y de apoyo a la educación; </w:t>
      </w:r>
      <w:r w:rsidRPr="00946A9A">
        <w:rPr>
          <w:rFonts w:ascii="Abadi" w:eastAsia="Arial" w:hAnsi="Abadi" w:cs="Arial"/>
          <w:i/>
          <w:iCs/>
          <w:sz w:val="21"/>
          <w:szCs w:val="21"/>
          <w:lang w:val="es-MX" w:eastAsia="en-US"/>
        </w:rPr>
        <w:t>padres de familia, tutores, quienes ejerzan la patria potestad, o tengan bajo su guarda o custodia a los educandos, que interactúan en el entorno escolar</w:t>
      </w:r>
      <w:r w:rsidRPr="00946A9A">
        <w:rPr>
          <w:rFonts w:ascii="Abadi" w:eastAsiaTheme="minorHAnsi" w:hAnsi="Abadi" w:cs="Arial"/>
          <w:i/>
          <w:iCs/>
          <w:sz w:val="21"/>
          <w:szCs w:val="21"/>
          <w:lang w:val="es-MX" w:eastAsia="en-US"/>
        </w:rPr>
        <w:t xml:space="preserve">; lo anterior representa la ventana de oportunidad para desplegar el reconocimiento subsidiario que debe tener el Estado para con los organismos primarios, como lo es la familia, en específico los padres de familia, los cuales a través del acompañamiento, orientación y apoyo, pueden desarrollar o fortalecer las habilidades y herramientas necesarias para la construcción de espacios idóneos para las niñas, niños y adolescentes.    </w:t>
      </w:r>
    </w:p>
    <w:p w14:paraId="5BD58C7E" w14:textId="77777777" w:rsidR="00E3434F" w:rsidRPr="00946A9A" w:rsidRDefault="00E3434F" w:rsidP="00E3434F">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 </w:t>
      </w:r>
    </w:p>
    <w:p w14:paraId="2A7B99A3" w14:textId="77777777" w:rsidR="00E3434F" w:rsidRPr="00946A9A" w:rsidRDefault="00E3434F" w:rsidP="00E3434F">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w:t>
      </w:r>
    </w:p>
    <w:p w14:paraId="62C1D037" w14:textId="77777777" w:rsidR="00E3434F" w:rsidRPr="00946A9A" w:rsidRDefault="00E3434F" w:rsidP="00E3434F">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 </w:t>
      </w:r>
    </w:p>
    <w:p w14:paraId="405DAB31" w14:textId="77777777" w:rsidR="00E3434F" w:rsidRPr="00946A9A" w:rsidRDefault="00E3434F" w:rsidP="00E3434F">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La violencia contra los niños y niñas es intolerable. La protección de la infancia es una causa que nos atañe a todos, y solo será posible liberarnos de la violencia si las legislaturas respetamos nuestros deberes hacia la infancia y los ponemos en práctica. Dado que tenemos la facultad de legislar, podemos marcar una diferencia importante en la vida de los niños y niñas.  </w:t>
      </w:r>
    </w:p>
    <w:p w14:paraId="647D4F24" w14:textId="77777777" w:rsidR="00E3434F" w:rsidRPr="00946A9A" w:rsidRDefault="00E3434F" w:rsidP="00E3434F">
      <w:pPr>
        <w:tabs>
          <w:tab w:val="left" w:pos="7938"/>
        </w:tabs>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 xml:space="preserve"> </w:t>
      </w:r>
    </w:p>
    <w:p w14:paraId="3651F7D6" w14:textId="77777777" w:rsidR="00E3434F" w:rsidRPr="00946A9A" w:rsidRDefault="00E3434F" w:rsidP="00E3434F">
      <w:pPr>
        <w:tabs>
          <w:tab w:val="left" w:pos="7938"/>
        </w:tabs>
        <w:spacing w:after="236"/>
        <w:ind w:left="567" w:right="758"/>
        <w:jc w:val="both"/>
        <w:rPr>
          <w:rFonts w:ascii="Abadi" w:eastAsiaTheme="minorHAnsi" w:hAnsi="Abadi" w:cs="Arial"/>
          <w:i/>
          <w:iCs/>
          <w:sz w:val="21"/>
          <w:szCs w:val="21"/>
          <w:lang w:val="es-MX" w:eastAsia="en-US"/>
        </w:rPr>
      </w:pPr>
      <w:r w:rsidRPr="00946A9A">
        <w:rPr>
          <w:rFonts w:ascii="Abadi" w:eastAsiaTheme="minorHAnsi" w:hAnsi="Abadi" w:cs="Arial"/>
          <w:i/>
          <w:iCs/>
          <w:sz w:val="21"/>
          <w:szCs w:val="21"/>
          <w:lang w:val="es-MX" w:eastAsia="en-US"/>
        </w:rPr>
        <w:t>…”</w:t>
      </w:r>
    </w:p>
    <w:p w14:paraId="019DABD5" w14:textId="77777777" w:rsidR="00E3434F" w:rsidRPr="00946A9A" w:rsidRDefault="00E3434F" w:rsidP="00E3434F">
      <w:pPr>
        <w:spacing w:line="276" w:lineRule="auto"/>
        <w:ind w:left="-3" w:firstLine="567"/>
        <w:jc w:val="both"/>
        <w:rPr>
          <w:rFonts w:ascii="Abadi" w:eastAsiaTheme="minorHAnsi" w:hAnsi="Abadi" w:cs="Arial"/>
          <w:sz w:val="21"/>
          <w:szCs w:val="21"/>
          <w:lang w:val="es-MX" w:eastAsia="en-US"/>
        </w:rPr>
      </w:pPr>
    </w:p>
    <w:p w14:paraId="18D5AAC0" w14:textId="77777777" w:rsidR="00E3434F" w:rsidRPr="00946A9A" w:rsidRDefault="00E3434F" w:rsidP="00E3434F">
      <w:pPr>
        <w:spacing w:line="276" w:lineRule="auto"/>
        <w:ind w:left="-3" w:firstLine="567"/>
        <w:jc w:val="both"/>
        <w:rPr>
          <w:rFonts w:ascii="Abadi" w:eastAsiaTheme="minorHAnsi" w:hAnsi="Abadi" w:cs="Arial"/>
          <w:sz w:val="21"/>
          <w:szCs w:val="21"/>
          <w:lang w:val="es-MX" w:eastAsia="en-US"/>
        </w:rPr>
      </w:pPr>
      <w:r w:rsidRPr="00946A9A">
        <w:rPr>
          <w:rFonts w:ascii="Abadi" w:eastAsiaTheme="minorHAnsi" w:hAnsi="Abadi" w:cs="Arial"/>
          <w:sz w:val="21"/>
          <w:szCs w:val="21"/>
          <w:lang w:val="es-MX" w:eastAsia="en-US"/>
        </w:rPr>
        <w:t>De la exposición de motivos referida las y los proponentes manifestaron que la intención de su iniciativa es fortalecer la crianza positiva, para prevenir y erradicar la violencia y también para la protección de niñas, niños y adolescentes en armonía con las normas del orden nacional y los tratados internacionales para establecer un entorno protector que defienda a los niños, niñas y adolescentes de los malos tratos y la violencia tanto en el ámbito familiar como en otros tipos de entornos donde conviven.</w:t>
      </w:r>
    </w:p>
    <w:p w14:paraId="58044D35" w14:textId="77777777" w:rsidR="00E3434F" w:rsidRPr="00946A9A" w:rsidRDefault="00E3434F" w:rsidP="00E3434F">
      <w:pPr>
        <w:spacing w:line="276" w:lineRule="auto"/>
        <w:ind w:left="-3" w:firstLine="567"/>
        <w:jc w:val="both"/>
        <w:rPr>
          <w:rFonts w:ascii="Abadi" w:eastAsiaTheme="minorHAnsi" w:hAnsi="Abadi" w:cs="Arial"/>
          <w:sz w:val="21"/>
          <w:szCs w:val="21"/>
          <w:lang w:val="es-MX" w:eastAsia="en-US"/>
        </w:rPr>
      </w:pPr>
    </w:p>
    <w:p w14:paraId="3812DE35" w14:textId="77777777" w:rsidR="00E3434F" w:rsidRPr="00946A9A" w:rsidRDefault="00E3434F" w:rsidP="00E3434F">
      <w:pPr>
        <w:tabs>
          <w:tab w:val="left" w:pos="900"/>
        </w:tabs>
        <w:spacing w:line="276" w:lineRule="auto"/>
        <w:ind w:firstLine="709"/>
        <w:jc w:val="both"/>
        <w:rPr>
          <w:rFonts w:ascii="Abadi" w:eastAsiaTheme="minorHAnsi" w:hAnsi="Abadi" w:cs="Arial"/>
          <w:sz w:val="21"/>
          <w:szCs w:val="21"/>
          <w:lang w:val="es-MX" w:eastAsia="en-US"/>
        </w:rPr>
      </w:pPr>
      <w:r w:rsidRPr="00946A9A">
        <w:rPr>
          <w:rFonts w:ascii="Abadi" w:eastAsiaTheme="minorHAnsi" w:hAnsi="Abadi" w:cs="Arial"/>
          <w:sz w:val="21"/>
          <w:szCs w:val="21"/>
          <w:lang w:val="es-MX" w:eastAsia="en-US"/>
        </w:rPr>
        <w:t>Quienes integramos esta Comisión de Educación, Ciencia y Tecnología y Cultura, coincidimos con los proponentes cuando refieren la importancia de retomar el marco jurídico del Estado de Guanajuato, para atender ciertas modificaciones realizadas a la Ley General de Derechos de Niñas, Niños y Adolescentes y al Código Civil Federal, que prohíben de manera expresa el castigo corporal y humillante como método correctivo o disciplinario a niñas, niños y adolescentes, así como generar el marco normativo necesario para un enfoque preventivo y una crianza positiva.</w:t>
      </w:r>
    </w:p>
    <w:p w14:paraId="46E36148" w14:textId="77777777" w:rsidR="00E3434F" w:rsidRPr="00946A9A" w:rsidRDefault="00E3434F" w:rsidP="00E3434F">
      <w:pPr>
        <w:tabs>
          <w:tab w:val="left" w:pos="900"/>
        </w:tabs>
        <w:spacing w:line="276" w:lineRule="auto"/>
        <w:ind w:firstLine="709"/>
        <w:jc w:val="both"/>
        <w:rPr>
          <w:rFonts w:ascii="Abadi" w:eastAsiaTheme="minorHAnsi" w:hAnsi="Abadi" w:cs="Arial"/>
          <w:sz w:val="21"/>
          <w:szCs w:val="21"/>
          <w:lang w:val="es-MX" w:eastAsia="en-US"/>
        </w:rPr>
      </w:pPr>
    </w:p>
    <w:p w14:paraId="1C17F2AE" w14:textId="77777777" w:rsidR="00E3434F" w:rsidRPr="00946A9A" w:rsidRDefault="00E3434F" w:rsidP="00E3434F">
      <w:pPr>
        <w:tabs>
          <w:tab w:val="left" w:pos="900"/>
        </w:tabs>
        <w:spacing w:line="276" w:lineRule="auto"/>
        <w:ind w:firstLine="709"/>
        <w:jc w:val="both"/>
        <w:rPr>
          <w:rFonts w:ascii="Abadi" w:eastAsiaTheme="minorHAnsi" w:hAnsi="Abadi" w:cs="Arial"/>
          <w:sz w:val="21"/>
          <w:szCs w:val="21"/>
          <w:lang w:val="es-MX" w:eastAsia="en-US"/>
        </w:rPr>
      </w:pPr>
      <w:r w:rsidRPr="00946A9A">
        <w:rPr>
          <w:rFonts w:ascii="Abadi" w:eastAsiaTheme="minorHAnsi" w:hAnsi="Abadi" w:cs="Arial"/>
          <w:sz w:val="21"/>
          <w:szCs w:val="21"/>
          <w:lang w:val="es-MX" w:eastAsia="en-US"/>
        </w:rPr>
        <w:t>En fecha 02 de marzo del año 2022, las y los diputados que integran la Comisión de Derechos Humanos y Grupos Vulnerables aprobaron en sentido positivo las reformas y adiciones a la Ley de los Derechos de Niñas, Niños y Adolescentes del Estado de Guanajuato</w:t>
      </w:r>
      <w:r w:rsidRPr="00946A9A">
        <w:rPr>
          <w:rFonts w:ascii="Abadi" w:eastAsiaTheme="minorHAnsi" w:hAnsi="Abadi" w:cs="Arial"/>
          <w:sz w:val="21"/>
          <w:szCs w:val="21"/>
          <w:vertAlign w:val="superscript"/>
          <w:lang w:val="es-MX" w:eastAsia="en-US"/>
        </w:rPr>
        <w:footnoteReference w:id="162"/>
      </w:r>
      <w:r w:rsidRPr="00946A9A">
        <w:rPr>
          <w:rFonts w:ascii="Abadi" w:eastAsiaTheme="minorHAnsi" w:hAnsi="Abadi" w:cs="Arial"/>
          <w:sz w:val="21"/>
          <w:szCs w:val="21"/>
          <w:lang w:val="es-MX" w:eastAsia="en-US"/>
        </w:rPr>
        <w:t>, dictamen que fue posteriormente aprobado en sesión ordinaria de Pleno en fecha 10 de marzo del año en curso bajo el Decreto número 66, publicado en el Periódico Oficial del Gobierno del Estado de Guanajuato en fecha 05 de abril del mismo año.</w:t>
      </w:r>
      <w:r w:rsidRPr="00946A9A">
        <w:rPr>
          <w:rFonts w:ascii="Abadi" w:eastAsiaTheme="minorHAnsi" w:hAnsi="Abadi" w:cs="Arial"/>
          <w:sz w:val="21"/>
          <w:szCs w:val="21"/>
          <w:vertAlign w:val="superscript"/>
          <w:lang w:val="es-MX" w:eastAsia="en-US"/>
        </w:rPr>
        <w:footnoteReference w:id="163"/>
      </w:r>
    </w:p>
    <w:p w14:paraId="5DC5C9C9" w14:textId="77777777" w:rsidR="00E3434F" w:rsidRPr="00946A9A" w:rsidRDefault="00E3434F" w:rsidP="00E3434F">
      <w:pPr>
        <w:spacing w:line="276" w:lineRule="auto"/>
        <w:ind w:left="-3" w:firstLine="567"/>
        <w:jc w:val="both"/>
        <w:rPr>
          <w:rFonts w:ascii="Abadi" w:eastAsiaTheme="minorHAnsi" w:hAnsi="Abadi" w:cs="Arial"/>
          <w:sz w:val="21"/>
          <w:szCs w:val="21"/>
          <w:lang w:val="es-MX" w:eastAsia="en-US"/>
        </w:rPr>
      </w:pPr>
    </w:p>
    <w:p w14:paraId="07DB164A" w14:textId="77777777" w:rsidR="00E3434F" w:rsidRPr="00946A9A" w:rsidRDefault="00E3434F" w:rsidP="00E3434F">
      <w:pPr>
        <w:spacing w:line="276" w:lineRule="auto"/>
        <w:ind w:left="-3" w:firstLine="567"/>
        <w:jc w:val="both"/>
        <w:rPr>
          <w:rFonts w:ascii="Abadi" w:eastAsiaTheme="minorHAnsi" w:hAnsi="Abadi" w:cs="Arial"/>
          <w:sz w:val="21"/>
          <w:szCs w:val="21"/>
          <w:lang w:val="es-MX" w:eastAsia="en-US"/>
        </w:rPr>
      </w:pPr>
      <w:r w:rsidRPr="00946A9A">
        <w:rPr>
          <w:rFonts w:ascii="Abadi" w:eastAsiaTheme="minorHAnsi" w:hAnsi="Abadi" w:cs="Arial"/>
          <w:sz w:val="21"/>
          <w:szCs w:val="21"/>
          <w:lang w:val="es-MX" w:eastAsia="en-US"/>
        </w:rPr>
        <w:t>En ese sentido, es menester señalar que la Ley de los Derechos de Niñas, Niños y Adolescentes del Estado de Guanajuato</w:t>
      </w:r>
      <w:r w:rsidRPr="00946A9A">
        <w:rPr>
          <w:rFonts w:ascii="Abadi" w:eastAsiaTheme="minorHAnsi" w:hAnsi="Abadi" w:cs="Arial"/>
          <w:sz w:val="21"/>
          <w:szCs w:val="21"/>
          <w:vertAlign w:val="superscript"/>
          <w:lang w:val="es-MX" w:eastAsia="en-US"/>
        </w:rPr>
        <w:footnoteReference w:id="164"/>
      </w:r>
      <w:r w:rsidRPr="00946A9A">
        <w:rPr>
          <w:rFonts w:ascii="Abadi" w:eastAsiaTheme="minorHAnsi" w:hAnsi="Abadi" w:cs="Arial"/>
          <w:sz w:val="21"/>
          <w:szCs w:val="21"/>
          <w:lang w:val="es-MX" w:eastAsia="en-US"/>
        </w:rPr>
        <w:t>, establece entre algunos de sus objetivos, establecer los principios rectores y criterios que orientarán la política pública en materia de derechos de niñas, niños y adolescentes, así como las facultades, competencias, concurrencia y bases de coordinación entre el Estado y los municipios y la actuación de los Poderes Legislativo y Judicial, y los organismos autónomos; de igual forma establece las bases generales para la participación de los sectores privado y social en las acciones tendentes a garantizar la protección y el ejercicio de los derechos de niñas, niños y adolescentes, así como a prevenir su vulneración.</w:t>
      </w:r>
    </w:p>
    <w:p w14:paraId="7AF2C86E" w14:textId="77777777" w:rsidR="00E3434F" w:rsidRPr="00946A9A" w:rsidRDefault="00E3434F" w:rsidP="00E3434F">
      <w:pPr>
        <w:spacing w:line="276" w:lineRule="auto"/>
        <w:ind w:left="-3" w:firstLine="567"/>
        <w:jc w:val="both"/>
        <w:rPr>
          <w:rFonts w:ascii="Abadi" w:eastAsiaTheme="minorHAnsi" w:hAnsi="Abadi" w:cs="Arial"/>
          <w:sz w:val="21"/>
          <w:szCs w:val="21"/>
          <w:lang w:val="es-MX" w:eastAsia="en-US"/>
        </w:rPr>
      </w:pPr>
    </w:p>
    <w:p w14:paraId="4F0022F7" w14:textId="77777777" w:rsidR="00E3434F" w:rsidRPr="00946A9A" w:rsidRDefault="00E3434F" w:rsidP="00E3434F">
      <w:pPr>
        <w:spacing w:line="276" w:lineRule="auto"/>
        <w:ind w:left="-3" w:firstLine="567"/>
        <w:jc w:val="both"/>
        <w:rPr>
          <w:rFonts w:ascii="Abadi" w:eastAsiaTheme="minorHAnsi" w:hAnsi="Abadi" w:cs="Arial"/>
          <w:sz w:val="21"/>
          <w:szCs w:val="21"/>
          <w:lang w:val="es-MX" w:eastAsia="en-US"/>
        </w:rPr>
      </w:pPr>
      <w:r w:rsidRPr="00946A9A">
        <w:rPr>
          <w:rFonts w:ascii="Abadi" w:eastAsiaTheme="minorHAnsi" w:hAnsi="Abadi" w:cs="Arial"/>
          <w:sz w:val="21"/>
          <w:szCs w:val="21"/>
          <w:lang w:val="es-MX" w:eastAsia="en-US"/>
        </w:rPr>
        <w:t>Los artículos 5, 6 y 7 de dicha Ley señalan también la concurrencia de las autoridades estatales y municipales, así como los organismos autónomos, en el ámbito de sus respectivas competencias, en el cumplimiento del objeto de la misma, para el diseño, ejecución, seguimiento y evaluación de políticas públicas en materia de ejercicio, respeto, protección y promoción de los derechos de niñas, niños y adolescentes, así como el deber de dichas autoridades para garantizar el ejercicio, respeto, protección y promoción de los derechos de niñas, niños y adolescentes, así como prever, primordialmente las acciones y mecanismos que les permitan un crecimiento y desarrollo integral pleno, impulsando la cultura de respeto, promoción y protección de sus derechos, basada en los principios rectores de la Ley.</w:t>
      </w:r>
    </w:p>
    <w:p w14:paraId="534A3313" w14:textId="77777777" w:rsidR="00E3434F" w:rsidRPr="00946A9A" w:rsidRDefault="00E3434F" w:rsidP="00E3434F">
      <w:pPr>
        <w:spacing w:line="276" w:lineRule="auto"/>
        <w:ind w:left="-3" w:firstLine="567"/>
        <w:jc w:val="both"/>
        <w:rPr>
          <w:rFonts w:ascii="Abadi" w:eastAsiaTheme="minorHAnsi" w:hAnsi="Abadi" w:cs="Arial"/>
          <w:sz w:val="21"/>
          <w:szCs w:val="21"/>
          <w:lang w:val="es-MX" w:eastAsia="en-US"/>
        </w:rPr>
      </w:pPr>
    </w:p>
    <w:p w14:paraId="60963578" w14:textId="77777777" w:rsidR="00E3434F" w:rsidRPr="00946A9A" w:rsidRDefault="00E3434F" w:rsidP="00E3434F">
      <w:pPr>
        <w:spacing w:line="276" w:lineRule="auto"/>
        <w:ind w:left="-3" w:firstLine="567"/>
        <w:jc w:val="both"/>
        <w:rPr>
          <w:rFonts w:ascii="Abadi" w:eastAsiaTheme="minorHAnsi" w:hAnsi="Abadi" w:cs="Arial"/>
          <w:sz w:val="21"/>
          <w:szCs w:val="21"/>
          <w:lang w:val="es-MX" w:eastAsia="en-US"/>
        </w:rPr>
      </w:pPr>
      <w:r w:rsidRPr="00946A9A">
        <w:rPr>
          <w:rFonts w:ascii="Abadi" w:eastAsiaTheme="minorHAnsi" w:hAnsi="Abadi" w:cs="Arial"/>
          <w:sz w:val="21"/>
          <w:szCs w:val="21"/>
          <w:lang w:val="es-MX" w:eastAsia="en-US"/>
        </w:rPr>
        <w:t>Por su parte, en fecha 20 de enero del presente año, las diputadas integrantes de la Comisión para la igualdad de género aprobaron el dictamen en sentido positivo correspondiente a una adición de la fracción IX al artículo 48 de la Ley para Prevenir, Atender y Erradicar la Violencia en el Estado de Guanajuato</w:t>
      </w:r>
      <w:r w:rsidRPr="00946A9A">
        <w:rPr>
          <w:rFonts w:ascii="Abadi" w:eastAsiaTheme="minorHAnsi" w:hAnsi="Abadi" w:cs="Arial"/>
          <w:sz w:val="21"/>
          <w:szCs w:val="21"/>
          <w:vertAlign w:val="superscript"/>
          <w:lang w:val="es-MX" w:eastAsia="en-US"/>
        </w:rPr>
        <w:footnoteReference w:id="165"/>
      </w:r>
      <w:r w:rsidRPr="00946A9A">
        <w:rPr>
          <w:rFonts w:ascii="Abadi" w:eastAsiaTheme="minorHAnsi" w:hAnsi="Abadi" w:cs="Arial"/>
          <w:sz w:val="21"/>
          <w:szCs w:val="21"/>
          <w:lang w:val="es-MX" w:eastAsia="en-US"/>
        </w:rPr>
        <w:t>, con la finalidad de incluir como línea de estrategia en el Programa Estatal para Prevenir, Atender y Erradicar la Violencia en el Estado de Guanajuato, el impulso de programas sobre crianza positiva, para garantizar los derechos de niñas, niños y adolescentes en el seno de la familia y potenciar el sano desarrollo de estos, de conformidad con la Ley de los Derechos de Niñas, Niños y Adolescentes del Estado de Guanajuato, el cual fue posteriormente aprobado en sesión ordinaria de Pleno en fecha 15 de febrero del año en curso, desprendiendo el Decreto 65, publicado en Periódico Oficial del Gobierno del Estado de Guanajuato en fecha 07 de marzo del mismo año.</w:t>
      </w:r>
      <w:r w:rsidRPr="00946A9A">
        <w:rPr>
          <w:rFonts w:ascii="Abadi" w:eastAsiaTheme="minorHAnsi" w:hAnsi="Abadi" w:cs="Arial"/>
          <w:sz w:val="21"/>
          <w:szCs w:val="21"/>
          <w:vertAlign w:val="superscript"/>
          <w:lang w:val="es-MX" w:eastAsia="en-US"/>
        </w:rPr>
        <w:footnoteReference w:id="166"/>
      </w:r>
    </w:p>
    <w:p w14:paraId="7D8E2710" w14:textId="77777777" w:rsidR="00E3434F" w:rsidRPr="00946A9A" w:rsidRDefault="00E3434F" w:rsidP="00E3434F">
      <w:pPr>
        <w:spacing w:line="276" w:lineRule="auto"/>
        <w:ind w:left="-3" w:firstLine="567"/>
        <w:jc w:val="both"/>
        <w:rPr>
          <w:rFonts w:ascii="Abadi" w:eastAsiaTheme="minorHAnsi" w:hAnsi="Abadi" w:cs="Arial"/>
          <w:sz w:val="21"/>
          <w:szCs w:val="21"/>
          <w:lang w:val="es-MX" w:eastAsia="en-US"/>
        </w:rPr>
      </w:pPr>
    </w:p>
    <w:p w14:paraId="517D9549" w14:textId="77777777" w:rsidR="00E3434F" w:rsidRPr="00946A9A" w:rsidRDefault="00E3434F" w:rsidP="00E3434F">
      <w:pPr>
        <w:spacing w:line="276" w:lineRule="auto"/>
        <w:ind w:firstLine="567"/>
        <w:jc w:val="both"/>
        <w:rPr>
          <w:rFonts w:ascii="Abadi" w:eastAsiaTheme="minorHAnsi" w:hAnsi="Abadi" w:cs="Arial"/>
          <w:sz w:val="21"/>
          <w:szCs w:val="21"/>
          <w:lang w:val="es-MX" w:eastAsia="en-US"/>
        </w:rPr>
      </w:pPr>
      <w:r w:rsidRPr="00946A9A">
        <w:rPr>
          <w:rFonts w:ascii="Abadi" w:eastAsiaTheme="minorHAnsi" w:hAnsi="Abadi" w:cs="Arial"/>
          <w:sz w:val="21"/>
          <w:szCs w:val="21"/>
          <w:lang w:val="es-MX" w:eastAsia="en-US"/>
        </w:rPr>
        <w:t>La Ley para Prevenir, Atender y Erradicar la Violencia en el Estado de Guanajuato</w:t>
      </w:r>
      <w:r w:rsidRPr="00946A9A">
        <w:rPr>
          <w:rFonts w:ascii="Abadi" w:eastAsiaTheme="minorHAnsi" w:hAnsi="Abadi" w:cs="Arial"/>
          <w:sz w:val="21"/>
          <w:szCs w:val="21"/>
          <w:vertAlign w:val="superscript"/>
          <w:lang w:val="es-MX" w:eastAsia="en-US"/>
        </w:rPr>
        <w:footnoteReference w:id="167"/>
      </w:r>
      <w:r w:rsidRPr="00946A9A">
        <w:rPr>
          <w:rFonts w:ascii="Abadi" w:eastAsiaTheme="minorHAnsi" w:hAnsi="Abadi" w:cs="Arial"/>
          <w:sz w:val="21"/>
          <w:szCs w:val="21"/>
          <w:lang w:val="es-MX" w:eastAsia="en-US"/>
        </w:rPr>
        <w:t xml:space="preserve"> tiene como objetivos establecer las bases para la prevención, atención y erradicación de la violencia, que no incurran en el ámbito penal, en el Estado de Guanajuato; la organización y funcionamiento del Sistema Estatal para la prevención, atención y erradicación de la violencia; y la coordinación entre el Estado y los municipios para prevenir, atender y erradicar la violencia.</w:t>
      </w:r>
    </w:p>
    <w:p w14:paraId="59D4F0C1" w14:textId="77777777" w:rsidR="00E3434F" w:rsidRPr="00946A9A" w:rsidRDefault="00E3434F" w:rsidP="00E3434F">
      <w:pPr>
        <w:spacing w:line="276" w:lineRule="auto"/>
        <w:jc w:val="both"/>
        <w:rPr>
          <w:rFonts w:ascii="Abadi" w:eastAsiaTheme="minorHAnsi" w:hAnsi="Abadi" w:cs="Arial"/>
          <w:sz w:val="21"/>
          <w:szCs w:val="21"/>
          <w:lang w:val="es-MX" w:eastAsia="en-US"/>
        </w:rPr>
      </w:pPr>
    </w:p>
    <w:p w14:paraId="5924F0C8" w14:textId="77777777" w:rsidR="00E3434F" w:rsidRPr="00946A9A" w:rsidRDefault="00E3434F" w:rsidP="00E3434F">
      <w:pPr>
        <w:spacing w:line="276" w:lineRule="auto"/>
        <w:ind w:firstLine="567"/>
        <w:jc w:val="both"/>
        <w:rPr>
          <w:rFonts w:ascii="Abadi" w:eastAsiaTheme="minorHAnsi" w:hAnsi="Abadi" w:cs="Arial"/>
          <w:sz w:val="21"/>
          <w:szCs w:val="21"/>
          <w:lang w:val="es-MX" w:eastAsia="en-US"/>
        </w:rPr>
      </w:pPr>
      <w:r w:rsidRPr="00946A9A">
        <w:rPr>
          <w:rFonts w:ascii="Abadi" w:eastAsiaTheme="minorHAnsi" w:hAnsi="Abadi" w:cs="Arial"/>
          <w:sz w:val="21"/>
          <w:szCs w:val="21"/>
          <w:lang w:val="es-MX" w:eastAsia="en-US"/>
        </w:rPr>
        <w:t>Ahora bien, dicha Ley crea y regula el Sistema Estatal para Prevenir, Atender y Erradicar la Violencia en el Estado de Guanajuato, entendido como el conjunto orgánico y articulado de estructuras, relaciones funcionales, métodos y procedimientos que establecen las dependencias y las entidades de la administración pública estatal entre sí, y con las autoridades federales y los municipios, a fin de efectuar acciones de común acuerdo destinadas a conjuntar esfuerzos, instrumentos, políticas públicas, servicios y acciones interinstitucionales para la prevención, atención y erradicación de la violencia en el Estado de Guanajuato.</w:t>
      </w:r>
    </w:p>
    <w:p w14:paraId="79360C3C" w14:textId="77777777" w:rsidR="00E3434F" w:rsidRPr="00946A9A" w:rsidRDefault="00E3434F" w:rsidP="00E3434F">
      <w:pPr>
        <w:spacing w:line="276" w:lineRule="auto"/>
        <w:ind w:firstLine="567"/>
        <w:jc w:val="both"/>
        <w:rPr>
          <w:rFonts w:ascii="Abadi" w:eastAsiaTheme="minorHAnsi" w:hAnsi="Abadi" w:cs="Arial"/>
          <w:sz w:val="21"/>
          <w:szCs w:val="21"/>
          <w:lang w:val="es-MX" w:eastAsia="en-US"/>
        </w:rPr>
      </w:pPr>
    </w:p>
    <w:p w14:paraId="298042FF" w14:textId="77777777" w:rsidR="00E3434F" w:rsidRPr="00946A9A" w:rsidRDefault="00E3434F" w:rsidP="00E3434F">
      <w:pPr>
        <w:spacing w:line="276" w:lineRule="auto"/>
        <w:ind w:firstLine="567"/>
        <w:jc w:val="both"/>
        <w:rPr>
          <w:rFonts w:ascii="Abadi" w:eastAsiaTheme="minorHAnsi" w:hAnsi="Abadi" w:cs="Arial"/>
          <w:sz w:val="21"/>
          <w:szCs w:val="21"/>
          <w:lang w:val="es-MX" w:eastAsia="en-US"/>
        </w:rPr>
      </w:pPr>
      <w:r w:rsidRPr="00946A9A">
        <w:rPr>
          <w:rFonts w:ascii="Abadi" w:eastAsiaTheme="minorHAnsi" w:hAnsi="Abadi" w:cs="Arial"/>
          <w:sz w:val="21"/>
          <w:szCs w:val="21"/>
          <w:lang w:val="es-MX" w:eastAsia="en-US"/>
        </w:rPr>
        <w:t>Dicho Sistema Estatal, según lo señala la fracción XI del artículo 26 de la Ley para Prevenir, Atender y Erradicar la Violencia en el Estado de Guanajuato, está integrado por los titulares de diversas dependencias y organismos autónomos estatales, entre ellos el Sistema para el Desarrollo Integral de la Familia del Estado de Guanajuato y por ende el artículo 40 de la misma Ley le establece las facultades correspondientes, como la de promover el desarrollo de la familia y de la comunidad en un ambiente libre de violencia.</w:t>
      </w:r>
    </w:p>
    <w:p w14:paraId="38970B60" w14:textId="77777777" w:rsidR="00E3434F" w:rsidRPr="00946A9A" w:rsidRDefault="00E3434F" w:rsidP="00E3434F">
      <w:pPr>
        <w:spacing w:line="276" w:lineRule="auto"/>
        <w:ind w:firstLine="567"/>
        <w:jc w:val="both"/>
        <w:rPr>
          <w:rFonts w:ascii="Abadi" w:eastAsiaTheme="minorHAnsi" w:hAnsi="Abadi" w:cs="Arial"/>
          <w:sz w:val="21"/>
          <w:szCs w:val="21"/>
          <w:lang w:val="es-MX" w:eastAsia="en-US"/>
        </w:rPr>
      </w:pPr>
    </w:p>
    <w:p w14:paraId="159C3A71" w14:textId="77777777" w:rsidR="00E3434F" w:rsidRPr="00946A9A" w:rsidRDefault="00E3434F" w:rsidP="00E3434F">
      <w:pPr>
        <w:spacing w:line="276" w:lineRule="auto"/>
        <w:ind w:firstLine="567"/>
        <w:jc w:val="both"/>
        <w:rPr>
          <w:rFonts w:ascii="Abadi" w:eastAsiaTheme="minorHAnsi" w:hAnsi="Abadi" w:cs="Arial"/>
          <w:sz w:val="21"/>
          <w:szCs w:val="21"/>
          <w:lang w:val="es-MX" w:eastAsia="en-US"/>
        </w:rPr>
      </w:pPr>
      <w:r w:rsidRPr="00946A9A">
        <w:rPr>
          <w:rFonts w:ascii="Abadi" w:eastAsiaTheme="minorHAnsi" w:hAnsi="Abadi" w:cs="Arial"/>
          <w:sz w:val="21"/>
          <w:szCs w:val="21"/>
          <w:lang w:val="es-MX" w:eastAsia="en-US"/>
        </w:rPr>
        <w:t>Por su parte la Ley para una Convivencia Libre de Violencia en el Entorno Escolar para el Estado de Guanajuato y sus Municipios, tiene por objeto establecer las bases que permitan el establecimiento de las políticas públicas para prevenir, atender y erradicar la violencia en el entorno escolar, así como distribuir las competencias entre el Estado y los Municipios.</w:t>
      </w:r>
    </w:p>
    <w:p w14:paraId="257ACF5A" w14:textId="77777777" w:rsidR="00E3434F" w:rsidRPr="00946A9A" w:rsidRDefault="00E3434F" w:rsidP="00E3434F">
      <w:pPr>
        <w:spacing w:line="276" w:lineRule="auto"/>
        <w:ind w:firstLine="567"/>
        <w:jc w:val="both"/>
        <w:rPr>
          <w:rFonts w:ascii="Abadi" w:eastAsiaTheme="minorHAnsi" w:hAnsi="Abadi" w:cs="Arial"/>
          <w:sz w:val="21"/>
          <w:szCs w:val="21"/>
          <w:lang w:val="es-MX" w:eastAsia="en-US"/>
        </w:rPr>
      </w:pPr>
    </w:p>
    <w:p w14:paraId="7371826A" w14:textId="77777777" w:rsidR="00E3434F" w:rsidRPr="00946A9A" w:rsidRDefault="00E3434F" w:rsidP="00E3434F">
      <w:pPr>
        <w:spacing w:line="276" w:lineRule="auto"/>
        <w:ind w:firstLine="567"/>
        <w:jc w:val="both"/>
        <w:rPr>
          <w:rFonts w:ascii="Abadi" w:eastAsiaTheme="minorHAnsi" w:hAnsi="Abadi" w:cs="Arial"/>
          <w:sz w:val="21"/>
          <w:szCs w:val="21"/>
          <w:lang w:val="es-MX" w:eastAsia="en-US"/>
        </w:rPr>
      </w:pPr>
      <w:r w:rsidRPr="00946A9A">
        <w:rPr>
          <w:rFonts w:ascii="Abadi" w:eastAsiaTheme="minorHAnsi" w:hAnsi="Abadi" w:cs="Arial"/>
          <w:sz w:val="21"/>
          <w:szCs w:val="21"/>
          <w:lang w:val="es-MX" w:eastAsia="en-US"/>
        </w:rPr>
        <w:t>En ese orden de ideas, dicha ley establece como autoridades competentes, entre otras, al Sistema para el Desarrollo Integral de la Familia del Estado de Guanajuato, estableciendo sus atribuciones en la materia en el artículo 20.</w:t>
      </w:r>
    </w:p>
    <w:p w14:paraId="64A50ABA" w14:textId="77777777" w:rsidR="00E3434F" w:rsidRPr="00946A9A" w:rsidRDefault="00E3434F" w:rsidP="00E3434F">
      <w:pPr>
        <w:spacing w:line="276" w:lineRule="auto"/>
        <w:ind w:firstLine="567"/>
        <w:jc w:val="both"/>
        <w:rPr>
          <w:rFonts w:ascii="Abadi" w:eastAsiaTheme="minorHAnsi" w:hAnsi="Abadi" w:cs="Arial"/>
          <w:sz w:val="21"/>
          <w:szCs w:val="21"/>
          <w:lang w:val="es-MX" w:eastAsia="en-US"/>
        </w:rPr>
      </w:pPr>
    </w:p>
    <w:p w14:paraId="2A9962E7" w14:textId="77777777" w:rsidR="00E3434F" w:rsidRPr="00946A9A" w:rsidRDefault="00E3434F" w:rsidP="00E3434F">
      <w:pPr>
        <w:spacing w:line="276" w:lineRule="auto"/>
        <w:ind w:firstLine="567"/>
        <w:jc w:val="both"/>
        <w:rPr>
          <w:rFonts w:ascii="Abadi" w:eastAsiaTheme="minorHAnsi" w:hAnsi="Abadi" w:cs="Arial"/>
          <w:sz w:val="21"/>
          <w:szCs w:val="21"/>
          <w:lang w:val="es-MX" w:eastAsia="en-US"/>
        </w:rPr>
      </w:pPr>
      <w:r w:rsidRPr="00946A9A">
        <w:rPr>
          <w:rFonts w:ascii="Abadi" w:eastAsiaTheme="minorHAnsi" w:hAnsi="Abadi" w:cs="Arial"/>
          <w:sz w:val="21"/>
          <w:szCs w:val="21"/>
          <w:lang w:val="es-MX" w:eastAsia="en-US"/>
        </w:rPr>
        <w:t>Asimismo, quienes dictaminamos consideramos importante señalar que el Sistema para el Desarrollo Integral de la Familia del Estado de Guanajuato, como organismo descentralizado, es el rector de la Asistencia Social, teniendo entre sus diversos objetivos, el promover la interrelación sistemática de acciones que en la materia lleven a cabo las instituciones públicas y privadas.</w:t>
      </w:r>
    </w:p>
    <w:p w14:paraId="59740FE2" w14:textId="77777777" w:rsidR="00E3434F" w:rsidRPr="00946A9A" w:rsidRDefault="00E3434F" w:rsidP="00E3434F">
      <w:pPr>
        <w:spacing w:before="100" w:beforeAutospacing="1" w:after="100" w:afterAutospacing="1" w:line="276" w:lineRule="auto"/>
        <w:ind w:firstLine="567"/>
        <w:jc w:val="both"/>
        <w:rPr>
          <w:rFonts w:ascii="Abadi" w:eastAsiaTheme="minorHAnsi" w:hAnsi="Abadi" w:cs="Arial"/>
          <w:sz w:val="21"/>
          <w:szCs w:val="21"/>
          <w:lang w:val="es-MX" w:eastAsia="en-US"/>
        </w:rPr>
      </w:pPr>
      <w:r w:rsidRPr="00946A9A">
        <w:rPr>
          <w:rFonts w:ascii="Abadi" w:eastAsiaTheme="minorHAnsi" w:hAnsi="Abadi" w:cs="Arial"/>
          <w:sz w:val="21"/>
          <w:szCs w:val="21"/>
          <w:lang w:val="es-MX" w:eastAsia="en-US"/>
        </w:rPr>
        <w:t>De igual forma el artículo 18 de la Ley sobre el Sistema Estatal de Asistencia Social del Estado de Guanajuato, establece, entre otras, las funciones del Sistema para el Desarrollo Integral de la Familia del Estado de Guanajuato, entre las que destacan, las fracciones III y IV, que señalan la obligación de realizar acciones de apoyo educativo, para la integración, así como promover e impulsar el sano crecimiento físico, mental y social de la niñez.</w:t>
      </w:r>
    </w:p>
    <w:p w14:paraId="54923461" w14:textId="77777777" w:rsidR="00E3434F" w:rsidRPr="00946A9A" w:rsidRDefault="00E3434F" w:rsidP="00E3434F">
      <w:pPr>
        <w:spacing w:line="276" w:lineRule="auto"/>
        <w:ind w:firstLine="567"/>
        <w:jc w:val="both"/>
        <w:rPr>
          <w:rFonts w:ascii="Abadi" w:eastAsia="Calibri" w:hAnsi="Abadi" w:cs="Arial"/>
          <w:sz w:val="21"/>
          <w:szCs w:val="21"/>
          <w:lang w:val="es-MX" w:eastAsia="en-US"/>
        </w:rPr>
      </w:pPr>
      <w:r w:rsidRPr="00946A9A">
        <w:rPr>
          <w:rFonts w:ascii="Abadi" w:eastAsiaTheme="minorHAnsi" w:hAnsi="Abadi" w:cs="Arial"/>
          <w:sz w:val="21"/>
          <w:szCs w:val="21"/>
          <w:lang w:val="es-MX" w:eastAsia="en-US"/>
        </w:rPr>
        <w:t xml:space="preserve">Por todo lo anterior, con las consideraciones que sirvieron de base para las reformas a la Ley de los Derechos de las niñas, niños y adolescentes </w:t>
      </w:r>
      <w:r w:rsidRPr="00946A9A">
        <w:rPr>
          <w:rFonts w:ascii="Abadi" w:eastAsia="Calibri" w:hAnsi="Abadi" w:cs="Arial"/>
          <w:sz w:val="21"/>
          <w:szCs w:val="21"/>
          <w:lang w:val="es-MX" w:eastAsia="en-US"/>
        </w:rPr>
        <w:t xml:space="preserve">del Estado de Guanajuato, por ser la que regula la protección a los mismos, así como la armonización realizada a la </w:t>
      </w:r>
      <w:r w:rsidRPr="00946A9A">
        <w:rPr>
          <w:rFonts w:ascii="Abadi" w:eastAsiaTheme="minorHAnsi" w:hAnsi="Abadi" w:cs="Arial"/>
          <w:sz w:val="21"/>
          <w:szCs w:val="21"/>
          <w:lang w:val="es-MX" w:eastAsia="en-US"/>
        </w:rPr>
        <w:t xml:space="preserve">Ley para Prevenir, Atender y Erradicar la Violencia en el Estado de Guanajuato, quienes integramos la Comisión de Educación, Ciencia y Tecnología y Cultura, </w:t>
      </w:r>
      <w:r w:rsidRPr="00946A9A">
        <w:rPr>
          <w:rFonts w:ascii="Abadi" w:eastAsia="Calibri" w:hAnsi="Abadi" w:cs="Arial"/>
          <w:sz w:val="21"/>
          <w:szCs w:val="21"/>
          <w:lang w:val="es-MX" w:eastAsia="en-US"/>
        </w:rPr>
        <w:t xml:space="preserve">consideramos que en congruencia con dichas legislaciones, es necesario realizar los ajustes a la Ley  </w:t>
      </w:r>
      <w:r w:rsidRPr="00946A9A">
        <w:rPr>
          <w:rFonts w:ascii="Abadi" w:eastAsiaTheme="minorHAnsi" w:hAnsi="Abadi" w:cs="Arial"/>
          <w:sz w:val="21"/>
          <w:szCs w:val="21"/>
          <w:lang w:val="es-MX" w:eastAsia="en-US"/>
        </w:rPr>
        <w:t xml:space="preserve">para una Convivencia Libre de Violencia en el Entorno Escolar para el Estado de Guanajuato y sus Municipios, con el fin de lograr un efectivo cumplimiento en la crianza positiva. </w:t>
      </w:r>
    </w:p>
    <w:p w14:paraId="07F060EE" w14:textId="77777777" w:rsidR="00E3434F" w:rsidRPr="00946A9A" w:rsidRDefault="00E3434F" w:rsidP="00E3434F">
      <w:pPr>
        <w:spacing w:line="276" w:lineRule="auto"/>
        <w:jc w:val="both"/>
        <w:rPr>
          <w:rFonts w:ascii="Abadi" w:eastAsiaTheme="minorHAnsi" w:hAnsi="Abadi" w:cs="Arial"/>
          <w:sz w:val="21"/>
          <w:szCs w:val="21"/>
          <w:lang w:val="es-MX" w:eastAsia="en-US"/>
        </w:rPr>
      </w:pPr>
    </w:p>
    <w:p w14:paraId="2BC34F52" w14:textId="77777777" w:rsidR="00E3434F" w:rsidRPr="00946A9A" w:rsidRDefault="00E3434F" w:rsidP="00E3434F">
      <w:pPr>
        <w:spacing w:line="276" w:lineRule="auto"/>
        <w:ind w:left="-3" w:firstLine="567"/>
        <w:jc w:val="both"/>
        <w:rPr>
          <w:rFonts w:ascii="Abadi" w:eastAsiaTheme="minorHAnsi" w:hAnsi="Abadi" w:cs="Arial"/>
          <w:sz w:val="21"/>
          <w:szCs w:val="21"/>
          <w:lang w:val="es-MX" w:eastAsia="en-US"/>
        </w:rPr>
      </w:pPr>
      <w:r w:rsidRPr="00946A9A">
        <w:rPr>
          <w:rFonts w:ascii="Abadi" w:eastAsiaTheme="minorHAnsi" w:hAnsi="Abadi" w:cs="Arial"/>
          <w:sz w:val="21"/>
          <w:szCs w:val="21"/>
          <w:lang w:val="es-MX" w:eastAsia="en-US"/>
        </w:rPr>
        <w:t xml:space="preserve">Por lo expuesto y fundado, las diputadas el diputado que integramos esta Comisión de Educación, Ciencia y Tecnología y Cultura, respetuosamente solicitamos a esta Asamblea se apruebe el siguiente: </w:t>
      </w:r>
    </w:p>
    <w:p w14:paraId="7EC6D3DA" w14:textId="77777777" w:rsidR="00E3434F" w:rsidRPr="00946A9A" w:rsidRDefault="00E3434F" w:rsidP="00E3434F">
      <w:pPr>
        <w:spacing w:line="276" w:lineRule="auto"/>
        <w:ind w:left="18" w:right="2" w:firstLine="567"/>
        <w:jc w:val="center"/>
        <w:rPr>
          <w:rFonts w:ascii="Abadi" w:eastAsia="Arial" w:hAnsi="Abadi" w:cs="Arial"/>
          <w:b/>
          <w:sz w:val="21"/>
          <w:szCs w:val="21"/>
          <w:lang w:val="es-MX" w:eastAsia="en-US"/>
        </w:rPr>
      </w:pPr>
    </w:p>
    <w:p w14:paraId="2CBA54F2" w14:textId="77777777" w:rsidR="00E3434F" w:rsidRPr="00946A9A" w:rsidRDefault="00E3434F" w:rsidP="00E3434F">
      <w:pPr>
        <w:spacing w:line="276" w:lineRule="auto"/>
        <w:ind w:left="18" w:right="2" w:hanging="18"/>
        <w:jc w:val="center"/>
        <w:rPr>
          <w:rFonts w:ascii="Abadi" w:eastAsia="Arial" w:hAnsi="Abadi" w:cs="Arial"/>
          <w:b/>
          <w:sz w:val="21"/>
          <w:szCs w:val="21"/>
          <w:lang w:val="es-MX" w:eastAsia="en-US"/>
        </w:rPr>
      </w:pPr>
      <w:r w:rsidRPr="00946A9A">
        <w:rPr>
          <w:rFonts w:ascii="Abadi" w:eastAsia="Arial" w:hAnsi="Abadi" w:cs="Arial"/>
          <w:b/>
          <w:sz w:val="21"/>
          <w:szCs w:val="21"/>
          <w:lang w:val="es-MX" w:eastAsia="en-US"/>
        </w:rPr>
        <w:t>ACUERDO</w:t>
      </w:r>
    </w:p>
    <w:p w14:paraId="0359A069" w14:textId="77777777" w:rsidR="00E3434F" w:rsidRPr="00946A9A" w:rsidRDefault="00E3434F" w:rsidP="00E3434F">
      <w:pPr>
        <w:spacing w:line="276" w:lineRule="auto"/>
        <w:ind w:left="18" w:right="2" w:firstLine="567"/>
        <w:jc w:val="both"/>
        <w:rPr>
          <w:rFonts w:ascii="Abadi" w:eastAsiaTheme="minorHAnsi" w:hAnsi="Abadi" w:cs="Arial"/>
          <w:sz w:val="21"/>
          <w:szCs w:val="21"/>
          <w:lang w:val="es-MX" w:eastAsia="en-US"/>
        </w:rPr>
      </w:pPr>
    </w:p>
    <w:p w14:paraId="206B7D1E" w14:textId="77777777" w:rsidR="00E3434F" w:rsidRPr="00946A9A" w:rsidRDefault="00E3434F" w:rsidP="00E3434F">
      <w:pPr>
        <w:ind w:right="49" w:firstLine="567"/>
        <w:jc w:val="both"/>
        <w:rPr>
          <w:rFonts w:ascii="Abadi" w:eastAsiaTheme="minorHAnsi" w:hAnsi="Abadi" w:cs="Arial"/>
          <w:sz w:val="21"/>
          <w:szCs w:val="21"/>
          <w:lang w:val="es-MX" w:eastAsia="en-US"/>
        </w:rPr>
      </w:pPr>
      <w:r w:rsidRPr="00946A9A">
        <w:rPr>
          <w:rFonts w:ascii="Abadi" w:eastAsia="Arial" w:hAnsi="Abadi" w:cs="Arial"/>
          <w:b/>
          <w:sz w:val="21"/>
          <w:szCs w:val="21"/>
          <w:lang w:val="es-MX" w:eastAsia="en-US"/>
        </w:rPr>
        <w:t>Único:</w:t>
      </w:r>
      <w:r w:rsidRPr="00946A9A">
        <w:rPr>
          <w:rFonts w:ascii="Abadi" w:eastAsiaTheme="minorHAnsi" w:hAnsi="Abadi" w:cs="Arial"/>
          <w:sz w:val="21"/>
          <w:szCs w:val="21"/>
          <w:lang w:val="es-MX" w:eastAsia="en-US"/>
        </w:rPr>
        <w:t xml:space="preserve"> Se adiciona la fracción VI, recorriéndose la subsecuente del artículo 20 de la Ley para una Convivencia Libre de Violencia en el Entorno Escolar para el Estado de Guanajuato y sus Municipios: </w:t>
      </w:r>
    </w:p>
    <w:p w14:paraId="56AB9860" w14:textId="77777777" w:rsidR="00E3434F" w:rsidRPr="00946A9A" w:rsidRDefault="00E3434F" w:rsidP="00E3434F">
      <w:pPr>
        <w:spacing w:line="256" w:lineRule="auto"/>
        <w:ind w:right="49" w:firstLine="567"/>
        <w:jc w:val="both"/>
        <w:rPr>
          <w:rFonts w:ascii="Abadi" w:eastAsiaTheme="minorHAnsi" w:hAnsi="Abadi" w:cs="Arial"/>
          <w:sz w:val="21"/>
          <w:szCs w:val="21"/>
          <w:lang w:val="es-MX" w:eastAsia="en-US"/>
        </w:rPr>
      </w:pPr>
      <w:r w:rsidRPr="00946A9A">
        <w:rPr>
          <w:rFonts w:ascii="Abadi" w:eastAsiaTheme="minorHAnsi" w:hAnsi="Abadi" w:cs="Arial"/>
          <w:sz w:val="21"/>
          <w:szCs w:val="21"/>
          <w:lang w:val="es-MX" w:eastAsia="en-US"/>
        </w:rPr>
        <w:t xml:space="preserve"> </w:t>
      </w:r>
    </w:p>
    <w:p w14:paraId="100188B9" w14:textId="77777777" w:rsidR="00E3434F" w:rsidRPr="00946A9A" w:rsidRDefault="00E3434F" w:rsidP="00E3434F">
      <w:pPr>
        <w:spacing w:line="256" w:lineRule="auto"/>
        <w:ind w:right="49" w:firstLine="567"/>
        <w:jc w:val="both"/>
        <w:rPr>
          <w:rFonts w:ascii="Abadi" w:eastAsiaTheme="minorHAnsi" w:hAnsi="Abadi" w:cs="Arial"/>
          <w:sz w:val="21"/>
          <w:szCs w:val="21"/>
          <w:lang w:val="es-MX" w:eastAsia="en-US"/>
        </w:rPr>
      </w:pPr>
    </w:p>
    <w:p w14:paraId="25E6DFA0" w14:textId="77777777" w:rsidR="00E3434F" w:rsidRPr="00946A9A" w:rsidRDefault="00E3434F" w:rsidP="00E3434F">
      <w:pPr>
        <w:spacing w:line="244" w:lineRule="auto"/>
        <w:ind w:left="567" w:right="49"/>
        <w:jc w:val="right"/>
        <w:rPr>
          <w:rFonts w:ascii="Abadi" w:eastAsiaTheme="minorHAnsi" w:hAnsi="Abadi" w:cs="Arial"/>
          <w:b/>
          <w:sz w:val="21"/>
          <w:szCs w:val="21"/>
          <w:lang w:val="es-MX" w:eastAsia="en-US"/>
        </w:rPr>
      </w:pPr>
      <w:r w:rsidRPr="00946A9A">
        <w:rPr>
          <w:rFonts w:ascii="Abadi" w:eastAsiaTheme="minorHAnsi" w:hAnsi="Abadi" w:cs="Arial"/>
          <w:b/>
          <w:sz w:val="21"/>
          <w:szCs w:val="21"/>
          <w:lang w:val="es-MX" w:eastAsia="en-US"/>
        </w:rPr>
        <w:t xml:space="preserve">Atribuciones del Sistema… </w:t>
      </w:r>
    </w:p>
    <w:p w14:paraId="251DBC5E" w14:textId="77777777" w:rsidR="00E3434F" w:rsidRPr="00946A9A" w:rsidRDefault="00E3434F" w:rsidP="00E3434F">
      <w:pPr>
        <w:spacing w:line="244" w:lineRule="auto"/>
        <w:ind w:left="567" w:right="296"/>
        <w:rPr>
          <w:rFonts w:ascii="Abadi" w:eastAsiaTheme="minorHAnsi" w:hAnsi="Abadi" w:cs="Arial"/>
          <w:sz w:val="21"/>
          <w:szCs w:val="21"/>
          <w:lang w:val="es-MX" w:eastAsia="en-US"/>
        </w:rPr>
      </w:pPr>
      <w:r w:rsidRPr="00946A9A">
        <w:rPr>
          <w:rFonts w:ascii="Abadi" w:eastAsiaTheme="minorHAnsi" w:hAnsi="Abadi" w:cs="Arial"/>
          <w:b/>
          <w:sz w:val="21"/>
          <w:szCs w:val="21"/>
          <w:lang w:val="es-MX" w:eastAsia="en-US"/>
        </w:rPr>
        <w:t>Artículo 20.</w:t>
      </w:r>
      <w:r w:rsidRPr="00946A9A">
        <w:rPr>
          <w:rFonts w:ascii="Abadi" w:eastAsiaTheme="minorHAnsi" w:hAnsi="Abadi" w:cs="Arial"/>
          <w:sz w:val="21"/>
          <w:szCs w:val="21"/>
          <w:lang w:val="es-MX" w:eastAsia="en-US"/>
        </w:rPr>
        <w:t xml:space="preserve"> Corresponde al Sistema…: </w:t>
      </w:r>
    </w:p>
    <w:p w14:paraId="00D02151" w14:textId="77777777" w:rsidR="00E3434F" w:rsidRPr="00946A9A" w:rsidRDefault="00E3434F" w:rsidP="00E3434F">
      <w:pPr>
        <w:spacing w:line="256" w:lineRule="auto"/>
        <w:ind w:left="567" w:firstLine="6003"/>
        <w:jc w:val="both"/>
        <w:rPr>
          <w:rFonts w:ascii="Abadi" w:eastAsiaTheme="minorHAnsi" w:hAnsi="Abadi" w:cs="Arial"/>
          <w:sz w:val="21"/>
          <w:szCs w:val="21"/>
          <w:lang w:val="es-MX" w:eastAsia="en-US"/>
        </w:rPr>
      </w:pPr>
      <w:r w:rsidRPr="00946A9A">
        <w:rPr>
          <w:rFonts w:ascii="Abadi" w:eastAsiaTheme="minorHAnsi" w:hAnsi="Abadi" w:cs="Arial"/>
          <w:sz w:val="21"/>
          <w:szCs w:val="21"/>
          <w:lang w:val="es-MX" w:eastAsia="en-US"/>
        </w:rPr>
        <w:t xml:space="preserve"> </w:t>
      </w:r>
    </w:p>
    <w:p w14:paraId="4B9AD89F" w14:textId="77777777" w:rsidR="00E3434F" w:rsidRPr="00946A9A" w:rsidRDefault="00E3434F" w:rsidP="00E3434F">
      <w:pPr>
        <w:ind w:left="567" w:right="296"/>
        <w:jc w:val="both"/>
        <w:rPr>
          <w:rFonts w:ascii="Abadi" w:eastAsiaTheme="minorHAnsi" w:hAnsi="Abadi" w:cs="Arial"/>
          <w:sz w:val="21"/>
          <w:szCs w:val="21"/>
          <w:lang w:val="es-MX" w:eastAsia="en-US"/>
        </w:rPr>
      </w:pPr>
      <w:r w:rsidRPr="00946A9A">
        <w:rPr>
          <w:rFonts w:ascii="Abadi" w:eastAsiaTheme="minorHAnsi" w:hAnsi="Abadi" w:cs="Arial"/>
          <w:sz w:val="21"/>
          <w:szCs w:val="21"/>
          <w:lang w:val="es-MX" w:eastAsia="en-US"/>
        </w:rPr>
        <w:t xml:space="preserve">I a V… </w:t>
      </w:r>
    </w:p>
    <w:p w14:paraId="0E752E72" w14:textId="77777777" w:rsidR="00E3434F" w:rsidRPr="00946A9A" w:rsidRDefault="00E3434F" w:rsidP="00E3434F">
      <w:pPr>
        <w:spacing w:line="256" w:lineRule="auto"/>
        <w:ind w:left="567"/>
        <w:jc w:val="both"/>
        <w:rPr>
          <w:rFonts w:ascii="Abadi" w:eastAsiaTheme="minorHAnsi" w:hAnsi="Abadi" w:cs="Arial"/>
          <w:sz w:val="21"/>
          <w:szCs w:val="21"/>
          <w:lang w:val="es-MX" w:eastAsia="en-US"/>
        </w:rPr>
      </w:pPr>
      <w:r w:rsidRPr="00946A9A">
        <w:rPr>
          <w:rFonts w:ascii="Abadi" w:eastAsiaTheme="minorHAnsi" w:hAnsi="Abadi" w:cs="Arial"/>
          <w:sz w:val="21"/>
          <w:szCs w:val="21"/>
          <w:lang w:val="es-MX" w:eastAsia="en-US"/>
        </w:rPr>
        <w:t xml:space="preserve"> </w:t>
      </w:r>
    </w:p>
    <w:p w14:paraId="408392D2" w14:textId="77777777" w:rsidR="00E3434F" w:rsidRPr="00946A9A" w:rsidRDefault="00E3434F" w:rsidP="00E3434F">
      <w:pPr>
        <w:numPr>
          <w:ilvl w:val="0"/>
          <w:numId w:val="75"/>
        </w:numPr>
        <w:spacing w:line="244" w:lineRule="auto"/>
        <w:ind w:left="567" w:right="296"/>
        <w:jc w:val="both"/>
        <w:rPr>
          <w:rFonts w:ascii="Abadi" w:eastAsiaTheme="minorHAnsi" w:hAnsi="Abadi" w:cs="Arial"/>
          <w:bCs/>
          <w:sz w:val="21"/>
          <w:szCs w:val="21"/>
          <w:lang w:val="es-MX" w:eastAsia="en-US"/>
        </w:rPr>
      </w:pPr>
      <w:r w:rsidRPr="00946A9A">
        <w:rPr>
          <w:rFonts w:ascii="Abadi" w:eastAsiaTheme="minorHAnsi" w:hAnsi="Abadi" w:cs="Arial"/>
          <w:bCs/>
          <w:sz w:val="21"/>
          <w:szCs w:val="21"/>
          <w:lang w:val="es-MX" w:eastAsia="en-US"/>
        </w:rPr>
        <w:t xml:space="preserve">Desarrollar en conjunto con la Secretaría la impartición de programas de educación que promuevan la crianza positiva, en términos de la Ley de los Derechos de Niñas, Niños y Adolescentes del Estado de Guanajuato, y </w:t>
      </w:r>
    </w:p>
    <w:p w14:paraId="12A4601A" w14:textId="77777777" w:rsidR="00E3434F" w:rsidRPr="00946A9A" w:rsidRDefault="00E3434F" w:rsidP="00E3434F">
      <w:pPr>
        <w:spacing w:line="256" w:lineRule="auto"/>
        <w:jc w:val="both"/>
        <w:rPr>
          <w:rFonts w:ascii="Abadi" w:eastAsiaTheme="minorHAnsi" w:hAnsi="Abadi" w:cs="Arial"/>
          <w:bCs/>
          <w:sz w:val="21"/>
          <w:szCs w:val="21"/>
          <w:lang w:val="es-MX" w:eastAsia="en-US"/>
        </w:rPr>
      </w:pPr>
      <w:r w:rsidRPr="00946A9A">
        <w:rPr>
          <w:rFonts w:ascii="Abadi" w:eastAsiaTheme="minorHAnsi" w:hAnsi="Abadi" w:cs="Arial"/>
          <w:bCs/>
          <w:sz w:val="21"/>
          <w:szCs w:val="21"/>
          <w:lang w:val="es-MX" w:eastAsia="en-US"/>
        </w:rPr>
        <w:t xml:space="preserve"> </w:t>
      </w:r>
    </w:p>
    <w:p w14:paraId="470788CE" w14:textId="77777777" w:rsidR="00E3434F" w:rsidRPr="00946A9A" w:rsidRDefault="00E3434F" w:rsidP="00E3434F">
      <w:pPr>
        <w:numPr>
          <w:ilvl w:val="0"/>
          <w:numId w:val="75"/>
        </w:numPr>
        <w:ind w:left="0" w:right="296" w:firstLine="567"/>
        <w:jc w:val="both"/>
        <w:rPr>
          <w:rFonts w:ascii="Abadi" w:eastAsiaTheme="minorHAnsi" w:hAnsi="Abadi" w:cs="Arial"/>
          <w:sz w:val="21"/>
          <w:szCs w:val="21"/>
          <w:lang w:val="es-MX" w:eastAsia="en-US"/>
        </w:rPr>
      </w:pPr>
      <w:r w:rsidRPr="00946A9A">
        <w:rPr>
          <w:rFonts w:ascii="Abadi" w:eastAsiaTheme="minorHAnsi" w:hAnsi="Abadi" w:cs="Arial"/>
          <w:sz w:val="21"/>
          <w:szCs w:val="21"/>
          <w:lang w:val="es-MX" w:eastAsia="en-US"/>
        </w:rPr>
        <w:t xml:space="preserve">Las demás que… </w:t>
      </w:r>
    </w:p>
    <w:p w14:paraId="07182BFE" w14:textId="77777777" w:rsidR="00E3434F" w:rsidRPr="00946A9A" w:rsidRDefault="00E3434F" w:rsidP="00E3434F">
      <w:pPr>
        <w:spacing w:line="276" w:lineRule="auto"/>
        <w:ind w:left="-3" w:firstLine="567"/>
        <w:jc w:val="both"/>
        <w:rPr>
          <w:rFonts w:ascii="Abadi" w:eastAsiaTheme="minorHAnsi" w:hAnsi="Abadi" w:cs="Arial"/>
          <w:sz w:val="21"/>
          <w:szCs w:val="21"/>
          <w:lang w:val="es-MX" w:eastAsia="en-US"/>
        </w:rPr>
      </w:pPr>
    </w:p>
    <w:p w14:paraId="455C6AFE" w14:textId="77777777" w:rsidR="00E3434F" w:rsidRPr="00946A9A" w:rsidRDefault="00E3434F" w:rsidP="00E3434F">
      <w:pPr>
        <w:spacing w:line="276" w:lineRule="auto"/>
        <w:ind w:left="-3" w:firstLine="567"/>
        <w:jc w:val="both"/>
        <w:rPr>
          <w:rFonts w:ascii="Abadi" w:eastAsiaTheme="minorHAnsi" w:hAnsi="Abadi" w:cs="Arial"/>
          <w:sz w:val="21"/>
          <w:szCs w:val="21"/>
          <w:lang w:val="es-MX" w:eastAsia="en-US"/>
        </w:rPr>
      </w:pPr>
    </w:p>
    <w:p w14:paraId="05816333" w14:textId="77777777" w:rsidR="00E3434F" w:rsidRPr="00946A9A" w:rsidRDefault="00E3434F" w:rsidP="00E3434F">
      <w:pPr>
        <w:spacing w:line="276" w:lineRule="auto"/>
        <w:jc w:val="center"/>
        <w:rPr>
          <w:rFonts w:ascii="Abadi" w:eastAsiaTheme="minorHAnsi" w:hAnsi="Abadi" w:cs="Arial"/>
          <w:sz w:val="21"/>
          <w:szCs w:val="21"/>
          <w:lang w:val="en-US" w:eastAsia="es-MX"/>
        </w:rPr>
      </w:pPr>
      <w:r w:rsidRPr="00946A9A">
        <w:rPr>
          <w:rFonts w:ascii="Abadi" w:eastAsiaTheme="minorHAnsi" w:hAnsi="Abadi" w:cs="Arial"/>
          <w:b/>
          <w:bCs/>
          <w:sz w:val="21"/>
          <w:szCs w:val="21"/>
          <w:lang w:val="en-US" w:eastAsia="es-MX"/>
        </w:rPr>
        <w:t>TRANSITORIO</w:t>
      </w:r>
    </w:p>
    <w:p w14:paraId="4FC75599" w14:textId="77777777" w:rsidR="00E3434F" w:rsidRPr="00946A9A" w:rsidRDefault="00E3434F" w:rsidP="00E3434F">
      <w:pPr>
        <w:spacing w:line="276" w:lineRule="auto"/>
        <w:jc w:val="both"/>
        <w:rPr>
          <w:rFonts w:ascii="Abadi" w:eastAsiaTheme="minorHAnsi" w:hAnsi="Abadi" w:cs="Arial"/>
          <w:sz w:val="21"/>
          <w:szCs w:val="21"/>
          <w:lang w:val="en-US" w:eastAsia="es-MX"/>
        </w:rPr>
      </w:pPr>
    </w:p>
    <w:p w14:paraId="2D2B9FA8" w14:textId="77777777" w:rsidR="00E3434F" w:rsidRPr="00946A9A" w:rsidRDefault="00E3434F" w:rsidP="00E3434F">
      <w:pPr>
        <w:spacing w:line="276" w:lineRule="auto"/>
        <w:jc w:val="both"/>
        <w:rPr>
          <w:rFonts w:ascii="Abadi" w:eastAsiaTheme="minorHAnsi" w:hAnsi="Abadi" w:cs="Arial"/>
          <w:sz w:val="21"/>
          <w:szCs w:val="21"/>
          <w:lang w:eastAsia="es-MX"/>
        </w:rPr>
      </w:pPr>
      <w:r w:rsidRPr="00946A9A">
        <w:rPr>
          <w:rFonts w:ascii="Abadi" w:eastAsiaTheme="minorHAnsi" w:hAnsi="Abadi" w:cs="Arial"/>
          <w:b/>
          <w:bCs/>
          <w:sz w:val="21"/>
          <w:szCs w:val="21"/>
          <w:lang w:val="en-US" w:eastAsia="es-MX"/>
        </w:rPr>
        <w:tab/>
      </w:r>
      <w:r w:rsidRPr="00946A9A">
        <w:rPr>
          <w:rFonts w:ascii="Abadi" w:eastAsiaTheme="minorHAnsi" w:hAnsi="Abadi" w:cs="Arial"/>
          <w:b/>
          <w:bCs/>
          <w:sz w:val="21"/>
          <w:szCs w:val="21"/>
          <w:lang w:val="es-MX" w:eastAsia="es-MX"/>
        </w:rPr>
        <w:t xml:space="preserve">Artículo único. </w:t>
      </w:r>
      <w:r w:rsidRPr="00946A9A">
        <w:rPr>
          <w:rFonts w:ascii="Abadi" w:eastAsiaTheme="minorHAnsi" w:hAnsi="Abadi" w:cs="Arial"/>
          <w:sz w:val="21"/>
          <w:szCs w:val="21"/>
          <w:lang w:val="es-MX" w:eastAsia="es-MX"/>
        </w:rPr>
        <w:t>El presente Decreto entrará en vigencia al día siguiente de su publicación en el Periódico Oficial del Gobierno del Estado de Guanajuato.</w:t>
      </w:r>
    </w:p>
    <w:p w14:paraId="7D98B809" w14:textId="77777777" w:rsidR="00E3434F" w:rsidRPr="00946A9A" w:rsidRDefault="00E3434F" w:rsidP="00E3434F">
      <w:pPr>
        <w:spacing w:line="276" w:lineRule="auto"/>
        <w:ind w:firstLine="708"/>
        <w:jc w:val="both"/>
        <w:rPr>
          <w:rFonts w:ascii="Abadi" w:eastAsiaTheme="minorHAnsi" w:hAnsi="Abadi" w:cs="Arial"/>
          <w:sz w:val="21"/>
          <w:szCs w:val="21"/>
          <w:lang w:val="es-MX" w:eastAsia="es-MX"/>
        </w:rPr>
      </w:pPr>
    </w:p>
    <w:p w14:paraId="66D92076" w14:textId="77777777" w:rsidR="00E3434F" w:rsidRPr="00946A9A" w:rsidRDefault="00E3434F" w:rsidP="00E3434F">
      <w:pPr>
        <w:spacing w:line="276" w:lineRule="auto"/>
        <w:ind w:left="-3" w:firstLine="3"/>
        <w:jc w:val="both"/>
        <w:rPr>
          <w:rFonts w:ascii="Abadi" w:eastAsiaTheme="minorHAnsi" w:hAnsi="Abadi" w:cs="Arial"/>
          <w:sz w:val="21"/>
          <w:szCs w:val="21"/>
          <w:lang w:val="es-MX" w:eastAsia="en-US"/>
        </w:rPr>
      </w:pPr>
    </w:p>
    <w:p w14:paraId="32BF3DFD" w14:textId="77777777" w:rsidR="00E3434F" w:rsidRPr="00946A9A" w:rsidRDefault="00E3434F" w:rsidP="00E3434F">
      <w:pPr>
        <w:spacing w:line="276" w:lineRule="auto"/>
        <w:ind w:firstLine="3"/>
        <w:jc w:val="center"/>
        <w:rPr>
          <w:rFonts w:ascii="Abadi" w:eastAsia="Arial Unicode MS" w:hAnsi="Abadi" w:cs="Arial"/>
          <w:b/>
          <w:sz w:val="21"/>
          <w:szCs w:val="21"/>
          <w:lang w:val="es-MX" w:eastAsia="es-MX"/>
        </w:rPr>
      </w:pPr>
      <w:r w:rsidRPr="00946A9A">
        <w:rPr>
          <w:rFonts w:ascii="Abadi" w:eastAsia="Arial Unicode MS" w:hAnsi="Abadi" w:cs="Arial"/>
          <w:b/>
          <w:sz w:val="21"/>
          <w:szCs w:val="21"/>
          <w:lang w:val="es-MX" w:eastAsia="es-MX"/>
        </w:rPr>
        <w:t>Guanajuato, Gto., 27 de septiembre de 2022</w:t>
      </w:r>
    </w:p>
    <w:p w14:paraId="6DB9D4B2" w14:textId="77777777" w:rsidR="00E3434F" w:rsidRPr="00946A9A" w:rsidRDefault="00E3434F" w:rsidP="00E3434F">
      <w:pPr>
        <w:spacing w:line="276" w:lineRule="auto"/>
        <w:ind w:firstLine="3"/>
        <w:jc w:val="center"/>
        <w:rPr>
          <w:rFonts w:ascii="Abadi" w:eastAsia="Arial Unicode MS" w:hAnsi="Abadi" w:cs="Arial"/>
          <w:b/>
          <w:sz w:val="21"/>
          <w:szCs w:val="21"/>
          <w:lang w:val="es-MX" w:eastAsia="es-MX"/>
        </w:rPr>
      </w:pPr>
      <w:r w:rsidRPr="00946A9A">
        <w:rPr>
          <w:rFonts w:ascii="Abadi" w:eastAsia="Arial Unicode MS" w:hAnsi="Abadi" w:cs="Arial"/>
          <w:b/>
          <w:sz w:val="21"/>
          <w:szCs w:val="21"/>
          <w:lang w:val="es-MX" w:eastAsia="es-MX"/>
        </w:rPr>
        <w:t>La Comisión de Educación, Ciencia y Tecnología y Cultura</w:t>
      </w:r>
    </w:p>
    <w:p w14:paraId="0D219CF0" w14:textId="77777777" w:rsidR="00E3434F" w:rsidRPr="00946A9A" w:rsidRDefault="00E3434F" w:rsidP="00E3434F">
      <w:pPr>
        <w:spacing w:line="276" w:lineRule="auto"/>
        <w:ind w:firstLine="3"/>
        <w:jc w:val="center"/>
        <w:rPr>
          <w:rFonts w:ascii="Abadi" w:eastAsia="Arial Unicode MS" w:hAnsi="Abadi" w:cs="Arial"/>
          <w:b/>
          <w:sz w:val="21"/>
          <w:szCs w:val="21"/>
          <w:lang w:val="es-MX" w:eastAsia="es-MX"/>
        </w:rPr>
      </w:pPr>
    </w:p>
    <w:p w14:paraId="5D8E68CB" w14:textId="77777777" w:rsidR="00E3434F" w:rsidRPr="00946A9A" w:rsidRDefault="00E3434F" w:rsidP="00AF5D42">
      <w:pPr>
        <w:ind w:firstLine="3"/>
        <w:jc w:val="both"/>
        <w:rPr>
          <w:rFonts w:ascii="Abadi" w:eastAsia="Arial Unicode MS" w:hAnsi="Abadi" w:cs="Arial"/>
          <w:bCs/>
          <w:i/>
          <w:iCs/>
          <w:sz w:val="21"/>
          <w:szCs w:val="21"/>
          <w:lang w:val="es-MX" w:eastAsia="es-MX"/>
        </w:rPr>
      </w:pPr>
      <w:r w:rsidRPr="00946A9A">
        <w:rPr>
          <w:rFonts w:ascii="Abadi" w:eastAsia="Arial Unicode MS" w:hAnsi="Abadi" w:cs="Arial"/>
          <w:bCs/>
          <w:i/>
          <w:iCs/>
          <w:sz w:val="21"/>
          <w:szCs w:val="21"/>
          <w:lang w:val="es-MX" w:eastAsia="es-MX"/>
        </w:rPr>
        <w:t>Firma Electrónica</w:t>
      </w:r>
    </w:p>
    <w:p w14:paraId="3B572A22" w14:textId="77777777" w:rsidR="00E3434F" w:rsidRPr="00946A9A" w:rsidRDefault="00E3434F" w:rsidP="00AF5D42">
      <w:pPr>
        <w:ind w:firstLine="3"/>
        <w:jc w:val="both"/>
        <w:rPr>
          <w:rFonts w:ascii="Abadi" w:eastAsia="Arial Unicode MS" w:hAnsi="Abadi" w:cs="Arial"/>
          <w:b/>
          <w:sz w:val="21"/>
          <w:szCs w:val="21"/>
          <w:lang w:val="es-MX" w:eastAsia="es-MX"/>
        </w:rPr>
      </w:pPr>
      <w:r w:rsidRPr="00946A9A">
        <w:rPr>
          <w:rFonts w:ascii="Abadi" w:eastAsia="Arial Unicode MS" w:hAnsi="Abadi" w:cs="Arial"/>
          <w:b/>
          <w:sz w:val="21"/>
          <w:szCs w:val="21"/>
          <w:lang w:val="es-MX" w:eastAsia="es-MX"/>
        </w:rPr>
        <w:t>Dip. María de la Luz Hernández Martínez</w:t>
      </w:r>
    </w:p>
    <w:p w14:paraId="19F833E5" w14:textId="77777777" w:rsidR="00E3434F" w:rsidRPr="00946A9A" w:rsidRDefault="00E3434F" w:rsidP="00AF5D42">
      <w:pPr>
        <w:ind w:firstLine="3"/>
        <w:jc w:val="both"/>
        <w:rPr>
          <w:rFonts w:ascii="Abadi" w:eastAsia="Arial Unicode MS" w:hAnsi="Abadi" w:cs="Arial"/>
          <w:b/>
          <w:sz w:val="21"/>
          <w:szCs w:val="21"/>
          <w:lang w:val="es-MX" w:eastAsia="es-MX"/>
        </w:rPr>
      </w:pPr>
      <w:r w:rsidRPr="00946A9A">
        <w:rPr>
          <w:rFonts w:ascii="Abadi" w:eastAsia="Arial Unicode MS" w:hAnsi="Abadi" w:cs="Arial"/>
          <w:b/>
          <w:sz w:val="21"/>
          <w:szCs w:val="21"/>
          <w:lang w:val="es-MX" w:eastAsia="es-MX"/>
        </w:rPr>
        <w:t>Presidenta</w:t>
      </w:r>
    </w:p>
    <w:p w14:paraId="61EB8DFD" w14:textId="77777777" w:rsidR="00E3434F" w:rsidRPr="00946A9A" w:rsidRDefault="00E3434F" w:rsidP="00AF5D42">
      <w:pPr>
        <w:ind w:firstLine="3"/>
        <w:jc w:val="both"/>
        <w:rPr>
          <w:rFonts w:ascii="Abadi" w:eastAsia="Arial Unicode MS" w:hAnsi="Abadi" w:cs="Arial"/>
          <w:bCs/>
          <w:i/>
          <w:iCs/>
          <w:sz w:val="21"/>
          <w:szCs w:val="21"/>
          <w:lang w:val="es-MX" w:eastAsia="es-MX"/>
        </w:rPr>
      </w:pPr>
    </w:p>
    <w:p w14:paraId="24B30CC9" w14:textId="77777777" w:rsidR="00E3434F" w:rsidRPr="00946A9A" w:rsidRDefault="00E3434F" w:rsidP="00AF5D42">
      <w:pPr>
        <w:ind w:firstLine="3"/>
        <w:jc w:val="both"/>
        <w:rPr>
          <w:rFonts w:ascii="Abadi" w:eastAsia="Arial Unicode MS" w:hAnsi="Abadi" w:cs="Arial"/>
          <w:bCs/>
          <w:i/>
          <w:iCs/>
          <w:sz w:val="21"/>
          <w:szCs w:val="21"/>
          <w:lang w:val="es-MX" w:eastAsia="es-MX"/>
        </w:rPr>
      </w:pPr>
      <w:r w:rsidRPr="00946A9A">
        <w:rPr>
          <w:rFonts w:ascii="Abadi" w:eastAsia="Arial Unicode MS" w:hAnsi="Abadi" w:cs="Arial"/>
          <w:bCs/>
          <w:i/>
          <w:iCs/>
          <w:sz w:val="21"/>
          <w:szCs w:val="21"/>
          <w:lang w:val="es-MX" w:eastAsia="es-MX"/>
        </w:rPr>
        <w:t>Firma Electrónica</w:t>
      </w:r>
    </w:p>
    <w:p w14:paraId="03FE47C0" w14:textId="77777777" w:rsidR="00E3434F" w:rsidRPr="00946A9A" w:rsidRDefault="00E3434F" w:rsidP="00AF5D42">
      <w:pPr>
        <w:ind w:hanging="9"/>
        <w:jc w:val="both"/>
        <w:rPr>
          <w:rFonts w:ascii="Abadi" w:eastAsia="Arial Unicode MS" w:hAnsi="Abadi" w:cs="Arial"/>
          <w:b/>
          <w:sz w:val="21"/>
          <w:szCs w:val="21"/>
          <w:lang w:val="es-MX" w:eastAsia="es-MX"/>
        </w:rPr>
      </w:pPr>
      <w:r w:rsidRPr="00946A9A">
        <w:rPr>
          <w:rFonts w:ascii="Abadi" w:eastAsia="Arial Unicode MS" w:hAnsi="Abadi" w:cs="Arial"/>
          <w:b/>
          <w:sz w:val="21"/>
          <w:szCs w:val="21"/>
          <w:lang w:val="es-MX" w:eastAsia="es-MX"/>
        </w:rPr>
        <w:t xml:space="preserve">Dip. Armando Rangel Hernández </w:t>
      </w:r>
    </w:p>
    <w:p w14:paraId="4D13443A" w14:textId="77777777" w:rsidR="00E3434F" w:rsidRPr="00946A9A" w:rsidRDefault="00E3434F" w:rsidP="00AF5D42">
      <w:pPr>
        <w:ind w:firstLine="3"/>
        <w:jc w:val="both"/>
        <w:rPr>
          <w:rFonts w:ascii="Abadi" w:eastAsia="Arial Unicode MS" w:hAnsi="Abadi" w:cs="Arial"/>
          <w:b/>
          <w:sz w:val="21"/>
          <w:szCs w:val="21"/>
          <w:lang w:val="es-MX" w:eastAsia="es-MX"/>
        </w:rPr>
      </w:pPr>
      <w:r w:rsidRPr="00946A9A">
        <w:rPr>
          <w:rFonts w:ascii="Abadi" w:eastAsia="Arial Unicode MS" w:hAnsi="Abadi" w:cs="Arial"/>
          <w:b/>
          <w:sz w:val="21"/>
          <w:szCs w:val="21"/>
          <w:lang w:val="es-MX" w:eastAsia="es-MX"/>
        </w:rPr>
        <w:t>Secretario</w:t>
      </w:r>
    </w:p>
    <w:p w14:paraId="772D36BD" w14:textId="77777777" w:rsidR="00E3434F" w:rsidRPr="00946A9A" w:rsidRDefault="00E3434F" w:rsidP="00AF5D42">
      <w:pPr>
        <w:ind w:firstLine="3"/>
        <w:jc w:val="both"/>
        <w:rPr>
          <w:rFonts w:ascii="Abadi" w:eastAsia="Arial Unicode MS" w:hAnsi="Abadi" w:cs="Arial"/>
          <w:b/>
          <w:sz w:val="21"/>
          <w:szCs w:val="21"/>
          <w:lang w:val="es-MX" w:eastAsia="es-MX"/>
        </w:rPr>
      </w:pPr>
    </w:p>
    <w:p w14:paraId="1C99F06A" w14:textId="77777777" w:rsidR="00E3434F" w:rsidRPr="00946A9A" w:rsidRDefault="00E3434F" w:rsidP="00AF5D42">
      <w:pPr>
        <w:ind w:firstLine="3"/>
        <w:jc w:val="both"/>
        <w:rPr>
          <w:rFonts w:ascii="Abadi" w:eastAsia="Arial Unicode MS" w:hAnsi="Abadi" w:cs="Arial"/>
          <w:bCs/>
          <w:i/>
          <w:iCs/>
          <w:sz w:val="21"/>
          <w:szCs w:val="21"/>
          <w:lang w:val="es-MX" w:eastAsia="es-MX"/>
        </w:rPr>
      </w:pPr>
      <w:r w:rsidRPr="00946A9A">
        <w:rPr>
          <w:rFonts w:ascii="Abadi" w:eastAsia="Arial Unicode MS" w:hAnsi="Abadi" w:cs="Arial"/>
          <w:bCs/>
          <w:i/>
          <w:iCs/>
          <w:sz w:val="21"/>
          <w:szCs w:val="21"/>
          <w:lang w:val="es-MX" w:eastAsia="es-MX"/>
        </w:rPr>
        <w:t>Firma Electrónica</w:t>
      </w:r>
    </w:p>
    <w:p w14:paraId="58A8E0CF" w14:textId="77777777" w:rsidR="00E3434F" w:rsidRPr="00946A9A" w:rsidRDefault="00E3434F" w:rsidP="00AF5D42">
      <w:pPr>
        <w:ind w:hanging="9"/>
        <w:jc w:val="both"/>
        <w:rPr>
          <w:rFonts w:ascii="Abadi" w:eastAsia="Arial Unicode MS" w:hAnsi="Abadi" w:cs="Arial"/>
          <w:b/>
          <w:sz w:val="21"/>
          <w:szCs w:val="21"/>
          <w:lang w:val="es-MX" w:eastAsia="es-MX"/>
        </w:rPr>
      </w:pPr>
      <w:r w:rsidRPr="00946A9A">
        <w:rPr>
          <w:rFonts w:ascii="Abadi" w:eastAsia="Arial Unicode MS" w:hAnsi="Abadi" w:cs="Arial"/>
          <w:b/>
          <w:sz w:val="21"/>
          <w:szCs w:val="21"/>
          <w:lang w:val="es-MX" w:eastAsia="es-MX"/>
        </w:rPr>
        <w:t>Dip. Lilia Margarita Rionda Salas</w:t>
      </w:r>
    </w:p>
    <w:p w14:paraId="61C537EB" w14:textId="77777777" w:rsidR="00E3434F" w:rsidRPr="00946A9A" w:rsidRDefault="00E3434F" w:rsidP="00AF5D42">
      <w:pPr>
        <w:ind w:firstLine="3"/>
        <w:jc w:val="both"/>
        <w:rPr>
          <w:rFonts w:ascii="Abadi" w:eastAsia="Arial Unicode MS" w:hAnsi="Abadi" w:cs="Arial"/>
          <w:b/>
          <w:sz w:val="21"/>
          <w:szCs w:val="21"/>
          <w:lang w:val="es-MX" w:eastAsia="es-MX"/>
        </w:rPr>
      </w:pPr>
      <w:r w:rsidRPr="00946A9A">
        <w:rPr>
          <w:rFonts w:ascii="Abadi" w:eastAsia="Arial Unicode MS" w:hAnsi="Abadi" w:cs="Arial"/>
          <w:b/>
          <w:sz w:val="21"/>
          <w:szCs w:val="21"/>
          <w:lang w:val="es-MX" w:eastAsia="es-MX"/>
        </w:rPr>
        <w:t>Vocal</w:t>
      </w:r>
    </w:p>
    <w:p w14:paraId="65FF2097" w14:textId="77777777" w:rsidR="00E3434F" w:rsidRPr="00946A9A" w:rsidRDefault="00E3434F" w:rsidP="00AF5D42">
      <w:pPr>
        <w:ind w:firstLine="3"/>
        <w:jc w:val="both"/>
        <w:rPr>
          <w:rFonts w:ascii="Abadi" w:eastAsia="Arial Unicode MS" w:hAnsi="Abadi" w:cs="Arial"/>
          <w:b/>
          <w:sz w:val="21"/>
          <w:szCs w:val="21"/>
          <w:lang w:val="es-MX" w:eastAsia="es-MX"/>
        </w:rPr>
      </w:pPr>
    </w:p>
    <w:p w14:paraId="0792221E" w14:textId="77777777" w:rsidR="00E3434F" w:rsidRPr="00946A9A" w:rsidRDefault="00E3434F" w:rsidP="00AF5D42">
      <w:pPr>
        <w:ind w:firstLine="3"/>
        <w:jc w:val="both"/>
        <w:rPr>
          <w:rFonts w:ascii="Abadi" w:eastAsia="Arial Unicode MS" w:hAnsi="Abadi" w:cs="Arial"/>
          <w:bCs/>
          <w:i/>
          <w:iCs/>
          <w:sz w:val="21"/>
          <w:szCs w:val="21"/>
          <w:lang w:val="es-MX" w:eastAsia="es-MX"/>
        </w:rPr>
      </w:pPr>
      <w:r w:rsidRPr="00946A9A">
        <w:rPr>
          <w:rFonts w:ascii="Abadi" w:eastAsia="Arial Unicode MS" w:hAnsi="Abadi" w:cs="Arial"/>
          <w:bCs/>
          <w:i/>
          <w:iCs/>
          <w:sz w:val="21"/>
          <w:szCs w:val="21"/>
          <w:lang w:val="es-MX" w:eastAsia="es-MX"/>
        </w:rPr>
        <w:t>Firma Electrónica</w:t>
      </w:r>
    </w:p>
    <w:p w14:paraId="0C338389" w14:textId="77777777" w:rsidR="00E3434F" w:rsidRPr="00946A9A" w:rsidRDefault="00E3434F" w:rsidP="00AF5D42">
      <w:pPr>
        <w:jc w:val="both"/>
        <w:rPr>
          <w:rFonts w:ascii="Abadi" w:eastAsia="Arial Unicode MS" w:hAnsi="Abadi" w:cs="Arial"/>
          <w:b/>
          <w:sz w:val="21"/>
          <w:szCs w:val="21"/>
          <w:lang w:val="es-MX" w:eastAsia="es-MX"/>
        </w:rPr>
      </w:pPr>
      <w:r w:rsidRPr="00946A9A">
        <w:rPr>
          <w:rFonts w:ascii="Abadi" w:eastAsia="Arial Unicode MS" w:hAnsi="Abadi" w:cs="Arial"/>
          <w:b/>
          <w:sz w:val="21"/>
          <w:szCs w:val="21"/>
          <w:lang w:val="es-MX" w:eastAsia="es-MX"/>
        </w:rPr>
        <w:t>Dip. Yulma Rocha Aguilar</w:t>
      </w:r>
    </w:p>
    <w:p w14:paraId="2F49DFCF" w14:textId="77777777" w:rsidR="00E3434F" w:rsidRPr="00946A9A" w:rsidRDefault="00E3434F" w:rsidP="00AF5D42">
      <w:pPr>
        <w:ind w:firstLine="3"/>
        <w:jc w:val="both"/>
        <w:rPr>
          <w:rFonts w:ascii="Abadi" w:eastAsia="Arial Unicode MS" w:hAnsi="Abadi" w:cs="Arial"/>
          <w:b/>
          <w:sz w:val="21"/>
          <w:szCs w:val="21"/>
          <w:lang w:val="es-MX" w:eastAsia="es-MX"/>
        </w:rPr>
      </w:pPr>
      <w:r w:rsidRPr="00946A9A">
        <w:rPr>
          <w:rFonts w:ascii="Abadi" w:eastAsia="Arial Unicode MS" w:hAnsi="Abadi" w:cs="Arial"/>
          <w:b/>
          <w:sz w:val="21"/>
          <w:szCs w:val="21"/>
          <w:lang w:val="es-MX" w:eastAsia="es-MX"/>
        </w:rPr>
        <w:t>Vocal</w:t>
      </w:r>
    </w:p>
    <w:p w14:paraId="401BD527" w14:textId="77777777" w:rsidR="00E3434F" w:rsidRPr="00946A9A" w:rsidRDefault="00E3434F" w:rsidP="00AF5D42">
      <w:pPr>
        <w:ind w:firstLine="3"/>
        <w:jc w:val="both"/>
        <w:rPr>
          <w:rFonts w:ascii="Abadi" w:eastAsia="Arial Unicode MS" w:hAnsi="Abadi" w:cs="Arial"/>
          <w:b/>
          <w:sz w:val="21"/>
          <w:szCs w:val="21"/>
          <w:lang w:val="es-MX" w:eastAsia="es-MX"/>
        </w:rPr>
      </w:pPr>
    </w:p>
    <w:p w14:paraId="06CD018D" w14:textId="77777777" w:rsidR="00E3434F" w:rsidRPr="00946A9A" w:rsidRDefault="00E3434F" w:rsidP="00AF5D42">
      <w:pPr>
        <w:ind w:firstLine="3"/>
        <w:jc w:val="both"/>
        <w:rPr>
          <w:rFonts w:ascii="Abadi" w:eastAsia="Arial Unicode MS" w:hAnsi="Abadi" w:cs="Arial"/>
          <w:bCs/>
          <w:i/>
          <w:iCs/>
          <w:sz w:val="21"/>
          <w:szCs w:val="21"/>
          <w:lang w:val="es-MX" w:eastAsia="es-MX"/>
        </w:rPr>
      </w:pPr>
      <w:r w:rsidRPr="00946A9A">
        <w:rPr>
          <w:rFonts w:ascii="Abadi" w:eastAsia="Arial Unicode MS" w:hAnsi="Abadi" w:cs="Arial"/>
          <w:bCs/>
          <w:i/>
          <w:iCs/>
          <w:sz w:val="21"/>
          <w:szCs w:val="21"/>
          <w:lang w:val="es-MX" w:eastAsia="es-MX"/>
        </w:rPr>
        <w:t>Firma Electrónica</w:t>
      </w:r>
    </w:p>
    <w:p w14:paraId="01C14389" w14:textId="248957B7" w:rsidR="00E3434F" w:rsidRDefault="00E3434F" w:rsidP="00AF5D42">
      <w:pPr>
        <w:ind w:hanging="9"/>
        <w:jc w:val="both"/>
        <w:rPr>
          <w:rFonts w:ascii="Abadi" w:eastAsia="Arial Unicode MS" w:hAnsi="Abadi" w:cs="Arial"/>
          <w:b/>
          <w:sz w:val="21"/>
          <w:szCs w:val="21"/>
          <w:lang w:val="es-MX" w:eastAsia="es-MX"/>
        </w:rPr>
      </w:pPr>
      <w:r w:rsidRPr="00946A9A">
        <w:rPr>
          <w:rFonts w:ascii="Abadi" w:eastAsia="Arial Unicode MS" w:hAnsi="Abadi" w:cs="Arial"/>
          <w:b/>
          <w:sz w:val="21"/>
          <w:szCs w:val="21"/>
          <w:lang w:val="es-MX" w:eastAsia="es-MX"/>
        </w:rPr>
        <w:t>Dip. Irma Leticia González Sánchez</w:t>
      </w:r>
    </w:p>
    <w:p w14:paraId="64262BB5" w14:textId="77777777" w:rsidR="006F36D1" w:rsidRPr="00946A9A" w:rsidRDefault="006F36D1" w:rsidP="00AF5D42">
      <w:pPr>
        <w:ind w:hanging="9"/>
        <w:jc w:val="both"/>
        <w:rPr>
          <w:rFonts w:ascii="Abadi" w:eastAsia="Arial Unicode MS" w:hAnsi="Abadi" w:cs="Arial"/>
          <w:b/>
          <w:sz w:val="21"/>
          <w:szCs w:val="21"/>
          <w:lang w:val="es-MX" w:eastAsia="es-MX"/>
        </w:rPr>
      </w:pPr>
    </w:p>
    <w:p w14:paraId="6E4892EB" w14:textId="09EEF012" w:rsidR="00E3434F" w:rsidRDefault="00E3434F" w:rsidP="00AF5D42">
      <w:pPr>
        <w:ind w:firstLine="3"/>
        <w:jc w:val="both"/>
        <w:rPr>
          <w:rFonts w:ascii="Abadi" w:eastAsia="Arial Unicode MS" w:hAnsi="Abadi" w:cs="Arial"/>
          <w:b/>
          <w:sz w:val="21"/>
          <w:szCs w:val="21"/>
          <w:lang w:val="es-MX" w:eastAsia="es-MX"/>
        </w:rPr>
      </w:pPr>
      <w:r w:rsidRPr="00946A9A">
        <w:rPr>
          <w:rFonts w:ascii="Abadi" w:eastAsia="Arial Unicode MS" w:hAnsi="Abadi" w:cs="Arial"/>
          <w:b/>
          <w:sz w:val="21"/>
          <w:szCs w:val="21"/>
          <w:lang w:val="es-MX" w:eastAsia="es-MX"/>
        </w:rPr>
        <w:t>Vocal</w:t>
      </w:r>
    </w:p>
    <w:p w14:paraId="2E7CAA9F" w14:textId="7FAA658F" w:rsidR="001F4153" w:rsidRDefault="001F4153" w:rsidP="00AF5D42">
      <w:pPr>
        <w:ind w:firstLine="3"/>
        <w:jc w:val="both"/>
        <w:rPr>
          <w:rFonts w:ascii="Abadi" w:eastAsia="Arial Unicode MS" w:hAnsi="Abadi" w:cs="Arial"/>
          <w:b/>
          <w:sz w:val="21"/>
          <w:szCs w:val="21"/>
          <w:lang w:val="es-MX" w:eastAsia="es-MX"/>
        </w:rPr>
      </w:pPr>
    </w:p>
    <w:p w14:paraId="74157170" w14:textId="02712361" w:rsidR="001F4153" w:rsidRDefault="001F4153" w:rsidP="001F4153">
      <w:pPr>
        <w:ind w:firstLine="708"/>
        <w:jc w:val="both"/>
        <w:rPr>
          <w:rFonts w:ascii="Abadi" w:hAnsi="Abadi"/>
          <w:sz w:val="21"/>
          <w:szCs w:val="21"/>
        </w:rPr>
      </w:pPr>
      <w:r w:rsidRPr="00222137">
        <w:rPr>
          <w:rFonts w:ascii="Abadi" w:hAnsi="Abadi"/>
          <w:b/>
          <w:bCs/>
          <w:sz w:val="21"/>
          <w:szCs w:val="21"/>
        </w:rPr>
        <w:t>- El Presidente.-</w:t>
      </w:r>
      <w:r>
        <w:rPr>
          <w:rFonts w:ascii="Abadi" w:hAnsi="Abadi"/>
          <w:sz w:val="21"/>
          <w:szCs w:val="21"/>
        </w:rPr>
        <w:t xml:space="preserve"> S</w:t>
      </w:r>
      <w:r w:rsidRPr="006813AA">
        <w:rPr>
          <w:rFonts w:ascii="Abadi" w:hAnsi="Abadi"/>
          <w:sz w:val="21"/>
          <w:szCs w:val="21"/>
        </w:rPr>
        <w:t xml:space="preserve">e procede someter a discusión y </w:t>
      </w:r>
      <w:r>
        <w:rPr>
          <w:rFonts w:ascii="Abadi" w:hAnsi="Abadi"/>
          <w:sz w:val="21"/>
          <w:szCs w:val="21"/>
        </w:rPr>
        <w:t>el dictamen suscrito p</w:t>
      </w:r>
      <w:r w:rsidRPr="006813AA">
        <w:rPr>
          <w:rFonts w:ascii="Abadi" w:hAnsi="Abadi"/>
          <w:sz w:val="21"/>
          <w:szCs w:val="21"/>
        </w:rPr>
        <w:t xml:space="preserve">or la </w:t>
      </w:r>
      <w:r>
        <w:rPr>
          <w:rFonts w:ascii="Abadi" w:hAnsi="Abadi"/>
          <w:sz w:val="21"/>
          <w:szCs w:val="21"/>
        </w:rPr>
        <w:t>C</w:t>
      </w:r>
      <w:r w:rsidRPr="006813AA">
        <w:rPr>
          <w:rFonts w:ascii="Abadi" w:hAnsi="Abadi"/>
          <w:sz w:val="21"/>
          <w:szCs w:val="21"/>
        </w:rPr>
        <w:t xml:space="preserve">omisión de </w:t>
      </w:r>
      <w:r>
        <w:rPr>
          <w:rFonts w:ascii="Abadi" w:hAnsi="Abadi"/>
          <w:sz w:val="21"/>
          <w:szCs w:val="21"/>
        </w:rPr>
        <w:t>E</w:t>
      </w:r>
      <w:r w:rsidRPr="006813AA">
        <w:rPr>
          <w:rFonts w:ascii="Abadi" w:hAnsi="Abadi"/>
          <w:sz w:val="21"/>
          <w:szCs w:val="21"/>
        </w:rPr>
        <w:t>ducación ciencia y tecnología y cultura relativo al punto 43 de nuestra orden del día</w:t>
      </w:r>
      <w:r>
        <w:rPr>
          <w:rFonts w:ascii="Abadi" w:hAnsi="Abadi"/>
          <w:sz w:val="21"/>
          <w:szCs w:val="21"/>
        </w:rPr>
        <w:t>.</w:t>
      </w:r>
    </w:p>
    <w:p w14:paraId="4966F536" w14:textId="77777777" w:rsidR="001F4153" w:rsidRDefault="001F4153" w:rsidP="001F4153">
      <w:pPr>
        <w:ind w:firstLine="708"/>
        <w:jc w:val="both"/>
        <w:rPr>
          <w:rFonts w:ascii="Abadi" w:hAnsi="Abadi"/>
          <w:sz w:val="21"/>
          <w:szCs w:val="21"/>
        </w:rPr>
      </w:pPr>
    </w:p>
    <w:p w14:paraId="75ADBE6F" w14:textId="0DDA0292" w:rsidR="001F4153" w:rsidRDefault="001F4153" w:rsidP="001F4153">
      <w:pPr>
        <w:jc w:val="both"/>
        <w:rPr>
          <w:rFonts w:ascii="Abadi" w:hAnsi="Abadi"/>
          <w:sz w:val="21"/>
          <w:szCs w:val="21"/>
        </w:rPr>
      </w:pPr>
      <w:r>
        <w:rPr>
          <w:rFonts w:ascii="Abadi" w:hAnsi="Abadi"/>
          <w:sz w:val="21"/>
          <w:szCs w:val="21"/>
        </w:rPr>
        <w:tab/>
        <w:t>- M</w:t>
      </w:r>
      <w:r w:rsidRPr="006813AA">
        <w:rPr>
          <w:rFonts w:ascii="Abadi" w:hAnsi="Abadi"/>
          <w:sz w:val="21"/>
          <w:szCs w:val="21"/>
        </w:rPr>
        <w:t>e permito informar que previamente se ha inscrito la diputada Kat</w:t>
      </w:r>
      <w:r>
        <w:rPr>
          <w:rFonts w:ascii="Abadi" w:hAnsi="Abadi"/>
          <w:sz w:val="21"/>
          <w:szCs w:val="21"/>
        </w:rPr>
        <w:t>ya</w:t>
      </w:r>
      <w:r w:rsidRPr="006813AA">
        <w:rPr>
          <w:rFonts w:ascii="Abadi" w:hAnsi="Abadi"/>
          <w:sz w:val="21"/>
          <w:szCs w:val="21"/>
        </w:rPr>
        <w:t xml:space="preserve"> </w:t>
      </w:r>
      <w:r>
        <w:rPr>
          <w:rFonts w:ascii="Abadi" w:hAnsi="Abadi"/>
          <w:sz w:val="21"/>
          <w:szCs w:val="21"/>
        </w:rPr>
        <w:t>C</w:t>
      </w:r>
      <w:r w:rsidRPr="006813AA">
        <w:rPr>
          <w:rFonts w:ascii="Abadi" w:hAnsi="Abadi"/>
          <w:sz w:val="21"/>
          <w:szCs w:val="21"/>
        </w:rPr>
        <w:t>ristin</w:t>
      </w:r>
      <w:r>
        <w:rPr>
          <w:rFonts w:ascii="Abadi" w:hAnsi="Abadi"/>
          <w:sz w:val="21"/>
          <w:szCs w:val="21"/>
        </w:rPr>
        <w:t>a</w:t>
      </w:r>
      <w:r w:rsidRPr="006813AA">
        <w:rPr>
          <w:rFonts w:ascii="Abadi" w:hAnsi="Abadi"/>
          <w:sz w:val="21"/>
          <w:szCs w:val="21"/>
        </w:rPr>
        <w:t xml:space="preserve"> </w:t>
      </w:r>
      <w:r>
        <w:rPr>
          <w:rFonts w:ascii="Abadi" w:hAnsi="Abadi"/>
          <w:sz w:val="21"/>
          <w:szCs w:val="21"/>
        </w:rPr>
        <w:t>S</w:t>
      </w:r>
      <w:r w:rsidRPr="006813AA">
        <w:rPr>
          <w:rFonts w:ascii="Abadi" w:hAnsi="Abadi"/>
          <w:sz w:val="21"/>
          <w:szCs w:val="21"/>
        </w:rPr>
        <w:t xml:space="preserve">oto </w:t>
      </w:r>
      <w:r>
        <w:rPr>
          <w:rFonts w:ascii="Abadi" w:hAnsi="Abadi"/>
          <w:sz w:val="21"/>
          <w:szCs w:val="21"/>
        </w:rPr>
        <w:t>E</w:t>
      </w:r>
      <w:r w:rsidRPr="006813AA">
        <w:rPr>
          <w:rFonts w:ascii="Abadi" w:hAnsi="Abadi"/>
          <w:sz w:val="21"/>
          <w:szCs w:val="21"/>
        </w:rPr>
        <w:t>scamilla</w:t>
      </w:r>
      <w:r>
        <w:rPr>
          <w:rFonts w:ascii="Abadi" w:hAnsi="Abadi"/>
          <w:sz w:val="21"/>
          <w:szCs w:val="21"/>
        </w:rPr>
        <w:t>,</w:t>
      </w:r>
      <w:r w:rsidRPr="006813AA">
        <w:rPr>
          <w:rFonts w:ascii="Abadi" w:hAnsi="Abadi"/>
          <w:sz w:val="21"/>
          <w:szCs w:val="21"/>
        </w:rPr>
        <w:t xml:space="preserve"> para hablar a favor</w:t>
      </w:r>
      <w:r>
        <w:rPr>
          <w:rFonts w:ascii="Abadi" w:hAnsi="Abadi"/>
          <w:sz w:val="21"/>
          <w:szCs w:val="21"/>
        </w:rPr>
        <w:t>.</w:t>
      </w:r>
    </w:p>
    <w:p w14:paraId="7FA15F5F" w14:textId="77777777" w:rsidR="001F4153" w:rsidRDefault="001F4153" w:rsidP="001F4153">
      <w:pPr>
        <w:jc w:val="both"/>
        <w:rPr>
          <w:rFonts w:ascii="Abadi" w:hAnsi="Abadi"/>
          <w:sz w:val="21"/>
          <w:szCs w:val="21"/>
        </w:rPr>
      </w:pPr>
    </w:p>
    <w:p w14:paraId="256FA621" w14:textId="268C41C0" w:rsidR="001F4153" w:rsidRDefault="001F4153" w:rsidP="001F4153">
      <w:pPr>
        <w:ind w:firstLine="708"/>
        <w:jc w:val="both"/>
        <w:rPr>
          <w:rFonts w:ascii="Abadi" w:hAnsi="Abadi"/>
          <w:sz w:val="21"/>
          <w:szCs w:val="21"/>
        </w:rPr>
      </w:pPr>
      <w:r>
        <w:rPr>
          <w:rFonts w:ascii="Abadi" w:hAnsi="Abadi"/>
          <w:sz w:val="21"/>
          <w:szCs w:val="21"/>
        </w:rPr>
        <w:t xml:space="preserve">- Si alguna </w:t>
      </w:r>
      <w:r w:rsidRPr="006813AA">
        <w:rPr>
          <w:rFonts w:ascii="Abadi" w:hAnsi="Abadi"/>
          <w:sz w:val="21"/>
          <w:szCs w:val="21"/>
        </w:rPr>
        <w:t xml:space="preserve">otra diputada o algún diputado desea hacer </w:t>
      </w:r>
      <w:r>
        <w:rPr>
          <w:rFonts w:ascii="Abadi" w:hAnsi="Abadi"/>
          <w:sz w:val="21"/>
          <w:szCs w:val="21"/>
        </w:rPr>
        <w:t>u</w:t>
      </w:r>
      <w:r w:rsidRPr="006813AA">
        <w:rPr>
          <w:rFonts w:ascii="Abadi" w:hAnsi="Abadi"/>
          <w:sz w:val="21"/>
          <w:szCs w:val="21"/>
        </w:rPr>
        <w:t>so de la palabra en</w:t>
      </w:r>
      <w:r>
        <w:rPr>
          <w:rFonts w:ascii="Abadi" w:hAnsi="Abadi"/>
          <w:sz w:val="21"/>
          <w:szCs w:val="21"/>
        </w:rPr>
        <w:t xml:space="preserve"> pro o</w:t>
      </w:r>
      <w:r w:rsidRPr="006813AA">
        <w:rPr>
          <w:rFonts w:ascii="Abadi" w:hAnsi="Abadi"/>
          <w:sz w:val="21"/>
          <w:szCs w:val="21"/>
        </w:rPr>
        <w:t xml:space="preserve"> en contra </w:t>
      </w:r>
      <w:r>
        <w:rPr>
          <w:rFonts w:ascii="Abadi" w:hAnsi="Abadi"/>
          <w:sz w:val="21"/>
          <w:szCs w:val="21"/>
        </w:rPr>
        <w:t>manifiéstenlo a esta p</w:t>
      </w:r>
      <w:r w:rsidRPr="006813AA">
        <w:rPr>
          <w:rFonts w:ascii="Abadi" w:hAnsi="Abadi"/>
          <w:sz w:val="21"/>
          <w:szCs w:val="21"/>
        </w:rPr>
        <w:t>residencia indicando el sentido de su participación</w:t>
      </w:r>
      <w:r>
        <w:rPr>
          <w:rFonts w:ascii="Abadi" w:hAnsi="Abadi"/>
          <w:sz w:val="21"/>
          <w:szCs w:val="21"/>
        </w:rPr>
        <w:t xml:space="preserve">. ¿si diputada Irma Leticia González Sánchez? ¿para qué efectos? </w:t>
      </w:r>
      <w:r w:rsidRPr="00EC2DB9">
        <w:rPr>
          <w:rFonts w:ascii="Abadi" w:hAnsi="Abadi"/>
          <w:b/>
          <w:bCs/>
          <w:sz w:val="21"/>
          <w:szCs w:val="21"/>
        </w:rPr>
        <w:t>(Voz) diputada Irma Leticia González,</w:t>
      </w:r>
      <w:r>
        <w:rPr>
          <w:rFonts w:ascii="Abadi" w:hAnsi="Abadi"/>
          <w:sz w:val="21"/>
          <w:szCs w:val="21"/>
        </w:rPr>
        <w:t xml:space="preserve"> muchas gracias Presidente, para hablar a favor, d</w:t>
      </w:r>
      <w:r w:rsidRPr="006813AA">
        <w:rPr>
          <w:rFonts w:ascii="Abadi" w:hAnsi="Abadi"/>
          <w:sz w:val="21"/>
          <w:szCs w:val="21"/>
        </w:rPr>
        <w:t>iputad</w:t>
      </w:r>
      <w:r>
        <w:rPr>
          <w:rFonts w:ascii="Abadi" w:hAnsi="Abadi"/>
          <w:sz w:val="21"/>
          <w:szCs w:val="21"/>
        </w:rPr>
        <w:t>o.</w:t>
      </w:r>
    </w:p>
    <w:p w14:paraId="6DC3183F" w14:textId="77777777" w:rsidR="001F4153" w:rsidRDefault="001F4153" w:rsidP="001F4153">
      <w:pPr>
        <w:ind w:firstLine="708"/>
        <w:jc w:val="both"/>
        <w:rPr>
          <w:rFonts w:ascii="Abadi" w:hAnsi="Abadi"/>
          <w:sz w:val="21"/>
          <w:szCs w:val="21"/>
        </w:rPr>
      </w:pPr>
    </w:p>
    <w:p w14:paraId="474518EE" w14:textId="70861D3F" w:rsidR="001F4153" w:rsidRDefault="001F4153" w:rsidP="001F4153">
      <w:pPr>
        <w:ind w:firstLine="708"/>
        <w:jc w:val="both"/>
        <w:rPr>
          <w:rFonts w:ascii="Abadi" w:hAnsi="Abadi"/>
          <w:sz w:val="21"/>
          <w:szCs w:val="21"/>
        </w:rPr>
      </w:pPr>
      <w:r>
        <w:rPr>
          <w:rFonts w:ascii="Abadi" w:hAnsi="Abadi"/>
          <w:sz w:val="21"/>
          <w:szCs w:val="21"/>
        </w:rPr>
        <w:t>- S</w:t>
      </w:r>
      <w:r w:rsidRPr="006813AA">
        <w:rPr>
          <w:rFonts w:ascii="Abadi" w:hAnsi="Abadi"/>
          <w:sz w:val="21"/>
          <w:szCs w:val="21"/>
        </w:rPr>
        <w:t>e con</w:t>
      </w:r>
      <w:r>
        <w:rPr>
          <w:rFonts w:ascii="Abadi" w:hAnsi="Abadi"/>
          <w:sz w:val="21"/>
          <w:szCs w:val="21"/>
        </w:rPr>
        <w:t xml:space="preserve">cede el uso de la </w:t>
      </w:r>
      <w:r w:rsidRPr="006813AA">
        <w:rPr>
          <w:rFonts w:ascii="Abadi" w:hAnsi="Abadi"/>
          <w:sz w:val="21"/>
          <w:szCs w:val="21"/>
        </w:rPr>
        <w:t xml:space="preserve">palabra </w:t>
      </w:r>
      <w:r>
        <w:rPr>
          <w:rFonts w:ascii="Abadi" w:hAnsi="Abadi"/>
          <w:sz w:val="21"/>
          <w:szCs w:val="21"/>
        </w:rPr>
        <w:t xml:space="preserve">a </w:t>
      </w:r>
      <w:r w:rsidRPr="006813AA">
        <w:rPr>
          <w:rFonts w:ascii="Abadi" w:hAnsi="Abadi"/>
          <w:sz w:val="21"/>
          <w:szCs w:val="21"/>
        </w:rPr>
        <w:t>la diputada K</w:t>
      </w:r>
      <w:r>
        <w:rPr>
          <w:rFonts w:ascii="Abadi" w:hAnsi="Abadi"/>
          <w:sz w:val="21"/>
          <w:szCs w:val="21"/>
        </w:rPr>
        <w:t>atya</w:t>
      </w:r>
      <w:r w:rsidRPr="006813AA">
        <w:rPr>
          <w:rFonts w:ascii="Abadi" w:hAnsi="Abadi"/>
          <w:sz w:val="21"/>
          <w:szCs w:val="21"/>
        </w:rPr>
        <w:t xml:space="preserve"> </w:t>
      </w:r>
      <w:r>
        <w:rPr>
          <w:rFonts w:ascii="Abadi" w:hAnsi="Abadi"/>
          <w:sz w:val="21"/>
          <w:szCs w:val="21"/>
        </w:rPr>
        <w:t>C</w:t>
      </w:r>
      <w:r w:rsidRPr="006813AA">
        <w:rPr>
          <w:rFonts w:ascii="Abadi" w:hAnsi="Abadi"/>
          <w:sz w:val="21"/>
          <w:szCs w:val="21"/>
        </w:rPr>
        <w:t xml:space="preserve">ristina </w:t>
      </w:r>
      <w:r>
        <w:rPr>
          <w:rFonts w:ascii="Abadi" w:hAnsi="Abadi"/>
          <w:sz w:val="21"/>
          <w:szCs w:val="21"/>
        </w:rPr>
        <w:t>S</w:t>
      </w:r>
      <w:r w:rsidRPr="006813AA">
        <w:rPr>
          <w:rFonts w:ascii="Abadi" w:hAnsi="Abadi"/>
          <w:sz w:val="21"/>
          <w:szCs w:val="21"/>
        </w:rPr>
        <w:t xml:space="preserve">oto </w:t>
      </w:r>
      <w:r>
        <w:rPr>
          <w:rFonts w:ascii="Abadi" w:hAnsi="Abadi"/>
          <w:sz w:val="21"/>
          <w:szCs w:val="21"/>
        </w:rPr>
        <w:t>E</w:t>
      </w:r>
      <w:r w:rsidRPr="006813AA">
        <w:rPr>
          <w:rFonts w:ascii="Abadi" w:hAnsi="Abadi"/>
          <w:sz w:val="21"/>
          <w:szCs w:val="21"/>
        </w:rPr>
        <w:t>scamilla</w:t>
      </w:r>
      <w:r>
        <w:rPr>
          <w:rFonts w:ascii="Abadi" w:hAnsi="Abadi"/>
          <w:sz w:val="21"/>
          <w:szCs w:val="21"/>
        </w:rPr>
        <w:t>,</w:t>
      </w:r>
      <w:r w:rsidRPr="006813AA">
        <w:rPr>
          <w:rFonts w:ascii="Abadi" w:hAnsi="Abadi"/>
          <w:sz w:val="21"/>
          <w:szCs w:val="21"/>
        </w:rPr>
        <w:t xml:space="preserve"> hasta por 10 minut</w:t>
      </w:r>
      <w:r>
        <w:rPr>
          <w:rFonts w:ascii="Abadi" w:hAnsi="Abadi"/>
          <w:sz w:val="21"/>
          <w:szCs w:val="21"/>
        </w:rPr>
        <w:t>os.</w:t>
      </w:r>
    </w:p>
    <w:p w14:paraId="641CFD89" w14:textId="77777777" w:rsidR="001F4153" w:rsidRDefault="001F4153" w:rsidP="001F4153">
      <w:pPr>
        <w:ind w:firstLine="708"/>
        <w:jc w:val="both"/>
        <w:rPr>
          <w:rFonts w:ascii="Abadi" w:hAnsi="Abadi"/>
          <w:sz w:val="21"/>
          <w:szCs w:val="21"/>
        </w:rPr>
      </w:pPr>
    </w:p>
    <w:p w14:paraId="40DA2D3D" w14:textId="77777777" w:rsidR="001F4153" w:rsidRDefault="001F4153" w:rsidP="001F4153">
      <w:pPr>
        <w:jc w:val="both"/>
        <w:rPr>
          <w:rFonts w:ascii="Abadi" w:hAnsi="Abadi"/>
          <w:b/>
          <w:bCs/>
          <w:sz w:val="21"/>
          <w:szCs w:val="21"/>
        </w:rPr>
      </w:pPr>
      <w:r w:rsidRPr="00204CEB">
        <w:rPr>
          <w:rFonts w:ascii="Abadi" w:hAnsi="Abadi"/>
          <w:b/>
          <w:bCs/>
          <w:sz w:val="21"/>
          <w:szCs w:val="21"/>
        </w:rPr>
        <w:t>(Sube a tribuna la diputada Katya Cristina Soto Escamilla, para hablar a favor del dictamen)</w:t>
      </w:r>
    </w:p>
    <w:p w14:paraId="0D0661A4" w14:textId="77777777" w:rsidR="001F4153" w:rsidRDefault="001F4153" w:rsidP="001F4153">
      <w:pPr>
        <w:jc w:val="both"/>
        <w:rPr>
          <w:rFonts w:ascii="Abadi" w:hAnsi="Abadi"/>
          <w:b/>
          <w:bCs/>
          <w:sz w:val="21"/>
          <w:szCs w:val="21"/>
        </w:rPr>
      </w:pPr>
    </w:p>
    <w:p w14:paraId="48DC9A4F" w14:textId="3345AC36" w:rsidR="001F4153" w:rsidRPr="00204CEB" w:rsidRDefault="001F4153" w:rsidP="001F4153">
      <w:pPr>
        <w:jc w:val="both"/>
        <w:rPr>
          <w:rFonts w:ascii="Abadi" w:hAnsi="Abadi"/>
          <w:b/>
          <w:bCs/>
          <w:sz w:val="21"/>
          <w:szCs w:val="21"/>
        </w:rPr>
      </w:pPr>
      <w:r>
        <w:rPr>
          <w:noProof/>
        </w:rPr>
        <w:drawing>
          <wp:anchor distT="0" distB="0" distL="114300" distR="114300" simplePos="0" relativeHeight="251711488" behindDoc="1" locked="0" layoutInCell="1" allowOverlap="1" wp14:anchorId="010967F4" wp14:editId="1DD80F50">
            <wp:simplePos x="0" y="0"/>
            <wp:positionH relativeFrom="column">
              <wp:posOffset>685800</wp:posOffset>
            </wp:positionH>
            <wp:positionV relativeFrom="paragraph">
              <wp:posOffset>417830</wp:posOffset>
            </wp:positionV>
            <wp:extent cx="1503045" cy="784225"/>
            <wp:effectExtent l="247650" t="228600" r="249555" b="777875"/>
            <wp:wrapTight wrapText="bothSides">
              <wp:wrapPolygon edited="0">
                <wp:start x="-3559" y="-6296"/>
                <wp:lineTo x="-3559" y="42500"/>
                <wp:lineTo x="24913" y="42500"/>
                <wp:lineTo x="24913" y="-6296"/>
                <wp:lineTo x="-3559" y="-6296"/>
              </wp:wrapPolygon>
            </wp:wrapTight>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print">
                      <a:extLst>
                        <a:ext uri="{28A0092B-C50C-407E-A947-70E740481C1C}">
                          <a14:useLocalDpi xmlns:a14="http://schemas.microsoft.com/office/drawing/2010/main" val="0"/>
                        </a:ext>
                      </a:extLst>
                    </a:blip>
                    <a:srcRect b="7161"/>
                    <a:stretch/>
                  </pic:blipFill>
                  <pic:spPr bwMode="auto">
                    <a:xfrm>
                      <a:off x="0" y="0"/>
                      <a:ext cx="1503045" cy="78422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5723BD" w14:textId="77777777" w:rsidR="006C4693" w:rsidRDefault="006C4693" w:rsidP="001F4153">
      <w:pPr>
        <w:ind w:firstLine="708"/>
        <w:jc w:val="both"/>
        <w:rPr>
          <w:rFonts w:ascii="Abadi" w:hAnsi="Abadi"/>
          <w:sz w:val="21"/>
          <w:szCs w:val="21"/>
        </w:rPr>
      </w:pPr>
    </w:p>
    <w:p w14:paraId="52189859" w14:textId="3C4864FD" w:rsidR="001F4153" w:rsidRDefault="001F4153" w:rsidP="001F4153">
      <w:pPr>
        <w:ind w:firstLine="708"/>
        <w:jc w:val="both"/>
        <w:rPr>
          <w:rFonts w:ascii="Abadi" w:hAnsi="Abadi"/>
          <w:sz w:val="21"/>
          <w:szCs w:val="21"/>
        </w:rPr>
      </w:pPr>
      <w:r>
        <w:rPr>
          <w:rFonts w:ascii="Abadi" w:hAnsi="Abadi"/>
          <w:sz w:val="21"/>
          <w:szCs w:val="21"/>
        </w:rPr>
        <w:t>- M</w:t>
      </w:r>
      <w:r w:rsidRPr="006813AA">
        <w:rPr>
          <w:rFonts w:ascii="Abadi" w:hAnsi="Abadi"/>
          <w:sz w:val="21"/>
          <w:szCs w:val="21"/>
        </w:rPr>
        <w:t xml:space="preserve">uchas gracias con el permiso de las </w:t>
      </w:r>
      <w:r>
        <w:rPr>
          <w:rFonts w:ascii="Abadi" w:hAnsi="Abadi"/>
          <w:sz w:val="21"/>
          <w:szCs w:val="21"/>
        </w:rPr>
        <w:t xml:space="preserve">y </w:t>
      </w:r>
      <w:r w:rsidRPr="006813AA">
        <w:rPr>
          <w:rFonts w:ascii="Abadi" w:hAnsi="Abadi"/>
          <w:sz w:val="21"/>
          <w:szCs w:val="21"/>
        </w:rPr>
        <w:t xml:space="preserve">los diputados integrantes de la </w:t>
      </w:r>
      <w:r>
        <w:rPr>
          <w:rFonts w:ascii="Abadi" w:hAnsi="Abadi"/>
          <w:sz w:val="21"/>
          <w:szCs w:val="21"/>
        </w:rPr>
        <w:t>M</w:t>
      </w:r>
      <w:r w:rsidRPr="006813AA">
        <w:rPr>
          <w:rFonts w:ascii="Abadi" w:hAnsi="Abadi"/>
          <w:sz w:val="21"/>
          <w:szCs w:val="21"/>
        </w:rPr>
        <w:t xml:space="preserve">esa </w:t>
      </w:r>
      <w:r>
        <w:rPr>
          <w:rFonts w:ascii="Abadi" w:hAnsi="Abadi"/>
          <w:sz w:val="21"/>
          <w:szCs w:val="21"/>
        </w:rPr>
        <w:t>D</w:t>
      </w:r>
      <w:r w:rsidRPr="006813AA">
        <w:rPr>
          <w:rFonts w:ascii="Abadi" w:hAnsi="Abadi"/>
          <w:sz w:val="21"/>
          <w:szCs w:val="21"/>
        </w:rPr>
        <w:t>irectiva saludó a los medios de comunicación y a la ciudadanía que nos escucha y muy especialmente quier</w:t>
      </w:r>
      <w:r>
        <w:rPr>
          <w:rFonts w:ascii="Abadi" w:hAnsi="Abadi"/>
          <w:sz w:val="21"/>
          <w:szCs w:val="21"/>
        </w:rPr>
        <w:t>o agradecer hoy a la C</w:t>
      </w:r>
      <w:r w:rsidRPr="006813AA">
        <w:rPr>
          <w:rFonts w:ascii="Abadi" w:hAnsi="Abadi"/>
          <w:sz w:val="21"/>
          <w:szCs w:val="21"/>
        </w:rPr>
        <w:t xml:space="preserve">omisión de </w:t>
      </w:r>
      <w:r>
        <w:rPr>
          <w:rFonts w:ascii="Abadi" w:hAnsi="Abadi"/>
          <w:sz w:val="21"/>
          <w:szCs w:val="21"/>
        </w:rPr>
        <w:t>E</w:t>
      </w:r>
      <w:r w:rsidRPr="006813AA">
        <w:rPr>
          <w:rFonts w:ascii="Abadi" w:hAnsi="Abadi"/>
          <w:sz w:val="21"/>
          <w:szCs w:val="21"/>
        </w:rPr>
        <w:t>ducación por haber aprobado est</w:t>
      </w:r>
      <w:r>
        <w:rPr>
          <w:rFonts w:ascii="Abadi" w:hAnsi="Abadi"/>
          <w:sz w:val="21"/>
          <w:szCs w:val="21"/>
        </w:rPr>
        <w:t>e dictamen, muchísimas gracias.</w:t>
      </w:r>
    </w:p>
    <w:p w14:paraId="14996B65" w14:textId="6A02DDBA" w:rsidR="001F4153" w:rsidRDefault="001F4153" w:rsidP="001F4153">
      <w:pPr>
        <w:ind w:firstLine="708"/>
        <w:jc w:val="both"/>
        <w:rPr>
          <w:rFonts w:ascii="Abadi" w:hAnsi="Abadi"/>
          <w:sz w:val="21"/>
          <w:szCs w:val="21"/>
        </w:rPr>
      </w:pPr>
      <w:r w:rsidRPr="006813AA">
        <w:rPr>
          <w:rFonts w:ascii="Abadi" w:hAnsi="Abadi"/>
          <w:sz w:val="21"/>
          <w:szCs w:val="21"/>
        </w:rPr>
        <w:t xml:space="preserve"> </w:t>
      </w:r>
      <w:r>
        <w:rPr>
          <w:rFonts w:ascii="Abadi" w:hAnsi="Abadi"/>
          <w:sz w:val="21"/>
          <w:szCs w:val="21"/>
        </w:rPr>
        <w:t xml:space="preserve">- Quiero decirles que este dictamen implica, por supuesto el tema de la </w:t>
      </w:r>
      <w:r w:rsidRPr="006813AA">
        <w:rPr>
          <w:rFonts w:ascii="Abadi" w:hAnsi="Abadi"/>
          <w:sz w:val="21"/>
          <w:szCs w:val="21"/>
        </w:rPr>
        <w:t>familia hablar de crianza positiva</w:t>
      </w:r>
      <w:r>
        <w:rPr>
          <w:rFonts w:ascii="Abadi" w:hAnsi="Abadi"/>
          <w:sz w:val="21"/>
          <w:szCs w:val="21"/>
        </w:rPr>
        <w:t>,</w:t>
      </w:r>
      <w:r w:rsidRPr="006813AA">
        <w:rPr>
          <w:rFonts w:ascii="Abadi" w:hAnsi="Abadi"/>
          <w:sz w:val="21"/>
          <w:szCs w:val="21"/>
        </w:rPr>
        <w:t xml:space="preserve"> es donde encontramos que a los niños y a las niñas </w:t>
      </w:r>
      <w:r>
        <w:rPr>
          <w:rFonts w:ascii="Abadi" w:hAnsi="Abadi"/>
          <w:sz w:val="21"/>
          <w:szCs w:val="21"/>
        </w:rPr>
        <w:t xml:space="preserve">pueden aprender quienes son a desarrollar su personalidad </w:t>
      </w:r>
      <w:r w:rsidRPr="006813AA">
        <w:rPr>
          <w:rFonts w:ascii="Abadi" w:hAnsi="Abadi"/>
          <w:sz w:val="21"/>
          <w:szCs w:val="21"/>
        </w:rPr>
        <w:t>y a brindar sin duda es</w:t>
      </w:r>
      <w:r>
        <w:rPr>
          <w:rFonts w:ascii="Abadi" w:hAnsi="Abadi"/>
          <w:sz w:val="21"/>
          <w:szCs w:val="21"/>
        </w:rPr>
        <w:t xml:space="preserve">e apoyo emocional, que sale de ahí del seno de la familia, el ambiente en que crece nuestra niñez, define </w:t>
      </w:r>
      <w:r w:rsidRPr="006813AA">
        <w:rPr>
          <w:rFonts w:ascii="Abadi" w:hAnsi="Abadi"/>
          <w:sz w:val="21"/>
          <w:szCs w:val="21"/>
        </w:rPr>
        <w:t xml:space="preserve">elementos </w:t>
      </w:r>
      <w:r>
        <w:rPr>
          <w:rFonts w:ascii="Abadi" w:hAnsi="Abadi"/>
          <w:sz w:val="21"/>
          <w:szCs w:val="21"/>
        </w:rPr>
        <w:t>fundamentales para el</w:t>
      </w:r>
      <w:r w:rsidRPr="006813AA">
        <w:rPr>
          <w:rFonts w:ascii="Abadi" w:hAnsi="Abadi"/>
          <w:sz w:val="21"/>
          <w:szCs w:val="21"/>
        </w:rPr>
        <w:t xml:space="preserve"> resto </w:t>
      </w:r>
      <w:r>
        <w:rPr>
          <w:rFonts w:ascii="Abadi" w:hAnsi="Abadi"/>
          <w:sz w:val="21"/>
          <w:szCs w:val="21"/>
        </w:rPr>
        <w:t xml:space="preserve">de nuestras vidas </w:t>
      </w:r>
      <w:r w:rsidRPr="006813AA">
        <w:rPr>
          <w:rFonts w:ascii="Abadi" w:hAnsi="Abadi"/>
          <w:sz w:val="21"/>
          <w:szCs w:val="21"/>
        </w:rPr>
        <w:t xml:space="preserve">la violencia cometida dentro de un núcleo familiar contra las niñas y los niños es intolerable con esta comisión es que nosotros en el </w:t>
      </w:r>
      <w:r>
        <w:rPr>
          <w:rFonts w:ascii="Abadi" w:hAnsi="Abadi"/>
          <w:sz w:val="21"/>
          <w:szCs w:val="21"/>
        </w:rPr>
        <w:t>G</w:t>
      </w:r>
      <w:r w:rsidRPr="006813AA">
        <w:rPr>
          <w:rFonts w:ascii="Abadi" w:hAnsi="Abadi"/>
          <w:sz w:val="21"/>
          <w:szCs w:val="21"/>
        </w:rPr>
        <w:t xml:space="preserve">rupo </w:t>
      </w:r>
      <w:r>
        <w:rPr>
          <w:rFonts w:ascii="Abadi" w:hAnsi="Abadi"/>
          <w:sz w:val="21"/>
          <w:szCs w:val="21"/>
        </w:rPr>
        <w:t>P</w:t>
      </w:r>
      <w:r w:rsidRPr="006813AA">
        <w:rPr>
          <w:rFonts w:ascii="Abadi" w:hAnsi="Abadi"/>
          <w:sz w:val="21"/>
          <w:szCs w:val="21"/>
        </w:rPr>
        <w:t xml:space="preserve">arlamentario de </w:t>
      </w:r>
      <w:r>
        <w:rPr>
          <w:rFonts w:ascii="Abadi" w:hAnsi="Abadi"/>
          <w:sz w:val="21"/>
          <w:szCs w:val="21"/>
        </w:rPr>
        <w:t>A</w:t>
      </w:r>
      <w:r w:rsidRPr="006813AA">
        <w:rPr>
          <w:rFonts w:ascii="Abadi" w:hAnsi="Abadi"/>
          <w:sz w:val="21"/>
          <w:szCs w:val="21"/>
        </w:rPr>
        <w:t xml:space="preserve">cción </w:t>
      </w:r>
      <w:r>
        <w:rPr>
          <w:rFonts w:ascii="Abadi" w:hAnsi="Abadi"/>
          <w:sz w:val="21"/>
          <w:szCs w:val="21"/>
        </w:rPr>
        <w:t>N</w:t>
      </w:r>
      <w:r w:rsidRPr="006813AA">
        <w:rPr>
          <w:rFonts w:ascii="Abadi" w:hAnsi="Abadi"/>
          <w:sz w:val="21"/>
          <w:szCs w:val="21"/>
        </w:rPr>
        <w:t>acional propusimos esta iniciativa para formar y trabajar con una visión si</w:t>
      </w:r>
      <w:r>
        <w:rPr>
          <w:rFonts w:ascii="Abadi" w:hAnsi="Abadi"/>
          <w:sz w:val="21"/>
          <w:szCs w:val="21"/>
        </w:rPr>
        <w:t>empre de crianza positiva,</w:t>
      </w:r>
      <w:r w:rsidRPr="006813AA">
        <w:rPr>
          <w:rFonts w:ascii="Abadi" w:hAnsi="Abadi"/>
          <w:sz w:val="21"/>
          <w:szCs w:val="21"/>
        </w:rPr>
        <w:t xml:space="preserve"> debe estar basada en la razón en las sensibilidad</w:t>
      </w:r>
      <w:r>
        <w:rPr>
          <w:rFonts w:ascii="Abadi" w:hAnsi="Abadi"/>
          <w:sz w:val="21"/>
          <w:szCs w:val="21"/>
        </w:rPr>
        <w:t>,</w:t>
      </w:r>
      <w:r w:rsidRPr="006813AA">
        <w:rPr>
          <w:rFonts w:ascii="Abadi" w:hAnsi="Abadi"/>
          <w:sz w:val="21"/>
          <w:szCs w:val="21"/>
        </w:rPr>
        <w:t xml:space="preserve"> en el amor</w:t>
      </w:r>
      <w:r>
        <w:rPr>
          <w:rFonts w:ascii="Abadi" w:hAnsi="Abadi"/>
          <w:sz w:val="21"/>
          <w:szCs w:val="21"/>
        </w:rPr>
        <w:t>,</w:t>
      </w:r>
      <w:r w:rsidRPr="006813AA">
        <w:rPr>
          <w:rFonts w:ascii="Abadi" w:hAnsi="Abadi"/>
          <w:sz w:val="21"/>
          <w:szCs w:val="21"/>
        </w:rPr>
        <w:t xml:space="preserve"> en la igualdad</w:t>
      </w:r>
      <w:r>
        <w:rPr>
          <w:rFonts w:ascii="Abadi" w:hAnsi="Abadi"/>
          <w:sz w:val="21"/>
          <w:szCs w:val="21"/>
        </w:rPr>
        <w:t>,</w:t>
      </w:r>
      <w:r w:rsidRPr="006813AA">
        <w:rPr>
          <w:rFonts w:ascii="Abadi" w:hAnsi="Abadi"/>
          <w:sz w:val="21"/>
          <w:szCs w:val="21"/>
        </w:rPr>
        <w:t xml:space="preserve"> en la tolerancia y en el respeto</w:t>
      </w:r>
      <w:r>
        <w:rPr>
          <w:rFonts w:ascii="Abadi" w:hAnsi="Abadi"/>
          <w:sz w:val="21"/>
          <w:szCs w:val="21"/>
        </w:rPr>
        <w:t xml:space="preserve">, </w:t>
      </w:r>
      <w:r w:rsidRPr="006813AA">
        <w:rPr>
          <w:rFonts w:ascii="Abadi" w:hAnsi="Abadi"/>
          <w:sz w:val="21"/>
          <w:szCs w:val="21"/>
        </w:rPr>
        <w:t>las madre</w:t>
      </w:r>
      <w:r>
        <w:rPr>
          <w:rFonts w:ascii="Abadi" w:hAnsi="Abadi"/>
          <w:sz w:val="21"/>
          <w:szCs w:val="21"/>
        </w:rPr>
        <w:t>s,</w:t>
      </w:r>
      <w:r w:rsidRPr="006813AA">
        <w:rPr>
          <w:rFonts w:ascii="Abadi" w:hAnsi="Abadi"/>
          <w:sz w:val="21"/>
          <w:szCs w:val="21"/>
        </w:rPr>
        <w:t xml:space="preserve"> los padres </w:t>
      </w:r>
      <w:r>
        <w:rPr>
          <w:rFonts w:ascii="Abadi" w:hAnsi="Abadi"/>
          <w:sz w:val="21"/>
          <w:szCs w:val="21"/>
        </w:rPr>
        <w:t xml:space="preserve">y las personas </w:t>
      </w:r>
      <w:r w:rsidRPr="006813AA">
        <w:rPr>
          <w:rFonts w:ascii="Abadi" w:hAnsi="Abadi"/>
          <w:sz w:val="21"/>
          <w:szCs w:val="21"/>
        </w:rPr>
        <w:t>cuidador</w:t>
      </w:r>
      <w:r>
        <w:rPr>
          <w:rFonts w:ascii="Abadi" w:hAnsi="Abadi"/>
          <w:sz w:val="21"/>
          <w:szCs w:val="21"/>
        </w:rPr>
        <w:t>a</w:t>
      </w:r>
      <w:r w:rsidRPr="006813AA">
        <w:rPr>
          <w:rFonts w:ascii="Abadi" w:hAnsi="Abadi"/>
          <w:sz w:val="21"/>
          <w:szCs w:val="21"/>
        </w:rPr>
        <w:t xml:space="preserve">s tienen el enorme reto de dejar atrás los métodos violentos y autoritarios que generan un impacto negativo en el desarrollo de la niñez para dar paso a un buen trato pues estoy convencida que toda persona al cuidado de una niña o de un niño o un adolescente tiene la responsabilidad de crear un ambiente donde no encuentre lugar a ningún mal </w:t>
      </w:r>
      <w:r>
        <w:rPr>
          <w:rFonts w:ascii="Abadi" w:hAnsi="Abadi"/>
          <w:sz w:val="21"/>
          <w:szCs w:val="21"/>
        </w:rPr>
        <w:t xml:space="preserve">trato, </w:t>
      </w:r>
      <w:r w:rsidRPr="006813AA">
        <w:rPr>
          <w:rFonts w:ascii="Abadi" w:hAnsi="Abadi"/>
          <w:sz w:val="21"/>
          <w:szCs w:val="21"/>
        </w:rPr>
        <w:t>a ningún castigo físico</w:t>
      </w:r>
      <w:r>
        <w:rPr>
          <w:rFonts w:ascii="Abadi" w:hAnsi="Abadi"/>
          <w:sz w:val="21"/>
          <w:szCs w:val="21"/>
        </w:rPr>
        <w:t>,</w:t>
      </w:r>
      <w:r w:rsidRPr="006813AA">
        <w:rPr>
          <w:rFonts w:ascii="Abadi" w:hAnsi="Abadi"/>
          <w:sz w:val="21"/>
          <w:szCs w:val="21"/>
        </w:rPr>
        <w:t xml:space="preserve"> a ningún castigo corporal humillante</w:t>
      </w:r>
      <w:r>
        <w:rPr>
          <w:rFonts w:ascii="Abadi" w:hAnsi="Abadi"/>
          <w:sz w:val="21"/>
          <w:szCs w:val="21"/>
        </w:rPr>
        <w:t>,</w:t>
      </w:r>
      <w:r w:rsidRPr="006813AA">
        <w:rPr>
          <w:rFonts w:ascii="Abadi" w:hAnsi="Abadi"/>
          <w:sz w:val="21"/>
          <w:szCs w:val="21"/>
        </w:rPr>
        <w:t xml:space="preserve"> cosas crueles</w:t>
      </w:r>
      <w:r>
        <w:rPr>
          <w:rFonts w:ascii="Abadi" w:hAnsi="Abadi"/>
          <w:sz w:val="21"/>
          <w:szCs w:val="21"/>
        </w:rPr>
        <w:t>,</w:t>
      </w:r>
      <w:r w:rsidRPr="006813AA">
        <w:rPr>
          <w:rFonts w:ascii="Abadi" w:hAnsi="Abadi"/>
          <w:sz w:val="21"/>
          <w:szCs w:val="21"/>
        </w:rPr>
        <w:t xml:space="preserve"> amenazas</w:t>
      </w:r>
      <w:r>
        <w:rPr>
          <w:rFonts w:ascii="Abadi" w:hAnsi="Abadi"/>
          <w:sz w:val="21"/>
          <w:szCs w:val="21"/>
        </w:rPr>
        <w:t>,</w:t>
      </w:r>
      <w:r w:rsidRPr="006813AA">
        <w:rPr>
          <w:rFonts w:ascii="Abadi" w:hAnsi="Abadi"/>
          <w:sz w:val="21"/>
          <w:szCs w:val="21"/>
        </w:rPr>
        <w:t xml:space="preserve"> gritos</w:t>
      </w:r>
      <w:r>
        <w:rPr>
          <w:rFonts w:ascii="Abadi" w:hAnsi="Abadi"/>
          <w:sz w:val="21"/>
          <w:szCs w:val="21"/>
        </w:rPr>
        <w:t>,</w:t>
      </w:r>
      <w:r w:rsidRPr="006813AA">
        <w:rPr>
          <w:rFonts w:ascii="Abadi" w:hAnsi="Abadi"/>
          <w:sz w:val="21"/>
          <w:szCs w:val="21"/>
        </w:rPr>
        <w:t xml:space="preserve"> regaños o críticas atemorizan</w:t>
      </w:r>
      <w:r>
        <w:rPr>
          <w:rFonts w:ascii="Abadi" w:hAnsi="Abadi"/>
          <w:sz w:val="21"/>
          <w:szCs w:val="21"/>
        </w:rPr>
        <w:t>tes.</w:t>
      </w:r>
    </w:p>
    <w:p w14:paraId="0B012122" w14:textId="77777777" w:rsidR="006C4693" w:rsidRDefault="006C4693" w:rsidP="001F4153">
      <w:pPr>
        <w:ind w:firstLine="708"/>
        <w:jc w:val="both"/>
        <w:rPr>
          <w:rFonts w:ascii="Abadi" w:hAnsi="Abadi"/>
          <w:sz w:val="21"/>
          <w:szCs w:val="21"/>
        </w:rPr>
      </w:pPr>
    </w:p>
    <w:p w14:paraId="5CB9CC18" w14:textId="07D7C2CA" w:rsidR="001F4153" w:rsidRDefault="001F4153" w:rsidP="001F4153">
      <w:pPr>
        <w:jc w:val="both"/>
        <w:rPr>
          <w:rFonts w:ascii="Abadi" w:hAnsi="Abadi"/>
          <w:sz w:val="21"/>
          <w:szCs w:val="21"/>
        </w:rPr>
      </w:pPr>
      <w:r>
        <w:rPr>
          <w:rFonts w:ascii="Abadi" w:hAnsi="Abadi"/>
          <w:sz w:val="21"/>
          <w:szCs w:val="21"/>
        </w:rPr>
        <w:t xml:space="preserve">- Se que representa sin duda un gran desafío; </w:t>
      </w:r>
      <w:r w:rsidRPr="006813AA">
        <w:rPr>
          <w:rFonts w:ascii="Abadi" w:hAnsi="Abadi"/>
          <w:sz w:val="21"/>
          <w:szCs w:val="21"/>
        </w:rPr>
        <w:t>pero también sabemos que algunas personas en su infancia recibieron crianza basada en el miedo</w:t>
      </w:r>
      <w:r>
        <w:rPr>
          <w:rFonts w:ascii="Abadi" w:hAnsi="Abadi"/>
          <w:sz w:val="21"/>
          <w:szCs w:val="21"/>
        </w:rPr>
        <w:t>,</w:t>
      </w:r>
      <w:r w:rsidRPr="006813AA">
        <w:rPr>
          <w:rFonts w:ascii="Abadi" w:hAnsi="Abadi"/>
          <w:sz w:val="21"/>
          <w:szCs w:val="21"/>
        </w:rPr>
        <w:t xml:space="preserve"> recibieron crianza en el abuso o pueden creer que esto es el único camino que es la manera de educar</w:t>
      </w:r>
      <w:r>
        <w:rPr>
          <w:rFonts w:ascii="Abadi" w:hAnsi="Abadi"/>
          <w:sz w:val="21"/>
          <w:szCs w:val="21"/>
        </w:rPr>
        <w:t xml:space="preserve">, </w:t>
      </w:r>
      <w:r w:rsidRPr="006813AA">
        <w:rPr>
          <w:rFonts w:ascii="Abadi" w:hAnsi="Abadi"/>
          <w:sz w:val="21"/>
          <w:szCs w:val="21"/>
        </w:rPr>
        <w:t>pero no</w:t>
      </w:r>
      <w:r>
        <w:rPr>
          <w:rFonts w:ascii="Abadi" w:hAnsi="Abadi"/>
          <w:sz w:val="21"/>
          <w:szCs w:val="21"/>
        </w:rPr>
        <w:t>,</w:t>
      </w:r>
      <w:r w:rsidRPr="006813AA">
        <w:rPr>
          <w:rFonts w:ascii="Abadi" w:hAnsi="Abadi"/>
          <w:sz w:val="21"/>
          <w:szCs w:val="21"/>
        </w:rPr>
        <w:t xml:space="preserve"> no lo es</w:t>
      </w:r>
      <w:r>
        <w:rPr>
          <w:rFonts w:ascii="Abadi" w:hAnsi="Abadi"/>
          <w:sz w:val="21"/>
          <w:szCs w:val="21"/>
        </w:rPr>
        <w:t xml:space="preserve">, </w:t>
      </w:r>
      <w:r w:rsidRPr="006813AA">
        <w:rPr>
          <w:rFonts w:ascii="Abadi" w:hAnsi="Abadi"/>
          <w:sz w:val="21"/>
          <w:szCs w:val="21"/>
        </w:rPr>
        <w:t xml:space="preserve"> hoy con este dictamen debemos creer que es posible debemos creer que es posible tener una crianza positiva</w:t>
      </w:r>
      <w:r>
        <w:rPr>
          <w:rFonts w:ascii="Abadi" w:hAnsi="Abadi"/>
          <w:sz w:val="21"/>
          <w:szCs w:val="21"/>
        </w:rPr>
        <w:t>,</w:t>
      </w:r>
      <w:r w:rsidRPr="006813AA">
        <w:rPr>
          <w:rFonts w:ascii="Abadi" w:hAnsi="Abadi"/>
          <w:sz w:val="21"/>
          <w:szCs w:val="21"/>
        </w:rPr>
        <w:t xml:space="preserve"> por ello les pido su voto a favor del presente dictamen el cual es fundamental para una transformación de nuestra niñez para un mejor tejido social</w:t>
      </w:r>
      <w:r>
        <w:rPr>
          <w:rFonts w:ascii="Abadi" w:hAnsi="Abadi"/>
          <w:sz w:val="21"/>
          <w:szCs w:val="21"/>
        </w:rPr>
        <w:t xml:space="preserve"> y </w:t>
      </w:r>
      <w:r w:rsidRPr="006813AA">
        <w:rPr>
          <w:rFonts w:ascii="Abadi" w:hAnsi="Abadi"/>
          <w:sz w:val="21"/>
          <w:szCs w:val="21"/>
        </w:rPr>
        <w:t>para encontrar esos resultados que buscamos de prevención</w:t>
      </w:r>
      <w:r>
        <w:rPr>
          <w:rFonts w:ascii="Abadi" w:hAnsi="Abadi"/>
          <w:sz w:val="21"/>
          <w:szCs w:val="21"/>
        </w:rPr>
        <w:t>.</w:t>
      </w:r>
    </w:p>
    <w:p w14:paraId="7B5872B5" w14:textId="77777777" w:rsidR="006C4693" w:rsidRDefault="006C4693" w:rsidP="001F4153">
      <w:pPr>
        <w:jc w:val="both"/>
        <w:rPr>
          <w:rFonts w:ascii="Abadi" w:hAnsi="Abadi"/>
          <w:sz w:val="21"/>
          <w:szCs w:val="21"/>
        </w:rPr>
      </w:pPr>
    </w:p>
    <w:p w14:paraId="5ED79CB8" w14:textId="0B3573DB" w:rsidR="001F4153" w:rsidRDefault="001F4153" w:rsidP="001F4153">
      <w:pPr>
        <w:jc w:val="both"/>
        <w:rPr>
          <w:rFonts w:ascii="Abadi" w:hAnsi="Abadi"/>
          <w:sz w:val="21"/>
          <w:szCs w:val="21"/>
        </w:rPr>
      </w:pPr>
      <w:r>
        <w:rPr>
          <w:rFonts w:ascii="Abadi" w:hAnsi="Abadi"/>
          <w:sz w:val="21"/>
          <w:szCs w:val="21"/>
        </w:rPr>
        <w:t>- M</w:t>
      </w:r>
      <w:r w:rsidRPr="006813AA">
        <w:rPr>
          <w:rFonts w:ascii="Abadi" w:hAnsi="Abadi"/>
          <w:sz w:val="21"/>
          <w:szCs w:val="21"/>
        </w:rPr>
        <w:t>uchísimas gracias y es</w:t>
      </w:r>
      <w:r>
        <w:rPr>
          <w:rFonts w:ascii="Abadi" w:hAnsi="Abadi"/>
          <w:sz w:val="21"/>
          <w:szCs w:val="21"/>
        </w:rPr>
        <w:t xml:space="preserve"> cuanto </w:t>
      </w:r>
      <w:r w:rsidRPr="006813AA">
        <w:rPr>
          <w:rFonts w:ascii="Abadi" w:hAnsi="Abadi"/>
          <w:sz w:val="21"/>
          <w:szCs w:val="21"/>
        </w:rPr>
        <w:t>preside</w:t>
      </w:r>
      <w:r>
        <w:rPr>
          <w:rFonts w:ascii="Abadi" w:hAnsi="Abadi"/>
          <w:sz w:val="21"/>
          <w:szCs w:val="21"/>
        </w:rPr>
        <w:t>nte.</w:t>
      </w:r>
    </w:p>
    <w:p w14:paraId="1CAA53D4" w14:textId="77777777" w:rsidR="006C4693" w:rsidRPr="006813AA" w:rsidRDefault="006C4693" w:rsidP="001F4153">
      <w:pPr>
        <w:jc w:val="both"/>
        <w:rPr>
          <w:rFonts w:ascii="Abadi" w:hAnsi="Abadi"/>
          <w:sz w:val="21"/>
          <w:szCs w:val="21"/>
        </w:rPr>
      </w:pPr>
    </w:p>
    <w:p w14:paraId="10A41D2F" w14:textId="4D5EB97E" w:rsidR="001F4153" w:rsidRDefault="001F4153" w:rsidP="001F4153">
      <w:pPr>
        <w:ind w:firstLine="708"/>
        <w:jc w:val="both"/>
        <w:rPr>
          <w:rFonts w:ascii="Abadi" w:hAnsi="Abadi"/>
          <w:sz w:val="21"/>
          <w:szCs w:val="21"/>
        </w:rPr>
      </w:pPr>
      <w:r w:rsidRPr="00D53A2A">
        <w:rPr>
          <w:rFonts w:ascii="Abadi" w:hAnsi="Abadi"/>
          <w:b/>
          <w:bCs/>
          <w:sz w:val="21"/>
          <w:szCs w:val="21"/>
        </w:rPr>
        <w:t>- El Presidente.-</w:t>
      </w:r>
      <w:r>
        <w:rPr>
          <w:rFonts w:ascii="Abadi" w:hAnsi="Abadi"/>
          <w:sz w:val="21"/>
          <w:szCs w:val="21"/>
        </w:rPr>
        <w:t xml:space="preserve"> D</w:t>
      </w:r>
      <w:r w:rsidRPr="006813AA">
        <w:rPr>
          <w:rFonts w:ascii="Abadi" w:hAnsi="Abadi"/>
          <w:sz w:val="21"/>
          <w:szCs w:val="21"/>
        </w:rPr>
        <w:t>iputada Ka</w:t>
      </w:r>
      <w:r>
        <w:rPr>
          <w:rFonts w:ascii="Abadi" w:hAnsi="Abadi"/>
          <w:sz w:val="21"/>
          <w:szCs w:val="21"/>
        </w:rPr>
        <w:t>tya.</w:t>
      </w:r>
    </w:p>
    <w:p w14:paraId="45FEE992" w14:textId="77777777" w:rsidR="006C4693" w:rsidRDefault="006C4693" w:rsidP="001F4153">
      <w:pPr>
        <w:ind w:firstLine="708"/>
        <w:jc w:val="both"/>
        <w:rPr>
          <w:rFonts w:ascii="Abadi" w:hAnsi="Abadi"/>
          <w:sz w:val="21"/>
          <w:szCs w:val="21"/>
        </w:rPr>
      </w:pPr>
    </w:p>
    <w:p w14:paraId="03003B7E" w14:textId="5F5354DD" w:rsidR="001F4153" w:rsidRDefault="001F4153" w:rsidP="001F4153">
      <w:pPr>
        <w:ind w:firstLine="708"/>
        <w:jc w:val="both"/>
        <w:rPr>
          <w:rFonts w:ascii="Abadi" w:hAnsi="Abadi"/>
          <w:sz w:val="21"/>
          <w:szCs w:val="21"/>
        </w:rPr>
      </w:pPr>
      <w:r>
        <w:rPr>
          <w:rFonts w:ascii="Abadi" w:hAnsi="Abadi"/>
          <w:sz w:val="21"/>
          <w:szCs w:val="21"/>
        </w:rPr>
        <w:t>- Ah</w:t>
      </w:r>
      <w:r w:rsidRPr="006813AA">
        <w:rPr>
          <w:rFonts w:ascii="Abadi" w:hAnsi="Abadi"/>
          <w:sz w:val="21"/>
          <w:szCs w:val="21"/>
        </w:rPr>
        <w:t>ora es turno para nuestra compa</w:t>
      </w:r>
      <w:r>
        <w:rPr>
          <w:rFonts w:ascii="Abadi" w:hAnsi="Abadi"/>
          <w:sz w:val="21"/>
          <w:szCs w:val="21"/>
        </w:rPr>
        <w:t>ñera diputada</w:t>
      </w:r>
      <w:r w:rsidRPr="006813AA">
        <w:rPr>
          <w:rFonts w:ascii="Abadi" w:hAnsi="Abadi"/>
          <w:sz w:val="21"/>
          <w:szCs w:val="21"/>
        </w:rPr>
        <w:t xml:space="preserve"> Irma </w:t>
      </w:r>
      <w:r>
        <w:rPr>
          <w:rFonts w:ascii="Abadi" w:hAnsi="Abadi"/>
          <w:sz w:val="21"/>
          <w:szCs w:val="21"/>
        </w:rPr>
        <w:t>L</w:t>
      </w:r>
      <w:r w:rsidRPr="006813AA">
        <w:rPr>
          <w:rFonts w:ascii="Abadi" w:hAnsi="Abadi"/>
          <w:sz w:val="21"/>
          <w:szCs w:val="21"/>
        </w:rPr>
        <w:t xml:space="preserve">eticia González </w:t>
      </w:r>
      <w:r>
        <w:rPr>
          <w:rFonts w:ascii="Abadi" w:hAnsi="Abadi"/>
          <w:sz w:val="21"/>
          <w:szCs w:val="21"/>
        </w:rPr>
        <w:t>S</w:t>
      </w:r>
      <w:r w:rsidRPr="006813AA">
        <w:rPr>
          <w:rFonts w:ascii="Abadi" w:hAnsi="Abadi"/>
          <w:sz w:val="21"/>
          <w:szCs w:val="21"/>
        </w:rPr>
        <w:t>ánchez para hablar a favor hasta por 10 minutos</w:t>
      </w:r>
      <w:r>
        <w:rPr>
          <w:rFonts w:ascii="Abadi" w:hAnsi="Abadi"/>
          <w:sz w:val="21"/>
          <w:szCs w:val="21"/>
        </w:rPr>
        <w:t>.</w:t>
      </w:r>
    </w:p>
    <w:p w14:paraId="1AEB7F6C" w14:textId="77777777" w:rsidR="006C4693" w:rsidRDefault="006C4693" w:rsidP="001F4153">
      <w:pPr>
        <w:ind w:firstLine="708"/>
        <w:jc w:val="both"/>
        <w:rPr>
          <w:rFonts w:ascii="Abadi" w:hAnsi="Abadi"/>
          <w:sz w:val="21"/>
          <w:szCs w:val="21"/>
        </w:rPr>
      </w:pPr>
    </w:p>
    <w:p w14:paraId="3AF6F2B7" w14:textId="77777777" w:rsidR="001F4153" w:rsidRDefault="001F4153" w:rsidP="001F4153">
      <w:pPr>
        <w:pStyle w:val="Prrafodelista"/>
        <w:numPr>
          <w:ilvl w:val="0"/>
          <w:numId w:val="76"/>
        </w:numPr>
        <w:spacing w:after="160" w:line="259" w:lineRule="auto"/>
        <w:contextualSpacing/>
        <w:jc w:val="both"/>
        <w:rPr>
          <w:rFonts w:ascii="Abadi" w:hAnsi="Abadi"/>
          <w:sz w:val="21"/>
          <w:szCs w:val="21"/>
        </w:rPr>
      </w:pPr>
      <w:r w:rsidRPr="00D53A2A">
        <w:rPr>
          <w:rFonts w:ascii="Abadi" w:hAnsi="Abadi"/>
          <w:sz w:val="21"/>
          <w:szCs w:val="21"/>
        </w:rPr>
        <w:t>Adelante diputada</w:t>
      </w:r>
      <w:r>
        <w:rPr>
          <w:rFonts w:ascii="Abadi" w:hAnsi="Abadi"/>
          <w:sz w:val="21"/>
          <w:szCs w:val="21"/>
        </w:rPr>
        <w:t>.</w:t>
      </w:r>
    </w:p>
    <w:p w14:paraId="2ECA3B30" w14:textId="7E242855" w:rsidR="001F4153" w:rsidRPr="00AB1D88" w:rsidRDefault="001F4153" w:rsidP="001F4153">
      <w:pPr>
        <w:jc w:val="both"/>
        <w:rPr>
          <w:rFonts w:ascii="Abadi" w:hAnsi="Abadi"/>
          <w:b/>
          <w:bCs/>
          <w:sz w:val="21"/>
          <w:szCs w:val="21"/>
        </w:rPr>
      </w:pPr>
      <w:r w:rsidRPr="00AB1D88">
        <w:rPr>
          <w:rFonts w:ascii="Abadi" w:hAnsi="Abadi"/>
          <w:b/>
          <w:bCs/>
          <w:sz w:val="21"/>
          <w:szCs w:val="21"/>
        </w:rPr>
        <w:t xml:space="preserve">(Sube a tribuna la diputada </w:t>
      </w:r>
      <w:r w:rsidRPr="00CF559A">
        <w:rPr>
          <w:rFonts w:ascii="Abadi" w:hAnsi="Abadi"/>
          <w:b/>
          <w:bCs/>
          <w:sz w:val="21"/>
          <w:szCs w:val="21"/>
        </w:rPr>
        <w:t>Irma Leticia González Sánchez</w:t>
      </w:r>
      <w:r w:rsidRPr="00AB1D88">
        <w:rPr>
          <w:rFonts w:ascii="Abadi" w:hAnsi="Abadi"/>
          <w:b/>
          <w:bCs/>
          <w:sz w:val="21"/>
          <w:szCs w:val="21"/>
        </w:rPr>
        <w:t>, para hablar a favor del dictamen en referencia)</w:t>
      </w:r>
    </w:p>
    <w:p w14:paraId="1F4D6FB7" w14:textId="3EA40ABB" w:rsidR="001F4153" w:rsidRDefault="001F4153" w:rsidP="001F4153">
      <w:pPr>
        <w:jc w:val="both"/>
        <w:rPr>
          <w:rFonts w:ascii="Abadi" w:hAnsi="Abadi"/>
          <w:sz w:val="21"/>
          <w:szCs w:val="21"/>
        </w:rPr>
      </w:pPr>
    </w:p>
    <w:p w14:paraId="78C379B2" w14:textId="363C6BBF" w:rsidR="001F4153" w:rsidRDefault="006C4693" w:rsidP="001F4153">
      <w:pPr>
        <w:jc w:val="both"/>
        <w:rPr>
          <w:rFonts w:ascii="Abadi" w:hAnsi="Abadi"/>
          <w:sz w:val="21"/>
          <w:szCs w:val="21"/>
        </w:rPr>
      </w:pPr>
      <w:r>
        <w:rPr>
          <w:noProof/>
        </w:rPr>
        <w:drawing>
          <wp:anchor distT="0" distB="0" distL="114300" distR="114300" simplePos="0" relativeHeight="251712512" behindDoc="1" locked="0" layoutInCell="1" allowOverlap="1" wp14:anchorId="6778D830" wp14:editId="06AE49F7">
            <wp:simplePos x="0" y="0"/>
            <wp:positionH relativeFrom="column">
              <wp:posOffset>555625</wp:posOffset>
            </wp:positionH>
            <wp:positionV relativeFrom="paragraph">
              <wp:posOffset>396240</wp:posOffset>
            </wp:positionV>
            <wp:extent cx="1684655" cy="895350"/>
            <wp:effectExtent l="247650" t="228600" r="239395" b="819150"/>
            <wp:wrapTight wrapText="bothSides">
              <wp:wrapPolygon edited="0">
                <wp:start x="-3175" y="-5515"/>
                <wp:lineTo x="-3175" y="40902"/>
                <wp:lineTo x="24425" y="40902"/>
                <wp:lineTo x="24425" y="-5515"/>
                <wp:lineTo x="-3175" y="-5515"/>
              </wp:wrapPolygon>
            </wp:wrapTight>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cstate="print">
                      <a:extLst>
                        <a:ext uri="{28A0092B-C50C-407E-A947-70E740481C1C}">
                          <a14:useLocalDpi xmlns:a14="http://schemas.microsoft.com/office/drawing/2010/main" val="0"/>
                        </a:ext>
                      </a:extLst>
                    </a:blip>
                    <a:srcRect b="5425"/>
                    <a:stretch/>
                  </pic:blipFill>
                  <pic:spPr bwMode="auto">
                    <a:xfrm>
                      <a:off x="0" y="0"/>
                      <a:ext cx="1684655" cy="89535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20A708" w14:textId="77777777" w:rsidR="001F4153" w:rsidRPr="00AB1D88" w:rsidRDefault="001F4153" w:rsidP="001F4153">
      <w:pPr>
        <w:jc w:val="both"/>
        <w:rPr>
          <w:rFonts w:ascii="Abadi" w:hAnsi="Abadi"/>
          <w:sz w:val="21"/>
          <w:szCs w:val="21"/>
        </w:rPr>
      </w:pPr>
    </w:p>
    <w:p w14:paraId="45B4EA66" w14:textId="77777777" w:rsidR="001F4153" w:rsidRPr="006813AA" w:rsidRDefault="001F4153" w:rsidP="001F4153">
      <w:pPr>
        <w:jc w:val="both"/>
        <w:rPr>
          <w:rFonts w:ascii="Abadi" w:hAnsi="Abadi"/>
          <w:sz w:val="21"/>
          <w:szCs w:val="21"/>
        </w:rPr>
      </w:pPr>
    </w:p>
    <w:p w14:paraId="489114B6" w14:textId="46FE40A0" w:rsidR="001F4153" w:rsidRDefault="001F4153" w:rsidP="001F4153">
      <w:pPr>
        <w:jc w:val="both"/>
        <w:rPr>
          <w:rFonts w:ascii="Abadi" w:hAnsi="Abadi"/>
          <w:sz w:val="21"/>
          <w:szCs w:val="21"/>
        </w:rPr>
      </w:pPr>
      <w:r>
        <w:rPr>
          <w:rFonts w:ascii="Abadi" w:hAnsi="Abadi"/>
          <w:sz w:val="21"/>
          <w:szCs w:val="21"/>
        </w:rPr>
        <w:t>¡M</w:t>
      </w:r>
      <w:r w:rsidRPr="006813AA">
        <w:rPr>
          <w:rFonts w:ascii="Abadi" w:hAnsi="Abadi"/>
          <w:sz w:val="21"/>
          <w:szCs w:val="21"/>
        </w:rPr>
        <w:t>uchas gracias</w:t>
      </w:r>
      <w:r>
        <w:rPr>
          <w:rFonts w:ascii="Abadi" w:hAnsi="Abadi"/>
          <w:sz w:val="21"/>
          <w:szCs w:val="21"/>
        </w:rPr>
        <w:t>!</w:t>
      </w:r>
      <w:r w:rsidRPr="006813AA">
        <w:rPr>
          <w:rFonts w:ascii="Abadi" w:hAnsi="Abadi"/>
          <w:sz w:val="21"/>
          <w:szCs w:val="21"/>
        </w:rPr>
        <w:t xml:space="preserve"> Presidente con el permiso de la </w:t>
      </w:r>
      <w:r>
        <w:rPr>
          <w:rFonts w:ascii="Abadi" w:hAnsi="Abadi"/>
          <w:sz w:val="21"/>
          <w:szCs w:val="21"/>
        </w:rPr>
        <w:t>M</w:t>
      </w:r>
      <w:r w:rsidRPr="006813AA">
        <w:rPr>
          <w:rFonts w:ascii="Abadi" w:hAnsi="Abadi"/>
          <w:sz w:val="21"/>
          <w:szCs w:val="21"/>
        </w:rPr>
        <w:t xml:space="preserve">esa </w:t>
      </w:r>
      <w:r>
        <w:rPr>
          <w:rFonts w:ascii="Abadi" w:hAnsi="Abadi"/>
          <w:sz w:val="21"/>
          <w:szCs w:val="21"/>
        </w:rPr>
        <w:t>D</w:t>
      </w:r>
      <w:r w:rsidRPr="006813AA">
        <w:rPr>
          <w:rFonts w:ascii="Abadi" w:hAnsi="Abadi"/>
          <w:sz w:val="21"/>
          <w:szCs w:val="21"/>
        </w:rPr>
        <w:t xml:space="preserve">irectiva nuevamente de todos ustedes y </w:t>
      </w:r>
      <w:r>
        <w:rPr>
          <w:rFonts w:ascii="Abadi" w:hAnsi="Abadi"/>
          <w:sz w:val="21"/>
          <w:szCs w:val="21"/>
        </w:rPr>
        <w:t xml:space="preserve">quienes nos ven </w:t>
      </w:r>
      <w:r w:rsidRPr="006813AA">
        <w:rPr>
          <w:rFonts w:ascii="Abadi" w:hAnsi="Abadi"/>
          <w:sz w:val="21"/>
          <w:szCs w:val="21"/>
        </w:rPr>
        <w:t xml:space="preserve">también a través de las redes sociales y </w:t>
      </w:r>
      <w:r>
        <w:rPr>
          <w:rFonts w:ascii="Abadi" w:hAnsi="Abadi"/>
          <w:sz w:val="21"/>
          <w:szCs w:val="21"/>
        </w:rPr>
        <w:t xml:space="preserve">de </w:t>
      </w:r>
      <w:r w:rsidRPr="006813AA">
        <w:rPr>
          <w:rFonts w:ascii="Abadi" w:hAnsi="Abadi"/>
          <w:sz w:val="21"/>
          <w:szCs w:val="21"/>
        </w:rPr>
        <w:t>los medios electrónicos</w:t>
      </w:r>
      <w:r>
        <w:rPr>
          <w:rFonts w:ascii="Abadi" w:hAnsi="Abadi"/>
          <w:sz w:val="21"/>
          <w:szCs w:val="21"/>
        </w:rPr>
        <w:t>,</w:t>
      </w:r>
      <w:r w:rsidRPr="006813AA">
        <w:rPr>
          <w:rFonts w:ascii="Abadi" w:hAnsi="Abadi"/>
          <w:sz w:val="21"/>
          <w:szCs w:val="21"/>
        </w:rPr>
        <w:t xml:space="preserve"> muy buenas tardes nuevamente</w:t>
      </w:r>
      <w:r>
        <w:rPr>
          <w:rFonts w:ascii="Abadi" w:hAnsi="Abadi"/>
          <w:sz w:val="21"/>
          <w:szCs w:val="21"/>
        </w:rPr>
        <w:t>.</w:t>
      </w:r>
    </w:p>
    <w:p w14:paraId="2302037B" w14:textId="77777777" w:rsidR="006C4693" w:rsidRDefault="006C4693" w:rsidP="001F4153">
      <w:pPr>
        <w:jc w:val="both"/>
        <w:rPr>
          <w:rFonts w:ascii="Abadi" w:hAnsi="Abadi"/>
          <w:sz w:val="21"/>
          <w:szCs w:val="21"/>
        </w:rPr>
      </w:pPr>
    </w:p>
    <w:p w14:paraId="00D452CD" w14:textId="5DF25541" w:rsidR="001F4153" w:rsidRDefault="001F4153" w:rsidP="001F4153">
      <w:pPr>
        <w:jc w:val="both"/>
        <w:rPr>
          <w:rFonts w:ascii="Abadi" w:hAnsi="Abadi"/>
          <w:sz w:val="21"/>
          <w:szCs w:val="21"/>
        </w:rPr>
      </w:pPr>
      <w:r>
        <w:rPr>
          <w:rFonts w:ascii="Abadi" w:hAnsi="Abadi"/>
          <w:sz w:val="21"/>
          <w:szCs w:val="21"/>
        </w:rPr>
        <w:t>- Y</w:t>
      </w:r>
      <w:r w:rsidRPr="006813AA">
        <w:rPr>
          <w:rFonts w:ascii="Abadi" w:hAnsi="Abadi"/>
          <w:sz w:val="21"/>
          <w:szCs w:val="21"/>
        </w:rPr>
        <w:t xml:space="preserve"> s</w:t>
      </w:r>
      <w:r>
        <w:rPr>
          <w:rFonts w:ascii="Abadi" w:hAnsi="Abadi"/>
          <w:sz w:val="21"/>
          <w:szCs w:val="21"/>
        </w:rPr>
        <w:t>í,</w:t>
      </w:r>
      <w:r w:rsidRPr="006813AA">
        <w:rPr>
          <w:rFonts w:ascii="Abadi" w:hAnsi="Abadi"/>
          <w:sz w:val="21"/>
          <w:szCs w:val="21"/>
        </w:rPr>
        <w:t xml:space="preserve"> pues últimamente en la </w:t>
      </w:r>
      <w:r>
        <w:rPr>
          <w:rFonts w:ascii="Abadi" w:hAnsi="Abadi"/>
          <w:sz w:val="21"/>
          <w:szCs w:val="21"/>
        </w:rPr>
        <w:t>C</w:t>
      </w:r>
      <w:r w:rsidRPr="006813AA">
        <w:rPr>
          <w:rFonts w:ascii="Abadi" w:hAnsi="Abadi"/>
          <w:sz w:val="21"/>
          <w:szCs w:val="21"/>
        </w:rPr>
        <w:t xml:space="preserve">omisión de </w:t>
      </w:r>
      <w:r>
        <w:rPr>
          <w:rFonts w:ascii="Abadi" w:hAnsi="Abadi"/>
          <w:sz w:val="21"/>
          <w:szCs w:val="21"/>
        </w:rPr>
        <w:t>E</w:t>
      </w:r>
      <w:r w:rsidRPr="006813AA">
        <w:rPr>
          <w:rFonts w:ascii="Abadi" w:hAnsi="Abadi"/>
          <w:sz w:val="21"/>
          <w:szCs w:val="21"/>
        </w:rPr>
        <w:t>ducación nos hemos puesto de acuerdo hemos con</w:t>
      </w:r>
      <w:r>
        <w:rPr>
          <w:rFonts w:ascii="Abadi" w:hAnsi="Abadi"/>
          <w:sz w:val="21"/>
          <w:szCs w:val="21"/>
        </w:rPr>
        <w:t>sensado</w:t>
      </w:r>
      <w:r w:rsidRPr="006813AA">
        <w:rPr>
          <w:rFonts w:ascii="Abadi" w:hAnsi="Abadi"/>
          <w:sz w:val="21"/>
          <w:szCs w:val="21"/>
        </w:rPr>
        <w:t xml:space="preserve"> y sin duda todos estamos a favor de la educación y es por ello que el día de hoy pues vengo a hablar a favor de este dictamen que presenta mi compañera </w:t>
      </w:r>
      <w:r>
        <w:rPr>
          <w:rFonts w:ascii="Abadi" w:hAnsi="Abadi"/>
          <w:sz w:val="21"/>
          <w:szCs w:val="21"/>
        </w:rPr>
        <w:t xml:space="preserve">y </w:t>
      </w:r>
      <w:r w:rsidRPr="006813AA">
        <w:rPr>
          <w:rFonts w:ascii="Abadi" w:hAnsi="Abadi"/>
          <w:sz w:val="21"/>
          <w:szCs w:val="21"/>
        </w:rPr>
        <w:t xml:space="preserve">con mucho gusto lo hago porque es algo que a lo mejor </w:t>
      </w:r>
      <w:r>
        <w:rPr>
          <w:rFonts w:ascii="Abadi" w:hAnsi="Abadi"/>
          <w:sz w:val="21"/>
          <w:szCs w:val="21"/>
        </w:rPr>
        <w:t xml:space="preserve">lo </w:t>
      </w:r>
      <w:r w:rsidRPr="006813AA">
        <w:rPr>
          <w:rFonts w:ascii="Abadi" w:hAnsi="Abadi"/>
          <w:sz w:val="21"/>
          <w:szCs w:val="21"/>
        </w:rPr>
        <w:t>damos por hecho</w:t>
      </w:r>
      <w:r>
        <w:rPr>
          <w:rFonts w:ascii="Abadi" w:hAnsi="Abadi"/>
          <w:sz w:val="21"/>
          <w:szCs w:val="21"/>
        </w:rPr>
        <w:t>,</w:t>
      </w:r>
      <w:r w:rsidRPr="006813AA">
        <w:rPr>
          <w:rFonts w:ascii="Abadi" w:hAnsi="Abadi"/>
          <w:sz w:val="21"/>
          <w:szCs w:val="21"/>
        </w:rPr>
        <w:t xml:space="preserve"> es algo que </w:t>
      </w:r>
      <w:r>
        <w:rPr>
          <w:rFonts w:ascii="Abadi" w:hAnsi="Abadi"/>
          <w:sz w:val="21"/>
          <w:szCs w:val="21"/>
        </w:rPr>
        <w:t xml:space="preserve">a lo mejor lo pasamos </w:t>
      </w:r>
      <w:r w:rsidRPr="006813AA">
        <w:rPr>
          <w:rFonts w:ascii="Abadi" w:hAnsi="Abadi"/>
          <w:sz w:val="21"/>
          <w:szCs w:val="21"/>
        </w:rPr>
        <w:t>desapercibido y que todavía lo pasan por desapercibido en muchas familias y creen que es una manera normal de educar o de</w:t>
      </w:r>
      <w:r>
        <w:rPr>
          <w:rFonts w:ascii="Abadi" w:hAnsi="Abadi"/>
          <w:sz w:val="21"/>
          <w:szCs w:val="21"/>
        </w:rPr>
        <w:t xml:space="preserve">, o de, </w:t>
      </w:r>
      <w:r w:rsidRPr="006813AA">
        <w:rPr>
          <w:rFonts w:ascii="Abadi" w:hAnsi="Abadi"/>
          <w:sz w:val="21"/>
          <w:szCs w:val="21"/>
        </w:rPr>
        <w:t>ver cómo un niño o un adolescente puede salir adelante bajo esas prácticas que sin duda no se pueden permitir</w:t>
      </w:r>
      <w:r>
        <w:rPr>
          <w:rFonts w:ascii="Abadi" w:hAnsi="Abadi"/>
          <w:sz w:val="21"/>
          <w:szCs w:val="21"/>
        </w:rPr>
        <w:t>,</w:t>
      </w:r>
      <w:r w:rsidRPr="006813AA">
        <w:rPr>
          <w:rFonts w:ascii="Abadi" w:hAnsi="Abadi"/>
          <w:sz w:val="21"/>
          <w:szCs w:val="21"/>
        </w:rPr>
        <w:t xml:space="preserve"> no se pueden permitir y las personas que tienen </w:t>
      </w:r>
      <w:r>
        <w:rPr>
          <w:rFonts w:ascii="Abadi" w:hAnsi="Abadi"/>
          <w:sz w:val="21"/>
          <w:szCs w:val="21"/>
        </w:rPr>
        <w:t xml:space="preserve">a </w:t>
      </w:r>
      <w:r w:rsidRPr="006813AA">
        <w:rPr>
          <w:rFonts w:ascii="Abadi" w:hAnsi="Abadi"/>
          <w:sz w:val="21"/>
          <w:szCs w:val="21"/>
        </w:rPr>
        <w:t>su cuidado a niñas niños y adolescentes tienen responsabilidad de protegerlos de formarlos de respetar sus derechos humanos y por el contrario no deben de ejercer maltrato ni castigos y principalmente físicamente</w:t>
      </w:r>
      <w:r>
        <w:rPr>
          <w:rFonts w:ascii="Abadi" w:hAnsi="Abadi"/>
          <w:sz w:val="21"/>
          <w:szCs w:val="21"/>
        </w:rPr>
        <w:t>,</w:t>
      </w:r>
      <w:r w:rsidRPr="006813AA">
        <w:rPr>
          <w:rFonts w:ascii="Abadi" w:hAnsi="Abadi"/>
          <w:sz w:val="21"/>
          <w:szCs w:val="21"/>
        </w:rPr>
        <w:t xml:space="preserve"> ni con grito</w:t>
      </w:r>
      <w:r>
        <w:rPr>
          <w:rFonts w:ascii="Abadi" w:hAnsi="Abadi"/>
          <w:sz w:val="21"/>
          <w:szCs w:val="21"/>
        </w:rPr>
        <w:t>s</w:t>
      </w:r>
      <w:r w:rsidRPr="006813AA">
        <w:rPr>
          <w:rFonts w:ascii="Abadi" w:hAnsi="Abadi"/>
          <w:sz w:val="21"/>
          <w:szCs w:val="21"/>
        </w:rPr>
        <w:t xml:space="preserve"> tampoco</w:t>
      </w:r>
      <w:r>
        <w:rPr>
          <w:rFonts w:ascii="Abadi" w:hAnsi="Abadi"/>
          <w:sz w:val="21"/>
          <w:szCs w:val="21"/>
        </w:rPr>
        <w:t>,</w:t>
      </w:r>
      <w:r w:rsidRPr="006813AA">
        <w:rPr>
          <w:rFonts w:ascii="Abadi" w:hAnsi="Abadi"/>
          <w:sz w:val="21"/>
          <w:szCs w:val="21"/>
        </w:rPr>
        <w:t xml:space="preserve"> ni golpes</w:t>
      </w:r>
      <w:r>
        <w:rPr>
          <w:rFonts w:ascii="Abadi" w:hAnsi="Abadi"/>
          <w:sz w:val="21"/>
          <w:szCs w:val="21"/>
        </w:rPr>
        <w:t>,</w:t>
      </w:r>
      <w:r w:rsidRPr="006813AA">
        <w:rPr>
          <w:rFonts w:ascii="Abadi" w:hAnsi="Abadi"/>
          <w:sz w:val="21"/>
          <w:szCs w:val="21"/>
        </w:rPr>
        <w:t xml:space="preserve"> ni azotes</w:t>
      </w:r>
      <w:r>
        <w:rPr>
          <w:rFonts w:ascii="Abadi" w:hAnsi="Abadi"/>
          <w:sz w:val="21"/>
          <w:szCs w:val="21"/>
        </w:rPr>
        <w:t xml:space="preserve"> ni </w:t>
      </w:r>
      <w:r w:rsidRPr="006813AA">
        <w:rPr>
          <w:rFonts w:ascii="Abadi" w:hAnsi="Abadi"/>
          <w:sz w:val="21"/>
          <w:szCs w:val="21"/>
        </w:rPr>
        <w:t>nalgadas</w:t>
      </w:r>
      <w:r>
        <w:rPr>
          <w:rFonts w:ascii="Abadi" w:hAnsi="Abadi"/>
          <w:sz w:val="21"/>
          <w:szCs w:val="21"/>
        </w:rPr>
        <w:t>,</w:t>
      </w:r>
      <w:r w:rsidRPr="006813AA">
        <w:rPr>
          <w:rFonts w:ascii="Abadi" w:hAnsi="Abadi"/>
          <w:sz w:val="21"/>
          <w:szCs w:val="21"/>
        </w:rPr>
        <w:t xml:space="preserve"> ni amenazas</w:t>
      </w:r>
      <w:r>
        <w:rPr>
          <w:rFonts w:ascii="Abadi" w:hAnsi="Abadi"/>
          <w:sz w:val="21"/>
          <w:szCs w:val="21"/>
        </w:rPr>
        <w:t>,</w:t>
      </w:r>
      <w:r w:rsidRPr="006813AA">
        <w:rPr>
          <w:rFonts w:ascii="Abadi" w:hAnsi="Abadi"/>
          <w:sz w:val="21"/>
          <w:szCs w:val="21"/>
        </w:rPr>
        <w:t xml:space="preserve"> ni castigos</w:t>
      </w:r>
      <w:r>
        <w:rPr>
          <w:rFonts w:ascii="Abadi" w:hAnsi="Abadi"/>
          <w:sz w:val="21"/>
          <w:szCs w:val="21"/>
        </w:rPr>
        <w:t>,</w:t>
      </w:r>
      <w:r w:rsidRPr="006813AA">
        <w:rPr>
          <w:rFonts w:ascii="Abadi" w:hAnsi="Abadi"/>
          <w:sz w:val="21"/>
          <w:szCs w:val="21"/>
        </w:rPr>
        <w:t xml:space="preserve"> regaños y tampoco </w:t>
      </w:r>
      <w:r>
        <w:rPr>
          <w:rFonts w:ascii="Abadi" w:hAnsi="Abadi"/>
          <w:sz w:val="21"/>
          <w:szCs w:val="21"/>
        </w:rPr>
        <w:t xml:space="preserve">fundarles el temor; </w:t>
      </w:r>
      <w:r w:rsidRPr="006813AA">
        <w:rPr>
          <w:rFonts w:ascii="Abadi" w:hAnsi="Abadi"/>
          <w:sz w:val="21"/>
          <w:szCs w:val="21"/>
        </w:rPr>
        <w:t>esto es un gran desafío</w:t>
      </w:r>
      <w:r>
        <w:rPr>
          <w:rFonts w:ascii="Abadi" w:hAnsi="Abadi"/>
          <w:sz w:val="21"/>
          <w:szCs w:val="21"/>
        </w:rPr>
        <w:t>,</w:t>
      </w:r>
      <w:r w:rsidRPr="006813AA">
        <w:rPr>
          <w:rFonts w:ascii="Abadi" w:hAnsi="Abadi"/>
          <w:sz w:val="21"/>
          <w:szCs w:val="21"/>
        </w:rPr>
        <w:t xml:space="preserve"> algunas personas que en su infancia recibieron o recibimos una crianza basadas en miedo o en el abuso de la fuerza</w:t>
      </w:r>
      <w:r>
        <w:rPr>
          <w:rFonts w:ascii="Abadi" w:hAnsi="Abadi"/>
          <w:sz w:val="21"/>
          <w:szCs w:val="21"/>
        </w:rPr>
        <w:t>,</w:t>
      </w:r>
      <w:r w:rsidRPr="006813AA">
        <w:rPr>
          <w:rFonts w:ascii="Abadi" w:hAnsi="Abadi"/>
          <w:sz w:val="21"/>
          <w:szCs w:val="21"/>
        </w:rPr>
        <w:t xml:space="preserve"> no es mi caso</w:t>
      </w:r>
      <w:r>
        <w:rPr>
          <w:rFonts w:ascii="Abadi" w:hAnsi="Abadi"/>
          <w:sz w:val="21"/>
          <w:szCs w:val="21"/>
        </w:rPr>
        <w:t>,</w:t>
      </w:r>
      <w:r w:rsidRPr="006813AA">
        <w:rPr>
          <w:rFonts w:ascii="Abadi" w:hAnsi="Abadi"/>
          <w:sz w:val="21"/>
          <w:szCs w:val="21"/>
        </w:rPr>
        <w:t xml:space="preserve"> digo recibimos pero a más de uno yo creo que nos dieron alguna nalgada</w:t>
      </w:r>
      <w:r>
        <w:rPr>
          <w:rFonts w:ascii="Abadi" w:hAnsi="Abadi"/>
          <w:sz w:val="21"/>
          <w:szCs w:val="21"/>
        </w:rPr>
        <w:t xml:space="preserve">, pueden creer que este es el único camino, pero no lo es las madres, </w:t>
      </w:r>
      <w:r w:rsidRPr="006813AA">
        <w:rPr>
          <w:rFonts w:ascii="Abadi" w:hAnsi="Abadi"/>
          <w:sz w:val="21"/>
          <w:szCs w:val="21"/>
        </w:rPr>
        <w:t>los padres y personas cuidadoras</w:t>
      </w:r>
      <w:r>
        <w:rPr>
          <w:rFonts w:ascii="Abadi" w:hAnsi="Abadi"/>
          <w:sz w:val="21"/>
          <w:szCs w:val="21"/>
        </w:rPr>
        <w:t>,</w:t>
      </w:r>
      <w:r w:rsidRPr="006813AA">
        <w:rPr>
          <w:rFonts w:ascii="Abadi" w:hAnsi="Abadi"/>
          <w:sz w:val="21"/>
          <w:szCs w:val="21"/>
        </w:rPr>
        <w:t xml:space="preserve"> tienen el enorme reto de dejar atrás los métodos violentos y autoritarios</w:t>
      </w:r>
      <w:r>
        <w:rPr>
          <w:rFonts w:ascii="Abadi" w:hAnsi="Abadi"/>
          <w:sz w:val="21"/>
          <w:szCs w:val="21"/>
        </w:rPr>
        <w:t>,</w:t>
      </w:r>
      <w:r w:rsidRPr="006813AA">
        <w:rPr>
          <w:rFonts w:ascii="Abadi" w:hAnsi="Abadi"/>
          <w:sz w:val="21"/>
          <w:szCs w:val="21"/>
        </w:rPr>
        <w:t xml:space="preserve"> porque es</w:t>
      </w:r>
      <w:r>
        <w:rPr>
          <w:rFonts w:ascii="Abadi" w:hAnsi="Abadi"/>
          <w:sz w:val="21"/>
          <w:szCs w:val="21"/>
        </w:rPr>
        <w:t>t</w:t>
      </w:r>
      <w:r w:rsidRPr="006813AA">
        <w:rPr>
          <w:rFonts w:ascii="Abadi" w:hAnsi="Abadi"/>
          <w:sz w:val="21"/>
          <w:szCs w:val="21"/>
        </w:rPr>
        <w:t>o genera un impacto negativo en el desarrollo de la niñez que en lugar de beneficiarlos</w:t>
      </w:r>
      <w:r>
        <w:rPr>
          <w:rFonts w:ascii="Abadi" w:hAnsi="Abadi"/>
          <w:sz w:val="21"/>
          <w:szCs w:val="21"/>
        </w:rPr>
        <w:t xml:space="preserve"> sin duda les perjudica.</w:t>
      </w:r>
    </w:p>
    <w:p w14:paraId="34BD8989" w14:textId="77777777" w:rsidR="006C4693" w:rsidRDefault="006C4693" w:rsidP="001F4153">
      <w:pPr>
        <w:jc w:val="both"/>
        <w:rPr>
          <w:rFonts w:ascii="Abadi" w:hAnsi="Abadi"/>
          <w:sz w:val="21"/>
          <w:szCs w:val="21"/>
        </w:rPr>
      </w:pPr>
    </w:p>
    <w:p w14:paraId="6C793D4A" w14:textId="1F4C58DB" w:rsidR="001F4153" w:rsidRDefault="001F4153" w:rsidP="001F4153">
      <w:pPr>
        <w:jc w:val="both"/>
        <w:rPr>
          <w:rFonts w:ascii="Abadi" w:hAnsi="Abadi"/>
          <w:sz w:val="21"/>
          <w:szCs w:val="21"/>
        </w:rPr>
      </w:pPr>
      <w:r>
        <w:rPr>
          <w:rFonts w:ascii="Abadi" w:hAnsi="Abadi"/>
          <w:sz w:val="21"/>
          <w:szCs w:val="21"/>
        </w:rPr>
        <w:t xml:space="preserve">- La crianza de niñas, niños y adolescentes, </w:t>
      </w:r>
      <w:r w:rsidRPr="006813AA">
        <w:rPr>
          <w:rFonts w:ascii="Abadi" w:hAnsi="Abadi"/>
          <w:sz w:val="21"/>
          <w:szCs w:val="21"/>
        </w:rPr>
        <w:t>debe estar basada en la razón la sensibilidad el amor la igualdad la tolerancia y el respeto</w:t>
      </w:r>
      <w:r>
        <w:rPr>
          <w:rFonts w:ascii="Abadi" w:hAnsi="Abadi"/>
          <w:sz w:val="21"/>
          <w:szCs w:val="21"/>
        </w:rPr>
        <w:t>,</w:t>
      </w:r>
      <w:r w:rsidRPr="006813AA">
        <w:rPr>
          <w:rFonts w:ascii="Abadi" w:hAnsi="Abadi"/>
          <w:sz w:val="21"/>
          <w:szCs w:val="21"/>
        </w:rPr>
        <w:t xml:space="preserve"> la crianza positiva que es de lo que estamos hablando el día de hoy</w:t>
      </w:r>
      <w:r>
        <w:rPr>
          <w:rFonts w:ascii="Abadi" w:hAnsi="Abadi"/>
          <w:sz w:val="21"/>
          <w:szCs w:val="21"/>
        </w:rPr>
        <w:t>,</w:t>
      </w:r>
      <w:r w:rsidRPr="006813AA">
        <w:rPr>
          <w:rFonts w:ascii="Abadi" w:hAnsi="Abadi"/>
          <w:sz w:val="21"/>
          <w:szCs w:val="21"/>
        </w:rPr>
        <w:t xml:space="preserve"> es por lo que pedimos el</w:t>
      </w:r>
      <w:r>
        <w:rPr>
          <w:rFonts w:ascii="Abadi" w:hAnsi="Abadi"/>
          <w:sz w:val="21"/>
          <w:szCs w:val="21"/>
        </w:rPr>
        <w:t>,</w:t>
      </w:r>
      <w:r w:rsidRPr="006813AA">
        <w:rPr>
          <w:rFonts w:ascii="Abadi" w:hAnsi="Abadi"/>
          <w:sz w:val="21"/>
          <w:szCs w:val="21"/>
        </w:rPr>
        <w:t xml:space="preserve"> que lo voten a favor</w:t>
      </w:r>
      <w:r>
        <w:rPr>
          <w:rFonts w:ascii="Abadi" w:hAnsi="Abadi"/>
          <w:sz w:val="21"/>
          <w:szCs w:val="21"/>
        </w:rPr>
        <w:t>,</w:t>
      </w:r>
      <w:r w:rsidRPr="006813AA">
        <w:rPr>
          <w:rFonts w:ascii="Abadi" w:hAnsi="Abadi"/>
          <w:sz w:val="21"/>
          <w:szCs w:val="21"/>
        </w:rPr>
        <w:t xml:space="preserve"> ese conjunto de prácticas de cuidado protección formación y guía que ayudan al desarrollo</w:t>
      </w:r>
      <w:r>
        <w:rPr>
          <w:rFonts w:ascii="Abadi" w:hAnsi="Abadi"/>
          <w:sz w:val="21"/>
          <w:szCs w:val="21"/>
        </w:rPr>
        <w:t>,</w:t>
      </w:r>
      <w:r w:rsidRPr="006813AA">
        <w:rPr>
          <w:rFonts w:ascii="Abadi" w:hAnsi="Abadi"/>
          <w:sz w:val="21"/>
          <w:szCs w:val="21"/>
        </w:rPr>
        <w:t xml:space="preserve"> bienestar</w:t>
      </w:r>
      <w:r>
        <w:rPr>
          <w:rFonts w:ascii="Abadi" w:hAnsi="Abadi"/>
          <w:sz w:val="21"/>
          <w:szCs w:val="21"/>
        </w:rPr>
        <w:t>,</w:t>
      </w:r>
      <w:r w:rsidRPr="006813AA">
        <w:rPr>
          <w:rFonts w:ascii="Abadi" w:hAnsi="Abadi"/>
          <w:sz w:val="21"/>
          <w:szCs w:val="21"/>
        </w:rPr>
        <w:t xml:space="preserve"> crecimiento</w:t>
      </w:r>
      <w:r>
        <w:rPr>
          <w:rFonts w:ascii="Abadi" w:hAnsi="Abadi"/>
          <w:sz w:val="21"/>
          <w:szCs w:val="21"/>
        </w:rPr>
        <w:t>,</w:t>
      </w:r>
      <w:r w:rsidRPr="006813AA">
        <w:rPr>
          <w:rFonts w:ascii="Abadi" w:hAnsi="Abadi"/>
          <w:sz w:val="21"/>
          <w:szCs w:val="21"/>
        </w:rPr>
        <w:t xml:space="preserve"> saludable y armonioso de todas las niñas de los niños y de los adolescentes y toma en cuenta la evolución de las facultades de la niña</w:t>
      </w:r>
      <w:r>
        <w:rPr>
          <w:rFonts w:ascii="Abadi" w:hAnsi="Abadi"/>
          <w:sz w:val="21"/>
          <w:szCs w:val="21"/>
        </w:rPr>
        <w:t xml:space="preserve">, </w:t>
      </w:r>
      <w:r w:rsidRPr="006813AA">
        <w:rPr>
          <w:rFonts w:ascii="Abadi" w:hAnsi="Abadi"/>
          <w:sz w:val="21"/>
          <w:szCs w:val="21"/>
        </w:rPr>
        <w:t>niño o adolescente la edad en que se encuentra</w:t>
      </w:r>
      <w:r>
        <w:rPr>
          <w:rFonts w:ascii="Abadi" w:hAnsi="Abadi"/>
          <w:sz w:val="21"/>
          <w:szCs w:val="21"/>
        </w:rPr>
        <w:t>,</w:t>
      </w:r>
      <w:r w:rsidRPr="006813AA">
        <w:rPr>
          <w:rFonts w:ascii="Abadi" w:hAnsi="Abadi"/>
          <w:sz w:val="21"/>
          <w:szCs w:val="21"/>
        </w:rPr>
        <w:t xml:space="preserve"> las características y cualidades de cada niña un niño o adolescente sus intereses</w:t>
      </w:r>
      <w:r>
        <w:rPr>
          <w:rFonts w:ascii="Abadi" w:hAnsi="Abadi"/>
          <w:sz w:val="21"/>
          <w:szCs w:val="21"/>
        </w:rPr>
        <w:t>,</w:t>
      </w:r>
      <w:r w:rsidRPr="006813AA">
        <w:rPr>
          <w:rFonts w:ascii="Abadi" w:hAnsi="Abadi"/>
          <w:sz w:val="21"/>
          <w:szCs w:val="21"/>
        </w:rPr>
        <w:t xml:space="preserve"> motivaciones y sus aspiraciones</w:t>
      </w:r>
      <w:r>
        <w:rPr>
          <w:rFonts w:ascii="Abadi" w:hAnsi="Abadi"/>
          <w:sz w:val="21"/>
          <w:szCs w:val="21"/>
        </w:rPr>
        <w:t>,</w:t>
      </w:r>
      <w:r w:rsidRPr="006813AA">
        <w:rPr>
          <w:rFonts w:ascii="Abadi" w:hAnsi="Abadi"/>
          <w:sz w:val="21"/>
          <w:szCs w:val="21"/>
        </w:rPr>
        <w:t xml:space="preserve"> la decisión consciente de no recurrir a castigos físicos</w:t>
      </w:r>
      <w:r>
        <w:rPr>
          <w:rFonts w:ascii="Abadi" w:hAnsi="Abadi"/>
          <w:sz w:val="21"/>
          <w:szCs w:val="21"/>
        </w:rPr>
        <w:t xml:space="preserve">, </w:t>
      </w:r>
      <w:r w:rsidRPr="006813AA">
        <w:rPr>
          <w:rFonts w:ascii="Abadi" w:hAnsi="Abadi"/>
          <w:sz w:val="21"/>
          <w:szCs w:val="21"/>
        </w:rPr>
        <w:t>ni a tratos humillan</w:t>
      </w:r>
      <w:r>
        <w:rPr>
          <w:rFonts w:ascii="Abadi" w:hAnsi="Abadi"/>
          <w:sz w:val="21"/>
          <w:szCs w:val="21"/>
        </w:rPr>
        <w:t>tes</w:t>
      </w:r>
      <w:r w:rsidRPr="006813AA">
        <w:rPr>
          <w:rFonts w:ascii="Abadi" w:hAnsi="Abadi"/>
          <w:sz w:val="21"/>
          <w:szCs w:val="21"/>
        </w:rPr>
        <w:t xml:space="preserve"> el respeto a los derechos de la niña o de los niños y de los adolescentes</w:t>
      </w:r>
      <w:r>
        <w:rPr>
          <w:rFonts w:ascii="Abadi" w:hAnsi="Abadi"/>
          <w:sz w:val="21"/>
          <w:szCs w:val="21"/>
        </w:rPr>
        <w:t>.</w:t>
      </w:r>
    </w:p>
    <w:p w14:paraId="4EF994DC" w14:textId="77777777" w:rsidR="006C4693" w:rsidRDefault="006C4693" w:rsidP="001F4153">
      <w:pPr>
        <w:jc w:val="both"/>
        <w:rPr>
          <w:rFonts w:ascii="Abadi" w:hAnsi="Abadi"/>
          <w:sz w:val="21"/>
          <w:szCs w:val="21"/>
        </w:rPr>
      </w:pPr>
    </w:p>
    <w:p w14:paraId="02313048" w14:textId="57D0AAD1" w:rsidR="001F4153" w:rsidRDefault="001F4153" w:rsidP="001F4153">
      <w:pPr>
        <w:jc w:val="both"/>
        <w:rPr>
          <w:rFonts w:ascii="Abadi" w:hAnsi="Abadi"/>
          <w:sz w:val="21"/>
          <w:szCs w:val="21"/>
        </w:rPr>
      </w:pPr>
      <w:r>
        <w:rPr>
          <w:rFonts w:ascii="Abadi" w:hAnsi="Abadi"/>
          <w:sz w:val="21"/>
          <w:szCs w:val="21"/>
        </w:rPr>
        <w:t>- E</w:t>
      </w:r>
      <w:r w:rsidRPr="006813AA">
        <w:rPr>
          <w:rFonts w:ascii="Abadi" w:hAnsi="Abadi"/>
          <w:sz w:val="21"/>
          <w:szCs w:val="21"/>
        </w:rPr>
        <w:t xml:space="preserve">l buen trato consiste en tratar a niñas </w:t>
      </w:r>
      <w:r>
        <w:rPr>
          <w:rFonts w:ascii="Abadi" w:hAnsi="Abadi"/>
          <w:sz w:val="21"/>
          <w:szCs w:val="21"/>
        </w:rPr>
        <w:t xml:space="preserve">a </w:t>
      </w:r>
      <w:r w:rsidRPr="006813AA">
        <w:rPr>
          <w:rFonts w:ascii="Abadi" w:hAnsi="Abadi"/>
          <w:sz w:val="21"/>
          <w:szCs w:val="21"/>
        </w:rPr>
        <w:t xml:space="preserve">niños </w:t>
      </w:r>
      <w:r>
        <w:rPr>
          <w:rFonts w:ascii="Abadi" w:hAnsi="Abadi"/>
          <w:sz w:val="21"/>
          <w:szCs w:val="21"/>
        </w:rPr>
        <w:t xml:space="preserve">y adolescentes, valga la redundancia, como seres humanos que tienen el derechos y no como propiedad de papas, de mamas o tutores </w:t>
      </w:r>
      <w:r w:rsidRPr="006813AA">
        <w:rPr>
          <w:rFonts w:ascii="Abadi" w:hAnsi="Abadi"/>
          <w:sz w:val="21"/>
          <w:szCs w:val="21"/>
        </w:rPr>
        <w:t>o de hermanos mayores que los cuidan</w:t>
      </w:r>
      <w:r>
        <w:rPr>
          <w:rFonts w:ascii="Abadi" w:hAnsi="Abadi"/>
          <w:sz w:val="21"/>
          <w:szCs w:val="21"/>
        </w:rPr>
        <w:t>.</w:t>
      </w:r>
    </w:p>
    <w:p w14:paraId="7B35E72B" w14:textId="77777777" w:rsidR="006C4693" w:rsidRDefault="006C4693" w:rsidP="001F4153">
      <w:pPr>
        <w:jc w:val="both"/>
        <w:rPr>
          <w:rFonts w:ascii="Abadi" w:hAnsi="Abadi"/>
          <w:sz w:val="21"/>
          <w:szCs w:val="21"/>
        </w:rPr>
      </w:pPr>
    </w:p>
    <w:p w14:paraId="3415E47E" w14:textId="77777777" w:rsidR="001F4153" w:rsidRDefault="001F4153" w:rsidP="001F4153">
      <w:pPr>
        <w:jc w:val="both"/>
        <w:rPr>
          <w:rFonts w:ascii="Abadi" w:hAnsi="Abadi"/>
          <w:sz w:val="21"/>
          <w:szCs w:val="21"/>
        </w:rPr>
      </w:pPr>
      <w:r>
        <w:rPr>
          <w:rFonts w:ascii="Abadi" w:hAnsi="Abadi"/>
          <w:sz w:val="21"/>
          <w:szCs w:val="21"/>
        </w:rPr>
        <w:t xml:space="preserve">- También </w:t>
      </w:r>
      <w:r w:rsidRPr="006813AA">
        <w:rPr>
          <w:rFonts w:ascii="Abadi" w:hAnsi="Abadi"/>
          <w:sz w:val="21"/>
          <w:szCs w:val="21"/>
        </w:rPr>
        <w:t>en atender sus necesidades de desarrollo y el respaldar sus derechos para facilitar su sano desarrollo físico mental y social</w:t>
      </w:r>
      <w:r>
        <w:rPr>
          <w:rFonts w:ascii="Abadi" w:hAnsi="Abadi"/>
          <w:sz w:val="21"/>
          <w:szCs w:val="21"/>
        </w:rPr>
        <w:t>,</w:t>
      </w:r>
      <w:r w:rsidRPr="006813AA">
        <w:rPr>
          <w:rFonts w:ascii="Abadi" w:hAnsi="Abadi"/>
          <w:sz w:val="21"/>
          <w:szCs w:val="21"/>
        </w:rPr>
        <w:t xml:space="preserve"> el </w:t>
      </w:r>
      <w:r>
        <w:rPr>
          <w:rFonts w:ascii="Abadi" w:hAnsi="Abadi"/>
          <w:sz w:val="21"/>
          <w:szCs w:val="21"/>
        </w:rPr>
        <w:t>u</w:t>
      </w:r>
      <w:r w:rsidRPr="006813AA">
        <w:rPr>
          <w:rFonts w:ascii="Abadi" w:hAnsi="Abadi"/>
          <w:sz w:val="21"/>
          <w:szCs w:val="21"/>
        </w:rPr>
        <w:t xml:space="preserve">so de la educación respetuosa no significa promover un </w:t>
      </w:r>
      <w:r>
        <w:rPr>
          <w:rFonts w:ascii="Abadi" w:hAnsi="Abadi"/>
          <w:sz w:val="21"/>
          <w:szCs w:val="21"/>
        </w:rPr>
        <w:t>e</w:t>
      </w:r>
      <w:r w:rsidRPr="006813AA">
        <w:rPr>
          <w:rFonts w:ascii="Abadi" w:hAnsi="Abadi"/>
          <w:sz w:val="21"/>
          <w:szCs w:val="21"/>
        </w:rPr>
        <w:t>stilo de crianza permisivo tampoco renunciar al papel de autoridad significa respetar la dignidad de ellos en todo momento con sus límit</w:t>
      </w:r>
      <w:r>
        <w:rPr>
          <w:rFonts w:ascii="Abadi" w:hAnsi="Abadi"/>
          <w:sz w:val="21"/>
          <w:szCs w:val="21"/>
        </w:rPr>
        <w:t>es</w:t>
      </w:r>
      <w:r w:rsidRPr="006813AA">
        <w:rPr>
          <w:rFonts w:ascii="Abadi" w:hAnsi="Abadi"/>
          <w:sz w:val="21"/>
          <w:szCs w:val="21"/>
        </w:rPr>
        <w:t xml:space="preserve"> los iniciantes manifiestan que la intención de su iniciativa es fortalecer la crianza positiva</w:t>
      </w:r>
      <w:r>
        <w:rPr>
          <w:rFonts w:ascii="Abadi" w:hAnsi="Abadi"/>
          <w:sz w:val="21"/>
          <w:szCs w:val="21"/>
        </w:rPr>
        <w:t>,</w:t>
      </w:r>
      <w:r w:rsidRPr="006813AA">
        <w:rPr>
          <w:rFonts w:ascii="Abadi" w:hAnsi="Abadi"/>
          <w:sz w:val="21"/>
          <w:szCs w:val="21"/>
        </w:rPr>
        <w:t xml:space="preserve"> para prevenir y erradicar la violencia y también para la protección de ellos que vivan en armonía con las normas de orden nacional y los tratados internacionales para para establecer</w:t>
      </w:r>
      <w:r>
        <w:rPr>
          <w:rFonts w:ascii="Abadi" w:hAnsi="Abadi"/>
          <w:sz w:val="21"/>
          <w:szCs w:val="21"/>
        </w:rPr>
        <w:t>,</w:t>
      </w:r>
      <w:r w:rsidRPr="006813AA">
        <w:rPr>
          <w:rFonts w:ascii="Abadi" w:hAnsi="Abadi"/>
          <w:sz w:val="21"/>
          <w:szCs w:val="21"/>
        </w:rPr>
        <w:t xml:space="preserve"> un entorno </w:t>
      </w:r>
      <w:r>
        <w:rPr>
          <w:rFonts w:ascii="Abadi" w:hAnsi="Abadi"/>
          <w:sz w:val="21"/>
          <w:szCs w:val="21"/>
        </w:rPr>
        <w:t>p</w:t>
      </w:r>
      <w:r w:rsidRPr="006813AA">
        <w:rPr>
          <w:rFonts w:ascii="Abadi" w:hAnsi="Abadi"/>
          <w:sz w:val="21"/>
          <w:szCs w:val="21"/>
        </w:rPr>
        <w:t>rotector que los defienda de los malos tratos y la violencia tanto en el ámbito familiar</w:t>
      </w:r>
      <w:r>
        <w:rPr>
          <w:rFonts w:ascii="Abadi" w:hAnsi="Abadi"/>
          <w:sz w:val="21"/>
          <w:szCs w:val="21"/>
        </w:rPr>
        <w:t>,</w:t>
      </w:r>
      <w:r w:rsidRPr="006813AA">
        <w:rPr>
          <w:rFonts w:ascii="Abadi" w:hAnsi="Abadi"/>
          <w:sz w:val="21"/>
          <w:szCs w:val="21"/>
        </w:rPr>
        <w:t xml:space="preserve"> en otros tipos de entorno donde conviven porque un niño que es maltratado en su hogar seguramente va a ser para él una forma normal de que los sigan tratando sus amiguitas</w:t>
      </w:r>
      <w:r>
        <w:rPr>
          <w:rFonts w:ascii="Abadi" w:hAnsi="Abadi"/>
          <w:sz w:val="21"/>
          <w:szCs w:val="21"/>
        </w:rPr>
        <w:t xml:space="preserve"> o ya </w:t>
      </w:r>
      <w:r w:rsidRPr="006813AA">
        <w:rPr>
          <w:rFonts w:ascii="Abadi" w:hAnsi="Abadi"/>
          <w:sz w:val="21"/>
          <w:szCs w:val="21"/>
        </w:rPr>
        <w:t>después sus novios o cónyuges por eso es importante que desde la crianza este tipo de prácticas no se fomente</w:t>
      </w:r>
      <w:r>
        <w:rPr>
          <w:rFonts w:ascii="Abadi" w:hAnsi="Abadi"/>
          <w:sz w:val="21"/>
          <w:szCs w:val="21"/>
        </w:rPr>
        <w:t>.</w:t>
      </w:r>
    </w:p>
    <w:p w14:paraId="46EB814E" w14:textId="0B8EA41A" w:rsidR="001F4153" w:rsidRDefault="001F4153" w:rsidP="001F4153">
      <w:pPr>
        <w:jc w:val="both"/>
        <w:rPr>
          <w:rFonts w:ascii="Abadi" w:hAnsi="Abadi"/>
          <w:sz w:val="21"/>
          <w:szCs w:val="21"/>
        </w:rPr>
      </w:pPr>
      <w:r>
        <w:rPr>
          <w:rFonts w:ascii="Abadi" w:hAnsi="Abadi"/>
          <w:sz w:val="21"/>
          <w:szCs w:val="21"/>
        </w:rPr>
        <w:t>- C</w:t>
      </w:r>
      <w:r w:rsidRPr="006813AA">
        <w:rPr>
          <w:rFonts w:ascii="Abadi" w:hAnsi="Abadi"/>
          <w:sz w:val="21"/>
          <w:szCs w:val="21"/>
        </w:rPr>
        <w:t xml:space="preserve">oincidimos con </w:t>
      </w:r>
      <w:r>
        <w:rPr>
          <w:rFonts w:ascii="Abadi" w:hAnsi="Abadi"/>
          <w:sz w:val="21"/>
          <w:szCs w:val="21"/>
        </w:rPr>
        <w:t xml:space="preserve">los proponentes, cuando </w:t>
      </w:r>
      <w:r w:rsidRPr="006813AA">
        <w:rPr>
          <w:rFonts w:ascii="Abadi" w:hAnsi="Abadi"/>
          <w:sz w:val="21"/>
          <w:szCs w:val="21"/>
        </w:rPr>
        <w:t>refieren la importancia de retomar el marco jurídico del estado de guanajuato</w:t>
      </w:r>
      <w:r>
        <w:rPr>
          <w:rFonts w:ascii="Abadi" w:hAnsi="Abadi"/>
          <w:sz w:val="21"/>
          <w:szCs w:val="21"/>
        </w:rPr>
        <w:t>,</w:t>
      </w:r>
      <w:r w:rsidRPr="006813AA">
        <w:rPr>
          <w:rFonts w:ascii="Abadi" w:hAnsi="Abadi"/>
          <w:sz w:val="21"/>
          <w:szCs w:val="21"/>
        </w:rPr>
        <w:t xml:space="preserve"> para atender ciertas modificaciones realizadas a diferentes ordenamientos </w:t>
      </w:r>
      <w:r>
        <w:rPr>
          <w:rFonts w:ascii="Abadi" w:hAnsi="Abadi"/>
          <w:sz w:val="21"/>
          <w:szCs w:val="21"/>
        </w:rPr>
        <w:t xml:space="preserve">jurídicos </w:t>
      </w:r>
      <w:r w:rsidRPr="006813AA">
        <w:rPr>
          <w:rFonts w:ascii="Abadi" w:hAnsi="Abadi"/>
          <w:sz w:val="21"/>
          <w:szCs w:val="21"/>
        </w:rPr>
        <w:t>que prohíben de manera expresa el castigo corporal y humillante</w:t>
      </w:r>
      <w:r>
        <w:rPr>
          <w:rFonts w:ascii="Abadi" w:hAnsi="Abadi"/>
          <w:sz w:val="21"/>
          <w:szCs w:val="21"/>
        </w:rPr>
        <w:t>,</w:t>
      </w:r>
      <w:r w:rsidRPr="006813AA">
        <w:rPr>
          <w:rFonts w:ascii="Abadi" w:hAnsi="Abadi"/>
          <w:sz w:val="21"/>
          <w:szCs w:val="21"/>
        </w:rPr>
        <w:t xml:space="preserve"> como método correctivo disciplinario a las niñas a los niños y a los adolescentes</w:t>
      </w:r>
      <w:r>
        <w:rPr>
          <w:rFonts w:ascii="Abadi" w:hAnsi="Abadi"/>
          <w:sz w:val="21"/>
          <w:szCs w:val="21"/>
        </w:rPr>
        <w:t>,</w:t>
      </w:r>
      <w:r w:rsidRPr="006813AA">
        <w:rPr>
          <w:rFonts w:ascii="Abadi" w:hAnsi="Abadi"/>
          <w:sz w:val="21"/>
          <w:szCs w:val="21"/>
        </w:rPr>
        <w:t xml:space="preserve"> así como generar el marco normativo necesario para un enfoque preventivo y una crianza positiva</w:t>
      </w:r>
      <w:r>
        <w:rPr>
          <w:rFonts w:ascii="Abadi" w:hAnsi="Abadi"/>
          <w:sz w:val="21"/>
          <w:szCs w:val="21"/>
        </w:rPr>
        <w:t>.</w:t>
      </w:r>
    </w:p>
    <w:p w14:paraId="7A3A2187" w14:textId="77777777" w:rsidR="006C4693" w:rsidRDefault="006C4693" w:rsidP="001F4153">
      <w:pPr>
        <w:jc w:val="both"/>
        <w:rPr>
          <w:rFonts w:ascii="Abadi" w:hAnsi="Abadi"/>
          <w:sz w:val="21"/>
          <w:szCs w:val="21"/>
        </w:rPr>
      </w:pPr>
    </w:p>
    <w:p w14:paraId="53CC5B69" w14:textId="66522E53" w:rsidR="001F4153" w:rsidRDefault="001F4153" w:rsidP="001F4153">
      <w:pPr>
        <w:jc w:val="both"/>
        <w:rPr>
          <w:rFonts w:ascii="Abadi" w:hAnsi="Abadi"/>
          <w:sz w:val="21"/>
          <w:szCs w:val="21"/>
        </w:rPr>
      </w:pPr>
      <w:r>
        <w:rPr>
          <w:rFonts w:ascii="Abadi" w:hAnsi="Abadi"/>
          <w:sz w:val="21"/>
          <w:szCs w:val="21"/>
        </w:rPr>
        <w:t>- M</w:t>
      </w:r>
      <w:r w:rsidRPr="006813AA">
        <w:rPr>
          <w:rFonts w:ascii="Abadi" w:hAnsi="Abadi"/>
          <w:sz w:val="21"/>
          <w:szCs w:val="21"/>
        </w:rPr>
        <w:t>uchas gracias y felicidade</w:t>
      </w:r>
      <w:r>
        <w:rPr>
          <w:rFonts w:ascii="Abadi" w:hAnsi="Abadi"/>
          <w:sz w:val="21"/>
          <w:szCs w:val="21"/>
        </w:rPr>
        <w:t>s por esta iniciativa.</w:t>
      </w:r>
    </w:p>
    <w:p w14:paraId="79C81305" w14:textId="77777777" w:rsidR="006C4693" w:rsidRPr="006813AA" w:rsidRDefault="006C4693" w:rsidP="001F4153">
      <w:pPr>
        <w:jc w:val="both"/>
        <w:rPr>
          <w:rFonts w:ascii="Abadi" w:hAnsi="Abadi"/>
          <w:sz w:val="21"/>
          <w:szCs w:val="21"/>
        </w:rPr>
      </w:pPr>
    </w:p>
    <w:p w14:paraId="61DBAF52" w14:textId="77777777" w:rsidR="001F4153" w:rsidRDefault="001F4153" w:rsidP="001F4153">
      <w:pPr>
        <w:jc w:val="both"/>
        <w:rPr>
          <w:rFonts w:ascii="Abadi" w:hAnsi="Abadi"/>
          <w:sz w:val="21"/>
          <w:szCs w:val="21"/>
        </w:rPr>
      </w:pPr>
      <w:r w:rsidRPr="00404AE1">
        <w:rPr>
          <w:rFonts w:ascii="Abadi" w:hAnsi="Abadi"/>
          <w:b/>
          <w:bCs/>
          <w:sz w:val="21"/>
          <w:szCs w:val="21"/>
        </w:rPr>
        <w:t xml:space="preserve">- El Presidente.- </w:t>
      </w:r>
      <w:r>
        <w:rPr>
          <w:rFonts w:ascii="Abadi" w:hAnsi="Abadi"/>
          <w:sz w:val="21"/>
          <w:szCs w:val="21"/>
        </w:rPr>
        <w:t>G</w:t>
      </w:r>
      <w:r w:rsidRPr="006813AA">
        <w:rPr>
          <w:rFonts w:ascii="Abadi" w:hAnsi="Abadi"/>
          <w:sz w:val="21"/>
          <w:szCs w:val="21"/>
        </w:rPr>
        <w:t xml:space="preserve">racias diputada </w:t>
      </w:r>
      <w:r>
        <w:rPr>
          <w:rFonts w:ascii="Abadi" w:hAnsi="Abadi"/>
          <w:sz w:val="21"/>
          <w:szCs w:val="21"/>
        </w:rPr>
        <w:t>I</w:t>
      </w:r>
      <w:r w:rsidRPr="006813AA">
        <w:rPr>
          <w:rFonts w:ascii="Abadi" w:hAnsi="Abadi"/>
          <w:sz w:val="21"/>
          <w:szCs w:val="21"/>
        </w:rPr>
        <w:t xml:space="preserve">rma </w:t>
      </w:r>
      <w:r>
        <w:rPr>
          <w:rFonts w:ascii="Abadi" w:hAnsi="Abadi"/>
          <w:sz w:val="21"/>
          <w:szCs w:val="21"/>
        </w:rPr>
        <w:t>L</w:t>
      </w:r>
      <w:r w:rsidRPr="006813AA">
        <w:rPr>
          <w:rFonts w:ascii="Abadi" w:hAnsi="Abadi"/>
          <w:sz w:val="21"/>
          <w:szCs w:val="21"/>
        </w:rPr>
        <w:t>eticia</w:t>
      </w:r>
      <w:r>
        <w:rPr>
          <w:rFonts w:ascii="Abadi" w:hAnsi="Abadi"/>
          <w:sz w:val="21"/>
          <w:szCs w:val="21"/>
        </w:rPr>
        <w:t>.</w:t>
      </w:r>
    </w:p>
    <w:p w14:paraId="43436FA2" w14:textId="77777777" w:rsidR="00E665DF" w:rsidRDefault="001F4153" w:rsidP="00E665DF">
      <w:pPr>
        <w:jc w:val="both"/>
        <w:rPr>
          <w:rFonts w:ascii="Abadi" w:hAnsi="Abadi"/>
          <w:sz w:val="21"/>
          <w:szCs w:val="21"/>
        </w:rPr>
      </w:pPr>
      <w:r>
        <w:rPr>
          <w:rFonts w:ascii="Abadi" w:hAnsi="Abadi"/>
          <w:sz w:val="21"/>
          <w:szCs w:val="21"/>
        </w:rPr>
        <w:t>- A</w:t>
      </w:r>
      <w:r w:rsidRPr="006813AA">
        <w:rPr>
          <w:rFonts w:ascii="Abadi" w:hAnsi="Abadi"/>
          <w:sz w:val="21"/>
          <w:szCs w:val="21"/>
        </w:rPr>
        <w:t xml:space="preserve">gotadas las participaciones se pide a la </w:t>
      </w:r>
      <w:r>
        <w:rPr>
          <w:rFonts w:ascii="Abadi" w:hAnsi="Abadi"/>
          <w:sz w:val="21"/>
          <w:szCs w:val="21"/>
        </w:rPr>
        <w:t>S</w:t>
      </w:r>
      <w:r w:rsidRPr="006813AA">
        <w:rPr>
          <w:rFonts w:ascii="Abadi" w:hAnsi="Abadi"/>
          <w:sz w:val="21"/>
          <w:szCs w:val="21"/>
        </w:rPr>
        <w:t xml:space="preserve">ecretaría que proceda a recabar votación nominal de la </w:t>
      </w:r>
      <w:r>
        <w:rPr>
          <w:rFonts w:ascii="Abadi" w:hAnsi="Abadi"/>
          <w:sz w:val="21"/>
          <w:szCs w:val="21"/>
        </w:rPr>
        <w:t>A</w:t>
      </w:r>
      <w:r w:rsidRPr="006813AA">
        <w:rPr>
          <w:rFonts w:ascii="Abadi" w:hAnsi="Abadi"/>
          <w:sz w:val="21"/>
          <w:szCs w:val="21"/>
        </w:rPr>
        <w:t xml:space="preserve">samblea a través de nuestro sistema electrónico </w:t>
      </w:r>
      <w:r>
        <w:rPr>
          <w:rFonts w:ascii="Abadi" w:hAnsi="Abadi"/>
          <w:sz w:val="21"/>
          <w:szCs w:val="21"/>
        </w:rPr>
        <w:t xml:space="preserve">a </w:t>
      </w:r>
      <w:r w:rsidRPr="006813AA">
        <w:rPr>
          <w:rFonts w:ascii="Abadi" w:hAnsi="Abadi"/>
          <w:sz w:val="21"/>
          <w:szCs w:val="21"/>
        </w:rPr>
        <w:t>efecto de aprobar o no el dictamen puesto su consideración</w:t>
      </w:r>
      <w:r>
        <w:rPr>
          <w:rFonts w:ascii="Abadi" w:hAnsi="Abadi"/>
          <w:sz w:val="21"/>
          <w:szCs w:val="21"/>
        </w:rPr>
        <w:t>.</w:t>
      </w:r>
      <w:r w:rsidRPr="006813AA">
        <w:rPr>
          <w:rFonts w:ascii="Abadi" w:hAnsi="Abadi"/>
          <w:sz w:val="21"/>
          <w:szCs w:val="21"/>
        </w:rPr>
        <w:t xml:space="preserve"> </w:t>
      </w:r>
    </w:p>
    <w:p w14:paraId="65A4EF52" w14:textId="77777777" w:rsidR="00E665DF" w:rsidRDefault="00E665DF" w:rsidP="00E665DF">
      <w:pPr>
        <w:jc w:val="both"/>
        <w:rPr>
          <w:rFonts w:ascii="Abadi" w:hAnsi="Abadi"/>
          <w:sz w:val="21"/>
          <w:szCs w:val="21"/>
        </w:rPr>
      </w:pPr>
    </w:p>
    <w:p w14:paraId="4A1037A5" w14:textId="0D1E7CC3" w:rsidR="001F4153" w:rsidRPr="00E665DF" w:rsidRDefault="001F4153" w:rsidP="00E665DF">
      <w:pPr>
        <w:jc w:val="both"/>
        <w:rPr>
          <w:rFonts w:ascii="Abadi" w:hAnsi="Abadi"/>
          <w:sz w:val="21"/>
          <w:szCs w:val="21"/>
        </w:rPr>
      </w:pPr>
      <w:r w:rsidRPr="00E53F6E">
        <w:rPr>
          <w:rFonts w:ascii="Abadi" w:hAnsi="Abadi"/>
          <w:b/>
          <w:bCs/>
          <w:sz w:val="21"/>
          <w:szCs w:val="21"/>
        </w:rPr>
        <w:t xml:space="preserve">(Se abre nuestro sistema electrónico) </w:t>
      </w:r>
    </w:p>
    <w:p w14:paraId="7272E310" w14:textId="77777777" w:rsidR="006C4693" w:rsidRPr="00E53F6E" w:rsidRDefault="006C4693" w:rsidP="001F4153">
      <w:pPr>
        <w:ind w:left="284" w:firstLine="708"/>
        <w:jc w:val="both"/>
        <w:rPr>
          <w:rFonts w:ascii="Abadi" w:hAnsi="Abadi"/>
          <w:b/>
          <w:bCs/>
          <w:sz w:val="21"/>
          <w:szCs w:val="21"/>
        </w:rPr>
      </w:pPr>
    </w:p>
    <w:p w14:paraId="6B339080" w14:textId="037E1C9F" w:rsidR="001F4153" w:rsidRDefault="001F4153" w:rsidP="001F4153">
      <w:pPr>
        <w:ind w:firstLine="708"/>
        <w:jc w:val="both"/>
        <w:rPr>
          <w:rFonts w:ascii="Abadi" w:hAnsi="Abadi"/>
          <w:sz w:val="21"/>
          <w:szCs w:val="21"/>
        </w:rPr>
      </w:pPr>
      <w:r w:rsidRPr="003B240B">
        <w:rPr>
          <w:rFonts w:ascii="Abadi" w:hAnsi="Abadi"/>
          <w:b/>
          <w:bCs/>
          <w:sz w:val="21"/>
          <w:szCs w:val="21"/>
        </w:rPr>
        <w:t>- El Secretario.-</w:t>
      </w:r>
      <w:r>
        <w:rPr>
          <w:rFonts w:ascii="Abadi" w:hAnsi="Abadi"/>
          <w:sz w:val="21"/>
          <w:szCs w:val="21"/>
        </w:rPr>
        <w:t xml:space="preserve"> En </w:t>
      </w:r>
      <w:r w:rsidRPr="006813AA">
        <w:rPr>
          <w:rFonts w:ascii="Abadi" w:hAnsi="Abadi"/>
          <w:sz w:val="21"/>
          <w:szCs w:val="21"/>
        </w:rPr>
        <w:t>votación nominal por el sistema electrónico se pregunta a las diputadas y los diputados si se aprueba el dictamen puesto a su consideración</w:t>
      </w:r>
      <w:r>
        <w:rPr>
          <w:rFonts w:ascii="Abadi" w:hAnsi="Abadi"/>
          <w:sz w:val="21"/>
          <w:szCs w:val="21"/>
        </w:rPr>
        <w:t>.</w:t>
      </w:r>
    </w:p>
    <w:p w14:paraId="181CAE98" w14:textId="77777777" w:rsidR="00E665DF" w:rsidRDefault="00E665DF" w:rsidP="001F4153">
      <w:pPr>
        <w:ind w:firstLine="708"/>
        <w:jc w:val="both"/>
        <w:rPr>
          <w:rFonts w:ascii="Abadi" w:hAnsi="Abadi"/>
          <w:sz w:val="21"/>
          <w:szCs w:val="21"/>
        </w:rPr>
      </w:pPr>
    </w:p>
    <w:p w14:paraId="3F8CC28E" w14:textId="77777777" w:rsidR="006C4693" w:rsidRDefault="001F4153" w:rsidP="001F4153">
      <w:pPr>
        <w:jc w:val="both"/>
        <w:rPr>
          <w:rFonts w:ascii="Abadi" w:hAnsi="Abadi"/>
          <w:sz w:val="21"/>
          <w:szCs w:val="21"/>
        </w:rPr>
      </w:pPr>
      <w:r>
        <w:rPr>
          <w:rFonts w:ascii="Abadi" w:hAnsi="Abadi"/>
          <w:sz w:val="21"/>
          <w:szCs w:val="21"/>
        </w:rPr>
        <w:t>¿F</w:t>
      </w:r>
      <w:r w:rsidRPr="006813AA">
        <w:rPr>
          <w:rFonts w:ascii="Abadi" w:hAnsi="Abadi"/>
          <w:sz w:val="21"/>
          <w:szCs w:val="21"/>
        </w:rPr>
        <w:t>alta alguna diputada o algún diputado de emitir su voto</w:t>
      </w:r>
      <w:r>
        <w:rPr>
          <w:rFonts w:ascii="Abadi" w:hAnsi="Abadi"/>
          <w:sz w:val="21"/>
          <w:szCs w:val="21"/>
        </w:rPr>
        <w:t>?</w:t>
      </w:r>
    </w:p>
    <w:p w14:paraId="343B7D5B" w14:textId="3C7DC21E" w:rsidR="001F4153" w:rsidRDefault="001F4153" w:rsidP="001F4153">
      <w:pPr>
        <w:jc w:val="both"/>
        <w:rPr>
          <w:rFonts w:ascii="Abadi" w:hAnsi="Abadi"/>
          <w:sz w:val="21"/>
          <w:szCs w:val="21"/>
        </w:rPr>
      </w:pPr>
      <w:r w:rsidRPr="006813AA">
        <w:rPr>
          <w:rFonts w:ascii="Abadi" w:hAnsi="Abadi"/>
          <w:sz w:val="21"/>
          <w:szCs w:val="21"/>
        </w:rPr>
        <w:t xml:space="preserve"> </w:t>
      </w:r>
    </w:p>
    <w:p w14:paraId="6944D377" w14:textId="77777777" w:rsidR="001F4153" w:rsidRDefault="001F4153" w:rsidP="001F4153">
      <w:pPr>
        <w:jc w:val="both"/>
        <w:rPr>
          <w:rFonts w:ascii="Abadi" w:hAnsi="Abadi"/>
          <w:b/>
          <w:bCs/>
          <w:sz w:val="21"/>
          <w:szCs w:val="21"/>
        </w:rPr>
      </w:pPr>
      <w:r w:rsidRPr="00B03F12">
        <w:rPr>
          <w:rFonts w:ascii="Abadi" w:hAnsi="Abadi"/>
          <w:b/>
          <w:bCs/>
          <w:sz w:val="21"/>
          <w:szCs w:val="21"/>
        </w:rPr>
        <w:t>(Se cierra el sistema electrónico)</w:t>
      </w:r>
    </w:p>
    <w:p w14:paraId="10715A0B" w14:textId="77777777" w:rsidR="001F4153" w:rsidRPr="00B03F12" w:rsidRDefault="001F4153" w:rsidP="001F4153">
      <w:pPr>
        <w:jc w:val="both"/>
        <w:rPr>
          <w:rFonts w:ascii="Abadi" w:hAnsi="Abadi"/>
          <w:b/>
          <w:bCs/>
          <w:sz w:val="21"/>
          <w:szCs w:val="21"/>
        </w:rPr>
      </w:pPr>
      <w:r>
        <w:rPr>
          <w:noProof/>
        </w:rPr>
        <w:drawing>
          <wp:inline distT="0" distB="0" distL="0" distR="0" wp14:anchorId="0D26753F" wp14:editId="57D89AFC">
            <wp:extent cx="1798248" cy="933368"/>
            <wp:effectExtent l="323850" t="323850" r="316865" b="324485"/>
            <wp:docPr id="80" name="Imagen 80" descr="Interfaz de usuario gráfica, Aplicación, Correo electrónic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descr="Interfaz de usuario gráfica, Aplicación, Correo electrónico, Sitio web&#10;&#10;Descripción generada automáticamente"/>
                    <pic:cNvPicPr/>
                  </pic:nvPicPr>
                  <pic:blipFill rotWithShape="1">
                    <a:blip r:embed="rId83"/>
                    <a:srcRect b="7681"/>
                    <a:stretch/>
                  </pic:blipFill>
                  <pic:spPr bwMode="auto">
                    <a:xfrm>
                      <a:off x="0" y="0"/>
                      <a:ext cx="1833031" cy="951422"/>
                    </a:xfrm>
                    <a:prstGeom prst="rect">
                      <a:avLst/>
                    </a:prstGeom>
                    <a:ln w="88900" cap="sq" cmpd="thickThin">
                      <a:solidFill>
                        <a:srgbClr val="000000"/>
                      </a:solidFill>
                      <a:prstDash val="solid"/>
                      <a:miter lim="800000"/>
                    </a:ln>
                    <a:effectLst>
                      <a:glow rad="228600">
                        <a:schemeClr val="accent3">
                          <a:satMod val="1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67981B5B" w14:textId="16108A45" w:rsidR="001F4153" w:rsidRDefault="001F4153" w:rsidP="001F4153">
      <w:pPr>
        <w:ind w:firstLine="708"/>
        <w:jc w:val="both"/>
        <w:rPr>
          <w:rFonts w:ascii="Abadi" w:hAnsi="Abadi"/>
          <w:sz w:val="21"/>
          <w:szCs w:val="21"/>
        </w:rPr>
      </w:pPr>
      <w:r w:rsidRPr="009C08D0">
        <w:rPr>
          <w:rFonts w:ascii="Abadi" w:hAnsi="Abadi"/>
          <w:b/>
          <w:bCs/>
          <w:sz w:val="21"/>
          <w:szCs w:val="21"/>
        </w:rPr>
        <w:t>- El Secretario.-</w:t>
      </w:r>
      <w:r>
        <w:rPr>
          <w:rFonts w:ascii="Abadi" w:hAnsi="Abadi"/>
          <w:sz w:val="21"/>
          <w:szCs w:val="21"/>
        </w:rPr>
        <w:t xml:space="preserve"> S</w:t>
      </w:r>
      <w:r w:rsidRPr="006813AA">
        <w:rPr>
          <w:rFonts w:ascii="Abadi" w:hAnsi="Abadi"/>
          <w:sz w:val="21"/>
          <w:szCs w:val="21"/>
        </w:rPr>
        <w:t xml:space="preserve">e registraron 32 votos a favor </w:t>
      </w:r>
      <w:r>
        <w:rPr>
          <w:rFonts w:ascii="Abadi" w:hAnsi="Abadi"/>
          <w:sz w:val="21"/>
          <w:szCs w:val="21"/>
        </w:rPr>
        <w:t>S</w:t>
      </w:r>
      <w:r w:rsidRPr="006813AA">
        <w:rPr>
          <w:rFonts w:ascii="Abadi" w:hAnsi="Abadi"/>
          <w:sz w:val="21"/>
          <w:szCs w:val="21"/>
        </w:rPr>
        <w:t>eñor Presidente</w:t>
      </w:r>
      <w:r>
        <w:rPr>
          <w:rFonts w:ascii="Abadi" w:hAnsi="Abadi"/>
          <w:sz w:val="21"/>
          <w:szCs w:val="21"/>
        </w:rPr>
        <w:t>.</w:t>
      </w:r>
    </w:p>
    <w:p w14:paraId="139533E3" w14:textId="77777777" w:rsidR="006C4693" w:rsidRDefault="006C4693" w:rsidP="001F4153">
      <w:pPr>
        <w:ind w:firstLine="708"/>
        <w:jc w:val="both"/>
        <w:rPr>
          <w:rFonts w:ascii="Abadi" w:hAnsi="Abadi"/>
          <w:sz w:val="21"/>
          <w:szCs w:val="21"/>
        </w:rPr>
      </w:pPr>
    </w:p>
    <w:p w14:paraId="515E5736" w14:textId="5DF4557E" w:rsidR="001F4153" w:rsidRDefault="001F4153" w:rsidP="001F4153">
      <w:pPr>
        <w:ind w:firstLine="708"/>
        <w:jc w:val="both"/>
        <w:rPr>
          <w:rFonts w:ascii="Abadi" w:hAnsi="Abadi"/>
          <w:sz w:val="21"/>
          <w:szCs w:val="21"/>
        </w:rPr>
      </w:pPr>
      <w:r w:rsidRPr="00161C71">
        <w:rPr>
          <w:rFonts w:ascii="Abadi" w:hAnsi="Abadi"/>
          <w:b/>
          <w:bCs/>
          <w:sz w:val="21"/>
          <w:szCs w:val="21"/>
        </w:rPr>
        <w:t xml:space="preserve">- El </w:t>
      </w:r>
      <w:r>
        <w:rPr>
          <w:rFonts w:ascii="Abadi" w:hAnsi="Abadi"/>
          <w:b/>
          <w:bCs/>
          <w:sz w:val="21"/>
          <w:szCs w:val="21"/>
        </w:rPr>
        <w:t xml:space="preserve">Presidente.- </w:t>
      </w:r>
      <w:r>
        <w:rPr>
          <w:rFonts w:ascii="Abadi" w:hAnsi="Abadi"/>
          <w:sz w:val="21"/>
          <w:szCs w:val="21"/>
        </w:rPr>
        <w:t xml:space="preserve"> El </w:t>
      </w:r>
      <w:r w:rsidRPr="006813AA">
        <w:rPr>
          <w:rFonts w:ascii="Abadi" w:hAnsi="Abadi"/>
          <w:sz w:val="21"/>
          <w:szCs w:val="21"/>
        </w:rPr>
        <w:t>dictamen ha sido probado por unanimidad de votos</w:t>
      </w:r>
      <w:r>
        <w:rPr>
          <w:rFonts w:ascii="Abadi" w:hAnsi="Abadi"/>
          <w:sz w:val="21"/>
          <w:szCs w:val="21"/>
        </w:rPr>
        <w:t>.</w:t>
      </w:r>
    </w:p>
    <w:p w14:paraId="0180AE4D" w14:textId="77777777" w:rsidR="006C4693" w:rsidRDefault="006C4693" w:rsidP="001F4153">
      <w:pPr>
        <w:ind w:firstLine="708"/>
        <w:jc w:val="both"/>
        <w:rPr>
          <w:rFonts w:ascii="Abadi" w:hAnsi="Abadi"/>
          <w:sz w:val="21"/>
          <w:szCs w:val="21"/>
        </w:rPr>
      </w:pPr>
    </w:p>
    <w:p w14:paraId="2B4494B3" w14:textId="77777777" w:rsidR="001F4153" w:rsidRPr="00934227" w:rsidRDefault="001F4153" w:rsidP="001F4153">
      <w:pPr>
        <w:ind w:left="284" w:right="616"/>
        <w:jc w:val="both"/>
        <w:rPr>
          <w:rFonts w:ascii="Abadi" w:hAnsi="Abadi"/>
          <w:b/>
          <w:bCs/>
          <w:i/>
          <w:iCs/>
          <w:sz w:val="21"/>
          <w:szCs w:val="21"/>
          <w:u w:val="single"/>
        </w:rPr>
      </w:pPr>
      <w:r w:rsidRPr="00934227">
        <w:rPr>
          <w:rFonts w:ascii="Abadi" w:hAnsi="Abadi"/>
          <w:b/>
          <w:bCs/>
          <w:i/>
          <w:iCs/>
          <w:sz w:val="21"/>
          <w:szCs w:val="21"/>
          <w:u w:val="single"/>
        </w:rPr>
        <w:t>Remít</w:t>
      </w:r>
      <w:r>
        <w:rPr>
          <w:rFonts w:ascii="Abadi" w:hAnsi="Abadi"/>
          <w:b/>
          <w:bCs/>
          <w:i/>
          <w:iCs/>
          <w:sz w:val="21"/>
          <w:szCs w:val="21"/>
          <w:u w:val="single"/>
        </w:rPr>
        <w:t>ase</w:t>
      </w:r>
      <w:r w:rsidRPr="00934227">
        <w:rPr>
          <w:rFonts w:ascii="Abadi" w:hAnsi="Abadi"/>
          <w:b/>
          <w:bCs/>
          <w:i/>
          <w:iCs/>
          <w:sz w:val="21"/>
          <w:szCs w:val="21"/>
          <w:u w:val="single"/>
        </w:rPr>
        <w:t xml:space="preserve"> al </w:t>
      </w:r>
      <w:r>
        <w:rPr>
          <w:rFonts w:ascii="Abadi" w:hAnsi="Abadi"/>
          <w:b/>
          <w:bCs/>
          <w:i/>
          <w:iCs/>
          <w:sz w:val="21"/>
          <w:szCs w:val="21"/>
          <w:u w:val="single"/>
        </w:rPr>
        <w:t>E</w:t>
      </w:r>
      <w:r w:rsidRPr="00934227">
        <w:rPr>
          <w:rFonts w:ascii="Abadi" w:hAnsi="Abadi"/>
          <w:b/>
          <w:bCs/>
          <w:i/>
          <w:iCs/>
          <w:sz w:val="21"/>
          <w:szCs w:val="21"/>
          <w:u w:val="single"/>
        </w:rPr>
        <w:t xml:space="preserve">jecutivo del </w:t>
      </w:r>
      <w:r>
        <w:rPr>
          <w:rFonts w:ascii="Abadi" w:hAnsi="Abadi"/>
          <w:b/>
          <w:bCs/>
          <w:i/>
          <w:iCs/>
          <w:sz w:val="21"/>
          <w:szCs w:val="21"/>
          <w:u w:val="single"/>
        </w:rPr>
        <w:t>E</w:t>
      </w:r>
      <w:r w:rsidRPr="00934227">
        <w:rPr>
          <w:rFonts w:ascii="Abadi" w:hAnsi="Abadi"/>
          <w:b/>
          <w:bCs/>
          <w:i/>
          <w:iCs/>
          <w:sz w:val="21"/>
          <w:szCs w:val="21"/>
          <w:u w:val="single"/>
        </w:rPr>
        <w:t>stado del decreto aprobado para los efectos constitucionales de su competencia.</w:t>
      </w:r>
    </w:p>
    <w:p w14:paraId="64EBD610" w14:textId="77777777" w:rsidR="00E3434F" w:rsidRPr="0028553C" w:rsidRDefault="00E3434F" w:rsidP="00E462B6">
      <w:pPr>
        <w:autoSpaceDE w:val="0"/>
        <w:autoSpaceDN w:val="0"/>
        <w:adjustRightInd w:val="0"/>
        <w:jc w:val="both"/>
        <w:rPr>
          <w:rFonts w:ascii="Abadi" w:hAnsi="Abadi" w:cs="ArialMT"/>
          <w:b/>
          <w:bCs/>
          <w:sz w:val="20"/>
          <w:szCs w:val="21"/>
        </w:rPr>
      </w:pPr>
    </w:p>
    <w:p w14:paraId="10CA2481" w14:textId="49FB9C8C" w:rsidR="00E462B6" w:rsidRPr="00E3434F" w:rsidRDefault="00E462B6" w:rsidP="00E3434F">
      <w:pPr>
        <w:pStyle w:val="Prrafodelista"/>
        <w:numPr>
          <w:ilvl w:val="0"/>
          <w:numId w:val="14"/>
        </w:numPr>
        <w:autoSpaceDE w:val="0"/>
        <w:autoSpaceDN w:val="0"/>
        <w:adjustRightInd w:val="0"/>
        <w:contextualSpacing/>
        <w:jc w:val="both"/>
        <w:rPr>
          <w:rFonts w:ascii="Abadi" w:hAnsi="Abadi" w:cs="ArialMT"/>
          <w:b/>
          <w:bCs/>
          <w:sz w:val="20"/>
          <w:szCs w:val="21"/>
        </w:rPr>
      </w:pPr>
      <w:r w:rsidRPr="0028553C">
        <w:rPr>
          <w:rFonts w:ascii="Abadi" w:hAnsi="Abadi" w:cs="ArialMT"/>
          <w:b/>
          <w:bCs/>
          <w:sz w:val="20"/>
          <w:szCs w:val="21"/>
        </w:rPr>
        <w:t>DISCUSIÓN Y, EN SU CASO, APROBACIÓN DEL DICTAMEN PRESENTADO POR LA COMISIÓN DE DESARROLLO URBANO Y OBRA PÚBLICA RELATIVO A LA INICIATIVA FORMULADA POR DIPUTADAS Y DIPUTADOS INTEGRANTES DEL GRUPO PARLAMENTARIO</w:t>
      </w:r>
      <w:r w:rsidR="00E3434F">
        <w:rPr>
          <w:rFonts w:ascii="Abadi" w:hAnsi="Abadi" w:cs="ArialMT"/>
          <w:b/>
          <w:bCs/>
          <w:sz w:val="20"/>
          <w:szCs w:val="21"/>
        </w:rPr>
        <w:t xml:space="preserve"> </w:t>
      </w:r>
      <w:r w:rsidRPr="00E3434F">
        <w:rPr>
          <w:rFonts w:ascii="Abadi" w:hAnsi="Abadi" w:cs="ArialMT"/>
          <w:b/>
          <w:bCs/>
          <w:sz w:val="20"/>
          <w:szCs w:val="21"/>
        </w:rPr>
        <w:t>DEL PARTIDO ACCIÓN NACIONAL A EFECTO DE REFORMAR EL PÁRRAFO TERCERO DEL ARTÍCULO 104 DE LA LEY DE OBRA PÚBLICA Y SERVICIOS RELACIONADOS CON LA MISMA PARA EL ESTADO Y LOS MUNICIPIOS DE GUANAJUATO.</w:t>
      </w:r>
    </w:p>
    <w:p w14:paraId="744B8BB3" w14:textId="77777777" w:rsidR="00CF3747" w:rsidRDefault="00CF3747" w:rsidP="00CF3747">
      <w:pPr>
        <w:autoSpaceDE w:val="0"/>
        <w:autoSpaceDN w:val="0"/>
        <w:adjustRightInd w:val="0"/>
        <w:contextualSpacing/>
        <w:jc w:val="both"/>
        <w:rPr>
          <w:rFonts w:ascii="Abadi" w:hAnsi="Abadi" w:cs="ArialMT"/>
          <w:b/>
          <w:bCs/>
          <w:sz w:val="20"/>
          <w:szCs w:val="21"/>
        </w:rPr>
      </w:pPr>
    </w:p>
    <w:p w14:paraId="3ED0AB42" w14:textId="77777777" w:rsidR="0091769A" w:rsidRPr="00161856" w:rsidRDefault="0091769A" w:rsidP="0091769A">
      <w:pPr>
        <w:pStyle w:val="Textoindependiente2"/>
        <w:widowControl w:val="0"/>
        <w:spacing w:line="240" w:lineRule="auto"/>
        <w:rPr>
          <w:rFonts w:ascii="Abadi" w:hAnsi="Abadi"/>
          <w:b/>
          <w:bCs/>
          <w:sz w:val="21"/>
          <w:szCs w:val="21"/>
          <w:lang w:val="es-MX"/>
        </w:rPr>
      </w:pPr>
      <w:r w:rsidRPr="00161856">
        <w:rPr>
          <w:rFonts w:ascii="Abadi" w:hAnsi="Abadi"/>
          <w:b/>
          <w:bCs/>
          <w:sz w:val="21"/>
          <w:szCs w:val="21"/>
          <w:lang w:val="es-MX"/>
        </w:rPr>
        <w:t>DICTAMEN QUE LA COMISIÓN DE DESARROLLO URBANO Y OBRA PÚBLICA PRESENTA AL PLENO DEL CONGRESO, DE LA INICIATIVA FORMULADA POR DIPUTADAS Y DIPUTADOS INTEGRANTES DEL GRUPO PARLAMENTARIO DEL PARTIDO ACCIÓN NACIONAL A EFECTO DE REFORMAR EL PÁRRAFO TERCERO DEL ARTÍCULO 104 DE LA LEY DE OBRA PÚBLICA Y SERVICIOS RELACIONADOS CON LA MISMA PARA EL ESTADO Y LOS MUNICIPIOS DE GUANAJUATO (ELD 290/LXV-I).</w:t>
      </w:r>
    </w:p>
    <w:p w14:paraId="6646C822" w14:textId="77777777" w:rsidR="0091769A" w:rsidRPr="00161856" w:rsidRDefault="0091769A" w:rsidP="0091769A">
      <w:pPr>
        <w:pStyle w:val="Textoindependiente"/>
        <w:widowControl w:val="0"/>
        <w:spacing w:line="360" w:lineRule="auto"/>
        <w:rPr>
          <w:rFonts w:ascii="Abadi" w:hAnsi="Abadi"/>
          <w:sz w:val="21"/>
          <w:szCs w:val="21"/>
        </w:rPr>
      </w:pPr>
    </w:p>
    <w:p w14:paraId="4478B34B" w14:textId="77777777" w:rsidR="0091769A" w:rsidRPr="00161856" w:rsidRDefault="0091769A" w:rsidP="0091769A">
      <w:pPr>
        <w:pStyle w:val="Textoindependiente"/>
        <w:widowControl w:val="0"/>
        <w:spacing w:line="360" w:lineRule="auto"/>
        <w:rPr>
          <w:rFonts w:ascii="Abadi" w:hAnsi="Abadi"/>
          <w:sz w:val="21"/>
          <w:szCs w:val="21"/>
        </w:rPr>
      </w:pPr>
    </w:p>
    <w:p w14:paraId="65831026" w14:textId="77777777" w:rsidR="0091769A" w:rsidRPr="00161856" w:rsidRDefault="0091769A" w:rsidP="0046208F">
      <w:pPr>
        <w:pStyle w:val="Textoindependiente"/>
        <w:widowControl w:val="0"/>
        <w:ind w:firstLine="851"/>
        <w:rPr>
          <w:rFonts w:ascii="Abadi" w:hAnsi="Abadi"/>
          <w:sz w:val="21"/>
          <w:szCs w:val="21"/>
        </w:rPr>
      </w:pPr>
      <w:r w:rsidRPr="00161856">
        <w:rPr>
          <w:rFonts w:ascii="Abadi" w:hAnsi="Abadi"/>
          <w:sz w:val="21"/>
          <w:szCs w:val="21"/>
        </w:rPr>
        <w:t>A la Comisión de Desarrollo Urbano y Obra Pública le fue turnada para estudio y dictamen, la iniciativa formulada por diputadas y diputados integrantes del Grupo Parlamentario del Partido Acción Nacional a efecto de reformar el párrafo tercero del artículo 104 de la Ley de Obra Pública y Servicios relacionados con la misma para el Estado y los Municipios de Guanajuato.</w:t>
      </w:r>
    </w:p>
    <w:p w14:paraId="700F5BB7" w14:textId="77777777" w:rsidR="0091769A" w:rsidRPr="00161856" w:rsidRDefault="0091769A" w:rsidP="0046208F">
      <w:pPr>
        <w:pStyle w:val="Textoindependiente"/>
        <w:widowControl w:val="0"/>
        <w:rPr>
          <w:rFonts w:ascii="Abadi" w:hAnsi="Abadi"/>
          <w:sz w:val="21"/>
          <w:szCs w:val="21"/>
        </w:rPr>
      </w:pPr>
    </w:p>
    <w:p w14:paraId="183E7A7D" w14:textId="77777777" w:rsidR="0091769A" w:rsidRPr="00161856" w:rsidRDefault="0091769A" w:rsidP="0046208F">
      <w:pPr>
        <w:pStyle w:val="Textoindependiente"/>
        <w:widowControl w:val="0"/>
        <w:ind w:firstLine="851"/>
        <w:rPr>
          <w:rFonts w:ascii="Abadi" w:hAnsi="Abadi"/>
          <w:sz w:val="21"/>
          <w:szCs w:val="21"/>
        </w:rPr>
      </w:pPr>
      <w:r w:rsidRPr="00161856">
        <w:rPr>
          <w:rFonts w:ascii="Abadi" w:hAnsi="Abadi"/>
          <w:sz w:val="21"/>
          <w:szCs w:val="21"/>
        </w:rPr>
        <w:t>Analizada la iniciativa de referencia, esta Comisión de conformidad con lo dispuesto en los artículos 89 -fracción V- y 171 de la Ley Orgánica del Poder Legislativo del Estado de Guanajuato rinde el dictamen, con base en las siguientes:</w:t>
      </w:r>
    </w:p>
    <w:p w14:paraId="2FEDBC64" w14:textId="77777777" w:rsidR="0091769A" w:rsidRPr="00161856" w:rsidRDefault="0091769A" w:rsidP="0046208F">
      <w:pPr>
        <w:pStyle w:val="Textoindependiente"/>
        <w:widowControl w:val="0"/>
        <w:rPr>
          <w:rFonts w:ascii="Abadi" w:hAnsi="Abadi"/>
          <w:sz w:val="21"/>
          <w:szCs w:val="21"/>
        </w:rPr>
      </w:pPr>
    </w:p>
    <w:p w14:paraId="4E611DE5" w14:textId="77777777" w:rsidR="0091769A" w:rsidRPr="00161856" w:rsidRDefault="0091769A" w:rsidP="0046208F">
      <w:pPr>
        <w:pStyle w:val="Textoindependiente"/>
        <w:widowControl w:val="0"/>
        <w:rPr>
          <w:rFonts w:ascii="Abadi" w:hAnsi="Abadi"/>
          <w:sz w:val="21"/>
          <w:szCs w:val="21"/>
        </w:rPr>
      </w:pPr>
    </w:p>
    <w:p w14:paraId="7EC4C4A9" w14:textId="77777777" w:rsidR="0091769A" w:rsidRPr="00161856" w:rsidRDefault="0091769A" w:rsidP="0046208F">
      <w:pPr>
        <w:pStyle w:val="Sangradetextonormal"/>
        <w:widowControl w:val="0"/>
        <w:jc w:val="center"/>
        <w:rPr>
          <w:rFonts w:ascii="Abadi" w:hAnsi="Abadi"/>
          <w:b/>
          <w:sz w:val="21"/>
          <w:szCs w:val="21"/>
        </w:rPr>
      </w:pPr>
      <w:r w:rsidRPr="00161856">
        <w:rPr>
          <w:rFonts w:ascii="Abadi" w:hAnsi="Abadi"/>
          <w:b/>
          <w:sz w:val="21"/>
          <w:szCs w:val="21"/>
        </w:rPr>
        <w:t>C O N S I D E R A C I O N E S</w:t>
      </w:r>
    </w:p>
    <w:p w14:paraId="5DB98BDE" w14:textId="77777777" w:rsidR="0091769A" w:rsidRPr="00161856" w:rsidRDefault="0091769A" w:rsidP="0046208F">
      <w:pPr>
        <w:pStyle w:val="Textoindependiente"/>
        <w:widowControl w:val="0"/>
        <w:rPr>
          <w:rFonts w:ascii="Abadi" w:hAnsi="Abadi"/>
          <w:sz w:val="21"/>
          <w:szCs w:val="21"/>
        </w:rPr>
      </w:pPr>
    </w:p>
    <w:p w14:paraId="3237A2E2" w14:textId="77777777" w:rsidR="0091769A" w:rsidRPr="00161856" w:rsidRDefault="0091769A" w:rsidP="0046208F">
      <w:pPr>
        <w:pStyle w:val="Textoindependiente"/>
        <w:widowControl w:val="0"/>
        <w:ind w:firstLine="851"/>
        <w:rPr>
          <w:rFonts w:ascii="Abadi" w:hAnsi="Abadi"/>
          <w:b w:val="0"/>
          <w:sz w:val="21"/>
          <w:szCs w:val="21"/>
        </w:rPr>
      </w:pPr>
      <w:r w:rsidRPr="00161856">
        <w:rPr>
          <w:rFonts w:ascii="Abadi" w:hAnsi="Abadi"/>
          <w:sz w:val="21"/>
          <w:szCs w:val="21"/>
        </w:rPr>
        <w:t>PROCESO LEGISLATIVO.</w:t>
      </w:r>
    </w:p>
    <w:p w14:paraId="1B708CC6" w14:textId="77777777" w:rsidR="0091769A" w:rsidRPr="00161856" w:rsidRDefault="0091769A" w:rsidP="0046208F">
      <w:pPr>
        <w:pStyle w:val="Textoindependiente"/>
        <w:widowControl w:val="0"/>
        <w:rPr>
          <w:rFonts w:ascii="Abadi" w:hAnsi="Abadi"/>
          <w:sz w:val="21"/>
          <w:szCs w:val="21"/>
        </w:rPr>
      </w:pPr>
    </w:p>
    <w:p w14:paraId="47D54525" w14:textId="49081C7A" w:rsidR="0091769A" w:rsidRPr="00161856" w:rsidRDefault="0091769A" w:rsidP="0046208F">
      <w:pPr>
        <w:pStyle w:val="Textoindependiente"/>
        <w:widowControl w:val="0"/>
        <w:ind w:firstLine="851"/>
        <w:rPr>
          <w:rFonts w:ascii="Abadi" w:hAnsi="Abadi"/>
          <w:sz w:val="21"/>
          <w:szCs w:val="21"/>
        </w:rPr>
      </w:pPr>
      <w:r w:rsidRPr="00161856">
        <w:rPr>
          <w:rFonts w:ascii="Abadi" w:hAnsi="Abadi"/>
          <w:sz w:val="21"/>
          <w:szCs w:val="21"/>
        </w:rPr>
        <w:t xml:space="preserve">En sesión de la Diputación Permanente del 28 de julio de 2022 se dio cuenta con la iniciativa, misma que se turnó </w:t>
      </w:r>
      <w:r w:rsidR="00CB551D" w:rsidRPr="00161856">
        <w:rPr>
          <w:rFonts w:ascii="Abadi" w:hAnsi="Abadi"/>
          <w:i/>
          <w:noProof/>
          <w:sz w:val="21"/>
          <w:szCs w:val="21"/>
          <w:lang w:val="es-MX"/>
        </w:rPr>
        <w:drawing>
          <wp:anchor distT="0" distB="0" distL="114300" distR="114300" simplePos="0" relativeHeight="251721728" behindDoc="0" locked="0" layoutInCell="1" allowOverlap="1" wp14:anchorId="04201E3B" wp14:editId="66280290">
            <wp:simplePos x="0" y="0"/>
            <wp:positionH relativeFrom="column">
              <wp:posOffset>3595466</wp:posOffset>
            </wp:positionH>
            <wp:positionV relativeFrom="paragraph">
              <wp:posOffset>69011</wp:posOffset>
            </wp:positionV>
            <wp:extent cx="2821940" cy="1784909"/>
            <wp:effectExtent l="0" t="0" r="0" b="6350"/>
            <wp:wrapSquare wrapText="bothSides"/>
            <wp:docPr id="2" name="Imagen 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 Aplicación&#10;&#10;Descripción generada automáticamente"/>
                    <pic:cNvPicPr/>
                  </pic:nvPicPr>
                  <pic:blipFill rotWithShape="1">
                    <a:blip r:embed="rId84" cstate="print">
                      <a:extLst>
                        <a:ext uri="{28A0092B-C50C-407E-A947-70E740481C1C}">
                          <a14:useLocalDpi xmlns:a14="http://schemas.microsoft.com/office/drawing/2010/main" val="0"/>
                        </a:ext>
                      </a:extLst>
                    </a:blip>
                    <a:srcRect l="24511" t="22173" r="25187" b="11081"/>
                    <a:stretch/>
                  </pic:blipFill>
                  <pic:spPr bwMode="auto">
                    <a:xfrm>
                      <a:off x="0" y="0"/>
                      <a:ext cx="2821940" cy="1784909"/>
                    </a:xfrm>
                    <a:prstGeom prst="rect">
                      <a:avLst/>
                    </a:prstGeom>
                    <a:ln>
                      <a:noFill/>
                    </a:ln>
                    <a:extLst>
                      <a:ext uri="{53640926-AAD7-44D8-BBD7-CCE9431645EC}">
                        <a14:shadowObscured xmlns:a14="http://schemas.microsoft.com/office/drawing/2010/main"/>
                      </a:ext>
                    </a:extLst>
                  </pic:spPr>
                </pic:pic>
              </a:graphicData>
            </a:graphic>
          </wp:anchor>
        </w:drawing>
      </w:r>
      <w:r w:rsidRPr="00161856">
        <w:rPr>
          <w:rFonts w:ascii="Abadi" w:hAnsi="Abadi"/>
          <w:sz w:val="21"/>
          <w:szCs w:val="21"/>
        </w:rPr>
        <w:t>por la Presidencia del Congreso a esta Comisión legislativa para su estudio y dictamen, con fundamento en el artículo 108 -fracción I- de la Ley Orgánica del Poder Legislativo del Estado de Guanajuato.</w:t>
      </w:r>
    </w:p>
    <w:p w14:paraId="5BCA85A4" w14:textId="77777777" w:rsidR="0091769A" w:rsidRPr="00161856" w:rsidRDefault="0091769A" w:rsidP="0046208F">
      <w:pPr>
        <w:pStyle w:val="Textoindependiente"/>
        <w:widowControl w:val="0"/>
        <w:rPr>
          <w:rFonts w:ascii="Abadi" w:hAnsi="Abadi"/>
          <w:sz w:val="21"/>
          <w:szCs w:val="21"/>
        </w:rPr>
      </w:pPr>
    </w:p>
    <w:p w14:paraId="0375BF52" w14:textId="77777777" w:rsidR="0091769A" w:rsidRPr="00161856" w:rsidRDefault="0091769A" w:rsidP="0046208F">
      <w:pPr>
        <w:pStyle w:val="Textoindependiente"/>
        <w:widowControl w:val="0"/>
        <w:ind w:firstLine="851"/>
        <w:rPr>
          <w:rFonts w:ascii="Abadi" w:hAnsi="Abadi"/>
          <w:sz w:val="21"/>
          <w:szCs w:val="21"/>
        </w:rPr>
      </w:pPr>
      <w:r w:rsidRPr="00161856">
        <w:rPr>
          <w:rFonts w:ascii="Abadi" w:hAnsi="Abadi"/>
          <w:sz w:val="21"/>
          <w:szCs w:val="21"/>
        </w:rPr>
        <w:t>En reunión de la Comisión de fecha 16 de agosto de 2022, se dio cuenta con la iniciativa.</w:t>
      </w:r>
    </w:p>
    <w:p w14:paraId="57395EFD" w14:textId="77777777" w:rsidR="0091769A" w:rsidRPr="00161856" w:rsidRDefault="0091769A" w:rsidP="0046208F">
      <w:pPr>
        <w:pStyle w:val="NormalWeb"/>
        <w:widowControl w:val="0"/>
        <w:spacing w:before="0" w:beforeAutospacing="0" w:after="0" w:afterAutospacing="0"/>
        <w:jc w:val="both"/>
        <w:rPr>
          <w:rFonts w:ascii="Abadi" w:hAnsi="Abadi" w:cs="Arial"/>
          <w:sz w:val="21"/>
          <w:szCs w:val="21"/>
          <w:lang w:val="es-MX"/>
        </w:rPr>
      </w:pPr>
    </w:p>
    <w:p w14:paraId="4EFE0493" w14:textId="77777777" w:rsidR="0091769A" w:rsidRPr="00161856" w:rsidRDefault="0091769A" w:rsidP="0046208F">
      <w:pPr>
        <w:pStyle w:val="Textoindependiente"/>
        <w:widowControl w:val="0"/>
        <w:ind w:left="851"/>
        <w:rPr>
          <w:rFonts w:ascii="Abadi" w:hAnsi="Abadi"/>
          <w:b w:val="0"/>
          <w:sz w:val="21"/>
          <w:szCs w:val="21"/>
        </w:rPr>
      </w:pPr>
      <w:r w:rsidRPr="00161856">
        <w:rPr>
          <w:rFonts w:ascii="Abadi" w:hAnsi="Abadi"/>
          <w:sz w:val="21"/>
          <w:szCs w:val="21"/>
        </w:rPr>
        <w:t>Propósito de la iniciativa.</w:t>
      </w:r>
    </w:p>
    <w:p w14:paraId="02024E21" w14:textId="77777777" w:rsidR="0091769A" w:rsidRPr="00161856" w:rsidRDefault="0091769A" w:rsidP="0046208F">
      <w:pPr>
        <w:widowControl w:val="0"/>
        <w:jc w:val="both"/>
        <w:rPr>
          <w:rFonts w:ascii="Abadi" w:hAnsi="Abadi"/>
          <w:sz w:val="21"/>
          <w:szCs w:val="21"/>
          <w:lang w:val="es-MX"/>
        </w:rPr>
      </w:pPr>
    </w:p>
    <w:p w14:paraId="2D7BE97C" w14:textId="77777777" w:rsidR="0091769A" w:rsidRPr="00161856" w:rsidRDefault="0091769A" w:rsidP="0046208F">
      <w:pPr>
        <w:widowControl w:val="0"/>
        <w:ind w:firstLine="851"/>
        <w:jc w:val="both"/>
        <w:rPr>
          <w:rFonts w:ascii="Abadi" w:hAnsi="Abadi"/>
          <w:sz w:val="21"/>
          <w:szCs w:val="21"/>
          <w:lang w:val="es-MX"/>
        </w:rPr>
      </w:pPr>
      <w:r w:rsidRPr="00161856">
        <w:rPr>
          <w:rFonts w:ascii="Abadi" w:hAnsi="Abadi"/>
          <w:sz w:val="21"/>
          <w:szCs w:val="21"/>
          <w:lang w:val="es-MX"/>
        </w:rPr>
        <w:t>Las diputadas y los diputados iniciantes refieren en la exposición de motivos lo siguiente:</w:t>
      </w:r>
    </w:p>
    <w:p w14:paraId="05B8F4F2" w14:textId="77777777" w:rsidR="0091769A" w:rsidRPr="00161856" w:rsidRDefault="0091769A" w:rsidP="0046208F">
      <w:pPr>
        <w:widowControl w:val="0"/>
        <w:ind w:left="851" w:right="851"/>
        <w:jc w:val="both"/>
        <w:rPr>
          <w:rFonts w:ascii="Abadi" w:hAnsi="Abadi"/>
          <w:i/>
          <w:sz w:val="21"/>
          <w:szCs w:val="21"/>
          <w:lang w:val="es-MX"/>
        </w:rPr>
      </w:pPr>
    </w:p>
    <w:p w14:paraId="2399A98E" w14:textId="77777777" w:rsidR="0091769A" w:rsidRPr="00161856" w:rsidRDefault="0091769A" w:rsidP="0046208F">
      <w:pPr>
        <w:widowControl w:val="0"/>
        <w:ind w:left="851" w:right="851"/>
        <w:jc w:val="both"/>
        <w:rPr>
          <w:rFonts w:ascii="Abadi" w:hAnsi="Abadi"/>
          <w:i/>
          <w:sz w:val="21"/>
          <w:szCs w:val="21"/>
          <w:lang w:val="es-MX"/>
        </w:rPr>
      </w:pPr>
      <w:r w:rsidRPr="00161856">
        <w:rPr>
          <w:rFonts w:ascii="Abadi" w:hAnsi="Abadi"/>
          <w:i/>
          <w:sz w:val="21"/>
          <w:szCs w:val="21"/>
          <w:lang w:val="es-MX"/>
        </w:rPr>
        <w:t>El sector constructor es uno de los ejes centrales de la economía nacional y local. Con una aportación superior al 7% del Producto Interno Bruto se ubica en la cuarta posición generadora de riqueza del país. Su importancia se confirma al revisar las cifras en materia de empleo. Absorbe más de 5 millones de empleos directos en el país y por el efecto multiplicador en razón de los sectores vinculados, se estima que la industria genera más de 7 millones de empleos formales directos e indirectos.</w:t>
      </w:r>
    </w:p>
    <w:p w14:paraId="590A648E" w14:textId="77777777" w:rsidR="0091769A" w:rsidRPr="00161856" w:rsidRDefault="0091769A" w:rsidP="0046208F">
      <w:pPr>
        <w:widowControl w:val="0"/>
        <w:ind w:left="851" w:right="851"/>
        <w:jc w:val="both"/>
        <w:rPr>
          <w:rFonts w:ascii="Abadi" w:hAnsi="Abadi"/>
          <w:i/>
          <w:sz w:val="21"/>
          <w:szCs w:val="21"/>
          <w:lang w:val="es-MX"/>
        </w:rPr>
      </w:pPr>
    </w:p>
    <w:p w14:paraId="7EC08FB9" w14:textId="77777777" w:rsidR="0091769A" w:rsidRPr="00161856" w:rsidRDefault="0091769A" w:rsidP="0046208F">
      <w:pPr>
        <w:widowControl w:val="0"/>
        <w:ind w:left="851" w:right="851"/>
        <w:jc w:val="both"/>
        <w:rPr>
          <w:rFonts w:ascii="Abadi" w:hAnsi="Abadi"/>
          <w:i/>
          <w:sz w:val="21"/>
          <w:szCs w:val="21"/>
          <w:lang w:val="es-MX"/>
        </w:rPr>
      </w:pPr>
    </w:p>
    <w:p w14:paraId="3C569AE0" w14:textId="77777777" w:rsidR="0091769A" w:rsidRPr="00161856" w:rsidRDefault="0091769A" w:rsidP="0046208F">
      <w:pPr>
        <w:widowControl w:val="0"/>
        <w:ind w:left="851" w:right="851"/>
        <w:jc w:val="both"/>
        <w:rPr>
          <w:rFonts w:ascii="Abadi" w:hAnsi="Abadi"/>
          <w:i/>
          <w:sz w:val="21"/>
          <w:szCs w:val="21"/>
          <w:lang w:val="es-MX"/>
        </w:rPr>
      </w:pPr>
    </w:p>
    <w:p w14:paraId="61806827" w14:textId="77777777" w:rsidR="0091769A" w:rsidRPr="00161856" w:rsidRDefault="0091769A" w:rsidP="0046208F">
      <w:pPr>
        <w:widowControl w:val="0"/>
        <w:ind w:left="851" w:right="851"/>
        <w:jc w:val="both"/>
        <w:rPr>
          <w:rFonts w:ascii="Abadi" w:hAnsi="Abadi"/>
          <w:i/>
          <w:sz w:val="21"/>
          <w:szCs w:val="21"/>
          <w:lang w:val="es-MX"/>
        </w:rPr>
      </w:pPr>
      <w:r w:rsidRPr="00161856">
        <w:rPr>
          <w:rFonts w:ascii="Abadi" w:hAnsi="Abadi"/>
          <w:i/>
          <w:sz w:val="21"/>
          <w:szCs w:val="21"/>
          <w:lang w:val="es-MX"/>
        </w:rPr>
        <w:t>En Guanajuato, en 2020 el sector registró una contracción de 19% de acuerdo a cifras de la Cámara Mexicana de la Industria de la Construcción. En 2021 se observa una recuperación con cifras de dos dígitos y en la tasa de empleo se registran mejorías sostenidas durante todo el ejercicio.</w:t>
      </w:r>
    </w:p>
    <w:p w14:paraId="162885C6" w14:textId="77777777" w:rsidR="0091769A" w:rsidRPr="00161856" w:rsidRDefault="0091769A" w:rsidP="0046208F">
      <w:pPr>
        <w:widowControl w:val="0"/>
        <w:ind w:left="851" w:right="851"/>
        <w:jc w:val="both"/>
        <w:rPr>
          <w:rFonts w:ascii="Abadi" w:hAnsi="Abadi"/>
          <w:i/>
          <w:sz w:val="21"/>
          <w:szCs w:val="21"/>
          <w:lang w:val="es-MX"/>
        </w:rPr>
      </w:pPr>
    </w:p>
    <w:p w14:paraId="2BA0BC19" w14:textId="0C4B8A5F" w:rsidR="0091769A" w:rsidRPr="00161856" w:rsidRDefault="0091769A" w:rsidP="0046208F">
      <w:pPr>
        <w:widowControl w:val="0"/>
        <w:ind w:left="851" w:right="851"/>
        <w:jc w:val="both"/>
        <w:rPr>
          <w:rFonts w:ascii="Abadi" w:hAnsi="Abadi"/>
          <w:i/>
          <w:sz w:val="21"/>
          <w:szCs w:val="21"/>
          <w:lang w:val="es-MX"/>
        </w:rPr>
      </w:pPr>
    </w:p>
    <w:p w14:paraId="505CC347" w14:textId="77777777" w:rsidR="0091769A" w:rsidRPr="00161856" w:rsidRDefault="0091769A" w:rsidP="0046208F">
      <w:pPr>
        <w:widowControl w:val="0"/>
        <w:ind w:left="851" w:right="851"/>
        <w:jc w:val="both"/>
        <w:rPr>
          <w:rFonts w:ascii="Abadi" w:hAnsi="Abadi"/>
          <w:i/>
          <w:sz w:val="21"/>
          <w:szCs w:val="21"/>
          <w:lang w:val="es-MX"/>
        </w:rPr>
      </w:pPr>
    </w:p>
    <w:p w14:paraId="4DB75E36" w14:textId="77777777" w:rsidR="00CB551D" w:rsidRDefault="00CB551D" w:rsidP="0046208F">
      <w:pPr>
        <w:widowControl w:val="0"/>
        <w:ind w:left="851" w:right="851"/>
        <w:jc w:val="both"/>
        <w:rPr>
          <w:rFonts w:ascii="Abadi" w:hAnsi="Abadi"/>
          <w:i/>
          <w:sz w:val="21"/>
          <w:szCs w:val="21"/>
          <w:lang w:val="es-MX"/>
        </w:rPr>
      </w:pPr>
    </w:p>
    <w:p w14:paraId="11BC5D7A" w14:textId="5739567A" w:rsidR="0091769A" w:rsidRPr="00161856" w:rsidRDefault="0091769A" w:rsidP="0046208F">
      <w:pPr>
        <w:widowControl w:val="0"/>
        <w:ind w:left="851" w:right="851"/>
        <w:jc w:val="both"/>
        <w:rPr>
          <w:rFonts w:ascii="Abadi" w:hAnsi="Abadi"/>
          <w:i/>
          <w:sz w:val="21"/>
          <w:szCs w:val="21"/>
          <w:lang w:val="es-MX"/>
        </w:rPr>
      </w:pPr>
      <w:r w:rsidRPr="00161856">
        <w:rPr>
          <w:rFonts w:ascii="Abadi" w:hAnsi="Abadi"/>
          <w:i/>
          <w:sz w:val="21"/>
          <w:szCs w:val="21"/>
          <w:lang w:val="es-MX"/>
        </w:rPr>
        <w:t>La industria tiene características distintivas frente a otros sectores por lo que se requieren políticas que consideren las condiciones y problemáticas que inciden en su desempeño. Se destacan las de mayor relevancia considerando tanto aquellas que devienen de las condiciones coyunturales que han afectado al sector, como características propias de la industria que motivan propuestas de política pública a fin de impulsar acciones económicas en el sector:</w:t>
      </w:r>
    </w:p>
    <w:p w14:paraId="025ACD44" w14:textId="77777777" w:rsidR="0091769A" w:rsidRPr="00161856" w:rsidRDefault="0091769A" w:rsidP="0046208F">
      <w:pPr>
        <w:widowControl w:val="0"/>
        <w:ind w:left="851" w:right="851"/>
        <w:jc w:val="both"/>
        <w:rPr>
          <w:rFonts w:ascii="Abadi" w:hAnsi="Abadi"/>
          <w:i/>
          <w:sz w:val="21"/>
          <w:szCs w:val="21"/>
          <w:lang w:val="es-MX"/>
        </w:rPr>
      </w:pPr>
    </w:p>
    <w:p w14:paraId="7081692A" w14:textId="77777777" w:rsidR="0091769A" w:rsidRPr="00161856" w:rsidRDefault="0091769A" w:rsidP="0046208F">
      <w:pPr>
        <w:widowControl w:val="0"/>
        <w:ind w:left="851" w:right="851"/>
        <w:jc w:val="both"/>
        <w:rPr>
          <w:rFonts w:ascii="Abadi" w:hAnsi="Abadi"/>
          <w:i/>
          <w:sz w:val="21"/>
          <w:szCs w:val="21"/>
          <w:lang w:val="es-MX"/>
        </w:rPr>
      </w:pPr>
      <w:r w:rsidRPr="00161856">
        <w:rPr>
          <w:rFonts w:ascii="Abadi" w:hAnsi="Abadi"/>
          <w:i/>
          <w:sz w:val="21"/>
          <w:szCs w:val="21"/>
          <w:lang w:val="es-MX"/>
        </w:rPr>
        <w:t>i. La contingencia sanitaria tuvo efectos relevantes en el sector de la construcción tanto por la inversión del sector privado como por la disponibilidad presupuestal en el caso del sector público. De acuerdo con cifras de la Cámara de la Industria de la Construcción, la inversión privada en 2020 registró cifras con una caída de 18.3%. En 2020, en el caso de la inversión pública se registró una contracción de 8.6% en razón de las modificaciones que exigió la disponibilidad de recursos derivados de la pandemia, además de las prioridades que han cambiado en la articulación del presupuesto federal.</w:t>
      </w:r>
    </w:p>
    <w:p w14:paraId="2FAC6AB2" w14:textId="77777777" w:rsidR="0091769A" w:rsidRPr="00161856" w:rsidRDefault="0091769A" w:rsidP="0046208F">
      <w:pPr>
        <w:widowControl w:val="0"/>
        <w:ind w:left="851" w:right="851"/>
        <w:jc w:val="both"/>
        <w:rPr>
          <w:rFonts w:ascii="Abadi" w:hAnsi="Abadi"/>
          <w:i/>
          <w:sz w:val="21"/>
          <w:szCs w:val="21"/>
          <w:lang w:val="es-MX"/>
        </w:rPr>
      </w:pPr>
    </w:p>
    <w:p w14:paraId="0485F194" w14:textId="77777777" w:rsidR="0091769A" w:rsidRPr="00161856" w:rsidRDefault="0091769A" w:rsidP="0046208F">
      <w:pPr>
        <w:widowControl w:val="0"/>
        <w:ind w:left="851" w:right="851"/>
        <w:jc w:val="both"/>
        <w:rPr>
          <w:rFonts w:ascii="Abadi" w:hAnsi="Abadi"/>
          <w:i/>
          <w:sz w:val="21"/>
          <w:szCs w:val="21"/>
          <w:lang w:val="es-MX"/>
        </w:rPr>
      </w:pPr>
      <w:r w:rsidRPr="00161856">
        <w:rPr>
          <w:rFonts w:ascii="Abadi" w:hAnsi="Abadi"/>
          <w:i/>
          <w:sz w:val="21"/>
          <w:szCs w:val="21"/>
          <w:lang w:val="es-MX"/>
        </w:rPr>
        <w:t>ii. La priorización de proyectos en el presupuesto federal ha implicado crecimientos extraordinarios en tres entidades federativas específicas, pero ha dejado descubiertas exigencias en diversas regiones del país.</w:t>
      </w:r>
    </w:p>
    <w:p w14:paraId="2191761C" w14:textId="77777777" w:rsidR="0091769A" w:rsidRPr="00161856" w:rsidRDefault="0091769A" w:rsidP="0046208F">
      <w:pPr>
        <w:widowControl w:val="0"/>
        <w:ind w:left="851" w:right="851"/>
        <w:jc w:val="both"/>
        <w:rPr>
          <w:rFonts w:ascii="Abadi" w:hAnsi="Abadi"/>
          <w:i/>
          <w:sz w:val="21"/>
          <w:szCs w:val="21"/>
          <w:lang w:val="es-MX"/>
        </w:rPr>
      </w:pPr>
    </w:p>
    <w:p w14:paraId="646CE49D" w14:textId="77777777" w:rsidR="0091769A" w:rsidRPr="00161856" w:rsidRDefault="0091769A" w:rsidP="0046208F">
      <w:pPr>
        <w:widowControl w:val="0"/>
        <w:ind w:left="851" w:right="851"/>
        <w:jc w:val="both"/>
        <w:rPr>
          <w:rFonts w:ascii="Abadi" w:hAnsi="Abadi"/>
          <w:i/>
          <w:sz w:val="21"/>
          <w:szCs w:val="21"/>
          <w:lang w:val="es-MX"/>
        </w:rPr>
      </w:pPr>
      <w:r w:rsidRPr="00161856">
        <w:rPr>
          <w:rFonts w:ascii="Abadi" w:hAnsi="Abadi"/>
          <w:i/>
          <w:sz w:val="21"/>
          <w:szCs w:val="21"/>
          <w:lang w:val="es-MX"/>
        </w:rPr>
        <w:t>iii. Si bien existe una recuperación en las cifras en el sector durante 2021 aún no se logra compensar las caídas del año previo. El Índice de Inversión Fija Bruta en construcción mostró una variación porcentual promedio de 5.6%. Frente a las cifras de disminución de dos años en ejercicios previos, aún se requieren mayores impulsos para alcanzar la recuperación integral del sector.</w:t>
      </w:r>
    </w:p>
    <w:p w14:paraId="408B5013" w14:textId="77777777" w:rsidR="0091769A" w:rsidRPr="00161856" w:rsidRDefault="0091769A" w:rsidP="0046208F">
      <w:pPr>
        <w:widowControl w:val="0"/>
        <w:ind w:left="851" w:right="851"/>
        <w:jc w:val="both"/>
        <w:rPr>
          <w:rFonts w:ascii="Abadi" w:hAnsi="Abadi"/>
          <w:i/>
          <w:sz w:val="21"/>
          <w:szCs w:val="21"/>
          <w:lang w:val="es-MX"/>
        </w:rPr>
      </w:pPr>
    </w:p>
    <w:p w14:paraId="3B8BB81A" w14:textId="77777777" w:rsidR="0091769A" w:rsidRPr="00161856" w:rsidRDefault="0091769A" w:rsidP="0046208F">
      <w:pPr>
        <w:widowControl w:val="0"/>
        <w:ind w:left="851" w:right="851"/>
        <w:jc w:val="both"/>
        <w:rPr>
          <w:rFonts w:ascii="Abadi" w:hAnsi="Abadi"/>
          <w:i/>
          <w:sz w:val="21"/>
          <w:szCs w:val="21"/>
          <w:lang w:val="es-MX"/>
        </w:rPr>
      </w:pPr>
      <w:r w:rsidRPr="00161856">
        <w:rPr>
          <w:rFonts w:ascii="Abadi" w:hAnsi="Abadi"/>
          <w:i/>
          <w:sz w:val="21"/>
          <w:szCs w:val="21"/>
          <w:lang w:val="es-MX"/>
        </w:rPr>
        <w:t>iv. El sector ha resentido los efectos inflacionarios que se observan en el último año. Diversos insumos en la industria registran incrementos de precios de dos dígitos por lo que los márgenes de las empresas del sector se han presionado lo cual incide en su capacidad de inversión.</w:t>
      </w:r>
    </w:p>
    <w:p w14:paraId="7A22970E" w14:textId="77777777" w:rsidR="0091769A" w:rsidRPr="00161856" w:rsidRDefault="0091769A" w:rsidP="0046208F">
      <w:pPr>
        <w:widowControl w:val="0"/>
        <w:ind w:left="851" w:right="851"/>
        <w:jc w:val="both"/>
        <w:rPr>
          <w:rFonts w:ascii="Abadi" w:hAnsi="Abadi"/>
          <w:i/>
          <w:sz w:val="21"/>
          <w:szCs w:val="21"/>
          <w:lang w:val="es-MX"/>
        </w:rPr>
      </w:pPr>
    </w:p>
    <w:p w14:paraId="1C09FD95" w14:textId="77777777" w:rsidR="0091769A" w:rsidRPr="00161856" w:rsidRDefault="0091769A" w:rsidP="0046208F">
      <w:pPr>
        <w:widowControl w:val="0"/>
        <w:ind w:left="851" w:right="851"/>
        <w:jc w:val="both"/>
        <w:rPr>
          <w:rFonts w:ascii="Abadi" w:hAnsi="Abadi"/>
          <w:i/>
          <w:sz w:val="21"/>
          <w:szCs w:val="21"/>
          <w:lang w:val="es-MX"/>
        </w:rPr>
      </w:pPr>
      <w:r w:rsidRPr="00161856">
        <w:rPr>
          <w:rFonts w:ascii="Abadi" w:hAnsi="Abadi"/>
          <w:i/>
          <w:sz w:val="21"/>
          <w:szCs w:val="21"/>
          <w:lang w:val="es-MX"/>
        </w:rPr>
        <w:t>v. La dinámica en industria se caracteriza por elevadas exigencias de gasto de capital. En ese sentido, las empresas en el sector requieren volúmenes significativos de recursos cuyos periodos de recuperación son de largo plazo. Ello exige soluciones que permitan mejorar la liquidez a empresas.</w:t>
      </w:r>
    </w:p>
    <w:p w14:paraId="4651FC98" w14:textId="77777777" w:rsidR="0091769A" w:rsidRPr="00161856" w:rsidRDefault="0091769A" w:rsidP="0046208F">
      <w:pPr>
        <w:widowControl w:val="0"/>
        <w:ind w:left="851" w:right="851"/>
        <w:jc w:val="both"/>
        <w:rPr>
          <w:rFonts w:ascii="Abadi" w:hAnsi="Abadi"/>
          <w:i/>
          <w:sz w:val="21"/>
          <w:szCs w:val="21"/>
          <w:lang w:val="es-MX"/>
        </w:rPr>
      </w:pPr>
    </w:p>
    <w:p w14:paraId="5254274A" w14:textId="77777777" w:rsidR="0091769A" w:rsidRPr="00161856" w:rsidRDefault="0091769A" w:rsidP="0046208F">
      <w:pPr>
        <w:widowControl w:val="0"/>
        <w:ind w:left="851" w:right="851"/>
        <w:jc w:val="both"/>
        <w:rPr>
          <w:rFonts w:ascii="Abadi" w:hAnsi="Abadi"/>
          <w:i/>
          <w:sz w:val="21"/>
          <w:szCs w:val="21"/>
          <w:lang w:val="es-MX"/>
        </w:rPr>
      </w:pPr>
      <w:r w:rsidRPr="00161856">
        <w:rPr>
          <w:rFonts w:ascii="Abadi" w:hAnsi="Abadi"/>
          <w:i/>
          <w:sz w:val="21"/>
          <w:szCs w:val="21"/>
          <w:lang w:val="es-MX"/>
        </w:rPr>
        <w:t>vi. Es una industria con diversos sectores indirectos vinculados, por lo que las determinaciones que se logren para incrementar las opciones financieras tienen un efecto multiplicador en la economía.</w:t>
      </w:r>
    </w:p>
    <w:p w14:paraId="01741415" w14:textId="77777777" w:rsidR="0091769A" w:rsidRPr="00161856" w:rsidRDefault="0091769A" w:rsidP="0046208F">
      <w:pPr>
        <w:widowControl w:val="0"/>
        <w:ind w:left="851" w:right="851"/>
        <w:jc w:val="both"/>
        <w:rPr>
          <w:rFonts w:ascii="Abadi" w:hAnsi="Abadi"/>
          <w:i/>
          <w:sz w:val="21"/>
          <w:szCs w:val="21"/>
          <w:lang w:val="es-MX"/>
        </w:rPr>
      </w:pPr>
    </w:p>
    <w:p w14:paraId="5D332712" w14:textId="77777777" w:rsidR="0091769A" w:rsidRPr="00161856" w:rsidRDefault="0091769A" w:rsidP="0046208F">
      <w:pPr>
        <w:widowControl w:val="0"/>
        <w:ind w:left="851" w:right="851"/>
        <w:jc w:val="both"/>
        <w:rPr>
          <w:rFonts w:ascii="Abadi" w:hAnsi="Abadi"/>
          <w:i/>
          <w:sz w:val="21"/>
          <w:szCs w:val="21"/>
          <w:lang w:val="es-MX"/>
        </w:rPr>
      </w:pPr>
      <w:r w:rsidRPr="00161856">
        <w:rPr>
          <w:rFonts w:ascii="Abadi" w:hAnsi="Abadi"/>
          <w:i/>
          <w:sz w:val="21"/>
          <w:szCs w:val="21"/>
          <w:lang w:val="es-MX"/>
        </w:rPr>
        <w:t>En ese alcance, la presente iniciativa se concentra en una reforma que tiene como objetivo abrir alternativas que contribuyan a facilitar el acceso a opciones financieras para empresas en el sector constructor.</w:t>
      </w:r>
    </w:p>
    <w:p w14:paraId="0E6EB549" w14:textId="77777777" w:rsidR="0091769A" w:rsidRPr="00161856" w:rsidRDefault="0091769A" w:rsidP="0046208F">
      <w:pPr>
        <w:widowControl w:val="0"/>
        <w:ind w:left="851" w:right="851"/>
        <w:jc w:val="both"/>
        <w:rPr>
          <w:rFonts w:ascii="Abadi" w:hAnsi="Abadi"/>
          <w:i/>
          <w:sz w:val="21"/>
          <w:szCs w:val="21"/>
          <w:lang w:val="es-MX"/>
        </w:rPr>
      </w:pPr>
    </w:p>
    <w:p w14:paraId="482D64FF" w14:textId="77777777" w:rsidR="0091769A" w:rsidRPr="00161856" w:rsidRDefault="0091769A" w:rsidP="0046208F">
      <w:pPr>
        <w:widowControl w:val="0"/>
        <w:ind w:left="851" w:right="851"/>
        <w:jc w:val="both"/>
        <w:rPr>
          <w:rFonts w:ascii="Abadi" w:hAnsi="Abadi"/>
          <w:i/>
          <w:sz w:val="21"/>
          <w:szCs w:val="21"/>
          <w:lang w:val="es-MX"/>
        </w:rPr>
      </w:pPr>
      <w:r w:rsidRPr="00161856">
        <w:rPr>
          <w:rFonts w:ascii="Abadi" w:hAnsi="Abadi"/>
          <w:i/>
          <w:sz w:val="21"/>
          <w:szCs w:val="21"/>
          <w:lang w:val="es-MX"/>
        </w:rPr>
        <w:t>En una industria demandante de gasto de capital, con exigencias de liquidez y en un escenario con niveles de inflación que incide en bienes del sector, es preciso diversificar alternativas que permitan a las empresas acelerar los procesos de cobro a fin de mejorar la solvencia de sus obligaciones.</w:t>
      </w:r>
    </w:p>
    <w:p w14:paraId="10885C50" w14:textId="77777777" w:rsidR="0091769A" w:rsidRPr="00161856" w:rsidRDefault="0091769A" w:rsidP="0046208F">
      <w:pPr>
        <w:widowControl w:val="0"/>
        <w:ind w:left="851" w:right="851"/>
        <w:jc w:val="both"/>
        <w:rPr>
          <w:rFonts w:ascii="Abadi" w:hAnsi="Abadi"/>
          <w:i/>
          <w:sz w:val="21"/>
          <w:szCs w:val="21"/>
          <w:lang w:val="es-MX"/>
        </w:rPr>
      </w:pPr>
    </w:p>
    <w:p w14:paraId="5A4A1C16" w14:textId="77777777" w:rsidR="0091769A" w:rsidRPr="00161856" w:rsidRDefault="0091769A" w:rsidP="0046208F">
      <w:pPr>
        <w:widowControl w:val="0"/>
        <w:ind w:left="851" w:right="851"/>
        <w:jc w:val="both"/>
        <w:rPr>
          <w:rFonts w:ascii="Abadi" w:hAnsi="Abadi"/>
          <w:i/>
          <w:sz w:val="21"/>
          <w:szCs w:val="21"/>
          <w:lang w:val="es-MX"/>
        </w:rPr>
      </w:pPr>
      <w:r w:rsidRPr="00161856">
        <w:rPr>
          <w:rFonts w:ascii="Abadi" w:hAnsi="Abadi"/>
          <w:i/>
          <w:sz w:val="21"/>
          <w:szCs w:val="21"/>
          <w:lang w:val="es-MX"/>
        </w:rPr>
        <w:t>Con la reforma propuesta se pretende mejorar la salud financiera de las empresas del sector al permitir acelerar los flujos de efectivo disponibles. Asimismo, se tiene como propósito construir una alternativa que coadyuve a acelerar el pago de sus obligaciones por lo que se genera un círculo virtuoso sobre las diversas ramas vinculadas en la industria.</w:t>
      </w:r>
    </w:p>
    <w:p w14:paraId="68246C94" w14:textId="77777777" w:rsidR="0091769A" w:rsidRPr="00161856" w:rsidRDefault="0091769A" w:rsidP="0046208F">
      <w:pPr>
        <w:widowControl w:val="0"/>
        <w:ind w:left="851" w:right="851"/>
        <w:jc w:val="both"/>
        <w:rPr>
          <w:rFonts w:ascii="Abadi" w:hAnsi="Abadi"/>
          <w:i/>
          <w:sz w:val="21"/>
          <w:szCs w:val="21"/>
          <w:lang w:val="es-MX"/>
        </w:rPr>
      </w:pPr>
    </w:p>
    <w:p w14:paraId="58665BE1" w14:textId="77777777" w:rsidR="0091769A" w:rsidRPr="00161856" w:rsidRDefault="0091769A" w:rsidP="0046208F">
      <w:pPr>
        <w:widowControl w:val="0"/>
        <w:ind w:left="851" w:right="851"/>
        <w:jc w:val="both"/>
        <w:rPr>
          <w:rFonts w:ascii="Abadi" w:hAnsi="Abadi"/>
          <w:i/>
          <w:sz w:val="21"/>
          <w:szCs w:val="21"/>
          <w:lang w:val="es-MX"/>
        </w:rPr>
      </w:pPr>
      <w:r w:rsidRPr="00161856">
        <w:rPr>
          <w:rFonts w:ascii="Abadi" w:hAnsi="Abadi"/>
          <w:i/>
          <w:sz w:val="21"/>
          <w:szCs w:val="21"/>
          <w:lang w:val="es-MX"/>
        </w:rPr>
        <w:t>En razón de las condiciones de precios que se observan en la industria, la iniciativa también coadyuvará a mejorar el flujo de efectivo de las empresas y facilitar la atención de las exigencias de capital que se requieren en el sector. Finalmente, la reforma busca que las empresas tengan acceso a una solución que permita mejorar sus niveles de liquidez a través de los propios contratos firmados, sin tener que incrementar las obligaciones o compromisos utilizando activos diversos de la propia sociedad. En ese sentido, se proveen soluciones financieras que permiten una mejor administración de los activos de la industria sin generar estrés por el incremento de garantías adicionales que exigirían otros esquemas crediticios.</w:t>
      </w:r>
    </w:p>
    <w:p w14:paraId="69DFB914" w14:textId="77777777" w:rsidR="0091769A" w:rsidRPr="00161856" w:rsidRDefault="0091769A" w:rsidP="0046208F">
      <w:pPr>
        <w:widowControl w:val="0"/>
        <w:ind w:left="851" w:right="851"/>
        <w:jc w:val="both"/>
        <w:rPr>
          <w:rFonts w:ascii="Abadi" w:hAnsi="Abadi"/>
          <w:i/>
          <w:sz w:val="21"/>
          <w:szCs w:val="21"/>
          <w:lang w:val="es-MX"/>
        </w:rPr>
      </w:pPr>
    </w:p>
    <w:p w14:paraId="46CC1526" w14:textId="77777777" w:rsidR="0091769A" w:rsidRPr="00161856" w:rsidRDefault="0091769A" w:rsidP="0046208F">
      <w:pPr>
        <w:widowControl w:val="0"/>
        <w:ind w:left="851" w:right="851"/>
        <w:jc w:val="both"/>
        <w:rPr>
          <w:rFonts w:ascii="Abadi" w:hAnsi="Abadi"/>
          <w:i/>
          <w:sz w:val="21"/>
          <w:szCs w:val="21"/>
          <w:lang w:val="es-MX"/>
        </w:rPr>
      </w:pPr>
      <w:r w:rsidRPr="00161856">
        <w:rPr>
          <w:rFonts w:ascii="Abadi" w:hAnsi="Abadi"/>
          <w:i/>
          <w:sz w:val="21"/>
          <w:szCs w:val="21"/>
          <w:lang w:val="es-MX"/>
        </w:rPr>
        <w:t>Con estos objetivos, se logrará el impulso económico del sector y acelerar el ritmo de creación de fuentes de empleo formales.</w:t>
      </w:r>
    </w:p>
    <w:p w14:paraId="1E542754" w14:textId="77777777" w:rsidR="0091769A" w:rsidRPr="00161856" w:rsidRDefault="0091769A" w:rsidP="0046208F">
      <w:pPr>
        <w:widowControl w:val="0"/>
        <w:ind w:left="851" w:right="851"/>
        <w:jc w:val="both"/>
        <w:rPr>
          <w:rFonts w:ascii="Abadi" w:hAnsi="Abadi"/>
          <w:i/>
          <w:sz w:val="21"/>
          <w:szCs w:val="21"/>
          <w:lang w:val="es-MX"/>
        </w:rPr>
      </w:pPr>
    </w:p>
    <w:p w14:paraId="1D7570CC" w14:textId="77777777" w:rsidR="0091769A" w:rsidRPr="00161856" w:rsidRDefault="0091769A" w:rsidP="0046208F">
      <w:pPr>
        <w:widowControl w:val="0"/>
        <w:ind w:left="851" w:right="851"/>
        <w:jc w:val="both"/>
        <w:rPr>
          <w:rFonts w:ascii="Abadi" w:hAnsi="Abadi"/>
          <w:i/>
          <w:sz w:val="21"/>
          <w:szCs w:val="21"/>
          <w:lang w:val="es-MX"/>
        </w:rPr>
      </w:pPr>
      <w:r w:rsidRPr="00161856">
        <w:rPr>
          <w:rFonts w:ascii="Abadi" w:hAnsi="Abadi"/>
          <w:i/>
          <w:sz w:val="21"/>
          <w:szCs w:val="21"/>
          <w:lang w:val="es-MX"/>
        </w:rPr>
        <w:t>Actualmente la Ley de Obra Pública y Servicios Relacionados con la misma para el Estado y los Municipios de Guanajuato prevé, en el párrafo tercero del artículo 104, la cesión total o parcial de los derechos y obligaciones que deriven de contratos de obra pública a través de instituciones financieras con el consentimiento del ente público contratante y del ente público responsable de la administración de recursos.</w:t>
      </w:r>
    </w:p>
    <w:p w14:paraId="3D750D30" w14:textId="77777777" w:rsidR="0091769A" w:rsidRPr="00161856" w:rsidRDefault="0091769A" w:rsidP="0046208F">
      <w:pPr>
        <w:widowControl w:val="0"/>
        <w:ind w:left="851" w:right="851"/>
        <w:jc w:val="both"/>
        <w:rPr>
          <w:rFonts w:ascii="Abadi" w:hAnsi="Abadi"/>
          <w:i/>
          <w:sz w:val="21"/>
          <w:szCs w:val="21"/>
          <w:lang w:val="es-MX"/>
        </w:rPr>
      </w:pPr>
    </w:p>
    <w:p w14:paraId="4E87C46D" w14:textId="77777777" w:rsidR="0091769A" w:rsidRPr="00161856" w:rsidRDefault="0091769A" w:rsidP="0046208F">
      <w:pPr>
        <w:widowControl w:val="0"/>
        <w:ind w:left="851" w:right="851"/>
        <w:jc w:val="both"/>
        <w:rPr>
          <w:rFonts w:ascii="Abadi" w:hAnsi="Abadi"/>
          <w:i/>
          <w:sz w:val="21"/>
          <w:szCs w:val="21"/>
          <w:lang w:val="es-MX"/>
        </w:rPr>
      </w:pPr>
      <w:r w:rsidRPr="00161856">
        <w:rPr>
          <w:rFonts w:ascii="Abadi" w:hAnsi="Abadi"/>
          <w:i/>
          <w:sz w:val="21"/>
          <w:szCs w:val="21"/>
          <w:lang w:val="es-MX"/>
        </w:rPr>
        <w:t xml:space="preserve">La norma vigente establece, sin embargo, la cesión a través de </w:t>
      </w:r>
      <w:r w:rsidRPr="00161856">
        <w:rPr>
          <w:rFonts w:ascii="Abadi" w:hAnsi="Abadi"/>
          <w:b/>
          <w:bCs/>
          <w:i/>
          <w:sz w:val="21"/>
          <w:szCs w:val="21"/>
          <w:lang w:val="es-MX"/>
        </w:rPr>
        <w:t>instituciones financieras</w:t>
      </w:r>
      <w:r w:rsidRPr="00161856">
        <w:rPr>
          <w:rFonts w:ascii="Abadi" w:hAnsi="Abadi"/>
          <w:i/>
          <w:sz w:val="21"/>
          <w:szCs w:val="21"/>
          <w:lang w:val="es-MX"/>
        </w:rPr>
        <w:t>. Al no ser materia de la legislación sujeta de análisis el concepto precitado, genera ambigüedad sobre aquellas instancias a través de las cuales es posible ejercer dicha cesión.</w:t>
      </w:r>
    </w:p>
    <w:p w14:paraId="49876935" w14:textId="77777777" w:rsidR="0091769A" w:rsidRPr="00161856" w:rsidRDefault="0091769A" w:rsidP="0046208F">
      <w:pPr>
        <w:widowControl w:val="0"/>
        <w:ind w:left="851" w:right="851"/>
        <w:jc w:val="both"/>
        <w:rPr>
          <w:rFonts w:ascii="Abadi" w:hAnsi="Abadi"/>
          <w:i/>
          <w:sz w:val="21"/>
          <w:szCs w:val="21"/>
          <w:lang w:val="es-MX"/>
        </w:rPr>
      </w:pPr>
    </w:p>
    <w:p w14:paraId="6ADBE766" w14:textId="77777777" w:rsidR="0091769A" w:rsidRPr="00161856" w:rsidRDefault="0091769A" w:rsidP="0046208F">
      <w:pPr>
        <w:widowControl w:val="0"/>
        <w:ind w:left="851" w:right="851"/>
        <w:jc w:val="both"/>
        <w:rPr>
          <w:rFonts w:ascii="Abadi" w:hAnsi="Abadi"/>
          <w:i/>
          <w:sz w:val="21"/>
          <w:szCs w:val="21"/>
          <w:lang w:val="es-MX"/>
        </w:rPr>
      </w:pPr>
      <w:r w:rsidRPr="00161856">
        <w:rPr>
          <w:rFonts w:ascii="Abadi" w:hAnsi="Abadi"/>
          <w:i/>
          <w:sz w:val="21"/>
          <w:szCs w:val="21"/>
          <w:lang w:val="es-MX"/>
        </w:rPr>
        <w:t>En ese alcance, se busca conservar exclusivamente como condicionantes de la cesión de los derechos de cobro sobre las estimaciones por trabajos ejecutados o facturas, contar con el consentimiento del ente público contratante y de la Secretaría de Finanzas, Inversión y Administración, de la Tesorería Municipal o del ente público que administre los recursos, según corresponda.</w:t>
      </w:r>
    </w:p>
    <w:p w14:paraId="11492965" w14:textId="77777777" w:rsidR="0091769A" w:rsidRPr="00161856" w:rsidRDefault="0091769A" w:rsidP="0046208F">
      <w:pPr>
        <w:widowControl w:val="0"/>
        <w:ind w:left="851" w:right="851"/>
        <w:jc w:val="both"/>
        <w:rPr>
          <w:rFonts w:ascii="Abadi" w:hAnsi="Abadi"/>
          <w:i/>
          <w:sz w:val="21"/>
          <w:szCs w:val="21"/>
          <w:lang w:val="es-MX"/>
        </w:rPr>
      </w:pPr>
    </w:p>
    <w:p w14:paraId="3EC5CC8D" w14:textId="77777777" w:rsidR="0091769A" w:rsidRPr="00161856" w:rsidRDefault="0091769A" w:rsidP="0046208F">
      <w:pPr>
        <w:widowControl w:val="0"/>
        <w:ind w:left="851" w:right="851"/>
        <w:jc w:val="both"/>
        <w:rPr>
          <w:rFonts w:ascii="Abadi" w:hAnsi="Abadi"/>
          <w:i/>
          <w:sz w:val="21"/>
          <w:szCs w:val="21"/>
          <w:lang w:val="es-MX"/>
        </w:rPr>
      </w:pPr>
      <w:r w:rsidRPr="00161856">
        <w:rPr>
          <w:rFonts w:ascii="Abadi" w:hAnsi="Abadi"/>
          <w:i/>
          <w:sz w:val="21"/>
          <w:szCs w:val="21"/>
          <w:lang w:val="es-MX"/>
        </w:rPr>
        <w:t>Se estima oportuno conservar las autorizaciones contempladas en la legislación vigente a fin de la que las unidades administrativas responsables del control presupuestal tomen las previsiones correspondientes y conserven los controles necesarios sobre la disciplina en el ejercicio del gasto público.</w:t>
      </w:r>
    </w:p>
    <w:p w14:paraId="4545144A" w14:textId="77777777" w:rsidR="0091769A" w:rsidRPr="00161856" w:rsidRDefault="0091769A" w:rsidP="0046208F">
      <w:pPr>
        <w:widowControl w:val="0"/>
        <w:ind w:left="851" w:right="851"/>
        <w:jc w:val="both"/>
        <w:rPr>
          <w:rFonts w:ascii="Abadi" w:hAnsi="Abadi"/>
          <w:i/>
          <w:sz w:val="21"/>
          <w:szCs w:val="21"/>
          <w:lang w:val="es-MX"/>
        </w:rPr>
      </w:pPr>
    </w:p>
    <w:p w14:paraId="06283746" w14:textId="77777777" w:rsidR="0091769A" w:rsidRPr="00161856" w:rsidRDefault="0091769A" w:rsidP="0046208F">
      <w:pPr>
        <w:widowControl w:val="0"/>
        <w:ind w:left="851" w:right="851"/>
        <w:jc w:val="both"/>
        <w:rPr>
          <w:rFonts w:ascii="Abadi" w:hAnsi="Abadi"/>
          <w:i/>
          <w:sz w:val="21"/>
          <w:szCs w:val="21"/>
          <w:lang w:val="es-MX"/>
        </w:rPr>
      </w:pPr>
    </w:p>
    <w:p w14:paraId="4FDD2A7B" w14:textId="77777777" w:rsidR="0091769A" w:rsidRPr="00161856" w:rsidRDefault="0091769A" w:rsidP="0046208F">
      <w:pPr>
        <w:widowControl w:val="0"/>
        <w:ind w:left="851" w:right="851"/>
        <w:jc w:val="both"/>
        <w:rPr>
          <w:rFonts w:ascii="Abadi" w:hAnsi="Abadi"/>
          <w:i/>
          <w:sz w:val="21"/>
          <w:szCs w:val="21"/>
          <w:lang w:val="es-MX"/>
        </w:rPr>
      </w:pPr>
    </w:p>
    <w:p w14:paraId="72B39768" w14:textId="77777777" w:rsidR="0091769A" w:rsidRPr="00161856" w:rsidRDefault="0091769A" w:rsidP="0046208F">
      <w:pPr>
        <w:widowControl w:val="0"/>
        <w:ind w:left="851" w:right="851"/>
        <w:jc w:val="both"/>
        <w:rPr>
          <w:rFonts w:ascii="Abadi" w:hAnsi="Abadi"/>
          <w:i/>
          <w:sz w:val="21"/>
          <w:szCs w:val="21"/>
          <w:lang w:val="es-MX"/>
        </w:rPr>
      </w:pPr>
      <w:r w:rsidRPr="00161856">
        <w:rPr>
          <w:rFonts w:ascii="Abadi" w:hAnsi="Abadi"/>
          <w:i/>
          <w:sz w:val="21"/>
          <w:szCs w:val="21"/>
          <w:lang w:val="es-MX"/>
        </w:rPr>
        <w:t>Se observa como casos indicativos en legislación federal y en las disposiciones comparadas en diversas entidades federativas que contemplan, en términos similares la previsión que se considera integrar en la legislación del Estado de Guanajuato, la posibilidad de cesión de derechos de cobro:</w:t>
      </w:r>
    </w:p>
    <w:p w14:paraId="6EC4721B" w14:textId="77777777" w:rsidR="0091769A" w:rsidRPr="00161856" w:rsidRDefault="0091769A" w:rsidP="0046208F">
      <w:pPr>
        <w:widowControl w:val="0"/>
        <w:ind w:left="851" w:right="851"/>
        <w:jc w:val="both"/>
        <w:rPr>
          <w:rFonts w:ascii="Abadi" w:hAnsi="Abadi"/>
          <w:i/>
          <w:sz w:val="21"/>
          <w:szCs w:val="21"/>
          <w:lang w:val="es-MX"/>
        </w:rPr>
      </w:pPr>
    </w:p>
    <w:p w14:paraId="015A636F" w14:textId="77777777" w:rsidR="0091769A" w:rsidRPr="00161856" w:rsidRDefault="0091769A" w:rsidP="0046208F">
      <w:pPr>
        <w:widowControl w:val="0"/>
        <w:ind w:left="851" w:right="851"/>
        <w:jc w:val="both"/>
        <w:rPr>
          <w:rFonts w:ascii="Abadi" w:hAnsi="Abadi"/>
          <w:i/>
          <w:sz w:val="21"/>
          <w:szCs w:val="21"/>
          <w:lang w:val="es-MX"/>
        </w:rPr>
      </w:pPr>
      <w:r w:rsidRPr="00161856">
        <w:rPr>
          <w:rFonts w:ascii="Abadi" w:hAnsi="Abadi"/>
          <w:i/>
          <w:sz w:val="21"/>
          <w:szCs w:val="21"/>
          <w:lang w:val="es-MX"/>
        </w:rPr>
        <w:t>…</w:t>
      </w:r>
    </w:p>
    <w:p w14:paraId="03A542EA" w14:textId="77777777" w:rsidR="0091769A" w:rsidRPr="00161856" w:rsidRDefault="0091769A" w:rsidP="0046208F">
      <w:pPr>
        <w:widowControl w:val="0"/>
        <w:ind w:left="851" w:right="851"/>
        <w:jc w:val="both"/>
        <w:rPr>
          <w:rFonts w:ascii="Abadi" w:hAnsi="Abadi"/>
          <w:i/>
          <w:sz w:val="21"/>
          <w:szCs w:val="21"/>
          <w:lang w:val="es-MX"/>
        </w:rPr>
      </w:pPr>
    </w:p>
    <w:p w14:paraId="7604B737" w14:textId="77777777" w:rsidR="0091769A" w:rsidRPr="00161856" w:rsidRDefault="0091769A" w:rsidP="0046208F">
      <w:pPr>
        <w:widowControl w:val="0"/>
        <w:ind w:left="851" w:right="851"/>
        <w:jc w:val="both"/>
        <w:rPr>
          <w:rFonts w:ascii="Abadi" w:hAnsi="Abadi"/>
          <w:i/>
          <w:sz w:val="21"/>
          <w:szCs w:val="21"/>
          <w:lang w:val="es-MX"/>
        </w:rPr>
      </w:pPr>
      <w:r w:rsidRPr="00161856">
        <w:rPr>
          <w:rFonts w:ascii="Abadi" w:hAnsi="Abadi"/>
          <w:i/>
          <w:sz w:val="21"/>
          <w:szCs w:val="21"/>
          <w:lang w:val="es-MX"/>
        </w:rPr>
        <w:t>En atención a las disposiciones para la identificación de los impactos que la presente iniciativa genera, se indica:</w:t>
      </w:r>
    </w:p>
    <w:p w14:paraId="2DF5A4C3" w14:textId="77777777" w:rsidR="0091769A" w:rsidRPr="00161856" w:rsidRDefault="0091769A" w:rsidP="0046208F">
      <w:pPr>
        <w:widowControl w:val="0"/>
        <w:ind w:left="851" w:right="851"/>
        <w:jc w:val="both"/>
        <w:rPr>
          <w:rFonts w:ascii="Abadi" w:hAnsi="Abadi"/>
          <w:i/>
          <w:sz w:val="21"/>
          <w:szCs w:val="21"/>
          <w:lang w:val="es-MX"/>
        </w:rPr>
      </w:pPr>
    </w:p>
    <w:p w14:paraId="43BE9718" w14:textId="77777777" w:rsidR="0091769A" w:rsidRPr="00161856" w:rsidRDefault="0091769A" w:rsidP="0046208F">
      <w:pPr>
        <w:widowControl w:val="0"/>
        <w:ind w:left="851" w:right="851"/>
        <w:jc w:val="both"/>
        <w:rPr>
          <w:rFonts w:ascii="Abadi" w:hAnsi="Abadi"/>
          <w:i/>
          <w:sz w:val="21"/>
          <w:szCs w:val="21"/>
          <w:lang w:val="es-MX"/>
        </w:rPr>
      </w:pPr>
      <w:r w:rsidRPr="00161856">
        <w:rPr>
          <w:rFonts w:ascii="Abadi" w:hAnsi="Abadi"/>
          <w:b/>
          <w:bCs/>
          <w:i/>
          <w:sz w:val="21"/>
          <w:szCs w:val="21"/>
          <w:lang w:val="es-MX"/>
        </w:rPr>
        <w:t>I. Impacto jurídico.</w:t>
      </w:r>
      <w:r w:rsidRPr="00161856">
        <w:rPr>
          <w:rFonts w:ascii="Abadi" w:hAnsi="Abadi"/>
          <w:i/>
          <w:sz w:val="21"/>
          <w:szCs w:val="21"/>
          <w:lang w:val="es-MX"/>
        </w:rPr>
        <w:t xml:space="preserve"> Esta Soberanía cuenta con las facultades para la creación del presente cuerpo normativo. La nueva legislación no afecta otros cuerpos normativos.</w:t>
      </w:r>
    </w:p>
    <w:p w14:paraId="01B74DC9" w14:textId="77777777" w:rsidR="0091769A" w:rsidRPr="00161856" w:rsidRDefault="0091769A" w:rsidP="0046208F">
      <w:pPr>
        <w:widowControl w:val="0"/>
        <w:ind w:left="851" w:right="851"/>
        <w:jc w:val="both"/>
        <w:rPr>
          <w:rFonts w:ascii="Abadi" w:hAnsi="Abadi"/>
          <w:i/>
          <w:sz w:val="21"/>
          <w:szCs w:val="21"/>
          <w:lang w:val="es-MX"/>
        </w:rPr>
      </w:pPr>
    </w:p>
    <w:p w14:paraId="702FD83B" w14:textId="77777777" w:rsidR="0091769A" w:rsidRPr="00161856" w:rsidRDefault="0091769A" w:rsidP="0046208F">
      <w:pPr>
        <w:widowControl w:val="0"/>
        <w:ind w:left="851" w:right="851"/>
        <w:jc w:val="both"/>
        <w:rPr>
          <w:rFonts w:ascii="Abadi" w:hAnsi="Abadi"/>
          <w:i/>
          <w:sz w:val="21"/>
          <w:szCs w:val="21"/>
          <w:lang w:val="es-MX"/>
        </w:rPr>
      </w:pPr>
      <w:r w:rsidRPr="00161856">
        <w:rPr>
          <w:rFonts w:ascii="Abadi" w:hAnsi="Abadi"/>
          <w:b/>
          <w:bCs/>
          <w:i/>
          <w:sz w:val="21"/>
          <w:szCs w:val="21"/>
          <w:lang w:val="es-MX"/>
        </w:rPr>
        <w:t>II. Impacto administrativo.</w:t>
      </w:r>
      <w:r w:rsidRPr="00161856">
        <w:rPr>
          <w:rFonts w:ascii="Abadi" w:hAnsi="Abadi"/>
          <w:i/>
          <w:sz w:val="21"/>
          <w:szCs w:val="21"/>
          <w:lang w:val="es-MX"/>
        </w:rPr>
        <w:t xml:space="preserve"> La iniciativa no genera impactos en estructuras organizacionales.</w:t>
      </w:r>
    </w:p>
    <w:p w14:paraId="768742D3" w14:textId="77777777" w:rsidR="0091769A" w:rsidRPr="00161856" w:rsidRDefault="0091769A" w:rsidP="0046208F">
      <w:pPr>
        <w:widowControl w:val="0"/>
        <w:ind w:left="851" w:right="851"/>
        <w:jc w:val="both"/>
        <w:rPr>
          <w:rFonts w:ascii="Abadi" w:hAnsi="Abadi"/>
          <w:i/>
          <w:sz w:val="21"/>
          <w:szCs w:val="21"/>
          <w:lang w:val="es-MX"/>
        </w:rPr>
      </w:pPr>
    </w:p>
    <w:p w14:paraId="3E1B7F14" w14:textId="77777777" w:rsidR="0091769A" w:rsidRPr="00161856" w:rsidRDefault="0091769A" w:rsidP="0046208F">
      <w:pPr>
        <w:widowControl w:val="0"/>
        <w:ind w:left="851" w:right="851"/>
        <w:jc w:val="both"/>
        <w:rPr>
          <w:rFonts w:ascii="Abadi" w:hAnsi="Abadi"/>
          <w:i/>
          <w:sz w:val="21"/>
          <w:szCs w:val="21"/>
          <w:lang w:val="es-MX"/>
        </w:rPr>
      </w:pPr>
      <w:r w:rsidRPr="00161856">
        <w:rPr>
          <w:rFonts w:ascii="Abadi" w:hAnsi="Abadi"/>
          <w:b/>
          <w:bCs/>
          <w:i/>
          <w:sz w:val="21"/>
          <w:szCs w:val="21"/>
          <w:lang w:val="es-MX"/>
        </w:rPr>
        <w:t>III. Impacto presupuestario.</w:t>
      </w:r>
      <w:r w:rsidRPr="00161856">
        <w:rPr>
          <w:rFonts w:ascii="Abadi" w:hAnsi="Abadi"/>
          <w:i/>
          <w:sz w:val="21"/>
          <w:szCs w:val="21"/>
          <w:lang w:val="es-MX"/>
        </w:rPr>
        <w:t xml:space="preserve"> La iniciativa no genera impactos presupuestales.</w:t>
      </w:r>
    </w:p>
    <w:p w14:paraId="3FE707CB" w14:textId="77777777" w:rsidR="0091769A" w:rsidRPr="00161856" w:rsidRDefault="0091769A" w:rsidP="0046208F">
      <w:pPr>
        <w:widowControl w:val="0"/>
        <w:ind w:left="851" w:right="851"/>
        <w:jc w:val="both"/>
        <w:rPr>
          <w:rFonts w:ascii="Abadi" w:hAnsi="Abadi"/>
          <w:i/>
          <w:sz w:val="21"/>
          <w:szCs w:val="21"/>
          <w:lang w:val="es-MX"/>
        </w:rPr>
      </w:pPr>
    </w:p>
    <w:p w14:paraId="1D22D54F" w14:textId="77777777" w:rsidR="0091769A" w:rsidRPr="00161856" w:rsidRDefault="0091769A" w:rsidP="0046208F">
      <w:pPr>
        <w:widowControl w:val="0"/>
        <w:ind w:left="851" w:right="851"/>
        <w:jc w:val="both"/>
        <w:rPr>
          <w:rFonts w:ascii="Abadi" w:hAnsi="Abadi"/>
          <w:i/>
          <w:sz w:val="21"/>
          <w:szCs w:val="21"/>
          <w:lang w:val="es-MX"/>
        </w:rPr>
      </w:pPr>
      <w:r w:rsidRPr="00161856">
        <w:rPr>
          <w:rFonts w:ascii="Abadi" w:hAnsi="Abadi"/>
          <w:b/>
          <w:bCs/>
          <w:i/>
          <w:sz w:val="21"/>
          <w:szCs w:val="21"/>
          <w:lang w:val="es-MX"/>
        </w:rPr>
        <w:t>IV. Impacto social.</w:t>
      </w:r>
      <w:r w:rsidRPr="00161856">
        <w:rPr>
          <w:rFonts w:ascii="Abadi" w:hAnsi="Abadi"/>
          <w:i/>
          <w:sz w:val="21"/>
          <w:szCs w:val="21"/>
          <w:lang w:val="es-MX"/>
        </w:rPr>
        <w:t xml:space="preserve"> Debido a la relevancia económica del sector constructor, la iniciativa tendrá impactos al mejorar las condiciones de liquidez, la celeridad de cobertura de obligaciones y la creación de una alternativa que permite abrir opciones para mejorar la administración de flujos de efectivo en una industria que generar miles de empleos en el Estado.</w:t>
      </w:r>
    </w:p>
    <w:p w14:paraId="5C5DF404" w14:textId="77777777" w:rsidR="0091769A" w:rsidRPr="00161856" w:rsidRDefault="0091769A" w:rsidP="0046208F">
      <w:pPr>
        <w:pStyle w:val="Textoindependiente"/>
        <w:widowControl w:val="0"/>
        <w:rPr>
          <w:rFonts w:ascii="Abadi" w:hAnsi="Abadi"/>
          <w:sz w:val="21"/>
          <w:szCs w:val="21"/>
        </w:rPr>
      </w:pPr>
    </w:p>
    <w:p w14:paraId="1B671FC3" w14:textId="77777777" w:rsidR="0091769A" w:rsidRPr="00161856" w:rsidRDefault="0091769A" w:rsidP="0046208F">
      <w:pPr>
        <w:pStyle w:val="Textoindependiente"/>
        <w:widowControl w:val="0"/>
        <w:rPr>
          <w:rFonts w:ascii="Abadi" w:hAnsi="Abadi"/>
          <w:sz w:val="21"/>
          <w:szCs w:val="21"/>
        </w:rPr>
      </w:pPr>
    </w:p>
    <w:p w14:paraId="5E3A3B4D" w14:textId="77777777" w:rsidR="0091769A" w:rsidRPr="00161856" w:rsidRDefault="0091769A" w:rsidP="0046208F">
      <w:pPr>
        <w:widowControl w:val="0"/>
        <w:ind w:left="851"/>
        <w:jc w:val="both"/>
        <w:rPr>
          <w:rFonts w:ascii="Abadi" w:hAnsi="Abadi" w:cs="Arial"/>
          <w:b/>
          <w:sz w:val="21"/>
          <w:szCs w:val="21"/>
          <w:lang w:val="es-MX"/>
        </w:rPr>
      </w:pPr>
      <w:r w:rsidRPr="00161856">
        <w:rPr>
          <w:rFonts w:ascii="Abadi" w:hAnsi="Abadi" w:cs="Arial"/>
          <w:b/>
          <w:sz w:val="21"/>
          <w:szCs w:val="21"/>
          <w:lang w:val="es-MX"/>
        </w:rPr>
        <w:t>Metodología acordada para el estudio y dictamen de la iniciativa.</w:t>
      </w:r>
    </w:p>
    <w:p w14:paraId="7B01F367" w14:textId="77777777" w:rsidR="0091769A" w:rsidRPr="00161856" w:rsidRDefault="0091769A" w:rsidP="0046208F">
      <w:pPr>
        <w:widowControl w:val="0"/>
        <w:jc w:val="both"/>
        <w:rPr>
          <w:rFonts w:ascii="Abadi" w:hAnsi="Abadi"/>
          <w:sz w:val="21"/>
          <w:szCs w:val="21"/>
          <w:lang w:val="es-MX"/>
        </w:rPr>
      </w:pPr>
    </w:p>
    <w:p w14:paraId="14E3AEFB" w14:textId="77777777" w:rsidR="0091769A" w:rsidRPr="00161856" w:rsidRDefault="0091769A" w:rsidP="0046208F">
      <w:pPr>
        <w:pStyle w:val="Textoindependiente"/>
        <w:widowControl w:val="0"/>
        <w:ind w:firstLine="851"/>
        <w:rPr>
          <w:rFonts w:ascii="Abadi" w:hAnsi="Abadi"/>
          <w:sz w:val="21"/>
          <w:szCs w:val="21"/>
        </w:rPr>
      </w:pPr>
      <w:r w:rsidRPr="00161856">
        <w:rPr>
          <w:rFonts w:ascii="Abadi" w:hAnsi="Abadi"/>
          <w:sz w:val="21"/>
          <w:szCs w:val="21"/>
        </w:rPr>
        <w:t>El 16 de agosto de 2022 se acordó por unanimidad la siguiente metodología para el estudio y dictamen de la iniciativa:</w:t>
      </w:r>
    </w:p>
    <w:p w14:paraId="7DBC90B2" w14:textId="77777777" w:rsidR="0091769A" w:rsidRPr="00161856" w:rsidRDefault="0091769A" w:rsidP="0046208F">
      <w:pPr>
        <w:widowControl w:val="0"/>
        <w:jc w:val="both"/>
        <w:rPr>
          <w:rFonts w:ascii="Abadi" w:hAnsi="Abadi"/>
          <w:sz w:val="21"/>
          <w:szCs w:val="21"/>
          <w:lang w:val="es-MX"/>
        </w:rPr>
      </w:pPr>
    </w:p>
    <w:p w14:paraId="460801BD" w14:textId="77777777" w:rsidR="0091769A" w:rsidRPr="00161856" w:rsidRDefault="0091769A" w:rsidP="0046208F">
      <w:pPr>
        <w:widowControl w:val="0"/>
        <w:ind w:left="1134" w:right="851" w:hanging="283"/>
        <w:jc w:val="both"/>
        <w:rPr>
          <w:rFonts w:ascii="Abadi" w:hAnsi="Abadi"/>
          <w:i/>
          <w:sz w:val="21"/>
          <w:szCs w:val="21"/>
          <w:lang w:val="es-MX"/>
        </w:rPr>
      </w:pPr>
      <w:r w:rsidRPr="00161856">
        <w:rPr>
          <w:rFonts w:ascii="Abadi" w:hAnsi="Abadi"/>
          <w:b/>
          <w:bCs/>
          <w:i/>
          <w:sz w:val="21"/>
          <w:szCs w:val="21"/>
          <w:lang w:val="es-MX"/>
        </w:rPr>
        <w:t>a)</w:t>
      </w:r>
      <w:r w:rsidRPr="00161856">
        <w:rPr>
          <w:rFonts w:ascii="Abadi" w:hAnsi="Abadi"/>
          <w:b/>
          <w:bCs/>
          <w:i/>
          <w:sz w:val="21"/>
          <w:szCs w:val="21"/>
          <w:lang w:val="es-MX"/>
        </w:rPr>
        <w:tab/>
      </w:r>
      <w:bookmarkStart w:id="45" w:name="_Hlk106784068"/>
      <w:r w:rsidRPr="00161856">
        <w:rPr>
          <w:rFonts w:ascii="Abadi" w:hAnsi="Abadi"/>
          <w:i/>
          <w:sz w:val="21"/>
          <w:szCs w:val="21"/>
          <w:lang w:val="es-MX"/>
        </w:rPr>
        <w:t>Subir la iniciativa al portal del Congreso del Estado para consulta y participación ciudadana. La cual estará disponible hasta el 14 de septiembre de 2022.</w:t>
      </w:r>
    </w:p>
    <w:p w14:paraId="3C3779EA" w14:textId="77777777" w:rsidR="0091769A" w:rsidRPr="00161856" w:rsidRDefault="0091769A" w:rsidP="0046208F">
      <w:pPr>
        <w:pStyle w:val="Prrafodelista"/>
        <w:widowControl w:val="0"/>
        <w:numPr>
          <w:ilvl w:val="0"/>
          <w:numId w:val="16"/>
        </w:numPr>
        <w:ind w:left="1418" w:right="851" w:hanging="284"/>
        <w:contextualSpacing/>
        <w:jc w:val="both"/>
        <w:rPr>
          <w:rFonts w:ascii="Abadi" w:hAnsi="Abadi"/>
          <w:i/>
          <w:sz w:val="21"/>
          <w:szCs w:val="21"/>
          <w:lang w:val="es-MX"/>
        </w:rPr>
      </w:pPr>
      <w:r w:rsidRPr="00161856">
        <w:rPr>
          <w:rFonts w:ascii="Abadi" w:hAnsi="Abadi"/>
          <w:i/>
          <w:sz w:val="21"/>
          <w:szCs w:val="21"/>
          <w:lang w:val="es-MX"/>
        </w:rPr>
        <w:t>Se informará a los ayuntamientos que podrán hacer llegar sus comentarios u observaciones a través del portal del Congreso o en forma física o electrónica (artículo 89 bis de la Ley Orgánica del Poder Legislativo del Estado).</w:t>
      </w:r>
    </w:p>
    <w:p w14:paraId="374CE013" w14:textId="77777777" w:rsidR="0091769A" w:rsidRPr="00161856" w:rsidRDefault="0091769A" w:rsidP="0046208F">
      <w:pPr>
        <w:pStyle w:val="Prrafodelista"/>
        <w:widowControl w:val="0"/>
        <w:numPr>
          <w:ilvl w:val="0"/>
          <w:numId w:val="16"/>
        </w:numPr>
        <w:ind w:left="1418" w:right="851" w:hanging="284"/>
        <w:contextualSpacing/>
        <w:jc w:val="both"/>
        <w:rPr>
          <w:rFonts w:ascii="Abadi" w:hAnsi="Abadi"/>
          <w:i/>
          <w:sz w:val="21"/>
          <w:szCs w:val="21"/>
          <w:lang w:val="es-MX"/>
        </w:rPr>
      </w:pPr>
      <w:r w:rsidRPr="00161856">
        <w:rPr>
          <w:rFonts w:ascii="Abadi" w:hAnsi="Abadi"/>
          <w:i/>
          <w:sz w:val="21"/>
          <w:szCs w:val="21"/>
          <w:lang w:val="es-MX"/>
        </w:rPr>
        <w:t>Se informará a la Secretaría de Infraestructura, Conectividad y Movilidad; a Fondos Guanajuato, y a la Coordinación General Jurídica de Gobierno del Estado, que a través del portal o por medio del sistema de firma electrónica podrán hacer llegar los comentarios u observaciones.</w:t>
      </w:r>
    </w:p>
    <w:bookmarkEnd w:id="45"/>
    <w:p w14:paraId="1B3CF91E" w14:textId="77777777" w:rsidR="0091769A" w:rsidRPr="00161856" w:rsidRDefault="0091769A" w:rsidP="0046208F">
      <w:pPr>
        <w:widowControl w:val="0"/>
        <w:ind w:right="851"/>
        <w:jc w:val="both"/>
        <w:rPr>
          <w:rFonts w:ascii="Abadi" w:hAnsi="Abadi"/>
          <w:i/>
          <w:sz w:val="21"/>
          <w:szCs w:val="21"/>
          <w:lang w:val="es-MX"/>
        </w:rPr>
      </w:pPr>
    </w:p>
    <w:p w14:paraId="0D2DC0EE" w14:textId="77777777" w:rsidR="0091769A" w:rsidRPr="00161856" w:rsidRDefault="0091769A" w:rsidP="0046208F">
      <w:pPr>
        <w:widowControl w:val="0"/>
        <w:ind w:left="1134" w:right="851" w:hanging="283"/>
        <w:jc w:val="both"/>
        <w:rPr>
          <w:rFonts w:ascii="Abadi" w:hAnsi="Abadi"/>
          <w:i/>
          <w:sz w:val="21"/>
          <w:szCs w:val="21"/>
          <w:lang w:val="es-MX"/>
        </w:rPr>
      </w:pPr>
      <w:r w:rsidRPr="00161856">
        <w:rPr>
          <w:rFonts w:ascii="Abadi" w:hAnsi="Abadi"/>
          <w:b/>
          <w:bCs/>
          <w:i/>
          <w:sz w:val="21"/>
          <w:szCs w:val="21"/>
          <w:lang w:val="es-MX"/>
        </w:rPr>
        <w:t>b)</w:t>
      </w:r>
      <w:r w:rsidRPr="00161856">
        <w:rPr>
          <w:rFonts w:ascii="Abadi" w:hAnsi="Abadi"/>
          <w:b/>
          <w:bCs/>
          <w:i/>
          <w:sz w:val="21"/>
          <w:szCs w:val="21"/>
          <w:lang w:val="es-MX"/>
        </w:rPr>
        <w:tab/>
      </w:r>
      <w:r w:rsidRPr="00161856">
        <w:rPr>
          <w:rFonts w:ascii="Abadi" w:hAnsi="Abadi"/>
          <w:i/>
          <w:sz w:val="21"/>
          <w:szCs w:val="21"/>
          <w:lang w:val="es-MX"/>
        </w:rPr>
        <w:t>Elaboración de un documento que concentre las observaciones que se hayan formulado a la iniciativa; tarea que estará a cargo de la secretaría técnica. Este documento servirá de insumo para, en su caso, determinar acciones que complementen la metodología.</w:t>
      </w:r>
    </w:p>
    <w:p w14:paraId="2F4F1373" w14:textId="77777777" w:rsidR="0091769A" w:rsidRPr="00161856" w:rsidRDefault="0091769A" w:rsidP="0046208F">
      <w:pPr>
        <w:widowControl w:val="0"/>
        <w:ind w:right="851"/>
        <w:jc w:val="both"/>
        <w:rPr>
          <w:rFonts w:ascii="Abadi" w:hAnsi="Abadi"/>
          <w:i/>
          <w:sz w:val="21"/>
          <w:szCs w:val="21"/>
          <w:lang w:val="es-MX"/>
        </w:rPr>
      </w:pPr>
    </w:p>
    <w:p w14:paraId="07A9E3F8" w14:textId="77777777" w:rsidR="0091769A" w:rsidRPr="00161856" w:rsidRDefault="0091769A" w:rsidP="0046208F">
      <w:pPr>
        <w:widowControl w:val="0"/>
        <w:ind w:left="1134" w:right="851" w:hanging="283"/>
        <w:jc w:val="both"/>
        <w:rPr>
          <w:rFonts w:ascii="Abadi" w:hAnsi="Abadi"/>
          <w:i/>
          <w:sz w:val="21"/>
          <w:szCs w:val="21"/>
          <w:lang w:val="es-MX"/>
        </w:rPr>
      </w:pPr>
      <w:r w:rsidRPr="00161856">
        <w:rPr>
          <w:rFonts w:ascii="Abadi" w:hAnsi="Abadi"/>
          <w:b/>
          <w:bCs/>
          <w:i/>
          <w:sz w:val="21"/>
          <w:szCs w:val="21"/>
          <w:lang w:val="es-MX"/>
        </w:rPr>
        <w:t>c)</w:t>
      </w:r>
      <w:r w:rsidRPr="00161856">
        <w:rPr>
          <w:rFonts w:ascii="Abadi" w:hAnsi="Abadi"/>
          <w:i/>
          <w:sz w:val="21"/>
          <w:szCs w:val="21"/>
          <w:lang w:val="es-MX"/>
        </w:rPr>
        <w:tab/>
        <w:t>Análisis y acuerdos para dictaminar.</w:t>
      </w:r>
    </w:p>
    <w:p w14:paraId="1B9B559F" w14:textId="77777777" w:rsidR="0091769A" w:rsidRPr="00161856" w:rsidRDefault="0091769A" w:rsidP="0046208F">
      <w:pPr>
        <w:widowControl w:val="0"/>
        <w:ind w:right="851"/>
        <w:jc w:val="both"/>
        <w:rPr>
          <w:rFonts w:ascii="Abadi" w:hAnsi="Abadi"/>
          <w:i/>
          <w:sz w:val="21"/>
          <w:szCs w:val="21"/>
          <w:lang w:val="es-MX"/>
        </w:rPr>
      </w:pPr>
    </w:p>
    <w:p w14:paraId="313074E7" w14:textId="77777777" w:rsidR="0091769A" w:rsidRPr="00161856" w:rsidRDefault="0091769A" w:rsidP="0046208F">
      <w:pPr>
        <w:widowControl w:val="0"/>
        <w:ind w:left="1134" w:right="851" w:hanging="283"/>
        <w:jc w:val="both"/>
        <w:rPr>
          <w:rFonts w:ascii="Abadi" w:hAnsi="Abadi"/>
          <w:sz w:val="21"/>
          <w:szCs w:val="21"/>
          <w:lang w:val="es-MX"/>
        </w:rPr>
      </w:pPr>
      <w:r w:rsidRPr="00161856">
        <w:rPr>
          <w:rFonts w:ascii="Abadi" w:hAnsi="Abadi"/>
          <w:b/>
          <w:bCs/>
          <w:i/>
          <w:sz w:val="21"/>
          <w:szCs w:val="21"/>
          <w:lang w:val="es-MX"/>
        </w:rPr>
        <w:t>d)</w:t>
      </w:r>
      <w:r w:rsidRPr="00161856">
        <w:rPr>
          <w:rFonts w:ascii="Abadi" w:hAnsi="Abadi"/>
          <w:i/>
          <w:sz w:val="21"/>
          <w:szCs w:val="21"/>
          <w:lang w:val="es-MX"/>
        </w:rPr>
        <w:tab/>
        <w:t>Discusión y aprobación del dictamen.</w:t>
      </w:r>
    </w:p>
    <w:p w14:paraId="2B0187FA" w14:textId="77777777" w:rsidR="0091769A" w:rsidRPr="00161856" w:rsidRDefault="0091769A" w:rsidP="0046208F">
      <w:pPr>
        <w:widowControl w:val="0"/>
        <w:jc w:val="both"/>
        <w:rPr>
          <w:rFonts w:ascii="Abadi" w:hAnsi="Abadi"/>
          <w:sz w:val="21"/>
          <w:szCs w:val="21"/>
          <w:lang w:val="es-MX"/>
        </w:rPr>
      </w:pPr>
    </w:p>
    <w:p w14:paraId="74CA554A" w14:textId="77777777" w:rsidR="0091769A" w:rsidRPr="00161856" w:rsidRDefault="0091769A" w:rsidP="0046208F">
      <w:pPr>
        <w:widowControl w:val="0"/>
        <w:jc w:val="both"/>
        <w:rPr>
          <w:rFonts w:ascii="Abadi" w:hAnsi="Abadi"/>
          <w:sz w:val="21"/>
          <w:szCs w:val="21"/>
          <w:lang w:val="es-MX"/>
        </w:rPr>
      </w:pPr>
    </w:p>
    <w:p w14:paraId="1136DF10" w14:textId="77777777" w:rsidR="0091769A" w:rsidRPr="00161856" w:rsidRDefault="0091769A" w:rsidP="0046208F">
      <w:pPr>
        <w:widowControl w:val="0"/>
        <w:jc w:val="both"/>
        <w:rPr>
          <w:rFonts w:ascii="Abadi" w:hAnsi="Abadi"/>
          <w:sz w:val="21"/>
          <w:szCs w:val="21"/>
          <w:lang w:val="es-MX"/>
        </w:rPr>
      </w:pPr>
    </w:p>
    <w:p w14:paraId="011820F0" w14:textId="77777777" w:rsidR="0091769A" w:rsidRPr="00161856" w:rsidRDefault="0091769A" w:rsidP="0046208F">
      <w:pPr>
        <w:widowControl w:val="0"/>
        <w:jc w:val="both"/>
        <w:rPr>
          <w:rFonts w:ascii="Abadi" w:hAnsi="Abadi"/>
          <w:sz w:val="21"/>
          <w:szCs w:val="21"/>
          <w:lang w:val="es-MX"/>
        </w:rPr>
      </w:pPr>
    </w:p>
    <w:p w14:paraId="15B44C8A" w14:textId="77777777" w:rsidR="0091769A" w:rsidRPr="00161856" w:rsidRDefault="0091769A" w:rsidP="0046208F">
      <w:pPr>
        <w:pStyle w:val="Textoindependiente"/>
        <w:widowControl w:val="0"/>
        <w:ind w:left="851"/>
        <w:rPr>
          <w:rFonts w:ascii="Abadi" w:hAnsi="Abadi"/>
          <w:b w:val="0"/>
          <w:sz w:val="21"/>
          <w:szCs w:val="21"/>
        </w:rPr>
      </w:pPr>
      <w:r w:rsidRPr="00161856">
        <w:rPr>
          <w:rFonts w:ascii="Abadi" w:hAnsi="Abadi"/>
          <w:sz w:val="21"/>
          <w:szCs w:val="21"/>
        </w:rPr>
        <w:t>Cumplimiento de las acciones acordadas para el estudio y dictamen de la iniciativa.</w:t>
      </w:r>
    </w:p>
    <w:p w14:paraId="40E90A33" w14:textId="77777777" w:rsidR="0091769A" w:rsidRPr="00161856" w:rsidRDefault="0091769A" w:rsidP="0046208F">
      <w:pPr>
        <w:widowControl w:val="0"/>
        <w:jc w:val="both"/>
        <w:rPr>
          <w:rFonts w:ascii="Abadi" w:hAnsi="Abadi" w:cs="Arial"/>
          <w:sz w:val="21"/>
          <w:szCs w:val="21"/>
          <w:lang w:val="es-ES_tradnl"/>
        </w:rPr>
      </w:pPr>
    </w:p>
    <w:p w14:paraId="4739111E" w14:textId="77777777" w:rsidR="0091769A" w:rsidRPr="00161856" w:rsidRDefault="0091769A" w:rsidP="0046208F">
      <w:pPr>
        <w:widowControl w:val="0"/>
        <w:ind w:firstLine="851"/>
        <w:jc w:val="both"/>
        <w:rPr>
          <w:rFonts w:ascii="Abadi" w:hAnsi="Abadi"/>
          <w:sz w:val="21"/>
          <w:szCs w:val="21"/>
          <w:lang w:val="es-MX"/>
        </w:rPr>
      </w:pPr>
      <w:r w:rsidRPr="00161856">
        <w:rPr>
          <w:rFonts w:ascii="Abadi" w:hAnsi="Abadi"/>
          <w:sz w:val="21"/>
          <w:szCs w:val="21"/>
          <w:lang w:val="es-MX"/>
        </w:rPr>
        <w:t>Dada la incidencia en la competencia municipal, en cumplimiento al artículo 56 de la Constitución Política para el Estado de Guanajuato, la iniciativa se remitió a los ayuntamientos.</w:t>
      </w:r>
    </w:p>
    <w:p w14:paraId="73529219" w14:textId="77777777" w:rsidR="0091769A" w:rsidRPr="00161856" w:rsidRDefault="0091769A" w:rsidP="0046208F">
      <w:pPr>
        <w:widowControl w:val="0"/>
        <w:jc w:val="both"/>
        <w:rPr>
          <w:rFonts w:ascii="Abadi" w:hAnsi="Abadi"/>
          <w:sz w:val="21"/>
          <w:szCs w:val="21"/>
          <w:lang w:val="es-MX"/>
        </w:rPr>
      </w:pPr>
    </w:p>
    <w:p w14:paraId="41BBBFFE" w14:textId="77777777" w:rsidR="0091769A" w:rsidRPr="00161856" w:rsidRDefault="0091769A" w:rsidP="0046208F">
      <w:pPr>
        <w:widowControl w:val="0"/>
        <w:ind w:firstLine="851"/>
        <w:jc w:val="both"/>
        <w:rPr>
          <w:rFonts w:ascii="Abadi" w:hAnsi="Abadi"/>
          <w:sz w:val="21"/>
          <w:szCs w:val="21"/>
          <w:lang w:val="es-MX"/>
        </w:rPr>
      </w:pPr>
      <w:r w:rsidRPr="00161856">
        <w:rPr>
          <w:rFonts w:ascii="Abadi" w:hAnsi="Abadi"/>
          <w:sz w:val="21"/>
          <w:szCs w:val="21"/>
          <w:lang w:val="es-MX"/>
        </w:rPr>
        <w:t>Dieron respuesta Abasolo, para comunicar el acuerdo de pronunciarse a favor de la iniciativa; Celaya, emitiendo opinión positiva; Coroneo, a fin de notificar la opinión positiva a la iniciativa; Doctor Mora, señalando que no existen comentarios o sugerencias que emitir; León, para compartir sus comentarios; Pénjamo, informando que, por mayoría calificada, se emite opinión en sentido positivo; Romita, comunicando el acuerdo de enterados y no contar con opinión al respecto; San Diego de la Unión, para informar el acuerdo de enterados y que no se emitieron comentarios; San Francisco del Rincón, para expresar que se tiene por recibida, se dan por enterados, y se dejó a disposición de los integrantes del Ayuntamiento; Santiago Maravatío, para comunicar el acuerdo de enterados y que no manifestaron ninguna opinión al respecto; Tarimoro, para informar que no existen propuestas ni observaciones; Victoria, a fin de notificar que la Comisión de Desarrollo Urbano y Ordenamiento Ecológico Territorial y Planeación, remite comentarios; y Yuriria, señalando que, al no existir opinión al respecto, se dan por enterados.</w:t>
      </w:r>
    </w:p>
    <w:p w14:paraId="5AC1574D" w14:textId="77777777" w:rsidR="0091769A" w:rsidRPr="00161856" w:rsidRDefault="0091769A" w:rsidP="0046208F">
      <w:pPr>
        <w:widowControl w:val="0"/>
        <w:jc w:val="both"/>
        <w:rPr>
          <w:rFonts w:ascii="Abadi" w:hAnsi="Abadi"/>
          <w:sz w:val="21"/>
          <w:szCs w:val="21"/>
          <w:lang w:val="es-MX"/>
        </w:rPr>
      </w:pPr>
    </w:p>
    <w:p w14:paraId="463F119E" w14:textId="77777777" w:rsidR="0091769A" w:rsidRPr="00161856" w:rsidRDefault="0091769A" w:rsidP="0046208F">
      <w:pPr>
        <w:widowControl w:val="0"/>
        <w:ind w:firstLine="851"/>
        <w:jc w:val="both"/>
        <w:rPr>
          <w:rFonts w:ascii="Abadi" w:hAnsi="Abadi"/>
          <w:sz w:val="21"/>
          <w:szCs w:val="21"/>
          <w:lang w:val="es-MX"/>
        </w:rPr>
      </w:pPr>
      <w:r w:rsidRPr="00161856">
        <w:rPr>
          <w:rFonts w:ascii="Abadi" w:hAnsi="Abadi"/>
          <w:sz w:val="21"/>
          <w:szCs w:val="21"/>
          <w:lang w:val="es-MX"/>
        </w:rPr>
        <w:t>El director general de Fondos Guanajuato formuló una precisión a la exposición de motivos, y el director general de Asuntos jurídicos de Irapuato comentarios.</w:t>
      </w:r>
    </w:p>
    <w:p w14:paraId="7C93C2C5" w14:textId="77777777" w:rsidR="0091769A" w:rsidRPr="00161856" w:rsidRDefault="0091769A" w:rsidP="0046208F">
      <w:pPr>
        <w:widowControl w:val="0"/>
        <w:jc w:val="both"/>
        <w:rPr>
          <w:rFonts w:ascii="Abadi" w:hAnsi="Abadi"/>
          <w:sz w:val="21"/>
          <w:szCs w:val="21"/>
          <w:lang w:val="es-MX"/>
        </w:rPr>
      </w:pPr>
    </w:p>
    <w:p w14:paraId="4BA400BE" w14:textId="77777777" w:rsidR="0091769A" w:rsidRPr="00161856" w:rsidRDefault="0091769A" w:rsidP="0046208F">
      <w:pPr>
        <w:widowControl w:val="0"/>
        <w:ind w:firstLine="851"/>
        <w:jc w:val="both"/>
        <w:rPr>
          <w:rFonts w:ascii="Abadi" w:hAnsi="Abadi"/>
          <w:sz w:val="21"/>
          <w:szCs w:val="21"/>
          <w:lang w:val="es-MX"/>
        </w:rPr>
      </w:pPr>
      <w:r w:rsidRPr="00161856">
        <w:rPr>
          <w:rFonts w:ascii="Abadi" w:hAnsi="Abadi"/>
          <w:sz w:val="21"/>
          <w:szCs w:val="21"/>
          <w:lang w:val="es-MX"/>
        </w:rPr>
        <w:t>En el marco de la promoción de la participación e inclusión ciudadana en el proceso legislativo se creó un micro sitio en la página del Congreso, invitando a enviar comentarios a la iniciativa. No se recibieron comentarios.</w:t>
      </w:r>
    </w:p>
    <w:p w14:paraId="6DBD588E" w14:textId="77777777" w:rsidR="0091769A" w:rsidRPr="00161856" w:rsidRDefault="0091769A" w:rsidP="0046208F">
      <w:pPr>
        <w:widowControl w:val="0"/>
        <w:jc w:val="both"/>
        <w:rPr>
          <w:rFonts w:ascii="Abadi" w:hAnsi="Abadi"/>
          <w:sz w:val="21"/>
          <w:szCs w:val="21"/>
          <w:lang w:val="es-MX"/>
        </w:rPr>
      </w:pPr>
    </w:p>
    <w:p w14:paraId="13FB3022" w14:textId="77777777" w:rsidR="0091769A" w:rsidRPr="00161856" w:rsidRDefault="0091769A" w:rsidP="0046208F">
      <w:pPr>
        <w:widowControl w:val="0"/>
        <w:ind w:firstLine="851"/>
        <w:jc w:val="both"/>
        <w:rPr>
          <w:rFonts w:ascii="Abadi" w:hAnsi="Abadi"/>
          <w:sz w:val="21"/>
          <w:szCs w:val="21"/>
          <w:lang w:val="es-MX"/>
        </w:rPr>
      </w:pPr>
      <w:r w:rsidRPr="00161856">
        <w:rPr>
          <w:rFonts w:ascii="Abadi" w:hAnsi="Abadi"/>
          <w:sz w:val="21"/>
          <w:szCs w:val="21"/>
          <w:lang w:val="es-MX"/>
        </w:rPr>
        <w:t>Las observaciones y propuestas formuladas se concentraron por parte de la secretaría técnica en un documento comparativo, a efecto de facilitar su análisis. El comparativo se entregó el 30 de septiembre de 2022.</w:t>
      </w:r>
    </w:p>
    <w:p w14:paraId="2672353C" w14:textId="77777777" w:rsidR="0091769A" w:rsidRPr="00161856" w:rsidRDefault="0091769A" w:rsidP="0046208F">
      <w:pPr>
        <w:widowControl w:val="0"/>
        <w:jc w:val="both"/>
        <w:rPr>
          <w:rFonts w:ascii="Abadi" w:hAnsi="Abadi"/>
          <w:sz w:val="21"/>
          <w:szCs w:val="21"/>
          <w:lang w:val="es-MX"/>
        </w:rPr>
      </w:pPr>
    </w:p>
    <w:p w14:paraId="06711112" w14:textId="77777777" w:rsidR="0091769A" w:rsidRPr="00161856" w:rsidRDefault="0091769A" w:rsidP="0046208F">
      <w:pPr>
        <w:widowControl w:val="0"/>
        <w:jc w:val="both"/>
        <w:rPr>
          <w:rFonts w:ascii="Abadi" w:hAnsi="Abadi"/>
          <w:sz w:val="21"/>
          <w:szCs w:val="21"/>
          <w:lang w:val="es-MX"/>
        </w:rPr>
      </w:pPr>
    </w:p>
    <w:p w14:paraId="3AA8A3F3" w14:textId="77777777" w:rsidR="0091769A" w:rsidRPr="00161856" w:rsidRDefault="0091769A" w:rsidP="0046208F">
      <w:pPr>
        <w:widowControl w:val="0"/>
        <w:jc w:val="both"/>
        <w:rPr>
          <w:rFonts w:ascii="Abadi" w:hAnsi="Abadi"/>
          <w:sz w:val="21"/>
          <w:szCs w:val="21"/>
          <w:lang w:val="es-MX"/>
        </w:rPr>
      </w:pPr>
    </w:p>
    <w:p w14:paraId="72A674E5" w14:textId="77777777" w:rsidR="0091769A" w:rsidRPr="00161856" w:rsidRDefault="0091769A" w:rsidP="0046208F">
      <w:pPr>
        <w:widowControl w:val="0"/>
        <w:jc w:val="both"/>
        <w:rPr>
          <w:rFonts w:ascii="Abadi" w:hAnsi="Abadi"/>
          <w:sz w:val="21"/>
          <w:szCs w:val="21"/>
          <w:lang w:val="es-MX"/>
        </w:rPr>
      </w:pPr>
    </w:p>
    <w:p w14:paraId="76DF6A4D" w14:textId="77777777" w:rsidR="0091769A" w:rsidRPr="00161856" w:rsidRDefault="0091769A" w:rsidP="0046208F">
      <w:pPr>
        <w:pStyle w:val="Textoindependiente"/>
        <w:widowControl w:val="0"/>
        <w:ind w:left="851"/>
        <w:rPr>
          <w:rFonts w:ascii="Abadi" w:hAnsi="Abadi"/>
          <w:b w:val="0"/>
          <w:sz w:val="21"/>
          <w:szCs w:val="21"/>
        </w:rPr>
      </w:pPr>
      <w:r w:rsidRPr="00161856">
        <w:rPr>
          <w:rFonts w:ascii="Abadi" w:hAnsi="Abadi"/>
          <w:sz w:val="21"/>
          <w:szCs w:val="21"/>
        </w:rPr>
        <w:t>Opiniones compartidas en el proceso de consulta.</w:t>
      </w:r>
    </w:p>
    <w:p w14:paraId="73FE0893" w14:textId="77777777" w:rsidR="0091769A" w:rsidRPr="00161856" w:rsidRDefault="0091769A" w:rsidP="0046208F">
      <w:pPr>
        <w:widowControl w:val="0"/>
        <w:jc w:val="both"/>
        <w:rPr>
          <w:rFonts w:ascii="Abadi" w:hAnsi="Abadi"/>
          <w:sz w:val="21"/>
          <w:szCs w:val="21"/>
          <w:lang w:val="es-MX"/>
        </w:rPr>
      </w:pPr>
    </w:p>
    <w:p w14:paraId="739BF24D" w14:textId="77777777" w:rsidR="0091769A" w:rsidRPr="00161856" w:rsidRDefault="0091769A" w:rsidP="0046208F">
      <w:pPr>
        <w:widowControl w:val="0"/>
        <w:ind w:firstLine="851"/>
        <w:jc w:val="both"/>
        <w:rPr>
          <w:rFonts w:ascii="Abadi" w:hAnsi="Abadi"/>
          <w:sz w:val="21"/>
          <w:szCs w:val="21"/>
          <w:lang w:val="es-MX"/>
        </w:rPr>
      </w:pPr>
      <w:r w:rsidRPr="00161856">
        <w:rPr>
          <w:rFonts w:ascii="Abadi" w:hAnsi="Abadi"/>
          <w:sz w:val="21"/>
          <w:szCs w:val="21"/>
          <w:lang w:val="es-MX"/>
        </w:rPr>
        <w:t>A continuación transcribimos la parte conducente de las propuestas y comentarios que se recibieron en el proceso de consulta, mismas que valoramos al dictaminar la iniciativa que nos ocupa:</w:t>
      </w:r>
    </w:p>
    <w:p w14:paraId="40AB5A66" w14:textId="77777777" w:rsidR="0091769A" w:rsidRPr="00161856" w:rsidRDefault="0091769A" w:rsidP="0046208F">
      <w:pPr>
        <w:widowControl w:val="0"/>
        <w:jc w:val="both"/>
        <w:rPr>
          <w:rFonts w:ascii="Abadi" w:hAnsi="Abadi"/>
          <w:sz w:val="21"/>
          <w:szCs w:val="21"/>
          <w:lang w:val="es-MX"/>
        </w:rPr>
      </w:pPr>
    </w:p>
    <w:p w14:paraId="08B7E096" w14:textId="77777777" w:rsidR="0091769A" w:rsidRPr="00161856" w:rsidRDefault="0091769A" w:rsidP="0046208F">
      <w:pPr>
        <w:widowControl w:val="0"/>
        <w:ind w:firstLine="851"/>
        <w:jc w:val="both"/>
        <w:rPr>
          <w:rFonts w:ascii="Abadi" w:hAnsi="Abadi"/>
          <w:sz w:val="21"/>
          <w:szCs w:val="21"/>
          <w:lang w:val="es-MX"/>
        </w:rPr>
      </w:pPr>
      <w:r w:rsidRPr="00161856">
        <w:rPr>
          <w:rFonts w:ascii="Abadi" w:hAnsi="Abadi"/>
          <w:sz w:val="21"/>
          <w:szCs w:val="21"/>
          <w:lang w:val="es-MX"/>
        </w:rPr>
        <w:t>El director general de Fondos Guanajuato formuló la siguiente consideración respecto de la exposición de motivos:</w:t>
      </w:r>
    </w:p>
    <w:p w14:paraId="112F92B1" w14:textId="77777777" w:rsidR="0091769A" w:rsidRPr="00161856" w:rsidRDefault="0091769A" w:rsidP="0046208F">
      <w:pPr>
        <w:widowControl w:val="0"/>
        <w:jc w:val="both"/>
        <w:rPr>
          <w:rFonts w:ascii="Abadi" w:hAnsi="Abadi"/>
          <w:sz w:val="21"/>
          <w:szCs w:val="21"/>
          <w:lang w:val="es-MX"/>
        </w:rPr>
      </w:pPr>
    </w:p>
    <w:p w14:paraId="691B4C9E" w14:textId="77777777" w:rsidR="0091769A" w:rsidRPr="00161856" w:rsidRDefault="0091769A" w:rsidP="0046208F">
      <w:pPr>
        <w:widowControl w:val="0"/>
        <w:ind w:left="851" w:right="851"/>
        <w:jc w:val="both"/>
        <w:rPr>
          <w:rFonts w:ascii="Abadi" w:hAnsi="Abadi"/>
          <w:i/>
          <w:sz w:val="21"/>
          <w:szCs w:val="21"/>
          <w:lang w:val="es-MX"/>
        </w:rPr>
      </w:pPr>
      <w:r w:rsidRPr="00161856">
        <w:rPr>
          <w:rFonts w:ascii="Abadi" w:hAnsi="Abadi"/>
          <w:i/>
          <w:sz w:val="21"/>
          <w:szCs w:val="21"/>
          <w:lang w:val="es-MX"/>
        </w:rPr>
        <w:t>En la página 7, dentro del cuadro de derecho comparado, al hacer referencia a la Ley de Obras Públicas y Servicios relacionados con las mismas del Estado de Chihuahua, se refirió a la Entidad como "CHIHUHUA".</w:t>
      </w:r>
    </w:p>
    <w:p w14:paraId="57572BB4" w14:textId="77777777" w:rsidR="0091769A" w:rsidRPr="00161856" w:rsidRDefault="0091769A" w:rsidP="0046208F">
      <w:pPr>
        <w:widowControl w:val="0"/>
        <w:ind w:left="851" w:right="851"/>
        <w:jc w:val="both"/>
        <w:rPr>
          <w:rFonts w:ascii="Abadi" w:hAnsi="Abadi"/>
          <w:i/>
          <w:sz w:val="21"/>
          <w:szCs w:val="21"/>
          <w:lang w:val="es-MX"/>
        </w:rPr>
      </w:pPr>
    </w:p>
    <w:p w14:paraId="46347E38" w14:textId="77777777" w:rsidR="0091769A" w:rsidRPr="00161856" w:rsidRDefault="0091769A" w:rsidP="0046208F">
      <w:pPr>
        <w:widowControl w:val="0"/>
        <w:ind w:left="851" w:right="851"/>
        <w:jc w:val="both"/>
        <w:rPr>
          <w:rFonts w:ascii="Abadi" w:hAnsi="Abadi"/>
          <w:i/>
          <w:sz w:val="21"/>
          <w:szCs w:val="21"/>
          <w:lang w:val="es-MX"/>
        </w:rPr>
      </w:pPr>
      <w:r w:rsidRPr="00161856">
        <w:rPr>
          <w:rFonts w:ascii="Abadi" w:hAnsi="Abadi"/>
          <w:i/>
          <w:sz w:val="21"/>
          <w:szCs w:val="21"/>
          <w:lang w:val="es-MX"/>
        </w:rPr>
        <w:t>Al Decreto: No se realizan comentarios.</w:t>
      </w:r>
    </w:p>
    <w:p w14:paraId="66DAFE69" w14:textId="77777777" w:rsidR="0091769A" w:rsidRPr="00161856" w:rsidRDefault="0091769A" w:rsidP="0046208F">
      <w:pPr>
        <w:widowControl w:val="0"/>
        <w:jc w:val="both"/>
        <w:rPr>
          <w:rFonts w:ascii="Abadi" w:hAnsi="Abadi"/>
          <w:sz w:val="21"/>
          <w:szCs w:val="21"/>
          <w:lang w:val="es-MX"/>
        </w:rPr>
      </w:pPr>
    </w:p>
    <w:p w14:paraId="7A5EFAB3" w14:textId="77777777" w:rsidR="0091769A" w:rsidRPr="00161856" w:rsidRDefault="0091769A" w:rsidP="0046208F">
      <w:pPr>
        <w:widowControl w:val="0"/>
        <w:ind w:firstLine="851"/>
        <w:jc w:val="both"/>
        <w:rPr>
          <w:rFonts w:ascii="Abadi" w:hAnsi="Abadi"/>
          <w:sz w:val="21"/>
          <w:szCs w:val="21"/>
          <w:lang w:val="es-MX"/>
        </w:rPr>
      </w:pPr>
      <w:r w:rsidRPr="00161856">
        <w:rPr>
          <w:rFonts w:ascii="Abadi" w:hAnsi="Abadi"/>
          <w:sz w:val="21"/>
          <w:szCs w:val="21"/>
          <w:lang w:val="es-MX"/>
        </w:rPr>
        <w:t>El Ayuntamiento de León, compartió los siguientes comentarios:</w:t>
      </w:r>
    </w:p>
    <w:p w14:paraId="28C4AF32" w14:textId="77777777" w:rsidR="0091769A" w:rsidRPr="00161856" w:rsidRDefault="0091769A" w:rsidP="0046208F">
      <w:pPr>
        <w:widowControl w:val="0"/>
        <w:jc w:val="both"/>
        <w:rPr>
          <w:rFonts w:ascii="Abadi" w:hAnsi="Abadi"/>
          <w:sz w:val="21"/>
          <w:szCs w:val="21"/>
          <w:lang w:val="es-MX"/>
        </w:rPr>
      </w:pPr>
    </w:p>
    <w:p w14:paraId="1C81E8E8" w14:textId="77777777" w:rsidR="0091769A" w:rsidRPr="00161856" w:rsidRDefault="0091769A" w:rsidP="0046208F">
      <w:pPr>
        <w:widowControl w:val="0"/>
        <w:ind w:left="851" w:right="851"/>
        <w:jc w:val="both"/>
        <w:rPr>
          <w:rFonts w:ascii="Abadi" w:hAnsi="Abadi"/>
          <w:i/>
          <w:sz w:val="21"/>
          <w:szCs w:val="21"/>
          <w:lang w:val="es-MX"/>
        </w:rPr>
      </w:pPr>
      <w:r w:rsidRPr="00161856">
        <w:rPr>
          <w:rFonts w:ascii="Abadi" w:hAnsi="Abadi"/>
          <w:i/>
          <w:sz w:val="21"/>
          <w:szCs w:val="21"/>
          <w:lang w:val="es-MX"/>
        </w:rPr>
        <w:t>"ANEXO ÚNICO. OBSERVACIONES Y APORTACIONES TÉCNICO-JURÍDICAS A LA INICIATIVA A EFECTO DE REFORMAR EL PÁRRAFO TERCERO DEL ARTÍCULO 104 DE LA LEY DE OBRA PÚBLICA Y SERVICIOS RELACIONADOS CON LA MISMA PARA EL ESTADO Y LOS MUNICIPIOS DE GUANAJUATO.</w:t>
      </w:r>
    </w:p>
    <w:p w14:paraId="3ED0DAA8" w14:textId="77777777" w:rsidR="0091769A" w:rsidRPr="00161856" w:rsidRDefault="0091769A" w:rsidP="0046208F">
      <w:pPr>
        <w:widowControl w:val="0"/>
        <w:ind w:left="851" w:right="851"/>
        <w:jc w:val="both"/>
        <w:rPr>
          <w:rFonts w:ascii="Abadi" w:hAnsi="Abadi"/>
          <w:i/>
          <w:sz w:val="21"/>
          <w:szCs w:val="21"/>
          <w:lang w:val="es-MX"/>
        </w:rPr>
      </w:pPr>
      <w:r w:rsidRPr="00161856">
        <w:rPr>
          <w:rFonts w:ascii="Abadi" w:hAnsi="Abadi"/>
          <w:i/>
          <w:sz w:val="21"/>
          <w:szCs w:val="21"/>
          <w:lang w:val="es-MX"/>
        </w:rPr>
        <w:t>Este Ayuntamiento es consciente de la importancia del diseño e implementación de políticas públicas que coadyuven a fortalecer la economía local y nacional.</w:t>
      </w:r>
    </w:p>
    <w:p w14:paraId="6D6138B8" w14:textId="77777777" w:rsidR="0091769A" w:rsidRPr="00161856" w:rsidRDefault="0091769A" w:rsidP="0046208F">
      <w:pPr>
        <w:widowControl w:val="0"/>
        <w:ind w:left="851" w:right="851"/>
        <w:jc w:val="both"/>
        <w:rPr>
          <w:rFonts w:ascii="Abadi" w:hAnsi="Abadi"/>
          <w:i/>
          <w:sz w:val="21"/>
          <w:szCs w:val="21"/>
          <w:lang w:val="es-MX"/>
        </w:rPr>
      </w:pPr>
    </w:p>
    <w:p w14:paraId="45C9D4F1" w14:textId="77777777" w:rsidR="0091769A" w:rsidRPr="00161856" w:rsidRDefault="0091769A" w:rsidP="0046208F">
      <w:pPr>
        <w:widowControl w:val="0"/>
        <w:ind w:left="851" w:right="851"/>
        <w:jc w:val="both"/>
        <w:rPr>
          <w:rFonts w:ascii="Abadi" w:hAnsi="Abadi"/>
          <w:i/>
          <w:sz w:val="21"/>
          <w:szCs w:val="21"/>
          <w:lang w:val="es-MX"/>
        </w:rPr>
      </w:pPr>
      <w:r w:rsidRPr="00161856">
        <w:rPr>
          <w:rFonts w:ascii="Abadi" w:hAnsi="Abadi"/>
          <w:i/>
          <w:sz w:val="21"/>
          <w:szCs w:val="21"/>
          <w:lang w:val="es-MX"/>
        </w:rPr>
        <w:t>En esa tesitura, a través del "Plan Municipal de Desarrollo, León hacia el futuro. Visión al 2045" se encuentra el pilar "Fortalecimiento de sectores estratégicos y de la economía local" con el objetivo de "Impulsar los sectores que muestran un alto potencial de desarrollo favoreciendo la diversificación y el fortalecimiento de la economía local".</w:t>
      </w:r>
    </w:p>
    <w:p w14:paraId="6AFB032E" w14:textId="77777777" w:rsidR="0091769A" w:rsidRPr="00161856" w:rsidRDefault="0091769A" w:rsidP="0046208F">
      <w:pPr>
        <w:widowControl w:val="0"/>
        <w:ind w:left="851" w:right="851"/>
        <w:jc w:val="both"/>
        <w:rPr>
          <w:rFonts w:ascii="Abadi" w:hAnsi="Abadi"/>
          <w:i/>
          <w:sz w:val="21"/>
          <w:szCs w:val="21"/>
          <w:lang w:val="es-MX"/>
        </w:rPr>
      </w:pPr>
    </w:p>
    <w:p w14:paraId="3AB5EF8D" w14:textId="77777777" w:rsidR="0091769A" w:rsidRPr="00161856" w:rsidRDefault="0091769A" w:rsidP="0046208F">
      <w:pPr>
        <w:widowControl w:val="0"/>
        <w:ind w:left="851" w:right="851"/>
        <w:jc w:val="both"/>
        <w:rPr>
          <w:rFonts w:ascii="Abadi" w:hAnsi="Abadi"/>
          <w:i/>
          <w:sz w:val="21"/>
          <w:szCs w:val="21"/>
          <w:lang w:val="es-MX"/>
        </w:rPr>
      </w:pPr>
      <w:r w:rsidRPr="00161856">
        <w:rPr>
          <w:rFonts w:ascii="Abadi" w:hAnsi="Abadi"/>
          <w:i/>
          <w:sz w:val="21"/>
          <w:szCs w:val="21"/>
          <w:lang w:val="es-MX"/>
        </w:rPr>
        <w:t>Resulta fundamental que se unan esfuerzos para la ejecución de acciones encaminadas a impulsar el desarrollo económico, ya que es uno de los retos más importantes para León.</w:t>
      </w:r>
    </w:p>
    <w:p w14:paraId="70B3C72A" w14:textId="77777777" w:rsidR="0091769A" w:rsidRPr="00161856" w:rsidRDefault="0091769A" w:rsidP="0046208F">
      <w:pPr>
        <w:widowControl w:val="0"/>
        <w:ind w:left="851" w:right="851"/>
        <w:jc w:val="both"/>
        <w:rPr>
          <w:rFonts w:ascii="Abadi" w:hAnsi="Abadi"/>
          <w:i/>
          <w:sz w:val="21"/>
          <w:szCs w:val="21"/>
          <w:lang w:val="es-MX"/>
        </w:rPr>
      </w:pPr>
    </w:p>
    <w:p w14:paraId="3BEC9962" w14:textId="77777777" w:rsidR="0091769A" w:rsidRPr="00161856" w:rsidRDefault="0091769A" w:rsidP="0046208F">
      <w:pPr>
        <w:widowControl w:val="0"/>
        <w:ind w:left="851" w:right="851"/>
        <w:jc w:val="both"/>
        <w:rPr>
          <w:rFonts w:ascii="Abadi" w:hAnsi="Abadi"/>
          <w:i/>
          <w:sz w:val="21"/>
          <w:szCs w:val="21"/>
          <w:lang w:val="es-MX"/>
        </w:rPr>
      </w:pPr>
      <w:r w:rsidRPr="00161856">
        <w:rPr>
          <w:rFonts w:ascii="Abadi" w:hAnsi="Abadi"/>
          <w:i/>
          <w:sz w:val="21"/>
          <w:szCs w:val="21"/>
          <w:lang w:val="es-MX"/>
        </w:rPr>
        <w:t>Una vez realizado el análisis de la presente iniciativa, consideramos que el objetivo de ella es loable, sin embargo, a fin de aportar al análisis realizado para que las Diputadas y los Diputados evalúen la procedencia o no de la propuesta en el H. Congreso del Estado de Guanajuato, emitimos los siguientes Comentarios Generales:</w:t>
      </w:r>
    </w:p>
    <w:p w14:paraId="7EC519A4" w14:textId="77777777" w:rsidR="0091769A" w:rsidRPr="00161856" w:rsidRDefault="0091769A" w:rsidP="0046208F">
      <w:pPr>
        <w:widowControl w:val="0"/>
        <w:ind w:left="851" w:right="851"/>
        <w:jc w:val="both"/>
        <w:rPr>
          <w:rFonts w:ascii="Abadi" w:hAnsi="Abadi"/>
          <w:i/>
          <w:sz w:val="21"/>
          <w:szCs w:val="21"/>
          <w:lang w:val="es-MX"/>
        </w:rPr>
      </w:pPr>
    </w:p>
    <w:p w14:paraId="6A75AEFF" w14:textId="77777777" w:rsidR="0091769A" w:rsidRPr="00161856" w:rsidRDefault="0091769A" w:rsidP="0046208F">
      <w:pPr>
        <w:widowControl w:val="0"/>
        <w:ind w:left="851" w:right="851"/>
        <w:jc w:val="both"/>
        <w:rPr>
          <w:rFonts w:ascii="Abadi" w:hAnsi="Abadi"/>
          <w:i/>
          <w:sz w:val="21"/>
          <w:szCs w:val="21"/>
          <w:lang w:val="es-MX"/>
        </w:rPr>
      </w:pPr>
      <w:r w:rsidRPr="00161856">
        <w:rPr>
          <w:rFonts w:ascii="Abadi" w:hAnsi="Abadi"/>
          <w:i/>
          <w:sz w:val="21"/>
          <w:szCs w:val="21"/>
          <w:lang w:val="es-MX"/>
        </w:rPr>
        <w:t>1. La pretensión de los iniciantes es reformar el tercer párrafo del artículo 104 de la Ley de Obra Pública Local, con la finalidad de conservar la prohibición de ceder total o parcialmente los derechos y obligaciones que se deriven de los contratos de obra pública a favor de cualesquiera otra persona física o moral, con excepción de los derechos de cobro sobre las estimaciones por trabajos ejecutados o facturas.</w:t>
      </w:r>
    </w:p>
    <w:p w14:paraId="3FC767BF" w14:textId="77777777" w:rsidR="0091769A" w:rsidRPr="00161856" w:rsidRDefault="0091769A" w:rsidP="0046208F">
      <w:pPr>
        <w:widowControl w:val="0"/>
        <w:ind w:left="851" w:right="851"/>
        <w:jc w:val="both"/>
        <w:rPr>
          <w:rFonts w:ascii="Abadi" w:hAnsi="Abadi"/>
          <w:i/>
          <w:sz w:val="21"/>
          <w:szCs w:val="21"/>
          <w:lang w:val="es-MX"/>
        </w:rPr>
      </w:pPr>
    </w:p>
    <w:p w14:paraId="5FE3CE92" w14:textId="77777777" w:rsidR="0091769A" w:rsidRPr="00161856" w:rsidRDefault="0091769A" w:rsidP="0046208F">
      <w:pPr>
        <w:widowControl w:val="0"/>
        <w:ind w:left="851" w:right="851"/>
        <w:jc w:val="both"/>
        <w:rPr>
          <w:rFonts w:ascii="Abadi" w:hAnsi="Abadi"/>
          <w:i/>
          <w:sz w:val="21"/>
          <w:szCs w:val="21"/>
          <w:lang w:val="es-MX"/>
        </w:rPr>
      </w:pPr>
    </w:p>
    <w:p w14:paraId="41789C1E" w14:textId="77777777" w:rsidR="0091769A" w:rsidRPr="00161856" w:rsidRDefault="0091769A" w:rsidP="0046208F">
      <w:pPr>
        <w:widowControl w:val="0"/>
        <w:ind w:left="851" w:right="851"/>
        <w:jc w:val="both"/>
        <w:rPr>
          <w:rFonts w:ascii="Abadi" w:hAnsi="Abadi"/>
          <w:i/>
          <w:sz w:val="21"/>
          <w:szCs w:val="21"/>
          <w:lang w:val="es-MX"/>
        </w:rPr>
      </w:pPr>
    </w:p>
    <w:p w14:paraId="4B0A0603" w14:textId="77777777" w:rsidR="0091769A" w:rsidRPr="00161856" w:rsidRDefault="0091769A" w:rsidP="0046208F">
      <w:pPr>
        <w:widowControl w:val="0"/>
        <w:ind w:left="851" w:right="851"/>
        <w:jc w:val="both"/>
        <w:rPr>
          <w:rFonts w:ascii="Abadi" w:hAnsi="Abadi"/>
          <w:i/>
          <w:sz w:val="21"/>
          <w:szCs w:val="21"/>
          <w:lang w:val="es-MX"/>
        </w:rPr>
      </w:pPr>
    </w:p>
    <w:p w14:paraId="5A957622" w14:textId="77777777" w:rsidR="0091769A" w:rsidRPr="00161856" w:rsidRDefault="0091769A" w:rsidP="0046208F">
      <w:pPr>
        <w:widowControl w:val="0"/>
        <w:ind w:left="851" w:right="851"/>
        <w:jc w:val="both"/>
        <w:rPr>
          <w:rFonts w:ascii="Abadi" w:hAnsi="Abadi"/>
          <w:i/>
          <w:sz w:val="21"/>
          <w:szCs w:val="21"/>
          <w:lang w:val="es-MX"/>
        </w:rPr>
      </w:pPr>
      <w:r w:rsidRPr="00161856">
        <w:rPr>
          <w:rFonts w:ascii="Abadi" w:hAnsi="Abadi"/>
          <w:i/>
          <w:sz w:val="21"/>
          <w:szCs w:val="21"/>
          <w:lang w:val="es-MX"/>
        </w:rPr>
        <w:t>Derechos de cobro que actualmente está contemplado pueden cederse únicamente a favor de instituciones financieras, con el consentimiento del ente público contratante y de la Secretaría de Finanzas, Inversión y Administración, de la Tesorería Municipal o del ente público que administre los recursos según corresponda.</w:t>
      </w:r>
    </w:p>
    <w:p w14:paraId="32E1D669" w14:textId="77777777" w:rsidR="0091769A" w:rsidRPr="00161856" w:rsidRDefault="0091769A" w:rsidP="0046208F">
      <w:pPr>
        <w:widowControl w:val="0"/>
        <w:ind w:left="851" w:right="851"/>
        <w:jc w:val="both"/>
        <w:rPr>
          <w:rFonts w:ascii="Abadi" w:hAnsi="Abadi"/>
          <w:i/>
          <w:sz w:val="21"/>
          <w:szCs w:val="21"/>
          <w:lang w:val="es-MX"/>
        </w:rPr>
      </w:pPr>
    </w:p>
    <w:p w14:paraId="1CEB4EBE" w14:textId="77777777" w:rsidR="0091769A" w:rsidRPr="00161856" w:rsidRDefault="0091769A" w:rsidP="0046208F">
      <w:pPr>
        <w:widowControl w:val="0"/>
        <w:ind w:left="851" w:right="851"/>
        <w:jc w:val="both"/>
        <w:rPr>
          <w:rFonts w:ascii="Abadi" w:hAnsi="Abadi"/>
          <w:i/>
          <w:sz w:val="21"/>
          <w:szCs w:val="21"/>
          <w:lang w:val="es-MX"/>
        </w:rPr>
      </w:pPr>
      <w:r w:rsidRPr="00161856">
        <w:rPr>
          <w:rFonts w:ascii="Abadi" w:hAnsi="Abadi"/>
          <w:i/>
          <w:sz w:val="21"/>
          <w:szCs w:val="21"/>
          <w:lang w:val="es-MX"/>
        </w:rPr>
        <w:t>Excepción esta última que pretende eliminarse únicamente en cuanto al destinatario de la cesión de derechos de cobro.</w:t>
      </w:r>
    </w:p>
    <w:p w14:paraId="0A388546" w14:textId="77777777" w:rsidR="0091769A" w:rsidRPr="00161856" w:rsidRDefault="0091769A" w:rsidP="0046208F">
      <w:pPr>
        <w:widowControl w:val="0"/>
        <w:ind w:left="851" w:right="851"/>
        <w:jc w:val="both"/>
        <w:rPr>
          <w:rFonts w:ascii="Abadi" w:hAnsi="Abadi"/>
          <w:i/>
          <w:sz w:val="21"/>
          <w:szCs w:val="21"/>
          <w:lang w:val="es-MX"/>
        </w:rPr>
      </w:pPr>
    </w:p>
    <w:p w14:paraId="355D9563" w14:textId="77777777" w:rsidR="0091769A" w:rsidRPr="00161856" w:rsidRDefault="0091769A" w:rsidP="0046208F">
      <w:pPr>
        <w:widowControl w:val="0"/>
        <w:ind w:left="851" w:right="851"/>
        <w:jc w:val="both"/>
        <w:rPr>
          <w:rFonts w:ascii="Abadi" w:hAnsi="Abadi"/>
          <w:i/>
          <w:sz w:val="21"/>
          <w:szCs w:val="21"/>
          <w:lang w:val="es-MX"/>
        </w:rPr>
      </w:pPr>
      <w:r w:rsidRPr="00161856">
        <w:rPr>
          <w:rFonts w:ascii="Abadi" w:hAnsi="Abadi"/>
          <w:i/>
          <w:sz w:val="21"/>
          <w:szCs w:val="21"/>
          <w:lang w:val="es-MX"/>
        </w:rPr>
        <w:t>En ese tenor, esta propuesta abre la posibilidad para el contratista de allegarse de recursos por financiamiento sin limitarlo exclusivamente a las instituciones financieras; reiterando que se mantiene el consentimiento para ello por parte del ente respectivo y de quien administre los recursos.</w:t>
      </w:r>
    </w:p>
    <w:p w14:paraId="6238D154" w14:textId="77777777" w:rsidR="0091769A" w:rsidRPr="00161856" w:rsidRDefault="0091769A" w:rsidP="0046208F">
      <w:pPr>
        <w:widowControl w:val="0"/>
        <w:ind w:left="851" w:right="851"/>
        <w:jc w:val="both"/>
        <w:rPr>
          <w:rFonts w:ascii="Abadi" w:hAnsi="Abadi"/>
          <w:i/>
          <w:sz w:val="21"/>
          <w:szCs w:val="21"/>
          <w:lang w:val="es-MX"/>
        </w:rPr>
      </w:pPr>
    </w:p>
    <w:p w14:paraId="38C35F9A" w14:textId="77777777" w:rsidR="0091769A" w:rsidRPr="00161856" w:rsidRDefault="0091769A" w:rsidP="0046208F">
      <w:pPr>
        <w:widowControl w:val="0"/>
        <w:ind w:left="851" w:right="851"/>
        <w:jc w:val="both"/>
        <w:rPr>
          <w:rFonts w:ascii="Abadi" w:hAnsi="Abadi"/>
          <w:i/>
          <w:sz w:val="21"/>
          <w:szCs w:val="21"/>
          <w:lang w:val="es-MX"/>
        </w:rPr>
      </w:pPr>
      <w:r w:rsidRPr="00161856">
        <w:rPr>
          <w:rFonts w:ascii="Abadi" w:hAnsi="Abadi"/>
          <w:i/>
          <w:sz w:val="21"/>
          <w:szCs w:val="21"/>
          <w:lang w:val="es-MX"/>
        </w:rPr>
        <w:t>Por lo anterior, este hecho considera a los contratistas permitirles buscar las mejores condiciones en el mercado que le den liquidez, sin eliminar la posibilidad de acercarse a las instituciones financieras, lo cual se valora positivo; sin embargo, es importante advertir que al abrirlo a cualquier fuente de financiamiento valoramos que deben tomarse medidas que limiten tan amplias posibilidades y de manera expresa se señalen aquellos que pueden corresponder a ser sujetos de cesión de los derechos.</w:t>
      </w:r>
    </w:p>
    <w:p w14:paraId="3A3779DA" w14:textId="77777777" w:rsidR="0091769A" w:rsidRPr="00161856" w:rsidRDefault="0091769A" w:rsidP="0046208F">
      <w:pPr>
        <w:widowControl w:val="0"/>
        <w:ind w:left="851" w:right="851"/>
        <w:jc w:val="both"/>
        <w:rPr>
          <w:rFonts w:ascii="Abadi" w:hAnsi="Abadi"/>
          <w:i/>
          <w:sz w:val="21"/>
          <w:szCs w:val="21"/>
          <w:lang w:val="es-MX"/>
        </w:rPr>
      </w:pPr>
    </w:p>
    <w:p w14:paraId="7D4A710A" w14:textId="77777777" w:rsidR="0091769A" w:rsidRPr="00161856" w:rsidRDefault="0091769A" w:rsidP="0046208F">
      <w:pPr>
        <w:widowControl w:val="0"/>
        <w:ind w:left="851" w:right="851"/>
        <w:jc w:val="both"/>
        <w:rPr>
          <w:rFonts w:ascii="Abadi" w:hAnsi="Abadi"/>
          <w:i/>
          <w:sz w:val="21"/>
          <w:szCs w:val="21"/>
          <w:lang w:val="es-MX"/>
        </w:rPr>
      </w:pPr>
      <w:r w:rsidRPr="00161856">
        <w:rPr>
          <w:rFonts w:ascii="Abadi" w:hAnsi="Abadi"/>
          <w:i/>
          <w:sz w:val="21"/>
          <w:szCs w:val="21"/>
          <w:lang w:val="es-MX"/>
        </w:rPr>
        <w:t>2. También se considera oportuno señalar que la Ley de Obras Públicas y Servicios Relacionados con las mismas, la cual es aplicable ante la presencia de cargo total o parcial de recursos federales, establece en el último párrafo del artículo 47, lo siguiente "Los derechos y obligaciones que se deriven de los contratos no podrán ser transferidos por el contratista en favor de cualesquiera otra persona, con excepción de los derechos de cobro sobre las estimaciones por trabajos ejecutados, en cuyo caso se deberá contar con el consentimiento de la dependencia o entidad de que se trate".</w:t>
      </w:r>
    </w:p>
    <w:p w14:paraId="2BDF8C76" w14:textId="77777777" w:rsidR="0091769A" w:rsidRPr="00161856" w:rsidRDefault="0091769A" w:rsidP="0046208F">
      <w:pPr>
        <w:widowControl w:val="0"/>
        <w:ind w:left="851" w:right="851"/>
        <w:jc w:val="both"/>
        <w:rPr>
          <w:rFonts w:ascii="Abadi" w:hAnsi="Abadi"/>
          <w:i/>
          <w:sz w:val="21"/>
          <w:szCs w:val="21"/>
          <w:lang w:val="es-MX"/>
        </w:rPr>
      </w:pPr>
    </w:p>
    <w:p w14:paraId="3A1C6036" w14:textId="77777777" w:rsidR="0091769A" w:rsidRPr="00161856" w:rsidRDefault="0091769A" w:rsidP="0046208F">
      <w:pPr>
        <w:widowControl w:val="0"/>
        <w:ind w:left="851" w:right="851"/>
        <w:jc w:val="both"/>
        <w:rPr>
          <w:rFonts w:ascii="Abadi" w:hAnsi="Abadi"/>
          <w:i/>
          <w:sz w:val="21"/>
          <w:szCs w:val="21"/>
          <w:lang w:val="es-MX"/>
        </w:rPr>
      </w:pPr>
      <w:r w:rsidRPr="00161856">
        <w:rPr>
          <w:rFonts w:ascii="Abadi" w:hAnsi="Abadi"/>
          <w:i/>
          <w:sz w:val="21"/>
          <w:szCs w:val="21"/>
          <w:lang w:val="es-MX"/>
        </w:rPr>
        <w:t>En esa tesitura, la propuesta de reforma busca permitir generar armonía con el marco federal en la materia; tal y como lo evidencian los iniciantes ya ocurre en estados como Aguascalientes, CDMX, Chihuahua, Jalisco, Nuevo León y Puebla.</w:t>
      </w:r>
    </w:p>
    <w:p w14:paraId="6DA3CD2F" w14:textId="77777777" w:rsidR="0091769A" w:rsidRPr="00161856" w:rsidRDefault="0091769A" w:rsidP="0046208F">
      <w:pPr>
        <w:widowControl w:val="0"/>
        <w:ind w:left="851" w:right="851"/>
        <w:jc w:val="both"/>
        <w:rPr>
          <w:rFonts w:ascii="Abadi" w:hAnsi="Abadi"/>
          <w:i/>
          <w:sz w:val="21"/>
          <w:szCs w:val="21"/>
          <w:lang w:val="es-MX"/>
        </w:rPr>
      </w:pPr>
    </w:p>
    <w:p w14:paraId="40036E8C" w14:textId="77777777" w:rsidR="0091769A" w:rsidRPr="00161856" w:rsidRDefault="0091769A" w:rsidP="0046208F">
      <w:pPr>
        <w:widowControl w:val="0"/>
        <w:ind w:left="851" w:right="851"/>
        <w:jc w:val="both"/>
        <w:rPr>
          <w:rFonts w:ascii="Abadi" w:hAnsi="Abadi"/>
          <w:i/>
          <w:sz w:val="21"/>
          <w:szCs w:val="21"/>
          <w:lang w:val="es-MX"/>
        </w:rPr>
      </w:pPr>
      <w:r w:rsidRPr="00161856">
        <w:rPr>
          <w:rFonts w:ascii="Abadi" w:hAnsi="Abadi"/>
          <w:i/>
          <w:sz w:val="21"/>
          <w:szCs w:val="21"/>
          <w:lang w:val="es-MX"/>
        </w:rPr>
        <w:t>Por todo lo anterior, el abrir las posibilidades de financiamiento a los contratistas consideramos que es una propuesta jurídicamente viable, además de socialmente favorable, sin embargo, es importante emitir comentarios para contribuir a su análisis en el Congreso del Estado, con la finalidad de que las Diputadas y los Diputados valoren su viabilidad y, en su caso, se fortalezca.</w:t>
      </w:r>
    </w:p>
    <w:p w14:paraId="5EB4CF0B" w14:textId="77777777" w:rsidR="0091769A" w:rsidRPr="00161856" w:rsidRDefault="0091769A" w:rsidP="0046208F">
      <w:pPr>
        <w:widowControl w:val="0"/>
        <w:ind w:left="851" w:right="851"/>
        <w:jc w:val="both"/>
        <w:rPr>
          <w:rFonts w:ascii="Abadi" w:hAnsi="Abadi"/>
          <w:i/>
          <w:sz w:val="21"/>
          <w:szCs w:val="21"/>
          <w:lang w:val="es-MX"/>
        </w:rPr>
      </w:pPr>
    </w:p>
    <w:p w14:paraId="5977BF32" w14:textId="77777777" w:rsidR="0091769A" w:rsidRPr="00161856" w:rsidRDefault="0091769A" w:rsidP="0046208F">
      <w:pPr>
        <w:widowControl w:val="0"/>
        <w:ind w:left="851" w:right="851"/>
        <w:jc w:val="both"/>
        <w:rPr>
          <w:rFonts w:ascii="Abadi" w:hAnsi="Abadi"/>
          <w:i/>
          <w:sz w:val="21"/>
          <w:szCs w:val="21"/>
          <w:lang w:val="es-MX"/>
        </w:rPr>
      </w:pPr>
      <w:r w:rsidRPr="00161856">
        <w:rPr>
          <w:rFonts w:ascii="Abadi" w:hAnsi="Abadi"/>
          <w:i/>
          <w:sz w:val="21"/>
          <w:szCs w:val="21"/>
          <w:lang w:val="es-MX"/>
        </w:rPr>
        <w:t>Reiteramos que para este H. Ayuntamiento es importante fortalecer la competitividad e impulsar a las empresas y diversos sectores como el de la construcción."</w:t>
      </w:r>
    </w:p>
    <w:p w14:paraId="61EED813" w14:textId="77777777" w:rsidR="0091769A" w:rsidRPr="00161856" w:rsidRDefault="0091769A" w:rsidP="0046208F">
      <w:pPr>
        <w:widowControl w:val="0"/>
        <w:jc w:val="both"/>
        <w:rPr>
          <w:rFonts w:ascii="Abadi" w:hAnsi="Abadi"/>
          <w:sz w:val="21"/>
          <w:szCs w:val="21"/>
          <w:lang w:val="es-MX"/>
        </w:rPr>
      </w:pPr>
    </w:p>
    <w:p w14:paraId="22E434DC" w14:textId="77777777" w:rsidR="0091769A" w:rsidRPr="00161856" w:rsidRDefault="0091769A" w:rsidP="0046208F">
      <w:pPr>
        <w:widowControl w:val="0"/>
        <w:ind w:firstLine="851"/>
        <w:jc w:val="both"/>
        <w:rPr>
          <w:rFonts w:ascii="Abadi" w:hAnsi="Abadi"/>
          <w:sz w:val="21"/>
          <w:szCs w:val="21"/>
          <w:lang w:val="es-MX"/>
        </w:rPr>
      </w:pPr>
      <w:r w:rsidRPr="00161856">
        <w:rPr>
          <w:rFonts w:ascii="Abadi" w:hAnsi="Abadi"/>
          <w:sz w:val="21"/>
          <w:szCs w:val="21"/>
          <w:lang w:val="es-MX"/>
        </w:rPr>
        <w:t>La Comisión de Desarrollo Urbano y Ordenamiento Ecológico Territorial y Planeación de Victoria, señaló que:</w:t>
      </w:r>
    </w:p>
    <w:p w14:paraId="27CC9B3D" w14:textId="77777777" w:rsidR="0091769A" w:rsidRPr="00161856" w:rsidRDefault="0091769A" w:rsidP="0046208F">
      <w:pPr>
        <w:widowControl w:val="0"/>
        <w:jc w:val="both"/>
        <w:rPr>
          <w:rFonts w:ascii="Abadi" w:hAnsi="Abadi"/>
          <w:sz w:val="21"/>
          <w:szCs w:val="21"/>
          <w:lang w:val="es-MX"/>
        </w:rPr>
      </w:pPr>
    </w:p>
    <w:p w14:paraId="6F6C394A" w14:textId="77777777" w:rsidR="0091769A" w:rsidRPr="00161856" w:rsidRDefault="0091769A" w:rsidP="0046208F">
      <w:pPr>
        <w:widowControl w:val="0"/>
        <w:ind w:left="851" w:right="851"/>
        <w:jc w:val="both"/>
        <w:rPr>
          <w:rFonts w:ascii="Abadi" w:hAnsi="Abadi"/>
          <w:i/>
          <w:sz w:val="21"/>
          <w:szCs w:val="21"/>
          <w:lang w:val="es-MX"/>
        </w:rPr>
      </w:pPr>
      <w:r w:rsidRPr="00161856">
        <w:rPr>
          <w:rFonts w:ascii="Abadi" w:hAnsi="Abadi"/>
          <w:i/>
          <w:sz w:val="21"/>
          <w:szCs w:val="21"/>
          <w:lang w:val="es-MX"/>
        </w:rPr>
        <w:t>Estamos de acuerdo que se realicen estas modificaciones ya que es importante agilizar el pago en tiempo y forma a estas empresas por el servicio prestado. ya que se agiliza la parte administrativa a las direcciones participantes y evitar trámites burocráticos que afecten directamente al prestador de Servicio.</w:t>
      </w:r>
    </w:p>
    <w:p w14:paraId="25DECCB0" w14:textId="77777777" w:rsidR="0091769A" w:rsidRPr="00161856" w:rsidRDefault="0091769A" w:rsidP="0046208F">
      <w:pPr>
        <w:widowControl w:val="0"/>
        <w:jc w:val="both"/>
        <w:rPr>
          <w:rFonts w:ascii="Abadi" w:hAnsi="Abadi"/>
          <w:sz w:val="21"/>
          <w:szCs w:val="21"/>
          <w:lang w:val="es-MX"/>
        </w:rPr>
      </w:pPr>
    </w:p>
    <w:p w14:paraId="6F5F38B4" w14:textId="77777777" w:rsidR="0091769A" w:rsidRPr="00161856" w:rsidRDefault="0091769A" w:rsidP="0046208F">
      <w:pPr>
        <w:widowControl w:val="0"/>
        <w:ind w:firstLine="851"/>
        <w:jc w:val="both"/>
        <w:rPr>
          <w:rFonts w:ascii="Abadi" w:hAnsi="Abadi"/>
          <w:sz w:val="21"/>
          <w:szCs w:val="21"/>
          <w:lang w:val="es-MX"/>
        </w:rPr>
      </w:pPr>
      <w:r w:rsidRPr="00161856">
        <w:rPr>
          <w:rFonts w:ascii="Abadi" w:hAnsi="Abadi"/>
          <w:sz w:val="21"/>
          <w:szCs w:val="21"/>
          <w:lang w:val="es-MX"/>
        </w:rPr>
        <w:t>El director general de Asuntos jurídicos de Irapuato compartió lo siguiente:</w:t>
      </w:r>
    </w:p>
    <w:p w14:paraId="330F3725" w14:textId="77777777" w:rsidR="0091769A" w:rsidRPr="00161856" w:rsidRDefault="0091769A" w:rsidP="0046208F">
      <w:pPr>
        <w:widowControl w:val="0"/>
        <w:jc w:val="both"/>
        <w:rPr>
          <w:rFonts w:ascii="Abadi" w:hAnsi="Abadi"/>
          <w:sz w:val="21"/>
          <w:szCs w:val="21"/>
          <w:lang w:val="es-MX"/>
        </w:rPr>
      </w:pPr>
    </w:p>
    <w:p w14:paraId="69C353B1" w14:textId="77777777" w:rsidR="0091769A" w:rsidRPr="00161856" w:rsidRDefault="0091769A" w:rsidP="0046208F">
      <w:pPr>
        <w:widowControl w:val="0"/>
        <w:ind w:left="851" w:right="851"/>
        <w:jc w:val="both"/>
        <w:rPr>
          <w:rFonts w:ascii="Abadi" w:hAnsi="Abadi"/>
          <w:i/>
          <w:sz w:val="21"/>
          <w:szCs w:val="21"/>
          <w:lang w:val="es-MX"/>
        </w:rPr>
      </w:pPr>
      <w:r w:rsidRPr="00161856">
        <w:rPr>
          <w:rFonts w:ascii="Abadi" w:hAnsi="Abadi"/>
          <w:i/>
          <w:sz w:val="21"/>
          <w:szCs w:val="21"/>
          <w:lang w:val="es-MX"/>
        </w:rPr>
        <w:t>Por otra parte, le informo que la Exposición de Motivos no establece claramente las consideraciones jurídicas que fundamentan la iniciativa de reforma, es decir, no argumenta cómo la reforma al multicitado texto coadyuvará a mejorar la situación financiera de las empresas contratistas; lo anterior con la finalidad de cumplir con lo dispuesto por el artículo 168, fracción 11, de la Ley Orgánica del Poder Legislativo del Estado de Guanajuato.</w:t>
      </w:r>
    </w:p>
    <w:p w14:paraId="056E918F" w14:textId="77777777" w:rsidR="0091769A" w:rsidRPr="00161856" w:rsidRDefault="0091769A" w:rsidP="0046208F">
      <w:pPr>
        <w:widowControl w:val="0"/>
        <w:jc w:val="both"/>
        <w:rPr>
          <w:rFonts w:ascii="Abadi" w:hAnsi="Abadi"/>
          <w:sz w:val="21"/>
          <w:szCs w:val="21"/>
          <w:lang w:val="es-MX"/>
        </w:rPr>
      </w:pPr>
    </w:p>
    <w:p w14:paraId="7DD2CFC5" w14:textId="77777777" w:rsidR="0091769A" w:rsidRPr="00161856" w:rsidRDefault="0091769A" w:rsidP="0046208F">
      <w:pPr>
        <w:widowControl w:val="0"/>
        <w:jc w:val="both"/>
        <w:rPr>
          <w:rFonts w:ascii="Abadi" w:hAnsi="Abadi"/>
          <w:sz w:val="21"/>
          <w:szCs w:val="21"/>
          <w:lang w:val="es-MX"/>
        </w:rPr>
      </w:pPr>
    </w:p>
    <w:p w14:paraId="1B79BAF2" w14:textId="77777777" w:rsidR="0091769A" w:rsidRPr="00161856" w:rsidRDefault="0091769A" w:rsidP="0046208F">
      <w:pPr>
        <w:pStyle w:val="Textoindependiente"/>
        <w:widowControl w:val="0"/>
        <w:ind w:firstLine="851"/>
        <w:rPr>
          <w:rFonts w:ascii="Abadi" w:hAnsi="Abadi"/>
          <w:b w:val="0"/>
          <w:sz w:val="21"/>
          <w:szCs w:val="21"/>
        </w:rPr>
      </w:pPr>
      <w:r w:rsidRPr="00161856">
        <w:rPr>
          <w:rFonts w:ascii="Abadi" w:hAnsi="Abadi"/>
          <w:sz w:val="21"/>
          <w:szCs w:val="21"/>
        </w:rPr>
        <w:t>CONSIDERACIONES DE LA COMISIÓN.</w:t>
      </w:r>
    </w:p>
    <w:p w14:paraId="28058B7D" w14:textId="77777777" w:rsidR="0091769A" w:rsidRPr="00161856" w:rsidRDefault="0091769A" w:rsidP="0046208F">
      <w:pPr>
        <w:widowControl w:val="0"/>
        <w:jc w:val="both"/>
        <w:rPr>
          <w:rFonts w:ascii="Abadi" w:hAnsi="Abadi" w:cs="Arial"/>
          <w:sz w:val="21"/>
          <w:szCs w:val="21"/>
          <w:lang w:val="es-ES_tradnl"/>
        </w:rPr>
      </w:pPr>
    </w:p>
    <w:p w14:paraId="77C50F60" w14:textId="77777777" w:rsidR="0091769A" w:rsidRPr="00161856" w:rsidRDefault="0091769A" w:rsidP="0046208F">
      <w:pPr>
        <w:pStyle w:val="Textoindependiente"/>
        <w:widowControl w:val="0"/>
        <w:ind w:firstLine="851"/>
        <w:rPr>
          <w:rFonts w:ascii="Abadi" w:hAnsi="Abadi"/>
          <w:sz w:val="21"/>
          <w:szCs w:val="21"/>
        </w:rPr>
      </w:pPr>
      <w:r w:rsidRPr="00161856">
        <w:rPr>
          <w:rFonts w:ascii="Abadi" w:hAnsi="Abadi"/>
          <w:sz w:val="21"/>
          <w:szCs w:val="21"/>
        </w:rPr>
        <w:t xml:space="preserve">Nuestra ley orgánica otorga a las comisiones legislativas -en el artículo 89, fracción V-, la atribución de </w:t>
      </w:r>
      <w:r w:rsidRPr="00161856">
        <w:rPr>
          <w:rFonts w:ascii="Abadi" w:hAnsi="Abadi"/>
          <w:i/>
          <w:iCs/>
          <w:sz w:val="21"/>
          <w:szCs w:val="21"/>
        </w:rPr>
        <w:t>dictaminar, atender o resolver las iniciativas de Ley o decreto, acuerdos, proposiciones y asuntos que les hayan sido turnados</w:t>
      </w:r>
      <w:r w:rsidRPr="00161856">
        <w:rPr>
          <w:rFonts w:ascii="Abadi" w:hAnsi="Abadi"/>
          <w:sz w:val="21"/>
          <w:szCs w:val="21"/>
        </w:rPr>
        <w:t>.</w:t>
      </w:r>
    </w:p>
    <w:p w14:paraId="5DEBD554" w14:textId="77777777" w:rsidR="0091769A" w:rsidRPr="00161856" w:rsidRDefault="0091769A" w:rsidP="0046208F">
      <w:pPr>
        <w:widowControl w:val="0"/>
        <w:jc w:val="both"/>
        <w:rPr>
          <w:rFonts w:ascii="Abadi" w:hAnsi="Abadi" w:cs="Arial"/>
          <w:sz w:val="21"/>
          <w:szCs w:val="21"/>
          <w:lang w:val="es-MX"/>
        </w:rPr>
      </w:pPr>
    </w:p>
    <w:p w14:paraId="3B63D04E" w14:textId="77777777" w:rsidR="0091769A" w:rsidRPr="00161856" w:rsidRDefault="0091769A" w:rsidP="0046208F">
      <w:pPr>
        <w:pStyle w:val="Textoindependiente"/>
        <w:widowControl w:val="0"/>
        <w:ind w:firstLine="851"/>
        <w:rPr>
          <w:rFonts w:ascii="Abadi" w:hAnsi="Abadi"/>
          <w:sz w:val="21"/>
          <w:szCs w:val="21"/>
        </w:rPr>
      </w:pPr>
      <w:r w:rsidRPr="00161856">
        <w:rPr>
          <w:rFonts w:ascii="Abadi" w:hAnsi="Abadi"/>
          <w:sz w:val="21"/>
          <w:szCs w:val="21"/>
        </w:rPr>
        <w:t>Esta comisión legislativa tiene competencia para el conocimiento y dictamen de los asuntos</w:t>
      </w:r>
      <w:r w:rsidRPr="00161856">
        <w:rPr>
          <w:rFonts w:ascii="Abadi" w:hAnsi="Abadi"/>
          <w:i/>
          <w:iCs/>
          <w:sz w:val="21"/>
          <w:szCs w:val="21"/>
        </w:rPr>
        <w:t xml:space="preserve"> que se refieran a las iniciativas de ley o modificaciones, relacionadas con legislación en materia de desarrollo urbano, obra pública, fraccionamientos y vivienda</w:t>
      </w:r>
      <w:r w:rsidRPr="00161856">
        <w:rPr>
          <w:rFonts w:ascii="Abadi" w:hAnsi="Abadi"/>
          <w:sz w:val="21"/>
          <w:szCs w:val="21"/>
        </w:rPr>
        <w:t xml:space="preserve"> (artículo 108 -fracción I- de la Ley Orgánica del Poder Legislativo del Estado de Guanajuato). Con base en esa atribución la presidencia de la mesa directiva turnó a esta Comisión legislativa la propuesta normativa.</w:t>
      </w:r>
    </w:p>
    <w:p w14:paraId="7F3B238A" w14:textId="77777777" w:rsidR="0091769A" w:rsidRPr="00161856" w:rsidRDefault="0091769A" w:rsidP="0046208F">
      <w:pPr>
        <w:pStyle w:val="Textoindependiente"/>
        <w:widowControl w:val="0"/>
        <w:rPr>
          <w:rFonts w:ascii="Abadi" w:hAnsi="Abadi"/>
          <w:sz w:val="21"/>
          <w:szCs w:val="21"/>
        </w:rPr>
      </w:pPr>
    </w:p>
    <w:p w14:paraId="1ACF51DB" w14:textId="77777777" w:rsidR="0091769A" w:rsidRPr="00161856" w:rsidRDefault="0091769A" w:rsidP="0046208F">
      <w:pPr>
        <w:pStyle w:val="Textoindependiente"/>
        <w:widowControl w:val="0"/>
        <w:ind w:firstLine="851"/>
        <w:rPr>
          <w:rFonts w:ascii="Abadi" w:hAnsi="Abadi"/>
          <w:sz w:val="21"/>
          <w:szCs w:val="21"/>
        </w:rPr>
      </w:pPr>
      <w:r w:rsidRPr="00161856">
        <w:rPr>
          <w:rFonts w:ascii="Abadi" w:hAnsi="Abadi"/>
          <w:sz w:val="21"/>
          <w:szCs w:val="21"/>
        </w:rPr>
        <w:t>La Constitución Política de los Estados Unidos Mexicanos señala en su artículo 134 lo siguiente:</w:t>
      </w:r>
    </w:p>
    <w:p w14:paraId="1E84079E" w14:textId="77777777" w:rsidR="0091769A" w:rsidRPr="00161856" w:rsidRDefault="0091769A" w:rsidP="0046208F">
      <w:pPr>
        <w:pStyle w:val="Textoindependiente"/>
        <w:widowControl w:val="0"/>
        <w:rPr>
          <w:rFonts w:ascii="Abadi" w:hAnsi="Abadi"/>
          <w:sz w:val="21"/>
          <w:szCs w:val="21"/>
        </w:rPr>
      </w:pPr>
    </w:p>
    <w:p w14:paraId="4A24EFB2" w14:textId="77777777" w:rsidR="0091769A" w:rsidRPr="00161856" w:rsidRDefault="0091769A" w:rsidP="0046208F">
      <w:pPr>
        <w:pStyle w:val="Textoindependiente"/>
        <w:widowControl w:val="0"/>
        <w:ind w:left="851" w:right="851"/>
        <w:rPr>
          <w:rFonts w:ascii="Abadi" w:hAnsi="Abadi"/>
          <w:i/>
          <w:color w:val="030303"/>
          <w:sz w:val="21"/>
          <w:szCs w:val="21"/>
        </w:rPr>
      </w:pPr>
      <w:r w:rsidRPr="00161856">
        <w:rPr>
          <w:rFonts w:ascii="Abadi" w:hAnsi="Abadi"/>
          <w:i/>
          <w:color w:val="030303"/>
          <w:sz w:val="21"/>
          <w:szCs w:val="21"/>
        </w:rPr>
        <w:t>Artículo 134. Los recursos económicos de que dispongan la Federación, las entidades federativas, los Municipios y las demarcaciones territoriales de la Ciudad de México, se administrarán con eficiencia, eficacia, economía, transparencia y honradez para satisfacer los objetivos a los que estén destinados.</w:t>
      </w:r>
    </w:p>
    <w:p w14:paraId="060C5B75" w14:textId="77777777" w:rsidR="0091769A" w:rsidRPr="00161856" w:rsidRDefault="0091769A" w:rsidP="0046208F">
      <w:pPr>
        <w:pStyle w:val="Textoindependiente"/>
        <w:widowControl w:val="0"/>
        <w:ind w:left="851" w:right="851"/>
        <w:rPr>
          <w:rFonts w:ascii="Abadi" w:hAnsi="Abadi"/>
          <w:i/>
          <w:color w:val="030303"/>
          <w:sz w:val="21"/>
          <w:szCs w:val="21"/>
        </w:rPr>
      </w:pPr>
    </w:p>
    <w:p w14:paraId="231D382D" w14:textId="77777777" w:rsidR="0091769A" w:rsidRPr="00161856" w:rsidRDefault="0091769A" w:rsidP="0046208F">
      <w:pPr>
        <w:pStyle w:val="Textoindependiente"/>
        <w:widowControl w:val="0"/>
        <w:ind w:left="851" w:right="851"/>
        <w:rPr>
          <w:rFonts w:ascii="Abadi" w:hAnsi="Abadi"/>
          <w:i/>
          <w:color w:val="030303"/>
          <w:sz w:val="21"/>
          <w:szCs w:val="21"/>
        </w:rPr>
      </w:pPr>
      <w:r w:rsidRPr="00161856">
        <w:rPr>
          <w:rFonts w:ascii="Abadi" w:hAnsi="Abadi"/>
          <w:i/>
          <w:color w:val="030303"/>
          <w:sz w:val="21"/>
          <w:szCs w:val="21"/>
        </w:rPr>
        <w:t>Los resultados del ejercicio de dichos recursos serán evaluados por las instancias técnicas que establezcan, respectivamente, la Federación y las entidades federativas, con el objeto de propiciar que los recursos económicos se asignen en los respectivos presupuestos en los términos del párrafo precedente. Lo anterior, sin menoscabo de lo dispuesto en los artículos 26, Apartado C, 74, fracción VI y 79 de esta Constitución.</w:t>
      </w:r>
    </w:p>
    <w:p w14:paraId="3300D151" w14:textId="77777777" w:rsidR="0091769A" w:rsidRPr="00161856" w:rsidRDefault="0091769A" w:rsidP="0046208F">
      <w:pPr>
        <w:pStyle w:val="Textoindependiente"/>
        <w:widowControl w:val="0"/>
        <w:ind w:left="851" w:right="851"/>
        <w:rPr>
          <w:rFonts w:ascii="Abadi" w:hAnsi="Abadi"/>
          <w:i/>
          <w:color w:val="030303"/>
          <w:sz w:val="21"/>
          <w:szCs w:val="21"/>
        </w:rPr>
      </w:pPr>
    </w:p>
    <w:p w14:paraId="416AE864" w14:textId="77777777" w:rsidR="0091769A" w:rsidRPr="00161856" w:rsidRDefault="0091769A" w:rsidP="0046208F">
      <w:pPr>
        <w:pStyle w:val="Textoindependiente"/>
        <w:widowControl w:val="0"/>
        <w:ind w:left="851" w:right="851"/>
        <w:rPr>
          <w:rFonts w:ascii="Abadi" w:hAnsi="Abadi"/>
          <w:i/>
          <w:color w:val="030303"/>
          <w:sz w:val="21"/>
          <w:szCs w:val="21"/>
        </w:rPr>
      </w:pPr>
      <w:r w:rsidRPr="00161856">
        <w:rPr>
          <w:rFonts w:ascii="Abadi" w:hAnsi="Abadi"/>
          <w:i/>
          <w:color w:val="030303"/>
          <w:sz w:val="21"/>
          <w:szCs w:val="21"/>
        </w:rPr>
        <w:t>Las adquisiciones, arrendamientos y enajenaciones de todo tipo de bienes, prestación de servicios de cualquier naturaleza y la contratación de obra que realicen, se adjudicarán o llevarán a cabo a través de licitaciones públicas mediante convocatoria pública para que libremente se presenten proposiciones solventes en sobre cerrado, que será abierto públicamente, a fin de asegurar al Estado las mejores condiciones disponibles en cuanto a precio, calidad, financiamiento, oportunidad y demás circunstancias pertinentes.</w:t>
      </w:r>
    </w:p>
    <w:p w14:paraId="3D62279C" w14:textId="77777777" w:rsidR="0091769A" w:rsidRPr="00161856" w:rsidRDefault="0091769A" w:rsidP="0046208F">
      <w:pPr>
        <w:pStyle w:val="Textoindependiente"/>
        <w:widowControl w:val="0"/>
        <w:ind w:left="851" w:right="851"/>
        <w:rPr>
          <w:rFonts w:ascii="Abadi" w:hAnsi="Abadi"/>
          <w:i/>
          <w:color w:val="030303"/>
          <w:sz w:val="21"/>
          <w:szCs w:val="21"/>
        </w:rPr>
      </w:pPr>
    </w:p>
    <w:p w14:paraId="799658FF" w14:textId="77777777" w:rsidR="0091769A" w:rsidRPr="00161856" w:rsidRDefault="0091769A" w:rsidP="0046208F">
      <w:pPr>
        <w:pStyle w:val="Textoindependiente"/>
        <w:widowControl w:val="0"/>
        <w:ind w:left="851" w:right="851"/>
        <w:rPr>
          <w:rFonts w:ascii="Abadi" w:hAnsi="Abadi"/>
          <w:i/>
          <w:color w:val="030303"/>
          <w:sz w:val="21"/>
          <w:szCs w:val="21"/>
        </w:rPr>
      </w:pPr>
      <w:r w:rsidRPr="00161856">
        <w:rPr>
          <w:rFonts w:ascii="Abadi" w:hAnsi="Abadi"/>
          <w:i/>
          <w:color w:val="030303"/>
          <w:sz w:val="21"/>
          <w:szCs w:val="21"/>
        </w:rPr>
        <w:t>Cuando las licitaciones a que hace referencia el párrafo anterior no sean idóneas para asegurar dichas condiciones, las leyes establecerán las bases, procedimientos, reglas, requisitos y demás elementos para acreditar la economía, eficacia, eficiencia, imparcialidad y honradez que aseguren las mejores condiciones para el Estado.</w:t>
      </w:r>
    </w:p>
    <w:p w14:paraId="17E119DD" w14:textId="77777777" w:rsidR="0091769A" w:rsidRPr="00161856" w:rsidRDefault="0091769A" w:rsidP="0046208F">
      <w:pPr>
        <w:pStyle w:val="Textoindependiente"/>
        <w:widowControl w:val="0"/>
        <w:ind w:left="851" w:right="851"/>
        <w:rPr>
          <w:rFonts w:ascii="Abadi" w:hAnsi="Abadi"/>
          <w:i/>
          <w:color w:val="030303"/>
          <w:sz w:val="21"/>
          <w:szCs w:val="21"/>
        </w:rPr>
      </w:pPr>
    </w:p>
    <w:p w14:paraId="31A9E411" w14:textId="77777777" w:rsidR="0091769A" w:rsidRPr="00161856" w:rsidRDefault="0091769A" w:rsidP="0046208F">
      <w:pPr>
        <w:pStyle w:val="Textoindependiente"/>
        <w:widowControl w:val="0"/>
        <w:ind w:left="851" w:right="851"/>
        <w:rPr>
          <w:rFonts w:ascii="Abadi" w:hAnsi="Abadi"/>
          <w:i/>
          <w:color w:val="030303"/>
          <w:sz w:val="21"/>
          <w:szCs w:val="21"/>
        </w:rPr>
      </w:pPr>
      <w:r w:rsidRPr="00161856">
        <w:rPr>
          <w:rFonts w:ascii="Abadi" w:hAnsi="Abadi"/>
          <w:i/>
          <w:color w:val="030303"/>
          <w:sz w:val="21"/>
          <w:szCs w:val="21"/>
        </w:rPr>
        <w:t>El manejo de recursos económicos federales por parte de las entidades federativas, los municipios y las demarcaciones territoriales de la Ciudad de México, se sujetará a las bases de este artículo y a las leyes reglamentarias. La evaluación sobre el ejercicio de dichos recursos se realizará por las instancias técnicas de las entidades federativas a que se refiere el párrafo segundo de este artículo.</w:t>
      </w:r>
    </w:p>
    <w:p w14:paraId="5D9F1D2A" w14:textId="77777777" w:rsidR="0091769A" w:rsidRPr="00161856" w:rsidRDefault="0091769A" w:rsidP="0046208F">
      <w:pPr>
        <w:pStyle w:val="Textoindependiente"/>
        <w:widowControl w:val="0"/>
        <w:ind w:left="851" w:right="851"/>
        <w:rPr>
          <w:rFonts w:ascii="Abadi" w:hAnsi="Abadi"/>
          <w:i/>
          <w:color w:val="030303"/>
          <w:sz w:val="21"/>
          <w:szCs w:val="21"/>
        </w:rPr>
      </w:pPr>
    </w:p>
    <w:p w14:paraId="3C2ECEEA" w14:textId="77777777" w:rsidR="0091769A" w:rsidRPr="00161856" w:rsidRDefault="0091769A" w:rsidP="0046208F">
      <w:pPr>
        <w:pStyle w:val="Textoindependiente"/>
        <w:widowControl w:val="0"/>
        <w:ind w:left="851" w:right="851"/>
        <w:rPr>
          <w:rFonts w:ascii="Abadi" w:hAnsi="Abadi"/>
          <w:i/>
          <w:color w:val="030303"/>
          <w:sz w:val="21"/>
          <w:szCs w:val="21"/>
        </w:rPr>
      </w:pPr>
      <w:r w:rsidRPr="00161856">
        <w:rPr>
          <w:rFonts w:ascii="Abadi" w:hAnsi="Abadi"/>
          <w:i/>
          <w:color w:val="030303"/>
          <w:sz w:val="21"/>
          <w:szCs w:val="21"/>
        </w:rPr>
        <w:t>Los servidores públicos serán responsables del cumplimiento de estas bases en los términos del Título Cuarto de esta Constitución.</w:t>
      </w:r>
    </w:p>
    <w:p w14:paraId="6AC4CE1B" w14:textId="77777777" w:rsidR="0091769A" w:rsidRPr="00161856" w:rsidRDefault="0091769A" w:rsidP="0046208F">
      <w:pPr>
        <w:pStyle w:val="Textoindependiente"/>
        <w:widowControl w:val="0"/>
        <w:ind w:left="851" w:right="851"/>
        <w:rPr>
          <w:rFonts w:ascii="Abadi" w:hAnsi="Abadi"/>
          <w:i/>
          <w:color w:val="030303"/>
          <w:sz w:val="21"/>
          <w:szCs w:val="21"/>
        </w:rPr>
      </w:pPr>
    </w:p>
    <w:p w14:paraId="1B23DF9E" w14:textId="77777777" w:rsidR="0091769A" w:rsidRPr="00161856" w:rsidRDefault="0091769A" w:rsidP="0046208F">
      <w:pPr>
        <w:pStyle w:val="Textoindependiente"/>
        <w:widowControl w:val="0"/>
        <w:ind w:left="851" w:right="851"/>
        <w:rPr>
          <w:rFonts w:ascii="Abadi" w:hAnsi="Abadi"/>
          <w:i/>
          <w:color w:val="030303"/>
          <w:sz w:val="21"/>
          <w:szCs w:val="21"/>
        </w:rPr>
      </w:pPr>
      <w:r w:rsidRPr="00161856">
        <w:rPr>
          <w:rFonts w:ascii="Abadi" w:hAnsi="Abadi"/>
          <w:i/>
          <w:color w:val="030303"/>
          <w:sz w:val="21"/>
          <w:szCs w:val="21"/>
        </w:rPr>
        <w:t>Los servidores públicos de la Federación, las entidades federativas, los Municipios y las demarcaciones territoriales de la Ciudad de México, tienen en todo tiempo la obligación de aplicar con imparcialidad los recursos públicos que están bajo su responsabilidad, sin influir en la equidad de la competencia entre los partidos políticos.</w:t>
      </w:r>
    </w:p>
    <w:p w14:paraId="4A4662FA" w14:textId="77777777" w:rsidR="0091769A" w:rsidRPr="00161856" w:rsidRDefault="0091769A" w:rsidP="0046208F">
      <w:pPr>
        <w:pStyle w:val="Textoindependiente"/>
        <w:widowControl w:val="0"/>
        <w:ind w:left="851" w:right="851"/>
        <w:rPr>
          <w:rFonts w:ascii="Abadi" w:hAnsi="Abadi"/>
          <w:i/>
          <w:color w:val="030303"/>
          <w:sz w:val="21"/>
          <w:szCs w:val="21"/>
        </w:rPr>
      </w:pPr>
    </w:p>
    <w:p w14:paraId="094FDB9A" w14:textId="77777777" w:rsidR="0091769A" w:rsidRPr="00161856" w:rsidRDefault="0091769A" w:rsidP="0046208F">
      <w:pPr>
        <w:pStyle w:val="Textoindependiente"/>
        <w:widowControl w:val="0"/>
        <w:ind w:left="851" w:right="851"/>
        <w:rPr>
          <w:rFonts w:ascii="Abadi" w:hAnsi="Abadi"/>
          <w:i/>
          <w:color w:val="030303"/>
          <w:sz w:val="21"/>
          <w:szCs w:val="21"/>
        </w:rPr>
      </w:pPr>
      <w:r w:rsidRPr="00161856">
        <w:rPr>
          <w:rFonts w:ascii="Abadi" w:hAnsi="Abadi"/>
          <w:i/>
          <w:color w:val="030303"/>
          <w:sz w:val="21"/>
          <w:szCs w:val="21"/>
        </w:rPr>
        <w:t>La propaganda, bajo cualquier modalidad de comunicación social, que difundan como tales, los poderes públicos, los órganos autónomos, las dependencias y entidades de la administración pública y cualquier otro ente de los tres órdenes de gobierno, deberá tener carácter institucional y fines informativos, educativos o de orientación social. En ningún caso esta propaganda incluirá nombres, imágenes, voces o símbolos que impliquen promoción personalizada de cualquier servidor público.</w:t>
      </w:r>
    </w:p>
    <w:p w14:paraId="57A8610F" w14:textId="77777777" w:rsidR="0091769A" w:rsidRPr="00161856" w:rsidRDefault="0091769A" w:rsidP="0046208F">
      <w:pPr>
        <w:pStyle w:val="Textoindependiente"/>
        <w:widowControl w:val="0"/>
        <w:ind w:left="851" w:right="851"/>
        <w:rPr>
          <w:rFonts w:ascii="Abadi" w:hAnsi="Abadi"/>
          <w:i/>
          <w:color w:val="030303"/>
          <w:sz w:val="21"/>
          <w:szCs w:val="21"/>
        </w:rPr>
      </w:pPr>
    </w:p>
    <w:p w14:paraId="71A06C8A" w14:textId="77777777" w:rsidR="0091769A" w:rsidRPr="00161856" w:rsidRDefault="0091769A" w:rsidP="0046208F">
      <w:pPr>
        <w:pStyle w:val="Textoindependiente"/>
        <w:widowControl w:val="0"/>
        <w:ind w:left="851" w:right="851"/>
        <w:rPr>
          <w:rFonts w:ascii="Abadi" w:hAnsi="Abadi"/>
          <w:i/>
          <w:color w:val="030303"/>
          <w:sz w:val="21"/>
          <w:szCs w:val="21"/>
        </w:rPr>
      </w:pPr>
      <w:r w:rsidRPr="00161856">
        <w:rPr>
          <w:rFonts w:ascii="Abadi" w:hAnsi="Abadi"/>
          <w:i/>
          <w:color w:val="030303"/>
          <w:sz w:val="21"/>
          <w:szCs w:val="21"/>
        </w:rPr>
        <w:t>Las leyes, en sus respectivos ámbitos de aplicación, garantizarán el estricto cumplimiento de lo previsto en los dos párrafos anteriores, incluyendo el régimen de sanciones a que haya lugar.</w:t>
      </w:r>
    </w:p>
    <w:p w14:paraId="3270E025" w14:textId="77777777" w:rsidR="0091769A" w:rsidRPr="00161856" w:rsidRDefault="0091769A" w:rsidP="0046208F">
      <w:pPr>
        <w:pStyle w:val="Textoindependiente"/>
        <w:widowControl w:val="0"/>
        <w:rPr>
          <w:rFonts w:ascii="Abadi" w:hAnsi="Abadi"/>
          <w:sz w:val="21"/>
          <w:szCs w:val="21"/>
        </w:rPr>
      </w:pPr>
    </w:p>
    <w:p w14:paraId="2F53C894" w14:textId="77777777" w:rsidR="0091769A" w:rsidRPr="00161856" w:rsidRDefault="0091769A" w:rsidP="0046208F">
      <w:pPr>
        <w:pStyle w:val="Textoindependiente"/>
        <w:widowControl w:val="0"/>
        <w:ind w:firstLine="851"/>
        <w:rPr>
          <w:rFonts w:ascii="Abadi" w:hAnsi="Abadi"/>
          <w:sz w:val="21"/>
          <w:szCs w:val="21"/>
        </w:rPr>
      </w:pPr>
      <w:r w:rsidRPr="00161856">
        <w:rPr>
          <w:rFonts w:ascii="Abadi" w:hAnsi="Abadi"/>
          <w:sz w:val="21"/>
          <w:szCs w:val="21"/>
        </w:rPr>
        <w:t>En tanto que el artículo 137 de la Constitución Política para el Estado de Guanajuato refiere que:</w:t>
      </w:r>
    </w:p>
    <w:p w14:paraId="3C42A723" w14:textId="77777777" w:rsidR="0091769A" w:rsidRPr="00161856" w:rsidRDefault="0091769A" w:rsidP="0046208F">
      <w:pPr>
        <w:pStyle w:val="Textoindependiente"/>
        <w:widowControl w:val="0"/>
        <w:rPr>
          <w:rFonts w:ascii="Abadi" w:hAnsi="Abadi"/>
          <w:sz w:val="21"/>
          <w:szCs w:val="21"/>
        </w:rPr>
      </w:pPr>
    </w:p>
    <w:p w14:paraId="6412CD98" w14:textId="77777777" w:rsidR="0091769A" w:rsidRPr="00161856" w:rsidRDefault="0091769A" w:rsidP="0046208F">
      <w:pPr>
        <w:pStyle w:val="Textoindependiente"/>
        <w:widowControl w:val="0"/>
        <w:ind w:left="851" w:right="851"/>
        <w:rPr>
          <w:rFonts w:ascii="Abadi" w:hAnsi="Abadi"/>
          <w:i/>
          <w:color w:val="030303"/>
          <w:sz w:val="21"/>
          <w:szCs w:val="21"/>
        </w:rPr>
      </w:pPr>
      <w:r w:rsidRPr="00161856">
        <w:rPr>
          <w:rFonts w:ascii="Abadi" w:hAnsi="Abadi"/>
          <w:i/>
          <w:color w:val="030303"/>
          <w:sz w:val="21"/>
          <w:szCs w:val="21"/>
        </w:rPr>
        <w:t>ARTICULO 137.- Los contratos que tengan que celebrarse para la ejecución de obras públicas, serán adjudicados en Concurso Público, mediante convocatoria, en la que se presenten propuestas en sobres cerrados, que serán abiertos en Junta Pública, con las excepciones que la Ley secundaria señale.</w:t>
      </w:r>
    </w:p>
    <w:p w14:paraId="40661EEE" w14:textId="77777777" w:rsidR="0091769A" w:rsidRPr="00161856" w:rsidRDefault="0091769A" w:rsidP="0046208F">
      <w:pPr>
        <w:pStyle w:val="Textoindependiente"/>
        <w:widowControl w:val="0"/>
        <w:rPr>
          <w:rFonts w:ascii="Abadi" w:hAnsi="Abadi"/>
          <w:sz w:val="21"/>
          <w:szCs w:val="21"/>
        </w:rPr>
      </w:pPr>
    </w:p>
    <w:p w14:paraId="28BD5AB7" w14:textId="77777777" w:rsidR="0091769A" w:rsidRPr="00161856" w:rsidRDefault="0091769A" w:rsidP="0046208F">
      <w:pPr>
        <w:pStyle w:val="Textoindependiente"/>
        <w:widowControl w:val="0"/>
        <w:ind w:firstLine="851"/>
        <w:rPr>
          <w:rFonts w:ascii="Abadi" w:hAnsi="Abadi"/>
          <w:sz w:val="21"/>
          <w:szCs w:val="21"/>
        </w:rPr>
      </w:pPr>
      <w:r w:rsidRPr="00161856">
        <w:rPr>
          <w:rFonts w:ascii="Abadi" w:hAnsi="Abadi"/>
          <w:sz w:val="21"/>
          <w:szCs w:val="21"/>
        </w:rPr>
        <w:t>Ahora bien, la Ley de Obra Pública y Servicios relacionados con la misma para el Estado y los Municipios de Guanajuato tiene por objeto regular las acciones relativas a la planeación, programación, presupuestación, contratación, ejecución y control de la obra pública, así como de los servicios relacionados con la misma, que realicen en el estado de Guanajuato los poderes Ejecutivo, Legislativo y Judicial; los ayuntamientos; los organismos autónomos por Ley; y las entidades paraestatales y paramunicipales.</w:t>
      </w:r>
    </w:p>
    <w:p w14:paraId="034DF88C" w14:textId="77777777" w:rsidR="0091769A" w:rsidRPr="00161856" w:rsidRDefault="0091769A" w:rsidP="0046208F">
      <w:pPr>
        <w:pStyle w:val="Textoindependiente"/>
        <w:widowControl w:val="0"/>
        <w:rPr>
          <w:rFonts w:ascii="Abadi" w:hAnsi="Abadi"/>
          <w:sz w:val="21"/>
          <w:szCs w:val="21"/>
        </w:rPr>
      </w:pPr>
    </w:p>
    <w:p w14:paraId="6144D312" w14:textId="77777777" w:rsidR="0091769A" w:rsidRPr="00161856" w:rsidRDefault="0091769A" w:rsidP="0046208F">
      <w:pPr>
        <w:pStyle w:val="Textoindependiente"/>
        <w:widowControl w:val="0"/>
        <w:rPr>
          <w:rFonts w:ascii="Abadi" w:hAnsi="Abadi"/>
          <w:sz w:val="21"/>
          <w:szCs w:val="21"/>
        </w:rPr>
      </w:pPr>
    </w:p>
    <w:p w14:paraId="28624CEF" w14:textId="77777777" w:rsidR="0091769A" w:rsidRPr="00161856" w:rsidRDefault="0091769A" w:rsidP="0046208F">
      <w:pPr>
        <w:pStyle w:val="Textoindependiente"/>
        <w:widowControl w:val="0"/>
        <w:ind w:firstLine="851"/>
        <w:rPr>
          <w:rFonts w:ascii="Abadi" w:hAnsi="Abadi"/>
          <w:sz w:val="21"/>
          <w:szCs w:val="21"/>
        </w:rPr>
      </w:pPr>
      <w:r w:rsidRPr="00161856">
        <w:rPr>
          <w:rFonts w:ascii="Abadi" w:hAnsi="Abadi"/>
          <w:sz w:val="21"/>
          <w:szCs w:val="21"/>
        </w:rPr>
        <w:t xml:space="preserve">De manera específica -en el párrafo tercero del artículo 104- prohíbe </w:t>
      </w:r>
      <w:r w:rsidRPr="00161856">
        <w:rPr>
          <w:rFonts w:ascii="Abadi" w:hAnsi="Abadi"/>
          <w:i/>
          <w:iCs/>
          <w:sz w:val="21"/>
          <w:szCs w:val="21"/>
        </w:rPr>
        <w:t>la cesión total o parcial de los derechos y obligaciones que se deriven de los contratos de obra pública a favor de cualesquiera otra persona física o moral, con excepción de los derechos de cobro sobre las estimaciones por trabajos ejecutados o facturas, que se podrán ceder a favor de instituciones financieras en cuyo caso se deberá contar con el consentimiento del ente público contratante y de la Secretaría de Finanzas, Inversión y Administración, de la Tesorería Municipal o del ente público que administre los recursos, según corresponda</w:t>
      </w:r>
      <w:r w:rsidRPr="00161856">
        <w:rPr>
          <w:rFonts w:ascii="Abadi" w:hAnsi="Abadi"/>
          <w:sz w:val="21"/>
          <w:szCs w:val="21"/>
        </w:rPr>
        <w:t>.</w:t>
      </w:r>
    </w:p>
    <w:p w14:paraId="5E2E2CD0" w14:textId="77777777" w:rsidR="0091769A" w:rsidRPr="00161856" w:rsidRDefault="0091769A" w:rsidP="0046208F">
      <w:pPr>
        <w:pStyle w:val="Textoindependiente"/>
        <w:widowControl w:val="0"/>
        <w:rPr>
          <w:rFonts w:ascii="Abadi" w:hAnsi="Abadi"/>
          <w:sz w:val="21"/>
          <w:szCs w:val="21"/>
        </w:rPr>
      </w:pPr>
    </w:p>
    <w:p w14:paraId="2C7A060C" w14:textId="77777777" w:rsidR="0091769A" w:rsidRPr="00161856" w:rsidRDefault="0091769A" w:rsidP="0046208F">
      <w:pPr>
        <w:pStyle w:val="Textoindependiente"/>
        <w:widowControl w:val="0"/>
        <w:ind w:firstLine="851"/>
        <w:rPr>
          <w:rFonts w:ascii="Abadi" w:hAnsi="Abadi"/>
          <w:sz w:val="21"/>
          <w:szCs w:val="21"/>
        </w:rPr>
      </w:pPr>
      <w:r w:rsidRPr="00161856">
        <w:rPr>
          <w:rFonts w:ascii="Abadi" w:hAnsi="Abadi"/>
          <w:sz w:val="21"/>
          <w:szCs w:val="21"/>
        </w:rPr>
        <w:t>Como podemos advertir, se pueden ceder total o parcialmente los derechos y obligaciones que deriven de contratos de obra pública solo a través de instituciones financieras, y siempre que se cuente con el consentimiento de los entes públicos contratante y responsable de la administración de recursos.</w:t>
      </w:r>
    </w:p>
    <w:p w14:paraId="6046D612" w14:textId="77777777" w:rsidR="0091769A" w:rsidRPr="00161856" w:rsidRDefault="0091769A" w:rsidP="0046208F">
      <w:pPr>
        <w:pStyle w:val="Textoindependiente"/>
        <w:widowControl w:val="0"/>
        <w:rPr>
          <w:rFonts w:ascii="Abadi" w:hAnsi="Abadi"/>
          <w:sz w:val="21"/>
          <w:szCs w:val="21"/>
        </w:rPr>
      </w:pPr>
    </w:p>
    <w:p w14:paraId="188F56F8" w14:textId="77777777" w:rsidR="0091769A" w:rsidRPr="00161856" w:rsidRDefault="0091769A" w:rsidP="0046208F">
      <w:pPr>
        <w:pStyle w:val="Textoindependiente"/>
        <w:widowControl w:val="0"/>
        <w:ind w:firstLine="851"/>
        <w:rPr>
          <w:rFonts w:ascii="Abadi" w:hAnsi="Abadi"/>
          <w:sz w:val="21"/>
          <w:szCs w:val="21"/>
        </w:rPr>
      </w:pPr>
      <w:r w:rsidRPr="00161856">
        <w:rPr>
          <w:rFonts w:ascii="Abadi" w:hAnsi="Abadi"/>
          <w:sz w:val="21"/>
          <w:szCs w:val="21"/>
        </w:rPr>
        <w:t xml:space="preserve">Coincidimos con las diputadas y los diputados iniciantes en que el concepto </w:t>
      </w:r>
      <w:r w:rsidRPr="00161856">
        <w:rPr>
          <w:rFonts w:ascii="Abadi" w:hAnsi="Abadi"/>
          <w:i/>
          <w:iCs/>
          <w:sz w:val="21"/>
          <w:szCs w:val="21"/>
        </w:rPr>
        <w:t>instituciones financieras</w:t>
      </w:r>
      <w:r w:rsidRPr="00161856">
        <w:rPr>
          <w:rFonts w:ascii="Abadi" w:hAnsi="Abadi"/>
          <w:sz w:val="21"/>
          <w:szCs w:val="21"/>
        </w:rPr>
        <w:t xml:space="preserve"> genera ambigüedad, por lo que resulta pertinente la reforma al tercer párrafo del artículo 104, a fin de eliminar este concepto.</w:t>
      </w:r>
    </w:p>
    <w:p w14:paraId="4E08272F" w14:textId="77777777" w:rsidR="0091769A" w:rsidRPr="00161856" w:rsidRDefault="0091769A" w:rsidP="0046208F">
      <w:pPr>
        <w:pStyle w:val="Textoindependiente"/>
        <w:widowControl w:val="0"/>
        <w:rPr>
          <w:rFonts w:ascii="Abadi" w:hAnsi="Abadi"/>
          <w:sz w:val="21"/>
          <w:szCs w:val="21"/>
        </w:rPr>
      </w:pPr>
    </w:p>
    <w:p w14:paraId="29D40DAB" w14:textId="77777777" w:rsidR="0091769A" w:rsidRPr="00161856" w:rsidRDefault="0091769A" w:rsidP="0046208F">
      <w:pPr>
        <w:pStyle w:val="Textoindependiente"/>
        <w:widowControl w:val="0"/>
        <w:ind w:firstLine="851"/>
        <w:rPr>
          <w:rFonts w:ascii="Abadi" w:hAnsi="Abadi"/>
          <w:sz w:val="21"/>
          <w:szCs w:val="21"/>
        </w:rPr>
      </w:pPr>
      <w:r w:rsidRPr="00161856">
        <w:rPr>
          <w:rFonts w:ascii="Abadi" w:hAnsi="Abadi"/>
          <w:sz w:val="21"/>
          <w:szCs w:val="21"/>
        </w:rPr>
        <w:t>También coincidimos en que debe conservarse el consentimiento del ente público contratante y de la Secretaría de Finanzas, Inversión y Administración, de la Tesorería Municipal o del ente público que administre los recursos, según corresponda. Ello a fin de que las unidades administrativas responsables del control presupuestal tomen las previsiones correspondientes y conserven los controles necesarios sobre la disciplina en el ejercicio del gasto público.</w:t>
      </w:r>
    </w:p>
    <w:p w14:paraId="471D198F" w14:textId="77777777" w:rsidR="0091769A" w:rsidRPr="00161856" w:rsidRDefault="0091769A" w:rsidP="0046208F">
      <w:pPr>
        <w:pStyle w:val="Textoindependiente"/>
        <w:widowControl w:val="0"/>
        <w:rPr>
          <w:rFonts w:ascii="Abadi" w:hAnsi="Abadi"/>
          <w:sz w:val="21"/>
          <w:szCs w:val="21"/>
        </w:rPr>
      </w:pPr>
    </w:p>
    <w:p w14:paraId="426A64E1" w14:textId="77777777" w:rsidR="0091769A" w:rsidRPr="00161856" w:rsidRDefault="0091769A" w:rsidP="0046208F">
      <w:pPr>
        <w:pStyle w:val="Textoindependiente"/>
        <w:widowControl w:val="0"/>
        <w:ind w:firstLine="851"/>
        <w:rPr>
          <w:rFonts w:ascii="Abadi" w:hAnsi="Abadi"/>
          <w:sz w:val="21"/>
          <w:szCs w:val="21"/>
        </w:rPr>
      </w:pPr>
      <w:r w:rsidRPr="00161856">
        <w:rPr>
          <w:rFonts w:ascii="Abadi" w:hAnsi="Abadi"/>
          <w:sz w:val="21"/>
          <w:szCs w:val="21"/>
        </w:rPr>
        <w:t>Compartimos con el iniciante que se facilita el acceso a opciones financieras para las empresas en el sector constructor, que permiten una mejor administración de los activos de la industria sin generar estrés por el incremento de garantías adicionales que exigirían otros esquemas crediticios.</w:t>
      </w:r>
    </w:p>
    <w:p w14:paraId="06ACF517" w14:textId="77777777" w:rsidR="0091769A" w:rsidRPr="00161856" w:rsidRDefault="0091769A" w:rsidP="0046208F">
      <w:pPr>
        <w:pStyle w:val="Textoindependiente"/>
        <w:widowControl w:val="0"/>
        <w:rPr>
          <w:rFonts w:ascii="Abadi" w:hAnsi="Abadi"/>
          <w:sz w:val="21"/>
          <w:szCs w:val="21"/>
        </w:rPr>
      </w:pPr>
    </w:p>
    <w:p w14:paraId="344335AB" w14:textId="77777777" w:rsidR="0091769A" w:rsidRPr="00161856" w:rsidRDefault="0091769A" w:rsidP="0046208F">
      <w:pPr>
        <w:pStyle w:val="Textoindependiente"/>
        <w:widowControl w:val="0"/>
        <w:ind w:firstLine="851"/>
        <w:rPr>
          <w:rFonts w:ascii="Abadi" w:hAnsi="Abadi"/>
          <w:sz w:val="21"/>
          <w:szCs w:val="21"/>
        </w:rPr>
      </w:pPr>
      <w:r w:rsidRPr="00161856">
        <w:rPr>
          <w:rFonts w:ascii="Abadi" w:hAnsi="Abadi"/>
          <w:sz w:val="21"/>
          <w:szCs w:val="21"/>
        </w:rPr>
        <w:t>Y, como lo expresó el ayuntamiento de León, es importante fortalecer la competitividad e impulsar a las empresas y diversos sectores, como el de la construcción.</w:t>
      </w:r>
    </w:p>
    <w:p w14:paraId="2D4D48A8" w14:textId="77777777" w:rsidR="0091769A" w:rsidRPr="00161856" w:rsidRDefault="0091769A" w:rsidP="0046208F">
      <w:pPr>
        <w:widowControl w:val="0"/>
        <w:jc w:val="both"/>
        <w:rPr>
          <w:rFonts w:ascii="Abadi" w:hAnsi="Abadi"/>
          <w:bCs/>
          <w:sz w:val="21"/>
          <w:szCs w:val="21"/>
          <w:lang w:val="es-MX" w:eastAsia="es-MX"/>
        </w:rPr>
      </w:pPr>
    </w:p>
    <w:p w14:paraId="08E913AD" w14:textId="77777777" w:rsidR="0091769A" w:rsidRPr="00161856" w:rsidRDefault="0091769A" w:rsidP="0046208F">
      <w:pPr>
        <w:widowControl w:val="0"/>
        <w:ind w:left="851"/>
        <w:jc w:val="both"/>
        <w:rPr>
          <w:rFonts w:ascii="Abadi" w:hAnsi="Abadi" w:cs="Arial"/>
          <w:b/>
          <w:sz w:val="21"/>
          <w:szCs w:val="21"/>
          <w:lang w:val="es-MX"/>
        </w:rPr>
      </w:pPr>
      <w:r w:rsidRPr="00161856">
        <w:rPr>
          <w:rFonts w:ascii="Abadi" w:hAnsi="Abadi" w:cs="Arial"/>
          <w:b/>
          <w:sz w:val="21"/>
          <w:szCs w:val="21"/>
          <w:lang w:val="es-MX"/>
        </w:rPr>
        <w:t>AGENDA 2030.</w:t>
      </w:r>
    </w:p>
    <w:p w14:paraId="70A481A0" w14:textId="77777777" w:rsidR="0091769A" w:rsidRPr="00161856" w:rsidRDefault="0091769A" w:rsidP="0046208F">
      <w:pPr>
        <w:widowControl w:val="0"/>
        <w:jc w:val="both"/>
        <w:rPr>
          <w:rFonts w:ascii="Abadi" w:hAnsi="Abadi"/>
          <w:sz w:val="21"/>
          <w:szCs w:val="21"/>
          <w:lang w:val="es-MX"/>
        </w:rPr>
      </w:pPr>
    </w:p>
    <w:p w14:paraId="720DD6A6" w14:textId="77777777" w:rsidR="0091769A" w:rsidRPr="00161856" w:rsidRDefault="0091769A" w:rsidP="0046208F">
      <w:pPr>
        <w:pStyle w:val="Textoindependiente"/>
        <w:widowControl w:val="0"/>
        <w:ind w:firstLine="851"/>
        <w:rPr>
          <w:rFonts w:ascii="Abadi" w:hAnsi="Abadi"/>
          <w:sz w:val="21"/>
          <w:szCs w:val="21"/>
        </w:rPr>
      </w:pPr>
      <w:r w:rsidRPr="00161856">
        <w:rPr>
          <w:rFonts w:ascii="Abadi" w:hAnsi="Abadi"/>
          <w:sz w:val="21"/>
          <w:szCs w:val="21"/>
        </w:rPr>
        <w:t>Los Objetivos del Desarrollo Sostenible se rigen por tres principios fundamentales: no dejar a nadie atrás; una agenda universal, pero de apropiación nacional; y una agenda integral.</w:t>
      </w:r>
    </w:p>
    <w:p w14:paraId="17F0A481" w14:textId="77777777" w:rsidR="0091769A" w:rsidRPr="00161856" w:rsidRDefault="0091769A" w:rsidP="0046208F">
      <w:pPr>
        <w:pStyle w:val="Textoindependiente"/>
        <w:widowControl w:val="0"/>
        <w:rPr>
          <w:rFonts w:ascii="Abadi" w:hAnsi="Abadi"/>
          <w:sz w:val="21"/>
          <w:szCs w:val="21"/>
        </w:rPr>
      </w:pPr>
    </w:p>
    <w:p w14:paraId="05E3A8A2" w14:textId="77777777" w:rsidR="0091769A" w:rsidRPr="00161856" w:rsidRDefault="0091769A" w:rsidP="0046208F">
      <w:pPr>
        <w:pStyle w:val="Textoindependiente"/>
        <w:widowControl w:val="0"/>
        <w:ind w:firstLine="851"/>
        <w:rPr>
          <w:rFonts w:ascii="Abadi" w:hAnsi="Abadi"/>
          <w:sz w:val="21"/>
          <w:szCs w:val="21"/>
        </w:rPr>
      </w:pPr>
      <w:r w:rsidRPr="00161856">
        <w:rPr>
          <w:rFonts w:ascii="Abadi" w:hAnsi="Abadi"/>
          <w:sz w:val="21"/>
          <w:szCs w:val="21"/>
        </w:rPr>
        <w:t>Ahora bien, sabedores de que el Poder Legislativo como parte del Estado mexicano, tiene una responsabilidad fundamental en el compromiso adquirido para alcanzar los 17 Objetivos de Desarrollo Sostenible y sus 169 metas, a través de las cuatro dimensiones de acción, a saber: 1. Creación y reforma de leyes; 2. Seguimiento a la planeación y al presupuesto; 3. Promoción de la participación ciudadana; y 4. Monitoreo de la actividad gubernamental, destacamos que este dictamen tiene incidencia en el objetivo 8 PROMOVER EL CRECIMIENTO ECONÓMICO SOSTENIDO, INCLUSIVO Y SOSTENIBLE, EL EMPLEO PLENO Y PRODUCTIVO Y EL TRABAJO DECENTE PARA TODOS.</w:t>
      </w:r>
    </w:p>
    <w:p w14:paraId="09C8F212" w14:textId="77777777" w:rsidR="0091769A" w:rsidRPr="00161856" w:rsidRDefault="0091769A" w:rsidP="0046208F">
      <w:pPr>
        <w:pStyle w:val="Textoindependiente"/>
        <w:widowControl w:val="0"/>
        <w:rPr>
          <w:rFonts w:ascii="Abadi" w:hAnsi="Abadi"/>
          <w:sz w:val="21"/>
          <w:szCs w:val="21"/>
        </w:rPr>
      </w:pPr>
    </w:p>
    <w:p w14:paraId="7CFB5E3F" w14:textId="77777777" w:rsidR="0091769A" w:rsidRPr="00161856" w:rsidRDefault="0091769A" w:rsidP="0046208F">
      <w:pPr>
        <w:pStyle w:val="Textoindependiente"/>
        <w:widowControl w:val="0"/>
        <w:ind w:firstLine="851"/>
        <w:rPr>
          <w:rFonts w:ascii="Abadi" w:hAnsi="Abadi"/>
          <w:sz w:val="21"/>
          <w:szCs w:val="21"/>
        </w:rPr>
      </w:pPr>
      <w:r w:rsidRPr="00161856">
        <w:rPr>
          <w:rFonts w:ascii="Abadi" w:hAnsi="Abadi"/>
          <w:sz w:val="21"/>
          <w:szCs w:val="21"/>
        </w:rPr>
        <w:t>En mérito de lo expuesto, sometemos a consideración de la Asamblea, la aprobación del siguiente:</w:t>
      </w:r>
    </w:p>
    <w:p w14:paraId="525BA28D" w14:textId="77777777" w:rsidR="0091769A" w:rsidRPr="00161856" w:rsidRDefault="0091769A" w:rsidP="0046208F">
      <w:pPr>
        <w:pStyle w:val="Textoindependiente"/>
        <w:widowControl w:val="0"/>
        <w:rPr>
          <w:rFonts w:ascii="Abadi" w:hAnsi="Abadi"/>
          <w:sz w:val="21"/>
          <w:szCs w:val="21"/>
        </w:rPr>
      </w:pPr>
    </w:p>
    <w:p w14:paraId="2077EB3E" w14:textId="77777777" w:rsidR="0091769A" w:rsidRPr="00161856" w:rsidRDefault="0091769A" w:rsidP="0046208F">
      <w:pPr>
        <w:widowControl w:val="0"/>
        <w:jc w:val="center"/>
        <w:rPr>
          <w:rFonts w:ascii="Abadi" w:hAnsi="Abadi" w:cs="Arial"/>
          <w:b/>
          <w:sz w:val="21"/>
          <w:szCs w:val="21"/>
          <w:lang w:val="es-MX"/>
        </w:rPr>
      </w:pPr>
      <w:bookmarkStart w:id="46" w:name="_Hlk106207835"/>
      <w:r w:rsidRPr="00161856">
        <w:rPr>
          <w:rFonts w:ascii="Abadi" w:hAnsi="Abadi" w:cs="Arial"/>
          <w:b/>
          <w:sz w:val="21"/>
          <w:szCs w:val="21"/>
          <w:lang w:val="es-MX"/>
        </w:rPr>
        <w:t>D E C R E T O</w:t>
      </w:r>
    </w:p>
    <w:p w14:paraId="33887234" w14:textId="77777777" w:rsidR="0091769A" w:rsidRPr="00161856" w:rsidRDefault="0091769A" w:rsidP="0046208F">
      <w:pPr>
        <w:widowControl w:val="0"/>
        <w:rPr>
          <w:rFonts w:ascii="Abadi" w:hAnsi="Abadi" w:cs="Arial"/>
          <w:bCs/>
          <w:sz w:val="21"/>
          <w:szCs w:val="21"/>
          <w:lang w:val="es-MX"/>
        </w:rPr>
      </w:pPr>
    </w:p>
    <w:p w14:paraId="14921613" w14:textId="77777777" w:rsidR="0091769A" w:rsidRPr="00161856" w:rsidRDefault="0091769A" w:rsidP="0046208F">
      <w:pPr>
        <w:widowControl w:val="0"/>
        <w:ind w:firstLine="851"/>
        <w:jc w:val="both"/>
        <w:rPr>
          <w:rFonts w:ascii="Abadi" w:hAnsi="Abadi"/>
          <w:sz w:val="21"/>
          <w:szCs w:val="21"/>
          <w:lang w:val="es-MX"/>
        </w:rPr>
      </w:pPr>
      <w:bookmarkStart w:id="47" w:name="_Hlk106205499"/>
      <w:r w:rsidRPr="00161856">
        <w:rPr>
          <w:rFonts w:ascii="Abadi" w:hAnsi="Abadi"/>
          <w:b/>
          <w:bCs/>
          <w:sz w:val="21"/>
          <w:szCs w:val="21"/>
          <w:lang w:val="es-MX"/>
        </w:rPr>
        <w:t>ARTÍCULO ÚNICO.</w:t>
      </w:r>
      <w:r w:rsidRPr="00161856">
        <w:rPr>
          <w:rFonts w:ascii="Abadi" w:hAnsi="Abadi"/>
          <w:sz w:val="21"/>
          <w:szCs w:val="21"/>
          <w:lang w:val="es-MX"/>
        </w:rPr>
        <w:t xml:space="preserve"> Se </w:t>
      </w:r>
      <w:r w:rsidRPr="00161856">
        <w:rPr>
          <w:rFonts w:ascii="Abadi" w:hAnsi="Abadi"/>
          <w:b/>
          <w:bCs/>
          <w:sz w:val="21"/>
          <w:szCs w:val="21"/>
          <w:lang w:val="es-MX"/>
        </w:rPr>
        <w:t xml:space="preserve">reforma </w:t>
      </w:r>
      <w:r w:rsidRPr="00161856">
        <w:rPr>
          <w:rFonts w:ascii="Abadi" w:hAnsi="Abadi"/>
          <w:sz w:val="21"/>
          <w:szCs w:val="21"/>
          <w:lang w:val="es-MX"/>
        </w:rPr>
        <w:t xml:space="preserve">el párrafo tercero del artículo 104 </w:t>
      </w:r>
      <w:r w:rsidRPr="00161856">
        <w:rPr>
          <w:rFonts w:ascii="Abadi" w:hAnsi="Abadi"/>
          <w:bCs/>
          <w:sz w:val="21"/>
          <w:szCs w:val="21"/>
          <w:lang w:val="es-ES_tradnl"/>
        </w:rPr>
        <w:t xml:space="preserve">de la </w:t>
      </w:r>
      <w:r w:rsidRPr="00161856">
        <w:rPr>
          <w:rFonts w:ascii="Abadi" w:hAnsi="Abadi"/>
          <w:b/>
          <w:sz w:val="21"/>
          <w:szCs w:val="21"/>
          <w:lang w:val="es-MX"/>
        </w:rPr>
        <w:t>Ley de Obra Pública y Servicios relacionados con la misma para el Estado y los Municipios de Guanajuato</w:t>
      </w:r>
      <w:r w:rsidRPr="00161856">
        <w:rPr>
          <w:rFonts w:ascii="Abadi" w:hAnsi="Abadi"/>
          <w:sz w:val="21"/>
          <w:szCs w:val="21"/>
          <w:lang w:val="es-MX"/>
        </w:rPr>
        <w:t>, para quedar en los siguientes términos:</w:t>
      </w:r>
    </w:p>
    <w:p w14:paraId="4365A0EE" w14:textId="77777777" w:rsidR="0091769A" w:rsidRPr="00161856" w:rsidRDefault="0091769A" w:rsidP="0046208F">
      <w:pPr>
        <w:widowControl w:val="0"/>
        <w:jc w:val="both"/>
        <w:rPr>
          <w:rFonts w:ascii="Abadi" w:hAnsi="Abadi"/>
          <w:sz w:val="21"/>
          <w:szCs w:val="21"/>
          <w:lang w:val="es-ES_tradnl"/>
        </w:rPr>
      </w:pPr>
    </w:p>
    <w:p w14:paraId="2CDBB5FC" w14:textId="77777777" w:rsidR="0091769A" w:rsidRPr="00161856" w:rsidRDefault="0091769A" w:rsidP="0046208F">
      <w:pPr>
        <w:widowControl w:val="0"/>
        <w:jc w:val="right"/>
        <w:rPr>
          <w:rFonts w:ascii="Abadi" w:hAnsi="Abadi" w:cs="Tahoma"/>
          <w:b/>
          <w:i/>
          <w:iCs/>
          <w:sz w:val="21"/>
          <w:szCs w:val="21"/>
          <w:lang w:val="es-MX"/>
        </w:rPr>
      </w:pPr>
      <w:r w:rsidRPr="00161856">
        <w:rPr>
          <w:rFonts w:ascii="Abadi" w:hAnsi="Abadi" w:cs="Tahoma"/>
          <w:b/>
          <w:i/>
          <w:iCs/>
          <w:sz w:val="21"/>
          <w:szCs w:val="21"/>
          <w:lang w:val="es-MX"/>
        </w:rPr>
        <w:t>«Estimaciones de trabajos…</w:t>
      </w:r>
    </w:p>
    <w:p w14:paraId="03E15121" w14:textId="77777777" w:rsidR="0091769A" w:rsidRPr="00161856" w:rsidRDefault="0091769A" w:rsidP="0046208F">
      <w:pPr>
        <w:widowControl w:val="0"/>
        <w:ind w:firstLine="851"/>
        <w:jc w:val="both"/>
        <w:rPr>
          <w:rFonts w:ascii="Abadi" w:hAnsi="Abadi"/>
          <w:sz w:val="21"/>
          <w:szCs w:val="21"/>
          <w:lang w:val="es-ES_tradnl"/>
        </w:rPr>
      </w:pPr>
      <w:r w:rsidRPr="00161856">
        <w:rPr>
          <w:rFonts w:ascii="Abadi" w:hAnsi="Abadi"/>
          <w:b/>
          <w:bCs/>
          <w:sz w:val="21"/>
          <w:szCs w:val="21"/>
          <w:lang w:val="es-ES_tradnl"/>
        </w:rPr>
        <w:t>Artículo 104.</w:t>
      </w:r>
      <w:r w:rsidRPr="00161856">
        <w:rPr>
          <w:rFonts w:ascii="Abadi" w:hAnsi="Abadi"/>
          <w:sz w:val="21"/>
          <w:szCs w:val="21"/>
          <w:lang w:val="es-ES_tradnl"/>
        </w:rPr>
        <w:t xml:space="preserve"> Las estimaciones por…</w:t>
      </w:r>
    </w:p>
    <w:p w14:paraId="75F20486" w14:textId="77777777" w:rsidR="0091769A" w:rsidRPr="00161856" w:rsidRDefault="0091769A" w:rsidP="0046208F">
      <w:pPr>
        <w:widowControl w:val="0"/>
        <w:jc w:val="both"/>
        <w:rPr>
          <w:rFonts w:ascii="Abadi" w:hAnsi="Abadi"/>
          <w:sz w:val="21"/>
          <w:szCs w:val="21"/>
          <w:lang w:val="es-ES_tradnl"/>
        </w:rPr>
      </w:pPr>
    </w:p>
    <w:p w14:paraId="60A488F5" w14:textId="77777777" w:rsidR="0091769A" w:rsidRPr="00161856" w:rsidRDefault="0091769A" w:rsidP="0046208F">
      <w:pPr>
        <w:widowControl w:val="0"/>
        <w:ind w:firstLine="851"/>
        <w:jc w:val="both"/>
        <w:rPr>
          <w:rFonts w:ascii="Abadi" w:hAnsi="Abadi"/>
          <w:sz w:val="21"/>
          <w:szCs w:val="21"/>
          <w:lang w:val="es-ES_tradnl"/>
        </w:rPr>
      </w:pPr>
      <w:r w:rsidRPr="00161856">
        <w:rPr>
          <w:rFonts w:ascii="Abadi" w:hAnsi="Abadi"/>
          <w:sz w:val="21"/>
          <w:szCs w:val="21"/>
          <w:lang w:val="es-ES_tradnl"/>
        </w:rPr>
        <w:t>Las estimaciones por…</w:t>
      </w:r>
    </w:p>
    <w:p w14:paraId="2326F7A5" w14:textId="77777777" w:rsidR="0091769A" w:rsidRPr="00161856" w:rsidRDefault="0091769A" w:rsidP="0046208F">
      <w:pPr>
        <w:widowControl w:val="0"/>
        <w:jc w:val="both"/>
        <w:rPr>
          <w:rFonts w:ascii="Abadi" w:hAnsi="Abadi"/>
          <w:sz w:val="21"/>
          <w:szCs w:val="21"/>
          <w:lang w:val="es-ES_tradnl"/>
        </w:rPr>
      </w:pPr>
    </w:p>
    <w:p w14:paraId="28F74A36" w14:textId="77777777" w:rsidR="0091769A" w:rsidRPr="00161856" w:rsidRDefault="0091769A" w:rsidP="0046208F">
      <w:pPr>
        <w:widowControl w:val="0"/>
        <w:ind w:firstLine="851"/>
        <w:jc w:val="both"/>
        <w:rPr>
          <w:rFonts w:ascii="Abadi" w:hAnsi="Abadi"/>
          <w:sz w:val="21"/>
          <w:szCs w:val="21"/>
          <w:lang w:val="es-MX"/>
        </w:rPr>
      </w:pPr>
      <w:r w:rsidRPr="00161856">
        <w:rPr>
          <w:rFonts w:ascii="Abadi" w:hAnsi="Abadi"/>
          <w:sz w:val="21"/>
          <w:szCs w:val="21"/>
          <w:lang w:val="es-ES_tradnl"/>
        </w:rPr>
        <w:t>Se prohíbe la cesión total o parcial de los derechos y obligaciones que se deriven de los contratos de obra pública a favor de cualesquiera otra persona física o moral, con excepción de los derechos de cobro sobre las estimaciones por trabajos ejecutados o facturas, que se podrán ceder con el consentimiento del ente público contratante y de la Secretaría de Finanzas, Inversión y Administración, de la Tesorería Municipal o del ente público que administre los recursos, según corresponda.</w:t>
      </w:r>
      <w:r w:rsidRPr="00161856">
        <w:rPr>
          <w:rFonts w:ascii="Abadi" w:hAnsi="Abadi" w:cs="Tahoma"/>
          <w:b/>
          <w:sz w:val="21"/>
          <w:szCs w:val="21"/>
          <w:lang w:val="es-MX"/>
        </w:rPr>
        <w:t>»</w:t>
      </w:r>
    </w:p>
    <w:p w14:paraId="31E6C838" w14:textId="77777777" w:rsidR="0091769A" w:rsidRPr="00161856" w:rsidRDefault="0091769A" w:rsidP="0046208F">
      <w:pPr>
        <w:widowControl w:val="0"/>
        <w:rPr>
          <w:rFonts w:ascii="Abadi" w:hAnsi="Abadi"/>
          <w:sz w:val="21"/>
          <w:szCs w:val="21"/>
          <w:lang w:val="es-MX"/>
        </w:rPr>
      </w:pPr>
    </w:p>
    <w:p w14:paraId="7D9BD492" w14:textId="77777777" w:rsidR="0091769A" w:rsidRPr="00161856" w:rsidRDefault="0091769A" w:rsidP="0046208F">
      <w:pPr>
        <w:widowControl w:val="0"/>
        <w:jc w:val="center"/>
        <w:rPr>
          <w:rFonts w:ascii="Abadi" w:hAnsi="Abadi"/>
          <w:b/>
          <w:bCs/>
          <w:sz w:val="21"/>
          <w:szCs w:val="21"/>
        </w:rPr>
      </w:pPr>
      <w:r w:rsidRPr="00161856">
        <w:rPr>
          <w:rFonts w:ascii="Abadi" w:hAnsi="Abadi"/>
          <w:b/>
          <w:bCs/>
          <w:sz w:val="21"/>
          <w:szCs w:val="21"/>
        </w:rPr>
        <w:t>T R A N S I T O R I O</w:t>
      </w:r>
    </w:p>
    <w:p w14:paraId="5E36E923" w14:textId="77777777" w:rsidR="0091769A" w:rsidRPr="00161856" w:rsidRDefault="0091769A" w:rsidP="0046208F">
      <w:pPr>
        <w:widowControl w:val="0"/>
        <w:jc w:val="both"/>
        <w:rPr>
          <w:rFonts w:ascii="Abadi" w:hAnsi="Abadi"/>
          <w:sz w:val="21"/>
          <w:szCs w:val="21"/>
        </w:rPr>
      </w:pPr>
    </w:p>
    <w:p w14:paraId="7B9AC68B" w14:textId="77777777" w:rsidR="0091769A" w:rsidRPr="00161856" w:rsidRDefault="0091769A" w:rsidP="0046208F">
      <w:pPr>
        <w:widowControl w:val="0"/>
        <w:jc w:val="right"/>
        <w:rPr>
          <w:rFonts w:ascii="Abadi" w:hAnsi="Abadi" w:cs="Tahoma"/>
          <w:b/>
          <w:i/>
          <w:iCs/>
          <w:sz w:val="21"/>
          <w:szCs w:val="21"/>
          <w:lang w:val="es-MX"/>
        </w:rPr>
      </w:pPr>
      <w:r w:rsidRPr="00161856">
        <w:rPr>
          <w:rFonts w:ascii="Abadi" w:hAnsi="Abadi" w:cs="Tahoma"/>
          <w:b/>
          <w:i/>
          <w:iCs/>
          <w:sz w:val="21"/>
          <w:szCs w:val="21"/>
          <w:lang w:val="es-MX"/>
        </w:rPr>
        <w:t>Inicio de vigencia</w:t>
      </w:r>
    </w:p>
    <w:p w14:paraId="7BBFB2BC" w14:textId="77777777" w:rsidR="0091769A" w:rsidRPr="00161856" w:rsidRDefault="0091769A" w:rsidP="0046208F">
      <w:pPr>
        <w:widowControl w:val="0"/>
        <w:ind w:firstLine="851"/>
        <w:jc w:val="both"/>
        <w:rPr>
          <w:rFonts w:ascii="Abadi" w:hAnsi="Abadi"/>
          <w:sz w:val="21"/>
          <w:szCs w:val="21"/>
          <w:lang w:val="es-ES_tradnl"/>
        </w:rPr>
      </w:pPr>
      <w:r w:rsidRPr="00161856">
        <w:rPr>
          <w:rFonts w:ascii="Abadi" w:hAnsi="Abadi"/>
          <w:b/>
          <w:sz w:val="21"/>
          <w:szCs w:val="21"/>
          <w:lang w:val="es-MX"/>
        </w:rPr>
        <w:t>Artículo Único.</w:t>
      </w:r>
      <w:r w:rsidRPr="00161856">
        <w:rPr>
          <w:rFonts w:ascii="Abadi" w:hAnsi="Abadi"/>
          <w:sz w:val="21"/>
          <w:szCs w:val="21"/>
          <w:lang w:val="es-MX"/>
        </w:rPr>
        <w:t xml:space="preserve"> </w:t>
      </w:r>
      <w:r w:rsidRPr="00161856">
        <w:rPr>
          <w:rFonts w:ascii="Abadi" w:hAnsi="Abadi"/>
          <w:sz w:val="21"/>
          <w:szCs w:val="21"/>
          <w:lang w:val="es-ES_tradnl"/>
        </w:rPr>
        <w:t>El presente decreto entrará en vigor al día siguiente de su publicación en el Periódico Oficial del Gobierno del Estado de Guanajuato.</w:t>
      </w:r>
    </w:p>
    <w:p w14:paraId="0438DA66" w14:textId="77777777" w:rsidR="0091769A" w:rsidRPr="00161856" w:rsidRDefault="0091769A" w:rsidP="0046208F">
      <w:pPr>
        <w:widowControl w:val="0"/>
        <w:jc w:val="both"/>
        <w:rPr>
          <w:rFonts w:ascii="Abadi" w:hAnsi="Abadi"/>
          <w:sz w:val="21"/>
          <w:szCs w:val="21"/>
          <w:lang w:val="es-ES_tradnl"/>
        </w:rPr>
      </w:pPr>
    </w:p>
    <w:bookmarkEnd w:id="47"/>
    <w:p w14:paraId="141F3786" w14:textId="77777777" w:rsidR="0091769A" w:rsidRPr="00161856" w:rsidRDefault="0091769A" w:rsidP="0046208F">
      <w:pPr>
        <w:widowControl w:val="0"/>
        <w:jc w:val="center"/>
        <w:rPr>
          <w:rFonts w:ascii="Abadi" w:eastAsia="Arial Unicode MS" w:hAnsi="Abadi" w:cs="Arial"/>
          <w:b/>
          <w:iCs/>
          <w:sz w:val="21"/>
          <w:szCs w:val="21"/>
          <w:lang w:val="es-MX"/>
        </w:rPr>
      </w:pPr>
      <w:r w:rsidRPr="00161856">
        <w:rPr>
          <w:rFonts w:ascii="Abadi" w:eastAsia="Arial Unicode MS" w:hAnsi="Abadi" w:cs="Arial"/>
          <w:b/>
          <w:iCs/>
          <w:sz w:val="21"/>
          <w:szCs w:val="21"/>
          <w:lang w:val="es-MX"/>
        </w:rPr>
        <w:t>Guanajuato, Gto., 3 de octubre de 2022</w:t>
      </w:r>
    </w:p>
    <w:p w14:paraId="0CA1D990" w14:textId="77777777" w:rsidR="0091769A" w:rsidRPr="00161856" w:rsidRDefault="0091769A" w:rsidP="0046208F">
      <w:pPr>
        <w:pStyle w:val="Textoindependiente2"/>
        <w:widowControl w:val="0"/>
        <w:spacing w:line="240" w:lineRule="auto"/>
        <w:jc w:val="center"/>
        <w:rPr>
          <w:rFonts w:ascii="Abadi" w:eastAsia="Arial Unicode MS" w:hAnsi="Abadi"/>
          <w:b/>
          <w:sz w:val="21"/>
          <w:szCs w:val="21"/>
          <w:lang w:val="es-MX"/>
        </w:rPr>
      </w:pPr>
      <w:r w:rsidRPr="00161856">
        <w:rPr>
          <w:rFonts w:ascii="Abadi" w:eastAsia="Arial Unicode MS" w:hAnsi="Abadi"/>
          <w:b/>
          <w:sz w:val="21"/>
          <w:szCs w:val="21"/>
          <w:lang w:val="es-MX"/>
        </w:rPr>
        <w:t>La Comisión de Desarrollo Urbano y Obra Pública</w:t>
      </w:r>
    </w:p>
    <w:p w14:paraId="38242089" w14:textId="77777777" w:rsidR="0091769A" w:rsidRPr="00161856" w:rsidRDefault="0091769A" w:rsidP="0046208F">
      <w:pPr>
        <w:pStyle w:val="Textoindependiente2"/>
        <w:widowControl w:val="0"/>
        <w:spacing w:line="240" w:lineRule="auto"/>
        <w:jc w:val="center"/>
        <w:rPr>
          <w:rFonts w:ascii="Abadi" w:eastAsia="Arial Unicode MS" w:hAnsi="Abadi"/>
          <w:b/>
          <w:sz w:val="21"/>
          <w:szCs w:val="21"/>
          <w:lang w:val="es-MX"/>
        </w:rPr>
      </w:pPr>
    </w:p>
    <w:p w14:paraId="5D00FC96" w14:textId="77777777" w:rsidR="0091769A" w:rsidRPr="00161856" w:rsidRDefault="0091769A" w:rsidP="0046208F">
      <w:pPr>
        <w:pStyle w:val="Textoindependiente2"/>
        <w:widowControl w:val="0"/>
        <w:spacing w:line="240" w:lineRule="auto"/>
        <w:jc w:val="center"/>
        <w:rPr>
          <w:rFonts w:ascii="Abadi" w:eastAsia="Arial Unicode MS" w:hAnsi="Abadi"/>
          <w:b/>
          <w:sz w:val="21"/>
          <w:szCs w:val="21"/>
          <w:lang w:val="es-MX"/>
        </w:rPr>
      </w:pPr>
      <w:r w:rsidRPr="00161856">
        <w:rPr>
          <w:rFonts w:ascii="Abadi" w:eastAsia="Arial Unicode MS" w:hAnsi="Abadi"/>
          <w:b/>
          <w:sz w:val="21"/>
          <w:szCs w:val="21"/>
          <w:lang w:val="es-MX"/>
        </w:rPr>
        <w:t>Diputado José Alfonso Borja Pimentel</w:t>
      </w:r>
    </w:p>
    <w:p w14:paraId="09E6F803" w14:textId="77777777" w:rsidR="0091769A" w:rsidRPr="00161856" w:rsidRDefault="0091769A" w:rsidP="0046208F">
      <w:pPr>
        <w:widowControl w:val="0"/>
        <w:jc w:val="center"/>
        <w:rPr>
          <w:rFonts w:ascii="Abadi" w:eastAsia="Arial Unicode MS" w:hAnsi="Abadi" w:cs="Arial"/>
          <w:b/>
          <w:sz w:val="21"/>
          <w:szCs w:val="21"/>
          <w:lang w:val="es-MX"/>
        </w:rPr>
      </w:pPr>
      <w:r w:rsidRPr="00161856">
        <w:rPr>
          <w:rFonts w:ascii="Abadi" w:eastAsia="Arial Unicode MS" w:hAnsi="Abadi" w:cs="Arial"/>
          <w:b/>
          <w:sz w:val="21"/>
          <w:szCs w:val="21"/>
          <w:lang w:val="es-MX"/>
        </w:rPr>
        <w:t>Firma electrónica</w:t>
      </w:r>
    </w:p>
    <w:p w14:paraId="7CC545AE" w14:textId="77777777" w:rsidR="0091769A" w:rsidRPr="00161856" w:rsidRDefault="0091769A" w:rsidP="0046208F">
      <w:pPr>
        <w:widowControl w:val="0"/>
        <w:jc w:val="center"/>
        <w:rPr>
          <w:rFonts w:ascii="Abadi" w:eastAsia="Arial Unicode MS" w:hAnsi="Abadi" w:cs="Arial"/>
          <w:b/>
          <w:sz w:val="21"/>
          <w:szCs w:val="21"/>
          <w:lang w:val="es-MX"/>
        </w:rPr>
      </w:pPr>
    </w:p>
    <w:p w14:paraId="370F2610" w14:textId="77777777" w:rsidR="0091769A" w:rsidRPr="00161856" w:rsidRDefault="0091769A" w:rsidP="0046208F">
      <w:pPr>
        <w:widowControl w:val="0"/>
        <w:jc w:val="center"/>
        <w:rPr>
          <w:rFonts w:ascii="Abadi" w:hAnsi="Abadi" w:cs="Arial"/>
          <w:b/>
          <w:bCs/>
          <w:sz w:val="21"/>
          <w:szCs w:val="21"/>
          <w:lang w:val="es-MX" w:eastAsia="es-MX"/>
        </w:rPr>
      </w:pPr>
      <w:r w:rsidRPr="00161856">
        <w:rPr>
          <w:rFonts w:ascii="Abadi" w:hAnsi="Abadi" w:cs="Arial"/>
          <w:b/>
          <w:bCs/>
          <w:sz w:val="21"/>
          <w:szCs w:val="21"/>
          <w:lang w:val="es-MX" w:eastAsia="es-MX"/>
        </w:rPr>
        <w:t>Diputada Dessire Angel Rocha</w:t>
      </w:r>
    </w:p>
    <w:p w14:paraId="5B340568" w14:textId="77777777" w:rsidR="0091769A" w:rsidRPr="00161856" w:rsidRDefault="0091769A" w:rsidP="0046208F">
      <w:pPr>
        <w:widowControl w:val="0"/>
        <w:jc w:val="center"/>
        <w:rPr>
          <w:rFonts w:ascii="Abadi" w:eastAsia="Arial Unicode MS" w:hAnsi="Abadi" w:cs="Arial"/>
          <w:b/>
          <w:sz w:val="21"/>
          <w:szCs w:val="21"/>
          <w:lang w:val="es-MX" w:eastAsia="es-MX"/>
        </w:rPr>
      </w:pPr>
      <w:r w:rsidRPr="00161856">
        <w:rPr>
          <w:rFonts w:ascii="Abadi" w:eastAsia="Arial Unicode MS" w:hAnsi="Abadi" w:cs="Arial"/>
          <w:b/>
          <w:sz w:val="21"/>
          <w:szCs w:val="21"/>
          <w:lang w:val="es-MX" w:eastAsia="es-MX"/>
        </w:rPr>
        <w:t>Firma electrónica</w:t>
      </w:r>
    </w:p>
    <w:p w14:paraId="75C05F90" w14:textId="77777777" w:rsidR="0091769A" w:rsidRPr="00161856" w:rsidRDefault="0091769A" w:rsidP="0046208F">
      <w:pPr>
        <w:widowControl w:val="0"/>
        <w:jc w:val="center"/>
        <w:rPr>
          <w:rFonts w:ascii="Abadi" w:eastAsia="Arial Unicode MS" w:hAnsi="Abadi" w:cs="Arial"/>
          <w:b/>
          <w:sz w:val="21"/>
          <w:szCs w:val="21"/>
          <w:lang w:val="es-MX" w:eastAsia="es-MX"/>
        </w:rPr>
      </w:pPr>
    </w:p>
    <w:p w14:paraId="701F1005" w14:textId="77777777" w:rsidR="0091769A" w:rsidRPr="00161856" w:rsidRDefault="0091769A" w:rsidP="0046208F">
      <w:pPr>
        <w:widowControl w:val="0"/>
        <w:jc w:val="center"/>
        <w:rPr>
          <w:rFonts w:ascii="Abadi" w:hAnsi="Abadi" w:cs="Arial"/>
          <w:b/>
          <w:bCs/>
          <w:sz w:val="21"/>
          <w:szCs w:val="21"/>
          <w:lang w:val="es-MX" w:eastAsia="es-MX"/>
        </w:rPr>
      </w:pPr>
      <w:r w:rsidRPr="00161856">
        <w:rPr>
          <w:rFonts w:ascii="Abadi" w:hAnsi="Abadi" w:cs="Arial"/>
          <w:b/>
          <w:bCs/>
          <w:sz w:val="21"/>
          <w:szCs w:val="21"/>
          <w:lang w:val="es-MX" w:eastAsia="es-MX"/>
        </w:rPr>
        <w:t>Diputada Angélica Casillas Martínez</w:t>
      </w:r>
    </w:p>
    <w:p w14:paraId="72B681A1" w14:textId="77777777" w:rsidR="0091769A" w:rsidRPr="00161856" w:rsidRDefault="0091769A" w:rsidP="0046208F">
      <w:pPr>
        <w:widowControl w:val="0"/>
        <w:jc w:val="center"/>
        <w:rPr>
          <w:rFonts w:ascii="Abadi" w:eastAsia="Arial Unicode MS" w:hAnsi="Abadi" w:cs="Arial"/>
          <w:b/>
          <w:sz w:val="21"/>
          <w:szCs w:val="21"/>
          <w:lang w:val="es-MX" w:eastAsia="es-MX"/>
        </w:rPr>
      </w:pPr>
      <w:r w:rsidRPr="00161856">
        <w:rPr>
          <w:rFonts w:ascii="Abadi" w:eastAsia="Arial Unicode MS" w:hAnsi="Abadi" w:cs="Arial"/>
          <w:b/>
          <w:sz w:val="21"/>
          <w:szCs w:val="21"/>
          <w:lang w:val="es-MX" w:eastAsia="es-MX"/>
        </w:rPr>
        <w:t>Firma electrónica</w:t>
      </w:r>
    </w:p>
    <w:p w14:paraId="5E97FA64" w14:textId="77777777" w:rsidR="0091769A" w:rsidRPr="00161856" w:rsidRDefault="0091769A" w:rsidP="0046208F">
      <w:pPr>
        <w:widowControl w:val="0"/>
        <w:jc w:val="center"/>
        <w:rPr>
          <w:rFonts w:ascii="Abadi" w:eastAsia="Arial Unicode MS" w:hAnsi="Abadi" w:cs="Arial"/>
          <w:b/>
          <w:sz w:val="21"/>
          <w:szCs w:val="21"/>
          <w:lang w:val="es-MX" w:eastAsia="es-MX"/>
        </w:rPr>
      </w:pPr>
    </w:p>
    <w:p w14:paraId="076DC6BE" w14:textId="77777777" w:rsidR="0091769A" w:rsidRPr="00161856" w:rsidRDefault="0091769A" w:rsidP="0046208F">
      <w:pPr>
        <w:widowControl w:val="0"/>
        <w:jc w:val="center"/>
        <w:rPr>
          <w:rFonts w:ascii="Abadi" w:hAnsi="Abadi" w:cs="Tahoma"/>
          <w:b/>
          <w:bCs/>
          <w:spacing w:val="2"/>
          <w:sz w:val="21"/>
          <w:szCs w:val="21"/>
          <w:lang w:val="es-MX"/>
        </w:rPr>
      </w:pPr>
      <w:r w:rsidRPr="00161856">
        <w:rPr>
          <w:rFonts w:ascii="Abadi" w:hAnsi="Abadi" w:cs="Tahoma"/>
          <w:b/>
          <w:bCs/>
          <w:spacing w:val="2"/>
          <w:sz w:val="21"/>
          <w:szCs w:val="21"/>
          <w:lang w:val="es-MX"/>
        </w:rPr>
        <w:t>Diputado Cuauhtémoc Becerra González</w:t>
      </w:r>
    </w:p>
    <w:p w14:paraId="196E1688" w14:textId="77777777" w:rsidR="0091769A" w:rsidRPr="00161856" w:rsidRDefault="0091769A" w:rsidP="0046208F">
      <w:pPr>
        <w:widowControl w:val="0"/>
        <w:jc w:val="center"/>
        <w:rPr>
          <w:rFonts w:ascii="Abadi" w:hAnsi="Abadi" w:cs="Tahoma"/>
          <w:b/>
          <w:bCs/>
          <w:spacing w:val="2"/>
          <w:sz w:val="21"/>
          <w:szCs w:val="21"/>
          <w:lang w:val="es-MX" w:eastAsia="en-US"/>
        </w:rPr>
      </w:pPr>
      <w:r w:rsidRPr="00161856">
        <w:rPr>
          <w:rFonts w:ascii="Abadi" w:eastAsia="Arial Unicode MS" w:hAnsi="Abadi" w:cs="Arial"/>
          <w:b/>
          <w:sz w:val="21"/>
          <w:szCs w:val="21"/>
          <w:lang w:val="es-MX" w:eastAsia="es-MX"/>
        </w:rPr>
        <w:t>Firma electrónica</w:t>
      </w:r>
    </w:p>
    <w:p w14:paraId="2F631907" w14:textId="77777777" w:rsidR="0091769A" w:rsidRPr="00161856" w:rsidRDefault="0091769A" w:rsidP="0046208F">
      <w:pPr>
        <w:widowControl w:val="0"/>
        <w:jc w:val="center"/>
        <w:rPr>
          <w:rFonts w:ascii="Abadi" w:hAnsi="Abadi" w:cs="Tahoma"/>
          <w:b/>
          <w:bCs/>
          <w:spacing w:val="2"/>
          <w:sz w:val="21"/>
          <w:szCs w:val="21"/>
          <w:lang w:val="es-MX"/>
        </w:rPr>
      </w:pPr>
      <w:r w:rsidRPr="00161856">
        <w:rPr>
          <w:rFonts w:ascii="Abadi" w:hAnsi="Abadi" w:cs="Tahoma"/>
          <w:b/>
          <w:bCs/>
          <w:spacing w:val="2"/>
          <w:sz w:val="21"/>
          <w:szCs w:val="21"/>
          <w:lang w:val="es-MX"/>
        </w:rPr>
        <w:t>Diputado Miguel Ángel Salim Alle</w:t>
      </w:r>
    </w:p>
    <w:p w14:paraId="07C3EF2C" w14:textId="77777777" w:rsidR="0091769A" w:rsidRPr="00161856" w:rsidRDefault="0091769A" w:rsidP="0046208F">
      <w:pPr>
        <w:widowControl w:val="0"/>
        <w:jc w:val="center"/>
        <w:rPr>
          <w:rFonts w:ascii="Abadi" w:eastAsia="Arial Unicode MS" w:hAnsi="Abadi" w:cs="Arial"/>
          <w:b/>
          <w:sz w:val="21"/>
          <w:szCs w:val="21"/>
          <w:lang w:val="es-MX" w:eastAsia="es-MX"/>
        </w:rPr>
      </w:pPr>
      <w:r w:rsidRPr="00161856">
        <w:rPr>
          <w:rFonts w:ascii="Abadi" w:eastAsia="Arial Unicode MS" w:hAnsi="Abadi" w:cs="Arial"/>
          <w:b/>
          <w:sz w:val="21"/>
          <w:szCs w:val="21"/>
          <w:lang w:val="es-MX" w:eastAsia="es-MX"/>
        </w:rPr>
        <w:t>Firma electrónica</w:t>
      </w:r>
    </w:p>
    <w:p w14:paraId="23598548" w14:textId="77777777" w:rsidR="0091769A" w:rsidRPr="00161856" w:rsidRDefault="0091769A" w:rsidP="0046208F">
      <w:pPr>
        <w:widowControl w:val="0"/>
        <w:jc w:val="both"/>
        <w:rPr>
          <w:rFonts w:ascii="Abadi" w:hAnsi="Abadi" w:cs="Tahoma"/>
          <w:spacing w:val="2"/>
          <w:sz w:val="21"/>
          <w:szCs w:val="21"/>
          <w:lang w:val="es-MX"/>
        </w:rPr>
      </w:pPr>
    </w:p>
    <w:bookmarkEnd w:id="46"/>
    <w:p w14:paraId="3A2916EA" w14:textId="5DECCF6E" w:rsidR="00E369D9" w:rsidRDefault="00E369D9" w:rsidP="00E369D9">
      <w:pPr>
        <w:ind w:firstLine="284"/>
        <w:jc w:val="both"/>
        <w:rPr>
          <w:rFonts w:ascii="Abadi" w:hAnsi="Abadi"/>
          <w:sz w:val="21"/>
          <w:szCs w:val="21"/>
        </w:rPr>
      </w:pPr>
      <w:r w:rsidRPr="00AB1A13">
        <w:rPr>
          <w:rFonts w:ascii="Abadi" w:hAnsi="Abadi"/>
          <w:b/>
          <w:bCs/>
          <w:sz w:val="21"/>
          <w:szCs w:val="21"/>
        </w:rPr>
        <w:t>- El Presidente.-</w:t>
      </w:r>
      <w:r>
        <w:rPr>
          <w:rFonts w:ascii="Abadi" w:hAnsi="Abadi"/>
          <w:sz w:val="21"/>
          <w:szCs w:val="21"/>
        </w:rPr>
        <w:t xml:space="preserve"> S</w:t>
      </w:r>
      <w:r w:rsidRPr="006813AA">
        <w:rPr>
          <w:rFonts w:ascii="Abadi" w:hAnsi="Abadi"/>
          <w:sz w:val="21"/>
          <w:szCs w:val="21"/>
        </w:rPr>
        <w:t xml:space="preserve">e procede a someter a discusión el dictamen presentado por la </w:t>
      </w:r>
      <w:r>
        <w:rPr>
          <w:rFonts w:ascii="Abadi" w:hAnsi="Abadi"/>
          <w:sz w:val="21"/>
          <w:szCs w:val="21"/>
        </w:rPr>
        <w:t>C</w:t>
      </w:r>
      <w:r w:rsidRPr="006813AA">
        <w:rPr>
          <w:rFonts w:ascii="Abadi" w:hAnsi="Abadi"/>
          <w:sz w:val="21"/>
          <w:szCs w:val="21"/>
        </w:rPr>
        <w:t xml:space="preserve">omisión de </w:t>
      </w:r>
      <w:r>
        <w:rPr>
          <w:rFonts w:ascii="Abadi" w:hAnsi="Abadi"/>
          <w:sz w:val="21"/>
          <w:szCs w:val="21"/>
        </w:rPr>
        <w:t>D</w:t>
      </w:r>
      <w:r w:rsidRPr="006813AA">
        <w:rPr>
          <w:rFonts w:ascii="Abadi" w:hAnsi="Abadi"/>
          <w:sz w:val="21"/>
          <w:szCs w:val="21"/>
        </w:rPr>
        <w:t xml:space="preserve">esarrollo </w:t>
      </w:r>
      <w:r>
        <w:rPr>
          <w:rFonts w:ascii="Abadi" w:hAnsi="Abadi"/>
          <w:sz w:val="21"/>
          <w:szCs w:val="21"/>
        </w:rPr>
        <w:t>U</w:t>
      </w:r>
      <w:r w:rsidRPr="006813AA">
        <w:rPr>
          <w:rFonts w:ascii="Abadi" w:hAnsi="Abadi"/>
          <w:sz w:val="21"/>
          <w:szCs w:val="21"/>
        </w:rPr>
        <w:t xml:space="preserve">rbano y </w:t>
      </w:r>
      <w:r>
        <w:rPr>
          <w:rFonts w:ascii="Abadi" w:hAnsi="Abadi"/>
          <w:sz w:val="21"/>
          <w:szCs w:val="21"/>
        </w:rPr>
        <w:t>O</w:t>
      </w:r>
      <w:r w:rsidRPr="006813AA">
        <w:rPr>
          <w:rFonts w:ascii="Abadi" w:hAnsi="Abadi"/>
          <w:sz w:val="21"/>
          <w:szCs w:val="21"/>
        </w:rPr>
        <w:t xml:space="preserve">bra </w:t>
      </w:r>
      <w:r>
        <w:rPr>
          <w:rFonts w:ascii="Abadi" w:hAnsi="Abadi"/>
          <w:sz w:val="21"/>
          <w:szCs w:val="21"/>
        </w:rPr>
        <w:t>P</w:t>
      </w:r>
      <w:r w:rsidRPr="006813AA">
        <w:rPr>
          <w:rFonts w:ascii="Abadi" w:hAnsi="Abadi"/>
          <w:sz w:val="21"/>
          <w:szCs w:val="21"/>
        </w:rPr>
        <w:t>ública que se refiere en el punto 44 de nuestra orden del día</w:t>
      </w:r>
      <w:r>
        <w:rPr>
          <w:rFonts w:ascii="Abadi" w:hAnsi="Abadi"/>
          <w:sz w:val="21"/>
          <w:szCs w:val="21"/>
        </w:rPr>
        <w:t>.</w:t>
      </w:r>
    </w:p>
    <w:p w14:paraId="60DE95B0" w14:textId="77777777" w:rsidR="00E369D9" w:rsidRDefault="00E369D9" w:rsidP="00E369D9">
      <w:pPr>
        <w:ind w:firstLine="284"/>
        <w:jc w:val="both"/>
        <w:rPr>
          <w:rFonts w:ascii="Abadi" w:hAnsi="Abadi"/>
          <w:sz w:val="21"/>
          <w:szCs w:val="21"/>
        </w:rPr>
      </w:pPr>
    </w:p>
    <w:p w14:paraId="5560E21A" w14:textId="56215BE6" w:rsidR="00E369D9" w:rsidRDefault="00E369D9" w:rsidP="00E369D9">
      <w:pPr>
        <w:ind w:firstLine="284"/>
        <w:jc w:val="both"/>
        <w:rPr>
          <w:rFonts w:ascii="Abadi" w:hAnsi="Abadi"/>
          <w:sz w:val="21"/>
          <w:szCs w:val="21"/>
        </w:rPr>
      </w:pPr>
      <w:r>
        <w:rPr>
          <w:rFonts w:ascii="Abadi" w:hAnsi="Abadi"/>
          <w:sz w:val="21"/>
          <w:szCs w:val="21"/>
        </w:rPr>
        <w:t>- S</w:t>
      </w:r>
      <w:r w:rsidRPr="00D762D7">
        <w:rPr>
          <w:rFonts w:ascii="Abadi" w:hAnsi="Abadi"/>
          <w:sz w:val="21"/>
          <w:szCs w:val="21"/>
        </w:rPr>
        <w:t>i alguna diputada o algún diputado de</w:t>
      </w:r>
      <w:r>
        <w:rPr>
          <w:rFonts w:ascii="Abadi" w:hAnsi="Abadi"/>
          <w:sz w:val="21"/>
          <w:szCs w:val="21"/>
        </w:rPr>
        <w:t xml:space="preserve">sea hacer uso </w:t>
      </w:r>
      <w:r w:rsidRPr="00D762D7">
        <w:rPr>
          <w:rFonts w:ascii="Abadi" w:hAnsi="Abadi"/>
          <w:sz w:val="21"/>
          <w:szCs w:val="21"/>
        </w:rPr>
        <w:t>de la palabra en pro</w:t>
      </w:r>
      <w:r>
        <w:rPr>
          <w:rFonts w:ascii="Abadi" w:hAnsi="Abadi"/>
          <w:sz w:val="21"/>
          <w:szCs w:val="21"/>
        </w:rPr>
        <w:t xml:space="preserve"> o en contra manifiéstenlo a esta Presidencia, indicando el sentido de su participación. </w:t>
      </w:r>
    </w:p>
    <w:p w14:paraId="58CF7406" w14:textId="77777777" w:rsidR="00E369D9" w:rsidRDefault="00E369D9" w:rsidP="00E369D9">
      <w:pPr>
        <w:ind w:firstLine="284"/>
        <w:jc w:val="both"/>
        <w:rPr>
          <w:rFonts w:ascii="Abadi" w:hAnsi="Abadi"/>
          <w:sz w:val="21"/>
          <w:szCs w:val="21"/>
        </w:rPr>
      </w:pPr>
    </w:p>
    <w:p w14:paraId="00CEEA26" w14:textId="6B3D2C87" w:rsidR="00E369D9" w:rsidRDefault="00E369D9" w:rsidP="00E369D9">
      <w:pPr>
        <w:jc w:val="both"/>
        <w:rPr>
          <w:rFonts w:ascii="Abadi" w:hAnsi="Abadi"/>
          <w:sz w:val="21"/>
          <w:szCs w:val="21"/>
        </w:rPr>
      </w:pPr>
      <w:r>
        <w:rPr>
          <w:rFonts w:ascii="Abadi" w:hAnsi="Abadi"/>
          <w:sz w:val="21"/>
          <w:szCs w:val="21"/>
        </w:rPr>
        <w:tab/>
        <w:t xml:space="preserve">- Al no haber </w:t>
      </w:r>
      <w:r w:rsidRPr="00D762D7">
        <w:rPr>
          <w:rFonts w:ascii="Abadi" w:hAnsi="Abadi"/>
          <w:sz w:val="21"/>
          <w:szCs w:val="21"/>
        </w:rPr>
        <w:t xml:space="preserve">participación se pide a la </w:t>
      </w:r>
      <w:r>
        <w:rPr>
          <w:rFonts w:ascii="Abadi" w:hAnsi="Abadi"/>
          <w:sz w:val="21"/>
          <w:szCs w:val="21"/>
        </w:rPr>
        <w:t>S</w:t>
      </w:r>
      <w:r w:rsidRPr="00D762D7">
        <w:rPr>
          <w:rFonts w:ascii="Abadi" w:hAnsi="Abadi"/>
          <w:sz w:val="21"/>
          <w:szCs w:val="21"/>
        </w:rPr>
        <w:t xml:space="preserve">ecretaría que proceda a recabar votación nominal de la </w:t>
      </w:r>
      <w:r>
        <w:rPr>
          <w:rFonts w:ascii="Abadi" w:hAnsi="Abadi"/>
          <w:sz w:val="21"/>
          <w:szCs w:val="21"/>
        </w:rPr>
        <w:t>A</w:t>
      </w:r>
      <w:r w:rsidRPr="00D762D7">
        <w:rPr>
          <w:rFonts w:ascii="Abadi" w:hAnsi="Abadi"/>
          <w:sz w:val="21"/>
          <w:szCs w:val="21"/>
        </w:rPr>
        <w:t>samblea a través de nuestro sistema electrónico</w:t>
      </w:r>
      <w:r>
        <w:rPr>
          <w:rFonts w:ascii="Abadi" w:hAnsi="Abadi"/>
          <w:sz w:val="21"/>
          <w:szCs w:val="21"/>
        </w:rPr>
        <w:t>,</w:t>
      </w:r>
      <w:r w:rsidRPr="00D762D7">
        <w:rPr>
          <w:rFonts w:ascii="Abadi" w:hAnsi="Abadi"/>
          <w:sz w:val="21"/>
          <w:szCs w:val="21"/>
        </w:rPr>
        <w:t xml:space="preserve"> a efecto de aprobar o no el dictamen puesto a su consideración</w:t>
      </w:r>
      <w:r>
        <w:rPr>
          <w:rFonts w:ascii="Abadi" w:hAnsi="Abadi"/>
          <w:sz w:val="21"/>
          <w:szCs w:val="21"/>
        </w:rPr>
        <w:t>.</w:t>
      </w:r>
    </w:p>
    <w:p w14:paraId="24E21AB3" w14:textId="77777777" w:rsidR="00E369D9" w:rsidRDefault="00E369D9" w:rsidP="00E369D9">
      <w:pPr>
        <w:jc w:val="both"/>
        <w:rPr>
          <w:rFonts w:ascii="Abadi" w:hAnsi="Abadi"/>
          <w:sz w:val="21"/>
          <w:szCs w:val="21"/>
        </w:rPr>
      </w:pPr>
    </w:p>
    <w:p w14:paraId="1CF95A18" w14:textId="6CE0D8C8" w:rsidR="00E369D9" w:rsidRDefault="00E369D9" w:rsidP="00E369D9">
      <w:pPr>
        <w:jc w:val="both"/>
        <w:rPr>
          <w:rFonts w:ascii="Abadi" w:hAnsi="Abadi"/>
          <w:b/>
          <w:bCs/>
          <w:sz w:val="21"/>
          <w:szCs w:val="21"/>
        </w:rPr>
      </w:pPr>
      <w:r w:rsidRPr="00E15E1B">
        <w:rPr>
          <w:rFonts w:ascii="Abadi" w:hAnsi="Abadi"/>
          <w:b/>
          <w:bCs/>
          <w:sz w:val="21"/>
          <w:szCs w:val="21"/>
        </w:rPr>
        <w:t>(Abrimos nuestro sistema electrónico)</w:t>
      </w:r>
    </w:p>
    <w:p w14:paraId="227697BD" w14:textId="77777777" w:rsidR="00E369D9" w:rsidRPr="00E15E1B" w:rsidRDefault="00E369D9" w:rsidP="00E369D9">
      <w:pPr>
        <w:jc w:val="both"/>
        <w:rPr>
          <w:rFonts w:ascii="Abadi" w:hAnsi="Abadi"/>
          <w:b/>
          <w:bCs/>
          <w:sz w:val="21"/>
          <w:szCs w:val="21"/>
        </w:rPr>
      </w:pPr>
    </w:p>
    <w:p w14:paraId="25021D98" w14:textId="5898DD31" w:rsidR="00E369D9" w:rsidRDefault="00E369D9" w:rsidP="00E369D9">
      <w:pPr>
        <w:ind w:firstLine="708"/>
        <w:jc w:val="both"/>
        <w:rPr>
          <w:rFonts w:ascii="Abadi" w:hAnsi="Abadi"/>
          <w:sz w:val="21"/>
          <w:szCs w:val="21"/>
        </w:rPr>
      </w:pPr>
      <w:r w:rsidRPr="00743732">
        <w:rPr>
          <w:rFonts w:ascii="Abadi" w:hAnsi="Abadi"/>
          <w:b/>
          <w:bCs/>
          <w:sz w:val="21"/>
          <w:szCs w:val="21"/>
        </w:rPr>
        <w:t>- El Secretario.-</w:t>
      </w:r>
      <w:r>
        <w:rPr>
          <w:rFonts w:ascii="Abadi" w:hAnsi="Abadi"/>
          <w:sz w:val="21"/>
          <w:szCs w:val="21"/>
        </w:rPr>
        <w:t xml:space="preserve"> E</w:t>
      </w:r>
      <w:r w:rsidRPr="00D762D7">
        <w:rPr>
          <w:rFonts w:ascii="Abadi" w:hAnsi="Abadi"/>
          <w:sz w:val="21"/>
          <w:szCs w:val="21"/>
        </w:rPr>
        <w:t>n votación nominal por el sistema electrónico</w:t>
      </w:r>
      <w:r>
        <w:rPr>
          <w:rFonts w:ascii="Abadi" w:hAnsi="Abadi"/>
          <w:sz w:val="21"/>
          <w:szCs w:val="21"/>
        </w:rPr>
        <w:t xml:space="preserve">, </w:t>
      </w:r>
      <w:r w:rsidRPr="00D762D7">
        <w:rPr>
          <w:rFonts w:ascii="Abadi" w:hAnsi="Abadi"/>
          <w:sz w:val="21"/>
          <w:szCs w:val="21"/>
        </w:rPr>
        <w:t xml:space="preserve"> se pregunta a las diputadas y a los diputados </w:t>
      </w:r>
      <w:r>
        <w:rPr>
          <w:rFonts w:ascii="Abadi" w:hAnsi="Abadi"/>
          <w:sz w:val="21"/>
          <w:szCs w:val="21"/>
        </w:rPr>
        <w:t xml:space="preserve">si se </w:t>
      </w:r>
      <w:r w:rsidRPr="00D762D7">
        <w:rPr>
          <w:rFonts w:ascii="Abadi" w:hAnsi="Abadi"/>
          <w:sz w:val="21"/>
          <w:szCs w:val="21"/>
        </w:rPr>
        <w:t>aprueba el dictamen puesto a su consideración</w:t>
      </w:r>
      <w:r>
        <w:rPr>
          <w:rFonts w:ascii="Abadi" w:hAnsi="Abadi"/>
          <w:sz w:val="21"/>
          <w:szCs w:val="21"/>
        </w:rPr>
        <w:t>. ¿Diputada Alma Edwviges? ¿Diputada I</w:t>
      </w:r>
      <w:r w:rsidRPr="00D762D7">
        <w:rPr>
          <w:rFonts w:ascii="Abadi" w:hAnsi="Abadi"/>
          <w:sz w:val="21"/>
          <w:szCs w:val="21"/>
        </w:rPr>
        <w:t xml:space="preserve">rma </w:t>
      </w:r>
      <w:r>
        <w:rPr>
          <w:rFonts w:ascii="Abadi" w:hAnsi="Abadi"/>
          <w:sz w:val="21"/>
          <w:szCs w:val="21"/>
        </w:rPr>
        <w:t>L</w:t>
      </w:r>
      <w:r w:rsidRPr="00D762D7">
        <w:rPr>
          <w:rFonts w:ascii="Abadi" w:hAnsi="Abadi"/>
          <w:sz w:val="21"/>
          <w:szCs w:val="21"/>
        </w:rPr>
        <w:t>eticia</w:t>
      </w:r>
      <w:r>
        <w:rPr>
          <w:rFonts w:ascii="Abadi" w:hAnsi="Abadi"/>
          <w:sz w:val="21"/>
          <w:szCs w:val="21"/>
        </w:rPr>
        <w:t>?</w:t>
      </w:r>
      <w:r w:rsidRPr="00D762D7">
        <w:rPr>
          <w:rFonts w:ascii="Abadi" w:hAnsi="Abadi"/>
          <w:sz w:val="21"/>
          <w:szCs w:val="21"/>
        </w:rPr>
        <w:t xml:space="preserve"> </w:t>
      </w:r>
      <w:r>
        <w:rPr>
          <w:rFonts w:ascii="Abadi" w:hAnsi="Abadi"/>
          <w:sz w:val="21"/>
          <w:szCs w:val="21"/>
        </w:rPr>
        <w:t>¿Diputada Y</w:t>
      </w:r>
      <w:r w:rsidRPr="00D762D7">
        <w:rPr>
          <w:rFonts w:ascii="Abadi" w:hAnsi="Abadi"/>
          <w:sz w:val="21"/>
          <w:szCs w:val="21"/>
        </w:rPr>
        <w:t xml:space="preserve">ulma </w:t>
      </w:r>
      <w:r>
        <w:rPr>
          <w:rFonts w:ascii="Abadi" w:hAnsi="Abadi"/>
          <w:sz w:val="21"/>
          <w:szCs w:val="21"/>
        </w:rPr>
        <w:t>R</w:t>
      </w:r>
      <w:r w:rsidRPr="00D762D7">
        <w:rPr>
          <w:rFonts w:ascii="Abadi" w:hAnsi="Abadi"/>
          <w:sz w:val="21"/>
          <w:szCs w:val="21"/>
        </w:rPr>
        <w:t>ocha</w:t>
      </w:r>
      <w:r>
        <w:rPr>
          <w:rFonts w:ascii="Abadi" w:hAnsi="Abadi"/>
          <w:sz w:val="21"/>
          <w:szCs w:val="21"/>
        </w:rPr>
        <w:t>?</w:t>
      </w:r>
    </w:p>
    <w:p w14:paraId="59D5DAF3" w14:textId="77777777" w:rsidR="00E369D9" w:rsidRDefault="00E369D9" w:rsidP="00E369D9">
      <w:pPr>
        <w:ind w:firstLine="708"/>
        <w:jc w:val="both"/>
        <w:rPr>
          <w:rFonts w:ascii="Abadi" w:hAnsi="Abadi"/>
          <w:sz w:val="21"/>
          <w:szCs w:val="21"/>
        </w:rPr>
      </w:pPr>
    </w:p>
    <w:p w14:paraId="5D360B26" w14:textId="4E01F421" w:rsidR="00E369D9" w:rsidRDefault="00E369D9" w:rsidP="00E369D9">
      <w:pPr>
        <w:ind w:firstLine="708"/>
        <w:jc w:val="both"/>
        <w:rPr>
          <w:rFonts w:ascii="Abadi" w:hAnsi="Abadi"/>
          <w:sz w:val="21"/>
          <w:szCs w:val="21"/>
        </w:rPr>
      </w:pPr>
      <w:r>
        <w:rPr>
          <w:rFonts w:ascii="Abadi" w:hAnsi="Abadi"/>
          <w:sz w:val="21"/>
          <w:szCs w:val="21"/>
        </w:rPr>
        <w:t>¿F</w:t>
      </w:r>
      <w:r w:rsidRPr="00D762D7">
        <w:rPr>
          <w:rFonts w:ascii="Abadi" w:hAnsi="Abadi"/>
          <w:sz w:val="21"/>
          <w:szCs w:val="21"/>
        </w:rPr>
        <w:t>alta alguna diputada o algún diputado de emitir su voto</w:t>
      </w:r>
      <w:r>
        <w:rPr>
          <w:rFonts w:ascii="Abadi" w:hAnsi="Abadi"/>
          <w:sz w:val="21"/>
          <w:szCs w:val="21"/>
        </w:rPr>
        <w:t>?</w:t>
      </w:r>
    </w:p>
    <w:p w14:paraId="0F23A1A8" w14:textId="77777777" w:rsidR="00E369D9" w:rsidRDefault="00E369D9" w:rsidP="00E369D9">
      <w:pPr>
        <w:ind w:firstLine="708"/>
        <w:jc w:val="both"/>
        <w:rPr>
          <w:rFonts w:ascii="Abadi" w:hAnsi="Abadi"/>
          <w:sz w:val="21"/>
          <w:szCs w:val="21"/>
        </w:rPr>
      </w:pPr>
    </w:p>
    <w:p w14:paraId="7D569877" w14:textId="2598FA98" w:rsidR="00E369D9" w:rsidRDefault="00E369D9" w:rsidP="00E369D9">
      <w:pPr>
        <w:jc w:val="both"/>
        <w:rPr>
          <w:rFonts w:ascii="Abadi" w:hAnsi="Abadi"/>
          <w:b/>
          <w:bCs/>
          <w:sz w:val="21"/>
          <w:szCs w:val="21"/>
        </w:rPr>
      </w:pPr>
      <w:r w:rsidRPr="00DC1035">
        <w:rPr>
          <w:rFonts w:ascii="Abadi" w:hAnsi="Abadi"/>
          <w:b/>
          <w:bCs/>
          <w:sz w:val="21"/>
          <w:szCs w:val="21"/>
        </w:rPr>
        <w:t>(Cer</w:t>
      </w:r>
      <w:r>
        <w:rPr>
          <w:rFonts w:ascii="Abadi" w:hAnsi="Abadi"/>
          <w:b/>
          <w:bCs/>
          <w:sz w:val="21"/>
          <w:szCs w:val="21"/>
        </w:rPr>
        <w:t>ra</w:t>
      </w:r>
      <w:r w:rsidRPr="00DC1035">
        <w:rPr>
          <w:rFonts w:ascii="Abadi" w:hAnsi="Abadi"/>
          <w:b/>
          <w:bCs/>
          <w:sz w:val="21"/>
          <w:szCs w:val="21"/>
        </w:rPr>
        <w:t>mos el sistema electrónico)</w:t>
      </w:r>
    </w:p>
    <w:p w14:paraId="28B6C3A9" w14:textId="77777777" w:rsidR="00E369D9" w:rsidRPr="00DC1035" w:rsidRDefault="00E369D9" w:rsidP="00E369D9">
      <w:pPr>
        <w:ind w:firstLine="708"/>
        <w:jc w:val="both"/>
        <w:rPr>
          <w:rFonts w:ascii="Abadi" w:hAnsi="Abadi"/>
          <w:b/>
          <w:bCs/>
          <w:sz w:val="21"/>
          <w:szCs w:val="21"/>
        </w:rPr>
      </w:pPr>
    </w:p>
    <w:p w14:paraId="7E2405B6" w14:textId="6F872350" w:rsidR="00E369D9" w:rsidRPr="00DC1035" w:rsidRDefault="00E369D9" w:rsidP="00E369D9">
      <w:pPr>
        <w:pStyle w:val="Prrafodelista"/>
        <w:numPr>
          <w:ilvl w:val="0"/>
          <w:numId w:val="76"/>
        </w:numPr>
        <w:spacing w:after="160" w:line="259" w:lineRule="auto"/>
        <w:ind w:left="284" w:hanging="284"/>
        <w:contextualSpacing/>
        <w:jc w:val="both"/>
        <w:rPr>
          <w:rFonts w:ascii="Abadi" w:hAnsi="Abadi"/>
          <w:sz w:val="21"/>
          <w:szCs w:val="21"/>
        </w:rPr>
      </w:pPr>
      <w:r w:rsidRPr="00DC1035">
        <w:rPr>
          <w:rFonts w:ascii="Abadi" w:hAnsi="Abadi"/>
          <w:b/>
          <w:bCs/>
          <w:sz w:val="21"/>
          <w:szCs w:val="21"/>
        </w:rPr>
        <w:t>El Secretario.-</w:t>
      </w:r>
      <w:r>
        <w:rPr>
          <w:rFonts w:ascii="Abadi" w:hAnsi="Abadi"/>
          <w:b/>
          <w:bCs/>
          <w:sz w:val="21"/>
          <w:szCs w:val="21"/>
        </w:rPr>
        <w:t xml:space="preserve"> </w:t>
      </w:r>
      <w:r w:rsidRPr="00DC1035">
        <w:rPr>
          <w:rFonts w:ascii="Abadi" w:hAnsi="Abadi"/>
          <w:sz w:val="21"/>
          <w:szCs w:val="21"/>
        </w:rPr>
        <w:t>Se registraron 31 votos a favor.</w:t>
      </w:r>
    </w:p>
    <w:p w14:paraId="46FC1A51" w14:textId="1111B54A" w:rsidR="00E369D9" w:rsidRPr="002A4642" w:rsidRDefault="00E369D9" w:rsidP="00E369D9">
      <w:pPr>
        <w:ind w:left="709" w:right="567"/>
        <w:jc w:val="both"/>
        <w:rPr>
          <w:rFonts w:ascii="Abadi" w:hAnsi="Abadi"/>
          <w:b/>
          <w:bCs/>
          <w:i/>
          <w:iCs/>
          <w:sz w:val="21"/>
          <w:szCs w:val="21"/>
          <w:u w:val="single"/>
        </w:rPr>
      </w:pPr>
      <w:r w:rsidRPr="002A4642">
        <w:rPr>
          <w:rFonts w:ascii="Abadi" w:hAnsi="Abadi"/>
          <w:b/>
          <w:bCs/>
          <w:i/>
          <w:iCs/>
          <w:sz w:val="21"/>
          <w:szCs w:val="21"/>
          <w:u w:val="single"/>
        </w:rPr>
        <w:t>El dictamen ha sido probado por unanimidad de votos, remítase al Ejecutivo del Estado el decreto aprobado para los efectos constitucionales de su competencia.</w:t>
      </w:r>
    </w:p>
    <w:p w14:paraId="188E3B0B" w14:textId="77777777" w:rsidR="00CF3747" w:rsidRPr="00161856" w:rsidRDefault="00CF3747" w:rsidP="00CF3747">
      <w:pPr>
        <w:autoSpaceDE w:val="0"/>
        <w:autoSpaceDN w:val="0"/>
        <w:adjustRightInd w:val="0"/>
        <w:contextualSpacing/>
        <w:jc w:val="both"/>
        <w:rPr>
          <w:rFonts w:ascii="Abadi" w:hAnsi="Abadi" w:cs="ArialMT"/>
          <w:b/>
          <w:bCs/>
          <w:sz w:val="21"/>
          <w:szCs w:val="21"/>
        </w:rPr>
      </w:pPr>
    </w:p>
    <w:p w14:paraId="35E710BA" w14:textId="77777777" w:rsidR="00E462B6" w:rsidRPr="00161856" w:rsidRDefault="00E462B6" w:rsidP="00E462B6">
      <w:pPr>
        <w:autoSpaceDE w:val="0"/>
        <w:autoSpaceDN w:val="0"/>
        <w:adjustRightInd w:val="0"/>
        <w:jc w:val="both"/>
        <w:rPr>
          <w:rFonts w:ascii="Abadi" w:hAnsi="Abadi" w:cs="ArialMT"/>
          <w:b/>
          <w:bCs/>
          <w:sz w:val="21"/>
          <w:szCs w:val="21"/>
        </w:rPr>
      </w:pPr>
    </w:p>
    <w:p w14:paraId="02345B7D" w14:textId="11364609" w:rsidR="001D47CF" w:rsidRPr="00D15DAB" w:rsidRDefault="00E462B6">
      <w:pPr>
        <w:pStyle w:val="Prrafodelista"/>
        <w:numPr>
          <w:ilvl w:val="0"/>
          <w:numId w:val="14"/>
        </w:numPr>
        <w:spacing w:after="160" w:line="259" w:lineRule="auto"/>
        <w:contextualSpacing/>
        <w:jc w:val="both"/>
        <w:rPr>
          <w:rFonts w:ascii="Abadi" w:hAnsi="Abadi"/>
          <w:b/>
          <w:bCs/>
          <w:sz w:val="21"/>
          <w:szCs w:val="21"/>
        </w:rPr>
      </w:pPr>
      <w:r w:rsidRPr="00161856">
        <w:rPr>
          <w:rFonts w:ascii="Abadi" w:hAnsi="Abadi" w:cs="ArialMT"/>
          <w:b/>
          <w:bCs/>
          <w:sz w:val="21"/>
          <w:szCs w:val="21"/>
        </w:rPr>
        <w:t>ASUNTOS GENERALES.</w:t>
      </w:r>
    </w:p>
    <w:p w14:paraId="01A32243" w14:textId="77777777" w:rsidR="00D15DAB" w:rsidRDefault="00D15DAB" w:rsidP="00D15DAB">
      <w:pPr>
        <w:ind w:firstLine="426"/>
        <w:jc w:val="both"/>
        <w:rPr>
          <w:rFonts w:ascii="Abadi" w:hAnsi="Abadi"/>
          <w:sz w:val="21"/>
          <w:szCs w:val="21"/>
        </w:rPr>
      </w:pPr>
      <w:r w:rsidRPr="007F7467">
        <w:rPr>
          <w:rFonts w:ascii="Abadi" w:hAnsi="Abadi"/>
          <w:b/>
          <w:bCs/>
          <w:sz w:val="21"/>
          <w:szCs w:val="21"/>
        </w:rPr>
        <w:t>- El President</w:t>
      </w:r>
      <w:r>
        <w:rPr>
          <w:rFonts w:ascii="Abadi" w:hAnsi="Abadi"/>
          <w:b/>
          <w:bCs/>
          <w:sz w:val="21"/>
          <w:szCs w:val="21"/>
        </w:rPr>
        <w:t>e</w:t>
      </w:r>
      <w:r w:rsidRPr="007F7467">
        <w:rPr>
          <w:rFonts w:ascii="Abadi" w:hAnsi="Abadi"/>
          <w:b/>
          <w:bCs/>
          <w:sz w:val="21"/>
          <w:szCs w:val="21"/>
        </w:rPr>
        <w:t>.-</w:t>
      </w:r>
      <w:r>
        <w:rPr>
          <w:rFonts w:ascii="Abadi" w:hAnsi="Abadi"/>
          <w:sz w:val="21"/>
          <w:szCs w:val="21"/>
        </w:rPr>
        <w:t xml:space="preserve"> C</w:t>
      </w:r>
      <w:r w:rsidRPr="00D762D7">
        <w:rPr>
          <w:rFonts w:ascii="Abadi" w:hAnsi="Abadi"/>
          <w:sz w:val="21"/>
          <w:szCs w:val="21"/>
        </w:rPr>
        <w:t>orresponde abrir el registro para tratar asuntos de interés general</w:t>
      </w:r>
      <w:r>
        <w:rPr>
          <w:rFonts w:ascii="Abadi" w:hAnsi="Abadi"/>
          <w:sz w:val="21"/>
          <w:szCs w:val="21"/>
        </w:rPr>
        <w:t>.</w:t>
      </w:r>
    </w:p>
    <w:p w14:paraId="6A660F46" w14:textId="3B32D946" w:rsidR="00D15DAB" w:rsidRDefault="00D15DAB" w:rsidP="00D15DAB">
      <w:pPr>
        <w:jc w:val="both"/>
        <w:rPr>
          <w:rFonts w:ascii="Abadi" w:hAnsi="Abadi"/>
          <w:sz w:val="21"/>
          <w:szCs w:val="21"/>
        </w:rPr>
      </w:pPr>
      <w:r>
        <w:rPr>
          <w:rFonts w:ascii="Abadi" w:hAnsi="Abadi"/>
          <w:sz w:val="21"/>
          <w:szCs w:val="21"/>
        </w:rPr>
        <w:t>-</w:t>
      </w:r>
      <w:r w:rsidRPr="00D762D7">
        <w:rPr>
          <w:rFonts w:ascii="Abadi" w:hAnsi="Abadi"/>
          <w:sz w:val="21"/>
          <w:szCs w:val="21"/>
        </w:rPr>
        <w:t xml:space="preserve"> </w:t>
      </w:r>
      <w:r>
        <w:rPr>
          <w:rFonts w:ascii="Abadi" w:hAnsi="Abadi"/>
          <w:sz w:val="21"/>
          <w:szCs w:val="21"/>
        </w:rPr>
        <w:t>Me</w:t>
      </w:r>
      <w:r w:rsidRPr="00D762D7">
        <w:rPr>
          <w:rFonts w:ascii="Abadi" w:hAnsi="Abadi"/>
          <w:sz w:val="21"/>
          <w:szCs w:val="21"/>
        </w:rPr>
        <w:t xml:space="preserve"> permito informar que previamente se han inscrito las diputadas Martha Guadalupe Hernández Camarena con el tema</w:t>
      </w:r>
      <w:r>
        <w:rPr>
          <w:rFonts w:ascii="Abadi" w:hAnsi="Abadi"/>
          <w:sz w:val="21"/>
          <w:szCs w:val="21"/>
        </w:rPr>
        <w:t>:</w:t>
      </w:r>
      <w:r w:rsidRPr="00D762D7">
        <w:rPr>
          <w:rFonts w:ascii="Abadi" w:hAnsi="Abadi"/>
          <w:sz w:val="21"/>
          <w:szCs w:val="21"/>
        </w:rPr>
        <w:t xml:space="preserve"> </w:t>
      </w:r>
      <w:r>
        <w:rPr>
          <w:rFonts w:ascii="Abadi" w:hAnsi="Abadi"/>
          <w:sz w:val="21"/>
          <w:szCs w:val="21"/>
        </w:rPr>
        <w:t>«C</w:t>
      </w:r>
      <w:r w:rsidRPr="00D762D7">
        <w:rPr>
          <w:rFonts w:ascii="Abadi" w:hAnsi="Abadi"/>
          <w:sz w:val="21"/>
          <w:szCs w:val="21"/>
        </w:rPr>
        <w:t xml:space="preserve">áncer de </w:t>
      </w:r>
      <w:r>
        <w:rPr>
          <w:rFonts w:ascii="Abadi" w:hAnsi="Abadi"/>
          <w:sz w:val="21"/>
          <w:szCs w:val="21"/>
        </w:rPr>
        <w:t>M</w:t>
      </w:r>
      <w:r w:rsidRPr="00D762D7">
        <w:rPr>
          <w:rFonts w:ascii="Abadi" w:hAnsi="Abadi"/>
          <w:sz w:val="21"/>
          <w:szCs w:val="21"/>
        </w:rPr>
        <w:t>ama</w:t>
      </w:r>
      <w:r>
        <w:rPr>
          <w:rFonts w:ascii="Abadi" w:hAnsi="Abadi"/>
          <w:sz w:val="21"/>
          <w:szCs w:val="21"/>
        </w:rPr>
        <w:t>»</w:t>
      </w:r>
      <w:r w:rsidRPr="00D762D7">
        <w:rPr>
          <w:rFonts w:ascii="Abadi" w:hAnsi="Abadi"/>
          <w:sz w:val="21"/>
          <w:szCs w:val="21"/>
        </w:rPr>
        <w:t xml:space="preserve"> Laura </w:t>
      </w:r>
      <w:r>
        <w:rPr>
          <w:rFonts w:ascii="Abadi" w:hAnsi="Abadi"/>
          <w:sz w:val="21"/>
          <w:szCs w:val="21"/>
        </w:rPr>
        <w:t>C</w:t>
      </w:r>
      <w:r w:rsidRPr="00D762D7">
        <w:rPr>
          <w:rFonts w:ascii="Abadi" w:hAnsi="Abadi"/>
          <w:sz w:val="21"/>
          <w:szCs w:val="21"/>
        </w:rPr>
        <w:t>ristina Márquez Alcalá</w:t>
      </w:r>
      <w:r>
        <w:rPr>
          <w:rFonts w:ascii="Abadi" w:hAnsi="Abadi"/>
          <w:sz w:val="21"/>
          <w:szCs w:val="21"/>
        </w:rPr>
        <w:t>,</w:t>
      </w:r>
      <w:r w:rsidRPr="00D762D7">
        <w:rPr>
          <w:rFonts w:ascii="Abadi" w:hAnsi="Abadi"/>
          <w:sz w:val="21"/>
          <w:szCs w:val="21"/>
        </w:rPr>
        <w:t xml:space="preserve"> con el tema</w:t>
      </w:r>
      <w:r>
        <w:rPr>
          <w:rFonts w:ascii="Abadi" w:hAnsi="Abadi"/>
          <w:sz w:val="21"/>
          <w:szCs w:val="21"/>
        </w:rPr>
        <w:t>:</w:t>
      </w:r>
      <w:r w:rsidRPr="00D762D7">
        <w:rPr>
          <w:rFonts w:ascii="Abadi" w:hAnsi="Abadi"/>
          <w:sz w:val="21"/>
          <w:szCs w:val="21"/>
        </w:rPr>
        <w:t xml:space="preserve"> </w:t>
      </w:r>
      <w:r>
        <w:rPr>
          <w:rFonts w:ascii="Abadi" w:hAnsi="Abadi"/>
          <w:sz w:val="21"/>
          <w:szCs w:val="21"/>
        </w:rPr>
        <w:t>«R</w:t>
      </w:r>
      <w:r w:rsidRPr="00D762D7">
        <w:rPr>
          <w:rFonts w:ascii="Abadi" w:hAnsi="Abadi"/>
          <w:sz w:val="21"/>
          <w:szCs w:val="21"/>
        </w:rPr>
        <w:t>eflexión</w:t>
      </w:r>
      <w:r>
        <w:rPr>
          <w:rFonts w:ascii="Abadi" w:hAnsi="Abadi"/>
          <w:sz w:val="21"/>
          <w:szCs w:val="21"/>
        </w:rPr>
        <w:t>»</w:t>
      </w:r>
      <w:r w:rsidRPr="00D762D7">
        <w:rPr>
          <w:rFonts w:ascii="Abadi" w:hAnsi="Abadi"/>
          <w:sz w:val="21"/>
          <w:szCs w:val="21"/>
        </w:rPr>
        <w:t xml:space="preserve"> y Mart</w:t>
      </w:r>
      <w:r>
        <w:rPr>
          <w:rFonts w:ascii="Abadi" w:hAnsi="Abadi"/>
          <w:sz w:val="21"/>
          <w:szCs w:val="21"/>
        </w:rPr>
        <w:t>h</w:t>
      </w:r>
      <w:r w:rsidRPr="00D762D7">
        <w:rPr>
          <w:rFonts w:ascii="Abadi" w:hAnsi="Abadi"/>
          <w:sz w:val="21"/>
          <w:szCs w:val="21"/>
        </w:rPr>
        <w:t xml:space="preserve">a </w:t>
      </w:r>
      <w:r>
        <w:rPr>
          <w:rFonts w:ascii="Abadi" w:hAnsi="Abadi"/>
          <w:sz w:val="21"/>
          <w:szCs w:val="21"/>
        </w:rPr>
        <w:t>Lourdes O</w:t>
      </w:r>
      <w:r w:rsidRPr="00D762D7">
        <w:rPr>
          <w:rFonts w:ascii="Abadi" w:hAnsi="Abadi"/>
          <w:sz w:val="21"/>
          <w:szCs w:val="21"/>
        </w:rPr>
        <w:t xml:space="preserve">rtega </w:t>
      </w:r>
      <w:r>
        <w:rPr>
          <w:rFonts w:ascii="Abadi" w:hAnsi="Abadi"/>
          <w:sz w:val="21"/>
          <w:szCs w:val="21"/>
        </w:rPr>
        <w:t>R</w:t>
      </w:r>
      <w:r w:rsidRPr="00D762D7">
        <w:rPr>
          <w:rFonts w:ascii="Abadi" w:hAnsi="Abadi"/>
          <w:sz w:val="21"/>
          <w:szCs w:val="21"/>
        </w:rPr>
        <w:t>oque</w:t>
      </w:r>
      <w:r>
        <w:rPr>
          <w:rFonts w:ascii="Abadi" w:hAnsi="Abadi"/>
          <w:sz w:val="21"/>
          <w:szCs w:val="21"/>
        </w:rPr>
        <w:t>,</w:t>
      </w:r>
      <w:r w:rsidRPr="00D762D7">
        <w:rPr>
          <w:rFonts w:ascii="Abadi" w:hAnsi="Abadi"/>
          <w:sz w:val="21"/>
          <w:szCs w:val="21"/>
        </w:rPr>
        <w:t xml:space="preserve"> con el tema</w:t>
      </w:r>
      <w:r>
        <w:rPr>
          <w:rFonts w:ascii="Abadi" w:hAnsi="Abadi"/>
          <w:sz w:val="21"/>
          <w:szCs w:val="21"/>
        </w:rPr>
        <w:t>: «C</w:t>
      </w:r>
      <w:r w:rsidRPr="00D762D7">
        <w:rPr>
          <w:rFonts w:ascii="Abadi" w:hAnsi="Abadi"/>
          <w:sz w:val="21"/>
          <w:szCs w:val="21"/>
        </w:rPr>
        <w:t xml:space="preserve">unas </w:t>
      </w:r>
      <w:r>
        <w:rPr>
          <w:rFonts w:ascii="Abadi" w:hAnsi="Abadi"/>
          <w:sz w:val="21"/>
          <w:szCs w:val="21"/>
        </w:rPr>
        <w:t>V</w:t>
      </w:r>
      <w:r w:rsidRPr="00D762D7">
        <w:rPr>
          <w:rFonts w:ascii="Abadi" w:hAnsi="Abadi"/>
          <w:sz w:val="21"/>
          <w:szCs w:val="21"/>
        </w:rPr>
        <w:t>acías</w:t>
      </w:r>
      <w:r>
        <w:rPr>
          <w:rFonts w:ascii="Abadi" w:hAnsi="Abadi"/>
          <w:sz w:val="21"/>
          <w:szCs w:val="21"/>
        </w:rPr>
        <w:t>»</w:t>
      </w:r>
      <w:r w:rsidRPr="00D762D7">
        <w:rPr>
          <w:rFonts w:ascii="Abadi" w:hAnsi="Abadi"/>
          <w:sz w:val="21"/>
          <w:szCs w:val="21"/>
        </w:rPr>
        <w:t xml:space="preserve"> así como los diputados </w:t>
      </w:r>
      <w:r>
        <w:rPr>
          <w:rFonts w:ascii="Abadi" w:hAnsi="Abadi"/>
          <w:sz w:val="21"/>
          <w:szCs w:val="21"/>
        </w:rPr>
        <w:t>G</w:t>
      </w:r>
      <w:r w:rsidRPr="00D762D7">
        <w:rPr>
          <w:rFonts w:ascii="Abadi" w:hAnsi="Abadi"/>
          <w:sz w:val="21"/>
          <w:szCs w:val="21"/>
        </w:rPr>
        <w:t xml:space="preserve">erardo </w:t>
      </w:r>
      <w:r>
        <w:rPr>
          <w:rFonts w:ascii="Abadi" w:hAnsi="Abadi"/>
          <w:sz w:val="21"/>
          <w:szCs w:val="21"/>
        </w:rPr>
        <w:t>F</w:t>
      </w:r>
      <w:r w:rsidRPr="00D762D7">
        <w:rPr>
          <w:rFonts w:ascii="Abadi" w:hAnsi="Abadi"/>
          <w:sz w:val="21"/>
          <w:szCs w:val="21"/>
        </w:rPr>
        <w:t xml:space="preserve">ernández </w:t>
      </w:r>
      <w:r>
        <w:rPr>
          <w:rFonts w:ascii="Abadi" w:hAnsi="Abadi"/>
          <w:sz w:val="21"/>
          <w:szCs w:val="21"/>
        </w:rPr>
        <w:t>G</w:t>
      </w:r>
      <w:r w:rsidRPr="00D762D7">
        <w:rPr>
          <w:rFonts w:ascii="Abadi" w:hAnsi="Abadi"/>
          <w:sz w:val="21"/>
          <w:szCs w:val="21"/>
        </w:rPr>
        <w:t>onzález</w:t>
      </w:r>
      <w:r>
        <w:rPr>
          <w:rFonts w:ascii="Abadi" w:hAnsi="Abadi"/>
          <w:sz w:val="21"/>
          <w:szCs w:val="21"/>
        </w:rPr>
        <w:t>,</w:t>
      </w:r>
      <w:r w:rsidRPr="00D762D7">
        <w:rPr>
          <w:rFonts w:ascii="Abadi" w:hAnsi="Abadi"/>
          <w:sz w:val="21"/>
          <w:szCs w:val="21"/>
        </w:rPr>
        <w:t xml:space="preserve"> con el tema</w:t>
      </w:r>
      <w:r>
        <w:rPr>
          <w:rFonts w:ascii="Abadi" w:hAnsi="Abadi"/>
          <w:sz w:val="21"/>
          <w:szCs w:val="21"/>
        </w:rPr>
        <w:t>:</w:t>
      </w:r>
      <w:r w:rsidRPr="00D762D7">
        <w:rPr>
          <w:rFonts w:ascii="Abadi" w:hAnsi="Abadi"/>
          <w:sz w:val="21"/>
          <w:szCs w:val="21"/>
        </w:rPr>
        <w:t xml:space="preserve"> </w:t>
      </w:r>
      <w:r>
        <w:rPr>
          <w:rFonts w:ascii="Abadi" w:hAnsi="Abadi"/>
          <w:sz w:val="21"/>
          <w:szCs w:val="21"/>
        </w:rPr>
        <w:t>«J</w:t>
      </w:r>
      <w:r w:rsidRPr="00D762D7">
        <w:rPr>
          <w:rFonts w:ascii="Abadi" w:hAnsi="Abadi"/>
          <w:sz w:val="21"/>
          <w:szCs w:val="21"/>
        </w:rPr>
        <w:t>usticia para Pedro</w:t>
      </w:r>
      <w:r>
        <w:rPr>
          <w:rFonts w:ascii="Abadi" w:hAnsi="Abadi"/>
          <w:sz w:val="21"/>
          <w:szCs w:val="21"/>
        </w:rPr>
        <w:t>»</w:t>
      </w:r>
      <w:r w:rsidRPr="00D762D7">
        <w:rPr>
          <w:rFonts w:ascii="Abadi" w:hAnsi="Abadi"/>
          <w:sz w:val="21"/>
          <w:szCs w:val="21"/>
        </w:rPr>
        <w:t xml:space="preserve"> y Javier Alfonso </w:t>
      </w:r>
      <w:r>
        <w:rPr>
          <w:rFonts w:ascii="Abadi" w:hAnsi="Abadi"/>
          <w:sz w:val="21"/>
          <w:szCs w:val="21"/>
        </w:rPr>
        <w:t>T</w:t>
      </w:r>
      <w:r w:rsidRPr="00D762D7">
        <w:rPr>
          <w:rFonts w:ascii="Abadi" w:hAnsi="Abadi"/>
          <w:sz w:val="21"/>
          <w:szCs w:val="21"/>
        </w:rPr>
        <w:t>orres</w:t>
      </w:r>
      <w:r>
        <w:rPr>
          <w:rFonts w:ascii="Abadi" w:hAnsi="Abadi"/>
          <w:sz w:val="21"/>
          <w:szCs w:val="21"/>
        </w:rPr>
        <w:t xml:space="preserve"> Mereles,</w:t>
      </w:r>
      <w:r w:rsidRPr="00D762D7">
        <w:rPr>
          <w:rFonts w:ascii="Abadi" w:hAnsi="Abadi"/>
          <w:sz w:val="21"/>
          <w:szCs w:val="21"/>
        </w:rPr>
        <w:t xml:space="preserve"> con el tema</w:t>
      </w:r>
      <w:r>
        <w:rPr>
          <w:rFonts w:ascii="Abadi" w:hAnsi="Abadi"/>
          <w:sz w:val="21"/>
          <w:szCs w:val="21"/>
        </w:rPr>
        <w:t>:</w:t>
      </w:r>
      <w:r w:rsidRPr="00D762D7">
        <w:rPr>
          <w:rFonts w:ascii="Abadi" w:hAnsi="Abadi"/>
          <w:sz w:val="21"/>
          <w:szCs w:val="21"/>
        </w:rPr>
        <w:t xml:space="preserve"> </w:t>
      </w:r>
      <w:r>
        <w:rPr>
          <w:rFonts w:ascii="Abadi" w:hAnsi="Abadi"/>
          <w:sz w:val="21"/>
          <w:szCs w:val="21"/>
        </w:rPr>
        <w:t>«Día</w:t>
      </w:r>
      <w:r w:rsidRPr="00D762D7">
        <w:rPr>
          <w:rFonts w:ascii="Abadi" w:hAnsi="Abadi"/>
          <w:sz w:val="21"/>
          <w:szCs w:val="21"/>
        </w:rPr>
        <w:t xml:space="preserve"> </w:t>
      </w:r>
      <w:r>
        <w:rPr>
          <w:rFonts w:ascii="Abadi" w:hAnsi="Abadi"/>
          <w:sz w:val="21"/>
          <w:szCs w:val="21"/>
        </w:rPr>
        <w:t>I</w:t>
      </w:r>
      <w:r w:rsidRPr="00D762D7">
        <w:rPr>
          <w:rFonts w:ascii="Abadi" w:hAnsi="Abadi"/>
          <w:sz w:val="21"/>
          <w:szCs w:val="21"/>
        </w:rPr>
        <w:t>nternaciona</w:t>
      </w:r>
      <w:r>
        <w:rPr>
          <w:rFonts w:ascii="Abadi" w:hAnsi="Abadi"/>
          <w:sz w:val="21"/>
          <w:szCs w:val="21"/>
        </w:rPr>
        <w:t>l</w:t>
      </w:r>
      <w:r w:rsidRPr="00D762D7">
        <w:rPr>
          <w:rFonts w:ascii="Abadi" w:hAnsi="Abadi"/>
          <w:sz w:val="21"/>
          <w:szCs w:val="21"/>
        </w:rPr>
        <w:t xml:space="preserve"> para la reducción del riesgo de desastre</w:t>
      </w:r>
      <w:r>
        <w:rPr>
          <w:rFonts w:ascii="Abadi" w:hAnsi="Abadi"/>
          <w:sz w:val="21"/>
          <w:szCs w:val="21"/>
        </w:rPr>
        <w:t xml:space="preserve">» </w:t>
      </w:r>
    </w:p>
    <w:p w14:paraId="28C6253A" w14:textId="77777777" w:rsidR="003C51DA" w:rsidRDefault="003C51DA" w:rsidP="00D15DAB">
      <w:pPr>
        <w:jc w:val="both"/>
        <w:rPr>
          <w:rFonts w:ascii="Abadi" w:hAnsi="Abadi"/>
          <w:sz w:val="21"/>
          <w:szCs w:val="21"/>
        </w:rPr>
      </w:pPr>
    </w:p>
    <w:p w14:paraId="6864CD57" w14:textId="78875AFC" w:rsidR="00D15DAB" w:rsidRDefault="00D15DAB" w:rsidP="00D15DAB">
      <w:pPr>
        <w:jc w:val="both"/>
        <w:rPr>
          <w:rFonts w:ascii="Abadi" w:hAnsi="Abadi"/>
          <w:sz w:val="21"/>
          <w:szCs w:val="21"/>
        </w:rPr>
      </w:pPr>
      <w:r>
        <w:rPr>
          <w:rFonts w:ascii="Abadi" w:hAnsi="Abadi"/>
          <w:sz w:val="21"/>
          <w:szCs w:val="21"/>
        </w:rPr>
        <w:t>- S</w:t>
      </w:r>
      <w:r w:rsidRPr="00D762D7">
        <w:rPr>
          <w:rFonts w:ascii="Abadi" w:hAnsi="Abadi"/>
          <w:sz w:val="21"/>
          <w:szCs w:val="21"/>
        </w:rPr>
        <w:t xml:space="preserve">i algún otro integrante de la </w:t>
      </w:r>
      <w:r>
        <w:rPr>
          <w:rFonts w:ascii="Abadi" w:hAnsi="Abadi"/>
          <w:sz w:val="21"/>
          <w:szCs w:val="21"/>
        </w:rPr>
        <w:t>A</w:t>
      </w:r>
      <w:r w:rsidRPr="00D762D7">
        <w:rPr>
          <w:rFonts w:ascii="Abadi" w:hAnsi="Abadi"/>
          <w:sz w:val="21"/>
          <w:szCs w:val="21"/>
        </w:rPr>
        <w:t>samblea de</w:t>
      </w:r>
      <w:r>
        <w:rPr>
          <w:rFonts w:ascii="Abadi" w:hAnsi="Abadi"/>
          <w:sz w:val="21"/>
          <w:szCs w:val="21"/>
        </w:rPr>
        <w:t xml:space="preserve">sea inscribirse, </w:t>
      </w:r>
      <w:r w:rsidRPr="00D762D7">
        <w:rPr>
          <w:rFonts w:ascii="Abadi" w:hAnsi="Abadi"/>
          <w:sz w:val="21"/>
          <w:szCs w:val="21"/>
        </w:rPr>
        <w:t>manifiést</w:t>
      </w:r>
      <w:r>
        <w:rPr>
          <w:rFonts w:ascii="Abadi" w:hAnsi="Abadi"/>
          <w:sz w:val="21"/>
          <w:szCs w:val="21"/>
        </w:rPr>
        <w:t>enlo</w:t>
      </w:r>
      <w:r w:rsidRPr="00D762D7">
        <w:rPr>
          <w:rFonts w:ascii="Abadi" w:hAnsi="Abadi"/>
          <w:sz w:val="21"/>
          <w:szCs w:val="21"/>
        </w:rPr>
        <w:t xml:space="preserve"> </w:t>
      </w:r>
      <w:r>
        <w:rPr>
          <w:rFonts w:ascii="Abadi" w:hAnsi="Abadi"/>
          <w:sz w:val="21"/>
          <w:szCs w:val="21"/>
        </w:rPr>
        <w:t xml:space="preserve">a </w:t>
      </w:r>
      <w:r w:rsidRPr="00D762D7">
        <w:rPr>
          <w:rFonts w:ascii="Abadi" w:hAnsi="Abadi"/>
          <w:sz w:val="21"/>
          <w:szCs w:val="21"/>
        </w:rPr>
        <w:t xml:space="preserve">esta presidencia indicando </w:t>
      </w:r>
      <w:r>
        <w:rPr>
          <w:rFonts w:ascii="Abadi" w:hAnsi="Abadi"/>
          <w:sz w:val="21"/>
          <w:szCs w:val="21"/>
        </w:rPr>
        <w:t xml:space="preserve">el </w:t>
      </w:r>
      <w:r w:rsidRPr="00D762D7">
        <w:rPr>
          <w:rFonts w:ascii="Abadi" w:hAnsi="Abadi"/>
          <w:sz w:val="21"/>
          <w:szCs w:val="21"/>
        </w:rPr>
        <w:t>tema de su participación</w:t>
      </w:r>
      <w:r>
        <w:rPr>
          <w:rFonts w:ascii="Abadi" w:hAnsi="Abadi"/>
          <w:sz w:val="21"/>
          <w:szCs w:val="21"/>
        </w:rPr>
        <w:t>.</w:t>
      </w:r>
    </w:p>
    <w:p w14:paraId="7BBA754C" w14:textId="77777777" w:rsidR="003C51DA" w:rsidRDefault="003C51DA" w:rsidP="00D15DAB">
      <w:pPr>
        <w:jc w:val="both"/>
        <w:rPr>
          <w:rFonts w:ascii="Abadi" w:hAnsi="Abadi"/>
          <w:sz w:val="21"/>
          <w:szCs w:val="21"/>
        </w:rPr>
      </w:pPr>
    </w:p>
    <w:p w14:paraId="7E2670E5" w14:textId="77777777" w:rsidR="00D15DAB" w:rsidRDefault="00D15DAB" w:rsidP="00D15DAB">
      <w:pPr>
        <w:jc w:val="both"/>
        <w:rPr>
          <w:rFonts w:ascii="Abadi" w:hAnsi="Abadi"/>
          <w:sz w:val="21"/>
          <w:szCs w:val="21"/>
        </w:rPr>
      </w:pPr>
      <w:r>
        <w:rPr>
          <w:rFonts w:ascii="Abadi" w:hAnsi="Abadi"/>
          <w:sz w:val="21"/>
          <w:szCs w:val="21"/>
        </w:rPr>
        <w:t xml:space="preserve">- La </w:t>
      </w:r>
      <w:r w:rsidRPr="00D762D7">
        <w:rPr>
          <w:rFonts w:ascii="Abadi" w:hAnsi="Abadi"/>
          <w:sz w:val="21"/>
          <w:szCs w:val="21"/>
        </w:rPr>
        <w:t>lista de participantes ha quedado conformada de la siguiente manera</w:t>
      </w:r>
      <w:r>
        <w:rPr>
          <w:rFonts w:ascii="Abadi" w:hAnsi="Abadi"/>
          <w:sz w:val="21"/>
          <w:szCs w:val="21"/>
        </w:rPr>
        <w:t>:</w:t>
      </w:r>
    </w:p>
    <w:p w14:paraId="23C60FC8" w14:textId="77777777" w:rsidR="00D15DAB" w:rsidRPr="007D1383" w:rsidRDefault="00D15DAB" w:rsidP="00D15DAB">
      <w:pPr>
        <w:pStyle w:val="Prrafodelista"/>
        <w:numPr>
          <w:ilvl w:val="0"/>
          <w:numId w:val="83"/>
        </w:numPr>
        <w:spacing w:after="160" w:line="259" w:lineRule="auto"/>
        <w:contextualSpacing/>
        <w:jc w:val="both"/>
        <w:rPr>
          <w:rFonts w:ascii="Abadi" w:hAnsi="Abadi"/>
          <w:sz w:val="21"/>
          <w:szCs w:val="21"/>
        </w:rPr>
      </w:pPr>
      <w:r w:rsidRPr="007D1383">
        <w:rPr>
          <w:rFonts w:ascii="Abadi" w:hAnsi="Abadi"/>
          <w:sz w:val="21"/>
          <w:szCs w:val="21"/>
        </w:rPr>
        <w:t>Diputada Martha Guadalupe Hernández Camarena.</w:t>
      </w:r>
    </w:p>
    <w:p w14:paraId="0058389D" w14:textId="77777777" w:rsidR="00D15DAB" w:rsidRPr="007D1383" w:rsidRDefault="00D15DAB" w:rsidP="00D15DAB">
      <w:pPr>
        <w:pStyle w:val="Prrafodelista"/>
        <w:numPr>
          <w:ilvl w:val="0"/>
          <w:numId w:val="83"/>
        </w:numPr>
        <w:spacing w:after="160" w:line="259" w:lineRule="auto"/>
        <w:contextualSpacing/>
        <w:jc w:val="both"/>
        <w:rPr>
          <w:rFonts w:ascii="Abadi" w:hAnsi="Abadi"/>
          <w:sz w:val="21"/>
          <w:szCs w:val="21"/>
        </w:rPr>
      </w:pPr>
      <w:r w:rsidRPr="007D1383">
        <w:rPr>
          <w:rFonts w:ascii="Abadi" w:hAnsi="Abadi"/>
          <w:sz w:val="21"/>
          <w:szCs w:val="21"/>
        </w:rPr>
        <w:t>Diputada Laura Cristina Márquez Alcalá.</w:t>
      </w:r>
    </w:p>
    <w:p w14:paraId="5380810D" w14:textId="77777777" w:rsidR="00D15DAB" w:rsidRPr="007D1383" w:rsidRDefault="00D15DAB" w:rsidP="00D15DAB">
      <w:pPr>
        <w:pStyle w:val="Prrafodelista"/>
        <w:numPr>
          <w:ilvl w:val="0"/>
          <w:numId w:val="83"/>
        </w:numPr>
        <w:spacing w:after="160" w:line="259" w:lineRule="auto"/>
        <w:contextualSpacing/>
        <w:jc w:val="both"/>
        <w:rPr>
          <w:rFonts w:ascii="Abadi" w:hAnsi="Abadi"/>
          <w:sz w:val="21"/>
          <w:szCs w:val="21"/>
        </w:rPr>
      </w:pPr>
      <w:r w:rsidRPr="007D1383">
        <w:rPr>
          <w:rFonts w:ascii="Abadi" w:hAnsi="Abadi"/>
          <w:sz w:val="21"/>
          <w:szCs w:val="21"/>
        </w:rPr>
        <w:t>Diputada Martha Lourdes Ortega Roque.</w:t>
      </w:r>
    </w:p>
    <w:p w14:paraId="03E3BB66" w14:textId="77777777" w:rsidR="00D15DAB" w:rsidRPr="007D1383" w:rsidRDefault="00D15DAB" w:rsidP="00D15DAB">
      <w:pPr>
        <w:pStyle w:val="Prrafodelista"/>
        <w:numPr>
          <w:ilvl w:val="0"/>
          <w:numId w:val="83"/>
        </w:numPr>
        <w:spacing w:after="160" w:line="259" w:lineRule="auto"/>
        <w:contextualSpacing/>
        <w:jc w:val="both"/>
        <w:rPr>
          <w:rFonts w:ascii="Abadi" w:hAnsi="Abadi"/>
          <w:sz w:val="21"/>
          <w:szCs w:val="21"/>
        </w:rPr>
      </w:pPr>
      <w:r w:rsidRPr="007D1383">
        <w:rPr>
          <w:rFonts w:ascii="Abadi" w:hAnsi="Abadi"/>
          <w:sz w:val="21"/>
          <w:szCs w:val="21"/>
        </w:rPr>
        <w:t>Diputado Gerardo Fernández González.</w:t>
      </w:r>
    </w:p>
    <w:p w14:paraId="5298FA97" w14:textId="77777777" w:rsidR="00D15DAB" w:rsidRPr="007D1383" w:rsidRDefault="00D15DAB" w:rsidP="00D15DAB">
      <w:pPr>
        <w:pStyle w:val="Prrafodelista"/>
        <w:numPr>
          <w:ilvl w:val="0"/>
          <w:numId w:val="83"/>
        </w:numPr>
        <w:spacing w:after="160" w:line="259" w:lineRule="auto"/>
        <w:contextualSpacing/>
        <w:jc w:val="both"/>
        <w:rPr>
          <w:rFonts w:ascii="Abadi" w:hAnsi="Abadi"/>
          <w:sz w:val="21"/>
          <w:szCs w:val="21"/>
        </w:rPr>
      </w:pPr>
      <w:r w:rsidRPr="007D1383">
        <w:rPr>
          <w:rFonts w:ascii="Abadi" w:hAnsi="Abadi"/>
          <w:sz w:val="21"/>
          <w:szCs w:val="21"/>
        </w:rPr>
        <w:t>Diputado Javier Alfonso Torres Mereles.</w:t>
      </w:r>
    </w:p>
    <w:p w14:paraId="51D25815" w14:textId="68697D85" w:rsidR="00D15DAB" w:rsidRDefault="00D15DAB" w:rsidP="00D15DAB">
      <w:pPr>
        <w:jc w:val="both"/>
        <w:rPr>
          <w:rFonts w:ascii="Abadi" w:hAnsi="Abadi"/>
          <w:sz w:val="21"/>
          <w:szCs w:val="21"/>
        </w:rPr>
      </w:pPr>
      <w:r>
        <w:rPr>
          <w:rFonts w:ascii="Abadi" w:hAnsi="Abadi"/>
          <w:sz w:val="21"/>
          <w:szCs w:val="21"/>
        </w:rPr>
        <w:t>- S</w:t>
      </w:r>
      <w:r w:rsidRPr="00D762D7">
        <w:rPr>
          <w:rFonts w:ascii="Abadi" w:hAnsi="Abadi"/>
          <w:sz w:val="21"/>
          <w:szCs w:val="21"/>
        </w:rPr>
        <w:t xml:space="preserve">e otorga el </w:t>
      </w:r>
      <w:r>
        <w:rPr>
          <w:rFonts w:ascii="Abadi" w:hAnsi="Abadi"/>
          <w:sz w:val="21"/>
          <w:szCs w:val="21"/>
        </w:rPr>
        <w:t>u</w:t>
      </w:r>
      <w:r w:rsidRPr="00D762D7">
        <w:rPr>
          <w:rFonts w:ascii="Abadi" w:hAnsi="Abadi"/>
          <w:sz w:val="21"/>
          <w:szCs w:val="21"/>
        </w:rPr>
        <w:t>so de la voz a la diputada Martha Guadalupe Hernández Camarena hasta por 10 minutos</w:t>
      </w:r>
      <w:r>
        <w:rPr>
          <w:rFonts w:ascii="Abadi" w:hAnsi="Abadi"/>
          <w:sz w:val="21"/>
          <w:szCs w:val="21"/>
        </w:rPr>
        <w:t>.</w:t>
      </w:r>
    </w:p>
    <w:p w14:paraId="32015785" w14:textId="77777777" w:rsidR="003C51DA" w:rsidRDefault="003C51DA" w:rsidP="00D15DAB">
      <w:pPr>
        <w:jc w:val="both"/>
        <w:rPr>
          <w:rFonts w:ascii="Abadi" w:hAnsi="Abadi"/>
          <w:sz w:val="21"/>
          <w:szCs w:val="21"/>
        </w:rPr>
      </w:pPr>
    </w:p>
    <w:p w14:paraId="0D8A06AF" w14:textId="48356C39" w:rsidR="00D15DAB" w:rsidRDefault="00D15DAB" w:rsidP="00D15DAB">
      <w:pPr>
        <w:jc w:val="both"/>
        <w:rPr>
          <w:rFonts w:ascii="Abadi" w:hAnsi="Abadi"/>
          <w:b/>
          <w:bCs/>
          <w:sz w:val="21"/>
          <w:szCs w:val="21"/>
        </w:rPr>
      </w:pPr>
      <w:r w:rsidRPr="00602722">
        <w:rPr>
          <w:rFonts w:ascii="Abadi" w:hAnsi="Abadi"/>
          <w:b/>
          <w:bCs/>
          <w:sz w:val="21"/>
          <w:szCs w:val="21"/>
        </w:rPr>
        <w:t xml:space="preserve">(Sube a tribuna la diputada Martha Guadalupe Camarena Hernández Camarena, para hablar </w:t>
      </w:r>
      <w:r>
        <w:rPr>
          <w:rFonts w:ascii="Abadi" w:hAnsi="Abadi"/>
          <w:b/>
          <w:bCs/>
          <w:sz w:val="21"/>
          <w:szCs w:val="21"/>
        </w:rPr>
        <w:t>asuntos</w:t>
      </w:r>
      <w:r w:rsidRPr="00602722">
        <w:rPr>
          <w:rFonts w:ascii="Abadi" w:hAnsi="Abadi"/>
          <w:b/>
          <w:bCs/>
          <w:sz w:val="21"/>
          <w:szCs w:val="21"/>
        </w:rPr>
        <w:t xml:space="preserve"> de interés general, con el tema: «Cáncer de Mama»</w:t>
      </w:r>
      <w:r>
        <w:rPr>
          <w:rFonts w:ascii="Abadi" w:hAnsi="Abadi"/>
          <w:b/>
          <w:bCs/>
          <w:sz w:val="21"/>
          <w:szCs w:val="21"/>
        </w:rPr>
        <w:t>)</w:t>
      </w:r>
    </w:p>
    <w:p w14:paraId="4485A03F" w14:textId="77777777" w:rsidR="003C51DA" w:rsidRDefault="003C51DA" w:rsidP="00D15DAB">
      <w:pPr>
        <w:jc w:val="both"/>
        <w:rPr>
          <w:rFonts w:ascii="Abadi" w:hAnsi="Abadi"/>
          <w:b/>
          <w:bCs/>
          <w:sz w:val="21"/>
          <w:szCs w:val="21"/>
        </w:rPr>
      </w:pPr>
    </w:p>
    <w:p w14:paraId="032F0E04" w14:textId="77777777" w:rsidR="00D15DAB" w:rsidRPr="00602722" w:rsidRDefault="00D15DAB" w:rsidP="00D15DAB">
      <w:pPr>
        <w:jc w:val="both"/>
        <w:rPr>
          <w:rFonts w:ascii="Abadi" w:hAnsi="Abadi"/>
          <w:b/>
          <w:bCs/>
          <w:sz w:val="21"/>
          <w:szCs w:val="21"/>
        </w:rPr>
      </w:pPr>
      <w:r>
        <w:rPr>
          <w:noProof/>
        </w:rPr>
        <w:drawing>
          <wp:inline distT="0" distB="0" distL="0" distR="0" wp14:anchorId="0D0FEA45" wp14:editId="369B214C">
            <wp:extent cx="1563897" cy="811779"/>
            <wp:effectExtent l="247650" t="228600" r="246380" b="71247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b="7676"/>
                    <a:stretch/>
                  </pic:blipFill>
                  <pic:spPr bwMode="auto">
                    <a:xfrm>
                      <a:off x="0" y="0"/>
                      <a:ext cx="1593531" cy="827161"/>
                    </a:xfrm>
                    <a:prstGeom prst="rect">
                      <a:avLst/>
                    </a:prstGeom>
                    <a:ln w="228600" cap="sq" cmpd="thickThin">
                      <a:solidFill>
                        <a:srgbClr val="000000"/>
                      </a:solidFill>
                      <a:prstDash val="solid"/>
                      <a:miter lim="800000"/>
                    </a:ln>
                    <a:effectLst>
                      <a:innerShdw blurRad="76200">
                        <a:srgbClr val="000000"/>
                      </a:innerShdw>
                      <a:reflection blurRad="6350" stA="52000" endA="300" endPos="35000" dir="5400000" sy="-100000" algn="bl" rotWithShape="0"/>
                    </a:effectLst>
                    <a:extLst>
                      <a:ext uri="{53640926-AAD7-44D8-BBD7-CCE9431645EC}">
                        <a14:shadowObscured xmlns:a14="http://schemas.microsoft.com/office/drawing/2010/main"/>
                      </a:ext>
                    </a:extLst>
                  </pic:spPr>
                </pic:pic>
              </a:graphicData>
            </a:graphic>
          </wp:inline>
        </w:drawing>
      </w:r>
    </w:p>
    <w:p w14:paraId="3F3969E6" w14:textId="77777777" w:rsidR="00D15DAB" w:rsidRPr="006813AA" w:rsidRDefault="00D15DAB" w:rsidP="00D15DAB">
      <w:pPr>
        <w:jc w:val="both"/>
        <w:rPr>
          <w:rFonts w:ascii="Abadi" w:hAnsi="Abadi"/>
          <w:sz w:val="21"/>
          <w:szCs w:val="21"/>
        </w:rPr>
      </w:pPr>
    </w:p>
    <w:p w14:paraId="18A06A1C" w14:textId="43567C11" w:rsidR="00D15DAB" w:rsidRDefault="00D15DAB" w:rsidP="00D15DAB">
      <w:pPr>
        <w:jc w:val="both"/>
        <w:rPr>
          <w:rFonts w:ascii="Abadi" w:hAnsi="Abadi"/>
          <w:sz w:val="21"/>
          <w:szCs w:val="21"/>
        </w:rPr>
      </w:pPr>
      <w:r>
        <w:rPr>
          <w:rFonts w:ascii="Abadi" w:hAnsi="Abadi"/>
          <w:sz w:val="21"/>
          <w:szCs w:val="21"/>
        </w:rPr>
        <w:t>¡B</w:t>
      </w:r>
      <w:r w:rsidRPr="006813AA">
        <w:rPr>
          <w:rFonts w:ascii="Abadi" w:hAnsi="Abadi"/>
          <w:sz w:val="21"/>
          <w:szCs w:val="21"/>
        </w:rPr>
        <w:t>uenas tardes</w:t>
      </w:r>
      <w:r>
        <w:rPr>
          <w:rFonts w:ascii="Abadi" w:hAnsi="Abadi"/>
          <w:sz w:val="21"/>
          <w:szCs w:val="21"/>
        </w:rPr>
        <w:t>!</w:t>
      </w:r>
      <w:r w:rsidRPr="006813AA">
        <w:rPr>
          <w:rFonts w:ascii="Abadi" w:hAnsi="Abadi"/>
          <w:sz w:val="21"/>
          <w:szCs w:val="21"/>
        </w:rPr>
        <w:t xml:space="preserve"> con el permiso </w:t>
      </w:r>
      <w:r>
        <w:rPr>
          <w:rFonts w:ascii="Abadi" w:hAnsi="Abadi"/>
          <w:sz w:val="21"/>
          <w:szCs w:val="21"/>
        </w:rPr>
        <w:t xml:space="preserve">de las y los diputados </w:t>
      </w:r>
      <w:r w:rsidRPr="006813AA">
        <w:rPr>
          <w:rFonts w:ascii="Abadi" w:hAnsi="Abadi"/>
          <w:sz w:val="21"/>
          <w:szCs w:val="21"/>
        </w:rPr>
        <w:t xml:space="preserve">de la </w:t>
      </w:r>
      <w:r>
        <w:rPr>
          <w:rFonts w:ascii="Abadi" w:hAnsi="Abadi"/>
          <w:sz w:val="21"/>
          <w:szCs w:val="21"/>
        </w:rPr>
        <w:t>M</w:t>
      </w:r>
      <w:r w:rsidRPr="006813AA">
        <w:rPr>
          <w:rFonts w:ascii="Abadi" w:hAnsi="Abadi"/>
          <w:sz w:val="21"/>
          <w:szCs w:val="21"/>
        </w:rPr>
        <w:t xml:space="preserve">esa </w:t>
      </w:r>
      <w:r>
        <w:rPr>
          <w:rFonts w:ascii="Abadi" w:hAnsi="Abadi"/>
          <w:sz w:val="21"/>
          <w:szCs w:val="21"/>
        </w:rPr>
        <w:t>D</w:t>
      </w:r>
      <w:r w:rsidRPr="006813AA">
        <w:rPr>
          <w:rFonts w:ascii="Abadi" w:hAnsi="Abadi"/>
          <w:sz w:val="21"/>
          <w:szCs w:val="21"/>
        </w:rPr>
        <w:t>irectiva</w:t>
      </w:r>
      <w:r>
        <w:rPr>
          <w:rFonts w:ascii="Abadi" w:hAnsi="Abadi"/>
          <w:sz w:val="21"/>
          <w:szCs w:val="21"/>
        </w:rPr>
        <w:t>,</w:t>
      </w:r>
      <w:r w:rsidRPr="006813AA">
        <w:rPr>
          <w:rFonts w:ascii="Abadi" w:hAnsi="Abadi"/>
          <w:sz w:val="21"/>
          <w:szCs w:val="21"/>
        </w:rPr>
        <w:t xml:space="preserve"> agradezco la atención de mis compañeras y compañeros diputados a las personas que nos siguen a través de los diversos medios digitales y de comunicación gracias por su presencia a las personas que nos acompaña</w:t>
      </w:r>
      <w:r>
        <w:rPr>
          <w:rFonts w:ascii="Abadi" w:hAnsi="Abadi"/>
          <w:sz w:val="21"/>
          <w:szCs w:val="21"/>
        </w:rPr>
        <w:t>n e</w:t>
      </w:r>
      <w:r w:rsidRPr="006813AA">
        <w:rPr>
          <w:rFonts w:ascii="Abadi" w:hAnsi="Abadi"/>
          <w:sz w:val="21"/>
          <w:szCs w:val="21"/>
        </w:rPr>
        <w:t>l día de hoy</w:t>
      </w:r>
      <w:r>
        <w:rPr>
          <w:rFonts w:ascii="Abadi" w:hAnsi="Abadi"/>
          <w:sz w:val="21"/>
          <w:szCs w:val="21"/>
        </w:rPr>
        <w:t>, bienvenidos.</w:t>
      </w:r>
    </w:p>
    <w:p w14:paraId="67E26E0B" w14:textId="77777777" w:rsidR="003C51DA" w:rsidRDefault="003C51DA" w:rsidP="00D15DAB">
      <w:pPr>
        <w:jc w:val="both"/>
        <w:rPr>
          <w:rFonts w:ascii="Abadi" w:hAnsi="Abadi"/>
          <w:sz w:val="21"/>
          <w:szCs w:val="21"/>
        </w:rPr>
      </w:pPr>
    </w:p>
    <w:p w14:paraId="5D137E93" w14:textId="412BFAEF" w:rsidR="00D15DAB" w:rsidRDefault="00D15DAB" w:rsidP="00D15DAB">
      <w:pPr>
        <w:jc w:val="both"/>
        <w:rPr>
          <w:rFonts w:ascii="Abadi" w:hAnsi="Abadi"/>
          <w:sz w:val="21"/>
          <w:szCs w:val="21"/>
        </w:rPr>
      </w:pPr>
      <w:r>
        <w:rPr>
          <w:rFonts w:ascii="Abadi" w:hAnsi="Abadi"/>
          <w:sz w:val="21"/>
          <w:szCs w:val="21"/>
        </w:rPr>
        <w:t xml:space="preserve">- Hago uso de esta tribuna, para que a través de todas y todos nosotros, </w:t>
      </w:r>
      <w:r w:rsidRPr="006813AA">
        <w:rPr>
          <w:rFonts w:ascii="Abadi" w:hAnsi="Abadi"/>
          <w:sz w:val="21"/>
          <w:szCs w:val="21"/>
        </w:rPr>
        <w:t xml:space="preserve">bienvenido el día de hoy hago </w:t>
      </w:r>
      <w:r>
        <w:rPr>
          <w:rFonts w:ascii="Abadi" w:hAnsi="Abadi"/>
          <w:sz w:val="21"/>
          <w:szCs w:val="21"/>
        </w:rPr>
        <w:t>u</w:t>
      </w:r>
      <w:r w:rsidRPr="006813AA">
        <w:rPr>
          <w:rFonts w:ascii="Abadi" w:hAnsi="Abadi"/>
          <w:sz w:val="21"/>
          <w:szCs w:val="21"/>
        </w:rPr>
        <w:t>so de esta tribuna para que a través de todas y todos nosotros y de los medios de comunicación seamos un conducto para hacer un llamado a la sociedad en general pero especialmente a las mujeres</w:t>
      </w:r>
      <w:r>
        <w:rPr>
          <w:rFonts w:ascii="Abadi" w:hAnsi="Abadi"/>
          <w:sz w:val="21"/>
          <w:szCs w:val="21"/>
        </w:rPr>
        <w:t>.</w:t>
      </w:r>
    </w:p>
    <w:p w14:paraId="4F466968" w14:textId="77777777" w:rsidR="003C51DA" w:rsidRDefault="003C51DA" w:rsidP="00D15DAB">
      <w:pPr>
        <w:jc w:val="both"/>
        <w:rPr>
          <w:rFonts w:ascii="Abadi" w:hAnsi="Abadi"/>
          <w:sz w:val="21"/>
          <w:szCs w:val="21"/>
        </w:rPr>
      </w:pPr>
    </w:p>
    <w:p w14:paraId="4FEBB567" w14:textId="74A47BFA" w:rsidR="00D15DAB" w:rsidRDefault="00D15DAB" w:rsidP="00D15DAB">
      <w:pPr>
        <w:jc w:val="both"/>
        <w:rPr>
          <w:rFonts w:ascii="Abadi" w:hAnsi="Abadi"/>
          <w:sz w:val="21"/>
          <w:szCs w:val="21"/>
        </w:rPr>
      </w:pPr>
      <w:r>
        <w:rPr>
          <w:rFonts w:ascii="Abadi" w:hAnsi="Abadi"/>
          <w:sz w:val="21"/>
          <w:szCs w:val="21"/>
        </w:rPr>
        <w:t>- P</w:t>
      </w:r>
      <w:r w:rsidRPr="006813AA">
        <w:rPr>
          <w:rFonts w:ascii="Abadi" w:hAnsi="Abadi"/>
          <w:sz w:val="21"/>
          <w:szCs w:val="21"/>
        </w:rPr>
        <w:t>ara decirles que la detección temprana sigue siendo el punto más importante de la lucha contra el cáncer de mama</w:t>
      </w:r>
      <w:r>
        <w:rPr>
          <w:rFonts w:ascii="Abadi" w:hAnsi="Abadi"/>
          <w:sz w:val="21"/>
          <w:szCs w:val="21"/>
        </w:rPr>
        <w:t>,</w:t>
      </w:r>
      <w:r w:rsidRPr="006813AA">
        <w:rPr>
          <w:rFonts w:ascii="Abadi" w:hAnsi="Abadi"/>
          <w:sz w:val="21"/>
          <w:szCs w:val="21"/>
        </w:rPr>
        <w:t xml:space="preserve"> ya que cuando éste se detecta en una etapa temprana</w:t>
      </w:r>
      <w:r>
        <w:rPr>
          <w:rFonts w:ascii="Abadi" w:hAnsi="Abadi"/>
          <w:sz w:val="21"/>
          <w:szCs w:val="21"/>
        </w:rPr>
        <w:t>,</w:t>
      </w:r>
      <w:r w:rsidRPr="006813AA">
        <w:rPr>
          <w:rFonts w:ascii="Abadi" w:hAnsi="Abadi"/>
          <w:sz w:val="21"/>
          <w:szCs w:val="21"/>
        </w:rPr>
        <w:t xml:space="preserve"> las posibilidades de curación son muy altas</w:t>
      </w:r>
      <w:r>
        <w:rPr>
          <w:rFonts w:ascii="Abadi" w:hAnsi="Abadi"/>
          <w:sz w:val="21"/>
          <w:szCs w:val="21"/>
        </w:rPr>
        <w:t>,</w:t>
      </w:r>
      <w:r w:rsidRPr="006813AA">
        <w:rPr>
          <w:rFonts w:ascii="Abadi" w:hAnsi="Abadi"/>
          <w:sz w:val="21"/>
          <w:szCs w:val="21"/>
        </w:rPr>
        <w:t xml:space="preserve"> en cambio sí</w:t>
      </w:r>
      <w:r>
        <w:rPr>
          <w:rFonts w:ascii="Abadi" w:hAnsi="Abadi"/>
          <w:sz w:val="21"/>
          <w:szCs w:val="21"/>
        </w:rPr>
        <w:t xml:space="preserve">, </w:t>
      </w:r>
      <w:r w:rsidRPr="006813AA">
        <w:rPr>
          <w:rFonts w:ascii="Abadi" w:hAnsi="Abadi"/>
          <w:sz w:val="21"/>
          <w:szCs w:val="21"/>
        </w:rPr>
        <w:t>se detecta tardíamente</w:t>
      </w:r>
      <w:r>
        <w:rPr>
          <w:rFonts w:ascii="Abadi" w:hAnsi="Abadi"/>
          <w:sz w:val="21"/>
          <w:szCs w:val="21"/>
        </w:rPr>
        <w:t>,</w:t>
      </w:r>
      <w:r w:rsidRPr="006813AA">
        <w:rPr>
          <w:rFonts w:ascii="Abadi" w:hAnsi="Abadi"/>
          <w:sz w:val="21"/>
          <w:szCs w:val="21"/>
        </w:rPr>
        <w:t xml:space="preserve"> resulta</w:t>
      </w:r>
      <w:r>
        <w:rPr>
          <w:rFonts w:ascii="Abadi" w:hAnsi="Abadi"/>
          <w:sz w:val="21"/>
          <w:szCs w:val="21"/>
        </w:rPr>
        <w:t>,</w:t>
      </w:r>
      <w:r w:rsidRPr="006813AA">
        <w:rPr>
          <w:rFonts w:ascii="Abadi" w:hAnsi="Abadi"/>
          <w:sz w:val="21"/>
          <w:szCs w:val="21"/>
        </w:rPr>
        <w:t xml:space="preserve"> complejo que se pueda ofrecer un tratamiento curativo</w:t>
      </w:r>
      <w:r>
        <w:rPr>
          <w:rFonts w:ascii="Abadi" w:hAnsi="Abadi"/>
          <w:sz w:val="21"/>
          <w:szCs w:val="21"/>
        </w:rPr>
        <w:t>.</w:t>
      </w:r>
    </w:p>
    <w:p w14:paraId="653519CF" w14:textId="77777777" w:rsidR="003C51DA" w:rsidRDefault="003C51DA" w:rsidP="00D15DAB">
      <w:pPr>
        <w:jc w:val="both"/>
        <w:rPr>
          <w:rFonts w:ascii="Abadi" w:hAnsi="Abadi"/>
          <w:sz w:val="21"/>
          <w:szCs w:val="21"/>
        </w:rPr>
      </w:pPr>
    </w:p>
    <w:p w14:paraId="209B0EC1" w14:textId="5B4698AA" w:rsidR="00D15DAB" w:rsidRDefault="00D15DAB" w:rsidP="00D15DAB">
      <w:pPr>
        <w:jc w:val="both"/>
        <w:rPr>
          <w:rFonts w:ascii="Abadi" w:hAnsi="Abadi"/>
          <w:sz w:val="21"/>
          <w:szCs w:val="21"/>
        </w:rPr>
      </w:pPr>
      <w:r>
        <w:rPr>
          <w:rFonts w:ascii="Abadi" w:hAnsi="Abadi"/>
          <w:sz w:val="21"/>
          <w:szCs w:val="21"/>
        </w:rPr>
        <w:t>- Po</w:t>
      </w:r>
      <w:r w:rsidRPr="006813AA">
        <w:rPr>
          <w:rFonts w:ascii="Abadi" w:hAnsi="Abadi"/>
          <w:sz w:val="21"/>
          <w:szCs w:val="21"/>
        </w:rPr>
        <w:t>r ello durante el mes de octubre la organización mundial de la salud</w:t>
      </w:r>
      <w:r>
        <w:rPr>
          <w:rFonts w:ascii="Abadi" w:hAnsi="Abadi"/>
          <w:sz w:val="21"/>
          <w:szCs w:val="21"/>
        </w:rPr>
        <w:t>,</w:t>
      </w:r>
      <w:r w:rsidRPr="006813AA">
        <w:rPr>
          <w:rFonts w:ascii="Abadi" w:hAnsi="Abadi"/>
          <w:sz w:val="21"/>
          <w:szCs w:val="21"/>
        </w:rPr>
        <w:t xml:space="preserve"> fomenta programas integrales de lucha contra el cáncer de mama</w:t>
      </w:r>
      <w:r>
        <w:rPr>
          <w:rFonts w:ascii="Abadi" w:hAnsi="Abadi"/>
          <w:sz w:val="21"/>
          <w:szCs w:val="21"/>
        </w:rPr>
        <w:t>,</w:t>
      </w:r>
      <w:r w:rsidRPr="006813AA">
        <w:rPr>
          <w:rFonts w:ascii="Abadi" w:hAnsi="Abadi"/>
          <w:sz w:val="21"/>
          <w:szCs w:val="21"/>
        </w:rPr>
        <w:t xml:space="preserve"> dando prioridad a estrategias de prevención y detección oportuna</w:t>
      </w:r>
      <w:r>
        <w:rPr>
          <w:rFonts w:ascii="Abadi" w:hAnsi="Abadi"/>
          <w:sz w:val="21"/>
          <w:szCs w:val="21"/>
        </w:rPr>
        <w:t>,</w:t>
      </w:r>
      <w:r w:rsidRPr="006813AA">
        <w:rPr>
          <w:rFonts w:ascii="Abadi" w:hAnsi="Abadi"/>
          <w:sz w:val="21"/>
          <w:szCs w:val="21"/>
        </w:rPr>
        <w:t xml:space="preserve"> con base en la auto exploración y mastografía</w:t>
      </w:r>
      <w:r>
        <w:rPr>
          <w:rFonts w:ascii="Abadi" w:hAnsi="Abadi"/>
          <w:sz w:val="21"/>
          <w:szCs w:val="21"/>
        </w:rPr>
        <w:t>,</w:t>
      </w:r>
      <w:r w:rsidRPr="006813AA">
        <w:rPr>
          <w:rFonts w:ascii="Abadi" w:hAnsi="Abadi"/>
          <w:sz w:val="21"/>
          <w:szCs w:val="21"/>
        </w:rPr>
        <w:t xml:space="preserve"> con tristeza les comparto que el cáncer de mama es el que causa más muertes en México</w:t>
      </w:r>
      <w:r>
        <w:rPr>
          <w:rFonts w:ascii="Abadi" w:hAnsi="Abadi"/>
          <w:sz w:val="21"/>
          <w:szCs w:val="21"/>
        </w:rPr>
        <w:t>,</w:t>
      </w:r>
      <w:r w:rsidRPr="006813AA">
        <w:rPr>
          <w:rFonts w:ascii="Abadi" w:hAnsi="Abadi"/>
          <w:sz w:val="21"/>
          <w:szCs w:val="21"/>
        </w:rPr>
        <w:t xml:space="preserve"> una mujer fallece cada</w:t>
      </w:r>
      <w:r>
        <w:rPr>
          <w:rFonts w:ascii="Abadi" w:hAnsi="Abadi"/>
          <w:sz w:val="21"/>
          <w:szCs w:val="21"/>
        </w:rPr>
        <w:t xml:space="preserve"> dos </w:t>
      </w:r>
      <w:r w:rsidRPr="006813AA">
        <w:rPr>
          <w:rFonts w:ascii="Abadi" w:hAnsi="Abadi"/>
          <w:sz w:val="21"/>
          <w:szCs w:val="21"/>
        </w:rPr>
        <w:t>horas</w:t>
      </w:r>
      <w:r>
        <w:rPr>
          <w:rFonts w:ascii="Abadi" w:hAnsi="Abadi"/>
          <w:sz w:val="21"/>
          <w:szCs w:val="21"/>
        </w:rPr>
        <w:t>,</w:t>
      </w:r>
      <w:r w:rsidRPr="006813AA">
        <w:rPr>
          <w:rFonts w:ascii="Abadi" w:hAnsi="Abadi"/>
          <w:sz w:val="21"/>
          <w:szCs w:val="21"/>
        </w:rPr>
        <w:t xml:space="preserve"> además las estadísticas recientes nos llevan nos dejan ver que en México dadas las condiciones de vida actual es la edad en que una mujer puede contraer cáncer de mama</w:t>
      </w:r>
      <w:r>
        <w:rPr>
          <w:rFonts w:ascii="Abadi" w:hAnsi="Abadi"/>
          <w:sz w:val="21"/>
          <w:szCs w:val="21"/>
        </w:rPr>
        <w:t>,</w:t>
      </w:r>
      <w:r w:rsidRPr="006813AA">
        <w:rPr>
          <w:rFonts w:ascii="Abadi" w:hAnsi="Abadi"/>
          <w:sz w:val="21"/>
          <w:szCs w:val="21"/>
        </w:rPr>
        <w:t xml:space="preserve"> ha disminuido del promedio de los 40 a los 30 años de edad</w:t>
      </w:r>
      <w:r>
        <w:rPr>
          <w:rFonts w:ascii="Abadi" w:hAnsi="Abadi"/>
          <w:sz w:val="21"/>
          <w:szCs w:val="21"/>
        </w:rPr>
        <w:t>,</w:t>
      </w:r>
      <w:r w:rsidRPr="006813AA">
        <w:rPr>
          <w:rFonts w:ascii="Abadi" w:hAnsi="Abadi"/>
          <w:sz w:val="21"/>
          <w:szCs w:val="21"/>
        </w:rPr>
        <w:t xml:space="preserve"> lamentablemente cada día hay más mujeres y hombres</w:t>
      </w:r>
      <w:r>
        <w:rPr>
          <w:rFonts w:ascii="Abadi" w:hAnsi="Abadi"/>
          <w:sz w:val="21"/>
          <w:szCs w:val="21"/>
        </w:rPr>
        <w:t>,</w:t>
      </w:r>
      <w:r w:rsidRPr="006813AA">
        <w:rPr>
          <w:rFonts w:ascii="Abadi" w:hAnsi="Abadi"/>
          <w:sz w:val="21"/>
          <w:szCs w:val="21"/>
        </w:rPr>
        <w:t xml:space="preserve"> a los que afecta esta enfermedad ya que no sólo aflige a quien lo padece sino que envuelve a toda la familia en diversos aspectos tanto en los psicoemocional en el físico y en el económico</w:t>
      </w:r>
      <w:r>
        <w:rPr>
          <w:rFonts w:ascii="Abadi" w:hAnsi="Abadi"/>
          <w:sz w:val="21"/>
          <w:szCs w:val="21"/>
        </w:rPr>
        <w:t>;</w:t>
      </w:r>
      <w:r w:rsidRPr="006813AA">
        <w:rPr>
          <w:rFonts w:ascii="Abadi" w:hAnsi="Abadi"/>
          <w:sz w:val="21"/>
          <w:szCs w:val="21"/>
        </w:rPr>
        <w:t xml:space="preserve"> como sociedad es de suma importancia de pensar dejar de pensar que a mí no me va a pasar y fortalecer una mejor cultura de prevención y autoexploración</w:t>
      </w:r>
      <w:r>
        <w:rPr>
          <w:rFonts w:ascii="Abadi" w:hAnsi="Abadi"/>
          <w:sz w:val="21"/>
          <w:szCs w:val="21"/>
        </w:rPr>
        <w:t>,</w:t>
      </w:r>
      <w:r w:rsidRPr="006813AA">
        <w:rPr>
          <w:rFonts w:ascii="Abadi" w:hAnsi="Abadi"/>
          <w:sz w:val="21"/>
          <w:szCs w:val="21"/>
        </w:rPr>
        <w:t xml:space="preserve"> de visitar al médico cada año y si palpamos algo diferente o raro aprovechemos</w:t>
      </w:r>
      <w:r>
        <w:rPr>
          <w:rFonts w:ascii="Abadi" w:hAnsi="Abadi"/>
          <w:sz w:val="21"/>
          <w:szCs w:val="21"/>
        </w:rPr>
        <w:t>,</w:t>
      </w:r>
      <w:r w:rsidRPr="006813AA">
        <w:rPr>
          <w:rFonts w:ascii="Abadi" w:hAnsi="Abadi"/>
          <w:sz w:val="21"/>
          <w:szCs w:val="21"/>
        </w:rPr>
        <w:t xml:space="preserve"> que en guanajuato tenemos el mejor sistema de salud</w:t>
      </w:r>
      <w:r>
        <w:rPr>
          <w:rFonts w:ascii="Abadi" w:hAnsi="Abadi"/>
          <w:sz w:val="21"/>
          <w:szCs w:val="21"/>
        </w:rPr>
        <w:t>,</w:t>
      </w:r>
      <w:r w:rsidRPr="006813AA">
        <w:rPr>
          <w:rFonts w:ascii="Abadi" w:hAnsi="Abadi"/>
          <w:sz w:val="21"/>
          <w:szCs w:val="21"/>
        </w:rPr>
        <w:t xml:space="preserve"> a nivel nacional</w:t>
      </w:r>
      <w:r>
        <w:rPr>
          <w:rFonts w:ascii="Abadi" w:hAnsi="Abadi"/>
          <w:sz w:val="21"/>
          <w:szCs w:val="21"/>
        </w:rPr>
        <w:t>,</w:t>
      </w:r>
      <w:r w:rsidRPr="006813AA">
        <w:rPr>
          <w:rFonts w:ascii="Abadi" w:hAnsi="Abadi"/>
          <w:sz w:val="21"/>
          <w:szCs w:val="21"/>
        </w:rPr>
        <w:t xml:space="preserve"> aprovechemos las campañas de prevención contra el cáncer</w:t>
      </w:r>
      <w:r>
        <w:rPr>
          <w:rFonts w:ascii="Abadi" w:hAnsi="Abadi"/>
          <w:sz w:val="21"/>
          <w:szCs w:val="21"/>
        </w:rPr>
        <w:t>,</w:t>
      </w:r>
      <w:r w:rsidRPr="006813AA">
        <w:rPr>
          <w:rFonts w:ascii="Abadi" w:hAnsi="Abadi"/>
          <w:sz w:val="21"/>
          <w:szCs w:val="21"/>
        </w:rPr>
        <w:t xml:space="preserve"> especialmente en este mes de octubre denominado el mes rosa </w:t>
      </w:r>
      <w:r>
        <w:rPr>
          <w:rFonts w:ascii="Abadi" w:hAnsi="Abadi"/>
          <w:sz w:val="21"/>
          <w:szCs w:val="21"/>
        </w:rPr>
        <w:t>«</w:t>
      </w:r>
      <w:r w:rsidRPr="006813AA">
        <w:rPr>
          <w:rFonts w:ascii="Abadi" w:hAnsi="Abadi"/>
          <w:sz w:val="21"/>
          <w:szCs w:val="21"/>
        </w:rPr>
        <w:t>es mejor tocarte</w:t>
      </w:r>
      <w:r>
        <w:rPr>
          <w:rFonts w:ascii="Abadi" w:hAnsi="Abadi"/>
          <w:sz w:val="21"/>
          <w:szCs w:val="21"/>
        </w:rPr>
        <w:t>,</w:t>
      </w:r>
      <w:r w:rsidRPr="006813AA">
        <w:rPr>
          <w:rFonts w:ascii="Abadi" w:hAnsi="Abadi"/>
          <w:sz w:val="21"/>
          <w:szCs w:val="21"/>
        </w:rPr>
        <w:t xml:space="preserve"> para que no te toque</w:t>
      </w:r>
      <w:r>
        <w:rPr>
          <w:rFonts w:ascii="Abadi" w:hAnsi="Abadi"/>
          <w:sz w:val="21"/>
          <w:szCs w:val="21"/>
        </w:rPr>
        <w:t>»</w:t>
      </w:r>
      <w:r w:rsidRPr="006813AA">
        <w:rPr>
          <w:rFonts w:ascii="Abadi" w:hAnsi="Abadi"/>
          <w:sz w:val="21"/>
          <w:szCs w:val="21"/>
        </w:rPr>
        <w:t xml:space="preserve"> muchas gracias</w:t>
      </w:r>
      <w:r>
        <w:rPr>
          <w:rFonts w:ascii="Abadi" w:hAnsi="Abadi"/>
          <w:sz w:val="21"/>
          <w:szCs w:val="21"/>
        </w:rPr>
        <w:t>.</w:t>
      </w:r>
    </w:p>
    <w:p w14:paraId="3E5BA273" w14:textId="77777777" w:rsidR="003C51DA" w:rsidRDefault="003C51DA" w:rsidP="00D15DAB">
      <w:pPr>
        <w:jc w:val="both"/>
        <w:rPr>
          <w:rFonts w:ascii="Abadi" w:hAnsi="Abadi"/>
          <w:sz w:val="21"/>
          <w:szCs w:val="21"/>
        </w:rPr>
      </w:pPr>
    </w:p>
    <w:p w14:paraId="7791CFE3" w14:textId="77777777" w:rsidR="00D15DAB" w:rsidRDefault="00D15DAB" w:rsidP="00D15DAB">
      <w:pPr>
        <w:ind w:firstLine="708"/>
        <w:jc w:val="both"/>
        <w:rPr>
          <w:rFonts w:ascii="Abadi" w:hAnsi="Abadi"/>
          <w:sz w:val="21"/>
          <w:szCs w:val="21"/>
        </w:rPr>
      </w:pPr>
      <w:r w:rsidRPr="00D40FCF">
        <w:rPr>
          <w:rFonts w:ascii="Abadi" w:hAnsi="Abadi"/>
          <w:b/>
          <w:bCs/>
          <w:sz w:val="21"/>
          <w:szCs w:val="21"/>
        </w:rPr>
        <w:t>- El Presidente.-</w:t>
      </w:r>
      <w:r>
        <w:rPr>
          <w:rFonts w:ascii="Abadi" w:hAnsi="Abadi"/>
          <w:sz w:val="21"/>
          <w:szCs w:val="21"/>
        </w:rPr>
        <w:t xml:space="preserve"> ¡G</w:t>
      </w:r>
      <w:r w:rsidRPr="006813AA">
        <w:rPr>
          <w:rFonts w:ascii="Abadi" w:hAnsi="Abadi"/>
          <w:sz w:val="21"/>
          <w:szCs w:val="21"/>
        </w:rPr>
        <w:t>racias</w:t>
      </w:r>
      <w:r>
        <w:rPr>
          <w:rFonts w:ascii="Abadi" w:hAnsi="Abadi"/>
          <w:sz w:val="21"/>
          <w:szCs w:val="21"/>
        </w:rPr>
        <w:t>!</w:t>
      </w:r>
      <w:r w:rsidRPr="006813AA">
        <w:rPr>
          <w:rFonts w:ascii="Abadi" w:hAnsi="Abadi"/>
          <w:sz w:val="21"/>
          <w:szCs w:val="21"/>
        </w:rPr>
        <w:t xml:space="preserve"> a usted diputada por su didáctica presentación</w:t>
      </w:r>
      <w:r>
        <w:rPr>
          <w:rFonts w:ascii="Abadi" w:hAnsi="Abadi"/>
          <w:sz w:val="21"/>
          <w:szCs w:val="21"/>
        </w:rPr>
        <w:t>.</w:t>
      </w:r>
    </w:p>
    <w:p w14:paraId="2FE12623" w14:textId="3C0D0B6F" w:rsidR="00D15DAB" w:rsidRDefault="00D15DAB" w:rsidP="00D15DAB">
      <w:pPr>
        <w:ind w:firstLine="708"/>
        <w:jc w:val="both"/>
        <w:rPr>
          <w:rFonts w:ascii="Abadi" w:hAnsi="Abadi"/>
          <w:sz w:val="21"/>
          <w:szCs w:val="21"/>
        </w:rPr>
      </w:pPr>
      <w:r>
        <w:rPr>
          <w:rFonts w:ascii="Abadi" w:hAnsi="Abadi"/>
          <w:sz w:val="21"/>
          <w:szCs w:val="21"/>
        </w:rPr>
        <w:t>- A</w:t>
      </w:r>
      <w:r w:rsidRPr="006813AA">
        <w:rPr>
          <w:rFonts w:ascii="Abadi" w:hAnsi="Abadi"/>
          <w:sz w:val="21"/>
          <w:szCs w:val="21"/>
        </w:rPr>
        <w:t xml:space="preserve"> continuación se concede el </w:t>
      </w:r>
      <w:r>
        <w:rPr>
          <w:rFonts w:ascii="Abadi" w:hAnsi="Abadi"/>
          <w:sz w:val="21"/>
          <w:szCs w:val="21"/>
        </w:rPr>
        <w:t>u</w:t>
      </w:r>
      <w:r w:rsidRPr="006813AA">
        <w:rPr>
          <w:rFonts w:ascii="Abadi" w:hAnsi="Abadi"/>
          <w:sz w:val="21"/>
          <w:szCs w:val="21"/>
        </w:rPr>
        <w:t xml:space="preserve">so de la palabra a la diputada Laura </w:t>
      </w:r>
      <w:r>
        <w:rPr>
          <w:rFonts w:ascii="Abadi" w:hAnsi="Abadi"/>
          <w:sz w:val="21"/>
          <w:szCs w:val="21"/>
        </w:rPr>
        <w:t>C</w:t>
      </w:r>
      <w:r w:rsidRPr="006813AA">
        <w:rPr>
          <w:rFonts w:ascii="Abadi" w:hAnsi="Abadi"/>
          <w:sz w:val="21"/>
          <w:szCs w:val="21"/>
        </w:rPr>
        <w:t xml:space="preserve">ristina </w:t>
      </w:r>
      <w:r>
        <w:rPr>
          <w:rFonts w:ascii="Abadi" w:hAnsi="Abadi"/>
          <w:sz w:val="21"/>
          <w:szCs w:val="21"/>
        </w:rPr>
        <w:t>M</w:t>
      </w:r>
      <w:r w:rsidRPr="006813AA">
        <w:rPr>
          <w:rFonts w:ascii="Abadi" w:hAnsi="Abadi"/>
          <w:sz w:val="21"/>
          <w:szCs w:val="21"/>
        </w:rPr>
        <w:t>árquez Alcalá hasta por 10 minutos</w:t>
      </w:r>
      <w:r>
        <w:rPr>
          <w:rFonts w:ascii="Abadi" w:hAnsi="Abadi"/>
          <w:sz w:val="21"/>
          <w:szCs w:val="21"/>
        </w:rPr>
        <w:t>.</w:t>
      </w:r>
    </w:p>
    <w:p w14:paraId="5B7C6D26" w14:textId="77777777" w:rsidR="003C51DA" w:rsidRPr="006813AA" w:rsidRDefault="003C51DA" w:rsidP="00D15DAB">
      <w:pPr>
        <w:ind w:firstLine="708"/>
        <w:jc w:val="both"/>
        <w:rPr>
          <w:rFonts w:ascii="Abadi" w:hAnsi="Abadi"/>
          <w:sz w:val="21"/>
          <w:szCs w:val="21"/>
        </w:rPr>
      </w:pPr>
    </w:p>
    <w:p w14:paraId="6B80CB21" w14:textId="5C73F6CF" w:rsidR="00D15DAB" w:rsidRDefault="00D15DAB" w:rsidP="00D15DAB">
      <w:pPr>
        <w:jc w:val="both"/>
        <w:rPr>
          <w:rFonts w:ascii="Abadi" w:hAnsi="Abadi"/>
          <w:sz w:val="21"/>
          <w:szCs w:val="21"/>
        </w:rPr>
      </w:pPr>
      <w:r>
        <w:rPr>
          <w:rFonts w:ascii="Abadi" w:hAnsi="Abadi"/>
          <w:sz w:val="21"/>
          <w:szCs w:val="21"/>
        </w:rPr>
        <w:t>- A</w:t>
      </w:r>
      <w:r w:rsidRPr="006813AA">
        <w:rPr>
          <w:rFonts w:ascii="Abadi" w:hAnsi="Abadi"/>
          <w:sz w:val="21"/>
          <w:szCs w:val="21"/>
        </w:rPr>
        <w:t>delante diputad</w:t>
      </w:r>
      <w:r>
        <w:rPr>
          <w:rFonts w:ascii="Abadi" w:hAnsi="Abadi"/>
          <w:sz w:val="21"/>
          <w:szCs w:val="21"/>
        </w:rPr>
        <w:t>a.</w:t>
      </w:r>
      <w:r w:rsidRPr="006813AA">
        <w:rPr>
          <w:rFonts w:ascii="Abadi" w:hAnsi="Abadi"/>
          <w:sz w:val="21"/>
          <w:szCs w:val="21"/>
        </w:rPr>
        <w:t xml:space="preserve"> </w:t>
      </w:r>
    </w:p>
    <w:p w14:paraId="67D045A7" w14:textId="77777777" w:rsidR="003C51DA" w:rsidRDefault="003C51DA" w:rsidP="00D15DAB">
      <w:pPr>
        <w:jc w:val="both"/>
        <w:rPr>
          <w:rFonts w:ascii="Abadi" w:hAnsi="Abadi"/>
          <w:sz w:val="21"/>
          <w:szCs w:val="21"/>
        </w:rPr>
      </w:pPr>
    </w:p>
    <w:p w14:paraId="46FD9697" w14:textId="77777777" w:rsidR="00D15DAB" w:rsidRDefault="00D15DAB" w:rsidP="00D15DAB">
      <w:pPr>
        <w:jc w:val="both"/>
        <w:rPr>
          <w:rFonts w:ascii="Abadi" w:hAnsi="Abadi"/>
          <w:b/>
          <w:bCs/>
          <w:sz w:val="21"/>
          <w:szCs w:val="21"/>
        </w:rPr>
      </w:pPr>
      <w:r w:rsidRPr="000578BA">
        <w:rPr>
          <w:rFonts w:ascii="Abadi" w:hAnsi="Abadi"/>
          <w:b/>
          <w:bCs/>
          <w:sz w:val="21"/>
          <w:szCs w:val="21"/>
        </w:rPr>
        <w:t>(Sube a tribuna la diputada Laura Cristina Márquez Alcalá, para hablar en asuntos de interés general, con el tema: «Reflexión»)</w:t>
      </w:r>
    </w:p>
    <w:p w14:paraId="09870463" w14:textId="77777777" w:rsidR="00D15DAB" w:rsidRDefault="00D15DAB" w:rsidP="00D15DAB">
      <w:pPr>
        <w:jc w:val="both"/>
        <w:rPr>
          <w:rFonts w:ascii="Abadi" w:hAnsi="Abadi"/>
          <w:b/>
          <w:bCs/>
          <w:sz w:val="21"/>
          <w:szCs w:val="21"/>
        </w:rPr>
      </w:pPr>
    </w:p>
    <w:p w14:paraId="1BC0022A" w14:textId="20589CA6" w:rsidR="00D15DAB" w:rsidRDefault="00D15DAB" w:rsidP="00D15DAB">
      <w:pPr>
        <w:jc w:val="both"/>
        <w:rPr>
          <w:rFonts w:ascii="Abadi" w:hAnsi="Abadi"/>
          <w:b/>
          <w:bCs/>
          <w:sz w:val="21"/>
          <w:szCs w:val="21"/>
        </w:rPr>
      </w:pPr>
    </w:p>
    <w:p w14:paraId="377504EE" w14:textId="2AEBF695" w:rsidR="003C51DA" w:rsidRDefault="003C51DA" w:rsidP="00D15DAB">
      <w:pPr>
        <w:jc w:val="both"/>
        <w:rPr>
          <w:rFonts w:ascii="Abadi" w:hAnsi="Abadi"/>
          <w:b/>
          <w:bCs/>
          <w:sz w:val="21"/>
          <w:szCs w:val="21"/>
        </w:rPr>
      </w:pPr>
    </w:p>
    <w:p w14:paraId="16BD7AD5" w14:textId="61F1BA69" w:rsidR="003C51DA" w:rsidRDefault="003C51DA" w:rsidP="00D15DAB">
      <w:pPr>
        <w:jc w:val="both"/>
        <w:rPr>
          <w:rFonts w:ascii="Abadi" w:hAnsi="Abadi"/>
          <w:b/>
          <w:bCs/>
          <w:sz w:val="21"/>
          <w:szCs w:val="21"/>
        </w:rPr>
      </w:pPr>
    </w:p>
    <w:p w14:paraId="60C44FAA" w14:textId="5062A437" w:rsidR="003C51DA" w:rsidRDefault="003C51DA" w:rsidP="00D15DAB">
      <w:pPr>
        <w:jc w:val="both"/>
        <w:rPr>
          <w:rFonts w:ascii="Abadi" w:hAnsi="Abadi"/>
          <w:b/>
          <w:bCs/>
          <w:sz w:val="21"/>
          <w:szCs w:val="21"/>
        </w:rPr>
      </w:pPr>
      <w:r>
        <w:rPr>
          <w:noProof/>
        </w:rPr>
        <w:drawing>
          <wp:anchor distT="0" distB="0" distL="114300" distR="114300" simplePos="0" relativeHeight="251715584" behindDoc="1" locked="0" layoutInCell="1" allowOverlap="1" wp14:anchorId="78593E57" wp14:editId="7F0F04B3">
            <wp:simplePos x="0" y="0"/>
            <wp:positionH relativeFrom="column">
              <wp:posOffset>431848</wp:posOffset>
            </wp:positionH>
            <wp:positionV relativeFrom="paragraph">
              <wp:posOffset>68544</wp:posOffset>
            </wp:positionV>
            <wp:extent cx="1555271" cy="805736"/>
            <wp:effectExtent l="247650" t="228600" r="254635" b="775970"/>
            <wp:wrapTight wrapText="bothSides">
              <wp:wrapPolygon edited="0">
                <wp:start x="-3440" y="-6132"/>
                <wp:lineTo x="-3440" y="41905"/>
                <wp:lineTo x="24872" y="41905"/>
                <wp:lineTo x="24872" y="-6132"/>
                <wp:lineTo x="-3440" y="-6132"/>
              </wp:wrapPolygon>
            </wp:wrapTight>
            <wp:docPr id="82" name="Imagen 8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descr="Interfaz de usuario gráfica, Aplicación&#10;&#10;Descripción generada automáticamente"/>
                    <pic:cNvPicPr/>
                  </pic:nvPicPr>
                  <pic:blipFill rotWithShape="1">
                    <a:blip r:embed="rId86" cstate="print">
                      <a:extLst>
                        <a:ext uri="{28A0092B-C50C-407E-A947-70E740481C1C}">
                          <a14:useLocalDpi xmlns:a14="http://schemas.microsoft.com/office/drawing/2010/main" val="0"/>
                        </a:ext>
                      </a:extLst>
                    </a:blip>
                    <a:srcRect b="7855"/>
                    <a:stretch/>
                  </pic:blipFill>
                  <pic:spPr bwMode="auto">
                    <a:xfrm>
                      <a:off x="0" y="0"/>
                      <a:ext cx="1555271" cy="805736"/>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046C0F83" w14:textId="409BD2DB" w:rsidR="003C51DA" w:rsidRDefault="003C51DA" w:rsidP="00D15DAB">
      <w:pPr>
        <w:jc w:val="both"/>
        <w:rPr>
          <w:rFonts w:ascii="Abadi" w:hAnsi="Abadi"/>
          <w:b/>
          <w:bCs/>
          <w:sz w:val="21"/>
          <w:szCs w:val="21"/>
        </w:rPr>
      </w:pPr>
    </w:p>
    <w:p w14:paraId="34F4F33A" w14:textId="3423BF7A" w:rsidR="003C51DA" w:rsidRDefault="003C51DA" w:rsidP="00D15DAB">
      <w:pPr>
        <w:jc w:val="both"/>
        <w:rPr>
          <w:rFonts w:ascii="Abadi" w:hAnsi="Abadi"/>
          <w:b/>
          <w:bCs/>
          <w:sz w:val="21"/>
          <w:szCs w:val="21"/>
        </w:rPr>
      </w:pPr>
    </w:p>
    <w:p w14:paraId="5A758921" w14:textId="7342A18D" w:rsidR="003C51DA" w:rsidRDefault="003C51DA" w:rsidP="00D15DAB">
      <w:pPr>
        <w:jc w:val="both"/>
        <w:rPr>
          <w:rFonts w:ascii="Abadi" w:hAnsi="Abadi"/>
          <w:b/>
          <w:bCs/>
          <w:sz w:val="21"/>
          <w:szCs w:val="21"/>
        </w:rPr>
      </w:pPr>
    </w:p>
    <w:p w14:paraId="5E3C9AAD" w14:textId="6791C070" w:rsidR="003C51DA" w:rsidRDefault="003C51DA" w:rsidP="00D15DAB">
      <w:pPr>
        <w:jc w:val="both"/>
        <w:rPr>
          <w:rFonts w:ascii="Abadi" w:hAnsi="Abadi"/>
          <w:b/>
          <w:bCs/>
          <w:sz w:val="21"/>
          <w:szCs w:val="21"/>
        </w:rPr>
      </w:pPr>
    </w:p>
    <w:p w14:paraId="5D9071F6" w14:textId="0970E315" w:rsidR="003C51DA" w:rsidRDefault="003C51DA" w:rsidP="00D15DAB">
      <w:pPr>
        <w:jc w:val="both"/>
        <w:rPr>
          <w:rFonts w:ascii="Abadi" w:hAnsi="Abadi"/>
          <w:b/>
          <w:bCs/>
          <w:sz w:val="21"/>
          <w:szCs w:val="21"/>
        </w:rPr>
      </w:pPr>
    </w:p>
    <w:p w14:paraId="4AC441A5" w14:textId="66172670" w:rsidR="003C51DA" w:rsidRDefault="003C51DA" w:rsidP="00D15DAB">
      <w:pPr>
        <w:jc w:val="both"/>
        <w:rPr>
          <w:rFonts w:ascii="Abadi" w:hAnsi="Abadi"/>
          <w:b/>
          <w:bCs/>
          <w:sz w:val="21"/>
          <w:szCs w:val="21"/>
        </w:rPr>
      </w:pPr>
    </w:p>
    <w:p w14:paraId="212A8C2D" w14:textId="78506CFE" w:rsidR="003C51DA" w:rsidRDefault="003C51DA" w:rsidP="00D15DAB">
      <w:pPr>
        <w:jc w:val="both"/>
        <w:rPr>
          <w:rFonts w:ascii="Abadi" w:hAnsi="Abadi"/>
          <w:b/>
          <w:bCs/>
          <w:sz w:val="21"/>
          <w:szCs w:val="21"/>
        </w:rPr>
      </w:pPr>
    </w:p>
    <w:p w14:paraId="40723386" w14:textId="782F8134" w:rsidR="003C51DA" w:rsidRDefault="003C51DA" w:rsidP="00D15DAB">
      <w:pPr>
        <w:jc w:val="both"/>
        <w:rPr>
          <w:rFonts w:ascii="Abadi" w:hAnsi="Abadi"/>
          <w:b/>
          <w:bCs/>
          <w:sz w:val="21"/>
          <w:szCs w:val="21"/>
        </w:rPr>
      </w:pPr>
    </w:p>
    <w:p w14:paraId="517CACD0" w14:textId="36FE8A65" w:rsidR="003C51DA" w:rsidRDefault="003C51DA" w:rsidP="00D15DAB">
      <w:pPr>
        <w:jc w:val="both"/>
        <w:rPr>
          <w:rFonts w:ascii="Abadi" w:hAnsi="Abadi"/>
          <w:b/>
          <w:bCs/>
          <w:sz w:val="21"/>
          <w:szCs w:val="21"/>
        </w:rPr>
      </w:pPr>
    </w:p>
    <w:p w14:paraId="5E100E92" w14:textId="290BD4A0" w:rsidR="003C51DA" w:rsidRDefault="003C51DA" w:rsidP="00D15DAB">
      <w:pPr>
        <w:jc w:val="both"/>
        <w:rPr>
          <w:rFonts w:ascii="Abadi" w:hAnsi="Abadi"/>
          <w:b/>
          <w:bCs/>
          <w:sz w:val="21"/>
          <w:szCs w:val="21"/>
        </w:rPr>
      </w:pPr>
    </w:p>
    <w:p w14:paraId="45E8D2F2" w14:textId="77777777" w:rsidR="003C51DA" w:rsidRDefault="003C51DA" w:rsidP="00D15DAB">
      <w:pPr>
        <w:jc w:val="both"/>
        <w:rPr>
          <w:rFonts w:ascii="Abadi" w:hAnsi="Abadi"/>
          <w:b/>
          <w:bCs/>
          <w:sz w:val="21"/>
          <w:szCs w:val="21"/>
        </w:rPr>
      </w:pPr>
    </w:p>
    <w:p w14:paraId="1A944B46" w14:textId="487E4ABF" w:rsidR="003C51DA" w:rsidRPr="000578BA" w:rsidRDefault="003C51DA" w:rsidP="00D15DAB">
      <w:pPr>
        <w:jc w:val="both"/>
        <w:rPr>
          <w:rFonts w:ascii="Abadi" w:hAnsi="Abadi"/>
          <w:b/>
          <w:bCs/>
          <w:sz w:val="21"/>
          <w:szCs w:val="21"/>
        </w:rPr>
      </w:pPr>
    </w:p>
    <w:p w14:paraId="301FC194" w14:textId="0FF15912" w:rsidR="00D15DAB" w:rsidRDefault="00D15DAB" w:rsidP="00D15DAB">
      <w:pPr>
        <w:jc w:val="both"/>
        <w:rPr>
          <w:rFonts w:ascii="Abadi" w:hAnsi="Abadi"/>
          <w:sz w:val="21"/>
          <w:szCs w:val="21"/>
        </w:rPr>
      </w:pPr>
      <w:r>
        <w:rPr>
          <w:rFonts w:ascii="Abadi" w:hAnsi="Abadi"/>
          <w:sz w:val="21"/>
          <w:szCs w:val="21"/>
        </w:rPr>
        <w:t>- C</w:t>
      </w:r>
      <w:r w:rsidRPr="006813AA">
        <w:rPr>
          <w:rFonts w:ascii="Abadi" w:hAnsi="Abadi"/>
          <w:sz w:val="21"/>
          <w:szCs w:val="21"/>
        </w:rPr>
        <w:t>on el permiso del Presidente un gusto saludarles a todas y a todos y por supuesto plataformas y medios digitales y a los medios que nos acompañan para hacer llegar nuestro trabajo a la casa de todos los ciudadanos</w:t>
      </w:r>
      <w:r>
        <w:rPr>
          <w:rFonts w:ascii="Abadi" w:hAnsi="Abadi"/>
          <w:sz w:val="21"/>
          <w:szCs w:val="21"/>
        </w:rPr>
        <w:t>.</w:t>
      </w:r>
    </w:p>
    <w:p w14:paraId="38F2C222" w14:textId="540E6DD7" w:rsidR="003C51DA" w:rsidRDefault="003C51DA" w:rsidP="00D15DAB">
      <w:pPr>
        <w:jc w:val="both"/>
        <w:rPr>
          <w:rFonts w:ascii="Abadi" w:hAnsi="Abadi"/>
          <w:sz w:val="21"/>
          <w:szCs w:val="21"/>
        </w:rPr>
      </w:pPr>
    </w:p>
    <w:p w14:paraId="4898A2A1" w14:textId="77777777" w:rsidR="003C51DA" w:rsidRDefault="003C51DA" w:rsidP="00D15DAB">
      <w:pPr>
        <w:jc w:val="both"/>
        <w:rPr>
          <w:rFonts w:ascii="Abadi" w:hAnsi="Abadi"/>
          <w:sz w:val="21"/>
          <w:szCs w:val="21"/>
        </w:rPr>
      </w:pPr>
    </w:p>
    <w:p w14:paraId="4D5206B5" w14:textId="22A3C5F1" w:rsidR="00D15DAB" w:rsidRDefault="00D15DAB" w:rsidP="00D15DAB">
      <w:pPr>
        <w:jc w:val="both"/>
        <w:rPr>
          <w:rFonts w:ascii="Abadi" w:hAnsi="Abadi"/>
          <w:sz w:val="21"/>
          <w:szCs w:val="21"/>
        </w:rPr>
      </w:pPr>
      <w:r>
        <w:rPr>
          <w:rFonts w:ascii="Abadi" w:hAnsi="Abadi"/>
          <w:sz w:val="21"/>
          <w:szCs w:val="21"/>
        </w:rPr>
        <w:t>- La</w:t>
      </w:r>
      <w:r w:rsidRPr="006813AA">
        <w:rPr>
          <w:rFonts w:ascii="Abadi" w:hAnsi="Abadi"/>
          <w:sz w:val="21"/>
          <w:szCs w:val="21"/>
        </w:rPr>
        <w:t xml:space="preserve"> democracia de nuestro país no fue ni casualidad</w:t>
      </w:r>
      <w:r>
        <w:rPr>
          <w:rFonts w:ascii="Abadi" w:hAnsi="Abadi"/>
          <w:sz w:val="21"/>
          <w:szCs w:val="21"/>
        </w:rPr>
        <w:t>, ni</w:t>
      </w:r>
      <w:r w:rsidRPr="006813AA">
        <w:rPr>
          <w:rFonts w:ascii="Abadi" w:hAnsi="Abadi"/>
          <w:sz w:val="21"/>
          <w:szCs w:val="21"/>
        </w:rPr>
        <w:t xml:space="preserve"> regalo</w:t>
      </w:r>
      <w:r>
        <w:rPr>
          <w:rFonts w:ascii="Abadi" w:hAnsi="Abadi"/>
          <w:sz w:val="21"/>
          <w:szCs w:val="21"/>
        </w:rPr>
        <w:t>,</w:t>
      </w:r>
      <w:r w:rsidRPr="006813AA">
        <w:rPr>
          <w:rFonts w:ascii="Abadi" w:hAnsi="Abadi"/>
          <w:sz w:val="21"/>
          <w:szCs w:val="21"/>
        </w:rPr>
        <w:t xml:space="preserve"> fue una conquista que se construyó literalmente con la sangre y con la vida de </w:t>
      </w:r>
      <w:r>
        <w:rPr>
          <w:rFonts w:ascii="Abadi" w:hAnsi="Abadi"/>
          <w:sz w:val="21"/>
          <w:szCs w:val="21"/>
        </w:rPr>
        <w:t>muchísimas y muchísimos Mexicanas.</w:t>
      </w:r>
    </w:p>
    <w:p w14:paraId="7FED8504" w14:textId="77777777" w:rsidR="003C51DA" w:rsidRDefault="003C51DA" w:rsidP="00D15DAB">
      <w:pPr>
        <w:jc w:val="both"/>
        <w:rPr>
          <w:rFonts w:ascii="Abadi" w:hAnsi="Abadi"/>
          <w:sz w:val="21"/>
          <w:szCs w:val="21"/>
        </w:rPr>
      </w:pPr>
    </w:p>
    <w:p w14:paraId="5ED83394" w14:textId="5614DBD2" w:rsidR="00D15DAB" w:rsidRDefault="00D15DAB" w:rsidP="00D15DAB">
      <w:pPr>
        <w:jc w:val="both"/>
        <w:rPr>
          <w:rFonts w:ascii="Abadi" w:hAnsi="Abadi"/>
          <w:sz w:val="21"/>
          <w:szCs w:val="21"/>
        </w:rPr>
      </w:pPr>
      <w:r>
        <w:rPr>
          <w:rFonts w:ascii="Abadi" w:hAnsi="Abadi"/>
          <w:sz w:val="21"/>
          <w:szCs w:val="21"/>
        </w:rPr>
        <w:t xml:space="preserve">- Heroínas y héroes valientes </w:t>
      </w:r>
      <w:r w:rsidRPr="006813AA">
        <w:rPr>
          <w:rFonts w:ascii="Abadi" w:hAnsi="Abadi"/>
          <w:sz w:val="21"/>
          <w:szCs w:val="21"/>
        </w:rPr>
        <w:t xml:space="preserve"> y héroes valientes como los mártires del 02</w:t>
      </w:r>
      <w:r>
        <w:rPr>
          <w:rFonts w:ascii="Abadi" w:hAnsi="Abadi"/>
          <w:sz w:val="21"/>
          <w:szCs w:val="21"/>
        </w:rPr>
        <w:t xml:space="preserve"> de enero de 1946, </w:t>
      </w:r>
      <w:r w:rsidRPr="006813AA">
        <w:rPr>
          <w:rFonts w:ascii="Abadi" w:hAnsi="Abadi"/>
          <w:sz w:val="21"/>
          <w:szCs w:val="21"/>
        </w:rPr>
        <w:t xml:space="preserve"> mujeres y hombres que se atrevieron a defender la voluntad popular expresada por medio del voto y que alzaron la voz incluso ante la más cruenta represión</w:t>
      </w:r>
      <w:r>
        <w:rPr>
          <w:rFonts w:ascii="Abadi" w:hAnsi="Abadi"/>
          <w:sz w:val="21"/>
          <w:szCs w:val="21"/>
        </w:rPr>
        <w:t>;</w:t>
      </w:r>
      <w:r w:rsidRPr="006813AA">
        <w:rPr>
          <w:rFonts w:ascii="Abadi" w:hAnsi="Abadi"/>
          <w:sz w:val="21"/>
          <w:szCs w:val="21"/>
        </w:rPr>
        <w:t xml:space="preserve"> a ellos a ellas les recordamos con enorme gratitud todos los leoneses porque nuestra democracia y libertad es fruto directo de su lucha y de la fortaleza de los millones de mexicanas y mexicanos que perseveraron frente a las balas frente al fraude al hostigamiento</w:t>
      </w:r>
      <w:r>
        <w:rPr>
          <w:rFonts w:ascii="Abadi" w:hAnsi="Abadi"/>
          <w:sz w:val="21"/>
          <w:szCs w:val="21"/>
        </w:rPr>
        <w:t>,</w:t>
      </w:r>
      <w:r w:rsidRPr="006813AA">
        <w:rPr>
          <w:rFonts w:ascii="Abadi" w:hAnsi="Abadi"/>
          <w:sz w:val="21"/>
          <w:szCs w:val="21"/>
        </w:rPr>
        <w:t xml:space="preserve"> la violencia y la desesperanza</w:t>
      </w:r>
      <w:r>
        <w:rPr>
          <w:rFonts w:ascii="Abadi" w:hAnsi="Abadi"/>
          <w:sz w:val="21"/>
          <w:szCs w:val="21"/>
        </w:rPr>
        <w:t>,</w:t>
      </w:r>
      <w:r w:rsidRPr="006813AA">
        <w:rPr>
          <w:rFonts w:ascii="Abadi" w:hAnsi="Abadi"/>
          <w:sz w:val="21"/>
          <w:szCs w:val="21"/>
        </w:rPr>
        <w:t xml:space="preserve"> contra todo pronóstico y a lo largo de muchas generaciones levantaron una fuerza ciudadana que eventualmente venció a las viejas instituciones y a las viejas mañas</w:t>
      </w:r>
      <w:r>
        <w:rPr>
          <w:rFonts w:ascii="Abadi" w:hAnsi="Abadi"/>
          <w:sz w:val="21"/>
          <w:szCs w:val="21"/>
        </w:rPr>
        <w:t>,</w:t>
      </w:r>
      <w:r w:rsidRPr="006813AA">
        <w:rPr>
          <w:rFonts w:ascii="Abadi" w:hAnsi="Abadi"/>
          <w:sz w:val="21"/>
          <w:szCs w:val="21"/>
        </w:rPr>
        <w:t xml:space="preserve"> obligándolas a ceder a modernizarse a respetar en los hechos la convicción democrática que desde el siglo </w:t>
      </w:r>
      <w:r>
        <w:rPr>
          <w:rFonts w:ascii="Abadi" w:hAnsi="Abadi"/>
          <w:sz w:val="21"/>
          <w:szCs w:val="21"/>
        </w:rPr>
        <w:t xml:space="preserve">IX </w:t>
      </w:r>
      <w:r w:rsidRPr="006813AA">
        <w:rPr>
          <w:rFonts w:ascii="Abadi" w:hAnsi="Abadi"/>
          <w:sz w:val="21"/>
          <w:szCs w:val="21"/>
        </w:rPr>
        <w:t xml:space="preserve">había proclamado el México </w:t>
      </w:r>
      <w:r>
        <w:rPr>
          <w:rFonts w:ascii="Abadi" w:hAnsi="Abadi"/>
          <w:sz w:val="21"/>
          <w:szCs w:val="21"/>
        </w:rPr>
        <w:t xml:space="preserve">independiente, </w:t>
      </w:r>
      <w:r w:rsidRPr="006813AA">
        <w:rPr>
          <w:rFonts w:ascii="Abadi" w:hAnsi="Abadi"/>
          <w:sz w:val="21"/>
          <w:szCs w:val="21"/>
        </w:rPr>
        <w:t xml:space="preserve">uno de esos logros fundamentales es lo que hoy conocemos como el </w:t>
      </w:r>
      <w:r>
        <w:rPr>
          <w:rFonts w:ascii="Abadi" w:hAnsi="Abadi"/>
          <w:sz w:val="21"/>
          <w:szCs w:val="21"/>
        </w:rPr>
        <w:t>I</w:t>
      </w:r>
      <w:r w:rsidRPr="006813AA">
        <w:rPr>
          <w:rFonts w:ascii="Abadi" w:hAnsi="Abadi"/>
          <w:sz w:val="21"/>
          <w:szCs w:val="21"/>
        </w:rPr>
        <w:t xml:space="preserve">nstituto </w:t>
      </w:r>
      <w:r>
        <w:rPr>
          <w:rFonts w:ascii="Abadi" w:hAnsi="Abadi"/>
          <w:sz w:val="21"/>
          <w:szCs w:val="21"/>
        </w:rPr>
        <w:t>N</w:t>
      </w:r>
      <w:r w:rsidRPr="006813AA">
        <w:rPr>
          <w:rFonts w:ascii="Abadi" w:hAnsi="Abadi"/>
          <w:sz w:val="21"/>
          <w:szCs w:val="21"/>
        </w:rPr>
        <w:t xml:space="preserve">acional </w:t>
      </w:r>
      <w:r>
        <w:rPr>
          <w:rFonts w:ascii="Abadi" w:hAnsi="Abadi"/>
          <w:sz w:val="21"/>
          <w:szCs w:val="21"/>
        </w:rPr>
        <w:t>E</w:t>
      </w:r>
      <w:r w:rsidRPr="006813AA">
        <w:rPr>
          <w:rFonts w:ascii="Abadi" w:hAnsi="Abadi"/>
          <w:sz w:val="21"/>
          <w:szCs w:val="21"/>
        </w:rPr>
        <w:t>lectoral y que hace 32 años</w:t>
      </w:r>
      <w:r>
        <w:rPr>
          <w:rFonts w:ascii="Abadi" w:hAnsi="Abadi"/>
          <w:sz w:val="21"/>
          <w:szCs w:val="21"/>
        </w:rPr>
        <w:t>,</w:t>
      </w:r>
      <w:r w:rsidRPr="006813AA">
        <w:rPr>
          <w:rFonts w:ascii="Abadi" w:hAnsi="Abadi"/>
          <w:sz w:val="21"/>
          <w:szCs w:val="21"/>
        </w:rPr>
        <w:t xml:space="preserve"> vio la luz como el </w:t>
      </w:r>
      <w:r>
        <w:rPr>
          <w:rFonts w:ascii="Abadi" w:hAnsi="Abadi"/>
          <w:sz w:val="21"/>
          <w:szCs w:val="21"/>
        </w:rPr>
        <w:t>I</w:t>
      </w:r>
      <w:r w:rsidRPr="006813AA">
        <w:rPr>
          <w:rFonts w:ascii="Abadi" w:hAnsi="Abadi"/>
          <w:sz w:val="21"/>
          <w:szCs w:val="21"/>
        </w:rPr>
        <w:t xml:space="preserve">nstituto </w:t>
      </w:r>
      <w:r>
        <w:rPr>
          <w:rFonts w:ascii="Abadi" w:hAnsi="Abadi"/>
          <w:sz w:val="21"/>
          <w:szCs w:val="21"/>
        </w:rPr>
        <w:t>F</w:t>
      </w:r>
      <w:r w:rsidRPr="006813AA">
        <w:rPr>
          <w:rFonts w:ascii="Abadi" w:hAnsi="Abadi"/>
          <w:sz w:val="21"/>
          <w:szCs w:val="21"/>
        </w:rPr>
        <w:t xml:space="preserve">ederal </w:t>
      </w:r>
      <w:r>
        <w:rPr>
          <w:rFonts w:ascii="Abadi" w:hAnsi="Abadi"/>
          <w:sz w:val="21"/>
          <w:szCs w:val="21"/>
        </w:rPr>
        <w:t>E</w:t>
      </w:r>
      <w:r w:rsidRPr="006813AA">
        <w:rPr>
          <w:rFonts w:ascii="Abadi" w:hAnsi="Abadi"/>
          <w:sz w:val="21"/>
          <w:szCs w:val="21"/>
        </w:rPr>
        <w:t>lectoral</w:t>
      </w:r>
      <w:r>
        <w:rPr>
          <w:rFonts w:ascii="Abadi" w:hAnsi="Abadi"/>
          <w:sz w:val="21"/>
          <w:szCs w:val="21"/>
        </w:rPr>
        <w:t>.</w:t>
      </w:r>
    </w:p>
    <w:p w14:paraId="7941DA62" w14:textId="77777777" w:rsidR="003C51DA" w:rsidRDefault="003C51DA" w:rsidP="00D15DAB">
      <w:pPr>
        <w:jc w:val="both"/>
        <w:rPr>
          <w:rFonts w:ascii="Abadi" w:hAnsi="Abadi"/>
          <w:sz w:val="21"/>
          <w:szCs w:val="21"/>
        </w:rPr>
      </w:pPr>
    </w:p>
    <w:p w14:paraId="273FAF33" w14:textId="6E63CC4C" w:rsidR="00D15DAB" w:rsidRDefault="00D15DAB" w:rsidP="00D15DAB">
      <w:pPr>
        <w:jc w:val="both"/>
        <w:rPr>
          <w:rFonts w:ascii="Abadi" w:hAnsi="Abadi"/>
          <w:sz w:val="21"/>
          <w:szCs w:val="21"/>
        </w:rPr>
      </w:pPr>
      <w:r>
        <w:rPr>
          <w:rFonts w:ascii="Abadi" w:hAnsi="Abadi"/>
          <w:sz w:val="21"/>
          <w:szCs w:val="21"/>
        </w:rPr>
        <w:t>- E</w:t>
      </w:r>
      <w:r w:rsidRPr="006813AA">
        <w:rPr>
          <w:rFonts w:ascii="Abadi" w:hAnsi="Abadi"/>
          <w:sz w:val="21"/>
          <w:szCs w:val="21"/>
        </w:rPr>
        <w:t>l 11</w:t>
      </w:r>
      <w:r>
        <w:rPr>
          <w:rFonts w:ascii="Abadi" w:hAnsi="Abadi"/>
          <w:sz w:val="21"/>
          <w:szCs w:val="21"/>
        </w:rPr>
        <w:t xml:space="preserve"> de octubre de 1990,</w:t>
      </w:r>
      <w:r w:rsidRPr="006813AA">
        <w:rPr>
          <w:rFonts w:ascii="Abadi" w:hAnsi="Abadi"/>
          <w:sz w:val="21"/>
          <w:szCs w:val="21"/>
        </w:rPr>
        <w:t xml:space="preserve"> se erige como respuesta del régimen a la intensa movilización ciudadana que durante décadas había avanzado y había aprendido</w:t>
      </w:r>
      <w:r>
        <w:rPr>
          <w:rFonts w:ascii="Abadi" w:hAnsi="Abadi"/>
          <w:sz w:val="21"/>
          <w:szCs w:val="21"/>
        </w:rPr>
        <w:t>,</w:t>
      </w:r>
      <w:r w:rsidRPr="006813AA">
        <w:rPr>
          <w:rFonts w:ascii="Abadi" w:hAnsi="Abadi"/>
          <w:sz w:val="21"/>
          <w:szCs w:val="21"/>
        </w:rPr>
        <w:t xml:space="preserve"> rescatando uno a uno los espacios de libertad que durante la mayor parte de nuestra historia habían sido letra muerta</w:t>
      </w:r>
      <w:r>
        <w:rPr>
          <w:rFonts w:ascii="Abadi" w:hAnsi="Abadi"/>
          <w:sz w:val="21"/>
          <w:szCs w:val="21"/>
        </w:rPr>
        <w:t>,</w:t>
      </w:r>
      <w:r w:rsidRPr="006813AA">
        <w:rPr>
          <w:rFonts w:ascii="Abadi" w:hAnsi="Abadi"/>
          <w:sz w:val="21"/>
          <w:szCs w:val="21"/>
        </w:rPr>
        <w:t xml:space="preserve"> el surgimiento del </w:t>
      </w:r>
      <w:r>
        <w:rPr>
          <w:rFonts w:ascii="Abadi" w:hAnsi="Abadi"/>
          <w:sz w:val="21"/>
          <w:szCs w:val="21"/>
        </w:rPr>
        <w:t>IFE</w:t>
      </w:r>
      <w:r w:rsidRPr="006813AA">
        <w:rPr>
          <w:rFonts w:ascii="Abadi" w:hAnsi="Abadi"/>
          <w:sz w:val="21"/>
          <w:szCs w:val="21"/>
        </w:rPr>
        <w:t xml:space="preserve"> marcó el inicio de la última gran travesía de nuestra patria en esta ruta por la democracia que dio su gran fruto con la reforma de 1996 que le quitó la máxima autoridad electoral al gobierno en turno y se la entregó a las y los ciudadanos a través de un </w:t>
      </w:r>
      <w:r>
        <w:rPr>
          <w:rFonts w:ascii="Abadi" w:hAnsi="Abadi"/>
          <w:sz w:val="21"/>
          <w:szCs w:val="21"/>
        </w:rPr>
        <w:t>C</w:t>
      </w:r>
      <w:r w:rsidRPr="006813AA">
        <w:rPr>
          <w:rFonts w:ascii="Abadi" w:hAnsi="Abadi"/>
          <w:sz w:val="21"/>
          <w:szCs w:val="21"/>
        </w:rPr>
        <w:t xml:space="preserve">onsejo </w:t>
      </w:r>
      <w:r>
        <w:rPr>
          <w:rFonts w:ascii="Abadi" w:hAnsi="Abadi"/>
          <w:sz w:val="21"/>
          <w:szCs w:val="21"/>
        </w:rPr>
        <w:t>G</w:t>
      </w:r>
      <w:r w:rsidRPr="006813AA">
        <w:rPr>
          <w:rFonts w:ascii="Abadi" w:hAnsi="Abadi"/>
          <w:sz w:val="21"/>
          <w:szCs w:val="21"/>
        </w:rPr>
        <w:t xml:space="preserve">eneral que el gobierno ya no dirige y en donde los partidos conservaron la voz con este </w:t>
      </w:r>
      <w:r>
        <w:rPr>
          <w:rFonts w:ascii="Abadi" w:hAnsi="Abadi"/>
          <w:sz w:val="21"/>
          <w:szCs w:val="21"/>
        </w:rPr>
        <w:t>IFE</w:t>
      </w:r>
      <w:r w:rsidRPr="006813AA">
        <w:rPr>
          <w:rFonts w:ascii="Abadi" w:hAnsi="Abadi"/>
          <w:sz w:val="21"/>
          <w:szCs w:val="21"/>
        </w:rPr>
        <w:t xml:space="preserve"> ciudadano las y los mexicanos alcanzamos la arte alternancia en el poder y experimentamos por primera vez la democracia que hoy se ha convertido en parte fundamental de nuestro país</w:t>
      </w:r>
      <w:r>
        <w:rPr>
          <w:rFonts w:ascii="Abadi" w:hAnsi="Abadi"/>
          <w:sz w:val="21"/>
          <w:szCs w:val="21"/>
        </w:rPr>
        <w:t>.</w:t>
      </w:r>
    </w:p>
    <w:p w14:paraId="05A172A1" w14:textId="77777777" w:rsidR="003C51DA" w:rsidRDefault="003C51DA" w:rsidP="00D15DAB">
      <w:pPr>
        <w:jc w:val="both"/>
        <w:rPr>
          <w:rFonts w:ascii="Abadi" w:hAnsi="Abadi"/>
          <w:sz w:val="21"/>
          <w:szCs w:val="21"/>
        </w:rPr>
      </w:pPr>
    </w:p>
    <w:p w14:paraId="513109B9" w14:textId="1DB73713" w:rsidR="00D15DAB" w:rsidRDefault="00D15DAB" w:rsidP="00D15DAB">
      <w:pPr>
        <w:jc w:val="both"/>
        <w:rPr>
          <w:rFonts w:ascii="Abadi" w:hAnsi="Abadi"/>
          <w:sz w:val="21"/>
          <w:szCs w:val="21"/>
        </w:rPr>
      </w:pPr>
      <w:r>
        <w:rPr>
          <w:rFonts w:ascii="Abadi" w:hAnsi="Abadi"/>
          <w:sz w:val="21"/>
          <w:szCs w:val="21"/>
        </w:rPr>
        <w:t xml:space="preserve">- </w:t>
      </w:r>
      <w:r w:rsidRPr="006813AA">
        <w:rPr>
          <w:rFonts w:ascii="Abadi" w:hAnsi="Abadi"/>
          <w:sz w:val="21"/>
          <w:szCs w:val="21"/>
        </w:rPr>
        <w:t xml:space="preserve">Hoy 32 años después de la formación de lo que hoy es el </w:t>
      </w:r>
      <w:r>
        <w:rPr>
          <w:rFonts w:ascii="Abadi" w:hAnsi="Abadi"/>
          <w:sz w:val="21"/>
          <w:szCs w:val="21"/>
        </w:rPr>
        <w:t>INE</w:t>
      </w:r>
      <w:r w:rsidRPr="006813AA">
        <w:rPr>
          <w:rFonts w:ascii="Abadi" w:hAnsi="Abadi"/>
          <w:sz w:val="21"/>
          <w:szCs w:val="21"/>
        </w:rPr>
        <w:t xml:space="preserve"> los mexicanos contamos con una democracia joven pero funcional donde los votos son libres y se cuentan con honestidad y donde las elecciones son un sólido ejercicio de participación que durante estas </w:t>
      </w:r>
      <w:r>
        <w:rPr>
          <w:rFonts w:ascii="Abadi" w:hAnsi="Abadi"/>
          <w:sz w:val="21"/>
          <w:szCs w:val="21"/>
        </w:rPr>
        <w:t>tres</w:t>
      </w:r>
      <w:r w:rsidRPr="006813AA">
        <w:rPr>
          <w:rFonts w:ascii="Abadi" w:hAnsi="Abadi"/>
          <w:sz w:val="21"/>
          <w:szCs w:val="21"/>
        </w:rPr>
        <w:t xml:space="preserve"> décadas ha sumado la participación generosa y valerosa de millones de ciudadanos recibiendo a los votantes</w:t>
      </w:r>
      <w:r>
        <w:rPr>
          <w:rFonts w:ascii="Abadi" w:hAnsi="Abadi"/>
          <w:sz w:val="21"/>
          <w:szCs w:val="21"/>
        </w:rPr>
        <w:t>,</w:t>
      </w:r>
      <w:r w:rsidRPr="006813AA">
        <w:rPr>
          <w:rFonts w:ascii="Abadi" w:hAnsi="Abadi"/>
          <w:sz w:val="21"/>
          <w:szCs w:val="21"/>
        </w:rPr>
        <w:t xml:space="preserve"> montando y cuidando las casillas</w:t>
      </w:r>
      <w:r>
        <w:rPr>
          <w:rFonts w:ascii="Abadi" w:hAnsi="Abadi"/>
          <w:sz w:val="21"/>
          <w:szCs w:val="21"/>
        </w:rPr>
        <w:t>,</w:t>
      </w:r>
      <w:r w:rsidRPr="006813AA">
        <w:rPr>
          <w:rFonts w:ascii="Abadi" w:hAnsi="Abadi"/>
          <w:sz w:val="21"/>
          <w:szCs w:val="21"/>
        </w:rPr>
        <w:t xml:space="preserve"> contando los votos y garantizando que la voluntad de sus colonias y sus comunidades sea respetada</w:t>
      </w:r>
      <w:r>
        <w:rPr>
          <w:rFonts w:ascii="Abadi" w:hAnsi="Abadi"/>
          <w:sz w:val="21"/>
          <w:szCs w:val="21"/>
        </w:rPr>
        <w:t>.</w:t>
      </w:r>
    </w:p>
    <w:p w14:paraId="18C88A4E" w14:textId="77777777" w:rsidR="003C51DA" w:rsidRDefault="003C51DA" w:rsidP="00D15DAB">
      <w:pPr>
        <w:jc w:val="both"/>
        <w:rPr>
          <w:rFonts w:ascii="Abadi" w:hAnsi="Abadi"/>
          <w:sz w:val="21"/>
          <w:szCs w:val="21"/>
        </w:rPr>
      </w:pPr>
    </w:p>
    <w:p w14:paraId="614EE203" w14:textId="1D6EE068" w:rsidR="00D15DAB" w:rsidRDefault="00D15DAB" w:rsidP="00D15DAB">
      <w:pPr>
        <w:jc w:val="both"/>
        <w:rPr>
          <w:rFonts w:ascii="Abadi" w:hAnsi="Abadi"/>
          <w:sz w:val="21"/>
          <w:szCs w:val="21"/>
        </w:rPr>
      </w:pPr>
      <w:r>
        <w:rPr>
          <w:rFonts w:ascii="Abadi" w:hAnsi="Abadi"/>
          <w:sz w:val="21"/>
          <w:szCs w:val="21"/>
        </w:rPr>
        <w:t>- P</w:t>
      </w:r>
      <w:r w:rsidRPr="006813AA">
        <w:rPr>
          <w:rFonts w:ascii="Abadi" w:hAnsi="Abadi"/>
          <w:sz w:val="21"/>
          <w:szCs w:val="21"/>
        </w:rPr>
        <w:t>or todo ello sin lugar a dudas nuestra democracia es un orgullo que compartimos y hoy es también una conquista que defender</w:t>
      </w:r>
      <w:r>
        <w:rPr>
          <w:rFonts w:ascii="Abadi" w:hAnsi="Abadi"/>
          <w:sz w:val="21"/>
          <w:szCs w:val="21"/>
        </w:rPr>
        <w:t>,</w:t>
      </w:r>
      <w:r w:rsidRPr="006813AA">
        <w:rPr>
          <w:rFonts w:ascii="Abadi" w:hAnsi="Abadi"/>
          <w:sz w:val="21"/>
          <w:szCs w:val="21"/>
        </w:rPr>
        <w:t xml:space="preserve"> sí</w:t>
      </w:r>
      <w:r>
        <w:rPr>
          <w:rFonts w:ascii="Abadi" w:hAnsi="Abadi"/>
          <w:sz w:val="21"/>
          <w:szCs w:val="21"/>
        </w:rPr>
        <w:t>,</w:t>
      </w:r>
      <w:r w:rsidRPr="006813AA">
        <w:rPr>
          <w:rFonts w:ascii="Abadi" w:hAnsi="Abadi"/>
          <w:sz w:val="21"/>
          <w:szCs w:val="21"/>
        </w:rPr>
        <w:t xml:space="preserve"> sí</w:t>
      </w:r>
      <w:r>
        <w:rPr>
          <w:rFonts w:ascii="Abadi" w:hAnsi="Abadi"/>
          <w:sz w:val="21"/>
          <w:szCs w:val="21"/>
        </w:rPr>
        <w:t>,</w:t>
      </w:r>
      <w:r w:rsidRPr="006813AA">
        <w:rPr>
          <w:rFonts w:ascii="Abadi" w:hAnsi="Abadi"/>
          <w:sz w:val="21"/>
          <w:szCs w:val="21"/>
        </w:rPr>
        <w:t xml:space="preserve"> sí</w:t>
      </w:r>
      <w:r>
        <w:rPr>
          <w:rFonts w:ascii="Abadi" w:hAnsi="Abadi"/>
          <w:sz w:val="21"/>
          <w:szCs w:val="21"/>
        </w:rPr>
        <w:t>,</w:t>
      </w:r>
      <w:r w:rsidRPr="006813AA">
        <w:rPr>
          <w:rFonts w:ascii="Abadi" w:hAnsi="Abadi"/>
          <w:sz w:val="21"/>
          <w:szCs w:val="21"/>
        </w:rPr>
        <w:t xml:space="preserve"> as</w:t>
      </w:r>
      <w:r>
        <w:rPr>
          <w:rFonts w:ascii="Abadi" w:hAnsi="Abadi"/>
          <w:sz w:val="21"/>
          <w:szCs w:val="21"/>
        </w:rPr>
        <w:t>í</w:t>
      </w:r>
      <w:r w:rsidRPr="006813AA">
        <w:rPr>
          <w:rFonts w:ascii="Abadi" w:hAnsi="Abadi"/>
          <w:sz w:val="21"/>
          <w:szCs w:val="21"/>
        </w:rPr>
        <w:t xml:space="preserve"> de claro porque las iniciativas presentadas por el nuevo régimen bajo el disfraz de una reforma buscan destruir y corromper a </w:t>
      </w:r>
      <w:r>
        <w:rPr>
          <w:rFonts w:ascii="Abadi" w:hAnsi="Abadi"/>
          <w:sz w:val="21"/>
          <w:szCs w:val="21"/>
        </w:rPr>
        <w:t>INE</w:t>
      </w:r>
      <w:r w:rsidRPr="006813AA">
        <w:rPr>
          <w:rFonts w:ascii="Abadi" w:hAnsi="Abadi"/>
          <w:sz w:val="21"/>
          <w:szCs w:val="21"/>
        </w:rPr>
        <w:t xml:space="preserve"> y al proceso democrático en general</w:t>
      </w:r>
      <w:r>
        <w:rPr>
          <w:rFonts w:ascii="Abadi" w:hAnsi="Abadi"/>
          <w:sz w:val="21"/>
          <w:szCs w:val="21"/>
        </w:rPr>
        <w:t>,</w:t>
      </w:r>
      <w:r w:rsidRPr="006813AA">
        <w:rPr>
          <w:rFonts w:ascii="Abadi" w:hAnsi="Abadi"/>
          <w:sz w:val="21"/>
          <w:szCs w:val="21"/>
        </w:rPr>
        <w:t xml:space="preserve"> lo que las convierte en una muy grave amenaza al presente y al futuro del país</w:t>
      </w:r>
      <w:r>
        <w:rPr>
          <w:rFonts w:ascii="Abadi" w:hAnsi="Abadi"/>
          <w:sz w:val="21"/>
          <w:szCs w:val="21"/>
        </w:rPr>
        <w:t>;</w:t>
      </w:r>
      <w:r w:rsidRPr="006813AA">
        <w:rPr>
          <w:rFonts w:ascii="Abadi" w:hAnsi="Abadi"/>
          <w:sz w:val="21"/>
          <w:szCs w:val="21"/>
        </w:rPr>
        <w:t xml:space="preserve"> quienes respaldan la corrupción del </w:t>
      </w:r>
      <w:r>
        <w:rPr>
          <w:rFonts w:ascii="Abadi" w:hAnsi="Abadi"/>
          <w:sz w:val="21"/>
          <w:szCs w:val="21"/>
        </w:rPr>
        <w:t>INE</w:t>
      </w:r>
      <w:r w:rsidRPr="006813AA">
        <w:rPr>
          <w:rFonts w:ascii="Abadi" w:hAnsi="Abadi"/>
          <w:sz w:val="21"/>
          <w:szCs w:val="21"/>
        </w:rPr>
        <w:t xml:space="preserve"> para convertirlo en un organismo frágil y dependiente pretenden como en tantos otros temas erosionar los contrapesos y someter a México al capricho del Presidente de la </w:t>
      </w:r>
      <w:r>
        <w:rPr>
          <w:rFonts w:ascii="Abadi" w:hAnsi="Abadi"/>
          <w:sz w:val="21"/>
          <w:szCs w:val="21"/>
        </w:rPr>
        <w:t>Re</w:t>
      </w:r>
      <w:r w:rsidRPr="006813AA">
        <w:rPr>
          <w:rFonts w:ascii="Abadi" w:hAnsi="Abadi"/>
          <w:sz w:val="21"/>
          <w:szCs w:val="21"/>
        </w:rPr>
        <w:t xml:space="preserve">pública y de su grupo </w:t>
      </w:r>
      <w:r>
        <w:rPr>
          <w:rFonts w:ascii="Abadi" w:hAnsi="Abadi"/>
          <w:sz w:val="21"/>
          <w:szCs w:val="21"/>
        </w:rPr>
        <w:t>político.</w:t>
      </w:r>
    </w:p>
    <w:p w14:paraId="41A3AB48" w14:textId="77777777" w:rsidR="003C51DA" w:rsidRDefault="003C51DA" w:rsidP="00D15DAB">
      <w:pPr>
        <w:jc w:val="both"/>
        <w:rPr>
          <w:rFonts w:ascii="Abadi" w:hAnsi="Abadi"/>
          <w:sz w:val="21"/>
          <w:szCs w:val="21"/>
        </w:rPr>
      </w:pPr>
    </w:p>
    <w:p w14:paraId="2A4164D5" w14:textId="77777777" w:rsidR="00D15DAB" w:rsidRDefault="00D15DAB" w:rsidP="00D15DAB">
      <w:pPr>
        <w:jc w:val="both"/>
        <w:rPr>
          <w:rFonts w:ascii="Abadi" w:hAnsi="Abadi"/>
          <w:sz w:val="21"/>
          <w:szCs w:val="21"/>
        </w:rPr>
      </w:pPr>
      <w:r>
        <w:rPr>
          <w:rFonts w:ascii="Abadi" w:hAnsi="Abadi"/>
          <w:sz w:val="21"/>
          <w:szCs w:val="21"/>
        </w:rPr>
        <w:t>- D</w:t>
      </w:r>
      <w:r w:rsidRPr="006813AA">
        <w:rPr>
          <w:rFonts w:ascii="Abadi" w:hAnsi="Abadi"/>
          <w:sz w:val="21"/>
          <w:szCs w:val="21"/>
        </w:rPr>
        <w:t>e pasar esas iniciativas esas propuestas solamente estaríamos pensando en una pequeña regresión de 30 años</w:t>
      </w:r>
      <w:r>
        <w:rPr>
          <w:rFonts w:ascii="Abadi" w:hAnsi="Abadi"/>
          <w:sz w:val="21"/>
          <w:szCs w:val="21"/>
        </w:rPr>
        <w:t>,</w:t>
      </w:r>
      <w:r w:rsidRPr="006813AA">
        <w:rPr>
          <w:rFonts w:ascii="Abadi" w:hAnsi="Abadi"/>
          <w:sz w:val="21"/>
          <w:szCs w:val="21"/>
        </w:rPr>
        <w:t xml:space="preserve"> más o menos</w:t>
      </w:r>
      <w:r>
        <w:rPr>
          <w:rFonts w:ascii="Abadi" w:hAnsi="Abadi"/>
          <w:sz w:val="21"/>
          <w:szCs w:val="21"/>
        </w:rPr>
        <w:t>,</w:t>
      </w:r>
      <w:r w:rsidRPr="006813AA">
        <w:rPr>
          <w:rFonts w:ascii="Abadi" w:hAnsi="Abadi"/>
          <w:sz w:val="21"/>
          <w:szCs w:val="21"/>
        </w:rPr>
        <w:t xml:space="preserve"> no sé si habrá </w:t>
      </w:r>
      <w:r>
        <w:rPr>
          <w:rFonts w:ascii="Abadi" w:hAnsi="Abadi"/>
          <w:sz w:val="21"/>
          <w:szCs w:val="21"/>
        </w:rPr>
        <w:t xml:space="preserve">algunos aquí </w:t>
      </w:r>
      <w:r w:rsidRPr="006813AA">
        <w:rPr>
          <w:rFonts w:ascii="Abadi" w:hAnsi="Abadi"/>
          <w:sz w:val="21"/>
          <w:szCs w:val="21"/>
        </w:rPr>
        <w:t>que recuerden esto</w:t>
      </w:r>
      <w:r>
        <w:rPr>
          <w:rFonts w:ascii="Abadi" w:hAnsi="Abadi"/>
          <w:sz w:val="21"/>
          <w:szCs w:val="21"/>
        </w:rPr>
        <w:t>,</w:t>
      </w:r>
      <w:r w:rsidRPr="006813AA">
        <w:rPr>
          <w:rFonts w:ascii="Abadi" w:hAnsi="Abadi"/>
          <w:sz w:val="21"/>
          <w:szCs w:val="21"/>
        </w:rPr>
        <w:t xml:space="preserve"> </w:t>
      </w:r>
      <w:r>
        <w:rPr>
          <w:rFonts w:ascii="Abadi" w:hAnsi="Abadi"/>
          <w:sz w:val="21"/>
          <w:szCs w:val="21"/>
        </w:rPr>
        <w:t>¡tal vez! eso, significa, eso</w:t>
      </w:r>
      <w:r w:rsidRPr="006813AA">
        <w:rPr>
          <w:rFonts w:ascii="Abadi" w:hAnsi="Abadi"/>
          <w:sz w:val="21"/>
          <w:szCs w:val="21"/>
        </w:rPr>
        <w:t xml:space="preserve"> significa</w:t>
      </w:r>
      <w:r>
        <w:rPr>
          <w:rFonts w:ascii="Abadi" w:hAnsi="Abadi"/>
          <w:sz w:val="21"/>
          <w:szCs w:val="21"/>
        </w:rPr>
        <w:t xml:space="preserve">, </w:t>
      </w:r>
      <w:r w:rsidRPr="006813AA">
        <w:rPr>
          <w:rFonts w:ascii="Abadi" w:hAnsi="Abadi"/>
          <w:sz w:val="21"/>
          <w:szCs w:val="21"/>
        </w:rPr>
        <w:t xml:space="preserve">destrozar </w:t>
      </w:r>
      <w:r>
        <w:rPr>
          <w:rFonts w:ascii="Abadi" w:hAnsi="Abadi"/>
          <w:sz w:val="21"/>
          <w:szCs w:val="21"/>
        </w:rPr>
        <w:t xml:space="preserve">al INE hoy, </w:t>
      </w:r>
      <w:r w:rsidRPr="006813AA">
        <w:rPr>
          <w:rFonts w:ascii="Abadi" w:hAnsi="Abadi"/>
          <w:sz w:val="21"/>
          <w:szCs w:val="21"/>
        </w:rPr>
        <w:t>volver a esto</w:t>
      </w:r>
      <w:r>
        <w:rPr>
          <w:rFonts w:ascii="Abadi" w:hAnsi="Abadi"/>
          <w:sz w:val="21"/>
          <w:szCs w:val="21"/>
        </w:rPr>
        <w:t xml:space="preserve"> </w:t>
      </w:r>
      <w:r w:rsidRPr="006813AA">
        <w:rPr>
          <w:rFonts w:ascii="Abadi" w:hAnsi="Abadi"/>
          <w:sz w:val="21"/>
          <w:szCs w:val="21"/>
        </w:rPr>
        <w:t xml:space="preserve"> </w:t>
      </w:r>
      <w:r>
        <w:rPr>
          <w:rFonts w:ascii="Abadi" w:hAnsi="Abadi"/>
          <w:sz w:val="21"/>
          <w:szCs w:val="21"/>
        </w:rPr>
        <w:t>¡</w:t>
      </w:r>
      <w:r w:rsidRPr="006813AA">
        <w:rPr>
          <w:rFonts w:ascii="Abadi" w:hAnsi="Abadi"/>
          <w:sz w:val="21"/>
          <w:szCs w:val="21"/>
        </w:rPr>
        <w:t xml:space="preserve">pues la </w:t>
      </w:r>
      <w:r>
        <w:rPr>
          <w:rFonts w:ascii="Abadi" w:hAnsi="Abadi"/>
          <w:sz w:val="21"/>
          <w:szCs w:val="21"/>
        </w:rPr>
        <w:t xml:space="preserve">tinta no se borró, </w:t>
      </w:r>
      <w:r w:rsidRPr="006813AA">
        <w:rPr>
          <w:rFonts w:ascii="Abadi" w:hAnsi="Abadi"/>
          <w:sz w:val="21"/>
          <w:szCs w:val="21"/>
        </w:rPr>
        <w:t xml:space="preserve">no digo se mantiene intacto </w:t>
      </w:r>
      <w:r>
        <w:rPr>
          <w:rFonts w:ascii="Abadi" w:hAnsi="Abadi"/>
          <w:sz w:val="21"/>
          <w:szCs w:val="21"/>
        </w:rPr>
        <w:t xml:space="preserve"> el escudo aquí </w:t>
      </w:r>
      <w:r w:rsidRPr="006813AA">
        <w:rPr>
          <w:rFonts w:ascii="Abadi" w:hAnsi="Abadi"/>
          <w:sz w:val="21"/>
          <w:szCs w:val="21"/>
        </w:rPr>
        <w:t>y bueno</w:t>
      </w:r>
      <w:r>
        <w:rPr>
          <w:rFonts w:ascii="Abadi" w:hAnsi="Abadi"/>
          <w:sz w:val="21"/>
          <w:szCs w:val="21"/>
        </w:rPr>
        <w:t xml:space="preserve">, </w:t>
      </w:r>
      <w:r w:rsidRPr="006813AA">
        <w:rPr>
          <w:rFonts w:ascii="Abadi" w:hAnsi="Abadi"/>
          <w:sz w:val="21"/>
          <w:szCs w:val="21"/>
        </w:rPr>
        <w:t xml:space="preserve">no </w:t>
      </w:r>
      <w:r>
        <w:rPr>
          <w:rFonts w:ascii="Abadi" w:hAnsi="Abadi"/>
          <w:sz w:val="21"/>
          <w:szCs w:val="21"/>
        </w:rPr>
        <w:t xml:space="preserve">foto, no había sistema de lector de huellas! </w:t>
      </w:r>
      <w:r w:rsidRPr="006813AA">
        <w:rPr>
          <w:rFonts w:ascii="Abadi" w:hAnsi="Abadi"/>
          <w:sz w:val="21"/>
          <w:szCs w:val="21"/>
        </w:rPr>
        <w:t xml:space="preserve">en </w:t>
      </w:r>
      <w:r>
        <w:rPr>
          <w:rFonts w:ascii="Abadi" w:hAnsi="Abadi"/>
          <w:sz w:val="21"/>
          <w:szCs w:val="21"/>
        </w:rPr>
        <w:t>f</w:t>
      </w:r>
      <w:r w:rsidRPr="006813AA">
        <w:rPr>
          <w:rFonts w:ascii="Abadi" w:hAnsi="Abadi"/>
          <w:sz w:val="21"/>
          <w:szCs w:val="21"/>
        </w:rPr>
        <w:t>in</w:t>
      </w:r>
      <w:r>
        <w:rPr>
          <w:rFonts w:ascii="Abadi" w:hAnsi="Abadi"/>
          <w:sz w:val="21"/>
          <w:szCs w:val="21"/>
        </w:rPr>
        <w:t>,</w:t>
      </w:r>
      <w:r w:rsidRPr="006813AA">
        <w:rPr>
          <w:rFonts w:ascii="Abadi" w:hAnsi="Abadi"/>
          <w:sz w:val="21"/>
          <w:szCs w:val="21"/>
        </w:rPr>
        <w:t xml:space="preserve"> esta</w:t>
      </w:r>
      <w:r>
        <w:rPr>
          <w:rFonts w:ascii="Abadi" w:hAnsi="Abadi"/>
          <w:sz w:val="21"/>
          <w:szCs w:val="21"/>
        </w:rPr>
        <w:t>,</w:t>
      </w:r>
      <w:r w:rsidRPr="006813AA">
        <w:rPr>
          <w:rFonts w:ascii="Abadi" w:hAnsi="Abadi"/>
          <w:sz w:val="21"/>
          <w:szCs w:val="21"/>
        </w:rPr>
        <w:t xml:space="preserve"> esta</w:t>
      </w:r>
      <w:r>
        <w:rPr>
          <w:rFonts w:ascii="Abadi" w:hAnsi="Abadi"/>
          <w:sz w:val="21"/>
          <w:szCs w:val="21"/>
        </w:rPr>
        <w:t>,</w:t>
      </w:r>
      <w:r w:rsidRPr="006813AA">
        <w:rPr>
          <w:rFonts w:ascii="Abadi" w:hAnsi="Abadi"/>
          <w:sz w:val="21"/>
          <w:szCs w:val="21"/>
        </w:rPr>
        <w:t xml:space="preserve"> esto significa esa reforma electoral y </w:t>
      </w:r>
      <w:r>
        <w:rPr>
          <w:rFonts w:ascii="Abadi" w:hAnsi="Abadi"/>
          <w:sz w:val="21"/>
          <w:szCs w:val="21"/>
        </w:rPr>
        <w:t>e</w:t>
      </w:r>
      <w:r w:rsidRPr="006813AA">
        <w:rPr>
          <w:rFonts w:ascii="Abadi" w:hAnsi="Abadi"/>
          <w:sz w:val="21"/>
          <w:szCs w:val="21"/>
        </w:rPr>
        <w:t>l n</w:t>
      </w:r>
      <w:r>
        <w:rPr>
          <w:rFonts w:ascii="Abadi" w:hAnsi="Abadi"/>
          <w:sz w:val="21"/>
          <w:szCs w:val="21"/>
        </w:rPr>
        <w:t xml:space="preserve">o, defender a nuestra democracia y a no defender a nuestras </w:t>
      </w:r>
      <w:r w:rsidRPr="006813AA">
        <w:rPr>
          <w:rFonts w:ascii="Abadi" w:hAnsi="Abadi"/>
          <w:sz w:val="21"/>
          <w:szCs w:val="21"/>
        </w:rPr>
        <w:t>democracia y a nuestras instituciones electorales debe quedar muy claro por más seductores que puedan sonar los pretextos</w:t>
      </w:r>
      <w:r>
        <w:rPr>
          <w:rFonts w:ascii="Abadi" w:hAnsi="Abadi"/>
          <w:sz w:val="21"/>
          <w:szCs w:val="21"/>
        </w:rPr>
        <w:t>;</w:t>
      </w:r>
      <w:r w:rsidRPr="006813AA">
        <w:rPr>
          <w:rFonts w:ascii="Abadi" w:hAnsi="Abadi"/>
          <w:sz w:val="21"/>
          <w:szCs w:val="21"/>
        </w:rPr>
        <w:t xml:space="preserve"> </w:t>
      </w:r>
      <w:r>
        <w:rPr>
          <w:rFonts w:ascii="Abadi" w:hAnsi="Abadi"/>
          <w:sz w:val="21"/>
          <w:szCs w:val="21"/>
        </w:rPr>
        <w:t xml:space="preserve">el </w:t>
      </w:r>
      <w:r w:rsidRPr="006813AA">
        <w:rPr>
          <w:rFonts w:ascii="Abadi" w:hAnsi="Abadi"/>
          <w:sz w:val="21"/>
          <w:szCs w:val="21"/>
        </w:rPr>
        <w:t xml:space="preserve">jugar con la autonomía y el funcionamiento </w:t>
      </w:r>
      <w:r>
        <w:rPr>
          <w:rFonts w:ascii="Abadi" w:hAnsi="Abadi"/>
          <w:sz w:val="21"/>
          <w:szCs w:val="21"/>
        </w:rPr>
        <w:t>del Instituto Nacional Electoral, cuando estamos a menos de un año de que inicie el proceso electoral en las próximas elecciones presidenciales.</w:t>
      </w:r>
    </w:p>
    <w:p w14:paraId="29C60DC1" w14:textId="606E80DD" w:rsidR="00D15DAB" w:rsidRDefault="00D15DAB" w:rsidP="00D15DAB">
      <w:pPr>
        <w:jc w:val="both"/>
        <w:rPr>
          <w:rFonts w:ascii="Abadi" w:hAnsi="Abadi"/>
          <w:sz w:val="21"/>
          <w:szCs w:val="21"/>
        </w:rPr>
      </w:pPr>
      <w:r>
        <w:rPr>
          <w:rFonts w:ascii="Abadi" w:hAnsi="Abadi"/>
          <w:sz w:val="21"/>
          <w:szCs w:val="21"/>
        </w:rPr>
        <w:t>- Significaría poner al país en medio de una ruleta rusas en la que estaría en juego, la limpieza de las elecciones, la credibilidad de las instituciones y por supuesto la legitimidad de los ganadores.</w:t>
      </w:r>
    </w:p>
    <w:p w14:paraId="0A5296C6" w14:textId="77777777" w:rsidR="003C51DA" w:rsidRDefault="003C51DA" w:rsidP="00D15DAB">
      <w:pPr>
        <w:jc w:val="both"/>
        <w:rPr>
          <w:rFonts w:ascii="Abadi" w:hAnsi="Abadi"/>
          <w:sz w:val="21"/>
          <w:szCs w:val="21"/>
        </w:rPr>
      </w:pPr>
    </w:p>
    <w:p w14:paraId="2E0A7ECE" w14:textId="3EEEB728" w:rsidR="00D15DAB" w:rsidRDefault="00D15DAB" w:rsidP="00D15DAB">
      <w:pPr>
        <w:jc w:val="both"/>
        <w:rPr>
          <w:rFonts w:ascii="Abadi" w:hAnsi="Abadi"/>
          <w:sz w:val="21"/>
          <w:szCs w:val="21"/>
        </w:rPr>
      </w:pPr>
      <w:r>
        <w:rPr>
          <w:rFonts w:ascii="Abadi" w:hAnsi="Abadi"/>
          <w:sz w:val="21"/>
          <w:szCs w:val="21"/>
        </w:rPr>
        <w:t>- E</w:t>
      </w:r>
      <w:r w:rsidRPr="006813AA">
        <w:rPr>
          <w:rFonts w:ascii="Abadi" w:hAnsi="Abadi"/>
          <w:sz w:val="21"/>
          <w:szCs w:val="21"/>
        </w:rPr>
        <w:t>s cierto que nuestra democracia</w:t>
      </w:r>
      <w:r>
        <w:rPr>
          <w:rFonts w:ascii="Abadi" w:hAnsi="Abadi"/>
          <w:sz w:val="21"/>
          <w:szCs w:val="21"/>
        </w:rPr>
        <w:t>,</w:t>
      </w:r>
      <w:r w:rsidRPr="006813AA">
        <w:rPr>
          <w:rFonts w:ascii="Abadi" w:hAnsi="Abadi"/>
          <w:sz w:val="21"/>
          <w:szCs w:val="21"/>
        </w:rPr>
        <w:t xml:space="preserve"> no es perfecta</w:t>
      </w:r>
      <w:r>
        <w:rPr>
          <w:rFonts w:ascii="Abadi" w:hAnsi="Abadi"/>
          <w:sz w:val="21"/>
          <w:szCs w:val="21"/>
        </w:rPr>
        <w:t>,</w:t>
      </w:r>
      <w:r w:rsidRPr="006813AA">
        <w:rPr>
          <w:rFonts w:ascii="Abadi" w:hAnsi="Abadi"/>
          <w:sz w:val="21"/>
          <w:szCs w:val="21"/>
        </w:rPr>
        <w:t xml:space="preserve"> pero es democrática</w:t>
      </w:r>
      <w:r>
        <w:rPr>
          <w:rFonts w:ascii="Abadi" w:hAnsi="Abadi"/>
          <w:sz w:val="21"/>
          <w:szCs w:val="21"/>
        </w:rPr>
        <w:t>,</w:t>
      </w:r>
      <w:r w:rsidRPr="006813AA">
        <w:rPr>
          <w:rFonts w:ascii="Abadi" w:hAnsi="Abadi"/>
          <w:sz w:val="21"/>
          <w:szCs w:val="21"/>
        </w:rPr>
        <w:t xml:space="preserve"> es cierto que nuestra democracia no es barata</w:t>
      </w:r>
      <w:r>
        <w:rPr>
          <w:rFonts w:ascii="Abadi" w:hAnsi="Abadi"/>
          <w:sz w:val="21"/>
          <w:szCs w:val="21"/>
        </w:rPr>
        <w:t>,</w:t>
      </w:r>
      <w:r w:rsidRPr="006813AA">
        <w:rPr>
          <w:rFonts w:ascii="Abadi" w:hAnsi="Abadi"/>
          <w:sz w:val="21"/>
          <w:szCs w:val="21"/>
        </w:rPr>
        <w:t xml:space="preserve"> pero sería mucho más cara la tiranía</w:t>
      </w:r>
      <w:r>
        <w:rPr>
          <w:rFonts w:ascii="Abadi" w:hAnsi="Abadi"/>
          <w:sz w:val="21"/>
          <w:szCs w:val="21"/>
        </w:rPr>
        <w:t>,</w:t>
      </w:r>
      <w:r w:rsidRPr="006813AA">
        <w:rPr>
          <w:rFonts w:ascii="Abadi" w:hAnsi="Abadi"/>
          <w:sz w:val="21"/>
          <w:szCs w:val="21"/>
        </w:rPr>
        <w:t xml:space="preserve"> es cierto que nuestra democracia tiene cosas por corregir</w:t>
      </w:r>
      <w:r>
        <w:rPr>
          <w:rFonts w:ascii="Abadi" w:hAnsi="Abadi"/>
          <w:sz w:val="21"/>
          <w:szCs w:val="21"/>
        </w:rPr>
        <w:t>,</w:t>
      </w:r>
      <w:r w:rsidRPr="006813AA">
        <w:rPr>
          <w:rFonts w:ascii="Abadi" w:hAnsi="Abadi"/>
          <w:sz w:val="21"/>
          <w:szCs w:val="21"/>
        </w:rPr>
        <w:t xml:space="preserve"> </w:t>
      </w:r>
      <w:r>
        <w:rPr>
          <w:rFonts w:ascii="Abadi" w:hAnsi="Abadi"/>
          <w:sz w:val="21"/>
          <w:szCs w:val="21"/>
        </w:rPr>
        <w:t xml:space="preserve">pero no se corrige </w:t>
      </w:r>
      <w:r w:rsidRPr="006813AA">
        <w:rPr>
          <w:rFonts w:ascii="Abadi" w:hAnsi="Abadi"/>
          <w:sz w:val="21"/>
          <w:szCs w:val="21"/>
        </w:rPr>
        <w:t>reemplazando una institución con caprichos</w:t>
      </w:r>
      <w:r>
        <w:rPr>
          <w:rFonts w:ascii="Abadi" w:hAnsi="Abadi"/>
          <w:sz w:val="21"/>
          <w:szCs w:val="21"/>
        </w:rPr>
        <w:t>,</w:t>
      </w:r>
      <w:r w:rsidRPr="006813AA">
        <w:rPr>
          <w:rFonts w:ascii="Abadi" w:hAnsi="Abadi"/>
          <w:sz w:val="21"/>
          <w:szCs w:val="21"/>
        </w:rPr>
        <w:t xml:space="preserve"> como se pretende con la reforma que hoy el </w:t>
      </w:r>
      <w:r>
        <w:rPr>
          <w:rFonts w:ascii="Abadi" w:hAnsi="Abadi"/>
          <w:sz w:val="21"/>
          <w:szCs w:val="21"/>
        </w:rPr>
        <w:t>L</w:t>
      </w:r>
      <w:r w:rsidRPr="006813AA">
        <w:rPr>
          <w:rFonts w:ascii="Abadi" w:hAnsi="Abadi"/>
          <w:sz w:val="21"/>
          <w:szCs w:val="21"/>
        </w:rPr>
        <w:t xml:space="preserve">egislativo </w:t>
      </w:r>
      <w:r>
        <w:rPr>
          <w:rFonts w:ascii="Abadi" w:hAnsi="Abadi"/>
          <w:sz w:val="21"/>
          <w:szCs w:val="21"/>
        </w:rPr>
        <w:t>F</w:t>
      </w:r>
      <w:r w:rsidRPr="006813AA">
        <w:rPr>
          <w:rFonts w:ascii="Abadi" w:hAnsi="Abadi"/>
          <w:sz w:val="21"/>
          <w:szCs w:val="21"/>
        </w:rPr>
        <w:t>ederal analiza</w:t>
      </w:r>
      <w:r>
        <w:rPr>
          <w:rFonts w:ascii="Abadi" w:hAnsi="Abadi"/>
          <w:sz w:val="21"/>
          <w:szCs w:val="21"/>
        </w:rPr>
        <w:t>.</w:t>
      </w:r>
    </w:p>
    <w:p w14:paraId="66F556BD" w14:textId="77777777" w:rsidR="003C51DA" w:rsidRDefault="003C51DA" w:rsidP="00D15DAB">
      <w:pPr>
        <w:jc w:val="both"/>
        <w:rPr>
          <w:rFonts w:ascii="Abadi" w:hAnsi="Abadi"/>
          <w:sz w:val="21"/>
          <w:szCs w:val="21"/>
        </w:rPr>
      </w:pPr>
    </w:p>
    <w:p w14:paraId="63AF6892" w14:textId="6D0D8F5D" w:rsidR="00D15DAB" w:rsidRDefault="00D15DAB" w:rsidP="00D15DAB">
      <w:pPr>
        <w:jc w:val="both"/>
        <w:rPr>
          <w:rFonts w:ascii="Abadi" w:hAnsi="Abadi"/>
          <w:sz w:val="21"/>
          <w:szCs w:val="21"/>
        </w:rPr>
      </w:pPr>
      <w:r>
        <w:rPr>
          <w:rFonts w:ascii="Abadi" w:hAnsi="Abadi"/>
          <w:sz w:val="21"/>
          <w:szCs w:val="21"/>
        </w:rPr>
        <w:t>- P</w:t>
      </w:r>
      <w:r w:rsidRPr="006813AA">
        <w:rPr>
          <w:rFonts w:ascii="Abadi" w:hAnsi="Abadi"/>
          <w:sz w:val="21"/>
          <w:szCs w:val="21"/>
        </w:rPr>
        <w:t>or lo tanto, desde guanajuato</w:t>
      </w:r>
      <w:r>
        <w:rPr>
          <w:rFonts w:ascii="Abadi" w:hAnsi="Abadi"/>
          <w:sz w:val="21"/>
          <w:szCs w:val="21"/>
        </w:rPr>
        <w:t>,</w:t>
      </w:r>
      <w:r w:rsidRPr="006813AA">
        <w:rPr>
          <w:rFonts w:ascii="Abadi" w:hAnsi="Abadi"/>
          <w:sz w:val="21"/>
          <w:szCs w:val="21"/>
        </w:rPr>
        <w:t xml:space="preserve"> hacemos un muy atento y respetuoso llamado</w:t>
      </w:r>
      <w:r>
        <w:rPr>
          <w:rFonts w:ascii="Abadi" w:hAnsi="Abadi"/>
          <w:sz w:val="21"/>
          <w:szCs w:val="21"/>
        </w:rPr>
        <w:t>,</w:t>
      </w:r>
      <w:r w:rsidRPr="006813AA">
        <w:rPr>
          <w:rFonts w:ascii="Abadi" w:hAnsi="Abadi"/>
          <w:sz w:val="21"/>
          <w:szCs w:val="21"/>
        </w:rPr>
        <w:t xml:space="preserve"> a nuestros representantes en la Ciudad de México</w:t>
      </w:r>
      <w:r>
        <w:rPr>
          <w:rFonts w:ascii="Abadi" w:hAnsi="Abadi"/>
          <w:sz w:val="21"/>
          <w:szCs w:val="21"/>
        </w:rPr>
        <w:t>,</w:t>
      </w:r>
      <w:r w:rsidRPr="006813AA">
        <w:rPr>
          <w:rFonts w:ascii="Abadi" w:hAnsi="Abadi"/>
          <w:sz w:val="21"/>
          <w:szCs w:val="21"/>
        </w:rPr>
        <w:t xml:space="preserve"> no cedan</w:t>
      </w:r>
      <w:r>
        <w:rPr>
          <w:rFonts w:ascii="Abadi" w:hAnsi="Abadi"/>
          <w:sz w:val="21"/>
          <w:szCs w:val="21"/>
        </w:rPr>
        <w:t>,</w:t>
      </w:r>
      <w:r w:rsidRPr="006813AA">
        <w:rPr>
          <w:rFonts w:ascii="Abadi" w:hAnsi="Abadi"/>
          <w:sz w:val="21"/>
          <w:szCs w:val="21"/>
        </w:rPr>
        <w:t xml:space="preserve"> no cedan</w:t>
      </w:r>
      <w:r>
        <w:rPr>
          <w:rFonts w:ascii="Abadi" w:hAnsi="Abadi"/>
          <w:sz w:val="21"/>
          <w:szCs w:val="21"/>
        </w:rPr>
        <w:t>,</w:t>
      </w:r>
      <w:r w:rsidRPr="006813AA">
        <w:rPr>
          <w:rFonts w:ascii="Abadi" w:hAnsi="Abadi"/>
          <w:sz w:val="21"/>
          <w:szCs w:val="21"/>
        </w:rPr>
        <w:t xml:space="preserve"> ante ningún capricho que ponga en riesgo lo que hemos avanzado y tanto trabajo ha costado a los mexicanos</w:t>
      </w:r>
      <w:r>
        <w:rPr>
          <w:rFonts w:ascii="Abadi" w:hAnsi="Abadi"/>
          <w:sz w:val="21"/>
          <w:szCs w:val="21"/>
        </w:rPr>
        <w:t>.</w:t>
      </w:r>
    </w:p>
    <w:p w14:paraId="3C41C28B" w14:textId="77777777" w:rsidR="003C51DA" w:rsidRDefault="003C51DA" w:rsidP="00D15DAB">
      <w:pPr>
        <w:jc w:val="both"/>
        <w:rPr>
          <w:rFonts w:ascii="Abadi" w:hAnsi="Abadi"/>
          <w:sz w:val="21"/>
          <w:szCs w:val="21"/>
        </w:rPr>
      </w:pPr>
    </w:p>
    <w:p w14:paraId="5B4B8AAB" w14:textId="77777777" w:rsidR="00D15DAB" w:rsidRDefault="00D15DAB" w:rsidP="00D15DAB">
      <w:pPr>
        <w:jc w:val="both"/>
        <w:rPr>
          <w:rFonts w:ascii="Abadi" w:hAnsi="Abadi"/>
          <w:sz w:val="21"/>
          <w:szCs w:val="21"/>
        </w:rPr>
      </w:pPr>
      <w:r>
        <w:rPr>
          <w:rFonts w:ascii="Abadi" w:hAnsi="Abadi"/>
          <w:sz w:val="21"/>
          <w:szCs w:val="21"/>
        </w:rPr>
        <w:t>- N</w:t>
      </w:r>
      <w:r w:rsidRPr="006813AA">
        <w:rPr>
          <w:rFonts w:ascii="Abadi" w:hAnsi="Abadi"/>
          <w:sz w:val="21"/>
          <w:szCs w:val="21"/>
        </w:rPr>
        <w:t xml:space="preserve">o jueguen con la autonomía del </w:t>
      </w:r>
      <w:r>
        <w:rPr>
          <w:rFonts w:ascii="Abadi" w:hAnsi="Abadi"/>
          <w:sz w:val="21"/>
          <w:szCs w:val="21"/>
        </w:rPr>
        <w:t>INE</w:t>
      </w:r>
      <w:r w:rsidRPr="006813AA">
        <w:rPr>
          <w:rFonts w:ascii="Abadi" w:hAnsi="Abadi"/>
          <w:sz w:val="21"/>
          <w:szCs w:val="21"/>
        </w:rPr>
        <w:t xml:space="preserve"> no destruyan por un capricho el legado en libertad y democracia que tanto le costó a nuestros padres y a nuestros abuelos</w:t>
      </w:r>
      <w:r>
        <w:rPr>
          <w:rFonts w:ascii="Abadi" w:hAnsi="Abadi"/>
          <w:sz w:val="21"/>
          <w:szCs w:val="21"/>
        </w:rPr>
        <w:t>,</w:t>
      </w:r>
      <w:r w:rsidRPr="006813AA">
        <w:rPr>
          <w:rFonts w:ascii="Abadi" w:hAnsi="Abadi"/>
          <w:sz w:val="21"/>
          <w:szCs w:val="21"/>
        </w:rPr>
        <w:t xml:space="preserve"> a ellos</w:t>
      </w:r>
      <w:r>
        <w:rPr>
          <w:rFonts w:ascii="Abadi" w:hAnsi="Abadi"/>
          <w:sz w:val="21"/>
          <w:szCs w:val="21"/>
        </w:rPr>
        <w:t xml:space="preserve">, </w:t>
      </w:r>
      <w:r w:rsidRPr="006813AA">
        <w:rPr>
          <w:rFonts w:ascii="Abadi" w:hAnsi="Abadi"/>
          <w:sz w:val="21"/>
          <w:szCs w:val="21"/>
        </w:rPr>
        <w:t>ellas les correspondió construir nuestra democracia</w:t>
      </w:r>
      <w:r>
        <w:rPr>
          <w:rFonts w:ascii="Abadi" w:hAnsi="Abadi"/>
          <w:sz w:val="21"/>
          <w:szCs w:val="21"/>
        </w:rPr>
        <w:t>,</w:t>
      </w:r>
      <w:r w:rsidRPr="006813AA">
        <w:rPr>
          <w:rFonts w:ascii="Abadi" w:hAnsi="Abadi"/>
          <w:sz w:val="21"/>
          <w:szCs w:val="21"/>
        </w:rPr>
        <w:t xml:space="preserve"> a nosotros </w:t>
      </w:r>
      <w:r>
        <w:rPr>
          <w:rFonts w:ascii="Abadi" w:hAnsi="Abadi"/>
          <w:sz w:val="21"/>
          <w:szCs w:val="21"/>
        </w:rPr>
        <w:t xml:space="preserve">y </w:t>
      </w:r>
      <w:r w:rsidRPr="006813AA">
        <w:rPr>
          <w:rFonts w:ascii="Abadi" w:hAnsi="Abadi"/>
          <w:sz w:val="21"/>
          <w:szCs w:val="21"/>
        </w:rPr>
        <w:t>a nosotras</w:t>
      </w:r>
      <w:r>
        <w:rPr>
          <w:rFonts w:ascii="Abadi" w:hAnsi="Abadi"/>
          <w:sz w:val="21"/>
          <w:szCs w:val="21"/>
        </w:rPr>
        <w:t>,</w:t>
      </w:r>
      <w:r w:rsidRPr="006813AA">
        <w:rPr>
          <w:rFonts w:ascii="Abadi" w:hAnsi="Abadi"/>
          <w:sz w:val="21"/>
          <w:szCs w:val="21"/>
        </w:rPr>
        <w:t xml:space="preserve"> nos toca defenderla hoy</w:t>
      </w:r>
      <w:r>
        <w:rPr>
          <w:rFonts w:ascii="Abadi" w:hAnsi="Abadi"/>
          <w:sz w:val="21"/>
          <w:szCs w:val="21"/>
        </w:rPr>
        <w:t>,</w:t>
      </w:r>
      <w:r w:rsidRPr="006813AA">
        <w:rPr>
          <w:rFonts w:ascii="Abadi" w:hAnsi="Abadi"/>
          <w:sz w:val="21"/>
          <w:szCs w:val="21"/>
        </w:rPr>
        <w:t xml:space="preserve"> conscientes de que como acertadamente afirmó</w:t>
      </w:r>
      <w:r>
        <w:rPr>
          <w:rFonts w:ascii="Abadi" w:hAnsi="Abadi"/>
          <w:sz w:val="21"/>
          <w:szCs w:val="21"/>
        </w:rPr>
        <w:t>,</w:t>
      </w:r>
      <w:r w:rsidRPr="006813AA">
        <w:rPr>
          <w:rFonts w:ascii="Abadi" w:hAnsi="Abadi"/>
          <w:sz w:val="21"/>
          <w:szCs w:val="21"/>
        </w:rPr>
        <w:t xml:space="preserve"> </w:t>
      </w:r>
      <w:r>
        <w:rPr>
          <w:rFonts w:ascii="Abadi" w:hAnsi="Abadi"/>
          <w:sz w:val="21"/>
          <w:szCs w:val="21"/>
        </w:rPr>
        <w:t>L</w:t>
      </w:r>
      <w:r w:rsidRPr="006813AA">
        <w:rPr>
          <w:rFonts w:ascii="Abadi" w:hAnsi="Abadi"/>
          <w:sz w:val="21"/>
          <w:szCs w:val="21"/>
        </w:rPr>
        <w:t xml:space="preserve">orenzo </w:t>
      </w:r>
      <w:r>
        <w:rPr>
          <w:rFonts w:ascii="Abadi" w:hAnsi="Abadi"/>
          <w:sz w:val="21"/>
          <w:szCs w:val="21"/>
        </w:rPr>
        <w:t>C</w:t>
      </w:r>
      <w:r w:rsidRPr="006813AA">
        <w:rPr>
          <w:rFonts w:ascii="Abadi" w:hAnsi="Abadi"/>
          <w:sz w:val="21"/>
          <w:szCs w:val="21"/>
        </w:rPr>
        <w:t>órdova</w:t>
      </w:r>
      <w:r>
        <w:rPr>
          <w:rFonts w:ascii="Abadi" w:hAnsi="Abadi"/>
          <w:sz w:val="21"/>
          <w:szCs w:val="21"/>
        </w:rPr>
        <w:t>, C</w:t>
      </w:r>
      <w:r w:rsidRPr="006813AA">
        <w:rPr>
          <w:rFonts w:ascii="Abadi" w:hAnsi="Abadi"/>
          <w:sz w:val="21"/>
          <w:szCs w:val="21"/>
        </w:rPr>
        <w:t xml:space="preserve">onsejero Presidente del </w:t>
      </w:r>
      <w:r>
        <w:rPr>
          <w:rFonts w:ascii="Abadi" w:hAnsi="Abadi"/>
          <w:sz w:val="21"/>
          <w:szCs w:val="21"/>
        </w:rPr>
        <w:t>I</w:t>
      </w:r>
      <w:r w:rsidRPr="006813AA">
        <w:rPr>
          <w:rFonts w:ascii="Abadi" w:hAnsi="Abadi"/>
          <w:sz w:val="21"/>
          <w:szCs w:val="21"/>
        </w:rPr>
        <w:t xml:space="preserve">nstituto </w:t>
      </w:r>
      <w:r>
        <w:rPr>
          <w:rFonts w:ascii="Abadi" w:hAnsi="Abadi"/>
          <w:sz w:val="21"/>
          <w:szCs w:val="21"/>
        </w:rPr>
        <w:t>N</w:t>
      </w:r>
      <w:r w:rsidRPr="006813AA">
        <w:rPr>
          <w:rFonts w:ascii="Abadi" w:hAnsi="Abadi"/>
          <w:sz w:val="21"/>
          <w:szCs w:val="21"/>
        </w:rPr>
        <w:t xml:space="preserve">acional </w:t>
      </w:r>
      <w:r>
        <w:rPr>
          <w:rFonts w:ascii="Abadi" w:hAnsi="Abadi"/>
          <w:sz w:val="21"/>
          <w:szCs w:val="21"/>
        </w:rPr>
        <w:t>E</w:t>
      </w:r>
      <w:r w:rsidRPr="006813AA">
        <w:rPr>
          <w:rFonts w:ascii="Abadi" w:hAnsi="Abadi"/>
          <w:sz w:val="21"/>
          <w:szCs w:val="21"/>
        </w:rPr>
        <w:t xml:space="preserve">lectoral dicha institución </w:t>
      </w:r>
      <w:r>
        <w:rPr>
          <w:rFonts w:ascii="Abadi" w:hAnsi="Abadi"/>
          <w:sz w:val="21"/>
          <w:szCs w:val="21"/>
        </w:rPr>
        <w:t>¡</w:t>
      </w:r>
      <w:r w:rsidRPr="006813AA">
        <w:rPr>
          <w:rFonts w:ascii="Abadi" w:hAnsi="Abadi"/>
          <w:sz w:val="21"/>
          <w:szCs w:val="21"/>
        </w:rPr>
        <w:t>es</w:t>
      </w:r>
      <w:r>
        <w:rPr>
          <w:rFonts w:ascii="Abadi" w:hAnsi="Abadi"/>
          <w:sz w:val="21"/>
          <w:szCs w:val="21"/>
        </w:rPr>
        <w:t>!</w:t>
      </w:r>
      <w:r w:rsidRPr="006813AA">
        <w:rPr>
          <w:rFonts w:ascii="Abadi" w:hAnsi="Abadi"/>
          <w:sz w:val="21"/>
          <w:szCs w:val="21"/>
        </w:rPr>
        <w:t xml:space="preserve"> una obra colectiva y patrimonio de todas y todos los mexicanos</w:t>
      </w:r>
      <w:r>
        <w:rPr>
          <w:rFonts w:ascii="Abadi" w:hAnsi="Abadi"/>
          <w:sz w:val="21"/>
          <w:szCs w:val="21"/>
        </w:rPr>
        <w:t>,</w:t>
      </w:r>
      <w:r w:rsidRPr="006813AA">
        <w:rPr>
          <w:rFonts w:ascii="Abadi" w:hAnsi="Abadi"/>
          <w:sz w:val="21"/>
          <w:szCs w:val="21"/>
        </w:rPr>
        <w:t xml:space="preserve"> nos corresponde a todos cuidarlo y defenderlo pues es un baluarte para garantizar a las próximas generaciones una democracia vigente y vigorosa</w:t>
      </w:r>
      <w:r>
        <w:rPr>
          <w:rFonts w:ascii="Abadi" w:hAnsi="Abadi"/>
          <w:sz w:val="21"/>
          <w:szCs w:val="21"/>
        </w:rPr>
        <w:t>,</w:t>
      </w:r>
      <w:r w:rsidRPr="006813AA">
        <w:rPr>
          <w:rFonts w:ascii="Abadi" w:hAnsi="Abadi"/>
          <w:sz w:val="21"/>
          <w:szCs w:val="21"/>
        </w:rPr>
        <w:t xml:space="preserve"> tan sencillo y tan indispensable como es</w:t>
      </w:r>
      <w:r>
        <w:rPr>
          <w:rFonts w:ascii="Abadi" w:hAnsi="Abadi"/>
          <w:sz w:val="21"/>
          <w:szCs w:val="21"/>
        </w:rPr>
        <w:t>o.</w:t>
      </w:r>
    </w:p>
    <w:p w14:paraId="10D4339B" w14:textId="77777777" w:rsidR="003C51DA" w:rsidRDefault="003C51DA" w:rsidP="00D15DAB">
      <w:pPr>
        <w:jc w:val="both"/>
        <w:rPr>
          <w:rFonts w:ascii="Abadi" w:hAnsi="Abadi"/>
          <w:sz w:val="21"/>
          <w:szCs w:val="21"/>
        </w:rPr>
      </w:pPr>
    </w:p>
    <w:p w14:paraId="7C13B5F5" w14:textId="264D697A" w:rsidR="00D15DAB" w:rsidRDefault="00D15DAB" w:rsidP="00D15DAB">
      <w:pPr>
        <w:jc w:val="both"/>
        <w:rPr>
          <w:rFonts w:ascii="Abadi" w:hAnsi="Abadi"/>
          <w:sz w:val="21"/>
          <w:szCs w:val="21"/>
        </w:rPr>
      </w:pPr>
      <w:r>
        <w:rPr>
          <w:rFonts w:ascii="Abadi" w:hAnsi="Abadi"/>
          <w:sz w:val="21"/>
          <w:szCs w:val="21"/>
        </w:rPr>
        <w:t>- G</w:t>
      </w:r>
      <w:r w:rsidRPr="006813AA">
        <w:rPr>
          <w:rFonts w:ascii="Abadi" w:hAnsi="Abadi"/>
          <w:sz w:val="21"/>
          <w:szCs w:val="21"/>
        </w:rPr>
        <w:t>racias Presidente</w:t>
      </w:r>
      <w:r>
        <w:rPr>
          <w:rFonts w:ascii="Abadi" w:hAnsi="Abadi"/>
          <w:sz w:val="21"/>
          <w:szCs w:val="21"/>
        </w:rPr>
        <w:t>.</w:t>
      </w:r>
    </w:p>
    <w:p w14:paraId="02D445E4" w14:textId="77777777" w:rsidR="003C51DA" w:rsidRDefault="003C51DA" w:rsidP="00D15DAB">
      <w:pPr>
        <w:jc w:val="both"/>
        <w:rPr>
          <w:rFonts w:ascii="Abadi" w:hAnsi="Abadi"/>
          <w:sz w:val="21"/>
          <w:szCs w:val="21"/>
        </w:rPr>
      </w:pPr>
    </w:p>
    <w:p w14:paraId="1B38712A" w14:textId="37CC7E87" w:rsidR="00D15DAB" w:rsidRDefault="00D15DAB" w:rsidP="00D15DAB">
      <w:pPr>
        <w:jc w:val="both"/>
        <w:rPr>
          <w:rFonts w:ascii="Abadi" w:hAnsi="Abadi"/>
          <w:sz w:val="21"/>
          <w:szCs w:val="21"/>
        </w:rPr>
      </w:pPr>
      <w:r w:rsidRPr="00303F91">
        <w:rPr>
          <w:rFonts w:ascii="Abadi" w:hAnsi="Abadi"/>
          <w:b/>
          <w:bCs/>
          <w:sz w:val="21"/>
          <w:szCs w:val="21"/>
        </w:rPr>
        <w:t>- El Presidente.-</w:t>
      </w:r>
      <w:r>
        <w:rPr>
          <w:rFonts w:ascii="Abadi" w:hAnsi="Abadi"/>
          <w:sz w:val="21"/>
          <w:szCs w:val="21"/>
        </w:rPr>
        <w:t xml:space="preserve"> G</w:t>
      </w:r>
      <w:r w:rsidRPr="006813AA">
        <w:rPr>
          <w:rFonts w:ascii="Abadi" w:hAnsi="Abadi"/>
          <w:sz w:val="21"/>
          <w:szCs w:val="21"/>
        </w:rPr>
        <w:t xml:space="preserve">racias diputada Laura </w:t>
      </w:r>
      <w:r>
        <w:rPr>
          <w:rFonts w:ascii="Abadi" w:hAnsi="Abadi"/>
          <w:sz w:val="21"/>
          <w:szCs w:val="21"/>
        </w:rPr>
        <w:t>C</w:t>
      </w:r>
      <w:r w:rsidRPr="006813AA">
        <w:rPr>
          <w:rFonts w:ascii="Abadi" w:hAnsi="Abadi"/>
          <w:sz w:val="21"/>
          <w:szCs w:val="21"/>
        </w:rPr>
        <w:t xml:space="preserve">ristina </w:t>
      </w:r>
      <w:r>
        <w:rPr>
          <w:rFonts w:ascii="Abadi" w:hAnsi="Abadi"/>
          <w:sz w:val="21"/>
          <w:szCs w:val="21"/>
        </w:rPr>
        <w:t>M</w:t>
      </w:r>
      <w:r w:rsidRPr="006813AA">
        <w:rPr>
          <w:rFonts w:ascii="Abadi" w:hAnsi="Abadi"/>
          <w:sz w:val="21"/>
          <w:szCs w:val="21"/>
        </w:rPr>
        <w:t>árquez Alcalá</w:t>
      </w:r>
      <w:r>
        <w:rPr>
          <w:rFonts w:ascii="Abadi" w:hAnsi="Abadi"/>
          <w:sz w:val="21"/>
          <w:szCs w:val="21"/>
        </w:rPr>
        <w:t>.</w:t>
      </w:r>
    </w:p>
    <w:p w14:paraId="3B1EC3E1" w14:textId="77777777" w:rsidR="003C51DA" w:rsidRDefault="003C51DA" w:rsidP="00D15DAB">
      <w:pPr>
        <w:jc w:val="both"/>
        <w:rPr>
          <w:rFonts w:ascii="Abadi" w:hAnsi="Abadi"/>
          <w:sz w:val="21"/>
          <w:szCs w:val="21"/>
        </w:rPr>
      </w:pPr>
    </w:p>
    <w:p w14:paraId="5F5A2728" w14:textId="2489E3C4" w:rsidR="00D15DAB" w:rsidRDefault="00D15DAB" w:rsidP="00D15DAB">
      <w:pPr>
        <w:ind w:firstLine="708"/>
        <w:jc w:val="both"/>
        <w:rPr>
          <w:rFonts w:ascii="Abadi" w:hAnsi="Abadi"/>
          <w:sz w:val="21"/>
          <w:szCs w:val="21"/>
        </w:rPr>
      </w:pPr>
      <w:r w:rsidRPr="00D26A0D">
        <w:rPr>
          <w:rFonts w:ascii="Abadi" w:hAnsi="Abadi"/>
          <w:b/>
          <w:bCs/>
          <w:sz w:val="21"/>
          <w:szCs w:val="21"/>
        </w:rPr>
        <w:t>- El Presidente.-</w:t>
      </w:r>
      <w:r>
        <w:rPr>
          <w:rFonts w:ascii="Abadi" w:hAnsi="Abadi"/>
          <w:sz w:val="21"/>
          <w:szCs w:val="21"/>
        </w:rPr>
        <w:t xml:space="preserve"> ¡G</w:t>
      </w:r>
      <w:r w:rsidRPr="006813AA">
        <w:rPr>
          <w:rFonts w:ascii="Abadi" w:hAnsi="Abadi"/>
          <w:sz w:val="21"/>
          <w:szCs w:val="21"/>
        </w:rPr>
        <w:t>racias</w:t>
      </w:r>
      <w:r>
        <w:rPr>
          <w:rFonts w:ascii="Abadi" w:hAnsi="Abadi"/>
          <w:sz w:val="21"/>
          <w:szCs w:val="21"/>
        </w:rPr>
        <w:t>!</w:t>
      </w:r>
      <w:r w:rsidRPr="006813AA">
        <w:rPr>
          <w:rFonts w:ascii="Abadi" w:hAnsi="Abadi"/>
          <w:sz w:val="21"/>
          <w:szCs w:val="21"/>
        </w:rPr>
        <w:t xml:space="preserve"> diputada Martha Lourdes </w:t>
      </w:r>
      <w:r>
        <w:rPr>
          <w:rFonts w:ascii="Abadi" w:hAnsi="Abadi"/>
          <w:sz w:val="21"/>
          <w:szCs w:val="21"/>
        </w:rPr>
        <w:t>O</w:t>
      </w:r>
      <w:r w:rsidRPr="006813AA">
        <w:rPr>
          <w:rFonts w:ascii="Abadi" w:hAnsi="Abadi"/>
          <w:sz w:val="21"/>
          <w:szCs w:val="21"/>
        </w:rPr>
        <w:t xml:space="preserve">rtega </w:t>
      </w:r>
      <w:r>
        <w:rPr>
          <w:rFonts w:ascii="Abadi" w:hAnsi="Abadi"/>
          <w:sz w:val="21"/>
          <w:szCs w:val="21"/>
        </w:rPr>
        <w:t>R</w:t>
      </w:r>
      <w:r w:rsidRPr="006813AA">
        <w:rPr>
          <w:rFonts w:ascii="Abadi" w:hAnsi="Abadi"/>
          <w:sz w:val="21"/>
          <w:szCs w:val="21"/>
        </w:rPr>
        <w:t>oque</w:t>
      </w:r>
      <w:r>
        <w:rPr>
          <w:rFonts w:ascii="Abadi" w:hAnsi="Abadi"/>
          <w:sz w:val="21"/>
          <w:szCs w:val="21"/>
        </w:rPr>
        <w:t>,</w:t>
      </w:r>
      <w:r w:rsidRPr="006813AA">
        <w:rPr>
          <w:rFonts w:ascii="Abadi" w:hAnsi="Abadi"/>
          <w:sz w:val="21"/>
          <w:szCs w:val="21"/>
        </w:rPr>
        <w:t xml:space="preserve"> se concede el </w:t>
      </w:r>
      <w:r>
        <w:rPr>
          <w:rFonts w:ascii="Abadi" w:hAnsi="Abadi"/>
          <w:sz w:val="21"/>
          <w:szCs w:val="21"/>
        </w:rPr>
        <w:t>u</w:t>
      </w:r>
      <w:r w:rsidRPr="006813AA">
        <w:rPr>
          <w:rFonts w:ascii="Abadi" w:hAnsi="Abadi"/>
          <w:sz w:val="21"/>
          <w:szCs w:val="21"/>
        </w:rPr>
        <w:t>so de la palabra al diputado Gerardo Fernández González</w:t>
      </w:r>
      <w:r>
        <w:rPr>
          <w:rFonts w:ascii="Abadi" w:hAnsi="Abadi"/>
          <w:sz w:val="21"/>
          <w:szCs w:val="21"/>
        </w:rPr>
        <w:t>,</w:t>
      </w:r>
      <w:r w:rsidRPr="006813AA">
        <w:rPr>
          <w:rFonts w:ascii="Abadi" w:hAnsi="Abadi"/>
          <w:sz w:val="21"/>
          <w:szCs w:val="21"/>
        </w:rPr>
        <w:t xml:space="preserve"> hasta por 10 minutos</w:t>
      </w:r>
      <w:r>
        <w:rPr>
          <w:rFonts w:ascii="Abadi" w:hAnsi="Abadi"/>
          <w:sz w:val="21"/>
          <w:szCs w:val="21"/>
        </w:rPr>
        <w:t>.</w:t>
      </w:r>
    </w:p>
    <w:p w14:paraId="58F3A8ED" w14:textId="77777777" w:rsidR="003C51DA" w:rsidRDefault="003C51DA" w:rsidP="00D15DAB">
      <w:pPr>
        <w:ind w:firstLine="708"/>
        <w:jc w:val="both"/>
        <w:rPr>
          <w:rFonts w:ascii="Abadi" w:hAnsi="Abadi"/>
          <w:sz w:val="21"/>
          <w:szCs w:val="21"/>
        </w:rPr>
      </w:pPr>
    </w:p>
    <w:p w14:paraId="209D0DA3" w14:textId="6FCEA25C" w:rsidR="00D15DAB" w:rsidRDefault="00D15DAB" w:rsidP="00D15DAB">
      <w:pPr>
        <w:jc w:val="both"/>
        <w:rPr>
          <w:rFonts w:ascii="Abadi" w:hAnsi="Abadi"/>
          <w:b/>
          <w:bCs/>
          <w:sz w:val="21"/>
          <w:szCs w:val="21"/>
        </w:rPr>
      </w:pPr>
      <w:r w:rsidRPr="001C683F">
        <w:rPr>
          <w:rFonts w:ascii="Abadi" w:hAnsi="Abadi"/>
          <w:b/>
          <w:bCs/>
          <w:sz w:val="21"/>
          <w:szCs w:val="21"/>
        </w:rPr>
        <w:t>(Sube a tribuna la diputada Martha Lourdes Ortega Roque, para hablar en asuntos de interés general, con el tema: «Cunas Vacías»)</w:t>
      </w:r>
    </w:p>
    <w:p w14:paraId="65379742" w14:textId="03B1498A" w:rsidR="003C51DA" w:rsidRDefault="003C51DA" w:rsidP="00D15DAB">
      <w:pPr>
        <w:jc w:val="both"/>
        <w:rPr>
          <w:rFonts w:ascii="Abadi" w:hAnsi="Abadi"/>
          <w:b/>
          <w:bCs/>
          <w:sz w:val="21"/>
          <w:szCs w:val="21"/>
        </w:rPr>
      </w:pPr>
    </w:p>
    <w:p w14:paraId="2820964F" w14:textId="435EE0FD" w:rsidR="003C51DA" w:rsidRDefault="003C51DA" w:rsidP="00D15DAB">
      <w:pPr>
        <w:jc w:val="both"/>
        <w:rPr>
          <w:rFonts w:ascii="Abadi" w:hAnsi="Abadi"/>
          <w:b/>
          <w:bCs/>
          <w:sz w:val="21"/>
          <w:szCs w:val="21"/>
        </w:rPr>
      </w:pPr>
      <w:r>
        <w:rPr>
          <w:noProof/>
        </w:rPr>
        <w:drawing>
          <wp:anchor distT="0" distB="0" distL="114300" distR="114300" simplePos="0" relativeHeight="251716608" behindDoc="1" locked="0" layoutInCell="1" allowOverlap="1" wp14:anchorId="7524DAA1" wp14:editId="4C5219C5">
            <wp:simplePos x="0" y="0"/>
            <wp:positionH relativeFrom="column">
              <wp:posOffset>513332</wp:posOffset>
            </wp:positionH>
            <wp:positionV relativeFrom="paragraph">
              <wp:posOffset>445495</wp:posOffset>
            </wp:positionV>
            <wp:extent cx="1616710" cy="857885"/>
            <wp:effectExtent l="247650" t="228600" r="250190" b="799465"/>
            <wp:wrapTight wrapText="bothSides">
              <wp:wrapPolygon edited="0">
                <wp:start x="-3309" y="-5756"/>
                <wp:lineTo x="-3309" y="41249"/>
                <wp:lineTo x="24688" y="41249"/>
                <wp:lineTo x="24688" y="-5756"/>
                <wp:lineTo x="-3309" y="-5756"/>
              </wp:wrapPolygon>
            </wp:wrapTight>
            <wp:docPr id="83" name="Imagen 83"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descr="Interfaz de usuario gráfica&#10;&#10;Descripción generada automáticamente"/>
                    <pic:cNvPicPr/>
                  </pic:nvPicPr>
                  <pic:blipFill rotWithShape="1">
                    <a:blip r:embed="rId87" cstate="print">
                      <a:extLst>
                        <a:ext uri="{28A0092B-C50C-407E-A947-70E740481C1C}">
                          <a14:useLocalDpi xmlns:a14="http://schemas.microsoft.com/office/drawing/2010/main" val="0"/>
                        </a:ext>
                      </a:extLst>
                    </a:blip>
                    <a:srcRect b="5599"/>
                    <a:stretch/>
                  </pic:blipFill>
                  <pic:spPr bwMode="auto">
                    <a:xfrm>
                      <a:off x="0" y="0"/>
                      <a:ext cx="1616710" cy="85788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41813D" w14:textId="6D290373" w:rsidR="003C51DA" w:rsidRDefault="003C51DA" w:rsidP="00D15DAB">
      <w:pPr>
        <w:jc w:val="both"/>
        <w:rPr>
          <w:rFonts w:ascii="Abadi" w:hAnsi="Abadi"/>
          <w:b/>
          <w:bCs/>
          <w:sz w:val="21"/>
          <w:szCs w:val="21"/>
        </w:rPr>
      </w:pPr>
    </w:p>
    <w:p w14:paraId="5A2AD18E" w14:textId="6812B37A" w:rsidR="003C51DA" w:rsidRDefault="003C51DA" w:rsidP="00D15DAB">
      <w:pPr>
        <w:jc w:val="both"/>
        <w:rPr>
          <w:rFonts w:ascii="Abadi" w:hAnsi="Abadi"/>
          <w:b/>
          <w:bCs/>
          <w:sz w:val="21"/>
          <w:szCs w:val="21"/>
        </w:rPr>
      </w:pPr>
    </w:p>
    <w:p w14:paraId="61BE15F4" w14:textId="3D2CDD1A" w:rsidR="003C51DA" w:rsidRDefault="003C51DA" w:rsidP="00D15DAB">
      <w:pPr>
        <w:jc w:val="both"/>
        <w:rPr>
          <w:rFonts w:ascii="Abadi" w:hAnsi="Abadi"/>
          <w:b/>
          <w:bCs/>
          <w:sz w:val="21"/>
          <w:szCs w:val="21"/>
        </w:rPr>
      </w:pPr>
    </w:p>
    <w:p w14:paraId="32C1A03E" w14:textId="77777777" w:rsidR="003C51DA" w:rsidRPr="001C683F" w:rsidRDefault="003C51DA" w:rsidP="00D15DAB">
      <w:pPr>
        <w:jc w:val="both"/>
        <w:rPr>
          <w:rFonts w:ascii="Abadi" w:hAnsi="Abadi"/>
          <w:b/>
          <w:bCs/>
          <w:sz w:val="21"/>
          <w:szCs w:val="21"/>
        </w:rPr>
      </w:pPr>
    </w:p>
    <w:p w14:paraId="3F29007C" w14:textId="764F44A1" w:rsidR="00D15DAB" w:rsidRDefault="00D15DAB" w:rsidP="00D15DAB">
      <w:pPr>
        <w:jc w:val="both"/>
        <w:rPr>
          <w:rFonts w:ascii="Abadi" w:hAnsi="Abadi"/>
          <w:sz w:val="21"/>
          <w:szCs w:val="21"/>
        </w:rPr>
      </w:pPr>
      <w:r>
        <w:rPr>
          <w:rFonts w:ascii="Abadi" w:hAnsi="Abadi"/>
          <w:sz w:val="21"/>
          <w:szCs w:val="21"/>
        </w:rPr>
        <w:t>- Muchas gracias con el permiso de la Presidencia, saludo a mis compañeras y compañeros diputados, a las personas que aún nos acompañan y a los medios de comunicación.</w:t>
      </w:r>
    </w:p>
    <w:p w14:paraId="5A08D6B6" w14:textId="77777777" w:rsidR="003C51DA" w:rsidRDefault="003C51DA" w:rsidP="00D15DAB">
      <w:pPr>
        <w:jc w:val="both"/>
        <w:rPr>
          <w:rFonts w:ascii="Abadi" w:hAnsi="Abadi"/>
          <w:sz w:val="21"/>
          <w:szCs w:val="21"/>
        </w:rPr>
      </w:pPr>
    </w:p>
    <w:p w14:paraId="2304703D" w14:textId="77777777" w:rsidR="00D15DAB" w:rsidRDefault="00D15DAB" w:rsidP="00D15DAB">
      <w:pPr>
        <w:jc w:val="both"/>
        <w:rPr>
          <w:rFonts w:ascii="Abadi" w:hAnsi="Abadi"/>
          <w:sz w:val="21"/>
          <w:szCs w:val="21"/>
        </w:rPr>
      </w:pPr>
      <w:r>
        <w:rPr>
          <w:rFonts w:ascii="Abadi" w:hAnsi="Abadi"/>
          <w:sz w:val="21"/>
          <w:szCs w:val="21"/>
        </w:rPr>
        <w:t xml:space="preserve">- Subo hoy a esta tribuna para externar un tema muy importante y relevante sobre el embarazo y la perdida perinatal, llamado  </w:t>
      </w:r>
      <w:r w:rsidRPr="006813AA">
        <w:rPr>
          <w:rFonts w:ascii="Abadi" w:hAnsi="Abadi"/>
          <w:sz w:val="21"/>
          <w:szCs w:val="21"/>
        </w:rPr>
        <w:t xml:space="preserve">acompaña </w:t>
      </w:r>
      <w:r>
        <w:rPr>
          <w:rFonts w:ascii="Abadi" w:hAnsi="Abadi"/>
          <w:sz w:val="21"/>
          <w:szCs w:val="21"/>
        </w:rPr>
        <w:t xml:space="preserve">a mis compañeros en este tema muy relevante </w:t>
      </w:r>
      <w:r w:rsidRPr="006813AA">
        <w:rPr>
          <w:rFonts w:ascii="Abadi" w:hAnsi="Abadi"/>
          <w:sz w:val="21"/>
          <w:szCs w:val="21"/>
        </w:rPr>
        <w:t xml:space="preserve">y a los medios de comunicación subo hoy a esta tribuna para estrenar con ustedes un tema muy importante y relevante sobre el embarazo y la pérdida perinatal llamado </w:t>
      </w:r>
      <w:r w:rsidRPr="00201C1B">
        <w:rPr>
          <w:rFonts w:ascii="Abadi" w:hAnsi="Abadi"/>
          <w:sz w:val="21"/>
          <w:szCs w:val="21"/>
        </w:rPr>
        <w:t>«Cunas Vacías»</w:t>
      </w:r>
      <w:r>
        <w:rPr>
          <w:rFonts w:ascii="Abadi" w:hAnsi="Abadi"/>
          <w:b/>
          <w:bCs/>
          <w:sz w:val="21"/>
          <w:szCs w:val="21"/>
        </w:rPr>
        <w:t xml:space="preserve"> </w:t>
      </w:r>
      <w:r w:rsidRPr="006813AA">
        <w:rPr>
          <w:rFonts w:ascii="Abadi" w:hAnsi="Abadi"/>
          <w:sz w:val="21"/>
          <w:szCs w:val="21"/>
        </w:rPr>
        <w:t xml:space="preserve"> el fondo de </w:t>
      </w:r>
      <w:r>
        <w:rPr>
          <w:rFonts w:ascii="Abadi" w:hAnsi="Abadi"/>
          <w:sz w:val="21"/>
          <w:szCs w:val="21"/>
        </w:rPr>
        <w:t>N</w:t>
      </w:r>
      <w:r w:rsidRPr="006813AA">
        <w:rPr>
          <w:rFonts w:ascii="Abadi" w:hAnsi="Abadi"/>
          <w:sz w:val="21"/>
          <w:szCs w:val="21"/>
        </w:rPr>
        <w:t xml:space="preserve">aciones </w:t>
      </w:r>
      <w:r>
        <w:rPr>
          <w:rFonts w:ascii="Abadi" w:hAnsi="Abadi"/>
          <w:sz w:val="21"/>
          <w:szCs w:val="21"/>
        </w:rPr>
        <w:t>U</w:t>
      </w:r>
      <w:r w:rsidRPr="006813AA">
        <w:rPr>
          <w:rFonts w:ascii="Abadi" w:hAnsi="Abadi"/>
          <w:sz w:val="21"/>
          <w:szCs w:val="21"/>
        </w:rPr>
        <w:t xml:space="preserve">nidas para la infancia señala que cada 16 segundos se registra una muerte fetal o perinatal </w:t>
      </w:r>
      <w:r>
        <w:rPr>
          <w:rFonts w:ascii="Abadi" w:hAnsi="Abadi"/>
          <w:sz w:val="21"/>
          <w:szCs w:val="21"/>
        </w:rPr>
        <w:t>e</w:t>
      </w:r>
      <w:r w:rsidRPr="006813AA">
        <w:rPr>
          <w:rFonts w:ascii="Abadi" w:hAnsi="Abadi"/>
          <w:sz w:val="21"/>
          <w:szCs w:val="21"/>
        </w:rPr>
        <w:t>n algún lugar del mun</w:t>
      </w:r>
      <w:r>
        <w:rPr>
          <w:rFonts w:ascii="Abadi" w:hAnsi="Abadi"/>
          <w:sz w:val="21"/>
          <w:szCs w:val="21"/>
        </w:rPr>
        <w:t>do.</w:t>
      </w:r>
    </w:p>
    <w:p w14:paraId="7C5289CE" w14:textId="2021F8A2" w:rsidR="00D15DAB" w:rsidRDefault="00D15DAB" w:rsidP="00D15DAB">
      <w:pPr>
        <w:jc w:val="both"/>
        <w:rPr>
          <w:rFonts w:ascii="Abadi" w:hAnsi="Abadi"/>
          <w:sz w:val="21"/>
          <w:szCs w:val="21"/>
        </w:rPr>
      </w:pPr>
      <w:r>
        <w:rPr>
          <w:rFonts w:ascii="Abadi" w:hAnsi="Abadi"/>
          <w:sz w:val="21"/>
          <w:szCs w:val="21"/>
        </w:rPr>
        <w:t>-</w:t>
      </w:r>
      <w:r w:rsidRPr="006813AA">
        <w:rPr>
          <w:rFonts w:ascii="Abadi" w:hAnsi="Abadi"/>
          <w:sz w:val="21"/>
          <w:szCs w:val="21"/>
        </w:rPr>
        <w:t xml:space="preserve"> </w:t>
      </w:r>
      <w:r>
        <w:rPr>
          <w:rFonts w:ascii="Abadi" w:hAnsi="Abadi"/>
          <w:sz w:val="21"/>
          <w:szCs w:val="21"/>
        </w:rPr>
        <w:t>E</w:t>
      </w:r>
      <w:r w:rsidRPr="006813AA">
        <w:rPr>
          <w:rFonts w:ascii="Abadi" w:hAnsi="Abadi"/>
          <w:sz w:val="21"/>
          <w:szCs w:val="21"/>
        </w:rPr>
        <w:t xml:space="preserve">sto significa que cada año ocurren aproximadamente </w:t>
      </w:r>
      <w:r>
        <w:rPr>
          <w:rFonts w:ascii="Abadi" w:hAnsi="Abadi"/>
          <w:sz w:val="21"/>
          <w:szCs w:val="21"/>
        </w:rPr>
        <w:t>dos</w:t>
      </w:r>
      <w:r w:rsidRPr="006813AA">
        <w:rPr>
          <w:rFonts w:ascii="Abadi" w:hAnsi="Abadi"/>
          <w:sz w:val="21"/>
          <w:szCs w:val="21"/>
        </w:rPr>
        <w:t xml:space="preserve"> millones de muertes prenatales o </w:t>
      </w:r>
      <w:r>
        <w:rPr>
          <w:rFonts w:ascii="Abadi" w:hAnsi="Abadi"/>
          <w:sz w:val="21"/>
          <w:szCs w:val="21"/>
        </w:rPr>
        <w:t xml:space="preserve">neonatales, </w:t>
      </w:r>
      <w:r w:rsidRPr="006813AA">
        <w:rPr>
          <w:rFonts w:ascii="Abadi" w:hAnsi="Abadi"/>
          <w:sz w:val="21"/>
          <w:szCs w:val="21"/>
        </w:rPr>
        <w:t>atravesar por esta experiencia tiene un impacto traumático y duradero en las</w:t>
      </w:r>
      <w:r>
        <w:rPr>
          <w:rFonts w:ascii="Abadi" w:hAnsi="Abadi"/>
          <w:sz w:val="21"/>
          <w:szCs w:val="21"/>
        </w:rPr>
        <w:t xml:space="preserve"> </w:t>
      </w:r>
      <w:r w:rsidRPr="006813AA">
        <w:rPr>
          <w:rFonts w:ascii="Abadi" w:hAnsi="Abadi"/>
          <w:sz w:val="21"/>
          <w:szCs w:val="21"/>
        </w:rPr>
        <w:t xml:space="preserve">mujeres, así como en sus núcleos cercanos </w:t>
      </w:r>
      <w:r>
        <w:rPr>
          <w:rFonts w:ascii="Abadi" w:hAnsi="Abadi"/>
          <w:sz w:val="21"/>
          <w:szCs w:val="21"/>
        </w:rPr>
        <w:t xml:space="preserve">quienes a menudo </w:t>
      </w:r>
      <w:r w:rsidRPr="006813AA">
        <w:rPr>
          <w:rFonts w:ascii="Abadi" w:hAnsi="Abadi"/>
          <w:sz w:val="21"/>
          <w:szCs w:val="21"/>
        </w:rPr>
        <w:t>pasan por un profundo sufrimiento psicológico</w:t>
      </w:r>
      <w:r>
        <w:rPr>
          <w:rFonts w:ascii="Abadi" w:hAnsi="Abadi"/>
          <w:sz w:val="21"/>
          <w:szCs w:val="21"/>
        </w:rPr>
        <w:t>.</w:t>
      </w:r>
    </w:p>
    <w:p w14:paraId="524C23A3" w14:textId="77777777" w:rsidR="003C51DA" w:rsidRDefault="003C51DA" w:rsidP="00D15DAB">
      <w:pPr>
        <w:jc w:val="both"/>
        <w:rPr>
          <w:rFonts w:ascii="Abadi" w:hAnsi="Abadi"/>
          <w:sz w:val="21"/>
          <w:szCs w:val="21"/>
        </w:rPr>
      </w:pPr>
    </w:p>
    <w:p w14:paraId="057DA624" w14:textId="4DFFF450" w:rsidR="00D15DAB" w:rsidRDefault="00D15DAB" w:rsidP="00D15DAB">
      <w:pPr>
        <w:jc w:val="both"/>
        <w:rPr>
          <w:rFonts w:ascii="Abadi" w:hAnsi="Abadi"/>
          <w:sz w:val="21"/>
          <w:szCs w:val="21"/>
        </w:rPr>
      </w:pPr>
      <w:r>
        <w:rPr>
          <w:rFonts w:ascii="Abadi" w:hAnsi="Abadi"/>
          <w:sz w:val="21"/>
          <w:szCs w:val="21"/>
        </w:rPr>
        <w:t>- E</w:t>
      </w:r>
      <w:r w:rsidRPr="006813AA">
        <w:rPr>
          <w:rFonts w:ascii="Abadi" w:hAnsi="Abadi"/>
          <w:sz w:val="21"/>
          <w:szCs w:val="21"/>
        </w:rPr>
        <w:t xml:space="preserve">n el caso de nuestro país de acuerdo con el </w:t>
      </w:r>
      <w:r>
        <w:rPr>
          <w:rFonts w:ascii="Abadi" w:hAnsi="Abadi"/>
          <w:sz w:val="21"/>
          <w:szCs w:val="21"/>
        </w:rPr>
        <w:t>I</w:t>
      </w:r>
      <w:r w:rsidRPr="006813AA">
        <w:rPr>
          <w:rFonts w:ascii="Abadi" w:hAnsi="Abadi"/>
          <w:sz w:val="21"/>
          <w:szCs w:val="21"/>
        </w:rPr>
        <w:t xml:space="preserve">nstituto </w:t>
      </w:r>
      <w:r>
        <w:rPr>
          <w:rFonts w:ascii="Abadi" w:hAnsi="Abadi"/>
          <w:sz w:val="21"/>
          <w:szCs w:val="21"/>
        </w:rPr>
        <w:t>N</w:t>
      </w:r>
      <w:r w:rsidRPr="006813AA">
        <w:rPr>
          <w:rFonts w:ascii="Abadi" w:hAnsi="Abadi"/>
          <w:sz w:val="21"/>
          <w:szCs w:val="21"/>
        </w:rPr>
        <w:t xml:space="preserve">acional de </w:t>
      </w:r>
      <w:r>
        <w:rPr>
          <w:rFonts w:ascii="Abadi" w:hAnsi="Abadi"/>
          <w:sz w:val="21"/>
          <w:szCs w:val="21"/>
        </w:rPr>
        <w:t>E</w:t>
      </w:r>
      <w:r w:rsidRPr="006813AA">
        <w:rPr>
          <w:rFonts w:ascii="Abadi" w:hAnsi="Abadi"/>
          <w:sz w:val="21"/>
          <w:szCs w:val="21"/>
        </w:rPr>
        <w:t xml:space="preserve">stadística y </w:t>
      </w:r>
      <w:r>
        <w:rPr>
          <w:rFonts w:ascii="Abadi" w:hAnsi="Abadi"/>
          <w:sz w:val="21"/>
          <w:szCs w:val="21"/>
        </w:rPr>
        <w:t>G</w:t>
      </w:r>
      <w:r w:rsidRPr="006813AA">
        <w:rPr>
          <w:rFonts w:ascii="Abadi" w:hAnsi="Abadi"/>
          <w:sz w:val="21"/>
          <w:szCs w:val="21"/>
        </w:rPr>
        <w:t>eografía durante el año 2020 se registraron más de 22</w:t>
      </w:r>
      <w:r>
        <w:rPr>
          <w:rFonts w:ascii="Abadi" w:hAnsi="Abadi"/>
          <w:sz w:val="21"/>
          <w:szCs w:val="21"/>
        </w:rPr>
        <w:t xml:space="preserve"> mil </w:t>
      </w:r>
      <w:r w:rsidRPr="006813AA">
        <w:rPr>
          <w:rFonts w:ascii="Abadi" w:hAnsi="Abadi"/>
          <w:sz w:val="21"/>
          <w:szCs w:val="21"/>
        </w:rPr>
        <w:t>defunciones fetales</w:t>
      </w:r>
      <w:r>
        <w:rPr>
          <w:rFonts w:ascii="Abadi" w:hAnsi="Abadi"/>
          <w:sz w:val="21"/>
          <w:szCs w:val="21"/>
        </w:rPr>
        <w:t>,</w:t>
      </w:r>
      <w:r w:rsidRPr="006813AA">
        <w:rPr>
          <w:rFonts w:ascii="Abadi" w:hAnsi="Abadi"/>
          <w:sz w:val="21"/>
          <w:szCs w:val="21"/>
        </w:rPr>
        <w:t xml:space="preserve"> las cuales corresponden a una tasa nacional de 6.7 por cada </w:t>
      </w:r>
      <w:r>
        <w:rPr>
          <w:rFonts w:ascii="Abadi" w:hAnsi="Abadi"/>
          <w:sz w:val="21"/>
          <w:szCs w:val="21"/>
        </w:rPr>
        <w:t>mil m</w:t>
      </w:r>
      <w:r w:rsidRPr="006813AA">
        <w:rPr>
          <w:rFonts w:ascii="Abadi" w:hAnsi="Abadi"/>
          <w:sz w:val="21"/>
          <w:szCs w:val="21"/>
        </w:rPr>
        <w:t>ujeres</w:t>
      </w:r>
      <w:r>
        <w:rPr>
          <w:rFonts w:ascii="Abadi" w:hAnsi="Abadi"/>
          <w:sz w:val="21"/>
          <w:szCs w:val="21"/>
        </w:rPr>
        <w:t>,</w:t>
      </w:r>
      <w:r w:rsidRPr="006813AA">
        <w:rPr>
          <w:rFonts w:ascii="Abadi" w:hAnsi="Abadi"/>
          <w:sz w:val="21"/>
          <w:szCs w:val="21"/>
        </w:rPr>
        <w:t xml:space="preserve"> en una edad fértil</w:t>
      </w:r>
      <w:r>
        <w:rPr>
          <w:rFonts w:ascii="Abadi" w:hAnsi="Abadi"/>
          <w:sz w:val="21"/>
          <w:szCs w:val="21"/>
        </w:rPr>
        <w:t>,</w:t>
      </w:r>
      <w:r w:rsidRPr="006813AA">
        <w:rPr>
          <w:rFonts w:ascii="Abadi" w:hAnsi="Abadi"/>
          <w:sz w:val="21"/>
          <w:szCs w:val="21"/>
        </w:rPr>
        <w:t xml:space="preserve"> a nivel estatal los estados que tienen las tasas más altas de muertes fetales </w:t>
      </w:r>
      <w:r>
        <w:rPr>
          <w:rFonts w:ascii="Abadi" w:hAnsi="Abadi"/>
          <w:sz w:val="21"/>
          <w:szCs w:val="21"/>
        </w:rPr>
        <w:t xml:space="preserve">son: </w:t>
      </w:r>
      <w:r w:rsidRPr="006813AA">
        <w:rPr>
          <w:rFonts w:ascii="Abadi" w:hAnsi="Abadi"/>
          <w:sz w:val="21"/>
          <w:szCs w:val="21"/>
        </w:rPr>
        <w:t>Aguascalientes con el 10.6% guanajuato con 9.5% y San Luis Potosí con 8.9</w:t>
      </w:r>
      <w:r>
        <w:rPr>
          <w:rFonts w:ascii="Abadi" w:hAnsi="Abadi"/>
          <w:sz w:val="21"/>
          <w:szCs w:val="21"/>
        </w:rPr>
        <w:t xml:space="preserve"> %</w:t>
      </w:r>
      <w:r w:rsidRPr="006813AA">
        <w:rPr>
          <w:rFonts w:ascii="Abadi" w:hAnsi="Abadi"/>
          <w:sz w:val="21"/>
          <w:szCs w:val="21"/>
        </w:rPr>
        <w:t xml:space="preserve"> por el contrario</w:t>
      </w:r>
      <w:r>
        <w:rPr>
          <w:rFonts w:ascii="Abadi" w:hAnsi="Abadi"/>
          <w:sz w:val="21"/>
          <w:szCs w:val="21"/>
        </w:rPr>
        <w:t>,</w:t>
      </w:r>
      <w:r w:rsidRPr="006813AA">
        <w:rPr>
          <w:rFonts w:ascii="Abadi" w:hAnsi="Abadi"/>
          <w:sz w:val="21"/>
          <w:szCs w:val="21"/>
        </w:rPr>
        <w:t xml:space="preserve"> </w:t>
      </w:r>
      <w:r>
        <w:rPr>
          <w:rFonts w:ascii="Abadi" w:hAnsi="Abadi"/>
          <w:sz w:val="21"/>
          <w:szCs w:val="21"/>
        </w:rPr>
        <w:t>de</w:t>
      </w:r>
      <w:r w:rsidRPr="006813AA">
        <w:rPr>
          <w:rFonts w:ascii="Abadi" w:hAnsi="Abadi"/>
          <w:sz w:val="21"/>
          <w:szCs w:val="21"/>
        </w:rPr>
        <w:t xml:space="preserve"> las tasas más bajas que se localizan en Sinaloa</w:t>
      </w:r>
      <w:r>
        <w:rPr>
          <w:rFonts w:ascii="Abadi" w:hAnsi="Abadi"/>
          <w:sz w:val="21"/>
          <w:szCs w:val="21"/>
        </w:rPr>
        <w:t>,</w:t>
      </w:r>
      <w:r w:rsidRPr="006813AA">
        <w:rPr>
          <w:rFonts w:ascii="Abadi" w:hAnsi="Abadi"/>
          <w:sz w:val="21"/>
          <w:szCs w:val="21"/>
        </w:rPr>
        <w:t xml:space="preserve"> Oaxaca</w:t>
      </w:r>
      <w:r>
        <w:rPr>
          <w:rFonts w:ascii="Abadi" w:hAnsi="Abadi"/>
          <w:sz w:val="21"/>
          <w:szCs w:val="21"/>
        </w:rPr>
        <w:t xml:space="preserve"> y Michoacán de Ocampo.</w:t>
      </w:r>
    </w:p>
    <w:p w14:paraId="6F4C8191" w14:textId="77777777" w:rsidR="003C51DA" w:rsidRDefault="003C51DA" w:rsidP="00D15DAB">
      <w:pPr>
        <w:jc w:val="both"/>
        <w:rPr>
          <w:rFonts w:ascii="Abadi" w:hAnsi="Abadi"/>
          <w:sz w:val="21"/>
          <w:szCs w:val="21"/>
        </w:rPr>
      </w:pPr>
    </w:p>
    <w:p w14:paraId="405B61C2" w14:textId="65139614" w:rsidR="00D15DAB" w:rsidRDefault="00D15DAB" w:rsidP="00D15DAB">
      <w:pPr>
        <w:jc w:val="both"/>
        <w:rPr>
          <w:rFonts w:ascii="Abadi" w:hAnsi="Abadi"/>
          <w:sz w:val="21"/>
          <w:szCs w:val="21"/>
        </w:rPr>
      </w:pPr>
      <w:r>
        <w:rPr>
          <w:rFonts w:ascii="Abadi" w:hAnsi="Abadi"/>
          <w:sz w:val="21"/>
          <w:szCs w:val="21"/>
        </w:rPr>
        <w:t>- E</w:t>
      </w:r>
      <w:r w:rsidRPr="006813AA">
        <w:rPr>
          <w:rFonts w:ascii="Abadi" w:hAnsi="Abadi"/>
          <w:sz w:val="21"/>
          <w:szCs w:val="21"/>
        </w:rPr>
        <w:t>ntre las principales causas de muerte</w:t>
      </w:r>
      <w:r>
        <w:rPr>
          <w:rFonts w:ascii="Abadi" w:hAnsi="Abadi"/>
          <w:sz w:val="21"/>
          <w:szCs w:val="21"/>
        </w:rPr>
        <w:t xml:space="preserve"> fetal, encontramos en primer lugar por afectaciones que tuvo el feto por factores maternos </w:t>
      </w:r>
      <w:r w:rsidRPr="006813AA">
        <w:rPr>
          <w:rFonts w:ascii="Abadi" w:hAnsi="Abadi"/>
          <w:sz w:val="21"/>
          <w:szCs w:val="21"/>
        </w:rPr>
        <w:t>y complicaciones durante el embarazo el trabajo de parto y el parto y en segundo lugar los trastornos en el periodo perinatal</w:t>
      </w:r>
      <w:r>
        <w:rPr>
          <w:rFonts w:ascii="Abadi" w:hAnsi="Abadi"/>
          <w:sz w:val="21"/>
          <w:szCs w:val="21"/>
        </w:rPr>
        <w:t>.</w:t>
      </w:r>
    </w:p>
    <w:p w14:paraId="3B716797" w14:textId="77777777" w:rsidR="003C51DA" w:rsidRDefault="003C51DA" w:rsidP="00D15DAB">
      <w:pPr>
        <w:jc w:val="both"/>
        <w:rPr>
          <w:rFonts w:ascii="Abadi" w:hAnsi="Abadi"/>
          <w:sz w:val="21"/>
          <w:szCs w:val="21"/>
        </w:rPr>
      </w:pPr>
    </w:p>
    <w:p w14:paraId="0CC22F8A" w14:textId="089FDC08" w:rsidR="00D15DAB" w:rsidRDefault="00D15DAB" w:rsidP="00D15DAB">
      <w:pPr>
        <w:jc w:val="both"/>
        <w:rPr>
          <w:rFonts w:ascii="Abadi" w:hAnsi="Abadi"/>
          <w:sz w:val="21"/>
          <w:szCs w:val="21"/>
        </w:rPr>
      </w:pPr>
      <w:r>
        <w:rPr>
          <w:rFonts w:ascii="Abadi" w:hAnsi="Abadi"/>
          <w:sz w:val="21"/>
          <w:szCs w:val="21"/>
        </w:rPr>
        <w:t>- D</w:t>
      </w:r>
      <w:r w:rsidRPr="006813AA">
        <w:rPr>
          <w:rFonts w:ascii="Abadi" w:hAnsi="Abadi"/>
          <w:sz w:val="21"/>
          <w:szCs w:val="21"/>
        </w:rPr>
        <w:t xml:space="preserve">e conformidad con el </w:t>
      </w:r>
      <w:r>
        <w:rPr>
          <w:rFonts w:ascii="Abadi" w:hAnsi="Abadi"/>
          <w:sz w:val="21"/>
          <w:szCs w:val="21"/>
        </w:rPr>
        <w:t>D</w:t>
      </w:r>
      <w:r w:rsidRPr="006813AA">
        <w:rPr>
          <w:rFonts w:ascii="Abadi" w:hAnsi="Abadi"/>
          <w:sz w:val="21"/>
          <w:szCs w:val="21"/>
        </w:rPr>
        <w:t xml:space="preserve">octor </w:t>
      </w:r>
      <w:r>
        <w:rPr>
          <w:rFonts w:ascii="Abadi" w:hAnsi="Abadi"/>
          <w:sz w:val="21"/>
          <w:szCs w:val="21"/>
        </w:rPr>
        <w:t>S</w:t>
      </w:r>
      <w:r w:rsidRPr="006813AA">
        <w:rPr>
          <w:rFonts w:ascii="Abadi" w:hAnsi="Abadi"/>
          <w:sz w:val="21"/>
          <w:szCs w:val="21"/>
        </w:rPr>
        <w:t xml:space="preserve">alvador </w:t>
      </w:r>
      <w:r>
        <w:rPr>
          <w:rFonts w:ascii="Abadi" w:hAnsi="Abadi"/>
          <w:sz w:val="21"/>
          <w:szCs w:val="21"/>
        </w:rPr>
        <w:t>E</w:t>
      </w:r>
      <w:r w:rsidRPr="006813AA">
        <w:rPr>
          <w:rFonts w:ascii="Abadi" w:hAnsi="Abadi"/>
          <w:sz w:val="21"/>
          <w:szCs w:val="21"/>
        </w:rPr>
        <w:t>spin</w:t>
      </w:r>
      <w:r>
        <w:rPr>
          <w:rFonts w:ascii="Abadi" w:hAnsi="Abadi"/>
          <w:sz w:val="21"/>
          <w:szCs w:val="21"/>
        </w:rPr>
        <w:t>o,</w:t>
      </w:r>
      <w:r w:rsidRPr="006813AA">
        <w:rPr>
          <w:rFonts w:ascii="Abadi" w:hAnsi="Abadi"/>
          <w:sz w:val="21"/>
          <w:szCs w:val="21"/>
        </w:rPr>
        <w:t xml:space="preserve"> cuando se tiene un</w:t>
      </w:r>
      <w:r>
        <w:rPr>
          <w:rFonts w:ascii="Abadi" w:hAnsi="Abadi"/>
          <w:sz w:val="21"/>
          <w:szCs w:val="21"/>
        </w:rPr>
        <w:t>a muerte fetal o perinatal,</w:t>
      </w:r>
      <w:r w:rsidRPr="006813AA">
        <w:rPr>
          <w:rFonts w:ascii="Abadi" w:hAnsi="Abadi"/>
          <w:sz w:val="21"/>
          <w:szCs w:val="21"/>
        </w:rPr>
        <w:t xml:space="preserve"> la postura de muchas de las personas profesionales de la salud</w:t>
      </w:r>
      <w:r>
        <w:rPr>
          <w:rFonts w:ascii="Abadi" w:hAnsi="Abadi"/>
          <w:sz w:val="21"/>
          <w:szCs w:val="21"/>
        </w:rPr>
        <w:t>,</w:t>
      </w:r>
      <w:r w:rsidRPr="006813AA">
        <w:rPr>
          <w:rFonts w:ascii="Abadi" w:hAnsi="Abadi"/>
          <w:sz w:val="21"/>
          <w:szCs w:val="21"/>
        </w:rPr>
        <w:t xml:space="preserve"> es terminar</w:t>
      </w:r>
      <w:r>
        <w:rPr>
          <w:rFonts w:ascii="Abadi" w:hAnsi="Abadi"/>
          <w:sz w:val="21"/>
          <w:szCs w:val="21"/>
        </w:rPr>
        <w:t xml:space="preserve"> con el embarazo e ignorar que paso este evento, </w:t>
      </w:r>
      <w:r w:rsidRPr="006813AA">
        <w:rPr>
          <w:rFonts w:ascii="Abadi" w:hAnsi="Abadi"/>
          <w:sz w:val="21"/>
          <w:szCs w:val="21"/>
        </w:rPr>
        <w:t>incluso en muchas latitudes se sugiere que la madre no vea a la hija o al hijo y le sugiere no conocer</w:t>
      </w:r>
      <w:r>
        <w:rPr>
          <w:rFonts w:ascii="Abadi" w:hAnsi="Abadi"/>
          <w:sz w:val="21"/>
          <w:szCs w:val="21"/>
        </w:rPr>
        <w:t>lo,</w:t>
      </w:r>
      <w:r w:rsidRPr="006813AA">
        <w:rPr>
          <w:rFonts w:ascii="Abadi" w:hAnsi="Abadi"/>
          <w:sz w:val="21"/>
          <w:szCs w:val="21"/>
        </w:rPr>
        <w:t xml:space="preserve"> esto impacta de forma negativa en la fase del duelo</w:t>
      </w:r>
      <w:r>
        <w:rPr>
          <w:rFonts w:ascii="Abadi" w:hAnsi="Abadi"/>
          <w:sz w:val="21"/>
          <w:szCs w:val="21"/>
        </w:rPr>
        <w:t>,</w:t>
      </w:r>
      <w:r w:rsidRPr="006813AA">
        <w:rPr>
          <w:rFonts w:ascii="Abadi" w:hAnsi="Abadi"/>
          <w:sz w:val="21"/>
          <w:szCs w:val="21"/>
        </w:rPr>
        <w:t xml:space="preserve"> tradicionalmente se ha considerado como un evento minimizado</w:t>
      </w:r>
      <w:r>
        <w:rPr>
          <w:rFonts w:ascii="Abadi" w:hAnsi="Abadi"/>
          <w:sz w:val="21"/>
          <w:szCs w:val="21"/>
        </w:rPr>
        <w:t>,</w:t>
      </w:r>
      <w:r w:rsidRPr="006813AA">
        <w:rPr>
          <w:rFonts w:ascii="Abadi" w:hAnsi="Abadi"/>
          <w:sz w:val="21"/>
          <w:szCs w:val="21"/>
        </w:rPr>
        <w:t xml:space="preserve"> tanto en el ámbito médico</w:t>
      </w:r>
      <w:r>
        <w:rPr>
          <w:rFonts w:ascii="Abadi" w:hAnsi="Abadi"/>
          <w:sz w:val="21"/>
          <w:szCs w:val="21"/>
        </w:rPr>
        <w:t>,</w:t>
      </w:r>
      <w:r w:rsidRPr="006813AA">
        <w:rPr>
          <w:rFonts w:ascii="Abadi" w:hAnsi="Abadi"/>
          <w:sz w:val="21"/>
          <w:szCs w:val="21"/>
        </w:rPr>
        <w:t xml:space="preserve"> como en la sociedad</w:t>
      </w:r>
      <w:r>
        <w:rPr>
          <w:rFonts w:ascii="Abadi" w:hAnsi="Abadi"/>
          <w:sz w:val="21"/>
          <w:szCs w:val="21"/>
        </w:rPr>
        <w:t>.</w:t>
      </w:r>
    </w:p>
    <w:p w14:paraId="77C8E004" w14:textId="77777777" w:rsidR="003C51DA" w:rsidRDefault="003C51DA" w:rsidP="00D15DAB">
      <w:pPr>
        <w:jc w:val="both"/>
        <w:rPr>
          <w:rFonts w:ascii="Abadi" w:hAnsi="Abadi"/>
          <w:sz w:val="21"/>
          <w:szCs w:val="21"/>
        </w:rPr>
      </w:pPr>
    </w:p>
    <w:p w14:paraId="10A66F5E" w14:textId="7046F3BC" w:rsidR="00D15DAB" w:rsidRDefault="00D15DAB" w:rsidP="00D15DAB">
      <w:pPr>
        <w:jc w:val="both"/>
        <w:rPr>
          <w:rFonts w:ascii="Abadi" w:hAnsi="Abadi"/>
          <w:sz w:val="21"/>
          <w:szCs w:val="21"/>
        </w:rPr>
      </w:pPr>
      <w:r>
        <w:rPr>
          <w:rFonts w:ascii="Abadi" w:hAnsi="Abadi"/>
          <w:sz w:val="21"/>
          <w:szCs w:val="21"/>
        </w:rPr>
        <w:t>- L</w:t>
      </w:r>
      <w:r w:rsidRPr="006813AA">
        <w:rPr>
          <w:rFonts w:ascii="Abadi" w:hAnsi="Abadi"/>
          <w:sz w:val="21"/>
          <w:szCs w:val="21"/>
        </w:rPr>
        <w:t>as personas que pasan por esto pueden presentar trastornos psicológicos secundarios</w:t>
      </w:r>
      <w:r>
        <w:rPr>
          <w:rFonts w:ascii="Abadi" w:hAnsi="Abadi"/>
          <w:sz w:val="21"/>
          <w:szCs w:val="21"/>
        </w:rPr>
        <w:t>,</w:t>
      </w:r>
      <w:r w:rsidRPr="006813AA">
        <w:rPr>
          <w:rFonts w:ascii="Abadi" w:hAnsi="Abadi"/>
          <w:sz w:val="21"/>
          <w:szCs w:val="21"/>
        </w:rPr>
        <w:t xml:space="preserve"> tras la pérdida fetal y perinatal e incluso temor o angustia en el siguiente embarazo</w:t>
      </w:r>
      <w:r>
        <w:rPr>
          <w:rFonts w:ascii="Abadi" w:hAnsi="Abadi"/>
          <w:sz w:val="21"/>
          <w:szCs w:val="21"/>
        </w:rPr>
        <w:t xml:space="preserve">, </w:t>
      </w:r>
      <w:r w:rsidRPr="006813AA">
        <w:rPr>
          <w:rFonts w:ascii="Abadi" w:hAnsi="Abadi"/>
          <w:sz w:val="21"/>
          <w:szCs w:val="21"/>
        </w:rPr>
        <w:t>esto ha llevado a los especialistas a realizar intervenciones desde un enfoque multidisciplinario en el que intervienen patólogos</w:t>
      </w:r>
      <w:r>
        <w:rPr>
          <w:rFonts w:ascii="Abadi" w:hAnsi="Abadi"/>
          <w:sz w:val="21"/>
          <w:szCs w:val="21"/>
        </w:rPr>
        <w:t>,</w:t>
      </w:r>
      <w:r w:rsidRPr="006813AA">
        <w:rPr>
          <w:rFonts w:ascii="Abadi" w:hAnsi="Abadi"/>
          <w:sz w:val="21"/>
          <w:szCs w:val="21"/>
        </w:rPr>
        <w:t xml:space="preserve"> perinatológicos</w:t>
      </w:r>
      <w:r>
        <w:rPr>
          <w:rFonts w:ascii="Abadi" w:hAnsi="Abadi"/>
          <w:sz w:val="21"/>
          <w:szCs w:val="21"/>
        </w:rPr>
        <w:t>,</w:t>
      </w:r>
      <w:r w:rsidRPr="006813AA">
        <w:rPr>
          <w:rFonts w:ascii="Abadi" w:hAnsi="Abadi"/>
          <w:sz w:val="21"/>
          <w:szCs w:val="21"/>
        </w:rPr>
        <w:t xml:space="preserve"> genetistas</w:t>
      </w:r>
      <w:r>
        <w:rPr>
          <w:rFonts w:ascii="Abadi" w:hAnsi="Abadi"/>
          <w:sz w:val="21"/>
          <w:szCs w:val="21"/>
        </w:rPr>
        <w:t>,</w:t>
      </w:r>
      <w:r w:rsidRPr="006813AA">
        <w:rPr>
          <w:rFonts w:ascii="Abadi" w:hAnsi="Abadi"/>
          <w:sz w:val="21"/>
          <w:szCs w:val="21"/>
        </w:rPr>
        <w:t xml:space="preserve"> neonatólogos</w:t>
      </w:r>
      <w:r>
        <w:rPr>
          <w:rFonts w:ascii="Abadi" w:hAnsi="Abadi"/>
          <w:sz w:val="21"/>
          <w:szCs w:val="21"/>
        </w:rPr>
        <w:t>,</w:t>
      </w:r>
      <w:r w:rsidRPr="006813AA">
        <w:rPr>
          <w:rFonts w:ascii="Abadi" w:hAnsi="Abadi"/>
          <w:sz w:val="21"/>
          <w:szCs w:val="21"/>
        </w:rPr>
        <w:t xml:space="preserve"> enfermeras y psicólogos principalmente</w:t>
      </w:r>
      <w:r>
        <w:rPr>
          <w:rFonts w:ascii="Abadi" w:hAnsi="Abadi"/>
          <w:sz w:val="21"/>
          <w:szCs w:val="21"/>
        </w:rPr>
        <w:t>.</w:t>
      </w:r>
    </w:p>
    <w:p w14:paraId="6D015DEB" w14:textId="77777777" w:rsidR="003C51DA" w:rsidRDefault="003C51DA" w:rsidP="00D15DAB">
      <w:pPr>
        <w:jc w:val="both"/>
        <w:rPr>
          <w:rFonts w:ascii="Abadi" w:hAnsi="Abadi"/>
          <w:sz w:val="21"/>
          <w:szCs w:val="21"/>
        </w:rPr>
      </w:pPr>
    </w:p>
    <w:p w14:paraId="5C0B1F65" w14:textId="045F8C78" w:rsidR="00D15DAB" w:rsidRDefault="00D15DAB" w:rsidP="00D15DAB">
      <w:pPr>
        <w:jc w:val="both"/>
        <w:rPr>
          <w:rFonts w:ascii="Abadi" w:hAnsi="Abadi"/>
          <w:sz w:val="21"/>
          <w:szCs w:val="21"/>
        </w:rPr>
      </w:pPr>
      <w:r>
        <w:rPr>
          <w:rFonts w:ascii="Abadi" w:hAnsi="Abadi"/>
          <w:sz w:val="21"/>
          <w:szCs w:val="21"/>
        </w:rPr>
        <w:t>- C</w:t>
      </w:r>
      <w:r w:rsidRPr="006813AA">
        <w:rPr>
          <w:rFonts w:ascii="Abadi" w:hAnsi="Abadi"/>
          <w:sz w:val="21"/>
          <w:szCs w:val="21"/>
        </w:rPr>
        <w:t xml:space="preserve">omo </w:t>
      </w:r>
      <w:r>
        <w:rPr>
          <w:rFonts w:ascii="Abadi" w:hAnsi="Abadi"/>
          <w:sz w:val="21"/>
          <w:szCs w:val="21"/>
        </w:rPr>
        <w:t xml:space="preserve">sociedad </w:t>
      </w:r>
      <w:r w:rsidRPr="006813AA">
        <w:rPr>
          <w:rFonts w:ascii="Abadi" w:hAnsi="Abadi"/>
          <w:sz w:val="21"/>
          <w:szCs w:val="21"/>
        </w:rPr>
        <w:t>no hablamos de estos duelos</w:t>
      </w:r>
      <w:r>
        <w:rPr>
          <w:rFonts w:ascii="Abadi" w:hAnsi="Abadi"/>
          <w:sz w:val="21"/>
          <w:szCs w:val="21"/>
        </w:rPr>
        <w:t>,</w:t>
      </w:r>
      <w:r w:rsidRPr="006813AA">
        <w:rPr>
          <w:rFonts w:ascii="Abadi" w:hAnsi="Abadi"/>
          <w:sz w:val="21"/>
          <w:szCs w:val="21"/>
        </w:rPr>
        <w:t xml:space="preserve"> no compartimos emociones</w:t>
      </w:r>
      <w:r>
        <w:rPr>
          <w:rFonts w:ascii="Abadi" w:hAnsi="Abadi"/>
          <w:sz w:val="21"/>
          <w:szCs w:val="21"/>
        </w:rPr>
        <w:t>,</w:t>
      </w:r>
      <w:r w:rsidRPr="006813AA">
        <w:rPr>
          <w:rFonts w:ascii="Abadi" w:hAnsi="Abadi"/>
          <w:sz w:val="21"/>
          <w:szCs w:val="21"/>
        </w:rPr>
        <w:t xml:space="preserve"> pero sin lugar a duda</w:t>
      </w:r>
      <w:r>
        <w:rPr>
          <w:rFonts w:ascii="Abadi" w:hAnsi="Abadi"/>
          <w:sz w:val="21"/>
          <w:szCs w:val="21"/>
        </w:rPr>
        <w:t>s</w:t>
      </w:r>
      <w:r w:rsidRPr="006813AA">
        <w:rPr>
          <w:rFonts w:ascii="Abadi" w:hAnsi="Abadi"/>
          <w:sz w:val="21"/>
          <w:szCs w:val="21"/>
        </w:rPr>
        <w:t xml:space="preserve"> hay mujeres y hombres que hoy lo están viviendo nuestro necesitamos avanzar a la parte humana de la medicina para que las pacientes sean mejor atendidas de una forma integral cuando pasen por esta situación voy a citar un fragmento del libro </w:t>
      </w:r>
      <w:r>
        <w:rPr>
          <w:rFonts w:ascii="Abadi" w:hAnsi="Abadi"/>
          <w:sz w:val="21"/>
          <w:szCs w:val="21"/>
        </w:rPr>
        <w:t>«</w:t>
      </w:r>
      <w:r w:rsidRPr="006813AA">
        <w:rPr>
          <w:rFonts w:ascii="Abadi" w:hAnsi="Abadi"/>
          <w:sz w:val="21"/>
          <w:szCs w:val="21"/>
        </w:rPr>
        <w:t>aunque no te pueda ver mi vida después de la muerte</w:t>
      </w:r>
      <w:r>
        <w:rPr>
          <w:rFonts w:ascii="Abadi" w:hAnsi="Abadi"/>
          <w:sz w:val="21"/>
          <w:szCs w:val="21"/>
        </w:rPr>
        <w:t>»</w:t>
      </w:r>
      <w:r w:rsidRPr="006813AA">
        <w:rPr>
          <w:rFonts w:ascii="Abadi" w:hAnsi="Abadi"/>
          <w:sz w:val="21"/>
          <w:szCs w:val="21"/>
        </w:rPr>
        <w:t xml:space="preserve"> de la maestra en </w:t>
      </w:r>
      <w:r>
        <w:rPr>
          <w:rFonts w:ascii="Abadi" w:hAnsi="Abadi"/>
          <w:sz w:val="21"/>
          <w:szCs w:val="21"/>
        </w:rPr>
        <w:t>p</w:t>
      </w:r>
      <w:r w:rsidRPr="006813AA">
        <w:rPr>
          <w:rFonts w:ascii="Abadi" w:hAnsi="Abadi"/>
          <w:sz w:val="21"/>
          <w:szCs w:val="21"/>
        </w:rPr>
        <w:t xml:space="preserve">sicoterapeuta Carmen </w:t>
      </w:r>
      <w:r>
        <w:rPr>
          <w:rFonts w:ascii="Abadi" w:hAnsi="Abadi"/>
          <w:sz w:val="21"/>
          <w:szCs w:val="21"/>
        </w:rPr>
        <w:t>J</w:t>
      </w:r>
      <w:r w:rsidRPr="006813AA">
        <w:rPr>
          <w:rFonts w:ascii="Abadi" w:hAnsi="Abadi"/>
          <w:sz w:val="21"/>
          <w:szCs w:val="21"/>
        </w:rPr>
        <w:t>uárez lo más complicado del duelo prenatal es justamente tener que vivir el postparto</w:t>
      </w:r>
      <w:r>
        <w:rPr>
          <w:rFonts w:ascii="Abadi" w:hAnsi="Abadi"/>
          <w:sz w:val="21"/>
          <w:szCs w:val="21"/>
        </w:rPr>
        <w:t>,</w:t>
      </w:r>
      <w:r w:rsidRPr="006813AA">
        <w:rPr>
          <w:rFonts w:ascii="Abadi" w:hAnsi="Abadi"/>
          <w:sz w:val="21"/>
          <w:szCs w:val="21"/>
        </w:rPr>
        <w:t xml:space="preserve"> sin la presencia de nuestro bebé se rompe la ilusión</w:t>
      </w:r>
      <w:r>
        <w:rPr>
          <w:rFonts w:ascii="Abadi" w:hAnsi="Abadi"/>
          <w:sz w:val="21"/>
          <w:szCs w:val="21"/>
        </w:rPr>
        <w:t>,</w:t>
      </w:r>
      <w:r w:rsidRPr="006813AA">
        <w:rPr>
          <w:rFonts w:ascii="Abadi" w:hAnsi="Abadi"/>
          <w:sz w:val="21"/>
          <w:szCs w:val="21"/>
        </w:rPr>
        <w:t xml:space="preserve"> se viene al suelo todas las expectativas</w:t>
      </w:r>
      <w:r>
        <w:rPr>
          <w:rFonts w:ascii="Abadi" w:hAnsi="Abadi"/>
          <w:sz w:val="21"/>
          <w:szCs w:val="21"/>
        </w:rPr>
        <w:t>,</w:t>
      </w:r>
      <w:r w:rsidRPr="006813AA">
        <w:rPr>
          <w:rFonts w:ascii="Abadi" w:hAnsi="Abadi"/>
          <w:sz w:val="21"/>
          <w:szCs w:val="21"/>
        </w:rPr>
        <w:t xml:space="preserve"> se</w:t>
      </w:r>
      <w:r>
        <w:rPr>
          <w:rFonts w:ascii="Abadi" w:hAnsi="Abadi"/>
          <w:sz w:val="21"/>
          <w:szCs w:val="21"/>
        </w:rPr>
        <w:t xml:space="preserve"> </w:t>
      </w:r>
      <w:r w:rsidRPr="006813AA">
        <w:rPr>
          <w:rFonts w:ascii="Abadi" w:hAnsi="Abadi"/>
          <w:sz w:val="21"/>
          <w:szCs w:val="21"/>
        </w:rPr>
        <w:t>desqu</w:t>
      </w:r>
      <w:r>
        <w:rPr>
          <w:rFonts w:ascii="Abadi" w:hAnsi="Abadi"/>
          <w:sz w:val="21"/>
          <w:szCs w:val="21"/>
        </w:rPr>
        <w:t>ebrajan</w:t>
      </w:r>
      <w:r w:rsidRPr="006813AA">
        <w:rPr>
          <w:rFonts w:ascii="Abadi" w:hAnsi="Abadi"/>
          <w:sz w:val="21"/>
          <w:szCs w:val="21"/>
        </w:rPr>
        <w:t xml:space="preserve"> en miles de fragmentos</w:t>
      </w:r>
      <w:r>
        <w:rPr>
          <w:rFonts w:ascii="Abadi" w:hAnsi="Abadi"/>
          <w:sz w:val="21"/>
          <w:szCs w:val="21"/>
        </w:rPr>
        <w:t xml:space="preserve">, </w:t>
      </w:r>
      <w:r w:rsidRPr="006813AA">
        <w:rPr>
          <w:rFonts w:ascii="Abadi" w:hAnsi="Abadi"/>
          <w:sz w:val="21"/>
          <w:szCs w:val="21"/>
        </w:rPr>
        <w:t xml:space="preserve"> la identidad materna y paterna que veníamos construyendo</w:t>
      </w:r>
      <w:r>
        <w:rPr>
          <w:rFonts w:ascii="Abadi" w:hAnsi="Abadi"/>
          <w:sz w:val="21"/>
          <w:szCs w:val="21"/>
        </w:rPr>
        <w:t>, n</w:t>
      </w:r>
      <w:r w:rsidRPr="006813AA">
        <w:rPr>
          <w:rFonts w:ascii="Abadi" w:hAnsi="Abadi"/>
          <w:sz w:val="21"/>
          <w:szCs w:val="21"/>
        </w:rPr>
        <w:t>o tenemos todos que vivir un duelo para que nos importe</w:t>
      </w:r>
      <w:r w:rsidR="003C51DA">
        <w:rPr>
          <w:rFonts w:ascii="Abadi" w:hAnsi="Abadi"/>
          <w:sz w:val="21"/>
          <w:szCs w:val="21"/>
        </w:rPr>
        <w:t>.</w:t>
      </w:r>
      <w:r w:rsidRPr="006813AA">
        <w:rPr>
          <w:rFonts w:ascii="Abadi" w:hAnsi="Abadi"/>
          <w:sz w:val="21"/>
          <w:szCs w:val="21"/>
        </w:rPr>
        <w:t xml:space="preserve"> </w:t>
      </w:r>
    </w:p>
    <w:p w14:paraId="1B897BD0" w14:textId="77777777" w:rsidR="003C51DA" w:rsidRDefault="003C51DA" w:rsidP="00D15DAB">
      <w:pPr>
        <w:jc w:val="both"/>
        <w:rPr>
          <w:rFonts w:ascii="Abadi" w:hAnsi="Abadi"/>
          <w:sz w:val="21"/>
          <w:szCs w:val="21"/>
        </w:rPr>
      </w:pPr>
    </w:p>
    <w:p w14:paraId="31C05303" w14:textId="609C8A05" w:rsidR="00D15DAB" w:rsidRDefault="00D15DAB" w:rsidP="00D15DAB">
      <w:pPr>
        <w:jc w:val="both"/>
        <w:rPr>
          <w:rFonts w:ascii="Abadi" w:hAnsi="Abadi"/>
          <w:sz w:val="21"/>
          <w:szCs w:val="21"/>
        </w:rPr>
      </w:pPr>
      <w:r>
        <w:rPr>
          <w:rFonts w:ascii="Abadi" w:hAnsi="Abadi"/>
          <w:sz w:val="21"/>
          <w:szCs w:val="21"/>
        </w:rPr>
        <w:t>- E</w:t>
      </w:r>
      <w:r w:rsidRPr="006813AA">
        <w:rPr>
          <w:rFonts w:ascii="Abadi" w:hAnsi="Abadi"/>
          <w:sz w:val="21"/>
          <w:szCs w:val="21"/>
        </w:rPr>
        <w:t>s por eso que proponemos ampliar y proteger los derechos de las madres y de los padres que han sufrido la muerte fetal y perinatal a sus hijas e hijo</w:t>
      </w:r>
      <w:r>
        <w:rPr>
          <w:rFonts w:ascii="Abadi" w:hAnsi="Abadi"/>
          <w:sz w:val="21"/>
          <w:szCs w:val="21"/>
        </w:rPr>
        <w:t>s,</w:t>
      </w:r>
      <w:r w:rsidRPr="006813AA">
        <w:rPr>
          <w:rFonts w:ascii="Abadi" w:hAnsi="Abadi"/>
          <w:sz w:val="21"/>
          <w:szCs w:val="21"/>
        </w:rPr>
        <w:t xml:space="preserve"> dicho lo anterior</w:t>
      </w:r>
      <w:r>
        <w:rPr>
          <w:rFonts w:ascii="Abadi" w:hAnsi="Abadi"/>
          <w:sz w:val="21"/>
          <w:szCs w:val="21"/>
        </w:rPr>
        <w:t>,</w:t>
      </w:r>
      <w:r w:rsidRPr="006813AA">
        <w:rPr>
          <w:rFonts w:ascii="Abadi" w:hAnsi="Abadi"/>
          <w:sz w:val="21"/>
          <w:szCs w:val="21"/>
        </w:rPr>
        <w:t xml:space="preserve"> me permito informarles que en la siguiente </w:t>
      </w:r>
      <w:r>
        <w:rPr>
          <w:rFonts w:ascii="Abadi" w:hAnsi="Abadi"/>
          <w:sz w:val="21"/>
          <w:szCs w:val="21"/>
        </w:rPr>
        <w:t>S</w:t>
      </w:r>
      <w:r w:rsidRPr="006813AA">
        <w:rPr>
          <w:rFonts w:ascii="Abadi" w:hAnsi="Abadi"/>
          <w:sz w:val="21"/>
          <w:szCs w:val="21"/>
        </w:rPr>
        <w:t xml:space="preserve">esión de </w:t>
      </w:r>
      <w:r>
        <w:rPr>
          <w:rFonts w:ascii="Abadi" w:hAnsi="Abadi"/>
          <w:sz w:val="21"/>
          <w:szCs w:val="21"/>
        </w:rPr>
        <w:t>P</w:t>
      </w:r>
      <w:r w:rsidRPr="006813AA">
        <w:rPr>
          <w:rFonts w:ascii="Abadi" w:hAnsi="Abadi"/>
          <w:sz w:val="21"/>
          <w:szCs w:val="21"/>
        </w:rPr>
        <w:t>leno</w:t>
      </w:r>
      <w:r>
        <w:rPr>
          <w:rFonts w:ascii="Abadi" w:hAnsi="Abadi"/>
          <w:sz w:val="21"/>
          <w:szCs w:val="21"/>
        </w:rPr>
        <w:t xml:space="preserve">, los diputados Gerardo Fernández, su servidora, Martha Ortega, Yulma Rocha Aguilar, </w:t>
      </w:r>
      <w:r w:rsidRPr="006813AA">
        <w:rPr>
          <w:rFonts w:ascii="Abadi" w:hAnsi="Abadi"/>
          <w:sz w:val="21"/>
          <w:szCs w:val="21"/>
        </w:rPr>
        <w:t xml:space="preserve">del partido </w:t>
      </w:r>
      <w:r>
        <w:rPr>
          <w:rFonts w:ascii="Abadi" w:hAnsi="Abadi"/>
          <w:sz w:val="21"/>
          <w:szCs w:val="21"/>
        </w:rPr>
        <w:t>Revolucionario Institucional y la d</w:t>
      </w:r>
      <w:r w:rsidRPr="006813AA">
        <w:rPr>
          <w:rFonts w:ascii="Abadi" w:hAnsi="Abadi"/>
          <w:sz w:val="21"/>
          <w:szCs w:val="21"/>
        </w:rPr>
        <w:t xml:space="preserve">iputada </w:t>
      </w:r>
      <w:r>
        <w:rPr>
          <w:rFonts w:ascii="Abadi" w:hAnsi="Abadi"/>
          <w:sz w:val="21"/>
          <w:szCs w:val="21"/>
        </w:rPr>
        <w:t>D</w:t>
      </w:r>
      <w:r w:rsidRPr="006813AA">
        <w:rPr>
          <w:rFonts w:ascii="Abadi" w:hAnsi="Abadi"/>
          <w:sz w:val="21"/>
          <w:szCs w:val="21"/>
        </w:rPr>
        <w:t>e</w:t>
      </w:r>
      <w:r>
        <w:rPr>
          <w:rFonts w:ascii="Abadi" w:hAnsi="Abadi"/>
          <w:sz w:val="21"/>
          <w:szCs w:val="21"/>
        </w:rPr>
        <w:t>s</w:t>
      </w:r>
      <w:r w:rsidRPr="006813AA">
        <w:rPr>
          <w:rFonts w:ascii="Abadi" w:hAnsi="Abadi"/>
          <w:sz w:val="21"/>
          <w:szCs w:val="21"/>
        </w:rPr>
        <w:t xml:space="preserve">sire </w:t>
      </w:r>
      <w:r>
        <w:rPr>
          <w:rFonts w:ascii="Abadi" w:hAnsi="Abadi"/>
          <w:sz w:val="21"/>
          <w:szCs w:val="21"/>
        </w:rPr>
        <w:t>A</w:t>
      </w:r>
      <w:r w:rsidRPr="006813AA">
        <w:rPr>
          <w:rFonts w:ascii="Abadi" w:hAnsi="Abadi"/>
          <w:sz w:val="21"/>
          <w:szCs w:val="21"/>
        </w:rPr>
        <w:t xml:space="preserve">ngel </w:t>
      </w:r>
      <w:r>
        <w:rPr>
          <w:rFonts w:ascii="Abadi" w:hAnsi="Abadi"/>
          <w:sz w:val="21"/>
          <w:szCs w:val="21"/>
        </w:rPr>
        <w:t>R</w:t>
      </w:r>
      <w:r w:rsidRPr="006813AA">
        <w:rPr>
          <w:rFonts w:ascii="Abadi" w:hAnsi="Abadi"/>
          <w:sz w:val="21"/>
          <w:szCs w:val="21"/>
        </w:rPr>
        <w:t>ocha</w:t>
      </w:r>
      <w:r>
        <w:rPr>
          <w:rFonts w:ascii="Abadi" w:hAnsi="Abadi"/>
          <w:sz w:val="21"/>
          <w:szCs w:val="21"/>
        </w:rPr>
        <w:t>,</w:t>
      </w:r>
      <w:r w:rsidRPr="006813AA">
        <w:rPr>
          <w:rFonts w:ascii="Abadi" w:hAnsi="Abadi"/>
          <w:sz w:val="21"/>
          <w:szCs w:val="21"/>
        </w:rPr>
        <w:t xml:space="preserve"> de </w:t>
      </w:r>
      <w:r>
        <w:rPr>
          <w:rFonts w:ascii="Abadi" w:hAnsi="Abadi"/>
          <w:sz w:val="21"/>
          <w:szCs w:val="21"/>
        </w:rPr>
        <w:t>M</w:t>
      </w:r>
      <w:r w:rsidRPr="006813AA">
        <w:rPr>
          <w:rFonts w:ascii="Abadi" w:hAnsi="Abadi"/>
          <w:sz w:val="21"/>
          <w:szCs w:val="21"/>
        </w:rPr>
        <w:t xml:space="preserve">ovimiento </w:t>
      </w:r>
      <w:r>
        <w:rPr>
          <w:rFonts w:ascii="Abadi" w:hAnsi="Abadi"/>
          <w:sz w:val="21"/>
          <w:szCs w:val="21"/>
        </w:rPr>
        <w:t>C</w:t>
      </w:r>
      <w:r w:rsidRPr="006813AA">
        <w:rPr>
          <w:rFonts w:ascii="Abadi" w:hAnsi="Abadi"/>
          <w:sz w:val="21"/>
          <w:szCs w:val="21"/>
        </w:rPr>
        <w:t>iudadano</w:t>
      </w:r>
      <w:r>
        <w:rPr>
          <w:rFonts w:ascii="Abadi" w:hAnsi="Abadi"/>
          <w:sz w:val="21"/>
          <w:szCs w:val="21"/>
        </w:rPr>
        <w:t>,</w:t>
      </w:r>
      <w:r w:rsidRPr="006813AA">
        <w:rPr>
          <w:rFonts w:ascii="Abadi" w:hAnsi="Abadi"/>
          <w:sz w:val="21"/>
          <w:szCs w:val="21"/>
        </w:rPr>
        <w:t xml:space="preserve"> presentaremos la iniciativa </w:t>
      </w:r>
      <w:r>
        <w:rPr>
          <w:rFonts w:ascii="Abadi" w:hAnsi="Abadi"/>
          <w:sz w:val="21"/>
          <w:szCs w:val="21"/>
        </w:rPr>
        <w:t>«Cunas Vacías»</w:t>
      </w:r>
      <w:r w:rsidRPr="006813AA">
        <w:rPr>
          <w:rFonts w:ascii="Abadi" w:hAnsi="Abadi"/>
          <w:sz w:val="21"/>
          <w:szCs w:val="21"/>
        </w:rPr>
        <w:t xml:space="preserve"> que estamos trabajando con movimientos</w:t>
      </w:r>
      <w:r>
        <w:rPr>
          <w:rFonts w:ascii="Abadi" w:hAnsi="Abadi"/>
          <w:sz w:val="21"/>
          <w:szCs w:val="21"/>
        </w:rPr>
        <w:t>,</w:t>
      </w:r>
      <w:r w:rsidRPr="006813AA">
        <w:rPr>
          <w:rFonts w:ascii="Abadi" w:hAnsi="Abadi"/>
          <w:sz w:val="21"/>
          <w:szCs w:val="21"/>
        </w:rPr>
        <w:t xml:space="preserve"> con especialistas en el tema y con psicólogo</w:t>
      </w:r>
      <w:r>
        <w:rPr>
          <w:rFonts w:ascii="Abadi" w:hAnsi="Abadi"/>
          <w:sz w:val="21"/>
          <w:szCs w:val="21"/>
        </w:rPr>
        <w:t>s.</w:t>
      </w:r>
    </w:p>
    <w:p w14:paraId="7067C505" w14:textId="77777777" w:rsidR="003C51DA" w:rsidRDefault="003C51DA" w:rsidP="00D15DAB">
      <w:pPr>
        <w:jc w:val="both"/>
        <w:rPr>
          <w:rFonts w:ascii="Abadi" w:hAnsi="Abadi"/>
          <w:sz w:val="21"/>
          <w:szCs w:val="21"/>
        </w:rPr>
      </w:pPr>
    </w:p>
    <w:p w14:paraId="3A3D7474" w14:textId="77777777" w:rsidR="00D15DAB" w:rsidRDefault="00D15DAB" w:rsidP="00D15DAB">
      <w:pPr>
        <w:jc w:val="both"/>
        <w:rPr>
          <w:rFonts w:ascii="Abadi" w:hAnsi="Abadi"/>
          <w:sz w:val="21"/>
          <w:szCs w:val="21"/>
        </w:rPr>
      </w:pPr>
      <w:r>
        <w:rPr>
          <w:rFonts w:ascii="Abadi" w:hAnsi="Abadi"/>
          <w:sz w:val="21"/>
          <w:szCs w:val="21"/>
        </w:rPr>
        <w:t>- P</w:t>
      </w:r>
      <w:r w:rsidRPr="006813AA">
        <w:rPr>
          <w:rFonts w:ascii="Abadi" w:hAnsi="Abadi"/>
          <w:sz w:val="21"/>
          <w:szCs w:val="21"/>
        </w:rPr>
        <w:t>or último</w:t>
      </w:r>
      <w:r>
        <w:rPr>
          <w:rFonts w:ascii="Abadi" w:hAnsi="Abadi"/>
          <w:sz w:val="21"/>
          <w:szCs w:val="21"/>
        </w:rPr>
        <w:t>,</w:t>
      </w:r>
      <w:r w:rsidRPr="006813AA">
        <w:rPr>
          <w:rFonts w:ascii="Abadi" w:hAnsi="Abadi"/>
          <w:sz w:val="21"/>
          <w:szCs w:val="21"/>
        </w:rPr>
        <w:t xml:space="preserve"> me gustaría compartirles que desde 1988</w:t>
      </w:r>
      <w:r>
        <w:rPr>
          <w:rFonts w:ascii="Abadi" w:hAnsi="Abadi"/>
          <w:sz w:val="21"/>
          <w:szCs w:val="21"/>
        </w:rPr>
        <w:t>,</w:t>
      </w:r>
      <w:r w:rsidRPr="006813AA">
        <w:rPr>
          <w:rFonts w:ascii="Abadi" w:hAnsi="Abadi"/>
          <w:sz w:val="21"/>
          <w:szCs w:val="21"/>
        </w:rPr>
        <w:t xml:space="preserve"> se proclamó el mes de octubre como mes de la concientización sobre el embarazo y la pérdida infantil</w:t>
      </w:r>
      <w:r>
        <w:rPr>
          <w:rFonts w:ascii="Abadi" w:hAnsi="Abadi"/>
          <w:sz w:val="21"/>
          <w:szCs w:val="21"/>
        </w:rPr>
        <w:t>;</w:t>
      </w:r>
      <w:r w:rsidRPr="006813AA">
        <w:rPr>
          <w:rFonts w:ascii="Abadi" w:hAnsi="Abadi"/>
          <w:sz w:val="21"/>
          <w:szCs w:val="21"/>
        </w:rPr>
        <w:t xml:space="preserve"> gracias a lo cual podemos hacer visible este duelo silencioso y poco reconocido que viven muchas familias</w:t>
      </w:r>
      <w:r>
        <w:rPr>
          <w:rFonts w:ascii="Abadi" w:hAnsi="Abadi"/>
          <w:sz w:val="21"/>
          <w:szCs w:val="21"/>
        </w:rPr>
        <w:t>.</w:t>
      </w:r>
    </w:p>
    <w:p w14:paraId="62A9623A" w14:textId="57FE3D89" w:rsidR="00D15DAB" w:rsidRDefault="00D15DAB" w:rsidP="00D15DAB">
      <w:pPr>
        <w:jc w:val="both"/>
        <w:rPr>
          <w:rFonts w:ascii="Abadi" w:hAnsi="Abadi"/>
          <w:sz w:val="21"/>
          <w:szCs w:val="21"/>
        </w:rPr>
      </w:pPr>
      <w:r>
        <w:rPr>
          <w:rFonts w:ascii="Abadi" w:hAnsi="Abadi"/>
          <w:sz w:val="21"/>
          <w:szCs w:val="21"/>
        </w:rPr>
        <w:t>- D</w:t>
      </w:r>
      <w:r w:rsidRPr="006813AA">
        <w:rPr>
          <w:rFonts w:ascii="Abadi" w:hAnsi="Abadi"/>
          <w:sz w:val="21"/>
          <w:szCs w:val="21"/>
        </w:rPr>
        <w:t>urante el mes de octubre en todo el mundo se realizan campañas de sensibilización ante este duelo</w:t>
      </w:r>
      <w:r>
        <w:rPr>
          <w:rFonts w:ascii="Abadi" w:hAnsi="Abadi"/>
          <w:sz w:val="21"/>
          <w:szCs w:val="21"/>
        </w:rPr>
        <w:t>,</w:t>
      </w:r>
      <w:r w:rsidRPr="006813AA">
        <w:rPr>
          <w:rFonts w:ascii="Abadi" w:hAnsi="Abadi"/>
          <w:sz w:val="21"/>
          <w:szCs w:val="21"/>
        </w:rPr>
        <w:t xml:space="preserve"> visibilizando por medio del encendido de luces en color rosa y azul</w:t>
      </w:r>
      <w:r>
        <w:rPr>
          <w:rFonts w:ascii="Abadi" w:hAnsi="Abadi"/>
          <w:sz w:val="21"/>
          <w:szCs w:val="21"/>
        </w:rPr>
        <w:t>,</w:t>
      </w:r>
      <w:r w:rsidRPr="006813AA">
        <w:rPr>
          <w:rFonts w:ascii="Abadi" w:hAnsi="Abadi"/>
          <w:sz w:val="21"/>
          <w:szCs w:val="21"/>
        </w:rPr>
        <w:t xml:space="preserve"> cada 15 de octubre este movimiento es conocido como la del movimiento al que hoy tenemos la oportunidad de unirnos e iluminar este </w:t>
      </w:r>
      <w:r>
        <w:rPr>
          <w:rFonts w:ascii="Abadi" w:hAnsi="Abadi"/>
          <w:sz w:val="21"/>
          <w:szCs w:val="21"/>
        </w:rPr>
        <w:t>C</w:t>
      </w:r>
      <w:r w:rsidRPr="006813AA">
        <w:rPr>
          <w:rFonts w:ascii="Abadi" w:hAnsi="Abadi"/>
          <w:sz w:val="21"/>
          <w:szCs w:val="21"/>
        </w:rPr>
        <w:t>ongreso este 15 de octubre para visibilizar esta causa</w:t>
      </w:r>
      <w:r>
        <w:rPr>
          <w:rFonts w:ascii="Abadi" w:hAnsi="Abadi"/>
          <w:sz w:val="21"/>
          <w:szCs w:val="21"/>
        </w:rPr>
        <w:t>.</w:t>
      </w:r>
    </w:p>
    <w:p w14:paraId="4F8BA030" w14:textId="77777777" w:rsidR="003C51DA" w:rsidRDefault="003C51DA" w:rsidP="00D15DAB">
      <w:pPr>
        <w:jc w:val="both"/>
        <w:rPr>
          <w:rFonts w:ascii="Abadi" w:hAnsi="Abadi"/>
          <w:sz w:val="21"/>
          <w:szCs w:val="21"/>
        </w:rPr>
      </w:pPr>
    </w:p>
    <w:p w14:paraId="172A2DFA" w14:textId="3A8D2F19" w:rsidR="00D15DAB" w:rsidRDefault="00D15DAB" w:rsidP="00D15DAB">
      <w:pPr>
        <w:jc w:val="both"/>
        <w:rPr>
          <w:rFonts w:ascii="Abadi" w:hAnsi="Abadi"/>
          <w:sz w:val="21"/>
          <w:szCs w:val="21"/>
        </w:rPr>
      </w:pPr>
      <w:r>
        <w:rPr>
          <w:rFonts w:ascii="Abadi" w:hAnsi="Abadi"/>
          <w:sz w:val="21"/>
          <w:szCs w:val="21"/>
        </w:rPr>
        <w:t>- M</w:t>
      </w:r>
      <w:r w:rsidRPr="006813AA">
        <w:rPr>
          <w:rFonts w:ascii="Abadi" w:hAnsi="Abadi"/>
          <w:sz w:val="21"/>
          <w:szCs w:val="21"/>
        </w:rPr>
        <w:t>uchas gracias Presidente</w:t>
      </w:r>
      <w:r>
        <w:rPr>
          <w:rFonts w:ascii="Abadi" w:hAnsi="Abadi"/>
          <w:sz w:val="21"/>
          <w:szCs w:val="21"/>
        </w:rPr>
        <w:t>.</w:t>
      </w:r>
    </w:p>
    <w:p w14:paraId="5554ADDE" w14:textId="77777777" w:rsidR="003C51DA" w:rsidRDefault="003C51DA" w:rsidP="00D15DAB">
      <w:pPr>
        <w:jc w:val="both"/>
        <w:rPr>
          <w:rFonts w:ascii="Abadi" w:hAnsi="Abadi"/>
          <w:sz w:val="21"/>
          <w:szCs w:val="21"/>
        </w:rPr>
      </w:pPr>
    </w:p>
    <w:p w14:paraId="4832A0AB" w14:textId="77777777" w:rsidR="00D15DAB" w:rsidRPr="0038140A" w:rsidRDefault="00D15DAB" w:rsidP="00D15DAB">
      <w:pPr>
        <w:jc w:val="both"/>
        <w:rPr>
          <w:rFonts w:ascii="Abadi" w:hAnsi="Abadi"/>
          <w:b/>
          <w:bCs/>
          <w:sz w:val="21"/>
          <w:szCs w:val="21"/>
        </w:rPr>
      </w:pPr>
      <w:r w:rsidRPr="0038140A">
        <w:rPr>
          <w:rFonts w:ascii="Abadi" w:hAnsi="Abadi"/>
          <w:b/>
          <w:bCs/>
          <w:sz w:val="21"/>
          <w:szCs w:val="21"/>
        </w:rPr>
        <w:t>(Aplausos)</w:t>
      </w:r>
    </w:p>
    <w:p w14:paraId="594A9996" w14:textId="77777777" w:rsidR="00D15DAB" w:rsidRPr="006813AA" w:rsidRDefault="00D15DAB" w:rsidP="00D15DAB">
      <w:pPr>
        <w:jc w:val="both"/>
        <w:rPr>
          <w:rFonts w:ascii="Abadi" w:hAnsi="Abadi"/>
          <w:sz w:val="21"/>
          <w:szCs w:val="21"/>
        </w:rPr>
      </w:pPr>
    </w:p>
    <w:p w14:paraId="1DF2E4B0" w14:textId="77777777" w:rsidR="00D15DAB" w:rsidRDefault="00D15DAB" w:rsidP="00D15DAB">
      <w:pPr>
        <w:ind w:firstLine="708"/>
        <w:jc w:val="both"/>
        <w:rPr>
          <w:rFonts w:ascii="Abadi" w:hAnsi="Abadi"/>
          <w:sz w:val="21"/>
          <w:szCs w:val="21"/>
        </w:rPr>
      </w:pPr>
      <w:r w:rsidRPr="00D26A0D">
        <w:rPr>
          <w:rFonts w:ascii="Abadi" w:hAnsi="Abadi"/>
          <w:b/>
          <w:bCs/>
          <w:sz w:val="21"/>
          <w:szCs w:val="21"/>
        </w:rPr>
        <w:t>- El Presidente.-</w:t>
      </w:r>
      <w:r>
        <w:rPr>
          <w:rFonts w:ascii="Abadi" w:hAnsi="Abadi"/>
          <w:sz w:val="21"/>
          <w:szCs w:val="21"/>
        </w:rPr>
        <w:t xml:space="preserve"> ¡G</w:t>
      </w:r>
      <w:r w:rsidRPr="006813AA">
        <w:rPr>
          <w:rFonts w:ascii="Abadi" w:hAnsi="Abadi"/>
          <w:sz w:val="21"/>
          <w:szCs w:val="21"/>
        </w:rPr>
        <w:t>racias</w:t>
      </w:r>
      <w:r>
        <w:rPr>
          <w:rFonts w:ascii="Abadi" w:hAnsi="Abadi"/>
          <w:sz w:val="21"/>
          <w:szCs w:val="21"/>
        </w:rPr>
        <w:t>!</w:t>
      </w:r>
      <w:r w:rsidRPr="006813AA">
        <w:rPr>
          <w:rFonts w:ascii="Abadi" w:hAnsi="Abadi"/>
          <w:sz w:val="21"/>
          <w:szCs w:val="21"/>
        </w:rPr>
        <w:t xml:space="preserve"> diputada Martha Lourdes </w:t>
      </w:r>
      <w:r>
        <w:rPr>
          <w:rFonts w:ascii="Abadi" w:hAnsi="Abadi"/>
          <w:sz w:val="21"/>
          <w:szCs w:val="21"/>
        </w:rPr>
        <w:t>O</w:t>
      </w:r>
      <w:r w:rsidRPr="006813AA">
        <w:rPr>
          <w:rFonts w:ascii="Abadi" w:hAnsi="Abadi"/>
          <w:sz w:val="21"/>
          <w:szCs w:val="21"/>
        </w:rPr>
        <w:t xml:space="preserve">rtega </w:t>
      </w:r>
      <w:r>
        <w:rPr>
          <w:rFonts w:ascii="Abadi" w:hAnsi="Abadi"/>
          <w:sz w:val="21"/>
          <w:szCs w:val="21"/>
        </w:rPr>
        <w:t>R</w:t>
      </w:r>
      <w:r w:rsidRPr="006813AA">
        <w:rPr>
          <w:rFonts w:ascii="Abadi" w:hAnsi="Abadi"/>
          <w:sz w:val="21"/>
          <w:szCs w:val="21"/>
        </w:rPr>
        <w:t>oque</w:t>
      </w:r>
      <w:r>
        <w:rPr>
          <w:rFonts w:ascii="Abadi" w:hAnsi="Abadi"/>
          <w:sz w:val="21"/>
          <w:szCs w:val="21"/>
        </w:rPr>
        <w:t>.</w:t>
      </w:r>
    </w:p>
    <w:p w14:paraId="0A3BFB93" w14:textId="77777777" w:rsidR="00D15DAB" w:rsidRDefault="00D15DAB" w:rsidP="00D15DAB">
      <w:pPr>
        <w:ind w:firstLine="708"/>
        <w:jc w:val="both"/>
        <w:rPr>
          <w:rFonts w:ascii="Abadi" w:hAnsi="Abadi"/>
          <w:sz w:val="21"/>
          <w:szCs w:val="21"/>
        </w:rPr>
      </w:pPr>
      <w:r>
        <w:rPr>
          <w:rFonts w:ascii="Abadi" w:hAnsi="Abadi"/>
          <w:sz w:val="21"/>
          <w:szCs w:val="21"/>
        </w:rPr>
        <w:br/>
      </w:r>
      <w:r>
        <w:rPr>
          <w:rFonts w:ascii="Abadi" w:hAnsi="Abadi"/>
          <w:sz w:val="21"/>
          <w:szCs w:val="21"/>
        </w:rPr>
        <w:tab/>
      </w:r>
      <w:r w:rsidRPr="008A7BDF">
        <w:rPr>
          <w:rFonts w:ascii="Abadi" w:hAnsi="Abadi"/>
          <w:b/>
          <w:bCs/>
          <w:sz w:val="21"/>
          <w:szCs w:val="21"/>
        </w:rPr>
        <w:t>- El Presidente.-</w:t>
      </w:r>
      <w:r>
        <w:rPr>
          <w:rFonts w:ascii="Abadi" w:hAnsi="Abadi"/>
          <w:sz w:val="21"/>
          <w:szCs w:val="21"/>
        </w:rPr>
        <w:t xml:space="preserve"> Se</w:t>
      </w:r>
      <w:r w:rsidRPr="006813AA">
        <w:rPr>
          <w:rFonts w:ascii="Abadi" w:hAnsi="Abadi"/>
          <w:sz w:val="21"/>
          <w:szCs w:val="21"/>
        </w:rPr>
        <w:t xml:space="preserve"> concede el </w:t>
      </w:r>
      <w:r>
        <w:rPr>
          <w:rFonts w:ascii="Abadi" w:hAnsi="Abadi"/>
          <w:sz w:val="21"/>
          <w:szCs w:val="21"/>
        </w:rPr>
        <w:t>u</w:t>
      </w:r>
      <w:r w:rsidRPr="006813AA">
        <w:rPr>
          <w:rFonts w:ascii="Abadi" w:hAnsi="Abadi"/>
          <w:sz w:val="21"/>
          <w:szCs w:val="21"/>
        </w:rPr>
        <w:t>so de la palabra al diputado Gerardo Fernández González</w:t>
      </w:r>
      <w:r>
        <w:rPr>
          <w:rFonts w:ascii="Abadi" w:hAnsi="Abadi"/>
          <w:sz w:val="21"/>
          <w:szCs w:val="21"/>
        </w:rPr>
        <w:t>,</w:t>
      </w:r>
      <w:r w:rsidRPr="006813AA">
        <w:rPr>
          <w:rFonts w:ascii="Abadi" w:hAnsi="Abadi"/>
          <w:sz w:val="21"/>
          <w:szCs w:val="21"/>
        </w:rPr>
        <w:t xml:space="preserve"> hasta por 10 minutos</w:t>
      </w:r>
      <w:r>
        <w:rPr>
          <w:rFonts w:ascii="Abadi" w:hAnsi="Abadi"/>
          <w:sz w:val="21"/>
          <w:szCs w:val="21"/>
        </w:rPr>
        <w:t>.</w:t>
      </w:r>
    </w:p>
    <w:p w14:paraId="3A2EDC64" w14:textId="77777777" w:rsidR="00D15DAB" w:rsidRDefault="00D15DAB" w:rsidP="00D15DAB">
      <w:pPr>
        <w:jc w:val="both"/>
        <w:rPr>
          <w:rFonts w:ascii="Abadi" w:hAnsi="Abadi"/>
          <w:b/>
          <w:bCs/>
          <w:sz w:val="21"/>
          <w:szCs w:val="21"/>
        </w:rPr>
      </w:pPr>
      <w:r w:rsidRPr="005B5DE0">
        <w:rPr>
          <w:rFonts w:ascii="Abadi" w:hAnsi="Abadi"/>
          <w:b/>
          <w:bCs/>
          <w:sz w:val="21"/>
          <w:szCs w:val="21"/>
        </w:rPr>
        <w:t>(Sube a tribuna el diputado Gerardo Fernández González, para hablar en asuntos de interés general, con el tema: «Justicia para Pedro»)</w:t>
      </w:r>
    </w:p>
    <w:p w14:paraId="32C9C5B1" w14:textId="44288E24" w:rsidR="00D15DAB" w:rsidRDefault="003C51DA" w:rsidP="00D15DAB">
      <w:pPr>
        <w:jc w:val="both"/>
        <w:rPr>
          <w:rFonts w:ascii="Abadi" w:hAnsi="Abadi"/>
          <w:b/>
          <w:bCs/>
          <w:sz w:val="21"/>
          <w:szCs w:val="21"/>
        </w:rPr>
      </w:pPr>
      <w:r>
        <w:rPr>
          <w:noProof/>
        </w:rPr>
        <w:drawing>
          <wp:anchor distT="0" distB="0" distL="114300" distR="114300" simplePos="0" relativeHeight="251717632" behindDoc="1" locked="0" layoutInCell="1" allowOverlap="1" wp14:anchorId="4CC9DEB4" wp14:editId="3378819C">
            <wp:simplePos x="0" y="0"/>
            <wp:positionH relativeFrom="column">
              <wp:posOffset>587256</wp:posOffset>
            </wp:positionH>
            <wp:positionV relativeFrom="paragraph">
              <wp:posOffset>439479</wp:posOffset>
            </wp:positionV>
            <wp:extent cx="1572523" cy="842290"/>
            <wp:effectExtent l="247650" t="228600" r="256540" b="796290"/>
            <wp:wrapTight wrapText="bothSides">
              <wp:wrapPolygon edited="0">
                <wp:start x="-3402" y="-5864"/>
                <wp:lineTo x="-3402" y="41538"/>
                <wp:lineTo x="24863" y="41538"/>
                <wp:lineTo x="24863" y="-5864"/>
                <wp:lineTo x="-3402" y="-5864"/>
              </wp:wrapPolygon>
            </wp:wrapTight>
            <wp:docPr id="84" name="Imagen 84" descr="Hombre de pie con traje de color negr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2" descr="Hombre de pie con traje de color negro&#10;&#10;Descripción generada automáticamente con confianza baja"/>
                    <pic:cNvPicPr/>
                  </pic:nvPicPr>
                  <pic:blipFill rotWithShape="1">
                    <a:blip r:embed="rId88" cstate="print">
                      <a:extLst>
                        <a:ext uri="{28A0092B-C50C-407E-A947-70E740481C1C}">
                          <a14:useLocalDpi xmlns:a14="http://schemas.microsoft.com/office/drawing/2010/main" val="0"/>
                        </a:ext>
                      </a:extLst>
                    </a:blip>
                    <a:srcRect b="4731"/>
                    <a:stretch/>
                  </pic:blipFill>
                  <pic:spPr bwMode="auto">
                    <a:xfrm>
                      <a:off x="0" y="0"/>
                      <a:ext cx="1572523" cy="84229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01B1D738" w14:textId="48CB8E8D" w:rsidR="00D15DAB" w:rsidRDefault="00D15DAB" w:rsidP="00D15DAB">
      <w:pPr>
        <w:jc w:val="both"/>
        <w:rPr>
          <w:rFonts w:ascii="Abadi" w:hAnsi="Abadi"/>
          <w:b/>
          <w:bCs/>
          <w:sz w:val="21"/>
          <w:szCs w:val="21"/>
        </w:rPr>
      </w:pPr>
    </w:p>
    <w:p w14:paraId="1E9A3080" w14:textId="1C2A4D21" w:rsidR="00D15DAB" w:rsidRPr="005B5DE0" w:rsidRDefault="00D15DAB" w:rsidP="00D15DAB">
      <w:pPr>
        <w:jc w:val="both"/>
        <w:rPr>
          <w:rFonts w:ascii="Abadi" w:hAnsi="Abadi"/>
          <w:b/>
          <w:bCs/>
          <w:sz w:val="21"/>
          <w:szCs w:val="21"/>
        </w:rPr>
      </w:pPr>
    </w:p>
    <w:p w14:paraId="1C4357FA" w14:textId="2C9F0B0C" w:rsidR="00D15DAB" w:rsidRDefault="00D15DAB" w:rsidP="00D15DAB">
      <w:pPr>
        <w:ind w:firstLine="708"/>
        <w:jc w:val="both"/>
        <w:rPr>
          <w:rFonts w:ascii="Abadi" w:hAnsi="Abadi"/>
          <w:sz w:val="21"/>
          <w:szCs w:val="21"/>
        </w:rPr>
      </w:pPr>
      <w:r>
        <w:rPr>
          <w:rFonts w:ascii="Abadi" w:hAnsi="Abadi"/>
          <w:sz w:val="21"/>
          <w:szCs w:val="21"/>
        </w:rPr>
        <w:t xml:space="preserve">- </w:t>
      </w:r>
      <w:r w:rsidRPr="006813AA">
        <w:rPr>
          <w:rFonts w:ascii="Abadi" w:hAnsi="Abadi"/>
          <w:sz w:val="21"/>
          <w:szCs w:val="21"/>
        </w:rPr>
        <w:t xml:space="preserve"> </w:t>
      </w:r>
      <w:r>
        <w:rPr>
          <w:rFonts w:ascii="Abadi" w:hAnsi="Abadi"/>
          <w:sz w:val="21"/>
          <w:szCs w:val="21"/>
        </w:rPr>
        <w:t>A</w:t>
      </w:r>
      <w:r w:rsidRPr="006813AA">
        <w:rPr>
          <w:rFonts w:ascii="Abadi" w:hAnsi="Abadi"/>
          <w:sz w:val="21"/>
          <w:szCs w:val="21"/>
        </w:rPr>
        <w:t xml:space="preserve">delante diputado </w:t>
      </w:r>
      <w:r>
        <w:rPr>
          <w:rFonts w:ascii="Abadi" w:hAnsi="Abadi"/>
          <w:sz w:val="21"/>
          <w:szCs w:val="21"/>
        </w:rPr>
        <w:t>G</w:t>
      </w:r>
      <w:r w:rsidRPr="006813AA">
        <w:rPr>
          <w:rFonts w:ascii="Abadi" w:hAnsi="Abadi"/>
          <w:sz w:val="21"/>
          <w:szCs w:val="21"/>
        </w:rPr>
        <w:t>erardo</w:t>
      </w:r>
      <w:r>
        <w:rPr>
          <w:rFonts w:ascii="Abadi" w:hAnsi="Abadi"/>
          <w:sz w:val="21"/>
          <w:szCs w:val="21"/>
        </w:rPr>
        <w:t>.</w:t>
      </w:r>
    </w:p>
    <w:p w14:paraId="6C778653" w14:textId="77777777" w:rsidR="003C51DA" w:rsidRDefault="003C51DA" w:rsidP="00D15DAB">
      <w:pPr>
        <w:ind w:firstLine="708"/>
        <w:jc w:val="both"/>
        <w:rPr>
          <w:rFonts w:ascii="Abadi" w:hAnsi="Abadi"/>
          <w:sz w:val="21"/>
          <w:szCs w:val="21"/>
        </w:rPr>
      </w:pPr>
    </w:p>
    <w:p w14:paraId="5E92C226" w14:textId="2E5C7D5F" w:rsidR="00D15DAB" w:rsidRDefault="00D15DAB" w:rsidP="00D15DAB">
      <w:pPr>
        <w:jc w:val="both"/>
        <w:rPr>
          <w:rFonts w:ascii="Abadi" w:hAnsi="Abadi"/>
          <w:sz w:val="21"/>
          <w:szCs w:val="21"/>
        </w:rPr>
      </w:pPr>
      <w:r>
        <w:rPr>
          <w:rFonts w:ascii="Abadi" w:hAnsi="Abadi"/>
          <w:sz w:val="21"/>
          <w:szCs w:val="21"/>
        </w:rPr>
        <w:t>¡Pasando a otros temas! ¡y</w:t>
      </w:r>
      <w:r w:rsidRPr="006813AA">
        <w:rPr>
          <w:rFonts w:ascii="Abadi" w:hAnsi="Abadi"/>
          <w:sz w:val="21"/>
          <w:szCs w:val="21"/>
        </w:rPr>
        <w:t xml:space="preserve">a luego </w:t>
      </w:r>
      <w:r>
        <w:rPr>
          <w:rFonts w:ascii="Abadi" w:hAnsi="Abadi"/>
          <w:sz w:val="21"/>
          <w:szCs w:val="21"/>
        </w:rPr>
        <w:t xml:space="preserve">discutiremos! </w:t>
      </w:r>
      <w:r w:rsidRPr="006813AA">
        <w:rPr>
          <w:rFonts w:ascii="Abadi" w:hAnsi="Abadi"/>
          <w:sz w:val="21"/>
          <w:szCs w:val="21"/>
        </w:rPr>
        <w:t xml:space="preserve">con el permiso de la presidencia y la </w:t>
      </w:r>
      <w:r>
        <w:rPr>
          <w:rFonts w:ascii="Abadi" w:hAnsi="Abadi"/>
          <w:sz w:val="21"/>
          <w:szCs w:val="21"/>
        </w:rPr>
        <w:t>M</w:t>
      </w:r>
      <w:r w:rsidRPr="006813AA">
        <w:rPr>
          <w:rFonts w:ascii="Abadi" w:hAnsi="Abadi"/>
          <w:sz w:val="21"/>
          <w:szCs w:val="21"/>
        </w:rPr>
        <w:t xml:space="preserve">esa </w:t>
      </w:r>
      <w:r>
        <w:rPr>
          <w:rFonts w:ascii="Abadi" w:hAnsi="Abadi"/>
          <w:sz w:val="21"/>
          <w:szCs w:val="21"/>
        </w:rPr>
        <w:t>D</w:t>
      </w:r>
      <w:r w:rsidRPr="006813AA">
        <w:rPr>
          <w:rFonts w:ascii="Abadi" w:hAnsi="Abadi"/>
          <w:sz w:val="21"/>
          <w:szCs w:val="21"/>
        </w:rPr>
        <w:t>irectiva es un gusto saludarles y saludarlo compañeros a los medios que aún están aquí</w:t>
      </w:r>
      <w:r>
        <w:rPr>
          <w:rFonts w:ascii="Abadi" w:hAnsi="Abadi"/>
          <w:sz w:val="21"/>
          <w:szCs w:val="21"/>
        </w:rPr>
        <w:t>,</w:t>
      </w:r>
      <w:r w:rsidRPr="006813AA">
        <w:rPr>
          <w:rFonts w:ascii="Abadi" w:hAnsi="Abadi"/>
          <w:sz w:val="21"/>
          <w:szCs w:val="21"/>
        </w:rPr>
        <w:t xml:space="preserve"> por supuesto </w:t>
      </w:r>
      <w:r>
        <w:rPr>
          <w:rFonts w:ascii="Abadi" w:hAnsi="Abadi"/>
          <w:sz w:val="21"/>
          <w:szCs w:val="21"/>
        </w:rPr>
        <w:t>a los que nos siguen por redes sociales.</w:t>
      </w:r>
    </w:p>
    <w:p w14:paraId="2D4282F3" w14:textId="77777777" w:rsidR="003C51DA" w:rsidRDefault="003C51DA" w:rsidP="00D15DAB">
      <w:pPr>
        <w:jc w:val="both"/>
        <w:rPr>
          <w:rFonts w:ascii="Abadi" w:hAnsi="Abadi"/>
          <w:sz w:val="21"/>
          <w:szCs w:val="21"/>
        </w:rPr>
      </w:pPr>
    </w:p>
    <w:p w14:paraId="3F2F0BB7" w14:textId="7975122A" w:rsidR="00D15DAB" w:rsidRDefault="00D15DAB" w:rsidP="00D15DAB">
      <w:pPr>
        <w:jc w:val="both"/>
        <w:rPr>
          <w:rFonts w:ascii="Abadi" w:hAnsi="Abadi"/>
          <w:sz w:val="21"/>
          <w:szCs w:val="21"/>
        </w:rPr>
      </w:pPr>
      <w:r>
        <w:rPr>
          <w:rFonts w:ascii="Abadi" w:hAnsi="Abadi"/>
          <w:sz w:val="21"/>
          <w:szCs w:val="21"/>
        </w:rPr>
        <w:t xml:space="preserve">- El día de hoy hago uso de esta tribuna, para alzar la voz de un joven que esta privado de su libertad, de manera ilegal injusta, </w:t>
      </w:r>
      <w:r w:rsidRPr="006813AA">
        <w:rPr>
          <w:rFonts w:ascii="Abadi" w:hAnsi="Abadi"/>
          <w:sz w:val="21"/>
          <w:szCs w:val="21"/>
        </w:rPr>
        <w:t xml:space="preserve">y que debe resultar preocupante </w:t>
      </w:r>
      <w:r>
        <w:rPr>
          <w:rFonts w:ascii="Abadi" w:hAnsi="Abadi"/>
          <w:sz w:val="21"/>
          <w:szCs w:val="21"/>
        </w:rPr>
        <w:t xml:space="preserve">para todos, su </w:t>
      </w:r>
      <w:r w:rsidRPr="006813AA">
        <w:rPr>
          <w:rFonts w:ascii="Abadi" w:hAnsi="Abadi"/>
          <w:sz w:val="21"/>
          <w:szCs w:val="21"/>
        </w:rPr>
        <w:t xml:space="preserve">nombre es Pedro </w:t>
      </w:r>
      <w:r>
        <w:rPr>
          <w:rFonts w:ascii="Abadi" w:hAnsi="Abadi"/>
          <w:sz w:val="21"/>
          <w:szCs w:val="21"/>
        </w:rPr>
        <w:t>F</w:t>
      </w:r>
      <w:r w:rsidRPr="006813AA">
        <w:rPr>
          <w:rFonts w:ascii="Abadi" w:hAnsi="Abadi"/>
          <w:sz w:val="21"/>
          <w:szCs w:val="21"/>
        </w:rPr>
        <w:t xml:space="preserve">rancisco </w:t>
      </w:r>
      <w:r>
        <w:rPr>
          <w:rFonts w:ascii="Abadi" w:hAnsi="Abadi"/>
          <w:sz w:val="21"/>
          <w:szCs w:val="21"/>
        </w:rPr>
        <w:t>R</w:t>
      </w:r>
      <w:r w:rsidRPr="006813AA">
        <w:rPr>
          <w:rFonts w:ascii="Abadi" w:hAnsi="Abadi"/>
          <w:sz w:val="21"/>
          <w:szCs w:val="21"/>
        </w:rPr>
        <w:t xml:space="preserve">odríguez </w:t>
      </w:r>
      <w:r>
        <w:rPr>
          <w:rFonts w:ascii="Abadi" w:hAnsi="Abadi"/>
          <w:sz w:val="21"/>
          <w:szCs w:val="21"/>
        </w:rPr>
        <w:t>V</w:t>
      </w:r>
      <w:r w:rsidRPr="006813AA">
        <w:rPr>
          <w:rFonts w:ascii="Abadi" w:hAnsi="Abadi"/>
          <w:sz w:val="21"/>
          <w:szCs w:val="21"/>
        </w:rPr>
        <w:t>ázquez</w:t>
      </w:r>
      <w:r>
        <w:rPr>
          <w:rFonts w:ascii="Abadi" w:hAnsi="Abadi"/>
          <w:sz w:val="21"/>
          <w:szCs w:val="21"/>
        </w:rPr>
        <w:t>,</w:t>
      </w:r>
      <w:r w:rsidRPr="006813AA">
        <w:rPr>
          <w:rFonts w:ascii="Abadi" w:hAnsi="Abadi"/>
          <w:sz w:val="21"/>
          <w:szCs w:val="21"/>
        </w:rPr>
        <w:t xml:space="preserve"> un joven guanajuatense que hoy es víctima de un sistema penal acusatorio que sigue siendo incapaz de garantizar justicia para que se enfrentan a sus arbitrariedad</w:t>
      </w:r>
      <w:r>
        <w:rPr>
          <w:rFonts w:ascii="Abadi" w:hAnsi="Abadi"/>
          <w:sz w:val="21"/>
          <w:szCs w:val="21"/>
        </w:rPr>
        <w:t>es.</w:t>
      </w:r>
    </w:p>
    <w:p w14:paraId="1B46BEC2" w14:textId="77777777" w:rsidR="003C51DA" w:rsidRDefault="003C51DA" w:rsidP="00D15DAB">
      <w:pPr>
        <w:jc w:val="both"/>
        <w:rPr>
          <w:rFonts w:ascii="Abadi" w:hAnsi="Abadi"/>
          <w:sz w:val="21"/>
          <w:szCs w:val="21"/>
        </w:rPr>
      </w:pPr>
    </w:p>
    <w:p w14:paraId="0AE13224" w14:textId="0410E8BB" w:rsidR="00D15DAB" w:rsidRDefault="00D15DAB" w:rsidP="00D15DAB">
      <w:pPr>
        <w:jc w:val="both"/>
        <w:rPr>
          <w:rFonts w:ascii="Abadi" w:hAnsi="Abadi"/>
          <w:sz w:val="21"/>
          <w:szCs w:val="21"/>
        </w:rPr>
      </w:pPr>
      <w:r>
        <w:rPr>
          <w:rFonts w:ascii="Abadi" w:hAnsi="Abadi"/>
          <w:sz w:val="21"/>
          <w:szCs w:val="21"/>
        </w:rPr>
        <w:t xml:space="preserve">- </w:t>
      </w:r>
      <w:r w:rsidRPr="006813AA">
        <w:rPr>
          <w:rFonts w:ascii="Abadi" w:hAnsi="Abadi"/>
          <w:sz w:val="21"/>
          <w:szCs w:val="21"/>
        </w:rPr>
        <w:t>Pedro es originario de</w:t>
      </w:r>
      <w:r>
        <w:rPr>
          <w:rFonts w:ascii="Abadi" w:hAnsi="Abadi"/>
          <w:sz w:val="21"/>
          <w:szCs w:val="21"/>
        </w:rPr>
        <w:t xml:space="preserve"> el</w:t>
      </w:r>
      <w:r w:rsidRPr="006813AA">
        <w:rPr>
          <w:rFonts w:ascii="Abadi" w:hAnsi="Abadi"/>
          <w:sz w:val="21"/>
          <w:szCs w:val="21"/>
        </w:rPr>
        <w:t xml:space="preserve"> municipio de </w:t>
      </w:r>
      <w:r>
        <w:rPr>
          <w:rFonts w:ascii="Abadi" w:hAnsi="Abadi"/>
          <w:sz w:val="21"/>
          <w:szCs w:val="21"/>
        </w:rPr>
        <w:t>S</w:t>
      </w:r>
      <w:r w:rsidRPr="006813AA">
        <w:rPr>
          <w:rFonts w:ascii="Abadi" w:hAnsi="Abadi"/>
          <w:sz w:val="21"/>
          <w:szCs w:val="21"/>
        </w:rPr>
        <w:t xml:space="preserve">an </w:t>
      </w:r>
      <w:r>
        <w:rPr>
          <w:rFonts w:ascii="Abadi" w:hAnsi="Abadi"/>
          <w:sz w:val="21"/>
          <w:szCs w:val="21"/>
        </w:rPr>
        <w:t>F</w:t>
      </w:r>
      <w:r w:rsidRPr="006813AA">
        <w:rPr>
          <w:rFonts w:ascii="Abadi" w:hAnsi="Abadi"/>
          <w:sz w:val="21"/>
          <w:szCs w:val="21"/>
        </w:rPr>
        <w:t xml:space="preserve">elipe y hoy está detenido en el </w:t>
      </w:r>
      <w:r>
        <w:rPr>
          <w:rFonts w:ascii="Abadi" w:hAnsi="Abadi"/>
          <w:sz w:val="21"/>
          <w:szCs w:val="21"/>
        </w:rPr>
        <w:t>«C</w:t>
      </w:r>
      <w:r w:rsidRPr="006813AA">
        <w:rPr>
          <w:rFonts w:ascii="Abadi" w:hAnsi="Abadi"/>
          <w:sz w:val="21"/>
          <w:szCs w:val="21"/>
        </w:rPr>
        <w:t xml:space="preserve">ereso de </w:t>
      </w:r>
      <w:r>
        <w:rPr>
          <w:rFonts w:ascii="Abadi" w:hAnsi="Abadi"/>
          <w:sz w:val="21"/>
          <w:szCs w:val="21"/>
        </w:rPr>
        <w:t>A</w:t>
      </w:r>
      <w:r w:rsidRPr="006813AA">
        <w:rPr>
          <w:rFonts w:ascii="Abadi" w:hAnsi="Abadi"/>
          <w:sz w:val="21"/>
          <w:szCs w:val="21"/>
        </w:rPr>
        <w:t>pizaco</w:t>
      </w:r>
      <w:r>
        <w:rPr>
          <w:rFonts w:ascii="Abadi" w:hAnsi="Abadi"/>
          <w:sz w:val="21"/>
          <w:szCs w:val="21"/>
        </w:rPr>
        <w:t>»</w:t>
      </w:r>
      <w:r w:rsidRPr="006813AA">
        <w:rPr>
          <w:rFonts w:ascii="Abadi" w:hAnsi="Abadi"/>
          <w:sz w:val="21"/>
          <w:szCs w:val="21"/>
        </w:rPr>
        <w:t xml:space="preserve"> en </w:t>
      </w:r>
      <w:r>
        <w:rPr>
          <w:rFonts w:ascii="Abadi" w:hAnsi="Abadi"/>
          <w:sz w:val="21"/>
          <w:szCs w:val="21"/>
        </w:rPr>
        <w:t>T</w:t>
      </w:r>
      <w:r w:rsidRPr="006813AA">
        <w:rPr>
          <w:rFonts w:ascii="Abadi" w:hAnsi="Abadi"/>
          <w:sz w:val="21"/>
          <w:szCs w:val="21"/>
        </w:rPr>
        <w:t>laxcala</w:t>
      </w:r>
      <w:r>
        <w:rPr>
          <w:rFonts w:ascii="Abadi" w:hAnsi="Abadi"/>
          <w:sz w:val="21"/>
          <w:szCs w:val="21"/>
        </w:rPr>
        <w:t xml:space="preserve">, </w:t>
      </w:r>
      <w:r w:rsidRPr="006813AA">
        <w:rPr>
          <w:rFonts w:ascii="Abadi" w:hAnsi="Abadi"/>
          <w:sz w:val="21"/>
          <w:szCs w:val="21"/>
        </w:rPr>
        <w:t xml:space="preserve">lejos de su </w:t>
      </w:r>
      <w:r>
        <w:rPr>
          <w:rFonts w:ascii="Abadi" w:hAnsi="Abadi"/>
          <w:sz w:val="21"/>
          <w:szCs w:val="21"/>
        </w:rPr>
        <w:t>t</w:t>
      </w:r>
      <w:r w:rsidRPr="006813AA">
        <w:rPr>
          <w:rFonts w:ascii="Abadi" w:hAnsi="Abadi"/>
          <w:sz w:val="21"/>
          <w:szCs w:val="21"/>
        </w:rPr>
        <w:t>ierra</w:t>
      </w:r>
      <w:r>
        <w:rPr>
          <w:rFonts w:ascii="Abadi" w:hAnsi="Abadi"/>
          <w:sz w:val="21"/>
          <w:szCs w:val="21"/>
        </w:rPr>
        <w:t>, de</w:t>
      </w:r>
      <w:r w:rsidRPr="006813AA">
        <w:rPr>
          <w:rFonts w:ascii="Abadi" w:hAnsi="Abadi"/>
          <w:sz w:val="21"/>
          <w:szCs w:val="21"/>
        </w:rPr>
        <w:t xml:space="preserve"> su familia </w:t>
      </w:r>
      <w:r>
        <w:rPr>
          <w:rFonts w:ascii="Abadi" w:hAnsi="Abadi"/>
          <w:sz w:val="21"/>
          <w:szCs w:val="21"/>
        </w:rPr>
        <w:t>y</w:t>
      </w:r>
      <w:r w:rsidRPr="006813AA">
        <w:rPr>
          <w:rFonts w:ascii="Abadi" w:hAnsi="Abadi"/>
          <w:sz w:val="21"/>
          <w:szCs w:val="21"/>
        </w:rPr>
        <w:t xml:space="preserve"> de la justicia</w:t>
      </w:r>
      <w:r>
        <w:rPr>
          <w:rFonts w:ascii="Abadi" w:hAnsi="Abadi"/>
          <w:sz w:val="21"/>
          <w:szCs w:val="21"/>
        </w:rPr>
        <w:t>,</w:t>
      </w:r>
      <w:r w:rsidRPr="006813AA">
        <w:rPr>
          <w:rFonts w:ascii="Abadi" w:hAnsi="Abadi"/>
          <w:sz w:val="21"/>
          <w:szCs w:val="21"/>
        </w:rPr>
        <w:t xml:space="preserve"> que tanto presumimos en este estado</w:t>
      </w:r>
      <w:r>
        <w:rPr>
          <w:rFonts w:ascii="Abadi" w:hAnsi="Abadi"/>
          <w:sz w:val="21"/>
          <w:szCs w:val="21"/>
        </w:rPr>
        <w:t>;</w:t>
      </w:r>
      <w:r w:rsidRPr="006813AA">
        <w:rPr>
          <w:rFonts w:ascii="Abadi" w:hAnsi="Abadi"/>
          <w:sz w:val="21"/>
          <w:szCs w:val="21"/>
        </w:rPr>
        <w:t xml:space="preserve"> el pasado 5 de septiembre Pedro fue interceptado por agentes de investigación de nuestro estado cuando se dirigía a su casa y fue privado de la libertad por más de 24 horas antes de ser puesto a disposición por </w:t>
      </w:r>
      <w:r>
        <w:rPr>
          <w:rFonts w:ascii="Abadi" w:hAnsi="Abadi"/>
          <w:sz w:val="21"/>
          <w:szCs w:val="21"/>
        </w:rPr>
        <w:t>A</w:t>
      </w:r>
      <w:r w:rsidRPr="006813AA">
        <w:rPr>
          <w:rFonts w:ascii="Abadi" w:hAnsi="Abadi"/>
          <w:sz w:val="21"/>
          <w:szCs w:val="21"/>
        </w:rPr>
        <w:t xml:space="preserve">gentes de </w:t>
      </w:r>
      <w:r>
        <w:rPr>
          <w:rFonts w:ascii="Abadi" w:hAnsi="Abadi"/>
          <w:sz w:val="21"/>
          <w:szCs w:val="21"/>
        </w:rPr>
        <w:t>I</w:t>
      </w:r>
      <w:r w:rsidRPr="006813AA">
        <w:rPr>
          <w:rFonts w:ascii="Abadi" w:hAnsi="Abadi"/>
          <w:sz w:val="21"/>
          <w:szCs w:val="21"/>
        </w:rPr>
        <w:t xml:space="preserve">nvestigación de la </w:t>
      </w:r>
      <w:r>
        <w:rPr>
          <w:rFonts w:ascii="Abadi" w:hAnsi="Abadi"/>
          <w:sz w:val="21"/>
          <w:szCs w:val="21"/>
        </w:rPr>
        <w:t>F</w:t>
      </w:r>
      <w:r w:rsidRPr="006813AA">
        <w:rPr>
          <w:rFonts w:ascii="Abadi" w:hAnsi="Abadi"/>
          <w:sz w:val="21"/>
          <w:szCs w:val="21"/>
        </w:rPr>
        <w:t>iscalía de</w:t>
      </w:r>
      <w:r>
        <w:rPr>
          <w:rFonts w:ascii="Abadi" w:hAnsi="Abadi"/>
          <w:sz w:val="21"/>
          <w:szCs w:val="21"/>
        </w:rPr>
        <w:t xml:space="preserve"> Tlaxcala, </w:t>
      </w:r>
      <w:r w:rsidRPr="006813AA">
        <w:rPr>
          <w:rFonts w:ascii="Abadi" w:hAnsi="Abadi"/>
          <w:sz w:val="21"/>
          <w:szCs w:val="21"/>
        </w:rPr>
        <w:t xml:space="preserve">la mayoría de ustedes o la mayoría que forman parte de la fiscalía pueden comentar que </w:t>
      </w:r>
      <w:r>
        <w:rPr>
          <w:rFonts w:ascii="Abadi" w:hAnsi="Abadi"/>
          <w:sz w:val="21"/>
          <w:szCs w:val="21"/>
        </w:rPr>
        <w:t xml:space="preserve">esta </w:t>
      </w:r>
      <w:r w:rsidRPr="006813AA">
        <w:rPr>
          <w:rFonts w:ascii="Abadi" w:hAnsi="Abadi"/>
          <w:sz w:val="21"/>
          <w:szCs w:val="21"/>
        </w:rPr>
        <w:t>fiscalía solament</w:t>
      </w:r>
      <w:r>
        <w:rPr>
          <w:rFonts w:ascii="Abadi" w:hAnsi="Abadi"/>
          <w:sz w:val="21"/>
          <w:szCs w:val="21"/>
        </w:rPr>
        <w:t>e</w:t>
      </w:r>
      <w:r w:rsidRPr="006813AA">
        <w:rPr>
          <w:rFonts w:ascii="Abadi" w:hAnsi="Abadi"/>
          <w:sz w:val="21"/>
          <w:szCs w:val="21"/>
        </w:rPr>
        <w:t xml:space="preserve"> siguió las indicaciones de </w:t>
      </w:r>
      <w:r>
        <w:rPr>
          <w:rFonts w:ascii="Abadi" w:hAnsi="Abadi"/>
          <w:sz w:val="21"/>
          <w:szCs w:val="21"/>
        </w:rPr>
        <w:t>un exhorto de otro Estado o del Estado de T</w:t>
      </w:r>
      <w:r w:rsidRPr="006813AA">
        <w:rPr>
          <w:rFonts w:ascii="Abadi" w:hAnsi="Abadi"/>
          <w:sz w:val="21"/>
          <w:szCs w:val="21"/>
        </w:rPr>
        <w:t>laxcala</w:t>
      </w:r>
      <w:r>
        <w:rPr>
          <w:rFonts w:ascii="Abadi" w:hAnsi="Abadi"/>
          <w:sz w:val="21"/>
          <w:szCs w:val="21"/>
        </w:rPr>
        <w:t>,</w:t>
      </w:r>
      <w:r w:rsidRPr="006813AA">
        <w:rPr>
          <w:rFonts w:ascii="Abadi" w:hAnsi="Abadi"/>
          <w:sz w:val="21"/>
          <w:szCs w:val="21"/>
        </w:rPr>
        <w:t xml:space="preserve"> lo que debe preocuparnos es que estos agentes de investigación los de este </w:t>
      </w:r>
      <w:r>
        <w:rPr>
          <w:rFonts w:ascii="Abadi" w:hAnsi="Abadi"/>
          <w:sz w:val="21"/>
          <w:szCs w:val="21"/>
        </w:rPr>
        <w:t>E</w:t>
      </w:r>
      <w:r w:rsidRPr="006813AA">
        <w:rPr>
          <w:rFonts w:ascii="Abadi" w:hAnsi="Abadi"/>
          <w:sz w:val="21"/>
          <w:szCs w:val="21"/>
        </w:rPr>
        <w:t>stado</w:t>
      </w:r>
      <w:r>
        <w:rPr>
          <w:rFonts w:ascii="Abadi" w:hAnsi="Abadi"/>
          <w:sz w:val="21"/>
          <w:szCs w:val="21"/>
        </w:rPr>
        <w:t>,</w:t>
      </w:r>
      <w:r w:rsidRPr="006813AA">
        <w:rPr>
          <w:rFonts w:ascii="Abadi" w:hAnsi="Abadi"/>
          <w:sz w:val="21"/>
          <w:szCs w:val="21"/>
        </w:rPr>
        <w:t xml:space="preserve"> lo detuvieron primero bajo el argumento de que había sido testigo de un accidente de tránsito</w:t>
      </w:r>
      <w:r>
        <w:rPr>
          <w:rFonts w:ascii="Abadi" w:hAnsi="Abadi"/>
          <w:sz w:val="21"/>
          <w:szCs w:val="21"/>
        </w:rPr>
        <w:t>,</w:t>
      </w:r>
      <w:r w:rsidRPr="006813AA">
        <w:rPr>
          <w:rFonts w:ascii="Abadi" w:hAnsi="Abadi"/>
          <w:sz w:val="21"/>
          <w:szCs w:val="21"/>
        </w:rPr>
        <w:t xml:space="preserve"> esto lo sabemos porque antes fueron a su domicilio y preguntaron por él a sus papás</w:t>
      </w:r>
      <w:r>
        <w:rPr>
          <w:rFonts w:ascii="Abadi" w:hAnsi="Abadi"/>
          <w:sz w:val="21"/>
          <w:szCs w:val="21"/>
        </w:rPr>
        <w:t xml:space="preserve">, </w:t>
      </w:r>
      <w:r w:rsidRPr="006813AA">
        <w:rPr>
          <w:rFonts w:ascii="Abadi" w:hAnsi="Abadi"/>
          <w:sz w:val="21"/>
          <w:szCs w:val="21"/>
        </w:rPr>
        <w:t>les mostraron a ellos mismos una orden judicial por WhatsApp y esa misma orden la utilizaron para trasladarlo acusado de homicidio a otro estado</w:t>
      </w:r>
      <w:r>
        <w:rPr>
          <w:rFonts w:ascii="Abadi" w:hAnsi="Abadi"/>
          <w:sz w:val="21"/>
          <w:szCs w:val="21"/>
        </w:rPr>
        <w:t>;</w:t>
      </w:r>
      <w:r w:rsidRPr="006813AA">
        <w:rPr>
          <w:rFonts w:ascii="Abadi" w:hAnsi="Abadi"/>
          <w:sz w:val="21"/>
          <w:szCs w:val="21"/>
        </w:rPr>
        <w:t xml:space="preserve"> y</w:t>
      </w:r>
    </w:p>
    <w:p w14:paraId="17BCEFA7" w14:textId="77777777" w:rsidR="003C51DA" w:rsidRDefault="003C51DA" w:rsidP="00D15DAB">
      <w:pPr>
        <w:jc w:val="both"/>
        <w:rPr>
          <w:rFonts w:ascii="Abadi" w:hAnsi="Abadi"/>
          <w:sz w:val="21"/>
          <w:szCs w:val="21"/>
        </w:rPr>
      </w:pPr>
    </w:p>
    <w:p w14:paraId="7C4D4D91" w14:textId="77777777" w:rsidR="00D15DAB" w:rsidRDefault="00D15DAB" w:rsidP="00D15DAB">
      <w:pPr>
        <w:jc w:val="both"/>
        <w:rPr>
          <w:rFonts w:ascii="Abadi" w:hAnsi="Abadi"/>
          <w:sz w:val="21"/>
          <w:szCs w:val="21"/>
        </w:rPr>
      </w:pPr>
      <w:r>
        <w:rPr>
          <w:rFonts w:ascii="Abadi" w:hAnsi="Abadi"/>
          <w:sz w:val="21"/>
          <w:szCs w:val="21"/>
        </w:rPr>
        <w:t>- L</w:t>
      </w:r>
      <w:r w:rsidRPr="006813AA">
        <w:rPr>
          <w:rFonts w:ascii="Abadi" w:hAnsi="Abadi"/>
          <w:sz w:val="21"/>
          <w:szCs w:val="21"/>
        </w:rPr>
        <w:t>o segundo es que resulta preocupante que con un sistema avanzado</w:t>
      </w:r>
      <w:r>
        <w:rPr>
          <w:rFonts w:ascii="Abadi" w:hAnsi="Abadi"/>
          <w:sz w:val="21"/>
          <w:szCs w:val="21"/>
        </w:rPr>
        <w:t>,</w:t>
      </w:r>
      <w:r w:rsidRPr="006813AA">
        <w:rPr>
          <w:rFonts w:ascii="Abadi" w:hAnsi="Abadi"/>
          <w:sz w:val="21"/>
          <w:szCs w:val="21"/>
        </w:rPr>
        <w:t xml:space="preserve"> de avanzada como dicen de </w:t>
      </w:r>
      <w:r>
        <w:rPr>
          <w:rFonts w:ascii="Abadi" w:hAnsi="Abadi"/>
          <w:sz w:val="21"/>
          <w:szCs w:val="21"/>
        </w:rPr>
        <w:t xml:space="preserve">nuestra </w:t>
      </w:r>
      <w:r w:rsidRPr="006813AA">
        <w:rPr>
          <w:rFonts w:ascii="Abadi" w:hAnsi="Abadi"/>
          <w:sz w:val="21"/>
          <w:szCs w:val="21"/>
        </w:rPr>
        <w:t>fiscalía</w:t>
      </w:r>
      <w:r>
        <w:rPr>
          <w:rFonts w:ascii="Abadi" w:hAnsi="Abadi"/>
          <w:sz w:val="21"/>
          <w:szCs w:val="21"/>
        </w:rPr>
        <w:t>,</w:t>
      </w:r>
      <w:r w:rsidRPr="006813AA">
        <w:rPr>
          <w:rFonts w:ascii="Abadi" w:hAnsi="Abadi"/>
          <w:sz w:val="21"/>
          <w:szCs w:val="21"/>
        </w:rPr>
        <w:t xml:space="preserve"> millonario fueron incapaces de revisar siquiera si la identidad esta persona correspondía con la persona que estaban buscando en </w:t>
      </w:r>
      <w:r>
        <w:rPr>
          <w:rFonts w:ascii="Abadi" w:hAnsi="Abadi"/>
          <w:sz w:val="21"/>
          <w:szCs w:val="21"/>
        </w:rPr>
        <w:t>T</w:t>
      </w:r>
      <w:r w:rsidRPr="006813AA">
        <w:rPr>
          <w:rFonts w:ascii="Abadi" w:hAnsi="Abadi"/>
          <w:sz w:val="21"/>
          <w:szCs w:val="21"/>
        </w:rPr>
        <w:t>laxcala y eso nos lleva a pensar que cualquier persona en el estado</w:t>
      </w:r>
      <w:r>
        <w:rPr>
          <w:rFonts w:ascii="Abadi" w:hAnsi="Abadi"/>
          <w:sz w:val="21"/>
          <w:szCs w:val="21"/>
        </w:rPr>
        <w:t>, t</w:t>
      </w:r>
      <w:r w:rsidRPr="006813AA">
        <w:rPr>
          <w:rFonts w:ascii="Abadi" w:hAnsi="Abadi"/>
          <w:sz w:val="21"/>
          <w:szCs w:val="21"/>
        </w:rPr>
        <w:t xml:space="preserve">odos los que nos ven por plataformas digitales estamos expuestos a estas arbitrariedades que bajo argumentos infundados con engaños y mentiras sin protocolos mínimos en otras palabras sin el debido proceso podemos sufrir algo </w:t>
      </w:r>
      <w:r>
        <w:rPr>
          <w:rFonts w:ascii="Abadi" w:hAnsi="Abadi"/>
          <w:sz w:val="21"/>
          <w:szCs w:val="21"/>
        </w:rPr>
        <w:t>similar.</w:t>
      </w:r>
    </w:p>
    <w:p w14:paraId="3CA5A03F" w14:textId="4642A977" w:rsidR="00D15DAB" w:rsidRDefault="00D15DAB" w:rsidP="00D15DAB">
      <w:pPr>
        <w:jc w:val="both"/>
        <w:rPr>
          <w:rFonts w:ascii="Abadi" w:hAnsi="Abadi"/>
          <w:sz w:val="21"/>
          <w:szCs w:val="21"/>
        </w:rPr>
      </w:pPr>
      <w:r>
        <w:rPr>
          <w:rFonts w:ascii="Abadi" w:hAnsi="Abadi"/>
          <w:sz w:val="21"/>
          <w:szCs w:val="21"/>
        </w:rPr>
        <w:t xml:space="preserve">- Recordemos </w:t>
      </w:r>
      <w:r w:rsidRPr="006813AA">
        <w:rPr>
          <w:rFonts w:ascii="Abadi" w:hAnsi="Abadi"/>
          <w:sz w:val="21"/>
          <w:szCs w:val="21"/>
        </w:rPr>
        <w:t>que hace unos meses nos archivaron una iniciativa sobre protocolos mínimos de actuación</w:t>
      </w:r>
      <w:r>
        <w:rPr>
          <w:rFonts w:ascii="Abadi" w:hAnsi="Abadi"/>
          <w:sz w:val="21"/>
          <w:szCs w:val="21"/>
        </w:rPr>
        <w:t>,</w:t>
      </w:r>
      <w:r w:rsidRPr="006813AA">
        <w:rPr>
          <w:rFonts w:ascii="Abadi" w:hAnsi="Abadi"/>
          <w:sz w:val="21"/>
          <w:szCs w:val="21"/>
        </w:rPr>
        <w:t xml:space="preserve"> el objetivo en este momento de esa iniciativa era justamente evitar esta y otras malas prácticas</w:t>
      </w:r>
      <w:r>
        <w:rPr>
          <w:rFonts w:ascii="Abadi" w:hAnsi="Abadi"/>
          <w:sz w:val="21"/>
          <w:szCs w:val="21"/>
        </w:rPr>
        <w:t>,</w:t>
      </w:r>
      <w:r w:rsidRPr="006813AA">
        <w:rPr>
          <w:rFonts w:ascii="Abadi" w:hAnsi="Abadi"/>
          <w:sz w:val="21"/>
          <w:szCs w:val="21"/>
        </w:rPr>
        <w:t xml:space="preserve"> Pedro es un joven trabajador que clama just</w:t>
      </w:r>
      <w:r>
        <w:rPr>
          <w:rFonts w:ascii="Abadi" w:hAnsi="Abadi"/>
          <w:sz w:val="21"/>
          <w:szCs w:val="21"/>
        </w:rPr>
        <w:t>icia a</w:t>
      </w:r>
      <w:r w:rsidRPr="006813AA">
        <w:rPr>
          <w:rFonts w:ascii="Abadi" w:hAnsi="Abadi"/>
          <w:sz w:val="21"/>
          <w:szCs w:val="21"/>
        </w:rPr>
        <w:t xml:space="preserve"> palabras de su padre</w:t>
      </w:r>
      <w:r>
        <w:rPr>
          <w:rFonts w:ascii="Abadi" w:hAnsi="Abadi"/>
          <w:sz w:val="21"/>
          <w:szCs w:val="21"/>
        </w:rPr>
        <w:t>,</w:t>
      </w:r>
      <w:r w:rsidRPr="006813AA">
        <w:rPr>
          <w:rFonts w:ascii="Abadi" w:hAnsi="Abadi"/>
          <w:sz w:val="21"/>
          <w:szCs w:val="21"/>
        </w:rPr>
        <w:t xml:space="preserve"> déjenme les cuento esto que es una historia de terror</w:t>
      </w:r>
      <w:r>
        <w:rPr>
          <w:rFonts w:ascii="Abadi" w:hAnsi="Abadi"/>
          <w:sz w:val="21"/>
          <w:szCs w:val="21"/>
        </w:rPr>
        <w:t>,</w:t>
      </w:r>
      <w:r w:rsidRPr="006813AA">
        <w:rPr>
          <w:rFonts w:ascii="Abadi" w:hAnsi="Abadi"/>
          <w:sz w:val="21"/>
          <w:szCs w:val="21"/>
        </w:rPr>
        <w:t xml:space="preserve"> llegó a </w:t>
      </w:r>
      <w:r>
        <w:rPr>
          <w:rFonts w:ascii="Abadi" w:hAnsi="Abadi"/>
          <w:sz w:val="21"/>
          <w:szCs w:val="21"/>
        </w:rPr>
        <w:t>T</w:t>
      </w:r>
      <w:r w:rsidRPr="006813AA">
        <w:rPr>
          <w:rFonts w:ascii="Abadi" w:hAnsi="Abadi"/>
          <w:sz w:val="21"/>
          <w:szCs w:val="21"/>
        </w:rPr>
        <w:t xml:space="preserve">laxcala y eso y fue representado por un abogado de oficio que le pidió que con la finalidad de que tuviera acceso a un procedimiento abreviado se declara culpable para que sólo le dieran </w:t>
      </w:r>
      <w:r>
        <w:rPr>
          <w:rFonts w:ascii="Abadi" w:hAnsi="Abadi"/>
          <w:sz w:val="21"/>
          <w:szCs w:val="21"/>
        </w:rPr>
        <w:t>ocho años.</w:t>
      </w:r>
    </w:p>
    <w:p w14:paraId="066C253B" w14:textId="77777777" w:rsidR="003C51DA" w:rsidRDefault="003C51DA" w:rsidP="00D15DAB">
      <w:pPr>
        <w:jc w:val="both"/>
        <w:rPr>
          <w:rFonts w:ascii="Abadi" w:hAnsi="Abadi"/>
          <w:sz w:val="21"/>
          <w:szCs w:val="21"/>
        </w:rPr>
      </w:pPr>
    </w:p>
    <w:p w14:paraId="3901725F" w14:textId="7DDD0A98" w:rsidR="00D15DAB" w:rsidRDefault="00D15DAB" w:rsidP="00D15DAB">
      <w:pPr>
        <w:jc w:val="both"/>
        <w:rPr>
          <w:rFonts w:ascii="Abadi" w:hAnsi="Abadi"/>
          <w:sz w:val="21"/>
          <w:szCs w:val="21"/>
        </w:rPr>
      </w:pPr>
      <w:r>
        <w:rPr>
          <w:rFonts w:ascii="Abadi" w:hAnsi="Abadi"/>
          <w:sz w:val="21"/>
          <w:szCs w:val="21"/>
        </w:rPr>
        <w:t>- A</w:t>
      </w:r>
      <w:r w:rsidRPr="006813AA">
        <w:rPr>
          <w:rFonts w:ascii="Abadi" w:hAnsi="Abadi"/>
          <w:sz w:val="21"/>
          <w:szCs w:val="21"/>
        </w:rPr>
        <w:t xml:space="preserve"> pesar de tener todas las pruebas </w:t>
      </w:r>
      <w:r>
        <w:rPr>
          <w:rFonts w:ascii="Abadi" w:hAnsi="Abadi"/>
          <w:sz w:val="21"/>
          <w:szCs w:val="21"/>
        </w:rPr>
        <w:t xml:space="preserve">de su inocencia, </w:t>
      </w:r>
      <w:r w:rsidRPr="006813AA">
        <w:rPr>
          <w:rFonts w:ascii="Abadi" w:hAnsi="Abadi"/>
          <w:sz w:val="21"/>
          <w:szCs w:val="21"/>
        </w:rPr>
        <w:t>desafortunadamente tiene todo un sistema</w:t>
      </w:r>
      <w:r>
        <w:rPr>
          <w:rFonts w:ascii="Abadi" w:hAnsi="Abadi"/>
          <w:sz w:val="21"/>
          <w:szCs w:val="21"/>
        </w:rPr>
        <w:t xml:space="preserve"> en contra,</w:t>
      </w:r>
      <w:r w:rsidRPr="006813AA">
        <w:rPr>
          <w:rFonts w:ascii="Abadi" w:hAnsi="Abadi"/>
          <w:sz w:val="21"/>
          <w:szCs w:val="21"/>
        </w:rPr>
        <w:t xml:space="preserve"> por muchos años ya hemos señalado las deficiencias de la fiscalía y la poca garantía de acceso a la justicia que tiene</w:t>
      </w:r>
      <w:r>
        <w:rPr>
          <w:rFonts w:ascii="Abadi" w:hAnsi="Abadi"/>
          <w:sz w:val="21"/>
          <w:szCs w:val="21"/>
        </w:rPr>
        <w:t>n en</w:t>
      </w:r>
      <w:r w:rsidRPr="006813AA">
        <w:rPr>
          <w:rFonts w:ascii="Abadi" w:hAnsi="Abadi"/>
          <w:sz w:val="21"/>
          <w:szCs w:val="21"/>
        </w:rPr>
        <w:t xml:space="preserve"> nuestro </w:t>
      </w:r>
      <w:r>
        <w:rPr>
          <w:rFonts w:ascii="Abadi" w:hAnsi="Abadi"/>
          <w:sz w:val="21"/>
          <w:szCs w:val="21"/>
        </w:rPr>
        <w:t>E</w:t>
      </w:r>
      <w:r w:rsidRPr="006813AA">
        <w:rPr>
          <w:rFonts w:ascii="Abadi" w:hAnsi="Abadi"/>
          <w:sz w:val="21"/>
          <w:szCs w:val="21"/>
        </w:rPr>
        <w:t>stado</w:t>
      </w:r>
      <w:r>
        <w:rPr>
          <w:rFonts w:ascii="Abadi" w:hAnsi="Abadi"/>
          <w:sz w:val="21"/>
          <w:szCs w:val="21"/>
        </w:rPr>
        <w:t>.</w:t>
      </w:r>
    </w:p>
    <w:p w14:paraId="23EC51F8" w14:textId="77777777" w:rsidR="003C51DA" w:rsidRDefault="003C51DA" w:rsidP="00D15DAB">
      <w:pPr>
        <w:jc w:val="both"/>
        <w:rPr>
          <w:rFonts w:ascii="Abadi" w:hAnsi="Abadi"/>
          <w:sz w:val="21"/>
          <w:szCs w:val="21"/>
        </w:rPr>
      </w:pPr>
    </w:p>
    <w:p w14:paraId="078D660E" w14:textId="3C116E89" w:rsidR="00D15DAB" w:rsidRDefault="00D15DAB" w:rsidP="00D15DAB">
      <w:pPr>
        <w:jc w:val="both"/>
        <w:rPr>
          <w:rFonts w:ascii="Abadi" w:hAnsi="Abadi"/>
          <w:sz w:val="21"/>
          <w:szCs w:val="21"/>
        </w:rPr>
      </w:pPr>
      <w:r>
        <w:rPr>
          <w:rFonts w:ascii="Abadi" w:hAnsi="Abadi"/>
          <w:sz w:val="21"/>
          <w:szCs w:val="21"/>
        </w:rPr>
        <w:t>- H</w:t>
      </w:r>
      <w:r w:rsidRPr="006813AA">
        <w:rPr>
          <w:rFonts w:ascii="Abadi" w:hAnsi="Abadi"/>
          <w:sz w:val="21"/>
          <w:szCs w:val="21"/>
        </w:rPr>
        <w:t xml:space="preserve">oy tanto nuestro </w:t>
      </w:r>
      <w:r>
        <w:rPr>
          <w:rFonts w:ascii="Abadi" w:hAnsi="Abadi"/>
          <w:sz w:val="21"/>
          <w:szCs w:val="21"/>
        </w:rPr>
        <w:t>G</w:t>
      </w:r>
      <w:r w:rsidRPr="006813AA">
        <w:rPr>
          <w:rFonts w:ascii="Abadi" w:hAnsi="Abadi"/>
          <w:sz w:val="21"/>
          <w:szCs w:val="21"/>
        </w:rPr>
        <w:t xml:space="preserve">obernador como el </w:t>
      </w:r>
      <w:r>
        <w:rPr>
          <w:rFonts w:ascii="Abadi" w:hAnsi="Abadi"/>
          <w:sz w:val="21"/>
          <w:szCs w:val="21"/>
        </w:rPr>
        <w:t>F</w:t>
      </w:r>
      <w:r w:rsidRPr="006813AA">
        <w:rPr>
          <w:rFonts w:ascii="Abadi" w:hAnsi="Abadi"/>
          <w:sz w:val="21"/>
          <w:szCs w:val="21"/>
        </w:rPr>
        <w:t xml:space="preserve">iscal </w:t>
      </w:r>
      <w:r>
        <w:rPr>
          <w:rFonts w:ascii="Abadi" w:hAnsi="Abadi"/>
          <w:sz w:val="21"/>
          <w:szCs w:val="21"/>
        </w:rPr>
        <w:t>G</w:t>
      </w:r>
      <w:r w:rsidRPr="006813AA">
        <w:rPr>
          <w:rFonts w:ascii="Abadi" w:hAnsi="Abadi"/>
          <w:sz w:val="21"/>
          <w:szCs w:val="21"/>
        </w:rPr>
        <w:t>eneral</w:t>
      </w:r>
      <w:r>
        <w:rPr>
          <w:rFonts w:ascii="Abadi" w:hAnsi="Abadi"/>
          <w:sz w:val="21"/>
          <w:szCs w:val="21"/>
        </w:rPr>
        <w:t>,</w:t>
      </w:r>
      <w:r w:rsidRPr="006813AA">
        <w:rPr>
          <w:rFonts w:ascii="Abadi" w:hAnsi="Abadi"/>
          <w:sz w:val="21"/>
          <w:szCs w:val="21"/>
        </w:rPr>
        <w:t xml:space="preserve"> tienen la oportunidad de demostrarnos a todos los guanajuatenses qué podemos aspirar a la </w:t>
      </w:r>
      <w:r>
        <w:rPr>
          <w:rFonts w:ascii="Abadi" w:hAnsi="Abadi"/>
          <w:sz w:val="21"/>
          <w:szCs w:val="21"/>
        </w:rPr>
        <w:t>P</w:t>
      </w:r>
      <w:r w:rsidRPr="006813AA">
        <w:rPr>
          <w:rFonts w:ascii="Abadi" w:hAnsi="Abadi"/>
          <w:sz w:val="21"/>
          <w:szCs w:val="21"/>
        </w:rPr>
        <w:t xml:space="preserve">rocuración de </w:t>
      </w:r>
      <w:r>
        <w:rPr>
          <w:rFonts w:ascii="Abadi" w:hAnsi="Abadi"/>
          <w:sz w:val="21"/>
          <w:szCs w:val="21"/>
        </w:rPr>
        <w:t>J</w:t>
      </w:r>
      <w:r w:rsidRPr="006813AA">
        <w:rPr>
          <w:rFonts w:ascii="Abadi" w:hAnsi="Abadi"/>
          <w:sz w:val="21"/>
          <w:szCs w:val="21"/>
        </w:rPr>
        <w:t>usticia y que si podemos confiar en nuestras autoridad</w:t>
      </w:r>
      <w:r>
        <w:rPr>
          <w:rFonts w:ascii="Abadi" w:hAnsi="Abadi"/>
          <w:sz w:val="21"/>
          <w:szCs w:val="21"/>
        </w:rPr>
        <w:t>es.</w:t>
      </w:r>
    </w:p>
    <w:p w14:paraId="03CA56A3" w14:textId="77777777" w:rsidR="003C51DA" w:rsidRDefault="003C51DA" w:rsidP="00D15DAB">
      <w:pPr>
        <w:jc w:val="both"/>
        <w:rPr>
          <w:rFonts w:ascii="Abadi" w:hAnsi="Abadi"/>
          <w:sz w:val="21"/>
          <w:szCs w:val="21"/>
        </w:rPr>
      </w:pPr>
    </w:p>
    <w:p w14:paraId="5690DBC2" w14:textId="6FA309D6" w:rsidR="00D15DAB" w:rsidRDefault="00D15DAB" w:rsidP="00D15DAB">
      <w:pPr>
        <w:jc w:val="both"/>
        <w:rPr>
          <w:rFonts w:ascii="Abadi" w:hAnsi="Abadi"/>
          <w:sz w:val="21"/>
          <w:szCs w:val="21"/>
        </w:rPr>
      </w:pPr>
      <w:r>
        <w:rPr>
          <w:rFonts w:ascii="Abadi" w:hAnsi="Abadi"/>
          <w:sz w:val="21"/>
          <w:szCs w:val="21"/>
        </w:rPr>
        <w:t>- N</w:t>
      </w:r>
      <w:r w:rsidRPr="006813AA">
        <w:rPr>
          <w:rFonts w:ascii="Abadi" w:hAnsi="Abadi"/>
          <w:sz w:val="21"/>
          <w:szCs w:val="21"/>
        </w:rPr>
        <w:t>o queremos pensar que nuestra fiscalía que presume logros reconocimientos y capacitaciones solamente encuentra de justicia selectiva y que solamente esos casos que son mediáticos o con respaldos partidistas encuentran justicia pronta y expedita</w:t>
      </w:r>
      <w:r>
        <w:rPr>
          <w:rFonts w:ascii="Abadi" w:hAnsi="Abadi"/>
          <w:sz w:val="21"/>
          <w:szCs w:val="21"/>
        </w:rPr>
        <w:t>.</w:t>
      </w:r>
    </w:p>
    <w:p w14:paraId="5CBD5538" w14:textId="77777777" w:rsidR="003C51DA" w:rsidRDefault="003C51DA" w:rsidP="00D15DAB">
      <w:pPr>
        <w:jc w:val="both"/>
        <w:rPr>
          <w:rFonts w:ascii="Abadi" w:hAnsi="Abadi"/>
          <w:sz w:val="21"/>
          <w:szCs w:val="21"/>
        </w:rPr>
      </w:pPr>
    </w:p>
    <w:p w14:paraId="0E4B95EB" w14:textId="5846BF03" w:rsidR="00D15DAB" w:rsidRDefault="00D15DAB" w:rsidP="00D15DAB">
      <w:pPr>
        <w:jc w:val="both"/>
        <w:rPr>
          <w:rFonts w:ascii="Abadi" w:hAnsi="Abadi"/>
          <w:sz w:val="21"/>
          <w:szCs w:val="21"/>
        </w:rPr>
      </w:pPr>
      <w:r>
        <w:rPr>
          <w:rFonts w:ascii="Abadi" w:hAnsi="Abadi"/>
          <w:sz w:val="21"/>
          <w:szCs w:val="21"/>
        </w:rPr>
        <w:t>- Q</w:t>
      </w:r>
      <w:r w:rsidRPr="006813AA">
        <w:rPr>
          <w:rFonts w:ascii="Abadi" w:hAnsi="Abadi"/>
          <w:sz w:val="21"/>
          <w:szCs w:val="21"/>
        </w:rPr>
        <w:t xml:space="preserve">uiero terminar mi participación contándoles que hacen unos minutos tuve contacto con Pedro </w:t>
      </w:r>
      <w:r>
        <w:rPr>
          <w:rFonts w:ascii="Abadi" w:hAnsi="Abadi"/>
          <w:sz w:val="21"/>
          <w:szCs w:val="21"/>
        </w:rPr>
        <w:t>R</w:t>
      </w:r>
      <w:r w:rsidRPr="006813AA">
        <w:rPr>
          <w:rFonts w:ascii="Abadi" w:hAnsi="Abadi"/>
          <w:sz w:val="21"/>
          <w:szCs w:val="21"/>
        </w:rPr>
        <w:t>odríguez</w:t>
      </w:r>
      <w:r>
        <w:rPr>
          <w:rFonts w:ascii="Abadi" w:hAnsi="Abadi"/>
          <w:sz w:val="21"/>
          <w:szCs w:val="21"/>
        </w:rPr>
        <w:t>,</w:t>
      </w:r>
      <w:r w:rsidRPr="006813AA">
        <w:rPr>
          <w:rFonts w:ascii="Abadi" w:hAnsi="Abadi"/>
          <w:sz w:val="21"/>
          <w:szCs w:val="21"/>
        </w:rPr>
        <w:t xml:space="preserve"> el papá de Pedro y me comentó que afortunadamente ya la </w:t>
      </w:r>
      <w:r>
        <w:rPr>
          <w:rFonts w:ascii="Abadi" w:hAnsi="Abadi"/>
          <w:sz w:val="21"/>
          <w:szCs w:val="21"/>
        </w:rPr>
        <w:t>S</w:t>
      </w:r>
      <w:r w:rsidRPr="006813AA">
        <w:rPr>
          <w:rFonts w:ascii="Abadi" w:hAnsi="Abadi"/>
          <w:sz w:val="21"/>
          <w:szCs w:val="21"/>
        </w:rPr>
        <w:t xml:space="preserve">ecretaria de </w:t>
      </w:r>
      <w:r>
        <w:rPr>
          <w:rFonts w:ascii="Abadi" w:hAnsi="Abadi"/>
          <w:sz w:val="21"/>
          <w:szCs w:val="21"/>
        </w:rPr>
        <w:t>G</w:t>
      </w:r>
      <w:r w:rsidRPr="006813AA">
        <w:rPr>
          <w:rFonts w:ascii="Abadi" w:hAnsi="Abadi"/>
          <w:sz w:val="21"/>
          <w:szCs w:val="21"/>
        </w:rPr>
        <w:t>obierno se puso en contacto para apoyar</w:t>
      </w:r>
      <w:r>
        <w:rPr>
          <w:rFonts w:ascii="Abadi" w:hAnsi="Abadi"/>
          <w:sz w:val="21"/>
          <w:szCs w:val="21"/>
        </w:rPr>
        <w:t>lo,</w:t>
      </w:r>
      <w:r w:rsidRPr="006813AA">
        <w:rPr>
          <w:rFonts w:ascii="Abadi" w:hAnsi="Abadi"/>
          <w:sz w:val="21"/>
          <w:szCs w:val="21"/>
        </w:rPr>
        <w:t xml:space="preserve"> desde aquí le hago un atento llamado a la </w:t>
      </w:r>
      <w:r>
        <w:rPr>
          <w:rFonts w:ascii="Abadi" w:hAnsi="Abadi"/>
          <w:sz w:val="21"/>
          <w:szCs w:val="21"/>
        </w:rPr>
        <w:t>S</w:t>
      </w:r>
      <w:r w:rsidRPr="006813AA">
        <w:rPr>
          <w:rFonts w:ascii="Abadi" w:hAnsi="Abadi"/>
          <w:sz w:val="21"/>
          <w:szCs w:val="21"/>
        </w:rPr>
        <w:t>ecretar</w:t>
      </w:r>
      <w:r>
        <w:rPr>
          <w:rFonts w:ascii="Abadi" w:hAnsi="Abadi"/>
          <w:sz w:val="21"/>
          <w:szCs w:val="21"/>
        </w:rPr>
        <w:t>í</w:t>
      </w:r>
      <w:r w:rsidRPr="006813AA">
        <w:rPr>
          <w:rFonts w:ascii="Abadi" w:hAnsi="Abadi"/>
          <w:sz w:val="21"/>
          <w:szCs w:val="21"/>
        </w:rPr>
        <w:t>a para que le dé</w:t>
      </w:r>
      <w:r>
        <w:rPr>
          <w:rFonts w:ascii="Abadi" w:hAnsi="Abadi"/>
          <w:sz w:val="21"/>
          <w:szCs w:val="21"/>
        </w:rPr>
        <w:t xml:space="preserve"> seguimiento, </w:t>
      </w:r>
      <w:r w:rsidRPr="006813AA">
        <w:rPr>
          <w:rFonts w:ascii="Abadi" w:hAnsi="Abadi"/>
          <w:sz w:val="21"/>
          <w:szCs w:val="21"/>
        </w:rPr>
        <w:t xml:space="preserve">para que </w:t>
      </w:r>
      <w:r>
        <w:rPr>
          <w:rFonts w:ascii="Abadi" w:hAnsi="Abadi"/>
          <w:sz w:val="21"/>
          <w:szCs w:val="21"/>
        </w:rPr>
        <w:t xml:space="preserve">está, </w:t>
      </w:r>
      <w:r w:rsidRPr="006813AA">
        <w:rPr>
          <w:rFonts w:ascii="Abadi" w:hAnsi="Abadi"/>
          <w:sz w:val="21"/>
          <w:szCs w:val="21"/>
        </w:rPr>
        <w:t>encuentre esa detención</w:t>
      </w:r>
      <w:r>
        <w:rPr>
          <w:rFonts w:ascii="Abadi" w:hAnsi="Abadi"/>
          <w:sz w:val="21"/>
          <w:szCs w:val="21"/>
        </w:rPr>
        <w:t>,</w:t>
      </w:r>
      <w:r w:rsidRPr="006813AA">
        <w:rPr>
          <w:rFonts w:ascii="Abadi" w:hAnsi="Abadi"/>
          <w:sz w:val="21"/>
          <w:szCs w:val="21"/>
        </w:rPr>
        <w:t xml:space="preserve"> un buen </w:t>
      </w:r>
      <w:r>
        <w:rPr>
          <w:rFonts w:ascii="Abadi" w:hAnsi="Abadi"/>
          <w:sz w:val="21"/>
          <w:szCs w:val="21"/>
        </w:rPr>
        <w:t xml:space="preserve">fin,  para que </w:t>
      </w:r>
      <w:r w:rsidRPr="006813AA">
        <w:rPr>
          <w:rFonts w:ascii="Abadi" w:hAnsi="Abadi"/>
          <w:sz w:val="21"/>
          <w:szCs w:val="21"/>
        </w:rPr>
        <w:t>pueda salir libre</w:t>
      </w:r>
      <w:r>
        <w:rPr>
          <w:rFonts w:ascii="Abadi" w:hAnsi="Abadi"/>
          <w:sz w:val="21"/>
          <w:szCs w:val="21"/>
        </w:rPr>
        <w:t>,</w:t>
      </w:r>
      <w:r w:rsidRPr="006813AA">
        <w:rPr>
          <w:rFonts w:ascii="Abadi" w:hAnsi="Abadi"/>
          <w:sz w:val="21"/>
          <w:szCs w:val="21"/>
        </w:rPr>
        <w:t xml:space="preserve"> seguro estoy que con la intervención del </w:t>
      </w:r>
      <w:r>
        <w:rPr>
          <w:rFonts w:ascii="Abadi" w:hAnsi="Abadi"/>
          <w:sz w:val="21"/>
          <w:szCs w:val="21"/>
        </w:rPr>
        <w:t>G</w:t>
      </w:r>
      <w:r w:rsidRPr="006813AA">
        <w:rPr>
          <w:rFonts w:ascii="Abadi" w:hAnsi="Abadi"/>
          <w:sz w:val="21"/>
          <w:szCs w:val="21"/>
        </w:rPr>
        <w:t>obernador así pued</w:t>
      </w:r>
      <w:r>
        <w:rPr>
          <w:rFonts w:ascii="Abadi" w:hAnsi="Abadi"/>
          <w:sz w:val="21"/>
          <w:szCs w:val="21"/>
        </w:rPr>
        <w:t>a ser, l</w:t>
      </w:r>
      <w:r w:rsidRPr="006813AA">
        <w:rPr>
          <w:rFonts w:ascii="Abadi" w:hAnsi="Abadi"/>
          <w:sz w:val="21"/>
          <w:szCs w:val="21"/>
        </w:rPr>
        <w:t>a tragedia de estos compañeros</w:t>
      </w:r>
      <w:r>
        <w:rPr>
          <w:rFonts w:ascii="Abadi" w:hAnsi="Abadi"/>
          <w:sz w:val="21"/>
          <w:szCs w:val="21"/>
        </w:rPr>
        <w:t>,</w:t>
      </w:r>
      <w:r w:rsidRPr="006813AA">
        <w:rPr>
          <w:rFonts w:ascii="Abadi" w:hAnsi="Abadi"/>
          <w:sz w:val="21"/>
          <w:szCs w:val="21"/>
        </w:rPr>
        <w:t xml:space="preserve"> es el sentir</w:t>
      </w:r>
      <w:r>
        <w:rPr>
          <w:rFonts w:ascii="Abadi" w:hAnsi="Abadi"/>
          <w:sz w:val="21"/>
          <w:szCs w:val="21"/>
        </w:rPr>
        <w:t xml:space="preserve">, </w:t>
      </w:r>
      <w:r w:rsidRPr="006813AA">
        <w:rPr>
          <w:rFonts w:ascii="Abadi" w:hAnsi="Abadi"/>
          <w:sz w:val="21"/>
          <w:szCs w:val="21"/>
        </w:rPr>
        <w:t>pe</w:t>
      </w:r>
      <w:r>
        <w:rPr>
          <w:rFonts w:ascii="Abadi" w:hAnsi="Abadi"/>
          <w:sz w:val="21"/>
          <w:szCs w:val="21"/>
        </w:rPr>
        <w:t>n</w:t>
      </w:r>
      <w:r w:rsidRPr="006813AA">
        <w:rPr>
          <w:rFonts w:ascii="Abadi" w:hAnsi="Abadi"/>
          <w:sz w:val="21"/>
          <w:szCs w:val="21"/>
        </w:rPr>
        <w:t xml:space="preserve">sar </w:t>
      </w:r>
      <w:r>
        <w:rPr>
          <w:rFonts w:ascii="Abadi" w:hAnsi="Abadi"/>
          <w:sz w:val="21"/>
          <w:szCs w:val="21"/>
        </w:rPr>
        <w:t xml:space="preserve">el </w:t>
      </w:r>
      <w:r w:rsidRPr="006813AA">
        <w:rPr>
          <w:rFonts w:ascii="Abadi" w:hAnsi="Abadi"/>
          <w:sz w:val="21"/>
          <w:szCs w:val="21"/>
        </w:rPr>
        <w:t>padecimiento de la familia</w:t>
      </w:r>
      <w:r>
        <w:rPr>
          <w:rFonts w:ascii="Abadi" w:hAnsi="Abadi"/>
          <w:sz w:val="21"/>
          <w:szCs w:val="21"/>
        </w:rPr>
        <w:t>,</w:t>
      </w:r>
      <w:r w:rsidRPr="006813AA">
        <w:rPr>
          <w:rFonts w:ascii="Abadi" w:hAnsi="Abadi"/>
          <w:sz w:val="21"/>
          <w:szCs w:val="21"/>
        </w:rPr>
        <w:t xml:space="preserve"> porque ya escuchó varias veces y me lo dijo</w:t>
      </w:r>
      <w:r>
        <w:rPr>
          <w:rFonts w:ascii="Abadi" w:hAnsi="Abadi"/>
          <w:sz w:val="21"/>
          <w:szCs w:val="21"/>
        </w:rPr>
        <w:t xml:space="preserve">, </w:t>
      </w:r>
      <w:r w:rsidRPr="006813AA">
        <w:rPr>
          <w:rFonts w:ascii="Abadi" w:hAnsi="Abadi"/>
          <w:sz w:val="21"/>
          <w:szCs w:val="21"/>
        </w:rPr>
        <w:t xml:space="preserve">permítanme </w:t>
      </w:r>
      <w:r>
        <w:rPr>
          <w:rFonts w:ascii="Abadi" w:hAnsi="Abadi"/>
          <w:sz w:val="21"/>
          <w:szCs w:val="21"/>
        </w:rPr>
        <w:t>citar textualmente</w:t>
      </w:r>
      <w:r w:rsidRPr="006813AA">
        <w:rPr>
          <w:rFonts w:ascii="Abadi" w:hAnsi="Abadi"/>
          <w:sz w:val="21"/>
          <w:szCs w:val="21"/>
        </w:rPr>
        <w:t xml:space="preserve"> lo que me dijo </w:t>
      </w:r>
      <w:r>
        <w:rPr>
          <w:rFonts w:ascii="Abadi" w:hAnsi="Abadi"/>
          <w:sz w:val="21"/>
          <w:szCs w:val="21"/>
        </w:rPr>
        <w:t>¡</w:t>
      </w:r>
      <w:r w:rsidRPr="006813AA">
        <w:rPr>
          <w:rFonts w:ascii="Abadi" w:hAnsi="Abadi"/>
          <w:sz w:val="21"/>
          <w:szCs w:val="21"/>
        </w:rPr>
        <w:t>les gust</w:t>
      </w:r>
      <w:r>
        <w:rPr>
          <w:rFonts w:ascii="Abadi" w:hAnsi="Abadi"/>
          <w:sz w:val="21"/>
          <w:szCs w:val="21"/>
        </w:rPr>
        <w:t xml:space="preserve">o Pedro </w:t>
      </w:r>
      <w:r w:rsidRPr="006813AA">
        <w:rPr>
          <w:rFonts w:ascii="Abadi" w:hAnsi="Abadi"/>
          <w:sz w:val="21"/>
          <w:szCs w:val="21"/>
        </w:rPr>
        <w:t>por ser de guanajuato ya que ahora en el estado nos ven como delin</w:t>
      </w:r>
      <w:r>
        <w:rPr>
          <w:rFonts w:ascii="Abadi" w:hAnsi="Abadi"/>
          <w:sz w:val="21"/>
          <w:szCs w:val="21"/>
        </w:rPr>
        <w:t>cuentes, esta es una percepción desastrosa que cada vez es más frecuente.</w:t>
      </w:r>
    </w:p>
    <w:p w14:paraId="2D1AA944" w14:textId="77777777" w:rsidR="003C51DA" w:rsidRDefault="003C51DA" w:rsidP="00D15DAB">
      <w:pPr>
        <w:jc w:val="both"/>
        <w:rPr>
          <w:rFonts w:ascii="Abadi" w:hAnsi="Abadi"/>
          <w:sz w:val="21"/>
          <w:szCs w:val="21"/>
        </w:rPr>
      </w:pPr>
    </w:p>
    <w:p w14:paraId="04C31631" w14:textId="5337B5B6" w:rsidR="00D15DAB" w:rsidRDefault="00D15DAB" w:rsidP="00D15DAB">
      <w:pPr>
        <w:jc w:val="both"/>
        <w:rPr>
          <w:rFonts w:ascii="Abadi" w:hAnsi="Abadi"/>
          <w:sz w:val="21"/>
          <w:szCs w:val="21"/>
        </w:rPr>
      </w:pPr>
      <w:r>
        <w:rPr>
          <w:rFonts w:ascii="Abadi" w:hAnsi="Abadi"/>
          <w:sz w:val="21"/>
          <w:szCs w:val="21"/>
        </w:rPr>
        <w:t>- P</w:t>
      </w:r>
      <w:r w:rsidRPr="006813AA">
        <w:rPr>
          <w:rFonts w:ascii="Abadi" w:hAnsi="Abadi"/>
          <w:sz w:val="21"/>
          <w:szCs w:val="21"/>
        </w:rPr>
        <w:t>ercepcion</w:t>
      </w:r>
      <w:r>
        <w:rPr>
          <w:rFonts w:ascii="Abadi" w:hAnsi="Abadi"/>
          <w:sz w:val="21"/>
          <w:szCs w:val="21"/>
        </w:rPr>
        <w:t xml:space="preserve">es que se refuerza con acciones como la que hoy expongo a ustedes </w:t>
      </w:r>
      <w:r w:rsidRPr="006813AA">
        <w:rPr>
          <w:rFonts w:ascii="Abadi" w:hAnsi="Abadi"/>
          <w:sz w:val="21"/>
          <w:szCs w:val="21"/>
        </w:rPr>
        <w:t>compañeras y compañeros</w:t>
      </w:r>
      <w:r w:rsidR="003C51DA">
        <w:rPr>
          <w:rFonts w:ascii="Abadi" w:hAnsi="Abadi"/>
          <w:sz w:val="21"/>
          <w:szCs w:val="21"/>
        </w:rPr>
        <w:t>.</w:t>
      </w:r>
    </w:p>
    <w:p w14:paraId="1B42E049" w14:textId="77777777" w:rsidR="003C51DA" w:rsidRDefault="003C51DA" w:rsidP="00D15DAB">
      <w:pPr>
        <w:jc w:val="both"/>
        <w:rPr>
          <w:rFonts w:ascii="Abadi" w:hAnsi="Abadi"/>
          <w:sz w:val="21"/>
          <w:szCs w:val="21"/>
        </w:rPr>
      </w:pPr>
    </w:p>
    <w:p w14:paraId="4B3703A8" w14:textId="046A6F07" w:rsidR="00D15DAB" w:rsidRDefault="00D15DAB" w:rsidP="00D15DAB">
      <w:pPr>
        <w:jc w:val="both"/>
        <w:rPr>
          <w:rFonts w:ascii="Abadi" w:hAnsi="Abadi"/>
          <w:sz w:val="21"/>
          <w:szCs w:val="21"/>
        </w:rPr>
      </w:pPr>
      <w:r>
        <w:rPr>
          <w:rFonts w:ascii="Abadi" w:hAnsi="Abadi"/>
          <w:sz w:val="21"/>
          <w:szCs w:val="21"/>
        </w:rPr>
        <w:t>- H</w:t>
      </w:r>
      <w:r w:rsidRPr="006813AA">
        <w:rPr>
          <w:rFonts w:ascii="Abadi" w:hAnsi="Abadi"/>
          <w:sz w:val="21"/>
          <w:szCs w:val="21"/>
        </w:rPr>
        <w:t>oy vengo a esta tribuna para seguir haciendo eco de esta historia</w:t>
      </w:r>
      <w:r>
        <w:rPr>
          <w:rFonts w:ascii="Abadi" w:hAnsi="Abadi"/>
          <w:sz w:val="21"/>
          <w:szCs w:val="21"/>
        </w:rPr>
        <w:t>, historia</w:t>
      </w:r>
      <w:r w:rsidRPr="006813AA">
        <w:rPr>
          <w:rFonts w:ascii="Abadi" w:hAnsi="Abadi"/>
          <w:sz w:val="21"/>
          <w:szCs w:val="21"/>
        </w:rPr>
        <w:t xml:space="preserve"> que</w:t>
      </w:r>
      <w:r>
        <w:rPr>
          <w:rFonts w:ascii="Abadi" w:hAnsi="Abadi"/>
          <w:sz w:val="21"/>
          <w:szCs w:val="21"/>
        </w:rPr>
        <w:t>,</w:t>
      </w:r>
      <w:r w:rsidRPr="006813AA">
        <w:rPr>
          <w:rFonts w:ascii="Abadi" w:hAnsi="Abadi"/>
          <w:sz w:val="21"/>
          <w:szCs w:val="21"/>
        </w:rPr>
        <w:t xml:space="preserve"> afortunadamente ya fue tomada por varios medios tanto estatales como nacionales y digo afortunadamente porque hace que esta historia se vuelva un tema prioritario</w:t>
      </w:r>
      <w:r>
        <w:rPr>
          <w:rFonts w:ascii="Abadi" w:hAnsi="Abadi"/>
          <w:sz w:val="21"/>
          <w:szCs w:val="21"/>
        </w:rPr>
        <w:t xml:space="preserve">, </w:t>
      </w:r>
      <w:r w:rsidRPr="006813AA">
        <w:rPr>
          <w:rFonts w:ascii="Abadi" w:hAnsi="Abadi"/>
          <w:sz w:val="21"/>
          <w:szCs w:val="21"/>
        </w:rPr>
        <w:t>los medios de comunicación empoderan a las víctima</w:t>
      </w:r>
      <w:r>
        <w:rPr>
          <w:rFonts w:ascii="Abadi" w:hAnsi="Abadi"/>
          <w:sz w:val="21"/>
          <w:szCs w:val="21"/>
        </w:rPr>
        <w:t>s</w:t>
      </w:r>
      <w:r w:rsidRPr="006813AA">
        <w:rPr>
          <w:rFonts w:ascii="Abadi" w:hAnsi="Abadi"/>
          <w:sz w:val="21"/>
          <w:szCs w:val="21"/>
        </w:rPr>
        <w:t xml:space="preserve"> y muy probablemente lograremos que se resuelva en sentido positivo</w:t>
      </w:r>
      <w:r>
        <w:rPr>
          <w:rFonts w:ascii="Abadi" w:hAnsi="Abadi"/>
          <w:sz w:val="21"/>
          <w:szCs w:val="21"/>
        </w:rPr>
        <w:t>.</w:t>
      </w:r>
    </w:p>
    <w:p w14:paraId="023221C9" w14:textId="77777777" w:rsidR="003C51DA" w:rsidRDefault="003C51DA" w:rsidP="00D15DAB">
      <w:pPr>
        <w:jc w:val="both"/>
        <w:rPr>
          <w:rFonts w:ascii="Abadi" w:hAnsi="Abadi"/>
          <w:sz w:val="21"/>
          <w:szCs w:val="21"/>
        </w:rPr>
      </w:pPr>
    </w:p>
    <w:p w14:paraId="1894242B" w14:textId="33FC07EF" w:rsidR="00D15DAB" w:rsidRDefault="00D15DAB" w:rsidP="00D15DAB">
      <w:pPr>
        <w:jc w:val="both"/>
        <w:rPr>
          <w:rFonts w:ascii="Abadi" w:hAnsi="Abadi"/>
          <w:sz w:val="21"/>
          <w:szCs w:val="21"/>
        </w:rPr>
      </w:pPr>
      <w:r>
        <w:rPr>
          <w:rFonts w:ascii="Abadi" w:hAnsi="Abadi"/>
          <w:sz w:val="21"/>
          <w:szCs w:val="21"/>
        </w:rPr>
        <w:t>- E</w:t>
      </w:r>
      <w:r w:rsidRPr="006813AA">
        <w:rPr>
          <w:rFonts w:ascii="Abadi" w:hAnsi="Abadi"/>
          <w:sz w:val="21"/>
          <w:szCs w:val="21"/>
        </w:rPr>
        <w:t>sto es un llamado compañeras y compañeros para que esta historia de terror que les estoy platicando que desafortunadamente es cierta para cientos de personas</w:t>
      </w:r>
      <w:r>
        <w:rPr>
          <w:rFonts w:ascii="Abadi" w:hAnsi="Abadi"/>
          <w:sz w:val="21"/>
          <w:szCs w:val="21"/>
        </w:rPr>
        <w:t>,</w:t>
      </w:r>
      <w:r w:rsidRPr="006813AA">
        <w:rPr>
          <w:rFonts w:ascii="Abadi" w:hAnsi="Abadi"/>
          <w:sz w:val="21"/>
          <w:szCs w:val="21"/>
        </w:rPr>
        <w:t xml:space="preserve"> hagamos conciencia y entendamos que la falta de atención perpetúa la desconfianza tanto en las autoridades como </w:t>
      </w:r>
      <w:r>
        <w:rPr>
          <w:rFonts w:ascii="Abadi" w:hAnsi="Abadi"/>
          <w:sz w:val="21"/>
          <w:szCs w:val="21"/>
        </w:rPr>
        <w:t xml:space="preserve">en </w:t>
      </w:r>
      <w:r w:rsidRPr="006813AA">
        <w:rPr>
          <w:rFonts w:ascii="Abadi" w:hAnsi="Abadi"/>
          <w:sz w:val="21"/>
          <w:szCs w:val="21"/>
        </w:rPr>
        <w:t>nuestro trabajo</w:t>
      </w:r>
      <w:r>
        <w:rPr>
          <w:rFonts w:ascii="Abadi" w:hAnsi="Abadi"/>
          <w:sz w:val="21"/>
          <w:szCs w:val="21"/>
        </w:rPr>
        <w:t>,</w:t>
      </w:r>
      <w:r w:rsidRPr="006813AA">
        <w:rPr>
          <w:rFonts w:ascii="Abadi" w:hAnsi="Abadi"/>
          <w:sz w:val="21"/>
          <w:szCs w:val="21"/>
        </w:rPr>
        <w:t xml:space="preserve"> espero que este llamado sirva para algo y podamos escuchar pronto </w:t>
      </w:r>
      <w:r w:rsidRPr="00797639">
        <w:rPr>
          <w:rFonts w:ascii="Abadi" w:hAnsi="Abadi"/>
          <w:b/>
          <w:bCs/>
          <w:sz w:val="21"/>
          <w:szCs w:val="21"/>
        </w:rPr>
        <w:t>que (Voz) diputado Presidente,</w:t>
      </w:r>
      <w:r>
        <w:rPr>
          <w:rFonts w:ascii="Abadi" w:hAnsi="Abadi"/>
          <w:sz w:val="21"/>
          <w:szCs w:val="21"/>
        </w:rPr>
        <w:t xml:space="preserve"> diputado Gerardo, ¿me permite tantito por favor? ¿diputada Angelica Casillas,</w:t>
      </w:r>
      <w:r w:rsidRPr="006813AA">
        <w:rPr>
          <w:rFonts w:ascii="Abadi" w:hAnsi="Abadi"/>
          <w:sz w:val="21"/>
          <w:szCs w:val="21"/>
        </w:rPr>
        <w:t xml:space="preserve"> </w:t>
      </w:r>
      <w:r>
        <w:rPr>
          <w:rFonts w:ascii="Abadi" w:hAnsi="Abadi"/>
          <w:sz w:val="21"/>
          <w:szCs w:val="21"/>
        </w:rPr>
        <w:t xml:space="preserve">¿para qué efecto? </w:t>
      </w:r>
      <w:r w:rsidRPr="002522A9">
        <w:rPr>
          <w:rFonts w:ascii="Abadi" w:hAnsi="Abadi"/>
          <w:b/>
          <w:bCs/>
          <w:sz w:val="21"/>
          <w:szCs w:val="21"/>
        </w:rPr>
        <w:t>(Voz) diputada Angelica Casillas,</w:t>
      </w:r>
      <w:r>
        <w:rPr>
          <w:rFonts w:ascii="Abadi" w:hAnsi="Abadi"/>
          <w:sz w:val="21"/>
          <w:szCs w:val="21"/>
        </w:rPr>
        <w:t xml:space="preserve"> para </w:t>
      </w:r>
      <w:r w:rsidRPr="006813AA">
        <w:rPr>
          <w:rFonts w:ascii="Abadi" w:hAnsi="Abadi"/>
          <w:sz w:val="21"/>
          <w:szCs w:val="21"/>
        </w:rPr>
        <w:t xml:space="preserve">aclarar los hechos respecto </w:t>
      </w:r>
      <w:r>
        <w:rPr>
          <w:rFonts w:ascii="Abadi" w:hAnsi="Abadi"/>
          <w:sz w:val="21"/>
          <w:szCs w:val="21"/>
        </w:rPr>
        <w:t xml:space="preserve">a la llamada de la Secretaría de Gobierno, </w:t>
      </w:r>
      <w:r w:rsidRPr="002522A9">
        <w:rPr>
          <w:rFonts w:ascii="Abadi" w:hAnsi="Abadi"/>
          <w:b/>
          <w:bCs/>
          <w:sz w:val="21"/>
          <w:szCs w:val="21"/>
        </w:rPr>
        <w:t>(Voz) diputado Presidente,</w:t>
      </w:r>
      <w:r>
        <w:rPr>
          <w:rFonts w:ascii="Abadi" w:hAnsi="Abadi"/>
          <w:sz w:val="21"/>
          <w:szCs w:val="21"/>
        </w:rPr>
        <w:t xml:space="preserve"> el diputado Gerardo no ha terminado aún su participación, sí</w:t>
      </w:r>
      <w:r w:rsidRPr="006813AA">
        <w:rPr>
          <w:rFonts w:ascii="Abadi" w:hAnsi="Abadi"/>
          <w:sz w:val="21"/>
          <w:szCs w:val="21"/>
        </w:rPr>
        <w:t xml:space="preserve"> permite</w:t>
      </w:r>
      <w:r>
        <w:rPr>
          <w:rFonts w:ascii="Abadi" w:hAnsi="Abadi"/>
          <w:sz w:val="21"/>
          <w:szCs w:val="21"/>
        </w:rPr>
        <w:t>,</w:t>
      </w:r>
      <w:r w:rsidRPr="006813AA">
        <w:rPr>
          <w:rFonts w:ascii="Abadi" w:hAnsi="Abadi"/>
          <w:sz w:val="21"/>
          <w:szCs w:val="21"/>
        </w:rPr>
        <w:t xml:space="preserve"> que termine y después</w:t>
      </w:r>
      <w:r>
        <w:rPr>
          <w:rFonts w:ascii="Abadi" w:hAnsi="Abadi"/>
          <w:sz w:val="21"/>
          <w:szCs w:val="21"/>
        </w:rPr>
        <w:t>,</w:t>
      </w:r>
      <w:r w:rsidRPr="006813AA">
        <w:rPr>
          <w:rFonts w:ascii="Abadi" w:hAnsi="Abadi"/>
          <w:sz w:val="21"/>
          <w:szCs w:val="21"/>
        </w:rPr>
        <w:t xml:space="preserve"> si quiere hacer </w:t>
      </w:r>
      <w:r>
        <w:rPr>
          <w:rFonts w:ascii="Abadi" w:hAnsi="Abadi"/>
          <w:sz w:val="21"/>
          <w:szCs w:val="21"/>
        </w:rPr>
        <w:t>u</w:t>
      </w:r>
      <w:r w:rsidRPr="006813AA">
        <w:rPr>
          <w:rFonts w:ascii="Abadi" w:hAnsi="Abadi"/>
          <w:sz w:val="21"/>
          <w:szCs w:val="21"/>
        </w:rPr>
        <w:t>so de la palabra lo indica</w:t>
      </w:r>
      <w:r>
        <w:rPr>
          <w:rFonts w:ascii="Abadi" w:hAnsi="Abadi"/>
          <w:sz w:val="21"/>
          <w:szCs w:val="21"/>
        </w:rPr>
        <w:t xml:space="preserve"> a</w:t>
      </w:r>
      <w:r w:rsidRPr="006813AA">
        <w:rPr>
          <w:rFonts w:ascii="Abadi" w:hAnsi="Abadi"/>
          <w:sz w:val="21"/>
          <w:szCs w:val="21"/>
        </w:rPr>
        <w:t xml:space="preserve"> esta presidencia </w:t>
      </w:r>
      <w:r>
        <w:rPr>
          <w:rFonts w:ascii="Abadi" w:hAnsi="Abadi"/>
          <w:sz w:val="21"/>
          <w:szCs w:val="21"/>
        </w:rPr>
        <w:t>¡</w:t>
      </w:r>
      <w:r w:rsidRPr="006813AA">
        <w:rPr>
          <w:rFonts w:ascii="Abadi" w:hAnsi="Abadi"/>
          <w:sz w:val="21"/>
          <w:szCs w:val="21"/>
        </w:rPr>
        <w:t>por favor</w:t>
      </w:r>
      <w:r>
        <w:rPr>
          <w:rFonts w:ascii="Abadi" w:hAnsi="Abadi"/>
          <w:sz w:val="21"/>
          <w:szCs w:val="21"/>
        </w:rPr>
        <w:t>!</w:t>
      </w:r>
      <w:r w:rsidRPr="006813AA">
        <w:rPr>
          <w:rFonts w:ascii="Abadi" w:hAnsi="Abadi"/>
          <w:sz w:val="21"/>
          <w:szCs w:val="21"/>
        </w:rPr>
        <w:t xml:space="preserve"> una disculpa </w:t>
      </w:r>
      <w:r>
        <w:rPr>
          <w:rFonts w:ascii="Abadi" w:hAnsi="Abadi"/>
          <w:sz w:val="21"/>
          <w:szCs w:val="21"/>
        </w:rPr>
        <w:t xml:space="preserve">diputado </w:t>
      </w:r>
      <w:r w:rsidRPr="006813AA">
        <w:rPr>
          <w:rFonts w:ascii="Abadi" w:hAnsi="Abadi"/>
          <w:sz w:val="21"/>
          <w:szCs w:val="21"/>
        </w:rPr>
        <w:t xml:space="preserve">Gerardo </w:t>
      </w:r>
      <w:r>
        <w:rPr>
          <w:rFonts w:ascii="Abadi" w:hAnsi="Abadi"/>
          <w:sz w:val="21"/>
          <w:szCs w:val="21"/>
        </w:rPr>
        <w:t>a</w:t>
      </w:r>
      <w:r w:rsidRPr="006813AA">
        <w:rPr>
          <w:rFonts w:ascii="Abadi" w:hAnsi="Abadi"/>
          <w:sz w:val="21"/>
          <w:szCs w:val="21"/>
        </w:rPr>
        <w:t>delante</w:t>
      </w:r>
      <w:r>
        <w:rPr>
          <w:rFonts w:ascii="Abadi" w:hAnsi="Abadi"/>
          <w:sz w:val="21"/>
          <w:szCs w:val="21"/>
        </w:rPr>
        <w:t xml:space="preserve">, </w:t>
      </w:r>
      <w:r w:rsidRPr="009C78BD">
        <w:rPr>
          <w:rFonts w:ascii="Abadi" w:hAnsi="Abadi"/>
          <w:b/>
          <w:bCs/>
          <w:sz w:val="21"/>
          <w:szCs w:val="21"/>
        </w:rPr>
        <w:t>(Voz) diputado Gerardo, ¡</w:t>
      </w:r>
      <w:r>
        <w:rPr>
          <w:rFonts w:ascii="Abadi" w:hAnsi="Abadi"/>
          <w:sz w:val="21"/>
          <w:szCs w:val="21"/>
        </w:rPr>
        <w:t>G</w:t>
      </w:r>
      <w:r w:rsidRPr="006813AA">
        <w:rPr>
          <w:rFonts w:ascii="Abadi" w:hAnsi="Abadi"/>
          <w:sz w:val="21"/>
          <w:szCs w:val="21"/>
        </w:rPr>
        <w:t>racias</w:t>
      </w:r>
      <w:r>
        <w:rPr>
          <w:rFonts w:ascii="Abadi" w:hAnsi="Abadi"/>
          <w:sz w:val="21"/>
          <w:szCs w:val="21"/>
        </w:rPr>
        <w:t>!</w:t>
      </w:r>
      <w:r w:rsidRPr="006813AA">
        <w:rPr>
          <w:rFonts w:ascii="Abadi" w:hAnsi="Abadi"/>
          <w:sz w:val="21"/>
          <w:szCs w:val="21"/>
        </w:rPr>
        <w:t xml:space="preserve"> solamente quería co</w:t>
      </w:r>
      <w:r>
        <w:rPr>
          <w:rFonts w:ascii="Abadi" w:hAnsi="Abadi"/>
          <w:sz w:val="21"/>
          <w:szCs w:val="21"/>
        </w:rPr>
        <w:t>ncluir,</w:t>
      </w:r>
      <w:r w:rsidRPr="006813AA">
        <w:rPr>
          <w:rFonts w:ascii="Abadi" w:hAnsi="Abadi"/>
          <w:sz w:val="21"/>
          <w:szCs w:val="21"/>
        </w:rPr>
        <w:t xml:space="preserve"> espero que esto sea una llamada de que podamos encontrar los errores y que estos errores no sigan </w:t>
      </w:r>
      <w:r>
        <w:rPr>
          <w:rFonts w:ascii="Abadi" w:hAnsi="Abadi"/>
          <w:sz w:val="21"/>
          <w:szCs w:val="21"/>
        </w:rPr>
        <w:t xml:space="preserve">sucediendo, es cuanto Presidente </w:t>
      </w:r>
      <w:r w:rsidRPr="006813AA">
        <w:rPr>
          <w:rFonts w:ascii="Abadi" w:hAnsi="Abadi"/>
          <w:sz w:val="21"/>
          <w:szCs w:val="21"/>
        </w:rPr>
        <w:t>muchas gracias</w:t>
      </w:r>
      <w:r>
        <w:rPr>
          <w:rFonts w:ascii="Abadi" w:hAnsi="Abadi"/>
          <w:sz w:val="21"/>
          <w:szCs w:val="21"/>
        </w:rPr>
        <w:t>.</w:t>
      </w:r>
    </w:p>
    <w:p w14:paraId="1FE8F766" w14:textId="77777777" w:rsidR="003C51DA" w:rsidRPr="006813AA" w:rsidRDefault="003C51DA" w:rsidP="00D15DAB">
      <w:pPr>
        <w:jc w:val="both"/>
        <w:rPr>
          <w:rFonts w:ascii="Abadi" w:hAnsi="Abadi"/>
          <w:sz w:val="21"/>
          <w:szCs w:val="21"/>
        </w:rPr>
      </w:pPr>
    </w:p>
    <w:p w14:paraId="063C3AD3" w14:textId="4767C9AA" w:rsidR="00D15DAB" w:rsidRDefault="00D15DAB" w:rsidP="00D15DAB">
      <w:pPr>
        <w:ind w:firstLine="708"/>
        <w:jc w:val="both"/>
        <w:rPr>
          <w:rFonts w:ascii="Abadi" w:hAnsi="Abadi"/>
          <w:sz w:val="21"/>
          <w:szCs w:val="21"/>
        </w:rPr>
      </w:pPr>
      <w:r w:rsidRPr="00111E9D">
        <w:rPr>
          <w:rFonts w:ascii="Abadi" w:hAnsi="Abadi"/>
          <w:b/>
          <w:bCs/>
          <w:sz w:val="21"/>
          <w:szCs w:val="21"/>
        </w:rPr>
        <w:t>- El Presidente.-</w:t>
      </w:r>
      <w:r>
        <w:rPr>
          <w:rFonts w:ascii="Abadi" w:hAnsi="Abadi"/>
          <w:sz w:val="21"/>
          <w:szCs w:val="21"/>
        </w:rPr>
        <w:t xml:space="preserve"> ¡G</w:t>
      </w:r>
      <w:r w:rsidRPr="006813AA">
        <w:rPr>
          <w:rFonts w:ascii="Abadi" w:hAnsi="Abadi"/>
          <w:sz w:val="21"/>
          <w:szCs w:val="21"/>
        </w:rPr>
        <w:t>racias</w:t>
      </w:r>
      <w:r>
        <w:rPr>
          <w:rFonts w:ascii="Abadi" w:hAnsi="Abadi"/>
          <w:sz w:val="21"/>
          <w:szCs w:val="21"/>
        </w:rPr>
        <w:t>!</w:t>
      </w:r>
      <w:r w:rsidRPr="006813AA">
        <w:rPr>
          <w:rFonts w:ascii="Abadi" w:hAnsi="Abadi"/>
          <w:sz w:val="21"/>
          <w:szCs w:val="21"/>
        </w:rPr>
        <w:t xml:space="preserve"> diputado Gerardo</w:t>
      </w:r>
      <w:r>
        <w:rPr>
          <w:rFonts w:ascii="Abadi" w:hAnsi="Abadi"/>
          <w:sz w:val="21"/>
          <w:szCs w:val="21"/>
        </w:rPr>
        <w:t>.</w:t>
      </w:r>
    </w:p>
    <w:p w14:paraId="73B04EC7" w14:textId="77777777" w:rsidR="003C51DA" w:rsidRDefault="003C51DA" w:rsidP="00D15DAB">
      <w:pPr>
        <w:ind w:firstLine="708"/>
        <w:jc w:val="both"/>
        <w:rPr>
          <w:rFonts w:ascii="Abadi" w:hAnsi="Abadi"/>
          <w:sz w:val="21"/>
          <w:szCs w:val="21"/>
        </w:rPr>
      </w:pPr>
    </w:p>
    <w:p w14:paraId="4FA962C7" w14:textId="4DCB2832" w:rsidR="00D15DAB" w:rsidRDefault="00D15DAB" w:rsidP="00D15DAB">
      <w:pPr>
        <w:ind w:firstLine="708"/>
        <w:jc w:val="both"/>
        <w:rPr>
          <w:rFonts w:ascii="Abadi" w:hAnsi="Abadi"/>
          <w:sz w:val="21"/>
          <w:szCs w:val="21"/>
        </w:rPr>
      </w:pPr>
      <w:r w:rsidRPr="003A2B37">
        <w:rPr>
          <w:rFonts w:ascii="Abadi" w:hAnsi="Abadi"/>
          <w:b/>
          <w:bCs/>
          <w:sz w:val="21"/>
          <w:szCs w:val="21"/>
        </w:rPr>
        <w:t>- El Presidente.-</w:t>
      </w:r>
      <w:r>
        <w:rPr>
          <w:rFonts w:ascii="Abadi" w:hAnsi="Abadi"/>
          <w:sz w:val="21"/>
          <w:szCs w:val="21"/>
        </w:rPr>
        <w:t xml:space="preserve"> ¿Diputada An</w:t>
      </w:r>
      <w:r w:rsidRPr="006813AA">
        <w:rPr>
          <w:rFonts w:ascii="Abadi" w:hAnsi="Abadi"/>
          <w:sz w:val="21"/>
          <w:szCs w:val="21"/>
        </w:rPr>
        <w:t>gélica</w:t>
      </w:r>
      <w:r>
        <w:rPr>
          <w:rFonts w:ascii="Abadi" w:hAnsi="Abadi"/>
          <w:sz w:val="21"/>
          <w:szCs w:val="21"/>
        </w:rPr>
        <w:t>?</w:t>
      </w:r>
      <w:r w:rsidRPr="006813AA">
        <w:rPr>
          <w:rFonts w:ascii="Abadi" w:hAnsi="Abadi"/>
          <w:sz w:val="21"/>
          <w:szCs w:val="21"/>
        </w:rPr>
        <w:t xml:space="preserve"> </w:t>
      </w:r>
      <w:r>
        <w:rPr>
          <w:rFonts w:ascii="Abadi" w:hAnsi="Abadi"/>
          <w:sz w:val="21"/>
          <w:szCs w:val="21"/>
        </w:rPr>
        <w:t xml:space="preserve">¿para qué efectos? </w:t>
      </w:r>
      <w:r w:rsidRPr="00C84AF9">
        <w:rPr>
          <w:rFonts w:ascii="Abadi" w:hAnsi="Abadi"/>
          <w:b/>
          <w:bCs/>
          <w:sz w:val="21"/>
          <w:szCs w:val="21"/>
        </w:rPr>
        <w:t xml:space="preserve">(Voz) </w:t>
      </w:r>
      <w:r>
        <w:rPr>
          <w:rFonts w:ascii="Abadi" w:hAnsi="Abadi"/>
          <w:b/>
          <w:bCs/>
          <w:sz w:val="21"/>
          <w:szCs w:val="21"/>
        </w:rPr>
        <w:t>d</w:t>
      </w:r>
      <w:r w:rsidRPr="00C84AF9">
        <w:rPr>
          <w:rFonts w:ascii="Abadi" w:hAnsi="Abadi"/>
          <w:b/>
          <w:bCs/>
          <w:sz w:val="21"/>
          <w:szCs w:val="21"/>
        </w:rPr>
        <w:t>iputada Angelica Casillas,</w:t>
      </w:r>
      <w:r>
        <w:rPr>
          <w:rFonts w:ascii="Abadi" w:hAnsi="Abadi"/>
          <w:sz w:val="21"/>
          <w:szCs w:val="21"/>
        </w:rPr>
        <w:t xml:space="preserve"> </w:t>
      </w:r>
      <w:r w:rsidRPr="006813AA">
        <w:rPr>
          <w:rFonts w:ascii="Abadi" w:hAnsi="Abadi"/>
          <w:sz w:val="21"/>
          <w:szCs w:val="21"/>
        </w:rPr>
        <w:t xml:space="preserve">para </w:t>
      </w:r>
      <w:r>
        <w:rPr>
          <w:rFonts w:ascii="Abadi" w:hAnsi="Abadi"/>
          <w:sz w:val="21"/>
          <w:szCs w:val="21"/>
        </w:rPr>
        <w:t xml:space="preserve">aclarar respecto a la </w:t>
      </w:r>
      <w:r w:rsidRPr="006813AA">
        <w:rPr>
          <w:rFonts w:ascii="Abadi" w:hAnsi="Abadi"/>
          <w:sz w:val="21"/>
          <w:szCs w:val="21"/>
        </w:rPr>
        <w:t xml:space="preserve">llamada de la </w:t>
      </w:r>
      <w:r>
        <w:rPr>
          <w:rFonts w:ascii="Abadi" w:hAnsi="Abadi"/>
          <w:sz w:val="21"/>
          <w:szCs w:val="21"/>
        </w:rPr>
        <w:t>S</w:t>
      </w:r>
      <w:r w:rsidRPr="006813AA">
        <w:rPr>
          <w:rFonts w:ascii="Abadi" w:hAnsi="Abadi"/>
          <w:sz w:val="21"/>
          <w:szCs w:val="21"/>
        </w:rPr>
        <w:t>ecretaría de Go</w:t>
      </w:r>
      <w:r>
        <w:rPr>
          <w:rFonts w:ascii="Abadi" w:hAnsi="Abadi"/>
          <w:sz w:val="21"/>
          <w:szCs w:val="21"/>
        </w:rPr>
        <w:t xml:space="preserve">bierno </w:t>
      </w:r>
      <w:r w:rsidRPr="00F76DDE">
        <w:rPr>
          <w:rFonts w:ascii="Abadi" w:hAnsi="Abadi"/>
          <w:b/>
          <w:bCs/>
          <w:sz w:val="21"/>
          <w:szCs w:val="21"/>
        </w:rPr>
        <w:t xml:space="preserve">(Voz) </w:t>
      </w:r>
      <w:r>
        <w:rPr>
          <w:rFonts w:ascii="Abadi" w:hAnsi="Abadi"/>
          <w:b/>
          <w:bCs/>
          <w:sz w:val="21"/>
          <w:szCs w:val="21"/>
        </w:rPr>
        <w:t>d</w:t>
      </w:r>
      <w:r w:rsidRPr="00F76DDE">
        <w:rPr>
          <w:rFonts w:ascii="Abadi" w:hAnsi="Abadi"/>
          <w:b/>
          <w:bCs/>
          <w:sz w:val="21"/>
          <w:szCs w:val="21"/>
        </w:rPr>
        <w:t>iputado Presidente,</w:t>
      </w:r>
      <w:r>
        <w:rPr>
          <w:rFonts w:ascii="Abadi" w:hAnsi="Abadi"/>
          <w:sz w:val="21"/>
          <w:szCs w:val="21"/>
        </w:rPr>
        <w:t xml:space="preserve"> ¡rectificación de hechos! </w:t>
      </w:r>
      <w:r w:rsidRPr="00F76DDE">
        <w:rPr>
          <w:rFonts w:ascii="Abadi" w:hAnsi="Abadi"/>
          <w:b/>
          <w:bCs/>
          <w:sz w:val="21"/>
          <w:szCs w:val="21"/>
        </w:rPr>
        <w:t>(Voz) diputada Angelica Casillas,</w:t>
      </w:r>
      <w:r>
        <w:rPr>
          <w:rFonts w:ascii="Abadi" w:hAnsi="Abadi"/>
          <w:sz w:val="21"/>
          <w:szCs w:val="21"/>
        </w:rPr>
        <w:t xml:space="preserve"> ¿así es?</w:t>
      </w:r>
    </w:p>
    <w:p w14:paraId="05D1E268" w14:textId="77777777" w:rsidR="003C51DA" w:rsidRDefault="003C51DA" w:rsidP="00D15DAB">
      <w:pPr>
        <w:ind w:firstLine="708"/>
        <w:jc w:val="both"/>
        <w:rPr>
          <w:rFonts w:ascii="Abadi" w:hAnsi="Abadi"/>
          <w:sz w:val="21"/>
          <w:szCs w:val="21"/>
        </w:rPr>
      </w:pPr>
    </w:p>
    <w:p w14:paraId="303F59FD" w14:textId="77777777" w:rsidR="00D15DAB" w:rsidRDefault="00D15DAB" w:rsidP="00D15DAB">
      <w:pPr>
        <w:jc w:val="both"/>
        <w:rPr>
          <w:rFonts w:ascii="Abadi" w:hAnsi="Abadi"/>
          <w:b/>
          <w:bCs/>
          <w:sz w:val="21"/>
          <w:szCs w:val="21"/>
        </w:rPr>
      </w:pPr>
      <w:r w:rsidRPr="0011068A">
        <w:rPr>
          <w:rFonts w:ascii="Abadi" w:hAnsi="Abadi"/>
          <w:b/>
          <w:bCs/>
          <w:sz w:val="21"/>
          <w:szCs w:val="21"/>
        </w:rPr>
        <w:t>(Sube a tribuna la diputada Angelica Casillas, para rectificación de hechos de quien le antecedió en el uso de la voz)</w:t>
      </w:r>
    </w:p>
    <w:p w14:paraId="096C15C1" w14:textId="77777777" w:rsidR="00D15DAB" w:rsidRDefault="00D15DAB" w:rsidP="00D15DAB">
      <w:pPr>
        <w:jc w:val="both"/>
        <w:rPr>
          <w:rFonts w:ascii="Abadi" w:hAnsi="Abadi"/>
          <w:b/>
          <w:bCs/>
          <w:sz w:val="21"/>
          <w:szCs w:val="21"/>
        </w:rPr>
      </w:pPr>
    </w:p>
    <w:p w14:paraId="128B5499" w14:textId="35D97F3D" w:rsidR="00D15DAB" w:rsidRPr="0011068A" w:rsidRDefault="003C51DA" w:rsidP="00D15DAB">
      <w:pPr>
        <w:jc w:val="both"/>
        <w:rPr>
          <w:rFonts w:ascii="Abadi" w:hAnsi="Abadi"/>
          <w:b/>
          <w:bCs/>
          <w:sz w:val="21"/>
          <w:szCs w:val="21"/>
        </w:rPr>
      </w:pPr>
      <w:r>
        <w:rPr>
          <w:noProof/>
        </w:rPr>
        <w:drawing>
          <wp:anchor distT="0" distB="0" distL="114300" distR="114300" simplePos="0" relativeHeight="251718656" behindDoc="1" locked="0" layoutInCell="1" allowOverlap="1" wp14:anchorId="57CBB807" wp14:editId="6165A769">
            <wp:simplePos x="0" y="0"/>
            <wp:positionH relativeFrom="column">
              <wp:posOffset>642560</wp:posOffset>
            </wp:positionH>
            <wp:positionV relativeFrom="paragraph">
              <wp:posOffset>419016</wp:posOffset>
            </wp:positionV>
            <wp:extent cx="1384342" cy="718653"/>
            <wp:effectExtent l="247650" t="228600" r="254000" b="748665"/>
            <wp:wrapTight wrapText="bothSides">
              <wp:wrapPolygon edited="0">
                <wp:start x="-3864" y="-6875"/>
                <wp:lineTo x="-3864" y="43544"/>
                <wp:lineTo x="25266" y="43544"/>
                <wp:lineTo x="25266" y="-6875"/>
                <wp:lineTo x="-3864" y="-6875"/>
              </wp:wrapPolygon>
            </wp:wrapTight>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print">
                      <a:extLst>
                        <a:ext uri="{28A0092B-C50C-407E-A947-70E740481C1C}">
                          <a14:useLocalDpi xmlns:a14="http://schemas.microsoft.com/office/drawing/2010/main" val="0"/>
                        </a:ext>
                      </a:extLst>
                    </a:blip>
                    <a:srcRect t="-1" b="7667"/>
                    <a:stretch/>
                  </pic:blipFill>
                  <pic:spPr bwMode="auto">
                    <a:xfrm>
                      <a:off x="0" y="0"/>
                      <a:ext cx="1384342" cy="718653"/>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76478385" w14:textId="77777777" w:rsidR="003C51DA" w:rsidRDefault="003C51DA" w:rsidP="003C51DA">
      <w:pPr>
        <w:jc w:val="both"/>
        <w:rPr>
          <w:rFonts w:ascii="Abadi" w:hAnsi="Abadi"/>
          <w:sz w:val="21"/>
          <w:szCs w:val="21"/>
        </w:rPr>
      </w:pPr>
    </w:p>
    <w:p w14:paraId="3E6246FF" w14:textId="77777777" w:rsidR="003C51DA" w:rsidRDefault="003C51DA" w:rsidP="003C51DA">
      <w:pPr>
        <w:jc w:val="both"/>
        <w:rPr>
          <w:rFonts w:ascii="Abadi" w:hAnsi="Abadi"/>
          <w:sz w:val="21"/>
          <w:szCs w:val="21"/>
        </w:rPr>
      </w:pPr>
    </w:p>
    <w:p w14:paraId="510BA0B6" w14:textId="77777777" w:rsidR="003C51DA" w:rsidRDefault="003C51DA" w:rsidP="003C51DA">
      <w:pPr>
        <w:jc w:val="both"/>
        <w:rPr>
          <w:rFonts w:ascii="Abadi" w:hAnsi="Abadi"/>
          <w:sz w:val="21"/>
          <w:szCs w:val="21"/>
        </w:rPr>
      </w:pPr>
    </w:p>
    <w:p w14:paraId="0593C0B0" w14:textId="77777777" w:rsidR="003C51DA" w:rsidRDefault="003C51DA" w:rsidP="003C51DA">
      <w:pPr>
        <w:jc w:val="both"/>
        <w:rPr>
          <w:rFonts w:ascii="Abadi" w:hAnsi="Abadi"/>
          <w:sz w:val="21"/>
          <w:szCs w:val="21"/>
        </w:rPr>
      </w:pPr>
    </w:p>
    <w:p w14:paraId="7A10849E" w14:textId="77777777" w:rsidR="003C51DA" w:rsidRDefault="003C51DA" w:rsidP="003C51DA">
      <w:pPr>
        <w:jc w:val="both"/>
        <w:rPr>
          <w:rFonts w:ascii="Abadi" w:hAnsi="Abadi"/>
          <w:sz w:val="21"/>
          <w:szCs w:val="21"/>
        </w:rPr>
      </w:pPr>
    </w:p>
    <w:p w14:paraId="6C964DDE" w14:textId="77777777" w:rsidR="003C51DA" w:rsidRDefault="003C51DA" w:rsidP="003C51DA">
      <w:pPr>
        <w:jc w:val="both"/>
        <w:rPr>
          <w:rFonts w:ascii="Abadi" w:hAnsi="Abadi"/>
          <w:sz w:val="21"/>
          <w:szCs w:val="21"/>
        </w:rPr>
      </w:pPr>
    </w:p>
    <w:p w14:paraId="011B721F" w14:textId="77777777" w:rsidR="003C51DA" w:rsidRDefault="003C51DA" w:rsidP="003C51DA">
      <w:pPr>
        <w:jc w:val="both"/>
        <w:rPr>
          <w:rFonts w:ascii="Abadi" w:hAnsi="Abadi"/>
          <w:sz w:val="21"/>
          <w:szCs w:val="21"/>
        </w:rPr>
      </w:pPr>
    </w:p>
    <w:p w14:paraId="3322BF80" w14:textId="77777777" w:rsidR="003C51DA" w:rsidRDefault="003C51DA" w:rsidP="003C51DA">
      <w:pPr>
        <w:jc w:val="both"/>
        <w:rPr>
          <w:rFonts w:ascii="Abadi" w:hAnsi="Abadi"/>
          <w:sz w:val="21"/>
          <w:szCs w:val="21"/>
        </w:rPr>
      </w:pPr>
    </w:p>
    <w:p w14:paraId="00EF1B9F" w14:textId="77777777" w:rsidR="003C51DA" w:rsidRDefault="003C51DA" w:rsidP="003C51DA">
      <w:pPr>
        <w:jc w:val="both"/>
        <w:rPr>
          <w:rFonts w:ascii="Abadi" w:hAnsi="Abadi"/>
          <w:sz w:val="21"/>
          <w:szCs w:val="21"/>
        </w:rPr>
      </w:pPr>
    </w:p>
    <w:p w14:paraId="480536E1" w14:textId="77777777" w:rsidR="003C51DA" w:rsidRDefault="003C51DA" w:rsidP="003C51DA">
      <w:pPr>
        <w:jc w:val="both"/>
        <w:rPr>
          <w:rFonts w:ascii="Abadi" w:hAnsi="Abadi"/>
          <w:sz w:val="21"/>
          <w:szCs w:val="21"/>
        </w:rPr>
      </w:pPr>
    </w:p>
    <w:p w14:paraId="15D937CD" w14:textId="77777777" w:rsidR="003C51DA" w:rsidRDefault="003C51DA" w:rsidP="003C51DA">
      <w:pPr>
        <w:jc w:val="both"/>
        <w:rPr>
          <w:rFonts w:ascii="Abadi" w:hAnsi="Abadi"/>
          <w:sz w:val="21"/>
          <w:szCs w:val="21"/>
        </w:rPr>
      </w:pPr>
    </w:p>
    <w:p w14:paraId="79315342" w14:textId="77777777" w:rsidR="003C51DA" w:rsidRDefault="003C51DA" w:rsidP="003C51DA">
      <w:pPr>
        <w:jc w:val="both"/>
        <w:rPr>
          <w:rFonts w:ascii="Abadi" w:hAnsi="Abadi"/>
          <w:sz w:val="21"/>
          <w:szCs w:val="21"/>
        </w:rPr>
      </w:pPr>
    </w:p>
    <w:p w14:paraId="55A587D2" w14:textId="77777777" w:rsidR="003C51DA" w:rsidRDefault="003C51DA" w:rsidP="003C51DA">
      <w:pPr>
        <w:jc w:val="both"/>
        <w:rPr>
          <w:rFonts w:ascii="Abadi" w:hAnsi="Abadi"/>
          <w:sz w:val="21"/>
          <w:szCs w:val="21"/>
        </w:rPr>
      </w:pPr>
    </w:p>
    <w:p w14:paraId="3D6C3078" w14:textId="77777777" w:rsidR="003C51DA" w:rsidRDefault="003C51DA" w:rsidP="003C51DA">
      <w:pPr>
        <w:jc w:val="both"/>
        <w:rPr>
          <w:rFonts w:ascii="Abadi" w:hAnsi="Abadi"/>
          <w:sz w:val="21"/>
          <w:szCs w:val="21"/>
        </w:rPr>
      </w:pPr>
    </w:p>
    <w:p w14:paraId="5AF32F3D" w14:textId="7A8C34F2" w:rsidR="00D15DAB" w:rsidRDefault="00D15DAB" w:rsidP="003C51DA">
      <w:pPr>
        <w:jc w:val="both"/>
        <w:rPr>
          <w:rFonts w:ascii="Abadi" w:hAnsi="Abadi"/>
          <w:sz w:val="21"/>
          <w:szCs w:val="21"/>
        </w:rPr>
      </w:pPr>
      <w:r>
        <w:rPr>
          <w:rFonts w:ascii="Abadi" w:hAnsi="Abadi"/>
          <w:sz w:val="21"/>
          <w:szCs w:val="21"/>
        </w:rPr>
        <w:t>- C</w:t>
      </w:r>
      <w:r w:rsidRPr="006813AA">
        <w:rPr>
          <w:rFonts w:ascii="Abadi" w:hAnsi="Abadi"/>
          <w:sz w:val="21"/>
          <w:szCs w:val="21"/>
        </w:rPr>
        <w:t xml:space="preserve">on el permiso de la </w:t>
      </w:r>
      <w:r>
        <w:rPr>
          <w:rFonts w:ascii="Abadi" w:hAnsi="Abadi"/>
          <w:sz w:val="21"/>
          <w:szCs w:val="21"/>
        </w:rPr>
        <w:t>M</w:t>
      </w:r>
      <w:r w:rsidRPr="006813AA">
        <w:rPr>
          <w:rFonts w:ascii="Abadi" w:hAnsi="Abadi"/>
          <w:sz w:val="21"/>
          <w:szCs w:val="21"/>
        </w:rPr>
        <w:t xml:space="preserve">esa </w:t>
      </w:r>
      <w:r>
        <w:rPr>
          <w:rFonts w:ascii="Abadi" w:hAnsi="Abadi"/>
          <w:sz w:val="21"/>
          <w:szCs w:val="21"/>
        </w:rPr>
        <w:t>D</w:t>
      </w:r>
      <w:r w:rsidRPr="006813AA">
        <w:rPr>
          <w:rFonts w:ascii="Abadi" w:hAnsi="Abadi"/>
          <w:sz w:val="21"/>
          <w:szCs w:val="21"/>
        </w:rPr>
        <w:t>irectiva</w:t>
      </w:r>
      <w:r>
        <w:rPr>
          <w:rFonts w:ascii="Abadi" w:hAnsi="Abadi"/>
          <w:sz w:val="21"/>
          <w:szCs w:val="21"/>
        </w:rPr>
        <w:t>,</w:t>
      </w:r>
      <w:r w:rsidRPr="006813AA">
        <w:rPr>
          <w:rFonts w:ascii="Abadi" w:hAnsi="Abadi"/>
          <w:sz w:val="21"/>
          <w:szCs w:val="21"/>
        </w:rPr>
        <w:t xml:space="preserve"> es cierto</w:t>
      </w:r>
      <w:r>
        <w:rPr>
          <w:rFonts w:ascii="Abadi" w:hAnsi="Abadi"/>
          <w:sz w:val="21"/>
          <w:szCs w:val="21"/>
        </w:rPr>
        <w:t>,</w:t>
      </w:r>
      <w:r w:rsidRPr="006813AA">
        <w:rPr>
          <w:rFonts w:ascii="Abadi" w:hAnsi="Abadi"/>
          <w:sz w:val="21"/>
          <w:szCs w:val="21"/>
        </w:rPr>
        <w:t xml:space="preserve"> es muy lamentable el suceso ocurrido y por ello</w:t>
      </w:r>
      <w:r>
        <w:rPr>
          <w:rFonts w:ascii="Abadi" w:hAnsi="Abadi"/>
          <w:sz w:val="21"/>
          <w:szCs w:val="21"/>
        </w:rPr>
        <w:t xml:space="preserve"> </w:t>
      </w:r>
      <w:r w:rsidRPr="006813AA">
        <w:rPr>
          <w:rFonts w:ascii="Abadi" w:hAnsi="Abadi"/>
          <w:sz w:val="21"/>
          <w:szCs w:val="21"/>
        </w:rPr>
        <w:t xml:space="preserve">me permito compartirles que el </w:t>
      </w:r>
      <w:r>
        <w:rPr>
          <w:rFonts w:ascii="Abadi" w:hAnsi="Abadi"/>
          <w:sz w:val="21"/>
          <w:szCs w:val="21"/>
        </w:rPr>
        <w:t>G</w:t>
      </w:r>
      <w:r w:rsidRPr="006813AA">
        <w:rPr>
          <w:rFonts w:ascii="Abadi" w:hAnsi="Abadi"/>
          <w:sz w:val="21"/>
          <w:szCs w:val="21"/>
        </w:rPr>
        <w:t xml:space="preserve">obierno del </w:t>
      </w:r>
      <w:r>
        <w:rPr>
          <w:rFonts w:ascii="Abadi" w:hAnsi="Abadi"/>
          <w:sz w:val="21"/>
          <w:szCs w:val="21"/>
        </w:rPr>
        <w:t>E</w:t>
      </w:r>
      <w:r w:rsidRPr="006813AA">
        <w:rPr>
          <w:rFonts w:ascii="Abadi" w:hAnsi="Abadi"/>
          <w:sz w:val="21"/>
          <w:szCs w:val="21"/>
        </w:rPr>
        <w:t xml:space="preserve">stado de </w:t>
      </w:r>
      <w:r>
        <w:rPr>
          <w:rFonts w:ascii="Abadi" w:hAnsi="Abadi"/>
          <w:sz w:val="21"/>
          <w:szCs w:val="21"/>
        </w:rPr>
        <w:t>G</w:t>
      </w:r>
      <w:r w:rsidRPr="006813AA">
        <w:rPr>
          <w:rFonts w:ascii="Abadi" w:hAnsi="Abadi"/>
          <w:sz w:val="21"/>
          <w:szCs w:val="21"/>
        </w:rPr>
        <w:t xml:space="preserve">uanajuato ha mantenido la comunicación con el </w:t>
      </w:r>
      <w:r>
        <w:rPr>
          <w:rFonts w:ascii="Abadi" w:hAnsi="Abadi"/>
          <w:sz w:val="21"/>
          <w:szCs w:val="21"/>
        </w:rPr>
        <w:t>S</w:t>
      </w:r>
      <w:r w:rsidRPr="006813AA">
        <w:rPr>
          <w:rFonts w:ascii="Abadi" w:hAnsi="Abadi"/>
          <w:sz w:val="21"/>
          <w:szCs w:val="21"/>
        </w:rPr>
        <w:t xml:space="preserve">ecretario de </w:t>
      </w:r>
      <w:r>
        <w:rPr>
          <w:rFonts w:ascii="Abadi" w:hAnsi="Abadi"/>
          <w:sz w:val="21"/>
          <w:szCs w:val="21"/>
        </w:rPr>
        <w:t>G</w:t>
      </w:r>
      <w:r w:rsidRPr="006813AA">
        <w:rPr>
          <w:rFonts w:ascii="Abadi" w:hAnsi="Abadi"/>
          <w:sz w:val="21"/>
          <w:szCs w:val="21"/>
        </w:rPr>
        <w:t>obierno de Tlaxcala</w:t>
      </w:r>
      <w:r>
        <w:rPr>
          <w:rFonts w:ascii="Abadi" w:hAnsi="Abadi"/>
          <w:sz w:val="21"/>
          <w:szCs w:val="21"/>
        </w:rPr>
        <w:t>,</w:t>
      </w:r>
      <w:r w:rsidRPr="006813AA">
        <w:rPr>
          <w:rFonts w:ascii="Abadi" w:hAnsi="Abadi"/>
          <w:sz w:val="21"/>
          <w:szCs w:val="21"/>
        </w:rPr>
        <w:t xml:space="preserve"> Sergio González</w:t>
      </w:r>
      <w:r>
        <w:rPr>
          <w:rFonts w:ascii="Abadi" w:hAnsi="Abadi"/>
          <w:sz w:val="21"/>
          <w:szCs w:val="21"/>
        </w:rPr>
        <w:t>,</w:t>
      </w:r>
      <w:r w:rsidRPr="006813AA">
        <w:rPr>
          <w:rFonts w:ascii="Abadi" w:hAnsi="Abadi"/>
          <w:sz w:val="21"/>
          <w:szCs w:val="21"/>
        </w:rPr>
        <w:t xml:space="preserve"> a efecto de contar con mayor información sobre el caso de Pedro el joven de </w:t>
      </w:r>
      <w:r>
        <w:rPr>
          <w:rFonts w:ascii="Abadi" w:hAnsi="Abadi"/>
          <w:sz w:val="21"/>
          <w:szCs w:val="21"/>
        </w:rPr>
        <w:t>S</w:t>
      </w:r>
      <w:r w:rsidRPr="006813AA">
        <w:rPr>
          <w:rFonts w:ascii="Abadi" w:hAnsi="Abadi"/>
          <w:sz w:val="21"/>
          <w:szCs w:val="21"/>
        </w:rPr>
        <w:t xml:space="preserve">an Felipe que </w:t>
      </w:r>
      <w:r>
        <w:rPr>
          <w:rFonts w:ascii="Abadi" w:hAnsi="Abadi"/>
          <w:sz w:val="21"/>
          <w:szCs w:val="21"/>
        </w:rPr>
        <w:t xml:space="preserve">fue </w:t>
      </w:r>
      <w:r w:rsidRPr="006813AA">
        <w:rPr>
          <w:rFonts w:ascii="Abadi" w:hAnsi="Abadi"/>
          <w:sz w:val="21"/>
          <w:szCs w:val="21"/>
        </w:rPr>
        <w:t>detenido y se encuentra en un</w:t>
      </w:r>
      <w:r>
        <w:rPr>
          <w:rFonts w:ascii="Abadi" w:hAnsi="Abadi"/>
          <w:sz w:val="21"/>
          <w:szCs w:val="21"/>
        </w:rPr>
        <w:t xml:space="preserve"> p</w:t>
      </w:r>
      <w:r w:rsidRPr="006813AA">
        <w:rPr>
          <w:rFonts w:ascii="Abadi" w:hAnsi="Abadi"/>
          <w:sz w:val="21"/>
          <w:szCs w:val="21"/>
        </w:rPr>
        <w:t xml:space="preserve">enal </w:t>
      </w:r>
      <w:r>
        <w:rPr>
          <w:rFonts w:ascii="Abadi" w:hAnsi="Abadi"/>
          <w:sz w:val="21"/>
          <w:szCs w:val="21"/>
        </w:rPr>
        <w:t>de A</w:t>
      </w:r>
      <w:r w:rsidRPr="006813AA">
        <w:rPr>
          <w:rFonts w:ascii="Abadi" w:hAnsi="Abadi"/>
          <w:sz w:val="21"/>
          <w:szCs w:val="21"/>
        </w:rPr>
        <w:t>pizaco</w:t>
      </w:r>
      <w:r>
        <w:rPr>
          <w:rFonts w:ascii="Abadi" w:hAnsi="Abadi"/>
          <w:sz w:val="21"/>
          <w:szCs w:val="21"/>
        </w:rPr>
        <w:t>,</w:t>
      </w:r>
      <w:r w:rsidRPr="006813AA">
        <w:rPr>
          <w:rFonts w:ascii="Abadi" w:hAnsi="Abadi"/>
          <w:sz w:val="21"/>
          <w:szCs w:val="21"/>
        </w:rPr>
        <w:t xml:space="preserve"> Tlaxcala</w:t>
      </w:r>
      <w:r>
        <w:rPr>
          <w:rFonts w:ascii="Abadi" w:hAnsi="Abadi"/>
          <w:sz w:val="21"/>
          <w:szCs w:val="21"/>
        </w:rPr>
        <w:t>.</w:t>
      </w:r>
    </w:p>
    <w:p w14:paraId="6FD82172" w14:textId="77777777" w:rsidR="003C51DA" w:rsidRDefault="003C51DA" w:rsidP="003C51DA">
      <w:pPr>
        <w:jc w:val="both"/>
        <w:rPr>
          <w:rFonts w:ascii="Abadi" w:hAnsi="Abadi"/>
          <w:sz w:val="21"/>
          <w:szCs w:val="21"/>
        </w:rPr>
      </w:pPr>
    </w:p>
    <w:p w14:paraId="3E681CB0" w14:textId="5188043B" w:rsidR="00D15DAB" w:rsidRDefault="00D15DAB" w:rsidP="00D15DAB">
      <w:pPr>
        <w:jc w:val="both"/>
        <w:rPr>
          <w:rFonts w:ascii="Abadi" w:hAnsi="Abadi"/>
          <w:sz w:val="21"/>
          <w:szCs w:val="21"/>
        </w:rPr>
      </w:pPr>
      <w:r>
        <w:rPr>
          <w:rFonts w:ascii="Abadi" w:hAnsi="Abadi"/>
          <w:sz w:val="21"/>
          <w:szCs w:val="21"/>
        </w:rPr>
        <w:t>- A</w:t>
      </w:r>
      <w:r w:rsidRPr="006813AA">
        <w:rPr>
          <w:rFonts w:ascii="Abadi" w:hAnsi="Abadi"/>
          <w:sz w:val="21"/>
          <w:szCs w:val="21"/>
        </w:rPr>
        <w:t xml:space="preserve">simismo se ha establecido comunicación con la familia de Pedro con quienes </w:t>
      </w:r>
      <w:r>
        <w:rPr>
          <w:rFonts w:ascii="Abadi" w:hAnsi="Abadi"/>
          <w:sz w:val="21"/>
          <w:szCs w:val="21"/>
        </w:rPr>
        <w:t xml:space="preserve">se </w:t>
      </w:r>
      <w:r w:rsidRPr="006813AA">
        <w:rPr>
          <w:rFonts w:ascii="Abadi" w:hAnsi="Abadi"/>
          <w:sz w:val="21"/>
          <w:szCs w:val="21"/>
        </w:rPr>
        <w:t>está</w:t>
      </w:r>
      <w:r>
        <w:rPr>
          <w:rFonts w:ascii="Abadi" w:hAnsi="Abadi"/>
          <w:sz w:val="21"/>
          <w:szCs w:val="21"/>
        </w:rPr>
        <w:t xml:space="preserve"> en </w:t>
      </w:r>
      <w:r w:rsidRPr="006813AA">
        <w:rPr>
          <w:rFonts w:ascii="Abadi" w:hAnsi="Abadi"/>
          <w:sz w:val="21"/>
          <w:szCs w:val="21"/>
        </w:rPr>
        <w:t xml:space="preserve">coordinación en </w:t>
      </w:r>
      <w:r>
        <w:rPr>
          <w:rFonts w:ascii="Abadi" w:hAnsi="Abadi"/>
          <w:sz w:val="21"/>
          <w:szCs w:val="21"/>
        </w:rPr>
        <w:t xml:space="preserve">contacto. Es </w:t>
      </w:r>
      <w:r w:rsidRPr="006813AA">
        <w:rPr>
          <w:rFonts w:ascii="Abadi" w:hAnsi="Abadi"/>
          <w:sz w:val="21"/>
          <w:szCs w:val="21"/>
        </w:rPr>
        <w:t xml:space="preserve">importante compartirles que el </w:t>
      </w:r>
      <w:r>
        <w:rPr>
          <w:rFonts w:ascii="Abadi" w:hAnsi="Abadi"/>
          <w:sz w:val="21"/>
          <w:szCs w:val="21"/>
        </w:rPr>
        <w:t>S</w:t>
      </w:r>
      <w:r w:rsidRPr="006813AA">
        <w:rPr>
          <w:rFonts w:ascii="Abadi" w:hAnsi="Abadi"/>
          <w:sz w:val="21"/>
          <w:szCs w:val="21"/>
        </w:rPr>
        <w:t xml:space="preserve">ecretario de </w:t>
      </w:r>
      <w:r>
        <w:rPr>
          <w:rFonts w:ascii="Abadi" w:hAnsi="Abadi"/>
          <w:sz w:val="21"/>
          <w:szCs w:val="21"/>
        </w:rPr>
        <w:t>G</w:t>
      </w:r>
      <w:r w:rsidRPr="006813AA">
        <w:rPr>
          <w:rFonts w:ascii="Abadi" w:hAnsi="Abadi"/>
          <w:sz w:val="21"/>
          <w:szCs w:val="21"/>
        </w:rPr>
        <w:t>obierno de Tlaxcala se ha comprometido a proporcionar un reporte sobre la situación de Pedro</w:t>
      </w:r>
      <w:r>
        <w:rPr>
          <w:rFonts w:ascii="Abadi" w:hAnsi="Abadi"/>
          <w:sz w:val="21"/>
          <w:szCs w:val="21"/>
        </w:rPr>
        <w:t>.</w:t>
      </w:r>
    </w:p>
    <w:p w14:paraId="6A1721F9" w14:textId="77777777" w:rsidR="003C51DA" w:rsidRDefault="003C51DA" w:rsidP="00D15DAB">
      <w:pPr>
        <w:jc w:val="both"/>
        <w:rPr>
          <w:rFonts w:ascii="Abadi" w:hAnsi="Abadi"/>
          <w:sz w:val="21"/>
          <w:szCs w:val="21"/>
        </w:rPr>
      </w:pPr>
    </w:p>
    <w:p w14:paraId="3B216A7F" w14:textId="147F45CB" w:rsidR="00D15DAB" w:rsidRDefault="00D15DAB" w:rsidP="00D15DAB">
      <w:pPr>
        <w:jc w:val="both"/>
        <w:rPr>
          <w:rFonts w:ascii="Abadi" w:hAnsi="Abadi"/>
          <w:sz w:val="21"/>
          <w:szCs w:val="21"/>
        </w:rPr>
      </w:pPr>
      <w:r w:rsidRPr="006813AA">
        <w:rPr>
          <w:rFonts w:ascii="Abadi" w:hAnsi="Abadi"/>
          <w:sz w:val="21"/>
          <w:szCs w:val="21"/>
        </w:rPr>
        <w:t xml:space="preserve"> de igual manera se está en contacto con la procuradora del </w:t>
      </w:r>
      <w:r>
        <w:rPr>
          <w:rFonts w:ascii="Abadi" w:hAnsi="Abadi"/>
          <w:sz w:val="21"/>
          <w:szCs w:val="21"/>
        </w:rPr>
        <w:t>E</w:t>
      </w:r>
      <w:r w:rsidRPr="006813AA">
        <w:rPr>
          <w:rFonts w:ascii="Abadi" w:hAnsi="Abadi"/>
          <w:sz w:val="21"/>
          <w:szCs w:val="21"/>
        </w:rPr>
        <w:t xml:space="preserve">stado de Tlaxcala en próximos días estará proporcionando información sobre el caso al </w:t>
      </w:r>
      <w:r>
        <w:rPr>
          <w:rFonts w:ascii="Abadi" w:hAnsi="Abadi"/>
          <w:sz w:val="21"/>
          <w:szCs w:val="21"/>
        </w:rPr>
        <w:t>G</w:t>
      </w:r>
      <w:r w:rsidRPr="006813AA">
        <w:rPr>
          <w:rFonts w:ascii="Abadi" w:hAnsi="Abadi"/>
          <w:sz w:val="21"/>
          <w:szCs w:val="21"/>
        </w:rPr>
        <w:t xml:space="preserve">obierno del </w:t>
      </w:r>
      <w:r>
        <w:rPr>
          <w:rFonts w:ascii="Abadi" w:hAnsi="Abadi"/>
          <w:sz w:val="21"/>
          <w:szCs w:val="21"/>
        </w:rPr>
        <w:t>E</w:t>
      </w:r>
      <w:r w:rsidRPr="006813AA">
        <w:rPr>
          <w:rFonts w:ascii="Abadi" w:hAnsi="Abadi"/>
          <w:sz w:val="21"/>
          <w:szCs w:val="21"/>
        </w:rPr>
        <w:t>stado el compromiso es mantener informada a la familia para cualquier situación que se vaya presentando</w:t>
      </w:r>
      <w:r>
        <w:rPr>
          <w:rFonts w:ascii="Abadi" w:hAnsi="Abadi"/>
          <w:sz w:val="21"/>
          <w:szCs w:val="21"/>
        </w:rPr>
        <w:t>,</w:t>
      </w:r>
      <w:r w:rsidRPr="006813AA">
        <w:rPr>
          <w:rFonts w:ascii="Abadi" w:hAnsi="Abadi"/>
          <w:sz w:val="21"/>
          <w:szCs w:val="21"/>
        </w:rPr>
        <w:t xml:space="preserve"> asimismo por parte de la defensoría pública se les ha ofrecido la asesoría para su acompañamiento</w:t>
      </w:r>
      <w:r>
        <w:rPr>
          <w:rFonts w:ascii="Abadi" w:hAnsi="Abadi"/>
          <w:sz w:val="21"/>
          <w:szCs w:val="21"/>
        </w:rPr>
        <w:t>,</w:t>
      </w:r>
      <w:r w:rsidRPr="006813AA">
        <w:rPr>
          <w:rFonts w:ascii="Abadi" w:hAnsi="Abadi"/>
          <w:sz w:val="21"/>
          <w:szCs w:val="21"/>
        </w:rPr>
        <w:t xml:space="preserve"> para que tanto el ciudadano Pedro como su familia estén siendo acompañados durante el proceso</w:t>
      </w:r>
      <w:r>
        <w:rPr>
          <w:rFonts w:ascii="Abadi" w:hAnsi="Abadi"/>
          <w:sz w:val="21"/>
          <w:szCs w:val="21"/>
        </w:rPr>
        <w:t>,</w:t>
      </w:r>
      <w:r w:rsidRPr="006813AA">
        <w:rPr>
          <w:rFonts w:ascii="Abadi" w:hAnsi="Abadi"/>
          <w:sz w:val="21"/>
          <w:szCs w:val="21"/>
        </w:rPr>
        <w:t xml:space="preserve"> desde </w:t>
      </w:r>
      <w:r>
        <w:rPr>
          <w:rFonts w:ascii="Abadi" w:hAnsi="Abadi"/>
          <w:sz w:val="21"/>
          <w:szCs w:val="21"/>
        </w:rPr>
        <w:t>A</w:t>
      </w:r>
      <w:r w:rsidRPr="006813AA">
        <w:rPr>
          <w:rFonts w:ascii="Abadi" w:hAnsi="Abadi"/>
          <w:sz w:val="21"/>
          <w:szCs w:val="21"/>
        </w:rPr>
        <w:t xml:space="preserve">cción </w:t>
      </w:r>
      <w:r>
        <w:rPr>
          <w:rFonts w:ascii="Abadi" w:hAnsi="Abadi"/>
          <w:sz w:val="21"/>
          <w:szCs w:val="21"/>
        </w:rPr>
        <w:t>N</w:t>
      </w:r>
      <w:r w:rsidRPr="006813AA">
        <w:rPr>
          <w:rFonts w:ascii="Abadi" w:hAnsi="Abadi"/>
          <w:sz w:val="21"/>
          <w:szCs w:val="21"/>
        </w:rPr>
        <w:t xml:space="preserve">acional exigimos que el proceso se realice conforme a derecho con pleno respeto a la dignidad de la persona y estoy cierta de que existe coincidencia de las diferentes fuerzas parlamentarias que conforman este </w:t>
      </w:r>
      <w:r>
        <w:rPr>
          <w:rFonts w:ascii="Abadi" w:hAnsi="Abadi"/>
          <w:sz w:val="21"/>
          <w:szCs w:val="21"/>
        </w:rPr>
        <w:t>H</w:t>
      </w:r>
      <w:r w:rsidRPr="006813AA">
        <w:rPr>
          <w:rFonts w:ascii="Abadi" w:hAnsi="Abadi"/>
          <w:sz w:val="21"/>
          <w:szCs w:val="21"/>
        </w:rPr>
        <w:t xml:space="preserve">onorable </w:t>
      </w:r>
      <w:r>
        <w:rPr>
          <w:rFonts w:ascii="Abadi" w:hAnsi="Abadi"/>
          <w:sz w:val="21"/>
          <w:szCs w:val="21"/>
        </w:rPr>
        <w:t>C</w:t>
      </w:r>
      <w:r w:rsidRPr="006813AA">
        <w:rPr>
          <w:rFonts w:ascii="Abadi" w:hAnsi="Abadi"/>
          <w:sz w:val="21"/>
          <w:szCs w:val="21"/>
        </w:rPr>
        <w:t>ongreso privilegiando siempre la dignidad y el respeto a las personas</w:t>
      </w:r>
      <w:r>
        <w:rPr>
          <w:rFonts w:ascii="Abadi" w:hAnsi="Abadi"/>
          <w:sz w:val="21"/>
          <w:szCs w:val="21"/>
        </w:rPr>
        <w:t>, es cuánto.</w:t>
      </w:r>
    </w:p>
    <w:p w14:paraId="71A54BA5" w14:textId="77777777" w:rsidR="003C51DA" w:rsidRPr="006813AA" w:rsidRDefault="003C51DA" w:rsidP="00D15DAB">
      <w:pPr>
        <w:jc w:val="both"/>
        <w:rPr>
          <w:rFonts w:ascii="Abadi" w:hAnsi="Abadi"/>
          <w:sz w:val="21"/>
          <w:szCs w:val="21"/>
        </w:rPr>
      </w:pPr>
    </w:p>
    <w:p w14:paraId="0BFF6CD2" w14:textId="6D53DD0B" w:rsidR="00D15DAB" w:rsidRDefault="00D15DAB" w:rsidP="00D15DAB">
      <w:pPr>
        <w:ind w:firstLine="708"/>
        <w:jc w:val="both"/>
        <w:rPr>
          <w:rFonts w:ascii="Abadi" w:hAnsi="Abadi"/>
          <w:sz w:val="21"/>
          <w:szCs w:val="21"/>
        </w:rPr>
      </w:pPr>
      <w:r w:rsidRPr="009C02B0">
        <w:rPr>
          <w:rFonts w:ascii="Abadi" w:hAnsi="Abadi"/>
          <w:b/>
          <w:bCs/>
          <w:sz w:val="21"/>
          <w:szCs w:val="21"/>
        </w:rPr>
        <w:t>- El Presidente.-</w:t>
      </w:r>
      <w:r>
        <w:rPr>
          <w:rFonts w:ascii="Abadi" w:hAnsi="Abadi"/>
          <w:sz w:val="21"/>
          <w:szCs w:val="21"/>
        </w:rPr>
        <w:t xml:space="preserve">  ¡</w:t>
      </w:r>
      <w:r w:rsidRPr="006813AA">
        <w:rPr>
          <w:rFonts w:ascii="Abadi" w:hAnsi="Abadi"/>
          <w:sz w:val="21"/>
          <w:szCs w:val="21"/>
        </w:rPr>
        <w:t>Gracias</w:t>
      </w:r>
      <w:r>
        <w:rPr>
          <w:rFonts w:ascii="Abadi" w:hAnsi="Abadi"/>
          <w:sz w:val="21"/>
          <w:szCs w:val="21"/>
        </w:rPr>
        <w:t>!</w:t>
      </w:r>
      <w:r w:rsidRPr="006813AA">
        <w:rPr>
          <w:rFonts w:ascii="Abadi" w:hAnsi="Abadi"/>
          <w:sz w:val="21"/>
          <w:szCs w:val="21"/>
        </w:rPr>
        <w:t xml:space="preserve"> diputada </w:t>
      </w:r>
      <w:r>
        <w:rPr>
          <w:rFonts w:ascii="Abadi" w:hAnsi="Abadi"/>
          <w:sz w:val="21"/>
          <w:szCs w:val="21"/>
        </w:rPr>
        <w:t>A</w:t>
      </w:r>
      <w:r w:rsidRPr="006813AA">
        <w:rPr>
          <w:rFonts w:ascii="Abadi" w:hAnsi="Abadi"/>
          <w:sz w:val="21"/>
          <w:szCs w:val="21"/>
        </w:rPr>
        <w:t xml:space="preserve">ngélica </w:t>
      </w:r>
      <w:r>
        <w:rPr>
          <w:rFonts w:ascii="Abadi" w:hAnsi="Abadi"/>
          <w:sz w:val="21"/>
          <w:szCs w:val="21"/>
        </w:rPr>
        <w:t>C</w:t>
      </w:r>
      <w:r w:rsidRPr="006813AA">
        <w:rPr>
          <w:rFonts w:ascii="Abadi" w:hAnsi="Abadi"/>
          <w:sz w:val="21"/>
          <w:szCs w:val="21"/>
        </w:rPr>
        <w:t>asillas</w:t>
      </w:r>
      <w:r>
        <w:rPr>
          <w:rFonts w:ascii="Abadi" w:hAnsi="Abadi"/>
          <w:sz w:val="21"/>
          <w:szCs w:val="21"/>
        </w:rPr>
        <w:t>.</w:t>
      </w:r>
    </w:p>
    <w:p w14:paraId="4553E29C" w14:textId="77777777" w:rsidR="003C51DA" w:rsidRDefault="003C51DA" w:rsidP="00D15DAB">
      <w:pPr>
        <w:ind w:firstLine="708"/>
        <w:jc w:val="both"/>
        <w:rPr>
          <w:rFonts w:ascii="Abadi" w:hAnsi="Abadi"/>
          <w:sz w:val="21"/>
          <w:szCs w:val="21"/>
        </w:rPr>
      </w:pPr>
    </w:p>
    <w:p w14:paraId="60FE703B" w14:textId="3E295F00" w:rsidR="00D15DAB" w:rsidRDefault="00D15DAB" w:rsidP="00D15DAB">
      <w:pPr>
        <w:ind w:firstLine="708"/>
        <w:jc w:val="both"/>
        <w:rPr>
          <w:rFonts w:ascii="Abadi" w:hAnsi="Abadi"/>
          <w:sz w:val="21"/>
          <w:szCs w:val="21"/>
        </w:rPr>
      </w:pPr>
      <w:r>
        <w:rPr>
          <w:rFonts w:ascii="Abadi" w:hAnsi="Abadi"/>
          <w:sz w:val="21"/>
          <w:szCs w:val="21"/>
        </w:rPr>
        <w:t>- ¿Diputado Gerardo F</w:t>
      </w:r>
      <w:r w:rsidRPr="006813AA">
        <w:rPr>
          <w:rFonts w:ascii="Abadi" w:hAnsi="Abadi"/>
          <w:sz w:val="21"/>
          <w:szCs w:val="21"/>
        </w:rPr>
        <w:t>ernández</w:t>
      </w:r>
      <w:r>
        <w:rPr>
          <w:rFonts w:ascii="Abadi" w:hAnsi="Abadi"/>
          <w:sz w:val="21"/>
          <w:szCs w:val="21"/>
        </w:rPr>
        <w:t>?</w:t>
      </w:r>
      <w:r w:rsidRPr="006813AA">
        <w:rPr>
          <w:rFonts w:ascii="Abadi" w:hAnsi="Abadi"/>
          <w:sz w:val="21"/>
          <w:szCs w:val="21"/>
        </w:rPr>
        <w:t xml:space="preserve"> </w:t>
      </w:r>
      <w:r>
        <w:rPr>
          <w:rFonts w:ascii="Abadi" w:hAnsi="Abadi"/>
          <w:sz w:val="21"/>
          <w:szCs w:val="21"/>
        </w:rPr>
        <w:t>¿</w:t>
      </w:r>
      <w:r w:rsidRPr="006813AA">
        <w:rPr>
          <w:rFonts w:ascii="Abadi" w:hAnsi="Abadi"/>
          <w:sz w:val="21"/>
          <w:szCs w:val="21"/>
        </w:rPr>
        <w:t>para que efecto</w:t>
      </w:r>
      <w:r>
        <w:rPr>
          <w:rFonts w:ascii="Abadi" w:hAnsi="Abadi"/>
          <w:sz w:val="21"/>
          <w:szCs w:val="21"/>
        </w:rPr>
        <w:t xml:space="preserve">? </w:t>
      </w:r>
      <w:r w:rsidRPr="00DF6B4C">
        <w:rPr>
          <w:rFonts w:ascii="Abadi" w:hAnsi="Abadi"/>
          <w:b/>
          <w:bCs/>
          <w:sz w:val="21"/>
          <w:szCs w:val="21"/>
        </w:rPr>
        <w:t>(Voz) diputado Gerardo Fernández,</w:t>
      </w:r>
      <w:r>
        <w:rPr>
          <w:rFonts w:ascii="Abadi" w:hAnsi="Abadi"/>
          <w:sz w:val="21"/>
          <w:szCs w:val="21"/>
        </w:rPr>
        <w:t xml:space="preserve"> rectificación de hechos, Presidente </w:t>
      </w:r>
      <w:r w:rsidRPr="00DF6B4C">
        <w:rPr>
          <w:rFonts w:ascii="Abadi" w:hAnsi="Abadi"/>
          <w:b/>
          <w:bCs/>
          <w:sz w:val="21"/>
          <w:szCs w:val="21"/>
        </w:rPr>
        <w:t>(</w:t>
      </w:r>
      <w:r>
        <w:rPr>
          <w:rFonts w:ascii="Abadi" w:hAnsi="Abadi"/>
          <w:b/>
          <w:bCs/>
          <w:sz w:val="21"/>
          <w:szCs w:val="21"/>
        </w:rPr>
        <w:t>V</w:t>
      </w:r>
      <w:r w:rsidRPr="00DF6B4C">
        <w:rPr>
          <w:rFonts w:ascii="Abadi" w:hAnsi="Abadi"/>
          <w:b/>
          <w:bCs/>
          <w:sz w:val="21"/>
          <w:szCs w:val="21"/>
        </w:rPr>
        <w:t xml:space="preserve">oz) diputado </w:t>
      </w:r>
      <w:r>
        <w:rPr>
          <w:rFonts w:ascii="Abadi" w:hAnsi="Abadi"/>
          <w:b/>
          <w:bCs/>
          <w:sz w:val="21"/>
          <w:szCs w:val="21"/>
        </w:rPr>
        <w:t>Pre</w:t>
      </w:r>
      <w:r w:rsidRPr="00DF6B4C">
        <w:rPr>
          <w:rFonts w:ascii="Abadi" w:hAnsi="Abadi"/>
          <w:b/>
          <w:bCs/>
          <w:sz w:val="21"/>
          <w:szCs w:val="21"/>
        </w:rPr>
        <w:t>sidente,</w:t>
      </w:r>
      <w:r>
        <w:rPr>
          <w:rFonts w:ascii="Abadi" w:hAnsi="Abadi"/>
          <w:sz w:val="21"/>
          <w:szCs w:val="21"/>
        </w:rPr>
        <w:t xml:space="preserve"> ¿qué hechos diputado? </w:t>
      </w:r>
      <w:r w:rsidRPr="00DF6B4C">
        <w:rPr>
          <w:rFonts w:ascii="Abadi" w:hAnsi="Abadi"/>
          <w:b/>
          <w:bCs/>
          <w:sz w:val="21"/>
          <w:szCs w:val="21"/>
        </w:rPr>
        <w:t>(Voz) diputado Gerardo</w:t>
      </w:r>
      <w:r>
        <w:rPr>
          <w:rFonts w:ascii="Abadi" w:hAnsi="Abadi"/>
          <w:sz w:val="21"/>
          <w:szCs w:val="21"/>
        </w:rPr>
        <w:t xml:space="preserve">, sobre el contacto que </w:t>
      </w:r>
      <w:r w:rsidRPr="006813AA">
        <w:rPr>
          <w:rFonts w:ascii="Abadi" w:hAnsi="Abadi"/>
          <w:sz w:val="21"/>
          <w:szCs w:val="21"/>
        </w:rPr>
        <w:t>ha tenido</w:t>
      </w:r>
      <w:r>
        <w:rPr>
          <w:rFonts w:ascii="Abadi" w:hAnsi="Abadi"/>
          <w:sz w:val="21"/>
          <w:szCs w:val="21"/>
        </w:rPr>
        <w:t xml:space="preserve"> el Gobierno con la familia </w:t>
      </w:r>
      <w:r w:rsidRPr="003B203A">
        <w:rPr>
          <w:rFonts w:ascii="Abadi" w:hAnsi="Abadi"/>
          <w:b/>
          <w:bCs/>
          <w:sz w:val="21"/>
          <w:szCs w:val="21"/>
        </w:rPr>
        <w:t>(Voz) diputado Presidente,</w:t>
      </w:r>
      <w:r>
        <w:rPr>
          <w:rFonts w:ascii="Abadi" w:hAnsi="Abadi"/>
          <w:sz w:val="21"/>
          <w:szCs w:val="21"/>
        </w:rPr>
        <w:t xml:space="preserve"> a</w:t>
      </w:r>
      <w:r w:rsidRPr="006813AA">
        <w:rPr>
          <w:rFonts w:ascii="Abadi" w:hAnsi="Abadi"/>
          <w:sz w:val="21"/>
          <w:szCs w:val="21"/>
        </w:rPr>
        <w:t xml:space="preserve">delante tienen </w:t>
      </w:r>
      <w:r>
        <w:rPr>
          <w:rFonts w:ascii="Abadi" w:hAnsi="Abadi"/>
          <w:sz w:val="21"/>
          <w:szCs w:val="21"/>
        </w:rPr>
        <w:t>el uso de la voz hasta por cinco minutos.</w:t>
      </w:r>
    </w:p>
    <w:p w14:paraId="542E6528" w14:textId="77777777" w:rsidR="003C51DA" w:rsidRDefault="003C51DA" w:rsidP="00D15DAB">
      <w:pPr>
        <w:ind w:firstLine="708"/>
        <w:jc w:val="both"/>
        <w:rPr>
          <w:rFonts w:ascii="Abadi" w:hAnsi="Abadi"/>
          <w:sz w:val="21"/>
          <w:szCs w:val="21"/>
        </w:rPr>
      </w:pPr>
    </w:p>
    <w:p w14:paraId="1C246D43" w14:textId="3AE8CA4F" w:rsidR="00D15DAB" w:rsidRDefault="00D15DAB" w:rsidP="00D15DAB">
      <w:pPr>
        <w:jc w:val="both"/>
        <w:rPr>
          <w:rFonts w:ascii="Abadi" w:hAnsi="Abadi"/>
          <w:b/>
          <w:bCs/>
          <w:sz w:val="21"/>
          <w:szCs w:val="21"/>
        </w:rPr>
      </w:pPr>
      <w:r w:rsidRPr="00600829">
        <w:rPr>
          <w:rFonts w:ascii="Abadi" w:hAnsi="Abadi"/>
          <w:b/>
          <w:bCs/>
          <w:sz w:val="21"/>
          <w:szCs w:val="21"/>
        </w:rPr>
        <w:t xml:space="preserve">(Sube a tribuna el diputado Gerardo Fernández González, para rectificación de hechos de </w:t>
      </w:r>
      <w:r w:rsidR="003C51DA" w:rsidRPr="00600829">
        <w:rPr>
          <w:rFonts w:ascii="Abadi" w:hAnsi="Abadi"/>
          <w:b/>
          <w:bCs/>
          <w:sz w:val="21"/>
          <w:szCs w:val="21"/>
        </w:rPr>
        <w:t xml:space="preserve">la </w:t>
      </w:r>
      <w:r w:rsidR="003C51DA">
        <w:rPr>
          <w:rFonts w:ascii="Abadi" w:hAnsi="Abadi"/>
          <w:b/>
          <w:bCs/>
          <w:sz w:val="21"/>
          <w:szCs w:val="21"/>
        </w:rPr>
        <w:t>diputada</w:t>
      </w:r>
      <w:r>
        <w:rPr>
          <w:rFonts w:ascii="Abadi" w:hAnsi="Abadi"/>
          <w:b/>
          <w:bCs/>
          <w:sz w:val="21"/>
          <w:szCs w:val="21"/>
        </w:rPr>
        <w:t xml:space="preserve"> q</w:t>
      </w:r>
      <w:r w:rsidRPr="00600829">
        <w:rPr>
          <w:rFonts w:ascii="Abadi" w:hAnsi="Abadi"/>
          <w:b/>
          <w:bCs/>
          <w:sz w:val="21"/>
          <w:szCs w:val="21"/>
        </w:rPr>
        <w:t>ue le antecedió en el uso de la voz)</w:t>
      </w:r>
    </w:p>
    <w:p w14:paraId="3C807769" w14:textId="77777777" w:rsidR="00D15DAB" w:rsidRPr="00600829" w:rsidRDefault="00D15DAB" w:rsidP="00D15DAB">
      <w:pPr>
        <w:jc w:val="both"/>
        <w:rPr>
          <w:rFonts w:ascii="Abadi" w:hAnsi="Abadi"/>
          <w:b/>
          <w:bCs/>
          <w:sz w:val="21"/>
          <w:szCs w:val="21"/>
        </w:rPr>
      </w:pPr>
    </w:p>
    <w:p w14:paraId="5439A8D4" w14:textId="430EBB4F" w:rsidR="003C51DA" w:rsidRDefault="003C51DA" w:rsidP="00D15DAB">
      <w:pPr>
        <w:jc w:val="both"/>
        <w:rPr>
          <w:rFonts w:ascii="Abadi" w:hAnsi="Abadi"/>
          <w:sz w:val="21"/>
          <w:szCs w:val="21"/>
        </w:rPr>
      </w:pPr>
    </w:p>
    <w:p w14:paraId="2734ADED" w14:textId="5A2FDEC5" w:rsidR="003C51DA" w:rsidRPr="006813AA" w:rsidRDefault="003C51DA" w:rsidP="00D15DAB">
      <w:pPr>
        <w:jc w:val="both"/>
        <w:rPr>
          <w:rFonts w:ascii="Abadi" w:hAnsi="Abadi"/>
          <w:sz w:val="21"/>
          <w:szCs w:val="21"/>
        </w:rPr>
      </w:pPr>
    </w:p>
    <w:p w14:paraId="17335A91" w14:textId="5D5E051B" w:rsidR="003C51DA" w:rsidRDefault="003C51DA" w:rsidP="00D15DAB">
      <w:pPr>
        <w:jc w:val="both"/>
        <w:rPr>
          <w:rFonts w:ascii="Abadi" w:hAnsi="Abadi"/>
          <w:sz w:val="21"/>
          <w:szCs w:val="21"/>
        </w:rPr>
      </w:pPr>
    </w:p>
    <w:p w14:paraId="5C302CDF" w14:textId="79821AFB" w:rsidR="003C51DA" w:rsidRDefault="003C51DA" w:rsidP="00D15DAB">
      <w:pPr>
        <w:jc w:val="both"/>
        <w:rPr>
          <w:rFonts w:ascii="Abadi" w:hAnsi="Abadi"/>
          <w:sz w:val="21"/>
          <w:szCs w:val="21"/>
        </w:rPr>
      </w:pPr>
      <w:r>
        <w:rPr>
          <w:noProof/>
        </w:rPr>
        <w:drawing>
          <wp:anchor distT="0" distB="0" distL="114300" distR="114300" simplePos="0" relativeHeight="251719680" behindDoc="1" locked="0" layoutInCell="1" allowOverlap="1" wp14:anchorId="1CC14B28" wp14:editId="08D3CBA4">
            <wp:simplePos x="0" y="0"/>
            <wp:positionH relativeFrom="column">
              <wp:posOffset>629333</wp:posOffset>
            </wp:positionH>
            <wp:positionV relativeFrom="paragraph">
              <wp:posOffset>19397</wp:posOffset>
            </wp:positionV>
            <wp:extent cx="1434501" cy="747366"/>
            <wp:effectExtent l="247650" t="228600" r="241935" b="758190"/>
            <wp:wrapTight wrapText="bothSides">
              <wp:wrapPolygon edited="0">
                <wp:start x="-3729" y="-6612"/>
                <wp:lineTo x="-3729" y="42980"/>
                <wp:lineTo x="24956" y="42980"/>
                <wp:lineTo x="24956" y="30857"/>
                <wp:lineTo x="21227" y="28653"/>
                <wp:lineTo x="20940" y="28653"/>
                <wp:lineTo x="24956" y="26449"/>
                <wp:lineTo x="24956" y="-6612"/>
                <wp:lineTo x="-3729" y="-6612"/>
              </wp:wrapPolygon>
            </wp:wrapTight>
            <wp:docPr id="86" name="Imagen 86" descr="Un hombre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n 64" descr="Un hombre con un traje de color negro con letras blancas&#10;&#10;Descripción generada automáticamente con confianza media"/>
                    <pic:cNvPicPr/>
                  </pic:nvPicPr>
                  <pic:blipFill rotWithShape="1">
                    <a:blip r:embed="rId90" cstate="print">
                      <a:extLst>
                        <a:ext uri="{28A0092B-C50C-407E-A947-70E740481C1C}">
                          <a14:useLocalDpi xmlns:a14="http://schemas.microsoft.com/office/drawing/2010/main" val="0"/>
                        </a:ext>
                      </a:extLst>
                    </a:blip>
                    <a:srcRect b="7334"/>
                    <a:stretch/>
                  </pic:blipFill>
                  <pic:spPr bwMode="auto">
                    <a:xfrm>
                      <a:off x="0" y="0"/>
                      <a:ext cx="1434501" cy="747366"/>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1EF581C9" w14:textId="77777777" w:rsidR="003C51DA" w:rsidRDefault="003C51DA" w:rsidP="00D15DAB">
      <w:pPr>
        <w:jc w:val="both"/>
        <w:rPr>
          <w:rFonts w:ascii="Abadi" w:hAnsi="Abadi"/>
          <w:sz w:val="21"/>
          <w:szCs w:val="21"/>
        </w:rPr>
      </w:pPr>
    </w:p>
    <w:p w14:paraId="2340E828" w14:textId="77777777" w:rsidR="003C51DA" w:rsidRDefault="003C51DA" w:rsidP="00D15DAB">
      <w:pPr>
        <w:jc w:val="both"/>
        <w:rPr>
          <w:rFonts w:ascii="Abadi" w:hAnsi="Abadi"/>
          <w:sz w:val="21"/>
          <w:szCs w:val="21"/>
        </w:rPr>
      </w:pPr>
    </w:p>
    <w:p w14:paraId="69342861" w14:textId="77777777" w:rsidR="003C51DA" w:rsidRDefault="003C51DA" w:rsidP="00D15DAB">
      <w:pPr>
        <w:jc w:val="both"/>
        <w:rPr>
          <w:rFonts w:ascii="Abadi" w:hAnsi="Abadi"/>
          <w:sz w:val="21"/>
          <w:szCs w:val="21"/>
        </w:rPr>
      </w:pPr>
    </w:p>
    <w:p w14:paraId="7A131A35" w14:textId="77777777" w:rsidR="003C51DA" w:rsidRDefault="003C51DA" w:rsidP="00D15DAB">
      <w:pPr>
        <w:jc w:val="both"/>
        <w:rPr>
          <w:rFonts w:ascii="Abadi" w:hAnsi="Abadi"/>
          <w:sz w:val="21"/>
          <w:szCs w:val="21"/>
        </w:rPr>
      </w:pPr>
    </w:p>
    <w:p w14:paraId="665B1521" w14:textId="77777777" w:rsidR="003C51DA" w:rsidRDefault="003C51DA" w:rsidP="00D15DAB">
      <w:pPr>
        <w:jc w:val="both"/>
        <w:rPr>
          <w:rFonts w:ascii="Abadi" w:hAnsi="Abadi"/>
          <w:sz w:val="21"/>
          <w:szCs w:val="21"/>
        </w:rPr>
      </w:pPr>
    </w:p>
    <w:p w14:paraId="5E0B98B1" w14:textId="77777777" w:rsidR="003C51DA" w:rsidRDefault="003C51DA" w:rsidP="00D15DAB">
      <w:pPr>
        <w:jc w:val="both"/>
        <w:rPr>
          <w:rFonts w:ascii="Abadi" w:hAnsi="Abadi"/>
          <w:sz w:val="21"/>
          <w:szCs w:val="21"/>
        </w:rPr>
      </w:pPr>
    </w:p>
    <w:p w14:paraId="2139F480" w14:textId="77777777" w:rsidR="003C51DA" w:rsidRDefault="003C51DA" w:rsidP="00D15DAB">
      <w:pPr>
        <w:jc w:val="both"/>
        <w:rPr>
          <w:rFonts w:ascii="Abadi" w:hAnsi="Abadi"/>
          <w:sz w:val="21"/>
          <w:szCs w:val="21"/>
        </w:rPr>
      </w:pPr>
    </w:p>
    <w:p w14:paraId="1DDFCD57" w14:textId="77777777" w:rsidR="003C51DA" w:rsidRDefault="003C51DA" w:rsidP="00D15DAB">
      <w:pPr>
        <w:jc w:val="both"/>
        <w:rPr>
          <w:rFonts w:ascii="Abadi" w:hAnsi="Abadi"/>
          <w:sz w:val="21"/>
          <w:szCs w:val="21"/>
        </w:rPr>
      </w:pPr>
    </w:p>
    <w:p w14:paraId="66E79C8A" w14:textId="77777777" w:rsidR="003C51DA" w:rsidRDefault="003C51DA" w:rsidP="00D15DAB">
      <w:pPr>
        <w:jc w:val="both"/>
        <w:rPr>
          <w:rFonts w:ascii="Abadi" w:hAnsi="Abadi"/>
          <w:sz w:val="21"/>
          <w:szCs w:val="21"/>
        </w:rPr>
      </w:pPr>
    </w:p>
    <w:p w14:paraId="5AB7B431" w14:textId="77777777" w:rsidR="003C51DA" w:rsidRDefault="003C51DA" w:rsidP="00D15DAB">
      <w:pPr>
        <w:jc w:val="both"/>
        <w:rPr>
          <w:rFonts w:ascii="Abadi" w:hAnsi="Abadi"/>
          <w:sz w:val="21"/>
          <w:szCs w:val="21"/>
        </w:rPr>
      </w:pPr>
    </w:p>
    <w:p w14:paraId="5345F269" w14:textId="548890C5" w:rsidR="00D15DAB" w:rsidRDefault="00D15DAB" w:rsidP="00D15DAB">
      <w:pPr>
        <w:jc w:val="both"/>
        <w:rPr>
          <w:rFonts w:ascii="Abadi" w:hAnsi="Abadi"/>
          <w:sz w:val="21"/>
          <w:szCs w:val="21"/>
        </w:rPr>
      </w:pPr>
      <w:r>
        <w:rPr>
          <w:rFonts w:ascii="Abadi" w:hAnsi="Abadi"/>
          <w:sz w:val="21"/>
          <w:szCs w:val="21"/>
        </w:rPr>
        <w:t>- Y</w:t>
      </w:r>
      <w:r w:rsidRPr="006813AA">
        <w:rPr>
          <w:rFonts w:ascii="Abadi" w:hAnsi="Abadi"/>
          <w:sz w:val="21"/>
          <w:szCs w:val="21"/>
        </w:rPr>
        <w:t xml:space="preserve"> nada de lo que dijo es falso</w:t>
      </w:r>
      <w:r>
        <w:rPr>
          <w:rFonts w:ascii="Abadi" w:hAnsi="Abadi"/>
          <w:sz w:val="21"/>
          <w:szCs w:val="21"/>
        </w:rPr>
        <w:t>,</w:t>
      </w:r>
      <w:r w:rsidRPr="006813AA">
        <w:rPr>
          <w:rFonts w:ascii="Abadi" w:hAnsi="Abadi"/>
          <w:sz w:val="21"/>
          <w:szCs w:val="21"/>
        </w:rPr>
        <w:t xml:space="preserve"> ciertamente diputada al día de hoy</w:t>
      </w:r>
      <w:r>
        <w:rPr>
          <w:rFonts w:ascii="Abadi" w:hAnsi="Abadi"/>
          <w:sz w:val="21"/>
          <w:szCs w:val="21"/>
        </w:rPr>
        <w:t>,</w:t>
      </w:r>
      <w:r w:rsidRPr="006813AA">
        <w:rPr>
          <w:rFonts w:ascii="Abadi" w:hAnsi="Abadi"/>
          <w:sz w:val="21"/>
          <w:szCs w:val="21"/>
        </w:rPr>
        <w:t xml:space="preserve"> al día de hoy ya están en contacto con la familia </w:t>
      </w:r>
      <w:r>
        <w:rPr>
          <w:rFonts w:ascii="Abadi" w:hAnsi="Abadi"/>
          <w:sz w:val="21"/>
          <w:szCs w:val="21"/>
        </w:rPr>
        <w:t>¡</w:t>
      </w:r>
      <w:r w:rsidRPr="006813AA">
        <w:rPr>
          <w:rFonts w:ascii="Abadi" w:hAnsi="Abadi"/>
          <w:sz w:val="21"/>
          <w:szCs w:val="21"/>
        </w:rPr>
        <w:t>hasta hoy en la mañana</w:t>
      </w:r>
      <w:r>
        <w:rPr>
          <w:rFonts w:ascii="Abadi" w:hAnsi="Abadi"/>
          <w:sz w:val="21"/>
          <w:szCs w:val="21"/>
        </w:rPr>
        <w:t>!</w:t>
      </w:r>
      <w:r w:rsidRPr="006813AA">
        <w:rPr>
          <w:rFonts w:ascii="Abadi" w:hAnsi="Abadi"/>
          <w:sz w:val="21"/>
          <w:szCs w:val="21"/>
        </w:rPr>
        <w:t xml:space="preserve"> a pesar de que se ha buscado muchos canales y tengo muestras</w:t>
      </w:r>
      <w:r>
        <w:rPr>
          <w:rFonts w:ascii="Abadi" w:hAnsi="Abadi"/>
          <w:sz w:val="21"/>
          <w:szCs w:val="21"/>
        </w:rPr>
        <w:t>,</w:t>
      </w:r>
      <w:r w:rsidRPr="006813AA">
        <w:rPr>
          <w:rFonts w:ascii="Abadi" w:hAnsi="Abadi"/>
          <w:sz w:val="21"/>
          <w:szCs w:val="21"/>
        </w:rPr>
        <w:t xml:space="preserve"> si gusta con mucho gusto se las hago llegar</w:t>
      </w:r>
      <w:r>
        <w:rPr>
          <w:rFonts w:ascii="Abadi" w:hAnsi="Abadi"/>
          <w:sz w:val="21"/>
          <w:szCs w:val="21"/>
        </w:rPr>
        <w:t xml:space="preserve"> ¿diputada?</w:t>
      </w:r>
      <w:r w:rsidRPr="006813AA">
        <w:rPr>
          <w:rFonts w:ascii="Abadi" w:hAnsi="Abadi"/>
          <w:sz w:val="21"/>
          <w:szCs w:val="21"/>
        </w:rPr>
        <w:t xml:space="preserve"> no había habido intención de atender de hecho la respuesta había sido que todo apuntaba a que este joven era un </w:t>
      </w:r>
      <w:r>
        <w:rPr>
          <w:rFonts w:ascii="Abadi" w:hAnsi="Abadi"/>
          <w:sz w:val="21"/>
          <w:szCs w:val="21"/>
        </w:rPr>
        <w:t>delincuente.</w:t>
      </w:r>
    </w:p>
    <w:p w14:paraId="1626AEA9" w14:textId="77777777" w:rsidR="003C51DA" w:rsidRDefault="003C51DA" w:rsidP="00D15DAB">
      <w:pPr>
        <w:jc w:val="both"/>
        <w:rPr>
          <w:rFonts w:ascii="Abadi" w:hAnsi="Abadi"/>
          <w:sz w:val="21"/>
          <w:szCs w:val="21"/>
        </w:rPr>
      </w:pPr>
    </w:p>
    <w:p w14:paraId="3D717DE3" w14:textId="65073BBF" w:rsidR="00D15DAB" w:rsidRDefault="00D15DAB" w:rsidP="00D15DAB">
      <w:pPr>
        <w:jc w:val="both"/>
        <w:rPr>
          <w:rFonts w:ascii="Abadi" w:hAnsi="Abadi"/>
          <w:sz w:val="21"/>
          <w:szCs w:val="21"/>
        </w:rPr>
      </w:pPr>
      <w:r>
        <w:rPr>
          <w:rFonts w:ascii="Abadi" w:hAnsi="Abadi"/>
          <w:sz w:val="21"/>
          <w:szCs w:val="21"/>
        </w:rPr>
        <w:t>- C</w:t>
      </w:r>
      <w:r w:rsidRPr="006813AA">
        <w:rPr>
          <w:rFonts w:ascii="Abadi" w:hAnsi="Abadi"/>
          <w:sz w:val="21"/>
          <w:szCs w:val="21"/>
        </w:rPr>
        <w:t>elebramos</w:t>
      </w:r>
      <w:r>
        <w:rPr>
          <w:rFonts w:ascii="Abadi" w:hAnsi="Abadi"/>
          <w:sz w:val="21"/>
          <w:szCs w:val="21"/>
        </w:rPr>
        <w:t>,</w:t>
      </w:r>
      <w:r w:rsidRPr="006813AA">
        <w:rPr>
          <w:rFonts w:ascii="Abadi" w:hAnsi="Abadi"/>
          <w:sz w:val="21"/>
          <w:szCs w:val="21"/>
        </w:rPr>
        <w:t xml:space="preserve"> celebramos</w:t>
      </w:r>
      <w:r>
        <w:rPr>
          <w:rFonts w:ascii="Abadi" w:hAnsi="Abadi"/>
          <w:sz w:val="21"/>
          <w:szCs w:val="21"/>
        </w:rPr>
        <w:t>,</w:t>
      </w:r>
      <w:r w:rsidRPr="006813AA">
        <w:rPr>
          <w:rFonts w:ascii="Abadi" w:hAnsi="Abadi"/>
          <w:sz w:val="21"/>
          <w:szCs w:val="21"/>
        </w:rPr>
        <w:t xml:space="preserve"> ciertamente que haya </w:t>
      </w:r>
      <w:r>
        <w:rPr>
          <w:rFonts w:ascii="Abadi" w:hAnsi="Abadi"/>
          <w:sz w:val="21"/>
          <w:szCs w:val="21"/>
        </w:rPr>
        <w:t xml:space="preserve">el interés </w:t>
      </w:r>
      <w:r w:rsidRPr="006813AA">
        <w:rPr>
          <w:rFonts w:ascii="Abadi" w:hAnsi="Abadi"/>
          <w:sz w:val="21"/>
          <w:szCs w:val="21"/>
        </w:rPr>
        <w:t>hoy que es una noticia nacional y seguiremos trabajando para que cada vez haya menos caso</w:t>
      </w:r>
      <w:r>
        <w:rPr>
          <w:rFonts w:ascii="Abadi" w:hAnsi="Abadi"/>
          <w:sz w:val="21"/>
          <w:szCs w:val="21"/>
        </w:rPr>
        <w:t xml:space="preserve"> en este sentido. </w:t>
      </w:r>
    </w:p>
    <w:p w14:paraId="618BEA9F" w14:textId="77777777" w:rsidR="003C51DA" w:rsidRDefault="003C51DA" w:rsidP="00D15DAB">
      <w:pPr>
        <w:jc w:val="both"/>
        <w:rPr>
          <w:rFonts w:ascii="Abadi" w:hAnsi="Abadi"/>
          <w:sz w:val="21"/>
          <w:szCs w:val="21"/>
        </w:rPr>
      </w:pPr>
    </w:p>
    <w:p w14:paraId="45F73BD7" w14:textId="4FB4C69A" w:rsidR="00D15DAB" w:rsidRDefault="00D15DAB" w:rsidP="00D15DAB">
      <w:pPr>
        <w:jc w:val="both"/>
        <w:rPr>
          <w:rFonts w:ascii="Abadi" w:hAnsi="Abadi"/>
          <w:sz w:val="21"/>
          <w:szCs w:val="21"/>
        </w:rPr>
      </w:pPr>
      <w:r>
        <w:rPr>
          <w:rFonts w:ascii="Abadi" w:hAnsi="Abadi"/>
          <w:sz w:val="21"/>
          <w:szCs w:val="21"/>
        </w:rPr>
        <w:t>- L</w:t>
      </w:r>
      <w:r w:rsidRPr="006813AA">
        <w:rPr>
          <w:rFonts w:ascii="Abadi" w:hAnsi="Abadi"/>
          <w:sz w:val="21"/>
          <w:szCs w:val="21"/>
        </w:rPr>
        <w:t xml:space="preserve">o único que quiero recalcar aquí y es un tema muy </w:t>
      </w:r>
      <w:r>
        <w:rPr>
          <w:rFonts w:ascii="Abadi" w:hAnsi="Abadi"/>
          <w:sz w:val="21"/>
          <w:szCs w:val="21"/>
        </w:rPr>
        <w:t xml:space="preserve">importante, </w:t>
      </w:r>
      <w:r w:rsidRPr="006813AA">
        <w:rPr>
          <w:rFonts w:ascii="Abadi" w:hAnsi="Abadi"/>
          <w:sz w:val="21"/>
          <w:szCs w:val="21"/>
        </w:rPr>
        <w:t>e</w:t>
      </w:r>
      <w:r>
        <w:rPr>
          <w:rFonts w:ascii="Abadi" w:hAnsi="Abadi"/>
          <w:sz w:val="21"/>
          <w:szCs w:val="21"/>
        </w:rPr>
        <w:t xml:space="preserve">s </w:t>
      </w:r>
      <w:r w:rsidRPr="006813AA">
        <w:rPr>
          <w:rFonts w:ascii="Abadi" w:hAnsi="Abadi"/>
          <w:sz w:val="21"/>
          <w:szCs w:val="21"/>
        </w:rPr>
        <w:t>que</w:t>
      </w:r>
      <w:r>
        <w:rPr>
          <w:rFonts w:ascii="Abadi" w:hAnsi="Abadi"/>
          <w:sz w:val="21"/>
          <w:szCs w:val="21"/>
        </w:rPr>
        <w:t>,</w:t>
      </w:r>
      <w:r w:rsidRPr="006813AA">
        <w:rPr>
          <w:rFonts w:ascii="Abadi" w:hAnsi="Abadi"/>
          <w:sz w:val="21"/>
          <w:szCs w:val="21"/>
        </w:rPr>
        <w:t xml:space="preserve"> antes de subir a esta tribuna</w:t>
      </w:r>
      <w:r>
        <w:rPr>
          <w:rFonts w:ascii="Abadi" w:hAnsi="Abadi"/>
          <w:sz w:val="21"/>
          <w:szCs w:val="21"/>
        </w:rPr>
        <w:t>,</w:t>
      </w:r>
      <w:r w:rsidRPr="006813AA">
        <w:rPr>
          <w:rFonts w:ascii="Abadi" w:hAnsi="Abadi"/>
          <w:sz w:val="21"/>
          <w:szCs w:val="21"/>
        </w:rPr>
        <w:t xml:space="preserve"> este tema</w:t>
      </w:r>
      <w:r>
        <w:rPr>
          <w:rFonts w:ascii="Abadi" w:hAnsi="Abadi"/>
          <w:sz w:val="21"/>
          <w:szCs w:val="21"/>
        </w:rPr>
        <w:t>,</w:t>
      </w:r>
      <w:r w:rsidRPr="006813AA">
        <w:rPr>
          <w:rFonts w:ascii="Abadi" w:hAnsi="Abadi"/>
          <w:sz w:val="21"/>
          <w:szCs w:val="21"/>
        </w:rPr>
        <w:t xml:space="preserve"> buscamos los medios</w:t>
      </w:r>
      <w:r>
        <w:rPr>
          <w:rFonts w:ascii="Abadi" w:hAnsi="Abadi"/>
          <w:sz w:val="21"/>
          <w:szCs w:val="21"/>
        </w:rPr>
        <w:t>,</w:t>
      </w:r>
      <w:r w:rsidRPr="006813AA">
        <w:rPr>
          <w:rFonts w:ascii="Abadi" w:hAnsi="Abadi"/>
          <w:sz w:val="21"/>
          <w:szCs w:val="21"/>
        </w:rPr>
        <w:t xml:space="preserve"> </w:t>
      </w:r>
      <w:r>
        <w:rPr>
          <w:rFonts w:ascii="Abadi" w:hAnsi="Abadi"/>
          <w:sz w:val="21"/>
          <w:szCs w:val="21"/>
        </w:rPr>
        <w:t xml:space="preserve">nos acercamos </w:t>
      </w:r>
      <w:r w:rsidRPr="006813AA">
        <w:rPr>
          <w:rFonts w:ascii="Abadi" w:hAnsi="Abadi"/>
          <w:sz w:val="21"/>
          <w:szCs w:val="21"/>
        </w:rPr>
        <w:t>con much</w:t>
      </w:r>
      <w:r>
        <w:rPr>
          <w:rFonts w:ascii="Abadi" w:hAnsi="Abadi"/>
          <w:sz w:val="21"/>
          <w:szCs w:val="21"/>
        </w:rPr>
        <w:t xml:space="preserve">as personas, nos acercamos con muchas personas y nos dijeron que no se podía hacer nada, hoy vemos que si se puede, hoy vemos que están en contacto con el Secretario de Gobierno, </w:t>
      </w:r>
      <w:r w:rsidRPr="006813AA">
        <w:rPr>
          <w:rFonts w:ascii="Abadi" w:hAnsi="Abadi"/>
          <w:sz w:val="21"/>
          <w:szCs w:val="21"/>
        </w:rPr>
        <w:t>con</w:t>
      </w:r>
      <w:r>
        <w:rPr>
          <w:rFonts w:ascii="Abadi" w:hAnsi="Abadi"/>
          <w:sz w:val="21"/>
          <w:szCs w:val="21"/>
        </w:rPr>
        <w:t xml:space="preserve"> la Procuraduría, aquí es Fiscalía.</w:t>
      </w:r>
    </w:p>
    <w:p w14:paraId="6533F0EA" w14:textId="77777777" w:rsidR="003C51DA" w:rsidRDefault="003C51DA" w:rsidP="00D15DAB">
      <w:pPr>
        <w:jc w:val="both"/>
        <w:rPr>
          <w:rFonts w:ascii="Abadi" w:hAnsi="Abadi"/>
          <w:sz w:val="21"/>
          <w:szCs w:val="21"/>
        </w:rPr>
      </w:pPr>
    </w:p>
    <w:p w14:paraId="38BF80CC" w14:textId="14AE1B39" w:rsidR="00D15DAB" w:rsidRDefault="00D15DAB" w:rsidP="00D15DAB">
      <w:pPr>
        <w:jc w:val="both"/>
        <w:rPr>
          <w:rFonts w:ascii="Abadi" w:hAnsi="Abadi"/>
          <w:sz w:val="21"/>
          <w:szCs w:val="21"/>
        </w:rPr>
      </w:pPr>
      <w:r>
        <w:rPr>
          <w:rFonts w:ascii="Abadi" w:hAnsi="Abadi"/>
          <w:sz w:val="21"/>
          <w:szCs w:val="21"/>
        </w:rPr>
        <w:t>- Y también incluso que el tema ya lo está tomando la ¡eh!  Derechos Humanos en Tlaxcala, e</w:t>
      </w:r>
      <w:r w:rsidRPr="006813AA">
        <w:rPr>
          <w:rFonts w:ascii="Abadi" w:hAnsi="Abadi"/>
          <w:sz w:val="21"/>
          <w:szCs w:val="21"/>
        </w:rPr>
        <w:t>l reflejo es est</w:t>
      </w:r>
      <w:r>
        <w:rPr>
          <w:rFonts w:ascii="Abadi" w:hAnsi="Abadi"/>
          <w:sz w:val="21"/>
          <w:szCs w:val="21"/>
        </w:rPr>
        <w:t>é</w:t>
      </w:r>
      <w:r w:rsidRPr="006813AA">
        <w:rPr>
          <w:rFonts w:ascii="Abadi" w:hAnsi="Abadi"/>
          <w:sz w:val="21"/>
          <w:szCs w:val="21"/>
        </w:rPr>
        <w:t xml:space="preserve"> joven diputada compañero</w:t>
      </w:r>
      <w:r>
        <w:rPr>
          <w:rFonts w:ascii="Abadi" w:hAnsi="Abadi"/>
          <w:sz w:val="21"/>
          <w:szCs w:val="21"/>
        </w:rPr>
        <w:t xml:space="preserve">s, </w:t>
      </w:r>
      <w:r w:rsidRPr="006813AA">
        <w:rPr>
          <w:rFonts w:ascii="Abadi" w:hAnsi="Abadi"/>
          <w:sz w:val="21"/>
          <w:szCs w:val="21"/>
        </w:rPr>
        <w:t xml:space="preserve">tiene ya casi un mes en la </w:t>
      </w:r>
      <w:r>
        <w:rPr>
          <w:rFonts w:ascii="Abadi" w:hAnsi="Abadi"/>
          <w:sz w:val="21"/>
          <w:szCs w:val="21"/>
        </w:rPr>
        <w:t xml:space="preserve">cárcel </w:t>
      </w:r>
      <w:r w:rsidRPr="006813AA">
        <w:rPr>
          <w:rFonts w:ascii="Abadi" w:hAnsi="Abadi"/>
          <w:sz w:val="21"/>
          <w:szCs w:val="21"/>
        </w:rPr>
        <w:t>y apenas</w:t>
      </w:r>
      <w:r>
        <w:rPr>
          <w:rFonts w:ascii="Abadi" w:hAnsi="Abadi"/>
          <w:sz w:val="21"/>
          <w:szCs w:val="21"/>
        </w:rPr>
        <w:t>,</w:t>
      </w:r>
      <w:r w:rsidRPr="006813AA">
        <w:rPr>
          <w:rFonts w:ascii="Abadi" w:hAnsi="Abadi"/>
          <w:sz w:val="21"/>
          <w:szCs w:val="21"/>
        </w:rPr>
        <w:t xml:space="preserve"> esta semana se pu</w:t>
      </w:r>
      <w:r>
        <w:rPr>
          <w:rFonts w:ascii="Abadi" w:hAnsi="Abadi"/>
          <w:sz w:val="21"/>
          <w:szCs w:val="21"/>
        </w:rPr>
        <w:t>sieron en contacto con su familia, ni siquiera con sus papas, c</w:t>
      </w:r>
      <w:r w:rsidRPr="006813AA">
        <w:rPr>
          <w:rFonts w:ascii="Abadi" w:hAnsi="Abadi"/>
          <w:sz w:val="21"/>
          <w:szCs w:val="21"/>
        </w:rPr>
        <w:t xml:space="preserve">on una </w:t>
      </w:r>
      <w:r>
        <w:rPr>
          <w:rFonts w:ascii="Abadi" w:hAnsi="Abadi"/>
          <w:sz w:val="21"/>
          <w:szCs w:val="21"/>
        </w:rPr>
        <w:t>parienta, con su tía.</w:t>
      </w:r>
    </w:p>
    <w:p w14:paraId="765727DB" w14:textId="77777777" w:rsidR="003C51DA" w:rsidRDefault="003C51DA" w:rsidP="00D15DAB">
      <w:pPr>
        <w:jc w:val="both"/>
        <w:rPr>
          <w:rFonts w:ascii="Abadi" w:hAnsi="Abadi"/>
          <w:sz w:val="21"/>
          <w:szCs w:val="21"/>
        </w:rPr>
      </w:pPr>
    </w:p>
    <w:p w14:paraId="25BCD5D9" w14:textId="08A0E7B6" w:rsidR="00D15DAB" w:rsidRDefault="00D15DAB" w:rsidP="00D15DAB">
      <w:pPr>
        <w:jc w:val="both"/>
        <w:rPr>
          <w:rFonts w:ascii="Abadi" w:hAnsi="Abadi"/>
          <w:sz w:val="21"/>
          <w:szCs w:val="21"/>
        </w:rPr>
      </w:pPr>
      <w:r>
        <w:rPr>
          <w:rFonts w:ascii="Abadi" w:hAnsi="Abadi"/>
          <w:sz w:val="21"/>
          <w:szCs w:val="21"/>
        </w:rPr>
        <w:t xml:space="preserve">- Que es lo que yo digo y espero que </w:t>
      </w:r>
      <w:r w:rsidRPr="006813AA">
        <w:rPr>
          <w:rFonts w:ascii="Abadi" w:hAnsi="Abadi"/>
          <w:sz w:val="21"/>
          <w:szCs w:val="21"/>
        </w:rPr>
        <w:t>pudiera ser una realidad</w:t>
      </w:r>
      <w:r>
        <w:rPr>
          <w:rFonts w:ascii="Abadi" w:hAnsi="Abadi"/>
          <w:sz w:val="21"/>
          <w:szCs w:val="21"/>
        </w:rPr>
        <w:t>,</w:t>
      </w:r>
      <w:r w:rsidRPr="006813AA">
        <w:rPr>
          <w:rFonts w:ascii="Abadi" w:hAnsi="Abadi"/>
          <w:sz w:val="21"/>
          <w:szCs w:val="21"/>
        </w:rPr>
        <w:t xml:space="preserve"> </w:t>
      </w:r>
      <w:r>
        <w:rPr>
          <w:rFonts w:ascii="Abadi" w:hAnsi="Abadi"/>
          <w:sz w:val="21"/>
          <w:szCs w:val="21"/>
        </w:rPr>
        <w:t xml:space="preserve">que no tenga que llegar a los medios que </w:t>
      </w:r>
      <w:r w:rsidRPr="006813AA">
        <w:rPr>
          <w:rFonts w:ascii="Abadi" w:hAnsi="Abadi"/>
          <w:sz w:val="21"/>
          <w:szCs w:val="21"/>
        </w:rPr>
        <w:t>estos temas puedan atender</w:t>
      </w:r>
      <w:r>
        <w:rPr>
          <w:rFonts w:ascii="Abadi" w:hAnsi="Abadi"/>
          <w:sz w:val="21"/>
          <w:szCs w:val="21"/>
        </w:rPr>
        <w:t xml:space="preserve">se, vamos a </w:t>
      </w:r>
      <w:r w:rsidRPr="006813AA">
        <w:rPr>
          <w:rFonts w:ascii="Abadi" w:hAnsi="Abadi"/>
          <w:sz w:val="21"/>
          <w:szCs w:val="21"/>
        </w:rPr>
        <w:t>encontrar</w:t>
      </w:r>
      <w:r>
        <w:rPr>
          <w:rFonts w:ascii="Abadi" w:hAnsi="Abadi"/>
          <w:sz w:val="21"/>
          <w:szCs w:val="21"/>
        </w:rPr>
        <w:t xml:space="preserve"> </w:t>
      </w:r>
      <w:r w:rsidRPr="006813AA">
        <w:rPr>
          <w:rFonts w:ascii="Abadi" w:hAnsi="Abadi"/>
          <w:sz w:val="21"/>
          <w:szCs w:val="21"/>
        </w:rPr>
        <w:t>buen puerto</w:t>
      </w:r>
      <w:r>
        <w:rPr>
          <w:rFonts w:ascii="Abadi" w:hAnsi="Abadi"/>
          <w:sz w:val="21"/>
          <w:szCs w:val="21"/>
        </w:rPr>
        <w:t>,</w:t>
      </w:r>
      <w:r w:rsidRPr="006813AA">
        <w:rPr>
          <w:rFonts w:ascii="Abadi" w:hAnsi="Abadi"/>
          <w:sz w:val="21"/>
          <w:szCs w:val="21"/>
        </w:rPr>
        <w:t xml:space="preserve"> antes de que sea un tema mediático</w:t>
      </w:r>
      <w:r>
        <w:rPr>
          <w:rFonts w:ascii="Abadi" w:hAnsi="Abadi"/>
          <w:sz w:val="21"/>
          <w:szCs w:val="21"/>
        </w:rPr>
        <w:t>;</w:t>
      </w:r>
      <w:r w:rsidRPr="006813AA">
        <w:rPr>
          <w:rFonts w:ascii="Abadi" w:hAnsi="Abadi"/>
          <w:sz w:val="21"/>
          <w:szCs w:val="21"/>
        </w:rPr>
        <w:t xml:space="preserve"> y </w:t>
      </w:r>
    </w:p>
    <w:p w14:paraId="1FE5DB01" w14:textId="77777777" w:rsidR="003C51DA" w:rsidRDefault="003C51DA" w:rsidP="00D15DAB">
      <w:pPr>
        <w:jc w:val="both"/>
        <w:rPr>
          <w:rFonts w:ascii="Abadi" w:hAnsi="Abadi"/>
          <w:sz w:val="21"/>
          <w:szCs w:val="21"/>
        </w:rPr>
      </w:pPr>
    </w:p>
    <w:p w14:paraId="5864A119" w14:textId="500F7D72" w:rsidR="00D15DAB" w:rsidRDefault="00D15DAB" w:rsidP="00D15DAB">
      <w:pPr>
        <w:jc w:val="both"/>
        <w:rPr>
          <w:rFonts w:ascii="Abadi" w:hAnsi="Abadi"/>
          <w:sz w:val="21"/>
          <w:szCs w:val="21"/>
        </w:rPr>
      </w:pPr>
      <w:r>
        <w:rPr>
          <w:rFonts w:ascii="Abadi" w:hAnsi="Abadi"/>
          <w:sz w:val="21"/>
          <w:szCs w:val="21"/>
        </w:rPr>
        <w:t>- P</w:t>
      </w:r>
      <w:r w:rsidRPr="006813AA">
        <w:rPr>
          <w:rFonts w:ascii="Abadi" w:hAnsi="Abadi"/>
          <w:sz w:val="21"/>
          <w:szCs w:val="21"/>
        </w:rPr>
        <w:t>or otra parte, que encontremos la manera de dialogar</w:t>
      </w:r>
      <w:r>
        <w:rPr>
          <w:rFonts w:ascii="Abadi" w:hAnsi="Abadi"/>
          <w:sz w:val="21"/>
          <w:szCs w:val="21"/>
        </w:rPr>
        <w:t>,</w:t>
      </w:r>
      <w:r w:rsidRPr="006813AA">
        <w:rPr>
          <w:rFonts w:ascii="Abadi" w:hAnsi="Abadi"/>
          <w:sz w:val="21"/>
          <w:szCs w:val="21"/>
        </w:rPr>
        <w:t xml:space="preserve"> sin llevar esto a ser un tema partidista</w:t>
      </w:r>
      <w:r>
        <w:rPr>
          <w:rFonts w:ascii="Abadi" w:hAnsi="Abadi"/>
          <w:sz w:val="21"/>
          <w:szCs w:val="21"/>
        </w:rPr>
        <w:t>,</w:t>
      </w:r>
      <w:r w:rsidRPr="006813AA">
        <w:rPr>
          <w:rFonts w:ascii="Abadi" w:hAnsi="Abadi"/>
          <w:sz w:val="21"/>
          <w:szCs w:val="21"/>
        </w:rPr>
        <w:t xml:space="preserve"> la justicia no tiene colores </w:t>
      </w:r>
      <w:r>
        <w:rPr>
          <w:rFonts w:ascii="Abadi" w:hAnsi="Abadi"/>
          <w:sz w:val="21"/>
          <w:szCs w:val="21"/>
        </w:rPr>
        <w:t xml:space="preserve">es </w:t>
      </w:r>
      <w:r w:rsidRPr="006813AA">
        <w:rPr>
          <w:rFonts w:ascii="Abadi" w:hAnsi="Abadi"/>
          <w:sz w:val="21"/>
          <w:szCs w:val="21"/>
        </w:rPr>
        <w:t xml:space="preserve">de todos los </w:t>
      </w:r>
      <w:r>
        <w:rPr>
          <w:rFonts w:ascii="Abadi" w:hAnsi="Abadi"/>
          <w:sz w:val="21"/>
          <w:szCs w:val="21"/>
        </w:rPr>
        <w:t>guanajuatenses.</w:t>
      </w:r>
    </w:p>
    <w:p w14:paraId="7D4C4E36" w14:textId="77777777" w:rsidR="003C51DA" w:rsidRDefault="003C51DA" w:rsidP="00D15DAB">
      <w:pPr>
        <w:jc w:val="both"/>
        <w:rPr>
          <w:rFonts w:ascii="Abadi" w:hAnsi="Abadi"/>
          <w:sz w:val="21"/>
          <w:szCs w:val="21"/>
        </w:rPr>
      </w:pPr>
    </w:p>
    <w:p w14:paraId="27852FEC" w14:textId="7361589D" w:rsidR="00D15DAB" w:rsidRDefault="00D15DAB" w:rsidP="00D15DAB">
      <w:pPr>
        <w:jc w:val="both"/>
        <w:rPr>
          <w:rFonts w:ascii="Abadi" w:hAnsi="Abadi"/>
          <w:sz w:val="21"/>
          <w:szCs w:val="21"/>
        </w:rPr>
      </w:pPr>
      <w:r>
        <w:rPr>
          <w:rFonts w:ascii="Abadi" w:hAnsi="Abadi"/>
          <w:sz w:val="21"/>
          <w:szCs w:val="21"/>
        </w:rPr>
        <w:t>- En</w:t>
      </w:r>
      <w:r w:rsidRPr="006813AA">
        <w:rPr>
          <w:rFonts w:ascii="Abadi" w:hAnsi="Abadi"/>
          <w:sz w:val="21"/>
          <w:szCs w:val="21"/>
        </w:rPr>
        <w:t xml:space="preserve">tonces la única reflexión que quiero hacer es que </w:t>
      </w:r>
      <w:r>
        <w:rPr>
          <w:rFonts w:ascii="Abadi" w:hAnsi="Abadi"/>
          <w:sz w:val="21"/>
          <w:szCs w:val="21"/>
        </w:rPr>
        <w:t xml:space="preserve">a la fecha </w:t>
      </w:r>
      <w:r w:rsidRPr="00F8215C">
        <w:rPr>
          <w:rFonts w:ascii="Abadi" w:hAnsi="Abadi"/>
          <w:b/>
          <w:bCs/>
          <w:sz w:val="21"/>
          <w:szCs w:val="21"/>
        </w:rPr>
        <w:t xml:space="preserve">(Voz) diputado Presidente, </w:t>
      </w:r>
      <w:r>
        <w:rPr>
          <w:rFonts w:ascii="Abadi" w:hAnsi="Abadi"/>
          <w:sz w:val="21"/>
          <w:szCs w:val="21"/>
        </w:rPr>
        <w:t>¿diputado Gerardo, me permite por favor? ¿sí diputado Bricio Balderas para que efectos? ¿sí aquí el diputado en tribuna? ¿si me acepta una pregunta?</w:t>
      </w:r>
      <w:r>
        <w:rPr>
          <w:rFonts w:ascii="Abadi" w:hAnsi="Abadi"/>
          <w:b/>
          <w:bCs/>
          <w:sz w:val="21"/>
          <w:szCs w:val="21"/>
        </w:rPr>
        <w:t xml:space="preserve"> (Voz) diputado Gerardo, </w:t>
      </w:r>
      <w:r>
        <w:rPr>
          <w:rFonts w:ascii="Abadi" w:hAnsi="Abadi"/>
          <w:sz w:val="21"/>
          <w:szCs w:val="21"/>
        </w:rPr>
        <w:t xml:space="preserve">claro que sí, (Voz) diputado Presidente, ¡haber! </w:t>
      </w:r>
      <w:r w:rsidRPr="006813AA">
        <w:rPr>
          <w:rFonts w:ascii="Abadi" w:hAnsi="Abadi"/>
          <w:sz w:val="21"/>
          <w:szCs w:val="21"/>
        </w:rPr>
        <w:t>antes de la postura del diputado Gerardo de aceptar una pregunta</w:t>
      </w:r>
      <w:r>
        <w:rPr>
          <w:rFonts w:ascii="Abadi" w:hAnsi="Abadi"/>
          <w:sz w:val="21"/>
          <w:szCs w:val="21"/>
        </w:rPr>
        <w:t>,</w:t>
      </w:r>
      <w:r w:rsidRPr="006813AA">
        <w:rPr>
          <w:rFonts w:ascii="Abadi" w:hAnsi="Abadi"/>
          <w:sz w:val="21"/>
          <w:szCs w:val="21"/>
        </w:rPr>
        <w:t xml:space="preserve"> cada persona que tiene el </w:t>
      </w:r>
      <w:r>
        <w:rPr>
          <w:rFonts w:ascii="Abadi" w:hAnsi="Abadi"/>
          <w:sz w:val="21"/>
          <w:szCs w:val="21"/>
        </w:rPr>
        <w:t>H</w:t>
      </w:r>
      <w:r w:rsidRPr="006813AA">
        <w:rPr>
          <w:rFonts w:ascii="Abadi" w:hAnsi="Abadi"/>
          <w:sz w:val="21"/>
          <w:szCs w:val="21"/>
        </w:rPr>
        <w:t xml:space="preserve">onor de estar en la </w:t>
      </w:r>
      <w:r>
        <w:rPr>
          <w:rFonts w:ascii="Abadi" w:hAnsi="Abadi"/>
          <w:sz w:val="21"/>
          <w:szCs w:val="21"/>
        </w:rPr>
        <w:t>P</w:t>
      </w:r>
      <w:r w:rsidRPr="006813AA">
        <w:rPr>
          <w:rFonts w:ascii="Abadi" w:hAnsi="Abadi"/>
          <w:sz w:val="21"/>
          <w:szCs w:val="21"/>
        </w:rPr>
        <w:t xml:space="preserve">residencia de la </w:t>
      </w:r>
      <w:r>
        <w:rPr>
          <w:rFonts w:ascii="Abadi" w:hAnsi="Abadi"/>
          <w:sz w:val="21"/>
          <w:szCs w:val="21"/>
        </w:rPr>
        <w:t>M</w:t>
      </w:r>
      <w:r w:rsidRPr="006813AA">
        <w:rPr>
          <w:rFonts w:ascii="Abadi" w:hAnsi="Abadi"/>
          <w:sz w:val="21"/>
          <w:szCs w:val="21"/>
        </w:rPr>
        <w:t xml:space="preserve">esa </w:t>
      </w:r>
      <w:r>
        <w:rPr>
          <w:rFonts w:ascii="Abadi" w:hAnsi="Abadi"/>
          <w:sz w:val="21"/>
          <w:szCs w:val="21"/>
        </w:rPr>
        <w:t>D</w:t>
      </w:r>
      <w:r w:rsidRPr="006813AA">
        <w:rPr>
          <w:rFonts w:ascii="Abadi" w:hAnsi="Abadi"/>
          <w:sz w:val="21"/>
          <w:szCs w:val="21"/>
        </w:rPr>
        <w:t>irectiva</w:t>
      </w:r>
      <w:r>
        <w:rPr>
          <w:rFonts w:ascii="Abadi" w:hAnsi="Abadi"/>
          <w:sz w:val="21"/>
          <w:szCs w:val="21"/>
        </w:rPr>
        <w:t xml:space="preserve">, tiene un estilo y una forma de </w:t>
      </w:r>
      <w:r w:rsidRPr="006813AA">
        <w:rPr>
          <w:rFonts w:ascii="Abadi" w:hAnsi="Abadi"/>
          <w:sz w:val="21"/>
          <w:szCs w:val="21"/>
        </w:rPr>
        <w:t>forma de interpretar la</w:t>
      </w:r>
      <w:r>
        <w:rPr>
          <w:rFonts w:ascii="Abadi" w:hAnsi="Abadi"/>
          <w:sz w:val="21"/>
          <w:szCs w:val="21"/>
        </w:rPr>
        <w:t xml:space="preserve"> L</w:t>
      </w:r>
      <w:r w:rsidRPr="006813AA">
        <w:rPr>
          <w:rFonts w:ascii="Abadi" w:hAnsi="Abadi"/>
          <w:sz w:val="21"/>
          <w:szCs w:val="21"/>
        </w:rPr>
        <w:t xml:space="preserve">ey </w:t>
      </w:r>
      <w:r>
        <w:rPr>
          <w:rFonts w:ascii="Abadi" w:hAnsi="Abadi"/>
          <w:sz w:val="21"/>
          <w:szCs w:val="21"/>
        </w:rPr>
        <w:t>O</w:t>
      </w:r>
      <w:r w:rsidRPr="006813AA">
        <w:rPr>
          <w:rFonts w:ascii="Abadi" w:hAnsi="Abadi"/>
          <w:sz w:val="21"/>
          <w:szCs w:val="21"/>
        </w:rPr>
        <w:t xml:space="preserve">rgánica del </w:t>
      </w:r>
      <w:r>
        <w:rPr>
          <w:rFonts w:ascii="Abadi" w:hAnsi="Abadi"/>
          <w:sz w:val="21"/>
          <w:szCs w:val="21"/>
        </w:rPr>
        <w:t>P</w:t>
      </w:r>
      <w:r w:rsidRPr="006813AA">
        <w:rPr>
          <w:rFonts w:ascii="Abadi" w:hAnsi="Abadi"/>
          <w:sz w:val="21"/>
          <w:szCs w:val="21"/>
        </w:rPr>
        <w:t xml:space="preserve">oder </w:t>
      </w:r>
      <w:r>
        <w:rPr>
          <w:rFonts w:ascii="Abadi" w:hAnsi="Abadi"/>
          <w:sz w:val="21"/>
          <w:szCs w:val="21"/>
        </w:rPr>
        <w:t>L</w:t>
      </w:r>
      <w:r w:rsidRPr="006813AA">
        <w:rPr>
          <w:rFonts w:ascii="Abadi" w:hAnsi="Abadi"/>
          <w:sz w:val="21"/>
          <w:szCs w:val="21"/>
        </w:rPr>
        <w:t xml:space="preserve">egislativo el artículo 152 fracción establece muy claro que </w:t>
      </w:r>
      <w:r>
        <w:rPr>
          <w:rFonts w:ascii="Abadi" w:hAnsi="Abadi"/>
          <w:sz w:val="21"/>
          <w:szCs w:val="21"/>
        </w:rPr>
        <w:t xml:space="preserve"> en asuntos generales</w:t>
      </w:r>
      <w:r w:rsidRPr="006813AA">
        <w:rPr>
          <w:rFonts w:ascii="Abadi" w:hAnsi="Abadi"/>
          <w:sz w:val="21"/>
          <w:szCs w:val="21"/>
        </w:rPr>
        <w:t xml:space="preserve"> no puede haber </w:t>
      </w:r>
      <w:r>
        <w:rPr>
          <w:rFonts w:ascii="Abadi" w:hAnsi="Abadi"/>
          <w:sz w:val="21"/>
          <w:szCs w:val="21"/>
        </w:rPr>
        <w:t xml:space="preserve">interpelación, solamente, </w:t>
      </w:r>
      <w:r w:rsidRPr="006813AA">
        <w:rPr>
          <w:rFonts w:ascii="Abadi" w:hAnsi="Abadi"/>
          <w:sz w:val="21"/>
          <w:szCs w:val="21"/>
        </w:rPr>
        <w:t>para rectificación de hechos</w:t>
      </w:r>
      <w:r>
        <w:rPr>
          <w:rFonts w:ascii="Abadi" w:hAnsi="Abadi"/>
          <w:sz w:val="21"/>
          <w:szCs w:val="21"/>
        </w:rPr>
        <w:t xml:space="preserve"> o alusiones </w:t>
      </w:r>
      <w:r w:rsidRPr="006813AA">
        <w:rPr>
          <w:rFonts w:ascii="Abadi" w:hAnsi="Abadi"/>
          <w:sz w:val="21"/>
          <w:szCs w:val="21"/>
        </w:rPr>
        <w:t>personales</w:t>
      </w:r>
      <w:r>
        <w:rPr>
          <w:rFonts w:ascii="Abadi" w:hAnsi="Abadi"/>
          <w:sz w:val="21"/>
          <w:szCs w:val="21"/>
        </w:rPr>
        <w:t>,</w:t>
      </w:r>
      <w:r w:rsidRPr="006813AA">
        <w:rPr>
          <w:rFonts w:ascii="Abadi" w:hAnsi="Abadi"/>
          <w:sz w:val="21"/>
          <w:szCs w:val="21"/>
        </w:rPr>
        <w:t xml:space="preserve"> me voy a mantener el resto de este </w:t>
      </w:r>
      <w:r>
        <w:rPr>
          <w:rFonts w:ascii="Abadi" w:hAnsi="Abadi"/>
          <w:sz w:val="21"/>
          <w:szCs w:val="21"/>
        </w:rPr>
        <w:t>P</w:t>
      </w:r>
      <w:r w:rsidRPr="006813AA">
        <w:rPr>
          <w:rFonts w:ascii="Abadi" w:hAnsi="Abadi"/>
          <w:sz w:val="21"/>
          <w:szCs w:val="21"/>
        </w:rPr>
        <w:t xml:space="preserve">eriodo </w:t>
      </w:r>
      <w:r>
        <w:rPr>
          <w:rFonts w:ascii="Abadi" w:hAnsi="Abadi"/>
          <w:sz w:val="21"/>
          <w:szCs w:val="21"/>
        </w:rPr>
        <w:t>O</w:t>
      </w:r>
      <w:r w:rsidRPr="006813AA">
        <w:rPr>
          <w:rFonts w:ascii="Abadi" w:hAnsi="Abadi"/>
          <w:sz w:val="21"/>
          <w:szCs w:val="21"/>
        </w:rPr>
        <w:t>rdinario con ese criterio</w:t>
      </w:r>
      <w:r>
        <w:rPr>
          <w:rFonts w:ascii="Abadi" w:hAnsi="Abadi"/>
          <w:sz w:val="21"/>
          <w:szCs w:val="21"/>
        </w:rPr>
        <w:t>,</w:t>
      </w:r>
      <w:r w:rsidRPr="006813AA">
        <w:rPr>
          <w:rFonts w:ascii="Abadi" w:hAnsi="Abadi"/>
          <w:sz w:val="21"/>
          <w:szCs w:val="21"/>
        </w:rPr>
        <w:t xml:space="preserve"> en discusiones habrá interpelación en asuntos generales</w:t>
      </w:r>
      <w:r>
        <w:rPr>
          <w:rFonts w:ascii="Abadi" w:hAnsi="Abadi"/>
          <w:sz w:val="21"/>
          <w:szCs w:val="21"/>
        </w:rPr>
        <w:t>,</w:t>
      </w:r>
      <w:r w:rsidRPr="006813AA">
        <w:rPr>
          <w:rFonts w:ascii="Abadi" w:hAnsi="Abadi"/>
          <w:sz w:val="21"/>
          <w:szCs w:val="21"/>
        </w:rPr>
        <w:t xml:space="preserve"> no la habrá adelante </w:t>
      </w:r>
      <w:r>
        <w:rPr>
          <w:rFonts w:ascii="Abadi" w:hAnsi="Abadi"/>
          <w:sz w:val="21"/>
          <w:szCs w:val="21"/>
        </w:rPr>
        <w:t xml:space="preserve">diputado Gerardo, </w:t>
      </w:r>
      <w:r w:rsidRPr="004D1FBB">
        <w:rPr>
          <w:rFonts w:ascii="Abadi" w:hAnsi="Abadi"/>
          <w:b/>
          <w:bCs/>
          <w:sz w:val="21"/>
          <w:szCs w:val="21"/>
        </w:rPr>
        <w:t>(Voz) diputado Gerardo,</w:t>
      </w:r>
      <w:r>
        <w:rPr>
          <w:rFonts w:ascii="Abadi" w:hAnsi="Abadi"/>
          <w:sz w:val="21"/>
          <w:szCs w:val="21"/>
        </w:rPr>
        <w:t xml:space="preserve"> </w:t>
      </w:r>
      <w:r w:rsidRPr="001B3BA4">
        <w:rPr>
          <w:rFonts w:ascii="Abadi" w:hAnsi="Abadi"/>
          <w:sz w:val="21"/>
          <w:szCs w:val="21"/>
        </w:rPr>
        <w:t>¡bueno!</w:t>
      </w:r>
      <w:r>
        <w:rPr>
          <w:rFonts w:ascii="Abadi" w:hAnsi="Abadi"/>
          <w:b/>
          <w:bCs/>
          <w:sz w:val="21"/>
          <w:szCs w:val="21"/>
        </w:rPr>
        <w:t xml:space="preserve"> </w:t>
      </w:r>
      <w:r w:rsidRPr="006813AA">
        <w:rPr>
          <w:rFonts w:ascii="Abadi" w:hAnsi="Abadi"/>
          <w:sz w:val="21"/>
          <w:szCs w:val="21"/>
        </w:rPr>
        <w:t xml:space="preserve">solamente </w:t>
      </w:r>
      <w:r>
        <w:rPr>
          <w:rFonts w:ascii="Abadi" w:hAnsi="Abadi"/>
          <w:sz w:val="21"/>
          <w:szCs w:val="21"/>
        </w:rPr>
        <w:t xml:space="preserve">voy a tratar de concluir este tema, </w:t>
      </w:r>
      <w:r w:rsidRPr="006813AA">
        <w:rPr>
          <w:rFonts w:ascii="Abadi" w:hAnsi="Abadi"/>
          <w:sz w:val="21"/>
          <w:szCs w:val="21"/>
        </w:rPr>
        <w:t>diciendo que</w:t>
      </w:r>
      <w:r>
        <w:rPr>
          <w:rFonts w:ascii="Abadi" w:hAnsi="Abadi"/>
          <w:sz w:val="21"/>
          <w:szCs w:val="21"/>
        </w:rPr>
        <w:t>,</w:t>
      </w:r>
      <w:r w:rsidRPr="006813AA">
        <w:rPr>
          <w:rFonts w:ascii="Abadi" w:hAnsi="Abadi"/>
          <w:sz w:val="21"/>
          <w:szCs w:val="21"/>
        </w:rPr>
        <w:t xml:space="preserve"> espero que pronto vamos a escuchar todo que a este tema se</w:t>
      </w:r>
      <w:r>
        <w:rPr>
          <w:rFonts w:ascii="Abadi" w:hAnsi="Abadi"/>
          <w:sz w:val="21"/>
          <w:szCs w:val="21"/>
        </w:rPr>
        <w:t>a</w:t>
      </w:r>
      <w:r w:rsidRPr="006813AA">
        <w:rPr>
          <w:rFonts w:ascii="Abadi" w:hAnsi="Abadi"/>
          <w:sz w:val="21"/>
          <w:szCs w:val="21"/>
        </w:rPr>
        <w:t xml:space="preserve"> resuelto de manera positiva para Pedro y encontremos justicia </w:t>
      </w:r>
      <w:r>
        <w:rPr>
          <w:rFonts w:ascii="Abadi" w:hAnsi="Abadi"/>
          <w:sz w:val="21"/>
          <w:szCs w:val="21"/>
        </w:rPr>
        <w:t xml:space="preserve">para Pedro, </w:t>
      </w:r>
      <w:r w:rsidRPr="006813AA">
        <w:rPr>
          <w:rFonts w:ascii="Abadi" w:hAnsi="Abadi"/>
          <w:sz w:val="21"/>
          <w:szCs w:val="21"/>
        </w:rPr>
        <w:t>muchas gracias</w:t>
      </w:r>
      <w:r>
        <w:rPr>
          <w:rFonts w:ascii="Abadi" w:hAnsi="Abadi"/>
          <w:sz w:val="21"/>
          <w:szCs w:val="21"/>
        </w:rPr>
        <w:t xml:space="preserve"> Presidente.</w:t>
      </w:r>
    </w:p>
    <w:p w14:paraId="7891678F" w14:textId="77777777" w:rsidR="003C51DA" w:rsidRPr="006813AA" w:rsidRDefault="003C51DA" w:rsidP="00D15DAB">
      <w:pPr>
        <w:jc w:val="both"/>
        <w:rPr>
          <w:rFonts w:ascii="Abadi" w:hAnsi="Abadi"/>
          <w:sz w:val="21"/>
          <w:szCs w:val="21"/>
        </w:rPr>
      </w:pPr>
    </w:p>
    <w:p w14:paraId="3B8C4388" w14:textId="7D3EC1C5" w:rsidR="00D15DAB" w:rsidRDefault="00D15DAB" w:rsidP="00D15DAB">
      <w:pPr>
        <w:ind w:firstLine="708"/>
        <w:jc w:val="both"/>
        <w:rPr>
          <w:rFonts w:ascii="Abadi" w:hAnsi="Abadi"/>
          <w:sz w:val="21"/>
          <w:szCs w:val="21"/>
        </w:rPr>
      </w:pPr>
      <w:r w:rsidRPr="00A94093">
        <w:rPr>
          <w:rFonts w:ascii="Abadi" w:hAnsi="Abadi"/>
          <w:b/>
          <w:bCs/>
          <w:sz w:val="21"/>
          <w:szCs w:val="21"/>
        </w:rPr>
        <w:t>- El Presidente.-</w:t>
      </w:r>
      <w:r>
        <w:rPr>
          <w:rFonts w:ascii="Abadi" w:hAnsi="Abadi"/>
          <w:sz w:val="21"/>
          <w:szCs w:val="21"/>
        </w:rPr>
        <w:t xml:space="preserve">  ¡G</w:t>
      </w:r>
      <w:r w:rsidRPr="006813AA">
        <w:rPr>
          <w:rFonts w:ascii="Abadi" w:hAnsi="Abadi"/>
          <w:sz w:val="21"/>
          <w:szCs w:val="21"/>
        </w:rPr>
        <w:t>racias</w:t>
      </w:r>
      <w:r>
        <w:rPr>
          <w:rFonts w:ascii="Abadi" w:hAnsi="Abadi"/>
          <w:sz w:val="21"/>
          <w:szCs w:val="21"/>
        </w:rPr>
        <w:t>!</w:t>
      </w:r>
      <w:r w:rsidRPr="006813AA">
        <w:rPr>
          <w:rFonts w:ascii="Abadi" w:hAnsi="Abadi"/>
          <w:sz w:val="21"/>
          <w:szCs w:val="21"/>
        </w:rPr>
        <w:t xml:space="preserve"> </w:t>
      </w:r>
      <w:r>
        <w:rPr>
          <w:rFonts w:ascii="Abadi" w:hAnsi="Abadi"/>
          <w:sz w:val="21"/>
          <w:szCs w:val="21"/>
        </w:rPr>
        <w:t>diputado</w:t>
      </w:r>
      <w:r w:rsidRPr="006813AA">
        <w:rPr>
          <w:rFonts w:ascii="Abadi" w:hAnsi="Abadi"/>
          <w:sz w:val="21"/>
          <w:szCs w:val="21"/>
        </w:rPr>
        <w:t xml:space="preserve"> </w:t>
      </w:r>
      <w:r>
        <w:rPr>
          <w:rFonts w:ascii="Abadi" w:hAnsi="Abadi"/>
          <w:sz w:val="21"/>
          <w:szCs w:val="21"/>
        </w:rPr>
        <w:t>G</w:t>
      </w:r>
      <w:r w:rsidRPr="006813AA">
        <w:rPr>
          <w:rFonts w:ascii="Abadi" w:hAnsi="Abadi"/>
          <w:sz w:val="21"/>
          <w:szCs w:val="21"/>
        </w:rPr>
        <w:t>erardo</w:t>
      </w:r>
      <w:r>
        <w:rPr>
          <w:rFonts w:ascii="Abadi" w:hAnsi="Abadi"/>
          <w:sz w:val="21"/>
          <w:szCs w:val="21"/>
        </w:rPr>
        <w:t>,</w:t>
      </w:r>
      <w:r w:rsidRPr="006813AA">
        <w:rPr>
          <w:rFonts w:ascii="Abadi" w:hAnsi="Abadi"/>
          <w:sz w:val="21"/>
          <w:szCs w:val="21"/>
        </w:rPr>
        <w:t xml:space="preserve"> esperemos que el derecho humano </w:t>
      </w:r>
      <w:r>
        <w:rPr>
          <w:rFonts w:ascii="Abadi" w:hAnsi="Abadi"/>
          <w:sz w:val="21"/>
          <w:szCs w:val="21"/>
        </w:rPr>
        <w:t xml:space="preserve">y el </w:t>
      </w:r>
      <w:r w:rsidRPr="006813AA">
        <w:rPr>
          <w:rFonts w:ascii="Abadi" w:hAnsi="Abadi"/>
          <w:sz w:val="21"/>
          <w:szCs w:val="21"/>
        </w:rPr>
        <w:t>acceso a la justicia sea efectivo para Pedro y ser vigilante</w:t>
      </w:r>
      <w:r>
        <w:rPr>
          <w:rFonts w:ascii="Abadi" w:hAnsi="Abadi"/>
          <w:sz w:val="21"/>
          <w:szCs w:val="21"/>
        </w:rPr>
        <w:t>s</w:t>
      </w:r>
      <w:r w:rsidRPr="006813AA">
        <w:rPr>
          <w:rFonts w:ascii="Abadi" w:hAnsi="Abadi"/>
          <w:sz w:val="21"/>
          <w:szCs w:val="21"/>
        </w:rPr>
        <w:t xml:space="preserve"> de ello</w:t>
      </w:r>
      <w:r>
        <w:rPr>
          <w:rFonts w:ascii="Abadi" w:hAnsi="Abadi"/>
          <w:sz w:val="21"/>
          <w:szCs w:val="21"/>
        </w:rPr>
        <w:t>.</w:t>
      </w:r>
    </w:p>
    <w:p w14:paraId="6B9CA743" w14:textId="77777777" w:rsidR="003C51DA" w:rsidRDefault="003C51DA" w:rsidP="00D15DAB">
      <w:pPr>
        <w:ind w:firstLine="708"/>
        <w:jc w:val="both"/>
        <w:rPr>
          <w:rFonts w:ascii="Abadi" w:hAnsi="Abadi"/>
          <w:sz w:val="21"/>
          <w:szCs w:val="21"/>
        </w:rPr>
      </w:pPr>
    </w:p>
    <w:p w14:paraId="0F07873C" w14:textId="77777777" w:rsidR="00D15DAB" w:rsidRPr="006813AA" w:rsidRDefault="00D15DAB" w:rsidP="00D15DAB">
      <w:pPr>
        <w:ind w:firstLine="708"/>
        <w:jc w:val="both"/>
        <w:rPr>
          <w:rFonts w:ascii="Abadi" w:hAnsi="Abadi"/>
          <w:sz w:val="21"/>
          <w:szCs w:val="21"/>
        </w:rPr>
      </w:pPr>
      <w:r>
        <w:rPr>
          <w:rFonts w:ascii="Abadi" w:hAnsi="Abadi"/>
          <w:sz w:val="21"/>
          <w:szCs w:val="21"/>
        </w:rPr>
        <w:t>- S</w:t>
      </w:r>
      <w:r w:rsidRPr="006813AA">
        <w:rPr>
          <w:rFonts w:ascii="Abadi" w:hAnsi="Abadi"/>
          <w:sz w:val="21"/>
          <w:szCs w:val="21"/>
        </w:rPr>
        <w:t xml:space="preserve">e otorga el </w:t>
      </w:r>
      <w:r>
        <w:rPr>
          <w:rFonts w:ascii="Abadi" w:hAnsi="Abadi"/>
          <w:sz w:val="21"/>
          <w:szCs w:val="21"/>
        </w:rPr>
        <w:t>u</w:t>
      </w:r>
      <w:r w:rsidRPr="006813AA">
        <w:rPr>
          <w:rFonts w:ascii="Abadi" w:hAnsi="Abadi"/>
          <w:sz w:val="21"/>
          <w:szCs w:val="21"/>
        </w:rPr>
        <w:t xml:space="preserve">so de la voz al diputado Javier </w:t>
      </w:r>
      <w:r>
        <w:rPr>
          <w:rFonts w:ascii="Abadi" w:hAnsi="Abadi"/>
          <w:sz w:val="21"/>
          <w:szCs w:val="21"/>
        </w:rPr>
        <w:t>T</w:t>
      </w:r>
      <w:r w:rsidRPr="006813AA">
        <w:rPr>
          <w:rFonts w:ascii="Abadi" w:hAnsi="Abadi"/>
          <w:sz w:val="21"/>
          <w:szCs w:val="21"/>
        </w:rPr>
        <w:t>orres M</w:t>
      </w:r>
      <w:r>
        <w:rPr>
          <w:rFonts w:ascii="Abadi" w:hAnsi="Abadi"/>
          <w:sz w:val="21"/>
          <w:szCs w:val="21"/>
        </w:rPr>
        <w:t>e</w:t>
      </w:r>
      <w:r w:rsidRPr="006813AA">
        <w:rPr>
          <w:rFonts w:ascii="Abadi" w:hAnsi="Abadi"/>
          <w:sz w:val="21"/>
          <w:szCs w:val="21"/>
        </w:rPr>
        <w:t>reles</w:t>
      </w:r>
      <w:r>
        <w:rPr>
          <w:rFonts w:ascii="Abadi" w:hAnsi="Abadi"/>
          <w:sz w:val="21"/>
          <w:szCs w:val="21"/>
        </w:rPr>
        <w:t>,</w:t>
      </w:r>
      <w:r w:rsidRPr="006813AA">
        <w:rPr>
          <w:rFonts w:ascii="Abadi" w:hAnsi="Abadi"/>
          <w:sz w:val="21"/>
          <w:szCs w:val="21"/>
        </w:rPr>
        <w:t xml:space="preserve"> hasta por 10 minutos adelante</w:t>
      </w:r>
      <w:r>
        <w:rPr>
          <w:rFonts w:ascii="Abadi" w:hAnsi="Abadi"/>
          <w:sz w:val="21"/>
          <w:szCs w:val="21"/>
        </w:rPr>
        <w:t xml:space="preserve"> diputado Javier.</w:t>
      </w:r>
    </w:p>
    <w:p w14:paraId="2EDBBF92" w14:textId="77777777" w:rsidR="00D15DAB" w:rsidRPr="006813AA" w:rsidRDefault="00D15DAB" w:rsidP="00D15DAB">
      <w:pPr>
        <w:jc w:val="both"/>
        <w:rPr>
          <w:rFonts w:ascii="Abadi" w:hAnsi="Abadi"/>
          <w:sz w:val="21"/>
          <w:szCs w:val="21"/>
        </w:rPr>
      </w:pPr>
    </w:p>
    <w:p w14:paraId="3F511569" w14:textId="77777777" w:rsidR="00D15DAB" w:rsidRDefault="00D15DAB" w:rsidP="00D15DAB">
      <w:pPr>
        <w:jc w:val="both"/>
        <w:rPr>
          <w:rFonts w:ascii="Abadi" w:hAnsi="Abadi"/>
          <w:b/>
          <w:bCs/>
          <w:sz w:val="21"/>
          <w:szCs w:val="21"/>
        </w:rPr>
      </w:pPr>
      <w:r w:rsidRPr="00E841B6">
        <w:rPr>
          <w:rFonts w:ascii="Abadi" w:hAnsi="Abadi"/>
          <w:b/>
          <w:bCs/>
          <w:sz w:val="21"/>
          <w:szCs w:val="21"/>
        </w:rPr>
        <w:t>(Sube a tribuna el diputado Javier Torres Mereles, para hablar en asuntos de interés general, con el tema: «Día Internacional para la reducción del riesgo de desastre</w:t>
      </w:r>
      <w:r>
        <w:rPr>
          <w:rFonts w:ascii="Abadi" w:hAnsi="Abadi"/>
          <w:b/>
          <w:bCs/>
          <w:sz w:val="21"/>
          <w:szCs w:val="21"/>
        </w:rPr>
        <w:t>s</w:t>
      </w:r>
      <w:r w:rsidRPr="00E841B6">
        <w:rPr>
          <w:rFonts w:ascii="Abadi" w:hAnsi="Abadi"/>
          <w:b/>
          <w:bCs/>
          <w:sz w:val="21"/>
          <w:szCs w:val="21"/>
        </w:rPr>
        <w:t xml:space="preserve">») </w:t>
      </w:r>
    </w:p>
    <w:p w14:paraId="24AF4107" w14:textId="77777777" w:rsidR="00D15DAB" w:rsidRDefault="00D15DAB" w:rsidP="00D15DAB">
      <w:pPr>
        <w:jc w:val="both"/>
        <w:rPr>
          <w:rFonts w:ascii="Abadi" w:hAnsi="Abadi"/>
          <w:b/>
          <w:bCs/>
          <w:sz w:val="21"/>
          <w:szCs w:val="21"/>
        </w:rPr>
      </w:pPr>
    </w:p>
    <w:p w14:paraId="725E61E3" w14:textId="74C6EA8F" w:rsidR="00D15DAB" w:rsidRPr="00E841B6" w:rsidRDefault="00D15DAB" w:rsidP="00D15DAB">
      <w:pPr>
        <w:jc w:val="both"/>
        <w:rPr>
          <w:rFonts w:ascii="Abadi" w:hAnsi="Abadi"/>
          <w:b/>
          <w:bCs/>
          <w:sz w:val="21"/>
          <w:szCs w:val="21"/>
        </w:rPr>
      </w:pPr>
    </w:p>
    <w:p w14:paraId="29DE3215" w14:textId="349120B7" w:rsidR="00D15DAB" w:rsidRDefault="00D15DAB" w:rsidP="00D15DAB">
      <w:pPr>
        <w:jc w:val="both"/>
        <w:rPr>
          <w:rFonts w:ascii="Abadi" w:hAnsi="Abadi"/>
          <w:sz w:val="21"/>
          <w:szCs w:val="21"/>
        </w:rPr>
      </w:pPr>
    </w:p>
    <w:p w14:paraId="4C3429C4" w14:textId="0E21539B" w:rsidR="00D15DAB" w:rsidRDefault="003C51DA" w:rsidP="00D15DAB">
      <w:pPr>
        <w:jc w:val="both"/>
        <w:rPr>
          <w:rFonts w:ascii="Abadi" w:hAnsi="Abadi"/>
          <w:sz w:val="21"/>
          <w:szCs w:val="21"/>
        </w:rPr>
      </w:pPr>
      <w:r>
        <w:rPr>
          <w:noProof/>
        </w:rPr>
        <w:drawing>
          <wp:anchor distT="0" distB="0" distL="114300" distR="114300" simplePos="0" relativeHeight="251720704" behindDoc="1" locked="0" layoutInCell="1" allowOverlap="1" wp14:anchorId="759D1D6E" wp14:editId="45F22388">
            <wp:simplePos x="0" y="0"/>
            <wp:positionH relativeFrom="column">
              <wp:posOffset>664892</wp:posOffset>
            </wp:positionH>
            <wp:positionV relativeFrom="paragraph">
              <wp:posOffset>90241</wp:posOffset>
            </wp:positionV>
            <wp:extent cx="1471345" cy="766563"/>
            <wp:effectExtent l="247650" t="228600" r="243205" b="757555"/>
            <wp:wrapTight wrapText="bothSides">
              <wp:wrapPolygon edited="0">
                <wp:start x="-3636" y="-6442"/>
                <wp:lineTo x="-3636" y="42413"/>
                <wp:lineTo x="24891" y="42413"/>
                <wp:lineTo x="24891" y="30065"/>
                <wp:lineTo x="21255" y="27917"/>
                <wp:lineTo x="20975" y="27917"/>
                <wp:lineTo x="24891" y="25770"/>
                <wp:lineTo x="24891" y="-6442"/>
                <wp:lineTo x="-3636" y="-6442"/>
              </wp:wrapPolygon>
            </wp:wrapTight>
            <wp:docPr id="87" name="Imagen 87" descr="Un hombre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 65" descr="Un hombre con un traje de color negro con letras blancas&#10;&#10;Descripción generada automáticamente con confianza media"/>
                    <pic:cNvPicPr/>
                  </pic:nvPicPr>
                  <pic:blipFill rotWithShape="1">
                    <a:blip r:embed="rId91" cstate="print">
                      <a:extLst>
                        <a:ext uri="{28A0092B-C50C-407E-A947-70E740481C1C}">
                          <a14:useLocalDpi xmlns:a14="http://schemas.microsoft.com/office/drawing/2010/main" val="0"/>
                        </a:ext>
                      </a:extLst>
                    </a:blip>
                    <a:srcRect b="7334"/>
                    <a:stretch/>
                  </pic:blipFill>
                  <pic:spPr bwMode="auto">
                    <a:xfrm>
                      <a:off x="0" y="0"/>
                      <a:ext cx="1471345" cy="766563"/>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083331C1" w14:textId="77777777" w:rsidR="00D15DAB" w:rsidRDefault="00D15DAB" w:rsidP="00D15DAB">
      <w:pPr>
        <w:jc w:val="both"/>
        <w:rPr>
          <w:rFonts w:ascii="Abadi" w:hAnsi="Abadi"/>
          <w:sz w:val="21"/>
          <w:szCs w:val="21"/>
        </w:rPr>
      </w:pPr>
      <w:r>
        <w:rPr>
          <w:rFonts w:ascii="Abadi" w:hAnsi="Abadi"/>
          <w:sz w:val="21"/>
          <w:szCs w:val="21"/>
        </w:rPr>
        <w:t>¡B</w:t>
      </w:r>
      <w:r w:rsidRPr="006813AA">
        <w:rPr>
          <w:rFonts w:ascii="Abadi" w:hAnsi="Abadi"/>
          <w:sz w:val="21"/>
          <w:szCs w:val="21"/>
        </w:rPr>
        <w:t>uenas tardes</w:t>
      </w:r>
      <w:r>
        <w:rPr>
          <w:rFonts w:ascii="Abadi" w:hAnsi="Abadi"/>
          <w:sz w:val="21"/>
          <w:szCs w:val="21"/>
        </w:rPr>
        <w:t>!</w:t>
      </w:r>
      <w:r w:rsidRPr="006813AA">
        <w:rPr>
          <w:rFonts w:ascii="Abadi" w:hAnsi="Abadi"/>
          <w:sz w:val="21"/>
          <w:szCs w:val="21"/>
        </w:rPr>
        <w:t xml:space="preserve"> </w:t>
      </w:r>
      <w:r>
        <w:rPr>
          <w:rFonts w:ascii="Abadi" w:hAnsi="Abadi"/>
          <w:sz w:val="21"/>
          <w:szCs w:val="21"/>
        </w:rPr>
        <w:t xml:space="preserve">A todas y todos, </w:t>
      </w:r>
      <w:r w:rsidRPr="006813AA">
        <w:rPr>
          <w:rFonts w:ascii="Abadi" w:hAnsi="Abadi"/>
          <w:sz w:val="21"/>
          <w:szCs w:val="21"/>
        </w:rPr>
        <w:t>seré breve lo prometo</w:t>
      </w:r>
      <w:r>
        <w:rPr>
          <w:rFonts w:ascii="Abadi" w:hAnsi="Abadi"/>
          <w:sz w:val="21"/>
          <w:szCs w:val="21"/>
        </w:rPr>
        <w:t>,</w:t>
      </w:r>
      <w:r w:rsidRPr="006813AA">
        <w:rPr>
          <w:rFonts w:ascii="Abadi" w:hAnsi="Abadi"/>
          <w:sz w:val="21"/>
          <w:szCs w:val="21"/>
        </w:rPr>
        <w:t xml:space="preserve"> con el permiso de las</w:t>
      </w:r>
      <w:r>
        <w:rPr>
          <w:rFonts w:ascii="Abadi" w:hAnsi="Abadi"/>
          <w:sz w:val="21"/>
          <w:szCs w:val="21"/>
        </w:rPr>
        <w:t xml:space="preserve"> y</w:t>
      </w:r>
      <w:r w:rsidRPr="006813AA">
        <w:rPr>
          <w:rFonts w:ascii="Abadi" w:hAnsi="Abadi"/>
          <w:sz w:val="21"/>
          <w:szCs w:val="21"/>
        </w:rPr>
        <w:t xml:space="preserve"> los integrantes de la </w:t>
      </w:r>
      <w:r>
        <w:rPr>
          <w:rFonts w:ascii="Abadi" w:hAnsi="Abadi"/>
          <w:sz w:val="21"/>
          <w:szCs w:val="21"/>
        </w:rPr>
        <w:t>M</w:t>
      </w:r>
      <w:r w:rsidRPr="006813AA">
        <w:rPr>
          <w:rFonts w:ascii="Abadi" w:hAnsi="Abadi"/>
          <w:sz w:val="21"/>
          <w:szCs w:val="21"/>
        </w:rPr>
        <w:t xml:space="preserve">esa </w:t>
      </w:r>
      <w:r>
        <w:rPr>
          <w:rFonts w:ascii="Abadi" w:hAnsi="Abadi"/>
          <w:sz w:val="21"/>
          <w:szCs w:val="21"/>
        </w:rPr>
        <w:t>D</w:t>
      </w:r>
      <w:r w:rsidRPr="006813AA">
        <w:rPr>
          <w:rFonts w:ascii="Abadi" w:hAnsi="Abadi"/>
          <w:sz w:val="21"/>
          <w:szCs w:val="21"/>
        </w:rPr>
        <w:t xml:space="preserve">irectiva con </w:t>
      </w:r>
      <w:r>
        <w:rPr>
          <w:rFonts w:ascii="Abadi" w:hAnsi="Abadi"/>
          <w:sz w:val="21"/>
          <w:szCs w:val="21"/>
        </w:rPr>
        <w:t xml:space="preserve">su </w:t>
      </w:r>
      <w:r w:rsidRPr="006813AA">
        <w:rPr>
          <w:rFonts w:ascii="Abadi" w:hAnsi="Abadi"/>
          <w:sz w:val="21"/>
          <w:szCs w:val="21"/>
        </w:rPr>
        <w:t>permiso Presidente saludó a las compañeras y compañeros diputados a las ciudadanas</w:t>
      </w:r>
      <w:r>
        <w:rPr>
          <w:rFonts w:ascii="Abadi" w:hAnsi="Abadi"/>
          <w:sz w:val="21"/>
          <w:szCs w:val="21"/>
        </w:rPr>
        <w:t xml:space="preserve">, </w:t>
      </w:r>
      <w:r w:rsidRPr="006813AA">
        <w:rPr>
          <w:rFonts w:ascii="Abadi" w:hAnsi="Abadi"/>
          <w:sz w:val="21"/>
          <w:szCs w:val="21"/>
        </w:rPr>
        <w:t>ciudadanos presentes aún</w:t>
      </w:r>
      <w:r>
        <w:rPr>
          <w:rFonts w:ascii="Abadi" w:hAnsi="Abadi"/>
          <w:sz w:val="21"/>
          <w:szCs w:val="21"/>
        </w:rPr>
        <w:t>,</w:t>
      </w:r>
      <w:r w:rsidRPr="006813AA">
        <w:rPr>
          <w:rFonts w:ascii="Abadi" w:hAnsi="Abadi"/>
          <w:sz w:val="21"/>
          <w:szCs w:val="21"/>
        </w:rPr>
        <w:t xml:space="preserve"> a los medios de comunicación también presentes y a quienes siguen la transmisión por medio</w:t>
      </w:r>
      <w:r>
        <w:rPr>
          <w:rFonts w:ascii="Abadi" w:hAnsi="Abadi"/>
          <w:sz w:val="21"/>
          <w:szCs w:val="21"/>
        </w:rPr>
        <w:t>s electrónicos.</w:t>
      </w:r>
    </w:p>
    <w:p w14:paraId="2F085BA8" w14:textId="77777777" w:rsidR="00D15DAB" w:rsidRDefault="00D15DAB" w:rsidP="00D15DAB">
      <w:pPr>
        <w:jc w:val="both"/>
        <w:rPr>
          <w:rFonts w:ascii="Abadi" w:hAnsi="Abadi"/>
          <w:sz w:val="21"/>
          <w:szCs w:val="21"/>
        </w:rPr>
      </w:pPr>
      <w:r>
        <w:rPr>
          <w:rFonts w:ascii="Abadi" w:hAnsi="Abadi"/>
          <w:sz w:val="21"/>
          <w:szCs w:val="21"/>
        </w:rPr>
        <w:t>- Trece de octubre hoy, «Día</w:t>
      </w:r>
      <w:r w:rsidRPr="00D762D7">
        <w:rPr>
          <w:rFonts w:ascii="Abadi" w:hAnsi="Abadi"/>
          <w:sz w:val="21"/>
          <w:szCs w:val="21"/>
        </w:rPr>
        <w:t xml:space="preserve"> </w:t>
      </w:r>
      <w:r>
        <w:rPr>
          <w:rFonts w:ascii="Abadi" w:hAnsi="Abadi"/>
          <w:sz w:val="21"/>
          <w:szCs w:val="21"/>
        </w:rPr>
        <w:t>I</w:t>
      </w:r>
      <w:r w:rsidRPr="00D762D7">
        <w:rPr>
          <w:rFonts w:ascii="Abadi" w:hAnsi="Abadi"/>
          <w:sz w:val="21"/>
          <w:szCs w:val="21"/>
        </w:rPr>
        <w:t>nternaciona</w:t>
      </w:r>
      <w:r>
        <w:rPr>
          <w:rFonts w:ascii="Abadi" w:hAnsi="Abadi"/>
          <w:sz w:val="21"/>
          <w:szCs w:val="21"/>
        </w:rPr>
        <w:t>l</w:t>
      </w:r>
      <w:r w:rsidRPr="00D762D7">
        <w:rPr>
          <w:rFonts w:ascii="Abadi" w:hAnsi="Abadi"/>
          <w:sz w:val="21"/>
          <w:szCs w:val="21"/>
        </w:rPr>
        <w:t xml:space="preserve"> para la reducción del riesgo de desastre</w:t>
      </w:r>
      <w:r>
        <w:rPr>
          <w:rFonts w:ascii="Abadi" w:hAnsi="Abadi"/>
          <w:sz w:val="21"/>
          <w:szCs w:val="21"/>
        </w:rPr>
        <w:t xml:space="preserve">s» </w:t>
      </w:r>
      <w:r w:rsidRPr="006813AA">
        <w:rPr>
          <w:rFonts w:ascii="Abadi" w:hAnsi="Abadi"/>
          <w:sz w:val="21"/>
          <w:szCs w:val="21"/>
        </w:rPr>
        <w:t xml:space="preserve">la </w:t>
      </w:r>
      <w:r>
        <w:rPr>
          <w:rFonts w:ascii="Abadi" w:hAnsi="Abadi"/>
          <w:sz w:val="21"/>
          <w:szCs w:val="21"/>
        </w:rPr>
        <w:t>A</w:t>
      </w:r>
      <w:r w:rsidRPr="006813AA">
        <w:rPr>
          <w:rFonts w:ascii="Abadi" w:hAnsi="Abadi"/>
          <w:sz w:val="21"/>
          <w:szCs w:val="21"/>
        </w:rPr>
        <w:t xml:space="preserve">samblea </w:t>
      </w:r>
      <w:r>
        <w:rPr>
          <w:rFonts w:ascii="Abadi" w:hAnsi="Abadi"/>
          <w:sz w:val="21"/>
          <w:szCs w:val="21"/>
        </w:rPr>
        <w:t>G</w:t>
      </w:r>
      <w:r w:rsidRPr="006813AA">
        <w:rPr>
          <w:rFonts w:ascii="Abadi" w:hAnsi="Abadi"/>
          <w:sz w:val="21"/>
          <w:szCs w:val="21"/>
        </w:rPr>
        <w:t xml:space="preserve">eneral de la </w:t>
      </w:r>
      <w:r>
        <w:rPr>
          <w:rFonts w:ascii="Abadi" w:hAnsi="Abadi"/>
          <w:sz w:val="21"/>
          <w:szCs w:val="21"/>
        </w:rPr>
        <w:t>ONU</w:t>
      </w:r>
      <w:r w:rsidRPr="006813AA">
        <w:rPr>
          <w:rFonts w:ascii="Abadi" w:hAnsi="Abadi"/>
          <w:sz w:val="21"/>
          <w:szCs w:val="21"/>
        </w:rPr>
        <w:t xml:space="preserve"> decidió designarlo como un propósito que es el de representar una oportunidad para reconocer los avances logrados hacia la prevención y la reducción de los riesgos de desastres y las pérdidas de vida</w:t>
      </w:r>
      <w:r>
        <w:rPr>
          <w:rFonts w:ascii="Abadi" w:hAnsi="Abadi"/>
          <w:sz w:val="21"/>
          <w:szCs w:val="21"/>
        </w:rPr>
        <w:t>,</w:t>
      </w:r>
      <w:r w:rsidRPr="006813AA">
        <w:rPr>
          <w:rFonts w:ascii="Abadi" w:hAnsi="Abadi"/>
          <w:sz w:val="21"/>
          <w:szCs w:val="21"/>
        </w:rPr>
        <w:t xml:space="preserve"> medios de sustentos</w:t>
      </w:r>
      <w:r>
        <w:rPr>
          <w:rFonts w:ascii="Abadi" w:hAnsi="Abadi"/>
          <w:sz w:val="21"/>
          <w:szCs w:val="21"/>
        </w:rPr>
        <w:t>,</w:t>
      </w:r>
      <w:r w:rsidRPr="006813AA">
        <w:rPr>
          <w:rFonts w:ascii="Abadi" w:hAnsi="Abadi"/>
          <w:sz w:val="21"/>
          <w:szCs w:val="21"/>
        </w:rPr>
        <w:t xml:space="preserve"> economías e infraestructura</w:t>
      </w:r>
      <w:r>
        <w:rPr>
          <w:rFonts w:ascii="Abadi" w:hAnsi="Abadi"/>
          <w:sz w:val="21"/>
          <w:szCs w:val="21"/>
        </w:rPr>
        <w:t xml:space="preserve"> básica.</w:t>
      </w:r>
    </w:p>
    <w:p w14:paraId="6EB10BC1" w14:textId="2F912B44" w:rsidR="00D15DAB" w:rsidRDefault="00D15DAB" w:rsidP="00D15DAB">
      <w:pPr>
        <w:jc w:val="both"/>
        <w:rPr>
          <w:rFonts w:ascii="Abadi" w:hAnsi="Abadi"/>
          <w:sz w:val="21"/>
          <w:szCs w:val="21"/>
        </w:rPr>
      </w:pPr>
      <w:r>
        <w:rPr>
          <w:rFonts w:ascii="Abadi" w:hAnsi="Abadi"/>
          <w:sz w:val="21"/>
          <w:szCs w:val="21"/>
        </w:rPr>
        <w:t xml:space="preserve">- De conformidad con </w:t>
      </w:r>
      <w:r w:rsidRPr="006813AA">
        <w:rPr>
          <w:rFonts w:ascii="Abadi" w:hAnsi="Abadi"/>
          <w:sz w:val="21"/>
          <w:szCs w:val="21"/>
        </w:rPr>
        <w:t>el acuerdo internacional para reducir el riesgo de desastres y las pérdidas glo</w:t>
      </w:r>
      <w:r>
        <w:rPr>
          <w:rFonts w:ascii="Abadi" w:hAnsi="Abadi"/>
          <w:sz w:val="21"/>
          <w:szCs w:val="21"/>
        </w:rPr>
        <w:t>bales</w:t>
      </w:r>
      <w:r w:rsidRPr="006813AA">
        <w:rPr>
          <w:rFonts w:ascii="Abadi" w:hAnsi="Abadi"/>
          <w:sz w:val="21"/>
          <w:szCs w:val="21"/>
        </w:rPr>
        <w:t xml:space="preserve"> los efectos de los desastres son más devastadores en el ámbito local los gobiernos municipales y regionales deben trabajar urgentemente en la preparación y respuesta a las catástrofes</w:t>
      </w:r>
      <w:r>
        <w:rPr>
          <w:rFonts w:ascii="Abadi" w:hAnsi="Abadi"/>
          <w:sz w:val="21"/>
          <w:szCs w:val="21"/>
        </w:rPr>
        <w:t>.</w:t>
      </w:r>
    </w:p>
    <w:p w14:paraId="6F358DE4" w14:textId="77777777" w:rsidR="003C51DA" w:rsidRDefault="003C51DA" w:rsidP="00D15DAB">
      <w:pPr>
        <w:jc w:val="both"/>
        <w:rPr>
          <w:rFonts w:ascii="Abadi" w:hAnsi="Abadi"/>
          <w:sz w:val="21"/>
          <w:szCs w:val="21"/>
        </w:rPr>
      </w:pPr>
    </w:p>
    <w:p w14:paraId="191CCF25" w14:textId="74915AE3" w:rsidR="00D15DAB" w:rsidRDefault="00D15DAB" w:rsidP="00D15DAB">
      <w:pPr>
        <w:jc w:val="both"/>
        <w:rPr>
          <w:rFonts w:ascii="Abadi" w:hAnsi="Abadi"/>
          <w:sz w:val="21"/>
          <w:szCs w:val="21"/>
        </w:rPr>
      </w:pPr>
      <w:r>
        <w:rPr>
          <w:rFonts w:ascii="Abadi" w:hAnsi="Abadi"/>
          <w:sz w:val="21"/>
          <w:szCs w:val="21"/>
        </w:rPr>
        <w:t>- D</w:t>
      </w:r>
      <w:r w:rsidRPr="006813AA">
        <w:rPr>
          <w:rFonts w:ascii="Abadi" w:hAnsi="Abadi"/>
          <w:sz w:val="21"/>
          <w:szCs w:val="21"/>
        </w:rPr>
        <w:t>el registro de los últimos 50 años se da cuenta de 2</w:t>
      </w:r>
      <w:r>
        <w:rPr>
          <w:rFonts w:ascii="Abadi" w:hAnsi="Abadi"/>
          <w:sz w:val="21"/>
          <w:szCs w:val="21"/>
        </w:rPr>
        <w:t xml:space="preserve"> millones </w:t>
      </w:r>
      <w:r w:rsidRPr="006813AA">
        <w:rPr>
          <w:rFonts w:ascii="Abadi" w:hAnsi="Abadi"/>
          <w:sz w:val="21"/>
          <w:szCs w:val="21"/>
        </w:rPr>
        <w:t>64</w:t>
      </w:r>
      <w:r>
        <w:rPr>
          <w:rFonts w:ascii="Abadi" w:hAnsi="Abadi"/>
          <w:sz w:val="21"/>
          <w:szCs w:val="21"/>
        </w:rPr>
        <w:t xml:space="preserve"> mil 929 novecientos veinte mil, </w:t>
      </w:r>
      <w:r w:rsidRPr="006813AA">
        <w:rPr>
          <w:rFonts w:ascii="Abadi" w:hAnsi="Abadi"/>
          <w:sz w:val="21"/>
          <w:szCs w:val="21"/>
        </w:rPr>
        <w:t>fallecimientos y 3.6 trillones de dólares en pérdidas en todo el mundo</w:t>
      </w:r>
      <w:r>
        <w:rPr>
          <w:rFonts w:ascii="Abadi" w:hAnsi="Abadi"/>
          <w:sz w:val="21"/>
          <w:szCs w:val="21"/>
        </w:rPr>
        <w:t>,</w:t>
      </w:r>
      <w:r w:rsidRPr="006813AA">
        <w:rPr>
          <w:rFonts w:ascii="Abadi" w:hAnsi="Abadi"/>
          <w:sz w:val="21"/>
          <w:szCs w:val="21"/>
        </w:rPr>
        <w:t xml:space="preserve"> es por ello la importancia de que en guanajuato debemos hablar de justicia climática </w:t>
      </w:r>
      <w:r>
        <w:rPr>
          <w:rFonts w:ascii="Abadi" w:hAnsi="Abadi"/>
          <w:sz w:val="21"/>
          <w:szCs w:val="21"/>
        </w:rPr>
        <w:t>A</w:t>
      </w:r>
      <w:r w:rsidRPr="006813AA">
        <w:rPr>
          <w:rFonts w:ascii="Abadi" w:hAnsi="Abadi"/>
          <w:sz w:val="21"/>
          <w:szCs w:val="21"/>
        </w:rPr>
        <w:t xml:space="preserve">cción </w:t>
      </w:r>
      <w:r>
        <w:rPr>
          <w:rFonts w:ascii="Abadi" w:hAnsi="Abadi"/>
          <w:sz w:val="21"/>
          <w:szCs w:val="21"/>
        </w:rPr>
        <w:t>N</w:t>
      </w:r>
      <w:r w:rsidRPr="006813AA">
        <w:rPr>
          <w:rFonts w:ascii="Abadi" w:hAnsi="Abadi"/>
          <w:sz w:val="21"/>
          <w:szCs w:val="21"/>
        </w:rPr>
        <w:t>acional ha demostrado tener compromiso con el presente y futuro para las próximas generaciones</w:t>
      </w:r>
      <w:r>
        <w:rPr>
          <w:rFonts w:ascii="Abadi" w:hAnsi="Abadi"/>
          <w:sz w:val="21"/>
          <w:szCs w:val="21"/>
        </w:rPr>
        <w:t>.</w:t>
      </w:r>
    </w:p>
    <w:p w14:paraId="0758A86F" w14:textId="77777777" w:rsidR="003C51DA" w:rsidRDefault="003C51DA" w:rsidP="00D15DAB">
      <w:pPr>
        <w:jc w:val="both"/>
        <w:rPr>
          <w:rFonts w:ascii="Abadi" w:hAnsi="Abadi"/>
          <w:sz w:val="21"/>
          <w:szCs w:val="21"/>
        </w:rPr>
      </w:pPr>
    </w:p>
    <w:p w14:paraId="014384CE" w14:textId="6F426870" w:rsidR="00D15DAB" w:rsidRDefault="00D15DAB" w:rsidP="00D15DAB">
      <w:pPr>
        <w:jc w:val="both"/>
        <w:rPr>
          <w:rFonts w:ascii="Abadi" w:hAnsi="Abadi"/>
          <w:sz w:val="21"/>
          <w:szCs w:val="21"/>
        </w:rPr>
      </w:pPr>
      <w:r>
        <w:rPr>
          <w:rFonts w:ascii="Abadi" w:hAnsi="Abadi"/>
          <w:sz w:val="21"/>
          <w:szCs w:val="21"/>
        </w:rPr>
        <w:t>- H</w:t>
      </w:r>
      <w:r w:rsidRPr="006813AA">
        <w:rPr>
          <w:rFonts w:ascii="Abadi" w:hAnsi="Abadi"/>
          <w:sz w:val="21"/>
          <w:szCs w:val="21"/>
        </w:rPr>
        <w:t xml:space="preserve">oy la agenda verde global en guanajuato es de </w:t>
      </w:r>
      <w:r>
        <w:rPr>
          <w:rFonts w:ascii="Abadi" w:hAnsi="Abadi"/>
          <w:sz w:val="21"/>
          <w:szCs w:val="21"/>
        </w:rPr>
        <w:t>A</w:t>
      </w:r>
      <w:r w:rsidRPr="006813AA">
        <w:rPr>
          <w:rFonts w:ascii="Abadi" w:hAnsi="Abadi"/>
          <w:sz w:val="21"/>
          <w:szCs w:val="21"/>
        </w:rPr>
        <w:t xml:space="preserve">cción </w:t>
      </w:r>
      <w:r>
        <w:rPr>
          <w:rFonts w:ascii="Abadi" w:hAnsi="Abadi"/>
          <w:sz w:val="21"/>
          <w:szCs w:val="21"/>
        </w:rPr>
        <w:t>N</w:t>
      </w:r>
      <w:r w:rsidRPr="006813AA">
        <w:rPr>
          <w:rFonts w:ascii="Abadi" w:hAnsi="Abadi"/>
          <w:sz w:val="21"/>
          <w:szCs w:val="21"/>
        </w:rPr>
        <w:t>acional</w:t>
      </w:r>
      <w:r>
        <w:rPr>
          <w:rFonts w:ascii="Abadi" w:hAnsi="Abadi"/>
          <w:sz w:val="21"/>
          <w:szCs w:val="21"/>
        </w:rPr>
        <w:t>,</w:t>
      </w:r>
      <w:r w:rsidRPr="006813AA">
        <w:rPr>
          <w:rFonts w:ascii="Abadi" w:hAnsi="Abadi"/>
          <w:sz w:val="21"/>
          <w:szCs w:val="21"/>
        </w:rPr>
        <w:t xml:space="preserve"> gracias</w:t>
      </w:r>
      <w:r>
        <w:rPr>
          <w:rFonts w:ascii="Abadi" w:hAnsi="Abadi"/>
          <w:sz w:val="21"/>
          <w:szCs w:val="21"/>
        </w:rPr>
        <w:t>,</w:t>
      </w:r>
      <w:r w:rsidRPr="006813AA">
        <w:rPr>
          <w:rFonts w:ascii="Abadi" w:hAnsi="Abadi"/>
          <w:sz w:val="21"/>
          <w:szCs w:val="21"/>
        </w:rPr>
        <w:t xml:space="preserve"> </w:t>
      </w:r>
      <w:r>
        <w:rPr>
          <w:rFonts w:ascii="Abadi" w:hAnsi="Abadi"/>
          <w:sz w:val="21"/>
          <w:szCs w:val="21"/>
        </w:rPr>
        <w:t>es cuanto Señor Presidente.</w:t>
      </w:r>
    </w:p>
    <w:p w14:paraId="61AD80C7" w14:textId="77777777" w:rsidR="003C51DA" w:rsidRDefault="003C51DA" w:rsidP="00D15DAB">
      <w:pPr>
        <w:jc w:val="both"/>
        <w:rPr>
          <w:rFonts w:ascii="Abadi" w:hAnsi="Abadi"/>
          <w:sz w:val="21"/>
          <w:szCs w:val="21"/>
        </w:rPr>
      </w:pPr>
    </w:p>
    <w:p w14:paraId="164A7575" w14:textId="5832484E" w:rsidR="00D15DAB" w:rsidRDefault="00D15DAB" w:rsidP="00D15DAB">
      <w:pPr>
        <w:ind w:firstLine="708"/>
        <w:jc w:val="both"/>
        <w:rPr>
          <w:rFonts w:ascii="Abadi" w:hAnsi="Abadi"/>
          <w:sz w:val="21"/>
          <w:szCs w:val="21"/>
        </w:rPr>
      </w:pPr>
      <w:r w:rsidRPr="00884CA6">
        <w:rPr>
          <w:rFonts w:ascii="Abadi" w:hAnsi="Abadi"/>
          <w:b/>
          <w:bCs/>
          <w:sz w:val="21"/>
          <w:szCs w:val="21"/>
        </w:rPr>
        <w:t>- El Presidente.-</w:t>
      </w:r>
      <w:r>
        <w:rPr>
          <w:rFonts w:ascii="Abadi" w:hAnsi="Abadi"/>
          <w:sz w:val="21"/>
          <w:szCs w:val="21"/>
        </w:rPr>
        <w:t xml:space="preserve"> ¡Gracias! diputado.</w:t>
      </w:r>
    </w:p>
    <w:p w14:paraId="1C0CB566" w14:textId="77777777" w:rsidR="003C51DA" w:rsidRDefault="003C51DA" w:rsidP="00D15DAB">
      <w:pPr>
        <w:ind w:firstLine="708"/>
        <w:jc w:val="both"/>
        <w:rPr>
          <w:rFonts w:ascii="Abadi" w:hAnsi="Abadi"/>
          <w:sz w:val="21"/>
          <w:szCs w:val="21"/>
        </w:rPr>
      </w:pPr>
    </w:p>
    <w:p w14:paraId="4188B9D6" w14:textId="2E97D476" w:rsidR="00D15DAB" w:rsidRDefault="00D15DAB" w:rsidP="00D15DAB">
      <w:pPr>
        <w:ind w:firstLine="708"/>
        <w:jc w:val="both"/>
        <w:rPr>
          <w:rFonts w:ascii="Abadi" w:hAnsi="Abadi"/>
          <w:sz w:val="21"/>
          <w:szCs w:val="21"/>
        </w:rPr>
      </w:pPr>
      <w:r w:rsidRPr="0009261F">
        <w:rPr>
          <w:rFonts w:ascii="Abadi" w:hAnsi="Abadi"/>
          <w:b/>
          <w:bCs/>
          <w:sz w:val="21"/>
          <w:szCs w:val="21"/>
        </w:rPr>
        <w:t>- El Presidente.-</w:t>
      </w:r>
      <w:r>
        <w:rPr>
          <w:rFonts w:ascii="Abadi" w:hAnsi="Abadi"/>
          <w:sz w:val="21"/>
          <w:szCs w:val="21"/>
        </w:rPr>
        <w:t xml:space="preserve"> Señor Presidente me permito </w:t>
      </w:r>
      <w:r w:rsidRPr="006813AA">
        <w:rPr>
          <w:rFonts w:ascii="Abadi" w:hAnsi="Abadi"/>
          <w:sz w:val="21"/>
          <w:szCs w:val="21"/>
        </w:rPr>
        <w:t>informarle que se han agotado los asuntos listados en el orden del día</w:t>
      </w:r>
      <w:r>
        <w:rPr>
          <w:rFonts w:ascii="Abadi" w:hAnsi="Abadi"/>
          <w:sz w:val="21"/>
          <w:szCs w:val="21"/>
        </w:rPr>
        <w:t>.</w:t>
      </w:r>
    </w:p>
    <w:p w14:paraId="11BE7482" w14:textId="77777777" w:rsidR="003C51DA" w:rsidRDefault="003C51DA" w:rsidP="00D15DAB">
      <w:pPr>
        <w:ind w:firstLine="708"/>
        <w:jc w:val="both"/>
        <w:rPr>
          <w:rFonts w:ascii="Abadi" w:hAnsi="Abadi"/>
          <w:sz w:val="21"/>
          <w:szCs w:val="21"/>
        </w:rPr>
      </w:pPr>
    </w:p>
    <w:p w14:paraId="354E0BCA" w14:textId="52885732" w:rsidR="00D15DAB" w:rsidRDefault="00D15DAB" w:rsidP="00D15DAB">
      <w:pPr>
        <w:ind w:firstLine="708"/>
        <w:jc w:val="both"/>
        <w:rPr>
          <w:rFonts w:ascii="Abadi" w:hAnsi="Abadi"/>
          <w:sz w:val="21"/>
          <w:szCs w:val="21"/>
        </w:rPr>
      </w:pPr>
      <w:r>
        <w:rPr>
          <w:rFonts w:ascii="Abadi" w:hAnsi="Abadi"/>
          <w:sz w:val="21"/>
          <w:szCs w:val="21"/>
        </w:rPr>
        <w:t>- A</w:t>
      </w:r>
      <w:r w:rsidRPr="006813AA">
        <w:rPr>
          <w:rFonts w:ascii="Abadi" w:hAnsi="Abadi"/>
          <w:sz w:val="21"/>
          <w:szCs w:val="21"/>
        </w:rPr>
        <w:t xml:space="preserve">simismo le informó que la asistencia a la presente </w:t>
      </w:r>
      <w:r>
        <w:rPr>
          <w:rFonts w:ascii="Abadi" w:hAnsi="Abadi"/>
          <w:sz w:val="21"/>
          <w:szCs w:val="21"/>
        </w:rPr>
        <w:t>S</w:t>
      </w:r>
      <w:r w:rsidRPr="006813AA">
        <w:rPr>
          <w:rFonts w:ascii="Abadi" w:hAnsi="Abadi"/>
          <w:sz w:val="21"/>
          <w:szCs w:val="21"/>
        </w:rPr>
        <w:t xml:space="preserve">esión fue de 35 diputadas y diputados así también le informó que se registró la inasistencia del diputado Ernesto Alejandro </w:t>
      </w:r>
      <w:r>
        <w:rPr>
          <w:rFonts w:ascii="Abadi" w:hAnsi="Abadi"/>
          <w:sz w:val="21"/>
          <w:szCs w:val="21"/>
        </w:rPr>
        <w:t>P</w:t>
      </w:r>
      <w:r w:rsidRPr="006813AA">
        <w:rPr>
          <w:rFonts w:ascii="Abadi" w:hAnsi="Abadi"/>
          <w:sz w:val="21"/>
          <w:szCs w:val="21"/>
        </w:rPr>
        <w:t>rieto</w:t>
      </w:r>
      <w:r>
        <w:rPr>
          <w:rFonts w:ascii="Abadi" w:hAnsi="Abadi"/>
          <w:sz w:val="21"/>
          <w:szCs w:val="21"/>
        </w:rPr>
        <w:t xml:space="preserve"> G</w:t>
      </w:r>
      <w:r w:rsidRPr="006813AA">
        <w:rPr>
          <w:rFonts w:ascii="Abadi" w:hAnsi="Abadi"/>
          <w:sz w:val="21"/>
          <w:szCs w:val="21"/>
        </w:rPr>
        <w:t>allardo justificada en su momento por la presidencia y que se retiraron la diputada</w:t>
      </w:r>
      <w:r>
        <w:rPr>
          <w:rFonts w:ascii="Abadi" w:hAnsi="Abadi"/>
          <w:sz w:val="21"/>
          <w:szCs w:val="21"/>
        </w:rPr>
        <w:t xml:space="preserve"> H</w:t>
      </w:r>
      <w:r w:rsidRPr="006813AA">
        <w:rPr>
          <w:rFonts w:ascii="Abadi" w:hAnsi="Abadi"/>
          <w:sz w:val="21"/>
          <w:szCs w:val="21"/>
        </w:rPr>
        <w:t xml:space="preserve">ades </w:t>
      </w:r>
      <w:r>
        <w:rPr>
          <w:rFonts w:ascii="Abadi" w:hAnsi="Abadi"/>
          <w:sz w:val="21"/>
          <w:szCs w:val="21"/>
        </w:rPr>
        <w:t>B</w:t>
      </w:r>
      <w:r w:rsidRPr="006813AA">
        <w:rPr>
          <w:rFonts w:ascii="Abadi" w:hAnsi="Abadi"/>
          <w:sz w:val="21"/>
          <w:szCs w:val="21"/>
        </w:rPr>
        <w:t xml:space="preserve">erenice </w:t>
      </w:r>
      <w:r>
        <w:rPr>
          <w:rFonts w:ascii="Abadi" w:hAnsi="Abadi"/>
          <w:sz w:val="21"/>
          <w:szCs w:val="21"/>
        </w:rPr>
        <w:t>A</w:t>
      </w:r>
      <w:r w:rsidRPr="006813AA">
        <w:rPr>
          <w:rFonts w:ascii="Abadi" w:hAnsi="Abadi"/>
          <w:sz w:val="21"/>
          <w:szCs w:val="21"/>
        </w:rPr>
        <w:t xml:space="preserve">guilar </w:t>
      </w:r>
      <w:r>
        <w:rPr>
          <w:rFonts w:ascii="Abadi" w:hAnsi="Abadi"/>
          <w:sz w:val="21"/>
          <w:szCs w:val="21"/>
        </w:rPr>
        <w:t>C</w:t>
      </w:r>
      <w:r w:rsidRPr="006813AA">
        <w:rPr>
          <w:rFonts w:ascii="Abadi" w:hAnsi="Abadi"/>
          <w:sz w:val="21"/>
          <w:szCs w:val="21"/>
        </w:rPr>
        <w:t xml:space="preserve">astillo y el diputado </w:t>
      </w:r>
      <w:r>
        <w:rPr>
          <w:rFonts w:ascii="Abadi" w:hAnsi="Abadi"/>
          <w:sz w:val="21"/>
          <w:szCs w:val="21"/>
        </w:rPr>
        <w:t>G</w:t>
      </w:r>
      <w:r w:rsidRPr="006813AA">
        <w:rPr>
          <w:rFonts w:ascii="Abadi" w:hAnsi="Abadi"/>
          <w:sz w:val="21"/>
          <w:szCs w:val="21"/>
        </w:rPr>
        <w:t xml:space="preserve">ustavo </w:t>
      </w:r>
      <w:r>
        <w:rPr>
          <w:rFonts w:ascii="Abadi" w:hAnsi="Abadi"/>
          <w:sz w:val="21"/>
          <w:szCs w:val="21"/>
        </w:rPr>
        <w:t>A</w:t>
      </w:r>
      <w:r w:rsidRPr="006813AA">
        <w:rPr>
          <w:rFonts w:ascii="Abadi" w:hAnsi="Abadi"/>
          <w:sz w:val="21"/>
          <w:szCs w:val="21"/>
        </w:rPr>
        <w:t xml:space="preserve">dolfo </w:t>
      </w:r>
      <w:r>
        <w:rPr>
          <w:rFonts w:ascii="Abadi" w:hAnsi="Abadi"/>
          <w:sz w:val="21"/>
          <w:szCs w:val="21"/>
        </w:rPr>
        <w:t>A</w:t>
      </w:r>
      <w:r w:rsidRPr="006813AA">
        <w:rPr>
          <w:rFonts w:ascii="Abadi" w:hAnsi="Abadi"/>
          <w:sz w:val="21"/>
          <w:szCs w:val="21"/>
        </w:rPr>
        <w:t xml:space="preserve">lfaro </w:t>
      </w:r>
      <w:r>
        <w:rPr>
          <w:rFonts w:ascii="Abadi" w:hAnsi="Abadi"/>
          <w:sz w:val="21"/>
          <w:szCs w:val="21"/>
        </w:rPr>
        <w:t>R</w:t>
      </w:r>
      <w:r w:rsidRPr="006813AA">
        <w:rPr>
          <w:rFonts w:ascii="Abadi" w:hAnsi="Abadi"/>
          <w:sz w:val="21"/>
          <w:szCs w:val="21"/>
        </w:rPr>
        <w:t>eyes con permiso de la misma</w:t>
      </w:r>
      <w:r>
        <w:rPr>
          <w:rFonts w:ascii="Abadi" w:hAnsi="Abadi"/>
          <w:sz w:val="21"/>
          <w:szCs w:val="21"/>
        </w:rPr>
        <w:t>.</w:t>
      </w:r>
    </w:p>
    <w:p w14:paraId="53860D4D" w14:textId="77777777" w:rsidR="003C51DA" w:rsidRDefault="003C51DA" w:rsidP="00D15DAB">
      <w:pPr>
        <w:ind w:firstLine="708"/>
        <w:jc w:val="both"/>
        <w:rPr>
          <w:rFonts w:ascii="Abadi" w:hAnsi="Abadi"/>
          <w:sz w:val="21"/>
          <w:szCs w:val="21"/>
        </w:rPr>
      </w:pPr>
    </w:p>
    <w:p w14:paraId="0E2719A8" w14:textId="77777777" w:rsidR="00D15DAB" w:rsidRPr="006813AA" w:rsidRDefault="00D15DAB" w:rsidP="00D15DAB">
      <w:pPr>
        <w:ind w:firstLine="708"/>
        <w:jc w:val="both"/>
        <w:rPr>
          <w:rFonts w:ascii="Abadi" w:hAnsi="Abadi"/>
          <w:sz w:val="21"/>
          <w:szCs w:val="21"/>
        </w:rPr>
      </w:pPr>
      <w:r>
        <w:rPr>
          <w:rFonts w:ascii="Abadi" w:hAnsi="Abadi"/>
          <w:sz w:val="21"/>
          <w:szCs w:val="21"/>
        </w:rPr>
        <w:t>- E</w:t>
      </w:r>
      <w:r w:rsidRPr="006813AA">
        <w:rPr>
          <w:rFonts w:ascii="Abadi" w:hAnsi="Abadi"/>
          <w:sz w:val="21"/>
          <w:szCs w:val="21"/>
        </w:rPr>
        <w:t xml:space="preserve">n virtud de que el </w:t>
      </w:r>
      <w:r>
        <w:rPr>
          <w:rFonts w:ascii="Abadi" w:hAnsi="Abadi"/>
          <w:sz w:val="21"/>
          <w:szCs w:val="21"/>
        </w:rPr>
        <w:t>c</w:t>
      </w:r>
      <w:r w:rsidRPr="006813AA">
        <w:rPr>
          <w:rFonts w:ascii="Abadi" w:hAnsi="Abadi"/>
          <w:sz w:val="21"/>
          <w:szCs w:val="21"/>
        </w:rPr>
        <w:t xml:space="preserve">uórum de asistencia la presente </w:t>
      </w:r>
      <w:r>
        <w:rPr>
          <w:rFonts w:ascii="Abadi" w:hAnsi="Abadi"/>
          <w:sz w:val="21"/>
          <w:szCs w:val="21"/>
        </w:rPr>
        <w:t>S</w:t>
      </w:r>
      <w:r w:rsidRPr="006813AA">
        <w:rPr>
          <w:rFonts w:ascii="Abadi" w:hAnsi="Abadi"/>
          <w:sz w:val="21"/>
          <w:szCs w:val="21"/>
        </w:rPr>
        <w:t>esión se ha mantenido hasta el momento</w:t>
      </w:r>
      <w:r>
        <w:rPr>
          <w:rFonts w:ascii="Abadi" w:hAnsi="Abadi"/>
          <w:sz w:val="21"/>
          <w:szCs w:val="21"/>
        </w:rPr>
        <w:t>,</w:t>
      </w:r>
      <w:r w:rsidRPr="006813AA">
        <w:rPr>
          <w:rFonts w:ascii="Abadi" w:hAnsi="Abadi"/>
          <w:sz w:val="21"/>
          <w:szCs w:val="21"/>
        </w:rPr>
        <w:t xml:space="preserve"> no procede a instruir a un nuevo pase de lista</w:t>
      </w:r>
      <w:r>
        <w:rPr>
          <w:rFonts w:ascii="Abadi" w:hAnsi="Abadi"/>
          <w:sz w:val="21"/>
          <w:szCs w:val="21"/>
        </w:rPr>
        <w:t>,</w:t>
      </w:r>
      <w:r w:rsidRPr="006813AA">
        <w:rPr>
          <w:rFonts w:ascii="Abadi" w:hAnsi="Abadi"/>
          <w:sz w:val="21"/>
          <w:szCs w:val="21"/>
        </w:rPr>
        <w:t xml:space="preserve"> que levanta la sesión siendo las 15:</w:t>
      </w:r>
      <w:r>
        <w:rPr>
          <w:rFonts w:ascii="Abadi" w:hAnsi="Abadi"/>
          <w:sz w:val="21"/>
          <w:szCs w:val="21"/>
        </w:rPr>
        <w:t xml:space="preserve">23 </w:t>
      </w:r>
      <w:r w:rsidRPr="006813AA">
        <w:rPr>
          <w:rFonts w:ascii="Abadi" w:hAnsi="Abadi"/>
          <w:b/>
          <w:bCs/>
          <w:sz w:val="21"/>
          <w:szCs w:val="21"/>
        </w:rPr>
        <w:t>(Quince horas con veintitrés minutos)</w:t>
      </w:r>
      <w:r>
        <w:rPr>
          <w:rFonts w:ascii="Abadi" w:hAnsi="Abadi"/>
          <w:b/>
          <w:bCs/>
          <w:sz w:val="21"/>
          <w:szCs w:val="21"/>
        </w:rPr>
        <w:t xml:space="preserve"> </w:t>
      </w:r>
      <w:r w:rsidRPr="006813AA">
        <w:rPr>
          <w:rFonts w:ascii="Abadi" w:hAnsi="Abadi"/>
          <w:sz w:val="21"/>
          <w:szCs w:val="21"/>
        </w:rPr>
        <w:t>y se comunica a las diputadas y los diputados que se les citará para la siguiente</w:t>
      </w:r>
      <w:r>
        <w:rPr>
          <w:rFonts w:ascii="Abadi" w:hAnsi="Abadi"/>
          <w:sz w:val="21"/>
          <w:szCs w:val="21"/>
        </w:rPr>
        <w:t>,</w:t>
      </w:r>
      <w:r w:rsidRPr="006813AA">
        <w:rPr>
          <w:rFonts w:ascii="Abadi" w:hAnsi="Abadi"/>
          <w:sz w:val="21"/>
          <w:szCs w:val="21"/>
        </w:rPr>
        <w:t xml:space="preserve"> por conducto de la </w:t>
      </w:r>
      <w:r>
        <w:rPr>
          <w:rFonts w:ascii="Abadi" w:hAnsi="Abadi"/>
          <w:sz w:val="21"/>
          <w:szCs w:val="21"/>
        </w:rPr>
        <w:t>S</w:t>
      </w:r>
      <w:r w:rsidRPr="006813AA">
        <w:rPr>
          <w:rFonts w:ascii="Abadi" w:hAnsi="Abadi"/>
          <w:sz w:val="21"/>
          <w:szCs w:val="21"/>
        </w:rPr>
        <w:t xml:space="preserve">ecretaría </w:t>
      </w:r>
      <w:r>
        <w:rPr>
          <w:rFonts w:ascii="Abadi" w:hAnsi="Abadi"/>
          <w:sz w:val="21"/>
          <w:szCs w:val="21"/>
        </w:rPr>
        <w:t>G</w:t>
      </w:r>
      <w:r w:rsidRPr="006813AA">
        <w:rPr>
          <w:rFonts w:ascii="Abadi" w:hAnsi="Abadi"/>
          <w:sz w:val="21"/>
          <w:szCs w:val="21"/>
        </w:rPr>
        <w:t>eneral</w:t>
      </w:r>
      <w:r>
        <w:rPr>
          <w:rFonts w:ascii="Abadi" w:hAnsi="Abadi"/>
          <w:sz w:val="21"/>
          <w:szCs w:val="21"/>
        </w:rPr>
        <w:t>,</w:t>
      </w:r>
      <w:r w:rsidRPr="006813AA">
        <w:rPr>
          <w:rFonts w:ascii="Abadi" w:hAnsi="Abadi"/>
          <w:sz w:val="21"/>
          <w:szCs w:val="21"/>
        </w:rPr>
        <w:t xml:space="preserve"> muy buena tarde</w:t>
      </w:r>
      <w:r>
        <w:rPr>
          <w:rFonts w:ascii="Abadi" w:hAnsi="Abadi"/>
          <w:sz w:val="21"/>
          <w:szCs w:val="21"/>
        </w:rPr>
        <w:t>,</w:t>
      </w:r>
      <w:r w:rsidRPr="006813AA">
        <w:rPr>
          <w:rFonts w:ascii="Abadi" w:hAnsi="Abadi"/>
          <w:sz w:val="21"/>
          <w:szCs w:val="21"/>
        </w:rPr>
        <w:t xml:space="preserve"> muchas gracias</w:t>
      </w:r>
      <w:r>
        <w:rPr>
          <w:rFonts w:ascii="Abadi" w:hAnsi="Abadi"/>
          <w:sz w:val="21"/>
          <w:szCs w:val="21"/>
        </w:rPr>
        <w:t>.</w:t>
      </w:r>
      <w:r w:rsidRPr="006813AA">
        <w:rPr>
          <w:rFonts w:ascii="Abadi" w:hAnsi="Abadi"/>
          <w:sz w:val="21"/>
          <w:szCs w:val="21"/>
        </w:rPr>
        <w:t xml:space="preserve"> </w:t>
      </w:r>
    </w:p>
    <w:p w14:paraId="6A297DE4" w14:textId="77777777" w:rsidR="00D15DAB" w:rsidRPr="00D15DAB" w:rsidRDefault="00D15DAB" w:rsidP="00D15DAB">
      <w:pPr>
        <w:spacing w:after="160" w:line="259" w:lineRule="auto"/>
        <w:contextualSpacing/>
        <w:jc w:val="both"/>
        <w:rPr>
          <w:rFonts w:ascii="Abadi" w:hAnsi="Abadi"/>
          <w:b/>
          <w:bCs/>
          <w:sz w:val="21"/>
          <w:szCs w:val="21"/>
        </w:rPr>
      </w:pPr>
    </w:p>
    <w:p w14:paraId="04A7B8D6" w14:textId="40F9DC94" w:rsidR="000218BD" w:rsidRDefault="00A01ABD" w:rsidP="00A01ABD">
      <w:pPr>
        <w:ind w:firstLine="708"/>
        <w:jc w:val="both"/>
        <w:rPr>
          <w:rFonts w:ascii="Abadi" w:hAnsi="Abadi"/>
          <w:sz w:val="21"/>
          <w:szCs w:val="21"/>
        </w:rPr>
      </w:pPr>
      <w:r>
        <w:rPr>
          <w:rFonts w:ascii="Abadi" w:hAnsi="Abadi"/>
          <w:sz w:val="21"/>
          <w:szCs w:val="21"/>
        </w:rPr>
        <w:t>- M</w:t>
      </w:r>
      <w:r w:rsidRPr="00D15380">
        <w:rPr>
          <w:rFonts w:ascii="Abadi" w:hAnsi="Abadi"/>
          <w:sz w:val="21"/>
          <w:szCs w:val="21"/>
        </w:rPr>
        <w:t>u</w:t>
      </w:r>
      <w:r w:rsidR="00EF28E1">
        <w:rPr>
          <w:rFonts w:ascii="Abadi" w:hAnsi="Abadi"/>
          <w:sz w:val="21"/>
          <w:szCs w:val="21"/>
        </w:rPr>
        <w:t>chas gracias.</w:t>
      </w:r>
      <w:r w:rsidR="000218BD">
        <w:rPr>
          <w:rFonts w:ascii="Abadi" w:hAnsi="Abadi"/>
          <w:sz w:val="21"/>
          <w:szCs w:val="21"/>
        </w:rPr>
        <w:t xml:space="preserve"> </w:t>
      </w:r>
      <w:r w:rsidR="000218BD" w:rsidRPr="00FF36FC">
        <w:rPr>
          <w:rFonts w:ascii="Abadi" w:hAnsi="Abadi"/>
          <w:sz w:val="12"/>
          <w:szCs w:val="12"/>
        </w:rPr>
        <w:footnoteReference w:id="168"/>
      </w:r>
    </w:p>
    <w:p w14:paraId="03CEA849" w14:textId="4EC13510" w:rsidR="00CB6D34" w:rsidRDefault="00CB6D34" w:rsidP="00A01ABD">
      <w:pPr>
        <w:ind w:firstLine="708"/>
        <w:jc w:val="both"/>
        <w:rPr>
          <w:rFonts w:ascii="Abadi" w:hAnsi="Abadi"/>
          <w:sz w:val="21"/>
          <w:szCs w:val="21"/>
        </w:rPr>
      </w:pPr>
    </w:p>
    <w:p w14:paraId="5C310836" w14:textId="0FA9589B" w:rsidR="00CB6D34" w:rsidRDefault="00CB6D34" w:rsidP="00A01ABD">
      <w:pPr>
        <w:ind w:firstLine="708"/>
        <w:jc w:val="both"/>
      </w:pPr>
    </w:p>
    <w:p w14:paraId="316A8FA8" w14:textId="2CE2E192" w:rsidR="000218BD" w:rsidRDefault="000218BD" w:rsidP="000218BD">
      <w:pPr>
        <w:ind w:firstLine="708"/>
        <w:jc w:val="both"/>
      </w:pPr>
    </w:p>
    <w:p w14:paraId="6015F66C" w14:textId="70D90296" w:rsidR="000218BD" w:rsidRDefault="000218BD" w:rsidP="000218BD">
      <w:pPr>
        <w:ind w:firstLine="708"/>
        <w:jc w:val="both"/>
      </w:pPr>
    </w:p>
    <w:p w14:paraId="459B77A2" w14:textId="39BE2AB8" w:rsidR="000218BD" w:rsidRDefault="000218BD" w:rsidP="000218BD">
      <w:pPr>
        <w:ind w:firstLine="708"/>
        <w:jc w:val="both"/>
      </w:pPr>
    </w:p>
    <w:p w14:paraId="784958FD" w14:textId="4C7C2331" w:rsidR="000218BD" w:rsidRDefault="00DE65A6" w:rsidP="000218BD">
      <w:pPr>
        <w:ind w:firstLine="708"/>
        <w:jc w:val="both"/>
      </w:pPr>
      <w:r>
        <w:rPr>
          <w:noProof/>
        </w:rPr>
        <mc:AlternateContent>
          <mc:Choice Requires="wps">
            <w:drawing>
              <wp:anchor distT="0" distB="0" distL="114300" distR="114300" simplePos="0" relativeHeight="251714560" behindDoc="0" locked="0" layoutInCell="1" allowOverlap="1" wp14:anchorId="0FC7EBF4" wp14:editId="7F967377">
                <wp:simplePos x="0" y="0"/>
                <wp:positionH relativeFrom="margin">
                  <wp:posOffset>3488270</wp:posOffset>
                </wp:positionH>
                <wp:positionV relativeFrom="paragraph">
                  <wp:posOffset>87031</wp:posOffset>
                </wp:positionV>
                <wp:extent cx="2552700" cy="3670935"/>
                <wp:effectExtent l="0" t="0" r="19050" b="24765"/>
                <wp:wrapNone/>
                <wp:docPr id="71" name="Diagrama de flujo: multidocumento 45"/>
                <wp:cNvGraphicFramePr/>
                <a:graphic xmlns:a="http://schemas.openxmlformats.org/drawingml/2006/main">
                  <a:graphicData uri="http://schemas.microsoft.com/office/word/2010/wordprocessingShape">
                    <wps:wsp>
                      <wps:cNvSpPr/>
                      <wps:spPr>
                        <a:xfrm>
                          <a:off x="0" y="0"/>
                          <a:ext cx="2552700" cy="3670935"/>
                        </a:xfrm>
                        <a:prstGeom prst="flowChartMultidocument">
                          <a:avLst/>
                        </a:prstGeom>
                        <a:noFill/>
                        <a:ln w="12700" cap="flat" cmpd="sng" algn="ctr">
                          <a:solidFill>
                            <a:sysClr val="windowText" lastClr="000000"/>
                          </a:solidFill>
                          <a:prstDash val="solid"/>
                        </a:ln>
                        <a:effectLst/>
                      </wps:spPr>
                      <wps:txbx>
                        <w:txbxContent>
                          <w:p w14:paraId="58C33A80" w14:textId="77777777" w:rsidR="00E369D9" w:rsidRPr="001040DC" w:rsidRDefault="00E369D9" w:rsidP="00E369D9">
                            <w:pPr>
                              <w:suppressOverlap/>
                              <w:jc w:val="center"/>
                              <w:rPr>
                                <w:rFonts w:ascii="Abadi" w:hAnsi="Abadi" w:cs="Arial"/>
                                <w:b/>
                                <w:sz w:val="18"/>
                                <w:szCs w:val="18"/>
                                <w:lang w:val="pt-PT"/>
                              </w:rPr>
                            </w:pPr>
                          </w:p>
                          <w:p w14:paraId="54A82487" w14:textId="77777777" w:rsidR="00E369D9" w:rsidRPr="001040DC" w:rsidRDefault="00E369D9" w:rsidP="00E369D9">
                            <w:pPr>
                              <w:pStyle w:val="Textoindependiente"/>
                              <w:ind w:firstLine="709"/>
                              <w:suppressOverlap/>
                              <w:rPr>
                                <w:rFonts w:ascii="Abadi" w:hAnsi="Abadi"/>
                                <w:sz w:val="18"/>
                                <w:szCs w:val="18"/>
                                <w:lang w:val="es-MX"/>
                              </w:rPr>
                            </w:pPr>
                            <w:r w:rsidRPr="001040DC">
                              <w:rPr>
                                <w:rFonts w:ascii="Abadi" w:hAnsi="Abadi"/>
                                <w:sz w:val="18"/>
                                <w:szCs w:val="18"/>
                                <w:lang w:val="pt-PT"/>
                              </w:rPr>
                              <w:t xml:space="preserve">Dip. </w:t>
                            </w:r>
                            <w:r w:rsidRPr="001040DC">
                              <w:rPr>
                                <w:rFonts w:ascii="Abadi" w:hAnsi="Abadi"/>
                                <w:sz w:val="18"/>
                                <w:szCs w:val="18"/>
                                <w:lang w:val="es-MX"/>
                              </w:rPr>
                              <w:t xml:space="preserve"> Luis Ernesto Ayala Torres</w:t>
                            </w:r>
                          </w:p>
                          <w:p w14:paraId="518E3BB0" w14:textId="77777777" w:rsidR="00E369D9" w:rsidRPr="001040DC" w:rsidRDefault="00E369D9" w:rsidP="00E369D9">
                            <w:pPr>
                              <w:suppressOverlap/>
                              <w:jc w:val="center"/>
                              <w:rPr>
                                <w:rFonts w:ascii="Abadi" w:hAnsi="Abadi" w:cs="Arial"/>
                                <w:b/>
                                <w:sz w:val="18"/>
                                <w:szCs w:val="18"/>
                                <w:lang w:val="pt-PT"/>
                              </w:rPr>
                            </w:pPr>
                            <w:r w:rsidRPr="001040DC">
                              <w:rPr>
                                <w:rFonts w:ascii="Abadi" w:hAnsi="Abadi" w:cs="Arial"/>
                                <w:b/>
                                <w:sz w:val="18"/>
                                <w:szCs w:val="18"/>
                                <w:lang w:val="pt-PT"/>
                              </w:rPr>
                              <w:t>Dip. Ernesto Millán Soberanes</w:t>
                            </w:r>
                          </w:p>
                          <w:p w14:paraId="5894B750" w14:textId="77777777" w:rsidR="00E369D9" w:rsidRPr="001040DC" w:rsidRDefault="00E369D9" w:rsidP="00E369D9">
                            <w:pPr>
                              <w:suppressOverlap/>
                              <w:jc w:val="center"/>
                              <w:rPr>
                                <w:rFonts w:ascii="Abadi" w:hAnsi="Abadi" w:cs="Arial"/>
                                <w:b/>
                                <w:sz w:val="18"/>
                                <w:szCs w:val="18"/>
                                <w:lang w:val="pt-PT"/>
                              </w:rPr>
                            </w:pPr>
                            <w:r w:rsidRPr="001040DC">
                              <w:rPr>
                                <w:rFonts w:ascii="Abadi" w:hAnsi="Abadi" w:cs="Arial"/>
                                <w:b/>
                                <w:sz w:val="18"/>
                                <w:szCs w:val="18"/>
                                <w:lang w:val="pt-PT"/>
                              </w:rPr>
                              <w:t xml:space="preserve">Dip.  Alejandro Arias Ávila  </w:t>
                            </w:r>
                          </w:p>
                          <w:p w14:paraId="5C4952E0" w14:textId="77777777" w:rsidR="00E369D9" w:rsidRPr="001040DC" w:rsidRDefault="00E369D9" w:rsidP="00E369D9">
                            <w:pPr>
                              <w:suppressOverlap/>
                              <w:jc w:val="center"/>
                              <w:rPr>
                                <w:rFonts w:ascii="Abadi" w:hAnsi="Abadi" w:cs="Arial"/>
                                <w:b/>
                                <w:sz w:val="18"/>
                                <w:szCs w:val="18"/>
                                <w:lang w:val="pt-PT"/>
                              </w:rPr>
                            </w:pPr>
                            <w:r w:rsidRPr="001040DC">
                              <w:rPr>
                                <w:rFonts w:ascii="Abadi" w:hAnsi="Abadi" w:cs="Arial"/>
                                <w:b/>
                                <w:sz w:val="18"/>
                                <w:szCs w:val="18"/>
                                <w:lang w:val="pt-PT"/>
                              </w:rPr>
                              <w:t>Dip. Gerardo Fernández González</w:t>
                            </w:r>
                          </w:p>
                          <w:p w14:paraId="03FD3AEA" w14:textId="77777777" w:rsidR="00E369D9" w:rsidRPr="001040DC" w:rsidRDefault="00E369D9" w:rsidP="00E369D9">
                            <w:pPr>
                              <w:suppressOverlap/>
                              <w:jc w:val="center"/>
                              <w:rPr>
                                <w:rFonts w:ascii="Abadi" w:hAnsi="Abadi" w:cs="Arial"/>
                                <w:b/>
                                <w:sz w:val="18"/>
                                <w:szCs w:val="18"/>
                                <w:lang w:val="pt-PT"/>
                              </w:rPr>
                            </w:pPr>
                            <w:r>
                              <w:rPr>
                                <w:rFonts w:ascii="Abadi" w:hAnsi="Abadi" w:cs="Arial"/>
                                <w:b/>
                                <w:sz w:val="18"/>
                                <w:szCs w:val="18"/>
                                <w:lang w:val="pt-PT"/>
                              </w:rPr>
                              <w:t xml:space="preserve">Dip. </w:t>
                            </w:r>
                            <w:r w:rsidRPr="001040DC">
                              <w:rPr>
                                <w:rFonts w:ascii="Abadi" w:hAnsi="Abadi" w:cs="Arial"/>
                                <w:b/>
                                <w:sz w:val="18"/>
                                <w:szCs w:val="18"/>
                                <w:lang w:val="pt-PT"/>
                              </w:rPr>
                              <w:t>Dessir</w:t>
                            </w:r>
                            <w:r>
                              <w:rPr>
                                <w:rFonts w:ascii="Abadi" w:hAnsi="Abadi" w:cs="Arial"/>
                                <w:b/>
                                <w:sz w:val="18"/>
                                <w:szCs w:val="18"/>
                                <w:lang w:val="pt-PT"/>
                              </w:rPr>
                              <w:t>e</w:t>
                            </w:r>
                            <w:r w:rsidRPr="001040DC">
                              <w:rPr>
                                <w:rFonts w:ascii="Abadi" w:hAnsi="Abadi" w:cs="Arial"/>
                                <w:b/>
                                <w:sz w:val="18"/>
                                <w:szCs w:val="18"/>
                                <w:lang w:val="pt-PT"/>
                              </w:rPr>
                              <w:t xml:space="preserve"> </w:t>
                            </w:r>
                            <w:r>
                              <w:rPr>
                                <w:rFonts w:ascii="Abadi" w:hAnsi="Abadi" w:cs="Arial"/>
                                <w:b/>
                                <w:sz w:val="18"/>
                                <w:szCs w:val="18"/>
                                <w:lang w:val="pt-PT"/>
                              </w:rPr>
                              <w:t>A</w:t>
                            </w:r>
                            <w:r w:rsidRPr="001040DC">
                              <w:rPr>
                                <w:rFonts w:ascii="Abadi" w:hAnsi="Abadi" w:cs="Arial"/>
                                <w:b/>
                                <w:sz w:val="18"/>
                                <w:szCs w:val="18"/>
                                <w:lang w:val="pt-PT"/>
                              </w:rPr>
                              <w:t xml:space="preserve">ngel Rocha </w:t>
                            </w:r>
                          </w:p>
                          <w:p w14:paraId="24C9C6D3" w14:textId="77777777" w:rsidR="00E369D9" w:rsidRPr="001040DC" w:rsidRDefault="00E369D9" w:rsidP="00E369D9">
                            <w:pPr>
                              <w:suppressOverlap/>
                              <w:jc w:val="center"/>
                              <w:rPr>
                                <w:rFonts w:ascii="Abadi" w:hAnsi="Abadi" w:cs="Arial"/>
                                <w:b/>
                                <w:sz w:val="18"/>
                                <w:szCs w:val="18"/>
                                <w:lang w:val="pt-PT"/>
                              </w:rPr>
                            </w:pPr>
                          </w:p>
                          <w:p w14:paraId="6BDD5FBF" w14:textId="77777777" w:rsidR="00E369D9" w:rsidRPr="001040DC" w:rsidRDefault="00E369D9" w:rsidP="00E369D9">
                            <w:pPr>
                              <w:suppressOverlap/>
                              <w:jc w:val="center"/>
                              <w:rPr>
                                <w:rFonts w:ascii="Abadi" w:hAnsi="Abadi" w:cs="Arial"/>
                                <w:b/>
                                <w:sz w:val="18"/>
                                <w:szCs w:val="18"/>
                                <w:lang w:val="pt-PT"/>
                              </w:rPr>
                            </w:pPr>
                            <w:r w:rsidRPr="001040DC">
                              <w:rPr>
                                <w:rFonts w:ascii="Abadi" w:hAnsi="Abadi" w:cs="Arial"/>
                                <w:b/>
                                <w:sz w:val="18"/>
                                <w:szCs w:val="18"/>
                                <w:lang w:val="pt-PT"/>
                              </w:rPr>
                              <w:t xml:space="preserve">Secretario General del </w:t>
                            </w:r>
                          </w:p>
                          <w:p w14:paraId="26AF0D16" w14:textId="77777777" w:rsidR="00E369D9" w:rsidRPr="001040DC" w:rsidRDefault="00E369D9" w:rsidP="00E369D9">
                            <w:pPr>
                              <w:suppressOverlap/>
                              <w:jc w:val="center"/>
                              <w:rPr>
                                <w:rFonts w:ascii="Abadi" w:hAnsi="Abadi" w:cs="Arial"/>
                                <w:b/>
                                <w:sz w:val="18"/>
                                <w:szCs w:val="18"/>
                                <w:lang w:val="pt-PT"/>
                              </w:rPr>
                            </w:pPr>
                            <w:r w:rsidRPr="001040DC">
                              <w:rPr>
                                <w:rFonts w:ascii="Abadi" w:hAnsi="Abadi" w:cs="Arial"/>
                                <w:b/>
                                <w:sz w:val="18"/>
                                <w:szCs w:val="18"/>
                                <w:lang w:val="pt-PT"/>
                              </w:rPr>
                              <w:t>H. Congreso del Estado</w:t>
                            </w:r>
                          </w:p>
                          <w:p w14:paraId="2495D1A5" w14:textId="77777777" w:rsidR="00E369D9" w:rsidRPr="001040DC" w:rsidRDefault="00E369D9" w:rsidP="00E369D9">
                            <w:pPr>
                              <w:suppressOverlap/>
                              <w:jc w:val="center"/>
                              <w:rPr>
                                <w:rFonts w:ascii="Abadi" w:hAnsi="Abadi" w:cs="Arial"/>
                                <w:b/>
                                <w:sz w:val="18"/>
                                <w:szCs w:val="18"/>
                                <w:lang w:val="pt-PT"/>
                              </w:rPr>
                            </w:pPr>
                            <w:r w:rsidRPr="001040DC">
                              <w:rPr>
                                <w:rFonts w:ascii="Abadi" w:hAnsi="Abadi" w:cs="Arial"/>
                                <w:b/>
                                <w:sz w:val="18"/>
                                <w:szCs w:val="18"/>
                                <w:lang w:val="pt-PT"/>
                              </w:rPr>
                              <w:t xml:space="preserve">Mtro. Cristhian Javier Cruz Villegas </w:t>
                            </w:r>
                          </w:p>
                          <w:p w14:paraId="229879D0" w14:textId="77777777" w:rsidR="00E369D9" w:rsidRPr="001040DC" w:rsidRDefault="00E369D9" w:rsidP="00E369D9">
                            <w:pPr>
                              <w:suppressOverlap/>
                              <w:jc w:val="center"/>
                              <w:rPr>
                                <w:rFonts w:ascii="Abadi" w:hAnsi="Abadi" w:cs="Arial"/>
                                <w:b/>
                                <w:sz w:val="18"/>
                                <w:szCs w:val="18"/>
                                <w:lang w:val="pt-PT"/>
                              </w:rPr>
                            </w:pPr>
                          </w:p>
                          <w:p w14:paraId="4E85F65B" w14:textId="77777777" w:rsidR="00E369D9" w:rsidRPr="001040DC" w:rsidRDefault="00E369D9" w:rsidP="00E369D9">
                            <w:pPr>
                              <w:suppressOverlap/>
                              <w:jc w:val="center"/>
                              <w:rPr>
                                <w:rFonts w:ascii="Abadi" w:hAnsi="Abadi" w:cs="Arial"/>
                                <w:b/>
                                <w:sz w:val="18"/>
                                <w:szCs w:val="18"/>
                                <w:lang w:val="pt-PT"/>
                              </w:rPr>
                            </w:pPr>
                            <w:r w:rsidRPr="001040DC">
                              <w:rPr>
                                <w:rFonts w:ascii="Abadi" w:hAnsi="Abadi" w:cs="Arial"/>
                                <w:b/>
                                <w:sz w:val="18"/>
                                <w:szCs w:val="18"/>
                                <w:lang w:val="pt-PT"/>
                              </w:rPr>
                              <w:t>El Director del Diario de los Debates y</w:t>
                            </w:r>
                          </w:p>
                          <w:p w14:paraId="0448DA14" w14:textId="77777777" w:rsidR="00E369D9" w:rsidRPr="001040DC" w:rsidRDefault="00E369D9" w:rsidP="00E369D9">
                            <w:pPr>
                              <w:suppressOverlap/>
                              <w:jc w:val="center"/>
                              <w:rPr>
                                <w:rFonts w:ascii="Abadi" w:hAnsi="Abadi" w:cs="Arial"/>
                                <w:b/>
                                <w:sz w:val="18"/>
                                <w:szCs w:val="18"/>
                                <w:lang w:val="pt-PT"/>
                              </w:rPr>
                            </w:pPr>
                            <w:r w:rsidRPr="001040DC">
                              <w:rPr>
                                <w:rFonts w:ascii="Abadi" w:hAnsi="Abadi" w:cs="Arial"/>
                                <w:b/>
                                <w:sz w:val="18"/>
                                <w:szCs w:val="18"/>
                                <w:lang w:val="pt-PT"/>
                              </w:rPr>
                              <w:t>Archivo General</w:t>
                            </w:r>
                          </w:p>
                          <w:p w14:paraId="79E2DCA5" w14:textId="77777777" w:rsidR="00E369D9" w:rsidRPr="001040DC" w:rsidRDefault="00E369D9" w:rsidP="00E369D9">
                            <w:pPr>
                              <w:suppressOverlap/>
                              <w:jc w:val="center"/>
                              <w:rPr>
                                <w:rFonts w:ascii="Abadi" w:hAnsi="Abadi" w:cs="Arial"/>
                                <w:b/>
                                <w:sz w:val="18"/>
                                <w:szCs w:val="18"/>
                                <w:lang w:val="pt-PT"/>
                              </w:rPr>
                            </w:pPr>
                            <w:r w:rsidRPr="001040DC">
                              <w:rPr>
                                <w:rFonts w:ascii="Abadi" w:hAnsi="Abadi" w:cs="Arial"/>
                                <w:b/>
                                <w:sz w:val="18"/>
                                <w:szCs w:val="18"/>
                                <w:lang w:val="pt-PT"/>
                              </w:rPr>
                              <w:t>Lic. Alberto Macías Páez</w:t>
                            </w:r>
                          </w:p>
                          <w:p w14:paraId="0F37ACAA" w14:textId="77777777" w:rsidR="00E369D9" w:rsidRPr="001040DC" w:rsidRDefault="00E369D9" w:rsidP="00E369D9">
                            <w:pPr>
                              <w:suppressOverlap/>
                              <w:jc w:val="center"/>
                              <w:rPr>
                                <w:rFonts w:ascii="Abadi" w:hAnsi="Abadi" w:cs="Arial"/>
                                <w:b/>
                                <w:sz w:val="18"/>
                                <w:szCs w:val="18"/>
                                <w:lang w:val="pt-PT"/>
                              </w:rPr>
                            </w:pPr>
                          </w:p>
                          <w:p w14:paraId="65E7C002" w14:textId="77777777" w:rsidR="00E369D9" w:rsidRPr="001040DC" w:rsidRDefault="00E369D9" w:rsidP="00E369D9">
                            <w:pPr>
                              <w:suppressOverlap/>
                              <w:jc w:val="center"/>
                              <w:rPr>
                                <w:rFonts w:ascii="Abadi" w:hAnsi="Abadi" w:cs="Arial"/>
                                <w:b/>
                                <w:sz w:val="18"/>
                                <w:szCs w:val="18"/>
                                <w:lang w:val="pt-PT"/>
                              </w:rPr>
                            </w:pPr>
                            <w:r w:rsidRPr="001040DC">
                              <w:rPr>
                                <w:rFonts w:ascii="Abadi" w:hAnsi="Abadi" w:cs="Arial"/>
                                <w:b/>
                                <w:sz w:val="18"/>
                                <w:szCs w:val="18"/>
                                <w:lang w:val="pt-PT"/>
                              </w:rPr>
                              <w:t>Transcripción y Corrección de Estilo</w:t>
                            </w:r>
                          </w:p>
                          <w:p w14:paraId="06BE0D28" w14:textId="77777777" w:rsidR="00E369D9" w:rsidRDefault="00E369D9" w:rsidP="00E369D9">
                            <w:pPr>
                              <w:suppressOverlap/>
                              <w:jc w:val="center"/>
                              <w:rPr>
                                <w:rFonts w:ascii="Abadi" w:hAnsi="Abadi" w:cs="Arial"/>
                                <w:b/>
                                <w:sz w:val="18"/>
                                <w:szCs w:val="18"/>
                                <w:lang w:val="pt-PT"/>
                              </w:rPr>
                            </w:pPr>
                            <w:r w:rsidRPr="001040DC">
                              <w:rPr>
                                <w:rFonts w:ascii="Abadi" w:hAnsi="Abadi" w:cs="Arial"/>
                                <w:b/>
                                <w:sz w:val="18"/>
                                <w:szCs w:val="18"/>
                                <w:lang w:val="pt-PT"/>
                              </w:rPr>
                              <w:t>C. Marysol Vizguerra Olmos</w:t>
                            </w:r>
                          </w:p>
                          <w:p w14:paraId="440B77BF" w14:textId="77777777" w:rsidR="00E369D9" w:rsidRPr="001040DC" w:rsidRDefault="00E369D9" w:rsidP="00E369D9">
                            <w:pPr>
                              <w:suppressOverlap/>
                              <w:jc w:val="center"/>
                              <w:rPr>
                                <w:rFonts w:ascii="Abadi" w:hAnsi="Abadi" w:cs="Arial"/>
                                <w:b/>
                                <w:sz w:val="18"/>
                                <w:szCs w:val="18"/>
                                <w:lang w:val="pt-PT"/>
                              </w:rPr>
                            </w:pPr>
                          </w:p>
                          <w:p w14:paraId="06FDA76B" w14:textId="77777777" w:rsidR="00E369D9" w:rsidRPr="001040DC" w:rsidRDefault="00E369D9" w:rsidP="00E369D9">
                            <w:pPr>
                              <w:jc w:val="right"/>
                            </w:pPr>
                          </w:p>
                          <w:p w14:paraId="4C0C5CDB" w14:textId="77777777" w:rsidR="00E369D9" w:rsidRPr="00495760" w:rsidRDefault="00E369D9" w:rsidP="00E369D9">
                            <w:pPr>
                              <w:pStyle w:val="Prrafodelista"/>
                              <w:numPr>
                                <w:ilvl w:val="0"/>
                                <w:numId w:val="11"/>
                              </w:numPr>
                              <w:tabs>
                                <w:tab w:val="num" w:pos="360"/>
                              </w:tabs>
                              <w:spacing w:after="160" w:line="259" w:lineRule="auto"/>
                              <w:ind w:left="0" w:firstLine="0"/>
                              <w:suppressOverlap/>
                              <w:jc w:val="center"/>
                              <w:rPr>
                                <w:rFonts w:ascii="Abadi" w:hAnsi="Abadi" w:cs="Arial"/>
                                <w:b/>
                                <w:sz w:val="18"/>
                                <w:szCs w:val="18"/>
                                <w:lang w:val="pt-PT"/>
                              </w:rPr>
                            </w:pPr>
                          </w:p>
                          <w:p w14:paraId="1153251D" w14:textId="77777777" w:rsidR="00E369D9" w:rsidRPr="001040DC" w:rsidRDefault="00E369D9" w:rsidP="00E369D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FC7EBF4"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Diagrama de flujo: multidocumento 45" o:spid="_x0000_s1026" type="#_x0000_t115" style="position:absolute;left:0;text-align:left;margin-left:274.65pt;margin-top:6.85pt;width:201pt;height:289.05pt;z-index:25171456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" filled="f" strokecolor="windowText" strokeweight="1pt">
                <v:textbox>
                  <w:txbxContent>
                    <w:p w14:paraId="58C33A80" w14:textId="77777777" w:rsidR="00E369D9" w:rsidRPr="001040DC" w:rsidRDefault="00E369D9" w:rsidP="00E369D9">
                      <w:pPr>
                        <w:suppressOverlap/>
                        <w:jc w:val="center"/>
                        <w:rPr>
                          <w:rFonts w:ascii="Abadi" w:hAnsi="Abadi" w:cs="Arial"/>
                          <w:b/>
                          <w:sz w:val="18"/>
                          <w:szCs w:val="18"/>
                          <w:lang w:val="pt-PT"/>
                        </w:rPr>
                      </w:pPr>
                    </w:p>
                    <w:p w14:paraId="54A82487" w14:textId="77777777" w:rsidR="00E369D9" w:rsidRPr="001040DC" w:rsidRDefault="00E369D9" w:rsidP="00E369D9">
                      <w:pPr>
                        <w:pStyle w:val="Textoindependiente"/>
                        <w:ind w:firstLine="709"/>
                        <w:suppressOverlap/>
                        <w:rPr>
                          <w:rFonts w:ascii="Abadi" w:hAnsi="Abadi"/>
                          <w:sz w:val="18"/>
                          <w:szCs w:val="18"/>
                          <w:lang w:val="es-MX"/>
                        </w:rPr>
                      </w:pPr>
                      <w:r w:rsidRPr="001040DC">
                        <w:rPr>
                          <w:rFonts w:ascii="Abadi" w:hAnsi="Abadi"/>
                          <w:sz w:val="18"/>
                          <w:szCs w:val="18"/>
                          <w:lang w:val="pt-PT"/>
                        </w:rPr>
                        <w:t xml:space="preserve">Dip. </w:t>
                      </w:r>
                      <w:r w:rsidRPr="001040DC">
                        <w:rPr>
                          <w:rFonts w:ascii="Abadi" w:hAnsi="Abadi"/>
                          <w:sz w:val="18"/>
                          <w:szCs w:val="18"/>
                          <w:lang w:val="es-MX"/>
                        </w:rPr>
                        <w:t xml:space="preserve"> Luis Ernesto Ayala Torres</w:t>
                      </w:r>
                    </w:p>
                    <w:p w14:paraId="518E3BB0" w14:textId="77777777" w:rsidR="00E369D9" w:rsidRPr="001040DC" w:rsidRDefault="00E369D9" w:rsidP="00E369D9">
                      <w:pPr>
                        <w:suppressOverlap/>
                        <w:jc w:val="center"/>
                        <w:rPr>
                          <w:rFonts w:ascii="Abadi" w:hAnsi="Abadi" w:cs="Arial"/>
                          <w:b/>
                          <w:sz w:val="18"/>
                          <w:szCs w:val="18"/>
                          <w:lang w:val="pt-PT"/>
                        </w:rPr>
                      </w:pPr>
                      <w:r w:rsidRPr="001040DC">
                        <w:rPr>
                          <w:rFonts w:ascii="Abadi" w:hAnsi="Abadi" w:cs="Arial"/>
                          <w:b/>
                          <w:sz w:val="18"/>
                          <w:szCs w:val="18"/>
                          <w:lang w:val="pt-PT"/>
                        </w:rPr>
                        <w:t>Dip. Ernesto Millán Soberanes</w:t>
                      </w:r>
                    </w:p>
                    <w:p w14:paraId="5894B750" w14:textId="77777777" w:rsidR="00E369D9" w:rsidRPr="001040DC" w:rsidRDefault="00E369D9" w:rsidP="00E369D9">
                      <w:pPr>
                        <w:suppressOverlap/>
                        <w:jc w:val="center"/>
                        <w:rPr>
                          <w:rFonts w:ascii="Abadi" w:hAnsi="Abadi" w:cs="Arial"/>
                          <w:b/>
                          <w:sz w:val="18"/>
                          <w:szCs w:val="18"/>
                          <w:lang w:val="pt-PT"/>
                        </w:rPr>
                      </w:pPr>
                      <w:r w:rsidRPr="001040DC">
                        <w:rPr>
                          <w:rFonts w:ascii="Abadi" w:hAnsi="Abadi" w:cs="Arial"/>
                          <w:b/>
                          <w:sz w:val="18"/>
                          <w:szCs w:val="18"/>
                          <w:lang w:val="pt-PT"/>
                        </w:rPr>
                        <w:t xml:space="preserve">Dip.  Alejandro Arias Ávila  </w:t>
                      </w:r>
                    </w:p>
                    <w:p w14:paraId="5C4952E0" w14:textId="77777777" w:rsidR="00E369D9" w:rsidRPr="001040DC" w:rsidRDefault="00E369D9" w:rsidP="00E369D9">
                      <w:pPr>
                        <w:suppressOverlap/>
                        <w:jc w:val="center"/>
                        <w:rPr>
                          <w:rFonts w:ascii="Abadi" w:hAnsi="Abadi" w:cs="Arial"/>
                          <w:b/>
                          <w:sz w:val="18"/>
                          <w:szCs w:val="18"/>
                          <w:lang w:val="pt-PT"/>
                        </w:rPr>
                      </w:pPr>
                      <w:r w:rsidRPr="001040DC">
                        <w:rPr>
                          <w:rFonts w:ascii="Abadi" w:hAnsi="Abadi" w:cs="Arial"/>
                          <w:b/>
                          <w:sz w:val="18"/>
                          <w:szCs w:val="18"/>
                          <w:lang w:val="pt-PT"/>
                        </w:rPr>
                        <w:t>Dip. Gerardo Fernández González</w:t>
                      </w:r>
                    </w:p>
                    <w:p w14:paraId="03FD3AEA" w14:textId="77777777" w:rsidR="00E369D9" w:rsidRPr="001040DC" w:rsidRDefault="00E369D9" w:rsidP="00E369D9">
                      <w:pPr>
                        <w:suppressOverlap/>
                        <w:jc w:val="center"/>
                        <w:rPr>
                          <w:rFonts w:ascii="Abadi" w:hAnsi="Abadi" w:cs="Arial"/>
                          <w:b/>
                          <w:sz w:val="18"/>
                          <w:szCs w:val="18"/>
                          <w:lang w:val="pt-PT"/>
                        </w:rPr>
                      </w:pPr>
                      <w:r>
                        <w:rPr>
                          <w:rFonts w:ascii="Abadi" w:hAnsi="Abadi" w:cs="Arial"/>
                          <w:b/>
                          <w:sz w:val="18"/>
                          <w:szCs w:val="18"/>
                          <w:lang w:val="pt-PT"/>
                        </w:rPr>
                        <w:t xml:space="preserve">Dip. </w:t>
                      </w:r>
                      <w:r w:rsidRPr="001040DC">
                        <w:rPr>
                          <w:rFonts w:ascii="Abadi" w:hAnsi="Abadi" w:cs="Arial"/>
                          <w:b/>
                          <w:sz w:val="18"/>
                          <w:szCs w:val="18"/>
                          <w:lang w:val="pt-PT"/>
                        </w:rPr>
                        <w:t>Dessir</w:t>
                      </w:r>
                      <w:r>
                        <w:rPr>
                          <w:rFonts w:ascii="Abadi" w:hAnsi="Abadi" w:cs="Arial"/>
                          <w:b/>
                          <w:sz w:val="18"/>
                          <w:szCs w:val="18"/>
                          <w:lang w:val="pt-PT"/>
                        </w:rPr>
                        <w:t>e</w:t>
                      </w:r>
                      <w:r w:rsidRPr="001040DC">
                        <w:rPr>
                          <w:rFonts w:ascii="Abadi" w:hAnsi="Abadi" w:cs="Arial"/>
                          <w:b/>
                          <w:sz w:val="18"/>
                          <w:szCs w:val="18"/>
                          <w:lang w:val="pt-PT"/>
                        </w:rPr>
                        <w:t xml:space="preserve"> </w:t>
                      </w:r>
                      <w:r>
                        <w:rPr>
                          <w:rFonts w:ascii="Abadi" w:hAnsi="Abadi" w:cs="Arial"/>
                          <w:b/>
                          <w:sz w:val="18"/>
                          <w:szCs w:val="18"/>
                          <w:lang w:val="pt-PT"/>
                        </w:rPr>
                        <w:t>A</w:t>
                      </w:r>
                      <w:r w:rsidRPr="001040DC">
                        <w:rPr>
                          <w:rFonts w:ascii="Abadi" w:hAnsi="Abadi" w:cs="Arial"/>
                          <w:b/>
                          <w:sz w:val="18"/>
                          <w:szCs w:val="18"/>
                          <w:lang w:val="pt-PT"/>
                        </w:rPr>
                        <w:t xml:space="preserve">ngel Rocha </w:t>
                      </w:r>
                    </w:p>
                    <w:p w14:paraId="24C9C6D3" w14:textId="77777777" w:rsidR="00E369D9" w:rsidRPr="001040DC" w:rsidRDefault="00E369D9" w:rsidP="00E369D9">
                      <w:pPr>
                        <w:suppressOverlap/>
                        <w:jc w:val="center"/>
                        <w:rPr>
                          <w:rFonts w:ascii="Abadi" w:hAnsi="Abadi" w:cs="Arial"/>
                          <w:b/>
                          <w:sz w:val="18"/>
                          <w:szCs w:val="18"/>
                          <w:lang w:val="pt-PT"/>
                        </w:rPr>
                      </w:pPr>
                    </w:p>
                    <w:p w14:paraId="6BDD5FBF" w14:textId="77777777" w:rsidR="00E369D9" w:rsidRPr="001040DC" w:rsidRDefault="00E369D9" w:rsidP="00E369D9">
                      <w:pPr>
                        <w:suppressOverlap/>
                        <w:jc w:val="center"/>
                        <w:rPr>
                          <w:rFonts w:ascii="Abadi" w:hAnsi="Abadi" w:cs="Arial"/>
                          <w:b/>
                          <w:sz w:val="18"/>
                          <w:szCs w:val="18"/>
                          <w:lang w:val="pt-PT"/>
                        </w:rPr>
                      </w:pPr>
                      <w:r w:rsidRPr="001040DC">
                        <w:rPr>
                          <w:rFonts w:ascii="Abadi" w:hAnsi="Abadi" w:cs="Arial"/>
                          <w:b/>
                          <w:sz w:val="18"/>
                          <w:szCs w:val="18"/>
                          <w:lang w:val="pt-PT"/>
                        </w:rPr>
                        <w:t xml:space="preserve">Secretario General del </w:t>
                      </w:r>
                    </w:p>
                    <w:p w14:paraId="26AF0D16" w14:textId="77777777" w:rsidR="00E369D9" w:rsidRPr="001040DC" w:rsidRDefault="00E369D9" w:rsidP="00E369D9">
                      <w:pPr>
                        <w:suppressOverlap/>
                        <w:jc w:val="center"/>
                        <w:rPr>
                          <w:rFonts w:ascii="Abadi" w:hAnsi="Abadi" w:cs="Arial"/>
                          <w:b/>
                          <w:sz w:val="18"/>
                          <w:szCs w:val="18"/>
                          <w:lang w:val="pt-PT"/>
                        </w:rPr>
                      </w:pPr>
                      <w:r w:rsidRPr="001040DC">
                        <w:rPr>
                          <w:rFonts w:ascii="Abadi" w:hAnsi="Abadi" w:cs="Arial"/>
                          <w:b/>
                          <w:sz w:val="18"/>
                          <w:szCs w:val="18"/>
                          <w:lang w:val="pt-PT"/>
                        </w:rPr>
                        <w:t>H. Congreso del Estado</w:t>
                      </w:r>
                    </w:p>
                    <w:p w14:paraId="2495D1A5" w14:textId="77777777" w:rsidR="00E369D9" w:rsidRPr="001040DC" w:rsidRDefault="00E369D9" w:rsidP="00E369D9">
                      <w:pPr>
                        <w:suppressOverlap/>
                        <w:jc w:val="center"/>
                        <w:rPr>
                          <w:rFonts w:ascii="Abadi" w:hAnsi="Abadi" w:cs="Arial"/>
                          <w:b/>
                          <w:sz w:val="18"/>
                          <w:szCs w:val="18"/>
                          <w:lang w:val="pt-PT"/>
                        </w:rPr>
                      </w:pPr>
                      <w:r w:rsidRPr="001040DC">
                        <w:rPr>
                          <w:rFonts w:ascii="Abadi" w:hAnsi="Abadi" w:cs="Arial"/>
                          <w:b/>
                          <w:sz w:val="18"/>
                          <w:szCs w:val="18"/>
                          <w:lang w:val="pt-PT"/>
                        </w:rPr>
                        <w:t xml:space="preserve">Mtro. Cristhian Javier Cruz Villegas </w:t>
                      </w:r>
                    </w:p>
                    <w:p w14:paraId="229879D0" w14:textId="77777777" w:rsidR="00E369D9" w:rsidRPr="001040DC" w:rsidRDefault="00E369D9" w:rsidP="00E369D9">
                      <w:pPr>
                        <w:suppressOverlap/>
                        <w:jc w:val="center"/>
                        <w:rPr>
                          <w:rFonts w:ascii="Abadi" w:hAnsi="Abadi" w:cs="Arial"/>
                          <w:b/>
                          <w:sz w:val="18"/>
                          <w:szCs w:val="18"/>
                          <w:lang w:val="pt-PT"/>
                        </w:rPr>
                      </w:pPr>
                    </w:p>
                    <w:p w14:paraId="4E85F65B" w14:textId="77777777" w:rsidR="00E369D9" w:rsidRPr="001040DC" w:rsidRDefault="00E369D9" w:rsidP="00E369D9">
                      <w:pPr>
                        <w:suppressOverlap/>
                        <w:jc w:val="center"/>
                        <w:rPr>
                          <w:rFonts w:ascii="Abadi" w:hAnsi="Abadi" w:cs="Arial"/>
                          <w:b/>
                          <w:sz w:val="18"/>
                          <w:szCs w:val="18"/>
                          <w:lang w:val="pt-PT"/>
                        </w:rPr>
                      </w:pPr>
                      <w:r w:rsidRPr="001040DC">
                        <w:rPr>
                          <w:rFonts w:ascii="Abadi" w:hAnsi="Abadi" w:cs="Arial"/>
                          <w:b/>
                          <w:sz w:val="18"/>
                          <w:szCs w:val="18"/>
                          <w:lang w:val="pt-PT"/>
                        </w:rPr>
                        <w:t>El Director del Diario de los Debates y</w:t>
                      </w:r>
                    </w:p>
                    <w:p w14:paraId="0448DA14" w14:textId="77777777" w:rsidR="00E369D9" w:rsidRPr="001040DC" w:rsidRDefault="00E369D9" w:rsidP="00E369D9">
                      <w:pPr>
                        <w:suppressOverlap/>
                        <w:jc w:val="center"/>
                        <w:rPr>
                          <w:rFonts w:ascii="Abadi" w:hAnsi="Abadi" w:cs="Arial"/>
                          <w:b/>
                          <w:sz w:val="18"/>
                          <w:szCs w:val="18"/>
                          <w:lang w:val="pt-PT"/>
                        </w:rPr>
                      </w:pPr>
                      <w:r w:rsidRPr="001040DC">
                        <w:rPr>
                          <w:rFonts w:ascii="Abadi" w:hAnsi="Abadi" w:cs="Arial"/>
                          <w:b/>
                          <w:sz w:val="18"/>
                          <w:szCs w:val="18"/>
                          <w:lang w:val="pt-PT"/>
                        </w:rPr>
                        <w:t>Archivo General</w:t>
                      </w:r>
                    </w:p>
                    <w:p w14:paraId="79E2DCA5" w14:textId="77777777" w:rsidR="00E369D9" w:rsidRPr="001040DC" w:rsidRDefault="00E369D9" w:rsidP="00E369D9">
                      <w:pPr>
                        <w:suppressOverlap/>
                        <w:jc w:val="center"/>
                        <w:rPr>
                          <w:rFonts w:ascii="Abadi" w:hAnsi="Abadi" w:cs="Arial"/>
                          <w:b/>
                          <w:sz w:val="18"/>
                          <w:szCs w:val="18"/>
                          <w:lang w:val="pt-PT"/>
                        </w:rPr>
                      </w:pPr>
                      <w:r w:rsidRPr="001040DC">
                        <w:rPr>
                          <w:rFonts w:ascii="Abadi" w:hAnsi="Abadi" w:cs="Arial"/>
                          <w:b/>
                          <w:sz w:val="18"/>
                          <w:szCs w:val="18"/>
                          <w:lang w:val="pt-PT"/>
                        </w:rPr>
                        <w:t>Lic. Alberto Macías Páez</w:t>
                      </w:r>
                    </w:p>
                    <w:p w14:paraId="0F37ACAA" w14:textId="77777777" w:rsidR="00E369D9" w:rsidRPr="001040DC" w:rsidRDefault="00E369D9" w:rsidP="00E369D9">
                      <w:pPr>
                        <w:suppressOverlap/>
                        <w:jc w:val="center"/>
                        <w:rPr>
                          <w:rFonts w:ascii="Abadi" w:hAnsi="Abadi" w:cs="Arial"/>
                          <w:b/>
                          <w:sz w:val="18"/>
                          <w:szCs w:val="18"/>
                          <w:lang w:val="pt-PT"/>
                        </w:rPr>
                      </w:pPr>
                    </w:p>
                    <w:p w14:paraId="65E7C002" w14:textId="77777777" w:rsidR="00E369D9" w:rsidRPr="001040DC" w:rsidRDefault="00E369D9" w:rsidP="00E369D9">
                      <w:pPr>
                        <w:suppressOverlap/>
                        <w:jc w:val="center"/>
                        <w:rPr>
                          <w:rFonts w:ascii="Abadi" w:hAnsi="Abadi" w:cs="Arial"/>
                          <w:b/>
                          <w:sz w:val="18"/>
                          <w:szCs w:val="18"/>
                          <w:lang w:val="pt-PT"/>
                        </w:rPr>
                      </w:pPr>
                      <w:r w:rsidRPr="001040DC">
                        <w:rPr>
                          <w:rFonts w:ascii="Abadi" w:hAnsi="Abadi" w:cs="Arial"/>
                          <w:b/>
                          <w:sz w:val="18"/>
                          <w:szCs w:val="18"/>
                          <w:lang w:val="pt-PT"/>
                        </w:rPr>
                        <w:t>Transcripción y Corrección de Estilo</w:t>
                      </w:r>
                    </w:p>
                    <w:p w14:paraId="06BE0D28" w14:textId="77777777" w:rsidR="00E369D9" w:rsidRDefault="00E369D9" w:rsidP="00E369D9">
                      <w:pPr>
                        <w:suppressOverlap/>
                        <w:jc w:val="center"/>
                        <w:rPr>
                          <w:rFonts w:ascii="Abadi" w:hAnsi="Abadi" w:cs="Arial"/>
                          <w:b/>
                          <w:sz w:val="18"/>
                          <w:szCs w:val="18"/>
                          <w:lang w:val="pt-PT"/>
                        </w:rPr>
                      </w:pPr>
                      <w:r w:rsidRPr="001040DC">
                        <w:rPr>
                          <w:rFonts w:ascii="Abadi" w:hAnsi="Abadi" w:cs="Arial"/>
                          <w:b/>
                          <w:sz w:val="18"/>
                          <w:szCs w:val="18"/>
                          <w:lang w:val="pt-PT"/>
                        </w:rPr>
                        <w:t>C. Marysol Vizguerra Olmos</w:t>
                      </w:r>
                    </w:p>
                    <w:p w14:paraId="440B77BF" w14:textId="77777777" w:rsidR="00E369D9" w:rsidRPr="001040DC" w:rsidRDefault="00E369D9" w:rsidP="00E369D9">
                      <w:pPr>
                        <w:suppressOverlap/>
                        <w:jc w:val="center"/>
                        <w:rPr>
                          <w:rFonts w:ascii="Abadi" w:hAnsi="Abadi" w:cs="Arial"/>
                          <w:b/>
                          <w:sz w:val="18"/>
                          <w:szCs w:val="18"/>
                          <w:lang w:val="pt-PT"/>
                        </w:rPr>
                      </w:pPr>
                    </w:p>
                    <w:p w14:paraId="06FDA76B" w14:textId="77777777" w:rsidR="00E369D9" w:rsidRPr="001040DC" w:rsidRDefault="00E369D9" w:rsidP="00E369D9">
                      <w:pPr>
                        <w:jc w:val="right"/>
                      </w:pPr>
                    </w:p>
                    <w:p w14:paraId="4C0C5CDB" w14:textId="77777777" w:rsidR="00E369D9" w:rsidRPr="00495760" w:rsidRDefault="00E369D9" w:rsidP="00E369D9">
                      <w:pPr>
                        <w:pStyle w:val="Prrafodelista"/>
                        <w:numPr>
                          <w:ilvl w:val="0"/>
                          <w:numId w:val="11"/>
                        </w:numPr>
                        <w:tabs>
                          <w:tab w:val="num" w:pos="360"/>
                        </w:tabs>
                        <w:spacing w:after="160" w:line="259" w:lineRule="auto"/>
                        <w:ind w:left="0" w:firstLine="0"/>
                        <w:suppressOverlap/>
                        <w:jc w:val="center"/>
                        <w:rPr>
                          <w:rFonts w:ascii="Abadi" w:hAnsi="Abadi" w:cs="Arial"/>
                          <w:b/>
                          <w:sz w:val="18"/>
                          <w:szCs w:val="18"/>
                          <w:lang w:val="pt-PT"/>
                        </w:rPr>
                      </w:pPr>
                    </w:p>
                    <w:p w14:paraId="1153251D" w14:textId="77777777" w:rsidR="00E369D9" w:rsidRPr="001040DC" w:rsidRDefault="00E369D9" w:rsidP="00E369D9"/>
                  </w:txbxContent>
                </v:textbox>
                <w10:wrap anchorx="margin"/>
              </v:shape>
            </w:pict>
          </mc:Fallback>
        </mc:AlternateContent>
      </w:r>
    </w:p>
    <w:p w14:paraId="30E7EBA1" w14:textId="77777777" w:rsidR="000218BD" w:rsidRDefault="000218BD" w:rsidP="000218BD">
      <w:pPr>
        <w:ind w:firstLine="708"/>
        <w:jc w:val="both"/>
      </w:pPr>
    </w:p>
    <w:p w14:paraId="4C4753EF" w14:textId="34B70892" w:rsidR="000218BD" w:rsidRDefault="000218BD" w:rsidP="000218BD">
      <w:pPr>
        <w:ind w:firstLine="708"/>
        <w:jc w:val="both"/>
      </w:pPr>
    </w:p>
    <w:p w14:paraId="676BC67F" w14:textId="79C923D9" w:rsidR="000218BD" w:rsidRDefault="000218BD" w:rsidP="000218BD">
      <w:pPr>
        <w:ind w:firstLine="708"/>
        <w:jc w:val="both"/>
      </w:pPr>
    </w:p>
    <w:p w14:paraId="2CAAEBB3" w14:textId="3C9BD995" w:rsidR="000218BD" w:rsidRDefault="000218BD" w:rsidP="000218BD">
      <w:pPr>
        <w:ind w:firstLine="708"/>
        <w:jc w:val="both"/>
      </w:pPr>
    </w:p>
    <w:p w14:paraId="34210BA5" w14:textId="081B08AD" w:rsidR="000218BD" w:rsidRDefault="000218BD" w:rsidP="000218BD">
      <w:pPr>
        <w:ind w:firstLine="708"/>
        <w:jc w:val="both"/>
      </w:pPr>
    </w:p>
    <w:p w14:paraId="72C875B5" w14:textId="31B1C320" w:rsidR="000218BD" w:rsidRDefault="000218BD" w:rsidP="000218BD">
      <w:pPr>
        <w:ind w:firstLine="708"/>
        <w:jc w:val="both"/>
      </w:pPr>
    </w:p>
    <w:p w14:paraId="0F588683" w14:textId="7484D26B" w:rsidR="000218BD" w:rsidRDefault="000218BD" w:rsidP="000218BD">
      <w:pPr>
        <w:ind w:firstLine="708"/>
        <w:jc w:val="both"/>
      </w:pPr>
    </w:p>
    <w:p w14:paraId="522CF67A" w14:textId="096DA08F" w:rsidR="000218BD" w:rsidRDefault="000218BD" w:rsidP="000218BD">
      <w:pPr>
        <w:ind w:firstLine="708"/>
        <w:jc w:val="both"/>
      </w:pPr>
    </w:p>
    <w:p w14:paraId="21F88A94" w14:textId="77777777" w:rsidR="000218BD" w:rsidRDefault="000218BD" w:rsidP="000218BD">
      <w:pPr>
        <w:ind w:firstLine="708"/>
        <w:jc w:val="both"/>
      </w:pPr>
    </w:p>
    <w:p w14:paraId="56E90497" w14:textId="2AE91FF7" w:rsidR="00F72A85" w:rsidRPr="001D47CF" w:rsidRDefault="00F72A85">
      <w:pPr>
        <w:rPr>
          <w:b/>
          <w:bCs/>
        </w:rPr>
      </w:pPr>
    </w:p>
    <w:sectPr w:rsidR="00F72A85" w:rsidRPr="001D47CF" w:rsidSect="00A32DE6">
      <w:footnotePr>
        <w:numStart w:val="2"/>
      </w:footnotePr>
      <w:type w:val="continuous"/>
      <w:pgSz w:w="12240" w:h="15840" w:code="1"/>
      <w:pgMar w:top="709" w:right="1750" w:bottom="425" w:left="709" w:header="714" w:footer="1196"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155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363811" w14:textId="77777777" w:rsidR="00BC062B" w:rsidRDefault="00BC062B" w:rsidP="000218BD">
      <w:r>
        <w:separator/>
      </w:r>
    </w:p>
  </w:endnote>
  <w:endnote w:type="continuationSeparator" w:id="0">
    <w:p w14:paraId="2ED0B25D" w14:textId="77777777" w:rsidR="00BC062B" w:rsidRDefault="00BC062B" w:rsidP="000218BD">
      <w:r>
        <w:continuationSeparator/>
      </w:r>
    </w:p>
  </w:endnote>
  <w:endnote w:type="continuationNotice" w:id="1">
    <w:p w14:paraId="0EA88D92" w14:textId="77777777" w:rsidR="00BC062B" w:rsidRDefault="00BC062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badi">
    <w:altName w:val="Calibri"/>
    <w:charset w:val="00"/>
    <w:family w:val="swiss"/>
    <w:pitch w:val="variable"/>
    <w:sig w:usb0="8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Bold-5703-Identity-H">
    <w:altName w:val="Calibri"/>
    <w:panose1 w:val="00000000000000000000"/>
    <w:charset w:val="00"/>
    <w:family w:val="auto"/>
    <w:notTrueType/>
    <w:pitch w:val="default"/>
    <w:sig w:usb0="00000003" w:usb1="00000000" w:usb2="00000000" w:usb3="00000000" w:csb0="00000001" w:csb1="00000000"/>
  </w:font>
  <w:font w:name="ArialMT">
    <w:altName w:val="Arial"/>
    <w:panose1 w:val="00000000000000000000"/>
    <w:charset w:val="00"/>
    <w:family w:val="auto"/>
    <w:notTrueType/>
    <w:pitch w:val="default"/>
    <w:sig w:usb0="00000003" w:usb1="00000000" w:usb2="00000000" w:usb3="00000000" w:csb0="00000001" w:csb1="00000000"/>
  </w:font>
  <w:font w:name="Arial-BoldMT">
    <w:altName w:val="Arial"/>
    <w:panose1 w:val="00000000000000000000"/>
    <w:charset w:val="00"/>
    <w:family w:val="auto"/>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CG Palacio (WN)">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00000003" w:usb1="00000000" w:usb2="00000000" w:usb3="00000000" w:csb0="00000001" w:csb1="00000000"/>
  </w:font>
  <w:font w:name="ヒラギノ角ゴ Pro W3">
    <w:charset w:val="80"/>
    <w:family w:val="auto"/>
    <w:pitch w:val="variable"/>
    <w:sig w:usb0="E00002FF" w:usb1="7AC7FFFF" w:usb2="00000012" w:usb3="00000000" w:csb0="0002000D" w:csb1="00000000"/>
  </w:font>
  <w:font w:name="Helvetica Neue">
    <w:altName w:val="Arial"/>
    <w:charset w:val="00"/>
    <w:family w:val="roman"/>
    <w:pitch w:val="default"/>
  </w:font>
  <w:font w:name="Arial Unicode MS">
    <w:panose1 w:val="020B0604020202020204"/>
    <w:charset w:val="00"/>
    <w:family w:val="roman"/>
    <w:pitch w:val="variable"/>
    <w:sig w:usb0="00000003" w:usb1="00000000"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Arial-ItalicMT">
    <w:altName w:val="Arial"/>
    <w:panose1 w:val="00000000000000000000"/>
    <w:charset w:val="00"/>
    <w:family w:val="auto"/>
    <w:notTrueType/>
    <w:pitch w:val="default"/>
    <w:sig w:usb0="00000003" w:usb1="00000000" w:usb2="00000000" w:usb3="00000000" w:csb0="00000001" w:csb1="00000000"/>
  </w:font>
  <w:font w:name="Eras Bold ITC">
    <w:panose1 w:val="020B0907030504020204"/>
    <w:charset w:val="00"/>
    <w:family w:val="swiss"/>
    <w:pitch w:val="variable"/>
    <w:sig w:usb0="00000003" w:usb1="00000000" w:usb2="00000000" w:usb3="00000000" w:csb0="00000001" w:csb1="00000000"/>
  </w:font>
  <w:font w:name="Amasis MT Pro Light">
    <w:charset w:val="00"/>
    <w:family w:val="roman"/>
    <w:pitch w:val="variable"/>
    <w:sig w:usb0="A00000AF" w:usb1="4000205B" w:usb2="00000000" w:usb3="00000000" w:csb0="00000093" w:csb1="00000000"/>
  </w:font>
  <w:font w:name="Calibri-Bold">
    <w:altName w:val="Calibri"/>
    <w:panose1 w:val="00000000000000000000"/>
    <w:charset w:val="00"/>
    <w:family w:val="swiss"/>
    <w:notTrueType/>
    <w:pitch w:val="default"/>
    <w:sig w:usb0="00000003" w:usb1="00000000" w:usb2="00000000" w:usb3="00000000" w:csb0="00000001" w:csb1="00000000"/>
  </w:font>
  <w:font w:name="Calibri-Italic">
    <w:altName w:val="Calibri"/>
    <w:panose1 w:val="00000000000000000000"/>
    <w:charset w:val="00"/>
    <w:family w:val="swiss"/>
    <w:notTrueType/>
    <w:pitch w:val="default"/>
    <w:sig w:usb0="00000003" w:usb1="00000000" w:usb2="00000000" w:usb3="00000000" w:csb0="00000001" w:csb1="00000000"/>
  </w:font>
  <w:font w:name="Amasis MT Pro Light,Italic">
    <w:altName w:val="Amasis MT Pro Light"/>
    <w:panose1 w:val="00000000000000000000"/>
    <w:charset w:val="00"/>
    <w:family w:val="swiss"/>
    <w:notTrueType/>
    <w:pitch w:val="default"/>
    <w:sig w:usb0="00000003" w:usb1="00000000" w:usb2="00000000" w:usb3="00000000" w:csb0="00000001" w:csb1="00000000"/>
  </w:font>
  <w:font w:name="Amasis MT Pro">
    <w:charset w:val="00"/>
    <w:family w:val="roman"/>
    <w:pitch w:val="variable"/>
    <w:sig w:usb0="A00000AF" w:usb1="4000205B" w:usb2="00000000" w:usb3="00000000" w:csb0="00000093" w:csb1="00000000"/>
  </w:font>
  <w:font w:name="Amasis MT Pro,Italic">
    <w:altName w:val="Amasis MT Pro"/>
    <w:panose1 w:val="00000000000000000000"/>
    <w:charset w:val="00"/>
    <w:family w:val="swiss"/>
    <w:notTrueType/>
    <w:pitch w:val="default"/>
    <w:sig w:usb0="00000003" w:usb1="00000000" w:usb2="00000000" w:usb3="00000000" w:csb0="00000001" w:csb1="00000000"/>
  </w:font>
  <w:font w:name="TimesNewRomanPSMT">
    <w:altName w:val="Yu Gothic"/>
    <w:panose1 w:val="00000000000000000000"/>
    <w:charset w:val="80"/>
    <w:family w:val="auto"/>
    <w:notTrueType/>
    <w:pitch w:val="default"/>
    <w:sig w:usb0="00000001" w:usb1="08070000" w:usb2="00000010" w:usb3="00000000" w:csb0="00020000" w:csb1="00000000"/>
  </w:font>
  <w:font w:name="*Arial-10144-Identity-H">
    <w:altName w:val="Calibri"/>
    <w:panose1 w:val="00000000000000000000"/>
    <w:charset w:val="00"/>
    <w:family w:val="auto"/>
    <w:notTrueType/>
    <w:pitch w:val="default"/>
    <w:sig w:usb0="00000003" w:usb1="00000000" w:usb2="00000000" w:usb3="00000000" w:csb0="00000001" w:csb1="00000000"/>
  </w:font>
  <w:font w:name="*Arial-Bold-10146-Identity-H">
    <w:altName w:val="Calibri"/>
    <w:panose1 w:val="00000000000000000000"/>
    <w:charset w:val="00"/>
    <w:family w:val="auto"/>
    <w:notTrueType/>
    <w:pitch w:val="default"/>
    <w:sig w:usb0="00000003" w:usb1="00000000" w:usb2="00000000" w:usb3="00000000" w:csb0="00000001" w:csb1="00000000"/>
  </w:font>
  <w:font w:name="*Arial-Italic-10145-Identity-H">
    <w:altName w:val="Calibri"/>
    <w:panose1 w:val="00000000000000000000"/>
    <w:charset w:val="00"/>
    <w:family w:val="auto"/>
    <w:notTrueType/>
    <w:pitch w:val="default"/>
    <w:sig w:usb0="00000003" w:usb1="00000000" w:usb2="00000000" w:usb3="00000000" w:csb0="00000001" w:csb1="00000000"/>
  </w:font>
  <w:font w:name="*Microsoft Sans Serif-Bold-1015">
    <w:altName w:val="Calibri"/>
    <w:panose1 w:val="00000000000000000000"/>
    <w:charset w:val="00"/>
    <w:family w:val="auto"/>
    <w:notTrueType/>
    <w:pitch w:val="default"/>
    <w:sig w:usb0="00000003" w:usb1="00000000" w:usb2="00000000" w:usb3="00000000" w:csb0="00000001" w:csb1="00000000"/>
  </w:font>
  <w:font w:name="*Microsoft Sans Serif-Italic-10">
    <w:altName w:val="Calibri"/>
    <w:panose1 w:val="00000000000000000000"/>
    <w:charset w:val="00"/>
    <w:family w:val="auto"/>
    <w:notTrueType/>
    <w:pitch w:val="default"/>
    <w:sig w:usb0="00000003" w:usb1="00000000" w:usb2="00000000" w:usb3="00000000" w:csb0="00000001" w:csb1="00000000"/>
  </w:font>
  <w:font w:name="*Arial-10143-Identity-H">
    <w:altName w:val="Calibri"/>
    <w:panose1 w:val="00000000000000000000"/>
    <w:charset w:val="00"/>
    <w:family w:val="auto"/>
    <w:notTrueType/>
    <w:pitch w:val="default"/>
    <w:sig w:usb0="00000003" w:usb1="00000000" w:usb2="00000000" w:usb3="00000000" w:csb0="00000001" w:csb1="00000000"/>
  </w:font>
  <w:font w:name="*Arial-7321-Identity-H">
    <w:altName w:val="Calibri"/>
    <w:panose1 w:val="00000000000000000000"/>
    <w:charset w:val="00"/>
    <w:family w:val="auto"/>
    <w:notTrueType/>
    <w:pitch w:val="default"/>
    <w:sig w:usb0="00000003" w:usb1="00000000" w:usb2="00000000" w:usb3="00000000" w:csb0="00000001" w:csb1="00000000"/>
  </w:font>
  <w:font w:name="*Microsoft Sans Serif-7322-Iden">
    <w:altName w:val="Calibri"/>
    <w:panose1 w:val="00000000000000000000"/>
    <w:charset w:val="00"/>
    <w:family w:val="auto"/>
    <w:notTrueType/>
    <w:pitch w:val="default"/>
    <w:sig w:usb0="00000003" w:usb1="00000000" w:usb2="00000000" w:usb3="00000000" w:csb0="00000001" w:csb1="00000000"/>
  </w:font>
  <w:font w:name="*Times New Roman-Bold-7338-Iden">
    <w:altName w:val="Calibri"/>
    <w:panose1 w:val="00000000000000000000"/>
    <w:charset w:val="00"/>
    <w:family w:val="auto"/>
    <w:notTrueType/>
    <w:pitch w:val="default"/>
    <w:sig w:usb0="00000003" w:usb1="00000000" w:usb2="00000000" w:usb3="00000000" w:csb0="00000001" w:csb1="00000000"/>
  </w:font>
  <w:font w:name="*Arial-7341-Identity-H">
    <w:altName w:val="Calibri"/>
    <w:panose1 w:val="00000000000000000000"/>
    <w:charset w:val="00"/>
    <w:family w:val="auto"/>
    <w:notTrueType/>
    <w:pitch w:val="default"/>
    <w:sig w:usb0="00000003" w:usb1="00000000" w:usb2="00000000" w:usb3="00000000" w:csb0="00000001" w:csb1="00000000"/>
  </w:font>
  <w:font w:name="*Arial-7342-Identity-H">
    <w:altName w:val="Calibri"/>
    <w:panose1 w:val="00000000000000000000"/>
    <w:charset w:val="00"/>
    <w:family w:val="auto"/>
    <w:notTrueType/>
    <w:pitch w:val="default"/>
    <w:sig w:usb0="00000003" w:usb1="00000000" w:usb2="00000000" w:usb3="00000000" w:csb0="00000001" w:csb1="00000000"/>
  </w:font>
  <w:font w:name="*Calibri-7340-Identity-H">
    <w:altName w:val="Calibri"/>
    <w:panose1 w:val="00000000000000000000"/>
    <w:charset w:val="00"/>
    <w:family w:val="auto"/>
    <w:notTrueType/>
    <w:pitch w:val="default"/>
    <w:sig w:usb0="00000003" w:usb1="00000000" w:usb2="00000000" w:usb3="00000000" w:csb0="00000001" w:csb1="00000000"/>
  </w:font>
  <w:font w:name="*Arial-6382-Identity-H">
    <w:altName w:val="Calibri"/>
    <w:panose1 w:val="00000000000000000000"/>
    <w:charset w:val="00"/>
    <w:family w:val="auto"/>
    <w:notTrueType/>
    <w:pitch w:val="default"/>
    <w:sig w:usb0="00000003" w:usb1="00000000" w:usb2="00000000" w:usb3="00000000" w:csb0="00000001" w:csb1="00000000"/>
  </w:font>
  <w:font w:name="*Calibri-6381-Identity-H">
    <w:altName w:val="Calibri"/>
    <w:panose1 w:val="00000000000000000000"/>
    <w:charset w:val="00"/>
    <w:family w:val="auto"/>
    <w:notTrueType/>
    <w:pitch w:val="default"/>
    <w:sig w:usb0="00000003" w:usb1="00000000" w:usb2="00000000" w:usb3="00000000" w:csb0="00000001" w:csb1="00000000"/>
  </w:font>
  <w:font w:name="*Arial-8466-Identity-H">
    <w:altName w:val="Calibri"/>
    <w:panose1 w:val="00000000000000000000"/>
    <w:charset w:val="00"/>
    <w:family w:val="auto"/>
    <w:notTrueType/>
    <w:pitch w:val="default"/>
    <w:sig w:usb0="00000003" w:usb1="00000000" w:usb2="00000000" w:usb3="00000000" w:csb0="00000001" w:csb1="00000000"/>
  </w:font>
  <w:font w:name="*Times New Roman-Italic-8458-Id">
    <w:altName w:val="Calibri"/>
    <w:panose1 w:val="00000000000000000000"/>
    <w:charset w:val="00"/>
    <w:family w:val="auto"/>
    <w:notTrueType/>
    <w:pitch w:val="default"/>
    <w:sig w:usb0="00000003" w:usb1="00000000" w:usb2="00000000" w:usb3="00000000" w:csb0="00000001" w:csb1="00000000"/>
  </w:font>
  <w:font w:name="*Arial-Italic-8467-Identity-H">
    <w:altName w:val="Calibri"/>
    <w:panose1 w:val="00000000000000000000"/>
    <w:charset w:val="00"/>
    <w:family w:val="auto"/>
    <w:notTrueType/>
    <w:pitch w:val="default"/>
    <w:sig w:usb0="00000003" w:usb1="00000000" w:usb2="00000000" w:usb3="00000000" w:csb0="00000001" w:csb1="00000000"/>
  </w:font>
  <w:font w:name="*Microsoft Sans Serif-8470-Iden">
    <w:altName w:val="Calibri"/>
    <w:panose1 w:val="00000000000000000000"/>
    <w:charset w:val="00"/>
    <w:family w:val="auto"/>
    <w:notTrueType/>
    <w:pitch w:val="default"/>
    <w:sig w:usb0="00000003" w:usb1="00000000" w:usb2="00000000" w:usb3="00000000" w:csb0="00000001" w:csb1="00000000"/>
  </w:font>
  <w:font w:name="*Arial-5702-Identity-H">
    <w:altName w:val="Calibri"/>
    <w:panose1 w:val="00000000000000000000"/>
    <w:charset w:val="00"/>
    <w:family w:val="auto"/>
    <w:notTrueType/>
    <w:pitch w:val="default"/>
    <w:sig w:usb0="00000003" w:usb1="00000000" w:usb2="00000000" w:usb3="00000000" w:csb0="00000001" w:csb1="00000000"/>
  </w:font>
  <w:font w:name="*Times New Roman-5692-Identity-">
    <w:altName w:val="Calibri"/>
    <w:panose1 w:val="00000000000000000000"/>
    <w:charset w:val="00"/>
    <w:family w:val="auto"/>
    <w:notTrueType/>
    <w:pitch w:val="default"/>
    <w:sig w:usb0="00000003" w:usb1="00000000" w:usb2="00000000" w:usb3="00000000" w:csb0="00000001" w:csb1="00000000"/>
  </w:font>
  <w:font w:name="*Calibri-5700-Identity-H">
    <w:altName w:val="Calibri"/>
    <w:panose1 w:val="00000000000000000000"/>
    <w:charset w:val="00"/>
    <w:family w:val="auto"/>
    <w:notTrueType/>
    <w:pitch w:val="default"/>
    <w:sig w:usb0="00000003" w:usb1="00000000" w:usb2="00000000" w:usb3="00000000" w:csb0="00000001" w:csb1="00000000"/>
  </w:font>
  <w:font w:name="*Arial-Bold-7958-Identity-H">
    <w:altName w:val="Calibri"/>
    <w:panose1 w:val="00000000000000000000"/>
    <w:charset w:val="00"/>
    <w:family w:val="auto"/>
    <w:notTrueType/>
    <w:pitch w:val="default"/>
    <w:sig w:usb0="00000003" w:usb1="00000000" w:usb2="00000000" w:usb3="00000000" w:csb0="00000001" w:csb1="00000000"/>
  </w:font>
  <w:font w:name="*Arial-7957-Identity-H">
    <w:altName w:val="Calibri"/>
    <w:panose1 w:val="00000000000000000000"/>
    <w:charset w:val="00"/>
    <w:family w:val="auto"/>
    <w:notTrueType/>
    <w:pitch w:val="default"/>
    <w:sig w:usb0="00000003" w:usb1="00000000" w:usb2="00000000" w:usb3="00000000" w:csb0="00000001" w:csb1="00000000"/>
  </w:font>
  <w:font w:name="*Arial-Bold-7955-Identity-H">
    <w:altName w:val="Calibri"/>
    <w:panose1 w:val="00000000000000000000"/>
    <w:charset w:val="00"/>
    <w:family w:val="auto"/>
    <w:notTrueType/>
    <w:pitch w:val="default"/>
    <w:sig w:usb0="00000003" w:usb1="00000000" w:usb2="00000000" w:usb3="00000000" w:csb0="00000001" w:csb1="00000000"/>
  </w:font>
  <w:font w:name="*Arial-7956-Identity-H">
    <w:altName w:val="Calibri"/>
    <w:panose1 w:val="00000000000000000000"/>
    <w:charset w:val="00"/>
    <w:family w:val="auto"/>
    <w:notTrueType/>
    <w:pitch w:val="default"/>
    <w:sig w:usb0="00000003" w:usb1="00000000" w:usb2="00000000" w:usb3="00000000" w:csb0="00000001" w:csb1="00000000"/>
  </w:font>
  <w:font w:name="*Arial-Bold-7284-Identity-H">
    <w:altName w:val="Calibri"/>
    <w:panose1 w:val="00000000000000000000"/>
    <w:charset w:val="00"/>
    <w:family w:val="auto"/>
    <w:notTrueType/>
    <w:pitch w:val="default"/>
    <w:sig w:usb0="00000003" w:usb1="00000000" w:usb2="00000000" w:usb3="00000000" w:csb0="00000001" w:csb1="00000000"/>
  </w:font>
  <w:font w:name="*Microsoft Sans Serif-7631-Iden">
    <w:altName w:val="Calibri"/>
    <w:panose1 w:val="00000000000000000000"/>
    <w:charset w:val="00"/>
    <w:family w:val="auto"/>
    <w:notTrueType/>
    <w:pitch w:val="default"/>
    <w:sig w:usb0="00000003" w:usb1="00000000" w:usb2="00000000" w:usb3="00000000" w:csb0="00000001" w:csb1="00000000"/>
  </w:font>
  <w:font w:name="*Microsoft Sans Serif-Bold-7632">
    <w:altName w:val="Calibri"/>
    <w:panose1 w:val="00000000000000000000"/>
    <w:charset w:val="00"/>
    <w:family w:val="auto"/>
    <w:notTrueType/>
    <w:pitch w:val="default"/>
    <w:sig w:usb0="00000003" w:usb1="00000000" w:usb2="00000000" w:usb3="00000000" w:csb0="00000001" w:csb1="00000000"/>
  </w:font>
  <w:font w:name="*Arial-8722-Identity-H">
    <w:altName w:val="Calibri"/>
    <w:panose1 w:val="00000000000000000000"/>
    <w:charset w:val="00"/>
    <w:family w:val="auto"/>
    <w:notTrueType/>
    <w:pitch w:val="default"/>
    <w:sig w:usb0="00000003" w:usb1="00000000" w:usb2="00000000" w:usb3="00000000" w:csb0="00000001" w:csb1="00000000"/>
  </w:font>
  <w:font w:name="*Arial-Bold-7629-Identity-H">
    <w:altName w:val="Calibri"/>
    <w:panose1 w:val="00000000000000000000"/>
    <w:charset w:val="00"/>
    <w:family w:val="auto"/>
    <w:notTrueType/>
    <w:pitch w:val="default"/>
    <w:sig w:usb0="00000003" w:usb1="00000000" w:usb2="00000000" w:usb3="00000000" w:csb0="00000001" w:csb1="00000000"/>
  </w:font>
  <w:font w:name="*Microsoft Sans Serif-Bold-8723">
    <w:altName w:val="Calibri"/>
    <w:panose1 w:val="00000000000000000000"/>
    <w:charset w:val="00"/>
    <w:family w:val="auto"/>
    <w:notTrueType/>
    <w:pitch w:val="default"/>
    <w:sig w:usb0="00000003" w:usb1="00000000" w:usb2="00000000" w:usb3="00000000" w:csb0="00000001" w:csb1="00000000"/>
  </w:font>
  <w:font w:name="*Arial-8720-Identity-H">
    <w:altName w:val="Calibri"/>
    <w:panose1 w:val="00000000000000000000"/>
    <w:charset w:val="00"/>
    <w:family w:val="auto"/>
    <w:notTrueType/>
    <w:pitch w:val="default"/>
    <w:sig w:usb0="00000003" w:usb1="00000000" w:usb2="00000000" w:usb3="00000000" w:csb0="00000001" w:csb1="00000000"/>
  </w:font>
  <w:font w:name="*Arial-Bold-8721-Identity-H">
    <w:altName w:val="Calibri"/>
    <w:panose1 w:val="00000000000000000000"/>
    <w:charset w:val="00"/>
    <w:family w:val="auto"/>
    <w:notTrueType/>
    <w:pitch w:val="default"/>
    <w:sig w:usb0="00000003" w:usb1="00000000" w:usb2="00000000" w:usb3="00000000" w:csb0="00000001" w:csb1="00000000"/>
  </w:font>
  <w:font w:name="*Calibri-8719-Identity-H">
    <w:altName w:val="Calibri"/>
    <w:panose1 w:val="00000000000000000000"/>
    <w:charset w:val="00"/>
    <w:family w:val="auto"/>
    <w:notTrueType/>
    <w:pitch w:val="default"/>
    <w:sig w:usb0="00000003" w:usb1="00000000" w:usb2="00000000" w:usb3="00000000" w:csb0="00000001" w:csb1="00000000"/>
  </w:font>
  <w:font w:name="*Arial-4850-Identity-H">
    <w:altName w:val="Calibri"/>
    <w:panose1 w:val="00000000000000000000"/>
    <w:charset w:val="00"/>
    <w:family w:val="auto"/>
    <w:notTrueType/>
    <w:pitch w:val="default"/>
    <w:sig w:usb0="00000003" w:usb1="00000000" w:usb2="00000000" w:usb3="00000000" w:csb0="00000001" w:csb1="00000000"/>
  </w:font>
  <w:font w:name="*Arial-Bold-4849-Identity-H">
    <w:altName w:val="Calibri"/>
    <w:panose1 w:val="00000000000000000000"/>
    <w:charset w:val="00"/>
    <w:family w:val="auto"/>
    <w:notTrueType/>
    <w:pitch w:val="default"/>
    <w:sig w:usb0="00000003" w:usb1="00000000" w:usb2="00000000" w:usb3="00000000" w:csb0="00000001" w:csb1="00000000"/>
  </w:font>
  <w:font w:name="*Arial-Bold-6241-Identity-H">
    <w:altName w:val="Calibri"/>
    <w:panose1 w:val="00000000000000000000"/>
    <w:charset w:val="00"/>
    <w:family w:val="auto"/>
    <w:notTrueType/>
    <w:pitch w:val="default"/>
    <w:sig w:usb0="00000003" w:usb1="00000000" w:usb2="00000000" w:usb3="00000000" w:csb0="00000001" w:csb1="00000000"/>
  </w:font>
  <w:font w:name="*Calibri-6239-Identity-H">
    <w:altName w:val="Calibri"/>
    <w:panose1 w:val="00000000000000000000"/>
    <w:charset w:val="00"/>
    <w:family w:val="auto"/>
    <w:notTrueType/>
    <w:pitch w:val="default"/>
    <w:sig w:usb0="00000003" w:usb1="00000000" w:usb2="00000000" w:usb3="00000000" w:csb0="00000001" w:csb1="00000000"/>
  </w:font>
  <w:font w:name="*Arial-Bold-4802-Identity-H">
    <w:altName w:val="Calibri"/>
    <w:panose1 w:val="00000000000000000000"/>
    <w:charset w:val="00"/>
    <w:family w:val="auto"/>
    <w:notTrueType/>
    <w:pitch w:val="default"/>
    <w:sig w:usb0="00000003" w:usb1="00000000" w:usb2="00000000" w:usb3="00000000" w:csb0="00000001" w:csb1="00000000"/>
  </w:font>
  <w:font w:name="*Arial-4801-Identity-H">
    <w:altName w:val="Calibri"/>
    <w:panose1 w:val="00000000000000000000"/>
    <w:charset w:val="00"/>
    <w:family w:val="auto"/>
    <w:notTrueType/>
    <w:pitch w:val="default"/>
    <w:sig w:usb0="00000003" w:usb1="00000000" w:usb2="00000000" w:usb3="00000000" w:csb0="00000001" w:csb1="00000000"/>
  </w:font>
  <w:font w:name="*Calibri-4799-Identity-H">
    <w:altName w:val="Calibri"/>
    <w:panose1 w:val="00000000000000000000"/>
    <w:charset w:val="00"/>
    <w:family w:val="auto"/>
    <w:notTrueType/>
    <w:pitch w:val="default"/>
    <w:sig w:usb0="00000003" w:usb1="00000000" w:usb2="00000000" w:usb3="00000000" w:csb0="00000001" w:csb1="00000000"/>
  </w:font>
  <w:font w:name="*Arial-Bold-4970-Identity-H">
    <w:altName w:val="Calibri"/>
    <w:panose1 w:val="00000000000000000000"/>
    <w:charset w:val="00"/>
    <w:family w:val="auto"/>
    <w:notTrueType/>
    <w:pitch w:val="default"/>
    <w:sig w:usb0="00000003" w:usb1="00000000" w:usb2="00000000" w:usb3="00000000" w:csb0="00000001" w:csb1="00000000"/>
  </w:font>
  <w:font w:name="*Arial-4971-Identity-H">
    <w:altName w:val="Calibri"/>
    <w:panose1 w:val="00000000000000000000"/>
    <w:charset w:val="00"/>
    <w:family w:val="auto"/>
    <w:notTrueType/>
    <w:pitch w:val="default"/>
    <w:sig w:usb0="00000003" w:usb1="00000000" w:usb2="00000000" w:usb3="00000000" w:csb0="00000001" w:csb1="00000000"/>
  </w:font>
  <w:font w:name="*Calibri-4968-Identity-H">
    <w:altName w:val="Calibri"/>
    <w:panose1 w:val="00000000000000000000"/>
    <w:charset w:val="00"/>
    <w:family w:val="auto"/>
    <w:notTrueType/>
    <w:pitch w:val="default"/>
    <w:sig w:usb0="00000003" w:usb1="00000000" w:usb2="00000000" w:usb3="00000000" w:csb0="00000001" w:csb1="00000000"/>
  </w:font>
  <w:font w:name="*Arial-Bold-5192-Identity-H">
    <w:altName w:val="Calibri"/>
    <w:panose1 w:val="00000000000000000000"/>
    <w:charset w:val="00"/>
    <w:family w:val="auto"/>
    <w:notTrueType/>
    <w:pitch w:val="default"/>
    <w:sig w:usb0="00000003" w:usb1="00000000" w:usb2="00000000" w:usb3="00000000" w:csb0="00000001" w:csb1="00000000"/>
  </w:font>
  <w:font w:name="*Arial-5193-Identity-H">
    <w:altName w:val="Calibri"/>
    <w:panose1 w:val="00000000000000000000"/>
    <w:charset w:val="00"/>
    <w:family w:val="auto"/>
    <w:notTrueType/>
    <w:pitch w:val="default"/>
    <w:sig w:usb0="00000003" w:usb1="00000000" w:usb2="00000000" w:usb3="00000000" w:csb0="00000001" w:csb1="00000000"/>
  </w:font>
  <w:font w:name="*Calibri-5190-Identity-H">
    <w:altName w:val="Calibri"/>
    <w:panose1 w:val="00000000000000000000"/>
    <w:charset w:val="00"/>
    <w:family w:val="auto"/>
    <w:notTrueType/>
    <w:pitch w:val="default"/>
    <w:sig w:usb0="00000003" w:usb1="00000000" w:usb2="00000000" w:usb3="00000000" w:csb0="00000001" w:csb1="00000000"/>
  </w:font>
  <w:font w:name="*Arial-Bold-3140-Identity-H">
    <w:altName w:val="Calibri"/>
    <w:panose1 w:val="00000000000000000000"/>
    <w:charset w:val="00"/>
    <w:family w:val="auto"/>
    <w:notTrueType/>
    <w:pitch w:val="default"/>
    <w:sig w:usb0="00000003" w:usb1="00000000" w:usb2="00000000" w:usb3="00000000" w:csb0="00000001" w:csb1="00000000"/>
  </w:font>
  <w:font w:name="*Times New Roman-3132-Identity-">
    <w:altName w:val="Calibri"/>
    <w:panose1 w:val="00000000000000000000"/>
    <w:charset w:val="00"/>
    <w:family w:val="auto"/>
    <w:notTrueType/>
    <w:pitch w:val="default"/>
    <w:sig w:usb0="00000003" w:usb1="00000000" w:usb2="00000000" w:usb3="00000000" w:csb0="00000001" w:csb1="00000000"/>
  </w:font>
  <w:font w:name="*Arial-Bold-2890-Identity-H">
    <w:altName w:val="Calibri"/>
    <w:panose1 w:val="00000000000000000000"/>
    <w:charset w:val="00"/>
    <w:family w:val="auto"/>
    <w:notTrueType/>
    <w:pitch w:val="default"/>
    <w:sig w:usb0="00000003" w:usb1="00000000" w:usb2="00000000" w:usb3="00000000" w:csb0="00000001" w:csb1="00000000"/>
  </w:font>
  <w:font w:name="*Arial-Bold-2368-Identity-H">
    <w:altName w:val="Calibri"/>
    <w:panose1 w:val="00000000000000000000"/>
    <w:charset w:val="00"/>
    <w:family w:val="auto"/>
    <w:notTrueType/>
    <w:pitch w:val="default"/>
    <w:sig w:usb0="00000003" w:usb1="00000000" w:usb2="00000000" w:usb3="00000000" w:csb0="00000001" w:csb1="00000000"/>
  </w:font>
  <w:font w:name="Arial-BoldItalicMT">
    <w:altName w:val="Arial"/>
    <w:panose1 w:val="00000000000000000000"/>
    <w:charset w:val="00"/>
    <w:family w:val="swiss"/>
    <w:notTrueType/>
    <w:pitch w:val="default"/>
    <w:sig w:usb0="00000003" w:usb1="00000000" w:usb2="00000000" w:usb3="00000000" w:csb0="00000001" w:csb1="00000000"/>
  </w:font>
  <w:font w:name="SymbolMT">
    <w:altName w:val="Calibri"/>
    <w:panose1 w:val="00000000000000000000"/>
    <w:charset w:val="00"/>
    <w:family w:val="auto"/>
    <w:notTrueType/>
    <w:pitch w:val="default"/>
    <w:sig w:usb0="00000003" w:usb1="00000000" w:usb2="00000000" w:usb3="00000000" w:csb0="00000001" w:csb1="00000000"/>
  </w:font>
  <w:font w:name="Calibri Light,Italic">
    <w:altName w:val="Calibri Light"/>
    <w:panose1 w:val="00000000000000000000"/>
    <w:charset w:val="00"/>
    <w:family w:val="swiss"/>
    <w:notTrueType/>
    <w:pitch w:val="default"/>
    <w:sig w:usb0="00000003" w:usb1="00000000" w:usb2="00000000" w:usb3="00000000" w:csb0="00000001" w:csb1="00000000"/>
  </w:font>
  <w:font w:name="*Calibri-Bold-8167-Identity-H">
    <w:altName w:val="Calibri"/>
    <w:panose1 w:val="00000000000000000000"/>
    <w:charset w:val="00"/>
    <w:family w:val="auto"/>
    <w:notTrueType/>
    <w:pitch w:val="default"/>
    <w:sig w:usb0="00000003" w:usb1="00000000" w:usb2="00000000" w:usb3="00000000" w:csb0="00000001" w:csb1="00000000"/>
  </w:font>
  <w:font w:name="*Calibri-8163-Identity-H">
    <w:altName w:val="Calibri"/>
    <w:panose1 w:val="00000000000000000000"/>
    <w:charset w:val="00"/>
    <w:family w:val="auto"/>
    <w:notTrueType/>
    <w:pitch w:val="default"/>
    <w:sig w:usb0="00000003" w:usb1="00000000" w:usb2="00000000" w:usb3="00000000" w:csb0="00000001" w:csb1="00000000"/>
  </w:font>
  <w:font w:name="*Calibri-Bold-8164-Identity-H">
    <w:altName w:val="Calibri"/>
    <w:panose1 w:val="00000000000000000000"/>
    <w:charset w:val="00"/>
    <w:family w:val="auto"/>
    <w:notTrueType/>
    <w:pitch w:val="default"/>
    <w:sig w:usb0="00000003" w:usb1="00000000" w:usb2="00000000" w:usb3="00000000" w:csb0="00000001" w:csb1="00000000"/>
  </w:font>
  <w:font w:name="*Calibri-Bold-8162-Identity-H">
    <w:altName w:val="Calibri"/>
    <w:panose1 w:val="00000000000000000000"/>
    <w:charset w:val="00"/>
    <w:family w:val="auto"/>
    <w:notTrueType/>
    <w:pitch w:val="default"/>
    <w:sig w:usb0="00000003" w:usb1="00000000" w:usb2="00000000" w:usb3="00000000" w:csb0="00000001" w:csb1="00000000"/>
  </w:font>
  <w:font w:name="*Verdana-Bold-9451-Identity-H">
    <w:altName w:val="Calibri"/>
    <w:panose1 w:val="00000000000000000000"/>
    <w:charset w:val="00"/>
    <w:family w:val="auto"/>
    <w:notTrueType/>
    <w:pitch w:val="default"/>
    <w:sig w:usb0="00000003" w:usb1="00000000" w:usb2="00000000" w:usb3="00000000" w:csb0="00000001" w:csb1="00000000"/>
  </w:font>
  <w:font w:name="*Verdana-9449-Identity-H">
    <w:altName w:val="Calibri"/>
    <w:panose1 w:val="00000000000000000000"/>
    <w:charset w:val="00"/>
    <w:family w:val="auto"/>
    <w:notTrueType/>
    <w:pitch w:val="default"/>
    <w:sig w:usb0="00000003" w:usb1="00000000" w:usb2="00000000" w:usb3="00000000" w:csb0="00000001" w:csb1="00000000"/>
  </w:font>
  <w:font w:name="*Verdana-Bold-9450-Identity-H">
    <w:altName w:val="Calibri"/>
    <w:panose1 w:val="00000000000000000000"/>
    <w:charset w:val="00"/>
    <w:family w:val="auto"/>
    <w:notTrueType/>
    <w:pitch w:val="default"/>
    <w:sig w:usb0="00000003" w:usb1="00000000" w:usb2="00000000" w:usb3="00000000" w:csb0="00000001" w:csb1="00000000"/>
  </w:font>
  <w:font w:name="*Minion Pro-Bold-7428-Identity-">
    <w:altName w:val="Calibri"/>
    <w:panose1 w:val="00000000000000000000"/>
    <w:charset w:val="00"/>
    <w:family w:val="auto"/>
    <w:notTrueType/>
    <w:pitch w:val="default"/>
    <w:sig w:usb0="00000003" w:usb1="00000000" w:usb2="00000000" w:usb3="00000000" w:csb0="00000001" w:csb1="00000000"/>
  </w:font>
  <w:font w:name="*Verdana-Bold-7426-Identity-H">
    <w:altName w:val="Calibri"/>
    <w:panose1 w:val="00000000000000000000"/>
    <w:charset w:val="00"/>
    <w:family w:val="auto"/>
    <w:notTrueType/>
    <w:pitch w:val="default"/>
    <w:sig w:usb0="00000003" w:usb1="00000000" w:usb2="00000000" w:usb3="00000000" w:csb0="00000001" w:csb1="00000000"/>
  </w:font>
  <w:font w:name="*Verdana-7425-Identity-H">
    <w:altName w:val="Calibri"/>
    <w:panose1 w:val="00000000000000000000"/>
    <w:charset w:val="00"/>
    <w:family w:val="auto"/>
    <w:notTrueType/>
    <w:pitch w:val="default"/>
    <w:sig w:usb0="00000003" w:usb1="00000000" w:usb2="00000000" w:usb3="00000000" w:csb0="00000001" w:csb1="00000000"/>
  </w:font>
  <w:font w:name="*Cambria-Bold-7786-Identity-H">
    <w:altName w:val="Calibri"/>
    <w:panose1 w:val="00000000000000000000"/>
    <w:charset w:val="00"/>
    <w:family w:val="auto"/>
    <w:notTrueType/>
    <w:pitch w:val="default"/>
    <w:sig w:usb0="00000003" w:usb1="00000000" w:usb2="00000000" w:usb3="00000000" w:csb0="00000001" w:csb1="00000000"/>
  </w:font>
  <w:font w:name="*Verdana-7781-Identity-H">
    <w:altName w:val="Calibri"/>
    <w:panose1 w:val="00000000000000000000"/>
    <w:charset w:val="00"/>
    <w:family w:val="auto"/>
    <w:notTrueType/>
    <w:pitch w:val="default"/>
    <w:sig w:usb0="00000003" w:usb1="00000000" w:usb2="00000000" w:usb3="00000000" w:csb0="00000001" w:csb1="00000000"/>
  </w:font>
  <w:font w:name="*Verdana-Bold-7782-Identity-H">
    <w:altName w:val="Calibri"/>
    <w:panose1 w:val="00000000000000000000"/>
    <w:charset w:val="00"/>
    <w:family w:val="auto"/>
    <w:notTrueType/>
    <w:pitch w:val="default"/>
    <w:sig w:usb0="00000003" w:usb1="00000000" w:usb2="00000000" w:usb3="00000000" w:csb0="00000001" w:csb1="00000000"/>
  </w:font>
  <w:font w:name="*Verdana-Italic-7783-Identity-H">
    <w:altName w:val="Calibri"/>
    <w:panose1 w:val="00000000000000000000"/>
    <w:charset w:val="00"/>
    <w:family w:val="auto"/>
    <w:notTrueType/>
    <w:pitch w:val="default"/>
    <w:sig w:usb0="00000003" w:usb1="00000000" w:usb2="00000000" w:usb3="00000000" w:csb0="00000001" w:csb1="00000000"/>
  </w:font>
  <w:font w:name="*Minion Pro-Bold-7748-Identity-">
    <w:altName w:val="Calibri"/>
    <w:panose1 w:val="00000000000000000000"/>
    <w:charset w:val="00"/>
    <w:family w:val="auto"/>
    <w:notTrueType/>
    <w:pitch w:val="default"/>
    <w:sig w:usb0="00000003" w:usb1="00000000" w:usb2="00000000" w:usb3="00000000" w:csb0="00000001" w:csb1="00000000"/>
  </w:font>
  <w:font w:name="*Verdana-Bold-7746-Identity-H">
    <w:altName w:val="Calibri"/>
    <w:panose1 w:val="00000000000000000000"/>
    <w:charset w:val="00"/>
    <w:family w:val="auto"/>
    <w:notTrueType/>
    <w:pitch w:val="default"/>
    <w:sig w:usb0="00000003" w:usb1="00000000" w:usb2="00000000" w:usb3="00000000" w:csb0="00000001" w:csb1="00000000"/>
  </w:font>
  <w:font w:name="*Verdana-7745-Identity-H">
    <w:altName w:val="Calibri"/>
    <w:panose1 w:val="00000000000000000000"/>
    <w:charset w:val="00"/>
    <w:family w:val="auto"/>
    <w:notTrueType/>
    <w:pitch w:val="default"/>
    <w:sig w:usb0="00000003" w:usb1="00000000" w:usb2="00000000" w:usb3="00000000" w:csb0="00000001" w:csb1="00000000"/>
  </w:font>
  <w:font w:name="*Arial-Italic-8353-Identity-H">
    <w:altName w:val="Calibri"/>
    <w:panose1 w:val="00000000000000000000"/>
    <w:charset w:val="00"/>
    <w:family w:val="auto"/>
    <w:notTrueType/>
    <w:pitch w:val="default"/>
    <w:sig w:usb0="00000003" w:usb1="00000000" w:usb2="00000000" w:usb3="00000000" w:csb0="00000001" w:csb1="00000000"/>
  </w:font>
  <w:font w:name="*Verdana-8354-Identity-H">
    <w:altName w:val="Calibri"/>
    <w:panose1 w:val="00000000000000000000"/>
    <w:charset w:val="00"/>
    <w:family w:val="auto"/>
    <w:notTrueType/>
    <w:pitch w:val="default"/>
    <w:sig w:usb0="00000003" w:usb1="00000000" w:usb2="00000000" w:usb3="00000000" w:csb0="00000001" w:csb1="00000000"/>
  </w:font>
  <w:font w:name="*Verdana-Bold-8355-Identity-H">
    <w:altName w:val="Calibri"/>
    <w:panose1 w:val="00000000000000000000"/>
    <w:charset w:val="00"/>
    <w:family w:val="auto"/>
    <w:notTrueType/>
    <w:pitch w:val="default"/>
    <w:sig w:usb0="00000003" w:usb1="00000000" w:usb2="00000000" w:usb3="00000000" w:csb0="00000001" w:csb1="00000000"/>
  </w:font>
  <w:font w:name="*Cambria-9640-Identity-H">
    <w:altName w:val="Calibri"/>
    <w:panose1 w:val="00000000000000000000"/>
    <w:charset w:val="00"/>
    <w:family w:val="auto"/>
    <w:notTrueType/>
    <w:pitch w:val="default"/>
    <w:sig w:usb0="00000003" w:usb1="00000000" w:usb2="00000000" w:usb3="00000000" w:csb0="00000001" w:csb1="00000000"/>
  </w:font>
  <w:font w:name="*Verdana-Italic-9636-Identity-H">
    <w:altName w:val="Calibri"/>
    <w:panose1 w:val="00000000000000000000"/>
    <w:charset w:val="00"/>
    <w:family w:val="auto"/>
    <w:notTrueType/>
    <w:pitch w:val="default"/>
    <w:sig w:usb0="00000003" w:usb1="00000000" w:usb2="00000000" w:usb3="00000000" w:csb0="00000001" w:csb1="00000000"/>
  </w:font>
  <w:font w:name="*Verdana-9635-Identity-H">
    <w:altName w:val="Calibri"/>
    <w:panose1 w:val="00000000000000000000"/>
    <w:charset w:val="00"/>
    <w:family w:val="auto"/>
    <w:notTrueType/>
    <w:pitch w:val="default"/>
    <w:sig w:usb0="00000003" w:usb1="00000000" w:usb2="00000000" w:usb3="00000000" w:csb0="00000001" w:csb1="00000000"/>
  </w:font>
  <w:font w:name="*Verdana-8754-Identity-H">
    <w:altName w:val="Calibri"/>
    <w:panose1 w:val="00000000000000000000"/>
    <w:charset w:val="00"/>
    <w:family w:val="auto"/>
    <w:notTrueType/>
    <w:pitch w:val="default"/>
    <w:sig w:usb0="00000003" w:usb1="00000000" w:usb2="00000000" w:usb3="00000000" w:csb0="00000001" w:csb1="00000000"/>
  </w:font>
  <w:font w:name="*Verdana-Bold-8755-Identity-H">
    <w:altName w:val="Calibri"/>
    <w:panose1 w:val="00000000000000000000"/>
    <w:charset w:val="00"/>
    <w:family w:val="auto"/>
    <w:notTrueType/>
    <w:pitch w:val="default"/>
    <w:sig w:usb0="00000003" w:usb1="00000000" w:usb2="00000000" w:usb3="00000000" w:csb0="00000001" w:csb1="00000000"/>
  </w:font>
  <w:font w:name="*Minion Pro-Bold-8327-Identity-">
    <w:altName w:val="Calibri"/>
    <w:panose1 w:val="00000000000000000000"/>
    <w:charset w:val="00"/>
    <w:family w:val="auto"/>
    <w:notTrueType/>
    <w:pitch w:val="default"/>
    <w:sig w:usb0="00000003" w:usb1="00000000" w:usb2="00000000" w:usb3="00000000" w:csb0="00000001" w:csb1="00000000"/>
  </w:font>
  <w:font w:name="*Verdana-8324-Identity-H">
    <w:altName w:val="Calibri"/>
    <w:panose1 w:val="00000000000000000000"/>
    <w:charset w:val="00"/>
    <w:family w:val="auto"/>
    <w:notTrueType/>
    <w:pitch w:val="default"/>
    <w:sig w:usb0="00000003" w:usb1="00000000" w:usb2="00000000" w:usb3="00000000" w:csb0="00000001" w:csb1="00000000"/>
  </w:font>
  <w:font w:name="*Verdana-Bold-8325-Identity-H">
    <w:altName w:val="Calibri"/>
    <w:panose1 w:val="00000000000000000000"/>
    <w:charset w:val="00"/>
    <w:family w:val="auto"/>
    <w:notTrueType/>
    <w:pitch w:val="default"/>
    <w:sig w:usb0="00000003" w:usb1="00000000" w:usb2="00000000" w:usb3="00000000" w:csb0="00000001" w:csb1="00000000"/>
  </w:font>
  <w:font w:name="*Minion Pro-Bold-8526-Identity-">
    <w:altName w:val="Calibri"/>
    <w:panose1 w:val="00000000000000000000"/>
    <w:charset w:val="00"/>
    <w:family w:val="auto"/>
    <w:notTrueType/>
    <w:pitch w:val="default"/>
    <w:sig w:usb0="00000003" w:usb1="00000000" w:usb2="00000000" w:usb3="00000000" w:csb0="00000001" w:csb1="00000000"/>
  </w:font>
  <w:font w:name="*Verdana-8524-Identity-H">
    <w:altName w:val="Calibri"/>
    <w:panose1 w:val="00000000000000000000"/>
    <w:charset w:val="00"/>
    <w:family w:val="auto"/>
    <w:notTrueType/>
    <w:pitch w:val="default"/>
    <w:sig w:usb0="00000003" w:usb1="00000000" w:usb2="00000000" w:usb3="00000000" w:csb0="00000001" w:csb1="00000000"/>
  </w:font>
  <w:font w:name="*Verdana-Bold-8525-Identity-H">
    <w:altName w:val="Calibri"/>
    <w:panose1 w:val="00000000000000000000"/>
    <w:charset w:val="00"/>
    <w:family w:val="auto"/>
    <w:notTrueType/>
    <w:pitch w:val="default"/>
    <w:sig w:usb0="00000003" w:usb1="00000000" w:usb2="00000000" w:usb3="00000000" w:csb0="00000001" w:csb1="00000000"/>
  </w:font>
  <w:font w:name="*Verdana-Bold-5195-Identity-H">
    <w:altName w:val="Calibri"/>
    <w:panose1 w:val="00000000000000000000"/>
    <w:charset w:val="00"/>
    <w:family w:val="auto"/>
    <w:notTrueType/>
    <w:pitch w:val="default"/>
    <w:sig w:usb0="00000003" w:usb1="00000000" w:usb2="00000000" w:usb3="00000000" w:csb0="00000001" w:csb1="00000000"/>
  </w:font>
  <w:font w:name="*Verdana-Bold-4722-Identity-H">
    <w:altName w:val="Calibri"/>
    <w:panose1 w:val="00000000000000000000"/>
    <w:charset w:val="00"/>
    <w:family w:val="auto"/>
    <w:notTrueType/>
    <w:pitch w:val="default"/>
    <w:sig w:usb0="00000003" w:usb1="00000000" w:usb2="00000000" w:usb3="00000000" w:csb0="00000001" w:csb1="00000000"/>
  </w:font>
  <w:font w:name="*Verdana-Bold-6732-Identity-H">
    <w:altName w:val="Calibri"/>
    <w:panose1 w:val="00000000000000000000"/>
    <w:charset w:val="00"/>
    <w:family w:val="auto"/>
    <w:notTrueType/>
    <w:pitch w:val="default"/>
    <w:sig w:usb0="00000003" w:usb1="00000000" w:usb2="00000000" w:usb3="00000000" w:csb0="00000001" w:csb1="00000000"/>
  </w:font>
  <w:font w:name="*Verdana-6731-Identity-H">
    <w:altName w:val="Calibri"/>
    <w:panose1 w:val="00000000000000000000"/>
    <w:charset w:val="00"/>
    <w:family w:val="auto"/>
    <w:notTrueType/>
    <w:pitch w:val="default"/>
    <w:sig w:usb0="00000003" w:usb1="00000000" w:usb2="00000000" w:usb3="00000000" w:csb0="00000001" w:csb1="00000000"/>
  </w:font>
  <w:font w:name="*Minion Pro-Bold-5473-Identity-">
    <w:altName w:val="Calibri"/>
    <w:panose1 w:val="00000000000000000000"/>
    <w:charset w:val="00"/>
    <w:family w:val="auto"/>
    <w:notTrueType/>
    <w:pitch w:val="default"/>
    <w:sig w:usb0="00000003" w:usb1="00000000" w:usb2="00000000" w:usb3="00000000" w:csb0="00000001" w:csb1="00000000"/>
  </w:font>
  <w:font w:name="*Verdana-Bold-5470-Identity-H">
    <w:altName w:val="Calibri"/>
    <w:panose1 w:val="00000000000000000000"/>
    <w:charset w:val="00"/>
    <w:family w:val="auto"/>
    <w:notTrueType/>
    <w:pitch w:val="default"/>
    <w:sig w:usb0="00000003" w:usb1="00000000" w:usb2="00000000" w:usb3="00000000" w:csb0="00000001" w:csb1="00000000"/>
  </w:font>
  <w:font w:name="*Verdana-5471-Identity-H">
    <w:altName w:val="Calibri"/>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Batang">
    <w:altName w:val="바탕"/>
    <w:panose1 w:val="02030600000101010101"/>
    <w:charset w:val="81"/>
    <w:family w:val="auto"/>
    <w:pitch w:val="fixed"/>
    <w:sig w:usb0="00000001" w:usb1="09060000" w:usb2="00000010" w:usb3="00000000" w:csb0="00080000" w:csb1="00000000"/>
  </w:font>
  <w:font w:name="ArialNarrow">
    <w:altName w:val="Arial"/>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Narrow-Bold">
    <w:altName w:val="Arial"/>
    <w:panose1 w:val="00000000000000000000"/>
    <w:charset w:val="00"/>
    <w:family w:val="swiss"/>
    <w:notTrueType/>
    <w:pitch w:val="default"/>
    <w:sig w:usb0="00000003" w:usb1="00000000" w:usb2="00000000" w:usb3="00000000" w:csb0="00000001" w:csb1="00000000"/>
  </w:font>
  <w:font w:name="ArialNarrow-Italic">
    <w:altName w:val="Arial"/>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libri,Italic">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9169713"/>
      <w:temporary/>
      <w:showingPlcHdr/>
      <w15:appearance w15:val="hidden"/>
    </w:sdtPr>
    <w:sdtEndPr/>
    <w:sdtContent>
      <w:p w14:paraId="37664702" w14:textId="77777777" w:rsidR="000218BD" w:rsidRDefault="000218BD">
        <w:pPr>
          <w:pStyle w:val="Piedepgina"/>
        </w:pPr>
        <w:r>
          <w:t>[Escriba aquí]</w:t>
        </w:r>
      </w:p>
    </w:sdtContent>
  </w:sdt>
  <w:p w14:paraId="69BEE38E" w14:textId="77777777" w:rsidR="000218BD" w:rsidRDefault="000218B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4A6377" w14:textId="7539C430" w:rsidR="000218BD" w:rsidRPr="005E52C8" w:rsidRDefault="000218BD">
    <w:pPr>
      <w:tabs>
        <w:tab w:val="left" w:pos="4111"/>
      </w:tabs>
      <w:spacing w:before="100"/>
      <w:ind w:left="-142" w:right="4585"/>
      <w:jc w:val="both"/>
      <w:rPr>
        <w:b/>
        <w:i/>
        <w:sz w:val="20"/>
      </w:rPr>
    </w:pPr>
    <w:r>
      <w:rPr>
        <w:b/>
        <w:i/>
        <w:sz w:val="20"/>
      </w:rPr>
      <w:ptab w:relativeTo="margin" w:alignment="left" w:leader="none"/>
    </w:r>
    <w:r>
      <w:rPr>
        <w:b/>
        <w:i/>
        <w:sz w:val="20"/>
      </w:rPr>
      <w:ptab w:relativeTo="margin" w:alignment="left" w:leader="none"/>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3E2B3E" w14:textId="53C9DD34" w:rsidR="000218BD" w:rsidRPr="002A15D3" w:rsidRDefault="000218BD">
    <w:pPr>
      <w:widowControl w:val="0"/>
      <w:autoSpaceDE w:val="0"/>
      <w:autoSpaceDN w:val="0"/>
      <w:adjustRightInd w:val="0"/>
      <w:ind w:left="-284" w:right="5436"/>
      <w:jc w:val="both"/>
      <w:rPr>
        <w:rFonts w:ascii="Maiandra GD" w:hAnsi="Maiandra GD"/>
        <w:sz w:val="12"/>
        <w:szCs w:val="12"/>
      </w:rPr>
    </w:pPr>
    <w:r w:rsidRPr="002A15D3">
      <w:rPr>
        <w:rFonts w:ascii="Maiandra GD" w:hAnsi="Maiandra GD"/>
        <w:sz w:val="12"/>
        <w:szCs w:val="12"/>
      </w:rPr>
      <w:t>[</w:t>
    </w:r>
    <w:r>
      <w:rPr>
        <w:rStyle w:val="Refdenotaalpie"/>
        <w:rFonts w:ascii="Maiandra GD" w:hAnsi="Maiandra GD"/>
        <w:sz w:val="12"/>
        <w:szCs w:val="12"/>
      </w:rPr>
      <w:t>1</w:t>
    </w:r>
    <w:r w:rsidRPr="002A15D3">
      <w:rPr>
        <w:rFonts w:ascii="Maiandra GD" w:hAnsi="Maiandra GD"/>
        <w:sz w:val="12"/>
        <w:szCs w:val="12"/>
      </w:rPr>
      <w:t xml:space="preserve">] </w:t>
    </w:r>
    <w:r w:rsidRPr="002A15D3">
      <w:rPr>
        <w:rFonts w:ascii="Abadi" w:hAnsi="Abadi"/>
        <w:b/>
        <w:bCs/>
        <w:sz w:val="12"/>
        <w:szCs w:val="12"/>
      </w:rPr>
      <w:t>Artículo 151 de la Ley Orgánica del Poder Legislativo.</w:t>
    </w:r>
    <w:r w:rsidRPr="002A15D3">
      <w:rPr>
        <w:rFonts w:ascii="Abadi" w:hAnsi="Abadi"/>
        <w:sz w:val="12"/>
        <w:szCs w:val="12"/>
      </w:rPr>
      <w:t>» 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w:t>
    </w:r>
    <w:r>
      <w:rPr>
        <w:rFonts w:ascii="Abadi" w:hAnsi="Abadi"/>
        <w:sz w:val="12"/>
        <w:szCs w:val="12"/>
      </w:rPr>
      <w:t xml:space="preserve"> </w:t>
    </w:r>
    <w:r w:rsidRPr="002A15D3">
      <w:rPr>
        <w:rFonts w:ascii="Abadi" w:hAnsi="Abadi"/>
        <w:sz w:val="12"/>
        <w:szCs w:val="12"/>
      </w:rPr>
      <w:t>los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«asuntos con que se dé cuenta, lo anterior en un plazo de veinticuatro</w:t>
    </w:r>
    <w:r w:rsidR="0020746C">
      <w:rPr>
        <w:rFonts w:ascii="Abadi" w:hAnsi="Abadi"/>
        <w:sz w:val="12"/>
        <w:szCs w:val="12"/>
      </w:rPr>
      <w:t xml:space="preserve"> </w:t>
    </w:r>
    <w:r w:rsidR="00831C9D" w:rsidRPr="00554570">
      <w:rPr>
        <w:rFonts w:ascii="Abadi" w:hAnsi="Abadi"/>
        <w:sz w:val="14"/>
        <w:szCs w:val="14"/>
      </w:rPr>
      <w:t>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w:t>
    </w:r>
    <w:r w:rsidR="007D704F" w:rsidRPr="007D704F">
      <w:rPr>
        <w:rFonts w:ascii="Abadi" w:hAnsi="Abadi"/>
        <w:sz w:val="14"/>
        <w:szCs w:val="14"/>
      </w:rPr>
      <w:t xml:space="preserve"> </w:t>
    </w:r>
    <w:r w:rsidR="007D704F" w:rsidRPr="00554570">
      <w:rPr>
        <w:rFonts w:ascii="Abadi" w:hAnsi="Abadi"/>
        <w:sz w:val="14"/>
        <w:szCs w:val="14"/>
      </w:rPr>
      <w:t>«</w:t>
    </w:r>
    <w:r w:rsidR="008C5CFA">
      <w:rPr>
        <w:rFonts w:ascii="Abadi" w:hAnsi="Abadi"/>
        <w:sz w:val="12"/>
        <w:szCs w:val="12"/>
      </w:rPr>
      <w:t xml:space="preserve"> </w:t>
    </w:r>
    <w:r w:rsidRPr="002A15D3">
      <w:rPr>
        <w:rFonts w:ascii="Abadi" w:hAnsi="Abadi"/>
        <w:sz w:val="12"/>
        <w:szCs w:val="12"/>
      </w:rPr>
      <w:t xml:space="preserve"> </w:t>
    </w:r>
  </w:p>
  <w:p w14:paraId="6F0DE59A" w14:textId="48A59829" w:rsidR="000218BD" w:rsidRDefault="000218BD" w:rsidP="004D4359">
    <w:pPr>
      <w:pStyle w:val="Piedepgina"/>
      <w:tabs>
        <w:tab w:val="clear" w:pos="8504"/>
      </w:tabs>
      <w:ind w:right="333"/>
    </w:pPr>
    <w:r>
      <w:rPr>
        <w:noProof/>
        <w:lang w:val="es-MX" w:eastAsia="es-MX"/>
      </w:rPr>
      <mc:AlternateContent>
        <mc:Choice Requires="wpg">
          <w:drawing>
            <wp:anchor distT="0" distB="0" distL="114300" distR="114300" simplePos="0" relativeHeight="251658244" behindDoc="0" locked="0" layoutInCell="1" allowOverlap="1" wp14:anchorId="1A1948D3" wp14:editId="570B8C69">
              <wp:simplePos x="0" y="0"/>
              <wp:positionH relativeFrom="page">
                <wp:align>right</wp:align>
              </wp:positionH>
              <wp:positionV relativeFrom="bottomMargin">
                <wp:align>center</wp:align>
              </wp:positionV>
              <wp:extent cx="6172200" cy="282575"/>
              <wp:effectExtent l="0" t="0" r="0" b="3175"/>
              <wp:wrapNone/>
              <wp:docPr id="164" name="Grupo 164"/>
              <wp:cNvGraphicFramePr/>
              <a:graphic xmlns:a="http://schemas.openxmlformats.org/drawingml/2006/main">
                <a:graphicData uri="http://schemas.microsoft.com/office/word/2010/wordprocessingGroup">
                  <wpg:wgp>
                    <wpg:cNvGrpSpPr/>
                    <wpg:grpSpPr>
                      <a:xfrm>
                        <a:off x="0" y="0"/>
                        <a:ext cx="6172200" cy="282575"/>
                        <a:chOff x="0" y="0"/>
                        <a:chExt cx="6172200" cy="282575"/>
                      </a:xfrm>
                    </wpg:grpSpPr>
                    <wps:wsp>
                      <wps:cNvPr id="165" name="Rectángulo 165"/>
                      <wps:cNvSpPr/>
                      <wps:spPr>
                        <a:xfrm>
                          <a:off x="228600" y="0"/>
                          <a:ext cx="5943600" cy="27432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Cuadro de texto 166"/>
                      <wps:cNvSpPr txBox="1"/>
                      <wps:spPr>
                        <a:xfrm>
                          <a:off x="0" y="9525"/>
                          <a:ext cx="594360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444BDF" w14:textId="77777777" w:rsidR="000218BD" w:rsidRDefault="000218BD">
                            <w:pPr>
                              <w:pStyle w:val="Piedepgina"/>
                              <w:jc w:val="right"/>
                            </w:pPr>
                          </w:p>
                        </w:txbxContent>
                      </wps:txbx>
                      <wps:bodyPr rot="0" spcFirstLastPara="0" vertOverflow="overflow" horzOverflow="overflow" vert="horz" wrap="square" lIns="0" tIns="45720" rIns="0" bIns="45720" numCol="1" spcCol="0" rtlCol="0" fromWordArt="0" anchor="t" anchorCtr="0" forceAA="0" compatLnSpc="1">
                        <a:prstTxWarp prst="textNoShape">
                          <a:avLst/>
                        </a:prstTxWarp>
                        <a:spAutoFit/>
                      </wps:bodyPr>
                    </wps:wsp>
                  </wpg:wgp>
                </a:graphicData>
              </a:graphic>
            </wp:anchor>
          </w:drawing>
        </mc:Choice>
        <mc:Fallback>
          <w:pict>
            <v:group w14:anchorId="1A1948D3" id="Grupo 164" o:spid="_x0000_s1030" style="position:absolute;margin-left:434.8pt;margin-top:0;width:486pt;height:22.25pt;z-index:251658244;mso-position-horizontal:right;mso-position-horizontal-relative:page;mso-position-vertical:center;mso-position-vertical-relative:bottom-margin-area" coordsize="61722,2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">
              <v:rect id="Rectángulo 165" o:spid="_x0000_s1031" style="position:absolute;left:2286;width:59436;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" fillcolor="white [3212]" stroked="f" strokeweight="1pt">
                <v:fill opacity="0"/>
              </v:rect>
              <v:shapetype id="_x0000_t202" coordsize="21600,21600" o:spt="202" path="m,l,21600r21600,l21600,xe">
                <v:stroke joinstyle="miter"/>
                <v:path gradientshapeok="t" o:connecttype="rect"/>
              </v:shapetype>
              <v:shape id="Cuadro de texto 166" o:spid="_x0000_s1032" type="#_x0000_t202" style="position:absolute;top:95;width:59436;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" filled="f" stroked="f" strokeweight=".5pt">
                <v:textbox style="mso-fit-shape-to-text:t" inset="0,,0">
                  <w:txbxContent>
                    <w:p w14:paraId="71444BDF" w14:textId="77777777" w:rsidR="000218BD" w:rsidRDefault="000218BD">
                      <w:pPr>
                        <w:pStyle w:val="Piedepgina"/>
                        <w:jc w:val="right"/>
                      </w:pPr>
                    </w:p>
                  </w:txbxContent>
                </v:textbox>
              </v:shape>
              <w10:wrap anchorx="page" anchory="margin"/>
            </v:group>
          </w:pict>
        </mc:Fallback>
      </mc:AlternateContent>
    </w:r>
    <w:r w:rsidR="004D4359">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CE7C88" w14:textId="77777777" w:rsidR="00BC062B" w:rsidRDefault="00BC062B" w:rsidP="000218BD">
      <w:r>
        <w:separator/>
      </w:r>
    </w:p>
  </w:footnote>
  <w:footnote w:type="continuationSeparator" w:id="0">
    <w:p w14:paraId="02A74CC9" w14:textId="77777777" w:rsidR="00BC062B" w:rsidRDefault="00BC062B" w:rsidP="000218BD">
      <w:r>
        <w:continuationSeparator/>
      </w:r>
    </w:p>
  </w:footnote>
  <w:footnote w:type="continuationNotice" w:id="1">
    <w:p w14:paraId="234AB90D" w14:textId="77777777" w:rsidR="00BC062B" w:rsidRDefault="00BC062B"/>
  </w:footnote>
  <w:footnote w:id="2">
    <w:p w14:paraId="368CB69B" w14:textId="45E864DE" w:rsidR="002C47C1" w:rsidRPr="00563290" w:rsidRDefault="002C47C1" w:rsidP="00F23EDB">
      <w:pPr>
        <w:autoSpaceDE w:val="0"/>
        <w:autoSpaceDN w:val="0"/>
        <w:adjustRightInd w:val="0"/>
        <w:jc w:val="both"/>
        <w:rPr>
          <w:rFonts w:ascii="Abadi" w:hAnsi="Abadi" w:cs="Amasis MT Pro Light"/>
          <w:sz w:val="16"/>
          <w:szCs w:val="16"/>
        </w:rPr>
      </w:pPr>
      <w:r w:rsidRPr="00563290">
        <w:rPr>
          <w:rStyle w:val="Refdenotaalpie"/>
          <w:rFonts w:ascii="Abadi" w:hAnsi="Abadi"/>
          <w:sz w:val="16"/>
          <w:szCs w:val="16"/>
        </w:rPr>
        <w:footnoteRef/>
      </w:r>
      <w:r w:rsidRPr="00563290">
        <w:rPr>
          <w:rFonts w:ascii="Abadi" w:hAnsi="Abadi"/>
          <w:sz w:val="16"/>
          <w:szCs w:val="16"/>
        </w:rPr>
        <w:t xml:space="preserve"> </w:t>
      </w:r>
      <w:r w:rsidRPr="00563290">
        <w:rPr>
          <w:rFonts w:ascii="Abadi" w:hAnsi="Abadi" w:cs="Amasis MT Pro Light"/>
          <w:sz w:val="16"/>
          <w:szCs w:val="16"/>
        </w:rPr>
        <w:t>Se agradece y se reconoce al Mtro. Christian Rodríguez Zamora y el Li. Francisco Escamilla De Luna la</w:t>
      </w:r>
      <w:r w:rsidR="00CC3307" w:rsidRPr="00563290">
        <w:rPr>
          <w:rFonts w:ascii="Abadi" w:hAnsi="Abadi" w:cs="Amasis MT Pro Light"/>
          <w:sz w:val="16"/>
          <w:szCs w:val="16"/>
        </w:rPr>
        <w:t xml:space="preserve"> </w:t>
      </w:r>
      <w:r w:rsidRPr="00563290">
        <w:rPr>
          <w:rFonts w:ascii="Abadi" w:hAnsi="Abadi" w:cs="Amasis MT Pro Light"/>
          <w:sz w:val="16"/>
          <w:szCs w:val="16"/>
        </w:rPr>
        <w:t>redacción de las líneas torales de esta iniciativa.</w:t>
      </w:r>
    </w:p>
  </w:footnote>
  <w:footnote w:id="3">
    <w:p w14:paraId="53468A3E" w14:textId="25C26DA2" w:rsidR="002C47C1" w:rsidRPr="00563290" w:rsidRDefault="002C47C1" w:rsidP="00F23EDB">
      <w:pPr>
        <w:autoSpaceDE w:val="0"/>
        <w:autoSpaceDN w:val="0"/>
        <w:adjustRightInd w:val="0"/>
        <w:jc w:val="both"/>
        <w:rPr>
          <w:rFonts w:ascii="Abadi" w:hAnsi="Abadi" w:cs="Amasis MT Pro Light"/>
          <w:sz w:val="16"/>
          <w:szCs w:val="16"/>
        </w:rPr>
      </w:pPr>
      <w:r w:rsidRPr="00563290">
        <w:rPr>
          <w:rStyle w:val="Refdenotaalpie"/>
          <w:rFonts w:ascii="Abadi" w:hAnsi="Abadi"/>
          <w:sz w:val="16"/>
          <w:szCs w:val="16"/>
        </w:rPr>
        <w:footnoteRef/>
      </w:r>
      <w:r w:rsidRPr="00563290">
        <w:rPr>
          <w:rFonts w:ascii="Abadi" w:hAnsi="Abadi"/>
          <w:sz w:val="16"/>
          <w:szCs w:val="16"/>
        </w:rPr>
        <w:t xml:space="preserve"> </w:t>
      </w:r>
      <w:r w:rsidRPr="00563290">
        <w:rPr>
          <w:rFonts w:ascii="Abadi" w:hAnsi="Abadi" w:cs="Amasis MT Pro Light"/>
          <w:sz w:val="16"/>
          <w:szCs w:val="16"/>
        </w:rPr>
        <w:t>En línea: https://versionpublicarnpdno.segob.gob.mx/Dashboard/ContextoGeneral, fecha de consulta: 14</w:t>
      </w:r>
      <w:r w:rsidR="00CC3307" w:rsidRPr="00563290">
        <w:rPr>
          <w:rFonts w:ascii="Abadi" w:hAnsi="Abadi" w:cs="Amasis MT Pro Light"/>
          <w:sz w:val="16"/>
          <w:szCs w:val="16"/>
        </w:rPr>
        <w:t xml:space="preserve"> </w:t>
      </w:r>
      <w:r w:rsidRPr="00563290">
        <w:rPr>
          <w:rFonts w:ascii="Abadi" w:hAnsi="Abadi" w:cs="Amasis MT Pro Light"/>
          <w:sz w:val="16"/>
          <w:szCs w:val="16"/>
        </w:rPr>
        <w:t>de septiembre de 2022.</w:t>
      </w:r>
    </w:p>
  </w:footnote>
  <w:footnote w:id="4">
    <w:p w14:paraId="244591F3" w14:textId="59EA381B" w:rsidR="002C47C1" w:rsidRPr="00563290" w:rsidRDefault="002C47C1" w:rsidP="00F23EDB">
      <w:pPr>
        <w:autoSpaceDE w:val="0"/>
        <w:autoSpaceDN w:val="0"/>
        <w:adjustRightInd w:val="0"/>
        <w:jc w:val="both"/>
        <w:rPr>
          <w:rFonts w:ascii="Abadi" w:hAnsi="Abadi" w:cs="Amasis MT Pro Light"/>
          <w:sz w:val="16"/>
          <w:szCs w:val="16"/>
        </w:rPr>
      </w:pPr>
      <w:r w:rsidRPr="00563290">
        <w:rPr>
          <w:rStyle w:val="Refdenotaalpie"/>
          <w:rFonts w:ascii="Abadi" w:hAnsi="Abadi"/>
          <w:sz w:val="16"/>
          <w:szCs w:val="16"/>
        </w:rPr>
        <w:footnoteRef/>
      </w:r>
      <w:r w:rsidRPr="00563290">
        <w:rPr>
          <w:rFonts w:ascii="Abadi" w:hAnsi="Abadi"/>
          <w:sz w:val="16"/>
          <w:szCs w:val="16"/>
        </w:rPr>
        <w:t xml:space="preserve"> </w:t>
      </w:r>
      <w:r w:rsidRPr="00563290">
        <w:rPr>
          <w:rFonts w:ascii="Abadi" w:hAnsi="Abadi" w:cs="Amasis MT Pro Light"/>
          <w:sz w:val="16"/>
          <w:szCs w:val="16"/>
        </w:rPr>
        <w:t>Urrejola Noguera, Antonia, y Pascual Ricke, Tomás Ignacio, “La incorporación del derecho a la verdad en el</w:t>
      </w:r>
      <w:r w:rsidR="00CC3307" w:rsidRPr="00563290">
        <w:rPr>
          <w:rFonts w:ascii="Abadi" w:hAnsi="Abadi" w:cs="Amasis MT Pro Light"/>
          <w:sz w:val="16"/>
          <w:szCs w:val="16"/>
        </w:rPr>
        <w:t xml:space="preserve"> </w:t>
      </w:r>
      <w:r w:rsidRPr="00563290">
        <w:rPr>
          <w:rFonts w:ascii="Abadi" w:hAnsi="Abadi" w:cs="Amasis MT Pro Light"/>
          <w:sz w:val="16"/>
          <w:szCs w:val="16"/>
        </w:rPr>
        <w:t>Sistema Interamericano de Derechos Humanos como derecho autónomo a partir de la desaparición forzada</w:t>
      </w:r>
      <w:r w:rsidR="00CC3307" w:rsidRPr="00563290">
        <w:rPr>
          <w:rFonts w:ascii="Abadi" w:hAnsi="Abadi" w:cs="Amasis MT Pro Light"/>
          <w:sz w:val="16"/>
          <w:szCs w:val="16"/>
        </w:rPr>
        <w:t xml:space="preserve"> </w:t>
      </w:r>
      <w:r w:rsidRPr="00563290">
        <w:rPr>
          <w:rFonts w:ascii="Abadi" w:hAnsi="Abadi" w:cs="Amasis MT Pro Light"/>
          <w:sz w:val="16"/>
          <w:szCs w:val="16"/>
        </w:rPr>
        <w:t>de personas”, en Desaparición Forzada en el Sistema Interamericano de Derechos Humanos. Balance,</w:t>
      </w:r>
    </w:p>
    <w:p w14:paraId="4D3191D1" w14:textId="12A75FD2" w:rsidR="002C47C1" w:rsidRPr="00563290" w:rsidRDefault="002C47C1" w:rsidP="00F23EDB">
      <w:pPr>
        <w:autoSpaceDE w:val="0"/>
        <w:autoSpaceDN w:val="0"/>
        <w:adjustRightInd w:val="0"/>
        <w:jc w:val="both"/>
        <w:rPr>
          <w:rFonts w:ascii="Abadi" w:hAnsi="Abadi" w:cs="Amasis MT Pro Light"/>
          <w:sz w:val="16"/>
          <w:szCs w:val="16"/>
        </w:rPr>
      </w:pPr>
      <w:r w:rsidRPr="00563290">
        <w:rPr>
          <w:rFonts w:ascii="Abadi" w:hAnsi="Abadi" w:cs="Amasis MT Pro Light"/>
          <w:sz w:val="16"/>
          <w:szCs w:val="16"/>
        </w:rPr>
        <w:t>Impactos y Desafíos, p. 96, en línea: https://www.corteidh.or.cr/tablas/r39763.pdf, fecha de consulta: 14 de</w:t>
      </w:r>
      <w:r w:rsidR="00CC3307" w:rsidRPr="00563290">
        <w:rPr>
          <w:rFonts w:ascii="Abadi" w:hAnsi="Abadi" w:cs="Amasis MT Pro Light"/>
          <w:sz w:val="16"/>
          <w:szCs w:val="16"/>
        </w:rPr>
        <w:t xml:space="preserve"> </w:t>
      </w:r>
      <w:r w:rsidRPr="00563290">
        <w:rPr>
          <w:rFonts w:ascii="Abadi" w:hAnsi="Abadi" w:cs="Amasis MT Pro Light"/>
          <w:sz w:val="16"/>
          <w:szCs w:val="16"/>
        </w:rPr>
        <w:t>septiembre de 2022.</w:t>
      </w:r>
    </w:p>
  </w:footnote>
  <w:footnote w:id="5">
    <w:p w14:paraId="01B3E79B" w14:textId="77777777" w:rsidR="002C47C1" w:rsidRPr="00563290" w:rsidRDefault="002C47C1" w:rsidP="00F23EDB">
      <w:pPr>
        <w:autoSpaceDE w:val="0"/>
        <w:autoSpaceDN w:val="0"/>
        <w:adjustRightInd w:val="0"/>
        <w:jc w:val="both"/>
        <w:rPr>
          <w:rFonts w:ascii="Abadi" w:hAnsi="Abadi" w:cs="Amasis MT Pro Light"/>
          <w:sz w:val="16"/>
          <w:szCs w:val="16"/>
        </w:rPr>
      </w:pPr>
      <w:r w:rsidRPr="00563290">
        <w:rPr>
          <w:rStyle w:val="Refdenotaalpie"/>
          <w:rFonts w:ascii="Abadi" w:hAnsi="Abadi"/>
          <w:sz w:val="16"/>
          <w:szCs w:val="16"/>
        </w:rPr>
        <w:footnoteRef/>
      </w:r>
      <w:r w:rsidRPr="00563290">
        <w:rPr>
          <w:rFonts w:ascii="Abadi" w:hAnsi="Abadi"/>
          <w:sz w:val="16"/>
          <w:szCs w:val="16"/>
        </w:rPr>
        <w:t xml:space="preserve"> </w:t>
      </w:r>
      <w:r w:rsidRPr="00563290">
        <w:rPr>
          <w:rFonts w:ascii="Abadi" w:hAnsi="Abadi" w:cs="Amasis MT Pro Light"/>
          <w:sz w:val="16"/>
          <w:szCs w:val="16"/>
        </w:rPr>
        <w:t>Molina Theissen, Ana Lucrecia, “La desaparición forzada de personas en América Latina”, p. 121, en línea:</w:t>
      </w:r>
    </w:p>
    <w:p w14:paraId="6DC8CF44" w14:textId="77777777" w:rsidR="002C47C1" w:rsidRPr="00563290" w:rsidRDefault="002C47C1" w:rsidP="00F23EDB">
      <w:pPr>
        <w:pStyle w:val="Textonotapie"/>
        <w:jc w:val="both"/>
        <w:rPr>
          <w:rFonts w:ascii="Abadi" w:hAnsi="Abadi"/>
          <w:sz w:val="16"/>
          <w:szCs w:val="16"/>
        </w:rPr>
      </w:pPr>
      <w:r w:rsidRPr="00563290">
        <w:rPr>
          <w:rFonts w:ascii="Abadi" w:hAnsi="Abadi" w:cs="Amasis MT Pro Light"/>
          <w:sz w:val="16"/>
          <w:szCs w:val="16"/>
        </w:rPr>
        <w:t>https://www.corteidh.or.cr/tablas/a12028.pdf, fecha de consulta: 14 de septiembre de 2022.</w:t>
      </w:r>
    </w:p>
  </w:footnote>
  <w:footnote w:id="6">
    <w:p w14:paraId="4BC4591E" w14:textId="673F98D1" w:rsidR="002C47C1" w:rsidRPr="00563290" w:rsidRDefault="002C47C1" w:rsidP="00F23EDB">
      <w:pPr>
        <w:autoSpaceDE w:val="0"/>
        <w:autoSpaceDN w:val="0"/>
        <w:adjustRightInd w:val="0"/>
        <w:jc w:val="both"/>
        <w:rPr>
          <w:rFonts w:ascii="Abadi" w:hAnsi="Abadi" w:cs="Amasis MT Pro Light"/>
          <w:sz w:val="16"/>
          <w:szCs w:val="16"/>
        </w:rPr>
      </w:pPr>
      <w:r w:rsidRPr="00563290">
        <w:rPr>
          <w:rStyle w:val="Refdenotaalpie"/>
          <w:rFonts w:ascii="Abadi" w:hAnsi="Abadi"/>
          <w:sz w:val="16"/>
          <w:szCs w:val="16"/>
        </w:rPr>
        <w:footnoteRef/>
      </w:r>
      <w:r w:rsidRPr="00563290">
        <w:rPr>
          <w:rFonts w:ascii="Abadi" w:hAnsi="Abadi"/>
          <w:sz w:val="16"/>
          <w:szCs w:val="16"/>
        </w:rPr>
        <w:t xml:space="preserve"> </w:t>
      </w:r>
      <w:r w:rsidRPr="00563290">
        <w:rPr>
          <w:rFonts w:ascii="Abadi" w:hAnsi="Abadi" w:cs="Amasis MT Pro Light"/>
          <w:sz w:val="16"/>
          <w:szCs w:val="16"/>
        </w:rPr>
        <w:t>Spigno, Irene, y Zamora Valadez, Carlos, “Evolución de la</w:t>
      </w:r>
      <w:r w:rsidR="00CC3307" w:rsidRPr="00563290">
        <w:rPr>
          <w:rFonts w:ascii="Abadi" w:hAnsi="Abadi" w:cs="Amasis MT Pro Light"/>
          <w:sz w:val="16"/>
          <w:szCs w:val="16"/>
        </w:rPr>
        <w:t xml:space="preserve"> </w:t>
      </w:r>
      <w:r w:rsidRPr="00563290">
        <w:rPr>
          <w:rFonts w:ascii="Abadi" w:hAnsi="Abadi" w:cs="Amasis MT Pro Light"/>
          <w:sz w:val="16"/>
          <w:szCs w:val="16"/>
        </w:rPr>
        <w:t>desaparición forzada de personas en México.</w:t>
      </w:r>
    </w:p>
    <w:p w14:paraId="469BB694" w14:textId="77777777" w:rsidR="002C47C1" w:rsidRPr="00563290" w:rsidRDefault="002C47C1" w:rsidP="00F23EDB">
      <w:pPr>
        <w:autoSpaceDE w:val="0"/>
        <w:autoSpaceDN w:val="0"/>
        <w:adjustRightInd w:val="0"/>
        <w:jc w:val="both"/>
        <w:rPr>
          <w:rFonts w:ascii="Abadi" w:hAnsi="Abadi" w:cs="Amasis MT Pro Light"/>
          <w:sz w:val="16"/>
          <w:szCs w:val="16"/>
        </w:rPr>
      </w:pPr>
      <w:r w:rsidRPr="00563290">
        <w:rPr>
          <w:rFonts w:ascii="Abadi" w:hAnsi="Abadi" w:cs="Amasis MT Pro Light"/>
          <w:sz w:val="16"/>
          <w:szCs w:val="16"/>
        </w:rPr>
        <w:t>Análisis a la luz de la jurisprudencia de la Corte Interamericana de Derechos Humanos”, p. 526, en línea:</w:t>
      </w:r>
    </w:p>
    <w:p w14:paraId="5ACC4E5E" w14:textId="21D2E6E9" w:rsidR="002C47C1" w:rsidRPr="00563290" w:rsidRDefault="002C47C1" w:rsidP="00F23EDB">
      <w:pPr>
        <w:autoSpaceDE w:val="0"/>
        <w:autoSpaceDN w:val="0"/>
        <w:adjustRightInd w:val="0"/>
        <w:jc w:val="both"/>
        <w:rPr>
          <w:rFonts w:ascii="Abadi" w:hAnsi="Abadi" w:cs="Amasis MT Pro Light"/>
          <w:sz w:val="16"/>
          <w:szCs w:val="16"/>
        </w:rPr>
      </w:pPr>
      <w:r w:rsidRPr="00563290">
        <w:rPr>
          <w:rFonts w:ascii="Abadi" w:hAnsi="Abadi" w:cs="Amasis MT Pro Light"/>
          <w:sz w:val="16"/>
          <w:szCs w:val="16"/>
        </w:rPr>
        <w:t>https://archivos.juridicas.unam.mx/www/bjv/libros/13/6405/17.pdf, fecha de consulta: 14 de septiembre</w:t>
      </w:r>
      <w:r w:rsidR="00CC3307" w:rsidRPr="00563290">
        <w:rPr>
          <w:rFonts w:ascii="Abadi" w:hAnsi="Abadi" w:cs="Amasis MT Pro Light"/>
          <w:sz w:val="16"/>
          <w:szCs w:val="16"/>
        </w:rPr>
        <w:t xml:space="preserve"> </w:t>
      </w:r>
      <w:r w:rsidRPr="00563290">
        <w:rPr>
          <w:rFonts w:ascii="Abadi" w:hAnsi="Abadi" w:cs="Amasis MT Pro Light"/>
          <w:sz w:val="16"/>
          <w:szCs w:val="16"/>
        </w:rPr>
        <w:t>de 2022.</w:t>
      </w:r>
    </w:p>
  </w:footnote>
  <w:footnote w:id="7">
    <w:p w14:paraId="01AB7004" w14:textId="287CBDEE" w:rsidR="002C47C1" w:rsidRPr="00563290" w:rsidRDefault="002C47C1" w:rsidP="00F23EDB">
      <w:pPr>
        <w:autoSpaceDE w:val="0"/>
        <w:autoSpaceDN w:val="0"/>
        <w:adjustRightInd w:val="0"/>
        <w:jc w:val="both"/>
        <w:rPr>
          <w:rFonts w:ascii="Abadi" w:hAnsi="Abadi" w:cs="Amasis MT Pro Light"/>
          <w:sz w:val="16"/>
          <w:szCs w:val="16"/>
        </w:rPr>
      </w:pPr>
      <w:r w:rsidRPr="00563290">
        <w:rPr>
          <w:rStyle w:val="Refdenotaalpie"/>
          <w:rFonts w:ascii="Abadi" w:hAnsi="Abadi"/>
          <w:sz w:val="16"/>
          <w:szCs w:val="16"/>
        </w:rPr>
        <w:footnoteRef/>
      </w:r>
      <w:r w:rsidRPr="00563290">
        <w:rPr>
          <w:rFonts w:ascii="Abadi" w:hAnsi="Abadi"/>
          <w:sz w:val="16"/>
          <w:szCs w:val="16"/>
        </w:rPr>
        <w:t xml:space="preserve"> </w:t>
      </w:r>
      <w:r w:rsidRPr="00563290">
        <w:rPr>
          <w:rFonts w:ascii="Abadi" w:hAnsi="Abadi" w:cs="Amasis MT Pro Light"/>
          <w:sz w:val="16"/>
          <w:szCs w:val="16"/>
        </w:rPr>
        <w:t>La desaparición forzada en México: Una mirada desde los</w:t>
      </w:r>
      <w:r w:rsidR="00CC3307" w:rsidRPr="00563290">
        <w:rPr>
          <w:rFonts w:ascii="Abadi" w:hAnsi="Abadi" w:cs="Amasis MT Pro Light"/>
          <w:sz w:val="16"/>
          <w:szCs w:val="16"/>
        </w:rPr>
        <w:t xml:space="preserve"> </w:t>
      </w:r>
      <w:r w:rsidRPr="00563290">
        <w:rPr>
          <w:rFonts w:ascii="Abadi" w:hAnsi="Abadi" w:cs="Amasis MT Pro Light"/>
          <w:sz w:val="16"/>
          <w:szCs w:val="16"/>
        </w:rPr>
        <w:t>organismos del Sistema de Naciones Unidas, 3ª</w:t>
      </w:r>
      <w:r w:rsidR="00CC3307" w:rsidRPr="00563290">
        <w:rPr>
          <w:rFonts w:ascii="Abadi" w:hAnsi="Abadi" w:cs="Amasis MT Pro Light"/>
          <w:sz w:val="16"/>
          <w:szCs w:val="16"/>
        </w:rPr>
        <w:t xml:space="preserve"> </w:t>
      </w:r>
      <w:r w:rsidRPr="00563290">
        <w:rPr>
          <w:rFonts w:ascii="Abadi" w:hAnsi="Abadi" w:cs="Amasis MT Pro Light"/>
          <w:sz w:val="16"/>
          <w:szCs w:val="16"/>
        </w:rPr>
        <w:t>edición, p. 31, en línea: https://hchr.org.mx/wp/wpcontent/uploads/2022/08/3ed_DesaparicionForzadaEnMX_Una-mirada_SistemaONU_2022_web.pdf</w:t>
      </w:r>
    </w:p>
  </w:footnote>
  <w:footnote w:id="8">
    <w:p w14:paraId="5A52DFBA" w14:textId="244DA19F" w:rsidR="002C47C1" w:rsidRPr="00563290" w:rsidRDefault="002C47C1" w:rsidP="00F23EDB">
      <w:pPr>
        <w:autoSpaceDE w:val="0"/>
        <w:autoSpaceDN w:val="0"/>
        <w:adjustRightInd w:val="0"/>
        <w:jc w:val="both"/>
        <w:rPr>
          <w:rFonts w:ascii="Abadi" w:hAnsi="Abadi" w:cs="Calibri-Italic"/>
          <w:i/>
          <w:iCs/>
          <w:sz w:val="16"/>
          <w:szCs w:val="15"/>
        </w:rPr>
      </w:pPr>
      <w:r w:rsidRPr="00563290">
        <w:rPr>
          <w:rStyle w:val="Refdenotaalpie"/>
          <w:rFonts w:ascii="Abadi" w:hAnsi="Abadi"/>
          <w:sz w:val="16"/>
          <w:szCs w:val="16"/>
        </w:rPr>
        <w:footnoteRef/>
      </w:r>
      <w:r w:rsidRPr="00563290">
        <w:rPr>
          <w:rFonts w:ascii="Abadi" w:hAnsi="Abadi"/>
          <w:sz w:val="16"/>
          <w:szCs w:val="16"/>
        </w:rPr>
        <w:t xml:space="preserve"> </w:t>
      </w:r>
      <w:r w:rsidRPr="00563290">
        <w:rPr>
          <w:rFonts w:ascii="Abadi" w:hAnsi="Abadi" w:cs="Calibri"/>
          <w:sz w:val="16"/>
          <w:szCs w:val="16"/>
        </w:rPr>
        <w:t xml:space="preserve">V. Payne, Pereira y Bernal Bermúdez, </w:t>
      </w:r>
      <w:r w:rsidRPr="00563290">
        <w:rPr>
          <w:rFonts w:ascii="Abadi" w:hAnsi="Abadi" w:cs="Calibri-Italic"/>
          <w:i/>
          <w:iCs/>
          <w:sz w:val="16"/>
          <w:szCs w:val="15"/>
        </w:rPr>
        <w:t>Transitional Justice and Corporate Accountability from Below:</w:t>
      </w:r>
      <w:r w:rsidR="003037AD" w:rsidRPr="00563290">
        <w:rPr>
          <w:rFonts w:ascii="Abadi" w:hAnsi="Abadi" w:cs="Calibri-Italic"/>
          <w:i/>
          <w:iCs/>
          <w:sz w:val="16"/>
          <w:szCs w:val="15"/>
        </w:rPr>
        <w:t xml:space="preserve"> </w:t>
      </w:r>
      <w:r w:rsidRPr="00563290">
        <w:rPr>
          <w:rFonts w:ascii="Abadi" w:hAnsi="Abadi" w:cs="Calibri-Italic"/>
          <w:i/>
          <w:iCs/>
          <w:sz w:val="16"/>
          <w:szCs w:val="15"/>
        </w:rPr>
        <w:t>Deploying Archimedes’ Lever</w:t>
      </w:r>
      <w:r w:rsidRPr="00563290">
        <w:rPr>
          <w:rFonts w:ascii="Abadi" w:hAnsi="Abadi" w:cs="Calibri"/>
          <w:sz w:val="16"/>
          <w:szCs w:val="16"/>
        </w:rPr>
        <w:t>, en Manual sobre desaparición de personas, Tapia Olivares, Luis Eliud, Coord., p.</w:t>
      </w:r>
    </w:p>
    <w:p w14:paraId="028CF1BB" w14:textId="65A4D7AF" w:rsidR="002C47C1" w:rsidRPr="00563290" w:rsidRDefault="002C47C1" w:rsidP="00F23EDB">
      <w:pPr>
        <w:autoSpaceDE w:val="0"/>
        <w:autoSpaceDN w:val="0"/>
        <w:adjustRightInd w:val="0"/>
        <w:jc w:val="both"/>
        <w:rPr>
          <w:rFonts w:ascii="Abadi" w:hAnsi="Abadi" w:cs="Calibri"/>
          <w:sz w:val="16"/>
          <w:szCs w:val="16"/>
        </w:rPr>
      </w:pPr>
      <w:r w:rsidRPr="00563290">
        <w:rPr>
          <w:rFonts w:ascii="Abadi" w:hAnsi="Abadi" w:cs="Calibri"/>
          <w:sz w:val="16"/>
          <w:szCs w:val="16"/>
        </w:rPr>
        <w:t>25, en línea: https://www.scjn.gob.mx/derechos</w:t>
      </w:r>
      <w:r w:rsidR="003037AD" w:rsidRPr="00563290">
        <w:rPr>
          <w:rFonts w:ascii="Abadi" w:hAnsi="Abadi" w:cs="Calibri"/>
          <w:sz w:val="16"/>
          <w:szCs w:val="16"/>
        </w:rPr>
        <w:t>-</w:t>
      </w:r>
      <w:r w:rsidRPr="00563290">
        <w:rPr>
          <w:rFonts w:ascii="Abadi" w:hAnsi="Abadi" w:cs="Calibri"/>
          <w:sz w:val="16"/>
          <w:szCs w:val="16"/>
        </w:rPr>
        <w:t>humanos/sites/default/files/Publicaciones/archivos/2022</w:t>
      </w:r>
      <w:r w:rsidR="003037AD" w:rsidRPr="00563290">
        <w:rPr>
          <w:rFonts w:ascii="Abadi" w:hAnsi="Abadi" w:cs="Calibri"/>
          <w:sz w:val="16"/>
          <w:szCs w:val="16"/>
        </w:rPr>
        <w:t>/</w:t>
      </w:r>
      <w:r w:rsidRPr="00563290">
        <w:rPr>
          <w:rFonts w:ascii="Abadi" w:hAnsi="Abadi" w:cs="Calibri"/>
          <w:sz w:val="16"/>
          <w:szCs w:val="16"/>
        </w:rPr>
        <w:t>10/Manual%20de%20desaparicion%20de%20personas.pdf, consultado el 7</w:t>
      </w:r>
      <w:r w:rsidR="003037AD" w:rsidRPr="00563290">
        <w:rPr>
          <w:rFonts w:ascii="Abadi" w:hAnsi="Abadi" w:cs="Calibri"/>
          <w:sz w:val="16"/>
          <w:szCs w:val="16"/>
        </w:rPr>
        <w:t xml:space="preserve"> </w:t>
      </w:r>
      <w:r w:rsidRPr="00563290">
        <w:rPr>
          <w:rFonts w:ascii="Abadi" w:hAnsi="Abadi" w:cs="Calibri"/>
          <w:sz w:val="16"/>
          <w:szCs w:val="16"/>
        </w:rPr>
        <w:t>de octubre de 2022.</w:t>
      </w:r>
    </w:p>
  </w:footnote>
  <w:footnote w:id="9">
    <w:p w14:paraId="74223A6B" w14:textId="77777777" w:rsidR="002C47C1" w:rsidRPr="00563290" w:rsidRDefault="002C47C1" w:rsidP="00F23EDB">
      <w:pPr>
        <w:autoSpaceDE w:val="0"/>
        <w:autoSpaceDN w:val="0"/>
        <w:adjustRightInd w:val="0"/>
        <w:jc w:val="both"/>
        <w:rPr>
          <w:rFonts w:ascii="Abadi" w:hAnsi="Abadi" w:cs="Amasis MT Pro Light"/>
          <w:sz w:val="16"/>
          <w:szCs w:val="16"/>
        </w:rPr>
      </w:pPr>
      <w:r w:rsidRPr="00563290">
        <w:rPr>
          <w:rStyle w:val="Refdenotaalpie"/>
          <w:rFonts w:ascii="Abadi" w:hAnsi="Abadi"/>
          <w:sz w:val="16"/>
          <w:szCs w:val="16"/>
        </w:rPr>
        <w:footnoteRef/>
      </w:r>
      <w:r w:rsidRPr="00563290">
        <w:rPr>
          <w:rFonts w:ascii="Abadi" w:hAnsi="Abadi"/>
          <w:sz w:val="16"/>
          <w:szCs w:val="16"/>
        </w:rPr>
        <w:t xml:space="preserve"> </w:t>
      </w:r>
      <w:r w:rsidRPr="00563290">
        <w:rPr>
          <w:rFonts w:ascii="Abadi" w:hAnsi="Abadi" w:cs="Amasis MT Pro Light"/>
          <w:sz w:val="16"/>
          <w:szCs w:val="16"/>
        </w:rPr>
        <w:t>En línea:</w:t>
      </w:r>
    </w:p>
    <w:p w14:paraId="7C0E42E2" w14:textId="6F97F7D6" w:rsidR="002C47C1" w:rsidRPr="00563290" w:rsidRDefault="002C47C1" w:rsidP="00F23EDB">
      <w:pPr>
        <w:autoSpaceDE w:val="0"/>
        <w:autoSpaceDN w:val="0"/>
        <w:adjustRightInd w:val="0"/>
        <w:jc w:val="both"/>
        <w:rPr>
          <w:rFonts w:ascii="Abadi" w:hAnsi="Abadi" w:cs="Amasis MT Pro Light"/>
          <w:sz w:val="16"/>
          <w:szCs w:val="16"/>
        </w:rPr>
      </w:pPr>
      <w:r w:rsidRPr="00563290">
        <w:rPr>
          <w:rFonts w:ascii="Abadi" w:hAnsi="Abadi" w:cs="Amasis MT Pro Light"/>
          <w:sz w:val="16"/>
          <w:szCs w:val="16"/>
        </w:rPr>
        <w:t>http://www.comisionayotzinapa.segob.gob.mx/work/models/Comision_para_la_Verdad/Documentos/pdf/Informe_de_la_Presidencia_PARA_WEB.pdf, consultado el 14 de septiembre de 2022.</w:t>
      </w:r>
    </w:p>
  </w:footnote>
  <w:footnote w:id="10">
    <w:p w14:paraId="4A28DB60" w14:textId="77777777" w:rsidR="002C47C1" w:rsidRPr="00563290" w:rsidRDefault="002C47C1" w:rsidP="00F23EDB">
      <w:pPr>
        <w:pStyle w:val="Textonotapie"/>
        <w:jc w:val="both"/>
        <w:rPr>
          <w:sz w:val="14"/>
          <w:szCs w:val="14"/>
        </w:rPr>
      </w:pPr>
      <w:r w:rsidRPr="00563290">
        <w:rPr>
          <w:rStyle w:val="Refdenotaalpie"/>
          <w:rFonts w:ascii="Abadi" w:hAnsi="Abadi"/>
          <w:sz w:val="16"/>
          <w:szCs w:val="16"/>
        </w:rPr>
        <w:footnoteRef/>
      </w:r>
      <w:r w:rsidRPr="00563290">
        <w:rPr>
          <w:rFonts w:ascii="Abadi" w:hAnsi="Abadi"/>
          <w:sz w:val="16"/>
          <w:szCs w:val="16"/>
        </w:rPr>
        <w:t xml:space="preserve"> </w:t>
      </w:r>
      <w:r w:rsidRPr="00563290">
        <w:rPr>
          <w:rFonts w:ascii="Abadi" w:hAnsi="Abadi" w:cs="Amasis MT Pro Light"/>
          <w:sz w:val="16"/>
          <w:szCs w:val="16"/>
        </w:rPr>
        <w:t>Amparo en revisión 51/2020 la Primera Sala de la Suprema Corte de Justicia.</w:t>
      </w:r>
    </w:p>
  </w:footnote>
  <w:footnote w:id="11">
    <w:p w14:paraId="4910EDA2" w14:textId="02A64E37" w:rsidR="002C47C1" w:rsidRPr="00563290" w:rsidRDefault="002C47C1" w:rsidP="00F23EDB">
      <w:pPr>
        <w:autoSpaceDE w:val="0"/>
        <w:autoSpaceDN w:val="0"/>
        <w:adjustRightInd w:val="0"/>
        <w:jc w:val="both"/>
        <w:rPr>
          <w:rFonts w:ascii="Abadi" w:hAnsi="Abadi" w:cs="Amasis MT Pro Light"/>
          <w:sz w:val="16"/>
          <w:szCs w:val="16"/>
        </w:rPr>
      </w:pPr>
      <w:r w:rsidRPr="00563290">
        <w:rPr>
          <w:rStyle w:val="Refdenotaalpie"/>
          <w:rFonts w:ascii="Abadi" w:hAnsi="Abadi"/>
          <w:sz w:val="16"/>
          <w:szCs w:val="16"/>
        </w:rPr>
        <w:footnoteRef/>
      </w:r>
      <w:r w:rsidRPr="00563290">
        <w:rPr>
          <w:rFonts w:ascii="Abadi" w:hAnsi="Abadi"/>
          <w:sz w:val="16"/>
          <w:szCs w:val="16"/>
        </w:rPr>
        <w:t xml:space="preserve"> </w:t>
      </w:r>
      <w:r w:rsidRPr="00563290">
        <w:rPr>
          <w:rFonts w:ascii="Abadi" w:hAnsi="Abadi" w:cs="Amasis MT Pro Light"/>
          <w:sz w:val="16"/>
          <w:szCs w:val="16"/>
        </w:rPr>
        <w:t>La desaparición forzada en México: Una mirada desde los organismos del Sistema de Naciones Unidas, 2ª</w:t>
      </w:r>
      <w:r w:rsidR="003037AD" w:rsidRPr="00563290">
        <w:rPr>
          <w:rFonts w:ascii="Abadi" w:hAnsi="Abadi" w:cs="Amasis MT Pro Light"/>
          <w:sz w:val="16"/>
          <w:szCs w:val="16"/>
        </w:rPr>
        <w:t xml:space="preserve"> </w:t>
      </w:r>
      <w:r w:rsidRPr="00563290">
        <w:rPr>
          <w:rFonts w:ascii="Abadi" w:hAnsi="Abadi" w:cs="Amasis MT Pro Light"/>
          <w:sz w:val="16"/>
          <w:szCs w:val="16"/>
        </w:rPr>
        <w:t>edición, p. 12.</w:t>
      </w:r>
    </w:p>
  </w:footnote>
  <w:footnote w:id="12">
    <w:p w14:paraId="2B36C682" w14:textId="2CDC1BDB" w:rsidR="002C47C1" w:rsidRPr="00563290" w:rsidRDefault="002C47C1" w:rsidP="00F23EDB">
      <w:pPr>
        <w:autoSpaceDE w:val="0"/>
        <w:autoSpaceDN w:val="0"/>
        <w:adjustRightInd w:val="0"/>
        <w:jc w:val="both"/>
        <w:rPr>
          <w:rFonts w:ascii="Abadi" w:hAnsi="Abadi" w:cs="Amasis MT Pro Light"/>
          <w:sz w:val="16"/>
          <w:szCs w:val="16"/>
        </w:rPr>
      </w:pPr>
      <w:r w:rsidRPr="00563290">
        <w:rPr>
          <w:rStyle w:val="Refdenotaalpie"/>
          <w:rFonts w:ascii="Abadi" w:hAnsi="Abadi"/>
          <w:sz w:val="16"/>
          <w:szCs w:val="16"/>
        </w:rPr>
        <w:footnoteRef/>
      </w:r>
      <w:r w:rsidRPr="00563290">
        <w:rPr>
          <w:rFonts w:ascii="Abadi" w:hAnsi="Abadi"/>
          <w:sz w:val="16"/>
          <w:szCs w:val="16"/>
        </w:rPr>
        <w:t xml:space="preserve"> </w:t>
      </w:r>
      <w:r w:rsidRPr="00563290">
        <w:rPr>
          <w:rFonts w:ascii="Abadi" w:hAnsi="Abadi" w:cs="Amasis MT Pro Light"/>
          <w:sz w:val="16"/>
          <w:szCs w:val="16"/>
        </w:rPr>
        <w:t>La desaparición forzada en México: Una mirada desde los organismos del Sistema de Naciones Unidas, 3ª</w:t>
      </w:r>
      <w:r w:rsidR="003037AD" w:rsidRPr="00563290">
        <w:rPr>
          <w:rFonts w:ascii="Abadi" w:hAnsi="Abadi" w:cs="Amasis MT Pro Light"/>
          <w:sz w:val="16"/>
          <w:szCs w:val="16"/>
        </w:rPr>
        <w:t xml:space="preserve"> </w:t>
      </w:r>
      <w:r w:rsidRPr="00563290">
        <w:rPr>
          <w:rFonts w:ascii="Abadi" w:hAnsi="Abadi" w:cs="Amasis MT Pro Light"/>
          <w:sz w:val="16"/>
          <w:szCs w:val="16"/>
        </w:rPr>
        <w:t xml:space="preserve">edición, </w:t>
      </w:r>
      <w:r w:rsidRPr="00563290">
        <w:rPr>
          <w:rFonts w:ascii="Abadi" w:hAnsi="Abadi" w:cs="Amasis MT Pro Light,Italic"/>
          <w:i/>
          <w:iCs/>
          <w:sz w:val="16"/>
          <w:szCs w:val="15"/>
        </w:rPr>
        <w:t xml:space="preserve">Op. Cit., </w:t>
      </w:r>
      <w:r w:rsidRPr="00563290">
        <w:rPr>
          <w:rFonts w:ascii="Abadi" w:hAnsi="Abadi" w:cs="Amasis MT Pro Light"/>
          <w:sz w:val="16"/>
          <w:szCs w:val="16"/>
        </w:rPr>
        <w:t>p. 29.</w:t>
      </w:r>
    </w:p>
  </w:footnote>
  <w:footnote w:id="13">
    <w:p w14:paraId="6F6A3461" w14:textId="77777777" w:rsidR="002C47C1" w:rsidRPr="00563290" w:rsidRDefault="002C47C1" w:rsidP="00F23EDB">
      <w:pPr>
        <w:autoSpaceDE w:val="0"/>
        <w:autoSpaceDN w:val="0"/>
        <w:adjustRightInd w:val="0"/>
        <w:jc w:val="both"/>
        <w:rPr>
          <w:rFonts w:ascii="Abadi" w:hAnsi="Abadi" w:cs="Amasis MT Pro Light"/>
          <w:sz w:val="16"/>
          <w:szCs w:val="16"/>
        </w:rPr>
      </w:pPr>
      <w:r w:rsidRPr="00563290">
        <w:rPr>
          <w:rStyle w:val="Refdenotaalpie"/>
          <w:rFonts w:ascii="Abadi" w:hAnsi="Abadi"/>
          <w:sz w:val="16"/>
          <w:szCs w:val="16"/>
        </w:rPr>
        <w:footnoteRef/>
      </w:r>
      <w:r w:rsidRPr="00563290">
        <w:rPr>
          <w:rFonts w:ascii="Abadi" w:hAnsi="Abadi"/>
          <w:sz w:val="16"/>
          <w:szCs w:val="16"/>
        </w:rPr>
        <w:t xml:space="preserve"> </w:t>
      </w:r>
      <w:r w:rsidRPr="00563290">
        <w:rPr>
          <w:rFonts w:ascii="Abadi" w:hAnsi="Abadi" w:cs="Amasis MT Pro Light"/>
          <w:sz w:val="16"/>
          <w:szCs w:val="16"/>
        </w:rPr>
        <w:t>Caso Velásquez Rodríguez Vs. Honduras, párrafo 155, en línea:</w:t>
      </w:r>
    </w:p>
    <w:p w14:paraId="58684E32" w14:textId="77777777" w:rsidR="002C47C1" w:rsidRPr="00563290" w:rsidRDefault="002C47C1" w:rsidP="00F23EDB">
      <w:pPr>
        <w:autoSpaceDE w:val="0"/>
        <w:autoSpaceDN w:val="0"/>
        <w:adjustRightInd w:val="0"/>
        <w:jc w:val="both"/>
        <w:rPr>
          <w:rFonts w:ascii="Abadi" w:hAnsi="Abadi" w:cs="Amasis MT Pro Light"/>
          <w:sz w:val="16"/>
          <w:szCs w:val="16"/>
        </w:rPr>
      </w:pPr>
      <w:r w:rsidRPr="00563290">
        <w:rPr>
          <w:rFonts w:ascii="Abadi" w:hAnsi="Abadi" w:cs="Amasis MT Pro Light"/>
          <w:sz w:val="16"/>
          <w:szCs w:val="16"/>
        </w:rPr>
        <w:t>https://www.corteidh.or.cr/docs/casos/articulos/seriec_04_esp.pdf, consultado el 14 de septiembre de</w:t>
      </w:r>
    </w:p>
    <w:p w14:paraId="348CAFCD" w14:textId="77777777" w:rsidR="002C47C1" w:rsidRPr="003037AD" w:rsidRDefault="002C47C1" w:rsidP="00F23EDB">
      <w:pPr>
        <w:pStyle w:val="Textonotapie"/>
        <w:jc w:val="both"/>
        <w:rPr>
          <w:rFonts w:ascii="Abadi" w:hAnsi="Abadi"/>
          <w:sz w:val="14"/>
          <w:szCs w:val="14"/>
        </w:rPr>
      </w:pPr>
      <w:r w:rsidRPr="00563290">
        <w:rPr>
          <w:rFonts w:ascii="Abadi" w:hAnsi="Abadi" w:cs="Amasis MT Pro Light"/>
          <w:sz w:val="16"/>
          <w:szCs w:val="16"/>
        </w:rPr>
        <w:t>2022.</w:t>
      </w:r>
    </w:p>
  </w:footnote>
  <w:footnote w:id="14">
    <w:p w14:paraId="14412AEF" w14:textId="77777777" w:rsidR="002C47C1" w:rsidRPr="00563290" w:rsidRDefault="002C47C1" w:rsidP="00F23EDB">
      <w:pPr>
        <w:autoSpaceDE w:val="0"/>
        <w:autoSpaceDN w:val="0"/>
        <w:adjustRightInd w:val="0"/>
        <w:jc w:val="both"/>
        <w:rPr>
          <w:rFonts w:ascii="Abadi" w:hAnsi="Abadi" w:cs="Amasis MT Pro Light"/>
          <w:sz w:val="16"/>
          <w:szCs w:val="16"/>
        </w:rPr>
      </w:pPr>
      <w:r w:rsidRPr="00563290">
        <w:rPr>
          <w:rStyle w:val="Refdenotaalpie"/>
          <w:rFonts w:ascii="Abadi" w:hAnsi="Abadi"/>
          <w:sz w:val="16"/>
          <w:szCs w:val="16"/>
        </w:rPr>
        <w:footnoteRef/>
      </w:r>
      <w:r w:rsidRPr="00563290">
        <w:rPr>
          <w:rFonts w:ascii="Abadi" w:hAnsi="Abadi"/>
          <w:sz w:val="16"/>
          <w:szCs w:val="16"/>
        </w:rPr>
        <w:t xml:space="preserve"> </w:t>
      </w:r>
      <w:r w:rsidRPr="00563290">
        <w:rPr>
          <w:rFonts w:ascii="Abadi" w:hAnsi="Abadi" w:cs="Amasis MT Pro Light"/>
          <w:sz w:val="16"/>
          <w:szCs w:val="16"/>
        </w:rPr>
        <w:t>Caso Radilla Pacheco vs. Estados Unidos Mexicanos, en línea:</w:t>
      </w:r>
    </w:p>
    <w:p w14:paraId="2318D609" w14:textId="77777777" w:rsidR="002C47C1" w:rsidRPr="00563290" w:rsidRDefault="002C47C1" w:rsidP="00F23EDB">
      <w:pPr>
        <w:pStyle w:val="Textonotapie"/>
        <w:jc w:val="both"/>
        <w:rPr>
          <w:sz w:val="14"/>
          <w:szCs w:val="14"/>
        </w:rPr>
      </w:pPr>
      <w:r w:rsidRPr="00563290">
        <w:rPr>
          <w:rFonts w:ascii="Abadi" w:hAnsi="Abadi" w:cs="Amasis MT Pro Light"/>
          <w:sz w:val="16"/>
          <w:szCs w:val="16"/>
        </w:rPr>
        <w:t>http://www.ordenjuridico.gob.mx/JurInt/STCIDHM4.pdf, fecha de consulta, 14 de septiembre de 2022.</w:t>
      </w:r>
    </w:p>
  </w:footnote>
  <w:footnote w:id="15">
    <w:p w14:paraId="0AD7EE7D" w14:textId="77777777" w:rsidR="002C47C1" w:rsidRPr="00563290" w:rsidRDefault="002C47C1" w:rsidP="00F23EDB">
      <w:pPr>
        <w:autoSpaceDE w:val="0"/>
        <w:autoSpaceDN w:val="0"/>
        <w:adjustRightInd w:val="0"/>
        <w:jc w:val="both"/>
        <w:rPr>
          <w:rFonts w:ascii="Abadi" w:hAnsi="Abadi" w:cs="Amasis MT Pro Light"/>
          <w:sz w:val="16"/>
          <w:szCs w:val="16"/>
        </w:rPr>
      </w:pPr>
      <w:r w:rsidRPr="00563290">
        <w:rPr>
          <w:rStyle w:val="Refdenotaalpie"/>
          <w:rFonts w:ascii="Abadi" w:hAnsi="Abadi"/>
          <w:sz w:val="16"/>
          <w:szCs w:val="16"/>
        </w:rPr>
        <w:footnoteRef/>
      </w:r>
      <w:r w:rsidRPr="00563290">
        <w:rPr>
          <w:rFonts w:ascii="Abadi" w:hAnsi="Abadi"/>
          <w:sz w:val="16"/>
          <w:szCs w:val="16"/>
        </w:rPr>
        <w:t xml:space="preserve"> </w:t>
      </w:r>
      <w:r w:rsidRPr="00563290">
        <w:rPr>
          <w:rFonts w:ascii="Abadi" w:hAnsi="Abadi" w:cs="Amasis MT Pro Light"/>
          <w:sz w:val="16"/>
          <w:szCs w:val="16"/>
        </w:rPr>
        <w:t>Caso Vereda la Esperanza vs. Colombia, párrafo 150, en línea:</w:t>
      </w:r>
    </w:p>
    <w:p w14:paraId="22A60DB0" w14:textId="5099BA81" w:rsidR="002C47C1" w:rsidRPr="00563290" w:rsidRDefault="002C47C1" w:rsidP="00F23EDB">
      <w:pPr>
        <w:autoSpaceDE w:val="0"/>
        <w:autoSpaceDN w:val="0"/>
        <w:adjustRightInd w:val="0"/>
        <w:jc w:val="both"/>
        <w:rPr>
          <w:rFonts w:ascii="Abadi" w:hAnsi="Abadi" w:cs="Amasis MT Pro Light"/>
          <w:sz w:val="16"/>
          <w:szCs w:val="16"/>
        </w:rPr>
      </w:pPr>
      <w:r w:rsidRPr="00563290">
        <w:rPr>
          <w:rFonts w:ascii="Abadi" w:hAnsi="Abadi" w:cs="Amasis MT Pro Light"/>
          <w:sz w:val="16"/>
          <w:szCs w:val="16"/>
        </w:rPr>
        <w:t>https://www.corteidh.or.cr/docs/casos/articulos/seriec_341_esp.pdf, consultado el 14 de septiembre de</w:t>
      </w:r>
      <w:r w:rsidR="003037AD" w:rsidRPr="00563290">
        <w:rPr>
          <w:rFonts w:ascii="Abadi" w:hAnsi="Abadi" w:cs="Amasis MT Pro Light"/>
          <w:sz w:val="16"/>
          <w:szCs w:val="16"/>
        </w:rPr>
        <w:t xml:space="preserve"> </w:t>
      </w:r>
      <w:r w:rsidRPr="00563290">
        <w:rPr>
          <w:rFonts w:ascii="Abadi" w:hAnsi="Abadi" w:cs="Amasis MT Pro Light"/>
          <w:sz w:val="16"/>
          <w:szCs w:val="16"/>
        </w:rPr>
        <w:t>2022.</w:t>
      </w:r>
    </w:p>
  </w:footnote>
  <w:footnote w:id="16">
    <w:p w14:paraId="5767DA0D" w14:textId="77777777" w:rsidR="002C47C1" w:rsidRPr="00563290" w:rsidRDefault="002C47C1" w:rsidP="00F23EDB">
      <w:pPr>
        <w:pStyle w:val="Textonotapie"/>
        <w:jc w:val="both"/>
        <w:rPr>
          <w:rFonts w:ascii="Abadi" w:hAnsi="Abadi"/>
          <w:sz w:val="16"/>
          <w:szCs w:val="16"/>
        </w:rPr>
      </w:pPr>
      <w:r w:rsidRPr="00563290">
        <w:rPr>
          <w:rStyle w:val="Refdenotaalpie"/>
          <w:rFonts w:ascii="Abadi" w:hAnsi="Abadi"/>
          <w:sz w:val="16"/>
          <w:szCs w:val="16"/>
        </w:rPr>
        <w:footnoteRef/>
      </w:r>
      <w:r w:rsidRPr="00563290">
        <w:rPr>
          <w:rFonts w:ascii="Abadi" w:hAnsi="Abadi"/>
          <w:sz w:val="16"/>
          <w:szCs w:val="16"/>
        </w:rPr>
        <w:t xml:space="preserve"> </w:t>
      </w:r>
      <w:r w:rsidRPr="00563290">
        <w:rPr>
          <w:rFonts w:ascii="Abadi" w:hAnsi="Abadi" w:cs="Amasis MT Pro Light"/>
          <w:sz w:val="16"/>
          <w:szCs w:val="16"/>
        </w:rPr>
        <w:t>Amparo en Revisión 1077/2019, párrafo 61.</w:t>
      </w:r>
    </w:p>
  </w:footnote>
  <w:footnote w:id="17">
    <w:p w14:paraId="4624F8A4" w14:textId="77777777" w:rsidR="002C47C1" w:rsidRPr="00563290" w:rsidRDefault="002C47C1" w:rsidP="00F23EDB">
      <w:pPr>
        <w:autoSpaceDE w:val="0"/>
        <w:autoSpaceDN w:val="0"/>
        <w:adjustRightInd w:val="0"/>
        <w:jc w:val="both"/>
        <w:rPr>
          <w:rFonts w:ascii="Abadi" w:hAnsi="Abadi" w:cs="Amasis MT Pro Light"/>
          <w:sz w:val="16"/>
          <w:szCs w:val="16"/>
        </w:rPr>
      </w:pPr>
      <w:r w:rsidRPr="00563290">
        <w:rPr>
          <w:rStyle w:val="Refdenotaalpie"/>
          <w:rFonts w:ascii="Abadi" w:hAnsi="Abadi"/>
          <w:sz w:val="16"/>
          <w:szCs w:val="16"/>
        </w:rPr>
        <w:footnoteRef/>
      </w:r>
      <w:r w:rsidRPr="00563290">
        <w:rPr>
          <w:rFonts w:ascii="Abadi" w:hAnsi="Abadi"/>
          <w:sz w:val="16"/>
          <w:szCs w:val="16"/>
        </w:rPr>
        <w:t xml:space="preserve"> </w:t>
      </w:r>
      <w:r w:rsidRPr="00563290">
        <w:rPr>
          <w:rFonts w:ascii="Abadi" w:hAnsi="Abadi" w:cs="Amasis MT Pro Light"/>
          <w:sz w:val="16"/>
          <w:szCs w:val="16"/>
        </w:rPr>
        <w:t>En línea:</w:t>
      </w:r>
    </w:p>
    <w:p w14:paraId="6E860E92" w14:textId="5C7ECC24" w:rsidR="002C47C1" w:rsidRPr="00563290" w:rsidRDefault="002C47C1" w:rsidP="00F23EDB">
      <w:pPr>
        <w:autoSpaceDE w:val="0"/>
        <w:autoSpaceDN w:val="0"/>
        <w:adjustRightInd w:val="0"/>
        <w:jc w:val="both"/>
        <w:rPr>
          <w:rFonts w:ascii="Abadi" w:hAnsi="Abadi" w:cs="Amasis MT Pro Light"/>
          <w:sz w:val="16"/>
          <w:szCs w:val="16"/>
        </w:rPr>
      </w:pPr>
      <w:r w:rsidRPr="00563290">
        <w:rPr>
          <w:rFonts w:ascii="Abadi" w:hAnsi="Abadi" w:cs="Amasis MT Pro Light"/>
          <w:sz w:val="16"/>
          <w:szCs w:val="16"/>
        </w:rPr>
        <w:t>https://www.ohchr.org/sites/default/files/Documents/HRBodies/CED/PrincipiosRectores_DigitalisedVersion_SP.pdf pág. 18.</w:t>
      </w:r>
    </w:p>
  </w:footnote>
  <w:footnote w:id="18">
    <w:p w14:paraId="27E9F465" w14:textId="77777777" w:rsidR="002C47C1" w:rsidRDefault="002C47C1" w:rsidP="00F23EDB">
      <w:pPr>
        <w:pStyle w:val="Textonotapie"/>
        <w:jc w:val="both"/>
      </w:pPr>
      <w:r w:rsidRPr="00563290">
        <w:rPr>
          <w:rStyle w:val="Refdenotaalpie"/>
          <w:rFonts w:ascii="Abadi" w:hAnsi="Abadi"/>
          <w:sz w:val="16"/>
          <w:szCs w:val="16"/>
        </w:rPr>
        <w:footnoteRef/>
      </w:r>
      <w:r w:rsidRPr="00563290">
        <w:rPr>
          <w:rFonts w:ascii="Abadi" w:hAnsi="Abadi"/>
          <w:sz w:val="16"/>
          <w:szCs w:val="16"/>
        </w:rPr>
        <w:t xml:space="preserve"> </w:t>
      </w:r>
      <w:r w:rsidRPr="00563290">
        <w:rPr>
          <w:rFonts w:ascii="Abadi" w:hAnsi="Abadi" w:cs="Amasis MT Pro Light"/>
          <w:sz w:val="16"/>
          <w:szCs w:val="16"/>
        </w:rPr>
        <w:t>Ídem.</w:t>
      </w:r>
    </w:p>
  </w:footnote>
  <w:footnote w:id="19">
    <w:p w14:paraId="55519C2F" w14:textId="77777777" w:rsidR="002C47C1" w:rsidRPr="00563290" w:rsidRDefault="002C47C1" w:rsidP="00F23EDB">
      <w:pPr>
        <w:autoSpaceDE w:val="0"/>
        <w:autoSpaceDN w:val="0"/>
        <w:adjustRightInd w:val="0"/>
        <w:jc w:val="both"/>
        <w:rPr>
          <w:rFonts w:ascii="Abadi" w:hAnsi="Abadi" w:cs="Amasis MT Pro Light"/>
          <w:sz w:val="16"/>
          <w:szCs w:val="16"/>
        </w:rPr>
      </w:pPr>
      <w:r w:rsidRPr="00563290">
        <w:rPr>
          <w:rStyle w:val="Refdenotaalpie"/>
          <w:rFonts w:ascii="Abadi" w:hAnsi="Abadi"/>
          <w:sz w:val="16"/>
          <w:szCs w:val="16"/>
        </w:rPr>
        <w:footnoteRef/>
      </w:r>
      <w:r w:rsidRPr="00563290">
        <w:rPr>
          <w:rFonts w:ascii="Abadi" w:hAnsi="Abadi"/>
          <w:sz w:val="16"/>
          <w:szCs w:val="16"/>
        </w:rPr>
        <w:t xml:space="preserve"> </w:t>
      </w:r>
      <w:r w:rsidRPr="00563290">
        <w:rPr>
          <w:rFonts w:ascii="Abadi" w:hAnsi="Abadi" w:cs="Amasis MT Pro Light"/>
          <w:sz w:val="16"/>
          <w:szCs w:val="16"/>
        </w:rPr>
        <w:t>Registro Nacional de Personas Desaparecidas y No Localizadas (RNPDNO). En línea:</w:t>
      </w:r>
    </w:p>
    <w:p w14:paraId="07F40200" w14:textId="18932534" w:rsidR="002C47C1" w:rsidRPr="00563290" w:rsidRDefault="002C47C1" w:rsidP="00F23EDB">
      <w:pPr>
        <w:autoSpaceDE w:val="0"/>
        <w:autoSpaceDN w:val="0"/>
        <w:adjustRightInd w:val="0"/>
        <w:jc w:val="both"/>
        <w:rPr>
          <w:rFonts w:ascii="Abadi" w:hAnsi="Abadi" w:cs="Amasis MT Pro Light"/>
          <w:sz w:val="16"/>
          <w:szCs w:val="16"/>
        </w:rPr>
      </w:pPr>
      <w:r w:rsidRPr="00563290">
        <w:rPr>
          <w:rFonts w:ascii="Abadi" w:hAnsi="Abadi" w:cs="Amasis MT Pro Light"/>
          <w:sz w:val="16"/>
          <w:szCs w:val="16"/>
        </w:rPr>
        <w:t>https://versionpublicarnpdno.segob.gob.mx/Dashboard/ContextoGeneral Consultado el 19 de septiembre</w:t>
      </w:r>
      <w:r w:rsidR="00EC44A3" w:rsidRPr="00563290">
        <w:rPr>
          <w:rFonts w:ascii="Abadi" w:hAnsi="Abadi" w:cs="Amasis MT Pro Light"/>
          <w:sz w:val="16"/>
          <w:szCs w:val="16"/>
        </w:rPr>
        <w:t xml:space="preserve"> </w:t>
      </w:r>
      <w:r w:rsidRPr="00563290">
        <w:rPr>
          <w:rFonts w:ascii="Abadi" w:hAnsi="Abadi" w:cs="Amasis MT Pro Light"/>
          <w:sz w:val="16"/>
          <w:szCs w:val="16"/>
        </w:rPr>
        <w:t>de 2022.</w:t>
      </w:r>
    </w:p>
  </w:footnote>
  <w:footnote w:id="20">
    <w:p w14:paraId="341E4A54" w14:textId="27A175D5" w:rsidR="002C47C1" w:rsidRPr="00563290" w:rsidRDefault="002C47C1" w:rsidP="00F23EDB">
      <w:pPr>
        <w:autoSpaceDE w:val="0"/>
        <w:autoSpaceDN w:val="0"/>
        <w:adjustRightInd w:val="0"/>
        <w:jc w:val="both"/>
        <w:rPr>
          <w:rFonts w:ascii="Abadi" w:hAnsi="Abadi" w:cs="Amasis MT Pro Light"/>
          <w:sz w:val="16"/>
          <w:szCs w:val="16"/>
        </w:rPr>
      </w:pPr>
      <w:r w:rsidRPr="00563290">
        <w:rPr>
          <w:rStyle w:val="Refdenotaalpie"/>
          <w:rFonts w:ascii="Abadi" w:hAnsi="Abadi"/>
          <w:sz w:val="16"/>
          <w:szCs w:val="16"/>
        </w:rPr>
        <w:footnoteRef/>
      </w:r>
      <w:r w:rsidRPr="00563290">
        <w:rPr>
          <w:rFonts w:ascii="Abadi" w:hAnsi="Abadi"/>
          <w:sz w:val="16"/>
          <w:szCs w:val="16"/>
        </w:rPr>
        <w:t xml:space="preserve"> </w:t>
      </w:r>
      <w:r w:rsidRPr="00563290">
        <w:rPr>
          <w:rFonts w:ascii="Abadi" w:hAnsi="Abadi" w:cs="Amasis MT Pro Light"/>
          <w:sz w:val="16"/>
          <w:szCs w:val="16"/>
        </w:rPr>
        <w:t>REDIM, “La Infancia Cuenta en México 2022. Niñez y Desapariciones. Cómo la desaparición de personas</w:t>
      </w:r>
      <w:r w:rsidR="00EC44A3" w:rsidRPr="00563290">
        <w:rPr>
          <w:rFonts w:ascii="Abadi" w:hAnsi="Abadi" w:cs="Amasis MT Pro Light"/>
          <w:sz w:val="16"/>
          <w:szCs w:val="16"/>
        </w:rPr>
        <w:t xml:space="preserve"> </w:t>
      </w:r>
      <w:r w:rsidRPr="00563290">
        <w:rPr>
          <w:rFonts w:ascii="Abadi" w:hAnsi="Abadi" w:cs="Amasis MT Pro Light"/>
          <w:sz w:val="16"/>
          <w:szCs w:val="16"/>
        </w:rPr>
        <w:t>afecta a niños y adolescentes en México”. Pág. 27. Disponible en:</w:t>
      </w:r>
      <w:r w:rsidR="00EC44A3" w:rsidRPr="00563290">
        <w:rPr>
          <w:rFonts w:ascii="Abadi" w:hAnsi="Abadi" w:cs="Amasis MT Pro Light"/>
          <w:sz w:val="16"/>
          <w:szCs w:val="16"/>
        </w:rPr>
        <w:t xml:space="preserve"> </w:t>
      </w:r>
      <w:r w:rsidRPr="00563290">
        <w:rPr>
          <w:rFonts w:ascii="Abadi" w:hAnsi="Abadi" w:cs="Amasis MT Pro Light"/>
          <w:sz w:val="16"/>
          <w:szCs w:val="16"/>
        </w:rPr>
        <w:t>https://derechosinfancia.org.mx/v1/</w:t>
      </w:r>
    </w:p>
  </w:footnote>
  <w:footnote w:id="21">
    <w:p w14:paraId="09164A57" w14:textId="77777777" w:rsidR="002C47C1" w:rsidRPr="00563290" w:rsidRDefault="002C47C1" w:rsidP="00F23EDB">
      <w:pPr>
        <w:pStyle w:val="Textonotapie"/>
        <w:jc w:val="both"/>
        <w:rPr>
          <w:rFonts w:ascii="Abadi" w:hAnsi="Abadi"/>
          <w:sz w:val="16"/>
          <w:szCs w:val="16"/>
        </w:rPr>
      </w:pPr>
      <w:r w:rsidRPr="00563290">
        <w:rPr>
          <w:rStyle w:val="Refdenotaalpie"/>
          <w:rFonts w:ascii="Abadi" w:hAnsi="Abadi"/>
          <w:sz w:val="16"/>
          <w:szCs w:val="16"/>
        </w:rPr>
        <w:footnoteRef/>
      </w:r>
      <w:r w:rsidRPr="00563290">
        <w:rPr>
          <w:rFonts w:ascii="Abadi" w:hAnsi="Abadi"/>
          <w:sz w:val="16"/>
          <w:szCs w:val="16"/>
        </w:rPr>
        <w:t xml:space="preserve"> </w:t>
      </w:r>
      <w:r w:rsidRPr="00563290">
        <w:rPr>
          <w:rFonts w:ascii="Abadi" w:hAnsi="Abadi" w:cs="Amasis MT Pro Light"/>
          <w:sz w:val="16"/>
          <w:szCs w:val="16"/>
        </w:rPr>
        <w:t>Ídem, pág. 28.</w:t>
      </w:r>
    </w:p>
  </w:footnote>
  <w:footnote w:id="22">
    <w:p w14:paraId="372EAC92" w14:textId="77777777" w:rsidR="002C47C1" w:rsidRPr="00563290" w:rsidRDefault="002C47C1" w:rsidP="00F23EDB">
      <w:pPr>
        <w:pStyle w:val="Textonotapie"/>
        <w:jc w:val="both"/>
        <w:rPr>
          <w:rFonts w:ascii="Abadi" w:hAnsi="Abadi"/>
          <w:sz w:val="22"/>
          <w:szCs w:val="22"/>
        </w:rPr>
      </w:pPr>
      <w:r w:rsidRPr="00563290">
        <w:rPr>
          <w:rStyle w:val="Refdenotaalpie"/>
          <w:rFonts w:ascii="Abadi" w:hAnsi="Abadi"/>
          <w:sz w:val="16"/>
          <w:szCs w:val="16"/>
        </w:rPr>
        <w:footnoteRef/>
      </w:r>
      <w:r w:rsidRPr="00563290">
        <w:rPr>
          <w:rFonts w:ascii="Abadi" w:hAnsi="Abadi"/>
          <w:sz w:val="16"/>
          <w:szCs w:val="16"/>
        </w:rPr>
        <w:t xml:space="preserve"> </w:t>
      </w:r>
      <w:r w:rsidRPr="00563290">
        <w:rPr>
          <w:rFonts w:ascii="Abadi" w:hAnsi="Abadi" w:cs="Amasis MT Pro Light"/>
          <w:sz w:val="16"/>
          <w:szCs w:val="16"/>
        </w:rPr>
        <w:t>Íbidem.</w:t>
      </w:r>
    </w:p>
  </w:footnote>
  <w:footnote w:id="23">
    <w:p w14:paraId="149F2306" w14:textId="77777777" w:rsidR="002C47C1" w:rsidRPr="00563290" w:rsidRDefault="002C47C1" w:rsidP="00F23EDB">
      <w:pPr>
        <w:pStyle w:val="Textonotapie"/>
        <w:jc w:val="both"/>
        <w:rPr>
          <w:sz w:val="22"/>
          <w:szCs w:val="22"/>
        </w:rPr>
      </w:pPr>
      <w:r w:rsidRPr="00563290">
        <w:rPr>
          <w:rStyle w:val="Refdenotaalpie"/>
          <w:rFonts w:ascii="Abadi" w:hAnsi="Abadi"/>
          <w:sz w:val="16"/>
          <w:szCs w:val="16"/>
        </w:rPr>
        <w:footnoteRef/>
      </w:r>
      <w:r w:rsidRPr="00563290">
        <w:rPr>
          <w:rFonts w:ascii="Abadi" w:hAnsi="Abadi"/>
          <w:sz w:val="16"/>
          <w:szCs w:val="16"/>
        </w:rPr>
        <w:t xml:space="preserve"> </w:t>
      </w:r>
      <w:r w:rsidRPr="00563290">
        <w:rPr>
          <w:rFonts w:ascii="Abadi" w:hAnsi="Abadi" w:cs="Amasis MT Pro Light"/>
          <w:sz w:val="16"/>
          <w:szCs w:val="16"/>
        </w:rPr>
        <w:t>Ídem, pág. 29.</w:t>
      </w:r>
    </w:p>
  </w:footnote>
  <w:footnote w:id="24">
    <w:p w14:paraId="380F69AF" w14:textId="77777777" w:rsidR="002C47C1" w:rsidRPr="00563290" w:rsidRDefault="002C47C1" w:rsidP="00F23EDB">
      <w:pPr>
        <w:autoSpaceDE w:val="0"/>
        <w:autoSpaceDN w:val="0"/>
        <w:adjustRightInd w:val="0"/>
        <w:jc w:val="both"/>
        <w:rPr>
          <w:rFonts w:ascii="Abadi" w:hAnsi="Abadi" w:cs="Amasis MT Pro"/>
          <w:sz w:val="16"/>
          <w:szCs w:val="16"/>
        </w:rPr>
      </w:pPr>
      <w:r w:rsidRPr="00563290">
        <w:rPr>
          <w:rStyle w:val="Refdenotaalpie"/>
          <w:rFonts w:ascii="Abadi" w:hAnsi="Abadi"/>
          <w:sz w:val="16"/>
          <w:szCs w:val="16"/>
        </w:rPr>
        <w:footnoteRef/>
      </w:r>
      <w:r w:rsidRPr="00563290">
        <w:rPr>
          <w:rFonts w:ascii="Abadi" w:hAnsi="Abadi"/>
          <w:sz w:val="16"/>
          <w:szCs w:val="16"/>
        </w:rPr>
        <w:t xml:space="preserve"> </w:t>
      </w:r>
      <w:r w:rsidRPr="00563290">
        <w:rPr>
          <w:rFonts w:ascii="Abadi" w:hAnsi="Abadi" w:cs="Amasis MT Pro"/>
          <w:sz w:val="16"/>
          <w:szCs w:val="16"/>
        </w:rPr>
        <w:t xml:space="preserve">Bernal Pulido, Carlos, </w:t>
      </w:r>
      <w:r w:rsidRPr="00563290">
        <w:rPr>
          <w:rFonts w:ascii="Abadi" w:hAnsi="Abadi" w:cs="Amasis MT Pro,Italic"/>
          <w:i/>
          <w:iCs/>
          <w:sz w:val="16"/>
          <w:szCs w:val="15"/>
        </w:rPr>
        <w:t>Derechos Fundamentales</w:t>
      </w:r>
      <w:r w:rsidRPr="00563290">
        <w:rPr>
          <w:rFonts w:ascii="Abadi" w:hAnsi="Abadi" w:cs="Amasis MT Pro"/>
          <w:sz w:val="16"/>
          <w:szCs w:val="16"/>
        </w:rPr>
        <w:t>, p. 1587, en línea:</w:t>
      </w:r>
    </w:p>
    <w:p w14:paraId="7D9D1042" w14:textId="6D648CD3" w:rsidR="002C47C1" w:rsidRPr="00A80EBE" w:rsidRDefault="002C47C1" w:rsidP="00F23EDB">
      <w:pPr>
        <w:autoSpaceDE w:val="0"/>
        <w:autoSpaceDN w:val="0"/>
        <w:adjustRightInd w:val="0"/>
        <w:jc w:val="both"/>
        <w:rPr>
          <w:rFonts w:ascii="Abadi" w:hAnsi="Abadi" w:cs="Amasis MT Pro"/>
          <w:sz w:val="14"/>
          <w:szCs w:val="14"/>
        </w:rPr>
      </w:pPr>
      <w:r w:rsidRPr="00563290">
        <w:rPr>
          <w:rFonts w:ascii="Abadi" w:hAnsi="Abadi" w:cs="Amasis MT Pro"/>
          <w:sz w:val="16"/>
          <w:szCs w:val="16"/>
        </w:rPr>
        <w:t>https://archivos.juridicas.unam.mx/www/bjv/libros/8/3796/24.pdf, fecha de consulta, 21 de</w:t>
      </w:r>
      <w:r w:rsidR="00A80EBE" w:rsidRPr="00563290">
        <w:rPr>
          <w:rFonts w:ascii="Abadi" w:hAnsi="Abadi" w:cs="Amasis MT Pro"/>
          <w:sz w:val="16"/>
          <w:szCs w:val="16"/>
        </w:rPr>
        <w:t xml:space="preserve"> </w:t>
      </w:r>
      <w:r w:rsidRPr="00563290">
        <w:rPr>
          <w:rFonts w:ascii="Abadi" w:hAnsi="Abadi" w:cs="Amasis MT Pro"/>
          <w:sz w:val="16"/>
          <w:szCs w:val="16"/>
        </w:rPr>
        <w:t>septiembre de 2022</w:t>
      </w:r>
    </w:p>
  </w:footnote>
  <w:footnote w:id="25">
    <w:p w14:paraId="5D21BD3F" w14:textId="21053C11" w:rsidR="002C47C1" w:rsidRPr="00563290" w:rsidRDefault="002C47C1" w:rsidP="00F23EDB">
      <w:pPr>
        <w:autoSpaceDE w:val="0"/>
        <w:autoSpaceDN w:val="0"/>
        <w:adjustRightInd w:val="0"/>
        <w:jc w:val="both"/>
        <w:rPr>
          <w:rFonts w:ascii="Abadi" w:hAnsi="Abadi" w:cs="Amasis MT Pro"/>
          <w:sz w:val="16"/>
          <w:szCs w:val="16"/>
        </w:rPr>
      </w:pPr>
      <w:r w:rsidRPr="00563290">
        <w:rPr>
          <w:rStyle w:val="Refdenotaalpie"/>
          <w:rFonts w:ascii="Abadi" w:hAnsi="Abadi"/>
          <w:sz w:val="16"/>
          <w:szCs w:val="16"/>
        </w:rPr>
        <w:footnoteRef/>
      </w:r>
      <w:r w:rsidRPr="00563290">
        <w:rPr>
          <w:rFonts w:ascii="Abadi" w:hAnsi="Abadi"/>
          <w:sz w:val="16"/>
          <w:szCs w:val="16"/>
        </w:rPr>
        <w:t xml:space="preserve"> </w:t>
      </w:r>
      <w:r w:rsidRPr="00563290">
        <w:rPr>
          <w:rFonts w:ascii="Abadi" w:hAnsi="Abadi" w:cs="Amasis MT Pro"/>
          <w:sz w:val="16"/>
          <w:szCs w:val="16"/>
        </w:rPr>
        <w:t>Artículo 1.1 de la Declaración sobre la Protección de todas las personas contra las desapariciones</w:t>
      </w:r>
      <w:r w:rsidR="00A80EBE" w:rsidRPr="00563290">
        <w:rPr>
          <w:rFonts w:ascii="Abadi" w:hAnsi="Abadi" w:cs="Amasis MT Pro"/>
          <w:sz w:val="16"/>
          <w:szCs w:val="16"/>
        </w:rPr>
        <w:t xml:space="preserve"> </w:t>
      </w:r>
      <w:r w:rsidRPr="00563290">
        <w:rPr>
          <w:rFonts w:ascii="Abadi" w:hAnsi="Abadi" w:cs="Amasis MT Pro"/>
          <w:sz w:val="16"/>
          <w:szCs w:val="16"/>
        </w:rPr>
        <w:t>forzadas.</w:t>
      </w:r>
    </w:p>
  </w:footnote>
  <w:footnote w:id="26">
    <w:p w14:paraId="4FC1F005" w14:textId="304EB6D8" w:rsidR="002C47C1" w:rsidRPr="00A80EBE" w:rsidRDefault="002C47C1" w:rsidP="00F23EDB">
      <w:pPr>
        <w:autoSpaceDE w:val="0"/>
        <w:autoSpaceDN w:val="0"/>
        <w:adjustRightInd w:val="0"/>
        <w:jc w:val="both"/>
        <w:rPr>
          <w:rFonts w:ascii="Abadi" w:hAnsi="Abadi" w:cs="Amasis MT Pro Light"/>
          <w:sz w:val="14"/>
          <w:szCs w:val="14"/>
        </w:rPr>
      </w:pPr>
      <w:r w:rsidRPr="00563290">
        <w:rPr>
          <w:rStyle w:val="Refdenotaalpie"/>
          <w:rFonts w:ascii="Abadi" w:hAnsi="Abadi"/>
          <w:sz w:val="16"/>
          <w:szCs w:val="16"/>
        </w:rPr>
        <w:footnoteRef/>
      </w:r>
      <w:r w:rsidRPr="00563290">
        <w:rPr>
          <w:rFonts w:ascii="Abadi" w:hAnsi="Abadi"/>
          <w:sz w:val="16"/>
          <w:szCs w:val="16"/>
        </w:rPr>
        <w:t xml:space="preserve"> </w:t>
      </w:r>
      <w:r w:rsidRPr="00563290">
        <w:rPr>
          <w:rFonts w:ascii="Abadi" w:hAnsi="Abadi" w:cs="Amasis MT Pro Light"/>
          <w:sz w:val="16"/>
          <w:szCs w:val="16"/>
        </w:rPr>
        <w:t xml:space="preserve">En línea: </w:t>
      </w:r>
      <w:hyperlink r:id="rId1" w:history="1">
        <w:r w:rsidR="00E3352B" w:rsidRPr="00563290">
          <w:rPr>
            <w:rStyle w:val="Hipervnculo"/>
            <w:rFonts w:ascii="Abadi" w:hAnsi="Abadi" w:cs="Amasis MT Pro Light"/>
            <w:sz w:val="16"/>
            <w:szCs w:val="16"/>
          </w:rPr>
          <w:t>https://www.animalpolitico.com/blog-invitado/el-derecho-humano-de-toda-persona-a-serbuscada/</w:t>
        </w:r>
      </w:hyperlink>
      <w:r w:rsidRPr="00563290">
        <w:rPr>
          <w:rFonts w:ascii="Abadi" w:hAnsi="Abadi" w:cs="Amasis MT Pro Light"/>
          <w:sz w:val="16"/>
          <w:szCs w:val="16"/>
        </w:rPr>
        <w:t>,</w:t>
      </w:r>
      <w:r w:rsidR="00E3352B" w:rsidRPr="00563290">
        <w:rPr>
          <w:rFonts w:ascii="Abadi" w:hAnsi="Abadi" w:cs="Amasis MT Pro Light"/>
          <w:sz w:val="16"/>
          <w:szCs w:val="16"/>
        </w:rPr>
        <w:t xml:space="preserve"> </w:t>
      </w:r>
      <w:r w:rsidRPr="00563290">
        <w:rPr>
          <w:rFonts w:ascii="Abadi" w:hAnsi="Abadi" w:cs="Amasis MT Pro Light"/>
          <w:sz w:val="16"/>
          <w:szCs w:val="16"/>
        </w:rPr>
        <w:t>consultado el 14 de septiembre de 2022.</w:t>
      </w:r>
    </w:p>
  </w:footnote>
  <w:footnote w:id="27">
    <w:p w14:paraId="21C5158D" w14:textId="77777777" w:rsidR="00011A03" w:rsidRPr="00563290" w:rsidRDefault="00011A03" w:rsidP="00011A03">
      <w:pPr>
        <w:autoSpaceDE w:val="0"/>
        <w:autoSpaceDN w:val="0"/>
        <w:adjustRightInd w:val="0"/>
        <w:rPr>
          <w:rFonts w:ascii="Abadi" w:hAnsi="Abadi" w:cs="Amasis MT Pro Light"/>
          <w:sz w:val="16"/>
          <w:szCs w:val="16"/>
        </w:rPr>
      </w:pPr>
      <w:r w:rsidRPr="00563290">
        <w:rPr>
          <w:rStyle w:val="Refdenotaalpie"/>
          <w:rFonts w:ascii="Abadi" w:hAnsi="Abadi"/>
          <w:sz w:val="16"/>
          <w:szCs w:val="16"/>
        </w:rPr>
        <w:footnoteRef/>
      </w:r>
      <w:r w:rsidRPr="00563290">
        <w:rPr>
          <w:rFonts w:ascii="Abadi" w:hAnsi="Abadi"/>
          <w:sz w:val="16"/>
          <w:szCs w:val="16"/>
        </w:rPr>
        <w:t xml:space="preserve"> </w:t>
      </w:r>
      <w:r w:rsidRPr="00563290">
        <w:rPr>
          <w:rFonts w:ascii="Abadi" w:hAnsi="Abadi" w:cs="Amasis MT Pro Light"/>
          <w:sz w:val="16"/>
          <w:szCs w:val="16"/>
        </w:rPr>
        <w:t>https://www.cndh.org.mx/sites/default/files/documentos/2021-05/Acc_Inc_2021_89_0.pdf (consultada 9 de octubre de 2022)</w:t>
      </w:r>
    </w:p>
  </w:footnote>
  <w:footnote w:id="28">
    <w:p w14:paraId="20D8751B" w14:textId="77777777" w:rsidR="00011A03" w:rsidRPr="00563290" w:rsidRDefault="00011A03" w:rsidP="00011A03">
      <w:pPr>
        <w:pStyle w:val="Textonotapie"/>
        <w:rPr>
          <w:sz w:val="14"/>
          <w:szCs w:val="14"/>
        </w:rPr>
      </w:pPr>
      <w:r w:rsidRPr="00563290">
        <w:rPr>
          <w:rStyle w:val="Refdenotaalpie"/>
          <w:rFonts w:ascii="Abadi" w:hAnsi="Abadi"/>
          <w:sz w:val="16"/>
          <w:szCs w:val="16"/>
        </w:rPr>
        <w:footnoteRef/>
      </w:r>
      <w:r w:rsidRPr="00563290">
        <w:rPr>
          <w:rFonts w:ascii="Abadi" w:hAnsi="Abadi"/>
          <w:sz w:val="16"/>
          <w:szCs w:val="16"/>
        </w:rPr>
        <w:t xml:space="preserve"> </w:t>
      </w:r>
      <w:r w:rsidRPr="00563290">
        <w:rPr>
          <w:rFonts w:ascii="Abadi" w:hAnsi="Abadi" w:cs="Amasis MT Pro Light"/>
          <w:sz w:val="16"/>
          <w:szCs w:val="16"/>
        </w:rPr>
        <w:t>https://www.amnesty.org/es/what-we-do/freedom-of-expression/ (consultada 9 de octubre de 2022)</w:t>
      </w:r>
    </w:p>
  </w:footnote>
  <w:footnote w:id="29">
    <w:p w14:paraId="2B113DBD" w14:textId="40436247" w:rsidR="00011A03" w:rsidRPr="00687867" w:rsidRDefault="00011A03" w:rsidP="00011A03">
      <w:pPr>
        <w:autoSpaceDE w:val="0"/>
        <w:autoSpaceDN w:val="0"/>
        <w:adjustRightInd w:val="0"/>
        <w:rPr>
          <w:rFonts w:ascii="Abadi" w:hAnsi="Abadi" w:cs="Amasis MT Pro Light"/>
          <w:color w:val="000000"/>
          <w:sz w:val="21"/>
          <w:szCs w:val="21"/>
        </w:rPr>
      </w:pPr>
      <w:r w:rsidRPr="00563290">
        <w:rPr>
          <w:rStyle w:val="Refdenotaalpie"/>
          <w:rFonts w:ascii="Abadi" w:hAnsi="Abadi"/>
          <w:sz w:val="16"/>
          <w:szCs w:val="16"/>
        </w:rPr>
        <w:footnoteRef/>
      </w:r>
      <w:r w:rsidRPr="00563290">
        <w:rPr>
          <w:rFonts w:ascii="Abadi" w:hAnsi="Abadi"/>
          <w:sz w:val="16"/>
          <w:szCs w:val="16"/>
        </w:rPr>
        <w:t xml:space="preserve"> </w:t>
      </w:r>
      <w:r w:rsidRPr="00563290">
        <w:rPr>
          <w:rFonts w:ascii="Abadi" w:hAnsi="Abadi" w:cs="Amasis MT Pro Light"/>
          <w:sz w:val="16"/>
          <w:szCs w:val="16"/>
        </w:rPr>
        <w:t>https://www.cndh.org.mx/sites/default/files/documentos/2021</w:t>
      </w:r>
      <w:r w:rsidR="00210DDA" w:rsidRPr="00563290">
        <w:rPr>
          <w:rFonts w:ascii="Abadi" w:hAnsi="Abadi" w:cs="Amasis MT Pro Light"/>
          <w:sz w:val="16"/>
          <w:szCs w:val="16"/>
        </w:rPr>
        <w:t>-</w:t>
      </w:r>
      <w:r w:rsidRPr="00563290">
        <w:rPr>
          <w:rFonts w:ascii="Abadi" w:hAnsi="Abadi" w:cs="Amasis MT Pro Light"/>
          <w:sz w:val="16"/>
          <w:szCs w:val="16"/>
        </w:rPr>
        <w:t>05/Acc_Inc_2021_89_0.pdf (consultada 9 de octubre de 2022)</w:t>
      </w:r>
    </w:p>
  </w:footnote>
  <w:footnote w:id="30">
    <w:p w14:paraId="52B36403" w14:textId="77777777" w:rsidR="005767CC" w:rsidRPr="00563290" w:rsidRDefault="005767CC" w:rsidP="00D7099D">
      <w:pPr>
        <w:pStyle w:val="Textonotapie"/>
        <w:jc w:val="both"/>
        <w:rPr>
          <w:rFonts w:ascii="Abadi" w:hAnsi="Abadi"/>
          <w:sz w:val="16"/>
          <w:szCs w:val="16"/>
        </w:rPr>
      </w:pPr>
      <w:r w:rsidRPr="00563290">
        <w:rPr>
          <w:rStyle w:val="Refdenotaalpie"/>
          <w:rFonts w:ascii="Abadi" w:hAnsi="Abadi"/>
          <w:sz w:val="16"/>
          <w:szCs w:val="16"/>
        </w:rPr>
        <w:footnoteRef/>
      </w:r>
      <w:r w:rsidRPr="00563290">
        <w:rPr>
          <w:rFonts w:ascii="Abadi" w:hAnsi="Abadi"/>
          <w:sz w:val="16"/>
          <w:szCs w:val="16"/>
        </w:rPr>
        <w:t xml:space="preserve"> Consultable en: https://www.cndh.org.mx/noticias/d+ia.internacional-de-las-mujeres-rurales</w:t>
      </w:r>
    </w:p>
  </w:footnote>
  <w:footnote w:id="31">
    <w:p w14:paraId="4710B276" w14:textId="77777777" w:rsidR="005767CC" w:rsidRDefault="005767CC" w:rsidP="005767CC">
      <w:pPr>
        <w:pStyle w:val="Textonotapie"/>
      </w:pPr>
      <w:r w:rsidRPr="00563290">
        <w:rPr>
          <w:rStyle w:val="Refdenotaalpie"/>
          <w:rFonts w:ascii="Abadi" w:hAnsi="Abadi"/>
          <w:sz w:val="16"/>
          <w:szCs w:val="16"/>
        </w:rPr>
        <w:footnoteRef/>
      </w:r>
      <w:r w:rsidRPr="00563290">
        <w:rPr>
          <w:rFonts w:ascii="Abadi" w:hAnsi="Abadi"/>
          <w:sz w:val="16"/>
          <w:szCs w:val="16"/>
        </w:rPr>
        <w:t xml:space="preserve"> Disponible en: https://www.un.org/es/observances/rural-women-day</w:t>
      </w:r>
    </w:p>
  </w:footnote>
  <w:footnote w:id="32">
    <w:p w14:paraId="669B3DDE" w14:textId="77777777" w:rsidR="005767CC" w:rsidRPr="00563290" w:rsidRDefault="005767CC" w:rsidP="005767CC">
      <w:pPr>
        <w:pStyle w:val="Textonotapie"/>
        <w:rPr>
          <w:rFonts w:ascii="Abadi" w:hAnsi="Abadi"/>
          <w:sz w:val="16"/>
          <w:szCs w:val="16"/>
        </w:rPr>
      </w:pPr>
      <w:r w:rsidRPr="00563290">
        <w:rPr>
          <w:rStyle w:val="Refdenotaalpie"/>
          <w:rFonts w:ascii="Abadi" w:hAnsi="Abadi"/>
          <w:sz w:val="16"/>
          <w:szCs w:val="16"/>
        </w:rPr>
        <w:footnoteRef/>
      </w:r>
      <w:r w:rsidRPr="00563290">
        <w:rPr>
          <w:rFonts w:ascii="Abadi" w:hAnsi="Abadi"/>
          <w:sz w:val="16"/>
          <w:szCs w:val="16"/>
        </w:rPr>
        <w:t xml:space="preserve"> Disponible en: https://www.gob.mx/inmujeres/artículos/día-internacional-de-las-mujeres-</w:t>
      </w:r>
    </w:p>
  </w:footnote>
  <w:footnote w:id="33">
    <w:p w14:paraId="6CA16827" w14:textId="77777777" w:rsidR="005767CC" w:rsidRPr="00563290" w:rsidRDefault="005767CC" w:rsidP="005767CC">
      <w:pPr>
        <w:pStyle w:val="Textonotapie"/>
        <w:rPr>
          <w:rFonts w:ascii="Abadi" w:hAnsi="Abadi"/>
          <w:sz w:val="16"/>
          <w:szCs w:val="16"/>
        </w:rPr>
      </w:pPr>
      <w:r w:rsidRPr="00563290">
        <w:rPr>
          <w:rStyle w:val="Refdenotaalpie"/>
          <w:rFonts w:ascii="Abadi" w:hAnsi="Abadi"/>
          <w:sz w:val="16"/>
          <w:szCs w:val="16"/>
        </w:rPr>
        <w:footnoteRef/>
      </w:r>
      <w:r w:rsidRPr="00563290">
        <w:rPr>
          <w:rFonts w:ascii="Abadi" w:hAnsi="Abadi"/>
          <w:sz w:val="16"/>
          <w:szCs w:val="16"/>
        </w:rPr>
        <w:t xml:space="preserve"> Disponible en: http://parlamentarioscontraelhambre.org/wp-content/uploads/pdf/Nota-juridica-8.pdf</w:t>
      </w:r>
    </w:p>
  </w:footnote>
  <w:footnote w:id="34">
    <w:p w14:paraId="07259FB3" w14:textId="77777777" w:rsidR="005767CC" w:rsidRDefault="005767CC" w:rsidP="005767CC">
      <w:pPr>
        <w:pStyle w:val="Textonotapie"/>
      </w:pPr>
      <w:r w:rsidRPr="00563290">
        <w:rPr>
          <w:rStyle w:val="Refdenotaalpie"/>
          <w:rFonts w:ascii="Abadi" w:hAnsi="Abadi"/>
          <w:sz w:val="16"/>
          <w:szCs w:val="16"/>
        </w:rPr>
        <w:footnoteRef/>
      </w:r>
      <w:r w:rsidRPr="00563290">
        <w:rPr>
          <w:rFonts w:ascii="Abadi" w:hAnsi="Abadi"/>
          <w:sz w:val="16"/>
          <w:szCs w:val="16"/>
        </w:rPr>
        <w:t xml:space="preserve"> Consultable en: https://www.legisver.gob.mx/leyes/LeyesPDF/LDEEMRV291118.pdf</w:t>
      </w:r>
    </w:p>
  </w:footnote>
  <w:footnote w:id="35">
    <w:p w14:paraId="6B97DD22" w14:textId="77777777" w:rsidR="00306DA7" w:rsidRPr="006F1DF3" w:rsidRDefault="00306DA7" w:rsidP="00306DA7">
      <w:pPr>
        <w:pStyle w:val="Textonotapie"/>
        <w:rPr>
          <w:rFonts w:ascii="Abadi" w:hAnsi="Abadi"/>
          <w:sz w:val="14"/>
          <w:szCs w:val="14"/>
        </w:rPr>
      </w:pPr>
      <w:r w:rsidRPr="000B4EFC">
        <w:rPr>
          <w:rStyle w:val="Refdenotaalpie"/>
          <w:rFonts w:ascii="Abadi" w:hAnsi="Abadi"/>
          <w:sz w:val="16"/>
          <w:szCs w:val="16"/>
        </w:rPr>
        <w:footnoteRef/>
      </w:r>
      <w:r w:rsidRPr="000B4EFC">
        <w:rPr>
          <w:rFonts w:ascii="Abadi" w:hAnsi="Abadi"/>
          <w:sz w:val="16"/>
          <w:szCs w:val="16"/>
        </w:rPr>
        <w:t xml:space="preserve"> </w:t>
      </w:r>
      <w:r w:rsidRPr="000B4EFC">
        <w:rPr>
          <w:rFonts w:ascii="Abadi" w:hAnsi="Abadi" w:cs="ArialMT"/>
          <w:sz w:val="16"/>
          <w:szCs w:val="16"/>
        </w:rPr>
        <w:t>Convención de los Derechos del Niño comentada.pdf</w:t>
      </w:r>
    </w:p>
  </w:footnote>
  <w:footnote w:id="36">
    <w:p w14:paraId="3C0B64ED" w14:textId="77777777" w:rsidR="00306DA7" w:rsidRPr="00B7720B" w:rsidRDefault="00306DA7" w:rsidP="00B7720B">
      <w:pPr>
        <w:autoSpaceDE w:val="0"/>
        <w:autoSpaceDN w:val="0"/>
        <w:adjustRightInd w:val="0"/>
        <w:jc w:val="both"/>
        <w:rPr>
          <w:rFonts w:ascii="Abadi" w:hAnsi="Abadi" w:cs="ArialMT"/>
          <w:sz w:val="16"/>
          <w:szCs w:val="16"/>
        </w:rPr>
      </w:pPr>
      <w:r w:rsidRPr="00B7720B">
        <w:rPr>
          <w:rStyle w:val="Refdenotaalpie"/>
          <w:rFonts w:ascii="Abadi" w:hAnsi="Abadi"/>
          <w:sz w:val="16"/>
          <w:szCs w:val="16"/>
        </w:rPr>
        <w:footnoteRef/>
      </w:r>
      <w:r w:rsidRPr="00B7720B">
        <w:rPr>
          <w:rFonts w:ascii="Abadi" w:hAnsi="Abadi"/>
          <w:sz w:val="16"/>
          <w:szCs w:val="16"/>
        </w:rPr>
        <w:t xml:space="preserve"> </w:t>
      </w:r>
      <w:r w:rsidRPr="00B7720B">
        <w:rPr>
          <w:rFonts w:ascii="Abadi" w:hAnsi="Abadi" w:cs="ArialMT"/>
          <w:sz w:val="16"/>
          <w:szCs w:val="16"/>
        </w:rPr>
        <w:t>Comité de los Derechos del Niño, “Orientaciones generales respecto de la forma y el contenido de los informes que han de presentar los Estados Partes con arreglo al apartado b) del Párrafo 1 de artículo 44 de la Convención”, CRC/C/58, 11 de octubre de 1996, párr. 21.</w:t>
      </w:r>
    </w:p>
  </w:footnote>
  <w:footnote w:id="37">
    <w:p w14:paraId="1C2BB071" w14:textId="77777777" w:rsidR="00306DA7" w:rsidRPr="00B7720B" w:rsidRDefault="00306DA7" w:rsidP="00B7720B">
      <w:pPr>
        <w:autoSpaceDE w:val="0"/>
        <w:autoSpaceDN w:val="0"/>
        <w:adjustRightInd w:val="0"/>
        <w:jc w:val="both"/>
        <w:rPr>
          <w:rFonts w:ascii="Abadi" w:hAnsi="Abadi" w:cs="ArialMT"/>
          <w:sz w:val="16"/>
          <w:szCs w:val="16"/>
        </w:rPr>
      </w:pPr>
      <w:r w:rsidRPr="00B7720B">
        <w:rPr>
          <w:rStyle w:val="Refdenotaalpie"/>
          <w:rFonts w:ascii="Abadi" w:hAnsi="Abadi"/>
          <w:sz w:val="16"/>
          <w:szCs w:val="16"/>
        </w:rPr>
        <w:footnoteRef/>
      </w:r>
      <w:r w:rsidRPr="00B7720B">
        <w:rPr>
          <w:rFonts w:ascii="Abadi" w:hAnsi="Abadi"/>
          <w:sz w:val="16"/>
          <w:szCs w:val="16"/>
        </w:rPr>
        <w:t xml:space="preserve"> </w:t>
      </w:r>
      <w:r w:rsidRPr="00B7720B">
        <w:rPr>
          <w:rFonts w:ascii="Abadi" w:hAnsi="Abadi" w:cs="ArialMT"/>
          <w:sz w:val="16"/>
          <w:szCs w:val="16"/>
        </w:rPr>
        <w:t xml:space="preserve">Bala, Nicholas, “The Best Interests of the Child in The Post-Modern Era: A central but Paradoxical Concept, revised version of paper presented at Law Society of Upper Canada Special Lectures 200: Family Law, Colloquium on “Best Interest of the Child”, Toronto, december 13, 1999, p. 9.  Disponible en: </w:t>
      </w:r>
      <w:hyperlink r:id="rId2" w:history="1">
        <w:r w:rsidRPr="00B7720B">
          <w:rPr>
            <w:rStyle w:val="Hipervnculo"/>
            <w:rFonts w:ascii="Abadi" w:hAnsi="Abadi" w:cs="ArialMT"/>
            <w:sz w:val="16"/>
            <w:szCs w:val="16"/>
          </w:rPr>
          <w:t>http://law.queensu.ca/faculty/bala/papers/paradox2000.htm</w:t>
        </w:r>
      </w:hyperlink>
      <w:r w:rsidRPr="00B7720B">
        <w:rPr>
          <w:rFonts w:ascii="Abadi" w:hAnsi="Abadi" w:cs="ArialMT"/>
          <w:sz w:val="16"/>
          <w:szCs w:val="16"/>
        </w:rPr>
        <w:t xml:space="preserve"> [fecha de consulta: 6 de mayo de 2018] </w:t>
      </w:r>
    </w:p>
  </w:footnote>
  <w:footnote w:id="38">
    <w:p w14:paraId="531C9872" w14:textId="77777777" w:rsidR="00306DA7" w:rsidRPr="00B7720B" w:rsidRDefault="00306DA7" w:rsidP="00B7720B">
      <w:pPr>
        <w:autoSpaceDE w:val="0"/>
        <w:autoSpaceDN w:val="0"/>
        <w:adjustRightInd w:val="0"/>
        <w:jc w:val="both"/>
        <w:rPr>
          <w:rFonts w:ascii="Abadi" w:hAnsi="Abadi" w:cs="ArialMT"/>
          <w:sz w:val="16"/>
          <w:szCs w:val="16"/>
        </w:rPr>
      </w:pPr>
      <w:r w:rsidRPr="00B7720B">
        <w:rPr>
          <w:rStyle w:val="Refdenotaalpie"/>
          <w:rFonts w:ascii="Abadi" w:hAnsi="Abadi"/>
          <w:sz w:val="16"/>
          <w:szCs w:val="16"/>
        </w:rPr>
        <w:footnoteRef/>
      </w:r>
      <w:r w:rsidRPr="00B7720B">
        <w:rPr>
          <w:rFonts w:ascii="Abadi" w:hAnsi="Abadi"/>
          <w:sz w:val="16"/>
          <w:szCs w:val="16"/>
        </w:rPr>
        <w:t xml:space="preserve"> </w:t>
      </w:r>
      <w:r w:rsidRPr="00B7720B">
        <w:rPr>
          <w:rFonts w:ascii="Abadi" w:hAnsi="Abadi" w:cs="ArialMT"/>
          <w:sz w:val="16"/>
          <w:szCs w:val="16"/>
        </w:rPr>
        <w:t>Para la reconstrucción de la “invocación” a los derechos del niño se puede revisar el trabajo de Hierro Sánchez-Pescador, Liborio, “El niño y los derechos humanos”, en Campoy Cervera, Ignacio, (ed.), Los derechos de los niños: perspectivas sociales, políticas, jurídicas y filosóficas, Madrid, Dykinson, 2007, pp. 17- 36. Este trabajo también se encuentra publicado en Fanlo, Isabel (comp.), Derechos de los Niños: Una contribución teórica, México DF, Fontmara, 2004, pp. 177-198</w:t>
      </w:r>
    </w:p>
  </w:footnote>
  <w:footnote w:id="39">
    <w:p w14:paraId="0B112C80" w14:textId="77777777" w:rsidR="00306DA7" w:rsidRPr="000B4EFC" w:rsidRDefault="00306DA7" w:rsidP="00B7720B">
      <w:pPr>
        <w:autoSpaceDE w:val="0"/>
        <w:autoSpaceDN w:val="0"/>
        <w:adjustRightInd w:val="0"/>
        <w:jc w:val="both"/>
        <w:rPr>
          <w:rFonts w:ascii="Abadi" w:hAnsi="Abadi" w:cs="ArialMT"/>
          <w:sz w:val="16"/>
          <w:szCs w:val="16"/>
        </w:rPr>
      </w:pPr>
      <w:r w:rsidRPr="000B4EFC">
        <w:rPr>
          <w:rStyle w:val="Refdenotaalpie"/>
          <w:rFonts w:ascii="Abadi" w:hAnsi="Abadi"/>
          <w:sz w:val="16"/>
          <w:szCs w:val="16"/>
        </w:rPr>
        <w:footnoteRef/>
      </w:r>
      <w:r w:rsidRPr="000B4EFC">
        <w:rPr>
          <w:rFonts w:ascii="Abadi" w:hAnsi="Abadi"/>
          <w:sz w:val="16"/>
          <w:szCs w:val="16"/>
        </w:rPr>
        <w:t xml:space="preserve"> </w:t>
      </w:r>
      <w:r w:rsidRPr="000B4EFC">
        <w:rPr>
          <w:rFonts w:ascii="Abadi" w:hAnsi="Abadi" w:cs="ArialMT"/>
          <w:sz w:val="16"/>
          <w:szCs w:val="16"/>
        </w:rPr>
        <w:t>Ekmekdjian, Miguel Ángel, “El derecho a la intimidad. La Convención sobre los Derechos del Niño, el orden</w:t>
      </w:r>
    </w:p>
    <w:p w14:paraId="2CE4F13C" w14:textId="77777777" w:rsidR="00306DA7" w:rsidRPr="000B4EFC" w:rsidRDefault="00306DA7" w:rsidP="00B7720B">
      <w:pPr>
        <w:pStyle w:val="Textonotapie"/>
        <w:jc w:val="both"/>
        <w:rPr>
          <w:rFonts w:ascii="Abadi" w:hAnsi="Abadi"/>
          <w:sz w:val="16"/>
          <w:szCs w:val="16"/>
        </w:rPr>
      </w:pPr>
      <w:r w:rsidRPr="000B4EFC">
        <w:rPr>
          <w:rFonts w:ascii="Abadi" w:hAnsi="Abadi" w:cs="ArialMT"/>
          <w:sz w:val="16"/>
          <w:szCs w:val="16"/>
        </w:rPr>
        <w:t>jerárquico de los derechos y la libertad de prensa”, en La Ley, Vol. D., 1997, p. 100.</w:t>
      </w:r>
    </w:p>
  </w:footnote>
  <w:footnote w:id="40">
    <w:p w14:paraId="66075041" w14:textId="77777777" w:rsidR="00306DA7" w:rsidRPr="00831870" w:rsidRDefault="00306DA7" w:rsidP="00B7720B">
      <w:pPr>
        <w:autoSpaceDE w:val="0"/>
        <w:autoSpaceDN w:val="0"/>
        <w:adjustRightInd w:val="0"/>
        <w:jc w:val="both"/>
        <w:rPr>
          <w:rFonts w:ascii="Abadi" w:hAnsi="Abadi" w:cs="ArialMT"/>
          <w:sz w:val="14"/>
          <w:szCs w:val="14"/>
        </w:rPr>
      </w:pPr>
      <w:r w:rsidRPr="000B4EFC">
        <w:rPr>
          <w:rStyle w:val="Refdenotaalpie"/>
          <w:rFonts w:ascii="Abadi" w:hAnsi="Abadi"/>
          <w:sz w:val="16"/>
          <w:szCs w:val="16"/>
        </w:rPr>
        <w:footnoteRef/>
      </w:r>
      <w:r w:rsidRPr="000B4EFC">
        <w:rPr>
          <w:rFonts w:ascii="Abadi" w:hAnsi="Abadi"/>
          <w:sz w:val="16"/>
          <w:szCs w:val="16"/>
        </w:rPr>
        <w:t xml:space="preserve"> </w:t>
      </w:r>
      <w:r w:rsidRPr="000B4EFC">
        <w:rPr>
          <w:rFonts w:ascii="Abadi" w:hAnsi="Abadi" w:cs="ArialMT"/>
          <w:sz w:val="16"/>
          <w:szCs w:val="16"/>
        </w:rPr>
        <w:t>Vaninetti, Hugo A., “Facebook y la soberanía jurisdiccional: defensa de los derechos del niño a su imagen, intimidad e integridad”, en La Ley, Vol. 2019-D, 2019. pp 4-7. El autor comenta un caso en el cual un padre, en representación de sus hijos menores de edad, interpuso una medida  autosatisfactiva en contra de la red social Facebook Argentina SRL, a fin de que se proceda a la eliminación de las publicaciones en las que se hace uso de imágenes o del nombre de sus hijos, pues habían sido publicadas sin su consentimiento.</w:t>
      </w:r>
    </w:p>
  </w:footnote>
  <w:footnote w:id="41">
    <w:p w14:paraId="419EB610" w14:textId="77777777" w:rsidR="00306DA7" w:rsidRPr="004F21C1" w:rsidRDefault="00306DA7" w:rsidP="00904696">
      <w:pPr>
        <w:autoSpaceDE w:val="0"/>
        <w:autoSpaceDN w:val="0"/>
        <w:adjustRightInd w:val="0"/>
        <w:jc w:val="both"/>
        <w:rPr>
          <w:rFonts w:ascii="Abadi" w:hAnsi="Abadi" w:cs="ArialMT"/>
          <w:sz w:val="16"/>
          <w:szCs w:val="16"/>
        </w:rPr>
      </w:pPr>
      <w:r w:rsidRPr="004F21C1">
        <w:rPr>
          <w:rStyle w:val="Refdenotaalpie"/>
          <w:rFonts w:ascii="Abadi" w:hAnsi="Abadi"/>
          <w:sz w:val="16"/>
          <w:szCs w:val="16"/>
        </w:rPr>
        <w:footnoteRef/>
      </w:r>
      <w:r w:rsidRPr="004F21C1">
        <w:rPr>
          <w:rFonts w:ascii="Abadi" w:hAnsi="Abadi"/>
          <w:sz w:val="16"/>
          <w:szCs w:val="16"/>
        </w:rPr>
        <w:t xml:space="preserve"> </w:t>
      </w:r>
      <w:r w:rsidRPr="004F21C1">
        <w:rPr>
          <w:rFonts w:ascii="Abadi" w:hAnsi="Abadi" w:cs="ArialMT"/>
          <w:sz w:val="16"/>
          <w:szCs w:val="16"/>
        </w:rPr>
        <w:t>Consultable en: www.fundacionhenrydunant.org/images/stories/biblioteca/derecho-ninosninas/</w:t>
      </w:r>
    </w:p>
    <w:p w14:paraId="00BB6599" w14:textId="77777777" w:rsidR="00306DA7" w:rsidRPr="004F21C1" w:rsidRDefault="00306DA7" w:rsidP="00904696">
      <w:pPr>
        <w:pStyle w:val="Textonotapie"/>
        <w:jc w:val="both"/>
        <w:rPr>
          <w:sz w:val="22"/>
          <w:szCs w:val="22"/>
        </w:rPr>
      </w:pPr>
      <w:r w:rsidRPr="004F21C1">
        <w:rPr>
          <w:rFonts w:ascii="Abadi" w:hAnsi="Abadi" w:cs="ArialMT"/>
          <w:sz w:val="16"/>
          <w:szCs w:val="16"/>
        </w:rPr>
        <w:t>Los%20Derechos%20del%20Niño%20en%20el%20Sistema%20Interamericano%20de%20Protecció.pdf</w:t>
      </w:r>
    </w:p>
  </w:footnote>
  <w:footnote w:id="42">
    <w:p w14:paraId="303553A2" w14:textId="77777777" w:rsidR="00306DA7" w:rsidRPr="004F21C1" w:rsidRDefault="00306DA7" w:rsidP="00904696">
      <w:pPr>
        <w:pStyle w:val="Textonotapie"/>
        <w:jc w:val="both"/>
        <w:rPr>
          <w:rFonts w:ascii="Abadi" w:hAnsi="Abadi"/>
          <w:sz w:val="16"/>
          <w:szCs w:val="16"/>
        </w:rPr>
      </w:pPr>
      <w:r w:rsidRPr="004F21C1">
        <w:rPr>
          <w:rStyle w:val="Refdenotaalpie"/>
          <w:rFonts w:ascii="Abadi" w:hAnsi="Abadi"/>
          <w:sz w:val="16"/>
          <w:szCs w:val="16"/>
        </w:rPr>
        <w:footnoteRef/>
      </w:r>
      <w:r w:rsidRPr="004F21C1">
        <w:rPr>
          <w:rFonts w:ascii="Abadi" w:hAnsi="Abadi"/>
          <w:sz w:val="16"/>
          <w:szCs w:val="16"/>
        </w:rPr>
        <w:t xml:space="preserve"> </w:t>
      </w:r>
      <w:r w:rsidRPr="004F21C1">
        <w:rPr>
          <w:rFonts w:ascii="Abadi" w:hAnsi="Abadi" w:cs="Calibri"/>
          <w:sz w:val="16"/>
          <w:szCs w:val="16"/>
        </w:rPr>
        <w:t>Consultable en: https://www.te.gob.mx/blog/delamata/front/articles/article/148</w:t>
      </w:r>
    </w:p>
  </w:footnote>
  <w:footnote w:id="43">
    <w:p w14:paraId="08D63869" w14:textId="77777777" w:rsidR="00306DA7" w:rsidRPr="004F21C1" w:rsidRDefault="00306DA7" w:rsidP="00904696">
      <w:pPr>
        <w:pStyle w:val="Textonotapie"/>
        <w:jc w:val="both"/>
        <w:rPr>
          <w:rFonts w:ascii="Abadi" w:hAnsi="Abadi"/>
          <w:sz w:val="16"/>
          <w:szCs w:val="16"/>
        </w:rPr>
      </w:pPr>
      <w:r w:rsidRPr="004F21C1">
        <w:rPr>
          <w:rStyle w:val="Refdenotaalpie"/>
          <w:rFonts w:ascii="Abadi" w:hAnsi="Abadi"/>
          <w:sz w:val="16"/>
          <w:szCs w:val="16"/>
        </w:rPr>
        <w:footnoteRef/>
      </w:r>
      <w:r w:rsidRPr="004F21C1">
        <w:rPr>
          <w:rFonts w:ascii="Abadi" w:hAnsi="Abadi"/>
          <w:sz w:val="16"/>
          <w:szCs w:val="16"/>
        </w:rPr>
        <w:t xml:space="preserve"> </w:t>
      </w:r>
      <w:r w:rsidRPr="004F21C1">
        <w:rPr>
          <w:rFonts w:ascii="Abadi" w:hAnsi="Abadi" w:cs="ArialMT"/>
          <w:color w:val="333333"/>
          <w:sz w:val="16"/>
          <w:szCs w:val="16"/>
        </w:rPr>
        <w:t>SRE-PSC-60/2016.</w:t>
      </w:r>
    </w:p>
  </w:footnote>
  <w:footnote w:id="44">
    <w:p w14:paraId="1D3EC8DC" w14:textId="77777777" w:rsidR="00306DA7" w:rsidRPr="004F21C1" w:rsidRDefault="00306DA7" w:rsidP="00904696">
      <w:pPr>
        <w:pStyle w:val="Textonotapie"/>
        <w:jc w:val="both"/>
        <w:rPr>
          <w:rFonts w:ascii="Abadi" w:hAnsi="Abadi"/>
          <w:sz w:val="16"/>
          <w:szCs w:val="16"/>
        </w:rPr>
      </w:pPr>
      <w:r w:rsidRPr="004F21C1">
        <w:rPr>
          <w:rStyle w:val="Refdenotaalpie"/>
          <w:rFonts w:ascii="Abadi" w:hAnsi="Abadi"/>
          <w:sz w:val="16"/>
          <w:szCs w:val="16"/>
        </w:rPr>
        <w:footnoteRef/>
      </w:r>
      <w:r w:rsidRPr="004F21C1">
        <w:rPr>
          <w:rFonts w:ascii="Abadi" w:hAnsi="Abadi"/>
          <w:sz w:val="16"/>
          <w:szCs w:val="16"/>
        </w:rPr>
        <w:t xml:space="preserve"> </w:t>
      </w:r>
      <w:r w:rsidRPr="004F21C1">
        <w:rPr>
          <w:rFonts w:ascii="Abadi" w:hAnsi="Abadi" w:cs="ArialMT"/>
          <w:color w:val="333333"/>
          <w:sz w:val="16"/>
          <w:szCs w:val="16"/>
        </w:rPr>
        <w:t>SRE-PSC-60/2016.</w:t>
      </w:r>
    </w:p>
  </w:footnote>
  <w:footnote w:id="45">
    <w:p w14:paraId="0CAC5E4E" w14:textId="77777777" w:rsidR="00306DA7" w:rsidRPr="004F21C1" w:rsidRDefault="00306DA7" w:rsidP="00904696">
      <w:pPr>
        <w:autoSpaceDE w:val="0"/>
        <w:autoSpaceDN w:val="0"/>
        <w:adjustRightInd w:val="0"/>
        <w:jc w:val="both"/>
        <w:rPr>
          <w:rFonts w:ascii="Abadi" w:hAnsi="Abadi" w:cs="ArialMT"/>
          <w:color w:val="333333"/>
          <w:sz w:val="16"/>
          <w:szCs w:val="16"/>
        </w:rPr>
      </w:pPr>
      <w:r w:rsidRPr="004F21C1">
        <w:rPr>
          <w:rStyle w:val="Refdenotaalpie"/>
          <w:rFonts w:ascii="Abadi" w:hAnsi="Abadi"/>
          <w:sz w:val="16"/>
          <w:szCs w:val="16"/>
        </w:rPr>
        <w:footnoteRef/>
      </w:r>
      <w:r w:rsidRPr="004F21C1">
        <w:rPr>
          <w:rFonts w:ascii="Abadi" w:hAnsi="Abadi"/>
          <w:sz w:val="16"/>
          <w:szCs w:val="16"/>
        </w:rPr>
        <w:t xml:space="preserve"> </w:t>
      </w:r>
      <w:r w:rsidRPr="004F21C1">
        <w:rPr>
          <w:rFonts w:ascii="Abadi" w:hAnsi="Abadi" w:cs="ArialMT"/>
          <w:color w:val="333333"/>
          <w:sz w:val="16"/>
          <w:szCs w:val="16"/>
        </w:rPr>
        <w:t>SRE-PSC-86/2016, SRE-PSC-107/2016 y SUP-REP-143/2016. Fortalecido con el SUP-REP-158/2016 y</w:t>
      </w:r>
    </w:p>
    <w:p w14:paraId="4BAA7EE9" w14:textId="77777777" w:rsidR="00306DA7" w:rsidRPr="004F21C1" w:rsidRDefault="00306DA7" w:rsidP="00904696">
      <w:pPr>
        <w:pStyle w:val="Textonotapie"/>
        <w:jc w:val="both"/>
        <w:rPr>
          <w:sz w:val="22"/>
          <w:szCs w:val="22"/>
        </w:rPr>
      </w:pPr>
      <w:r w:rsidRPr="004F21C1">
        <w:rPr>
          <w:rFonts w:ascii="Abadi" w:hAnsi="Abadi" w:cs="ArialMT"/>
          <w:color w:val="333333"/>
          <w:sz w:val="16"/>
          <w:szCs w:val="16"/>
        </w:rPr>
        <w:t xml:space="preserve">SUP-REP-160/2016 y acumulados, la obligación de todas las autoridades de realizar una </w:t>
      </w:r>
      <w:r w:rsidRPr="004F21C1">
        <w:rPr>
          <w:rFonts w:ascii="Abadi" w:hAnsi="Abadi" w:cs="Arial-ItalicMT"/>
          <w:i/>
          <w:iCs/>
          <w:color w:val="333333"/>
          <w:sz w:val="16"/>
          <w:szCs w:val="16"/>
        </w:rPr>
        <w:t>tutela reforzada</w:t>
      </w:r>
      <w:r w:rsidRPr="004F21C1">
        <w:rPr>
          <w:rFonts w:ascii="Abadi" w:hAnsi="Abadi" w:cs="ArialMT"/>
          <w:color w:val="333333"/>
          <w:sz w:val="16"/>
          <w:szCs w:val="16"/>
        </w:rPr>
        <w:t>.</w:t>
      </w:r>
    </w:p>
  </w:footnote>
  <w:footnote w:id="46">
    <w:p w14:paraId="66D3850D" w14:textId="77777777" w:rsidR="00306DA7" w:rsidRPr="004F21C1" w:rsidRDefault="00306DA7" w:rsidP="00904696">
      <w:pPr>
        <w:autoSpaceDE w:val="0"/>
        <w:autoSpaceDN w:val="0"/>
        <w:adjustRightInd w:val="0"/>
        <w:jc w:val="both"/>
        <w:rPr>
          <w:rFonts w:ascii="Abadi" w:hAnsi="Abadi" w:cs="ArialMT"/>
          <w:color w:val="333333"/>
          <w:sz w:val="16"/>
          <w:szCs w:val="16"/>
        </w:rPr>
      </w:pPr>
      <w:r w:rsidRPr="004F21C1">
        <w:rPr>
          <w:rStyle w:val="Refdenotaalpie"/>
          <w:rFonts w:ascii="Abadi" w:hAnsi="Abadi"/>
          <w:sz w:val="16"/>
          <w:szCs w:val="16"/>
        </w:rPr>
        <w:footnoteRef/>
      </w:r>
      <w:r w:rsidRPr="004F21C1">
        <w:rPr>
          <w:rFonts w:ascii="Abadi" w:hAnsi="Abadi"/>
          <w:sz w:val="16"/>
          <w:szCs w:val="16"/>
        </w:rPr>
        <w:t xml:space="preserve"> </w:t>
      </w:r>
      <w:r w:rsidRPr="004F21C1">
        <w:rPr>
          <w:rFonts w:ascii="Abadi" w:hAnsi="Abadi" w:cs="ArialMT"/>
          <w:color w:val="333333"/>
          <w:sz w:val="16"/>
          <w:szCs w:val="16"/>
        </w:rPr>
        <w:t>Jurisprudencia 5/2017: “PROPAGANDA POLÍTICA–ELECTORAL. REQUISITOS MÍNIMOS QUE DEBEN CUMPLIRSE CUANDO SE DIFUNDAN IMÁGENES DE NIÑOS, NIÑAS Y ADOLESCENTES”.</w:t>
      </w:r>
    </w:p>
  </w:footnote>
  <w:footnote w:id="47">
    <w:p w14:paraId="5BA42222" w14:textId="77777777" w:rsidR="00306DA7" w:rsidRPr="00633806" w:rsidRDefault="00306DA7" w:rsidP="00904696">
      <w:pPr>
        <w:pStyle w:val="Textonotapie"/>
        <w:jc w:val="both"/>
        <w:rPr>
          <w:rFonts w:ascii="Abadi" w:hAnsi="Abadi"/>
          <w:sz w:val="16"/>
          <w:szCs w:val="16"/>
        </w:rPr>
      </w:pPr>
      <w:r w:rsidRPr="00633806">
        <w:rPr>
          <w:rStyle w:val="Refdenotaalpie"/>
          <w:rFonts w:ascii="Abadi" w:hAnsi="Abadi"/>
          <w:sz w:val="16"/>
          <w:szCs w:val="16"/>
        </w:rPr>
        <w:footnoteRef/>
      </w:r>
      <w:r w:rsidRPr="00633806">
        <w:rPr>
          <w:rFonts w:ascii="Abadi" w:hAnsi="Abadi"/>
          <w:sz w:val="16"/>
          <w:szCs w:val="16"/>
        </w:rPr>
        <w:t xml:space="preserve"> </w:t>
      </w:r>
      <w:r w:rsidRPr="00633806">
        <w:rPr>
          <w:rFonts w:ascii="Abadi" w:hAnsi="Abadi" w:cs="ArialMT"/>
          <w:color w:val="333333"/>
          <w:sz w:val="16"/>
          <w:szCs w:val="16"/>
        </w:rPr>
        <w:t>SUP-REP-726/2018 y SUP-REP-5/2019.</w:t>
      </w:r>
    </w:p>
  </w:footnote>
  <w:footnote w:id="48">
    <w:p w14:paraId="42BE4718" w14:textId="77777777" w:rsidR="00306DA7" w:rsidRPr="00633806" w:rsidRDefault="00306DA7" w:rsidP="00904696">
      <w:pPr>
        <w:autoSpaceDE w:val="0"/>
        <w:autoSpaceDN w:val="0"/>
        <w:adjustRightInd w:val="0"/>
        <w:jc w:val="both"/>
        <w:rPr>
          <w:rFonts w:ascii="Abadi" w:hAnsi="Abadi" w:cs="ArialMT"/>
          <w:color w:val="333333"/>
          <w:sz w:val="16"/>
          <w:szCs w:val="16"/>
        </w:rPr>
      </w:pPr>
      <w:r w:rsidRPr="00633806">
        <w:rPr>
          <w:rStyle w:val="Refdenotaalpie"/>
          <w:rFonts w:ascii="Abadi" w:hAnsi="Abadi"/>
          <w:sz w:val="16"/>
          <w:szCs w:val="16"/>
        </w:rPr>
        <w:footnoteRef/>
      </w:r>
      <w:r w:rsidRPr="00633806">
        <w:rPr>
          <w:rFonts w:ascii="Abadi" w:hAnsi="Abadi"/>
          <w:sz w:val="16"/>
          <w:szCs w:val="16"/>
        </w:rPr>
        <w:t xml:space="preserve"> S</w:t>
      </w:r>
      <w:r w:rsidRPr="00633806">
        <w:rPr>
          <w:rFonts w:ascii="Abadi" w:hAnsi="Abadi" w:cs="ArialMT"/>
          <w:color w:val="333333"/>
          <w:sz w:val="16"/>
          <w:szCs w:val="16"/>
        </w:rPr>
        <w:t>UP-REP-170/2018 y SUP-REP-5/2019. Tesis XXIX/2018 PROPAGANDA POLÍTICA ELECTORAL. CUANDO APAREZCAN MENORES SIN EL CONSENTIMIENTOS DE QUIEN EJERZA LA PATRIA POTESTAD O TUTELA, SE DEBE HACER IRRECONOCIBLE SU IMAGEN.</w:t>
      </w:r>
    </w:p>
  </w:footnote>
  <w:footnote w:id="49">
    <w:p w14:paraId="18BA4E45" w14:textId="77777777" w:rsidR="00306DA7" w:rsidRPr="00633806" w:rsidRDefault="00306DA7" w:rsidP="00904696">
      <w:pPr>
        <w:pStyle w:val="Textonotapie"/>
        <w:jc w:val="both"/>
        <w:rPr>
          <w:rFonts w:ascii="Abadi" w:hAnsi="Abadi"/>
          <w:sz w:val="16"/>
          <w:szCs w:val="16"/>
        </w:rPr>
      </w:pPr>
      <w:r w:rsidRPr="00633806">
        <w:rPr>
          <w:rStyle w:val="Refdenotaalpie"/>
          <w:rFonts w:ascii="Abadi" w:hAnsi="Abadi"/>
          <w:sz w:val="16"/>
          <w:szCs w:val="16"/>
        </w:rPr>
        <w:footnoteRef/>
      </w:r>
      <w:r w:rsidRPr="00633806">
        <w:rPr>
          <w:rFonts w:ascii="Abadi" w:hAnsi="Abadi"/>
          <w:sz w:val="16"/>
          <w:szCs w:val="16"/>
        </w:rPr>
        <w:t xml:space="preserve"> </w:t>
      </w:r>
      <w:r w:rsidRPr="00633806">
        <w:rPr>
          <w:rFonts w:ascii="Abadi" w:hAnsi="Abadi" w:cs="ArialMT"/>
          <w:color w:val="333333"/>
          <w:sz w:val="16"/>
          <w:szCs w:val="16"/>
        </w:rPr>
        <w:t>SUP-REP-96/2017.</w:t>
      </w:r>
    </w:p>
  </w:footnote>
  <w:footnote w:id="50">
    <w:p w14:paraId="3E596BC8" w14:textId="77777777" w:rsidR="00306DA7" w:rsidRPr="00633806" w:rsidRDefault="00306DA7" w:rsidP="00904696">
      <w:pPr>
        <w:pStyle w:val="Textonotapie"/>
        <w:jc w:val="both"/>
        <w:rPr>
          <w:rFonts w:ascii="Abadi" w:hAnsi="Abadi"/>
          <w:sz w:val="16"/>
          <w:szCs w:val="16"/>
        </w:rPr>
      </w:pPr>
      <w:r w:rsidRPr="00633806">
        <w:rPr>
          <w:rStyle w:val="Refdenotaalpie"/>
          <w:rFonts w:ascii="Abadi" w:hAnsi="Abadi"/>
          <w:sz w:val="16"/>
          <w:szCs w:val="16"/>
        </w:rPr>
        <w:footnoteRef/>
      </w:r>
      <w:r w:rsidRPr="00633806">
        <w:rPr>
          <w:rFonts w:ascii="Abadi" w:hAnsi="Abadi"/>
          <w:sz w:val="16"/>
          <w:szCs w:val="16"/>
        </w:rPr>
        <w:t xml:space="preserve"> </w:t>
      </w:r>
      <w:r w:rsidRPr="00633806">
        <w:rPr>
          <w:rFonts w:ascii="Abadi" w:hAnsi="Abadi" w:cs="ArialMT"/>
          <w:color w:val="333333"/>
          <w:sz w:val="16"/>
          <w:szCs w:val="16"/>
        </w:rPr>
        <w:t>SUP-REP-653/2018.</w:t>
      </w:r>
    </w:p>
  </w:footnote>
  <w:footnote w:id="51">
    <w:p w14:paraId="0788B2C6" w14:textId="77777777" w:rsidR="00306DA7" w:rsidRPr="00A61639" w:rsidRDefault="00306DA7" w:rsidP="00306DA7">
      <w:pPr>
        <w:pStyle w:val="Textonotapie"/>
        <w:rPr>
          <w:rFonts w:ascii="Abadi" w:hAnsi="Abadi"/>
          <w:sz w:val="14"/>
          <w:szCs w:val="14"/>
        </w:rPr>
      </w:pPr>
      <w:r w:rsidRPr="004F21C1">
        <w:rPr>
          <w:rStyle w:val="Refdenotaalpie"/>
          <w:rFonts w:ascii="Abadi" w:hAnsi="Abadi"/>
          <w:sz w:val="16"/>
          <w:szCs w:val="16"/>
        </w:rPr>
        <w:footnoteRef/>
      </w:r>
      <w:r w:rsidRPr="004F21C1">
        <w:rPr>
          <w:rFonts w:ascii="Abadi" w:hAnsi="Abadi"/>
          <w:sz w:val="16"/>
          <w:szCs w:val="16"/>
        </w:rPr>
        <w:t xml:space="preserve"> </w:t>
      </w:r>
      <w:r w:rsidRPr="004F21C1">
        <w:rPr>
          <w:rFonts w:ascii="Abadi" w:hAnsi="Abadi" w:cs="ArialMT"/>
          <w:sz w:val="16"/>
          <w:szCs w:val="16"/>
        </w:rPr>
        <w:t>Publicado el 16 de junio de 2018 en el Diario Oficial de la Federación.</w:t>
      </w:r>
    </w:p>
  </w:footnote>
  <w:footnote w:id="52">
    <w:p w14:paraId="5F279F99" w14:textId="23009288" w:rsidR="00FC192C" w:rsidRPr="00FC192C" w:rsidRDefault="00FC192C" w:rsidP="00FC192C">
      <w:pPr>
        <w:pStyle w:val="Textonotapie"/>
        <w:jc w:val="both"/>
        <w:rPr>
          <w:rFonts w:ascii="Abadi" w:hAnsi="Abadi"/>
          <w:sz w:val="16"/>
          <w:szCs w:val="16"/>
        </w:rPr>
      </w:pPr>
      <w:r>
        <w:rPr>
          <w:rStyle w:val="Refdenotaalpie"/>
        </w:rPr>
        <w:footnoteRef/>
      </w:r>
      <w:hyperlink r:id="rId3" w:history="1">
        <w:r w:rsidR="00B44895" w:rsidRPr="00902188">
          <w:rPr>
            <w:rStyle w:val="Hipervnculo"/>
            <w:rFonts w:ascii="Abadi" w:hAnsi="Abadi"/>
            <w:sz w:val="16"/>
            <w:szCs w:val="16"/>
          </w:rPr>
          <w:t>https://congreso-gto.s3.amazonaws.com/uploads/orden_archivo/archivo/26776/09._Iniciativa_GPPMORENA_adic_Resp_Admvas__13_OCT_2022_.pdf</w:t>
        </w:r>
      </w:hyperlink>
    </w:p>
  </w:footnote>
  <w:footnote w:id="53">
    <w:p w14:paraId="2B996E69" w14:textId="77777777" w:rsidR="00A022D9" w:rsidRPr="004F21C1" w:rsidRDefault="00A022D9" w:rsidP="00FC192C">
      <w:pPr>
        <w:autoSpaceDE w:val="0"/>
        <w:autoSpaceDN w:val="0"/>
        <w:adjustRightInd w:val="0"/>
        <w:jc w:val="both"/>
        <w:rPr>
          <w:rFonts w:ascii="Abadi" w:hAnsi="Abadi" w:cs="Amasis MT Pro"/>
          <w:sz w:val="16"/>
          <w:szCs w:val="16"/>
        </w:rPr>
      </w:pPr>
      <w:r w:rsidRPr="004F21C1">
        <w:rPr>
          <w:rStyle w:val="Refdenotaalpie"/>
          <w:rFonts w:ascii="Abadi" w:hAnsi="Abadi"/>
          <w:sz w:val="16"/>
          <w:szCs w:val="16"/>
        </w:rPr>
        <w:footnoteRef/>
      </w:r>
      <w:r w:rsidRPr="004F21C1">
        <w:rPr>
          <w:rFonts w:ascii="Abadi" w:hAnsi="Abadi"/>
          <w:sz w:val="16"/>
          <w:szCs w:val="16"/>
        </w:rPr>
        <w:t xml:space="preserve"> </w:t>
      </w:r>
      <w:r w:rsidRPr="004F21C1">
        <w:rPr>
          <w:rFonts w:ascii="Abadi" w:hAnsi="Abadi" w:cs="Amasis MT Pro"/>
          <w:sz w:val="16"/>
          <w:szCs w:val="16"/>
        </w:rPr>
        <w:t xml:space="preserve">López Jácome, N. (2006). </w:t>
      </w:r>
      <w:r w:rsidRPr="004F21C1">
        <w:rPr>
          <w:rFonts w:ascii="Abadi" w:hAnsi="Abadi" w:cs="Amasis MT Pro,Italic"/>
          <w:i/>
          <w:iCs/>
          <w:sz w:val="16"/>
          <w:szCs w:val="16"/>
        </w:rPr>
        <w:t xml:space="preserve">El procedimiento previo a la destitución de empleados públicos. </w:t>
      </w:r>
      <w:r w:rsidRPr="004F21C1">
        <w:rPr>
          <w:rFonts w:ascii="Abadi" w:hAnsi="Abadi" w:cs="Amasis MT Pro"/>
          <w:sz w:val="16"/>
          <w:szCs w:val="16"/>
        </w:rPr>
        <w:t>Quito: Editorial Jurídica LYL. Págs. 82-83.</w:t>
      </w:r>
    </w:p>
  </w:footnote>
  <w:footnote w:id="54">
    <w:p w14:paraId="382D695E" w14:textId="77777777" w:rsidR="00A022D9" w:rsidRPr="004F21C1" w:rsidRDefault="00A022D9" w:rsidP="00FC192C">
      <w:pPr>
        <w:pStyle w:val="Textonotapie"/>
        <w:jc w:val="both"/>
        <w:rPr>
          <w:rFonts w:ascii="Abadi" w:hAnsi="Abadi"/>
          <w:sz w:val="16"/>
          <w:szCs w:val="16"/>
        </w:rPr>
      </w:pPr>
      <w:r w:rsidRPr="004F21C1">
        <w:rPr>
          <w:rStyle w:val="Refdenotaalpie"/>
          <w:rFonts w:ascii="Abadi" w:hAnsi="Abadi"/>
          <w:sz w:val="16"/>
          <w:szCs w:val="16"/>
        </w:rPr>
        <w:footnoteRef/>
      </w:r>
      <w:r w:rsidRPr="004F21C1">
        <w:rPr>
          <w:rFonts w:ascii="Abadi" w:hAnsi="Abadi"/>
          <w:sz w:val="16"/>
          <w:szCs w:val="16"/>
        </w:rPr>
        <w:t xml:space="preserve"> </w:t>
      </w:r>
      <w:r w:rsidRPr="004F21C1">
        <w:rPr>
          <w:rFonts w:ascii="Abadi" w:hAnsi="Abadi" w:cs="Amasis MT Pro"/>
          <w:sz w:val="16"/>
          <w:szCs w:val="16"/>
        </w:rPr>
        <w:t xml:space="preserve">Holmes, L. (2019). </w:t>
      </w:r>
      <w:r w:rsidRPr="004F21C1">
        <w:rPr>
          <w:rFonts w:ascii="Abadi" w:hAnsi="Abadi" w:cs="Amasis MT Pro,Italic"/>
          <w:i/>
          <w:iCs/>
          <w:sz w:val="16"/>
          <w:szCs w:val="16"/>
        </w:rPr>
        <w:t xml:space="preserve">¿Qué es la corrupción? </w:t>
      </w:r>
      <w:r w:rsidRPr="004F21C1">
        <w:rPr>
          <w:rFonts w:ascii="Abadi" w:hAnsi="Abadi" w:cs="Amasis MT Pro"/>
          <w:sz w:val="16"/>
          <w:szCs w:val="16"/>
        </w:rPr>
        <w:t>CDMX: Grano de Sal.</w:t>
      </w:r>
    </w:p>
  </w:footnote>
  <w:footnote w:id="55">
    <w:p w14:paraId="41300FF8" w14:textId="77777777" w:rsidR="00A022D9" w:rsidRPr="004F21C1" w:rsidRDefault="00A022D9" w:rsidP="00FC192C">
      <w:pPr>
        <w:autoSpaceDE w:val="0"/>
        <w:autoSpaceDN w:val="0"/>
        <w:adjustRightInd w:val="0"/>
        <w:jc w:val="both"/>
        <w:rPr>
          <w:rFonts w:ascii="Abadi" w:hAnsi="Abadi" w:cs="Amasis MT Pro,Italic"/>
          <w:i/>
          <w:iCs/>
          <w:sz w:val="16"/>
          <w:szCs w:val="16"/>
        </w:rPr>
      </w:pPr>
      <w:r w:rsidRPr="004F21C1">
        <w:rPr>
          <w:rStyle w:val="Refdenotaalpie"/>
          <w:rFonts w:ascii="Abadi" w:hAnsi="Abadi"/>
          <w:sz w:val="16"/>
          <w:szCs w:val="16"/>
        </w:rPr>
        <w:footnoteRef/>
      </w:r>
      <w:r w:rsidRPr="004F21C1">
        <w:rPr>
          <w:rFonts w:ascii="Abadi" w:hAnsi="Abadi"/>
          <w:sz w:val="16"/>
          <w:szCs w:val="16"/>
        </w:rPr>
        <w:t xml:space="preserve"> </w:t>
      </w:r>
      <w:r w:rsidRPr="004F21C1">
        <w:rPr>
          <w:rFonts w:ascii="Abadi" w:hAnsi="Abadi" w:cs="Amasis MT Pro"/>
          <w:sz w:val="16"/>
          <w:szCs w:val="16"/>
        </w:rPr>
        <w:t xml:space="preserve">Ríos Figueroa, J. (2018). </w:t>
      </w:r>
      <w:r w:rsidRPr="004F21C1">
        <w:rPr>
          <w:rFonts w:ascii="Abadi" w:hAnsi="Abadi" w:cs="Amasis MT Pro,Italic"/>
          <w:i/>
          <w:iCs/>
          <w:sz w:val="16"/>
          <w:szCs w:val="16"/>
        </w:rPr>
        <w:t xml:space="preserve">El déficit meritocrático. Nepotismo y redes familiares en el Poder Judicial de la Federación. </w:t>
      </w:r>
      <w:r w:rsidRPr="004F21C1">
        <w:rPr>
          <w:rFonts w:ascii="Abadi" w:hAnsi="Abadi" w:cs="Amasis MT Pro"/>
          <w:sz w:val="16"/>
          <w:szCs w:val="16"/>
        </w:rPr>
        <w:t>México: MCCI.</w:t>
      </w:r>
    </w:p>
  </w:footnote>
  <w:footnote w:id="56">
    <w:p w14:paraId="6BE1683F" w14:textId="77777777" w:rsidR="00A022D9" w:rsidRPr="004F21C1" w:rsidRDefault="00A022D9" w:rsidP="00FC192C">
      <w:pPr>
        <w:pStyle w:val="Textonotapie"/>
        <w:jc w:val="both"/>
        <w:rPr>
          <w:sz w:val="22"/>
          <w:szCs w:val="22"/>
        </w:rPr>
      </w:pPr>
      <w:r w:rsidRPr="004F21C1">
        <w:rPr>
          <w:rStyle w:val="Refdenotaalpie"/>
          <w:rFonts w:ascii="Abadi" w:hAnsi="Abadi"/>
          <w:sz w:val="16"/>
          <w:szCs w:val="16"/>
        </w:rPr>
        <w:footnoteRef/>
      </w:r>
      <w:r w:rsidRPr="004F21C1">
        <w:rPr>
          <w:rFonts w:ascii="Abadi" w:hAnsi="Abadi"/>
          <w:sz w:val="16"/>
          <w:szCs w:val="16"/>
        </w:rPr>
        <w:t xml:space="preserve"> </w:t>
      </w:r>
      <w:r w:rsidRPr="004F21C1">
        <w:rPr>
          <w:rFonts w:ascii="Abadi" w:hAnsi="Abadi" w:cs="Amasis MT Pro"/>
          <w:sz w:val="16"/>
          <w:szCs w:val="16"/>
        </w:rPr>
        <w:t xml:space="preserve">Vega Oviedo, F. J. (2020). </w:t>
      </w:r>
      <w:r w:rsidRPr="004F21C1">
        <w:rPr>
          <w:rFonts w:ascii="Abadi" w:hAnsi="Abadi" w:cs="Amasis MT Pro,Italic"/>
          <w:i/>
          <w:iCs/>
          <w:sz w:val="16"/>
          <w:szCs w:val="16"/>
        </w:rPr>
        <w:t xml:space="preserve">Nepotismo: definiciones, peros y consecuencias. </w:t>
      </w:r>
      <w:r w:rsidRPr="004F21C1">
        <w:rPr>
          <w:rFonts w:ascii="Abadi" w:hAnsi="Abadi" w:cs="Amasis MT Pro"/>
          <w:sz w:val="16"/>
          <w:szCs w:val="16"/>
        </w:rPr>
        <w:t>México: Nexos &amp; MCCI.</w:t>
      </w:r>
    </w:p>
  </w:footnote>
  <w:footnote w:id="57">
    <w:p w14:paraId="416919D8" w14:textId="77777777" w:rsidR="00A022D9" w:rsidRPr="004F21C1" w:rsidRDefault="00A022D9" w:rsidP="00FC192C">
      <w:pPr>
        <w:autoSpaceDE w:val="0"/>
        <w:autoSpaceDN w:val="0"/>
        <w:adjustRightInd w:val="0"/>
        <w:jc w:val="both"/>
        <w:rPr>
          <w:rFonts w:ascii="Abadi" w:hAnsi="Abadi" w:cs="Amasis MT Pro,Italic"/>
          <w:i/>
          <w:iCs/>
          <w:sz w:val="16"/>
          <w:szCs w:val="16"/>
        </w:rPr>
      </w:pPr>
      <w:r w:rsidRPr="004F21C1">
        <w:rPr>
          <w:rStyle w:val="Refdenotaalpie"/>
          <w:rFonts w:ascii="Abadi" w:hAnsi="Abadi"/>
          <w:sz w:val="16"/>
          <w:szCs w:val="16"/>
        </w:rPr>
        <w:footnoteRef/>
      </w:r>
      <w:r w:rsidRPr="004F21C1">
        <w:rPr>
          <w:rFonts w:ascii="Abadi" w:hAnsi="Abadi"/>
          <w:sz w:val="16"/>
          <w:szCs w:val="16"/>
        </w:rPr>
        <w:t xml:space="preserve"> </w:t>
      </w:r>
      <w:r w:rsidRPr="004F21C1">
        <w:rPr>
          <w:rFonts w:ascii="Abadi" w:hAnsi="Abadi" w:cs="Amasis MT Pro"/>
          <w:sz w:val="16"/>
          <w:szCs w:val="16"/>
        </w:rPr>
        <w:t xml:space="preserve">Gamboa Montejano, C. &amp; Viveros Gascón, F. (2018). </w:t>
      </w:r>
      <w:r w:rsidRPr="004F21C1">
        <w:rPr>
          <w:rFonts w:ascii="Abadi" w:hAnsi="Abadi" w:cs="Amasis MT Pro,Italic"/>
          <w:i/>
          <w:iCs/>
          <w:sz w:val="16"/>
          <w:szCs w:val="16"/>
        </w:rPr>
        <w:t xml:space="preserve">Prohibición de nepotismo en el servicio público. </w:t>
      </w:r>
      <w:r w:rsidRPr="004F21C1">
        <w:rPr>
          <w:rFonts w:ascii="Abadi" w:hAnsi="Abadi" w:cs="Amasis MT Pro"/>
          <w:sz w:val="16"/>
          <w:szCs w:val="16"/>
        </w:rPr>
        <w:t>CDMX: Cámara de Diputados. Información coherente con lo establecido en los artículos 347 y 348 del Código Civil para el Estado de Guanajuato.</w:t>
      </w:r>
    </w:p>
  </w:footnote>
  <w:footnote w:id="58">
    <w:p w14:paraId="78114F1A" w14:textId="77777777" w:rsidR="00A022D9" w:rsidRPr="004F21C1" w:rsidRDefault="00A022D9" w:rsidP="00FC192C">
      <w:pPr>
        <w:pStyle w:val="Textonotapie"/>
        <w:jc w:val="both"/>
        <w:rPr>
          <w:rFonts w:ascii="Abadi" w:hAnsi="Abadi"/>
          <w:sz w:val="22"/>
          <w:szCs w:val="22"/>
        </w:rPr>
      </w:pPr>
      <w:r w:rsidRPr="004F21C1">
        <w:rPr>
          <w:rStyle w:val="Refdenotaalpie"/>
          <w:rFonts w:ascii="Abadi" w:hAnsi="Abadi"/>
          <w:sz w:val="16"/>
          <w:szCs w:val="16"/>
        </w:rPr>
        <w:footnoteRef/>
      </w:r>
      <w:r w:rsidRPr="004F21C1">
        <w:rPr>
          <w:rFonts w:ascii="Abadi" w:hAnsi="Abadi"/>
          <w:sz w:val="16"/>
          <w:szCs w:val="16"/>
        </w:rPr>
        <w:t xml:space="preserve"> </w:t>
      </w:r>
      <w:r w:rsidRPr="004F21C1">
        <w:rPr>
          <w:rFonts w:ascii="Abadi" w:hAnsi="Abadi" w:cs="Amasis MT Pro"/>
          <w:sz w:val="16"/>
          <w:szCs w:val="16"/>
        </w:rPr>
        <w:t>Artículo 350, Código civil para el Estado de Guanajuato.</w:t>
      </w:r>
    </w:p>
  </w:footnote>
  <w:footnote w:id="59">
    <w:p w14:paraId="4B149E44" w14:textId="77777777" w:rsidR="00A022D9" w:rsidRPr="004F21C1" w:rsidRDefault="00A022D9" w:rsidP="00FC192C">
      <w:pPr>
        <w:autoSpaceDE w:val="0"/>
        <w:autoSpaceDN w:val="0"/>
        <w:adjustRightInd w:val="0"/>
        <w:jc w:val="both"/>
        <w:rPr>
          <w:rFonts w:ascii="Abadi" w:hAnsi="Abadi" w:cs="Amasis MT Pro"/>
          <w:color w:val="0563C2"/>
          <w:sz w:val="16"/>
          <w:szCs w:val="16"/>
        </w:rPr>
      </w:pPr>
      <w:r w:rsidRPr="004F21C1">
        <w:rPr>
          <w:rStyle w:val="Refdenotaalpie"/>
          <w:rFonts w:ascii="Abadi" w:hAnsi="Abadi"/>
          <w:sz w:val="16"/>
          <w:szCs w:val="16"/>
        </w:rPr>
        <w:footnoteRef/>
      </w:r>
      <w:r w:rsidRPr="004F21C1">
        <w:rPr>
          <w:rFonts w:ascii="Abadi" w:hAnsi="Abadi"/>
          <w:sz w:val="16"/>
          <w:szCs w:val="16"/>
        </w:rPr>
        <w:t xml:space="preserve"> </w:t>
      </w:r>
      <w:r w:rsidRPr="004F21C1">
        <w:rPr>
          <w:rFonts w:ascii="Abadi" w:hAnsi="Abadi" w:cs="Amasis MT Pro"/>
          <w:color w:val="000000"/>
          <w:sz w:val="16"/>
          <w:szCs w:val="16"/>
        </w:rPr>
        <w:t xml:space="preserve">Disponible en: </w:t>
      </w:r>
      <w:r w:rsidRPr="004F21C1">
        <w:rPr>
          <w:rFonts w:ascii="Abadi" w:hAnsi="Abadi" w:cs="Amasis MT Pro"/>
          <w:color w:val="0563C2"/>
          <w:sz w:val="16"/>
          <w:szCs w:val="16"/>
        </w:rPr>
        <w:t>https://www.cnmp.mp.br/portal/institucional/724-institucional/comissoesinstitucional/comissao-de-controle-administrativo-e-financeiro/ordenador-de-despesas/recursoshumanos-e-gestao-de-pessoas/1229-nepotismo-e-nepotismo-cruzado-criterios-de-controle</w:t>
      </w:r>
    </w:p>
  </w:footnote>
  <w:footnote w:id="60">
    <w:p w14:paraId="7108806D" w14:textId="77777777" w:rsidR="00A022D9" w:rsidRPr="004F21C1" w:rsidRDefault="00A022D9" w:rsidP="00FC192C">
      <w:pPr>
        <w:pStyle w:val="Textonotapie"/>
        <w:jc w:val="both"/>
        <w:rPr>
          <w:rFonts w:ascii="Abadi" w:hAnsi="Abadi"/>
          <w:sz w:val="16"/>
          <w:szCs w:val="16"/>
        </w:rPr>
      </w:pPr>
      <w:r w:rsidRPr="004F21C1">
        <w:rPr>
          <w:rStyle w:val="Refdenotaalpie"/>
          <w:rFonts w:ascii="Abadi" w:hAnsi="Abadi"/>
          <w:sz w:val="16"/>
          <w:szCs w:val="16"/>
        </w:rPr>
        <w:footnoteRef/>
      </w:r>
      <w:r w:rsidRPr="004F21C1">
        <w:rPr>
          <w:rFonts w:ascii="Abadi" w:hAnsi="Abadi"/>
          <w:sz w:val="16"/>
          <w:szCs w:val="16"/>
        </w:rPr>
        <w:t xml:space="preserve"> </w:t>
      </w:r>
      <w:r w:rsidRPr="004F21C1">
        <w:rPr>
          <w:rFonts w:ascii="Abadi" w:hAnsi="Abadi" w:cs="Amasis MT Pro"/>
          <w:sz w:val="16"/>
          <w:szCs w:val="16"/>
        </w:rPr>
        <w:t>Artículo 3, fracción IV, Ley Federal de Austeridad Republicana.</w:t>
      </w:r>
    </w:p>
  </w:footnote>
  <w:footnote w:id="61">
    <w:p w14:paraId="6E33BAC0" w14:textId="77777777" w:rsidR="00A022D9" w:rsidRPr="004F21C1" w:rsidRDefault="00A022D9" w:rsidP="00FC192C">
      <w:pPr>
        <w:pStyle w:val="Textonotapie"/>
        <w:jc w:val="both"/>
        <w:rPr>
          <w:sz w:val="22"/>
          <w:szCs w:val="22"/>
        </w:rPr>
      </w:pPr>
      <w:r w:rsidRPr="004F21C1">
        <w:rPr>
          <w:rStyle w:val="Refdenotaalpie"/>
          <w:rFonts w:ascii="Abadi" w:hAnsi="Abadi"/>
          <w:sz w:val="16"/>
          <w:szCs w:val="16"/>
        </w:rPr>
        <w:footnoteRef/>
      </w:r>
      <w:r w:rsidRPr="004F21C1">
        <w:rPr>
          <w:rFonts w:ascii="Abadi" w:hAnsi="Abadi"/>
          <w:sz w:val="16"/>
          <w:szCs w:val="16"/>
        </w:rPr>
        <w:t xml:space="preserve"> </w:t>
      </w:r>
      <w:r w:rsidRPr="004F21C1">
        <w:rPr>
          <w:rFonts w:ascii="Abadi" w:hAnsi="Abadi" w:cs="Amasis MT Pro"/>
          <w:sz w:val="16"/>
          <w:szCs w:val="16"/>
        </w:rPr>
        <w:t>Artículo 62, Ley de Responsabilidades Administrativas del Estado de Hidalgo.</w:t>
      </w:r>
    </w:p>
  </w:footnote>
  <w:footnote w:id="62">
    <w:p w14:paraId="519039FB" w14:textId="77777777" w:rsidR="00A022D9" w:rsidRPr="004F21C1" w:rsidRDefault="00A022D9" w:rsidP="00FC192C">
      <w:pPr>
        <w:autoSpaceDE w:val="0"/>
        <w:autoSpaceDN w:val="0"/>
        <w:adjustRightInd w:val="0"/>
        <w:jc w:val="both"/>
        <w:rPr>
          <w:rFonts w:ascii="Abadi" w:hAnsi="Abadi" w:cs="Amasis MT Pro,Italic"/>
          <w:i/>
          <w:iCs/>
          <w:sz w:val="16"/>
          <w:szCs w:val="16"/>
        </w:rPr>
      </w:pPr>
      <w:r w:rsidRPr="004F21C1">
        <w:rPr>
          <w:rStyle w:val="Refdenotaalpie"/>
          <w:rFonts w:ascii="Abadi" w:hAnsi="Abadi"/>
          <w:sz w:val="16"/>
          <w:szCs w:val="16"/>
        </w:rPr>
        <w:footnoteRef/>
      </w:r>
      <w:r w:rsidRPr="004F21C1">
        <w:rPr>
          <w:rFonts w:ascii="Abadi" w:hAnsi="Abadi"/>
          <w:sz w:val="16"/>
          <w:szCs w:val="16"/>
        </w:rPr>
        <w:t xml:space="preserve"> </w:t>
      </w:r>
      <w:r w:rsidRPr="004F21C1">
        <w:rPr>
          <w:rFonts w:ascii="Abadi" w:hAnsi="Abadi" w:cs="Amasis MT Pro"/>
          <w:sz w:val="16"/>
          <w:szCs w:val="16"/>
        </w:rPr>
        <w:t xml:space="preserve">Ríos Figueroa, J. (2018). </w:t>
      </w:r>
      <w:r w:rsidRPr="004F21C1">
        <w:rPr>
          <w:rFonts w:ascii="Abadi" w:hAnsi="Abadi" w:cs="Amasis MT Pro,Italic"/>
          <w:i/>
          <w:iCs/>
          <w:sz w:val="16"/>
          <w:szCs w:val="16"/>
        </w:rPr>
        <w:t>El déficit meritocrático. Nepotismo y redes familiares en el Poder Judicial de la</w:t>
      </w:r>
    </w:p>
    <w:p w14:paraId="250D311F" w14:textId="77777777" w:rsidR="00A022D9" w:rsidRPr="004F21C1" w:rsidRDefault="00A022D9" w:rsidP="00FC192C">
      <w:pPr>
        <w:pStyle w:val="Textonotapie"/>
        <w:jc w:val="both"/>
        <w:rPr>
          <w:sz w:val="22"/>
          <w:szCs w:val="22"/>
        </w:rPr>
      </w:pPr>
      <w:r w:rsidRPr="004F21C1">
        <w:rPr>
          <w:rFonts w:ascii="Abadi" w:hAnsi="Abadi" w:cs="Amasis MT Pro,Italic"/>
          <w:i/>
          <w:iCs/>
          <w:sz w:val="16"/>
          <w:szCs w:val="16"/>
        </w:rPr>
        <w:t xml:space="preserve">Federación. </w:t>
      </w:r>
      <w:r w:rsidRPr="004F21C1">
        <w:rPr>
          <w:rFonts w:ascii="Abadi" w:hAnsi="Abadi" w:cs="Amasis MT Pro"/>
          <w:sz w:val="16"/>
          <w:szCs w:val="16"/>
        </w:rPr>
        <w:t>CDMX: MCCI. Pág. 68.</w:t>
      </w:r>
    </w:p>
  </w:footnote>
  <w:footnote w:id="63">
    <w:p w14:paraId="06222B10" w14:textId="77777777" w:rsidR="00A022D9" w:rsidRPr="00647ED1" w:rsidRDefault="00A022D9" w:rsidP="00FC192C">
      <w:pPr>
        <w:pStyle w:val="Textonotapie"/>
        <w:jc w:val="both"/>
        <w:rPr>
          <w:rFonts w:ascii="Abadi" w:hAnsi="Abadi"/>
        </w:rPr>
      </w:pPr>
      <w:r w:rsidRPr="004F21C1">
        <w:rPr>
          <w:rStyle w:val="Refdenotaalpie"/>
          <w:rFonts w:ascii="Abadi" w:hAnsi="Abadi"/>
          <w:sz w:val="16"/>
          <w:szCs w:val="16"/>
        </w:rPr>
        <w:footnoteRef/>
      </w:r>
      <w:r w:rsidRPr="004F21C1">
        <w:rPr>
          <w:rFonts w:ascii="Abadi" w:hAnsi="Abadi"/>
          <w:sz w:val="16"/>
          <w:szCs w:val="16"/>
        </w:rPr>
        <w:t xml:space="preserve"> </w:t>
      </w:r>
      <w:r w:rsidRPr="004F21C1">
        <w:rPr>
          <w:rFonts w:ascii="Abadi" w:hAnsi="Abadi" w:cs="Amasis MT Pro"/>
          <w:sz w:val="16"/>
          <w:szCs w:val="16"/>
        </w:rPr>
        <w:t>Ídem.</w:t>
      </w:r>
    </w:p>
  </w:footnote>
  <w:footnote w:id="64">
    <w:p w14:paraId="67DAAC26" w14:textId="77777777" w:rsidR="00A022D9" w:rsidRPr="00647ED1" w:rsidRDefault="00A022D9" w:rsidP="00FC192C">
      <w:pPr>
        <w:pStyle w:val="Textonotapie"/>
        <w:jc w:val="both"/>
        <w:rPr>
          <w:rFonts w:ascii="Abadi" w:hAnsi="Abadi"/>
        </w:rPr>
      </w:pPr>
      <w:r w:rsidRPr="000B4EFC">
        <w:rPr>
          <w:rStyle w:val="Refdenotaalpie"/>
          <w:rFonts w:ascii="Abadi" w:hAnsi="Abadi"/>
          <w:sz w:val="16"/>
          <w:szCs w:val="16"/>
        </w:rPr>
        <w:footnoteRef/>
      </w:r>
      <w:r w:rsidRPr="000B4EFC">
        <w:rPr>
          <w:rFonts w:ascii="Abadi" w:hAnsi="Abadi"/>
          <w:sz w:val="16"/>
          <w:szCs w:val="16"/>
        </w:rPr>
        <w:t xml:space="preserve"> </w:t>
      </w:r>
      <w:r w:rsidRPr="000B4EFC">
        <w:rPr>
          <w:rFonts w:ascii="Abadi" w:hAnsi="Abadi" w:cs="Amasis MT Pro"/>
          <w:sz w:val="16"/>
          <w:szCs w:val="16"/>
        </w:rPr>
        <w:t>Solicitud de acceso a la información, folio 110194900008822.</w:t>
      </w:r>
    </w:p>
  </w:footnote>
  <w:footnote w:id="65">
    <w:p w14:paraId="58195ABE" w14:textId="428AF680" w:rsidR="00B7234D" w:rsidRPr="005A08B3" w:rsidRDefault="00B7234D" w:rsidP="00B7234D">
      <w:pPr>
        <w:pStyle w:val="Textonotapie"/>
        <w:jc w:val="both"/>
        <w:rPr>
          <w:rFonts w:ascii="Abadi" w:hAnsi="Abadi"/>
          <w:sz w:val="16"/>
          <w:szCs w:val="16"/>
        </w:rPr>
      </w:pPr>
      <w:r w:rsidRPr="005A08B3">
        <w:rPr>
          <w:rStyle w:val="Refdenotaalpie"/>
          <w:rFonts w:ascii="Abadi" w:hAnsi="Abadi"/>
          <w:sz w:val="16"/>
          <w:szCs w:val="16"/>
        </w:rPr>
        <w:footnoteRef/>
      </w:r>
      <w:r w:rsidRPr="005A08B3">
        <w:rPr>
          <w:rFonts w:ascii="Abadi" w:hAnsi="Abadi"/>
          <w:sz w:val="16"/>
          <w:szCs w:val="16"/>
        </w:rPr>
        <w:t xml:space="preserve"> </w:t>
      </w:r>
      <w:hyperlink r:id="rId4" w:history="1">
        <w:r w:rsidR="00077DF1" w:rsidRPr="00077DF1">
          <w:rPr>
            <w:rStyle w:val="Hipervnculo"/>
            <w:rFonts w:ascii="Abadi" w:hAnsi="Abadi"/>
            <w:sz w:val="16"/>
            <w:szCs w:val="16"/>
          </w:rPr>
          <w:t>https://congreso-gto.s3.amazonaws.com/uploads/orden_archivo/archivo/26779/12._PPA_GPPMORENA_Personas_Jornaleras_Agri_colas__13_OCT_2022_.pdf</w:t>
        </w:r>
      </w:hyperlink>
    </w:p>
  </w:footnote>
  <w:footnote w:id="66">
    <w:p w14:paraId="3803BAED" w14:textId="1FAC5D74" w:rsidR="00565E5B" w:rsidRPr="00043A9A" w:rsidRDefault="00565E5B" w:rsidP="00043A9A">
      <w:pPr>
        <w:pStyle w:val="Textonotapie"/>
        <w:jc w:val="both"/>
        <w:rPr>
          <w:rFonts w:ascii="Abadi" w:hAnsi="Abadi"/>
          <w:sz w:val="16"/>
          <w:szCs w:val="16"/>
        </w:rPr>
      </w:pPr>
      <w:r w:rsidRPr="00043A9A">
        <w:rPr>
          <w:rStyle w:val="Refdenotaalpie"/>
          <w:rFonts w:ascii="Abadi" w:hAnsi="Abadi"/>
          <w:sz w:val="16"/>
          <w:szCs w:val="16"/>
        </w:rPr>
        <w:footnoteRef/>
      </w:r>
      <w:r w:rsidR="00437B95">
        <w:rPr>
          <w:rFonts w:ascii="Abadi" w:hAnsi="Abadi"/>
          <w:sz w:val="16"/>
          <w:szCs w:val="16"/>
        </w:rPr>
        <w:t xml:space="preserve"> </w:t>
      </w:r>
      <w:r w:rsidR="00F16C3C" w:rsidRPr="00043A9A">
        <w:rPr>
          <w:rFonts w:ascii="Abadi" w:hAnsi="Abadi"/>
          <w:sz w:val="16"/>
          <w:szCs w:val="16"/>
        </w:rPr>
        <w:t xml:space="preserve">Martínez Mendizábal, David; Guzmán Gómez, Pedro Damián; Battaglia Velázquez, Giovanna; Meza, Mayo &amp; Hernández, Fabiola. (2020). “Migración indígena jornalera a las zonas agrícolas de León Guanajuato: Análisis de acciones públicas 2019-2020”. León: UIA-León &amp; Centro de Desarrollo Indígena Loyola. Disponible en: </w:t>
      </w:r>
      <w:hyperlink r:id="rId5" w:history="1">
        <w:r w:rsidR="00D10255" w:rsidRPr="00043A9A">
          <w:rPr>
            <w:rStyle w:val="Hipervnculo"/>
            <w:rFonts w:ascii="Abadi" w:hAnsi="Abadi"/>
            <w:sz w:val="16"/>
            <w:szCs w:val="16"/>
          </w:rPr>
          <w:t>http://cecig.org.mx/wp-content/uploads/2021/11/MIGRACION_INDIGENA_JONALERA_CDIL.pdf</w:t>
        </w:r>
      </w:hyperlink>
      <w:r w:rsidR="00D10255" w:rsidRPr="00043A9A">
        <w:rPr>
          <w:rFonts w:ascii="Abadi" w:hAnsi="Abadi"/>
          <w:sz w:val="16"/>
          <w:szCs w:val="16"/>
        </w:rPr>
        <w:t xml:space="preserve"> </w:t>
      </w:r>
    </w:p>
  </w:footnote>
  <w:footnote w:id="67">
    <w:p w14:paraId="6FD9898E" w14:textId="78A7885A" w:rsidR="00B03C1A" w:rsidRPr="00D10255" w:rsidRDefault="00B03C1A" w:rsidP="00306636">
      <w:pPr>
        <w:pStyle w:val="Textonotapie"/>
        <w:jc w:val="both"/>
        <w:rPr>
          <w:rFonts w:ascii="Abadi" w:hAnsi="Abadi"/>
          <w:sz w:val="16"/>
          <w:szCs w:val="16"/>
        </w:rPr>
      </w:pPr>
      <w:r w:rsidRPr="00D10255">
        <w:rPr>
          <w:rStyle w:val="Refdenotaalpie"/>
          <w:rFonts w:ascii="Abadi" w:hAnsi="Abadi"/>
          <w:sz w:val="16"/>
          <w:szCs w:val="16"/>
        </w:rPr>
        <w:footnoteRef/>
      </w:r>
      <w:r w:rsidR="00F741B1" w:rsidRPr="00D10255">
        <w:rPr>
          <w:rFonts w:ascii="Abadi" w:hAnsi="Abadi"/>
          <w:sz w:val="16"/>
          <w:szCs w:val="16"/>
        </w:rPr>
        <w:t xml:space="preserve">Estado Analítico del Ejercicio del Presupuesto de Egresos del Municipio de León. Cuenta Pública Municipal del segundo trimestre 2022. </w:t>
      </w:r>
      <w:r w:rsidRPr="00D10255">
        <w:rPr>
          <w:rFonts w:ascii="Abadi" w:hAnsi="Abadi"/>
          <w:sz w:val="16"/>
          <w:szCs w:val="16"/>
        </w:rPr>
        <w:t xml:space="preserve"> </w:t>
      </w:r>
    </w:p>
  </w:footnote>
  <w:footnote w:id="68">
    <w:p w14:paraId="5D3F595A" w14:textId="77777777" w:rsidR="00AF040F" w:rsidRPr="00D5658A" w:rsidRDefault="00AF040F" w:rsidP="00DD7605">
      <w:pPr>
        <w:autoSpaceDE w:val="0"/>
        <w:autoSpaceDN w:val="0"/>
        <w:adjustRightInd w:val="0"/>
        <w:jc w:val="both"/>
        <w:rPr>
          <w:rFonts w:ascii="Abadi" w:hAnsi="Abadi" w:cs="Calibri Light,Italic"/>
          <w:i/>
          <w:iCs/>
          <w:color w:val="000000"/>
          <w:sz w:val="16"/>
          <w:szCs w:val="16"/>
        </w:rPr>
      </w:pPr>
      <w:r w:rsidRPr="00D5658A">
        <w:rPr>
          <w:rStyle w:val="Refdenotaalpie"/>
          <w:rFonts w:ascii="Abadi" w:hAnsi="Abadi"/>
          <w:sz w:val="16"/>
          <w:szCs w:val="16"/>
        </w:rPr>
        <w:footnoteRef/>
      </w:r>
      <w:r w:rsidRPr="00D5658A">
        <w:rPr>
          <w:rFonts w:ascii="Abadi" w:hAnsi="Abadi"/>
          <w:sz w:val="16"/>
          <w:szCs w:val="16"/>
        </w:rPr>
        <w:t xml:space="preserve"> </w:t>
      </w:r>
      <w:r w:rsidRPr="00D5658A">
        <w:rPr>
          <w:rFonts w:ascii="Abadi" w:hAnsi="Abadi" w:cs="Calibri Light"/>
          <w:color w:val="000000"/>
          <w:sz w:val="16"/>
          <w:szCs w:val="16"/>
        </w:rPr>
        <w:t xml:space="preserve">Lagarde, Marcela. (2005). </w:t>
      </w:r>
      <w:r w:rsidRPr="00D5658A">
        <w:rPr>
          <w:rFonts w:ascii="Abadi" w:hAnsi="Abadi" w:cs="Calibri Light,Italic"/>
          <w:i/>
          <w:iCs/>
          <w:color w:val="000000"/>
          <w:sz w:val="16"/>
          <w:szCs w:val="16"/>
        </w:rPr>
        <w:t>1er informe sustantivo de actividades 14 de abril 2004 al 14 de abril 2005.</w:t>
      </w:r>
    </w:p>
    <w:p w14:paraId="6253A863" w14:textId="77777777" w:rsidR="00AF040F" w:rsidRPr="00D5658A" w:rsidRDefault="00AF040F" w:rsidP="00DD7605">
      <w:pPr>
        <w:autoSpaceDE w:val="0"/>
        <w:autoSpaceDN w:val="0"/>
        <w:adjustRightInd w:val="0"/>
        <w:jc w:val="both"/>
        <w:rPr>
          <w:rFonts w:ascii="Abadi" w:hAnsi="Abadi" w:cs="Calibri Light"/>
          <w:color w:val="000000"/>
          <w:sz w:val="16"/>
          <w:szCs w:val="16"/>
        </w:rPr>
      </w:pPr>
      <w:r w:rsidRPr="00D5658A">
        <w:rPr>
          <w:rFonts w:ascii="Abadi" w:hAnsi="Abadi" w:cs="Calibri Light"/>
          <w:color w:val="000000"/>
          <w:sz w:val="16"/>
          <w:szCs w:val="16"/>
        </w:rPr>
        <w:t>CDMX: Comisión Especial para Conocer y dar Seguimiento a las Investigaciones Relacionadas con los</w:t>
      </w:r>
    </w:p>
    <w:p w14:paraId="3E6FBDE0" w14:textId="77777777" w:rsidR="00AF040F" w:rsidRPr="00D5658A" w:rsidRDefault="00AF040F" w:rsidP="00DD7605">
      <w:pPr>
        <w:autoSpaceDE w:val="0"/>
        <w:autoSpaceDN w:val="0"/>
        <w:adjustRightInd w:val="0"/>
        <w:jc w:val="both"/>
        <w:rPr>
          <w:rFonts w:ascii="Abadi" w:hAnsi="Abadi" w:cs="Calibri Light"/>
          <w:color w:val="000000"/>
          <w:sz w:val="16"/>
          <w:szCs w:val="16"/>
        </w:rPr>
      </w:pPr>
      <w:r w:rsidRPr="00D5658A">
        <w:rPr>
          <w:rFonts w:ascii="Abadi" w:hAnsi="Abadi" w:cs="Calibri Light"/>
          <w:color w:val="000000"/>
          <w:sz w:val="16"/>
          <w:szCs w:val="16"/>
        </w:rPr>
        <w:t>Feminicidios en la República Mexicana y a la Procuración de Justicia Vinculada. Disponible en:</w:t>
      </w:r>
    </w:p>
    <w:p w14:paraId="5FD40108" w14:textId="77777777" w:rsidR="00AF040F" w:rsidRPr="00D5658A" w:rsidRDefault="00AF040F" w:rsidP="00DD7605">
      <w:pPr>
        <w:pStyle w:val="Textonotapie"/>
        <w:jc w:val="both"/>
        <w:rPr>
          <w:rFonts w:ascii="Abadi" w:hAnsi="Abadi"/>
          <w:sz w:val="16"/>
          <w:szCs w:val="16"/>
        </w:rPr>
      </w:pPr>
      <w:r w:rsidRPr="00D5658A">
        <w:rPr>
          <w:rFonts w:ascii="Abadi" w:hAnsi="Abadi" w:cs="Calibri Light"/>
          <w:color w:val="0563C2"/>
          <w:sz w:val="16"/>
          <w:szCs w:val="16"/>
        </w:rPr>
        <w:t>https://xenero.webs.uvigo.es/profesorado/marcela_lagarde/feminicidio.pdf</w:t>
      </w:r>
    </w:p>
  </w:footnote>
  <w:footnote w:id="69">
    <w:p w14:paraId="633874C2" w14:textId="77777777" w:rsidR="00AF040F" w:rsidRPr="00D5658A" w:rsidRDefault="00AF040F" w:rsidP="00AF040F">
      <w:pPr>
        <w:autoSpaceDE w:val="0"/>
        <w:autoSpaceDN w:val="0"/>
        <w:adjustRightInd w:val="0"/>
        <w:rPr>
          <w:rFonts w:ascii="Abadi" w:hAnsi="Abadi" w:cs="Calibri Light"/>
          <w:color w:val="000000"/>
          <w:sz w:val="16"/>
          <w:szCs w:val="16"/>
        </w:rPr>
      </w:pPr>
      <w:r w:rsidRPr="00D5658A">
        <w:rPr>
          <w:rStyle w:val="Refdenotaalpie"/>
          <w:rFonts w:ascii="Abadi" w:hAnsi="Abadi"/>
          <w:sz w:val="16"/>
          <w:szCs w:val="16"/>
        </w:rPr>
        <w:footnoteRef/>
      </w:r>
      <w:r w:rsidRPr="00D5658A">
        <w:rPr>
          <w:rFonts w:ascii="Abadi" w:hAnsi="Abadi"/>
          <w:sz w:val="16"/>
          <w:szCs w:val="16"/>
        </w:rPr>
        <w:t xml:space="preserve"> </w:t>
      </w:r>
      <w:r w:rsidRPr="00D5658A">
        <w:rPr>
          <w:rFonts w:ascii="Abadi" w:hAnsi="Abadi" w:cs="Calibri Light"/>
          <w:color w:val="000000"/>
          <w:sz w:val="16"/>
          <w:szCs w:val="16"/>
        </w:rPr>
        <w:t>Encuesta Nacional sobre la Dinámica de las Relaciones en los Hogares (2021), INEGI. Disponible en:</w:t>
      </w:r>
    </w:p>
    <w:p w14:paraId="07E4230D" w14:textId="77777777" w:rsidR="00AF040F" w:rsidRPr="00D5658A" w:rsidRDefault="00AF040F" w:rsidP="00AF040F">
      <w:pPr>
        <w:autoSpaceDE w:val="0"/>
        <w:autoSpaceDN w:val="0"/>
        <w:adjustRightInd w:val="0"/>
        <w:rPr>
          <w:rFonts w:ascii="Abadi" w:hAnsi="Abadi" w:cs="Calibri Light"/>
          <w:color w:val="0563C2"/>
          <w:sz w:val="16"/>
          <w:szCs w:val="16"/>
        </w:rPr>
      </w:pPr>
      <w:r w:rsidRPr="00D5658A">
        <w:rPr>
          <w:rFonts w:ascii="Abadi" w:hAnsi="Abadi" w:cs="Calibri Light"/>
          <w:color w:val="0563C2"/>
          <w:sz w:val="16"/>
          <w:szCs w:val="16"/>
        </w:rPr>
        <w:t>https://www.inegi.org.mx/contenidos/programas/endireh/2021/doc/endireh2021_presentacion_ejecutiv</w:t>
      </w:r>
    </w:p>
    <w:p w14:paraId="562164C4" w14:textId="77777777" w:rsidR="00AF040F" w:rsidRPr="00D5658A" w:rsidRDefault="00AF040F" w:rsidP="00AF040F">
      <w:pPr>
        <w:pStyle w:val="Textonotapie"/>
        <w:rPr>
          <w:rFonts w:ascii="Abadi" w:hAnsi="Abadi"/>
          <w:sz w:val="16"/>
          <w:szCs w:val="16"/>
        </w:rPr>
      </w:pPr>
      <w:r w:rsidRPr="00D5658A">
        <w:rPr>
          <w:rFonts w:ascii="Abadi" w:hAnsi="Abadi" w:cs="Calibri Light"/>
          <w:color w:val="0563C2"/>
          <w:sz w:val="16"/>
          <w:szCs w:val="16"/>
        </w:rPr>
        <w:t>a.pdf</w:t>
      </w:r>
    </w:p>
  </w:footnote>
  <w:footnote w:id="70">
    <w:p w14:paraId="5A239223" w14:textId="77777777" w:rsidR="00AF040F" w:rsidRPr="00D5658A" w:rsidRDefault="00AF040F" w:rsidP="00AF040F">
      <w:pPr>
        <w:autoSpaceDE w:val="0"/>
        <w:autoSpaceDN w:val="0"/>
        <w:adjustRightInd w:val="0"/>
        <w:rPr>
          <w:rFonts w:ascii="Abadi" w:hAnsi="Abadi" w:cs="Calibri Light"/>
          <w:color w:val="000000"/>
          <w:sz w:val="16"/>
          <w:szCs w:val="16"/>
        </w:rPr>
      </w:pPr>
      <w:r w:rsidRPr="00D5658A">
        <w:rPr>
          <w:rStyle w:val="Refdenotaalpie"/>
          <w:rFonts w:ascii="Abadi" w:hAnsi="Abadi"/>
          <w:sz w:val="16"/>
          <w:szCs w:val="16"/>
        </w:rPr>
        <w:footnoteRef/>
      </w:r>
      <w:r w:rsidRPr="00D5658A">
        <w:rPr>
          <w:rFonts w:ascii="Abadi" w:hAnsi="Abadi"/>
          <w:sz w:val="16"/>
          <w:szCs w:val="16"/>
        </w:rPr>
        <w:t xml:space="preserve"> </w:t>
      </w:r>
      <w:r w:rsidRPr="00D5658A">
        <w:rPr>
          <w:rFonts w:ascii="Abadi" w:hAnsi="Abadi" w:cs="Calibri Light"/>
          <w:color w:val="000000"/>
          <w:sz w:val="16"/>
          <w:szCs w:val="16"/>
        </w:rPr>
        <w:t>Encuesta Nacional sobre la Dinámica de las Relaciones en los Hogares (2016), INEGI. Disponible en:</w:t>
      </w:r>
    </w:p>
    <w:p w14:paraId="21AA27E0" w14:textId="77777777" w:rsidR="00AF040F" w:rsidRPr="00D5658A" w:rsidRDefault="00AF040F" w:rsidP="00AF040F">
      <w:pPr>
        <w:autoSpaceDE w:val="0"/>
        <w:autoSpaceDN w:val="0"/>
        <w:adjustRightInd w:val="0"/>
        <w:rPr>
          <w:rFonts w:ascii="Abadi" w:hAnsi="Abadi" w:cs="Calibri Light"/>
          <w:color w:val="0563C2"/>
          <w:sz w:val="16"/>
          <w:szCs w:val="16"/>
        </w:rPr>
      </w:pPr>
      <w:r w:rsidRPr="00D5658A">
        <w:rPr>
          <w:rFonts w:ascii="Abadi" w:hAnsi="Abadi" w:cs="Calibri Light"/>
          <w:color w:val="0563C2"/>
          <w:sz w:val="16"/>
          <w:szCs w:val="16"/>
        </w:rPr>
        <w:t>https://www.inegi.org.mx/contenidos/programas/endireh/2016/doc/endireh2016_presentacion_ejecutiv</w:t>
      </w:r>
    </w:p>
    <w:p w14:paraId="17C88A14" w14:textId="77777777" w:rsidR="00AF040F" w:rsidRPr="00D5658A" w:rsidRDefault="00AF040F" w:rsidP="00AF040F">
      <w:pPr>
        <w:pStyle w:val="Textonotapie"/>
        <w:rPr>
          <w:rFonts w:ascii="Abadi" w:hAnsi="Abadi"/>
          <w:sz w:val="16"/>
          <w:szCs w:val="16"/>
        </w:rPr>
      </w:pPr>
      <w:r w:rsidRPr="00D5658A">
        <w:rPr>
          <w:rFonts w:ascii="Abadi" w:hAnsi="Abadi" w:cs="Calibri Light"/>
          <w:color w:val="0563C2"/>
          <w:sz w:val="16"/>
          <w:szCs w:val="16"/>
        </w:rPr>
        <w:t>a.pdf</w:t>
      </w:r>
    </w:p>
  </w:footnote>
  <w:footnote w:id="71">
    <w:p w14:paraId="0365E29B" w14:textId="77777777" w:rsidR="00AF040F" w:rsidRPr="00D5658A" w:rsidRDefault="00AF040F" w:rsidP="00AF040F">
      <w:pPr>
        <w:autoSpaceDE w:val="0"/>
        <w:autoSpaceDN w:val="0"/>
        <w:adjustRightInd w:val="0"/>
        <w:rPr>
          <w:rFonts w:ascii="Abadi" w:hAnsi="Abadi" w:cs="Calibri Light"/>
          <w:color w:val="000000"/>
          <w:sz w:val="16"/>
          <w:szCs w:val="16"/>
        </w:rPr>
      </w:pPr>
      <w:r w:rsidRPr="00D5658A">
        <w:rPr>
          <w:rStyle w:val="Refdenotaalpie"/>
          <w:rFonts w:ascii="Abadi" w:hAnsi="Abadi"/>
          <w:sz w:val="16"/>
          <w:szCs w:val="16"/>
        </w:rPr>
        <w:footnoteRef/>
      </w:r>
      <w:r w:rsidRPr="00D5658A">
        <w:rPr>
          <w:rFonts w:ascii="Abadi" w:hAnsi="Abadi"/>
          <w:sz w:val="16"/>
          <w:szCs w:val="16"/>
        </w:rPr>
        <w:t xml:space="preserve"> </w:t>
      </w:r>
      <w:r w:rsidRPr="00D5658A">
        <w:rPr>
          <w:rFonts w:ascii="Abadi" w:hAnsi="Abadi" w:cs="Calibri Light"/>
          <w:color w:val="000000"/>
          <w:sz w:val="16"/>
          <w:szCs w:val="16"/>
        </w:rPr>
        <w:t>Información sobre violencia contra las mujeres (2022), Secretariado Ejecutivo del Sistema de Nacional de</w:t>
      </w:r>
    </w:p>
    <w:p w14:paraId="76B316C4" w14:textId="77777777" w:rsidR="00AF040F" w:rsidRPr="00D5658A" w:rsidRDefault="00AF040F" w:rsidP="00AF040F">
      <w:pPr>
        <w:autoSpaceDE w:val="0"/>
        <w:autoSpaceDN w:val="0"/>
        <w:adjustRightInd w:val="0"/>
        <w:rPr>
          <w:rFonts w:ascii="Abadi" w:hAnsi="Abadi" w:cs="Calibri Light"/>
          <w:color w:val="000000"/>
          <w:sz w:val="16"/>
          <w:szCs w:val="16"/>
        </w:rPr>
      </w:pPr>
      <w:r w:rsidRPr="00D5658A">
        <w:rPr>
          <w:rFonts w:ascii="Abadi" w:hAnsi="Abadi" w:cs="Calibri Light"/>
          <w:color w:val="000000"/>
          <w:sz w:val="16"/>
          <w:szCs w:val="16"/>
        </w:rPr>
        <w:t>Seguridad Pública. Disponible en:</w:t>
      </w:r>
    </w:p>
    <w:p w14:paraId="4F7D61D3" w14:textId="77777777" w:rsidR="00AF040F" w:rsidRPr="00D5658A" w:rsidRDefault="00AF040F" w:rsidP="00AF040F">
      <w:pPr>
        <w:pStyle w:val="Textonotapie"/>
        <w:rPr>
          <w:rFonts w:ascii="Abadi" w:hAnsi="Abadi"/>
          <w:sz w:val="16"/>
          <w:szCs w:val="16"/>
        </w:rPr>
      </w:pPr>
      <w:r w:rsidRPr="00D5658A">
        <w:rPr>
          <w:rFonts w:ascii="Abadi" w:hAnsi="Abadi" w:cs="Calibri Light"/>
          <w:color w:val="0563C2"/>
          <w:sz w:val="16"/>
          <w:szCs w:val="16"/>
        </w:rPr>
        <w:t>https://drive.google.com/file/d/1Y4101PzQe41crIT99Ho89ZSrWgLxkFaZ/view</w:t>
      </w:r>
    </w:p>
  </w:footnote>
  <w:footnote w:id="72">
    <w:p w14:paraId="1986FECF" w14:textId="22F6054B" w:rsidR="001C7C18" w:rsidRPr="001C7C18" w:rsidRDefault="001C7C18">
      <w:pPr>
        <w:pStyle w:val="Textonotapie"/>
        <w:rPr>
          <w:rFonts w:ascii="Abadi" w:hAnsi="Abadi"/>
        </w:rPr>
      </w:pPr>
      <w:r w:rsidRPr="001C7C18">
        <w:rPr>
          <w:rStyle w:val="Refdenotaalpie"/>
          <w:rFonts w:ascii="Abadi" w:hAnsi="Abadi"/>
          <w:sz w:val="16"/>
          <w:szCs w:val="16"/>
        </w:rPr>
        <w:footnoteRef/>
      </w:r>
      <w:r w:rsidRPr="001C7C18">
        <w:rPr>
          <w:rFonts w:ascii="Abadi" w:hAnsi="Abadi"/>
          <w:sz w:val="16"/>
          <w:szCs w:val="16"/>
        </w:rPr>
        <w:t xml:space="preserve"> </w:t>
      </w:r>
      <w:hyperlink r:id="rId6" w:history="1">
        <w:r w:rsidRPr="009D7625">
          <w:rPr>
            <w:rStyle w:val="Hipervnculo"/>
            <w:rFonts w:ascii="Abadi" w:hAnsi="Abadi"/>
            <w:sz w:val="16"/>
            <w:szCs w:val="16"/>
          </w:rPr>
          <w:t>https://congreso-gto.s3.amazonaws.com/uploads/orden_archivo/archivo/26784/17_Conceptos_Grales_y_Transferencias_agosto_2022.pdf</w:t>
        </w:r>
      </w:hyperlink>
      <w:r>
        <w:rPr>
          <w:rFonts w:ascii="Abadi" w:hAnsi="Abadi"/>
          <w:sz w:val="16"/>
          <w:szCs w:val="16"/>
        </w:rPr>
        <w:t xml:space="preserve"> </w:t>
      </w:r>
    </w:p>
  </w:footnote>
  <w:footnote w:id="73">
    <w:p w14:paraId="65F2AFF4" w14:textId="31BFAC5E" w:rsidR="00B92B45" w:rsidRPr="00B92B45" w:rsidRDefault="00B92B45">
      <w:pPr>
        <w:pStyle w:val="Textonotapie"/>
        <w:rPr>
          <w:rFonts w:ascii="Abadi" w:hAnsi="Abadi"/>
        </w:rPr>
      </w:pPr>
      <w:r w:rsidRPr="00B92B45">
        <w:rPr>
          <w:rStyle w:val="Refdenotaalpie"/>
          <w:rFonts w:ascii="Abadi" w:hAnsi="Abadi"/>
          <w:sz w:val="16"/>
          <w:szCs w:val="16"/>
        </w:rPr>
        <w:footnoteRef/>
      </w:r>
      <w:r w:rsidRPr="00B92B45">
        <w:rPr>
          <w:rFonts w:ascii="Abadi" w:hAnsi="Abadi"/>
          <w:sz w:val="16"/>
          <w:szCs w:val="16"/>
        </w:rPr>
        <w:t xml:space="preserve"> </w:t>
      </w:r>
      <w:hyperlink r:id="rId7" w:history="1">
        <w:r w:rsidRPr="009D7625">
          <w:rPr>
            <w:rStyle w:val="Hipervnculo"/>
            <w:rFonts w:ascii="Abadi" w:hAnsi="Abadi"/>
            <w:sz w:val="16"/>
            <w:szCs w:val="16"/>
          </w:rPr>
          <w:t>https://congreso-gto.s3.amazonaws.com/uploads/orden_archivo/archivo/26785/18_Transferencias_y_ajustes_presupuestales_julio_2022.pdf</w:t>
        </w:r>
      </w:hyperlink>
      <w:r>
        <w:rPr>
          <w:rFonts w:ascii="Abadi" w:hAnsi="Abadi"/>
          <w:sz w:val="16"/>
          <w:szCs w:val="16"/>
        </w:rPr>
        <w:t xml:space="preserve"> </w:t>
      </w:r>
    </w:p>
  </w:footnote>
  <w:footnote w:id="74">
    <w:p w14:paraId="0765FAC4" w14:textId="77777777" w:rsidR="0094362E" w:rsidRPr="00B556C0" w:rsidRDefault="0094362E" w:rsidP="0094362E">
      <w:pPr>
        <w:pStyle w:val="Default"/>
        <w:rPr>
          <w:rFonts w:ascii="Abadi" w:hAnsi="Abadi" w:cs="Calibri"/>
          <w:i/>
          <w:iCs/>
          <w:sz w:val="14"/>
          <w:szCs w:val="14"/>
        </w:rPr>
      </w:pPr>
      <w:r w:rsidRPr="00B556C0">
        <w:rPr>
          <w:rStyle w:val="Refdenotaalpie"/>
          <w:rFonts w:ascii="Abadi" w:hAnsi="Abadi"/>
          <w:i/>
          <w:iCs/>
          <w:sz w:val="14"/>
          <w:szCs w:val="14"/>
        </w:rPr>
        <w:footnoteRef/>
      </w:r>
      <w:r w:rsidRPr="00B556C0">
        <w:rPr>
          <w:rFonts w:ascii="Abadi" w:hAnsi="Abadi"/>
          <w:i/>
          <w:iCs/>
          <w:sz w:val="14"/>
          <w:szCs w:val="14"/>
        </w:rPr>
        <w:t xml:space="preserve"> </w:t>
      </w:r>
      <w:r w:rsidRPr="00B556C0">
        <w:rPr>
          <w:rFonts w:ascii="Abadi" w:hAnsi="Abadi" w:cs="Calibri"/>
          <w:i/>
          <w:iCs/>
          <w:sz w:val="14"/>
          <w:szCs w:val="14"/>
        </w:rPr>
        <w:t xml:space="preserve">A) Animales de asistencia psiquiátrica y apoyo emocional 2014, Pub N° 5483.02 </w:t>
      </w:r>
    </w:p>
    <w:p w14:paraId="6E51E0DB" w14:textId="77777777" w:rsidR="0094362E" w:rsidRPr="00B556C0" w:rsidRDefault="0094362E" w:rsidP="0094362E">
      <w:pPr>
        <w:adjustRightInd w:val="0"/>
        <w:jc w:val="both"/>
        <w:rPr>
          <w:rFonts w:ascii="Abadi" w:eastAsiaTheme="minorHAnsi" w:hAnsi="Abadi" w:cs="Calibri"/>
          <w:i/>
          <w:iCs/>
          <w:color w:val="000000"/>
          <w:sz w:val="14"/>
          <w:szCs w:val="14"/>
        </w:rPr>
      </w:pPr>
      <w:r w:rsidRPr="00B556C0">
        <w:rPr>
          <w:rFonts w:ascii="Abadi" w:eastAsiaTheme="minorHAnsi" w:hAnsi="Abadi" w:cs="Calibri"/>
          <w:i/>
          <w:iCs/>
          <w:color w:val="000000"/>
          <w:sz w:val="14"/>
          <w:szCs w:val="14"/>
        </w:rPr>
        <w:t xml:space="preserve">B) What Factors Are Associated with Positive Effects of Dog Ownership in Families with Children with Autism Spectrum Disorder? The Development of the Lincoln Autism Pet Dog Impact Scale. Sophie Susannah Hall*, Hannah F. Wright, Daniel Simon Mills. University of Lincoln, School of Life Sciences, Lincoln, Lincolnshire, United Kingdom. </w:t>
      </w:r>
    </w:p>
    <w:p w14:paraId="562C1F7A" w14:textId="77777777" w:rsidR="0094362E" w:rsidRPr="00B556C0" w:rsidRDefault="0094362E" w:rsidP="0094362E">
      <w:pPr>
        <w:adjustRightInd w:val="0"/>
        <w:jc w:val="both"/>
        <w:rPr>
          <w:rFonts w:ascii="Abadi" w:eastAsiaTheme="minorHAnsi" w:hAnsi="Abadi" w:cs="Calibri"/>
          <w:i/>
          <w:iCs/>
          <w:color w:val="000000"/>
          <w:sz w:val="14"/>
          <w:szCs w:val="14"/>
        </w:rPr>
      </w:pPr>
      <w:r w:rsidRPr="00B556C0">
        <w:rPr>
          <w:rFonts w:ascii="Abadi" w:eastAsiaTheme="minorHAnsi" w:hAnsi="Abadi" w:cs="Calibri"/>
          <w:i/>
          <w:iCs/>
          <w:color w:val="000000"/>
          <w:sz w:val="14"/>
          <w:szCs w:val="14"/>
        </w:rPr>
        <w:t xml:space="preserve">C) Kohane IS, McMurry A, Weber G, McFadden D, Rappaport L, Kunkel L, et al. 2012. The co-morbidity burden </w:t>
      </w:r>
    </w:p>
    <w:p w14:paraId="75C07724" w14:textId="77777777" w:rsidR="0094362E" w:rsidRPr="00B556C0" w:rsidRDefault="0094362E" w:rsidP="0094362E">
      <w:pPr>
        <w:adjustRightInd w:val="0"/>
        <w:jc w:val="both"/>
        <w:rPr>
          <w:rFonts w:ascii="Abadi" w:eastAsiaTheme="minorHAnsi" w:hAnsi="Abadi" w:cs="Calibri"/>
          <w:i/>
          <w:iCs/>
          <w:color w:val="000000"/>
          <w:sz w:val="14"/>
          <w:szCs w:val="14"/>
        </w:rPr>
      </w:pPr>
      <w:r w:rsidRPr="00B556C0">
        <w:rPr>
          <w:rFonts w:ascii="Abadi" w:eastAsiaTheme="minorHAnsi" w:hAnsi="Abadi" w:cs="Calibri"/>
          <w:i/>
          <w:iCs/>
          <w:color w:val="000000"/>
          <w:sz w:val="14"/>
          <w:szCs w:val="14"/>
        </w:rPr>
        <w:t xml:space="preserve">of children and young adults with autism spectrum disorders. PLoS One; 7(4):e33224. doi: 10. 1371/journal.pone.0033224 PMID: 22511918 </w:t>
      </w:r>
    </w:p>
    <w:p w14:paraId="73A78886" w14:textId="77777777" w:rsidR="0094362E" w:rsidRPr="00B556C0" w:rsidRDefault="0094362E" w:rsidP="0094362E">
      <w:pPr>
        <w:adjustRightInd w:val="0"/>
        <w:jc w:val="both"/>
        <w:rPr>
          <w:rFonts w:ascii="Abadi" w:eastAsiaTheme="minorHAnsi" w:hAnsi="Abadi" w:cs="Calibri"/>
          <w:i/>
          <w:iCs/>
          <w:color w:val="000000"/>
          <w:sz w:val="14"/>
          <w:szCs w:val="14"/>
        </w:rPr>
      </w:pPr>
      <w:r w:rsidRPr="00B556C0">
        <w:rPr>
          <w:rFonts w:ascii="Abadi" w:eastAsiaTheme="minorHAnsi" w:hAnsi="Abadi" w:cs="Calibri"/>
          <w:i/>
          <w:iCs/>
          <w:color w:val="000000"/>
          <w:sz w:val="14"/>
          <w:szCs w:val="14"/>
        </w:rPr>
        <w:t xml:space="preserve">D) Hall, S. S., Wright, H. F., Hames, A., &amp; Mills, D. S. (2016). The long-term benefits of dog ownership in families with children with autism. Journal of Veterinary Behavior: Clinical Applications and Research, 13, 46-54. </w:t>
      </w:r>
    </w:p>
    <w:p w14:paraId="7D2D84F9" w14:textId="77777777" w:rsidR="0094362E" w:rsidRPr="00B556C0" w:rsidRDefault="0094362E" w:rsidP="0094362E">
      <w:pPr>
        <w:adjustRightInd w:val="0"/>
        <w:jc w:val="both"/>
        <w:rPr>
          <w:rFonts w:ascii="Abadi" w:eastAsiaTheme="minorHAnsi" w:hAnsi="Abadi" w:cs="Calibri"/>
          <w:i/>
          <w:iCs/>
          <w:color w:val="000000"/>
          <w:sz w:val="14"/>
          <w:szCs w:val="14"/>
        </w:rPr>
      </w:pPr>
      <w:r w:rsidRPr="00B556C0">
        <w:rPr>
          <w:rFonts w:ascii="Abadi" w:eastAsiaTheme="minorHAnsi" w:hAnsi="Abadi" w:cs="Calibri"/>
          <w:i/>
          <w:iCs/>
          <w:color w:val="000000"/>
          <w:sz w:val="14"/>
          <w:szCs w:val="14"/>
        </w:rPr>
        <w:t xml:space="preserve">E) Berry A, Borgi M, Francia N, Alleva E, Cirulli FUse of assistance and therapy dogs for children with </w:t>
      </w:r>
    </w:p>
    <w:p w14:paraId="56532DE1" w14:textId="77777777" w:rsidR="0094362E" w:rsidRPr="00B556C0" w:rsidRDefault="0094362E" w:rsidP="0094362E">
      <w:pPr>
        <w:adjustRightInd w:val="0"/>
        <w:jc w:val="both"/>
        <w:rPr>
          <w:rFonts w:ascii="Abadi" w:eastAsiaTheme="minorHAnsi" w:hAnsi="Abadi" w:cs="Calibri"/>
          <w:i/>
          <w:iCs/>
          <w:color w:val="000000"/>
          <w:sz w:val="14"/>
          <w:szCs w:val="14"/>
        </w:rPr>
      </w:pPr>
      <w:r w:rsidRPr="00B556C0">
        <w:rPr>
          <w:rFonts w:ascii="Abadi" w:eastAsiaTheme="minorHAnsi" w:hAnsi="Abadi" w:cs="Calibri"/>
          <w:i/>
          <w:iCs/>
          <w:color w:val="000000"/>
          <w:sz w:val="14"/>
          <w:szCs w:val="14"/>
        </w:rPr>
        <w:t xml:space="preserve">autism spectrum disorders: A critical review of the current evidence. J Altern Complement Medicine. </w:t>
      </w:r>
    </w:p>
    <w:p w14:paraId="50140075" w14:textId="77777777" w:rsidR="0094362E" w:rsidRPr="00B556C0" w:rsidRDefault="0094362E" w:rsidP="0094362E">
      <w:pPr>
        <w:adjustRightInd w:val="0"/>
        <w:jc w:val="both"/>
        <w:rPr>
          <w:rFonts w:ascii="Abadi" w:eastAsiaTheme="minorHAnsi" w:hAnsi="Abadi" w:cs="Calibri"/>
          <w:i/>
          <w:iCs/>
          <w:color w:val="000000"/>
          <w:sz w:val="14"/>
          <w:szCs w:val="14"/>
        </w:rPr>
      </w:pPr>
      <w:r w:rsidRPr="00B556C0">
        <w:rPr>
          <w:rFonts w:ascii="Abadi" w:eastAsiaTheme="minorHAnsi" w:hAnsi="Abadi" w:cs="Calibri"/>
          <w:i/>
          <w:iCs/>
          <w:color w:val="000000"/>
          <w:sz w:val="14"/>
          <w:szCs w:val="14"/>
        </w:rPr>
        <w:t xml:space="preserve">F) </w:t>
      </w:r>
      <w:r w:rsidRPr="00B556C0">
        <w:rPr>
          <w:rFonts w:ascii="Abadi" w:eastAsiaTheme="minorHAnsi" w:hAnsi="Abadi"/>
          <w:i/>
          <w:iCs/>
          <w:color w:val="000000"/>
          <w:sz w:val="14"/>
          <w:szCs w:val="14"/>
        </w:rPr>
        <w:t xml:space="preserve">Viau, R., Arsenault-Lapierre, G., Fecteau, S., Champagne, N., Walker, C. D., &amp; Lupien, S. (2010). Effect of service dogs on salivary cortisol secretion in autistic children. Psychoneuroendocrinology, 35(8), 1187-1193. </w:t>
      </w:r>
    </w:p>
    <w:p w14:paraId="2A625BAD" w14:textId="77777777" w:rsidR="0094362E" w:rsidRPr="0059247F" w:rsidRDefault="0094362E" w:rsidP="0094362E">
      <w:pPr>
        <w:pStyle w:val="Textonotapie"/>
        <w:jc w:val="both"/>
        <w:rPr>
          <w:rFonts w:ascii="Verdana" w:hAnsi="Verdana"/>
          <w:i/>
          <w:iCs/>
          <w:sz w:val="12"/>
          <w:szCs w:val="12"/>
        </w:rPr>
      </w:pPr>
      <w:r w:rsidRPr="00B556C0">
        <w:rPr>
          <w:rFonts w:ascii="Abadi" w:eastAsiaTheme="minorHAnsi" w:hAnsi="Abadi"/>
          <w:i/>
          <w:iCs/>
          <w:color w:val="000000"/>
          <w:sz w:val="14"/>
          <w:szCs w:val="14"/>
        </w:rPr>
        <w:t>G) Burrows, K. E., Adams, C. L., &amp; Spiers, J. (2008). Sentinels of safety: Service dogs ensure safety and enhance freedom and well-being for families with autistic children. Qualitative health research, 18(12), 1642-1649.</w:t>
      </w:r>
    </w:p>
  </w:footnote>
  <w:footnote w:id="75">
    <w:p w14:paraId="1A63C727" w14:textId="77777777" w:rsidR="0094362E" w:rsidRPr="00B556C0" w:rsidRDefault="0094362E" w:rsidP="0094362E">
      <w:pPr>
        <w:pStyle w:val="Textonotapie"/>
        <w:jc w:val="both"/>
        <w:rPr>
          <w:rFonts w:ascii="Abadi" w:eastAsiaTheme="minorHAnsi" w:hAnsi="Abadi"/>
          <w:i/>
          <w:iCs/>
          <w:color w:val="000000"/>
          <w:sz w:val="14"/>
          <w:szCs w:val="14"/>
        </w:rPr>
      </w:pPr>
      <w:r w:rsidRPr="00B556C0">
        <w:rPr>
          <w:rStyle w:val="Refdenotaalpie"/>
          <w:rFonts w:ascii="Abadi" w:hAnsi="Abadi"/>
          <w:i/>
          <w:iCs/>
          <w:sz w:val="14"/>
          <w:szCs w:val="14"/>
        </w:rPr>
        <w:footnoteRef/>
      </w:r>
      <w:r w:rsidRPr="00B556C0">
        <w:rPr>
          <w:rFonts w:ascii="Abadi" w:hAnsi="Abadi"/>
          <w:i/>
          <w:iCs/>
          <w:sz w:val="14"/>
          <w:szCs w:val="14"/>
        </w:rPr>
        <w:t xml:space="preserve"> </w:t>
      </w:r>
      <w:r w:rsidRPr="00B556C0">
        <w:rPr>
          <w:rFonts w:ascii="Abadi" w:hAnsi="Abadi" w:cs="Calibri"/>
          <w:i/>
          <w:iCs/>
          <w:sz w:val="14"/>
          <w:szCs w:val="14"/>
        </w:rPr>
        <w:t>A</w:t>
      </w:r>
      <w:r w:rsidRPr="00B556C0">
        <w:rPr>
          <w:rFonts w:ascii="Abadi" w:eastAsiaTheme="minorHAnsi" w:hAnsi="Abadi"/>
          <w:i/>
          <w:iCs/>
          <w:color w:val="000000"/>
          <w:sz w:val="14"/>
          <w:szCs w:val="14"/>
        </w:rPr>
        <w:t xml:space="preserve">) ADA. Information and Technical Assistance on the Americans with Disabilities Act. </w:t>
      </w:r>
    </w:p>
    <w:p w14:paraId="00DBEBB4" w14:textId="77777777" w:rsidR="0094362E" w:rsidRPr="00B556C0" w:rsidRDefault="0094362E" w:rsidP="0094362E">
      <w:pPr>
        <w:pStyle w:val="Textonotapie"/>
        <w:jc w:val="both"/>
        <w:rPr>
          <w:rFonts w:ascii="Abadi" w:eastAsiaTheme="minorHAnsi" w:hAnsi="Abadi"/>
          <w:i/>
          <w:iCs/>
          <w:color w:val="000000"/>
          <w:sz w:val="14"/>
          <w:szCs w:val="14"/>
        </w:rPr>
      </w:pPr>
      <w:r w:rsidRPr="00B556C0">
        <w:rPr>
          <w:rFonts w:ascii="Abadi" w:eastAsiaTheme="minorHAnsi" w:hAnsi="Abadi"/>
          <w:i/>
          <w:iCs/>
          <w:color w:val="000000"/>
          <w:sz w:val="14"/>
          <w:szCs w:val="14"/>
        </w:rPr>
        <w:t xml:space="preserve">B) Assistance Dogs International. </w:t>
      </w:r>
    </w:p>
    <w:p w14:paraId="0FEE0547" w14:textId="77777777" w:rsidR="0094362E" w:rsidRPr="0059247F" w:rsidRDefault="0094362E" w:rsidP="0094362E">
      <w:pPr>
        <w:pStyle w:val="Textonotapie"/>
        <w:jc w:val="both"/>
        <w:rPr>
          <w:rFonts w:ascii="Verdana" w:eastAsiaTheme="minorHAnsi" w:hAnsi="Verdana"/>
          <w:i/>
          <w:iCs/>
          <w:color w:val="000000"/>
          <w:sz w:val="12"/>
          <w:szCs w:val="12"/>
        </w:rPr>
      </w:pPr>
      <w:r w:rsidRPr="00B556C0">
        <w:rPr>
          <w:rFonts w:ascii="Abadi" w:eastAsiaTheme="minorHAnsi" w:hAnsi="Abadi"/>
          <w:i/>
          <w:iCs/>
          <w:color w:val="000000"/>
          <w:sz w:val="14"/>
          <w:szCs w:val="14"/>
        </w:rPr>
        <w:t>C) Fondo Social Europeo. Instituto Nacional de las Cualificaciones. Protocolos de los Perros de Asistencia</w:t>
      </w:r>
    </w:p>
  </w:footnote>
  <w:footnote w:id="76">
    <w:p w14:paraId="63C00848" w14:textId="77777777" w:rsidR="00FA302A" w:rsidRPr="004D0AF1" w:rsidRDefault="00FA302A" w:rsidP="00FA302A">
      <w:pPr>
        <w:autoSpaceDE w:val="0"/>
        <w:autoSpaceDN w:val="0"/>
        <w:adjustRightInd w:val="0"/>
        <w:jc w:val="both"/>
        <w:rPr>
          <w:rFonts w:ascii="Abadi" w:hAnsi="Abadi"/>
          <w:i/>
          <w:iCs/>
          <w:sz w:val="14"/>
          <w:szCs w:val="14"/>
          <w:lang w:val="es-MX"/>
        </w:rPr>
      </w:pPr>
      <w:r w:rsidRPr="004D0AF1">
        <w:rPr>
          <w:rStyle w:val="Refdenotaalpie"/>
          <w:rFonts w:ascii="Abadi" w:hAnsi="Abadi"/>
          <w:i/>
          <w:iCs/>
          <w:sz w:val="14"/>
          <w:szCs w:val="14"/>
        </w:rPr>
        <w:footnoteRef/>
      </w:r>
      <w:r w:rsidRPr="004D0AF1">
        <w:rPr>
          <w:rFonts w:ascii="Abadi" w:hAnsi="Abadi"/>
          <w:i/>
          <w:iCs/>
          <w:sz w:val="14"/>
          <w:szCs w:val="14"/>
          <w:lang w:val="es-MX"/>
        </w:rPr>
        <w:t xml:space="preserve"> </w:t>
      </w:r>
      <w:r w:rsidRPr="004D0AF1">
        <w:rPr>
          <w:rFonts w:ascii="Abadi" w:eastAsiaTheme="minorHAnsi" w:hAnsi="Abadi" w:cs="Arial"/>
          <w:b/>
          <w:bCs/>
          <w:i/>
          <w:iCs/>
          <w:color w:val="000000"/>
          <w:sz w:val="14"/>
          <w:szCs w:val="14"/>
          <w:lang w:val="es-MX"/>
        </w:rPr>
        <w:t xml:space="preserve">Consejo Nacional para Prevenir la discriminación. </w:t>
      </w:r>
      <w:r w:rsidRPr="004D0AF1">
        <w:rPr>
          <w:rFonts w:ascii="Abadi" w:eastAsiaTheme="minorHAnsi" w:hAnsi="Abadi" w:cs="Arial"/>
          <w:i/>
          <w:iCs/>
          <w:color w:val="000000"/>
          <w:sz w:val="14"/>
          <w:szCs w:val="14"/>
          <w:lang w:val="es-MX"/>
        </w:rPr>
        <w:t xml:space="preserve">Consultar el siguiente vínculo: </w:t>
      </w:r>
      <w:r w:rsidRPr="004D0AF1">
        <w:rPr>
          <w:rFonts w:ascii="Abadi" w:eastAsiaTheme="minorHAnsi" w:hAnsi="Abadi" w:cs="Arial"/>
          <w:i/>
          <w:iCs/>
          <w:color w:val="0563C2"/>
          <w:sz w:val="14"/>
          <w:szCs w:val="14"/>
          <w:lang w:val="es-MX"/>
        </w:rPr>
        <w:t>https://www.conapred.org.mx/userfiles/files/Acercamiento%20Decreto%20Nacional%20Dia%20contra%20Homofobia%20(accesible).pdf</w:t>
      </w:r>
    </w:p>
  </w:footnote>
  <w:footnote w:id="77">
    <w:p w14:paraId="590A9B34" w14:textId="77777777" w:rsidR="00FA302A" w:rsidRPr="004D0AF1" w:rsidRDefault="00FA302A" w:rsidP="00FA302A">
      <w:pPr>
        <w:pStyle w:val="Textonotapie"/>
        <w:rPr>
          <w:rFonts w:ascii="Abadi" w:hAnsi="Abadi"/>
          <w:i/>
          <w:iCs/>
          <w:sz w:val="14"/>
          <w:szCs w:val="14"/>
        </w:rPr>
      </w:pPr>
      <w:r w:rsidRPr="004D0AF1">
        <w:rPr>
          <w:rStyle w:val="Refdenotaalpie"/>
          <w:rFonts w:ascii="Abadi" w:hAnsi="Abadi"/>
          <w:i/>
          <w:iCs/>
          <w:sz w:val="14"/>
          <w:szCs w:val="14"/>
        </w:rPr>
        <w:footnoteRef/>
      </w:r>
      <w:r w:rsidRPr="004D0AF1">
        <w:rPr>
          <w:rFonts w:ascii="Abadi" w:hAnsi="Abadi"/>
          <w:i/>
          <w:iCs/>
          <w:sz w:val="14"/>
          <w:szCs w:val="14"/>
        </w:rPr>
        <w:t xml:space="preserve"> I</w:t>
      </w:r>
      <w:r w:rsidRPr="004D0AF1">
        <w:rPr>
          <w:rFonts w:ascii="Abadi" w:eastAsiaTheme="minorHAnsi" w:hAnsi="Abadi" w:cs="Arial"/>
          <w:i/>
          <w:iCs/>
          <w:sz w:val="14"/>
          <w:szCs w:val="14"/>
        </w:rPr>
        <w:t>dem.</w:t>
      </w:r>
    </w:p>
  </w:footnote>
  <w:footnote w:id="78">
    <w:p w14:paraId="06F10D0F" w14:textId="77777777" w:rsidR="00FA302A" w:rsidRPr="004D0AF1" w:rsidRDefault="00FA302A" w:rsidP="00FA302A">
      <w:pPr>
        <w:pStyle w:val="Textonotapie"/>
        <w:rPr>
          <w:rFonts w:ascii="Abadi" w:hAnsi="Abadi"/>
          <w:i/>
          <w:iCs/>
          <w:sz w:val="14"/>
          <w:szCs w:val="14"/>
        </w:rPr>
      </w:pPr>
      <w:r w:rsidRPr="004D0AF1">
        <w:rPr>
          <w:rStyle w:val="Refdenotaalpie"/>
          <w:rFonts w:ascii="Abadi" w:hAnsi="Abadi"/>
          <w:i/>
          <w:iCs/>
          <w:sz w:val="14"/>
          <w:szCs w:val="14"/>
        </w:rPr>
        <w:footnoteRef/>
      </w:r>
      <w:r w:rsidRPr="004D0AF1">
        <w:rPr>
          <w:rFonts w:ascii="Abadi" w:hAnsi="Abadi"/>
          <w:i/>
          <w:iCs/>
          <w:sz w:val="14"/>
          <w:szCs w:val="14"/>
        </w:rPr>
        <w:t xml:space="preserve"> I</w:t>
      </w:r>
      <w:r w:rsidRPr="004D0AF1">
        <w:rPr>
          <w:rFonts w:ascii="Abadi" w:eastAsiaTheme="minorHAnsi" w:hAnsi="Abadi" w:cs="Arial"/>
          <w:i/>
          <w:iCs/>
          <w:sz w:val="14"/>
          <w:szCs w:val="14"/>
        </w:rPr>
        <w:t>dem.</w:t>
      </w:r>
    </w:p>
  </w:footnote>
  <w:footnote w:id="79">
    <w:p w14:paraId="688EB2E4" w14:textId="77777777" w:rsidR="00FA302A" w:rsidRPr="00E5311A" w:rsidRDefault="00FA302A" w:rsidP="00FA302A">
      <w:pPr>
        <w:pStyle w:val="Textonotapie"/>
        <w:rPr>
          <w:rFonts w:ascii="Verdana" w:hAnsi="Verdana"/>
          <w:i/>
          <w:iCs/>
          <w:sz w:val="13"/>
          <w:szCs w:val="13"/>
        </w:rPr>
      </w:pPr>
      <w:r w:rsidRPr="004D0AF1">
        <w:rPr>
          <w:rStyle w:val="Refdenotaalpie"/>
          <w:rFonts w:ascii="Abadi" w:hAnsi="Abadi"/>
          <w:i/>
          <w:iCs/>
          <w:sz w:val="14"/>
          <w:szCs w:val="14"/>
        </w:rPr>
        <w:footnoteRef/>
      </w:r>
      <w:r w:rsidRPr="004D0AF1">
        <w:rPr>
          <w:rFonts w:ascii="Abadi" w:hAnsi="Abadi"/>
          <w:i/>
          <w:iCs/>
          <w:sz w:val="14"/>
          <w:szCs w:val="14"/>
        </w:rPr>
        <w:t xml:space="preserve"> I</w:t>
      </w:r>
      <w:r w:rsidRPr="004D0AF1">
        <w:rPr>
          <w:rFonts w:ascii="Abadi" w:eastAsiaTheme="minorHAnsi" w:hAnsi="Abadi" w:cs="Arial"/>
          <w:i/>
          <w:iCs/>
          <w:sz w:val="14"/>
          <w:szCs w:val="14"/>
        </w:rPr>
        <w:t>dem.</w:t>
      </w:r>
    </w:p>
  </w:footnote>
  <w:footnote w:id="80">
    <w:p w14:paraId="4571C8BE" w14:textId="77777777" w:rsidR="00FA302A" w:rsidRPr="004D0AF1" w:rsidRDefault="00FA302A" w:rsidP="00FA302A">
      <w:pPr>
        <w:pStyle w:val="Textonotapie"/>
        <w:rPr>
          <w:rFonts w:ascii="Abadi" w:hAnsi="Abadi"/>
          <w:i/>
          <w:iCs/>
          <w:sz w:val="14"/>
          <w:szCs w:val="14"/>
        </w:rPr>
      </w:pPr>
      <w:r w:rsidRPr="004D0AF1">
        <w:rPr>
          <w:rStyle w:val="Refdenotaalpie"/>
          <w:rFonts w:ascii="Abadi" w:hAnsi="Abadi"/>
          <w:i/>
          <w:iCs/>
          <w:sz w:val="14"/>
          <w:szCs w:val="14"/>
        </w:rPr>
        <w:footnoteRef/>
      </w:r>
      <w:r w:rsidRPr="004D0AF1">
        <w:rPr>
          <w:rFonts w:ascii="Abadi" w:hAnsi="Abadi"/>
          <w:i/>
          <w:iCs/>
          <w:sz w:val="14"/>
          <w:szCs w:val="14"/>
        </w:rPr>
        <w:t xml:space="preserve"> I</w:t>
      </w:r>
      <w:r w:rsidRPr="004D0AF1">
        <w:rPr>
          <w:rFonts w:ascii="Abadi" w:eastAsiaTheme="minorHAnsi" w:hAnsi="Abadi" w:cs="Arial"/>
          <w:i/>
          <w:iCs/>
          <w:sz w:val="14"/>
          <w:szCs w:val="14"/>
        </w:rPr>
        <w:t>dem.</w:t>
      </w:r>
    </w:p>
  </w:footnote>
  <w:footnote w:id="81">
    <w:p w14:paraId="0167FB3E" w14:textId="77777777" w:rsidR="0078535D" w:rsidRPr="00F309CF" w:rsidRDefault="0078535D" w:rsidP="0078535D">
      <w:pPr>
        <w:pStyle w:val="Textonotapie"/>
        <w:widowControl w:val="0"/>
        <w:jc w:val="both"/>
        <w:rPr>
          <w:rFonts w:ascii="Abadi" w:hAnsi="Abadi" w:cs="Arial"/>
          <w:i/>
          <w:iCs/>
          <w:sz w:val="14"/>
          <w:szCs w:val="14"/>
        </w:rPr>
      </w:pPr>
      <w:r w:rsidRPr="00F309CF">
        <w:rPr>
          <w:rStyle w:val="Refdenotaalpie"/>
          <w:rFonts w:ascii="Abadi" w:hAnsi="Abadi"/>
          <w:i/>
          <w:iCs/>
          <w:sz w:val="14"/>
          <w:szCs w:val="14"/>
        </w:rPr>
        <w:footnoteRef/>
      </w:r>
      <w:r w:rsidRPr="00F309CF">
        <w:rPr>
          <w:rFonts w:ascii="Abadi" w:hAnsi="Abadi" w:cs="Arial"/>
          <w:i/>
          <w:iCs/>
          <w:sz w:val="14"/>
          <w:szCs w:val="14"/>
        </w:rPr>
        <w:t xml:space="preserve"> De acuerdo con la interpretación que la Corte Interamericana de Derechos Humanos (CorteIDH) la obligación de respetar exige que el Estado y sus agentes no violen los derechos humanos establecidos en la Convención Americana sobre Derechos Humanos (CADH), por lo tanto, </w:t>
      </w:r>
      <w:r w:rsidRPr="00F309CF">
        <w:rPr>
          <w:rFonts w:ascii="Abadi" w:hAnsi="Abadi" w:cs="Arial"/>
          <w:b/>
          <w:bCs/>
          <w:i/>
          <w:iCs/>
          <w:sz w:val="14"/>
          <w:szCs w:val="14"/>
        </w:rPr>
        <w:t>implica el deber de no afectar o violentar ninguno de los derechos contemplados en dicho instrumento internacional</w:t>
      </w:r>
      <w:r w:rsidRPr="00F309CF">
        <w:rPr>
          <w:rFonts w:ascii="Abadi" w:hAnsi="Abadi" w:cs="Arial"/>
          <w:i/>
          <w:iCs/>
          <w:sz w:val="14"/>
          <w:szCs w:val="14"/>
        </w:rPr>
        <w:t>.</w:t>
      </w:r>
    </w:p>
  </w:footnote>
  <w:footnote w:id="82">
    <w:p w14:paraId="0D1E22AA" w14:textId="77777777" w:rsidR="0078535D" w:rsidRPr="00F309CF" w:rsidRDefault="0078535D" w:rsidP="0078535D">
      <w:pPr>
        <w:pStyle w:val="Textonotapie"/>
        <w:widowControl w:val="0"/>
        <w:jc w:val="both"/>
        <w:rPr>
          <w:rFonts w:ascii="Abadi" w:hAnsi="Abadi" w:cs="Arial"/>
          <w:i/>
          <w:iCs/>
          <w:sz w:val="14"/>
          <w:szCs w:val="14"/>
        </w:rPr>
      </w:pPr>
      <w:r w:rsidRPr="00F309CF">
        <w:rPr>
          <w:rStyle w:val="Refdenotaalpie"/>
          <w:rFonts w:ascii="Abadi" w:hAnsi="Abadi"/>
          <w:i/>
          <w:iCs/>
          <w:sz w:val="14"/>
          <w:szCs w:val="14"/>
        </w:rPr>
        <w:footnoteRef/>
      </w:r>
      <w:r w:rsidRPr="00F309CF">
        <w:rPr>
          <w:rFonts w:ascii="Abadi" w:hAnsi="Abadi" w:cs="Arial"/>
          <w:i/>
          <w:iCs/>
          <w:sz w:val="14"/>
          <w:szCs w:val="14"/>
        </w:rPr>
        <w:t xml:space="preserve"> Esta obligación exige que el Estado </w:t>
      </w:r>
      <w:r w:rsidRPr="00F309CF">
        <w:rPr>
          <w:rFonts w:ascii="Abadi" w:hAnsi="Abadi" w:cs="Arial"/>
          <w:b/>
          <w:bCs/>
          <w:i/>
          <w:iCs/>
          <w:sz w:val="14"/>
          <w:szCs w:val="14"/>
        </w:rPr>
        <w:t>emprenda las acciones necesarias para asegurar que todas las personas sujetas a su jurisdicción estén en condiciones de ejercer y de gozar los derechos humanos</w:t>
      </w:r>
      <w:r w:rsidRPr="00F309CF">
        <w:rPr>
          <w:rFonts w:ascii="Abadi" w:hAnsi="Abadi" w:cs="Arial"/>
          <w:i/>
          <w:iCs/>
          <w:sz w:val="14"/>
          <w:szCs w:val="14"/>
        </w:rPr>
        <w:t>.</w:t>
      </w:r>
    </w:p>
  </w:footnote>
  <w:footnote w:id="83">
    <w:p w14:paraId="58247C85" w14:textId="77777777" w:rsidR="0078535D" w:rsidRPr="00F309CF" w:rsidRDefault="0078535D" w:rsidP="0078535D">
      <w:pPr>
        <w:pStyle w:val="Textonotapie"/>
        <w:widowControl w:val="0"/>
        <w:jc w:val="both"/>
        <w:rPr>
          <w:rFonts w:ascii="Abadi" w:hAnsi="Abadi" w:cs="Arial"/>
          <w:i/>
          <w:iCs/>
          <w:sz w:val="14"/>
          <w:szCs w:val="14"/>
        </w:rPr>
      </w:pPr>
      <w:r w:rsidRPr="00F309CF">
        <w:rPr>
          <w:rStyle w:val="Refdenotaalpie"/>
          <w:rFonts w:ascii="Abadi" w:hAnsi="Abadi"/>
          <w:i/>
          <w:iCs/>
          <w:sz w:val="14"/>
          <w:szCs w:val="14"/>
        </w:rPr>
        <w:footnoteRef/>
      </w:r>
      <w:r w:rsidRPr="00F309CF">
        <w:rPr>
          <w:rFonts w:ascii="Abadi" w:hAnsi="Abadi" w:cs="Arial"/>
          <w:i/>
          <w:iCs/>
          <w:sz w:val="14"/>
          <w:szCs w:val="14"/>
        </w:rPr>
        <w:t xml:space="preserve"> </w:t>
      </w:r>
      <w:hyperlink r:id="rId8" w:history="1">
        <w:r w:rsidRPr="00F309CF">
          <w:rPr>
            <w:rStyle w:val="Hipervnculo"/>
            <w:rFonts w:ascii="Abadi" w:hAnsi="Abadi" w:cs="Arial"/>
            <w:i/>
            <w:iCs/>
            <w:sz w:val="14"/>
            <w:szCs w:val="14"/>
          </w:rPr>
          <w:t>Artículo 102, apartado B,</w:t>
        </w:r>
      </w:hyperlink>
      <w:r w:rsidRPr="00F309CF">
        <w:rPr>
          <w:rFonts w:ascii="Abadi" w:hAnsi="Abadi" w:cs="Arial"/>
          <w:i/>
          <w:iCs/>
          <w:sz w:val="14"/>
          <w:szCs w:val="14"/>
        </w:rPr>
        <w:t xml:space="preserve"> de la CPEUM. </w:t>
      </w:r>
    </w:p>
  </w:footnote>
  <w:footnote w:id="84">
    <w:p w14:paraId="0AC9D878" w14:textId="77777777" w:rsidR="0078535D" w:rsidRPr="00F309CF" w:rsidRDefault="0078535D" w:rsidP="0078535D">
      <w:pPr>
        <w:pStyle w:val="Textonotapie"/>
        <w:widowControl w:val="0"/>
        <w:jc w:val="both"/>
        <w:rPr>
          <w:rFonts w:ascii="Abadi" w:hAnsi="Abadi" w:cs="Arial"/>
          <w:i/>
          <w:iCs/>
          <w:sz w:val="14"/>
          <w:szCs w:val="14"/>
        </w:rPr>
      </w:pPr>
      <w:r w:rsidRPr="00F309CF">
        <w:rPr>
          <w:rStyle w:val="Refdenotaalpie"/>
          <w:rFonts w:ascii="Abadi" w:hAnsi="Abadi"/>
          <w:i/>
          <w:iCs/>
          <w:sz w:val="14"/>
          <w:szCs w:val="14"/>
        </w:rPr>
        <w:footnoteRef/>
      </w:r>
      <w:r w:rsidRPr="00F309CF">
        <w:rPr>
          <w:rFonts w:ascii="Abadi" w:hAnsi="Abadi" w:cs="Arial"/>
          <w:i/>
          <w:iCs/>
          <w:sz w:val="14"/>
          <w:szCs w:val="14"/>
        </w:rPr>
        <w:t xml:space="preserve"> Extracto de las consideraciones del dictamen de las Comisiones Unidas de Gobernación, Justicia y Puntos Constitucionales, relativo a la Ley que crea la Procuraduría de los Derechos Humanos para el Estado de Guanajuato, del 2 de octubre de 1992.</w:t>
      </w:r>
    </w:p>
  </w:footnote>
  <w:footnote w:id="85">
    <w:p w14:paraId="7C821CCD" w14:textId="77777777" w:rsidR="0078535D" w:rsidRPr="00B87FB6" w:rsidRDefault="0078535D" w:rsidP="0078535D">
      <w:pPr>
        <w:pStyle w:val="Textonotapie"/>
        <w:widowControl w:val="0"/>
        <w:jc w:val="both"/>
        <w:rPr>
          <w:rFonts w:ascii="Verdana" w:hAnsi="Verdana" w:cs="Arial"/>
          <w:i/>
          <w:iCs/>
          <w:sz w:val="12"/>
          <w:szCs w:val="12"/>
        </w:rPr>
      </w:pPr>
      <w:r w:rsidRPr="00F309CF">
        <w:rPr>
          <w:rStyle w:val="Refdenotaalpie"/>
          <w:rFonts w:ascii="Abadi" w:hAnsi="Abadi"/>
          <w:i/>
          <w:iCs/>
          <w:sz w:val="14"/>
          <w:szCs w:val="14"/>
        </w:rPr>
        <w:footnoteRef/>
      </w:r>
      <w:r w:rsidRPr="00F309CF">
        <w:rPr>
          <w:rFonts w:ascii="Abadi" w:hAnsi="Abadi" w:cs="Arial"/>
          <w:i/>
          <w:iCs/>
          <w:sz w:val="14"/>
          <w:szCs w:val="14"/>
        </w:rPr>
        <w:t xml:space="preserve"> “La recomendación es una herramienta para que se actualice la justicia, para que el Estado de Derecho se fortalezca y que para el cumplimiento de los derechos humanos se vigorice.” </w:t>
      </w:r>
      <w:hyperlink r:id="rId9" w:history="1">
        <w:r w:rsidRPr="00F309CF">
          <w:rPr>
            <w:rStyle w:val="Hipervnculo"/>
            <w:rFonts w:ascii="Abadi" w:hAnsi="Abadi" w:cs="Arial"/>
            <w:i/>
            <w:iCs/>
            <w:sz w:val="14"/>
            <w:szCs w:val="14"/>
          </w:rPr>
          <w:t>Informe XXVI de actividades de la PDHEG.</w:t>
        </w:r>
      </w:hyperlink>
    </w:p>
  </w:footnote>
  <w:footnote w:id="86">
    <w:p w14:paraId="2697E0EE" w14:textId="77777777" w:rsidR="0078535D" w:rsidRPr="00E2164D" w:rsidRDefault="0078535D" w:rsidP="0078535D">
      <w:pPr>
        <w:pStyle w:val="Textonotapie"/>
        <w:widowControl w:val="0"/>
        <w:jc w:val="both"/>
        <w:rPr>
          <w:rFonts w:ascii="Abadi" w:hAnsi="Abadi" w:cs="Arial"/>
          <w:i/>
          <w:iCs/>
          <w:sz w:val="14"/>
          <w:szCs w:val="14"/>
        </w:rPr>
      </w:pPr>
      <w:r w:rsidRPr="00E2164D">
        <w:rPr>
          <w:rStyle w:val="Refdenotaalpie"/>
          <w:rFonts w:ascii="Abadi" w:hAnsi="Abadi"/>
          <w:i/>
          <w:iCs/>
          <w:sz w:val="14"/>
          <w:szCs w:val="14"/>
        </w:rPr>
        <w:footnoteRef/>
      </w:r>
      <w:r w:rsidRPr="00E2164D">
        <w:rPr>
          <w:rFonts w:ascii="Abadi" w:hAnsi="Abadi" w:cs="Arial"/>
          <w:i/>
          <w:iCs/>
          <w:sz w:val="14"/>
          <w:szCs w:val="14"/>
        </w:rPr>
        <w:t xml:space="preserve"> Artículo 55, párrafo segundo de la Ley para la protección de los derechos humanos en el Estado de Guanajuato.</w:t>
      </w:r>
    </w:p>
  </w:footnote>
  <w:footnote w:id="87">
    <w:p w14:paraId="2B9CD910" w14:textId="77777777" w:rsidR="0078535D" w:rsidRPr="00B87FB6" w:rsidRDefault="0078535D" w:rsidP="0078535D">
      <w:pPr>
        <w:pStyle w:val="Textonotapie"/>
        <w:widowControl w:val="0"/>
        <w:rPr>
          <w:rFonts w:ascii="Verdana" w:hAnsi="Verdana"/>
          <w:i/>
          <w:iCs/>
          <w:sz w:val="12"/>
          <w:szCs w:val="12"/>
        </w:rPr>
      </w:pPr>
      <w:r w:rsidRPr="00E2164D">
        <w:rPr>
          <w:rStyle w:val="Refdenotaalpie"/>
          <w:rFonts w:ascii="Abadi" w:hAnsi="Abadi"/>
          <w:i/>
          <w:iCs/>
          <w:sz w:val="14"/>
          <w:szCs w:val="14"/>
        </w:rPr>
        <w:footnoteRef/>
      </w:r>
      <w:r w:rsidRPr="00E2164D">
        <w:rPr>
          <w:rFonts w:ascii="Abadi" w:hAnsi="Abadi"/>
          <w:i/>
          <w:iCs/>
          <w:sz w:val="14"/>
          <w:szCs w:val="14"/>
        </w:rPr>
        <w:t xml:space="preserve"> </w:t>
      </w:r>
      <w:r w:rsidRPr="00E2164D">
        <w:rPr>
          <w:rFonts w:ascii="Abadi" w:hAnsi="Abadi" w:cs="Arial"/>
          <w:i/>
          <w:iCs/>
          <w:sz w:val="14"/>
          <w:szCs w:val="14"/>
        </w:rPr>
        <w:t>Artículo 59, párrafo segundo, idem.</w:t>
      </w:r>
    </w:p>
  </w:footnote>
  <w:footnote w:id="88">
    <w:p w14:paraId="3B40030B" w14:textId="77777777" w:rsidR="0078535D" w:rsidRPr="00E2164D" w:rsidRDefault="0078535D" w:rsidP="0078535D">
      <w:pPr>
        <w:pStyle w:val="Textonotapie"/>
        <w:widowControl w:val="0"/>
        <w:jc w:val="both"/>
        <w:rPr>
          <w:rFonts w:ascii="Abadi" w:hAnsi="Abadi" w:cs="Arial"/>
          <w:i/>
          <w:iCs/>
          <w:sz w:val="14"/>
          <w:szCs w:val="14"/>
        </w:rPr>
      </w:pPr>
      <w:r w:rsidRPr="00E2164D">
        <w:rPr>
          <w:rStyle w:val="Refdenotaalpie"/>
          <w:rFonts w:ascii="Abadi" w:hAnsi="Abadi"/>
          <w:i/>
          <w:iCs/>
          <w:sz w:val="14"/>
          <w:szCs w:val="14"/>
        </w:rPr>
        <w:footnoteRef/>
      </w:r>
      <w:r w:rsidRPr="00E2164D">
        <w:rPr>
          <w:rFonts w:ascii="Abadi" w:hAnsi="Abadi" w:cs="Arial"/>
          <w:i/>
          <w:iCs/>
          <w:sz w:val="14"/>
          <w:szCs w:val="14"/>
        </w:rPr>
        <w:t xml:space="preserve"> </w:t>
      </w:r>
      <w:hyperlink r:id="rId10" w:history="1">
        <w:r w:rsidRPr="00E2164D">
          <w:rPr>
            <w:rStyle w:val="Hipervnculo"/>
            <w:rFonts w:ascii="Abadi" w:hAnsi="Abadi" w:cs="Arial"/>
            <w:i/>
            <w:iCs/>
            <w:sz w:val="14"/>
            <w:szCs w:val="14"/>
          </w:rPr>
          <w:t>Indicadores de Derechos Humanos. Guía para la medición y la aplicación.</w:t>
        </w:r>
      </w:hyperlink>
    </w:p>
  </w:footnote>
  <w:footnote w:id="89">
    <w:p w14:paraId="21C19ABC" w14:textId="77777777" w:rsidR="0078535D" w:rsidRPr="00E2164D" w:rsidRDefault="0078535D" w:rsidP="0078535D">
      <w:pPr>
        <w:pStyle w:val="Textonotapie"/>
        <w:widowControl w:val="0"/>
        <w:rPr>
          <w:rFonts w:ascii="Abadi" w:hAnsi="Abadi"/>
          <w:i/>
          <w:iCs/>
          <w:sz w:val="14"/>
          <w:szCs w:val="14"/>
        </w:rPr>
      </w:pPr>
      <w:r w:rsidRPr="00E2164D">
        <w:rPr>
          <w:rStyle w:val="Refdenotaalpie"/>
          <w:rFonts w:ascii="Abadi" w:hAnsi="Abadi"/>
          <w:i/>
          <w:iCs/>
          <w:sz w:val="14"/>
          <w:szCs w:val="14"/>
        </w:rPr>
        <w:footnoteRef/>
      </w:r>
      <w:hyperlink r:id="rId11" w:history="1">
        <w:r w:rsidRPr="00E2164D">
          <w:rPr>
            <w:rStyle w:val="Hipervnculo"/>
            <w:rFonts w:ascii="Abadi" w:hAnsi="Abadi"/>
            <w:i/>
            <w:iCs/>
            <w:sz w:val="14"/>
            <w:szCs w:val="14"/>
          </w:rPr>
          <w:t>https://www.gob.mx/agenda2030/articulos/16-paz-justicia-e-instituciones-solidas</w:t>
        </w:r>
      </w:hyperlink>
    </w:p>
  </w:footnote>
  <w:footnote w:id="90">
    <w:p w14:paraId="1B59DAB1" w14:textId="77777777" w:rsidR="0078535D" w:rsidRPr="00E2164D" w:rsidRDefault="0078535D" w:rsidP="0078535D">
      <w:pPr>
        <w:pStyle w:val="Textonotapie"/>
        <w:widowControl w:val="0"/>
        <w:rPr>
          <w:rFonts w:ascii="Abadi" w:hAnsi="Abadi"/>
          <w:i/>
          <w:iCs/>
          <w:sz w:val="12"/>
          <w:szCs w:val="12"/>
        </w:rPr>
      </w:pPr>
      <w:r w:rsidRPr="00E2164D">
        <w:rPr>
          <w:rStyle w:val="Refdenotaalpie"/>
          <w:rFonts w:ascii="Abadi" w:hAnsi="Abadi"/>
          <w:i/>
          <w:iCs/>
          <w:sz w:val="14"/>
          <w:szCs w:val="14"/>
        </w:rPr>
        <w:footnoteRef/>
      </w:r>
      <w:r w:rsidRPr="00E2164D">
        <w:rPr>
          <w:rFonts w:ascii="Abadi" w:hAnsi="Abadi"/>
          <w:i/>
          <w:iCs/>
          <w:sz w:val="14"/>
          <w:szCs w:val="14"/>
        </w:rPr>
        <w:t xml:space="preserve"> </w:t>
      </w:r>
      <w:r w:rsidRPr="00E2164D">
        <w:rPr>
          <w:rFonts w:ascii="Abadi" w:hAnsi="Abadi" w:cs="Arial"/>
          <w:i/>
          <w:iCs/>
          <w:color w:val="0F0A0A"/>
          <w:sz w:val="14"/>
          <w:szCs w:val="14"/>
        </w:rPr>
        <w:t xml:space="preserve">Foja 4 de la </w:t>
      </w:r>
      <w:r w:rsidRPr="00E2164D">
        <w:rPr>
          <w:rFonts w:ascii="Abadi" w:hAnsi="Abadi" w:cs="Arial"/>
          <w:i/>
          <w:iCs/>
          <w:color w:val="2A2727"/>
          <w:sz w:val="14"/>
          <w:szCs w:val="14"/>
        </w:rPr>
        <w:t>I</w:t>
      </w:r>
      <w:r w:rsidRPr="00E2164D">
        <w:rPr>
          <w:rFonts w:ascii="Abadi" w:hAnsi="Abadi" w:cs="Arial"/>
          <w:i/>
          <w:iCs/>
          <w:color w:val="0F0A0A"/>
          <w:sz w:val="14"/>
          <w:szCs w:val="14"/>
        </w:rPr>
        <w:t>nic</w:t>
      </w:r>
      <w:r w:rsidRPr="00E2164D">
        <w:rPr>
          <w:rFonts w:ascii="Abadi" w:hAnsi="Abadi" w:cs="Arial"/>
          <w:i/>
          <w:iCs/>
          <w:color w:val="2A2727"/>
          <w:sz w:val="14"/>
          <w:szCs w:val="14"/>
        </w:rPr>
        <w:t>i</w:t>
      </w:r>
      <w:r w:rsidRPr="00E2164D">
        <w:rPr>
          <w:rFonts w:ascii="Abadi" w:hAnsi="Abadi" w:cs="Arial"/>
          <w:i/>
          <w:iCs/>
          <w:color w:val="0F0A0A"/>
          <w:sz w:val="14"/>
          <w:szCs w:val="14"/>
        </w:rPr>
        <w:t>ativa.</w:t>
      </w:r>
    </w:p>
  </w:footnote>
  <w:footnote w:id="91">
    <w:p w14:paraId="61277B36" w14:textId="77777777" w:rsidR="0078535D" w:rsidRPr="00E2164D" w:rsidRDefault="0078535D" w:rsidP="0078535D">
      <w:pPr>
        <w:pStyle w:val="Textonotapie"/>
        <w:widowControl w:val="0"/>
        <w:rPr>
          <w:rFonts w:ascii="Abadi" w:hAnsi="Abadi"/>
          <w:i/>
          <w:iCs/>
          <w:sz w:val="14"/>
          <w:szCs w:val="14"/>
        </w:rPr>
      </w:pPr>
      <w:r w:rsidRPr="00E2164D">
        <w:rPr>
          <w:rStyle w:val="Refdenotaalpie"/>
          <w:rFonts w:ascii="Abadi" w:hAnsi="Abadi"/>
          <w:i/>
          <w:iCs/>
          <w:sz w:val="14"/>
          <w:szCs w:val="14"/>
        </w:rPr>
        <w:footnoteRef/>
      </w:r>
      <w:r w:rsidRPr="00E2164D">
        <w:rPr>
          <w:rFonts w:ascii="Abadi" w:hAnsi="Abadi"/>
          <w:i/>
          <w:iCs/>
          <w:sz w:val="14"/>
          <w:szCs w:val="14"/>
        </w:rPr>
        <w:t xml:space="preserve"> </w:t>
      </w:r>
      <w:r w:rsidRPr="00E2164D">
        <w:rPr>
          <w:rFonts w:ascii="Abadi" w:hAnsi="Abadi" w:cs="Arial"/>
          <w:i/>
          <w:iCs/>
          <w:color w:val="0F0A0A"/>
          <w:sz w:val="14"/>
          <w:szCs w:val="14"/>
        </w:rPr>
        <w:t xml:space="preserve">Foja 5 de </w:t>
      </w:r>
      <w:r w:rsidRPr="00E2164D">
        <w:rPr>
          <w:rFonts w:ascii="Abadi" w:hAnsi="Abadi" w:cs="Arial"/>
          <w:i/>
          <w:iCs/>
          <w:color w:val="2A2727"/>
          <w:sz w:val="14"/>
          <w:szCs w:val="14"/>
        </w:rPr>
        <w:t>l</w:t>
      </w:r>
      <w:r w:rsidRPr="00E2164D">
        <w:rPr>
          <w:rFonts w:ascii="Abadi" w:hAnsi="Abadi" w:cs="Arial"/>
          <w:i/>
          <w:iCs/>
          <w:color w:val="0F0A0A"/>
          <w:sz w:val="14"/>
          <w:szCs w:val="14"/>
        </w:rPr>
        <w:t xml:space="preserve">a </w:t>
      </w:r>
      <w:r w:rsidRPr="00E2164D">
        <w:rPr>
          <w:rFonts w:ascii="Abadi" w:hAnsi="Abadi" w:cs="Arial"/>
          <w:i/>
          <w:iCs/>
          <w:color w:val="2A2727"/>
          <w:sz w:val="14"/>
          <w:szCs w:val="14"/>
        </w:rPr>
        <w:t>I</w:t>
      </w:r>
      <w:r w:rsidRPr="00E2164D">
        <w:rPr>
          <w:rFonts w:ascii="Abadi" w:hAnsi="Abadi" w:cs="Arial"/>
          <w:i/>
          <w:iCs/>
          <w:color w:val="0F0A0A"/>
          <w:sz w:val="14"/>
          <w:szCs w:val="14"/>
        </w:rPr>
        <w:t>n</w:t>
      </w:r>
      <w:r w:rsidRPr="00E2164D">
        <w:rPr>
          <w:rFonts w:ascii="Abadi" w:hAnsi="Abadi" w:cs="Arial"/>
          <w:i/>
          <w:iCs/>
          <w:color w:val="2A2727"/>
          <w:sz w:val="14"/>
          <w:szCs w:val="14"/>
        </w:rPr>
        <w:t>i</w:t>
      </w:r>
      <w:r w:rsidRPr="00E2164D">
        <w:rPr>
          <w:rFonts w:ascii="Abadi" w:hAnsi="Abadi" w:cs="Arial"/>
          <w:i/>
          <w:iCs/>
          <w:color w:val="0F0A0A"/>
          <w:sz w:val="14"/>
          <w:szCs w:val="14"/>
        </w:rPr>
        <w:t>ciativa.</w:t>
      </w:r>
    </w:p>
  </w:footnote>
  <w:footnote w:id="92">
    <w:p w14:paraId="42AEA853" w14:textId="77777777" w:rsidR="0078535D" w:rsidRPr="00B87FB6" w:rsidRDefault="0078535D" w:rsidP="0078535D">
      <w:pPr>
        <w:pStyle w:val="Textonotapie"/>
        <w:widowControl w:val="0"/>
        <w:rPr>
          <w:rFonts w:ascii="Verdana" w:hAnsi="Verdana"/>
          <w:i/>
          <w:iCs/>
          <w:sz w:val="12"/>
          <w:szCs w:val="12"/>
        </w:rPr>
      </w:pPr>
      <w:r w:rsidRPr="00E2164D">
        <w:rPr>
          <w:rStyle w:val="Refdenotaalpie"/>
          <w:rFonts w:ascii="Abadi" w:hAnsi="Abadi"/>
          <w:i/>
          <w:iCs/>
          <w:sz w:val="14"/>
          <w:szCs w:val="14"/>
        </w:rPr>
        <w:footnoteRef/>
      </w:r>
      <w:r w:rsidRPr="00E2164D">
        <w:rPr>
          <w:rFonts w:ascii="Abadi" w:hAnsi="Abadi"/>
          <w:i/>
          <w:iCs/>
          <w:sz w:val="14"/>
          <w:szCs w:val="14"/>
        </w:rPr>
        <w:t xml:space="preserve"> </w:t>
      </w:r>
      <w:r w:rsidRPr="00E2164D">
        <w:rPr>
          <w:rFonts w:ascii="Abadi" w:hAnsi="Abadi" w:cs="Arial"/>
          <w:i/>
          <w:iCs/>
          <w:color w:val="0E0909"/>
          <w:sz w:val="14"/>
          <w:szCs w:val="14"/>
        </w:rPr>
        <w:t>Foja 5 de la Iniciat</w:t>
      </w:r>
      <w:r w:rsidRPr="00E2164D">
        <w:rPr>
          <w:rFonts w:ascii="Abadi" w:hAnsi="Abadi" w:cs="Arial"/>
          <w:i/>
          <w:iCs/>
          <w:color w:val="292222"/>
          <w:sz w:val="14"/>
          <w:szCs w:val="14"/>
        </w:rPr>
        <w:t>i</w:t>
      </w:r>
      <w:r w:rsidRPr="00E2164D">
        <w:rPr>
          <w:rFonts w:ascii="Abadi" w:hAnsi="Abadi" w:cs="Arial"/>
          <w:i/>
          <w:iCs/>
          <w:color w:val="0E0909"/>
          <w:sz w:val="14"/>
          <w:szCs w:val="14"/>
        </w:rPr>
        <w:t>va.</w:t>
      </w:r>
    </w:p>
  </w:footnote>
  <w:footnote w:id="93">
    <w:p w14:paraId="417C4C99" w14:textId="77777777" w:rsidR="0078535D" w:rsidRPr="00E2164D" w:rsidRDefault="0078535D" w:rsidP="0078535D">
      <w:pPr>
        <w:pStyle w:val="Textonotapie"/>
        <w:widowControl w:val="0"/>
        <w:rPr>
          <w:rFonts w:ascii="Abadi" w:hAnsi="Abadi"/>
          <w:i/>
          <w:iCs/>
          <w:sz w:val="12"/>
          <w:szCs w:val="12"/>
        </w:rPr>
      </w:pPr>
      <w:r w:rsidRPr="00E2164D">
        <w:rPr>
          <w:rStyle w:val="Refdenotaalpie"/>
          <w:rFonts w:ascii="Abadi" w:hAnsi="Abadi"/>
          <w:i/>
          <w:iCs/>
          <w:sz w:val="14"/>
          <w:szCs w:val="14"/>
        </w:rPr>
        <w:footnoteRef/>
      </w:r>
      <w:r w:rsidRPr="00E2164D">
        <w:rPr>
          <w:rFonts w:ascii="Abadi" w:hAnsi="Abadi"/>
          <w:i/>
          <w:iCs/>
          <w:sz w:val="14"/>
          <w:szCs w:val="14"/>
        </w:rPr>
        <w:t>Véase artículo 1 de la Ley para la protección de los derechos humanos en el Estado de Guanajuato.</w:t>
      </w:r>
    </w:p>
  </w:footnote>
  <w:footnote w:id="94">
    <w:p w14:paraId="58935841" w14:textId="77777777" w:rsidR="0078535D" w:rsidRPr="00E2164D" w:rsidRDefault="0078535D" w:rsidP="0078535D">
      <w:pPr>
        <w:pStyle w:val="Textonotapie"/>
        <w:widowControl w:val="0"/>
        <w:jc w:val="both"/>
        <w:rPr>
          <w:rFonts w:ascii="Abadi" w:hAnsi="Abadi"/>
          <w:i/>
          <w:iCs/>
          <w:sz w:val="12"/>
          <w:szCs w:val="12"/>
        </w:rPr>
      </w:pPr>
      <w:r w:rsidRPr="00E2164D">
        <w:rPr>
          <w:rStyle w:val="Refdenotaalpie"/>
          <w:rFonts w:ascii="Abadi" w:hAnsi="Abadi"/>
          <w:i/>
          <w:iCs/>
          <w:sz w:val="14"/>
          <w:szCs w:val="14"/>
        </w:rPr>
        <w:footnoteRef/>
      </w:r>
      <w:r w:rsidRPr="00E2164D">
        <w:rPr>
          <w:rFonts w:ascii="Abadi" w:hAnsi="Abadi"/>
          <w:i/>
          <w:iCs/>
          <w:sz w:val="14"/>
          <w:szCs w:val="14"/>
        </w:rPr>
        <w:t xml:space="preserve"> Consultable en: https://www.dof.gob.mx/nota_detalle.php?codigo=5356763&amp;fecha=19/08/2014.</w:t>
      </w:r>
    </w:p>
  </w:footnote>
  <w:footnote w:id="95">
    <w:p w14:paraId="525A89CA" w14:textId="77777777" w:rsidR="00D16086" w:rsidRPr="00473CB7" w:rsidRDefault="00D16086" w:rsidP="00D16086">
      <w:pPr>
        <w:autoSpaceDE w:val="0"/>
        <w:autoSpaceDN w:val="0"/>
        <w:adjustRightInd w:val="0"/>
        <w:jc w:val="both"/>
        <w:rPr>
          <w:rFonts w:ascii="Abadi" w:hAnsi="Abadi"/>
          <w:i/>
          <w:iCs/>
          <w:sz w:val="12"/>
          <w:szCs w:val="12"/>
          <w:lang w:val="es-MX"/>
        </w:rPr>
      </w:pPr>
      <w:r w:rsidRPr="00473CB7">
        <w:rPr>
          <w:rStyle w:val="Refdenotaalpie"/>
          <w:rFonts w:ascii="Abadi" w:hAnsi="Abadi"/>
          <w:i/>
          <w:iCs/>
          <w:sz w:val="14"/>
          <w:szCs w:val="14"/>
        </w:rPr>
        <w:footnoteRef/>
      </w:r>
      <w:r w:rsidRPr="00473CB7">
        <w:rPr>
          <w:rFonts w:ascii="Abadi" w:hAnsi="Abadi"/>
          <w:i/>
          <w:iCs/>
          <w:sz w:val="14"/>
          <w:szCs w:val="14"/>
          <w:lang w:val="es-MX"/>
        </w:rPr>
        <w:t xml:space="preserve"> </w:t>
      </w:r>
      <w:r w:rsidRPr="00473CB7">
        <w:rPr>
          <w:rFonts w:ascii="Abadi" w:eastAsiaTheme="minorHAnsi" w:hAnsi="Abadi" w:cs="Calibri"/>
          <w:i/>
          <w:iCs/>
          <w:sz w:val="14"/>
          <w:szCs w:val="14"/>
          <w:lang w:val="es-MX"/>
        </w:rPr>
        <w:t>INEGI. (2020). Población con limitación o discapacidad por entidad federativa y tipo de actividad que realiza o condición mental según sexo. 26/04/2021, de INEGI Sitio web: https://www.inegi.org.mx/app/tabulados/interactivos/?pxq=Discapacidad_Discapacidad_02_b73245cd-6c24-42c6-b7e2-d8eff80939e2</w:t>
      </w:r>
    </w:p>
  </w:footnote>
  <w:footnote w:id="96">
    <w:p w14:paraId="7664FA53" w14:textId="77777777" w:rsidR="00D16086" w:rsidRPr="00473CB7" w:rsidRDefault="00D16086" w:rsidP="00D16086">
      <w:pPr>
        <w:autoSpaceDE w:val="0"/>
        <w:autoSpaceDN w:val="0"/>
        <w:adjustRightInd w:val="0"/>
        <w:rPr>
          <w:rFonts w:ascii="Abadi" w:eastAsiaTheme="minorHAnsi" w:hAnsi="Abadi" w:cs="Calibri"/>
          <w:i/>
          <w:iCs/>
          <w:sz w:val="14"/>
          <w:szCs w:val="14"/>
          <w:lang w:val="es-MX"/>
        </w:rPr>
      </w:pPr>
      <w:r w:rsidRPr="00473CB7">
        <w:rPr>
          <w:rFonts w:ascii="Abadi" w:eastAsiaTheme="minorHAnsi" w:hAnsi="Abadi" w:cs="Calibri"/>
          <w:i/>
          <w:iCs/>
          <w:sz w:val="14"/>
          <w:szCs w:val="14"/>
          <w:vertAlign w:val="superscript"/>
          <w:lang w:val="es-MX"/>
        </w:rPr>
        <w:footnoteRef/>
      </w:r>
      <w:r w:rsidRPr="00473CB7">
        <w:rPr>
          <w:rFonts w:ascii="Abadi" w:eastAsiaTheme="minorHAnsi" w:hAnsi="Abadi" w:cs="Calibri"/>
          <w:i/>
          <w:iCs/>
          <w:sz w:val="14"/>
          <w:szCs w:val="14"/>
          <w:lang w:val="es-MX"/>
        </w:rPr>
        <w:t xml:space="preserve"> </w:t>
      </w:r>
      <w:hyperlink r:id="rId12" w:history="1">
        <w:r w:rsidRPr="00473CB7">
          <w:rPr>
            <w:rStyle w:val="Hipervnculo"/>
            <w:rFonts w:ascii="Abadi" w:eastAsiaTheme="minorHAnsi" w:hAnsi="Abadi" w:cs="Calibri"/>
            <w:i/>
            <w:iCs/>
            <w:sz w:val="14"/>
            <w:szCs w:val="14"/>
            <w:lang w:val="es-MX"/>
          </w:rPr>
          <w:t>https://www.un.org/sustainabledevelopment/es/inequality</w:t>
        </w:r>
      </w:hyperlink>
    </w:p>
  </w:footnote>
  <w:footnote w:id="97">
    <w:p w14:paraId="1AE42A3B" w14:textId="77777777" w:rsidR="00D16086" w:rsidRPr="00473CB7" w:rsidRDefault="00D16086" w:rsidP="00D16086">
      <w:pPr>
        <w:jc w:val="both"/>
        <w:rPr>
          <w:rFonts w:ascii="Abadi" w:eastAsia="Calibri" w:hAnsi="Abadi"/>
          <w:i/>
          <w:iCs/>
          <w:sz w:val="12"/>
          <w:szCs w:val="12"/>
          <w:lang w:val="es-MX"/>
        </w:rPr>
      </w:pPr>
      <w:r w:rsidRPr="00473CB7">
        <w:rPr>
          <w:rStyle w:val="Refdenotaalpie"/>
          <w:rFonts w:ascii="Abadi" w:hAnsi="Abadi"/>
          <w:i/>
          <w:iCs/>
          <w:sz w:val="14"/>
          <w:szCs w:val="14"/>
        </w:rPr>
        <w:footnoteRef/>
      </w:r>
      <w:r w:rsidRPr="00473CB7">
        <w:rPr>
          <w:rFonts w:ascii="Abadi" w:hAnsi="Abadi"/>
          <w:i/>
          <w:iCs/>
          <w:sz w:val="14"/>
          <w:szCs w:val="14"/>
          <w:lang w:val="es-MX"/>
        </w:rPr>
        <w:t xml:space="preserve"> </w:t>
      </w:r>
      <w:r w:rsidRPr="00473CB7">
        <w:rPr>
          <w:rFonts w:ascii="Abadi" w:eastAsia="Calibri" w:hAnsi="Abadi"/>
          <w:i/>
          <w:iCs/>
          <w:sz w:val="14"/>
          <w:szCs w:val="14"/>
          <w:lang w:val="es-MX"/>
        </w:rPr>
        <w:t>Informe de la Relatora Especial del Consejo de Derechos Humanos sobre los derechos de las personas con discapacidad. Catalina Devandas-Aguilar, A/71/314, Distr. general 9 de agosto de 2016. Pár. 32. https://documents-dds­ny.un.org/doc/UNDOC/GEN/N16/254/24/PDF/N1625424.pdf?OpenElement</w:t>
      </w:r>
    </w:p>
  </w:footnote>
  <w:footnote w:id="98">
    <w:p w14:paraId="3E34D873" w14:textId="77777777" w:rsidR="00D16086" w:rsidRPr="00A1216B" w:rsidRDefault="00D16086" w:rsidP="00D16086">
      <w:pPr>
        <w:jc w:val="both"/>
        <w:rPr>
          <w:rFonts w:ascii="Verdana" w:eastAsia="Calibri" w:hAnsi="Verdana"/>
          <w:i/>
          <w:iCs/>
          <w:sz w:val="12"/>
          <w:szCs w:val="12"/>
          <w:lang w:val="es-MX"/>
        </w:rPr>
      </w:pPr>
      <w:r w:rsidRPr="00A1216B">
        <w:rPr>
          <w:rStyle w:val="Refdenotaalpie"/>
          <w:rFonts w:ascii="Verdana" w:hAnsi="Verdana"/>
          <w:i/>
          <w:iCs/>
          <w:sz w:val="12"/>
          <w:szCs w:val="12"/>
        </w:rPr>
        <w:footnoteRef/>
      </w:r>
      <w:r w:rsidRPr="00A1216B">
        <w:rPr>
          <w:rFonts w:ascii="Verdana" w:hAnsi="Verdana"/>
          <w:i/>
          <w:iCs/>
          <w:sz w:val="12"/>
          <w:szCs w:val="12"/>
          <w:lang w:val="es-MX"/>
        </w:rPr>
        <w:t xml:space="preserve"> </w:t>
      </w:r>
      <w:r w:rsidRPr="00A1216B">
        <w:rPr>
          <w:rFonts w:ascii="Verdana" w:eastAsia="Calibri" w:hAnsi="Verdana"/>
          <w:i/>
          <w:iCs/>
          <w:sz w:val="12"/>
          <w:szCs w:val="12"/>
          <w:lang w:val="es-MX"/>
        </w:rPr>
        <w:t xml:space="preserve">Miguel A. V. Ferreira, Discapacidad, Individuo y Normalidad: La “Axiomática” de la Marginación. Universidad Complutense de Madrid. Pág. 2. </w:t>
      </w:r>
      <w:hyperlink r:id="rId13" w:history="1">
        <w:r w:rsidRPr="00A1216B">
          <w:rPr>
            <w:rStyle w:val="Hipervnculo"/>
            <w:rFonts w:ascii="Verdana" w:eastAsia="Calibri" w:hAnsi="Verdana"/>
            <w:i/>
            <w:iCs/>
            <w:sz w:val="12"/>
            <w:szCs w:val="12"/>
            <w:lang w:val="es-MX"/>
          </w:rPr>
          <w:t>https://www.um.es/discatif/PROYECTO_DISCATIF/Documentos/ComTucuman.pdf</w:t>
        </w:r>
      </w:hyperlink>
    </w:p>
  </w:footnote>
  <w:footnote w:id="99">
    <w:p w14:paraId="0C608467" w14:textId="77777777" w:rsidR="00D16086" w:rsidRPr="00473CB7" w:rsidRDefault="00D16086" w:rsidP="00D16086">
      <w:pPr>
        <w:pStyle w:val="Textonotapie"/>
        <w:jc w:val="both"/>
        <w:rPr>
          <w:rFonts w:ascii="Abadi" w:eastAsia="Calibri" w:hAnsi="Abadi"/>
          <w:i/>
          <w:iCs/>
          <w:sz w:val="12"/>
          <w:szCs w:val="12"/>
        </w:rPr>
      </w:pPr>
      <w:r w:rsidRPr="00473CB7">
        <w:rPr>
          <w:rStyle w:val="Refdenotaalpie"/>
          <w:rFonts w:ascii="Abadi" w:hAnsi="Abadi"/>
          <w:i/>
          <w:iCs/>
          <w:sz w:val="14"/>
          <w:szCs w:val="14"/>
        </w:rPr>
        <w:footnoteRef/>
      </w:r>
      <w:r w:rsidRPr="00473CB7">
        <w:rPr>
          <w:rFonts w:ascii="Abadi" w:hAnsi="Abadi"/>
          <w:i/>
          <w:iCs/>
          <w:sz w:val="14"/>
          <w:szCs w:val="14"/>
        </w:rPr>
        <w:t xml:space="preserve"> </w:t>
      </w:r>
      <w:r w:rsidRPr="00473CB7">
        <w:rPr>
          <w:rFonts w:ascii="Abadi" w:eastAsia="Calibri" w:hAnsi="Abadi"/>
          <w:i/>
          <w:iCs/>
          <w:sz w:val="14"/>
          <w:szCs w:val="14"/>
        </w:rPr>
        <w:t>Informe de la Relatora Especial del Consejo de Derechos Humanos sobre los derechos de las personas con discapacidad, Catalina Devandas-Aguilar, A/71/314, Distr. general 9 de agosto de 2016 Español Original: inglés, Pár. 34, 35 y 40. https://documents-dds­ny. un.org/doc/UNDOC/GEN/N16/254/24/PDF/N1625424.pdf?Open Element</w:t>
      </w:r>
    </w:p>
  </w:footnote>
  <w:footnote w:id="100">
    <w:p w14:paraId="6DC427FA" w14:textId="77777777" w:rsidR="00D16086" w:rsidRPr="00473CB7" w:rsidRDefault="00D16086" w:rsidP="00D16086">
      <w:pPr>
        <w:pStyle w:val="Textonotapie"/>
        <w:jc w:val="both"/>
        <w:rPr>
          <w:rFonts w:ascii="Abadi" w:eastAsia="Calibri" w:hAnsi="Abadi"/>
          <w:i/>
          <w:iCs/>
          <w:sz w:val="14"/>
          <w:szCs w:val="14"/>
        </w:rPr>
      </w:pPr>
      <w:r w:rsidRPr="00473CB7">
        <w:rPr>
          <w:rFonts w:ascii="Abadi" w:eastAsia="Calibri" w:hAnsi="Abadi"/>
          <w:i/>
          <w:iCs/>
          <w:sz w:val="14"/>
          <w:szCs w:val="14"/>
          <w:vertAlign w:val="superscript"/>
        </w:rPr>
        <w:footnoteRef/>
      </w:r>
      <w:r w:rsidRPr="00473CB7">
        <w:rPr>
          <w:rFonts w:ascii="Abadi" w:eastAsia="Calibri" w:hAnsi="Abadi"/>
          <w:i/>
          <w:iCs/>
          <w:sz w:val="14"/>
          <w:szCs w:val="14"/>
        </w:rPr>
        <w:t xml:space="preserve"> Comité sobre los Derechos de las Personas con Discapacidad. Observación general Nº 2 (2014) Articulo 9: Accesibilidad. </w:t>
      </w:r>
      <w:hyperlink r:id="rId14" w:history="1">
        <w:r w:rsidRPr="00473CB7">
          <w:rPr>
            <w:rStyle w:val="Hipervnculo"/>
            <w:rFonts w:ascii="Abadi" w:eastAsia="Calibri" w:hAnsi="Abadi"/>
            <w:i/>
            <w:iCs/>
            <w:sz w:val="14"/>
            <w:szCs w:val="14"/>
          </w:rPr>
          <w:t>https://derechoshumanosgto.org.mx/Recursos/Biblioteca/2021/06/8249cf10-adb8-4ee3-abf0-93ec3a6d77c9.pdf</w:t>
        </w:r>
      </w:hyperlink>
    </w:p>
  </w:footnote>
  <w:footnote w:id="101">
    <w:p w14:paraId="11C540F1" w14:textId="77777777" w:rsidR="004C763C" w:rsidRPr="00127B47" w:rsidRDefault="004C763C" w:rsidP="004C763C">
      <w:pPr>
        <w:pStyle w:val="Textonotapie"/>
        <w:rPr>
          <w:rFonts w:ascii="Abadi" w:hAnsi="Abadi"/>
        </w:rPr>
      </w:pPr>
      <w:r w:rsidRPr="00127B47">
        <w:rPr>
          <w:rStyle w:val="Refdenotaalpie"/>
          <w:rFonts w:ascii="Abadi" w:hAnsi="Abadi"/>
          <w:sz w:val="14"/>
          <w:szCs w:val="14"/>
        </w:rPr>
        <w:footnoteRef/>
      </w:r>
      <w:r w:rsidRPr="00127B47">
        <w:rPr>
          <w:rFonts w:ascii="Abadi" w:hAnsi="Abadi"/>
          <w:sz w:val="14"/>
          <w:szCs w:val="14"/>
        </w:rPr>
        <w:t xml:space="preserve"> </w:t>
      </w:r>
      <w:r w:rsidRPr="00127B47">
        <w:rPr>
          <w:rStyle w:val="Refdenotaalpie"/>
          <w:rFonts w:ascii="Abadi" w:hAnsi="Abadi"/>
          <w:sz w:val="14"/>
          <w:szCs w:val="14"/>
        </w:rPr>
        <w:footnoteRef/>
      </w:r>
      <w:r w:rsidRPr="00127B47">
        <w:rPr>
          <w:rFonts w:ascii="Abadi" w:hAnsi="Abadi"/>
          <w:sz w:val="14"/>
          <w:szCs w:val="14"/>
        </w:rPr>
        <w:t>https://archivos.juridicas.unam.mx/www/bjv/libros/8/3562/5.pdf</w:t>
      </w:r>
    </w:p>
  </w:footnote>
  <w:footnote w:id="102">
    <w:p w14:paraId="5759173F" w14:textId="77777777" w:rsidR="004C763C" w:rsidRDefault="004C763C" w:rsidP="004C763C">
      <w:pPr>
        <w:pStyle w:val="Textonotapie"/>
      </w:pPr>
      <w:r>
        <w:rPr>
          <w:rStyle w:val="Refdenotaalpie"/>
        </w:rPr>
        <w:footnoteRef/>
      </w:r>
      <w:r>
        <w:t xml:space="preserve"> </w:t>
      </w:r>
      <w:r w:rsidRPr="00365A02">
        <w:t>https://archivos.juridicas.unam.mx/www/bjv/libros/8/3562/5.pdf</w:t>
      </w:r>
    </w:p>
  </w:footnote>
  <w:footnote w:id="103">
    <w:p w14:paraId="17FD19D1" w14:textId="77777777" w:rsidR="00F81845" w:rsidRPr="006A3BA1" w:rsidRDefault="00F81845" w:rsidP="00F81845">
      <w:pPr>
        <w:pStyle w:val="Textonotapie"/>
        <w:jc w:val="both"/>
        <w:rPr>
          <w:rFonts w:ascii="Abadi" w:hAnsi="Abadi" w:cstheme="minorHAnsi"/>
          <w:sz w:val="14"/>
          <w:szCs w:val="14"/>
        </w:rPr>
      </w:pPr>
      <w:r w:rsidRPr="006A3BA1">
        <w:rPr>
          <w:rStyle w:val="Refdenotaalpie"/>
          <w:rFonts w:ascii="Abadi" w:hAnsi="Abadi"/>
          <w:sz w:val="14"/>
          <w:szCs w:val="14"/>
        </w:rPr>
        <w:footnoteRef/>
      </w:r>
      <w:r w:rsidRPr="006A3BA1">
        <w:rPr>
          <w:rFonts w:ascii="Abadi" w:hAnsi="Abadi" w:cstheme="minorHAnsi"/>
          <w:sz w:val="14"/>
          <w:szCs w:val="14"/>
        </w:rPr>
        <w:t>Consultado en fecha 30 de agosto de 2022 en: https://www.cndh.org.mx/sites/default/files/doc/Programas/Ninez_familia/Material/trip-familias-juridicas.pdf</w:t>
      </w:r>
    </w:p>
  </w:footnote>
  <w:footnote w:id="104">
    <w:p w14:paraId="63D41874" w14:textId="77777777" w:rsidR="00F81845" w:rsidRPr="006A3BA1" w:rsidRDefault="00F81845" w:rsidP="00F81845">
      <w:pPr>
        <w:pStyle w:val="Textonotapie"/>
        <w:rPr>
          <w:rFonts w:ascii="Abadi" w:hAnsi="Abadi" w:cstheme="minorHAnsi"/>
          <w:sz w:val="14"/>
          <w:szCs w:val="14"/>
        </w:rPr>
      </w:pPr>
      <w:r w:rsidRPr="006A3BA1">
        <w:rPr>
          <w:rStyle w:val="Refdenotaalpie"/>
          <w:rFonts w:ascii="Abadi" w:hAnsi="Abadi"/>
          <w:sz w:val="14"/>
          <w:szCs w:val="14"/>
        </w:rPr>
        <w:footnoteRef/>
      </w:r>
      <w:r w:rsidRPr="006A3BA1">
        <w:rPr>
          <w:rFonts w:ascii="Abadi" w:hAnsi="Abadi"/>
          <w:sz w:val="14"/>
          <w:szCs w:val="14"/>
        </w:rPr>
        <w:t xml:space="preserve"> </w:t>
      </w:r>
      <w:r w:rsidRPr="006A3BA1">
        <w:rPr>
          <w:rFonts w:ascii="Abadi" w:hAnsi="Abadi" w:cstheme="minorHAnsi"/>
          <w:sz w:val="14"/>
          <w:szCs w:val="14"/>
        </w:rPr>
        <w:t>Ídem.</w:t>
      </w:r>
    </w:p>
  </w:footnote>
  <w:footnote w:id="105">
    <w:p w14:paraId="5ABAF673" w14:textId="77777777" w:rsidR="00F81845" w:rsidRPr="00D577DB" w:rsidRDefault="00F81845" w:rsidP="00F81845">
      <w:pPr>
        <w:pStyle w:val="Textonotapie"/>
        <w:jc w:val="both"/>
        <w:rPr>
          <w:rFonts w:asciiTheme="minorHAnsi" w:hAnsiTheme="minorHAnsi" w:cstheme="minorHAnsi"/>
          <w:sz w:val="12"/>
          <w:szCs w:val="12"/>
        </w:rPr>
      </w:pPr>
      <w:r w:rsidRPr="006A3BA1">
        <w:rPr>
          <w:rStyle w:val="Refdenotaalpie"/>
          <w:rFonts w:ascii="Abadi" w:hAnsi="Abadi"/>
          <w:sz w:val="14"/>
          <w:szCs w:val="14"/>
        </w:rPr>
        <w:footnoteRef/>
      </w:r>
      <w:r w:rsidRPr="006A3BA1">
        <w:rPr>
          <w:rFonts w:ascii="Abadi" w:hAnsi="Abadi" w:cstheme="minorHAnsi"/>
          <w:sz w:val="14"/>
          <w:szCs w:val="14"/>
        </w:rPr>
        <w:t xml:space="preserve"> Consultado en fecha 30 de agosto de 2022 en: https://obtienearchivo.bcn.cl/obtienearchivo?id=repositorio/10221/25900/1/Informe_BCN_concepto_familia_vf.pdf</w:t>
      </w:r>
    </w:p>
  </w:footnote>
  <w:footnote w:id="106">
    <w:p w14:paraId="518D9196" w14:textId="77777777" w:rsidR="00F81845" w:rsidRPr="006A3BA1" w:rsidRDefault="00F81845" w:rsidP="00F81845">
      <w:pPr>
        <w:jc w:val="both"/>
        <w:rPr>
          <w:rFonts w:ascii="Abadi" w:hAnsi="Abadi" w:cstheme="minorHAnsi"/>
          <w:sz w:val="14"/>
          <w:szCs w:val="14"/>
          <w:lang w:val="es-ES_tradnl" w:eastAsia="en-US"/>
        </w:rPr>
      </w:pPr>
      <w:r w:rsidRPr="006A3BA1">
        <w:rPr>
          <w:rStyle w:val="Refdenotaalpie"/>
          <w:rFonts w:ascii="Abadi" w:hAnsi="Abadi" w:cs="Arial"/>
          <w:sz w:val="14"/>
          <w:szCs w:val="14"/>
        </w:rPr>
        <w:footnoteRef/>
      </w:r>
      <w:r w:rsidRPr="006A3BA1">
        <w:rPr>
          <w:rFonts w:ascii="Abadi" w:hAnsi="Abadi" w:cs="Arial"/>
          <w:sz w:val="14"/>
          <w:szCs w:val="14"/>
        </w:rPr>
        <w:t xml:space="preserve"> </w:t>
      </w:r>
      <w:r w:rsidRPr="006A3BA1">
        <w:rPr>
          <w:rFonts w:ascii="Abadi" w:hAnsi="Abadi" w:cs="Arial"/>
          <w:color w:val="000000"/>
          <w:sz w:val="14"/>
          <w:szCs w:val="14"/>
          <w:shd w:val="clear" w:color="auto" w:fill="FFFFFF"/>
        </w:rPr>
        <w:t> </w:t>
      </w:r>
      <w:r w:rsidRPr="006A3BA1">
        <w:rPr>
          <w:rFonts w:ascii="Abadi" w:hAnsi="Abadi" w:cstheme="minorHAnsi"/>
          <w:sz w:val="14"/>
          <w:szCs w:val="14"/>
          <w:lang w:val="es-ES_tradnl" w:eastAsia="en-US"/>
        </w:rPr>
        <w:t>Toda mujer tiene derecho al reconocimiento, goce, ejercicio y protección de todos los derechos humanos y a las libertades consagradas por los instrumentos regionales e internacionales sobre derechos humanos.  Estos derechos comprenden, entre otros: e. el derecho a que se respete la dignidad inherente a su persona y que se proteja a su familia;</w:t>
      </w:r>
    </w:p>
    <w:p w14:paraId="3F171257" w14:textId="77777777" w:rsidR="00F81845" w:rsidRPr="006A3BA1" w:rsidRDefault="00F81845" w:rsidP="00F81845">
      <w:pPr>
        <w:pStyle w:val="Textonotapie"/>
        <w:rPr>
          <w:rFonts w:ascii="Abadi" w:hAnsi="Abadi"/>
          <w:sz w:val="14"/>
          <w:szCs w:val="14"/>
        </w:rPr>
      </w:pPr>
    </w:p>
  </w:footnote>
  <w:footnote w:id="107">
    <w:p w14:paraId="73276E31" w14:textId="77777777" w:rsidR="00F81845" w:rsidRPr="001B0D7C" w:rsidRDefault="00F81845" w:rsidP="00F81845">
      <w:pPr>
        <w:pStyle w:val="Textonotapie"/>
        <w:jc w:val="both"/>
        <w:rPr>
          <w:rFonts w:asciiTheme="minorHAnsi" w:hAnsiTheme="minorHAnsi" w:cstheme="minorHAnsi"/>
          <w:sz w:val="14"/>
          <w:szCs w:val="14"/>
        </w:rPr>
      </w:pPr>
      <w:r w:rsidRPr="006A3BA1">
        <w:rPr>
          <w:rStyle w:val="Refdenotaalpie"/>
          <w:rFonts w:ascii="Abadi" w:hAnsi="Abadi"/>
          <w:sz w:val="14"/>
          <w:szCs w:val="14"/>
        </w:rPr>
        <w:footnoteRef/>
      </w:r>
      <w:r w:rsidRPr="006A3BA1">
        <w:rPr>
          <w:rFonts w:ascii="Abadi" w:hAnsi="Abadi" w:cstheme="minorHAnsi"/>
          <w:sz w:val="14"/>
          <w:szCs w:val="14"/>
        </w:rPr>
        <w:t>Protección de la familia: la contribución de la familia a la realización del derecho a un nivel de vida adecuado para sus miembros, en particular a través de su papel en la erradicación de la pobreza y lograr el desarrollo sostenible. Punto 9. Consultado en fecha 30 de agosto de 2022 en: https://wucwo.org/phocadownload/ES/Actividades/Internacionales/NacionesUnidasGinebra/Resolucion%20sobre%20proteccion%20de%20la%20familia.pdf</w:t>
      </w:r>
    </w:p>
  </w:footnote>
  <w:footnote w:id="108">
    <w:p w14:paraId="4ABB3ECB" w14:textId="77777777" w:rsidR="00F81845" w:rsidRPr="006A3BA1" w:rsidRDefault="00F81845" w:rsidP="00F81845">
      <w:pPr>
        <w:pStyle w:val="Textonotapie"/>
        <w:jc w:val="both"/>
        <w:rPr>
          <w:rFonts w:ascii="Abadi" w:hAnsi="Abadi" w:cstheme="minorHAnsi"/>
          <w:sz w:val="14"/>
          <w:szCs w:val="14"/>
        </w:rPr>
      </w:pPr>
      <w:r w:rsidRPr="006A3BA1">
        <w:rPr>
          <w:rStyle w:val="Refdenotaalpie"/>
          <w:rFonts w:ascii="Abadi" w:hAnsi="Abadi"/>
          <w:sz w:val="14"/>
          <w:szCs w:val="14"/>
        </w:rPr>
        <w:footnoteRef/>
      </w:r>
      <w:r w:rsidRPr="006A3BA1">
        <w:rPr>
          <w:rFonts w:ascii="Abadi" w:hAnsi="Abadi"/>
          <w:sz w:val="14"/>
          <w:szCs w:val="14"/>
        </w:rPr>
        <w:t xml:space="preserve"> </w:t>
      </w:r>
      <w:r w:rsidRPr="006A3BA1">
        <w:rPr>
          <w:rFonts w:ascii="Abadi" w:hAnsi="Abadi" w:cstheme="minorHAnsi"/>
          <w:sz w:val="14"/>
          <w:szCs w:val="14"/>
        </w:rPr>
        <w:t>Consultado en fecha 30 de agosto de 2022 en: https://www.cndh.org.mx/sites/default/files/doc/Programas/Ninez_familia/Material/trip-familias-juridicas.pdf</w:t>
      </w:r>
    </w:p>
  </w:footnote>
  <w:footnote w:id="109">
    <w:p w14:paraId="0C64C84B" w14:textId="77777777" w:rsidR="00F81845" w:rsidRPr="00DB286C" w:rsidRDefault="00F81845" w:rsidP="00F81845">
      <w:pPr>
        <w:pStyle w:val="Textonotapie"/>
        <w:jc w:val="both"/>
        <w:rPr>
          <w:rFonts w:asciiTheme="minorHAnsi" w:hAnsiTheme="minorHAnsi" w:cstheme="minorHAnsi"/>
          <w:sz w:val="14"/>
          <w:szCs w:val="14"/>
        </w:rPr>
      </w:pPr>
      <w:r w:rsidRPr="006A3BA1">
        <w:rPr>
          <w:rStyle w:val="Refdenotaalpie"/>
          <w:rFonts w:ascii="Abadi" w:hAnsi="Abadi"/>
          <w:sz w:val="14"/>
          <w:szCs w:val="14"/>
        </w:rPr>
        <w:footnoteRef/>
      </w:r>
      <w:r w:rsidRPr="006A3BA1">
        <w:rPr>
          <w:rFonts w:ascii="Abadi" w:hAnsi="Abadi" w:cstheme="minorHAnsi"/>
          <w:sz w:val="14"/>
          <w:szCs w:val="14"/>
        </w:rPr>
        <w:t>Consultado en fecha 30 de agosto de 2022, en: https://obtienearchivo.bcn.cl/obtienearchivo?id=repositorio/10221/25900/1/Informe_BCN_concepto_familia_vf.pdf</w:t>
      </w:r>
    </w:p>
  </w:footnote>
  <w:footnote w:id="110">
    <w:p w14:paraId="116490DC" w14:textId="77777777" w:rsidR="00F81845" w:rsidRPr="006A3BA1" w:rsidRDefault="00F81845" w:rsidP="00F81845">
      <w:pPr>
        <w:pStyle w:val="Textonotapie"/>
        <w:jc w:val="both"/>
        <w:rPr>
          <w:rFonts w:ascii="Abadi" w:hAnsi="Abadi" w:cstheme="minorHAnsi"/>
          <w:sz w:val="14"/>
          <w:szCs w:val="14"/>
        </w:rPr>
      </w:pPr>
      <w:r w:rsidRPr="006A3BA1">
        <w:rPr>
          <w:rStyle w:val="Refdenotaalpie"/>
          <w:rFonts w:ascii="Abadi" w:hAnsi="Abadi"/>
          <w:sz w:val="14"/>
          <w:szCs w:val="14"/>
        </w:rPr>
        <w:footnoteRef/>
      </w:r>
      <w:r w:rsidRPr="006A3BA1">
        <w:rPr>
          <w:rFonts w:ascii="Abadi" w:hAnsi="Abadi"/>
          <w:sz w:val="14"/>
          <w:szCs w:val="14"/>
        </w:rPr>
        <w:t xml:space="preserve"> </w:t>
      </w:r>
      <w:r w:rsidRPr="006A3BA1">
        <w:rPr>
          <w:rFonts w:ascii="Abadi" w:hAnsi="Abadi" w:cstheme="minorHAnsi"/>
          <w:sz w:val="14"/>
          <w:szCs w:val="14"/>
        </w:rPr>
        <w:t xml:space="preserve">Consultado en fecha 30 de agosto de 2020, en: </w:t>
      </w:r>
      <w:hyperlink r:id="rId15" w:history="1">
        <w:r w:rsidRPr="006A3BA1">
          <w:rPr>
            <w:rFonts w:ascii="Abadi" w:hAnsi="Abadi" w:cstheme="minorHAnsi"/>
            <w:sz w:val="14"/>
            <w:szCs w:val="14"/>
          </w:rPr>
          <w:t>https://www.uaq.mx/investigacion/revista_ciencia@uaq/ArchivosPDF/v8-n1/1.pdf</w:t>
        </w:r>
      </w:hyperlink>
    </w:p>
  </w:footnote>
  <w:footnote w:id="111">
    <w:p w14:paraId="5A15F075" w14:textId="77777777" w:rsidR="00F81845" w:rsidRPr="00216F51" w:rsidRDefault="00F81845" w:rsidP="00F81845">
      <w:pPr>
        <w:pStyle w:val="Textonotapie"/>
        <w:rPr>
          <w:rFonts w:asciiTheme="minorHAnsi" w:hAnsiTheme="minorHAnsi" w:cstheme="minorHAnsi"/>
          <w:sz w:val="14"/>
          <w:szCs w:val="14"/>
        </w:rPr>
      </w:pPr>
      <w:r w:rsidRPr="006A3BA1">
        <w:rPr>
          <w:rStyle w:val="Refdenotaalpie"/>
          <w:rFonts w:ascii="Abadi" w:hAnsi="Abadi"/>
          <w:sz w:val="14"/>
          <w:szCs w:val="14"/>
        </w:rPr>
        <w:footnoteRef/>
      </w:r>
      <w:r w:rsidRPr="006A3BA1">
        <w:rPr>
          <w:rFonts w:ascii="Abadi" w:hAnsi="Abadi"/>
          <w:sz w:val="14"/>
          <w:szCs w:val="14"/>
        </w:rPr>
        <w:t xml:space="preserve"> </w:t>
      </w:r>
      <w:r w:rsidRPr="006A3BA1">
        <w:rPr>
          <w:rFonts w:ascii="Abadi" w:hAnsi="Abadi" w:cstheme="minorHAnsi"/>
          <w:sz w:val="14"/>
          <w:szCs w:val="14"/>
        </w:rPr>
        <w:t>Párrafo 35, sentencia de amparo directo en revisión: 1754/2015.</w:t>
      </w:r>
    </w:p>
  </w:footnote>
  <w:footnote w:id="112">
    <w:p w14:paraId="16B69C9C" w14:textId="77777777" w:rsidR="00F81845" w:rsidRPr="00B74984" w:rsidRDefault="00F81845" w:rsidP="00F81845">
      <w:pPr>
        <w:pStyle w:val="Default"/>
        <w:jc w:val="both"/>
        <w:rPr>
          <w:rFonts w:ascii="Abadi" w:hAnsi="Abadi" w:cstheme="minorHAnsi"/>
          <w:sz w:val="14"/>
          <w:szCs w:val="14"/>
        </w:rPr>
      </w:pPr>
      <w:r w:rsidRPr="00B74984">
        <w:rPr>
          <w:rStyle w:val="Refdenotaalpie"/>
          <w:rFonts w:ascii="Abadi" w:hAnsi="Abadi"/>
          <w:sz w:val="14"/>
          <w:szCs w:val="14"/>
        </w:rPr>
        <w:footnoteRef/>
      </w:r>
      <w:r w:rsidRPr="00B74984">
        <w:rPr>
          <w:rFonts w:ascii="Abadi" w:hAnsi="Abadi"/>
          <w:sz w:val="14"/>
          <w:szCs w:val="14"/>
        </w:rPr>
        <w:t xml:space="preserve"> </w:t>
      </w:r>
      <w:r w:rsidRPr="00B74984">
        <w:rPr>
          <w:rFonts w:ascii="Abadi" w:hAnsi="Abadi" w:cstheme="minorHAnsi"/>
          <w:sz w:val="14"/>
          <w:szCs w:val="14"/>
        </w:rPr>
        <w:t xml:space="preserve">Protocolo para juzgar con perspectiva de género, 1ª Edición, Suprema Corte de Justicia de la Nación, México, 2020, p. 80. Disponible en: https://www.scjn.gob.mx/derechoshumanos/sites/default/files/protocolos/archivos/202201/Protocolo%20para%20juzgar%20con%20perspectiva%20de%20genero_2022.pdf Consultado: 30 de agosto de 2022.  </w:t>
      </w:r>
    </w:p>
  </w:footnote>
  <w:footnote w:id="113">
    <w:p w14:paraId="340657E0" w14:textId="77777777" w:rsidR="009F6ED0" w:rsidRPr="00FC6997" w:rsidRDefault="009F6ED0" w:rsidP="009F6ED0">
      <w:pPr>
        <w:autoSpaceDE w:val="0"/>
        <w:autoSpaceDN w:val="0"/>
        <w:adjustRightInd w:val="0"/>
        <w:rPr>
          <w:rFonts w:ascii="Abadi" w:hAnsi="Abadi"/>
          <w:sz w:val="14"/>
          <w:szCs w:val="14"/>
          <w:lang w:val="es-MX"/>
        </w:rPr>
      </w:pPr>
      <w:r w:rsidRPr="00FC6997">
        <w:rPr>
          <w:rStyle w:val="Refdenotaalpie"/>
          <w:rFonts w:ascii="Abadi" w:hAnsi="Abadi"/>
          <w:sz w:val="14"/>
          <w:szCs w:val="14"/>
        </w:rPr>
        <w:footnoteRef/>
      </w:r>
      <w:r w:rsidRPr="00FC6997">
        <w:rPr>
          <w:rFonts w:ascii="Abadi" w:hAnsi="Abadi"/>
          <w:sz w:val="14"/>
          <w:szCs w:val="14"/>
        </w:rPr>
        <w:t xml:space="preserve"> </w:t>
      </w:r>
      <w:r w:rsidRPr="00FC6997">
        <w:rPr>
          <w:rFonts w:ascii="Abadi" w:eastAsiaTheme="minorHAnsi" w:hAnsi="Abadi" w:cs="ArialNarrow"/>
          <w:sz w:val="14"/>
          <w:szCs w:val="14"/>
          <w:lang w:val="es-MX" w:eastAsia="en-US"/>
        </w:rPr>
        <w:t xml:space="preserve">Jurisprudencia 1a./J. 8/2019 (10a.), publicada en el Semanario Judicial de la Federación y su Gaceta, Décima Época, Tomo I, febrero de 2019, página 486, rubro: </w:t>
      </w:r>
      <w:r w:rsidRPr="00FC6997">
        <w:rPr>
          <w:rFonts w:ascii="Abadi" w:eastAsiaTheme="minorHAnsi" w:hAnsi="Abadi" w:cs="ArialNarrow-Bold"/>
          <w:b/>
          <w:bCs/>
          <w:sz w:val="14"/>
          <w:szCs w:val="14"/>
          <w:lang w:val="es-MX" w:eastAsia="en-US"/>
        </w:rPr>
        <w:t>DERECHO A LA PROTECCIÓN DE LA SALUD. DIMENSIONES INDIVIDUAL Y SOCIAL. Registro digital</w:t>
      </w:r>
      <w:r w:rsidRPr="00FC6997">
        <w:rPr>
          <w:rFonts w:ascii="Abadi" w:eastAsiaTheme="minorHAnsi" w:hAnsi="Abadi" w:cs="ArialNarrow"/>
          <w:sz w:val="14"/>
          <w:szCs w:val="14"/>
          <w:lang w:val="es-MX" w:eastAsia="en-US"/>
        </w:rPr>
        <w:t>: 2019358.</w:t>
      </w:r>
    </w:p>
  </w:footnote>
  <w:footnote w:id="114">
    <w:p w14:paraId="726608C2" w14:textId="77777777" w:rsidR="009F6ED0" w:rsidRPr="00FC6997" w:rsidRDefault="009F6ED0" w:rsidP="009F6ED0">
      <w:pPr>
        <w:pStyle w:val="Textonotapie"/>
        <w:jc w:val="both"/>
        <w:rPr>
          <w:rFonts w:ascii="Abadi" w:hAnsi="Abadi" w:cs="Calibri"/>
          <w:sz w:val="16"/>
          <w:szCs w:val="16"/>
          <w:lang w:val="es-ES"/>
        </w:rPr>
      </w:pPr>
      <w:r w:rsidRPr="00FC6997">
        <w:rPr>
          <w:rStyle w:val="Refdenotaalpie"/>
          <w:rFonts w:ascii="Abadi" w:hAnsi="Abadi" w:cs="Calibri"/>
          <w:sz w:val="14"/>
          <w:szCs w:val="14"/>
        </w:rPr>
        <w:footnoteRef/>
      </w:r>
      <w:r w:rsidRPr="00FC6997">
        <w:rPr>
          <w:rFonts w:ascii="Abadi" w:hAnsi="Abadi" w:cs="Calibri"/>
          <w:sz w:val="14"/>
          <w:szCs w:val="14"/>
          <w:lang w:val="es-ES"/>
        </w:rPr>
        <w:t>Organización Mundial de la Salud. Protección de la salud de los trabajadores. [En línea]</w:t>
      </w:r>
      <w:r w:rsidRPr="00FC6997">
        <w:rPr>
          <w:rFonts w:ascii="Abadi" w:hAnsi="Abadi" w:cs="Calibri"/>
          <w:i/>
          <w:sz w:val="14"/>
          <w:szCs w:val="14"/>
          <w:lang w:val="es-ES"/>
        </w:rPr>
        <w:t xml:space="preserve"> </w:t>
      </w:r>
      <w:r w:rsidRPr="00FC6997">
        <w:rPr>
          <w:rFonts w:ascii="Abadi" w:hAnsi="Abadi" w:cs="Calibri"/>
          <w:i/>
          <w:sz w:val="14"/>
          <w:szCs w:val="14"/>
        </w:rPr>
        <w:t>https://www.who.int/es/news-room/fact-sheets/detail/protecting-workers'-health</w:t>
      </w:r>
      <w:r w:rsidRPr="00FC6997">
        <w:rPr>
          <w:rFonts w:ascii="Abadi" w:hAnsi="Abadi" w:cs="Calibri"/>
          <w:sz w:val="14"/>
          <w:szCs w:val="14"/>
          <w:lang w:val="es-ES"/>
        </w:rPr>
        <w:t xml:space="preserve"> [Consulta: 21 de enero de 2020]</w:t>
      </w:r>
    </w:p>
  </w:footnote>
  <w:footnote w:id="115">
    <w:p w14:paraId="4F6AF941" w14:textId="77777777" w:rsidR="009F6ED0" w:rsidRPr="00FC6997" w:rsidRDefault="009F6ED0" w:rsidP="009F6ED0">
      <w:pPr>
        <w:pStyle w:val="Textonotapie"/>
        <w:jc w:val="both"/>
        <w:rPr>
          <w:rFonts w:ascii="Abadi" w:hAnsi="Abadi" w:cs="Calibri"/>
          <w:sz w:val="16"/>
          <w:szCs w:val="16"/>
          <w:lang w:val="es-ES"/>
        </w:rPr>
      </w:pPr>
      <w:r w:rsidRPr="00FC6997">
        <w:rPr>
          <w:rStyle w:val="Refdenotaalpie"/>
          <w:rFonts w:ascii="Abadi" w:hAnsi="Abadi" w:cs="Calibri"/>
          <w:sz w:val="14"/>
          <w:szCs w:val="14"/>
        </w:rPr>
        <w:footnoteRef/>
      </w:r>
      <w:r w:rsidRPr="00FC6997">
        <w:rPr>
          <w:rFonts w:ascii="Abadi" w:hAnsi="Abadi" w:cs="Calibri"/>
          <w:sz w:val="14"/>
          <w:szCs w:val="14"/>
        </w:rPr>
        <w:t>Dictámenes a discusión De las Comisiones Unidas de Seguridad Social, y de Presupuesto y Cuenta Pública, con proyecto de decreto por el que se adicionan diversas disposiciones de las Leyes del Seguro Social, del Instituto de Seguridad y Servicios Sociales de los Trabajadores del Estado, y Federal del Trabajo</w:t>
      </w:r>
      <w:r w:rsidRPr="00FC6997">
        <w:rPr>
          <w:rFonts w:ascii="Abadi" w:hAnsi="Abadi" w:cs="Calibri"/>
          <w:sz w:val="14"/>
          <w:szCs w:val="14"/>
          <w:lang w:val="es-ES"/>
        </w:rPr>
        <w:t xml:space="preserve">. Disponible en: </w:t>
      </w:r>
      <w:r w:rsidRPr="00FC6997">
        <w:rPr>
          <w:rFonts w:ascii="Abadi" w:hAnsi="Abadi" w:cs="Calibri"/>
          <w:i/>
          <w:sz w:val="14"/>
          <w:szCs w:val="14"/>
        </w:rPr>
        <w:t>http://gaceta.diputados.gob.mx/PDF/64/2019/abr/20190426-IV.pdf</w:t>
      </w:r>
      <w:r w:rsidRPr="00FC6997">
        <w:rPr>
          <w:rFonts w:ascii="Abadi" w:hAnsi="Abadi" w:cs="Calibri"/>
          <w:i/>
          <w:sz w:val="14"/>
          <w:szCs w:val="14"/>
          <w:lang w:val="es-ES"/>
        </w:rPr>
        <w:t xml:space="preserve"> </w:t>
      </w:r>
      <w:r w:rsidRPr="00FC6997">
        <w:rPr>
          <w:rFonts w:ascii="Abadi" w:hAnsi="Abadi" w:cs="Calibri"/>
          <w:sz w:val="14"/>
          <w:szCs w:val="14"/>
          <w:lang w:val="es-ES"/>
        </w:rPr>
        <w:t xml:space="preserve">[Consulta 20 de enero de 2019]. </w:t>
      </w:r>
    </w:p>
  </w:footnote>
  <w:footnote w:id="116">
    <w:p w14:paraId="7B77DEB9" w14:textId="77777777" w:rsidR="00E3434F" w:rsidRPr="00272E1A" w:rsidRDefault="00E3434F" w:rsidP="00E3434F">
      <w:pPr>
        <w:pStyle w:val="Textoindependiente"/>
        <w:spacing w:line="276" w:lineRule="auto"/>
        <w:ind w:right="594"/>
        <w:rPr>
          <w:rFonts w:ascii="Abadi" w:hAnsi="Abadi"/>
          <w:b w:val="0"/>
          <w:bCs w:val="0"/>
          <w:sz w:val="14"/>
          <w:szCs w:val="14"/>
          <w:u w:val="single"/>
          <w:lang w:val="es-MX"/>
        </w:rPr>
      </w:pPr>
      <w:r w:rsidRPr="00272E1A">
        <w:rPr>
          <w:rStyle w:val="Refdenotaalpie"/>
          <w:rFonts w:ascii="Abadi" w:hAnsi="Abadi"/>
          <w:sz w:val="14"/>
          <w:szCs w:val="14"/>
        </w:rPr>
        <w:footnoteRef/>
      </w:r>
      <w:r w:rsidRPr="00272E1A">
        <w:rPr>
          <w:rFonts w:ascii="Abadi" w:hAnsi="Abadi"/>
          <w:sz w:val="14"/>
          <w:szCs w:val="14"/>
        </w:rPr>
        <w:t xml:space="preserve"> </w:t>
      </w:r>
      <w:r w:rsidRPr="00272E1A">
        <w:rPr>
          <w:rFonts w:ascii="Abadi" w:hAnsi="Abadi"/>
          <w:b w:val="0"/>
          <w:bCs w:val="0"/>
          <w:sz w:val="14"/>
          <w:szCs w:val="14"/>
          <w:lang w:val="es-MX"/>
        </w:rPr>
        <w:t xml:space="preserve">Organización Mundial de la Salud, Suicidio. </w:t>
      </w:r>
      <w:r w:rsidRPr="00272E1A">
        <w:rPr>
          <w:rFonts w:ascii="Abadi" w:hAnsi="Abadi"/>
          <w:b w:val="0"/>
          <w:bCs w:val="0"/>
          <w:sz w:val="14"/>
          <w:szCs w:val="14"/>
          <w:u w:val="single"/>
          <w:lang w:val="es-MX"/>
        </w:rPr>
        <w:t>https://www.who.int/es/news-room/fact-sheets/detail/suicide</w:t>
      </w:r>
    </w:p>
  </w:footnote>
  <w:footnote w:id="117">
    <w:p w14:paraId="40A86507" w14:textId="77777777" w:rsidR="00E3434F" w:rsidRPr="00272E1A" w:rsidRDefault="00E3434F" w:rsidP="00E3434F">
      <w:pPr>
        <w:pStyle w:val="Textoindependiente"/>
        <w:spacing w:line="276" w:lineRule="auto"/>
        <w:ind w:right="594"/>
        <w:rPr>
          <w:rFonts w:ascii="Abadi" w:hAnsi="Abadi"/>
          <w:b w:val="0"/>
          <w:bCs w:val="0"/>
          <w:sz w:val="14"/>
          <w:szCs w:val="14"/>
          <w:u w:val="single"/>
          <w:lang w:val="es-MX"/>
        </w:rPr>
      </w:pPr>
      <w:r w:rsidRPr="00272E1A">
        <w:rPr>
          <w:rStyle w:val="Refdenotaalpie"/>
          <w:rFonts w:ascii="Abadi" w:hAnsi="Abadi"/>
          <w:sz w:val="14"/>
          <w:szCs w:val="14"/>
        </w:rPr>
        <w:footnoteRef/>
      </w:r>
      <w:r w:rsidRPr="00272E1A">
        <w:rPr>
          <w:rFonts w:ascii="Abadi" w:hAnsi="Abadi"/>
          <w:sz w:val="14"/>
          <w:szCs w:val="14"/>
        </w:rPr>
        <w:t xml:space="preserve"> </w:t>
      </w:r>
      <w:r w:rsidRPr="00272E1A">
        <w:rPr>
          <w:rFonts w:ascii="Abadi" w:hAnsi="Abadi"/>
          <w:b w:val="0"/>
          <w:bCs w:val="0"/>
          <w:sz w:val="14"/>
          <w:szCs w:val="14"/>
          <w:lang w:val="es-MX"/>
        </w:rPr>
        <w:t xml:space="preserve">Organización Mundial de la Salud, Suicidio. </w:t>
      </w:r>
      <w:r w:rsidRPr="00272E1A">
        <w:rPr>
          <w:rFonts w:ascii="Abadi" w:hAnsi="Abadi"/>
          <w:b w:val="0"/>
          <w:bCs w:val="0"/>
          <w:sz w:val="14"/>
          <w:szCs w:val="14"/>
          <w:u w:val="single"/>
          <w:lang w:val="es-MX"/>
        </w:rPr>
        <w:t xml:space="preserve">https://www.who.int/es/news-room/fact-sheets/detail/suicide </w:t>
      </w:r>
    </w:p>
    <w:p w14:paraId="1738A745" w14:textId="77777777" w:rsidR="00E3434F" w:rsidRDefault="00E3434F" w:rsidP="00E3434F">
      <w:pPr>
        <w:pStyle w:val="Textonotapie"/>
      </w:pPr>
    </w:p>
  </w:footnote>
  <w:footnote w:id="118">
    <w:p w14:paraId="7375C0DA" w14:textId="77777777" w:rsidR="00E3434F" w:rsidRPr="00272E1A" w:rsidRDefault="00E3434F" w:rsidP="00E3434F">
      <w:pPr>
        <w:pStyle w:val="Textoindependiente"/>
        <w:spacing w:line="276" w:lineRule="auto"/>
        <w:ind w:right="594"/>
        <w:rPr>
          <w:rFonts w:ascii="Abadi" w:hAnsi="Abadi"/>
          <w:b w:val="0"/>
          <w:bCs w:val="0"/>
          <w:sz w:val="14"/>
          <w:szCs w:val="14"/>
          <w:lang w:val="es-MX"/>
        </w:rPr>
      </w:pPr>
      <w:r w:rsidRPr="00272E1A">
        <w:rPr>
          <w:rStyle w:val="Refdenotaalpie"/>
          <w:rFonts w:ascii="Abadi" w:hAnsi="Abadi"/>
          <w:sz w:val="14"/>
          <w:szCs w:val="14"/>
        </w:rPr>
        <w:footnoteRef/>
      </w:r>
      <w:r w:rsidRPr="00272E1A">
        <w:rPr>
          <w:rFonts w:ascii="Abadi" w:hAnsi="Abadi"/>
          <w:sz w:val="14"/>
          <w:szCs w:val="14"/>
        </w:rPr>
        <w:t xml:space="preserve"> </w:t>
      </w:r>
      <w:r w:rsidRPr="00272E1A">
        <w:rPr>
          <w:rFonts w:ascii="Abadi" w:hAnsi="Abadi"/>
          <w:b w:val="0"/>
          <w:bCs w:val="0"/>
          <w:sz w:val="14"/>
          <w:szCs w:val="14"/>
          <w:lang w:val="es-MX"/>
        </w:rPr>
        <w:t>Frase, Colman O'Driscoll, exdirector ejecutivo de operaciones y desarrollo en Lifeline.</w:t>
      </w:r>
    </w:p>
  </w:footnote>
  <w:footnote w:id="119">
    <w:p w14:paraId="077473A5" w14:textId="77777777" w:rsidR="00E3434F" w:rsidRPr="00370DDE" w:rsidRDefault="00E3434F" w:rsidP="00E3434F">
      <w:pPr>
        <w:pStyle w:val="Textoindependiente"/>
        <w:spacing w:line="276" w:lineRule="auto"/>
        <w:ind w:right="567"/>
        <w:rPr>
          <w:rFonts w:ascii="Abadi" w:hAnsi="Abadi"/>
          <w:b w:val="0"/>
          <w:bCs w:val="0"/>
          <w:sz w:val="21"/>
          <w:szCs w:val="21"/>
          <w:u w:val="single"/>
          <w:lang w:val="es-MX"/>
        </w:rPr>
      </w:pPr>
      <w:r w:rsidRPr="00370DDE">
        <w:rPr>
          <w:rStyle w:val="Refdenotaalpie"/>
          <w:rFonts w:ascii="Abadi" w:hAnsi="Abadi"/>
          <w:sz w:val="14"/>
          <w:szCs w:val="14"/>
        </w:rPr>
        <w:footnoteRef/>
      </w:r>
      <w:r w:rsidRPr="00370DDE">
        <w:rPr>
          <w:rFonts w:ascii="Abadi" w:hAnsi="Abadi"/>
          <w:sz w:val="14"/>
          <w:szCs w:val="14"/>
        </w:rPr>
        <w:t xml:space="preserve"> </w:t>
      </w:r>
      <w:hyperlink r:id="rId16" w:history="1">
        <w:r w:rsidRPr="00DB203B">
          <w:rPr>
            <w:rStyle w:val="Hipervnculo"/>
            <w:rFonts w:ascii="Abadi" w:hAnsi="Abadi"/>
            <w:b w:val="0"/>
            <w:bCs w:val="0"/>
            <w:sz w:val="14"/>
            <w:szCs w:val="14"/>
            <w:lang w:val="es-MX"/>
          </w:rPr>
          <w:t>https://www.who.int/es/news/item/17-06-2021-one-in-100-deaths-is-by-suicide</w:t>
        </w:r>
      </w:hyperlink>
      <w:r>
        <w:rPr>
          <w:rFonts w:ascii="Abadi" w:hAnsi="Abadi"/>
          <w:b w:val="0"/>
          <w:bCs w:val="0"/>
          <w:sz w:val="14"/>
          <w:szCs w:val="14"/>
          <w:u w:val="single"/>
          <w:lang w:val="es-MX"/>
        </w:rPr>
        <w:t xml:space="preserve"> </w:t>
      </w:r>
    </w:p>
  </w:footnote>
  <w:footnote w:id="120">
    <w:p w14:paraId="19852B94" w14:textId="77777777" w:rsidR="00E3434F" w:rsidRDefault="00E3434F" w:rsidP="00E3434F">
      <w:pPr>
        <w:pStyle w:val="Textonotapie"/>
      </w:pPr>
      <w:r w:rsidRPr="00370DDE">
        <w:rPr>
          <w:rStyle w:val="Refdenotaalpie"/>
          <w:rFonts w:ascii="Abadi" w:hAnsi="Abadi"/>
          <w:sz w:val="14"/>
          <w:szCs w:val="14"/>
        </w:rPr>
        <w:footnoteRef/>
      </w:r>
      <w:r w:rsidRPr="00370DDE">
        <w:rPr>
          <w:rFonts w:ascii="Abadi" w:hAnsi="Abadi"/>
          <w:sz w:val="14"/>
          <w:szCs w:val="14"/>
        </w:rPr>
        <w:t xml:space="preserve"> </w:t>
      </w:r>
      <w:hyperlink r:id="rId17" w:history="1">
        <w:r w:rsidRPr="00DB203B">
          <w:rPr>
            <w:rStyle w:val="Hipervnculo"/>
            <w:rFonts w:ascii="Abadi" w:hAnsi="Abadi"/>
            <w:sz w:val="14"/>
            <w:szCs w:val="14"/>
          </w:rPr>
          <w:t>https://www.inegi.org.mx/contenidos/saladeprensa/aproposito/2021/Suicidios2021_Nal.pdf</w:t>
        </w:r>
      </w:hyperlink>
      <w:r>
        <w:rPr>
          <w:rFonts w:ascii="Abadi" w:hAnsi="Abadi"/>
          <w:sz w:val="14"/>
          <w:szCs w:val="14"/>
          <w:u w:val="single"/>
        </w:rPr>
        <w:t xml:space="preserve"> </w:t>
      </w:r>
    </w:p>
  </w:footnote>
  <w:footnote w:id="121">
    <w:p w14:paraId="24E58DCE" w14:textId="77777777" w:rsidR="00E3434F" w:rsidRDefault="00E3434F" w:rsidP="00E3434F">
      <w:pPr>
        <w:pStyle w:val="Textonotapie"/>
      </w:pPr>
      <w:r>
        <w:rPr>
          <w:rStyle w:val="Refdenotaalpie"/>
        </w:rPr>
        <w:footnoteRef/>
      </w:r>
      <w:r>
        <w:t xml:space="preserve"> </w:t>
      </w:r>
      <w:hyperlink r:id="rId18" w:history="1">
        <w:r w:rsidRPr="00DB203B">
          <w:rPr>
            <w:rStyle w:val="Hipervnculo"/>
            <w:rFonts w:ascii="Abadi" w:hAnsi="Abadi"/>
            <w:sz w:val="14"/>
            <w:szCs w:val="14"/>
          </w:rPr>
          <w:t>https://ensanut.insp.mx/encuestas/ensanutcontinua2020/informes.php</w:t>
        </w:r>
      </w:hyperlink>
      <w:r>
        <w:rPr>
          <w:rFonts w:ascii="Abadi" w:hAnsi="Abadi"/>
          <w:sz w:val="14"/>
          <w:szCs w:val="14"/>
          <w:u w:val="single"/>
        </w:rPr>
        <w:t xml:space="preserve"> </w:t>
      </w:r>
    </w:p>
  </w:footnote>
  <w:footnote w:id="122">
    <w:p w14:paraId="157DE4CA" w14:textId="77777777" w:rsidR="00E3434F" w:rsidRPr="00370DDE" w:rsidRDefault="00E3434F" w:rsidP="00E3434F">
      <w:pPr>
        <w:pStyle w:val="Textoindependiente"/>
        <w:spacing w:line="276" w:lineRule="auto"/>
        <w:ind w:right="594"/>
        <w:rPr>
          <w:rFonts w:ascii="Abadi" w:hAnsi="Abadi"/>
          <w:b w:val="0"/>
          <w:bCs w:val="0"/>
          <w:sz w:val="14"/>
          <w:szCs w:val="14"/>
        </w:rPr>
      </w:pPr>
      <w:r w:rsidRPr="00370DDE">
        <w:rPr>
          <w:rStyle w:val="Refdenotaalpie"/>
          <w:rFonts w:ascii="Abadi" w:hAnsi="Abadi"/>
          <w:sz w:val="14"/>
          <w:szCs w:val="14"/>
        </w:rPr>
        <w:footnoteRef/>
      </w:r>
      <w:r w:rsidRPr="00370DDE">
        <w:rPr>
          <w:rFonts w:ascii="Abadi" w:hAnsi="Abadi"/>
          <w:sz w:val="14"/>
          <w:szCs w:val="14"/>
        </w:rPr>
        <w:t xml:space="preserve"> </w:t>
      </w:r>
      <w:r w:rsidRPr="00370DDE">
        <w:rPr>
          <w:rFonts w:ascii="Abadi" w:hAnsi="Abadi"/>
          <w:b w:val="0"/>
          <w:bCs w:val="0"/>
          <w:sz w:val="14"/>
          <w:szCs w:val="14"/>
        </w:rPr>
        <w:t>Publicada en el Diario Oficial de la Federación el 5 de febrero de 1917</w:t>
      </w:r>
    </w:p>
  </w:footnote>
  <w:footnote w:id="123">
    <w:p w14:paraId="19BEE1C4" w14:textId="77777777" w:rsidR="00E3434F" w:rsidRPr="00FC61E0" w:rsidRDefault="00E3434F" w:rsidP="00E3434F">
      <w:pPr>
        <w:pStyle w:val="Textoindependiente"/>
        <w:spacing w:line="276" w:lineRule="auto"/>
        <w:ind w:right="594"/>
        <w:rPr>
          <w:rFonts w:ascii="Abadi" w:hAnsi="Abadi"/>
          <w:b w:val="0"/>
          <w:bCs w:val="0"/>
          <w:sz w:val="14"/>
          <w:szCs w:val="14"/>
        </w:rPr>
      </w:pPr>
      <w:r w:rsidRPr="00FC61E0">
        <w:rPr>
          <w:rStyle w:val="Refdenotaalpie"/>
          <w:rFonts w:ascii="Abadi" w:hAnsi="Abadi"/>
          <w:sz w:val="14"/>
          <w:szCs w:val="14"/>
        </w:rPr>
        <w:footnoteRef/>
      </w:r>
      <w:r w:rsidRPr="00FC61E0">
        <w:rPr>
          <w:rFonts w:ascii="Abadi" w:hAnsi="Abadi"/>
          <w:sz w:val="14"/>
          <w:szCs w:val="14"/>
        </w:rPr>
        <w:t xml:space="preserve"> </w:t>
      </w:r>
      <w:r w:rsidRPr="00FC61E0">
        <w:rPr>
          <w:rFonts w:ascii="Abadi" w:hAnsi="Abadi"/>
          <w:b w:val="0"/>
          <w:bCs w:val="0"/>
          <w:sz w:val="14"/>
          <w:szCs w:val="14"/>
        </w:rPr>
        <w:t xml:space="preserve">Consultado en el siguiente linjk </w:t>
      </w:r>
      <w:hyperlink r:id="rId19" w:history="1">
        <w:r w:rsidRPr="00FC61E0">
          <w:rPr>
            <w:rStyle w:val="Hipervnculo"/>
            <w:rFonts w:ascii="Abadi" w:hAnsi="Abadi"/>
            <w:b w:val="0"/>
            <w:bCs w:val="0"/>
            <w:sz w:val="14"/>
            <w:szCs w:val="14"/>
          </w:rPr>
          <w:t>https://apps.who.int/iris/bitstream/handle/10665/42897/9243562576.pdf?sequence=1&amp;isAllowed=y</w:t>
        </w:r>
      </w:hyperlink>
      <w:r w:rsidRPr="00FC61E0">
        <w:rPr>
          <w:rFonts w:ascii="Abadi" w:hAnsi="Abadi"/>
          <w:b w:val="0"/>
          <w:bCs w:val="0"/>
          <w:sz w:val="14"/>
          <w:szCs w:val="14"/>
        </w:rPr>
        <w:t>.</w:t>
      </w:r>
    </w:p>
  </w:footnote>
  <w:footnote w:id="124">
    <w:p w14:paraId="4AE7E183" w14:textId="77777777" w:rsidR="00E3434F" w:rsidRPr="00FC61E0" w:rsidRDefault="00E3434F" w:rsidP="00E3434F">
      <w:pPr>
        <w:pStyle w:val="Textoindependiente"/>
        <w:spacing w:line="276" w:lineRule="auto"/>
        <w:ind w:right="594"/>
        <w:rPr>
          <w:rFonts w:ascii="Abadi" w:hAnsi="Abadi"/>
          <w:b w:val="0"/>
          <w:bCs w:val="0"/>
          <w:sz w:val="14"/>
          <w:szCs w:val="14"/>
        </w:rPr>
      </w:pPr>
      <w:r w:rsidRPr="00FC61E0">
        <w:rPr>
          <w:rStyle w:val="Refdenotaalpie"/>
          <w:rFonts w:ascii="Abadi" w:hAnsi="Abadi"/>
          <w:sz w:val="14"/>
          <w:szCs w:val="14"/>
        </w:rPr>
        <w:footnoteRef/>
      </w:r>
      <w:r w:rsidRPr="00FC61E0">
        <w:rPr>
          <w:rFonts w:ascii="Abadi" w:hAnsi="Abadi"/>
          <w:sz w:val="14"/>
          <w:szCs w:val="14"/>
        </w:rPr>
        <w:t xml:space="preserve"> </w:t>
      </w:r>
      <w:r w:rsidRPr="00FC61E0">
        <w:rPr>
          <w:rFonts w:ascii="Abadi" w:hAnsi="Abadi"/>
          <w:b w:val="0"/>
          <w:bCs w:val="0"/>
          <w:sz w:val="14"/>
          <w:szCs w:val="14"/>
        </w:rPr>
        <w:t xml:space="preserve">Consultado en el siguiente link </w:t>
      </w:r>
      <w:hyperlink r:id="rId20" w:history="1">
        <w:r w:rsidRPr="00FC61E0">
          <w:rPr>
            <w:rStyle w:val="Hipervnculo"/>
            <w:rFonts w:ascii="Abadi" w:hAnsi="Abadi"/>
            <w:b w:val="0"/>
            <w:bCs w:val="0"/>
            <w:sz w:val="14"/>
            <w:szCs w:val="14"/>
          </w:rPr>
          <w:t>http://www.conamed.gob.mx/gobmx/boletin/pdf/boletin14/importancia_panorama.pdf</w:t>
        </w:r>
      </w:hyperlink>
    </w:p>
  </w:footnote>
  <w:footnote w:id="125">
    <w:p w14:paraId="3CC3391B" w14:textId="77777777" w:rsidR="00E3434F" w:rsidRDefault="00E3434F" w:rsidP="00E3434F">
      <w:pPr>
        <w:pStyle w:val="Textonotapie"/>
      </w:pPr>
      <w:r w:rsidRPr="00FC61E0">
        <w:rPr>
          <w:rStyle w:val="Refdenotaalpie"/>
          <w:rFonts w:ascii="Abadi" w:hAnsi="Abadi"/>
          <w:sz w:val="14"/>
          <w:szCs w:val="14"/>
        </w:rPr>
        <w:footnoteRef/>
      </w:r>
      <w:r w:rsidRPr="00FC61E0">
        <w:rPr>
          <w:rFonts w:ascii="Abadi" w:hAnsi="Abadi"/>
          <w:sz w:val="14"/>
          <w:szCs w:val="14"/>
        </w:rPr>
        <w:t xml:space="preserve"> </w:t>
      </w:r>
      <w:r w:rsidRPr="00FC61E0">
        <w:rPr>
          <w:rFonts w:ascii="Abadi" w:hAnsi="Abadi"/>
          <w:sz w:val="14"/>
          <w:szCs w:val="14"/>
          <w:lang w:val="es-ES_tradnl" w:eastAsia="es-ES_tradnl"/>
        </w:rPr>
        <w:t>Publicada en el Diario Oficial de la Federación el 17 de agosto de 2020</w:t>
      </w:r>
      <w:r w:rsidRPr="00FC61E0">
        <w:rPr>
          <w:rFonts w:ascii="Abadi" w:hAnsi="Abadi" w:cs="Calibri"/>
          <w:sz w:val="14"/>
          <w:szCs w:val="14"/>
          <w:lang w:val="es-ES_tradnl" w:eastAsia="es-ES_tradnl"/>
        </w:rPr>
        <w:t>.</w:t>
      </w:r>
    </w:p>
  </w:footnote>
  <w:footnote w:id="126">
    <w:p w14:paraId="28728478" w14:textId="77777777" w:rsidR="00E3434F" w:rsidRPr="00FC61E0" w:rsidRDefault="00E3434F" w:rsidP="00E3434F">
      <w:pPr>
        <w:autoSpaceDE w:val="0"/>
        <w:autoSpaceDN w:val="0"/>
        <w:adjustRightInd w:val="0"/>
        <w:ind w:firstLine="284"/>
        <w:rPr>
          <w:rFonts w:ascii="Abadi" w:hAnsi="Abadi" w:cs="Arial"/>
          <w:sz w:val="14"/>
          <w:szCs w:val="14"/>
          <w:lang w:val="es-ES_tradnl" w:eastAsia="es-ES_tradnl"/>
        </w:rPr>
      </w:pPr>
      <w:r w:rsidRPr="00FC61E0">
        <w:rPr>
          <w:rStyle w:val="Refdenotaalpie"/>
          <w:rFonts w:ascii="Abadi" w:hAnsi="Abadi"/>
          <w:sz w:val="14"/>
          <w:szCs w:val="14"/>
        </w:rPr>
        <w:footnoteRef/>
      </w:r>
      <w:r w:rsidRPr="00FC61E0">
        <w:rPr>
          <w:rFonts w:ascii="Abadi" w:hAnsi="Abadi"/>
          <w:sz w:val="14"/>
          <w:szCs w:val="14"/>
        </w:rPr>
        <w:t xml:space="preserve"> </w:t>
      </w:r>
      <w:r w:rsidRPr="00FC61E0">
        <w:rPr>
          <w:rFonts w:ascii="Abadi" w:hAnsi="Abadi" w:cs="Arial"/>
          <w:sz w:val="14"/>
          <w:szCs w:val="14"/>
          <w:lang w:val="es-ES_tradnl" w:eastAsia="es-ES_tradnl"/>
        </w:rPr>
        <w:t>Consultado el 23 de marzo de 2022 en el siguiente link:</w:t>
      </w:r>
      <w:r>
        <w:rPr>
          <w:rFonts w:ascii="Abadi" w:hAnsi="Abadi" w:cs="Arial"/>
          <w:sz w:val="14"/>
          <w:szCs w:val="14"/>
          <w:lang w:val="es-ES_tradnl" w:eastAsia="es-ES_tradnl"/>
        </w:rPr>
        <w:t xml:space="preserve"> </w:t>
      </w:r>
      <w:r w:rsidRPr="00FC61E0">
        <w:rPr>
          <w:rFonts w:ascii="Abadi" w:hAnsi="Abadi"/>
          <w:b/>
          <w:bCs/>
          <w:i/>
          <w:iCs/>
          <w:sz w:val="14"/>
          <w:szCs w:val="14"/>
          <w:lang w:val="es-ES_tradnl" w:eastAsia="es-ES_tradnl"/>
        </w:rPr>
        <w:t>https://apps.who.int/mediacentre/news/releases/2004/pr61/es/index.html</w:t>
      </w:r>
      <w:r w:rsidRPr="00FC61E0">
        <w:rPr>
          <w:rFonts w:ascii="Abadi" w:hAnsi="Abadi"/>
          <w:b/>
          <w:bCs/>
          <w:sz w:val="14"/>
          <w:szCs w:val="14"/>
          <w:lang w:val="es-ES_tradnl" w:eastAsia="es-ES_tradnl"/>
        </w:rPr>
        <w:t>.</w:t>
      </w:r>
    </w:p>
  </w:footnote>
  <w:footnote w:id="127">
    <w:p w14:paraId="4C50CA42" w14:textId="77777777" w:rsidR="00E3434F" w:rsidRDefault="00E3434F" w:rsidP="00E3434F">
      <w:pPr>
        <w:pStyle w:val="Textonotapie"/>
      </w:pPr>
      <w:r>
        <w:rPr>
          <w:rStyle w:val="Refdenotaalpie"/>
        </w:rPr>
        <w:footnoteRef/>
      </w:r>
      <w:r>
        <w:t xml:space="preserve"> </w:t>
      </w:r>
      <w:r w:rsidRPr="00FC61E0">
        <w:rPr>
          <w:rFonts w:ascii="Abadi" w:hAnsi="Abadi"/>
          <w:sz w:val="14"/>
          <w:szCs w:val="14"/>
          <w:lang w:val="es-ES_tradnl" w:eastAsia="es-ES_tradnl"/>
        </w:rPr>
        <w:t>Artículo 1 de la Ley de Salud del Estado de Guanajuato (LSEG)</w:t>
      </w:r>
      <w:r w:rsidRPr="00FC61E0">
        <w:rPr>
          <w:rFonts w:ascii="Abadi" w:hAnsi="Abadi"/>
          <w:i/>
          <w:iCs/>
          <w:sz w:val="14"/>
          <w:szCs w:val="14"/>
          <w:lang w:val="es-ES_tradnl" w:eastAsia="es-ES_tradnl"/>
        </w:rPr>
        <w:t>.</w:t>
      </w:r>
    </w:p>
  </w:footnote>
  <w:footnote w:id="128">
    <w:p w14:paraId="526C1793" w14:textId="77777777" w:rsidR="00E3434F" w:rsidRDefault="00E3434F" w:rsidP="00E3434F">
      <w:pPr>
        <w:pStyle w:val="Textonotapie"/>
      </w:pPr>
      <w:r w:rsidRPr="00FC61E0">
        <w:rPr>
          <w:rStyle w:val="Refdenotaalpie"/>
          <w:rFonts w:ascii="Abadi" w:hAnsi="Abadi"/>
          <w:sz w:val="14"/>
          <w:szCs w:val="14"/>
        </w:rPr>
        <w:footnoteRef/>
      </w:r>
      <w:r>
        <w:t xml:space="preserve"> </w:t>
      </w:r>
      <w:r w:rsidRPr="00FC61E0">
        <w:rPr>
          <w:rFonts w:ascii="Abadi" w:hAnsi="Abadi" w:cs="Arial"/>
          <w:sz w:val="14"/>
          <w:szCs w:val="14"/>
          <w:lang w:val="es-ES_tradnl" w:eastAsia="es-ES_tradnl"/>
        </w:rPr>
        <w:t>«Artículo 27-1. La Procuraduría de Protección tendrá las atribuciones siguientes: I. Procurar la protección integral de niñas, niños y adolescentes que prevé la Constitución Política de los Estados Unidos Mexicanos, los tratados internacionales, la Constitución Política para el Estado de Guanajuato, esta Ley y demás disposiciones aplicables. Dicha protección integral deberá abarcar, por lo menos: a) Atención médica y psicológica;»</w:t>
      </w:r>
    </w:p>
  </w:footnote>
  <w:footnote w:id="129">
    <w:p w14:paraId="17D134D4" w14:textId="77777777" w:rsidR="00E3434F" w:rsidRDefault="00E3434F" w:rsidP="00E3434F">
      <w:pPr>
        <w:pStyle w:val="Textonotapie"/>
      </w:pPr>
      <w:r w:rsidRPr="00FC61E0">
        <w:rPr>
          <w:rStyle w:val="Refdenotaalpie"/>
          <w:rFonts w:ascii="Abadi" w:hAnsi="Abadi"/>
          <w:sz w:val="14"/>
          <w:szCs w:val="14"/>
        </w:rPr>
        <w:footnoteRef/>
      </w:r>
      <w:r w:rsidRPr="00FC61E0">
        <w:rPr>
          <w:rFonts w:ascii="Abadi" w:hAnsi="Abadi"/>
          <w:sz w:val="14"/>
          <w:szCs w:val="14"/>
        </w:rPr>
        <w:t xml:space="preserve"> </w:t>
      </w:r>
      <w:r w:rsidRPr="00FC61E0">
        <w:rPr>
          <w:rFonts w:ascii="Abadi" w:hAnsi="Abadi" w:cs="Arial"/>
          <w:sz w:val="14"/>
          <w:szCs w:val="14"/>
          <w:lang w:val="es-ES_tradnl" w:eastAsia="es-ES_tradnl"/>
        </w:rPr>
        <w:t>Acuerdo del C. Gobernador del Estado por el cual se aprueba la Actualización del Plan Estatal de Desarrollo del Estado de Guanajuato, contenida en el documento denominado «Plan Estatal de Desarrollo Guanajuato 2040. Construyendo el Futuro», así como el documento anexo citado.</w:t>
      </w:r>
      <w:r w:rsidRPr="00C56DEE">
        <w:rPr>
          <w:rFonts w:ascii="Abadi" w:hAnsi="Abadi" w:cs="Arial"/>
          <w:sz w:val="21"/>
          <w:szCs w:val="21"/>
          <w:lang w:val="es-ES_tradnl" w:eastAsia="es-ES_tradnl"/>
        </w:rPr>
        <w:t xml:space="preserve"> </w:t>
      </w:r>
      <w:r w:rsidRPr="00FC61E0">
        <w:rPr>
          <w:rFonts w:ascii="Abadi" w:hAnsi="Abadi" w:cs="Arial"/>
          <w:sz w:val="14"/>
          <w:szCs w:val="14"/>
          <w:lang w:val="es-ES_tradnl" w:eastAsia="es-ES_tradnl"/>
        </w:rPr>
        <w:t>Publicado en el Periódico Oficial del Gobierno del Estado de Guanajuato número 45, Tercera Parte, de fecha 2 de marzo de 2018.</w:t>
      </w:r>
    </w:p>
  </w:footnote>
  <w:footnote w:id="130">
    <w:p w14:paraId="4FE454FF" w14:textId="77777777" w:rsidR="00E3434F" w:rsidRPr="00FC61E0" w:rsidRDefault="00E3434F" w:rsidP="00E3434F">
      <w:pPr>
        <w:autoSpaceDE w:val="0"/>
        <w:autoSpaceDN w:val="0"/>
        <w:adjustRightInd w:val="0"/>
        <w:ind w:right="567"/>
        <w:jc w:val="both"/>
        <w:rPr>
          <w:rFonts w:ascii="Abadi" w:hAnsi="Abadi" w:cs="Arial"/>
          <w:b/>
          <w:bCs/>
          <w:sz w:val="14"/>
          <w:szCs w:val="14"/>
          <w:u w:val="single"/>
        </w:rPr>
      </w:pPr>
      <w:r w:rsidRPr="00FC61E0">
        <w:rPr>
          <w:rStyle w:val="Refdenotaalpie"/>
          <w:rFonts w:ascii="Abadi" w:hAnsi="Abadi"/>
          <w:sz w:val="14"/>
          <w:szCs w:val="14"/>
        </w:rPr>
        <w:footnoteRef/>
      </w:r>
      <w:r w:rsidRPr="00FC61E0">
        <w:rPr>
          <w:rFonts w:ascii="Abadi" w:hAnsi="Abadi"/>
          <w:sz w:val="14"/>
          <w:szCs w:val="14"/>
        </w:rPr>
        <w:t xml:space="preserve"> </w:t>
      </w:r>
      <w:r w:rsidRPr="00FC61E0">
        <w:rPr>
          <w:rFonts w:ascii="Abadi" w:hAnsi="Abadi" w:cs="Arial"/>
          <w:sz w:val="14"/>
          <w:szCs w:val="14"/>
          <w:lang w:val="es-ES_tradnl" w:eastAsia="es-ES_tradnl"/>
        </w:rPr>
        <w:t>Publicado en el Periódico Oficial del Gobierno del Estado de Guanajuato, número 61, Segunda Parte, de fecha 26 de marzo de 2019.</w:t>
      </w:r>
    </w:p>
  </w:footnote>
  <w:footnote w:id="131">
    <w:p w14:paraId="059DAC62" w14:textId="77777777" w:rsidR="00E3434F" w:rsidRPr="00FC61E0" w:rsidRDefault="00E3434F" w:rsidP="00E3434F">
      <w:pPr>
        <w:autoSpaceDE w:val="0"/>
        <w:autoSpaceDN w:val="0"/>
        <w:adjustRightInd w:val="0"/>
        <w:rPr>
          <w:rFonts w:ascii="Abadi" w:hAnsi="Abadi" w:cs="Arial"/>
          <w:sz w:val="14"/>
          <w:szCs w:val="14"/>
          <w:lang w:val="es-ES_tradnl" w:eastAsia="es-ES_tradnl"/>
        </w:rPr>
      </w:pPr>
      <w:r w:rsidRPr="00FC61E0">
        <w:rPr>
          <w:rStyle w:val="Refdenotaalpie"/>
          <w:rFonts w:ascii="Abadi" w:hAnsi="Abadi"/>
          <w:sz w:val="14"/>
          <w:szCs w:val="14"/>
        </w:rPr>
        <w:footnoteRef/>
      </w:r>
      <w:r w:rsidRPr="00FC61E0">
        <w:rPr>
          <w:rFonts w:ascii="Abadi" w:hAnsi="Abadi"/>
          <w:sz w:val="14"/>
          <w:szCs w:val="14"/>
        </w:rPr>
        <w:t xml:space="preserve"> </w:t>
      </w:r>
      <w:r w:rsidRPr="00FC61E0">
        <w:rPr>
          <w:rFonts w:ascii="Abadi" w:hAnsi="Abadi" w:cs="Arial"/>
          <w:sz w:val="14"/>
          <w:szCs w:val="14"/>
          <w:lang w:val="es-ES_tradnl" w:eastAsia="es-ES_tradnl"/>
        </w:rPr>
        <w:t>Véase en:</w:t>
      </w:r>
      <w:r>
        <w:rPr>
          <w:rFonts w:ascii="Abadi" w:hAnsi="Abadi" w:cs="Arial"/>
          <w:sz w:val="14"/>
          <w:szCs w:val="14"/>
          <w:lang w:val="es-ES_tradnl" w:eastAsia="es-ES_tradnl"/>
        </w:rPr>
        <w:t xml:space="preserve"> </w:t>
      </w:r>
      <w:hyperlink r:id="rId21" w:history="1">
        <w:r w:rsidRPr="00DB203B">
          <w:rPr>
            <w:rStyle w:val="Hipervnculo"/>
            <w:rFonts w:ascii="Abadi" w:hAnsi="Abadi" w:cs="Arial"/>
            <w:i/>
            <w:iCs/>
            <w:sz w:val="14"/>
            <w:szCs w:val="14"/>
            <w:lang w:val="es-ES_tradnl" w:eastAsia="es-ES_tradnl"/>
          </w:rPr>
          <w:t>https://finanzas.guanajuato.gob.mx/paquetefiscal2022/public/docs/P/PF/PP/RA/APP/3019/3019-</w:t>
        </w:r>
      </w:hyperlink>
      <w:r>
        <w:rPr>
          <w:rFonts w:ascii="Abadi" w:hAnsi="Abadi" w:cs="Arial"/>
          <w:sz w:val="14"/>
          <w:szCs w:val="14"/>
          <w:lang w:val="es-ES_tradnl" w:eastAsia="es-ES_tradnl"/>
        </w:rPr>
        <w:t xml:space="preserve"> </w:t>
      </w:r>
      <w:r w:rsidRPr="00FC61E0">
        <w:rPr>
          <w:rFonts w:ascii="Abadi" w:hAnsi="Abadi" w:cs="Arial"/>
          <w:i/>
          <w:iCs/>
          <w:sz w:val="14"/>
          <w:szCs w:val="14"/>
          <w:lang w:val="es-ES_tradnl" w:eastAsia="es-ES_tradnl"/>
        </w:rPr>
        <w:t>(ISAPEG)-</w:t>
      </w:r>
      <w:r w:rsidRPr="00FC61E0">
        <w:rPr>
          <w:rFonts w:ascii="Abadi" w:hAnsi="Abadi" w:cs="Calibri,Italic"/>
          <w:i/>
          <w:iCs/>
          <w:sz w:val="14"/>
          <w:szCs w:val="14"/>
          <w:lang w:val="es-ES_tradnl" w:eastAsia="es-ES_tradnl"/>
        </w:rPr>
        <w:t>AMPP.pdf</w:t>
      </w:r>
      <w:r w:rsidRPr="00FC61E0">
        <w:rPr>
          <w:rFonts w:ascii="Abadi" w:hAnsi="Abadi" w:cs="Calibri"/>
          <w:sz w:val="14"/>
          <w:szCs w:val="14"/>
          <w:lang w:val="es-ES_tradnl" w:eastAsia="es-ES_tradnl"/>
        </w:rPr>
        <w:t>.</w:t>
      </w:r>
    </w:p>
    <w:p w14:paraId="0CEAD4BE" w14:textId="77777777" w:rsidR="00E3434F" w:rsidRDefault="00E3434F" w:rsidP="00E3434F">
      <w:pPr>
        <w:pStyle w:val="Textonotapie"/>
      </w:pPr>
    </w:p>
  </w:footnote>
  <w:footnote w:id="132">
    <w:p w14:paraId="27F025C9" w14:textId="77777777" w:rsidR="00E3434F" w:rsidRPr="00FC61E0" w:rsidRDefault="00E3434F" w:rsidP="00E3434F">
      <w:pPr>
        <w:pStyle w:val="Textonotapie"/>
        <w:rPr>
          <w:rFonts w:ascii="Abadi" w:hAnsi="Abadi"/>
          <w:sz w:val="14"/>
          <w:szCs w:val="14"/>
        </w:rPr>
      </w:pPr>
      <w:r w:rsidRPr="00FC61E0">
        <w:rPr>
          <w:rStyle w:val="Refdenotaalpie"/>
          <w:rFonts w:ascii="Abadi" w:hAnsi="Abadi"/>
          <w:sz w:val="14"/>
          <w:szCs w:val="14"/>
        </w:rPr>
        <w:footnoteRef/>
      </w:r>
      <w:r w:rsidRPr="00FC61E0">
        <w:rPr>
          <w:rFonts w:ascii="Abadi" w:hAnsi="Abadi"/>
          <w:sz w:val="14"/>
          <w:szCs w:val="14"/>
        </w:rPr>
        <w:t xml:space="preserve"> </w:t>
      </w:r>
      <w:r w:rsidRPr="00FC61E0">
        <w:rPr>
          <w:rFonts w:ascii="Abadi" w:hAnsi="Abadi"/>
          <w:sz w:val="14"/>
          <w:szCs w:val="14"/>
          <w:lang w:val="es-ES_tradnl" w:eastAsia="es-ES_tradnl"/>
        </w:rPr>
        <w:t>Véase en: http://www.dinamicamente.mx/</w:t>
      </w:r>
    </w:p>
  </w:footnote>
  <w:footnote w:id="133">
    <w:p w14:paraId="42E662AA" w14:textId="77777777" w:rsidR="00E3434F" w:rsidRPr="0052690B" w:rsidRDefault="00E3434F" w:rsidP="00E3434F">
      <w:pPr>
        <w:pStyle w:val="Textonotapie"/>
        <w:rPr>
          <w:rFonts w:ascii="Abadi" w:hAnsi="Abadi"/>
          <w:sz w:val="14"/>
          <w:szCs w:val="14"/>
        </w:rPr>
      </w:pPr>
      <w:r w:rsidRPr="0052690B">
        <w:rPr>
          <w:rStyle w:val="Refdenotaalpie"/>
          <w:rFonts w:ascii="Abadi" w:hAnsi="Abadi"/>
          <w:sz w:val="14"/>
          <w:szCs w:val="14"/>
        </w:rPr>
        <w:footnoteRef/>
      </w:r>
      <w:r w:rsidRPr="0052690B">
        <w:rPr>
          <w:rFonts w:ascii="Abadi" w:hAnsi="Abadi"/>
          <w:sz w:val="14"/>
          <w:szCs w:val="14"/>
        </w:rPr>
        <w:t xml:space="preserve"> </w:t>
      </w:r>
      <w:r w:rsidRPr="0052690B">
        <w:rPr>
          <w:rFonts w:ascii="Abadi" w:hAnsi="Abadi"/>
          <w:sz w:val="14"/>
          <w:szCs w:val="14"/>
          <w:lang w:val="es-ES_tradnl" w:eastAsia="es-ES_tradnl"/>
        </w:rPr>
        <w:t xml:space="preserve">Véase en: </w:t>
      </w:r>
      <w:hyperlink r:id="rId22" w:history="1">
        <w:r w:rsidRPr="00DB203B">
          <w:rPr>
            <w:rStyle w:val="Hipervnculo"/>
            <w:rFonts w:ascii="Abadi" w:hAnsi="Abadi"/>
            <w:sz w:val="14"/>
            <w:szCs w:val="14"/>
            <w:lang w:val="es-ES_tradnl" w:eastAsia="es-ES_tradnl"/>
          </w:rPr>
          <w:t>http://www.dinamicamente.mx/programa-de-prevencion-y-atencion-a-la-conducta-suicida/</w:t>
        </w:r>
      </w:hyperlink>
      <w:r>
        <w:rPr>
          <w:rFonts w:ascii="Abadi" w:hAnsi="Abadi"/>
          <w:sz w:val="14"/>
          <w:szCs w:val="14"/>
          <w:lang w:val="es-ES_tradnl" w:eastAsia="es-ES_tradnl"/>
        </w:rPr>
        <w:t xml:space="preserve"> </w:t>
      </w:r>
    </w:p>
  </w:footnote>
  <w:footnote w:id="134">
    <w:p w14:paraId="1B63FB03" w14:textId="77777777" w:rsidR="00E3434F" w:rsidRPr="0052690B" w:rsidRDefault="00E3434F" w:rsidP="00E3434F">
      <w:pPr>
        <w:autoSpaceDE w:val="0"/>
        <w:autoSpaceDN w:val="0"/>
        <w:adjustRightInd w:val="0"/>
        <w:rPr>
          <w:rFonts w:ascii="Abadi" w:hAnsi="Abadi" w:cs="Arial"/>
          <w:sz w:val="14"/>
          <w:szCs w:val="14"/>
          <w:lang w:val="es-ES_tradnl" w:eastAsia="es-ES_tradnl"/>
        </w:rPr>
      </w:pPr>
      <w:r w:rsidRPr="0052690B">
        <w:rPr>
          <w:rStyle w:val="Refdenotaalpie"/>
          <w:rFonts w:ascii="Abadi" w:hAnsi="Abadi"/>
          <w:sz w:val="14"/>
          <w:szCs w:val="14"/>
        </w:rPr>
        <w:footnoteRef/>
      </w:r>
      <w:r w:rsidRPr="0052690B">
        <w:rPr>
          <w:rFonts w:ascii="Abadi" w:hAnsi="Abadi"/>
          <w:sz w:val="14"/>
          <w:szCs w:val="14"/>
        </w:rPr>
        <w:t xml:space="preserve"> </w:t>
      </w:r>
      <w:r w:rsidRPr="0052690B">
        <w:rPr>
          <w:rFonts w:ascii="Abadi" w:hAnsi="Abadi" w:cs="Arial"/>
          <w:sz w:val="14"/>
          <w:szCs w:val="14"/>
          <w:lang w:val="es-ES_tradnl" w:eastAsia="es-ES_tradnl"/>
        </w:rPr>
        <w:t>Véase en: https://salud.guanajuato.gob.mx/salud-mental.php</w:t>
      </w:r>
    </w:p>
  </w:footnote>
  <w:footnote w:id="135">
    <w:p w14:paraId="65A1611A" w14:textId="77777777" w:rsidR="00E3434F" w:rsidRPr="0052690B" w:rsidRDefault="00E3434F" w:rsidP="00E3434F">
      <w:pPr>
        <w:pStyle w:val="Textonotapie"/>
        <w:rPr>
          <w:rFonts w:ascii="Abadi" w:hAnsi="Abadi"/>
          <w:sz w:val="14"/>
          <w:szCs w:val="14"/>
        </w:rPr>
      </w:pPr>
      <w:r w:rsidRPr="0052690B">
        <w:rPr>
          <w:rStyle w:val="Refdenotaalpie"/>
          <w:rFonts w:ascii="Abadi" w:hAnsi="Abadi"/>
          <w:sz w:val="14"/>
          <w:szCs w:val="14"/>
        </w:rPr>
        <w:footnoteRef/>
      </w:r>
      <w:r w:rsidRPr="0052690B">
        <w:rPr>
          <w:rFonts w:ascii="Abadi" w:hAnsi="Abadi"/>
          <w:sz w:val="14"/>
          <w:szCs w:val="14"/>
        </w:rPr>
        <w:t xml:space="preserve"> </w:t>
      </w:r>
      <w:r w:rsidRPr="0052690B">
        <w:rPr>
          <w:rFonts w:ascii="Abadi" w:hAnsi="Abadi" w:cs="Arial"/>
          <w:sz w:val="14"/>
          <w:szCs w:val="14"/>
          <w:lang w:val="es-ES_tradnl" w:eastAsia="es-ES_tradnl"/>
        </w:rPr>
        <w:t xml:space="preserve">Véase en: </w:t>
      </w:r>
      <w:r w:rsidRPr="0052690B">
        <w:rPr>
          <w:rFonts w:ascii="Abadi" w:hAnsi="Abadi" w:cs="Arial"/>
          <w:i/>
          <w:iCs/>
          <w:sz w:val="14"/>
          <w:szCs w:val="14"/>
          <w:lang w:val="es-ES_tradnl" w:eastAsia="es-ES_tradnl"/>
        </w:rPr>
        <w:t>https://www.dinamicamente.mx/programa-de-prevencion-y-atencion-a-la-conducta-suicida/</w:t>
      </w:r>
      <w:r w:rsidRPr="0052690B">
        <w:rPr>
          <w:rFonts w:ascii="Abadi" w:hAnsi="Abadi" w:cs="Arial"/>
          <w:sz w:val="14"/>
          <w:szCs w:val="14"/>
          <w:lang w:val="es-ES_tradnl" w:eastAsia="es-ES_tradnl"/>
        </w:rPr>
        <w:t>.f</w:t>
      </w:r>
    </w:p>
  </w:footnote>
  <w:footnote w:id="136">
    <w:p w14:paraId="7B17196E" w14:textId="77777777" w:rsidR="00E3434F" w:rsidRPr="0052690B" w:rsidRDefault="00E3434F" w:rsidP="00E3434F">
      <w:pPr>
        <w:autoSpaceDE w:val="0"/>
        <w:autoSpaceDN w:val="0"/>
        <w:adjustRightInd w:val="0"/>
        <w:rPr>
          <w:rFonts w:ascii="Abadi" w:hAnsi="Abadi" w:cs="Arial"/>
          <w:sz w:val="14"/>
          <w:szCs w:val="14"/>
          <w:lang w:val="es-ES_tradnl" w:eastAsia="es-ES_tradnl"/>
        </w:rPr>
      </w:pPr>
      <w:r w:rsidRPr="0052690B">
        <w:rPr>
          <w:rStyle w:val="Refdenotaalpie"/>
          <w:rFonts w:ascii="Abadi" w:hAnsi="Abadi"/>
          <w:sz w:val="14"/>
          <w:szCs w:val="14"/>
        </w:rPr>
        <w:footnoteRef/>
      </w:r>
      <w:r w:rsidRPr="0052690B">
        <w:rPr>
          <w:rFonts w:ascii="Abadi" w:hAnsi="Abadi"/>
          <w:sz w:val="14"/>
          <w:szCs w:val="14"/>
        </w:rPr>
        <w:t xml:space="preserve"> </w:t>
      </w:r>
      <w:r w:rsidRPr="0052690B">
        <w:rPr>
          <w:rFonts w:ascii="Abadi" w:hAnsi="Abadi" w:cs="Arial"/>
          <w:sz w:val="14"/>
          <w:szCs w:val="14"/>
          <w:lang w:val="es-ES_tradnl" w:eastAsia="es-ES_tradnl"/>
        </w:rPr>
        <w:t xml:space="preserve">Véase en en el portal electrónico de la Secretaría de Salud del Estado de Guanajuato, la información relacionada a las funciones de la Comisión de Prevención y Atención a la Conducta Suicida. </w:t>
      </w:r>
      <w:hyperlink r:id="rId23" w:history="1">
        <w:r w:rsidRPr="0052690B">
          <w:rPr>
            <w:rStyle w:val="Hipervnculo"/>
            <w:rFonts w:ascii="Abadi" w:hAnsi="Abadi" w:cs="Arial"/>
            <w:i/>
            <w:iCs/>
            <w:sz w:val="14"/>
            <w:szCs w:val="14"/>
            <w:lang w:val="es-ES_tradnl" w:eastAsia="es-ES_tradnl"/>
          </w:rPr>
          <w:t>https://boletines.guanajuato.gob.mx/2022/01/10/ssg-refuerza-los-servicios-de-salud-mental-para-laatencion-del-suicidio-este-2022/</w:t>
        </w:r>
      </w:hyperlink>
      <w:r w:rsidRPr="0052690B">
        <w:rPr>
          <w:rFonts w:ascii="Abadi" w:hAnsi="Abadi" w:cs="Arial"/>
          <w:sz w:val="14"/>
          <w:szCs w:val="14"/>
          <w:lang w:val="es-ES_tradnl" w:eastAsia="es-ES_tradnl"/>
        </w:rPr>
        <w:t xml:space="preserve">. </w:t>
      </w:r>
    </w:p>
    <w:p w14:paraId="40377BE2" w14:textId="77777777" w:rsidR="00E3434F" w:rsidRDefault="00E3434F" w:rsidP="00E3434F">
      <w:pPr>
        <w:pStyle w:val="Textonotapie"/>
      </w:pPr>
    </w:p>
  </w:footnote>
  <w:footnote w:id="137">
    <w:p w14:paraId="2B986EBC" w14:textId="77777777" w:rsidR="00E3434F" w:rsidRPr="0052690B" w:rsidRDefault="00E3434F" w:rsidP="00E3434F">
      <w:pPr>
        <w:pStyle w:val="Textonotapie"/>
        <w:rPr>
          <w:rFonts w:ascii="Abadi" w:hAnsi="Abadi"/>
          <w:sz w:val="14"/>
          <w:szCs w:val="14"/>
        </w:rPr>
      </w:pPr>
      <w:r w:rsidRPr="0052690B">
        <w:rPr>
          <w:rStyle w:val="Refdenotaalpie"/>
          <w:rFonts w:ascii="Abadi" w:hAnsi="Abadi"/>
          <w:sz w:val="14"/>
          <w:szCs w:val="14"/>
        </w:rPr>
        <w:footnoteRef/>
      </w:r>
      <w:r w:rsidRPr="0052690B">
        <w:rPr>
          <w:rFonts w:ascii="Abadi" w:hAnsi="Abadi"/>
          <w:sz w:val="14"/>
          <w:szCs w:val="14"/>
        </w:rPr>
        <w:t xml:space="preserve"> </w:t>
      </w:r>
      <w:r w:rsidRPr="0052690B">
        <w:rPr>
          <w:rFonts w:ascii="Abadi" w:hAnsi="Abadi"/>
          <w:sz w:val="14"/>
          <w:szCs w:val="14"/>
          <w:lang w:val="es-ES_tradnl" w:eastAsia="es-ES_tradnl"/>
        </w:rPr>
        <w:t xml:space="preserve">Véase en: </w:t>
      </w:r>
      <w:hyperlink r:id="rId24" w:history="1">
        <w:r w:rsidRPr="00DB203B">
          <w:rPr>
            <w:rStyle w:val="Hipervnculo"/>
            <w:rFonts w:ascii="Abadi" w:hAnsi="Abadi"/>
            <w:sz w:val="14"/>
            <w:szCs w:val="14"/>
            <w:lang w:val="es-ES_tradnl" w:eastAsia="es-ES_tradnl"/>
          </w:rPr>
          <w:t>https://boletines.guanajuato.gob.mx/2022/01/10/ssg-refuerza-los-servicios-de-salud-mental-para-la-atencion-del-suicidio-este-2022/</w:t>
        </w:r>
      </w:hyperlink>
      <w:r>
        <w:rPr>
          <w:rFonts w:ascii="Abadi" w:hAnsi="Abadi"/>
          <w:sz w:val="14"/>
          <w:szCs w:val="14"/>
          <w:lang w:val="es-ES_tradnl" w:eastAsia="es-ES_tradnl"/>
        </w:rPr>
        <w:t xml:space="preserve"> </w:t>
      </w:r>
    </w:p>
  </w:footnote>
  <w:footnote w:id="138">
    <w:p w14:paraId="11DCEFC7" w14:textId="77777777" w:rsidR="00E3434F" w:rsidRPr="0052690B" w:rsidRDefault="00E3434F" w:rsidP="00E3434F">
      <w:pPr>
        <w:autoSpaceDE w:val="0"/>
        <w:autoSpaceDN w:val="0"/>
        <w:adjustRightInd w:val="0"/>
        <w:rPr>
          <w:rFonts w:ascii="Abadi" w:hAnsi="Abadi" w:cs="Arial"/>
          <w:sz w:val="14"/>
          <w:szCs w:val="14"/>
          <w:lang w:val="es-ES_tradnl" w:eastAsia="es-ES_tradnl"/>
        </w:rPr>
      </w:pPr>
      <w:r w:rsidRPr="0052690B">
        <w:rPr>
          <w:rStyle w:val="Refdenotaalpie"/>
          <w:rFonts w:ascii="Abadi" w:hAnsi="Abadi"/>
          <w:sz w:val="14"/>
          <w:szCs w:val="14"/>
        </w:rPr>
        <w:footnoteRef/>
      </w:r>
      <w:r w:rsidRPr="0052690B">
        <w:rPr>
          <w:rFonts w:ascii="Abadi" w:hAnsi="Abadi"/>
          <w:sz w:val="14"/>
          <w:szCs w:val="14"/>
        </w:rPr>
        <w:t xml:space="preserve"> </w:t>
      </w:r>
      <w:r w:rsidRPr="0052690B">
        <w:rPr>
          <w:rFonts w:ascii="Abadi" w:hAnsi="Abadi" w:cs="Arial"/>
          <w:sz w:val="14"/>
          <w:szCs w:val="14"/>
          <w:lang w:val="es-ES_tradnl" w:eastAsia="es-ES_tradnl"/>
        </w:rPr>
        <w:t>Publicada en el Periódico Oficial del Gobierno del Estado, Núm. 207, Séptima Parte, el 27 de diciembre de 2016.</w:t>
      </w:r>
    </w:p>
  </w:footnote>
  <w:footnote w:id="139">
    <w:p w14:paraId="63E751B9" w14:textId="77777777" w:rsidR="00E3434F" w:rsidRPr="00176477" w:rsidRDefault="00E3434F" w:rsidP="00E3434F">
      <w:pPr>
        <w:pStyle w:val="Textonotapie"/>
        <w:rPr>
          <w:rFonts w:ascii="Abadi" w:hAnsi="Abadi"/>
          <w:sz w:val="14"/>
          <w:szCs w:val="14"/>
        </w:rPr>
      </w:pPr>
      <w:r w:rsidRPr="00176477">
        <w:rPr>
          <w:rStyle w:val="Refdenotaalpie"/>
          <w:rFonts w:ascii="Abadi" w:hAnsi="Abadi"/>
          <w:sz w:val="14"/>
          <w:szCs w:val="14"/>
        </w:rPr>
        <w:footnoteRef/>
      </w:r>
      <w:r w:rsidRPr="00176477">
        <w:rPr>
          <w:rFonts w:ascii="Abadi" w:hAnsi="Abadi"/>
          <w:sz w:val="14"/>
          <w:szCs w:val="14"/>
        </w:rPr>
        <w:t xml:space="preserve"> </w:t>
      </w:r>
      <w:r w:rsidRPr="00176477">
        <w:rPr>
          <w:rFonts w:ascii="Abadi" w:hAnsi="Abadi" w:cs="Arial"/>
          <w:sz w:val="14"/>
          <w:szCs w:val="14"/>
          <w:lang w:val="es-ES_tradnl" w:eastAsia="es-ES_tradnl"/>
        </w:rPr>
        <w:t>Publicada en el Periódico Oficial del Gobierno del Estado, Núm. 128, Tercera Parte, el 12 de agosto de 2003.</w:t>
      </w:r>
    </w:p>
  </w:footnote>
  <w:footnote w:id="140">
    <w:p w14:paraId="3C371B65" w14:textId="77777777" w:rsidR="00E3434F" w:rsidRPr="00176477" w:rsidRDefault="00E3434F" w:rsidP="00E3434F">
      <w:pPr>
        <w:pStyle w:val="Textonotapie"/>
        <w:rPr>
          <w:rFonts w:ascii="Abadi" w:hAnsi="Abadi"/>
          <w:sz w:val="14"/>
          <w:szCs w:val="14"/>
        </w:rPr>
      </w:pPr>
      <w:r w:rsidRPr="00176477">
        <w:rPr>
          <w:rStyle w:val="Refdenotaalpie"/>
          <w:rFonts w:ascii="Abadi" w:hAnsi="Abadi"/>
          <w:sz w:val="14"/>
          <w:szCs w:val="14"/>
        </w:rPr>
        <w:footnoteRef/>
      </w:r>
      <w:r w:rsidRPr="00176477">
        <w:rPr>
          <w:rFonts w:ascii="Abadi" w:hAnsi="Abadi"/>
          <w:sz w:val="14"/>
          <w:szCs w:val="14"/>
        </w:rPr>
        <w:t xml:space="preserve"> </w:t>
      </w:r>
      <w:r w:rsidRPr="00176477">
        <w:rPr>
          <w:rFonts w:ascii="Abadi" w:hAnsi="Abadi" w:cs="Arial"/>
          <w:color w:val="000000"/>
          <w:w w:val="85"/>
          <w:sz w:val="14"/>
          <w:szCs w:val="14"/>
          <w:lang w:val="es-ES_tradnl"/>
        </w:rPr>
        <w:t>Constituido</w:t>
      </w:r>
      <w:r w:rsidRPr="00176477">
        <w:rPr>
          <w:rFonts w:ascii="Abadi" w:hAnsi="Abadi" w:cs="Arial"/>
          <w:color w:val="000000"/>
          <w:spacing w:val="-4"/>
          <w:w w:val="85"/>
          <w:sz w:val="14"/>
          <w:szCs w:val="14"/>
          <w:lang w:val="es-ES_tradnl"/>
        </w:rPr>
        <w:t xml:space="preserve"> </w:t>
      </w:r>
      <w:r w:rsidRPr="00176477">
        <w:rPr>
          <w:rFonts w:ascii="Abadi" w:hAnsi="Abadi" w:cs="Arial"/>
          <w:color w:val="000000"/>
          <w:w w:val="85"/>
          <w:sz w:val="14"/>
          <w:szCs w:val="14"/>
          <w:lang w:val="es-ES_tradnl"/>
        </w:rPr>
        <w:t>mediante</w:t>
      </w:r>
      <w:r w:rsidRPr="00176477">
        <w:rPr>
          <w:rFonts w:ascii="Abadi" w:hAnsi="Abadi" w:cs="Arial"/>
          <w:color w:val="000000"/>
          <w:spacing w:val="-4"/>
          <w:w w:val="85"/>
          <w:sz w:val="14"/>
          <w:szCs w:val="14"/>
          <w:lang w:val="es-ES_tradnl"/>
        </w:rPr>
        <w:t xml:space="preserve"> </w:t>
      </w:r>
      <w:r w:rsidRPr="00176477">
        <w:rPr>
          <w:rFonts w:ascii="Abadi" w:hAnsi="Abadi" w:cs="Arial"/>
          <w:color w:val="000000"/>
          <w:w w:val="85"/>
          <w:sz w:val="14"/>
          <w:szCs w:val="14"/>
          <w:lang w:val="es-ES_tradnl"/>
        </w:rPr>
        <w:t>«Acuerdo</w:t>
      </w:r>
      <w:r w:rsidRPr="00176477">
        <w:rPr>
          <w:rFonts w:ascii="Abadi" w:hAnsi="Abadi" w:cs="Arial"/>
          <w:color w:val="000000"/>
          <w:spacing w:val="-4"/>
          <w:w w:val="85"/>
          <w:sz w:val="14"/>
          <w:szCs w:val="14"/>
          <w:lang w:val="es-ES_tradnl"/>
        </w:rPr>
        <w:t xml:space="preserve"> </w:t>
      </w:r>
      <w:r w:rsidRPr="00176477">
        <w:rPr>
          <w:rFonts w:ascii="Abadi" w:hAnsi="Abadi" w:cs="Arial"/>
          <w:color w:val="000000"/>
          <w:w w:val="85"/>
          <w:sz w:val="14"/>
          <w:szCs w:val="14"/>
          <w:lang w:val="es-ES_tradnl"/>
        </w:rPr>
        <w:t>Gubernativo</w:t>
      </w:r>
      <w:r w:rsidRPr="00176477">
        <w:rPr>
          <w:rFonts w:ascii="Abadi" w:hAnsi="Abadi" w:cs="Arial"/>
          <w:color w:val="000000"/>
          <w:spacing w:val="-3"/>
          <w:w w:val="85"/>
          <w:sz w:val="14"/>
          <w:szCs w:val="14"/>
          <w:lang w:val="es-ES_tradnl"/>
        </w:rPr>
        <w:t xml:space="preserve"> </w:t>
      </w:r>
      <w:r w:rsidRPr="00176477">
        <w:rPr>
          <w:rFonts w:ascii="Abadi" w:hAnsi="Abadi" w:cs="Arial"/>
          <w:color w:val="000000"/>
          <w:w w:val="85"/>
          <w:sz w:val="14"/>
          <w:szCs w:val="14"/>
          <w:lang w:val="es-ES_tradnl"/>
        </w:rPr>
        <w:t>Número</w:t>
      </w:r>
      <w:r w:rsidRPr="00176477">
        <w:rPr>
          <w:rFonts w:ascii="Abadi" w:hAnsi="Abadi" w:cs="Arial"/>
          <w:color w:val="000000"/>
          <w:sz w:val="14"/>
          <w:szCs w:val="14"/>
          <w:lang w:val="es-ES_tradnl"/>
        </w:rPr>
        <w:t xml:space="preserve"> </w:t>
      </w:r>
      <w:r w:rsidRPr="00176477">
        <w:rPr>
          <w:rFonts w:ascii="Abadi" w:hAnsi="Abadi" w:cs="Arial"/>
          <w:color w:val="000000"/>
          <w:w w:val="85"/>
          <w:sz w:val="14"/>
          <w:szCs w:val="14"/>
          <w:lang w:val="es-ES_tradnl"/>
        </w:rPr>
        <w:t>17»,</w:t>
      </w:r>
      <w:r w:rsidRPr="00176477">
        <w:rPr>
          <w:rFonts w:ascii="Abadi" w:hAnsi="Abadi" w:cs="Arial"/>
          <w:color w:val="000000"/>
          <w:sz w:val="14"/>
          <w:szCs w:val="14"/>
          <w:lang w:val="es-ES_tradnl"/>
        </w:rPr>
        <w:t xml:space="preserve"> </w:t>
      </w:r>
      <w:r w:rsidRPr="00176477">
        <w:rPr>
          <w:rFonts w:ascii="Abadi" w:hAnsi="Abadi" w:cs="Arial"/>
          <w:color w:val="000000"/>
          <w:w w:val="85"/>
          <w:sz w:val="14"/>
          <w:szCs w:val="14"/>
          <w:lang w:val="es-ES_tradnl"/>
        </w:rPr>
        <w:t>publicado</w:t>
      </w:r>
      <w:r w:rsidRPr="00176477">
        <w:rPr>
          <w:rFonts w:ascii="Abadi" w:hAnsi="Abadi" w:cs="Arial"/>
          <w:color w:val="000000"/>
          <w:spacing w:val="-5"/>
          <w:w w:val="85"/>
          <w:sz w:val="14"/>
          <w:szCs w:val="14"/>
          <w:lang w:val="es-ES_tradnl"/>
        </w:rPr>
        <w:t xml:space="preserve"> </w:t>
      </w:r>
      <w:r w:rsidRPr="00176477">
        <w:rPr>
          <w:rFonts w:ascii="Abadi" w:hAnsi="Abadi" w:cs="Arial"/>
          <w:color w:val="000000"/>
          <w:w w:val="85"/>
          <w:sz w:val="14"/>
          <w:szCs w:val="14"/>
          <w:lang w:val="es-ES_tradnl"/>
        </w:rPr>
        <w:t>en el</w:t>
      </w:r>
      <w:r w:rsidRPr="00176477">
        <w:rPr>
          <w:rFonts w:ascii="Abadi" w:hAnsi="Abadi" w:cs="Arial"/>
          <w:color w:val="000000"/>
          <w:spacing w:val="-5"/>
          <w:w w:val="85"/>
          <w:sz w:val="14"/>
          <w:szCs w:val="14"/>
          <w:lang w:val="es-ES_tradnl"/>
        </w:rPr>
        <w:t xml:space="preserve"> </w:t>
      </w:r>
      <w:r w:rsidRPr="00176477">
        <w:rPr>
          <w:rFonts w:ascii="Abadi" w:hAnsi="Abadi" w:cs="Arial"/>
          <w:color w:val="000000"/>
          <w:w w:val="85"/>
          <w:sz w:val="14"/>
          <w:szCs w:val="14"/>
          <w:lang w:val="es-ES_tradnl"/>
        </w:rPr>
        <w:t>Periódico Oficial</w:t>
      </w:r>
      <w:r w:rsidRPr="00176477">
        <w:rPr>
          <w:rFonts w:ascii="Abadi" w:hAnsi="Abadi" w:cs="Arial"/>
          <w:color w:val="000000"/>
          <w:spacing w:val="10"/>
          <w:sz w:val="14"/>
          <w:szCs w:val="14"/>
          <w:lang w:val="es-ES_tradnl"/>
        </w:rPr>
        <w:t xml:space="preserve"> </w:t>
      </w:r>
      <w:r w:rsidRPr="00176477">
        <w:rPr>
          <w:rFonts w:ascii="Abadi" w:hAnsi="Abadi" w:cs="Arial"/>
          <w:color w:val="000000"/>
          <w:w w:val="85"/>
          <w:sz w:val="14"/>
          <w:szCs w:val="14"/>
          <w:lang w:val="es-ES_tradnl"/>
        </w:rPr>
        <w:t>del</w:t>
      </w:r>
      <w:r w:rsidRPr="00176477">
        <w:rPr>
          <w:rFonts w:ascii="Abadi" w:hAnsi="Abadi" w:cs="Arial"/>
          <w:color w:val="000000"/>
          <w:spacing w:val="-5"/>
          <w:w w:val="85"/>
          <w:sz w:val="14"/>
          <w:szCs w:val="14"/>
          <w:lang w:val="es-ES_tradnl"/>
        </w:rPr>
        <w:t xml:space="preserve"> </w:t>
      </w:r>
      <w:r w:rsidRPr="00176477">
        <w:rPr>
          <w:rFonts w:ascii="Abadi" w:hAnsi="Abadi" w:cs="Arial"/>
          <w:color w:val="000000"/>
          <w:w w:val="85"/>
          <w:sz w:val="14"/>
          <w:szCs w:val="14"/>
          <w:lang w:val="es-ES_tradnl"/>
        </w:rPr>
        <w:t>Gobierno</w:t>
      </w:r>
      <w:r w:rsidRPr="00176477">
        <w:rPr>
          <w:rFonts w:ascii="Abadi" w:hAnsi="Abadi" w:cs="Arial"/>
          <w:color w:val="000000"/>
          <w:spacing w:val="12"/>
          <w:sz w:val="14"/>
          <w:szCs w:val="14"/>
          <w:lang w:val="es-ES_tradnl"/>
        </w:rPr>
        <w:t xml:space="preserve"> </w:t>
      </w:r>
      <w:r w:rsidRPr="00176477">
        <w:rPr>
          <w:rFonts w:ascii="Abadi" w:hAnsi="Abadi" w:cs="Arial"/>
          <w:color w:val="000000"/>
          <w:w w:val="85"/>
          <w:sz w:val="14"/>
          <w:szCs w:val="14"/>
          <w:lang w:val="es-ES_tradnl"/>
        </w:rPr>
        <w:t>del Estado</w:t>
      </w:r>
      <w:r w:rsidRPr="00176477">
        <w:rPr>
          <w:rFonts w:ascii="Abadi" w:hAnsi="Abadi" w:cs="Arial"/>
          <w:color w:val="000000"/>
          <w:spacing w:val="9"/>
          <w:sz w:val="14"/>
          <w:szCs w:val="14"/>
          <w:lang w:val="es-ES_tradnl"/>
        </w:rPr>
        <w:t xml:space="preserve"> </w:t>
      </w:r>
      <w:r w:rsidRPr="00176477">
        <w:rPr>
          <w:rFonts w:ascii="Abadi" w:hAnsi="Abadi" w:cs="Arial"/>
          <w:color w:val="000000"/>
          <w:w w:val="85"/>
          <w:sz w:val="14"/>
          <w:szCs w:val="14"/>
          <w:lang w:val="es-ES_tradnl"/>
        </w:rPr>
        <w:t>de</w:t>
      </w:r>
      <w:r w:rsidRPr="00176477">
        <w:rPr>
          <w:rFonts w:ascii="Abadi" w:hAnsi="Abadi" w:cs="Arial"/>
          <w:color w:val="000000"/>
          <w:spacing w:val="-5"/>
          <w:w w:val="85"/>
          <w:sz w:val="14"/>
          <w:szCs w:val="14"/>
          <w:lang w:val="es-ES_tradnl"/>
        </w:rPr>
        <w:t xml:space="preserve"> </w:t>
      </w:r>
      <w:r w:rsidRPr="00176477">
        <w:rPr>
          <w:rFonts w:ascii="Abadi" w:hAnsi="Abadi" w:cs="Arial"/>
          <w:color w:val="000000"/>
          <w:w w:val="85"/>
          <w:sz w:val="14"/>
          <w:szCs w:val="14"/>
          <w:lang w:val="es-ES_tradnl"/>
        </w:rPr>
        <w:t>Guanajuato,</w:t>
      </w:r>
      <w:r w:rsidRPr="00176477">
        <w:rPr>
          <w:rFonts w:ascii="Abadi" w:hAnsi="Abadi" w:cs="Arial"/>
          <w:color w:val="000000"/>
          <w:spacing w:val="-4"/>
          <w:w w:val="85"/>
          <w:sz w:val="14"/>
          <w:szCs w:val="14"/>
          <w:lang w:val="es-ES_tradnl"/>
        </w:rPr>
        <w:t xml:space="preserve"> </w:t>
      </w:r>
      <w:r w:rsidRPr="00176477">
        <w:rPr>
          <w:rFonts w:ascii="Abadi" w:hAnsi="Abadi" w:cs="Arial"/>
          <w:color w:val="000000"/>
          <w:w w:val="85"/>
          <w:sz w:val="14"/>
          <w:szCs w:val="14"/>
          <w:lang w:val="es-ES_tradnl"/>
        </w:rPr>
        <w:t>Número</w:t>
      </w:r>
      <w:r w:rsidRPr="00176477">
        <w:rPr>
          <w:rFonts w:ascii="Abadi" w:hAnsi="Abadi" w:cs="Arial"/>
          <w:color w:val="000000"/>
          <w:sz w:val="14"/>
          <w:szCs w:val="14"/>
          <w:lang w:val="es-ES_tradnl"/>
        </w:rPr>
        <w:t xml:space="preserve"> </w:t>
      </w:r>
      <w:r w:rsidRPr="00176477">
        <w:rPr>
          <w:rFonts w:ascii="Abadi" w:hAnsi="Abadi" w:cs="Arial"/>
          <w:color w:val="000000"/>
          <w:w w:val="85"/>
          <w:sz w:val="14"/>
          <w:szCs w:val="14"/>
          <w:lang w:val="es-ES_tradnl"/>
        </w:rPr>
        <w:t>88,</w:t>
      </w:r>
      <w:r w:rsidRPr="00176477">
        <w:rPr>
          <w:rFonts w:ascii="Abadi" w:hAnsi="Abadi" w:cs="Arial"/>
          <w:color w:val="000000"/>
          <w:spacing w:val="-5"/>
          <w:w w:val="85"/>
          <w:sz w:val="14"/>
          <w:szCs w:val="14"/>
          <w:lang w:val="es-ES_tradnl"/>
        </w:rPr>
        <w:t xml:space="preserve"> </w:t>
      </w:r>
      <w:r w:rsidRPr="00176477">
        <w:rPr>
          <w:rFonts w:ascii="Abadi" w:hAnsi="Abadi" w:cs="Arial"/>
          <w:color w:val="000000"/>
          <w:w w:val="85"/>
          <w:sz w:val="14"/>
          <w:szCs w:val="14"/>
          <w:lang w:val="es-ES_tradnl"/>
        </w:rPr>
        <w:t>Cuarta</w:t>
      </w:r>
      <w:r w:rsidRPr="00176477">
        <w:rPr>
          <w:rFonts w:ascii="Abadi" w:hAnsi="Abadi" w:cs="Arial"/>
          <w:color w:val="000000"/>
          <w:sz w:val="14"/>
          <w:szCs w:val="14"/>
          <w:lang w:val="es-ES_tradnl"/>
        </w:rPr>
        <w:t xml:space="preserve"> </w:t>
      </w:r>
      <w:r w:rsidRPr="00176477">
        <w:rPr>
          <w:rFonts w:ascii="Abadi" w:hAnsi="Abadi" w:cs="Arial"/>
          <w:color w:val="000000"/>
          <w:w w:val="85"/>
          <w:sz w:val="14"/>
          <w:szCs w:val="14"/>
          <w:lang w:val="es-ES_tradnl"/>
        </w:rPr>
        <w:t>Parte,</w:t>
      </w:r>
      <w:r w:rsidRPr="00176477">
        <w:rPr>
          <w:rFonts w:ascii="Abadi" w:hAnsi="Abadi" w:cs="Arial"/>
          <w:color w:val="000000"/>
          <w:spacing w:val="-5"/>
          <w:w w:val="85"/>
          <w:sz w:val="14"/>
          <w:szCs w:val="14"/>
          <w:lang w:val="es-ES_tradnl"/>
        </w:rPr>
        <w:t xml:space="preserve"> </w:t>
      </w:r>
      <w:r w:rsidRPr="00176477">
        <w:rPr>
          <w:rFonts w:ascii="Abadi" w:hAnsi="Abadi" w:cs="Arial"/>
          <w:color w:val="000000"/>
          <w:w w:val="85"/>
          <w:sz w:val="14"/>
          <w:szCs w:val="14"/>
          <w:lang w:val="es-ES_tradnl"/>
        </w:rPr>
        <w:t>de</w:t>
      </w:r>
      <w:r w:rsidRPr="00176477">
        <w:rPr>
          <w:rFonts w:ascii="Abadi" w:hAnsi="Abadi" w:cs="Arial"/>
          <w:color w:val="000000"/>
          <w:sz w:val="14"/>
          <w:szCs w:val="14"/>
          <w:lang w:val="es-ES_tradnl"/>
        </w:rPr>
        <w:t xml:space="preserve"> </w:t>
      </w:r>
      <w:r w:rsidRPr="00176477">
        <w:rPr>
          <w:rFonts w:ascii="Abadi" w:hAnsi="Abadi" w:cs="Arial"/>
          <w:color w:val="000000"/>
          <w:w w:val="85"/>
          <w:sz w:val="14"/>
          <w:szCs w:val="14"/>
          <w:lang w:val="es-ES_tradnl"/>
        </w:rPr>
        <w:t>fecha 1</w:t>
      </w:r>
      <w:r w:rsidRPr="00176477">
        <w:rPr>
          <w:rFonts w:ascii="Abadi" w:hAnsi="Abadi" w:cs="Arial"/>
          <w:color w:val="000000"/>
          <w:sz w:val="14"/>
          <w:szCs w:val="14"/>
          <w:lang w:val="es-ES_tradnl"/>
        </w:rPr>
        <w:t xml:space="preserve"> </w:t>
      </w:r>
      <w:r w:rsidRPr="00176477">
        <w:rPr>
          <w:rFonts w:ascii="Abadi" w:hAnsi="Abadi" w:cs="Arial"/>
          <w:color w:val="000000"/>
          <w:w w:val="85"/>
          <w:sz w:val="14"/>
          <w:szCs w:val="14"/>
          <w:lang w:val="es-ES_tradnl"/>
        </w:rPr>
        <w:t>de junio de 2007.</w:t>
      </w:r>
      <w:r w:rsidRPr="00176477">
        <w:rPr>
          <w:rFonts w:ascii="Abadi" w:hAnsi="Abadi" w:cs="Arial"/>
          <w:color w:val="000000"/>
          <w:spacing w:val="-20"/>
          <w:w w:val="85"/>
          <w:sz w:val="14"/>
          <w:szCs w:val="14"/>
          <w:lang w:val="es-ES_tradnl"/>
        </w:rPr>
        <w:t xml:space="preserve"> </w:t>
      </w:r>
      <w:r w:rsidRPr="00176477">
        <w:rPr>
          <w:rFonts w:ascii="Abadi" w:hAnsi="Abadi" w:cs="Arial"/>
          <w:color w:val="000000"/>
          <w:w w:val="85"/>
          <w:sz w:val="14"/>
          <w:szCs w:val="14"/>
          <w:lang w:val="es-ES_tradnl"/>
        </w:rPr>
        <w:t>Disponible para consulta en:</w:t>
      </w:r>
      <w:r w:rsidRPr="00176477">
        <w:rPr>
          <w:rFonts w:ascii="Abadi" w:hAnsi="Abadi" w:cs="Arial"/>
          <w:color w:val="000000"/>
          <w:spacing w:val="-17"/>
          <w:w w:val="85"/>
          <w:sz w:val="14"/>
          <w:szCs w:val="14"/>
          <w:lang w:val="es-ES_tradnl"/>
        </w:rPr>
        <w:t xml:space="preserve"> </w:t>
      </w:r>
      <w:hyperlink r:id="rId25">
        <w:r w:rsidRPr="00176477">
          <w:rPr>
            <w:rFonts w:ascii="Abadi" w:hAnsi="Abadi" w:cs="Arial"/>
            <w:color w:val="000000"/>
            <w:w w:val="85"/>
            <w:sz w:val="14"/>
            <w:szCs w:val="14"/>
            <w:u w:val="thick" w:color="897E8C"/>
            <w:lang w:val="es-ES_tradnl"/>
          </w:rPr>
          <w:t>http://periodico.guanajuato.qob.mx/downloadfile?dir=files mklrados&amp;file=200706011554150.PO 88</w:t>
        </w:r>
        <w:r w:rsidRPr="00176477">
          <w:rPr>
            <w:rFonts w:ascii="Abadi" w:hAnsi="Abadi" w:cs="Arial"/>
            <w:color w:val="000000"/>
            <w:spacing w:val="40"/>
            <w:sz w:val="14"/>
            <w:szCs w:val="14"/>
            <w:u w:val="thick" w:color="897E8C"/>
            <w:lang w:val="es-ES_tradnl"/>
          </w:rPr>
          <w:t xml:space="preserve"> </w:t>
        </w:r>
        <w:r w:rsidRPr="00176477">
          <w:rPr>
            <w:rFonts w:ascii="Abadi" w:hAnsi="Abadi" w:cs="Arial"/>
            <w:color w:val="000000"/>
            <w:w w:val="85"/>
            <w:sz w:val="14"/>
            <w:szCs w:val="14"/>
            <w:u w:val="thick" w:color="897E8C"/>
            <w:lang w:val="es-ES_tradnl"/>
          </w:rPr>
          <w:t>4la</w:t>
        </w:r>
        <w:r w:rsidRPr="00176477">
          <w:rPr>
            <w:rFonts w:ascii="Abadi" w:hAnsi="Abadi" w:cs="Arial"/>
            <w:color w:val="000000"/>
            <w:spacing w:val="38"/>
            <w:sz w:val="14"/>
            <w:szCs w:val="14"/>
            <w:u w:val="thick" w:color="897E8C"/>
            <w:lang w:val="es-ES_tradnl"/>
          </w:rPr>
          <w:t xml:space="preserve"> </w:t>
        </w:r>
        <w:r w:rsidRPr="00176477">
          <w:rPr>
            <w:rFonts w:ascii="Abadi" w:hAnsi="Abadi" w:cs="Arial"/>
            <w:color w:val="000000"/>
            <w:w w:val="85"/>
            <w:sz w:val="14"/>
            <w:szCs w:val="14"/>
            <w:u w:val="thick" w:color="897E8C"/>
            <w:lang w:val="es-ES_tradnl"/>
          </w:rPr>
          <w:t>Parte.pd</w:t>
        </w:r>
        <w:r w:rsidRPr="00176477">
          <w:rPr>
            <w:rFonts w:ascii="Abadi" w:hAnsi="Abadi" w:cs="Arial"/>
            <w:color w:val="000000"/>
            <w:w w:val="85"/>
            <w:sz w:val="14"/>
            <w:szCs w:val="14"/>
            <w:lang w:val="es-ES_tradnl"/>
          </w:rPr>
          <w:t>f</w:t>
        </w:r>
      </w:hyperlink>
      <w:r w:rsidRPr="00176477">
        <w:rPr>
          <w:rFonts w:ascii="Abadi" w:hAnsi="Abadi" w:cs="Arial"/>
          <w:color w:val="000000"/>
          <w:w w:val="85"/>
          <w:sz w:val="14"/>
          <w:szCs w:val="14"/>
          <w:lang w:val="es-ES_tradnl"/>
        </w:rPr>
        <w:t xml:space="preserve"> </w:t>
      </w:r>
    </w:p>
  </w:footnote>
  <w:footnote w:id="141">
    <w:p w14:paraId="2922CED4" w14:textId="77777777" w:rsidR="00E3434F" w:rsidRPr="00176477" w:rsidRDefault="00E3434F" w:rsidP="00E3434F">
      <w:pPr>
        <w:pStyle w:val="Textonotapie"/>
        <w:rPr>
          <w:rFonts w:ascii="Abadi" w:hAnsi="Abadi"/>
          <w:sz w:val="14"/>
          <w:szCs w:val="14"/>
        </w:rPr>
      </w:pPr>
      <w:r w:rsidRPr="00176477">
        <w:rPr>
          <w:rStyle w:val="Refdenotaalpie"/>
          <w:rFonts w:ascii="Abadi" w:hAnsi="Abadi"/>
          <w:sz w:val="14"/>
          <w:szCs w:val="14"/>
        </w:rPr>
        <w:footnoteRef/>
      </w:r>
      <w:r w:rsidRPr="00176477">
        <w:rPr>
          <w:rFonts w:ascii="Abadi" w:hAnsi="Abadi"/>
          <w:sz w:val="14"/>
          <w:szCs w:val="14"/>
        </w:rPr>
        <w:t xml:space="preserve"> </w:t>
      </w:r>
      <w:r w:rsidRPr="00176477">
        <w:rPr>
          <w:rFonts w:ascii="Abadi" w:hAnsi="Abadi" w:cs="Arial"/>
          <w:sz w:val="14"/>
          <w:szCs w:val="14"/>
          <w:lang w:val="es-ES_tradnl"/>
        </w:rPr>
        <w:t xml:space="preserve">Gobierno del Estado de Guanajuato. Página Web:  </w:t>
      </w:r>
      <w:hyperlink r:id="rId26" w:history="1">
        <w:r w:rsidRPr="00DB203B">
          <w:rPr>
            <w:rStyle w:val="Hipervnculo"/>
            <w:rFonts w:ascii="Abadi" w:hAnsi="Abadi" w:cs="Arial"/>
            <w:sz w:val="14"/>
            <w:szCs w:val="14"/>
            <w:lang w:val="es-ES_tradnl"/>
          </w:rPr>
          <w:t>https://boletines.guanajuato.gob.mx/2019/05/20/guanajuato-cuenta-con-la-red-desalud-mental-mas-grande-del-pais/</w:t>
        </w:r>
      </w:hyperlink>
      <w:r>
        <w:rPr>
          <w:rFonts w:ascii="Abadi" w:hAnsi="Abadi" w:cs="Arial"/>
          <w:sz w:val="14"/>
          <w:szCs w:val="14"/>
          <w:lang w:val="es-ES_tradnl"/>
        </w:rPr>
        <w:t xml:space="preserve"> </w:t>
      </w:r>
    </w:p>
  </w:footnote>
  <w:footnote w:id="142">
    <w:p w14:paraId="37656C63" w14:textId="77777777" w:rsidR="00E3434F" w:rsidRPr="00176477" w:rsidRDefault="00E3434F" w:rsidP="00E3434F">
      <w:pPr>
        <w:pStyle w:val="Textonotapie"/>
        <w:rPr>
          <w:rFonts w:ascii="Abadi" w:hAnsi="Abadi"/>
          <w:sz w:val="14"/>
          <w:szCs w:val="14"/>
        </w:rPr>
      </w:pPr>
      <w:r w:rsidRPr="00176477">
        <w:rPr>
          <w:rStyle w:val="Refdenotaalpie"/>
          <w:rFonts w:ascii="Abadi" w:hAnsi="Abadi"/>
          <w:sz w:val="14"/>
          <w:szCs w:val="14"/>
        </w:rPr>
        <w:footnoteRef/>
      </w:r>
      <w:r w:rsidRPr="00176477">
        <w:rPr>
          <w:rFonts w:ascii="Abadi" w:hAnsi="Abadi"/>
          <w:sz w:val="14"/>
          <w:szCs w:val="14"/>
        </w:rPr>
        <w:t xml:space="preserve"> </w:t>
      </w:r>
      <w:r w:rsidRPr="00176477">
        <w:rPr>
          <w:rFonts w:ascii="Abadi" w:hAnsi="Abadi" w:cs="Arial"/>
          <w:sz w:val="14"/>
          <w:szCs w:val="14"/>
          <w:lang w:val="es-ES_tradnl"/>
        </w:rPr>
        <w:t xml:space="preserve">Gobierno del Estado de Guanajuato. Página Web: </w:t>
      </w:r>
      <w:hyperlink r:id="rId27" w:history="1">
        <w:r w:rsidRPr="00176477">
          <w:rPr>
            <w:rStyle w:val="Hipervnculo"/>
            <w:rFonts w:ascii="Abadi" w:hAnsi="Abadi" w:cs="Arial"/>
            <w:sz w:val="14"/>
            <w:szCs w:val="14"/>
            <w:lang w:val="es-ES_tradnl"/>
          </w:rPr>
          <w:t>https://boletines.guanajuato.gob.mx/2019/04/25/ssg-mantiene-activos-46-redesmunicipales-de-prevencion-de-la-conducta-suicida/</w:t>
        </w:r>
      </w:hyperlink>
    </w:p>
  </w:footnote>
  <w:footnote w:id="143">
    <w:p w14:paraId="48FBF5D8" w14:textId="77777777" w:rsidR="00E3434F" w:rsidRPr="00166870" w:rsidRDefault="00E3434F" w:rsidP="00E3434F">
      <w:pPr>
        <w:pStyle w:val="Textonotapie"/>
        <w:rPr>
          <w:rFonts w:ascii="Abadi" w:hAnsi="Abadi"/>
          <w:sz w:val="14"/>
          <w:szCs w:val="14"/>
        </w:rPr>
      </w:pPr>
      <w:r w:rsidRPr="00166870">
        <w:rPr>
          <w:rStyle w:val="Refdenotaalpie"/>
          <w:rFonts w:ascii="Abadi" w:hAnsi="Abadi"/>
          <w:sz w:val="14"/>
          <w:szCs w:val="14"/>
        </w:rPr>
        <w:footnoteRef/>
      </w:r>
      <w:r w:rsidRPr="00166870">
        <w:rPr>
          <w:rFonts w:ascii="Abadi" w:hAnsi="Abadi"/>
          <w:sz w:val="14"/>
          <w:szCs w:val="14"/>
        </w:rPr>
        <w:t xml:space="preserve"> </w:t>
      </w:r>
      <w:r w:rsidRPr="00166870">
        <w:rPr>
          <w:rFonts w:ascii="Abadi" w:hAnsi="Abadi" w:cs="Arial"/>
          <w:sz w:val="14"/>
          <w:szCs w:val="14"/>
          <w:lang w:val="es-ES_tradnl"/>
        </w:rPr>
        <w:t xml:space="preserve">Gobierno del Estado de Guanajuato. Página Web: </w:t>
      </w:r>
      <w:hyperlink r:id="rId28" w:history="1">
        <w:r w:rsidRPr="00DB203B">
          <w:rPr>
            <w:rStyle w:val="Hipervnculo"/>
            <w:rFonts w:ascii="Abadi" w:hAnsi="Abadi" w:cs="Arial"/>
            <w:sz w:val="14"/>
            <w:szCs w:val="14"/>
            <w:lang w:val="es-ES_tradnl"/>
          </w:rPr>
          <w:t>https://boletines.guanajuato.gob.mx/2022/01/07/planet-youth-llega-con-fuerza-este-2022/</w:t>
        </w:r>
      </w:hyperlink>
      <w:r>
        <w:rPr>
          <w:rFonts w:ascii="Abadi" w:hAnsi="Abadi" w:cs="Arial"/>
          <w:sz w:val="14"/>
          <w:szCs w:val="14"/>
          <w:lang w:val="es-ES_tradnl"/>
        </w:rPr>
        <w:t xml:space="preserve"> </w:t>
      </w:r>
    </w:p>
  </w:footnote>
  <w:footnote w:id="144">
    <w:p w14:paraId="05133E2F" w14:textId="77777777" w:rsidR="00E3434F" w:rsidRPr="00817084" w:rsidRDefault="00E3434F" w:rsidP="00E3434F">
      <w:pPr>
        <w:tabs>
          <w:tab w:val="left" w:pos="8364"/>
        </w:tabs>
        <w:autoSpaceDE w:val="0"/>
        <w:autoSpaceDN w:val="0"/>
        <w:adjustRightInd w:val="0"/>
        <w:ind w:right="567"/>
        <w:jc w:val="both"/>
        <w:rPr>
          <w:rFonts w:ascii="Abadi" w:hAnsi="Abadi" w:cs="Arial"/>
          <w:sz w:val="14"/>
          <w:szCs w:val="14"/>
          <w:lang w:val="es-ES_tradnl"/>
        </w:rPr>
      </w:pPr>
      <w:r w:rsidRPr="00817084">
        <w:rPr>
          <w:rStyle w:val="Refdenotaalpie"/>
          <w:rFonts w:ascii="Abadi" w:hAnsi="Abadi"/>
          <w:sz w:val="14"/>
          <w:szCs w:val="14"/>
        </w:rPr>
        <w:footnoteRef/>
      </w:r>
      <w:r w:rsidRPr="00817084">
        <w:rPr>
          <w:rFonts w:ascii="Abadi" w:hAnsi="Abadi"/>
          <w:sz w:val="14"/>
          <w:szCs w:val="14"/>
        </w:rPr>
        <w:t xml:space="preserve"> </w:t>
      </w:r>
      <w:r w:rsidRPr="00817084">
        <w:rPr>
          <w:rFonts w:ascii="Abadi" w:eastAsia="Calibri" w:hAnsi="Abadi" w:cs="Arial"/>
          <w:sz w:val="14"/>
          <w:szCs w:val="14"/>
          <w:lang w:val="es-ES_tradnl" w:eastAsia="en-US"/>
        </w:rPr>
        <w:t xml:space="preserve">H. Congreso del Estado de Guanajuato. (21 de octubre de 2020). Ley de Salud del Estado de Guanajuato. 03 de junio de 2021, de H. Congreso del Estado de Guanajuato Sitio web: </w:t>
      </w:r>
      <w:hyperlink r:id="rId29" w:history="1">
        <w:r w:rsidRPr="00DB203B">
          <w:rPr>
            <w:rStyle w:val="Hipervnculo"/>
            <w:rFonts w:ascii="Abadi" w:eastAsia="Calibri" w:hAnsi="Abadi" w:cs="Arial"/>
            <w:sz w:val="14"/>
            <w:szCs w:val="14"/>
            <w:lang w:val="es-ES_tradnl" w:eastAsia="en-US"/>
          </w:rPr>
          <w:t>https://congresogto.s3.amazonaws.com/uploads/reforma/pdf/2178/20201021.pdf</w:t>
        </w:r>
      </w:hyperlink>
      <w:r>
        <w:rPr>
          <w:rFonts w:ascii="Abadi" w:eastAsia="Calibri" w:hAnsi="Abadi" w:cs="Arial"/>
          <w:sz w:val="14"/>
          <w:szCs w:val="14"/>
          <w:lang w:val="es-ES_tradnl" w:eastAsia="en-US"/>
        </w:rPr>
        <w:t xml:space="preserve"> </w:t>
      </w:r>
    </w:p>
    <w:p w14:paraId="4E4534F7" w14:textId="77777777" w:rsidR="00E3434F" w:rsidRDefault="00E3434F" w:rsidP="00E3434F">
      <w:pPr>
        <w:pStyle w:val="Textonotapie"/>
      </w:pPr>
    </w:p>
  </w:footnote>
  <w:footnote w:id="145">
    <w:p w14:paraId="500DC1CB" w14:textId="77777777" w:rsidR="00E3434F" w:rsidRPr="00817084" w:rsidRDefault="00E3434F" w:rsidP="00E3434F">
      <w:pPr>
        <w:autoSpaceDE w:val="0"/>
        <w:autoSpaceDN w:val="0"/>
        <w:adjustRightInd w:val="0"/>
        <w:ind w:left="851" w:firstLine="283"/>
        <w:rPr>
          <w:rFonts w:ascii="Abadi" w:hAnsi="Abadi" w:cs="Arial"/>
          <w:sz w:val="14"/>
          <w:szCs w:val="14"/>
          <w:lang w:val="es-ES_tradnl" w:eastAsia="es-ES_tradnl"/>
        </w:rPr>
      </w:pPr>
      <w:r w:rsidRPr="00817084">
        <w:rPr>
          <w:rStyle w:val="Refdenotaalpie"/>
          <w:rFonts w:ascii="Abadi" w:hAnsi="Abadi"/>
          <w:sz w:val="14"/>
          <w:szCs w:val="14"/>
        </w:rPr>
        <w:footnoteRef/>
      </w:r>
      <w:hyperlink r:id="rId30" w:history="1">
        <w:r w:rsidRPr="00DB203B">
          <w:rPr>
            <w:rStyle w:val="Hipervnculo"/>
            <w:rFonts w:ascii="Abadi" w:hAnsi="Abadi" w:cs="Arial"/>
            <w:sz w:val="14"/>
            <w:szCs w:val="14"/>
            <w:lang w:val="es-ES_tradnl" w:eastAsia="es-ES_tradnl"/>
          </w:rPr>
          <w:t>http://www.paho.org/mex/index.php?option=com_content&amp;view=article&amp;id=1246:dia-mundial-de-la-salud-</w:t>
        </w:r>
        <w:r w:rsidRPr="00DB203B">
          <w:rPr>
            <w:rStyle w:val="Hipervnculo"/>
            <w:rFonts w:ascii="Abadi" w:hAnsi="Abadi" w:cs="Arial"/>
            <w:sz w:val="14"/>
            <w:szCs w:val="14"/>
            <w:lang w:val="en-US" w:eastAsia="es-ES_tradnl"/>
          </w:rPr>
          <w:t>2017&amp;Itemid=597</w:t>
        </w:r>
      </w:hyperlink>
      <w:r>
        <w:rPr>
          <w:rFonts w:ascii="Abadi" w:hAnsi="Abadi" w:cs="Arial"/>
          <w:sz w:val="14"/>
          <w:szCs w:val="14"/>
          <w:lang w:val="en-US" w:eastAsia="es-ES_tradnl"/>
        </w:rPr>
        <w:t xml:space="preserve"> </w:t>
      </w:r>
    </w:p>
    <w:p w14:paraId="3AD06F53" w14:textId="77777777" w:rsidR="00E3434F" w:rsidRDefault="00E3434F" w:rsidP="00E3434F">
      <w:pPr>
        <w:pStyle w:val="Textonotapie"/>
      </w:pPr>
    </w:p>
  </w:footnote>
  <w:footnote w:id="146">
    <w:p w14:paraId="694B902D" w14:textId="77777777" w:rsidR="00E3434F" w:rsidRPr="00817084" w:rsidRDefault="00E3434F" w:rsidP="00E3434F">
      <w:pPr>
        <w:pStyle w:val="Textonotapie"/>
        <w:rPr>
          <w:rFonts w:ascii="Abadi" w:hAnsi="Abadi"/>
          <w:sz w:val="14"/>
          <w:szCs w:val="14"/>
        </w:rPr>
      </w:pPr>
      <w:r w:rsidRPr="00817084">
        <w:rPr>
          <w:rStyle w:val="Refdenotaalpie"/>
          <w:rFonts w:ascii="Abadi" w:hAnsi="Abadi"/>
          <w:sz w:val="14"/>
          <w:szCs w:val="14"/>
        </w:rPr>
        <w:footnoteRef/>
      </w:r>
      <w:r w:rsidRPr="00817084">
        <w:rPr>
          <w:rFonts w:ascii="Abadi" w:hAnsi="Abadi"/>
          <w:sz w:val="14"/>
          <w:szCs w:val="14"/>
        </w:rPr>
        <w:t xml:space="preserve"> </w:t>
      </w:r>
      <w:r w:rsidRPr="00817084">
        <w:rPr>
          <w:rFonts w:ascii="Abadi" w:hAnsi="Abadi"/>
          <w:b/>
          <w:bCs/>
          <w:sz w:val="14"/>
          <w:szCs w:val="14"/>
          <w:lang w:val="en-US" w:eastAsia="es-ES_tradnl"/>
        </w:rPr>
        <w:t xml:space="preserve"> </w:t>
      </w:r>
      <w:hyperlink r:id="rId31" w:history="1">
        <w:r w:rsidRPr="00817084">
          <w:rPr>
            <w:rStyle w:val="Hipervnculo"/>
            <w:rFonts w:ascii="Abadi" w:hAnsi="Abadi"/>
            <w:b/>
            <w:bCs/>
            <w:sz w:val="14"/>
            <w:szCs w:val="14"/>
            <w:lang w:val="en-US" w:eastAsia="es-ES_tradnl"/>
          </w:rPr>
          <w:t>http://www.who.int/mental_health/suicide-prevention/exe_summary_spanish.pdf</w:t>
        </w:r>
      </w:hyperlink>
      <w:r>
        <w:rPr>
          <w:rFonts w:ascii="Abadi" w:hAnsi="Abadi"/>
          <w:b/>
          <w:bCs/>
          <w:sz w:val="14"/>
          <w:szCs w:val="14"/>
          <w:lang w:val="en-US" w:eastAsia="es-ES_tradnl"/>
        </w:rPr>
        <w:t xml:space="preserve"> </w:t>
      </w:r>
    </w:p>
  </w:footnote>
  <w:footnote w:id="147">
    <w:p w14:paraId="12E70410" w14:textId="77777777" w:rsidR="00E3434F" w:rsidRPr="00817084" w:rsidRDefault="00E3434F" w:rsidP="00E3434F">
      <w:pPr>
        <w:pStyle w:val="Textonotapie"/>
        <w:rPr>
          <w:rFonts w:ascii="Abadi" w:hAnsi="Abadi"/>
          <w:sz w:val="14"/>
          <w:szCs w:val="14"/>
        </w:rPr>
      </w:pPr>
      <w:r w:rsidRPr="00817084">
        <w:rPr>
          <w:rStyle w:val="Refdenotaalpie"/>
          <w:rFonts w:ascii="Abadi" w:hAnsi="Abadi"/>
          <w:sz w:val="14"/>
          <w:szCs w:val="14"/>
        </w:rPr>
        <w:footnoteRef/>
      </w:r>
      <w:r w:rsidRPr="00817084">
        <w:rPr>
          <w:rFonts w:ascii="Abadi" w:hAnsi="Abadi"/>
          <w:sz w:val="14"/>
          <w:szCs w:val="14"/>
        </w:rPr>
        <w:t xml:space="preserve"> </w:t>
      </w:r>
      <w:r w:rsidRPr="00817084">
        <w:rPr>
          <w:rFonts w:ascii="Abadi" w:hAnsi="Abadi" w:cs="Arial"/>
          <w:sz w:val="14"/>
          <w:szCs w:val="14"/>
          <w:lang w:val="en-US" w:eastAsia="es-ES_tradnl"/>
        </w:rPr>
        <w:t xml:space="preserve">OECD (2014), Suicides, OECD Factbook 2014: Economic, Environmental and Social Statistics, OECD Publishing, </w:t>
      </w:r>
      <w:r w:rsidRPr="00817084">
        <w:rPr>
          <w:rFonts w:ascii="Abadi" w:hAnsi="Abadi"/>
          <w:sz w:val="14"/>
          <w:szCs w:val="14"/>
          <w:lang w:val="en-US" w:eastAsia="es-ES_tradnl"/>
        </w:rPr>
        <w:t xml:space="preserve">Paris, </w:t>
      </w:r>
      <w:hyperlink r:id="rId32" w:history="1">
        <w:r w:rsidRPr="00DB203B">
          <w:rPr>
            <w:rStyle w:val="Hipervnculo"/>
            <w:rFonts w:ascii="Abadi" w:hAnsi="Abadi"/>
            <w:sz w:val="14"/>
            <w:szCs w:val="14"/>
            <w:lang w:val="en-US" w:eastAsia="es-ES_tradnl"/>
          </w:rPr>
          <w:t>http://dx.doi.org/10.1787/factbook-2014-99-en</w:t>
        </w:r>
      </w:hyperlink>
      <w:r w:rsidRPr="00817084">
        <w:rPr>
          <w:rFonts w:ascii="Abadi" w:hAnsi="Abadi"/>
          <w:sz w:val="14"/>
          <w:szCs w:val="14"/>
          <w:lang w:val="en-US" w:eastAsia="es-ES_tradnl"/>
        </w:rPr>
        <w:t>,</w:t>
      </w:r>
      <w:r>
        <w:rPr>
          <w:rFonts w:ascii="Abadi" w:hAnsi="Abadi"/>
          <w:sz w:val="14"/>
          <w:szCs w:val="14"/>
          <w:lang w:val="en-US" w:eastAsia="es-ES_tradnl"/>
        </w:rPr>
        <w:t xml:space="preserve"> </w:t>
      </w:r>
      <w:r w:rsidRPr="00817084">
        <w:rPr>
          <w:rFonts w:ascii="Abadi" w:hAnsi="Abadi"/>
          <w:sz w:val="14"/>
          <w:szCs w:val="14"/>
          <w:lang w:val="en-US" w:eastAsia="es-ES_tradnl"/>
        </w:rPr>
        <w:t>18 de agosto de 2015</w:t>
      </w:r>
      <w:r>
        <w:rPr>
          <w:rFonts w:ascii="Abadi" w:hAnsi="Abadi"/>
          <w:sz w:val="14"/>
          <w:szCs w:val="14"/>
          <w:lang w:val="en-US" w:eastAsia="es-ES_tradnl"/>
        </w:rPr>
        <w:t xml:space="preserve"> </w:t>
      </w:r>
    </w:p>
  </w:footnote>
  <w:footnote w:id="148">
    <w:p w14:paraId="43939B00" w14:textId="77777777" w:rsidR="00E3434F" w:rsidRPr="00817084" w:rsidRDefault="00E3434F" w:rsidP="00E3434F">
      <w:pPr>
        <w:pStyle w:val="Textoindependiente"/>
        <w:spacing w:line="276" w:lineRule="auto"/>
        <w:ind w:right="567"/>
        <w:rPr>
          <w:rFonts w:ascii="Abadi" w:hAnsi="Abadi"/>
          <w:b w:val="0"/>
          <w:bCs w:val="0"/>
          <w:i/>
          <w:iCs/>
          <w:sz w:val="14"/>
          <w:szCs w:val="14"/>
          <w:lang w:val="en-US"/>
        </w:rPr>
      </w:pPr>
      <w:r w:rsidRPr="00817084">
        <w:rPr>
          <w:rStyle w:val="Refdenotaalpie"/>
          <w:rFonts w:ascii="Abadi" w:hAnsi="Abadi"/>
          <w:sz w:val="14"/>
          <w:szCs w:val="14"/>
        </w:rPr>
        <w:footnoteRef/>
      </w:r>
      <w:r w:rsidRPr="00817084">
        <w:rPr>
          <w:rFonts w:ascii="Abadi" w:hAnsi="Abadi"/>
          <w:sz w:val="14"/>
          <w:szCs w:val="14"/>
        </w:rPr>
        <w:t xml:space="preserve"> </w:t>
      </w:r>
      <w:r w:rsidRPr="00817084">
        <w:rPr>
          <w:rFonts w:ascii="Abadi" w:hAnsi="Abadi"/>
          <w:b w:val="0"/>
          <w:bCs w:val="0"/>
          <w:sz w:val="14"/>
          <w:szCs w:val="14"/>
          <w:lang w:val="en-US" w:eastAsia="es-ES_tradnl"/>
        </w:rPr>
        <w:t>http://www.inegi.org.mx/est/lista_cubos/consulta.aspx?p=adm&amp;c=4</w:t>
      </w:r>
    </w:p>
  </w:footnote>
  <w:footnote w:id="149">
    <w:p w14:paraId="10AE29E4" w14:textId="77777777" w:rsidR="00E3434F" w:rsidRPr="00817084" w:rsidRDefault="00E3434F" w:rsidP="00E3434F">
      <w:pPr>
        <w:pStyle w:val="Textonotapie"/>
        <w:rPr>
          <w:rFonts w:ascii="Abadi" w:hAnsi="Abadi"/>
          <w:sz w:val="14"/>
          <w:szCs w:val="14"/>
        </w:rPr>
      </w:pPr>
      <w:r w:rsidRPr="00817084">
        <w:rPr>
          <w:rStyle w:val="Refdenotaalpie"/>
          <w:rFonts w:ascii="Abadi" w:hAnsi="Abadi"/>
          <w:sz w:val="14"/>
          <w:szCs w:val="14"/>
        </w:rPr>
        <w:footnoteRef/>
      </w:r>
      <w:r w:rsidRPr="00817084">
        <w:rPr>
          <w:rFonts w:ascii="Abadi" w:hAnsi="Abadi"/>
          <w:sz w:val="14"/>
          <w:szCs w:val="14"/>
        </w:rPr>
        <w:t xml:space="preserve"> </w:t>
      </w:r>
      <w:r w:rsidRPr="00817084">
        <w:rPr>
          <w:rFonts w:ascii="Abadi" w:eastAsia="SimSun" w:hAnsi="Abadi" w:cs="Arial"/>
          <w:bCs/>
          <w:i/>
          <w:iCs/>
          <w:sz w:val="14"/>
          <w:szCs w:val="14"/>
          <w:lang w:val="es-ES_tradnl"/>
        </w:rPr>
        <w:t>Consultado en:</w:t>
      </w:r>
      <w:r w:rsidRPr="00817084">
        <w:rPr>
          <w:rFonts w:ascii="Abadi" w:eastAsia="SimSun" w:hAnsi="Abadi" w:cs="Arial"/>
          <w:bCs/>
          <w:i/>
          <w:iCs/>
          <w:sz w:val="14"/>
          <w:szCs w:val="14"/>
          <w:vertAlign w:val="superscript"/>
          <w:lang w:val="es-ES_tradnl"/>
        </w:rPr>
        <w:t xml:space="preserve">  </w:t>
      </w:r>
      <w:hyperlink r:id="rId33" w:history="1">
        <w:r w:rsidRPr="00817084">
          <w:rPr>
            <w:rStyle w:val="Hipervnculo"/>
            <w:rFonts w:ascii="Abadi" w:eastAsia="SimSun" w:hAnsi="Abadi" w:cs="Arial"/>
            <w:bCs/>
            <w:i/>
            <w:iCs/>
            <w:sz w:val="14"/>
            <w:szCs w:val="14"/>
            <w:lang w:val="es-ES_tradnl"/>
          </w:rPr>
          <w:t>https://www.who.int/es/news-room/fact-sheets/detail/mental-health-strengthening-our-response</w:t>
        </w:r>
      </w:hyperlink>
    </w:p>
  </w:footnote>
  <w:footnote w:id="150">
    <w:p w14:paraId="0A57F2FB" w14:textId="77777777" w:rsidR="00E3434F" w:rsidRPr="00DE2E59" w:rsidRDefault="00E3434F" w:rsidP="00E3434F">
      <w:pPr>
        <w:pStyle w:val="Textonotapie"/>
        <w:rPr>
          <w:rFonts w:ascii="Abadi" w:hAnsi="Abadi"/>
          <w:sz w:val="14"/>
          <w:szCs w:val="14"/>
        </w:rPr>
      </w:pPr>
      <w:r w:rsidRPr="00DE2E59">
        <w:rPr>
          <w:rStyle w:val="Refdenotaalpie"/>
          <w:rFonts w:ascii="Abadi" w:hAnsi="Abadi"/>
          <w:sz w:val="14"/>
          <w:szCs w:val="14"/>
        </w:rPr>
        <w:footnoteRef/>
      </w:r>
      <w:r w:rsidRPr="00DE2E59">
        <w:rPr>
          <w:rFonts w:ascii="Abadi" w:hAnsi="Abadi"/>
          <w:sz w:val="14"/>
          <w:szCs w:val="14"/>
        </w:rPr>
        <w:t xml:space="preserve"> </w:t>
      </w:r>
      <w:r w:rsidRPr="00DE2E59">
        <w:rPr>
          <w:rFonts w:ascii="Abadi" w:hAnsi="Abadi"/>
          <w:color w:val="2D2D2D"/>
          <w:w w:val="80"/>
          <w:sz w:val="14"/>
          <w:szCs w:val="14"/>
        </w:rPr>
        <w:t>Consultable</w:t>
      </w:r>
      <w:r w:rsidRPr="00DE2E59">
        <w:rPr>
          <w:rFonts w:ascii="Abadi" w:hAnsi="Abadi"/>
          <w:color w:val="2D2D2D"/>
          <w:spacing w:val="30"/>
          <w:sz w:val="14"/>
          <w:szCs w:val="14"/>
        </w:rPr>
        <w:t xml:space="preserve"> </w:t>
      </w:r>
      <w:r w:rsidRPr="00DE2E59">
        <w:rPr>
          <w:rFonts w:ascii="Abadi" w:hAnsi="Abadi"/>
          <w:color w:val="2D2D2D"/>
          <w:w w:val="80"/>
          <w:sz w:val="14"/>
          <w:szCs w:val="14"/>
        </w:rPr>
        <w:t>en:</w:t>
      </w:r>
      <w:r w:rsidRPr="00DE2E59">
        <w:rPr>
          <w:rFonts w:ascii="Abadi" w:hAnsi="Abadi"/>
          <w:color w:val="2D2D2D"/>
          <w:spacing w:val="4"/>
          <w:sz w:val="14"/>
          <w:szCs w:val="14"/>
        </w:rPr>
        <w:t xml:space="preserve"> </w:t>
      </w:r>
      <w:r w:rsidRPr="00DE2E59">
        <w:rPr>
          <w:rFonts w:ascii="Abadi" w:hAnsi="Abadi"/>
          <w:color w:val="2D2D2D"/>
          <w:spacing w:val="-2"/>
          <w:w w:val="80"/>
          <w:sz w:val="14"/>
          <w:szCs w:val="14"/>
        </w:rPr>
        <w:t>https://www2.scjn.gob.mx/ConsultaTematica/PaginasPub/DetallePub.aspx?AsuntolDc:138782</w:t>
      </w:r>
    </w:p>
  </w:footnote>
  <w:footnote w:id="151">
    <w:p w14:paraId="6B114FF0" w14:textId="77777777" w:rsidR="00E3434F" w:rsidRPr="0084441A" w:rsidRDefault="00E3434F" w:rsidP="00E3434F">
      <w:pPr>
        <w:spacing w:before="3" w:line="242" w:lineRule="auto"/>
        <w:ind w:right="413"/>
        <w:jc w:val="both"/>
        <w:rPr>
          <w:rFonts w:ascii="Abadi" w:eastAsia="Calibri" w:hAnsi="Abadi"/>
          <w:color w:val="2D2D2D"/>
          <w:w w:val="80"/>
          <w:sz w:val="14"/>
          <w:szCs w:val="14"/>
          <w:lang w:val="es-MX" w:eastAsia="en-US"/>
        </w:rPr>
      </w:pPr>
      <w:r w:rsidRPr="00DE2E59">
        <w:rPr>
          <w:rStyle w:val="Refdenotaalpie"/>
          <w:rFonts w:ascii="Abadi" w:hAnsi="Abadi"/>
          <w:sz w:val="14"/>
          <w:szCs w:val="14"/>
        </w:rPr>
        <w:footnoteRef/>
      </w:r>
      <w:r w:rsidRPr="00DE2E59">
        <w:rPr>
          <w:rFonts w:ascii="Abadi" w:hAnsi="Abadi"/>
          <w:sz w:val="14"/>
          <w:szCs w:val="14"/>
        </w:rPr>
        <w:t xml:space="preserve"> </w:t>
      </w:r>
      <w:r w:rsidRPr="0084441A">
        <w:rPr>
          <w:rFonts w:ascii="Abadi" w:eastAsia="Calibri" w:hAnsi="Abadi"/>
          <w:color w:val="2D2D2D"/>
          <w:w w:val="80"/>
          <w:sz w:val="14"/>
          <w:szCs w:val="14"/>
          <w:lang w:val="es-MX" w:eastAsia="en-US"/>
        </w:rPr>
        <w:t xml:space="preserve"> En concatenación con lo expuesto, es de señalar que por lo que atañe a tal tipo de robo cometido </w:t>
      </w:r>
      <w:r w:rsidRPr="0084441A">
        <w:rPr>
          <w:rFonts w:ascii="Abadi" w:eastAsia="Calibri" w:hAnsi="Abadi"/>
          <w:b/>
          <w:bCs/>
          <w:color w:val="2D2D2D"/>
          <w:w w:val="80"/>
          <w:sz w:val="14"/>
          <w:szCs w:val="14"/>
          <w:lang w:val="es-MX" w:eastAsia="en-US"/>
        </w:rPr>
        <w:t xml:space="preserve">en morada ajena o </w:t>
      </w:r>
      <w:r w:rsidRPr="0084441A">
        <w:rPr>
          <w:rFonts w:ascii="Abadi" w:eastAsia="Calibri" w:hAnsi="Abadi"/>
          <w:b/>
          <w:bCs/>
          <w:color w:val="2D2D2D"/>
          <w:w w:val="80"/>
          <w:sz w:val="14"/>
          <w:szCs w:val="14"/>
          <w:u w:val="single"/>
          <w:lang w:val="es-MX" w:eastAsia="en-US"/>
        </w:rPr>
        <w:t>en lugar cerrado</w:t>
      </w:r>
      <w:r w:rsidRPr="0084441A">
        <w:rPr>
          <w:rFonts w:ascii="Abadi" w:eastAsia="Calibri" w:hAnsi="Abadi"/>
          <w:color w:val="2D2D2D"/>
          <w:w w:val="80"/>
          <w:sz w:val="14"/>
          <w:szCs w:val="14"/>
          <w:lang w:val="es-MX" w:eastAsia="en-US"/>
        </w:rPr>
        <w:t>, éste, en su momento se estableció dentro del catálogo de delitos graves a que se refiere el articulo 11, fracción IX del Código Penal (con independencia de su cuantía}, ante la naturaleza e impacto de la conducta de referencia:</w:t>
      </w:r>
    </w:p>
    <w:p w14:paraId="12349257" w14:textId="77777777" w:rsidR="00E3434F" w:rsidRPr="0084441A" w:rsidRDefault="00E3434F" w:rsidP="00E3434F">
      <w:pPr>
        <w:spacing w:line="165" w:lineRule="exact"/>
        <w:ind w:left="407"/>
        <w:jc w:val="both"/>
        <w:rPr>
          <w:rFonts w:ascii="Abadi" w:eastAsia="Calibri" w:hAnsi="Abadi"/>
          <w:color w:val="2D2D2D"/>
          <w:w w:val="80"/>
          <w:sz w:val="14"/>
          <w:szCs w:val="14"/>
          <w:lang w:val="es-MX" w:eastAsia="en-US"/>
        </w:rPr>
      </w:pPr>
      <w:r w:rsidRPr="0084441A">
        <w:rPr>
          <w:rFonts w:ascii="Abadi" w:eastAsia="Calibri" w:hAnsi="Abadi"/>
          <w:color w:val="2D2D2D"/>
          <w:w w:val="80"/>
          <w:sz w:val="14"/>
          <w:szCs w:val="14"/>
          <w:lang w:val="es-MX" w:eastAsia="en-US"/>
        </w:rPr>
        <w:t>Artículo 11. Se consideran como delitos graves, para todos los efectos legales los siguientes:</w:t>
      </w:r>
    </w:p>
    <w:p w14:paraId="05DED9AB" w14:textId="77777777" w:rsidR="00E3434F" w:rsidRPr="0084441A" w:rsidRDefault="00E3434F" w:rsidP="00E3434F">
      <w:pPr>
        <w:spacing w:line="165" w:lineRule="exact"/>
        <w:ind w:left="407"/>
        <w:jc w:val="both"/>
        <w:rPr>
          <w:rFonts w:ascii="Abadi" w:eastAsia="Calibri" w:hAnsi="Abadi"/>
          <w:color w:val="2D2D2D"/>
          <w:w w:val="80"/>
          <w:sz w:val="14"/>
          <w:szCs w:val="14"/>
          <w:lang w:val="es-MX" w:eastAsia="en-US"/>
        </w:rPr>
      </w:pPr>
      <w:r w:rsidRPr="0084441A">
        <w:rPr>
          <w:rFonts w:ascii="Abadi" w:eastAsia="Calibri" w:hAnsi="Abadi"/>
          <w:color w:val="2D2D2D"/>
          <w:w w:val="80"/>
          <w:sz w:val="14"/>
          <w:szCs w:val="14"/>
          <w:lang w:val="es-MX" w:eastAsia="en-US"/>
        </w:rPr>
        <w:t>…</w:t>
      </w:r>
    </w:p>
    <w:p w14:paraId="5151223A" w14:textId="77777777" w:rsidR="00E3434F" w:rsidRPr="0084441A" w:rsidRDefault="00E3434F" w:rsidP="00E3434F">
      <w:pPr>
        <w:spacing w:line="206" w:lineRule="auto"/>
        <w:ind w:left="400" w:right="411" w:hanging="4"/>
        <w:jc w:val="both"/>
        <w:rPr>
          <w:rFonts w:ascii="Abadi" w:eastAsia="Calibri" w:hAnsi="Abadi"/>
          <w:color w:val="2D2D2D"/>
          <w:w w:val="80"/>
          <w:sz w:val="14"/>
          <w:szCs w:val="14"/>
          <w:lang w:val="es-MX" w:eastAsia="en-US"/>
        </w:rPr>
      </w:pPr>
      <w:r w:rsidRPr="0084441A">
        <w:rPr>
          <w:rFonts w:ascii="Abadi" w:eastAsia="Calibri" w:hAnsi="Abadi"/>
          <w:color w:val="2D2D2D"/>
          <w:w w:val="80"/>
          <w:sz w:val="14"/>
          <w:szCs w:val="14"/>
          <w:lang w:val="es-MX" w:eastAsia="en-US"/>
        </w:rPr>
        <w:t xml:space="preserve">IX. </w:t>
      </w:r>
      <w:r w:rsidRPr="0084441A">
        <w:rPr>
          <w:rFonts w:ascii="Abadi" w:eastAsia="Calibri" w:hAnsi="Abadi"/>
          <w:color w:val="2D2D2D"/>
          <w:w w:val="80"/>
          <w:sz w:val="14"/>
          <w:szCs w:val="14"/>
          <w:u w:val="single"/>
          <w:lang w:val="es-MX" w:eastAsia="en-US"/>
        </w:rPr>
        <w:t>Robo calificado previsto por el articulo 194</w:t>
      </w:r>
      <w:r w:rsidRPr="0084441A">
        <w:rPr>
          <w:rFonts w:ascii="Abadi" w:eastAsia="Calibri" w:hAnsi="Abadi"/>
          <w:color w:val="2D2D2D"/>
          <w:w w:val="80"/>
          <w:sz w:val="14"/>
          <w:szCs w:val="14"/>
          <w:lang w:val="es-MX" w:eastAsia="en-US"/>
        </w:rPr>
        <w:t xml:space="preserve"> en relación con la fracción V del artículo 191</w:t>
      </w:r>
      <w:r w:rsidRPr="0084441A">
        <w:rPr>
          <w:rFonts w:ascii="Abadi" w:eastAsia="Calibri" w:hAnsi="Abadi"/>
          <w:color w:val="2D2D2D"/>
          <w:w w:val="80"/>
          <w:sz w:val="14"/>
          <w:szCs w:val="14"/>
          <w:u w:val="single"/>
          <w:lang w:val="es-MX" w:eastAsia="en-US"/>
        </w:rPr>
        <w:t>; el previsto  por la fracciones I y  IV del artículo 194 , con independencia  de la cuantía del robo</w:t>
      </w:r>
      <w:r w:rsidRPr="0084441A">
        <w:rPr>
          <w:rFonts w:ascii="Abadi" w:eastAsia="Calibri" w:hAnsi="Abadi"/>
          <w:color w:val="2D2D2D"/>
          <w:w w:val="80"/>
          <w:sz w:val="14"/>
          <w:szCs w:val="14"/>
          <w:lang w:val="es-MX" w:eastAsia="en-US"/>
        </w:rPr>
        <w:t>; el robo previsto en los artículos 191-b, 194-a, 194-b y 194-c, con independencia de la cuantía; asi como el robo calificado en grado de tentativa previsto en el artículo 192, con relación al artículo 18.</w:t>
      </w:r>
    </w:p>
  </w:footnote>
  <w:footnote w:id="152">
    <w:p w14:paraId="309AF23F" w14:textId="77777777" w:rsidR="00E3434F" w:rsidRPr="0084441A" w:rsidRDefault="00E3434F" w:rsidP="00E3434F">
      <w:pPr>
        <w:spacing w:before="3" w:line="242" w:lineRule="auto"/>
        <w:ind w:right="413"/>
        <w:jc w:val="both"/>
        <w:rPr>
          <w:rFonts w:ascii="Abadi" w:eastAsia="Calibri" w:hAnsi="Abadi"/>
          <w:color w:val="2D2D2D"/>
          <w:w w:val="80"/>
          <w:sz w:val="14"/>
          <w:szCs w:val="14"/>
          <w:lang w:val="es-MX" w:eastAsia="en-US"/>
        </w:rPr>
      </w:pPr>
      <w:r w:rsidRPr="00DE2E59">
        <w:rPr>
          <w:rStyle w:val="Refdenotaalpie"/>
          <w:rFonts w:ascii="Abadi" w:hAnsi="Abadi"/>
          <w:sz w:val="14"/>
          <w:szCs w:val="14"/>
        </w:rPr>
        <w:footnoteRef/>
      </w:r>
      <w:r w:rsidRPr="00DE2E59">
        <w:rPr>
          <w:rFonts w:ascii="Abadi" w:hAnsi="Abadi"/>
          <w:sz w:val="14"/>
          <w:szCs w:val="14"/>
        </w:rPr>
        <w:t xml:space="preserve"> </w:t>
      </w:r>
      <w:r w:rsidRPr="0084441A">
        <w:rPr>
          <w:rFonts w:ascii="Abadi" w:eastAsia="Calibri" w:hAnsi="Abadi"/>
          <w:color w:val="2D2D2D"/>
          <w:w w:val="80"/>
          <w:sz w:val="14"/>
          <w:szCs w:val="14"/>
          <w:lang w:val="es-MX" w:eastAsia="en-US"/>
        </w:rPr>
        <w:t xml:space="preserve">Lo anterior inclusive a diversas circunstancias que ameritarían observaciones respecto a la Exposición de Motivos, toda vez que en la construcción de una figura tipica, preponderantemente, debe prevalecer la mayor claridad posible en cuanto a la descripción de la conducta especifica, particularmente, observando en su integración los aspectos tanto objetivos como subjetivos de la tipicidad, a fin de garantizar certeza sobre la acción que se pretende se investigue y sancione. Al respecto, en la parte expositiva de la Iniciativa, en la cual se señala expresamente la pretensión de sancionar como calificado </w:t>
      </w:r>
      <w:r w:rsidRPr="0084441A">
        <w:rPr>
          <w:rFonts w:ascii="Abadi" w:eastAsia="Calibri" w:hAnsi="Abadi"/>
          <w:i/>
          <w:iCs/>
          <w:color w:val="2D2D2D"/>
          <w:w w:val="80"/>
          <w:sz w:val="14"/>
          <w:szCs w:val="14"/>
          <w:lang w:val="es-MX" w:eastAsia="en-US"/>
        </w:rPr>
        <w:t xml:space="preserve">el robo cometido </w:t>
      </w:r>
      <w:r w:rsidRPr="0084441A">
        <w:rPr>
          <w:rFonts w:ascii="Abadi" w:eastAsia="Calibri" w:hAnsi="Abadi"/>
          <w:i/>
          <w:iCs/>
          <w:color w:val="2D2D2D"/>
          <w:w w:val="80"/>
          <w:sz w:val="14"/>
          <w:szCs w:val="14"/>
          <w:u w:val="single"/>
          <w:lang w:val="es-MX" w:eastAsia="en-US"/>
        </w:rPr>
        <w:t>en contra</w:t>
      </w:r>
      <w:r w:rsidRPr="0084441A">
        <w:rPr>
          <w:rFonts w:ascii="Abadi" w:eastAsia="Calibri" w:hAnsi="Abadi"/>
          <w:i/>
          <w:iCs/>
          <w:color w:val="2D2D2D"/>
          <w:w w:val="80"/>
          <w:sz w:val="14"/>
          <w:szCs w:val="14"/>
          <w:lang w:val="es-MX" w:eastAsia="en-US"/>
        </w:rPr>
        <w:t xml:space="preserve"> de las instituciones educativas</w:t>
      </w:r>
      <w:r w:rsidRPr="0084441A">
        <w:rPr>
          <w:rFonts w:ascii="Abadi" w:eastAsia="Calibri" w:hAnsi="Abadi"/>
          <w:color w:val="2D2D2D"/>
          <w:w w:val="80"/>
          <w:sz w:val="14"/>
          <w:szCs w:val="14"/>
          <w:lang w:val="es-MX" w:eastAsia="en-US"/>
        </w:rPr>
        <w:t>, en relación con la propuesta especifica proyectada en la adición de la fracción XIII del articulo 194, no presentaría en todo caso una relación armónica entre si, pues en el proyecto de decreto se advierte la pretensión de calificar el robo que se cometa dentro de las instituciones educativas, no en contra de tales instituciones, aspectos discordantes que generan incertidumbre respecto a la esencia de lo pretendido.</w:t>
      </w:r>
    </w:p>
    <w:p w14:paraId="434C394C" w14:textId="77777777" w:rsidR="00E3434F" w:rsidRPr="0084441A" w:rsidRDefault="00E3434F" w:rsidP="00E3434F">
      <w:pPr>
        <w:spacing w:before="3" w:line="242" w:lineRule="auto"/>
        <w:ind w:right="413"/>
        <w:jc w:val="both"/>
        <w:rPr>
          <w:rFonts w:ascii="Abadi" w:eastAsia="Calibri" w:hAnsi="Abadi"/>
          <w:color w:val="2D2D2D"/>
          <w:w w:val="80"/>
          <w:sz w:val="14"/>
          <w:szCs w:val="14"/>
          <w:lang w:val="es-MX" w:eastAsia="en-US"/>
        </w:rPr>
      </w:pPr>
      <w:r w:rsidRPr="0084441A">
        <w:rPr>
          <w:rFonts w:ascii="Abadi" w:eastAsia="Calibri" w:hAnsi="Abadi"/>
          <w:color w:val="2D2D2D"/>
          <w:w w:val="80"/>
          <w:sz w:val="14"/>
          <w:szCs w:val="14"/>
          <w:lang w:val="es-MX" w:eastAsia="en-US"/>
        </w:rPr>
        <w:t>Asimismo, de manera complementaria, por lo que respecta a la afirmación realizada en la parte expositiva de la Iniciativa, consistente en que en el Informe 2020 presentado por el Fiscal General del Estado, se señaló que durante ese periodo se iniciaron 1,238 carpetas de investigación por el delito de robo en las escuelas, la misma no corresponde con la estadística dispuesta y consultable en los Informes que al momento, en cumplimiento de nuestras obligaciones constitucionales y legales en tal cuestión, se han presentado ante ese Poder Legislativo.</w:t>
      </w:r>
    </w:p>
  </w:footnote>
  <w:footnote w:id="153">
    <w:p w14:paraId="5E3EED5A" w14:textId="77777777" w:rsidR="00E3434F" w:rsidRPr="00414232" w:rsidRDefault="00E3434F" w:rsidP="00E3434F">
      <w:pPr>
        <w:spacing w:before="111" w:line="230" w:lineRule="auto"/>
        <w:ind w:left="112" w:right="398" w:firstLine="9"/>
        <w:jc w:val="both"/>
        <w:rPr>
          <w:rFonts w:ascii="Abadi" w:eastAsia="Calibri" w:hAnsi="Abadi"/>
          <w:color w:val="2D2D2D"/>
          <w:w w:val="80"/>
          <w:sz w:val="16"/>
          <w:szCs w:val="16"/>
          <w:lang w:val="es-MX" w:eastAsia="en-US"/>
        </w:rPr>
      </w:pPr>
      <w:r w:rsidRPr="00414232">
        <w:rPr>
          <w:rStyle w:val="Refdenotaalpie"/>
          <w:rFonts w:ascii="Abadi" w:hAnsi="Abadi"/>
          <w:sz w:val="14"/>
          <w:szCs w:val="14"/>
        </w:rPr>
        <w:footnoteRef/>
      </w:r>
      <w:r w:rsidRPr="00414232">
        <w:rPr>
          <w:rFonts w:ascii="Abadi" w:hAnsi="Abadi"/>
          <w:sz w:val="14"/>
          <w:szCs w:val="14"/>
        </w:rPr>
        <w:t xml:space="preserve"> </w:t>
      </w:r>
      <w:r w:rsidRPr="00414232">
        <w:rPr>
          <w:rFonts w:ascii="Abadi" w:eastAsia="Calibri" w:hAnsi="Abadi"/>
          <w:color w:val="2D2D2D"/>
          <w:w w:val="80"/>
          <w:sz w:val="14"/>
          <w:szCs w:val="14"/>
          <w:lang w:val="es-MX" w:eastAsia="en-US"/>
        </w:rPr>
        <w:t xml:space="preserve">O bien, </w:t>
      </w:r>
      <w:r w:rsidRPr="00414232">
        <w:rPr>
          <w:rFonts w:ascii="Abadi" w:eastAsia="Calibri" w:hAnsi="Abadi"/>
          <w:color w:val="2D2D2D"/>
          <w:w w:val="80"/>
          <w:sz w:val="14"/>
          <w:szCs w:val="14"/>
          <w:u w:val="single"/>
          <w:lang w:val="es-MX" w:eastAsia="en-US"/>
        </w:rPr>
        <w:t>si lo que se pretendiera fuera enfocar la salvaguarda del servicio y bienes pertenecientes a Instituciones gubernamentales (por cuestión de interés público), habría que vislumbrar opciones alternas con la respectiva justificación</w:t>
      </w:r>
      <w:r w:rsidRPr="00414232">
        <w:rPr>
          <w:rFonts w:ascii="Abadi" w:eastAsia="Calibri" w:hAnsi="Abadi"/>
          <w:color w:val="2D2D2D"/>
          <w:w w:val="80"/>
          <w:sz w:val="14"/>
          <w:szCs w:val="14"/>
          <w:lang w:val="es-MX" w:eastAsia="en-US"/>
        </w:rPr>
        <w:t xml:space="preserve">, pues aun en ese escenario, no es recomendable incorporar supuestos casuísticos, sino en su caso, considerar las actuales hipótesis contenidas en las fracciones vigentes, y en el caso particular, por lo planteado por los iniciantes, de manera concreta las fracciones IV y VII, para eventualmente ajustar la segunda de las fracciones aludidas, para ampliar la cobertura actual de la misma respecto a la materia que abarca en protección de instancias públicas, pero sin acotar la modificación a instalaciones </w:t>
      </w:r>
      <w:r w:rsidRPr="00414232">
        <w:rPr>
          <w:rFonts w:ascii="Abadi" w:eastAsia="Calibri" w:hAnsi="Abadi"/>
          <w:color w:val="2D2D2D"/>
          <w:w w:val="80"/>
          <w:sz w:val="16"/>
          <w:szCs w:val="16"/>
          <w:lang w:val="es-MX" w:eastAsia="en-US"/>
        </w:rPr>
        <w:t>educativas, y sin generar incertidumbre en cuanto a la diversa fracción IV y sus alcances vigentes.</w:t>
      </w:r>
    </w:p>
  </w:footnote>
  <w:footnote w:id="154">
    <w:p w14:paraId="2F24803F" w14:textId="77777777" w:rsidR="00E3434F" w:rsidRPr="00414232" w:rsidRDefault="00E3434F" w:rsidP="00E3434F">
      <w:pPr>
        <w:pStyle w:val="Textonotapie"/>
        <w:rPr>
          <w:rFonts w:ascii="Abadi" w:hAnsi="Abadi"/>
          <w:sz w:val="16"/>
          <w:szCs w:val="16"/>
        </w:rPr>
      </w:pPr>
      <w:r w:rsidRPr="00414232">
        <w:rPr>
          <w:rStyle w:val="Refdenotaalpie"/>
          <w:rFonts w:ascii="Abadi" w:hAnsi="Abadi"/>
          <w:sz w:val="16"/>
          <w:szCs w:val="16"/>
        </w:rPr>
        <w:footnoteRef/>
      </w:r>
      <w:r w:rsidRPr="00414232">
        <w:rPr>
          <w:rFonts w:ascii="Abadi" w:hAnsi="Abadi"/>
          <w:sz w:val="16"/>
          <w:szCs w:val="16"/>
        </w:rPr>
        <w:t xml:space="preserve"> JIMÉNEZ MARTÍNEZ, J. (2005), </w:t>
      </w:r>
      <w:r w:rsidRPr="00414232">
        <w:rPr>
          <w:rFonts w:ascii="Abadi" w:hAnsi="Abadi"/>
          <w:i/>
          <w:iCs/>
          <w:sz w:val="16"/>
          <w:szCs w:val="16"/>
        </w:rPr>
        <w:t xml:space="preserve">Manual de derecho penal mexicano </w:t>
      </w:r>
      <w:r w:rsidRPr="00414232">
        <w:rPr>
          <w:rFonts w:ascii="Abadi" w:hAnsi="Abadi"/>
          <w:sz w:val="16"/>
          <w:szCs w:val="16"/>
        </w:rPr>
        <w:t xml:space="preserve">Edición propia, México, p. 391.  </w:t>
      </w:r>
    </w:p>
  </w:footnote>
  <w:footnote w:id="155">
    <w:p w14:paraId="2658AF9B" w14:textId="77777777" w:rsidR="00E3434F" w:rsidRPr="00414232" w:rsidRDefault="00E3434F" w:rsidP="00E3434F">
      <w:pPr>
        <w:pStyle w:val="Textonotapie"/>
        <w:rPr>
          <w:rFonts w:ascii="Abadi" w:hAnsi="Abadi"/>
          <w:sz w:val="16"/>
          <w:szCs w:val="16"/>
        </w:rPr>
      </w:pPr>
      <w:r w:rsidRPr="00414232">
        <w:rPr>
          <w:rStyle w:val="Refdenotaalpie"/>
          <w:rFonts w:ascii="Abadi" w:hAnsi="Abadi"/>
          <w:sz w:val="16"/>
          <w:szCs w:val="16"/>
        </w:rPr>
        <w:footnoteRef/>
      </w:r>
      <w:r w:rsidRPr="00414232">
        <w:rPr>
          <w:rFonts w:ascii="Abadi" w:hAnsi="Abadi"/>
          <w:sz w:val="16"/>
          <w:szCs w:val="16"/>
        </w:rPr>
        <w:t xml:space="preserve"> Semanario judicial de la Federación, Sexta Época, Primera Sala, Tomo XV, Segunda Parte, p. 68; Registro IUS 263607  </w:t>
      </w:r>
    </w:p>
  </w:footnote>
  <w:footnote w:id="156">
    <w:p w14:paraId="3355820F" w14:textId="77777777" w:rsidR="00E3434F" w:rsidRPr="00414232" w:rsidRDefault="00E3434F" w:rsidP="00E3434F">
      <w:pPr>
        <w:pStyle w:val="Textonotapie"/>
        <w:rPr>
          <w:rFonts w:ascii="Abadi" w:hAnsi="Abadi"/>
          <w:sz w:val="16"/>
          <w:szCs w:val="16"/>
        </w:rPr>
      </w:pPr>
      <w:r w:rsidRPr="00414232">
        <w:rPr>
          <w:rStyle w:val="Refdenotaalpie"/>
          <w:rFonts w:ascii="Abadi" w:hAnsi="Abadi"/>
          <w:sz w:val="16"/>
          <w:szCs w:val="16"/>
        </w:rPr>
        <w:footnoteRef/>
      </w:r>
      <w:r w:rsidRPr="00414232">
        <w:rPr>
          <w:rFonts w:ascii="Abadi" w:hAnsi="Abadi"/>
          <w:sz w:val="16"/>
          <w:szCs w:val="16"/>
        </w:rPr>
        <w:t xml:space="preserve"> Semanario Judicial de la Federación, TCC, Octava Época, Tomo XIV, julio de 1994, p. 531; Registro IUS 211321  </w:t>
      </w:r>
    </w:p>
  </w:footnote>
  <w:footnote w:id="157">
    <w:p w14:paraId="726B4E7D" w14:textId="77777777" w:rsidR="00E3434F" w:rsidRPr="00414232" w:rsidRDefault="00E3434F" w:rsidP="00E3434F">
      <w:pPr>
        <w:pStyle w:val="Textonotapie"/>
        <w:rPr>
          <w:rFonts w:ascii="Abadi" w:hAnsi="Abadi"/>
          <w:sz w:val="14"/>
          <w:szCs w:val="14"/>
        </w:rPr>
      </w:pPr>
      <w:r w:rsidRPr="00414232">
        <w:rPr>
          <w:rStyle w:val="Refdenotaalpie"/>
          <w:rFonts w:ascii="Abadi" w:hAnsi="Abadi"/>
          <w:sz w:val="16"/>
          <w:szCs w:val="16"/>
        </w:rPr>
        <w:footnoteRef/>
      </w:r>
      <w:r w:rsidRPr="00414232">
        <w:rPr>
          <w:rFonts w:ascii="Abadi" w:hAnsi="Abadi"/>
          <w:sz w:val="16"/>
          <w:szCs w:val="16"/>
        </w:rPr>
        <w:t xml:space="preserve"> Semanario Judicial de la Federación, TCC, Octava Época, Tomo XIV, julio de 1994, p.480; Registro IUS 211201 </w:t>
      </w:r>
      <w:r w:rsidRPr="00414232">
        <w:rPr>
          <w:rFonts w:ascii="Abadi" w:hAnsi="Abadi"/>
          <w:sz w:val="14"/>
          <w:szCs w:val="14"/>
        </w:rPr>
        <w:t xml:space="preserve"> </w:t>
      </w:r>
    </w:p>
  </w:footnote>
  <w:footnote w:id="158">
    <w:p w14:paraId="19AF17D6" w14:textId="77777777" w:rsidR="00E3434F" w:rsidRPr="005C67D5" w:rsidRDefault="00E3434F" w:rsidP="00E3434F">
      <w:pPr>
        <w:pStyle w:val="Textonotapie"/>
        <w:rPr>
          <w:rFonts w:ascii="Abadi" w:hAnsi="Abadi"/>
          <w:sz w:val="14"/>
          <w:szCs w:val="14"/>
        </w:rPr>
      </w:pPr>
      <w:r w:rsidRPr="005C67D5">
        <w:rPr>
          <w:rStyle w:val="Refdenotaalpie"/>
          <w:rFonts w:ascii="Abadi" w:hAnsi="Abadi"/>
          <w:sz w:val="14"/>
          <w:szCs w:val="14"/>
        </w:rPr>
        <w:footnoteRef/>
      </w:r>
      <w:r w:rsidRPr="005C67D5">
        <w:rPr>
          <w:rFonts w:ascii="Abadi" w:hAnsi="Abadi"/>
          <w:sz w:val="14"/>
          <w:szCs w:val="14"/>
        </w:rPr>
        <w:t xml:space="preserve"> Semanario Judicial de la Federación, TCC, Séptima Época, Volumen 187-192, Sexta Parte, p.21, Registro IUS 248810.  </w:t>
      </w:r>
    </w:p>
  </w:footnote>
  <w:footnote w:id="159">
    <w:p w14:paraId="6D321B1F" w14:textId="77777777" w:rsidR="00E3434F" w:rsidRDefault="00E3434F" w:rsidP="00E3434F">
      <w:pPr>
        <w:pStyle w:val="Textonotapie"/>
      </w:pPr>
      <w:r w:rsidRPr="005C67D5">
        <w:rPr>
          <w:rStyle w:val="Refdenotaalpie"/>
          <w:rFonts w:ascii="Abadi" w:hAnsi="Abadi"/>
          <w:sz w:val="14"/>
          <w:szCs w:val="14"/>
        </w:rPr>
        <w:footnoteRef/>
      </w:r>
      <w:r w:rsidRPr="005C67D5">
        <w:rPr>
          <w:rFonts w:ascii="Abadi" w:hAnsi="Abadi"/>
          <w:sz w:val="14"/>
          <w:szCs w:val="14"/>
        </w:rPr>
        <w:t xml:space="preserve"> Publicado en la Segunda Parte del Periódico Oficial del Estado de Guanajuato, el viernes 2 de noviembre de 2001.</w:t>
      </w:r>
      <w:r>
        <w:rPr>
          <w:sz w:val="18"/>
          <w:szCs w:val="18"/>
        </w:rPr>
        <w:t xml:space="preserve"> </w:t>
      </w:r>
      <w:r>
        <w:t xml:space="preserve"> </w:t>
      </w:r>
    </w:p>
  </w:footnote>
  <w:footnote w:id="160">
    <w:p w14:paraId="36475ED0" w14:textId="77777777" w:rsidR="00E3434F" w:rsidRPr="005057DC" w:rsidRDefault="00E3434F" w:rsidP="00E3434F">
      <w:pPr>
        <w:pStyle w:val="Textonotapie"/>
        <w:rPr>
          <w:rFonts w:ascii="Abadi" w:hAnsi="Abadi"/>
          <w:sz w:val="12"/>
          <w:szCs w:val="12"/>
        </w:rPr>
      </w:pPr>
      <w:r w:rsidRPr="005057DC">
        <w:rPr>
          <w:rStyle w:val="Refdenotaalpie"/>
          <w:rFonts w:ascii="Abadi" w:hAnsi="Abadi"/>
          <w:sz w:val="12"/>
          <w:szCs w:val="12"/>
        </w:rPr>
        <w:footnoteRef/>
      </w:r>
      <w:r w:rsidRPr="005057DC">
        <w:rPr>
          <w:rFonts w:ascii="Abadi" w:hAnsi="Abadi"/>
          <w:sz w:val="12"/>
          <w:szCs w:val="12"/>
        </w:rPr>
        <w:t xml:space="preserve"> Tesis Aislada, Séptima Época, Primera Sala, publicada en el Semanario Judicial de la Federación. Volumen 74, Segunda Parte, página 35; registro 235650  </w:t>
      </w:r>
    </w:p>
  </w:footnote>
  <w:footnote w:id="161">
    <w:p w14:paraId="6B0D106D" w14:textId="77777777" w:rsidR="00E3434F" w:rsidRPr="005057DC" w:rsidRDefault="00E3434F" w:rsidP="00E3434F">
      <w:pPr>
        <w:pStyle w:val="Textonotapie"/>
        <w:rPr>
          <w:rFonts w:ascii="Abadi" w:hAnsi="Abadi"/>
          <w:sz w:val="12"/>
          <w:szCs w:val="12"/>
        </w:rPr>
      </w:pPr>
      <w:r w:rsidRPr="005057DC">
        <w:rPr>
          <w:rStyle w:val="Refdenotaalpie"/>
          <w:rFonts w:ascii="Abadi" w:hAnsi="Abadi"/>
          <w:sz w:val="12"/>
          <w:szCs w:val="12"/>
        </w:rPr>
        <w:footnoteRef/>
      </w:r>
      <w:r w:rsidRPr="005057DC">
        <w:rPr>
          <w:rFonts w:ascii="Abadi" w:hAnsi="Abadi"/>
          <w:sz w:val="12"/>
          <w:szCs w:val="12"/>
        </w:rPr>
        <w:t xml:space="preserve"> Tesis Aislada, Quinta Época, Primera Sala, publicada en el Semanario Judicial de la Federación. Tomo CXIX; registro 23 296258  </w:t>
      </w:r>
    </w:p>
  </w:footnote>
  <w:footnote w:id="162">
    <w:p w14:paraId="71392B65" w14:textId="77777777" w:rsidR="00E3434F" w:rsidRPr="00CA68B3" w:rsidRDefault="00E3434F" w:rsidP="00E3434F">
      <w:pPr>
        <w:pStyle w:val="Textonotapie"/>
        <w:rPr>
          <w:rFonts w:ascii="Abadi" w:hAnsi="Abadi"/>
        </w:rPr>
      </w:pPr>
      <w:r w:rsidRPr="00CA68B3">
        <w:rPr>
          <w:rStyle w:val="Refdenotaalpie"/>
          <w:rFonts w:ascii="Abadi" w:hAnsi="Abadi"/>
          <w:sz w:val="14"/>
          <w:szCs w:val="14"/>
        </w:rPr>
        <w:footnoteRef/>
      </w:r>
      <w:r w:rsidRPr="00CA68B3">
        <w:rPr>
          <w:rFonts w:ascii="Abadi" w:hAnsi="Abadi"/>
          <w:sz w:val="14"/>
          <w:szCs w:val="14"/>
        </w:rPr>
        <w:t xml:space="preserve"> </w:t>
      </w:r>
      <w:hyperlink r:id="rId34" w:history="1">
        <w:r w:rsidRPr="00CA68B3">
          <w:rPr>
            <w:rStyle w:val="Hipervnculo"/>
            <w:rFonts w:ascii="Abadi" w:hAnsi="Abadi"/>
            <w:sz w:val="14"/>
            <w:szCs w:val="14"/>
          </w:rPr>
          <w:t>DT_Dictamen_reforma_LDNNyA_PAN.pdf (congresogto.s3.amazonaws.com)</w:t>
        </w:r>
      </w:hyperlink>
    </w:p>
  </w:footnote>
  <w:footnote w:id="163">
    <w:p w14:paraId="3942B35C" w14:textId="77777777" w:rsidR="00E3434F" w:rsidRPr="00CA68B3" w:rsidRDefault="00E3434F" w:rsidP="00E3434F">
      <w:pPr>
        <w:pStyle w:val="Textonotapie"/>
        <w:rPr>
          <w:rFonts w:ascii="Abadi" w:hAnsi="Abadi"/>
          <w:sz w:val="14"/>
          <w:szCs w:val="14"/>
        </w:rPr>
      </w:pPr>
      <w:r w:rsidRPr="00CA68B3">
        <w:rPr>
          <w:rStyle w:val="Refdenotaalpie"/>
          <w:rFonts w:ascii="Abadi" w:hAnsi="Abadi"/>
          <w:sz w:val="14"/>
          <w:szCs w:val="14"/>
        </w:rPr>
        <w:footnoteRef/>
      </w:r>
      <w:r w:rsidRPr="00CA68B3">
        <w:rPr>
          <w:rFonts w:ascii="Abadi" w:hAnsi="Abadi"/>
          <w:sz w:val="14"/>
          <w:szCs w:val="14"/>
        </w:rPr>
        <w:t xml:space="preserve"> </w:t>
      </w:r>
      <w:hyperlink r:id="rId35" w:history="1">
        <w:r w:rsidRPr="00CA68B3">
          <w:rPr>
            <w:rStyle w:val="Hipervnculo"/>
            <w:rFonts w:ascii="Abadi" w:hAnsi="Abadi"/>
            <w:sz w:val="14"/>
            <w:szCs w:val="14"/>
          </w:rPr>
          <w:t>PO_67_2da_Parte_20220405_Decreto_Legislativo_66.pdf (congresogto.s3.amazonaws.com)</w:t>
        </w:r>
      </w:hyperlink>
    </w:p>
  </w:footnote>
  <w:footnote w:id="164">
    <w:p w14:paraId="4EE79907" w14:textId="77777777" w:rsidR="00E3434F" w:rsidRPr="00CA68B3" w:rsidRDefault="00E3434F" w:rsidP="00E3434F">
      <w:pPr>
        <w:pStyle w:val="Textonotapie"/>
        <w:rPr>
          <w:rFonts w:ascii="Abadi" w:hAnsi="Abadi"/>
          <w:sz w:val="14"/>
          <w:szCs w:val="14"/>
        </w:rPr>
      </w:pPr>
      <w:r w:rsidRPr="00CA68B3">
        <w:rPr>
          <w:rStyle w:val="Refdenotaalpie"/>
          <w:rFonts w:ascii="Abadi" w:hAnsi="Abadi"/>
          <w:sz w:val="14"/>
          <w:szCs w:val="14"/>
        </w:rPr>
        <w:footnoteRef/>
      </w:r>
      <w:r w:rsidRPr="00CA68B3">
        <w:rPr>
          <w:rFonts w:ascii="Abadi" w:hAnsi="Abadi"/>
          <w:sz w:val="14"/>
          <w:szCs w:val="14"/>
        </w:rPr>
        <w:t xml:space="preserve"> </w:t>
      </w:r>
      <w:hyperlink r:id="rId36" w:history="1">
        <w:r w:rsidRPr="00CA68B3">
          <w:rPr>
            <w:rStyle w:val="Hipervnculo"/>
            <w:rFonts w:ascii="Abadi" w:hAnsi="Abadi"/>
            <w:sz w:val="14"/>
            <w:szCs w:val="14"/>
          </w:rPr>
          <w:t>LDNNYAEG (congresogto.s3.amazonaws.com)</w:t>
        </w:r>
      </w:hyperlink>
    </w:p>
  </w:footnote>
  <w:footnote w:id="165">
    <w:p w14:paraId="25E67BC2" w14:textId="77777777" w:rsidR="00E3434F" w:rsidRPr="00CA68B3" w:rsidRDefault="00E3434F" w:rsidP="00E3434F">
      <w:pPr>
        <w:pStyle w:val="Textonotapie"/>
        <w:rPr>
          <w:rFonts w:ascii="Abadi" w:hAnsi="Abadi"/>
          <w:sz w:val="14"/>
          <w:szCs w:val="14"/>
        </w:rPr>
      </w:pPr>
      <w:r w:rsidRPr="00CA68B3">
        <w:rPr>
          <w:rStyle w:val="Refdenotaalpie"/>
          <w:rFonts w:ascii="Abadi" w:hAnsi="Abadi"/>
          <w:sz w:val="14"/>
          <w:szCs w:val="14"/>
        </w:rPr>
        <w:footnoteRef/>
      </w:r>
      <w:r w:rsidRPr="00CA68B3">
        <w:rPr>
          <w:rFonts w:ascii="Abadi" w:hAnsi="Abadi"/>
          <w:sz w:val="14"/>
          <w:szCs w:val="14"/>
        </w:rPr>
        <w:t xml:space="preserve"> </w:t>
      </w:r>
      <w:hyperlink r:id="rId37" w:history="1">
        <w:r w:rsidRPr="00CA68B3">
          <w:rPr>
            <w:rStyle w:val="Hipervnculo"/>
            <w:rFonts w:ascii="Abadi" w:hAnsi="Abadi"/>
            <w:sz w:val="14"/>
            <w:szCs w:val="14"/>
          </w:rPr>
          <w:t>https://www.congresogto.gob.mx/ordenes/2624</w:t>
        </w:r>
      </w:hyperlink>
      <w:r w:rsidRPr="00CA68B3">
        <w:rPr>
          <w:rFonts w:ascii="Abadi" w:hAnsi="Abadi"/>
          <w:sz w:val="14"/>
          <w:szCs w:val="14"/>
        </w:rPr>
        <w:t xml:space="preserve"> </w:t>
      </w:r>
    </w:p>
  </w:footnote>
  <w:footnote w:id="166">
    <w:p w14:paraId="16268FA1" w14:textId="77777777" w:rsidR="00E3434F" w:rsidRDefault="00E3434F" w:rsidP="00E3434F">
      <w:pPr>
        <w:pStyle w:val="Textonotapie"/>
      </w:pPr>
      <w:r w:rsidRPr="00CA68B3">
        <w:rPr>
          <w:rStyle w:val="Refdenotaalpie"/>
          <w:rFonts w:ascii="Abadi" w:hAnsi="Abadi"/>
          <w:sz w:val="14"/>
          <w:szCs w:val="14"/>
        </w:rPr>
        <w:footnoteRef/>
      </w:r>
      <w:r w:rsidRPr="00CA68B3">
        <w:rPr>
          <w:rFonts w:ascii="Abadi" w:hAnsi="Abadi"/>
          <w:sz w:val="14"/>
          <w:szCs w:val="14"/>
        </w:rPr>
        <w:t xml:space="preserve"> </w:t>
      </w:r>
      <w:hyperlink r:id="rId38" w:history="1">
        <w:r w:rsidRPr="00CA68B3">
          <w:rPr>
            <w:rStyle w:val="Hipervnculo"/>
            <w:rFonts w:ascii="Abadi" w:hAnsi="Abadi"/>
            <w:sz w:val="14"/>
            <w:szCs w:val="14"/>
          </w:rPr>
          <w:t>PO_46_2da_Parte_20220307.pdf (congresogto.s3.amazonaws.com)</w:t>
        </w:r>
      </w:hyperlink>
      <w:r w:rsidRPr="00CA68B3">
        <w:rPr>
          <w:sz w:val="14"/>
          <w:szCs w:val="14"/>
        </w:rPr>
        <w:t xml:space="preserve"> </w:t>
      </w:r>
    </w:p>
  </w:footnote>
  <w:footnote w:id="167">
    <w:p w14:paraId="6060D845" w14:textId="77777777" w:rsidR="00E3434F" w:rsidRPr="00CA68B3" w:rsidRDefault="00E3434F" w:rsidP="00E3434F">
      <w:pPr>
        <w:pStyle w:val="Textonotapie"/>
        <w:rPr>
          <w:rFonts w:ascii="Abadi" w:hAnsi="Abadi"/>
        </w:rPr>
      </w:pPr>
      <w:r w:rsidRPr="00CA68B3">
        <w:rPr>
          <w:rStyle w:val="Refdenotaalpie"/>
          <w:rFonts w:ascii="Abadi" w:hAnsi="Abadi"/>
          <w:sz w:val="14"/>
          <w:szCs w:val="14"/>
        </w:rPr>
        <w:footnoteRef/>
      </w:r>
      <w:r w:rsidRPr="00CA68B3">
        <w:rPr>
          <w:rFonts w:ascii="Abadi" w:hAnsi="Abadi"/>
          <w:sz w:val="14"/>
          <w:szCs w:val="14"/>
        </w:rPr>
        <w:t xml:space="preserve"> </w:t>
      </w:r>
      <w:hyperlink r:id="rId39" w:history="1">
        <w:r w:rsidRPr="00CA68B3">
          <w:rPr>
            <w:rStyle w:val="Hipervnculo"/>
            <w:rFonts w:ascii="Abadi" w:hAnsi="Abadi"/>
            <w:sz w:val="14"/>
            <w:szCs w:val="14"/>
          </w:rPr>
          <w:t>Reforma Ley Orgánica (congresogto.s3.amazonaws.com)</w:t>
        </w:r>
      </w:hyperlink>
      <w:r w:rsidRPr="00CA68B3">
        <w:rPr>
          <w:rFonts w:ascii="Abadi" w:hAnsi="Abadi"/>
          <w:sz w:val="14"/>
          <w:szCs w:val="14"/>
        </w:rPr>
        <w:t xml:space="preserve"> </w:t>
      </w:r>
    </w:p>
  </w:footnote>
  <w:footnote w:id="168">
    <w:p w14:paraId="5C7B4C4E" w14:textId="51EEF2E4" w:rsidR="000218BD" w:rsidRPr="002B20F5" w:rsidRDefault="000218BD" w:rsidP="000218BD">
      <w:pPr>
        <w:pStyle w:val="Textonotapie"/>
        <w:rPr>
          <w:sz w:val="12"/>
          <w:szCs w:val="12"/>
        </w:rPr>
      </w:pPr>
      <w:r w:rsidRPr="002B20F5">
        <w:rPr>
          <w:rStyle w:val="Refdenotaalpie"/>
          <w:sz w:val="12"/>
          <w:szCs w:val="12"/>
        </w:rPr>
        <w:footnoteRef/>
      </w:r>
      <w:r w:rsidRPr="002B20F5">
        <w:rPr>
          <w:sz w:val="12"/>
          <w:szCs w:val="12"/>
        </w:rPr>
        <w:t xml:space="preserve"> (Duración</w:t>
      </w:r>
      <w:r>
        <w:rPr>
          <w:sz w:val="12"/>
          <w:szCs w:val="12"/>
        </w:rPr>
        <w:t xml:space="preserve"> de la sesión</w:t>
      </w:r>
      <w:r w:rsidRPr="002B20F5">
        <w:rPr>
          <w:sz w:val="12"/>
          <w:szCs w:val="12"/>
        </w:rPr>
        <w:t>)</w:t>
      </w:r>
      <w:r w:rsidR="00A01ABD">
        <w:rPr>
          <w:sz w:val="12"/>
          <w:szCs w:val="12"/>
        </w:rPr>
        <w:t xml:space="preserve"> tres horas con </w:t>
      </w:r>
      <w:r w:rsidR="001D47CF">
        <w:rPr>
          <w:sz w:val="12"/>
          <w:szCs w:val="12"/>
        </w:rPr>
        <w:t xml:space="preserve">siete </w:t>
      </w:r>
      <w:r w:rsidR="00A01ABD">
        <w:rPr>
          <w:sz w:val="12"/>
          <w:szCs w:val="12"/>
        </w:rPr>
        <w:t>minuto</w:t>
      </w:r>
      <w:r w:rsidRPr="002B20F5">
        <w:rPr>
          <w:sz w:val="12"/>
          <w:szCs w:val="12"/>
        </w:rPr>
        <w:t>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ED82CD" w14:textId="77777777" w:rsidR="000218BD" w:rsidRPr="00213626" w:rsidRDefault="000218BD">
    <w:pPr>
      <w:pStyle w:val="Encabezado"/>
      <w:pBdr>
        <w:bottom w:val="single" w:sz="4" w:space="1" w:color="auto"/>
      </w:pBdr>
      <w:tabs>
        <w:tab w:val="clear" w:pos="4419"/>
        <w:tab w:val="left" w:pos="4111"/>
      </w:tabs>
      <w:jc w:val="center"/>
      <w:rPr>
        <w:rFonts w:ascii="Trebuchet MS" w:hAnsi="Trebuchet MS"/>
        <w:b/>
        <w:sz w:val="19"/>
      </w:rPr>
    </w:pPr>
    <w:r>
      <w:rPr>
        <w:noProof/>
        <w:sz w:val="19"/>
        <w:lang w:val="es-MX" w:eastAsia="es-MX"/>
      </w:rPr>
      <w:drawing>
        <wp:anchor distT="0" distB="0" distL="114300" distR="114300" simplePos="0" relativeHeight="251658242" behindDoc="0" locked="0" layoutInCell="1" allowOverlap="1" wp14:anchorId="4C1A5980" wp14:editId="29E869EE">
          <wp:simplePos x="0" y="0"/>
          <wp:positionH relativeFrom="column">
            <wp:posOffset>2482215</wp:posOffset>
          </wp:positionH>
          <wp:positionV relativeFrom="paragraph">
            <wp:posOffset>-134620</wp:posOffset>
          </wp:positionV>
          <wp:extent cx="638175" cy="266615"/>
          <wp:effectExtent l="0" t="0" r="0" b="0"/>
          <wp:wrapNone/>
          <wp:docPr id="13" name="Imagen 13"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638175" cy="266615"/>
                  </a:xfrm>
                  <a:prstGeom prst="rect">
                    <a:avLst/>
                  </a:prstGeom>
                </pic:spPr>
              </pic:pic>
            </a:graphicData>
          </a:graphic>
          <wp14:sizeRelH relativeFrom="margin">
            <wp14:pctWidth>0</wp14:pctWidth>
          </wp14:sizeRelH>
          <wp14:sizeRelV relativeFrom="margin">
            <wp14:pctHeight>0</wp14:pctHeight>
          </wp14:sizeRelV>
        </wp:anchor>
      </w:drawing>
    </w:r>
    <w:r>
      <w:rPr>
        <w:rFonts w:ascii="Maiandra GD" w:hAnsi="Maiandra GD"/>
        <w:i/>
        <w:noProof/>
        <w:sz w:val="20"/>
        <w:szCs w:val="20"/>
        <w:lang w:val="es-MX" w:eastAsia="es-MX"/>
      </w:rPr>
      <mc:AlternateContent>
        <mc:Choice Requires="wps">
          <w:drawing>
            <wp:anchor distT="0" distB="0" distL="114300" distR="114300" simplePos="0" relativeHeight="251658240" behindDoc="1" locked="0" layoutInCell="0" allowOverlap="1" wp14:anchorId="54348E8D" wp14:editId="7F4D8ECF">
              <wp:simplePos x="0" y="0"/>
              <wp:positionH relativeFrom="margin">
                <wp:posOffset>-208280</wp:posOffset>
              </wp:positionH>
              <wp:positionV relativeFrom="margin">
                <wp:posOffset>4013835</wp:posOffset>
              </wp:positionV>
              <wp:extent cx="6334125" cy="695325"/>
              <wp:effectExtent l="0" t="2004060" r="0" b="1977390"/>
              <wp:wrapNone/>
              <wp:docPr id="11"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6C9809C" w14:textId="77777777" w:rsidR="000218BD" w:rsidRDefault="000218BD">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4348E8D" id="_x0000_t202" coordsize="21600,21600" o:spt="202" path="m,l,21600r21600,l21600,xe">
              <v:stroke joinstyle="miter"/>
              <v:path gradientshapeok="t" o:connecttype="rect"/>
            </v:shapetype>
            <v:shape id="WordArt 2" o:spid="_x0000_s1027" type="#_x0000_t202" style="position:absolute;left:0;text-align:left;margin-left:-16.4pt;margin-top:316.05pt;width:498.75pt;height:54.75pt;rotation:-45;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" o:allowincell="f" filled="f" stroked="f">
              <v:stroke joinstyle="round"/>
              <o:lock v:ext="edit" shapetype="t"/>
              <v:textbox style="mso-fit-shape-to-text:t">
                <w:txbxContent>
                  <w:p w14:paraId="16C9809C" w14:textId="77777777" w:rsidR="000218BD" w:rsidRDefault="000218BD">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v:textbox>
              <w10:wrap anchorx="margin" anchory="margin"/>
            </v:shape>
          </w:pict>
        </mc:Fallback>
      </mc:AlternateContent>
    </w:r>
    <w:r w:rsidRPr="006009E8">
      <w:rPr>
        <w:rStyle w:val="Nmerodepgina"/>
        <w:rFonts w:ascii="Maiandra GD" w:hAnsi="Maiandra GD"/>
        <w:i/>
      </w:rPr>
      <w:fldChar w:fldCharType="begin"/>
    </w:r>
    <w:r w:rsidRPr="006009E8">
      <w:rPr>
        <w:rStyle w:val="Nmerodepgina"/>
        <w:rFonts w:ascii="Maiandra GD" w:hAnsi="Maiandra GD"/>
        <w:i/>
      </w:rPr>
      <w:instrText xml:space="preserve"> PAGE </w:instrText>
    </w:r>
    <w:r w:rsidRPr="006009E8">
      <w:rPr>
        <w:rStyle w:val="Nmerodepgina"/>
        <w:rFonts w:ascii="Maiandra GD" w:hAnsi="Maiandra GD"/>
        <w:i/>
      </w:rPr>
      <w:fldChar w:fldCharType="separate"/>
    </w:r>
    <w:r>
      <w:rPr>
        <w:rStyle w:val="Nmerodepgina"/>
        <w:rFonts w:ascii="Maiandra GD" w:hAnsi="Maiandra GD"/>
        <w:i/>
        <w:noProof/>
      </w:rPr>
      <w:t>24</w:t>
    </w:r>
    <w:r w:rsidRPr="006009E8">
      <w:rPr>
        <w:rStyle w:val="Nmerodepgina"/>
        <w:rFonts w:ascii="Maiandra GD" w:hAnsi="Maiandra GD"/>
        <w:i/>
      </w:rPr>
      <w:fldChar w:fldCharType="end"/>
    </w:r>
    <w:r>
      <w:rPr>
        <w:rStyle w:val="Nmerodepgina"/>
        <w:rFonts w:ascii="Maiandra GD" w:hAnsi="Maiandra GD"/>
        <w:i/>
      </w:rPr>
      <w:tab/>
    </w:r>
    <w:r>
      <w:rPr>
        <w:noProof/>
        <w:lang w:val="es-MX" w:eastAsia="es-MX"/>
      </w:rPr>
      <w:tab/>
    </w:r>
    <w:r>
      <w:rPr>
        <w:rFonts w:ascii="Maiandra GD" w:hAnsi="Maiandra GD"/>
        <w:bCs/>
        <w:i/>
        <w:iCs/>
        <w:sz w:val="16"/>
        <w:szCs w:val="16"/>
      </w:rPr>
      <w:t xml:space="preserve">Sesión Permanente 13 de enero </w:t>
    </w:r>
    <w:r w:rsidRPr="006D45D3">
      <w:rPr>
        <w:rFonts w:ascii="Maiandra GD" w:hAnsi="Maiandra GD"/>
        <w:bCs/>
        <w:i/>
        <w:iCs/>
        <w:sz w:val="16"/>
        <w:szCs w:val="16"/>
      </w:rPr>
      <w:t xml:space="preserve">de </w:t>
    </w:r>
    <w:r>
      <w:rPr>
        <w:rFonts w:ascii="Maiandra GD" w:hAnsi="Maiandra GD"/>
        <w:bCs/>
        <w:i/>
        <w:iCs/>
        <w:sz w:val="16"/>
        <w:szCs w:val="16"/>
      </w:rPr>
      <w:t>2022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7AA34A" w14:textId="0833DCAD" w:rsidR="000218BD" w:rsidRDefault="00742E0F">
    <w:pPr>
      <w:pStyle w:val="Encabezado"/>
      <w:pBdr>
        <w:bottom w:val="single" w:sz="4" w:space="1" w:color="auto"/>
      </w:pBdr>
      <w:tabs>
        <w:tab w:val="clear" w:pos="4419"/>
        <w:tab w:val="clear" w:pos="8838"/>
        <w:tab w:val="left" w:pos="4111"/>
        <w:tab w:val="left" w:pos="5775"/>
        <w:tab w:val="right" w:pos="8789"/>
      </w:tabs>
      <w:jc w:val="center"/>
      <w:rPr>
        <w:rFonts w:ascii="Trebuchet MS" w:hAnsi="Trebuchet MS"/>
        <w:sz w:val="19"/>
      </w:rPr>
    </w:pPr>
    <w:r w:rsidRPr="00CF28D9">
      <w:rPr>
        <w:noProof/>
        <w:lang w:val="es-MX" w:eastAsia="es-MX"/>
      </w:rPr>
      <w:drawing>
        <wp:anchor distT="0" distB="0" distL="114300" distR="114300" simplePos="0" relativeHeight="251658248" behindDoc="1" locked="0" layoutInCell="1" allowOverlap="1" wp14:anchorId="08EC7947" wp14:editId="0EAF573F">
          <wp:simplePos x="0" y="0"/>
          <wp:positionH relativeFrom="margin">
            <wp:posOffset>990600</wp:posOffset>
          </wp:positionH>
          <wp:positionV relativeFrom="paragraph">
            <wp:posOffset>1799590</wp:posOffset>
          </wp:positionV>
          <wp:extent cx="4800600" cy="4307840"/>
          <wp:effectExtent l="0" t="0" r="0" b="0"/>
          <wp:wrapNone/>
          <wp:docPr id="26" name="Imagen 26"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1">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r w:rsidR="000218BD" w:rsidRPr="00410AA5">
      <w:rPr>
        <w:noProof/>
        <w:sz w:val="19"/>
        <w:shd w:val="clear" w:color="auto" w:fill="D9D9D9" w:themeFill="background1" w:themeFillShade="D9"/>
        <w:lang w:val="es-MX" w:eastAsia="es-MX"/>
      </w:rPr>
      <w:drawing>
        <wp:anchor distT="0" distB="0" distL="114300" distR="114300" simplePos="0" relativeHeight="251658246" behindDoc="0" locked="0" layoutInCell="1" allowOverlap="1" wp14:anchorId="59442AD4" wp14:editId="4DFAE1AA">
          <wp:simplePos x="0" y="0"/>
          <wp:positionH relativeFrom="column">
            <wp:posOffset>2759710</wp:posOffset>
          </wp:positionH>
          <wp:positionV relativeFrom="paragraph">
            <wp:posOffset>-167640</wp:posOffset>
          </wp:positionV>
          <wp:extent cx="729575" cy="304800"/>
          <wp:effectExtent l="0" t="0" r="0" b="0"/>
          <wp:wrapNone/>
          <wp:docPr id="14" name="Imagen 14"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2">
                    <a:extLst>
                      <a:ext uri="{28A0092B-C50C-407E-A947-70E740481C1C}">
                        <a14:useLocalDpi xmlns:a14="http://schemas.microsoft.com/office/drawing/2010/main" val="0"/>
                      </a:ext>
                    </a:extLst>
                  </a:blip>
                  <a:stretch>
                    <a:fillRect/>
                  </a:stretch>
                </pic:blipFill>
                <pic:spPr>
                  <a:xfrm>
                    <a:off x="0" y="0"/>
                    <a:ext cx="729575" cy="304800"/>
                  </a:xfrm>
                  <a:prstGeom prst="rect">
                    <a:avLst/>
                  </a:prstGeom>
                </pic:spPr>
              </pic:pic>
            </a:graphicData>
          </a:graphic>
          <wp14:sizeRelH relativeFrom="margin">
            <wp14:pctWidth>0</wp14:pctWidth>
          </wp14:sizeRelH>
          <wp14:sizeRelV relativeFrom="margin">
            <wp14:pctHeight>0</wp14:pctHeight>
          </wp14:sizeRelV>
        </wp:anchor>
      </w:drawing>
    </w:r>
    <w:r w:rsidR="000218BD" w:rsidRPr="00410AA5">
      <w:rPr>
        <w:noProof/>
        <w:sz w:val="19"/>
        <w:shd w:val="clear" w:color="auto" w:fill="D9D9D9" w:themeFill="background1" w:themeFillShade="D9"/>
        <w:lang w:val="es-MX" w:eastAsia="es-MX"/>
      </w:rPr>
      <mc:AlternateContent>
        <mc:Choice Requires="wps">
          <w:drawing>
            <wp:anchor distT="0" distB="0" distL="114300" distR="114300" simplePos="0" relativeHeight="251658241" behindDoc="1" locked="0" layoutInCell="0" allowOverlap="1" wp14:anchorId="5B97299F" wp14:editId="5124AE2C">
              <wp:simplePos x="0" y="0"/>
              <wp:positionH relativeFrom="margin">
                <wp:posOffset>-737870</wp:posOffset>
              </wp:positionH>
              <wp:positionV relativeFrom="page">
                <wp:align>top</wp:align>
              </wp:positionV>
              <wp:extent cx="6334125" cy="695325"/>
              <wp:effectExtent l="0" t="0" r="0" b="0"/>
              <wp:wrapNone/>
              <wp:docPr id="18" name="Cuadro de texto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ADEC371" w14:textId="77777777" w:rsidR="000218BD" w:rsidRDefault="000218BD">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B97299F" id="_x0000_t202" coordsize="21600,21600" o:spt="202" path="m,l,21600r21600,l21600,xe">
              <v:stroke joinstyle="miter"/>
              <v:path gradientshapeok="t" o:connecttype="rect"/>
            </v:shapetype>
            <v:shape id="Cuadro de texto 18" o:spid="_x0000_s1028" type="#_x0000_t202" style="position:absolute;left:0;text-align:left;margin-left:-58.1pt;margin-top:0;width:498.75pt;height:54.75pt;rotation:-45;z-index:-251658239;visibility:visible;mso-wrap-style:square;mso-width-percent:0;mso-height-percent:0;mso-wrap-distance-left:9pt;mso-wrap-distance-top:0;mso-wrap-distance-right:9pt;mso-wrap-distance-bottom:0;mso-position-horizontal:absolute;mso-position-horizontal-relative:margin;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" o:allowincell="f" filled="f" stroked="f">
              <v:stroke joinstyle="round"/>
              <o:lock v:ext="edit" shapetype="t"/>
              <v:textbox style="mso-fit-shape-to-text:t">
                <w:txbxContent>
                  <w:p w14:paraId="4ADEC371" w14:textId="77777777" w:rsidR="000218BD" w:rsidRDefault="000218BD">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v:textbox>
              <w10:wrap anchorx="margin" anchory="page"/>
            </v:shape>
          </w:pict>
        </mc:Fallback>
      </mc:AlternateContent>
    </w:r>
    <w:r w:rsidR="000218BD" w:rsidRPr="00410AA5">
      <w:rPr>
        <w:rFonts w:ascii="Maiandra GD" w:hAnsi="Maiandra GD"/>
        <w:i/>
        <w:iCs/>
        <w:noProof/>
        <w:sz w:val="16"/>
        <w:szCs w:val="16"/>
        <w:shd w:val="clear" w:color="auto" w:fill="D9D9D9" w:themeFill="background1" w:themeFillShade="D9"/>
        <w:lang w:val="es-MX" w:eastAsia="es-MX"/>
      </w:rPr>
      <w:t>Sesión</w:t>
    </w:r>
    <w:r w:rsidR="000218BD" w:rsidRPr="00410AA5">
      <w:rPr>
        <w:rFonts w:ascii="Maiandra GD" w:hAnsi="Maiandra GD"/>
        <w:i/>
        <w:iCs/>
        <w:sz w:val="16"/>
        <w:szCs w:val="16"/>
        <w:shd w:val="clear" w:color="auto" w:fill="D9D9D9" w:themeFill="background1" w:themeFillShade="D9"/>
      </w:rPr>
      <w:t xml:space="preserve"> </w:t>
    </w:r>
    <w:r w:rsidR="000218BD">
      <w:rPr>
        <w:rFonts w:ascii="Maiandra GD" w:hAnsi="Maiandra GD"/>
        <w:i/>
        <w:iCs/>
        <w:sz w:val="16"/>
        <w:szCs w:val="16"/>
        <w:shd w:val="clear" w:color="auto" w:fill="D9D9D9" w:themeFill="background1" w:themeFillShade="D9"/>
      </w:rPr>
      <w:t xml:space="preserve">Ordinaria </w:t>
    </w:r>
    <w:r w:rsidR="004D4359">
      <w:rPr>
        <w:rFonts w:ascii="Maiandra GD" w:hAnsi="Maiandra GD"/>
        <w:i/>
        <w:iCs/>
        <w:sz w:val="16"/>
        <w:szCs w:val="16"/>
        <w:shd w:val="clear" w:color="auto" w:fill="D9D9D9" w:themeFill="background1" w:themeFillShade="D9"/>
      </w:rPr>
      <w:t>13</w:t>
    </w:r>
    <w:r w:rsidR="000218BD">
      <w:rPr>
        <w:rFonts w:ascii="Maiandra GD" w:hAnsi="Maiandra GD"/>
        <w:i/>
        <w:iCs/>
        <w:sz w:val="16"/>
        <w:szCs w:val="16"/>
        <w:shd w:val="clear" w:color="auto" w:fill="D9D9D9" w:themeFill="background1" w:themeFillShade="D9"/>
      </w:rPr>
      <w:t xml:space="preserve"> de </w:t>
    </w:r>
    <w:r w:rsidR="006F7804">
      <w:rPr>
        <w:rFonts w:ascii="Maiandra GD" w:hAnsi="Maiandra GD"/>
        <w:i/>
        <w:iCs/>
        <w:sz w:val="16"/>
        <w:szCs w:val="16"/>
        <w:shd w:val="clear" w:color="auto" w:fill="D9D9D9" w:themeFill="background1" w:themeFillShade="D9"/>
      </w:rPr>
      <w:t>octubre</w:t>
    </w:r>
    <w:r w:rsidR="00B63196">
      <w:rPr>
        <w:rFonts w:ascii="Maiandra GD" w:hAnsi="Maiandra GD"/>
        <w:i/>
        <w:iCs/>
        <w:sz w:val="16"/>
        <w:szCs w:val="16"/>
        <w:shd w:val="clear" w:color="auto" w:fill="D9D9D9" w:themeFill="background1" w:themeFillShade="D9"/>
      </w:rPr>
      <w:t xml:space="preserve"> </w:t>
    </w:r>
    <w:r w:rsidR="000218BD" w:rsidRPr="00410AA5">
      <w:rPr>
        <w:rFonts w:ascii="Maiandra GD" w:hAnsi="Maiandra GD"/>
        <w:i/>
        <w:iCs/>
        <w:sz w:val="16"/>
        <w:szCs w:val="16"/>
        <w:shd w:val="clear" w:color="auto" w:fill="D9D9D9" w:themeFill="background1" w:themeFillShade="D9"/>
      </w:rPr>
      <w:t>de 2022</w:t>
    </w:r>
    <w:r w:rsidR="000218BD">
      <w:rPr>
        <w:rFonts w:ascii="Maiandra GD" w:hAnsi="Maiandra GD"/>
        <w:i/>
        <w:iCs/>
        <w:sz w:val="16"/>
        <w:szCs w:val="16"/>
      </w:rPr>
      <w:tab/>
    </w:r>
    <w:r w:rsidR="000218BD">
      <w:rPr>
        <w:sz w:val="19"/>
      </w:rPr>
      <w:tab/>
    </w:r>
    <w:r w:rsidR="000218BD">
      <w:rPr>
        <w:sz w:val="19"/>
      </w:rPr>
      <w:tab/>
    </w:r>
    <w:r w:rsidR="000218BD" w:rsidRPr="00D47C86">
      <w:rPr>
        <w:rFonts w:ascii="Maiandra GD" w:hAnsi="Maiandra GD"/>
        <w:i/>
        <w:sz w:val="20"/>
        <w:szCs w:val="20"/>
      </w:rPr>
      <w:fldChar w:fldCharType="begin"/>
    </w:r>
    <w:r w:rsidR="000218BD" w:rsidRPr="00D47C86">
      <w:rPr>
        <w:rFonts w:ascii="Maiandra GD" w:hAnsi="Maiandra GD"/>
        <w:i/>
        <w:sz w:val="20"/>
        <w:szCs w:val="20"/>
      </w:rPr>
      <w:instrText xml:space="preserve"> PAGE  \* MERGEFORMAT </w:instrText>
    </w:r>
    <w:r w:rsidR="000218BD" w:rsidRPr="00D47C86">
      <w:rPr>
        <w:rFonts w:ascii="Maiandra GD" w:hAnsi="Maiandra GD"/>
        <w:i/>
        <w:sz w:val="20"/>
        <w:szCs w:val="20"/>
      </w:rPr>
      <w:fldChar w:fldCharType="separate"/>
    </w:r>
    <w:r w:rsidR="000218BD">
      <w:rPr>
        <w:rFonts w:ascii="Maiandra GD" w:hAnsi="Maiandra GD"/>
        <w:i/>
        <w:noProof/>
        <w:sz w:val="20"/>
        <w:szCs w:val="20"/>
      </w:rPr>
      <w:t>21</w:t>
    </w:r>
    <w:r w:rsidR="000218BD"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41" w:rightFromText="141" w:vertAnchor="text" w:horzAnchor="margin" w:tblpXSpec="center" w:tblpY="-37"/>
      <w:tblW w:w="10138" w:type="dxa"/>
      <w:tblBorders>
        <w:top w:val="single" w:sz="4" w:space="0" w:color="auto"/>
        <w:left w:val="single" w:sz="4" w:space="0" w:color="auto"/>
        <w:bottom w:val="single" w:sz="4" w:space="0" w:color="auto"/>
        <w:right w:val="single" w:sz="4" w:space="0" w:color="auto"/>
      </w:tblBorders>
      <w:shd w:val="clear" w:color="auto" w:fill="FFFFFF"/>
      <w:tblCellMar>
        <w:left w:w="70" w:type="dxa"/>
        <w:right w:w="70" w:type="dxa"/>
      </w:tblCellMar>
      <w:tblLook w:val="0000" w:firstRow="0" w:lastRow="0" w:firstColumn="0" w:lastColumn="0" w:noHBand="0" w:noVBand="0"/>
    </w:tblPr>
    <w:tblGrid>
      <w:gridCol w:w="2390"/>
      <w:gridCol w:w="7748"/>
    </w:tblGrid>
    <w:tr w:rsidR="000218BD" w14:paraId="4BA650C0" w14:textId="77777777">
      <w:trPr>
        <w:trHeight w:val="1787"/>
      </w:trPr>
      <w:tc>
        <w:tcPr>
          <w:tcW w:w="2390" w:type="dxa"/>
          <w:shd w:val="clear" w:color="auto" w:fill="FFFFFF"/>
        </w:tcPr>
        <w:p w14:paraId="780FB952" w14:textId="77777777" w:rsidR="000218BD" w:rsidRPr="006F4511" w:rsidRDefault="000218BD">
          <w:pPr>
            <w:pStyle w:val="Encabezado"/>
            <w:rPr>
              <w:b/>
              <w:u w:val="single"/>
            </w:rPr>
          </w:pPr>
          <w:r>
            <w:rPr>
              <w:noProof/>
              <w:lang w:val="es-MX" w:eastAsia="es-MX"/>
            </w:rPr>
            <w:drawing>
              <wp:anchor distT="0" distB="0" distL="114300" distR="114300" simplePos="0" relativeHeight="251658245" behindDoc="1" locked="0" layoutInCell="1" allowOverlap="1" wp14:anchorId="490DB33A" wp14:editId="2DA18C37">
                <wp:simplePos x="0" y="0"/>
                <wp:positionH relativeFrom="margin">
                  <wp:posOffset>-41275</wp:posOffset>
                </wp:positionH>
                <wp:positionV relativeFrom="paragraph">
                  <wp:posOffset>271780</wp:posOffset>
                </wp:positionV>
                <wp:extent cx="1421429" cy="590550"/>
                <wp:effectExtent l="0" t="0" r="7620" b="0"/>
                <wp:wrapTight wrapText="bothSides">
                  <wp:wrapPolygon edited="0">
                    <wp:start x="0" y="0"/>
                    <wp:lineTo x="0" y="20903"/>
                    <wp:lineTo x="21426" y="20903"/>
                    <wp:lineTo x="21426" y="0"/>
                    <wp:lineTo x="0" y="0"/>
                  </wp:wrapPolygon>
                </wp:wrapTight>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21728" cy="590674"/>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2" w:tgtFrame="_blank" w:history="1"/>
        </w:p>
        <w:p w14:paraId="0E457B06" w14:textId="77777777" w:rsidR="000218BD" w:rsidRDefault="000218BD">
          <w:pPr>
            <w:pStyle w:val="Encabezado"/>
            <w:tabs>
              <w:tab w:val="clear" w:pos="4419"/>
            </w:tabs>
            <w:jc w:val="center"/>
            <w:rPr>
              <w:sz w:val="19"/>
            </w:rPr>
          </w:pPr>
        </w:p>
        <w:p w14:paraId="1A8D4EF4" w14:textId="77777777" w:rsidR="000218BD" w:rsidRPr="006D45D3" w:rsidRDefault="000218BD">
          <w:pPr>
            <w:pStyle w:val="Encabezado"/>
            <w:tabs>
              <w:tab w:val="clear" w:pos="4419"/>
            </w:tabs>
            <w:jc w:val="center"/>
            <w:rPr>
              <w:sz w:val="19"/>
            </w:rPr>
          </w:pPr>
        </w:p>
      </w:tc>
      <w:tc>
        <w:tcPr>
          <w:tcW w:w="7748" w:type="dxa"/>
          <w:shd w:val="clear" w:color="auto" w:fill="FFFFFF"/>
          <w:vAlign w:val="center"/>
        </w:tcPr>
        <w:p w14:paraId="3A1A9BD7" w14:textId="77777777" w:rsidR="000218BD" w:rsidRDefault="000218BD">
          <w:pPr>
            <w:pStyle w:val="Encabezado"/>
            <w:tabs>
              <w:tab w:val="clear" w:pos="4419"/>
            </w:tabs>
            <w:spacing w:before="40"/>
            <w:jc w:val="center"/>
            <w:rPr>
              <w:rFonts w:ascii="Maiandra GD" w:hAnsi="Maiandra GD"/>
              <w:b/>
              <w:i/>
              <w:sz w:val="16"/>
              <w:szCs w:val="16"/>
            </w:rPr>
          </w:pPr>
          <w:r>
            <w:rPr>
              <w:noProof/>
              <w:lang w:val="es-MX" w:eastAsia="es-MX"/>
            </w:rPr>
            <mc:AlternateContent>
              <mc:Choice Requires="wps">
                <w:drawing>
                  <wp:anchor distT="0" distB="0" distL="114300" distR="114300" simplePos="0" relativeHeight="251658243" behindDoc="0" locked="0" layoutInCell="1" allowOverlap="1" wp14:anchorId="298CF326" wp14:editId="1F58B221">
                    <wp:simplePos x="0" y="0"/>
                    <wp:positionH relativeFrom="column">
                      <wp:posOffset>4445</wp:posOffset>
                    </wp:positionH>
                    <wp:positionV relativeFrom="paragraph">
                      <wp:posOffset>-555625</wp:posOffset>
                    </wp:positionV>
                    <wp:extent cx="4812030" cy="533400"/>
                    <wp:effectExtent l="19050" t="0" r="0" b="57150"/>
                    <wp:wrapSquare wrapText="bothSides"/>
                    <wp:docPr id="9" name="Cuadro de texto 9"/>
                    <wp:cNvGraphicFramePr/>
                    <a:graphic xmlns:a="http://schemas.openxmlformats.org/drawingml/2006/main">
                      <a:graphicData uri="http://schemas.microsoft.com/office/word/2010/wordprocessingShape">
                        <wps:wsp>
                          <wps:cNvSpPr txBox="1"/>
                          <wps:spPr>
                            <a:xfrm>
                              <a:off x="0" y="0"/>
                              <a:ext cx="4812030" cy="533400"/>
                            </a:xfrm>
                            <a:prstGeom prst="rect">
                              <a:avLst/>
                            </a:prstGeom>
                            <a:noFill/>
                            <a:ln>
                              <a:noFill/>
                            </a:ln>
                            <a:effectLst>
                              <a:outerShdw blurRad="50800" dist="38100" dir="8100000" algn="tr" rotWithShape="0">
                                <a:prstClr val="black">
                                  <a:alpha val="40000"/>
                                </a:prstClr>
                              </a:outerShdw>
                            </a:effectLst>
                          </wps:spPr>
                          <wps:txbx>
                            <w:txbxContent>
                              <w:p w14:paraId="7A8CAACF" w14:textId="77777777" w:rsidR="000218BD" w:rsidRPr="00884150" w:rsidRDefault="000218BD">
                                <w:pPr>
                                  <w:pStyle w:val="Encabezado"/>
                                  <w:shd w:val="clear" w:color="auto" w:fill="D9D9D9" w:themeFill="background1" w:themeFillShade="D9"/>
                                  <w:spacing w:before="40"/>
                                  <w:jc w:val="center"/>
                                  <w:rPr>
                                    <w:rFonts w:ascii="Baskerville Old Face" w:hAnsi="Baskerville Old Face" w:cs="Aharoni"/>
                                    <w:b/>
                                    <w:color w:val="AEAAAA"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767171"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8CF326" id="_x0000_t202" coordsize="21600,21600" o:spt="202" path="m,l,21600r21600,l21600,xe">
                    <v:stroke joinstyle="miter"/>
                    <v:path gradientshapeok="t" o:connecttype="rect"/>
                  </v:shapetype>
                  <v:shape id="Cuadro de texto 9" o:spid="_x0000_s1029" type="#_x0000_t202" style="position:absolute;left:0;text-align:left;margin-left:.35pt;margin-top:-43.75pt;width:378.9pt;height:42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" filled="f" stroked="f">
                    <v:shadow on="t" color="black" opacity="26214f" origin=".5,-.5" offset="-.74836mm,.74836mm"/>
                    <v:textbox>
                      <w:txbxContent>
                        <w:p w14:paraId="7A8CAACF" w14:textId="77777777" w:rsidR="000218BD" w:rsidRPr="00884150" w:rsidRDefault="000218BD">
                          <w:pPr>
                            <w:pStyle w:val="Encabezado"/>
                            <w:shd w:val="clear" w:color="auto" w:fill="D9D9D9" w:themeFill="background1" w:themeFillShade="D9"/>
                            <w:spacing w:before="40"/>
                            <w:jc w:val="center"/>
                            <w:rPr>
                              <w:rFonts w:ascii="Baskerville Old Face" w:hAnsi="Baskerville Old Face" w:cs="Aharoni"/>
                              <w:b/>
                              <w:color w:val="AEAAAA"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767171"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v:textbox>
                    <w10:wrap type="square"/>
                  </v:shape>
                </w:pict>
              </mc:Fallback>
            </mc:AlternateContent>
          </w:r>
          <w:r>
            <w:rPr>
              <w:rFonts w:ascii="Maiandra GD" w:hAnsi="Maiandra GD"/>
              <w:b/>
              <w:i/>
              <w:sz w:val="16"/>
              <w:szCs w:val="16"/>
            </w:rPr>
            <w:t xml:space="preserve">CÁMARA DE DIPUTADOS DEL </w:t>
          </w:r>
          <w:r w:rsidRPr="008217CF">
            <w:rPr>
              <w:rFonts w:ascii="Maiandra GD" w:hAnsi="Maiandra GD"/>
              <w:b/>
              <w:i/>
              <w:sz w:val="16"/>
              <w:szCs w:val="16"/>
            </w:rPr>
            <w:t>CONGRESO DEL ESTADO DE GUANAJUATO</w:t>
          </w:r>
          <w:r>
            <w:rPr>
              <w:rFonts w:ascii="Maiandra GD" w:hAnsi="Maiandra GD"/>
              <w:b/>
              <w:i/>
              <w:sz w:val="16"/>
              <w:szCs w:val="16"/>
            </w:rPr>
            <w:t xml:space="preserve"> </w:t>
          </w:r>
        </w:p>
        <w:p w14:paraId="29D95F99" w14:textId="77777777" w:rsidR="000218BD" w:rsidRDefault="000218BD">
          <w:pPr>
            <w:pStyle w:val="Encabezado"/>
            <w:tabs>
              <w:tab w:val="clear" w:pos="4419"/>
            </w:tabs>
            <w:spacing w:before="40"/>
            <w:jc w:val="center"/>
            <w:rPr>
              <w:rFonts w:ascii="Maiandra GD" w:hAnsi="Maiandra GD"/>
              <w:b/>
              <w:i/>
              <w:sz w:val="16"/>
              <w:szCs w:val="16"/>
            </w:rPr>
          </w:pPr>
          <w:r>
            <w:rPr>
              <w:rFonts w:ascii="Maiandra GD" w:hAnsi="Maiandra GD"/>
              <w:b/>
              <w:i/>
              <w:sz w:val="16"/>
              <w:szCs w:val="16"/>
            </w:rPr>
            <w:t xml:space="preserve">DE LA SEXAGÉSIMA QUINTA LEGISLATURA </w:t>
          </w:r>
        </w:p>
        <w:p w14:paraId="133537EB" w14:textId="77777777" w:rsidR="000218BD" w:rsidRPr="00064037" w:rsidRDefault="000218BD">
          <w:pPr>
            <w:pStyle w:val="Encabezado"/>
            <w:tabs>
              <w:tab w:val="clear" w:pos="4419"/>
            </w:tabs>
            <w:spacing w:before="40"/>
            <w:jc w:val="center"/>
            <w:rPr>
              <w:rFonts w:ascii="Maiandra GD" w:hAnsi="Maiandra GD"/>
              <w:b/>
              <w:i/>
              <w:sz w:val="2"/>
              <w:szCs w:val="2"/>
            </w:rPr>
          </w:pPr>
        </w:p>
        <w:p w14:paraId="7BAEE2D9" w14:textId="77777777" w:rsidR="000218BD" w:rsidRPr="00DB6DE2" w:rsidRDefault="000218BD">
          <w:pPr>
            <w:pStyle w:val="Encabezado"/>
            <w:tabs>
              <w:tab w:val="clear" w:pos="4419"/>
            </w:tabs>
            <w:spacing w:before="40"/>
            <w:jc w:val="center"/>
            <w:rPr>
              <w:rFonts w:ascii="Maiandra GD" w:hAnsi="Maiandra GD"/>
              <w:b/>
              <w:i/>
              <w:sz w:val="4"/>
              <w:szCs w:val="4"/>
            </w:rPr>
          </w:pPr>
        </w:p>
        <w:p w14:paraId="7F418CAC" w14:textId="7632FD2B" w:rsidR="000218BD" w:rsidRPr="008008F6" w:rsidRDefault="000218BD">
          <w:pPr>
            <w:pStyle w:val="Encabezado"/>
            <w:shd w:val="clear" w:color="auto" w:fill="000000"/>
            <w:tabs>
              <w:tab w:val="clear" w:pos="4419"/>
            </w:tabs>
            <w:spacing w:before="40"/>
            <w:contextualSpacing/>
            <w:jc w:val="center"/>
            <w:rPr>
              <w:rFonts w:ascii="Maiandra GD" w:hAnsi="Maiandra GD"/>
              <w:b/>
              <w:i/>
              <w:sz w:val="16"/>
              <w:szCs w:val="16"/>
            </w:rPr>
          </w:pPr>
          <w:r>
            <w:rPr>
              <w:rFonts w:ascii="Maiandra GD" w:hAnsi="Maiandra GD"/>
              <w:b/>
              <w:i/>
              <w:sz w:val="16"/>
              <w:szCs w:val="16"/>
            </w:rPr>
            <w:t>SESIÓN ORDINARIA -</w:t>
          </w:r>
          <w:r w:rsidR="006A4547">
            <w:rPr>
              <w:rFonts w:ascii="Maiandra GD" w:hAnsi="Maiandra GD"/>
              <w:b/>
              <w:i/>
              <w:sz w:val="16"/>
              <w:szCs w:val="16"/>
            </w:rPr>
            <w:t>SEGUNDO</w:t>
          </w:r>
          <w:r w:rsidRPr="008008F6">
            <w:rPr>
              <w:rFonts w:ascii="Maiandra GD" w:hAnsi="Maiandra GD"/>
              <w:b/>
              <w:i/>
              <w:sz w:val="16"/>
              <w:szCs w:val="16"/>
            </w:rPr>
            <w:t xml:space="preserve"> AÑO DE EJERCICIO CONSTITUCIONAL</w:t>
          </w:r>
          <w:r>
            <w:rPr>
              <w:rFonts w:ascii="Maiandra GD" w:hAnsi="Maiandra GD"/>
              <w:b/>
              <w:i/>
              <w:sz w:val="16"/>
              <w:szCs w:val="16"/>
            </w:rPr>
            <w:t>-</w:t>
          </w:r>
          <w:r w:rsidR="006A4547">
            <w:rPr>
              <w:rFonts w:ascii="Maiandra GD" w:hAnsi="Maiandra GD"/>
              <w:b/>
              <w:i/>
              <w:sz w:val="16"/>
              <w:szCs w:val="16"/>
            </w:rPr>
            <w:t xml:space="preserve">PRIMER </w:t>
          </w:r>
          <w:r w:rsidR="006B2FCF">
            <w:rPr>
              <w:rFonts w:ascii="Maiandra GD" w:hAnsi="Maiandra GD"/>
              <w:b/>
              <w:i/>
              <w:sz w:val="16"/>
              <w:szCs w:val="16"/>
            </w:rPr>
            <w:t xml:space="preserve">PERIODO </w:t>
          </w:r>
        </w:p>
        <w:p w14:paraId="10BEADC7" w14:textId="77777777" w:rsidR="000218BD" w:rsidRPr="00064037" w:rsidRDefault="000218BD">
          <w:pPr>
            <w:pStyle w:val="Encabezado"/>
            <w:tabs>
              <w:tab w:val="clear" w:pos="4419"/>
            </w:tabs>
            <w:spacing w:before="40"/>
            <w:jc w:val="center"/>
            <w:rPr>
              <w:rFonts w:ascii="Maiandra GD" w:hAnsi="Maiandra GD"/>
              <w:b/>
              <w:i/>
              <w:sz w:val="2"/>
              <w:szCs w:val="2"/>
            </w:rPr>
          </w:pPr>
        </w:p>
        <w:p w14:paraId="7E1D788A" w14:textId="22E546B8" w:rsidR="000218BD" w:rsidRPr="00064037" w:rsidRDefault="000218BD">
          <w:pPr>
            <w:pStyle w:val="Encabezado"/>
            <w:tabs>
              <w:tab w:val="clear" w:pos="4419"/>
            </w:tabs>
            <w:spacing w:before="40"/>
            <w:rPr>
              <w:rFonts w:ascii="Trebuchet MS" w:hAnsi="Trebuchet MS"/>
              <w:b/>
              <w:bCs/>
              <w:i/>
              <w:iCs/>
              <w:color w:val="FFFFFF"/>
              <w:sz w:val="14"/>
              <w:szCs w:val="14"/>
            </w:rPr>
          </w:pPr>
          <w:r w:rsidRPr="00064037">
            <w:rPr>
              <w:rFonts w:ascii="Maiandra GD" w:hAnsi="Maiandra GD"/>
              <w:b/>
              <w:i/>
              <w:sz w:val="14"/>
              <w:szCs w:val="14"/>
              <w:shd w:val="clear" w:color="auto" w:fill="D9D9D9" w:themeFill="background1" w:themeFillShade="D9"/>
            </w:rPr>
            <w:t>GUANAJUATO, GTO</w:t>
          </w:r>
          <w:r>
            <w:rPr>
              <w:rFonts w:ascii="Maiandra GD" w:hAnsi="Maiandra GD"/>
              <w:b/>
              <w:i/>
              <w:sz w:val="14"/>
              <w:szCs w:val="14"/>
              <w:shd w:val="clear" w:color="auto" w:fill="D9D9D9" w:themeFill="background1" w:themeFillShade="D9"/>
            </w:rPr>
            <w:t xml:space="preserve">., </w:t>
          </w:r>
          <w:r w:rsidR="004D4359">
            <w:rPr>
              <w:rFonts w:ascii="Maiandra GD" w:hAnsi="Maiandra GD"/>
              <w:b/>
              <w:i/>
              <w:sz w:val="14"/>
              <w:szCs w:val="14"/>
              <w:shd w:val="clear" w:color="auto" w:fill="D9D9D9" w:themeFill="background1" w:themeFillShade="D9"/>
            </w:rPr>
            <w:t>13</w:t>
          </w:r>
          <w:r w:rsidR="00220432">
            <w:rPr>
              <w:rFonts w:ascii="Maiandra GD" w:hAnsi="Maiandra GD"/>
              <w:b/>
              <w:i/>
              <w:sz w:val="14"/>
              <w:szCs w:val="14"/>
              <w:shd w:val="clear" w:color="auto" w:fill="D9D9D9" w:themeFill="background1" w:themeFillShade="D9"/>
            </w:rPr>
            <w:t xml:space="preserve"> DE OCTUBRE DE </w:t>
          </w:r>
          <w:r w:rsidRPr="00064037">
            <w:rPr>
              <w:rFonts w:ascii="Maiandra GD" w:hAnsi="Maiandra GD"/>
              <w:b/>
              <w:i/>
              <w:sz w:val="14"/>
              <w:szCs w:val="14"/>
              <w:shd w:val="clear" w:color="auto" w:fill="D9D9D9" w:themeFill="background1" w:themeFillShade="D9"/>
            </w:rPr>
            <w:t xml:space="preserve">2022                                   </w:t>
          </w:r>
          <w:r>
            <w:rPr>
              <w:rFonts w:ascii="Maiandra GD" w:hAnsi="Maiandra GD"/>
              <w:b/>
              <w:i/>
              <w:sz w:val="14"/>
              <w:szCs w:val="14"/>
              <w:shd w:val="clear" w:color="auto" w:fill="D9D9D9" w:themeFill="background1" w:themeFillShade="D9"/>
            </w:rPr>
            <w:t xml:space="preserve">                        </w:t>
          </w:r>
          <w:r w:rsidRPr="00064037">
            <w:rPr>
              <w:rFonts w:ascii="Maiandra GD" w:hAnsi="Maiandra GD"/>
              <w:b/>
              <w:i/>
              <w:sz w:val="14"/>
              <w:szCs w:val="14"/>
              <w:shd w:val="clear" w:color="auto" w:fill="D9D9D9" w:themeFill="background1" w:themeFillShade="D9"/>
            </w:rPr>
            <w:t xml:space="preserve">       SESIÓN NÚMERO (</w:t>
          </w:r>
          <w:r w:rsidR="006B272A">
            <w:rPr>
              <w:rFonts w:ascii="Maiandra GD" w:hAnsi="Maiandra GD"/>
              <w:b/>
              <w:i/>
              <w:sz w:val="14"/>
              <w:szCs w:val="14"/>
              <w:shd w:val="clear" w:color="auto" w:fill="D9D9D9" w:themeFill="background1" w:themeFillShade="D9"/>
            </w:rPr>
            <w:t>4</w:t>
          </w:r>
          <w:r w:rsidR="004D4359">
            <w:rPr>
              <w:rFonts w:ascii="Maiandra GD" w:hAnsi="Maiandra GD"/>
              <w:b/>
              <w:i/>
              <w:sz w:val="14"/>
              <w:szCs w:val="14"/>
              <w:shd w:val="clear" w:color="auto" w:fill="D9D9D9" w:themeFill="background1" w:themeFillShade="D9"/>
            </w:rPr>
            <w:t>4</w:t>
          </w:r>
          <w:r w:rsidRPr="00064037">
            <w:rPr>
              <w:rFonts w:ascii="Maiandra GD" w:hAnsi="Maiandra GD"/>
              <w:b/>
              <w:i/>
              <w:sz w:val="14"/>
              <w:szCs w:val="14"/>
              <w:shd w:val="clear" w:color="auto" w:fill="D9D9D9" w:themeFill="background1" w:themeFillShade="D9"/>
            </w:rPr>
            <w:t>)</w:t>
          </w:r>
        </w:p>
      </w:tc>
    </w:tr>
  </w:tbl>
  <w:p w14:paraId="4674B116" w14:textId="67431409" w:rsidR="000218BD" w:rsidRPr="006416C3" w:rsidRDefault="00742E0F">
    <w:pPr>
      <w:pStyle w:val="Encabezado"/>
    </w:pPr>
    <w:r w:rsidRPr="00CF28D9">
      <w:rPr>
        <w:noProof/>
        <w:lang w:val="es-MX" w:eastAsia="es-MX"/>
      </w:rPr>
      <w:drawing>
        <wp:anchor distT="0" distB="0" distL="114300" distR="114300" simplePos="0" relativeHeight="251658247" behindDoc="1" locked="0" layoutInCell="1" allowOverlap="1" wp14:anchorId="13648A98" wp14:editId="14AEDBBD">
          <wp:simplePos x="0" y="0"/>
          <wp:positionH relativeFrom="margin">
            <wp:posOffset>186690</wp:posOffset>
          </wp:positionH>
          <wp:positionV relativeFrom="paragraph">
            <wp:posOffset>2388870</wp:posOffset>
          </wp:positionV>
          <wp:extent cx="4800600" cy="4307840"/>
          <wp:effectExtent l="0" t="0" r="0" b="0"/>
          <wp:wrapNone/>
          <wp:docPr id="129" name="Imagen 129"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3">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C304EE0C"/>
    <w:lvl w:ilvl="0">
      <w:start w:val="1"/>
      <w:numFmt w:val="bullet"/>
      <w:pStyle w:val="Listaconvietas3"/>
      <w:lvlText w:val=""/>
      <w:lvlJc w:val="left"/>
      <w:pPr>
        <w:tabs>
          <w:tab w:val="num" w:pos="4819"/>
        </w:tabs>
        <w:ind w:left="4819"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00000402"/>
    <w:multiLevelType w:val="multilevel"/>
    <w:tmpl w:val="FFFFFFFF"/>
    <w:lvl w:ilvl="0">
      <w:numFmt w:val="bullet"/>
      <w:lvlText w:val="•"/>
      <w:lvlJc w:val="left"/>
      <w:pPr>
        <w:ind w:left="102" w:hanging="154"/>
      </w:pPr>
      <w:rPr>
        <w:rFonts w:ascii="Arial" w:hAnsi="Arial" w:cs="Arial"/>
        <w:b w:val="0"/>
        <w:bCs w:val="0"/>
        <w:i w:val="0"/>
        <w:iCs w:val="0"/>
        <w:w w:val="100"/>
        <w:sz w:val="24"/>
        <w:szCs w:val="24"/>
      </w:rPr>
    </w:lvl>
    <w:lvl w:ilvl="1">
      <w:numFmt w:val="bullet"/>
      <w:lvlText w:val="•"/>
      <w:lvlJc w:val="left"/>
      <w:pPr>
        <w:ind w:left="996" w:hanging="154"/>
      </w:pPr>
    </w:lvl>
    <w:lvl w:ilvl="2">
      <w:numFmt w:val="bullet"/>
      <w:lvlText w:val="•"/>
      <w:lvlJc w:val="left"/>
      <w:pPr>
        <w:ind w:left="1892" w:hanging="154"/>
      </w:pPr>
    </w:lvl>
    <w:lvl w:ilvl="3">
      <w:numFmt w:val="bullet"/>
      <w:lvlText w:val="•"/>
      <w:lvlJc w:val="left"/>
      <w:pPr>
        <w:ind w:left="2788" w:hanging="154"/>
      </w:pPr>
    </w:lvl>
    <w:lvl w:ilvl="4">
      <w:numFmt w:val="bullet"/>
      <w:lvlText w:val="•"/>
      <w:lvlJc w:val="left"/>
      <w:pPr>
        <w:ind w:left="3684" w:hanging="154"/>
      </w:pPr>
    </w:lvl>
    <w:lvl w:ilvl="5">
      <w:numFmt w:val="bullet"/>
      <w:lvlText w:val="•"/>
      <w:lvlJc w:val="left"/>
      <w:pPr>
        <w:ind w:left="4580" w:hanging="154"/>
      </w:pPr>
    </w:lvl>
    <w:lvl w:ilvl="6">
      <w:numFmt w:val="bullet"/>
      <w:lvlText w:val="•"/>
      <w:lvlJc w:val="left"/>
      <w:pPr>
        <w:ind w:left="5476" w:hanging="154"/>
      </w:pPr>
    </w:lvl>
    <w:lvl w:ilvl="7">
      <w:numFmt w:val="bullet"/>
      <w:lvlText w:val="•"/>
      <w:lvlJc w:val="left"/>
      <w:pPr>
        <w:ind w:left="6372" w:hanging="154"/>
      </w:pPr>
    </w:lvl>
    <w:lvl w:ilvl="8">
      <w:numFmt w:val="bullet"/>
      <w:lvlText w:val="•"/>
      <w:lvlJc w:val="left"/>
      <w:pPr>
        <w:ind w:left="7268" w:hanging="154"/>
      </w:pPr>
    </w:lvl>
  </w:abstractNum>
  <w:abstractNum w:abstractNumId="3" w15:restartNumberingAfterBreak="0">
    <w:nsid w:val="00000403"/>
    <w:multiLevelType w:val="multilevel"/>
    <w:tmpl w:val="00EE0C58"/>
    <w:lvl w:ilvl="0">
      <w:start w:val="7"/>
      <w:numFmt w:val="upperRoman"/>
      <w:lvlText w:val="%1."/>
      <w:lvlJc w:val="left"/>
      <w:pPr>
        <w:ind w:left="531" w:hanging="429"/>
      </w:pPr>
      <w:rPr>
        <w:rFonts w:ascii="Abadi" w:hAnsi="Abadi" w:cs="Arial" w:hint="default"/>
        <w:b w:val="0"/>
        <w:bCs w:val="0"/>
        <w:i w:val="0"/>
        <w:iCs w:val="0"/>
        <w:w w:val="100"/>
        <w:sz w:val="21"/>
        <w:szCs w:val="21"/>
      </w:rPr>
    </w:lvl>
    <w:lvl w:ilvl="1">
      <w:numFmt w:val="bullet"/>
      <w:lvlText w:val="•"/>
      <w:lvlJc w:val="left"/>
      <w:pPr>
        <w:ind w:left="1390" w:hanging="429"/>
      </w:pPr>
    </w:lvl>
    <w:lvl w:ilvl="2">
      <w:numFmt w:val="bullet"/>
      <w:lvlText w:val="•"/>
      <w:lvlJc w:val="left"/>
      <w:pPr>
        <w:ind w:left="2240" w:hanging="429"/>
      </w:pPr>
    </w:lvl>
    <w:lvl w:ilvl="3">
      <w:numFmt w:val="bullet"/>
      <w:lvlText w:val="•"/>
      <w:lvlJc w:val="left"/>
      <w:pPr>
        <w:ind w:left="3090" w:hanging="429"/>
      </w:pPr>
    </w:lvl>
    <w:lvl w:ilvl="4">
      <w:numFmt w:val="bullet"/>
      <w:lvlText w:val="•"/>
      <w:lvlJc w:val="left"/>
      <w:pPr>
        <w:ind w:left="3940" w:hanging="429"/>
      </w:pPr>
    </w:lvl>
    <w:lvl w:ilvl="5">
      <w:numFmt w:val="bullet"/>
      <w:lvlText w:val="•"/>
      <w:lvlJc w:val="left"/>
      <w:pPr>
        <w:ind w:left="4790" w:hanging="429"/>
      </w:pPr>
    </w:lvl>
    <w:lvl w:ilvl="6">
      <w:numFmt w:val="bullet"/>
      <w:lvlText w:val="•"/>
      <w:lvlJc w:val="left"/>
      <w:pPr>
        <w:ind w:left="5640" w:hanging="429"/>
      </w:pPr>
    </w:lvl>
    <w:lvl w:ilvl="7">
      <w:numFmt w:val="bullet"/>
      <w:lvlText w:val="•"/>
      <w:lvlJc w:val="left"/>
      <w:pPr>
        <w:ind w:left="6490" w:hanging="429"/>
      </w:pPr>
    </w:lvl>
    <w:lvl w:ilvl="8">
      <w:numFmt w:val="bullet"/>
      <w:lvlText w:val="•"/>
      <w:lvlJc w:val="left"/>
      <w:pPr>
        <w:ind w:left="7340" w:hanging="429"/>
      </w:pPr>
    </w:lvl>
  </w:abstractNum>
  <w:abstractNum w:abstractNumId="4" w15:restartNumberingAfterBreak="0">
    <w:nsid w:val="00000404"/>
    <w:multiLevelType w:val="multilevel"/>
    <w:tmpl w:val="FFFFFFFF"/>
    <w:lvl w:ilvl="0">
      <w:start w:val="12"/>
      <w:numFmt w:val="upperRoman"/>
      <w:lvlText w:val="%1."/>
      <w:lvlJc w:val="left"/>
      <w:pPr>
        <w:ind w:left="531" w:hanging="429"/>
      </w:pPr>
      <w:rPr>
        <w:rFonts w:ascii="Arial" w:hAnsi="Arial" w:cs="Arial"/>
        <w:b w:val="0"/>
        <w:bCs w:val="0"/>
        <w:i w:val="0"/>
        <w:iCs w:val="0"/>
        <w:w w:val="100"/>
        <w:sz w:val="24"/>
        <w:szCs w:val="24"/>
      </w:rPr>
    </w:lvl>
    <w:lvl w:ilvl="1">
      <w:numFmt w:val="bullet"/>
      <w:lvlText w:val="•"/>
      <w:lvlJc w:val="left"/>
      <w:pPr>
        <w:ind w:left="1390" w:hanging="429"/>
      </w:pPr>
    </w:lvl>
    <w:lvl w:ilvl="2">
      <w:numFmt w:val="bullet"/>
      <w:lvlText w:val="•"/>
      <w:lvlJc w:val="left"/>
      <w:pPr>
        <w:ind w:left="2240" w:hanging="429"/>
      </w:pPr>
    </w:lvl>
    <w:lvl w:ilvl="3">
      <w:numFmt w:val="bullet"/>
      <w:lvlText w:val="•"/>
      <w:lvlJc w:val="left"/>
      <w:pPr>
        <w:ind w:left="3090" w:hanging="429"/>
      </w:pPr>
    </w:lvl>
    <w:lvl w:ilvl="4">
      <w:numFmt w:val="bullet"/>
      <w:lvlText w:val="•"/>
      <w:lvlJc w:val="left"/>
      <w:pPr>
        <w:ind w:left="3940" w:hanging="429"/>
      </w:pPr>
    </w:lvl>
    <w:lvl w:ilvl="5">
      <w:numFmt w:val="bullet"/>
      <w:lvlText w:val="•"/>
      <w:lvlJc w:val="left"/>
      <w:pPr>
        <w:ind w:left="4790" w:hanging="429"/>
      </w:pPr>
    </w:lvl>
    <w:lvl w:ilvl="6">
      <w:numFmt w:val="bullet"/>
      <w:lvlText w:val="•"/>
      <w:lvlJc w:val="left"/>
      <w:pPr>
        <w:ind w:left="5640" w:hanging="429"/>
      </w:pPr>
    </w:lvl>
    <w:lvl w:ilvl="7">
      <w:numFmt w:val="bullet"/>
      <w:lvlText w:val="•"/>
      <w:lvlJc w:val="left"/>
      <w:pPr>
        <w:ind w:left="6490" w:hanging="429"/>
      </w:pPr>
    </w:lvl>
    <w:lvl w:ilvl="8">
      <w:numFmt w:val="bullet"/>
      <w:lvlText w:val="•"/>
      <w:lvlJc w:val="left"/>
      <w:pPr>
        <w:ind w:left="7340" w:hanging="429"/>
      </w:pPr>
    </w:lvl>
  </w:abstractNum>
  <w:abstractNum w:abstractNumId="5" w15:restartNumberingAfterBreak="0">
    <w:nsid w:val="00000405"/>
    <w:multiLevelType w:val="multilevel"/>
    <w:tmpl w:val="FFFFFFFF"/>
    <w:lvl w:ilvl="0">
      <w:start w:val="1"/>
      <w:numFmt w:val="upperRoman"/>
      <w:lvlText w:val="%1."/>
      <w:lvlJc w:val="left"/>
      <w:pPr>
        <w:ind w:left="107" w:hanging="161"/>
      </w:pPr>
      <w:rPr>
        <w:rFonts w:ascii="Calibri" w:hAnsi="Calibri" w:cs="Calibri"/>
        <w:b/>
        <w:bCs/>
        <w:i w:val="0"/>
        <w:iCs w:val="0"/>
        <w:spacing w:val="0"/>
        <w:w w:val="100"/>
        <w:sz w:val="22"/>
        <w:szCs w:val="22"/>
      </w:rPr>
    </w:lvl>
    <w:lvl w:ilvl="1">
      <w:numFmt w:val="bullet"/>
      <w:lvlText w:val="•"/>
      <w:lvlJc w:val="left"/>
      <w:pPr>
        <w:ind w:left="530" w:hanging="161"/>
      </w:pPr>
    </w:lvl>
    <w:lvl w:ilvl="2">
      <w:numFmt w:val="bullet"/>
      <w:lvlText w:val="•"/>
      <w:lvlJc w:val="left"/>
      <w:pPr>
        <w:ind w:left="960" w:hanging="161"/>
      </w:pPr>
    </w:lvl>
    <w:lvl w:ilvl="3">
      <w:numFmt w:val="bullet"/>
      <w:lvlText w:val="•"/>
      <w:lvlJc w:val="left"/>
      <w:pPr>
        <w:ind w:left="1391" w:hanging="161"/>
      </w:pPr>
    </w:lvl>
    <w:lvl w:ilvl="4">
      <w:numFmt w:val="bullet"/>
      <w:lvlText w:val="•"/>
      <w:lvlJc w:val="left"/>
      <w:pPr>
        <w:ind w:left="1821" w:hanging="161"/>
      </w:pPr>
    </w:lvl>
    <w:lvl w:ilvl="5">
      <w:numFmt w:val="bullet"/>
      <w:lvlText w:val="•"/>
      <w:lvlJc w:val="left"/>
      <w:pPr>
        <w:ind w:left="2252" w:hanging="161"/>
      </w:pPr>
    </w:lvl>
    <w:lvl w:ilvl="6">
      <w:numFmt w:val="bullet"/>
      <w:lvlText w:val="•"/>
      <w:lvlJc w:val="left"/>
      <w:pPr>
        <w:ind w:left="2682" w:hanging="161"/>
      </w:pPr>
    </w:lvl>
    <w:lvl w:ilvl="7">
      <w:numFmt w:val="bullet"/>
      <w:lvlText w:val="•"/>
      <w:lvlJc w:val="left"/>
      <w:pPr>
        <w:ind w:left="3112" w:hanging="161"/>
      </w:pPr>
    </w:lvl>
    <w:lvl w:ilvl="8">
      <w:numFmt w:val="bullet"/>
      <w:lvlText w:val="•"/>
      <w:lvlJc w:val="left"/>
      <w:pPr>
        <w:ind w:left="3543" w:hanging="161"/>
      </w:pPr>
    </w:lvl>
  </w:abstractNum>
  <w:abstractNum w:abstractNumId="6" w15:restartNumberingAfterBreak="0">
    <w:nsid w:val="00B430DA"/>
    <w:multiLevelType w:val="multilevel"/>
    <w:tmpl w:val="D61A5BD2"/>
    <w:lvl w:ilvl="0">
      <w:start w:val="3"/>
      <w:numFmt w:val="bullet"/>
      <w:pStyle w:val="Estilo1"/>
      <w:lvlText w:val="-"/>
      <w:lvlJc w:val="left"/>
      <w:pPr>
        <w:ind w:left="2848" w:hanging="579"/>
      </w:pPr>
      <w:rPr>
        <w:rFonts w:ascii="Times New Roman" w:hAnsi="Times New Roman" w:cs="Times New Roman" w:hint="default"/>
        <w:b/>
        <w:bCs w:val="0"/>
        <w:i/>
        <w:iCs w:val="0"/>
        <w:spacing w:val="0"/>
        <w:w w:val="100"/>
        <w:sz w:val="28"/>
        <w:szCs w:val="28"/>
      </w:rPr>
    </w:lvl>
    <w:lvl w:ilvl="1">
      <w:numFmt w:val="bullet"/>
      <w:lvlText w:val="•"/>
      <w:lvlJc w:val="left"/>
      <w:pPr>
        <w:ind w:left="3742" w:hanging="579"/>
      </w:pPr>
    </w:lvl>
    <w:lvl w:ilvl="2">
      <w:numFmt w:val="bullet"/>
      <w:lvlText w:val="•"/>
      <w:lvlJc w:val="left"/>
      <w:pPr>
        <w:ind w:left="4630" w:hanging="579"/>
      </w:pPr>
    </w:lvl>
    <w:lvl w:ilvl="3">
      <w:numFmt w:val="bullet"/>
      <w:lvlText w:val="•"/>
      <w:lvlJc w:val="left"/>
      <w:pPr>
        <w:ind w:left="5518" w:hanging="579"/>
      </w:pPr>
    </w:lvl>
    <w:lvl w:ilvl="4">
      <w:numFmt w:val="bullet"/>
      <w:lvlText w:val="•"/>
      <w:lvlJc w:val="left"/>
      <w:pPr>
        <w:ind w:left="6406" w:hanging="579"/>
      </w:pPr>
    </w:lvl>
    <w:lvl w:ilvl="5">
      <w:numFmt w:val="bullet"/>
      <w:lvlText w:val="•"/>
      <w:lvlJc w:val="left"/>
      <w:pPr>
        <w:ind w:left="7294" w:hanging="579"/>
      </w:pPr>
    </w:lvl>
    <w:lvl w:ilvl="6">
      <w:numFmt w:val="bullet"/>
      <w:lvlText w:val="•"/>
      <w:lvlJc w:val="left"/>
      <w:pPr>
        <w:ind w:left="8182" w:hanging="579"/>
      </w:pPr>
    </w:lvl>
    <w:lvl w:ilvl="7">
      <w:numFmt w:val="bullet"/>
      <w:lvlText w:val="•"/>
      <w:lvlJc w:val="left"/>
      <w:pPr>
        <w:ind w:left="9070" w:hanging="579"/>
      </w:pPr>
    </w:lvl>
    <w:lvl w:ilvl="8">
      <w:numFmt w:val="bullet"/>
      <w:lvlText w:val="•"/>
      <w:lvlJc w:val="left"/>
      <w:pPr>
        <w:ind w:left="9958" w:hanging="579"/>
      </w:pPr>
    </w:lvl>
  </w:abstractNum>
  <w:abstractNum w:abstractNumId="7" w15:restartNumberingAfterBreak="0">
    <w:nsid w:val="014C7773"/>
    <w:multiLevelType w:val="hybridMultilevel"/>
    <w:tmpl w:val="F4D06F2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02174BF2"/>
    <w:multiLevelType w:val="hybridMultilevel"/>
    <w:tmpl w:val="650AC5E4"/>
    <w:lvl w:ilvl="0" w:tplc="6B94AC9A">
      <w:start w:val="2"/>
      <w:numFmt w:val="upperRoman"/>
      <w:lvlText w:val="%1."/>
      <w:lvlJc w:val="left"/>
      <w:pPr>
        <w:ind w:left="930" w:hanging="648"/>
      </w:pPr>
      <w:rPr>
        <w:rFonts w:ascii="Arial" w:eastAsia="Times New Roman" w:hAnsi="Arial" w:cs="Arial" w:hint="default"/>
        <w:b/>
        <w:bCs/>
        <w:i/>
        <w:iCs/>
        <w:w w:val="99"/>
        <w:sz w:val="20"/>
        <w:szCs w:val="20"/>
      </w:rPr>
    </w:lvl>
    <w:lvl w:ilvl="1" w:tplc="5286725C">
      <w:numFmt w:val="bullet"/>
      <w:lvlText w:val="•"/>
      <w:lvlJc w:val="left"/>
      <w:pPr>
        <w:ind w:left="1764" w:hanging="648"/>
      </w:pPr>
      <w:rPr>
        <w:rFonts w:hint="default"/>
      </w:rPr>
    </w:lvl>
    <w:lvl w:ilvl="2" w:tplc="D33082AE">
      <w:numFmt w:val="bullet"/>
      <w:lvlText w:val="•"/>
      <w:lvlJc w:val="left"/>
      <w:pPr>
        <w:ind w:left="2588" w:hanging="648"/>
      </w:pPr>
      <w:rPr>
        <w:rFonts w:hint="default"/>
      </w:rPr>
    </w:lvl>
    <w:lvl w:ilvl="3" w:tplc="BFCCA666">
      <w:numFmt w:val="bullet"/>
      <w:lvlText w:val="•"/>
      <w:lvlJc w:val="left"/>
      <w:pPr>
        <w:ind w:left="3412" w:hanging="648"/>
      </w:pPr>
      <w:rPr>
        <w:rFonts w:hint="default"/>
      </w:rPr>
    </w:lvl>
    <w:lvl w:ilvl="4" w:tplc="0B5E6F3E">
      <w:numFmt w:val="bullet"/>
      <w:lvlText w:val="•"/>
      <w:lvlJc w:val="left"/>
      <w:pPr>
        <w:ind w:left="4236" w:hanging="648"/>
      </w:pPr>
      <w:rPr>
        <w:rFonts w:hint="default"/>
      </w:rPr>
    </w:lvl>
    <w:lvl w:ilvl="5" w:tplc="2648FBBE">
      <w:numFmt w:val="bullet"/>
      <w:lvlText w:val="•"/>
      <w:lvlJc w:val="left"/>
      <w:pPr>
        <w:ind w:left="5060" w:hanging="648"/>
      </w:pPr>
      <w:rPr>
        <w:rFonts w:hint="default"/>
      </w:rPr>
    </w:lvl>
    <w:lvl w:ilvl="6" w:tplc="5F525FDA">
      <w:numFmt w:val="bullet"/>
      <w:lvlText w:val="•"/>
      <w:lvlJc w:val="left"/>
      <w:pPr>
        <w:ind w:left="5884" w:hanging="648"/>
      </w:pPr>
      <w:rPr>
        <w:rFonts w:hint="default"/>
      </w:rPr>
    </w:lvl>
    <w:lvl w:ilvl="7" w:tplc="93407C54">
      <w:numFmt w:val="bullet"/>
      <w:lvlText w:val="•"/>
      <w:lvlJc w:val="left"/>
      <w:pPr>
        <w:ind w:left="6708" w:hanging="648"/>
      </w:pPr>
      <w:rPr>
        <w:rFonts w:hint="default"/>
      </w:rPr>
    </w:lvl>
    <w:lvl w:ilvl="8" w:tplc="4302F690">
      <w:numFmt w:val="bullet"/>
      <w:lvlText w:val="•"/>
      <w:lvlJc w:val="left"/>
      <w:pPr>
        <w:ind w:left="7532" w:hanging="648"/>
      </w:pPr>
      <w:rPr>
        <w:rFonts w:hint="default"/>
      </w:rPr>
    </w:lvl>
  </w:abstractNum>
  <w:abstractNum w:abstractNumId="9" w15:restartNumberingAfterBreak="0">
    <w:nsid w:val="03686C44"/>
    <w:multiLevelType w:val="hybridMultilevel"/>
    <w:tmpl w:val="5EB249DE"/>
    <w:lvl w:ilvl="0" w:tplc="1B10A1E8">
      <w:start w:val="1"/>
      <w:numFmt w:val="lowerLetter"/>
      <w:lvlText w:val="%1)"/>
      <w:lvlJc w:val="left"/>
      <w:pPr>
        <w:ind w:left="2061" w:hanging="360"/>
      </w:pPr>
      <w:rPr>
        <w:rFonts w:hint="default"/>
        <w:b/>
        <w:bCs/>
      </w:rPr>
    </w:lvl>
    <w:lvl w:ilvl="1" w:tplc="040A0019" w:tentative="1">
      <w:start w:val="1"/>
      <w:numFmt w:val="lowerLetter"/>
      <w:lvlText w:val="%2."/>
      <w:lvlJc w:val="left"/>
      <w:pPr>
        <w:ind w:left="2781" w:hanging="360"/>
      </w:pPr>
    </w:lvl>
    <w:lvl w:ilvl="2" w:tplc="040A001B" w:tentative="1">
      <w:start w:val="1"/>
      <w:numFmt w:val="lowerRoman"/>
      <w:lvlText w:val="%3."/>
      <w:lvlJc w:val="right"/>
      <w:pPr>
        <w:ind w:left="3501" w:hanging="180"/>
      </w:pPr>
    </w:lvl>
    <w:lvl w:ilvl="3" w:tplc="040A000F" w:tentative="1">
      <w:start w:val="1"/>
      <w:numFmt w:val="decimal"/>
      <w:lvlText w:val="%4."/>
      <w:lvlJc w:val="left"/>
      <w:pPr>
        <w:ind w:left="4221" w:hanging="360"/>
      </w:pPr>
    </w:lvl>
    <w:lvl w:ilvl="4" w:tplc="040A0019" w:tentative="1">
      <w:start w:val="1"/>
      <w:numFmt w:val="lowerLetter"/>
      <w:lvlText w:val="%5."/>
      <w:lvlJc w:val="left"/>
      <w:pPr>
        <w:ind w:left="4941" w:hanging="360"/>
      </w:pPr>
    </w:lvl>
    <w:lvl w:ilvl="5" w:tplc="040A001B" w:tentative="1">
      <w:start w:val="1"/>
      <w:numFmt w:val="lowerRoman"/>
      <w:lvlText w:val="%6."/>
      <w:lvlJc w:val="right"/>
      <w:pPr>
        <w:ind w:left="5661" w:hanging="180"/>
      </w:pPr>
    </w:lvl>
    <w:lvl w:ilvl="6" w:tplc="040A000F" w:tentative="1">
      <w:start w:val="1"/>
      <w:numFmt w:val="decimal"/>
      <w:lvlText w:val="%7."/>
      <w:lvlJc w:val="left"/>
      <w:pPr>
        <w:ind w:left="6381" w:hanging="360"/>
      </w:pPr>
    </w:lvl>
    <w:lvl w:ilvl="7" w:tplc="040A0019" w:tentative="1">
      <w:start w:val="1"/>
      <w:numFmt w:val="lowerLetter"/>
      <w:lvlText w:val="%8."/>
      <w:lvlJc w:val="left"/>
      <w:pPr>
        <w:ind w:left="7101" w:hanging="360"/>
      </w:pPr>
    </w:lvl>
    <w:lvl w:ilvl="8" w:tplc="040A001B" w:tentative="1">
      <w:start w:val="1"/>
      <w:numFmt w:val="lowerRoman"/>
      <w:lvlText w:val="%9."/>
      <w:lvlJc w:val="right"/>
      <w:pPr>
        <w:ind w:left="7821" w:hanging="180"/>
      </w:pPr>
    </w:lvl>
  </w:abstractNum>
  <w:abstractNum w:abstractNumId="10" w15:restartNumberingAfterBreak="0">
    <w:nsid w:val="042103D0"/>
    <w:multiLevelType w:val="hybridMultilevel"/>
    <w:tmpl w:val="E020AAB0"/>
    <w:lvl w:ilvl="0" w:tplc="98E8A242">
      <w:numFmt w:val="bullet"/>
      <w:lvlText w:val="•"/>
      <w:lvlJc w:val="left"/>
      <w:pPr>
        <w:ind w:left="3464" w:hanging="356"/>
      </w:pPr>
      <w:rPr>
        <w:rFonts w:ascii="Arial" w:eastAsia="Arial" w:hAnsi="Arial" w:cs="Arial" w:hint="default"/>
        <w:b w:val="0"/>
        <w:bCs w:val="0"/>
        <w:i w:val="0"/>
        <w:iCs w:val="0"/>
        <w:w w:val="98"/>
        <w:sz w:val="18"/>
        <w:szCs w:val="18"/>
      </w:rPr>
    </w:lvl>
    <w:lvl w:ilvl="1" w:tplc="267CB412">
      <w:numFmt w:val="bullet"/>
      <w:lvlText w:val="•"/>
      <w:lvlJc w:val="left"/>
      <w:pPr>
        <w:ind w:left="4454" w:hanging="356"/>
      </w:pPr>
      <w:rPr>
        <w:rFonts w:hint="default"/>
      </w:rPr>
    </w:lvl>
    <w:lvl w:ilvl="2" w:tplc="A3BE1F8E">
      <w:numFmt w:val="bullet"/>
      <w:lvlText w:val="•"/>
      <w:lvlJc w:val="left"/>
      <w:pPr>
        <w:ind w:left="5446" w:hanging="356"/>
      </w:pPr>
      <w:rPr>
        <w:rFonts w:hint="default"/>
      </w:rPr>
    </w:lvl>
    <w:lvl w:ilvl="3" w:tplc="CFF69B0E">
      <w:numFmt w:val="bullet"/>
      <w:lvlText w:val="•"/>
      <w:lvlJc w:val="left"/>
      <w:pPr>
        <w:ind w:left="6438" w:hanging="356"/>
      </w:pPr>
      <w:rPr>
        <w:rFonts w:hint="default"/>
      </w:rPr>
    </w:lvl>
    <w:lvl w:ilvl="4" w:tplc="F5929850">
      <w:numFmt w:val="bullet"/>
      <w:lvlText w:val="•"/>
      <w:lvlJc w:val="left"/>
      <w:pPr>
        <w:ind w:left="7430" w:hanging="356"/>
      </w:pPr>
      <w:rPr>
        <w:rFonts w:hint="default"/>
      </w:rPr>
    </w:lvl>
    <w:lvl w:ilvl="5" w:tplc="B5B8F3F8">
      <w:numFmt w:val="bullet"/>
      <w:lvlText w:val="•"/>
      <w:lvlJc w:val="left"/>
      <w:pPr>
        <w:ind w:left="8422" w:hanging="356"/>
      </w:pPr>
      <w:rPr>
        <w:rFonts w:hint="default"/>
      </w:rPr>
    </w:lvl>
    <w:lvl w:ilvl="6" w:tplc="F814E1DE">
      <w:numFmt w:val="bullet"/>
      <w:lvlText w:val="•"/>
      <w:lvlJc w:val="left"/>
      <w:pPr>
        <w:ind w:left="9414" w:hanging="356"/>
      </w:pPr>
      <w:rPr>
        <w:rFonts w:hint="default"/>
      </w:rPr>
    </w:lvl>
    <w:lvl w:ilvl="7" w:tplc="C14C0742">
      <w:numFmt w:val="bullet"/>
      <w:lvlText w:val="•"/>
      <w:lvlJc w:val="left"/>
      <w:pPr>
        <w:ind w:left="10406" w:hanging="356"/>
      </w:pPr>
      <w:rPr>
        <w:rFonts w:hint="default"/>
      </w:rPr>
    </w:lvl>
    <w:lvl w:ilvl="8" w:tplc="D90EA534">
      <w:numFmt w:val="bullet"/>
      <w:lvlText w:val="•"/>
      <w:lvlJc w:val="left"/>
      <w:pPr>
        <w:ind w:left="11398" w:hanging="356"/>
      </w:pPr>
      <w:rPr>
        <w:rFonts w:hint="default"/>
      </w:rPr>
    </w:lvl>
  </w:abstractNum>
  <w:abstractNum w:abstractNumId="11" w15:restartNumberingAfterBreak="0">
    <w:nsid w:val="07916683"/>
    <w:multiLevelType w:val="hybridMultilevel"/>
    <w:tmpl w:val="008C3A9C"/>
    <w:lvl w:ilvl="0" w:tplc="642A2BBC">
      <w:start w:val="1"/>
      <w:numFmt w:val="lowerLetter"/>
      <w:lvlText w:val="%1)"/>
      <w:lvlJc w:val="left"/>
      <w:pPr>
        <w:tabs>
          <w:tab w:val="num" w:pos="720"/>
        </w:tabs>
        <w:ind w:left="720" w:hanging="360"/>
      </w:pPr>
      <w:rPr>
        <w:rFonts w:hint="default"/>
        <w:b/>
        <w:i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2" w15:restartNumberingAfterBreak="0">
    <w:nsid w:val="08275F5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83B64EB"/>
    <w:multiLevelType w:val="hybridMultilevel"/>
    <w:tmpl w:val="C86089E2"/>
    <w:lvl w:ilvl="0" w:tplc="B10A5A28">
      <w:start w:val="1"/>
      <w:numFmt w:val="bullet"/>
      <w:lvlText w:val=""/>
      <w:lvlJc w:val="left"/>
      <w:pPr>
        <w:ind w:left="720" w:hanging="360"/>
      </w:pPr>
      <w:rPr>
        <w:rFonts w:ascii="Symbol" w:hAnsi="Symbol" w:hint="default"/>
        <w:b/>
        <w:i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09582CCA"/>
    <w:multiLevelType w:val="hybridMultilevel"/>
    <w:tmpl w:val="06CE6A46"/>
    <w:lvl w:ilvl="0" w:tplc="69B83D52">
      <w:numFmt w:val="bullet"/>
      <w:lvlText w:val="-"/>
      <w:lvlJc w:val="left"/>
      <w:pPr>
        <w:ind w:left="1755" w:hanging="360"/>
      </w:pPr>
      <w:rPr>
        <w:rFonts w:ascii="Arial" w:eastAsia="Times New Roman" w:hAnsi="Arial" w:cs="Arial" w:hint="default"/>
      </w:rPr>
    </w:lvl>
    <w:lvl w:ilvl="1" w:tplc="040A0003" w:tentative="1">
      <w:start w:val="1"/>
      <w:numFmt w:val="bullet"/>
      <w:lvlText w:val="o"/>
      <w:lvlJc w:val="left"/>
      <w:pPr>
        <w:ind w:left="2475" w:hanging="360"/>
      </w:pPr>
      <w:rPr>
        <w:rFonts w:ascii="Courier New" w:hAnsi="Courier New" w:cs="Courier New" w:hint="default"/>
      </w:rPr>
    </w:lvl>
    <w:lvl w:ilvl="2" w:tplc="040A0005" w:tentative="1">
      <w:start w:val="1"/>
      <w:numFmt w:val="bullet"/>
      <w:lvlText w:val=""/>
      <w:lvlJc w:val="left"/>
      <w:pPr>
        <w:ind w:left="3195" w:hanging="360"/>
      </w:pPr>
      <w:rPr>
        <w:rFonts w:ascii="Wingdings" w:hAnsi="Wingdings" w:hint="default"/>
      </w:rPr>
    </w:lvl>
    <w:lvl w:ilvl="3" w:tplc="040A0001" w:tentative="1">
      <w:start w:val="1"/>
      <w:numFmt w:val="bullet"/>
      <w:lvlText w:val=""/>
      <w:lvlJc w:val="left"/>
      <w:pPr>
        <w:ind w:left="3915" w:hanging="360"/>
      </w:pPr>
      <w:rPr>
        <w:rFonts w:ascii="Symbol" w:hAnsi="Symbol" w:hint="default"/>
      </w:rPr>
    </w:lvl>
    <w:lvl w:ilvl="4" w:tplc="040A0003" w:tentative="1">
      <w:start w:val="1"/>
      <w:numFmt w:val="bullet"/>
      <w:lvlText w:val="o"/>
      <w:lvlJc w:val="left"/>
      <w:pPr>
        <w:ind w:left="4635" w:hanging="360"/>
      </w:pPr>
      <w:rPr>
        <w:rFonts w:ascii="Courier New" w:hAnsi="Courier New" w:cs="Courier New" w:hint="default"/>
      </w:rPr>
    </w:lvl>
    <w:lvl w:ilvl="5" w:tplc="040A0005" w:tentative="1">
      <w:start w:val="1"/>
      <w:numFmt w:val="bullet"/>
      <w:lvlText w:val=""/>
      <w:lvlJc w:val="left"/>
      <w:pPr>
        <w:ind w:left="5355" w:hanging="360"/>
      </w:pPr>
      <w:rPr>
        <w:rFonts w:ascii="Wingdings" w:hAnsi="Wingdings" w:hint="default"/>
      </w:rPr>
    </w:lvl>
    <w:lvl w:ilvl="6" w:tplc="040A0001" w:tentative="1">
      <w:start w:val="1"/>
      <w:numFmt w:val="bullet"/>
      <w:lvlText w:val=""/>
      <w:lvlJc w:val="left"/>
      <w:pPr>
        <w:ind w:left="6075" w:hanging="360"/>
      </w:pPr>
      <w:rPr>
        <w:rFonts w:ascii="Symbol" w:hAnsi="Symbol" w:hint="default"/>
      </w:rPr>
    </w:lvl>
    <w:lvl w:ilvl="7" w:tplc="040A0003" w:tentative="1">
      <w:start w:val="1"/>
      <w:numFmt w:val="bullet"/>
      <w:lvlText w:val="o"/>
      <w:lvlJc w:val="left"/>
      <w:pPr>
        <w:ind w:left="6795" w:hanging="360"/>
      </w:pPr>
      <w:rPr>
        <w:rFonts w:ascii="Courier New" w:hAnsi="Courier New" w:cs="Courier New" w:hint="default"/>
      </w:rPr>
    </w:lvl>
    <w:lvl w:ilvl="8" w:tplc="040A0005" w:tentative="1">
      <w:start w:val="1"/>
      <w:numFmt w:val="bullet"/>
      <w:lvlText w:val=""/>
      <w:lvlJc w:val="left"/>
      <w:pPr>
        <w:ind w:left="7515" w:hanging="360"/>
      </w:pPr>
      <w:rPr>
        <w:rFonts w:ascii="Wingdings" w:hAnsi="Wingdings" w:hint="default"/>
      </w:rPr>
    </w:lvl>
  </w:abstractNum>
  <w:abstractNum w:abstractNumId="15" w15:restartNumberingAfterBreak="0">
    <w:nsid w:val="0A41171F"/>
    <w:multiLevelType w:val="hybridMultilevel"/>
    <w:tmpl w:val="613E16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0A93662C"/>
    <w:multiLevelType w:val="hybridMultilevel"/>
    <w:tmpl w:val="158E5844"/>
    <w:lvl w:ilvl="0" w:tplc="080A0001">
      <w:start w:val="1"/>
      <w:numFmt w:val="bullet"/>
      <w:lvlText w:val=""/>
      <w:lvlJc w:val="left"/>
      <w:pPr>
        <w:ind w:left="720" w:hanging="360"/>
      </w:pPr>
      <w:rPr>
        <w:rFonts w:ascii="Symbol" w:hAnsi="Symbol" w:hint="default"/>
        <w:b/>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0AB56D40"/>
    <w:multiLevelType w:val="hybridMultilevel"/>
    <w:tmpl w:val="B420B0D2"/>
    <w:lvl w:ilvl="0" w:tplc="86F4AC5C">
      <w:start w:val="1"/>
      <w:numFmt w:val="upperRoman"/>
      <w:lvlText w:val="%1."/>
      <w:lvlJc w:val="left"/>
      <w:pPr>
        <w:ind w:left="1080" w:hanging="720"/>
      </w:pPr>
      <w:rPr>
        <w:rFonts w:cs="*Arial-Bold-5703-Identity-H"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0BD33E4C"/>
    <w:multiLevelType w:val="hybridMultilevel"/>
    <w:tmpl w:val="151658A4"/>
    <w:lvl w:ilvl="0" w:tplc="25AEFD1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10524DBD"/>
    <w:multiLevelType w:val="hybridMultilevel"/>
    <w:tmpl w:val="65029796"/>
    <w:lvl w:ilvl="0" w:tplc="51AEDC50">
      <w:start w:val="1"/>
      <w:numFmt w:val="upperRoman"/>
      <w:lvlText w:val="%1."/>
      <w:lvlJc w:val="left"/>
      <w:pPr>
        <w:tabs>
          <w:tab w:val="num" w:pos="2118"/>
        </w:tabs>
        <w:ind w:left="2118" w:hanging="1410"/>
      </w:pPr>
      <w:rPr>
        <w:rFonts w:hint="default"/>
      </w:rPr>
    </w:lvl>
    <w:lvl w:ilvl="1" w:tplc="0C0A0019" w:tentative="1">
      <w:start w:val="1"/>
      <w:numFmt w:val="lowerLetter"/>
      <w:lvlText w:val="%2."/>
      <w:lvlJc w:val="left"/>
      <w:pPr>
        <w:tabs>
          <w:tab w:val="num" w:pos="1788"/>
        </w:tabs>
        <w:ind w:left="1788" w:hanging="360"/>
      </w:pPr>
    </w:lvl>
    <w:lvl w:ilvl="2" w:tplc="0C0A001B" w:tentative="1">
      <w:start w:val="1"/>
      <w:numFmt w:val="lowerRoman"/>
      <w:lvlText w:val="%3."/>
      <w:lvlJc w:val="right"/>
      <w:pPr>
        <w:tabs>
          <w:tab w:val="num" w:pos="2508"/>
        </w:tabs>
        <w:ind w:left="2508" w:hanging="180"/>
      </w:pPr>
    </w:lvl>
    <w:lvl w:ilvl="3" w:tplc="0C0A000F" w:tentative="1">
      <w:start w:val="1"/>
      <w:numFmt w:val="decimal"/>
      <w:lvlText w:val="%4."/>
      <w:lvlJc w:val="left"/>
      <w:pPr>
        <w:tabs>
          <w:tab w:val="num" w:pos="3228"/>
        </w:tabs>
        <w:ind w:left="3228" w:hanging="360"/>
      </w:pPr>
    </w:lvl>
    <w:lvl w:ilvl="4" w:tplc="0C0A0019" w:tentative="1">
      <w:start w:val="1"/>
      <w:numFmt w:val="lowerLetter"/>
      <w:lvlText w:val="%5."/>
      <w:lvlJc w:val="left"/>
      <w:pPr>
        <w:tabs>
          <w:tab w:val="num" w:pos="3948"/>
        </w:tabs>
        <w:ind w:left="3948" w:hanging="360"/>
      </w:pPr>
    </w:lvl>
    <w:lvl w:ilvl="5" w:tplc="0C0A001B" w:tentative="1">
      <w:start w:val="1"/>
      <w:numFmt w:val="lowerRoman"/>
      <w:lvlText w:val="%6."/>
      <w:lvlJc w:val="right"/>
      <w:pPr>
        <w:tabs>
          <w:tab w:val="num" w:pos="4668"/>
        </w:tabs>
        <w:ind w:left="4668" w:hanging="180"/>
      </w:pPr>
    </w:lvl>
    <w:lvl w:ilvl="6" w:tplc="0C0A000F" w:tentative="1">
      <w:start w:val="1"/>
      <w:numFmt w:val="decimal"/>
      <w:lvlText w:val="%7."/>
      <w:lvlJc w:val="left"/>
      <w:pPr>
        <w:tabs>
          <w:tab w:val="num" w:pos="5388"/>
        </w:tabs>
        <w:ind w:left="5388" w:hanging="360"/>
      </w:pPr>
    </w:lvl>
    <w:lvl w:ilvl="7" w:tplc="0C0A0019" w:tentative="1">
      <w:start w:val="1"/>
      <w:numFmt w:val="lowerLetter"/>
      <w:lvlText w:val="%8."/>
      <w:lvlJc w:val="left"/>
      <w:pPr>
        <w:tabs>
          <w:tab w:val="num" w:pos="6108"/>
        </w:tabs>
        <w:ind w:left="6108" w:hanging="360"/>
      </w:pPr>
    </w:lvl>
    <w:lvl w:ilvl="8" w:tplc="0C0A001B" w:tentative="1">
      <w:start w:val="1"/>
      <w:numFmt w:val="lowerRoman"/>
      <w:lvlText w:val="%9."/>
      <w:lvlJc w:val="right"/>
      <w:pPr>
        <w:tabs>
          <w:tab w:val="num" w:pos="6828"/>
        </w:tabs>
        <w:ind w:left="6828" w:hanging="180"/>
      </w:pPr>
    </w:lvl>
  </w:abstractNum>
  <w:abstractNum w:abstractNumId="20" w15:restartNumberingAfterBreak="0">
    <w:nsid w:val="11B50A3F"/>
    <w:multiLevelType w:val="hybridMultilevel"/>
    <w:tmpl w:val="A26A3A08"/>
    <w:lvl w:ilvl="0" w:tplc="491ABD46">
      <w:start w:val="5"/>
      <w:numFmt w:val="bullet"/>
      <w:lvlText w:val="-"/>
      <w:lvlJc w:val="left"/>
      <w:pPr>
        <w:ind w:left="1068" w:hanging="360"/>
      </w:pPr>
      <w:rPr>
        <w:rFonts w:ascii="Abadi" w:eastAsiaTheme="minorHAnsi" w:hAnsi="Abadi" w:cstheme="minorBidi" w:hint="default"/>
        <w:b w:val="0"/>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21" w15:restartNumberingAfterBreak="0">
    <w:nsid w:val="13217BC4"/>
    <w:multiLevelType w:val="hybridMultilevel"/>
    <w:tmpl w:val="0922B734"/>
    <w:lvl w:ilvl="0" w:tplc="5F3876F4">
      <w:numFmt w:val="bullet"/>
      <w:lvlText w:val="-"/>
      <w:lvlJc w:val="left"/>
      <w:pPr>
        <w:ind w:left="720" w:hanging="360"/>
      </w:pPr>
      <w:rPr>
        <w:rFonts w:ascii="Abadi" w:eastAsiaTheme="minorHAnsi" w:hAnsi="Abad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15C4394A"/>
    <w:multiLevelType w:val="hybridMultilevel"/>
    <w:tmpl w:val="8DB6297C"/>
    <w:lvl w:ilvl="0" w:tplc="2D1CCF84">
      <w:start w:val="213"/>
      <w:numFmt w:val="bullet"/>
      <w:lvlText w:val="-"/>
      <w:lvlJc w:val="left"/>
      <w:pPr>
        <w:ind w:left="1440" w:hanging="360"/>
      </w:pPr>
      <w:rPr>
        <w:rFonts w:ascii="Abadi" w:eastAsiaTheme="minorHAnsi" w:hAnsi="Abadi" w:cs="ArialMT" w:hint="default"/>
        <w:b/>
        <w:i w:val="0"/>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3" w15:restartNumberingAfterBreak="0">
    <w:nsid w:val="19E516DD"/>
    <w:multiLevelType w:val="hybridMultilevel"/>
    <w:tmpl w:val="C42C663A"/>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24" w15:restartNumberingAfterBreak="0">
    <w:nsid w:val="1A34792C"/>
    <w:multiLevelType w:val="hybridMultilevel"/>
    <w:tmpl w:val="DB5C180E"/>
    <w:lvl w:ilvl="0" w:tplc="5BCAD4F8">
      <w:start w:val="13"/>
      <w:numFmt w:val="bullet"/>
      <w:lvlText w:val="-"/>
      <w:lvlJc w:val="left"/>
      <w:pPr>
        <w:ind w:left="720" w:hanging="360"/>
      </w:pPr>
      <w:rPr>
        <w:rFonts w:ascii="Abadi" w:eastAsiaTheme="minorHAnsi" w:hAnsi="Abad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1BB76FD8"/>
    <w:multiLevelType w:val="hybridMultilevel"/>
    <w:tmpl w:val="FE489C92"/>
    <w:lvl w:ilvl="0" w:tplc="6E648146">
      <w:start w:val="13"/>
      <w:numFmt w:val="bullet"/>
      <w:lvlText w:val="-"/>
      <w:lvlJc w:val="left"/>
      <w:pPr>
        <w:ind w:left="720" w:hanging="360"/>
      </w:pPr>
      <w:rPr>
        <w:rFonts w:ascii="Abadi" w:eastAsiaTheme="minorHAnsi" w:hAnsi="Abad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1C604223"/>
    <w:multiLevelType w:val="hybridMultilevel"/>
    <w:tmpl w:val="857EA6BE"/>
    <w:lvl w:ilvl="0" w:tplc="6AD00922">
      <w:start w:val="6"/>
      <w:numFmt w:val="decimal"/>
      <w:lvlText w:val="%1."/>
      <w:lvlJc w:val="left"/>
      <w:pPr>
        <w:ind w:left="1387" w:hanging="359"/>
        <w:jc w:val="right"/>
      </w:pPr>
      <w:rPr>
        <w:rFonts w:ascii="Arial" w:eastAsia="Arial" w:hAnsi="Arial" w:cs="Arial" w:hint="default"/>
        <w:b w:val="0"/>
        <w:bCs w:val="0"/>
        <w:i w:val="0"/>
        <w:iCs w:val="0"/>
        <w:spacing w:val="-1"/>
        <w:w w:val="102"/>
        <w:sz w:val="18"/>
        <w:szCs w:val="18"/>
      </w:rPr>
    </w:lvl>
    <w:lvl w:ilvl="1" w:tplc="917A9DCE">
      <w:numFmt w:val="bullet"/>
      <w:lvlText w:val="•"/>
      <w:lvlJc w:val="left"/>
      <w:pPr>
        <w:ind w:left="2368" w:hanging="359"/>
      </w:pPr>
      <w:rPr>
        <w:rFonts w:hint="default"/>
      </w:rPr>
    </w:lvl>
    <w:lvl w:ilvl="2" w:tplc="65F87674">
      <w:numFmt w:val="bullet"/>
      <w:lvlText w:val="•"/>
      <w:lvlJc w:val="left"/>
      <w:pPr>
        <w:ind w:left="3356" w:hanging="359"/>
      </w:pPr>
      <w:rPr>
        <w:rFonts w:hint="default"/>
      </w:rPr>
    </w:lvl>
    <w:lvl w:ilvl="3" w:tplc="E244C856">
      <w:numFmt w:val="bullet"/>
      <w:lvlText w:val="•"/>
      <w:lvlJc w:val="left"/>
      <w:pPr>
        <w:ind w:left="4344" w:hanging="359"/>
      </w:pPr>
      <w:rPr>
        <w:rFonts w:hint="default"/>
      </w:rPr>
    </w:lvl>
    <w:lvl w:ilvl="4" w:tplc="1AD4946A">
      <w:numFmt w:val="bullet"/>
      <w:lvlText w:val="•"/>
      <w:lvlJc w:val="left"/>
      <w:pPr>
        <w:ind w:left="5332" w:hanging="359"/>
      </w:pPr>
      <w:rPr>
        <w:rFonts w:hint="default"/>
      </w:rPr>
    </w:lvl>
    <w:lvl w:ilvl="5" w:tplc="3704ECE4">
      <w:numFmt w:val="bullet"/>
      <w:lvlText w:val="•"/>
      <w:lvlJc w:val="left"/>
      <w:pPr>
        <w:ind w:left="6320" w:hanging="359"/>
      </w:pPr>
      <w:rPr>
        <w:rFonts w:hint="default"/>
      </w:rPr>
    </w:lvl>
    <w:lvl w:ilvl="6" w:tplc="863AD7E2">
      <w:numFmt w:val="bullet"/>
      <w:lvlText w:val="•"/>
      <w:lvlJc w:val="left"/>
      <w:pPr>
        <w:ind w:left="7308" w:hanging="359"/>
      </w:pPr>
      <w:rPr>
        <w:rFonts w:hint="default"/>
      </w:rPr>
    </w:lvl>
    <w:lvl w:ilvl="7" w:tplc="AD96FC56">
      <w:numFmt w:val="bullet"/>
      <w:lvlText w:val="•"/>
      <w:lvlJc w:val="left"/>
      <w:pPr>
        <w:ind w:left="8296" w:hanging="359"/>
      </w:pPr>
      <w:rPr>
        <w:rFonts w:hint="default"/>
      </w:rPr>
    </w:lvl>
    <w:lvl w:ilvl="8" w:tplc="03C85C68">
      <w:numFmt w:val="bullet"/>
      <w:lvlText w:val="•"/>
      <w:lvlJc w:val="left"/>
      <w:pPr>
        <w:ind w:left="9284" w:hanging="359"/>
      </w:pPr>
      <w:rPr>
        <w:rFonts w:hint="default"/>
      </w:rPr>
    </w:lvl>
  </w:abstractNum>
  <w:abstractNum w:abstractNumId="27" w15:restartNumberingAfterBreak="0">
    <w:nsid w:val="1D8D5CD9"/>
    <w:multiLevelType w:val="hybridMultilevel"/>
    <w:tmpl w:val="A0F2F490"/>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1ED514B3"/>
    <w:multiLevelType w:val="hybridMultilevel"/>
    <w:tmpl w:val="D8688E38"/>
    <w:lvl w:ilvl="0" w:tplc="7D3A9660">
      <w:start w:val="1"/>
      <w:numFmt w:val="upperRoman"/>
      <w:lvlText w:val="%1."/>
      <w:lvlJc w:val="left"/>
      <w:pPr>
        <w:ind w:left="1080" w:hanging="72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1EDA534A"/>
    <w:multiLevelType w:val="singleLevel"/>
    <w:tmpl w:val="EBE672E2"/>
    <w:lvl w:ilvl="0">
      <w:start w:val="1"/>
      <w:numFmt w:val="upperRoman"/>
      <w:pStyle w:val="Ttulo4"/>
      <w:lvlText w:val="%1.-"/>
      <w:lvlJc w:val="left"/>
      <w:pPr>
        <w:tabs>
          <w:tab w:val="num" w:pos="720"/>
        </w:tabs>
        <w:ind w:left="720" w:hanging="720"/>
      </w:pPr>
      <w:rPr>
        <w:rFonts w:ascii="Arial" w:hAnsi="Arial" w:cs="Arial" w:hint="default"/>
        <w:b/>
        <w:i w:val="0"/>
        <w:sz w:val="28"/>
        <w:szCs w:val="28"/>
      </w:rPr>
    </w:lvl>
  </w:abstractNum>
  <w:abstractNum w:abstractNumId="30" w15:restartNumberingAfterBreak="0">
    <w:nsid w:val="23E66E96"/>
    <w:multiLevelType w:val="hybridMultilevel"/>
    <w:tmpl w:val="8C88AF8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23E66EE4"/>
    <w:multiLevelType w:val="multilevel"/>
    <w:tmpl w:val="EB26D7CE"/>
    <w:lvl w:ilvl="0">
      <w:start w:val="1"/>
      <w:numFmt w:val="upperRoman"/>
      <w:lvlText w:val="%1."/>
      <w:lvlJc w:val="left"/>
      <w:pPr>
        <w:ind w:left="1080" w:hanging="720"/>
      </w:pPr>
      <w:rPr>
        <w:rFonts w:hint="default"/>
      </w:rPr>
    </w:lvl>
    <w:lvl w:ilvl="1">
      <w:start w:val="5"/>
      <w:numFmt w:val="decimal"/>
      <w:isLgl/>
      <w:lvlText w:val="%1.%2"/>
      <w:lvlJc w:val="left"/>
      <w:pPr>
        <w:ind w:left="1428" w:hanging="720"/>
      </w:pPr>
      <w:rPr>
        <w:rFonts w:hint="default"/>
        <w:b/>
      </w:rPr>
    </w:lvl>
    <w:lvl w:ilvl="2">
      <w:start w:val="1"/>
      <w:numFmt w:val="decimal"/>
      <w:isLgl/>
      <w:lvlText w:val="%1.%2.%3"/>
      <w:lvlJc w:val="left"/>
      <w:pPr>
        <w:ind w:left="1776" w:hanging="720"/>
      </w:pPr>
      <w:rPr>
        <w:rFonts w:hint="default"/>
        <w:b/>
      </w:rPr>
    </w:lvl>
    <w:lvl w:ilvl="3">
      <w:start w:val="1"/>
      <w:numFmt w:val="decimal"/>
      <w:isLgl/>
      <w:lvlText w:val="%1.%2.%3.%4"/>
      <w:lvlJc w:val="left"/>
      <w:pPr>
        <w:ind w:left="2484" w:hanging="1080"/>
      </w:pPr>
      <w:rPr>
        <w:rFonts w:hint="default"/>
        <w:b/>
      </w:rPr>
    </w:lvl>
    <w:lvl w:ilvl="4">
      <w:start w:val="1"/>
      <w:numFmt w:val="decimal"/>
      <w:isLgl/>
      <w:lvlText w:val="%1.%2.%3.%4.%5"/>
      <w:lvlJc w:val="left"/>
      <w:pPr>
        <w:ind w:left="2832" w:hanging="1080"/>
      </w:pPr>
      <w:rPr>
        <w:rFonts w:hint="default"/>
        <w:b/>
      </w:rPr>
    </w:lvl>
    <w:lvl w:ilvl="5">
      <w:start w:val="1"/>
      <w:numFmt w:val="decimal"/>
      <w:isLgl/>
      <w:lvlText w:val="%1.%2.%3.%4.%5.%6"/>
      <w:lvlJc w:val="left"/>
      <w:pPr>
        <w:ind w:left="3540" w:hanging="1440"/>
      </w:pPr>
      <w:rPr>
        <w:rFonts w:hint="default"/>
        <w:b/>
      </w:rPr>
    </w:lvl>
    <w:lvl w:ilvl="6">
      <w:start w:val="1"/>
      <w:numFmt w:val="decimal"/>
      <w:isLgl/>
      <w:lvlText w:val="%1.%2.%3.%4.%5.%6.%7"/>
      <w:lvlJc w:val="left"/>
      <w:pPr>
        <w:ind w:left="4248" w:hanging="1800"/>
      </w:pPr>
      <w:rPr>
        <w:rFonts w:hint="default"/>
        <w:b/>
      </w:rPr>
    </w:lvl>
    <w:lvl w:ilvl="7">
      <w:start w:val="1"/>
      <w:numFmt w:val="decimal"/>
      <w:isLgl/>
      <w:lvlText w:val="%1.%2.%3.%4.%5.%6.%7.%8"/>
      <w:lvlJc w:val="left"/>
      <w:pPr>
        <w:ind w:left="4596" w:hanging="1800"/>
      </w:pPr>
      <w:rPr>
        <w:rFonts w:hint="default"/>
        <w:b/>
      </w:rPr>
    </w:lvl>
    <w:lvl w:ilvl="8">
      <w:start w:val="1"/>
      <w:numFmt w:val="decimal"/>
      <w:isLgl/>
      <w:lvlText w:val="%1.%2.%3.%4.%5.%6.%7.%8.%9"/>
      <w:lvlJc w:val="left"/>
      <w:pPr>
        <w:ind w:left="5304" w:hanging="2160"/>
      </w:pPr>
      <w:rPr>
        <w:rFonts w:hint="default"/>
        <w:b/>
      </w:rPr>
    </w:lvl>
  </w:abstractNum>
  <w:abstractNum w:abstractNumId="32" w15:restartNumberingAfterBreak="0">
    <w:nsid w:val="25EF055F"/>
    <w:multiLevelType w:val="hybridMultilevel"/>
    <w:tmpl w:val="884436AC"/>
    <w:lvl w:ilvl="0" w:tplc="D062E2A0">
      <w:numFmt w:val="bullet"/>
      <w:lvlText w:val="•"/>
      <w:lvlJc w:val="left"/>
      <w:pPr>
        <w:ind w:left="1783" w:hanging="358"/>
      </w:pPr>
      <w:rPr>
        <w:rFonts w:ascii="Arial" w:eastAsia="Arial" w:hAnsi="Arial" w:cs="Arial" w:hint="default"/>
        <w:b w:val="0"/>
        <w:bCs w:val="0"/>
        <w:i w:val="0"/>
        <w:iCs w:val="0"/>
        <w:w w:val="99"/>
        <w:sz w:val="18"/>
        <w:szCs w:val="18"/>
      </w:rPr>
    </w:lvl>
    <w:lvl w:ilvl="1" w:tplc="A6F48D94">
      <w:numFmt w:val="bullet"/>
      <w:lvlText w:val="•"/>
      <w:lvlJc w:val="left"/>
      <w:pPr>
        <w:ind w:left="2420" w:hanging="358"/>
      </w:pPr>
      <w:rPr>
        <w:rFonts w:hint="default"/>
      </w:rPr>
    </w:lvl>
    <w:lvl w:ilvl="2" w:tplc="EDE878AA">
      <w:numFmt w:val="bullet"/>
      <w:lvlText w:val="•"/>
      <w:lvlJc w:val="left"/>
      <w:pPr>
        <w:ind w:left="3291" w:hanging="358"/>
      </w:pPr>
      <w:rPr>
        <w:rFonts w:hint="default"/>
      </w:rPr>
    </w:lvl>
    <w:lvl w:ilvl="3" w:tplc="7E54D2A2">
      <w:numFmt w:val="bullet"/>
      <w:lvlText w:val="•"/>
      <w:lvlJc w:val="left"/>
      <w:pPr>
        <w:ind w:left="4162" w:hanging="358"/>
      </w:pPr>
      <w:rPr>
        <w:rFonts w:hint="default"/>
      </w:rPr>
    </w:lvl>
    <w:lvl w:ilvl="4" w:tplc="2968FB18">
      <w:numFmt w:val="bullet"/>
      <w:lvlText w:val="•"/>
      <w:lvlJc w:val="left"/>
      <w:pPr>
        <w:ind w:left="5033" w:hanging="358"/>
      </w:pPr>
      <w:rPr>
        <w:rFonts w:hint="default"/>
      </w:rPr>
    </w:lvl>
    <w:lvl w:ilvl="5" w:tplc="6D166838">
      <w:numFmt w:val="bullet"/>
      <w:lvlText w:val="•"/>
      <w:lvlJc w:val="left"/>
      <w:pPr>
        <w:ind w:left="5904" w:hanging="358"/>
      </w:pPr>
      <w:rPr>
        <w:rFonts w:hint="default"/>
      </w:rPr>
    </w:lvl>
    <w:lvl w:ilvl="6" w:tplc="89040548">
      <w:numFmt w:val="bullet"/>
      <w:lvlText w:val="•"/>
      <w:lvlJc w:val="left"/>
      <w:pPr>
        <w:ind w:left="6776" w:hanging="358"/>
      </w:pPr>
      <w:rPr>
        <w:rFonts w:hint="default"/>
      </w:rPr>
    </w:lvl>
    <w:lvl w:ilvl="7" w:tplc="E19A6F48">
      <w:numFmt w:val="bullet"/>
      <w:lvlText w:val="•"/>
      <w:lvlJc w:val="left"/>
      <w:pPr>
        <w:ind w:left="7647" w:hanging="358"/>
      </w:pPr>
      <w:rPr>
        <w:rFonts w:hint="default"/>
      </w:rPr>
    </w:lvl>
    <w:lvl w:ilvl="8" w:tplc="821E2254">
      <w:numFmt w:val="bullet"/>
      <w:lvlText w:val="•"/>
      <w:lvlJc w:val="left"/>
      <w:pPr>
        <w:ind w:left="8518" w:hanging="358"/>
      </w:pPr>
      <w:rPr>
        <w:rFonts w:hint="default"/>
      </w:rPr>
    </w:lvl>
  </w:abstractNum>
  <w:abstractNum w:abstractNumId="33" w15:restartNumberingAfterBreak="0">
    <w:nsid w:val="28643641"/>
    <w:multiLevelType w:val="hybridMultilevel"/>
    <w:tmpl w:val="3AE49E3A"/>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34" w15:restartNumberingAfterBreak="0">
    <w:nsid w:val="2A1C24A8"/>
    <w:multiLevelType w:val="hybridMultilevel"/>
    <w:tmpl w:val="9780B5E0"/>
    <w:lvl w:ilvl="0" w:tplc="B540CB6C">
      <w:start w:val="1"/>
      <w:numFmt w:val="upperRoman"/>
      <w:lvlText w:val="%1."/>
      <w:lvlJc w:val="left"/>
      <w:pPr>
        <w:ind w:left="780" w:hanging="720"/>
      </w:pPr>
      <w:rPr>
        <w:rFonts w:hint="default"/>
      </w:rPr>
    </w:lvl>
    <w:lvl w:ilvl="1" w:tplc="080A0019" w:tentative="1">
      <w:start w:val="1"/>
      <w:numFmt w:val="lowerLetter"/>
      <w:lvlText w:val="%2."/>
      <w:lvlJc w:val="left"/>
      <w:pPr>
        <w:ind w:left="1140" w:hanging="360"/>
      </w:pPr>
    </w:lvl>
    <w:lvl w:ilvl="2" w:tplc="080A001B" w:tentative="1">
      <w:start w:val="1"/>
      <w:numFmt w:val="lowerRoman"/>
      <w:lvlText w:val="%3."/>
      <w:lvlJc w:val="right"/>
      <w:pPr>
        <w:ind w:left="1860" w:hanging="180"/>
      </w:pPr>
    </w:lvl>
    <w:lvl w:ilvl="3" w:tplc="080A000F" w:tentative="1">
      <w:start w:val="1"/>
      <w:numFmt w:val="decimal"/>
      <w:lvlText w:val="%4."/>
      <w:lvlJc w:val="left"/>
      <w:pPr>
        <w:ind w:left="2580" w:hanging="360"/>
      </w:pPr>
    </w:lvl>
    <w:lvl w:ilvl="4" w:tplc="080A0019" w:tentative="1">
      <w:start w:val="1"/>
      <w:numFmt w:val="lowerLetter"/>
      <w:lvlText w:val="%5."/>
      <w:lvlJc w:val="left"/>
      <w:pPr>
        <w:ind w:left="3300" w:hanging="360"/>
      </w:pPr>
    </w:lvl>
    <w:lvl w:ilvl="5" w:tplc="080A001B" w:tentative="1">
      <w:start w:val="1"/>
      <w:numFmt w:val="lowerRoman"/>
      <w:lvlText w:val="%6."/>
      <w:lvlJc w:val="right"/>
      <w:pPr>
        <w:ind w:left="4020" w:hanging="180"/>
      </w:pPr>
    </w:lvl>
    <w:lvl w:ilvl="6" w:tplc="080A000F" w:tentative="1">
      <w:start w:val="1"/>
      <w:numFmt w:val="decimal"/>
      <w:lvlText w:val="%7."/>
      <w:lvlJc w:val="left"/>
      <w:pPr>
        <w:ind w:left="4740" w:hanging="360"/>
      </w:pPr>
    </w:lvl>
    <w:lvl w:ilvl="7" w:tplc="080A0019" w:tentative="1">
      <w:start w:val="1"/>
      <w:numFmt w:val="lowerLetter"/>
      <w:lvlText w:val="%8."/>
      <w:lvlJc w:val="left"/>
      <w:pPr>
        <w:ind w:left="5460" w:hanging="360"/>
      </w:pPr>
    </w:lvl>
    <w:lvl w:ilvl="8" w:tplc="080A001B" w:tentative="1">
      <w:start w:val="1"/>
      <w:numFmt w:val="lowerRoman"/>
      <w:lvlText w:val="%9."/>
      <w:lvlJc w:val="right"/>
      <w:pPr>
        <w:ind w:left="6180" w:hanging="180"/>
      </w:pPr>
    </w:lvl>
  </w:abstractNum>
  <w:abstractNum w:abstractNumId="35" w15:restartNumberingAfterBreak="0">
    <w:nsid w:val="2CCB2CF3"/>
    <w:multiLevelType w:val="hybridMultilevel"/>
    <w:tmpl w:val="B03EE276"/>
    <w:lvl w:ilvl="0" w:tplc="080A0013">
      <w:start w:val="1"/>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2DE72D63"/>
    <w:multiLevelType w:val="hybridMultilevel"/>
    <w:tmpl w:val="1914897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2F020C88"/>
    <w:multiLevelType w:val="hybridMultilevel"/>
    <w:tmpl w:val="1AAEDC62"/>
    <w:lvl w:ilvl="0" w:tplc="2D20B454">
      <w:start w:val="1"/>
      <w:numFmt w:val="decimal"/>
      <w:lvlText w:val="%1."/>
      <w:lvlJc w:val="left"/>
      <w:pPr>
        <w:ind w:left="720" w:hanging="360"/>
      </w:pPr>
      <w:rPr>
        <w:rFonts w:ascii="Calibri" w:eastAsia="Calibri" w:hAnsi="Calibri" w:cs="Times New Roman" w:hint="default"/>
        <w:b/>
        <w:sz w:val="18"/>
        <w:szCs w:val="1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30265159"/>
    <w:multiLevelType w:val="hybridMultilevel"/>
    <w:tmpl w:val="39F61A2A"/>
    <w:lvl w:ilvl="0" w:tplc="080A0009">
      <w:start w:val="1"/>
      <w:numFmt w:val="bullet"/>
      <w:lvlText w:val=""/>
      <w:lvlJc w:val="left"/>
      <w:pPr>
        <w:ind w:left="1919" w:hanging="360"/>
      </w:pPr>
      <w:rPr>
        <w:rFonts w:ascii="Wingdings" w:hAnsi="Wingdings" w:hint="default"/>
      </w:rPr>
    </w:lvl>
    <w:lvl w:ilvl="1" w:tplc="080A0003" w:tentative="1">
      <w:start w:val="1"/>
      <w:numFmt w:val="bullet"/>
      <w:lvlText w:val="o"/>
      <w:lvlJc w:val="left"/>
      <w:pPr>
        <w:ind w:left="2639" w:hanging="360"/>
      </w:pPr>
      <w:rPr>
        <w:rFonts w:ascii="Courier New" w:hAnsi="Courier New" w:cs="Courier New" w:hint="default"/>
      </w:rPr>
    </w:lvl>
    <w:lvl w:ilvl="2" w:tplc="080A0005" w:tentative="1">
      <w:start w:val="1"/>
      <w:numFmt w:val="bullet"/>
      <w:lvlText w:val=""/>
      <w:lvlJc w:val="left"/>
      <w:pPr>
        <w:ind w:left="3359" w:hanging="360"/>
      </w:pPr>
      <w:rPr>
        <w:rFonts w:ascii="Wingdings" w:hAnsi="Wingdings" w:hint="default"/>
      </w:rPr>
    </w:lvl>
    <w:lvl w:ilvl="3" w:tplc="080A0001" w:tentative="1">
      <w:start w:val="1"/>
      <w:numFmt w:val="bullet"/>
      <w:lvlText w:val=""/>
      <w:lvlJc w:val="left"/>
      <w:pPr>
        <w:ind w:left="4079" w:hanging="360"/>
      </w:pPr>
      <w:rPr>
        <w:rFonts w:ascii="Symbol" w:hAnsi="Symbol" w:hint="default"/>
      </w:rPr>
    </w:lvl>
    <w:lvl w:ilvl="4" w:tplc="080A0003" w:tentative="1">
      <w:start w:val="1"/>
      <w:numFmt w:val="bullet"/>
      <w:lvlText w:val="o"/>
      <w:lvlJc w:val="left"/>
      <w:pPr>
        <w:ind w:left="4799" w:hanging="360"/>
      </w:pPr>
      <w:rPr>
        <w:rFonts w:ascii="Courier New" w:hAnsi="Courier New" w:cs="Courier New" w:hint="default"/>
      </w:rPr>
    </w:lvl>
    <w:lvl w:ilvl="5" w:tplc="080A0005" w:tentative="1">
      <w:start w:val="1"/>
      <w:numFmt w:val="bullet"/>
      <w:lvlText w:val=""/>
      <w:lvlJc w:val="left"/>
      <w:pPr>
        <w:ind w:left="5519" w:hanging="360"/>
      </w:pPr>
      <w:rPr>
        <w:rFonts w:ascii="Wingdings" w:hAnsi="Wingdings" w:hint="default"/>
      </w:rPr>
    </w:lvl>
    <w:lvl w:ilvl="6" w:tplc="080A0001" w:tentative="1">
      <w:start w:val="1"/>
      <w:numFmt w:val="bullet"/>
      <w:lvlText w:val=""/>
      <w:lvlJc w:val="left"/>
      <w:pPr>
        <w:ind w:left="6239" w:hanging="360"/>
      </w:pPr>
      <w:rPr>
        <w:rFonts w:ascii="Symbol" w:hAnsi="Symbol" w:hint="default"/>
      </w:rPr>
    </w:lvl>
    <w:lvl w:ilvl="7" w:tplc="080A0003" w:tentative="1">
      <w:start w:val="1"/>
      <w:numFmt w:val="bullet"/>
      <w:lvlText w:val="o"/>
      <w:lvlJc w:val="left"/>
      <w:pPr>
        <w:ind w:left="6959" w:hanging="360"/>
      </w:pPr>
      <w:rPr>
        <w:rFonts w:ascii="Courier New" w:hAnsi="Courier New" w:cs="Courier New" w:hint="default"/>
      </w:rPr>
    </w:lvl>
    <w:lvl w:ilvl="8" w:tplc="080A0005" w:tentative="1">
      <w:start w:val="1"/>
      <w:numFmt w:val="bullet"/>
      <w:lvlText w:val=""/>
      <w:lvlJc w:val="left"/>
      <w:pPr>
        <w:ind w:left="7679" w:hanging="360"/>
      </w:pPr>
      <w:rPr>
        <w:rFonts w:ascii="Wingdings" w:hAnsi="Wingdings" w:hint="default"/>
      </w:rPr>
    </w:lvl>
  </w:abstractNum>
  <w:abstractNum w:abstractNumId="39" w15:restartNumberingAfterBreak="0">
    <w:nsid w:val="305432D8"/>
    <w:multiLevelType w:val="hybridMultilevel"/>
    <w:tmpl w:val="51FC8C04"/>
    <w:lvl w:ilvl="0" w:tplc="16507642">
      <w:start w:val="3"/>
      <w:numFmt w:val="upperRoman"/>
      <w:lvlText w:val="%1."/>
      <w:lvlJc w:val="left"/>
      <w:pPr>
        <w:ind w:left="3283" w:hanging="720"/>
      </w:pPr>
      <w:rPr>
        <w:rFonts w:hint="default"/>
        <w:b/>
        <w:bCs/>
      </w:rPr>
    </w:lvl>
    <w:lvl w:ilvl="1" w:tplc="040A0019" w:tentative="1">
      <w:start w:val="1"/>
      <w:numFmt w:val="lowerLetter"/>
      <w:lvlText w:val="%2."/>
      <w:lvlJc w:val="left"/>
      <w:pPr>
        <w:ind w:left="3643" w:hanging="360"/>
      </w:pPr>
    </w:lvl>
    <w:lvl w:ilvl="2" w:tplc="040A001B" w:tentative="1">
      <w:start w:val="1"/>
      <w:numFmt w:val="lowerRoman"/>
      <w:lvlText w:val="%3."/>
      <w:lvlJc w:val="right"/>
      <w:pPr>
        <w:ind w:left="4363" w:hanging="180"/>
      </w:pPr>
    </w:lvl>
    <w:lvl w:ilvl="3" w:tplc="040A000F" w:tentative="1">
      <w:start w:val="1"/>
      <w:numFmt w:val="decimal"/>
      <w:lvlText w:val="%4."/>
      <w:lvlJc w:val="left"/>
      <w:pPr>
        <w:ind w:left="5083" w:hanging="360"/>
      </w:pPr>
    </w:lvl>
    <w:lvl w:ilvl="4" w:tplc="040A0019" w:tentative="1">
      <w:start w:val="1"/>
      <w:numFmt w:val="lowerLetter"/>
      <w:lvlText w:val="%5."/>
      <w:lvlJc w:val="left"/>
      <w:pPr>
        <w:ind w:left="5803" w:hanging="360"/>
      </w:pPr>
    </w:lvl>
    <w:lvl w:ilvl="5" w:tplc="040A001B" w:tentative="1">
      <w:start w:val="1"/>
      <w:numFmt w:val="lowerRoman"/>
      <w:lvlText w:val="%6."/>
      <w:lvlJc w:val="right"/>
      <w:pPr>
        <w:ind w:left="6523" w:hanging="180"/>
      </w:pPr>
    </w:lvl>
    <w:lvl w:ilvl="6" w:tplc="040A000F" w:tentative="1">
      <w:start w:val="1"/>
      <w:numFmt w:val="decimal"/>
      <w:lvlText w:val="%7."/>
      <w:lvlJc w:val="left"/>
      <w:pPr>
        <w:ind w:left="7243" w:hanging="360"/>
      </w:pPr>
    </w:lvl>
    <w:lvl w:ilvl="7" w:tplc="040A0019" w:tentative="1">
      <w:start w:val="1"/>
      <w:numFmt w:val="lowerLetter"/>
      <w:lvlText w:val="%8."/>
      <w:lvlJc w:val="left"/>
      <w:pPr>
        <w:ind w:left="7963" w:hanging="360"/>
      </w:pPr>
    </w:lvl>
    <w:lvl w:ilvl="8" w:tplc="040A001B" w:tentative="1">
      <w:start w:val="1"/>
      <w:numFmt w:val="lowerRoman"/>
      <w:lvlText w:val="%9."/>
      <w:lvlJc w:val="right"/>
      <w:pPr>
        <w:ind w:left="8683" w:hanging="180"/>
      </w:pPr>
    </w:lvl>
  </w:abstractNum>
  <w:abstractNum w:abstractNumId="40" w15:restartNumberingAfterBreak="0">
    <w:nsid w:val="335E6BC1"/>
    <w:multiLevelType w:val="hybridMultilevel"/>
    <w:tmpl w:val="F5263AAE"/>
    <w:lvl w:ilvl="0" w:tplc="0B180A86">
      <w:start w:val="1"/>
      <w:numFmt w:val="upperRoman"/>
      <w:lvlText w:val="%1."/>
      <w:lvlJc w:val="left"/>
      <w:pPr>
        <w:ind w:left="1080" w:hanging="720"/>
      </w:pPr>
      <w:rPr>
        <w:rFonts w:cs="Arial-BoldMT"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354313A6"/>
    <w:multiLevelType w:val="hybridMultilevel"/>
    <w:tmpl w:val="A66C1AD6"/>
    <w:lvl w:ilvl="0" w:tplc="F2867FB8">
      <w:start w:val="1"/>
      <w:numFmt w:val="upperRoman"/>
      <w:lvlText w:val="%1."/>
      <w:lvlJc w:val="left"/>
      <w:pPr>
        <w:ind w:left="1080" w:hanging="72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37CB339D"/>
    <w:multiLevelType w:val="hybridMultilevel"/>
    <w:tmpl w:val="6DFA8706"/>
    <w:lvl w:ilvl="0" w:tplc="080A0001">
      <w:start w:val="1"/>
      <w:numFmt w:val="bullet"/>
      <w:lvlText w:val=""/>
      <w:lvlJc w:val="left"/>
      <w:pPr>
        <w:ind w:left="2138" w:hanging="360"/>
      </w:pPr>
      <w:rPr>
        <w:rFonts w:ascii="Symbol" w:hAnsi="Symbol" w:hint="default"/>
      </w:rPr>
    </w:lvl>
    <w:lvl w:ilvl="1" w:tplc="040A0003" w:tentative="1">
      <w:start w:val="1"/>
      <w:numFmt w:val="bullet"/>
      <w:lvlText w:val="o"/>
      <w:lvlJc w:val="left"/>
      <w:pPr>
        <w:ind w:left="2858" w:hanging="360"/>
      </w:pPr>
      <w:rPr>
        <w:rFonts w:ascii="Courier New" w:hAnsi="Courier New" w:cs="Courier New" w:hint="default"/>
      </w:rPr>
    </w:lvl>
    <w:lvl w:ilvl="2" w:tplc="040A0005" w:tentative="1">
      <w:start w:val="1"/>
      <w:numFmt w:val="bullet"/>
      <w:lvlText w:val=""/>
      <w:lvlJc w:val="left"/>
      <w:pPr>
        <w:ind w:left="3578" w:hanging="360"/>
      </w:pPr>
      <w:rPr>
        <w:rFonts w:ascii="Wingdings" w:hAnsi="Wingdings" w:hint="default"/>
      </w:rPr>
    </w:lvl>
    <w:lvl w:ilvl="3" w:tplc="040A0001" w:tentative="1">
      <w:start w:val="1"/>
      <w:numFmt w:val="bullet"/>
      <w:lvlText w:val=""/>
      <w:lvlJc w:val="left"/>
      <w:pPr>
        <w:ind w:left="4298" w:hanging="360"/>
      </w:pPr>
      <w:rPr>
        <w:rFonts w:ascii="Symbol" w:hAnsi="Symbol" w:hint="default"/>
      </w:rPr>
    </w:lvl>
    <w:lvl w:ilvl="4" w:tplc="040A0003" w:tentative="1">
      <w:start w:val="1"/>
      <w:numFmt w:val="bullet"/>
      <w:lvlText w:val="o"/>
      <w:lvlJc w:val="left"/>
      <w:pPr>
        <w:ind w:left="5018" w:hanging="360"/>
      </w:pPr>
      <w:rPr>
        <w:rFonts w:ascii="Courier New" w:hAnsi="Courier New" w:cs="Courier New" w:hint="default"/>
      </w:rPr>
    </w:lvl>
    <w:lvl w:ilvl="5" w:tplc="040A0005" w:tentative="1">
      <w:start w:val="1"/>
      <w:numFmt w:val="bullet"/>
      <w:lvlText w:val=""/>
      <w:lvlJc w:val="left"/>
      <w:pPr>
        <w:ind w:left="5738" w:hanging="360"/>
      </w:pPr>
      <w:rPr>
        <w:rFonts w:ascii="Wingdings" w:hAnsi="Wingdings" w:hint="default"/>
      </w:rPr>
    </w:lvl>
    <w:lvl w:ilvl="6" w:tplc="040A0001" w:tentative="1">
      <w:start w:val="1"/>
      <w:numFmt w:val="bullet"/>
      <w:lvlText w:val=""/>
      <w:lvlJc w:val="left"/>
      <w:pPr>
        <w:ind w:left="6458" w:hanging="360"/>
      </w:pPr>
      <w:rPr>
        <w:rFonts w:ascii="Symbol" w:hAnsi="Symbol" w:hint="default"/>
      </w:rPr>
    </w:lvl>
    <w:lvl w:ilvl="7" w:tplc="040A0003" w:tentative="1">
      <w:start w:val="1"/>
      <w:numFmt w:val="bullet"/>
      <w:lvlText w:val="o"/>
      <w:lvlJc w:val="left"/>
      <w:pPr>
        <w:ind w:left="7178" w:hanging="360"/>
      </w:pPr>
      <w:rPr>
        <w:rFonts w:ascii="Courier New" w:hAnsi="Courier New" w:cs="Courier New" w:hint="default"/>
      </w:rPr>
    </w:lvl>
    <w:lvl w:ilvl="8" w:tplc="040A0005" w:tentative="1">
      <w:start w:val="1"/>
      <w:numFmt w:val="bullet"/>
      <w:lvlText w:val=""/>
      <w:lvlJc w:val="left"/>
      <w:pPr>
        <w:ind w:left="7898" w:hanging="360"/>
      </w:pPr>
      <w:rPr>
        <w:rFonts w:ascii="Wingdings" w:hAnsi="Wingdings" w:hint="default"/>
      </w:rPr>
    </w:lvl>
  </w:abstractNum>
  <w:abstractNum w:abstractNumId="43" w15:restartNumberingAfterBreak="0">
    <w:nsid w:val="3B5737F3"/>
    <w:multiLevelType w:val="hybridMultilevel"/>
    <w:tmpl w:val="9F92320C"/>
    <w:lvl w:ilvl="0" w:tplc="59EC143E">
      <w:start w:val="1"/>
      <w:numFmt w:val="lowerLetter"/>
      <w:lvlText w:val="%1)"/>
      <w:lvlJc w:val="left"/>
      <w:pPr>
        <w:ind w:left="6779" w:hanging="360"/>
      </w:pPr>
      <w:rPr>
        <w:rFonts w:hint="default"/>
        <w:b/>
        <w:bCs/>
      </w:rPr>
    </w:lvl>
    <w:lvl w:ilvl="1" w:tplc="080A0019" w:tentative="1">
      <w:start w:val="1"/>
      <w:numFmt w:val="lowerLetter"/>
      <w:lvlText w:val="%2."/>
      <w:lvlJc w:val="left"/>
      <w:pPr>
        <w:ind w:left="7499" w:hanging="360"/>
      </w:pPr>
    </w:lvl>
    <w:lvl w:ilvl="2" w:tplc="080A001B" w:tentative="1">
      <w:start w:val="1"/>
      <w:numFmt w:val="lowerRoman"/>
      <w:lvlText w:val="%3."/>
      <w:lvlJc w:val="right"/>
      <w:pPr>
        <w:ind w:left="8219" w:hanging="180"/>
      </w:pPr>
    </w:lvl>
    <w:lvl w:ilvl="3" w:tplc="080A000F" w:tentative="1">
      <w:start w:val="1"/>
      <w:numFmt w:val="decimal"/>
      <w:lvlText w:val="%4."/>
      <w:lvlJc w:val="left"/>
      <w:pPr>
        <w:ind w:left="8939" w:hanging="360"/>
      </w:pPr>
    </w:lvl>
    <w:lvl w:ilvl="4" w:tplc="080A0019" w:tentative="1">
      <w:start w:val="1"/>
      <w:numFmt w:val="lowerLetter"/>
      <w:lvlText w:val="%5."/>
      <w:lvlJc w:val="left"/>
      <w:pPr>
        <w:ind w:left="9659" w:hanging="360"/>
      </w:pPr>
    </w:lvl>
    <w:lvl w:ilvl="5" w:tplc="080A001B" w:tentative="1">
      <w:start w:val="1"/>
      <w:numFmt w:val="lowerRoman"/>
      <w:lvlText w:val="%6."/>
      <w:lvlJc w:val="right"/>
      <w:pPr>
        <w:ind w:left="10379" w:hanging="180"/>
      </w:pPr>
    </w:lvl>
    <w:lvl w:ilvl="6" w:tplc="080A000F" w:tentative="1">
      <w:start w:val="1"/>
      <w:numFmt w:val="decimal"/>
      <w:lvlText w:val="%7."/>
      <w:lvlJc w:val="left"/>
      <w:pPr>
        <w:ind w:left="11099" w:hanging="360"/>
      </w:pPr>
    </w:lvl>
    <w:lvl w:ilvl="7" w:tplc="080A0019" w:tentative="1">
      <w:start w:val="1"/>
      <w:numFmt w:val="lowerLetter"/>
      <w:lvlText w:val="%8."/>
      <w:lvlJc w:val="left"/>
      <w:pPr>
        <w:ind w:left="11819" w:hanging="360"/>
      </w:pPr>
    </w:lvl>
    <w:lvl w:ilvl="8" w:tplc="080A001B" w:tentative="1">
      <w:start w:val="1"/>
      <w:numFmt w:val="lowerRoman"/>
      <w:lvlText w:val="%9."/>
      <w:lvlJc w:val="right"/>
      <w:pPr>
        <w:ind w:left="12539" w:hanging="180"/>
      </w:pPr>
    </w:lvl>
  </w:abstractNum>
  <w:abstractNum w:abstractNumId="44" w15:restartNumberingAfterBreak="0">
    <w:nsid w:val="3CA82E3A"/>
    <w:multiLevelType w:val="hybridMultilevel"/>
    <w:tmpl w:val="4E28B01A"/>
    <w:lvl w:ilvl="0" w:tplc="B10A5A28">
      <w:start w:val="1"/>
      <w:numFmt w:val="bullet"/>
      <w:lvlText w:val=""/>
      <w:lvlJc w:val="left"/>
      <w:pPr>
        <w:ind w:left="1004" w:hanging="360"/>
      </w:pPr>
      <w:rPr>
        <w:rFonts w:ascii="Symbol" w:hAnsi="Symbol" w:hint="default"/>
        <w:b/>
        <w:i w:val="0"/>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45" w15:restartNumberingAfterBreak="0">
    <w:nsid w:val="3DC620A9"/>
    <w:multiLevelType w:val="hybridMultilevel"/>
    <w:tmpl w:val="ECA89D90"/>
    <w:lvl w:ilvl="0" w:tplc="979E2F9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15:restartNumberingAfterBreak="0">
    <w:nsid w:val="3DE531D4"/>
    <w:multiLevelType w:val="hybridMultilevel"/>
    <w:tmpl w:val="5330E738"/>
    <w:lvl w:ilvl="0" w:tplc="0660D9B2">
      <w:numFmt w:val="bullet"/>
      <w:lvlText w:val="•"/>
      <w:lvlJc w:val="left"/>
      <w:pPr>
        <w:ind w:left="1429" w:hanging="360"/>
      </w:pPr>
      <w:rPr>
        <w:rFonts w:ascii="Arial" w:eastAsia="Arial" w:hAnsi="Arial" w:cs="Arial" w:hint="default"/>
        <w:b w:val="0"/>
        <w:bCs w:val="0"/>
        <w:i w:val="0"/>
        <w:iCs w:val="0"/>
        <w:color w:val="18161F"/>
        <w:w w:val="100"/>
        <w:sz w:val="23"/>
        <w:szCs w:val="23"/>
      </w:rPr>
    </w:lvl>
    <w:lvl w:ilvl="1" w:tplc="040A0003" w:tentative="1">
      <w:start w:val="1"/>
      <w:numFmt w:val="bullet"/>
      <w:lvlText w:val="o"/>
      <w:lvlJc w:val="left"/>
      <w:pPr>
        <w:ind w:left="2149" w:hanging="360"/>
      </w:pPr>
      <w:rPr>
        <w:rFonts w:ascii="Courier New" w:hAnsi="Courier New" w:cs="Courier New" w:hint="default"/>
      </w:rPr>
    </w:lvl>
    <w:lvl w:ilvl="2" w:tplc="040A0005" w:tentative="1">
      <w:start w:val="1"/>
      <w:numFmt w:val="bullet"/>
      <w:lvlText w:val=""/>
      <w:lvlJc w:val="left"/>
      <w:pPr>
        <w:ind w:left="2869" w:hanging="360"/>
      </w:pPr>
      <w:rPr>
        <w:rFonts w:ascii="Wingdings" w:hAnsi="Wingdings" w:hint="default"/>
      </w:rPr>
    </w:lvl>
    <w:lvl w:ilvl="3" w:tplc="040A0001" w:tentative="1">
      <w:start w:val="1"/>
      <w:numFmt w:val="bullet"/>
      <w:lvlText w:val=""/>
      <w:lvlJc w:val="left"/>
      <w:pPr>
        <w:ind w:left="3589" w:hanging="360"/>
      </w:pPr>
      <w:rPr>
        <w:rFonts w:ascii="Symbol" w:hAnsi="Symbol" w:hint="default"/>
      </w:rPr>
    </w:lvl>
    <w:lvl w:ilvl="4" w:tplc="040A0003" w:tentative="1">
      <w:start w:val="1"/>
      <w:numFmt w:val="bullet"/>
      <w:lvlText w:val="o"/>
      <w:lvlJc w:val="left"/>
      <w:pPr>
        <w:ind w:left="4309" w:hanging="360"/>
      </w:pPr>
      <w:rPr>
        <w:rFonts w:ascii="Courier New" w:hAnsi="Courier New" w:cs="Courier New" w:hint="default"/>
      </w:rPr>
    </w:lvl>
    <w:lvl w:ilvl="5" w:tplc="040A0005" w:tentative="1">
      <w:start w:val="1"/>
      <w:numFmt w:val="bullet"/>
      <w:lvlText w:val=""/>
      <w:lvlJc w:val="left"/>
      <w:pPr>
        <w:ind w:left="5029" w:hanging="360"/>
      </w:pPr>
      <w:rPr>
        <w:rFonts w:ascii="Wingdings" w:hAnsi="Wingdings" w:hint="default"/>
      </w:rPr>
    </w:lvl>
    <w:lvl w:ilvl="6" w:tplc="040A0001" w:tentative="1">
      <w:start w:val="1"/>
      <w:numFmt w:val="bullet"/>
      <w:lvlText w:val=""/>
      <w:lvlJc w:val="left"/>
      <w:pPr>
        <w:ind w:left="5749" w:hanging="360"/>
      </w:pPr>
      <w:rPr>
        <w:rFonts w:ascii="Symbol" w:hAnsi="Symbol" w:hint="default"/>
      </w:rPr>
    </w:lvl>
    <w:lvl w:ilvl="7" w:tplc="040A0003" w:tentative="1">
      <w:start w:val="1"/>
      <w:numFmt w:val="bullet"/>
      <w:lvlText w:val="o"/>
      <w:lvlJc w:val="left"/>
      <w:pPr>
        <w:ind w:left="6469" w:hanging="360"/>
      </w:pPr>
      <w:rPr>
        <w:rFonts w:ascii="Courier New" w:hAnsi="Courier New" w:cs="Courier New" w:hint="default"/>
      </w:rPr>
    </w:lvl>
    <w:lvl w:ilvl="8" w:tplc="040A0005" w:tentative="1">
      <w:start w:val="1"/>
      <w:numFmt w:val="bullet"/>
      <w:lvlText w:val=""/>
      <w:lvlJc w:val="left"/>
      <w:pPr>
        <w:ind w:left="7189" w:hanging="360"/>
      </w:pPr>
      <w:rPr>
        <w:rFonts w:ascii="Wingdings" w:hAnsi="Wingdings" w:hint="default"/>
      </w:rPr>
    </w:lvl>
  </w:abstractNum>
  <w:abstractNum w:abstractNumId="47" w15:restartNumberingAfterBreak="0">
    <w:nsid w:val="3FAA2E4C"/>
    <w:multiLevelType w:val="hybridMultilevel"/>
    <w:tmpl w:val="AE6CE9F0"/>
    <w:lvl w:ilvl="0" w:tplc="31980962">
      <w:start w:val="1"/>
      <w:numFmt w:val="bullet"/>
      <w:lvlText w:val=""/>
      <w:lvlJc w:val="righ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48" w15:restartNumberingAfterBreak="0">
    <w:nsid w:val="401B0457"/>
    <w:multiLevelType w:val="hybridMultilevel"/>
    <w:tmpl w:val="35FA35A4"/>
    <w:lvl w:ilvl="0" w:tplc="0C6028C4">
      <w:start w:val="13"/>
      <w:numFmt w:val="bullet"/>
      <w:lvlText w:val="-"/>
      <w:lvlJc w:val="left"/>
      <w:pPr>
        <w:ind w:left="720" w:hanging="360"/>
      </w:pPr>
      <w:rPr>
        <w:rFonts w:ascii="Abadi" w:eastAsiaTheme="minorHAnsi" w:hAnsi="Abad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9" w15:restartNumberingAfterBreak="0">
    <w:nsid w:val="4044388F"/>
    <w:multiLevelType w:val="hybridMultilevel"/>
    <w:tmpl w:val="FCC6E10C"/>
    <w:lvl w:ilvl="0" w:tplc="4E5C75CE">
      <w:start w:val="6"/>
      <w:numFmt w:val="upperRoman"/>
      <w:lvlText w:val="%1."/>
      <w:lvlJc w:val="left"/>
      <w:pPr>
        <w:ind w:left="1982" w:firstLine="0"/>
      </w:pPr>
      <w:rPr>
        <w:rFonts w:ascii="Arial" w:eastAsia="Arial" w:hAnsi="Arial" w:cs="Arial"/>
        <w:b/>
        <w:bCs/>
        <w:i w:val="0"/>
        <w:strike w:val="0"/>
        <w:dstrike w:val="0"/>
        <w:color w:val="000000"/>
        <w:sz w:val="24"/>
        <w:szCs w:val="24"/>
        <w:u w:val="none" w:color="000000"/>
        <w:effect w:val="none"/>
        <w:bdr w:val="none" w:sz="0" w:space="0" w:color="auto" w:frame="1"/>
        <w:vertAlign w:val="baseline"/>
      </w:rPr>
    </w:lvl>
    <w:lvl w:ilvl="1" w:tplc="CC240A18">
      <w:start w:val="1"/>
      <w:numFmt w:val="lowerLetter"/>
      <w:lvlText w:val="%2"/>
      <w:lvlJc w:val="left"/>
      <w:pPr>
        <w:ind w:left="1788" w:firstLine="0"/>
      </w:pPr>
      <w:rPr>
        <w:rFonts w:ascii="Arial" w:eastAsia="Arial" w:hAnsi="Arial" w:cs="Arial"/>
        <w:b/>
        <w:bCs/>
        <w:i w:val="0"/>
        <w:strike w:val="0"/>
        <w:dstrike w:val="0"/>
        <w:color w:val="000000"/>
        <w:sz w:val="24"/>
        <w:szCs w:val="24"/>
        <w:u w:val="none" w:color="000000"/>
        <w:effect w:val="none"/>
        <w:bdr w:val="none" w:sz="0" w:space="0" w:color="auto" w:frame="1"/>
        <w:vertAlign w:val="baseline"/>
      </w:rPr>
    </w:lvl>
    <w:lvl w:ilvl="2" w:tplc="B72CAC30">
      <w:start w:val="1"/>
      <w:numFmt w:val="lowerRoman"/>
      <w:lvlText w:val="%3"/>
      <w:lvlJc w:val="left"/>
      <w:pPr>
        <w:ind w:left="2508" w:firstLine="0"/>
      </w:pPr>
      <w:rPr>
        <w:rFonts w:ascii="Arial" w:eastAsia="Arial" w:hAnsi="Arial" w:cs="Arial"/>
        <w:b/>
        <w:bCs/>
        <w:i w:val="0"/>
        <w:strike w:val="0"/>
        <w:dstrike w:val="0"/>
        <w:color w:val="000000"/>
        <w:sz w:val="24"/>
        <w:szCs w:val="24"/>
        <w:u w:val="none" w:color="000000"/>
        <w:effect w:val="none"/>
        <w:bdr w:val="none" w:sz="0" w:space="0" w:color="auto" w:frame="1"/>
        <w:vertAlign w:val="baseline"/>
      </w:rPr>
    </w:lvl>
    <w:lvl w:ilvl="3" w:tplc="63B44B40">
      <w:start w:val="1"/>
      <w:numFmt w:val="decimal"/>
      <w:lvlText w:val="%4"/>
      <w:lvlJc w:val="left"/>
      <w:pPr>
        <w:ind w:left="3228" w:firstLine="0"/>
      </w:pPr>
      <w:rPr>
        <w:rFonts w:ascii="Arial" w:eastAsia="Arial" w:hAnsi="Arial" w:cs="Arial"/>
        <w:b/>
        <w:bCs/>
        <w:i w:val="0"/>
        <w:strike w:val="0"/>
        <w:dstrike w:val="0"/>
        <w:color w:val="000000"/>
        <w:sz w:val="24"/>
        <w:szCs w:val="24"/>
        <w:u w:val="none" w:color="000000"/>
        <w:effect w:val="none"/>
        <w:bdr w:val="none" w:sz="0" w:space="0" w:color="auto" w:frame="1"/>
        <w:vertAlign w:val="baseline"/>
      </w:rPr>
    </w:lvl>
    <w:lvl w:ilvl="4" w:tplc="2F787F5E">
      <w:start w:val="1"/>
      <w:numFmt w:val="lowerLetter"/>
      <w:lvlText w:val="%5"/>
      <w:lvlJc w:val="left"/>
      <w:pPr>
        <w:ind w:left="3948" w:firstLine="0"/>
      </w:pPr>
      <w:rPr>
        <w:rFonts w:ascii="Arial" w:eastAsia="Arial" w:hAnsi="Arial" w:cs="Arial"/>
        <w:b/>
        <w:bCs/>
        <w:i w:val="0"/>
        <w:strike w:val="0"/>
        <w:dstrike w:val="0"/>
        <w:color w:val="000000"/>
        <w:sz w:val="24"/>
        <w:szCs w:val="24"/>
        <w:u w:val="none" w:color="000000"/>
        <w:effect w:val="none"/>
        <w:bdr w:val="none" w:sz="0" w:space="0" w:color="auto" w:frame="1"/>
        <w:vertAlign w:val="baseline"/>
      </w:rPr>
    </w:lvl>
    <w:lvl w:ilvl="5" w:tplc="D46E31B8">
      <w:start w:val="1"/>
      <w:numFmt w:val="lowerRoman"/>
      <w:lvlText w:val="%6"/>
      <w:lvlJc w:val="left"/>
      <w:pPr>
        <w:ind w:left="4668" w:firstLine="0"/>
      </w:pPr>
      <w:rPr>
        <w:rFonts w:ascii="Arial" w:eastAsia="Arial" w:hAnsi="Arial" w:cs="Arial"/>
        <w:b/>
        <w:bCs/>
        <w:i w:val="0"/>
        <w:strike w:val="0"/>
        <w:dstrike w:val="0"/>
        <w:color w:val="000000"/>
        <w:sz w:val="24"/>
        <w:szCs w:val="24"/>
        <w:u w:val="none" w:color="000000"/>
        <w:effect w:val="none"/>
        <w:bdr w:val="none" w:sz="0" w:space="0" w:color="auto" w:frame="1"/>
        <w:vertAlign w:val="baseline"/>
      </w:rPr>
    </w:lvl>
    <w:lvl w:ilvl="6" w:tplc="C3447A5E">
      <w:start w:val="1"/>
      <w:numFmt w:val="decimal"/>
      <w:lvlText w:val="%7"/>
      <w:lvlJc w:val="left"/>
      <w:pPr>
        <w:ind w:left="5388" w:firstLine="0"/>
      </w:pPr>
      <w:rPr>
        <w:rFonts w:ascii="Arial" w:eastAsia="Arial" w:hAnsi="Arial" w:cs="Arial"/>
        <w:b/>
        <w:bCs/>
        <w:i w:val="0"/>
        <w:strike w:val="0"/>
        <w:dstrike w:val="0"/>
        <w:color w:val="000000"/>
        <w:sz w:val="24"/>
        <w:szCs w:val="24"/>
        <w:u w:val="none" w:color="000000"/>
        <w:effect w:val="none"/>
        <w:bdr w:val="none" w:sz="0" w:space="0" w:color="auto" w:frame="1"/>
        <w:vertAlign w:val="baseline"/>
      </w:rPr>
    </w:lvl>
    <w:lvl w:ilvl="7" w:tplc="CE508520">
      <w:start w:val="1"/>
      <w:numFmt w:val="lowerLetter"/>
      <w:lvlText w:val="%8"/>
      <w:lvlJc w:val="left"/>
      <w:pPr>
        <w:ind w:left="6108" w:firstLine="0"/>
      </w:pPr>
      <w:rPr>
        <w:rFonts w:ascii="Arial" w:eastAsia="Arial" w:hAnsi="Arial" w:cs="Arial"/>
        <w:b/>
        <w:bCs/>
        <w:i w:val="0"/>
        <w:strike w:val="0"/>
        <w:dstrike w:val="0"/>
        <w:color w:val="000000"/>
        <w:sz w:val="24"/>
        <w:szCs w:val="24"/>
        <w:u w:val="none" w:color="000000"/>
        <w:effect w:val="none"/>
        <w:bdr w:val="none" w:sz="0" w:space="0" w:color="auto" w:frame="1"/>
        <w:vertAlign w:val="baseline"/>
      </w:rPr>
    </w:lvl>
    <w:lvl w:ilvl="8" w:tplc="A91C1DF8">
      <w:start w:val="1"/>
      <w:numFmt w:val="lowerRoman"/>
      <w:lvlText w:val="%9"/>
      <w:lvlJc w:val="left"/>
      <w:pPr>
        <w:ind w:left="6828" w:firstLine="0"/>
      </w:pPr>
      <w:rPr>
        <w:rFonts w:ascii="Arial" w:eastAsia="Arial" w:hAnsi="Arial" w:cs="Arial"/>
        <w:b/>
        <w:bCs/>
        <w:i w:val="0"/>
        <w:strike w:val="0"/>
        <w:dstrike w:val="0"/>
        <w:color w:val="000000"/>
        <w:sz w:val="24"/>
        <w:szCs w:val="24"/>
        <w:u w:val="none" w:color="000000"/>
        <w:effect w:val="none"/>
        <w:bdr w:val="none" w:sz="0" w:space="0" w:color="auto" w:frame="1"/>
        <w:vertAlign w:val="baseline"/>
      </w:rPr>
    </w:lvl>
  </w:abstractNum>
  <w:abstractNum w:abstractNumId="50" w15:restartNumberingAfterBreak="0">
    <w:nsid w:val="41715967"/>
    <w:multiLevelType w:val="hybridMultilevel"/>
    <w:tmpl w:val="ED4AC5D6"/>
    <w:lvl w:ilvl="0" w:tplc="080A000D">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1" w15:restartNumberingAfterBreak="0">
    <w:nsid w:val="446469CD"/>
    <w:multiLevelType w:val="hybridMultilevel"/>
    <w:tmpl w:val="3692F80E"/>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52" w15:restartNumberingAfterBreak="0">
    <w:nsid w:val="48DF5703"/>
    <w:multiLevelType w:val="hybridMultilevel"/>
    <w:tmpl w:val="26666C2A"/>
    <w:lvl w:ilvl="0" w:tplc="B352C4E6">
      <w:start w:val="1"/>
      <w:numFmt w:val="bullet"/>
      <w:lvlText w:val="-"/>
      <w:lvlJc w:val="left"/>
      <w:pPr>
        <w:ind w:left="1778" w:hanging="360"/>
      </w:pPr>
      <w:rPr>
        <w:rFonts w:ascii="Century Gothic" w:eastAsia="Times New Roman" w:hAnsi="Century Gothic" w:cs="Arial" w:hint="default"/>
      </w:rPr>
    </w:lvl>
    <w:lvl w:ilvl="1" w:tplc="040A0003" w:tentative="1">
      <w:start w:val="1"/>
      <w:numFmt w:val="bullet"/>
      <w:lvlText w:val="o"/>
      <w:lvlJc w:val="left"/>
      <w:pPr>
        <w:ind w:left="2498" w:hanging="360"/>
      </w:pPr>
      <w:rPr>
        <w:rFonts w:ascii="Courier New" w:hAnsi="Courier New" w:cs="Courier New" w:hint="default"/>
      </w:rPr>
    </w:lvl>
    <w:lvl w:ilvl="2" w:tplc="040A0005" w:tentative="1">
      <w:start w:val="1"/>
      <w:numFmt w:val="bullet"/>
      <w:lvlText w:val=""/>
      <w:lvlJc w:val="left"/>
      <w:pPr>
        <w:ind w:left="3218" w:hanging="360"/>
      </w:pPr>
      <w:rPr>
        <w:rFonts w:ascii="Wingdings" w:hAnsi="Wingdings" w:hint="default"/>
      </w:rPr>
    </w:lvl>
    <w:lvl w:ilvl="3" w:tplc="040A0001" w:tentative="1">
      <w:start w:val="1"/>
      <w:numFmt w:val="bullet"/>
      <w:lvlText w:val=""/>
      <w:lvlJc w:val="left"/>
      <w:pPr>
        <w:ind w:left="3938" w:hanging="360"/>
      </w:pPr>
      <w:rPr>
        <w:rFonts w:ascii="Symbol" w:hAnsi="Symbol" w:hint="default"/>
      </w:rPr>
    </w:lvl>
    <w:lvl w:ilvl="4" w:tplc="040A0003" w:tentative="1">
      <w:start w:val="1"/>
      <w:numFmt w:val="bullet"/>
      <w:lvlText w:val="o"/>
      <w:lvlJc w:val="left"/>
      <w:pPr>
        <w:ind w:left="4658" w:hanging="360"/>
      </w:pPr>
      <w:rPr>
        <w:rFonts w:ascii="Courier New" w:hAnsi="Courier New" w:cs="Courier New" w:hint="default"/>
      </w:rPr>
    </w:lvl>
    <w:lvl w:ilvl="5" w:tplc="040A0005" w:tentative="1">
      <w:start w:val="1"/>
      <w:numFmt w:val="bullet"/>
      <w:lvlText w:val=""/>
      <w:lvlJc w:val="left"/>
      <w:pPr>
        <w:ind w:left="5378" w:hanging="360"/>
      </w:pPr>
      <w:rPr>
        <w:rFonts w:ascii="Wingdings" w:hAnsi="Wingdings" w:hint="default"/>
      </w:rPr>
    </w:lvl>
    <w:lvl w:ilvl="6" w:tplc="040A0001" w:tentative="1">
      <w:start w:val="1"/>
      <w:numFmt w:val="bullet"/>
      <w:lvlText w:val=""/>
      <w:lvlJc w:val="left"/>
      <w:pPr>
        <w:ind w:left="6098" w:hanging="360"/>
      </w:pPr>
      <w:rPr>
        <w:rFonts w:ascii="Symbol" w:hAnsi="Symbol" w:hint="default"/>
      </w:rPr>
    </w:lvl>
    <w:lvl w:ilvl="7" w:tplc="040A0003" w:tentative="1">
      <w:start w:val="1"/>
      <w:numFmt w:val="bullet"/>
      <w:lvlText w:val="o"/>
      <w:lvlJc w:val="left"/>
      <w:pPr>
        <w:ind w:left="6818" w:hanging="360"/>
      </w:pPr>
      <w:rPr>
        <w:rFonts w:ascii="Courier New" w:hAnsi="Courier New" w:cs="Courier New" w:hint="default"/>
      </w:rPr>
    </w:lvl>
    <w:lvl w:ilvl="8" w:tplc="040A0005" w:tentative="1">
      <w:start w:val="1"/>
      <w:numFmt w:val="bullet"/>
      <w:lvlText w:val=""/>
      <w:lvlJc w:val="left"/>
      <w:pPr>
        <w:ind w:left="7538" w:hanging="360"/>
      </w:pPr>
      <w:rPr>
        <w:rFonts w:ascii="Wingdings" w:hAnsi="Wingdings" w:hint="default"/>
      </w:rPr>
    </w:lvl>
  </w:abstractNum>
  <w:abstractNum w:abstractNumId="53" w15:restartNumberingAfterBreak="0">
    <w:nsid w:val="4C977BA0"/>
    <w:multiLevelType w:val="hybridMultilevel"/>
    <w:tmpl w:val="B2109E78"/>
    <w:lvl w:ilvl="0" w:tplc="7F60F1EC">
      <w:start w:val="1"/>
      <w:numFmt w:val="decimal"/>
      <w:lvlText w:val="%1."/>
      <w:lvlJc w:val="left"/>
      <w:pPr>
        <w:ind w:left="1305" w:hanging="360"/>
      </w:pPr>
      <w:rPr>
        <w:rFonts w:hint="default"/>
      </w:rPr>
    </w:lvl>
    <w:lvl w:ilvl="1" w:tplc="040A0019" w:tentative="1">
      <w:start w:val="1"/>
      <w:numFmt w:val="lowerLetter"/>
      <w:lvlText w:val="%2."/>
      <w:lvlJc w:val="left"/>
      <w:pPr>
        <w:ind w:left="2025" w:hanging="360"/>
      </w:pPr>
    </w:lvl>
    <w:lvl w:ilvl="2" w:tplc="040A001B" w:tentative="1">
      <w:start w:val="1"/>
      <w:numFmt w:val="lowerRoman"/>
      <w:lvlText w:val="%3."/>
      <w:lvlJc w:val="right"/>
      <w:pPr>
        <w:ind w:left="2745" w:hanging="180"/>
      </w:pPr>
    </w:lvl>
    <w:lvl w:ilvl="3" w:tplc="040A000F" w:tentative="1">
      <w:start w:val="1"/>
      <w:numFmt w:val="decimal"/>
      <w:lvlText w:val="%4."/>
      <w:lvlJc w:val="left"/>
      <w:pPr>
        <w:ind w:left="3465" w:hanging="360"/>
      </w:pPr>
    </w:lvl>
    <w:lvl w:ilvl="4" w:tplc="040A0019" w:tentative="1">
      <w:start w:val="1"/>
      <w:numFmt w:val="lowerLetter"/>
      <w:lvlText w:val="%5."/>
      <w:lvlJc w:val="left"/>
      <w:pPr>
        <w:ind w:left="4185" w:hanging="360"/>
      </w:pPr>
    </w:lvl>
    <w:lvl w:ilvl="5" w:tplc="040A001B" w:tentative="1">
      <w:start w:val="1"/>
      <w:numFmt w:val="lowerRoman"/>
      <w:lvlText w:val="%6."/>
      <w:lvlJc w:val="right"/>
      <w:pPr>
        <w:ind w:left="4905" w:hanging="180"/>
      </w:pPr>
    </w:lvl>
    <w:lvl w:ilvl="6" w:tplc="040A000F" w:tentative="1">
      <w:start w:val="1"/>
      <w:numFmt w:val="decimal"/>
      <w:lvlText w:val="%7."/>
      <w:lvlJc w:val="left"/>
      <w:pPr>
        <w:ind w:left="5625" w:hanging="360"/>
      </w:pPr>
    </w:lvl>
    <w:lvl w:ilvl="7" w:tplc="040A0019" w:tentative="1">
      <w:start w:val="1"/>
      <w:numFmt w:val="lowerLetter"/>
      <w:lvlText w:val="%8."/>
      <w:lvlJc w:val="left"/>
      <w:pPr>
        <w:ind w:left="6345" w:hanging="360"/>
      </w:pPr>
    </w:lvl>
    <w:lvl w:ilvl="8" w:tplc="040A001B" w:tentative="1">
      <w:start w:val="1"/>
      <w:numFmt w:val="lowerRoman"/>
      <w:lvlText w:val="%9."/>
      <w:lvlJc w:val="right"/>
      <w:pPr>
        <w:ind w:left="7065" w:hanging="180"/>
      </w:pPr>
    </w:lvl>
  </w:abstractNum>
  <w:abstractNum w:abstractNumId="54" w15:restartNumberingAfterBreak="0">
    <w:nsid w:val="4CCB548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4DD51884"/>
    <w:multiLevelType w:val="hybridMultilevel"/>
    <w:tmpl w:val="89842DB6"/>
    <w:lvl w:ilvl="0" w:tplc="31980962">
      <w:start w:val="1"/>
      <w:numFmt w:val="bullet"/>
      <w:lvlText w:val=""/>
      <w:lvlJc w:val="right"/>
      <w:pPr>
        <w:ind w:left="720" w:hanging="360"/>
      </w:pPr>
      <w:rPr>
        <w:rFonts w:ascii="Symbol" w:hAnsi="Symbol" w:hint="default"/>
      </w:rPr>
    </w:lvl>
    <w:lvl w:ilvl="1" w:tplc="31980962">
      <w:start w:val="1"/>
      <w:numFmt w:val="bullet"/>
      <w:lvlText w:val=""/>
      <w:lvlJc w:val="right"/>
      <w:pPr>
        <w:ind w:left="1440" w:hanging="360"/>
      </w:pPr>
      <w:rPr>
        <w:rFonts w:ascii="Symbol" w:hAnsi="Symbol"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6" w15:restartNumberingAfterBreak="0">
    <w:nsid w:val="51B43AEF"/>
    <w:multiLevelType w:val="hybridMultilevel"/>
    <w:tmpl w:val="D3A62350"/>
    <w:lvl w:ilvl="0" w:tplc="0D584A4C">
      <w:start w:val="1"/>
      <w:numFmt w:val="lowerLetter"/>
      <w:lvlText w:val="%1)"/>
      <w:lvlJc w:val="left"/>
      <w:pPr>
        <w:ind w:left="6173" w:hanging="360"/>
      </w:pPr>
      <w:rPr>
        <w:rFonts w:hint="default"/>
        <w:b/>
        <w:bCs w:val="0"/>
        <w:i/>
        <w:sz w:val="18"/>
      </w:rPr>
    </w:lvl>
    <w:lvl w:ilvl="1" w:tplc="080A0019" w:tentative="1">
      <w:start w:val="1"/>
      <w:numFmt w:val="lowerLetter"/>
      <w:lvlText w:val="%2."/>
      <w:lvlJc w:val="left"/>
      <w:pPr>
        <w:ind w:left="9019" w:hanging="360"/>
      </w:pPr>
    </w:lvl>
    <w:lvl w:ilvl="2" w:tplc="080A001B" w:tentative="1">
      <w:start w:val="1"/>
      <w:numFmt w:val="lowerRoman"/>
      <w:lvlText w:val="%3."/>
      <w:lvlJc w:val="right"/>
      <w:pPr>
        <w:ind w:left="9739" w:hanging="180"/>
      </w:pPr>
    </w:lvl>
    <w:lvl w:ilvl="3" w:tplc="080A000F" w:tentative="1">
      <w:start w:val="1"/>
      <w:numFmt w:val="decimal"/>
      <w:lvlText w:val="%4."/>
      <w:lvlJc w:val="left"/>
      <w:pPr>
        <w:ind w:left="10459" w:hanging="360"/>
      </w:pPr>
    </w:lvl>
    <w:lvl w:ilvl="4" w:tplc="080A0019" w:tentative="1">
      <w:start w:val="1"/>
      <w:numFmt w:val="lowerLetter"/>
      <w:lvlText w:val="%5."/>
      <w:lvlJc w:val="left"/>
      <w:pPr>
        <w:ind w:left="11179" w:hanging="360"/>
      </w:pPr>
    </w:lvl>
    <w:lvl w:ilvl="5" w:tplc="080A001B" w:tentative="1">
      <w:start w:val="1"/>
      <w:numFmt w:val="lowerRoman"/>
      <w:lvlText w:val="%6."/>
      <w:lvlJc w:val="right"/>
      <w:pPr>
        <w:ind w:left="11899" w:hanging="180"/>
      </w:pPr>
    </w:lvl>
    <w:lvl w:ilvl="6" w:tplc="080A000F" w:tentative="1">
      <w:start w:val="1"/>
      <w:numFmt w:val="decimal"/>
      <w:lvlText w:val="%7."/>
      <w:lvlJc w:val="left"/>
      <w:pPr>
        <w:ind w:left="12619" w:hanging="360"/>
      </w:pPr>
    </w:lvl>
    <w:lvl w:ilvl="7" w:tplc="080A0019" w:tentative="1">
      <w:start w:val="1"/>
      <w:numFmt w:val="lowerLetter"/>
      <w:lvlText w:val="%8."/>
      <w:lvlJc w:val="left"/>
      <w:pPr>
        <w:ind w:left="13339" w:hanging="360"/>
      </w:pPr>
    </w:lvl>
    <w:lvl w:ilvl="8" w:tplc="080A001B" w:tentative="1">
      <w:start w:val="1"/>
      <w:numFmt w:val="lowerRoman"/>
      <w:lvlText w:val="%9."/>
      <w:lvlJc w:val="right"/>
      <w:pPr>
        <w:ind w:left="14059" w:hanging="180"/>
      </w:pPr>
    </w:lvl>
  </w:abstractNum>
  <w:abstractNum w:abstractNumId="57" w15:restartNumberingAfterBreak="0">
    <w:nsid w:val="53AB0009"/>
    <w:multiLevelType w:val="hybridMultilevel"/>
    <w:tmpl w:val="0590CD0C"/>
    <w:lvl w:ilvl="0" w:tplc="FD286FDE">
      <w:start w:val="1"/>
      <w:numFmt w:val="upperRoman"/>
      <w:lvlText w:val="%1."/>
      <w:lvlJc w:val="left"/>
      <w:pPr>
        <w:ind w:left="10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60A6210A">
      <w:start w:val="1"/>
      <w:numFmt w:val="lowerLetter"/>
      <w:lvlText w:val="%2"/>
      <w:lvlJc w:val="left"/>
      <w:pPr>
        <w:ind w:left="1788"/>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2" w:tplc="FF96AA18">
      <w:start w:val="1"/>
      <w:numFmt w:val="lowerRoman"/>
      <w:lvlText w:val="%3"/>
      <w:lvlJc w:val="left"/>
      <w:pPr>
        <w:ind w:left="2508"/>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3" w:tplc="C4AEC836">
      <w:start w:val="1"/>
      <w:numFmt w:val="decimal"/>
      <w:lvlText w:val="%4"/>
      <w:lvlJc w:val="left"/>
      <w:pPr>
        <w:ind w:left="3228"/>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4" w:tplc="440CE526">
      <w:start w:val="1"/>
      <w:numFmt w:val="lowerLetter"/>
      <w:lvlText w:val="%5"/>
      <w:lvlJc w:val="left"/>
      <w:pPr>
        <w:ind w:left="3948"/>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5" w:tplc="9DE49F7E">
      <w:start w:val="1"/>
      <w:numFmt w:val="lowerRoman"/>
      <w:lvlText w:val="%6"/>
      <w:lvlJc w:val="left"/>
      <w:pPr>
        <w:ind w:left="4668"/>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6" w:tplc="3BFEC8E0">
      <w:start w:val="1"/>
      <w:numFmt w:val="decimal"/>
      <w:lvlText w:val="%7"/>
      <w:lvlJc w:val="left"/>
      <w:pPr>
        <w:ind w:left="5388"/>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7" w:tplc="CBA2AB9A">
      <w:start w:val="1"/>
      <w:numFmt w:val="lowerLetter"/>
      <w:lvlText w:val="%8"/>
      <w:lvlJc w:val="left"/>
      <w:pPr>
        <w:ind w:left="6108"/>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8" w:tplc="ACF859B0">
      <w:start w:val="1"/>
      <w:numFmt w:val="lowerRoman"/>
      <w:lvlText w:val="%9"/>
      <w:lvlJc w:val="left"/>
      <w:pPr>
        <w:ind w:left="6828"/>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abstractNum>
  <w:abstractNum w:abstractNumId="58" w15:restartNumberingAfterBreak="0">
    <w:nsid w:val="58382439"/>
    <w:multiLevelType w:val="hybridMultilevel"/>
    <w:tmpl w:val="DFD69F38"/>
    <w:lvl w:ilvl="0" w:tplc="B566973C">
      <w:start w:val="4"/>
      <w:numFmt w:val="lowerLetter"/>
      <w:lvlText w:val="%1)"/>
      <w:lvlJc w:val="left"/>
      <w:pPr>
        <w:ind w:left="6040" w:hanging="369"/>
      </w:pPr>
      <w:rPr>
        <w:rFonts w:ascii="Verdana" w:eastAsia="Arial" w:hAnsi="Verdana" w:cs="Arial" w:hint="default"/>
        <w:b/>
        <w:bCs/>
        <w:i w:val="0"/>
        <w:iCs w:val="0"/>
        <w:spacing w:val="-1"/>
        <w:w w:val="106"/>
        <w:sz w:val="18"/>
        <w:szCs w:val="18"/>
      </w:rPr>
    </w:lvl>
    <w:lvl w:ilvl="1" w:tplc="E8D6185C">
      <w:numFmt w:val="bullet"/>
      <w:lvlText w:val="•"/>
      <w:lvlJc w:val="left"/>
      <w:pPr>
        <w:ind w:left="1474" w:hanging="369"/>
      </w:pPr>
      <w:rPr>
        <w:rFonts w:hint="default"/>
      </w:rPr>
    </w:lvl>
    <w:lvl w:ilvl="2" w:tplc="D9AC5246">
      <w:numFmt w:val="bullet"/>
      <w:lvlText w:val="•"/>
      <w:lvlJc w:val="left"/>
      <w:pPr>
        <w:ind w:left="2448" w:hanging="369"/>
      </w:pPr>
      <w:rPr>
        <w:rFonts w:hint="default"/>
      </w:rPr>
    </w:lvl>
    <w:lvl w:ilvl="3" w:tplc="9BA21618">
      <w:numFmt w:val="bullet"/>
      <w:lvlText w:val="•"/>
      <w:lvlJc w:val="left"/>
      <w:pPr>
        <w:ind w:left="3422" w:hanging="369"/>
      </w:pPr>
      <w:rPr>
        <w:rFonts w:hint="default"/>
      </w:rPr>
    </w:lvl>
    <w:lvl w:ilvl="4" w:tplc="DB029602">
      <w:numFmt w:val="bullet"/>
      <w:lvlText w:val="•"/>
      <w:lvlJc w:val="left"/>
      <w:pPr>
        <w:ind w:left="4396" w:hanging="369"/>
      </w:pPr>
      <w:rPr>
        <w:rFonts w:hint="default"/>
      </w:rPr>
    </w:lvl>
    <w:lvl w:ilvl="5" w:tplc="728259E8">
      <w:numFmt w:val="bullet"/>
      <w:lvlText w:val="•"/>
      <w:lvlJc w:val="left"/>
      <w:pPr>
        <w:ind w:left="5370" w:hanging="369"/>
      </w:pPr>
      <w:rPr>
        <w:rFonts w:hint="default"/>
      </w:rPr>
    </w:lvl>
    <w:lvl w:ilvl="6" w:tplc="AF10711E">
      <w:numFmt w:val="bullet"/>
      <w:lvlText w:val="•"/>
      <w:lvlJc w:val="left"/>
      <w:pPr>
        <w:ind w:left="6344" w:hanging="369"/>
      </w:pPr>
      <w:rPr>
        <w:rFonts w:hint="default"/>
      </w:rPr>
    </w:lvl>
    <w:lvl w:ilvl="7" w:tplc="F0B4EDA0">
      <w:numFmt w:val="bullet"/>
      <w:lvlText w:val="•"/>
      <w:lvlJc w:val="left"/>
      <w:pPr>
        <w:ind w:left="7318" w:hanging="369"/>
      </w:pPr>
      <w:rPr>
        <w:rFonts w:hint="default"/>
      </w:rPr>
    </w:lvl>
    <w:lvl w:ilvl="8" w:tplc="DC2AD8C4">
      <w:numFmt w:val="bullet"/>
      <w:lvlText w:val="•"/>
      <w:lvlJc w:val="left"/>
      <w:pPr>
        <w:ind w:left="8292" w:hanging="369"/>
      </w:pPr>
      <w:rPr>
        <w:rFonts w:hint="default"/>
      </w:rPr>
    </w:lvl>
  </w:abstractNum>
  <w:abstractNum w:abstractNumId="59" w15:restartNumberingAfterBreak="0">
    <w:nsid w:val="59A42840"/>
    <w:multiLevelType w:val="hybridMultilevel"/>
    <w:tmpl w:val="B03EE276"/>
    <w:lvl w:ilvl="0" w:tplc="FFFFFFFF">
      <w:start w:val="1"/>
      <w:numFmt w:val="upperRoman"/>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59A83C42"/>
    <w:multiLevelType w:val="hybridMultilevel"/>
    <w:tmpl w:val="86D6516A"/>
    <w:lvl w:ilvl="0" w:tplc="2D1CCF84">
      <w:start w:val="213"/>
      <w:numFmt w:val="bullet"/>
      <w:lvlText w:val="-"/>
      <w:lvlJc w:val="left"/>
      <w:pPr>
        <w:ind w:left="720" w:hanging="360"/>
      </w:pPr>
      <w:rPr>
        <w:rFonts w:ascii="Abadi" w:eastAsiaTheme="minorHAnsi" w:hAnsi="Abadi" w:cs="ArialMT"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1" w15:restartNumberingAfterBreak="0">
    <w:nsid w:val="5A9F486C"/>
    <w:multiLevelType w:val="multilevel"/>
    <w:tmpl w:val="3EAA78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5B2E2F31"/>
    <w:multiLevelType w:val="hybridMultilevel"/>
    <w:tmpl w:val="6DCECF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3" w15:restartNumberingAfterBreak="0">
    <w:nsid w:val="5B702595"/>
    <w:multiLevelType w:val="hybridMultilevel"/>
    <w:tmpl w:val="0BD441FC"/>
    <w:lvl w:ilvl="0" w:tplc="43C68614">
      <w:start w:val="13"/>
      <w:numFmt w:val="bullet"/>
      <w:lvlText w:val="-"/>
      <w:lvlJc w:val="left"/>
      <w:pPr>
        <w:ind w:left="720" w:hanging="360"/>
      </w:pPr>
      <w:rPr>
        <w:rFonts w:ascii="Abadi" w:eastAsiaTheme="minorHAnsi" w:hAnsi="Abad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4" w15:restartNumberingAfterBreak="0">
    <w:nsid w:val="5C7C57AB"/>
    <w:multiLevelType w:val="hybridMultilevel"/>
    <w:tmpl w:val="1B96A5A8"/>
    <w:lvl w:ilvl="0" w:tplc="D1BA7536">
      <w:start w:val="16"/>
      <w:numFmt w:val="decimal"/>
      <w:lvlText w:val="%1"/>
      <w:lvlJc w:val="left"/>
      <w:pPr>
        <w:ind w:left="222" w:hanging="200"/>
      </w:pPr>
      <w:rPr>
        <w:rFonts w:ascii="Calibri" w:eastAsia="Calibri" w:hAnsi="Calibri" w:cs="Calibri" w:hint="default"/>
        <w:b w:val="0"/>
        <w:bCs w:val="0"/>
        <w:i w:val="0"/>
        <w:iCs w:val="0"/>
        <w:spacing w:val="-1"/>
        <w:w w:val="99"/>
        <w:position w:val="7"/>
        <w:sz w:val="13"/>
        <w:szCs w:val="13"/>
      </w:rPr>
    </w:lvl>
    <w:lvl w:ilvl="1" w:tplc="BC86D73E">
      <w:start w:val="1"/>
      <w:numFmt w:val="decimal"/>
      <w:lvlText w:val="%2."/>
      <w:lvlJc w:val="left"/>
      <w:pPr>
        <w:ind w:left="942" w:hanging="360"/>
      </w:pPr>
      <w:rPr>
        <w:rFonts w:ascii="Times New Roman" w:eastAsia="Times New Roman" w:hAnsi="Times New Roman" w:cs="Times New Roman" w:hint="default"/>
        <w:b w:val="0"/>
        <w:bCs w:val="0"/>
        <w:i w:val="0"/>
        <w:iCs w:val="0"/>
        <w:w w:val="100"/>
        <w:sz w:val="20"/>
        <w:szCs w:val="20"/>
      </w:rPr>
    </w:lvl>
    <w:lvl w:ilvl="2" w:tplc="B804F016">
      <w:numFmt w:val="bullet"/>
      <w:lvlText w:val="•"/>
      <w:lvlJc w:val="left"/>
      <w:pPr>
        <w:ind w:left="1855" w:hanging="360"/>
      </w:pPr>
      <w:rPr>
        <w:rFonts w:hint="default"/>
      </w:rPr>
    </w:lvl>
    <w:lvl w:ilvl="3" w:tplc="22A4756A">
      <w:numFmt w:val="bullet"/>
      <w:lvlText w:val="•"/>
      <w:lvlJc w:val="left"/>
      <w:pPr>
        <w:ind w:left="2771" w:hanging="360"/>
      </w:pPr>
      <w:rPr>
        <w:rFonts w:hint="default"/>
      </w:rPr>
    </w:lvl>
    <w:lvl w:ilvl="4" w:tplc="00180418">
      <w:numFmt w:val="bullet"/>
      <w:lvlText w:val="•"/>
      <w:lvlJc w:val="left"/>
      <w:pPr>
        <w:ind w:left="3686" w:hanging="360"/>
      </w:pPr>
      <w:rPr>
        <w:rFonts w:hint="default"/>
      </w:rPr>
    </w:lvl>
    <w:lvl w:ilvl="5" w:tplc="50D80356">
      <w:numFmt w:val="bullet"/>
      <w:lvlText w:val="•"/>
      <w:lvlJc w:val="left"/>
      <w:pPr>
        <w:ind w:left="4602" w:hanging="360"/>
      </w:pPr>
      <w:rPr>
        <w:rFonts w:hint="default"/>
      </w:rPr>
    </w:lvl>
    <w:lvl w:ilvl="6" w:tplc="56880752">
      <w:numFmt w:val="bullet"/>
      <w:lvlText w:val="•"/>
      <w:lvlJc w:val="left"/>
      <w:pPr>
        <w:ind w:left="5517" w:hanging="360"/>
      </w:pPr>
      <w:rPr>
        <w:rFonts w:hint="default"/>
      </w:rPr>
    </w:lvl>
    <w:lvl w:ilvl="7" w:tplc="10D057E4">
      <w:numFmt w:val="bullet"/>
      <w:lvlText w:val="•"/>
      <w:lvlJc w:val="left"/>
      <w:pPr>
        <w:ind w:left="6433" w:hanging="360"/>
      </w:pPr>
      <w:rPr>
        <w:rFonts w:hint="default"/>
      </w:rPr>
    </w:lvl>
    <w:lvl w:ilvl="8" w:tplc="4E4666C4">
      <w:numFmt w:val="bullet"/>
      <w:lvlText w:val="•"/>
      <w:lvlJc w:val="left"/>
      <w:pPr>
        <w:ind w:left="7348" w:hanging="360"/>
      </w:pPr>
      <w:rPr>
        <w:rFonts w:hint="default"/>
      </w:rPr>
    </w:lvl>
  </w:abstractNum>
  <w:abstractNum w:abstractNumId="65" w15:restartNumberingAfterBreak="0">
    <w:nsid w:val="60C70FD8"/>
    <w:multiLevelType w:val="hybridMultilevel"/>
    <w:tmpl w:val="227A07B8"/>
    <w:lvl w:ilvl="0" w:tplc="2D1CCF84">
      <w:start w:val="213"/>
      <w:numFmt w:val="bullet"/>
      <w:lvlText w:val="-"/>
      <w:lvlJc w:val="left"/>
      <w:pPr>
        <w:ind w:left="720" w:hanging="360"/>
      </w:pPr>
      <w:rPr>
        <w:rFonts w:ascii="Abadi" w:eastAsiaTheme="minorHAnsi" w:hAnsi="Abadi" w:cs="ArialMT"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6" w15:restartNumberingAfterBreak="0">
    <w:nsid w:val="64E90288"/>
    <w:multiLevelType w:val="hybridMultilevel"/>
    <w:tmpl w:val="64C8CBDA"/>
    <w:lvl w:ilvl="0" w:tplc="764494A8">
      <w:start w:val="1"/>
      <w:numFmt w:val="upperRoman"/>
      <w:lvlText w:val="%1."/>
      <w:lvlJc w:val="left"/>
      <w:pPr>
        <w:ind w:left="1560" w:hanging="720"/>
      </w:pPr>
      <w:rPr>
        <w:rFonts w:hint="default"/>
        <w:b/>
      </w:rPr>
    </w:lvl>
    <w:lvl w:ilvl="1" w:tplc="080A0019" w:tentative="1">
      <w:start w:val="1"/>
      <w:numFmt w:val="lowerLetter"/>
      <w:lvlText w:val="%2."/>
      <w:lvlJc w:val="left"/>
      <w:pPr>
        <w:ind w:left="1920" w:hanging="360"/>
      </w:pPr>
    </w:lvl>
    <w:lvl w:ilvl="2" w:tplc="080A001B" w:tentative="1">
      <w:start w:val="1"/>
      <w:numFmt w:val="lowerRoman"/>
      <w:lvlText w:val="%3."/>
      <w:lvlJc w:val="right"/>
      <w:pPr>
        <w:ind w:left="2640" w:hanging="180"/>
      </w:pPr>
    </w:lvl>
    <w:lvl w:ilvl="3" w:tplc="080A000F" w:tentative="1">
      <w:start w:val="1"/>
      <w:numFmt w:val="decimal"/>
      <w:lvlText w:val="%4."/>
      <w:lvlJc w:val="left"/>
      <w:pPr>
        <w:ind w:left="3360" w:hanging="360"/>
      </w:pPr>
    </w:lvl>
    <w:lvl w:ilvl="4" w:tplc="080A0019" w:tentative="1">
      <w:start w:val="1"/>
      <w:numFmt w:val="lowerLetter"/>
      <w:lvlText w:val="%5."/>
      <w:lvlJc w:val="left"/>
      <w:pPr>
        <w:ind w:left="4080" w:hanging="360"/>
      </w:pPr>
    </w:lvl>
    <w:lvl w:ilvl="5" w:tplc="080A001B" w:tentative="1">
      <w:start w:val="1"/>
      <w:numFmt w:val="lowerRoman"/>
      <w:lvlText w:val="%6."/>
      <w:lvlJc w:val="right"/>
      <w:pPr>
        <w:ind w:left="4800" w:hanging="180"/>
      </w:pPr>
    </w:lvl>
    <w:lvl w:ilvl="6" w:tplc="080A000F" w:tentative="1">
      <w:start w:val="1"/>
      <w:numFmt w:val="decimal"/>
      <w:lvlText w:val="%7."/>
      <w:lvlJc w:val="left"/>
      <w:pPr>
        <w:ind w:left="5520" w:hanging="360"/>
      </w:pPr>
    </w:lvl>
    <w:lvl w:ilvl="7" w:tplc="080A0019" w:tentative="1">
      <w:start w:val="1"/>
      <w:numFmt w:val="lowerLetter"/>
      <w:lvlText w:val="%8."/>
      <w:lvlJc w:val="left"/>
      <w:pPr>
        <w:ind w:left="6240" w:hanging="360"/>
      </w:pPr>
    </w:lvl>
    <w:lvl w:ilvl="8" w:tplc="080A001B" w:tentative="1">
      <w:start w:val="1"/>
      <w:numFmt w:val="lowerRoman"/>
      <w:lvlText w:val="%9."/>
      <w:lvlJc w:val="right"/>
      <w:pPr>
        <w:ind w:left="6960" w:hanging="180"/>
      </w:pPr>
    </w:lvl>
  </w:abstractNum>
  <w:abstractNum w:abstractNumId="67" w15:restartNumberingAfterBreak="0">
    <w:nsid w:val="660C21EB"/>
    <w:multiLevelType w:val="hybridMultilevel"/>
    <w:tmpl w:val="D3D66FBA"/>
    <w:lvl w:ilvl="0" w:tplc="080A0001">
      <w:start w:val="1"/>
      <w:numFmt w:val="bullet"/>
      <w:lvlText w:val=""/>
      <w:lvlJc w:val="left"/>
      <w:pPr>
        <w:ind w:left="2755" w:hanging="360"/>
      </w:pPr>
      <w:rPr>
        <w:rFonts w:ascii="Symbol" w:hAnsi="Symbol" w:hint="default"/>
      </w:rPr>
    </w:lvl>
    <w:lvl w:ilvl="1" w:tplc="080A0003" w:tentative="1">
      <w:start w:val="1"/>
      <w:numFmt w:val="bullet"/>
      <w:lvlText w:val="o"/>
      <w:lvlJc w:val="left"/>
      <w:pPr>
        <w:ind w:left="3475" w:hanging="360"/>
      </w:pPr>
      <w:rPr>
        <w:rFonts w:ascii="Courier New" w:hAnsi="Courier New" w:cs="Courier New" w:hint="default"/>
      </w:rPr>
    </w:lvl>
    <w:lvl w:ilvl="2" w:tplc="080A0005" w:tentative="1">
      <w:start w:val="1"/>
      <w:numFmt w:val="bullet"/>
      <w:lvlText w:val=""/>
      <w:lvlJc w:val="left"/>
      <w:pPr>
        <w:ind w:left="4195" w:hanging="360"/>
      </w:pPr>
      <w:rPr>
        <w:rFonts w:ascii="Wingdings" w:hAnsi="Wingdings" w:hint="default"/>
      </w:rPr>
    </w:lvl>
    <w:lvl w:ilvl="3" w:tplc="080A0001" w:tentative="1">
      <w:start w:val="1"/>
      <w:numFmt w:val="bullet"/>
      <w:lvlText w:val=""/>
      <w:lvlJc w:val="left"/>
      <w:pPr>
        <w:ind w:left="4915" w:hanging="360"/>
      </w:pPr>
      <w:rPr>
        <w:rFonts w:ascii="Symbol" w:hAnsi="Symbol" w:hint="default"/>
      </w:rPr>
    </w:lvl>
    <w:lvl w:ilvl="4" w:tplc="080A0003" w:tentative="1">
      <w:start w:val="1"/>
      <w:numFmt w:val="bullet"/>
      <w:lvlText w:val="o"/>
      <w:lvlJc w:val="left"/>
      <w:pPr>
        <w:ind w:left="5635" w:hanging="360"/>
      </w:pPr>
      <w:rPr>
        <w:rFonts w:ascii="Courier New" w:hAnsi="Courier New" w:cs="Courier New" w:hint="default"/>
      </w:rPr>
    </w:lvl>
    <w:lvl w:ilvl="5" w:tplc="080A0005" w:tentative="1">
      <w:start w:val="1"/>
      <w:numFmt w:val="bullet"/>
      <w:lvlText w:val=""/>
      <w:lvlJc w:val="left"/>
      <w:pPr>
        <w:ind w:left="6355" w:hanging="360"/>
      </w:pPr>
      <w:rPr>
        <w:rFonts w:ascii="Wingdings" w:hAnsi="Wingdings" w:hint="default"/>
      </w:rPr>
    </w:lvl>
    <w:lvl w:ilvl="6" w:tplc="080A0001" w:tentative="1">
      <w:start w:val="1"/>
      <w:numFmt w:val="bullet"/>
      <w:lvlText w:val=""/>
      <w:lvlJc w:val="left"/>
      <w:pPr>
        <w:ind w:left="7075" w:hanging="360"/>
      </w:pPr>
      <w:rPr>
        <w:rFonts w:ascii="Symbol" w:hAnsi="Symbol" w:hint="default"/>
      </w:rPr>
    </w:lvl>
    <w:lvl w:ilvl="7" w:tplc="080A0003" w:tentative="1">
      <w:start w:val="1"/>
      <w:numFmt w:val="bullet"/>
      <w:lvlText w:val="o"/>
      <w:lvlJc w:val="left"/>
      <w:pPr>
        <w:ind w:left="7795" w:hanging="360"/>
      </w:pPr>
      <w:rPr>
        <w:rFonts w:ascii="Courier New" w:hAnsi="Courier New" w:cs="Courier New" w:hint="default"/>
      </w:rPr>
    </w:lvl>
    <w:lvl w:ilvl="8" w:tplc="080A0005" w:tentative="1">
      <w:start w:val="1"/>
      <w:numFmt w:val="bullet"/>
      <w:lvlText w:val=""/>
      <w:lvlJc w:val="left"/>
      <w:pPr>
        <w:ind w:left="8515" w:hanging="360"/>
      </w:pPr>
      <w:rPr>
        <w:rFonts w:ascii="Wingdings" w:hAnsi="Wingdings" w:hint="default"/>
      </w:rPr>
    </w:lvl>
  </w:abstractNum>
  <w:abstractNum w:abstractNumId="68" w15:restartNumberingAfterBreak="0">
    <w:nsid w:val="6B0A3D6C"/>
    <w:multiLevelType w:val="hybridMultilevel"/>
    <w:tmpl w:val="29AAEAB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9" w15:restartNumberingAfterBreak="0">
    <w:nsid w:val="6D19222E"/>
    <w:multiLevelType w:val="hybridMultilevel"/>
    <w:tmpl w:val="8FB8FAA8"/>
    <w:lvl w:ilvl="0" w:tplc="B10A5A28">
      <w:start w:val="1"/>
      <w:numFmt w:val="bullet"/>
      <w:lvlText w:val=""/>
      <w:lvlJc w:val="left"/>
      <w:pPr>
        <w:ind w:left="720" w:hanging="360"/>
      </w:pPr>
      <w:rPr>
        <w:rFonts w:ascii="Symbol" w:hAnsi="Symbol" w:hint="default"/>
        <w:b/>
        <w:i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0" w15:restartNumberingAfterBreak="0">
    <w:nsid w:val="6EB32A7F"/>
    <w:multiLevelType w:val="hybridMultilevel"/>
    <w:tmpl w:val="2FA8A1A4"/>
    <w:lvl w:ilvl="0" w:tplc="080A0001">
      <w:start w:val="1"/>
      <w:numFmt w:val="bullet"/>
      <w:lvlText w:val=""/>
      <w:lvlJc w:val="left"/>
      <w:pPr>
        <w:ind w:left="1428" w:hanging="360"/>
      </w:pPr>
      <w:rPr>
        <w:rFonts w:ascii="Symbol" w:hAnsi="Symbol" w:hint="default"/>
      </w:rPr>
    </w:lvl>
    <w:lvl w:ilvl="1" w:tplc="080A0003">
      <w:start w:val="1"/>
      <w:numFmt w:val="bullet"/>
      <w:lvlText w:val="o"/>
      <w:lvlJc w:val="left"/>
      <w:pPr>
        <w:ind w:left="2148" w:hanging="360"/>
      </w:pPr>
      <w:rPr>
        <w:rFonts w:ascii="Courier New" w:hAnsi="Courier New" w:cs="Courier New" w:hint="default"/>
      </w:rPr>
    </w:lvl>
    <w:lvl w:ilvl="2" w:tplc="080A0005">
      <w:start w:val="1"/>
      <w:numFmt w:val="bullet"/>
      <w:lvlText w:val=""/>
      <w:lvlJc w:val="left"/>
      <w:pPr>
        <w:ind w:left="2868" w:hanging="360"/>
      </w:pPr>
      <w:rPr>
        <w:rFonts w:ascii="Wingdings" w:hAnsi="Wingdings" w:hint="default"/>
      </w:rPr>
    </w:lvl>
    <w:lvl w:ilvl="3" w:tplc="080A0001">
      <w:start w:val="1"/>
      <w:numFmt w:val="bullet"/>
      <w:lvlText w:val=""/>
      <w:lvlJc w:val="left"/>
      <w:pPr>
        <w:ind w:left="3588" w:hanging="360"/>
      </w:pPr>
      <w:rPr>
        <w:rFonts w:ascii="Symbol" w:hAnsi="Symbol" w:hint="default"/>
      </w:rPr>
    </w:lvl>
    <w:lvl w:ilvl="4" w:tplc="080A0003">
      <w:start w:val="1"/>
      <w:numFmt w:val="bullet"/>
      <w:lvlText w:val="o"/>
      <w:lvlJc w:val="left"/>
      <w:pPr>
        <w:ind w:left="4308" w:hanging="360"/>
      </w:pPr>
      <w:rPr>
        <w:rFonts w:ascii="Courier New" w:hAnsi="Courier New" w:cs="Courier New" w:hint="default"/>
      </w:rPr>
    </w:lvl>
    <w:lvl w:ilvl="5" w:tplc="080A0005">
      <w:start w:val="1"/>
      <w:numFmt w:val="bullet"/>
      <w:lvlText w:val=""/>
      <w:lvlJc w:val="left"/>
      <w:pPr>
        <w:ind w:left="5028" w:hanging="360"/>
      </w:pPr>
      <w:rPr>
        <w:rFonts w:ascii="Wingdings" w:hAnsi="Wingdings" w:hint="default"/>
      </w:rPr>
    </w:lvl>
    <w:lvl w:ilvl="6" w:tplc="080A0001">
      <w:start w:val="1"/>
      <w:numFmt w:val="bullet"/>
      <w:lvlText w:val=""/>
      <w:lvlJc w:val="left"/>
      <w:pPr>
        <w:ind w:left="5748" w:hanging="360"/>
      </w:pPr>
      <w:rPr>
        <w:rFonts w:ascii="Symbol" w:hAnsi="Symbol" w:hint="default"/>
      </w:rPr>
    </w:lvl>
    <w:lvl w:ilvl="7" w:tplc="080A0003">
      <w:start w:val="1"/>
      <w:numFmt w:val="bullet"/>
      <w:lvlText w:val="o"/>
      <w:lvlJc w:val="left"/>
      <w:pPr>
        <w:ind w:left="6468" w:hanging="360"/>
      </w:pPr>
      <w:rPr>
        <w:rFonts w:ascii="Courier New" w:hAnsi="Courier New" w:cs="Courier New" w:hint="default"/>
      </w:rPr>
    </w:lvl>
    <w:lvl w:ilvl="8" w:tplc="080A0005">
      <w:start w:val="1"/>
      <w:numFmt w:val="bullet"/>
      <w:lvlText w:val=""/>
      <w:lvlJc w:val="left"/>
      <w:pPr>
        <w:ind w:left="7188" w:hanging="360"/>
      </w:pPr>
      <w:rPr>
        <w:rFonts w:ascii="Wingdings" w:hAnsi="Wingdings" w:hint="default"/>
      </w:rPr>
    </w:lvl>
  </w:abstractNum>
  <w:abstractNum w:abstractNumId="71" w15:restartNumberingAfterBreak="0">
    <w:nsid w:val="6EC128E2"/>
    <w:multiLevelType w:val="hybridMultilevel"/>
    <w:tmpl w:val="E7E61390"/>
    <w:lvl w:ilvl="0" w:tplc="1D8CF99E">
      <w:start w:val="1"/>
      <w:numFmt w:val="upperRoman"/>
      <w:lvlText w:val="%1."/>
      <w:lvlJc w:val="left"/>
      <w:pPr>
        <w:ind w:left="2563" w:hanging="720"/>
      </w:pPr>
      <w:rPr>
        <w:rFonts w:hint="default"/>
      </w:rPr>
    </w:lvl>
    <w:lvl w:ilvl="1" w:tplc="040A0019" w:tentative="1">
      <w:start w:val="1"/>
      <w:numFmt w:val="lowerLetter"/>
      <w:lvlText w:val="%2."/>
      <w:lvlJc w:val="left"/>
      <w:pPr>
        <w:ind w:left="2923" w:hanging="360"/>
      </w:pPr>
    </w:lvl>
    <w:lvl w:ilvl="2" w:tplc="040A001B" w:tentative="1">
      <w:start w:val="1"/>
      <w:numFmt w:val="lowerRoman"/>
      <w:lvlText w:val="%3."/>
      <w:lvlJc w:val="right"/>
      <w:pPr>
        <w:ind w:left="3643" w:hanging="180"/>
      </w:pPr>
    </w:lvl>
    <w:lvl w:ilvl="3" w:tplc="040A000F" w:tentative="1">
      <w:start w:val="1"/>
      <w:numFmt w:val="decimal"/>
      <w:lvlText w:val="%4."/>
      <w:lvlJc w:val="left"/>
      <w:pPr>
        <w:ind w:left="4363" w:hanging="360"/>
      </w:pPr>
    </w:lvl>
    <w:lvl w:ilvl="4" w:tplc="040A0019" w:tentative="1">
      <w:start w:val="1"/>
      <w:numFmt w:val="lowerLetter"/>
      <w:lvlText w:val="%5."/>
      <w:lvlJc w:val="left"/>
      <w:pPr>
        <w:ind w:left="5083" w:hanging="360"/>
      </w:pPr>
    </w:lvl>
    <w:lvl w:ilvl="5" w:tplc="040A001B" w:tentative="1">
      <w:start w:val="1"/>
      <w:numFmt w:val="lowerRoman"/>
      <w:lvlText w:val="%6."/>
      <w:lvlJc w:val="right"/>
      <w:pPr>
        <w:ind w:left="5803" w:hanging="180"/>
      </w:pPr>
    </w:lvl>
    <w:lvl w:ilvl="6" w:tplc="040A000F" w:tentative="1">
      <w:start w:val="1"/>
      <w:numFmt w:val="decimal"/>
      <w:lvlText w:val="%7."/>
      <w:lvlJc w:val="left"/>
      <w:pPr>
        <w:ind w:left="6523" w:hanging="360"/>
      </w:pPr>
    </w:lvl>
    <w:lvl w:ilvl="7" w:tplc="040A0019" w:tentative="1">
      <w:start w:val="1"/>
      <w:numFmt w:val="lowerLetter"/>
      <w:lvlText w:val="%8."/>
      <w:lvlJc w:val="left"/>
      <w:pPr>
        <w:ind w:left="7243" w:hanging="360"/>
      </w:pPr>
    </w:lvl>
    <w:lvl w:ilvl="8" w:tplc="040A001B" w:tentative="1">
      <w:start w:val="1"/>
      <w:numFmt w:val="lowerRoman"/>
      <w:lvlText w:val="%9."/>
      <w:lvlJc w:val="right"/>
      <w:pPr>
        <w:ind w:left="7963" w:hanging="180"/>
      </w:pPr>
    </w:lvl>
  </w:abstractNum>
  <w:abstractNum w:abstractNumId="72" w15:restartNumberingAfterBreak="0">
    <w:nsid w:val="712E3113"/>
    <w:multiLevelType w:val="hybridMultilevel"/>
    <w:tmpl w:val="C4A8015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73" w15:restartNumberingAfterBreak="0">
    <w:nsid w:val="72A210DC"/>
    <w:multiLevelType w:val="hybridMultilevel"/>
    <w:tmpl w:val="38600252"/>
    <w:lvl w:ilvl="0" w:tplc="B10A5A28">
      <w:start w:val="1"/>
      <w:numFmt w:val="bullet"/>
      <w:lvlText w:val=""/>
      <w:lvlJc w:val="left"/>
      <w:pPr>
        <w:ind w:left="720" w:hanging="360"/>
      </w:pPr>
      <w:rPr>
        <w:rFonts w:ascii="Symbol" w:hAnsi="Symbol" w:hint="default"/>
        <w:b/>
        <w:i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4" w15:restartNumberingAfterBreak="0">
    <w:nsid w:val="7306778B"/>
    <w:multiLevelType w:val="hybridMultilevel"/>
    <w:tmpl w:val="E0BAE3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5" w15:restartNumberingAfterBreak="0">
    <w:nsid w:val="73765282"/>
    <w:multiLevelType w:val="hybridMultilevel"/>
    <w:tmpl w:val="217E5A42"/>
    <w:lvl w:ilvl="0" w:tplc="FA7C1090">
      <w:start w:val="1"/>
      <w:numFmt w:val="lowerLetter"/>
      <w:lvlText w:val="%1)"/>
      <w:lvlJc w:val="left"/>
      <w:pPr>
        <w:ind w:left="720" w:hanging="360"/>
      </w:pPr>
      <w:rPr>
        <w:rFonts w:hint="default"/>
        <w:b/>
        <w:bCs/>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6" w15:restartNumberingAfterBreak="0">
    <w:nsid w:val="75477B15"/>
    <w:multiLevelType w:val="hybridMultilevel"/>
    <w:tmpl w:val="324618B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7" w15:restartNumberingAfterBreak="0">
    <w:nsid w:val="78470D7E"/>
    <w:multiLevelType w:val="hybridMultilevel"/>
    <w:tmpl w:val="BD72526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8" w15:restartNumberingAfterBreak="0">
    <w:nsid w:val="7D6A2E2C"/>
    <w:multiLevelType w:val="hybridMultilevel"/>
    <w:tmpl w:val="29643C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9" w15:restartNumberingAfterBreak="0">
    <w:nsid w:val="7DBE48E7"/>
    <w:multiLevelType w:val="hybridMultilevel"/>
    <w:tmpl w:val="09E63D52"/>
    <w:lvl w:ilvl="0" w:tplc="0660D9B2">
      <w:numFmt w:val="bullet"/>
      <w:lvlText w:val="•"/>
      <w:lvlJc w:val="left"/>
      <w:pPr>
        <w:ind w:left="2280" w:hanging="360"/>
      </w:pPr>
      <w:rPr>
        <w:rFonts w:ascii="Arial" w:eastAsia="Arial" w:hAnsi="Arial" w:cs="Arial" w:hint="default"/>
        <w:b w:val="0"/>
        <w:bCs w:val="0"/>
        <w:i w:val="0"/>
        <w:iCs w:val="0"/>
        <w:color w:val="18161F"/>
        <w:w w:val="100"/>
        <w:sz w:val="23"/>
        <w:szCs w:val="23"/>
      </w:rPr>
    </w:lvl>
    <w:lvl w:ilvl="1" w:tplc="040A0003" w:tentative="1">
      <w:start w:val="1"/>
      <w:numFmt w:val="bullet"/>
      <w:lvlText w:val="o"/>
      <w:lvlJc w:val="left"/>
      <w:pPr>
        <w:ind w:left="3000" w:hanging="360"/>
      </w:pPr>
      <w:rPr>
        <w:rFonts w:ascii="Courier New" w:hAnsi="Courier New" w:cs="Courier New" w:hint="default"/>
      </w:rPr>
    </w:lvl>
    <w:lvl w:ilvl="2" w:tplc="040A0005" w:tentative="1">
      <w:start w:val="1"/>
      <w:numFmt w:val="bullet"/>
      <w:lvlText w:val=""/>
      <w:lvlJc w:val="left"/>
      <w:pPr>
        <w:ind w:left="3720" w:hanging="360"/>
      </w:pPr>
      <w:rPr>
        <w:rFonts w:ascii="Wingdings" w:hAnsi="Wingdings" w:hint="default"/>
      </w:rPr>
    </w:lvl>
    <w:lvl w:ilvl="3" w:tplc="040A0001" w:tentative="1">
      <w:start w:val="1"/>
      <w:numFmt w:val="bullet"/>
      <w:lvlText w:val=""/>
      <w:lvlJc w:val="left"/>
      <w:pPr>
        <w:ind w:left="4440" w:hanging="360"/>
      </w:pPr>
      <w:rPr>
        <w:rFonts w:ascii="Symbol" w:hAnsi="Symbol" w:hint="default"/>
      </w:rPr>
    </w:lvl>
    <w:lvl w:ilvl="4" w:tplc="040A0003" w:tentative="1">
      <w:start w:val="1"/>
      <w:numFmt w:val="bullet"/>
      <w:lvlText w:val="o"/>
      <w:lvlJc w:val="left"/>
      <w:pPr>
        <w:ind w:left="5160" w:hanging="360"/>
      </w:pPr>
      <w:rPr>
        <w:rFonts w:ascii="Courier New" w:hAnsi="Courier New" w:cs="Courier New" w:hint="default"/>
      </w:rPr>
    </w:lvl>
    <w:lvl w:ilvl="5" w:tplc="040A0005" w:tentative="1">
      <w:start w:val="1"/>
      <w:numFmt w:val="bullet"/>
      <w:lvlText w:val=""/>
      <w:lvlJc w:val="left"/>
      <w:pPr>
        <w:ind w:left="5880" w:hanging="360"/>
      </w:pPr>
      <w:rPr>
        <w:rFonts w:ascii="Wingdings" w:hAnsi="Wingdings" w:hint="default"/>
      </w:rPr>
    </w:lvl>
    <w:lvl w:ilvl="6" w:tplc="040A0001" w:tentative="1">
      <w:start w:val="1"/>
      <w:numFmt w:val="bullet"/>
      <w:lvlText w:val=""/>
      <w:lvlJc w:val="left"/>
      <w:pPr>
        <w:ind w:left="6600" w:hanging="360"/>
      </w:pPr>
      <w:rPr>
        <w:rFonts w:ascii="Symbol" w:hAnsi="Symbol" w:hint="default"/>
      </w:rPr>
    </w:lvl>
    <w:lvl w:ilvl="7" w:tplc="040A0003" w:tentative="1">
      <w:start w:val="1"/>
      <w:numFmt w:val="bullet"/>
      <w:lvlText w:val="o"/>
      <w:lvlJc w:val="left"/>
      <w:pPr>
        <w:ind w:left="7320" w:hanging="360"/>
      </w:pPr>
      <w:rPr>
        <w:rFonts w:ascii="Courier New" w:hAnsi="Courier New" w:cs="Courier New" w:hint="default"/>
      </w:rPr>
    </w:lvl>
    <w:lvl w:ilvl="8" w:tplc="040A0005" w:tentative="1">
      <w:start w:val="1"/>
      <w:numFmt w:val="bullet"/>
      <w:lvlText w:val=""/>
      <w:lvlJc w:val="left"/>
      <w:pPr>
        <w:ind w:left="8040" w:hanging="360"/>
      </w:pPr>
      <w:rPr>
        <w:rFonts w:ascii="Wingdings" w:hAnsi="Wingdings" w:hint="default"/>
      </w:rPr>
    </w:lvl>
  </w:abstractNum>
  <w:abstractNum w:abstractNumId="80" w15:restartNumberingAfterBreak="0">
    <w:nsid w:val="7DC82762"/>
    <w:multiLevelType w:val="hybridMultilevel"/>
    <w:tmpl w:val="3C98DF3A"/>
    <w:lvl w:ilvl="0" w:tplc="07C0A356">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1" w15:restartNumberingAfterBreak="0">
    <w:nsid w:val="7DDC2AA7"/>
    <w:multiLevelType w:val="hybridMultilevel"/>
    <w:tmpl w:val="FA0E9A6C"/>
    <w:lvl w:ilvl="0" w:tplc="488C9DA6">
      <w:start w:val="1"/>
      <w:numFmt w:val="upperRoman"/>
      <w:lvlText w:val="%1."/>
      <w:lvlJc w:val="left"/>
      <w:pPr>
        <w:ind w:left="1440" w:hanging="360"/>
      </w:pPr>
      <w:rPr>
        <w:rFonts w:hint="default"/>
        <w:b/>
        <w:i w:val="0"/>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82" w15:restartNumberingAfterBreak="0">
    <w:nsid w:val="7F58145D"/>
    <w:multiLevelType w:val="hybridMultilevel"/>
    <w:tmpl w:val="D06EA028"/>
    <w:lvl w:ilvl="0" w:tplc="080A000D">
      <w:start w:val="1"/>
      <w:numFmt w:val="bullet"/>
      <w:lvlText w:val=""/>
      <w:lvlJc w:val="left"/>
      <w:pPr>
        <w:ind w:left="8157" w:hanging="360"/>
      </w:pPr>
      <w:rPr>
        <w:rFonts w:ascii="Wingdings" w:hAnsi="Wingdings" w:hint="default"/>
      </w:rPr>
    </w:lvl>
    <w:lvl w:ilvl="1" w:tplc="080A0003" w:tentative="1">
      <w:start w:val="1"/>
      <w:numFmt w:val="bullet"/>
      <w:lvlText w:val="o"/>
      <w:lvlJc w:val="left"/>
      <w:pPr>
        <w:ind w:left="8877" w:hanging="360"/>
      </w:pPr>
      <w:rPr>
        <w:rFonts w:ascii="Courier New" w:hAnsi="Courier New" w:cs="Courier New" w:hint="default"/>
      </w:rPr>
    </w:lvl>
    <w:lvl w:ilvl="2" w:tplc="080A0005" w:tentative="1">
      <w:start w:val="1"/>
      <w:numFmt w:val="bullet"/>
      <w:lvlText w:val=""/>
      <w:lvlJc w:val="left"/>
      <w:pPr>
        <w:ind w:left="9597" w:hanging="360"/>
      </w:pPr>
      <w:rPr>
        <w:rFonts w:ascii="Wingdings" w:hAnsi="Wingdings" w:hint="default"/>
      </w:rPr>
    </w:lvl>
    <w:lvl w:ilvl="3" w:tplc="080A0001" w:tentative="1">
      <w:start w:val="1"/>
      <w:numFmt w:val="bullet"/>
      <w:lvlText w:val=""/>
      <w:lvlJc w:val="left"/>
      <w:pPr>
        <w:ind w:left="10317" w:hanging="360"/>
      </w:pPr>
      <w:rPr>
        <w:rFonts w:ascii="Symbol" w:hAnsi="Symbol" w:hint="default"/>
      </w:rPr>
    </w:lvl>
    <w:lvl w:ilvl="4" w:tplc="080A0003" w:tentative="1">
      <w:start w:val="1"/>
      <w:numFmt w:val="bullet"/>
      <w:lvlText w:val="o"/>
      <w:lvlJc w:val="left"/>
      <w:pPr>
        <w:ind w:left="11037" w:hanging="360"/>
      </w:pPr>
      <w:rPr>
        <w:rFonts w:ascii="Courier New" w:hAnsi="Courier New" w:cs="Courier New" w:hint="default"/>
      </w:rPr>
    </w:lvl>
    <w:lvl w:ilvl="5" w:tplc="080A0005" w:tentative="1">
      <w:start w:val="1"/>
      <w:numFmt w:val="bullet"/>
      <w:lvlText w:val=""/>
      <w:lvlJc w:val="left"/>
      <w:pPr>
        <w:ind w:left="11757" w:hanging="360"/>
      </w:pPr>
      <w:rPr>
        <w:rFonts w:ascii="Wingdings" w:hAnsi="Wingdings" w:hint="default"/>
      </w:rPr>
    </w:lvl>
    <w:lvl w:ilvl="6" w:tplc="080A0001" w:tentative="1">
      <w:start w:val="1"/>
      <w:numFmt w:val="bullet"/>
      <w:lvlText w:val=""/>
      <w:lvlJc w:val="left"/>
      <w:pPr>
        <w:ind w:left="12477" w:hanging="360"/>
      </w:pPr>
      <w:rPr>
        <w:rFonts w:ascii="Symbol" w:hAnsi="Symbol" w:hint="default"/>
      </w:rPr>
    </w:lvl>
    <w:lvl w:ilvl="7" w:tplc="080A0003" w:tentative="1">
      <w:start w:val="1"/>
      <w:numFmt w:val="bullet"/>
      <w:lvlText w:val="o"/>
      <w:lvlJc w:val="left"/>
      <w:pPr>
        <w:ind w:left="13197" w:hanging="360"/>
      </w:pPr>
      <w:rPr>
        <w:rFonts w:ascii="Courier New" w:hAnsi="Courier New" w:cs="Courier New" w:hint="default"/>
      </w:rPr>
    </w:lvl>
    <w:lvl w:ilvl="8" w:tplc="080A0005" w:tentative="1">
      <w:start w:val="1"/>
      <w:numFmt w:val="bullet"/>
      <w:lvlText w:val=""/>
      <w:lvlJc w:val="left"/>
      <w:pPr>
        <w:ind w:left="13917" w:hanging="360"/>
      </w:pPr>
      <w:rPr>
        <w:rFonts w:ascii="Wingdings" w:hAnsi="Wingdings" w:hint="default"/>
      </w:rPr>
    </w:lvl>
  </w:abstractNum>
  <w:num w:numId="1" w16cid:durableId="1855729065">
    <w:abstractNumId w:val="1"/>
  </w:num>
  <w:num w:numId="2" w16cid:durableId="1942297166">
    <w:abstractNumId w:val="0"/>
  </w:num>
  <w:num w:numId="3" w16cid:durableId="1649900164">
    <w:abstractNumId w:val="6"/>
  </w:num>
  <w:num w:numId="4" w16cid:durableId="418134881">
    <w:abstractNumId w:val="69"/>
  </w:num>
  <w:num w:numId="5" w16cid:durableId="735739702">
    <w:abstractNumId w:val="13"/>
  </w:num>
  <w:num w:numId="6" w16cid:durableId="195193170">
    <w:abstractNumId w:val="44"/>
  </w:num>
  <w:num w:numId="7" w16cid:durableId="687219344">
    <w:abstractNumId w:val="2"/>
  </w:num>
  <w:num w:numId="8" w16cid:durableId="1267470596">
    <w:abstractNumId w:val="4"/>
  </w:num>
  <w:num w:numId="9" w16cid:durableId="71781401">
    <w:abstractNumId w:val="3"/>
  </w:num>
  <w:num w:numId="10" w16cid:durableId="817919881">
    <w:abstractNumId w:val="29"/>
  </w:num>
  <w:num w:numId="11" w16cid:durableId="1366953329">
    <w:abstractNumId w:val="38"/>
  </w:num>
  <w:num w:numId="12" w16cid:durableId="1809661593">
    <w:abstractNumId w:val="60"/>
  </w:num>
  <w:num w:numId="13" w16cid:durableId="7484169">
    <w:abstractNumId w:val="65"/>
  </w:num>
  <w:num w:numId="14" w16cid:durableId="157158314">
    <w:abstractNumId w:val="73"/>
  </w:num>
  <w:num w:numId="15" w16cid:durableId="1538811671">
    <w:abstractNumId w:val="76"/>
  </w:num>
  <w:num w:numId="16" w16cid:durableId="1301115600">
    <w:abstractNumId w:val="23"/>
  </w:num>
  <w:num w:numId="17" w16cid:durableId="626936386">
    <w:abstractNumId w:val="22"/>
  </w:num>
  <w:num w:numId="18" w16cid:durableId="1617591883">
    <w:abstractNumId w:val="45"/>
  </w:num>
  <w:num w:numId="19" w16cid:durableId="1494292672">
    <w:abstractNumId w:val="17"/>
  </w:num>
  <w:num w:numId="20" w16cid:durableId="1858498109">
    <w:abstractNumId w:val="41"/>
  </w:num>
  <w:num w:numId="21" w16cid:durableId="1677884733">
    <w:abstractNumId w:val="18"/>
  </w:num>
  <w:num w:numId="22" w16cid:durableId="1796946572">
    <w:abstractNumId w:val="27"/>
  </w:num>
  <w:num w:numId="23" w16cid:durableId="1439523855">
    <w:abstractNumId w:val="36"/>
  </w:num>
  <w:num w:numId="24" w16cid:durableId="1315135633">
    <w:abstractNumId w:val="7"/>
  </w:num>
  <w:num w:numId="25" w16cid:durableId="1810975225">
    <w:abstractNumId w:val="40"/>
  </w:num>
  <w:num w:numId="26" w16cid:durableId="1003779888">
    <w:abstractNumId w:val="28"/>
  </w:num>
  <w:num w:numId="27" w16cid:durableId="828866549">
    <w:abstractNumId w:val="5"/>
  </w:num>
  <w:num w:numId="28" w16cid:durableId="982394442">
    <w:abstractNumId w:val="34"/>
  </w:num>
  <w:num w:numId="29" w16cid:durableId="542863961">
    <w:abstractNumId w:val="66"/>
  </w:num>
  <w:num w:numId="30" w16cid:durableId="1718239965">
    <w:abstractNumId w:val="55"/>
  </w:num>
  <w:num w:numId="31" w16cid:durableId="1868833217">
    <w:abstractNumId w:val="81"/>
  </w:num>
  <w:num w:numId="32" w16cid:durableId="673579346">
    <w:abstractNumId w:val="68"/>
  </w:num>
  <w:num w:numId="33" w16cid:durableId="1583024270">
    <w:abstractNumId w:val="30"/>
  </w:num>
  <w:num w:numId="34" w16cid:durableId="1868181886">
    <w:abstractNumId w:val="74"/>
  </w:num>
  <w:num w:numId="35" w16cid:durableId="1994603083">
    <w:abstractNumId w:val="80"/>
  </w:num>
  <w:num w:numId="36" w16cid:durableId="837695178">
    <w:abstractNumId w:val="33"/>
  </w:num>
  <w:num w:numId="37" w16cid:durableId="609288468">
    <w:abstractNumId w:val="61"/>
  </w:num>
  <w:num w:numId="38" w16cid:durableId="217016846">
    <w:abstractNumId w:val="72"/>
  </w:num>
  <w:num w:numId="39" w16cid:durableId="1498374959">
    <w:abstractNumId w:val="12"/>
  </w:num>
  <w:num w:numId="40" w16cid:durableId="1154294199">
    <w:abstractNumId w:val="54"/>
  </w:num>
  <w:num w:numId="41" w16cid:durableId="719523857">
    <w:abstractNumId w:val="15"/>
  </w:num>
  <w:num w:numId="42" w16cid:durableId="603925083">
    <w:abstractNumId w:val="51"/>
  </w:num>
  <w:num w:numId="43" w16cid:durableId="116798418">
    <w:abstractNumId w:val="62"/>
  </w:num>
  <w:num w:numId="44" w16cid:durableId="1475488367">
    <w:abstractNumId w:val="35"/>
  </w:num>
  <w:num w:numId="45" w16cid:durableId="1886868953">
    <w:abstractNumId w:val="78"/>
  </w:num>
  <w:num w:numId="46" w16cid:durableId="1418208746">
    <w:abstractNumId w:val="59"/>
  </w:num>
  <w:num w:numId="47" w16cid:durableId="1317493382">
    <w:abstractNumId w:val="37"/>
  </w:num>
  <w:num w:numId="48" w16cid:durableId="211577607">
    <w:abstractNumId w:val="11"/>
  </w:num>
  <w:num w:numId="49" w16cid:durableId="2071924673">
    <w:abstractNumId w:val="19"/>
  </w:num>
  <w:num w:numId="50" w16cid:durableId="322053028">
    <w:abstractNumId w:val="43"/>
  </w:num>
  <w:num w:numId="51" w16cid:durableId="415175951">
    <w:abstractNumId w:val="31"/>
  </w:num>
  <w:num w:numId="52" w16cid:durableId="153374786">
    <w:abstractNumId w:val="70"/>
  </w:num>
  <w:num w:numId="53" w16cid:durableId="1909261447">
    <w:abstractNumId w:val="67"/>
  </w:num>
  <w:num w:numId="54" w16cid:durableId="1528450261">
    <w:abstractNumId w:val="82"/>
  </w:num>
  <w:num w:numId="55" w16cid:durableId="976379550">
    <w:abstractNumId w:val="26"/>
  </w:num>
  <w:num w:numId="56" w16cid:durableId="249125044">
    <w:abstractNumId w:val="10"/>
  </w:num>
  <w:num w:numId="57" w16cid:durableId="782185784">
    <w:abstractNumId w:val="32"/>
  </w:num>
  <w:num w:numId="58" w16cid:durableId="1991327048">
    <w:abstractNumId w:val="53"/>
  </w:num>
  <w:num w:numId="59" w16cid:durableId="1817336404">
    <w:abstractNumId w:val="16"/>
  </w:num>
  <w:num w:numId="60" w16cid:durableId="1849058646">
    <w:abstractNumId w:val="56"/>
  </w:num>
  <w:num w:numId="61" w16cid:durableId="1998918119">
    <w:abstractNumId w:val="14"/>
  </w:num>
  <w:num w:numId="62" w16cid:durableId="2144494451">
    <w:abstractNumId w:val="50"/>
  </w:num>
  <w:num w:numId="63" w16cid:durableId="1856075839">
    <w:abstractNumId w:val="52"/>
  </w:num>
  <w:num w:numId="64" w16cid:durableId="1406681295">
    <w:abstractNumId w:val="46"/>
  </w:num>
  <w:num w:numId="65" w16cid:durableId="145515784">
    <w:abstractNumId w:val="79"/>
  </w:num>
  <w:num w:numId="66" w16cid:durableId="884216294">
    <w:abstractNumId w:val="71"/>
  </w:num>
  <w:num w:numId="67" w16cid:durableId="1628853687">
    <w:abstractNumId w:val="39"/>
  </w:num>
  <w:num w:numId="68" w16cid:durableId="288630020">
    <w:abstractNumId w:val="58"/>
  </w:num>
  <w:num w:numId="69" w16cid:durableId="938483604">
    <w:abstractNumId w:val="9"/>
  </w:num>
  <w:num w:numId="70" w16cid:durableId="723220232">
    <w:abstractNumId w:val="42"/>
  </w:num>
  <w:num w:numId="71" w16cid:durableId="1391030167">
    <w:abstractNumId w:val="8"/>
  </w:num>
  <w:num w:numId="72" w16cid:durableId="980382208">
    <w:abstractNumId w:val="64"/>
  </w:num>
  <w:num w:numId="73" w16cid:durableId="673387541">
    <w:abstractNumId w:val="75"/>
  </w:num>
  <w:num w:numId="74" w16cid:durableId="1324621233">
    <w:abstractNumId w:val="57"/>
  </w:num>
  <w:num w:numId="75" w16cid:durableId="841236283">
    <w:abstractNumId w:val="49"/>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988679017">
    <w:abstractNumId w:val="20"/>
  </w:num>
  <w:num w:numId="77" w16cid:durableId="1671256321">
    <w:abstractNumId w:val="47"/>
  </w:num>
  <w:num w:numId="78" w16cid:durableId="253129653">
    <w:abstractNumId w:val="21"/>
  </w:num>
  <w:num w:numId="79" w16cid:durableId="1226720494">
    <w:abstractNumId w:val="25"/>
  </w:num>
  <w:num w:numId="80" w16cid:durableId="299040837">
    <w:abstractNumId w:val="63"/>
  </w:num>
  <w:num w:numId="81" w16cid:durableId="84158207">
    <w:abstractNumId w:val="48"/>
  </w:num>
  <w:num w:numId="82" w16cid:durableId="1249509685">
    <w:abstractNumId w:val="24"/>
  </w:num>
  <w:num w:numId="83" w16cid:durableId="233131963">
    <w:abstractNumId w:val="77"/>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pos w:val="beneathText"/>
    <w:numStart w:val="2"/>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18BD"/>
    <w:rsid w:val="00000662"/>
    <w:rsid w:val="00002822"/>
    <w:rsid w:val="00004DAA"/>
    <w:rsid w:val="0000627D"/>
    <w:rsid w:val="0000680D"/>
    <w:rsid w:val="0000697D"/>
    <w:rsid w:val="000073B8"/>
    <w:rsid w:val="00010AD5"/>
    <w:rsid w:val="00010C3E"/>
    <w:rsid w:val="00011A03"/>
    <w:rsid w:val="000126F5"/>
    <w:rsid w:val="000142FD"/>
    <w:rsid w:val="000168D6"/>
    <w:rsid w:val="0001798C"/>
    <w:rsid w:val="000218BD"/>
    <w:rsid w:val="00023711"/>
    <w:rsid w:val="000245E8"/>
    <w:rsid w:val="000270AC"/>
    <w:rsid w:val="00027B74"/>
    <w:rsid w:val="000314EE"/>
    <w:rsid w:val="00032A51"/>
    <w:rsid w:val="00032E92"/>
    <w:rsid w:val="00033C4E"/>
    <w:rsid w:val="00035293"/>
    <w:rsid w:val="000417A9"/>
    <w:rsid w:val="0004232C"/>
    <w:rsid w:val="00043A9A"/>
    <w:rsid w:val="00043B5B"/>
    <w:rsid w:val="0004585D"/>
    <w:rsid w:val="00046670"/>
    <w:rsid w:val="00047105"/>
    <w:rsid w:val="0005020B"/>
    <w:rsid w:val="00051F1F"/>
    <w:rsid w:val="00053CA3"/>
    <w:rsid w:val="00054559"/>
    <w:rsid w:val="00055129"/>
    <w:rsid w:val="00061CAB"/>
    <w:rsid w:val="00070F8C"/>
    <w:rsid w:val="00071AD6"/>
    <w:rsid w:val="00077684"/>
    <w:rsid w:val="00077DF1"/>
    <w:rsid w:val="000816DB"/>
    <w:rsid w:val="00082113"/>
    <w:rsid w:val="0008660B"/>
    <w:rsid w:val="00090077"/>
    <w:rsid w:val="000901AF"/>
    <w:rsid w:val="00092167"/>
    <w:rsid w:val="000932F7"/>
    <w:rsid w:val="0009593A"/>
    <w:rsid w:val="00096322"/>
    <w:rsid w:val="000965F4"/>
    <w:rsid w:val="000971C4"/>
    <w:rsid w:val="000A21C2"/>
    <w:rsid w:val="000A2207"/>
    <w:rsid w:val="000A445F"/>
    <w:rsid w:val="000A5823"/>
    <w:rsid w:val="000A620C"/>
    <w:rsid w:val="000B1EF7"/>
    <w:rsid w:val="000B4EFC"/>
    <w:rsid w:val="000B58B2"/>
    <w:rsid w:val="000B5B6C"/>
    <w:rsid w:val="000B763C"/>
    <w:rsid w:val="000C11B2"/>
    <w:rsid w:val="000C12E4"/>
    <w:rsid w:val="000C29ED"/>
    <w:rsid w:val="000C2F4D"/>
    <w:rsid w:val="000C6A73"/>
    <w:rsid w:val="000D04AB"/>
    <w:rsid w:val="000D237C"/>
    <w:rsid w:val="000D39D4"/>
    <w:rsid w:val="000D3E3B"/>
    <w:rsid w:val="000D4625"/>
    <w:rsid w:val="000D46FF"/>
    <w:rsid w:val="000E019D"/>
    <w:rsid w:val="000E048E"/>
    <w:rsid w:val="000E1289"/>
    <w:rsid w:val="000E427C"/>
    <w:rsid w:val="000F2B11"/>
    <w:rsid w:val="000F5509"/>
    <w:rsid w:val="000F56BF"/>
    <w:rsid w:val="000F75D8"/>
    <w:rsid w:val="0010005C"/>
    <w:rsid w:val="0010071A"/>
    <w:rsid w:val="0010189B"/>
    <w:rsid w:val="001100C6"/>
    <w:rsid w:val="00111778"/>
    <w:rsid w:val="00111D38"/>
    <w:rsid w:val="00120B86"/>
    <w:rsid w:val="0012317C"/>
    <w:rsid w:val="00124BB9"/>
    <w:rsid w:val="00125269"/>
    <w:rsid w:val="001259EE"/>
    <w:rsid w:val="001275CF"/>
    <w:rsid w:val="00130986"/>
    <w:rsid w:val="001327D8"/>
    <w:rsid w:val="0014302D"/>
    <w:rsid w:val="001449E4"/>
    <w:rsid w:val="00147A8E"/>
    <w:rsid w:val="00147D57"/>
    <w:rsid w:val="00150213"/>
    <w:rsid w:val="001506FC"/>
    <w:rsid w:val="001511FB"/>
    <w:rsid w:val="0015579A"/>
    <w:rsid w:val="00156675"/>
    <w:rsid w:val="0015748A"/>
    <w:rsid w:val="00157F3F"/>
    <w:rsid w:val="0016096C"/>
    <w:rsid w:val="00161536"/>
    <w:rsid w:val="00161856"/>
    <w:rsid w:val="001628F1"/>
    <w:rsid w:val="00167C9A"/>
    <w:rsid w:val="00171045"/>
    <w:rsid w:val="00175D3E"/>
    <w:rsid w:val="00175E0F"/>
    <w:rsid w:val="001764C6"/>
    <w:rsid w:val="00176770"/>
    <w:rsid w:val="00176A23"/>
    <w:rsid w:val="0018602D"/>
    <w:rsid w:val="0019066A"/>
    <w:rsid w:val="001916AD"/>
    <w:rsid w:val="00194209"/>
    <w:rsid w:val="00194A0A"/>
    <w:rsid w:val="0019795D"/>
    <w:rsid w:val="001A22B7"/>
    <w:rsid w:val="001A268E"/>
    <w:rsid w:val="001A26DD"/>
    <w:rsid w:val="001A2FF0"/>
    <w:rsid w:val="001A7355"/>
    <w:rsid w:val="001B0AD7"/>
    <w:rsid w:val="001B42C0"/>
    <w:rsid w:val="001B5125"/>
    <w:rsid w:val="001C0875"/>
    <w:rsid w:val="001C3060"/>
    <w:rsid w:val="001C6B4F"/>
    <w:rsid w:val="001C718A"/>
    <w:rsid w:val="001C7C18"/>
    <w:rsid w:val="001D1B5D"/>
    <w:rsid w:val="001D24D0"/>
    <w:rsid w:val="001D2D83"/>
    <w:rsid w:val="001D47CF"/>
    <w:rsid w:val="001D49F5"/>
    <w:rsid w:val="001D52ED"/>
    <w:rsid w:val="001D6A94"/>
    <w:rsid w:val="001D6AD0"/>
    <w:rsid w:val="001E011F"/>
    <w:rsid w:val="001E0F55"/>
    <w:rsid w:val="001E1004"/>
    <w:rsid w:val="001E2B2A"/>
    <w:rsid w:val="001E6C98"/>
    <w:rsid w:val="001E7F40"/>
    <w:rsid w:val="001F073C"/>
    <w:rsid w:val="001F0EFA"/>
    <w:rsid w:val="001F4153"/>
    <w:rsid w:val="001F4270"/>
    <w:rsid w:val="00200420"/>
    <w:rsid w:val="00204923"/>
    <w:rsid w:val="00204E73"/>
    <w:rsid w:val="00205837"/>
    <w:rsid w:val="00205AAF"/>
    <w:rsid w:val="00205B68"/>
    <w:rsid w:val="0020746C"/>
    <w:rsid w:val="00210BFE"/>
    <w:rsid w:val="00210DDA"/>
    <w:rsid w:val="002110C0"/>
    <w:rsid w:val="00213D15"/>
    <w:rsid w:val="00214EFD"/>
    <w:rsid w:val="00215179"/>
    <w:rsid w:val="00215D77"/>
    <w:rsid w:val="00216BD0"/>
    <w:rsid w:val="00216C2D"/>
    <w:rsid w:val="002179AC"/>
    <w:rsid w:val="00220432"/>
    <w:rsid w:val="00221426"/>
    <w:rsid w:val="00222A6D"/>
    <w:rsid w:val="00226D60"/>
    <w:rsid w:val="00226ED9"/>
    <w:rsid w:val="00226F36"/>
    <w:rsid w:val="002273ED"/>
    <w:rsid w:val="0023087B"/>
    <w:rsid w:val="00233143"/>
    <w:rsid w:val="00233EFE"/>
    <w:rsid w:val="00234A69"/>
    <w:rsid w:val="0023506C"/>
    <w:rsid w:val="00236453"/>
    <w:rsid w:val="00236B9C"/>
    <w:rsid w:val="0024161E"/>
    <w:rsid w:val="00241650"/>
    <w:rsid w:val="00241733"/>
    <w:rsid w:val="002462D3"/>
    <w:rsid w:val="0025111D"/>
    <w:rsid w:val="0025144A"/>
    <w:rsid w:val="00251E77"/>
    <w:rsid w:val="00252948"/>
    <w:rsid w:val="0025307F"/>
    <w:rsid w:val="00256648"/>
    <w:rsid w:val="0026090B"/>
    <w:rsid w:val="002610F7"/>
    <w:rsid w:val="00263103"/>
    <w:rsid w:val="00265F99"/>
    <w:rsid w:val="002661DD"/>
    <w:rsid w:val="002667FE"/>
    <w:rsid w:val="00273FA4"/>
    <w:rsid w:val="00273FCF"/>
    <w:rsid w:val="002833E5"/>
    <w:rsid w:val="00284E07"/>
    <w:rsid w:val="00286202"/>
    <w:rsid w:val="00290AA1"/>
    <w:rsid w:val="00292710"/>
    <w:rsid w:val="00292E1B"/>
    <w:rsid w:val="00292E85"/>
    <w:rsid w:val="00294569"/>
    <w:rsid w:val="00297A24"/>
    <w:rsid w:val="002A03CC"/>
    <w:rsid w:val="002A06CB"/>
    <w:rsid w:val="002A11C5"/>
    <w:rsid w:val="002A1CE0"/>
    <w:rsid w:val="002A208C"/>
    <w:rsid w:val="002A3159"/>
    <w:rsid w:val="002A47D2"/>
    <w:rsid w:val="002A4D8C"/>
    <w:rsid w:val="002B0634"/>
    <w:rsid w:val="002B4941"/>
    <w:rsid w:val="002B5049"/>
    <w:rsid w:val="002B5592"/>
    <w:rsid w:val="002B7178"/>
    <w:rsid w:val="002B74B1"/>
    <w:rsid w:val="002C08FF"/>
    <w:rsid w:val="002C12E5"/>
    <w:rsid w:val="002C156C"/>
    <w:rsid w:val="002C2FC5"/>
    <w:rsid w:val="002C4014"/>
    <w:rsid w:val="002C47C1"/>
    <w:rsid w:val="002C4DBA"/>
    <w:rsid w:val="002C722A"/>
    <w:rsid w:val="002C731C"/>
    <w:rsid w:val="002C7601"/>
    <w:rsid w:val="002D0E1B"/>
    <w:rsid w:val="002D1D12"/>
    <w:rsid w:val="002D42CC"/>
    <w:rsid w:val="002D48E5"/>
    <w:rsid w:val="002D537A"/>
    <w:rsid w:val="002E150D"/>
    <w:rsid w:val="002E542C"/>
    <w:rsid w:val="002E5DB4"/>
    <w:rsid w:val="002E6BAD"/>
    <w:rsid w:val="002F0121"/>
    <w:rsid w:val="002F1A5C"/>
    <w:rsid w:val="002F31D5"/>
    <w:rsid w:val="002F3821"/>
    <w:rsid w:val="002F5C94"/>
    <w:rsid w:val="002F7187"/>
    <w:rsid w:val="003011B6"/>
    <w:rsid w:val="0030192B"/>
    <w:rsid w:val="00303098"/>
    <w:rsid w:val="003037AD"/>
    <w:rsid w:val="003044E5"/>
    <w:rsid w:val="00304DAC"/>
    <w:rsid w:val="00306636"/>
    <w:rsid w:val="00306DA7"/>
    <w:rsid w:val="003070F5"/>
    <w:rsid w:val="00307C18"/>
    <w:rsid w:val="00310064"/>
    <w:rsid w:val="00310736"/>
    <w:rsid w:val="00311107"/>
    <w:rsid w:val="00313712"/>
    <w:rsid w:val="0031749F"/>
    <w:rsid w:val="003222E1"/>
    <w:rsid w:val="003224F8"/>
    <w:rsid w:val="00324F31"/>
    <w:rsid w:val="00325F47"/>
    <w:rsid w:val="003266DB"/>
    <w:rsid w:val="00326A0F"/>
    <w:rsid w:val="00326CC8"/>
    <w:rsid w:val="00330FF4"/>
    <w:rsid w:val="00332C8E"/>
    <w:rsid w:val="003337E1"/>
    <w:rsid w:val="003340D2"/>
    <w:rsid w:val="0033415F"/>
    <w:rsid w:val="003343AD"/>
    <w:rsid w:val="0033555A"/>
    <w:rsid w:val="00336117"/>
    <w:rsid w:val="00340F8C"/>
    <w:rsid w:val="003420E1"/>
    <w:rsid w:val="00342828"/>
    <w:rsid w:val="003443FD"/>
    <w:rsid w:val="0035308B"/>
    <w:rsid w:val="0035609C"/>
    <w:rsid w:val="00357464"/>
    <w:rsid w:val="00357817"/>
    <w:rsid w:val="00362AB6"/>
    <w:rsid w:val="00365A0F"/>
    <w:rsid w:val="00372A65"/>
    <w:rsid w:val="0037524D"/>
    <w:rsid w:val="00375559"/>
    <w:rsid w:val="00380E55"/>
    <w:rsid w:val="00381F8A"/>
    <w:rsid w:val="00383EE2"/>
    <w:rsid w:val="00384AB7"/>
    <w:rsid w:val="0038554C"/>
    <w:rsid w:val="00385866"/>
    <w:rsid w:val="00390005"/>
    <w:rsid w:val="00390595"/>
    <w:rsid w:val="00390930"/>
    <w:rsid w:val="0039156A"/>
    <w:rsid w:val="00391CAC"/>
    <w:rsid w:val="00392521"/>
    <w:rsid w:val="00394A2F"/>
    <w:rsid w:val="003A2CE5"/>
    <w:rsid w:val="003A44FB"/>
    <w:rsid w:val="003A47DA"/>
    <w:rsid w:val="003B07BA"/>
    <w:rsid w:val="003B471E"/>
    <w:rsid w:val="003B7136"/>
    <w:rsid w:val="003B7F37"/>
    <w:rsid w:val="003C0BD7"/>
    <w:rsid w:val="003C51DA"/>
    <w:rsid w:val="003C6305"/>
    <w:rsid w:val="003C69D8"/>
    <w:rsid w:val="003D599E"/>
    <w:rsid w:val="003D6882"/>
    <w:rsid w:val="003D694B"/>
    <w:rsid w:val="003D6D2D"/>
    <w:rsid w:val="003D7693"/>
    <w:rsid w:val="003E4CE2"/>
    <w:rsid w:val="003E5FF7"/>
    <w:rsid w:val="003E6AAB"/>
    <w:rsid w:val="003F0003"/>
    <w:rsid w:val="003F2D2D"/>
    <w:rsid w:val="003F43C6"/>
    <w:rsid w:val="003F499A"/>
    <w:rsid w:val="003F50C8"/>
    <w:rsid w:val="003F58D9"/>
    <w:rsid w:val="00400DA1"/>
    <w:rsid w:val="00401518"/>
    <w:rsid w:val="00402B4D"/>
    <w:rsid w:val="00403C6D"/>
    <w:rsid w:val="0040409F"/>
    <w:rsid w:val="00404D57"/>
    <w:rsid w:val="0040587C"/>
    <w:rsid w:val="00405A5C"/>
    <w:rsid w:val="00405D06"/>
    <w:rsid w:val="00407DE3"/>
    <w:rsid w:val="00407FC3"/>
    <w:rsid w:val="00412271"/>
    <w:rsid w:val="00412319"/>
    <w:rsid w:val="00412CA9"/>
    <w:rsid w:val="00413003"/>
    <w:rsid w:val="00413F35"/>
    <w:rsid w:val="00414232"/>
    <w:rsid w:val="0041466F"/>
    <w:rsid w:val="004146D3"/>
    <w:rsid w:val="004159CE"/>
    <w:rsid w:val="00416AD9"/>
    <w:rsid w:val="00420105"/>
    <w:rsid w:val="00420346"/>
    <w:rsid w:val="00421BEF"/>
    <w:rsid w:val="004222B8"/>
    <w:rsid w:val="0042247B"/>
    <w:rsid w:val="00423277"/>
    <w:rsid w:val="00424B8F"/>
    <w:rsid w:val="00432AB2"/>
    <w:rsid w:val="004331E9"/>
    <w:rsid w:val="00437B95"/>
    <w:rsid w:val="0044141D"/>
    <w:rsid w:val="00445A74"/>
    <w:rsid w:val="00447640"/>
    <w:rsid w:val="00447BF1"/>
    <w:rsid w:val="004500AD"/>
    <w:rsid w:val="004528B4"/>
    <w:rsid w:val="00453C02"/>
    <w:rsid w:val="00455685"/>
    <w:rsid w:val="004565F7"/>
    <w:rsid w:val="004575D7"/>
    <w:rsid w:val="004609F3"/>
    <w:rsid w:val="0046208F"/>
    <w:rsid w:val="00464BE2"/>
    <w:rsid w:val="004651CB"/>
    <w:rsid w:val="00472033"/>
    <w:rsid w:val="0047247E"/>
    <w:rsid w:val="00472C5D"/>
    <w:rsid w:val="00477391"/>
    <w:rsid w:val="0048092D"/>
    <w:rsid w:val="00481A25"/>
    <w:rsid w:val="00483C22"/>
    <w:rsid w:val="004847F7"/>
    <w:rsid w:val="00491A99"/>
    <w:rsid w:val="00492D31"/>
    <w:rsid w:val="00496725"/>
    <w:rsid w:val="004971BA"/>
    <w:rsid w:val="0049752C"/>
    <w:rsid w:val="004A361F"/>
    <w:rsid w:val="004A400C"/>
    <w:rsid w:val="004A498C"/>
    <w:rsid w:val="004A4C93"/>
    <w:rsid w:val="004A5059"/>
    <w:rsid w:val="004A552F"/>
    <w:rsid w:val="004B4FAA"/>
    <w:rsid w:val="004B4FDE"/>
    <w:rsid w:val="004B58C9"/>
    <w:rsid w:val="004C211B"/>
    <w:rsid w:val="004C2572"/>
    <w:rsid w:val="004C2D88"/>
    <w:rsid w:val="004C3B54"/>
    <w:rsid w:val="004C4898"/>
    <w:rsid w:val="004C490B"/>
    <w:rsid w:val="004C56B9"/>
    <w:rsid w:val="004C5973"/>
    <w:rsid w:val="004C763C"/>
    <w:rsid w:val="004D21CA"/>
    <w:rsid w:val="004D2464"/>
    <w:rsid w:val="004D3D85"/>
    <w:rsid w:val="004D4359"/>
    <w:rsid w:val="004D6865"/>
    <w:rsid w:val="004D6A2E"/>
    <w:rsid w:val="004D6CE8"/>
    <w:rsid w:val="004D6E0B"/>
    <w:rsid w:val="004E29E7"/>
    <w:rsid w:val="004E4C46"/>
    <w:rsid w:val="004E4C7D"/>
    <w:rsid w:val="004E7641"/>
    <w:rsid w:val="004F21C1"/>
    <w:rsid w:val="004F3C84"/>
    <w:rsid w:val="005013DA"/>
    <w:rsid w:val="00502FE3"/>
    <w:rsid w:val="0050553B"/>
    <w:rsid w:val="005057DC"/>
    <w:rsid w:val="00506F10"/>
    <w:rsid w:val="0051150B"/>
    <w:rsid w:val="00512EB4"/>
    <w:rsid w:val="00514365"/>
    <w:rsid w:val="00515C65"/>
    <w:rsid w:val="00516C0D"/>
    <w:rsid w:val="00521AF0"/>
    <w:rsid w:val="0052347A"/>
    <w:rsid w:val="0052455E"/>
    <w:rsid w:val="00525CDB"/>
    <w:rsid w:val="005265DF"/>
    <w:rsid w:val="00531CAB"/>
    <w:rsid w:val="00531F61"/>
    <w:rsid w:val="0053549A"/>
    <w:rsid w:val="0053739A"/>
    <w:rsid w:val="00543F76"/>
    <w:rsid w:val="00544817"/>
    <w:rsid w:val="00544ADD"/>
    <w:rsid w:val="00547CE6"/>
    <w:rsid w:val="0055195D"/>
    <w:rsid w:val="00551B7C"/>
    <w:rsid w:val="00552FA7"/>
    <w:rsid w:val="00557C07"/>
    <w:rsid w:val="0056024E"/>
    <w:rsid w:val="00561106"/>
    <w:rsid w:val="00562F79"/>
    <w:rsid w:val="0056305A"/>
    <w:rsid w:val="00563290"/>
    <w:rsid w:val="005647AC"/>
    <w:rsid w:val="00565E5B"/>
    <w:rsid w:val="00566574"/>
    <w:rsid w:val="00566620"/>
    <w:rsid w:val="005678F7"/>
    <w:rsid w:val="005707B6"/>
    <w:rsid w:val="005707D9"/>
    <w:rsid w:val="005709C9"/>
    <w:rsid w:val="00571605"/>
    <w:rsid w:val="005716D4"/>
    <w:rsid w:val="005767CC"/>
    <w:rsid w:val="00576D31"/>
    <w:rsid w:val="00577CB4"/>
    <w:rsid w:val="00580BF7"/>
    <w:rsid w:val="00581F0D"/>
    <w:rsid w:val="00581F27"/>
    <w:rsid w:val="0058451C"/>
    <w:rsid w:val="0058649D"/>
    <w:rsid w:val="0058771A"/>
    <w:rsid w:val="005915CA"/>
    <w:rsid w:val="00591728"/>
    <w:rsid w:val="00592408"/>
    <w:rsid w:val="00592D6A"/>
    <w:rsid w:val="005A08B3"/>
    <w:rsid w:val="005A51AE"/>
    <w:rsid w:val="005A630A"/>
    <w:rsid w:val="005A6CD8"/>
    <w:rsid w:val="005A7667"/>
    <w:rsid w:val="005B0837"/>
    <w:rsid w:val="005B7855"/>
    <w:rsid w:val="005B7AD8"/>
    <w:rsid w:val="005B7E09"/>
    <w:rsid w:val="005C03CC"/>
    <w:rsid w:val="005C1960"/>
    <w:rsid w:val="005C3C3F"/>
    <w:rsid w:val="005C58C8"/>
    <w:rsid w:val="005D1CE3"/>
    <w:rsid w:val="005D2610"/>
    <w:rsid w:val="005D47AC"/>
    <w:rsid w:val="005D4BC0"/>
    <w:rsid w:val="005D76C4"/>
    <w:rsid w:val="005E0101"/>
    <w:rsid w:val="005E200C"/>
    <w:rsid w:val="005E375D"/>
    <w:rsid w:val="005F12CD"/>
    <w:rsid w:val="005F1322"/>
    <w:rsid w:val="005F2155"/>
    <w:rsid w:val="005F2868"/>
    <w:rsid w:val="005F6AC2"/>
    <w:rsid w:val="0060105A"/>
    <w:rsid w:val="00601DDF"/>
    <w:rsid w:val="00602C50"/>
    <w:rsid w:val="006035FD"/>
    <w:rsid w:val="00606127"/>
    <w:rsid w:val="006069F8"/>
    <w:rsid w:val="00606D34"/>
    <w:rsid w:val="006070B5"/>
    <w:rsid w:val="00607885"/>
    <w:rsid w:val="00612529"/>
    <w:rsid w:val="00613865"/>
    <w:rsid w:val="00614FB5"/>
    <w:rsid w:val="00616CEA"/>
    <w:rsid w:val="00617365"/>
    <w:rsid w:val="00617678"/>
    <w:rsid w:val="00617EC4"/>
    <w:rsid w:val="00621075"/>
    <w:rsid w:val="0062327C"/>
    <w:rsid w:val="0062363E"/>
    <w:rsid w:val="00625D4F"/>
    <w:rsid w:val="0063344F"/>
    <w:rsid w:val="00633806"/>
    <w:rsid w:val="0063435A"/>
    <w:rsid w:val="00636511"/>
    <w:rsid w:val="00641A26"/>
    <w:rsid w:val="00641E73"/>
    <w:rsid w:val="00641E83"/>
    <w:rsid w:val="00642645"/>
    <w:rsid w:val="006434DC"/>
    <w:rsid w:val="00646DE7"/>
    <w:rsid w:val="00647506"/>
    <w:rsid w:val="006505A6"/>
    <w:rsid w:val="006536CB"/>
    <w:rsid w:val="00655083"/>
    <w:rsid w:val="006552DE"/>
    <w:rsid w:val="006555BB"/>
    <w:rsid w:val="00656534"/>
    <w:rsid w:val="0065751A"/>
    <w:rsid w:val="0065789D"/>
    <w:rsid w:val="00662FB4"/>
    <w:rsid w:val="00663E66"/>
    <w:rsid w:val="00664089"/>
    <w:rsid w:val="00672533"/>
    <w:rsid w:val="0067520A"/>
    <w:rsid w:val="00677B7E"/>
    <w:rsid w:val="0068013B"/>
    <w:rsid w:val="006836F4"/>
    <w:rsid w:val="00683B57"/>
    <w:rsid w:val="00685585"/>
    <w:rsid w:val="00685FAB"/>
    <w:rsid w:val="006908D1"/>
    <w:rsid w:val="00693A4D"/>
    <w:rsid w:val="00697307"/>
    <w:rsid w:val="006976FE"/>
    <w:rsid w:val="006A1E33"/>
    <w:rsid w:val="006A210F"/>
    <w:rsid w:val="006A2D24"/>
    <w:rsid w:val="006A4547"/>
    <w:rsid w:val="006A711F"/>
    <w:rsid w:val="006B26DD"/>
    <w:rsid w:val="006B272A"/>
    <w:rsid w:val="006B2FCF"/>
    <w:rsid w:val="006B43A1"/>
    <w:rsid w:val="006B6AC3"/>
    <w:rsid w:val="006C459D"/>
    <w:rsid w:val="006C4693"/>
    <w:rsid w:val="006C4DE0"/>
    <w:rsid w:val="006C6CEF"/>
    <w:rsid w:val="006C6ED2"/>
    <w:rsid w:val="006C6FA2"/>
    <w:rsid w:val="006D03BE"/>
    <w:rsid w:val="006D07B6"/>
    <w:rsid w:val="006D1663"/>
    <w:rsid w:val="006D16EC"/>
    <w:rsid w:val="006D1732"/>
    <w:rsid w:val="006D26E3"/>
    <w:rsid w:val="006D3384"/>
    <w:rsid w:val="006D4438"/>
    <w:rsid w:val="006E104E"/>
    <w:rsid w:val="006E4141"/>
    <w:rsid w:val="006E62F3"/>
    <w:rsid w:val="006E72BB"/>
    <w:rsid w:val="006E73D5"/>
    <w:rsid w:val="006F149E"/>
    <w:rsid w:val="006F1928"/>
    <w:rsid w:val="006F1CD8"/>
    <w:rsid w:val="006F36D1"/>
    <w:rsid w:val="006F6676"/>
    <w:rsid w:val="006F7804"/>
    <w:rsid w:val="0070089F"/>
    <w:rsid w:val="007029B3"/>
    <w:rsid w:val="00703203"/>
    <w:rsid w:val="00704C17"/>
    <w:rsid w:val="0071077A"/>
    <w:rsid w:val="00711F93"/>
    <w:rsid w:val="00713EFB"/>
    <w:rsid w:val="00713FAE"/>
    <w:rsid w:val="0071456F"/>
    <w:rsid w:val="00717237"/>
    <w:rsid w:val="00722010"/>
    <w:rsid w:val="007241FD"/>
    <w:rsid w:val="00725A42"/>
    <w:rsid w:val="0073094E"/>
    <w:rsid w:val="00731BDF"/>
    <w:rsid w:val="007361A5"/>
    <w:rsid w:val="007366E1"/>
    <w:rsid w:val="0073778C"/>
    <w:rsid w:val="007400F1"/>
    <w:rsid w:val="00740453"/>
    <w:rsid w:val="00742E0F"/>
    <w:rsid w:val="0074303D"/>
    <w:rsid w:val="0074712C"/>
    <w:rsid w:val="0075294E"/>
    <w:rsid w:val="007530B8"/>
    <w:rsid w:val="00762874"/>
    <w:rsid w:val="00765E4E"/>
    <w:rsid w:val="00766170"/>
    <w:rsid w:val="00767252"/>
    <w:rsid w:val="00767675"/>
    <w:rsid w:val="00772520"/>
    <w:rsid w:val="007725F1"/>
    <w:rsid w:val="007732B7"/>
    <w:rsid w:val="00777A49"/>
    <w:rsid w:val="0078181C"/>
    <w:rsid w:val="00782E2C"/>
    <w:rsid w:val="00784D0C"/>
    <w:rsid w:val="0078535D"/>
    <w:rsid w:val="0078677B"/>
    <w:rsid w:val="00791178"/>
    <w:rsid w:val="0079245E"/>
    <w:rsid w:val="00793A15"/>
    <w:rsid w:val="0079426B"/>
    <w:rsid w:val="00794AEE"/>
    <w:rsid w:val="007955CA"/>
    <w:rsid w:val="007A2014"/>
    <w:rsid w:val="007A2097"/>
    <w:rsid w:val="007A34BB"/>
    <w:rsid w:val="007A52C5"/>
    <w:rsid w:val="007B212D"/>
    <w:rsid w:val="007B272B"/>
    <w:rsid w:val="007B3570"/>
    <w:rsid w:val="007B5B39"/>
    <w:rsid w:val="007B6F55"/>
    <w:rsid w:val="007C0484"/>
    <w:rsid w:val="007C062C"/>
    <w:rsid w:val="007C1339"/>
    <w:rsid w:val="007C202D"/>
    <w:rsid w:val="007C42E8"/>
    <w:rsid w:val="007C63EA"/>
    <w:rsid w:val="007C698B"/>
    <w:rsid w:val="007C7025"/>
    <w:rsid w:val="007D096D"/>
    <w:rsid w:val="007D10C8"/>
    <w:rsid w:val="007D704F"/>
    <w:rsid w:val="007E05B4"/>
    <w:rsid w:val="007E1127"/>
    <w:rsid w:val="007E214E"/>
    <w:rsid w:val="007E2180"/>
    <w:rsid w:val="007E2559"/>
    <w:rsid w:val="007E2BBF"/>
    <w:rsid w:val="007E3F66"/>
    <w:rsid w:val="007E6345"/>
    <w:rsid w:val="007E644D"/>
    <w:rsid w:val="007E6E2B"/>
    <w:rsid w:val="007F08BC"/>
    <w:rsid w:val="007F396F"/>
    <w:rsid w:val="007F41AE"/>
    <w:rsid w:val="007F43C3"/>
    <w:rsid w:val="007F515E"/>
    <w:rsid w:val="007F5ABF"/>
    <w:rsid w:val="007F5D23"/>
    <w:rsid w:val="007F601C"/>
    <w:rsid w:val="00802857"/>
    <w:rsid w:val="008048A5"/>
    <w:rsid w:val="00804E5C"/>
    <w:rsid w:val="008053D8"/>
    <w:rsid w:val="008124F1"/>
    <w:rsid w:val="00814909"/>
    <w:rsid w:val="008152E7"/>
    <w:rsid w:val="00815EC2"/>
    <w:rsid w:val="00816711"/>
    <w:rsid w:val="008208D3"/>
    <w:rsid w:val="00820BE0"/>
    <w:rsid w:val="0082797E"/>
    <w:rsid w:val="008317A0"/>
    <w:rsid w:val="00831C9D"/>
    <w:rsid w:val="008325FB"/>
    <w:rsid w:val="00833313"/>
    <w:rsid w:val="00833E7C"/>
    <w:rsid w:val="00834A78"/>
    <w:rsid w:val="00836303"/>
    <w:rsid w:val="00836A8D"/>
    <w:rsid w:val="008453A0"/>
    <w:rsid w:val="00846ED2"/>
    <w:rsid w:val="00846FFC"/>
    <w:rsid w:val="0085055B"/>
    <w:rsid w:val="00857FA2"/>
    <w:rsid w:val="008611F5"/>
    <w:rsid w:val="00861712"/>
    <w:rsid w:val="00861FFD"/>
    <w:rsid w:val="0087057E"/>
    <w:rsid w:val="0087375D"/>
    <w:rsid w:val="00874E08"/>
    <w:rsid w:val="00875A14"/>
    <w:rsid w:val="00875B9F"/>
    <w:rsid w:val="00880258"/>
    <w:rsid w:val="00881EB2"/>
    <w:rsid w:val="008830B0"/>
    <w:rsid w:val="0088336A"/>
    <w:rsid w:val="00884AFA"/>
    <w:rsid w:val="00884FAE"/>
    <w:rsid w:val="00887A5D"/>
    <w:rsid w:val="00890AB1"/>
    <w:rsid w:val="008945DF"/>
    <w:rsid w:val="00894D9A"/>
    <w:rsid w:val="008967A0"/>
    <w:rsid w:val="008A0613"/>
    <w:rsid w:val="008A11CE"/>
    <w:rsid w:val="008A4084"/>
    <w:rsid w:val="008A6CD3"/>
    <w:rsid w:val="008B4B9E"/>
    <w:rsid w:val="008B6ABF"/>
    <w:rsid w:val="008C009C"/>
    <w:rsid w:val="008C0142"/>
    <w:rsid w:val="008C1F10"/>
    <w:rsid w:val="008C2F9D"/>
    <w:rsid w:val="008C37F7"/>
    <w:rsid w:val="008C4E11"/>
    <w:rsid w:val="008C5CFA"/>
    <w:rsid w:val="008D0047"/>
    <w:rsid w:val="008D2AD5"/>
    <w:rsid w:val="008D2F63"/>
    <w:rsid w:val="008D34D3"/>
    <w:rsid w:val="008D35BA"/>
    <w:rsid w:val="008D5D1F"/>
    <w:rsid w:val="008D6A8E"/>
    <w:rsid w:val="008E1A71"/>
    <w:rsid w:val="008E302F"/>
    <w:rsid w:val="008F0E7D"/>
    <w:rsid w:val="008F245B"/>
    <w:rsid w:val="008F2CF9"/>
    <w:rsid w:val="00901492"/>
    <w:rsid w:val="0090185F"/>
    <w:rsid w:val="00902F8A"/>
    <w:rsid w:val="00904696"/>
    <w:rsid w:val="00904D0E"/>
    <w:rsid w:val="009061B5"/>
    <w:rsid w:val="00907605"/>
    <w:rsid w:val="00910AB5"/>
    <w:rsid w:val="0091346B"/>
    <w:rsid w:val="00913862"/>
    <w:rsid w:val="00916248"/>
    <w:rsid w:val="0091666B"/>
    <w:rsid w:val="0091706A"/>
    <w:rsid w:val="0091769A"/>
    <w:rsid w:val="0092077E"/>
    <w:rsid w:val="00924A68"/>
    <w:rsid w:val="009253B3"/>
    <w:rsid w:val="009254D9"/>
    <w:rsid w:val="0092607A"/>
    <w:rsid w:val="009267A1"/>
    <w:rsid w:val="00931B73"/>
    <w:rsid w:val="00931F99"/>
    <w:rsid w:val="00933FB1"/>
    <w:rsid w:val="00934092"/>
    <w:rsid w:val="00935264"/>
    <w:rsid w:val="009407F1"/>
    <w:rsid w:val="00940E28"/>
    <w:rsid w:val="00942190"/>
    <w:rsid w:val="009423FE"/>
    <w:rsid w:val="00942867"/>
    <w:rsid w:val="009429BA"/>
    <w:rsid w:val="00943157"/>
    <w:rsid w:val="0094362E"/>
    <w:rsid w:val="00944084"/>
    <w:rsid w:val="00945F03"/>
    <w:rsid w:val="009462AF"/>
    <w:rsid w:val="0094674C"/>
    <w:rsid w:val="009525C9"/>
    <w:rsid w:val="0095572D"/>
    <w:rsid w:val="00956849"/>
    <w:rsid w:val="009572A9"/>
    <w:rsid w:val="0095774B"/>
    <w:rsid w:val="0096035C"/>
    <w:rsid w:val="00961415"/>
    <w:rsid w:val="009621E9"/>
    <w:rsid w:val="00964302"/>
    <w:rsid w:val="00966B24"/>
    <w:rsid w:val="009671FD"/>
    <w:rsid w:val="009703FA"/>
    <w:rsid w:val="00970D38"/>
    <w:rsid w:val="00973CAD"/>
    <w:rsid w:val="0097412F"/>
    <w:rsid w:val="00975AFB"/>
    <w:rsid w:val="00975BF2"/>
    <w:rsid w:val="009802C6"/>
    <w:rsid w:val="009806B3"/>
    <w:rsid w:val="00980F89"/>
    <w:rsid w:val="009814FC"/>
    <w:rsid w:val="00983317"/>
    <w:rsid w:val="0098393D"/>
    <w:rsid w:val="00983962"/>
    <w:rsid w:val="00984331"/>
    <w:rsid w:val="009845A7"/>
    <w:rsid w:val="009869BE"/>
    <w:rsid w:val="00993C09"/>
    <w:rsid w:val="00997039"/>
    <w:rsid w:val="00997AF5"/>
    <w:rsid w:val="009A1979"/>
    <w:rsid w:val="009A3263"/>
    <w:rsid w:val="009A32B3"/>
    <w:rsid w:val="009A36A1"/>
    <w:rsid w:val="009A514A"/>
    <w:rsid w:val="009A5771"/>
    <w:rsid w:val="009A5896"/>
    <w:rsid w:val="009A5AFD"/>
    <w:rsid w:val="009A5EC7"/>
    <w:rsid w:val="009B0621"/>
    <w:rsid w:val="009B0B53"/>
    <w:rsid w:val="009B0EDB"/>
    <w:rsid w:val="009B182E"/>
    <w:rsid w:val="009B1F3D"/>
    <w:rsid w:val="009B2B87"/>
    <w:rsid w:val="009B456D"/>
    <w:rsid w:val="009B583B"/>
    <w:rsid w:val="009B7832"/>
    <w:rsid w:val="009C18E0"/>
    <w:rsid w:val="009C2D6B"/>
    <w:rsid w:val="009C35B8"/>
    <w:rsid w:val="009C3837"/>
    <w:rsid w:val="009C5613"/>
    <w:rsid w:val="009D05CF"/>
    <w:rsid w:val="009D0901"/>
    <w:rsid w:val="009D0D5B"/>
    <w:rsid w:val="009D0F8C"/>
    <w:rsid w:val="009D2DC4"/>
    <w:rsid w:val="009D4F55"/>
    <w:rsid w:val="009E0FC3"/>
    <w:rsid w:val="009E261E"/>
    <w:rsid w:val="009E5686"/>
    <w:rsid w:val="009E6ED2"/>
    <w:rsid w:val="009F1E87"/>
    <w:rsid w:val="009F32D4"/>
    <w:rsid w:val="009F489F"/>
    <w:rsid w:val="009F6ED0"/>
    <w:rsid w:val="00A00637"/>
    <w:rsid w:val="00A00D4C"/>
    <w:rsid w:val="00A01ABD"/>
    <w:rsid w:val="00A022D9"/>
    <w:rsid w:val="00A025F9"/>
    <w:rsid w:val="00A02986"/>
    <w:rsid w:val="00A02DFE"/>
    <w:rsid w:val="00A03151"/>
    <w:rsid w:val="00A113BD"/>
    <w:rsid w:val="00A1141B"/>
    <w:rsid w:val="00A14183"/>
    <w:rsid w:val="00A14CB0"/>
    <w:rsid w:val="00A168ED"/>
    <w:rsid w:val="00A21FC2"/>
    <w:rsid w:val="00A22B66"/>
    <w:rsid w:val="00A25F8A"/>
    <w:rsid w:val="00A271A0"/>
    <w:rsid w:val="00A27A74"/>
    <w:rsid w:val="00A27DF5"/>
    <w:rsid w:val="00A3170B"/>
    <w:rsid w:val="00A31902"/>
    <w:rsid w:val="00A32DE6"/>
    <w:rsid w:val="00A33AA1"/>
    <w:rsid w:val="00A365D1"/>
    <w:rsid w:val="00A36A78"/>
    <w:rsid w:val="00A37D52"/>
    <w:rsid w:val="00A41305"/>
    <w:rsid w:val="00A426D8"/>
    <w:rsid w:val="00A432FE"/>
    <w:rsid w:val="00A4454E"/>
    <w:rsid w:val="00A44DEE"/>
    <w:rsid w:val="00A45594"/>
    <w:rsid w:val="00A45A93"/>
    <w:rsid w:val="00A45C0A"/>
    <w:rsid w:val="00A45E89"/>
    <w:rsid w:val="00A46C1F"/>
    <w:rsid w:val="00A47F02"/>
    <w:rsid w:val="00A53679"/>
    <w:rsid w:val="00A544C7"/>
    <w:rsid w:val="00A5603A"/>
    <w:rsid w:val="00A56D93"/>
    <w:rsid w:val="00A5726E"/>
    <w:rsid w:val="00A57A67"/>
    <w:rsid w:val="00A62116"/>
    <w:rsid w:val="00A6230C"/>
    <w:rsid w:val="00A6239F"/>
    <w:rsid w:val="00A625F7"/>
    <w:rsid w:val="00A64410"/>
    <w:rsid w:val="00A655C2"/>
    <w:rsid w:val="00A66433"/>
    <w:rsid w:val="00A671DA"/>
    <w:rsid w:val="00A75035"/>
    <w:rsid w:val="00A759C4"/>
    <w:rsid w:val="00A75ED2"/>
    <w:rsid w:val="00A76FC5"/>
    <w:rsid w:val="00A77161"/>
    <w:rsid w:val="00A77380"/>
    <w:rsid w:val="00A80EBE"/>
    <w:rsid w:val="00A855B8"/>
    <w:rsid w:val="00A86BFE"/>
    <w:rsid w:val="00A86E62"/>
    <w:rsid w:val="00A87977"/>
    <w:rsid w:val="00A90195"/>
    <w:rsid w:val="00A92DB1"/>
    <w:rsid w:val="00A946E5"/>
    <w:rsid w:val="00A96C56"/>
    <w:rsid w:val="00AB171E"/>
    <w:rsid w:val="00AB191B"/>
    <w:rsid w:val="00AB20B2"/>
    <w:rsid w:val="00AB20E7"/>
    <w:rsid w:val="00AB218A"/>
    <w:rsid w:val="00AB3770"/>
    <w:rsid w:val="00AB3ABD"/>
    <w:rsid w:val="00AB65FF"/>
    <w:rsid w:val="00AB6698"/>
    <w:rsid w:val="00AB674B"/>
    <w:rsid w:val="00AB74AE"/>
    <w:rsid w:val="00AC119B"/>
    <w:rsid w:val="00AC2389"/>
    <w:rsid w:val="00AC26AB"/>
    <w:rsid w:val="00AD1E7A"/>
    <w:rsid w:val="00AD27E9"/>
    <w:rsid w:val="00AD27FE"/>
    <w:rsid w:val="00AD32D0"/>
    <w:rsid w:val="00AE214D"/>
    <w:rsid w:val="00AE324A"/>
    <w:rsid w:val="00AE5057"/>
    <w:rsid w:val="00AE5865"/>
    <w:rsid w:val="00AE62E0"/>
    <w:rsid w:val="00AE7308"/>
    <w:rsid w:val="00AF040F"/>
    <w:rsid w:val="00AF3A6B"/>
    <w:rsid w:val="00AF49EE"/>
    <w:rsid w:val="00AF4C2E"/>
    <w:rsid w:val="00AF4C69"/>
    <w:rsid w:val="00AF5CD7"/>
    <w:rsid w:val="00AF5D42"/>
    <w:rsid w:val="00B0162B"/>
    <w:rsid w:val="00B0221B"/>
    <w:rsid w:val="00B029EF"/>
    <w:rsid w:val="00B02F76"/>
    <w:rsid w:val="00B035C3"/>
    <w:rsid w:val="00B03C1A"/>
    <w:rsid w:val="00B04BB2"/>
    <w:rsid w:val="00B04C33"/>
    <w:rsid w:val="00B04F5C"/>
    <w:rsid w:val="00B0523A"/>
    <w:rsid w:val="00B068EC"/>
    <w:rsid w:val="00B07424"/>
    <w:rsid w:val="00B103A1"/>
    <w:rsid w:val="00B11B4D"/>
    <w:rsid w:val="00B13985"/>
    <w:rsid w:val="00B160BE"/>
    <w:rsid w:val="00B177F4"/>
    <w:rsid w:val="00B21FE7"/>
    <w:rsid w:val="00B22E03"/>
    <w:rsid w:val="00B23682"/>
    <w:rsid w:val="00B25C90"/>
    <w:rsid w:val="00B27C97"/>
    <w:rsid w:val="00B31D26"/>
    <w:rsid w:val="00B35741"/>
    <w:rsid w:val="00B4344A"/>
    <w:rsid w:val="00B44895"/>
    <w:rsid w:val="00B44A43"/>
    <w:rsid w:val="00B4676C"/>
    <w:rsid w:val="00B473FE"/>
    <w:rsid w:val="00B52D03"/>
    <w:rsid w:val="00B55043"/>
    <w:rsid w:val="00B551CB"/>
    <w:rsid w:val="00B566A3"/>
    <w:rsid w:val="00B6141E"/>
    <w:rsid w:val="00B61E77"/>
    <w:rsid w:val="00B63196"/>
    <w:rsid w:val="00B651A5"/>
    <w:rsid w:val="00B65A7C"/>
    <w:rsid w:val="00B720BA"/>
    <w:rsid w:val="00B7234D"/>
    <w:rsid w:val="00B74A59"/>
    <w:rsid w:val="00B7720B"/>
    <w:rsid w:val="00B7773A"/>
    <w:rsid w:val="00B77A8C"/>
    <w:rsid w:val="00B77DA1"/>
    <w:rsid w:val="00B81492"/>
    <w:rsid w:val="00B839DB"/>
    <w:rsid w:val="00B868A0"/>
    <w:rsid w:val="00B8695D"/>
    <w:rsid w:val="00B872A2"/>
    <w:rsid w:val="00B912C8"/>
    <w:rsid w:val="00B92B45"/>
    <w:rsid w:val="00B952AE"/>
    <w:rsid w:val="00B95EAD"/>
    <w:rsid w:val="00B96D4A"/>
    <w:rsid w:val="00B9762A"/>
    <w:rsid w:val="00BA22C8"/>
    <w:rsid w:val="00BA3895"/>
    <w:rsid w:val="00BA4FF2"/>
    <w:rsid w:val="00BA654E"/>
    <w:rsid w:val="00BB0460"/>
    <w:rsid w:val="00BB0479"/>
    <w:rsid w:val="00BB3BD9"/>
    <w:rsid w:val="00BB709C"/>
    <w:rsid w:val="00BC062B"/>
    <w:rsid w:val="00BC4BAC"/>
    <w:rsid w:val="00BC52FE"/>
    <w:rsid w:val="00BC5320"/>
    <w:rsid w:val="00BC5330"/>
    <w:rsid w:val="00BC5722"/>
    <w:rsid w:val="00BC668C"/>
    <w:rsid w:val="00BD05F8"/>
    <w:rsid w:val="00BD133E"/>
    <w:rsid w:val="00BD14CE"/>
    <w:rsid w:val="00BD30F8"/>
    <w:rsid w:val="00BD3351"/>
    <w:rsid w:val="00BD4C45"/>
    <w:rsid w:val="00BD5845"/>
    <w:rsid w:val="00BD61C5"/>
    <w:rsid w:val="00BD77B2"/>
    <w:rsid w:val="00BE037B"/>
    <w:rsid w:val="00BE13DE"/>
    <w:rsid w:val="00BE35F9"/>
    <w:rsid w:val="00BE424A"/>
    <w:rsid w:val="00BE4D3C"/>
    <w:rsid w:val="00BE708D"/>
    <w:rsid w:val="00BF0D98"/>
    <w:rsid w:val="00BF452F"/>
    <w:rsid w:val="00C00965"/>
    <w:rsid w:val="00C0287A"/>
    <w:rsid w:val="00C030A3"/>
    <w:rsid w:val="00C05530"/>
    <w:rsid w:val="00C05B27"/>
    <w:rsid w:val="00C05FBD"/>
    <w:rsid w:val="00C06351"/>
    <w:rsid w:val="00C07087"/>
    <w:rsid w:val="00C116AE"/>
    <w:rsid w:val="00C164D6"/>
    <w:rsid w:val="00C20D39"/>
    <w:rsid w:val="00C22F63"/>
    <w:rsid w:val="00C276FE"/>
    <w:rsid w:val="00C30446"/>
    <w:rsid w:val="00C304FD"/>
    <w:rsid w:val="00C306B3"/>
    <w:rsid w:val="00C30A76"/>
    <w:rsid w:val="00C32314"/>
    <w:rsid w:val="00C32435"/>
    <w:rsid w:val="00C3285A"/>
    <w:rsid w:val="00C37381"/>
    <w:rsid w:val="00C3760A"/>
    <w:rsid w:val="00C41EAB"/>
    <w:rsid w:val="00C42797"/>
    <w:rsid w:val="00C4303C"/>
    <w:rsid w:val="00C43534"/>
    <w:rsid w:val="00C45991"/>
    <w:rsid w:val="00C463C8"/>
    <w:rsid w:val="00C46A94"/>
    <w:rsid w:val="00C47F90"/>
    <w:rsid w:val="00C52412"/>
    <w:rsid w:val="00C52881"/>
    <w:rsid w:val="00C529F9"/>
    <w:rsid w:val="00C561F9"/>
    <w:rsid w:val="00C56676"/>
    <w:rsid w:val="00C614A8"/>
    <w:rsid w:val="00C63B34"/>
    <w:rsid w:val="00C63C5C"/>
    <w:rsid w:val="00C64759"/>
    <w:rsid w:val="00C70EFF"/>
    <w:rsid w:val="00C7142E"/>
    <w:rsid w:val="00C72479"/>
    <w:rsid w:val="00C73F1D"/>
    <w:rsid w:val="00C74F46"/>
    <w:rsid w:val="00C76C8C"/>
    <w:rsid w:val="00C81327"/>
    <w:rsid w:val="00C82CF6"/>
    <w:rsid w:val="00C8389A"/>
    <w:rsid w:val="00C83B6D"/>
    <w:rsid w:val="00C87E56"/>
    <w:rsid w:val="00C908E1"/>
    <w:rsid w:val="00C92EB0"/>
    <w:rsid w:val="00C93C12"/>
    <w:rsid w:val="00C93EFD"/>
    <w:rsid w:val="00CA000E"/>
    <w:rsid w:val="00CA1B2B"/>
    <w:rsid w:val="00CA1F50"/>
    <w:rsid w:val="00CA3E63"/>
    <w:rsid w:val="00CA47C3"/>
    <w:rsid w:val="00CA517B"/>
    <w:rsid w:val="00CA5394"/>
    <w:rsid w:val="00CA5EBC"/>
    <w:rsid w:val="00CB1956"/>
    <w:rsid w:val="00CB27F9"/>
    <w:rsid w:val="00CB50C5"/>
    <w:rsid w:val="00CB551D"/>
    <w:rsid w:val="00CB5E60"/>
    <w:rsid w:val="00CB6835"/>
    <w:rsid w:val="00CB6D34"/>
    <w:rsid w:val="00CB7DBF"/>
    <w:rsid w:val="00CC10C1"/>
    <w:rsid w:val="00CC2E3A"/>
    <w:rsid w:val="00CC3307"/>
    <w:rsid w:val="00CC417E"/>
    <w:rsid w:val="00CC43D2"/>
    <w:rsid w:val="00CC4540"/>
    <w:rsid w:val="00CC4A96"/>
    <w:rsid w:val="00CC5623"/>
    <w:rsid w:val="00CC6461"/>
    <w:rsid w:val="00CC760C"/>
    <w:rsid w:val="00CD1B72"/>
    <w:rsid w:val="00CD308D"/>
    <w:rsid w:val="00CD4064"/>
    <w:rsid w:val="00CD4A0E"/>
    <w:rsid w:val="00CD5C98"/>
    <w:rsid w:val="00CD60D6"/>
    <w:rsid w:val="00CD781C"/>
    <w:rsid w:val="00CE25AB"/>
    <w:rsid w:val="00CE38CF"/>
    <w:rsid w:val="00CE5000"/>
    <w:rsid w:val="00CE58AB"/>
    <w:rsid w:val="00CE66A5"/>
    <w:rsid w:val="00CE7A9E"/>
    <w:rsid w:val="00CF1DB2"/>
    <w:rsid w:val="00CF3747"/>
    <w:rsid w:val="00CF5C12"/>
    <w:rsid w:val="00CF7CA9"/>
    <w:rsid w:val="00D01D0B"/>
    <w:rsid w:val="00D01F97"/>
    <w:rsid w:val="00D02DFB"/>
    <w:rsid w:val="00D030A8"/>
    <w:rsid w:val="00D03576"/>
    <w:rsid w:val="00D03944"/>
    <w:rsid w:val="00D05360"/>
    <w:rsid w:val="00D06872"/>
    <w:rsid w:val="00D06CE9"/>
    <w:rsid w:val="00D10255"/>
    <w:rsid w:val="00D10ACA"/>
    <w:rsid w:val="00D12A73"/>
    <w:rsid w:val="00D152DF"/>
    <w:rsid w:val="00D15DAB"/>
    <w:rsid w:val="00D15E94"/>
    <w:rsid w:val="00D16086"/>
    <w:rsid w:val="00D21026"/>
    <w:rsid w:val="00D234D0"/>
    <w:rsid w:val="00D23F31"/>
    <w:rsid w:val="00D2465A"/>
    <w:rsid w:val="00D247CC"/>
    <w:rsid w:val="00D249BF"/>
    <w:rsid w:val="00D319EF"/>
    <w:rsid w:val="00D31E7D"/>
    <w:rsid w:val="00D339F1"/>
    <w:rsid w:val="00D36292"/>
    <w:rsid w:val="00D36FAA"/>
    <w:rsid w:val="00D417A8"/>
    <w:rsid w:val="00D42755"/>
    <w:rsid w:val="00D4420A"/>
    <w:rsid w:val="00D442B0"/>
    <w:rsid w:val="00D44763"/>
    <w:rsid w:val="00D45F2C"/>
    <w:rsid w:val="00D5305A"/>
    <w:rsid w:val="00D53C7D"/>
    <w:rsid w:val="00D54943"/>
    <w:rsid w:val="00D54FD5"/>
    <w:rsid w:val="00D55C45"/>
    <w:rsid w:val="00D5658A"/>
    <w:rsid w:val="00D57EDC"/>
    <w:rsid w:val="00D65F3D"/>
    <w:rsid w:val="00D66714"/>
    <w:rsid w:val="00D676EB"/>
    <w:rsid w:val="00D7099D"/>
    <w:rsid w:val="00D7325B"/>
    <w:rsid w:val="00D74D6B"/>
    <w:rsid w:val="00D74EEC"/>
    <w:rsid w:val="00D7794F"/>
    <w:rsid w:val="00D80B60"/>
    <w:rsid w:val="00D80B99"/>
    <w:rsid w:val="00D8149C"/>
    <w:rsid w:val="00D82C13"/>
    <w:rsid w:val="00D871E0"/>
    <w:rsid w:val="00D90BC1"/>
    <w:rsid w:val="00D90EBE"/>
    <w:rsid w:val="00D92268"/>
    <w:rsid w:val="00D954E8"/>
    <w:rsid w:val="00DA0025"/>
    <w:rsid w:val="00DA0EF1"/>
    <w:rsid w:val="00DA130B"/>
    <w:rsid w:val="00DA2250"/>
    <w:rsid w:val="00DA2796"/>
    <w:rsid w:val="00DA29A5"/>
    <w:rsid w:val="00DA3E86"/>
    <w:rsid w:val="00DA4348"/>
    <w:rsid w:val="00DA54FA"/>
    <w:rsid w:val="00DA5E58"/>
    <w:rsid w:val="00DB1725"/>
    <w:rsid w:val="00DB2AEC"/>
    <w:rsid w:val="00DB32C5"/>
    <w:rsid w:val="00DB3CDB"/>
    <w:rsid w:val="00DB6D90"/>
    <w:rsid w:val="00DB755C"/>
    <w:rsid w:val="00DC34DC"/>
    <w:rsid w:val="00DC4E3B"/>
    <w:rsid w:val="00DD33D1"/>
    <w:rsid w:val="00DD7605"/>
    <w:rsid w:val="00DE1E3E"/>
    <w:rsid w:val="00DE3AF8"/>
    <w:rsid w:val="00DE65A6"/>
    <w:rsid w:val="00DE7543"/>
    <w:rsid w:val="00DF520C"/>
    <w:rsid w:val="00E016BB"/>
    <w:rsid w:val="00E020DE"/>
    <w:rsid w:val="00E029A9"/>
    <w:rsid w:val="00E02A18"/>
    <w:rsid w:val="00E04DE8"/>
    <w:rsid w:val="00E05070"/>
    <w:rsid w:val="00E05228"/>
    <w:rsid w:val="00E05CFE"/>
    <w:rsid w:val="00E071DF"/>
    <w:rsid w:val="00E079A0"/>
    <w:rsid w:val="00E1213D"/>
    <w:rsid w:val="00E12A85"/>
    <w:rsid w:val="00E31ECD"/>
    <w:rsid w:val="00E3352B"/>
    <w:rsid w:val="00E3434F"/>
    <w:rsid w:val="00E34775"/>
    <w:rsid w:val="00E356B4"/>
    <w:rsid w:val="00E364CF"/>
    <w:rsid w:val="00E369D9"/>
    <w:rsid w:val="00E429A0"/>
    <w:rsid w:val="00E43447"/>
    <w:rsid w:val="00E437A9"/>
    <w:rsid w:val="00E43860"/>
    <w:rsid w:val="00E462B6"/>
    <w:rsid w:val="00E50349"/>
    <w:rsid w:val="00E51B72"/>
    <w:rsid w:val="00E578FE"/>
    <w:rsid w:val="00E601F6"/>
    <w:rsid w:val="00E60BE1"/>
    <w:rsid w:val="00E665DF"/>
    <w:rsid w:val="00E668B1"/>
    <w:rsid w:val="00E71792"/>
    <w:rsid w:val="00E71CE4"/>
    <w:rsid w:val="00E73B7F"/>
    <w:rsid w:val="00E75A78"/>
    <w:rsid w:val="00E76F5E"/>
    <w:rsid w:val="00E8038F"/>
    <w:rsid w:val="00E80450"/>
    <w:rsid w:val="00E81330"/>
    <w:rsid w:val="00E83273"/>
    <w:rsid w:val="00E835AA"/>
    <w:rsid w:val="00E83B0A"/>
    <w:rsid w:val="00E840BE"/>
    <w:rsid w:val="00E871CF"/>
    <w:rsid w:val="00E94A7B"/>
    <w:rsid w:val="00E958CA"/>
    <w:rsid w:val="00E96070"/>
    <w:rsid w:val="00E967C1"/>
    <w:rsid w:val="00E972B4"/>
    <w:rsid w:val="00EA0271"/>
    <w:rsid w:val="00EA1C01"/>
    <w:rsid w:val="00EA2D06"/>
    <w:rsid w:val="00EA36DA"/>
    <w:rsid w:val="00EA5168"/>
    <w:rsid w:val="00EA5A61"/>
    <w:rsid w:val="00EA7038"/>
    <w:rsid w:val="00EB1801"/>
    <w:rsid w:val="00EB3F0F"/>
    <w:rsid w:val="00EB403D"/>
    <w:rsid w:val="00EB5019"/>
    <w:rsid w:val="00EB606E"/>
    <w:rsid w:val="00EB7B32"/>
    <w:rsid w:val="00EC1780"/>
    <w:rsid w:val="00EC2317"/>
    <w:rsid w:val="00EC3153"/>
    <w:rsid w:val="00EC3531"/>
    <w:rsid w:val="00EC44A3"/>
    <w:rsid w:val="00EC60FB"/>
    <w:rsid w:val="00EC7EA7"/>
    <w:rsid w:val="00ED2A92"/>
    <w:rsid w:val="00ED4467"/>
    <w:rsid w:val="00ED4E53"/>
    <w:rsid w:val="00ED6B91"/>
    <w:rsid w:val="00ED7256"/>
    <w:rsid w:val="00EE07AF"/>
    <w:rsid w:val="00EE19FE"/>
    <w:rsid w:val="00EE3E2D"/>
    <w:rsid w:val="00EE4595"/>
    <w:rsid w:val="00EE58D7"/>
    <w:rsid w:val="00EE65CE"/>
    <w:rsid w:val="00EE7F8E"/>
    <w:rsid w:val="00EF0206"/>
    <w:rsid w:val="00EF0726"/>
    <w:rsid w:val="00EF0F02"/>
    <w:rsid w:val="00EF14AB"/>
    <w:rsid w:val="00EF28E1"/>
    <w:rsid w:val="00EF2953"/>
    <w:rsid w:val="00EF29A1"/>
    <w:rsid w:val="00EF2EAC"/>
    <w:rsid w:val="00EF4039"/>
    <w:rsid w:val="00EF4D3B"/>
    <w:rsid w:val="00EF55AF"/>
    <w:rsid w:val="00EF59C5"/>
    <w:rsid w:val="00F02835"/>
    <w:rsid w:val="00F035CD"/>
    <w:rsid w:val="00F055A0"/>
    <w:rsid w:val="00F06EE0"/>
    <w:rsid w:val="00F0751D"/>
    <w:rsid w:val="00F16C3C"/>
    <w:rsid w:val="00F20943"/>
    <w:rsid w:val="00F22036"/>
    <w:rsid w:val="00F23EDB"/>
    <w:rsid w:val="00F24298"/>
    <w:rsid w:val="00F24332"/>
    <w:rsid w:val="00F25F5A"/>
    <w:rsid w:val="00F272AB"/>
    <w:rsid w:val="00F35D80"/>
    <w:rsid w:val="00F362AC"/>
    <w:rsid w:val="00F3730A"/>
    <w:rsid w:val="00F40F87"/>
    <w:rsid w:val="00F4204E"/>
    <w:rsid w:val="00F43C44"/>
    <w:rsid w:val="00F457B7"/>
    <w:rsid w:val="00F46471"/>
    <w:rsid w:val="00F46545"/>
    <w:rsid w:val="00F46F83"/>
    <w:rsid w:val="00F5448B"/>
    <w:rsid w:val="00F546A5"/>
    <w:rsid w:val="00F54855"/>
    <w:rsid w:val="00F608D1"/>
    <w:rsid w:val="00F6107A"/>
    <w:rsid w:val="00F616D9"/>
    <w:rsid w:val="00F62DAD"/>
    <w:rsid w:val="00F6523A"/>
    <w:rsid w:val="00F71688"/>
    <w:rsid w:val="00F72A85"/>
    <w:rsid w:val="00F72DF9"/>
    <w:rsid w:val="00F73AAE"/>
    <w:rsid w:val="00F73C72"/>
    <w:rsid w:val="00F741B1"/>
    <w:rsid w:val="00F7637B"/>
    <w:rsid w:val="00F76AE5"/>
    <w:rsid w:val="00F804F0"/>
    <w:rsid w:val="00F81845"/>
    <w:rsid w:val="00F84B82"/>
    <w:rsid w:val="00F855FB"/>
    <w:rsid w:val="00F91F30"/>
    <w:rsid w:val="00F953C7"/>
    <w:rsid w:val="00F95790"/>
    <w:rsid w:val="00F96199"/>
    <w:rsid w:val="00F971BC"/>
    <w:rsid w:val="00FA0B52"/>
    <w:rsid w:val="00FA2721"/>
    <w:rsid w:val="00FA302A"/>
    <w:rsid w:val="00FA7382"/>
    <w:rsid w:val="00FA7A64"/>
    <w:rsid w:val="00FA7C2F"/>
    <w:rsid w:val="00FB0432"/>
    <w:rsid w:val="00FB0881"/>
    <w:rsid w:val="00FB0C42"/>
    <w:rsid w:val="00FB3B5F"/>
    <w:rsid w:val="00FB49F6"/>
    <w:rsid w:val="00FB4A75"/>
    <w:rsid w:val="00FC0847"/>
    <w:rsid w:val="00FC0F6F"/>
    <w:rsid w:val="00FC1708"/>
    <w:rsid w:val="00FC192C"/>
    <w:rsid w:val="00FC2ACD"/>
    <w:rsid w:val="00FC6A6E"/>
    <w:rsid w:val="00FC7E23"/>
    <w:rsid w:val="00FD4ED2"/>
    <w:rsid w:val="00FD5183"/>
    <w:rsid w:val="00FD6B81"/>
    <w:rsid w:val="00FD7074"/>
    <w:rsid w:val="00FD7A7A"/>
    <w:rsid w:val="00FE053F"/>
    <w:rsid w:val="00FE0DE4"/>
    <w:rsid w:val="00FE1A87"/>
    <w:rsid w:val="00FE299B"/>
    <w:rsid w:val="00FE5254"/>
    <w:rsid w:val="00FE6F29"/>
    <w:rsid w:val="00FF1A2F"/>
    <w:rsid w:val="00FF22B7"/>
    <w:rsid w:val="00FF27F8"/>
    <w:rsid w:val="00FF40FC"/>
    <w:rsid w:val="00FF73AB"/>
    <w:rsid w:val="00FF776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50"/>
    <o:shapelayout v:ext="edit">
      <o:idmap v:ext="edit" data="2"/>
    </o:shapelayout>
  </w:shapeDefaults>
  <w:decimalSymbol w:val="."/>
  <w:listSeparator w:val=","/>
  <w14:docId w14:val="38E5147D"/>
  <w15:chartTrackingRefBased/>
  <w15:docId w15:val="{79525E66-D745-41EB-AB58-A81C23E9E3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nhideWhenUsed="1" w:qFormat="1"/>
    <w:lsdException w:name="heading 7" w:semiHidden="1" w:unhideWhenUsed="1" w:qFormat="1"/>
    <w:lsdException w:name="heading 8" w:semiHidden="1"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218BD"/>
    <w:pPr>
      <w:spacing w:after="0" w:line="240" w:lineRule="auto"/>
    </w:pPr>
    <w:rPr>
      <w:rFonts w:ascii="Times New Roman" w:eastAsia="Times New Roman" w:hAnsi="Times New Roman" w:cs="Times New Roman"/>
      <w:sz w:val="24"/>
      <w:szCs w:val="24"/>
      <w:lang w:val="es-ES" w:eastAsia="es-ES"/>
    </w:rPr>
  </w:style>
  <w:style w:type="paragraph" w:styleId="Ttulo1">
    <w:name w:val="heading 1"/>
    <w:basedOn w:val="Normal"/>
    <w:next w:val="Normal"/>
    <w:link w:val="Ttulo1Car"/>
    <w:uiPriority w:val="9"/>
    <w:qFormat/>
    <w:rsid w:val="000218BD"/>
    <w:pPr>
      <w:keepNext/>
      <w:ind w:firstLine="708"/>
      <w:jc w:val="right"/>
      <w:outlineLvl w:val="0"/>
    </w:pPr>
    <w:rPr>
      <w:rFonts w:ascii="Trebuchet MS" w:hAnsi="Trebuchet MS"/>
      <w:b/>
      <w:i/>
      <w:iCs/>
      <w:sz w:val="18"/>
    </w:rPr>
  </w:style>
  <w:style w:type="paragraph" w:styleId="Ttulo2">
    <w:name w:val="heading 2"/>
    <w:basedOn w:val="Normal"/>
    <w:next w:val="Normal"/>
    <w:link w:val="Ttulo2Car"/>
    <w:qFormat/>
    <w:rsid w:val="000218BD"/>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qFormat/>
    <w:rsid w:val="000218BD"/>
    <w:pPr>
      <w:keepNext/>
      <w:spacing w:before="240" w:after="60"/>
      <w:outlineLvl w:val="2"/>
    </w:pPr>
    <w:rPr>
      <w:rFonts w:ascii="Arial" w:hAnsi="Arial" w:cs="Arial"/>
      <w:b/>
      <w:bCs/>
      <w:sz w:val="26"/>
      <w:szCs w:val="26"/>
    </w:rPr>
  </w:style>
  <w:style w:type="paragraph" w:styleId="Ttulo4">
    <w:name w:val="heading 4"/>
    <w:basedOn w:val="Normal"/>
    <w:next w:val="Normal"/>
    <w:link w:val="Ttulo4Car"/>
    <w:qFormat/>
    <w:rsid w:val="007366E1"/>
    <w:pPr>
      <w:keepNext/>
      <w:numPr>
        <w:numId w:val="10"/>
      </w:numPr>
      <w:autoSpaceDE w:val="0"/>
      <w:autoSpaceDN w:val="0"/>
      <w:spacing w:line="360" w:lineRule="auto"/>
      <w:jc w:val="both"/>
      <w:outlineLvl w:val="3"/>
    </w:pPr>
    <w:rPr>
      <w:rFonts w:ascii="Arial" w:hAnsi="Arial" w:cs="Arial"/>
      <w:lang w:val="es-MX"/>
    </w:rPr>
  </w:style>
  <w:style w:type="paragraph" w:styleId="Ttulo5">
    <w:name w:val="heading 5"/>
    <w:basedOn w:val="Normal"/>
    <w:next w:val="Normal"/>
    <w:link w:val="Ttulo5Car"/>
    <w:uiPriority w:val="9"/>
    <w:unhideWhenUsed/>
    <w:qFormat/>
    <w:rsid w:val="00AB171E"/>
    <w:pPr>
      <w:keepNext/>
      <w:keepLines/>
      <w:spacing w:before="40" w:line="276" w:lineRule="auto"/>
      <w:outlineLvl w:val="4"/>
    </w:pPr>
    <w:rPr>
      <w:rFonts w:ascii="Calibri Light" w:hAnsi="Calibri Light"/>
      <w:color w:val="2F5496"/>
      <w:sz w:val="22"/>
      <w:szCs w:val="22"/>
      <w:lang w:eastAsia="en-US"/>
    </w:rPr>
  </w:style>
  <w:style w:type="paragraph" w:styleId="Ttulo6">
    <w:name w:val="heading 6"/>
    <w:basedOn w:val="Normal"/>
    <w:next w:val="Normal"/>
    <w:link w:val="Ttulo6Car"/>
    <w:uiPriority w:val="99"/>
    <w:qFormat/>
    <w:rsid w:val="000218BD"/>
    <w:pPr>
      <w:spacing w:before="240" w:after="60"/>
      <w:outlineLvl w:val="5"/>
    </w:pPr>
    <w:rPr>
      <w:b/>
      <w:bCs/>
      <w:sz w:val="22"/>
      <w:szCs w:val="22"/>
    </w:rPr>
  </w:style>
  <w:style w:type="paragraph" w:styleId="Ttulo7">
    <w:name w:val="heading 7"/>
    <w:basedOn w:val="Normal"/>
    <w:next w:val="Normal"/>
    <w:link w:val="Ttulo7Car"/>
    <w:uiPriority w:val="99"/>
    <w:qFormat/>
    <w:rsid w:val="004C763C"/>
    <w:pPr>
      <w:autoSpaceDE w:val="0"/>
      <w:autoSpaceDN w:val="0"/>
      <w:spacing w:before="240" w:after="60"/>
      <w:outlineLvl w:val="6"/>
    </w:pPr>
    <w:rPr>
      <w:rFonts w:ascii="Arial" w:hAnsi="Arial" w:cs="Arial"/>
      <w:sz w:val="20"/>
      <w:szCs w:val="20"/>
    </w:rPr>
  </w:style>
  <w:style w:type="paragraph" w:styleId="Ttulo8">
    <w:name w:val="heading 8"/>
    <w:basedOn w:val="Normal"/>
    <w:next w:val="Normal"/>
    <w:link w:val="Ttulo8Car"/>
    <w:uiPriority w:val="99"/>
    <w:qFormat/>
    <w:rsid w:val="004C763C"/>
    <w:pPr>
      <w:keepNext/>
      <w:widowControl w:val="0"/>
      <w:outlineLvl w:val="7"/>
    </w:pPr>
    <w:rPr>
      <w:rFonts w:ascii="Arial" w:hAnsi="Arial"/>
      <w:szCs w:val="20"/>
      <w:lang w:val="es-ES_tradnl"/>
    </w:rPr>
  </w:style>
  <w:style w:type="paragraph" w:styleId="Ttulo9">
    <w:name w:val="heading 9"/>
    <w:basedOn w:val="Normal"/>
    <w:next w:val="Normal"/>
    <w:link w:val="Ttulo9Car"/>
    <w:qFormat/>
    <w:rsid w:val="007366E1"/>
    <w:pPr>
      <w:keepNext/>
      <w:ind w:firstLine="708"/>
      <w:jc w:val="center"/>
      <w:outlineLvl w:val="8"/>
    </w:pPr>
    <w:rPr>
      <w:b/>
      <w:bCs/>
      <w:sz w:val="28"/>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0218BD"/>
    <w:rPr>
      <w:rFonts w:ascii="Trebuchet MS" w:eastAsia="Times New Roman" w:hAnsi="Trebuchet MS" w:cs="Times New Roman"/>
      <w:b/>
      <w:i/>
      <w:iCs/>
      <w:sz w:val="18"/>
      <w:szCs w:val="24"/>
      <w:lang w:val="es-ES" w:eastAsia="es-ES"/>
    </w:rPr>
  </w:style>
  <w:style w:type="character" w:customStyle="1" w:styleId="Ttulo2Car">
    <w:name w:val="Título 2 Car"/>
    <w:basedOn w:val="Fuentedeprrafopredeter"/>
    <w:link w:val="Ttulo2"/>
    <w:rsid w:val="000218BD"/>
    <w:rPr>
      <w:rFonts w:ascii="Arial" w:eastAsia="Times New Roman" w:hAnsi="Arial" w:cs="Arial"/>
      <w:b/>
      <w:bCs/>
      <w:sz w:val="20"/>
      <w:szCs w:val="20"/>
      <w:lang w:val="es-ES" w:eastAsia="es-ES"/>
    </w:rPr>
  </w:style>
  <w:style w:type="character" w:customStyle="1" w:styleId="Ttulo3Car">
    <w:name w:val="Título 3 Car"/>
    <w:basedOn w:val="Fuentedeprrafopredeter"/>
    <w:link w:val="Ttulo3"/>
    <w:rsid w:val="000218BD"/>
    <w:rPr>
      <w:rFonts w:ascii="Arial" w:eastAsia="Times New Roman" w:hAnsi="Arial" w:cs="Arial"/>
      <w:b/>
      <w:bCs/>
      <w:sz w:val="26"/>
      <w:szCs w:val="26"/>
      <w:lang w:val="es-ES" w:eastAsia="es-ES"/>
    </w:rPr>
  </w:style>
  <w:style w:type="character" w:customStyle="1" w:styleId="Ttulo6Car">
    <w:name w:val="Título 6 Car"/>
    <w:basedOn w:val="Fuentedeprrafopredeter"/>
    <w:link w:val="Ttulo6"/>
    <w:uiPriority w:val="99"/>
    <w:rsid w:val="000218BD"/>
    <w:rPr>
      <w:rFonts w:ascii="Times New Roman" w:eastAsia="Times New Roman" w:hAnsi="Times New Roman" w:cs="Times New Roman"/>
      <w:b/>
      <w:bCs/>
      <w:lang w:val="es-ES" w:eastAsia="es-ES"/>
    </w:rPr>
  </w:style>
  <w:style w:type="paragraph" w:styleId="Encabezado">
    <w:name w:val="header"/>
    <w:basedOn w:val="Normal"/>
    <w:link w:val="EncabezadoCar"/>
    <w:uiPriority w:val="99"/>
    <w:rsid w:val="000218BD"/>
    <w:pPr>
      <w:tabs>
        <w:tab w:val="center" w:pos="4419"/>
        <w:tab w:val="right" w:pos="8838"/>
      </w:tabs>
    </w:pPr>
  </w:style>
  <w:style w:type="character" w:customStyle="1" w:styleId="EncabezadoCar">
    <w:name w:val="Encabezado Car"/>
    <w:basedOn w:val="Fuentedeprrafopredeter"/>
    <w:link w:val="Encabezado"/>
    <w:uiPriority w:val="99"/>
    <w:rsid w:val="000218BD"/>
    <w:rPr>
      <w:rFonts w:ascii="Times New Roman" w:eastAsia="Times New Roman" w:hAnsi="Times New Roman" w:cs="Times New Roman"/>
      <w:sz w:val="24"/>
      <w:szCs w:val="24"/>
      <w:lang w:val="es-ES" w:eastAsia="es-ES"/>
    </w:rPr>
  </w:style>
  <w:style w:type="character" w:styleId="Nmerodepgina">
    <w:name w:val="page number"/>
    <w:basedOn w:val="Fuentedeprrafopredeter"/>
    <w:rsid w:val="000218BD"/>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qFormat/>
    <w:rsid w:val="000218BD"/>
    <w:rPr>
      <w:sz w:val="20"/>
      <w:szCs w:val="20"/>
      <w:lang w:val="es-MX"/>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basedOn w:val="Fuentedeprrafopredeter"/>
    <w:link w:val="Textonotapie"/>
    <w:uiPriority w:val="99"/>
    <w:rsid w:val="000218BD"/>
    <w:rPr>
      <w:rFonts w:ascii="Times New Roman" w:eastAsia="Times New Roman" w:hAnsi="Times New Roman" w:cs="Times New Roman"/>
      <w:sz w:val="20"/>
      <w:szCs w:val="20"/>
      <w:lang w:eastAsia="es-ES"/>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qFormat/>
    <w:rsid w:val="000218BD"/>
    <w:rPr>
      <w:vertAlign w:val="superscript"/>
    </w:rPr>
  </w:style>
  <w:style w:type="paragraph" w:styleId="Textonotaalfinal">
    <w:name w:val="endnote text"/>
    <w:basedOn w:val="Normal"/>
    <w:link w:val="TextonotaalfinalCar"/>
    <w:rsid w:val="000218BD"/>
    <w:rPr>
      <w:sz w:val="20"/>
      <w:szCs w:val="20"/>
    </w:rPr>
  </w:style>
  <w:style w:type="character" w:customStyle="1" w:styleId="TextonotaalfinalCar">
    <w:name w:val="Texto nota al final Car"/>
    <w:basedOn w:val="Fuentedeprrafopredeter"/>
    <w:link w:val="Textonotaalfinal"/>
    <w:rsid w:val="000218BD"/>
    <w:rPr>
      <w:rFonts w:ascii="Times New Roman" w:eastAsia="Times New Roman" w:hAnsi="Times New Roman" w:cs="Times New Roman"/>
      <w:sz w:val="20"/>
      <w:szCs w:val="20"/>
      <w:lang w:val="es-ES" w:eastAsia="es-ES"/>
    </w:rPr>
  </w:style>
  <w:style w:type="paragraph" w:styleId="Textoindependiente3">
    <w:name w:val="Body Text 3"/>
    <w:basedOn w:val="Normal"/>
    <w:link w:val="Textoindependiente3Car"/>
    <w:rsid w:val="000218BD"/>
    <w:pPr>
      <w:spacing w:line="360" w:lineRule="auto"/>
      <w:jc w:val="both"/>
    </w:pPr>
    <w:rPr>
      <w:rFonts w:ascii="Arial" w:hAnsi="Arial"/>
      <w:b/>
      <w:sz w:val="22"/>
    </w:rPr>
  </w:style>
  <w:style w:type="character" w:customStyle="1" w:styleId="Textoindependiente3Car">
    <w:name w:val="Texto independiente 3 Car"/>
    <w:basedOn w:val="Fuentedeprrafopredeter"/>
    <w:link w:val="Textoindependiente3"/>
    <w:rsid w:val="000218BD"/>
    <w:rPr>
      <w:rFonts w:ascii="Arial" w:eastAsia="Times New Roman" w:hAnsi="Arial" w:cs="Times New Roman"/>
      <w:b/>
      <w:szCs w:val="24"/>
      <w:lang w:val="es-ES" w:eastAsia="es-ES"/>
    </w:rPr>
  </w:style>
  <w:style w:type="character" w:styleId="Refdenotaalfinal">
    <w:name w:val="endnote reference"/>
    <w:rsid w:val="000218BD"/>
    <w:rPr>
      <w:vertAlign w:val="superscript"/>
    </w:rPr>
  </w:style>
  <w:style w:type="paragraph" w:styleId="Ttulo">
    <w:name w:val="Title"/>
    <w:basedOn w:val="Normal"/>
    <w:link w:val="TtuloCar"/>
    <w:qFormat/>
    <w:rsid w:val="000218BD"/>
    <w:pPr>
      <w:jc w:val="center"/>
    </w:pPr>
    <w:rPr>
      <w:b/>
      <w:bCs/>
      <w:lang w:val="es-MX"/>
    </w:rPr>
  </w:style>
  <w:style w:type="character" w:customStyle="1" w:styleId="TtuloCar">
    <w:name w:val="Título Car"/>
    <w:basedOn w:val="Fuentedeprrafopredeter"/>
    <w:link w:val="Ttulo"/>
    <w:rsid w:val="000218BD"/>
    <w:rPr>
      <w:rFonts w:ascii="Times New Roman" w:eastAsia="Times New Roman" w:hAnsi="Times New Roman" w:cs="Times New Roman"/>
      <w:b/>
      <w:bCs/>
      <w:sz w:val="24"/>
      <w:szCs w:val="24"/>
      <w:lang w:eastAsia="es-ES"/>
    </w:rPr>
  </w:style>
  <w:style w:type="table" w:styleId="Tablaconcuadrcula">
    <w:name w:val="Table Grid"/>
    <w:basedOn w:val="Tablanormal"/>
    <w:uiPriority w:val="39"/>
    <w:rsid w:val="000218BD"/>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0218BD"/>
    <w:pPr>
      <w:tabs>
        <w:tab w:val="center" w:pos="4252"/>
        <w:tab w:val="right" w:pos="8504"/>
      </w:tabs>
    </w:pPr>
  </w:style>
  <w:style w:type="character" w:customStyle="1" w:styleId="PiedepginaCar">
    <w:name w:val="Pie de página Car"/>
    <w:basedOn w:val="Fuentedeprrafopredeter"/>
    <w:link w:val="Piedepgina"/>
    <w:uiPriority w:val="99"/>
    <w:rsid w:val="000218BD"/>
    <w:rPr>
      <w:rFonts w:ascii="Times New Roman" w:eastAsia="Times New Roman" w:hAnsi="Times New Roman" w:cs="Times New Roman"/>
      <w:sz w:val="24"/>
      <w:szCs w:val="24"/>
      <w:lang w:val="es-ES" w:eastAsia="es-ES"/>
    </w:rPr>
  </w:style>
  <w:style w:type="paragraph" w:styleId="Mapadeldocumento">
    <w:name w:val="Document Map"/>
    <w:basedOn w:val="Normal"/>
    <w:link w:val="MapadeldocumentoCar"/>
    <w:semiHidden/>
    <w:rsid w:val="000218BD"/>
    <w:pPr>
      <w:shd w:val="clear" w:color="auto" w:fill="000080"/>
    </w:pPr>
    <w:rPr>
      <w:rFonts w:ascii="Tahoma" w:hAnsi="Tahoma" w:cs="Tahoma"/>
      <w:sz w:val="20"/>
      <w:szCs w:val="20"/>
    </w:rPr>
  </w:style>
  <w:style w:type="character" w:customStyle="1" w:styleId="MapadeldocumentoCar">
    <w:name w:val="Mapa del documento Car"/>
    <w:basedOn w:val="Fuentedeprrafopredeter"/>
    <w:link w:val="Mapadeldocumento"/>
    <w:semiHidden/>
    <w:rsid w:val="000218BD"/>
    <w:rPr>
      <w:rFonts w:ascii="Tahoma" w:eastAsia="Times New Roman" w:hAnsi="Tahoma" w:cs="Tahoma"/>
      <w:sz w:val="20"/>
      <w:szCs w:val="20"/>
      <w:shd w:val="clear" w:color="auto" w:fill="000080"/>
      <w:lang w:val="es-ES" w:eastAsia="es-ES"/>
    </w:rPr>
  </w:style>
  <w:style w:type="paragraph" w:styleId="Textoindependiente2">
    <w:name w:val="Body Text 2"/>
    <w:basedOn w:val="Normal"/>
    <w:link w:val="Textoindependiente2Car"/>
    <w:rsid w:val="000218BD"/>
    <w:pPr>
      <w:spacing w:line="360" w:lineRule="auto"/>
      <w:jc w:val="both"/>
    </w:pPr>
    <w:rPr>
      <w:rFonts w:ascii="Arial" w:hAnsi="Arial" w:cs="Arial"/>
      <w:i/>
      <w:iCs/>
      <w:noProof/>
      <w:sz w:val="22"/>
      <w:szCs w:val="20"/>
      <w:lang w:val="es-ES_tradnl"/>
    </w:rPr>
  </w:style>
  <w:style w:type="character" w:customStyle="1" w:styleId="Textoindependiente2Car">
    <w:name w:val="Texto independiente 2 Car"/>
    <w:basedOn w:val="Fuentedeprrafopredeter"/>
    <w:link w:val="Textoindependiente2"/>
    <w:rsid w:val="000218BD"/>
    <w:rPr>
      <w:rFonts w:ascii="Arial" w:eastAsia="Times New Roman" w:hAnsi="Arial" w:cs="Arial"/>
      <w:i/>
      <w:iCs/>
      <w:noProof/>
      <w:szCs w:val="20"/>
      <w:lang w:val="es-ES_tradnl" w:eastAsia="es-ES"/>
    </w:rPr>
  </w:style>
  <w:style w:type="paragraph" w:styleId="Sangra3detindependiente">
    <w:name w:val="Body Text Indent 3"/>
    <w:basedOn w:val="Normal"/>
    <w:link w:val="Sangra3detindependienteCar"/>
    <w:rsid w:val="000218BD"/>
    <w:pPr>
      <w:autoSpaceDE w:val="0"/>
      <w:autoSpaceDN w:val="0"/>
      <w:spacing w:before="120" w:line="360" w:lineRule="auto"/>
      <w:ind w:firstLine="708"/>
      <w:jc w:val="both"/>
    </w:pPr>
    <w:rPr>
      <w:rFonts w:ascii="Arial" w:hAnsi="Arial" w:cs="Arial"/>
    </w:rPr>
  </w:style>
  <w:style w:type="character" w:customStyle="1" w:styleId="Sangra3detindependienteCar">
    <w:name w:val="Sangría 3 de t. independiente Car"/>
    <w:basedOn w:val="Fuentedeprrafopredeter"/>
    <w:link w:val="Sangra3detindependiente"/>
    <w:rsid w:val="000218BD"/>
    <w:rPr>
      <w:rFonts w:ascii="Arial" w:eastAsia="Times New Roman" w:hAnsi="Arial" w:cs="Arial"/>
      <w:sz w:val="24"/>
      <w:szCs w:val="24"/>
      <w:lang w:val="es-ES" w:eastAsia="es-ES"/>
    </w:rPr>
  </w:style>
  <w:style w:type="paragraph" w:styleId="Textoindependiente">
    <w:name w:val="Body Text"/>
    <w:basedOn w:val="Normal"/>
    <w:link w:val="TextoindependienteCar"/>
    <w:uiPriority w:val="1"/>
    <w:qFormat/>
    <w:rsid w:val="000218BD"/>
    <w:pPr>
      <w:autoSpaceDE w:val="0"/>
      <w:autoSpaceDN w:val="0"/>
      <w:jc w:val="both"/>
    </w:pPr>
    <w:rPr>
      <w:rFonts w:ascii="Arial" w:hAnsi="Arial" w:cs="Arial"/>
      <w:b/>
      <w:bCs/>
      <w:sz w:val="20"/>
      <w:szCs w:val="20"/>
    </w:rPr>
  </w:style>
  <w:style w:type="character" w:customStyle="1" w:styleId="TextoindependienteCar">
    <w:name w:val="Texto independiente Car"/>
    <w:basedOn w:val="Fuentedeprrafopredeter"/>
    <w:link w:val="Textoindependiente"/>
    <w:uiPriority w:val="1"/>
    <w:rsid w:val="000218BD"/>
    <w:rPr>
      <w:rFonts w:ascii="Arial" w:eastAsia="Times New Roman" w:hAnsi="Arial" w:cs="Arial"/>
      <w:b/>
      <w:bCs/>
      <w:sz w:val="20"/>
      <w:szCs w:val="20"/>
      <w:lang w:val="es-ES" w:eastAsia="es-ES"/>
    </w:rPr>
  </w:style>
  <w:style w:type="paragraph" w:styleId="NormalWeb">
    <w:name w:val="Normal (Web)"/>
    <w:basedOn w:val="Normal"/>
    <w:uiPriority w:val="99"/>
    <w:rsid w:val="000218BD"/>
    <w:pPr>
      <w:spacing w:before="100" w:beforeAutospacing="1" w:after="100" w:afterAutospacing="1"/>
    </w:pPr>
    <w:rPr>
      <w:color w:val="000000"/>
    </w:rPr>
  </w:style>
  <w:style w:type="character" w:customStyle="1" w:styleId="negritas1">
    <w:name w:val="negritas1"/>
    <w:rsid w:val="000218BD"/>
    <w:rPr>
      <w:rFonts w:ascii="Arial" w:hAnsi="Arial" w:cs="Arial" w:hint="default"/>
      <w:b/>
      <w:bCs/>
      <w:sz w:val="14"/>
      <w:szCs w:val="14"/>
    </w:rPr>
  </w:style>
  <w:style w:type="paragraph" w:styleId="Sangradetextonormal">
    <w:name w:val="Body Text Indent"/>
    <w:basedOn w:val="Normal"/>
    <w:link w:val="SangradetextonormalCar"/>
    <w:rsid w:val="000218BD"/>
    <w:pPr>
      <w:autoSpaceDE w:val="0"/>
      <w:autoSpaceDN w:val="0"/>
      <w:spacing w:after="120"/>
      <w:ind w:left="283"/>
    </w:pPr>
    <w:rPr>
      <w:sz w:val="20"/>
      <w:szCs w:val="20"/>
    </w:rPr>
  </w:style>
  <w:style w:type="character" w:customStyle="1" w:styleId="SangradetextonormalCar">
    <w:name w:val="Sangría de texto normal Car"/>
    <w:basedOn w:val="Fuentedeprrafopredeter"/>
    <w:link w:val="Sangradetextonormal"/>
    <w:rsid w:val="000218BD"/>
    <w:rPr>
      <w:rFonts w:ascii="Times New Roman" w:eastAsia="Times New Roman" w:hAnsi="Times New Roman" w:cs="Times New Roman"/>
      <w:sz w:val="20"/>
      <w:szCs w:val="20"/>
      <w:lang w:val="es-ES" w:eastAsia="es-ES"/>
    </w:rPr>
  </w:style>
  <w:style w:type="paragraph" w:styleId="Textodeglobo">
    <w:name w:val="Balloon Text"/>
    <w:basedOn w:val="Normal"/>
    <w:link w:val="TextodegloboCar"/>
    <w:uiPriority w:val="99"/>
    <w:rsid w:val="000218BD"/>
    <w:pPr>
      <w:autoSpaceDE w:val="0"/>
      <w:autoSpaceDN w:val="0"/>
    </w:pPr>
    <w:rPr>
      <w:rFonts w:ascii="Tahoma" w:hAnsi="Tahoma" w:cs="Tahoma"/>
      <w:sz w:val="16"/>
      <w:szCs w:val="16"/>
    </w:rPr>
  </w:style>
  <w:style w:type="character" w:customStyle="1" w:styleId="TextodegloboCar">
    <w:name w:val="Texto de globo Car"/>
    <w:basedOn w:val="Fuentedeprrafopredeter"/>
    <w:link w:val="Textodeglobo"/>
    <w:uiPriority w:val="99"/>
    <w:rsid w:val="000218BD"/>
    <w:rPr>
      <w:rFonts w:ascii="Tahoma" w:eastAsia="Times New Roman" w:hAnsi="Tahoma" w:cs="Tahoma"/>
      <w:sz w:val="16"/>
      <w:szCs w:val="16"/>
      <w:lang w:val="es-ES" w:eastAsia="es-ES"/>
    </w:rPr>
  </w:style>
  <w:style w:type="paragraph" w:styleId="Textocomentario">
    <w:name w:val="annotation text"/>
    <w:basedOn w:val="Normal"/>
    <w:link w:val="TextocomentarioCar"/>
    <w:rsid w:val="000218BD"/>
    <w:pPr>
      <w:autoSpaceDE w:val="0"/>
      <w:autoSpaceDN w:val="0"/>
    </w:pPr>
    <w:rPr>
      <w:sz w:val="20"/>
      <w:szCs w:val="20"/>
    </w:rPr>
  </w:style>
  <w:style w:type="character" w:customStyle="1" w:styleId="TextocomentarioCar">
    <w:name w:val="Texto comentario Car"/>
    <w:basedOn w:val="Fuentedeprrafopredeter"/>
    <w:link w:val="Textocomentario"/>
    <w:rsid w:val="000218BD"/>
    <w:rPr>
      <w:rFonts w:ascii="Times New Roman" w:eastAsia="Times New Roman" w:hAnsi="Times New Roman" w:cs="Times New Roman"/>
      <w:sz w:val="20"/>
      <w:szCs w:val="20"/>
      <w:lang w:val="es-ES" w:eastAsia="es-ES"/>
    </w:rPr>
  </w:style>
  <w:style w:type="paragraph" w:styleId="Asuntodelcomentario">
    <w:name w:val="annotation subject"/>
    <w:basedOn w:val="Textocomentario"/>
    <w:next w:val="Textocomentario"/>
    <w:link w:val="AsuntodelcomentarioCar"/>
    <w:rsid w:val="000218BD"/>
    <w:rPr>
      <w:b/>
      <w:bCs/>
    </w:rPr>
  </w:style>
  <w:style w:type="character" w:customStyle="1" w:styleId="AsuntodelcomentarioCar">
    <w:name w:val="Asunto del comentario Car"/>
    <w:basedOn w:val="TextocomentarioCar"/>
    <w:link w:val="Asuntodelcomentario"/>
    <w:rsid w:val="000218BD"/>
    <w:rPr>
      <w:rFonts w:ascii="Times New Roman" w:eastAsia="Times New Roman" w:hAnsi="Times New Roman" w:cs="Times New Roman"/>
      <w:b/>
      <w:bCs/>
      <w:sz w:val="20"/>
      <w:szCs w:val="20"/>
      <w:lang w:val="es-ES" w:eastAsia="es-ES"/>
    </w:rPr>
  </w:style>
  <w:style w:type="paragraph" w:styleId="Sangra2detindependiente">
    <w:name w:val="Body Text Indent 2"/>
    <w:basedOn w:val="Normal"/>
    <w:link w:val="Sangra2detindependienteCar"/>
    <w:rsid w:val="000218BD"/>
    <w:pPr>
      <w:autoSpaceDE w:val="0"/>
      <w:autoSpaceDN w:val="0"/>
      <w:spacing w:after="120" w:line="480" w:lineRule="auto"/>
      <w:ind w:left="283"/>
    </w:pPr>
    <w:rPr>
      <w:sz w:val="20"/>
      <w:szCs w:val="20"/>
    </w:rPr>
  </w:style>
  <w:style w:type="character" w:customStyle="1" w:styleId="Sangra2detindependienteCar">
    <w:name w:val="Sangría 2 de t. independiente Car"/>
    <w:basedOn w:val="Fuentedeprrafopredeter"/>
    <w:link w:val="Sangra2detindependiente"/>
    <w:rsid w:val="000218BD"/>
    <w:rPr>
      <w:rFonts w:ascii="Times New Roman" w:eastAsia="Times New Roman" w:hAnsi="Times New Roman" w:cs="Times New Roman"/>
      <w:sz w:val="20"/>
      <w:szCs w:val="20"/>
      <w:lang w:val="es-ES" w:eastAsia="es-ES"/>
    </w:rPr>
  </w:style>
  <w:style w:type="character" w:styleId="Hipervnculo">
    <w:name w:val="Hyperlink"/>
    <w:uiPriority w:val="99"/>
    <w:rsid w:val="000218BD"/>
    <w:rPr>
      <w:color w:val="333333"/>
      <w:u w:val="single"/>
    </w:rPr>
  </w:style>
  <w:style w:type="paragraph" w:styleId="Lista2">
    <w:name w:val="List 2"/>
    <w:basedOn w:val="Normal"/>
    <w:rsid w:val="000218BD"/>
    <w:pPr>
      <w:ind w:left="566" w:hanging="283"/>
    </w:pPr>
  </w:style>
  <w:style w:type="paragraph" w:styleId="Lista3">
    <w:name w:val="List 3"/>
    <w:basedOn w:val="Normal"/>
    <w:rsid w:val="000218BD"/>
    <w:pPr>
      <w:ind w:left="849" w:hanging="283"/>
    </w:pPr>
  </w:style>
  <w:style w:type="paragraph" w:styleId="Lista4">
    <w:name w:val="List 4"/>
    <w:basedOn w:val="Normal"/>
    <w:rsid w:val="000218BD"/>
    <w:pPr>
      <w:ind w:left="1132" w:hanging="283"/>
    </w:pPr>
  </w:style>
  <w:style w:type="paragraph" w:styleId="Lista5">
    <w:name w:val="List 5"/>
    <w:basedOn w:val="Normal"/>
    <w:rsid w:val="000218BD"/>
    <w:pPr>
      <w:ind w:left="1415" w:hanging="283"/>
    </w:pPr>
  </w:style>
  <w:style w:type="paragraph" w:styleId="Saludo">
    <w:name w:val="Salutation"/>
    <w:basedOn w:val="Normal"/>
    <w:next w:val="Normal"/>
    <w:link w:val="SaludoCar"/>
    <w:rsid w:val="000218BD"/>
  </w:style>
  <w:style w:type="character" w:customStyle="1" w:styleId="SaludoCar">
    <w:name w:val="Saludo Car"/>
    <w:basedOn w:val="Fuentedeprrafopredeter"/>
    <w:link w:val="Saludo"/>
    <w:rsid w:val="000218BD"/>
    <w:rPr>
      <w:rFonts w:ascii="Times New Roman" w:eastAsia="Times New Roman" w:hAnsi="Times New Roman" w:cs="Times New Roman"/>
      <w:sz w:val="24"/>
      <w:szCs w:val="24"/>
      <w:lang w:val="es-ES" w:eastAsia="es-ES"/>
    </w:rPr>
  </w:style>
  <w:style w:type="paragraph" w:styleId="Listaconvietas2">
    <w:name w:val="List Bullet 2"/>
    <w:basedOn w:val="Normal"/>
    <w:rsid w:val="000218BD"/>
    <w:pPr>
      <w:numPr>
        <w:numId w:val="1"/>
      </w:numPr>
    </w:pPr>
  </w:style>
  <w:style w:type="paragraph" w:styleId="Listaconvietas3">
    <w:name w:val="List Bullet 3"/>
    <w:basedOn w:val="Normal"/>
    <w:rsid w:val="000218BD"/>
    <w:pPr>
      <w:numPr>
        <w:numId w:val="2"/>
      </w:numPr>
    </w:pPr>
  </w:style>
  <w:style w:type="paragraph" w:styleId="Textoindependienteprimerasangra">
    <w:name w:val="Body Text First Indent"/>
    <w:basedOn w:val="Textoindependiente"/>
    <w:link w:val="TextoindependienteprimerasangraCar"/>
    <w:rsid w:val="000218BD"/>
    <w:pPr>
      <w:autoSpaceDE/>
      <w:autoSpaceDN/>
      <w:spacing w:after="120"/>
      <w:ind w:firstLine="210"/>
      <w:jc w:val="left"/>
    </w:pPr>
    <w:rPr>
      <w:rFonts w:ascii="Times New Roman" w:hAnsi="Times New Roman" w:cs="Times New Roman"/>
      <w:b w:val="0"/>
      <w:bCs w:val="0"/>
      <w:sz w:val="24"/>
      <w:szCs w:val="24"/>
    </w:rPr>
  </w:style>
  <w:style w:type="character" w:customStyle="1" w:styleId="TextoindependienteprimerasangraCar">
    <w:name w:val="Texto independiente primera sangría Car"/>
    <w:basedOn w:val="TextoindependienteCar"/>
    <w:link w:val="Textoindependienteprimerasangra"/>
    <w:rsid w:val="000218BD"/>
    <w:rPr>
      <w:rFonts w:ascii="Times New Roman" w:eastAsia="Times New Roman" w:hAnsi="Times New Roman" w:cs="Times New Roman"/>
      <w:b w:val="0"/>
      <w:bCs w:val="0"/>
      <w:sz w:val="24"/>
      <w:szCs w:val="24"/>
      <w:lang w:val="es-ES" w:eastAsia="es-ES"/>
    </w:rPr>
  </w:style>
  <w:style w:type="paragraph" w:styleId="Textoindependienteprimerasangra2">
    <w:name w:val="Body Text First Indent 2"/>
    <w:basedOn w:val="Sangradetextonormal"/>
    <w:link w:val="Textoindependienteprimerasangra2Car"/>
    <w:rsid w:val="000218BD"/>
    <w:pPr>
      <w:autoSpaceDE/>
      <w:autoSpaceDN/>
      <w:ind w:firstLine="210"/>
    </w:pPr>
    <w:rPr>
      <w:sz w:val="24"/>
      <w:szCs w:val="24"/>
    </w:rPr>
  </w:style>
  <w:style w:type="character" w:customStyle="1" w:styleId="Textoindependienteprimerasangra2Car">
    <w:name w:val="Texto independiente primera sangría 2 Car"/>
    <w:basedOn w:val="SangradetextonormalCar"/>
    <w:link w:val="Textoindependienteprimerasangra2"/>
    <w:rsid w:val="000218BD"/>
    <w:rPr>
      <w:rFonts w:ascii="Times New Roman" w:eastAsia="Times New Roman" w:hAnsi="Times New Roman" w:cs="Times New Roman"/>
      <w:sz w:val="24"/>
      <w:szCs w:val="24"/>
      <w:lang w:val="es-ES" w:eastAsia="es-ES"/>
    </w:rPr>
  </w:style>
  <w:style w:type="paragraph" w:styleId="Descripcin">
    <w:name w:val="caption"/>
    <w:basedOn w:val="Normal"/>
    <w:next w:val="Normal"/>
    <w:qFormat/>
    <w:rsid w:val="000218BD"/>
    <w:pPr>
      <w:jc w:val="center"/>
    </w:pPr>
    <w:rPr>
      <w:rFonts w:ascii="Arial" w:hAnsi="Arial"/>
      <w:b/>
      <w:smallCaps/>
      <w:sz w:val="28"/>
      <w:lang w:eastAsia="en-US"/>
    </w:rPr>
  </w:style>
  <w:style w:type="paragraph" w:styleId="Prrafodelista">
    <w:name w:val="List Paragraph"/>
    <w:aliases w:val="Listas,Lista vistosa - Énfasis 11,Cita texto,Footnote,TEXTO GENERAL SENTENCIAS,List Paragraph1,Colorful List - Accent 11,Lista multicolor - Énfasis 11,Cuadrícula clara - Énfasis 31,Párrafo de lista1"/>
    <w:basedOn w:val="Normal"/>
    <w:link w:val="PrrafodelistaCar"/>
    <w:uiPriority w:val="34"/>
    <w:qFormat/>
    <w:rsid w:val="000218BD"/>
    <w:pPr>
      <w:ind w:left="708"/>
    </w:pPr>
  </w:style>
  <w:style w:type="paragraph" w:customStyle="1" w:styleId="Estilo1">
    <w:name w:val="Estilo1"/>
    <w:basedOn w:val="Normal"/>
    <w:link w:val="Estilo1Car"/>
    <w:qFormat/>
    <w:rsid w:val="000218BD"/>
    <w:pPr>
      <w:numPr>
        <w:numId w:val="3"/>
      </w:numPr>
      <w:tabs>
        <w:tab w:val="right" w:pos="4059"/>
      </w:tabs>
      <w:ind w:right="639"/>
      <w:jc w:val="both"/>
    </w:pPr>
    <w:rPr>
      <w:rFonts w:ascii="Maiandra GD" w:hAnsi="Maiandra GD"/>
      <w:b/>
      <w:bCs/>
      <w:iCs/>
      <w:sz w:val="19"/>
    </w:rPr>
  </w:style>
  <w:style w:type="paragraph" w:styleId="Sinespaciado">
    <w:name w:val="No Spacing"/>
    <w:link w:val="SinespaciadoCar"/>
    <w:uiPriority w:val="1"/>
    <w:qFormat/>
    <w:rsid w:val="000218BD"/>
    <w:pPr>
      <w:spacing w:after="0" w:line="240" w:lineRule="auto"/>
    </w:pPr>
    <w:rPr>
      <w:rFonts w:ascii="Verdana" w:eastAsia="Calibri" w:hAnsi="Verdana" w:cs="Times New Roman"/>
      <w:sz w:val="20"/>
      <w:szCs w:val="20"/>
      <w:lang w:eastAsia="es-MX"/>
    </w:rPr>
  </w:style>
  <w:style w:type="character" w:customStyle="1" w:styleId="Estilo1Car">
    <w:name w:val="Estilo1 Car"/>
    <w:link w:val="Estilo1"/>
    <w:rsid w:val="000218BD"/>
    <w:rPr>
      <w:rFonts w:ascii="Maiandra GD" w:eastAsia="Times New Roman" w:hAnsi="Maiandra GD" w:cs="Times New Roman"/>
      <w:b/>
      <w:bCs/>
      <w:iCs/>
      <w:sz w:val="19"/>
      <w:szCs w:val="24"/>
      <w:lang w:val="es-ES" w:eastAsia="es-ES"/>
    </w:rPr>
  </w:style>
  <w:style w:type="character" w:customStyle="1" w:styleId="SinespaciadoCar">
    <w:name w:val="Sin espaciado Car"/>
    <w:link w:val="Sinespaciado"/>
    <w:uiPriority w:val="1"/>
    <w:rsid w:val="000218BD"/>
    <w:rPr>
      <w:rFonts w:ascii="Verdana" w:eastAsia="Calibri" w:hAnsi="Verdana" w:cs="Times New Roman"/>
      <w:sz w:val="20"/>
      <w:szCs w:val="20"/>
      <w:lang w:eastAsia="es-MX"/>
    </w:rPr>
  </w:style>
  <w:style w:type="paragraph" w:customStyle="1" w:styleId="Default">
    <w:name w:val="Default"/>
    <w:rsid w:val="000218BD"/>
    <w:pPr>
      <w:autoSpaceDE w:val="0"/>
      <w:autoSpaceDN w:val="0"/>
      <w:adjustRightInd w:val="0"/>
      <w:spacing w:after="0" w:line="240" w:lineRule="auto"/>
    </w:pPr>
    <w:rPr>
      <w:rFonts w:ascii="Arial" w:eastAsia="Calibri" w:hAnsi="Arial" w:cs="Arial"/>
      <w:color w:val="000000"/>
      <w:sz w:val="24"/>
      <w:szCs w:val="24"/>
      <w:lang w:val="es-ES"/>
    </w:rPr>
  </w:style>
  <w:style w:type="character" w:customStyle="1" w:styleId="Mencinsinresolver1">
    <w:name w:val="Mención sin resolver1"/>
    <w:basedOn w:val="Fuentedeprrafopredeter"/>
    <w:uiPriority w:val="99"/>
    <w:semiHidden/>
    <w:unhideWhenUsed/>
    <w:rsid w:val="000218BD"/>
    <w:rPr>
      <w:color w:val="605E5C"/>
      <w:shd w:val="clear" w:color="auto" w:fill="E1DFDD"/>
    </w:rPr>
  </w:style>
  <w:style w:type="paragraph" w:customStyle="1" w:styleId="TableParagraph">
    <w:name w:val="Table Paragraph"/>
    <w:basedOn w:val="Normal"/>
    <w:uiPriority w:val="1"/>
    <w:qFormat/>
    <w:rsid w:val="000218BD"/>
    <w:pPr>
      <w:widowControl w:val="0"/>
      <w:autoSpaceDE w:val="0"/>
      <w:autoSpaceDN w:val="0"/>
    </w:pPr>
    <w:rPr>
      <w:rFonts w:ascii="Arial" w:eastAsia="Arial" w:hAnsi="Arial" w:cs="Arial"/>
      <w:sz w:val="22"/>
      <w:szCs w:val="22"/>
      <w:lang w:val="en-US" w:eastAsia="en-US"/>
    </w:rPr>
  </w:style>
  <w:style w:type="character" w:styleId="Hipervnculovisitado">
    <w:name w:val="FollowedHyperlink"/>
    <w:basedOn w:val="Fuentedeprrafopredeter"/>
    <w:semiHidden/>
    <w:unhideWhenUsed/>
    <w:rsid w:val="000218BD"/>
    <w:rPr>
      <w:color w:val="954F72" w:themeColor="followedHyperlink"/>
      <w:u w:val="single"/>
    </w:rPr>
  </w:style>
  <w:style w:type="character" w:styleId="Nmerodelnea">
    <w:name w:val="line number"/>
    <w:basedOn w:val="Fuentedeprrafopredeter"/>
    <w:semiHidden/>
    <w:unhideWhenUsed/>
    <w:rsid w:val="000218BD"/>
  </w:style>
  <w:style w:type="paragraph" w:styleId="ndice1">
    <w:name w:val="index 1"/>
    <w:basedOn w:val="Normal"/>
    <w:next w:val="Normal"/>
    <w:autoRedefine/>
    <w:unhideWhenUsed/>
    <w:rsid w:val="000218BD"/>
    <w:pPr>
      <w:ind w:left="240" w:hanging="240"/>
    </w:pPr>
    <w:rPr>
      <w:rFonts w:asciiTheme="minorHAnsi" w:hAnsiTheme="minorHAnsi" w:cstheme="minorHAnsi"/>
      <w:sz w:val="18"/>
      <w:szCs w:val="18"/>
    </w:rPr>
  </w:style>
  <w:style w:type="paragraph" w:styleId="ndice2">
    <w:name w:val="index 2"/>
    <w:basedOn w:val="Normal"/>
    <w:next w:val="Normal"/>
    <w:autoRedefine/>
    <w:unhideWhenUsed/>
    <w:rsid w:val="000218BD"/>
    <w:pPr>
      <w:ind w:left="480" w:hanging="240"/>
    </w:pPr>
    <w:rPr>
      <w:rFonts w:asciiTheme="minorHAnsi" w:hAnsiTheme="minorHAnsi" w:cstheme="minorHAnsi"/>
      <w:sz w:val="18"/>
      <w:szCs w:val="18"/>
    </w:rPr>
  </w:style>
  <w:style w:type="paragraph" w:styleId="ndice3">
    <w:name w:val="index 3"/>
    <w:basedOn w:val="Normal"/>
    <w:next w:val="Normal"/>
    <w:autoRedefine/>
    <w:unhideWhenUsed/>
    <w:rsid w:val="000218BD"/>
    <w:pPr>
      <w:ind w:left="720" w:hanging="240"/>
    </w:pPr>
    <w:rPr>
      <w:rFonts w:asciiTheme="minorHAnsi" w:hAnsiTheme="minorHAnsi" w:cstheme="minorHAnsi"/>
      <w:sz w:val="18"/>
      <w:szCs w:val="18"/>
    </w:rPr>
  </w:style>
  <w:style w:type="paragraph" w:styleId="ndice4">
    <w:name w:val="index 4"/>
    <w:basedOn w:val="Normal"/>
    <w:next w:val="Normal"/>
    <w:autoRedefine/>
    <w:unhideWhenUsed/>
    <w:rsid w:val="000218BD"/>
    <w:pPr>
      <w:ind w:left="960" w:hanging="240"/>
    </w:pPr>
    <w:rPr>
      <w:rFonts w:asciiTheme="minorHAnsi" w:hAnsiTheme="minorHAnsi" w:cstheme="minorHAnsi"/>
      <w:sz w:val="18"/>
      <w:szCs w:val="18"/>
    </w:rPr>
  </w:style>
  <w:style w:type="paragraph" w:styleId="ndice5">
    <w:name w:val="index 5"/>
    <w:basedOn w:val="Normal"/>
    <w:next w:val="Normal"/>
    <w:autoRedefine/>
    <w:unhideWhenUsed/>
    <w:rsid w:val="000218BD"/>
    <w:pPr>
      <w:ind w:left="1200" w:hanging="240"/>
    </w:pPr>
    <w:rPr>
      <w:rFonts w:asciiTheme="minorHAnsi" w:hAnsiTheme="minorHAnsi" w:cstheme="minorHAnsi"/>
      <w:sz w:val="18"/>
      <w:szCs w:val="18"/>
    </w:rPr>
  </w:style>
  <w:style w:type="paragraph" w:styleId="ndice6">
    <w:name w:val="index 6"/>
    <w:basedOn w:val="Normal"/>
    <w:next w:val="Normal"/>
    <w:autoRedefine/>
    <w:unhideWhenUsed/>
    <w:rsid w:val="000218BD"/>
    <w:pPr>
      <w:ind w:left="1440" w:hanging="240"/>
    </w:pPr>
    <w:rPr>
      <w:rFonts w:asciiTheme="minorHAnsi" w:hAnsiTheme="minorHAnsi" w:cstheme="minorHAnsi"/>
      <w:sz w:val="18"/>
      <w:szCs w:val="18"/>
    </w:rPr>
  </w:style>
  <w:style w:type="paragraph" w:styleId="ndice7">
    <w:name w:val="index 7"/>
    <w:basedOn w:val="Normal"/>
    <w:next w:val="Normal"/>
    <w:autoRedefine/>
    <w:unhideWhenUsed/>
    <w:rsid w:val="000218BD"/>
    <w:pPr>
      <w:ind w:left="1680" w:hanging="240"/>
    </w:pPr>
    <w:rPr>
      <w:rFonts w:asciiTheme="minorHAnsi" w:hAnsiTheme="minorHAnsi" w:cstheme="minorHAnsi"/>
      <w:sz w:val="18"/>
      <w:szCs w:val="18"/>
    </w:rPr>
  </w:style>
  <w:style w:type="paragraph" w:styleId="ndice8">
    <w:name w:val="index 8"/>
    <w:basedOn w:val="Normal"/>
    <w:next w:val="Normal"/>
    <w:autoRedefine/>
    <w:unhideWhenUsed/>
    <w:rsid w:val="000218BD"/>
    <w:pPr>
      <w:ind w:left="1920" w:hanging="240"/>
    </w:pPr>
    <w:rPr>
      <w:rFonts w:asciiTheme="minorHAnsi" w:hAnsiTheme="minorHAnsi" w:cstheme="minorHAnsi"/>
      <w:sz w:val="18"/>
      <w:szCs w:val="18"/>
    </w:rPr>
  </w:style>
  <w:style w:type="paragraph" w:styleId="ndice9">
    <w:name w:val="index 9"/>
    <w:basedOn w:val="Normal"/>
    <w:next w:val="Normal"/>
    <w:autoRedefine/>
    <w:unhideWhenUsed/>
    <w:rsid w:val="000218BD"/>
    <w:pPr>
      <w:ind w:left="2160" w:hanging="240"/>
    </w:pPr>
    <w:rPr>
      <w:rFonts w:asciiTheme="minorHAnsi" w:hAnsiTheme="minorHAnsi" w:cstheme="minorHAnsi"/>
      <w:sz w:val="18"/>
      <w:szCs w:val="18"/>
    </w:rPr>
  </w:style>
  <w:style w:type="paragraph" w:styleId="Ttulodendice">
    <w:name w:val="index heading"/>
    <w:basedOn w:val="Normal"/>
    <w:next w:val="ndice1"/>
    <w:unhideWhenUsed/>
    <w:rsid w:val="000218BD"/>
    <w:pPr>
      <w:spacing w:before="240" w:after="120"/>
      <w:jc w:val="center"/>
    </w:pPr>
    <w:rPr>
      <w:rFonts w:asciiTheme="minorHAnsi" w:hAnsiTheme="minorHAnsi" w:cstheme="minorHAnsi"/>
      <w:b/>
      <w:bCs/>
      <w:sz w:val="26"/>
      <w:szCs w:val="26"/>
    </w:rPr>
  </w:style>
  <w:style w:type="paragraph" w:styleId="Tabladeilustraciones">
    <w:name w:val="table of figures"/>
    <w:basedOn w:val="Normal"/>
    <w:next w:val="Normal"/>
    <w:uiPriority w:val="99"/>
    <w:unhideWhenUsed/>
    <w:rsid w:val="000218BD"/>
    <w:pPr>
      <w:ind w:left="480" w:hanging="480"/>
    </w:pPr>
    <w:rPr>
      <w:rFonts w:asciiTheme="minorHAnsi" w:hAnsiTheme="minorHAnsi" w:cstheme="minorHAnsi"/>
      <w:b/>
      <w:bCs/>
      <w:sz w:val="20"/>
      <w:szCs w:val="20"/>
    </w:rPr>
  </w:style>
  <w:style w:type="table" w:styleId="Tablanormal1">
    <w:name w:val="Plain Table 1"/>
    <w:basedOn w:val="Tablanormal"/>
    <w:uiPriority w:val="41"/>
    <w:rsid w:val="000218BD"/>
    <w:pPr>
      <w:spacing w:after="0" w:line="240" w:lineRule="auto"/>
    </w:pPr>
    <w:rPr>
      <w:rFonts w:ascii="Times New Roman" w:eastAsia="Times New Roman" w:hAnsi="Times New Roman" w:cs="Times New Roman"/>
      <w:sz w:val="20"/>
      <w:szCs w:val="20"/>
      <w:lang w:eastAsia="es-MX"/>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concuadrculaclara">
    <w:name w:val="Grid Table Light"/>
    <w:basedOn w:val="Tablanormal"/>
    <w:uiPriority w:val="40"/>
    <w:rsid w:val="000218BD"/>
    <w:pPr>
      <w:spacing w:after="0" w:line="240" w:lineRule="auto"/>
    </w:pPr>
    <w:rPr>
      <w:rFonts w:ascii="Times New Roman" w:eastAsia="Times New Roman" w:hAnsi="Times New Roman" w:cs="Times New Roman"/>
      <w:sz w:val="20"/>
      <w:szCs w:val="20"/>
      <w:lang w:eastAsia="es-MX"/>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Refdecomentario">
    <w:name w:val="annotation reference"/>
    <w:basedOn w:val="Fuentedeprrafopredeter"/>
    <w:unhideWhenUsed/>
    <w:rsid w:val="000218BD"/>
    <w:rPr>
      <w:sz w:val="16"/>
      <w:szCs w:val="16"/>
    </w:rPr>
  </w:style>
  <w:style w:type="character" w:customStyle="1" w:styleId="PrrafodelistaCar">
    <w:name w:val="Párrafo de lista Car"/>
    <w:aliases w:val="Listas Car,Lista vistosa - Énfasis 11 Car,Cita texto Car,Footnote Car,TEXTO GENERAL SENTENCIAS Car,List Paragraph1 Car,Colorful List - Accent 11 Car,Lista multicolor - Énfasis 11 Car,Cuadrícula clara - Énfasis 31 Car"/>
    <w:link w:val="Prrafodelista"/>
    <w:uiPriority w:val="34"/>
    <w:locked/>
    <w:rsid w:val="000218BD"/>
    <w:rPr>
      <w:rFonts w:ascii="Times New Roman" w:eastAsia="Times New Roman" w:hAnsi="Times New Roman" w:cs="Times New Roman"/>
      <w:sz w:val="24"/>
      <w:szCs w:val="24"/>
      <w:lang w:val="es-ES" w:eastAsia="es-ES"/>
    </w:rPr>
  </w:style>
  <w:style w:type="paragraph" w:customStyle="1" w:styleId="paragraph">
    <w:name w:val="paragraph"/>
    <w:basedOn w:val="Normal"/>
    <w:rsid w:val="000218BD"/>
    <w:pPr>
      <w:spacing w:before="100" w:beforeAutospacing="1" w:after="100" w:afterAutospacing="1"/>
    </w:pPr>
    <w:rPr>
      <w:lang w:val="es-MX" w:eastAsia="es-MX"/>
    </w:rPr>
  </w:style>
  <w:style w:type="character" w:customStyle="1" w:styleId="normaltextrun">
    <w:name w:val="normaltextrun"/>
    <w:basedOn w:val="Fuentedeprrafopredeter"/>
    <w:rsid w:val="000218BD"/>
  </w:style>
  <w:style w:type="character" w:customStyle="1" w:styleId="eop">
    <w:name w:val="eop"/>
    <w:basedOn w:val="Fuentedeprrafopredeter"/>
    <w:rsid w:val="000218BD"/>
  </w:style>
  <w:style w:type="character" w:styleId="Mencinsinresolver">
    <w:name w:val="Unresolved Mention"/>
    <w:basedOn w:val="Fuentedeprrafopredeter"/>
    <w:uiPriority w:val="99"/>
    <w:semiHidden/>
    <w:unhideWhenUsed/>
    <w:rsid w:val="000218BD"/>
    <w:rPr>
      <w:color w:val="605E5C"/>
      <w:shd w:val="clear" w:color="auto" w:fill="E1DFDD"/>
    </w:rPr>
  </w:style>
  <w:style w:type="table" w:customStyle="1" w:styleId="TableNormal1">
    <w:name w:val="Table Normal1"/>
    <w:uiPriority w:val="2"/>
    <w:semiHidden/>
    <w:unhideWhenUsed/>
    <w:qFormat/>
    <w:rsid w:val="00663E6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Ttulo4Car">
    <w:name w:val="Título 4 Car"/>
    <w:basedOn w:val="Fuentedeprrafopredeter"/>
    <w:link w:val="Ttulo4"/>
    <w:rsid w:val="007366E1"/>
    <w:rPr>
      <w:rFonts w:ascii="Arial" w:eastAsia="Times New Roman" w:hAnsi="Arial" w:cs="Arial"/>
      <w:sz w:val="24"/>
      <w:szCs w:val="24"/>
      <w:lang w:eastAsia="es-ES"/>
    </w:rPr>
  </w:style>
  <w:style w:type="character" w:customStyle="1" w:styleId="Ttulo9Car">
    <w:name w:val="Título 9 Car"/>
    <w:basedOn w:val="Fuentedeprrafopredeter"/>
    <w:link w:val="Ttulo9"/>
    <w:rsid w:val="007366E1"/>
    <w:rPr>
      <w:rFonts w:ascii="Times New Roman" w:eastAsia="Times New Roman" w:hAnsi="Times New Roman" w:cs="Times New Roman"/>
      <w:b/>
      <w:bCs/>
      <w:sz w:val="28"/>
      <w:szCs w:val="24"/>
      <w:lang w:val="en-US" w:eastAsia="es-ES"/>
    </w:rPr>
  </w:style>
  <w:style w:type="paragraph" w:customStyle="1" w:styleId="Style-3">
    <w:name w:val="Style-3"/>
    <w:rsid w:val="007366E1"/>
    <w:pPr>
      <w:spacing w:after="0" w:line="240" w:lineRule="auto"/>
    </w:pPr>
    <w:rPr>
      <w:rFonts w:ascii="Times New Roman" w:eastAsia="Times New Roman" w:hAnsi="Times New Roman" w:cs="Times New Roman"/>
      <w:noProof/>
      <w:sz w:val="20"/>
      <w:szCs w:val="20"/>
      <w:lang w:eastAsia="es-MX"/>
    </w:rPr>
  </w:style>
  <w:style w:type="character" w:styleId="nfasis">
    <w:name w:val="Emphasis"/>
    <w:qFormat/>
    <w:rsid w:val="007366E1"/>
    <w:rPr>
      <w:rFonts w:cs="Times New Roman"/>
      <w:i/>
      <w:iCs/>
    </w:rPr>
  </w:style>
  <w:style w:type="character" w:styleId="Textoennegrita">
    <w:name w:val="Strong"/>
    <w:uiPriority w:val="22"/>
    <w:qFormat/>
    <w:rsid w:val="007366E1"/>
    <w:rPr>
      <w:b/>
      <w:bCs/>
    </w:rPr>
  </w:style>
  <w:style w:type="paragraph" w:customStyle="1" w:styleId="has-text-align-justify">
    <w:name w:val="has-text-align-justify"/>
    <w:basedOn w:val="Normal"/>
    <w:rsid w:val="007366E1"/>
    <w:pPr>
      <w:spacing w:before="100" w:beforeAutospacing="1" w:after="100" w:afterAutospacing="1"/>
    </w:pPr>
    <w:rPr>
      <w:lang w:val="es-MX" w:eastAsia="es-MX"/>
    </w:rPr>
  </w:style>
  <w:style w:type="paragraph" w:customStyle="1" w:styleId="Texto">
    <w:name w:val="Texto"/>
    <w:basedOn w:val="Normal"/>
    <w:link w:val="TextoCar"/>
    <w:qFormat/>
    <w:rsid w:val="007366E1"/>
    <w:pPr>
      <w:spacing w:after="101" w:line="216" w:lineRule="exact"/>
      <w:ind w:firstLine="288"/>
      <w:jc w:val="both"/>
    </w:pPr>
    <w:rPr>
      <w:rFonts w:ascii="Arial" w:hAnsi="Arial" w:cs="Arial"/>
      <w:sz w:val="18"/>
      <w:szCs w:val="18"/>
    </w:rPr>
  </w:style>
  <w:style w:type="character" w:customStyle="1" w:styleId="Ttulo5Car">
    <w:name w:val="Título 5 Car"/>
    <w:basedOn w:val="Fuentedeprrafopredeter"/>
    <w:link w:val="Ttulo5"/>
    <w:uiPriority w:val="9"/>
    <w:rsid w:val="00AB171E"/>
    <w:rPr>
      <w:rFonts w:ascii="Calibri Light" w:eastAsia="Times New Roman" w:hAnsi="Calibri Light" w:cs="Times New Roman"/>
      <w:color w:val="2F5496"/>
      <w:lang w:val="es-ES"/>
    </w:rPr>
  </w:style>
  <w:style w:type="table" w:customStyle="1" w:styleId="Tablanormal11">
    <w:name w:val="Tabla normal 11"/>
    <w:basedOn w:val="Tablanormal"/>
    <w:uiPriority w:val="41"/>
    <w:rsid w:val="00AB171E"/>
    <w:pPr>
      <w:spacing w:after="0" w:line="240" w:lineRule="auto"/>
    </w:pPr>
    <w:rPr>
      <w:rFonts w:ascii="Calibri" w:eastAsia="Calibri" w:hAnsi="Calibri" w:cs="Calibri"/>
      <w:lang w:eastAsia="es-ES"/>
    </w:rPr>
    <w:tblPr>
      <w:tblStyleRowBandSize w:val="1"/>
      <w:tblStyleColBandSize w:val="1"/>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style>
  <w:style w:type="table" w:customStyle="1" w:styleId="TableNormal2">
    <w:name w:val="Table Normal2"/>
    <w:uiPriority w:val="2"/>
    <w:semiHidden/>
    <w:unhideWhenUsed/>
    <w:qFormat/>
    <w:rsid w:val="00571605"/>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aconcuadrcula1">
    <w:name w:val="Tabla con cuadrícula1"/>
    <w:basedOn w:val="Tablanormal"/>
    <w:next w:val="Tablaconcuadrcula"/>
    <w:uiPriority w:val="39"/>
    <w:rsid w:val="00E813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E871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7Car">
    <w:name w:val="Título 7 Car"/>
    <w:basedOn w:val="Fuentedeprrafopredeter"/>
    <w:link w:val="Ttulo7"/>
    <w:uiPriority w:val="99"/>
    <w:rsid w:val="004C763C"/>
    <w:rPr>
      <w:rFonts w:ascii="Arial" w:eastAsia="Times New Roman" w:hAnsi="Arial" w:cs="Arial"/>
      <w:sz w:val="20"/>
      <w:szCs w:val="20"/>
      <w:lang w:val="es-ES" w:eastAsia="es-ES"/>
    </w:rPr>
  </w:style>
  <w:style w:type="character" w:customStyle="1" w:styleId="Ttulo8Car">
    <w:name w:val="Título 8 Car"/>
    <w:basedOn w:val="Fuentedeprrafopredeter"/>
    <w:link w:val="Ttulo8"/>
    <w:uiPriority w:val="99"/>
    <w:rsid w:val="004C763C"/>
    <w:rPr>
      <w:rFonts w:ascii="Arial" w:eastAsia="Times New Roman" w:hAnsi="Arial" w:cs="Times New Roman"/>
      <w:sz w:val="24"/>
      <w:szCs w:val="20"/>
      <w:lang w:val="es-ES_tradnl" w:eastAsia="es-ES"/>
    </w:rPr>
  </w:style>
  <w:style w:type="numbering" w:customStyle="1" w:styleId="Sinlista1">
    <w:name w:val="Sin lista1"/>
    <w:next w:val="Sinlista"/>
    <w:uiPriority w:val="99"/>
    <w:semiHidden/>
    <w:unhideWhenUsed/>
    <w:rsid w:val="004C763C"/>
  </w:style>
  <w:style w:type="paragraph" w:customStyle="1" w:styleId="Style13">
    <w:name w:val="Style 13"/>
    <w:uiPriority w:val="99"/>
    <w:rsid w:val="004C763C"/>
    <w:pPr>
      <w:widowControl w:val="0"/>
      <w:autoSpaceDE w:val="0"/>
      <w:autoSpaceDN w:val="0"/>
      <w:spacing w:before="360" w:after="0" w:line="360" w:lineRule="auto"/>
      <w:ind w:left="288" w:right="288"/>
      <w:jc w:val="both"/>
    </w:pPr>
    <w:rPr>
      <w:rFonts w:ascii="Times New Roman" w:eastAsia="Times New Roman" w:hAnsi="Times New Roman" w:cs="Times New Roman"/>
      <w:sz w:val="24"/>
      <w:szCs w:val="24"/>
      <w:lang w:val="en-US" w:eastAsia="es-MX"/>
    </w:rPr>
  </w:style>
  <w:style w:type="paragraph" w:customStyle="1" w:styleId="Style1">
    <w:name w:val="Style 1"/>
    <w:uiPriority w:val="99"/>
    <w:rsid w:val="004C763C"/>
    <w:pPr>
      <w:widowControl w:val="0"/>
      <w:autoSpaceDE w:val="0"/>
      <w:autoSpaceDN w:val="0"/>
      <w:adjustRightInd w:val="0"/>
      <w:spacing w:after="0" w:line="240" w:lineRule="auto"/>
    </w:pPr>
    <w:rPr>
      <w:rFonts w:ascii="Times New Roman" w:eastAsia="Times New Roman" w:hAnsi="Times New Roman" w:cs="Times New Roman"/>
      <w:sz w:val="20"/>
      <w:szCs w:val="20"/>
      <w:lang w:val="en-US" w:eastAsia="es-MX"/>
    </w:rPr>
  </w:style>
  <w:style w:type="character" w:customStyle="1" w:styleId="CharacterStyle1">
    <w:name w:val="Character Style 1"/>
    <w:uiPriority w:val="99"/>
    <w:rsid w:val="004C763C"/>
    <w:rPr>
      <w:sz w:val="20"/>
    </w:rPr>
  </w:style>
  <w:style w:type="paragraph" w:customStyle="1" w:styleId="Style19">
    <w:name w:val="Style 19"/>
    <w:uiPriority w:val="99"/>
    <w:rsid w:val="004C763C"/>
    <w:pPr>
      <w:widowControl w:val="0"/>
      <w:autoSpaceDE w:val="0"/>
      <w:autoSpaceDN w:val="0"/>
      <w:spacing w:before="216" w:after="0" w:line="360" w:lineRule="auto"/>
      <w:ind w:left="1080" w:right="1152"/>
      <w:jc w:val="both"/>
    </w:pPr>
    <w:rPr>
      <w:rFonts w:ascii="Arial" w:eastAsia="Times New Roman" w:hAnsi="Arial" w:cs="Arial"/>
      <w:sz w:val="24"/>
      <w:szCs w:val="24"/>
      <w:lang w:val="en-US" w:eastAsia="es-MX"/>
    </w:rPr>
  </w:style>
  <w:style w:type="character" w:customStyle="1" w:styleId="CharacterStyle5">
    <w:name w:val="Character Style 5"/>
    <w:uiPriority w:val="99"/>
    <w:rsid w:val="004C763C"/>
    <w:rPr>
      <w:rFonts w:ascii="Arial" w:hAnsi="Arial"/>
      <w:sz w:val="24"/>
    </w:rPr>
  </w:style>
  <w:style w:type="paragraph" w:customStyle="1" w:styleId="Style20">
    <w:name w:val="Style 20"/>
    <w:uiPriority w:val="99"/>
    <w:rsid w:val="004C763C"/>
    <w:pPr>
      <w:widowControl w:val="0"/>
      <w:autoSpaceDE w:val="0"/>
      <w:autoSpaceDN w:val="0"/>
      <w:spacing w:before="72" w:after="0" w:line="360" w:lineRule="auto"/>
      <w:ind w:left="1080" w:right="1152" w:firstLine="72"/>
      <w:jc w:val="both"/>
    </w:pPr>
    <w:rPr>
      <w:rFonts w:ascii="Bookman Old Style" w:eastAsia="Times New Roman" w:hAnsi="Bookman Old Style" w:cs="Bookman Old Style"/>
      <w:i/>
      <w:iCs/>
      <w:sz w:val="26"/>
      <w:szCs w:val="26"/>
      <w:lang w:val="en-US" w:eastAsia="es-MX"/>
    </w:rPr>
  </w:style>
  <w:style w:type="paragraph" w:customStyle="1" w:styleId="Style21">
    <w:name w:val="Style 21"/>
    <w:uiPriority w:val="99"/>
    <w:rsid w:val="004C763C"/>
    <w:pPr>
      <w:widowControl w:val="0"/>
      <w:autoSpaceDE w:val="0"/>
      <w:autoSpaceDN w:val="0"/>
      <w:spacing w:before="612" w:after="0" w:line="360" w:lineRule="auto"/>
      <w:ind w:left="1080" w:right="1152"/>
      <w:jc w:val="both"/>
    </w:pPr>
    <w:rPr>
      <w:rFonts w:ascii="Times New Roman" w:eastAsia="Times New Roman" w:hAnsi="Times New Roman" w:cs="Times New Roman"/>
      <w:sz w:val="24"/>
      <w:szCs w:val="24"/>
      <w:lang w:val="en-US" w:eastAsia="es-MX"/>
    </w:rPr>
  </w:style>
  <w:style w:type="character" w:customStyle="1" w:styleId="CharacterStyle6">
    <w:name w:val="Character Style 6"/>
    <w:uiPriority w:val="99"/>
    <w:rsid w:val="004C763C"/>
    <w:rPr>
      <w:rFonts w:ascii="Bookman Old Style" w:hAnsi="Bookman Old Style"/>
      <w:i/>
      <w:sz w:val="26"/>
    </w:rPr>
  </w:style>
  <w:style w:type="paragraph" w:customStyle="1" w:styleId="Style23">
    <w:name w:val="Style 23"/>
    <w:uiPriority w:val="99"/>
    <w:rsid w:val="004C763C"/>
    <w:pPr>
      <w:widowControl w:val="0"/>
      <w:autoSpaceDE w:val="0"/>
      <w:autoSpaceDN w:val="0"/>
      <w:spacing w:before="288" w:after="0" w:line="360" w:lineRule="auto"/>
      <w:ind w:left="1008"/>
    </w:pPr>
    <w:rPr>
      <w:rFonts w:ascii="Times New Roman" w:eastAsia="Times New Roman" w:hAnsi="Times New Roman" w:cs="Times New Roman"/>
      <w:sz w:val="24"/>
      <w:szCs w:val="24"/>
      <w:lang w:val="en-US" w:eastAsia="es-MX"/>
    </w:rPr>
  </w:style>
  <w:style w:type="paragraph" w:customStyle="1" w:styleId="Style24">
    <w:name w:val="Style 24"/>
    <w:uiPriority w:val="99"/>
    <w:rsid w:val="004C763C"/>
    <w:pPr>
      <w:widowControl w:val="0"/>
      <w:autoSpaceDE w:val="0"/>
      <w:autoSpaceDN w:val="0"/>
      <w:spacing w:before="396" w:after="0" w:line="360" w:lineRule="auto"/>
      <w:ind w:left="1152" w:right="72"/>
      <w:jc w:val="both"/>
    </w:pPr>
    <w:rPr>
      <w:rFonts w:ascii="Times New Roman" w:eastAsia="Times New Roman" w:hAnsi="Times New Roman" w:cs="Times New Roman"/>
      <w:sz w:val="24"/>
      <w:szCs w:val="24"/>
      <w:lang w:val="en-US" w:eastAsia="es-MX"/>
    </w:rPr>
  </w:style>
  <w:style w:type="paragraph" w:customStyle="1" w:styleId="Style25">
    <w:name w:val="Style 25"/>
    <w:uiPriority w:val="99"/>
    <w:rsid w:val="004C763C"/>
    <w:pPr>
      <w:widowControl w:val="0"/>
      <w:autoSpaceDE w:val="0"/>
      <w:autoSpaceDN w:val="0"/>
      <w:spacing w:before="504" w:after="0" w:line="360" w:lineRule="auto"/>
      <w:ind w:left="504" w:right="504"/>
      <w:jc w:val="both"/>
    </w:pPr>
    <w:rPr>
      <w:rFonts w:ascii="Times New Roman" w:eastAsia="Times New Roman" w:hAnsi="Times New Roman" w:cs="Times New Roman"/>
      <w:sz w:val="24"/>
      <w:szCs w:val="24"/>
      <w:lang w:val="en-US" w:eastAsia="es-MX"/>
    </w:rPr>
  </w:style>
  <w:style w:type="paragraph" w:customStyle="1" w:styleId="Style26">
    <w:name w:val="Style 26"/>
    <w:uiPriority w:val="99"/>
    <w:rsid w:val="004C763C"/>
    <w:pPr>
      <w:widowControl w:val="0"/>
      <w:autoSpaceDE w:val="0"/>
      <w:autoSpaceDN w:val="0"/>
      <w:spacing w:before="72" w:after="0" w:line="360" w:lineRule="auto"/>
      <w:jc w:val="both"/>
    </w:pPr>
    <w:rPr>
      <w:rFonts w:ascii="Times New Roman" w:eastAsia="Times New Roman" w:hAnsi="Times New Roman" w:cs="Times New Roman"/>
      <w:sz w:val="24"/>
      <w:szCs w:val="24"/>
      <w:lang w:val="en-US" w:eastAsia="es-MX"/>
    </w:rPr>
  </w:style>
  <w:style w:type="paragraph" w:customStyle="1" w:styleId="Style27">
    <w:name w:val="Style 27"/>
    <w:uiPriority w:val="99"/>
    <w:rsid w:val="004C763C"/>
    <w:pPr>
      <w:widowControl w:val="0"/>
      <w:autoSpaceDE w:val="0"/>
      <w:autoSpaceDN w:val="0"/>
      <w:spacing w:before="612" w:after="0" w:line="360" w:lineRule="auto"/>
      <w:jc w:val="both"/>
    </w:pPr>
    <w:rPr>
      <w:rFonts w:ascii="Times New Roman" w:eastAsia="Times New Roman" w:hAnsi="Times New Roman" w:cs="Times New Roman"/>
      <w:sz w:val="24"/>
      <w:szCs w:val="24"/>
      <w:lang w:val="en-US" w:eastAsia="es-MX"/>
    </w:rPr>
  </w:style>
  <w:style w:type="paragraph" w:customStyle="1" w:styleId="Style28">
    <w:name w:val="Style 28"/>
    <w:uiPriority w:val="99"/>
    <w:rsid w:val="004C763C"/>
    <w:pPr>
      <w:widowControl w:val="0"/>
      <w:autoSpaceDE w:val="0"/>
      <w:autoSpaceDN w:val="0"/>
      <w:spacing w:before="432" w:after="0" w:line="360" w:lineRule="auto"/>
      <w:ind w:left="1296" w:right="144"/>
    </w:pPr>
    <w:rPr>
      <w:rFonts w:ascii="Times New Roman" w:eastAsia="Times New Roman" w:hAnsi="Times New Roman" w:cs="Times New Roman"/>
      <w:sz w:val="24"/>
      <w:szCs w:val="24"/>
      <w:lang w:val="en-US" w:eastAsia="es-MX"/>
    </w:rPr>
  </w:style>
  <w:style w:type="character" w:customStyle="1" w:styleId="CharacterStyle2">
    <w:name w:val="Character Style 2"/>
    <w:uiPriority w:val="99"/>
    <w:rsid w:val="004C763C"/>
    <w:rPr>
      <w:sz w:val="20"/>
      <w:szCs w:val="20"/>
    </w:rPr>
  </w:style>
  <w:style w:type="character" w:customStyle="1" w:styleId="Textodemarcadordeposicin">
    <w:name w:val="Texto de marcador de posición"/>
    <w:uiPriority w:val="99"/>
    <w:semiHidden/>
    <w:rsid w:val="004C763C"/>
    <w:rPr>
      <w:color w:val="808080"/>
    </w:rPr>
  </w:style>
  <w:style w:type="table" w:customStyle="1" w:styleId="TableNormal">
    <w:name w:val="Table Normal"/>
    <w:uiPriority w:val="2"/>
    <w:semiHidden/>
    <w:unhideWhenUsed/>
    <w:qFormat/>
    <w:rsid w:val="004C763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styleId="Textosinformato">
    <w:name w:val="Plain Text"/>
    <w:basedOn w:val="Normal"/>
    <w:link w:val="TextosinformatoCar"/>
    <w:uiPriority w:val="99"/>
    <w:rsid w:val="004C763C"/>
    <w:rPr>
      <w:rFonts w:ascii="Courier New" w:hAnsi="Courier New" w:cs="Courier New"/>
      <w:sz w:val="20"/>
      <w:szCs w:val="20"/>
      <w:lang w:val="es-MX"/>
    </w:rPr>
  </w:style>
  <w:style w:type="character" w:customStyle="1" w:styleId="TextosinformatoCar">
    <w:name w:val="Texto sin formato Car"/>
    <w:basedOn w:val="Fuentedeprrafopredeter"/>
    <w:link w:val="Textosinformato"/>
    <w:uiPriority w:val="99"/>
    <w:rsid w:val="004C763C"/>
    <w:rPr>
      <w:rFonts w:ascii="Courier New" w:eastAsia="Times New Roman" w:hAnsi="Courier New" w:cs="Courier New"/>
      <w:sz w:val="20"/>
      <w:szCs w:val="20"/>
      <w:lang w:eastAsia="es-ES"/>
    </w:rPr>
  </w:style>
  <w:style w:type="character" w:customStyle="1" w:styleId="A6">
    <w:name w:val="A6"/>
    <w:uiPriority w:val="99"/>
    <w:rsid w:val="004C763C"/>
    <w:rPr>
      <w:rFonts w:cs="Calibri"/>
      <w:color w:val="000000"/>
      <w:sz w:val="22"/>
      <w:szCs w:val="22"/>
    </w:rPr>
  </w:style>
  <w:style w:type="paragraph" w:customStyle="1" w:styleId="ROMANOS">
    <w:name w:val="ROMANOS"/>
    <w:basedOn w:val="Normal"/>
    <w:link w:val="ROMANOSCar"/>
    <w:rsid w:val="004C763C"/>
    <w:pPr>
      <w:tabs>
        <w:tab w:val="left" w:pos="720"/>
      </w:tabs>
      <w:spacing w:after="101" w:line="216" w:lineRule="exact"/>
      <w:ind w:left="720" w:hanging="432"/>
      <w:jc w:val="both"/>
    </w:pPr>
    <w:rPr>
      <w:rFonts w:ascii="Arial" w:hAnsi="Arial" w:cs="Arial"/>
      <w:sz w:val="18"/>
      <w:szCs w:val="18"/>
    </w:rPr>
  </w:style>
  <w:style w:type="paragraph" w:customStyle="1" w:styleId="ANOTACION">
    <w:name w:val="ANOTACION"/>
    <w:basedOn w:val="Normal"/>
    <w:link w:val="ANOTACIONCar"/>
    <w:rsid w:val="004C763C"/>
    <w:pPr>
      <w:spacing w:before="101" w:after="101" w:line="216" w:lineRule="atLeast"/>
      <w:jc w:val="center"/>
    </w:pPr>
    <w:rPr>
      <w:rFonts w:ascii="CG Palacio (WN)" w:hAnsi="CG Palacio (WN)"/>
      <w:b/>
      <w:sz w:val="18"/>
      <w:szCs w:val="20"/>
      <w:lang w:val="es-ES_tradnl"/>
    </w:rPr>
  </w:style>
  <w:style w:type="paragraph" w:customStyle="1" w:styleId="texto0">
    <w:name w:val="texto"/>
    <w:basedOn w:val="Normal"/>
    <w:rsid w:val="004C763C"/>
    <w:pPr>
      <w:spacing w:after="101" w:line="216" w:lineRule="atLeast"/>
      <w:ind w:firstLine="288"/>
      <w:jc w:val="both"/>
    </w:pPr>
    <w:rPr>
      <w:rFonts w:ascii="Arial" w:hAnsi="Arial"/>
      <w:sz w:val="18"/>
      <w:szCs w:val="20"/>
      <w:lang w:val="es-ES_tradnl"/>
    </w:rPr>
  </w:style>
  <w:style w:type="paragraph" w:customStyle="1" w:styleId="ContenidoArticulo">
    <w:name w:val="ContenidoArticulo"/>
    <w:basedOn w:val="Normal"/>
    <w:next w:val="Normal"/>
    <w:uiPriority w:val="99"/>
    <w:rsid w:val="004C763C"/>
    <w:pPr>
      <w:autoSpaceDE w:val="0"/>
      <w:autoSpaceDN w:val="0"/>
      <w:adjustRightInd w:val="0"/>
    </w:pPr>
    <w:rPr>
      <w:rFonts w:ascii="Arial" w:eastAsia="Calibri" w:hAnsi="Arial" w:cs="Arial"/>
      <w:lang w:val="es-MX" w:eastAsia="en-US"/>
    </w:rPr>
  </w:style>
  <w:style w:type="paragraph" w:customStyle="1" w:styleId="Articulo">
    <w:name w:val="Articulo"/>
    <w:basedOn w:val="Default"/>
    <w:next w:val="Default"/>
    <w:uiPriority w:val="99"/>
    <w:rsid w:val="004C763C"/>
    <w:rPr>
      <w:color w:val="auto"/>
      <w:lang w:val="es-MX"/>
    </w:rPr>
  </w:style>
  <w:style w:type="paragraph" w:customStyle="1" w:styleId="Titulo">
    <w:name w:val="Titulo"/>
    <w:basedOn w:val="Default"/>
    <w:next w:val="Default"/>
    <w:uiPriority w:val="99"/>
    <w:rsid w:val="004C763C"/>
    <w:rPr>
      <w:color w:val="auto"/>
      <w:lang w:val="es-MX"/>
    </w:rPr>
  </w:style>
  <w:style w:type="paragraph" w:customStyle="1" w:styleId="NombreTitulo">
    <w:name w:val="NombreTitulo"/>
    <w:basedOn w:val="Default"/>
    <w:next w:val="Default"/>
    <w:uiPriority w:val="99"/>
    <w:rsid w:val="004C763C"/>
    <w:rPr>
      <w:color w:val="auto"/>
      <w:lang w:val="es-MX"/>
    </w:rPr>
  </w:style>
  <w:style w:type="paragraph" w:customStyle="1" w:styleId="Capitulo">
    <w:name w:val="Capitulo"/>
    <w:basedOn w:val="Default"/>
    <w:next w:val="Default"/>
    <w:uiPriority w:val="99"/>
    <w:rsid w:val="004C763C"/>
    <w:rPr>
      <w:color w:val="auto"/>
      <w:lang w:val="es-MX"/>
    </w:rPr>
  </w:style>
  <w:style w:type="paragraph" w:customStyle="1" w:styleId="NombreCapitulo">
    <w:name w:val="NombreCapitulo"/>
    <w:basedOn w:val="Default"/>
    <w:next w:val="Default"/>
    <w:uiPriority w:val="99"/>
    <w:rsid w:val="004C763C"/>
    <w:rPr>
      <w:color w:val="auto"/>
      <w:lang w:val="es-MX"/>
    </w:rPr>
  </w:style>
  <w:style w:type="paragraph" w:customStyle="1" w:styleId="Seccion">
    <w:name w:val="Seccion"/>
    <w:basedOn w:val="Default"/>
    <w:next w:val="Default"/>
    <w:uiPriority w:val="99"/>
    <w:rsid w:val="004C763C"/>
    <w:rPr>
      <w:color w:val="auto"/>
      <w:lang w:val="es-MX"/>
    </w:rPr>
  </w:style>
  <w:style w:type="paragraph" w:customStyle="1" w:styleId="TituloTransitorios">
    <w:name w:val="TituloTransitorios"/>
    <w:basedOn w:val="Default"/>
    <w:next w:val="Default"/>
    <w:uiPriority w:val="99"/>
    <w:rsid w:val="004C763C"/>
    <w:rPr>
      <w:color w:val="auto"/>
      <w:lang w:val="es-MX"/>
    </w:rPr>
  </w:style>
  <w:style w:type="paragraph" w:customStyle="1" w:styleId="ArtTransitorio">
    <w:name w:val="ArtTransitorio"/>
    <w:basedOn w:val="Default"/>
    <w:next w:val="Default"/>
    <w:uiPriority w:val="99"/>
    <w:rsid w:val="004C763C"/>
    <w:rPr>
      <w:color w:val="auto"/>
      <w:lang w:val="es-MX"/>
    </w:rPr>
  </w:style>
  <w:style w:type="paragraph" w:customStyle="1" w:styleId="Style2">
    <w:name w:val="Style 2"/>
    <w:uiPriority w:val="99"/>
    <w:rsid w:val="004C763C"/>
    <w:pPr>
      <w:widowControl w:val="0"/>
      <w:autoSpaceDE w:val="0"/>
      <w:autoSpaceDN w:val="0"/>
      <w:spacing w:before="288" w:after="0" w:line="240" w:lineRule="auto"/>
      <w:ind w:firstLine="2016"/>
      <w:jc w:val="both"/>
    </w:pPr>
    <w:rPr>
      <w:rFonts w:ascii="Times New Roman" w:eastAsia="Times New Roman" w:hAnsi="Times New Roman" w:cs="Times New Roman"/>
      <w:sz w:val="24"/>
      <w:szCs w:val="24"/>
      <w:lang w:val="en-US" w:eastAsia="es-MX"/>
    </w:rPr>
  </w:style>
  <w:style w:type="paragraph" w:customStyle="1" w:styleId="Style3">
    <w:name w:val="Style 3"/>
    <w:uiPriority w:val="99"/>
    <w:rsid w:val="004C763C"/>
    <w:pPr>
      <w:widowControl w:val="0"/>
      <w:autoSpaceDE w:val="0"/>
      <w:autoSpaceDN w:val="0"/>
      <w:spacing w:before="360" w:after="0" w:line="240" w:lineRule="auto"/>
      <w:ind w:left="144" w:firstLine="1872"/>
      <w:jc w:val="both"/>
    </w:pPr>
    <w:rPr>
      <w:rFonts w:ascii="Times New Roman" w:eastAsia="Times New Roman" w:hAnsi="Times New Roman" w:cs="Times New Roman"/>
      <w:sz w:val="24"/>
      <w:szCs w:val="24"/>
      <w:lang w:val="en-US" w:eastAsia="es-MX"/>
    </w:rPr>
  </w:style>
  <w:style w:type="paragraph" w:customStyle="1" w:styleId="Style4">
    <w:name w:val="Style 4"/>
    <w:uiPriority w:val="99"/>
    <w:rsid w:val="004C763C"/>
    <w:pPr>
      <w:widowControl w:val="0"/>
      <w:autoSpaceDE w:val="0"/>
      <w:autoSpaceDN w:val="0"/>
      <w:spacing w:before="72" w:after="0" w:line="240" w:lineRule="auto"/>
      <w:ind w:left="144" w:firstLine="1944"/>
      <w:jc w:val="both"/>
    </w:pPr>
    <w:rPr>
      <w:rFonts w:ascii="Times New Roman" w:eastAsia="Times New Roman" w:hAnsi="Times New Roman" w:cs="Times New Roman"/>
      <w:sz w:val="24"/>
      <w:szCs w:val="24"/>
      <w:lang w:val="en-US" w:eastAsia="es-MX"/>
    </w:rPr>
  </w:style>
  <w:style w:type="paragraph" w:customStyle="1" w:styleId="Style5">
    <w:name w:val="Style 5"/>
    <w:uiPriority w:val="99"/>
    <w:rsid w:val="004C763C"/>
    <w:pPr>
      <w:widowControl w:val="0"/>
      <w:autoSpaceDE w:val="0"/>
      <w:autoSpaceDN w:val="0"/>
      <w:spacing w:before="324" w:after="0" w:line="240" w:lineRule="auto"/>
      <w:ind w:firstLine="648"/>
      <w:jc w:val="both"/>
    </w:pPr>
    <w:rPr>
      <w:rFonts w:ascii="Times New Roman" w:eastAsia="Times New Roman" w:hAnsi="Times New Roman" w:cs="Times New Roman"/>
      <w:sz w:val="24"/>
      <w:szCs w:val="24"/>
      <w:lang w:val="en-US" w:eastAsia="es-MX"/>
    </w:rPr>
  </w:style>
  <w:style w:type="paragraph" w:customStyle="1" w:styleId="Style6">
    <w:name w:val="Style 6"/>
    <w:uiPriority w:val="99"/>
    <w:rsid w:val="004C763C"/>
    <w:pPr>
      <w:widowControl w:val="0"/>
      <w:autoSpaceDE w:val="0"/>
      <w:autoSpaceDN w:val="0"/>
      <w:spacing w:before="360" w:after="540" w:line="240" w:lineRule="auto"/>
      <w:jc w:val="both"/>
    </w:pPr>
    <w:rPr>
      <w:rFonts w:ascii="Times New Roman" w:eastAsia="Times New Roman" w:hAnsi="Times New Roman" w:cs="Times New Roman"/>
      <w:sz w:val="24"/>
      <w:szCs w:val="24"/>
      <w:lang w:val="en-US" w:eastAsia="es-MX"/>
    </w:rPr>
  </w:style>
  <w:style w:type="paragraph" w:customStyle="1" w:styleId="Textoindependiente21">
    <w:name w:val="Texto independiente 21"/>
    <w:basedOn w:val="Normal"/>
    <w:rsid w:val="004C763C"/>
    <w:pPr>
      <w:tabs>
        <w:tab w:val="left" w:pos="0"/>
      </w:tabs>
      <w:overflowPunct w:val="0"/>
      <w:autoSpaceDE w:val="0"/>
      <w:autoSpaceDN w:val="0"/>
      <w:adjustRightInd w:val="0"/>
      <w:jc w:val="both"/>
    </w:pPr>
    <w:rPr>
      <w:szCs w:val="20"/>
    </w:rPr>
  </w:style>
  <w:style w:type="paragraph" w:customStyle="1" w:styleId="leyes">
    <w:name w:val="leyes"/>
    <w:basedOn w:val="Normal"/>
    <w:rsid w:val="004C763C"/>
    <w:pPr>
      <w:spacing w:before="240" w:after="240"/>
      <w:ind w:firstLine="720"/>
      <w:jc w:val="both"/>
    </w:pPr>
    <w:rPr>
      <w:szCs w:val="20"/>
      <w:lang w:val="es-MX"/>
    </w:rPr>
  </w:style>
  <w:style w:type="character" w:customStyle="1" w:styleId="TtuloCar1">
    <w:name w:val="Título Car1"/>
    <w:uiPriority w:val="10"/>
    <w:rsid w:val="004C763C"/>
    <w:rPr>
      <w:rFonts w:ascii="Calibri Light" w:hAnsi="Calibri Light" w:cs="Times New Roman"/>
      <w:b/>
      <w:bCs/>
      <w:kern w:val="28"/>
      <w:sz w:val="32"/>
      <w:szCs w:val="32"/>
      <w:lang w:val="es-ES" w:eastAsia="en-US"/>
    </w:rPr>
  </w:style>
  <w:style w:type="character" w:customStyle="1" w:styleId="apple-converted-space">
    <w:name w:val="apple-converted-space"/>
    <w:rsid w:val="004C763C"/>
  </w:style>
  <w:style w:type="paragraph" w:customStyle="1" w:styleId="EstilotextoPrimeralnea0">
    <w:name w:val="Estilo texto + Primera línea:  0&quot;"/>
    <w:basedOn w:val="Normal"/>
    <w:rsid w:val="004C763C"/>
    <w:pPr>
      <w:spacing w:after="101" w:line="216" w:lineRule="exact"/>
      <w:jc w:val="both"/>
    </w:pPr>
    <w:rPr>
      <w:rFonts w:ascii="Arial" w:hAnsi="Arial"/>
      <w:sz w:val="18"/>
      <w:szCs w:val="20"/>
      <w:lang w:val="es-MX" w:eastAsia="es-MX"/>
    </w:rPr>
  </w:style>
  <w:style w:type="character" w:customStyle="1" w:styleId="TextoCar">
    <w:name w:val="Texto Car"/>
    <w:link w:val="Texto"/>
    <w:locked/>
    <w:rsid w:val="004C763C"/>
    <w:rPr>
      <w:rFonts w:ascii="Arial" w:eastAsia="Times New Roman" w:hAnsi="Arial" w:cs="Arial"/>
      <w:sz w:val="18"/>
      <w:szCs w:val="18"/>
      <w:lang w:val="es-ES" w:eastAsia="es-ES"/>
    </w:rPr>
  </w:style>
  <w:style w:type="character" w:customStyle="1" w:styleId="ROMANOSCar">
    <w:name w:val="ROMANOS Car"/>
    <w:link w:val="ROMANOS"/>
    <w:locked/>
    <w:rsid w:val="004C763C"/>
    <w:rPr>
      <w:rFonts w:ascii="Arial" w:eastAsia="Times New Roman" w:hAnsi="Arial" w:cs="Arial"/>
      <w:sz w:val="18"/>
      <w:szCs w:val="18"/>
      <w:lang w:val="es-ES" w:eastAsia="es-ES"/>
    </w:rPr>
  </w:style>
  <w:style w:type="character" w:customStyle="1" w:styleId="ANOTACIONCar">
    <w:name w:val="ANOTACION Car"/>
    <w:link w:val="ANOTACION"/>
    <w:locked/>
    <w:rsid w:val="004C763C"/>
    <w:rPr>
      <w:rFonts w:ascii="CG Palacio (WN)" w:eastAsia="Times New Roman" w:hAnsi="CG Palacio (WN)" w:cs="Times New Roman"/>
      <w:b/>
      <w:sz w:val="18"/>
      <w:szCs w:val="20"/>
      <w:lang w:val="es-ES_tradnl" w:eastAsia="es-ES"/>
    </w:rPr>
  </w:style>
  <w:style w:type="paragraph" w:customStyle="1" w:styleId="BodyText21">
    <w:name w:val="Body Text 21"/>
    <w:basedOn w:val="Normal"/>
    <w:rsid w:val="004C763C"/>
    <w:pPr>
      <w:widowControl w:val="0"/>
      <w:snapToGrid w:val="0"/>
      <w:jc w:val="both"/>
    </w:pPr>
    <w:rPr>
      <w:szCs w:val="20"/>
      <w:lang w:val="es-ES_tradnl"/>
    </w:rPr>
  </w:style>
  <w:style w:type="paragraph" w:customStyle="1" w:styleId="Sinespaciado4">
    <w:name w:val="Sin espaciado4"/>
    <w:rsid w:val="004C763C"/>
    <w:pPr>
      <w:spacing w:after="0" w:line="240" w:lineRule="auto"/>
    </w:pPr>
    <w:rPr>
      <w:rFonts w:ascii="Calibri" w:eastAsia="Times New Roman" w:hAnsi="Calibri" w:cs="Times New Roman"/>
    </w:rPr>
  </w:style>
  <w:style w:type="paragraph" w:customStyle="1" w:styleId="Body1">
    <w:name w:val="Body 1"/>
    <w:rsid w:val="004C763C"/>
    <w:pPr>
      <w:spacing w:after="0" w:line="240" w:lineRule="auto"/>
    </w:pPr>
    <w:rPr>
      <w:rFonts w:ascii="Helvetica" w:eastAsia="ヒラギノ角ゴ Pro W3" w:hAnsi="Helvetica" w:cs="Times New Roman"/>
      <w:color w:val="000000"/>
      <w:sz w:val="24"/>
      <w:szCs w:val="20"/>
      <w:lang w:val="en-US" w:eastAsia="es-MX"/>
    </w:rPr>
  </w:style>
  <w:style w:type="paragraph" w:customStyle="1" w:styleId="Sinespaciado2">
    <w:name w:val="Sin espaciado2"/>
    <w:rsid w:val="004C763C"/>
    <w:pPr>
      <w:spacing w:after="0" w:line="240" w:lineRule="auto"/>
    </w:pPr>
    <w:rPr>
      <w:rFonts w:ascii="Calibri" w:eastAsia="Times New Roman" w:hAnsi="Calibri" w:cs="Times New Roman"/>
    </w:rPr>
  </w:style>
  <w:style w:type="table" w:customStyle="1" w:styleId="Tablaconcuadrcula3">
    <w:name w:val="Tabla con cuadrícula3"/>
    <w:basedOn w:val="Tablanormal"/>
    <w:next w:val="Tablaconcuadrcula"/>
    <w:uiPriority w:val="59"/>
    <w:rsid w:val="004C763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stiloCar">
    <w:name w:val="Estilo Car"/>
    <w:link w:val="Estilo"/>
    <w:locked/>
    <w:rsid w:val="004C763C"/>
    <w:rPr>
      <w:rFonts w:ascii="Arial" w:hAnsi="Arial" w:cs="Arial"/>
      <w:sz w:val="24"/>
    </w:rPr>
  </w:style>
  <w:style w:type="paragraph" w:customStyle="1" w:styleId="Estilo">
    <w:name w:val="Estilo"/>
    <w:basedOn w:val="Sinespaciado"/>
    <w:link w:val="EstiloCar"/>
    <w:qFormat/>
    <w:rsid w:val="004C763C"/>
    <w:pPr>
      <w:jc w:val="both"/>
    </w:pPr>
    <w:rPr>
      <w:rFonts w:ascii="Arial" w:eastAsiaTheme="minorHAnsi" w:hAnsi="Arial" w:cs="Arial"/>
      <w:sz w:val="24"/>
      <w:szCs w:val="22"/>
      <w:lang w:eastAsia="en-US"/>
    </w:rPr>
  </w:style>
  <w:style w:type="character" w:customStyle="1" w:styleId="superscript">
    <w:name w:val="superscript"/>
    <w:basedOn w:val="Fuentedeprrafopredeter"/>
    <w:rsid w:val="004C763C"/>
  </w:style>
  <w:style w:type="character" w:customStyle="1" w:styleId="Ninguno">
    <w:name w:val="Ninguno"/>
    <w:rsid w:val="004C763C"/>
  </w:style>
  <w:style w:type="paragraph" w:customStyle="1" w:styleId="Predeterminado">
    <w:name w:val="Predeterminado"/>
    <w:rsid w:val="004C763C"/>
    <w:pPr>
      <w:pBdr>
        <w:top w:val="nil"/>
        <w:left w:val="nil"/>
        <w:bottom w:val="nil"/>
        <w:right w:val="nil"/>
        <w:between w:val="nil"/>
        <w:bar w:val="nil"/>
      </w:pBdr>
      <w:spacing w:after="0" w:line="240" w:lineRule="auto"/>
    </w:pPr>
    <w:rPr>
      <w:rFonts w:ascii="Helvetica Neue" w:eastAsia="Arial Unicode MS" w:hAnsi="Helvetica Neue" w:cs="Arial Unicode MS"/>
      <w:color w:val="000000"/>
      <w:u w:color="000000"/>
      <w:bdr w:val="nil"/>
      <w:lang w:val="es-ES_tradnl" w:eastAsia="es-MX"/>
    </w:rPr>
  </w:style>
  <w:style w:type="table" w:customStyle="1" w:styleId="Tablaconcuadrcula4">
    <w:name w:val="Tabla con cuadrícula4"/>
    <w:basedOn w:val="Tablanormal"/>
    <w:next w:val="Tablaconcuadrcula"/>
    <w:uiPriority w:val="39"/>
    <w:rsid w:val="00483C22"/>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39"/>
    <w:rsid w:val="009845A7"/>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39"/>
    <w:rsid w:val="00E3434F"/>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1"/>
    <w:basedOn w:val="Normal"/>
    <w:next w:val="Normal"/>
    <w:qFormat/>
    <w:rsid w:val="00E3434F"/>
    <w:pPr>
      <w:framePr w:h="2616" w:hSpace="141" w:wrap="around" w:vAnchor="text" w:hAnchor="page" w:x="1621" w:y="-1421"/>
      <w:pBdr>
        <w:top w:val="double" w:sz="6" w:space="1" w:color="auto"/>
        <w:left w:val="double" w:sz="6" w:space="1" w:color="auto"/>
        <w:bottom w:val="double" w:sz="6" w:space="1" w:color="auto"/>
        <w:right w:val="double" w:sz="6" w:space="1" w:color="auto"/>
      </w:pBdr>
      <w:shd w:val="pct10" w:color="auto" w:fill="auto"/>
      <w:jc w:val="center"/>
    </w:pPr>
    <w:rPr>
      <w:rFonts w:ascii="Arial" w:hAnsi="Arial"/>
      <w:b/>
      <w:sz w:val="28"/>
      <w:szCs w:val="20"/>
      <w:lang w:val="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webs.ucm.es/BUCM/qui/intranet/grados_parentesco.pdf" TargetMode="External"/><Relationship Id="rId21" Type="http://schemas.openxmlformats.org/officeDocument/2006/relationships/image" Target="media/image11.jpeg"/><Relationship Id="rId42" Type="http://schemas.openxmlformats.org/officeDocument/2006/relationships/image" Target="media/image31.png"/><Relationship Id="rId47" Type="http://schemas.openxmlformats.org/officeDocument/2006/relationships/image" Target="media/image36.jpe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jpeg"/><Relationship Id="rId16" Type="http://schemas.openxmlformats.org/officeDocument/2006/relationships/image" Target="media/image6.jpeg"/><Relationship Id="rId11" Type="http://schemas.openxmlformats.org/officeDocument/2006/relationships/footer" Target="footer2.xml"/><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png"/><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image" Target="media/image66.jpeg"/><Relationship Id="rId5" Type="http://schemas.openxmlformats.org/officeDocument/2006/relationships/webSettings" Target="webSettings.xml"/><Relationship Id="rId90" Type="http://schemas.openxmlformats.org/officeDocument/2006/relationships/image" Target="media/image77.jpeg"/><Relationship Id="rId22" Type="http://schemas.openxmlformats.org/officeDocument/2006/relationships/image" Target="media/image12.png"/><Relationship Id="rId27" Type="http://schemas.openxmlformats.org/officeDocument/2006/relationships/image" Target="media/image16.emf"/><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1.png"/><Relationship Id="rId69" Type="http://schemas.openxmlformats.org/officeDocument/2006/relationships/image" Target="media/image56.jpeg"/><Relationship Id="rId8" Type="http://schemas.openxmlformats.org/officeDocument/2006/relationships/header" Target="header1.xml"/><Relationship Id="rId51" Type="http://schemas.openxmlformats.org/officeDocument/2006/relationships/image" Target="media/image40.pn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pn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6.emf"/><Relationship Id="rId67" Type="http://schemas.openxmlformats.org/officeDocument/2006/relationships/image" Target="media/image54.png"/><Relationship Id="rId20" Type="http://schemas.openxmlformats.org/officeDocument/2006/relationships/image" Target="media/image10.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jpeg"/><Relationship Id="rId91" Type="http://schemas.openxmlformats.org/officeDocument/2006/relationships/image" Target="media/image7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png"/><Relationship Id="rId57" Type="http://schemas.openxmlformats.org/officeDocument/2006/relationships/hyperlink" Target="https://www.derechoshumanosgto.org.mx/informe-anual" TargetMode="External"/><Relationship Id="rId10" Type="http://schemas.openxmlformats.org/officeDocument/2006/relationships/footer" Target="footer1.xm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png"/><Relationship Id="rId60" Type="http://schemas.openxmlformats.org/officeDocument/2006/relationships/image" Target="media/image47.jpeg"/><Relationship Id="rId65" Type="http://schemas.openxmlformats.org/officeDocument/2006/relationships/image" Target="media/image52.pn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8.jpeg"/><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png"/><Relationship Id="rId76" Type="http://schemas.openxmlformats.org/officeDocument/2006/relationships/image" Target="media/image63.png"/><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4.jpeg"/><Relationship Id="rId40" Type="http://schemas.openxmlformats.org/officeDocument/2006/relationships/image" Target="media/image29.png"/><Relationship Id="rId45" Type="http://schemas.openxmlformats.org/officeDocument/2006/relationships/image" Target="media/image34.jpeg"/><Relationship Id="rId66" Type="http://schemas.openxmlformats.org/officeDocument/2006/relationships/image" Target="media/image53.png"/><Relationship Id="rId87" Type="http://schemas.openxmlformats.org/officeDocument/2006/relationships/image" Target="media/image74.jpeg"/><Relationship Id="rId61" Type="http://schemas.openxmlformats.org/officeDocument/2006/relationships/image" Target="media/image48.png"/><Relationship Id="rId82" Type="http://schemas.openxmlformats.org/officeDocument/2006/relationships/image" Target="media/image69.jpe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19.jpeg"/><Relationship Id="rId35" Type="http://schemas.openxmlformats.org/officeDocument/2006/relationships/image" Target="media/image24.png"/><Relationship Id="rId56" Type="http://schemas.openxmlformats.org/officeDocument/2006/relationships/chart" Target="charts/chart1.xml"/><Relationship Id="rId77" Type="http://schemas.openxmlformats.org/officeDocument/2006/relationships/image" Target="media/image64.jpeg"/></Relationships>
</file>

<file path=word/_rels/footnotes.xml.rels><?xml version="1.0" encoding="UTF-8" standalone="yes"?>
<Relationships xmlns="http://schemas.openxmlformats.org/package/2006/relationships"><Relationship Id="rId13" Type="http://schemas.openxmlformats.org/officeDocument/2006/relationships/hyperlink" Target="https://www.um.es/discatif/PROYECTO_DISCATIF/Documentos/ComTucuman.pdf" TargetMode="External"/><Relationship Id="rId18" Type="http://schemas.openxmlformats.org/officeDocument/2006/relationships/hyperlink" Target="https://ensanut.insp.mx/encuestas/ensanutcontinua2020/informes.php" TargetMode="External"/><Relationship Id="rId26" Type="http://schemas.openxmlformats.org/officeDocument/2006/relationships/hyperlink" Target="https://boletines.guanajuato.gob.mx/2019/05/20/guanajuato-cuenta-con-la-red-desalud-mental-mas-grande-del-pais/" TargetMode="External"/><Relationship Id="rId39" Type="http://schemas.openxmlformats.org/officeDocument/2006/relationships/hyperlink" Target="https://congresogto.s3.amazonaws.com/uploads/reforma/pdf/3352/LPAEVEG_reforma_07Marzo2022.pdf" TargetMode="External"/><Relationship Id="rId21" Type="http://schemas.openxmlformats.org/officeDocument/2006/relationships/hyperlink" Target="https://finanzas.guanajuato.gob.mx/paquetefiscal2022/public/docs/P/PF/PP/RA/APP/3019/3019-" TargetMode="External"/><Relationship Id="rId34" Type="http://schemas.openxmlformats.org/officeDocument/2006/relationships/hyperlink" Target="https://congresogto.s3.amazonaws.com/uploads/orden_archivo/archivo/23805/DT_Dictamen_reforma_LDNNyA_PAN.pdf" TargetMode="External"/><Relationship Id="rId7" Type="http://schemas.openxmlformats.org/officeDocument/2006/relationships/hyperlink" Target="https://congreso-gto.s3.amazonaws.com/uploads/orden_archivo/archivo/26785/18_Transferencias_y_ajustes_presupuestales_julio_2022.pdf" TargetMode="External"/><Relationship Id="rId12" Type="http://schemas.openxmlformats.org/officeDocument/2006/relationships/hyperlink" Target="https://www.un.org/sustainabledevelopment/es/inequality" TargetMode="External"/><Relationship Id="rId17" Type="http://schemas.openxmlformats.org/officeDocument/2006/relationships/hyperlink" Target="https://www.inegi.org.mx/contenidos/saladeprensa/aproposito/2021/Suicidios2021_Nal.pdf" TargetMode="External"/><Relationship Id="rId25" Type="http://schemas.openxmlformats.org/officeDocument/2006/relationships/hyperlink" Target="http://periodico.guanajuato.qob.mx/downloadfile?dir=filesmklrados&amp;file=200706011554150.PO884laParte.pdf" TargetMode="External"/><Relationship Id="rId33" Type="http://schemas.openxmlformats.org/officeDocument/2006/relationships/hyperlink" Target="https://www.who.int/es/news-room/fact-sheets/detail/mental-health-strengthening-our-response" TargetMode="External"/><Relationship Id="rId38" Type="http://schemas.openxmlformats.org/officeDocument/2006/relationships/hyperlink" Target="https://congresogto.s3.amazonaws.com/uploads/reforma/periodico_pdf/3352/PO_46_2da_Parte_20220307.pdf" TargetMode="External"/><Relationship Id="rId2" Type="http://schemas.openxmlformats.org/officeDocument/2006/relationships/hyperlink" Target="http://law.queensu.ca/faculty/bala/papers/paradox2000.htm" TargetMode="External"/><Relationship Id="rId16" Type="http://schemas.openxmlformats.org/officeDocument/2006/relationships/hyperlink" Target="https://www.who.int/es/news/item/17-06-2021-one-in-100-deaths-is-by-suicide" TargetMode="External"/><Relationship Id="rId20" Type="http://schemas.openxmlformats.org/officeDocument/2006/relationships/hyperlink" Target="http://www.conamed.gob.mx/gobmx/boletin/pdf/boletin14/importancia_panorama.pdf" TargetMode="External"/><Relationship Id="rId29" Type="http://schemas.openxmlformats.org/officeDocument/2006/relationships/hyperlink" Target="https://congresogto.s3.amazonaws.com/uploads/reforma/pdf/2178/20201021.pdf" TargetMode="External"/><Relationship Id="rId1" Type="http://schemas.openxmlformats.org/officeDocument/2006/relationships/hyperlink" Target="https://www.animalpolitico.com/blog-invitado/el-derecho-humano-de-toda-persona-a-serbuscada/" TargetMode="External"/><Relationship Id="rId6" Type="http://schemas.openxmlformats.org/officeDocument/2006/relationships/hyperlink" Target="https://congreso-gto.s3.amazonaws.com/uploads/orden_archivo/archivo/26784/17_Conceptos_Grales_y_Transferencias_agosto_2022.pdf" TargetMode="External"/><Relationship Id="rId11" Type="http://schemas.openxmlformats.org/officeDocument/2006/relationships/hyperlink" Target="https://www.gob.mx/agenda2030/articulos/16-paz-justicia-e-instituciones-solidas" TargetMode="External"/><Relationship Id="rId24" Type="http://schemas.openxmlformats.org/officeDocument/2006/relationships/hyperlink" Target="https://boletines.guanajuato.gob.mx/2022/01/10/ssg-refuerza-los-servicios-de-salud-mental-para-la-atencion-del-suicidio-este-2022/" TargetMode="External"/><Relationship Id="rId32" Type="http://schemas.openxmlformats.org/officeDocument/2006/relationships/hyperlink" Target="http://dx.doi.org/10.1787/factbook-2014-99-en" TargetMode="External"/><Relationship Id="rId37" Type="http://schemas.openxmlformats.org/officeDocument/2006/relationships/hyperlink" Target="https://www.congresogto.gob.mx/ordenes/2624" TargetMode="External"/><Relationship Id="rId5" Type="http://schemas.openxmlformats.org/officeDocument/2006/relationships/hyperlink" Target="http://cecig.org.mx/wp-content/uploads/2021/11/MIGRACION_INDIGENA_JONALERA_CDIL.pdf" TargetMode="External"/><Relationship Id="rId15" Type="http://schemas.openxmlformats.org/officeDocument/2006/relationships/hyperlink" Target="https://www.uaq.mx/investigacion/revista_ciencia@uaq/ArchivosPDF/v8-n1/1.pdf" TargetMode="External"/><Relationship Id="rId23" Type="http://schemas.openxmlformats.org/officeDocument/2006/relationships/hyperlink" Target="https://boletines.guanajuato.gob.mx/2022/01/10/ssg-refuerza-los-servicios-de-salud-mental-para-laatencion-del-suicidio-este-2022/" TargetMode="External"/><Relationship Id="rId28" Type="http://schemas.openxmlformats.org/officeDocument/2006/relationships/hyperlink" Target="https://boletines.guanajuato.gob.mx/2022/01/07/planet-youth-llega-con-fuerza-este-2022/" TargetMode="External"/><Relationship Id="rId36" Type="http://schemas.openxmlformats.org/officeDocument/2006/relationships/hyperlink" Target="https://congresogto.s3.amazonaws.com/uploads/reforma/pdf/3354/LDNNYAEG_Reforma_PO_05Abril2022_DL_67.pdf" TargetMode="External"/><Relationship Id="rId10" Type="http://schemas.openxmlformats.org/officeDocument/2006/relationships/hyperlink" Target="https://www.ohchr.org/Documents/Publications/Human_rights_indicators_sp.pdf" TargetMode="External"/><Relationship Id="rId19" Type="http://schemas.openxmlformats.org/officeDocument/2006/relationships/hyperlink" Target="https://apps.who.int/iris/bitstream/handle/10665/42897/9243562576.pdf?sequence=1&amp;isAllowed=y" TargetMode="External"/><Relationship Id="rId31" Type="http://schemas.openxmlformats.org/officeDocument/2006/relationships/hyperlink" Target="http://www.who.int/mental_health/suicide-prevention/exe_summary_spanish.pdf" TargetMode="External"/><Relationship Id="rId4" Type="http://schemas.openxmlformats.org/officeDocument/2006/relationships/hyperlink" Target="https://congreso-gto.s3.amazonaws.com/uploads/orden_archivo/archivo/26779/12._PPA_GPPMORENA_Personas_Jornaleras_Agri_colas__13_OCT_2022_.pdf" TargetMode="External"/><Relationship Id="rId9" Type="http://schemas.openxmlformats.org/officeDocument/2006/relationships/hyperlink" Target="https://www.derechoshumanosgto.org.mx/images/descargas/informe_anual/26/informe/informe_pdheg_xxvi.pdf" TargetMode="External"/><Relationship Id="rId14" Type="http://schemas.openxmlformats.org/officeDocument/2006/relationships/hyperlink" Target="https://derechoshumanosgto.org.mx/Recursos/Biblioteca/2021/06/8249cf10-adb8-4ee3-abf0-93ec3a6d77c9.pdf" TargetMode="External"/><Relationship Id="rId22" Type="http://schemas.openxmlformats.org/officeDocument/2006/relationships/hyperlink" Target="http://www.dinamicamente.mx/programa-de-prevencion-y-atencion-a-la-conducta-suicida/" TargetMode="External"/><Relationship Id="rId27" Type="http://schemas.openxmlformats.org/officeDocument/2006/relationships/hyperlink" Target="https://boletines.guanajuato.gob.mx/2019/04/25/ssg-mantiene-activos-46-redesmunicipales-de-prevencion-de-la-conducta-suicida/" TargetMode="External"/><Relationship Id="rId30" Type="http://schemas.openxmlformats.org/officeDocument/2006/relationships/hyperlink" Target="http://www.paho.org/mex/index.php?option=com_content&amp;view=article&amp;id=1246:dia-mundial-de-la-salud-2017&amp;Itemid=597" TargetMode="External"/><Relationship Id="rId35" Type="http://schemas.openxmlformats.org/officeDocument/2006/relationships/hyperlink" Target="https://congresogto.s3.amazonaws.com/uploads/reforma/periodico_pdf/3354/PO_67_2da_Parte_20220405_Decreto_Legislativo_66.pdf" TargetMode="External"/><Relationship Id="rId8" Type="http://schemas.openxmlformats.org/officeDocument/2006/relationships/hyperlink" Target="http://codhet.org.mx/articulo102/" TargetMode="External"/><Relationship Id="rId3" Type="http://schemas.openxmlformats.org/officeDocument/2006/relationships/hyperlink" Target="https://congreso-gto.s3.amazonaws.com/uploads/orden_archivo/archivo/26776/09._Iniciativa_GPPMORENA_adic_Resp_Admvas__13_OCT_2022_.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3" Type="http://schemas.openxmlformats.org/officeDocument/2006/relationships/image" Target="media/image2.jpeg"/><Relationship Id="rId2" Type="http://schemas.openxmlformats.org/officeDocument/2006/relationships/hyperlink" Target="http://www.congresogto.gob.mx/" TargetMode="External"/><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https://congresogto-my.sharepoint.com/personal/francisco_rocha_congresogto_gob_mx/Documents/2.%20LXIV%20Legislatura/4.%20Temas/1.%20PVEM/35.%20Inic.%20Ordenamientos%20PDHEG/Relaci&#243;n%20recomendacione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v>Aceptadas</c:v>
          </c:tx>
          <c:spPr>
            <a:ln w="28575" cap="rnd">
              <a:solidFill>
                <a:schemeClr val="accent1"/>
              </a:solidFill>
              <a:round/>
            </a:ln>
            <a:effectLst/>
          </c:spPr>
          <c:marker>
            <c:symbol val="none"/>
          </c:marker>
          <c:cat>
            <c:numRef>
              <c:f>'R'!$B$3:$B$28</c:f>
              <c:numCache>
                <c:formatCode>General</c:formatCode>
                <c:ptCount val="26"/>
                <c:pt idx="0">
                  <c:v>1994</c:v>
                </c:pt>
                <c:pt idx="1">
                  <c:v>1995</c:v>
                </c:pt>
                <c:pt idx="2">
                  <c:v>1996</c:v>
                </c:pt>
                <c:pt idx="3">
                  <c:v>1997</c:v>
                </c:pt>
                <c:pt idx="4">
                  <c:v>1998</c:v>
                </c:pt>
                <c:pt idx="5">
                  <c:v>1999</c:v>
                </c:pt>
                <c:pt idx="6">
                  <c:v>2000</c:v>
                </c:pt>
                <c:pt idx="7">
                  <c:v>2001</c:v>
                </c:pt>
                <c:pt idx="8">
                  <c:v>2002</c:v>
                </c:pt>
                <c:pt idx="9">
                  <c:v>2003</c:v>
                </c:pt>
                <c:pt idx="10">
                  <c:v>2004</c:v>
                </c:pt>
                <c:pt idx="11">
                  <c:v>2005</c:v>
                </c:pt>
                <c:pt idx="12">
                  <c:v>2006</c:v>
                </c:pt>
                <c:pt idx="13">
                  <c:v>2007</c:v>
                </c:pt>
                <c:pt idx="14">
                  <c:v>2008</c:v>
                </c:pt>
                <c:pt idx="15">
                  <c:v>2009</c:v>
                </c:pt>
                <c:pt idx="16">
                  <c:v>2010</c:v>
                </c:pt>
                <c:pt idx="17">
                  <c:v>2011</c:v>
                </c:pt>
                <c:pt idx="18">
                  <c:v>2012</c:v>
                </c:pt>
                <c:pt idx="19">
                  <c:v>2013</c:v>
                </c:pt>
                <c:pt idx="20">
                  <c:v>2014</c:v>
                </c:pt>
                <c:pt idx="21">
                  <c:v>2015</c:v>
                </c:pt>
                <c:pt idx="22">
                  <c:v>2016</c:v>
                </c:pt>
                <c:pt idx="23">
                  <c:v>2017</c:v>
                </c:pt>
                <c:pt idx="24">
                  <c:v>2018</c:v>
                </c:pt>
                <c:pt idx="25">
                  <c:v>2019</c:v>
                </c:pt>
              </c:numCache>
            </c:numRef>
          </c:cat>
          <c:val>
            <c:numRef>
              <c:f>'R'!$C$3:$C$28</c:f>
              <c:numCache>
                <c:formatCode>General</c:formatCode>
                <c:ptCount val="26"/>
                <c:pt idx="0">
                  <c:v>217</c:v>
                </c:pt>
                <c:pt idx="1">
                  <c:v>230</c:v>
                </c:pt>
                <c:pt idx="2">
                  <c:v>324</c:v>
                </c:pt>
                <c:pt idx="3">
                  <c:v>228</c:v>
                </c:pt>
                <c:pt idx="4">
                  <c:v>94</c:v>
                </c:pt>
                <c:pt idx="5">
                  <c:v>157</c:v>
                </c:pt>
                <c:pt idx="6">
                  <c:v>144</c:v>
                </c:pt>
                <c:pt idx="7">
                  <c:v>193</c:v>
                </c:pt>
                <c:pt idx="8">
                  <c:v>149</c:v>
                </c:pt>
                <c:pt idx="9">
                  <c:v>234</c:v>
                </c:pt>
                <c:pt idx="10">
                  <c:v>250</c:v>
                </c:pt>
                <c:pt idx="11">
                  <c:v>208</c:v>
                </c:pt>
                <c:pt idx="12">
                  <c:v>253</c:v>
                </c:pt>
                <c:pt idx="13">
                  <c:v>237</c:v>
                </c:pt>
                <c:pt idx="14">
                  <c:v>516</c:v>
                </c:pt>
                <c:pt idx="15">
                  <c:v>121</c:v>
                </c:pt>
                <c:pt idx="16">
                  <c:v>457</c:v>
                </c:pt>
                <c:pt idx="17">
                  <c:v>364</c:v>
                </c:pt>
                <c:pt idx="18">
                  <c:v>411</c:v>
                </c:pt>
                <c:pt idx="19">
                  <c:v>442</c:v>
                </c:pt>
                <c:pt idx="20">
                  <c:v>504</c:v>
                </c:pt>
                <c:pt idx="21">
                  <c:v>541</c:v>
                </c:pt>
                <c:pt idx="22">
                  <c:v>422</c:v>
                </c:pt>
                <c:pt idx="23">
                  <c:v>527</c:v>
                </c:pt>
                <c:pt idx="24">
                  <c:v>418</c:v>
                </c:pt>
                <c:pt idx="25">
                  <c:v>376</c:v>
                </c:pt>
              </c:numCache>
            </c:numRef>
          </c:val>
          <c:smooth val="0"/>
          <c:extLst>
            <c:ext xmlns:c16="http://schemas.microsoft.com/office/drawing/2014/chart" uri="{C3380CC4-5D6E-409C-BE32-E72D297353CC}">
              <c16:uniqueId val="{00000000-100B-41D2-B8DF-67EC22CE0DBC}"/>
            </c:ext>
          </c:extLst>
        </c:ser>
        <c:ser>
          <c:idx val="1"/>
          <c:order val="1"/>
          <c:tx>
            <c:v>Pendiente de aceptar</c:v>
          </c:tx>
          <c:spPr>
            <a:ln w="28575" cap="rnd">
              <a:solidFill>
                <a:schemeClr val="accent2"/>
              </a:solidFill>
              <a:round/>
            </a:ln>
            <a:effectLst/>
          </c:spPr>
          <c:marker>
            <c:symbol val="none"/>
          </c:marker>
          <c:cat>
            <c:numRef>
              <c:f>'R'!$B$3:$B$28</c:f>
              <c:numCache>
                <c:formatCode>General</c:formatCode>
                <c:ptCount val="26"/>
                <c:pt idx="0">
                  <c:v>1994</c:v>
                </c:pt>
                <c:pt idx="1">
                  <c:v>1995</c:v>
                </c:pt>
                <c:pt idx="2">
                  <c:v>1996</c:v>
                </c:pt>
                <c:pt idx="3">
                  <c:v>1997</c:v>
                </c:pt>
                <c:pt idx="4">
                  <c:v>1998</c:v>
                </c:pt>
                <c:pt idx="5">
                  <c:v>1999</c:v>
                </c:pt>
                <c:pt idx="6">
                  <c:v>2000</c:v>
                </c:pt>
                <c:pt idx="7">
                  <c:v>2001</c:v>
                </c:pt>
                <c:pt idx="8">
                  <c:v>2002</c:v>
                </c:pt>
                <c:pt idx="9">
                  <c:v>2003</c:v>
                </c:pt>
                <c:pt idx="10">
                  <c:v>2004</c:v>
                </c:pt>
                <c:pt idx="11">
                  <c:v>2005</c:v>
                </c:pt>
                <c:pt idx="12">
                  <c:v>2006</c:v>
                </c:pt>
                <c:pt idx="13">
                  <c:v>2007</c:v>
                </c:pt>
                <c:pt idx="14">
                  <c:v>2008</c:v>
                </c:pt>
                <c:pt idx="15">
                  <c:v>2009</c:v>
                </c:pt>
                <c:pt idx="16">
                  <c:v>2010</c:v>
                </c:pt>
                <c:pt idx="17">
                  <c:v>2011</c:v>
                </c:pt>
                <c:pt idx="18">
                  <c:v>2012</c:v>
                </c:pt>
                <c:pt idx="19">
                  <c:v>2013</c:v>
                </c:pt>
                <c:pt idx="20">
                  <c:v>2014</c:v>
                </c:pt>
                <c:pt idx="21">
                  <c:v>2015</c:v>
                </c:pt>
                <c:pt idx="22">
                  <c:v>2016</c:v>
                </c:pt>
                <c:pt idx="23">
                  <c:v>2017</c:v>
                </c:pt>
                <c:pt idx="24">
                  <c:v>2018</c:v>
                </c:pt>
                <c:pt idx="25">
                  <c:v>2019</c:v>
                </c:pt>
              </c:numCache>
            </c:numRef>
          </c:cat>
          <c:val>
            <c:numRef>
              <c:f>'R'!$D$3:$D$28</c:f>
              <c:numCache>
                <c:formatCode>General</c:formatCode>
                <c:ptCount val="26"/>
                <c:pt idx="0">
                  <c:v>0</c:v>
                </c:pt>
                <c:pt idx="1">
                  <c:v>0</c:v>
                </c:pt>
                <c:pt idx="2">
                  <c:v>64</c:v>
                </c:pt>
                <c:pt idx="3">
                  <c:v>2</c:v>
                </c:pt>
                <c:pt idx="4">
                  <c:v>0</c:v>
                </c:pt>
                <c:pt idx="5">
                  <c:v>0</c:v>
                </c:pt>
                <c:pt idx="6">
                  <c:v>15</c:v>
                </c:pt>
                <c:pt idx="7">
                  <c:v>9</c:v>
                </c:pt>
                <c:pt idx="8">
                  <c:v>16</c:v>
                </c:pt>
                <c:pt idx="9">
                  <c:v>8</c:v>
                </c:pt>
                <c:pt idx="10">
                  <c:v>18</c:v>
                </c:pt>
                <c:pt idx="11">
                  <c:v>91</c:v>
                </c:pt>
                <c:pt idx="12">
                  <c:v>109</c:v>
                </c:pt>
                <c:pt idx="13">
                  <c:v>23</c:v>
                </c:pt>
                <c:pt idx="14">
                  <c:v>83</c:v>
                </c:pt>
                <c:pt idx="15">
                  <c:v>0</c:v>
                </c:pt>
                <c:pt idx="16">
                  <c:v>21</c:v>
                </c:pt>
                <c:pt idx="17">
                  <c:v>29</c:v>
                </c:pt>
                <c:pt idx="18">
                  <c:v>33</c:v>
                </c:pt>
                <c:pt idx="19">
                  <c:v>16</c:v>
                </c:pt>
                <c:pt idx="20">
                  <c:v>26</c:v>
                </c:pt>
                <c:pt idx="21">
                  <c:v>4</c:v>
                </c:pt>
                <c:pt idx="22">
                  <c:v>0</c:v>
                </c:pt>
                <c:pt idx="23">
                  <c:v>4</c:v>
                </c:pt>
                <c:pt idx="24">
                  <c:v>0</c:v>
                </c:pt>
                <c:pt idx="25">
                  <c:v>0</c:v>
                </c:pt>
              </c:numCache>
            </c:numRef>
          </c:val>
          <c:smooth val="0"/>
          <c:extLst>
            <c:ext xmlns:c16="http://schemas.microsoft.com/office/drawing/2014/chart" uri="{C3380CC4-5D6E-409C-BE32-E72D297353CC}">
              <c16:uniqueId val="{00000001-100B-41D2-B8DF-67EC22CE0DBC}"/>
            </c:ext>
          </c:extLst>
        </c:ser>
        <c:ser>
          <c:idx val="2"/>
          <c:order val="2"/>
          <c:tx>
            <c:v>No aceptadas</c:v>
          </c:tx>
          <c:spPr>
            <a:ln w="28575" cap="rnd">
              <a:solidFill>
                <a:schemeClr val="accent3"/>
              </a:solidFill>
              <a:round/>
            </a:ln>
            <a:effectLst/>
          </c:spPr>
          <c:marker>
            <c:symbol val="none"/>
          </c:marker>
          <c:cat>
            <c:numRef>
              <c:f>'R'!$B$3:$B$28</c:f>
              <c:numCache>
                <c:formatCode>General</c:formatCode>
                <c:ptCount val="26"/>
                <c:pt idx="0">
                  <c:v>1994</c:v>
                </c:pt>
                <c:pt idx="1">
                  <c:v>1995</c:v>
                </c:pt>
                <c:pt idx="2">
                  <c:v>1996</c:v>
                </c:pt>
                <c:pt idx="3">
                  <c:v>1997</c:v>
                </c:pt>
                <c:pt idx="4">
                  <c:v>1998</c:v>
                </c:pt>
                <c:pt idx="5">
                  <c:v>1999</c:v>
                </c:pt>
                <c:pt idx="6">
                  <c:v>2000</c:v>
                </c:pt>
                <c:pt idx="7">
                  <c:v>2001</c:v>
                </c:pt>
                <c:pt idx="8">
                  <c:v>2002</c:v>
                </c:pt>
                <c:pt idx="9">
                  <c:v>2003</c:v>
                </c:pt>
                <c:pt idx="10">
                  <c:v>2004</c:v>
                </c:pt>
                <c:pt idx="11">
                  <c:v>2005</c:v>
                </c:pt>
                <c:pt idx="12">
                  <c:v>2006</c:v>
                </c:pt>
                <c:pt idx="13">
                  <c:v>2007</c:v>
                </c:pt>
                <c:pt idx="14">
                  <c:v>2008</c:v>
                </c:pt>
                <c:pt idx="15">
                  <c:v>2009</c:v>
                </c:pt>
                <c:pt idx="16">
                  <c:v>2010</c:v>
                </c:pt>
                <c:pt idx="17">
                  <c:v>2011</c:v>
                </c:pt>
                <c:pt idx="18">
                  <c:v>2012</c:v>
                </c:pt>
                <c:pt idx="19">
                  <c:v>2013</c:v>
                </c:pt>
                <c:pt idx="20">
                  <c:v>2014</c:v>
                </c:pt>
                <c:pt idx="21">
                  <c:v>2015</c:v>
                </c:pt>
                <c:pt idx="22">
                  <c:v>2016</c:v>
                </c:pt>
                <c:pt idx="23">
                  <c:v>2017</c:v>
                </c:pt>
                <c:pt idx="24">
                  <c:v>2018</c:v>
                </c:pt>
                <c:pt idx="25">
                  <c:v>2019</c:v>
                </c:pt>
              </c:numCache>
            </c:numRef>
          </c:cat>
          <c:val>
            <c:numRef>
              <c:f>'R'!$E$3:$E$28</c:f>
              <c:numCache>
                <c:formatCode>General</c:formatCode>
                <c:ptCount val="26"/>
                <c:pt idx="0">
                  <c:v>66</c:v>
                </c:pt>
                <c:pt idx="1">
                  <c:v>144</c:v>
                </c:pt>
                <c:pt idx="2">
                  <c:v>56</c:v>
                </c:pt>
                <c:pt idx="3">
                  <c:v>58</c:v>
                </c:pt>
                <c:pt idx="4">
                  <c:v>27</c:v>
                </c:pt>
                <c:pt idx="5">
                  <c:v>14</c:v>
                </c:pt>
                <c:pt idx="6">
                  <c:v>13</c:v>
                </c:pt>
                <c:pt idx="7">
                  <c:v>63</c:v>
                </c:pt>
                <c:pt idx="8">
                  <c:v>32</c:v>
                </c:pt>
                <c:pt idx="9">
                  <c:v>70</c:v>
                </c:pt>
                <c:pt idx="10">
                  <c:v>60</c:v>
                </c:pt>
                <c:pt idx="11">
                  <c:v>59</c:v>
                </c:pt>
                <c:pt idx="12">
                  <c:v>9</c:v>
                </c:pt>
                <c:pt idx="13">
                  <c:v>72</c:v>
                </c:pt>
                <c:pt idx="14">
                  <c:v>102</c:v>
                </c:pt>
                <c:pt idx="15">
                  <c:v>5</c:v>
                </c:pt>
                <c:pt idx="16">
                  <c:v>9</c:v>
                </c:pt>
                <c:pt idx="17">
                  <c:v>7</c:v>
                </c:pt>
                <c:pt idx="18">
                  <c:v>1</c:v>
                </c:pt>
                <c:pt idx="19">
                  <c:v>6</c:v>
                </c:pt>
                <c:pt idx="20">
                  <c:v>0</c:v>
                </c:pt>
                <c:pt idx="21">
                  <c:v>0</c:v>
                </c:pt>
                <c:pt idx="22">
                  <c:v>5</c:v>
                </c:pt>
                <c:pt idx="23">
                  <c:v>7</c:v>
                </c:pt>
                <c:pt idx="24">
                  <c:v>6</c:v>
                </c:pt>
                <c:pt idx="25">
                  <c:v>0</c:v>
                </c:pt>
              </c:numCache>
            </c:numRef>
          </c:val>
          <c:smooth val="0"/>
          <c:extLst>
            <c:ext xmlns:c16="http://schemas.microsoft.com/office/drawing/2014/chart" uri="{C3380CC4-5D6E-409C-BE32-E72D297353CC}">
              <c16:uniqueId val="{00000002-100B-41D2-B8DF-67EC22CE0DBC}"/>
            </c:ext>
          </c:extLst>
        </c:ser>
        <c:dLbls>
          <c:showLegendKey val="0"/>
          <c:showVal val="0"/>
          <c:showCatName val="0"/>
          <c:showSerName val="0"/>
          <c:showPercent val="0"/>
          <c:showBubbleSize val="0"/>
        </c:dLbls>
        <c:smooth val="0"/>
        <c:axId val="451089040"/>
        <c:axId val="362711408"/>
      </c:lineChart>
      <c:catAx>
        <c:axId val="451089040"/>
        <c:scaling>
          <c:orientation val="minMax"/>
        </c:scaling>
        <c:delete val="0"/>
        <c:axPos val="b"/>
        <c:title>
          <c:tx>
            <c:rich>
              <a:bodyPr rot="0" spcFirstLastPara="1" vertOverflow="ellipsis" vert="horz" wrap="square" anchor="ctr" anchorCtr="1"/>
              <a:lstStyle/>
              <a:p>
                <a:pPr>
                  <a:defRPr sz="6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s-MX"/>
                  <a:t>Años</a:t>
                </a:r>
              </a:p>
            </c:rich>
          </c:tx>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s-MX"/>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s-MX"/>
          </a:p>
        </c:txPr>
        <c:crossAx val="362711408"/>
        <c:crosses val="autoZero"/>
        <c:auto val="1"/>
        <c:lblAlgn val="ctr"/>
        <c:lblOffset val="100"/>
        <c:noMultiLvlLbl val="0"/>
      </c:catAx>
      <c:valAx>
        <c:axId val="3627114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6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s-MX"/>
                  <a:t>Número de recomendaciones</a:t>
                </a:r>
              </a:p>
            </c:rich>
          </c:tx>
          <c:overlay val="0"/>
          <c:spPr>
            <a:noFill/>
            <a:ln>
              <a:noFill/>
            </a:ln>
            <a:effectLst/>
          </c:spPr>
          <c:txPr>
            <a:bodyPr rot="-5400000" spcFirstLastPara="1" vertOverflow="ellipsis" vert="horz" wrap="square" anchor="ctr" anchorCtr="1"/>
            <a:lstStyle/>
            <a:p>
              <a:pPr>
                <a:defRPr sz="6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s-MX"/>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s-MX"/>
          </a:p>
        </c:txPr>
        <c:crossAx val="451089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latin typeface="Verdana" panose="020B0604030504040204" pitchFamily="34" charset="0"/>
          <a:ea typeface="Verdana" panose="020B0604030504040204" pitchFamily="34" charset="0"/>
        </a:defRPr>
      </a:pPr>
      <a:endParaRPr lang="es-MX"/>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MarcadorDePosición4</b:Tag>
    <b:SourceType>BookSection</b:SourceType>
    <b:Guid>{59843209-6D70-4A7F-9F52-AC9C15EAD860}</b:Guid>
    <b:Title>Contribución para una teroría de la legislación</b:Title>
    <b:Year>2000</b:Year>
    <b:City>México</b:City>
    <b:Publisher>Porrúa- Unam</b:Publisher>
    <b:Author>
      <b:Author>
        <b:NameList>
          <b:Person>
            <b:Last>Atienza</b:Last>
            <b:First>M.</b:First>
          </b:Person>
        </b:NameList>
      </b:Author>
      <b:BookAuthor>
        <b:NameList>
          <b:Person>
            <b:Last>M</b:Last>
            <b:First>Carbonell.</b:First>
          </b:Person>
          <b:Person>
            <b:Last>Pedroza de la Llave</b:Last>
            <b:First>S.</b:First>
          </b:Person>
        </b:NameList>
      </b:BookAuthor>
    </b:Author>
    <b:BookTitle>Elementos de Técnica legislativa</b:BookTitle>
    <b:Pages>65-84</b:Pages>
    <b:RefOrder>31</b:RefOrder>
  </b:Source>
</b:Sources>
</file>

<file path=customXml/itemProps1.xml><?xml version="1.0" encoding="utf-8"?>
<ds:datastoreItem xmlns:ds="http://schemas.openxmlformats.org/officeDocument/2006/customXml" ds:itemID="{524C143E-0957-43EA-B888-06F53F8B44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1007</TotalTime>
  <Pages>114</Pages>
  <Words>225426</Words>
  <Characters>1239843</Characters>
  <Application>Microsoft Office Word</Application>
  <DocSecurity>0</DocSecurity>
  <Lines>10332</Lines>
  <Paragraphs>2924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1462345</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Marysol Vizguerra Olmos</dc:creator>
  <cp:keywords/>
  <dc:description/>
  <cp:lastModifiedBy>Marysol Vizguerra Olmos</cp:lastModifiedBy>
  <cp:revision>606</cp:revision>
  <dcterms:created xsi:type="dcterms:W3CDTF">2022-10-14T04:00:00Z</dcterms:created>
  <dcterms:modified xsi:type="dcterms:W3CDTF">2022-11-11T16:11:00Z</dcterms:modified>
</cp:coreProperties>
</file>